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0F1C" w:rsidRDefault="00840F1C" w:rsidP="00840F1C">
      <w:pPr>
        <w:jc w:val="center"/>
        <w:rPr>
          <w:rStyle w:val="af9"/>
          <w:rtl/>
        </w:rPr>
      </w:pPr>
      <w:bookmarkStart w:id="0" w:name="_Toc228091278"/>
      <w:bookmarkStart w:id="1" w:name="_Toc231637917"/>
      <w:bookmarkStart w:id="2" w:name="_Toc228091280"/>
      <w:bookmarkStart w:id="3" w:name="_Toc231637919"/>
      <w:bookmarkStart w:id="4" w:name="_GoBack"/>
      <w:bookmarkEnd w:id="4"/>
      <w:r>
        <w:rPr>
          <w:rStyle w:val="af9"/>
          <w:rFonts w:hint="cs"/>
          <w:rtl/>
        </w:rPr>
        <w:t>ספר</w:t>
      </w:r>
    </w:p>
    <w:p w:rsidR="00840F1C" w:rsidRDefault="00840F1C" w:rsidP="00840F1C">
      <w:pPr>
        <w:jc w:val="center"/>
        <w:rPr>
          <w:rStyle w:val="af9"/>
          <w:sz w:val="144"/>
          <w:szCs w:val="144"/>
          <w:rtl/>
        </w:rPr>
      </w:pPr>
      <w:r>
        <w:rPr>
          <w:rStyle w:val="af9"/>
          <w:rFonts w:hint="cs"/>
          <w:sz w:val="144"/>
          <w:szCs w:val="144"/>
          <w:rtl/>
        </w:rPr>
        <w:t>תקוני הזהר</w:t>
      </w:r>
    </w:p>
    <w:p w:rsidR="008372C0" w:rsidRDefault="00840F1C" w:rsidP="00840F1C">
      <w:pPr>
        <w:jc w:val="center"/>
        <w:rPr>
          <w:rStyle w:val="af9"/>
          <w:rtl/>
        </w:rPr>
      </w:pPr>
      <w:r>
        <w:rPr>
          <w:rStyle w:val="af9"/>
          <w:rFonts w:hint="cs"/>
          <w:rtl/>
        </w:rPr>
        <w:t xml:space="preserve">גירסת הגר"א </w:t>
      </w:r>
    </w:p>
    <w:p w:rsidR="00840F1C" w:rsidRPr="008372C0" w:rsidRDefault="00840F1C" w:rsidP="00840F1C">
      <w:pPr>
        <w:jc w:val="center"/>
        <w:rPr>
          <w:rStyle w:val="af9"/>
          <w:sz w:val="56"/>
          <w:szCs w:val="56"/>
          <w:rtl/>
        </w:rPr>
      </w:pPr>
      <w:r w:rsidRPr="008372C0">
        <w:rPr>
          <w:rStyle w:val="af9"/>
          <w:rFonts w:hint="cs"/>
          <w:sz w:val="56"/>
          <w:szCs w:val="56"/>
          <w:rtl/>
        </w:rPr>
        <w:t>עם ביאור הגר"א</w:t>
      </w:r>
    </w:p>
    <w:p w:rsidR="008372C0" w:rsidRDefault="008372C0" w:rsidP="008372C0">
      <w:pPr>
        <w:jc w:val="both"/>
        <w:rPr>
          <w:rFonts w:cs="Guttman Adii"/>
          <w:szCs w:val="24"/>
          <w:rtl/>
        </w:rPr>
      </w:pPr>
    </w:p>
    <w:p w:rsidR="008372C0" w:rsidRDefault="008372C0" w:rsidP="008372C0">
      <w:pPr>
        <w:jc w:val="both"/>
        <w:rPr>
          <w:rFonts w:cs="Guttman Adii"/>
          <w:szCs w:val="24"/>
          <w:rtl/>
        </w:rPr>
      </w:pPr>
    </w:p>
    <w:p w:rsidR="008372C0" w:rsidRDefault="008372C0" w:rsidP="008372C0">
      <w:pPr>
        <w:jc w:val="center"/>
        <w:rPr>
          <w:rFonts w:cs="Guttman Adii"/>
          <w:szCs w:val="24"/>
          <w:rtl/>
        </w:rPr>
      </w:pPr>
      <w:r>
        <w:rPr>
          <w:rFonts w:cs="Guttman Adii" w:hint="cs"/>
          <w:szCs w:val="24"/>
          <w:rtl/>
        </w:rPr>
        <w:t>העורך בס"ד</w:t>
      </w:r>
    </w:p>
    <w:p w:rsidR="008372C0" w:rsidRDefault="008372C0" w:rsidP="008372C0">
      <w:pPr>
        <w:jc w:val="center"/>
        <w:rPr>
          <w:rFonts w:cs="Guttman Adii"/>
          <w:szCs w:val="24"/>
          <w:rtl/>
        </w:rPr>
      </w:pPr>
      <w:r>
        <w:rPr>
          <w:rFonts w:cs="Guttman Adii" w:hint="cs"/>
          <w:szCs w:val="24"/>
          <w:rtl/>
        </w:rPr>
        <w:t>גיל פת</w:t>
      </w:r>
    </w:p>
    <w:p w:rsidR="008372C0" w:rsidRDefault="008372C0" w:rsidP="008372C0">
      <w:pPr>
        <w:jc w:val="center"/>
        <w:rPr>
          <w:rFonts w:cs="Guttman Adii"/>
          <w:szCs w:val="24"/>
          <w:rtl/>
        </w:rPr>
      </w:pPr>
      <w:r w:rsidRPr="006F705A">
        <w:rPr>
          <w:rFonts w:cs="Guttman Adii"/>
          <w:szCs w:val="24"/>
          <w:rtl/>
        </w:rPr>
        <w:t xml:space="preserve">טלפון 08-9740174   פקס 08-9743241   דואר אלקטרוני </w:t>
      </w:r>
      <w:hyperlink r:id="rId9" w:history="1">
        <w:r w:rsidRPr="00A71C17">
          <w:rPr>
            <w:rStyle w:val="Hyperlink"/>
            <w:rFonts w:cs="Guttman Adii"/>
            <w:szCs w:val="24"/>
          </w:rPr>
          <w:t>tiferetm@etrog.net.il</w:t>
        </w:r>
      </w:hyperlink>
    </w:p>
    <w:p w:rsidR="008372C0" w:rsidRDefault="008372C0" w:rsidP="008372C0">
      <w:pPr>
        <w:jc w:val="center"/>
        <w:rPr>
          <w:rFonts w:cs="Guttman Adii"/>
          <w:szCs w:val="24"/>
          <w:rtl/>
        </w:rPr>
      </w:pPr>
      <w:r>
        <w:rPr>
          <w:rFonts w:cs="Guttman Adii" w:hint="cs"/>
          <w:szCs w:val="24"/>
          <w:rtl/>
        </w:rPr>
        <w:t>מודיעין עלית</w:t>
      </w:r>
    </w:p>
    <w:p w:rsidR="00940563" w:rsidRDefault="00940563" w:rsidP="008372C0">
      <w:pPr>
        <w:jc w:val="center"/>
        <w:rPr>
          <w:rFonts w:cs="Guttman Adii"/>
          <w:szCs w:val="24"/>
          <w:rtl/>
        </w:rPr>
      </w:pPr>
      <w:r>
        <w:rPr>
          <w:rFonts w:cs="Guttman Adii" w:hint="cs"/>
          <w:szCs w:val="24"/>
          <w:rtl/>
        </w:rPr>
        <w:t>חודש שבט תשע"ו</w:t>
      </w:r>
    </w:p>
    <w:p w:rsidR="008372C0" w:rsidRDefault="008372C0">
      <w:pPr>
        <w:bidi w:val="0"/>
        <w:rPr>
          <w:rFonts w:cs="Guttman Adii"/>
          <w:szCs w:val="24"/>
        </w:rPr>
      </w:pPr>
      <w:r>
        <w:rPr>
          <w:rFonts w:cs="Guttman Adii"/>
          <w:szCs w:val="24"/>
          <w:rtl/>
        </w:rPr>
        <w:br w:type="page"/>
      </w:r>
    </w:p>
    <w:p w:rsidR="008372C0" w:rsidRPr="006F705A" w:rsidRDefault="008372C0" w:rsidP="008372C0">
      <w:pPr>
        <w:jc w:val="center"/>
        <w:rPr>
          <w:rFonts w:cs="Guttman Adii"/>
          <w:szCs w:val="24"/>
          <w:rtl/>
        </w:rPr>
      </w:pPr>
    </w:p>
    <w:p w:rsidR="00925B75" w:rsidRDefault="006F705A" w:rsidP="008372C0">
      <w:pPr>
        <w:jc w:val="both"/>
        <w:rPr>
          <w:rFonts w:cs="Guttman Adii"/>
          <w:szCs w:val="24"/>
          <w:rtl/>
        </w:rPr>
      </w:pPr>
      <w:r w:rsidRPr="00A5136C">
        <w:rPr>
          <w:rStyle w:val="af9"/>
          <w:rtl/>
        </w:rPr>
        <w:t>יתברך הבורא וישתבח היוצר</w:t>
      </w:r>
      <w:r w:rsidRPr="006F705A">
        <w:rPr>
          <w:rFonts w:cs="Guttman Adii"/>
          <w:szCs w:val="24"/>
          <w:rtl/>
        </w:rPr>
        <w:t xml:space="preserve"> אשר זכנו לההדיר ולהוציא לאור ספר "תיקוני הזהר" של התנא האלהי רבי שמעון בר יוחאי זצוק"ל, מוגה על פי דברי הגאון רבי אליהו זצוק"ל מוילנא, </w:t>
      </w:r>
      <w:r w:rsidR="007114AF">
        <w:rPr>
          <w:rFonts w:cs="Guttman Adii" w:hint="cs"/>
          <w:szCs w:val="24"/>
          <w:rtl/>
        </w:rPr>
        <w:t xml:space="preserve">גירסתו הזכה </w:t>
      </w:r>
      <w:r w:rsidRPr="006F705A">
        <w:rPr>
          <w:rFonts w:cs="Guttman Adii"/>
          <w:szCs w:val="24"/>
          <w:rtl/>
        </w:rPr>
        <w:t>וביאורו בצד</w:t>
      </w:r>
      <w:r w:rsidR="007114AF">
        <w:rPr>
          <w:rFonts w:cs="Guttman Adii" w:hint="cs"/>
          <w:szCs w:val="24"/>
          <w:rtl/>
        </w:rPr>
        <w:t>ה</w:t>
      </w:r>
      <w:r w:rsidRPr="006F705A">
        <w:rPr>
          <w:rFonts w:cs="Guttman Adii"/>
          <w:szCs w:val="24"/>
          <w:rtl/>
        </w:rPr>
        <w:t>.</w:t>
      </w:r>
      <w:r w:rsidR="00401DCC">
        <w:rPr>
          <w:rFonts w:cs="Guttman Adii" w:hint="cs"/>
          <w:szCs w:val="24"/>
          <w:rtl/>
        </w:rPr>
        <w:t xml:space="preserve"> </w:t>
      </w:r>
    </w:p>
    <w:p w:rsidR="00925B75" w:rsidRDefault="00925B75" w:rsidP="00A5136C">
      <w:pPr>
        <w:jc w:val="both"/>
        <w:rPr>
          <w:rFonts w:cs="Guttman Adii"/>
          <w:szCs w:val="24"/>
          <w:rtl/>
        </w:rPr>
      </w:pPr>
      <w:r>
        <w:rPr>
          <w:rFonts w:cs="Guttman Adii" w:hint="cs"/>
          <w:szCs w:val="24"/>
          <w:rtl/>
        </w:rPr>
        <w:t>מהדורה זו יוצאת לאור אחרי השקעת מאמצים</w:t>
      </w:r>
      <w:r w:rsidR="00A5136C">
        <w:rPr>
          <w:rFonts w:cs="Guttman Adii" w:hint="cs"/>
          <w:szCs w:val="24"/>
          <w:rtl/>
        </w:rPr>
        <w:t xml:space="preserve"> רבים</w:t>
      </w:r>
      <w:r>
        <w:rPr>
          <w:rFonts w:cs="Guttman Adii" w:hint="cs"/>
          <w:szCs w:val="24"/>
          <w:rtl/>
        </w:rPr>
        <w:t>, והכל הכל לכבוד קודשא בריך הוא, למען ישוטטו רבים ותרבה הדעת, ויקים שכינתי</w:t>
      </w:r>
      <w:r w:rsidR="00A5136C">
        <w:rPr>
          <w:rFonts w:cs="Guttman Adii" w:hint="cs"/>
          <w:szCs w:val="24"/>
          <w:rtl/>
        </w:rPr>
        <w:t>'</w:t>
      </w:r>
      <w:r>
        <w:rPr>
          <w:rFonts w:cs="Guttman Adii" w:hint="cs"/>
          <w:szCs w:val="24"/>
          <w:rtl/>
        </w:rPr>
        <w:t xml:space="preserve"> מעפרא, ויחבק לה, וינשק לה, ויביאה חדריו.</w:t>
      </w:r>
    </w:p>
    <w:p w:rsidR="00925B75" w:rsidRDefault="00A5136C" w:rsidP="00A5136C">
      <w:pPr>
        <w:pStyle w:val="1"/>
        <w:rPr>
          <w:rtl/>
        </w:rPr>
      </w:pPr>
      <w:r>
        <w:rPr>
          <w:rFonts w:hint="cs"/>
          <w:rtl/>
        </w:rPr>
        <w:t>הדפסת הזהר</w:t>
      </w:r>
    </w:p>
    <w:p w:rsidR="000E5437" w:rsidRDefault="000E5437" w:rsidP="00A32568">
      <w:pPr>
        <w:jc w:val="both"/>
        <w:rPr>
          <w:rFonts w:cs="Guttman Adii"/>
          <w:szCs w:val="24"/>
          <w:rtl/>
        </w:rPr>
      </w:pPr>
      <w:r>
        <w:rPr>
          <w:rFonts w:cs="Guttman Adii" w:hint="cs"/>
          <w:szCs w:val="24"/>
          <w:rtl/>
        </w:rPr>
        <w:t xml:space="preserve">קצת רקע על דפוסי </w:t>
      </w:r>
      <w:r w:rsidR="00A32568">
        <w:rPr>
          <w:rFonts w:cs="Guttman Adii" w:hint="cs"/>
          <w:szCs w:val="24"/>
          <w:rtl/>
        </w:rPr>
        <w:t xml:space="preserve">תיקוני </w:t>
      </w:r>
      <w:r>
        <w:rPr>
          <w:rFonts w:cs="Guttman Adii" w:hint="cs"/>
          <w:szCs w:val="24"/>
          <w:rtl/>
        </w:rPr>
        <w:t>הזהר</w:t>
      </w:r>
      <w:r w:rsidR="00A5136C">
        <w:rPr>
          <w:rFonts w:cs="Guttman Adii" w:hint="cs"/>
          <w:szCs w:val="24"/>
          <w:rtl/>
        </w:rPr>
        <w:t xml:space="preserve"> (לקוח ברובו מה"מתוק מדבש")</w:t>
      </w:r>
      <w:r>
        <w:rPr>
          <w:rFonts w:cs="Guttman Adii" w:hint="cs"/>
          <w:szCs w:val="24"/>
          <w:rtl/>
        </w:rPr>
        <w:t xml:space="preserve">. הדפוס הראשון הוא 'מנטובה' בשנת שי"ח, </w:t>
      </w:r>
      <w:r w:rsidR="00A32568">
        <w:rPr>
          <w:rFonts w:cs="Guttman Adii" w:hint="cs"/>
          <w:szCs w:val="24"/>
          <w:rtl/>
        </w:rPr>
        <w:t xml:space="preserve">כמאה שנים </w:t>
      </w:r>
      <w:r>
        <w:rPr>
          <w:rFonts w:cs="Guttman Adii" w:hint="cs"/>
          <w:szCs w:val="24"/>
          <w:rtl/>
        </w:rPr>
        <w:t xml:space="preserve">אחר המצאת </w:t>
      </w:r>
      <w:r w:rsidR="00A32568">
        <w:rPr>
          <w:rFonts w:cs="Guttman Adii" w:hint="cs"/>
          <w:szCs w:val="24"/>
          <w:rtl/>
        </w:rPr>
        <w:t>מכונת הדפוס. היה פולמוס גדול בישראל אם להדפיס את הזהר או לא, והמדפיס הביא כמה הסכמות בהקדמתו.</w:t>
      </w:r>
    </w:p>
    <w:p w:rsidR="00A32568" w:rsidRDefault="00A32568" w:rsidP="00A32568">
      <w:pPr>
        <w:jc w:val="both"/>
        <w:rPr>
          <w:rFonts w:cs="Guttman Adii"/>
          <w:szCs w:val="24"/>
          <w:rtl/>
        </w:rPr>
      </w:pPr>
      <w:r>
        <w:rPr>
          <w:rFonts w:cs="Guttman Adii" w:hint="cs"/>
          <w:szCs w:val="24"/>
          <w:rtl/>
        </w:rPr>
        <w:t>על דפוס זה הגיהו האריז"ל ועוד, והגהותיהם השפיעו על נוסח הדפוסים הבאים. יש לציין שכל מדפיס עשה כמיטב יכולתו להשתמש בהגהות כדי לתקן ולהקל על הלומדים, וקבל הסכמות על כך מגדולי הדור.</w:t>
      </w:r>
    </w:p>
    <w:p w:rsidR="00A32568" w:rsidRDefault="00A32568" w:rsidP="00A32568">
      <w:pPr>
        <w:jc w:val="both"/>
        <w:rPr>
          <w:rFonts w:cs="Guttman Adii"/>
          <w:szCs w:val="24"/>
          <w:rtl/>
        </w:rPr>
      </w:pPr>
      <w:r>
        <w:rPr>
          <w:rFonts w:cs="Guttman Adii" w:hint="cs"/>
          <w:szCs w:val="24"/>
          <w:rtl/>
        </w:rPr>
        <w:t>בשנת תע"ד הודפסו תיקוני הזהר בדפוס 'קושטא' (קושטנדינא).</w:t>
      </w:r>
    </w:p>
    <w:p w:rsidR="00A32568" w:rsidRDefault="00A32568" w:rsidP="00A32568">
      <w:pPr>
        <w:jc w:val="both"/>
        <w:rPr>
          <w:rFonts w:cs="Guttman Adii"/>
          <w:szCs w:val="24"/>
          <w:rtl/>
        </w:rPr>
      </w:pPr>
      <w:r>
        <w:rPr>
          <w:rFonts w:cs="Guttman Adii" w:hint="cs"/>
          <w:szCs w:val="24"/>
          <w:rtl/>
        </w:rPr>
        <w:t>בשנת תע"ט הודפסו תיקוני הזהר בדפוס 'אמסטרדם', בדומה לדפוס 'מנטובה', רק עם הגהות בצד.</w:t>
      </w:r>
    </w:p>
    <w:p w:rsidR="00A32568" w:rsidRDefault="00A32568" w:rsidP="00A32568">
      <w:pPr>
        <w:jc w:val="both"/>
        <w:rPr>
          <w:rFonts w:cs="Guttman Adii"/>
          <w:szCs w:val="24"/>
          <w:rtl/>
        </w:rPr>
      </w:pPr>
      <w:r>
        <w:rPr>
          <w:rFonts w:cs="Guttman Adii" w:hint="cs"/>
          <w:szCs w:val="24"/>
          <w:rtl/>
        </w:rPr>
        <w:t>בשנת ת"ק הודפס שוב ב'קושטא' עם שינויים.</w:t>
      </w:r>
    </w:p>
    <w:p w:rsidR="00A5136C" w:rsidRDefault="00A32568" w:rsidP="00A32568">
      <w:pPr>
        <w:jc w:val="both"/>
        <w:rPr>
          <w:rFonts w:cs="Guttman Adii"/>
          <w:szCs w:val="24"/>
          <w:rtl/>
        </w:rPr>
      </w:pPr>
      <w:r>
        <w:rPr>
          <w:rFonts w:cs="Guttman Adii" w:hint="cs"/>
          <w:szCs w:val="24"/>
          <w:rtl/>
        </w:rPr>
        <w:t>בשנת תרכ"ז הודפסו בוילנא תיקוני הזהר עם ביאור הגר"א, וכמו שכתוב שם בשער הספר וז"ל: והכל נדפס והוגה מגוף כי"ק הגר"א ז"ל (לבד ביאור התיקונים מתיקון נ"ח עד סופו, נדפס עפ"י ג' העתקות מבוררות). גם הת"ז והתז"ח מוגה מכמה ספרים המוגהים. וביחוד הוגה ברובו מעצם התיקונים</w:t>
      </w:r>
      <w:r w:rsidR="007114AF">
        <w:rPr>
          <w:rFonts w:cs="Guttman Adii" w:hint="cs"/>
          <w:szCs w:val="24"/>
          <w:rtl/>
        </w:rPr>
        <w:t xml:space="preserve"> (פרופס תע"ט)</w:t>
      </w:r>
      <w:r>
        <w:rPr>
          <w:rFonts w:cs="Guttman Adii" w:hint="cs"/>
          <w:szCs w:val="24"/>
          <w:rtl/>
        </w:rPr>
        <w:t xml:space="preserve"> שהיה ביד הגר"א ז"ל אשר הגיהו בכי"ק ז"ל. עכ"ל. </w:t>
      </w:r>
    </w:p>
    <w:p w:rsidR="006F705A" w:rsidRPr="006F705A" w:rsidRDefault="00A5136C" w:rsidP="00A32568">
      <w:pPr>
        <w:jc w:val="both"/>
        <w:rPr>
          <w:rFonts w:cs="Guttman Adii"/>
          <w:szCs w:val="24"/>
          <w:rtl/>
        </w:rPr>
      </w:pPr>
      <w:r>
        <w:rPr>
          <w:rFonts w:cs="Guttman Adii" w:hint="cs"/>
          <w:szCs w:val="24"/>
          <w:rtl/>
        </w:rPr>
        <w:t>כ</w:t>
      </w:r>
      <w:r w:rsidR="006F705A" w:rsidRPr="006F705A">
        <w:rPr>
          <w:rFonts w:cs="Guttman Adii"/>
          <w:szCs w:val="24"/>
          <w:rtl/>
        </w:rPr>
        <w:t>מדומה שמאז שנת תרכ"ז (</w:t>
      </w:r>
      <w:r w:rsidR="00A32568">
        <w:rPr>
          <w:rFonts w:cs="Guttman Adii" w:hint="cs"/>
          <w:szCs w:val="24"/>
          <w:rtl/>
        </w:rPr>
        <w:t>קרוב ל</w:t>
      </w:r>
      <w:r w:rsidR="006F705A" w:rsidRPr="006F705A">
        <w:rPr>
          <w:rFonts w:cs="Guttman Adii"/>
          <w:szCs w:val="24"/>
          <w:rtl/>
        </w:rPr>
        <w:t>מאה ו</w:t>
      </w:r>
      <w:r w:rsidR="00A32568">
        <w:rPr>
          <w:rFonts w:cs="Guttman Adii" w:hint="cs"/>
          <w:szCs w:val="24"/>
          <w:rtl/>
        </w:rPr>
        <w:t>חמש</w:t>
      </w:r>
      <w:r w:rsidR="006F705A" w:rsidRPr="006F705A">
        <w:rPr>
          <w:rFonts w:cs="Guttman Adii"/>
          <w:szCs w:val="24"/>
          <w:rtl/>
        </w:rPr>
        <w:t>ים שנה!) לא יצא</w:t>
      </w:r>
      <w:r w:rsidR="00A32568">
        <w:rPr>
          <w:rFonts w:cs="Guttman Adii" w:hint="cs"/>
          <w:szCs w:val="24"/>
          <w:rtl/>
        </w:rPr>
        <w:t>ה</w:t>
      </w:r>
      <w:r w:rsidR="006F705A" w:rsidRPr="006F705A">
        <w:rPr>
          <w:rFonts w:cs="Guttman Adii"/>
          <w:szCs w:val="24"/>
          <w:rtl/>
        </w:rPr>
        <w:t xml:space="preserve"> מהדור</w:t>
      </w:r>
      <w:r w:rsidR="00A32568">
        <w:rPr>
          <w:rFonts w:cs="Guttman Adii" w:hint="cs"/>
          <w:szCs w:val="24"/>
          <w:rtl/>
        </w:rPr>
        <w:t>ה</w:t>
      </w:r>
      <w:r w:rsidR="006F705A" w:rsidRPr="006F705A">
        <w:rPr>
          <w:rFonts w:cs="Guttman Adii"/>
          <w:szCs w:val="24"/>
          <w:rtl/>
        </w:rPr>
        <w:t xml:space="preserve"> נוספת</w:t>
      </w:r>
      <w:r w:rsidR="00A32568">
        <w:rPr>
          <w:rFonts w:cs="Guttman Adii" w:hint="cs"/>
          <w:szCs w:val="24"/>
          <w:rtl/>
        </w:rPr>
        <w:t xml:space="preserve"> של ביאור הגר"א.</w:t>
      </w:r>
      <w:r w:rsidR="006F705A" w:rsidRPr="006F705A">
        <w:rPr>
          <w:rFonts w:cs="Guttman Adii"/>
          <w:szCs w:val="24"/>
          <w:rtl/>
        </w:rPr>
        <w:t xml:space="preserve"> אמנם אותו המוציא לאור עשה עבודה רבה ונפלאה, אך גם הוא קבל כתבי יד של הגר"א מכמה מקורות, שחלקם הגיעו אחרי ההכנה לדפוס, והדפיס חלקם בתחילת הספר וחלקם בסופו הנקראים "תשלום ליקוט הגר"א" כמובא לקמן. ונראה שמאז כל ההדפסות אינם רק צילום מצילום, ולכן איכות ההדפסה הלכה ופחתה עד שהאותיות נשברו ונמחקו.</w:t>
      </w:r>
    </w:p>
    <w:p w:rsidR="006F705A" w:rsidRDefault="006F705A" w:rsidP="00A5136C">
      <w:pPr>
        <w:jc w:val="both"/>
        <w:rPr>
          <w:rFonts w:cs="Guttman Adii"/>
          <w:szCs w:val="24"/>
          <w:rtl/>
        </w:rPr>
      </w:pPr>
      <w:r w:rsidRPr="006F705A">
        <w:rPr>
          <w:rFonts w:cs="Guttman Adii"/>
          <w:szCs w:val="24"/>
          <w:rtl/>
        </w:rPr>
        <w:t xml:space="preserve">העירני השי"ת לחשוב שבמציאות הכלים שבידי אוכל בס"ד </w:t>
      </w:r>
      <w:r w:rsidR="00A32568">
        <w:rPr>
          <w:rFonts w:cs="Guttman Adii" w:hint="cs"/>
          <w:szCs w:val="24"/>
          <w:rtl/>
        </w:rPr>
        <w:t>להקליד מחדש את ביאור הגר"א, ולהוציא לאור תיקוני הזהר עם ביאור הגר"א</w:t>
      </w:r>
      <w:r w:rsidR="00A5136C">
        <w:rPr>
          <w:rFonts w:cs="Guttman Adii" w:hint="cs"/>
          <w:szCs w:val="24"/>
          <w:rtl/>
        </w:rPr>
        <w:t xml:space="preserve"> אך לא באותה צורה שהודפס בוילנא בתרכ"ז אלא בצורה פשוטה כהערות בשולי הדף. </w:t>
      </w:r>
      <w:r w:rsidR="00A32568">
        <w:rPr>
          <w:rFonts w:cs="Guttman Adii" w:hint="cs"/>
          <w:szCs w:val="24"/>
          <w:rtl/>
        </w:rPr>
        <w:t xml:space="preserve">וחששתי אמנם שיתכן שיהיו מתנגדים לשינוי הצורה, אך אמרתי, אעשה, </w:t>
      </w:r>
      <w:r w:rsidRPr="006F705A">
        <w:rPr>
          <w:rFonts w:cs="Guttman Adii"/>
          <w:szCs w:val="24"/>
          <w:rtl/>
        </w:rPr>
        <w:t>ואם לא יו</w:t>
      </w:r>
      <w:r w:rsidR="00A32568">
        <w:rPr>
          <w:rFonts w:cs="Guttman Adii"/>
          <w:szCs w:val="24"/>
          <w:rtl/>
        </w:rPr>
        <w:t xml:space="preserve">עיל לאחרים - יהיה לפחות לי </w:t>
      </w:r>
      <w:r w:rsidR="00A32568">
        <w:rPr>
          <w:rFonts w:cs="Guttman Adii" w:hint="cs"/>
          <w:szCs w:val="24"/>
          <w:rtl/>
        </w:rPr>
        <w:t>לתועלת (כגון לעשות חיפוש, להוציא קטעים, ועוד).</w:t>
      </w:r>
      <w:r w:rsidR="00A5136C">
        <w:rPr>
          <w:rFonts w:cs="Guttman Adii" w:hint="cs"/>
          <w:szCs w:val="24"/>
          <w:rtl/>
        </w:rPr>
        <w:t xml:space="preserve"> ומה גם שיש יתרון מה בצורה זו שיש אות קטנה בכל מקום שיש ביאור הגר"א ויודעים להסתכל למטה.</w:t>
      </w:r>
    </w:p>
    <w:p w:rsidR="00A32568" w:rsidRPr="006F705A" w:rsidRDefault="00A32568" w:rsidP="00A5136C">
      <w:pPr>
        <w:jc w:val="both"/>
        <w:rPr>
          <w:rFonts w:cs="Guttman Adii"/>
          <w:szCs w:val="24"/>
          <w:rtl/>
        </w:rPr>
      </w:pPr>
      <w:r>
        <w:rPr>
          <w:rFonts w:cs="Guttman Adii" w:hint="cs"/>
          <w:szCs w:val="24"/>
          <w:rtl/>
        </w:rPr>
        <w:t>והנה עזרני ה' להגיע עד הלום</w:t>
      </w:r>
      <w:r w:rsidR="00A5136C">
        <w:rPr>
          <w:rFonts w:cs="Guttman Adii" w:hint="cs"/>
          <w:szCs w:val="24"/>
          <w:rtl/>
        </w:rPr>
        <w:t xml:space="preserve"> וכאשר גמרתי חלק ראשון שהוא התיקונים בלי תיקונים מזהר חדש,</w:t>
      </w:r>
      <w:r>
        <w:rPr>
          <w:rFonts w:cs="Guttman Adii" w:hint="cs"/>
          <w:szCs w:val="24"/>
          <w:rtl/>
        </w:rPr>
        <w:t xml:space="preserve"> הדפסתי חמשים עותקים 'מהדורה נסיונית' </w:t>
      </w:r>
      <w:r w:rsidR="00A5136C">
        <w:rPr>
          <w:rFonts w:cs="Guttman Adii" w:hint="cs"/>
          <w:szCs w:val="24"/>
          <w:rtl/>
        </w:rPr>
        <w:t>וזכיתי להכנס אצל הרבה מ</w:t>
      </w:r>
      <w:r>
        <w:rPr>
          <w:rFonts w:cs="Guttman Adii" w:hint="cs"/>
          <w:szCs w:val="24"/>
          <w:rtl/>
        </w:rPr>
        <w:t>גדולי הדור שליט"א</w:t>
      </w:r>
      <w:r w:rsidR="00A5136C">
        <w:rPr>
          <w:rFonts w:cs="Guttman Adii" w:hint="cs"/>
          <w:szCs w:val="24"/>
          <w:rtl/>
        </w:rPr>
        <w:t>.</w:t>
      </w:r>
      <w:r>
        <w:rPr>
          <w:rFonts w:cs="Guttman Adii" w:hint="cs"/>
          <w:szCs w:val="24"/>
          <w:rtl/>
        </w:rPr>
        <w:t xml:space="preserve"> רובם </w:t>
      </w:r>
      <w:r w:rsidR="00A5136C">
        <w:rPr>
          <w:rFonts w:cs="Guttman Adii" w:hint="cs"/>
          <w:szCs w:val="24"/>
          <w:rtl/>
        </w:rPr>
        <w:t>ככולם</w:t>
      </w:r>
      <w:r>
        <w:rPr>
          <w:rFonts w:cs="Guttman Adii" w:hint="cs"/>
          <w:szCs w:val="24"/>
          <w:rtl/>
        </w:rPr>
        <w:t xml:space="preserve"> מאד שמחו על הדבר. והגדיל הגאון ר' שמואל אויערבך שליט"א לומר לי שהוא מחכה </w:t>
      </w:r>
      <w:r w:rsidR="00A5136C">
        <w:rPr>
          <w:rFonts w:cs="Guttman Adii" w:hint="cs"/>
          <w:szCs w:val="24"/>
          <w:rtl/>
        </w:rPr>
        <w:t>למהדורה האמיתית ושלא אשכח להביא לו.</w:t>
      </w:r>
    </w:p>
    <w:p w:rsidR="006F705A" w:rsidRDefault="006F705A" w:rsidP="00A5136C">
      <w:pPr>
        <w:jc w:val="both"/>
        <w:rPr>
          <w:rFonts w:cs="Guttman Adii"/>
          <w:szCs w:val="24"/>
          <w:rtl/>
        </w:rPr>
      </w:pPr>
      <w:r w:rsidRPr="006F705A">
        <w:rPr>
          <w:rFonts w:cs="Guttman Adii"/>
          <w:szCs w:val="24"/>
          <w:rtl/>
        </w:rPr>
        <w:t>לב יודע מרת נפשו, עד כמה רחוק אני</w:t>
      </w:r>
      <w:r w:rsidR="00A5136C">
        <w:rPr>
          <w:rFonts w:cs="Guttman Adii"/>
          <w:szCs w:val="24"/>
          <w:rtl/>
        </w:rPr>
        <w:t xml:space="preserve"> מלעשות עם הציבור לשם שמים</w:t>
      </w:r>
      <w:r w:rsidR="00A5136C">
        <w:rPr>
          <w:rFonts w:cs="Guttman Adii" w:hint="cs"/>
          <w:szCs w:val="24"/>
          <w:rtl/>
        </w:rPr>
        <w:t xml:space="preserve"> כי לא הורגלתי מנעורי. אבל השם אלוקי ואלוקי אבותי, אלוקי אברהם יצחק ויעקב והשבטים אשר לא עזבונו חסדיו ועד הנה עזרונו רחמיו והוא הרימני מאשפות להושיבי עם נדיבים עם נדיבי עמו הוא </w:t>
      </w:r>
      <w:r w:rsidRPr="006F705A">
        <w:rPr>
          <w:rFonts w:cs="Guttman Adii"/>
          <w:szCs w:val="24"/>
          <w:rtl/>
        </w:rPr>
        <w:t xml:space="preserve">יראה בעניי, וכשם שעזרני עד הלום, כן יעזרני על דבר כבוד שמו </w:t>
      </w:r>
      <w:r w:rsidR="00A32568">
        <w:rPr>
          <w:rFonts w:cs="Guttman Adii"/>
          <w:szCs w:val="24"/>
          <w:rtl/>
        </w:rPr>
        <w:t>להועיל לעצמי ולשכמותי, בזה ובבא</w:t>
      </w:r>
      <w:r w:rsidR="00A32568">
        <w:rPr>
          <w:rFonts w:cs="Guttman Adii" w:hint="cs"/>
          <w:szCs w:val="24"/>
          <w:rtl/>
        </w:rPr>
        <w:t>, ו</w:t>
      </w:r>
      <w:r w:rsidR="00A5136C">
        <w:rPr>
          <w:rFonts w:cs="Guttman Adii" w:hint="cs"/>
          <w:szCs w:val="24"/>
          <w:rtl/>
        </w:rPr>
        <w:t xml:space="preserve">נסיים </w:t>
      </w:r>
      <w:r w:rsidR="00A32568">
        <w:rPr>
          <w:rFonts w:cs="Guttman Adii" w:hint="cs"/>
          <w:szCs w:val="24"/>
          <w:rtl/>
        </w:rPr>
        <w:t>בתפלה שלא תצא שום תקלה ושום נזק מעבודתנו.</w:t>
      </w:r>
    </w:p>
    <w:p w:rsidR="00A5136C" w:rsidRDefault="00A5136C" w:rsidP="00A5136C">
      <w:pPr>
        <w:pStyle w:val="1"/>
        <w:rPr>
          <w:rtl/>
        </w:rPr>
      </w:pPr>
      <w:r>
        <w:rPr>
          <w:rFonts w:hint="cs"/>
          <w:rtl/>
        </w:rPr>
        <w:lastRenderedPageBreak/>
        <w:t>לימוד קבלה</w:t>
      </w:r>
    </w:p>
    <w:p w:rsidR="00A5136C" w:rsidRDefault="00A5136C" w:rsidP="009E66B6">
      <w:pPr>
        <w:jc w:val="both"/>
        <w:rPr>
          <w:rFonts w:cs="Guttman Adii"/>
          <w:szCs w:val="24"/>
          <w:rtl/>
        </w:rPr>
      </w:pPr>
      <w:r>
        <w:rPr>
          <w:rFonts w:cs="Guttman Adii" w:hint="cs"/>
          <w:szCs w:val="24"/>
          <w:rtl/>
        </w:rPr>
        <w:t xml:space="preserve">ידוע שבכל חכמה יש כללים משלה שבהם היא נלמדת. ואין ללמוד חכמה אחת בכללים של אחרת. </w:t>
      </w:r>
      <w:r w:rsidR="009E66B6">
        <w:rPr>
          <w:rFonts w:cs="Guttman Adii" w:hint="cs"/>
          <w:szCs w:val="24"/>
          <w:rtl/>
        </w:rPr>
        <w:t xml:space="preserve">כמו כן יש להתבונן בכל ספר מי המחברו ולמי הוא מיועד שילמדו בו. והנה חיבור הזהר ובמיוחד תיקוני הזהר מיועד לדורות האחרונים בעקבתא דמשיחא כמ"ש בדף יט ע"ב </w:t>
      </w:r>
      <w:r w:rsidR="009E66B6" w:rsidRPr="009E66B6">
        <w:rPr>
          <w:rFonts w:cs="Guttman Adii"/>
          <w:szCs w:val="24"/>
          <w:rtl/>
        </w:rPr>
        <w:t>וְכַמָּה בְּנֵי נָשָׁא לְתַתָּא יִתְפַּרְנְסוּן מֵהַאי חִבּוּרָא דִילָךְ, כַּד יִתְגַּלֵי לְתַתָּא בְּדָרָא בַתְרָאָה בְּסוֹף יוֹמַיָּא, וּבְגִינֵיהּ וּקְ</w:t>
      </w:r>
      <w:r w:rsidR="009E66B6">
        <w:rPr>
          <w:rFonts w:cs="Guttman Adii"/>
          <w:szCs w:val="24"/>
          <w:rtl/>
        </w:rPr>
        <w:t xml:space="preserve">רָאתֶם דְּרוֹר בָּאָרֶץ </w:t>
      </w:r>
      <w:r w:rsidR="009E66B6">
        <w:rPr>
          <w:rFonts w:cs="Guttman Adii" w:hint="cs"/>
          <w:szCs w:val="24"/>
          <w:rtl/>
        </w:rPr>
        <w:t xml:space="preserve">וגו' ופירש הגר"א: </w:t>
      </w:r>
      <w:r w:rsidR="009E66B6" w:rsidRPr="009E66B6">
        <w:rPr>
          <w:rFonts w:cs="Guttman Adii"/>
          <w:b/>
          <w:bCs/>
          <w:szCs w:val="24"/>
          <w:rtl/>
        </w:rPr>
        <w:t>ובגיניה וקראתם כו'.</w:t>
      </w:r>
      <w:r w:rsidR="009E66B6">
        <w:rPr>
          <w:rFonts w:cs="Guttman Adii"/>
          <w:szCs w:val="24"/>
          <w:rtl/>
        </w:rPr>
        <w:t xml:space="preserve"> שיגלו ע"י לימוד הזוהר</w:t>
      </w:r>
      <w:r w:rsidR="009E66B6">
        <w:rPr>
          <w:rFonts w:cs="Guttman Adii" w:hint="cs"/>
          <w:szCs w:val="24"/>
          <w:rtl/>
        </w:rPr>
        <w:t xml:space="preserve">. עכ"ל. הרי שחיבור זה מיועד לנו ולצאצאינו לעסוק בו ולהתעורר על ידו. </w:t>
      </w:r>
      <w:r>
        <w:rPr>
          <w:rFonts w:cs="Guttman Adii" w:hint="cs"/>
          <w:szCs w:val="24"/>
          <w:rtl/>
        </w:rPr>
        <w:t>מנסיוני בחכמת הקבלה שמתי לב לכמה הבדלים בין לימוד הנגלה ללימוד הנסתר הנקרא בד"כ בדברי הרמב"ן חכמת האמת או דרך האמת. והוא משום שהוא ברור למי שרואהו אע"פ שאינו מובן כלל למי שאינו רואהו. אשר על כן עיקר הלימוד הוא רכישת הקדמות שעל ידן ניתן להגיע אל הדברים למי שיחפוץ בו השם יתברך שישיג. אמנם על האיש הנלבב לדעת שהוא נכנס לקדש הקדשים ולהתנהג במשנה זהירות. שלא יחשוף סודות יקרים במקום שלא צריך כמ"ש ערות אביך וערות אמך לא תגלה ערותם. נמצא שעיקר לימוד הקבלה הוא סילוק הכזבים והמדות הרעות ורכישת השקפה אמיתית ונכונה בידיעת השם יתברך ובעבודתו ותפלה להשם יתברך שיזכהו. ובזה הוא הפך לימוד הנגלה שבו העיקר הוא רכישת ידיעות התורה לעומק ולרוחב.</w:t>
      </w:r>
      <w:r w:rsidR="009E66B6">
        <w:rPr>
          <w:rFonts w:cs="Guttman Adii" w:hint="cs"/>
          <w:szCs w:val="24"/>
          <w:rtl/>
        </w:rPr>
        <w:t xml:space="preserve"> והמחברו הלא הוא התנא האלקי רבי שמעון בר יוחאי זצוק"ל אחד יחיד ומיוחד בכל הדורות שניתן לו רשות משמים והצטרפו אליו כל העליונים והתחתונים להוציא לאור חיבור זה.</w:t>
      </w:r>
    </w:p>
    <w:p w:rsidR="00A5136C" w:rsidRDefault="00A5136C" w:rsidP="00A5136C">
      <w:pPr>
        <w:pStyle w:val="1"/>
        <w:rPr>
          <w:rtl/>
        </w:rPr>
      </w:pPr>
      <w:r>
        <w:rPr>
          <w:rFonts w:hint="cs"/>
          <w:rtl/>
        </w:rPr>
        <w:t>אופי החיבור</w:t>
      </w:r>
    </w:p>
    <w:p w:rsidR="006F705A" w:rsidRPr="006F705A" w:rsidRDefault="006F705A" w:rsidP="00A5136C">
      <w:pPr>
        <w:jc w:val="both"/>
        <w:rPr>
          <w:rFonts w:cs="Guttman Adii"/>
          <w:szCs w:val="24"/>
          <w:rtl/>
        </w:rPr>
      </w:pPr>
      <w:r w:rsidRPr="006F705A">
        <w:rPr>
          <w:rFonts w:cs="Guttman Adii"/>
          <w:szCs w:val="24"/>
          <w:rtl/>
        </w:rPr>
        <w:t xml:space="preserve">הגר"א </w:t>
      </w:r>
      <w:r w:rsidR="00A5136C">
        <w:rPr>
          <w:rFonts w:cs="Guttman Adii" w:hint="cs"/>
          <w:szCs w:val="24"/>
          <w:rtl/>
        </w:rPr>
        <w:t xml:space="preserve">זצוק"ל מרבה לקשר בין הנגלה והנסתר ומפנה אותנו פעמים רבות </w:t>
      </w:r>
      <w:r w:rsidRPr="006F705A">
        <w:rPr>
          <w:rFonts w:cs="Guttman Adii"/>
          <w:szCs w:val="24"/>
          <w:rtl/>
        </w:rPr>
        <w:t>לגמרות ולמדרשים, אלא שברב גאוניותו אינו מציין לנו מיקום מדויק. השתדלנו לציין את המיקום המדויק בכל מקום, לסייע לקשר את סוגי</w:t>
      </w:r>
      <w:r w:rsidR="00A5136C">
        <w:rPr>
          <w:rFonts w:cs="Guttman Adii" w:hint="cs"/>
          <w:szCs w:val="24"/>
          <w:rtl/>
        </w:rPr>
        <w:t>ו</w:t>
      </w:r>
      <w:r w:rsidRPr="006F705A">
        <w:rPr>
          <w:rFonts w:cs="Guttman Adii"/>
          <w:szCs w:val="24"/>
          <w:rtl/>
        </w:rPr>
        <w:t xml:space="preserve">ת </w:t>
      </w:r>
      <w:r w:rsidR="00A5136C">
        <w:rPr>
          <w:rFonts w:cs="Guttman Adii" w:hint="cs"/>
          <w:szCs w:val="24"/>
          <w:rtl/>
        </w:rPr>
        <w:t xml:space="preserve">תיקוני הזהר עם סוגיות </w:t>
      </w:r>
      <w:r w:rsidRPr="006F705A">
        <w:rPr>
          <w:rFonts w:cs="Guttman Adii"/>
          <w:szCs w:val="24"/>
          <w:rtl/>
        </w:rPr>
        <w:t xml:space="preserve">הגמרא. </w:t>
      </w:r>
    </w:p>
    <w:p w:rsidR="006F705A" w:rsidRPr="006F705A" w:rsidRDefault="00A5136C" w:rsidP="00A5136C">
      <w:pPr>
        <w:pStyle w:val="1"/>
        <w:rPr>
          <w:rtl/>
        </w:rPr>
      </w:pPr>
      <w:r>
        <w:rPr>
          <w:rFonts w:hint="cs"/>
          <w:rtl/>
        </w:rPr>
        <w:t>העבודה שלנו</w:t>
      </w:r>
    </w:p>
    <w:p w:rsidR="006F705A" w:rsidRPr="006F705A" w:rsidRDefault="00E05187" w:rsidP="00E05187">
      <w:pPr>
        <w:jc w:val="both"/>
        <w:rPr>
          <w:rFonts w:cs="Guttman Adii"/>
          <w:szCs w:val="24"/>
          <w:rtl/>
        </w:rPr>
      </w:pPr>
      <w:r>
        <w:rPr>
          <w:rFonts w:cs="Guttman Adii" w:hint="cs"/>
          <w:szCs w:val="24"/>
          <w:rtl/>
        </w:rPr>
        <w:t>ציינו את הדפים ב</w:t>
      </w:r>
      <w:r w:rsidR="006F705A" w:rsidRPr="006F705A">
        <w:rPr>
          <w:rFonts w:cs="Guttman Adii"/>
          <w:szCs w:val="24"/>
          <w:rtl/>
        </w:rPr>
        <w:t xml:space="preserve">ציון </w:t>
      </w:r>
      <w:r>
        <w:rPr>
          <w:rFonts w:cs="Guttman Adii" w:hint="cs"/>
          <w:szCs w:val="24"/>
          <w:rtl/>
        </w:rPr>
        <w:t>כפול. גם</w:t>
      </w:r>
      <w:r w:rsidR="006F705A" w:rsidRPr="006F705A">
        <w:rPr>
          <w:rFonts w:cs="Guttman Adii"/>
          <w:szCs w:val="24"/>
          <w:rtl/>
        </w:rPr>
        <w:t xml:space="preserve"> הציון המקורי שהובא בדפוס וילנא </w:t>
      </w:r>
      <w:r w:rsidR="006F705A" w:rsidRPr="006F705A">
        <w:rPr>
          <w:rFonts w:cs="Guttman Adii"/>
          <w:szCs w:val="24"/>
          <w:u w:val="single"/>
          <w:rtl/>
        </w:rPr>
        <w:t>בפנים</w:t>
      </w:r>
      <w:r>
        <w:rPr>
          <w:rFonts w:cs="Guttman Adii" w:hint="cs"/>
          <w:szCs w:val="24"/>
          <w:rtl/>
        </w:rPr>
        <w:t>,</w:t>
      </w:r>
      <w:r w:rsidR="006F705A" w:rsidRPr="006F705A">
        <w:rPr>
          <w:rFonts w:cs="Guttman Adii"/>
          <w:szCs w:val="24"/>
          <w:rtl/>
        </w:rPr>
        <w:t xml:space="preserve"> </w:t>
      </w:r>
      <w:r w:rsidRPr="006F705A">
        <w:rPr>
          <w:rFonts w:cs="Guttman Adii"/>
          <w:szCs w:val="24"/>
          <w:rtl/>
        </w:rPr>
        <w:t>שהוא הציון שהגר"א בביאורו משתמש בו</w:t>
      </w:r>
      <w:r>
        <w:rPr>
          <w:rFonts w:cs="Guttman Adii" w:hint="cs"/>
          <w:szCs w:val="24"/>
          <w:rtl/>
        </w:rPr>
        <w:t xml:space="preserve"> בהפניותיו</w:t>
      </w:r>
      <w:r w:rsidRPr="006F705A">
        <w:rPr>
          <w:rFonts w:cs="Guttman Adii"/>
          <w:szCs w:val="24"/>
          <w:rtl/>
        </w:rPr>
        <w:t xml:space="preserve">. </w:t>
      </w:r>
      <w:r w:rsidR="006F705A" w:rsidRPr="006F705A">
        <w:rPr>
          <w:rFonts w:cs="Guttman Adii"/>
          <w:szCs w:val="24"/>
          <w:rtl/>
        </w:rPr>
        <w:t>ו</w:t>
      </w:r>
      <w:r>
        <w:rPr>
          <w:rFonts w:cs="Guttman Adii" w:hint="cs"/>
          <w:szCs w:val="24"/>
          <w:rtl/>
        </w:rPr>
        <w:t>גם</w:t>
      </w:r>
      <w:r w:rsidR="006F705A" w:rsidRPr="006F705A">
        <w:rPr>
          <w:rFonts w:cs="Guttman Adii"/>
          <w:szCs w:val="24"/>
          <w:rtl/>
        </w:rPr>
        <w:t xml:space="preserve"> דפי </w:t>
      </w:r>
      <w:r w:rsidR="006F705A" w:rsidRPr="006F705A">
        <w:rPr>
          <w:rFonts w:cs="Guttman Adii"/>
          <w:szCs w:val="24"/>
          <w:u w:val="single"/>
          <w:rtl/>
        </w:rPr>
        <w:t>דפוס וילנא</w:t>
      </w:r>
      <w:r w:rsidR="006F705A" w:rsidRPr="006F705A">
        <w:rPr>
          <w:rFonts w:cs="Guttman Adii"/>
          <w:szCs w:val="24"/>
          <w:rtl/>
        </w:rPr>
        <w:t xml:space="preserve"> (כפי שהורנו הגאון הרב הצדיק רבי יעקב עדס שליט"א).</w:t>
      </w:r>
    </w:p>
    <w:p w:rsidR="00E05187" w:rsidRDefault="00A5136C" w:rsidP="00A5136C">
      <w:pPr>
        <w:jc w:val="both"/>
        <w:rPr>
          <w:rFonts w:cs="Guttman Adii"/>
          <w:szCs w:val="24"/>
          <w:rtl/>
        </w:rPr>
      </w:pPr>
      <w:r>
        <w:rPr>
          <w:rFonts w:cs="Guttman Adii" w:hint="cs"/>
          <w:szCs w:val="24"/>
          <w:rtl/>
        </w:rPr>
        <w:t xml:space="preserve">השתדלנו עד כמה שאפשר להכניס </w:t>
      </w:r>
      <w:r w:rsidR="00E05187">
        <w:rPr>
          <w:rFonts w:cs="Guttman Adii" w:hint="cs"/>
          <w:szCs w:val="24"/>
          <w:rtl/>
        </w:rPr>
        <w:t>את תיקוני הגירסאות</w:t>
      </w:r>
      <w:r w:rsidR="006F705A" w:rsidRPr="006F705A">
        <w:rPr>
          <w:rFonts w:cs="Guttman Adii"/>
          <w:szCs w:val="24"/>
          <w:rtl/>
        </w:rPr>
        <w:t xml:space="preserve"> שיש בביאור הגר"א </w:t>
      </w:r>
      <w:r w:rsidR="00E05187">
        <w:rPr>
          <w:rFonts w:cs="Guttman Adii" w:hint="cs"/>
          <w:szCs w:val="24"/>
          <w:rtl/>
        </w:rPr>
        <w:t>בפנים</w:t>
      </w:r>
      <w:r>
        <w:rPr>
          <w:rFonts w:cs="Guttman Adii" w:hint="cs"/>
          <w:szCs w:val="24"/>
          <w:rtl/>
        </w:rPr>
        <w:t xml:space="preserve"> כדי לפשט את הלימוד. במקום שהוא פשוט והוא טעות דמוכח </w:t>
      </w:r>
      <w:r w:rsidR="00E05187">
        <w:rPr>
          <w:rFonts w:cs="Guttman Adii" w:hint="cs"/>
          <w:szCs w:val="24"/>
          <w:rtl/>
        </w:rPr>
        <w:t>השמטנו את הגה</w:t>
      </w:r>
      <w:r>
        <w:rPr>
          <w:rFonts w:cs="Guttman Adii" w:hint="cs"/>
          <w:szCs w:val="24"/>
          <w:rtl/>
        </w:rPr>
        <w:t>ת הגר"א לאחר התיקון</w:t>
      </w:r>
      <w:r w:rsidR="00E05187">
        <w:rPr>
          <w:rFonts w:cs="Guttman Adii" w:hint="cs"/>
          <w:szCs w:val="24"/>
          <w:rtl/>
        </w:rPr>
        <w:t>.</w:t>
      </w:r>
      <w:r>
        <w:rPr>
          <w:rFonts w:cs="Guttman Adii" w:hint="cs"/>
          <w:szCs w:val="24"/>
          <w:rtl/>
        </w:rPr>
        <w:t xml:space="preserve"> ובמקומות שהוצרכנו להכרעה או כשהגר"א מציע הוכחות לגירסתו השתדלנו להביא גם את הגירסאות האחרות.</w:t>
      </w:r>
    </w:p>
    <w:p w:rsidR="006F705A" w:rsidRPr="006F705A" w:rsidRDefault="00E05187" w:rsidP="00A5136C">
      <w:pPr>
        <w:jc w:val="both"/>
        <w:rPr>
          <w:rFonts w:cs="Guttman Adii"/>
          <w:szCs w:val="24"/>
          <w:rtl/>
        </w:rPr>
      </w:pPr>
      <w:r>
        <w:rPr>
          <w:rFonts w:cs="Guttman Adii" w:hint="cs"/>
          <w:szCs w:val="24"/>
          <w:rtl/>
        </w:rPr>
        <w:t xml:space="preserve">בדפוס וילנא </w:t>
      </w:r>
      <w:r w:rsidR="00A5136C">
        <w:rPr>
          <w:rFonts w:cs="Guttman Adii" w:hint="cs"/>
          <w:szCs w:val="24"/>
          <w:rtl/>
        </w:rPr>
        <w:t xml:space="preserve">מלבד </w:t>
      </w:r>
      <w:r w:rsidR="00A5136C" w:rsidRPr="006F705A">
        <w:rPr>
          <w:rFonts w:cs="Guttman Adii"/>
          <w:szCs w:val="24"/>
          <w:rtl/>
        </w:rPr>
        <w:t xml:space="preserve">ביאורי הגר"א </w:t>
      </w:r>
      <w:r w:rsidR="00A5136C">
        <w:rPr>
          <w:rFonts w:cs="Guttman Adii" w:hint="cs"/>
          <w:szCs w:val="24"/>
          <w:rtl/>
        </w:rPr>
        <w:t xml:space="preserve">המודפסים על הדף, יש עוד ביאורים </w:t>
      </w:r>
      <w:r>
        <w:rPr>
          <w:rFonts w:cs="Guttman Adii" w:hint="cs"/>
          <w:szCs w:val="24"/>
          <w:rtl/>
        </w:rPr>
        <w:t>ב</w:t>
      </w:r>
      <w:r w:rsidR="006F705A" w:rsidRPr="006F705A">
        <w:rPr>
          <w:rFonts w:cs="Guttman Adii"/>
          <w:szCs w:val="24"/>
          <w:rtl/>
        </w:rPr>
        <w:t xml:space="preserve">תחילת הספר, </w:t>
      </w:r>
      <w:r>
        <w:rPr>
          <w:rFonts w:cs="Guttman Adii" w:hint="cs"/>
          <w:szCs w:val="24"/>
          <w:rtl/>
        </w:rPr>
        <w:t>ב</w:t>
      </w:r>
      <w:r w:rsidR="006F705A" w:rsidRPr="006F705A">
        <w:rPr>
          <w:rFonts w:cs="Guttman Adii"/>
          <w:szCs w:val="24"/>
          <w:rtl/>
        </w:rPr>
        <w:t>סוף ההקדמה</w:t>
      </w:r>
      <w:r>
        <w:rPr>
          <w:rFonts w:cs="Guttman Adii" w:hint="cs"/>
          <w:szCs w:val="24"/>
          <w:rtl/>
        </w:rPr>
        <w:t>,</w:t>
      </w:r>
      <w:r w:rsidR="006F705A" w:rsidRPr="006F705A">
        <w:rPr>
          <w:rFonts w:cs="Guttman Adii"/>
          <w:szCs w:val="24"/>
          <w:rtl/>
        </w:rPr>
        <w:t xml:space="preserve"> ו</w:t>
      </w:r>
      <w:r>
        <w:rPr>
          <w:rFonts w:cs="Guttman Adii" w:hint="cs"/>
          <w:szCs w:val="24"/>
          <w:rtl/>
        </w:rPr>
        <w:t>'</w:t>
      </w:r>
      <w:r w:rsidR="006F705A" w:rsidRPr="006F705A">
        <w:rPr>
          <w:rFonts w:cs="Guttman Adii"/>
          <w:szCs w:val="24"/>
          <w:rtl/>
        </w:rPr>
        <w:t>תשלום ליקוטי הגר"א</w:t>
      </w:r>
      <w:r>
        <w:rPr>
          <w:rFonts w:cs="Guttman Adii" w:hint="cs"/>
          <w:szCs w:val="24"/>
          <w:rtl/>
        </w:rPr>
        <w:t>'</w:t>
      </w:r>
      <w:r w:rsidR="006F705A" w:rsidRPr="006F705A">
        <w:rPr>
          <w:rFonts w:cs="Guttman Adii"/>
          <w:szCs w:val="24"/>
          <w:rtl/>
        </w:rPr>
        <w:t xml:space="preserve"> בסוף הספר</w:t>
      </w:r>
      <w:r w:rsidR="00A5136C">
        <w:rPr>
          <w:rFonts w:cs="Guttman Adii" w:hint="cs"/>
          <w:szCs w:val="24"/>
          <w:rtl/>
        </w:rPr>
        <w:t>, כל אלה הגיעו אחרי שסודר הדפוס ולא יכל להכניסם למקומם ולכן צרפם כמו שכתב המדפיס שם. את כולם</w:t>
      </w:r>
      <w:r w:rsidR="006F705A" w:rsidRPr="006F705A">
        <w:rPr>
          <w:rFonts w:cs="Guttman Adii"/>
          <w:szCs w:val="24"/>
          <w:rtl/>
        </w:rPr>
        <w:t xml:space="preserve"> </w:t>
      </w:r>
      <w:r>
        <w:rPr>
          <w:rFonts w:cs="Guttman Adii" w:hint="cs"/>
          <w:szCs w:val="24"/>
          <w:rtl/>
        </w:rPr>
        <w:t xml:space="preserve">הכנסנו </w:t>
      </w:r>
      <w:r w:rsidR="006F705A" w:rsidRPr="006F705A">
        <w:rPr>
          <w:rFonts w:cs="Guttman Adii"/>
          <w:szCs w:val="24"/>
          <w:rtl/>
        </w:rPr>
        <w:t xml:space="preserve">למקומם. </w:t>
      </w:r>
      <w:r w:rsidR="00A5136C">
        <w:rPr>
          <w:rFonts w:cs="Guttman Adii" w:hint="cs"/>
          <w:szCs w:val="24"/>
          <w:rtl/>
        </w:rPr>
        <w:t>כמו כן השתמשנו בדפוס אמסטרדם שכנראה הוא שהיה בידי הגר"א כדי להבין כמה סתירות שהיו בין ביאורי הגר"א שבאו ממקורות שונים וציינו הכל בפנים.</w:t>
      </w:r>
    </w:p>
    <w:p w:rsidR="00A5136C" w:rsidRDefault="006F705A" w:rsidP="00A5136C">
      <w:pPr>
        <w:jc w:val="both"/>
        <w:rPr>
          <w:rFonts w:cs="Guttman Adii"/>
          <w:szCs w:val="24"/>
          <w:rtl/>
        </w:rPr>
      </w:pPr>
      <w:r w:rsidRPr="006F705A">
        <w:rPr>
          <w:rFonts w:cs="Guttman Adii"/>
          <w:szCs w:val="24"/>
          <w:rtl/>
        </w:rPr>
        <w:t>אחרי חודשים רבים של עבודה (התחלתי בשנת תש"ע), בבואי להתיחס לסדר התיקונים המובא בביאור הגר"א שבתחילת תיקון ל"ב (המדפיס הביאו בסוף ההקדמה בדף יח ע"ב תחת הכותרת: א"ה, ראיתי להעלות כאן מ"ש הגר"א ז"ל ריש תי' ל"ב בענין סדר השבעין תיקונים ועל מה אדניהם הטבעו, וז"ל הזהב שם. עכ"ל)</w:t>
      </w:r>
      <w:r w:rsidR="00A5136C">
        <w:rPr>
          <w:rFonts w:cs="Guttman Adii" w:hint="cs"/>
          <w:szCs w:val="24"/>
          <w:rtl/>
        </w:rPr>
        <w:t xml:space="preserve">. אמנם אחרי כמה שינויים שעשיתי לאור דברי הגר"א הגעתי למבוי סתום כאשר הגר"א לא מפרט בדיוק מאיזו מילה עד איזו מילה צריך להיות במקום פלוני. ונדרשת הבנה עמוקה בדבריו כדי לדעת כיצד להגיע. </w:t>
      </w:r>
      <w:r w:rsidRPr="006F705A">
        <w:rPr>
          <w:rFonts w:cs="Guttman Adii"/>
          <w:szCs w:val="24"/>
          <w:rtl/>
        </w:rPr>
        <w:t xml:space="preserve">תקפני יאוש עד שחשבתי למשוך ידי </w:t>
      </w:r>
      <w:r w:rsidR="00A5136C">
        <w:rPr>
          <w:rFonts w:cs="Guttman Adii" w:hint="cs"/>
          <w:szCs w:val="24"/>
          <w:rtl/>
        </w:rPr>
        <w:t>ולמחוק הכל</w:t>
      </w:r>
      <w:r w:rsidRPr="006F705A">
        <w:rPr>
          <w:rFonts w:cs="Guttman Adii"/>
          <w:szCs w:val="24"/>
          <w:rtl/>
        </w:rPr>
        <w:t xml:space="preserve">. </w:t>
      </w:r>
      <w:r w:rsidR="00A5136C">
        <w:rPr>
          <w:rFonts w:cs="Guttman Adii" w:hint="cs"/>
          <w:szCs w:val="24"/>
          <w:rtl/>
        </w:rPr>
        <w:t>בסוף החזרתי לכמו שהיה. ולא עשיתי שום שינוי ע"פ דבריו שם. אמנם ניכר בדבריו שם שהמבין אותם על בוריים ידע להמשיך את עבודת ההגהה ולהשלימה לתפארת לעושיה ותפארת לו מן האדם.</w:t>
      </w:r>
    </w:p>
    <w:p w:rsidR="00E05187" w:rsidRDefault="006F705A" w:rsidP="00E05187">
      <w:pPr>
        <w:jc w:val="both"/>
        <w:rPr>
          <w:rFonts w:cs="Guttman Adii"/>
          <w:szCs w:val="24"/>
          <w:rtl/>
        </w:rPr>
      </w:pPr>
      <w:r w:rsidRPr="006F705A">
        <w:rPr>
          <w:rFonts w:cs="Guttman Adii"/>
          <w:szCs w:val="24"/>
          <w:rtl/>
        </w:rPr>
        <w:lastRenderedPageBreak/>
        <w:t>השינויים שעשיתי הם כך</w:t>
      </w:r>
      <w:r w:rsidR="00E05187">
        <w:rPr>
          <w:rFonts w:cs="Guttman Adii" w:hint="cs"/>
          <w:szCs w:val="24"/>
          <w:rtl/>
        </w:rPr>
        <w:t>.</w:t>
      </w:r>
      <w:r w:rsidRPr="006F705A">
        <w:rPr>
          <w:rFonts w:cs="Guttman Adii"/>
          <w:szCs w:val="24"/>
          <w:rtl/>
        </w:rPr>
        <w:t xml:space="preserve"> הגהות הגר"א הן </w:t>
      </w:r>
      <w:r w:rsidR="00E05187">
        <w:rPr>
          <w:rFonts w:cs="Guttman Adii" w:hint="cs"/>
          <w:szCs w:val="24"/>
          <w:rtl/>
        </w:rPr>
        <w:t xml:space="preserve">בד"כ כך </w:t>
      </w:r>
      <w:r w:rsidRPr="006F705A">
        <w:rPr>
          <w:rFonts w:cs="Guttman Adii"/>
          <w:szCs w:val="24"/>
          <w:rtl/>
        </w:rPr>
        <w:t xml:space="preserve">(בתיקון נ"ג למשל), </w:t>
      </w:r>
      <w:r w:rsidR="00E05187">
        <w:rPr>
          <w:rFonts w:cs="Guttman Adii" w:hint="cs"/>
          <w:szCs w:val="24"/>
          <w:rtl/>
        </w:rPr>
        <w:t>בדפוס וילנא כתוב:</w:t>
      </w:r>
    </w:p>
    <w:p w:rsidR="00E05187" w:rsidRDefault="006F705A" w:rsidP="00E05187">
      <w:pPr>
        <w:jc w:val="both"/>
        <w:rPr>
          <w:rFonts w:cs="Guttman Adii"/>
          <w:szCs w:val="24"/>
          <w:rtl/>
        </w:rPr>
      </w:pPr>
      <w:r w:rsidRPr="006F705A">
        <w:rPr>
          <w:rFonts w:cs="Guttman Adii"/>
          <w:b/>
          <w:bCs/>
          <w:szCs w:val="24"/>
          <w:rtl/>
        </w:rPr>
        <w:t>*א"ל הא כו' דמתמן.</w:t>
      </w:r>
      <w:r w:rsidRPr="006F705A">
        <w:rPr>
          <w:rFonts w:cs="Guttman Adii"/>
          <w:szCs w:val="24"/>
          <w:rtl/>
        </w:rPr>
        <w:t xml:space="preserve"> צ"ל </w:t>
      </w:r>
      <w:r w:rsidRPr="006F705A">
        <w:rPr>
          <w:rFonts w:cs="Guttman Adii"/>
          <w:b/>
          <w:bCs/>
          <w:szCs w:val="24"/>
          <w:rtl/>
        </w:rPr>
        <w:t xml:space="preserve">דתמן כו' </w:t>
      </w:r>
      <w:r w:rsidRPr="006F705A">
        <w:rPr>
          <w:rFonts w:cs="Guttman Adii"/>
          <w:szCs w:val="24"/>
          <w:rtl/>
        </w:rPr>
        <w:t xml:space="preserve">ור"ל מאי מן וכו': </w:t>
      </w:r>
    </w:p>
    <w:p w:rsidR="00E05187" w:rsidRDefault="00E05187" w:rsidP="00E05187">
      <w:pPr>
        <w:jc w:val="both"/>
        <w:rPr>
          <w:rFonts w:cs="Guttman Adii"/>
          <w:szCs w:val="24"/>
          <w:rtl/>
        </w:rPr>
      </w:pPr>
      <w:r>
        <w:rPr>
          <w:rFonts w:cs="Guttman Adii" w:hint="cs"/>
          <w:szCs w:val="24"/>
          <w:rtl/>
        </w:rPr>
        <w:t>ואני כתבתי:</w:t>
      </w:r>
    </w:p>
    <w:p w:rsidR="00E05187" w:rsidRPr="006F705A" w:rsidRDefault="00E05187" w:rsidP="00E05187">
      <w:pPr>
        <w:jc w:val="both"/>
        <w:rPr>
          <w:rFonts w:cs="Guttman Adii"/>
          <w:szCs w:val="24"/>
          <w:rtl/>
        </w:rPr>
      </w:pPr>
      <w:r w:rsidRPr="006F705A">
        <w:rPr>
          <w:rFonts w:cs="Guttman Adii"/>
          <w:b/>
          <w:bCs/>
          <w:szCs w:val="24"/>
          <w:rtl/>
        </w:rPr>
        <w:t>א"ל הא כו' דתמן כו'.</w:t>
      </w:r>
      <w:r w:rsidRPr="006F705A">
        <w:rPr>
          <w:rFonts w:cs="Guttman Adii"/>
          <w:szCs w:val="24"/>
          <w:rtl/>
        </w:rPr>
        <w:t xml:space="preserve"> רוצה לומר מאי מן וכו'.</w:t>
      </w:r>
    </w:p>
    <w:p w:rsidR="006F705A" w:rsidRDefault="006F705A" w:rsidP="00E05187">
      <w:pPr>
        <w:jc w:val="both"/>
        <w:rPr>
          <w:rFonts w:cs="Guttman Adii"/>
          <w:szCs w:val="24"/>
          <w:rtl/>
        </w:rPr>
      </w:pPr>
      <w:r w:rsidRPr="006F705A">
        <w:rPr>
          <w:rFonts w:cs="Guttman Adii"/>
          <w:szCs w:val="24"/>
          <w:rtl/>
        </w:rPr>
        <w:t xml:space="preserve">כבסיס לנוסח תיקוני הזוהר השתמשתי בשני נוסחים. </w:t>
      </w:r>
      <w:r w:rsidRPr="006F705A">
        <w:rPr>
          <w:rFonts w:cs="Guttman Adii"/>
          <w:szCs w:val="24"/>
          <w:u w:val="single"/>
          <w:rtl/>
        </w:rPr>
        <w:t>א'.</w:t>
      </w:r>
      <w:r w:rsidRPr="006F705A">
        <w:rPr>
          <w:rFonts w:cs="Guttman Adii"/>
          <w:szCs w:val="24"/>
          <w:rtl/>
        </w:rPr>
        <w:t xml:space="preserve"> תיקוני הזוהר עם ביאור הגר"א המודפס בשנת תרכ"ז. </w:t>
      </w:r>
      <w:r w:rsidRPr="006F705A">
        <w:rPr>
          <w:rFonts w:cs="Guttman Adii"/>
          <w:szCs w:val="24"/>
          <w:u w:val="single"/>
          <w:rtl/>
        </w:rPr>
        <w:t>ב'</w:t>
      </w:r>
      <w:r w:rsidRPr="006F705A">
        <w:rPr>
          <w:rFonts w:cs="Guttman Adii"/>
          <w:szCs w:val="24"/>
          <w:rtl/>
        </w:rPr>
        <w:t xml:space="preserve">. הנוסח המוקלד </w:t>
      </w:r>
      <w:r w:rsidR="00925B75">
        <w:rPr>
          <w:rFonts w:cs="Guttman Adii" w:hint="cs"/>
          <w:szCs w:val="24"/>
          <w:rtl/>
        </w:rPr>
        <w:t xml:space="preserve">והמנוקד </w:t>
      </w:r>
      <w:r w:rsidRPr="006F705A">
        <w:rPr>
          <w:rFonts w:cs="Guttman Adii"/>
          <w:szCs w:val="24"/>
          <w:rtl/>
        </w:rPr>
        <w:t>ש</w:t>
      </w:r>
      <w:r w:rsidR="00925B75">
        <w:rPr>
          <w:rFonts w:cs="Guttman Adii"/>
          <w:szCs w:val="24"/>
          <w:rtl/>
        </w:rPr>
        <w:t>קיבלתי מהאדמו"ר מהאלמין שליט"א</w:t>
      </w:r>
      <w:r w:rsidR="00925B75">
        <w:rPr>
          <w:rFonts w:cs="Guttman Adii" w:hint="cs"/>
          <w:szCs w:val="24"/>
          <w:rtl/>
        </w:rPr>
        <w:t>, שאינו תמיד זהה לנוסח א.</w:t>
      </w:r>
    </w:p>
    <w:p w:rsidR="00E05187" w:rsidRDefault="006F705A" w:rsidP="00401DCC">
      <w:pPr>
        <w:jc w:val="both"/>
        <w:rPr>
          <w:rFonts w:cs="Guttman Adii"/>
          <w:szCs w:val="24"/>
          <w:rtl/>
        </w:rPr>
      </w:pPr>
      <w:r w:rsidRPr="006F705A">
        <w:rPr>
          <w:rFonts w:cs="Guttman Adii"/>
          <w:szCs w:val="24"/>
          <w:rtl/>
        </w:rPr>
        <w:t xml:space="preserve">השינויים שהכנסתי בגירסה הם כך. במקומות שהגר"א הביע דעתו שגירסה מסוימת משובשת, לא הבאתי גירסה זו כלל. במקומות שרק תיקן את הגירסה (צ"ל או כצ"ל), השתדלתי להביא את שתי הגירסאות. יתכן שלא תמיד הצלחתי בכך מחמת הבדלי הגירסאות בין הגירסה המודפסת והגירסה המוקלדת שקיבלתי. בנוסח המודפס עצמו בהרבה מאד מקומות הדיבור המתחיל בביאור הגר"א שונה בנוסחו במקצת מהנוסח שבפנים, ואז בד"כ השארתי את התיקוני זוהר כפי שהוא ואת הביאור הגר"א כפי שהוא. אם כי, יש לציין שבמקרים רבים הנוסחה שקבלתי מהאדמו"ר תאמה יותר לביאור הגר"א מהנוסח המודפס בספר, ואז השארתי את הנוסח המוקלד. אמנם אחרי כל המאמץ לברר את גירסת הגר"א, עדיין יש כמה מקומות שהדברים נשארו לא לגמרי ברורים. </w:t>
      </w:r>
      <w:r w:rsidR="00925B75">
        <w:rPr>
          <w:rFonts w:cs="Guttman Adii" w:hint="cs"/>
          <w:szCs w:val="24"/>
          <w:rtl/>
        </w:rPr>
        <w:t xml:space="preserve">מה שלא היה ברור לי, לא נגעתי. </w:t>
      </w:r>
      <w:r w:rsidRPr="006F705A">
        <w:rPr>
          <w:rFonts w:cs="Guttman Adii"/>
          <w:szCs w:val="24"/>
          <w:rtl/>
        </w:rPr>
        <w:t xml:space="preserve">השתדלתי כמיטב יכולתי לא להכריע, ולהביא את האפשרויות לפני הלומדים. גם יתכן שהיו שיבושים בגירסה המוקלדת שקבלתי (שהעיד לי האדמו"ר שאינה מדויקת) שלא הבחנתי בהם. </w:t>
      </w:r>
    </w:p>
    <w:p w:rsidR="00E05187" w:rsidRDefault="00E05187" w:rsidP="00A5136C">
      <w:pPr>
        <w:jc w:val="both"/>
        <w:rPr>
          <w:rFonts w:cs="Guttman Adii"/>
          <w:szCs w:val="24"/>
          <w:rtl/>
        </w:rPr>
      </w:pPr>
      <w:r>
        <w:rPr>
          <w:rFonts w:cs="Guttman Adii" w:hint="cs"/>
          <w:szCs w:val="24"/>
          <w:rtl/>
        </w:rPr>
        <w:t>הבדל עקרוני ומהותי יש בין מהדורה זו למהדורת ה'מתוק מדבש'. שהם בחרו מכל הנוסחים כל פעם נוסח שנראה להם היותר נכון ע"פ כל המפרשים. וא</w:t>
      </w:r>
      <w:r w:rsidR="00A5136C">
        <w:rPr>
          <w:rFonts w:cs="Guttman Adii" w:hint="cs"/>
          <w:szCs w:val="24"/>
          <w:rtl/>
        </w:rPr>
        <w:t>נחנ</w:t>
      </w:r>
      <w:r>
        <w:rPr>
          <w:rFonts w:cs="Guttman Adii" w:hint="cs"/>
          <w:szCs w:val="24"/>
          <w:rtl/>
        </w:rPr>
        <w:t>ו כאן נצמדנו אך ורק להגר"א, בתקוה להתקרב אל הנוסח המושלם עפ"י הגר"א.</w:t>
      </w:r>
    </w:p>
    <w:p w:rsidR="006F705A" w:rsidRPr="006F705A" w:rsidRDefault="006F705A" w:rsidP="00A5136C">
      <w:pPr>
        <w:jc w:val="both"/>
        <w:rPr>
          <w:rFonts w:cs="Guttman Adii"/>
          <w:szCs w:val="24"/>
          <w:rtl/>
        </w:rPr>
      </w:pPr>
      <w:r w:rsidRPr="006F705A">
        <w:rPr>
          <w:rFonts w:cs="Guttman Adii"/>
          <w:szCs w:val="24"/>
          <w:rtl/>
        </w:rPr>
        <w:t xml:space="preserve">ואתחנן אל תלמידי החכמים היקרים, אנא העירו לי לתועלת המהדורות הבאות, ודונו אותי לכף זכות. ויהי רצון </w:t>
      </w:r>
      <w:r w:rsidR="00401DCC">
        <w:rPr>
          <w:rFonts w:cs="Guttman Adii" w:hint="cs"/>
          <w:szCs w:val="24"/>
          <w:rtl/>
        </w:rPr>
        <w:t>שנזכה להיות ממצדיקי הרבים כמ"ש הגר"א בתיקונים מז</w:t>
      </w:r>
      <w:r w:rsidR="00A5136C">
        <w:rPr>
          <w:rFonts w:cs="Guttman Adii" w:hint="cs"/>
          <w:szCs w:val="24"/>
          <w:rtl/>
        </w:rPr>
        <w:t>הר חדש</w:t>
      </w:r>
      <w:r w:rsidR="00401DCC">
        <w:rPr>
          <w:rFonts w:cs="Guttman Adii" w:hint="cs"/>
          <w:szCs w:val="24"/>
          <w:rtl/>
        </w:rPr>
        <w:t xml:space="preserve"> </w:t>
      </w:r>
      <w:r w:rsidR="00401DCC">
        <w:rPr>
          <w:rFonts w:cs="Guttman Adii"/>
          <w:szCs w:val="24"/>
          <w:rtl/>
        </w:rPr>
        <w:t>(דף עט ע"ד)</w:t>
      </w:r>
      <w:r w:rsidR="00A5136C">
        <w:rPr>
          <w:rFonts w:cs="Guttman Adii" w:hint="cs"/>
          <w:szCs w:val="24"/>
          <w:rtl/>
        </w:rPr>
        <w:t xml:space="preserve"> וז"ל</w:t>
      </w:r>
      <w:r w:rsidR="00401DCC" w:rsidRPr="00401DCC">
        <w:rPr>
          <w:rFonts w:cs="Guttman Adii"/>
          <w:szCs w:val="24"/>
          <w:rtl/>
        </w:rPr>
        <w:t>: הנהגת שמים להאיר תמיד על האר</w:t>
      </w:r>
      <w:r w:rsidR="00401DCC">
        <w:rPr>
          <w:rFonts w:cs="Guttman Adii"/>
          <w:szCs w:val="24"/>
          <w:rtl/>
        </w:rPr>
        <w:t>ץ כן מצדיקי הרבים מאירים לאחרים</w:t>
      </w:r>
      <w:r w:rsidR="00401DCC">
        <w:rPr>
          <w:rFonts w:cs="Guttman Adii" w:hint="cs"/>
          <w:szCs w:val="24"/>
          <w:rtl/>
        </w:rPr>
        <w:t>, עכ"ל, ו</w:t>
      </w:r>
      <w:r w:rsidRPr="006F705A">
        <w:rPr>
          <w:rFonts w:cs="Guttman Adii"/>
          <w:szCs w:val="24"/>
          <w:rtl/>
        </w:rPr>
        <w:t>ישוטטו רבים</w:t>
      </w:r>
      <w:r w:rsidR="00401DCC">
        <w:rPr>
          <w:rFonts w:cs="Guttman Adii" w:hint="cs"/>
          <w:szCs w:val="24"/>
          <w:rtl/>
        </w:rPr>
        <w:t>, ותרבה הדעת,</w:t>
      </w:r>
      <w:r w:rsidRPr="006F705A">
        <w:rPr>
          <w:rFonts w:cs="Guttman Adii"/>
          <w:szCs w:val="24"/>
          <w:rtl/>
        </w:rPr>
        <w:t xml:space="preserve"> וירבה עסק התורה בישראל לגאון ולתפארת, ויברכנו כולנו כאחד באור פניו, ונז</w:t>
      </w:r>
      <w:r w:rsidR="00401DCC">
        <w:rPr>
          <w:rFonts w:cs="Guttman Adii"/>
          <w:szCs w:val="24"/>
          <w:rtl/>
        </w:rPr>
        <w:t>כה כמהרה בימינו בבוא לציון גואל</w:t>
      </w:r>
      <w:r w:rsidR="00401DCC">
        <w:rPr>
          <w:rFonts w:cs="Guttman Adii" w:hint="cs"/>
          <w:szCs w:val="24"/>
          <w:rtl/>
        </w:rPr>
        <w:t xml:space="preserve"> בב"א סלה.</w:t>
      </w:r>
    </w:p>
    <w:p w:rsidR="006F705A" w:rsidRPr="006F705A" w:rsidRDefault="006F705A" w:rsidP="006F705A">
      <w:pPr>
        <w:jc w:val="both"/>
        <w:rPr>
          <w:rFonts w:cs="Guttman Adii"/>
          <w:szCs w:val="24"/>
          <w:rtl/>
        </w:rPr>
      </w:pPr>
      <w:r w:rsidRPr="006F705A">
        <w:rPr>
          <w:rFonts w:cs="Guttman Adii"/>
          <w:szCs w:val="24"/>
          <w:rtl/>
        </w:rPr>
        <w:t xml:space="preserve">בתיקוני הגירסאות התחלתי עם ההגהות של מדפיס הספר (משנת תרכ"ז) שסביבות העמוד וההגהות שבתוך הביאור הגר"א. וגם שם יש דברים סותרים זא"ז, כי גם הם באים מכמה מקורות, כמו שכותב המדפיס וז"ל: </w:t>
      </w:r>
    </w:p>
    <w:p w:rsidR="006F705A" w:rsidRPr="006F705A" w:rsidRDefault="006F705A" w:rsidP="006F705A">
      <w:pPr>
        <w:jc w:val="both"/>
        <w:rPr>
          <w:rFonts w:ascii="Courier New" w:hAnsi="Courier New" w:cs="Arial"/>
          <w:b/>
          <w:bCs/>
          <w:szCs w:val="24"/>
          <w:rtl/>
        </w:rPr>
      </w:pPr>
      <w:r w:rsidRPr="006F705A">
        <w:rPr>
          <w:rFonts w:ascii="Courier New" w:hAnsi="Courier New" w:cs="Arial"/>
          <w:b/>
          <w:bCs/>
          <w:szCs w:val="24"/>
          <w:rtl/>
        </w:rPr>
        <w:t xml:space="preserve">א"ה </w:t>
      </w:r>
      <w:r w:rsidRPr="006F705A">
        <w:rPr>
          <w:rFonts w:ascii="Courier New" w:hAnsi="Courier New" w:cs="Arial"/>
          <w:szCs w:val="24"/>
          <w:rtl/>
        </w:rPr>
        <w:t>כה הראני ה' סימן טוב בעמלי והקרה לידי הת"ז אשר היה ביד הגר"א והגיהו בעצם כי"ק ז"ל והוא הי' לי לעינים בסידור הדפסת ביאורו ז"ל. ומצאתי בו הרבה הגהות נוספות ע"מ שבא בביאורו וע"ל מ"ש בהגהות הנ"ל. וכן חנני הרב הגאון מוהר"י אב"ד דקלעצק נ"י ושלח אלי העתקת ביאוה"ג על הת"ז שהי' ביד אביו הגאון המופלא צי"ע מוהר"א זללה"ה הגאב"ד דקאליש ונמצאו בו הרבה הגהות שנ"ב בכי"ק. וכן יד הה"ג מוהר"י הנ"ל נטוי' לחננני בחיבור הנפלא מכבוד אביו הגאון הנ"ל אשר הוא מפתח לבא לגנזי נסתרות באוצרות כי"ק הגר"א ז"ל  כידוע אשר הגאון הנ"ל כל ימיו שם לבו בקודש על כתבי הגר"א ז"ל וזכה לזוהר אורם. אך לאשר עצמה עלי הנחיצה לכלות מלאכתי אין אתי לסדרם עתה בדפוס. ואיה"ש כאשר יחנני ה' להוציא לאור בקרב ביאורי הגר"א ז"ל על הזוהר עפ"י רשיון אעלם על מזבח הדפוס לרצון לפני כל יראי השם: עכ"ל.</w:t>
      </w:r>
    </w:p>
    <w:p w:rsidR="006F705A" w:rsidRPr="006F705A" w:rsidRDefault="006F705A" w:rsidP="006F705A">
      <w:pPr>
        <w:jc w:val="both"/>
        <w:rPr>
          <w:rFonts w:cs="Guttman Adii"/>
          <w:szCs w:val="24"/>
          <w:rtl/>
        </w:rPr>
      </w:pPr>
    </w:p>
    <w:p w:rsidR="006F705A" w:rsidRPr="006F705A" w:rsidRDefault="006F705A" w:rsidP="006F705A">
      <w:pPr>
        <w:jc w:val="both"/>
        <w:rPr>
          <w:rFonts w:cs="Guttman Adii"/>
          <w:szCs w:val="24"/>
          <w:rtl/>
        </w:rPr>
      </w:pPr>
      <w:r w:rsidRPr="006F705A">
        <w:rPr>
          <w:rFonts w:cs="Guttman Adii"/>
          <w:szCs w:val="24"/>
          <w:rtl/>
        </w:rPr>
        <w:t>ואח"כ, אבל בעדיפות גבוהה יותר, ההגהות המובאות בתחילת אותו הספר תחת הכותרת "הגהות הגר"א על הת"ז", שם מעיד המדפיס בזה הלשון</w:t>
      </w:r>
      <w:r w:rsidRPr="006F705A">
        <w:rPr>
          <w:rFonts w:ascii="Courier New" w:hAnsi="Courier New" w:cs="Arial"/>
          <w:szCs w:val="24"/>
          <w:rtl/>
        </w:rPr>
        <w:t xml:space="preserve">: </w:t>
      </w:r>
      <w:r w:rsidRPr="006F705A">
        <w:rPr>
          <w:rFonts w:ascii="Courier New" w:hAnsi="Courier New" w:cs="Arial"/>
          <w:b/>
          <w:bCs/>
          <w:szCs w:val="24"/>
          <w:rtl/>
        </w:rPr>
        <w:t>א"ה</w:t>
      </w:r>
      <w:r w:rsidRPr="006F705A">
        <w:rPr>
          <w:rFonts w:ascii="Courier New" w:hAnsi="Courier New" w:cs="Arial"/>
          <w:szCs w:val="24"/>
          <w:rtl/>
        </w:rPr>
        <w:t>, יזכר לטובה ולברכה כבוד הרב המופלג מוהר"ר מרדכי נ"י בהגאון מוהר"ר דובער, מו"ץ דפה ק"ק ווילנא, אשר בטוהר לבו חנני בשני כרכים גוף כי"ק הגר"א ז"ל על נסתר, למען הפיץ אורם להגדיל תורה ולהאדירה. (והגיעו לידי אחר הדפוס) ומצאתי בהם הגהות על הת"ז, ורובם לא באו בביאוה"ג, וכנראה שכתבם אחרי חיבור ביאורו ז"ל. והנני מסדרם פה כפי שהם מסודרים בגוף כי"ק ז"ל: עכ"ל.</w:t>
      </w:r>
      <w:r w:rsidRPr="006F705A">
        <w:rPr>
          <w:rFonts w:cs="Guttman Adii"/>
          <w:szCs w:val="24"/>
          <w:rtl/>
        </w:rPr>
        <w:t xml:space="preserve"> </w:t>
      </w:r>
    </w:p>
    <w:p w:rsidR="006F705A" w:rsidRPr="006F705A" w:rsidRDefault="006F705A" w:rsidP="006F705A">
      <w:pPr>
        <w:jc w:val="both"/>
        <w:rPr>
          <w:rFonts w:cs="Guttman Adii"/>
          <w:szCs w:val="24"/>
          <w:rtl/>
        </w:rPr>
      </w:pPr>
      <w:r w:rsidRPr="006F705A">
        <w:rPr>
          <w:rFonts w:cs="Guttman Adii"/>
          <w:szCs w:val="24"/>
          <w:rtl/>
        </w:rPr>
        <w:t>בהגהות שעשיתי על פי הגהות הגר"א אלו שממוהר"ר מרדכי במוהר"ר דובער, ציינתי סימון *.</w:t>
      </w:r>
    </w:p>
    <w:p w:rsidR="006F705A" w:rsidRPr="006F705A" w:rsidRDefault="006F705A" w:rsidP="006F705A">
      <w:pPr>
        <w:jc w:val="both"/>
        <w:rPr>
          <w:rFonts w:cs="Guttman Adii"/>
          <w:szCs w:val="24"/>
          <w:rtl/>
        </w:rPr>
      </w:pPr>
      <w:r w:rsidRPr="006F705A">
        <w:rPr>
          <w:rFonts w:cs="Guttman Adii"/>
          <w:szCs w:val="24"/>
          <w:rtl/>
        </w:rPr>
        <w:lastRenderedPageBreak/>
        <w:t>בסוף הספר הנ"ל בדף קס"ט יש "תשלום ליקוטי הגר"א". הכנסתי אותם בגוף הביאור עם סימון (מתל"ה).</w:t>
      </w:r>
    </w:p>
    <w:p w:rsidR="0064446A" w:rsidRPr="006F705A" w:rsidRDefault="0064446A" w:rsidP="00FB1D80">
      <w:pPr>
        <w:jc w:val="both"/>
        <w:rPr>
          <w:rFonts w:cs="Guttman Adii"/>
          <w:szCs w:val="24"/>
          <w:rtl/>
        </w:rPr>
      </w:pPr>
      <w:r>
        <w:rPr>
          <w:rFonts w:cs="Guttman Adii" w:hint="cs"/>
          <w:szCs w:val="24"/>
          <w:rtl/>
        </w:rPr>
        <w:t>בתחילת הספר תחת הכותרת 'ליקוטים מביאורי הגר"א על תז"ח', הכנסתים עם סימון כזה **.</w:t>
      </w:r>
    </w:p>
    <w:p w:rsidR="00575308" w:rsidRPr="006F705A" w:rsidRDefault="00575308" w:rsidP="00575308">
      <w:pPr>
        <w:jc w:val="both"/>
        <w:rPr>
          <w:rFonts w:cs="Guttman Adii"/>
          <w:szCs w:val="24"/>
          <w:rtl/>
        </w:rPr>
      </w:pPr>
      <w:r>
        <w:rPr>
          <w:rFonts w:cs="Guttman Adii" w:hint="cs"/>
          <w:szCs w:val="24"/>
          <w:rtl/>
        </w:rPr>
        <w:t>בסוף הקדמה ראשונה יש 'ליקוטים לביאור ההקדמה', הכנסתים עם סימון כזה #.</w:t>
      </w:r>
    </w:p>
    <w:p w:rsidR="006F705A" w:rsidRPr="006F705A" w:rsidRDefault="006F705A" w:rsidP="006F705A">
      <w:pPr>
        <w:jc w:val="both"/>
        <w:rPr>
          <w:rFonts w:cs="Guttman Adii"/>
          <w:szCs w:val="24"/>
          <w:rtl/>
        </w:rPr>
      </w:pPr>
      <w:r w:rsidRPr="006F705A">
        <w:rPr>
          <w:rFonts w:cs="Guttman Adii"/>
          <w:szCs w:val="24"/>
          <w:rtl/>
        </w:rPr>
        <w:t>מה שכתב הגר"א בריש תיקון ל"ב אודות סדר התיקונים (וכן בריש תיקון ל"ח) - לאלה לא התיחסתי כאל הגהות כלל, ולא שיניתי דבר בגללם, וזאת מכמה סיבות. א' היות שבגוף ביאור הגר"א שבאותם מקומות לא נזכרו הגהות אלו. ב' לא ברור בדיוק מאיפה עד איפה. ג' כל התיחסות הגר"א זצוק"ל בביאור הגר"א הוא על פי מספרי התיקונים הנוכחיים, אשר אם נשנה את מספרי התיקונים - נצטרך לשנות כל מקום שהוא מתייחס אליהם כגון עיין בתיקון כך וכך. ד' תיקון ל"ה לא נזכר מקומו. אמנם כתבתי הפניות בכל אותם מקומות למען יוכל הלומד לדלג וללמוד על פי הסדר הנ"ל.</w:t>
      </w:r>
    </w:p>
    <w:p w:rsidR="006F705A" w:rsidRPr="006F705A" w:rsidRDefault="006F705A" w:rsidP="006F705A">
      <w:pPr>
        <w:jc w:val="both"/>
        <w:rPr>
          <w:rFonts w:cs="Guttman Adii"/>
          <w:szCs w:val="24"/>
          <w:rtl/>
        </w:rPr>
      </w:pPr>
      <w:r w:rsidRPr="006F705A">
        <w:rPr>
          <w:rFonts w:cs="Guttman Adii"/>
          <w:szCs w:val="24"/>
          <w:rtl/>
        </w:rPr>
        <w:t>כמו כן, את כל סימוני הדפים השארתי אך ורק כפי שהם בספר המודפס (ולכן יש פעמים שאחרי תיקוני הגירסה של הגר"א סדר הדפים משתבש, למשל דף ד מופיע אחרי דף ה ועוד כאלה).</w:t>
      </w:r>
    </w:p>
    <w:p w:rsidR="006F705A" w:rsidRPr="006F705A" w:rsidRDefault="006F705A" w:rsidP="006F705A">
      <w:pPr>
        <w:jc w:val="both"/>
        <w:rPr>
          <w:rFonts w:cs="Guttman Adii"/>
          <w:szCs w:val="24"/>
          <w:rtl/>
        </w:rPr>
      </w:pPr>
      <w:r w:rsidRPr="006F705A">
        <w:rPr>
          <w:rFonts w:cs="Guttman Adii"/>
          <w:szCs w:val="24"/>
          <w:rtl/>
        </w:rPr>
        <w:t>באותם מקומות שהגר"א רק תיקן גירסה, ואני הכנסתי תיקון זה בגירסה עצמה, הוצאתי מביאור הגר"א את תיקוני הגירסאות שתיקנתי כבר בפנים. בהרבה מאד מקומות שילב הגר"א את תיקון הגירסה עם ההסבר בכותבו כצ"ל ור"ל, במקומות אלו השמטתי כצ"ל ו, והתחלתי ר"ל.</w:t>
      </w:r>
    </w:p>
    <w:p w:rsidR="006F705A" w:rsidRPr="006F705A" w:rsidRDefault="006F705A" w:rsidP="006F705A">
      <w:pPr>
        <w:jc w:val="both"/>
        <w:rPr>
          <w:rFonts w:cs="Guttman Adii"/>
          <w:szCs w:val="24"/>
          <w:rtl/>
        </w:rPr>
      </w:pPr>
      <w:r w:rsidRPr="006F705A">
        <w:rPr>
          <w:rFonts w:cs="Guttman Adii"/>
          <w:szCs w:val="24"/>
          <w:rtl/>
        </w:rPr>
        <w:t>הגר"א השתמש בביאורו בהרבה ראשי תיבות. יתכן אמנם שאחת הסיבות לכך היתה הצורך להסתיר את הדברים (כידוע שיטתו), וכן כתב בביאורו למשלי יא יג: וכן הוא בתורה, שהמגלה סודות התורה הוא הולך רכיל, אבל הנאמן רוח מכסה אפילו דבר שהוא נגלה וכו' אף על פי כן אינו מגלה אלא למי שראוי לזה עכ"ל, אך אעפ"כ, לאחר התפילה שיצילני משגיאות, ולאחר ההתנצלות ובקשת המחילה, החלטתי להשתדל לפותחן מתוך מחשבה שבדור יתום וחלש זה שלנו, גם לאחר פתיחת ראשי התיבות עדיין הדברים מכוסים מספיק, והוא רחום יכפר עוון.</w:t>
      </w:r>
    </w:p>
    <w:p w:rsidR="006F705A" w:rsidRPr="006F705A" w:rsidRDefault="006F705A" w:rsidP="006F705A">
      <w:pPr>
        <w:jc w:val="both"/>
        <w:rPr>
          <w:rFonts w:cs="Guttman Adii"/>
          <w:szCs w:val="24"/>
          <w:rtl/>
        </w:rPr>
      </w:pPr>
      <w:r w:rsidRPr="006F705A">
        <w:rPr>
          <w:rFonts w:cs="Guttman Adii"/>
          <w:szCs w:val="24"/>
          <w:rtl/>
        </w:rPr>
        <w:t xml:space="preserve">יהי רצון מלפני אדון כל שהקרבת ביאור הגר"א לשולחנם של תלמידי החכמים תתקבל ברצון לפני אדון כל ולפני יראיו. ר"ת שרגילים לקרוא בספרי קבלה כפי שהם, השארתי ועשיתי טבלה בסיום הפתיחה, כמו"כ ר"ת שהסתפקתי בפירושן - השארתי. </w:t>
      </w:r>
    </w:p>
    <w:p w:rsidR="006F705A" w:rsidRPr="006F705A" w:rsidRDefault="006F705A" w:rsidP="006F705A">
      <w:pPr>
        <w:jc w:val="both"/>
        <w:rPr>
          <w:rFonts w:cs="Guttman Adii"/>
          <w:szCs w:val="24"/>
          <w:rtl/>
        </w:rPr>
      </w:pPr>
    </w:p>
    <w:p w:rsidR="006F705A" w:rsidRPr="006F705A" w:rsidRDefault="006F705A" w:rsidP="006F705A">
      <w:pPr>
        <w:jc w:val="both"/>
        <w:rPr>
          <w:rFonts w:cs="Guttman Adii"/>
          <w:szCs w:val="24"/>
          <w:rtl/>
        </w:rPr>
      </w:pPr>
      <w:r w:rsidRPr="006F705A">
        <w:rPr>
          <w:rFonts w:cs="Guttman Adii"/>
          <w:szCs w:val="24"/>
          <w:rtl/>
        </w:rPr>
        <w:t xml:space="preserve">יבורכו מפי עליון </w:t>
      </w:r>
      <w:r w:rsidR="0071548B">
        <w:rPr>
          <w:rFonts w:cs="Guttman Adii" w:hint="cs"/>
          <w:szCs w:val="24"/>
          <w:rtl/>
        </w:rPr>
        <w:t xml:space="preserve">כל המסייעים במלאכה. </w:t>
      </w:r>
      <w:r w:rsidRPr="006F705A">
        <w:rPr>
          <w:rFonts w:cs="Guttman Adii"/>
          <w:szCs w:val="24"/>
          <w:rtl/>
        </w:rPr>
        <w:t>כבוד קדושת האדמו"ר מהאלמין שליט"א יחזקהו ה', שעודד אותי ואף נתן לי את תיקוני הזוהר מוקלד ומנוקד כבר. בני ובנותי היקרים אשר אזרו חיל לעבודת ההקלדה ובסייעתא דשמיא גדולה השלימוה על הצד היותר טוב, ועל כך יבורכו מפי עליון, ונוות ביתי היקרה אשר שלי ושלכם - שלה היא. ואני תפלה, שלא תצא תקלה מתחת ידי, וה' יעזרני על דבר כבוד שמו, שישוטטו רבים ותרבה הדעת, ושנזכה כלנו בזכות העסק בתורה הקדושה לשמה, בבא לציון גואל במהרה בימינו אמן.</w:t>
      </w:r>
    </w:p>
    <w:p w:rsidR="006F705A" w:rsidRPr="006F705A" w:rsidRDefault="006F705A" w:rsidP="006F705A">
      <w:pPr>
        <w:jc w:val="both"/>
        <w:rPr>
          <w:rFonts w:cs="Guttman Adii"/>
          <w:szCs w:val="24"/>
          <w:rtl/>
        </w:rPr>
      </w:pPr>
    </w:p>
    <w:p w:rsidR="006F705A" w:rsidRPr="006F705A" w:rsidRDefault="006F705A" w:rsidP="006F705A">
      <w:pPr>
        <w:jc w:val="both"/>
        <w:rPr>
          <w:rFonts w:cs="Guttman Adii"/>
          <w:szCs w:val="24"/>
          <w:rtl/>
        </w:rPr>
      </w:pPr>
      <w:r w:rsidRPr="006F705A">
        <w:rPr>
          <w:rFonts w:cs="Guttman Adii"/>
          <w:szCs w:val="24"/>
          <w:rtl/>
        </w:rPr>
        <w:t>להלן כמה כללים לתלמידים המתחילים:</w:t>
      </w:r>
    </w:p>
    <w:p w:rsidR="006F705A" w:rsidRPr="006F705A" w:rsidRDefault="006F705A" w:rsidP="006F705A">
      <w:pPr>
        <w:jc w:val="both"/>
        <w:rPr>
          <w:rFonts w:cs="Guttman Adii"/>
          <w:szCs w:val="24"/>
          <w:rtl/>
        </w:rPr>
      </w:pPr>
      <w:r w:rsidRPr="006F705A">
        <w:rPr>
          <w:rFonts w:cs="Guttman Adii"/>
          <w:szCs w:val="24"/>
          <w:rtl/>
        </w:rPr>
        <w:t>בכל מקום שהגר"א כותב שם ב', הכוונה שם בעמוד ב'. וכמו כן, שם א' הכוונה בעמוד א'.</w:t>
      </w:r>
    </w:p>
    <w:p w:rsidR="006F705A" w:rsidRPr="006F705A" w:rsidRDefault="006F705A" w:rsidP="006F705A">
      <w:pPr>
        <w:jc w:val="both"/>
        <w:rPr>
          <w:rFonts w:cs="Guttman Adii"/>
          <w:szCs w:val="24"/>
        </w:rPr>
      </w:pPr>
      <w:r w:rsidRPr="006F705A">
        <w:rPr>
          <w:rFonts w:cs="Guttman Adii"/>
          <w:szCs w:val="24"/>
          <w:rtl/>
        </w:rPr>
        <w:t>הספרים: רעיא מהימנא, סתרי תורה, מדרש הנעלם, ספרא דצניעותא, תוספתא, ס"א, אדרא רבה ואדרא זוטא, כל אלה הם חלק מהזוהר הקדוש. מה שאין כן: ספר יצירה, הבהיר, היכלות הם ספרים בפני עצמם. ח"א - הכוונה להשמטות שבסוף ח"א של הזהר.</w:t>
      </w:r>
    </w:p>
    <w:p w:rsidR="006F705A" w:rsidRPr="006F705A" w:rsidRDefault="006F705A" w:rsidP="006F705A">
      <w:pPr>
        <w:jc w:val="both"/>
        <w:rPr>
          <w:rFonts w:cs="Guttman Adii"/>
          <w:szCs w:val="24"/>
          <w:rtl/>
        </w:rPr>
      </w:pPr>
      <w:r w:rsidRPr="006F705A">
        <w:rPr>
          <w:rFonts w:cs="Guttman Adii"/>
          <w:szCs w:val="24"/>
          <w:rtl/>
        </w:rPr>
        <w:t>הגר"א זצוק"ל מפנה המון פעמים לעיין בזוהר, אשר על כן - מומלץ מאד למעיין הנלבב, להחזיק לידו ספר הזוהר הקדוש.</w:t>
      </w:r>
    </w:p>
    <w:p w:rsidR="006F705A" w:rsidRPr="006F705A" w:rsidRDefault="006F705A" w:rsidP="006F705A">
      <w:pPr>
        <w:jc w:val="both"/>
        <w:rPr>
          <w:rFonts w:cs="Guttman Adii"/>
          <w:szCs w:val="24"/>
          <w:rtl/>
        </w:rPr>
      </w:pPr>
    </w:p>
    <w:p w:rsidR="006F705A" w:rsidRPr="006F705A" w:rsidRDefault="006F705A" w:rsidP="006F705A">
      <w:pPr>
        <w:jc w:val="both"/>
        <w:rPr>
          <w:rFonts w:cs="Guttman Adii"/>
          <w:szCs w:val="24"/>
          <w:rtl/>
        </w:rPr>
      </w:pPr>
      <w:r w:rsidRPr="006F705A">
        <w:rPr>
          <w:rFonts w:cs="Guttman Adii"/>
          <w:szCs w:val="24"/>
          <w:rtl/>
        </w:rPr>
        <w:t>אסיים בתחינה לכל מי שמצא טעות שיואיל להודיעני על מנת שאוכל לתקן במהדורות הבאות, שהרי הוצאה מחדש של ספר גדול כזה לא תתכן כמעט ללא טעויות. ואשא תפילה לאדון הנפלאות, שחפץ ה' בידינו יצלח, ונזכה לראות באור החיים, בבא לציון גואל, ונשמח כולנו בשמחת אין סוף ב"ה בב"א.</w:t>
      </w:r>
    </w:p>
    <w:p w:rsidR="006F705A" w:rsidRPr="006F705A" w:rsidRDefault="006F705A" w:rsidP="006F705A">
      <w:pPr>
        <w:jc w:val="both"/>
        <w:rPr>
          <w:rFonts w:cs="Guttman Adii"/>
          <w:szCs w:val="24"/>
          <w:rtl/>
        </w:rPr>
      </w:pPr>
    </w:p>
    <w:p w:rsidR="006F705A" w:rsidRPr="006F705A" w:rsidRDefault="006F705A" w:rsidP="006F705A">
      <w:pPr>
        <w:jc w:val="center"/>
        <w:rPr>
          <w:rFonts w:cs="Arial"/>
          <w:b/>
          <w:bCs/>
          <w:szCs w:val="24"/>
          <w:rtl/>
        </w:rPr>
      </w:pPr>
      <w:r w:rsidRPr="006F705A">
        <w:rPr>
          <w:rFonts w:cs="Arial"/>
          <w:b/>
          <w:bCs/>
          <w:szCs w:val="24"/>
          <w:rtl/>
        </w:rPr>
        <w:t>מותר ומצוה להעתיק, להשתמש, או להוציא לאור ולפרסם קובץ זה בכל דרך, על מנת לזכות את הרבים ולהגדיל כבוד שמים ולהרבות תורה בישראל.</w:t>
      </w:r>
    </w:p>
    <w:p w:rsidR="006F705A" w:rsidRPr="006F705A" w:rsidRDefault="006F705A" w:rsidP="006F705A">
      <w:pPr>
        <w:jc w:val="both"/>
        <w:rPr>
          <w:rFonts w:cs="Guttman Adii"/>
          <w:szCs w:val="24"/>
          <w:rtl/>
        </w:rPr>
      </w:pPr>
    </w:p>
    <w:p w:rsidR="006F705A" w:rsidRPr="006F705A" w:rsidRDefault="006F705A" w:rsidP="006F705A">
      <w:pPr>
        <w:jc w:val="both"/>
        <w:rPr>
          <w:rFonts w:cs="Tahoma"/>
          <w:szCs w:val="24"/>
          <w:u w:val="single"/>
          <w:rtl/>
        </w:rPr>
      </w:pPr>
      <w:r w:rsidRPr="006F705A">
        <w:rPr>
          <w:rFonts w:cs="Tahoma"/>
          <w:szCs w:val="24"/>
          <w:u w:val="single"/>
          <w:rtl/>
        </w:rPr>
        <w:t>לוח ראשי תיבות שהשארנו (כפי שרגילים לקראם בספרי קבלה)</w:t>
      </w:r>
    </w:p>
    <w:p w:rsidR="006F705A" w:rsidRPr="006F705A" w:rsidRDefault="006F705A" w:rsidP="006F705A">
      <w:pPr>
        <w:jc w:val="both"/>
        <w:rPr>
          <w:rFonts w:cs="Tahoma"/>
          <w:szCs w:val="24"/>
          <w:rtl/>
        </w:rPr>
      </w:pPr>
    </w:p>
    <w:p w:rsidR="006F705A" w:rsidRPr="006F705A" w:rsidRDefault="006F705A" w:rsidP="00EA7581">
      <w:pPr>
        <w:rPr>
          <w:rFonts w:cs="Tahoma"/>
          <w:szCs w:val="24"/>
          <w:rtl/>
        </w:rPr>
      </w:pPr>
      <w:r w:rsidRPr="006F705A">
        <w:rPr>
          <w:rFonts w:cs="Tahoma"/>
          <w:szCs w:val="24"/>
          <w:rtl/>
        </w:rPr>
        <w:t>א"א</w:t>
      </w:r>
      <w:r w:rsidRPr="006F705A">
        <w:rPr>
          <w:rFonts w:cs="Tahoma"/>
          <w:szCs w:val="24"/>
          <w:rtl/>
        </w:rPr>
        <w:tab/>
      </w:r>
      <w:r w:rsidRPr="006F705A">
        <w:rPr>
          <w:rFonts w:cs="Tahoma"/>
          <w:szCs w:val="24"/>
          <w:rtl/>
        </w:rPr>
        <w:tab/>
        <w:t>אריך אנפין</w:t>
      </w:r>
    </w:p>
    <w:p w:rsidR="006F705A" w:rsidRPr="006F705A" w:rsidRDefault="006F705A" w:rsidP="00EA7581">
      <w:pPr>
        <w:rPr>
          <w:rFonts w:cs="Tahoma"/>
          <w:szCs w:val="24"/>
          <w:rtl/>
        </w:rPr>
      </w:pPr>
      <w:r w:rsidRPr="006F705A">
        <w:rPr>
          <w:rFonts w:cs="Tahoma"/>
          <w:szCs w:val="24"/>
          <w:rtl/>
        </w:rPr>
        <w:t>אבי"ע</w:t>
      </w:r>
      <w:r w:rsidRPr="006F705A">
        <w:rPr>
          <w:rFonts w:cs="Tahoma"/>
          <w:szCs w:val="24"/>
          <w:rtl/>
        </w:rPr>
        <w:tab/>
      </w:r>
      <w:r w:rsidRPr="006F705A">
        <w:rPr>
          <w:rFonts w:cs="Tahoma"/>
          <w:szCs w:val="24"/>
          <w:rtl/>
        </w:rPr>
        <w:tab/>
        <w:t>אצילות, בריאה, יצירה, עשיה</w:t>
      </w:r>
    </w:p>
    <w:p w:rsidR="006F705A" w:rsidRPr="006F705A" w:rsidRDefault="006F705A" w:rsidP="00EA7581">
      <w:pPr>
        <w:rPr>
          <w:rFonts w:cs="Tahoma"/>
          <w:szCs w:val="24"/>
          <w:rtl/>
        </w:rPr>
      </w:pPr>
      <w:r w:rsidRPr="006F705A">
        <w:rPr>
          <w:rFonts w:cs="Tahoma"/>
          <w:szCs w:val="24"/>
          <w:rtl/>
        </w:rPr>
        <w:t>או"א</w:t>
      </w:r>
      <w:r w:rsidRPr="006F705A">
        <w:rPr>
          <w:rFonts w:cs="Tahoma"/>
          <w:szCs w:val="24"/>
          <w:rtl/>
        </w:rPr>
        <w:tab/>
      </w:r>
      <w:r w:rsidRPr="006F705A">
        <w:rPr>
          <w:rFonts w:cs="Tahoma"/>
          <w:szCs w:val="24"/>
          <w:rtl/>
        </w:rPr>
        <w:tab/>
        <w:t>אבא ואמא</w:t>
      </w:r>
    </w:p>
    <w:p w:rsidR="006F705A" w:rsidRPr="006F705A" w:rsidRDefault="006F705A" w:rsidP="00EA7581">
      <w:pPr>
        <w:rPr>
          <w:rFonts w:cs="Tahoma"/>
          <w:szCs w:val="24"/>
          <w:rtl/>
        </w:rPr>
      </w:pPr>
      <w:r w:rsidRPr="006F705A">
        <w:rPr>
          <w:rFonts w:cs="Tahoma"/>
          <w:szCs w:val="24"/>
          <w:rtl/>
        </w:rPr>
        <w:t>אי"ק בכ"ר</w:t>
      </w:r>
      <w:r w:rsidRPr="006F705A">
        <w:rPr>
          <w:rFonts w:cs="Tahoma"/>
          <w:szCs w:val="24"/>
          <w:rtl/>
        </w:rPr>
        <w:tab/>
        <w:t>סוג של חילוף אותיות (כמו שיש א"ת ב"ש)</w:t>
      </w:r>
    </w:p>
    <w:p w:rsidR="006F705A" w:rsidRPr="006F705A" w:rsidRDefault="006F705A" w:rsidP="00EA7581">
      <w:pPr>
        <w:rPr>
          <w:rFonts w:cs="Tahoma"/>
          <w:szCs w:val="24"/>
          <w:rtl/>
        </w:rPr>
      </w:pPr>
      <w:r w:rsidRPr="006F705A">
        <w:rPr>
          <w:rFonts w:cs="Tahoma"/>
          <w:szCs w:val="24"/>
          <w:rtl/>
        </w:rPr>
        <w:t>אמ"ש</w:t>
      </w:r>
      <w:r w:rsidRPr="006F705A">
        <w:rPr>
          <w:rFonts w:cs="Tahoma"/>
          <w:szCs w:val="24"/>
          <w:rtl/>
        </w:rPr>
        <w:tab/>
      </w:r>
      <w:r w:rsidRPr="006F705A">
        <w:rPr>
          <w:rFonts w:cs="Tahoma"/>
          <w:szCs w:val="24"/>
          <w:rtl/>
        </w:rPr>
        <w:tab/>
        <w:t>אויר, מים, אש</w:t>
      </w:r>
    </w:p>
    <w:p w:rsidR="006F705A" w:rsidRPr="006F705A" w:rsidRDefault="006F705A" w:rsidP="00EA7581">
      <w:pPr>
        <w:rPr>
          <w:rFonts w:cs="Tahoma"/>
          <w:szCs w:val="24"/>
          <w:rtl/>
        </w:rPr>
      </w:pPr>
      <w:r w:rsidRPr="006F705A">
        <w:rPr>
          <w:rFonts w:cs="Tahoma"/>
          <w:szCs w:val="24"/>
          <w:rtl/>
        </w:rPr>
        <w:t>אש"ן</w:t>
      </w:r>
      <w:r w:rsidRPr="006F705A">
        <w:rPr>
          <w:rFonts w:cs="Tahoma"/>
          <w:szCs w:val="24"/>
          <w:rtl/>
        </w:rPr>
        <w:tab/>
      </w:r>
      <w:r w:rsidRPr="006F705A">
        <w:rPr>
          <w:rFonts w:cs="Tahoma"/>
          <w:szCs w:val="24"/>
          <w:rtl/>
        </w:rPr>
        <w:tab/>
        <w:t>אריה, שור, נשר</w:t>
      </w:r>
    </w:p>
    <w:p w:rsidR="006F705A" w:rsidRPr="006F705A" w:rsidRDefault="006F705A" w:rsidP="00EA7581">
      <w:pPr>
        <w:rPr>
          <w:rFonts w:cs="Tahoma"/>
          <w:szCs w:val="24"/>
          <w:rtl/>
        </w:rPr>
      </w:pPr>
      <w:r w:rsidRPr="006F705A">
        <w:rPr>
          <w:rFonts w:cs="Tahoma"/>
          <w:szCs w:val="24"/>
          <w:rtl/>
        </w:rPr>
        <w:t>ארמ"ע</w:t>
      </w:r>
      <w:r w:rsidRPr="006F705A">
        <w:rPr>
          <w:rFonts w:cs="Tahoma"/>
          <w:szCs w:val="24"/>
          <w:rtl/>
        </w:rPr>
        <w:tab/>
      </w:r>
      <w:r w:rsidRPr="006F705A">
        <w:rPr>
          <w:rFonts w:cs="Tahoma"/>
          <w:szCs w:val="24"/>
          <w:rtl/>
        </w:rPr>
        <w:tab/>
        <w:t>ד' יסודין, אש רוח מים עפר</w:t>
      </w:r>
    </w:p>
    <w:p w:rsidR="006F705A" w:rsidRPr="006F705A" w:rsidRDefault="006F705A" w:rsidP="00EA7581">
      <w:pPr>
        <w:rPr>
          <w:rFonts w:cs="Tahoma"/>
          <w:szCs w:val="24"/>
          <w:rtl/>
        </w:rPr>
      </w:pPr>
      <w:r w:rsidRPr="006F705A">
        <w:rPr>
          <w:rFonts w:cs="Tahoma"/>
          <w:szCs w:val="24"/>
          <w:rtl/>
        </w:rPr>
        <w:t>א"ק</w:t>
      </w:r>
      <w:r w:rsidRPr="006F705A">
        <w:rPr>
          <w:rFonts w:cs="Tahoma"/>
          <w:szCs w:val="24"/>
          <w:rtl/>
        </w:rPr>
        <w:tab/>
      </w:r>
      <w:r w:rsidRPr="006F705A">
        <w:rPr>
          <w:rFonts w:cs="Tahoma"/>
          <w:szCs w:val="24"/>
          <w:rtl/>
        </w:rPr>
        <w:tab/>
        <w:t>אדם קדמון, אדם קדמאה</w:t>
      </w:r>
    </w:p>
    <w:p w:rsidR="006F705A" w:rsidRPr="006F705A" w:rsidRDefault="006F705A" w:rsidP="00EA7581">
      <w:pPr>
        <w:rPr>
          <w:rFonts w:cs="Tahoma"/>
          <w:szCs w:val="24"/>
          <w:rtl/>
        </w:rPr>
      </w:pPr>
      <w:r w:rsidRPr="006F705A">
        <w:rPr>
          <w:rFonts w:cs="Tahoma"/>
          <w:szCs w:val="24"/>
          <w:rtl/>
        </w:rPr>
        <w:t>בג"ה</w:t>
      </w:r>
      <w:r w:rsidRPr="006F705A">
        <w:rPr>
          <w:rFonts w:cs="Tahoma"/>
          <w:szCs w:val="24"/>
          <w:rtl/>
        </w:rPr>
        <w:tab/>
      </w:r>
      <w:r w:rsidRPr="006F705A">
        <w:rPr>
          <w:rFonts w:cs="Tahoma"/>
          <w:szCs w:val="24"/>
          <w:rtl/>
        </w:rPr>
        <w:tab/>
        <w:t>בינה, גבורה, הוד (הקו השמאלי)</w:t>
      </w:r>
    </w:p>
    <w:p w:rsidR="006F705A" w:rsidRPr="006F705A" w:rsidRDefault="006F705A" w:rsidP="00EA7581">
      <w:pPr>
        <w:rPr>
          <w:rFonts w:cs="Tahoma"/>
          <w:szCs w:val="24"/>
          <w:rtl/>
        </w:rPr>
      </w:pPr>
      <w:r w:rsidRPr="006F705A">
        <w:rPr>
          <w:rFonts w:cs="Tahoma"/>
          <w:szCs w:val="24"/>
          <w:rtl/>
        </w:rPr>
        <w:t>בי"ע</w:t>
      </w:r>
      <w:r w:rsidRPr="006F705A">
        <w:rPr>
          <w:rFonts w:cs="Tahoma"/>
          <w:szCs w:val="24"/>
          <w:rtl/>
        </w:rPr>
        <w:tab/>
      </w:r>
      <w:r w:rsidRPr="006F705A">
        <w:rPr>
          <w:rFonts w:cs="Tahoma"/>
          <w:szCs w:val="24"/>
          <w:rtl/>
        </w:rPr>
        <w:tab/>
        <w:t>בריאה, יצירה, עשיה</w:t>
      </w:r>
    </w:p>
    <w:p w:rsidR="006F705A" w:rsidRPr="006F705A" w:rsidRDefault="006F705A" w:rsidP="00EA7581">
      <w:pPr>
        <w:rPr>
          <w:rFonts w:cs="Tahoma"/>
          <w:szCs w:val="24"/>
          <w:rtl/>
        </w:rPr>
      </w:pPr>
      <w:r w:rsidRPr="006F705A">
        <w:rPr>
          <w:rFonts w:cs="Tahoma"/>
          <w:szCs w:val="24"/>
          <w:rtl/>
        </w:rPr>
        <w:t>ב"ן</w:t>
      </w:r>
      <w:r w:rsidRPr="006F705A">
        <w:rPr>
          <w:rFonts w:cs="Tahoma"/>
          <w:szCs w:val="24"/>
          <w:rtl/>
        </w:rPr>
        <w:tab/>
      </w:r>
      <w:r w:rsidRPr="006F705A">
        <w:rPr>
          <w:rFonts w:cs="Tahoma"/>
          <w:szCs w:val="24"/>
          <w:rtl/>
        </w:rPr>
        <w:tab/>
        <w:t>יוד, קה, וו, קה</w:t>
      </w:r>
    </w:p>
    <w:p w:rsidR="006F705A" w:rsidRPr="006F705A" w:rsidRDefault="006F705A" w:rsidP="00EA7581">
      <w:pPr>
        <w:rPr>
          <w:rFonts w:cs="Tahoma"/>
          <w:szCs w:val="24"/>
          <w:rtl/>
        </w:rPr>
      </w:pPr>
      <w:r w:rsidRPr="006F705A">
        <w:rPr>
          <w:rFonts w:cs="Tahoma"/>
          <w:szCs w:val="24"/>
          <w:rtl/>
        </w:rPr>
        <w:t>ג"ר</w:t>
      </w:r>
      <w:r w:rsidRPr="006F705A">
        <w:rPr>
          <w:rFonts w:cs="Tahoma"/>
          <w:szCs w:val="24"/>
          <w:rtl/>
        </w:rPr>
        <w:tab/>
      </w:r>
      <w:r w:rsidRPr="006F705A">
        <w:rPr>
          <w:rFonts w:cs="Tahoma"/>
          <w:szCs w:val="24"/>
          <w:rtl/>
        </w:rPr>
        <w:tab/>
        <w:t>ג' (שלוש) ראשונות</w:t>
      </w:r>
    </w:p>
    <w:p w:rsidR="006F705A" w:rsidRPr="006F705A" w:rsidRDefault="006F705A" w:rsidP="00EA7581">
      <w:pPr>
        <w:rPr>
          <w:rFonts w:cs="Tahoma"/>
          <w:szCs w:val="24"/>
          <w:rtl/>
        </w:rPr>
      </w:pPr>
      <w:r w:rsidRPr="006F705A">
        <w:rPr>
          <w:rFonts w:cs="Tahoma"/>
          <w:szCs w:val="24"/>
          <w:rtl/>
        </w:rPr>
        <w:t>דו"נ</w:t>
      </w:r>
      <w:r w:rsidRPr="006F705A">
        <w:rPr>
          <w:rFonts w:cs="Tahoma"/>
          <w:szCs w:val="24"/>
          <w:rtl/>
        </w:rPr>
        <w:tab/>
      </w:r>
      <w:r w:rsidRPr="006F705A">
        <w:rPr>
          <w:rFonts w:cs="Tahoma"/>
          <w:szCs w:val="24"/>
          <w:rtl/>
        </w:rPr>
        <w:tab/>
        <w:t>דכר ונוקבא</w:t>
      </w:r>
    </w:p>
    <w:p w:rsidR="006F705A" w:rsidRPr="006F705A" w:rsidRDefault="006F705A" w:rsidP="00EA7581">
      <w:pPr>
        <w:rPr>
          <w:rFonts w:cs="Tahoma"/>
          <w:szCs w:val="24"/>
          <w:rtl/>
        </w:rPr>
      </w:pPr>
      <w:r w:rsidRPr="006F705A">
        <w:rPr>
          <w:rFonts w:cs="Tahoma"/>
          <w:szCs w:val="24"/>
          <w:rtl/>
        </w:rPr>
        <w:t>דת"י</w:t>
      </w:r>
      <w:r w:rsidRPr="006F705A">
        <w:rPr>
          <w:rFonts w:cs="Tahoma"/>
          <w:szCs w:val="24"/>
          <w:rtl/>
        </w:rPr>
        <w:tab/>
      </w:r>
      <w:r w:rsidRPr="006F705A">
        <w:rPr>
          <w:rFonts w:cs="Tahoma"/>
          <w:szCs w:val="24"/>
          <w:rtl/>
        </w:rPr>
        <w:tab/>
        <w:t>דעת, תפארת, יסוד (הקו האמצעי)</w:t>
      </w:r>
    </w:p>
    <w:p w:rsidR="006F705A" w:rsidRPr="006F705A" w:rsidRDefault="006F705A" w:rsidP="00EA7581">
      <w:pPr>
        <w:rPr>
          <w:rFonts w:cs="Tahoma"/>
          <w:szCs w:val="24"/>
          <w:rtl/>
        </w:rPr>
      </w:pPr>
      <w:r w:rsidRPr="006F705A">
        <w:rPr>
          <w:rFonts w:cs="Tahoma"/>
          <w:szCs w:val="24"/>
          <w:rtl/>
        </w:rPr>
        <w:t>ו"ק</w:t>
      </w:r>
      <w:r w:rsidRPr="006F705A">
        <w:rPr>
          <w:rFonts w:cs="Tahoma"/>
          <w:szCs w:val="24"/>
          <w:rtl/>
        </w:rPr>
        <w:tab/>
      </w:r>
      <w:r w:rsidRPr="006F705A">
        <w:rPr>
          <w:rFonts w:cs="Tahoma"/>
          <w:szCs w:val="24"/>
          <w:rtl/>
        </w:rPr>
        <w:tab/>
        <w:t>שש קצוות (ו' קצוות), לפעמים הכוונה ו"ה</w:t>
      </w:r>
    </w:p>
    <w:p w:rsidR="006F705A" w:rsidRPr="006F705A" w:rsidRDefault="006F705A" w:rsidP="00EA7581">
      <w:pPr>
        <w:rPr>
          <w:rFonts w:cs="Tahoma"/>
          <w:szCs w:val="24"/>
          <w:rtl/>
        </w:rPr>
      </w:pPr>
      <w:r w:rsidRPr="006F705A">
        <w:rPr>
          <w:rFonts w:cs="Tahoma"/>
          <w:szCs w:val="24"/>
          <w:rtl/>
        </w:rPr>
        <w:t>ז"א</w:t>
      </w:r>
      <w:r w:rsidRPr="006F705A">
        <w:rPr>
          <w:rFonts w:cs="Tahoma"/>
          <w:szCs w:val="24"/>
          <w:rtl/>
        </w:rPr>
        <w:tab/>
      </w:r>
      <w:r w:rsidRPr="006F705A">
        <w:rPr>
          <w:rFonts w:cs="Tahoma"/>
          <w:szCs w:val="24"/>
          <w:rtl/>
        </w:rPr>
        <w:tab/>
        <w:t>זעיר אנפין</w:t>
      </w:r>
    </w:p>
    <w:p w:rsidR="006F705A" w:rsidRPr="006F705A" w:rsidRDefault="006F705A" w:rsidP="00EA7581">
      <w:pPr>
        <w:rPr>
          <w:rFonts w:cs="Tahoma"/>
          <w:szCs w:val="24"/>
          <w:rtl/>
        </w:rPr>
      </w:pPr>
      <w:r w:rsidRPr="006F705A">
        <w:rPr>
          <w:rFonts w:cs="Tahoma"/>
          <w:szCs w:val="24"/>
          <w:rtl/>
        </w:rPr>
        <w:t>זו"ן</w:t>
      </w:r>
      <w:r w:rsidRPr="006F705A">
        <w:rPr>
          <w:rFonts w:cs="Tahoma"/>
          <w:szCs w:val="24"/>
          <w:rtl/>
        </w:rPr>
        <w:tab/>
      </w:r>
      <w:r w:rsidRPr="006F705A">
        <w:rPr>
          <w:rFonts w:cs="Tahoma"/>
          <w:szCs w:val="24"/>
          <w:rtl/>
        </w:rPr>
        <w:tab/>
        <w:t>זעיר אנפין ונוקביה (או ונוקבא), לפעמים זכר ונקבה</w:t>
      </w:r>
    </w:p>
    <w:p w:rsidR="006F705A" w:rsidRPr="006F705A" w:rsidRDefault="006F705A" w:rsidP="00EA7581">
      <w:pPr>
        <w:rPr>
          <w:rFonts w:cs="Tahoma"/>
          <w:szCs w:val="24"/>
          <w:rtl/>
        </w:rPr>
      </w:pPr>
      <w:r w:rsidRPr="006F705A">
        <w:rPr>
          <w:rFonts w:cs="Tahoma"/>
          <w:szCs w:val="24"/>
          <w:rtl/>
        </w:rPr>
        <w:t>ז"ק</w:t>
      </w:r>
      <w:r w:rsidRPr="006F705A">
        <w:rPr>
          <w:rFonts w:cs="Tahoma"/>
          <w:szCs w:val="24"/>
          <w:rtl/>
        </w:rPr>
        <w:tab/>
      </w:r>
      <w:r w:rsidRPr="006F705A">
        <w:rPr>
          <w:rFonts w:cs="Tahoma"/>
          <w:szCs w:val="24"/>
          <w:rtl/>
        </w:rPr>
        <w:tab/>
        <w:t>ז' (שבע) קצוות</w:t>
      </w:r>
    </w:p>
    <w:p w:rsidR="006F705A" w:rsidRPr="006F705A" w:rsidRDefault="006F705A" w:rsidP="00EA7581">
      <w:pPr>
        <w:rPr>
          <w:rFonts w:cs="Tahoma"/>
          <w:szCs w:val="24"/>
          <w:rtl/>
        </w:rPr>
      </w:pPr>
      <w:r w:rsidRPr="006F705A">
        <w:rPr>
          <w:rFonts w:cs="Tahoma"/>
          <w:szCs w:val="24"/>
          <w:rtl/>
        </w:rPr>
        <w:t>ז"ת</w:t>
      </w:r>
      <w:r w:rsidRPr="006F705A">
        <w:rPr>
          <w:rFonts w:cs="Tahoma"/>
          <w:szCs w:val="24"/>
          <w:rtl/>
        </w:rPr>
        <w:tab/>
      </w:r>
      <w:r w:rsidRPr="006F705A">
        <w:rPr>
          <w:rFonts w:cs="Tahoma"/>
          <w:szCs w:val="24"/>
          <w:rtl/>
        </w:rPr>
        <w:tab/>
        <w:t>ז' (שבע) תחתונות</w:t>
      </w:r>
    </w:p>
    <w:p w:rsidR="006F705A" w:rsidRPr="006F705A" w:rsidRDefault="006F705A" w:rsidP="00EA7581">
      <w:pPr>
        <w:rPr>
          <w:rFonts w:cs="Tahoma"/>
          <w:szCs w:val="24"/>
          <w:rtl/>
        </w:rPr>
      </w:pPr>
      <w:r w:rsidRPr="006F705A">
        <w:rPr>
          <w:rFonts w:cs="Tahoma"/>
          <w:szCs w:val="24"/>
          <w:rtl/>
        </w:rPr>
        <w:t>חב"ד</w:t>
      </w:r>
      <w:r w:rsidRPr="006F705A">
        <w:rPr>
          <w:rFonts w:cs="Tahoma"/>
          <w:szCs w:val="24"/>
          <w:rtl/>
        </w:rPr>
        <w:tab/>
      </w:r>
      <w:r w:rsidRPr="006F705A">
        <w:rPr>
          <w:rFonts w:cs="Tahoma"/>
          <w:szCs w:val="24"/>
          <w:rtl/>
        </w:rPr>
        <w:tab/>
        <w:t>חכמה, בינה, דעת</w:t>
      </w:r>
    </w:p>
    <w:p w:rsidR="006F705A" w:rsidRPr="006F705A" w:rsidRDefault="006F705A" w:rsidP="00EA7581">
      <w:pPr>
        <w:rPr>
          <w:rFonts w:cs="Tahoma"/>
          <w:szCs w:val="24"/>
          <w:rtl/>
        </w:rPr>
      </w:pPr>
      <w:r w:rsidRPr="006F705A">
        <w:rPr>
          <w:rFonts w:cs="Tahoma"/>
          <w:szCs w:val="24"/>
          <w:rtl/>
        </w:rPr>
        <w:t>ח"ג</w:t>
      </w:r>
      <w:r w:rsidRPr="006F705A">
        <w:rPr>
          <w:rFonts w:cs="Tahoma"/>
          <w:szCs w:val="24"/>
          <w:rtl/>
        </w:rPr>
        <w:tab/>
      </w:r>
      <w:r w:rsidRPr="006F705A">
        <w:rPr>
          <w:rFonts w:cs="Tahoma"/>
          <w:szCs w:val="24"/>
          <w:rtl/>
        </w:rPr>
        <w:tab/>
        <w:t>חסדים, גבורות (או חסד, גבורה)</w:t>
      </w:r>
    </w:p>
    <w:p w:rsidR="006F705A" w:rsidRPr="006F705A" w:rsidRDefault="006F705A" w:rsidP="00EA7581">
      <w:pPr>
        <w:rPr>
          <w:rFonts w:cs="Tahoma"/>
          <w:szCs w:val="24"/>
          <w:rtl/>
        </w:rPr>
      </w:pPr>
      <w:r w:rsidRPr="006F705A">
        <w:rPr>
          <w:rFonts w:cs="Tahoma"/>
          <w:szCs w:val="24"/>
          <w:rtl/>
        </w:rPr>
        <w:t>חג"ת</w:t>
      </w:r>
      <w:r w:rsidRPr="006F705A">
        <w:rPr>
          <w:rFonts w:cs="Tahoma"/>
          <w:szCs w:val="24"/>
          <w:rtl/>
        </w:rPr>
        <w:tab/>
      </w:r>
      <w:r w:rsidRPr="006F705A">
        <w:rPr>
          <w:rFonts w:cs="Tahoma"/>
          <w:szCs w:val="24"/>
          <w:rtl/>
        </w:rPr>
        <w:tab/>
        <w:t>חסד, גבורה, תפארת</w:t>
      </w:r>
    </w:p>
    <w:p w:rsidR="006F705A" w:rsidRPr="006F705A" w:rsidRDefault="006F705A" w:rsidP="00EA7581">
      <w:pPr>
        <w:rPr>
          <w:rFonts w:cs="Tahoma"/>
          <w:szCs w:val="24"/>
          <w:rtl/>
        </w:rPr>
      </w:pPr>
      <w:r w:rsidRPr="006F705A">
        <w:rPr>
          <w:rFonts w:cs="Tahoma"/>
          <w:szCs w:val="24"/>
          <w:rtl/>
        </w:rPr>
        <w:t>חגת"ם</w:t>
      </w:r>
      <w:r w:rsidRPr="006F705A">
        <w:rPr>
          <w:rFonts w:cs="Tahoma"/>
          <w:szCs w:val="24"/>
          <w:rtl/>
        </w:rPr>
        <w:tab/>
        <w:t>חסד, גבורה, תפארת, מלכות</w:t>
      </w:r>
    </w:p>
    <w:p w:rsidR="006F705A" w:rsidRPr="006F705A" w:rsidRDefault="006F705A" w:rsidP="00EA7581">
      <w:pPr>
        <w:rPr>
          <w:rFonts w:cs="Tahoma"/>
          <w:szCs w:val="24"/>
          <w:rtl/>
        </w:rPr>
      </w:pPr>
      <w:r w:rsidRPr="006F705A">
        <w:rPr>
          <w:rFonts w:cs="Tahoma"/>
          <w:szCs w:val="24"/>
          <w:rtl/>
        </w:rPr>
        <w:t>חד"ר</w:t>
      </w:r>
      <w:r w:rsidRPr="006F705A">
        <w:rPr>
          <w:rFonts w:cs="Tahoma"/>
          <w:szCs w:val="24"/>
          <w:rtl/>
        </w:rPr>
        <w:tab/>
      </w:r>
      <w:r w:rsidRPr="006F705A">
        <w:rPr>
          <w:rFonts w:cs="Tahoma"/>
          <w:szCs w:val="24"/>
          <w:rtl/>
        </w:rPr>
        <w:tab/>
        <w:t>חסד, דין, רחמים (ג' קווים)</w:t>
      </w:r>
    </w:p>
    <w:p w:rsidR="006F705A" w:rsidRPr="006F705A" w:rsidRDefault="006F705A" w:rsidP="00EA7581">
      <w:pPr>
        <w:rPr>
          <w:rFonts w:cs="Tahoma"/>
          <w:szCs w:val="24"/>
          <w:rtl/>
        </w:rPr>
      </w:pPr>
      <w:r w:rsidRPr="006F705A">
        <w:rPr>
          <w:rFonts w:cs="Tahoma"/>
          <w:szCs w:val="24"/>
          <w:rtl/>
        </w:rPr>
        <w:t>חו"ב</w:t>
      </w:r>
      <w:r w:rsidRPr="006F705A">
        <w:rPr>
          <w:rFonts w:cs="Tahoma"/>
          <w:szCs w:val="24"/>
          <w:rtl/>
        </w:rPr>
        <w:tab/>
      </w:r>
      <w:r w:rsidRPr="006F705A">
        <w:rPr>
          <w:rFonts w:cs="Tahoma"/>
          <w:szCs w:val="24"/>
          <w:rtl/>
        </w:rPr>
        <w:tab/>
        <w:t>חכמה ובינה</w:t>
      </w:r>
    </w:p>
    <w:p w:rsidR="006F705A" w:rsidRPr="006F705A" w:rsidRDefault="006F705A" w:rsidP="00EA7581">
      <w:pPr>
        <w:rPr>
          <w:rFonts w:cs="Tahoma"/>
          <w:szCs w:val="24"/>
          <w:rtl/>
        </w:rPr>
      </w:pPr>
      <w:r w:rsidRPr="006F705A">
        <w:rPr>
          <w:rFonts w:cs="Tahoma"/>
          <w:szCs w:val="24"/>
          <w:rtl/>
        </w:rPr>
        <w:t>חו"ג</w:t>
      </w:r>
      <w:r w:rsidRPr="006F705A">
        <w:rPr>
          <w:rFonts w:cs="Tahoma"/>
          <w:szCs w:val="24"/>
          <w:rtl/>
        </w:rPr>
        <w:tab/>
      </w:r>
      <w:r w:rsidRPr="006F705A">
        <w:rPr>
          <w:rFonts w:cs="Tahoma"/>
          <w:szCs w:val="24"/>
          <w:rtl/>
        </w:rPr>
        <w:tab/>
        <w:t xml:space="preserve">חסדים וגבורות </w:t>
      </w:r>
      <w:r w:rsidRPr="006F705A">
        <w:rPr>
          <w:rFonts w:cs="Arial"/>
          <w:rtl/>
        </w:rPr>
        <w:t>או</w:t>
      </w:r>
      <w:r w:rsidRPr="006F705A">
        <w:rPr>
          <w:rFonts w:cs="Tahoma"/>
          <w:szCs w:val="24"/>
          <w:rtl/>
        </w:rPr>
        <w:t xml:space="preserve"> חסד וגבורה</w:t>
      </w:r>
    </w:p>
    <w:p w:rsidR="006F705A" w:rsidRPr="006F705A" w:rsidRDefault="006F705A" w:rsidP="00EA7581">
      <w:pPr>
        <w:rPr>
          <w:rFonts w:cs="Tahoma"/>
          <w:szCs w:val="24"/>
          <w:rtl/>
        </w:rPr>
      </w:pPr>
      <w:r w:rsidRPr="006F705A">
        <w:rPr>
          <w:rFonts w:cs="Tahoma"/>
          <w:szCs w:val="24"/>
          <w:rtl/>
        </w:rPr>
        <w:t>חח"ן</w:t>
      </w:r>
      <w:r w:rsidRPr="006F705A">
        <w:rPr>
          <w:rFonts w:cs="Tahoma"/>
          <w:szCs w:val="24"/>
          <w:rtl/>
        </w:rPr>
        <w:tab/>
      </w:r>
      <w:r w:rsidRPr="006F705A">
        <w:rPr>
          <w:rFonts w:cs="Tahoma"/>
          <w:szCs w:val="24"/>
          <w:rtl/>
        </w:rPr>
        <w:tab/>
        <w:t>חכמה, חסד, נצח (הקו הימני)</w:t>
      </w:r>
    </w:p>
    <w:p w:rsidR="006F705A" w:rsidRPr="006F705A" w:rsidRDefault="006F705A" w:rsidP="00EA7581">
      <w:pPr>
        <w:rPr>
          <w:rFonts w:cs="Tahoma"/>
          <w:szCs w:val="24"/>
          <w:rtl/>
        </w:rPr>
      </w:pPr>
      <w:r w:rsidRPr="006F705A">
        <w:rPr>
          <w:rFonts w:cs="Tahoma"/>
          <w:szCs w:val="24"/>
          <w:rtl/>
        </w:rPr>
        <w:t>ח"ס</w:t>
      </w:r>
      <w:r w:rsidRPr="006F705A">
        <w:rPr>
          <w:rFonts w:cs="Tahoma"/>
          <w:szCs w:val="24"/>
          <w:rtl/>
        </w:rPr>
        <w:tab/>
      </w:r>
      <w:r w:rsidRPr="006F705A">
        <w:rPr>
          <w:rFonts w:cs="Tahoma"/>
          <w:szCs w:val="24"/>
          <w:rtl/>
        </w:rPr>
        <w:tab/>
        <w:t>חכמה סתימאה</w:t>
      </w:r>
    </w:p>
    <w:p w:rsidR="006F705A" w:rsidRPr="006F705A" w:rsidRDefault="006F705A" w:rsidP="00EA7581">
      <w:pPr>
        <w:rPr>
          <w:rFonts w:cs="Tahoma"/>
          <w:szCs w:val="24"/>
          <w:rtl/>
        </w:rPr>
      </w:pPr>
      <w:r w:rsidRPr="006F705A">
        <w:rPr>
          <w:rFonts w:cs="Tahoma"/>
          <w:szCs w:val="24"/>
          <w:rtl/>
        </w:rPr>
        <w:t>חש"ח</w:t>
      </w:r>
      <w:r w:rsidRPr="006F705A">
        <w:rPr>
          <w:rFonts w:cs="Tahoma"/>
          <w:szCs w:val="24"/>
          <w:rtl/>
        </w:rPr>
        <w:tab/>
      </w:r>
      <w:r w:rsidRPr="006F705A">
        <w:rPr>
          <w:rFonts w:cs="Tahoma"/>
          <w:szCs w:val="24"/>
          <w:rtl/>
        </w:rPr>
        <w:tab/>
        <w:t>חולם, שורק, חירק</w:t>
      </w:r>
    </w:p>
    <w:p w:rsidR="006F705A" w:rsidRPr="006F705A" w:rsidRDefault="006F705A" w:rsidP="00EA7581">
      <w:pPr>
        <w:rPr>
          <w:rFonts w:cs="Tahoma"/>
          <w:szCs w:val="24"/>
          <w:rtl/>
        </w:rPr>
      </w:pPr>
      <w:r w:rsidRPr="006F705A">
        <w:rPr>
          <w:rFonts w:cs="Tahoma"/>
          <w:szCs w:val="24"/>
          <w:rtl/>
        </w:rPr>
        <w:t>יב"ק</w:t>
      </w:r>
      <w:r w:rsidRPr="006F705A">
        <w:rPr>
          <w:rFonts w:cs="Tahoma"/>
          <w:szCs w:val="24"/>
          <w:rtl/>
        </w:rPr>
        <w:tab/>
      </w:r>
      <w:r w:rsidRPr="006F705A">
        <w:rPr>
          <w:rFonts w:cs="Tahoma"/>
          <w:szCs w:val="24"/>
          <w:rtl/>
        </w:rPr>
        <w:tab/>
        <w:t>ייחוד, ברכה, קדושה</w:t>
      </w:r>
    </w:p>
    <w:p w:rsidR="006F705A" w:rsidRPr="006F705A" w:rsidRDefault="006F705A" w:rsidP="00EA7581">
      <w:pPr>
        <w:rPr>
          <w:rFonts w:cs="Tahoma"/>
          <w:szCs w:val="24"/>
          <w:rtl/>
        </w:rPr>
      </w:pPr>
      <w:r w:rsidRPr="006F705A">
        <w:rPr>
          <w:rFonts w:cs="Tahoma"/>
          <w:szCs w:val="24"/>
          <w:rtl/>
        </w:rPr>
        <w:t>כח"ב</w:t>
      </w:r>
      <w:r w:rsidRPr="006F705A">
        <w:rPr>
          <w:rFonts w:cs="Tahoma"/>
          <w:szCs w:val="24"/>
          <w:rtl/>
        </w:rPr>
        <w:tab/>
      </w:r>
      <w:r w:rsidRPr="006F705A">
        <w:rPr>
          <w:rFonts w:cs="Tahoma"/>
          <w:szCs w:val="24"/>
          <w:rtl/>
        </w:rPr>
        <w:tab/>
        <w:t>כתר, חכמה, בינה</w:t>
      </w:r>
    </w:p>
    <w:p w:rsidR="006F705A" w:rsidRPr="006F705A" w:rsidRDefault="006F705A" w:rsidP="00EA7581">
      <w:pPr>
        <w:rPr>
          <w:rFonts w:cs="Tahoma"/>
          <w:szCs w:val="24"/>
          <w:rtl/>
        </w:rPr>
      </w:pPr>
      <w:r w:rsidRPr="006F705A">
        <w:rPr>
          <w:rFonts w:cs="Tahoma"/>
          <w:szCs w:val="24"/>
          <w:rtl/>
        </w:rPr>
        <w:t>כת"י</w:t>
      </w:r>
      <w:r w:rsidRPr="006F705A">
        <w:rPr>
          <w:rFonts w:cs="Tahoma"/>
          <w:szCs w:val="24"/>
          <w:rtl/>
        </w:rPr>
        <w:tab/>
      </w:r>
      <w:r w:rsidRPr="006F705A">
        <w:rPr>
          <w:rFonts w:cs="Tahoma"/>
          <w:szCs w:val="24"/>
          <w:rtl/>
        </w:rPr>
        <w:tab/>
        <w:t>כתר, תפארת, יסוד (הקו האמצעי)</w:t>
      </w:r>
    </w:p>
    <w:p w:rsidR="006F705A" w:rsidRPr="006F705A" w:rsidRDefault="006F705A" w:rsidP="00EA7581">
      <w:pPr>
        <w:rPr>
          <w:rFonts w:cs="Tahoma"/>
          <w:szCs w:val="24"/>
          <w:rtl/>
        </w:rPr>
      </w:pPr>
      <w:r w:rsidRPr="006F705A">
        <w:rPr>
          <w:rFonts w:cs="Tahoma"/>
          <w:szCs w:val="24"/>
          <w:rtl/>
        </w:rPr>
        <w:t>מ"ד</w:t>
      </w:r>
      <w:r w:rsidRPr="006F705A">
        <w:rPr>
          <w:rFonts w:cs="Tahoma"/>
          <w:szCs w:val="24"/>
          <w:rtl/>
        </w:rPr>
        <w:tab/>
      </w:r>
      <w:r w:rsidRPr="006F705A">
        <w:rPr>
          <w:rFonts w:cs="Tahoma"/>
          <w:szCs w:val="24"/>
          <w:rtl/>
        </w:rPr>
        <w:tab/>
        <w:t>מיין דכורין</w:t>
      </w:r>
    </w:p>
    <w:p w:rsidR="006F705A" w:rsidRPr="006F705A" w:rsidRDefault="006F705A" w:rsidP="00EA7581">
      <w:pPr>
        <w:rPr>
          <w:rFonts w:cs="Tahoma"/>
          <w:szCs w:val="24"/>
          <w:rtl/>
        </w:rPr>
      </w:pPr>
      <w:r w:rsidRPr="006F705A">
        <w:rPr>
          <w:rFonts w:cs="Tahoma"/>
          <w:szCs w:val="24"/>
          <w:rtl/>
        </w:rPr>
        <w:t>מ"ה</w:t>
      </w:r>
      <w:r w:rsidRPr="006F705A">
        <w:rPr>
          <w:rFonts w:cs="Tahoma"/>
          <w:szCs w:val="24"/>
          <w:rtl/>
        </w:rPr>
        <w:tab/>
      </w:r>
      <w:r w:rsidRPr="006F705A">
        <w:rPr>
          <w:rFonts w:cs="Tahoma"/>
          <w:szCs w:val="24"/>
          <w:rtl/>
        </w:rPr>
        <w:tab/>
        <w:t>יוד, קא, ואו, קא</w:t>
      </w:r>
    </w:p>
    <w:p w:rsidR="006F705A" w:rsidRPr="006F705A" w:rsidRDefault="006F705A" w:rsidP="00EA7581">
      <w:pPr>
        <w:rPr>
          <w:rFonts w:cs="Tahoma"/>
          <w:szCs w:val="24"/>
          <w:rtl/>
        </w:rPr>
      </w:pPr>
      <w:r w:rsidRPr="006F705A">
        <w:rPr>
          <w:rFonts w:cs="Tahoma"/>
          <w:szCs w:val="24"/>
          <w:rtl/>
        </w:rPr>
        <w:t>מט"ט</w:t>
      </w:r>
      <w:r w:rsidRPr="006F705A">
        <w:rPr>
          <w:rFonts w:cs="Tahoma"/>
          <w:szCs w:val="24"/>
          <w:rtl/>
        </w:rPr>
        <w:tab/>
      </w:r>
      <w:r w:rsidRPr="006F705A">
        <w:rPr>
          <w:rFonts w:cs="Tahoma"/>
          <w:szCs w:val="24"/>
          <w:rtl/>
        </w:rPr>
        <w:tab/>
        <w:t>מטטרון</w:t>
      </w:r>
    </w:p>
    <w:p w:rsidR="006F705A" w:rsidRPr="006F705A" w:rsidRDefault="006F705A" w:rsidP="00EA7581">
      <w:pPr>
        <w:rPr>
          <w:rFonts w:cs="Tahoma"/>
          <w:szCs w:val="24"/>
          <w:rtl/>
        </w:rPr>
      </w:pPr>
      <w:r w:rsidRPr="006F705A">
        <w:rPr>
          <w:rFonts w:cs="Tahoma"/>
          <w:szCs w:val="24"/>
          <w:rtl/>
        </w:rPr>
        <w:t>מ"ן</w:t>
      </w:r>
      <w:r w:rsidRPr="006F705A">
        <w:rPr>
          <w:rFonts w:cs="Tahoma"/>
          <w:szCs w:val="24"/>
          <w:rtl/>
        </w:rPr>
        <w:tab/>
      </w:r>
      <w:r w:rsidRPr="006F705A">
        <w:rPr>
          <w:rFonts w:cs="Tahoma"/>
          <w:szCs w:val="24"/>
          <w:rtl/>
        </w:rPr>
        <w:tab/>
        <w:t>מיין נוקבין</w:t>
      </w:r>
    </w:p>
    <w:p w:rsidR="006F705A" w:rsidRPr="006F705A" w:rsidRDefault="006F705A" w:rsidP="00EA7581">
      <w:pPr>
        <w:rPr>
          <w:rFonts w:cs="Tahoma"/>
          <w:szCs w:val="24"/>
          <w:rtl/>
        </w:rPr>
      </w:pPr>
      <w:r w:rsidRPr="006F705A">
        <w:rPr>
          <w:rFonts w:cs="Tahoma"/>
          <w:szCs w:val="24"/>
          <w:rtl/>
        </w:rPr>
        <w:t>מ"ס</w:t>
      </w:r>
      <w:r w:rsidRPr="006F705A">
        <w:rPr>
          <w:rFonts w:cs="Tahoma"/>
          <w:szCs w:val="24"/>
          <w:rtl/>
        </w:rPr>
        <w:tab/>
      </w:r>
      <w:r w:rsidRPr="006F705A">
        <w:rPr>
          <w:rFonts w:cs="Tahoma"/>
          <w:szCs w:val="24"/>
          <w:rtl/>
        </w:rPr>
        <w:tab/>
        <w:t>מוחא סתימאה</w:t>
      </w:r>
    </w:p>
    <w:p w:rsidR="006F705A" w:rsidRPr="006F705A" w:rsidRDefault="006F705A" w:rsidP="00EA7581">
      <w:pPr>
        <w:rPr>
          <w:rFonts w:cs="Tahoma"/>
          <w:szCs w:val="24"/>
          <w:rtl/>
        </w:rPr>
      </w:pPr>
      <w:r w:rsidRPr="006F705A">
        <w:rPr>
          <w:rFonts w:cs="Tahoma"/>
          <w:szCs w:val="24"/>
          <w:rtl/>
        </w:rPr>
        <w:t>נ"ה</w:t>
      </w:r>
      <w:r w:rsidRPr="006F705A">
        <w:rPr>
          <w:rFonts w:cs="Tahoma"/>
          <w:szCs w:val="24"/>
          <w:rtl/>
        </w:rPr>
        <w:tab/>
      </w:r>
      <w:r w:rsidRPr="006F705A">
        <w:rPr>
          <w:rFonts w:cs="Tahoma"/>
          <w:szCs w:val="24"/>
          <w:rtl/>
        </w:rPr>
        <w:tab/>
        <w:t>נצח, הוד</w:t>
      </w:r>
    </w:p>
    <w:p w:rsidR="006F705A" w:rsidRPr="006F705A" w:rsidRDefault="006F705A" w:rsidP="00EA7581">
      <w:pPr>
        <w:rPr>
          <w:rFonts w:cs="Tahoma"/>
          <w:szCs w:val="24"/>
          <w:rtl/>
        </w:rPr>
      </w:pPr>
      <w:r w:rsidRPr="006F705A">
        <w:rPr>
          <w:rFonts w:cs="Tahoma"/>
          <w:szCs w:val="24"/>
          <w:rtl/>
        </w:rPr>
        <w:t>נה"י</w:t>
      </w:r>
      <w:r w:rsidRPr="006F705A">
        <w:rPr>
          <w:rFonts w:cs="Tahoma"/>
          <w:szCs w:val="24"/>
          <w:rtl/>
        </w:rPr>
        <w:tab/>
      </w:r>
      <w:r w:rsidRPr="006F705A">
        <w:rPr>
          <w:rFonts w:cs="Tahoma"/>
          <w:szCs w:val="24"/>
          <w:rtl/>
        </w:rPr>
        <w:tab/>
        <w:t>נצח, הוד, יסוד</w:t>
      </w:r>
    </w:p>
    <w:p w:rsidR="006F705A" w:rsidRPr="006F705A" w:rsidRDefault="006F705A" w:rsidP="00EA7581">
      <w:pPr>
        <w:rPr>
          <w:rFonts w:cs="Tahoma"/>
          <w:szCs w:val="24"/>
          <w:rtl/>
        </w:rPr>
      </w:pPr>
      <w:r w:rsidRPr="006F705A">
        <w:rPr>
          <w:rFonts w:cs="Tahoma"/>
          <w:szCs w:val="24"/>
          <w:rtl/>
        </w:rPr>
        <w:t>נו"ה</w:t>
      </w:r>
      <w:r w:rsidRPr="006F705A">
        <w:rPr>
          <w:rFonts w:cs="Tahoma"/>
          <w:szCs w:val="24"/>
          <w:rtl/>
        </w:rPr>
        <w:tab/>
      </w:r>
      <w:r w:rsidRPr="006F705A">
        <w:rPr>
          <w:rFonts w:cs="Tahoma"/>
          <w:szCs w:val="24"/>
          <w:rtl/>
        </w:rPr>
        <w:tab/>
        <w:t>נצח והוד</w:t>
      </w:r>
    </w:p>
    <w:p w:rsidR="006F705A" w:rsidRPr="006F705A" w:rsidRDefault="006F705A" w:rsidP="00EA7581">
      <w:pPr>
        <w:rPr>
          <w:rFonts w:cs="Tahoma"/>
          <w:szCs w:val="24"/>
          <w:rtl/>
        </w:rPr>
      </w:pPr>
      <w:r w:rsidRPr="006F705A">
        <w:rPr>
          <w:rFonts w:cs="Tahoma"/>
          <w:szCs w:val="24"/>
          <w:rtl/>
        </w:rPr>
        <w:t>נוק'</w:t>
      </w:r>
      <w:r w:rsidRPr="006F705A">
        <w:rPr>
          <w:rFonts w:cs="Tahoma"/>
          <w:szCs w:val="24"/>
          <w:rtl/>
        </w:rPr>
        <w:tab/>
      </w:r>
      <w:r w:rsidRPr="006F705A">
        <w:rPr>
          <w:rFonts w:cs="Tahoma"/>
          <w:szCs w:val="24"/>
          <w:rtl/>
        </w:rPr>
        <w:tab/>
        <w:t>נוקבא</w:t>
      </w:r>
    </w:p>
    <w:p w:rsidR="006F705A" w:rsidRPr="006F705A" w:rsidRDefault="006F705A" w:rsidP="00EA7581">
      <w:pPr>
        <w:rPr>
          <w:rFonts w:cs="Tahoma"/>
          <w:szCs w:val="24"/>
          <w:rtl/>
        </w:rPr>
      </w:pPr>
      <w:r w:rsidRPr="006F705A">
        <w:rPr>
          <w:rFonts w:cs="Tahoma"/>
          <w:szCs w:val="24"/>
          <w:rtl/>
        </w:rPr>
        <w:t>נר"ן</w:t>
      </w:r>
      <w:r w:rsidRPr="006F705A">
        <w:rPr>
          <w:rFonts w:cs="Tahoma"/>
          <w:szCs w:val="24"/>
          <w:rtl/>
        </w:rPr>
        <w:tab/>
      </w:r>
      <w:r w:rsidRPr="006F705A">
        <w:rPr>
          <w:rFonts w:cs="Tahoma"/>
          <w:szCs w:val="24"/>
          <w:rtl/>
        </w:rPr>
        <w:tab/>
        <w:t>נפש, רוח, נשמה</w:t>
      </w:r>
    </w:p>
    <w:p w:rsidR="006F705A" w:rsidRPr="006F705A" w:rsidRDefault="006F705A" w:rsidP="00EA7581">
      <w:pPr>
        <w:rPr>
          <w:rFonts w:cs="Tahoma"/>
          <w:szCs w:val="24"/>
          <w:rtl/>
        </w:rPr>
      </w:pPr>
      <w:r w:rsidRPr="006F705A">
        <w:rPr>
          <w:rFonts w:cs="Tahoma"/>
          <w:szCs w:val="24"/>
          <w:rtl/>
        </w:rPr>
        <w:lastRenderedPageBreak/>
        <w:t>נש"ב</w:t>
      </w:r>
      <w:r w:rsidRPr="006F705A">
        <w:rPr>
          <w:rFonts w:cs="Tahoma"/>
          <w:szCs w:val="24"/>
          <w:rtl/>
        </w:rPr>
        <w:tab/>
      </w:r>
      <w:r w:rsidRPr="006F705A">
        <w:rPr>
          <w:rFonts w:cs="Tahoma"/>
          <w:szCs w:val="24"/>
          <w:rtl/>
        </w:rPr>
        <w:tab/>
        <w:t>נ' (חמישים) שערי בינה</w:t>
      </w:r>
    </w:p>
    <w:p w:rsidR="006F705A" w:rsidRPr="006F705A" w:rsidRDefault="006F705A" w:rsidP="00EA7581">
      <w:pPr>
        <w:rPr>
          <w:rFonts w:cs="Tahoma"/>
          <w:szCs w:val="24"/>
          <w:rtl/>
        </w:rPr>
      </w:pPr>
      <w:r w:rsidRPr="006F705A">
        <w:rPr>
          <w:rFonts w:cs="Tahoma"/>
          <w:szCs w:val="24"/>
          <w:rtl/>
        </w:rPr>
        <w:t>ס"א</w:t>
      </w:r>
      <w:r w:rsidRPr="006F705A">
        <w:rPr>
          <w:rFonts w:cs="Tahoma"/>
          <w:szCs w:val="24"/>
          <w:rtl/>
        </w:rPr>
        <w:tab/>
      </w:r>
      <w:r w:rsidRPr="006F705A">
        <w:rPr>
          <w:rFonts w:cs="Tahoma"/>
          <w:szCs w:val="24"/>
          <w:rtl/>
        </w:rPr>
        <w:tab/>
        <w:t>סטרא אחרא</w:t>
      </w:r>
    </w:p>
    <w:p w:rsidR="006F705A" w:rsidRPr="006F705A" w:rsidRDefault="006F705A" w:rsidP="00EA7581">
      <w:pPr>
        <w:rPr>
          <w:rFonts w:cs="Tahoma"/>
          <w:szCs w:val="24"/>
          <w:rtl/>
        </w:rPr>
      </w:pPr>
      <w:r w:rsidRPr="006F705A">
        <w:rPr>
          <w:rFonts w:cs="Tahoma"/>
          <w:szCs w:val="24"/>
          <w:rtl/>
        </w:rPr>
        <w:t>ס"ג</w:t>
      </w:r>
      <w:r w:rsidRPr="006F705A">
        <w:rPr>
          <w:rFonts w:cs="Tahoma"/>
          <w:szCs w:val="24"/>
          <w:rtl/>
        </w:rPr>
        <w:tab/>
      </w:r>
      <w:r w:rsidRPr="006F705A">
        <w:rPr>
          <w:rFonts w:cs="Tahoma"/>
          <w:szCs w:val="24"/>
          <w:rtl/>
        </w:rPr>
        <w:tab/>
        <w:t>יוד, קי, ואו, קי</w:t>
      </w:r>
    </w:p>
    <w:p w:rsidR="006F705A" w:rsidRPr="006F705A" w:rsidRDefault="006F705A" w:rsidP="00EA7581">
      <w:pPr>
        <w:rPr>
          <w:rFonts w:cs="Tahoma"/>
          <w:szCs w:val="24"/>
          <w:rtl/>
        </w:rPr>
      </w:pPr>
      <w:r w:rsidRPr="006F705A">
        <w:rPr>
          <w:rFonts w:cs="Tahoma"/>
          <w:szCs w:val="24"/>
          <w:rtl/>
        </w:rPr>
        <w:t>ע"ב</w:t>
      </w:r>
      <w:r w:rsidRPr="006F705A">
        <w:rPr>
          <w:rFonts w:cs="Tahoma"/>
          <w:szCs w:val="24"/>
          <w:rtl/>
        </w:rPr>
        <w:tab/>
      </w:r>
      <w:r w:rsidRPr="006F705A">
        <w:rPr>
          <w:rFonts w:cs="Tahoma"/>
          <w:szCs w:val="24"/>
          <w:rtl/>
        </w:rPr>
        <w:tab/>
        <w:t>יוד, קי, ויו, קי</w:t>
      </w:r>
    </w:p>
    <w:p w:rsidR="006F705A" w:rsidRPr="006F705A" w:rsidRDefault="006F705A" w:rsidP="00EA7581">
      <w:pPr>
        <w:rPr>
          <w:rFonts w:cs="Tahoma"/>
          <w:szCs w:val="24"/>
          <w:rtl/>
        </w:rPr>
      </w:pPr>
      <w:r w:rsidRPr="006F705A">
        <w:rPr>
          <w:rFonts w:cs="Tahoma"/>
          <w:szCs w:val="24"/>
          <w:rtl/>
        </w:rPr>
        <w:t>ע"ק</w:t>
      </w:r>
      <w:r w:rsidRPr="006F705A">
        <w:rPr>
          <w:rFonts w:cs="Tahoma"/>
          <w:szCs w:val="24"/>
          <w:rtl/>
        </w:rPr>
        <w:tab/>
      </w:r>
      <w:r w:rsidRPr="006F705A">
        <w:rPr>
          <w:rFonts w:cs="Tahoma"/>
          <w:szCs w:val="24"/>
          <w:rtl/>
        </w:rPr>
        <w:tab/>
        <w:t>עתיקא קדישא</w:t>
      </w:r>
    </w:p>
    <w:p w:rsidR="006F705A" w:rsidRPr="006F705A" w:rsidRDefault="006F705A" w:rsidP="00EA7581">
      <w:pPr>
        <w:rPr>
          <w:rFonts w:cs="Tahoma"/>
          <w:szCs w:val="24"/>
          <w:rtl/>
        </w:rPr>
      </w:pPr>
      <w:r w:rsidRPr="006F705A">
        <w:rPr>
          <w:rFonts w:cs="Tahoma"/>
          <w:szCs w:val="24"/>
          <w:rtl/>
        </w:rPr>
        <w:t>עש"ן</w:t>
      </w:r>
      <w:r w:rsidRPr="006F705A">
        <w:rPr>
          <w:rFonts w:cs="Tahoma"/>
          <w:szCs w:val="24"/>
          <w:rtl/>
        </w:rPr>
        <w:tab/>
      </w:r>
      <w:r w:rsidRPr="006F705A">
        <w:rPr>
          <w:rFonts w:cs="Tahoma"/>
          <w:szCs w:val="24"/>
          <w:rtl/>
        </w:rPr>
        <w:tab/>
        <w:t>עולם, שנה, נפש</w:t>
      </w:r>
    </w:p>
    <w:p w:rsidR="006F705A" w:rsidRPr="006F705A" w:rsidRDefault="006F705A" w:rsidP="00EA7581">
      <w:pPr>
        <w:rPr>
          <w:rFonts w:cs="Tahoma"/>
          <w:szCs w:val="24"/>
          <w:rtl/>
        </w:rPr>
      </w:pPr>
      <w:r w:rsidRPr="006F705A">
        <w:rPr>
          <w:rFonts w:cs="Tahoma"/>
          <w:szCs w:val="24"/>
          <w:rtl/>
        </w:rPr>
        <w:t>ק"ק</w:t>
      </w:r>
      <w:r w:rsidRPr="006F705A">
        <w:rPr>
          <w:rFonts w:cs="Tahoma"/>
          <w:szCs w:val="24"/>
          <w:rtl/>
        </w:rPr>
        <w:tab/>
      </w:r>
      <w:r w:rsidRPr="006F705A">
        <w:rPr>
          <w:rFonts w:cs="Tahoma"/>
          <w:szCs w:val="24"/>
          <w:rtl/>
        </w:rPr>
        <w:tab/>
        <w:t>קודש קדשים</w:t>
      </w:r>
    </w:p>
    <w:p w:rsidR="006F705A" w:rsidRPr="006F705A" w:rsidRDefault="006F705A" w:rsidP="00EA7581">
      <w:pPr>
        <w:rPr>
          <w:rFonts w:cs="Tahoma"/>
          <w:szCs w:val="24"/>
          <w:rtl/>
        </w:rPr>
      </w:pPr>
      <w:r w:rsidRPr="006F705A">
        <w:rPr>
          <w:rFonts w:cs="Tahoma"/>
          <w:szCs w:val="24"/>
          <w:rtl/>
        </w:rPr>
        <w:t>רדל"א</w:t>
      </w:r>
      <w:r w:rsidRPr="006F705A">
        <w:rPr>
          <w:rFonts w:cs="Tahoma"/>
          <w:szCs w:val="24"/>
          <w:rtl/>
        </w:rPr>
        <w:tab/>
      </w:r>
      <w:r w:rsidRPr="006F705A">
        <w:rPr>
          <w:rFonts w:cs="Tahoma"/>
          <w:szCs w:val="24"/>
          <w:rtl/>
        </w:rPr>
        <w:tab/>
        <w:t>רישא דלא אתידע</w:t>
      </w:r>
    </w:p>
    <w:p w:rsidR="006F705A" w:rsidRPr="006F705A" w:rsidRDefault="006F705A" w:rsidP="00EA7581">
      <w:pPr>
        <w:rPr>
          <w:rFonts w:cs="Tahoma"/>
          <w:szCs w:val="24"/>
          <w:rtl/>
        </w:rPr>
      </w:pPr>
      <w:r w:rsidRPr="006F705A">
        <w:rPr>
          <w:rFonts w:cs="Tahoma"/>
          <w:szCs w:val="24"/>
          <w:rtl/>
        </w:rPr>
        <w:t>רב"ג</w:t>
      </w:r>
      <w:r w:rsidRPr="006F705A">
        <w:rPr>
          <w:rFonts w:cs="Tahoma"/>
          <w:szCs w:val="24"/>
          <w:rtl/>
        </w:rPr>
        <w:tab/>
      </w:r>
      <w:r w:rsidRPr="006F705A">
        <w:rPr>
          <w:rFonts w:cs="Tahoma"/>
          <w:szCs w:val="24"/>
          <w:rtl/>
        </w:rPr>
        <w:tab/>
        <w:t>ראש, בטן, גויה</w:t>
      </w:r>
    </w:p>
    <w:p w:rsidR="006F705A" w:rsidRPr="006F705A" w:rsidRDefault="006F705A" w:rsidP="00EA7581">
      <w:pPr>
        <w:rPr>
          <w:rFonts w:cs="Tahoma"/>
          <w:szCs w:val="24"/>
          <w:rtl/>
        </w:rPr>
      </w:pPr>
      <w:r w:rsidRPr="006F705A">
        <w:rPr>
          <w:rFonts w:cs="Tahoma"/>
          <w:szCs w:val="24"/>
          <w:rtl/>
        </w:rPr>
        <w:t>רת"ס</w:t>
      </w:r>
      <w:r w:rsidRPr="006F705A">
        <w:rPr>
          <w:rFonts w:cs="Tahoma"/>
          <w:szCs w:val="24"/>
          <w:rtl/>
        </w:rPr>
        <w:tab/>
      </w:r>
      <w:r w:rsidRPr="006F705A">
        <w:rPr>
          <w:rFonts w:cs="Tahoma"/>
          <w:szCs w:val="24"/>
          <w:rtl/>
        </w:rPr>
        <w:tab/>
        <w:t>ראש, תוך, סוף</w:t>
      </w:r>
    </w:p>
    <w:p w:rsidR="006F705A" w:rsidRPr="006F705A" w:rsidRDefault="006F705A" w:rsidP="00EA7581">
      <w:pPr>
        <w:rPr>
          <w:rFonts w:cs="Tahoma"/>
          <w:szCs w:val="24"/>
          <w:rtl/>
        </w:rPr>
      </w:pPr>
      <w:r w:rsidRPr="006F705A">
        <w:rPr>
          <w:rFonts w:cs="Tahoma"/>
          <w:szCs w:val="24"/>
          <w:rtl/>
        </w:rPr>
        <w:t>תו"מ</w:t>
      </w:r>
      <w:r w:rsidRPr="006F705A">
        <w:rPr>
          <w:rFonts w:cs="Tahoma"/>
          <w:szCs w:val="24"/>
          <w:rtl/>
        </w:rPr>
        <w:tab/>
      </w:r>
      <w:r w:rsidRPr="006F705A">
        <w:rPr>
          <w:rFonts w:cs="Tahoma"/>
          <w:szCs w:val="24"/>
          <w:rtl/>
        </w:rPr>
        <w:tab/>
        <w:t>תפארת ומלכות</w:t>
      </w:r>
    </w:p>
    <w:p w:rsidR="006F705A" w:rsidRPr="006F705A" w:rsidRDefault="006F705A" w:rsidP="00EA7581">
      <w:pPr>
        <w:rPr>
          <w:rFonts w:cs="Tahoma"/>
          <w:szCs w:val="24"/>
          <w:rtl/>
        </w:rPr>
      </w:pPr>
      <w:r w:rsidRPr="006F705A">
        <w:rPr>
          <w:rFonts w:cs="Tahoma"/>
          <w:szCs w:val="24"/>
          <w:rtl/>
        </w:rPr>
        <w:t>תנ"ה</w:t>
      </w:r>
      <w:r w:rsidRPr="006F705A">
        <w:rPr>
          <w:rFonts w:cs="Tahoma"/>
          <w:szCs w:val="24"/>
          <w:rtl/>
        </w:rPr>
        <w:tab/>
      </w:r>
      <w:r w:rsidRPr="006F705A">
        <w:rPr>
          <w:rFonts w:cs="Tahoma"/>
          <w:szCs w:val="24"/>
          <w:rtl/>
        </w:rPr>
        <w:tab/>
        <w:t>תפארת, נצח, הוד</w:t>
      </w:r>
    </w:p>
    <w:p w:rsidR="006F705A" w:rsidRPr="006F705A" w:rsidRDefault="006F705A" w:rsidP="00EA7581">
      <w:pPr>
        <w:rPr>
          <w:rFonts w:cs="Tahoma"/>
          <w:szCs w:val="24"/>
          <w:rtl/>
        </w:rPr>
      </w:pPr>
      <w:r w:rsidRPr="006F705A">
        <w:rPr>
          <w:rFonts w:cs="Tahoma"/>
          <w:szCs w:val="24"/>
          <w:rtl/>
        </w:rPr>
        <w:t>תר"ת</w:t>
      </w:r>
      <w:r w:rsidRPr="006F705A">
        <w:rPr>
          <w:rFonts w:cs="Tahoma"/>
          <w:szCs w:val="24"/>
          <w:rtl/>
        </w:rPr>
        <w:tab/>
      </w:r>
      <w:r w:rsidRPr="006F705A">
        <w:rPr>
          <w:rFonts w:cs="Tahoma"/>
          <w:szCs w:val="24"/>
          <w:rtl/>
        </w:rPr>
        <w:tab/>
        <w:t>תקיעה, תרועה, תקיעה</w:t>
      </w:r>
    </w:p>
    <w:p w:rsidR="006F705A" w:rsidRPr="006F705A" w:rsidRDefault="006F705A" w:rsidP="00EA7581">
      <w:pPr>
        <w:rPr>
          <w:rFonts w:cs="Tahoma"/>
          <w:szCs w:val="24"/>
          <w:rtl/>
        </w:rPr>
      </w:pPr>
      <w:r w:rsidRPr="006F705A">
        <w:rPr>
          <w:rFonts w:cs="Tahoma"/>
          <w:szCs w:val="24"/>
          <w:rtl/>
        </w:rPr>
        <w:t>תש"ר</w:t>
      </w:r>
      <w:r w:rsidRPr="006F705A">
        <w:rPr>
          <w:rFonts w:cs="Tahoma"/>
          <w:szCs w:val="24"/>
          <w:rtl/>
        </w:rPr>
        <w:tab/>
      </w:r>
      <w:r w:rsidRPr="006F705A">
        <w:rPr>
          <w:rFonts w:cs="Tahoma"/>
          <w:szCs w:val="24"/>
          <w:rtl/>
        </w:rPr>
        <w:tab/>
        <w:t>תקיעה, שברים, תרועה</w:t>
      </w:r>
    </w:p>
    <w:p w:rsidR="006F705A" w:rsidRPr="006F705A" w:rsidRDefault="006F705A" w:rsidP="00EA7581">
      <w:pPr>
        <w:rPr>
          <w:rFonts w:cs="Tahoma"/>
          <w:szCs w:val="24"/>
          <w:rtl/>
        </w:rPr>
      </w:pPr>
      <w:r w:rsidRPr="006F705A">
        <w:rPr>
          <w:rFonts w:cs="Tahoma"/>
          <w:szCs w:val="24"/>
          <w:rtl/>
        </w:rPr>
        <w:t>תש"ת</w:t>
      </w:r>
      <w:r w:rsidRPr="006F705A">
        <w:rPr>
          <w:rFonts w:cs="Tahoma"/>
          <w:szCs w:val="24"/>
          <w:rtl/>
        </w:rPr>
        <w:tab/>
      </w:r>
      <w:r w:rsidRPr="006F705A">
        <w:rPr>
          <w:rFonts w:cs="Tahoma"/>
          <w:szCs w:val="24"/>
          <w:rtl/>
        </w:rPr>
        <w:tab/>
        <w:t>תקיעה, שברים, תקיעה</w:t>
      </w:r>
    </w:p>
    <w:p w:rsidR="006F705A" w:rsidRPr="006F705A" w:rsidRDefault="006F705A" w:rsidP="00EA7581">
      <w:pPr>
        <w:rPr>
          <w:rFonts w:cs="Tahoma"/>
          <w:szCs w:val="24"/>
          <w:rtl/>
        </w:rPr>
      </w:pPr>
      <w:r w:rsidRPr="006F705A">
        <w:rPr>
          <w:rFonts w:cs="Tahoma"/>
          <w:szCs w:val="24"/>
          <w:rtl/>
        </w:rPr>
        <w:t>ת"ת</w:t>
      </w:r>
      <w:r w:rsidRPr="006F705A">
        <w:rPr>
          <w:rFonts w:cs="Tahoma"/>
          <w:szCs w:val="24"/>
          <w:rtl/>
        </w:rPr>
        <w:tab/>
      </w:r>
      <w:r w:rsidRPr="006F705A">
        <w:rPr>
          <w:rFonts w:cs="Tahoma"/>
          <w:szCs w:val="24"/>
          <w:rtl/>
        </w:rPr>
        <w:tab/>
        <w:t>תפארת</w:t>
      </w:r>
    </w:p>
    <w:p w:rsidR="006F705A" w:rsidRPr="006F705A" w:rsidRDefault="006F705A" w:rsidP="006F705A">
      <w:pPr>
        <w:rPr>
          <w:rFonts w:cs="Tahoma"/>
          <w:szCs w:val="24"/>
          <w:rtl/>
        </w:rPr>
      </w:pPr>
    </w:p>
    <w:p w:rsidR="006F705A" w:rsidRPr="006F705A" w:rsidRDefault="006F705A" w:rsidP="006F705A">
      <w:pPr>
        <w:jc w:val="both"/>
        <w:rPr>
          <w:rFonts w:ascii="Courier New" w:hAnsi="Courier New" w:cs="Arial"/>
          <w:b/>
          <w:bCs/>
          <w:szCs w:val="24"/>
          <w:rtl/>
        </w:rPr>
      </w:pPr>
      <w:r w:rsidRPr="006F705A">
        <w:rPr>
          <w:rFonts w:ascii="Courier New" w:hAnsi="Courier New" w:cs="Arial"/>
          <w:b/>
          <w:bCs/>
          <w:szCs w:val="24"/>
          <w:rtl/>
        </w:rPr>
        <w:t>בהעתקת הגרד"ל ז"ל מצאתי כתוב בכתב ידו וזה לשונו: בס"ד זה מצאתי כתוב בראש העתק פי' התקונים להגר"א שלפני והעתקתים אות באות:</w:t>
      </w:r>
    </w:p>
    <w:p w:rsidR="006F705A" w:rsidRPr="006F705A" w:rsidRDefault="006F705A" w:rsidP="006F705A">
      <w:pPr>
        <w:jc w:val="both"/>
        <w:rPr>
          <w:rFonts w:ascii="Courier New" w:hAnsi="Courier New" w:cs="Arial"/>
          <w:szCs w:val="24"/>
          <w:rtl/>
        </w:rPr>
      </w:pPr>
    </w:p>
    <w:p w:rsidR="006F705A" w:rsidRPr="006F705A" w:rsidRDefault="006F705A" w:rsidP="006F705A">
      <w:pPr>
        <w:jc w:val="both"/>
        <w:rPr>
          <w:rFonts w:ascii="Courier New" w:hAnsi="Courier New" w:cs="Arial"/>
          <w:szCs w:val="24"/>
          <w:rtl/>
        </w:rPr>
        <w:sectPr w:rsidR="006F705A" w:rsidRPr="006F705A">
          <w:pgSz w:w="11906" w:h="16838"/>
          <w:pgMar w:top="1440" w:right="1152" w:bottom="1440" w:left="1152" w:header="720" w:footer="720" w:gutter="0"/>
          <w:cols w:space="720"/>
          <w:bidi/>
          <w:rtlGutter/>
        </w:sectPr>
      </w:pPr>
    </w:p>
    <w:p w:rsidR="006F705A" w:rsidRPr="006F705A" w:rsidRDefault="006F705A" w:rsidP="006F705A">
      <w:pPr>
        <w:jc w:val="both"/>
        <w:rPr>
          <w:rFonts w:ascii="Courier New" w:hAnsi="Courier New" w:cs="Arial"/>
          <w:szCs w:val="24"/>
          <w:rtl/>
        </w:rPr>
      </w:pPr>
      <w:r w:rsidRPr="006F705A">
        <w:rPr>
          <w:rFonts w:ascii="Courier New" w:hAnsi="Courier New" w:cs="Arial"/>
          <w:szCs w:val="24"/>
          <w:rtl/>
        </w:rPr>
        <w:lastRenderedPageBreak/>
        <w:t xml:space="preserve">יוד קי ויו קי </w:t>
      </w:r>
      <w:r w:rsidRPr="006F705A">
        <w:rPr>
          <w:rFonts w:ascii="Courier New" w:hAnsi="Courier New" w:cs="Arial"/>
          <w:szCs w:val="24"/>
          <w:rtl/>
        </w:rPr>
        <w:tab/>
        <w:t xml:space="preserve">ע"ב </w:t>
      </w:r>
    </w:p>
    <w:p w:rsidR="006F705A" w:rsidRPr="006F705A" w:rsidRDefault="006F705A" w:rsidP="006F705A">
      <w:pPr>
        <w:jc w:val="both"/>
        <w:rPr>
          <w:rFonts w:ascii="Courier New" w:hAnsi="Courier New" w:cs="Arial"/>
          <w:szCs w:val="24"/>
          <w:rtl/>
        </w:rPr>
      </w:pPr>
      <w:r w:rsidRPr="006F705A">
        <w:rPr>
          <w:rFonts w:ascii="Courier New" w:hAnsi="Courier New" w:cs="Arial"/>
          <w:szCs w:val="24"/>
          <w:rtl/>
        </w:rPr>
        <w:t xml:space="preserve">יוד קי ואו קי </w:t>
      </w:r>
      <w:r w:rsidRPr="006F705A">
        <w:rPr>
          <w:rFonts w:ascii="Courier New" w:hAnsi="Courier New" w:cs="Arial"/>
          <w:szCs w:val="24"/>
          <w:rtl/>
        </w:rPr>
        <w:tab/>
        <w:t xml:space="preserve">ס"ג </w:t>
      </w:r>
    </w:p>
    <w:p w:rsidR="006F705A" w:rsidRPr="006F705A" w:rsidRDefault="006F705A" w:rsidP="006F705A">
      <w:pPr>
        <w:jc w:val="both"/>
        <w:rPr>
          <w:rFonts w:ascii="Courier New" w:hAnsi="Courier New" w:cs="Arial"/>
          <w:szCs w:val="24"/>
          <w:rtl/>
        </w:rPr>
      </w:pPr>
      <w:r w:rsidRPr="006F705A">
        <w:rPr>
          <w:rFonts w:ascii="Courier New" w:hAnsi="Courier New" w:cs="Arial"/>
          <w:szCs w:val="24"/>
          <w:rtl/>
        </w:rPr>
        <w:t xml:space="preserve">יוד קי וו קי </w:t>
      </w:r>
      <w:r w:rsidRPr="006F705A">
        <w:rPr>
          <w:rFonts w:ascii="Courier New" w:hAnsi="Courier New" w:cs="Arial"/>
          <w:szCs w:val="24"/>
          <w:rtl/>
        </w:rPr>
        <w:tab/>
        <w:t xml:space="preserve">ס"ב </w:t>
      </w:r>
    </w:p>
    <w:p w:rsidR="006F705A" w:rsidRPr="006F705A" w:rsidRDefault="006F705A" w:rsidP="006F705A">
      <w:pPr>
        <w:jc w:val="both"/>
        <w:rPr>
          <w:rFonts w:ascii="Courier New" w:hAnsi="Courier New" w:cs="Arial"/>
          <w:szCs w:val="24"/>
          <w:rtl/>
        </w:rPr>
      </w:pPr>
      <w:r w:rsidRPr="006F705A">
        <w:rPr>
          <w:rFonts w:ascii="Courier New" w:hAnsi="Courier New" w:cs="Arial"/>
          <w:szCs w:val="24"/>
          <w:rtl/>
        </w:rPr>
        <w:t xml:space="preserve">יוד קה ויו קה </w:t>
      </w:r>
      <w:r w:rsidRPr="006F705A">
        <w:rPr>
          <w:rFonts w:ascii="Courier New" w:hAnsi="Courier New" w:cs="Arial"/>
          <w:szCs w:val="24"/>
          <w:rtl/>
        </w:rPr>
        <w:tab/>
        <w:t xml:space="preserve">ס"ב </w:t>
      </w:r>
    </w:p>
    <w:p w:rsidR="006F705A" w:rsidRPr="006F705A" w:rsidRDefault="006F705A" w:rsidP="006F705A">
      <w:pPr>
        <w:jc w:val="both"/>
        <w:rPr>
          <w:rFonts w:ascii="Courier New" w:hAnsi="Courier New" w:cs="Arial"/>
          <w:szCs w:val="24"/>
          <w:rtl/>
        </w:rPr>
      </w:pPr>
      <w:r w:rsidRPr="006F705A">
        <w:rPr>
          <w:rFonts w:ascii="Courier New" w:hAnsi="Courier New" w:cs="Arial"/>
          <w:szCs w:val="24"/>
          <w:rtl/>
        </w:rPr>
        <w:t xml:space="preserve">יוד קה ואו קה </w:t>
      </w:r>
      <w:r w:rsidRPr="006F705A">
        <w:rPr>
          <w:rFonts w:ascii="Courier New" w:hAnsi="Courier New" w:cs="Arial"/>
          <w:szCs w:val="24"/>
          <w:rtl/>
        </w:rPr>
        <w:tab/>
        <w:t>נ"ג</w:t>
      </w:r>
    </w:p>
    <w:p w:rsidR="006F705A" w:rsidRPr="006F705A" w:rsidRDefault="006F705A" w:rsidP="006F705A">
      <w:pPr>
        <w:jc w:val="both"/>
        <w:rPr>
          <w:rFonts w:ascii="Courier New" w:hAnsi="Courier New" w:cs="Arial"/>
          <w:szCs w:val="24"/>
          <w:rtl/>
        </w:rPr>
      </w:pPr>
      <w:r w:rsidRPr="006F705A">
        <w:rPr>
          <w:rFonts w:ascii="Courier New" w:hAnsi="Courier New" w:cs="Arial"/>
          <w:szCs w:val="24"/>
          <w:rtl/>
        </w:rPr>
        <w:t xml:space="preserve">יוד קה וו קה </w:t>
      </w:r>
      <w:r w:rsidRPr="006F705A">
        <w:rPr>
          <w:rFonts w:ascii="Courier New" w:hAnsi="Courier New" w:cs="Arial"/>
          <w:szCs w:val="24"/>
          <w:rtl/>
        </w:rPr>
        <w:tab/>
        <w:t>נ"ב</w:t>
      </w:r>
    </w:p>
    <w:p w:rsidR="006F705A" w:rsidRPr="006F705A" w:rsidRDefault="006F705A" w:rsidP="006F705A">
      <w:pPr>
        <w:jc w:val="both"/>
        <w:rPr>
          <w:rFonts w:ascii="Courier New" w:hAnsi="Courier New" w:cs="Arial"/>
          <w:szCs w:val="24"/>
          <w:rtl/>
        </w:rPr>
      </w:pPr>
      <w:r w:rsidRPr="006F705A">
        <w:rPr>
          <w:rFonts w:ascii="Courier New" w:hAnsi="Courier New" w:cs="Arial"/>
          <w:szCs w:val="24"/>
          <w:rtl/>
        </w:rPr>
        <w:t xml:space="preserve">יוד קא ויו קא </w:t>
      </w:r>
      <w:r w:rsidRPr="006F705A">
        <w:rPr>
          <w:rFonts w:ascii="Courier New" w:hAnsi="Courier New" w:cs="Arial"/>
          <w:szCs w:val="24"/>
          <w:rtl/>
        </w:rPr>
        <w:tab/>
        <w:t xml:space="preserve">נ"ד </w:t>
      </w:r>
    </w:p>
    <w:p w:rsidR="006F705A" w:rsidRPr="006F705A" w:rsidRDefault="006F705A" w:rsidP="006F705A">
      <w:pPr>
        <w:jc w:val="both"/>
        <w:rPr>
          <w:rFonts w:ascii="Courier New" w:hAnsi="Courier New" w:cs="Arial"/>
          <w:szCs w:val="24"/>
          <w:rtl/>
        </w:rPr>
      </w:pPr>
      <w:r w:rsidRPr="006F705A">
        <w:rPr>
          <w:rFonts w:ascii="Courier New" w:hAnsi="Courier New" w:cs="Arial"/>
          <w:szCs w:val="24"/>
          <w:rtl/>
        </w:rPr>
        <w:t xml:space="preserve">יוד קא ואו קא </w:t>
      </w:r>
      <w:r w:rsidRPr="006F705A">
        <w:rPr>
          <w:rFonts w:ascii="Courier New" w:hAnsi="Courier New" w:cs="Arial"/>
          <w:szCs w:val="24"/>
          <w:rtl/>
        </w:rPr>
        <w:tab/>
        <w:t xml:space="preserve">מ"ה </w:t>
      </w:r>
    </w:p>
    <w:p w:rsidR="006F705A" w:rsidRPr="006F705A" w:rsidRDefault="006F705A" w:rsidP="006F705A">
      <w:pPr>
        <w:jc w:val="both"/>
        <w:rPr>
          <w:rFonts w:ascii="Courier New" w:hAnsi="Courier New" w:cs="Arial"/>
          <w:szCs w:val="24"/>
          <w:rtl/>
        </w:rPr>
      </w:pPr>
      <w:r w:rsidRPr="006F705A">
        <w:rPr>
          <w:rFonts w:ascii="Courier New" w:hAnsi="Courier New" w:cs="Arial"/>
          <w:szCs w:val="24"/>
          <w:rtl/>
        </w:rPr>
        <w:t xml:space="preserve">יוד קא וו קא </w:t>
      </w:r>
      <w:r w:rsidRPr="006F705A">
        <w:rPr>
          <w:rFonts w:ascii="Courier New" w:hAnsi="Courier New" w:cs="Arial"/>
          <w:szCs w:val="24"/>
          <w:rtl/>
        </w:rPr>
        <w:tab/>
        <w:t xml:space="preserve">מ"ד </w:t>
      </w:r>
    </w:p>
    <w:p w:rsidR="006F705A" w:rsidRPr="006F705A" w:rsidRDefault="006F705A" w:rsidP="006F705A">
      <w:pPr>
        <w:jc w:val="both"/>
        <w:rPr>
          <w:rFonts w:ascii="Courier New" w:hAnsi="Courier New" w:cs="Arial"/>
          <w:szCs w:val="24"/>
          <w:rtl/>
        </w:rPr>
      </w:pPr>
      <w:r w:rsidRPr="006F705A">
        <w:rPr>
          <w:rFonts w:ascii="Courier New" w:hAnsi="Courier New" w:cs="Arial"/>
          <w:szCs w:val="24"/>
          <w:rtl/>
        </w:rPr>
        <w:t xml:space="preserve">יוד קי ויו קא </w:t>
      </w:r>
      <w:r w:rsidRPr="006F705A">
        <w:rPr>
          <w:rFonts w:ascii="Courier New" w:hAnsi="Courier New" w:cs="Arial"/>
          <w:szCs w:val="24"/>
          <w:rtl/>
        </w:rPr>
        <w:tab/>
        <w:t xml:space="preserve">ס"ג </w:t>
      </w:r>
    </w:p>
    <w:p w:rsidR="006F705A" w:rsidRPr="006F705A" w:rsidRDefault="006F705A" w:rsidP="006F705A">
      <w:pPr>
        <w:jc w:val="both"/>
        <w:rPr>
          <w:rFonts w:ascii="Courier New" w:hAnsi="Courier New" w:cs="Arial"/>
          <w:szCs w:val="24"/>
          <w:rtl/>
        </w:rPr>
      </w:pPr>
      <w:r w:rsidRPr="006F705A">
        <w:rPr>
          <w:rFonts w:ascii="Courier New" w:hAnsi="Courier New" w:cs="Arial"/>
          <w:szCs w:val="24"/>
          <w:rtl/>
        </w:rPr>
        <w:t xml:space="preserve">יוד קי ואו קה </w:t>
      </w:r>
      <w:r w:rsidRPr="006F705A">
        <w:rPr>
          <w:rFonts w:ascii="Courier New" w:hAnsi="Courier New" w:cs="Arial"/>
          <w:szCs w:val="24"/>
          <w:rtl/>
        </w:rPr>
        <w:tab/>
        <w:t xml:space="preserve">נ"ח </w:t>
      </w:r>
    </w:p>
    <w:p w:rsidR="006F705A" w:rsidRPr="006F705A" w:rsidRDefault="006F705A" w:rsidP="006F705A">
      <w:pPr>
        <w:jc w:val="both"/>
        <w:rPr>
          <w:rFonts w:ascii="Courier New" w:hAnsi="Courier New" w:cs="Arial"/>
          <w:szCs w:val="24"/>
          <w:rtl/>
        </w:rPr>
      </w:pPr>
      <w:r w:rsidRPr="006F705A">
        <w:rPr>
          <w:rFonts w:ascii="Courier New" w:hAnsi="Courier New" w:cs="Arial"/>
          <w:szCs w:val="24"/>
          <w:rtl/>
        </w:rPr>
        <w:t xml:space="preserve">יוד קי וו קה </w:t>
      </w:r>
      <w:r w:rsidRPr="006F705A">
        <w:rPr>
          <w:rFonts w:ascii="Courier New" w:hAnsi="Courier New" w:cs="Arial"/>
          <w:szCs w:val="24"/>
          <w:rtl/>
        </w:rPr>
        <w:tab/>
        <w:t>נ"ז</w:t>
      </w:r>
    </w:p>
    <w:p w:rsidR="006F705A" w:rsidRPr="006F705A" w:rsidRDefault="006F705A" w:rsidP="006F705A">
      <w:pPr>
        <w:jc w:val="both"/>
        <w:rPr>
          <w:rFonts w:ascii="Courier New" w:hAnsi="Courier New" w:cs="Arial"/>
          <w:szCs w:val="24"/>
          <w:rtl/>
        </w:rPr>
      </w:pPr>
    </w:p>
    <w:p w:rsidR="006F705A" w:rsidRPr="006F705A" w:rsidRDefault="006F705A" w:rsidP="006F705A">
      <w:pPr>
        <w:jc w:val="both"/>
        <w:rPr>
          <w:rFonts w:ascii="Courier New" w:hAnsi="Courier New" w:cs="Arial"/>
          <w:szCs w:val="24"/>
          <w:rtl/>
        </w:rPr>
      </w:pPr>
      <w:r w:rsidRPr="006F705A">
        <w:rPr>
          <w:rFonts w:ascii="Courier New" w:hAnsi="Courier New" w:cs="Arial"/>
          <w:szCs w:val="24"/>
          <w:rtl/>
        </w:rPr>
        <w:t xml:space="preserve">יוד קי ויו קא </w:t>
      </w:r>
      <w:r w:rsidRPr="006F705A">
        <w:rPr>
          <w:rFonts w:ascii="Courier New" w:hAnsi="Courier New" w:cs="Arial"/>
          <w:szCs w:val="24"/>
          <w:rtl/>
        </w:rPr>
        <w:tab/>
        <w:t xml:space="preserve">ס"ג </w:t>
      </w:r>
    </w:p>
    <w:p w:rsidR="006F705A" w:rsidRPr="006F705A" w:rsidRDefault="006F705A" w:rsidP="006F705A">
      <w:pPr>
        <w:jc w:val="both"/>
        <w:rPr>
          <w:rFonts w:ascii="Courier New" w:hAnsi="Courier New" w:cs="Arial"/>
          <w:szCs w:val="24"/>
          <w:rtl/>
        </w:rPr>
      </w:pPr>
      <w:r w:rsidRPr="006F705A">
        <w:rPr>
          <w:rFonts w:ascii="Courier New" w:hAnsi="Courier New" w:cs="Arial"/>
          <w:szCs w:val="24"/>
          <w:rtl/>
        </w:rPr>
        <w:t xml:space="preserve">יוד קי ואו קא </w:t>
      </w:r>
      <w:r w:rsidRPr="006F705A">
        <w:rPr>
          <w:rFonts w:ascii="Courier New" w:hAnsi="Courier New" w:cs="Arial"/>
          <w:szCs w:val="24"/>
          <w:rtl/>
        </w:rPr>
        <w:tab/>
        <w:t xml:space="preserve">נ"ד </w:t>
      </w:r>
    </w:p>
    <w:p w:rsidR="006F705A" w:rsidRPr="006F705A" w:rsidRDefault="006F705A" w:rsidP="006F705A">
      <w:pPr>
        <w:jc w:val="both"/>
        <w:rPr>
          <w:rFonts w:ascii="Courier New" w:hAnsi="Courier New" w:cs="Arial"/>
          <w:szCs w:val="24"/>
          <w:rtl/>
        </w:rPr>
      </w:pPr>
      <w:r w:rsidRPr="006F705A">
        <w:rPr>
          <w:rFonts w:ascii="Courier New" w:hAnsi="Courier New" w:cs="Arial"/>
          <w:szCs w:val="24"/>
          <w:rtl/>
        </w:rPr>
        <w:t xml:space="preserve">יוד קי וו קא </w:t>
      </w:r>
      <w:r w:rsidRPr="006F705A">
        <w:rPr>
          <w:rFonts w:ascii="Courier New" w:hAnsi="Courier New" w:cs="Arial"/>
          <w:szCs w:val="24"/>
          <w:rtl/>
        </w:rPr>
        <w:tab/>
        <w:t xml:space="preserve">נ"ג </w:t>
      </w:r>
    </w:p>
    <w:p w:rsidR="006F705A" w:rsidRPr="006F705A" w:rsidRDefault="006F705A" w:rsidP="006F705A">
      <w:pPr>
        <w:jc w:val="both"/>
        <w:rPr>
          <w:rFonts w:ascii="Courier New" w:hAnsi="Courier New" w:cs="Arial"/>
          <w:szCs w:val="24"/>
          <w:rtl/>
        </w:rPr>
      </w:pPr>
      <w:r w:rsidRPr="006F705A">
        <w:rPr>
          <w:rFonts w:ascii="Courier New" w:hAnsi="Courier New" w:cs="Arial"/>
          <w:szCs w:val="24"/>
          <w:rtl/>
        </w:rPr>
        <w:t xml:space="preserve">(יוד קי ואו קה </w:t>
      </w:r>
      <w:r w:rsidRPr="006F705A">
        <w:rPr>
          <w:rFonts w:ascii="Courier New" w:hAnsi="Courier New" w:cs="Arial"/>
          <w:szCs w:val="24"/>
          <w:rtl/>
        </w:rPr>
        <w:tab/>
        <w:t>ס"ז</w:t>
      </w:r>
    </w:p>
    <w:p w:rsidR="006F705A" w:rsidRPr="006F705A" w:rsidRDefault="006F705A" w:rsidP="006F705A">
      <w:pPr>
        <w:jc w:val="both"/>
        <w:rPr>
          <w:rFonts w:ascii="Courier New" w:hAnsi="Courier New" w:cs="Arial"/>
          <w:szCs w:val="24"/>
          <w:rtl/>
        </w:rPr>
      </w:pPr>
      <w:r w:rsidRPr="006F705A">
        <w:rPr>
          <w:rFonts w:ascii="Courier New" w:hAnsi="Courier New" w:cs="Arial"/>
          <w:szCs w:val="24"/>
          <w:rtl/>
        </w:rPr>
        <w:t xml:space="preserve">יוד קי ואו קה </w:t>
      </w:r>
      <w:r w:rsidRPr="006F705A">
        <w:rPr>
          <w:rFonts w:ascii="Courier New" w:hAnsi="Courier New" w:cs="Arial"/>
          <w:szCs w:val="24"/>
          <w:rtl/>
        </w:rPr>
        <w:tab/>
        <w:t xml:space="preserve">נ"ח </w:t>
      </w:r>
    </w:p>
    <w:p w:rsidR="006F705A" w:rsidRPr="006F705A" w:rsidRDefault="006F705A" w:rsidP="006F705A">
      <w:pPr>
        <w:jc w:val="both"/>
        <w:rPr>
          <w:rFonts w:ascii="Courier New" w:hAnsi="Courier New" w:cs="Arial"/>
          <w:szCs w:val="24"/>
          <w:rtl/>
        </w:rPr>
      </w:pPr>
      <w:r w:rsidRPr="006F705A">
        <w:rPr>
          <w:rFonts w:ascii="Courier New" w:hAnsi="Courier New" w:cs="Arial"/>
          <w:szCs w:val="24"/>
          <w:rtl/>
        </w:rPr>
        <w:lastRenderedPageBreak/>
        <w:t xml:space="preserve">יוד קי וו קה </w:t>
      </w:r>
      <w:r w:rsidRPr="006F705A">
        <w:rPr>
          <w:rFonts w:ascii="Courier New" w:hAnsi="Courier New" w:cs="Arial"/>
          <w:szCs w:val="24"/>
          <w:rtl/>
        </w:rPr>
        <w:tab/>
        <w:t>נ"ז)</w:t>
      </w:r>
    </w:p>
    <w:p w:rsidR="006F705A" w:rsidRPr="006F705A" w:rsidRDefault="006F705A" w:rsidP="006F705A">
      <w:pPr>
        <w:jc w:val="both"/>
        <w:rPr>
          <w:rFonts w:ascii="Courier New" w:hAnsi="Courier New" w:cs="Arial"/>
          <w:szCs w:val="24"/>
          <w:rtl/>
        </w:rPr>
      </w:pPr>
      <w:r w:rsidRPr="006F705A">
        <w:rPr>
          <w:rFonts w:ascii="Courier New" w:hAnsi="Courier New" w:cs="Arial"/>
          <w:szCs w:val="24"/>
          <w:rtl/>
        </w:rPr>
        <w:t>(ג' השמות המוסגרים נמצא עליהם מחק בכתב יד קדשו).</w:t>
      </w:r>
    </w:p>
    <w:p w:rsidR="006F705A" w:rsidRPr="006F705A" w:rsidRDefault="006F705A" w:rsidP="006F705A">
      <w:pPr>
        <w:jc w:val="both"/>
        <w:rPr>
          <w:rFonts w:ascii="Courier New" w:hAnsi="Courier New" w:cs="Arial"/>
          <w:szCs w:val="24"/>
          <w:rtl/>
        </w:rPr>
      </w:pPr>
    </w:p>
    <w:p w:rsidR="006F705A" w:rsidRPr="006F705A" w:rsidRDefault="006F705A" w:rsidP="006F705A">
      <w:pPr>
        <w:jc w:val="both"/>
        <w:rPr>
          <w:rFonts w:ascii="Courier New" w:hAnsi="Courier New" w:cs="Arial"/>
          <w:szCs w:val="24"/>
          <w:rtl/>
        </w:rPr>
      </w:pPr>
      <w:r w:rsidRPr="006F705A">
        <w:rPr>
          <w:rFonts w:ascii="Courier New" w:hAnsi="Courier New" w:cs="Arial"/>
          <w:szCs w:val="24"/>
          <w:rtl/>
        </w:rPr>
        <w:t>עכשיו נסדר המספר (המספר היה כתוב בכתב יד על אותיות ציפערין)</w:t>
      </w:r>
    </w:p>
    <w:p w:rsidR="006F705A" w:rsidRPr="006F705A" w:rsidRDefault="006F705A" w:rsidP="006F705A">
      <w:pPr>
        <w:jc w:val="both"/>
        <w:rPr>
          <w:rFonts w:ascii="Courier New" w:hAnsi="Courier New" w:cs="Arial"/>
          <w:szCs w:val="24"/>
          <w:rtl/>
        </w:rPr>
      </w:pPr>
      <w:r w:rsidRPr="006F705A">
        <w:rPr>
          <w:rFonts w:ascii="Courier New" w:hAnsi="Courier New" w:cs="Arial"/>
          <w:szCs w:val="24"/>
          <w:rtl/>
        </w:rPr>
        <w:t xml:space="preserve">יוד קי ויו קי </w:t>
      </w:r>
      <w:r w:rsidRPr="006F705A">
        <w:rPr>
          <w:rFonts w:ascii="Courier New" w:hAnsi="Courier New" w:cs="Arial"/>
          <w:szCs w:val="24"/>
          <w:rtl/>
        </w:rPr>
        <w:tab/>
        <w:t xml:space="preserve">ע"ב </w:t>
      </w:r>
    </w:p>
    <w:p w:rsidR="006F705A" w:rsidRPr="006F705A" w:rsidRDefault="006F705A" w:rsidP="006F705A">
      <w:pPr>
        <w:jc w:val="both"/>
        <w:rPr>
          <w:rFonts w:ascii="Courier New" w:hAnsi="Courier New" w:cs="Arial"/>
          <w:szCs w:val="24"/>
          <w:rtl/>
        </w:rPr>
      </w:pPr>
      <w:r w:rsidRPr="006F705A">
        <w:rPr>
          <w:rFonts w:ascii="Courier New" w:hAnsi="Courier New" w:cs="Arial"/>
          <w:szCs w:val="24"/>
          <w:rtl/>
        </w:rPr>
        <w:t xml:space="preserve">יוד קי ויו קה </w:t>
      </w:r>
      <w:r w:rsidRPr="006F705A">
        <w:rPr>
          <w:rFonts w:ascii="Courier New" w:hAnsi="Courier New" w:cs="Arial"/>
          <w:szCs w:val="24"/>
          <w:rtl/>
        </w:rPr>
        <w:tab/>
        <w:t xml:space="preserve">ס"ז </w:t>
      </w:r>
    </w:p>
    <w:p w:rsidR="006F705A" w:rsidRPr="006F705A" w:rsidRDefault="006F705A" w:rsidP="006F705A">
      <w:pPr>
        <w:jc w:val="both"/>
        <w:rPr>
          <w:rFonts w:ascii="Courier New" w:hAnsi="Courier New" w:cs="Arial"/>
          <w:szCs w:val="24"/>
          <w:rtl/>
        </w:rPr>
      </w:pPr>
      <w:r w:rsidRPr="006F705A">
        <w:rPr>
          <w:rFonts w:ascii="Courier New" w:hAnsi="Courier New" w:cs="Arial"/>
          <w:szCs w:val="24"/>
          <w:rtl/>
        </w:rPr>
        <w:t xml:space="preserve">יוד קי ואו קי </w:t>
      </w:r>
      <w:r w:rsidRPr="006F705A">
        <w:rPr>
          <w:rFonts w:ascii="Courier New" w:hAnsi="Courier New" w:cs="Arial"/>
          <w:szCs w:val="24"/>
          <w:rtl/>
        </w:rPr>
        <w:tab/>
        <w:t>ס"ג</w:t>
      </w:r>
    </w:p>
    <w:p w:rsidR="006F705A" w:rsidRPr="006F705A" w:rsidRDefault="006F705A" w:rsidP="006F705A">
      <w:pPr>
        <w:jc w:val="both"/>
        <w:rPr>
          <w:rFonts w:ascii="Courier New" w:hAnsi="Courier New" w:cs="Arial"/>
          <w:szCs w:val="24"/>
          <w:rtl/>
        </w:rPr>
      </w:pPr>
      <w:r w:rsidRPr="006F705A">
        <w:rPr>
          <w:rFonts w:ascii="Courier New" w:hAnsi="Courier New" w:cs="Arial"/>
          <w:szCs w:val="24"/>
          <w:rtl/>
        </w:rPr>
        <w:t xml:space="preserve">יוד קי ויו קי </w:t>
      </w:r>
      <w:r w:rsidRPr="006F705A">
        <w:rPr>
          <w:rFonts w:ascii="Courier New" w:hAnsi="Courier New" w:cs="Arial"/>
          <w:szCs w:val="24"/>
          <w:rtl/>
        </w:rPr>
        <w:tab/>
        <w:t xml:space="preserve">ס"ג </w:t>
      </w:r>
    </w:p>
    <w:p w:rsidR="006F705A" w:rsidRPr="006F705A" w:rsidRDefault="006F705A" w:rsidP="006F705A">
      <w:pPr>
        <w:jc w:val="both"/>
        <w:rPr>
          <w:rFonts w:ascii="Courier New" w:hAnsi="Courier New" w:cs="Arial"/>
          <w:szCs w:val="24"/>
          <w:rtl/>
        </w:rPr>
      </w:pPr>
      <w:r w:rsidRPr="006F705A">
        <w:rPr>
          <w:rFonts w:ascii="Courier New" w:hAnsi="Courier New" w:cs="Arial"/>
          <w:szCs w:val="24"/>
          <w:rtl/>
        </w:rPr>
        <w:t xml:space="preserve">יוד קי וו קי </w:t>
      </w:r>
      <w:r w:rsidRPr="006F705A">
        <w:rPr>
          <w:rFonts w:ascii="Courier New" w:hAnsi="Courier New" w:cs="Arial"/>
          <w:szCs w:val="24"/>
          <w:rtl/>
        </w:rPr>
        <w:tab/>
        <w:t xml:space="preserve">ס"ב </w:t>
      </w:r>
    </w:p>
    <w:p w:rsidR="006F705A" w:rsidRPr="006F705A" w:rsidRDefault="006F705A" w:rsidP="006F705A">
      <w:pPr>
        <w:jc w:val="both"/>
        <w:rPr>
          <w:rFonts w:ascii="Courier New" w:hAnsi="Courier New" w:cs="Arial"/>
          <w:szCs w:val="24"/>
          <w:rtl/>
        </w:rPr>
      </w:pPr>
      <w:r w:rsidRPr="006F705A">
        <w:rPr>
          <w:rFonts w:ascii="Courier New" w:hAnsi="Courier New" w:cs="Arial"/>
          <w:szCs w:val="24"/>
          <w:rtl/>
        </w:rPr>
        <w:t xml:space="preserve">יוד קה ויו קה </w:t>
      </w:r>
      <w:r w:rsidRPr="006F705A">
        <w:rPr>
          <w:rFonts w:ascii="Courier New" w:hAnsi="Courier New" w:cs="Arial"/>
          <w:szCs w:val="24"/>
          <w:rtl/>
        </w:rPr>
        <w:tab/>
        <w:t>ס"ב</w:t>
      </w:r>
    </w:p>
    <w:p w:rsidR="006F705A" w:rsidRPr="006F705A" w:rsidRDefault="006F705A" w:rsidP="006F705A">
      <w:pPr>
        <w:jc w:val="both"/>
        <w:rPr>
          <w:rFonts w:ascii="Courier New" w:hAnsi="Courier New" w:cs="Arial"/>
          <w:szCs w:val="24"/>
          <w:rtl/>
        </w:rPr>
      </w:pPr>
      <w:r w:rsidRPr="006F705A">
        <w:rPr>
          <w:rFonts w:ascii="Courier New" w:hAnsi="Courier New" w:cs="Arial"/>
          <w:szCs w:val="24"/>
          <w:rtl/>
        </w:rPr>
        <w:t xml:space="preserve">יוד קא ויו קא </w:t>
      </w:r>
      <w:r w:rsidRPr="006F705A">
        <w:rPr>
          <w:rFonts w:ascii="Courier New" w:hAnsi="Courier New" w:cs="Arial"/>
          <w:szCs w:val="24"/>
          <w:rtl/>
        </w:rPr>
        <w:tab/>
        <w:t xml:space="preserve">נ"ד </w:t>
      </w:r>
    </w:p>
    <w:p w:rsidR="006F705A" w:rsidRPr="006F705A" w:rsidRDefault="006F705A" w:rsidP="006F705A">
      <w:pPr>
        <w:jc w:val="both"/>
        <w:rPr>
          <w:rFonts w:ascii="Courier New" w:hAnsi="Courier New" w:cs="Arial"/>
          <w:szCs w:val="24"/>
          <w:rtl/>
        </w:rPr>
      </w:pPr>
      <w:r w:rsidRPr="006F705A">
        <w:rPr>
          <w:rFonts w:ascii="Courier New" w:hAnsi="Courier New" w:cs="Arial"/>
          <w:szCs w:val="24"/>
          <w:rtl/>
        </w:rPr>
        <w:t xml:space="preserve">יוד קי ואו קא </w:t>
      </w:r>
      <w:r w:rsidRPr="006F705A">
        <w:rPr>
          <w:rFonts w:ascii="Courier New" w:hAnsi="Courier New" w:cs="Arial"/>
          <w:szCs w:val="24"/>
          <w:rtl/>
        </w:rPr>
        <w:tab/>
        <w:t xml:space="preserve">נ"ד </w:t>
      </w:r>
    </w:p>
    <w:p w:rsidR="006F705A" w:rsidRPr="006F705A" w:rsidRDefault="006F705A" w:rsidP="006F705A">
      <w:pPr>
        <w:jc w:val="both"/>
        <w:rPr>
          <w:rFonts w:ascii="Courier New" w:hAnsi="Courier New" w:cs="Arial"/>
          <w:szCs w:val="24"/>
          <w:rtl/>
        </w:rPr>
      </w:pPr>
      <w:r w:rsidRPr="006F705A">
        <w:rPr>
          <w:rFonts w:ascii="Courier New" w:hAnsi="Courier New" w:cs="Arial"/>
          <w:szCs w:val="24"/>
          <w:rtl/>
        </w:rPr>
        <w:t xml:space="preserve">יוד קי ואו קה </w:t>
      </w:r>
      <w:r w:rsidRPr="006F705A">
        <w:rPr>
          <w:rFonts w:ascii="Courier New" w:hAnsi="Courier New" w:cs="Arial"/>
          <w:szCs w:val="24"/>
          <w:rtl/>
        </w:rPr>
        <w:tab/>
        <w:t xml:space="preserve">נ"ה </w:t>
      </w:r>
    </w:p>
    <w:p w:rsidR="006F705A" w:rsidRPr="006F705A" w:rsidRDefault="006F705A" w:rsidP="006F705A">
      <w:pPr>
        <w:jc w:val="both"/>
        <w:rPr>
          <w:rFonts w:ascii="Courier New" w:hAnsi="Courier New" w:cs="Arial"/>
          <w:szCs w:val="24"/>
          <w:rtl/>
        </w:rPr>
      </w:pPr>
      <w:r w:rsidRPr="006F705A">
        <w:rPr>
          <w:rFonts w:ascii="Courier New" w:hAnsi="Courier New" w:cs="Arial"/>
          <w:szCs w:val="24"/>
          <w:rtl/>
        </w:rPr>
        <w:t xml:space="preserve">יוד קי וו קה </w:t>
      </w:r>
      <w:r w:rsidRPr="006F705A">
        <w:rPr>
          <w:rFonts w:ascii="Courier New" w:hAnsi="Courier New" w:cs="Arial"/>
          <w:szCs w:val="24"/>
          <w:rtl/>
        </w:rPr>
        <w:tab/>
        <w:t xml:space="preserve">נ"ז </w:t>
      </w:r>
    </w:p>
    <w:p w:rsidR="006F705A" w:rsidRPr="006F705A" w:rsidRDefault="006F705A" w:rsidP="006F705A">
      <w:pPr>
        <w:jc w:val="both"/>
        <w:rPr>
          <w:rFonts w:ascii="Courier New" w:hAnsi="Courier New" w:cs="Arial"/>
          <w:szCs w:val="24"/>
          <w:rtl/>
        </w:rPr>
      </w:pPr>
      <w:r w:rsidRPr="006F705A">
        <w:rPr>
          <w:rFonts w:ascii="Courier New" w:hAnsi="Courier New" w:cs="Arial"/>
          <w:szCs w:val="24"/>
          <w:rtl/>
        </w:rPr>
        <w:t xml:space="preserve">יוד קה ואו קה </w:t>
      </w:r>
      <w:r w:rsidRPr="006F705A">
        <w:rPr>
          <w:rFonts w:ascii="Courier New" w:hAnsi="Courier New" w:cs="Arial"/>
          <w:szCs w:val="24"/>
          <w:rtl/>
        </w:rPr>
        <w:tab/>
        <w:t xml:space="preserve">נ"ג </w:t>
      </w:r>
    </w:p>
    <w:p w:rsidR="006F705A" w:rsidRPr="006F705A" w:rsidRDefault="006F705A" w:rsidP="006F705A">
      <w:pPr>
        <w:jc w:val="both"/>
        <w:rPr>
          <w:rFonts w:ascii="Courier New" w:hAnsi="Courier New" w:cs="Arial"/>
          <w:szCs w:val="24"/>
          <w:rtl/>
        </w:rPr>
      </w:pPr>
      <w:r w:rsidRPr="006F705A">
        <w:rPr>
          <w:rFonts w:ascii="Courier New" w:hAnsi="Courier New" w:cs="Arial"/>
          <w:szCs w:val="24"/>
          <w:rtl/>
        </w:rPr>
        <w:lastRenderedPageBreak/>
        <w:t xml:space="preserve">יוד קי וו קא </w:t>
      </w:r>
      <w:r w:rsidRPr="006F705A">
        <w:rPr>
          <w:rFonts w:ascii="Courier New" w:hAnsi="Courier New" w:cs="Arial"/>
          <w:szCs w:val="24"/>
          <w:rtl/>
        </w:rPr>
        <w:tab/>
        <w:t>נ"ג</w:t>
      </w:r>
    </w:p>
    <w:p w:rsidR="006F705A" w:rsidRPr="006F705A" w:rsidRDefault="006F705A" w:rsidP="006F705A">
      <w:pPr>
        <w:jc w:val="both"/>
        <w:rPr>
          <w:rFonts w:ascii="Courier New" w:hAnsi="Courier New" w:cs="Arial"/>
          <w:szCs w:val="24"/>
          <w:rtl/>
        </w:rPr>
      </w:pPr>
      <w:r w:rsidRPr="006F705A">
        <w:rPr>
          <w:rFonts w:ascii="Courier New" w:hAnsi="Courier New" w:cs="Arial"/>
          <w:szCs w:val="24"/>
          <w:rtl/>
        </w:rPr>
        <w:t xml:space="preserve">יוד קה וו קה </w:t>
      </w:r>
      <w:r w:rsidRPr="006F705A">
        <w:rPr>
          <w:rFonts w:ascii="Courier New" w:hAnsi="Courier New" w:cs="Arial"/>
          <w:szCs w:val="24"/>
          <w:rtl/>
        </w:rPr>
        <w:tab/>
        <w:t xml:space="preserve">נ"ב </w:t>
      </w:r>
    </w:p>
    <w:p w:rsidR="006F705A" w:rsidRPr="006F705A" w:rsidRDefault="006F705A" w:rsidP="006F705A">
      <w:pPr>
        <w:jc w:val="both"/>
        <w:rPr>
          <w:rFonts w:ascii="Courier New" w:hAnsi="Courier New" w:cs="Arial"/>
          <w:szCs w:val="24"/>
          <w:rtl/>
        </w:rPr>
      </w:pPr>
      <w:r w:rsidRPr="006F705A">
        <w:rPr>
          <w:rFonts w:ascii="Courier New" w:hAnsi="Courier New" w:cs="Arial"/>
          <w:szCs w:val="24"/>
          <w:rtl/>
        </w:rPr>
        <w:t xml:space="preserve">יוד קא ואו קא </w:t>
      </w:r>
      <w:r w:rsidRPr="006F705A">
        <w:rPr>
          <w:rFonts w:ascii="Courier New" w:hAnsi="Courier New" w:cs="Arial"/>
          <w:szCs w:val="24"/>
          <w:rtl/>
        </w:rPr>
        <w:tab/>
        <w:t xml:space="preserve">מ"ה </w:t>
      </w:r>
    </w:p>
    <w:p w:rsidR="006F705A" w:rsidRPr="006F705A" w:rsidRDefault="006F705A" w:rsidP="006F705A">
      <w:pPr>
        <w:jc w:val="both"/>
        <w:rPr>
          <w:rFonts w:ascii="Courier New" w:hAnsi="Courier New" w:cs="Arial"/>
          <w:szCs w:val="24"/>
          <w:rtl/>
        </w:rPr>
      </w:pPr>
      <w:r w:rsidRPr="006F705A">
        <w:rPr>
          <w:rFonts w:ascii="Courier New" w:hAnsi="Courier New" w:cs="Arial"/>
          <w:szCs w:val="24"/>
          <w:rtl/>
        </w:rPr>
        <w:t xml:space="preserve">יוד קא וו קא </w:t>
      </w:r>
      <w:r w:rsidRPr="006F705A">
        <w:rPr>
          <w:rFonts w:ascii="Courier New" w:hAnsi="Courier New" w:cs="Arial"/>
          <w:szCs w:val="24"/>
          <w:rtl/>
        </w:rPr>
        <w:tab/>
        <w:t xml:space="preserve">מ"ד </w:t>
      </w:r>
    </w:p>
    <w:p w:rsidR="006F705A" w:rsidRPr="006F705A" w:rsidRDefault="006F705A" w:rsidP="006F705A">
      <w:pPr>
        <w:jc w:val="both"/>
        <w:rPr>
          <w:rFonts w:ascii="Courier New" w:hAnsi="Courier New" w:cs="Arial"/>
          <w:b/>
          <w:bCs/>
          <w:szCs w:val="24"/>
          <w:rtl/>
        </w:rPr>
      </w:pPr>
      <w:r w:rsidRPr="006F705A">
        <w:rPr>
          <w:rFonts w:ascii="Courier New" w:hAnsi="Courier New" w:cs="Arial"/>
          <w:b/>
          <w:bCs/>
          <w:szCs w:val="24"/>
          <w:rtl/>
        </w:rPr>
        <w:t xml:space="preserve">ס"ה כל הנ"ל </w:t>
      </w:r>
      <w:r w:rsidRPr="006F705A">
        <w:rPr>
          <w:rFonts w:ascii="Courier New" w:hAnsi="Courier New" w:cs="Arial"/>
          <w:b/>
          <w:bCs/>
          <w:szCs w:val="24"/>
          <w:rtl/>
        </w:rPr>
        <w:tab/>
        <w:t>תתנט.</w:t>
      </w:r>
    </w:p>
    <w:p w:rsidR="006F705A" w:rsidRPr="006F705A" w:rsidRDefault="006F705A" w:rsidP="006F705A">
      <w:pPr>
        <w:jc w:val="both"/>
        <w:rPr>
          <w:rFonts w:ascii="Courier New" w:hAnsi="Courier New" w:cs="Arial"/>
          <w:szCs w:val="24"/>
          <w:rtl/>
        </w:rPr>
      </w:pPr>
    </w:p>
    <w:p w:rsidR="006F705A" w:rsidRPr="006F705A" w:rsidRDefault="006F705A" w:rsidP="006F705A">
      <w:pPr>
        <w:jc w:val="both"/>
        <w:rPr>
          <w:rFonts w:ascii="Courier New" w:hAnsi="Courier New" w:cs="Arial"/>
          <w:szCs w:val="24"/>
          <w:rtl/>
        </w:rPr>
      </w:pPr>
      <w:r w:rsidRPr="006F705A">
        <w:rPr>
          <w:rFonts w:ascii="Courier New" w:hAnsi="Courier New" w:cs="Arial"/>
          <w:szCs w:val="24"/>
          <w:rtl/>
        </w:rPr>
        <w:t xml:space="preserve">ונמצא יש כאן ב"פ ס"ג כזה </w:t>
      </w:r>
    </w:p>
    <w:p w:rsidR="006F705A" w:rsidRPr="006F705A" w:rsidRDefault="006F705A" w:rsidP="006F705A">
      <w:pPr>
        <w:jc w:val="both"/>
        <w:rPr>
          <w:rFonts w:ascii="Courier New" w:hAnsi="Courier New" w:cs="Arial"/>
          <w:szCs w:val="24"/>
          <w:rtl/>
        </w:rPr>
      </w:pPr>
      <w:r w:rsidRPr="006F705A">
        <w:rPr>
          <w:rFonts w:ascii="Courier New" w:hAnsi="Courier New" w:cs="Arial"/>
          <w:szCs w:val="24"/>
          <w:rtl/>
        </w:rPr>
        <w:t xml:space="preserve">יוד קי ואו קי </w:t>
      </w:r>
      <w:r w:rsidRPr="006F705A">
        <w:rPr>
          <w:rFonts w:ascii="Courier New" w:hAnsi="Courier New" w:cs="Arial"/>
          <w:szCs w:val="24"/>
          <w:rtl/>
        </w:rPr>
        <w:tab/>
        <w:t xml:space="preserve">עולה ס"ג </w:t>
      </w:r>
    </w:p>
    <w:p w:rsidR="006F705A" w:rsidRPr="006F705A" w:rsidRDefault="006F705A" w:rsidP="006F705A">
      <w:pPr>
        <w:jc w:val="both"/>
        <w:rPr>
          <w:rFonts w:ascii="Courier New" w:hAnsi="Courier New" w:cs="Arial"/>
          <w:szCs w:val="24"/>
          <w:rtl/>
        </w:rPr>
      </w:pPr>
      <w:r w:rsidRPr="006F705A">
        <w:rPr>
          <w:rFonts w:ascii="Courier New" w:hAnsi="Courier New" w:cs="Arial"/>
          <w:szCs w:val="24"/>
          <w:rtl/>
        </w:rPr>
        <w:t xml:space="preserve">יוד קי ויו קא </w:t>
      </w:r>
      <w:r w:rsidRPr="006F705A">
        <w:rPr>
          <w:rFonts w:ascii="Courier New" w:hAnsi="Courier New" w:cs="Arial"/>
          <w:szCs w:val="24"/>
          <w:rtl/>
        </w:rPr>
        <w:tab/>
        <w:t xml:space="preserve">עולה ס"ג </w:t>
      </w:r>
    </w:p>
    <w:p w:rsidR="006F705A" w:rsidRPr="006F705A" w:rsidRDefault="006F705A" w:rsidP="006F705A">
      <w:pPr>
        <w:jc w:val="both"/>
        <w:rPr>
          <w:rFonts w:ascii="Courier New" w:hAnsi="Courier New" w:cs="Arial"/>
          <w:szCs w:val="24"/>
          <w:rtl/>
        </w:rPr>
      </w:pPr>
      <w:r w:rsidRPr="006F705A">
        <w:rPr>
          <w:rFonts w:ascii="Courier New" w:hAnsi="Courier New" w:cs="Arial"/>
          <w:szCs w:val="24"/>
          <w:rtl/>
        </w:rPr>
        <w:t xml:space="preserve">ושני פעמים ס"ב כזה </w:t>
      </w:r>
    </w:p>
    <w:p w:rsidR="006F705A" w:rsidRPr="006F705A" w:rsidRDefault="006F705A" w:rsidP="006F705A">
      <w:pPr>
        <w:jc w:val="both"/>
        <w:rPr>
          <w:rFonts w:ascii="Courier New" w:hAnsi="Courier New" w:cs="Arial"/>
          <w:szCs w:val="24"/>
          <w:rtl/>
        </w:rPr>
      </w:pPr>
      <w:r w:rsidRPr="006F705A">
        <w:rPr>
          <w:rFonts w:ascii="Courier New" w:hAnsi="Courier New" w:cs="Arial"/>
          <w:szCs w:val="24"/>
          <w:rtl/>
        </w:rPr>
        <w:t xml:space="preserve">יוד קי וו קי </w:t>
      </w:r>
      <w:r w:rsidRPr="006F705A">
        <w:rPr>
          <w:rFonts w:ascii="Courier New" w:hAnsi="Courier New" w:cs="Arial"/>
          <w:szCs w:val="24"/>
          <w:rtl/>
        </w:rPr>
        <w:tab/>
        <w:t xml:space="preserve">ס"ב </w:t>
      </w:r>
    </w:p>
    <w:p w:rsidR="006F705A" w:rsidRPr="006F705A" w:rsidRDefault="006F705A" w:rsidP="006F705A">
      <w:pPr>
        <w:jc w:val="both"/>
        <w:rPr>
          <w:rFonts w:ascii="Courier New" w:hAnsi="Courier New" w:cs="Arial"/>
          <w:szCs w:val="24"/>
          <w:rtl/>
        </w:rPr>
      </w:pPr>
      <w:r w:rsidRPr="006F705A">
        <w:rPr>
          <w:rFonts w:ascii="Courier New" w:hAnsi="Courier New" w:cs="Arial"/>
          <w:szCs w:val="24"/>
          <w:rtl/>
        </w:rPr>
        <w:t xml:space="preserve">יוד קה ויו קה </w:t>
      </w:r>
      <w:r w:rsidRPr="006F705A">
        <w:rPr>
          <w:rFonts w:ascii="Courier New" w:hAnsi="Courier New" w:cs="Arial"/>
          <w:szCs w:val="24"/>
          <w:rtl/>
        </w:rPr>
        <w:tab/>
        <w:t xml:space="preserve">ס"ב </w:t>
      </w:r>
    </w:p>
    <w:p w:rsidR="006F705A" w:rsidRPr="006F705A" w:rsidRDefault="006F705A" w:rsidP="006F705A">
      <w:pPr>
        <w:jc w:val="both"/>
        <w:rPr>
          <w:rFonts w:ascii="Courier New" w:hAnsi="Courier New" w:cs="Arial"/>
          <w:szCs w:val="24"/>
          <w:rtl/>
        </w:rPr>
      </w:pPr>
      <w:r w:rsidRPr="006F705A">
        <w:rPr>
          <w:rFonts w:ascii="Courier New" w:hAnsi="Courier New" w:cs="Arial"/>
          <w:szCs w:val="24"/>
          <w:rtl/>
        </w:rPr>
        <w:t>ושני פעמים נ"ד כזה</w:t>
      </w:r>
    </w:p>
    <w:p w:rsidR="006F705A" w:rsidRPr="006F705A" w:rsidRDefault="006F705A" w:rsidP="006F705A">
      <w:pPr>
        <w:jc w:val="both"/>
        <w:rPr>
          <w:rFonts w:ascii="Courier New" w:hAnsi="Courier New" w:cs="Arial"/>
          <w:szCs w:val="24"/>
          <w:rtl/>
        </w:rPr>
      </w:pPr>
      <w:r w:rsidRPr="006F705A">
        <w:rPr>
          <w:rFonts w:ascii="Courier New" w:hAnsi="Courier New" w:cs="Arial"/>
          <w:szCs w:val="24"/>
          <w:rtl/>
        </w:rPr>
        <w:t xml:space="preserve">יוד קא ויו קא </w:t>
      </w:r>
      <w:r w:rsidRPr="006F705A">
        <w:rPr>
          <w:rFonts w:ascii="Courier New" w:hAnsi="Courier New" w:cs="Arial"/>
          <w:szCs w:val="24"/>
          <w:rtl/>
        </w:rPr>
        <w:tab/>
        <w:t xml:space="preserve">נ"ד </w:t>
      </w:r>
    </w:p>
    <w:p w:rsidR="006F705A" w:rsidRPr="006F705A" w:rsidRDefault="006F705A" w:rsidP="006F705A">
      <w:pPr>
        <w:jc w:val="both"/>
        <w:rPr>
          <w:rFonts w:ascii="Courier New" w:hAnsi="Courier New" w:cs="Arial"/>
          <w:szCs w:val="24"/>
          <w:rtl/>
        </w:rPr>
      </w:pPr>
      <w:r w:rsidRPr="006F705A">
        <w:rPr>
          <w:rFonts w:ascii="Courier New" w:hAnsi="Courier New" w:cs="Arial"/>
          <w:szCs w:val="24"/>
          <w:rtl/>
        </w:rPr>
        <w:t xml:space="preserve">יוד קי ואו קא </w:t>
      </w:r>
      <w:r w:rsidRPr="006F705A">
        <w:rPr>
          <w:rFonts w:ascii="Courier New" w:hAnsi="Courier New" w:cs="Arial"/>
          <w:szCs w:val="24"/>
          <w:rtl/>
        </w:rPr>
        <w:tab/>
        <w:t xml:space="preserve">נ"ד </w:t>
      </w:r>
    </w:p>
    <w:p w:rsidR="006F705A" w:rsidRPr="006F705A" w:rsidRDefault="006F705A" w:rsidP="006F705A">
      <w:pPr>
        <w:jc w:val="both"/>
        <w:rPr>
          <w:rFonts w:ascii="Courier New" w:hAnsi="Courier New" w:cs="Arial"/>
          <w:szCs w:val="24"/>
          <w:rtl/>
        </w:rPr>
      </w:pPr>
      <w:r w:rsidRPr="006F705A">
        <w:rPr>
          <w:rFonts w:ascii="Courier New" w:hAnsi="Courier New" w:cs="Arial"/>
          <w:szCs w:val="24"/>
          <w:rtl/>
        </w:rPr>
        <w:t xml:space="preserve">ושני פעמים נ"ג כזה </w:t>
      </w:r>
    </w:p>
    <w:p w:rsidR="006F705A" w:rsidRPr="006F705A" w:rsidRDefault="006F705A" w:rsidP="006F705A">
      <w:pPr>
        <w:jc w:val="both"/>
        <w:rPr>
          <w:rFonts w:ascii="Courier New" w:hAnsi="Courier New" w:cs="Arial"/>
          <w:szCs w:val="24"/>
          <w:rtl/>
        </w:rPr>
      </w:pPr>
      <w:r w:rsidRPr="006F705A">
        <w:rPr>
          <w:rFonts w:ascii="Courier New" w:hAnsi="Courier New" w:cs="Arial"/>
          <w:szCs w:val="24"/>
          <w:rtl/>
        </w:rPr>
        <w:t xml:space="preserve">יוד קה ואו קה </w:t>
      </w:r>
      <w:r w:rsidRPr="006F705A">
        <w:rPr>
          <w:rFonts w:ascii="Courier New" w:hAnsi="Courier New" w:cs="Arial"/>
          <w:szCs w:val="24"/>
          <w:rtl/>
        </w:rPr>
        <w:tab/>
        <w:t xml:space="preserve">נ"ג </w:t>
      </w:r>
    </w:p>
    <w:p w:rsidR="006F705A" w:rsidRPr="006F705A" w:rsidRDefault="006F705A" w:rsidP="006F705A">
      <w:pPr>
        <w:jc w:val="both"/>
        <w:rPr>
          <w:rFonts w:ascii="Courier New" w:hAnsi="Courier New" w:cs="Arial"/>
          <w:szCs w:val="24"/>
          <w:rtl/>
        </w:rPr>
      </w:pPr>
      <w:r w:rsidRPr="006F705A">
        <w:rPr>
          <w:rFonts w:ascii="Courier New" w:hAnsi="Courier New" w:cs="Arial"/>
          <w:szCs w:val="24"/>
          <w:rtl/>
        </w:rPr>
        <w:t xml:space="preserve">יוד קי וו קא </w:t>
      </w:r>
      <w:r w:rsidRPr="006F705A">
        <w:rPr>
          <w:rFonts w:ascii="Courier New" w:hAnsi="Courier New" w:cs="Arial"/>
          <w:szCs w:val="24"/>
          <w:rtl/>
        </w:rPr>
        <w:tab/>
        <w:t xml:space="preserve">נ"ג </w:t>
      </w:r>
    </w:p>
    <w:p w:rsidR="006F705A" w:rsidRPr="006F705A" w:rsidRDefault="006F705A" w:rsidP="006F705A">
      <w:pPr>
        <w:jc w:val="both"/>
        <w:rPr>
          <w:rFonts w:ascii="Courier New" w:hAnsi="Courier New" w:cs="Arial"/>
          <w:szCs w:val="24"/>
          <w:rtl/>
        </w:rPr>
        <w:sectPr w:rsidR="006F705A" w:rsidRPr="006F705A">
          <w:type w:val="continuous"/>
          <w:pgSz w:w="11906" w:h="16838"/>
          <w:pgMar w:top="1440" w:right="1152" w:bottom="1440" w:left="1152" w:header="720" w:footer="720" w:gutter="0"/>
          <w:cols w:num="3" w:space="720"/>
          <w:bidi/>
          <w:rtlGutter/>
        </w:sectPr>
      </w:pPr>
    </w:p>
    <w:p w:rsidR="006F705A" w:rsidRPr="006F705A" w:rsidRDefault="006F705A" w:rsidP="006F705A">
      <w:pPr>
        <w:jc w:val="both"/>
        <w:rPr>
          <w:rFonts w:ascii="Courier New" w:hAnsi="Courier New" w:cs="Arial"/>
          <w:szCs w:val="24"/>
          <w:rtl/>
        </w:rPr>
      </w:pPr>
    </w:p>
    <w:p w:rsidR="006F705A" w:rsidRPr="006F705A" w:rsidRDefault="006F705A" w:rsidP="006F705A">
      <w:pPr>
        <w:jc w:val="both"/>
        <w:rPr>
          <w:rFonts w:ascii="Courier New" w:hAnsi="Courier New" w:cs="Arial"/>
          <w:szCs w:val="24"/>
          <w:rtl/>
        </w:rPr>
        <w:sectPr w:rsidR="006F705A" w:rsidRPr="006F705A">
          <w:type w:val="continuous"/>
          <w:pgSz w:w="11906" w:h="16838"/>
          <w:pgMar w:top="1440" w:right="1152" w:bottom="1440" w:left="1152" w:header="720" w:footer="720" w:gutter="0"/>
          <w:cols w:space="720"/>
          <w:bidi/>
          <w:rtlGutter/>
        </w:sectPr>
      </w:pPr>
    </w:p>
    <w:p w:rsidR="006F705A" w:rsidRPr="006F705A" w:rsidRDefault="006F705A" w:rsidP="006F705A">
      <w:pPr>
        <w:jc w:val="both"/>
        <w:rPr>
          <w:rFonts w:ascii="Courier New" w:hAnsi="Courier New" w:cs="Arial"/>
          <w:szCs w:val="24"/>
          <w:rtl/>
        </w:rPr>
        <w:sectPr w:rsidR="006F705A" w:rsidRPr="006F705A">
          <w:type w:val="continuous"/>
          <w:pgSz w:w="11906" w:h="16838"/>
          <w:pgMar w:top="1440" w:right="1152" w:bottom="1440" w:left="1152" w:header="720" w:footer="720" w:gutter="0"/>
          <w:cols w:space="720"/>
          <w:bidi/>
          <w:rtlGutter/>
        </w:sectPr>
      </w:pPr>
    </w:p>
    <w:p w:rsidR="006F705A" w:rsidRPr="006F705A" w:rsidRDefault="006F705A" w:rsidP="006F705A">
      <w:pPr>
        <w:jc w:val="both"/>
        <w:rPr>
          <w:rFonts w:ascii="Courier New" w:hAnsi="Courier New" w:cs="Arial"/>
          <w:szCs w:val="24"/>
          <w:rtl/>
        </w:rPr>
      </w:pPr>
    </w:p>
    <w:p w:rsidR="006F705A" w:rsidRPr="006F705A" w:rsidRDefault="006F705A" w:rsidP="006F705A">
      <w:pPr>
        <w:jc w:val="both"/>
        <w:rPr>
          <w:rFonts w:ascii="Courier New" w:hAnsi="Courier New" w:cs="Arial"/>
          <w:b/>
          <w:bCs/>
          <w:szCs w:val="24"/>
          <w:u w:val="single"/>
          <w:rtl/>
        </w:rPr>
      </w:pPr>
      <w:r w:rsidRPr="006F705A">
        <w:rPr>
          <w:rFonts w:ascii="Courier New" w:hAnsi="Courier New" w:cs="Arial"/>
          <w:b/>
          <w:bCs/>
          <w:szCs w:val="24"/>
          <w:u w:val="single"/>
          <w:rtl/>
        </w:rPr>
        <w:t>הערה שנדפסה בספר תיקוני זוהר עם ביאור הגר"א</w:t>
      </w:r>
    </w:p>
    <w:p w:rsidR="006F705A" w:rsidRPr="006F705A" w:rsidRDefault="006F705A" w:rsidP="006F705A">
      <w:pPr>
        <w:jc w:val="both"/>
        <w:rPr>
          <w:rFonts w:ascii="Courier New" w:hAnsi="Courier New" w:cs="Arial"/>
          <w:b/>
          <w:bCs/>
          <w:szCs w:val="24"/>
          <w:rtl/>
        </w:rPr>
      </w:pPr>
      <w:r w:rsidRPr="006F705A">
        <w:rPr>
          <w:rFonts w:ascii="Courier New" w:hAnsi="Courier New" w:cs="Arial"/>
          <w:szCs w:val="24"/>
          <w:rtl/>
        </w:rPr>
        <w:t>חכמת הקבלה היא חכמת רוחניות התורה ושרשיה. כפי שבאה בקבלה לראשי האומה והאור האלקי הזה הופיע גם באהלי יפת. וגדולי חכמי יון נאותו לאור יקרות זה. והתקרבו במקצת דעותיהם לדעות חכמי הקבלה. וביחוד הפילוסוף אפלטון היוני כמבואר בס' שער השמים. וגם העמים אשר לא מבני ישראל המה וממעי יהודה יצאה אמונתם. קבלו הרבה מיסודות חכמת הקבלה. ולהיות שנושאי החכמה האלקית הזאת הם נושאים עיונים דקים מאד. וקצרה השפה האנושית למצוא לה שמות ופעלים מסכימים לבאור ענינים הרמים האלה. השתמשו חכמי הקבלה בכנויים ותארים מליצים ומשלים רמזים. להסביר את האזן. והלכו בזה בדרך הנביאים ומשוררי קודש. אשר משלו את הדבקות האלקית בעולם הבריאה במשלי אהבה וחשק. וגם חכמי הפילוסופים קראו את החומר והצורה בשם איש ואשה. אשר על כן נודע לכל אשר יש לו יד בחכמת הקבלה. כי כל הכנויים והמשלים מעניני הזווג הבאים בספר הזוהר ותיקוני זוהר ובשאר ספרי הקבלה רומזים לפעולת המשפיע והפעלת המקבלים בהשתלשלות כחות השכלים הנבדלים ובריאת העולם התחתון. וחלילה להם לקדושי עליון להוציא דבר מגונה מפיהם.אבל כל כוונתם לשם שמים. להסביר את הענינים הרמים האלה בדרך שהיא שומעת.</w:t>
      </w:r>
      <w:r w:rsidRPr="006F705A">
        <w:rPr>
          <w:rFonts w:ascii="Courier New" w:hAnsi="Courier New" w:cs="Arial"/>
          <w:b/>
          <w:bCs/>
          <w:szCs w:val="24"/>
          <w:rtl/>
        </w:rPr>
        <w:t xml:space="preserve"> </w:t>
      </w:r>
    </w:p>
    <w:p w:rsidR="006F705A" w:rsidRPr="006F705A" w:rsidRDefault="006F705A" w:rsidP="006F705A">
      <w:pPr>
        <w:jc w:val="both"/>
        <w:rPr>
          <w:rFonts w:ascii="Courier New" w:hAnsi="Courier New" w:cs="Arial"/>
          <w:b/>
          <w:bCs/>
          <w:szCs w:val="24"/>
          <w:rtl/>
        </w:rPr>
      </w:pPr>
      <w:r w:rsidRPr="006F705A">
        <w:rPr>
          <w:rFonts w:ascii="Courier New" w:hAnsi="Courier New" w:cs="Arial"/>
          <w:szCs w:val="24"/>
          <w:rtl/>
        </w:rPr>
        <w:t>[</w:t>
      </w:r>
      <w:r w:rsidRPr="006F705A">
        <w:rPr>
          <w:rFonts w:ascii="Courier New" w:hAnsi="Courier New" w:cs="Arial"/>
          <w:b/>
          <w:bCs/>
          <w:szCs w:val="24"/>
          <w:rtl/>
        </w:rPr>
        <w:t xml:space="preserve">וז"ל המגיה ת"ע (ק"כ ע"ב). </w:t>
      </w:r>
      <w:r w:rsidRPr="006F705A">
        <w:rPr>
          <w:rFonts w:ascii="Courier New" w:hAnsi="Courier New" w:cs="Arial"/>
          <w:szCs w:val="24"/>
          <w:rtl/>
        </w:rPr>
        <w:t>אתה בן אדם קודם שתכנס בעיון זה להזהירך באתי שתעמיד רגליך על במתי האמונה האמתית ותקעת יתד במקום נאמן פן יפתוך רעיונים זדונים ויעלו דברים על לבבך ומלין לצד עלאה תמלל בראותך בתקון זה שידובר בו משערא ומצחא ואודנין ואנפין ושאר אברים גשמיים השמר אל תפן אל און ליחס ולתאר לעלאה על כל עלאין סתימא על כל סתימין שמץ דבר מזה אפילו בהרהור כי לעלת העלות לית מחשבה תפיסא ביה כלל לית ביה לא דיוקן ולא דמיון ולא צורה ולא אברים גשמיים ולית ליה שם ידיע אבל הוא ממלא כל שמהן והוא שלימו דכלהו. ראה גם ראה מ"ש התנא האלקי רבי שמעון בן יוחאי כשרצה לגלות סתרי התורה באדרא פתח ואמר ארור האיש אשר יעשה פסל ומסכה וזה להסיר מלב כל המעיינים כל דבר עתק פן ח"ו יכשלו ונפלו ועברו משכיות לבב ימיקו וידברו ברע מאחר שהיה רוצה לדבר מראש ועין ואזן כו' היה ירא שמא יטעו ליחס ולתאר לבורא יתברך גוף ותמונה ומשה אמר כי לא ראיתם כל תמונה וישעיה אמר ואל מי תדמיון אל ומה דמות תערכו לו. ואל מי תדמיוני ואשוה יאמר קדוש ודומיהם. שכולם יעידון יגידון שאין דמיון בינו יתברך ובינינו מצד העצם והתבנית אלא שהאברים שבנו הם עשויים כסימנים לדברים עליונים סתומים וחתומים שאין כח השכלי שבאדם יכול להשיגם ואין שיח ואין שיג לו להבינם וקצר מצע דעתו לרדת לעמקם. ואיני רשאי להכניס ראשי בין ההרים הרמים הלא הם בעלי הקבלה אשר העמיקו הרחיבו דבריהם על הדרוש הזה רק יראתי פן עובדי פשתים שריקות ואורגים חורי קורי עכביש יארוגו בדעות כוזבות יאריכו למעניתם. לך נא ראה מ"ש ע"ז ר' יוסף ן' גיקיטליא בהקדמת שערי אורה. ובמ"ש בעל החנוך בהקדמתו לפירוש התורה. והאלקי ר' מנחם מריקאנטי ז"ל בפרשת ויחי בפסוק בן פורת יוסף. ובמ"ש ר' יהודה חייט בפי' מערכת האלקות (ד' ל"ד) וז"ל סוף דבר כל מקום שתראה שידברו בענין הספירות דברים שאין ראוי לאמרם בבורא ית' כגון שעור וקומה והדומים להם הכל נאמר על הספירות. וכשתראה שידברו על דרך שבח והודאה הכל נאמר על הבורא כו' ע"ש ומש"ש בדף (ל"ה ב') בזה בארוכה. וה"י יטהר לבנו ויאיר עינינו להבין ולהשכיל בכל עמקי סודות הרשב"י ז"ל אשר ע"י נזכה לעבדו בלבב שלם ולהדבק בתורתו אנחנו וצאצאינו כנ"י אמן]</w:t>
      </w:r>
    </w:p>
    <w:p w:rsidR="006F705A" w:rsidRPr="006F705A" w:rsidRDefault="006F705A" w:rsidP="006F705A">
      <w:pPr>
        <w:jc w:val="both"/>
        <w:rPr>
          <w:rFonts w:ascii="Courier New" w:hAnsi="Courier New" w:cs="Arial"/>
          <w:b/>
          <w:bCs/>
          <w:szCs w:val="24"/>
          <w:rtl/>
        </w:rPr>
      </w:pPr>
    </w:p>
    <w:p w:rsidR="006F705A" w:rsidRPr="006F705A" w:rsidRDefault="006F705A" w:rsidP="006F705A">
      <w:pPr>
        <w:rPr>
          <w:rFonts w:ascii="Courier New" w:hAnsi="Courier New" w:cs="Arial"/>
          <w:b/>
          <w:bCs/>
          <w:szCs w:val="24"/>
          <w:u w:val="single"/>
          <w:rtl/>
        </w:rPr>
      </w:pPr>
      <w:r w:rsidRPr="006F705A">
        <w:rPr>
          <w:rFonts w:ascii="Courier New" w:hAnsi="Courier New" w:cs="Arial"/>
          <w:b/>
          <w:bCs/>
          <w:szCs w:val="24"/>
          <w:u w:val="single"/>
          <w:rtl/>
        </w:rPr>
        <w:t>תפלה קודם לימוד הקבלה מהאר"י זללה"ה</w:t>
      </w:r>
    </w:p>
    <w:p w:rsidR="006F705A" w:rsidRPr="006F705A" w:rsidRDefault="006F705A" w:rsidP="006F705A">
      <w:pPr>
        <w:jc w:val="both"/>
        <w:rPr>
          <w:rFonts w:ascii="Courier New" w:hAnsi="Courier New" w:cs="Arial"/>
          <w:szCs w:val="24"/>
          <w:rtl/>
        </w:rPr>
      </w:pPr>
      <w:r w:rsidRPr="006F705A">
        <w:rPr>
          <w:rFonts w:ascii="Courier New" w:hAnsi="Courier New" w:cs="Arial"/>
          <w:szCs w:val="24"/>
          <w:rtl/>
        </w:rPr>
        <w:t>רבון העולמים ואדוני האדונים אב הרחמים והסליחות</w:t>
      </w:r>
      <w:r w:rsidR="00611A1C">
        <w:rPr>
          <w:rFonts w:ascii="Courier New" w:hAnsi="Courier New" w:cs="Arial" w:hint="cs"/>
          <w:szCs w:val="24"/>
          <w:rtl/>
        </w:rPr>
        <w:t>,</w:t>
      </w:r>
      <w:r w:rsidRPr="006F705A">
        <w:rPr>
          <w:rFonts w:ascii="Courier New" w:hAnsi="Courier New" w:cs="Arial"/>
          <w:szCs w:val="24"/>
          <w:rtl/>
        </w:rPr>
        <w:t xml:space="preserve"> מודים אנחנו לפניך ה' אלקינו ואלקי אבותינו בקידה ובהשתחויה</w:t>
      </w:r>
      <w:r w:rsidR="00611A1C">
        <w:rPr>
          <w:rFonts w:ascii="Courier New" w:hAnsi="Courier New" w:cs="Arial" w:hint="cs"/>
          <w:szCs w:val="24"/>
          <w:rtl/>
        </w:rPr>
        <w:t>,</w:t>
      </w:r>
      <w:r w:rsidRPr="006F705A">
        <w:rPr>
          <w:rFonts w:ascii="Courier New" w:hAnsi="Courier New" w:cs="Arial"/>
          <w:szCs w:val="24"/>
          <w:rtl/>
        </w:rPr>
        <w:t xml:space="preserve"> שקרבתנו לתורתך ולעבודתך עבודת הקודש</w:t>
      </w:r>
      <w:r w:rsidR="00611A1C">
        <w:rPr>
          <w:rFonts w:ascii="Courier New" w:hAnsi="Courier New" w:cs="Arial" w:hint="cs"/>
          <w:szCs w:val="24"/>
          <w:rtl/>
        </w:rPr>
        <w:t>,</w:t>
      </w:r>
      <w:r w:rsidRPr="006F705A">
        <w:rPr>
          <w:rFonts w:ascii="Courier New" w:hAnsi="Courier New" w:cs="Arial"/>
          <w:szCs w:val="24"/>
          <w:rtl/>
        </w:rPr>
        <w:t xml:space="preserve"> ונתת לנו חלק בסודות תורתך הקדושה</w:t>
      </w:r>
      <w:r w:rsidR="00611A1C">
        <w:rPr>
          <w:rFonts w:ascii="Courier New" w:hAnsi="Courier New" w:cs="Arial" w:hint="cs"/>
          <w:szCs w:val="24"/>
          <w:rtl/>
        </w:rPr>
        <w:t>,</w:t>
      </w:r>
      <w:r w:rsidRPr="006F705A">
        <w:rPr>
          <w:rFonts w:ascii="Courier New" w:hAnsi="Courier New" w:cs="Arial"/>
          <w:szCs w:val="24"/>
          <w:rtl/>
        </w:rPr>
        <w:t xml:space="preserve"> מה אנו ומה חיינו אשר עשית עמנו חסד גדול כזה</w:t>
      </w:r>
      <w:r w:rsidR="00611A1C">
        <w:rPr>
          <w:rFonts w:ascii="Courier New" w:hAnsi="Courier New" w:cs="Arial" w:hint="cs"/>
          <w:szCs w:val="24"/>
          <w:rtl/>
        </w:rPr>
        <w:t>,</w:t>
      </w:r>
      <w:r w:rsidRPr="006F705A">
        <w:rPr>
          <w:rFonts w:ascii="Courier New" w:hAnsi="Courier New" w:cs="Arial"/>
          <w:szCs w:val="24"/>
          <w:rtl/>
        </w:rPr>
        <w:t xml:space="preserve"> על כן אנחנו מפילים תחנונינו לפניך שתמחול ותסלח לכל חטאתינו ועונותינו</w:t>
      </w:r>
      <w:r w:rsidR="00611A1C">
        <w:rPr>
          <w:rFonts w:ascii="Courier New" w:hAnsi="Courier New" w:cs="Arial" w:hint="cs"/>
          <w:szCs w:val="24"/>
          <w:rtl/>
        </w:rPr>
        <w:t>,</w:t>
      </w:r>
      <w:r w:rsidRPr="006F705A">
        <w:rPr>
          <w:rFonts w:ascii="Courier New" w:hAnsi="Courier New" w:cs="Arial"/>
          <w:szCs w:val="24"/>
          <w:rtl/>
        </w:rPr>
        <w:t xml:space="preserve"> ואל יהיו עונותינו מבדילים בינינו לביניך</w:t>
      </w:r>
      <w:r w:rsidR="00611A1C">
        <w:rPr>
          <w:rFonts w:ascii="Courier New" w:hAnsi="Courier New" w:cs="Arial" w:hint="cs"/>
          <w:szCs w:val="24"/>
          <w:rtl/>
        </w:rPr>
        <w:t>.</w:t>
      </w:r>
      <w:r w:rsidRPr="006F705A">
        <w:rPr>
          <w:rFonts w:ascii="Courier New" w:hAnsi="Courier New" w:cs="Arial"/>
          <w:szCs w:val="24"/>
          <w:rtl/>
        </w:rPr>
        <w:t xml:space="preserve"> ו(ב)כן יהי רצון מלפניך ה' אלקינו ואלקי אבתינו שתכונן את לבבנו ליראתך ולאהבתך</w:t>
      </w:r>
      <w:r w:rsidR="00611A1C">
        <w:rPr>
          <w:rFonts w:ascii="Courier New" w:hAnsi="Courier New" w:cs="Arial" w:hint="cs"/>
          <w:szCs w:val="24"/>
          <w:rtl/>
        </w:rPr>
        <w:t>,</w:t>
      </w:r>
      <w:r w:rsidRPr="006F705A">
        <w:rPr>
          <w:rFonts w:ascii="Courier New" w:hAnsi="Courier New" w:cs="Arial"/>
          <w:szCs w:val="24"/>
          <w:rtl/>
        </w:rPr>
        <w:t xml:space="preserve"> ותקשיב אזנך לדברינו אלה</w:t>
      </w:r>
      <w:r w:rsidR="00611A1C">
        <w:rPr>
          <w:rFonts w:ascii="Courier New" w:hAnsi="Courier New" w:cs="Arial" w:hint="cs"/>
          <w:szCs w:val="24"/>
          <w:rtl/>
        </w:rPr>
        <w:t>,</w:t>
      </w:r>
      <w:r w:rsidRPr="006F705A">
        <w:rPr>
          <w:rFonts w:ascii="Courier New" w:hAnsi="Courier New" w:cs="Arial"/>
          <w:szCs w:val="24"/>
          <w:rtl/>
        </w:rPr>
        <w:t xml:space="preserve"> ותפתח לבבנו הערל בסודות תורתך</w:t>
      </w:r>
      <w:r w:rsidR="00611A1C">
        <w:rPr>
          <w:rFonts w:ascii="Courier New" w:hAnsi="Courier New" w:cs="Arial" w:hint="cs"/>
          <w:szCs w:val="24"/>
          <w:rtl/>
        </w:rPr>
        <w:t>,</w:t>
      </w:r>
      <w:r w:rsidRPr="006F705A">
        <w:rPr>
          <w:rFonts w:ascii="Courier New" w:hAnsi="Courier New" w:cs="Arial"/>
          <w:szCs w:val="24"/>
          <w:rtl/>
        </w:rPr>
        <w:t xml:space="preserve"> ויהיה למודנו זה נחת רוח לפני כסא כבודך כריח ניחוח</w:t>
      </w:r>
      <w:r w:rsidR="00611A1C">
        <w:rPr>
          <w:rFonts w:ascii="Courier New" w:hAnsi="Courier New" w:cs="Arial" w:hint="cs"/>
          <w:szCs w:val="24"/>
          <w:rtl/>
        </w:rPr>
        <w:t>,</w:t>
      </w:r>
      <w:r w:rsidRPr="006F705A">
        <w:rPr>
          <w:rFonts w:ascii="Courier New" w:hAnsi="Courier New" w:cs="Arial"/>
          <w:szCs w:val="24"/>
          <w:rtl/>
        </w:rPr>
        <w:t xml:space="preserve"> ותאציל עלינו אור מקור נשמתנו בכל בחינתנו</w:t>
      </w:r>
      <w:r w:rsidR="00611A1C">
        <w:rPr>
          <w:rFonts w:ascii="Courier New" w:hAnsi="Courier New" w:cs="Arial" w:hint="cs"/>
          <w:szCs w:val="24"/>
          <w:rtl/>
        </w:rPr>
        <w:t>,</w:t>
      </w:r>
      <w:r w:rsidRPr="006F705A">
        <w:rPr>
          <w:rFonts w:ascii="Courier New" w:hAnsi="Courier New" w:cs="Arial"/>
          <w:szCs w:val="24"/>
          <w:rtl/>
        </w:rPr>
        <w:t xml:space="preserve"> ושיתנוצצו ניצוצות עבדיך הקדושים אשר על ידם גלית דבריך אלה בעולם</w:t>
      </w:r>
      <w:r w:rsidR="00611A1C">
        <w:rPr>
          <w:rFonts w:ascii="Courier New" w:hAnsi="Courier New" w:cs="Arial" w:hint="cs"/>
          <w:szCs w:val="24"/>
          <w:rtl/>
        </w:rPr>
        <w:t>,</w:t>
      </w:r>
      <w:r w:rsidRPr="006F705A">
        <w:rPr>
          <w:rFonts w:ascii="Courier New" w:hAnsi="Courier New" w:cs="Arial"/>
          <w:szCs w:val="24"/>
          <w:rtl/>
        </w:rPr>
        <w:t xml:space="preserve"> וזכותם וזכות אבותם וזכות תורתם ותמימותם וקדושתם יעמוד לנו לבל נכשל בדברים אלו</w:t>
      </w:r>
      <w:r w:rsidR="00611A1C">
        <w:rPr>
          <w:rFonts w:ascii="Courier New" w:hAnsi="Courier New" w:cs="Arial" w:hint="cs"/>
          <w:szCs w:val="24"/>
          <w:rtl/>
        </w:rPr>
        <w:t>,</w:t>
      </w:r>
      <w:r w:rsidRPr="006F705A">
        <w:rPr>
          <w:rFonts w:ascii="Courier New" w:hAnsi="Courier New" w:cs="Arial"/>
          <w:szCs w:val="24"/>
          <w:rtl/>
        </w:rPr>
        <w:t xml:space="preserve"> ובזכותם תאיר עינינו במה שאנו לומדים</w:t>
      </w:r>
      <w:r w:rsidR="00611A1C">
        <w:rPr>
          <w:rFonts w:ascii="Courier New" w:hAnsi="Courier New" w:cs="Arial" w:hint="cs"/>
          <w:szCs w:val="24"/>
          <w:rtl/>
        </w:rPr>
        <w:t>,</w:t>
      </w:r>
      <w:r w:rsidRPr="006F705A">
        <w:rPr>
          <w:rFonts w:ascii="Courier New" w:hAnsi="Courier New" w:cs="Arial"/>
          <w:szCs w:val="24"/>
          <w:rtl/>
        </w:rPr>
        <w:t xml:space="preserve"> כמאמר נעים זמירות ישראל</w:t>
      </w:r>
      <w:r w:rsidR="00611A1C">
        <w:rPr>
          <w:rFonts w:ascii="Courier New" w:hAnsi="Courier New" w:cs="Arial" w:hint="cs"/>
          <w:szCs w:val="24"/>
          <w:rtl/>
        </w:rPr>
        <w:t>,</w:t>
      </w:r>
      <w:r w:rsidRPr="006F705A">
        <w:rPr>
          <w:rFonts w:ascii="Courier New" w:hAnsi="Courier New" w:cs="Arial"/>
          <w:szCs w:val="24"/>
          <w:rtl/>
        </w:rPr>
        <w:t xml:space="preserve"> גל עיני ואביטה נפלאות מתורתך: יהיו לרצון אמרי פי והגיון לבי לפניך ה' צורי וגואלי: כי ה' יתן חכמה מפיו דעת ותבונה:</w:t>
      </w:r>
    </w:p>
    <w:p w:rsidR="006F705A" w:rsidRPr="006F705A" w:rsidRDefault="006F705A" w:rsidP="006F705A">
      <w:pPr>
        <w:jc w:val="both"/>
        <w:rPr>
          <w:rFonts w:ascii="Courier New" w:hAnsi="Courier New" w:cs="Arial"/>
          <w:szCs w:val="24"/>
          <w:rtl/>
        </w:rPr>
      </w:pPr>
    </w:p>
    <w:p w:rsidR="00D45634" w:rsidRDefault="006F705A" w:rsidP="006F705A">
      <w:pPr>
        <w:pStyle w:val="af8"/>
        <w:bidi w:val="0"/>
        <w:jc w:val="center"/>
      </w:pPr>
      <w:r>
        <w:rPr>
          <w:rtl/>
        </w:rPr>
        <w:br w:type="page"/>
      </w:r>
      <w:r w:rsidR="00D45634">
        <w:rPr>
          <w:rtl/>
        </w:rPr>
        <w:lastRenderedPageBreak/>
        <w:t>תיקוני הזוהר עם פירוש הגר"א</w:t>
      </w:r>
    </w:p>
    <w:p w:rsidR="00D45634" w:rsidRDefault="00D45634" w:rsidP="00D45634">
      <w:pPr>
        <w:pStyle w:val="aff7"/>
        <w:jc w:val="both"/>
        <w:rPr>
          <w:rFonts w:hAnsi="Courier New" w:cs="Arial"/>
          <w:szCs w:val="24"/>
          <w:u w:val="single"/>
          <w:rtl/>
          <w:lang w:eastAsia="en-US"/>
        </w:rPr>
      </w:pPr>
      <w:r>
        <w:rPr>
          <w:rFonts w:hAnsi="Courier New" w:cs="David"/>
          <w:szCs w:val="24"/>
          <w:u w:val="single"/>
          <w:rtl/>
          <w:lang w:eastAsia="en-US"/>
        </w:rPr>
        <w:t xml:space="preserve">בליקוטי הרב החסיד המקובל </w:t>
      </w:r>
      <w:r>
        <w:rPr>
          <w:rFonts w:hAnsi="Courier New" w:cs="David"/>
          <w:szCs w:val="28"/>
          <w:u w:val="single"/>
          <w:rtl/>
          <w:lang w:eastAsia="en-US"/>
        </w:rPr>
        <w:t>מוהרמ"ש</w:t>
      </w:r>
      <w:r>
        <w:rPr>
          <w:rFonts w:hAnsi="Courier New" w:cs="David"/>
          <w:szCs w:val="24"/>
          <w:u w:val="single"/>
          <w:rtl/>
          <w:lang w:eastAsia="en-US"/>
        </w:rPr>
        <w:t xml:space="preserve"> תלמיד </w:t>
      </w:r>
      <w:r>
        <w:rPr>
          <w:rFonts w:hAnsi="Courier New" w:cs="David"/>
          <w:szCs w:val="28"/>
          <w:u w:val="single"/>
          <w:rtl/>
          <w:lang w:eastAsia="en-US"/>
        </w:rPr>
        <w:t xml:space="preserve">הגר"א </w:t>
      </w:r>
      <w:r>
        <w:rPr>
          <w:rFonts w:hAnsi="Courier New" w:cs="David"/>
          <w:szCs w:val="24"/>
          <w:u w:val="single"/>
          <w:rtl/>
          <w:lang w:eastAsia="en-US"/>
        </w:rPr>
        <w:t>ז"ל מנוחתו כבוד וזה לשונו:</w:t>
      </w:r>
      <w:r>
        <w:rPr>
          <w:rFonts w:hAnsi="Courier New" w:cs="Arial"/>
          <w:szCs w:val="24"/>
          <w:u w:val="single"/>
          <w:rtl/>
          <w:lang w:eastAsia="en-US"/>
        </w:rPr>
        <w:t xml:space="preserve"> </w:t>
      </w:r>
    </w:p>
    <w:p w:rsidR="00D45634" w:rsidRDefault="00D45634" w:rsidP="00D45634">
      <w:pPr>
        <w:pStyle w:val="aff7"/>
        <w:jc w:val="both"/>
        <w:rPr>
          <w:rFonts w:hAnsi="Courier New" w:cs="Arial"/>
          <w:bCs/>
          <w:szCs w:val="26"/>
          <w:rtl/>
          <w:lang w:eastAsia="en-US"/>
        </w:rPr>
      </w:pPr>
      <w:r>
        <w:rPr>
          <w:rFonts w:hAnsi="Courier New" w:cs="Arial"/>
          <w:szCs w:val="26"/>
          <w:rtl/>
          <w:lang w:eastAsia="en-US"/>
        </w:rPr>
        <w:t xml:space="preserve">והנה באתי במגלת ספר כתוב הדר הוא לכל חסידיו מה שאמר לי פנים אל פנים ונשקני מנשיקות פיהו מאמר אחד בהקדמת תיקוני זוהר בתחלתו כי הוא זה: </w:t>
      </w:r>
    </w:p>
    <w:p w:rsidR="00D45634" w:rsidRDefault="00D45634" w:rsidP="00D45634">
      <w:pPr>
        <w:pStyle w:val="aff7"/>
        <w:jc w:val="both"/>
        <w:rPr>
          <w:rFonts w:hAnsi="Courier New" w:cs="Arial"/>
          <w:b/>
          <w:szCs w:val="24"/>
          <w:rtl/>
          <w:lang w:eastAsia="en-US"/>
        </w:rPr>
      </w:pPr>
      <w:r>
        <w:rPr>
          <w:rFonts w:hAnsi="Courier New" w:cs="Arial"/>
          <w:bCs/>
          <w:szCs w:val="24"/>
          <w:rtl/>
          <w:lang w:eastAsia="en-US"/>
        </w:rPr>
        <w:t>והמשכילים כו'.</w:t>
      </w:r>
      <w:r>
        <w:rPr>
          <w:rFonts w:hAnsi="Courier New" w:cs="Arial"/>
          <w:szCs w:val="24"/>
          <w:rtl/>
          <w:lang w:eastAsia="en-US"/>
        </w:rPr>
        <w:t xml:space="preserve"> הם החכמים ר' שמעון וחבריא כו': </w:t>
      </w:r>
      <w:r>
        <w:rPr>
          <w:rFonts w:hAnsi="Courier New" w:cs="Arial"/>
          <w:b/>
          <w:bCs/>
          <w:szCs w:val="24"/>
          <w:rtl/>
          <w:lang w:eastAsia="en-US"/>
        </w:rPr>
        <w:t>יזהירו כזוהר כו'.</w:t>
      </w:r>
      <w:r>
        <w:rPr>
          <w:rFonts w:hAnsi="Courier New" w:cs="Arial"/>
          <w:szCs w:val="24"/>
          <w:rtl/>
          <w:lang w:eastAsia="en-US"/>
        </w:rPr>
        <w:t xml:space="preserve"> והוא כי החכמה נקרא זוהר של הרקיע, בינה - רקיע שעל גבי החיות כמו שאמרו בתוס' במס' ב"ב (ח:)</w:t>
      </w:r>
      <w:r>
        <w:rPr>
          <w:rFonts w:hAnsi="Courier New" w:cs="Arial"/>
          <w:bCs/>
          <w:szCs w:val="24"/>
          <w:rtl/>
          <w:lang w:eastAsia="en-US"/>
        </w:rPr>
        <w:t xml:space="preserve">: </w:t>
      </w:r>
      <w:r>
        <w:rPr>
          <w:rFonts w:hAnsi="Courier New" w:cs="Arial"/>
          <w:b/>
          <w:bCs/>
          <w:szCs w:val="24"/>
          <w:rtl/>
          <w:lang w:eastAsia="en-US"/>
        </w:rPr>
        <w:t>דאיהו כליל כל גוונין.</w:t>
      </w:r>
      <w:r>
        <w:rPr>
          <w:rFonts w:hAnsi="Courier New" w:cs="Arial"/>
          <w:b/>
          <w:szCs w:val="24"/>
          <w:rtl/>
          <w:lang w:eastAsia="en-US"/>
        </w:rPr>
        <w:t xml:space="preserve"> פירוש, חכמה כולל כולם כי כולם בחכמה עשית.</w:t>
      </w:r>
      <w:r>
        <w:rPr>
          <w:rFonts w:hAnsi="Courier New" w:cs="Arial"/>
          <w:szCs w:val="24"/>
          <w:rtl/>
          <w:lang w:eastAsia="en-US"/>
        </w:rPr>
        <w:t xml:space="preserve"> ולכן כיון שמדבר כאן מחכמה קורא כולם זוהר. והוא כי בעשיה יש י' גלגלים ומהם נוכל להבין למעלה. והוא כי ז' כוכבי לכת הם ז' גלגלים ועליהם גלגל המזלות ועליהם גלגל היומי ועליהם גלגל השכל. והנה גלגל השכל הוא הכתר. וזהו שקראו כאן </w:t>
      </w:r>
      <w:r>
        <w:rPr>
          <w:rFonts w:hAnsi="Courier New" w:cs="Arial"/>
          <w:b/>
          <w:bCs/>
          <w:szCs w:val="24"/>
          <w:rtl/>
          <w:lang w:eastAsia="en-US"/>
        </w:rPr>
        <w:t>זוהר טמיר וגניז.</w:t>
      </w:r>
      <w:r>
        <w:rPr>
          <w:rFonts w:hAnsi="Courier New" w:cs="Arial"/>
          <w:szCs w:val="24"/>
          <w:rtl/>
          <w:lang w:eastAsia="en-US"/>
        </w:rPr>
        <w:t xml:space="preserve"> וגלגל היומי הוא החכמה [וצ"ע שבספר יצירה ובפירוש ספרא דצניעותא כתב הרב בעצמו שגלגל המזלות הוא חכמה עיין שם בדבריו] וזהו שקראו כאן </w:t>
      </w:r>
      <w:r>
        <w:rPr>
          <w:rFonts w:hAnsi="Courier New" w:cs="Arial"/>
          <w:b/>
          <w:bCs/>
          <w:szCs w:val="24"/>
          <w:rtl/>
          <w:lang w:eastAsia="en-US"/>
        </w:rPr>
        <w:t>זוהר בהיר בשחקים.</w:t>
      </w:r>
      <w:r>
        <w:rPr>
          <w:rFonts w:hAnsi="Courier New" w:cs="Arial"/>
          <w:szCs w:val="24"/>
          <w:rtl/>
          <w:lang w:eastAsia="en-US"/>
        </w:rPr>
        <w:t xml:space="preserve"> והטעם כי בגלגל שתחתיו יש בהם המזלות וז' כוכבי לכת שהן נימין דשערי כמו שאומר בזוהר ובתיקוני זוהר שמהם אחיזת העובדי גילולים בסוד השערות אבל אנכי איש חלק שאחיזתי בגלגל היומי שהוא חלק בלי כוכבים ומזלות וזהו שקורהו כאן </w:t>
      </w:r>
      <w:r>
        <w:rPr>
          <w:rFonts w:hAnsi="Courier New" w:cs="Arial"/>
          <w:b/>
          <w:bCs/>
          <w:szCs w:val="24"/>
          <w:rtl/>
          <w:lang w:eastAsia="en-US"/>
        </w:rPr>
        <w:t>זוהר בהיר בשחקים.</w:t>
      </w:r>
      <w:r>
        <w:rPr>
          <w:rFonts w:hAnsi="Courier New" w:cs="Arial"/>
          <w:szCs w:val="24"/>
          <w:rtl/>
          <w:lang w:eastAsia="en-US"/>
        </w:rPr>
        <w:t xml:space="preserve"> שהוא בהיר חלק. וגלגל המזלות הוא הבינה וזהו שקורהו כאן </w:t>
      </w:r>
      <w:r>
        <w:rPr>
          <w:rFonts w:hAnsi="Courier New" w:cs="Arial"/>
          <w:b/>
          <w:bCs/>
          <w:szCs w:val="24"/>
          <w:rtl/>
          <w:lang w:eastAsia="en-US"/>
        </w:rPr>
        <w:t>זוהר זריק ניצוצין.</w:t>
      </w:r>
      <w:r>
        <w:rPr>
          <w:rFonts w:hAnsi="Courier New" w:cs="Arial"/>
          <w:szCs w:val="24"/>
          <w:rtl/>
          <w:lang w:eastAsia="en-US"/>
        </w:rPr>
        <w:t xml:space="preserve"> ואח"כ זוהר זריק חוורא כסיהרא הוא גלגל לבנה. כי מתחלה מי העיר ממזרח צדק יקראהו, היה מזל צדק למטה ואמר לו הקב"ה לאברהם מאי דעתך דקאי צדק במערב אנא מהדרנא ליה למזרח שהוא חסד. אם כן זה שאומר כאן חיוור כסיהרא שהוא גלגל לבנה תיכף אחר שבתאי. ואח"כ סומקא כמאדים הוא מאדים [גבורה]. ואח"כ ירוק כחמה [ת"ת] הוא חמה. ואח"כ כליל חיוור וסומק הם נו"ה, נוגה זהו בנצח, חיוור ובהוד - סומק [בסוד שרקו ויחרקו שן, שריקה בשפתים אדומות ושורק בהוד וחריקת שנים הם לבנים וחיר"ק בנצח]. ואח"כ ירוק ככוכב הוא כוכב [יסוד] ספרא דחמה. ואח"כ זהיר לכל עיבר הוא גלגל צדק [מלכות]. עד כאן: </w:t>
      </w:r>
    </w:p>
    <w:p w:rsidR="00D45634" w:rsidRDefault="00D45634" w:rsidP="00D45634">
      <w:pPr>
        <w:pStyle w:val="aff7"/>
        <w:jc w:val="both"/>
        <w:rPr>
          <w:rFonts w:hAnsi="Courier New" w:cs="Arial"/>
          <w:szCs w:val="24"/>
          <w:rtl/>
          <w:lang w:eastAsia="en-US"/>
        </w:rPr>
      </w:pPr>
      <w:r>
        <w:rPr>
          <w:rFonts w:hAnsi="Courier New" w:cs="Arial"/>
          <w:b/>
          <w:szCs w:val="24"/>
          <w:rtl/>
          <w:lang w:eastAsia="en-US"/>
        </w:rPr>
        <w:t>וכן שמעתי מפיו פירוש על מאמר בהתיקוני זוהר (ד' ע"ב) על נקודת פיתוחי חותם וחושב קבוץ במקום מלאפום, אמר ונקודין אלין סלקין אלקים דבהון שבע נקודין כו' וחד רקיע תמינאה לון עד כאן.</w:t>
      </w:r>
      <w:r>
        <w:rPr>
          <w:rFonts w:hAnsi="Courier New" w:cs="Arial"/>
          <w:szCs w:val="24"/>
          <w:rtl/>
          <w:lang w:eastAsia="en-US"/>
        </w:rPr>
        <w:t xml:space="preserve"> ובאמת יש בהן ח' נקודין היינו צרי </w:t>
      </w:r>
      <w:r>
        <w:rPr>
          <w:rFonts w:hAnsi="Courier New" w:cs="Arial"/>
          <w:b/>
          <w:bCs/>
          <w:szCs w:val="24"/>
          <w:rtl/>
          <w:lang w:eastAsia="en-US"/>
        </w:rPr>
        <w:t>חולם</w:t>
      </w:r>
      <w:r>
        <w:rPr>
          <w:rFonts w:hAnsi="Courier New" w:cs="Arial"/>
          <w:szCs w:val="24"/>
          <w:rtl/>
          <w:lang w:eastAsia="en-US"/>
        </w:rPr>
        <w:t xml:space="preserve"> חירק קבוץ ונקודת קמץ שהוא רקיע ונקודה ולמה אינו חושב הנקודה. אלא שהרקיע הוא ו', מורה על דכורא ובמקום שיש דכורא אין הנוק' (שהיא נקודה) עולה בשם להיות נחשבת בפני עצמה. עד כאן שמעתי מפיו: ועפי"ז נלע"ד הצעיר ונבזה להבין מה שאומר ברעיא מהימנא פרשת פנחס (רי"ז ע"א) וזה לשונו בענין נקודין </w:t>
      </w:r>
      <w:r>
        <w:rPr>
          <w:rFonts w:hAnsi="Courier New" w:cs="Arial"/>
          <w:b/>
          <w:bCs/>
          <w:szCs w:val="24"/>
          <w:rtl/>
          <w:lang w:eastAsia="en-US"/>
        </w:rPr>
        <w:t>מלך מלך ימלוך</w:t>
      </w:r>
      <w:r>
        <w:rPr>
          <w:rFonts w:hAnsi="Courier New" w:cs="Arial"/>
          <w:szCs w:val="24"/>
          <w:rtl/>
          <w:lang w:eastAsia="en-US"/>
        </w:rPr>
        <w:t xml:space="preserve"> וסלקין נקודין לחשבון יב"ק כו'. היינו כנ"ל שאינו חושב הב' קמצין של </w:t>
      </w:r>
      <w:r>
        <w:rPr>
          <w:rFonts w:hAnsi="Courier New" w:cs="Arial"/>
          <w:b/>
          <w:bCs/>
          <w:szCs w:val="24"/>
          <w:rtl/>
          <w:lang w:eastAsia="en-US"/>
        </w:rPr>
        <w:t>מלך</w:t>
      </w:r>
      <w:r>
        <w:rPr>
          <w:rFonts w:hAnsi="Courier New" w:cs="Arial"/>
          <w:szCs w:val="24"/>
          <w:rtl/>
          <w:lang w:eastAsia="en-US"/>
        </w:rPr>
        <w:t xml:space="preserve"> רק הרקיעין שהם ב' ווי"ן הרי י"ב וב' סגלין הרי ע"ב ונקודת </w:t>
      </w:r>
      <w:r>
        <w:rPr>
          <w:rFonts w:hAnsi="Courier New" w:cs="Arial"/>
          <w:b/>
          <w:bCs/>
          <w:szCs w:val="24"/>
          <w:rtl/>
          <w:lang w:eastAsia="en-US"/>
        </w:rPr>
        <w:t>ימלוך</w:t>
      </w:r>
      <w:r>
        <w:rPr>
          <w:rFonts w:hAnsi="Courier New" w:cs="Arial"/>
          <w:szCs w:val="24"/>
          <w:rtl/>
          <w:lang w:eastAsia="en-US"/>
        </w:rPr>
        <w:t xml:space="preserve"> מ' הרי קי"ב. ואין צריך לדחיקת השל"ה. וגם על המחבר אני תמה למה לא פירש כן כי בפירושו על הרעיא מהימנא הנ"ל כתב שאינו חושב השבא דימלוך שהוא נח: ומה שאומר שם בהתיקוני זוהר תלת לעילא תלת לתתא חולם באמצעיתא. קשה הא כל הנקודות הם למטה מהאותיות חוץ מנקודת חולם. ונלע"ד שהצירי הוא נקודת בינה והיא נקרא עליון כידוע גימטריה רבוע ס"ג שבבינה וכן חירק שהוא סוד נצח נקרא מעלה בסוד והקרנים גבוהות כו' ובסוד רום ותחת הנזכר בספר יצירה כמו שאומר מורנו ורבנו הרב האר"י ז"ל. ותלת לתתא היא נקודת קבוץ. שהם ג' ניצוצות ונקודת קבוץ הוא בהוד שנקרא מטה, נגד נצח שנקרא מעלה. כנלע"ד </w:t>
      </w:r>
      <w:r>
        <w:rPr>
          <w:rFonts w:hAnsi="Courier New" w:cs="Arial"/>
          <w:b/>
          <w:bCs/>
          <w:szCs w:val="24"/>
          <w:rtl/>
          <w:lang w:eastAsia="en-US"/>
        </w:rPr>
        <w:t>משה שלמה</w:t>
      </w:r>
      <w:r>
        <w:rPr>
          <w:rFonts w:hAnsi="Courier New" w:cs="Arial"/>
          <w:szCs w:val="24"/>
          <w:rtl/>
          <w:lang w:eastAsia="en-US"/>
        </w:rPr>
        <w:t xml:space="preserve">: </w:t>
      </w:r>
    </w:p>
    <w:p w:rsidR="00D45634" w:rsidRDefault="00D45634" w:rsidP="00D45634">
      <w:pPr>
        <w:pStyle w:val="1"/>
        <w:rPr>
          <w:rtl/>
        </w:rPr>
      </w:pPr>
      <w:r>
        <w:rPr>
          <w:rtl/>
        </w:rPr>
        <w:t>הקדמת תקוני הזהר</w:t>
      </w:r>
      <w:bookmarkEnd w:id="0"/>
      <w:bookmarkEnd w:id="1"/>
    </w:p>
    <w:p w:rsidR="000D6746" w:rsidRPr="00007309" w:rsidRDefault="000D6746" w:rsidP="000D6746">
      <w:pPr>
        <w:jc w:val="both"/>
        <w:rPr>
          <w:sz w:val="24"/>
          <w:szCs w:val="24"/>
          <w:rtl/>
        </w:rPr>
      </w:pPr>
      <w:r w:rsidRPr="00007309">
        <w:rPr>
          <w:rFonts w:hint="cs"/>
          <w:sz w:val="24"/>
          <w:szCs w:val="24"/>
          <w:rtl/>
        </w:rPr>
        <w:t>להוי ידוע שעד דף ה ע"א יש בנוסף לבאורי הגר"א גם הגהות ולקוטים מהגר"א אשר בדרך כלל אינם תואמים לבהגר"א ואף לפעמים סותרים (כגון שמוחק קטע ובבהגר"א מסבירו). העדפנו תמיד את בהגר"א, ואת נוסחת הליקוטים ציינו בסוגריים בראשי התיבות נה"ל, שפי' 'נוסחת הלקוטים'.</w:t>
      </w:r>
    </w:p>
    <w:p w:rsidR="000D6746" w:rsidRPr="000D6746" w:rsidRDefault="000D6746" w:rsidP="000D6746">
      <w:pPr>
        <w:rPr>
          <w:rtl/>
        </w:rPr>
      </w:pPr>
    </w:p>
    <w:p w:rsidR="00D45634" w:rsidRDefault="00D45634" w:rsidP="00347240">
      <w:pPr>
        <w:pStyle w:val="2"/>
        <w:rPr>
          <w:rtl/>
        </w:rPr>
      </w:pPr>
      <w:bookmarkStart w:id="5" w:name="_Toc228101663"/>
      <w:bookmarkStart w:id="6" w:name="_Toc231638001"/>
      <w:bookmarkStart w:id="7" w:name="_Toc228095563"/>
      <w:r>
        <w:rPr>
          <w:rtl/>
        </w:rPr>
        <w:t>[תיקוני זוהר - דף א ע''א]</w:t>
      </w:r>
      <w:bookmarkEnd w:id="5"/>
      <w:bookmarkEnd w:id="6"/>
    </w:p>
    <w:bookmarkEnd w:id="7"/>
    <w:p w:rsidR="00D45634" w:rsidRDefault="00D45634" w:rsidP="00B17EA9">
      <w:pPr>
        <w:pStyle w:val="NormalWeb"/>
        <w:rPr>
          <w:rtl/>
        </w:rPr>
      </w:pPr>
      <w:r w:rsidRPr="00347240">
        <w:rPr>
          <w:rStyle w:val="30"/>
          <w:sz w:val="20"/>
          <w:szCs w:val="20"/>
          <w:rtl/>
        </w:rPr>
        <w:t>(דף א ע''א)</w:t>
      </w:r>
      <w:r>
        <w:rPr>
          <w:sz w:val="20"/>
          <w:szCs w:val="23"/>
          <w:rtl/>
        </w:rPr>
        <w:t xml:space="preserve"> (נ"א </w:t>
      </w:r>
      <w:r>
        <w:rPr>
          <w:rtl/>
        </w:rPr>
        <w:t xml:space="preserve">רַבִּי שִׁמְעוֹן אָזַל לֵיהּ וְעָרַק לְמַדְבְּרָא דְלוּד וְאִתְגְּנִיז בְּחַד מְעַרְתָּא הוּא וְרַבִּי אֶלְעָזָר בְּרֵיהּ, אִתְרְחִישׁ נִיסָא נָפַק לְהוֹן חַד חֲרוּב וְחַד מַעֲיָינָא דְמַיָּא, אָכְלֵי מֵהַהוּא חֲרוּב וְשָׁתָן מֵהַהוּא מַיָּא, וְהֲוָה אֵלִיָּהוּ זָכוּר לַטּוֹב אָתֵי לְהוֹן בְּכָל יוֹמָא תְּרֵי זִימְנֵי וְאוֹלִיף לוֹן, וְלָא יָדַע אִינִישׁ בְּהוּ וכו', בְּזֹהַר חָדָשׁ פָּרָשַׁת תָבוֹא כָּתוּב שָׁם: וְדָא אִתְקְרֵי תִקּוּנֵי הַזֹּהַר דְּאִינוּן) </w:t>
      </w:r>
    </w:p>
    <w:p w:rsidR="00D45634" w:rsidRDefault="00D45634" w:rsidP="00B17EA9">
      <w:pPr>
        <w:pStyle w:val="NormalWeb"/>
        <w:rPr>
          <w:rtl/>
        </w:rPr>
      </w:pPr>
      <w:r>
        <w:rPr>
          <w:rtl/>
        </w:rPr>
        <w:t>שַׁבְעִין אַנְפִּין דְפַרִישׁ רַבִּי שִׁמְעוֹן בַּר יוֹחָאִי בְּמִלַּת בְּרֵאשִׁית מִסִּתְרֵי אוֹרַיְיתָא.</w:t>
      </w:r>
    </w:p>
    <w:p w:rsidR="00D45634" w:rsidRDefault="00D45634" w:rsidP="00B17EA9">
      <w:pPr>
        <w:pStyle w:val="NormalWeb"/>
        <w:rPr>
          <w:rtl/>
        </w:rPr>
      </w:pPr>
      <w:r>
        <w:rPr>
          <w:rtl/>
        </w:rPr>
        <w:lastRenderedPageBreak/>
        <w:t xml:space="preserve">[כתיב] וְהַמַּשְׂכִּילִים יַזְהִירוּ כְּזֹהַר הָרָקִיעַ וְגוֹמֵר </w:t>
      </w:r>
      <w:r>
        <w:rPr>
          <w:sz w:val="20"/>
          <w:szCs w:val="23"/>
          <w:rtl/>
        </w:rPr>
        <w:t>(דניאל יב ג)</w:t>
      </w:r>
      <w:r>
        <w:rPr>
          <w:rtl/>
        </w:rPr>
        <w:t xml:space="preserve">, וְהַמַּשְׂכִּילִים אִלֵּין רַבִּי שִׁמְעוֹן וְחַבְרַיָּיא, יַזְהִירוּ כַּד אִתְכַּנְשׁוּ לְמֶעֱבַד הַאי חִבּוּרָא, רְשׁוּתָא אִתְיְהִיב לְהוֹן וּלְאֵלִיָּהוּ עִמְּהוֹן וּלְכָל נִשְׁמָתִין דִּמְתִיבְתָּאן לְנַחֲתָא בֵּינַיְיהוּ וּלְכָל מַלְאָכַיָּא </w:t>
      </w:r>
      <w:r>
        <w:rPr>
          <w:rStyle w:val="a7"/>
          <w:rtl/>
        </w:rPr>
        <w:footnoteReference w:id="1"/>
      </w:r>
      <w:r>
        <w:rPr>
          <w:rtl/>
        </w:rPr>
        <w:t>בְּאִתְכַּסְיָא וּבְאֹרַח שֵׂכֶל.</w:t>
      </w:r>
    </w:p>
    <w:p w:rsidR="00D45634" w:rsidRDefault="00D45634" w:rsidP="00B17EA9">
      <w:pPr>
        <w:pStyle w:val="NormalWeb"/>
        <w:rPr>
          <w:rtl/>
        </w:rPr>
      </w:pPr>
      <w:r>
        <w:rPr>
          <w:rtl/>
        </w:rPr>
        <w:t xml:space="preserve">וְעִלַּת עַל כֹּלָּא יְהִיב רְשׁוּ </w:t>
      </w:r>
      <w:r>
        <w:rPr>
          <w:rStyle w:val="a7"/>
          <w:rtl/>
        </w:rPr>
        <w:footnoteReference w:id="2"/>
      </w:r>
      <w:r>
        <w:rPr>
          <w:rtl/>
        </w:rPr>
        <w:t xml:space="preserve">לְכָל שְׁמָהָן קַדִּישִׁין </w:t>
      </w:r>
      <w:r>
        <w:rPr>
          <w:rStyle w:val="a7"/>
          <w:rtl/>
        </w:rPr>
        <w:footnoteReference w:id="3"/>
      </w:r>
      <w:r>
        <w:rPr>
          <w:rtl/>
        </w:rPr>
        <w:t xml:space="preserve">וּלְכָל הֲוַיָּין </w:t>
      </w:r>
      <w:r>
        <w:rPr>
          <w:rStyle w:val="a7"/>
          <w:rtl/>
        </w:rPr>
        <w:footnoteReference w:id="4"/>
      </w:r>
      <w:r>
        <w:rPr>
          <w:rtl/>
        </w:rPr>
        <w:t xml:space="preserve">וּלְכָל כִּנּוּיִין לְגַלָּאָה לוֹן רָזִין טְמִירִין כָּל שֵׁם בְּדַרְגָּא דִילֵיהּ, וּרְשׁוּתָא יְהִיב </w:t>
      </w:r>
      <w:r>
        <w:rPr>
          <w:rStyle w:val="a7"/>
          <w:rtl/>
        </w:rPr>
        <w:footnoteReference w:id="5"/>
      </w:r>
      <w:r>
        <w:rPr>
          <w:rtl/>
        </w:rPr>
        <w:t>לַעֲשַׂר סְפִירָן לְגַלָּאָה לוֹן רָזִין טְמִירִין דְּלָא אִתְיְהִיב רְשׁוּ לְגַלָּאָה עַד דְּיֵיתֵי דָרָא דְמַלְכָּא מְשִׁיחָא.</w:t>
      </w:r>
    </w:p>
    <w:p w:rsidR="00B35AF6" w:rsidRDefault="00B35AF6" w:rsidP="00B35AF6">
      <w:pPr>
        <w:pStyle w:val="2"/>
        <w:jc w:val="right"/>
        <w:rPr>
          <w:rtl/>
        </w:rPr>
      </w:pPr>
      <w:r>
        <w:rPr>
          <w:rtl/>
        </w:rPr>
        <w:t>[</w:t>
      </w:r>
      <w:r>
        <w:rPr>
          <w:rFonts w:hint="cs"/>
          <w:rtl/>
        </w:rPr>
        <w:t>וילנא דף</w:t>
      </w:r>
      <w:r>
        <w:rPr>
          <w:rtl/>
        </w:rPr>
        <w:t xml:space="preserve"> </w:t>
      </w:r>
      <w:r>
        <w:rPr>
          <w:rFonts w:hint="cs"/>
          <w:rtl/>
        </w:rPr>
        <w:t>א</w:t>
      </w:r>
      <w:r>
        <w:rPr>
          <w:rtl/>
        </w:rPr>
        <w:t xml:space="preserve"> ע''</w:t>
      </w:r>
      <w:r>
        <w:rPr>
          <w:rFonts w:hint="cs"/>
          <w:rtl/>
        </w:rPr>
        <w:t>ב</w:t>
      </w:r>
      <w:r>
        <w:rPr>
          <w:rtl/>
        </w:rPr>
        <w:t>]</w:t>
      </w:r>
    </w:p>
    <w:p w:rsidR="00D45634" w:rsidRDefault="00D45634" w:rsidP="00B35AF6">
      <w:pPr>
        <w:pStyle w:val="NormalWeb"/>
        <w:rPr>
          <w:rtl/>
        </w:rPr>
      </w:pPr>
      <w:r>
        <w:rPr>
          <w:rtl/>
        </w:rPr>
        <w:t xml:space="preserve">פָּתַח רַבִּי שִׁמְעוֹן וְאָמַר וְהַמַּשְׂכִּילִים יַזְהִירוּ </w:t>
      </w:r>
      <w:r>
        <w:rPr>
          <w:rStyle w:val="a7"/>
          <w:rtl/>
        </w:rPr>
        <w:footnoteReference w:id="6"/>
      </w:r>
      <w:r>
        <w:rPr>
          <w:rtl/>
        </w:rPr>
        <w:t xml:space="preserve">כְּזֹהַר הָרָקִיעַ דְּאִיהוּ כְּלִיל כָּל גַּוָּון, זֹהַר טָמִיר וְגָנִיז, זֹהַר בָּהִיר בַּשְּׁחָקִים, זֹהַר זָרִיק נִצּוֹצִין וּמַבְהִיק כַּבָּרָק לְעַיְינִין, זֹהַר יָרוֹק כַּחַמָּה, זָהִיר חִוָּור כְּסִיהֲרָא, זֹהַר זָהִיר סוּמָקָא כְּמַאֲדִים, זֹהַר כְּלִיל חִוָּור וְסוּמָק, זֹהַר יָרוֹק כַּכֹּכָב, זֹהַר זָהִיר לְכָל עִיבַר, כְּמָאן דְּמָחָא בַּפַּטִּישׁ וְזָרִיק שְׁבִיבִין לְכָל סִטְרָא, </w:t>
      </w:r>
      <w:r>
        <w:rPr>
          <w:rStyle w:val="a7"/>
          <w:rtl/>
        </w:rPr>
        <w:footnoteReference w:id="7"/>
      </w:r>
      <w:r>
        <w:rPr>
          <w:rtl/>
        </w:rPr>
        <w:t>הָכִי מֵהַאי זֹה</w:t>
      </w:r>
      <w:r w:rsidR="00347240">
        <w:rPr>
          <w:rtl/>
        </w:rPr>
        <w:t>ַר זָהֲרִין כַּמָּה נִשְׁמָתִין</w:t>
      </w:r>
      <w:r w:rsidR="00347240">
        <w:rPr>
          <w:rFonts w:hint="cs"/>
          <w:rtl/>
        </w:rPr>
        <w:t xml:space="preserve"> </w:t>
      </w:r>
      <w:r w:rsidR="00347240">
        <w:rPr>
          <w:rtl/>
        </w:rPr>
        <w:t xml:space="preserve">דְּאִינוּן </w:t>
      </w:r>
      <w:r w:rsidR="00B35AF6" w:rsidRPr="00B35AF6">
        <w:rPr>
          <w:rStyle w:val="30"/>
          <w:sz w:val="20"/>
          <w:szCs w:val="20"/>
          <w:rtl/>
        </w:rPr>
        <w:t>(</w:t>
      </w:r>
      <w:r w:rsidR="00B35AF6">
        <w:rPr>
          <w:rStyle w:val="30"/>
          <w:rFonts w:hint="cs"/>
          <w:sz w:val="20"/>
          <w:szCs w:val="20"/>
          <w:rtl/>
        </w:rPr>
        <w:t>וילנא</w:t>
      </w:r>
      <w:r w:rsidR="00B35AF6" w:rsidRPr="00B35AF6">
        <w:rPr>
          <w:rStyle w:val="30"/>
          <w:sz w:val="20"/>
          <w:szCs w:val="20"/>
          <w:rtl/>
        </w:rPr>
        <w:t xml:space="preserve"> </w:t>
      </w:r>
      <w:r w:rsidR="00B35AF6">
        <w:rPr>
          <w:rStyle w:val="30"/>
          <w:rFonts w:hint="cs"/>
          <w:sz w:val="20"/>
          <w:szCs w:val="20"/>
          <w:rtl/>
        </w:rPr>
        <w:t>א</w:t>
      </w:r>
      <w:r w:rsidR="00B35AF6" w:rsidRPr="00B35AF6">
        <w:rPr>
          <w:rStyle w:val="30"/>
          <w:sz w:val="20"/>
          <w:szCs w:val="20"/>
          <w:rtl/>
        </w:rPr>
        <w:t xml:space="preserve"> ע''</w:t>
      </w:r>
      <w:r w:rsidR="00B35AF6">
        <w:rPr>
          <w:rStyle w:val="30"/>
          <w:rFonts w:hint="cs"/>
          <w:sz w:val="20"/>
          <w:szCs w:val="20"/>
          <w:rtl/>
        </w:rPr>
        <w:t>ב</w:t>
      </w:r>
      <w:r w:rsidR="00B35AF6" w:rsidRPr="00B35AF6">
        <w:rPr>
          <w:rStyle w:val="30"/>
          <w:sz w:val="20"/>
          <w:szCs w:val="20"/>
          <w:rtl/>
        </w:rPr>
        <w:t>)</w:t>
      </w:r>
      <w:r w:rsidR="00B35AF6">
        <w:rPr>
          <w:sz w:val="20"/>
          <w:szCs w:val="23"/>
          <w:rtl/>
        </w:rPr>
        <w:t xml:space="preserve"> </w:t>
      </w:r>
      <w:r w:rsidR="00347240">
        <w:rPr>
          <w:rFonts w:hint="cs"/>
          <w:rtl/>
        </w:rPr>
        <w:t>ז</w:t>
      </w:r>
      <w:r w:rsidR="00347240">
        <w:rPr>
          <w:rtl/>
        </w:rPr>
        <w:t>ָהֲרִין כֻּלְּהוּ בָּרָקִיעַ</w:t>
      </w:r>
      <w:r w:rsidR="00347240">
        <w:rPr>
          <w:rFonts w:hint="cs"/>
          <w:rtl/>
        </w:rPr>
        <w:t xml:space="preserve">, </w:t>
      </w:r>
      <w:r w:rsidR="00347240">
        <w:rPr>
          <w:rtl/>
        </w:rPr>
        <w:t>וְאִלֵּין אִינוּן נִשְׁמָתִין מֵאִלֵּין מַשְׂכִּילִים דְּאִית בְּהוֹן שֵׂכֶל לְאִשְׁתְּמוֹדְעָא בְּרָזִין דְּמָארֵיהוֹן</w:t>
      </w:r>
      <w:r w:rsidR="00347240">
        <w:rPr>
          <w:rFonts w:hint="cs"/>
          <w:rtl/>
        </w:rPr>
        <w:t xml:space="preserve">, </w:t>
      </w:r>
      <w:r w:rsidR="00347240">
        <w:rPr>
          <w:rtl/>
        </w:rPr>
        <w:t>כֻּלְּהוּ רְשִׁימִין וּמְצוּיָירִין בְּמַלְכוּתָא דִרְקִיעָא כְּכוֹכְבַיָּא</w:t>
      </w:r>
      <w:r w:rsidR="00347240">
        <w:rPr>
          <w:rFonts w:hint="cs"/>
          <w:rtl/>
        </w:rPr>
        <w:t xml:space="preserve"> </w:t>
      </w:r>
      <w:r w:rsidR="00347240">
        <w:rPr>
          <w:rtl/>
        </w:rPr>
        <w:t>דְנָהֲרִין בָּרָקִיעַ</w:t>
      </w:r>
      <w:r w:rsidR="00347240">
        <w:rPr>
          <w:rFonts w:hint="cs"/>
          <w:rtl/>
        </w:rPr>
        <w:t xml:space="preserve">, </w:t>
      </w:r>
      <w:r w:rsidR="00B35AF6">
        <w:rPr>
          <w:rtl/>
        </w:rPr>
        <w:t xml:space="preserve">וְהַיְינוּ </w:t>
      </w:r>
      <w:r w:rsidR="00347240">
        <w:rPr>
          <w:rtl/>
        </w:rPr>
        <w:t>יַזְהִירוּ כְּזֹהַר הָרָקִיעַ</w:t>
      </w:r>
      <w:r w:rsidR="00347240">
        <w:rPr>
          <w:rFonts w:hint="cs"/>
          <w:rtl/>
        </w:rPr>
        <w:t xml:space="preserve">, </w:t>
      </w:r>
      <w:r w:rsidR="00347240">
        <w:rPr>
          <w:rtl/>
        </w:rPr>
        <w:t>מַאי הָרָקִיעַ</w:t>
      </w:r>
      <w:r w:rsidR="00347240">
        <w:rPr>
          <w:rFonts w:hint="cs"/>
          <w:rtl/>
        </w:rPr>
        <w:t xml:space="preserve"> </w:t>
      </w:r>
      <w:r w:rsidR="00347240">
        <w:rPr>
          <w:rtl/>
        </w:rPr>
        <w:t>דְּנָהֲרִין בֵּיהּ</w:t>
      </w:r>
      <w:r w:rsidR="00347240">
        <w:rPr>
          <w:rFonts w:hint="cs"/>
          <w:rtl/>
        </w:rPr>
        <w:t xml:space="preserve"> (</w:t>
      </w:r>
      <w:r w:rsidR="00347240">
        <w:rPr>
          <w:rtl/>
        </w:rPr>
        <w:t>אוּף אִלֵּין</w:t>
      </w:r>
      <w:r w:rsidR="00347240">
        <w:rPr>
          <w:rFonts w:hint="cs"/>
          <w:rtl/>
        </w:rPr>
        <w:t xml:space="preserve">) </w:t>
      </w:r>
      <w:r w:rsidR="00347240">
        <w:rPr>
          <w:rtl/>
        </w:rPr>
        <w:t>נִשְׁמָתִין דְּמַשְׂכִּילִים כְּכוֹכְבַיָּא</w:t>
      </w:r>
      <w:r w:rsidR="00347240">
        <w:rPr>
          <w:rFonts w:hint="cs"/>
          <w:rtl/>
        </w:rPr>
        <w:t xml:space="preserve"> ב</w:t>
      </w:r>
      <w:r w:rsidR="00347240">
        <w:rPr>
          <w:rtl/>
        </w:rPr>
        <w:t xml:space="preserve">ִּרְקִיעָא הָכִי נָהֲרִין </w:t>
      </w:r>
      <w:r w:rsidR="00B35AF6">
        <w:rPr>
          <w:rtl/>
        </w:rPr>
        <w:t>בְּכָרְסַיָּא</w:t>
      </w:r>
      <w:r w:rsidR="00347240">
        <w:rPr>
          <w:rFonts w:hint="cs"/>
          <w:rtl/>
        </w:rPr>
        <w:t>.</w:t>
      </w:r>
    </w:p>
    <w:p w:rsidR="00D45634" w:rsidRDefault="00D45634" w:rsidP="00347240">
      <w:pPr>
        <w:pStyle w:val="NormalWeb"/>
        <w:rPr>
          <w:rtl/>
        </w:rPr>
      </w:pPr>
      <w:r>
        <w:rPr>
          <w:rtl/>
        </w:rPr>
        <w:t>נוסחא אחרינא</w:t>
      </w:r>
      <w:r>
        <w:rPr>
          <w:sz w:val="20"/>
          <w:szCs w:val="23"/>
          <w:rtl/>
        </w:rPr>
        <w:t xml:space="preserve"> (בתיקוני זוהר חדש בהגהה, ובדפוס זאלקווי בתיקונים כאן)</w:t>
      </w:r>
      <w:r>
        <w:rPr>
          <w:rtl/>
        </w:rPr>
        <w:t>:</w:t>
      </w:r>
      <w:r>
        <w:rPr>
          <w:sz w:val="28"/>
          <w:szCs w:val="28"/>
          <w:rtl/>
        </w:rPr>
        <w:t xml:space="preserve"> </w:t>
      </w:r>
      <w:r>
        <w:rPr>
          <w:rtl/>
        </w:rPr>
        <w:t>תָּאנָא וְהַמַּשְׂכִּילִים יַזְהִירוּ כְּזֹהַר הָרָקִיעַ, דְּאִיהוּ זֹהַר טָמִיר וְגָנִיז דָּא כֶּתֶ''ר, זֹהַר בָּהִיר בַּשְּׁחָקִים דָּא חָכְמָ''ה, זֹהַר זָרִיק נִצּוֹצִּין וּמַבְהִיק כַּבָּרָק לְעַיְינִין דָּא בִינָ''ה, זֹהַר חִוְורוּ כְּסִיהֲרָא דָא גְדוּלָ''ה, זֹהַר זָהִיר סוּמָקָא כְּמַאֲדִים דָּא גְבוּרָ''ה, זֹהַר מַבְהִיק כְּלִיל יְרוֹקָא כַּחַמָּה דָא תִּפְאֶרֶ''ת, זֹהַר יָרוֹק כַּכֹּכָב דָּא נֶצַּ''ח, זֹהַר כְּלִיל אוּכָּם וְסוּמָק דָּא הוֹ''ד, זֹהַר זָהִיר לְכָל עֵיבַר כְּמָאן דְּמָחָא בַּפַּטִישׁ וְזָרִיק שְׁבִיבִין לְכָל סְטַר דָא יְסוֹ''ד.</w:t>
      </w:r>
      <w:r w:rsidR="00347240">
        <w:rPr>
          <w:rFonts w:hint="cs"/>
          <w:rtl/>
        </w:rPr>
        <w:t xml:space="preserve"> </w:t>
      </w:r>
      <w:r>
        <w:rPr>
          <w:rtl/>
        </w:rPr>
        <w:t xml:space="preserve">וְאִלֵּין אִינוּן נִשְׁמָתִין מֵאִלֵּין מַשְׂכִּילִים דְּאִית בְּהוֹן שֵׂכֶל לְאִשְׁתְּמוֹדְעָא בְּרָזִין דְּמָארֵיהוֹן, </w:t>
      </w:r>
      <w:r>
        <w:rPr>
          <w:rStyle w:val="a7"/>
          <w:rtl/>
        </w:rPr>
        <w:footnoteReference w:id="8"/>
      </w:r>
      <w:r>
        <w:rPr>
          <w:rtl/>
        </w:rPr>
        <w:t xml:space="preserve">כֻּלְּהוּ רְשִׁימִין וּמְצוּיָירִין בְּמַלְכוּתָא דִרְקִיעָא כְּכוֹכְבַיָּא, וְנָהֲרִין בִּרְקִיעָא, וְהַיְינוּ יַזְהִירוּ כְּזֹהַר הָרָקִיעַ, </w:t>
      </w:r>
      <w:r>
        <w:rPr>
          <w:rtl/>
        </w:rPr>
        <w:lastRenderedPageBreak/>
        <w:t>דְנָהֲרִין בָּרָקִיעַ, (מַא</w:t>
      </w:r>
      <w:r w:rsidR="00347240">
        <w:rPr>
          <w:rtl/>
        </w:rPr>
        <w:t>י הָרָקִיעַ דְּנָהֲרִין בֵּיהּ)</w:t>
      </w:r>
      <w:r w:rsidR="00347240">
        <w:rPr>
          <w:rFonts w:hint="cs"/>
          <w:rtl/>
        </w:rPr>
        <w:t xml:space="preserve">. </w:t>
      </w:r>
      <w:r>
        <w:rPr>
          <w:rStyle w:val="a7"/>
          <w:rtl/>
        </w:rPr>
        <w:footnoteReference w:id="9"/>
      </w:r>
      <w:r>
        <w:rPr>
          <w:rtl/>
        </w:rPr>
        <w:t xml:space="preserve">אוּף הָכִי אִלֵּין נִשְׁמָתִין נָהֲרִין בְּכָרְסַיָּא, </w:t>
      </w:r>
      <w:r>
        <w:rPr>
          <w:rStyle w:val="a7"/>
          <w:rtl/>
        </w:rPr>
        <w:footnoteReference w:id="10"/>
      </w:r>
      <w:r>
        <w:rPr>
          <w:rtl/>
        </w:rPr>
        <w:t xml:space="preserve">וַעֲלַיְיהוּ כְתִיב </w:t>
      </w:r>
      <w:r>
        <w:rPr>
          <w:sz w:val="20"/>
          <w:szCs w:val="23"/>
          <w:rtl/>
        </w:rPr>
        <w:t>(בראשית א יז)</w:t>
      </w:r>
      <w:r>
        <w:rPr>
          <w:rtl/>
        </w:rPr>
        <w:t xml:space="preserve"> וַיִּתֵּן אֹתָם אֱלֹהִי''ם בִּרְקִיעַ הַשָּׁמָיִם כו'.</w:t>
      </w:r>
    </w:p>
    <w:p w:rsidR="00D25A25" w:rsidRPr="00F42D74" w:rsidRDefault="00D25A25" w:rsidP="00D25A25">
      <w:pPr>
        <w:jc w:val="both"/>
        <w:rPr>
          <w:rFonts w:cs="Arial"/>
          <w:rtl/>
        </w:rPr>
      </w:pPr>
      <w:r>
        <w:rPr>
          <w:rFonts w:cs="Arial" w:hint="cs"/>
          <w:rtl/>
        </w:rPr>
        <w:t xml:space="preserve">(ועוד זה נמצא בתיקונים מזהר חדש דף מג ע"ב בדפוס וילנא) </w:t>
      </w:r>
      <w:r w:rsidRPr="00F42D74">
        <w:rPr>
          <w:rFonts w:cs="Arial"/>
          <w:rtl/>
        </w:rPr>
        <w:t>אמ"ז</w:t>
      </w:r>
      <w:r>
        <w:rPr>
          <w:rFonts w:cs="Arial" w:hint="cs"/>
          <w:rtl/>
        </w:rPr>
        <w:t>,</w:t>
      </w:r>
      <w:r w:rsidRPr="00F42D74">
        <w:rPr>
          <w:rFonts w:cs="Arial"/>
          <w:rtl/>
        </w:rPr>
        <w:t xml:space="preserve"> בכאן נמצא תוספת זה בזוהר הנדפס בסאלונקי ועליו כתב הר"מ ד"ל ז"ל שזה היה פירוש על מ"ש בתחלת התיקונים ושהמדפיס שנה בו הסדר והוסיף בו דברים כדי ליישב פירושו עכ"ל.</w:t>
      </w:r>
    </w:p>
    <w:p w:rsidR="00D25A25" w:rsidRPr="00F42D74" w:rsidRDefault="00D25A25" w:rsidP="00D25A25">
      <w:pPr>
        <w:pStyle w:val="NormalWeb"/>
        <w:rPr>
          <w:rFonts w:cs="Arial"/>
          <w:b w:val="0"/>
          <w:bCs w:val="0"/>
        </w:rPr>
      </w:pPr>
      <w:r w:rsidRPr="00F42D74">
        <w:rPr>
          <w:rFonts w:cs="Arial"/>
          <w:rtl/>
        </w:rPr>
        <w:t>וְהַמַּשְׂכִּילִים יַזְהִרוּ כְּזֹהַר הַרַקִיעַ. אִיהוּ זֹהַר טָמִיר וְגָנִיז וְדָא כֶּתֶ"ר. זֹהַר בָּהִיר בַּשְּׁחָקִים דָּא חָכְמָ"ה</w:t>
      </w:r>
      <w:r>
        <w:rPr>
          <w:rFonts w:cs="Arial" w:hint="cs"/>
          <w:b w:val="0"/>
          <w:bCs w:val="0"/>
          <w:rtl/>
        </w:rPr>
        <w:t>.</w:t>
      </w:r>
      <w:r w:rsidRPr="00F42D74">
        <w:rPr>
          <w:rFonts w:cs="Arial"/>
          <w:rtl/>
        </w:rPr>
        <w:t xml:space="preserve"> זֹהַר זָרִיק נִיצוֹצִין וּמַבְהִיק כְּבָרָק לְעַיְנִין דָּא בִּינָ"ה. זֹהַר חִוְּרוּ כְּ</w:t>
      </w:r>
      <w:r w:rsidRPr="00D25A25">
        <w:rPr>
          <w:rFonts w:cs="Arial" w:hint="cs"/>
          <w:rtl/>
        </w:rPr>
        <w:t>ס</w:t>
      </w:r>
      <w:r w:rsidRPr="00F42D74">
        <w:rPr>
          <w:rFonts w:cs="Arial"/>
          <w:rtl/>
        </w:rPr>
        <w:t xml:space="preserve">ִיהֲרָא דָּא גְּדֻלָּ"ה. זֹהַר זָהִיר סוּמָקָא </w:t>
      </w:r>
      <w:r w:rsidRPr="00D25A25">
        <w:rPr>
          <w:rFonts w:cs="Arial" w:hint="cs"/>
          <w:rtl/>
        </w:rPr>
        <w:t>כ</w:t>
      </w:r>
      <w:r w:rsidRPr="00F42D74">
        <w:rPr>
          <w:rFonts w:cs="Arial"/>
          <w:rtl/>
        </w:rPr>
        <w:t xml:space="preserve">ְּמַאְדִּים דָּא גְּבוּרָ"ה. זֹהַר מַבְהִיק כָּלִיל חִוָּר וְסוּמָק דָּא תִּפְאֶרֶ"ת. זֹהַר יָרֹק </w:t>
      </w:r>
      <w:r w:rsidRPr="00D25A25">
        <w:rPr>
          <w:rFonts w:cs="Arial"/>
          <w:rtl/>
        </w:rPr>
        <w:t>כְּכוֹכָב</w:t>
      </w:r>
      <w:r w:rsidRPr="00F42D74">
        <w:rPr>
          <w:rFonts w:cs="Arial"/>
          <w:rtl/>
        </w:rPr>
        <w:t xml:space="preserve"> דָּא נֶצַ"ח</w:t>
      </w:r>
      <w:r>
        <w:rPr>
          <w:rFonts w:cs="Arial" w:hint="cs"/>
          <w:b w:val="0"/>
          <w:bCs w:val="0"/>
          <w:rtl/>
        </w:rPr>
        <w:t>.</w:t>
      </w:r>
      <w:r w:rsidRPr="00F42D74">
        <w:rPr>
          <w:rFonts w:cs="Arial"/>
          <w:rtl/>
        </w:rPr>
        <w:t xml:space="preserve"> זֹהַר כָּלִיל חִוָּר וְסוּמָק דָּא הוֹ"ד. זֹהַר זָהִיר לְכָל עֵיבָר כְּמָאן דְּמָחַא בְּפַטִישׁ וְזָרִיק שְׁבִיבִין לְכָל סִטְרִין דָּא יְסוֹ"ד. וְכֻלָּם מַשְׁפִּיעִים לַמַּלְכוּת כְּנֶסֶת יִשְׂרָאֵל. רָאשֵׁי אַלְפֵי יִשְׂרָאֵל הֵמָּה</w:t>
      </w:r>
      <w:r>
        <w:rPr>
          <w:rFonts w:cs="Arial" w:hint="cs"/>
          <w:b w:val="0"/>
          <w:bCs w:val="0"/>
          <w:rtl/>
        </w:rPr>
        <w:t xml:space="preserve"> (במדבר א טז)</w:t>
      </w:r>
      <w:r w:rsidRPr="00F42D74">
        <w:rPr>
          <w:rFonts w:cs="Arial"/>
          <w:rtl/>
        </w:rPr>
        <w:t xml:space="preserve"> כֶּתֶר</w:t>
      </w:r>
      <w:r>
        <w:rPr>
          <w:rFonts w:cs="Arial" w:hint="cs"/>
          <w:b w:val="0"/>
          <w:bCs w:val="0"/>
          <w:rtl/>
        </w:rPr>
        <w:t>.</w:t>
      </w:r>
      <w:r w:rsidRPr="00F42D74">
        <w:rPr>
          <w:rFonts w:cs="Arial"/>
          <w:rtl/>
        </w:rPr>
        <w:t xml:space="preserve"> חָכְמָה חֲכָמִים. בִּינָה נְבוֹנִים. חֶסֶד חֲסִידִים. גְּבוּרָה גִּבּוֹרִים. מָארֵי</w:t>
      </w:r>
      <w:r w:rsidRPr="00F42D74">
        <w:rPr>
          <w:rFonts w:cs="Arial"/>
        </w:rPr>
        <w:t xml:space="preserve"> </w:t>
      </w:r>
      <w:r w:rsidRPr="00F42D74">
        <w:rPr>
          <w:rFonts w:cs="Arial"/>
          <w:rtl/>
        </w:rPr>
        <w:t>תּוֹרָה תִּפְאֶרֶת. נְבִיאִים נֶצַח. חוֹזִים הוֹד. צַדִּיקִים יְסוֹד. מַלְכוּת מְלָכִים. וְעַל שְׁמָ</w:t>
      </w:r>
      <w:r>
        <w:rPr>
          <w:rFonts w:cs="Arial" w:hint="cs"/>
          <w:b w:val="0"/>
          <w:bCs w:val="0"/>
          <w:rtl/>
        </w:rPr>
        <w:t>א</w:t>
      </w:r>
      <w:r w:rsidRPr="00F42D74">
        <w:rPr>
          <w:rFonts w:cs="Arial"/>
          <w:rtl/>
        </w:rPr>
        <w:t xml:space="preserve"> אִתְקְרִיאוּ יִשְׂרָאֵל בְּנֵי</w:t>
      </w:r>
      <w:r w:rsidRPr="00F42D74">
        <w:rPr>
          <w:rFonts w:cs="Arial"/>
        </w:rPr>
        <w:t xml:space="preserve"> </w:t>
      </w:r>
      <w:r w:rsidRPr="00F42D74">
        <w:rPr>
          <w:rFonts w:cs="Arial"/>
          <w:rtl/>
        </w:rPr>
        <w:t>מְלָכִים בִּי בילא"ו</w:t>
      </w:r>
      <w:r w:rsidRPr="00F42D74">
        <w:rPr>
          <w:rFonts w:cs="Arial"/>
        </w:rPr>
        <w:t>:</w:t>
      </w:r>
      <w:r>
        <w:rPr>
          <w:rFonts w:cs="Arial" w:hint="cs"/>
          <w:b w:val="0"/>
          <w:bCs w:val="0"/>
          <w:rtl/>
        </w:rPr>
        <w:t xml:space="preserve"> (עד כאן מהתיקונים מזהר חדש).</w:t>
      </w:r>
    </w:p>
    <w:p w:rsidR="00D45634" w:rsidRDefault="00D45634" w:rsidP="00B17EA9">
      <w:pPr>
        <w:pStyle w:val="NormalWeb"/>
        <w:rPr>
          <w:rtl/>
        </w:rPr>
      </w:pPr>
      <w:r>
        <w:rPr>
          <w:rStyle w:val="a7"/>
          <w:rtl/>
        </w:rPr>
        <w:footnoteReference w:id="11"/>
      </w:r>
      <w:r>
        <w:rPr>
          <w:rtl/>
        </w:rPr>
        <w:t xml:space="preserve">וְכֻלְּהוּ פָרְחִין מִן רָקִיעַ, וְדָא צַדִּיק חַי עוֹלָמִים דְּמִנֵּיהּ פָּרְחִין נִשְׁמָתִין דְּצַדִּיקַיָּא וְנָהֲרִין בְּסִיהֲרָא, </w:t>
      </w:r>
      <w:r>
        <w:rPr>
          <w:rStyle w:val="a7"/>
          <w:rtl/>
        </w:rPr>
        <w:footnoteReference w:id="12"/>
      </w:r>
      <w:r>
        <w:rPr>
          <w:rtl/>
        </w:rPr>
        <w:t xml:space="preserve">וְאִיהוּ רָקִיעַ דְּאִיהוּ לְעִיל מֵחֵיוָון הֲדָא הוּא דִכְתִיב </w:t>
      </w:r>
      <w:r>
        <w:rPr>
          <w:sz w:val="20"/>
          <w:szCs w:val="23"/>
          <w:rtl/>
        </w:rPr>
        <w:t>(יחזקאל א כו)</w:t>
      </w:r>
      <w:r>
        <w:rPr>
          <w:rtl/>
        </w:rPr>
        <w:t xml:space="preserve"> וּמִמַּעַל לָרָקִיעַ אֲשֶׁר עַל רֹאשָׁם, וַהֲפוֹךְ רָקִי''עַ וְתִשְׁכַּח לֵיהּ עִיקָ''ר, וִיסוֹדָא דְמֶרְכַּבְתָּא (עלאה) דַעֲלֵיהּ קַיְימִין חֵיוָון (וְכָרְסַיָּא) דְמֶרְכַּבְתָּא (עלאה), וַעֲלֵיהּ אִתְּמַר </w:t>
      </w:r>
      <w:r>
        <w:rPr>
          <w:sz w:val="20"/>
          <w:szCs w:val="23"/>
          <w:rtl/>
        </w:rPr>
        <w:t>(משלי י כה)</w:t>
      </w:r>
      <w:r>
        <w:rPr>
          <w:rtl/>
        </w:rPr>
        <w:t xml:space="preserve"> וְצַדִּיק יְסוֹד עוֹלָם. </w:t>
      </w:r>
      <w:r>
        <w:rPr>
          <w:rStyle w:val="a7"/>
          <w:rtl/>
        </w:rPr>
        <w:footnoteReference w:id="13"/>
      </w:r>
      <w:r>
        <w:rPr>
          <w:rtl/>
        </w:rPr>
        <w:t xml:space="preserve">עַל צַדִּיק דִּלְעִילָא </w:t>
      </w:r>
      <w:r>
        <w:rPr>
          <w:rStyle w:val="a7"/>
          <w:rtl/>
        </w:rPr>
        <w:footnoteReference w:id="14"/>
      </w:r>
      <w:r>
        <w:rPr>
          <w:rtl/>
        </w:rPr>
        <w:t xml:space="preserve">קַיְימָא עָלְמָא דְאִתְכַּסְיָיא, </w:t>
      </w:r>
      <w:r>
        <w:rPr>
          <w:rStyle w:val="a7"/>
          <w:rtl/>
        </w:rPr>
        <w:footnoteReference w:id="15"/>
      </w:r>
      <w:r>
        <w:rPr>
          <w:rtl/>
        </w:rPr>
        <w:t xml:space="preserve">וְעַל צַדִּיק דִּלְתַתָּא </w:t>
      </w:r>
      <w:r>
        <w:rPr>
          <w:rStyle w:val="a7"/>
          <w:rtl/>
        </w:rPr>
        <w:footnoteReference w:id="16"/>
      </w:r>
      <w:r>
        <w:rPr>
          <w:rtl/>
        </w:rPr>
        <w:t xml:space="preserve">קַיְימָא עָלְמָא דְאִתְגַּלְיָיא, </w:t>
      </w:r>
      <w:r>
        <w:rPr>
          <w:rStyle w:val="a7"/>
          <w:rtl/>
        </w:rPr>
        <w:footnoteReference w:id="17"/>
      </w:r>
      <w:r>
        <w:rPr>
          <w:rtl/>
        </w:rPr>
        <w:t xml:space="preserve">וְהַיְינוּ ומַצְדִּיקֵי הָרַבִּים, </w:t>
      </w:r>
      <w:r>
        <w:rPr>
          <w:rStyle w:val="a7"/>
          <w:rtl/>
        </w:rPr>
        <w:footnoteReference w:id="18"/>
      </w:r>
      <w:r>
        <w:rPr>
          <w:rtl/>
        </w:rPr>
        <w:t xml:space="preserve">מֵהַהוּא צַדִּיקָא דְעָלְמָא תַלְיָין. </w:t>
      </w:r>
      <w:r>
        <w:rPr>
          <w:rStyle w:val="a7"/>
          <w:rtl/>
        </w:rPr>
        <w:footnoteReference w:id="19"/>
      </w:r>
      <w:r>
        <w:rPr>
          <w:rtl/>
        </w:rPr>
        <w:t xml:space="preserve">מַאי הָרַבִּים </w:t>
      </w:r>
      <w:r>
        <w:rPr>
          <w:rStyle w:val="a7"/>
          <w:rtl/>
        </w:rPr>
        <w:footnoteReference w:id="20"/>
      </w:r>
      <w:r>
        <w:rPr>
          <w:rtl/>
        </w:rPr>
        <w:t>אִלֵּין דְּאִתְּמַר עֲלַיְיהוּ הֲלָכָה כְרַבִּים דְּאִינוּן מִסִּטְרָא דַאֲבָהָן, דְּלֵית רַבִּים פָּחוּת מִתְּלַת הֲלָכָה כְרַבִּים דָּא שְׁכִינְתָּא.</w:t>
      </w:r>
    </w:p>
    <w:p w:rsidR="00D45634" w:rsidRDefault="00D45634" w:rsidP="00347240">
      <w:pPr>
        <w:pStyle w:val="2"/>
        <w:rPr>
          <w:rtl/>
        </w:rPr>
      </w:pPr>
      <w:bookmarkStart w:id="8" w:name="_Toc228095564"/>
      <w:bookmarkStart w:id="9" w:name="_Toc231638002"/>
      <w:r>
        <w:rPr>
          <w:rtl/>
        </w:rPr>
        <w:lastRenderedPageBreak/>
        <w:t>[תיקוני זוהר - דף א ע''ב]</w:t>
      </w:r>
      <w:bookmarkEnd w:id="8"/>
      <w:bookmarkEnd w:id="9"/>
    </w:p>
    <w:p w:rsidR="00347240" w:rsidRDefault="00347240" w:rsidP="00B35AF6">
      <w:pPr>
        <w:pStyle w:val="2"/>
        <w:jc w:val="right"/>
        <w:rPr>
          <w:rtl/>
        </w:rPr>
      </w:pPr>
      <w:r>
        <w:rPr>
          <w:rtl/>
        </w:rPr>
        <w:t>[</w:t>
      </w:r>
      <w:r w:rsidR="00B35AF6">
        <w:rPr>
          <w:rFonts w:hint="cs"/>
          <w:rtl/>
        </w:rPr>
        <w:t>וילנא דף</w:t>
      </w:r>
      <w:r>
        <w:rPr>
          <w:rtl/>
        </w:rPr>
        <w:t xml:space="preserve"> </w:t>
      </w:r>
      <w:r w:rsidR="00B35AF6">
        <w:rPr>
          <w:rFonts w:hint="cs"/>
          <w:rtl/>
        </w:rPr>
        <w:t>ב</w:t>
      </w:r>
      <w:r>
        <w:rPr>
          <w:rtl/>
        </w:rPr>
        <w:t xml:space="preserve"> ע''</w:t>
      </w:r>
      <w:r w:rsidR="00B35AF6">
        <w:rPr>
          <w:rFonts w:hint="cs"/>
          <w:rtl/>
        </w:rPr>
        <w:t>א</w:t>
      </w:r>
      <w:r>
        <w:rPr>
          <w:rtl/>
        </w:rPr>
        <w:t>]</w:t>
      </w:r>
    </w:p>
    <w:p w:rsidR="00D45634" w:rsidRDefault="00D45634" w:rsidP="00B35AF6">
      <w:pPr>
        <w:pStyle w:val="NormalWeb"/>
        <w:rPr>
          <w:rtl/>
        </w:rPr>
      </w:pPr>
      <w:r>
        <w:rPr>
          <w:rStyle w:val="a7"/>
          <w:rtl/>
        </w:rPr>
        <w:footnoteReference w:id="21"/>
      </w:r>
      <w:r>
        <w:rPr>
          <w:rtl/>
        </w:rPr>
        <w:t xml:space="preserve">וּמִתַּמָּן </w:t>
      </w:r>
      <w:r>
        <w:rPr>
          <w:sz w:val="20"/>
          <w:szCs w:val="23"/>
          <w:rtl/>
        </w:rPr>
        <w:t>(ישעיה ס כא)</w:t>
      </w:r>
      <w:r>
        <w:rPr>
          <w:rtl/>
        </w:rPr>
        <w:t xml:space="preserve"> וְעַמֵּךְ כֻּלָּם צַדִּיקִים לְעוֹלָם יִירְשׁוּ אָרֶץ, הַאי דְאִתְּמַר בָּהּ </w:t>
      </w:r>
      <w:r>
        <w:rPr>
          <w:sz w:val="20"/>
          <w:szCs w:val="23"/>
          <w:rtl/>
        </w:rPr>
        <w:t>(שם סו א)</w:t>
      </w:r>
      <w:r>
        <w:rPr>
          <w:rtl/>
        </w:rPr>
        <w:t xml:space="preserve"> וְהָאָרֶץ הֲדֹם רַגְלָי, דָּא שְׁכִינְתָּא </w:t>
      </w:r>
      <w:r>
        <w:rPr>
          <w:rStyle w:val="a7"/>
          <w:rtl/>
        </w:rPr>
        <w:footnoteReference w:id="22"/>
      </w:r>
      <w:r>
        <w:rPr>
          <w:rtl/>
        </w:rPr>
        <w:t xml:space="preserve">דְאִיהִי כְּלִילָא מֵעֲשַׂר סְפִירָן, וּמִתַּמָּן </w:t>
      </w:r>
      <w:r w:rsidRPr="00B35AF6">
        <w:rPr>
          <w:rStyle w:val="30"/>
          <w:sz w:val="20"/>
          <w:szCs w:val="20"/>
          <w:rtl/>
        </w:rPr>
        <w:t>(דף א ע''ב)</w:t>
      </w:r>
      <w:r>
        <w:rPr>
          <w:sz w:val="20"/>
          <w:szCs w:val="23"/>
          <w:rtl/>
        </w:rPr>
        <w:t xml:space="preserve"> </w:t>
      </w:r>
      <w:r w:rsidR="00347240">
        <w:rPr>
          <w:rFonts w:hint="cs"/>
          <w:rtl/>
        </w:rPr>
        <w:t xml:space="preserve">הוו </w:t>
      </w:r>
      <w:r>
        <w:rPr>
          <w:rtl/>
        </w:rPr>
        <w:t xml:space="preserve">אִתְקְרִיאוּ יִשְׂרָאֵל: </w:t>
      </w:r>
      <w:r w:rsidR="00B35AF6">
        <w:rPr>
          <w:rFonts w:hint="cs"/>
          <w:rtl/>
        </w:rPr>
        <w:t>(</w:t>
      </w:r>
      <w:r>
        <w:rPr>
          <w:rStyle w:val="a7"/>
          <w:rtl/>
        </w:rPr>
        <w:footnoteReference w:id="23"/>
      </w:r>
      <w:r>
        <w:rPr>
          <w:rtl/>
        </w:rPr>
        <w:t>מְלָכִים,</w:t>
      </w:r>
      <w:r w:rsidR="00B35AF6">
        <w:rPr>
          <w:rFonts w:hint="cs"/>
          <w:rtl/>
        </w:rPr>
        <w:t>)</w:t>
      </w:r>
      <w:r>
        <w:rPr>
          <w:rtl/>
        </w:rPr>
        <w:t xml:space="preserve"> </w:t>
      </w:r>
      <w:r w:rsidR="00B35AF6" w:rsidRPr="00B35AF6">
        <w:rPr>
          <w:rStyle w:val="30"/>
          <w:sz w:val="20"/>
          <w:szCs w:val="20"/>
          <w:rtl/>
        </w:rPr>
        <w:t>(</w:t>
      </w:r>
      <w:r w:rsidR="00B35AF6">
        <w:rPr>
          <w:rStyle w:val="30"/>
          <w:rFonts w:hint="cs"/>
          <w:sz w:val="20"/>
          <w:szCs w:val="20"/>
          <w:rtl/>
        </w:rPr>
        <w:t>וילנא</w:t>
      </w:r>
      <w:r w:rsidR="00B35AF6" w:rsidRPr="00B35AF6">
        <w:rPr>
          <w:rStyle w:val="30"/>
          <w:sz w:val="20"/>
          <w:szCs w:val="20"/>
          <w:rtl/>
        </w:rPr>
        <w:t xml:space="preserve"> </w:t>
      </w:r>
      <w:r w:rsidR="00B35AF6">
        <w:rPr>
          <w:rStyle w:val="30"/>
          <w:rFonts w:hint="cs"/>
          <w:sz w:val="20"/>
          <w:szCs w:val="20"/>
          <w:rtl/>
        </w:rPr>
        <w:t>ב</w:t>
      </w:r>
      <w:r w:rsidR="00B35AF6" w:rsidRPr="00B35AF6">
        <w:rPr>
          <w:rStyle w:val="30"/>
          <w:sz w:val="20"/>
          <w:szCs w:val="20"/>
          <w:rtl/>
        </w:rPr>
        <w:t xml:space="preserve"> ע''</w:t>
      </w:r>
      <w:r w:rsidR="00B35AF6">
        <w:rPr>
          <w:rStyle w:val="30"/>
          <w:rFonts w:hint="cs"/>
          <w:sz w:val="20"/>
          <w:szCs w:val="20"/>
          <w:rtl/>
        </w:rPr>
        <w:t>א</w:t>
      </w:r>
      <w:r w:rsidR="00B35AF6" w:rsidRPr="00B35AF6">
        <w:rPr>
          <w:rStyle w:val="30"/>
          <w:sz w:val="20"/>
          <w:szCs w:val="20"/>
          <w:rtl/>
        </w:rPr>
        <w:t>)</w:t>
      </w:r>
      <w:r w:rsidR="00B35AF6">
        <w:rPr>
          <w:sz w:val="20"/>
          <w:szCs w:val="23"/>
          <w:rtl/>
        </w:rPr>
        <w:t xml:space="preserve"> </w:t>
      </w:r>
      <w:r>
        <w:rPr>
          <w:rtl/>
        </w:rPr>
        <w:t>צַדִּיקִים, חוֹזִים, נְבִיאִים, מָארֵי תּוֹרָה, גִּבּוֹרִים, חֲסִידִים, נְבוֹנִים, חֲכָמִים, רָאשֵׁי אַלְפֵי יִשְׂרָאֵל.</w:t>
      </w:r>
    </w:p>
    <w:p w:rsidR="00D45634" w:rsidRDefault="00D45634" w:rsidP="00B17EA9">
      <w:pPr>
        <w:pStyle w:val="NormalWeb"/>
        <w:rPr>
          <w:rtl/>
        </w:rPr>
      </w:pPr>
      <w:r>
        <w:rPr>
          <w:rStyle w:val="a7"/>
          <w:rtl/>
        </w:rPr>
        <w:footnoteReference w:id="24"/>
      </w:r>
      <w:r>
        <w:rPr>
          <w:rtl/>
        </w:rPr>
        <w:t xml:space="preserve">וּרְשׁוּתָא אִתְיְהִיב לְאִלֵּין נִשְׁמָתִין דְּאִתְתַּרְכוּ מֵאַתְרַיְיהוּ בָּתַר קוּדְשָׁא בְּרִיךְ הוּא וּשְׁכִינְתֵּיהּ, </w:t>
      </w:r>
      <w:r>
        <w:rPr>
          <w:rStyle w:val="a7"/>
          <w:rtl/>
        </w:rPr>
        <w:footnoteReference w:id="25"/>
      </w:r>
      <w:r>
        <w:rPr>
          <w:rtl/>
        </w:rPr>
        <w:t xml:space="preserve">לְקַנְּנָא בְהַאי חִבּוּרָא, </w:t>
      </w:r>
      <w:r>
        <w:rPr>
          <w:rStyle w:val="a7"/>
          <w:rtl/>
        </w:rPr>
        <w:footnoteReference w:id="26"/>
      </w:r>
      <w:r>
        <w:rPr>
          <w:rtl/>
        </w:rPr>
        <w:t xml:space="preserve">דְאִתְּמַר בָּהּ </w:t>
      </w:r>
      <w:r>
        <w:rPr>
          <w:sz w:val="20"/>
          <w:szCs w:val="23"/>
          <w:rtl/>
        </w:rPr>
        <w:t>(משלי כז י)</w:t>
      </w:r>
      <w:r>
        <w:rPr>
          <w:rtl/>
        </w:rPr>
        <w:t xml:space="preserve"> כְּצִפּוֹר נוֹדֶדֶת מִן קִנָּהּ כֵּן אִישׁ נוֹדֵד מִמְּקוֹמוֹ, וְלֵית צִפּוֹר אֶלָּא שְׁכִינְתָּא, דְאִיהִי מִתְתַּרְכָא מֵאַתְרָהָא הֲדָא הוּא דִכְתִיב </w:t>
      </w:r>
      <w:r>
        <w:rPr>
          <w:sz w:val="20"/>
          <w:szCs w:val="23"/>
          <w:rtl/>
        </w:rPr>
        <w:t>(דברים כב ז)</w:t>
      </w:r>
      <w:r>
        <w:rPr>
          <w:rtl/>
        </w:rPr>
        <w:t xml:space="preserve"> שַׁלֵּחַ תְּשַׁלַּח אֶת הָאֵם וְאֶת הַבָּנִים תִּקַּח לָךְ, אֶת לְרַבּוֹת שְׁכִינְתָּא תַּתָּאָה, הָאֵם שְׁכִינְתָּא עִלָּאָה, הֲדָא הוּא דִכְתִיב </w:t>
      </w:r>
      <w:r>
        <w:rPr>
          <w:sz w:val="20"/>
          <w:szCs w:val="23"/>
          <w:rtl/>
        </w:rPr>
        <w:t>(ישעיה נ א)</w:t>
      </w:r>
      <w:r>
        <w:rPr>
          <w:rtl/>
        </w:rPr>
        <w:t xml:space="preserve"> וּבְפִשְׁעִיכֶם שֻׁלְּחָה אִמְּכֶם, דְּתַרְוַיְהוּ אִתְתַּרְכוּ מֵאַתְרֵיהוֹן, וּבְגִין דָּא שַׁלֵּחַ תְּשַׁלַּח תְּרֵין שִׁלּוּחִין </w:t>
      </w:r>
      <w:r>
        <w:rPr>
          <w:rStyle w:val="a7"/>
          <w:rtl/>
        </w:rPr>
        <w:footnoteReference w:id="27"/>
      </w:r>
      <w:r>
        <w:rPr>
          <w:rtl/>
        </w:rPr>
        <w:t xml:space="preserve">חַד מִבַּיִת רִאשׁוֹן וְחַד מִבַּיִת שֵׁנִי, כֵּן אִישׁ נוֹדֵד מִמְּקוֹמוֹ דָא קוּדְשָׁא בְּרִיךְ הוּא דְאִתְּמַר בֵּיהּ (שמות טו ג) יהו''ה אִישׁ מִלְחָמָה, דְאִתְתָּרֵךְ אַבַּתְרַיְיהוּ </w:t>
      </w:r>
      <w:r>
        <w:rPr>
          <w:rStyle w:val="a7"/>
          <w:rtl/>
        </w:rPr>
        <w:footnoteReference w:id="28"/>
      </w:r>
      <w:r>
        <w:rPr>
          <w:rtl/>
        </w:rPr>
        <w:t xml:space="preserve">לְקַיְימָא בֵּיהּ </w:t>
      </w:r>
      <w:r>
        <w:rPr>
          <w:sz w:val="20"/>
          <w:szCs w:val="23"/>
          <w:rtl/>
        </w:rPr>
        <w:t>(שם מב ח)</w:t>
      </w:r>
      <w:r>
        <w:rPr>
          <w:rtl/>
        </w:rPr>
        <w:t xml:space="preserve"> אֲנִי יהו''ה הוּא שְׁמִי וּכְבוֹדִי לְאַחֵר לֹא אֶתֵּן שְׁכִינְתָּא עִלָּאָה, וּתְהִלָּתִי לַפְּסִילִים שְׁכִינְתָּא תַּתָּאָה.</w:t>
      </w:r>
    </w:p>
    <w:p w:rsidR="00D45634" w:rsidRDefault="00D45634" w:rsidP="00DD49F1">
      <w:pPr>
        <w:pStyle w:val="NormalWeb"/>
        <w:rPr>
          <w:rtl/>
        </w:rPr>
      </w:pPr>
      <w:r>
        <w:rPr>
          <w:rtl/>
        </w:rPr>
        <w:t>וְעוֹד</w:t>
      </w:r>
      <w:r w:rsidR="00DD49F1">
        <w:rPr>
          <w:rFonts w:hint="cs"/>
          <w:rtl/>
        </w:rPr>
        <w:t>,</w:t>
      </w:r>
      <w:r>
        <w:rPr>
          <w:rtl/>
        </w:rPr>
        <w:t xml:space="preserve"> כֵּן אִישׁ נוֹדֵד מִמְּקוֹמוֹ, </w:t>
      </w:r>
      <w:r>
        <w:rPr>
          <w:rStyle w:val="a7"/>
          <w:rtl/>
        </w:rPr>
        <w:footnoteReference w:id="29"/>
      </w:r>
      <w:r>
        <w:rPr>
          <w:rtl/>
        </w:rPr>
        <w:t xml:space="preserve">דָא מֹשֶׁה דִכְתִיב </w:t>
      </w:r>
      <w:r>
        <w:rPr>
          <w:sz w:val="20"/>
          <w:szCs w:val="23"/>
          <w:rtl/>
        </w:rPr>
        <w:t>(במדבר יב ג)</w:t>
      </w:r>
      <w:r>
        <w:rPr>
          <w:rtl/>
        </w:rPr>
        <w:t xml:space="preserve"> וְהָאִישׁ מֹשֶׁה עָנָו מְאֹד, דְּאִתְתָּרַךְ רוּחֵיהּ אַבַּתְרַיְהוּ. וְעוֹד</w:t>
      </w:r>
      <w:r w:rsidR="00DD49F1">
        <w:rPr>
          <w:rFonts w:hint="cs"/>
          <w:rtl/>
        </w:rPr>
        <w:t>,</w:t>
      </w:r>
      <w:r>
        <w:rPr>
          <w:rtl/>
        </w:rPr>
        <w:t xml:space="preserve"> כֵּן אִישׁ נוֹדֵד מִמְּקוֹמוֹ מָאן דְּאִיהוּ אִישׁ צַדִּיק דְּאָזַל נָע וָנָד מֵאַתְרֵיהּ דְּהָכִי אוּקְמוּהוּ רַבָּנָן בְּזִמְנָא דְאִתְחֲרַב בֵּי מַקְדְּשָׁא גָזַר עַל בָּתֵּי הַצַּדִּיקִים דְּיִחָרְבוּ, דְאָזְלִין כָּל חַד נוֹדֵד מִמְּקוֹמוֹ, כְּשְׁכִינְתָּא, </w:t>
      </w:r>
      <w:r>
        <w:rPr>
          <w:rStyle w:val="a7"/>
          <w:rtl/>
        </w:rPr>
        <w:footnoteReference w:id="30"/>
      </w:r>
      <w:r>
        <w:rPr>
          <w:rtl/>
        </w:rPr>
        <w:t xml:space="preserve">דְאִתְּמַר בָּהּ </w:t>
      </w:r>
      <w:r>
        <w:rPr>
          <w:sz w:val="20"/>
          <w:szCs w:val="23"/>
          <w:rtl/>
        </w:rPr>
        <w:t>(בראשית ח ט)</w:t>
      </w:r>
      <w:r>
        <w:rPr>
          <w:rtl/>
        </w:rPr>
        <w:t xml:space="preserve"> וְלֹא מָצְאָה הַיּוֹנָה מָנוֹחַ, דְּדַיּוֹ לְעֶבֶד לְמֶהֱוִי כְּרַבֵּיהּ, וְרָזָא דְמִלָּה </w:t>
      </w:r>
      <w:r>
        <w:rPr>
          <w:sz w:val="20"/>
          <w:szCs w:val="23"/>
          <w:rtl/>
        </w:rPr>
        <w:t>(איוב טו כג)</w:t>
      </w:r>
      <w:r>
        <w:rPr>
          <w:rtl/>
        </w:rPr>
        <w:t xml:space="preserve"> נֹדֵד הוּא לַלֶּחֶם אַיֵּה </w:t>
      </w:r>
      <w:r>
        <w:rPr>
          <w:rStyle w:val="a7"/>
          <w:rtl/>
        </w:rPr>
        <w:footnoteReference w:id="31"/>
      </w:r>
      <w:r>
        <w:rPr>
          <w:rtl/>
        </w:rPr>
        <w:t xml:space="preserve">אַיֵּ''ה דִמְרַחֵם עֲלֵהּ, אוּף הָכִי </w:t>
      </w:r>
      <w:r>
        <w:rPr>
          <w:sz w:val="20"/>
          <w:szCs w:val="23"/>
          <w:rtl/>
        </w:rPr>
        <w:t>(ישעי</w:t>
      </w:r>
      <w:r w:rsidR="00DD49F1">
        <w:rPr>
          <w:rFonts w:hint="cs"/>
          <w:sz w:val="20"/>
          <w:szCs w:val="23"/>
          <w:rtl/>
        </w:rPr>
        <w:t>ה</w:t>
      </w:r>
      <w:r>
        <w:rPr>
          <w:sz w:val="20"/>
          <w:szCs w:val="23"/>
          <w:rtl/>
        </w:rPr>
        <w:t xml:space="preserve"> נא יח)</w:t>
      </w:r>
      <w:r>
        <w:rPr>
          <w:rtl/>
        </w:rPr>
        <w:t xml:space="preserve"> אֵין מְנַהֵל לָהּ וְגוֹמֵר, וּבְגִין דָּא דַיּוֹ לְעֶבֶד לְמֶהֱוֵי כְּרַבֵּיהּ, וְלֵית לֶחֶם אֶלָּא אוֹרַיְיתָא, הַאי גָּרַם לְמָארֵי תוֹרָה דְּאָזְלִין מִתְתַּרְכִין.</w:t>
      </w:r>
    </w:p>
    <w:p w:rsidR="00D45634" w:rsidRDefault="00D45634" w:rsidP="00B17EA9">
      <w:pPr>
        <w:pStyle w:val="NormalWeb"/>
        <w:rPr>
          <w:rtl/>
        </w:rPr>
      </w:pPr>
      <w:r>
        <w:rPr>
          <w:rtl/>
        </w:rPr>
        <w:t xml:space="preserve">זַכָּאָה אִיהוּ מָארֵי מְתִיבְתָּא מָארֵי מֶדְרָשׁ מָארֵי תוֹרָה, דְּגַם צִפּוֹר מָצְאָה בַיִת </w:t>
      </w:r>
      <w:r>
        <w:rPr>
          <w:sz w:val="20"/>
          <w:szCs w:val="23"/>
          <w:rtl/>
        </w:rPr>
        <w:t>(תהלים פד ד)</w:t>
      </w:r>
      <w:r>
        <w:rPr>
          <w:rtl/>
        </w:rPr>
        <w:t xml:space="preserve">, </w:t>
      </w:r>
      <w:r>
        <w:rPr>
          <w:rStyle w:val="a7"/>
          <w:rtl/>
        </w:rPr>
        <w:footnoteReference w:id="32"/>
      </w:r>
      <w:r>
        <w:rPr>
          <w:rtl/>
        </w:rPr>
        <w:t xml:space="preserve">בַּיִת דְּנִשְׁמָעִין בֵּיהּ פִּתְגָמֵי אוֹרַיְיתָא, דְּבַאֲתַר דְּאִית תַּמָּן תּוֹרָה דְאִיהוּ עַמּוּדָא דְאֶמְצָעִיתָא, גַּם צִפּוֹר מָצְאָה בַיִת תַּמָּן, וּבְגִין דָּא אוּקְמוּהָ רַבָּנָן </w:t>
      </w:r>
      <w:r>
        <w:rPr>
          <w:rStyle w:val="a7"/>
          <w:rtl/>
        </w:rPr>
        <w:footnoteReference w:id="33"/>
      </w:r>
      <w:r>
        <w:rPr>
          <w:rtl/>
        </w:rPr>
        <w:t>כָּל בַּיִת שֶׁאֵין נִשְׁמָעִין בּוֹ דִבְרֵי תוֹרָה לְסוֹף תֵּחָרֵב, וְאִלֵּין דְּנִשְׁמָעִין דִּבְרֵי תוֹרָה בְּהוֹן אִתְקְרִיאוּ בֵּיצִים אֶפְרֹחִים בָּנִים, בֵּיצִים מָארֵי מִקְרָא, אֶפְרֹחִים מָארֵי מִשְׁנָה, בָּנִים מָארֵי קַבָּלָה.</w:t>
      </w:r>
    </w:p>
    <w:p w:rsidR="00B35AF6" w:rsidRDefault="00B35AF6" w:rsidP="00B35AF6">
      <w:pPr>
        <w:pStyle w:val="2"/>
        <w:jc w:val="right"/>
        <w:rPr>
          <w:rtl/>
        </w:rPr>
      </w:pPr>
      <w:r>
        <w:rPr>
          <w:rtl/>
        </w:rPr>
        <w:t>[</w:t>
      </w:r>
      <w:r>
        <w:rPr>
          <w:rFonts w:hint="cs"/>
          <w:rtl/>
        </w:rPr>
        <w:t>וילנא דף</w:t>
      </w:r>
      <w:r>
        <w:rPr>
          <w:rtl/>
        </w:rPr>
        <w:t xml:space="preserve"> </w:t>
      </w:r>
      <w:r>
        <w:rPr>
          <w:rFonts w:hint="cs"/>
          <w:rtl/>
        </w:rPr>
        <w:t>ב</w:t>
      </w:r>
      <w:r>
        <w:rPr>
          <w:rtl/>
        </w:rPr>
        <w:t xml:space="preserve"> ע''</w:t>
      </w:r>
      <w:r>
        <w:rPr>
          <w:rFonts w:hint="cs"/>
          <w:rtl/>
        </w:rPr>
        <w:t>ב</w:t>
      </w:r>
      <w:r>
        <w:rPr>
          <w:rtl/>
        </w:rPr>
        <w:t>]</w:t>
      </w:r>
    </w:p>
    <w:p w:rsidR="00575308" w:rsidRDefault="00D45634" w:rsidP="00B35AF6">
      <w:pPr>
        <w:pStyle w:val="NormalWeb"/>
        <w:rPr>
          <w:rtl/>
        </w:rPr>
      </w:pPr>
      <w:r>
        <w:rPr>
          <w:rtl/>
        </w:rPr>
        <w:t xml:space="preserve">וַעֲלַיְיהוּ אִתְּמַר </w:t>
      </w:r>
      <w:r>
        <w:rPr>
          <w:sz w:val="20"/>
          <w:szCs w:val="23"/>
          <w:rtl/>
        </w:rPr>
        <w:t>(דברים כב ו)</w:t>
      </w:r>
      <w:r>
        <w:rPr>
          <w:rtl/>
        </w:rPr>
        <w:t xml:space="preserve"> וְהָאֵם רוֹבֶצֶת עַל הָאֶפְרֹחִים אוֹ עַל הַבֵּיצִים, שַׁלֵּחַ תְּשַׁלַּח מִנַּיְהוּ, אֲבָל עַל מָארֵי קַבָּלָה אִתְּמַר </w:t>
      </w:r>
      <w:r>
        <w:rPr>
          <w:sz w:val="20"/>
          <w:szCs w:val="23"/>
          <w:rtl/>
        </w:rPr>
        <w:t>(שם)</w:t>
      </w:r>
      <w:r>
        <w:rPr>
          <w:rtl/>
        </w:rPr>
        <w:t xml:space="preserve"> לֹא תִקַּח הָאֵם עַל הַבָּנִים, דְּלֵית סִכְלְתָנוּ לְאִשְׁתְּמוֹדָע בִּשְׁכִינְתָּא כְּאִלֵּין מָארֵי קַבָּלָה, וְאִלֵּין עָבְדִין לָהּ דִּירָה וּלְקוּדְשָׁא בְּרִיךְ הוּא וּפָרְחִין עִמָּהּ, בְּכָל אֲתַר דְּאִיהִי פָּרְחַת כֻּלְּהוּ מְנַדְּדִין עִמָּהּ בִּשְׁלִיחוּתָא דִילָהּ, אֲבָל </w:t>
      </w:r>
      <w:r>
        <w:rPr>
          <w:rtl/>
        </w:rPr>
        <w:lastRenderedPageBreak/>
        <w:t xml:space="preserve">אֶפְרוֹחֵי לֵית גַּדְפִין דִּלְהוֹן שְׁלֵמִין דְּפָרְחִין בְּהוֹן, </w:t>
      </w:r>
      <w:r>
        <w:rPr>
          <w:rStyle w:val="a7"/>
          <w:rtl/>
        </w:rPr>
        <w:footnoteReference w:id="34"/>
      </w:r>
      <w:r>
        <w:rPr>
          <w:rtl/>
        </w:rPr>
        <w:t xml:space="preserve">דְּאִינוּן פִּקּוּדֵי דַעֲשֵׂה, כָּל שֶׁכֵּן בֵּצִים, וּבְגִין דָּא אִתְּמַר עֲלַיְהוּ לְגַבֵּי אִימָּא שַׁלֵּחַ תְּשַׁלַּח </w:t>
      </w:r>
      <w:r w:rsidR="00B35AF6" w:rsidRPr="00B35AF6">
        <w:rPr>
          <w:rStyle w:val="30"/>
          <w:sz w:val="20"/>
          <w:szCs w:val="20"/>
          <w:rtl/>
        </w:rPr>
        <w:t>(</w:t>
      </w:r>
      <w:r w:rsidR="00B35AF6">
        <w:rPr>
          <w:rStyle w:val="30"/>
          <w:rFonts w:hint="cs"/>
          <w:sz w:val="20"/>
          <w:szCs w:val="20"/>
          <w:rtl/>
        </w:rPr>
        <w:t>וילנא</w:t>
      </w:r>
      <w:r w:rsidR="00B35AF6" w:rsidRPr="00B35AF6">
        <w:rPr>
          <w:rStyle w:val="30"/>
          <w:sz w:val="20"/>
          <w:szCs w:val="20"/>
          <w:rtl/>
        </w:rPr>
        <w:t xml:space="preserve"> </w:t>
      </w:r>
      <w:r w:rsidR="00B35AF6">
        <w:rPr>
          <w:rStyle w:val="30"/>
          <w:rFonts w:hint="cs"/>
          <w:sz w:val="20"/>
          <w:szCs w:val="20"/>
          <w:rtl/>
        </w:rPr>
        <w:t>ב</w:t>
      </w:r>
      <w:r w:rsidR="00B35AF6" w:rsidRPr="00B35AF6">
        <w:rPr>
          <w:rStyle w:val="30"/>
          <w:sz w:val="20"/>
          <w:szCs w:val="20"/>
          <w:rtl/>
        </w:rPr>
        <w:t xml:space="preserve"> ע''</w:t>
      </w:r>
      <w:r w:rsidR="00B35AF6">
        <w:rPr>
          <w:rStyle w:val="30"/>
          <w:rFonts w:hint="cs"/>
          <w:sz w:val="20"/>
          <w:szCs w:val="20"/>
          <w:rtl/>
        </w:rPr>
        <w:t>ב</w:t>
      </w:r>
      <w:r w:rsidR="00B35AF6" w:rsidRPr="00B35AF6">
        <w:rPr>
          <w:rStyle w:val="30"/>
          <w:sz w:val="20"/>
          <w:szCs w:val="20"/>
          <w:rtl/>
        </w:rPr>
        <w:t>)</w:t>
      </w:r>
      <w:r w:rsidR="00B35AF6">
        <w:rPr>
          <w:sz w:val="20"/>
          <w:szCs w:val="23"/>
          <w:rtl/>
        </w:rPr>
        <w:t xml:space="preserve"> </w:t>
      </w:r>
      <w:r>
        <w:rPr>
          <w:rtl/>
        </w:rPr>
        <w:t>אֶת הָאֵם.</w:t>
      </w:r>
      <w:r w:rsidR="00B35AF6">
        <w:rPr>
          <w:rFonts w:hint="cs"/>
          <w:rtl/>
        </w:rPr>
        <w:t xml:space="preserve"> </w:t>
      </w:r>
      <w:r>
        <w:rPr>
          <w:rtl/>
        </w:rPr>
        <w:t xml:space="preserve">עַד דְּאָמַר מִלִּין אִלֵּין הָא סָבָא אִזְדַּמַּן לֵיהּ וְאָמַר, וְהָא כְּתִיב וְאֶת הַבָּנִים תִּקַּח לָךְ, אָמַר לֵיהּ סָבָא כָּל אֶתִין לְרִבּוּיֵי, וּבְגִין דָּא לָא אָמַר וְהַבָּנִים תִּקַּח לָךְ, אֶלָּא </w:t>
      </w:r>
      <w:r>
        <w:rPr>
          <w:rStyle w:val="a7"/>
          <w:rtl/>
        </w:rPr>
        <w:footnoteReference w:id="35"/>
      </w:r>
      <w:r>
        <w:rPr>
          <w:rtl/>
        </w:rPr>
        <w:t xml:space="preserve">וְאֶת, לְרַבּוֹת אֶפְרוֹחִים, אֲבָל לֹא אָמַר הַבָּנִים תִּקַּח לָךְ, אָמַר לֵיהּ בְּרִיךְ אַנְתְּ בּוֹצִינָא קַדִּישָׁא דְהָכִי הוּא וַדַּאי, וּבָנִים אִינוּן וַדַּאי </w:t>
      </w:r>
      <w:r>
        <w:rPr>
          <w:rStyle w:val="a7"/>
          <w:rtl/>
        </w:rPr>
        <w:footnoteReference w:id="36"/>
      </w:r>
      <w:r>
        <w:rPr>
          <w:rtl/>
        </w:rPr>
        <w:t xml:space="preserve">תְּחוֹת אִימָּא עִלָּאָה, </w:t>
      </w:r>
      <w:r w:rsidR="00962EFE">
        <w:rPr>
          <w:rStyle w:val="a7"/>
          <w:rtl/>
        </w:rPr>
        <w:footnoteReference w:id="37"/>
      </w:r>
      <w:r>
        <w:rPr>
          <w:rtl/>
        </w:rPr>
        <w:t xml:space="preserve">חֲסִידִים גִּבּוֹרִים מָארֵי תוֹרָה חוֹזִים נְבִיאִים צַדִּיקִים, חֲסִידִים מִסִּטְרָא דְחֶסֶד דַּרְגָּא דְאַבְרָהָם, וְאוּקְמוּהָ עֲלֵיהּ אֵין חָסִיד אֶלָּא הַמִּתְחַסֵּד עִם קוֹנוֹ, </w:t>
      </w:r>
      <w:r>
        <w:rPr>
          <w:rStyle w:val="a7"/>
          <w:rtl/>
        </w:rPr>
        <w:footnoteReference w:id="38"/>
      </w:r>
      <w:r>
        <w:rPr>
          <w:rtl/>
        </w:rPr>
        <w:t xml:space="preserve">דְעָבִיד לֵיהּ קַן </w:t>
      </w:r>
      <w:r>
        <w:rPr>
          <w:rStyle w:val="a7"/>
          <w:rtl/>
        </w:rPr>
        <w:footnoteReference w:id="39"/>
      </w:r>
      <w:r>
        <w:rPr>
          <w:rtl/>
        </w:rPr>
        <w:t xml:space="preserve">דְּאִיהוּ אַכְסַנְיָא דִילֵיהּ, </w:t>
      </w:r>
      <w:r>
        <w:rPr>
          <w:rStyle w:val="a7"/>
          <w:rtl/>
        </w:rPr>
        <w:footnoteReference w:id="40"/>
      </w:r>
      <w:r>
        <w:rPr>
          <w:rtl/>
        </w:rPr>
        <w:t xml:space="preserve">וְדָא שְׁכִינְתָּא דְּאִיהִי קַן דִּילֵיהּ </w:t>
      </w:r>
      <w:r w:rsidR="00962EFE">
        <w:rPr>
          <w:rStyle w:val="a7"/>
          <w:rtl/>
        </w:rPr>
        <w:footnoteReference w:id="41"/>
      </w:r>
      <w:r>
        <w:rPr>
          <w:rtl/>
        </w:rPr>
        <w:t xml:space="preserve">בַּיִת דִּילֵיהּ הֵיכָל דִּילֵיהּ, מָלוֹן דִּילֵיהּ </w:t>
      </w:r>
      <w:r>
        <w:rPr>
          <w:rStyle w:val="a7"/>
          <w:rtl/>
        </w:rPr>
        <w:footnoteReference w:id="42"/>
      </w:r>
      <w:r>
        <w:rPr>
          <w:rtl/>
        </w:rPr>
        <w:t xml:space="preserve">וּבְאַרְעָא קַדִּישָׁא אִיהִי יִחוּדֵיהּ וּבֵיתֵיהּ, </w:t>
      </w:r>
      <w:r>
        <w:rPr>
          <w:rStyle w:val="a7"/>
          <w:rtl/>
        </w:rPr>
        <w:footnoteReference w:id="43"/>
      </w:r>
      <w:r>
        <w:rPr>
          <w:rtl/>
        </w:rPr>
        <w:t xml:space="preserve">וְלַאו מָלוֹן וְאַכְסַנְיָא, אֶלָּא כְּפוּם הַהוּא בַּר נַשׁ דְּתַקִּין לָהּ, </w:t>
      </w:r>
      <w:r>
        <w:rPr>
          <w:rStyle w:val="a7"/>
          <w:rtl/>
        </w:rPr>
        <w:footnoteReference w:id="44"/>
      </w:r>
      <w:r>
        <w:rPr>
          <w:rtl/>
        </w:rPr>
        <w:t>וּבְגִין דָּא יָהִיב מִדַּת חֶסֶד לְאַבְרָהָם.</w:t>
      </w:r>
      <w:bookmarkStart w:id="10" w:name="_Toc228095565"/>
      <w:bookmarkStart w:id="11" w:name="_Toc231638003"/>
      <w:r w:rsidR="00575308" w:rsidRPr="00575308">
        <w:rPr>
          <w:rtl/>
        </w:rPr>
        <w:t xml:space="preserve"> </w:t>
      </w:r>
    </w:p>
    <w:p w:rsidR="00575308" w:rsidRDefault="00575308" w:rsidP="00347240">
      <w:pPr>
        <w:pStyle w:val="2"/>
        <w:rPr>
          <w:rtl/>
        </w:rPr>
      </w:pPr>
      <w:r>
        <w:rPr>
          <w:rtl/>
        </w:rPr>
        <w:t>[תיקוני זוהר - דף ב ע''א]</w:t>
      </w:r>
      <w:bookmarkEnd w:id="10"/>
      <w:bookmarkEnd w:id="11"/>
    </w:p>
    <w:p w:rsidR="00D45634" w:rsidRDefault="00962EFE" w:rsidP="00575308">
      <w:pPr>
        <w:pStyle w:val="NormalWeb"/>
        <w:rPr>
          <w:rtl/>
        </w:rPr>
      </w:pPr>
      <w:r>
        <w:rPr>
          <w:rStyle w:val="a7"/>
          <w:rtl/>
        </w:rPr>
        <w:footnoteReference w:id="45"/>
      </w:r>
      <w:r w:rsidR="00D45634">
        <w:rPr>
          <w:rtl/>
        </w:rPr>
        <w:t xml:space="preserve">גִּבּוֹרִים מִסִּטְרָא דִגְבוּרָה דְּיָהֲבִין תּוּקְפָא לְמָארֵיהוֹן לִכְבּוֹשׁ עֶבֶד תַּחַת רַבּוֹ וְשִׁפְחָה תְּחוֹת גְּבִרְתָּהּ </w:t>
      </w:r>
      <w:r w:rsidR="00D45634">
        <w:rPr>
          <w:rStyle w:val="a7"/>
          <w:rtl/>
        </w:rPr>
        <w:footnoteReference w:id="46"/>
      </w:r>
      <w:r w:rsidR="00D45634">
        <w:rPr>
          <w:rtl/>
        </w:rPr>
        <w:t xml:space="preserve">בְּקִשּׁוּרָא דִתְּפִלִּין, </w:t>
      </w:r>
      <w:r w:rsidR="00575308">
        <w:rPr>
          <w:rStyle w:val="a7"/>
          <w:rtl/>
        </w:rPr>
        <w:footnoteReference w:id="47"/>
      </w:r>
      <w:r w:rsidR="00D45634">
        <w:rPr>
          <w:rtl/>
        </w:rPr>
        <w:t xml:space="preserve">דְּמָאן דְּלֵית לֵיהּ תְּפִלִּין בְּשַׁעַת קְרִיאַת שְׁמַע, </w:t>
      </w:r>
      <w:r w:rsidR="00D45634">
        <w:rPr>
          <w:rStyle w:val="a7"/>
          <w:rtl/>
        </w:rPr>
        <w:footnoteReference w:id="48"/>
      </w:r>
      <w:r w:rsidR="00D45634">
        <w:rPr>
          <w:rtl/>
        </w:rPr>
        <w:t xml:space="preserve">מִסִּטְרָא דִילֵיהּ </w:t>
      </w:r>
      <w:r w:rsidR="00D45634">
        <w:rPr>
          <w:rStyle w:val="a7"/>
          <w:rtl/>
        </w:rPr>
        <w:footnoteReference w:id="49"/>
      </w:r>
      <w:r w:rsidR="00D45634">
        <w:rPr>
          <w:rtl/>
        </w:rPr>
        <w:t xml:space="preserve">שַׁלִּיט עֶבֶד וְשִׁפְחָה עַל עָלְמָא, וּבְהַהוּא שַׁעֲתָּא רָגְזָא שְׁכִינְתָּא, </w:t>
      </w:r>
      <w:r w:rsidR="00D45634">
        <w:rPr>
          <w:rStyle w:val="a7"/>
          <w:rtl/>
        </w:rPr>
        <w:footnoteReference w:id="50"/>
      </w:r>
      <w:r w:rsidR="00D45634">
        <w:rPr>
          <w:rtl/>
        </w:rPr>
        <w:t xml:space="preserve">הֲדָא הוּא דִכְתִיב </w:t>
      </w:r>
      <w:r w:rsidR="00D45634">
        <w:rPr>
          <w:sz w:val="20"/>
          <w:szCs w:val="23"/>
          <w:rtl/>
        </w:rPr>
        <w:t>(משלי ל כב)</w:t>
      </w:r>
      <w:r w:rsidR="00D45634">
        <w:rPr>
          <w:rtl/>
        </w:rPr>
        <w:t xml:space="preserve"> תַּחַת עֶבֶד כִּי יִמְלוֹךְ וְשִׁפְחָה כִּי תִירַשׁ גְּבִירְתָּהּ</w:t>
      </w:r>
      <w:r w:rsidR="00575308">
        <w:rPr>
          <w:rFonts w:hint="cs"/>
          <w:sz w:val="20"/>
          <w:szCs w:val="23"/>
          <w:rtl/>
        </w:rPr>
        <w:t>,</w:t>
      </w:r>
      <w:r w:rsidR="00575308">
        <w:rPr>
          <w:sz w:val="20"/>
          <w:szCs w:val="23"/>
          <w:rtl/>
        </w:rPr>
        <w:t xml:space="preserve"> </w:t>
      </w:r>
      <w:r w:rsidR="00D45634" w:rsidRPr="00347240">
        <w:rPr>
          <w:rStyle w:val="30"/>
          <w:sz w:val="20"/>
          <w:szCs w:val="20"/>
          <w:rtl/>
        </w:rPr>
        <w:t>(דף ב ע''א)</w:t>
      </w:r>
      <w:r w:rsidR="00D45634">
        <w:rPr>
          <w:sz w:val="20"/>
          <w:szCs w:val="23"/>
          <w:rtl/>
        </w:rPr>
        <w:t xml:space="preserve"> </w:t>
      </w:r>
      <w:r w:rsidR="00D45634">
        <w:rPr>
          <w:rStyle w:val="a7"/>
          <w:rtl/>
        </w:rPr>
        <w:footnoteReference w:id="51"/>
      </w:r>
      <w:r w:rsidR="00D45634">
        <w:rPr>
          <w:rtl/>
        </w:rPr>
        <w:t xml:space="preserve">וְאוּף הָכִי אִיהִי רָגְזָא יַתִּיר עַל נָבָל כִּי יִשְׂבַּע לָחֶם </w:t>
      </w:r>
      <w:r w:rsidR="00D45634">
        <w:rPr>
          <w:sz w:val="20"/>
          <w:szCs w:val="23"/>
          <w:rtl/>
        </w:rPr>
        <w:t>(שם)</w:t>
      </w:r>
      <w:r w:rsidR="00D45634">
        <w:rPr>
          <w:szCs w:val="23"/>
          <w:rtl/>
        </w:rPr>
        <w:t xml:space="preserve">, </w:t>
      </w:r>
      <w:r w:rsidR="00D45634">
        <w:rPr>
          <w:rStyle w:val="a7"/>
          <w:szCs w:val="23"/>
          <w:rtl/>
        </w:rPr>
        <w:footnoteReference w:id="52"/>
      </w:r>
      <w:r w:rsidR="00D45634" w:rsidRPr="00575308">
        <w:rPr>
          <w:rtl/>
        </w:rPr>
        <w:t>דְּאִתְּמַר בֵּיהּ (שם</w:t>
      </w:r>
      <w:r w:rsidR="00D45634">
        <w:rPr>
          <w:sz w:val="20"/>
          <w:szCs w:val="23"/>
          <w:rtl/>
        </w:rPr>
        <w:t xml:space="preserve"> ט ו)</w:t>
      </w:r>
      <w:r w:rsidR="00D45634">
        <w:rPr>
          <w:rtl/>
        </w:rPr>
        <w:t xml:space="preserve"> לְכוּ לַחֲמוּ בְלַחְמִי, דְּאִיהוּ קַמְצָן </w:t>
      </w:r>
      <w:r w:rsidR="00D45634">
        <w:rPr>
          <w:rtl/>
        </w:rPr>
        <w:lastRenderedPageBreak/>
        <w:t xml:space="preserve">נָבָל בְּמָמוֹנֵיהּ </w:t>
      </w:r>
      <w:r w:rsidR="00D45634">
        <w:rPr>
          <w:rStyle w:val="a7"/>
          <w:rtl/>
        </w:rPr>
        <w:footnoteReference w:id="53"/>
      </w:r>
      <w:r w:rsidR="00D45634">
        <w:rPr>
          <w:rtl/>
        </w:rPr>
        <w:t xml:space="preserve">נָבָל שְׁמֵיהּ, דְּלַאו אִיהוּ נָדִיב וְלַאו אִיהוּ מִזַּרְעָא דַאֲבָהָן דְּאִתְּמַר עֲלַיְהוּ </w:t>
      </w:r>
      <w:r w:rsidR="00D45634">
        <w:rPr>
          <w:sz w:val="20"/>
          <w:szCs w:val="23"/>
          <w:rtl/>
        </w:rPr>
        <w:t>(תהלים מז י)</w:t>
      </w:r>
      <w:r w:rsidR="00D45634">
        <w:rPr>
          <w:rtl/>
        </w:rPr>
        <w:t xml:space="preserve"> נְדִיבֵי עַמִּים נֶאֱסָפוּ, </w:t>
      </w:r>
      <w:r w:rsidR="00D45634">
        <w:rPr>
          <w:rStyle w:val="a7"/>
          <w:rtl/>
        </w:rPr>
        <w:footnoteReference w:id="54"/>
      </w:r>
      <w:r w:rsidR="00D45634">
        <w:rPr>
          <w:rtl/>
        </w:rPr>
        <w:t xml:space="preserve">דְּהָא קַמְצָן אִיהוּ עָנִי הַדַּעַת, בָּתַר דְּלָא עָבִיד טִיבוּ לְמָארֵי תוֹרָה לְמֶהֱוֵי מַחֲזִיק בִּידַיְיהוּ, </w:t>
      </w:r>
      <w:r w:rsidR="00D45634">
        <w:rPr>
          <w:rStyle w:val="a7"/>
          <w:rtl/>
        </w:rPr>
        <w:footnoteReference w:id="55"/>
      </w:r>
      <w:r w:rsidR="00D45634">
        <w:rPr>
          <w:rtl/>
        </w:rPr>
        <w:t>וְאוֹרַיְיתָא בְּלָא פִקּוּדַיָּא לַאו אִיהִי תּוֹרַת יהו''ה.</w:t>
      </w:r>
    </w:p>
    <w:p w:rsidR="00D45634" w:rsidRDefault="00962EFE" w:rsidP="00B17EA9">
      <w:pPr>
        <w:pStyle w:val="NormalWeb"/>
        <w:rPr>
          <w:rtl/>
        </w:rPr>
      </w:pPr>
      <w:r>
        <w:rPr>
          <w:rStyle w:val="a7"/>
          <w:rtl/>
        </w:rPr>
        <w:footnoteReference w:id="56"/>
      </w:r>
      <w:r w:rsidR="00D45634">
        <w:rPr>
          <w:rtl/>
        </w:rPr>
        <w:t xml:space="preserve">מָארֵי תוֹרָה מִסִּטְרָא דְעַמּוּדָא דְאֶמְצָעִיתָא, </w:t>
      </w:r>
      <w:r w:rsidR="00D45634">
        <w:rPr>
          <w:rStyle w:val="a7"/>
          <w:rtl/>
        </w:rPr>
        <w:footnoteReference w:id="57"/>
      </w:r>
      <w:r w:rsidR="00D45634">
        <w:rPr>
          <w:rtl/>
        </w:rPr>
        <w:t xml:space="preserve">דְבֵיהּ חֲצוֹת לַיְלָה הֲוָה קָם דָּוִד לְחַבָּרָא לֵיהּ בִּשְׁכִינְתָּא דְאִתְקְרִיאַת לַיְלָה, </w:t>
      </w:r>
      <w:r w:rsidR="00D45634">
        <w:rPr>
          <w:rStyle w:val="a7"/>
          <w:rtl/>
        </w:rPr>
        <w:footnoteReference w:id="58"/>
      </w:r>
      <w:r w:rsidR="00D45634">
        <w:rPr>
          <w:rtl/>
        </w:rPr>
        <w:t xml:space="preserve">וְאִיהוּ שׁוֹמֵר מַה מִּלַּיְלָה </w:t>
      </w:r>
      <w:r w:rsidR="00D45634">
        <w:rPr>
          <w:sz w:val="20"/>
          <w:szCs w:val="23"/>
          <w:rtl/>
        </w:rPr>
        <w:t>(ישעיה כא יא)</w:t>
      </w:r>
      <w:r w:rsidR="00D45634">
        <w:rPr>
          <w:rtl/>
        </w:rPr>
        <w:t xml:space="preserve">, לֵיל ה', לֵיל שִׁמּוּרִים הוּא לַיהו''ה </w:t>
      </w:r>
      <w:r w:rsidR="00D45634">
        <w:rPr>
          <w:sz w:val="20"/>
          <w:szCs w:val="23"/>
          <w:rtl/>
        </w:rPr>
        <w:t>(שמות יב סב)</w:t>
      </w:r>
      <w:r w:rsidR="00D45634">
        <w:rPr>
          <w:rtl/>
        </w:rPr>
        <w:t xml:space="preserve">, </w:t>
      </w:r>
      <w:r w:rsidR="00D45634">
        <w:rPr>
          <w:rStyle w:val="a7"/>
          <w:rtl/>
        </w:rPr>
        <w:footnoteReference w:id="59"/>
      </w:r>
      <w:r w:rsidR="00D45634">
        <w:rPr>
          <w:rtl/>
        </w:rPr>
        <w:t xml:space="preserve">וּבְגִינָהּ אִתְּמַר כָּל הָעוֹסֵק בַּתּוֹרָה בַּלַּיְלָה הַקָּדוֹשׁ בָּרוּךְ הוּא מוֹשֵׁךְ עָלָיו חוּט שֶׁל חֶסֶד בְּיוֹם, שֶׁנֶּאֱמַר </w:t>
      </w:r>
      <w:r w:rsidR="00D45634">
        <w:rPr>
          <w:sz w:val="20"/>
          <w:szCs w:val="23"/>
          <w:rtl/>
        </w:rPr>
        <w:t>(תהלים מב ט)</w:t>
      </w:r>
      <w:r w:rsidR="00D45634">
        <w:rPr>
          <w:rtl/>
        </w:rPr>
        <w:t xml:space="preserve"> יוֹמָם יְצַוְּה יהו''ה חַסְדּוֹ וּבַלַּיְלָה שִׁירֹה עִמִּי.</w:t>
      </w:r>
    </w:p>
    <w:p w:rsidR="00D45634" w:rsidRDefault="00D45634" w:rsidP="00B17EA9">
      <w:pPr>
        <w:pStyle w:val="NormalWeb"/>
        <w:rPr>
          <w:rtl/>
        </w:rPr>
      </w:pPr>
      <w:r>
        <w:rPr>
          <w:rtl/>
        </w:rPr>
        <w:t xml:space="preserve">חוֹזִים </w:t>
      </w:r>
      <w:r w:rsidR="00962EFE">
        <w:rPr>
          <w:rStyle w:val="a7"/>
          <w:rtl/>
        </w:rPr>
        <w:footnoteReference w:id="60"/>
      </w:r>
      <w:r>
        <w:rPr>
          <w:rtl/>
        </w:rPr>
        <w:t xml:space="preserve">נְבִיאִים מִסִּטְרָא דְנֶצַח וָהוֹד, </w:t>
      </w:r>
      <w:r>
        <w:rPr>
          <w:rStyle w:val="a7"/>
          <w:rtl/>
        </w:rPr>
        <w:footnoteReference w:id="61"/>
      </w:r>
      <w:r>
        <w:rPr>
          <w:rtl/>
        </w:rPr>
        <w:t xml:space="preserve">דִּבְהוֹן כְּלִילָן תְּרֵין שְׁמָהָן דְּאִינוּן יאהדונה''י, דִבְהוֹן תְּמַנְיָא אַתְוָון, לָקֳבֵל תְּמַנְיָא סִפְרֵי נְבִיאִים, </w:t>
      </w:r>
      <w:r>
        <w:rPr>
          <w:rStyle w:val="a7"/>
          <w:rtl/>
        </w:rPr>
        <w:footnoteReference w:id="62"/>
      </w:r>
      <w:r>
        <w:rPr>
          <w:rtl/>
        </w:rPr>
        <w:t xml:space="preserve">וּנְבִיאִים </w:t>
      </w:r>
      <w:r>
        <w:rPr>
          <w:rStyle w:val="a7"/>
          <w:rtl/>
        </w:rPr>
        <w:footnoteReference w:id="63"/>
      </w:r>
      <w:r>
        <w:rPr>
          <w:rtl/>
        </w:rPr>
        <w:t xml:space="preserve">תְּרֵין הָא עֶשֶׂר, לָקֳבֵל עֲשַׂר סְפִירָן, </w:t>
      </w:r>
      <w:r>
        <w:rPr>
          <w:rStyle w:val="a7"/>
          <w:rtl/>
        </w:rPr>
        <w:footnoteReference w:id="64"/>
      </w:r>
      <w:r>
        <w:rPr>
          <w:rtl/>
        </w:rPr>
        <w:t xml:space="preserve">לְקִבְלֵיהּ חָזָא יְחֶזְקֵאל עֶשֶׂר מַרְאוֹת. צַדִּיקִים מִסִּטְרָא דְצַדִּיק, עַל כָּל אִלֵּין אִתְּמַר </w:t>
      </w:r>
      <w:r>
        <w:rPr>
          <w:sz w:val="20"/>
          <w:szCs w:val="23"/>
          <w:rtl/>
        </w:rPr>
        <w:t>(דברים כב ו)</w:t>
      </w:r>
      <w:r>
        <w:rPr>
          <w:rtl/>
        </w:rPr>
        <w:t xml:space="preserve"> לֹא תִקַּח הָאֵם עַל הַבָּנִים.</w:t>
      </w:r>
    </w:p>
    <w:p w:rsidR="00B35AF6" w:rsidRDefault="00B35AF6" w:rsidP="00B35AF6">
      <w:pPr>
        <w:pStyle w:val="2"/>
        <w:jc w:val="right"/>
        <w:rPr>
          <w:rtl/>
        </w:rPr>
      </w:pPr>
      <w:r>
        <w:rPr>
          <w:rtl/>
        </w:rPr>
        <w:t>[</w:t>
      </w:r>
      <w:r>
        <w:rPr>
          <w:rFonts w:hint="cs"/>
          <w:rtl/>
        </w:rPr>
        <w:t>וילנא דף</w:t>
      </w:r>
      <w:r>
        <w:rPr>
          <w:rtl/>
        </w:rPr>
        <w:t xml:space="preserve"> </w:t>
      </w:r>
      <w:r>
        <w:rPr>
          <w:rFonts w:hint="cs"/>
          <w:rtl/>
        </w:rPr>
        <w:t>ג</w:t>
      </w:r>
      <w:r>
        <w:rPr>
          <w:rtl/>
        </w:rPr>
        <w:t xml:space="preserve"> ע''</w:t>
      </w:r>
      <w:r>
        <w:rPr>
          <w:rFonts w:hint="cs"/>
          <w:rtl/>
        </w:rPr>
        <w:t>א</w:t>
      </w:r>
      <w:r>
        <w:rPr>
          <w:rtl/>
        </w:rPr>
        <w:t>]</w:t>
      </w:r>
    </w:p>
    <w:p w:rsidR="00D45634" w:rsidRDefault="00D45634" w:rsidP="00B35AF6">
      <w:pPr>
        <w:pStyle w:val="NormalWeb"/>
        <w:rPr>
          <w:rtl/>
        </w:rPr>
      </w:pPr>
      <w:r>
        <w:rPr>
          <w:rtl/>
        </w:rPr>
        <w:t xml:space="preserve">וְעוֹד אִלֵּין </w:t>
      </w:r>
      <w:r>
        <w:rPr>
          <w:rStyle w:val="a7"/>
          <w:rtl/>
        </w:rPr>
        <w:footnoteReference w:id="65"/>
      </w:r>
      <w:r>
        <w:rPr>
          <w:rtl/>
        </w:rPr>
        <w:t xml:space="preserve">דְּעָסְקִין בְּאוֹרַיְיתָא לִשְׁמָהּ, </w:t>
      </w:r>
      <w:r>
        <w:rPr>
          <w:rStyle w:val="a7"/>
          <w:rtl/>
        </w:rPr>
        <w:footnoteReference w:id="66"/>
      </w:r>
      <w:r>
        <w:rPr>
          <w:rtl/>
        </w:rPr>
        <w:t xml:space="preserve">וְנָטְרִין פִּקּוּדָהָא דְאִינוּן תַּרְיַ''ג מִצְוֹת </w:t>
      </w:r>
      <w:r>
        <w:rPr>
          <w:rStyle w:val="a7"/>
          <w:rtl/>
        </w:rPr>
        <w:footnoteReference w:id="67"/>
      </w:r>
      <w:r>
        <w:rPr>
          <w:rtl/>
        </w:rPr>
        <w:t xml:space="preserve">דְּתַלְיָין מִשֵּׁם יהו''ה כְּעִנְּבִין בְּאַתְכָּלָא, </w:t>
      </w:r>
      <w:r>
        <w:rPr>
          <w:rStyle w:val="a7"/>
          <w:rtl/>
        </w:rPr>
        <w:footnoteReference w:id="68"/>
      </w:r>
      <w:r>
        <w:rPr>
          <w:rtl/>
        </w:rPr>
        <w:t xml:space="preserve">כְּדֵי לְיַחֲדָא בְּהוֹן לְשֵׁם יהו''ה בִּשְׁכִינָה, כְּבַר נַשׁ דְּמִתְיַחֵד עִם בַּת זוּגֵיהּ </w:t>
      </w:r>
      <w:r>
        <w:rPr>
          <w:rStyle w:val="a7"/>
          <w:rtl/>
        </w:rPr>
        <w:footnoteReference w:id="69"/>
      </w:r>
      <w:r w:rsidRPr="00485FDB">
        <w:rPr>
          <w:rtl/>
        </w:rPr>
        <w:t>בְּכָל</w:t>
      </w:r>
      <w:r>
        <w:rPr>
          <w:rtl/>
        </w:rPr>
        <w:t xml:space="preserve"> </w:t>
      </w:r>
      <w:r w:rsidR="00B35AF6" w:rsidRPr="00347240">
        <w:rPr>
          <w:rStyle w:val="30"/>
          <w:sz w:val="20"/>
          <w:szCs w:val="20"/>
          <w:rtl/>
        </w:rPr>
        <w:t>(</w:t>
      </w:r>
      <w:r w:rsidR="00B35AF6">
        <w:rPr>
          <w:rStyle w:val="30"/>
          <w:rFonts w:hint="cs"/>
          <w:sz w:val="20"/>
          <w:szCs w:val="20"/>
          <w:rtl/>
        </w:rPr>
        <w:t>וילנא</w:t>
      </w:r>
      <w:r w:rsidR="00B35AF6" w:rsidRPr="00347240">
        <w:rPr>
          <w:rStyle w:val="30"/>
          <w:sz w:val="20"/>
          <w:szCs w:val="20"/>
          <w:rtl/>
        </w:rPr>
        <w:t xml:space="preserve"> </w:t>
      </w:r>
      <w:r w:rsidR="00B35AF6">
        <w:rPr>
          <w:rStyle w:val="30"/>
          <w:rFonts w:hint="cs"/>
          <w:sz w:val="20"/>
          <w:szCs w:val="20"/>
          <w:rtl/>
        </w:rPr>
        <w:t>ג</w:t>
      </w:r>
      <w:r w:rsidR="00B35AF6" w:rsidRPr="00347240">
        <w:rPr>
          <w:rStyle w:val="30"/>
          <w:sz w:val="20"/>
          <w:szCs w:val="20"/>
          <w:rtl/>
        </w:rPr>
        <w:t xml:space="preserve"> ע''א)</w:t>
      </w:r>
      <w:r w:rsidR="00B35AF6">
        <w:rPr>
          <w:sz w:val="20"/>
          <w:szCs w:val="23"/>
          <w:rtl/>
        </w:rPr>
        <w:t xml:space="preserve"> </w:t>
      </w:r>
      <w:r>
        <w:rPr>
          <w:rtl/>
        </w:rPr>
        <w:t xml:space="preserve">אֵבָרִין דִּילֵיהּ </w:t>
      </w:r>
      <w:r>
        <w:rPr>
          <w:rStyle w:val="a7"/>
          <w:rtl/>
        </w:rPr>
        <w:footnoteReference w:id="70"/>
      </w:r>
      <w:r>
        <w:rPr>
          <w:rtl/>
        </w:rPr>
        <w:t xml:space="preserve">לְאַפָּקָא זַרְעָא מַעַלְיָא, אִתְּמַר בְּהוֹן </w:t>
      </w:r>
      <w:r>
        <w:rPr>
          <w:sz w:val="20"/>
          <w:szCs w:val="23"/>
          <w:rtl/>
        </w:rPr>
        <w:t>(שם)</w:t>
      </w:r>
      <w:r>
        <w:rPr>
          <w:rtl/>
        </w:rPr>
        <w:t xml:space="preserve"> לֹא תִקַּח הָאֵם עַל הַבָּנִים, וְאִלֵּין דְּלָא מִשְׁתַּדְּלֵי בְּאוֹרַיְיתָא לִשְׁמָהּ, אִתְּמַר בְּהוֹן שַׁלֵּחַ תְּשַׁלַּח אֶת הָאֵם, אֶת </w:t>
      </w:r>
      <w:r>
        <w:rPr>
          <w:rStyle w:val="a7"/>
          <w:rtl/>
        </w:rPr>
        <w:footnoteReference w:id="71"/>
      </w:r>
      <w:r>
        <w:rPr>
          <w:rtl/>
        </w:rPr>
        <w:t>לְרַבּוֹת שֵׁם יהו''ה דְּאִסְתַּלַּק עִמָּהּ מֵהַהוּא בַּר נַשׁ.</w:t>
      </w:r>
    </w:p>
    <w:p w:rsidR="00D45634" w:rsidRDefault="00D45634" w:rsidP="00B17EA9">
      <w:pPr>
        <w:pStyle w:val="NormalWeb"/>
        <w:rPr>
          <w:rtl/>
        </w:rPr>
      </w:pPr>
      <w:r>
        <w:rPr>
          <w:rtl/>
        </w:rPr>
        <w:lastRenderedPageBreak/>
        <w:t xml:space="preserve">וְעוֹד אִלֵּין דְּאוֹקְרִין שַׁבָּתוֹת וְיָמִים טוֹבִים, אִתְּמַר עֲלַיְיהוּ לֹא תִקַּח הָאֵם עַל הַבָּנִים, </w:t>
      </w:r>
      <w:r>
        <w:rPr>
          <w:rStyle w:val="a7"/>
          <w:rtl/>
        </w:rPr>
        <w:footnoteReference w:id="72"/>
      </w:r>
      <w:r>
        <w:rPr>
          <w:rtl/>
        </w:rPr>
        <w:t xml:space="preserve">דְּעָבְדִין עוֹבְדָא דִבְנִין עִם שַׁבָּת מַלְכְּתָא, וְעִם קוּדְשָׁא בְּרִיךְ הוּא דְאִיהוּ יוֹם הַשַּׁבָּת, מָאן דְּקִיֵּים בֵּיהּ </w:t>
      </w:r>
      <w:r>
        <w:rPr>
          <w:sz w:val="20"/>
          <w:szCs w:val="23"/>
          <w:rtl/>
        </w:rPr>
        <w:t>(ישעיה נח יג)</w:t>
      </w:r>
      <w:r>
        <w:rPr>
          <w:rtl/>
        </w:rPr>
        <w:t xml:space="preserve"> וְכִבַּדְתּוֹ מֵעֲשׂוֹת דְּרָכֶיךָ, הַאי אִיהוּ </w:t>
      </w:r>
      <w:r>
        <w:rPr>
          <w:sz w:val="20"/>
          <w:szCs w:val="23"/>
          <w:rtl/>
        </w:rPr>
        <w:t>(שמות כ יב)</w:t>
      </w:r>
      <w:r>
        <w:rPr>
          <w:rtl/>
        </w:rPr>
        <w:t xml:space="preserve"> כַּבֵּד אֶת אָבִיךָ וְאֶת אִמֶּךָ וְגוֹמֵר.</w:t>
      </w:r>
    </w:p>
    <w:p w:rsidR="00D45634" w:rsidRDefault="00D45634" w:rsidP="00B17EA9">
      <w:pPr>
        <w:pStyle w:val="NormalWeb"/>
        <w:rPr>
          <w:rtl/>
        </w:rPr>
      </w:pPr>
      <w:r>
        <w:rPr>
          <w:rStyle w:val="a7"/>
          <w:rtl/>
        </w:rPr>
        <w:footnoteReference w:id="73"/>
      </w:r>
      <w:r>
        <w:rPr>
          <w:rtl/>
        </w:rPr>
        <w:t xml:space="preserve">דִּתְלַת עָלְמִין נִינְהוּ, </w:t>
      </w:r>
      <w:r>
        <w:rPr>
          <w:rStyle w:val="a7"/>
          <w:rtl/>
        </w:rPr>
        <w:footnoteReference w:id="74"/>
      </w:r>
      <w:r>
        <w:rPr>
          <w:rtl/>
        </w:rPr>
        <w:t xml:space="preserve">תְּרֵין יָרִית בְּכִבּוּד אָב וָאֵם, </w:t>
      </w:r>
      <w:r>
        <w:rPr>
          <w:rStyle w:val="a7"/>
          <w:rtl/>
        </w:rPr>
        <w:footnoteReference w:id="75"/>
      </w:r>
      <w:r>
        <w:rPr>
          <w:rtl/>
        </w:rPr>
        <w:t xml:space="preserve">וּתְלַת יָרִית בְּאוֹרַיְיתָא, </w:t>
      </w:r>
      <w:r>
        <w:rPr>
          <w:rStyle w:val="a7"/>
          <w:rtl/>
        </w:rPr>
        <w:footnoteReference w:id="76"/>
      </w:r>
      <w:r>
        <w:rPr>
          <w:rtl/>
        </w:rPr>
        <w:t xml:space="preserve">דְכָלִיל לוֹן בֶּ''ן י''ה, </w:t>
      </w:r>
      <w:r>
        <w:rPr>
          <w:rStyle w:val="a7"/>
          <w:rtl/>
        </w:rPr>
        <w:footnoteReference w:id="77"/>
      </w:r>
      <w:r>
        <w:rPr>
          <w:rtl/>
        </w:rPr>
        <w:t xml:space="preserve">הֲדָא הוּא דִכְתִיב </w:t>
      </w:r>
      <w:r>
        <w:rPr>
          <w:sz w:val="20"/>
          <w:szCs w:val="23"/>
          <w:rtl/>
        </w:rPr>
        <w:t>(דברים ל כ)</w:t>
      </w:r>
      <w:r>
        <w:rPr>
          <w:rtl/>
        </w:rPr>
        <w:t xml:space="preserve"> כִּי הוּא חַיֶּיךָ וְאוֹרֶךְ יָמֶיךָ, כִּי הוּא חַיֶּיךָ </w:t>
      </w:r>
      <w:r>
        <w:rPr>
          <w:rStyle w:val="a7"/>
          <w:rtl/>
        </w:rPr>
        <w:footnoteReference w:id="78"/>
      </w:r>
      <w:r>
        <w:rPr>
          <w:rtl/>
        </w:rPr>
        <w:t>בָּעוֹלָם הַזֶּה דָּא גַן דִּלְתַתָּא, וְאֹרֶךְ יָמֶיךָ דָּא עָלְמָא דְאָתֵי עָלְמָא אֲרִיכָא, עַל הָאֲדָמָה אֲשֶׁר יהו''ה אֱלֹהֶי''ךָ נוֹתֵן לָךְ עָלְמָא שְׁפֵלָה.</w:t>
      </w:r>
    </w:p>
    <w:p w:rsidR="00D45634" w:rsidRDefault="00D45634" w:rsidP="00B17EA9">
      <w:pPr>
        <w:pStyle w:val="NormalWeb"/>
        <w:rPr>
          <w:rtl/>
        </w:rPr>
      </w:pPr>
      <w:r>
        <w:rPr>
          <w:rtl/>
        </w:rPr>
        <w:t xml:space="preserve">וְעוֹד אִלֵּין דְּקָשְׁרִין לִשְׁכִינְתָּא עִם קוּדְשָׁא בְּרִיךְ הוּא </w:t>
      </w:r>
      <w:r>
        <w:rPr>
          <w:rStyle w:val="a7"/>
          <w:rtl/>
        </w:rPr>
        <w:footnoteReference w:id="79"/>
      </w:r>
      <w:r>
        <w:rPr>
          <w:rtl/>
        </w:rPr>
        <w:t>בְּקִשּׁוּרָא דִתְּפִלִּין, אִתְּמַר עֲלַיְיהוּ לֹא תִקַּח הָאֵם עַל הַבָּנִים, וְאִינוּן דְּלָא קָשְׁרִין לוֹן כַּחֲדָא, אִתְּמַר בְּהוֹן שַׁלֵּחַ תְּשַׁלַּח אֶת הָאֵם, וְעוֹד אִלֵּין דִּמְיַחֲדִין לוֹן כַּחֲדָא, לְעַמּוּדָא דְאֶמְצָעִיתָא וּשְׁכִינְתָּא תַּתָּאָה בִּקְרִיאַת שְׁמַע, אִתְּמַר עֲלַיְיהוּ לֹא תִקַּח הָאֵם עַל הַבָּנִים, וְאִלֵּין דְּלָא מְיַיחֲדִין לוֹן בְּיִחוּדָא דִקְרִיאַת שְׁמַע, כְּתִיב בְּהוֹן שַׁלֵּחַ תְּשַׁלַּח אֶת הָאֵם.</w:t>
      </w:r>
    </w:p>
    <w:p w:rsidR="00D45634" w:rsidRDefault="00D45634" w:rsidP="00B17EA9">
      <w:pPr>
        <w:pStyle w:val="NormalWeb"/>
        <w:rPr>
          <w:rtl/>
        </w:rPr>
      </w:pPr>
      <w:r>
        <w:rPr>
          <w:rtl/>
        </w:rPr>
        <w:t xml:space="preserve">וְעוֹד אִלֵּין דְּנָטְרִין אוֹת בְּרִית </w:t>
      </w:r>
      <w:r>
        <w:rPr>
          <w:rStyle w:val="a7"/>
          <w:rtl/>
        </w:rPr>
        <w:footnoteReference w:id="80"/>
      </w:r>
      <w:r>
        <w:rPr>
          <w:rtl/>
        </w:rPr>
        <w:t xml:space="preserve">בִּתְּחוּמֵיהּ, דְּאִיהוּ שְׁמוֹנָה יָמִים, וְנָטְרֵי אוֹת שַׁבָּת בִּתְּחוּמֵיהּ, </w:t>
      </w:r>
      <w:r>
        <w:rPr>
          <w:rStyle w:val="a7"/>
          <w:rtl/>
        </w:rPr>
        <w:footnoteReference w:id="81"/>
      </w:r>
      <w:r>
        <w:rPr>
          <w:rtl/>
        </w:rPr>
        <w:t xml:space="preserve">דְּאִינוּן י''י </w:t>
      </w:r>
      <w:r>
        <w:rPr>
          <w:rStyle w:val="a7"/>
          <w:rtl/>
        </w:rPr>
        <w:footnoteReference w:id="82"/>
      </w:r>
      <w:r>
        <w:rPr>
          <w:rtl/>
        </w:rPr>
        <w:t>מִן יאהדונה''י, דִבְגִינַיְיהוּ אוּקְמוּהָ מָארֵי מַתְנִיתִין, דְּלָא אִשְׁתַּכַּח בַּר נַשׁ פָּחוּת מִתַּרְוַיְיהוּ, כְּתִיב לֹא תִקַּח הָאֵם עַל הַבָּנִים, וְאִינוּן דְּלָא אִשְׁתַּכְּחוּ בְּכָל יוֹמָא בִּשְׁתֵּי אוֹתוֹת אֵלּוּ דְאִינוּן אוֹת תְּפִלִּין וְאוֹת בְּרִית</w:t>
      </w:r>
      <w:r>
        <w:rPr>
          <w:sz w:val="20"/>
          <w:szCs w:val="23"/>
          <w:rtl/>
        </w:rPr>
        <w:t xml:space="preserve"> </w:t>
      </w:r>
      <w:r>
        <w:rPr>
          <w:rtl/>
        </w:rPr>
        <w:t>מִילָה, וּבְשַׁבָּת אוֹת בְּרִית וְאוֹת שַׁבָּת, כְּתִיב בְּהוֹן שַׁלֵּחַ תְּשַׁלַּח אֶת הָאֵם.</w:t>
      </w:r>
    </w:p>
    <w:p w:rsidR="00D45634" w:rsidRDefault="00D45634" w:rsidP="00B17EA9">
      <w:pPr>
        <w:pStyle w:val="NormalWeb"/>
        <w:rPr>
          <w:rtl/>
        </w:rPr>
      </w:pPr>
      <w:r>
        <w:rPr>
          <w:rtl/>
        </w:rPr>
        <w:t>וְאִי תֵמְרוּן אַמַּאי צְרִיכִין לְמֶהֱוֵי תַּרְוַיְיהוּ בְּכָל בַּר נַשׁ בְּכָל יוֹמָא, בְּגִין דְּלָא תִשְׁתַּכַּח שְׁכִינְתָּא דְאִיהיּ יוּ''ד מִן אדנ''י, יְחִידא בְּלָא קוּדְשָׁא בְּרִיךְ הוּא דְאִיהוּ יוּ''ד מִן יהוה, יאהדונה''י.</w:t>
      </w:r>
    </w:p>
    <w:p w:rsidR="00D45634" w:rsidRDefault="00D45634" w:rsidP="00B35AF6">
      <w:pPr>
        <w:pStyle w:val="2"/>
        <w:rPr>
          <w:rtl/>
        </w:rPr>
      </w:pPr>
      <w:bookmarkStart w:id="12" w:name="_Toc228095566"/>
      <w:bookmarkStart w:id="13" w:name="_Toc231638004"/>
      <w:r>
        <w:rPr>
          <w:rtl/>
        </w:rPr>
        <w:t>[תיקוני זוהר - דף ב ע''ב]</w:t>
      </w:r>
      <w:bookmarkEnd w:id="12"/>
      <w:bookmarkEnd w:id="13"/>
    </w:p>
    <w:p w:rsidR="00D45634" w:rsidRDefault="00D45634" w:rsidP="00DD49F1">
      <w:pPr>
        <w:pStyle w:val="NormalWeb"/>
        <w:rPr>
          <w:rtl/>
        </w:rPr>
      </w:pPr>
      <w:r w:rsidRPr="00B35AF6">
        <w:rPr>
          <w:rStyle w:val="30"/>
          <w:sz w:val="20"/>
          <w:szCs w:val="20"/>
          <w:rtl/>
        </w:rPr>
        <w:t>(דף ב ע''ב)</w:t>
      </w:r>
      <w:r>
        <w:rPr>
          <w:sz w:val="20"/>
          <w:szCs w:val="23"/>
          <w:rtl/>
        </w:rPr>
        <w:t xml:space="preserve"> </w:t>
      </w:r>
      <w:r>
        <w:rPr>
          <w:rtl/>
        </w:rPr>
        <w:t xml:space="preserve">וְצָרִיךְ בַּר נַשׁ דְּלָא יִשְׁתַּכַּח בְּכָל יוֹמָא פָּחוּת מִתַּרְוַיְיהוּ, וְאִי לָא עֲלֵיהּ אִתְּמַר </w:t>
      </w:r>
      <w:r>
        <w:rPr>
          <w:sz w:val="20"/>
          <w:szCs w:val="23"/>
          <w:rtl/>
        </w:rPr>
        <w:t>(משלי טז כח)</w:t>
      </w:r>
      <w:r>
        <w:rPr>
          <w:rtl/>
        </w:rPr>
        <w:t xml:space="preserve"> וְנִרְגָּן מַפְרִיד אַלּוּף, דְּאַפְרִיד אַלּוּפֵיהּ דְּעָלְמָא מִשְּׁכִינְתָּא, נוּקְבָא אִתְּמַר בָּהּ </w:t>
      </w:r>
      <w:r>
        <w:rPr>
          <w:sz w:val="20"/>
          <w:szCs w:val="23"/>
          <w:rtl/>
        </w:rPr>
        <w:t>(שמות לא יז)</w:t>
      </w:r>
      <w:r>
        <w:rPr>
          <w:rtl/>
        </w:rPr>
        <w:t xml:space="preserve"> אוֹת הִיא לְעוֹלָם, דְּכוּרָא </w:t>
      </w:r>
      <w:r w:rsidR="00DD49F1">
        <w:rPr>
          <w:rFonts w:hint="cs"/>
          <w:rtl/>
        </w:rPr>
        <w:t xml:space="preserve">(במדבר יח) </w:t>
      </w:r>
      <w:r>
        <w:rPr>
          <w:rtl/>
        </w:rPr>
        <w:t xml:space="preserve">בְּרִית מֶלַח עוֹלָם </w:t>
      </w:r>
      <w:r w:rsidR="00DD49F1">
        <w:rPr>
          <w:rtl/>
        </w:rPr>
        <w:t>הוּא</w:t>
      </w:r>
      <w:r>
        <w:rPr>
          <w:rtl/>
        </w:rPr>
        <w:t xml:space="preserve">, וּבְגִין דָּא אוֹת תְּפִלִּין נוּקְבָא, אוֹת בְּרִית דְּכוּרָא, וְרָזָא דְמִילָה </w:t>
      </w:r>
      <w:r>
        <w:rPr>
          <w:sz w:val="20"/>
          <w:szCs w:val="23"/>
          <w:rtl/>
        </w:rPr>
        <w:t>(דברים ל יב)</w:t>
      </w:r>
      <w:r>
        <w:rPr>
          <w:rtl/>
        </w:rPr>
        <w:t xml:space="preserve"> מִ''י יַ''עֲלֶה לָּ''נוּ הַ''שָּׁמַיְמָה, בְּרֵישֵׁי תֵּיבִין מִילָ''ה וּבְסוֹפֵי תֵּיבִין יהו''ה, בִּתְּפִלִּין נוּקְבָא הֲדָא הוּא דִכְתִיב </w:t>
      </w:r>
      <w:r>
        <w:rPr>
          <w:sz w:val="20"/>
          <w:szCs w:val="23"/>
          <w:rtl/>
        </w:rPr>
        <w:t>(שמות יג טז)</w:t>
      </w:r>
      <w:r>
        <w:rPr>
          <w:rtl/>
        </w:rPr>
        <w:t xml:space="preserve"> וְהָיָה לְאוֹת עַל יָדְכָה </w:t>
      </w:r>
      <w:r>
        <w:rPr>
          <w:rStyle w:val="a7"/>
          <w:rtl/>
        </w:rPr>
        <w:footnoteReference w:id="83"/>
      </w:r>
      <w:r>
        <w:rPr>
          <w:rtl/>
        </w:rPr>
        <w:t xml:space="preserve">יַד כֵּהָה. </w:t>
      </w:r>
    </w:p>
    <w:p w:rsidR="00D45634" w:rsidRDefault="00D45634" w:rsidP="00B17EA9">
      <w:pPr>
        <w:pStyle w:val="NormalWeb"/>
        <w:rPr>
          <w:rtl/>
        </w:rPr>
      </w:pPr>
      <w:r>
        <w:rPr>
          <w:rStyle w:val="a7"/>
          <w:rtl/>
        </w:rPr>
        <w:lastRenderedPageBreak/>
        <w:footnoteReference w:id="84"/>
      </w:r>
      <w:r>
        <w:rPr>
          <w:rtl/>
        </w:rPr>
        <w:t xml:space="preserve">בְּכָל אֲתַר אֶת לְרַבּוֹת שְּׁכִינְתָּא תַּתָּאָה, הָאֵם, אֵם האמונה דְאִיהִי בִינָה, וַעֲלָהּ אִתְּמַר בְּכָל אֲתַר הָכָא (נ"א בְּכָל אֲתַר אֶת לְרַבּוֹת, וְהָכָא לְרַבּוֹת חָכְמָה עִלָּאָה - אַב, הָאֵם דְאִיהִי בִינָה, וַעֲלָהּ אִתְּמַר הָכָא) לֹא תִקַּח הָאֵם, שַׁלֵּחַ תְּשַׁלַּח אֶת הָאֵם, הֲדָא הוּא דִכְתִיב </w:t>
      </w:r>
      <w:r>
        <w:rPr>
          <w:sz w:val="20"/>
          <w:szCs w:val="23"/>
          <w:rtl/>
        </w:rPr>
        <w:t>(משלי ב ג)</w:t>
      </w:r>
      <w:r>
        <w:rPr>
          <w:rtl/>
        </w:rPr>
        <w:t xml:space="preserve"> כִּי אִם לַבִּינָה תִקְרָא, </w:t>
      </w:r>
      <w:r>
        <w:rPr>
          <w:rStyle w:val="a7"/>
          <w:rtl/>
        </w:rPr>
        <w:footnoteReference w:id="85"/>
      </w:r>
      <w:r>
        <w:rPr>
          <w:rtl/>
        </w:rPr>
        <w:t xml:space="preserve">וְאִיהִי אוֹרַיְיתָא דִלְעִילָא דְאִתְּמַר בָּהּ </w:t>
      </w:r>
      <w:r>
        <w:rPr>
          <w:sz w:val="20"/>
          <w:szCs w:val="23"/>
          <w:rtl/>
        </w:rPr>
        <w:t>(שם א ח)</w:t>
      </w:r>
      <w:r>
        <w:rPr>
          <w:rtl/>
        </w:rPr>
        <w:t xml:space="preserve"> וְאַל תִּטֹּשׁ תּוֹרַת אִמֶּךָ.</w:t>
      </w:r>
    </w:p>
    <w:p w:rsidR="00B35AF6" w:rsidRDefault="00B35AF6" w:rsidP="00B35AF6">
      <w:pPr>
        <w:pStyle w:val="2"/>
        <w:jc w:val="right"/>
        <w:rPr>
          <w:rtl/>
        </w:rPr>
      </w:pPr>
      <w:r>
        <w:rPr>
          <w:rtl/>
        </w:rPr>
        <w:t>[</w:t>
      </w:r>
      <w:r>
        <w:rPr>
          <w:rFonts w:hint="cs"/>
          <w:rtl/>
        </w:rPr>
        <w:t>וילנא דף</w:t>
      </w:r>
      <w:r>
        <w:rPr>
          <w:rtl/>
        </w:rPr>
        <w:t xml:space="preserve"> </w:t>
      </w:r>
      <w:r>
        <w:rPr>
          <w:rFonts w:hint="cs"/>
          <w:rtl/>
        </w:rPr>
        <w:t>ג</w:t>
      </w:r>
      <w:r>
        <w:rPr>
          <w:rtl/>
        </w:rPr>
        <w:t xml:space="preserve"> ע''</w:t>
      </w:r>
      <w:r>
        <w:rPr>
          <w:rFonts w:hint="cs"/>
          <w:rtl/>
        </w:rPr>
        <w:t>ב</w:t>
      </w:r>
      <w:r>
        <w:rPr>
          <w:rtl/>
        </w:rPr>
        <w:t>]</w:t>
      </w:r>
    </w:p>
    <w:p w:rsidR="00D45634" w:rsidRDefault="00D45634" w:rsidP="00B35AF6">
      <w:pPr>
        <w:pStyle w:val="NormalWeb"/>
        <w:rPr>
          <w:rtl/>
        </w:rPr>
      </w:pPr>
      <w:r>
        <w:rPr>
          <w:rStyle w:val="a7"/>
          <w:rtl/>
        </w:rPr>
        <w:footnoteReference w:id="86"/>
      </w:r>
      <w:r>
        <w:rPr>
          <w:rtl/>
        </w:rPr>
        <w:t xml:space="preserve">וְעַל קַן דְּצִפּוֹרָא דָא אִתְּמַר, </w:t>
      </w:r>
      <w:r>
        <w:rPr>
          <w:sz w:val="20"/>
          <w:szCs w:val="23"/>
          <w:rtl/>
        </w:rPr>
        <w:t>(ישעיה ד ו)</w:t>
      </w:r>
      <w:r>
        <w:rPr>
          <w:rtl/>
        </w:rPr>
        <w:t xml:space="preserve"> וְסֻכָּה תִּהְיֶה לְצֵל יוֹמָם (וְגוֹמֵר, וְאִיהוּ לָשׁוֹן סְכַךְ שֶׁמְּסַכֶּכֶת בָּהּ אִימָּא עַל בָּנֶיהָ), אֶפְרוֹחִים דִּילָהּ תְּלַת הֲדַסִּים וּתְרֵי בַדֵּי עֲרָבוֹת וְלוּלָב, </w:t>
      </w:r>
      <w:r w:rsidR="00B35AF6" w:rsidRPr="00347240">
        <w:rPr>
          <w:rStyle w:val="30"/>
          <w:sz w:val="20"/>
          <w:szCs w:val="20"/>
          <w:rtl/>
        </w:rPr>
        <w:t>(</w:t>
      </w:r>
      <w:r w:rsidR="00B35AF6">
        <w:rPr>
          <w:rStyle w:val="30"/>
          <w:rFonts w:hint="cs"/>
          <w:sz w:val="20"/>
          <w:szCs w:val="20"/>
          <w:rtl/>
        </w:rPr>
        <w:t>וילנא ג</w:t>
      </w:r>
      <w:r w:rsidR="00B35AF6" w:rsidRPr="00347240">
        <w:rPr>
          <w:rStyle w:val="30"/>
          <w:sz w:val="20"/>
          <w:szCs w:val="20"/>
          <w:rtl/>
        </w:rPr>
        <w:t xml:space="preserve"> ע''</w:t>
      </w:r>
      <w:r w:rsidR="00B35AF6">
        <w:rPr>
          <w:rStyle w:val="30"/>
          <w:rFonts w:hint="cs"/>
          <w:sz w:val="20"/>
          <w:szCs w:val="20"/>
          <w:rtl/>
        </w:rPr>
        <w:t>ב</w:t>
      </w:r>
      <w:r w:rsidR="00B35AF6" w:rsidRPr="00347240">
        <w:rPr>
          <w:rStyle w:val="30"/>
          <w:sz w:val="20"/>
          <w:szCs w:val="20"/>
          <w:rtl/>
        </w:rPr>
        <w:t>)</w:t>
      </w:r>
      <w:r w:rsidR="00B35AF6">
        <w:rPr>
          <w:sz w:val="20"/>
          <w:szCs w:val="23"/>
          <w:rtl/>
        </w:rPr>
        <w:t xml:space="preserve"> </w:t>
      </w:r>
      <w:r>
        <w:rPr>
          <w:rtl/>
        </w:rPr>
        <w:t xml:space="preserve">אוֹ בֵּיצִים דָּא </w:t>
      </w:r>
      <w:r>
        <w:rPr>
          <w:rStyle w:val="a7"/>
          <w:rtl/>
        </w:rPr>
        <w:footnoteReference w:id="87"/>
      </w:r>
      <w:r>
        <w:rPr>
          <w:rtl/>
        </w:rPr>
        <w:t xml:space="preserve">אִינוּן אֶתְרוֹגִין דְּכָל חַד שִׁיעוּרֵיהּ בְּכַבֵּיצָה, וְאִלֵּין דִּרְשִׁימִין בְּהוֹן כְּתִיב עֲלַיְיהוּ לֹא תִקַּח הָאֵם עַל הַבָּנִים, תְלַת הֲדַסִּים רְמִיזִין לִתְלַת אֲבָהָן, תְּרֵי בַדֵּי עֲרָבוֹת לִתְרֵי נְבִיאֵי קְשׁוֹט, לוּלָב צַדִּיק </w:t>
      </w:r>
      <w:r>
        <w:rPr>
          <w:rStyle w:val="a7"/>
          <w:rtl/>
        </w:rPr>
        <w:footnoteReference w:id="88"/>
      </w:r>
      <w:r>
        <w:rPr>
          <w:rtl/>
        </w:rPr>
        <w:t xml:space="preserve">כַּתָּמָר יִפְרָח </w:t>
      </w:r>
      <w:r>
        <w:rPr>
          <w:sz w:val="20"/>
          <w:szCs w:val="23"/>
          <w:rtl/>
        </w:rPr>
        <w:t>(תהלים צד יג)</w:t>
      </w:r>
      <w:r>
        <w:rPr>
          <w:rtl/>
        </w:rPr>
        <w:t xml:space="preserve">, אֶתְרוֹג רָמִיז לִשְׁכִינְתָּא, סוּכָּה רְמִיזָא לְאִימָּא דִמְסַכֶּכֶת עֲלַיְיהוּ, הָא אִינוּן </w:t>
      </w:r>
      <w:r>
        <w:rPr>
          <w:rStyle w:val="a7"/>
          <w:rtl/>
        </w:rPr>
        <w:footnoteReference w:id="89"/>
      </w:r>
      <w:r>
        <w:rPr>
          <w:rtl/>
        </w:rPr>
        <w:t xml:space="preserve">תְּמַנְיָא לָקֳבֵל יאהדונה''י, דְאִיהוּ חוּשְׁבַּן סוּכָּ''ה (נ"א לָקֳבֵל כ''ו ה''ס, וּתְרֵין שְׁמַהַן לָקֳבֵל כֶּתֶ''ר חָכְמָ''ה, לְמֶהֱוִי כֻּלְּהוּ עֲשַׂר סְפִירָן בְּכָל נִעֲנוּעַ וְנִעֲנוּעַ דְלוּלָב וּמִינָיו, (וכן) </w:t>
      </w:r>
      <w:r>
        <w:rPr>
          <w:rStyle w:val="a7"/>
          <w:rtl/>
        </w:rPr>
        <w:footnoteReference w:id="90"/>
      </w:r>
      <w:r>
        <w:rPr>
          <w:rtl/>
        </w:rPr>
        <w:t xml:space="preserve">וּבְּכָל פִּקּוּדָא וּפִקּוּדָא, וְאִלֵּין דְּלָא נָטְלִין אִלֵּין סִימָנִין בִּיְדַיְהוּ כְּתִיב שַׁלֵּחַ תְּשַׁלַּח אֶת הָאֵם, בְּכָל אֲתַר אֶת לְרַבּוֹת חָכְמָה עִלָּאָה.) כ"ו ה"ס וְאִלֵּין דְּלָא נָטְלִין אִלֵּין סִימָנִין בִּיְדַיְהוּ, כְּתִיב בְּהוֹן </w:t>
      </w:r>
      <w:r>
        <w:rPr>
          <w:rStyle w:val="a7"/>
          <w:rtl/>
        </w:rPr>
        <w:footnoteReference w:id="91"/>
      </w:r>
      <w:r>
        <w:rPr>
          <w:rtl/>
        </w:rPr>
        <w:t xml:space="preserve">שַׁלֵּחַ תְּשַׁלַּח, כֶּתֶ''ר חָכְמָ''ה דְּאִינוּן שַׁרְיַן בְאִלֵּין תְּמַנְיָא לְמֶהֱוִי כֻּלְּהוּ עֲשַׂר סְפִירָן בְּכָל נִעֲנוּעַ וְנִעֲנוּע דְנִעֲנוּעֵי דְלוּלָב וּמִינָיו, וּבְּכָל פִּקּוּדָא וּפִקּוּדָא. </w:t>
      </w:r>
    </w:p>
    <w:p w:rsidR="00D45634" w:rsidRDefault="00D45634" w:rsidP="00B17EA9">
      <w:pPr>
        <w:pStyle w:val="NormalWeb"/>
        <w:rPr>
          <w:rtl/>
        </w:rPr>
      </w:pPr>
      <w:r>
        <w:rPr>
          <w:rtl/>
        </w:rPr>
        <w:t xml:space="preserve">וְעַל הַאי צִפּוֹר קָא רְמִיזוּ רַבָּנָן בָּהַגָּדָה (נ"א </w:t>
      </w:r>
      <w:r>
        <w:rPr>
          <w:rStyle w:val="a7"/>
          <w:rtl/>
        </w:rPr>
        <w:footnoteReference w:id="92"/>
      </w:r>
      <w:r>
        <w:rPr>
          <w:rtl/>
        </w:rPr>
        <w:t xml:space="preserve">דְבַתְרָא, דְרַבָּה בַּר בַּר חָנָה דַהֲוָה </w:t>
      </w:r>
      <w:r>
        <w:rPr>
          <w:rStyle w:val="a7"/>
          <w:rtl/>
        </w:rPr>
        <w:footnoteReference w:id="93"/>
      </w:r>
      <w:r>
        <w:rPr>
          <w:rtl/>
        </w:rPr>
        <w:t xml:space="preserve">אָזֵיל בִּסְפִינְתָּא, וְחָזָא לְהַהִיא) דְחָזִי לְהַהוּא צִפְּרָא, דְיַמָּא מָטָא עַד קַרְסוּלוֹי, </w:t>
      </w:r>
      <w:r>
        <w:rPr>
          <w:rStyle w:val="a7"/>
          <w:rtl/>
        </w:rPr>
        <w:footnoteReference w:id="94"/>
      </w:r>
      <w:r>
        <w:rPr>
          <w:rtl/>
        </w:rPr>
        <w:t xml:space="preserve">וּמָאן צִפּוֹר הָכָא חַד מֵאִלֵּין אֶפְרוֹחֵי (נ"א אוֹ מֵאִינוּן בֵּיצִים, אֶפְרוֹחִים) </w:t>
      </w:r>
      <w:r>
        <w:rPr>
          <w:rStyle w:val="a7"/>
          <w:rtl/>
        </w:rPr>
        <w:footnoteReference w:id="95"/>
      </w:r>
      <w:r>
        <w:rPr>
          <w:rtl/>
        </w:rPr>
        <w:t xml:space="preserve">כְּגוֹן פְּרָחִים דְּלַאו אִינוּן גְּמַר פְּרִי מִתַּתָּא לְעִילָא, אוֹ מִבָּנִים שִׁית דְּאִינוּן מֵעִילָא לְתַתָּא תְּחוֹת אִימָּא עִלָּאָה, </w:t>
      </w:r>
      <w:r>
        <w:rPr>
          <w:rStyle w:val="a7"/>
          <w:rtl/>
        </w:rPr>
        <w:footnoteReference w:id="96"/>
      </w:r>
      <w:r>
        <w:rPr>
          <w:rtl/>
        </w:rPr>
        <w:t xml:space="preserve">דְהָא בֵּיצִים מִסִּטְרָא דְאִימָּא תַּתָּאָה אִינוּן דְּאִיהִי בֵּיצָה, אֶפְרוֹחִים מִסִּטְרָא דְצַדִּיק מִתַּתָּא לְעִילָא, </w:t>
      </w:r>
      <w:r>
        <w:rPr>
          <w:rStyle w:val="a7"/>
          <w:rtl/>
        </w:rPr>
        <w:footnoteReference w:id="97"/>
      </w:r>
      <w:r>
        <w:rPr>
          <w:rtl/>
        </w:rPr>
        <w:t xml:space="preserve">אֶלָּא לָא הֲוָה אֶלָּא מֵאִלֵּין אֶפְרוֹחֵי וְצַדִּיק שְׁמֵיהּ </w:t>
      </w:r>
      <w:r>
        <w:rPr>
          <w:rStyle w:val="a7"/>
          <w:rtl/>
        </w:rPr>
        <w:footnoteReference w:id="98"/>
      </w:r>
      <w:r>
        <w:rPr>
          <w:rtl/>
        </w:rPr>
        <w:t xml:space="preserve">עַמּוּדָא חֲדָא </w:t>
      </w:r>
      <w:r>
        <w:rPr>
          <w:rStyle w:val="a7"/>
          <w:rtl/>
        </w:rPr>
        <w:footnoteReference w:id="99"/>
      </w:r>
      <w:r>
        <w:rPr>
          <w:rtl/>
        </w:rPr>
        <w:t xml:space="preserve">מֵאַרְעָא עַד רְקִיעָא, וְיַמָּא מָטֵי עַד קַרְסוּלוֹי אִלֵּין נֶצַח וָהוֹד, דְּאִימָּא עִלָּאָה </w:t>
      </w:r>
      <w:r>
        <w:rPr>
          <w:rStyle w:val="a7"/>
          <w:rtl/>
        </w:rPr>
        <w:footnoteReference w:id="100"/>
      </w:r>
      <w:r>
        <w:rPr>
          <w:rtl/>
        </w:rPr>
        <w:t>אִיהִי יַמָּא דְאִתְפַּשְׁטַת לְחַמְשִׁין תַּרְעִין, עַד קַרְסוּלוֹי דְּהַהוּא עוֹפָא.</w:t>
      </w:r>
    </w:p>
    <w:p w:rsidR="00D45634" w:rsidRDefault="00D45634" w:rsidP="00B17EA9">
      <w:pPr>
        <w:pStyle w:val="NormalWeb"/>
        <w:rPr>
          <w:rtl/>
        </w:rPr>
      </w:pPr>
      <w:r>
        <w:rPr>
          <w:rStyle w:val="a7"/>
          <w:rtl/>
        </w:rPr>
        <w:lastRenderedPageBreak/>
        <w:footnoteReference w:id="101"/>
      </w:r>
      <w:r>
        <w:rPr>
          <w:rtl/>
        </w:rPr>
        <w:t xml:space="preserve">כְּגַוְונָא דָא יו''ד אִיהוּ עֶשֶׂר ה' חָמֵשׁ, עֶשֶׂר זִמְנִין ה' אִינוּן חַמְשִׁין, עֶשֶׂר בְּכָל סְפִירָה מֵאִלֵּין חָמֵשׁ מֵחֶסֶד עַד הוֹד, יְסוֹד נָטִיל לוֹן כֻּלְּהוּ וְאִיקְרֵי </w:t>
      </w:r>
      <w:r>
        <w:rPr>
          <w:rStyle w:val="a7"/>
          <w:rtl/>
        </w:rPr>
        <w:footnoteReference w:id="102"/>
      </w:r>
      <w:r>
        <w:rPr>
          <w:rtl/>
        </w:rPr>
        <w:t xml:space="preserve">כָּ''ל כְּלִיל מֵאִלֵּין חַמְשִׁין, </w:t>
      </w:r>
      <w:r>
        <w:rPr>
          <w:rStyle w:val="a7"/>
          <w:rtl/>
        </w:rPr>
        <w:footnoteReference w:id="103"/>
      </w:r>
      <w:r>
        <w:rPr>
          <w:rtl/>
        </w:rPr>
        <w:t xml:space="preserve">וְכָרְסַיָּא דִלְתַתָּא </w:t>
      </w:r>
      <w:r>
        <w:rPr>
          <w:rStyle w:val="a7"/>
          <w:rtl/>
        </w:rPr>
        <w:footnoteReference w:id="104"/>
      </w:r>
      <w:r>
        <w:rPr>
          <w:rtl/>
        </w:rPr>
        <w:t>יָם הַמֶּלַח כִּסֵּא דִין.</w:t>
      </w:r>
    </w:p>
    <w:p w:rsidR="00D45634" w:rsidRDefault="00D45634" w:rsidP="000D6746">
      <w:pPr>
        <w:pStyle w:val="NormalWeb"/>
        <w:spacing w:after="0"/>
        <w:rPr>
          <w:rtl/>
        </w:rPr>
      </w:pPr>
      <w:r>
        <w:rPr>
          <w:rtl/>
        </w:rPr>
        <w:t xml:space="preserve">עוֹף דְּאִיהוּ צִפּוֹר דִּילֵיהּ אִיהוּ מטטרו''ן, </w:t>
      </w:r>
      <w:r>
        <w:rPr>
          <w:rStyle w:val="a7"/>
          <w:rtl/>
        </w:rPr>
        <w:footnoteReference w:id="105"/>
      </w:r>
      <w:r>
        <w:rPr>
          <w:rtl/>
        </w:rPr>
        <w:t xml:space="preserve">עֲלֵיהּ אִתְּמַר </w:t>
      </w:r>
      <w:r>
        <w:rPr>
          <w:sz w:val="20"/>
          <w:szCs w:val="23"/>
          <w:rtl/>
        </w:rPr>
        <w:t>(קהלת י כ)</w:t>
      </w:r>
      <w:r>
        <w:rPr>
          <w:rtl/>
        </w:rPr>
        <w:t xml:space="preserve"> כִּי עוֹף הַשָּׁמַיִם יוֹלִיךְ אֶת הַקּוֹל, קוֹל דִּקְרִיאַת שְׁמַע דְּאִיהוּ כְלִיל </w:t>
      </w:r>
      <w:r>
        <w:rPr>
          <w:rStyle w:val="a7"/>
          <w:rtl/>
        </w:rPr>
        <w:footnoteReference w:id="106"/>
      </w:r>
      <w:r>
        <w:rPr>
          <w:rtl/>
        </w:rPr>
        <w:t xml:space="preserve">שִׁית יוֹמִין דְּחוֹל וְשַׁלִּיט עֲלַיְיהוּ, וְנָטִיל הַהוּא קוֹל וּפָרַח בֵּיהּ עַד עַמּוּדָא דְאֶמְצָעִיתָא, </w:t>
      </w:r>
      <w:r>
        <w:rPr>
          <w:rStyle w:val="a7"/>
          <w:rtl/>
        </w:rPr>
        <w:footnoteReference w:id="107"/>
      </w:r>
      <w:r>
        <w:rPr>
          <w:rtl/>
        </w:rPr>
        <w:t xml:space="preserve">דְּאִיהוּ קוֹל יהו''ה עַל הַמָּיִם, </w:t>
      </w:r>
      <w:r>
        <w:rPr>
          <w:sz w:val="20"/>
          <w:szCs w:val="23"/>
          <w:rtl/>
        </w:rPr>
        <w:t>(תהלים כט ג)</w:t>
      </w:r>
      <w:r>
        <w:rPr>
          <w:rtl/>
        </w:rPr>
        <w:t xml:space="preserve"> וְלֵית מַיִם אֶלָּא תוֹרָה, וְאִיהוּ קוֹל יהו''ה בֶּהָדָר, עַד שִׁית קָלִין </w:t>
      </w:r>
      <w:r>
        <w:rPr>
          <w:rStyle w:val="a7"/>
          <w:rtl/>
        </w:rPr>
        <w:footnoteReference w:id="108"/>
      </w:r>
      <w:r>
        <w:rPr>
          <w:rtl/>
        </w:rPr>
        <w:t xml:space="preserve">וְאִיהוּ שְׁבִיעָאָה לוֹן </w:t>
      </w:r>
      <w:r>
        <w:rPr>
          <w:rStyle w:val="a7"/>
          <w:rtl/>
        </w:rPr>
        <w:footnoteReference w:id="109"/>
      </w:r>
      <w:r>
        <w:rPr>
          <w:rtl/>
        </w:rPr>
        <w:t>בְּאִימָּא.</w:t>
      </w:r>
    </w:p>
    <w:p w:rsidR="00547F3C" w:rsidRDefault="00D45634" w:rsidP="000D6746">
      <w:pPr>
        <w:pStyle w:val="NormalWeb"/>
        <w:spacing w:after="0"/>
        <w:rPr>
          <w:rtl/>
        </w:rPr>
      </w:pPr>
      <w:r>
        <w:rPr>
          <w:rtl/>
        </w:rPr>
        <w:t xml:space="preserve">וּבַעַל כְּנָפַיִם יַגֵּיד </w:t>
      </w:r>
      <w:r>
        <w:rPr>
          <w:rStyle w:val="a7"/>
          <w:rtl/>
        </w:rPr>
        <w:footnoteReference w:id="110"/>
      </w:r>
      <w:r>
        <w:rPr>
          <w:rtl/>
        </w:rPr>
        <w:t xml:space="preserve">דָּבָר </w:t>
      </w:r>
      <w:r>
        <w:rPr>
          <w:sz w:val="20"/>
          <w:szCs w:val="23"/>
          <w:rtl/>
        </w:rPr>
        <w:t>(קהלת י כ)</w:t>
      </w:r>
      <w:r>
        <w:rPr>
          <w:rtl/>
        </w:rPr>
        <w:t xml:space="preserve">, דָּא צְלוֹתָא, </w:t>
      </w:r>
      <w:r>
        <w:rPr>
          <w:rStyle w:val="a7"/>
          <w:rtl/>
        </w:rPr>
        <w:footnoteReference w:id="111"/>
      </w:r>
      <w:r>
        <w:rPr>
          <w:rtl/>
        </w:rPr>
        <w:t xml:space="preserve">דְמָטֵי לָהּ עַד צַדִּיק חַי עָלְמִין, כְּלִיל חַ''י בִּרְכָאָן, דְּאִתְּמַר בְּהוֹן </w:t>
      </w:r>
      <w:r>
        <w:rPr>
          <w:sz w:val="20"/>
          <w:szCs w:val="23"/>
          <w:rtl/>
        </w:rPr>
        <w:t>(משלי י ו)</w:t>
      </w:r>
      <w:r>
        <w:rPr>
          <w:rtl/>
        </w:rPr>
        <w:t xml:space="preserve"> וּבְרָכוֹת לְרֹאשׁ צַדִּיק, חַי הָעוֹלָמִים, וּצְלוֹתָא אִיהוּ דִבּוּר דִּרְכִיבַת עֲלֵיהּ, וְאִיהוּ מֶרְכָּבָה לְגַבָּהּ בְּיוֹמִין דְּחוֹל, וְדָא שְׁכִינְתָּא וְדָא אדנ''י, </w:t>
      </w:r>
      <w:r>
        <w:rPr>
          <w:rStyle w:val="a7"/>
          <w:rtl/>
        </w:rPr>
        <w:footnoteReference w:id="112"/>
      </w:r>
      <w:r>
        <w:rPr>
          <w:rtl/>
        </w:rPr>
        <w:t xml:space="preserve">וְרָזָא דְּדִבּוּר </w:t>
      </w:r>
      <w:r>
        <w:rPr>
          <w:sz w:val="20"/>
          <w:szCs w:val="23"/>
          <w:rtl/>
        </w:rPr>
        <w:t>(תהלים נא יז)</w:t>
      </w:r>
      <w:r>
        <w:rPr>
          <w:rtl/>
        </w:rPr>
        <w:t xml:space="preserve"> אדנ''י שְׂפָתַי תִּפְתָּח וְגוֹמֵר, קוֹל רָכִיב בְּפוּמוֹי, וְאִיהוּ מֶרְכָּבָה לְתַרְוַיְיהוּ </w:t>
      </w:r>
      <w:r>
        <w:rPr>
          <w:rStyle w:val="a7"/>
          <w:rtl/>
        </w:rPr>
        <w:footnoteReference w:id="113"/>
      </w:r>
      <w:r>
        <w:rPr>
          <w:rtl/>
        </w:rPr>
        <w:t xml:space="preserve">כְּגַוְונָא דָא יאהדונה''י, וְהָכִי סְלִיק מַלְאָ''ךְ כְּחוּשְׁבַּן תְּרֵין שְׁמָהָן כַּחֲדָא, וּבְגִין דָּא אִתְקְרֵי מַלְאָךְ </w:t>
      </w:r>
      <w:r>
        <w:rPr>
          <w:rStyle w:val="a7"/>
          <w:rtl/>
        </w:rPr>
        <w:footnoteReference w:id="114"/>
      </w:r>
      <w:r>
        <w:rPr>
          <w:rtl/>
        </w:rPr>
        <w:t>שַׂר הַפָּנִים, דְּעַל יַד שְׁלִיחָא דָא מִתְיַחֲדִין בְּשִׁית יוֹמֵי דְחוֹל</w:t>
      </w:r>
      <w:r w:rsidR="00547F3C">
        <w:rPr>
          <w:rFonts w:hint="cs"/>
          <w:rtl/>
        </w:rPr>
        <w:t>.</w:t>
      </w:r>
    </w:p>
    <w:p w:rsidR="00547F3C" w:rsidRDefault="00547F3C" w:rsidP="000D6746">
      <w:pPr>
        <w:pStyle w:val="2"/>
        <w:spacing w:before="0"/>
        <w:rPr>
          <w:rtl/>
        </w:rPr>
      </w:pPr>
      <w:bookmarkStart w:id="14" w:name="_Toc228095567"/>
      <w:bookmarkStart w:id="15" w:name="_Toc231638005"/>
      <w:r>
        <w:rPr>
          <w:rtl/>
        </w:rPr>
        <w:t>[תיקוני זוהר - דף ג ע''א]</w:t>
      </w:r>
      <w:bookmarkEnd w:id="14"/>
      <w:bookmarkEnd w:id="15"/>
    </w:p>
    <w:p w:rsidR="00B35AF6" w:rsidRDefault="00B35AF6" w:rsidP="000D6746">
      <w:pPr>
        <w:pStyle w:val="2"/>
        <w:spacing w:before="0"/>
        <w:jc w:val="right"/>
        <w:rPr>
          <w:rtl/>
        </w:rPr>
      </w:pPr>
      <w:r>
        <w:rPr>
          <w:rtl/>
        </w:rPr>
        <w:t>[</w:t>
      </w:r>
      <w:r>
        <w:rPr>
          <w:rFonts w:hint="cs"/>
          <w:rtl/>
        </w:rPr>
        <w:t>וילנא דף</w:t>
      </w:r>
      <w:r>
        <w:rPr>
          <w:rtl/>
        </w:rPr>
        <w:t xml:space="preserve"> </w:t>
      </w:r>
      <w:r>
        <w:rPr>
          <w:rFonts w:hint="cs"/>
          <w:rtl/>
        </w:rPr>
        <w:t>ד</w:t>
      </w:r>
      <w:r>
        <w:rPr>
          <w:rtl/>
        </w:rPr>
        <w:t xml:space="preserve"> ע''</w:t>
      </w:r>
      <w:r>
        <w:rPr>
          <w:rFonts w:hint="cs"/>
          <w:rtl/>
        </w:rPr>
        <w:t>א</w:t>
      </w:r>
      <w:r>
        <w:rPr>
          <w:rtl/>
        </w:rPr>
        <w:t>]</w:t>
      </w:r>
    </w:p>
    <w:p w:rsidR="00D45634" w:rsidRDefault="00D45634" w:rsidP="000D6746">
      <w:pPr>
        <w:pStyle w:val="NormalWeb"/>
        <w:spacing w:after="0"/>
        <w:rPr>
          <w:rtl/>
        </w:rPr>
      </w:pPr>
      <w:r>
        <w:rPr>
          <w:rtl/>
        </w:rPr>
        <w:t>אֲבָל בְּיוֹמָא דְשַׁבַּתָּא לָא סָלְקִין תְּרֵין שְׁמָהָן אִלֵּין, דְּאִינוּן עַמּוּדָא דְאֶמְצָעִיתָא וּשְׁכִינְתאּ, וְלָא מִתְיַחֲדִין עַל יְדֵי שְׁלִיחַ, אֶלָּא בְּצַדִּיק חַי עָלְמִין, וַעֲלֵיהּ אִתְּמַר בְּיוֹם הַשַׁבָּת כִּי עוֹף הַשָּׁמַיִם יוֹלִיךְ אֶת הַקּוֹל, קוֹל דִּקְרִיאַת שְׁמַע, וּבַעַל כְּנָפַיִם יַגִּיד דָּבָר</w:t>
      </w:r>
      <w:r w:rsidR="00547F3C">
        <w:rPr>
          <w:rFonts w:hint="cs"/>
          <w:rtl/>
        </w:rPr>
        <w:t>,</w:t>
      </w:r>
      <w:r>
        <w:rPr>
          <w:rtl/>
        </w:rPr>
        <w:t xml:space="preserve"> דִּבּוּר דִּצְלוֹתָא, וְלָא עַל יְדֵי שְׁלִיחַ, וּבְגִין דָּא </w:t>
      </w:r>
      <w:r>
        <w:rPr>
          <w:sz w:val="20"/>
          <w:szCs w:val="23"/>
          <w:rtl/>
        </w:rPr>
        <w:t>(משלי י כה)</w:t>
      </w:r>
      <w:r>
        <w:rPr>
          <w:rtl/>
        </w:rPr>
        <w:t xml:space="preserve"> וְצַדִּיק יְסוֹד עוֹלָם הוּא וַיְכֻלוּ, </w:t>
      </w:r>
      <w:r w:rsidRPr="00B35AF6">
        <w:rPr>
          <w:rStyle w:val="30"/>
          <w:sz w:val="20"/>
          <w:szCs w:val="20"/>
          <w:rtl/>
        </w:rPr>
        <w:t>(דף ג ע''א)</w:t>
      </w:r>
      <w:r>
        <w:rPr>
          <w:sz w:val="20"/>
          <w:szCs w:val="23"/>
          <w:rtl/>
        </w:rPr>
        <w:t xml:space="preserve"> </w:t>
      </w:r>
      <w:r>
        <w:rPr>
          <w:rtl/>
        </w:rPr>
        <w:t xml:space="preserve">כְלִיל כֹּלָּא, וּבֵיהּ מִתְיַיחֲדִין תְּרֵין שְׁמָהָן אִלֵּין, וְעַל תְּרֵין שְׁמָהָן אִלֵּין אִתְּמַר </w:t>
      </w:r>
      <w:r>
        <w:rPr>
          <w:sz w:val="20"/>
          <w:szCs w:val="23"/>
          <w:rtl/>
        </w:rPr>
        <w:t>(דהי''א טז לג)</w:t>
      </w:r>
      <w:r>
        <w:rPr>
          <w:rtl/>
        </w:rPr>
        <w:t xml:space="preserve"> </w:t>
      </w:r>
      <w:r>
        <w:rPr>
          <w:rStyle w:val="a7"/>
          <w:rtl/>
        </w:rPr>
        <w:footnoteReference w:id="115"/>
      </w:r>
      <w:r>
        <w:rPr>
          <w:rtl/>
        </w:rPr>
        <w:t xml:space="preserve">אָז </w:t>
      </w:r>
      <w:r>
        <w:rPr>
          <w:rStyle w:val="a7"/>
          <w:rtl/>
        </w:rPr>
        <w:footnoteReference w:id="116"/>
      </w:r>
      <w:r>
        <w:rPr>
          <w:rtl/>
        </w:rPr>
        <w:t xml:space="preserve">יְרַנְּנוּ כל </w:t>
      </w:r>
      <w:r>
        <w:rPr>
          <w:rStyle w:val="a7"/>
          <w:rtl/>
        </w:rPr>
        <w:footnoteReference w:id="117"/>
      </w:r>
      <w:r>
        <w:rPr>
          <w:rtl/>
        </w:rPr>
        <w:t xml:space="preserve">עֲצֵי הַיָּעַר, </w:t>
      </w:r>
      <w:r>
        <w:rPr>
          <w:rStyle w:val="a7"/>
          <w:rtl/>
        </w:rPr>
        <w:footnoteReference w:id="118"/>
      </w:r>
      <w:r>
        <w:rPr>
          <w:rtl/>
        </w:rPr>
        <w:t xml:space="preserve">וְנֶעֱנָה מַלְאָךְ </w:t>
      </w:r>
      <w:r>
        <w:rPr>
          <w:rStyle w:val="a7"/>
          <w:rtl/>
        </w:rPr>
        <w:footnoteReference w:id="119"/>
      </w:r>
      <w:r>
        <w:rPr>
          <w:rtl/>
        </w:rPr>
        <w:t xml:space="preserve">מִגּוֹ אֶשָּׁא מִשְּׁמַיָּא </w:t>
      </w:r>
      <w:r>
        <w:rPr>
          <w:rStyle w:val="a7"/>
          <w:rtl/>
        </w:rPr>
        <w:footnoteReference w:id="120"/>
      </w:r>
      <w:r>
        <w:rPr>
          <w:rtl/>
        </w:rPr>
        <w:t xml:space="preserve">וְאָמַר, הֵן הֵן מַעֲשֵׂה מֶרְכָּבָה, </w:t>
      </w:r>
      <w:r>
        <w:rPr>
          <w:rStyle w:val="a7"/>
          <w:rtl/>
        </w:rPr>
        <w:footnoteReference w:id="121"/>
      </w:r>
      <w:r>
        <w:rPr>
          <w:rtl/>
        </w:rPr>
        <w:t xml:space="preserve">וַהֲווֹ מִתְקַבְּצִין מַלְאֲכֵי הַשָּׁרֵת </w:t>
      </w:r>
      <w:r w:rsidR="00B35AF6" w:rsidRPr="00B35AF6">
        <w:rPr>
          <w:rStyle w:val="30"/>
          <w:sz w:val="20"/>
          <w:szCs w:val="20"/>
          <w:rtl/>
        </w:rPr>
        <w:t>(</w:t>
      </w:r>
      <w:r w:rsidR="00B35AF6">
        <w:rPr>
          <w:rStyle w:val="30"/>
          <w:rFonts w:hint="cs"/>
          <w:sz w:val="20"/>
          <w:szCs w:val="20"/>
          <w:rtl/>
        </w:rPr>
        <w:t xml:space="preserve">וילנא </w:t>
      </w:r>
      <w:r w:rsidR="00B35AF6" w:rsidRPr="00B35AF6">
        <w:rPr>
          <w:rStyle w:val="30"/>
          <w:sz w:val="20"/>
          <w:szCs w:val="20"/>
          <w:rtl/>
        </w:rPr>
        <w:t>ד ע''א)</w:t>
      </w:r>
      <w:r w:rsidR="00B35AF6">
        <w:rPr>
          <w:sz w:val="20"/>
          <w:szCs w:val="23"/>
          <w:rtl/>
        </w:rPr>
        <w:t xml:space="preserve"> </w:t>
      </w:r>
      <w:r>
        <w:rPr>
          <w:rStyle w:val="a7"/>
          <w:rtl/>
        </w:rPr>
        <w:footnoteReference w:id="122"/>
      </w:r>
      <w:r>
        <w:rPr>
          <w:rtl/>
        </w:rPr>
        <w:t>כִּבְמַזְמוּטֵי חָתָן וְכַלָּה. אָמַר רַעְיָא מְהֵימְנָא בְּרִיךְ יְהֵא בּוֹצִינָא קַדִּישָׁא דְאָמַר מִלִּין אִלֵּין, לְיַחֲדָא בְּהוֹן קוּדְשָׁא בְּרִיךְ הוּא וּשְׁכִינְתאּ.</w:t>
      </w:r>
    </w:p>
    <w:p w:rsidR="00D45634" w:rsidRDefault="00D45634" w:rsidP="000D6746">
      <w:pPr>
        <w:pStyle w:val="NormalWeb"/>
        <w:spacing w:after="0"/>
        <w:rPr>
          <w:rtl/>
        </w:rPr>
      </w:pPr>
      <w:r>
        <w:rPr>
          <w:rtl/>
        </w:rPr>
        <w:t xml:space="preserve">קוּם אֵלִיָּהוּ נְבִיאָה לִיקָרָא דְקוּדְשָׁא בְּרִיךְ הוּא וּשְׁכִינְתֵּיהּ, וְיִתְעֲרוּן עִמָּךְ שְׁאָר נְבִיאֵי, וַעֲבֵיד לֵיהּ קִנָּא בְּהַאי חִבּוּרָא, וּלְכָל מַשִּׁרְיָין דְּאָזְלִין מִתְתַּרְכֵי בָּתַר קוּדְשָׁא בְּרִיךְ הוּא וּשְׁכִינְתֵּיהּ, לְחַבָּרָא לוֹן בְּהַאי חִבּוּרָא, לְאִשְׁתַּכָּחָא בֵּיהּ </w:t>
      </w:r>
      <w:r>
        <w:rPr>
          <w:rtl/>
        </w:rPr>
        <w:lastRenderedPageBreak/>
        <w:t xml:space="preserve">נְיָיחָא לְאִלֵּין מַשִּׁרְיָין דְּנִשְׁמָתִין דְּאָזְלִי מִתְתַּרְכִין מִשְּׁכִינְתָּא, דְאִיהִי יְחִידָאָה אֵיכָה יָשְׁבָה בָדָד </w:t>
      </w:r>
      <w:r>
        <w:rPr>
          <w:sz w:val="20"/>
          <w:szCs w:val="23"/>
          <w:rtl/>
        </w:rPr>
        <w:t>(איכה א א)</w:t>
      </w:r>
      <w:r>
        <w:rPr>
          <w:rtl/>
        </w:rPr>
        <w:t xml:space="preserve">, וּלְאִשְׁתַּכָּחָא בֵּיהּ נְיָיחָא לְמַשִּׁרְיָין דְּקוּדְשָׁא בְּרִיךְ הוּא, דְאִתְּמַר בְּהוֹן </w:t>
      </w:r>
      <w:r>
        <w:rPr>
          <w:sz w:val="20"/>
          <w:szCs w:val="23"/>
          <w:rtl/>
        </w:rPr>
        <w:t>(ישעיהו לג ז)</w:t>
      </w:r>
      <w:r>
        <w:rPr>
          <w:rtl/>
        </w:rPr>
        <w:t xml:space="preserve"> הֵן אֶרְאֶלָּם צָעֲקוּ חוּצָה מַלְאֲכֵי שָׁלוֹם מַר יִבְכָּיוּן, וְלֵית שָׁלוֹם אֶלָּא קוּדְשָׁא בְּרִיךְ הוּא.</w:t>
      </w:r>
    </w:p>
    <w:p w:rsidR="00D45634" w:rsidRDefault="00D45634" w:rsidP="000D6746">
      <w:pPr>
        <w:pStyle w:val="NormalWeb"/>
        <w:spacing w:after="0"/>
        <w:rPr>
          <w:rtl/>
        </w:rPr>
      </w:pPr>
      <w:r>
        <w:rPr>
          <w:rtl/>
        </w:rPr>
        <w:t xml:space="preserve">קוּם לְחַבָּרָא לוֹן בְּהַאי חִבּוּרָא, דְהָא כַּד אִית בְּיִשְׂרָאֵל מַשְׂכִּילִים, מֵאִלֵּין דְּאִתְּמַר בְּהוֹן </w:t>
      </w:r>
      <w:r>
        <w:rPr>
          <w:sz w:val="20"/>
          <w:szCs w:val="23"/>
          <w:rtl/>
        </w:rPr>
        <w:t>(דניאל יד ג)</w:t>
      </w:r>
      <w:r>
        <w:rPr>
          <w:rtl/>
        </w:rPr>
        <w:t xml:space="preserve"> וְהַמַּשְׂכִּילִים יַזְהִירוּ כְּזֹהַר הָרָקִיעַ, דָּא דְּאִתְקְרֵי סֵפֶר הַזֹּהַר, דְּיָדְעִין לְמִפְלַח לְמָארֵיהוֹן, וּלְאַפָּקָא אַזְכָּרוֹת דִּשְׁמָהָן דְּקוּדְשָׁא בְּרִיךְ הוּא וּשְׁכִינְתֵּיהּ בְּכַוָּנָה, וּלְחַבָּרָא לוֹן בְּקוֹל דִּקְרִיאַת שְׁמַע, וּבְדִבּוּר דִּצְלוֹתָא, דְּאִינוּן תְּרֵין שְׁמָהָן יאהדונה''י, דִבְהוֹן כְּלִילָן כָּל שְׁמָהָן וַהֲוַויָּי''ן וְכִנּוּיָי''ן וַעֲשַׂר סְפִירָן.</w:t>
      </w:r>
    </w:p>
    <w:p w:rsidR="00D45634" w:rsidRDefault="00D45634" w:rsidP="000D6746">
      <w:pPr>
        <w:pStyle w:val="NormalWeb"/>
        <w:spacing w:after="0"/>
        <w:rPr>
          <w:rtl/>
        </w:rPr>
      </w:pPr>
      <w:r>
        <w:rPr>
          <w:rtl/>
        </w:rPr>
        <w:t xml:space="preserve">כַּמָּה מַלְאָכִין דְּאִינוּן חֵיוָון דְּמֶרְכַּבְתָּא וּשְׂרָפִים וְאוֹפַנִּים, וְכָל עֶשֶׂר כִּתּוֹת דִּכְלִילָן בְּהוֹן דִּמְשַׁמְּשִׁין לְעֶשֶׂר סְפִירוֹת, כֻּלְּהוּ וּפְנֵיהֶם וְכַנְפֵיהֶם פְּרוּדוֹת </w:t>
      </w:r>
      <w:r>
        <w:rPr>
          <w:sz w:val="20"/>
          <w:szCs w:val="23"/>
          <w:rtl/>
        </w:rPr>
        <w:t>(יחזקאל א יא)</w:t>
      </w:r>
      <w:r>
        <w:rPr>
          <w:rtl/>
        </w:rPr>
        <w:t xml:space="preserve"> לְפוּמוֹי, לָקֳבֵל אִלֵּין אַזְכָּרוֹת, דְּאִינוּן יאהדונה''י, בֵּין בִּקְרִיאַת שְׁמַע בֵּין בִּצְלוֹתָא בֵּין בְּשִׁירוֹת וְתִשְׁבָּחוֹת וְהוֹדָאוֹת, דִּבְכָל אַזְכָּרָה דְיִפּוֹק מִפּוּמוֹי בְּכָל אֲתַר וּבְכָל מַמְלָל, צָרִיךְ לְכַוָּונָא דִיבּוּר בְּאדנ''י קוֹל בְּיהו''ה, וּלְיַחֲדָא לוֹן כַּחֲדָא, בְּיִחוּדָא </w:t>
      </w:r>
      <w:r>
        <w:rPr>
          <w:rStyle w:val="a7"/>
          <w:rtl/>
        </w:rPr>
        <w:footnoteReference w:id="123"/>
      </w:r>
      <w:r>
        <w:rPr>
          <w:rtl/>
        </w:rPr>
        <w:t>דְאִיהוּ יָחִיד נֶעֱלָם, דִּמְחַבֵּר לוֹן וּמְיַחֵד לוֹן כַּחֲדָא, וּבֵיהּ צָרִיךְ הַכַּוָּנָה, דְלָא תַלְיָא לְמֵימַר בֵּיהּ קוֹל וְדִבּוּר אֶלָּא מַחֲשַׁבְתָּא.</w:t>
      </w:r>
    </w:p>
    <w:p w:rsidR="00D45634" w:rsidRDefault="00D45634" w:rsidP="000D6746">
      <w:pPr>
        <w:pStyle w:val="NormalWeb"/>
        <w:spacing w:after="0"/>
        <w:rPr>
          <w:rtl/>
        </w:rPr>
      </w:pPr>
      <w:r>
        <w:rPr>
          <w:rtl/>
        </w:rPr>
        <w:t xml:space="preserve">כַּד נָחִית קוּדְשָׁא בְּרִיךְ הוּא בִּקְרִיאַת שְׁמַע, אִתְּמַר בְּחֵיוָן וָאֶשְׁמַע אֶת קוֹל כַּנְפֵיהֶם </w:t>
      </w:r>
      <w:r>
        <w:rPr>
          <w:sz w:val="20"/>
          <w:szCs w:val="23"/>
          <w:rtl/>
        </w:rPr>
        <w:t>(שם כד)</w:t>
      </w:r>
      <w:r>
        <w:rPr>
          <w:rtl/>
        </w:rPr>
        <w:t xml:space="preserve">, בְּעֶשֶׂר מִינֵי נִגּוּנִים, בְּשִׁיר פָּשׁוּט דְּאִיהוּ י' כֶּתֶ''ר, כָּפוּל דְּאִיהוּ י''ה חָכְמָ''ה וּבִינָ''ה, מְשׁוּלָשׁ בְּיה''ו דְאִיהוּ חֶסֶ''ד גְּבוּרָ''ה תִּפְאֶרֶ''ת, מְרוּבָּע בְּיהו''ה דְּאִיהוּ נֶצַ''ח הוֹ''ד יְסוֹ''ד מַלְכוּ''ת, וְנָטְלִין יִשְׂרָאֵל צִפָּרָא קַדִּישָׁא בֵּינַיְהוּ, וְקָרָאן בָּהּ לְיִשְׂרָאֵל דְּאִיהוּ עַמּוּדָא דְאֶמְצָעִיתָא, וְהַיְינוּ שְׁמַע יִשְׂרָאֵל, הָא נָחִית לְגַבָּהּ, </w:t>
      </w:r>
      <w:r>
        <w:rPr>
          <w:rStyle w:val="a7"/>
          <w:rtl/>
        </w:rPr>
        <w:footnoteReference w:id="124"/>
      </w:r>
      <w:r>
        <w:rPr>
          <w:rtl/>
        </w:rPr>
        <w:t>צָרִיךְ לְקַשְׁרָא לֵיהּ בַּהֲדָהּ, וּלְיַחֲדָא לוֹן בְּיִחוּדָא חֲדָא בְּלָא פִּירוּדָא כְּלָל, וּבְגִין דָּא מָאן דְּשָׂח בֵּנְתַּיִים עֲבֵירָה הִיא בְּיָדוֹ הַהִיא שִׂיחָה.</w:t>
      </w:r>
    </w:p>
    <w:p w:rsidR="00D45634" w:rsidRDefault="00D45634" w:rsidP="000D6746">
      <w:pPr>
        <w:pStyle w:val="NormalWeb"/>
        <w:spacing w:after="0"/>
        <w:rPr>
          <w:rtl/>
        </w:rPr>
      </w:pPr>
      <w:r>
        <w:rPr>
          <w:rtl/>
        </w:rPr>
        <w:t>וְקָשְׁרִין לֵיהּ בַּהֲדָהּ, א''ח עִם ד' (</w:t>
      </w:r>
      <w:r>
        <w:rPr>
          <w:rStyle w:val="a7"/>
          <w:rtl/>
        </w:rPr>
        <w:footnoteReference w:id="125"/>
      </w:r>
      <w:r>
        <w:rPr>
          <w:rtl/>
        </w:rPr>
        <w:t>ובמַּאי קָשְׁרִין לֵיהּ בַּהֲדָהּ לְא''ח עִם ד'), כְּלִילָא מֵאַרְבַּע פָּרָשִׁיָּין, בְּגִין דְּלָא יְהֵא פָרַח מִינָהּ, וְאִשְׁתְּאָרַת יְחִידָה, אֵיכָה יָשְׁבָה בָדָד, וּבְגִין דָּא קָשְׁרִין לֵיהּ בַּהֲדָהּ בְּכַמָּה קִשּׁוּרֵי דִתְּפִלֵּי, בְּכַמָּה קִשּׁוּרֵי דְצִיצִית, דְּלָא יָזוּז מִינָהּ.</w:t>
      </w:r>
    </w:p>
    <w:p w:rsidR="00D45634" w:rsidRDefault="00D45634" w:rsidP="000D6746">
      <w:pPr>
        <w:pStyle w:val="2"/>
        <w:spacing w:before="0"/>
        <w:rPr>
          <w:rtl/>
        </w:rPr>
      </w:pPr>
      <w:bookmarkStart w:id="16" w:name="_Toc228095568"/>
      <w:bookmarkStart w:id="17" w:name="_Toc231638006"/>
      <w:r>
        <w:rPr>
          <w:rtl/>
        </w:rPr>
        <w:t>[תיקוני זוהר - דף ג ע''ב]</w:t>
      </w:r>
      <w:bookmarkEnd w:id="16"/>
      <w:bookmarkEnd w:id="17"/>
      <w:r>
        <w:rPr>
          <w:rtl/>
        </w:rPr>
        <w:t xml:space="preserve"> </w:t>
      </w:r>
    </w:p>
    <w:p w:rsidR="00D45634" w:rsidRDefault="00D45634" w:rsidP="000D6746">
      <w:pPr>
        <w:pStyle w:val="NormalWeb"/>
        <w:spacing w:after="0"/>
        <w:rPr>
          <w:rtl/>
        </w:rPr>
      </w:pPr>
      <w:r>
        <w:rPr>
          <w:rtl/>
        </w:rPr>
        <w:t xml:space="preserve">וְכָל קֶשֶׁר אִיהוּ מִסִּטְרָא דְאָת י', וּתְרֵין קִשְׁרִין אִנּוּן, דְּאִנּוּן קֶשֶׁר דְּרֵישָׁא קֶשֶׁר דִּדְרוֹעָא שְׂמָאלָא, וְאִנּוּן י''י מִן יאהדונה''י, יהו''ה אַרְבַּע פָּרָשִׁיָּין דִּתְּפִלֵּי, וְרָאוּ כָּל עַמֵּי הָאָרֶץ כִּי שֵׁם יהו''ה וכו' </w:t>
      </w:r>
      <w:r>
        <w:rPr>
          <w:sz w:val="20"/>
          <w:szCs w:val="23"/>
          <w:rtl/>
        </w:rPr>
        <w:t>(דברים כח י)</w:t>
      </w:r>
      <w:r>
        <w:rPr>
          <w:rtl/>
        </w:rPr>
        <w:t xml:space="preserve">, </w:t>
      </w:r>
      <w:r>
        <w:rPr>
          <w:rStyle w:val="a7"/>
          <w:rtl/>
        </w:rPr>
        <w:footnoteReference w:id="126"/>
      </w:r>
      <w:r>
        <w:rPr>
          <w:rtl/>
        </w:rPr>
        <w:t xml:space="preserve">אדנ''י אַרְבַּע בָּתֵּי דִתְּפִלֵּי, אהי''ה אֲשֶׁר אהי''ה מִלְּגָאו דִתְּפִלין, בְּכ''א אַזְכָּרוֹת דִּתְּפִלִּין דְּרֵישָׁא וּבְּכ''א אַזְכָּרוֹת דִּתְּפִלִּין דְּיָד, </w:t>
      </w:r>
      <w:r>
        <w:rPr>
          <w:rStyle w:val="a7"/>
          <w:rtl/>
        </w:rPr>
        <w:footnoteReference w:id="127"/>
      </w:r>
      <w:r>
        <w:rPr>
          <w:rtl/>
        </w:rPr>
        <w:t xml:space="preserve">וְדָא אִימָּא עִלָּאָה, תְּפִלֵּי דְמָארֵי עָלְמָא קָארִינָן לֵיהּ, תְּפִלִּין עַל רֵישָׁא דְעַמּוּדָא דְאֶמְצָעִיתָא, כָּסֵי לֵיהּ אִימָּא בְּגַדְפָהָא דְאִינוּן רְצוּעִין דִּתְּפִלֵּי, </w:t>
      </w:r>
      <w:r>
        <w:rPr>
          <w:rStyle w:val="a7"/>
          <w:rtl/>
        </w:rPr>
        <w:footnoteReference w:id="128"/>
      </w:r>
      <w:r>
        <w:rPr>
          <w:rtl/>
        </w:rPr>
        <w:t xml:space="preserve">וְקָשְׁרִין לֵיהּ יִשְׂרָאֵל בִּשְׁכִינְתָּא תַּתָּאָה בִּתְּפִלִּין דְּיָד, וְלֵיהּ אָמְרִין שְׁמַע יִשְׂרָאֵל, </w:t>
      </w:r>
      <w:r>
        <w:rPr>
          <w:rStyle w:val="a7"/>
          <w:rtl/>
        </w:rPr>
        <w:footnoteReference w:id="129"/>
      </w:r>
      <w:r>
        <w:rPr>
          <w:rtl/>
        </w:rPr>
        <w:t xml:space="preserve">בְּרָא </w:t>
      </w:r>
      <w:r>
        <w:rPr>
          <w:rStyle w:val="a7"/>
          <w:rtl/>
        </w:rPr>
        <w:footnoteReference w:id="130"/>
      </w:r>
      <w:r>
        <w:rPr>
          <w:rtl/>
        </w:rPr>
        <w:t xml:space="preserve">דְסָבָא דְסָבִין, וְדָא חָכְמָה עִלָּאָה, וְעַל שְׁמֵיהּ אִתְקְרֵי עַמּוּדָא דְאֶמְצָעִיתָא יִשְׂרָאֵל, שִׁיר אֵ''ל. שִׁיר מִשְּׂמָאלָא </w:t>
      </w:r>
      <w:r>
        <w:rPr>
          <w:rStyle w:val="a7"/>
          <w:rtl/>
        </w:rPr>
        <w:footnoteReference w:id="131"/>
      </w:r>
      <w:r>
        <w:rPr>
          <w:rtl/>
        </w:rPr>
        <w:t xml:space="preserve">שִׁיר דִּלְוִיִּם, </w:t>
      </w:r>
      <w:r>
        <w:rPr>
          <w:rStyle w:val="a7"/>
          <w:rtl/>
        </w:rPr>
        <w:footnoteReference w:id="132"/>
      </w:r>
      <w:r>
        <w:rPr>
          <w:rtl/>
        </w:rPr>
        <w:t xml:space="preserve">אֵ''ל מִימִינָא דְכַהֲנַיָּא, עַמּוּדָא דאֶמְצָעִיתָא יִשְׂרָאֵל כְּלִיל </w:t>
      </w:r>
      <w:r w:rsidRPr="00EF3849">
        <w:rPr>
          <w:rStyle w:val="30"/>
          <w:sz w:val="20"/>
          <w:szCs w:val="20"/>
          <w:rtl/>
        </w:rPr>
        <w:t>(דף ג ע"ב)</w:t>
      </w:r>
      <w:r>
        <w:rPr>
          <w:rtl/>
        </w:rPr>
        <w:t xml:space="preserve"> תַּרְוַיְהוּ, חָכְמָה נָחִית בִּבְרָכָה דְכַהֲנָא </w:t>
      </w:r>
      <w:r>
        <w:rPr>
          <w:rtl/>
        </w:rPr>
        <w:lastRenderedPageBreak/>
        <w:t xml:space="preserve">בִּימִינָא, וּבֵיהּ הָרוֹצֶה לְהַחְכִּים יַדְרִים, אִימָּא נָחִית בִּקְדוּשָׁה דְלֵיוָאֵי מִשְּׂמָאלָא, וּבֵיהּ הָרוֹצֶה </w:t>
      </w:r>
      <w:r>
        <w:rPr>
          <w:rStyle w:val="a7"/>
          <w:rtl/>
        </w:rPr>
        <w:footnoteReference w:id="133"/>
      </w:r>
      <w:r>
        <w:rPr>
          <w:rtl/>
        </w:rPr>
        <w:t xml:space="preserve">לְהַעֲשִׁיר יַצְפִּין, עַמּוּדָא דְאֶמְצָעִיתָא </w:t>
      </w:r>
      <w:r>
        <w:rPr>
          <w:rStyle w:val="a7"/>
          <w:rtl/>
        </w:rPr>
        <w:footnoteReference w:id="134"/>
      </w:r>
      <w:r>
        <w:rPr>
          <w:rtl/>
        </w:rPr>
        <w:t xml:space="preserve">קִשּׁוּרָא דְתַרְוַיְהוּ </w:t>
      </w:r>
      <w:r>
        <w:rPr>
          <w:rStyle w:val="a7"/>
          <w:rtl/>
        </w:rPr>
        <w:footnoteReference w:id="135"/>
      </w:r>
      <w:r>
        <w:rPr>
          <w:rtl/>
        </w:rPr>
        <w:t>יִחוּדָא דְתַרְוַיְהוּ.</w:t>
      </w:r>
    </w:p>
    <w:p w:rsidR="000D6746" w:rsidRDefault="000D6746" w:rsidP="000D6746">
      <w:pPr>
        <w:pStyle w:val="2"/>
        <w:spacing w:before="0"/>
        <w:jc w:val="right"/>
        <w:rPr>
          <w:rtl/>
        </w:rPr>
      </w:pPr>
      <w:r>
        <w:rPr>
          <w:rtl/>
        </w:rPr>
        <w:t>[</w:t>
      </w:r>
      <w:r>
        <w:rPr>
          <w:rFonts w:hint="cs"/>
          <w:rtl/>
        </w:rPr>
        <w:t>וילנא דף</w:t>
      </w:r>
      <w:r>
        <w:rPr>
          <w:rtl/>
        </w:rPr>
        <w:t xml:space="preserve"> </w:t>
      </w:r>
      <w:r>
        <w:rPr>
          <w:rFonts w:hint="cs"/>
          <w:rtl/>
        </w:rPr>
        <w:t>ד</w:t>
      </w:r>
      <w:r>
        <w:rPr>
          <w:rtl/>
        </w:rPr>
        <w:t xml:space="preserve"> ע''</w:t>
      </w:r>
      <w:r>
        <w:rPr>
          <w:rFonts w:hint="cs"/>
          <w:rtl/>
        </w:rPr>
        <w:t>ב</w:t>
      </w:r>
      <w:r>
        <w:rPr>
          <w:rtl/>
        </w:rPr>
        <w:t>]</w:t>
      </w:r>
    </w:p>
    <w:p w:rsidR="00D45634" w:rsidRDefault="00D45634" w:rsidP="000D6746">
      <w:pPr>
        <w:pStyle w:val="NormalWeb"/>
        <w:rPr>
          <w:rtl/>
        </w:rPr>
      </w:pPr>
      <w:r>
        <w:rPr>
          <w:rtl/>
        </w:rPr>
        <w:t>אוּף הָכִי יְסוֹד חַי עָלְמִין, קִשּׁוּרָא דְעַמּוּדָא דְאֶמְצָעִיתָא וּשְׁכִינְתָּא תַּתָּאָה</w:t>
      </w:r>
      <w:r w:rsidR="000D6746">
        <w:rPr>
          <w:rFonts w:hint="cs"/>
          <w:rtl/>
        </w:rPr>
        <w:t>.</w:t>
      </w:r>
      <w:r>
        <w:rPr>
          <w:rtl/>
        </w:rPr>
        <w:t xml:space="preserve"> בְּאָן אֲתַר</w:t>
      </w:r>
      <w:r w:rsidR="000D6746">
        <w:rPr>
          <w:rFonts w:hint="cs"/>
          <w:rtl/>
        </w:rPr>
        <w:t>,</w:t>
      </w:r>
      <w:r>
        <w:rPr>
          <w:rtl/>
        </w:rPr>
        <w:t xml:space="preserve"> בִּצְלוֹתָא, דְבֵיהּ כְּלִילָן חַ''י בִּרְכָאָן, וּבֵיהּ מִתְיַיחֲדִין </w:t>
      </w:r>
      <w:r w:rsidR="000D6746" w:rsidRPr="000D6746">
        <w:rPr>
          <w:rStyle w:val="20"/>
          <w:rFonts w:hint="cs"/>
          <w:rtl/>
        </w:rPr>
        <w:t>(וילנא ד ע"ב)</w:t>
      </w:r>
      <w:r w:rsidR="000D6746">
        <w:rPr>
          <w:rFonts w:hint="cs"/>
          <w:rtl/>
        </w:rPr>
        <w:t xml:space="preserve"> </w:t>
      </w:r>
      <w:r>
        <w:rPr>
          <w:rtl/>
        </w:rPr>
        <w:t xml:space="preserve">תְּרֵין שְׁמָהָן כַּחֲדָא אִינוּן יאהדונה''י, וְחִבּוּרָא דִתְרֵין שְׁמָהָן צְרִיכִין </w:t>
      </w:r>
      <w:r>
        <w:rPr>
          <w:rStyle w:val="a7"/>
          <w:rtl/>
        </w:rPr>
        <w:footnoteReference w:id="136"/>
      </w:r>
      <w:r>
        <w:rPr>
          <w:rtl/>
        </w:rPr>
        <w:t xml:space="preserve">בַּחֲשַׁאי, וְרָזָא דְמִלָּה </w:t>
      </w:r>
      <w:r>
        <w:rPr>
          <w:sz w:val="20"/>
          <w:szCs w:val="23"/>
          <w:rtl/>
        </w:rPr>
        <w:t>(יחזקאל א כה)</w:t>
      </w:r>
      <w:r>
        <w:rPr>
          <w:rtl/>
        </w:rPr>
        <w:t xml:space="preserve"> בְּעָמְדָם תְּרַפֶּינָה כַנְפֵיהֶן, (בְּעָמְדָם יִשְׂרָאֵל בִּצְלוֹתָא דְעַמִּידָה חֵיוָון תְּרַפֶּינָה כַנְפֵיהֶם) דְּלָא לְמִשְׁמַע בְּהוֹן קָלָא, דְּתַמָּן קוֹל דְּמָמָה דַקָּה </w:t>
      </w:r>
      <w:r>
        <w:rPr>
          <w:sz w:val="20"/>
          <w:szCs w:val="23"/>
          <w:rtl/>
        </w:rPr>
        <w:t>(מ''א יט יב)</w:t>
      </w:r>
      <w:r>
        <w:rPr>
          <w:rtl/>
        </w:rPr>
        <w:t>, (</w:t>
      </w:r>
      <w:r>
        <w:rPr>
          <w:rStyle w:val="a7"/>
          <w:rtl/>
        </w:rPr>
        <w:footnoteReference w:id="137"/>
      </w:r>
      <w:r>
        <w:rPr>
          <w:rtl/>
        </w:rPr>
        <w:t>קֹדֶשׁ הַקֳּדָשִׁים דְּאִיהוּ בְּעַמִּידָה,) בְּגִין דְּתַמָּן קָאָתָא מַלְכָּא.</w:t>
      </w:r>
    </w:p>
    <w:p w:rsidR="00D45634" w:rsidRDefault="00D45634" w:rsidP="00B17EA9">
      <w:pPr>
        <w:pStyle w:val="NormalWeb"/>
        <w:rPr>
          <w:rtl/>
        </w:rPr>
      </w:pPr>
      <w:r>
        <w:rPr>
          <w:rStyle w:val="a7"/>
          <w:rtl/>
        </w:rPr>
        <w:footnoteReference w:id="138"/>
      </w:r>
      <w:r>
        <w:rPr>
          <w:rtl/>
        </w:rPr>
        <w:t xml:space="preserve">דְּהָא בְּרוּחַ גְּדוֹלָה וּבָרַעַשׁ וּבָאֵשׁ, דְּאִשְׁתַּמְעוּן בְּהוֹן גַּדְפֵי חֵיוָון לָא אָתָא מַלְכָּא, </w:t>
      </w:r>
      <w:r>
        <w:rPr>
          <w:rStyle w:val="a7"/>
          <w:rtl/>
        </w:rPr>
        <w:footnoteReference w:id="139"/>
      </w:r>
      <w:r>
        <w:rPr>
          <w:rtl/>
        </w:rPr>
        <w:t xml:space="preserve">אֶלָּא בְּקוֹל דְּמָמָה דַקָּה, דְאִיהִי בָּתַר רוּחַ רַעַשׁ אֵשׁ, וְאִיהִי רְבִיעָאָה לוֹן, </w:t>
      </w:r>
      <w:r>
        <w:rPr>
          <w:rStyle w:val="a7"/>
          <w:rtl/>
        </w:rPr>
        <w:footnoteReference w:id="140"/>
      </w:r>
      <w:r>
        <w:rPr>
          <w:rtl/>
        </w:rPr>
        <w:t xml:space="preserve">וַעֲלַיְהוּ אָמַר יְחֶזְקֵאל </w:t>
      </w:r>
      <w:r>
        <w:rPr>
          <w:sz w:val="20"/>
          <w:szCs w:val="23"/>
          <w:rtl/>
        </w:rPr>
        <w:t>(א ד)</w:t>
      </w:r>
      <w:r>
        <w:rPr>
          <w:rtl/>
        </w:rPr>
        <w:t xml:space="preserve">, וָאֵרֶא וְהִנֵּה רוּחַ סְעָרָה בָּאָה מִן הַצָּפוֹן, עָנָן גָּדוֹל, וְאֵשׁ מִתְלַקַּחַת, הָא אִינוּן תְּלַת, דִּרְכִיבִין בְּהוֹן תְּלַת אַתְוָון הו''ה, </w:t>
      </w:r>
      <w:r>
        <w:rPr>
          <w:rStyle w:val="a7"/>
          <w:rtl/>
        </w:rPr>
        <w:footnoteReference w:id="141"/>
      </w:r>
      <w:r>
        <w:rPr>
          <w:rtl/>
        </w:rPr>
        <w:t xml:space="preserve">קוֹל דְּמָמָה דַקָּה דָא י' מִן הוה''י, וְאִיהִי י' מִן אדנ''י, תַּמָּן קָא אָתָא מַלְכָּא דְאִיהוּ יהו''ה. דְּכָל הֲוַיָּ''ה דְשַׁלִּיט ה' עַל ו' ה' עַל י' נוּקְבָא אִיהִי הַהֲוַיָּ''ה, </w:t>
      </w:r>
      <w:r>
        <w:rPr>
          <w:rStyle w:val="a7"/>
          <w:rtl/>
        </w:rPr>
        <w:footnoteReference w:id="142"/>
      </w:r>
      <w:r>
        <w:rPr>
          <w:rtl/>
        </w:rPr>
        <w:t>כְּגוֹן טִפָּה דְנוּקְבָא כַּד שַׁלִּיט עַל טִפָּה דִדְכוּרָא בַּת אִיהִי.</w:t>
      </w:r>
    </w:p>
    <w:p w:rsidR="00D45634" w:rsidRDefault="00D45634" w:rsidP="000D6746">
      <w:pPr>
        <w:pStyle w:val="NormalWeb"/>
        <w:spacing w:after="0"/>
        <w:rPr>
          <w:rtl/>
        </w:rPr>
      </w:pPr>
      <w:r>
        <w:rPr>
          <w:rtl/>
        </w:rPr>
        <w:t xml:space="preserve">אָתָא אֵלִיָּהוּ וְכָל מָארֵי מְתִיבְתָּא, וְאִשְׁתַּטְחוּ קַמֵּיהּ וְאָמְרוּ, </w:t>
      </w:r>
      <w:r>
        <w:rPr>
          <w:rStyle w:val="a7"/>
          <w:rtl/>
        </w:rPr>
        <w:footnoteReference w:id="143"/>
      </w:r>
      <w:r>
        <w:rPr>
          <w:rtl/>
        </w:rPr>
        <w:t xml:space="preserve">סִינַי סִינַי מָאן יָכִיל לְמֵימַר מִלִּין קַמָּךְ בְּוַדַּאי בְּקוֹל דְּמָמָה דַקָּה, דִבְפוּמָךְ קָא אָתֵי מַלְכָּא, קוּם אֵלִיָּהוּ תַּקֵּין לְבוּשֵׁי מַלְכָּא וּמַטְרוֹנִיתָא, דְאַנְתְּ כַּהֲנָא, תַּקֵין לֵיהּ לְקוּדְשָׁא בְּרִיךְ הוּא אַרְבַּע בִּגְדֵי לָבָן, וְאַרְבַּע בִּגְדֵי זָהָב לְמַטְרוֹנִיתָא, דְאִתְּמַר בָּהּ </w:t>
      </w:r>
      <w:r>
        <w:rPr>
          <w:sz w:val="20"/>
          <w:szCs w:val="23"/>
          <w:rtl/>
        </w:rPr>
        <w:t>(תהלים מה יד)</w:t>
      </w:r>
      <w:r>
        <w:rPr>
          <w:rtl/>
        </w:rPr>
        <w:t xml:space="preserve"> כָּל כְּבוּדָּה בַת מֶלֶךְ פְּנִימָה מִמִּשְׁבְּצוֹת זָהָב לְבוּשָׁהּ.</w:t>
      </w:r>
    </w:p>
    <w:p w:rsidR="00D45634" w:rsidRDefault="00D45634" w:rsidP="00B17EA9">
      <w:pPr>
        <w:pStyle w:val="NormalWeb"/>
        <w:rPr>
          <w:rtl/>
        </w:rPr>
      </w:pPr>
      <w:r>
        <w:rPr>
          <w:rtl/>
        </w:rPr>
        <w:t>אַרְבַּע בִּגְדֵי לָבָן כֻּלְּהוּ רַחֲמֵי בִּשְׁמָא דְיהו''ה, וְלֵית מָאן דְמָחִיל בְּהוֹן על עֶרְיָין אֶלָּא אִיהוּ, אַרְבַּע בִּגְדֵי זָהָב כֻּלְּהוּ דִינָא מִסִּטְרָא דְאדנ''י, וְלֵית מָאן דְּמָחִיל עַל עֲבוֹדָה זָרָה אֶלָּא אִיהִי, דְּשַׁלְטָאן שִׁפְחָה בַּאֲתַר דִּגְבִירְתָּהּ.</w:t>
      </w:r>
    </w:p>
    <w:p w:rsidR="00D45634" w:rsidRDefault="00D45634" w:rsidP="000D6746">
      <w:pPr>
        <w:pStyle w:val="NormalWeb"/>
        <w:spacing w:after="0"/>
        <w:rPr>
          <w:rtl/>
        </w:rPr>
      </w:pPr>
      <w:r>
        <w:rPr>
          <w:rStyle w:val="a7"/>
          <w:rtl/>
        </w:rPr>
        <w:footnoteReference w:id="144"/>
      </w:r>
      <w:r>
        <w:rPr>
          <w:rtl/>
        </w:rPr>
        <w:t xml:space="preserve">כִּשְׁמֵיהּ כֵּן כָּרְסְיֵיהּ, </w:t>
      </w:r>
      <w:r>
        <w:rPr>
          <w:rStyle w:val="a7"/>
          <w:rtl/>
        </w:rPr>
        <w:footnoteReference w:id="145"/>
      </w:r>
      <w:r>
        <w:rPr>
          <w:rtl/>
        </w:rPr>
        <w:t xml:space="preserve">כֵּן לְבוּשֵׁיהּ, וּבְאִלֵּין לְבוּשִׁין לָא אִתְלַבַּשׁ עַד כְּעַן מִיּוֹמָא דְאִתְחֲרַב בֵּי מַקְדְּשָׁא, דְּהָא כְתִיב </w:t>
      </w:r>
      <w:r>
        <w:rPr>
          <w:sz w:val="20"/>
          <w:szCs w:val="23"/>
          <w:rtl/>
        </w:rPr>
        <w:t>(ישעיה נ ג)</w:t>
      </w:r>
      <w:r>
        <w:rPr>
          <w:rtl/>
        </w:rPr>
        <w:t xml:space="preserve"> אַלְבִּישׁ שָׁמַיִם קַדְרוּת, וּשְׁכִינְתָּא אִתְּמַר בָּהּ </w:t>
      </w:r>
      <w:r>
        <w:rPr>
          <w:sz w:val="20"/>
          <w:szCs w:val="23"/>
          <w:rtl/>
        </w:rPr>
        <w:t>(שיר א ו)</w:t>
      </w:r>
      <w:r>
        <w:rPr>
          <w:rtl/>
        </w:rPr>
        <w:t xml:space="preserve"> אַל תִּרְאוּנִי שֶׁאֲנִי שְׁחַרְחוֹרֶת, בְּגִין דְּאִיהִי בְּגָלוּתָא, וְכָרְסַיָּא דִילָהּ פְּגִימָא בְּחוֹבִין דְּיִשְׂרָאֵל, </w:t>
      </w:r>
      <w:r>
        <w:rPr>
          <w:rStyle w:val="a7"/>
          <w:rtl/>
        </w:rPr>
        <w:footnoteReference w:id="146"/>
      </w:r>
      <w:r>
        <w:rPr>
          <w:rtl/>
        </w:rPr>
        <w:t xml:space="preserve">דְּתַמָּן נִשְׁמָתִין דְּיִשְׂרָאֵל, וּבְגִין דָּא זַכָּאָה אִיהוּ מָאן דְּתַקִּין לָהּ כָּרְסַיָּא בִּצְלוֹתָא דִילֵיהּ, בְּפִקּוּדִין דִּילֵיהּ, בָּתַר דְּאִיהוּ כָּרְסַיָּיא פָּגִים בְּגִינַיְהוּ, </w:t>
      </w:r>
      <w:r>
        <w:rPr>
          <w:rStyle w:val="a7"/>
          <w:rtl/>
        </w:rPr>
        <w:footnoteReference w:id="147"/>
      </w:r>
      <w:r>
        <w:rPr>
          <w:rtl/>
        </w:rPr>
        <w:t xml:space="preserve">וְאִסְתַּלַּק שֵׁם יהו''ה מִתַּמָּן, דְּאִיהוּ לָא שַׁרְיָא בַּאֲתַר פָּגִים, הֲדָא הוּא דִכְתִיב </w:t>
      </w:r>
      <w:r>
        <w:rPr>
          <w:sz w:val="20"/>
          <w:szCs w:val="23"/>
          <w:rtl/>
        </w:rPr>
        <w:t>(ויקרא כא כא)</w:t>
      </w:r>
      <w:r>
        <w:rPr>
          <w:rtl/>
        </w:rPr>
        <w:t xml:space="preserve"> כָּל אִישׁ אֲשֶׁר בּוֹ מוּם לֹא יִקְרָב, אוּף הָכִי בְּנִשְׁמָתָא פְּגִימָא לָא שַׁרְיָא.</w:t>
      </w:r>
    </w:p>
    <w:p w:rsidR="00D45634" w:rsidRDefault="00D45634" w:rsidP="000D6746">
      <w:pPr>
        <w:pStyle w:val="NormalWeb"/>
        <w:spacing w:after="0"/>
        <w:rPr>
          <w:rtl/>
        </w:rPr>
      </w:pPr>
      <w:r>
        <w:rPr>
          <w:rtl/>
        </w:rPr>
        <w:lastRenderedPageBreak/>
        <w:t xml:space="preserve">זַכָּאָה אִיהוּ מָאן דְּאַשְׁלִים נִשְׁמָתֵיהּ, לְשַׁרְיָא בֵּיהּ שֵׁם יהו''ה, וְעָבִיד לֵיהּ כָּרְסַיָּא לְגַבֵּיהּ, וְזַכָּאָה פּוּמָא דְמִתְחַבֵּר בָּהּ קוּדְשָׁא בְּרִיךְ הוּא עִם שְׁכִינְתֵּיהּ דְאִיהיּ תּוֹרַת יהו''ה, וְזַכָּאָה אִיהוּ מָאן דְלָבִישׁ מַלְכָּא וּמַטְרוֹנִיתָא בַּעֲשַׂר סְפִירָן דִּבְּרִיאָה, </w:t>
      </w:r>
      <w:r>
        <w:rPr>
          <w:rStyle w:val="a7"/>
          <w:rtl/>
        </w:rPr>
        <w:footnoteReference w:id="148"/>
      </w:r>
      <w:r>
        <w:rPr>
          <w:rtl/>
        </w:rPr>
        <w:t>דִכְלִילָן בְּשֵׁם יאהדונה''י, כִּשְׁמֵיהּ כֵּן לְבוּשׁוֹהִי.</w:t>
      </w:r>
    </w:p>
    <w:p w:rsidR="00D45634" w:rsidRDefault="00D45634" w:rsidP="000D6746">
      <w:pPr>
        <w:pStyle w:val="NormalWeb"/>
        <w:spacing w:after="0"/>
        <w:rPr>
          <w:rtl/>
        </w:rPr>
      </w:pPr>
      <w:r>
        <w:rPr>
          <w:rtl/>
        </w:rPr>
        <w:t xml:space="preserve">וּמָאן דְּתַקִּין לֵיהּ סוּסְיָא, דְאִתְּמַר בָּהּ </w:t>
      </w:r>
      <w:r>
        <w:rPr>
          <w:sz w:val="20"/>
          <w:szCs w:val="23"/>
          <w:rtl/>
        </w:rPr>
        <w:t>(שיר א ט)</w:t>
      </w:r>
      <w:r>
        <w:rPr>
          <w:rtl/>
        </w:rPr>
        <w:t xml:space="preserve"> לְסוּסָתִי בְּרִכְבֵי פַרְעֹה דִמִּיתִיךְ רַעְיָתִי, דְאִיהִי מֶרְכָּבָה דִילֵיהּ, דִּבְיוֹמֵי דְשַׁבָּתוֹת וְיָמִים טוֹבִים אִיהוּ לָביּשׁ לְבוּשֵׁי מַלְכוּתָא, דְאִינוּן עֶשֶׂר סְפִירוֹת דִּבְּרִיאָה, וּבְיוֹמֵי דְחוֹל לָבִישׁ עֶשֶׂר כִּתּוֹת דְּמַלְאָכַיָּא, דִמְשַׁמְּשֵׁי לוֹן לַעֲשַׂר סְפִירָן דִּבְּרִיאָה.</w:t>
      </w:r>
    </w:p>
    <w:p w:rsidR="00D45634" w:rsidRDefault="00D45634" w:rsidP="000D6746">
      <w:pPr>
        <w:pStyle w:val="NormalWeb"/>
        <w:spacing w:after="0"/>
        <w:rPr>
          <w:rtl/>
        </w:rPr>
      </w:pPr>
      <w:r>
        <w:rPr>
          <w:rtl/>
        </w:rPr>
        <w:t>דְּעֶשֶׂר סְפִירוֹת דַּאֲצִילוּת מַלְכָּא בְּהוֹן, אִיהוּ וְגַרְמֵיהּון חַד בְּהוֹן, אִינוּן וְחַיּיוי חַד בְּהוֹן, מַה דְּלַאו הָכִי בְּעֶשֶׂר סְפִירוֹת דִּבְּרִיאָה, דְלַאו אִינוּן וְחַיֵּיהוֹן חַד, לַאו אִינוּן וְגַרְמֵיהוֹן חַד.</w:t>
      </w:r>
    </w:p>
    <w:p w:rsidR="00D45634" w:rsidRDefault="00D45634" w:rsidP="000D6746">
      <w:pPr>
        <w:pStyle w:val="2"/>
        <w:spacing w:before="0"/>
        <w:rPr>
          <w:rtl/>
        </w:rPr>
      </w:pPr>
      <w:bookmarkStart w:id="18" w:name="_Toc228095572"/>
      <w:bookmarkStart w:id="19" w:name="_Toc231638010"/>
      <w:r>
        <w:rPr>
          <w:rtl/>
        </w:rPr>
        <w:t xml:space="preserve"> [תיקוני זוהר - דף ה ע''א (המסומן כדף ד יבוא לקמן, עיין בפתיחה)]</w:t>
      </w:r>
      <w:bookmarkEnd w:id="18"/>
      <w:bookmarkEnd w:id="19"/>
    </w:p>
    <w:p w:rsidR="00D45634" w:rsidRDefault="00D45634" w:rsidP="000D6746">
      <w:pPr>
        <w:pStyle w:val="NormalWeb"/>
        <w:spacing w:after="0"/>
        <w:rPr>
          <w:rtl/>
        </w:rPr>
      </w:pPr>
      <w:r>
        <w:rPr>
          <w:rStyle w:val="a7"/>
          <w:rtl/>
        </w:rPr>
        <w:footnoteReference w:id="149"/>
      </w:r>
      <w:r>
        <w:rPr>
          <w:rtl/>
        </w:rPr>
        <w:t xml:space="preserve">וְעִלַּת עַל כֹּלָּא הוּא נָהִיר </w:t>
      </w:r>
      <w:r>
        <w:rPr>
          <w:sz w:val="20"/>
          <w:szCs w:val="23"/>
          <w:rtl/>
        </w:rPr>
        <w:t>(נ''א נחית)</w:t>
      </w:r>
      <w:r>
        <w:rPr>
          <w:rtl/>
        </w:rPr>
        <w:t xml:space="preserve"> בְּעֶשֶׂר סְפִירוֹת דַּאֲצִילוּת, וּבְעֶשֶׂר סְפִירוֹת דִּבְּרִיאָה, וְנָהִיר בְּעֶשֶׂר כִּתּוֹת דְּמַלְאָכַיָּא, וּבְעֶשֶׂר גַּלְגַּלֵּי דִרְקִיעָא, וְלָא אִשְׁתַּנִּי בְכָל אֲתַר. </w:t>
      </w:r>
      <w:r>
        <w:rPr>
          <w:sz w:val="20"/>
          <w:szCs w:val="23"/>
          <w:rtl/>
        </w:rPr>
        <w:t xml:space="preserve">(דף ה ע''א)  </w:t>
      </w:r>
      <w:r>
        <w:rPr>
          <w:rtl/>
        </w:rPr>
        <w:t xml:space="preserve">וְאִיהוּ אַסְחַר לוֹן לְכָל סְטַר, דְלָא מִתְפַּשְּׁטִין יַתִּיר מִגְּבוּל דְּשַׁוִּי לְכָל חַד, וּמִדָּה דְשַׁוִּי לְכָל חַד, וְכֻלְּהוּ בִּרְשׁוּ דִילֵיהּ </w:t>
      </w:r>
      <w:r>
        <w:rPr>
          <w:rStyle w:val="a7"/>
          <w:rtl/>
        </w:rPr>
        <w:footnoteReference w:id="150"/>
      </w:r>
      <w:r>
        <w:rPr>
          <w:rtl/>
        </w:rPr>
        <w:t>בִּרְשׁוּת הַיָּחִיד.</w:t>
      </w:r>
    </w:p>
    <w:p w:rsidR="00D45634" w:rsidRDefault="00D45634" w:rsidP="000D6746">
      <w:pPr>
        <w:pStyle w:val="NormalWeb"/>
        <w:spacing w:after="0"/>
        <w:rPr>
          <w:rtl/>
        </w:rPr>
      </w:pPr>
      <w:r>
        <w:rPr>
          <w:rtl/>
        </w:rPr>
        <w:t xml:space="preserve">אדנ''י מֶרְכָּבָה לְיהו''ה, וּבָהּ אִתְעַטַּף, וְאוּף הָכִי אהי''ה אִתְעַטַּף בְּיהו''ה לְמִבְרֵי עָלְמָא, דשֵׁם יהו''ה אִיהוּ מֶרְכָּבָה לְמָארֵיהּ לְכֶתֶר עִלָּאָה </w:t>
      </w:r>
      <w:r>
        <w:rPr>
          <w:sz w:val="20"/>
          <w:szCs w:val="23"/>
          <w:rtl/>
        </w:rPr>
        <w:t>(דהוא שם אקי"ק)</w:t>
      </w:r>
      <w:r>
        <w:rPr>
          <w:rtl/>
        </w:rPr>
        <w:t xml:space="preserve">, </w:t>
      </w:r>
      <w:r>
        <w:rPr>
          <w:rStyle w:val="a7"/>
          <w:rtl/>
        </w:rPr>
        <w:footnoteReference w:id="151"/>
      </w:r>
      <w:r>
        <w:rPr>
          <w:rtl/>
        </w:rPr>
        <w:t xml:space="preserve">וּבְגִין דָּא </w:t>
      </w:r>
      <w:r>
        <w:rPr>
          <w:sz w:val="20"/>
          <w:szCs w:val="23"/>
          <w:rtl/>
        </w:rPr>
        <w:t>(ש''א ב ב)</w:t>
      </w:r>
      <w:r>
        <w:rPr>
          <w:rtl/>
        </w:rPr>
        <w:t xml:space="preserve"> אֵין קָדוֹשׁ כַּיהו''ה, עִלַּת עַל כֹּלָּא טָמִיר וְגָנִיז בְּכֶתֶר, וּמִנֵּיהּ אִתְפַּשַּׁט נְהוֹרֵיהּ עַל יהו''ה, דְּאִיהוּ י' חָכְמָה, ה' בִּינָה, ו' כְּלִיל שִׁית סְפִירָן, ה' מַלְכוּת, וְהַאי אִיהוּ אִתְפַּשְׁטוּתא מֵעִילָא לְתַתָּא, וְאוּף הָכִי אִתְפַּשַּׁט נְהוֹרֵיהּ עַל י' מִן אדנ''י מִתַּתָּא לְעִילָא, דָּא כ' מִן כֶּתֶר.</w:t>
      </w:r>
    </w:p>
    <w:p w:rsidR="00D45634" w:rsidRDefault="00D45634" w:rsidP="000D6746">
      <w:pPr>
        <w:pStyle w:val="NormalWeb"/>
        <w:spacing w:after="0"/>
        <w:rPr>
          <w:rtl/>
        </w:rPr>
      </w:pPr>
      <w:r>
        <w:rPr>
          <w:rStyle w:val="a7"/>
          <w:rtl/>
        </w:rPr>
        <w:footnoteReference w:id="152"/>
      </w:r>
      <w:r>
        <w:rPr>
          <w:rtl/>
        </w:rPr>
        <w:t xml:space="preserve">וּמָארֵי דְכֹלָּא לֵית בֵּיהּ צִיּוּר דְּאוֹת וּנְקוּדָה, הֲדָא הוּא דִכְתִיב </w:t>
      </w:r>
      <w:r>
        <w:rPr>
          <w:sz w:val="20"/>
          <w:szCs w:val="23"/>
          <w:rtl/>
        </w:rPr>
        <w:t>(ישעיה מ יח כה)</w:t>
      </w:r>
      <w:r>
        <w:rPr>
          <w:rtl/>
        </w:rPr>
        <w:t xml:space="preserve"> וְאֶל מִי תְדַמְּיוּנִי וְאֶשְׁוְה, וְאֶל מִי תְּדַמְּיוּן אֵ''ל, וּמַה דְּמוּת תַּעַרְכוּ לוֹ.</w:t>
      </w:r>
    </w:p>
    <w:p w:rsidR="00D45634" w:rsidRDefault="00D45634" w:rsidP="00B17EA9">
      <w:pPr>
        <w:pStyle w:val="NormalWeb"/>
        <w:rPr>
          <w:rtl/>
        </w:rPr>
      </w:pPr>
      <w:r>
        <w:rPr>
          <w:rtl/>
        </w:rPr>
        <w:t xml:space="preserve">אִיהוּ צִיֵּיר בִּתְרֵין אַתְוָון תְּרֵין עָלְמִין, </w:t>
      </w:r>
      <w:r>
        <w:rPr>
          <w:rStyle w:val="a7"/>
          <w:rtl/>
        </w:rPr>
        <w:footnoteReference w:id="153"/>
      </w:r>
      <w:r>
        <w:rPr>
          <w:rtl/>
        </w:rPr>
        <w:t xml:space="preserve">בְּאָת י' צִיֵּיר עָלְמָא דְאָתֵי, וּבְאָת ה' עָלְמָא דֵין, הֲדָא הוּא דִכְתִיב </w:t>
      </w:r>
      <w:r>
        <w:rPr>
          <w:sz w:val="20"/>
          <w:szCs w:val="23"/>
          <w:rtl/>
        </w:rPr>
        <w:t>(שם כו ד)</w:t>
      </w:r>
      <w:r>
        <w:rPr>
          <w:rtl/>
        </w:rPr>
        <w:t xml:space="preserve"> כִּי בְּיָ''הּ יהו''ה צוּר עוֹלָמִים.</w:t>
      </w:r>
    </w:p>
    <w:p w:rsidR="00D45634" w:rsidRDefault="00D45634" w:rsidP="000D6746">
      <w:pPr>
        <w:pStyle w:val="NormalWeb"/>
        <w:spacing w:after="0"/>
        <w:rPr>
          <w:rtl/>
        </w:rPr>
      </w:pPr>
      <w:r>
        <w:rPr>
          <w:rStyle w:val="a7"/>
          <w:rtl/>
        </w:rPr>
        <w:footnoteReference w:id="154"/>
      </w:r>
      <w:r>
        <w:rPr>
          <w:rtl/>
        </w:rPr>
        <w:t xml:space="preserve">וּמְקוֹרִין דְּכָל שְׁמָהָן אִינוּן יו''ד ה''י וא''ו ה''י, יהו''ה, יו''ד ה''א וא''ו ה''א, יהו''ה, כָּל יוּ''ד אִיהִי אַחֲזֵי יהו''ה, כָּל א' אַחֲזֵי אהי''ה לְעִילָא, אדנ''י לְתַתָּא, </w:t>
      </w:r>
      <w:r>
        <w:rPr>
          <w:rStyle w:val="a7"/>
          <w:rtl/>
        </w:rPr>
        <w:footnoteReference w:id="155"/>
      </w:r>
      <w:r>
        <w:rPr>
          <w:rtl/>
        </w:rPr>
        <w:t xml:space="preserve">הָכָא שֵׁם יהו''ה אִיהוּ בְּכִנּוּיֵיהּ חַד, בְּגִין דְּמִנֵּיהּ אִשְׁתַּכַּח כִּנּוּיֵיהּ, אֲבָל מִסִּטְרָא דַעֲשַׂר סְפִירָן דִּבְּרִיאָה, לַאו שֵׁם יהו''ה וְכִנּוּיֵיהּ חַד, הֲדָא הוּא דִכְתִיב </w:t>
      </w:r>
      <w:r>
        <w:rPr>
          <w:sz w:val="20"/>
          <w:szCs w:val="23"/>
          <w:rtl/>
        </w:rPr>
        <w:t>(שם מג ז)</w:t>
      </w:r>
      <w:r>
        <w:rPr>
          <w:rtl/>
        </w:rPr>
        <w:t xml:space="preserve"> כֹּל הַנִּקְרָא בִשְׁמִי וְלִכְבוֹדִי בְּרָאתִיו וכו', וְאוֹקְמוּהוּ רַבָּנָן דְּמַתְנִיתִין אֵין כָּבוֹד אֶלָּא תּוֹרָה. וְאִית כָּבוֹד נִבְרָא, וְאִית כָּבוֹד נֶאֱצָל, וְאִית אוֹרַיְיתָא דִבְרִיאָה, וְאוֹרַיְיתָא דַאֲצִילוּת. אוֹרַיְיתָא דִבְּרִיאָה, יהו''ה קָנָנִי </w:t>
      </w:r>
      <w:r>
        <w:rPr>
          <w:rStyle w:val="a7"/>
          <w:rtl/>
        </w:rPr>
        <w:footnoteReference w:id="156"/>
      </w:r>
      <w:r>
        <w:rPr>
          <w:rtl/>
        </w:rPr>
        <w:t xml:space="preserve">רֵאשִׁית דַּרְכּוֹ </w:t>
      </w:r>
      <w:r>
        <w:rPr>
          <w:sz w:val="20"/>
          <w:szCs w:val="23"/>
          <w:rtl/>
        </w:rPr>
        <w:t>(משלי ח כב)</w:t>
      </w:r>
      <w:r>
        <w:rPr>
          <w:rtl/>
        </w:rPr>
        <w:t xml:space="preserve">, וְאוֹרַיְיתָא דַאֲצִילוּת </w:t>
      </w:r>
      <w:r>
        <w:rPr>
          <w:rStyle w:val="a7"/>
          <w:rtl/>
        </w:rPr>
        <w:footnoteReference w:id="157"/>
      </w:r>
      <w:r>
        <w:rPr>
          <w:rtl/>
        </w:rPr>
        <w:t xml:space="preserve">תּוֹרַת יהו''ה תְּמִימָה </w:t>
      </w:r>
      <w:r>
        <w:rPr>
          <w:sz w:val="20"/>
          <w:szCs w:val="23"/>
          <w:rtl/>
        </w:rPr>
        <w:t>(תהלים יט ח)</w:t>
      </w:r>
      <w:r>
        <w:rPr>
          <w:rtl/>
        </w:rPr>
        <w:t xml:space="preserve">. מִסִּטְרָא דְאוֹרַיְיתָא דִבְּרִיאָה, אִתְּמַר בְּיִשְׂרָאֵל </w:t>
      </w:r>
      <w:r>
        <w:rPr>
          <w:sz w:val="20"/>
          <w:szCs w:val="23"/>
          <w:rtl/>
        </w:rPr>
        <w:t>(ויקרא כה נה)</w:t>
      </w:r>
      <w:r>
        <w:rPr>
          <w:rtl/>
        </w:rPr>
        <w:t xml:space="preserve"> כִּי לִי בְנֵי יִשְׂרָאֵל עֲבָדִים, וּמִסִּטְרָא דַאֲצִילוּת, בָּנִים אַתֶּם לַיהו''ה וְגוֹמֵר </w:t>
      </w:r>
      <w:r>
        <w:rPr>
          <w:sz w:val="20"/>
          <w:szCs w:val="23"/>
          <w:rtl/>
        </w:rPr>
        <w:t>(דברים יד א)</w:t>
      </w:r>
      <w:r>
        <w:rPr>
          <w:rtl/>
        </w:rPr>
        <w:t xml:space="preserve">. </w:t>
      </w:r>
      <w:r>
        <w:rPr>
          <w:rStyle w:val="a7"/>
          <w:rtl/>
        </w:rPr>
        <w:footnoteReference w:id="158"/>
      </w:r>
      <w:r>
        <w:rPr>
          <w:rtl/>
        </w:rPr>
        <w:t>מֵהָכָא דְּאִית סְפִירוֹת דאִתְקְרִיאוּ בְשֵׁם יהו''ה, וּבְשֵׁם אדנ''י, וְאִנּוּן אִתְבְּרִיאוּ.</w:t>
      </w:r>
    </w:p>
    <w:p w:rsidR="00D45634" w:rsidRDefault="00D45634" w:rsidP="000D6746">
      <w:pPr>
        <w:pStyle w:val="2"/>
        <w:spacing w:before="0"/>
        <w:rPr>
          <w:rtl/>
        </w:rPr>
      </w:pPr>
      <w:bookmarkStart w:id="20" w:name="_Toc228095573"/>
      <w:bookmarkStart w:id="21" w:name="_Toc231638011"/>
      <w:r>
        <w:rPr>
          <w:rtl/>
        </w:rPr>
        <w:lastRenderedPageBreak/>
        <w:t>[תיקוני זוהר - דף ה ע''ב]</w:t>
      </w:r>
      <w:bookmarkEnd w:id="20"/>
      <w:bookmarkEnd w:id="21"/>
    </w:p>
    <w:p w:rsidR="00D45634" w:rsidRDefault="00D45634" w:rsidP="000D6746">
      <w:pPr>
        <w:pStyle w:val="NormalWeb"/>
        <w:spacing w:after="0"/>
        <w:rPr>
          <w:rtl/>
        </w:rPr>
      </w:pPr>
      <w:r>
        <w:rPr>
          <w:rtl/>
        </w:rPr>
        <w:t xml:space="preserve">וּבְגִין דָּא </w:t>
      </w:r>
      <w:r>
        <w:rPr>
          <w:rStyle w:val="a7"/>
          <w:rtl/>
        </w:rPr>
        <w:footnoteReference w:id="159"/>
      </w:r>
      <w:r>
        <w:rPr>
          <w:rtl/>
        </w:rPr>
        <w:t xml:space="preserve">אִית שְׁמָהָן דַּמְיָין לְחוֹתָמָא דְמַלְכָּא, דִבְהוֹן אִשְׁתְּמוֹדָע דִּיּוֹקְנָא דְמַלְכָּא וּמַטְרוֹנִיתָא צִיּוּרָא מַמָּשׁ, </w:t>
      </w:r>
      <w:r>
        <w:rPr>
          <w:rStyle w:val="a7"/>
          <w:rtl/>
        </w:rPr>
        <w:footnoteReference w:id="160"/>
      </w:r>
      <w:r>
        <w:rPr>
          <w:rtl/>
        </w:rPr>
        <w:t xml:space="preserve">וְאִית שְׁמָהָן דְּאִינוּן כְּגַוְונָא דִרְשִׁימוּ דְצִיּוּרָא דְחוֹתָמָא בְּשַׁעֲוָה, וְהָכִי דְחִילִין מֵהַהוּא רְשִׁימוּ כְּאִילוּ הֲוָה מַלְכָּא מַמָּשׁ, אֲבָל אָדוֹן עַל כֹּלָּא </w:t>
      </w:r>
      <w:r w:rsidRPr="00EF3849">
        <w:rPr>
          <w:rStyle w:val="30"/>
          <w:sz w:val="20"/>
          <w:szCs w:val="20"/>
          <w:rtl/>
        </w:rPr>
        <w:t>(דף ה ע''ב)</w:t>
      </w:r>
      <w:r>
        <w:rPr>
          <w:sz w:val="20"/>
          <w:szCs w:val="23"/>
          <w:rtl/>
        </w:rPr>
        <w:t xml:space="preserve"> </w:t>
      </w:r>
      <w:r>
        <w:rPr>
          <w:rtl/>
        </w:rPr>
        <w:t xml:space="preserve">לֵית לֵיהּ מִכָּל אִלֵּין צִיּוּרִין כְּלָל, הֲדָא הוּא דִכְתִיב </w:t>
      </w:r>
      <w:r>
        <w:rPr>
          <w:sz w:val="20"/>
          <w:szCs w:val="23"/>
          <w:rtl/>
        </w:rPr>
        <w:t>(שם מ יח)</w:t>
      </w:r>
      <w:r>
        <w:rPr>
          <w:rtl/>
        </w:rPr>
        <w:t xml:space="preserve"> וְאֶל מִי תְּדַמְּיוּן אֵ''ל וכו'.</w:t>
      </w:r>
    </w:p>
    <w:p w:rsidR="00D45634" w:rsidRDefault="00D45634" w:rsidP="000D6746">
      <w:pPr>
        <w:pStyle w:val="NormalWeb"/>
        <w:spacing w:after="0"/>
        <w:rPr>
          <w:rtl/>
        </w:rPr>
      </w:pPr>
      <w:r>
        <w:rPr>
          <w:rtl/>
        </w:rPr>
        <w:t xml:space="preserve">וּמִסִּטְרָא דְצִיּוּרִין דְּשַׁעֲוָה, חָמָא יְחֶזְקֵאל כָּל אִלֵּין מַרְאוֹת דְּחָמָא, וּבְגִין דָּא אִתְּמַר בְּהוֹן </w:t>
      </w:r>
      <w:r>
        <w:rPr>
          <w:sz w:val="20"/>
          <w:szCs w:val="23"/>
          <w:rtl/>
        </w:rPr>
        <w:t>(יחזקאל א כו)</w:t>
      </w:r>
      <w:r>
        <w:rPr>
          <w:rtl/>
        </w:rPr>
        <w:t xml:space="preserve"> </w:t>
      </w:r>
      <w:r>
        <w:rPr>
          <w:rStyle w:val="a7"/>
          <w:rtl/>
        </w:rPr>
        <w:footnoteReference w:id="161"/>
      </w:r>
      <w:r>
        <w:rPr>
          <w:rtl/>
        </w:rPr>
        <w:t xml:space="preserve">וּדְמוּת כְּמַרְאֵה אָדָם, וְלָא מַרְאֵה אָדָם מַמָּשׁ, כְּמַרְאֵה חַשְׁמַ''ל וְלָא חַשְׁמַ''ל, כְּמַרְאֵה אֵשׁ בֵּית לָהּ סָבִיב, </w:t>
      </w:r>
      <w:r>
        <w:rPr>
          <w:rStyle w:val="a7"/>
          <w:rtl/>
        </w:rPr>
        <w:footnoteReference w:id="162"/>
      </w:r>
      <w:r>
        <w:rPr>
          <w:rtl/>
        </w:rPr>
        <w:t>הוּא מַרְאֵה דְּמוּת כְּבוֹד יְיָ', וְלָא כְּבוֹד יְיָ' מַמָּשׁ, אֶלָּא מַרְאֵה צִיּוּר דִּילֵיהּ.</w:t>
      </w:r>
    </w:p>
    <w:p w:rsidR="00D45634" w:rsidRDefault="00D45634" w:rsidP="000D6746">
      <w:pPr>
        <w:pStyle w:val="2"/>
        <w:spacing w:before="0"/>
        <w:rPr>
          <w:rtl/>
        </w:rPr>
      </w:pPr>
      <w:r>
        <w:rPr>
          <w:rtl/>
        </w:rPr>
        <w:t>[תיקוני זוהר - המשך דף ג ע''ב]</w:t>
      </w:r>
    </w:p>
    <w:p w:rsidR="00D45634" w:rsidRDefault="00D45634" w:rsidP="000D6746">
      <w:pPr>
        <w:pStyle w:val="NormalWeb"/>
        <w:spacing w:after="0"/>
        <w:rPr>
          <w:rtl/>
        </w:rPr>
      </w:pPr>
      <w:r w:rsidRPr="00EF3849">
        <w:rPr>
          <w:rStyle w:val="30"/>
          <w:sz w:val="20"/>
          <w:szCs w:val="20"/>
          <w:rtl/>
        </w:rPr>
        <w:t>(המשך דף ג ע''ב)</w:t>
      </w:r>
      <w:r>
        <w:rPr>
          <w:sz w:val="20"/>
          <w:szCs w:val="23"/>
          <w:rtl/>
        </w:rPr>
        <w:t xml:space="preserve"> </w:t>
      </w:r>
      <w:r>
        <w:rPr>
          <w:rtl/>
        </w:rPr>
        <w:t xml:space="preserve">קוּם יְחֶזְקֵאל נְבִיאָה, לְגַלָּאָה </w:t>
      </w:r>
      <w:r>
        <w:rPr>
          <w:rStyle w:val="a7"/>
          <w:rtl/>
        </w:rPr>
        <w:footnoteReference w:id="163"/>
      </w:r>
      <w:r>
        <w:rPr>
          <w:rtl/>
        </w:rPr>
        <w:t xml:space="preserve">אִלֵּין מַרְאוֹת קַמֵּי שְׁכִינְתָּא, דְּאִתְּמַר בְּהוֹן </w:t>
      </w:r>
      <w:r>
        <w:rPr>
          <w:sz w:val="20"/>
          <w:szCs w:val="23"/>
          <w:rtl/>
        </w:rPr>
        <w:t>(יחזקאל א יג)</w:t>
      </w:r>
      <w:r>
        <w:rPr>
          <w:rtl/>
        </w:rPr>
        <w:t xml:space="preserve"> וּדְמוּת הַחַיּוֹת מַרְאֵיהֶם כְּגַחֲלֵי אֵשׁ, בְּנִקּוּדֵי אוֹרַיְיתָא וְטַעֲמֵי דְאוֹרַיְיתָא, </w:t>
      </w:r>
      <w:r>
        <w:rPr>
          <w:rStyle w:val="a7"/>
          <w:rtl/>
        </w:rPr>
        <w:footnoteReference w:id="164"/>
      </w:r>
      <w:r>
        <w:rPr>
          <w:rtl/>
        </w:rPr>
        <w:t xml:space="preserve">דַעֲלַיְיהוּ דְאַתְוָון אִתְּמַר </w:t>
      </w:r>
      <w:r>
        <w:rPr>
          <w:sz w:val="20"/>
          <w:szCs w:val="23"/>
          <w:rtl/>
        </w:rPr>
        <w:t>(שם)</w:t>
      </w:r>
      <w:r>
        <w:rPr>
          <w:rtl/>
        </w:rPr>
        <w:t xml:space="preserve"> וּדְמוּת הַחַיּוֹת, </w:t>
      </w:r>
      <w:r>
        <w:rPr>
          <w:rStyle w:val="a7"/>
          <w:rtl/>
        </w:rPr>
        <w:footnoteReference w:id="165"/>
      </w:r>
      <w:r>
        <w:rPr>
          <w:rtl/>
        </w:rPr>
        <w:t xml:space="preserve">מַרְאֵיהֶם כְּגַחֲלֵי אֵשׁ אִלֵּין אִינוּן נְקוּדִין, בּוֹעֲרוֹת כְּמַרְאֵה הַלַּפִּידִים אִלֵּין טַעֲמֵי, </w:t>
      </w:r>
      <w:r>
        <w:rPr>
          <w:rStyle w:val="a7"/>
          <w:rtl/>
        </w:rPr>
        <w:footnoteReference w:id="166"/>
      </w:r>
      <w:r>
        <w:rPr>
          <w:rtl/>
        </w:rPr>
        <w:t xml:space="preserve">וּבְהוֹן </w:t>
      </w:r>
      <w:r>
        <w:rPr>
          <w:sz w:val="20"/>
          <w:szCs w:val="23"/>
          <w:rtl/>
        </w:rPr>
        <w:t>(דניאל יב ג)</w:t>
      </w:r>
      <w:r>
        <w:rPr>
          <w:rtl/>
        </w:rPr>
        <w:t xml:space="preserve"> וְהַמַּשְׂכִּילִים יַזְהִירוּ כְּזֹהַר הָרָקִיעַ, וְהַמַּשְׂכִּילִים אִלֵּין אַתְוָון, יַזְהִירוּ אִלֵּין נְקוּדִין דְּנָהֲרִין בְּהוֹן, כְּזֹהַר אִלֵּין טַעֲמֵי.</w:t>
      </w:r>
    </w:p>
    <w:p w:rsidR="00D45634" w:rsidRDefault="00D45634" w:rsidP="000D6746">
      <w:pPr>
        <w:pStyle w:val="2"/>
        <w:spacing w:before="0"/>
        <w:jc w:val="right"/>
        <w:rPr>
          <w:rtl/>
        </w:rPr>
      </w:pPr>
      <w:r>
        <w:rPr>
          <w:rtl/>
        </w:rPr>
        <w:t>[</w:t>
      </w:r>
      <w:r w:rsidR="000D6746">
        <w:rPr>
          <w:rFonts w:hint="cs"/>
          <w:rtl/>
        </w:rPr>
        <w:t>וילנא</w:t>
      </w:r>
      <w:r>
        <w:rPr>
          <w:rtl/>
        </w:rPr>
        <w:t xml:space="preserve"> דף </w:t>
      </w:r>
      <w:r w:rsidR="000D6746">
        <w:rPr>
          <w:rFonts w:hint="cs"/>
          <w:rtl/>
        </w:rPr>
        <w:t>ה</w:t>
      </w:r>
      <w:r>
        <w:rPr>
          <w:rtl/>
        </w:rPr>
        <w:t xml:space="preserve"> ע''א]</w:t>
      </w:r>
    </w:p>
    <w:p w:rsidR="00D45634" w:rsidRDefault="00D45634" w:rsidP="000D6746">
      <w:pPr>
        <w:pStyle w:val="NormalWeb"/>
        <w:rPr>
          <w:rtl/>
        </w:rPr>
      </w:pPr>
      <w:r>
        <w:rPr>
          <w:rtl/>
        </w:rPr>
        <w:t xml:space="preserve">וּשְׁכִינְתָּא כְּלִילָא מִכֻּלְּהוּ, עֲלָהּ אִתְּמַר </w:t>
      </w:r>
      <w:r>
        <w:rPr>
          <w:sz w:val="20"/>
          <w:szCs w:val="23"/>
          <w:rtl/>
        </w:rPr>
        <w:t>(יחזקאל א יג)</w:t>
      </w:r>
      <w:r>
        <w:rPr>
          <w:rtl/>
        </w:rPr>
        <w:t xml:space="preserve"> הִיא מִתְהַלֶּכֶת בֵּין הַחַיּוֹת, דְּאִינוּן חֵיוָן עִלָּאִין דִּנְקוּדֶי דְּטַעֲמֵי, וְחֵיוָון תַּתָּאִין דִּנְקוּדֵי דְאַתְוָון, כְּגַוְונָא דָא הֶֹ, וְאִנּוּן סֶגּוֹלְתָּ''א לְעִילָא תְּלַת </w:t>
      </w:r>
      <w:r>
        <w:rPr>
          <w:rStyle w:val="a7"/>
          <w:rtl/>
        </w:rPr>
        <w:footnoteReference w:id="167"/>
      </w:r>
      <w:r>
        <w:rPr>
          <w:rtl/>
        </w:rPr>
        <w:t xml:space="preserve">חֵיוָון עִילָאֵין, </w:t>
      </w:r>
      <w:r>
        <w:rPr>
          <w:rStyle w:val="a7"/>
          <w:rtl/>
        </w:rPr>
        <w:footnoteReference w:id="168"/>
      </w:r>
      <w:r>
        <w:rPr>
          <w:rtl/>
        </w:rPr>
        <w:t xml:space="preserve">דִרְמִיזִין י' י' י' בְּרָאשֵׁי תֵּיבוֹת יהו''ה יהו''ה יהו''ה, </w:t>
      </w:r>
      <w:r w:rsidRPr="000D6746">
        <w:rPr>
          <w:rStyle w:val="20"/>
          <w:rtl/>
        </w:rPr>
        <w:t>(</w:t>
      </w:r>
      <w:r w:rsidR="000D6746" w:rsidRPr="000D6746">
        <w:rPr>
          <w:rStyle w:val="20"/>
          <w:rFonts w:hint="cs"/>
          <w:rtl/>
        </w:rPr>
        <w:t>וילנא</w:t>
      </w:r>
      <w:r w:rsidRPr="000D6746">
        <w:rPr>
          <w:rStyle w:val="20"/>
          <w:rtl/>
        </w:rPr>
        <w:t xml:space="preserve"> </w:t>
      </w:r>
      <w:r w:rsidR="000D6746" w:rsidRPr="000D6746">
        <w:rPr>
          <w:rStyle w:val="20"/>
          <w:rFonts w:hint="cs"/>
          <w:rtl/>
        </w:rPr>
        <w:t>ה</w:t>
      </w:r>
      <w:r w:rsidRPr="000D6746">
        <w:rPr>
          <w:rStyle w:val="20"/>
          <w:rtl/>
        </w:rPr>
        <w:t xml:space="preserve"> ע''א)</w:t>
      </w:r>
      <w:r>
        <w:rPr>
          <w:sz w:val="20"/>
          <w:szCs w:val="23"/>
          <w:rtl/>
        </w:rPr>
        <w:t xml:space="preserve"> </w:t>
      </w:r>
      <w:r>
        <w:rPr>
          <w:rtl/>
        </w:rPr>
        <w:t xml:space="preserve">וְאִינוּן יהו''ה מֶלֶךְ יהו''ה מָלָךְ יהו''ה יִמְלֹךְ, </w:t>
      </w:r>
      <w:r>
        <w:rPr>
          <w:sz w:val="20"/>
          <w:szCs w:val="23"/>
          <w:rtl/>
        </w:rPr>
        <w:t>(* הובא מלקמן ע"ב)</w:t>
      </w:r>
      <w:r>
        <w:rPr>
          <w:rtl/>
        </w:rPr>
        <w:t xml:space="preserve"> דִּמְקוֹרֵיהוֹן יו''ד ה''י וא''ו ה''י, אַנְפֵּי תְּלַת חֵיוָון עִילָּאִין, דְּאִינוּן חֶסֶ''ד גְּבוּרָ''ה תִּפְאֶרֶ''ת, וּלְתַתָּא סֶגוֹ''ל דְּאִינוּן חֵיוָון תַּתָּאִין, אַנְפֵּי נֶצַ''ח יְסוֹ''ד וָהוֹ''ד, דִּרְמִיזִין בִּיבָרֶכְ''ךָ יָאֵ''ר יִשָּׂ''א, </w:t>
      </w:r>
      <w:r>
        <w:rPr>
          <w:rStyle w:val="a7"/>
          <w:rtl/>
        </w:rPr>
        <w:footnoteReference w:id="169"/>
      </w:r>
      <w:r>
        <w:rPr>
          <w:rtl/>
        </w:rPr>
        <w:t xml:space="preserve">נְקוּדָה דְאֶמְצָעִיתָא חַיָּה </w:t>
      </w:r>
      <w:r>
        <w:rPr>
          <w:rStyle w:val="a7"/>
          <w:rtl/>
        </w:rPr>
        <w:footnoteReference w:id="170"/>
      </w:r>
      <w:r>
        <w:rPr>
          <w:rtl/>
        </w:rPr>
        <w:t>שֶׁשְּׁמָהּ אָדָם כְּגַוְונָא דָא הּ, הִיא מִתְהַלֶּכֶת בֵּין הַחַיּוֹת, דְּאִינוּן תְּלַתִ לְעִילָא, וּתְלַת לְתַתָּא, כְּגַוְונָא דָא הֶֹ.</w:t>
      </w:r>
    </w:p>
    <w:p w:rsidR="00D45634" w:rsidRDefault="00D45634" w:rsidP="000D6746">
      <w:pPr>
        <w:pStyle w:val="NormalWeb"/>
        <w:spacing w:after="0"/>
        <w:rPr>
          <w:rtl/>
        </w:rPr>
      </w:pPr>
      <w:r>
        <w:rPr>
          <w:rtl/>
        </w:rPr>
        <w:t xml:space="preserve">אִיהִי רְבִיעָאָה לְכָל תְּלַת, וּשְׁבִיעָאָה לְשִׁית. וְרָזָא דִתְלַת חֵיוָון תַּתָּאִין, עֲלַיְיהוּ אִיהוּ קָא רְמִיז וַיְהִי בִּשְׁלֹשִׁים שָׁנָה </w:t>
      </w:r>
      <w:r>
        <w:rPr>
          <w:sz w:val="20"/>
          <w:szCs w:val="23"/>
          <w:rtl/>
        </w:rPr>
        <w:t>(יחזקאל א א)</w:t>
      </w:r>
      <w:r>
        <w:rPr>
          <w:rtl/>
        </w:rPr>
        <w:t xml:space="preserve">, וְעַל נְקוּדָא דְאֶמְצָעִיתָא קָא רְמִיז בָּרְבִיעִי, דְאִיהוּ אַרְבַּע אַנְפֵּי אָדָם, </w:t>
      </w:r>
      <w:r>
        <w:rPr>
          <w:rStyle w:val="a7"/>
          <w:rtl/>
        </w:rPr>
        <w:footnoteReference w:id="171"/>
      </w:r>
      <w:r>
        <w:rPr>
          <w:rtl/>
        </w:rPr>
        <w:t xml:space="preserve">חָכְמָה עִלָּאָה כֹּ''חַ מָ''ה, דְּאִתְּמַר בֵּיהּ </w:t>
      </w:r>
      <w:r>
        <w:rPr>
          <w:sz w:val="20"/>
          <w:szCs w:val="23"/>
          <w:rtl/>
        </w:rPr>
        <w:t>(שם כו)</w:t>
      </w:r>
      <w:r>
        <w:rPr>
          <w:rtl/>
        </w:rPr>
        <w:t xml:space="preserve"> דְמוּת כְּמַרְאֵה אדָם עָלָיו מִלְמָעְלָה, וְכֹלָּא בְּרָזָא דִנְקוּדֵי דְאָת הֶֹ.</w:t>
      </w:r>
    </w:p>
    <w:p w:rsidR="00D45634" w:rsidRDefault="00D45634" w:rsidP="000D6746">
      <w:pPr>
        <w:pStyle w:val="NormalWeb"/>
        <w:spacing w:after="0"/>
        <w:rPr>
          <w:rtl/>
        </w:rPr>
      </w:pPr>
      <w:r>
        <w:rPr>
          <w:rStyle w:val="a7"/>
          <w:rtl/>
        </w:rPr>
        <w:footnoteReference w:id="172"/>
      </w:r>
      <w:r>
        <w:rPr>
          <w:rtl/>
        </w:rPr>
        <w:t xml:space="preserve">בַּחֲמִשָּׁה לַחֹדֶשׁ, דָּא אָת ה', </w:t>
      </w:r>
      <w:r>
        <w:rPr>
          <w:rStyle w:val="a7"/>
          <w:rtl/>
        </w:rPr>
        <w:footnoteReference w:id="173"/>
      </w:r>
      <w:r>
        <w:rPr>
          <w:rtl/>
        </w:rPr>
        <w:t xml:space="preserve">דְּאִיהִי אֱלֹהִי''ם, </w:t>
      </w:r>
      <w:r>
        <w:rPr>
          <w:rStyle w:val="a7"/>
          <w:rtl/>
        </w:rPr>
        <w:footnoteReference w:id="174"/>
      </w:r>
      <w:r>
        <w:rPr>
          <w:rtl/>
        </w:rPr>
        <w:t xml:space="preserve">כִּנוּ''י </w:t>
      </w:r>
      <w:r>
        <w:rPr>
          <w:rStyle w:val="a7"/>
          <w:rtl/>
        </w:rPr>
        <w:footnoteReference w:id="175"/>
      </w:r>
      <w:r>
        <w:rPr>
          <w:rtl/>
        </w:rPr>
        <w:t xml:space="preserve">לְשֵׁם יהו''ה, </w:t>
      </w:r>
      <w:r>
        <w:rPr>
          <w:rStyle w:val="a7"/>
          <w:rtl/>
        </w:rPr>
        <w:footnoteReference w:id="176"/>
      </w:r>
      <w:r>
        <w:rPr>
          <w:rtl/>
        </w:rPr>
        <w:t>וְאִיהִי כָּרְסַיָּא, דְהָכִי סְלִיק הַכִּסֵּ''א כְּחוּשְׁבַּן אֱלֹהִי''ם.</w:t>
      </w:r>
    </w:p>
    <w:p w:rsidR="00D45634" w:rsidRDefault="00D45634" w:rsidP="000D6746">
      <w:pPr>
        <w:pStyle w:val="NormalWeb"/>
        <w:spacing w:after="0"/>
        <w:rPr>
          <w:rtl/>
        </w:rPr>
      </w:pPr>
      <w:r>
        <w:rPr>
          <w:rStyle w:val="a7"/>
          <w:rtl/>
        </w:rPr>
        <w:lastRenderedPageBreak/>
        <w:footnoteReference w:id="177"/>
      </w:r>
      <w:r>
        <w:rPr>
          <w:rtl/>
        </w:rPr>
        <w:t xml:space="preserve">וְאִיהִי כֶּתֶר עֶלְיוֹן, חֲמִישָׁאָה לְאַרְבַּע חֵיוָון עִלָּאִין, וַחֲמִישָׁאָה לְאַרְבַּע תַּתָּאִין, </w:t>
      </w:r>
      <w:r>
        <w:rPr>
          <w:rStyle w:val="a7"/>
          <w:rtl/>
        </w:rPr>
        <w:footnoteReference w:id="178"/>
      </w:r>
      <w:r>
        <w:rPr>
          <w:rtl/>
        </w:rPr>
        <w:t xml:space="preserve">וְאִיהִי כָּרְסַיָּא </w:t>
      </w:r>
      <w:r>
        <w:rPr>
          <w:rStyle w:val="a7"/>
          <w:rtl/>
        </w:rPr>
        <w:footnoteReference w:id="179"/>
      </w:r>
      <w:r>
        <w:rPr>
          <w:rtl/>
        </w:rPr>
        <w:t>לְמָארֵי כֹּלָּא, אָדוֹן עַל כֹּלָּא, דְאִיהוּ טָמִיר וְגָנִיז.</w:t>
      </w:r>
    </w:p>
    <w:p w:rsidR="00D45634" w:rsidRDefault="00D45634" w:rsidP="000D6746">
      <w:pPr>
        <w:pStyle w:val="NormalWeb"/>
        <w:spacing w:after="0"/>
        <w:rPr>
          <w:rtl/>
        </w:rPr>
      </w:pPr>
      <w:r>
        <w:rPr>
          <w:rtl/>
        </w:rPr>
        <w:t xml:space="preserve">וְאִי תֵּימָא דְרָזָא דָא חָזָא יְחֶזְקֵאל, לָא הֲוָה אֶלָּא דְמוּת דְּאִלֵּין חֵיוָון, וְלָא דְחָזָא חֵיוָון, אֶלָּא כְּמַלְכָּא דְשָׁלַח שְׁטָר בְּחוֹתָמֵיהּ, וְדִיּוֹקְנָא דְמַלְכָּא רְשִׁימָא עַל שַׁעֲוָה מֵחוֹתָמֵיהּ. דְּבִסְפִירָן דַּאֲצִילוּת אִיהוּ דִיּוֹקְנָא דְמַלְכָּא מַמָּשׁ, וּבִסְפִירָן דִבְּרִיאָה חוֹתָמָא דְמַלְכָּא, וּבִסְפִירָן דִּיְצִירָה וּבְמַלְאָכִין דְּאִינוּן חֵיוָון צִיּוּרָא דְחוֹתָמָא בְשַׁעֲוָה, וּבְגִין דָּא אִתְּמַר בְּמַרְאוֹת יְחֶזְקֵאל </w:t>
      </w:r>
      <w:r>
        <w:rPr>
          <w:sz w:val="20"/>
          <w:szCs w:val="23"/>
          <w:rtl/>
        </w:rPr>
        <w:t>(שם)</w:t>
      </w:r>
      <w:r>
        <w:rPr>
          <w:rtl/>
        </w:rPr>
        <w:t xml:space="preserve"> דְּמוּת כְּמַרְאֵה אָדָם, וּדְמוּת הַחַיּוֹת, וְלָא הַחַיּוֹת מַמָּשׁ. לְמָאן דְּכָל יוֹמוֹי לָא חָזָא מַלְכָּא, וַהֲוָה בֶּן כְּפַר, וְשָׁאִיל בְּגִינֵיהּ, וּרְשִׁימִין לֵיהּ עַל טַבְלָא אוֹ עַל נַיָּיר דִּיּוֹקְנֵיהּ.</w:t>
      </w:r>
    </w:p>
    <w:p w:rsidR="00D45634" w:rsidRDefault="00D45634" w:rsidP="000D6746">
      <w:pPr>
        <w:pStyle w:val="2"/>
        <w:spacing w:before="0"/>
        <w:rPr>
          <w:rtl/>
        </w:rPr>
      </w:pPr>
      <w:r>
        <w:rPr>
          <w:rtl/>
        </w:rPr>
        <w:t>[תיקוני זוהר - דף ד ע''ב]</w:t>
      </w:r>
    </w:p>
    <w:p w:rsidR="00D45634" w:rsidRDefault="00D45634" w:rsidP="000D6746">
      <w:pPr>
        <w:pStyle w:val="NormalWeb"/>
        <w:spacing w:after="0"/>
        <w:rPr>
          <w:rtl/>
        </w:rPr>
      </w:pPr>
      <w:r>
        <w:rPr>
          <w:rtl/>
        </w:rPr>
        <w:t xml:space="preserve">וַאֲנִי בְתוֹךְ הַגּוֹלָה </w:t>
      </w:r>
      <w:r>
        <w:rPr>
          <w:sz w:val="20"/>
          <w:szCs w:val="23"/>
          <w:rtl/>
        </w:rPr>
        <w:t xml:space="preserve">(יחזקאל א א) </w:t>
      </w:r>
      <w:r>
        <w:rPr>
          <w:rtl/>
        </w:rPr>
        <w:t xml:space="preserve">דָא שְׁכִינְתָּא, עַל נְהַר כְּבָר </w:t>
      </w:r>
      <w:r>
        <w:rPr>
          <w:sz w:val="20"/>
          <w:szCs w:val="23"/>
          <w:rtl/>
        </w:rPr>
        <w:t>(יחזקאל א א)</w:t>
      </w:r>
      <w:r>
        <w:rPr>
          <w:rtl/>
        </w:rPr>
        <w:t xml:space="preserve"> דָּא נְהַר דִּינוּר נָגֵיד וְנָפֵיק מִן קֳדָמוֹהִי, ואֶלֶף אַלְפִים יְשַׁמְּשׁוּנֵיהּ, וְרִבּוֹא רִבְוָן דְּמַלְאָכַיָּא קֳדָמוֹהִי יְקוּמוּן, דִּינָא יְתִיב, וְסִפְרִין ביה פְּתִיחוּ </w:t>
      </w:r>
      <w:r>
        <w:rPr>
          <w:sz w:val="20"/>
          <w:szCs w:val="23"/>
          <w:rtl/>
        </w:rPr>
        <w:t>(דניאל ז י)</w:t>
      </w:r>
      <w:r>
        <w:rPr>
          <w:rtl/>
        </w:rPr>
        <w:t xml:space="preserve">, דְּאִינוּן </w:t>
      </w:r>
      <w:r>
        <w:rPr>
          <w:rStyle w:val="a7"/>
          <w:rtl/>
        </w:rPr>
        <w:footnoteReference w:id="180"/>
      </w:r>
      <w:r>
        <w:rPr>
          <w:rtl/>
        </w:rPr>
        <w:t xml:space="preserve">תְּלַת סְפָרִין דְּנִפְתָּחִין בְּרֹאשׁ הַשָּׁנָה, וּבֵיה טָבְלִין נִשְׁמָתִין בְּהַאי נְהַר דִּינוּר, מִזּוּהֲמָתָן דִּמְזוּהָמִין בְּעָלְמָא שְׁפֵלָה, וְדָא מטטרו''ן, בְּדִיּוֹקְנָא דְצַדִּיק יְסוֹד עָלְמָא, דְּאִיהוּ נְהַר דִּינוּר מִסִּטְרָא דִגְבוּרָה, נָהָר פְּלָגָיו מִסִּטְרָא דְחֶסֶד, פַּלְגֵי מָיִם, וְהַאי אִיהוּ עַל נְהַר כְּבָר, מַאי כְּבָר, דָּא מטטרו''ן, רֶכֶ''ב לְעַמּוּדָא דְאֶמְצָעִיתָא, </w:t>
      </w:r>
      <w:r>
        <w:rPr>
          <w:rStyle w:val="a7"/>
          <w:rtl/>
        </w:rPr>
        <w:footnoteReference w:id="181"/>
      </w:r>
      <w:r>
        <w:rPr>
          <w:rtl/>
        </w:rPr>
        <w:t xml:space="preserve">וַיִּרְכַּב עַל כְּרוּב וַיָּעֹף </w:t>
      </w:r>
      <w:r>
        <w:rPr>
          <w:sz w:val="20"/>
          <w:szCs w:val="23"/>
          <w:rtl/>
        </w:rPr>
        <w:t>(תהלים יח יא)</w:t>
      </w:r>
      <w:r>
        <w:rPr>
          <w:szCs w:val="23"/>
          <w:rtl/>
        </w:rPr>
        <w:t xml:space="preserve">, </w:t>
      </w:r>
      <w:r w:rsidRPr="000D6746">
        <w:rPr>
          <w:rtl/>
        </w:rPr>
        <w:t>וְאִיהוּ רֶכֶב אֵשׁ</w:t>
      </w:r>
      <w:r>
        <w:rPr>
          <w:rStyle w:val="Char"/>
          <w:rtl/>
        </w:rPr>
        <w:t xml:space="preserve"> </w:t>
      </w:r>
      <w:r>
        <w:rPr>
          <w:rStyle w:val="a7"/>
          <w:rtl/>
        </w:rPr>
        <w:footnoteReference w:id="182"/>
      </w:r>
      <w:r w:rsidRPr="000D6746">
        <w:rPr>
          <w:rtl/>
        </w:rPr>
        <w:t>וְסוּסֵי אֵשׁ</w:t>
      </w:r>
      <w:r>
        <w:rPr>
          <w:szCs w:val="23"/>
          <w:rtl/>
        </w:rPr>
        <w:t xml:space="preserve"> </w:t>
      </w:r>
      <w:r>
        <w:rPr>
          <w:sz w:val="20"/>
          <w:szCs w:val="23"/>
          <w:rtl/>
        </w:rPr>
        <w:t>(מ''ב ב יא)</w:t>
      </w:r>
      <w:r>
        <w:rPr>
          <w:rtl/>
        </w:rPr>
        <w:t xml:space="preserve">, כְּלִיל </w:t>
      </w:r>
      <w:r>
        <w:rPr>
          <w:rStyle w:val="a7"/>
          <w:rtl/>
        </w:rPr>
        <w:footnoteReference w:id="183"/>
      </w:r>
      <w:r>
        <w:rPr>
          <w:rtl/>
        </w:rPr>
        <w:t xml:space="preserve">שִׁתִּין רִבּוֹא מֶרְכָּבוֹת, וּמִסִּטְרָא דְצַדִּיק חַי עָלְמִין הוּא כְּלִיל י''ח רִבּוֹא מֶרְכָּבוֹת, וְהַיְינוּ רֶכֶב אֱלֹהִי''ם רִבּוֹתַיִם אַלְפֵי שִׁנְאָן </w:t>
      </w:r>
      <w:r>
        <w:rPr>
          <w:sz w:val="20"/>
          <w:szCs w:val="23"/>
          <w:rtl/>
        </w:rPr>
        <w:t>(תהלים סח יח)</w:t>
      </w:r>
      <w:r>
        <w:rPr>
          <w:rtl/>
        </w:rPr>
        <w:t xml:space="preserve">, וְאוּקְמוּהָ מָארֵי מַתְנִיתִין תְּרֵי אַלְפֵי שֶׁאֵינָן מִתְּרֵין רִבּוֹא, דְאִנּוּן כָּל רִבּוֹא עֲשֶׂרֶת אֲלָפִים, רִבּוֹתַיִם עֶשְׂרִים אֲלָפִים, תְּרֵי שֶׁאֵינָן, אִשְׁתָּאֲרוּ תַּמְנֵי  סְרֵי אַלְפֵי, דְנָחֲתִין עִם מטטרו''ן לְקַבְּלָא י''ח בִּרְכָאָן דִּצְלוֹתן דְּיִשְׂרָאֵל, לְסַלְקָא לוֹן קַמֵּי קוּדְשָׁא בְּרִיךְ הוּא בחַ''י עָלְמִין, צַדִּיק יְסוֹד עוֹלָם </w:t>
      </w:r>
      <w:r>
        <w:rPr>
          <w:sz w:val="20"/>
          <w:szCs w:val="23"/>
          <w:rtl/>
        </w:rPr>
        <w:t>(משלי י כה)</w:t>
      </w:r>
      <w:r>
        <w:rPr>
          <w:rtl/>
        </w:rPr>
        <w:t xml:space="preserve">, וּבְרָכוֹת לְרֹאשׁ </w:t>
      </w:r>
      <w:r w:rsidRPr="000D6746">
        <w:rPr>
          <w:rStyle w:val="20"/>
          <w:rtl/>
        </w:rPr>
        <w:t>(דף ד ע''ב)</w:t>
      </w:r>
      <w:r>
        <w:rPr>
          <w:sz w:val="20"/>
          <w:szCs w:val="23"/>
          <w:rtl/>
        </w:rPr>
        <w:t xml:space="preserve"> </w:t>
      </w:r>
      <w:r>
        <w:rPr>
          <w:rtl/>
        </w:rPr>
        <w:t xml:space="preserve"> צַדִּיק </w:t>
      </w:r>
      <w:r>
        <w:rPr>
          <w:sz w:val="20"/>
          <w:szCs w:val="23"/>
          <w:rtl/>
        </w:rPr>
        <w:t>(משלי י ו)</w:t>
      </w:r>
      <w:r>
        <w:rPr>
          <w:rtl/>
        </w:rPr>
        <w:t xml:space="preserve">. </w:t>
      </w:r>
    </w:p>
    <w:p w:rsidR="000D6746" w:rsidRDefault="000D6746" w:rsidP="000D6746">
      <w:pPr>
        <w:pStyle w:val="2"/>
        <w:spacing w:before="0"/>
        <w:jc w:val="right"/>
        <w:rPr>
          <w:rtl/>
        </w:rPr>
      </w:pPr>
      <w:r>
        <w:rPr>
          <w:rtl/>
        </w:rPr>
        <w:t>[</w:t>
      </w:r>
      <w:r>
        <w:rPr>
          <w:rFonts w:hint="cs"/>
          <w:rtl/>
        </w:rPr>
        <w:t>וילנא דף</w:t>
      </w:r>
      <w:r>
        <w:rPr>
          <w:rtl/>
        </w:rPr>
        <w:t xml:space="preserve"> </w:t>
      </w:r>
      <w:r>
        <w:rPr>
          <w:rFonts w:hint="cs"/>
          <w:rtl/>
        </w:rPr>
        <w:t>ה</w:t>
      </w:r>
      <w:r>
        <w:rPr>
          <w:rtl/>
        </w:rPr>
        <w:t xml:space="preserve"> ע''</w:t>
      </w:r>
      <w:r>
        <w:rPr>
          <w:rFonts w:hint="cs"/>
          <w:rtl/>
        </w:rPr>
        <w:t>ב</w:t>
      </w:r>
      <w:r>
        <w:rPr>
          <w:rtl/>
        </w:rPr>
        <w:t>]</w:t>
      </w:r>
    </w:p>
    <w:p w:rsidR="00D45634" w:rsidRDefault="00D45634" w:rsidP="000D6746">
      <w:pPr>
        <w:pStyle w:val="NormalWeb"/>
        <w:spacing w:after="0"/>
        <w:rPr>
          <w:rtl/>
        </w:rPr>
      </w:pPr>
      <w:r>
        <w:rPr>
          <w:rtl/>
        </w:rPr>
        <w:t xml:space="preserve">נִפְתְּחוּ הַשָּׁמַיִם </w:t>
      </w:r>
      <w:r>
        <w:rPr>
          <w:sz w:val="20"/>
          <w:szCs w:val="23"/>
          <w:rtl/>
        </w:rPr>
        <w:t>(יחזקאל א א)</w:t>
      </w:r>
      <w:r>
        <w:rPr>
          <w:rtl/>
        </w:rPr>
        <w:t xml:space="preserve">, </w:t>
      </w:r>
      <w:r>
        <w:rPr>
          <w:rStyle w:val="a7"/>
          <w:rtl/>
        </w:rPr>
        <w:footnoteReference w:id="184"/>
      </w:r>
      <w:r>
        <w:rPr>
          <w:rtl/>
        </w:rPr>
        <w:t xml:space="preserve">ה' רְקִיעַ דְיוֹמָא תִּנְיָנָא, ה' דְהַשָּׁמַיִם לָקֳבֵל ה' תִּנְיָינָא כְּלִילָא מֵחָמֵשׁ גַּוָּונִין, </w:t>
      </w:r>
      <w:r>
        <w:rPr>
          <w:rStyle w:val="a7"/>
          <w:rtl/>
        </w:rPr>
        <w:footnoteReference w:id="185"/>
      </w:r>
      <w:r>
        <w:rPr>
          <w:rtl/>
        </w:rPr>
        <w:t xml:space="preserve">דְּבָהּ רְשִׁימִין חֵיוָון, </w:t>
      </w:r>
      <w:r>
        <w:rPr>
          <w:rStyle w:val="a7"/>
          <w:rtl/>
        </w:rPr>
        <w:footnoteReference w:id="186"/>
      </w:r>
      <w:r>
        <w:rPr>
          <w:rtl/>
        </w:rPr>
        <w:t xml:space="preserve">דִּמְקוֹרֵיהוֹן יו''ד ה''י וי''ו ה''י, יהו''ה, וָאֶרְאֶה מַרְאוֹת אֱלֹהִי''ם </w:t>
      </w:r>
      <w:r>
        <w:rPr>
          <w:sz w:val="20"/>
          <w:szCs w:val="23"/>
          <w:rtl/>
        </w:rPr>
        <w:t>(יחזקאל א א)</w:t>
      </w:r>
      <w:r>
        <w:rPr>
          <w:rtl/>
        </w:rPr>
        <w:t xml:space="preserve">, </w:t>
      </w:r>
      <w:r>
        <w:rPr>
          <w:rStyle w:val="a7"/>
          <w:rtl/>
        </w:rPr>
        <w:footnoteReference w:id="187"/>
      </w:r>
      <w:r>
        <w:rPr>
          <w:rtl/>
        </w:rPr>
        <w:t xml:space="preserve">חָמֵשׁ אוֹר דְּיוֹמָא קַדְמָאָה, לָקֳבֵל </w:t>
      </w:r>
      <w:r>
        <w:rPr>
          <w:rStyle w:val="a7"/>
          <w:rtl/>
        </w:rPr>
        <w:footnoteReference w:id="188"/>
      </w:r>
      <w:r>
        <w:rPr>
          <w:rtl/>
        </w:rPr>
        <w:t xml:space="preserve">ה' קַדְמָאָה, כְּלִילָא מֵחָמֵשׁ אוֹר, </w:t>
      </w:r>
      <w:r>
        <w:rPr>
          <w:rStyle w:val="a7"/>
          <w:rtl/>
        </w:rPr>
        <w:footnoteReference w:id="189"/>
      </w:r>
      <w:r>
        <w:rPr>
          <w:rtl/>
        </w:rPr>
        <w:t xml:space="preserve">דְּאִיהוּ אָאֵאִאֹאֻ </w:t>
      </w:r>
      <w:r w:rsidR="000D6746" w:rsidRPr="000D6746">
        <w:rPr>
          <w:rStyle w:val="20"/>
          <w:rtl/>
        </w:rPr>
        <w:t xml:space="preserve">(דף </w:t>
      </w:r>
      <w:r w:rsidR="000D6746">
        <w:rPr>
          <w:rStyle w:val="20"/>
          <w:rFonts w:hint="cs"/>
          <w:rtl/>
        </w:rPr>
        <w:t>ה</w:t>
      </w:r>
      <w:r w:rsidR="000D6746" w:rsidRPr="000D6746">
        <w:rPr>
          <w:rStyle w:val="20"/>
          <w:rtl/>
        </w:rPr>
        <w:t xml:space="preserve"> ע''ב)</w:t>
      </w:r>
      <w:r w:rsidR="000D6746">
        <w:rPr>
          <w:rStyle w:val="20"/>
          <w:rFonts w:hint="cs"/>
          <w:rtl/>
        </w:rPr>
        <w:t xml:space="preserve"> </w:t>
      </w:r>
      <w:r>
        <w:rPr>
          <w:rStyle w:val="a7"/>
          <w:rtl/>
        </w:rPr>
        <w:footnoteReference w:id="190"/>
      </w:r>
      <w:r>
        <w:rPr>
          <w:rtl/>
        </w:rPr>
        <w:t xml:space="preserve">פִּתּוּחֵי חוֹתָם קֹדֶשׁ לַיהו''ה </w:t>
      </w:r>
      <w:r>
        <w:rPr>
          <w:sz w:val="20"/>
          <w:szCs w:val="23"/>
          <w:rtl/>
        </w:rPr>
        <w:t>(שמות כח לו)</w:t>
      </w:r>
      <w:r>
        <w:rPr>
          <w:rtl/>
        </w:rPr>
        <w:t>.</w:t>
      </w:r>
    </w:p>
    <w:p w:rsidR="00D45634" w:rsidRDefault="00D45634" w:rsidP="000D6746">
      <w:pPr>
        <w:pStyle w:val="NormalWeb"/>
        <w:spacing w:after="0"/>
        <w:rPr>
          <w:rtl/>
        </w:rPr>
      </w:pPr>
      <w:r>
        <w:rPr>
          <w:rStyle w:val="a7"/>
          <w:rtl/>
        </w:rPr>
        <w:footnoteReference w:id="191"/>
      </w:r>
      <w:r>
        <w:rPr>
          <w:rtl/>
        </w:rPr>
        <w:t xml:space="preserve">וְכָל חַד </w:t>
      </w:r>
      <w:r>
        <w:rPr>
          <w:rStyle w:val="a7"/>
          <w:rtl/>
        </w:rPr>
        <w:footnoteReference w:id="192"/>
      </w:r>
      <w:r>
        <w:rPr>
          <w:rtl/>
        </w:rPr>
        <w:t xml:space="preserve">אַחֲזֵי אהי''ה, </w:t>
      </w:r>
      <w:r>
        <w:rPr>
          <w:rStyle w:val="a7"/>
          <w:rtl/>
        </w:rPr>
        <w:footnoteReference w:id="193"/>
      </w:r>
      <w:r>
        <w:rPr>
          <w:rtl/>
        </w:rPr>
        <w:t xml:space="preserve">וּנְקוּדִין אִלֵּין סָלְקִין </w:t>
      </w:r>
      <w:r>
        <w:rPr>
          <w:rStyle w:val="a7"/>
          <w:rtl/>
        </w:rPr>
        <w:footnoteReference w:id="194"/>
      </w:r>
      <w:r>
        <w:rPr>
          <w:rtl/>
        </w:rPr>
        <w:t xml:space="preserve">אֱלֹהִי''ם, </w:t>
      </w:r>
      <w:r>
        <w:rPr>
          <w:rStyle w:val="a7"/>
          <w:rtl/>
        </w:rPr>
        <w:footnoteReference w:id="195"/>
      </w:r>
      <w:r>
        <w:rPr>
          <w:rtl/>
        </w:rPr>
        <w:t xml:space="preserve">דִּבְהוֹן שֶׁבַע נְקוּדִין, </w:t>
      </w:r>
      <w:r>
        <w:rPr>
          <w:rStyle w:val="a7"/>
          <w:rtl/>
        </w:rPr>
        <w:footnoteReference w:id="196"/>
      </w:r>
      <w:r>
        <w:rPr>
          <w:rtl/>
        </w:rPr>
        <w:t xml:space="preserve">תְּלַת לְעִילָא תְּלַת </w:t>
      </w:r>
      <w:r>
        <w:rPr>
          <w:rStyle w:val="a7"/>
          <w:rtl/>
        </w:rPr>
        <w:footnoteReference w:id="197"/>
      </w:r>
      <w:r>
        <w:rPr>
          <w:rtl/>
        </w:rPr>
        <w:t xml:space="preserve">לְתַתָּא חֹלֵם בְּאֶמְצָעִיתָא, וְחַד רְקִיעָא תְּמִינָאָה לוֹן, </w:t>
      </w:r>
      <w:r>
        <w:rPr>
          <w:rStyle w:val="a7"/>
          <w:rtl/>
        </w:rPr>
        <w:footnoteReference w:id="198"/>
      </w:r>
      <w:r>
        <w:rPr>
          <w:rtl/>
        </w:rPr>
        <w:t xml:space="preserve">דְּאִתְּמַר בֵּיהּ </w:t>
      </w:r>
      <w:r>
        <w:rPr>
          <w:sz w:val="20"/>
          <w:szCs w:val="23"/>
          <w:rtl/>
        </w:rPr>
        <w:t>(בראשית א ז)</w:t>
      </w:r>
      <w:r>
        <w:rPr>
          <w:rtl/>
        </w:rPr>
        <w:t xml:space="preserve"> וַיִּתֵּן אֹתָם אֱלֹהִי''ם בִּרְקִיעַ </w:t>
      </w:r>
      <w:r>
        <w:rPr>
          <w:rtl/>
        </w:rPr>
        <w:lastRenderedPageBreak/>
        <w:t xml:space="preserve">הַשָּׁמָיִם. וְשֶׁבַע נִצּוֹצֵי דִנְקוּדֵי אָאֵאִאֹאֻ לָקֳבֵל שֶׁבַע כֹּכְבֵי לֶכֶת, תְּלַת מִכַּאן וּתְלַת מִכַּאן, חַמָּ''ה חֹלֵם בְאֶמְצָעִיתאּ (רְבִיעָאָה לְכָל תְּלַת, וּשְׁבִיעָאָה לְשִׁית, </w:t>
      </w:r>
      <w:r>
        <w:rPr>
          <w:rStyle w:val="a7"/>
          <w:rtl/>
        </w:rPr>
        <w:footnoteReference w:id="199"/>
      </w:r>
      <w:r>
        <w:rPr>
          <w:rtl/>
        </w:rPr>
        <w:t>וְאִיהִי בְצוּרַת חֹלֵ''ם).</w:t>
      </w:r>
    </w:p>
    <w:p w:rsidR="00D45634" w:rsidRDefault="00D45634" w:rsidP="000D6746">
      <w:pPr>
        <w:pStyle w:val="NormalWeb"/>
        <w:spacing w:after="0"/>
        <w:rPr>
          <w:rtl/>
        </w:rPr>
      </w:pPr>
      <w:r>
        <w:rPr>
          <w:rtl/>
        </w:rPr>
        <w:t>(* הקטע מכאן עד ובהון אתבריאו, הובא לכאן מלקמן בעמוד זה)</w:t>
      </w:r>
    </w:p>
    <w:p w:rsidR="00D45634" w:rsidRDefault="00D45634" w:rsidP="000D6746">
      <w:pPr>
        <w:pStyle w:val="NormalWeb"/>
        <w:spacing w:after="0"/>
        <w:rPr>
          <w:rtl/>
        </w:rPr>
      </w:pPr>
      <w:r>
        <w:rPr>
          <w:rStyle w:val="a7"/>
          <w:rtl/>
        </w:rPr>
        <w:footnoteReference w:id="200"/>
      </w:r>
      <w:r>
        <w:rPr>
          <w:rtl/>
        </w:rPr>
        <w:t xml:space="preserve">דָּבָר אַחֵר, וְהַמַּשְׂכִּילִים אִינוּן נְקוּדֵי, יַזְהִירוּ דְנָהֲרִין בְּאַתְוָון, דְּאִנּוּן </w:t>
      </w:r>
      <w:r>
        <w:rPr>
          <w:rStyle w:val="a7"/>
          <w:rtl/>
        </w:rPr>
        <w:footnoteReference w:id="201"/>
      </w:r>
      <w:r>
        <w:rPr>
          <w:rtl/>
        </w:rPr>
        <w:t xml:space="preserve">נְקוּדִין עֲגוּלִין, אַתְוָון מְרוּבָּעִין, דִּבְאַתְוָון אִתְבְּרִיאוּ אַרְבַּע חֵיוָון דְּכָרְסַיָּא, דְאִתְּמַר עֲלַיְיהוּ בְּעִנְיָנָא דִיחֶזְקֵאל </w:t>
      </w:r>
      <w:r>
        <w:rPr>
          <w:sz w:val="20"/>
          <w:szCs w:val="23"/>
          <w:rtl/>
        </w:rPr>
        <w:t>(א יג)</w:t>
      </w:r>
      <w:r>
        <w:rPr>
          <w:rtl/>
        </w:rPr>
        <w:t>, וּדְמוּת הַחַיּוֹת מַרְאֵיהֶם כְּגַחֲלֵי אֵשׁ, אִלֵּין אִינוּן נְקוּדֵי דְאוֹרַיְיתָא, דְאִינוּן תִּשְׁעָה, דִּבְהוֹן אִתְבְּרִיאוּ תִּשְׁעָה גַלְגַּלֵּי דְכָרְסַיָּא, כָּרְסַיָּא אִיהִי עֲשִׂירָאָה לְתִשְׁעָה גַלְגַּלִּים, דְּנָהֲרִין בְּהוֹן עֶשֶׂר אַתְוָון דְּאִנּוּן יו''ד ה''א וא''ו ה''א, וּבְהוֹן אִתְבְּרִיאוּ, וְאַרְבַּע אַתְוָון דְּאִינוּן יהו''ה, נָהֲרִין בְּאַרְבַּע חֵיוָון, וּבְהוֹן אִתְבְּרִיאוּ.</w:t>
      </w:r>
    </w:p>
    <w:p w:rsidR="00D45634" w:rsidRDefault="00D45634" w:rsidP="000D6746">
      <w:pPr>
        <w:pStyle w:val="2"/>
        <w:spacing w:before="0"/>
        <w:rPr>
          <w:rtl/>
        </w:rPr>
      </w:pPr>
      <w:r>
        <w:rPr>
          <w:rtl/>
        </w:rPr>
        <w:t>[* תיקוני זוהר - המשך דף ה ע''ב]</w:t>
      </w:r>
    </w:p>
    <w:p w:rsidR="00D45634" w:rsidRDefault="00D45634" w:rsidP="00B17EA9">
      <w:pPr>
        <w:pStyle w:val="NormalWeb"/>
        <w:rPr>
          <w:rtl/>
        </w:rPr>
      </w:pPr>
      <w:r>
        <w:rPr>
          <w:rtl/>
        </w:rPr>
        <w:t xml:space="preserve">פָּתַח וְאָמַר, יְחֶזְקֵאל נְבִיאָה, קוּם מִשִּׁינְתָךְ לְגַלָּאָה הָכָא </w:t>
      </w:r>
      <w:r>
        <w:rPr>
          <w:rStyle w:val="a7"/>
          <w:rtl/>
        </w:rPr>
        <w:footnoteReference w:id="202"/>
      </w:r>
      <w:r>
        <w:rPr>
          <w:rtl/>
        </w:rPr>
        <w:t xml:space="preserve">מַרְאוֹת דְּאִתְגַּלְיָין לָךְ, דְּכֻלְּהוּ לְגַבָּךְ בְּאֹרַח סָתִים באתכסיא וּבְאִתְגַּלְיָא, </w:t>
      </w:r>
      <w:r>
        <w:rPr>
          <w:rStyle w:val="a7"/>
          <w:rtl/>
        </w:rPr>
        <w:footnoteReference w:id="203"/>
      </w:r>
      <w:r>
        <w:rPr>
          <w:rtl/>
        </w:rPr>
        <w:t xml:space="preserve">בְּאִתְגַּלְיָא צִיּוּרִין, </w:t>
      </w:r>
      <w:r>
        <w:rPr>
          <w:rStyle w:val="a7"/>
          <w:rtl/>
        </w:rPr>
        <w:footnoteReference w:id="204"/>
      </w:r>
      <w:r>
        <w:rPr>
          <w:rtl/>
        </w:rPr>
        <w:t xml:space="preserve">אֲבָל בִּסְתִימוּ דְעַיְינִין דִּיּוֹקְנָא דְמַלְכָּא וּמַטְרוֹנִיתָא, כָּל שֶׁכֵּן וְכָל שֶׁכֵּן הַהוּא דְלֵית לֵיהּ דִּיּוֹקְנָא, דִּבְגִינֵיהּ אִתְּמַר הַאי קְרָא לִמָאן דִּצִיֵּיר בֵּיהּ דִּיּוֹקִנָא, </w:t>
      </w:r>
      <w:r>
        <w:rPr>
          <w:sz w:val="20"/>
          <w:szCs w:val="23"/>
          <w:rtl/>
        </w:rPr>
        <w:t>(דברים כז טו)</w:t>
      </w:r>
      <w:r>
        <w:rPr>
          <w:rtl/>
        </w:rPr>
        <w:t xml:space="preserve"> אָרוּר הָאִישׁ אשֵׁר יַעֲשֶׂה פֶסֶל וגו', וְשָׂם בַּסָּתֶר, בְּסִתְרוֹ שֶׁל עוֹלָם, וַאֲפִילוּ מִכָּל מַה דְּבַר נַשׁ יָכִיל לְאִסְתַּכָּלָא בְּעִינָא, </w:t>
      </w:r>
      <w:r>
        <w:rPr>
          <w:rStyle w:val="a7"/>
          <w:rtl/>
        </w:rPr>
        <w:footnoteReference w:id="205"/>
      </w:r>
      <w:r>
        <w:rPr>
          <w:rtl/>
        </w:rPr>
        <w:t>וַאֲפִילוּ מִכָּל דִּיּוֹקְנִין דְּאַחֲזֵי לִנְבִיאֵי.</w:t>
      </w:r>
    </w:p>
    <w:p w:rsidR="00D45634" w:rsidRDefault="00D45634" w:rsidP="00B17EA9">
      <w:pPr>
        <w:pStyle w:val="NormalWeb"/>
        <w:rPr>
          <w:rtl/>
        </w:rPr>
      </w:pPr>
      <w:r>
        <w:rPr>
          <w:rStyle w:val="a7"/>
          <w:rtl/>
        </w:rPr>
        <w:footnoteReference w:id="206"/>
      </w:r>
      <w:r>
        <w:rPr>
          <w:rtl/>
        </w:rPr>
        <w:t xml:space="preserve">צוּרַת דִּיּוֹקְנָא דִכְלִילָא מִכַּמָּה נְהוֹרִין, חַד וּמִמַּעַל לָרָקִיעַ אֲשֶׁר עַל רֹאשָׁם כְּמַרְאֵה אֶבֶן סַפִּיר דְּמוּת כִּסֵּא </w:t>
      </w:r>
      <w:r>
        <w:rPr>
          <w:sz w:val="20"/>
          <w:szCs w:val="23"/>
          <w:rtl/>
        </w:rPr>
        <w:t>(יחזקאל א כו)</w:t>
      </w:r>
      <w:r>
        <w:rPr>
          <w:rtl/>
        </w:rPr>
        <w:t xml:space="preserve">, </w:t>
      </w:r>
      <w:r>
        <w:rPr>
          <w:rStyle w:val="a7"/>
          <w:rtl/>
        </w:rPr>
        <w:footnoteReference w:id="207"/>
      </w:r>
      <w:r>
        <w:rPr>
          <w:rtl/>
        </w:rPr>
        <w:t xml:space="preserve">דָּא אֶבֶן סַפִּיר דְּמוּת כִּסֵּא, וְאִיהוּ לְעִילָא כְּגַוְונָא דָא [ציור] </w:t>
      </w:r>
      <w:r>
        <w:rPr>
          <w:rStyle w:val="a7"/>
          <w:rtl/>
        </w:rPr>
        <w:footnoteReference w:id="208"/>
      </w:r>
      <w:r>
        <w:rPr>
          <w:rtl/>
        </w:rPr>
        <w:t xml:space="preserve">וְתַחַת רַגְלָיו כְּמַעֲשֵׂה לִבְנַת </w:t>
      </w:r>
      <w:r>
        <w:rPr>
          <w:rStyle w:val="Char"/>
          <w:rtl/>
        </w:rPr>
        <w:t>הַסַּפִּיר</w:t>
      </w:r>
      <w:r>
        <w:rPr>
          <w:szCs w:val="23"/>
          <w:rtl/>
        </w:rPr>
        <w:t xml:space="preserve"> </w:t>
      </w:r>
      <w:r>
        <w:rPr>
          <w:sz w:val="20"/>
          <w:szCs w:val="23"/>
          <w:rtl/>
        </w:rPr>
        <w:t>(שמות כד י)</w:t>
      </w:r>
      <w:r>
        <w:rPr>
          <w:rtl/>
        </w:rPr>
        <w:t>, כְּגַוְונָא דָא א.</w:t>
      </w:r>
    </w:p>
    <w:p w:rsidR="00D45634" w:rsidRDefault="00D45634" w:rsidP="00B17EA9">
      <w:pPr>
        <w:pStyle w:val="NormalWeb"/>
        <w:rPr>
          <w:rtl/>
        </w:rPr>
      </w:pPr>
      <w:r>
        <w:rPr>
          <w:rtl/>
        </w:rPr>
        <w:t xml:space="preserve">וְכֹלָּא א, נְקוּדָה דִלְעִילָא כְּגַוְונָא דָא [ציור], חֹלֵ''ם לְעִילָא כֶּתֶר עֶלְיוֹן, (דְּרָכִיב) כְּכֶתֶר עַל י''ה דְּאִינוּן חָכְמָה וּבִינָה כְּחֻשְׁבַּן חֹלֵם, וְתַחַת רַגְלָיו כְּמַעֲשֵׂה לִבְנַת הַסַּפִּיר חִרֵק, וְדָא מַלְכוּת, וְהָאָרֶץ הֲדוֹם רַגְלָי, </w:t>
      </w:r>
      <w:r>
        <w:rPr>
          <w:rStyle w:val="a7"/>
          <w:rtl/>
        </w:rPr>
        <w:footnoteReference w:id="209"/>
      </w:r>
      <w:r>
        <w:rPr>
          <w:rtl/>
        </w:rPr>
        <w:t>אִיהִי תְּחוֹת ו''ה, דְּאִיהוּ חֶשְׁבּוֹן חִרֵ''ק, וְהָכִי סְלִיק א, יהו''ה, יו''י.</w:t>
      </w:r>
    </w:p>
    <w:p w:rsidR="00D45634" w:rsidRDefault="00D45634" w:rsidP="00B17EA9">
      <w:pPr>
        <w:pStyle w:val="NormalWeb"/>
        <w:rPr>
          <w:rtl/>
        </w:rPr>
      </w:pPr>
      <w:r>
        <w:rPr>
          <w:rStyle w:val="a7"/>
          <w:rtl/>
        </w:rPr>
        <w:footnoteReference w:id="210"/>
      </w:r>
      <w:r>
        <w:rPr>
          <w:rtl/>
        </w:rPr>
        <w:t xml:space="preserve">וְעוֹד רָקִיעַ דָּא עַמּוּדָא דְאֶמְצָעִיתָא, </w:t>
      </w:r>
      <w:r>
        <w:rPr>
          <w:rStyle w:val="a7"/>
          <w:rtl/>
        </w:rPr>
        <w:footnoteReference w:id="211"/>
      </w:r>
      <w:r>
        <w:rPr>
          <w:rtl/>
        </w:rPr>
        <w:t xml:space="preserve">דִכְלִיל שֵׁם יהו''ה, </w:t>
      </w:r>
      <w:r>
        <w:rPr>
          <w:rStyle w:val="a7"/>
          <w:rtl/>
        </w:rPr>
        <w:footnoteReference w:id="212"/>
      </w:r>
      <w:r>
        <w:rPr>
          <w:rtl/>
        </w:rPr>
        <w:t xml:space="preserve">וְאִיהוּ כְּלִיל שִׁית סְפִירָן בְּאֶמְצְעִיתָא, </w:t>
      </w:r>
      <w:r>
        <w:rPr>
          <w:rStyle w:val="a7"/>
          <w:rtl/>
        </w:rPr>
        <w:footnoteReference w:id="213"/>
      </w:r>
      <w:r>
        <w:rPr>
          <w:rtl/>
        </w:rPr>
        <w:t xml:space="preserve">דַּעֲלֵיהּ אִתְּמַר </w:t>
      </w:r>
      <w:r>
        <w:rPr>
          <w:sz w:val="20"/>
          <w:szCs w:val="23"/>
          <w:rtl/>
        </w:rPr>
        <w:t>(יחזקאל א כב)</w:t>
      </w:r>
      <w:r>
        <w:rPr>
          <w:rtl/>
        </w:rPr>
        <w:t xml:space="preserve"> נָטוּי עַל רָאשֵׁיהֶם מִלְמָעְלָה, דַעֲלֵיהּ אִתְּמַר </w:t>
      </w:r>
      <w:r>
        <w:rPr>
          <w:sz w:val="20"/>
          <w:szCs w:val="23"/>
          <w:rtl/>
        </w:rPr>
        <w:t>(תהלים קד ב)</w:t>
      </w:r>
      <w:r>
        <w:rPr>
          <w:rtl/>
        </w:rPr>
        <w:t xml:space="preserve"> נוֹטֶה שָׁמַיִם כַּיְרִיעָה, </w:t>
      </w:r>
      <w:r>
        <w:rPr>
          <w:rStyle w:val="a7"/>
          <w:rtl/>
        </w:rPr>
        <w:footnoteReference w:id="214"/>
      </w:r>
      <w:r>
        <w:rPr>
          <w:rtl/>
        </w:rPr>
        <w:t xml:space="preserve">כְּגַוְונָא דָא </w:t>
      </w:r>
      <w:r>
        <w:rPr>
          <w:rtl/>
        </w:rPr>
        <w:lastRenderedPageBreak/>
        <w:t xml:space="preserve">[ציור] בְּאֶמְצַע א, </w:t>
      </w:r>
      <w:r>
        <w:rPr>
          <w:rStyle w:val="a7"/>
          <w:rtl/>
        </w:rPr>
        <w:footnoteReference w:id="215"/>
      </w:r>
      <w:r>
        <w:rPr>
          <w:rtl/>
        </w:rPr>
        <w:t xml:space="preserve">נוֹטֶה שָׁמַיִם לְבַדִּי </w:t>
      </w:r>
      <w:r>
        <w:rPr>
          <w:sz w:val="20"/>
          <w:szCs w:val="23"/>
          <w:rtl/>
        </w:rPr>
        <w:t>(ישעיה מד כד)</w:t>
      </w:r>
      <w:r>
        <w:rPr>
          <w:rtl/>
        </w:rPr>
        <w:t xml:space="preserve">, </w:t>
      </w:r>
      <w:r>
        <w:rPr>
          <w:rStyle w:val="a7"/>
          <w:rtl/>
        </w:rPr>
        <w:footnoteReference w:id="216"/>
      </w:r>
      <w:r>
        <w:rPr>
          <w:rtl/>
        </w:rPr>
        <w:t xml:space="preserve">מָאן נָטָה לֵיהּ, </w:t>
      </w:r>
      <w:r>
        <w:rPr>
          <w:rStyle w:val="a7"/>
          <w:rtl/>
        </w:rPr>
        <w:footnoteReference w:id="217"/>
      </w:r>
      <w:r>
        <w:rPr>
          <w:rtl/>
        </w:rPr>
        <w:t>עִלַּת עַל כֹּלָּא לְבַדּוֹ, יְחִידָא בְּלָא תִּנְיָינָא לְמֶעֱזַר לֵיהּ.</w:t>
      </w:r>
    </w:p>
    <w:p w:rsidR="00D45634" w:rsidRDefault="00D45634" w:rsidP="00EF3849">
      <w:pPr>
        <w:pStyle w:val="2"/>
        <w:rPr>
          <w:rtl/>
        </w:rPr>
      </w:pPr>
      <w:bookmarkStart w:id="22" w:name="_Toc228095574"/>
      <w:bookmarkStart w:id="23" w:name="_Toc231638012"/>
      <w:r>
        <w:rPr>
          <w:rtl/>
        </w:rPr>
        <w:t>[תיקוני זוהר - דף ו ע''א]</w:t>
      </w:r>
      <w:bookmarkEnd w:id="22"/>
      <w:bookmarkEnd w:id="23"/>
    </w:p>
    <w:p w:rsidR="00D45634" w:rsidRDefault="00D45634" w:rsidP="00B17EA9">
      <w:pPr>
        <w:pStyle w:val="NormalWeb"/>
        <w:rPr>
          <w:rtl/>
        </w:rPr>
      </w:pPr>
      <w:r>
        <w:rPr>
          <w:rStyle w:val="a7"/>
          <w:rtl/>
        </w:rPr>
        <w:footnoteReference w:id="218"/>
      </w:r>
      <w:r>
        <w:rPr>
          <w:rtl/>
        </w:rPr>
        <w:t xml:space="preserve">תִּנְיָינָא </w:t>
      </w:r>
      <w:r>
        <w:rPr>
          <w:sz w:val="20"/>
          <w:szCs w:val="23"/>
          <w:rtl/>
        </w:rPr>
        <w:t>(יחזקאל א כו)</w:t>
      </w:r>
      <w:r>
        <w:rPr>
          <w:rtl/>
        </w:rPr>
        <w:t xml:space="preserve">, וְעַל דְּמוּת הַכִּסֵּא דְּמוּת כְּמַרְאֵה אָדָם עָלָיו מִלְמָעְלָה </w:t>
      </w:r>
      <w:r>
        <w:rPr>
          <w:rStyle w:val="a7"/>
          <w:rtl/>
        </w:rPr>
        <w:footnoteReference w:id="219"/>
      </w:r>
      <w:r>
        <w:rPr>
          <w:rtl/>
        </w:rPr>
        <w:t xml:space="preserve">דָא אִיהוּ יֶוְדֹ הִאֻ וּאֻו הָא </w:t>
      </w:r>
      <w:r>
        <w:rPr>
          <w:rStyle w:val="a7"/>
          <w:rtl/>
        </w:rPr>
        <w:footnoteReference w:id="220"/>
      </w:r>
      <w:r>
        <w:rPr>
          <w:rtl/>
        </w:rPr>
        <w:t xml:space="preserve">כְּלִיל תֵּשַׁע נְקוּדִין, </w:t>
      </w:r>
      <w:r>
        <w:rPr>
          <w:sz w:val="20"/>
          <w:szCs w:val="23"/>
          <w:rtl/>
        </w:rPr>
        <w:t xml:space="preserve">(דף ו ע''א)  </w:t>
      </w:r>
      <w:r>
        <w:rPr>
          <w:rtl/>
        </w:rPr>
        <w:t xml:space="preserve">וַעֲשִׂירָאָה שְׁכִינְתָּא כְּלִילָא מִכֻּלְּהוּ, </w:t>
      </w:r>
      <w:r>
        <w:rPr>
          <w:rStyle w:val="a7"/>
          <w:rtl/>
        </w:rPr>
        <w:footnoteReference w:id="221"/>
      </w:r>
      <w:r>
        <w:rPr>
          <w:rtl/>
        </w:rPr>
        <w:t xml:space="preserve">וְכֹלָּא א, </w:t>
      </w:r>
      <w:r>
        <w:rPr>
          <w:rStyle w:val="a7"/>
          <w:rtl/>
        </w:rPr>
        <w:footnoteReference w:id="222"/>
      </w:r>
      <w:r>
        <w:rPr>
          <w:rtl/>
        </w:rPr>
        <w:t xml:space="preserve">דְּלֵית אָדָם בְּלָא א', </w:t>
      </w:r>
      <w:r>
        <w:rPr>
          <w:rStyle w:val="a7"/>
          <w:rtl/>
        </w:rPr>
        <w:footnoteReference w:id="223"/>
      </w:r>
      <w:r>
        <w:rPr>
          <w:rtl/>
        </w:rPr>
        <w:t xml:space="preserve">וְכֹלָּא אִיהוּ (עַמּוּדָא דְאֶמְצָעִיתָא) א', </w:t>
      </w:r>
      <w:r>
        <w:rPr>
          <w:rStyle w:val="a7"/>
          <w:rtl/>
        </w:rPr>
        <w:footnoteReference w:id="224"/>
      </w:r>
      <w:r>
        <w:rPr>
          <w:rtl/>
        </w:rPr>
        <w:t>אִיהוּ יהו''ה דִּכְלִיל א, וְאִיהוּ שְׁמָא מְפָרַשׁ דִּכְלִיל א לְאַחְזָאָה דְאִם רָץ לִבְּךָ שׁוּב לְאָחוֹר.</w:t>
      </w:r>
    </w:p>
    <w:p w:rsidR="00D45634" w:rsidRDefault="00D45634" w:rsidP="00B17EA9">
      <w:pPr>
        <w:pStyle w:val="NormalWeb"/>
        <w:rPr>
          <w:rtl/>
        </w:rPr>
      </w:pPr>
      <w:r>
        <w:rPr>
          <w:rtl/>
        </w:rPr>
        <w:t xml:space="preserve">תְּלִיתָאָה, כְּמַרְאֵה אֵשׁ בֵּית לָהּ סָבִיב, </w:t>
      </w:r>
      <w:r>
        <w:rPr>
          <w:rStyle w:val="a7"/>
          <w:rtl/>
        </w:rPr>
        <w:footnoteReference w:id="225"/>
      </w:r>
      <w:r>
        <w:rPr>
          <w:rtl/>
        </w:rPr>
        <w:t xml:space="preserve">וְדָא שְׁכִינְתָּא, דְּהָכִי אוּקְמוּהוּ רַבָּנָן, דְּנִשְׁמָתִין דּוֹמִין קֳדָם שְׁכִינְתָּא כְּנֵרוֹת לִפְנֵי הָאֲבוּקָה, וּבְגִין דָּא כְּמַרְאֵה אֵשׁ </w:t>
      </w:r>
      <w:r>
        <w:rPr>
          <w:rStyle w:val="a7"/>
          <w:rtl/>
        </w:rPr>
        <w:footnoteReference w:id="226"/>
      </w:r>
      <w:r>
        <w:rPr>
          <w:rtl/>
        </w:rPr>
        <w:t xml:space="preserve">בֵּית לָהּ </w:t>
      </w:r>
      <w:r>
        <w:rPr>
          <w:sz w:val="20"/>
          <w:szCs w:val="23"/>
          <w:rtl/>
        </w:rPr>
        <w:t>(שם א כז)</w:t>
      </w:r>
      <w:r>
        <w:rPr>
          <w:rtl/>
        </w:rPr>
        <w:t xml:space="preserve">, וְאִיהִי בֵּי כְּנִישְׁתָּא דִלְעִילָא, </w:t>
      </w:r>
      <w:r>
        <w:rPr>
          <w:rStyle w:val="a7"/>
          <w:rtl/>
        </w:rPr>
        <w:footnoteReference w:id="227"/>
      </w:r>
      <w:r>
        <w:rPr>
          <w:rtl/>
        </w:rPr>
        <w:t xml:space="preserve">אֵ''שׁ נֹגַ''הּ, כִּי בֵיתִי בֵּית תְּפִלָּה יִקָּרֵא לְכָל הָעַמִּים </w:t>
      </w:r>
      <w:r>
        <w:rPr>
          <w:sz w:val="20"/>
          <w:szCs w:val="23"/>
          <w:rtl/>
        </w:rPr>
        <w:t>(ישעיה נו ז)</w:t>
      </w:r>
      <w:r>
        <w:rPr>
          <w:rtl/>
        </w:rPr>
        <w:t xml:space="preserve">, </w:t>
      </w:r>
      <w:r>
        <w:rPr>
          <w:rStyle w:val="a7"/>
          <w:rtl/>
        </w:rPr>
        <w:footnoteReference w:id="228"/>
      </w:r>
      <w:r>
        <w:rPr>
          <w:rtl/>
        </w:rPr>
        <w:t xml:space="preserve">וְאִיהו אֵשׁ בֵּית לָהּ מִסִּטְרָא דִגְבוּרָה, </w:t>
      </w:r>
      <w:r>
        <w:rPr>
          <w:rStyle w:val="a7"/>
          <w:rtl/>
        </w:rPr>
        <w:footnoteReference w:id="229"/>
      </w:r>
      <w:r>
        <w:rPr>
          <w:rtl/>
        </w:rPr>
        <w:t xml:space="preserve">דְאִיהו ב', יוֹמָא תִּנְיָינָא דְאִתְבְּרֵי בֵּיהּ גֵּיהִנָּם, </w:t>
      </w:r>
      <w:r>
        <w:rPr>
          <w:rStyle w:val="a7"/>
          <w:rtl/>
        </w:rPr>
        <w:footnoteReference w:id="230"/>
      </w:r>
      <w:r>
        <w:rPr>
          <w:rtl/>
        </w:rPr>
        <w:t xml:space="preserve">א' יוֹמָא קַדְמָאָה דְאִתְבְּרֵי בֵּיהּ גַּן עִדֶן, וְדָא חֶסֶד, </w:t>
      </w:r>
      <w:r>
        <w:rPr>
          <w:rStyle w:val="a7"/>
          <w:rtl/>
        </w:rPr>
        <w:footnoteReference w:id="231"/>
      </w:r>
      <w:r>
        <w:rPr>
          <w:rtl/>
        </w:rPr>
        <w:t xml:space="preserve">עַמּוּדָא דְאֶמְצָעִיתָא כְּמַרְאֵה אָדָם </w:t>
      </w:r>
      <w:r>
        <w:rPr>
          <w:rStyle w:val="a7"/>
          <w:rtl/>
        </w:rPr>
        <w:footnoteReference w:id="232"/>
      </w:r>
      <w:r>
        <w:rPr>
          <w:rtl/>
        </w:rPr>
        <w:t xml:space="preserve">כְּלִיל תַּרְוַיְהוּ, </w:t>
      </w:r>
      <w:r>
        <w:rPr>
          <w:rStyle w:val="a7"/>
          <w:rtl/>
        </w:rPr>
        <w:footnoteReference w:id="233"/>
      </w:r>
      <w:r>
        <w:rPr>
          <w:rtl/>
        </w:rPr>
        <w:t xml:space="preserve">וָא''ו לִימִינָא אֶחָ''ד, </w:t>
      </w:r>
      <w:r>
        <w:rPr>
          <w:rStyle w:val="a7"/>
          <w:rtl/>
        </w:rPr>
        <w:footnoteReference w:id="234"/>
      </w:r>
      <w:r>
        <w:rPr>
          <w:rtl/>
        </w:rPr>
        <w:t>ל''ב לִשְׂמָאלָא יו''ד ה''א ה''א.</w:t>
      </w:r>
    </w:p>
    <w:p w:rsidR="00D45634" w:rsidRDefault="00D45634" w:rsidP="00B17EA9">
      <w:pPr>
        <w:pStyle w:val="NormalWeb"/>
        <w:rPr>
          <w:rtl/>
        </w:rPr>
      </w:pPr>
      <w:r>
        <w:rPr>
          <w:rStyle w:val="a7"/>
          <w:rtl/>
        </w:rPr>
        <w:lastRenderedPageBreak/>
        <w:footnoteReference w:id="235"/>
      </w:r>
      <w:r>
        <w:rPr>
          <w:rtl/>
        </w:rPr>
        <w:t xml:space="preserve">מִמַּרְאֵה מָתְנָיו וּלְמָעְלָה, וּמִמַּרְאֵה מָתְנָיו וּלְמַטָּה, אִינוּן תְּרֵין שׁוֹקִין, תְּרֵין נְבִיאֵי קְשׁוֹט, וְאִינוּן רְבִיעָאָה וַחֲמִשָּׁאָה לְחֶסֶד, </w:t>
      </w:r>
      <w:r>
        <w:rPr>
          <w:rStyle w:val="a7"/>
          <w:rtl/>
        </w:rPr>
        <w:footnoteReference w:id="236"/>
      </w:r>
      <w:r>
        <w:rPr>
          <w:rtl/>
        </w:rPr>
        <w:t xml:space="preserve">דְּמִתַּמָּן בִּנְיָנָא דְעָלְמָא, הֲדָא הוּא דִכְתִיב </w:t>
      </w:r>
      <w:r>
        <w:rPr>
          <w:sz w:val="20"/>
          <w:szCs w:val="23"/>
          <w:rtl/>
        </w:rPr>
        <w:t>(תהלים פט ג)</w:t>
      </w:r>
      <w:r>
        <w:rPr>
          <w:rtl/>
        </w:rPr>
        <w:t xml:space="preserve"> עוֹלָם חֶסֶד יִבָּנֶה, </w:t>
      </w:r>
      <w:r>
        <w:rPr>
          <w:rStyle w:val="a7"/>
          <w:rtl/>
        </w:rPr>
        <w:footnoteReference w:id="237"/>
      </w:r>
      <w:r>
        <w:rPr>
          <w:rtl/>
        </w:rPr>
        <w:t xml:space="preserve">ה' עִלָּאָה אִתְפַּשְׁטַת עַד הוֹד, חַמְשִׁין תַּרְעִין, וּבְגִין דָּא קָא רָמִיז עֲלָהּ, רָאִיתִי כְּמַרְאֵה אֵשׁ </w:t>
      </w:r>
      <w:r>
        <w:rPr>
          <w:rStyle w:val="a7"/>
          <w:rtl/>
        </w:rPr>
        <w:footnoteReference w:id="238"/>
      </w:r>
      <w:r>
        <w:rPr>
          <w:rtl/>
        </w:rPr>
        <w:t xml:space="preserve">ונגה לו סביב, </w:t>
      </w:r>
      <w:r>
        <w:rPr>
          <w:rStyle w:val="a7"/>
          <w:rtl/>
        </w:rPr>
        <w:footnoteReference w:id="239"/>
      </w:r>
      <w:r>
        <w:rPr>
          <w:rtl/>
        </w:rPr>
        <w:t>וּבָהּ שִׁית מַרְאוֹת.</w:t>
      </w:r>
    </w:p>
    <w:p w:rsidR="00D45634" w:rsidRDefault="00D45634" w:rsidP="00B17EA9">
      <w:pPr>
        <w:pStyle w:val="NormalWeb"/>
        <w:rPr>
          <w:rtl/>
        </w:rPr>
      </w:pPr>
      <w:r>
        <w:rPr>
          <w:rtl/>
        </w:rPr>
        <w:t xml:space="preserve">שְׁבִיעָאָה, </w:t>
      </w:r>
      <w:r>
        <w:rPr>
          <w:sz w:val="20"/>
          <w:szCs w:val="23"/>
          <w:rtl/>
        </w:rPr>
        <w:t>(יחזקאל א כח)</w:t>
      </w:r>
      <w:r>
        <w:rPr>
          <w:rtl/>
        </w:rPr>
        <w:t xml:space="preserve"> כְּמַרְאֵה הַקֶּשֶׁת, הַקֶּשֶׁת </w:t>
      </w:r>
      <w:r>
        <w:rPr>
          <w:rStyle w:val="a7"/>
          <w:rtl/>
        </w:rPr>
        <w:footnoteReference w:id="240"/>
      </w:r>
      <w:r>
        <w:rPr>
          <w:rtl/>
        </w:rPr>
        <w:t xml:space="preserve">דָּא צַדִּיק יְסוֹד עָלְמָא, כְּמַרְאֵה דִיליהּ לְתַתָּא מטטרו''ן, דָּא חָזָא יְחֶזְקֵאל, </w:t>
      </w:r>
      <w:r>
        <w:rPr>
          <w:rStyle w:val="a7"/>
          <w:rtl/>
        </w:rPr>
        <w:footnoteReference w:id="241"/>
      </w:r>
      <w:r>
        <w:rPr>
          <w:rtl/>
        </w:rPr>
        <w:t>דְּאִיהוּ כְּלִיל כָּל מַרְאוֹת.</w:t>
      </w:r>
    </w:p>
    <w:p w:rsidR="00D45634" w:rsidRDefault="00D45634" w:rsidP="00B17EA9">
      <w:pPr>
        <w:pStyle w:val="NormalWeb"/>
        <w:rPr>
          <w:rtl/>
        </w:rPr>
      </w:pPr>
      <w:r>
        <w:rPr>
          <w:rtl/>
        </w:rPr>
        <w:t xml:space="preserve">חֵיזוּ תְּמִינָאָה, כֵּן מַרְאֵה הַנֹּגַהּ סָבִיב, דָּא שְׁכִינְתָּא תַּתָּאָה, </w:t>
      </w:r>
      <w:r>
        <w:rPr>
          <w:rStyle w:val="a7"/>
          <w:rtl/>
        </w:rPr>
        <w:footnoteReference w:id="242"/>
      </w:r>
      <w:r>
        <w:rPr>
          <w:rtl/>
        </w:rPr>
        <w:t xml:space="preserve">דְאִתְּמַר בָּהּ </w:t>
      </w:r>
      <w:r>
        <w:rPr>
          <w:sz w:val="20"/>
          <w:szCs w:val="23"/>
          <w:rtl/>
        </w:rPr>
        <w:t>(ירמיהו לא כא)</w:t>
      </w:r>
      <w:r>
        <w:rPr>
          <w:rtl/>
        </w:rPr>
        <w:t xml:space="preserve"> נְקֵבָה תְּסוֹבֵב גָּבֶר, וּבְגִין דָּא כֵּן מַרְאֵה הַנֹּגַהּ סָבִיב, </w:t>
      </w:r>
      <w:r>
        <w:rPr>
          <w:rStyle w:val="a7"/>
          <w:rtl/>
        </w:rPr>
        <w:footnoteReference w:id="243"/>
      </w:r>
      <w:r>
        <w:rPr>
          <w:rtl/>
        </w:rPr>
        <w:t>אֵשׁ נֹגַהּ.</w:t>
      </w:r>
    </w:p>
    <w:p w:rsidR="00D45634" w:rsidRDefault="00D45634" w:rsidP="00B17EA9">
      <w:pPr>
        <w:pStyle w:val="NormalWeb"/>
        <w:rPr>
          <w:rtl/>
        </w:rPr>
      </w:pPr>
      <w:r>
        <w:rPr>
          <w:rtl/>
        </w:rPr>
        <w:t xml:space="preserve">תְּשִׁיעָאָה, הוּא מַרְאֵה דְּמוּת כְּבוֹד יהו''ה, </w:t>
      </w:r>
      <w:r>
        <w:rPr>
          <w:rStyle w:val="a7"/>
          <w:rtl/>
        </w:rPr>
        <w:footnoteReference w:id="244"/>
      </w:r>
      <w:r>
        <w:rPr>
          <w:rtl/>
        </w:rPr>
        <w:t xml:space="preserve">חָכְמָה עִלָּאָה, </w:t>
      </w:r>
      <w:r>
        <w:rPr>
          <w:rStyle w:val="a7"/>
          <w:rtl/>
        </w:rPr>
        <w:footnoteReference w:id="245"/>
      </w:r>
      <w:r>
        <w:rPr>
          <w:rtl/>
        </w:rPr>
        <w:t>דְמוּת דִּילָהּ חָזָא יְחֶזְקֵאל לְתַתָּא, וְלָא חָכְמָה.</w:t>
      </w:r>
    </w:p>
    <w:p w:rsidR="00D45634" w:rsidRDefault="00D45634" w:rsidP="00EF3849">
      <w:pPr>
        <w:pStyle w:val="2"/>
        <w:rPr>
          <w:rtl/>
        </w:rPr>
      </w:pPr>
      <w:r>
        <w:rPr>
          <w:rtl/>
        </w:rPr>
        <w:t>[תיקוני זוהר - דף ו ע''ב]</w:t>
      </w:r>
    </w:p>
    <w:p w:rsidR="00D45634" w:rsidRDefault="00D45634" w:rsidP="00B17EA9">
      <w:pPr>
        <w:pStyle w:val="NormalWeb"/>
        <w:rPr>
          <w:rtl/>
        </w:rPr>
      </w:pPr>
      <w:r>
        <w:rPr>
          <w:rStyle w:val="a7"/>
          <w:rtl/>
        </w:rPr>
        <w:footnoteReference w:id="246"/>
      </w:r>
      <w:r>
        <w:rPr>
          <w:rtl/>
        </w:rPr>
        <w:t xml:space="preserve">וְכַד מָטָא לִדְמוּת כֶּתֶר דְּאִיהוּ דַרְגָּא עֲשִׂירָאָה, חֲזִי מַה כְּתִיב בֵּיהּ, וָאֶרְאֶה וָאֶפּוֹל עַל פָּנַי, </w:t>
      </w:r>
      <w:r>
        <w:rPr>
          <w:rStyle w:val="a7"/>
          <w:rtl/>
        </w:rPr>
        <w:footnoteReference w:id="247"/>
      </w:r>
      <w:r>
        <w:rPr>
          <w:rtl/>
        </w:rPr>
        <w:t xml:space="preserve">דְּלָא יָכִיל לְמִסְבַּל, </w:t>
      </w:r>
      <w:r>
        <w:rPr>
          <w:rStyle w:val="a7"/>
          <w:rtl/>
        </w:rPr>
        <w:footnoteReference w:id="248"/>
      </w:r>
      <w:r>
        <w:rPr>
          <w:rtl/>
        </w:rPr>
        <w:t xml:space="preserve">וְאִם מַרְאוֹת דִּלְתַתָּא הָכִי, כָּל שֶׁכֵּן וְכָל שֶׁכֵּן מַרְאוֹת </w:t>
      </w:r>
      <w:r>
        <w:rPr>
          <w:sz w:val="20"/>
          <w:szCs w:val="23"/>
          <w:rtl/>
        </w:rPr>
        <w:t xml:space="preserve">(דף ו ע''ב) </w:t>
      </w:r>
      <w:r>
        <w:rPr>
          <w:rtl/>
        </w:rPr>
        <w:t>עִלָּאִין דִּסְפִירוֹת דִּבְּרִיאָה, כָּל שֶׁכֵּן וְכָל שֶׁכֵּן מַרְאוֹת דַּאֲצִילוּת.</w:t>
      </w:r>
    </w:p>
    <w:p w:rsidR="00D45634" w:rsidRDefault="00D45634" w:rsidP="00B17EA9">
      <w:pPr>
        <w:pStyle w:val="NormalWeb"/>
        <w:rPr>
          <w:rtl/>
        </w:rPr>
      </w:pPr>
      <w:r>
        <w:rPr>
          <w:rStyle w:val="a7"/>
          <w:rtl/>
        </w:rPr>
        <w:footnoteReference w:id="249"/>
      </w:r>
      <w:r>
        <w:rPr>
          <w:rtl/>
        </w:rPr>
        <w:t xml:space="preserve">וּבְרָזָא דְאָת א תִּשְׁכַּח חֹלֵ''ם חִירֵ''ק שׁוּרֵק כְּגַוְונָא דָא וֹּ </w:t>
      </w:r>
      <w:r>
        <w:rPr>
          <w:rStyle w:val="a7"/>
          <w:rtl/>
        </w:rPr>
        <w:footnoteReference w:id="250"/>
      </w:r>
      <w:r>
        <w:rPr>
          <w:rtl/>
        </w:rPr>
        <w:t xml:space="preserve">וְאִיהוּ גַלְגַּל דְּאִתְהַפַּךְ לְשִׁית סִטְרִין לְעִילָא וּלְתַתָּא וּלְאַרְבַּע סִטְרִין, אִתְהַפַּךְ לִימִינָא וְסָהִיד עַל עִלַּת עַל כֹּלָּא דְלֵית אֱלֹ''הַ אָחֳרָא לִימִינָא דְעָלְמָא, אִתְהַפַּךְ לִשְׂמָאלָא </w:t>
      </w:r>
      <w:r>
        <w:rPr>
          <w:rtl/>
        </w:rPr>
        <w:lastRenderedPageBreak/>
        <w:t xml:space="preserve">וְסָהִיד עֲלֵיהּ, וְהָכִי לְכָל סִטְרָא </w:t>
      </w:r>
      <w:r>
        <w:rPr>
          <w:rStyle w:val="a7"/>
          <w:rtl/>
        </w:rPr>
        <w:footnoteReference w:id="251"/>
      </w:r>
      <w:r>
        <w:rPr>
          <w:rtl/>
        </w:rPr>
        <w:t xml:space="preserve">סָהִיד עַל יִחוּדֵיהּ, דְּלֵית אֱלֹ''הַ אָחֳרָא עִילָא וְתַתָּא וּלְאַרְבַּע סִטְרִין, הַאי אִיהוּ דְאוּקְמוּהוּ מָארֵי מַתְנִיתִין </w:t>
      </w:r>
      <w:r>
        <w:rPr>
          <w:rStyle w:val="a7"/>
          <w:rtl/>
        </w:rPr>
        <w:footnoteReference w:id="252"/>
      </w:r>
      <w:r>
        <w:rPr>
          <w:rtl/>
        </w:rPr>
        <w:t>כְּדֵי שֶׁתַּמְלִיכֵהוּ עַל הַשָּׁמַיִם וְעַל הָאָרֶץ וְעַל אַרְבַּע רוּחוֹת הָעוֹלָם.</w:t>
      </w:r>
    </w:p>
    <w:p w:rsidR="00D45634" w:rsidRDefault="00D45634" w:rsidP="00B17EA9">
      <w:pPr>
        <w:pStyle w:val="NormalWeb"/>
        <w:rPr>
          <w:rtl/>
        </w:rPr>
      </w:pPr>
      <w:r>
        <w:rPr>
          <w:rStyle w:val="a7"/>
          <w:rtl/>
        </w:rPr>
        <w:footnoteReference w:id="253"/>
      </w:r>
      <w:r>
        <w:rPr>
          <w:rtl/>
        </w:rPr>
        <w:t xml:space="preserve">ו' כְּלִיל תְּלַת נְקוּדִין, עִילָא וְתַתָּא וְאֶמְצָעִיתָא, דְסַהֲדִין עַל עִלַּת עַל כֹּלָּא דְאִיהוּ רִאשׁוֹן וְאַחֲרוֹן וּמִבַּלְעָדָיו אֵין אֱלֹהִי''ם, וְאִיהוּ כְּלִיל שִׁית נְקוּדִין כְּחוּשְׁבַּן ו', דְּסַהֲדִין עַל עִלַּת עַל כֹּלָּא, דְלֵית אֱלֹ''הַ אָחֳרָא לְשִׁית סִטְרִין אֶלָּא הוּא, הָא תֵּשַׁע נְקוּדִין דִּכְלִילָן בְּאָת ו' מִן א, וְאָת א' בֵּיהּ אִשְׁתַּלִּימוּ לְעֶשֶׂר, </w:t>
      </w:r>
      <w:r>
        <w:rPr>
          <w:rStyle w:val="a7"/>
          <w:rtl/>
        </w:rPr>
        <w:footnoteReference w:id="254"/>
      </w:r>
      <w:r>
        <w:rPr>
          <w:rtl/>
        </w:rPr>
        <w:t xml:space="preserve">וּבֵיהּ כֻּלְּהוּ אָזְלִין לַאֲתַר חָד, הָא הָכָא רָזָא דְבִנְיָינָא דִיחֶזְקֵאל בְּרָזָא דִנְקוּדִין. </w:t>
      </w:r>
    </w:p>
    <w:p w:rsidR="00D45634" w:rsidRDefault="00D45634" w:rsidP="00B17EA9">
      <w:pPr>
        <w:pStyle w:val="NormalWeb"/>
        <w:rPr>
          <w:rtl/>
        </w:rPr>
      </w:pPr>
      <w:r>
        <w:rPr>
          <w:rtl/>
        </w:rPr>
        <w:t xml:space="preserve">(וְעוֹד רָזָא) נְקוּדֵי צָרִיךְ לְאַחֲזָרָא עֲלַיְיהוּ, קָמֵץ רָקִיעַ וְנִיצוֹץ, אִינוּן י''ו, </w:t>
      </w:r>
      <w:r>
        <w:rPr>
          <w:rStyle w:val="a7"/>
          <w:rtl/>
        </w:rPr>
        <w:footnoteReference w:id="255"/>
      </w:r>
      <w:r>
        <w:rPr>
          <w:rtl/>
        </w:rPr>
        <w:t xml:space="preserve">אִיהוּ קוֹמֶץ כָּל נְקוּדִין, דְּאִינוּן שִׁית סְרֵי כְּחֻשְׁבַּן </w:t>
      </w:r>
      <w:r>
        <w:rPr>
          <w:rStyle w:val="a7"/>
          <w:rtl/>
        </w:rPr>
        <w:footnoteReference w:id="256"/>
      </w:r>
      <w:r>
        <w:rPr>
          <w:rtl/>
        </w:rPr>
        <w:t xml:space="preserve">שִׁית סְרֵי אַנְפִּין דְּחֵיוָן, וּבְגִין דָּא אִיהוּ קוֹמֵץ </w:t>
      </w:r>
      <w:r>
        <w:rPr>
          <w:rStyle w:val="a7"/>
          <w:rtl/>
        </w:rPr>
        <w:footnoteReference w:id="257"/>
      </w:r>
      <w:r>
        <w:rPr>
          <w:rtl/>
        </w:rPr>
        <w:t xml:space="preserve">כָּל נְקוּדִין. </w:t>
      </w:r>
    </w:p>
    <w:p w:rsidR="00D45634" w:rsidRDefault="00D45634" w:rsidP="00B17EA9">
      <w:pPr>
        <w:pStyle w:val="NormalWeb"/>
        <w:rPr>
          <w:rtl/>
        </w:rPr>
      </w:pPr>
      <w:r>
        <w:rPr>
          <w:rtl/>
        </w:rPr>
        <w:t>(* הקטע הבא עד כי יד על כס קה, הובא מדף ד ע"ב)</w:t>
      </w:r>
    </w:p>
    <w:p w:rsidR="00D45634" w:rsidRDefault="00D45634" w:rsidP="00B17EA9">
      <w:pPr>
        <w:pStyle w:val="NormalWeb"/>
        <w:rPr>
          <w:rtl/>
        </w:rPr>
      </w:pPr>
      <w:r>
        <w:rPr>
          <w:rtl/>
        </w:rPr>
        <w:t>(</w:t>
      </w:r>
      <w:r>
        <w:rPr>
          <w:rStyle w:val="a7"/>
          <w:rtl/>
        </w:rPr>
        <w:footnoteReference w:id="258"/>
      </w:r>
      <w:r>
        <w:rPr>
          <w:rtl/>
        </w:rPr>
        <w:t xml:space="preserve">בְּאִלֵּין חָמֵשׁ) </w:t>
      </w:r>
      <w:r>
        <w:rPr>
          <w:sz w:val="20"/>
          <w:szCs w:val="23"/>
          <w:rtl/>
        </w:rPr>
        <w:t>(ויקרא ב ב)</w:t>
      </w:r>
      <w:r>
        <w:rPr>
          <w:rtl/>
        </w:rPr>
        <w:t xml:space="preserve"> וְקָמַץ </w:t>
      </w:r>
      <w:r>
        <w:rPr>
          <w:rStyle w:val="a7"/>
          <w:rtl/>
        </w:rPr>
        <w:footnoteReference w:id="259"/>
      </w:r>
      <w:r>
        <w:rPr>
          <w:rtl/>
        </w:rPr>
        <w:t>הַכֹּהֵן מִשָּׁם מְלֹא קֻמְצוֹ, קָמֵ''ץ אִיהוּ י' כַּד אִתְפַּתַּח בְּה' נְקוּדִין אִיהוּ ה', חָמֵשׁ אֶצְבְּעָאן, דִּבְהוֹן אִתְפַּתַּח קוֹמֶץ דְּאִיהוּ י', לְחַמְשִׁין תַּרְעִין דְּחֵירוּ.</w:t>
      </w:r>
    </w:p>
    <w:p w:rsidR="00D45634" w:rsidRDefault="00D45634" w:rsidP="00B17EA9">
      <w:pPr>
        <w:pStyle w:val="NormalWeb"/>
        <w:rPr>
          <w:rtl/>
        </w:rPr>
      </w:pPr>
      <w:r>
        <w:rPr>
          <w:rtl/>
        </w:rPr>
        <w:t xml:space="preserve">(וְאַתְוָון י''ה </w:t>
      </w:r>
      <w:r>
        <w:rPr>
          <w:rStyle w:val="a7"/>
          <w:rtl/>
        </w:rPr>
        <w:footnoteReference w:id="260"/>
      </w:r>
      <w:r>
        <w:rPr>
          <w:rtl/>
        </w:rPr>
        <w:t xml:space="preserve">כְּחֻשְׁבַּן חֹלֵ''ם דְּאִיהוּ אֶמְצָעִי, וְחִרֵ''ק כְּחֻשְׁבַּן ו''ה) קָמֵ''ץ י''ד פִּרְקִין דְּאֶצְבְּעָן, וְהַאי אִיהוּ </w:t>
      </w:r>
      <w:r>
        <w:rPr>
          <w:sz w:val="20"/>
          <w:szCs w:val="23"/>
          <w:rtl/>
        </w:rPr>
        <w:t>(שמות יז טז)</w:t>
      </w:r>
      <w:r>
        <w:rPr>
          <w:rtl/>
        </w:rPr>
        <w:t xml:space="preserve"> וַיֹּאמֶר </w:t>
      </w:r>
      <w:r>
        <w:rPr>
          <w:rStyle w:val="a7"/>
          <w:rtl/>
        </w:rPr>
        <w:footnoteReference w:id="261"/>
      </w:r>
      <w:r>
        <w:rPr>
          <w:rtl/>
        </w:rPr>
        <w:t xml:space="preserve">כִּי יָ''ד </w:t>
      </w:r>
      <w:r>
        <w:rPr>
          <w:rStyle w:val="a7"/>
          <w:rtl/>
        </w:rPr>
        <w:footnoteReference w:id="262"/>
      </w:r>
      <w:r>
        <w:rPr>
          <w:rtl/>
        </w:rPr>
        <w:t>עַל כֵּס י''הּ, ו' דְּרוֹעָא ה' כָּתֵף.</w:t>
      </w:r>
    </w:p>
    <w:p w:rsidR="00D45634" w:rsidRDefault="00D45634" w:rsidP="00EF3849">
      <w:pPr>
        <w:pStyle w:val="2"/>
        <w:rPr>
          <w:rtl/>
        </w:rPr>
      </w:pPr>
      <w:r>
        <w:rPr>
          <w:rtl/>
        </w:rPr>
        <w:t>[תיקוני זוהר - המשך דף ו ע''ב]</w:t>
      </w:r>
    </w:p>
    <w:p w:rsidR="00D45634" w:rsidRDefault="00D45634" w:rsidP="00B17EA9">
      <w:pPr>
        <w:pStyle w:val="NormalWeb"/>
        <w:rPr>
          <w:rtl/>
        </w:rPr>
      </w:pPr>
      <w:r>
        <w:rPr>
          <w:rtl/>
        </w:rPr>
        <w:t xml:space="preserve">פַּתָח בְּחוּשְׁבַּן אוֹתִיּוֹתָיו </w:t>
      </w:r>
      <w:r>
        <w:rPr>
          <w:rStyle w:val="a7"/>
          <w:rtl/>
        </w:rPr>
        <w:footnoteReference w:id="263"/>
      </w:r>
      <w:r>
        <w:rPr>
          <w:rtl/>
        </w:rPr>
        <w:t xml:space="preserve">אִיהוּ יוּ''ד, וּכְתִיב </w:t>
      </w:r>
      <w:r>
        <w:rPr>
          <w:sz w:val="20"/>
          <w:szCs w:val="23"/>
          <w:rtl/>
        </w:rPr>
        <w:t>(תהלים קמה טז)</w:t>
      </w:r>
      <w:r>
        <w:rPr>
          <w:rtl/>
        </w:rPr>
        <w:t xml:space="preserve"> פּוֹתֵחַ אֶת יָדֶךָ וּמַשְׂבִּיעַ לְכָל חַי רָצוֹן, וְאוּקְמוּהוּ אַל תִּקְרֵי יָדֶךָ </w:t>
      </w:r>
      <w:r>
        <w:rPr>
          <w:rStyle w:val="a7"/>
          <w:rtl/>
        </w:rPr>
        <w:footnoteReference w:id="264"/>
      </w:r>
      <w:r>
        <w:rPr>
          <w:rtl/>
        </w:rPr>
        <w:t xml:space="preserve">אֶלָּא יוּדֶי''ךָ, וְאִינוּן י''י מִן יאהדונה''י, </w:t>
      </w:r>
      <w:r>
        <w:rPr>
          <w:rStyle w:val="a7"/>
          <w:rtl/>
        </w:rPr>
        <w:footnoteReference w:id="265"/>
      </w:r>
      <w:r>
        <w:rPr>
          <w:rtl/>
        </w:rPr>
        <w:t>וּבְאָן אֲתַר מִתְפַּתְּחִין בִּרְקִיעָא דְאִיהוּ פַּתָח, וְאִיהוּ מַפְתֵּחַ כְּלִיל אהדונ''ה שִׁית אַתְוָון בְּאֶמְצַע י''י, וּתְרֵין יוּדִין עִם רָקִיעַ דְּאִיהוּ ו' סְלִיק לְחוּשְׁבַּן יהו''ה.</w:t>
      </w:r>
    </w:p>
    <w:p w:rsidR="00D45634" w:rsidRDefault="00D45634" w:rsidP="00EF3849">
      <w:pPr>
        <w:pStyle w:val="2"/>
        <w:rPr>
          <w:rtl/>
        </w:rPr>
      </w:pPr>
      <w:r>
        <w:rPr>
          <w:rtl/>
        </w:rPr>
        <w:t>[תיקוני זוהר - דף ז ע''א]</w:t>
      </w:r>
    </w:p>
    <w:p w:rsidR="00D45634" w:rsidRDefault="00D45634" w:rsidP="00B17EA9">
      <w:pPr>
        <w:pStyle w:val="NormalWeb"/>
        <w:rPr>
          <w:rtl/>
        </w:rPr>
      </w:pPr>
      <w:r>
        <w:rPr>
          <w:rtl/>
        </w:rPr>
        <w:t xml:space="preserve">צֵרִ''י אִיהוּ חוּשְׁבַּן ו' ו', וּתְחת צַדִּי תְּרֵין נִיצוֹצִין דְּאִינוּן י' י', </w:t>
      </w:r>
      <w:r>
        <w:rPr>
          <w:rStyle w:val="a7"/>
          <w:rtl/>
        </w:rPr>
        <w:footnoteReference w:id="266"/>
      </w:r>
      <w:r>
        <w:rPr>
          <w:rtl/>
        </w:rPr>
        <w:t xml:space="preserve">אֶת שְׁנֵי הַמְּאוֹרוֹת הַגְּדוֹלִים, וְאִינוּן ו' ו' י' י' סָלְקִין ל''ב, </w:t>
      </w:r>
      <w:r>
        <w:rPr>
          <w:rStyle w:val="a7"/>
          <w:rtl/>
        </w:rPr>
        <w:footnoteReference w:id="267"/>
      </w:r>
      <w:r>
        <w:rPr>
          <w:rtl/>
        </w:rPr>
        <w:t xml:space="preserve">וְאִינוּן ל''ב נְתִיבוֹת פְּלִיאוֹת חָכְמָה, וּנְקוּדָה תְחוֹת ר' מִן צֵרִ''י דְאִיהִי י' עֶשֶׂר סְפִירוֹת, </w:t>
      </w:r>
      <w:r>
        <w:rPr>
          <w:rStyle w:val="a7"/>
          <w:rtl/>
        </w:rPr>
        <w:footnoteReference w:id="268"/>
      </w:r>
      <w:r>
        <w:rPr>
          <w:rtl/>
        </w:rPr>
        <w:t xml:space="preserve">הֲרֵי מ''ב, </w:t>
      </w:r>
      <w:r>
        <w:rPr>
          <w:rStyle w:val="a7"/>
          <w:rtl/>
        </w:rPr>
        <w:lastRenderedPageBreak/>
        <w:footnoteReference w:id="269"/>
      </w:r>
      <w:r>
        <w:rPr>
          <w:rtl/>
        </w:rPr>
        <w:t xml:space="preserve">וּבְגִין דָּא צֵרִ''י, </w:t>
      </w:r>
      <w:r>
        <w:rPr>
          <w:rStyle w:val="a7"/>
          <w:rtl/>
        </w:rPr>
        <w:footnoteReference w:id="270"/>
      </w:r>
      <w:r>
        <w:rPr>
          <w:rtl/>
        </w:rPr>
        <w:t xml:space="preserve">בֵּיהּ צִיֵּיר עָלְמִין, </w:t>
      </w:r>
      <w:r>
        <w:rPr>
          <w:rStyle w:val="a7"/>
          <w:rtl/>
        </w:rPr>
        <w:footnoteReference w:id="271"/>
      </w:r>
      <w:r>
        <w:rPr>
          <w:rtl/>
        </w:rPr>
        <w:t xml:space="preserve">וַיִּיצֶר תַּמָּן צֵרִ''י, </w:t>
      </w:r>
      <w:r>
        <w:rPr>
          <w:rStyle w:val="a7"/>
          <w:rtl/>
        </w:rPr>
        <w:footnoteReference w:id="272"/>
      </w:r>
      <w:r>
        <w:rPr>
          <w:rtl/>
        </w:rPr>
        <w:t xml:space="preserve">בֵּיהּ </w:t>
      </w:r>
      <w:r>
        <w:rPr>
          <w:rStyle w:val="a7"/>
          <w:rtl/>
        </w:rPr>
        <w:footnoteReference w:id="273"/>
      </w:r>
      <w:r>
        <w:rPr>
          <w:rtl/>
        </w:rPr>
        <w:t xml:space="preserve">צִיֵּיר אָדָם, הֲרֵי </w:t>
      </w:r>
      <w:r>
        <w:rPr>
          <w:sz w:val="20"/>
          <w:szCs w:val="23"/>
          <w:rtl/>
        </w:rPr>
        <w:t xml:space="preserve">(דף ז ע''א) </w:t>
      </w:r>
      <w:r>
        <w:rPr>
          <w:rtl/>
        </w:rPr>
        <w:t>רָזָא דְנָקוּד צֵרִי מ''ב, וּתְלַת אַתְוָון הֲרֵי מ''ה, כְּחוּשְׁבַּן אָדָ''ם.</w:t>
      </w:r>
    </w:p>
    <w:p w:rsidR="00D45634" w:rsidRDefault="00D45634" w:rsidP="00B17EA9">
      <w:pPr>
        <w:pStyle w:val="NormalWeb"/>
        <w:rPr>
          <w:rtl/>
        </w:rPr>
      </w:pPr>
      <w:r>
        <w:rPr>
          <w:rtl/>
        </w:rPr>
        <w:t xml:space="preserve">שְׁבָא אוּף הָכִי </w:t>
      </w:r>
      <w:r>
        <w:rPr>
          <w:sz w:val="20"/>
          <w:szCs w:val="23"/>
          <w:rtl/>
        </w:rPr>
        <w:t>(בראשית א טז)</w:t>
      </w:r>
      <w:r>
        <w:rPr>
          <w:rtl/>
        </w:rPr>
        <w:t xml:space="preserve"> </w:t>
      </w:r>
      <w:r>
        <w:rPr>
          <w:rStyle w:val="a7"/>
          <w:rtl/>
        </w:rPr>
        <w:footnoteReference w:id="274"/>
      </w:r>
      <w:r>
        <w:rPr>
          <w:rtl/>
        </w:rPr>
        <w:t xml:space="preserve">אֶת הַמָּאוֹר הַגָּדוֹל לְמֶמְשֶׁלֶת הַיּוֹם, וְאֶת הַמָּאוֹר הַקָּטֹן וגו', </w:t>
      </w:r>
      <w:r>
        <w:rPr>
          <w:rStyle w:val="a7"/>
          <w:rtl/>
        </w:rPr>
        <w:footnoteReference w:id="275"/>
      </w:r>
      <w:r>
        <w:rPr>
          <w:rtl/>
        </w:rPr>
        <w:t xml:space="preserve">וּבֵיהּ רָזָא מ''ב, וּבֵיהּ רָזָא דְאָדָם, כְּגַוְונָא דָא, חֻשְׁבַּן שְׁבָא ו', וּתְלַת נִיצוֹצוֹת וְרָקִיעַ י' י' י' ו' דְּחוּשְׁבָּנֵהוֹן ל''ו, הֲרֵי מ''ב, וּתְלַת אַתְוָון שְׁבָ''א הֲרֵי מ''ה, </w:t>
      </w:r>
      <w:r>
        <w:rPr>
          <w:rStyle w:val="a7"/>
          <w:rtl/>
        </w:rPr>
        <w:footnoteReference w:id="276"/>
      </w:r>
      <w:r>
        <w:rPr>
          <w:rtl/>
        </w:rPr>
        <w:t xml:space="preserve">וְרָזָא דְמִלָּה </w:t>
      </w:r>
      <w:r>
        <w:rPr>
          <w:sz w:val="20"/>
          <w:szCs w:val="23"/>
          <w:rtl/>
        </w:rPr>
        <w:t>(שמות ג יג)</w:t>
      </w:r>
      <w:r>
        <w:rPr>
          <w:rtl/>
        </w:rPr>
        <w:t xml:space="preserve"> וְאָמְרוּ לִי מַה שְּׁמוֹ מָ''ה אוֹמַר אֲלֵיהֶם, וְנִקּוּד שְׁבָ''א נָקוּד בְּשֵׁם יהו''ה בְּאוֹרַיְיתָא.</w:t>
      </w:r>
    </w:p>
    <w:p w:rsidR="00D45634" w:rsidRDefault="00D45634" w:rsidP="00B17EA9">
      <w:pPr>
        <w:pStyle w:val="NormalWeb"/>
        <w:rPr>
          <w:rtl/>
        </w:rPr>
      </w:pPr>
      <w:r>
        <w:rPr>
          <w:rtl/>
        </w:rPr>
        <w:t xml:space="preserve">סֶגוֹל חַ''י חֻשְׁבָּנֵיהּ, </w:t>
      </w:r>
      <w:r>
        <w:rPr>
          <w:rStyle w:val="a7"/>
          <w:rtl/>
        </w:rPr>
        <w:footnoteReference w:id="277"/>
      </w:r>
      <w:r>
        <w:rPr>
          <w:rtl/>
        </w:rPr>
        <w:t xml:space="preserve">וְאִיהוּ ו' ו' ו' מִן וַ יִּסַּע וַ יָּבֹא וַ יֵּט, </w:t>
      </w:r>
      <w:r>
        <w:rPr>
          <w:rStyle w:val="a7"/>
          <w:rtl/>
        </w:rPr>
        <w:footnoteReference w:id="278"/>
      </w:r>
      <w:r>
        <w:rPr>
          <w:rtl/>
        </w:rPr>
        <w:t xml:space="preserve">וּתְלַת נְקוּדִין י' י' י' אִיהוּ ח''ם, וְאַרְבַּע אַתְוָון מִן סֶגוֹ''ל </w:t>
      </w:r>
      <w:r>
        <w:rPr>
          <w:rStyle w:val="a7"/>
          <w:rtl/>
        </w:rPr>
        <w:footnoteReference w:id="279"/>
      </w:r>
      <w:r>
        <w:rPr>
          <w:rtl/>
        </w:rPr>
        <w:t xml:space="preserve">אִיהוּ חמ''ד, וְתֵיבָה הָא אִינוּן חַמָּ''ה, </w:t>
      </w:r>
      <w:r>
        <w:rPr>
          <w:rStyle w:val="a7"/>
          <w:rtl/>
        </w:rPr>
        <w:footnoteReference w:id="280"/>
      </w:r>
      <w:r>
        <w:rPr>
          <w:rtl/>
        </w:rPr>
        <w:t>פְּנֵי מֹשֶׁה כִּפְּנֵי חַמָּה.</w:t>
      </w:r>
    </w:p>
    <w:p w:rsidR="00D45634" w:rsidRDefault="00D45634" w:rsidP="00B17EA9">
      <w:pPr>
        <w:pStyle w:val="NormalWeb"/>
        <w:rPr>
          <w:rtl/>
        </w:rPr>
      </w:pPr>
      <w:r>
        <w:rPr>
          <w:rtl/>
        </w:rPr>
        <w:t xml:space="preserve">חֹלֵם חָסֵר ו' חוּשְׁבָּנֵיהּ י''ה, וּתְלַת נִיצוֹצוֹת י' י' י' </w:t>
      </w:r>
      <w:r>
        <w:rPr>
          <w:rStyle w:val="a7"/>
          <w:rtl/>
        </w:rPr>
        <w:footnoteReference w:id="281"/>
      </w:r>
      <w:r>
        <w:rPr>
          <w:rtl/>
        </w:rPr>
        <w:t xml:space="preserve">הָא אִינוּן מ''ה, שְׁמָא מְפָרַשׁ יו''ד ה''א וא''ו ה''א, וְעִם תְּלַת אַתְוָון וְתֵיבָה הָא אִיהוּ מ''ט, כְּחוּשְׁבַּן מ''ט אַתְוָון דִּשְׁמַע יִשְׂרָאֵל וכו' </w:t>
      </w:r>
      <w:r>
        <w:rPr>
          <w:sz w:val="20"/>
          <w:szCs w:val="23"/>
          <w:rtl/>
        </w:rPr>
        <w:t>(דברים ו ד)</w:t>
      </w:r>
      <w:r>
        <w:rPr>
          <w:rtl/>
        </w:rPr>
        <w:t xml:space="preserve">, בָּרוּךְ שֵׁם כְּבוֹד וכו', וְאוּקְמוּהוּ רַבָּנָן דְּמַתְנִיתִין, חֲמִשִּׁים שַׁעֲרֵי בִּינָה נִבְרְאוּ בָּעוֹלָם וְנִתְּנוּ לְמֹשֶׁה, חוּץ מֵאֶחָד, שֶׁנֶּאֱמַר </w:t>
      </w:r>
      <w:r>
        <w:rPr>
          <w:sz w:val="20"/>
          <w:szCs w:val="23"/>
          <w:rtl/>
        </w:rPr>
        <w:t>(תהלים ח ו)</w:t>
      </w:r>
      <w:r>
        <w:rPr>
          <w:rtl/>
        </w:rPr>
        <w:t xml:space="preserve"> וַתְּחַסְּרֵהוּ מְעַט מֵאֱלֹהִי''ם, </w:t>
      </w:r>
      <w:r>
        <w:rPr>
          <w:rStyle w:val="a7"/>
          <w:rtl/>
        </w:rPr>
        <w:footnoteReference w:id="282"/>
      </w:r>
      <w:r>
        <w:rPr>
          <w:rtl/>
        </w:rPr>
        <w:t xml:space="preserve">וּלְתַתָּא בְּמַלְאָכִים אִינוּן מ''ט פָּנִים טָהוֹר מ"ט מִן מטטרו''ן, דְּאִיהוּ </w:t>
      </w:r>
      <w:r>
        <w:rPr>
          <w:rStyle w:val="a7"/>
          <w:rtl/>
        </w:rPr>
        <w:footnoteReference w:id="283"/>
      </w:r>
      <w:r>
        <w:rPr>
          <w:rtl/>
        </w:rPr>
        <w:t>חֹלֵ''ם בְּמַלְאָכִים.</w:t>
      </w:r>
    </w:p>
    <w:p w:rsidR="00D45634" w:rsidRDefault="00D45634" w:rsidP="00B17EA9">
      <w:pPr>
        <w:pStyle w:val="NormalWeb"/>
        <w:rPr>
          <w:rtl/>
        </w:rPr>
      </w:pPr>
      <w:r>
        <w:rPr>
          <w:rtl/>
        </w:rPr>
        <w:t xml:space="preserve">חִירֵק עִם חוּשְׁבַּן אַתְוָון אִיהוּ א''ם, </w:t>
      </w:r>
      <w:r>
        <w:rPr>
          <w:rStyle w:val="a7"/>
          <w:rtl/>
        </w:rPr>
        <w:footnoteReference w:id="284"/>
      </w:r>
      <w:r>
        <w:rPr>
          <w:rtl/>
        </w:rPr>
        <w:t xml:space="preserve">חִרֵק חוּשְׁבָּנֵיהּ ו''ה, וּתְלַת נִיצוֹצוֹת י' י' י' תְּלָתִין, הָא </w:t>
      </w:r>
      <w:r>
        <w:rPr>
          <w:rStyle w:val="a7"/>
          <w:rtl/>
        </w:rPr>
        <w:footnoteReference w:id="285"/>
      </w:r>
      <w:r>
        <w:rPr>
          <w:rtl/>
        </w:rPr>
        <w:t>אִיהוּ א''ם.</w:t>
      </w:r>
    </w:p>
    <w:p w:rsidR="00D45634" w:rsidRDefault="00D45634" w:rsidP="00B17EA9">
      <w:pPr>
        <w:pStyle w:val="NormalWeb"/>
        <w:rPr>
          <w:rtl/>
        </w:rPr>
      </w:pPr>
      <w:r>
        <w:rPr>
          <w:rtl/>
        </w:rPr>
        <w:t xml:space="preserve">שֻׁרֵק אִיהוּ חוּשְׁבַּן אַתְווֹי ו', וְחָמֵשׁ נִיצוֹצוֹת חַמְשִׁין, הָא נ''ו, תְּלַת אַתְוָון וְתֵיבָה הָא אִנּוּן ס', </w:t>
      </w:r>
      <w:r>
        <w:rPr>
          <w:rStyle w:val="a7"/>
          <w:rtl/>
        </w:rPr>
        <w:footnoteReference w:id="286"/>
      </w:r>
      <w:r>
        <w:rPr>
          <w:rtl/>
        </w:rPr>
        <w:t>סוֹד יהו''ה לִירֵאָיו, (</w:t>
      </w:r>
      <w:r>
        <w:rPr>
          <w:rStyle w:val="a7"/>
          <w:rtl/>
        </w:rPr>
        <w:footnoteReference w:id="287"/>
      </w:r>
      <w:r>
        <w:rPr>
          <w:rtl/>
        </w:rPr>
        <w:t xml:space="preserve">וּבֵיהּ </w:t>
      </w:r>
      <w:r>
        <w:rPr>
          <w:sz w:val="20"/>
          <w:szCs w:val="23"/>
          <w:rtl/>
        </w:rPr>
        <w:t>(ירמיה לא ו)</w:t>
      </w:r>
      <w:r>
        <w:rPr>
          <w:rtl/>
        </w:rPr>
        <w:t xml:space="preserve"> רָ"נּוּ לְיַעֲקֹ"ב שִׂ"מְחָה נוֹטְרִיקוֹן שׁוּרֵ''ק).</w:t>
      </w:r>
    </w:p>
    <w:p w:rsidR="00D45634" w:rsidRDefault="00D45634" w:rsidP="00B17EA9">
      <w:pPr>
        <w:pStyle w:val="NormalWeb"/>
        <w:rPr>
          <w:rtl/>
        </w:rPr>
      </w:pPr>
      <w:r>
        <w:rPr>
          <w:sz w:val="20"/>
          <w:szCs w:val="23"/>
          <w:rtl/>
        </w:rPr>
        <w:t>(משלי י כה)</w:t>
      </w:r>
      <w:r>
        <w:rPr>
          <w:rtl/>
        </w:rPr>
        <w:t xml:space="preserve"> צַדִּיק יְסוֹד עוֹלָם בֵּיהּ סוֹד </w:t>
      </w:r>
      <w:r>
        <w:rPr>
          <w:rStyle w:val="a7"/>
          <w:rtl/>
        </w:rPr>
        <w:footnoteReference w:id="288"/>
      </w:r>
      <w:r>
        <w:rPr>
          <w:rtl/>
        </w:rPr>
        <w:t xml:space="preserve">דְּכָל נְקוּדֵי מֵחָכְמָה עִלָּאָה מִתְפַּשְׁטָאן, תִּשְׁעָה עַד מַלְכוּת, וְטַעֲמֵי מִכֶּתֶר עַד מַלְכוּת, (וְשׁוּרֵ''ק צַדִּיק יְסוֹד עָלְמָא, בֵּיהּ סוֹד), וּבָה </w:t>
      </w:r>
      <w:r>
        <w:rPr>
          <w:rStyle w:val="a7"/>
          <w:rtl/>
        </w:rPr>
        <w:footnoteReference w:id="289"/>
      </w:r>
      <w:r>
        <w:rPr>
          <w:rtl/>
        </w:rPr>
        <w:t xml:space="preserve">שׁוּרֵק תִּנְיָינָא בְּתוֹסֶפֶת ו' </w:t>
      </w:r>
      <w:r>
        <w:rPr>
          <w:rStyle w:val="a7"/>
          <w:rtl/>
        </w:rPr>
        <w:footnoteReference w:id="290"/>
      </w:r>
      <w:r>
        <w:rPr>
          <w:rtl/>
        </w:rPr>
        <w:t>מ''ב.</w:t>
      </w:r>
    </w:p>
    <w:p w:rsidR="00D45634" w:rsidRDefault="00D45634" w:rsidP="00B17EA9">
      <w:pPr>
        <w:pStyle w:val="NormalWeb"/>
        <w:rPr>
          <w:rtl/>
        </w:rPr>
      </w:pPr>
      <w:r>
        <w:rPr>
          <w:rtl/>
        </w:rPr>
        <w:lastRenderedPageBreak/>
        <w:t xml:space="preserve">וְאִינוּן רְמִיזִין יהו''ה אלהינ''ו יהו''ה, וּבְחָמֵשׁ אֶצְבְּעָאן דְּיַד שְׂמָאלָא י''ד פִּרְקִין, רְמִיזִין כוז''ו במוכס''ז כוז''ו, וְאִינוּן כ''ח, דְּאִתְּמַר עֲלַיְיהוּ </w:t>
      </w:r>
      <w:r>
        <w:rPr>
          <w:sz w:val="20"/>
          <w:szCs w:val="23"/>
          <w:rtl/>
        </w:rPr>
        <w:t>(במדבר יד יז)</w:t>
      </w:r>
      <w:r>
        <w:rPr>
          <w:rtl/>
        </w:rPr>
        <w:t xml:space="preserve"> וְעַתָּה יִגְדַּל נָא כֹּ''חַ יהו''ה, וְהָכִי סְלִיק </w:t>
      </w:r>
      <w:r>
        <w:rPr>
          <w:rStyle w:val="a7"/>
          <w:rtl/>
        </w:rPr>
        <w:footnoteReference w:id="291"/>
      </w:r>
      <w:r>
        <w:rPr>
          <w:rtl/>
        </w:rPr>
        <w:t xml:space="preserve">אי''ה או''ה כ''ח, </w:t>
      </w:r>
      <w:r>
        <w:rPr>
          <w:rStyle w:val="a7"/>
          <w:rtl/>
        </w:rPr>
        <w:footnoteReference w:id="292"/>
      </w:r>
      <w:r>
        <w:rPr>
          <w:rtl/>
        </w:rPr>
        <w:t xml:space="preserve">דִּרְמִיזִין </w:t>
      </w:r>
      <w:r>
        <w:rPr>
          <w:sz w:val="20"/>
          <w:szCs w:val="23"/>
          <w:rtl/>
        </w:rPr>
        <w:t>(ירמיה יז יב)</w:t>
      </w:r>
      <w:r>
        <w:rPr>
          <w:rtl/>
        </w:rPr>
        <w:t xml:space="preserve"> בְּכִּסֵּא כָבוֹד מָרוֹם מֵרִאשׁוֹן.</w:t>
      </w:r>
    </w:p>
    <w:p w:rsidR="00D45634" w:rsidRDefault="00D45634" w:rsidP="00B17EA9">
      <w:pPr>
        <w:pStyle w:val="NormalWeb"/>
        <w:rPr>
          <w:rtl/>
        </w:rPr>
      </w:pPr>
      <w:r>
        <w:rPr>
          <w:rStyle w:val="a7"/>
          <w:rtl/>
        </w:rPr>
        <w:footnoteReference w:id="293"/>
      </w:r>
      <w:r>
        <w:rPr>
          <w:rtl/>
        </w:rPr>
        <w:t xml:space="preserve">מִיָּד דְּאִסְתַּלְקוּ, וַיֵּלְכוּ בְלֹא כֹחַ לִפְנֵי רוֹדֵף </w:t>
      </w:r>
      <w:r>
        <w:rPr>
          <w:sz w:val="20"/>
          <w:szCs w:val="23"/>
          <w:rtl/>
        </w:rPr>
        <w:t>(איכה א ו)</w:t>
      </w:r>
      <w:r>
        <w:rPr>
          <w:rtl/>
        </w:rPr>
        <w:t xml:space="preserve">, וּבְגִין דָא אוּקְמוּהָ מָארֵי מַתְנִיתִין, כָּל הָאוֹמֵר אָמֵן יְהֵא שְׁמֵיהּ רַבָּא בְּכָל כֹּחוֹ, קוֹרְעִין לוֹ גְזַר דִּינוֹ שֶׁל שִׁבְעִים שָׁנָה, דְּאִינוּן שַׁבְעִין שְׁנִין, בָּתַר אֶלֶף וּמָאתָן שְׁנִין, דְּאִתְחֲרַב בֵּי מַקְדְּשָׁא, </w:t>
      </w:r>
      <w:r>
        <w:rPr>
          <w:rStyle w:val="a7"/>
          <w:rtl/>
        </w:rPr>
        <w:footnoteReference w:id="294"/>
      </w:r>
      <w:r>
        <w:rPr>
          <w:rtl/>
        </w:rPr>
        <w:t xml:space="preserve">וְאִית דאוֹסִיף בֵּיהּ ב' </w:t>
      </w:r>
      <w:r>
        <w:rPr>
          <w:sz w:val="20"/>
          <w:szCs w:val="23"/>
          <w:rtl/>
        </w:rPr>
        <w:t>(דהוא ע"ב, דבאמת ח"י שנים קודם החורבן בטל התמיד כידוע)</w:t>
      </w:r>
      <w:r>
        <w:rPr>
          <w:rtl/>
        </w:rPr>
        <w:t xml:space="preserve">, קָרוֹב יהו''ה לְכָל קוֹרְאָיו לְכֹל אֲשֶׁר יִקְרָאֻהוּ בֶאֱמֶת </w:t>
      </w:r>
      <w:r>
        <w:rPr>
          <w:sz w:val="20"/>
          <w:szCs w:val="23"/>
          <w:rtl/>
        </w:rPr>
        <w:t>(תהלים קמה יח)</w:t>
      </w:r>
      <w:r>
        <w:rPr>
          <w:szCs w:val="23"/>
          <w:rtl/>
        </w:rPr>
        <w:t xml:space="preserve">, </w:t>
      </w:r>
      <w:r w:rsidRPr="00957FF7">
        <w:rPr>
          <w:rtl/>
        </w:rPr>
        <w:t>לָדַעַת בָּאָרֶץ דַּרְכֶּךָ</w:t>
      </w:r>
      <w:r>
        <w:rPr>
          <w:szCs w:val="23"/>
          <w:rtl/>
        </w:rPr>
        <w:t xml:space="preserve"> </w:t>
      </w:r>
      <w:r>
        <w:rPr>
          <w:sz w:val="20"/>
          <w:szCs w:val="23"/>
          <w:rtl/>
        </w:rPr>
        <w:t>(שם סז ג)</w:t>
      </w:r>
      <w:r>
        <w:rPr>
          <w:rtl/>
        </w:rPr>
        <w:t xml:space="preserve">, </w:t>
      </w:r>
      <w:r>
        <w:rPr>
          <w:rStyle w:val="a7"/>
          <w:rtl/>
        </w:rPr>
        <w:footnoteReference w:id="295"/>
      </w:r>
      <w:r>
        <w:rPr>
          <w:rtl/>
        </w:rPr>
        <w:t xml:space="preserve">וְאִית דְּחָשִׁיב לוֹן מִשֶּׁבּוּטַל הַתָּמִיד, בְּגִין דִּבְדַרְגָּא דְיַעֲקֹב תַּלְיָא קֵץ דְּפוּרְקָנָא, דְּדַרְגֵּיהּ אֱמֶת, הֲדָא הוּא דִכְתִיב </w:t>
      </w:r>
      <w:r>
        <w:rPr>
          <w:sz w:val="20"/>
          <w:szCs w:val="23"/>
          <w:rtl/>
        </w:rPr>
        <w:t>(מיכה ז כ)</w:t>
      </w:r>
      <w:r>
        <w:rPr>
          <w:rtl/>
        </w:rPr>
        <w:t xml:space="preserve"> תִּתֵּ"ן אֱמֶ''ת לְיַעֲקֹב, דְּאִיהוּ סִימָן אֶלֶף מָאתַיִם תִּשְׁעִים, אוּף הָכִי אֶרֶץ, א' אֶלֶּף, ר''ץ מָאתַיִם וְתִשְׁעִים, לְקַיְימָא בְהוֹן אֱמֶ''ת מֵאֶרֶ''ץ תִּצְמָח </w:t>
      </w:r>
      <w:r>
        <w:rPr>
          <w:sz w:val="20"/>
          <w:szCs w:val="23"/>
          <w:rtl/>
        </w:rPr>
        <w:t>(שם פד יב)</w:t>
      </w:r>
      <w:r>
        <w:rPr>
          <w:rtl/>
        </w:rPr>
        <w:t xml:space="preserve">, כַּד יְהוֹן לְבָר כְּחוּשְׁבַּן אֶרֶ''ץ, </w:t>
      </w:r>
      <w:r>
        <w:rPr>
          <w:rStyle w:val="a7"/>
          <w:rtl/>
        </w:rPr>
        <w:footnoteReference w:id="296"/>
      </w:r>
      <w:r>
        <w:rPr>
          <w:rtl/>
        </w:rPr>
        <w:t>אֲבָל גְּזַר דִּינָם שִׁבְעִים שָׁנִים.</w:t>
      </w:r>
    </w:p>
    <w:p w:rsidR="00D45634" w:rsidRDefault="00D45634" w:rsidP="00B17EA9">
      <w:pPr>
        <w:pStyle w:val="NormalWeb"/>
        <w:rPr>
          <w:rtl/>
        </w:rPr>
      </w:pPr>
      <w:r>
        <w:rPr>
          <w:rStyle w:val="a7"/>
          <w:rtl/>
        </w:rPr>
        <w:footnoteReference w:id="297"/>
      </w:r>
      <w:r>
        <w:rPr>
          <w:rtl/>
        </w:rPr>
        <w:t>וְשֵׁם יהו''ה אִיהוּ עַמּוּדָא דְאֶמְצָעִיתָא, אֱמֶת, וּשְׁכִינְתֵּיהּ תּוֹרַת אֱמֶת, בָּהּ אִתְבְּרִיאַת כָּרְסַיָּא דְאִיהִי אֱלֹהִי''ם, וְהַיְינוּ בְּרֵאשִׁית בָּרָא אֱלֹהִי''ם, בְּאוֹרַיְיתָא דְאִיהִי רֵאשִׁית בָּרָא כָּרְסַיָּא דְאִיהִי אֱלֹהִי''ם, דְּהָכִי סְלִיק הַכִּסֵּ''א לְחוּשְׁבַּן אֱלֹהִי''ם.</w:t>
      </w:r>
    </w:p>
    <w:p w:rsidR="00D45634" w:rsidRDefault="00D45634" w:rsidP="00B17EA9">
      <w:pPr>
        <w:pStyle w:val="NormalWeb"/>
        <w:rPr>
          <w:sz w:val="20"/>
          <w:szCs w:val="23"/>
          <w:rtl/>
        </w:rPr>
      </w:pPr>
      <w:r>
        <w:rPr>
          <w:rStyle w:val="a7"/>
          <w:rtl/>
        </w:rPr>
        <w:footnoteReference w:id="298"/>
      </w:r>
      <w:r>
        <w:rPr>
          <w:rtl/>
        </w:rPr>
        <w:t xml:space="preserve">וְאִית אוֹרַיְיתָא דִבְרִיאָה, וְאוֹרַיְיתָא דַאֲצִילוּת, אוֹרַיְיתָא דִבְּרִיאָה, יהו''ה קָנָנִי </w:t>
      </w:r>
      <w:r>
        <w:rPr>
          <w:rStyle w:val="a7"/>
          <w:rtl/>
        </w:rPr>
        <w:footnoteReference w:id="299"/>
      </w:r>
      <w:r>
        <w:rPr>
          <w:rtl/>
        </w:rPr>
        <w:t xml:space="preserve">רֵאשִׁית דַּרְכּוֹ </w:t>
      </w:r>
      <w:r>
        <w:rPr>
          <w:sz w:val="20"/>
          <w:szCs w:val="23"/>
          <w:rtl/>
        </w:rPr>
        <w:t>(משלי ח כב)</w:t>
      </w:r>
      <w:r>
        <w:rPr>
          <w:rtl/>
        </w:rPr>
        <w:t xml:space="preserve">, וְאוֹרַיְיתָא דַאֲצִילוּת </w:t>
      </w:r>
      <w:r>
        <w:rPr>
          <w:rStyle w:val="a7"/>
          <w:rtl/>
        </w:rPr>
        <w:footnoteReference w:id="300"/>
      </w:r>
      <w:r>
        <w:rPr>
          <w:rtl/>
        </w:rPr>
        <w:t xml:space="preserve">תּוֹרַת יהו''ה תְּמִימָה </w:t>
      </w:r>
      <w:r>
        <w:rPr>
          <w:sz w:val="20"/>
          <w:szCs w:val="23"/>
          <w:rtl/>
        </w:rPr>
        <w:t>(תהלים יט ח)</w:t>
      </w:r>
      <w:r>
        <w:rPr>
          <w:rtl/>
        </w:rPr>
        <w:t xml:space="preserve">, </w:t>
      </w:r>
      <w:r>
        <w:rPr>
          <w:rStyle w:val="a7"/>
          <w:rtl/>
        </w:rPr>
        <w:footnoteReference w:id="301"/>
      </w:r>
      <w:r>
        <w:rPr>
          <w:rtl/>
        </w:rPr>
        <w:t xml:space="preserve">וּבָהּ תָּמִים תִּהְיֶה עִם </w:t>
      </w:r>
      <w:r>
        <w:rPr>
          <w:rStyle w:val="a7"/>
          <w:rtl/>
        </w:rPr>
        <w:footnoteReference w:id="302"/>
      </w:r>
      <w:r>
        <w:rPr>
          <w:rtl/>
        </w:rPr>
        <w:t xml:space="preserve">יהו''ה אֱלֹהֶי''ךָ </w:t>
      </w:r>
      <w:r>
        <w:rPr>
          <w:sz w:val="20"/>
          <w:szCs w:val="23"/>
          <w:rtl/>
        </w:rPr>
        <w:t>(דברים יח יג)</w:t>
      </w:r>
      <w:r>
        <w:rPr>
          <w:rtl/>
        </w:rPr>
        <w:t xml:space="preserve">, וּמִסִּטְרָא דִילָהּ אִתְּמַר עַל יִשְׂרָאֵל, </w:t>
      </w:r>
      <w:r>
        <w:rPr>
          <w:sz w:val="20"/>
          <w:szCs w:val="23"/>
          <w:rtl/>
        </w:rPr>
        <w:t>(שם יד יג)</w:t>
      </w:r>
      <w:r>
        <w:rPr>
          <w:rtl/>
        </w:rPr>
        <w:t xml:space="preserve"> בָּנִים אַתֶּם לַיהו''ה, </w:t>
      </w:r>
      <w:r>
        <w:rPr>
          <w:rStyle w:val="a7"/>
          <w:rtl/>
        </w:rPr>
        <w:footnoteReference w:id="303"/>
      </w:r>
      <w:r>
        <w:rPr>
          <w:rtl/>
        </w:rPr>
        <w:t xml:space="preserve">וּמְנָא לָן דְּאוֹרַיְיתָא דַאֲצִילוּת אִיהִי תּוֹרַת יהו''ה דְּתַלְיָא בִשְׁמֵיהּ, אֶלָּא הָכִי אוּקְמוּהָ זֶה שְּׁמִי לְעֹלָם </w:t>
      </w:r>
      <w:r>
        <w:rPr>
          <w:sz w:val="20"/>
          <w:szCs w:val="23"/>
          <w:rtl/>
        </w:rPr>
        <w:t>(שמות ג טו)</w:t>
      </w:r>
      <w:r>
        <w:rPr>
          <w:rtl/>
        </w:rPr>
        <w:t xml:space="preserve">, שְׁמִי עִם י''ה שְׁסָ''ה, זִכְרִ''י עִם ו''ה רְמַ''ח, תּוֹרָ''ה בְּחֻשְׁבַּן אַתְווֹי תרי''א, </w:t>
      </w:r>
      <w:r>
        <w:rPr>
          <w:rStyle w:val="a7"/>
          <w:rtl/>
        </w:rPr>
        <w:footnoteReference w:id="304"/>
      </w:r>
      <w:r>
        <w:rPr>
          <w:rtl/>
        </w:rPr>
        <w:t xml:space="preserve">וְעִם אָנֹכִי וְלֹא יִהְיֶה לְךָ אִיהִי תַּרְיַ''ג, </w:t>
      </w:r>
      <w:r>
        <w:rPr>
          <w:rStyle w:val="a7"/>
          <w:rtl/>
        </w:rPr>
        <w:footnoteReference w:id="305"/>
      </w:r>
      <w:r>
        <w:rPr>
          <w:rtl/>
        </w:rPr>
        <w:t xml:space="preserve">וְהַיְינוּ ב' דְּאִתּוֹסְפַת בַּתּוֹרָה, </w:t>
      </w:r>
      <w:r>
        <w:rPr>
          <w:rStyle w:val="a7"/>
          <w:rtl/>
        </w:rPr>
        <w:footnoteReference w:id="306"/>
      </w:r>
      <w:r>
        <w:rPr>
          <w:rtl/>
        </w:rPr>
        <w:t xml:space="preserve">זֹאת הַתּוֹרָה אָדָם דָּא יו''ד ה''א וא''ו ה''א, </w:t>
      </w:r>
      <w:r>
        <w:rPr>
          <w:rStyle w:val="a7"/>
          <w:rtl/>
        </w:rPr>
        <w:footnoteReference w:id="307"/>
      </w:r>
      <w:r>
        <w:rPr>
          <w:rtl/>
        </w:rPr>
        <w:t xml:space="preserve">וּבְגִין דָּא כָּבוֹד חֲכָמִים יִנְחָלוּ </w:t>
      </w:r>
      <w:r>
        <w:rPr>
          <w:sz w:val="20"/>
          <w:szCs w:val="23"/>
          <w:rtl/>
        </w:rPr>
        <w:t>(משלי ג לה)</w:t>
      </w:r>
      <w:r>
        <w:rPr>
          <w:rtl/>
        </w:rPr>
        <w:t>.</w:t>
      </w:r>
    </w:p>
    <w:p w:rsidR="00D45634" w:rsidRDefault="00D45634" w:rsidP="00B17EA9">
      <w:pPr>
        <w:pStyle w:val="NormalWeb"/>
        <w:rPr>
          <w:rtl/>
        </w:rPr>
      </w:pPr>
      <w:bookmarkStart w:id="24" w:name="_Toc228095570"/>
      <w:bookmarkStart w:id="25" w:name="_Toc231638008"/>
      <w:r>
        <w:rPr>
          <w:rtl/>
        </w:rPr>
        <w:lastRenderedPageBreak/>
        <w:t xml:space="preserve">וְאִית כָּבוֹד נִבְרָא כְּגַוְונָא דְכָבוֹד נֶאֱצָל, מִסִּטְרָא דְכָבוֹד נִבְרָא אָמְרִין יִשְׂרָאֵל לְגַבֵּי אָדוֹן עַל כֹּלָּא אִם כַּעֲבָדִים, וּמִסִּטְרָא דְּכָבוֹד נֶאֱצָל אִתְּמַר בְּהוֹן אִם כְּבָנִים, </w:t>
      </w:r>
      <w:bookmarkEnd w:id="24"/>
      <w:bookmarkEnd w:id="25"/>
      <w:r>
        <w:rPr>
          <w:rtl/>
        </w:rPr>
        <w:t>וּלְעִילָא עַל כֹּלָּא, עִלַּת עַל כֹּלָּא, דְלֵית אֱלֹ''הַ עֲלֵיהּ, וְלַאו תְּחוֹתֵיהּ, וְלַאו לְאַרְבַּע סִטְרֵי עָלְמָא, וְאִיהוּ מְמַלֵּא כָּל עָלְמִין. וְאִיהוּ אַסְחַר וכו'</w:t>
      </w:r>
    </w:p>
    <w:p w:rsidR="00D45634" w:rsidRDefault="00D45634" w:rsidP="00EF3849">
      <w:pPr>
        <w:pStyle w:val="2"/>
        <w:rPr>
          <w:rtl/>
        </w:rPr>
      </w:pPr>
      <w:r>
        <w:rPr>
          <w:rtl/>
        </w:rPr>
        <w:t>[תיקוני זוהר - הגהה דף ה ע''א]</w:t>
      </w:r>
    </w:p>
    <w:p w:rsidR="00D45634" w:rsidRDefault="00D45634" w:rsidP="00B17EA9">
      <w:pPr>
        <w:pStyle w:val="22"/>
        <w:rPr>
          <w:rtl/>
        </w:rPr>
      </w:pPr>
      <w:r>
        <w:rPr>
          <w:szCs w:val="23"/>
          <w:rtl/>
        </w:rPr>
        <w:t xml:space="preserve"> (דף ה ע''א </w:t>
      </w:r>
      <w:r>
        <w:rPr>
          <w:szCs w:val="23"/>
        </w:rPr>
        <w:t>–</w:t>
      </w:r>
      <w:r>
        <w:rPr>
          <w:szCs w:val="23"/>
          <w:rtl/>
        </w:rPr>
        <w:t xml:space="preserve"> הגהה:) </w:t>
      </w:r>
      <w:r>
        <w:rPr>
          <w:rStyle w:val="a7"/>
          <w:rtl/>
        </w:rPr>
        <w:footnoteReference w:id="308"/>
      </w:r>
      <w:r>
        <w:rPr>
          <w:rtl/>
        </w:rPr>
        <w:t xml:space="preserve">וּמְקַבֵּל בָּהּ יִסּוּרִין וּמַרְעִין וּמַכְאוֹבִין בִּדְחִילוּ דְמָארֵיהּ, </w:t>
      </w:r>
      <w:r>
        <w:rPr>
          <w:rStyle w:val="a7"/>
          <w:rtl/>
        </w:rPr>
        <w:footnoteReference w:id="309"/>
      </w:r>
      <w:r>
        <w:rPr>
          <w:rtl/>
        </w:rPr>
        <w:t xml:space="preserve">אַהֲבָה בְּסוֹפָהּ, כְּגַוְונָא דְאוּקְמוּהָ מָארֵי מַתְנִיתִין, עַל אִלֵּין מָארֵי קוּשְׁיָין וּמַחֲלוֹקת, אֶת וָהֵב בְּסוּפָה </w:t>
      </w:r>
      <w:r>
        <w:rPr>
          <w:szCs w:val="23"/>
          <w:rtl/>
        </w:rPr>
        <w:t>(במדבר כא יד)</w:t>
      </w:r>
      <w:r>
        <w:rPr>
          <w:rtl/>
        </w:rPr>
        <w:t>, וְאוּקְמוּהָ אַהֲבָה בְּסוֹפָהּ, דְמַה דַּהֲוַת לוֹן שְׁכִינְתָּא סוֹף דְּכָל דַּרְגִּין, קוּשְׁיָא וְדִין מִסִּטְרָא דִגְבוּרָה, אִתְחַזְרַת לוֹן אַהֲבָה מִסִּטְרָא דִימִינָא, אַהֲבַת חֶסֶד, וּבְגִין דָּא כָּל הַמְקַיֵּים אֶת הַתּוֹרָה מֵעוֹנִי, סוֹפוֹ לְקַיְּימָהּ מֵעוֹשֶׁר, וְהַאי אִיהוּ אַהֲבָה בְּסוֹפָהּ, וְכָל מָאן דְּלָא מְקַיֵּים לָהּ מֵעוֹשֶׁר, לָא יְקַיְּימָהּ מֵעוֹנִי.</w:t>
      </w:r>
    </w:p>
    <w:p w:rsidR="00D45634" w:rsidRDefault="00D45634" w:rsidP="00B17EA9">
      <w:pPr>
        <w:pStyle w:val="22"/>
        <w:rPr>
          <w:rtl/>
        </w:rPr>
      </w:pPr>
      <w:r>
        <w:rPr>
          <w:rtl/>
        </w:rPr>
        <w:t>דַּרְגָּא חֲמִישָׁאָה בְּיִרְאַת יְיָ' אוּקְמוּהוּ מָארֵי מַתְנִיתִין, כָּל הַקּוֹדֶם יִרְאָתוֹ לְחָכְמָתוֹ חָכְמָתוֹ מִתְקַיֶּמֶת, וְכָל הַקּוֹדֶם חָכְמָתוֹ לְיִרְאַת חֶטְאוֹ אֵין חָכְמָתוֹ מִתְקַיֶּמֶת, דְּכָל הַקּוֹדֶם חָכְמָתוֹ לְיִרְאָתוֹ לְמָה הוּא דוֹמֶה, לְמִי שֶׁמָּסְרוּ לוֹ מַפְתֵּחוֹת הַפְּנִימִיִּים, וְלֹא מָסְרוּ לוֹ מַפְתֵּחוֹת הַחִיצוֹנִיִּים, בַּמֶּה יִכָּנֵס.</w:t>
      </w:r>
    </w:p>
    <w:p w:rsidR="00D45634" w:rsidRDefault="00D45634" w:rsidP="00B17EA9">
      <w:pPr>
        <w:pStyle w:val="22"/>
        <w:rPr>
          <w:rtl/>
        </w:rPr>
      </w:pPr>
      <w:r>
        <w:rPr>
          <w:rStyle w:val="a7"/>
          <w:rtl/>
        </w:rPr>
        <w:footnoteReference w:id="310"/>
      </w:r>
      <w:r>
        <w:rPr>
          <w:rtl/>
        </w:rPr>
        <w:t xml:space="preserve">וּבְאֹרַח רָזָא, אדנ''י תַּמָּן י' יִרְאַת יְיָ', וְאִלֵּין אַרְבַּע אַתְוָון אִינוּן מַפְתֵּחוֹת הַחִיצוֹנִים דִּילָה, י' מִן יהו''ה אִיהִי חָכְמָה, וְאַרְבַּע אַתְוָון דְּהַאי שְׁמָא אִינוּן מַפְתֵּחוֹת הַפְּנִימִיִּים, וּבְגִין דָּא אַקְדִּימוּ בִּצְלוֹתָא אדנ''י שְׂפָתַי תִּפְתָּח, וּלְבָתַר חָתְמִין לָהּ בְּשֵׁם יהו''ה, בָּרוּךְ אַתָּה יהו''ה מָגֵן אַבְרָהָם, וְאוּף הָכִי אַקְדִּים שְׁבָ''א דְאִיהִי יִרְאָה בְּשֵׁם יהו''ה, לְאַהֲבָה דְאִיהִי קָמֵ''ץ רַחֲמֵי, שְׁבָ''א מִסִּטְרָא דִגְבוּרָה, כִּי </w:t>
      </w:r>
      <w:r>
        <w:rPr>
          <w:rStyle w:val="a7"/>
          <w:rtl/>
        </w:rPr>
        <w:footnoteReference w:id="311"/>
      </w:r>
      <w:r>
        <w:rPr>
          <w:rtl/>
        </w:rPr>
        <w:t xml:space="preserve">בָאֵשׁ יהו''ה נִשְׁפָּט </w:t>
      </w:r>
      <w:r>
        <w:rPr>
          <w:szCs w:val="23"/>
          <w:rtl/>
        </w:rPr>
        <w:t>(ישעיהו סו טז)</w:t>
      </w:r>
      <w:r>
        <w:rPr>
          <w:rtl/>
        </w:rPr>
        <w:t xml:space="preserve">, קָמַ''ץ מִימִינָא, וְקָמַץ הַכֹּהֵן מִשָּׁם </w:t>
      </w:r>
      <w:r>
        <w:rPr>
          <w:szCs w:val="23"/>
          <w:rtl/>
        </w:rPr>
        <w:t>(ויקרא ה יב)</w:t>
      </w:r>
      <w:r>
        <w:rPr>
          <w:rtl/>
        </w:rPr>
        <w:t xml:space="preserve">, בְּגִין דְּמַעֲלִין בַּקֹּדֶשׁ וְלֹא מוֹרִידִין, וּבְגִין דָּא אַקְדִּימוּ שְׁסָ''ה לֹא תַעֲשֶׂה דְאִינוּן דְּחִילוּ, לְרַמַ''ח פִּקּוּדִין דְּאִינוּן רְחִימוּ, הֲדָא הוּא דִכְתִיב </w:t>
      </w:r>
      <w:r>
        <w:rPr>
          <w:szCs w:val="23"/>
          <w:rtl/>
        </w:rPr>
        <w:t>(שמות ג טו)</w:t>
      </w:r>
      <w:r>
        <w:rPr>
          <w:rtl/>
        </w:rPr>
        <w:t xml:space="preserve"> זֶה שְּׁמִי לְעֹלָם וכו', שְׁמִי עִם י''ה שְׁסָ''ה, זִכְרִי עִם ו''ה רְמַ''ח.</w:t>
      </w:r>
    </w:p>
    <w:p w:rsidR="00D45634" w:rsidRDefault="00D45634" w:rsidP="00B17EA9">
      <w:pPr>
        <w:pStyle w:val="22"/>
        <w:rPr>
          <w:rtl/>
        </w:rPr>
      </w:pPr>
      <w:r>
        <w:rPr>
          <w:rtl/>
        </w:rPr>
        <w:t xml:space="preserve">דַּרְגָּא שְׁתִיתָאָה בְּיִרְאַת יְיָ', וְהָיָה אֱמוּנַת עִתֶּיךָ וכו' </w:t>
      </w:r>
      <w:r>
        <w:rPr>
          <w:szCs w:val="23"/>
          <w:rtl/>
        </w:rPr>
        <w:t>(ישעיה לג ו)</w:t>
      </w:r>
      <w:r>
        <w:rPr>
          <w:rtl/>
        </w:rPr>
        <w:t>, אֱמוּנַת סֵדֶר זְרָעִים, עִתֶּיךָ סֵדֶר מוֹעִד, חֹסֶן סֵדֶר נָשִׁים, יְשׁוּעוֹת סֵדֶר נְזִיקִין, חָכְמָת סֵדֶר קָדָשִׁים, וָדָעַת סֵדֶר טַהֲרוֹת, אִי אִיכָּא יִרְאַת יְיָ' אִין, וְאִי לָא לָא.</w:t>
      </w:r>
    </w:p>
    <w:p w:rsidR="00D45634" w:rsidRDefault="00D45634" w:rsidP="00EF3849">
      <w:pPr>
        <w:pStyle w:val="2"/>
        <w:rPr>
          <w:rtl/>
        </w:rPr>
      </w:pPr>
      <w:r>
        <w:rPr>
          <w:rtl/>
        </w:rPr>
        <w:t>[בהגהה דף ה ע''ב]</w:t>
      </w:r>
    </w:p>
    <w:p w:rsidR="00D45634" w:rsidRDefault="00D45634" w:rsidP="00B17EA9">
      <w:pPr>
        <w:pStyle w:val="22"/>
        <w:rPr>
          <w:rtl/>
        </w:rPr>
      </w:pPr>
      <w:r>
        <w:rPr>
          <w:rtl/>
        </w:rPr>
        <w:t xml:space="preserve">וְאִלֵּין שִׁית סִדְרֵי מִשְׁנָה בְּאֹרַח רָזָא, אִינוּן מֵעַמּוּדָא דְאֶמְצָעִיתָא, דִכְּלִיל שִׁית סִדְרֵי מַתְנִיתִין, וּמָאן דְּבָעִי לְנַטְלָא לֵיהּ בְּלָא שְׁכִינְתֵּיהּ דְּאִיהִי יִרְאַת יְיָ', עֲלֵיהּ אִתְּמַר </w:t>
      </w:r>
      <w:r>
        <w:rPr>
          <w:szCs w:val="23"/>
          <w:rtl/>
        </w:rPr>
        <w:t>(משלי טז כח)</w:t>
      </w:r>
      <w:r>
        <w:rPr>
          <w:rtl/>
        </w:rPr>
        <w:t xml:space="preserve"> וְנִרְגָּן מַפְרִיד אַלּוּף. </w:t>
      </w:r>
      <w:r>
        <w:rPr>
          <w:szCs w:val="23"/>
          <w:rtl/>
        </w:rPr>
        <w:t xml:space="preserve">(דף ה ע''א </w:t>
      </w:r>
      <w:r>
        <w:rPr>
          <w:szCs w:val="23"/>
        </w:rPr>
        <w:t>–</w:t>
      </w:r>
      <w:r>
        <w:rPr>
          <w:szCs w:val="23"/>
          <w:rtl/>
        </w:rPr>
        <w:t xml:space="preserve"> בהגהה) </w:t>
      </w:r>
      <w:r>
        <w:rPr>
          <w:rtl/>
        </w:rPr>
        <w:t xml:space="preserve">כְּאִלּוּ עָבִיד קִצּוּץ וּפִרוּד בֵּין קוּדְשָׁא בְּרִיךְ הוּא וּשְׁכִינְתֵּיהּ, </w:t>
      </w:r>
      <w:r>
        <w:rPr>
          <w:rStyle w:val="a7"/>
          <w:rtl/>
        </w:rPr>
        <w:footnoteReference w:id="312"/>
      </w:r>
      <w:r>
        <w:rPr>
          <w:rtl/>
        </w:rPr>
        <w:t>וּבְגִין דְּלָא יַעַבְדוּן פִּרוּדָא, אַף עַל גַּב דְּאוֹלִיף אָדָם שִׁית סִדְרֵי מִשְׁנָה, וְלָא אַקְדִּים לֵיהּ יִרְאַת יְיָ', דְּאִיהִי שְׁכִינְתֵּיהּ, קוּדְשָׁא בְּרִיךְ הוּא לָא שַׁרְיָא לְגַבֵּיהּ, וּבְגִין דָּא אִי אִיכָּא יִרְאַת יְיָ' אִין, וְאִי לָא לָא, כְּאִלּוּ לָא הֲוָה כְּלוּם בִּידֵיהּ.</w:t>
      </w:r>
    </w:p>
    <w:p w:rsidR="00D45634" w:rsidRDefault="00D45634" w:rsidP="00B17EA9">
      <w:pPr>
        <w:pStyle w:val="22"/>
        <w:rPr>
          <w:rtl/>
        </w:rPr>
      </w:pPr>
      <w:r>
        <w:rPr>
          <w:rtl/>
        </w:rPr>
        <w:t xml:space="preserve">אֱמוּנת אִיהִי אִימָּא עִלָּאָה מִסִּטְרָא דְחֶסֶד, </w:t>
      </w:r>
      <w:r>
        <w:rPr>
          <w:rStyle w:val="a7"/>
          <w:rtl/>
        </w:rPr>
        <w:footnoteReference w:id="313"/>
      </w:r>
      <w:r>
        <w:rPr>
          <w:rtl/>
        </w:rPr>
        <w:t xml:space="preserve">דְּבָהּ קְרִיאַת שְׁמַע </w:t>
      </w:r>
      <w:r>
        <w:rPr>
          <w:rStyle w:val="a7"/>
          <w:rtl/>
        </w:rPr>
        <w:footnoteReference w:id="314"/>
      </w:r>
      <w:r>
        <w:rPr>
          <w:rtl/>
        </w:rPr>
        <w:t xml:space="preserve">דְּאִיהִי אֱמוּנָה, וְאִיהִי עִתֶּיךָ מִסִּטְרָא דִגְבוּרָה, </w:t>
      </w:r>
      <w:r>
        <w:rPr>
          <w:rStyle w:val="a7"/>
          <w:rtl/>
        </w:rPr>
        <w:footnoteReference w:id="315"/>
      </w:r>
      <w:r>
        <w:rPr>
          <w:rtl/>
        </w:rPr>
        <w:t xml:space="preserve">דְבֵיהּ אִתְּמַר </w:t>
      </w:r>
      <w:r>
        <w:rPr>
          <w:szCs w:val="23"/>
          <w:rtl/>
        </w:rPr>
        <w:t>(ויקרא טז ב)</w:t>
      </w:r>
      <w:r>
        <w:rPr>
          <w:rtl/>
        </w:rPr>
        <w:t xml:space="preserve"> וְאַל יָבֹא בְכָל עִת אֶל הַקֹּדֶשׁ וְגוֹמֵר, </w:t>
      </w:r>
      <w:r>
        <w:rPr>
          <w:rStyle w:val="a7"/>
          <w:rtl/>
        </w:rPr>
        <w:footnoteReference w:id="316"/>
      </w:r>
      <w:r>
        <w:rPr>
          <w:rtl/>
        </w:rPr>
        <w:t xml:space="preserve">חֹסֶן אִיהוּ מִסִּטְרָא דְעַמּוּדָא דְאֶמְצָעִיתָא, יְשׁוּעוֹת אִתְקְרִייַת מִסִּטְרָא דְנֶצַח, וְגַם נֵצַח יִשְׂרָאֵל לֹא יְשַׁקֵּר וְלֹא יִנָּחֵם </w:t>
      </w:r>
      <w:r>
        <w:rPr>
          <w:szCs w:val="23"/>
          <w:rtl/>
        </w:rPr>
        <w:t>(שמואל א טו כט)</w:t>
      </w:r>
      <w:r>
        <w:rPr>
          <w:rtl/>
        </w:rPr>
        <w:t xml:space="preserve">, </w:t>
      </w:r>
      <w:r>
        <w:rPr>
          <w:rStyle w:val="a7"/>
          <w:rtl/>
        </w:rPr>
        <w:footnoteReference w:id="317"/>
      </w:r>
      <w:r>
        <w:rPr>
          <w:rtl/>
        </w:rPr>
        <w:t xml:space="preserve">חָכְמָה אִיהִי סֵדֶר קָדָשִׁים דְּאִיהוּ הוֹד, </w:t>
      </w:r>
      <w:r>
        <w:rPr>
          <w:rStyle w:val="a7"/>
          <w:rtl/>
        </w:rPr>
        <w:footnoteReference w:id="318"/>
      </w:r>
      <w:r>
        <w:rPr>
          <w:rtl/>
        </w:rPr>
        <w:t>וָדָעַת אִיהוּ יְסוֹד דְּאִיהוּ סֵדֶר טַהֲרוֹת.</w:t>
      </w:r>
    </w:p>
    <w:p w:rsidR="00D45634" w:rsidRDefault="00D45634" w:rsidP="00B17EA9">
      <w:pPr>
        <w:pStyle w:val="22"/>
        <w:rPr>
          <w:rtl/>
        </w:rPr>
      </w:pPr>
      <w:r>
        <w:rPr>
          <w:rtl/>
        </w:rPr>
        <w:lastRenderedPageBreak/>
        <w:t xml:space="preserve">וְאִית דְּיֵימָא בְּהִפּוּכָא, </w:t>
      </w:r>
      <w:r>
        <w:rPr>
          <w:rStyle w:val="a7"/>
          <w:rtl/>
        </w:rPr>
        <w:footnoteReference w:id="319"/>
      </w:r>
      <w:r>
        <w:rPr>
          <w:rtl/>
        </w:rPr>
        <w:t xml:space="preserve">מִסִּטְרָא דִשְׁכִינְתָּא תַּתָּאָה אִיהִי אֱמוּנָה, </w:t>
      </w:r>
      <w:r>
        <w:rPr>
          <w:rStyle w:val="a7"/>
          <w:rtl/>
        </w:rPr>
        <w:footnoteReference w:id="320"/>
      </w:r>
      <w:r>
        <w:rPr>
          <w:rtl/>
        </w:rPr>
        <w:t xml:space="preserve">וּמִסִּטְרָא דְצַדִּיק דְּבֵיהּ כְּלִילָן תְּרֵין שְׁמָהָן אָמֵ''ן, דְּאִנּוּן יאהדונה''י, וּבְצַדִּיק עִץ פְּרִי עֹשֶׂה פְּרִי לְמִינוֹ אֲשֶׁר זַרְעוֹ בוֹ עַל הָאָרֶץ </w:t>
      </w:r>
      <w:r>
        <w:rPr>
          <w:szCs w:val="23"/>
          <w:rtl/>
        </w:rPr>
        <w:t>(בראשית א יא)</w:t>
      </w:r>
      <w:r>
        <w:rPr>
          <w:rtl/>
        </w:rPr>
        <w:t>, וּבְגִין דָּא אִתְקְרֵי סֵדֶר זְרָעִים.</w:t>
      </w:r>
    </w:p>
    <w:p w:rsidR="00D45634" w:rsidRDefault="00D45634" w:rsidP="00B17EA9">
      <w:pPr>
        <w:pStyle w:val="22"/>
        <w:rPr>
          <w:rtl/>
        </w:rPr>
      </w:pPr>
      <w:r>
        <w:rPr>
          <w:rtl/>
        </w:rPr>
        <w:t xml:space="preserve">עִתֶּיךָ אִיהִי מִסִּטְרָא דְהוֹד דְּאִיהִי סֵדֶר מוֹעִד, </w:t>
      </w:r>
      <w:r>
        <w:rPr>
          <w:rStyle w:val="a7"/>
          <w:rtl/>
        </w:rPr>
        <w:footnoteReference w:id="321"/>
      </w:r>
      <w:r>
        <w:rPr>
          <w:rtl/>
        </w:rPr>
        <w:t xml:space="preserve">דְּבֵיהּ אוֹכְלִין </w:t>
      </w:r>
      <w:r>
        <w:rPr>
          <w:rStyle w:val="a7"/>
          <w:rtl/>
        </w:rPr>
        <w:footnoteReference w:id="322"/>
      </w:r>
      <w:r>
        <w:rPr>
          <w:rtl/>
        </w:rPr>
        <w:t xml:space="preserve">כָּל אַרְבַּע וְתוֹלִין כָּל חָמֵשׁ וְשׂוֹרְפִין בִּתְּחִלַת שֵׁשׁ, </w:t>
      </w:r>
      <w:r>
        <w:rPr>
          <w:rStyle w:val="a7"/>
          <w:rtl/>
        </w:rPr>
        <w:footnoteReference w:id="323"/>
      </w:r>
      <w:r>
        <w:rPr>
          <w:rtl/>
        </w:rPr>
        <w:t xml:space="preserve">חֹסֶן אִיהוּ מִסִּטְרָא דְעַמּוּדָא דְאֶמְצָעִיתָא דְבֵיהּ סֵדֶר נָשִׁים, </w:t>
      </w:r>
      <w:r>
        <w:rPr>
          <w:rStyle w:val="a7"/>
          <w:rtl/>
        </w:rPr>
        <w:footnoteReference w:id="324"/>
      </w:r>
      <w:r>
        <w:rPr>
          <w:rtl/>
        </w:rPr>
        <w:t xml:space="preserve">יְשׁוּעוֹת אִיהִי סֵדֶר נְזִיקִין מִסִּטְרָא דִגְבוּרָה, דְתַמָּן כָּל דִּינִין נָפְקִין לְמָאן דְּעָבִיד נֶזֶק לְחַבְרֵיהּ, חָכְמָה אִתְקְרִיאַת מִסִּטְרָא דְחֶסֶד, דְּבָהּ הָרוֹצֶה לְהַחְכִּים </w:t>
      </w:r>
      <w:r>
        <w:rPr>
          <w:rStyle w:val="a7"/>
          <w:rtl/>
        </w:rPr>
        <w:footnoteReference w:id="325"/>
      </w:r>
      <w:r>
        <w:rPr>
          <w:rtl/>
        </w:rPr>
        <w:t xml:space="preserve">יַדְרִים וְהוּא סֵדֶּר קָדָשִׁים, </w:t>
      </w:r>
      <w:r>
        <w:rPr>
          <w:rStyle w:val="a7"/>
          <w:rtl/>
        </w:rPr>
        <w:footnoteReference w:id="326"/>
      </w:r>
      <w:r>
        <w:rPr>
          <w:rtl/>
        </w:rPr>
        <w:t xml:space="preserve">וְעִמֵּיהּ נֶצַח, הָדָא הִיא דִכְתִיב </w:t>
      </w:r>
      <w:r>
        <w:rPr>
          <w:szCs w:val="23"/>
          <w:rtl/>
        </w:rPr>
        <w:t>(תהלים טז יא)</w:t>
      </w:r>
      <w:r>
        <w:rPr>
          <w:rtl/>
        </w:rPr>
        <w:t xml:space="preserve"> נְעִימוֹת בִּימִינְךָ נֶצַח, דַּעַת דְּאִיהיּ סֵדֶר טַהֲרוֹת, וְאִינוּן שִׁית סִדְרֵי מַתְנִיתִין, </w:t>
      </w:r>
      <w:r>
        <w:rPr>
          <w:rStyle w:val="a7"/>
          <w:rtl/>
        </w:rPr>
        <w:footnoteReference w:id="327"/>
      </w:r>
      <w:r>
        <w:rPr>
          <w:rtl/>
        </w:rPr>
        <w:t>בְּרָזָא דְלַהַט הַחֶרֶב הַמִּתְהַפֶּכֶת, מֵרַחֲמֵי לְדִינָא וּמִדִּינָא לְרַחֲמֵי.</w:t>
      </w:r>
    </w:p>
    <w:p w:rsidR="00D45634" w:rsidRDefault="00D45634" w:rsidP="00EF3849">
      <w:pPr>
        <w:pStyle w:val="2"/>
        <w:rPr>
          <w:rtl/>
        </w:rPr>
      </w:pPr>
      <w:r>
        <w:rPr>
          <w:rtl/>
        </w:rPr>
        <w:t>[בהגהה דף ו ע''א]</w:t>
      </w:r>
    </w:p>
    <w:p w:rsidR="00D45634" w:rsidRDefault="00D45634" w:rsidP="00B17EA9">
      <w:pPr>
        <w:pStyle w:val="22"/>
        <w:rPr>
          <w:rtl/>
        </w:rPr>
      </w:pPr>
      <w:r>
        <w:rPr>
          <w:rtl/>
        </w:rPr>
        <w:t xml:space="preserve">דַּרְגָּא שְׁבִיעָאָה בְּיִרְאַת יְיָ' כּל מָאן דְּאִית בֵּיה יִרְאַת ה' אוּקְמוּהוּ מָארֵי מַתְנִיתִין דְּלֵית לֵיהּ חוֹסֶר, הֲדָא הוּא דִכְתִיב </w:t>
      </w:r>
      <w:r>
        <w:rPr>
          <w:szCs w:val="23"/>
          <w:rtl/>
        </w:rPr>
        <w:t>(תהלים לד י)</w:t>
      </w:r>
      <w:r>
        <w:rPr>
          <w:rtl/>
        </w:rPr>
        <w:t xml:space="preserve"> יְרְאוּ אֶת יְיָ' קְדוֹשָׁיו כִּי אֵין מַחְסוֹר לִירֵאָיו, לַאו יְהֵא מֵאִינוּן דְּאִתְּמַר בְּהוֹן </w:t>
      </w:r>
      <w:r>
        <w:rPr>
          <w:szCs w:val="23"/>
          <w:rtl/>
        </w:rPr>
        <w:t>(משלי יא כד)</w:t>
      </w:r>
      <w:r>
        <w:rPr>
          <w:rtl/>
        </w:rPr>
        <w:t xml:space="preserve"> וְחוֹשֵׂךְ מִיּוֹשֶׁר אַךְ לְמַחְסוֹר, וְלָא יְהֵא לֵיהּ חוֹסֶר בְּאוֹרַיְיתָא, אִם הוּא מָארֵי תּוֹרָה, </w:t>
      </w:r>
      <w:r>
        <w:rPr>
          <w:rStyle w:val="a7"/>
          <w:rtl/>
        </w:rPr>
        <w:footnoteReference w:id="328"/>
      </w:r>
      <w:r>
        <w:rPr>
          <w:rtl/>
        </w:rPr>
        <w:t xml:space="preserve">דְלֵית אוֹרַיְיתָא בְּלָא דְחִילוּ, </w:t>
      </w:r>
      <w:r>
        <w:rPr>
          <w:rStyle w:val="a7"/>
          <w:rtl/>
        </w:rPr>
        <w:footnoteReference w:id="329"/>
      </w:r>
      <w:r>
        <w:rPr>
          <w:rtl/>
        </w:rPr>
        <w:t xml:space="preserve">וכְּגַוְונָא </w:t>
      </w:r>
      <w:r>
        <w:rPr>
          <w:rStyle w:val="a7"/>
          <w:rtl/>
        </w:rPr>
        <w:footnoteReference w:id="330"/>
      </w:r>
      <w:r>
        <w:rPr>
          <w:rtl/>
        </w:rPr>
        <w:t xml:space="preserve">דְלֵית אוֹרַיְיתָא בְּלָא דְחִילוּ, אוּף הָכִי לֵית דְּחִילוּ </w:t>
      </w:r>
      <w:r>
        <w:rPr>
          <w:szCs w:val="23"/>
          <w:rtl/>
        </w:rPr>
        <w:t xml:space="preserve">(דף ו ע''א) </w:t>
      </w:r>
      <w:r>
        <w:rPr>
          <w:rtl/>
        </w:rPr>
        <w:t xml:space="preserve">בְּלָא אוֹרַיְיתָא, כְּמָא דְאִתְּ אמַר אֵין בּוּר יְרֵא חֵטְא, וְלָא יְהֵא חִסָּרוֹן בְּעוֹבְדוֹי טָבִין, דְּלֵית חוֹסֶר וַעֲנִיּוּת כְּחוֹסֶר דְּאוֹרַיְיתָא וּפִקּוּדַיָּיא טָבִין, כְּמָה דְאוּקְמוּהוּ מָארֵי מַתְנִיתִין, אֵין עָנִי אֶלָּא מִן הַתּוֹרָה וּמִן הַמִּצְוֹת, (ולָא יְהֵא </w:t>
      </w:r>
      <w:r>
        <w:rPr>
          <w:rStyle w:val="a7"/>
          <w:rtl/>
        </w:rPr>
        <w:footnoteReference w:id="331"/>
      </w:r>
      <w:r>
        <w:rPr>
          <w:rtl/>
        </w:rPr>
        <w:t xml:space="preserve">חִסָּרוֹן בְּבֵיתֵיה וְלָא בְּמִשְׁנָתֵיה) וְלָא יְהֵא חִסָּרוֹן בְּנִשְׁמָתֵיהּ, דְּגוּפָא אִיהוּ עוֹבְדֵי יְדוֹי דְּבַר נַשׁ, לֵית חוֹסֶר סַגִּי מִנֵּיהּ בָּתַר דְּלַאו אִיהוּ עוֹבְדוֹי דְּקוּדְשָׁא בְּרִיךְ הוּא, הֲדָא הוּא דִכְתִיב </w:t>
      </w:r>
      <w:r>
        <w:rPr>
          <w:szCs w:val="23"/>
          <w:rtl/>
        </w:rPr>
        <w:t>(תהלים קכז א)</w:t>
      </w:r>
      <w:r>
        <w:rPr>
          <w:rtl/>
        </w:rPr>
        <w:t xml:space="preserve"> </w:t>
      </w:r>
      <w:r>
        <w:rPr>
          <w:rStyle w:val="a7"/>
          <w:rtl/>
        </w:rPr>
        <w:footnoteReference w:id="332"/>
      </w:r>
      <w:r>
        <w:rPr>
          <w:rtl/>
        </w:rPr>
        <w:t>אִם יהו''ה לֹא יִבְנֶה בַיִת שָׁוְא עָמְלוּ בוֹנָיו בּוֹ, וְדָא גָרַם דְּאתְחֲרַב בֵּי מַקְדְּשָׁא, דְלָא הֲוָה עוֹבְדֵי יהו''ה.</w:t>
      </w:r>
    </w:p>
    <w:p w:rsidR="00D45634" w:rsidRDefault="00D45634" w:rsidP="00B17EA9">
      <w:pPr>
        <w:pStyle w:val="22"/>
        <w:rPr>
          <w:rtl/>
        </w:rPr>
      </w:pPr>
      <w:r>
        <w:rPr>
          <w:rtl/>
        </w:rPr>
        <w:t xml:space="preserve">דַּרְגָּא תְּמִינָאָה בְּיִרְאַת יְיָ', לְמֶהֱוֵי לֵיהּ בֹּשֶׁת אַנְפִּין, מָאן דְּאִית לֵיהּ בֹּשֶׁת אַנְפִּין דְּלָא לְמֶעֱבַד עֲבֵירָה דְאָתֵי לִידוֹי בְּגִין דְּחִילוּ דְקוּדְשָׁא בְּרִיךְ הוּא, כְּאִלּוּ בֵיהּ אִתְבְּרִי עָלְמָא, </w:t>
      </w:r>
      <w:r>
        <w:rPr>
          <w:rStyle w:val="a7"/>
          <w:rtl/>
        </w:rPr>
        <w:footnoteReference w:id="333"/>
      </w:r>
      <w:r>
        <w:rPr>
          <w:rtl/>
        </w:rPr>
        <w:t>וּבְגִין דָּא בְּרֵאשִׁי''ת יָרֵ''א בֹּשֶׁ''ת, הֲרֵי יִרְאָה עִם בֹּשֶׁת כֹּלָּא חַד, וּמָאן דְּלֵית בֵּיהּ בֹּשֶׁת אַנְפִּין אוּקְמוּהוּ מָארֵי מַתְנִיתִין בְּוַדַּאי שֶׁלֹּא עָמְדוּ רַגְלֵי אֲבוֹתָיו עַל הַר סִינַי.</w:t>
      </w:r>
    </w:p>
    <w:p w:rsidR="00D45634" w:rsidRDefault="00D45634" w:rsidP="00B17EA9">
      <w:pPr>
        <w:pStyle w:val="22"/>
        <w:rPr>
          <w:rtl/>
        </w:rPr>
      </w:pPr>
      <w:r>
        <w:rPr>
          <w:rtl/>
        </w:rPr>
        <w:t>וַהֲפוֹךְ בֹּשֶׁ''ת וְתִשְׁכַּח שַׁבָּ''ת, וְהַיְינוּ בְּרֵאשִׁית יָרֵ''א שַׁבָּ''ת, דְּלָא תְּחַלֵּל לֵיהּ (בְּפַרְהֶסְיָא, כְּבַר נַשׁ) דְּלַאו בֵּיהּ בֹּשֶׁת אַנְפִּין, וַוי למָאן דִּמְחַלֵּל שַׁבָּת מַלְכְּתָא דְאִיהו קֹדֶשׁ לְמֶעֱבַד לֵיהּ חוֹל, דְּאוּקְמוּהוּ מָארֵי מַתְנִיתִין, כָּל הַמִּשְׁתַּמֵּשׁ בְּתַגָּא חֲלָף, זֶה הַמִּשְׁתַּמֵּשׁ בְּמִי שׁשּׁוֹנֶה הֲלָכוֹת, כָּל שֶׁכֵּן בְּשַׁבָּת מַלְכְּתָא.</w:t>
      </w:r>
    </w:p>
    <w:p w:rsidR="00D45634" w:rsidRDefault="00D45634" w:rsidP="00B17EA9">
      <w:pPr>
        <w:pStyle w:val="22"/>
        <w:rPr>
          <w:rtl/>
        </w:rPr>
      </w:pPr>
      <w:r>
        <w:rPr>
          <w:rtl/>
        </w:rPr>
        <w:lastRenderedPageBreak/>
        <w:t xml:space="preserve">וְעוֹד בּוֹשֶׁת פָּנִים לְגַן עִדֶן, עַז פָּנִים לְגֵיהִנָּם, אִנּוּן דְּעָבְרִין עֲבֵירָה בְּיָד רָמָה, וְלֵית לוֹן בֹּשֶׁת פָּנִים מִקּוּדְשָׁא בְּרוּךְ הוּא, דְאִתְּמַר בֵּיהּ </w:t>
      </w:r>
      <w:r>
        <w:rPr>
          <w:szCs w:val="23"/>
          <w:rtl/>
        </w:rPr>
        <w:t>(תהלים לג כג)</w:t>
      </w:r>
      <w:r>
        <w:rPr>
          <w:rtl/>
        </w:rPr>
        <w:t xml:space="preserve"> מִשָּׁמַיִם הִבִּיט יהו''ה רָאָה אֶת כָּל בְּנֵי הָאָדָם, וְאִתְּמַר בֵּיהּ </w:t>
      </w:r>
      <w:r>
        <w:rPr>
          <w:szCs w:val="23"/>
          <w:rtl/>
        </w:rPr>
        <w:t>(ישעיה ו ג)</w:t>
      </w:r>
      <w:r>
        <w:rPr>
          <w:rtl/>
        </w:rPr>
        <w:t xml:space="preserve"> מְלֹא כָל הָאָרֶץ כְּבוֹדוֹ, וְאִתְּמַר בֵּיהּ </w:t>
      </w:r>
      <w:r>
        <w:rPr>
          <w:szCs w:val="23"/>
          <w:rtl/>
        </w:rPr>
        <w:t>(משלי כ כז)</w:t>
      </w:r>
      <w:r>
        <w:rPr>
          <w:rtl/>
        </w:rPr>
        <w:t xml:space="preserve"> חֹפֵשׂ כָּל חַדְרֵי בָטֶן, </w:t>
      </w:r>
      <w:r>
        <w:rPr>
          <w:szCs w:val="23"/>
          <w:rtl/>
        </w:rPr>
        <w:t>(ירמיה כ יב)</w:t>
      </w:r>
      <w:r>
        <w:rPr>
          <w:rtl/>
        </w:rPr>
        <w:t xml:space="preserve"> רוֹאֶה כְלָיוֹת וָלֵב.</w:t>
      </w:r>
    </w:p>
    <w:p w:rsidR="00D45634" w:rsidRDefault="00D45634" w:rsidP="00B17EA9">
      <w:pPr>
        <w:pStyle w:val="22"/>
        <w:rPr>
          <w:rtl/>
        </w:rPr>
      </w:pPr>
      <w:r>
        <w:rPr>
          <w:rtl/>
        </w:rPr>
        <w:t xml:space="preserve">וַעֲנָוָה קְטִירָא בִּדְחִילוּ, הֲדָא הוּא דִכְתִיב </w:t>
      </w:r>
      <w:r>
        <w:rPr>
          <w:szCs w:val="23"/>
          <w:rtl/>
        </w:rPr>
        <w:t>(משלי כב ד)</w:t>
      </w:r>
      <w:r>
        <w:rPr>
          <w:rtl/>
        </w:rPr>
        <w:t xml:space="preserve"> עִקֶב עֲנָוָה יִרְאַת יְיָ', מָאן דְּאִית בֵּיהּ יִרְאַת יְיָ' אַיְתֵי לֵיהּ לִידֵי עֲנָוָה דְּאִיהִי שְׁכִינְתָּא עִלָּאָה, דְּיִרְאַת יְיָ' עִקֶב לְגַבָּהּ, וְדָא דַרְגָּא דְמֹשֶׁה, דְאִתְּמַר בֵּיהּ </w:t>
      </w:r>
      <w:r>
        <w:rPr>
          <w:szCs w:val="23"/>
          <w:rtl/>
        </w:rPr>
        <w:t>(במדבר יב ג)</w:t>
      </w:r>
      <w:r>
        <w:rPr>
          <w:rtl/>
        </w:rPr>
        <w:t xml:space="preserve"> וְהָאִישׁ מֹשֶׁה עָנָיו מְאֹד, וּבְגִין דְּאִיהִי יִרְאָה עִקֶב לְגַבָּהּ, אוּקְמוּהָ מָארֵי מַתְנִיתִין, יִרְאָה מִלָּה זוּטְרְתִי הִיא לְגַבֵּי מֹשֶׁה.</w:t>
      </w:r>
    </w:p>
    <w:p w:rsidR="00D45634" w:rsidRDefault="00D45634" w:rsidP="00EF3849">
      <w:pPr>
        <w:pStyle w:val="2"/>
        <w:rPr>
          <w:rtl/>
        </w:rPr>
      </w:pPr>
      <w:r>
        <w:rPr>
          <w:rtl/>
        </w:rPr>
        <w:t>[בהגהה דף ו ע''ב]</w:t>
      </w:r>
    </w:p>
    <w:p w:rsidR="00D45634" w:rsidRDefault="00D45634" w:rsidP="00B17EA9">
      <w:pPr>
        <w:pStyle w:val="22"/>
        <w:rPr>
          <w:rtl/>
        </w:rPr>
      </w:pPr>
      <w:r>
        <w:rPr>
          <w:rtl/>
        </w:rPr>
        <w:t xml:space="preserve">דַּרְגָּא תְּשִׁיעָאָה בְּיִרְאַת יְיָ', כָּל מָאן דְאִית בֵּיהּ יִרְאַת יהו''ה יִתְהַלָּל, כְּמָה דְאַתְּ אָמַר </w:t>
      </w:r>
      <w:r>
        <w:rPr>
          <w:szCs w:val="23"/>
          <w:rtl/>
        </w:rPr>
        <w:t>(משלי לא ל)</w:t>
      </w:r>
      <w:r>
        <w:rPr>
          <w:rtl/>
        </w:rPr>
        <w:t xml:space="preserve"> שֶׁקֶר הַחֵן וְהֶבֶל הַיֹּפִי וְגוֹמֵר, דָּא דָרָא דְחִזְקִיָּהוּ, וְכִי אִית לְבַר נַשׁ לְשַׁבָּחָא גַּרְמֵיהּ, </w:t>
      </w:r>
      <w:r>
        <w:rPr>
          <w:szCs w:val="23"/>
          <w:rtl/>
        </w:rPr>
        <w:t xml:space="preserve">(דף ו ע''ב) </w:t>
      </w:r>
      <w:r>
        <w:rPr>
          <w:rtl/>
        </w:rPr>
        <w:t>אֶלָּא אִיהוּ מְשׁוּבָּח קֳדָם יהו''ה, דִּבְיִרְאַת יְיָ' קָא אָתֵי בַר נַשׁ לְקַיְימָא תַּרְיַ''ג מִצְוֹת, כְּחֻשְׁבַּן בְּיִרְאַ''ת.</w:t>
      </w:r>
    </w:p>
    <w:p w:rsidR="00D45634" w:rsidRDefault="00D45634" w:rsidP="00B17EA9">
      <w:pPr>
        <w:pStyle w:val="22"/>
        <w:rPr>
          <w:rtl/>
        </w:rPr>
      </w:pPr>
      <w:r>
        <w:rPr>
          <w:rtl/>
        </w:rPr>
        <w:t xml:space="preserve">דַּרְגָּא עֲשִׂירָאָה בְּיִרְאַת יְיָ', אִית יִרְאָה וְאִית יִרְאָה, לַאו כָּל אַפַּיָּא שָׁוִין, אִית יִרְאָה דְּדָחִיל בַּר נַשׁ לְקוּדְשָׁא בְּרִיךְ הוּא בְּגִין דְּלָא יַלְקֶה לֵיהּ בִּרְצוּעָה, דְאִתְּמַר בָּהּ </w:t>
      </w:r>
      <w:r>
        <w:rPr>
          <w:szCs w:val="23"/>
          <w:rtl/>
        </w:rPr>
        <w:t>(בראשית א ב)</w:t>
      </w:r>
      <w:r>
        <w:rPr>
          <w:rtl/>
        </w:rPr>
        <w:t xml:space="preserve"> </w:t>
      </w:r>
      <w:r>
        <w:rPr>
          <w:rStyle w:val="a7"/>
          <w:rtl/>
        </w:rPr>
        <w:footnoteReference w:id="334"/>
      </w:r>
      <w:r>
        <w:rPr>
          <w:rtl/>
        </w:rPr>
        <w:t xml:space="preserve">וְהָאָרֶץ הָיְתָה תֹהוּ וָבֹהוּ, מִסִּטְרָא דְאִילָנָא דְטוֹב וָרָע, דְּאִיהִי אַרְעָא רֵקַנְיָא, שִׁפְחָא בִישָׁא, </w:t>
      </w:r>
      <w:r>
        <w:rPr>
          <w:rStyle w:val="a7"/>
          <w:rtl/>
        </w:rPr>
        <w:footnoteReference w:id="335"/>
      </w:r>
      <w:r>
        <w:rPr>
          <w:rtl/>
        </w:rPr>
        <w:t xml:space="preserve">כְּגַוְונָא דְחַד מֵאַרְבַּע אָבוֹת נְזִיקִין דְּאִיהוּ הַבּוֹר, וּכְגַוְונָא דְבוֹר דְּיוֹסֵף, דְּאוּקְמוּהוּ עֲלֵיהּ הַבֹּרָה, וְהַבּוֹר רֵק וכו' </w:t>
      </w:r>
      <w:r>
        <w:rPr>
          <w:szCs w:val="23"/>
          <w:rtl/>
        </w:rPr>
        <w:t>(בראשית לז כד)</w:t>
      </w:r>
      <w:r>
        <w:rPr>
          <w:rtl/>
        </w:rPr>
        <w:t xml:space="preserve">, הַבֹּרָה נֻקְבָא בִּישָׁא, בּוֹר דְּכוּרָא, </w:t>
      </w:r>
      <w:r>
        <w:rPr>
          <w:rStyle w:val="a7"/>
          <w:rtl/>
        </w:rPr>
        <w:footnoteReference w:id="336"/>
      </w:r>
      <w:r>
        <w:rPr>
          <w:rtl/>
        </w:rPr>
        <w:t>וּבוֹר בְּגִין דְּאִיהוּ מִתַּמָּן, אוּקְמוּהוּ עֲלֵיהּ אֵין בּוּר יְרֵא חֵטְא, דְּלֵית בֵּיהּ יִרְאַת יְיָ'.</w:t>
      </w:r>
    </w:p>
    <w:p w:rsidR="00D45634" w:rsidRDefault="00D45634" w:rsidP="00B17EA9">
      <w:pPr>
        <w:pStyle w:val="22"/>
        <w:rPr>
          <w:rtl/>
        </w:rPr>
      </w:pPr>
      <w:r>
        <w:rPr>
          <w:rtl/>
        </w:rPr>
        <w:t xml:space="preserve">יִרְאַת יְיָ' אִיהוּ, דְּדָחִיל מִגּוֹ אוֹרַיְיתָא דְאִיהִי תִּפְאֶרֶת, דְּמִנֵּיהּ נָפְקַת, כְּגוֹן דָּא </w:t>
      </w:r>
      <w:r>
        <w:rPr>
          <w:rStyle w:val="a7"/>
          <w:rtl/>
        </w:rPr>
        <w:footnoteReference w:id="337"/>
      </w:r>
      <w:r>
        <w:rPr>
          <w:rtl/>
        </w:rPr>
        <w:t xml:space="preserve">אִיהִי שְׁקוּלָה לְגַבֵּיהּ, וּבְגִין דָּא אֵין כָּל יִרְאָה שָׁוָה, דְּהָא יִרְאַת יְיָ' הִיא מַלְכוּת דִּילֵיהּ, כְּלִילָא מִכָּל פִּקּוּדֵי אוֹרַיְיתָא, בְּגִין דְּאִיהו יִרְאָה דְנָפְקַת מִגּוֹ תּוֹרָה דְאִיהוּ עַמּוּדָא דְאֶמְצָעִיתָא, דְאִיהוּ יהו''ה, דִּבְגִינָהּ אוּקְמוּהוּ מָארֵי מַתְנִיתִין, גְּדוֹלָה תּוֹרָה שֶׁמְּבִיאָה לְאָדָם לִידֵי מַעֲשֶׂה, דְּאִי בַּר נַשׁ לָא יָדַע אוֹרַיְיתָא, וְאַגְרָא דְפִקּוּדַיָּיא דִילָהּ, וְעוֹנְשִׁין דִּילָהּ לְמָאן דְּעָבַר עַל פִּקּוּדַיָּא, וּמָאן הוּא דְבָרָא אוֹרַיְיתָא, וּמָאן הוּא דִיְהב לָהּ לְיִשְׂרָאֵל, אֵיךְ דָּחִיל לֵיהּ וְנָטִיר פִּקּוּדוֹי, וּבְגִין דָּא אָמַר דָּוִד לִשְׁלֹמֹה בְּנוֹ </w:t>
      </w:r>
      <w:r>
        <w:rPr>
          <w:szCs w:val="23"/>
          <w:rtl/>
        </w:rPr>
        <w:t>(ד''ה א כח ט)</w:t>
      </w:r>
      <w:r>
        <w:rPr>
          <w:rtl/>
        </w:rPr>
        <w:t xml:space="preserve"> דַּע אֶת אלה''י אָבִיךָ וְעָבְדֵהוּ.</w:t>
      </w:r>
    </w:p>
    <w:p w:rsidR="00D45634" w:rsidRDefault="00D45634" w:rsidP="00B17EA9">
      <w:pPr>
        <w:pStyle w:val="22"/>
        <w:rPr>
          <w:rtl/>
        </w:rPr>
      </w:pPr>
      <w:r>
        <w:rPr>
          <w:rtl/>
        </w:rPr>
        <w:t>דְּאִי בַּר נַשׁ לָא אִשְׁתְּמוֹדָע הַהוּא דִיְהב לֵיהּ אוֹרַיְיתָא, וּמַנִּי לֵיהּ לְנַטְרָא לָהּ, אֵיךְ דָּחִיל מִנֵּיהּ וְעָבִיד פִּקּוּדיה, וּבְגִין דָּא אוּקְמוּהוּ רַבָּנָן, וְלֹא עַם הָאָרֶץ חָסִיד, וְאֵין בּוּר יְרֵא חֵטְא.</w:t>
      </w:r>
    </w:p>
    <w:p w:rsidR="00D45634" w:rsidRDefault="00D45634" w:rsidP="00B17EA9">
      <w:pPr>
        <w:pStyle w:val="22"/>
        <w:rPr>
          <w:rtl/>
        </w:rPr>
      </w:pPr>
      <w:r>
        <w:rPr>
          <w:rtl/>
        </w:rPr>
        <w:t xml:space="preserve">בְּגִין דְּאוֹרַיְיתָא דְאִיהִי תרי''א מִתְּרֵין דַּרְגִּין אִתְיְהִיבַת, מֵחֶסֶד וגְּבוּרָה, דְּמִתַּמָּן תְּרֵין פִּקּוּדִין אַהֲבַת חֶסֶד וּדְחִילוּ דִגְבוּרָה דְאִיהִי יִרְאָה, </w:t>
      </w:r>
      <w:r>
        <w:rPr>
          <w:rStyle w:val="a7"/>
          <w:rtl/>
        </w:rPr>
        <w:footnoteReference w:id="338"/>
      </w:r>
      <w:r>
        <w:rPr>
          <w:rtl/>
        </w:rPr>
        <w:t>דִּבְהוֹן אִשְׁתַּלִּימוּ תַּרְיַ''ג פִּקּוּדים, וּבְגִין דְּכָל אוֹרַיְיתָא וּפִקּוּדָהָא מִתְּרֵן סִטְרִין אִתְיְהִיבַת, אוּקְמוּהוּ רַבָּנָן וְלֹא עַם הָאָרֶץ חָסִיד, וְאֵין בּוּר יְרֵא חֵטְא.</w:t>
      </w:r>
    </w:p>
    <w:p w:rsidR="00D45634" w:rsidRDefault="00D45634" w:rsidP="00EF3849">
      <w:pPr>
        <w:pStyle w:val="2"/>
        <w:rPr>
          <w:rtl/>
        </w:rPr>
      </w:pPr>
      <w:r>
        <w:rPr>
          <w:rtl/>
        </w:rPr>
        <w:t>[בהגהה דף ז ע''א]</w:t>
      </w:r>
    </w:p>
    <w:p w:rsidR="00D45634" w:rsidRDefault="00D45634" w:rsidP="00B17EA9">
      <w:pPr>
        <w:pStyle w:val="22"/>
        <w:rPr>
          <w:rtl/>
        </w:rPr>
      </w:pPr>
      <w:r>
        <w:rPr>
          <w:rStyle w:val="a7"/>
          <w:rtl/>
        </w:rPr>
        <w:footnoteReference w:id="339"/>
      </w:r>
      <w:r>
        <w:rPr>
          <w:rtl/>
        </w:rPr>
        <w:t xml:space="preserve">וְאִי תֵּימָא הָא חֶסֶד גְּבוּרָה </w:t>
      </w:r>
      <w:r>
        <w:rPr>
          <w:szCs w:val="23"/>
          <w:rtl/>
        </w:rPr>
        <w:t xml:space="preserve">(דף ז ע''א) </w:t>
      </w:r>
      <w:r>
        <w:rPr>
          <w:rtl/>
        </w:rPr>
        <w:t>דְמִתַּמָּן מַלְכוּת אִיהִי אַהֲבָה וְיִרְאָה, אֵיךְ אוּקְמוּהוּ רַבָּנָן גְּדוֹלָה תּוֹרָה שֶׁמְּבִיאָה לְאָדָם לִידֵי מַעֲשֶׂה, (</w:t>
      </w:r>
      <w:r>
        <w:rPr>
          <w:rStyle w:val="a7"/>
          <w:rtl/>
        </w:rPr>
        <w:footnoteReference w:id="340"/>
      </w:r>
      <w:r>
        <w:rPr>
          <w:rtl/>
        </w:rPr>
        <w:t xml:space="preserve">דְּמֵהָכָא מַשְׁמַע דְּכָל הַקּוֹדֶם יִרְאָתוֹ לְחָכְמָתוֹ חָכְמָתוֹ מִתְקַיֶּימֶת,) </w:t>
      </w:r>
      <w:r>
        <w:rPr>
          <w:rStyle w:val="a7"/>
          <w:rtl/>
        </w:rPr>
        <w:footnoteReference w:id="341"/>
      </w:r>
      <w:r>
        <w:rPr>
          <w:rtl/>
        </w:rPr>
        <w:t xml:space="preserve">אֶלָּא כֹּלָּא קְשׁוֹט, </w:t>
      </w:r>
      <w:r>
        <w:rPr>
          <w:rStyle w:val="a7"/>
          <w:rtl/>
        </w:rPr>
        <w:footnoteReference w:id="342"/>
      </w:r>
      <w:r>
        <w:rPr>
          <w:rtl/>
        </w:rPr>
        <w:t xml:space="preserve">תִּפְאֶרֶת אִתְקְרֵי אָדָם, כְּגַוְונָא דִילֵיהּ הֲוָה אָדָם הָא דִלְתַתָּא, דְאוּקְמוּהוּ עֲלֵיהּ דַּהֲוָה רִאשׁוֹן לְמַחֲשָׁבָה וְאַחֲרוֹן לְמַעֲשֶׂה, וּבְגִין דָּא אוּקְמוּהוּ רַבָּנָן, יִשְׂרָאֵל עָלָה בְּמַחֲשָׁבָה לִיבָּרְאוֹת, דְּאִתְּמַר עֲלַיְיהוּ אָדָם אַתֶּם, אוּף הָכִי תִּפְאֶרֶת דְּאִיהוּ יהו''ה, </w:t>
      </w:r>
      <w:r>
        <w:rPr>
          <w:rStyle w:val="a7"/>
          <w:rtl/>
        </w:rPr>
        <w:lastRenderedPageBreak/>
        <w:footnoteReference w:id="343"/>
      </w:r>
      <w:r>
        <w:rPr>
          <w:rtl/>
        </w:rPr>
        <w:t>אִיהוּ רִאשׁוֹן לְמַחֲשָׁבָה דְאִיהִי חָכְמָה עִלָּאָה, וְאַחֲרוֹן לְמַעֲשֶׂה דְאִיהוּ י' מִן אדנ''י, חָכְמָה תַּתָּאָה, וּבְגִין דָּא כְּגַוְונָא דְּאִיהוּ (</w:t>
      </w:r>
      <w:r>
        <w:rPr>
          <w:rStyle w:val="a7"/>
          <w:rtl/>
        </w:rPr>
        <w:footnoteReference w:id="344"/>
      </w:r>
      <w:r>
        <w:rPr>
          <w:rtl/>
        </w:rPr>
        <w:t>וּבְגִין דָּא כַּוָּנָה דְּאִיהִי) מַחֲשָׁבָה צָרִיךְ לְאַקְדָּמָא לְמִצְוָה, וּבְגִין דָּא שַׁוִּיאוּ רַבָּנָן כִּוִּון מַחֲשַׁבְתָּא דִצְלוֹתָא בַּבְּרָכָה קַדְמָאָה, דְּהָכִי אוּקְמוּהוּ אִם לָא כִּוִּון בַּבְּרָכָה רִאשׁוֹנָה חוֹזֵר לְרֹאשׁ.</w:t>
      </w:r>
    </w:p>
    <w:p w:rsidR="00D45634" w:rsidRDefault="00D45634" w:rsidP="00B17EA9">
      <w:pPr>
        <w:pStyle w:val="22"/>
        <w:rPr>
          <w:rtl/>
        </w:rPr>
      </w:pPr>
      <w:r>
        <w:rPr>
          <w:rtl/>
        </w:rPr>
        <w:t>יִרְאַת יְיָ', מַלְכוּת דִּילֵיהּ, (</w:t>
      </w:r>
      <w:r>
        <w:rPr>
          <w:rStyle w:val="a7"/>
          <w:rtl/>
        </w:rPr>
        <w:footnoteReference w:id="345"/>
      </w:r>
      <w:r>
        <w:rPr>
          <w:rtl/>
        </w:rPr>
        <w:t xml:space="preserve">וּבְגִין דָּא אִתְּמַר בָּהּ </w:t>
      </w:r>
      <w:r>
        <w:rPr>
          <w:szCs w:val="23"/>
          <w:rtl/>
        </w:rPr>
        <w:t>(ויקרא יב ד)</w:t>
      </w:r>
      <w:r>
        <w:rPr>
          <w:rtl/>
        </w:rPr>
        <w:t xml:space="preserve"> אִשָּׁה כִּי תַזְרִיעַ, אִתְּתָא אִית לָהּ לְאַקְדָּמָא בְּכָל פִּקּוּדַיָּא, דְאִתְּמַר בָּהּ אִשָּׁה יִרְאַת יְיָ' הִיא תִתְהַלָּל </w:t>
      </w:r>
      <w:r>
        <w:rPr>
          <w:szCs w:val="23"/>
          <w:rtl/>
        </w:rPr>
        <w:t>(משלי לא ל)</w:t>
      </w:r>
      <w:r>
        <w:rPr>
          <w:rtl/>
        </w:rPr>
        <w:t xml:space="preserve">, וּבְגִין דָּא מָצָא אִשָּׁה בְּקַדְמֵיתָא, מָצָא טוֹב </w:t>
      </w:r>
      <w:r>
        <w:rPr>
          <w:szCs w:val="23"/>
          <w:rtl/>
        </w:rPr>
        <w:t>(שם יח כב),</w:t>
      </w:r>
      <w:r>
        <w:rPr>
          <w:rtl/>
        </w:rPr>
        <w:t xml:space="preserve"> דְּאִתְּמַר בֵּיהּ </w:t>
      </w:r>
      <w:r>
        <w:rPr>
          <w:szCs w:val="23"/>
          <w:rtl/>
        </w:rPr>
        <w:t>(תהלים קמה ט)</w:t>
      </w:r>
      <w:r>
        <w:rPr>
          <w:rtl/>
        </w:rPr>
        <w:t xml:space="preserve"> טוֹב יהו''ה לַכֹּל, וְאִי אַקְדִּים לָהּ בִּצְלוֹתָא, כְּמָה דְאוּקְמוּהוּ </w:t>
      </w:r>
      <w:r>
        <w:rPr>
          <w:szCs w:val="23"/>
          <w:rtl/>
        </w:rPr>
        <w:t>(תהלים נא יז)</w:t>
      </w:r>
      <w:r>
        <w:rPr>
          <w:rtl/>
        </w:rPr>
        <w:t xml:space="preserve"> אדנ''י שְׂפָתַי תִּפְתָּח, מִיָּד </w:t>
      </w:r>
      <w:r>
        <w:rPr>
          <w:szCs w:val="23"/>
          <w:rtl/>
        </w:rPr>
        <w:t>(משלי ח לה)</w:t>
      </w:r>
      <w:r>
        <w:rPr>
          <w:rtl/>
        </w:rPr>
        <w:t xml:space="preserve"> וַיָּפֶק רָצוֹן מֵיהו''ה.) וּבְגִין דָּא צָרִיךְ לְאַקְדָּמָא יִרְאָה מִסִּטְרָא דִשְׁכִינְתָּא, בֵּין בְּאוֹרַיְיתָא, בֵּין בְּפִקּוּדַיּא, אֲבָל מִסִּטְרָא דְקוּדְשָׁא בְּרִיךְ הוּא, צָרִיךְ לְאַקְדָּמָא אוֹרַיְיתָא לְיִרְאָה </w:t>
      </w:r>
      <w:r>
        <w:rPr>
          <w:rStyle w:val="a7"/>
          <w:rtl/>
        </w:rPr>
        <w:footnoteReference w:id="346"/>
      </w:r>
      <w:r>
        <w:rPr>
          <w:rtl/>
        </w:rPr>
        <w:t>בְּכָל פִּקּוּדַיָּא.</w:t>
      </w:r>
    </w:p>
    <w:p w:rsidR="00D45634" w:rsidRDefault="00D45634" w:rsidP="00B17EA9">
      <w:pPr>
        <w:pStyle w:val="22"/>
        <w:rPr>
          <w:rtl/>
        </w:rPr>
      </w:pPr>
      <w:r>
        <w:rPr>
          <w:rtl/>
        </w:rPr>
        <w:t>(</w:t>
      </w:r>
      <w:r>
        <w:rPr>
          <w:rStyle w:val="a7"/>
          <w:rtl/>
        </w:rPr>
        <w:footnoteReference w:id="347"/>
      </w:r>
      <w:r>
        <w:rPr>
          <w:rtl/>
        </w:rPr>
        <w:t xml:space="preserve">דְּיִרְאָה) דְאוֹרַיְיתָא אִית דְּאִתְקְרֵי נוּקְבָא תּוֹרָה שֶׁבְּעַל פֶּה, דִּבְגִינָהּ </w:t>
      </w:r>
      <w:r>
        <w:rPr>
          <w:rStyle w:val="a7"/>
          <w:rtl/>
        </w:rPr>
        <w:footnoteReference w:id="348"/>
      </w:r>
      <w:r>
        <w:rPr>
          <w:rtl/>
        </w:rPr>
        <w:t xml:space="preserve">אִתְּמַר תַּמָּן אָז יְרַנְּנוּ עֲצֵי הַיָּעַר </w:t>
      </w:r>
      <w:r>
        <w:rPr>
          <w:szCs w:val="23"/>
          <w:rtl/>
        </w:rPr>
        <w:t>(דהי''א טז לג)</w:t>
      </w:r>
      <w:r>
        <w:rPr>
          <w:rtl/>
        </w:rPr>
        <w:t xml:space="preserve">, עָנָה מַלְאָךְ </w:t>
      </w:r>
      <w:r>
        <w:rPr>
          <w:rStyle w:val="a7"/>
          <w:rtl/>
        </w:rPr>
        <w:footnoteReference w:id="349"/>
      </w:r>
      <w:r>
        <w:rPr>
          <w:rtl/>
        </w:rPr>
        <w:t xml:space="preserve">מִן הַשָּׁמַיִם וְאָמַר הֵן הֵן </w:t>
      </w:r>
      <w:r>
        <w:rPr>
          <w:rStyle w:val="a7"/>
          <w:rtl/>
        </w:rPr>
        <w:footnoteReference w:id="350"/>
      </w:r>
      <w:r>
        <w:rPr>
          <w:rtl/>
        </w:rPr>
        <w:t>מַעֲשֵׂה מֶרְכָּבָה.</w:t>
      </w:r>
    </w:p>
    <w:p w:rsidR="00D45634" w:rsidRDefault="00D45634" w:rsidP="00EF3849">
      <w:pPr>
        <w:pStyle w:val="2"/>
        <w:rPr>
          <w:rtl/>
        </w:rPr>
      </w:pPr>
      <w:r>
        <w:rPr>
          <w:rtl/>
        </w:rPr>
        <w:t>[בהגהה דף ז ע''ב]</w:t>
      </w:r>
    </w:p>
    <w:p w:rsidR="00D45634" w:rsidRDefault="00D45634" w:rsidP="00B17EA9">
      <w:pPr>
        <w:pStyle w:val="22"/>
        <w:rPr>
          <w:rtl/>
        </w:rPr>
      </w:pPr>
      <w:r>
        <w:rPr>
          <w:rStyle w:val="a7"/>
          <w:rtl/>
        </w:rPr>
        <w:footnoteReference w:id="351"/>
      </w:r>
      <w:r>
        <w:rPr>
          <w:rtl/>
        </w:rPr>
        <w:t xml:space="preserve">מֵהַאי אָ''ז תַּלְיָין ע''ב שְׁמָהָן דְּהַיְינוּ חֶסֶד, </w:t>
      </w:r>
      <w:r>
        <w:rPr>
          <w:rStyle w:val="a7"/>
          <w:rtl/>
        </w:rPr>
        <w:footnoteReference w:id="352"/>
      </w:r>
      <w:r>
        <w:rPr>
          <w:rtl/>
        </w:rPr>
        <w:t xml:space="preserve">דְּבֵיהּ צָרִיךְ לְאַתְקָנָא כָּרְסַיָּא לְמָארֵיהּ, בְּכַנְפֵי דמִצְוָה, וְיֵשֵׁב עָלָיו בֶּאֱמֶת, </w:t>
      </w:r>
      <w:r>
        <w:rPr>
          <w:rStyle w:val="a7"/>
          <w:rtl/>
        </w:rPr>
        <w:footnoteReference w:id="353"/>
      </w:r>
      <w:r>
        <w:rPr>
          <w:rtl/>
        </w:rPr>
        <w:t xml:space="preserve">עִשּׂוּר אֱמֶת מ''ה יו''ד ה''א וא''ו ה''א, </w:t>
      </w:r>
      <w:r>
        <w:rPr>
          <w:rStyle w:val="a7"/>
          <w:rtl/>
        </w:rPr>
        <w:footnoteReference w:id="354"/>
      </w:r>
      <w:r>
        <w:rPr>
          <w:rtl/>
        </w:rPr>
        <w:t xml:space="preserve">מוֹרִיד הַטָּ''ל לְאַנְהָרָא לְגַבֵּי הֵ''א, </w:t>
      </w:r>
      <w:r>
        <w:rPr>
          <w:rStyle w:val="a7"/>
          <w:rtl/>
        </w:rPr>
        <w:footnoteReference w:id="355"/>
      </w:r>
      <w:r>
        <w:rPr>
          <w:rtl/>
        </w:rPr>
        <w:t xml:space="preserve">דְּאִיהוּ כְּלִיל תְּלַת בִּרְכָאָן קַדְמָאִין דִּצְלוֹתָא, וּתְלַת בַּתְרָאִין, וְדָא עַד אֵין סוֹף, דְּאִתְרְמִיז בְּאדנ''י אַיִ''ן, וּבְגִין דָּא י' י' מִן יאהדונה''י </w:t>
      </w:r>
      <w:r>
        <w:rPr>
          <w:rStyle w:val="a7"/>
          <w:rtl/>
        </w:rPr>
        <w:footnoteReference w:id="356"/>
      </w:r>
      <w:r>
        <w:rPr>
          <w:rtl/>
        </w:rPr>
        <w:t xml:space="preserve">עֲשָׂרָה עֲשָׂרָה הַכַּף בְּשֶׁקֶל הַקֹּדֶשׁ </w:t>
      </w:r>
      <w:r>
        <w:rPr>
          <w:szCs w:val="23"/>
          <w:rtl/>
        </w:rPr>
        <w:t>(במדבר ז פז)</w:t>
      </w:r>
      <w:r>
        <w:rPr>
          <w:rtl/>
        </w:rPr>
        <w:t xml:space="preserve">, וְדָא </w:t>
      </w:r>
      <w:r>
        <w:rPr>
          <w:rStyle w:val="a7"/>
          <w:rtl/>
        </w:rPr>
        <w:footnoteReference w:id="357"/>
      </w:r>
      <w:r>
        <w:rPr>
          <w:rtl/>
        </w:rPr>
        <w:t xml:space="preserve">כ' מִן כֶּתֶר, </w:t>
      </w:r>
      <w:r>
        <w:rPr>
          <w:rStyle w:val="a7"/>
          <w:rtl/>
        </w:rPr>
        <w:footnoteReference w:id="358"/>
      </w:r>
      <w:r>
        <w:rPr>
          <w:rtl/>
        </w:rPr>
        <w:t xml:space="preserve">עֲשָׂרָה מִן שְׁכִינְתָּא תַּתָּאָה אדנ''י מִתַּתָּא לְעִילָא מִן אֲנִ''י עַד אַיִ''ן, עֲשָׂרָה מֵעִילָא לְתַתָּא </w:t>
      </w:r>
      <w:r>
        <w:rPr>
          <w:szCs w:val="23"/>
          <w:rtl/>
        </w:rPr>
        <w:t>(דף ז ע''ב)</w:t>
      </w:r>
      <w:r>
        <w:rPr>
          <w:rtl/>
        </w:rPr>
        <w:t xml:space="preserve"> דְּעַמּוּדָא דְאֶמִצָעִיתָא דְאִיהוּ יהו''ה, דְּאִינוּן לְקִבְלַיְיהוּ תְּרֵין שְׁמָהָן יהו''ה אדנ''י, וּתְמַנְיָא אַתְוָון, דְּאִינוּן עֲשָׂרָה, דְּאִינוּן עֶשֶׂר סְפִירוֹת בְּלִי מָה, דְּכָּלִיל לוֹן.</w:t>
      </w:r>
    </w:p>
    <w:p w:rsidR="00D45634" w:rsidRDefault="00D45634" w:rsidP="00B17EA9">
      <w:pPr>
        <w:pStyle w:val="22"/>
        <w:rPr>
          <w:rtl/>
        </w:rPr>
      </w:pPr>
      <w:r>
        <w:rPr>
          <w:rtl/>
        </w:rPr>
        <w:t xml:space="preserve">וּבְקֵץֹ דְּפוּרְקָנָא </w:t>
      </w:r>
      <w:r>
        <w:rPr>
          <w:rStyle w:val="a7"/>
          <w:rtl/>
        </w:rPr>
        <w:footnoteReference w:id="359"/>
      </w:r>
      <w:r>
        <w:rPr>
          <w:rtl/>
        </w:rPr>
        <w:t xml:space="preserve">מְ'דַלֵּג עַל הֶ'הָרִים </w:t>
      </w:r>
      <w:r>
        <w:rPr>
          <w:szCs w:val="23"/>
          <w:rtl/>
        </w:rPr>
        <w:t>(שיר ב ח)</w:t>
      </w:r>
      <w:r>
        <w:rPr>
          <w:rtl/>
        </w:rPr>
        <w:t xml:space="preserve">, דָּא מ''ה, וְלֵית הָרִים אֶלָּא אֲבָהָן, דְּאִינוּן מֶרְכַּבְתֵּיהּ, אוּף הָכִי מְ'קַפֵּץ עַל הַ'גְּבָעוֹת אִנּוּן </w:t>
      </w:r>
      <w:r>
        <w:rPr>
          <w:rStyle w:val="a7"/>
          <w:rtl/>
        </w:rPr>
        <w:footnoteReference w:id="360"/>
      </w:r>
      <w:r>
        <w:rPr>
          <w:rtl/>
        </w:rPr>
        <w:t xml:space="preserve">אִמָּהָן, אהי''ה אדנ''י, בְּהַהוּא זִמְנָא אָ''ז יָשִׁיר מֹשֶׁה וכו' </w:t>
      </w:r>
      <w:r>
        <w:rPr>
          <w:szCs w:val="23"/>
          <w:rtl/>
        </w:rPr>
        <w:t>(שמות טו א)</w:t>
      </w:r>
      <w:r>
        <w:rPr>
          <w:rtl/>
        </w:rPr>
        <w:t xml:space="preserve">, וְכֹלָּא אִתְקַשַּׁר וְאִתְכְּלִיל בח"י ברכאן דצלותא דכלילן בְּחַ''י עָלְמִין, הֲדָא הוּא דִכְתִיב </w:t>
      </w:r>
      <w:r>
        <w:rPr>
          <w:szCs w:val="23"/>
          <w:rtl/>
        </w:rPr>
        <w:t>(משלי י ו)</w:t>
      </w:r>
      <w:r>
        <w:rPr>
          <w:rtl/>
        </w:rPr>
        <w:t xml:space="preserve"> בְּרָכוֹת לְרֹאשׁ צַדִּיק.</w:t>
      </w:r>
    </w:p>
    <w:p w:rsidR="00D45634" w:rsidRDefault="00D45634" w:rsidP="00B17EA9">
      <w:pPr>
        <w:pStyle w:val="22"/>
        <w:rPr>
          <w:rtl/>
        </w:rPr>
      </w:pPr>
      <w:r>
        <w:rPr>
          <w:rtl/>
        </w:rPr>
        <w:lastRenderedPageBreak/>
        <w:t>וְאִית כָּבוֹד נִבְרָא כְּגַוְונָא דְכָבוֹד נֶאֱצָל, מִסִּטְרָא דְכָבוֹד נִבְרָא אָמְרִין יִשְׂרָאֵל לְגַבֵּי אָדוֹן עַל כֹּלָּא אִם כַּעֲבָדִים, וּמִסִּטְרָא דְּכָבוֹד נֶאֱצָל אִתְּמַר בְּהוֹן אִם כְּבָנִים, אִיהוּ עִלַּת עַל כֹּלָּא, לֵית אֱלֹ''הַ עֲלֵיהּ, וְלַא תְּחוֹתֵיהּ, וְלַא לְאַרְבַּע סִטְרִין. אִיהוּ מְמַלֵּא כָּל עָלְמִין, ואיהו אסחר לכל סטרא דלא כו'</w:t>
      </w:r>
    </w:p>
    <w:p w:rsidR="00D45634" w:rsidRDefault="00D45634" w:rsidP="00EF3849">
      <w:pPr>
        <w:pStyle w:val="2"/>
        <w:rPr>
          <w:rtl/>
        </w:rPr>
      </w:pPr>
      <w:r>
        <w:rPr>
          <w:rtl/>
        </w:rPr>
        <w:t>[תיקוני זוהר - דף ז ע''ב]</w:t>
      </w:r>
    </w:p>
    <w:p w:rsidR="00D45634" w:rsidRDefault="00D45634" w:rsidP="00B17EA9">
      <w:pPr>
        <w:pStyle w:val="NormalWeb"/>
        <w:rPr>
          <w:rtl/>
        </w:rPr>
      </w:pPr>
      <w:r>
        <w:rPr>
          <w:rtl/>
        </w:rPr>
        <w:t xml:space="preserve">וְעוֹד קָמֵ''ץ, אוּקְמוּהוּ מָארֵי דִקְדּוּק </w:t>
      </w:r>
      <w:r>
        <w:rPr>
          <w:rStyle w:val="a7"/>
          <w:rtl/>
        </w:rPr>
        <w:footnoteReference w:id="361"/>
      </w:r>
      <w:r>
        <w:rPr>
          <w:rtl/>
        </w:rPr>
        <w:t xml:space="preserve">דְּאִיהוּ תְּנוּעָה גְדוֹלָה, </w:t>
      </w:r>
      <w:r>
        <w:rPr>
          <w:rStyle w:val="a7"/>
          <w:rtl/>
        </w:rPr>
        <w:footnoteReference w:id="362"/>
      </w:r>
      <w:r>
        <w:rPr>
          <w:rtl/>
        </w:rPr>
        <w:t xml:space="preserve">בְּגִין דְּאִיהוּ קַדְמָאָה דְכֻלְּהוּ נְקוּדִין דִּסְפִירָאן, </w:t>
      </w:r>
      <w:r>
        <w:rPr>
          <w:rStyle w:val="a7"/>
          <w:rtl/>
        </w:rPr>
        <w:footnoteReference w:id="363"/>
      </w:r>
      <w:r>
        <w:rPr>
          <w:rtl/>
        </w:rPr>
        <w:t xml:space="preserve">אַף עַל גַּב דְּכֻלְּהוּ שְׁמָהָן קַדִּישִׁין אִתְעֲבִידוּ דָא כִּסֵּא לְדָא, </w:t>
      </w:r>
      <w:r>
        <w:rPr>
          <w:rStyle w:val="a7"/>
          <w:rtl/>
        </w:rPr>
        <w:footnoteReference w:id="364"/>
      </w:r>
      <w:r>
        <w:rPr>
          <w:rtl/>
        </w:rPr>
        <w:t xml:space="preserve">כְּגוֹן בְּרָא דְצָרִיךְ לְמִפְלַח לַאֲבוֹי </w:t>
      </w:r>
      <w:r>
        <w:rPr>
          <w:sz w:val="20"/>
          <w:szCs w:val="23"/>
          <w:rtl/>
        </w:rPr>
        <w:t xml:space="preserve">(דף ז ע''ב) </w:t>
      </w:r>
      <w:r>
        <w:rPr>
          <w:rtl/>
        </w:rPr>
        <w:t xml:space="preserve">וּלְאִמֵּיהּ, וּלְמֶעֱבַד גַרְמֵיהּ לְגַבַּיְיהוּ </w:t>
      </w:r>
      <w:r>
        <w:rPr>
          <w:rStyle w:val="a7"/>
          <w:rtl/>
        </w:rPr>
        <w:footnoteReference w:id="365"/>
      </w:r>
      <w:r>
        <w:rPr>
          <w:rtl/>
        </w:rPr>
        <w:t xml:space="preserve">כְּעֶבֶד וְשַׁמָּשׁ וְכָרְסַיָּיא, וּמַצָּב תְּחוֹתַיְיהוּ, הָכִי אִינוּן סְפִירָן דָּא לְדָא, וּבְגִין דָּא אִית נְקוּדָה מַלְכָּא, וְאִית נְקוּדָה עַבְדָּא לְגַבֵּיהּ דְמַלְכָּא, </w:t>
      </w:r>
      <w:r>
        <w:rPr>
          <w:rStyle w:val="a7"/>
          <w:rtl/>
        </w:rPr>
        <w:footnoteReference w:id="366"/>
      </w:r>
      <w:r>
        <w:rPr>
          <w:rtl/>
        </w:rPr>
        <w:t>כְּגוֹן שְׁבָ''א דְאִיהוּ עֶבֶד לְקָמֵ''ץ, וְרָץ בִּשְׁלִיחוּתֵיהּ וּמְזַנֵּב אַחֲרָיו, אֲבָל בְּאַתְרֵיהּ מַלְכָּא אִיהוּ.</w:t>
      </w:r>
    </w:p>
    <w:p w:rsidR="00D45634" w:rsidRDefault="00D45634" w:rsidP="00B17EA9">
      <w:pPr>
        <w:pStyle w:val="NormalWeb"/>
        <w:rPr>
          <w:rtl/>
        </w:rPr>
      </w:pPr>
      <w:r>
        <w:rPr>
          <w:rStyle w:val="a7"/>
          <w:rtl/>
        </w:rPr>
        <w:footnoteReference w:id="367"/>
      </w:r>
      <w:r>
        <w:rPr>
          <w:rtl/>
        </w:rPr>
        <w:t>וְרָזָא דְקָמֵ''ץ, חוּשְׁבַּן קָמֵץ י''ד, וּתְלַת נִיצוֹצֵי וְרָקִיעַ הָא נ', וּבְחוּשְׁבַּן אַחֲרַא, קָמֵץ י''ד, וּתְרֵי נִיצוֹצֵי וְרָקִיעַ הוּא מ', דְּאִיהוּ מֶלֶךְ, וְאִנּוּן רְמִיזִין אַרְבַּע יוּדִין מִן יו''ד ה''י וא''ו ה''י, יו''ד ה''א וא''ו ה''א, יהו"ה, (</w:t>
      </w:r>
      <w:r>
        <w:rPr>
          <w:rStyle w:val="a7"/>
          <w:rtl/>
        </w:rPr>
        <w:footnoteReference w:id="368"/>
      </w:r>
      <w:r>
        <w:rPr>
          <w:rtl/>
        </w:rPr>
        <w:t xml:space="preserve">מ' דְּאִיהוּ מֶלֶךְ, אִנּוּן רְמִיזִין אַרְבַּע יוּדִין מִן יו''ד ה''י וי''ו ה''י,) וְלַאו לְמַגָּנָא אִתְּמַר בֵּיהּ מֶלֶךְ, </w:t>
      </w:r>
      <w:r>
        <w:rPr>
          <w:rStyle w:val="a7"/>
          <w:rtl/>
        </w:rPr>
        <w:footnoteReference w:id="369"/>
      </w:r>
      <w:r>
        <w:rPr>
          <w:rtl/>
        </w:rPr>
        <w:t>דְּאִיהוּ מֶלֶךְ גָּדוֹל עַל כָּל מַלְכִין.</w:t>
      </w:r>
    </w:p>
    <w:p w:rsidR="00D45634" w:rsidRDefault="00D45634" w:rsidP="0064446A">
      <w:pPr>
        <w:pStyle w:val="NormalWeb"/>
        <w:rPr>
          <w:rtl/>
        </w:rPr>
      </w:pPr>
      <w:r>
        <w:rPr>
          <w:rtl/>
        </w:rPr>
        <w:t xml:space="preserve">פַּתָ''ח אִיהוּ מ''ב, חוּשְׁבַּן פַּתָח אִיהוּ כ', וְנִיצוֹץ וּתְרֵין רְקִיעִי וו''י, הָא מ''ב, </w:t>
      </w:r>
      <w:r>
        <w:rPr>
          <w:sz w:val="20"/>
          <w:szCs w:val="23"/>
          <w:rtl/>
        </w:rPr>
        <w:t>(תהלים צא יד)</w:t>
      </w:r>
      <w:r>
        <w:rPr>
          <w:rtl/>
        </w:rPr>
        <w:t xml:space="preserve"> </w:t>
      </w:r>
      <w:r>
        <w:rPr>
          <w:rStyle w:val="a7"/>
          <w:rtl/>
        </w:rPr>
        <w:footnoteReference w:id="370"/>
      </w:r>
      <w:r>
        <w:rPr>
          <w:rtl/>
        </w:rPr>
        <w:t xml:space="preserve">כִּ''י בִ''י חָשַׁק וַאֲפַלְּטֵהוּ, </w:t>
      </w:r>
      <w:r>
        <w:rPr>
          <w:rStyle w:val="a7"/>
          <w:rtl/>
        </w:rPr>
        <w:footnoteReference w:id="371"/>
      </w:r>
      <w:r>
        <w:rPr>
          <w:rtl/>
        </w:rPr>
        <w:t xml:space="preserve">פִּתְחוּ לִי שַׁעֲרֵי צֶדֶק אָבֹא בָם וכו', בָ''ם אַרְבָּעִים וּתְרֵין, </w:t>
      </w:r>
      <w:r>
        <w:rPr>
          <w:rStyle w:val="a7"/>
          <w:rtl/>
        </w:rPr>
        <w:footnoteReference w:id="372"/>
      </w:r>
      <w:r>
        <w:rPr>
          <w:rtl/>
        </w:rPr>
        <w:t xml:space="preserve">כִּי בִי </w:t>
      </w:r>
      <w:r>
        <w:rPr>
          <w:rStyle w:val="a7"/>
          <w:rtl/>
        </w:rPr>
        <w:footnoteReference w:id="373"/>
      </w:r>
      <w:r>
        <w:rPr>
          <w:rtl/>
        </w:rPr>
        <w:t xml:space="preserve">חָשַׁק וַאֲפַלְּטֵהוּ, </w:t>
      </w:r>
      <w:r w:rsidR="00792816">
        <w:rPr>
          <w:rStyle w:val="a7"/>
          <w:rtl/>
        </w:rPr>
        <w:footnoteReference w:id="374"/>
      </w:r>
      <w:r>
        <w:rPr>
          <w:rtl/>
        </w:rPr>
        <w:t>חָשַׁק</w:t>
      </w:r>
      <w:r w:rsidR="0064446A">
        <w:rPr>
          <w:rFonts w:hint="cs"/>
          <w:rtl/>
        </w:rPr>
        <w:t>,</w:t>
      </w:r>
      <w:r>
        <w:rPr>
          <w:rtl/>
        </w:rPr>
        <w:t xml:space="preserve"> </w:t>
      </w:r>
      <w:r w:rsidR="0064446A">
        <w:rPr>
          <w:rFonts w:hint="cs"/>
          <w:rtl/>
        </w:rPr>
        <w:t>חולם</w:t>
      </w:r>
      <w:r>
        <w:rPr>
          <w:rtl/>
        </w:rPr>
        <w:t xml:space="preserve"> שְׁבָא קָמֵץ מִן אָבְגִיתַץ, </w:t>
      </w:r>
      <w:r>
        <w:rPr>
          <w:rStyle w:val="a7"/>
          <w:rtl/>
        </w:rPr>
        <w:footnoteReference w:id="375"/>
      </w:r>
      <w:r>
        <w:rPr>
          <w:rtl/>
        </w:rPr>
        <w:t xml:space="preserve">קָמֵץ קוֹמֶץ סָתִים בְּאָת יוּ''ד, פַּתָ''ח אִתְפַּתַּח בֵּיהּ בְּחָמֵשׁ אֶצְבְּעָאן דְּאִינוּן ה', </w:t>
      </w:r>
      <w:r>
        <w:rPr>
          <w:rStyle w:val="a7"/>
          <w:rtl/>
        </w:rPr>
        <w:footnoteReference w:id="376"/>
      </w:r>
      <w:r>
        <w:rPr>
          <w:rtl/>
        </w:rPr>
        <w:t xml:space="preserve">וְכַמָּה רָזִין בְּנִקּוּדֵי, וְהַאי אִיהוּ אָבֹא בָם אוֹדֶה י''הּ, וּפַתָח עֲלֵיהּ אִתְּמַר </w:t>
      </w:r>
      <w:r>
        <w:rPr>
          <w:sz w:val="20"/>
          <w:szCs w:val="23"/>
          <w:rtl/>
        </w:rPr>
        <w:t>(תהלים קיח יט)</w:t>
      </w:r>
      <w:r>
        <w:rPr>
          <w:rtl/>
        </w:rPr>
        <w:t xml:space="preserve"> פִּתְחוּ לִי וכו', זֶה הַשַּׁעַר לַיהוָֹ''ה.</w:t>
      </w:r>
    </w:p>
    <w:p w:rsidR="00D45634" w:rsidRDefault="00D45634" w:rsidP="00B17EA9">
      <w:pPr>
        <w:pStyle w:val="NormalWeb"/>
        <w:rPr>
          <w:rtl/>
        </w:rPr>
      </w:pPr>
      <w:r>
        <w:rPr>
          <w:rtl/>
        </w:rPr>
        <w:lastRenderedPageBreak/>
        <w:t xml:space="preserve">מַלְאָכִין אִית דִּמְשַׁמְּשִׁין לְאִלֵּין נְקוּדִין, וְאִינוּן אַתְוָון, דְּאִינוּן כְּסוּסְוָון לִנְקוּדֵי, וְטַעֲמֵי מַנְהִיגֵי לוֹן, </w:t>
      </w:r>
      <w:r>
        <w:rPr>
          <w:rStyle w:val="a7"/>
          <w:rtl/>
        </w:rPr>
        <w:footnoteReference w:id="377"/>
      </w:r>
      <w:r>
        <w:rPr>
          <w:rtl/>
        </w:rPr>
        <w:t xml:space="preserve">וְאִינוּן תְּנוּעוֹת לְגַבַּיְיהוּ, </w:t>
      </w:r>
      <w:r>
        <w:rPr>
          <w:rStyle w:val="a7"/>
          <w:rtl/>
        </w:rPr>
        <w:footnoteReference w:id="378"/>
      </w:r>
      <w:r>
        <w:rPr>
          <w:rtl/>
        </w:rPr>
        <w:t xml:space="preserve">כְּגוֹן עַל פִּי יהו''ה יַחֲנוּ, וְעַל פִּי יהו''ה יִסָּעוּ </w:t>
      </w:r>
      <w:r>
        <w:rPr>
          <w:sz w:val="20"/>
          <w:szCs w:val="23"/>
          <w:rtl/>
        </w:rPr>
        <w:t>(במדבר ט כ)</w:t>
      </w:r>
      <w:r>
        <w:rPr>
          <w:rtl/>
        </w:rPr>
        <w:t xml:space="preserve">, וְאִינוּן נְקוּדִין לְגַבֵּי טַעֲמֵי, כְּעָאנָא בָּתַר רַעְיָין </w:t>
      </w:r>
      <w:r>
        <w:rPr>
          <w:rStyle w:val="a7"/>
          <w:rtl/>
        </w:rPr>
        <w:footnoteReference w:id="379"/>
      </w:r>
      <w:r>
        <w:rPr>
          <w:rtl/>
        </w:rPr>
        <w:t>דְּאַנְהִיגִין לוֹן לְכָל סִטְרָא, לְסַלְקָא וּלְנַחְתָא עִילָא וְתַתָּא, וּלְאַנְהָגָא לוֹן לְכָל סִטְרָא לִימִינָא וּשְׂמָאלָא לְקַמָּא וְלַאֲחוֹרָא.</w:t>
      </w:r>
    </w:p>
    <w:p w:rsidR="00D45634" w:rsidRDefault="00D45634" w:rsidP="00B17EA9">
      <w:pPr>
        <w:pStyle w:val="NormalWeb"/>
        <w:rPr>
          <w:rtl/>
        </w:rPr>
      </w:pPr>
      <w:r>
        <w:rPr>
          <w:rtl/>
        </w:rPr>
        <w:t xml:space="preserve">וְטַעֲמֵי אִינוּן נִשְׁמָתִין, וּנְקוּדִין רוּחִין, וְאַתְוָון נַפְשִׁין, אִלֵּין מִתְנַהֲגִין בָּתַר אִלֵּין, וְאִלֵּין בָּתַר אִלֵּין, </w:t>
      </w:r>
      <w:r>
        <w:rPr>
          <w:rStyle w:val="a7"/>
          <w:rtl/>
        </w:rPr>
        <w:footnoteReference w:id="380"/>
      </w:r>
      <w:r>
        <w:rPr>
          <w:rtl/>
        </w:rPr>
        <w:t xml:space="preserve">אַתְוָון מִתְנַהֲגֵי בָּתַר נְקוּדֵי, וּנְקוּדֵי בָּתַר טַעֲמֵי, </w:t>
      </w:r>
      <w:r>
        <w:rPr>
          <w:rStyle w:val="a7"/>
          <w:rtl/>
        </w:rPr>
        <w:footnoteReference w:id="381"/>
      </w:r>
      <w:r>
        <w:rPr>
          <w:rtl/>
        </w:rPr>
        <w:t xml:space="preserve">כִּי גָבוֹהַּ מֵעַל גָּבוֹהַּ שׁוֹמֵר </w:t>
      </w:r>
      <w:r>
        <w:rPr>
          <w:sz w:val="20"/>
          <w:szCs w:val="23"/>
          <w:rtl/>
        </w:rPr>
        <w:t>(קהלת ה ז)</w:t>
      </w:r>
      <w:r>
        <w:rPr>
          <w:rtl/>
        </w:rPr>
        <w:t xml:space="preserve">, וְאִית נְקוּדָה דְכָל עָלְמָא תַּלְיָא תְּחוֹתָהּ, כְּגוֹן שִׁמְשָׁא לְגַבֵּי תַּתָּאִין, אִתְחַזְיָא לִבְנֵי נָשָׁא תְּחוֹת רְקִיעָא כִּנְקוּדַת קָמֵ''ץ, וְאִיהוּ כַּמָּה זִמְנִין רַב מִכָּל אַרְעָא, כָּל שֶׁכֵּן נְקוּדִין דְּאוֹרַיְיתָא, לְגַבֵּי גוֹבַהּ דִּלְהוֹן, וְאִתְחַזְיָין לָן נְקוּדִין.  וְעוֹד אַתְוָון </w:t>
      </w:r>
      <w:r>
        <w:rPr>
          <w:rStyle w:val="a7"/>
          <w:rtl/>
        </w:rPr>
        <w:footnoteReference w:id="382"/>
      </w:r>
      <w:r>
        <w:rPr>
          <w:rtl/>
        </w:rPr>
        <w:t xml:space="preserve">אִנּוּן אֵשׁ, </w:t>
      </w:r>
      <w:r>
        <w:rPr>
          <w:rStyle w:val="a7"/>
          <w:rtl/>
        </w:rPr>
        <w:footnoteReference w:id="383"/>
      </w:r>
      <w:r>
        <w:rPr>
          <w:rtl/>
        </w:rPr>
        <w:t xml:space="preserve">נְקוּדֵי רוּחַ, אֶל אֲשֶׁר יִהְיֶה שָּׁמָּה הָרוּחַ לָלֶכֶת יֵלֵכוּ </w:t>
      </w:r>
      <w:r>
        <w:rPr>
          <w:sz w:val="20"/>
          <w:szCs w:val="23"/>
          <w:rtl/>
        </w:rPr>
        <w:t>(יחזקאל א יב)</w:t>
      </w:r>
      <w:r>
        <w:rPr>
          <w:rtl/>
        </w:rPr>
        <w:t xml:space="preserve">, </w:t>
      </w:r>
      <w:r>
        <w:rPr>
          <w:rStyle w:val="a7"/>
          <w:rtl/>
        </w:rPr>
        <w:footnoteReference w:id="384"/>
      </w:r>
      <w:r>
        <w:rPr>
          <w:rtl/>
        </w:rPr>
        <w:t xml:space="preserve">וְאִנּוּן כְּמַבּוּעִי מַיָּא, דְאִתְּמַר עֲלַיְיהוּ </w:t>
      </w:r>
      <w:r>
        <w:rPr>
          <w:sz w:val="20"/>
          <w:szCs w:val="23"/>
          <w:rtl/>
        </w:rPr>
        <w:t>(תהלים קד י)</w:t>
      </w:r>
      <w:r>
        <w:rPr>
          <w:rtl/>
        </w:rPr>
        <w:t xml:space="preserve"> הַמְשַׁלֵּחַ מַעְיָנִים בַּנְּחָלִים, יַשְׁקוּ </w:t>
      </w:r>
      <w:r>
        <w:rPr>
          <w:rStyle w:val="a7"/>
          <w:rtl/>
        </w:rPr>
        <w:footnoteReference w:id="385"/>
      </w:r>
      <w:r>
        <w:rPr>
          <w:rtl/>
        </w:rPr>
        <w:t>כָּל חַיְתוֹ שָׂדָי וגו', אִלֵּין אַתְוָון.</w:t>
      </w:r>
    </w:p>
    <w:p w:rsidR="00D45634" w:rsidRDefault="00D45634" w:rsidP="00B17EA9">
      <w:pPr>
        <w:pStyle w:val="NormalWeb"/>
        <w:rPr>
          <w:rtl/>
        </w:rPr>
      </w:pPr>
      <w:r>
        <w:rPr>
          <w:rStyle w:val="a7"/>
          <w:rtl/>
        </w:rPr>
        <w:footnoteReference w:id="386"/>
      </w:r>
      <w:r>
        <w:rPr>
          <w:rtl/>
        </w:rPr>
        <w:t xml:space="preserve">וְאִית דְּשַׁוִּי לוֹן לְאַתְוָון, מַיִם אֵשׁ רוּחַ וְעָפָר אַרְבַּע רַגְלִין דְּכָרְסַיָּא, </w:t>
      </w:r>
      <w:r>
        <w:rPr>
          <w:rStyle w:val="a7"/>
          <w:rtl/>
        </w:rPr>
        <w:footnoteReference w:id="387"/>
      </w:r>
      <w:r>
        <w:rPr>
          <w:rtl/>
        </w:rPr>
        <w:t xml:space="preserve">נְקוּדֵי אָדָם לָשֶׁבֶת עַל הַכִּסֵּא, </w:t>
      </w:r>
      <w:r>
        <w:rPr>
          <w:rStyle w:val="a7"/>
          <w:rtl/>
        </w:rPr>
        <w:footnoteReference w:id="388"/>
      </w:r>
      <w:r>
        <w:rPr>
          <w:rtl/>
        </w:rPr>
        <w:t xml:space="preserve">מִסִּטְרָא דְּאִימָּא הֵהִי''ן לְעִילָא, מִסִּטְרָא דִבְרַתָּא </w:t>
      </w:r>
      <w:r>
        <w:rPr>
          <w:rStyle w:val="a7"/>
          <w:rtl/>
        </w:rPr>
        <w:footnoteReference w:id="389"/>
      </w:r>
      <w:r>
        <w:rPr>
          <w:rtl/>
        </w:rPr>
        <w:t>הֵהִי''ן לְתַתָּא, מִסִּטְרָא דְאַבָּא יוּדִי''ן לְעִילָא, מִסִּטְרָא דִבְרַתָּא יוּדִי''ן לְתַתָּא, מִסִּטְרָא דְבֵן וָוִי''ן לְעִילָא, כְּגַוְונָא דָא וו''י, מִסִּטְרָא דְאַבָּא וָוִי''ן לְתַתָּא, כְּגַוְונָא דָא יו''ו, הֵהִי''ן דְּאִימָּא כְּגַוְונָא דָא הה''ו הה''י, הֵהִי''ן דִּבְרַתָּא כְּגַוְונָא דָא יה''ה וה''ה, וְהָכִי בְּכָל הֲוַיָּה וַהֲוַיָּה.</w:t>
      </w:r>
    </w:p>
    <w:p w:rsidR="00D45634" w:rsidRDefault="00D45634" w:rsidP="00B17EA9">
      <w:pPr>
        <w:pStyle w:val="NormalWeb"/>
        <w:rPr>
          <w:rtl/>
        </w:rPr>
      </w:pPr>
      <w:r>
        <w:rPr>
          <w:rtl/>
        </w:rPr>
        <w:t xml:space="preserve">וְעוֹד מָאן דְּאוֹלִיף אִלֵּין הֲוַיָּין, צָרִיךְ לְאוֹלָפָא לוֹן </w:t>
      </w:r>
      <w:r>
        <w:rPr>
          <w:rStyle w:val="a7"/>
          <w:rtl/>
        </w:rPr>
        <w:footnoteReference w:id="390"/>
      </w:r>
      <w:r>
        <w:rPr>
          <w:rtl/>
        </w:rPr>
        <w:t xml:space="preserve">לְמִבְנֵי בְּהוֹן בִּנְיָנָא לְקוּדְשָׁא בְּרִיךְ הוּא, דְאִתְּמַר בֵּיהּ </w:t>
      </w:r>
      <w:r>
        <w:rPr>
          <w:sz w:val="20"/>
          <w:szCs w:val="23"/>
          <w:rtl/>
        </w:rPr>
        <w:t>(מלכים א יח ל)</w:t>
      </w:r>
      <w:r>
        <w:rPr>
          <w:rtl/>
        </w:rPr>
        <w:t xml:space="preserve"> וַיְרַפֵּא אֶת מִזְבַּח יהו''ה הֶהָרוּס, וְרָזָא דְמִלָּה דְיָכְלִין לְמֶהרַס בְּאַתְוִוי דִשְׁמֵיהּ, הֲדָא הוּא דִכְתִיב </w:t>
      </w:r>
      <w:r>
        <w:rPr>
          <w:sz w:val="20"/>
          <w:szCs w:val="23"/>
          <w:rtl/>
        </w:rPr>
        <w:t>(שמות יט כא)</w:t>
      </w:r>
      <w:r>
        <w:rPr>
          <w:rtl/>
        </w:rPr>
        <w:t xml:space="preserve"> פֶּן יֶהֶרְסוּ אֶל יהו''ה, וּבְגִין דָּא דְיֶהֶרְסוּ לוֹן בְּחוֹבַיְיהוּ, צָרִיךְ לְמִבְנֵי לוֹן בִּצְלוֹתְהוֹן.</w:t>
      </w:r>
    </w:p>
    <w:p w:rsidR="00D45634" w:rsidRDefault="00D45634" w:rsidP="00EF3849">
      <w:pPr>
        <w:pStyle w:val="2"/>
        <w:rPr>
          <w:rtl/>
        </w:rPr>
      </w:pPr>
      <w:bookmarkStart w:id="26" w:name="_Toc228095575"/>
      <w:bookmarkStart w:id="27" w:name="_Toc231638013"/>
      <w:r>
        <w:rPr>
          <w:rtl/>
        </w:rPr>
        <w:t>[תיקוני זוהר - דף ח ע''א]</w:t>
      </w:r>
      <w:bookmarkEnd w:id="26"/>
      <w:bookmarkEnd w:id="27"/>
    </w:p>
    <w:p w:rsidR="00D45634" w:rsidRDefault="00D45634" w:rsidP="00B17EA9">
      <w:pPr>
        <w:pStyle w:val="NormalWeb"/>
        <w:rPr>
          <w:rtl/>
        </w:rPr>
      </w:pPr>
      <w:r>
        <w:rPr>
          <w:rStyle w:val="a7"/>
          <w:rtl/>
        </w:rPr>
        <w:footnoteReference w:id="391"/>
      </w:r>
      <w:r>
        <w:rPr>
          <w:rtl/>
        </w:rPr>
        <w:t xml:space="preserve">דְּאָת י' אִיהִי אֶבֶן יְסוֹדָא דְבִנְיָנָא, </w:t>
      </w:r>
      <w:r>
        <w:rPr>
          <w:rStyle w:val="a7"/>
          <w:rtl/>
        </w:rPr>
        <w:footnoteReference w:id="392"/>
      </w:r>
      <w:r>
        <w:rPr>
          <w:rtl/>
        </w:rPr>
        <w:t xml:space="preserve">י''י מִן יי''ה, מִן יי''ו, מִן וי''י, בְּהוֹן אֲבָנִים שְׁלֵמוֹת </w:t>
      </w:r>
      <w:r>
        <w:rPr>
          <w:rStyle w:val="a7"/>
          <w:rtl/>
        </w:rPr>
        <w:footnoteReference w:id="393"/>
      </w:r>
      <w:r>
        <w:rPr>
          <w:rtl/>
        </w:rPr>
        <w:t xml:space="preserve">תִּבְנֶה אֶת מִזְבַּח יהו''ה אֱלֹהֶי''ךָ </w:t>
      </w:r>
      <w:r>
        <w:rPr>
          <w:sz w:val="20"/>
          <w:szCs w:val="23"/>
          <w:rtl/>
        </w:rPr>
        <w:t>(דברים כז ו)</w:t>
      </w:r>
      <w:r>
        <w:rPr>
          <w:rtl/>
        </w:rPr>
        <w:t xml:space="preserve"> דָא ה', </w:t>
      </w:r>
      <w:r>
        <w:rPr>
          <w:rStyle w:val="a7"/>
          <w:rtl/>
        </w:rPr>
        <w:footnoteReference w:id="394"/>
      </w:r>
      <w:r>
        <w:rPr>
          <w:rtl/>
        </w:rPr>
        <w:t xml:space="preserve">ו' דָּא קוֹרָה, </w:t>
      </w:r>
      <w:r>
        <w:rPr>
          <w:rStyle w:val="a7"/>
          <w:rtl/>
        </w:rPr>
        <w:footnoteReference w:id="395"/>
      </w:r>
      <w:r>
        <w:rPr>
          <w:rtl/>
        </w:rPr>
        <w:t xml:space="preserve">וְעַמּוּדָא, לִסְמוֹךְ עֲלָהּ בַּיִת, וּבְגִין דָּא חִבּוּרָא דִתְלַת אַתְוָון בַּיִת, </w:t>
      </w:r>
      <w:r>
        <w:rPr>
          <w:rtl/>
        </w:rPr>
        <w:lastRenderedPageBreak/>
        <w:t xml:space="preserve">ב' בִּנְיָנָא, י' יְסוֹד בִּנְיָנָא, ת' תִּפְאֶרֶת, וְאִנּוּן ב' מַלְכוּת, י' יְסוֹד </w:t>
      </w:r>
      <w:r>
        <w:rPr>
          <w:rStyle w:val="a7"/>
          <w:rtl/>
        </w:rPr>
        <w:footnoteReference w:id="396"/>
      </w:r>
      <w:r>
        <w:rPr>
          <w:rtl/>
        </w:rPr>
        <w:t xml:space="preserve">סְפִירָה תְּשִׁיעָאָה, </w:t>
      </w:r>
      <w:r>
        <w:rPr>
          <w:rStyle w:val="a7"/>
          <w:rtl/>
        </w:rPr>
        <w:footnoteReference w:id="397"/>
      </w:r>
      <w:r>
        <w:rPr>
          <w:rtl/>
        </w:rPr>
        <w:t xml:space="preserve">דְאִיהוּ סוֹמֵךְ גְּאוּלָה לִתְפִלָּה, </w:t>
      </w:r>
      <w:r>
        <w:rPr>
          <w:rStyle w:val="a7"/>
          <w:rtl/>
        </w:rPr>
        <w:footnoteReference w:id="398"/>
      </w:r>
      <w:r>
        <w:rPr>
          <w:rtl/>
        </w:rPr>
        <w:t xml:space="preserve">וּבֵיהּ סוֹמֵךְ יהו''ה לְכָל הַנּוֹפְלִים </w:t>
      </w:r>
      <w:r>
        <w:rPr>
          <w:sz w:val="20"/>
          <w:szCs w:val="23"/>
          <w:rtl/>
        </w:rPr>
        <w:t>(תהלים קמה יד)</w:t>
      </w:r>
      <w:r>
        <w:rPr>
          <w:rtl/>
        </w:rPr>
        <w:t xml:space="preserve">, ת' תִּפְאֶרֶת, דְּאִתְּמַר בֵּיהּ </w:t>
      </w:r>
      <w:r>
        <w:rPr>
          <w:sz w:val="20"/>
          <w:szCs w:val="23"/>
          <w:rtl/>
        </w:rPr>
        <w:t>(ישעי, מד יג)</w:t>
      </w:r>
      <w:r>
        <w:rPr>
          <w:rtl/>
        </w:rPr>
        <w:t xml:space="preserve"> </w:t>
      </w:r>
      <w:r>
        <w:rPr>
          <w:rStyle w:val="a7"/>
          <w:rtl/>
        </w:rPr>
        <w:footnoteReference w:id="399"/>
      </w:r>
      <w:r>
        <w:rPr>
          <w:rtl/>
        </w:rPr>
        <w:t xml:space="preserve">כְּתִפְאֶרֶת אָדָם </w:t>
      </w:r>
      <w:r>
        <w:rPr>
          <w:rStyle w:val="a7"/>
          <w:rtl/>
        </w:rPr>
        <w:footnoteReference w:id="400"/>
      </w:r>
      <w:r>
        <w:rPr>
          <w:rtl/>
        </w:rPr>
        <w:t xml:space="preserve">לָשֶׁבֶת בָּיִת, </w:t>
      </w:r>
      <w:r>
        <w:rPr>
          <w:rStyle w:val="a7"/>
          <w:rtl/>
        </w:rPr>
        <w:footnoteReference w:id="401"/>
      </w:r>
      <w:r>
        <w:rPr>
          <w:rtl/>
        </w:rPr>
        <w:t xml:space="preserve">וּבֵיהּ כָּל הַזּוֹקֵף זוֹקֵף בְּשֵׁם, </w:t>
      </w:r>
      <w:r>
        <w:rPr>
          <w:rStyle w:val="a7"/>
          <w:rtl/>
        </w:rPr>
        <w:footnoteReference w:id="402"/>
      </w:r>
      <w:r>
        <w:rPr>
          <w:rtl/>
        </w:rPr>
        <w:t xml:space="preserve">אֲבָל לְגַבֵּי יְסוֹד כָּל הַכּוֹרֵעַ כּוֹרֵעַ בְּבָרוּךְ, </w:t>
      </w:r>
      <w:r>
        <w:rPr>
          <w:sz w:val="20"/>
          <w:szCs w:val="23"/>
          <w:rtl/>
        </w:rPr>
        <w:t xml:space="preserve">(דף ח ע''א) </w:t>
      </w:r>
      <w:r>
        <w:rPr>
          <w:rStyle w:val="a7"/>
          <w:sz w:val="20"/>
          <w:szCs w:val="23"/>
          <w:rtl/>
        </w:rPr>
        <w:footnoteReference w:id="403"/>
      </w:r>
      <w:r>
        <w:rPr>
          <w:rtl/>
        </w:rPr>
        <w:t xml:space="preserve">הֲדָא הוּא דִכְתִיב </w:t>
      </w:r>
      <w:r>
        <w:rPr>
          <w:sz w:val="20"/>
          <w:szCs w:val="23"/>
          <w:rtl/>
        </w:rPr>
        <w:t>(משלי י ו)</w:t>
      </w:r>
      <w:r>
        <w:rPr>
          <w:rtl/>
        </w:rPr>
        <w:t xml:space="preserve"> בְּרָכוֹת לְרֹאשׁ צַדִּיק.</w:t>
      </w:r>
    </w:p>
    <w:p w:rsidR="00D45634" w:rsidRDefault="00D45634" w:rsidP="00B17EA9">
      <w:pPr>
        <w:pStyle w:val="NormalWeb"/>
        <w:rPr>
          <w:rtl/>
        </w:rPr>
      </w:pPr>
      <w:r>
        <w:rPr>
          <w:rStyle w:val="a7"/>
          <w:rtl/>
        </w:rPr>
        <w:footnoteReference w:id="404"/>
      </w:r>
      <w:r>
        <w:rPr>
          <w:rtl/>
        </w:rPr>
        <w:t xml:space="preserve">וְאִיהוּ עִרוּב, </w:t>
      </w:r>
      <w:r>
        <w:rPr>
          <w:rStyle w:val="a7"/>
          <w:rtl/>
        </w:rPr>
        <w:footnoteReference w:id="405"/>
      </w:r>
      <w:r>
        <w:rPr>
          <w:rtl/>
        </w:rPr>
        <w:t xml:space="preserve">דְּיַשְׁפִּיל בֵּיהּ הַקּוֹרָה אִם הִיא לְמַעְלָה מֵעֶשְׂרִים, דְּאִיהִי יוּ''ד, דִּלְעִילָא מֵעֶשְׂרִים, דְּאִיהוּ כ' כֶּתֶר, אִיהוּ עִלַּת הָעִלּוֹת עַל כֹּלָּא, דְלֵית עִינָא שַׁלִּיט עֲלֵיהּ, וּבְגִין דָּא מָבוּי דְאִיהִי שְׁכִינְתָּא תַּתָּאָה דְאִיהִי י' זְעִירָא, עֲשָׂרָה טְפָחִים שִׁעוּרָהּ, בֵּיהּ צָרִיךְ לְהַשְׁפִּיל הַקּוֹרָה דְאִיהוּ ו', אֲבָל לְגַבֵּי סֻכָּה דְּאִיהִי אִימָּא, דְשִׁיעוּר דִּילָהּ יוּ''ד דְּאִיהוּ כ' כֶּתֶר, לְעִילָא מִכֶּתֶר </w:t>
      </w:r>
      <w:r>
        <w:rPr>
          <w:rStyle w:val="a7"/>
          <w:rtl/>
        </w:rPr>
        <w:footnoteReference w:id="406"/>
      </w:r>
      <w:r>
        <w:rPr>
          <w:rtl/>
        </w:rPr>
        <w:t>לֵית אָדָם דְּמֶרְכָּבָה דָר בֵּיהּ גּוֹ סֻכָּה, דְלֵית עִינָא שַׁלִּיט עֲלֵיהּ.</w:t>
      </w:r>
    </w:p>
    <w:p w:rsidR="00D45634" w:rsidRDefault="00D45634" w:rsidP="00B17EA9">
      <w:pPr>
        <w:pStyle w:val="NormalWeb"/>
        <w:rPr>
          <w:rtl/>
        </w:rPr>
      </w:pPr>
      <w:r>
        <w:rPr>
          <w:rtl/>
        </w:rPr>
        <w:t xml:space="preserve">וּמָקוֹר דְּאִלֵּין הֲוַיָּין כְּחֻשְׁבַּן חֶסֶד, דִּבְהוֹן צָרִיךְ לְמִבְנֵי בִּנְיָנָא דָא דְּאִנּוּן מֵחֶסֶד, דְּמָקוֹר דַּהֲוַיָּתֵיהּ אִיהוּ יו''ד ה''י וי''ו ה''י, דְּסָלְקֵי לְשַׁבְעִין וּתְרֵין הֲוַיָּן כְּחוּשְׁבַּן חֶסֶ''ד, כֻּלְּהוּ אֶבֶן וְקוֹרָה וּבִנְיָנָא דְאִתְבְּנֵי בְּתַרְוַויְיהוּ, </w:t>
      </w:r>
      <w:r>
        <w:rPr>
          <w:rStyle w:val="a7"/>
          <w:rtl/>
        </w:rPr>
        <w:footnoteReference w:id="407"/>
      </w:r>
      <w:r>
        <w:rPr>
          <w:rtl/>
        </w:rPr>
        <w:t>וְאִלֵּין אִינוּן ע''ב הֲוַיָּן דְּנָפְקִין מִן יו''ד ה''י וי''ו ה''י:</w:t>
      </w:r>
    </w:p>
    <w:p w:rsidR="00D45634" w:rsidRDefault="00D45634" w:rsidP="00B17EA9">
      <w:pPr>
        <w:pStyle w:val="NormalWeb"/>
        <w:rPr>
          <w:rtl/>
        </w:rPr>
      </w:pPr>
      <w:r>
        <w:rPr>
          <w:rtl/>
        </w:rPr>
        <w:t>בכל ספרי התיקוני זוהר נדפס כאן סדר הע"ב שמות בנוסחאות מנוסחאות שונות. ויען שהגר"א ז"ל סדרן ורשמן באופן אחר, כמו שכתב בביאורו (ואף שלא זכינו לראות סידורו בכתב יד, עם כל זה, המעיין בנקל יבא מתוך ביאורו על סדרן הנכון). לזאת השמיטם המדפיס מפני כבוד שמו יתברך. ויעויין עוד סדרן בתיקוני זוהר חדש ע"ז ד', ובפרדס שער השמות.</w:t>
      </w:r>
    </w:p>
    <w:p w:rsidR="00D45634" w:rsidRDefault="00D45634" w:rsidP="00B17EA9">
      <w:pPr>
        <w:pStyle w:val="NormalWeb"/>
        <w:rPr>
          <w:rtl/>
        </w:rPr>
      </w:pPr>
      <w:r>
        <w:rPr>
          <w:rtl/>
        </w:rPr>
        <w:t>(כל אלו השמות אסור להוציאם בפה ודי להסתכל עליהם ולקראותם במחשבה)</w:t>
      </w:r>
    </w:p>
    <w:p w:rsidR="00D45634" w:rsidRDefault="00D45634" w:rsidP="00B17EA9">
      <w:pPr>
        <w:pStyle w:val="NormalWeb"/>
        <w:rPr>
          <w:rtl/>
        </w:rPr>
      </w:pPr>
      <w:r>
        <w:rPr>
          <w:rtl/>
        </w:rPr>
        <w:t>יַהְוָ הִיָוֵ הַהְיְ הְהָוֹ הַוַהְ יְהְהְ יַוַהֵ יְוְהְ וָהֶיָ הֱוְיֹ הַהֶוֹ הִהֶיָ הִיֶהְ וְהֲהַ וַיַהָ וֹיָהְ הֵוֹיַ וְהֹיֹ וִוְה וְוָיֶ וֵיַוְ הֵוְיֹ הַיָוֵ הַוַהָ יֶוְהֵ וֶיֶהֶ וִוְי וְוֵהַ וָהָוָ יִוָוְ יְהְוְ יַהֶוּ וֵיֹהֻ יֶוַהְ יְיְוָ יֵיְהִ יָהָיְ וַיָיְ וֵהְיֵ וִהֵיָ הֶיִוְ יְהְוָ יַיֵהְ יִיְוַ יַוֵיָ הְיָיְ הַוְיָ הֻוִיֻ יֻהֵיַ הְיָיָ הֶהַיֶ הָהַיְ הָיְהֶ יְהֵהְ יִיֵהַ יְיהָ הֵוְהְ וֵהִהֶ וֶוַהָ וָוְהְ וַהִוֶ הַוֶוַ הֲהֶוַ הְהַוִ וְיַוָ יֵוְוְ יַיֵוֻ יְיַוֵ יֵוַי וֵיָי וֶוָיִ וְוֵיְ</w:t>
      </w:r>
    </w:p>
    <w:p w:rsidR="00D45634" w:rsidRDefault="00D45634" w:rsidP="00B17EA9">
      <w:pPr>
        <w:pStyle w:val="NormalWeb"/>
        <w:rPr>
          <w:rtl/>
        </w:rPr>
      </w:pPr>
      <w:r>
        <w:rPr>
          <w:rtl/>
        </w:rPr>
        <w:t>ואלה מצאתי בספר אחר [ציור]</w:t>
      </w:r>
    </w:p>
    <w:p w:rsidR="00D45634" w:rsidRDefault="00D45634" w:rsidP="00EF3849">
      <w:pPr>
        <w:pStyle w:val="2"/>
        <w:rPr>
          <w:rtl/>
        </w:rPr>
      </w:pPr>
      <w:r>
        <w:rPr>
          <w:rtl/>
        </w:rPr>
        <w:lastRenderedPageBreak/>
        <w:t>(* הקטע שם הוי' י' דיליה רישא דחרבא כו' עד דף ח ע"ב ה' דיד כו' - תמצאנו בדף י ע"ב לפני ועוד ק"ש איהי רומח)</w:t>
      </w:r>
    </w:p>
    <w:p w:rsidR="00D45634" w:rsidRDefault="00D45634" w:rsidP="00EF3849">
      <w:pPr>
        <w:pStyle w:val="2"/>
        <w:rPr>
          <w:rtl/>
        </w:rPr>
      </w:pPr>
      <w:r>
        <w:rPr>
          <w:rtl/>
        </w:rPr>
        <w:t>(* הקטע מדף ח ע"ב ועוד ה' דיד כהה דאיהי יונה כו' עד דף ט ע"ב בראשית בת ראשי - תמצאנו בדף כב ע"א סוף תיקון י')</w:t>
      </w:r>
    </w:p>
    <w:p w:rsidR="00D45634" w:rsidRDefault="00D45634" w:rsidP="00EF3849">
      <w:pPr>
        <w:pStyle w:val="2"/>
        <w:rPr>
          <w:rtl/>
        </w:rPr>
      </w:pPr>
      <w:r>
        <w:rPr>
          <w:rtl/>
        </w:rPr>
        <w:t>[תיקוני זוהר - המשך דף ט ע''ב]</w:t>
      </w:r>
    </w:p>
    <w:p w:rsidR="00D45634" w:rsidRDefault="00D45634" w:rsidP="00B17EA9">
      <w:pPr>
        <w:pStyle w:val="NormalWeb"/>
        <w:rPr>
          <w:rtl/>
        </w:rPr>
      </w:pPr>
      <w:r>
        <w:rPr>
          <w:rStyle w:val="a7"/>
          <w:rtl/>
        </w:rPr>
        <w:footnoteReference w:id="408"/>
      </w:r>
      <w:r>
        <w:rPr>
          <w:rtl/>
        </w:rPr>
        <w:t xml:space="preserve">תִּקּוּנָא </w:t>
      </w:r>
      <w:r>
        <w:rPr>
          <w:rStyle w:val="a7"/>
          <w:rtl/>
        </w:rPr>
        <w:footnoteReference w:id="409"/>
      </w:r>
      <w:r>
        <w:rPr>
          <w:rtl/>
        </w:rPr>
        <w:t xml:space="preserve">ה', </w:t>
      </w:r>
      <w:r>
        <w:rPr>
          <w:rStyle w:val="a7"/>
          <w:rtl/>
        </w:rPr>
        <w:footnoteReference w:id="410"/>
      </w:r>
      <w:r>
        <w:rPr>
          <w:rtl/>
        </w:rPr>
        <w:t xml:space="preserve">בְּרֵאשִׁית </w:t>
      </w:r>
      <w:r>
        <w:rPr>
          <w:rStyle w:val="a7"/>
          <w:rtl/>
        </w:rPr>
        <w:footnoteReference w:id="411"/>
      </w:r>
      <w:r>
        <w:rPr>
          <w:rtl/>
        </w:rPr>
        <w:t xml:space="preserve">בַּ''ת רָאשֵׁ''י, </w:t>
      </w:r>
      <w:r>
        <w:rPr>
          <w:rStyle w:val="a7"/>
          <w:rtl/>
        </w:rPr>
        <w:footnoteReference w:id="412"/>
      </w:r>
      <w:r>
        <w:rPr>
          <w:rtl/>
        </w:rPr>
        <w:t xml:space="preserve">אֵלֶּה רָאשֵׁי בֵית אֲבוֹתָם </w:t>
      </w:r>
      <w:r>
        <w:rPr>
          <w:sz w:val="20"/>
          <w:szCs w:val="23"/>
          <w:rtl/>
        </w:rPr>
        <w:t>(שמות ו יד)</w:t>
      </w:r>
      <w:r>
        <w:rPr>
          <w:rtl/>
        </w:rPr>
        <w:t xml:space="preserve">, </w:t>
      </w:r>
      <w:r>
        <w:rPr>
          <w:rStyle w:val="a7"/>
          <w:rtl/>
        </w:rPr>
        <w:footnoteReference w:id="413"/>
      </w:r>
      <w:r>
        <w:rPr>
          <w:rtl/>
        </w:rPr>
        <w:t xml:space="preserve">בַּת עֲלָהּ אוּקְמוּהוּ מָארֵי מַתְנִיתִין, בַּת בַּתְּחִלָּה סִימָן יָפֶה לַבָּנִים, </w:t>
      </w:r>
      <w:r>
        <w:rPr>
          <w:rStyle w:val="a7"/>
          <w:rtl/>
        </w:rPr>
        <w:footnoteReference w:id="414"/>
      </w:r>
      <w:r>
        <w:rPr>
          <w:rtl/>
        </w:rPr>
        <w:t xml:space="preserve">וְאִיהִי י' מִן אדנ''י, </w:t>
      </w:r>
      <w:r>
        <w:rPr>
          <w:rStyle w:val="a7"/>
          <w:rtl/>
        </w:rPr>
        <w:footnoteReference w:id="415"/>
      </w:r>
      <w:r>
        <w:rPr>
          <w:rtl/>
        </w:rPr>
        <w:t xml:space="preserve">מַרְגָּלִית יְקָרָא כְּלִילָא מִכָּל גַּוָּונִין, דְּאָת י' מִן יהו''ה לָא תָּפִיס בֵּיהּ גַּוָּון כְּלָל, הֲדָא הוּא דִכְתִיב </w:t>
      </w:r>
      <w:r>
        <w:rPr>
          <w:sz w:val="20"/>
          <w:szCs w:val="23"/>
          <w:rtl/>
        </w:rPr>
        <w:t>(מלאכי ג ו)</w:t>
      </w:r>
      <w:r>
        <w:rPr>
          <w:rtl/>
        </w:rPr>
        <w:t xml:space="preserve"> אֲנִי יהו''ה לֹא שָׁנִיתִי, לָא יִשְׁתַּנִּי בְּשׁוּם גַּוָּון כְּלָל, אֶלָּא נָהִיר מִלְּגָאו דְּגַוָּונִין, דְּשֵׁם יהו''ה כְּנִשְׁמָתָא בְּגוּפָא דְאִינִישׁ, אוֹ כִּשְׁרַגָּא בְּהֵיכְלָא.</w:t>
      </w:r>
    </w:p>
    <w:p w:rsidR="00D45634" w:rsidRDefault="00D45634" w:rsidP="00B17EA9">
      <w:pPr>
        <w:pStyle w:val="NormalWeb"/>
        <w:rPr>
          <w:rtl/>
        </w:rPr>
      </w:pPr>
      <w:r>
        <w:rPr>
          <w:rtl/>
        </w:rPr>
        <w:t xml:space="preserve">וְאָת י' מִן אדנ''י אִיהוּ סַפִּיר, נָטִיל </w:t>
      </w:r>
      <w:r>
        <w:rPr>
          <w:rStyle w:val="a7"/>
          <w:rtl/>
        </w:rPr>
        <w:footnoteReference w:id="416"/>
      </w:r>
      <w:r>
        <w:rPr>
          <w:rtl/>
        </w:rPr>
        <w:t xml:space="preserve">גַּוָּון תְּכֵלֶת וְאוּכַם מִסִּטְרָא דְּדִינָא, וְנָהִיר בֵּיהּ נְהוֹרָא חִוְורָא מִסִּטְרָא דְרַחֲמֵי, וְאִיהוּ </w:t>
      </w:r>
      <w:r>
        <w:rPr>
          <w:rStyle w:val="a7"/>
          <w:rtl/>
        </w:rPr>
        <w:footnoteReference w:id="417"/>
      </w:r>
      <w:r>
        <w:rPr>
          <w:rtl/>
        </w:rPr>
        <w:t xml:space="preserve">אָת י' מִן אדנ''י, אוֹדֶם מִסִּטְרָא דִגְבוּרָה, פִּטְדָה מִסִּטְרָא דִימִינָא, בָּרֶקֶת מִסִּטְרָא דְעַמּוּדָא דְאֶמְצָעִיתָא, אִיהִי אל''ף דל''ת נו''ן יו''ד, </w:t>
      </w:r>
      <w:r>
        <w:rPr>
          <w:rStyle w:val="a7"/>
          <w:rtl/>
        </w:rPr>
        <w:footnoteReference w:id="418"/>
      </w:r>
      <w:r>
        <w:rPr>
          <w:rtl/>
        </w:rPr>
        <w:t xml:space="preserve">כְּלִילָן מִי''ב גַּוָּונִין, וְכֻלְּהוּ מְשׁוּלָשִׁין </w:t>
      </w:r>
      <w:r>
        <w:rPr>
          <w:rStyle w:val="a7"/>
          <w:rtl/>
        </w:rPr>
        <w:footnoteReference w:id="419"/>
      </w:r>
      <w:r>
        <w:rPr>
          <w:rtl/>
        </w:rPr>
        <w:t>בַּאֲבָהָן, מְשׁוּלָשִׁין בְּכֹהֲנִים לְוִיִּם וְיִשְׂרְאֵלִים, קְדוּשָׁה לְךָ יְשַׁלֵּשׁוּ.</w:t>
      </w:r>
    </w:p>
    <w:p w:rsidR="00D45634" w:rsidRDefault="00D45634" w:rsidP="00B17EA9">
      <w:pPr>
        <w:pStyle w:val="NormalWeb"/>
        <w:rPr>
          <w:rtl/>
        </w:rPr>
      </w:pPr>
      <w:r>
        <w:rPr>
          <w:rtl/>
        </w:rPr>
        <w:t xml:space="preserve">כָּל אֶבֶן דְּגַוָּון דִּילָהּ חִיוָּור נְטִילַת מֵחֶסֶד, וְאִיהִי סְגוּלָה דִילהּ רְחִימוּ, </w:t>
      </w:r>
      <w:r>
        <w:rPr>
          <w:rStyle w:val="a7"/>
          <w:rtl/>
        </w:rPr>
        <w:footnoteReference w:id="420"/>
      </w:r>
      <w:r>
        <w:rPr>
          <w:rtl/>
        </w:rPr>
        <w:t xml:space="preserve">וְרָזָא דְמִלָּה וְאַהֲבַת עוֹלָם אֲהַבְתִּיךְ עַל כֵּן מְשַׁכְתִּיךְ חָסֶד </w:t>
      </w:r>
      <w:r>
        <w:rPr>
          <w:sz w:val="20"/>
          <w:szCs w:val="23"/>
          <w:rtl/>
        </w:rPr>
        <w:t>(ירמיהו לא ב)</w:t>
      </w:r>
      <w:r>
        <w:rPr>
          <w:rtl/>
        </w:rPr>
        <w:t>, אַבְנָא סוּמְקָא נְטִילַת מִן גְּבוּרָה, וּסְגוּלָה דִילָהּ לְמֶהֱוִי אֵימָתוֹ מוּטֶלֶת עַל בִּרְיָין דְּעָלְמָא, אַבְנָא כְּלִילָא מִתְּרֵין גַּוָּונִין חִוָּור וְסוּמָק אִיהִי מֵעַמּוּדָא דְאֶמְצָעִיתָא, יָרוֹק כַּזָּהָב מִסִּטְרָא דְאִימָּא עִלָּאָה, דְּאִיהִי תְּשׁוּבָה, קַו יָרוֹק דְּאַסְחַר כָּל עָלְמָא.</w:t>
      </w:r>
    </w:p>
    <w:p w:rsidR="00D45634" w:rsidRDefault="00D45634" w:rsidP="00B17EA9">
      <w:pPr>
        <w:pStyle w:val="NormalWeb"/>
        <w:rPr>
          <w:rtl/>
        </w:rPr>
      </w:pPr>
      <w:r>
        <w:rPr>
          <w:rStyle w:val="a7"/>
          <w:rtl/>
        </w:rPr>
        <w:footnoteReference w:id="421"/>
      </w:r>
      <w:r>
        <w:rPr>
          <w:rtl/>
        </w:rPr>
        <w:t xml:space="preserve">וְאִית גַּוָּון פָּשׁוּט כָּפוּל מְשׁוּלָשׁ מְרוּבָּע, </w:t>
      </w:r>
      <w:r>
        <w:rPr>
          <w:rStyle w:val="a7"/>
          <w:rtl/>
        </w:rPr>
        <w:footnoteReference w:id="422"/>
      </w:r>
      <w:r>
        <w:rPr>
          <w:rtl/>
        </w:rPr>
        <w:t xml:space="preserve">עַד דְּסָלִיק לַעֲשָׂרָה גַוָּונִין, </w:t>
      </w:r>
      <w:r>
        <w:rPr>
          <w:rStyle w:val="a7"/>
          <w:rtl/>
        </w:rPr>
        <w:footnoteReference w:id="423"/>
      </w:r>
      <w:r>
        <w:rPr>
          <w:rtl/>
        </w:rPr>
        <w:t xml:space="preserve">נְהִירִין בְּהוֹן י' אַתְוָון, דְּאִינוּן י' י''ה יה''ו יהו''ה, וְסָלְקִין אִלֵּין י' </w:t>
      </w:r>
      <w:r>
        <w:rPr>
          <w:rStyle w:val="a7"/>
          <w:rtl/>
        </w:rPr>
        <w:footnoteReference w:id="424"/>
      </w:r>
      <w:r>
        <w:rPr>
          <w:rtl/>
        </w:rPr>
        <w:t>לְע''ב נְהוֹרִין, דְּנָהֲרִין בְּע''ב גַּוָּונִין.</w:t>
      </w:r>
    </w:p>
    <w:p w:rsidR="00D45634" w:rsidRDefault="00D45634" w:rsidP="00B17EA9">
      <w:pPr>
        <w:pStyle w:val="NormalWeb"/>
        <w:rPr>
          <w:rtl/>
        </w:rPr>
      </w:pPr>
      <w:r>
        <w:rPr>
          <w:rStyle w:val="a7"/>
          <w:rtl/>
        </w:rPr>
        <w:lastRenderedPageBreak/>
        <w:footnoteReference w:id="425"/>
      </w:r>
      <w:r>
        <w:rPr>
          <w:rtl/>
        </w:rPr>
        <w:t xml:space="preserve">חָשַׁ''ק חֹלֵ''ם שְׁבָ''א קָמֵ''ץ, </w:t>
      </w:r>
      <w:r>
        <w:rPr>
          <w:rStyle w:val="a7"/>
          <w:rtl/>
        </w:rPr>
        <w:footnoteReference w:id="426"/>
      </w:r>
      <w:r>
        <w:rPr>
          <w:rtl/>
        </w:rPr>
        <w:t xml:space="preserve">אִינוּן נִקּוּד צבאו''ת, נֶצַח וְהוֹד יְסוֹד, וְכֻלְּהוּ נָהֲרִין בְּאַבְנָא יַקִּירָא מַלְכוּת, כְּלִילָא מִכָּל סְגוּלוֹת, שְׁבָ''א גַוָּון סוּמָק דִּגְבוּרָה דְנָטִיל מִנֵּיהּ הוֹד, </w:t>
      </w:r>
      <w:r>
        <w:rPr>
          <w:rStyle w:val="a7"/>
          <w:rtl/>
        </w:rPr>
        <w:footnoteReference w:id="427"/>
      </w:r>
      <w:r>
        <w:rPr>
          <w:rtl/>
        </w:rPr>
        <w:t>קָמֵ''ץ גַּוָּון חִוָּור, וְלָא צָרִיךְ לְאַרָכָא בְּהוֹן דְּהָא אִתְּמְרוּ לְעִילָא.</w:t>
      </w:r>
    </w:p>
    <w:p w:rsidR="00D45634" w:rsidRDefault="00D45634" w:rsidP="00EF3849">
      <w:pPr>
        <w:pStyle w:val="2"/>
        <w:rPr>
          <w:rtl/>
        </w:rPr>
      </w:pPr>
      <w:bookmarkStart w:id="28" w:name="_Toc228095580"/>
      <w:bookmarkStart w:id="29" w:name="_Toc231638018"/>
      <w:r>
        <w:rPr>
          <w:rtl/>
        </w:rPr>
        <w:t>[תיקוני זוהר - דף י ע''א]</w:t>
      </w:r>
      <w:bookmarkEnd w:id="28"/>
      <w:bookmarkEnd w:id="29"/>
    </w:p>
    <w:p w:rsidR="00D45634" w:rsidRDefault="00D45634" w:rsidP="00B17EA9">
      <w:pPr>
        <w:pStyle w:val="NormalWeb"/>
        <w:rPr>
          <w:rtl/>
        </w:rPr>
      </w:pPr>
      <w:r>
        <w:rPr>
          <w:rStyle w:val="a7"/>
          <w:rtl/>
        </w:rPr>
        <w:footnoteReference w:id="428"/>
      </w:r>
      <w:r>
        <w:rPr>
          <w:rtl/>
        </w:rPr>
        <w:t xml:space="preserve">וְעוֹד תִּקּוּנָא ו' וְהַמַּשְׂכִּילִים יַזְהִירוּ </w:t>
      </w:r>
      <w:r>
        <w:rPr>
          <w:sz w:val="20"/>
          <w:szCs w:val="23"/>
          <w:rtl/>
        </w:rPr>
        <w:t>(דניאל יב ג)</w:t>
      </w:r>
      <w:r>
        <w:rPr>
          <w:rtl/>
        </w:rPr>
        <w:t xml:space="preserve"> אִלֵּין אִינוּן דְּיָדְעִין רָזָא </w:t>
      </w:r>
      <w:r>
        <w:rPr>
          <w:rStyle w:val="a7"/>
          <w:rtl/>
        </w:rPr>
        <w:footnoteReference w:id="429"/>
      </w:r>
      <w:r>
        <w:rPr>
          <w:rtl/>
        </w:rPr>
        <w:t xml:space="preserve">בְּפִקּוּדָא תִּנְיָנָא בְּמִלַּת בְּרֵאשִׁי''ת, דְּאִיהִי אַהֲבָ''ה, דְּאִיהִי </w:t>
      </w:r>
      <w:r>
        <w:rPr>
          <w:rStyle w:val="a7"/>
          <w:rtl/>
        </w:rPr>
        <w:footnoteReference w:id="430"/>
      </w:r>
      <w:r>
        <w:rPr>
          <w:rtl/>
        </w:rPr>
        <w:t xml:space="preserve">לְחֻשְׁבַּן זְעִיר בְּרֵאשִׁית, בְּמַתְקְלָא חֲדָא סָלְקִין, וְדָא אַהֲבַת חֶסֶד, דְּאִיהִי </w:t>
      </w:r>
      <w:r>
        <w:rPr>
          <w:sz w:val="20"/>
          <w:szCs w:val="23"/>
          <w:rtl/>
        </w:rPr>
        <w:t xml:space="preserve">(דף י ע''א) </w:t>
      </w:r>
      <w:r>
        <w:rPr>
          <w:rtl/>
        </w:rPr>
        <w:t xml:space="preserve">ע''ב בְּחוּשְׁבָּן, לָקֳבֵל שְׁמָא מְפָרֵשׁ וַיִּסַּע וַיָּבֹא וַיֵּט, </w:t>
      </w:r>
      <w:r>
        <w:rPr>
          <w:rStyle w:val="a7"/>
          <w:rtl/>
        </w:rPr>
        <w:footnoteReference w:id="431"/>
      </w:r>
      <w:r>
        <w:rPr>
          <w:rtl/>
        </w:rPr>
        <w:t xml:space="preserve">דְּבֵיהּ וָא''ו כְּחוּשְׁבַּן אֶחָ''ד, דְּהַיְינוּ מַאֲמַר אֶחָד דְּאִיהוּ בְּרֵאשִׁית, דְּאוּקְמוּהָ עֲלֵיהּ וַהֲלֹא בְּמַאֲמַר אֶחָד יָכוֹל לְהִבָּרְאוֹת, וְהַאי אִיהוּ רְחִימוֹי דְמָארֵיהּ, מָאן דְּמָסַר נַפְשֵׁיהּ בְּאֶחָד, בִּרְחִימוֹי דְּמָארֵיהּ, וּבְגִין דָּא וְאָהַבְתָּ אֵת יהו''ה אֱלֹהֶי''ךָ </w:t>
      </w:r>
      <w:r>
        <w:rPr>
          <w:sz w:val="20"/>
          <w:szCs w:val="23"/>
          <w:rtl/>
        </w:rPr>
        <w:t>(דברים ו ה)</w:t>
      </w:r>
      <w:r>
        <w:rPr>
          <w:rtl/>
        </w:rPr>
        <w:t>, אֲפִילוּ נוֹטֵל אֶת נַפְשֶׁךָ, דְּאִם חָבִיב עֲלֵיהּ נַפְשֵׁיהּ מִגּוּפָא לְכַךְ נֶאֱמַר וּבְכָל נַפְשְׁךָ, וְאִם חָבִיב עֲלֵיהּ גּוּפֵיהּ מִמָּמוֹנֵיהּ לְכַךְ נֶאֱמַר בְּכָל לְבָבְךָ, וְאִם חָבִיב עֲלֵיהּ מָמוֹנָא מִגּוּפָא לְכַךְ נֶאֱמַר בְּכָל מְאֹדֶךָ, בַּמֶּה דְחָבִיב עֲלָךְ מְסוֹר לֵיהּ בִּרְחִימוּ דְמָארָךְ בְּעִת צָרָה.</w:t>
      </w:r>
    </w:p>
    <w:p w:rsidR="00D45634" w:rsidRDefault="00D45634" w:rsidP="00B17EA9">
      <w:pPr>
        <w:pStyle w:val="NormalWeb"/>
        <w:rPr>
          <w:rtl/>
        </w:rPr>
      </w:pPr>
      <w:r>
        <w:rPr>
          <w:rtl/>
        </w:rPr>
        <w:t xml:space="preserve">וְדָא אִיהוּ נִסָּיוֹן דַּעֲתִידִין יִשְׂרָאֵל לְאִתְנַסָּאָה בְשַׁבְעִין שְׁנִין דְּגָלוּת בַּתְרָאָה, דְּעָנִי חָשׁוּב כַּמֵּת, וּכְאִלּוּ נָטְלִין נַפְשֵׁיהּ, גּוּפָא וְנַפְשָׁא וּמָמוֹנָא כֻּלְּהוּ שְׁקוּלִין, בַּמֶּה דְחָבִיב עֲלֵיהּ מְסוֹר לֵיהּ בִּרְחִימוּ דְמָארֵיהּ, וּבְהַהוּא זִמְנָא אִתְקַשַּׁר בְּמִלַּת אַהֲבָ''ה דְאִיהִי בְרֵאשִׁי''ת, וּכְאִלּוּ בֵיהּ בָּרָא עָלְמָא, וּמָאן דְּלָא מָסַר נַפְשֵׁיהּ אוֹ גוּפֵיהּ אוֹ מָמוֹנֵיהּ בִּרְחִימוּ דְמָארֵיהּ בְּשַׁעַת הַשְּׁמַד, כְּאִלּוּ אַחְזַר עָלְמָא לְתֹהוּ וָבֹהוּ, וּבְגִין דָּא קְרָא סָמִיךְ לֵיהּ וְהָאָרֶץ הָיְתָה תֹהוּ וָבֹהוּ </w:t>
      </w:r>
      <w:r>
        <w:rPr>
          <w:sz w:val="20"/>
          <w:szCs w:val="23"/>
          <w:rtl/>
        </w:rPr>
        <w:t>(בראשית א ב)</w:t>
      </w:r>
      <w:r>
        <w:rPr>
          <w:rtl/>
        </w:rPr>
        <w:t>.</w:t>
      </w:r>
    </w:p>
    <w:p w:rsidR="00D45634" w:rsidRDefault="00D45634" w:rsidP="00B17EA9">
      <w:pPr>
        <w:pStyle w:val="NormalWeb"/>
        <w:rPr>
          <w:rtl/>
        </w:rPr>
      </w:pPr>
      <w:r>
        <w:rPr>
          <w:rtl/>
        </w:rPr>
        <w:t xml:space="preserve">וְאַהֲבַת יהו''ה אִיהִי מַלְכוּת, כְּלִילָא מִכָּל סְפִירָן, וְאִיהִי פִּקּוּדָא דְקוּדְשָׁא בְּרִיךְ הוּא בְּכָל תַּרְיַ''ג פִּקּוּדִין, וּבְגִינָהּ אִתְּמַר </w:t>
      </w:r>
      <w:r>
        <w:rPr>
          <w:sz w:val="20"/>
          <w:szCs w:val="23"/>
          <w:rtl/>
        </w:rPr>
        <w:t>(אסתר ג ג)</w:t>
      </w:r>
      <w:r>
        <w:rPr>
          <w:rtl/>
        </w:rPr>
        <w:t xml:space="preserve"> מַדּוּעַ אַתָּה עוֹבֵר אֵת מִצְוַת הַמֶּלֶךְ, וְאִיהִי בִנְיַן עָלְמָא, שִׁפְחָה בִּישָׁא אִיהִי חָרְבַּן עָלְמָא, וּבְגִין דָּא אִתְּמַר בָּהּ </w:t>
      </w:r>
      <w:r>
        <w:rPr>
          <w:sz w:val="20"/>
          <w:szCs w:val="23"/>
          <w:rtl/>
        </w:rPr>
        <w:t>(בראשית א ב)</w:t>
      </w:r>
      <w:r>
        <w:rPr>
          <w:rtl/>
        </w:rPr>
        <w:t xml:space="preserve"> וְהָאָרֶץ הָיְתָה תֹהוּ וָבֹהוּ, וְאִיהִי רְצוּעָה בִידָא דְקוּדְשָׁא בְּרִיךְ הוּא לְאַלְקָאָה בֵיהּ חַיָּיבַיָּא.</w:t>
      </w:r>
    </w:p>
    <w:p w:rsidR="00D45634" w:rsidRDefault="00D45634" w:rsidP="00B17EA9">
      <w:pPr>
        <w:pStyle w:val="NormalWeb"/>
        <w:rPr>
          <w:rtl/>
        </w:rPr>
      </w:pPr>
      <w:r>
        <w:rPr>
          <w:rtl/>
        </w:rPr>
        <w:t>וּבְגִין דָּא מָאן דְּרָחִים לְקוּדְשָׁא בְּרִיךְ הוּא מִגּוֹ נַפְשֵׁיהּ אוֹ גוּפֵיהּ אוֹ מָמוֹנֵיהּ, דְּיִנְטִיר לֵיהּ קוּדְשָׁא בְּרִיךְ הוּא, הָא רְחִימוּ דִילֵיהּ תְּלוּיָה בְּהַהִיא דְיָהִיב לֵיהּ, וְלַאו עִקָּר רְחִימוּ, דְּלַאו אִיהוּ הַאי רְחִימוּ, דְאִם נָטַל מָמוֹנֵיהּ אוֹ גוּפֵיהּ כָּפַר בֵּיהּ, לַאו אִיהוּ עִקָּר רְחִימוּ, עַד דְּמָסַר נַפְשֵׁיהּ בִּרְחִימוּ דְמָארֵיהּ, וְאִם כָּל תְּלַת שְׁקוּלִין לְגַבֵּיהּ, יִמְסוֹר לוֹן כֻּלְּהוּ עַל קְדוּשַׁת שְׁמֵיהּ בִּרְחִימוּ, וְהַאי אִיהוּ עִקָּרָא דִרְחִימוּ, דְאִיהוּ אַהֲבַת יהו''ה מַלְכוּת, דְּאִיהִי אַהֲבַת חֶסֶד, דְּיִרְאָה מִסִּטְרָא דִגְבוּרָה אִיהִי, וּמֵחֶסֶד אִיהִי מַלְכוּת אַהֲבַת יהו''ה כְּמָה דְאִתְּמַר, מִגְּבוּרָה אִיהִי יִרְאַת יְיָ' .</w:t>
      </w:r>
    </w:p>
    <w:p w:rsidR="00D45634" w:rsidRDefault="00D45634" w:rsidP="00B17EA9">
      <w:pPr>
        <w:pStyle w:val="NormalWeb"/>
        <w:rPr>
          <w:rtl/>
        </w:rPr>
      </w:pPr>
      <w:r>
        <w:rPr>
          <w:rtl/>
        </w:rPr>
        <w:t xml:space="preserve">וְאוֹרַיְיתָא דְאִיהִי תרי''א מִתַּרְוַיְהוּ אִתְיְהִיב לְיִשְׂרָאֵל וְדָא עַמּוּדָא דְאֶמְצָעִיתָא, מִסִּטְרֵיהּ אִתְקְרִיאַת מַלְכוּת תּוֹרַת יהו''ה </w:t>
      </w:r>
      <w:r>
        <w:rPr>
          <w:sz w:val="20"/>
          <w:szCs w:val="23"/>
          <w:rtl/>
        </w:rPr>
        <w:t>(תמימה)</w:t>
      </w:r>
      <w:r>
        <w:rPr>
          <w:rtl/>
        </w:rPr>
        <w:t xml:space="preserve">, </w:t>
      </w:r>
      <w:r>
        <w:rPr>
          <w:rStyle w:val="a7"/>
          <w:rtl/>
        </w:rPr>
        <w:footnoteReference w:id="432"/>
      </w:r>
      <w:r>
        <w:rPr>
          <w:rtl/>
        </w:rPr>
        <w:t>וְאִיהִי מִצְוָה דִילֵיהּ בְּכָל תַּרְיַ''ג פִּקּוּדֵי דְתַלְיָין מִשְּׁמֵיהּ, דְּאִינוּן שְׁמִ''י עִם י''ה שְׁסָ''ה, זִכְרִ''י עִם ו''ה רְמַ''ח, הִיא בְּצַלְמוֹ כִּדְמוּתוֹ:</w:t>
      </w:r>
    </w:p>
    <w:p w:rsidR="00D45634" w:rsidRDefault="00D45634" w:rsidP="00EF3849">
      <w:pPr>
        <w:pStyle w:val="2"/>
        <w:rPr>
          <w:rtl/>
        </w:rPr>
      </w:pPr>
      <w:r>
        <w:rPr>
          <w:rtl/>
        </w:rPr>
        <w:lastRenderedPageBreak/>
        <w:t>(ע"פ הגר"א רתל"ב כאן צ"ל תל"ו - תמצאנו בסוף תיקון מ"א)</w:t>
      </w:r>
    </w:p>
    <w:p w:rsidR="00D45634" w:rsidRDefault="00D45634" w:rsidP="00B17EA9">
      <w:pPr>
        <w:pStyle w:val="NormalWeb"/>
        <w:rPr>
          <w:rtl/>
        </w:rPr>
      </w:pPr>
      <w:r>
        <w:rPr>
          <w:rtl/>
        </w:rPr>
        <w:t xml:space="preserve">וְעוֹד תִּקּוּנָא ז', וְהַמַּשְׂכִּילִים יַזְהִירוּ, אִלֵּין דְּיָדְעִין בְּמִלַּת בְּרֵאשִׁית </w:t>
      </w:r>
      <w:r>
        <w:rPr>
          <w:rStyle w:val="a7"/>
          <w:rtl/>
        </w:rPr>
        <w:footnoteReference w:id="433"/>
      </w:r>
      <w:r>
        <w:rPr>
          <w:rtl/>
        </w:rPr>
        <w:t xml:space="preserve">פִּקּוּדָא תְּלִיתָאָה דְּאִיהִי בְּרִית מִילָה, וְהַיְינוּ בְּרֵאשִׁי''ת </w:t>
      </w:r>
      <w:r>
        <w:rPr>
          <w:rStyle w:val="a7"/>
          <w:rtl/>
        </w:rPr>
        <w:footnoteReference w:id="434"/>
      </w:r>
      <w:r>
        <w:rPr>
          <w:rtl/>
        </w:rPr>
        <w:t xml:space="preserve">בְּרִי''ת אֵ''שׁ, וּבְרִית אִיהִי י', וְעִם אֵ''שׁ אִתְעֲבִיד אִי''שׁ, וְאוּף הָכִי אָת ה' עִם אֵשׁ אִיהִי נוּקְבָא, </w:t>
      </w:r>
      <w:r>
        <w:rPr>
          <w:rStyle w:val="a7"/>
          <w:rtl/>
        </w:rPr>
        <w:footnoteReference w:id="435"/>
      </w:r>
      <w:r>
        <w:rPr>
          <w:rtl/>
        </w:rPr>
        <w:t xml:space="preserve">וְעַל תְּרֵין אֵישׁוֹת אִתְּמַר בְּקַדְמֵיתָא </w:t>
      </w:r>
      <w:r>
        <w:rPr>
          <w:rStyle w:val="a7"/>
          <w:rtl/>
        </w:rPr>
        <w:footnoteReference w:id="436"/>
      </w:r>
      <w:r>
        <w:rPr>
          <w:rtl/>
        </w:rPr>
        <w:t>כָּתְנוֹת אוֹר, דִּבְהוֹן עֲקֵבוֹ מַכְהֶה גַלְגַּל חַמָּה.</w:t>
      </w:r>
    </w:p>
    <w:p w:rsidR="00D45634" w:rsidRDefault="00D45634" w:rsidP="00B17EA9">
      <w:pPr>
        <w:pStyle w:val="NormalWeb"/>
        <w:rPr>
          <w:rtl/>
        </w:rPr>
      </w:pPr>
      <w:r>
        <w:rPr>
          <w:rtl/>
        </w:rPr>
        <w:t xml:space="preserve">וְהַיְינוּ בּוֹרֵא מְאוֹרֵי הָאֵשׁ </w:t>
      </w:r>
      <w:r>
        <w:rPr>
          <w:rStyle w:val="a7"/>
          <w:rtl/>
        </w:rPr>
        <w:footnoteReference w:id="437"/>
      </w:r>
      <w:r>
        <w:rPr>
          <w:rtl/>
        </w:rPr>
        <w:t xml:space="preserve">דְּאִינוּן בְּהַבְדָּלָה, י''ה מִן אִישׁ וְאִשָּׁה, בָּתַר דְּחָאבוּ וַיַּעַשׂ יהו''ה אֱלֹהִי''ם לְאָדָם וּלְאִשְׁתּוֹ כָּתְנוֹת עוֹר </w:t>
      </w:r>
      <w:r>
        <w:rPr>
          <w:rStyle w:val="a7"/>
          <w:rtl/>
        </w:rPr>
        <w:footnoteReference w:id="438"/>
      </w:r>
      <w:r>
        <w:rPr>
          <w:rtl/>
        </w:rPr>
        <w:t xml:space="preserve">וַיַּלְבִּישֵׁם </w:t>
      </w:r>
      <w:r>
        <w:rPr>
          <w:sz w:val="20"/>
          <w:szCs w:val="23"/>
          <w:rtl/>
        </w:rPr>
        <w:t>(בראשית ג כא)</w:t>
      </w:r>
      <w:r>
        <w:rPr>
          <w:szCs w:val="23"/>
          <w:rtl/>
        </w:rPr>
        <w:t xml:space="preserve">, </w:t>
      </w:r>
      <w:r>
        <w:rPr>
          <w:rtl/>
        </w:rPr>
        <w:t xml:space="preserve">וְדָא עוֹר שֶׁל נָחָשׁ, </w:t>
      </w:r>
      <w:r>
        <w:rPr>
          <w:rStyle w:val="Char"/>
          <w:rtl/>
        </w:rPr>
        <w:t>וְהַיְינוּ בּוֹרֵא מְאוֹרֵי הָאֵשׁ</w:t>
      </w:r>
      <w:r>
        <w:rPr>
          <w:szCs w:val="23"/>
          <w:rtl/>
        </w:rPr>
        <w:t xml:space="preserve"> </w:t>
      </w:r>
      <w:r>
        <w:rPr>
          <w:sz w:val="20"/>
          <w:szCs w:val="23"/>
          <w:rtl/>
        </w:rPr>
        <w:t>(אשה)</w:t>
      </w:r>
      <w:r>
        <w:rPr>
          <w:rtl/>
        </w:rPr>
        <w:t xml:space="preserve">, לְאִתְדַכָּאָה בַּמֶּה דְחָאב, וּבְגִין דָּא צַדִּיקִים דְּנָטְרֵי בְּרִית שׁוּב אֵינָם חוֹזְרִים לְעַפְרָן, דְּאִיהוּ עוֹר מִשְׁכָא דְחִוְיָא דְאִתְבְּרֵי מֵעַפִרָא, דְאִתְּמַר בֵּיהּ וְנָחָשׁ עָפָר לַחְמוֹ </w:t>
      </w:r>
      <w:r>
        <w:rPr>
          <w:sz w:val="20"/>
          <w:szCs w:val="23"/>
          <w:rtl/>
        </w:rPr>
        <w:t>(ישעיהו סה כב)</w:t>
      </w:r>
      <w:r>
        <w:rPr>
          <w:rtl/>
        </w:rPr>
        <w:t>.</w:t>
      </w:r>
    </w:p>
    <w:p w:rsidR="00D45634" w:rsidRDefault="00D45634" w:rsidP="00EF3849">
      <w:pPr>
        <w:pStyle w:val="2"/>
        <w:rPr>
          <w:rtl/>
        </w:rPr>
      </w:pPr>
      <w:bookmarkStart w:id="30" w:name="_Toc228095581"/>
      <w:bookmarkStart w:id="31" w:name="_Toc231638019"/>
      <w:r>
        <w:rPr>
          <w:rtl/>
        </w:rPr>
        <w:t>[תיקוני זוהר - דף י ע''ב]</w:t>
      </w:r>
      <w:bookmarkEnd w:id="30"/>
      <w:bookmarkEnd w:id="31"/>
    </w:p>
    <w:p w:rsidR="00D45634" w:rsidRDefault="00D45634" w:rsidP="00B17EA9">
      <w:pPr>
        <w:pStyle w:val="NormalWeb"/>
        <w:rPr>
          <w:rtl/>
        </w:rPr>
      </w:pPr>
      <w:r>
        <w:rPr>
          <w:rtl/>
        </w:rPr>
        <w:t xml:space="preserve">וּבְגִיןֹ דָּא מָאן דְּלָא נָטִיר בְּרִית אִתְדַּן בְּחִבּוּט הַקֶּבֶר בְּהַהוּא עַפְרָא, </w:t>
      </w:r>
      <w:r>
        <w:rPr>
          <w:rStyle w:val="a7"/>
          <w:rtl/>
        </w:rPr>
        <w:footnoteReference w:id="439"/>
      </w:r>
      <w:r>
        <w:rPr>
          <w:rtl/>
        </w:rPr>
        <w:t xml:space="preserve">וְאִלֵּין אִינוּן דְּגוּפָא דִלְהוֹן אִינוּן לוֹן קֶבֶר בְּחַיֵּיהוֹן, </w:t>
      </w:r>
      <w:r>
        <w:rPr>
          <w:rStyle w:val="a7"/>
          <w:rtl/>
        </w:rPr>
        <w:footnoteReference w:id="440"/>
      </w:r>
      <w:r>
        <w:rPr>
          <w:rtl/>
        </w:rPr>
        <w:t xml:space="preserve">דְּדַחֲקִין לוֹן שַׁעֲתָּא בְּכָל יוֹמָא, </w:t>
      </w:r>
      <w:r>
        <w:rPr>
          <w:rStyle w:val="a7"/>
          <w:rtl/>
        </w:rPr>
        <w:footnoteReference w:id="441"/>
      </w:r>
      <w:r>
        <w:rPr>
          <w:rtl/>
        </w:rPr>
        <w:t xml:space="preserve">וּבִמְלָאכָא דִלְהוֹן </w:t>
      </w:r>
      <w:r>
        <w:rPr>
          <w:rStyle w:val="a7"/>
          <w:rtl/>
        </w:rPr>
        <w:footnoteReference w:id="442"/>
      </w:r>
      <w:r>
        <w:rPr>
          <w:rtl/>
        </w:rPr>
        <w:t xml:space="preserve">דְּאִתְבַּקַּע דְּמָא בְּצִפָּרְנֵיהוֹן, וּבְגִין דָּא תַּקִּינוּ לְאַחֲזָאָה צִפָּרְנַיִם בְּהַבְדָּלָה, דַּהֲוָה אָדָם מְלוּבָּשׁ בְּכָתְנוֹת צִפָּרְנַיִם, דַּהֲווֹ נָהֲרִין כַּעֲנָנֵי כָּבוֹד. </w:t>
      </w:r>
      <w:r>
        <w:rPr>
          <w:rStyle w:val="Char"/>
          <w:rtl/>
        </w:rPr>
        <w:t>וְאִיהוּ בְּהַבְדָּלָה מִנַּיְיהוּ,</w:t>
      </w:r>
      <w:r>
        <w:rPr>
          <w:szCs w:val="23"/>
          <w:rtl/>
        </w:rPr>
        <w:t xml:space="preserve"> </w:t>
      </w:r>
      <w:r>
        <w:rPr>
          <w:sz w:val="20"/>
          <w:szCs w:val="23"/>
          <w:rtl/>
        </w:rPr>
        <w:t>(בראשית ג ז)</w:t>
      </w:r>
      <w:r>
        <w:rPr>
          <w:rtl/>
        </w:rPr>
        <w:t xml:space="preserve"> וַיֵּדְעוּ כִּי </w:t>
      </w:r>
      <w:r>
        <w:rPr>
          <w:rStyle w:val="a7"/>
          <w:rtl/>
        </w:rPr>
        <w:footnoteReference w:id="443"/>
      </w:r>
      <w:r>
        <w:rPr>
          <w:rtl/>
        </w:rPr>
        <w:t xml:space="preserve">עִירֻמִּים הֵם מִנַּיְיהוּ, בְּגוּפָא </w:t>
      </w:r>
      <w:r>
        <w:rPr>
          <w:rStyle w:val="a7"/>
          <w:rtl/>
        </w:rPr>
        <w:footnoteReference w:id="444"/>
      </w:r>
      <w:r>
        <w:rPr>
          <w:rtl/>
        </w:rPr>
        <w:t xml:space="preserve">וְנִשְׁמָתָא וְרוּחָא וְנַפְשָׁא, עֲרוּמִּים מִכָּתְנוֹת אוֹר, </w:t>
      </w:r>
      <w:r>
        <w:rPr>
          <w:sz w:val="20"/>
          <w:szCs w:val="23"/>
          <w:rtl/>
        </w:rPr>
        <w:t xml:space="preserve">(דף י ע''ב) </w:t>
      </w:r>
      <w:r>
        <w:rPr>
          <w:rtl/>
        </w:rPr>
        <w:t xml:space="preserve">דְּאִינוּן מְאוֹרֵי הָאֵשׁ, וּבְגִין </w:t>
      </w:r>
      <w:r>
        <w:rPr>
          <w:rStyle w:val="a7"/>
          <w:rtl/>
        </w:rPr>
        <w:footnoteReference w:id="445"/>
      </w:r>
      <w:r>
        <w:rPr>
          <w:rtl/>
        </w:rPr>
        <w:t xml:space="preserve">דִּבְשַׁבָּת אִתְחַזָּא לוֹן בְּאַדְלָקַת שְׁרַגָּא דְשַׁבָּת </w:t>
      </w:r>
      <w:r>
        <w:rPr>
          <w:rStyle w:val="a7"/>
          <w:rtl/>
        </w:rPr>
        <w:footnoteReference w:id="446"/>
      </w:r>
      <w:r>
        <w:rPr>
          <w:rtl/>
        </w:rPr>
        <w:t>בִּתְרֵין פְּתִילוֹת דְּאֵשׁ, וּבְמוֹצָאֵי שַׁבָּת יִתְעַבְרוּן מִנַּיְיהוּ, תַּקִּינוּ לְמֵימַר בְּמוֹצָאֵי שַׁבָּת הַבְדָּלָה בְּאֵשׁ.</w:t>
      </w:r>
    </w:p>
    <w:p w:rsidR="00D45634" w:rsidRDefault="00D45634" w:rsidP="00B17EA9">
      <w:pPr>
        <w:pStyle w:val="NormalWeb"/>
        <w:rPr>
          <w:rtl/>
        </w:rPr>
      </w:pPr>
      <w:r>
        <w:rPr>
          <w:rtl/>
        </w:rPr>
        <w:t xml:space="preserve">וּבְגִין דִּבְשַׁבָּת וְיֹמִין טָבִין מִתְלַבְּשִׁין נִשְׁמָתִין בְּכָתְנוֹת אוֹר, אָמַר הַנָּבִיא </w:t>
      </w:r>
      <w:r>
        <w:rPr>
          <w:sz w:val="20"/>
          <w:szCs w:val="23"/>
          <w:rtl/>
        </w:rPr>
        <w:t>(ישעיה כד טו)</w:t>
      </w:r>
      <w:r>
        <w:rPr>
          <w:rtl/>
        </w:rPr>
        <w:t xml:space="preserve"> עַל כֵּן בָּאוּרִים כַּבְּדוּ יהו''ה, וְאוּקְמוּהוּ רַבָּנָן כַּבְּדוּהוּ </w:t>
      </w:r>
      <w:r>
        <w:rPr>
          <w:rStyle w:val="a7"/>
          <w:rtl/>
        </w:rPr>
        <w:footnoteReference w:id="447"/>
      </w:r>
      <w:r>
        <w:rPr>
          <w:rtl/>
        </w:rPr>
        <w:t xml:space="preserve">בִּכְסוּת נְקִיָּה, מִיָּד דְּאָמַר מִלִּין אִלֵּין אִשְׁתַּטְחוּ קַמֵּיהּ </w:t>
      </w:r>
      <w:r>
        <w:rPr>
          <w:rStyle w:val="a7"/>
          <w:rtl/>
        </w:rPr>
        <w:footnoteReference w:id="448"/>
      </w:r>
      <w:r>
        <w:rPr>
          <w:rtl/>
        </w:rPr>
        <w:t>כֻּלְּהוּ בְנֵי מְתִיבְתָּא, דְּלֵית חֶדְוָה בֵּינַיְהוּ כְּחֶדְוָה כַּד אִתְחַדַּשׁ בֵּינַיְהוּ רָזָא דְאוֹרַיְיתָא.</w:t>
      </w:r>
    </w:p>
    <w:p w:rsidR="00D45634" w:rsidRDefault="00D45634" w:rsidP="00B17EA9">
      <w:pPr>
        <w:pStyle w:val="NormalWeb"/>
        <w:rPr>
          <w:rtl/>
        </w:rPr>
      </w:pPr>
      <w:r>
        <w:rPr>
          <w:rtl/>
        </w:rPr>
        <w:t xml:space="preserve">וּבְגִין דָּא מָאן דְּנָטִיר בְּרִית אֵשׁ, קָרִי אִישׁ צַדִּיק תָּמִים, וְאוֹת י' דְשד''י אִיהִי </w:t>
      </w:r>
      <w:r>
        <w:rPr>
          <w:rStyle w:val="a7"/>
          <w:rtl/>
        </w:rPr>
        <w:footnoteReference w:id="449"/>
      </w:r>
      <w:r>
        <w:rPr>
          <w:rtl/>
        </w:rPr>
        <w:t>חוּלְיָא עַל צַוָּאר דְּשֵׁד יֵצֶר הָרָע, חוּלְיָא דְשַׁלְשְׁלָאָה, וּבְגִין דָּא רְשִׁים שד''י בִּבְרִית, וְרָשִׁים בַּמְּזוּזָה, דְּמִזְדַּעְזְעִין כֻּלְּהוֹן מֵהַאי שַׁלְשְׁלָאָה, דְּאִיהִי אוֹת שבת, אוֹת בְּרִית, אוֹת יֹמִין טָבִין, אוֹת תְּפִלִּין.</w:t>
      </w:r>
    </w:p>
    <w:p w:rsidR="00D45634" w:rsidRDefault="00D45634" w:rsidP="00B17EA9">
      <w:pPr>
        <w:pStyle w:val="NormalWeb"/>
        <w:rPr>
          <w:rtl/>
        </w:rPr>
      </w:pPr>
      <w:r>
        <w:rPr>
          <w:rtl/>
        </w:rPr>
        <w:lastRenderedPageBreak/>
        <w:t xml:space="preserve">וּמִיָּד דְּאִיהוּ תָּפִיס בָּהּ יֵצֶר הָרָע דְּאִיהוּ שֵׁ''ד, </w:t>
      </w:r>
      <w:r>
        <w:rPr>
          <w:rStyle w:val="a7"/>
          <w:rtl/>
        </w:rPr>
        <w:footnoteReference w:id="450"/>
      </w:r>
      <w:r>
        <w:rPr>
          <w:rtl/>
        </w:rPr>
        <w:t xml:space="preserve">נָטִיל בַּר נַשׁ חַרְבָּא </w:t>
      </w:r>
      <w:r>
        <w:rPr>
          <w:rStyle w:val="a7"/>
          <w:rtl/>
        </w:rPr>
        <w:footnoteReference w:id="451"/>
      </w:r>
      <w:r>
        <w:rPr>
          <w:rtl/>
        </w:rPr>
        <w:t xml:space="preserve">דְאִתְּמַר בָּהּ </w:t>
      </w:r>
      <w:r>
        <w:rPr>
          <w:sz w:val="20"/>
          <w:szCs w:val="23"/>
          <w:rtl/>
        </w:rPr>
        <w:t>(תהלים קמט ו)</w:t>
      </w:r>
      <w:r>
        <w:rPr>
          <w:rtl/>
        </w:rPr>
        <w:t xml:space="preserve"> רוֹמְמוֹת אֵ''ל בִּגְרוֹנָם, </w:t>
      </w:r>
      <w:r>
        <w:rPr>
          <w:rStyle w:val="a7"/>
          <w:rtl/>
        </w:rPr>
        <w:footnoteReference w:id="452"/>
      </w:r>
      <w:r>
        <w:rPr>
          <w:rtl/>
        </w:rPr>
        <w:t xml:space="preserve">דְּאִיהוּ י' רֵישָׁא דְחַרְבָּא, ו' גּוּפָא דְחַרְבָּא, ה' ה' תְּרֵי פִּפִיּוֹת דִּילָהּ, וְשָׁחִיט לֵיהּ, וּבְגִינֵיהּ אִתְּמַר הַבָּא לְהָרְגָךְ הַשְׁכֵּם לְהָרְגוֹ בִּצְלוֹתָא, דְאִתְּמַר בָּהּ </w:t>
      </w:r>
      <w:r>
        <w:rPr>
          <w:sz w:val="20"/>
          <w:szCs w:val="23"/>
          <w:rtl/>
        </w:rPr>
        <w:t>(בראשית יט כז)</w:t>
      </w:r>
      <w:r>
        <w:rPr>
          <w:rtl/>
        </w:rPr>
        <w:t xml:space="preserve"> וַיַּשְׁכֵּם אַבְרָהָם בַּבֹּקֶר.</w:t>
      </w:r>
    </w:p>
    <w:p w:rsidR="00D45634" w:rsidRDefault="00D45634" w:rsidP="00EF3849">
      <w:pPr>
        <w:pStyle w:val="2"/>
        <w:rPr>
          <w:rtl/>
        </w:rPr>
      </w:pPr>
      <w:r>
        <w:rPr>
          <w:rtl/>
        </w:rPr>
        <w:t>[תיקוני זוהר - המשך דף ח ע''א]</w:t>
      </w:r>
    </w:p>
    <w:p w:rsidR="00D45634" w:rsidRDefault="00D45634" w:rsidP="00B17EA9">
      <w:pPr>
        <w:pStyle w:val="NormalWeb"/>
        <w:rPr>
          <w:rtl/>
        </w:rPr>
      </w:pPr>
      <w:r>
        <w:rPr>
          <w:sz w:val="20"/>
          <w:szCs w:val="23"/>
          <w:rtl/>
        </w:rPr>
        <w:t xml:space="preserve">(המשך דף ח ע''א) </w:t>
      </w:r>
      <w:r>
        <w:rPr>
          <w:rStyle w:val="a7"/>
          <w:rtl/>
        </w:rPr>
        <w:footnoteReference w:id="453"/>
      </w:r>
      <w:r>
        <w:rPr>
          <w:rtl/>
        </w:rPr>
        <w:t xml:space="preserve">שֵׁם יהו''ה, י' דִילֵיהּ רֵישָׁא דְחַרְבָּא, מרגלית מליא סגולתן </w:t>
      </w:r>
      <w:r>
        <w:rPr>
          <w:rStyle w:val="a7"/>
          <w:rtl/>
        </w:rPr>
        <w:footnoteReference w:id="454"/>
      </w:r>
      <w:r>
        <w:rPr>
          <w:rtl/>
        </w:rPr>
        <w:t xml:space="preserve">בְּרֵישָׁא דְחַרְבָּא, </w:t>
      </w:r>
      <w:r>
        <w:rPr>
          <w:rStyle w:val="a7"/>
          <w:rtl/>
        </w:rPr>
        <w:footnoteReference w:id="455"/>
      </w:r>
      <w:r>
        <w:rPr>
          <w:rtl/>
        </w:rPr>
        <w:t xml:space="preserve">דְּלֵית מָאן דְּנָצַח וַדַּאי לְמָארֵי חַרְבָּא דָא, וּבָהּ נָצַח לְכָל סִטְרִין אָחֳרָנִין, וְלֵית חַד קַיְימָא קַמָּהּ, גּוּפָא דְהַאי חַרְבָּא ו', זַכָּאָה אִיהוּ מָאן דְּיָדַע לְאַנִּיף לֵיהּ בִּידֵיהּ </w:t>
      </w:r>
      <w:r>
        <w:rPr>
          <w:rStyle w:val="a7"/>
          <w:rtl/>
        </w:rPr>
        <w:footnoteReference w:id="456"/>
      </w:r>
      <w:r>
        <w:rPr>
          <w:rtl/>
        </w:rPr>
        <w:t xml:space="preserve">לְכָל סִטְרָא, עִילָא וְתַתָּא וְאַרְבַּע סִטְרִין בְּשִׁית סְפִירָן, תְּרֵין פִּיפִיּוֹת דְּחַתִּיךְ בְּהוֹן עִילָא וְתַתָּא מִתְּרֵין סִטְרִין </w:t>
      </w:r>
      <w:r>
        <w:rPr>
          <w:rStyle w:val="a7"/>
          <w:rtl/>
        </w:rPr>
        <w:footnoteReference w:id="457"/>
      </w:r>
      <w:r>
        <w:rPr>
          <w:rtl/>
        </w:rPr>
        <w:t xml:space="preserve">אִינוּן ה' ה', וּנְקוּדָא אֱלֹהִי''ם, וְהַיְינוּ נַרְתֵּק דִּילֵיהּ, </w:t>
      </w:r>
      <w:r>
        <w:rPr>
          <w:rStyle w:val="a7"/>
          <w:rtl/>
        </w:rPr>
        <w:footnoteReference w:id="458"/>
      </w:r>
      <w:r>
        <w:rPr>
          <w:rtl/>
        </w:rPr>
        <w:t>וּבְגִין דָּא בִּינָה נְקוּדָה אֱלֹהִי''ם, כְּגַוְונָא דָא יֱהוִֹ''ה כְּמָה דְאִתְּמַר.</w:t>
      </w:r>
    </w:p>
    <w:p w:rsidR="00D45634" w:rsidRDefault="00D45634" w:rsidP="00B17EA9">
      <w:pPr>
        <w:pStyle w:val="NormalWeb"/>
        <w:rPr>
          <w:rtl/>
        </w:rPr>
      </w:pPr>
      <w:r>
        <w:rPr>
          <w:rtl/>
        </w:rPr>
        <w:t xml:space="preserve">וְהַאי אִיהוּ דְאוּקְמוּהוּ מָארֵי מַתְנִיתִין, כָּל </w:t>
      </w:r>
      <w:r>
        <w:rPr>
          <w:rStyle w:val="a7"/>
          <w:rtl/>
        </w:rPr>
        <w:footnoteReference w:id="459"/>
      </w:r>
      <w:r>
        <w:rPr>
          <w:rtl/>
        </w:rPr>
        <w:t xml:space="preserve">הַקּוֹרֵא קְרִיאַת שְׁמַע, כְּאִלּוּ אוֹחֵז חֶרֶב פִּיפִיּוֹת בְּיָדוֹ, וְהָא אוּקְמוּהוּ עַל מִטָּתוֹ, לְהָגֵן מִן הַמַּזִיקִין, אֲבָל בִּקְרִיאַת שְׁמַע דִּצְלוֹתָא, </w:t>
      </w:r>
      <w:r>
        <w:rPr>
          <w:rStyle w:val="a7"/>
          <w:rtl/>
        </w:rPr>
        <w:footnoteReference w:id="460"/>
      </w:r>
      <w:r>
        <w:rPr>
          <w:rtl/>
        </w:rPr>
        <w:t xml:space="preserve">אֲדוֹן הַמַּזִּיקִין קָשׁוּר, לֵית לֵיהּ רְשׁוּ לְמִבְרַח, וְזַכָּאָה אִיהוּ מָאן דְּשָׁחִיט לֵיהּ בְּהַהוּא זִמְנָא, לְקַיֵּים בא להרגך הַשְׁכֵּם לְהָרְגוֹ בִּצְלוֹתָא, </w:t>
      </w:r>
      <w:r>
        <w:rPr>
          <w:rStyle w:val="a7"/>
          <w:rtl/>
        </w:rPr>
        <w:footnoteReference w:id="461"/>
      </w:r>
      <w:r>
        <w:rPr>
          <w:rtl/>
        </w:rPr>
        <w:t xml:space="preserve">דְאִתְּמַר בָּהּ </w:t>
      </w:r>
      <w:r>
        <w:rPr>
          <w:sz w:val="20"/>
          <w:szCs w:val="23"/>
          <w:rtl/>
        </w:rPr>
        <w:t>(בראשית יט כז)</w:t>
      </w:r>
      <w:r>
        <w:rPr>
          <w:rtl/>
        </w:rPr>
        <w:t xml:space="preserve"> וַיַּשְׁכֵּם אַבְרָהָם </w:t>
      </w:r>
      <w:r>
        <w:rPr>
          <w:rStyle w:val="a7"/>
          <w:rtl/>
        </w:rPr>
        <w:footnoteReference w:id="462"/>
      </w:r>
      <w:r>
        <w:rPr>
          <w:rtl/>
        </w:rPr>
        <w:t xml:space="preserve">בַּבֹּקֶר, </w:t>
      </w:r>
      <w:r>
        <w:rPr>
          <w:rStyle w:val="a7"/>
          <w:rtl/>
        </w:rPr>
        <w:footnoteReference w:id="463"/>
      </w:r>
      <w:r>
        <w:rPr>
          <w:rtl/>
        </w:rPr>
        <w:t xml:space="preserve">כָּל שֶׁכֵּן מָאן דְּלָא חָשַׁשׁ לִיקָרֵיהּ לְשַׁחֲטָא יִצְרֵיהּ וְשַׂנְאֵיהּ, דְּלֵית שַׂנְאֵיהּ לְחוֹד אֶלָּא שַׂנְאֵיהּ דְּקוּדְשָׁא בְּרִיךְ הוּא, </w:t>
      </w:r>
      <w:r>
        <w:rPr>
          <w:rStyle w:val="a7"/>
          <w:rtl/>
        </w:rPr>
        <w:footnoteReference w:id="464"/>
      </w:r>
      <w:r>
        <w:rPr>
          <w:rtl/>
        </w:rPr>
        <w:t>דִּבְכָל יוֹמָא תָּבַע חוֹבִין דִּבְנוֹי לְשַׁחֲטָא לוֹן.</w:t>
      </w:r>
    </w:p>
    <w:p w:rsidR="00D45634" w:rsidRDefault="00D45634" w:rsidP="00B17EA9">
      <w:pPr>
        <w:pStyle w:val="NormalWeb"/>
        <w:rPr>
          <w:rtl/>
        </w:rPr>
      </w:pPr>
      <w:r>
        <w:rPr>
          <w:rtl/>
        </w:rPr>
        <w:t xml:space="preserve">וְאוּף הָכִי צָרִיךְ לְאַעֲבָרָא לֵיהּ </w:t>
      </w:r>
      <w:r>
        <w:rPr>
          <w:rStyle w:val="a7"/>
          <w:rtl/>
        </w:rPr>
        <w:footnoteReference w:id="465"/>
      </w:r>
      <w:r>
        <w:rPr>
          <w:rtl/>
        </w:rPr>
        <w:t xml:space="preserve">מִשְּׁמַיָּא וְאַרְעָא, כְּגַוְונָא דְאַעַבְרֵיהּ </w:t>
      </w:r>
      <w:r>
        <w:rPr>
          <w:rStyle w:val="a7"/>
          <w:rtl/>
        </w:rPr>
        <w:footnoteReference w:id="466"/>
      </w:r>
      <w:r>
        <w:rPr>
          <w:rtl/>
        </w:rPr>
        <w:t xml:space="preserve">מִשִּׁמְשָׁא וְסִיהֲרָא, וְאוּף הָכִי צָרִיךְ לְאַעֲבָרָא לֵיהּ וּלְבַת זוּגֵיהּ </w:t>
      </w:r>
      <w:r>
        <w:rPr>
          <w:rStyle w:val="a7"/>
          <w:rtl/>
        </w:rPr>
        <w:footnoteReference w:id="467"/>
      </w:r>
      <w:r>
        <w:rPr>
          <w:rtl/>
        </w:rPr>
        <w:t xml:space="preserve">מִתְּרֵין כָּרְסַיָּין, הֲדָא הוּא דִכְתִיב </w:t>
      </w:r>
      <w:r>
        <w:rPr>
          <w:sz w:val="20"/>
          <w:szCs w:val="23"/>
          <w:rtl/>
        </w:rPr>
        <w:t>(ירמיה יז יב)</w:t>
      </w:r>
      <w:r>
        <w:rPr>
          <w:rtl/>
        </w:rPr>
        <w:t xml:space="preserve"> כִּסֵּא כָבוֹד מָרוֹם מֵרִאשׁוֹן, דְּתַמָּן קוּדְשָׁא בְּרִיךְ הוּא וּשְׁכִינְתֵּיהּ בִּתְרֵין כָּרְסַיָּין, </w:t>
      </w:r>
      <w:r>
        <w:rPr>
          <w:rStyle w:val="a7"/>
          <w:rtl/>
        </w:rPr>
        <w:footnoteReference w:id="468"/>
      </w:r>
      <w:r>
        <w:rPr>
          <w:rtl/>
        </w:rPr>
        <w:t xml:space="preserve">וְתַמָּן קוּדְשָׁא בְּרִיךְ הוּא וּשְׁכִינְתֵּיהּ כְּשִׁמְשָׁא וְסִיהֲרָא, </w:t>
      </w:r>
      <w:r>
        <w:rPr>
          <w:rStyle w:val="a7"/>
          <w:rtl/>
        </w:rPr>
        <w:footnoteReference w:id="469"/>
      </w:r>
      <w:r>
        <w:rPr>
          <w:rtl/>
        </w:rPr>
        <w:t xml:space="preserve">וְעַל שְׁמַיְיהוּ אִתְקְרֵי כִּי </w:t>
      </w:r>
      <w:r>
        <w:rPr>
          <w:rStyle w:val="a7"/>
          <w:rtl/>
        </w:rPr>
        <w:footnoteReference w:id="470"/>
      </w:r>
      <w:r>
        <w:rPr>
          <w:rtl/>
        </w:rPr>
        <w:t xml:space="preserve">שֶׁמֶשׁ וּמָגֵן </w:t>
      </w:r>
      <w:r>
        <w:rPr>
          <w:rStyle w:val="a7"/>
          <w:rtl/>
        </w:rPr>
        <w:footnoteReference w:id="471"/>
      </w:r>
      <w:r>
        <w:rPr>
          <w:rtl/>
        </w:rPr>
        <w:t xml:space="preserve">יהו''ה אֱלֹהִי''ם </w:t>
      </w:r>
      <w:r>
        <w:rPr>
          <w:sz w:val="20"/>
          <w:szCs w:val="23"/>
          <w:rtl/>
        </w:rPr>
        <w:t>(תהלים פד יב)</w:t>
      </w:r>
      <w:r>
        <w:rPr>
          <w:rtl/>
        </w:rPr>
        <w:t xml:space="preserve">, וּבְהַהוּא זִמְנָא יִתְקַיֵּים בֵּיהּ, </w:t>
      </w:r>
      <w:r>
        <w:rPr>
          <w:rStyle w:val="a7"/>
          <w:rtl/>
        </w:rPr>
        <w:footnoteReference w:id="472"/>
      </w:r>
      <w:r>
        <w:rPr>
          <w:rtl/>
        </w:rPr>
        <w:t xml:space="preserve">לֹא יָבֹא עוֹד שִׁמְשֵׁךְ וִירֵחֵךְ לֹא יֵאָסֵף </w:t>
      </w:r>
      <w:r>
        <w:rPr>
          <w:sz w:val="20"/>
          <w:szCs w:val="23"/>
          <w:rtl/>
        </w:rPr>
        <w:t>(ישעיה ס כ)</w:t>
      </w:r>
      <w:r>
        <w:rPr>
          <w:rtl/>
        </w:rPr>
        <w:t>.</w:t>
      </w:r>
    </w:p>
    <w:p w:rsidR="00D45634" w:rsidRDefault="00D45634" w:rsidP="00EF3849">
      <w:pPr>
        <w:pStyle w:val="2"/>
        <w:rPr>
          <w:rtl/>
        </w:rPr>
      </w:pPr>
      <w:bookmarkStart w:id="32" w:name="_Toc228095576"/>
      <w:bookmarkStart w:id="33" w:name="_Toc231638014"/>
      <w:bookmarkStart w:id="34" w:name="_Toc228095577"/>
      <w:bookmarkStart w:id="35" w:name="_Toc231638015"/>
      <w:r>
        <w:rPr>
          <w:rtl/>
        </w:rPr>
        <w:lastRenderedPageBreak/>
        <w:t>[תיקוני זוהר - דף ח ע''ב]</w:t>
      </w:r>
      <w:bookmarkEnd w:id="32"/>
      <w:bookmarkEnd w:id="33"/>
    </w:p>
    <w:bookmarkEnd w:id="34"/>
    <w:bookmarkEnd w:id="35"/>
    <w:p w:rsidR="00D45634" w:rsidRDefault="00D45634" w:rsidP="00B17EA9">
      <w:pPr>
        <w:pStyle w:val="NormalWeb"/>
        <w:rPr>
          <w:rtl/>
        </w:rPr>
      </w:pPr>
      <w:r>
        <w:rPr>
          <w:rtl/>
        </w:rPr>
        <w:t xml:space="preserve">וְהָכִי צָרִיךְ לְאַעֲבָרָא לֵיהּ מִשְּׂמָאלָא דְקוּדְשָׁא בְּרִיךְ הוּא דְאִיהִי גְבוּרָה, </w:t>
      </w:r>
      <w:r>
        <w:rPr>
          <w:sz w:val="20"/>
          <w:szCs w:val="23"/>
          <w:rtl/>
        </w:rPr>
        <w:t xml:space="preserve">(דף ח ע''ב) </w:t>
      </w:r>
      <w:r>
        <w:rPr>
          <w:rtl/>
        </w:rPr>
        <w:t xml:space="preserve">דְמִתַּמָּן מִצָּפוֹן תִּפָּתַח הָרָעָה </w:t>
      </w:r>
      <w:r>
        <w:rPr>
          <w:sz w:val="20"/>
          <w:szCs w:val="23"/>
          <w:rtl/>
        </w:rPr>
        <w:t>(ירמיה יד א)</w:t>
      </w:r>
      <w:r>
        <w:rPr>
          <w:rtl/>
        </w:rPr>
        <w:t xml:space="preserve">, </w:t>
      </w:r>
      <w:r>
        <w:rPr>
          <w:rStyle w:val="a7"/>
          <w:rtl/>
        </w:rPr>
        <w:footnoteReference w:id="473"/>
      </w:r>
      <w:r>
        <w:rPr>
          <w:rtl/>
        </w:rPr>
        <w:t xml:space="preserve">וְתַמָּן יֵיתֵי לְמִתְּבַע חוֹבִין, </w:t>
      </w:r>
      <w:r>
        <w:rPr>
          <w:rStyle w:val="a7"/>
          <w:rtl/>
        </w:rPr>
        <w:footnoteReference w:id="474"/>
      </w:r>
      <w:r>
        <w:rPr>
          <w:rtl/>
        </w:rPr>
        <w:t xml:space="preserve">מֵאִלֵּין דְּאִתְּמַר בְּהוֹן בָּנִים אַתֶּם לַיהו''ה אֱלֹהֵיכֶם </w:t>
      </w:r>
      <w:r>
        <w:rPr>
          <w:sz w:val="20"/>
          <w:szCs w:val="23"/>
          <w:rtl/>
        </w:rPr>
        <w:t>(דברים יד א)</w:t>
      </w:r>
      <w:r>
        <w:rPr>
          <w:rtl/>
        </w:rPr>
        <w:t>.</w:t>
      </w:r>
    </w:p>
    <w:p w:rsidR="00D45634" w:rsidRDefault="00D45634" w:rsidP="00B17EA9">
      <w:pPr>
        <w:pStyle w:val="NormalWeb"/>
        <w:rPr>
          <w:rtl/>
        </w:rPr>
      </w:pPr>
      <w:r>
        <w:rPr>
          <w:rtl/>
        </w:rPr>
        <w:t xml:space="preserve">מִתַּמָּן וְאֵילֵךְ אִנּוּן שָׂרִים, וַעֲבָדִים, מִסִּטְרָא דְחֵיוָון דְּכָרְסַיָּא שָׂרִים וּמְמַנָּן, מִסִּטְרָא דְכֹכְבַיָּא דְנָהֲרִין בִּשְׁמַיָּא וְאַרְעָא עֲבָדִין, וְהַאי אִיהוּ אִם כְּבָנִים אִם כַּעֲבָדִים, וְהַאי אִיהוּ דְצָרִיךְ לְאַנָּפָא לֵיהּ חַרְבָּא לְשִׁית סִטְרִין, דְּאִנּוּן שְׁמַיָּא וְאַרְעָא, שִׁמְשָׁא וְסִיהֲרָא, כִּסֵּא דִין וְכִסֵּא רַחֲמִים, לְאַעֲבָרָא סמא''ל וְנָחָ''שׁ מִנַּיְהוּ, </w:t>
      </w:r>
      <w:r>
        <w:rPr>
          <w:rStyle w:val="a7"/>
          <w:rtl/>
        </w:rPr>
        <w:footnoteReference w:id="475"/>
      </w:r>
      <w:r>
        <w:rPr>
          <w:rtl/>
        </w:rPr>
        <w:t>דְּמִסִּטְרָא דִלְהוֹן שַׁלִּיט סמא''ל וּבַת זוּגוֹ.</w:t>
      </w:r>
    </w:p>
    <w:p w:rsidR="00D45634" w:rsidRDefault="00D45634" w:rsidP="00B17EA9">
      <w:pPr>
        <w:pStyle w:val="NormalWeb"/>
        <w:rPr>
          <w:rtl/>
        </w:rPr>
      </w:pPr>
      <w:r>
        <w:rPr>
          <w:rtl/>
        </w:rPr>
        <w:t xml:space="preserve">וְצָרִיךְ לְקַשְׁרָא לֵיהּ בִּרְצוּעִין דִתְּפִלִּין, תְּרֵין </w:t>
      </w:r>
      <w:r>
        <w:rPr>
          <w:rStyle w:val="a7"/>
          <w:rtl/>
        </w:rPr>
        <w:footnoteReference w:id="476"/>
      </w:r>
      <w:r>
        <w:rPr>
          <w:rtl/>
        </w:rPr>
        <w:t xml:space="preserve">בִּתְרֵין קַרְנוֹי, </w:t>
      </w:r>
      <w:r>
        <w:rPr>
          <w:rStyle w:val="a7"/>
          <w:rtl/>
        </w:rPr>
        <w:footnoteReference w:id="477"/>
      </w:r>
      <w:r>
        <w:rPr>
          <w:rtl/>
        </w:rPr>
        <w:t xml:space="preserve">וְחַד בִּדְרוֹעָא, וּלְבָתַר יִשְׁחוֹט לֵיהּ בִּקְרִיאַת שְׁמַע, בְּגִין דְּלָא יִתְקַרֵיב לְסִטְרָא דִגְבוּרָה, </w:t>
      </w:r>
      <w:r>
        <w:rPr>
          <w:rStyle w:val="a7"/>
          <w:rtl/>
        </w:rPr>
        <w:footnoteReference w:id="478"/>
      </w:r>
      <w:r>
        <w:rPr>
          <w:rtl/>
        </w:rPr>
        <w:t xml:space="preserve">אֲבָל מִסִּטְרָא דִסְפִירָן וַהֲוַויּוֹת דִּלְהוֹן, אִתְּמַר לֹא יְגוּרְךָ רָע </w:t>
      </w:r>
      <w:r>
        <w:rPr>
          <w:sz w:val="20"/>
          <w:szCs w:val="23"/>
          <w:rtl/>
        </w:rPr>
        <w:t>(תהלים ה ה)</w:t>
      </w:r>
      <w:r>
        <w:rPr>
          <w:szCs w:val="23"/>
          <w:rtl/>
        </w:rPr>
        <w:t xml:space="preserve">, </w:t>
      </w:r>
      <w:r>
        <w:rPr>
          <w:rStyle w:val="Char"/>
          <w:rtl/>
        </w:rPr>
        <w:t>וְהַזָּר הַקָּרֵב יוּמָת</w:t>
      </w:r>
      <w:r>
        <w:rPr>
          <w:szCs w:val="23"/>
          <w:rtl/>
        </w:rPr>
        <w:t xml:space="preserve"> </w:t>
      </w:r>
      <w:r>
        <w:rPr>
          <w:sz w:val="20"/>
          <w:szCs w:val="23"/>
          <w:rtl/>
        </w:rPr>
        <w:t>(במדבר א נב)</w:t>
      </w:r>
      <w:r>
        <w:rPr>
          <w:rtl/>
        </w:rPr>
        <w:t>.</w:t>
      </w:r>
    </w:p>
    <w:p w:rsidR="00D45634" w:rsidRDefault="00D45634" w:rsidP="00EF3849">
      <w:pPr>
        <w:pStyle w:val="2"/>
        <w:rPr>
          <w:rtl/>
        </w:rPr>
      </w:pPr>
      <w:r>
        <w:rPr>
          <w:rtl/>
        </w:rPr>
        <w:t>[תיקוני זוהר - המשך דף י ע''ב]</w:t>
      </w:r>
    </w:p>
    <w:p w:rsidR="00D45634" w:rsidRDefault="00D45634" w:rsidP="00B17EA9">
      <w:pPr>
        <w:pStyle w:val="NormalWeb"/>
        <w:rPr>
          <w:rtl/>
        </w:rPr>
      </w:pPr>
      <w:r>
        <w:rPr>
          <w:rStyle w:val="a7"/>
          <w:rtl/>
        </w:rPr>
        <w:footnoteReference w:id="479"/>
      </w:r>
      <w:r>
        <w:rPr>
          <w:rtl/>
        </w:rPr>
        <w:t xml:space="preserve">וְעוֹד קְרִיאַת שְׁמַע אִיהִי רוֹמַ''ח, </w:t>
      </w:r>
      <w:r>
        <w:rPr>
          <w:rStyle w:val="a7"/>
          <w:rtl/>
        </w:rPr>
        <w:footnoteReference w:id="480"/>
      </w:r>
      <w:r>
        <w:rPr>
          <w:rtl/>
        </w:rPr>
        <w:t xml:space="preserve">כְּלִילָא מִשִּׁית תֵּיבִין דְּיִחוּדָא, וּמֵרַמַ''ח תֵּיבִין עִם יהו''ה אֱלֹהֵיכֶם אֱמֶת, </w:t>
      </w:r>
      <w:r>
        <w:rPr>
          <w:rStyle w:val="a7"/>
          <w:rtl/>
        </w:rPr>
        <w:footnoteReference w:id="481"/>
      </w:r>
      <w:r>
        <w:rPr>
          <w:rtl/>
        </w:rPr>
        <w:t>וְהוּא קִירְטָא, וְהָא אִתְּמַר.</w:t>
      </w:r>
    </w:p>
    <w:p w:rsidR="00D45634" w:rsidRDefault="00D45634" w:rsidP="00B17EA9">
      <w:pPr>
        <w:pStyle w:val="NormalWeb"/>
        <w:rPr>
          <w:rtl/>
        </w:rPr>
      </w:pPr>
      <w:r>
        <w:rPr>
          <w:rtl/>
        </w:rPr>
        <w:t xml:space="preserve"> </w:t>
      </w:r>
      <w:r>
        <w:rPr>
          <w:rStyle w:val="a7"/>
          <w:rtl/>
        </w:rPr>
        <w:footnoteReference w:id="482"/>
      </w:r>
      <w:r>
        <w:rPr>
          <w:rtl/>
        </w:rPr>
        <w:t xml:space="preserve">חָמֵשׁ אַבְנִין ה', דְּאִתְעֲבִידוּ חַד אַבְנָא בְּאָת י', </w:t>
      </w:r>
      <w:r>
        <w:rPr>
          <w:rStyle w:val="a7"/>
          <w:rtl/>
        </w:rPr>
        <w:footnoteReference w:id="483"/>
      </w:r>
      <w:r>
        <w:rPr>
          <w:rtl/>
        </w:rPr>
        <w:t xml:space="preserve">וְקָטִיל בָּהּ לְיֵצֶר הָרָע, </w:t>
      </w:r>
      <w:r>
        <w:rPr>
          <w:rStyle w:val="a7"/>
          <w:rtl/>
        </w:rPr>
        <w:footnoteReference w:id="484"/>
      </w:r>
      <w:r>
        <w:rPr>
          <w:rtl/>
        </w:rPr>
        <w:t xml:space="preserve">וּבְאָן אֲתַר אִיהִי קִירְטָא, בִּתְּפִלִּין, חוּט דְּקֶלַע דְּכָרִיךְ בְּיָד דָּא רְצוּעָה דְיָד, </w:t>
      </w:r>
      <w:r>
        <w:rPr>
          <w:rStyle w:val="a7"/>
          <w:rtl/>
        </w:rPr>
        <w:footnoteReference w:id="485"/>
      </w:r>
      <w:r>
        <w:rPr>
          <w:rtl/>
        </w:rPr>
        <w:t xml:space="preserve">דְּאִיהוּ כְּחוּט דְּזַרְקָא, </w:t>
      </w:r>
      <w:r>
        <w:rPr>
          <w:rStyle w:val="a7"/>
          <w:rtl/>
        </w:rPr>
        <w:footnoteReference w:id="486"/>
      </w:r>
      <w:r>
        <w:rPr>
          <w:rtl/>
        </w:rPr>
        <w:t xml:space="preserve">וְאִיהִי קְרִיאַת שְׁמַע, קֶשֶׁת דְּזָרִיק חִצִּים </w:t>
      </w:r>
      <w:r>
        <w:rPr>
          <w:rStyle w:val="a7"/>
          <w:rtl/>
        </w:rPr>
        <w:footnoteReference w:id="487"/>
      </w:r>
      <w:r>
        <w:rPr>
          <w:rtl/>
        </w:rPr>
        <w:t xml:space="preserve">מִסִּטְרָא דְבָּרוּךְ שֵׁם כְּבוֹד מַלְכוּתוֹ, וּבְרָכוֹת לְרֹאשׁ צַדִּיק </w:t>
      </w:r>
      <w:r>
        <w:rPr>
          <w:sz w:val="20"/>
          <w:szCs w:val="23"/>
          <w:rtl/>
        </w:rPr>
        <w:t>(משלי י ו)</w:t>
      </w:r>
      <w:r>
        <w:rPr>
          <w:rtl/>
        </w:rPr>
        <w:t>, דְּאִיהוּ קֶשֶׁת הַבְּרִית.</w:t>
      </w:r>
    </w:p>
    <w:p w:rsidR="00D45634" w:rsidRDefault="00D45634" w:rsidP="00B17EA9">
      <w:pPr>
        <w:pStyle w:val="NormalWeb"/>
        <w:rPr>
          <w:rtl/>
        </w:rPr>
      </w:pPr>
      <w:r>
        <w:rPr>
          <w:rStyle w:val="a7"/>
          <w:rtl/>
        </w:rPr>
        <w:footnoteReference w:id="488"/>
      </w:r>
      <w:r>
        <w:rPr>
          <w:rtl/>
        </w:rPr>
        <w:t xml:space="preserve">רוֹמְחָא דָא עַמּוּדָא דְאֶמְצָעִיתָא, בְּחָמֵשׁ אֶצְבְּעָאן דְּיָד, דְּאִיהִי ה' תַּתָּאָה, וְאִיהִי לִימִינָא דְחֶסֶד, דַּרְגָּא דְאַבְרָהָם דְּחוּשְׁבָּנֵיהּ רְמַ''ח, וְעִם ו' דְּעַמּוּדָא דְאֶמְצָעִיתָא אִתְעֲבִיד רוֹמַ''ח, </w:t>
      </w:r>
      <w:r>
        <w:rPr>
          <w:rStyle w:val="a7"/>
          <w:rtl/>
        </w:rPr>
        <w:footnoteReference w:id="489"/>
      </w:r>
      <w:r>
        <w:rPr>
          <w:rtl/>
        </w:rPr>
        <w:t>קֶלַע ה' עִלָּאָה לִשְׂמָאלָא, י' אַבְנָא דְקֶלַע, י''ה דִּתְּפִלִּין, וְכֹלָּא י''ה עִם שְׁמִ''י שְׁסָ''ה, זִכְרִ''י עִם ו''ה רְמַ''ח.</w:t>
      </w:r>
    </w:p>
    <w:p w:rsidR="00D45634" w:rsidRDefault="00D45634" w:rsidP="00B17EA9">
      <w:pPr>
        <w:pStyle w:val="NormalWeb"/>
        <w:rPr>
          <w:rtl/>
        </w:rPr>
      </w:pPr>
      <w:r>
        <w:rPr>
          <w:rStyle w:val="a7"/>
          <w:rtl/>
        </w:rPr>
        <w:lastRenderedPageBreak/>
        <w:footnoteReference w:id="490"/>
      </w:r>
      <w:r>
        <w:rPr>
          <w:rtl/>
        </w:rPr>
        <w:t xml:space="preserve">וּמָאן דְּאִיהוּ נְטִיר י' בִּתְמַנְיָא יוֹמִין דְּמִילָה, בִּתְמַנְיָא אַלְפֵי תְּחוּם שַׁבָּת, בִּתְמַנְיָא פָּרָשִׁיָּין דִּתְּפִלֵּי, אִיהוּ נָטִיר מִכָּל מַזִּיקֵי דִתְחוֹת יְדָא דְיֵצֶר הָרָע, </w:t>
      </w:r>
      <w:r>
        <w:rPr>
          <w:rStyle w:val="a7"/>
          <w:rtl/>
        </w:rPr>
        <w:footnoteReference w:id="491"/>
      </w:r>
      <w:r>
        <w:rPr>
          <w:rtl/>
        </w:rPr>
        <w:t xml:space="preserve">דְּאִיהוּ מְמַנָּא </w:t>
      </w:r>
      <w:r>
        <w:rPr>
          <w:rStyle w:val="a7"/>
          <w:rtl/>
        </w:rPr>
        <w:footnoteReference w:id="492"/>
      </w:r>
      <w:r>
        <w:rPr>
          <w:rtl/>
        </w:rPr>
        <w:t>עַל שִׁתִּין רִבּוֹא, כָּל שֶׁכֵּן מָאן דְּקָשִׁיר לֵיהּ בְּשַׁלְשְׁלָאִין וְקָטִיל לֵיהּ.</w:t>
      </w:r>
    </w:p>
    <w:p w:rsidR="00D45634" w:rsidRDefault="00D45634" w:rsidP="00B17EA9">
      <w:pPr>
        <w:pStyle w:val="NormalWeb"/>
        <w:rPr>
          <w:rtl/>
        </w:rPr>
      </w:pPr>
      <w:r>
        <w:rPr>
          <w:rStyle w:val="a7"/>
          <w:rtl/>
        </w:rPr>
        <w:footnoteReference w:id="493"/>
      </w:r>
      <w:r>
        <w:rPr>
          <w:rtl/>
        </w:rPr>
        <w:t xml:space="preserve">וְעוֹד בְּרִית דְתַקִּינוּ לֵיהּ </w:t>
      </w:r>
      <w:r>
        <w:rPr>
          <w:rStyle w:val="a7"/>
          <w:rtl/>
        </w:rPr>
        <w:footnoteReference w:id="494"/>
      </w:r>
      <w:r>
        <w:rPr>
          <w:rtl/>
        </w:rPr>
        <w:t xml:space="preserve">מָנָא בְּעַפְרָא, לְשַׁדְיָיא לָהּ בְּעַפְרָא, וְדָם דְּאַטִּיפִין מִנֵּיהּ, </w:t>
      </w:r>
      <w:r>
        <w:rPr>
          <w:rStyle w:val="a7"/>
          <w:rtl/>
        </w:rPr>
        <w:footnoteReference w:id="495"/>
      </w:r>
      <w:r>
        <w:rPr>
          <w:rtl/>
        </w:rPr>
        <w:t xml:space="preserve">אִתְחֲשִׁיב לֵיהּ כְּאִלּוּ עָבִיד לֵיהּ עוֹלָה, וְהַהוּא עַפְרָא לְתַקְנָא בֵּיהּ מִזְבַּח אֲדָמָה, וְדָם דִּבְרִית כְּאִלּוּ דָבַח עֲלָהּ עֲלָוָון, הֲדָא הוּא דִכְתִיב </w:t>
      </w:r>
      <w:r>
        <w:rPr>
          <w:sz w:val="20"/>
          <w:szCs w:val="23"/>
          <w:rtl/>
        </w:rPr>
        <w:t>(שמות כ כא)</w:t>
      </w:r>
      <w:r>
        <w:rPr>
          <w:rtl/>
        </w:rPr>
        <w:t xml:space="preserve"> מִזְבַּח אֲדָמָה תַּעֲשֶׂה לִּי וגו', </w:t>
      </w:r>
      <w:r>
        <w:rPr>
          <w:rStyle w:val="a7"/>
          <w:rtl/>
        </w:rPr>
        <w:footnoteReference w:id="496"/>
      </w:r>
      <w:r>
        <w:rPr>
          <w:rtl/>
        </w:rPr>
        <w:t>וְשָׁזִיב לֵיהּ בְּהַהוּא עַפְרָא מֵחִבּוּט הַקֶּבֶר, וּבְדַם מִילָה שָׁזִיב לֵיהּ מִשְּׁחִיטַת מַלְאַךְ הַמָּוְת.</w:t>
      </w:r>
    </w:p>
    <w:p w:rsidR="00D45634" w:rsidRDefault="00D45634" w:rsidP="00B17EA9">
      <w:pPr>
        <w:pStyle w:val="NormalWeb"/>
        <w:rPr>
          <w:rtl/>
        </w:rPr>
      </w:pPr>
      <w:r>
        <w:rPr>
          <w:rStyle w:val="a7"/>
          <w:rtl/>
        </w:rPr>
        <w:footnoteReference w:id="497"/>
      </w:r>
      <w:r>
        <w:rPr>
          <w:rtl/>
        </w:rPr>
        <w:t xml:space="preserve">וְאִם הַהוּא דְקַבִּיל בְּרִית אִיהוּ מַמְזֵר, הַהוּא עַפְרָא </w:t>
      </w:r>
      <w:r>
        <w:rPr>
          <w:rStyle w:val="a7"/>
          <w:rtl/>
        </w:rPr>
        <w:footnoteReference w:id="498"/>
      </w:r>
      <w:r>
        <w:rPr>
          <w:rtl/>
        </w:rPr>
        <w:t xml:space="preserve">תַּקִּין לֵיהּ לְחִוְיָא, דְאִתְּמַר בֵּיהּ </w:t>
      </w:r>
      <w:r>
        <w:rPr>
          <w:sz w:val="20"/>
          <w:szCs w:val="23"/>
          <w:rtl/>
        </w:rPr>
        <w:t>(ישעיה סה כה)</w:t>
      </w:r>
      <w:r>
        <w:rPr>
          <w:rtl/>
        </w:rPr>
        <w:t xml:space="preserve"> וְנָחָשׁ עָפָר לַחְמוֹ, </w:t>
      </w:r>
      <w:r>
        <w:rPr>
          <w:rStyle w:val="a7"/>
          <w:rtl/>
        </w:rPr>
        <w:footnoteReference w:id="499"/>
      </w:r>
      <w:r>
        <w:rPr>
          <w:rtl/>
        </w:rPr>
        <w:t xml:space="preserve">וְאִיהוּ מִן הָאֲדָמָה אֲשֶׁר אֵרַרָהּ יהו''ה </w:t>
      </w:r>
      <w:r>
        <w:rPr>
          <w:sz w:val="20"/>
          <w:szCs w:val="23"/>
          <w:rtl/>
        </w:rPr>
        <w:t>(בראשית ה כט)</w:t>
      </w:r>
      <w:r>
        <w:rPr>
          <w:szCs w:val="23"/>
          <w:rtl/>
        </w:rPr>
        <w:t xml:space="preserve">, </w:t>
      </w:r>
      <w:r>
        <w:rPr>
          <w:rStyle w:val="Char"/>
          <w:rtl/>
        </w:rPr>
        <w:t>דְּאִתְּמַר בָּהּ</w:t>
      </w:r>
      <w:r>
        <w:rPr>
          <w:szCs w:val="23"/>
          <w:rtl/>
        </w:rPr>
        <w:t xml:space="preserve"> </w:t>
      </w:r>
      <w:r>
        <w:rPr>
          <w:sz w:val="20"/>
          <w:szCs w:val="23"/>
          <w:rtl/>
        </w:rPr>
        <w:t>(שם ג יז)</w:t>
      </w:r>
      <w:r>
        <w:rPr>
          <w:rtl/>
        </w:rPr>
        <w:t xml:space="preserve"> אֲרוּרָה הָאֲדָמָה, </w:t>
      </w:r>
      <w:r>
        <w:rPr>
          <w:rStyle w:val="a7"/>
          <w:rtl/>
        </w:rPr>
        <w:footnoteReference w:id="500"/>
      </w:r>
      <w:r>
        <w:rPr>
          <w:rtl/>
        </w:rPr>
        <w:t xml:space="preserve">וְאִיהִי עַפְרָא מֵהַאי דְּאִתְּמַר בָּהּ </w:t>
      </w:r>
      <w:r>
        <w:rPr>
          <w:sz w:val="20"/>
          <w:szCs w:val="23"/>
          <w:rtl/>
        </w:rPr>
        <w:t>(שם א ב)</w:t>
      </w:r>
      <w:r>
        <w:rPr>
          <w:rtl/>
        </w:rPr>
        <w:t xml:space="preserve"> וְהָאָרֶץ הָיְתָה תֹהוּ וָבֹהוּ, דְאִתְּמַר בָהּ </w:t>
      </w:r>
      <w:r>
        <w:rPr>
          <w:sz w:val="20"/>
          <w:szCs w:val="23"/>
          <w:rtl/>
        </w:rPr>
        <w:t>(ישעיה נא ו)</w:t>
      </w:r>
      <w:r>
        <w:rPr>
          <w:rtl/>
        </w:rPr>
        <w:t xml:space="preserve"> וְהָאָרֶץ כַּבֶּגֶד תִּבְלֶה, </w:t>
      </w:r>
      <w:r>
        <w:rPr>
          <w:rStyle w:val="a7"/>
          <w:rtl/>
        </w:rPr>
        <w:footnoteReference w:id="501"/>
      </w:r>
      <w:r>
        <w:rPr>
          <w:rtl/>
        </w:rPr>
        <w:t xml:space="preserve">עִמֵּיהּ יְהֵא חוּלְקֵיהּ, </w:t>
      </w:r>
      <w:r>
        <w:rPr>
          <w:rStyle w:val="a7"/>
          <w:rtl/>
        </w:rPr>
        <w:footnoteReference w:id="502"/>
      </w:r>
      <w:r>
        <w:rPr>
          <w:rtl/>
        </w:rPr>
        <w:t xml:space="preserve">כְּאִלּוּ קָשִׁיר לֵיהּ לְמֶיעֱבַד עוֹלָה לַעֲבוֹדָה זָרָה, דְּהַהוּא בֵּן אוֹ בַּת אִינוּן </w:t>
      </w:r>
      <w:r>
        <w:rPr>
          <w:rStyle w:val="a7"/>
          <w:rtl/>
        </w:rPr>
        <w:footnoteReference w:id="503"/>
      </w:r>
      <w:r>
        <w:rPr>
          <w:rtl/>
        </w:rPr>
        <w:t xml:space="preserve">פֶּסֶל </w:t>
      </w:r>
      <w:r>
        <w:rPr>
          <w:rStyle w:val="a7"/>
          <w:rtl/>
        </w:rPr>
        <w:footnoteReference w:id="504"/>
      </w:r>
      <w:r>
        <w:rPr>
          <w:rtl/>
        </w:rPr>
        <w:t xml:space="preserve">וּמַסֵּכָה, וְעַל דָּא אִתְּמַר </w:t>
      </w:r>
      <w:r>
        <w:rPr>
          <w:sz w:val="20"/>
          <w:szCs w:val="23"/>
          <w:rtl/>
        </w:rPr>
        <w:t>(דברים כז טו)</w:t>
      </w:r>
      <w:r>
        <w:rPr>
          <w:rtl/>
        </w:rPr>
        <w:t xml:space="preserve"> </w:t>
      </w:r>
      <w:r>
        <w:rPr>
          <w:rStyle w:val="a7"/>
          <w:rtl/>
        </w:rPr>
        <w:footnoteReference w:id="505"/>
      </w:r>
      <w:r>
        <w:rPr>
          <w:rtl/>
        </w:rPr>
        <w:t xml:space="preserve">אֲשֶׁר יַעֲשֶׂה פֶסֶל וּמַסֵּכָה, </w:t>
      </w:r>
      <w:r>
        <w:rPr>
          <w:rStyle w:val="a7"/>
          <w:rtl/>
        </w:rPr>
        <w:footnoteReference w:id="506"/>
      </w:r>
      <w:r>
        <w:rPr>
          <w:rtl/>
        </w:rPr>
        <w:t xml:space="preserve">וְאִתְּמַר וְשָׂם בַּסָּתֶר, בְּסִתְרוֹ שֶׁל עוֹלָם, וְאָמַר כָּל הָעָם אָמֵן, </w:t>
      </w:r>
      <w:r>
        <w:rPr>
          <w:rStyle w:val="a7"/>
          <w:rtl/>
        </w:rPr>
        <w:footnoteReference w:id="507"/>
      </w:r>
      <w:r>
        <w:rPr>
          <w:rtl/>
        </w:rPr>
        <w:t xml:space="preserve">דְּהַהוּא בַּר מִנָּחָשׁ הַקַּדְמוֹנִי אִיהוּ, </w:t>
      </w:r>
      <w:r>
        <w:rPr>
          <w:rStyle w:val="a7"/>
          <w:rtl/>
        </w:rPr>
        <w:footnoteReference w:id="508"/>
      </w:r>
      <w:r>
        <w:rPr>
          <w:rtl/>
        </w:rPr>
        <w:t xml:space="preserve">דְּגָרִים מָוְת לְאָדָם וּלְאִתְּתֵיהּ, דְּאִתְּמַר בֵּיהּ </w:t>
      </w:r>
      <w:r>
        <w:rPr>
          <w:sz w:val="20"/>
          <w:szCs w:val="23"/>
          <w:rtl/>
        </w:rPr>
        <w:t>(בראשית ג יד)</w:t>
      </w:r>
      <w:r>
        <w:rPr>
          <w:rtl/>
        </w:rPr>
        <w:t xml:space="preserve"> אָרוּר אַתָּה מִכָּל הַבְּהֵמָה כו'.</w:t>
      </w:r>
    </w:p>
    <w:p w:rsidR="00D45634" w:rsidRDefault="00D45634" w:rsidP="00EF3849">
      <w:pPr>
        <w:pStyle w:val="2"/>
        <w:rPr>
          <w:rtl/>
        </w:rPr>
      </w:pPr>
      <w:bookmarkStart w:id="36" w:name="_Toc228095582"/>
      <w:bookmarkStart w:id="37" w:name="_Toc231638020"/>
      <w:r>
        <w:rPr>
          <w:rtl/>
        </w:rPr>
        <w:t>[תיקוני זוהר - דף יא ע''א]</w:t>
      </w:r>
      <w:bookmarkEnd w:id="36"/>
      <w:bookmarkEnd w:id="37"/>
    </w:p>
    <w:p w:rsidR="00D45634" w:rsidRDefault="00D45634" w:rsidP="00B17EA9">
      <w:pPr>
        <w:pStyle w:val="NormalWeb"/>
        <w:rPr>
          <w:rtl/>
        </w:rPr>
      </w:pPr>
      <w:r>
        <w:rPr>
          <w:rtl/>
        </w:rPr>
        <w:t xml:space="preserve">קְלִיפָה דְעָרְלָה דְּכַסִּי עַל י', אִית לָהּ תְּלַת קְלִיפֵי כְּגִלְדֵּי בְּצָלִים דָּא עַל דָּא, וְאִינוּן כְּקְלִיפִין דֶּאֱגוֹזָא, דְאִתְּמַר עֲלַיְיהוּ וְהָאָרֶץ הָיְתָה תֹהוּ, דָא קַו יָרוֹק קְלִיפָה קַדְמָאָה דֶאֱגוֹזָא, וָבֹהוּ אֲבָנִים מְפוּלָמוֹת דָּא קְלִיפָה תִּנְיָנָא דֶאֱגוֹזָא </w:t>
      </w:r>
      <w:r>
        <w:rPr>
          <w:rtl/>
        </w:rPr>
        <w:lastRenderedPageBreak/>
        <w:t xml:space="preserve">קָשֶׁה כְּאֶבֶן, וְחֹשֶׁךְ קְלִיפָה תְּלִיתָאָה, וּבְהוֹן אוּקְמוּהוּ רַבָּנָן אֵין דּוֹרְשִׁין בָּעֲרָיוֹת בִּשְׁלֹשָׁה, שָׁלֹשׁ שָׁנִים יִהְיֶה לָכֶם עֲרֵלִים </w:t>
      </w:r>
      <w:r>
        <w:rPr>
          <w:sz w:val="20"/>
          <w:szCs w:val="23"/>
          <w:rtl/>
        </w:rPr>
        <w:t>(ויקרא יט כג)</w:t>
      </w:r>
      <w:r>
        <w:rPr>
          <w:rtl/>
        </w:rPr>
        <w:t xml:space="preserve">, וְלָקֳבֵל מוֹחָא, אִיהוּ וּבַשָּׁנָה הָרְבִיעִית </w:t>
      </w:r>
      <w:r>
        <w:rPr>
          <w:sz w:val="20"/>
          <w:szCs w:val="23"/>
          <w:rtl/>
        </w:rPr>
        <w:t xml:space="preserve">(דף יא ע''א) </w:t>
      </w:r>
      <w:r>
        <w:rPr>
          <w:rtl/>
        </w:rPr>
        <w:t>יִהְיֶה כָּל פִּרְיוֹ קֹדֶשׁ הִלּוּלִים לַיהוָֹ''ה.</w:t>
      </w:r>
    </w:p>
    <w:p w:rsidR="00D45634" w:rsidRDefault="00D45634" w:rsidP="00B17EA9">
      <w:pPr>
        <w:pStyle w:val="NormalWeb"/>
        <w:rPr>
          <w:rtl/>
        </w:rPr>
      </w:pPr>
      <w:r>
        <w:rPr>
          <w:rtl/>
        </w:rPr>
        <w:t>וּבְהוֹן מִסִּטְרָא דְעָרְלָה אַרְבָּעָה נִכְנְסוּ לְפַרְדֵס, שְׁלֹשָׁה אָכְלוּ מֵאִלֵּין קְלִיפֵי וּמֵתוּ, רְבִיעָאָה אָכַל אִיבָּא וְזָרַק קְלִיפִין וְחַי, כְּגַוְונָא דָא אִתְּמַר רַבִּי מֵאִיר רִמּוֹן מָצָא, תּוֹכוֹ אָכַל קְלִיפָתוֹ זָרַק.</w:t>
      </w:r>
    </w:p>
    <w:p w:rsidR="00D45634" w:rsidRDefault="00D45634" w:rsidP="00B17EA9">
      <w:pPr>
        <w:pStyle w:val="NormalWeb"/>
        <w:rPr>
          <w:rtl/>
        </w:rPr>
      </w:pPr>
      <w:r>
        <w:rPr>
          <w:rtl/>
        </w:rPr>
        <w:t xml:space="preserve">וּכְגַוְונָא דְאִלֵּין קְלִיפִין, אִינוּן קוּשְׁיָין דְּחַפְיָין עַל הֲלָכָה, דְּאִיהִי מוֹחָא מִלְּגָאו, וְלֵית בַּר נַשׁ יָכִיל לְמֵיכַל בְּנַהֲמָא דְאוֹרַיְיתָא, </w:t>
      </w:r>
      <w:r>
        <w:rPr>
          <w:rStyle w:val="a7"/>
          <w:rtl/>
        </w:rPr>
        <w:footnoteReference w:id="509"/>
      </w:r>
      <w:r>
        <w:rPr>
          <w:rtl/>
        </w:rPr>
        <w:t xml:space="preserve">דְאִתְּמַר בָּהּ עִץ חַיִּים הִיא </w:t>
      </w:r>
      <w:r>
        <w:rPr>
          <w:sz w:val="20"/>
          <w:szCs w:val="23"/>
          <w:rtl/>
        </w:rPr>
        <w:t>(משלי ג יח)</w:t>
      </w:r>
      <w:r>
        <w:rPr>
          <w:rtl/>
        </w:rPr>
        <w:t xml:space="preserve">, עַד דְּזָרִיק קוּשְׁיָין מֵהֲלָכוֹת, וְאִית הֲלָכָה דְכָל קוּשְׁיָין דִּילָהּ אִינוּן כְּאִילָנָא, דִקְלִיפָה דִילֵיהּ וְקָנֶה דִילֵיהּ וְעִצָיו וְעַלִּין וְאִיבָּא כֻּלְּהוֹן שָׁוִין לְמֵיכַל, וַעֲלֵיהּ אִתְּמַר </w:t>
      </w:r>
      <w:r>
        <w:rPr>
          <w:sz w:val="20"/>
          <w:szCs w:val="23"/>
          <w:rtl/>
        </w:rPr>
        <w:t>(שיר ד יד)</w:t>
      </w:r>
      <w:r>
        <w:rPr>
          <w:rtl/>
        </w:rPr>
        <w:t xml:space="preserve"> נֵרְדְּ וְכַרְכּוֹם וכו', </w:t>
      </w:r>
      <w:r>
        <w:rPr>
          <w:rStyle w:val="a7"/>
          <w:rtl/>
        </w:rPr>
        <w:footnoteReference w:id="510"/>
      </w:r>
      <w:r>
        <w:rPr>
          <w:rtl/>
        </w:rPr>
        <w:t>וּבְגִין דָּא לַאו כָּל קֻשְׁיָין שָׁוִין.</w:t>
      </w:r>
    </w:p>
    <w:p w:rsidR="00D45634" w:rsidRDefault="00D45634" w:rsidP="00B17EA9">
      <w:pPr>
        <w:pStyle w:val="NormalWeb"/>
        <w:rPr>
          <w:rtl/>
        </w:rPr>
      </w:pPr>
      <w:r>
        <w:rPr>
          <w:rtl/>
        </w:rPr>
        <w:t xml:space="preserve">פִּקּוּדָא רְבִיעָאָה בְּמִלַּת בְּרֵאשִׁית, דָּא אוֹרַיְיתָא, דְאִתְּמַר בָּהּ </w:t>
      </w:r>
      <w:r>
        <w:rPr>
          <w:sz w:val="20"/>
          <w:szCs w:val="23"/>
          <w:rtl/>
        </w:rPr>
        <w:t>(משלי ח כב)</w:t>
      </w:r>
      <w:r>
        <w:rPr>
          <w:rtl/>
        </w:rPr>
        <w:t xml:space="preserve"> יהו''ה קָנָנִי רֵאשִׁית דַּרְכּוֹ, וְדָא שְׁכִינְתָּא תַּתָּאָה, דְאִיהִי </w:t>
      </w:r>
      <w:r>
        <w:rPr>
          <w:rStyle w:val="a7"/>
          <w:rtl/>
        </w:rPr>
        <w:footnoteReference w:id="511"/>
      </w:r>
      <w:r>
        <w:rPr>
          <w:rtl/>
        </w:rPr>
        <w:t xml:space="preserve">רֵאשִׁית לְנִבְרָאִים, וְאִיהִי אַחֲרִית לְחָכְמָה עִלָּאָה, וּבְגִינָהּ אִתְּמַר </w:t>
      </w:r>
      <w:r>
        <w:rPr>
          <w:sz w:val="20"/>
          <w:szCs w:val="23"/>
          <w:rtl/>
        </w:rPr>
        <w:t>(ישעיה מו י)</w:t>
      </w:r>
      <w:r>
        <w:rPr>
          <w:rtl/>
        </w:rPr>
        <w:t xml:space="preserve"> </w:t>
      </w:r>
      <w:r>
        <w:rPr>
          <w:rStyle w:val="a7"/>
          <w:rtl/>
        </w:rPr>
        <w:footnoteReference w:id="512"/>
      </w:r>
      <w:r>
        <w:rPr>
          <w:rtl/>
        </w:rPr>
        <w:t>מַגִּיד מֵרֵאשִׁית אַחֲרִית.</w:t>
      </w:r>
    </w:p>
    <w:p w:rsidR="00D45634" w:rsidRDefault="00D45634" w:rsidP="00B17EA9">
      <w:pPr>
        <w:pStyle w:val="NormalWeb"/>
        <w:rPr>
          <w:rtl/>
        </w:rPr>
      </w:pPr>
      <w:r>
        <w:rPr>
          <w:rStyle w:val="a7"/>
          <w:rtl/>
        </w:rPr>
        <w:footnoteReference w:id="513"/>
      </w:r>
      <w:r>
        <w:rPr>
          <w:rtl/>
        </w:rPr>
        <w:t xml:space="preserve">כַּד אִתְנְטִילַת מִכֶּתֶר אִתְקְרִיאַת </w:t>
      </w:r>
      <w:r>
        <w:rPr>
          <w:rStyle w:val="a7"/>
          <w:rtl/>
        </w:rPr>
        <w:footnoteReference w:id="514"/>
      </w:r>
      <w:r>
        <w:rPr>
          <w:rtl/>
        </w:rPr>
        <w:t>עֲטֶרֶת תִּפְאֶרֶת, עֲטָרָה בְּרֹאשׁ כָּל צַדִּיק, תַּגָּא דְסֵפֶר תּוֹרָה, וּבְגִינָהּ אִתְּמַר כָּל הַמִּשְׁתַּמֵּשׁ בְּתַגָּא חֲלָף, כַּד אִתְנְטִילַת מֵהַאי חָכְמָה עִלָּאָה דְאִיהִי רֵאשִׁית, אִתְקְרִיאַת עַל שְׁמָהּ, וְכַד אִתְנְטִילַת מִבִּינָהּ אִתְקְרִיאַת עַל שְׁמָהּ תְּבוּנָה.</w:t>
      </w:r>
    </w:p>
    <w:p w:rsidR="00D45634" w:rsidRDefault="00D45634" w:rsidP="00B17EA9">
      <w:pPr>
        <w:pStyle w:val="NormalWeb"/>
        <w:rPr>
          <w:rtl/>
        </w:rPr>
      </w:pPr>
      <w:r>
        <w:rPr>
          <w:rtl/>
        </w:rPr>
        <w:t xml:space="preserve">וְכַד אִתְנְטִילַת מֵחֶסֶד, אִתְקְרִיאַת תּוֹרָה שֶׁבִּכְתָב דְּאִיתְיְהִיבַת מִימִינָא, דִכְתִיב </w:t>
      </w:r>
      <w:r>
        <w:rPr>
          <w:sz w:val="20"/>
          <w:szCs w:val="23"/>
          <w:rtl/>
        </w:rPr>
        <w:t>(דברים לג יב)</w:t>
      </w:r>
      <w:r>
        <w:rPr>
          <w:rtl/>
        </w:rPr>
        <w:t xml:space="preserve"> מִימִינוֹ אֵשׁ דָּת לָמוֹ, וְכַד אִתְנְטִילַת מִגְּבוּרָה אִתְקְרִיאַת תּוֹרָה שֶׁבְּעַל פֶּה, דְּהָכִי אוּקְמוּהוּ מָארֵי מַתְנִיתִין, תּוֹרָה שֶׁבְּעַל פֶּה מִפִּי הַגְּבוּרָה נִיתְּנָה, </w:t>
      </w:r>
      <w:r>
        <w:rPr>
          <w:rStyle w:val="a7"/>
          <w:rtl/>
        </w:rPr>
        <w:footnoteReference w:id="515"/>
      </w:r>
      <w:r>
        <w:rPr>
          <w:rtl/>
        </w:rPr>
        <w:t>ותַּמָּן גִּבּוֹרִים עוֹמְדִים בַּפֶּרֶץ, וְלָא יָכִיל לְמֵיקַם בָּהּ אֶלָּא גִבּוֹר בְּמִלְחַמְתָּהּ שֶׁל תּוֹרָה, גִּבּוֹר בְּיִצְרוֹ.</w:t>
      </w:r>
    </w:p>
    <w:p w:rsidR="00D45634" w:rsidRDefault="00D45634" w:rsidP="00B17EA9">
      <w:pPr>
        <w:pStyle w:val="NormalWeb"/>
        <w:rPr>
          <w:rtl/>
        </w:rPr>
      </w:pPr>
      <w:r>
        <w:rPr>
          <w:rtl/>
        </w:rPr>
        <w:t xml:space="preserve">וּבְיוֹמָא תְּלִיתָאָה נְחִיתַת לְעַמּוּדָא דְאֶמְצָעִיתָא </w:t>
      </w:r>
      <w:r>
        <w:rPr>
          <w:rStyle w:val="a7"/>
          <w:rtl/>
        </w:rPr>
        <w:footnoteReference w:id="516"/>
      </w:r>
      <w:r>
        <w:rPr>
          <w:rtl/>
        </w:rPr>
        <w:t xml:space="preserve">עַל יְדֵי דְמֹשֶׁה, הֲדָא הוּא דִכְתִיב </w:t>
      </w:r>
      <w:r>
        <w:rPr>
          <w:sz w:val="20"/>
          <w:szCs w:val="23"/>
          <w:rtl/>
        </w:rPr>
        <w:t>(שמות יט טז)</w:t>
      </w:r>
      <w:r>
        <w:rPr>
          <w:rtl/>
        </w:rPr>
        <w:t xml:space="preserve"> וַיְהִי בַיּוֹם הַשְּׁלִישִׁי בִּהְיוֹת הַבֹּקֶר, בִּתְרֵי לוּחֵי אַבְנִין, נֶצַח וָהוֹד, הֲדָא הוּא דִכְתִיב </w:t>
      </w:r>
      <w:r>
        <w:rPr>
          <w:sz w:val="20"/>
          <w:szCs w:val="23"/>
          <w:rtl/>
        </w:rPr>
        <w:t>(שם לב טז)</w:t>
      </w:r>
      <w:r>
        <w:rPr>
          <w:rtl/>
        </w:rPr>
        <w:t xml:space="preserve"> כְּתוּבִים מִשְּׁנֵי עֶבְרֵיהֶם, וְאִינוּן תְּרֵין נְבִיאֵי קְשׁוֹט, </w:t>
      </w:r>
      <w:r>
        <w:rPr>
          <w:rStyle w:val="a7"/>
          <w:rtl/>
        </w:rPr>
        <w:footnoteReference w:id="517"/>
      </w:r>
      <w:r>
        <w:rPr>
          <w:rtl/>
        </w:rPr>
        <w:t xml:space="preserve">וּמִסִּטְרָא דְעַמּוּדָא דְאֶמְצָעִיתָא אִתְקְרִיאוּ נְבִיאֵי הָאֱמֶת, </w:t>
      </w:r>
      <w:r>
        <w:rPr>
          <w:rStyle w:val="a7"/>
          <w:rtl/>
        </w:rPr>
        <w:footnoteReference w:id="518"/>
      </w:r>
      <w:r>
        <w:rPr>
          <w:rtl/>
        </w:rPr>
        <w:t xml:space="preserve">וּשְׁכִינְתָּא תּוֹרַת אֱמֶת, הֲדָא הוּא דִכְתִיב </w:t>
      </w:r>
      <w:r>
        <w:rPr>
          <w:sz w:val="20"/>
          <w:szCs w:val="23"/>
          <w:rtl/>
        </w:rPr>
        <w:t>(מלאכי ב ו)</w:t>
      </w:r>
      <w:r>
        <w:rPr>
          <w:rtl/>
        </w:rPr>
        <w:t xml:space="preserve"> תּוֹרַת אֱמֶת הָיְתָה בְּפִיהוּ, </w:t>
      </w:r>
      <w:r>
        <w:rPr>
          <w:rStyle w:val="a7"/>
          <w:rtl/>
        </w:rPr>
        <w:footnoteReference w:id="519"/>
      </w:r>
      <w:r>
        <w:rPr>
          <w:rtl/>
        </w:rPr>
        <w:t>וְאִתְקְרִיאַת מַרְאֵה דִנְבוּאָה, וְרוּחַ הַקֹּדֶשׁ מִסִּטְרָא דְתַרְוַיְיהוּ.</w:t>
      </w:r>
    </w:p>
    <w:p w:rsidR="00D45634" w:rsidRDefault="00D45634" w:rsidP="00B17EA9">
      <w:pPr>
        <w:pStyle w:val="NormalWeb"/>
        <w:rPr>
          <w:rtl/>
        </w:rPr>
      </w:pPr>
      <w:r>
        <w:rPr>
          <w:rStyle w:val="a7"/>
          <w:rtl/>
        </w:rPr>
        <w:footnoteReference w:id="520"/>
      </w:r>
      <w:r>
        <w:rPr>
          <w:rtl/>
        </w:rPr>
        <w:t xml:space="preserve">וּבְיוֹם הַשְּׁבִיעִי נִתְּנָה, דָּא </w:t>
      </w:r>
      <w:r>
        <w:rPr>
          <w:sz w:val="20"/>
          <w:szCs w:val="23"/>
          <w:rtl/>
        </w:rPr>
        <w:t>(משלי י כה)</w:t>
      </w:r>
      <w:r>
        <w:rPr>
          <w:rtl/>
        </w:rPr>
        <w:t xml:space="preserve"> צַדִּיק יְסוֹד עוֹלָם, </w:t>
      </w:r>
      <w:r>
        <w:rPr>
          <w:rStyle w:val="a7"/>
          <w:rtl/>
        </w:rPr>
        <w:footnoteReference w:id="521"/>
      </w:r>
      <w:r>
        <w:rPr>
          <w:rtl/>
        </w:rPr>
        <w:t xml:space="preserve">וּבְדַרְגָּא דִילֵיהּ מַלְכוּת מַלִּיל עִמְּהוֹן, </w:t>
      </w:r>
      <w:r>
        <w:rPr>
          <w:rStyle w:val="a7"/>
          <w:rtl/>
        </w:rPr>
        <w:footnoteReference w:id="522"/>
      </w:r>
      <w:r>
        <w:rPr>
          <w:rtl/>
        </w:rPr>
        <w:t xml:space="preserve">וְהָא אוּקְמוּהוּ, </w:t>
      </w:r>
      <w:r>
        <w:rPr>
          <w:rStyle w:val="a7"/>
          <w:rtl/>
        </w:rPr>
        <w:footnoteReference w:id="523"/>
      </w:r>
      <w:r>
        <w:rPr>
          <w:rtl/>
        </w:rPr>
        <w:t xml:space="preserve">לַעֲשַׂר מַלְכִין שֶׁמָּא לֹא יוּכְלוּ לְדַבֵּר עַל פֶּה אֶחָד, נָגַע בְּבַת, וְכָלַל בָּהּ כָּל הָעֶשֶׂר, </w:t>
      </w:r>
      <w:r>
        <w:rPr>
          <w:rStyle w:val="a7"/>
          <w:rtl/>
        </w:rPr>
        <w:footnoteReference w:id="524"/>
      </w:r>
      <w:r>
        <w:rPr>
          <w:rtl/>
        </w:rPr>
        <w:t xml:space="preserve">וְדָא י' בַּ''ת אַחַת, </w:t>
      </w:r>
      <w:r>
        <w:rPr>
          <w:rStyle w:val="a7"/>
          <w:rtl/>
        </w:rPr>
        <w:lastRenderedPageBreak/>
        <w:footnoteReference w:id="525"/>
      </w:r>
      <w:r>
        <w:rPr>
          <w:rtl/>
        </w:rPr>
        <w:t xml:space="preserve">תְּחוֹת ה' מִן אֱלֹהִי''ם, י' מִן אדנ''י, י' מִן שד''י, כְּלִילָא מִכָּל כִּנּוּיָין, וּמִכָּל הֲוַיָּין, </w:t>
      </w:r>
      <w:r>
        <w:rPr>
          <w:rStyle w:val="a7"/>
          <w:rtl/>
        </w:rPr>
        <w:footnoteReference w:id="526"/>
      </w:r>
      <w:r>
        <w:rPr>
          <w:rtl/>
        </w:rPr>
        <w:t>כְּגוֹן הוה''י, אוֹ כְּוָותֵיהּ, דִּיְהֵא י' תְּחוֹת ה', בְּכָל שֵׁם דְּכִינוּי וַהֲוַיָּה אִיהִי נוּקְבָא.</w:t>
      </w:r>
    </w:p>
    <w:p w:rsidR="00D45634" w:rsidRDefault="00D45634" w:rsidP="00B17EA9">
      <w:pPr>
        <w:pStyle w:val="NormalWeb"/>
        <w:rPr>
          <w:rtl/>
        </w:rPr>
      </w:pPr>
      <w:r>
        <w:rPr>
          <w:rStyle w:val="a7"/>
          <w:rtl/>
        </w:rPr>
        <w:footnoteReference w:id="527"/>
      </w:r>
      <w:r>
        <w:rPr>
          <w:rtl/>
        </w:rPr>
        <w:t xml:space="preserve">וּבְגִין דְּאוֹרַיְיתָא מִינָהּ אִתְיְהִיבַת, אָמַר לְמֹשֶׁה </w:t>
      </w:r>
      <w:r>
        <w:rPr>
          <w:sz w:val="20"/>
          <w:szCs w:val="23"/>
          <w:rtl/>
        </w:rPr>
        <w:t>(שמות לג כג)</w:t>
      </w:r>
      <w:r>
        <w:rPr>
          <w:rtl/>
        </w:rPr>
        <w:t xml:space="preserve"> וְרָאִיתָ אֶת אֲחוֹרָי כו', דְּלֵית נָבִיא וְחָכָם יָכִיל לְעַאָלָא לְעִילָא פָּחוּת מִן דָּא, </w:t>
      </w:r>
      <w:r>
        <w:rPr>
          <w:rStyle w:val="a7"/>
          <w:rtl/>
        </w:rPr>
        <w:footnoteReference w:id="528"/>
      </w:r>
      <w:r>
        <w:rPr>
          <w:rtl/>
        </w:rPr>
        <w:t xml:space="preserve">וּבְגִין דָּא אִתְקְרִיאַת מַפְתֵּחוֹת הַחִיצוֹנִיִּים אַנְפִּין דִּילָהּ, וְאַנְפִּין דִּלְגָאו מַפְתֵּחוֹת הַפְּנִימִיִּים, וְהָא אִתְּמַר לְעִיל, דְּאִם בַּר נַשׁ לֵית בִּידוֹי מַפְתֵּחוֹת הַחִיצוֹנִיִּים בְּמַאי יֵיעוּל, וּבְגִין דָּא אִתְּמַר בָּהּ </w:t>
      </w:r>
      <w:r>
        <w:rPr>
          <w:sz w:val="20"/>
          <w:szCs w:val="23"/>
          <w:rtl/>
        </w:rPr>
        <w:t>(תהלים קיח כ)</w:t>
      </w:r>
      <w:r>
        <w:rPr>
          <w:rtl/>
        </w:rPr>
        <w:t>, זֶה הַשַּׁעַר לַיהוָֹ''ה.</w:t>
      </w:r>
    </w:p>
    <w:p w:rsidR="00D45634" w:rsidRDefault="00D45634" w:rsidP="00B17EA9">
      <w:pPr>
        <w:pStyle w:val="NormalWeb"/>
        <w:rPr>
          <w:rtl/>
        </w:rPr>
      </w:pPr>
      <w:r>
        <w:rPr>
          <w:rtl/>
        </w:rPr>
        <w:t xml:space="preserve">וּבְגִין דְּלֵית הַשָּׂגָה </w:t>
      </w:r>
      <w:r>
        <w:rPr>
          <w:rStyle w:val="a7"/>
          <w:rtl/>
        </w:rPr>
        <w:footnoteReference w:id="529"/>
      </w:r>
      <w:r>
        <w:rPr>
          <w:rtl/>
        </w:rPr>
        <w:t xml:space="preserve">לְנָבִיא וְחוֹזֶה וְחָכָם פָּחוּת מִינָהּ, אָמַר הַנָּבִיא </w:t>
      </w:r>
      <w:r>
        <w:rPr>
          <w:sz w:val="20"/>
          <w:szCs w:val="23"/>
          <w:rtl/>
        </w:rPr>
        <w:t>(ירמיהו ט כב)</w:t>
      </w:r>
      <w:r>
        <w:rPr>
          <w:rtl/>
        </w:rPr>
        <w:t xml:space="preserve"> כֹּה אָמַר יהו''ה אַל יִתְהַלֵּל חָכָם בְּחָכְמָתוֹ כו', כִּי אִם בְּזֹאת יִתְהַלֵּל כו', וְיָדוֹעַ אוֹתִי, וּבְגִין דָּא יַעֲקֹב אוֹלִיף לָהּ לִבְנוֹי, </w:t>
      </w:r>
      <w:r>
        <w:rPr>
          <w:rStyle w:val="a7"/>
          <w:rtl/>
        </w:rPr>
        <w:footnoteReference w:id="530"/>
      </w:r>
      <w:r>
        <w:rPr>
          <w:rtl/>
        </w:rPr>
        <w:t xml:space="preserve">וְיָהִיב לוֹן קַבָּלָה מִינָהּ, הֲדָא הוּא דִכְתִיב </w:t>
      </w:r>
      <w:r>
        <w:rPr>
          <w:sz w:val="20"/>
          <w:szCs w:val="23"/>
          <w:rtl/>
        </w:rPr>
        <w:t>(בראשית מט כח)</w:t>
      </w:r>
      <w:r>
        <w:rPr>
          <w:rtl/>
        </w:rPr>
        <w:t xml:space="preserve"> וְזֹאת אֲשֶׁר דִּבֶּר לָהֶם אֲבִיהֶם, וְדָוִד דַּהֲוָה לֵיהּ קַבָּלָה מִינָהּ, אָמַר לְגַבָּהּ </w:t>
      </w:r>
      <w:r>
        <w:rPr>
          <w:sz w:val="20"/>
          <w:szCs w:val="23"/>
          <w:rtl/>
        </w:rPr>
        <w:t>(תהלים כז ג)</w:t>
      </w:r>
      <w:r>
        <w:rPr>
          <w:rtl/>
        </w:rPr>
        <w:t xml:space="preserve"> אִם תַּחֲנֶה עָלַי מַחֲנֶה כו', רָמִיז לָהּ בְּהַאי תַּגָּא, וְסָלִיק מַחֲשַׁבְתֵּיהּ לְגַבָּהּ, וְאָמַר לֹא יִירָא לִבִּי כו'.</w:t>
      </w:r>
    </w:p>
    <w:p w:rsidR="00D45634" w:rsidRDefault="00D45634" w:rsidP="00EF3849">
      <w:pPr>
        <w:pStyle w:val="2"/>
        <w:rPr>
          <w:rtl/>
        </w:rPr>
      </w:pPr>
      <w:bookmarkStart w:id="38" w:name="_Toc228095583"/>
      <w:bookmarkStart w:id="39" w:name="_Toc231638021"/>
      <w:r>
        <w:rPr>
          <w:rtl/>
        </w:rPr>
        <w:t>[תיקוני זוהר - דף יא ע''ב]</w:t>
      </w:r>
      <w:bookmarkEnd w:id="38"/>
      <w:bookmarkEnd w:id="39"/>
    </w:p>
    <w:p w:rsidR="00D45634" w:rsidRDefault="00D45634" w:rsidP="00B17EA9">
      <w:pPr>
        <w:pStyle w:val="NormalWeb"/>
        <w:rPr>
          <w:rtl/>
        </w:rPr>
      </w:pPr>
      <w:r>
        <w:rPr>
          <w:rtl/>
        </w:rPr>
        <w:t xml:space="preserve">וְאַהֲרֹן דַּהֲוָה לֵיהּ קַבָּלָה מִינָהּ, לָא הֲוָה עָאל לִפְנַי וְלִפְנִים פָּחוּת מִינָהּ, הֲדָא הוּא דִכְתִיב </w:t>
      </w:r>
      <w:r>
        <w:rPr>
          <w:sz w:val="20"/>
          <w:szCs w:val="23"/>
          <w:rtl/>
        </w:rPr>
        <w:t>(ויקרא טז ג)</w:t>
      </w:r>
      <w:r>
        <w:rPr>
          <w:rtl/>
        </w:rPr>
        <w:t xml:space="preserve"> בְּזֹאת יָבֹא אַהֲרֹן אֶל הַקֹּדֶשׁ, דַּהֲוָה יָדַע דְּאִיהִי עִקָּרָא דְכֹלָּא, דְּאִיהִי קָרְבָּן לַיהוָֹ''ה, </w:t>
      </w:r>
      <w:r>
        <w:rPr>
          <w:sz w:val="20"/>
          <w:szCs w:val="23"/>
          <w:rtl/>
        </w:rPr>
        <w:t xml:space="preserve">(דף יא ע''ב) </w:t>
      </w:r>
      <w:r>
        <w:rPr>
          <w:rtl/>
        </w:rPr>
        <w:t>עוֹלָה לַיהוָֹ''ה, אִשֶּׁה לַיהוָֹ''ה.</w:t>
      </w:r>
    </w:p>
    <w:p w:rsidR="00D45634" w:rsidRDefault="00D45634" w:rsidP="00EF3849">
      <w:pPr>
        <w:pStyle w:val="2"/>
        <w:rPr>
          <w:rtl/>
        </w:rPr>
      </w:pPr>
      <w:r>
        <w:rPr>
          <w:rtl/>
        </w:rPr>
        <w:t>[תיקוני זוהר - המשך דף לט ע"א (תיקון יט)]</w:t>
      </w:r>
    </w:p>
    <w:p w:rsidR="00D45634" w:rsidRDefault="00D45634" w:rsidP="00B17EA9">
      <w:pPr>
        <w:pStyle w:val="NormalWeb"/>
        <w:rPr>
          <w:rtl/>
        </w:rPr>
      </w:pPr>
      <w:r>
        <w:rPr>
          <w:sz w:val="20"/>
          <w:szCs w:val="23"/>
          <w:rtl/>
        </w:rPr>
        <w:t>(המשך דף לט ע"א)</w:t>
      </w:r>
      <w:r>
        <w:rPr>
          <w:rtl/>
        </w:rPr>
        <w:t xml:space="preserve"> </w:t>
      </w:r>
      <w:r>
        <w:rPr>
          <w:rStyle w:val="a7"/>
          <w:rtl/>
        </w:rPr>
        <w:footnoteReference w:id="531"/>
      </w:r>
      <w:r>
        <w:rPr>
          <w:rtl/>
        </w:rPr>
        <w:t xml:space="preserve">בְּזֹאת יָבֹא אַהֲרֹן אֶל הַקֹּדֶשׁ </w:t>
      </w:r>
      <w:r>
        <w:rPr>
          <w:sz w:val="20"/>
          <w:szCs w:val="23"/>
          <w:rtl/>
        </w:rPr>
        <w:t>(ויקרא טז ג)</w:t>
      </w:r>
      <w:r>
        <w:rPr>
          <w:rtl/>
        </w:rPr>
        <w:t xml:space="preserve">, </w:t>
      </w:r>
      <w:r>
        <w:rPr>
          <w:rStyle w:val="a7"/>
          <w:rtl/>
        </w:rPr>
        <w:footnoteReference w:id="532"/>
      </w:r>
      <w:r>
        <w:rPr>
          <w:rtl/>
        </w:rPr>
        <w:t xml:space="preserve">תָּא חֲזִי אֵין אָדָם מֵפִיק רְצוֹנוֹ מֵיהו''ה אֶלָּא בְזֹאת, </w:t>
      </w:r>
      <w:r>
        <w:rPr>
          <w:rStyle w:val="a7"/>
          <w:rtl/>
        </w:rPr>
        <w:footnoteReference w:id="533"/>
      </w:r>
      <w:r>
        <w:rPr>
          <w:rtl/>
        </w:rPr>
        <w:t xml:space="preserve">דַּעֲלָהּ אִתְּמַר </w:t>
      </w:r>
      <w:r>
        <w:rPr>
          <w:sz w:val="20"/>
          <w:szCs w:val="23"/>
          <w:rtl/>
        </w:rPr>
        <w:t>(משלי יח כב)</w:t>
      </w:r>
      <w:r>
        <w:rPr>
          <w:rtl/>
        </w:rPr>
        <w:t xml:space="preserve"> מָצָא אִשָּׁה מָצָא טוֹב וַיָּפֶק רָצוֹן מֵיהו''ה, </w:t>
      </w:r>
      <w:r>
        <w:rPr>
          <w:rStyle w:val="a7"/>
          <w:rtl/>
        </w:rPr>
        <w:footnoteReference w:id="534"/>
      </w:r>
      <w:r>
        <w:rPr>
          <w:rStyle w:val="a7"/>
          <w:rtl/>
        </w:rPr>
        <w:footnoteReference w:id="535"/>
      </w:r>
      <w:r>
        <w:rPr>
          <w:rtl/>
        </w:rPr>
        <w:t xml:space="preserve">וְדָא הִיא עִת לַעֲשׂוֹת לַיהו''ה </w:t>
      </w:r>
      <w:r>
        <w:rPr>
          <w:sz w:val="20"/>
          <w:szCs w:val="23"/>
          <w:rtl/>
        </w:rPr>
        <w:t>(תהלים קיט קכו)</w:t>
      </w:r>
      <w:r>
        <w:rPr>
          <w:rtl/>
        </w:rPr>
        <w:t xml:space="preserve">, </w:t>
      </w:r>
      <w:r>
        <w:rPr>
          <w:rStyle w:val="a7"/>
          <w:rtl/>
        </w:rPr>
        <w:footnoteReference w:id="536"/>
      </w:r>
      <w:r>
        <w:rPr>
          <w:rtl/>
        </w:rPr>
        <w:t xml:space="preserve">וְכַמָּה עִתּוֹת יֵשׁ, וַעֲלַיְיהוּ אִתְּמַר </w:t>
      </w:r>
      <w:r>
        <w:rPr>
          <w:sz w:val="20"/>
          <w:szCs w:val="23"/>
          <w:rtl/>
        </w:rPr>
        <w:t>(ויקרא טז ב)</w:t>
      </w:r>
      <w:r>
        <w:rPr>
          <w:rtl/>
        </w:rPr>
        <w:t xml:space="preserve"> וְאַל יָבֹא בְכָל עִת, </w:t>
      </w:r>
      <w:r>
        <w:rPr>
          <w:rStyle w:val="a7"/>
          <w:rtl/>
        </w:rPr>
        <w:footnoteReference w:id="537"/>
      </w:r>
      <w:r>
        <w:rPr>
          <w:rtl/>
        </w:rPr>
        <w:t xml:space="preserve">וּשְׁלֹמֹה אָמַר </w:t>
      </w:r>
      <w:r>
        <w:rPr>
          <w:sz w:val="20"/>
          <w:szCs w:val="23"/>
          <w:rtl/>
        </w:rPr>
        <w:t>(קהלת ג ד)</w:t>
      </w:r>
      <w:r>
        <w:rPr>
          <w:rtl/>
        </w:rPr>
        <w:t xml:space="preserve"> עִת לִשְׂחוֹק וכו', דְּאִינוּן כ''ח עִת, וְעַל דָּא קוּדְשָׁא בְּרִיךְ הוּא אָמַר וְאַל יָבֹא בְכָל עִת אֶל הַקֹּדֶשׁ, </w:t>
      </w:r>
      <w:r>
        <w:rPr>
          <w:rStyle w:val="a7"/>
          <w:rtl/>
        </w:rPr>
        <w:footnoteReference w:id="538"/>
      </w:r>
      <w:r>
        <w:rPr>
          <w:rtl/>
        </w:rPr>
        <w:t>דְּאִיהוּ קֹדֶשׁ יִשְׂרָאֵל לַיהו''ה.</w:t>
      </w:r>
    </w:p>
    <w:p w:rsidR="00D45634" w:rsidRDefault="00D45634" w:rsidP="00B17EA9">
      <w:pPr>
        <w:pStyle w:val="NormalWeb"/>
        <w:rPr>
          <w:rtl/>
        </w:rPr>
      </w:pPr>
      <w:r>
        <w:rPr>
          <w:rtl/>
        </w:rPr>
        <w:lastRenderedPageBreak/>
        <w:t xml:space="preserve">וְכַד שְׁכִינְתָּא דְאִתְקְרִיאַת זֹאת עִם יִשְׂרָאֵל, כְּמָה דְאַתְּ אָמַר </w:t>
      </w:r>
      <w:r>
        <w:rPr>
          <w:sz w:val="20"/>
          <w:szCs w:val="23"/>
          <w:rtl/>
        </w:rPr>
        <w:t>(ויקרא כו מד)</w:t>
      </w:r>
      <w:r>
        <w:rPr>
          <w:rtl/>
        </w:rPr>
        <w:t xml:space="preserve"> וְאַף גַּם זֹאת בִּהְיוֹתָם וכו', </w:t>
      </w:r>
      <w:r>
        <w:rPr>
          <w:rStyle w:val="a7"/>
          <w:rtl/>
        </w:rPr>
        <w:footnoteReference w:id="539"/>
      </w:r>
      <w:r>
        <w:rPr>
          <w:rtl/>
        </w:rPr>
        <w:t xml:space="preserve">מַאי אִינוּן אָמְרִין לָהּ </w:t>
      </w:r>
      <w:r>
        <w:rPr>
          <w:sz w:val="20"/>
          <w:szCs w:val="23"/>
          <w:rtl/>
        </w:rPr>
        <w:t>(שיר ו א)</w:t>
      </w:r>
      <w:r>
        <w:rPr>
          <w:rtl/>
        </w:rPr>
        <w:t xml:space="preserve"> אָנָה הָלַךְ דּוֹדֵךְ הַיָּפָה בַּנָּשִׁים, אָנָה פָּנָה דוֹדֵךְ וּנְבַקְשֶׁנּוּ עִמָּךְ, בְּכַמָּה תַחֲנוּנִים וּצְלוֹתִין, בַּצִּיצִית וּבִתְפִלִּין, בְּשַׁבָּתוֹת וּבְיוֹמִין טָבִין, דַּעֲלַיְיהוּ אִתְּמַר </w:t>
      </w:r>
      <w:r>
        <w:rPr>
          <w:sz w:val="20"/>
          <w:szCs w:val="23"/>
          <w:rtl/>
        </w:rPr>
        <w:t>(שמות לא יז)</w:t>
      </w:r>
      <w:r>
        <w:rPr>
          <w:rtl/>
        </w:rPr>
        <w:t xml:space="preserve"> בֵּינִי וּבֵין בְּנֵי יִשְׂרָאֵל אוֹת הִיא לְעוֹלָם, אוֹת בְּרִית מִילָה, אוֹת דְּשַׁבָּת וְיֹמִין טָבִין, וְאוֹת דִּתְּפִלִּין.</w:t>
      </w:r>
    </w:p>
    <w:p w:rsidR="00D45634" w:rsidRDefault="00D45634" w:rsidP="00EF3849">
      <w:pPr>
        <w:pStyle w:val="2"/>
        <w:rPr>
          <w:rtl/>
        </w:rPr>
      </w:pPr>
      <w:r>
        <w:rPr>
          <w:rtl/>
        </w:rPr>
        <w:t>[תיקוני זוהר - דף לט ע''ב]</w:t>
      </w:r>
    </w:p>
    <w:p w:rsidR="00D45634" w:rsidRDefault="00D45634" w:rsidP="00B17EA9">
      <w:pPr>
        <w:pStyle w:val="NormalWeb"/>
        <w:rPr>
          <w:rtl/>
        </w:rPr>
      </w:pPr>
      <w:r>
        <w:rPr>
          <w:rtl/>
        </w:rPr>
        <w:t xml:space="preserve">עֲלָהּ אִתְּמַר </w:t>
      </w:r>
      <w:r>
        <w:rPr>
          <w:sz w:val="20"/>
          <w:szCs w:val="23"/>
          <w:rtl/>
        </w:rPr>
        <w:t>(תהלים לב ו)</w:t>
      </w:r>
      <w:r>
        <w:rPr>
          <w:rtl/>
        </w:rPr>
        <w:t xml:space="preserve"> עַל זֹאת יִתְפַּלֵּל כָּל חָסִיד אֵלֶיךָ לְעִת מְצֹא, מָצָא אִשָּׁה מָצָא טוֹב וַיָּפֶק רָצוֹן מֵיהו''ה </w:t>
      </w:r>
      <w:r>
        <w:rPr>
          <w:sz w:val="20"/>
          <w:szCs w:val="23"/>
          <w:rtl/>
        </w:rPr>
        <w:t>(משלי יח כב)</w:t>
      </w:r>
      <w:r>
        <w:rPr>
          <w:rtl/>
        </w:rPr>
        <w:t xml:space="preserve">, וְיַעֲקֹב בָּרֵיךְ לִבְנוֹי בְּזֹאת, הֲדָא הוּא דִכְתִיב </w:t>
      </w:r>
      <w:r>
        <w:rPr>
          <w:sz w:val="20"/>
          <w:szCs w:val="23"/>
          <w:rtl/>
        </w:rPr>
        <w:t>(בראשית מט כח)</w:t>
      </w:r>
      <w:r>
        <w:rPr>
          <w:rtl/>
        </w:rPr>
        <w:t xml:space="preserve"> וְזֹאת אֲשֶׁר דִּבֶּר לָהֶם אֲבִיהֶם, וְדָוִד בְּזֹאת הֵפִיק רְצוֹנוֹ מֵיהו''ה כְּשֶׁנִּלְחַם עִם אוֹיְבָיו, כְּמָה דְאַתְּ אָמַר </w:t>
      </w:r>
      <w:r>
        <w:rPr>
          <w:sz w:val="20"/>
          <w:szCs w:val="23"/>
          <w:rtl/>
        </w:rPr>
        <w:t>(תהלים כז ג)</w:t>
      </w:r>
      <w:r>
        <w:rPr>
          <w:rtl/>
        </w:rPr>
        <w:t xml:space="preserve"> אִם תַּחֲנֶה עָלַי מַחֲנֶה וכו', בְּזֹאת אֲנִי בוֹטֵחַ, וְהַנָּבִיא כְּשֶׁרָאָה אֶת יִשְׂרָאֵל בַּגָּלוּת, לֹא רָאָה לָהֶם מְנוּחָה אֶלָּא בַעֲבוּר זֹאת, וּפוּרְקָנָא דְיִשְׂרָאֵל לָא יֵיתֵי אֶלָּא בְזֹאת, </w:t>
      </w:r>
      <w:r>
        <w:rPr>
          <w:sz w:val="20"/>
          <w:szCs w:val="23"/>
          <w:rtl/>
        </w:rPr>
        <w:t>(דף לט ע"ב)</w:t>
      </w:r>
      <w:r>
        <w:rPr>
          <w:rtl/>
        </w:rPr>
        <w:t xml:space="preserve"> הֲדָא הוּא דִכְתִיב </w:t>
      </w:r>
      <w:r>
        <w:rPr>
          <w:sz w:val="20"/>
          <w:szCs w:val="23"/>
          <w:rtl/>
        </w:rPr>
        <w:t>(איכה ג כא)</w:t>
      </w:r>
      <w:r>
        <w:rPr>
          <w:rtl/>
        </w:rPr>
        <w:t xml:space="preserve"> זֹאת אָשִׁיב אֶל לִבִּי עַל כֵּן אוֹחִיל, וִיהוּדָה לָא אִתְבָּרֵיךְ אֶלָּא בְזֹאת, הֲדָא הוּא דִכְתִיב </w:t>
      </w:r>
      <w:r>
        <w:rPr>
          <w:sz w:val="20"/>
          <w:szCs w:val="23"/>
          <w:rtl/>
        </w:rPr>
        <w:t>(דברים לג ז)</w:t>
      </w:r>
      <w:r>
        <w:rPr>
          <w:rtl/>
        </w:rPr>
        <w:t xml:space="preserve"> וְזֹאת לִיהוּדָה, וּמֹשֶׁה לָא בָּרֵיךְ יָת יִשְׂרָאֵל אֶלָּא בְּזֹאת </w:t>
      </w:r>
      <w:r>
        <w:rPr>
          <w:sz w:val="20"/>
          <w:szCs w:val="23"/>
          <w:rtl/>
        </w:rPr>
        <w:t>(שם א)</w:t>
      </w:r>
      <w:r>
        <w:rPr>
          <w:rtl/>
        </w:rPr>
        <w:t xml:space="preserve"> וְזֹאת הַבְּרָכָה, וּמִי שֶׁלֹּא שָׁת לִבּוֹ גַּם לָזֹאת, עֲלֵיהּ כְּתִיב </w:t>
      </w:r>
      <w:r>
        <w:rPr>
          <w:sz w:val="20"/>
          <w:szCs w:val="23"/>
          <w:rtl/>
        </w:rPr>
        <w:t>(תהלים צב ז)</w:t>
      </w:r>
      <w:r>
        <w:rPr>
          <w:rtl/>
        </w:rPr>
        <w:t xml:space="preserve"> אִישׁ בַּעַר לֹא יֵדָע וּכְסִיל לֹא יָבִין אֶת זֹאת.</w:t>
      </w:r>
    </w:p>
    <w:p w:rsidR="004D58FB" w:rsidRDefault="00D45634" w:rsidP="00B17EA9">
      <w:pPr>
        <w:pStyle w:val="NormalWeb"/>
        <w:rPr>
          <w:rtl/>
        </w:rPr>
      </w:pPr>
      <w:r>
        <w:rPr>
          <w:rtl/>
        </w:rPr>
        <w:t xml:space="preserve">[בתיקוני הזוהר </w:t>
      </w:r>
      <w:r w:rsidR="004D58FB">
        <w:rPr>
          <w:rFonts w:hint="cs"/>
          <w:rtl/>
        </w:rPr>
        <w:t>דפוס וילנא (</w:t>
      </w:r>
      <w:r>
        <w:rPr>
          <w:rtl/>
        </w:rPr>
        <w:t xml:space="preserve">המודפס ע"י שמריהו צוקרמן ז"ל </w:t>
      </w:r>
      <w:r w:rsidR="004D58FB">
        <w:rPr>
          <w:rFonts w:hint="cs"/>
          <w:rtl/>
        </w:rPr>
        <w:t xml:space="preserve">שנת תרכ"ז) </w:t>
      </w:r>
      <w:r>
        <w:rPr>
          <w:rtl/>
        </w:rPr>
        <w:t>כתוב כאן: בדפוסים האחרונים הובא כאן מאמר מליקוטי התיקוני</w:t>
      </w:r>
      <w:r w:rsidR="004D58FB">
        <w:rPr>
          <w:rtl/>
        </w:rPr>
        <w:t xml:space="preserve"> זוהר חדש, ויבא על מקומו איה"ש.</w:t>
      </w:r>
      <w:r w:rsidR="004D58FB">
        <w:rPr>
          <w:rFonts w:hint="cs"/>
          <w:rtl/>
        </w:rPr>
        <w:t xml:space="preserve"> וזהו המאמר בתיקונים מזהר חדש דף פג ע"א (וילנא דף לב ע"ב) עד סוף המאמר שם]</w:t>
      </w:r>
    </w:p>
    <w:p w:rsidR="004D58FB" w:rsidRDefault="004D58FB" w:rsidP="004D58FB">
      <w:pPr>
        <w:pStyle w:val="2"/>
        <w:spacing w:before="0"/>
        <w:rPr>
          <w:rtl/>
        </w:rPr>
      </w:pPr>
      <w:r>
        <w:rPr>
          <w:rtl/>
        </w:rPr>
        <w:t>[</w:t>
      </w:r>
      <w:r>
        <w:rPr>
          <w:rFonts w:hint="cs"/>
          <w:rtl/>
        </w:rPr>
        <w:t>תיקונים מזהר חדש דף</w:t>
      </w:r>
      <w:r>
        <w:rPr>
          <w:rtl/>
        </w:rPr>
        <w:t xml:space="preserve"> </w:t>
      </w:r>
      <w:r>
        <w:rPr>
          <w:rFonts w:hint="cs"/>
          <w:rtl/>
        </w:rPr>
        <w:t>פג</w:t>
      </w:r>
      <w:r>
        <w:rPr>
          <w:rtl/>
        </w:rPr>
        <w:t xml:space="preserve"> ע"</w:t>
      </w:r>
      <w:r>
        <w:rPr>
          <w:rFonts w:hint="cs"/>
          <w:rtl/>
        </w:rPr>
        <w:t>א</w:t>
      </w:r>
      <w:r>
        <w:rPr>
          <w:rtl/>
        </w:rPr>
        <w:t>]</w:t>
      </w:r>
    </w:p>
    <w:p w:rsidR="004D58FB" w:rsidRDefault="004D58FB" w:rsidP="004D58FB">
      <w:pPr>
        <w:pStyle w:val="NormalWeb"/>
        <w:rPr>
          <w:rtl/>
        </w:rPr>
      </w:pPr>
      <w:r w:rsidRPr="00BD5E91">
        <w:rPr>
          <w:rtl/>
        </w:rPr>
        <w:t>וְעַתָּה צָרִיךְ אַתָּה לָדַעַת</w:t>
      </w:r>
      <w:r>
        <w:rPr>
          <w:rFonts w:hint="cs"/>
          <w:rtl/>
        </w:rPr>
        <w:t>,</w:t>
      </w:r>
      <w:r w:rsidRPr="00BD5E91">
        <w:rPr>
          <w:rtl/>
        </w:rPr>
        <w:t xml:space="preserve"> כֵּיוָן</w:t>
      </w:r>
      <w:r>
        <w:rPr>
          <w:szCs w:val="28"/>
        </w:rPr>
        <w:t xml:space="preserve"> </w:t>
      </w:r>
      <w:r w:rsidRPr="00BD5E91">
        <w:rPr>
          <w:rtl/>
        </w:rPr>
        <w:t>שֶׁהָאָדָם בָּהּ יָפִיק רְצוֹנוֹ, וּבָהּ מַשִּיג שֵׁם ה'</w:t>
      </w:r>
      <w:r>
        <w:rPr>
          <w:rFonts w:hint="cs"/>
          <w:rtl/>
        </w:rPr>
        <w:t>,</w:t>
      </w:r>
      <w:r w:rsidRPr="00BD5E91">
        <w:rPr>
          <w:rtl/>
        </w:rPr>
        <w:t xml:space="preserve"> שֶׁזֶּהוּ סוֹד </w:t>
      </w:r>
      <w:r>
        <w:rPr>
          <w:rFonts w:hint="cs"/>
          <w:rtl/>
        </w:rPr>
        <w:t>(תהלים לב ו)</w:t>
      </w:r>
      <w:r w:rsidRPr="00BD5E91">
        <w:rPr>
          <w:rtl/>
        </w:rPr>
        <w:t xml:space="preserve"> עַל זֹאת יִתְפַּלֵּל כָּל חָסִיד. וְעַל זֹאת וַדַּאי לְשֵׁם ה' שֶׁהוּא עַל זֹאת. </w:t>
      </w:r>
      <w:r>
        <w:rPr>
          <w:rStyle w:val="a7"/>
          <w:rFonts w:cs="Arial"/>
          <w:sz w:val="36"/>
          <w:szCs w:val="28"/>
          <w:rtl/>
        </w:rPr>
        <w:footnoteReference w:id="540"/>
      </w:r>
      <w:r w:rsidRPr="00BD5E91">
        <w:rPr>
          <w:rtl/>
        </w:rPr>
        <w:t xml:space="preserve">לָמָּה תִּקְּנוּ בְּשַׁחֲרִית תְּפִלָּה לְמִדָּה יְדוּעָה. וְכֵן בְּמִנְחָה לְמִדָּה יְדוּעָה. וְכֵן בְּעַרְבִית לְמִדָּה יְדוּעָה. וְכֵן בְּשַׁבָּת לְמִדָּה יְדוּעָה. וְכֵן בְּיוֹם טוֹב לְמִדָּה יְדוּעָה. וְכֵן בַּעֲשֶׂרֶת יְמֵי תְּשׁוּבָה לְמִדָּה יְדוּעָה. אֶלָּא </w:t>
      </w:r>
      <w:r>
        <w:rPr>
          <w:rStyle w:val="a7"/>
          <w:rFonts w:cs="Arial"/>
          <w:sz w:val="36"/>
          <w:szCs w:val="28"/>
          <w:rtl/>
        </w:rPr>
        <w:footnoteReference w:id="541"/>
      </w:r>
      <w:r w:rsidRPr="00BD5E91">
        <w:rPr>
          <w:rtl/>
        </w:rPr>
        <w:t xml:space="preserve">מַה שֶּׁאָמַר עַל זֹאת, הוּא מוֹרֶה </w:t>
      </w:r>
      <w:r>
        <w:rPr>
          <w:rStyle w:val="a7"/>
          <w:rFonts w:cs="Arial"/>
          <w:sz w:val="36"/>
          <w:szCs w:val="28"/>
          <w:rtl/>
        </w:rPr>
        <w:footnoteReference w:id="542"/>
      </w:r>
      <w:r w:rsidRPr="00BD5E91">
        <w:rPr>
          <w:rtl/>
        </w:rPr>
        <w:t xml:space="preserve">שֶׁיְּהוָֹ'ה הוּא </w:t>
      </w:r>
      <w:r>
        <w:rPr>
          <w:rFonts w:hint="cs"/>
          <w:rtl/>
        </w:rPr>
        <w:t>ב</w:t>
      </w:r>
      <w:r w:rsidRPr="00BD5E91">
        <w:rPr>
          <w:rtl/>
        </w:rPr>
        <w:t>ְּכָל סְפִירָה וּסְפִירָה</w:t>
      </w:r>
      <w:r>
        <w:rPr>
          <w:rFonts w:hint="cs"/>
          <w:rtl/>
        </w:rPr>
        <w:t>,</w:t>
      </w:r>
      <w:r w:rsidRPr="00BD5E91">
        <w:rPr>
          <w:rtl/>
        </w:rPr>
        <w:t xml:space="preserve"> </w:t>
      </w:r>
      <w:r>
        <w:rPr>
          <w:rStyle w:val="a7"/>
          <w:rFonts w:cs="Arial"/>
          <w:sz w:val="36"/>
          <w:szCs w:val="28"/>
          <w:rtl/>
        </w:rPr>
        <w:footnoteReference w:id="543"/>
      </w:r>
      <w:r w:rsidRPr="00BD5E91">
        <w:rPr>
          <w:rtl/>
        </w:rPr>
        <w:t xml:space="preserve">כְּמָה שֶׁאָמַר דָּוִד </w:t>
      </w:r>
      <w:r>
        <w:rPr>
          <w:rFonts w:hint="cs"/>
          <w:rtl/>
        </w:rPr>
        <w:t xml:space="preserve">(דברי הימים א כט יא) </w:t>
      </w:r>
      <w:r w:rsidRPr="00BD5E91">
        <w:rPr>
          <w:rtl/>
        </w:rPr>
        <w:t>לְךָ ה' הַגְּדֻלָּה וְהַגְּבוּרָה. וְכָל סְפִירָה אֵין לָהּ פְּעֻלָּה בַּתַּחְתּוֹנִים, אֶלָּא עַל יְדֵי הַמַּלְכוּת</w:t>
      </w:r>
      <w:r>
        <w:rPr>
          <w:rFonts w:hint="cs"/>
          <w:rtl/>
        </w:rPr>
        <w:t>,</w:t>
      </w:r>
      <w:r w:rsidRPr="00BD5E91">
        <w:rPr>
          <w:rtl/>
        </w:rPr>
        <w:t xml:space="preserve"> שֶׁנֶּאֱמַר בָּהּ </w:t>
      </w:r>
      <w:r>
        <w:rPr>
          <w:rFonts w:hint="cs"/>
          <w:rtl/>
        </w:rPr>
        <w:t xml:space="preserve">(תהלים קג יט) </w:t>
      </w:r>
      <w:r w:rsidRPr="00BD5E91">
        <w:rPr>
          <w:rtl/>
        </w:rPr>
        <w:t>וּמַלְכוּתוֹ בְּכָל מָשָׁלָה. אֲבָל בִּזְמַן שֶׁצָּרִיךְ הַקָּדוֹשׁ בָּרוּךְ הוּא לְהַצְדִּיק צַדִּיק וְלַעֲשׂוֹת עִמּוֹ צְדָקָה, שֶׁהוּא מַלְכוּת עִם הַתַּחְתּוֹנִים, נִכְלָלִים בּוֹ כָּל הַסְּפִירוֹת וְנ</w:t>
      </w:r>
      <w:r>
        <w:rPr>
          <w:rtl/>
        </w:rPr>
        <w:t>ִקְרָאִים צַדִּיקִים עַל שְׁמוֹ</w:t>
      </w:r>
      <w:r>
        <w:rPr>
          <w:rFonts w:hint="cs"/>
          <w:rtl/>
        </w:rPr>
        <w:t>,</w:t>
      </w:r>
      <w:r w:rsidRPr="00BD5E91">
        <w:rPr>
          <w:rtl/>
        </w:rPr>
        <w:t xml:space="preserve"> וְה' נִקְרָא עַל שְׁמוֹ צַדִּיק</w:t>
      </w:r>
      <w:r>
        <w:rPr>
          <w:rFonts w:hint="cs"/>
          <w:rtl/>
        </w:rPr>
        <w:t>,</w:t>
      </w:r>
      <w:r w:rsidRPr="00BD5E91">
        <w:rPr>
          <w:rtl/>
        </w:rPr>
        <w:t xml:space="preserve"> שֶׁנֶּאֱמַר </w:t>
      </w:r>
      <w:r>
        <w:rPr>
          <w:rFonts w:hint="cs"/>
          <w:rtl/>
        </w:rPr>
        <w:t xml:space="preserve">(תהלים קמה יז) </w:t>
      </w:r>
      <w:r w:rsidRPr="00BD5E91">
        <w:rPr>
          <w:rtl/>
        </w:rPr>
        <w:t>צַדִּיק ה' בְּכָל דְּרָכָיו. וּמְרַחֵם עַל בְּרִיּוֹתָיו בִּצְדָקָה</w:t>
      </w:r>
      <w:r>
        <w:rPr>
          <w:rFonts w:hint="cs"/>
          <w:rtl/>
        </w:rPr>
        <w:t>,</w:t>
      </w:r>
      <w:r w:rsidRPr="00BD5E91">
        <w:rPr>
          <w:rtl/>
        </w:rPr>
        <w:t xml:space="preserve"> </w:t>
      </w:r>
      <w:r>
        <w:rPr>
          <w:rStyle w:val="a7"/>
          <w:rFonts w:cs="Arial"/>
          <w:sz w:val="36"/>
          <w:szCs w:val="28"/>
          <w:rtl/>
        </w:rPr>
        <w:footnoteReference w:id="544"/>
      </w:r>
      <w:r w:rsidRPr="00BD5E91">
        <w:rPr>
          <w:rtl/>
        </w:rPr>
        <w:t xml:space="preserve">וְאֵין צְדָקָה אֶלָּא תְּפִלָּה, שֶׁהִיא צ', תִּשְׁעִים אֲמֵנִים. ד', ד' קְדֻשּׁוֹת בְּכָל יוֹם. ק', מֵאָה בְּרָכוֹת. ה', חֲמִשָּׁה חֻמְשֵׁי תּוֹרָה. וְזֶהוּ </w:t>
      </w:r>
      <w:r>
        <w:rPr>
          <w:rFonts w:hint="cs"/>
          <w:rtl/>
        </w:rPr>
        <w:t xml:space="preserve">(משלי יד לד) </w:t>
      </w:r>
      <w:r>
        <w:rPr>
          <w:rStyle w:val="a7"/>
          <w:rFonts w:cs="Arial"/>
          <w:sz w:val="36"/>
          <w:szCs w:val="28"/>
          <w:rtl/>
        </w:rPr>
        <w:footnoteReference w:id="545"/>
      </w:r>
      <w:r w:rsidRPr="00BD5E91">
        <w:rPr>
          <w:rtl/>
        </w:rPr>
        <w:t xml:space="preserve">צְדָקָה תְּרוֹמֵם גּוֹי. וְעָלָיו נֶאֱמַר לְאַבְרָהָם </w:t>
      </w:r>
      <w:r>
        <w:rPr>
          <w:rFonts w:hint="cs"/>
          <w:rtl/>
        </w:rPr>
        <w:t xml:space="preserve">(בראשית טו ו) </w:t>
      </w:r>
      <w:r>
        <w:rPr>
          <w:rStyle w:val="a7"/>
          <w:rFonts w:cs="Arial"/>
          <w:sz w:val="36"/>
          <w:szCs w:val="28"/>
          <w:rtl/>
        </w:rPr>
        <w:footnoteReference w:id="546"/>
      </w:r>
      <w:r w:rsidRPr="00BD5E91">
        <w:rPr>
          <w:rtl/>
        </w:rPr>
        <w:t>וַיַּחְשְׁבֶהָ לוֹ צְדָקָה. וּכְשֶׁהוּא רוֹצֶה לְהָגֵן בָּהּ נֶאֱמַר בָּהּ (ישעיה נט) וַיִּלְבַּשׁ צְדָקָה כַּשִרְיוֹן. מִצַּד ה' הִיא צְדָקָה. וּמִצַּד י' הִיא כּוֹבַע עַל רֹאשׁ צַדִּיק, אוֹת בְּרִית</w:t>
      </w:r>
      <w:r>
        <w:rPr>
          <w:rFonts w:hint="cs"/>
          <w:rtl/>
        </w:rPr>
        <w:t>,</w:t>
      </w:r>
      <w:r w:rsidRPr="00BD5E91">
        <w:rPr>
          <w:rtl/>
        </w:rPr>
        <w:t xml:space="preserve"> עֲטָרָה בְּרֹאשׁ כָּל צַדִּיק. וּמִצַּד ו' נֶאֱמַר בָּהּ </w:t>
      </w:r>
      <w:r>
        <w:rPr>
          <w:rStyle w:val="a7"/>
          <w:rFonts w:cs="Arial"/>
          <w:sz w:val="36"/>
          <w:szCs w:val="28"/>
          <w:rtl/>
        </w:rPr>
        <w:footnoteReference w:id="547"/>
      </w:r>
      <w:r w:rsidRPr="00BD5E91">
        <w:rPr>
          <w:rtl/>
        </w:rPr>
        <w:t xml:space="preserve">אֲרֻכָּה מֵאֶרֶץ מִדָּהּ. מִצַּד ה' עֶלְיוֹנָה </w:t>
      </w:r>
      <w:r>
        <w:rPr>
          <w:rStyle w:val="a7"/>
          <w:rFonts w:cs="Arial"/>
          <w:sz w:val="36"/>
          <w:szCs w:val="28"/>
          <w:rtl/>
        </w:rPr>
        <w:footnoteReference w:id="548"/>
      </w:r>
      <w:r w:rsidRPr="00BD5E91">
        <w:rPr>
          <w:rtl/>
        </w:rPr>
        <w:t>וּרְחָבָה מִנִּי יָם. וּכְשֶׁרוֹצֶה הַקָּדוֹשׁ בָּרוּךְ הוּא לְהַמְשִׁיךְ נְבוּאָה כָּל הַסְּפִירוֹת כְּלוּלִים בָּהּ וְנִקְרְאוּ</w:t>
      </w:r>
      <w:r w:rsidRPr="00BD5E91">
        <w:t xml:space="preserve"> </w:t>
      </w:r>
      <w:r w:rsidRPr="00BD5E91">
        <w:rPr>
          <w:rtl/>
        </w:rPr>
        <w:t xml:space="preserve">נְבִיאִים. וּמַלְכוּת הִיא דִּמְיוֹן כֻּלָּם. שֶׁנֶּאֱמַר (הושע יב) וּבְיַד הַנְּבִיאִים אֲדַמֶּה. כְּמָה שֶׁנֶּאֱמַר וְדִבַּרְתִּי עַל הַנְּבִיאִים. שֶׁהִיא כְּמוֹ אַסְפַּקְלַרְיָא שֶׁכָּל הַפָּנִים נִרְאִים בָּהּ. וְכֵן כָּל הַסְּפִירוֹת </w:t>
      </w:r>
      <w:r w:rsidRPr="00BD5E91">
        <w:rPr>
          <w:rtl/>
        </w:rPr>
        <w:lastRenderedPageBreak/>
        <w:t>מַרְאִים בָּהּ כֹּחָם וְדִמְיוֹנָם וְצוּרוֹתָם, לְכָל נָבִיא כְּפִי הַשָּגָתוֹ לְמַעְלָה. וּכְמוֹ כֵן לְמַטָה הִיא מִתְלַבֶּשֶׁת בְּכִסֵּא הַכָּבוֹד, וּבְכָל הַמַּלְאָכִים וְהָאוֹפַנִּים וְחַיּוֹת הַקֹּדֶשׁ, וּבְכָל הָרְקִיעִים וְהַכִּסְאוֹת שֶׁבָּהֶם הַמַּלְאָכִים הַתְּלוּיִם מֵהֶם, שֶׁיֵּשׁ מַלְאָכִים גְּבוֹהִים עֲלֵיהֶם. שֶׁנֶּאֱמַר (קהלת ה) כִּי גָּבֹהַּ מֵעַל גָּבֹהַּ שׁוֹמֵר וּגְבוֹהִים עֲלֵיהֶם</w:t>
      </w:r>
      <w:r>
        <w:rPr>
          <w:rFonts w:hint="cs"/>
          <w:rtl/>
        </w:rPr>
        <w:t>.</w:t>
      </w:r>
      <w:r w:rsidRPr="00BD5E91">
        <w:rPr>
          <w:rtl/>
        </w:rPr>
        <w:t xml:space="preserve"> וְכֵן בְּכָל כּוֹכָב וּמַזָּל כְּמוֹ שֶׁנֶּאֱמַר וּמַלְכוּתוֹ בְּכָל מָשָׁלָה. וְזֶהוּ וּבְיַד הַנְּבִיאִים אֲדַמֶּה. לְכָל אֶחָד נִדְמֶה כְּפִי כֹּחוֹ שֶׁהִיא נִשְׁמָתוֹ. </w:t>
      </w:r>
      <w:r>
        <w:rPr>
          <w:rStyle w:val="a7"/>
          <w:rFonts w:cs="Arial"/>
          <w:sz w:val="36"/>
          <w:szCs w:val="28"/>
          <w:rtl/>
        </w:rPr>
        <w:footnoteReference w:id="549"/>
      </w:r>
      <w:r w:rsidRPr="00BD5E91">
        <w:rPr>
          <w:rtl/>
        </w:rPr>
        <w:t>וְהַבֵן אֲמָרָם הָעוֹנֶה אָמֵן בְּכָל כֹּחוֹ</w:t>
      </w:r>
      <w:r>
        <w:rPr>
          <w:rFonts w:hint="cs"/>
          <w:rtl/>
        </w:rPr>
        <w:t>.</w:t>
      </w:r>
      <w:r w:rsidRPr="00BD5E91">
        <w:rPr>
          <w:rtl/>
        </w:rPr>
        <w:t xml:space="preserve"> ה' הוּא בְּכֶתֶר, שֶׁהָיָה </w:t>
      </w:r>
      <w:r>
        <w:rPr>
          <w:rStyle w:val="a7"/>
          <w:rFonts w:cs="Arial"/>
          <w:sz w:val="36"/>
          <w:szCs w:val="28"/>
          <w:rtl/>
        </w:rPr>
        <w:footnoteReference w:id="550"/>
      </w:r>
      <w:r w:rsidRPr="00BD5E91">
        <w:rPr>
          <w:rtl/>
        </w:rPr>
        <w:t>קֹדֶם שֶׁנִּבְרָא הָעוֹלָם הוּא וּשְׁמוֹ לְבַד בְּכֶתֶר. כְּשֶּׁבָּרָא הָעוֹלָם בְּמִדַּת רֵאשִׁית, יָרַד עָלָיו וְלֹא הָיָה חָסֵר מִלְּמַעְלָה, וְכֵן בְּכָל סְפִירָה וּסְפִירָה כְּמַדְלִיק נֵר מִנֵּר, וְאֵינוֹ חָסֵר מִן הָרִאשׁוֹנָה</w:t>
      </w:r>
      <w:r>
        <w:rPr>
          <w:rFonts w:hint="cs"/>
          <w:rtl/>
        </w:rPr>
        <w:t>,</w:t>
      </w:r>
      <w:r w:rsidRPr="00BD5E91">
        <w:rPr>
          <w:rtl/>
        </w:rPr>
        <w:t xml:space="preserve"> וְלֹא מֵחֲבֶרְתָּהּ עַד אֵין סוֹף וְאֵין תַּכְלִית. </w:t>
      </w:r>
    </w:p>
    <w:p w:rsidR="004D58FB" w:rsidRDefault="004D58FB" w:rsidP="004D58FB">
      <w:pPr>
        <w:pStyle w:val="2"/>
        <w:spacing w:before="0"/>
        <w:rPr>
          <w:rtl/>
        </w:rPr>
      </w:pPr>
      <w:r>
        <w:rPr>
          <w:rtl/>
        </w:rPr>
        <w:t>[</w:t>
      </w:r>
      <w:r>
        <w:rPr>
          <w:rFonts w:hint="cs"/>
          <w:rtl/>
        </w:rPr>
        <w:t>תיקונים מזהר חדש דף</w:t>
      </w:r>
      <w:r>
        <w:rPr>
          <w:rtl/>
        </w:rPr>
        <w:t xml:space="preserve"> </w:t>
      </w:r>
      <w:r>
        <w:rPr>
          <w:rFonts w:hint="cs"/>
          <w:rtl/>
        </w:rPr>
        <w:t>פג</w:t>
      </w:r>
      <w:r>
        <w:rPr>
          <w:rtl/>
        </w:rPr>
        <w:t xml:space="preserve"> ע"</w:t>
      </w:r>
      <w:r>
        <w:rPr>
          <w:rFonts w:hint="cs"/>
          <w:rtl/>
        </w:rPr>
        <w:t>ב</w:t>
      </w:r>
      <w:r>
        <w:rPr>
          <w:rtl/>
        </w:rPr>
        <w:t>]</w:t>
      </w:r>
    </w:p>
    <w:p w:rsidR="004D58FB" w:rsidRPr="00BD5E91" w:rsidRDefault="004D58FB" w:rsidP="004D58FB">
      <w:pPr>
        <w:pStyle w:val="NormalWeb"/>
      </w:pPr>
      <w:r w:rsidRPr="00BD5E91">
        <w:rPr>
          <w:rtl/>
        </w:rPr>
        <w:t xml:space="preserve">וּמִי שֶׁמַּכִּיר אוֹתוֹ בָּזֹאת, כְּאִלּוּ מַכִּיר אוֹתוֹ בָּעֶלְיוֹנִים וּבַתַּחְתּוֹנִים. בַּעֲבוּר שֶׁהִיא כְּלוּלָה </w:t>
      </w:r>
      <w:r w:rsidRPr="004B47A6">
        <w:rPr>
          <w:rStyle w:val="40"/>
          <w:rFonts w:hint="cs"/>
          <w:rtl/>
        </w:rPr>
        <w:t>(</w:t>
      </w:r>
      <w:r>
        <w:rPr>
          <w:rStyle w:val="40"/>
          <w:rFonts w:hint="cs"/>
          <w:rtl/>
        </w:rPr>
        <w:t xml:space="preserve">פג </w:t>
      </w:r>
      <w:r w:rsidRPr="004B47A6">
        <w:rPr>
          <w:rStyle w:val="40"/>
          <w:rFonts w:hint="cs"/>
          <w:rtl/>
        </w:rPr>
        <w:t>ע"</w:t>
      </w:r>
      <w:r>
        <w:rPr>
          <w:rStyle w:val="40"/>
          <w:rFonts w:hint="cs"/>
          <w:rtl/>
        </w:rPr>
        <w:t>ב</w:t>
      </w:r>
      <w:r w:rsidRPr="004B47A6">
        <w:rPr>
          <w:rStyle w:val="40"/>
          <w:rFonts w:hint="cs"/>
          <w:rtl/>
        </w:rPr>
        <w:t>)</w:t>
      </w:r>
      <w:r>
        <w:rPr>
          <w:rFonts w:hint="cs"/>
          <w:rtl/>
        </w:rPr>
        <w:t xml:space="preserve"> </w:t>
      </w:r>
      <w:r w:rsidRPr="00BD5E91">
        <w:rPr>
          <w:rtl/>
        </w:rPr>
        <w:t xml:space="preserve">מֵהָעֶלְיוֹנִים. </w:t>
      </w:r>
      <w:r>
        <w:rPr>
          <w:rStyle w:val="a7"/>
          <w:rFonts w:cs="Arial"/>
          <w:sz w:val="36"/>
          <w:szCs w:val="28"/>
          <w:rtl/>
        </w:rPr>
        <w:footnoteReference w:id="551"/>
      </w:r>
      <w:r w:rsidRPr="00BD5E91">
        <w:rPr>
          <w:rtl/>
        </w:rPr>
        <w:t xml:space="preserve">וְהִיא יִחוּד וְקֶשֶׁר כֻּלָּם. וְהִיא מִתְלַבֶּשֶׁת בְּכָל הַתַּחְתּוֹנִים. וְעַל זֶה אָמַר הַנָּבִיא (ירמיה ט) כֹּה אָמַר ה' אַל יִתְהַלֵּל חָכָם כִּי אִם בּזֹאת וְגוֹ' </w:t>
      </w:r>
      <w:r>
        <w:rPr>
          <w:rStyle w:val="a7"/>
          <w:rFonts w:cs="Arial"/>
          <w:sz w:val="36"/>
          <w:szCs w:val="28"/>
          <w:rtl/>
        </w:rPr>
        <w:footnoteReference w:id="552"/>
      </w:r>
      <w:r w:rsidRPr="00BD5E91">
        <w:rPr>
          <w:rtl/>
        </w:rPr>
        <w:t>הַשְׂכֵּל וְיָדוֹעַ אוֹתִי. הִיא נִקְרֵאת נְבוּאָה מִצַּד הַנְּבִיאִים, חָכְמָה מִצַּד הַחֲכָמִים</w:t>
      </w:r>
      <w:r>
        <w:rPr>
          <w:rFonts w:hint="cs"/>
          <w:rtl/>
        </w:rPr>
        <w:t>,</w:t>
      </w:r>
      <w:r w:rsidRPr="00BD5E91">
        <w:rPr>
          <w:rtl/>
        </w:rPr>
        <w:t xml:space="preserve"> </w:t>
      </w:r>
      <w:r>
        <w:rPr>
          <w:rStyle w:val="a7"/>
          <w:rFonts w:cs="Arial"/>
          <w:sz w:val="36"/>
          <w:szCs w:val="28"/>
          <w:rtl/>
        </w:rPr>
        <w:footnoteReference w:id="553"/>
      </w:r>
      <w:r w:rsidRPr="00BD5E91">
        <w:rPr>
          <w:rtl/>
        </w:rPr>
        <w:t>שֶׁכֹּל הַסְּפִירוֹת נִקְרָאִים חָכְמָה</w:t>
      </w:r>
      <w:r w:rsidRPr="00BD5E91">
        <w:t>:</w:t>
      </w:r>
    </w:p>
    <w:p w:rsidR="00D45634" w:rsidRDefault="00D45634" w:rsidP="00B17EA9">
      <w:pPr>
        <w:pStyle w:val="NormalWeb"/>
        <w:rPr>
          <w:rtl/>
        </w:rPr>
      </w:pPr>
      <w:r>
        <w:rPr>
          <w:rtl/>
        </w:rPr>
        <w:t>[עד כאן המאמר מליקוטי התיקוני זוהר חדש]</w:t>
      </w:r>
    </w:p>
    <w:p w:rsidR="00D45634" w:rsidRDefault="00D45634" w:rsidP="004D58FB">
      <w:pPr>
        <w:pStyle w:val="2"/>
        <w:rPr>
          <w:rtl/>
        </w:rPr>
      </w:pPr>
      <w:r>
        <w:rPr>
          <w:rtl/>
        </w:rPr>
        <w:t>[תיקוני זוהר - המשך דף לט ע''ב]</w:t>
      </w:r>
    </w:p>
    <w:p w:rsidR="00D45634" w:rsidRDefault="00D45634" w:rsidP="00B17EA9">
      <w:pPr>
        <w:pStyle w:val="NormalWeb"/>
        <w:rPr>
          <w:rtl/>
        </w:rPr>
      </w:pPr>
      <w:r>
        <w:rPr>
          <w:sz w:val="20"/>
          <w:szCs w:val="23"/>
          <w:rtl/>
        </w:rPr>
        <w:t>(המשך דף לט ע"ב)</w:t>
      </w:r>
      <w:r>
        <w:rPr>
          <w:rtl/>
        </w:rPr>
        <w:t xml:space="preserve"> וְעַל זֶה אָמַר הַנָּבִיא </w:t>
      </w:r>
      <w:r>
        <w:rPr>
          <w:sz w:val="20"/>
          <w:szCs w:val="23"/>
          <w:rtl/>
        </w:rPr>
        <w:t>(ירמיה יט כג)</w:t>
      </w:r>
      <w:r>
        <w:rPr>
          <w:rtl/>
        </w:rPr>
        <w:t xml:space="preserve"> אַל יִתְהַלֵּל הַמִּתְהַלֵּל כִּי אִם בְּזֹאת, הִיא אִתְקְרִיאַת נְבוּאָה מִסִּטְרָא דִנְבִיאַיָּא, חָכְמָה מִסִּטְרָא דְחַכִּימַיָּיא, דְכָל סְפִירָן אִתְקְרִיאוּ חֲכָמִים.</w:t>
      </w:r>
    </w:p>
    <w:p w:rsidR="00D45634" w:rsidRDefault="00D45634" w:rsidP="004D58FB">
      <w:pPr>
        <w:pStyle w:val="2"/>
        <w:rPr>
          <w:rtl/>
        </w:rPr>
      </w:pPr>
      <w:r>
        <w:rPr>
          <w:rtl/>
        </w:rPr>
        <w:t>[תיקוני זוהר - המשך דף יא ע''ב]</w:t>
      </w:r>
    </w:p>
    <w:p w:rsidR="00D45634" w:rsidRDefault="00D45634" w:rsidP="00B17EA9">
      <w:pPr>
        <w:pStyle w:val="NormalWeb"/>
        <w:rPr>
          <w:rtl/>
        </w:rPr>
      </w:pPr>
      <w:r>
        <w:rPr>
          <w:sz w:val="20"/>
          <w:szCs w:val="23"/>
          <w:rtl/>
        </w:rPr>
        <w:t>(המשך דף יא ע"ב)</w:t>
      </w:r>
      <w:r>
        <w:rPr>
          <w:rtl/>
        </w:rPr>
        <w:t xml:space="preserve"> וְיִשְׂרָאֵל דַּהֲוָה לוֹן קַבָּלָה מִינָהּ, לָא בָעוּ מִקּוּדְשָׁא בְּרִיךְ הוּא מַשְׁכּוֹנָא אָחֳרָא דְיִפְדוֹן לוֹן בְּגִינָהּ מִן גָּלוּתָא, אֶלָּא זֹאת, הֲדָא הוּא דִכְתִיב </w:t>
      </w:r>
      <w:r>
        <w:rPr>
          <w:sz w:val="20"/>
          <w:szCs w:val="23"/>
          <w:rtl/>
        </w:rPr>
        <w:t>(שם כו מד)</w:t>
      </w:r>
      <w:r>
        <w:rPr>
          <w:rtl/>
        </w:rPr>
        <w:t xml:space="preserve"> וְאַף גַּם זֹאת בִּהְיוֹתָם בְּאֶרֶץ אֹיְבֵיהֶם וכו', וְנָבִיא אָמַר בְּגִינָהּ כַּד חֲזָא בִנְבוּאָתָא דוֹחָקָא דְיִשְׂרָאֵל תַּקִּיפָא, אָמַר </w:t>
      </w:r>
      <w:r>
        <w:rPr>
          <w:sz w:val="20"/>
          <w:szCs w:val="23"/>
          <w:rtl/>
        </w:rPr>
        <w:t>(איכה ג כא)</w:t>
      </w:r>
      <w:r>
        <w:rPr>
          <w:rtl/>
        </w:rPr>
        <w:t xml:space="preserve"> זֹאת אָשִׁיב אֶל לִבִּי כו', </w:t>
      </w:r>
      <w:r>
        <w:rPr>
          <w:rStyle w:val="a7"/>
          <w:rtl/>
        </w:rPr>
        <w:footnoteReference w:id="554"/>
      </w:r>
      <w:r>
        <w:rPr>
          <w:rtl/>
        </w:rPr>
        <w:t xml:space="preserve">וְזֹאת לִיהוּדָה וַיֹּאמַר </w:t>
      </w:r>
      <w:r>
        <w:rPr>
          <w:sz w:val="20"/>
          <w:szCs w:val="23"/>
          <w:rtl/>
        </w:rPr>
        <w:t>(דברים לג ג)</w:t>
      </w:r>
      <w:r>
        <w:rPr>
          <w:rtl/>
        </w:rPr>
        <w:t>.</w:t>
      </w:r>
    </w:p>
    <w:p w:rsidR="00D45634" w:rsidRDefault="00D45634" w:rsidP="00B17EA9">
      <w:pPr>
        <w:pStyle w:val="NormalWeb"/>
        <w:rPr>
          <w:rtl/>
        </w:rPr>
      </w:pPr>
      <w:r>
        <w:rPr>
          <w:rtl/>
        </w:rPr>
        <w:t xml:space="preserve">אִיהִי מַרְגָּלִית כְּלִילָא מִכָּל גַּוָּונִין נְהִירִין, </w:t>
      </w:r>
      <w:r>
        <w:rPr>
          <w:rStyle w:val="a7"/>
          <w:rtl/>
        </w:rPr>
        <w:footnoteReference w:id="555"/>
      </w:r>
      <w:r>
        <w:rPr>
          <w:rtl/>
        </w:rPr>
        <w:t xml:space="preserve">דְּאִינוּן נְהִירִין מִגַּרְמֵיהּ, </w:t>
      </w:r>
      <w:r>
        <w:rPr>
          <w:rStyle w:val="a7"/>
          <w:rtl/>
        </w:rPr>
        <w:footnoteReference w:id="556"/>
      </w:r>
      <w:r>
        <w:rPr>
          <w:rtl/>
        </w:rPr>
        <w:t xml:space="preserve">וּסְגוּלָה דִילֵיהּ בְּכָל נִקּוּדִין דְּאַתְוָון וְטַעֲמֵי, בְּכָל שֵׁם וְשֵׁם, </w:t>
      </w:r>
      <w:r>
        <w:rPr>
          <w:rStyle w:val="a7"/>
          <w:rtl/>
        </w:rPr>
        <w:footnoteReference w:id="557"/>
      </w:r>
      <w:r>
        <w:rPr>
          <w:rtl/>
        </w:rPr>
        <w:t>מִסִּטְרָא דְחֹלֵ''ם, אִיהִי סֶגוֹלְתָּא.</w:t>
      </w:r>
    </w:p>
    <w:p w:rsidR="00D45634" w:rsidRDefault="00D45634" w:rsidP="00B17EA9">
      <w:pPr>
        <w:pStyle w:val="NormalWeb"/>
        <w:rPr>
          <w:rtl/>
        </w:rPr>
      </w:pPr>
      <w:r>
        <w:rPr>
          <w:rtl/>
        </w:rPr>
        <w:t xml:space="preserve">חוֹלֵם מָלֵא בְּוָא''ו, סְלִיק בְּאַתְווֹי אהי''ה, וּתְלַת נִיצוֹצִין י' י' י' כְּחוּשְׁבַּן יהו''ה, דְּאִיהוּ כ''ו וְאַרְבַּע אַתְוָון סְלִיק לְחֻשְׁבַּן יהו''ה אהי''ה נ''א, </w:t>
      </w:r>
      <w:r>
        <w:rPr>
          <w:rStyle w:val="a7"/>
          <w:rtl/>
        </w:rPr>
        <w:footnoteReference w:id="558"/>
      </w:r>
      <w:r>
        <w:rPr>
          <w:rtl/>
        </w:rPr>
        <w:t xml:space="preserve">בְּרָזָא יהו''ה כיהו''ה, </w:t>
      </w:r>
      <w:r>
        <w:rPr>
          <w:rStyle w:val="a7"/>
          <w:rtl/>
        </w:rPr>
        <w:footnoteReference w:id="559"/>
      </w:r>
      <w:r>
        <w:rPr>
          <w:rtl/>
        </w:rPr>
        <w:t xml:space="preserve">וּסְגוּלָה דִילֵיהּ </w:t>
      </w:r>
      <w:r>
        <w:rPr>
          <w:sz w:val="20"/>
          <w:szCs w:val="23"/>
          <w:rtl/>
        </w:rPr>
        <w:t>(במדבר יב יג)</w:t>
      </w:r>
      <w:r>
        <w:rPr>
          <w:rtl/>
        </w:rPr>
        <w:t xml:space="preserve"> אֵ''ל נָא רְפָא נָ''א לָהּ, אָנָּא יהו''ה הוֹשִׁיעָה נָּ''א </w:t>
      </w:r>
      <w:r>
        <w:rPr>
          <w:sz w:val="20"/>
          <w:szCs w:val="23"/>
          <w:rtl/>
        </w:rPr>
        <w:t>(תהלים קיח כה)</w:t>
      </w:r>
      <w:r>
        <w:rPr>
          <w:rtl/>
        </w:rPr>
        <w:t xml:space="preserve">, </w:t>
      </w:r>
      <w:r>
        <w:rPr>
          <w:rStyle w:val="a7"/>
          <w:rtl/>
        </w:rPr>
        <w:footnoteReference w:id="560"/>
      </w:r>
      <w:r>
        <w:rPr>
          <w:rtl/>
        </w:rPr>
        <w:t xml:space="preserve">אהי''ה כ''א, כ' כֶּתֶר, א' אֵין סוֹף, </w:t>
      </w:r>
      <w:r>
        <w:rPr>
          <w:rStyle w:val="a7"/>
          <w:rtl/>
        </w:rPr>
        <w:footnoteReference w:id="561"/>
      </w:r>
      <w:r>
        <w:rPr>
          <w:rtl/>
        </w:rPr>
        <w:t xml:space="preserve">אֵין קָדוֹשׁ כַּייָ' וגו' </w:t>
      </w:r>
      <w:r>
        <w:rPr>
          <w:sz w:val="20"/>
          <w:szCs w:val="23"/>
          <w:rtl/>
        </w:rPr>
        <w:t>(ש''א ב ב)</w:t>
      </w:r>
      <w:r>
        <w:rPr>
          <w:rtl/>
        </w:rPr>
        <w:t>.</w:t>
      </w:r>
    </w:p>
    <w:p w:rsidR="00D45634" w:rsidRDefault="00D45634" w:rsidP="00B17EA9">
      <w:pPr>
        <w:pStyle w:val="NormalWeb"/>
        <w:rPr>
          <w:rtl/>
        </w:rPr>
      </w:pPr>
      <w:r>
        <w:rPr>
          <w:rtl/>
        </w:rPr>
        <w:lastRenderedPageBreak/>
        <w:t xml:space="preserve">וְחוֹלֵם סְגוֹלְתֵּיהּ לְחֶלְמָא, דְּבֵיהּ אִתְּמַר וַיַּחֲלֹם וְהִנֵּה סֻלָּם מֻצָּב אַרְצָה כו' </w:t>
      </w:r>
      <w:r>
        <w:rPr>
          <w:sz w:val="20"/>
          <w:szCs w:val="23"/>
          <w:rtl/>
        </w:rPr>
        <w:t>(בראשית כח יב)</w:t>
      </w:r>
      <w:r>
        <w:rPr>
          <w:rtl/>
        </w:rPr>
        <w:t xml:space="preserve">, וְעוֹד חוֹלֵם מוֹחֵל עֲוֹנוֹת יִשְׂרָאֵל, חֹלֵם חָסֵר אִיהוּ ה''י מִן אֱלֹהִי''ם, תְּלַת נִיצוֹצוֹת ל' מִן אֱלֹהִי''ם, </w:t>
      </w:r>
      <w:r>
        <w:rPr>
          <w:rStyle w:val="a7"/>
          <w:rtl/>
        </w:rPr>
        <w:footnoteReference w:id="562"/>
      </w:r>
      <w:r>
        <w:rPr>
          <w:rtl/>
        </w:rPr>
        <w:t xml:space="preserve">אִשְׁתָּאַר א''ם, דְּאִתְּמַר בָּהּ כִּי אִם לַבִּינָה תִקְרָא </w:t>
      </w:r>
      <w:r>
        <w:rPr>
          <w:sz w:val="20"/>
          <w:szCs w:val="23"/>
          <w:rtl/>
        </w:rPr>
        <w:t>(משלי ב ג)</w:t>
      </w:r>
      <w:r>
        <w:rPr>
          <w:rtl/>
        </w:rPr>
        <w:t>, וְלַאו צָרִיךְ לַאֲרָכָא בְּנִקּוּדֵי, דְהָא אִתְאַמְרוּ.</w:t>
      </w:r>
    </w:p>
    <w:p w:rsidR="00D45634" w:rsidRDefault="00D45634" w:rsidP="00B17EA9">
      <w:pPr>
        <w:pStyle w:val="NormalWeb"/>
        <w:rPr>
          <w:rtl/>
        </w:rPr>
      </w:pPr>
      <w:r>
        <w:rPr>
          <w:rtl/>
        </w:rPr>
        <w:t xml:space="preserve">דָּבָר אַחֵר וְהַמַּשְׂכִּילִים, אִלֵּין דְּיָדְעִי בְּפִקּוּדָא חֲמִישָׁאָה בְּמִלַּת בְּרֵאשִׁי''ת, </w:t>
      </w:r>
      <w:r>
        <w:rPr>
          <w:rStyle w:val="a7"/>
          <w:rtl/>
        </w:rPr>
        <w:footnoteReference w:id="563"/>
      </w:r>
      <w:r>
        <w:rPr>
          <w:rtl/>
        </w:rPr>
        <w:t xml:space="preserve">יָרֵ''א שַׁבָּ''ת, אַזְהָרָה דִילֵיהּ דְּלָא לְחַלְלָא בְּרַתָּא דְמַלְכָּא </w:t>
      </w:r>
      <w:r>
        <w:rPr>
          <w:rStyle w:val="a7"/>
          <w:rtl/>
        </w:rPr>
        <w:footnoteReference w:id="564"/>
      </w:r>
      <w:r>
        <w:rPr>
          <w:rtl/>
        </w:rPr>
        <w:t xml:space="preserve">בְּטַ''ל מְלָאכוֹת, דְּאִינוּן אַרְבָּעִים מְלָאכוֹת חָסֵר חָד, </w:t>
      </w:r>
      <w:r>
        <w:rPr>
          <w:rStyle w:val="a7"/>
          <w:rtl/>
        </w:rPr>
        <w:footnoteReference w:id="565"/>
      </w:r>
      <w:r>
        <w:rPr>
          <w:rtl/>
        </w:rPr>
        <w:t xml:space="preserve">לָקֳבֵל אַרְבָּעִים מַלְקִיּוֹת חָסֵר חָד, רְצוּעָה לְאַלְקָאָה אִיהִי שִׁפְחָה בִּישָׁא, </w:t>
      </w:r>
      <w:r>
        <w:rPr>
          <w:rStyle w:val="a7"/>
          <w:rtl/>
        </w:rPr>
        <w:footnoteReference w:id="566"/>
      </w:r>
      <w:r>
        <w:rPr>
          <w:rtl/>
        </w:rPr>
        <w:t xml:space="preserve">שַׁעַטְנֵז, כְּלִילָא מִשּׁוֹר וַחֲמוֹר, </w:t>
      </w:r>
      <w:r>
        <w:rPr>
          <w:rStyle w:val="a7"/>
          <w:rtl/>
        </w:rPr>
        <w:footnoteReference w:id="567"/>
      </w:r>
      <w:r>
        <w:rPr>
          <w:rtl/>
        </w:rPr>
        <w:t xml:space="preserve">דְּאָמַר יַעֲקֹב וַיְהִי לִי שׁוֹר וַחֲמוֹר </w:t>
      </w:r>
      <w:r>
        <w:rPr>
          <w:sz w:val="20"/>
          <w:szCs w:val="23"/>
          <w:rtl/>
        </w:rPr>
        <w:t>(בראשית לב ו)</w:t>
      </w:r>
      <w:r>
        <w:rPr>
          <w:rtl/>
        </w:rPr>
        <w:t xml:space="preserve">, </w:t>
      </w:r>
      <w:r>
        <w:rPr>
          <w:rStyle w:val="a7"/>
          <w:rtl/>
        </w:rPr>
        <w:footnoteReference w:id="568"/>
      </w:r>
      <w:r>
        <w:rPr>
          <w:rtl/>
        </w:rPr>
        <w:t xml:space="preserve">עַל כָּל דְּבַר פֶּשַׁע עַל שׁוֹר עַל חֲמוֹר </w:t>
      </w:r>
      <w:r>
        <w:rPr>
          <w:sz w:val="20"/>
          <w:szCs w:val="23"/>
          <w:rtl/>
        </w:rPr>
        <w:t>(שמות כב ח)</w:t>
      </w:r>
      <w:r>
        <w:rPr>
          <w:rtl/>
        </w:rPr>
        <w:t xml:space="preserve">, </w:t>
      </w:r>
      <w:r>
        <w:rPr>
          <w:rStyle w:val="a7"/>
          <w:rtl/>
        </w:rPr>
        <w:footnoteReference w:id="569"/>
      </w:r>
      <w:r>
        <w:rPr>
          <w:rtl/>
        </w:rPr>
        <w:t>דְּאֵין מַלְקִין בְּשַׁבָּת, דְּלָא שַׁלְטָא שִׁפְחָה בִּישָׁא עַל עָלְמָא, וַוי לֵיהּ לְמָאן דְּאַשְׁלִיט לָהּ עַל עָלְמָא.</w:t>
      </w:r>
    </w:p>
    <w:p w:rsidR="00D45634" w:rsidRDefault="00D45634" w:rsidP="00B17EA9">
      <w:pPr>
        <w:pStyle w:val="NormalWeb"/>
        <w:rPr>
          <w:rtl/>
        </w:rPr>
      </w:pPr>
      <w:r>
        <w:rPr>
          <w:rStyle w:val="a7"/>
          <w:rtl/>
        </w:rPr>
        <w:footnoteReference w:id="570"/>
      </w:r>
      <w:r>
        <w:rPr>
          <w:rtl/>
        </w:rPr>
        <w:t xml:space="preserve">וּבְגִין דָּא אֶת שַׁבְּתוֹתַי תִּשְׁמֹרוּ </w:t>
      </w:r>
      <w:r>
        <w:rPr>
          <w:sz w:val="20"/>
          <w:szCs w:val="23"/>
          <w:rtl/>
        </w:rPr>
        <w:t>(ויקרא כו ב)</w:t>
      </w:r>
      <w:r>
        <w:rPr>
          <w:rtl/>
        </w:rPr>
        <w:t xml:space="preserve">, דָא בַּת יְחִידָה, דְאִיהִי שְׁמִירָה אַחַת לְשַׁבָּתוֹת הַרְבֵּה, בָּהּ תַּלְיָין כָּל שְׁמִירָתָן דְּעֶשֶׂר סְפִירוֹת, דְּאִתְקְרִיאוּ שַׁבָּתוֹת הַרְבֵּה, וְשָׁמְרוּ בְנֵי יִשְׂרָאֵל אֶת הַשַּׁבָּת </w:t>
      </w:r>
      <w:r>
        <w:rPr>
          <w:sz w:val="20"/>
          <w:szCs w:val="23"/>
          <w:rtl/>
        </w:rPr>
        <w:t>(שמות לא טז)</w:t>
      </w:r>
      <w:r>
        <w:rPr>
          <w:rtl/>
        </w:rPr>
        <w:t xml:space="preserve">, דָּא בַּת יְחִידָה, דְאִיהִי שְׁמִירָה לְיִשְׂרָאֵל בְּכָל שַׁבָּת וְשַׁבָּת, </w:t>
      </w:r>
      <w:r>
        <w:rPr>
          <w:rStyle w:val="a7"/>
          <w:rtl/>
        </w:rPr>
        <w:footnoteReference w:id="571"/>
      </w:r>
      <w:r>
        <w:rPr>
          <w:rtl/>
        </w:rPr>
        <w:t xml:space="preserve">וּמָאן דִּמְחַלֵּל לָהּ לַאו אִיהוּ נָטִיר מִקּוּדְשָׁא בְּרִיךְ הוּא, וְלֹא עוֹד אֶלָּא דְאִתְּמַר בָּהּ </w:t>
      </w:r>
      <w:r>
        <w:rPr>
          <w:sz w:val="20"/>
          <w:szCs w:val="23"/>
          <w:rtl/>
        </w:rPr>
        <w:t>(שם יד)</w:t>
      </w:r>
      <w:r>
        <w:rPr>
          <w:rtl/>
        </w:rPr>
        <w:t xml:space="preserve"> מְחַלֲלֶיהָ מוֹת יוּמָת, מָאן דְּאַעִיל </w:t>
      </w:r>
      <w:r>
        <w:rPr>
          <w:rStyle w:val="a7"/>
          <w:rtl/>
        </w:rPr>
        <w:footnoteReference w:id="572"/>
      </w:r>
      <w:r>
        <w:rPr>
          <w:rtl/>
        </w:rPr>
        <w:t xml:space="preserve">בִּרְשׁוּת דִּילָהּ שִׁפְחָה חֲלָלָה זוֹנָה, </w:t>
      </w:r>
      <w:r>
        <w:rPr>
          <w:rStyle w:val="a7"/>
          <w:rtl/>
        </w:rPr>
        <w:footnoteReference w:id="573"/>
      </w:r>
      <w:r>
        <w:rPr>
          <w:rtl/>
        </w:rPr>
        <w:t xml:space="preserve">דִּרְשׁוּת דִּילָהּ אִיהוּ תְּחוּם שַׁבָּת, כְּגַוְונָא דִתְּחוּם וּגְבוּל דְּיַמָּא, דְאִתְּמַר שַׂמְתִּי חוֹל גְּבוּל לַיָּם </w:t>
      </w:r>
      <w:r>
        <w:rPr>
          <w:sz w:val="20"/>
          <w:szCs w:val="23"/>
          <w:rtl/>
        </w:rPr>
        <w:t>(ירמיהו ה כב)</w:t>
      </w:r>
      <w:r>
        <w:rPr>
          <w:rtl/>
        </w:rPr>
        <w:t xml:space="preserve">, </w:t>
      </w:r>
      <w:r>
        <w:rPr>
          <w:rStyle w:val="a7"/>
          <w:rtl/>
        </w:rPr>
        <w:footnoteReference w:id="574"/>
      </w:r>
      <w:r>
        <w:rPr>
          <w:rtl/>
        </w:rPr>
        <w:t xml:space="preserve">וּמַאי נִיהוּ וְהָיָה מִסְפַּר בְּנֵי יִשְׂרָאֵל כְּחוֹל הַיָּם </w:t>
      </w:r>
      <w:r>
        <w:rPr>
          <w:sz w:val="20"/>
          <w:szCs w:val="23"/>
          <w:rtl/>
        </w:rPr>
        <w:t>(הושע ב כ)</w:t>
      </w:r>
      <w:r>
        <w:rPr>
          <w:rtl/>
        </w:rPr>
        <w:t xml:space="preserve">, </w:t>
      </w:r>
      <w:r>
        <w:rPr>
          <w:rStyle w:val="a7"/>
          <w:rtl/>
        </w:rPr>
        <w:footnoteReference w:id="575"/>
      </w:r>
      <w:r>
        <w:rPr>
          <w:rtl/>
        </w:rPr>
        <w:t>וְלֵית יָם אֶלָּא אוֹרַיְיתָא.</w:t>
      </w:r>
    </w:p>
    <w:p w:rsidR="00D45634" w:rsidRDefault="00D45634" w:rsidP="00B17EA9">
      <w:pPr>
        <w:pStyle w:val="NormalWeb"/>
        <w:rPr>
          <w:rtl/>
        </w:rPr>
      </w:pPr>
      <w:r>
        <w:rPr>
          <w:rtl/>
        </w:rPr>
        <w:t xml:space="preserve">וְשַׁבָּת שְׁקִילַא לְכָל אוֹרַיְיתָא. מָאן דְּאַעֲבַר עֲלָהּ כְּאִלּוּ חָזַר עָלְמָא לְתֹהוּ וָבֹהוּ, וּבְגִין דָּא קְרָא סָמִיךְ לֵיהּ, וְהָאָרֶץ הָיְתָה תֹהוּ וָבֹהוּ </w:t>
      </w:r>
      <w:r>
        <w:rPr>
          <w:sz w:val="20"/>
          <w:szCs w:val="23"/>
          <w:rtl/>
        </w:rPr>
        <w:t>(בראשית א ב)</w:t>
      </w:r>
      <w:r>
        <w:rPr>
          <w:rtl/>
        </w:rPr>
        <w:t xml:space="preserve">, </w:t>
      </w:r>
      <w:r>
        <w:rPr>
          <w:rStyle w:val="a7"/>
          <w:rtl/>
        </w:rPr>
        <w:footnoteReference w:id="576"/>
      </w:r>
      <w:r>
        <w:rPr>
          <w:rtl/>
        </w:rPr>
        <w:t xml:space="preserve">דְּאִיהוּ חוֹל לְיָם, כְּחוּלְיָא דְשַׁלְשְׁלָאָה לְכַלְבָּא, מָאן דְּאַפִּיק לֵיהּ מִשַּׁלְשְׁלָאֵיהּ, גְּרִים כַּמָּה נִשּׁוּכִין דְּיִסּוּרִין דְּנָשִׁיךְ לֵיהּ, וּבְגִינֵיהּ אָמַר דָּוִד הַצִּילָה מֵחֶרֶב נַפְשִׁי מִיַּד כֶּלֶב יְחִידָתִי </w:t>
      </w:r>
      <w:r>
        <w:rPr>
          <w:sz w:val="20"/>
          <w:szCs w:val="23"/>
          <w:rtl/>
        </w:rPr>
        <w:t>(תהלים כב כא)</w:t>
      </w:r>
      <w:r>
        <w:rPr>
          <w:rtl/>
        </w:rPr>
        <w:t xml:space="preserve">, וְדָא </w:t>
      </w:r>
      <w:r>
        <w:rPr>
          <w:rtl/>
        </w:rPr>
        <w:lastRenderedPageBreak/>
        <w:t xml:space="preserve">סמא''ל דְּאִיהוּ תָּפִיס בְּקוֹלָר, מִסִּטְרָא דְאִלֵּין דְּקָשְׁרִין לֵיהּ בְּאוֹת דִּתְּפִלִּין, וּרְצוּעָה בְּקֶשֶׁר עַל דְּרוֹעִיהּ, וְקָשׁוּר בִּתְרֵין רְצוּעִין עַל קַרְנוֹי, </w:t>
      </w:r>
      <w:r>
        <w:rPr>
          <w:rStyle w:val="a7"/>
          <w:rtl/>
        </w:rPr>
        <w:footnoteReference w:id="577"/>
      </w:r>
      <w:r>
        <w:rPr>
          <w:rtl/>
        </w:rPr>
        <w:t>דְּאִיהוּ שׁוֹר מוּעָד.</w:t>
      </w:r>
    </w:p>
    <w:p w:rsidR="00D45634" w:rsidRDefault="00D45634" w:rsidP="00B17EA9">
      <w:pPr>
        <w:pStyle w:val="NormalWeb"/>
        <w:rPr>
          <w:rtl/>
        </w:rPr>
      </w:pPr>
      <w:r>
        <w:rPr>
          <w:rStyle w:val="a7"/>
          <w:rtl/>
        </w:rPr>
        <w:footnoteReference w:id="578"/>
      </w:r>
      <w:r>
        <w:rPr>
          <w:rtl/>
        </w:rPr>
        <w:t xml:space="preserve">וּשְׁכִינְתָּא שַׁבָּת יְחִידָה, אִיהִי רְשׁוּת </w:t>
      </w:r>
      <w:r>
        <w:rPr>
          <w:rStyle w:val="a7"/>
          <w:rtl/>
        </w:rPr>
        <w:footnoteReference w:id="579"/>
      </w:r>
      <w:r>
        <w:rPr>
          <w:rtl/>
        </w:rPr>
        <w:t xml:space="preserve">דְּיִחוּדָא דְעָלְמָא, דְאִיהוּ </w:t>
      </w:r>
      <w:r>
        <w:rPr>
          <w:rStyle w:val="a7"/>
          <w:rtl/>
        </w:rPr>
        <w:footnoteReference w:id="580"/>
      </w:r>
      <w:r>
        <w:rPr>
          <w:rtl/>
        </w:rPr>
        <w:t xml:space="preserve">גָבְהוֹ עֶשֶׂר אַתְוָון דִּשְׁמָא מְפָרַשׁ יו''ד ה''א וא''ו ה''א, וְרָחְבּוֹ ד' יהו''ה, עֹנֶ''ג שַׁבָּת בְּהִפּוּכָא נֶגַ''ע, מָאן דְּאִית לֵיהּ וְלָא מְקַיֵּים לֵיהּ, אִתְהַפַּךְ לֵיהּ לְנֶגַ''ע צָרַעַת, שִׁפְחָה </w:t>
      </w:r>
      <w:r>
        <w:rPr>
          <w:rStyle w:val="a7"/>
          <w:rtl/>
        </w:rPr>
        <w:footnoteReference w:id="581"/>
      </w:r>
      <w:r>
        <w:rPr>
          <w:rtl/>
        </w:rPr>
        <w:t xml:space="preserve">דַחֲרִיבַת בֵּיתֵיהּ, וְנָתַץ אֶת הַבַּיִת אֶת אֲבָנָיו וְאֶת עִצָיו </w:t>
      </w:r>
      <w:r>
        <w:rPr>
          <w:sz w:val="20"/>
          <w:szCs w:val="23"/>
          <w:rtl/>
        </w:rPr>
        <w:t>(ויקרא יד מה)</w:t>
      </w:r>
      <w:r>
        <w:rPr>
          <w:rtl/>
        </w:rPr>
        <w:t>, וְדָא הוּא עֲנִיּוּתָא, דְאִיהוּ בַּאֲתַר דְּנֶגַע צָרַעַת, חָזַר בִּתְיוּבְתָּא וְטִהֲרוֹ הַכֹּהֵן, דָּא מִיכָאֵ''ל כֹּהֵן גָּדוֹל, מְמַנָּא תְּחוֹת יַד חֶסֶד.</w:t>
      </w:r>
    </w:p>
    <w:p w:rsidR="00D45634" w:rsidRDefault="00D45634" w:rsidP="004D58FB">
      <w:pPr>
        <w:pStyle w:val="2"/>
        <w:rPr>
          <w:rtl/>
        </w:rPr>
      </w:pPr>
      <w:r>
        <w:rPr>
          <w:rtl/>
        </w:rPr>
        <w:t>[תיקוני זוהר - דף יב ע''א]</w:t>
      </w:r>
    </w:p>
    <w:p w:rsidR="00D45634" w:rsidRDefault="00D45634" w:rsidP="00B17EA9">
      <w:pPr>
        <w:pStyle w:val="NormalWeb"/>
        <w:rPr>
          <w:rtl/>
        </w:rPr>
      </w:pPr>
      <w:bookmarkStart w:id="40" w:name="כאן_בלימוד"/>
      <w:bookmarkEnd w:id="40"/>
      <w:r>
        <w:rPr>
          <w:rStyle w:val="a7"/>
          <w:rtl/>
        </w:rPr>
        <w:footnoteReference w:id="582"/>
      </w:r>
      <w:r>
        <w:rPr>
          <w:rtl/>
        </w:rPr>
        <w:t xml:space="preserve">עֹנֶ''ג אִיהוּ נָהָ''ר יוֹצֵא מֵעִ''דֶן לְהַשְׁקוֹת אֶת הַגָּ''ן, </w:t>
      </w:r>
      <w:r>
        <w:rPr>
          <w:rStyle w:val="a7"/>
          <w:rtl/>
        </w:rPr>
        <w:footnoteReference w:id="583"/>
      </w:r>
      <w:r>
        <w:rPr>
          <w:rtl/>
        </w:rPr>
        <w:t xml:space="preserve">דְּאִיהוּ עִדּוּן נִשְׁמָתִין, </w:t>
      </w:r>
      <w:r>
        <w:rPr>
          <w:rStyle w:val="a7"/>
          <w:rtl/>
        </w:rPr>
        <w:footnoteReference w:id="584"/>
      </w:r>
      <w:r>
        <w:rPr>
          <w:rtl/>
        </w:rPr>
        <w:t xml:space="preserve">ו' נָהָר דְּנָפִיק </w:t>
      </w:r>
      <w:r>
        <w:rPr>
          <w:sz w:val="20"/>
          <w:szCs w:val="23"/>
          <w:rtl/>
        </w:rPr>
        <w:t>(דף יב ע''א)</w:t>
      </w:r>
      <w:r>
        <w:rPr>
          <w:rtl/>
        </w:rPr>
        <w:t xml:space="preserve"> מֵעִדֶן, </w:t>
      </w:r>
      <w:r>
        <w:rPr>
          <w:rStyle w:val="a7"/>
          <w:rtl/>
        </w:rPr>
        <w:footnoteReference w:id="585"/>
      </w:r>
      <w:r>
        <w:rPr>
          <w:rtl/>
        </w:rPr>
        <w:t xml:space="preserve">מִבֵּין י''ה, וְלֵית עִדֶן אֶלָּא כֶּתֶר עֶלְיוֹן, </w:t>
      </w:r>
      <w:r>
        <w:rPr>
          <w:rStyle w:val="a7"/>
          <w:rtl/>
        </w:rPr>
        <w:footnoteReference w:id="586"/>
      </w:r>
      <w:r>
        <w:rPr>
          <w:rtl/>
        </w:rPr>
        <w:t xml:space="preserve">דְּאִיהוּ מוּפְלָא וּמְכוּסֶה, וּבְגִין דָּא אִתְּמַר בְּעִדֶן עַיִן לֹא רָאָתָה אֱלֹהִי''ם זוּלָתְךָ </w:t>
      </w:r>
      <w:r>
        <w:rPr>
          <w:sz w:val="20"/>
          <w:szCs w:val="23"/>
          <w:rtl/>
        </w:rPr>
        <w:t>(ישעיה סד ג)</w:t>
      </w:r>
      <w:r>
        <w:rPr>
          <w:szCs w:val="23"/>
          <w:rtl/>
        </w:rPr>
        <w:t xml:space="preserve">, </w:t>
      </w:r>
      <w:r>
        <w:rPr>
          <w:rStyle w:val="Char"/>
          <w:rtl/>
        </w:rPr>
        <w:t>לְהַשְׁקוֹת אֶת הַגָּן</w:t>
      </w:r>
      <w:r>
        <w:rPr>
          <w:szCs w:val="23"/>
          <w:rtl/>
        </w:rPr>
        <w:t xml:space="preserve"> </w:t>
      </w:r>
      <w:r>
        <w:rPr>
          <w:sz w:val="20"/>
          <w:szCs w:val="23"/>
          <w:rtl/>
        </w:rPr>
        <w:t>(בראשית ב ו)</w:t>
      </w:r>
      <w:r>
        <w:rPr>
          <w:rtl/>
        </w:rPr>
        <w:t xml:space="preserve"> דָּא ה' תַּתָּאָה.</w:t>
      </w:r>
    </w:p>
    <w:p w:rsidR="00D45634" w:rsidRDefault="00D45634" w:rsidP="00B17EA9">
      <w:pPr>
        <w:pStyle w:val="NormalWeb"/>
        <w:rPr>
          <w:rtl/>
        </w:rPr>
      </w:pPr>
      <w:r>
        <w:rPr>
          <w:rtl/>
        </w:rPr>
        <w:t xml:space="preserve">אַרְבָּעִים מַלְקִיּוֹת חָסֵר חַד כְּחֻשְׁבַּן טַ''ל, מָאן דְּנָטִיר לָהּ מִנַּיְיהוּ, נָחִית טַ''ל עֲלֵיהּ, דְּאִיהוּ יו''ד ה''א וא''ו, </w:t>
      </w:r>
      <w:r>
        <w:rPr>
          <w:rStyle w:val="a7"/>
          <w:rtl/>
        </w:rPr>
        <w:footnoteReference w:id="587"/>
      </w:r>
      <w:r>
        <w:rPr>
          <w:rtl/>
        </w:rPr>
        <w:t xml:space="preserve">טַ''ל לְהַחֲיוֹת הַמֵּתִים, </w:t>
      </w:r>
      <w:r>
        <w:rPr>
          <w:rStyle w:val="a7"/>
          <w:rtl/>
        </w:rPr>
        <w:footnoteReference w:id="588"/>
      </w:r>
      <w:r>
        <w:rPr>
          <w:rtl/>
        </w:rPr>
        <w:t xml:space="preserve">וַעֲלֵיהּ אוּקְמוּהוּ רַבָּנָן דְּמַתְנִיתִין, כָּל הָעוֹסֵק בְּטַל תּוֹרָה טַל תּוֹרָה מְחַיֵּיהוּ. וְעוֹד וְהַמַּשְׂכִּילִים יַזְהִירוּ </w:t>
      </w:r>
      <w:r>
        <w:rPr>
          <w:sz w:val="20"/>
          <w:szCs w:val="23"/>
          <w:rtl/>
        </w:rPr>
        <w:t>(דניאל יב ג)</w:t>
      </w:r>
      <w:r>
        <w:rPr>
          <w:rtl/>
        </w:rPr>
        <w:t xml:space="preserve">, אִלֵּין דְּיָדְעִין בְּפִקּוּדָא שְׁתִיתָאָה דְאִתְרְמִיזַת בְּמִלַּת בְּרֵאשִׁית, בַּיִ''ת תַּמָּן, דְּאִתְּמַר עֲלָהּ גַּם צִפּוֹר מָצְאָה בַיִת, וּדְרוֹר קֵן לָהּ </w:t>
      </w:r>
      <w:r>
        <w:rPr>
          <w:sz w:val="20"/>
          <w:szCs w:val="23"/>
          <w:rtl/>
        </w:rPr>
        <w:t>(תהלים פד ד)</w:t>
      </w:r>
      <w:r>
        <w:rPr>
          <w:rtl/>
        </w:rPr>
        <w:t xml:space="preserve">, וְהָא יְנוּקִין יָדְעִין דִּדְרוֹר קֵן לָהּ, וְאָתָא דָוִד לְמֵימַר בְּרוּחַ קוּדְשָׁא, אֶלָּא דָא מִצְוַת קַן צִפּוֹר, דְּאִית בֵּיהּ כַּמָּה רָזִין, וַעֲלֵיהּ אִתְּמַר גַּם צִפּוֹר מָצְאָה בַיִת, דִּכְתִיב בְּגִינָהּ </w:t>
      </w:r>
      <w:r>
        <w:rPr>
          <w:rStyle w:val="a7"/>
          <w:rtl/>
        </w:rPr>
        <w:footnoteReference w:id="589"/>
      </w:r>
      <w:r>
        <w:rPr>
          <w:rtl/>
        </w:rPr>
        <w:t xml:space="preserve">כִּי בֵיתִי בֵּית תְּפִלָּה </w:t>
      </w:r>
      <w:r>
        <w:rPr>
          <w:sz w:val="20"/>
          <w:szCs w:val="23"/>
          <w:rtl/>
        </w:rPr>
        <w:t>(ישעיה נו ז)</w:t>
      </w:r>
      <w:r>
        <w:rPr>
          <w:rtl/>
        </w:rPr>
        <w:t xml:space="preserve">, דָא בֵּי כְּנִישְׁתָּא, </w:t>
      </w:r>
      <w:r>
        <w:rPr>
          <w:rStyle w:val="a7"/>
          <w:rtl/>
        </w:rPr>
        <w:footnoteReference w:id="590"/>
      </w:r>
      <w:r>
        <w:rPr>
          <w:rtl/>
        </w:rPr>
        <w:t xml:space="preserve">וּדְרוֹר קֵן לָהּ דָּא בֵּי מֶדְרָשָׁא, אֲשֶׁר שָׁתָה אֶפְרוֹחֶיהָ אִלֵּין </w:t>
      </w:r>
      <w:r>
        <w:rPr>
          <w:rStyle w:val="a7"/>
          <w:rtl/>
        </w:rPr>
        <w:footnoteReference w:id="591"/>
      </w:r>
      <w:r>
        <w:rPr>
          <w:rtl/>
        </w:rPr>
        <w:t xml:space="preserve">מָארֵי תוֹרָה, מָארֵי מִשְׁנָה, מָארֵי קַבָּלָה, </w:t>
      </w:r>
      <w:r>
        <w:rPr>
          <w:rStyle w:val="a7"/>
          <w:rtl/>
        </w:rPr>
        <w:footnoteReference w:id="592"/>
      </w:r>
      <w:r>
        <w:rPr>
          <w:rtl/>
        </w:rPr>
        <w:t>דִבְגִינְהוֹן לָא זָזָה שְׁכִינְתָּא מִיִּשְׂרָאֵל.</w:t>
      </w:r>
    </w:p>
    <w:p w:rsidR="00D45634" w:rsidRDefault="00D45634" w:rsidP="004D58FB">
      <w:pPr>
        <w:pStyle w:val="2"/>
        <w:rPr>
          <w:rtl/>
        </w:rPr>
      </w:pPr>
      <w:r>
        <w:rPr>
          <w:rtl/>
        </w:rPr>
        <w:lastRenderedPageBreak/>
        <w:t>[תיקוני זוהר - דף עא ע''א]</w:t>
      </w:r>
    </w:p>
    <w:p w:rsidR="00D45634" w:rsidRDefault="00D45634" w:rsidP="00B17EA9">
      <w:pPr>
        <w:pStyle w:val="NormalWeb"/>
        <w:rPr>
          <w:rtl/>
        </w:rPr>
      </w:pPr>
      <w:r>
        <w:rPr>
          <w:rFonts w:hAnsi="Arial" w:cs="Guttman Drogolin"/>
          <w:sz w:val="25"/>
          <w:szCs w:val="25"/>
          <w:rtl/>
        </w:rPr>
        <w:t>(תיקון כז)</w:t>
      </w:r>
      <w:r>
        <w:rPr>
          <w:rtl/>
        </w:rPr>
        <w:t xml:space="preserve"> </w:t>
      </w:r>
      <w:r>
        <w:rPr>
          <w:sz w:val="20"/>
          <w:szCs w:val="23"/>
          <w:rtl/>
        </w:rPr>
        <w:t>(דף עא</w:t>
      </w:r>
      <w:r>
        <w:rPr>
          <w:rtl/>
        </w:rPr>
        <w:t xml:space="preserve"> </w:t>
      </w:r>
      <w:r>
        <w:rPr>
          <w:sz w:val="20"/>
          <w:szCs w:val="23"/>
          <w:rtl/>
        </w:rPr>
        <w:t>ע''א)</w:t>
      </w:r>
      <w:r>
        <w:rPr>
          <w:rtl/>
        </w:rPr>
        <w:t xml:space="preserve"> בְּרֵאשִׁית בָּרָא אֱלֹהִי''ם, </w:t>
      </w:r>
      <w:r>
        <w:rPr>
          <w:rStyle w:val="a7"/>
          <w:rtl/>
        </w:rPr>
        <w:footnoteReference w:id="593"/>
      </w:r>
      <w:r>
        <w:rPr>
          <w:rtl/>
        </w:rPr>
        <w:t xml:space="preserve">פָּתַח רַבִּי שִׁמְעוֹן וְאָמַר, וְהַמַּשְׂכִּילִים </w:t>
      </w:r>
      <w:r>
        <w:rPr>
          <w:rStyle w:val="a7"/>
          <w:rtl/>
        </w:rPr>
        <w:footnoteReference w:id="594"/>
      </w:r>
      <w:r>
        <w:rPr>
          <w:rtl/>
        </w:rPr>
        <w:t xml:space="preserve">יַזְהִירוּ </w:t>
      </w:r>
      <w:r>
        <w:rPr>
          <w:rStyle w:val="a7"/>
          <w:rtl/>
        </w:rPr>
        <w:footnoteReference w:id="595"/>
      </w:r>
      <w:r>
        <w:rPr>
          <w:rtl/>
        </w:rPr>
        <w:t xml:space="preserve">כְּזֹהַר הָרָקִיעַ </w:t>
      </w:r>
      <w:r>
        <w:rPr>
          <w:sz w:val="20"/>
          <w:szCs w:val="23"/>
          <w:rtl/>
        </w:rPr>
        <w:t>(דניאל יב ג)</w:t>
      </w:r>
      <w:r>
        <w:rPr>
          <w:rtl/>
        </w:rPr>
        <w:t>, והמשכילים אִלֵּין אַתְוָון, דְּאִינוּן לְבוּשִׁין דְּאוֹרַיְיתָא, מְרַקְמָן מִכָּל גַּוְונָא דְנוּרָא, חִוָּור וְסוּמָק וְיָרוֹק וְאוּכָּם, וּמִנְּהוֹן אִתְפָּרְשָׁן לְכַמָּה גַוָּונִין.</w:t>
      </w:r>
    </w:p>
    <w:p w:rsidR="00D45634" w:rsidRDefault="00D45634" w:rsidP="00B17EA9">
      <w:pPr>
        <w:pStyle w:val="NormalWeb"/>
        <w:rPr>
          <w:rtl/>
        </w:rPr>
      </w:pPr>
      <w:r>
        <w:rPr>
          <w:rtl/>
        </w:rPr>
        <w:t>וְכֻלְּהוּ גַוָּונִין, אִינוּן מְרַקְמָן בְּמִשְׁכָא דְגוּפָא דְבַר נַשׁ דְּאִיהוּ בְּגִינְתָא דְעִדֶן, וּרְקִיעָא בְּאִלֵּין אַתְוָון אִיהוּ מְצוּיָיר וּמְרוּקָם, בְּגִין דִּבְהוֹן אִתְבְּרֵי.</w:t>
      </w:r>
    </w:p>
    <w:p w:rsidR="00D45634" w:rsidRDefault="00D45634" w:rsidP="00B17EA9">
      <w:pPr>
        <w:pStyle w:val="NormalWeb"/>
        <w:rPr>
          <w:rtl/>
        </w:rPr>
      </w:pPr>
      <w:r>
        <w:rPr>
          <w:rtl/>
        </w:rPr>
        <w:t>יַזְהִירוּ אִלֵּין נְקוּדִין דְּנָהֲרִין בְּאַתְוָון, וּבְהוֹן נְהִירִין כֹּכְבַיָּא בִּרְקִיעָא בְּגִנְּתָא דְעִדֶן, וְכֻלְּהוּ נְהִירִין בְּעַיְינִין דְּגוּפָא בְּגִנְּתָא דְעִדֶן.</w:t>
      </w:r>
    </w:p>
    <w:p w:rsidR="00D45634" w:rsidRDefault="00D45634" w:rsidP="00B17EA9">
      <w:pPr>
        <w:pStyle w:val="NormalWeb"/>
        <w:rPr>
          <w:rtl/>
        </w:rPr>
      </w:pPr>
      <w:r>
        <w:rPr>
          <w:rtl/>
        </w:rPr>
        <w:t>כְּזֹהַר אִלֵּין טַעֲמֵי אוֹרַיְיתָא, דִבְהוֹן מִתְנַהֲגִין אַתְוָון וּנְקוּדֵי, וּבְהַהוּא גוּפָא דְגִנְּתָא, כְּזֹהַר דָּא נִשְׁמָתָא, דְאִיהִי תְּנוּעָה דְאַתְוָון וּנְקוּדֵי, דְּנָהֲרִין בְּאַנְפִּין וּבְעַיְינִין, וְנַפְשָׁא אִיהִי כְּלָלָא דְאַתְוָון, וְאִיהִי שִׁתּוּפָא דְגוּפָא, רוּחָא אִיהִי כְּלָלָא דְנִקּוּדֵי דְנָהֲרִין בְּעַיְינִין.</w:t>
      </w:r>
    </w:p>
    <w:p w:rsidR="00D45634" w:rsidRDefault="00D45634" w:rsidP="00B17EA9">
      <w:pPr>
        <w:pStyle w:val="aa"/>
        <w:rPr>
          <w:rtl/>
        </w:rPr>
      </w:pPr>
      <w:r>
        <w:rPr>
          <w:rtl/>
        </w:rPr>
        <w:t>[תיקוני זוהר - דף עא ע''ב]</w:t>
      </w:r>
    </w:p>
    <w:p w:rsidR="00D45634" w:rsidRDefault="00D45634" w:rsidP="00B17EA9">
      <w:pPr>
        <w:pStyle w:val="NormalWeb"/>
        <w:rPr>
          <w:rtl/>
        </w:rPr>
      </w:pPr>
      <w:r>
        <w:rPr>
          <w:rtl/>
        </w:rPr>
        <w:t xml:space="preserve">קָם סָבָא חַד פָּתַח וְאָמַר, בּוֹצִינָא קַדִּישָׁא, כַּמָּה חֲיָלִין נָטְרִין </w:t>
      </w:r>
      <w:r>
        <w:rPr>
          <w:sz w:val="20"/>
          <w:szCs w:val="23"/>
          <w:rtl/>
        </w:rPr>
        <w:t>(דף עא</w:t>
      </w:r>
      <w:r>
        <w:rPr>
          <w:rtl/>
        </w:rPr>
        <w:t xml:space="preserve"> </w:t>
      </w:r>
      <w:r>
        <w:rPr>
          <w:sz w:val="20"/>
          <w:szCs w:val="23"/>
          <w:rtl/>
        </w:rPr>
        <w:t>ע''ב)</w:t>
      </w:r>
      <w:r>
        <w:rPr>
          <w:rtl/>
        </w:rPr>
        <w:t xml:space="preserve"> לָךְ בְּגִנְּתָא דְעִדֶן, כַּמָּה מַשִּׁרְיָין דְּמַלְאָכִין מִסְתַּכְּלִין מִמַּשְׁקוֹפֵי רְקִיעָא בְּגִנְּתָא, בְּזִמְנָא דְתֵעוֹל תַּמָּן, וְכֻלְּהוּ מִסְתַּכְּלִין בָּךְ, וְגַוָּונִין דִּרְקִיעָא בָּךְ יַזְהִירוּ, בְּגִין דְּבָךְ נַהֲרָא שְׁכִינְתָּא, דְאִיהִי זֹהַר הָרָקִיעַ, וְגַן אִיהוּ סָתִים וְחָתִים, עַד דְּתֵיעוֹל בֵּיהּ שְׁכִינְתָּא, הֲדָא הוּא דִכְתִיב גַּן נָעוּל אֲחוֹתִי כַלָּה </w:t>
      </w:r>
      <w:r>
        <w:rPr>
          <w:sz w:val="20"/>
          <w:szCs w:val="23"/>
          <w:rtl/>
        </w:rPr>
        <w:t>(שיר ד יב)</w:t>
      </w:r>
      <w:r>
        <w:rPr>
          <w:rtl/>
        </w:rPr>
        <w:t>.</w:t>
      </w:r>
    </w:p>
    <w:p w:rsidR="00D45634" w:rsidRDefault="00D45634" w:rsidP="00B17EA9">
      <w:pPr>
        <w:pStyle w:val="NormalWeb"/>
        <w:rPr>
          <w:rtl/>
        </w:rPr>
      </w:pPr>
      <w:r>
        <w:rPr>
          <w:rStyle w:val="a7"/>
          <w:rtl/>
        </w:rPr>
        <w:footnoteReference w:id="596"/>
      </w:r>
      <w:r>
        <w:rPr>
          <w:rtl/>
        </w:rPr>
        <w:t xml:space="preserve">וְגַוָּונִין לָא נָהֲרִין בִּרְקִיעָא עַד דְּיֵעוֹל תַּמָּן קוּדְשָׁא בְּרִיךְ הוּא, וּמִיָּד דְּיֵעוֹל תַּמָּן, אִתְּמַר בְּהוֹן </w:t>
      </w:r>
      <w:r>
        <w:rPr>
          <w:rStyle w:val="a7"/>
          <w:rtl/>
        </w:rPr>
        <w:footnoteReference w:id="597"/>
      </w:r>
      <w:r>
        <w:rPr>
          <w:rtl/>
        </w:rPr>
        <w:t xml:space="preserve">נִפְתְּחוּ הַשָּׁמַיִם </w:t>
      </w:r>
      <w:r>
        <w:rPr>
          <w:rStyle w:val="a7"/>
          <w:rtl/>
        </w:rPr>
        <w:footnoteReference w:id="598"/>
      </w:r>
      <w:r>
        <w:rPr>
          <w:rtl/>
        </w:rPr>
        <w:t xml:space="preserve">וָאֶרְאֶה מַרְאוֹת אֱלֹהִי''ם </w:t>
      </w:r>
      <w:r>
        <w:rPr>
          <w:sz w:val="20"/>
          <w:szCs w:val="23"/>
          <w:rtl/>
        </w:rPr>
        <w:t>(יחזקאל א א)</w:t>
      </w:r>
      <w:r>
        <w:rPr>
          <w:rtl/>
        </w:rPr>
        <w:t xml:space="preserve">, מַאי מַרְאוֹת אֶלָּא מַ''ר אוֹ''ת, </w:t>
      </w:r>
      <w:r>
        <w:rPr>
          <w:rStyle w:val="a7"/>
          <w:rtl/>
        </w:rPr>
        <w:footnoteReference w:id="599"/>
      </w:r>
      <w:r>
        <w:rPr>
          <w:rtl/>
        </w:rPr>
        <w:t xml:space="preserve">מַר דְּאִתְּמַר בֵּיהּ מַלְאֲכֵי שָׁלוֹם מַר יִבְכָּיוּן </w:t>
      </w:r>
      <w:r>
        <w:rPr>
          <w:sz w:val="20"/>
          <w:szCs w:val="23"/>
          <w:rtl/>
        </w:rPr>
        <w:t>(ישעיהו לג ז)</w:t>
      </w:r>
      <w:r>
        <w:rPr>
          <w:rtl/>
        </w:rPr>
        <w:t xml:space="preserve">, וְאִיהוּ </w:t>
      </w:r>
      <w:r>
        <w:rPr>
          <w:rStyle w:val="a7"/>
          <w:rtl/>
        </w:rPr>
        <w:footnoteReference w:id="600"/>
      </w:r>
      <w:r>
        <w:rPr>
          <w:rtl/>
        </w:rPr>
        <w:t xml:space="preserve">אוֹת </w:t>
      </w:r>
      <w:r>
        <w:rPr>
          <w:rStyle w:val="a7"/>
          <w:rtl/>
        </w:rPr>
        <w:footnoteReference w:id="601"/>
      </w:r>
      <w:r>
        <w:rPr>
          <w:rtl/>
        </w:rPr>
        <w:t xml:space="preserve">בַּצָּבָא דִילֵיהּ, </w:t>
      </w:r>
      <w:r>
        <w:rPr>
          <w:rStyle w:val="a7"/>
          <w:rtl/>
        </w:rPr>
        <w:footnoteReference w:id="602"/>
      </w:r>
      <w:r>
        <w:rPr>
          <w:rtl/>
        </w:rPr>
        <w:t xml:space="preserve">לֵיהּ מִתְפַּתְּחִין רְקִיעִין, וּבֵיהּ נָהֲרִין כָּל גַּוָּונִין דִּלְהוֹן, </w:t>
      </w:r>
      <w:r>
        <w:rPr>
          <w:rStyle w:val="a7"/>
          <w:rtl/>
        </w:rPr>
        <w:footnoteReference w:id="603"/>
      </w:r>
      <w:r>
        <w:rPr>
          <w:rtl/>
        </w:rPr>
        <w:t xml:space="preserve">וּכְעַן בּוֹצִינָא קַדִּישָׁא </w:t>
      </w:r>
      <w:r>
        <w:rPr>
          <w:rStyle w:val="a7"/>
          <w:rtl/>
        </w:rPr>
        <w:footnoteReference w:id="604"/>
      </w:r>
      <w:r>
        <w:rPr>
          <w:rtl/>
        </w:rPr>
        <w:t>קוּם נְהִיר גַּוָּונִין דִּרְקִיעָא בְּאַתְוָון דְּאוֹרַיְיתָא, וְנָהִיר כֹּכְבַיָּא בְּהוֹן בְּנִקּוּדֵי, כְּזֹהַר דָּא כָּרְסַיָּא יְקָרָא, דְכָל נִשְׁמָתִין קַדִּישִׁין מִתַּמָּן אִתְגַּזְרוּ.</w:t>
      </w:r>
    </w:p>
    <w:p w:rsidR="00D45634" w:rsidRDefault="00D45634" w:rsidP="00B17EA9">
      <w:pPr>
        <w:pStyle w:val="NormalWeb"/>
        <w:rPr>
          <w:rtl/>
        </w:rPr>
      </w:pPr>
      <w:r>
        <w:rPr>
          <w:rtl/>
        </w:rPr>
        <w:t xml:space="preserve">קָם בּוֹצִינָא קַדִּישָׁא, פָּתַח כְּמִלְּקַדְמִין, וְאָמַר וְהַמַּשְׂכִּילִים יַזְהִירוּ אִלֵּין אַתְוָון, דְּכֻלְּהוּ כְּלִילָן בְּאָת ב' מִן בְּרֵאשִׁית, </w:t>
      </w:r>
      <w:r>
        <w:rPr>
          <w:rStyle w:val="a7"/>
          <w:rtl/>
        </w:rPr>
        <w:footnoteReference w:id="605"/>
      </w:r>
      <w:r>
        <w:rPr>
          <w:rtl/>
        </w:rPr>
        <w:t xml:space="preserve">ב' אִיהִי בַּיִת, בֵּי מַקְדְּשָׁא, דְתַמָּן בָּהּ נָהֲרִין כָּל אַתְוָון, </w:t>
      </w:r>
      <w:r>
        <w:rPr>
          <w:rStyle w:val="a7"/>
          <w:rtl/>
        </w:rPr>
        <w:footnoteReference w:id="606"/>
      </w:r>
      <w:r>
        <w:rPr>
          <w:rtl/>
        </w:rPr>
        <w:t xml:space="preserve">רֵאשִׁית נְקוּדָה בְּהֵיכָלֵיהּ, כְּגַוְונָא דָא בּ, </w:t>
      </w:r>
      <w:r>
        <w:rPr>
          <w:rStyle w:val="a7"/>
          <w:rtl/>
        </w:rPr>
        <w:footnoteReference w:id="607"/>
      </w:r>
      <w:r>
        <w:rPr>
          <w:rtl/>
        </w:rPr>
        <w:t xml:space="preserve">עֲלָהּ אִתְּמַר </w:t>
      </w:r>
      <w:r>
        <w:rPr>
          <w:rStyle w:val="a7"/>
          <w:rtl/>
        </w:rPr>
        <w:footnoteReference w:id="608"/>
      </w:r>
      <w:r>
        <w:rPr>
          <w:rtl/>
        </w:rPr>
        <w:t xml:space="preserve">כָּל כְּבוּדָּה בַת מֶלֶךְ פְּנִימָה </w:t>
      </w:r>
      <w:r>
        <w:rPr>
          <w:sz w:val="20"/>
          <w:szCs w:val="23"/>
          <w:rtl/>
        </w:rPr>
        <w:t>(תהלים מה יד)</w:t>
      </w:r>
      <w:r>
        <w:rPr>
          <w:rtl/>
        </w:rPr>
        <w:t xml:space="preserve">, תֵּשַׁע נְקוּדִין תַּלְיָין מִינָהּ, וְאִיהִי </w:t>
      </w:r>
      <w:r>
        <w:rPr>
          <w:rStyle w:val="a7"/>
          <w:rtl/>
        </w:rPr>
        <w:footnoteReference w:id="609"/>
      </w:r>
      <w:r>
        <w:rPr>
          <w:rtl/>
        </w:rPr>
        <w:t>סַפִּיר גִּזְרָתָם עֲשִׂירִית לוֹן.</w:t>
      </w:r>
    </w:p>
    <w:p w:rsidR="00D45634" w:rsidRDefault="00D45634" w:rsidP="00B17EA9">
      <w:pPr>
        <w:pStyle w:val="NormalWeb"/>
        <w:rPr>
          <w:rtl/>
        </w:rPr>
      </w:pPr>
      <w:r>
        <w:rPr>
          <w:rStyle w:val="a7"/>
          <w:rtl/>
        </w:rPr>
        <w:lastRenderedPageBreak/>
        <w:footnoteReference w:id="610"/>
      </w:r>
      <w:r>
        <w:rPr>
          <w:rtl/>
        </w:rPr>
        <w:t xml:space="preserve">וְאִלֵּין אִינוּן דְּנָהֲרִין בְּאָת ב' דְאִיהִי בֵּי מַקְדְּשָׁא דִלְעִילָא, </w:t>
      </w:r>
      <w:r>
        <w:rPr>
          <w:rStyle w:val="a7"/>
          <w:rtl/>
        </w:rPr>
        <w:footnoteReference w:id="611"/>
      </w:r>
      <w:r>
        <w:rPr>
          <w:rtl/>
        </w:rPr>
        <w:t xml:space="preserve">וְסַפִּירִים אִתְקְרִיאוּ עַל שֵׁם הַשָּׁמַיִם </w:t>
      </w:r>
      <w:r>
        <w:rPr>
          <w:rStyle w:val="a7"/>
          <w:rtl/>
        </w:rPr>
        <w:footnoteReference w:id="612"/>
      </w:r>
      <w:r>
        <w:rPr>
          <w:rtl/>
        </w:rPr>
        <w:t xml:space="preserve">מְסַפְּרִים </w:t>
      </w:r>
      <w:r>
        <w:rPr>
          <w:rStyle w:val="a7"/>
          <w:rtl/>
        </w:rPr>
        <w:footnoteReference w:id="613"/>
      </w:r>
      <w:r>
        <w:rPr>
          <w:rtl/>
        </w:rPr>
        <w:t xml:space="preserve">כְּבוֹד אֵ''ל </w:t>
      </w:r>
      <w:r>
        <w:rPr>
          <w:sz w:val="20"/>
          <w:szCs w:val="23"/>
          <w:rtl/>
        </w:rPr>
        <w:t>(שם יט ב)</w:t>
      </w:r>
      <w:r>
        <w:rPr>
          <w:rtl/>
        </w:rPr>
        <w:t xml:space="preserve">, וּלְבָתַר דְּאִינוּן מְסַפְּרִים כְּבוֹד אֵ''ל, </w:t>
      </w:r>
      <w:r>
        <w:rPr>
          <w:rStyle w:val="a7"/>
          <w:rtl/>
        </w:rPr>
        <w:footnoteReference w:id="614"/>
      </w:r>
      <w:r>
        <w:rPr>
          <w:rtl/>
        </w:rPr>
        <w:t xml:space="preserve">אִתְקְרִיאוּ עֶשֶׂר סְפִירוֹת בְּלִי מָה, וְנָחִית בְּהוּ יו''ד ה''א וא''ו ה''א לְאַנְהָרָא בְּהוֹן, דְּעַל שְׁמֵיהּ אִתְקְרִיאוּ, </w:t>
      </w:r>
      <w:r>
        <w:rPr>
          <w:rStyle w:val="a7"/>
          <w:rtl/>
        </w:rPr>
        <w:footnoteReference w:id="615"/>
      </w:r>
      <w:r>
        <w:rPr>
          <w:rtl/>
        </w:rPr>
        <w:t xml:space="preserve">וְכֻלְּהוּ נְהִירִין בְּאַתְוָון </w:t>
      </w:r>
      <w:r>
        <w:rPr>
          <w:rStyle w:val="a7"/>
          <w:rtl/>
        </w:rPr>
        <w:footnoteReference w:id="616"/>
      </w:r>
      <w:r>
        <w:rPr>
          <w:rtl/>
        </w:rPr>
        <w:t xml:space="preserve">אִלֵּין סְפִירָן, וְאַתְוָון דִּי בְהוֹן אִתְבְּנִיאַת דְּאִיהִי ב', כְּגַוְונָא דָא, וְדָא אִיהוּ רָזָא דְמִלָּה </w:t>
      </w:r>
      <w:r>
        <w:rPr>
          <w:rStyle w:val="a7"/>
          <w:rtl/>
        </w:rPr>
        <w:footnoteReference w:id="617"/>
      </w:r>
      <w:r>
        <w:rPr>
          <w:rtl/>
        </w:rPr>
        <w:t xml:space="preserve">בְּחָכְמָה יִבָּנֶה בָּיִת </w:t>
      </w:r>
      <w:r>
        <w:rPr>
          <w:sz w:val="20"/>
          <w:szCs w:val="23"/>
          <w:rtl/>
        </w:rPr>
        <w:t>(משלי כד ג)</w:t>
      </w:r>
      <w:r>
        <w:rPr>
          <w:rtl/>
        </w:rPr>
        <w:t>.</w:t>
      </w:r>
    </w:p>
    <w:p w:rsidR="00D45634" w:rsidRDefault="00D45634" w:rsidP="00B17EA9">
      <w:pPr>
        <w:pStyle w:val="NormalWeb"/>
        <w:rPr>
          <w:rtl/>
        </w:rPr>
      </w:pPr>
      <w:r>
        <w:rPr>
          <w:rtl/>
        </w:rPr>
        <w:t xml:space="preserve">וּבֵיתָא דָא אִית לֵיהּ תְּלַת גַּגִּין, וְאִינוּן תְּלַת עַמּוּדִין דְּסָמְכִין לָהּ, וְאִינוּן ו' ו' ו', עֲלַיְהוּ אִתְּמַר וָוִי הָעַמּוּדִים וַחֲשׁוּקֵיהֶם כָּסֶף </w:t>
      </w:r>
      <w:r>
        <w:rPr>
          <w:sz w:val="20"/>
          <w:szCs w:val="23"/>
          <w:rtl/>
        </w:rPr>
        <w:t>(שמות כז י)</w:t>
      </w:r>
      <w:r>
        <w:rPr>
          <w:rtl/>
        </w:rPr>
        <w:t xml:space="preserve">, תְּלַת עַמּוּדִים אִלֵּין תְּלַת אֲבָהָן, דְּסָמְכִין לְבֵיתָא דְאִיהִי שְׁכִינְתָּא, </w:t>
      </w:r>
      <w:r>
        <w:rPr>
          <w:rStyle w:val="a7"/>
          <w:rtl/>
        </w:rPr>
        <w:footnoteReference w:id="618"/>
      </w:r>
      <w:r>
        <w:rPr>
          <w:rtl/>
        </w:rPr>
        <w:t xml:space="preserve">וַחֲשׁוּקֵיהֶם אִלֵּין תְּרֵין סַמְכֵי קְשׁוֹט, דְּאִתְּמַר בְּהוֹן יָכִין וּבוֹעַז, וַעֲלַיְהוּ בֵיתָא קַיְימָא, וְהַבְּרִיחַ הַתִּיכוֹן </w:t>
      </w:r>
      <w:r>
        <w:rPr>
          <w:sz w:val="20"/>
          <w:szCs w:val="23"/>
          <w:rtl/>
        </w:rPr>
        <w:t>(שם כו כח)</w:t>
      </w:r>
      <w:r>
        <w:rPr>
          <w:rtl/>
        </w:rPr>
        <w:t xml:space="preserve"> </w:t>
      </w:r>
      <w:r>
        <w:rPr>
          <w:rStyle w:val="a7"/>
          <w:rtl/>
        </w:rPr>
        <w:footnoteReference w:id="619"/>
      </w:r>
      <w:r>
        <w:rPr>
          <w:rtl/>
        </w:rPr>
        <w:t xml:space="preserve">דָּא נְקוּדָה מִלְּגָאו, דְּסָתִים מִלְּגָאו, </w:t>
      </w:r>
      <w:r>
        <w:rPr>
          <w:rStyle w:val="a7"/>
          <w:rtl/>
        </w:rPr>
        <w:footnoteReference w:id="620"/>
      </w:r>
      <w:r>
        <w:rPr>
          <w:rtl/>
        </w:rPr>
        <w:t xml:space="preserve">מַבְרִיחַ דָּא ו', אִתְפַּשְׁטוּתָא דְהַהִיא נְקוּדָה דְּאִיהִי י', מַבְרִיחַ וַדַּאי, מִן קָצֶה דָא ה' עִלָּאָה, אֶל הַקָּצֶה דָא ה' תַּתָּאָה, </w:t>
      </w:r>
      <w:r>
        <w:rPr>
          <w:rStyle w:val="a7"/>
          <w:rtl/>
        </w:rPr>
        <w:footnoteReference w:id="621"/>
      </w:r>
      <w:r>
        <w:rPr>
          <w:rtl/>
        </w:rPr>
        <w:t xml:space="preserve">קִשּׁוּרָא דִתְלַת עַמּוּדִים דְּאִינוּן וָוִי הָעַמּוּדִים, דָּא חַ''י עָלְמִין, דְּכַךְ אִינוּן סָלְקִין תְּלַת ו' ו' ו' לְחוּשְׁבַּן חַ''י, דְּאִיהוּ צַדִּיק </w:t>
      </w:r>
      <w:r>
        <w:rPr>
          <w:rStyle w:val="a7"/>
          <w:rtl/>
        </w:rPr>
        <w:footnoteReference w:id="622"/>
      </w:r>
      <w:r>
        <w:rPr>
          <w:rtl/>
        </w:rPr>
        <w:t xml:space="preserve">יְסוֹד עוֹלָם, ה' ה' כַּד נָטְלִין מֵעַמּוּדָא דְאֶמְצָעִיתָא דְאִתְקְרֵי והַבְּרִיחַ הַתִּיכוֹן, אִתְקְרִיאוּ אִינוּן בְּרִיחִים עַל שְׁמֵיהּ, הֲדָא הוּא דִכְתִיב </w:t>
      </w:r>
      <w:r>
        <w:rPr>
          <w:sz w:val="20"/>
          <w:szCs w:val="23"/>
          <w:rtl/>
        </w:rPr>
        <w:t>(שמות כו כז)</w:t>
      </w:r>
      <w:r>
        <w:rPr>
          <w:rtl/>
        </w:rPr>
        <w:t xml:space="preserve"> וַחֲמִשָּׁה בְרִיחִים לְקַרְשֵׁי צֶלַע הַמִּשְׁכָּן וגו'.</w:t>
      </w:r>
    </w:p>
    <w:p w:rsidR="00D45634" w:rsidRDefault="00D45634" w:rsidP="00B17EA9">
      <w:pPr>
        <w:pStyle w:val="NormalWeb"/>
        <w:rPr>
          <w:rtl/>
        </w:rPr>
      </w:pPr>
      <w:r>
        <w:rPr>
          <w:rtl/>
        </w:rPr>
        <w:t xml:space="preserve">וְתִקּוּנָא דְמַשְׁכְּנָא הֲוָה צִיּוּרָא דְעוֹבָדָא דִבְּרֵאשִׁית, וְגִנְּתָא דְעִדֶן, וּבְאִלֵּין צִיּוּרִין דְּנִקּוּדִין, וּרְקִימוּ דְגַוָּונִין, דְּתַמָּן </w:t>
      </w:r>
      <w:r>
        <w:rPr>
          <w:rStyle w:val="a7"/>
          <w:rtl/>
        </w:rPr>
        <w:footnoteReference w:id="623"/>
      </w:r>
      <w:r>
        <w:rPr>
          <w:rtl/>
        </w:rPr>
        <w:t xml:space="preserve">הַמַּשְׂכִּילִים יַזְהִירוּ, </w:t>
      </w:r>
      <w:r>
        <w:rPr>
          <w:rStyle w:val="a7"/>
          <w:rtl/>
        </w:rPr>
        <w:footnoteReference w:id="624"/>
      </w:r>
      <w:r>
        <w:rPr>
          <w:rtl/>
        </w:rPr>
        <w:t xml:space="preserve">וְכֹלָּא </w:t>
      </w:r>
      <w:r>
        <w:rPr>
          <w:sz w:val="20"/>
          <w:szCs w:val="23"/>
          <w:rtl/>
        </w:rPr>
        <w:t>[תיקון כח]</w:t>
      </w:r>
      <w:r>
        <w:rPr>
          <w:rtl/>
        </w:rPr>
        <w:t xml:space="preserve"> בְרֵאשִׁית, ב' רֵאשִׁית, בָּהּ וְהַמַּשְׂכִּילִים יַזְהִירוּ, </w:t>
      </w:r>
      <w:r>
        <w:rPr>
          <w:rStyle w:val="a7"/>
          <w:rtl/>
        </w:rPr>
        <w:footnoteReference w:id="625"/>
      </w:r>
      <w:r>
        <w:rPr>
          <w:rtl/>
        </w:rPr>
        <w:t>כְּזֹהַר דָּא אֱלֹהִי''ם, וְהוּא הַכִּסֵּ''א לְחֻשְׁבָּנָא.</w:t>
      </w:r>
    </w:p>
    <w:p w:rsidR="00D45634" w:rsidRDefault="00D45634" w:rsidP="00B17EA9">
      <w:pPr>
        <w:pStyle w:val="aa"/>
        <w:rPr>
          <w:rtl/>
        </w:rPr>
      </w:pPr>
      <w:r>
        <w:rPr>
          <w:rtl/>
        </w:rPr>
        <w:t>[תיקוני זוהר - דף עב ע''א]</w:t>
      </w:r>
    </w:p>
    <w:p w:rsidR="00D45634" w:rsidRDefault="00D45634" w:rsidP="00B17EA9">
      <w:pPr>
        <w:pStyle w:val="NormalWeb"/>
        <w:rPr>
          <w:rtl/>
        </w:rPr>
      </w:pPr>
      <w:r>
        <w:rPr>
          <w:rtl/>
        </w:rPr>
        <w:t xml:space="preserve">אַדְהָכִי הָא סָבָא אִתְחַזַּר כְּמִלְּקַדְמִין, וְאָמַר בּוֹצִינָא קַדִּישָׁא, חֲזוֹר בָּךְ, </w:t>
      </w:r>
      <w:r>
        <w:rPr>
          <w:rStyle w:val="a7"/>
          <w:rtl/>
        </w:rPr>
        <w:footnoteReference w:id="626"/>
      </w:r>
      <w:r>
        <w:rPr>
          <w:rtl/>
        </w:rPr>
        <w:t xml:space="preserve">עָאלַת לְגִנְּתָא וְאִתְבְּהִילַת לְנַפְקָא מִתַּמָּן, וּמִתַּמָּן עָאלַת לְמַשְׁכְּנָא דְאִיהוּ צִיּוּר דְּעוֹבָדָא דִבְּרֵאשִׁית, וְנָפְקַת מִתַּמָּן, אִית לָךְ לְאַחְזָרָא תַּמָּן, דְּהָא </w:t>
      </w:r>
      <w:r>
        <w:rPr>
          <w:rStyle w:val="a7"/>
          <w:rtl/>
        </w:rPr>
        <w:footnoteReference w:id="627"/>
      </w:r>
      <w:r>
        <w:rPr>
          <w:rtl/>
        </w:rPr>
        <w:t xml:space="preserve">כַּמָּה חֲיָילִין נָטְרִין לָךְ מֵעַמָּא קַדִּישָׁא, </w:t>
      </w:r>
      <w:r>
        <w:rPr>
          <w:sz w:val="20"/>
          <w:szCs w:val="23"/>
          <w:rtl/>
        </w:rPr>
        <w:t>(דף עב ע''א)</w:t>
      </w:r>
      <w:r>
        <w:rPr>
          <w:rtl/>
        </w:rPr>
        <w:t xml:space="preserve"> לְמִשְׁמַע מָאן צִיּוּרִין דְּתַמָּן, דְּאִינוּן כְּגַוְונָא דְּדִיּוֹרִין דִּשְׁכִינְתָּא, דְאִתְּמַר בְּהוֹן </w:t>
      </w:r>
      <w:r>
        <w:rPr>
          <w:sz w:val="20"/>
          <w:szCs w:val="23"/>
          <w:rtl/>
        </w:rPr>
        <w:lastRenderedPageBreak/>
        <w:t>(שם כה ח)</w:t>
      </w:r>
      <w:r>
        <w:rPr>
          <w:rtl/>
        </w:rPr>
        <w:t xml:space="preserve"> וְעָשׂוּ לִי מִקְדָּשׁ וְשָׁכַנְתִּי בְּתוֹכָם, דְּוַדַּאי מַשְׁכְּנָא וּמְנַרְתָּא וּמַקְדְּשָׁא וּמַדְבְּחָא וּפָתוֹרָא, כֹּלָּא אִיהוּ דִיּוֹקְנָא דְּדִיּוֹרִין דִּשְׁכִינְתָּא </w:t>
      </w:r>
      <w:r>
        <w:rPr>
          <w:rStyle w:val="a7"/>
          <w:rtl/>
        </w:rPr>
        <w:footnoteReference w:id="628"/>
      </w:r>
      <w:r>
        <w:rPr>
          <w:rtl/>
        </w:rPr>
        <w:t>לְעִילָא וְתַתָּא.</w:t>
      </w:r>
    </w:p>
    <w:p w:rsidR="00D45634" w:rsidRDefault="00D45634" w:rsidP="00B17EA9">
      <w:pPr>
        <w:pStyle w:val="NormalWeb"/>
        <w:rPr>
          <w:rtl/>
        </w:rPr>
      </w:pPr>
      <w:r>
        <w:rPr>
          <w:rtl/>
        </w:rPr>
        <w:t xml:space="preserve">מִיָּד פָּתַח רַבִּי שִׁמְעוֹן וְאָמַר וַיַּעֲשׂוּ כָל חֲכַם לֵב בְּעוֹשֵׂי הַמְּלָאכָה וגו' </w:t>
      </w:r>
      <w:r>
        <w:rPr>
          <w:sz w:val="20"/>
          <w:szCs w:val="23"/>
          <w:rtl/>
        </w:rPr>
        <w:t>(שם לו ז)</w:t>
      </w:r>
      <w:r>
        <w:rPr>
          <w:rtl/>
        </w:rPr>
        <w:t xml:space="preserve">, מַאי כָּל חֲכַם לֵב, </w:t>
      </w:r>
      <w:r>
        <w:rPr>
          <w:rStyle w:val="a7"/>
          <w:rtl/>
        </w:rPr>
        <w:footnoteReference w:id="629"/>
      </w:r>
      <w:r>
        <w:rPr>
          <w:rtl/>
        </w:rPr>
        <w:t xml:space="preserve">הַהוּא דְאִיהוּ חָכָם בְּחָכְמָה, וּבְל''ב נְתִיבוֹת דִּילה, דְּאִינוּן כְּלִילָן </w:t>
      </w:r>
      <w:r>
        <w:rPr>
          <w:rStyle w:val="a7"/>
          <w:rtl/>
        </w:rPr>
        <w:footnoteReference w:id="630"/>
      </w:r>
      <w:r>
        <w:rPr>
          <w:rtl/>
        </w:rPr>
        <w:t xml:space="preserve">בְּשִׁית יוֹמֵי דִבְּרֵאשִׁית, וְהַיְינוּ שֵׁשׁ מָשְׁזָר, דְּאִינוּן שִׁית יוֹמֵי דִבְּרֵאשִׁית כְּלִילָן </w:t>
      </w:r>
      <w:r>
        <w:rPr>
          <w:rStyle w:val="a7"/>
          <w:rtl/>
        </w:rPr>
        <w:footnoteReference w:id="631"/>
      </w:r>
      <w:r>
        <w:rPr>
          <w:rtl/>
        </w:rPr>
        <w:t xml:space="preserve">מֵעֶשֶׂר אֲמִירָן וְל''ב שְׁבִילִין, דְּאִינוּן ל''ב זִמְנִין אֱלֹהִי''ם </w:t>
      </w:r>
      <w:r>
        <w:rPr>
          <w:rStyle w:val="a7"/>
          <w:rtl/>
        </w:rPr>
        <w:footnoteReference w:id="632"/>
      </w:r>
      <w:r>
        <w:rPr>
          <w:rtl/>
        </w:rPr>
        <w:t>בְּעוֹבָדָא דִבְּרֵאשִׁית.</w:t>
      </w:r>
    </w:p>
    <w:p w:rsidR="00D45634" w:rsidRDefault="00D45634" w:rsidP="00B17EA9">
      <w:pPr>
        <w:pStyle w:val="NormalWeb"/>
        <w:rPr>
          <w:rtl/>
        </w:rPr>
      </w:pPr>
      <w:r>
        <w:rPr>
          <w:rtl/>
        </w:rPr>
        <w:t xml:space="preserve">וְהַמַּשְׂכִּילִים, </w:t>
      </w:r>
      <w:r>
        <w:rPr>
          <w:rStyle w:val="a7"/>
          <w:rtl/>
        </w:rPr>
        <w:footnoteReference w:id="633"/>
      </w:r>
      <w:r>
        <w:rPr>
          <w:rtl/>
        </w:rPr>
        <w:t xml:space="preserve">בְּהוֹן אִשְׁתְּמוֹדְעִין אַתְוָון, דְּאִתְּמַר בְּהוֹן יוֹדֵעַ הָיָה בְּצַלְאֵל לְצַרֵף אוֹתִיּוֹת שֶׁבָּהֶם נִבְרְאוּ שָׁמַיִם וָאָרֶץ, </w:t>
      </w:r>
      <w:r>
        <w:rPr>
          <w:rStyle w:val="a7"/>
          <w:rtl/>
        </w:rPr>
        <w:footnoteReference w:id="634"/>
      </w:r>
      <w:r>
        <w:rPr>
          <w:rtl/>
        </w:rPr>
        <w:t xml:space="preserve">וְאִינוּן </w:t>
      </w:r>
      <w:r>
        <w:rPr>
          <w:rStyle w:val="a7"/>
          <w:rtl/>
        </w:rPr>
        <w:footnoteReference w:id="635"/>
      </w:r>
      <w:r>
        <w:rPr>
          <w:rtl/>
        </w:rPr>
        <w:t xml:space="preserve">כ''ח אַתְוָון, וְאַרְבַּע סְרֵי אָחֳרָנִין גְּנִיזִין בְּהוֹן, וְאִלֵּין אִינוּן כ''ח אַתְוָון, בְּרֵאשִׁית בָּרָא אֱלֹהִי''ם אֵת הַשָּׁמַיִם וְאֵת הָאָרֶץ, וַעֲלַיְהוּ אִתְּמַר </w:t>
      </w:r>
      <w:r>
        <w:rPr>
          <w:sz w:val="20"/>
          <w:szCs w:val="23"/>
          <w:rtl/>
        </w:rPr>
        <w:t>(תהלים קיא ו)</w:t>
      </w:r>
      <w:r>
        <w:rPr>
          <w:rtl/>
        </w:rPr>
        <w:t xml:space="preserve"> </w:t>
      </w:r>
      <w:r>
        <w:rPr>
          <w:rStyle w:val="a7"/>
          <w:rtl/>
        </w:rPr>
        <w:footnoteReference w:id="636"/>
      </w:r>
      <w:r>
        <w:rPr>
          <w:rtl/>
        </w:rPr>
        <w:t xml:space="preserve">כֹּחַ מַעֲשָׂיו הִגִּיד לְעַמּוֹ, וּבְגָלוּתָא אִסְתַּלַּק הַאי כֹ''חַ מִנַּיְיהוּ, וְאִתְּמַר בְּהוֹן </w:t>
      </w:r>
      <w:r>
        <w:rPr>
          <w:sz w:val="20"/>
          <w:szCs w:val="23"/>
          <w:rtl/>
        </w:rPr>
        <w:t>(איכה א ו)</w:t>
      </w:r>
      <w:r>
        <w:rPr>
          <w:rtl/>
        </w:rPr>
        <w:t xml:space="preserve"> וַיֵּלְכוּ בְלֹא כֹחַ לִפְנֵי רוֹדֵף, וּבְגִין דָּא אָמְרִין בְּקַדִּישׁ וְעַתָּה יִגְדַּל נָא כֹּחַ אדנ''י, לָקֳבֵל כ''ח אַתְוָון אָחֳרָנִין, דְּאִית בְּאִלֵּין שֶׁבַע תֵּיבִין דְּאִינוּן, יְהֵא שְׁמֵיהּ רַבָּא מְבָרַךְ לְעָלַם וּלְעָלְמֵי עָלְמַיָּא, וְדָא אִיהוּ הָעוֹנֶה אָמֵן יְהֵא שְׁמֵיהּ רַבָּא בְּכָל כֹּחוֹ, י''ד אָחֳרָנִין אִינוּן יהו''ה אלהינ''ו יהו''ה, </w:t>
      </w:r>
      <w:r>
        <w:rPr>
          <w:rStyle w:val="a7"/>
          <w:rtl/>
        </w:rPr>
        <w:footnoteReference w:id="637"/>
      </w:r>
      <w:r>
        <w:rPr>
          <w:rtl/>
        </w:rPr>
        <w:t xml:space="preserve">וְסִימָן אוֹר לְאַרְבָּעָה עָשָׂר בּוֹדְקִין אֶת הֶחָמֵץ לְאוֹר הַנֵּר, וּבְאִלֵּין י''ד אַתְוָון אוֹמָאָה, הֲדָא הוּא דִכְתִיב </w:t>
      </w:r>
      <w:r>
        <w:rPr>
          <w:sz w:val="20"/>
          <w:szCs w:val="23"/>
          <w:rtl/>
        </w:rPr>
        <w:t>(שמות יז טז)</w:t>
      </w:r>
      <w:r>
        <w:rPr>
          <w:rtl/>
        </w:rPr>
        <w:t xml:space="preserve"> כִּי יָ''ד עַל כֵּס יָה.</w:t>
      </w:r>
    </w:p>
    <w:p w:rsidR="00D45634" w:rsidRDefault="00D45634" w:rsidP="00B17EA9">
      <w:pPr>
        <w:pStyle w:val="NormalWeb"/>
        <w:rPr>
          <w:rtl/>
        </w:rPr>
      </w:pPr>
      <w:r>
        <w:rPr>
          <w:rtl/>
        </w:rPr>
        <w:t xml:space="preserve">קָם סָבָא וְאָמַר, בּוֹצִינָא קַדִּישָׁא, בְּוַדַּאי </w:t>
      </w:r>
      <w:r>
        <w:rPr>
          <w:rStyle w:val="a7"/>
          <w:rtl/>
        </w:rPr>
        <w:footnoteReference w:id="638"/>
      </w:r>
      <w:r>
        <w:rPr>
          <w:rtl/>
        </w:rPr>
        <w:t xml:space="preserve">אִלֵּין אַרְבַּע סְרֵי דְּפוּרִים אִינוּן, בְּאַרְבָּעָה עָשָׂר בּוֹ וּבַחֲמִשָּׁה עָשָׂר בּוֹ </w:t>
      </w:r>
      <w:r>
        <w:rPr>
          <w:rStyle w:val="a7"/>
          <w:rtl/>
        </w:rPr>
        <w:footnoteReference w:id="639"/>
      </w:r>
      <w:r>
        <w:rPr>
          <w:rtl/>
        </w:rPr>
        <w:t xml:space="preserve">דָּא י''ד י''ה, </w:t>
      </w:r>
      <w:r>
        <w:rPr>
          <w:rStyle w:val="a7"/>
          <w:rtl/>
        </w:rPr>
        <w:footnoteReference w:id="640"/>
      </w:r>
      <w:r>
        <w:rPr>
          <w:rtl/>
        </w:rPr>
        <w:t xml:space="preserve">אֲבָל סִימָנִין דְכ''ח אִינוּן אוֹר אַרְבָּעָה עָשָׂר י''ד קַדְמָאִין דְכ''ח, י''ד תִּנְיָינִין אִינוּן בָּרִאשׁוֹן בְּאַרְבָּעָה עָשָׂר יוֹם כו' </w:t>
      </w:r>
      <w:r>
        <w:rPr>
          <w:sz w:val="20"/>
          <w:szCs w:val="23"/>
          <w:rtl/>
        </w:rPr>
        <w:t>(במדבר ט ה)</w:t>
      </w:r>
      <w:r>
        <w:rPr>
          <w:rtl/>
        </w:rPr>
        <w:t xml:space="preserve">, </w:t>
      </w:r>
      <w:r>
        <w:rPr>
          <w:rStyle w:val="a7"/>
          <w:rtl/>
        </w:rPr>
        <w:footnoteReference w:id="641"/>
      </w:r>
      <w:r>
        <w:rPr>
          <w:rtl/>
        </w:rPr>
        <w:t xml:space="preserve">וְאִינוּן י''ד פִּרְקִין דְּיָ''ד יְמִינָא, וְיָ''ד שְׂמָאלָא, וְי''ד פִּרְקִין דְּגוּפָא, </w:t>
      </w:r>
      <w:r>
        <w:rPr>
          <w:rStyle w:val="a7"/>
          <w:rtl/>
        </w:rPr>
        <w:footnoteReference w:id="642"/>
      </w:r>
      <w:r>
        <w:rPr>
          <w:rtl/>
        </w:rPr>
        <w:t xml:space="preserve">וְאִינוּן תְּלַת פִּרְקִין דִּדְרוֹעָא יְמִינָא, וּתְלַת דִּדְרוֹעָא שְׂמָאלָא, וּתְלַת דְּשׁוֹקָא יְמִינָא, וּתְלַת דְּשׁוֹקָא שְׂמָאלָא, וּתְרֵין דְּגוּפָא, </w:t>
      </w:r>
      <w:r>
        <w:rPr>
          <w:rStyle w:val="a7"/>
          <w:rtl/>
        </w:rPr>
        <w:lastRenderedPageBreak/>
        <w:footnoteReference w:id="643"/>
      </w:r>
      <w:r>
        <w:rPr>
          <w:rtl/>
        </w:rPr>
        <w:t xml:space="preserve">וְרָזָא דְמִלָּה שְׁלֹשָׁה פוֹנִים יָמָּה, וּשְׁלֹשָׁה פּוֹנִים נֶגְבָּה וכו' </w:t>
      </w:r>
      <w:r>
        <w:rPr>
          <w:sz w:val="20"/>
          <w:szCs w:val="23"/>
          <w:rtl/>
        </w:rPr>
        <w:t>(מלכים א ז כה)</w:t>
      </w:r>
      <w:r>
        <w:rPr>
          <w:rtl/>
        </w:rPr>
        <w:t xml:space="preserve">, </w:t>
      </w:r>
      <w:r>
        <w:rPr>
          <w:rStyle w:val="a7"/>
          <w:rtl/>
        </w:rPr>
        <w:footnoteReference w:id="644"/>
      </w:r>
      <w:r>
        <w:rPr>
          <w:rtl/>
        </w:rPr>
        <w:t xml:space="preserve">וְכֹלָּא דָא כְּגַוְונָא דְּדָא, תִּקּוּנָא דְגוּפָא כְּתִקּוּנָא דְמַשְׁכְּנָא, הָא תְּלַת זִמְנִין אַרְבַּע סְרֵי, פּוּרִים בְּאַרְבָּעָה עָשָׂר בּוֹ, פֶּסַח אוֹר לְאַרְבָּעָה עָשָׂר, תְּלִיתָאָה בָּרִאשׁוֹן בְּאַרְבָּעָה עָשָׂר יוֹם, וְסָלְקִין לְאַרְבְּעִין וּתְרֵין יוֹמִין, </w:t>
      </w:r>
      <w:r>
        <w:rPr>
          <w:rStyle w:val="a7"/>
          <w:rtl/>
        </w:rPr>
        <w:footnoteReference w:id="645"/>
      </w:r>
      <w:r>
        <w:rPr>
          <w:rtl/>
        </w:rPr>
        <w:t xml:space="preserve">וְדָא אִיהוּ וַיַּעֲשׂוּ כָל חֲכַם לֵב כו' </w:t>
      </w:r>
      <w:r>
        <w:rPr>
          <w:sz w:val="20"/>
          <w:szCs w:val="23"/>
          <w:rtl/>
        </w:rPr>
        <w:t>(שמות לו ח)</w:t>
      </w:r>
      <w:r>
        <w:rPr>
          <w:rtl/>
        </w:rPr>
        <w:t>.</w:t>
      </w:r>
    </w:p>
    <w:p w:rsidR="00D45634" w:rsidRDefault="00D45634" w:rsidP="00B17EA9">
      <w:pPr>
        <w:pStyle w:val="aa"/>
        <w:rPr>
          <w:rtl/>
        </w:rPr>
      </w:pPr>
      <w:bookmarkStart w:id="41" w:name="_Toc228095584"/>
      <w:bookmarkStart w:id="42" w:name="_Toc231638022"/>
      <w:r>
        <w:rPr>
          <w:rtl/>
        </w:rPr>
        <w:t>[תיקוני זוהר - דף יג ע''ב]</w:t>
      </w:r>
      <w:bookmarkEnd w:id="41"/>
      <w:bookmarkEnd w:id="42"/>
    </w:p>
    <w:p w:rsidR="00D45634" w:rsidRDefault="00D45634" w:rsidP="00B17EA9">
      <w:pPr>
        <w:pStyle w:val="NormalWeb"/>
        <w:rPr>
          <w:rtl/>
        </w:rPr>
      </w:pPr>
      <w:r>
        <w:rPr>
          <w:rtl/>
        </w:rPr>
        <w:t xml:space="preserve">וְעָשׂוּ אֲרוֹן </w:t>
      </w:r>
      <w:r>
        <w:rPr>
          <w:rStyle w:val="a7"/>
          <w:rtl/>
        </w:rPr>
        <w:footnoteReference w:id="646"/>
      </w:r>
      <w:r>
        <w:rPr>
          <w:rtl/>
        </w:rPr>
        <w:t xml:space="preserve">דָּא שַׁבָּת, </w:t>
      </w:r>
      <w:r>
        <w:rPr>
          <w:rStyle w:val="a7"/>
          <w:rtl/>
        </w:rPr>
        <w:footnoteReference w:id="647"/>
      </w:r>
      <w:r>
        <w:rPr>
          <w:rtl/>
        </w:rPr>
        <w:t xml:space="preserve">דְּמַשְׁכְּנָא </w:t>
      </w:r>
      <w:r>
        <w:rPr>
          <w:rStyle w:val="a7"/>
          <w:rtl/>
        </w:rPr>
        <w:footnoteReference w:id="648"/>
      </w:r>
      <w:r>
        <w:rPr>
          <w:rtl/>
        </w:rPr>
        <w:t xml:space="preserve">אִיהוּ שֵׁשׁ מָשְׁזָר, כְּלִיל שִׁית יוֹמִין דִּבְּרֵאשִׁית, דְּאִינוּן תְּרֵין דְּרוֹעִין חֶסֶד וּגְבוּרָה, וְגוּף עַמּוּדָא דְאֶמְצָעִיתָא, וּתְרֵין שׁוֹקִין תְּרֵין נְבִיאֵי קְשׁוֹט, וְצַדִּיק אוֹת בְּרִית בֵּינַיְיהוּ, מַשְׁכְּנָא שְׁכִינְתָּא תַּתָּאָה כְּלִילָא מִכֻּלְּהוּ תִּקּוּנִין דְּגוּפָא, </w:t>
      </w:r>
      <w:r>
        <w:rPr>
          <w:rStyle w:val="a7"/>
          <w:rtl/>
        </w:rPr>
        <w:footnoteReference w:id="649"/>
      </w:r>
      <w:r>
        <w:rPr>
          <w:rtl/>
        </w:rPr>
        <w:t xml:space="preserve">צֶלַע הַמִּשְׁכָּן דָּא מטטרו''ן, שִׁפְחָה דְמַטְרוֹנִיתָא עַלָהּ </w:t>
      </w:r>
      <w:r>
        <w:rPr>
          <w:rStyle w:val="Char"/>
          <w:rtl/>
        </w:rPr>
        <w:t>אִתְּמַר</w:t>
      </w:r>
      <w:r>
        <w:rPr>
          <w:szCs w:val="23"/>
          <w:rtl/>
        </w:rPr>
        <w:t xml:space="preserve"> </w:t>
      </w:r>
      <w:r>
        <w:rPr>
          <w:sz w:val="20"/>
          <w:szCs w:val="23"/>
          <w:rtl/>
        </w:rPr>
        <w:t>(בראשית ב כג)</w:t>
      </w:r>
      <w:r>
        <w:rPr>
          <w:rtl/>
        </w:rPr>
        <w:t xml:space="preserve"> עֶצֶם מֵעֲצָמַי, </w:t>
      </w:r>
      <w:r>
        <w:rPr>
          <w:rStyle w:val="a7"/>
          <w:rtl/>
        </w:rPr>
        <w:footnoteReference w:id="650"/>
      </w:r>
      <w:r>
        <w:rPr>
          <w:rtl/>
        </w:rPr>
        <w:t xml:space="preserve">עֶצֶם הַשָּׁמַיִם לָטֹהַר </w:t>
      </w:r>
      <w:r>
        <w:rPr>
          <w:sz w:val="20"/>
          <w:szCs w:val="23"/>
          <w:rtl/>
        </w:rPr>
        <w:t>(שמות כד ו)</w:t>
      </w:r>
      <w:r>
        <w:rPr>
          <w:rtl/>
        </w:rPr>
        <w:t xml:space="preserve">, אָרוֹן וַדַּאי </w:t>
      </w:r>
      <w:r>
        <w:rPr>
          <w:rStyle w:val="a7"/>
          <w:rtl/>
        </w:rPr>
        <w:footnoteReference w:id="651"/>
      </w:r>
      <w:r>
        <w:rPr>
          <w:rtl/>
        </w:rPr>
        <w:t xml:space="preserve">דָא לֵ''ב, נוּר דָּלִיק, כְּלִיל ל''ב נְתִיבוֹת, </w:t>
      </w:r>
      <w:r>
        <w:rPr>
          <w:rStyle w:val="a7"/>
          <w:rtl/>
        </w:rPr>
        <w:footnoteReference w:id="652"/>
      </w:r>
      <w:r>
        <w:rPr>
          <w:rtl/>
        </w:rPr>
        <w:t xml:space="preserve">וְאִיהוּ שַׁבָּת, </w:t>
      </w:r>
      <w:r>
        <w:rPr>
          <w:rStyle w:val="a7"/>
          <w:rtl/>
        </w:rPr>
        <w:footnoteReference w:id="653"/>
      </w:r>
      <w:r>
        <w:rPr>
          <w:rtl/>
        </w:rPr>
        <w:t xml:space="preserve">וּבֵיהּ שְׁכִינְתָּא עִלָּאָה, דְאִיהִי תּוֹרַת חָכָם, וּבָה לֵב מֵבִין, וְאִיהוּ נְשָׁמָה יְתֵירָה דְשַׁבָּת, וְאִיהוּ חֵירוּ דְּשַׁבָּת, </w:t>
      </w:r>
      <w:r>
        <w:rPr>
          <w:rStyle w:val="a7"/>
          <w:rtl/>
        </w:rPr>
        <w:footnoteReference w:id="654"/>
      </w:r>
      <w:r>
        <w:rPr>
          <w:rtl/>
        </w:rPr>
        <w:t xml:space="preserve">דִּבְגִינָהּ לָא שָׁלְטִין מָארֵי דְגֵיהִנָּם עַל עָלְמָא, </w:t>
      </w:r>
      <w:r>
        <w:rPr>
          <w:rStyle w:val="a7"/>
          <w:rtl/>
        </w:rPr>
        <w:footnoteReference w:id="655"/>
      </w:r>
      <w:r>
        <w:rPr>
          <w:rtl/>
        </w:rPr>
        <w:t>וּמַאי נִיהוּ גֵיהִנָּם בְּגוּפָא, דָּא כָּבֵד, וְאִיהִי מִזְבַּח הַנְּחֹשֶׁת, לְאַעֲבָרָא לֵיהּ מֵעָלְמָא, וְכָבֵד בֵּיהּ מָרָה גֵיהִנָּם דְּאוֹקִיד בֵּיהּ.</w:t>
      </w:r>
    </w:p>
    <w:p w:rsidR="00D45634" w:rsidRDefault="00D45634" w:rsidP="00B17EA9">
      <w:pPr>
        <w:pStyle w:val="NormalWeb"/>
        <w:rPr>
          <w:rtl/>
        </w:rPr>
      </w:pPr>
      <w:r>
        <w:rPr>
          <w:rStyle w:val="a7"/>
          <w:rtl/>
        </w:rPr>
        <w:footnoteReference w:id="656"/>
      </w:r>
      <w:r>
        <w:rPr>
          <w:rtl/>
        </w:rPr>
        <w:t xml:space="preserve">כַּפֹּרֶת הַלֵּב דָּא פְרִישׁוּ דְסֻכַּת שָׁלוֹם, דְּאִתְּמַר בָּהּ הַפּוֹרֵשׂ סֻכַּת שָׁלוֹם, מְנַרְתָּא דָא רֵישָׁא, וְשִׁבְעָה נֵרוֹתֶיהָ עֲלֵיהּ, אִינוּן תְּרֵין אוּדְנִין, וּתְרֵין עַיְינִין, וּתְרֵין נוּקְבֵי חוֹטְמָא, וּפוּמָא, וּמְנַרְתָּא לִימִינָא, וְאִתְּמַר בָּהּ הָרוֹצֶה לְהַחְכִּים יַדְרִים, בְּגִין דְּתַמָּן מוֹחָא בְרֵישָׁא, </w:t>
      </w:r>
      <w:r>
        <w:rPr>
          <w:rStyle w:val="a7"/>
          <w:rtl/>
        </w:rPr>
        <w:footnoteReference w:id="657"/>
      </w:r>
      <w:r>
        <w:rPr>
          <w:rtl/>
        </w:rPr>
        <w:t xml:space="preserve">וְחָכְמָה בְּמוֹחָא שַׁרְיָא, וּבֵיהּ נָהִיר מְנַרְתָּא, בְּגִין </w:t>
      </w:r>
      <w:r>
        <w:rPr>
          <w:rStyle w:val="a7"/>
          <w:rtl/>
        </w:rPr>
        <w:footnoteReference w:id="658"/>
      </w:r>
      <w:r>
        <w:rPr>
          <w:rtl/>
        </w:rPr>
        <w:t xml:space="preserve">דְּאִיהוּ מִשְׁחָא, דְאִתְּמַר בֵּיהּ </w:t>
      </w:r>
      <w:r>
        <w:rPr>
          <w:sz w:val="20"/>
          <w:szCs w:val="23"/>
          <w:rtl/>
        </w:rPr>
        <w:t xml:space="preserve">(תהלים </w:t>
      </w:r>
      <w:r>
        <w:rPr>
          <w:sz w:val="20"/>
          <w:szCs w:val="23"/>
          <w:rtl/>
        </w:rPr>
        <w:lastRenderedPageBreak/>
        <w:t>קלג ב)</w:t>
      </w:r>
      <w:r>
        <w:rPr>
          <w:rtl/>
        </w:rPr>
        <w:t xml:space="preserve"> כַּשֶּׁמֶן הַטּוֹב עַל הָרֹאשׁ, </w:t>
      </w:r>
      <w:r>
        <w:rPr>
          <w:sz w:val="20"/>
          <w:szCs w:val="23"/>
          <w:rtl/>
        </w:rPr>
        <w:t xml:space="preserve">(דף עב ע''ב) </w:t>
      </w:r>
      <w:r>
        <w:rPr>
          <w:rStyle w:val="a7"/>
          <w:sz w:val="20"/>
          <w:szCs w:val="23"/>
          <w:rtl/>
        </w:rPr>
        <w:footnoteReference w:id="659"/>
      </w:r>
      <w:r>
        <w:rPr>
          <w:rtl/>
        </w:rPr>
        <w:t xml:space="preserve">כַּנְפֵי רֵיאָה, עֲלַיְיהוּ אִתְּמַר </w:t>
      </w:r>
      <w:r>
        <w:rPr>
          <w:sz w:val="20"/>
          <w:szCs w:val="23"/>
          <w:rtl/>
        </w:rPr>
        <w:t>(שמות כה כ)</w:t>
      </w:r>
      <w:r>
        <w:rPr>
          <w:rtl/>
        </w:rPr>
        <w:t xml:space="preserve"> וְהָיוּ הַכְּרֻבִים </w:t>
      </w:r>
      <w:r>
        <w:rPr>
          <w:rStyle w:val="a7"/>
          <w:rtl/>
        </w:rPr>
        <w:footnoteReference w:id="660"/>
      </w:r>
      <w:r>
        <w:rPr>
          <w:rtl/>
        </w:rPr>
        <w:t>פּוֹרְשֵׂי כְנָפַיִם לְמַעְלָה, סוֹכֲכִים בְּכַנְפֵיהֶם עַל הַכַּפֹּרֶת, דָּא כַפֹּרֶת הַלֵּב.</w:t>
      </w:r>
    </w:p>
    <w:p w:rsidR="00D45634" w:rsidRDefault="00D45634" w:rsidP="00B17EA9">
      <w:pPr>
        <w:pStyle w:val="NormalWeb"/>
        <w:rPr>
          <w:rtl/>
        </w:rPr>
      </w:pPr>
      <w:r>
        <w:rPr>
          <w:rtl/>
        </w:rPr>
        <w:t xml:space="preserve">פָּתוֹרָא דָא לִבָּא, וְאִתְּמַר בֵּיהּ שֻׁלְחָן בַּצָּפוֹן, </w:t>
      </w:r>
      <w:r>
        <w:rPr>
          <w:rStyle w:val="a7"/>
          <w:rtl/>
        </w:rPr>
        <w:footnoteReference w:id="661"/>
      </w:r>
      <w:r>
        <w:rPr>
          <w:rtl/>
        </w:rPr>
        <w:t xml:space="preserve">וְדָא שְׁכִינְתָּא תַּתָּאָה, אִיהִי מְנַרְתָּא כַּד נָטְלָא מִימִינָא, וְשַׁרְיָא עֲלָהּ חָכְמָה, וְאִתְּמַר בָּהּ הָרוֹצֶה לְהַחְכִּים יַדְרִים, וְכַד נָטְלָא מִשְּׂמָאלָא דְאִיהִי גְבוּרָה, אִתְקְרִיאַת פָּתוֹרָא, וְאִתְּמַר בָּהּ הָרוֹצֶה לְהַעֲשִׁיר יַצְפִּין, וְשַׁרְיָא עֲלָהּ בִּינָה, דְאִתְּמַר בָּהּ </w:t>
      </w:r>
      <w:r>
        <w:rPr>
          <w:sz w:val="20"/>
          <w:szCs w:val="23"/>
          <w:rtl/>
        </w:rPr>
        <w:t>(משלי י כב)</w:t>
      </w:r>
      <w:r>
        <w:rPr>
          <w:rtl/>
        </w:rPr>
        <w:t xml:space="preserve"> </w:t>
      </w:r>
      <w:r>
        <w:rPr>
          <w:rStyle w:val="a7"/>
          <w:rtl/>
        </w:rPr>
        <w:footnoteReference w:id="662"/>
      </w:r>
      <w:r>
        <w:rPr>
          <w:rtl/>
        </w:rPr>
        <w:t>בִּרְכַּת יהו''ה הִיא תַעֲשִׁיר, וְכַד נָטְלָא מִגּוּפָא דְאִיהוּ עַמּוּדָא דְאֶמְצָעִיתָא, אִתְקְרִיאַת מַשְׁכְּנָא כְּלִיל מִתַּרְוַיְיהוּ.</w:t>
      </w:r>
    </w:p>
    <w:p w:rsidR="00D45634" w:rsidRDefault="00D45634" w:rsidP="00B17EA9">
      <w:pPr>
        <w:pStyle w:val="NormalWeb"/>
        <w:rPr>
          <w:rtl/>
        </w:rPr>
      </w:pPr>
      <w:r>
        <w:rPr>
          <w:rtl/>
        </w:rPr>
        <w:t xml:space="preserve">כִּיּוֹר וְכַנּוֹ אִינוּן </w:t>
      </w:r>
      <w:r>
        <w:rPr>
          <w:rStyle w:val="a7"/>
          <w:rtl/>
        </w:rPr>
        <w:footnoteReference w:id="663"/>
      </w:r>
      <w:r>
        <w:rPr>
          <w:rtl/>
        </w:rPr>
        <w:t xml:space="preserve">תְּרֵין כֻּלְיָין, </w:t>
      </w:r>
      <w:r>
        <w:rPr>
          <w:rStyle w:val="a7"/>
          <w:rtl/>
        </w:rPr>
        <w:footnoteReference w:id="664"/>
      </w:r>
      <w:r>
        <w:rPr>
          <w:rtl/>
        </w:rPr>
        <w:t xml:space="preserve">וּבְהוֹן שַׁרְיָין תְּרֵין סַמְכֵי קְשׁוֹט, מוֹחָא, עֲלֵיהּ אִתְּמַר </w:t>
      </w:r>
      <w:r>
        <w:rPr>
          <w:sz w:val="20"/>
          <w:szCs w:val="23"/>
          <w:rtl/>
        </w:rPr>
        <w:t>(יחזקאל א י)</w:t>
      </w:r>
      <w:r>
        <w:rPr>
          <w:rtl/>
        </w:rPr>
        <w:t xml:space="preserve"> </w:t>
      </w:r>
      <w:r>
        <w:rPr>
          <w:rStyle w:val="a7"/>
          <w:rtl/>
        </w:rPr>
        <w:footnoteReference w:id="665"/>
      </w:r>
      <w:r>
        <w:rPr>
          <w:rtl/>
        </w:rPr>
        <w:t xml:space="preserve">וּפְנֵי אַרְיֵה אֶל הַיָּמִין, וְתַמָּן מְנַרְתָּא דָלִיק, לִבָּא </w:t>
      </w:r>
      <w:r>
        <w:rPr>
          <w:rStyle w:val="a7"/>
          <w:rtl/>
        </w:rPr>
        <w:footnoteReference w:id="666"/>
      </w:r>
      <w:r>
        <w:rPr>
          <w:rtl/>
        </w:rPr>
        <w:t xml:space="preserve">וּפְנֵי שׁוֹר מֵהַשְּׂמֹאל, וְתַמָּן פָּתוֹרָא מִתְתַּקְנָא, בְּגִין דְּלִבָּא אִיהוּ לִשְׂמָאלָא, גּוּפָא עֲלֵיהּ אִתְּמַר </w:t>
      </w:r>
      <w:r>
        <w:rPr>
          <w:rStyle w:val="a7"/>
          <w:rtl/>
        </w:rPr>
        <w:footnoteReference w:id="667"/>
      </w:r>
      <w:r>
        <w:rPr>
          <w:rtl/>
        </w:rPr>
        <w:t xml:space="preserve">וּפְנֵי נֶשֶׁר, וְתַמָּן מַשְׁכְּנָא מִתְתַּקְנָא, וּשְׁכִינְתָּא אִיהִי </w:t>
      </w:r>
      <w:r>
        <w:rPr>
          <w:rStyle w:val="a7"/>
          <w:rtl/>
        </w:rPr>
        <w:footnoteReference w:id="668"/>
      </w:r>
      <w:r>
        <w:rPr>
          <w:rtl/>
        </w:rPr>
        <w:t xml:space="preserve">דְמוּת אֶחָד לְאַרְבַּעְתָּן, </w:t>
      </w:r>
      <w:r>
        <w:rPr>
          <w:rStyle w:val="a7"/>
          <w:rtl/>
        </w:rPr>
        <w:footnoteReference w:id="669"/>
      </w:r>
      <w:r>
        <w:rPr>
          <w:rtl/>
        </w:rPr>
        <w:t>וְאִיהִי ד' דְּאֶחָד, וְאִיהִי אַרְבַּע אַנְפִּין דְּכָל חַיָּה.</w:t>
      </w:r>
    </w:p>
    <w:p w:rsidR="00D45634" w:rsidRDefault="00D45634" w:rsidP="00B17EA9">
      <w:pPr>
        <w:pStyle w:val="NormalWeb"/>
        <w:rPr>
          <w:rtl/>
        </w:rPr>
      </w:pPr>
      <w:r>
        <w:rPr>
          <w:rtl/>
        </w:rPr>
        <w:t xml:space="preserve">בְּגִין דְּבָהּ אַרְבַּע אַתְוָון נְהִירִין דְּאִינוּן יהו''ה, וְאִיהִי דְּמוּת אָדָם, דְּאִיהוּ יו''ד ה''א וא''ו ה''א, וַעֲשַׂר אַתְוָון אִלֵּין אִנּוּן שִׁעוּר קוֹמָא דְּגוּפָא דָא, דְאִיהוּ מַשְׁכְּנָא, וַעֲלַיְהוּ אִתְּמַר </w:t>
      </w:r>
      <w:r>
        <w:rPr>
          <w:sz w:val="20"/>
          <w:szCs w:val="23"/>
          <w:rtl/>
        </w:rPr>
        <w:t>(שמות כו טז)</w:t>
      </w:r>
      <w:r>
        <w:rPr>
          <w:rtl/>
        </w:rPr>
        <w:t xml:space="preserve"> עֶשֶׂר אַמּוֹת אֹרֶךְ הַקָּרֶשׁ, וָאֲמַלֵּא אוֹתוֹ רוּחַ אֱלֹהִי''ם, בְּחָכְמָה בִתְבוּנָה וּבְדַעַת וּבְכָל מְלָאכָה </w:t>
      </w:r>
      <w:r>
        <w:rPr>
          <w:sz w:val="20"/>
          <w:szCs w:val="23"/>
          <w:rtl/>
        </w:rPr>
        <w:t>(שם לא ג)</w:t>
      </w:r>
      <w:r>
        <w:rPr>
          <w:rtl/>
        </w:rPr>
        <w:t>, בְּחָכְמָה דָא י', בִּתְבוּנָה דָא ה', וּבְדַעַת דָּא ו', וּבְכָל מְלָאכָה דָא ה'.</w:t>
      </w:r>
    </w:p>
    <w:p w:rsidR="00D45634" w:rsidRDefault="00D45634" w:rsidP="00B17EA9">
      <w:pPr>
        <w:pStyle w:val="NormalWeb"/>
        <w:rPr>
          <w:rtl/>
        </w:rPr>
      </w:pPr>
      <w:r>
        <w:rPr>
          <w:rStyle w:val="a7"/>
          <w:rtl/>
        </w:rPr>
        <w:footnoteReference w:id="670"/>
      </w:r>
      <w:r>
        <w:rPr>
          <w:rtl/>
        </w:rPr>
        <w:t xml:space="preserve">דָּבָר אַחֵר, וְהַמַּשְׂכִּילִים, אִלֵּין אַרְבַּע יְסוֹדִין דְּגוּפָא, </w:t>
      </w:r>
      <w:r>
        <w:rPr>
          <w:rStyle w:val="a7"/>
          <w:rtl/>
        </w:rPr>
        <w:footnoteReference w:id="671"/>
      </w:r>
      <w:r>
        <w:rPr>
          <w:rtl/>
        </w:rPr>
        <w:t xml:space="preserve">יַזְהִירוּ בְּהוֹן אַרְבַּע חֵיוָון, דְּאִינוּן מַזָּל אַרְיֵה, מַזָּל שׁוֹר, מַזָּל נֶשֶׁר, מַזָּל אָדָם, </w:t>
      </w:r>
      <w:r>
        <w:rPr>
          <w:rStyle w:val="a7"/>
          <w:rtl/>
        </w:rPr>
        <w:footnoteReference w:id="672"/>
      </w:r>
      <w:r>
        <w:rPr>
          <w:rtl/>
        </w:rPr>
        <w:t xml:space="preserve">דְּפַרְצוּפָא דְבַר נַשׁ אִשְׁתְּמוֹדַעַת בְּהוֹן בְּאַנְפּוֹי דְבַר נַשׁ, וְדָא אִיהוּ הַכָּרַת פְּנֵיהֶם עָנְתָה בָּם </w:t>
      </w:r>
      <w:r>
        <w:rPr>
          <w:sz w:val="20"/>
          <w:szCs w:val="23"/>
          <w:rtl/>
        </w:rPr>
        <w:t>(ישעיה ג ט)</w:t>
      </w:r>
      <w:r>
        <w:rPr>
          <w:rtl/>
        </w:rPr>
        <w:t xml:space="preserve">, כְּזֹהַר דָּא נִשְׁמָתָא, וּמַצְדִּיקֵי הָרַבִּים </w:t>
      </w:r>
      <w:r>
        <w:rPr>
          <w:rStyle w:val="a7"/>
          <w:rtl/>
        </w:rPr>
        <w:footnoteReference w:id="673"/>
      </w:r>
      <w:r>
        <w:rPr>
          <w:rtl/>
        </w:rPr>
        <w:t xml:space="preserve">בְּאֵבָרִין דְּגוּפָא, יְהוֹן נַהֲרִין מַזָּלַיְיהוּ </w:t>
      </w:r>
      <w:r>
        <w:rPr>
          <w:rStyle w:val="a7"/>
          <w:rtl/>
        </w:rPr>
        <w:footnoteReference w:id="674"/>
      </w:r>
      <w:r>
        <w:rPr>
          <w:rtl/>
        </w:rPr>
        <w:t>כַּכֹּכָבִים לְעוֹלָם וָעֶד.</w:t>
      </w:r>
    </w:p>
    <w:p w:rsidR="00D45634" w:rsidRDefault="00D45634" w:rsidP="00B17EA9">
      <w:pPr>
        <w:pStyle w:val="NormalWeb"/>
        <w:rPr>
          <w:rtl/>
        </w:rPr>
      </w:pPr>
      <w:r>
        <w:rPr>
          <w:rtl/>
        </w:rPr>
        <w:t xml:space="preserve">דָּבָר אַחֵר, </w:t>
      </w:r>
      <w:r>
        <w:rPr>
          <w:rStyle w:val="a7"/>
          <w:rtl/>
        </w:rPr>
        <w:footnoteReference w:id="675"/>
      </w:r>
      <w:r>
        <w:rPr>
          <w:rtl/>
        </w:rPr>
        <w:t xml:space="preserve">וְהַמַּשְׂכִּילִים אִלֵין אַרְבַּע סִטְרֵי עָלְמָא, יַזְהִירוּ </w:t>
      </w:r>
      <w:r>
        <w:rPr>
          <w:rStyle w:val="a7"/>
          <w:rtl/>
        </w:rPr>
        <w:footnoteReference w:id="676"/>
      </w:r>
      <w:r>
        <w:rPr>
          <w:rtl/>
        </w:rPr>
        <w:t xml:space="preserve">אִלֵּין אַרְבַּע מַלְאָכַיָּא, דְאִינוּן מִיכָאֵ''ל גַּבְרִיאֵ''ל רְפָאֵ''ל </w:t>
      </w:r>
      <w:r>
        <w:rPr>
          <w:rStyle w:val="a7"/>
          <w:rtl/>
        </w:rPr>
        <w:footnoteReference w:id="677"/>
      </w:r>
      <w:r>
        <w:rPr>
          <w:rtl/>
        </w:rPr>
        <w:t>אוּרִיאֵ''ל, כְּזֹהַר דָּא כָּרְסַיָּא יְקָרָא.</w:t>
      </w:r>
    </w:p>
    <w:p w:rsidR="00D45634" w:rsidRDefault="00D45634" w:rsidP="00B17EA9">
      <w:pPr>
        <w:pStyle w:val="NormalWeb"/>
        <w:rPr>
          <w:rtl/>
        </w:rPr>
      </w:pPr>
      <w:r>
        <w:rPr>
          <w:rStyle w:val="a7"/>
          <w:rtl/>
        </w:rPr>
        <w:lastRenderedPageBreak/>
        <w:footnoteReference w:id="678"/>
      </w:r>
      <w:r>
        <w:rPr>
          <w:rtl/>
        </w:rPr>
        <w:t xml:space="preserve">דָּבָר אַחֵר וְהַמַּשְׂכִּילִים אִלֵּין שִׂפְוָון, דְּאִתְּמַר בְּהוֹן וְשִׂפְתוֹתֵינוּ שֶׁבַח, </w:t>
      </w:r>
      <w:r>
        <w:rPr>
          <w:rStyle w:val="a7"/>
          <w:rtl/>
        </w:rPr>
        <w:footnoteReference w:id="679"/>
      </w:r>
      <w:r>
        <w:rPr>
          <w:rtl/>
        </w:rPr>
        <w:t xml:space="preserve">וּבְהוֹן אחה''ע בומ''ף גיכ''ק דטלנ''ת זסשר''ץ, דִּמְשַׁמְּשִׁין בְּפוּמָא בְּכ''ב אַתְוָון, וּבְהוֹן חִתּוּךְ דִּבּוּרָא דִצְלוֹתָא לְשַׁבְּחָא לְמַלְכָּא, </w:t>
      </w:r>
      <w:r>
        <w:rPr>
          <w:rStyle w:val="a7"/>
          <w:rtl/>
        </w:rPr>
        <w:footnoteReference w:id="680"/>
      </w:r>
      <w:r>
        <w:rPr>
          <w:rtl/>
        </w:rPr>
        <w:t xml:space="preserve">יַזְהִירוּ אִלֵּין עַיְינִין, דְּאִתְּמַר בְּהוֹן וְעִינֵינוּ מְאִירוֹת כַּשֶּׁמֶשׁ וְכַיָּרֵחַ, </w:t>
      </w:r>
      <w:r>
        <w:rPr>
          <w:rStyle w:val="a7"/>
          <w:rtl/>
        </w:rPr>
        <w:footnoteReference w:id="681"/>
      </w:r>
      <w:r>
        <w:rPr>
          <w:rtl/>
        </w:rPr>
        <w:t xml:space="preserve">שִׁבְעָה גִלְדֵּי עִינָא אִינוּן, דְּנַהֲרִין בְּהוֹן שִׁבְעָה כֹּכְבֵי לֶכֶת, וְשִׁמְשָׁא וְסִיהֲרָא, </w:t>
      </w:r>
      <w:r>
        <w:rPr>
          <w:rStyle w:val="a7"/>
          <w:rtl/>
        </w:rPr>
        <w:footnoteReference w:id="682"/>
      </w:r>
      <w:r>
        <w:rPr>
          <w:rtl/>
        </w:rPr>
        <w:t xml:space="preserve">דְאִתְּמַר בְּהוֹן וְעִינֵינוּ מְאִירוֹת כַּשֶּׁמֶשׁ וְכַיָּרֵחַ, הָא תִּשְׁעָה, כְּגַוְונָא דְתֵשַׁע נְקוּדִין דְּאוֹרַיְיתָא, וְהָא חַמָּה וּלְבָנָה בִּכְלָל שִׁבְעָה כֹּכְבַיָּא אִינוּן אֵיךְ חָשִׁיב לוֹן תּוֹסֶפֶת עַל ז', </w:t>
      </w:r>
      <w:r>
        <w:rPr>
          <w:rStyle w:val="a7"/>
          <w:rtl/>
        </w:rPr>
        <w:footnoteReference w:id="683"/>
      </w:r>
      <w:r>
        <w:rPr>
          <w:rtl/>
        </w:rPr>
        <w:t>אֶלָּא חַמָּה אִיהִי נוּקְבָא לְגַבֵּי שִׁמְשָׁא, לְבָנָה נוּקְבָא לְגַבֵּי יָרֵחַ, וְשֶׁמֶשׁ וְיָרֵחַ אִינוּן נַהֲרִין לְשִׁבְעָה כֹּכְבֵי לֶכֶת, דְּאִינוּן כְּשִׁבְעָה גִלְדֵּי עִינָא, וְשִׁמְשָׁא וְסִיהֲרָא הָא תִּשְׁעָה, בַּת עַיִן עֲשִׂירִית לוֹן, כַּלָּה דִכְלִילָא מִכֻּלְּהוּ.</w:t>
      </w:r>
    </w:p>
    <w:p w:rsidR="00D45634" w:rsidRDefault="00D45634" w:rsidP="00B17EA9">
      <w:pPr>
        <w:pStyle w:val="aa"/>
        <w:rPr>
          <w:rtl/>
        </w:rPr>
      </w:pPr>
      <w:bookmarkStart w:id="43" w:name="_Toc228095585"/>
      <w:bookmarkStart w:id="44" w:name="_Toc231638023"/>
      <w:r>
        <w:rPr>
          <w:rtl/>
        </w:rPr>
        <w:t>[תיקוני זוהר - דף עג ע''א]</w:t>
      </w:r>
      <w:bookmarkEnd w:id="43"/>
      <w:bookmarkEnd w:id="44"/>
    </w:p>
    <w:p w:rsidR="00D45634" w:rsidRDefault="00D45634" w:rsidP="00B17EA9">
      <w:pPr>
        <w:pStyle w:val="NormalWeb"/>
        <w:rPr>
          <w:rtl/>
        </w:rPr>
      </w:pPr>
      <w:r>
        <w:rPr>
          <w:rtl/>
        </w:rPr>
        <w:t xml:space="preserve">כְּזֹהַר הָרָקִיעַ, דָא אַסְפַּקְלַרְיָאָה דְנַהֲרָא בְּאַנְפּוֹי דְּאָדָם, דְּמִינָהּ תַּלְיָין אוּדְנִין וְעַיְינִין וְחוֹטָמָא וּפוּמָא, דְאִינוּן מַנְהִיגֵי גוּפָא וְאֵבָרִין דִּילֵיהּ, כְּגַוְונָא דְטַעֲמֵי, דְאִינוּן מַנְהִיגֵי אַתְוָון וּנְקוּדֵי דְאוֹרַיְיתָא, כְּמָה דְשִׂפְוָון וְשִׁינַיִן וְחֵיךְ וְלָשׁוֹן וְגָרוֹן אִנּוּן מְשַׁמְּשִׁין לְאַתְוָון, הָכִי כְּגַוְונָא דָא כַנְפֵי עִינָא וְעַפְעַפֵּי עִינָא וּתְלַת גַּוָּונֵי דְעִינָא, אִינוּן מְשַׁמְּשִׁין לְעִינָא, </w:t>
      </w:r>
      <w:r>
        <w:rPr>
          <w:rStyle w:val="a7"/>
          <w:rtl/>
        </w:rPr>
        <w:footnoteReference w:id="684"/>
      </w:r>
      <w:r>
        <w:rPr>
          <w:rtl/>
        </w:rPr>
        <w:t xml:space="preserve">וְכֹלָּא אִתְקַשַּׁר בְּחָמֵשׁ נְקוּדִין כְּגַוְונָא דָא אִאֻאֵאֹאַ, אַתְוָון וּנְקוּדֵי חָמֵשׁ בְּגוֹ חָמֵשׁ, וַעֲלַיְיהוּ אִתְּמַר </w:t>
      </w:r>
      <w:r>
        <w:rPr>
          <w:sz w:val="20"/>
          <w:szCs w:val="23"/>
          <w:rtl/>
        </w:rPr>
        <w:t>(דברים כט ט)</w:t>
      </w:r>
      <w:r>
        <w:rPr>
          <w:rtl/>
        </w:rPr>
        <w:t xml:space="preserve"> רָאשֵׁיכֶם שִׁבְטֵיכֶם זִקְנֵיכֶם וְשֹׁטְרֵיכֶם כֹּל אִישׁ יִשְׂרָאֵל הָא חֲמִשָּׁה, טַפְּכֶם נְשֵׁיכֶם וְגֵרְךָ אֲשֶׁר בְּקֶרֶב מַחֲנֶיךָ מֵחֹטֵב עִצֶיךָ עַד שֹׁאֵב מֵימֶיךָ הָא חָמֵשׁ אָחֳרָנִין, </w:t>
      </w:r>
      <w:r>
        <w:rPr>
          <w:rStyle w:val="a7"/>
          <w:rtl/>
        </w:rPr>
        <w:footnoteReference w:id="685"/>
      </w:r>
      <w:r>
        <w:rPr>
          <w:rtl/>
        </w:rPr>
        <w:t xml:space="preserve">חָמֵשׁ לְגוֹ חָמֵשׁ אִלֵּין ה''ה, </w:t>
      </w:r>
      <w:r>
        <w:rPr>
          <w:rStyle w:val="a7"/>
          <w:rtl/>
        </w:rPr>
        <w:footnoteReference w:id="686"/>
      </w:r>
      <w:r>
        <w:rPr>
          <w:rtl/>
        </w:rPr>
        <w:t xml:space="preserve">וּמִנַּיְיהוּ אִתְיְיהִיבוּ עֲשַׂר דִּבְּרָן דָּא י', </w:t>
      </w:r>
      <w:r>
        <w:rPr>
          <w:sz w:val="20"/>
          <w:szCs w:val="23"/>
          <w:rtl/>
        </w:rPr>
        <w:t>(שמות כו טו)</w:t>
      </w:r>
      <w:r>
        <w:rPr>
          <w:rtl/>
        </w:rPr>
        <w:t xml:space="preserve"> </w:t>
      </w:r>
      <w:r>
        <w:rPr>
          <w:rStyle w:val="a7"/>
          <w:rtl/>
        </w:rPr>
        <w:footnoteReference w:id="687"/>
      </w:r>
      <w:r>
        <w:rPr>
          <w:rtl/>
        </w:rPr>
        <w:t xml:space="preserve">וְכָל הָעָם רוֹאִים אֶת הַקּוֹלוֹת </w:t>
      </w:r>
      <w:r>
        <w:rPr>
          <w:sz w:val="20"/>
          <w:szCs w:val="23"/>
          <w:rtl/>
        </w:rPr>
        <w:t xml:space="preserve">(דף עג ע''א) </w:t>
      </w:r>
      <w:r>
        <w:rPr>
          <w:rtl/>
        </w:rPr>
        <w:t>מִסִּטְרָא דְו'.</w:t>
      </w:r>
    </w:p>
    <w:p w:rsidR="00D45634" w:rsidRDefault="00D45634" w:rsidP="00B17EA9">
      <w:pPr>
        <w:pStyle w:val="NormalWeb"/>
        <w:rPr>
          <w:rtl/>
        </w:rPr>
      </w:pPr>
      <w:r>
        <w:rPr>
          <w:rStyle w:val="a7"/>
          <w:rtl/>
        </w:rPr>
        <w:footnoteReference w:id="688"/>
      </w:r>
      <w:r>
        <w:rPr>
          <w:rtl/>
        </w:rPr>
        <w:t xml:space="preserve">דָּבָר אַחֵר וְהַמַּשְׂכִּילִים, אִלֵּין מָארֵי מִקְרָא, יַזְהִירוּ אִלֵּין </w:t>
      </w:r>
      <w:r>
        <w:rPr>
          <w:rStyle w:val="a7"/>
          <w:rtl/>
        </w:rPr>
        <w:footnoteReference w:id="689"/>
      </w:r>
      <w:r>
        <w:rPr>
          <w:rtl/>
        </w:rPr>
        <w:t xml:space="preserve">מָארֵי מִשְׁנָה, </w:t>
      </w:r>
      <w:r>
        <w:rPr>
          <w:rStyle w:val="a7"/>
          <w:rtl/>
        </w:rPr>
        <w:footnoteReference w:id="690"/>
      </w:r>
      <w:r>
        <w:rPr>
          <w:rtl/>
        </w:rPr>
        <w:t xml:space="preserve">דְּאִינוּן מָארֵי מַתְנִיתִין מ''ט אַנְפִּין טָהוֹר וּמ''ט אַנְפִּין טָמֵא, מ''ט אַנְפִּין טָהוֹר אִנּוּן מ''ט אַתְוָון דְּפָרָשָׁה </w:t>
      </w:r>
      <w:r>
        <w:rPr>
          <w:rStyle w:val="a7"/>
          <w:rtl/>
        </w:rPr>
        <w:footnoteReference w:id="691"/>
      </w:r>
      <w:r>
        <w:rPr>
          <w:rtl/>
        </w:rPr>
        <w:t xml:space="preserve">דְיִחוּדָא עִלָּאָה דְאִיהוּ שְׁמַע יִשְׂרָאֵל כ''ה אַתְוָון, וְכ''ד אַתְוָון דְּפָרָשָׁה תִּנְיָינָא דְיִחוּדָא דְאִיהִי בָּרוּךְ שֵׁם כְּבוֹד מַלְכוּתוֹ לְעוֹלָם וָעֶד, כ''ה אַתְוָון עֲלַיְיהוּ אִתְּמַר </w:t>
      </w:r>
      <w:r>
        <w:rPr>
          <w:sz w:val="20"/>
          <w:szCs w:val="23"/>
          <w:rtl/>
        </w:rPr>
        <w:t>(שמות יט ג)</w:t>
      </w:r>
      <w:r>
        <w:rPr>
          <w:rtl/>
        </w:rPr>
        <w:t xml:space="preserve"> </w:t>
      </w:r>
      <w:r>
        <w:rPr>
          <w:rStyle w:val="a7"/>
          <w:rtl/>
        </w:rPr>
        <w:footnoteReference w:id="692"/>
      </w:r>
      <w:r>
        <w:rPr>
          <w:rtl/>
        </w:rPr>
        <w:t xml:space="preserve">כֹּה תֹאמַר לְבֵית יַעֲקֹב, </w:t>
      </w:r>
      <w:r>
        <w:rPr>
          <w:rStyle w:val="a7"/>
          <w:rtl/>
        </w:rPr>
        <w:footnoteReference w:id="693"/>
      </w:r>
      <w:r>
        <w:rPr>
          <w:rtl/>
        </w:rPr>
        <w:t xml:space="preserve">וּבְּכ''ד אַתְוָון דִּכְלִילָן בְּהוֹן כ''ד סְפָרִים, דְּאִינוּן כ''ד דְּשָׁאִיב מִן </w:t>
      </w:r>
      <w:r>
        <w:rPr>
          <w:rStyle w:val="a7"/>
          <w:rtl/>
        </w:rPr>
        <w:footnoteReference w:id="694"/>
      </w:r>
      <w:r>
        <w:rPr>
          <w:rtl/>
        </w:rPr>
        <w:t xml:space="preserve">יַמָּא דְאוֹרַיְיתָא, אִתְּמַר בְּהוֹן </w:t>
      </w:r>
      <w:r>
        <w:rPr>
          <w:rStyle w:val="a7"/>
          <w:rtl/>
        </w:rPr>
        <w:footnoteReference w:id="695"/>
      </w:r>
      <w:r>
        <w:rPr>
          <w:rtl/>
        </w:rPr>
        <w:t xml:space="preserve">וְתַגֵּיד לִבְנֵי יִשְׂרָאֵל, </w:t>
      </w:r>
      <w:r>
        <w:rPr>
          <w:rStyle w:val="a7"/>
          <w:rtl/>
        </w:rPr>
        <w:footnoteReference w:id="696"/>
      </w:r>
      <w:r>
        <w:rPr>
          <w:rtl/>
        </w:rPr>
        <w:t xml:space="preserve">וּמַאי נִיהוּ דְשָׁאֲבִין מִנֵּיהּ הַאי כ''ד דְּאִיהִי שְׁכִינְתָּא, כְּלִילָא מִכ''ד סִפְרֵי דְּאוֹרַיְיתָא, דָּא צַדִּיק, דְּאִיהוּ נָהָר דְּנָפִיק מֵעִדֶן עִלָּאָה, </w:t>
      </w:r>
      <w:r>
        <w:rPr>
          <w:rStyle w:val="a7"/>
          <w:rtl/>
        </w:rPr>
        <w:footnoteReference w:id="697"/>
      </w:r>
      <w:r>
        <w:rPr>
          <w:rtl/>
        </w:rPr>
        <w:t>בְּגִין דְּנָחִית בֵּיהּ ו', דְּאִיהוּ בֶּן י''ה.</w:t>
      </w:r>
    </w:p>
    <w:p w:rsidR="00D45634" w:rsidRDefault="00D45634" w:rsidP="00B17EA9">
      <w:pPr>
        <w:pStyle w:val="NormalWeb"/>
        <w:rPr>
          <w:rtl/>
        </w:rPr>
      </w:pPr>
      <w:r>
        <w:rPr>
          <w:rtl/>
        </w:rPr>
        <w:lastRenderedPageBreak/>
        <w:t xml:space="preserve">וּבְגָלוּתָא </w:t>
      </w:r>
      <w:r>
        <w:rPr>
          <w:rStyle w:val="a7"/>
          <w:rtl/>
        </w:rPr>
        <w:footnoteReference w:id="698"/>
      </w:r>
      <w:r>
        <w:rPr>
          <w:rtl/>
        </w:rPr>
        <w:t xml:space="preserve">אִסְתַּלַּק מִנֵּיהּ, וְאִתְּמַר בֵּיהּ </w:t>
      </w:r>
      <w:r>
        <w:rPr>
          <w:sz w:val="20"/>
          <w:szCs w:val="23"/>
          <w:rtl/>
        </w:rPr>
        <w:t>(ישעיהו יט ה)</w:t>
      </w:r>
      <w:r>
        <w:rPr>
          <w:rtl/>
        </w:rPr>
        <w:t xml:space="preserve"> וְנָהָר יֶחרַב וְיָבֵשׁ, יֶחֱרַב </w:t>
      </w:r>
      <w:r>
        <w:rPr>
          <w:rStyle w:val="a7"/>
          <w:rtl/>
        </w:rPr>
        <w:footnoteReference w:id="699"/>
      </w:r>
      <w:r>
        <w:rPr>
          <w:rtl/>
        </w:rPr>
        <w:t xml:space="preserve">בְּבַיִת רִאשׁוֹן, וְיָבֵשׁ בְּבַיִת שֵׁנִי, וְאִיהוּ דָךְ בְּכ''ד סְפָרִים, וְעִם כָּל דָּא דְּאִיהוּ חָרֵב וְיָבֵשׁ, אִתְּמַר בֵּיהּ </w:t>
      </w:r>
      <w:r>
        <w:rPr>
          <w:rStyle w:val="a7"/>
          <w:rtl/>
        </w:rPr>
        <w:footnoteReference w:id="700"/>
      </w:r>
      <w:r>
        <w:rPr>
          <w:rtl/>
        </w:rPr>
        <w:t xml:space="preserve">אַל יָשׁוֹב דַּךְ נִכְלָם </w:t>
      </w:r>
      <w:r>
        <w:rPr>
          <w:sz w:val="20"/>
          <w:szCs w:val="23"/>
          <w:rtl/>
        </w:rPr>
        <w:t>(תהלים עד כא)</w:t>
      </w:r>
      <w:r>
        <w:rPr>
          <w:rtl/>
        </w:rPr>
        <w:t xml:space="preserve">, אַל יָשׁוֹב דַּךְ, </w:t>
      </w:r>
      <w:r>
        <w:rPr>
          <w:rStyle w:val="a7"/>
          <w:rtl/>
        </w:rPr>
        <w:footnoteReference w:id="701"/>
      </w:r>
      <w:r>
        <w:rPr>
          <w:rtl/>
        </w:rPr>
        <w:t xml:space="preserve">דְּאִיהוּ צַדִּיק בָּרוּךְ שֵׁם כְּבוֹד מַלְכוּתוֹ לְעוֹלָם וָעֶד, דַּ''ךְ בִּשְׁכִינְתָּא, דְּאִיהִי כ''ד אַתְוָון דְּיִחוּדָא, עֲלֵיהּ אִתְּמַר </w:t>
      </w:r>
      <w:r>
        <w:rPr>
          <w:sz w:val="20"/>
          <w:szCs w:val="23"/>
          <w:rtl/>
        </w:rPr>
        <w:t>(מלכים א ב מה)</w:t>
      </w:r>
      <w:r>
        <w:rPr>
          <w:rtl/>
        </w:rPr>
        <w:t xml:space="preserve"> </w:t>
      </w:r>
      <w:r>
        <w:rPr>
          <w:rStyle w:val="a7"/>
          <w:rtl/>
        </w:rPr>
        <w:footnoteReference w:id="702"/>
      </w:r>
      <w:r>
        <w:rPr>
          <w:rtl/>
        </w:rPr>
        <w:t xml:space="preserve">וְהַמֶּלֶךְ שְׁלֹמֹה בָּרוּךְ, וְעַל אִלֵּין כ''ד אַתְוָון אִתְּמַר </w:t>
      </w:r>
      <w:r>
        <w:rPr>
          <w:sz w:val="20"/>
          <w:szCs w:val="23"/>
          <w:rtl/>
        </w:rPr>
        <w:t>(ישעיהו נד יב)</w:t>
      </w:r>
      <w:r>
        <w:rPr>
          <w:rtl/>
        </w:rPr>
        <w:t xml:space="preserve"> </w:t>
      </w:r>
      <w:r>
        <w:rPr>
          <w:rStyle w:val="a7"/>
          <w:rtl/>
        </w:rPr>
        <w:footnoteReference w:id="703"/>
      </w:r>
      <w:r>
        <w:rPr>
          <w:rtl/>
        </w:rPr>
        <w:t xml:space="preserve">וְשַׂמְתִּי כַּ''דְכֹ''ד שִׁמְשׁוֹתַיִךְ וגו', הַאי עָנִי אִיהוּ דַּ''ךְ, וּבַת זוּגֵיהּ </w:t>
      </w:r>
      <w:r>
        <w:rPr>
          <w:rStyle w:val="a7"/>
          <w:rtl/>
        </w:rPr>
        <w:footnoteReference w:id="704"/>
      </w:r>
      <w:r>
        <w:rPr>
          <w:rtl/>
        </w:rPr>
        <w:t xml:space="preserve">דַכָּ''ה, וְאִיהִי כַדָּ''הּ עַל שִׁכְמָהּ, </w:t>
      </w:r>
      <w:r>
        <w:rPr>
          <w:rStyle w:val="a7"/>
          <w:rtl/>
        </w:rPr>
        <w:footnoteReference w:id="705"/>
      </w:r>
      <w:r>
        <w:rPr>
          <w:rtl/>
        </w:rPr>
        <w:t xml:space="preserve">כ''ד ה', דְאִיהִי חֲמִשָּׁה חוּמְשֵׁי תוֹרָה, </w:t>
      </w:r>
      <w:r>
        <w:rPr>
          <w:rStyle w:val="a7"/>
          <w:rtl/>
        </w:rPr>
        <w:footnoteReference w:id="706"/>
      </w:r>
      <w:r>
        <w:rPr>
          <w:rtl/>
        </w:rPr>
        <w:t xml:space="preserve">וְאִינוּן ה' אֶצְבְּעָאן, דִּבְהוֹן אִתְּמַר </w:t>
      </w:r>
      <w:r>
        <w:rPr>
          <w:sz w:val="20"/>
          <w:szCs w:val="23"/>
          <w:rtl/>
        </w:rPr>
        <w:t>(בראשית כד טז)</w:t>
      </w:r>
      <w:r>
        <w:rPr>
          <w:rtl/>
        </w:rPr>
        <w:t xml:space="preserve"> וַתְּמַלֵּא כַדָּ''הּ וַתָּעַל.</w:t>
      </w:r>
    </w:p>
    <w:p w:rsidR="00D45634" w:rsidRDefault="00D45634" w:rsidP="00B17EA9">
      <w:pPr>
        <w:pStyle w:val="NormalWeb"/>
        <w:rPr>
          <w:rtl/>
        </w:rPr>
      </w:pPr>
      <w:r>
        <w:rPr>
          <w:rtl/>
        </w:rPr>
        <w:t xml:space="preserve">וּמֵאַיִן שׁוֹאֲבִין, מִכ''ה אַתְוָון, וְרָזָא דְמִלָּה כֹּ''ה תְבָרַכוּ אֶת בְּנֵי יִשְׂרָאֵל </w:t>
      </w:r>
      <w:r>
        <w:rPr>
          <w:sz w:val="20"/>
          <w:szCs w:val="23"/>
          <w:rtl/>
        </w:rPr>
        <w:t>(במדבר ו כג)</w:t>
      </w:r>
      <w:r>
        <w:rPr>
          <w:rtl/>
        </w:rPr>
        <w:t xml:space="preserve">, </w:t>
      </w:r>
      <w:r>
        <w:rPr>
          <w:rStyle w:val="a7"/>
          <w:rtl/>
        </w:rPr>
        <w:footnoteReference w:id="707"/>
      </w:r>
      <w:r>
        <w:rPr>
          <w:rtl/>
        </w:rPr>
        <w:t xml:space="preserve">אֶת וַדַּאי, בְּמַאי אִתְבָּרְכַת וְאִתְמְלִיאַת, </w:t>
      </w:r>
      <w:r>
        <w:rPr>
          <w:rStyle w:val="a7"/>
          <w:rtl/>
        </w:rPr>
        <w:footnoteReference w:id="708"/>
      </w:r>
      <w:r>
        <w:rPr>
          <w:rtl/>
        </w:rPr>
        <w:t xml:space="preserve">בְּאָת ו' דְּאִיהוּ כְּלִיל שִׁית תֵּיבִין דְּיִחוּדָא, דְאִינוּן שְׁמַע יִשְׂרָאֵל יהו''ה אלהינ''ו יהו''ה אֶחָד, </w:t>
      </w:r>
      <w:r>
        <w:rPr>
          <w:rStyle w:val="a7"/>
          <w:rtl/>
        </w:rPr>
        <w:footnoteReference w:id="709"/>
      </w:r>
      <w:r>
        <w:rPr>
          <w:rtl/>
        </w:rPr>
        <w:t>וּבֵיהּ אִתְעֲבִידַת אוֹת.</w:t>
      </w:r>
    </w:p>
    <w:p w:rsidR="00D45634" w:rsidRDefault="00D45634" w:rsidP="00B17EA9">
      <w:pPr>
        <w:pStyle w:val="NormalWeb"/>
        <w:rPr>
          <w:rtl/>
        </w:rPr>
      </w:pPr>
      <w:r>
        <w:rPr>
          <w:rStyle w:val="a7"/>
          <w:rtl/>
        </w:rPr>
        <w:footnoteReference w:id="710"/>
      </w:r>
      <w:r>
        <w:rPr>
          <w:rtl/>
        </w:rPr>
        <w:t xml:space="preserve">כ''ה אִיהִי אִימָּא עִלָּאָה </w:t>
      </w:r>
      <w:r>
        <w:rPr>
          <w:rStyle w:val="a7"/>
          <w:rtl/>
        </w:rPr>
        <w:footnoteReference w:id="711"/>
      </w:r>
      <w:r>
        <w:rPr>
          <w:rtl/>
        </w:rPr>
        <w:t xml:space="preserve">יַמָּא דְאוֹרַיְיתָא, ו' נָהָר דְּנָפִיק מִתַּמָּן, וּמִנֵּיהּ אִתְמְלִיאַת כ''ד דְּאִיהִי שְׁכִינְתָּא תַּתָּאָה, וּמִנָּהּ אִתְשַׁקְיָא בְּגָלוּתָא, מַה דַּהֲוָה בְּקַדְמֵיתָא </w:t>
      </w:r>
      <w:r>
        <w:rPr>
          <w:rStyle w:val="a7"/>
          <w:rtl/>
        </w:rPr>
        <w:footnoteReference w:id="712"/>
      </w:r>
      <w:r>
        <w:rPr>
          <w:rtl/>
        </w:rPr>
        <w:t xml:space="preserve">הִיא אִתְשַׁקְיָא מִנֵּיהּ, וְרָזָא דְמִלָּה </w:t>
      </w:r>
      <w:r>
        <w:rPr>
          <w:sz w:val="20"/>
          <w:szCs w:val="23"/>
          <w:rtl/>
        </w:rPr>
        <w:t>(בראשית כד יח)</w:t>
      </w:r>
      <w:r>
        <w:rPr>
          <w:rtl/>
        </w:rPr>
        <w:t xml:space="preserve"> וַתְּמַהֵר וַתּוֹרֶד כַּדָּהּ </w:t>
      </w:r>
      <w:r>
        <w:rPr>
          <w:rStyle w:val="a7"/>
          <w:rtl/>
        </w:rPr>
        <w:footnoteReference w:id="713"/>
      </w:r>
      <w:r>
        <w:rPr>
          <w:rtl/>
        </w:rPr>
        <w:t xml:space="preserve">עַל יָדָהּ וַתַּשְׁקֵהוּ, וַעֲלָהּ אִתְּמַר וַתֹּאמֶר שְׁתֵה אֲדוֹנִי, </w:t>
      </w:r>
      <w:r>
        <w:rPr>
          <w:rStyle w:val="a7"/>
          <w:rtl/>
        </w:rPr>
        <w:footnoteReference w:id="714"/>
      </w:r>
      <w:r>
        <w:rPr>
          <w:rtl/>
        </w:rPr>
        <w:t xml:space="preserve">דְאִיהוּ אָדוֹן דִּילָהּ, וַתְּכַל לְהַשְׁקוֹתוֹ וַתֹּאמֶר גַּם לִגְמַלֶּי''ךָ אֶשְׁאָב, אִלֵּין רְמַ''ח תֵּיבִין דִּקְרִיאַת שְׁמַע, דְּאִינוּן שְׁקִילִין לְרַמַ''ח פִּקּוּדִין דְּאוֹרַיְיתָא, </w:t>
      </w:r>
      <w:r>
        <w:rPr>
          <w:rStyle w:val="a7"/>
          <w:rtl/>
        </w:rPr>
        <w:footnoteReference w:id="715"/>
      </w:r>
      <w:r>
        <w:rPr>
          <w:rtl/>
        </w:rPr>
        <w:t xml:space="preserve">דִבְהוֹן גְּמוּלֵ''י </w:t>
      </w:r>
      <w:r>
        <w:rPr>
          <w:rtl/>
        </w:rPr>
        <w:lastRenderedPageBreak/>
        <w:t xml:space="preserve">חָלָב יָנְקִין, </w:t>
      </w:r>
      <w:r>
        <w:rPr>
          <w:rStyle w:val="a7"/>
          <w:rtl/>
        </w:rPr>
        <w:footnoteReference w:id="716"/>
      </w:r>
      <w:r>
        <w:rPr>
          <w:rtl/>
        </w:rPr>
        <w:t xml:space="preserve">וְעַתִּיקֵי מִשָּׁדַיִם, דְּאִתְּמַר בְּהוֹן </w:t>
      </w:r>
      <w:r>
        <w:rPr>
          <w:sz w:val="20"/>
          <w:szCs w:val="23"/>
          <w:rtl/>
        </w:rPr>
        <w:t>(שיר ז ז)</w:t>
      </w:r>
      <w:r>
        <w:rPr>
          <w:rtl/>
        </w:rPr>
        <w:t xml:space="preserve"> שְׁנֵי שָׁדַיִךְ כִּשְׁנֵי עֳפָרִים תְּאוֹמֵי צְבִיָּה, וְאִינוּן תְּרֵי לוּחֵי אוֹרַיְיתָא.</w:t>
      </w:r>
    </w:p>
    <w:p w:rsidR="00D45634" w:rsidRDefault="00D45634" w:rsidP="00B17EA9">
      <w:pPr>
        <w:pStyle w:val="NormalWeb"/>
        <w:rPr>
          <w:rtl/>
        </w:rPr>
      </w:pPr>
      <w:r>
        <w:rPr>
          <w:rStyle w:val="a7"/>
          <w:rtl/>
        </w:rPr>
        <w:footnoteReference w:id="717"/>
      </w:r>
      <w:r>
        <w:rPr>
          <w:rtl/>
        </w:rPr>
        <w:t xml:space="preserve">כ''ה אִיהִי שְׁכִינְתָּא עִלָּאָה, דְבָהּ נָפְקוּ יִשְׂרָאֵל מִמִּצְרַיִם, כְּמָה דְאַתְּ אָמַר </w:t>
      </w:r>
      <w:r>
        <w:rPr>
          <w:sz w:val="20"/>
          <w:szCs w:val="23"/>
          <w:rtl/>
        </w:rPr>
        <w:t>(שמות יא ד)</w:t>
      </w:r>
      <w:r>
        <w:rPr>
          <w:rtl/>
        </w:rPr>
        <w:t xml:space="preserve"> כֹּה אָמַר יהו''ה כַּחֲצוֹת הַלַּיְלָה וגו', </w:t>
      </w:r>
      <w:r>
        <w:rPr>
          <w:rStyle w:val="a7"/>
          <w:rtl/>
        </w:rPr>
        <w:footnoteReference w:id="718"/>
      </w:r>
      <w:r>
        <w:rPr>
          <w:rtl/>
        </w:rPr>
        <w:t xml:space="preserve">אִיהִי כ''ה אַתְוָון דְּיִחוּדָא דְשַׁחֲרִית, וְכ''ה אַתְוָון דְּיִחוּדָא דְעַרְבִית, וְשַׂמְתִּי כַּ''דְכֹ''ד שִׁמְשׁוֹתַיִךְ </w:t>
      </w:r>
      <w:r>
        <w:rPr>
          <w:sz w:val="20"/>
          <w:szCs w:val="23"/>
          <w:rtl/>
        </w:rPr>
        <w:t>(ישעיהו נד יב)</w:t>
      </w:r>
      <w:r>
        <w:rPr>
          <w:rtl/>
        </w:rPr>
        <w:t xml:space="preserve"> דָּא שְׁכִינְתָּא תַּתָּאָה, דְּאִיהִי כ''ד אַתְוָון דְּיִחוּדָא קַדְמָאָה דְשַׁחֲרִית, וְכ''ד אַתְוָון דְּיִחוּדָא דְעַרְבִית.</w:t>
      </w:r>
    </w:p>
    <w:p w:rsidR="00D45634" w:rsidRDefault="00D45634" w:rsidP="00B17EA9">
      <w:pPr>
        <w:pStyle w:val="NormalWeb"/>
        <w:rPr>
          <w:rtl/>
        </w:rPr>
      </w:pPr>
      <w:r>
        <w:rPr>
          <w:rStyle w:val="a7"/>
          <w:rtl/>
        </w:rPr>
        <w:footnoteReference w:id="719"/>
      </w:r>
      <w:r>
        <w:rPr>
          <w:rtl/>
        </w:rPr>
        <w:t xml:space="preserve">כ''ה כ''ד דְּשַׁחֲרִית אִינוּן מ''ט אַנְפִּין, וְאִית מ''ט אַנְפִּין לְתַתָּא מִסִּטְרָא דְיִשְׂרָאֵל זוּטָא דְאִיהוּ מטטרו''ן, וְאִיהוּ מ''ט אַנְפִּין, וּבְהוֹן יַזְהִירוּ מָארֵי מִשְׁנָה, </w:t>
      </w:r>
      <w:r>
        <w:rPr>
          <w:rStyle w:val="a7"/>
          <w:rtl/>
        </w:rPr>
        <w:footnoteReference w:id="720"/>
      </w:r>
      <w:r>
        <w:rPr>
          <w:rtl/>
        </w:rPr>
        <w:t xml:space="preserve">דְאִיהִי תִנְיָינָא לַהֲלָכָה </w:t>
      </w:r>
      <w:r>
        <w:rPr>
          <w:rStyle w:val="a7"/>
          <w:rtl/>
        </w:rPr>
        <w:footnoteReference w:id="721"/>
      </w:r>
      <w:r>
        <w:rPr>
          <w:rtl/>
        </w:rPr>
        <w:t xml:space="preserve">שִׁפְחָה דִילֵיהּ, בְּגִין כִּי מָרְדְּכַי הַיְּהוּדִי מִשְׁנֶה לַמֶּלֶךְ </w:t>
      </w:r>
      <w:r>
        <w:rPr>
          <w:sz w:val="20"/>
          <w:szCs w:val="23"/>
          <w:rtl/>
        </w:rPr>
        <w:t>(אסתר ו ג)</w:t>
      </w:r>
      <w:r>
        <w:rPr>
          <w:szCs w:val="23"/>
          <w:rtl/>
        </w:rPr>
        <w:t xml:space="preserve">, </w:t>
      </w:r>
      <w:r>
        <w:rPr>
          <w:rStyle w:val="a7"/>
          <w:szCs w:val="23"/>
          <w:rtl/>
        </w:rPr>
        <w:footnoteReference w:id="722"/>
      </w:r>
      <w:r>
        <w:rPr>
          <w:rStyle w:val="Char"/>
          <w:rtl/>
        </w:rPr>
        <w:t>כְּגַוְונָא דָא מִשְׁנָה,</w:t>
      </w:r>
      <w:r>
        <w:rPr>
          <w:szCs w:val="23"/>
          <w:rtl/>
        </w:rPr>
        <w:t xml:space="preserve"> </w:t>
      </w:r>
      <w:r>
        <w:rPr>
          <w:rtl/>
        </w:rPr>
        <w:t xml:space="preserve">מִשְׁנֶה לַמֶּלֶךְ, </w:t>
      </w:r>
      <w:r>
        <w:rPr>
          <w:rStyle w:val="a7"/>
          <w:rtl/>
        </w:rPr>
        <w:footnoteReference w:id="723"/>
      </w:r>
      <w:r>
        <w:rPr>
          <w:rtl/>
        </w:rPr>
        <w:t xml:space="preserve">וּבֵיהּ יַזְהִירוּ מָארֵי מַתְנִיתִין, כְּזֹהַר הָרָקִיעַ </w:t>
      </w:r>
      <w:r>
        <w:rPr>
          <w:rStyle w:val="a7"/>
          <w:rtl/>
        </w:rPr>
        <w:footnoteReference w:id="724"/>
      </w:r>
      <w:r>
        <w:rPr>
          <w:rtl/>
        </w:rPr>
        <w:t xml:space="preserve">דָּא הֲלָכָה, </w:t>
      </w:r>
      <w:r>
        <w:rPr>
          <w:rStyle w:val="a7"/>
          <w:rtl/>
        </w:rPr>
        <w:footnoteReference w:id="725"/>
      </w:r>
      <w:r>
        <w:rPr>
          <w:rtl/>
        </w:rPr>
        <w:t xml:space="preserve">דְאִיהִי קַבָּלָה לְמֹשֶׁה מִסִּינַי, </w:t>
      </w:r>
      <w:r>
        <w:rPr>
          <w:rStyle w:val="a7"/>
          <w:rtl/>
        </w:rPr>
        <w:footnoteReference w:id="726"/>
      </w:r>
      <w:r>
        <w:rPr>
          <w:rtl/>
        </w:rPr>
        <w:t xml:space="preserve">וְכַמָּה עוּלֵימָאן אִית לָהּ דְּאִינוּן הֲלָכוֹת פְּסוּקוֹת, </w:t>
      </w:r>
      <w:r>
        <w:rPr>
          <w:rStyle w:val="a7"/>
          <w:rtl/>
        </w:rPr>
        <w:footnoteReference w:id="727"/>
      </w:r>
      <w:r>
        <w:rPr>
          <w:rtl/>
        </w:rPr>
        <w:t xml:space="preserve">דְּאִתְּמַר בְּהוֹן </w:t>
      </w:r>
      <w:r>
        <w:rPr>
          <w:sz w:val="20"/>
          <w:szCs w:val="23"/>
          <w:rtl/>
        </w:rPr>
        <w:t>(שיר ו ח)</w:t>
      </w:r>
      <w:r>
        <w:rPr>
          <w:rtl/>
        </w:rPr>
        <w:t xml:space="preserve"> וַעֲלָמוֹת אֵין מִסְפָּר, וְאִיהִי סָלְקָא עַל כֻּלְּהוּ, </w:t>
      </w:r>
      <w:r>
        <w:rPr>
          <w:rStyle w:val="a7"/>
          <w:rtl/>
        </w:rPr>
        <w:footnoteReference w:id="728"/>
      </w:r>
      <w:r>
        <w:rPr>
          <w:rtl/>
        </w:rPr>
        <w:t xml:space="preserve">הֲדָא הוּא דִכְתִיב </w:t>
      </w:r>
      <w:r>
        <w:rPr>
          <w:sz w:val="20"/>
          <w:szCs w:val="23"/>
          <w:rtl/>
        </w:rPr>
        <w:t>(משלי לא כט)</w:t>
      </w:r>
      <w:r>
        <w:rPr>
          <w:rtl/>
        </w:rPr>
        <w:t xml:space="preserve"> וְאַתְּ עָלִית עַל כֻּלָּנָה, </w:t>
      </w:r>
      <w:r>
        <w:rPr>
          <w:rStyle w:val="a7"/>
          <w:rtl/>
        </w:rPr>
        <w:footnoteReference w:id="729"/>
      </w:r>
      <w:r>
        <w:rPr>
          <w:rtl/>
        </w:rPr>
        <w:t xml:space="preserve">וְאִיהִי עִם כֻּלְּהוּ, כְּמָה דְאוּקְמוּהוּ </w:t>
      </w:r>
      <w:r>
        <w:rPr>
          <w:rStyle w:val="a7"/>
          <w:rtl/>
        </w:rPr>
        <w:footnoteReference w:id="730"/>
      </w:r>
      <w:r>
        <w:rPr>
          <w:rtl/>
        </w:rPr>
        <w:t>הֲלָכָה כְּרַבִּים.</w:t>
      </w:r>
    </w:p>
    <w:p w:rsidR="00D45634" w:rsidRDefault="00D45634" w:rsidP="00B17EA9">
      <w:pPr>
        <w:pStyle w:val="aa"/>
        <w:rPr>
          <w:rtl/>
        </w:rPr>
      </w:pPr>
      <w:bookmarkStart w:id="45" w:name="_Toc228095586"/>
      <w:bookmarkStart w:id="46" w:name="_Toc231638024"/>
      <w:r>
        <w:rPr>
          <w:rtl/>
        </w:rPr>
        <w:t>[תיקוני זוהר - דף עג ע''ב]</w:t>
      </w:r>
      <w:bookmarkEnd w:id="45"/>
      <w:bookmarkEnd w:id="46"/>
    </w:p>
    <w:p w:rsidR="00D45634" w:rsidRDefault="00D45634" w:rsidP="00B17EA9">
      <w:pPr>
        <w:pStyle w:val="NormalWeb"/>
        <w:rPr>
          <w:rtl/>
        </w:rPr>
      </w:pPr>
      <w:r>
        <w:rPr>
          <w:rStyle w:val="a7"/>
          <w:rtl/>
        </w:rPr>
        <w:footnoteReference w:id="731"/>
      </w:r>
      <w:r>
        <w:rPr>
          <w:rtl/>
        </w:rPr>
        <w:t xml:space="preserve">וּמַצְדִּיקֵי הָרַבִּים </w:t>
      </w:r>
      <w:r>
        <w:rPr>
          <w:rStyle w:val="a7"/>
          <w:rtl/>
        </w:rPr>
        <w:footnoteReference w:id="732"/>
      </w:r>
      <w:r>
        <w:rPr>
          <w:rtl/>
        </w:rPr>
        <w:t xml:space="preserve">בָּהּ יְהוֹן </w:t>
      </w:r>
      <w:r>
        <w:rPr>
          <w:rStyle w:val="a7"/>
          <w:rtl/>
        </w:rPr>
        <w:footnoteReference w:id="733"/>
      </w:r>
      <w:r>
        <w:rPr>
          <w:rtl/>
        </w:rPr>
        <w:t xml:space="preserve">כַּכֹּכָבִים לְעוֹלָם וָעֶד, כַּכֹּכָבִים וַדַּאי דְלֵית לוֹן חוּשְׁבָּנָא, דְּכָל כּוֹכָבָא וְכוֹכָבָא אִתְקְרֵי עָלְמָא יְחִידָא, וְדָא הוּא וַעֲלָמוֹת אֵין מִסְפָּר, וְאִלֵּין עֲלָמוֹת אַל תִּקְרֵי עֲלָמוֹת, אֶלָּא עוֹלָמוֹת, וּבְגִין דְּצַדִּיקַיָּיא אִינוּן כַּכֹּכָבִים, </w:t>
      </w:r>
      <w:r>
        <w:rPr>
          <w:rStyle w:val="a7"/>
          <w:rtl/>
        </w:rPr>
        <w:footnoteReference w:id="734"/>
      </w:r>
      <w:r>
        <w:rPr>
          <w:rtl/>
        </w:rPr>
        <w:t xml:space="preserve">וְכָל חַד אִית לֵיהּ כֹּכָב, בְּגִין דָּא אוּקְמוּהוּ קַדְמָאִין, </w:t>
      </w:r>
      <w:r>
        <w:rPr>
          <w:rStyle w:val="a7"/>
          <w:rtl/>
        </w:rPr>
        <w:footnoteReference w:id="735"/>
      </w:r>
      <w:r>
        <w:rPr>
          <w:rtl/>
        </w:rPr>
        <w:t xml:space="preserve">כָּל צַדִּיק וְצַדִּיק אִית לֵיהּ עוֹלָם בִּפְנֵי עַצְמוֹ, </w:t>
      </w:r>
      <w:r>
        <w:rPr>
          <w:sz w:val="20"/>
          <w:szCs w:val="23"/>
          <w:rtl/>
        </w:rPr>
        <w:t xml:space="preserve">(דף עג ע''ב) </w:t>
      </w:r>
      <w:r>
        <w:rPr>
          <w:rtl/>
        </w:rPr>
        <w:t xml:space="preserve">וְכָל מָאן דְּזָכָה לַהֲלָכָה חַד יָרִית עָלְמָא חָד, כָּל שֶׁכֵּן מָאן דְּזָכֵי לְמַסֶּכְתָּא חֲדָא, אוֹ לִתְרֵין, אוֹ לְשִׁתִּין, דְּאִתְּמַר בְּהוֹן </w:t>
      </w:r>
      <w:r>
        <w:rPr>
          <w:sz w:val="20"/>
          <w:szCs w:val="23"/>
          <w:rtl/>
        </w:rPr>
        <w:t>(שיר ו ח)</w:t>
      </w:r>
      <w:r>
        <w:rPr>
          <w:rtl/>
        </w:rPr>
        <w:t xml:space="preserve"> שִׁשִּׁים הֵמָּה מְלָכוֹת, </w:t>
      </w:r>
      <w:r>
        <w:rPr>
          <w:rStyle w:val="a7"/>
          <w:rtl/>
        </w:rPr>
        <w:footnoteReference w:id="736"/>
      </w:r>
      <w:r>
        <w:rPr>
          <w:rtl/>
        </w:rPr>
        <w:t xml:space="preserve">דְּכָל מַסֶּכְתָּא מַטְרוֹנִיתָא אִיהִי בְּגַרְמָהּ, זַכָּאָה אִיהוּ מָאן </w:t>
      </w:r>
      <w:r>
        <w:rPr>
          <w:rStyle w:val="a7"/>
          <w:rtl/>
        </w:rPr>
        <w:lastRenderedPageBreak/>
        <w:footnoteReference w:id="737"/>
      </w:r>
      <w:r>
        <w:rPr>
          <w:rtl/>
        </w:rPr>
        <w:t xml:space="preserve">דְּיָרִית לָהּ בְּהַאי עָלְמָא, דַּהֲלָכָה עוּלֵימָא דְמַטְרוֹנִיתָא, דְאִיהִי קַבָּלָה, </w:t>
      </w:r>
      <w:r>
        <w:rPr>
          <w:rStyle w:val="a7"/>
          <w:rtl/>
        </w:rPr>
        <w:footnoteReference w:id="738"/>
      </w:r>
      <w:r>
        <w:rPr>
          <w:rtl/>
        </w:rPr>
        <w:t xml:space="preserve">זַכָּאִין אִינוּן דְּמִשְׁתַּדְלִין בִּשְׁכִינְתָּא דְאִיהִי עַל כֻּלְּהוּ בַּהֲלָכָה, </w:t>
      </w:r>
      <w:r>
        <w:rPr>
          <w:rStyle w:val="a7"/>
          <w:rtl/>
        </w:rPr>
        <w:footnoteReference w:id="739"/>
      </w:r>
      <w:r>
        <w:rPr>
          <w:rtl/>
        </w:rPr>
        <w:t xml:space="preserve">לְאַפָּקָא לָהּ מִן גָּלוּתָא, דְאִתְּמַר בָּהּ </w:t>
      </w:r>
      <w:r>
        <w:rPr>
          <w:sz w:val="20"/>
          <w:szCs w:val="23"/>
          <w:rtl/>
        </w:rPr>
        <w:t>(ישעיהו נ א)</w:t>
      </w:r>
      <w:r>
        <w:rPr>
          <w:rtl/>
        </w:rPr>
        <w:t xml:space="preserve"> וּבְפִשְׁעִיכֶם שֻׁלְּחָה אִמְּכֶם, </w:t>
      </w:r>
      <w:r>
        <w:rPr>
          <w:rStyle w:val="a7"/>
          <w:rtl/>
        </w:rPr>
        <w:footnoteReference w:id="740"/>
      </w:r>
      <w:r>
        <w:rPr>
          <w:rtl/>
        </w:rPr>
        <w:t xml:space="preserve">וּלְמֵיזַל לָהּ לְגַבֵּי בַּעְלָהּ, לְמֶהֱוֵי לָהּ קַבָּלָה בִּדְרוֹעוֹי, לְקַיֵּים בָּהּ </w:t>
      </w:r>
      <w:r>
        <w:rPr>
          <w:sz w:val="20"/>
          <w:szCs w:val="23"/>
          <w:rtl/>
        </w:rPr>
        <w:t>(שיר ב ו)</w:t>
      </w:r>
      <w:r>
        <w:rPr>
          <w:rtl/>
        </w:rPr>
        <w:t xml:space="preserve"> שְׂמֹאלוֹ תַּחַת לְרֹאשִׁי וכו'.</w:t>
      </w:r>
    </w:p>
    <w:p w:rsidR="00D45634" w:rsidRDefault="00D45634" w:rsidP="00B17EA9">
      <w:pPr>
        <w:pStyle w:val="NormalWeb"/>
        <w:rPr>
          <w:rtl/>
        </w:rPr>
      </w:pPr>
      <w:r>
        <w:rPr>
          <w:rtl/>
        </w:rPr>
        <w:t xml:space="preserve">דִּבְגָלוּתָא מִשְׁנָ''ה דְאִיהִי מטטרו''ן שָׁלְטָא, וְאִיהוּ מִשְׁנֶה לַמֶּלֶךְ, בַּאֲתַר דְּמַטְרוֹנִיתָא יָתְבָא מִשְׁנָה, וְדָא אִיהוּ </w:t>
      </w:r>
      <w:r>
        <w:rPr>
          <w:sz w:val="20"/>
          <w:szCs w:val="23"/>
          <w:rtl/>
        </w:rPr>
        <w:t>(משלי ל כג)</w:t>
      </w:r>
      <w:r>
        <w:rPr>
          <w:rtl/>
        </w:rPr>
        <w:t xml:space="preserve"> וְשִׁפְחָה כִּי תִירַשׁ גְּבִירְתָּהּ, </w:t>
      </w:r>
      <w:r>
        <w:rPr>
          <w:rStyle w:val="a7"/>
          <w:rtl/>
        </w:rPr>
        <w:footnoteReference w:id="741"/>
      </w:r>
      <w:r>
        <w:rPr>
          <w:rtl/>
        </w:rPr>
        <w:t xml:space="preserve">וּבְיוֹמוֹי דְּמֹשֶׁה לָא שָׁלְטָא שִׁפְחָה אֶלָּא מַטְרוֹנִיתָא, לְבָתַר דְּמִית מֹשֶׁה וְיָרִית </w:t>
      </w:r>
      <w:r>
        <w:rPr>
          <w:rStyle w:val="a7"/>
          <w:rtl/>
        </w:rPr>
        <w:footnoteReference w:id="742"/>
      </w:r>
      <w:r>
        <w:rPr>
          <w:rtl/>
        </w:rPr>
        <w:t xml:space="preserve">יְהוֹשֻׁעַ דְּאִיהוּ נַעַר, בַּאֲתַר מַלְכוּתָא </w:t>
      </w:r>
      <w:r>
        <w:rPr>
          <w:rStyle w:val="a7"/>
          <w:rtl/>
        </w:rPr>
        <w:footnoteReference w:id="743"/>
      </w:r>
      <w:r>
        <w:rPr>
          <w:rtl/>
        </w:rPr>
        <w:t xml:space="preserve">שָׁלְטָא שִׁפְחָה, כְּמָה דְאַתְּ אָמַר </w:t>
      </w:r>
      <w:r>
        <w:rPr>
          <w:sz w:val="20"/>
          <w:szCs w:val="23"/>
          <w:rtl/>
        </w:rPr>
        <w:t>(יהושע ה יד)</w:t>
      </w:r>
      <w:r>
        <w:rPr>
          <w:rtl/>
        </w:rPr>
        <w:t xml:space="preserve"> אֲנִי </w:t>
      </w:r>
      <w:r>
        <w:rPr>
          <w:rStyle w:val="a7"/>
          <w:rtl/>
        </w:rPr>
        <w:footnoteReference w:id="744"/>
      </w:r>
      <w:r>
        <w:rPr>
          <w:rtl/>
        </w:rPr>
        <w:t>שַׂר צְבָא יהו''ה עַתָּה בָאתִי.</w:t>
      </w:r>
    </w:p>
    <w:p w:rsidR="00D45634" w:rsidRDefault="00D45634" w:rsidP="00B17EA9">
      <w:pPr>
        <w:pStyle w:val="NormalWeb"/>
        <w:rPr>
          <w:rtl/>
        </w:rPr>
      </w:pPr>
      <w:r>
        <w:rPr>
          <w:rStyle w:val="a7"/>
          <w:rtl/>
        </w:rPr>
        <w:footnoteReference w:id="745"/>
      </w:r>
      <w:r>
        <w:rPr>
          <w:rtl/>
        </w:rPr>
        <w:t xml:space="preserve">וְהָא אוּקִימְנָא, </w:t>
      </w:r>
      <w:r>
        <w:rPr>
          <w:rStyle w:val="a7"/>
          <w:rtl/>
        </w:rPr>
        <w:footnoteReference w:id="746"/>
      </w:r>
      <w:r>
        <w:rPr>
          <w:rtl/>
        </w:rPr>
        <w:t xml:space="preserve">מטטרו''ן אִיהוּ מַעֲשֵׂה מֶרְכָּבָה, וַעֲלֵיהּ אִתְּמַר אֵין דּוֹרְשִׁין בְּמֶרְכָּבָה בְּיָחִיד, מַאי בְּיָחִיד </w:t>
      </w:r>
      <w:r>
        <w:rPr>
          <w:rStyle w:val="a7"/>
          <w:rtl/>
        </w:rPr>
        <w:footnoteReference w:id="747"/>
      </w:r>
      <w:r>
        <w:rPr>
          <w:rtl/>
        </w:rPr>
        <w:t xml:space="preserve">בִּיחודָא דְעָלְמָא, </w:t>
      </w:r>
      <w:r>
        <w:rPr>
          <w:rStyle w:val="a7"/>
          <w:rtl/>
        </w:rPr>
        <w:footnoteReference w:id="748"/>
      </w:r>
      <w:r>
        <w:rPr>
          <w:rtl/>
        </w:rPr>
        <w:t xml:space="preserve">אֶלָּא אִם כֵּן הָיָה חָכָם וּמֵבִין מִדַּעְתּוֹ, חָכָם בְּחָכְמָה וּמֵבִין בְּבִינָה וְיוֹדֵעַ בְּדַעַת, </w:t>
      </w:r>
      <w:r>
        <w:rPr>
          <w:rStyle w:val="a7"/>
          <w:rtl/>
        </w:rPr>
        <w:footnoteReference w:id="749"/>
      </w:r>
      <w:r>
        <w:rPr>
          <w:rtl/>
        </w:rPr>
        <w:t xml:space="preserve">דְּאִתְּמַר בְּהוֹן </w:t>
      </w:r>
      <w:r>
        <w:rPr>
          <w:sz w:val="20"/>
          <w:szCs w:val="23"/>
          <w:rtl/>
        </w:rPr>
        <w:t>(שמות לא ג)</w:t>
      </w:r>
      <w:r>
        <w:rPr>
          <w:rtl/>
        </w:rPr>
        <w:t xml:space="preserve"> וָאֲמַלֵּא אוֹתוֹ רוּחַ אֱלֹהִי''ם בְּחָכְמָה בִתְבוּנָה וּבְדַעַת, בְּגִין דְּאִיהוּ מַשְׁכְּנָא דְאִתְמַלֵּי בִּתְלַת דַּרְגִּין אִלֵּין, </w:t>
      </w:r>
      <w:r>
        <w:rPr>
          <w:rStyle w:val="a7"/>
          <w:rtl/>
        </w:rPr>
        <w:footnoteReference w:id="750"/>
      </w:r>
      <w:r>
        <w:rPr>
          <w:rtl/>
        </w:rPr>
        <w:t xml:space="preserve">וּבְכָל מְלָאכָה דָא מַעֲשֵׂה בְרֵאשִׁית שְׁכִינְתָּא תַּתָּאָה, דְּאֵין דּוֹרְשִׁין לָהּ בְּעוֹבָדָא דִבְּרֵאשִׁית בִּשְׁנַיִם, אֶלָּא בְיִחידָא דְעָלְמָא, מֶרְכָּבָ''ה דִילָהּ אִיהוּ מטטרו''ן </w:t>
      </w:r>
      <w:r>
        <w:rPr>
          <w:rStyle w:val="a7"/>
          <w:rtl/>
        </w:rPr>
        <w:footnoteReference w:id="751"/>
      </w:r>
      <w:r>
        <w:rPr>
          <w:rtl/>
        </w:rPr>
        <w:t>גּוּף שְׁכִינְתָּא.</w:t>
      </w:r>
    </w:p>
    <w:p w:rsidR="00D45634" w:rsidRDefault="00D45634" w:rsidP="00B17EA9">
      <w:pPr>
        <w:pStyle w:val="NormalWeb"/>
        <w:rPr>
          <w:rtl/>
        </w:rPr>
      </w:pPr>
      <w:r>
        <w:rPr>
          <w:rStyle w:val="a7"/>
          <w:rtl/>
        </w:rPr>
        <w:footnoteReference w:id="752"/>
      </w:r>
      <w:r>
        <w:rPr>
          <w:rtl/>
        </w:rPr>
        <w:t xml:space="preserve">וּשְׁכִינְתָּא </w:t>
      </w:r>
      <w:r>
        <w:rPr>
          <w:rStyle w:val="a7"/>
          <w:rtl/>
        </w:rPr>
        <w:footnoteReference w:id="753"/>
      </w:r>
      <w:r>
        <w:rPr>
          <w:rtl/>
        </w:rPr>
        <w:t xml:space="preserve">אִיהִי מ''ה יו''ד ה''א וא''ו ה''א אִתְקְרִיאַת, בְּגִין דְּאִיהִי כְּלָלָא דַעֲשַׂר סְפִירָן, רֶכֶב דִּילָהּ מטטרו''ן, עֲלֵיהּ אִתְּמַר </w:t>
      </w:r>
      <w:r>
        <w:rPr>
          <w:sz w:val="20"/>
          <w:szCs w:val="23"/>
          <w:rtl/>
        </w:rPr>
        <w:t>(תהלים סח יח)</w:t>
      </w:r>
      <w:r>
        <w:rPr>
          <w:rtl/>
        </w:rPr>
        <w:t xml:space="preserve"> </w:t>
      </w:r>
      <w:r>
        <w:rPr>
          <w:rStyle w:val="a7"/>
          <w:rtl/>
        </w:rPr>
        <w:footnoteReference w:id="754"/>
      </w:r>
      <w:r>
        <w:rPr>
          <w:rtl/>
        </w:rPr>
        <w:t xml:space="preserve">רֶכֶב אֱלֹהִי''ם </w:t>
      </w:r>
      <w:r>
        <w:rPr>
          <w:rStyle w:val="a7"/>
          <w:rtl/>
        </w:rPr>
        <w:footnoteReference w:id="755"/>
      </w:r>
      <w:r>
        <w:rPr>
          <w:rtl/>
        </w:rPr>
        <w:t xml:space="preserve">רִבּוֹתַיִם אַלְפֵי שִׁנְאָן, מַאי שִׁנְאָ''ן שׁוֹר נֶשֶׁר אַרְיֵה </w:t>
      </w:r>
      <w:r>
        <w:rPr>
          <w:rStyle w:val="a7"/>
          <w:rtl/>
        </w:rPr>
        <w:footnoteReference w:id="756"/>
      </w:r>
      <w:r>
        <w:rPr>
          <w:rtl/>
        </w:rPr>
        <w:t>אָדָם, וְדָא אִיהוּ סוֹד מֶרְכָּבָ''ה, רֶכֶ''ב מ''ה וַדַּאי.</w:t>
      </w:r>
    </w:p>
    <w:p w:rsidR="00D45634" w:rsidRDefault="00D45634" w:rsidP="00B17EA9">
      <w:pPr>
        <w:pStyle w:val="NormalWeb"/>
        <w:rPr>
          <w:rtl/>
        </w:rPr>
      </w:pPr>
      <w:r>
        <w:rPr>
          <w:rStyle w:val="a7"/>
          <w:rtl/>
        </w:rPr>
        <w:lastRenderedPageBreak/>
        <w:footnoteReference w:id="757"/>
      </w:r>
      <w:r>
        <w:rPr>
          <w:rtl/>
        </w:rPr>
        <w:t xml:space="preserve">וּמטטרו''ן </w:t>
      </w:r>
      <w:r>
        <w:rPr>
          <w:rStyle w:val="a7"/>
          <w:rtl/>
        </w:rPr>
        <w:footnoteReference w:id="758"/>
      </w:r>
      <w:r>
        <w:rPr>
          <w:rtl/>
        </w:rPr>
        <w:t xml:space="preserve">אִיהוּ אָרוֹן, גּוּפָא לְאוֹרַיְיתָא דְבִכְתָב דְּאִיהוּ עַמּוּדָא דְאֶמְצָעִיתָא, וְאִיהוּ שֻׁלְחָן, פָּתוֹרָא דִשְׁכִינְתָּא </w:t>
      </w:r>
      <w:r>
        <w:rPr>
          <w:rStyle w:val="a7"/>
          <w:rtl/>
        </w:rPr>
        <w:footnoteReference w:id="759"/>
      </w:r>
      <w:r>
        <w:rPr>
          <w:rtl/>
        </w:rPr>
        <w:t>דְאִיהִי לֵ''ב, דְּאִתְּמַר בֵּיהּ לֵ''ב מֵבִין, וְאִיהוּ לִשְׂמָאלָא, וּבְגִין דָּא אָמְרוּ מָארֵי מַתְנִיתִין שֻׁלְחָן בַּצָּפוֹן.</w:t>
      </w:r>
    </w:p>
    <w:p w:rsidR="00D45634" w:rsidRDefault="00D45634" w:rsidP="00B17EA9">
      <w:pPr>
        <w:pStyle w:val="NormalWeb"/>
        <w:rPr>
          <w:rtl/>
        </w:rPr>
      </w:pPr>
      <w:r>
        <w:rPr>
          <w:rtl/>
        </w:rPr>
        <w:t xml:space="preserve">וְאִיהוּ מְנוֹרָה </w:t>
      </w:r>
      <w:r>
        <w:rPr>
          <w:rStyle w:val="a7"/>
          <w:rtl/>
        </w:rPr>
        <w:footnoteReference w:id="760"/>
      </w:r>
      <w:r>
        <w:rPr>
          <w:rtl/>
        </w:rPr>
        <w:t xml:space="preserve">נוּר דָּלִיק מִסִּטְרָא דִשְׁכִינְתָּא, דְאִתְּמַר בָּהּ נֵר יהו''ה, </w:t>
      </w:r>
      <w:r>
        <w:rPr>
          <w:rStyle w:val="a7"/>
          <w:rtl/>
        </w:rPr>
        <w:footnoteReference w:id="761"/>
      </w:r>
      <w:r>
        <w:rPr>
          <w:rtl/>
        </w:rPr>
        <w:t xml:space="preserve">וְצָרִיךְ לְמֶהֱוֵי לִימִינָא לְקַבָּלָא מִשְׁחָא, וּבְגִין דָּא מְנוֹרָה בְּדָרוֹם, דָּא אִיהוּ מָאנָא לְקַבָּלָא פְּתִילָה וּמִשְׁחָא וּנְהוֹרָא, פְּתִילָה שְׁכִינָה, מִשְׁחָא דִילָהּ צַדִּיק </w:t>
      </w:r>
      <w:r>
        <w:rPr>
          <w:rStyle w:val="a7"/>
          <w:rtl/>
        </w:rPr>
        <w:footnoteReference w:id="762"/>
      </w:r>
      <w:r>
        <w:rPr>
          <w:rtl/>
        </w:rPr>
        <w:t xml:space="preserve">שֶׁמֶן כָּתִית, </w:t>
      </w:r>
      <w:r>
        <w:rPr>
          <w:rStyle w:val="a7"/>
          <w:rtl/>
        </w:rPr>
        <w:footnoteReference w:id="763"/>
      </w:r>
      <w:r>
        <w:rPr>
          <w:rtl/>
        </w:rPr>
        <w:t xml:space="preserve">נְהוֹרָא דִילָהּ עַמּוּדָא דְאֶמְצָעִיתָא, כְּגַוְונָא דָא נַפְשָׁא דְאִיהִי שִׁתּוּפָא דְגוּפָא אִיהִי פְּתִילָה, רוּחַ דָּא מִשְׁחָא, נְהוֹרָא דָא נִשְׁמָתָא, מָאנָא דָא גוּפָא, אִיהוּ עֶבֶד, </w:t>
      </w:r>
      <w:r>
        <w:rPr>
          <w:rStyle w:val="a7"/>
          <w:rtl/>
        </w:rPr>
        <w:footnoteReference w:id="764"/>
      </w:r>
      <w:r>
        <w:rPr>
          <w:rtl/>
        </w:rPr>
        <w:t xml:space="preserve">וְאִיהוּ רֶכֶב לִתְלַת סִטְרִין אִלֵּין, דְּאִינוּן קִיטוּרָא דְיִחוּדָא חֲדָא, </w:t>
      </w:r>
      <w:r>
        <w:rPr>
          <w:rStyle w:val="a7"/>
          <w:rtl/>
        </w:rPr>
        <w:footnoteReference w:id="765"/>
      </w:r>
      <w:r>
        <w:rPr>
          <w:rtl/>
        </w:rPr>
        <w:t xml:space="preserve">דְאִינוּן נֵר יהו''ה נִשְׁמַת אָדָם </w:t>
      </w:r>
      <w:r>
        <w:rPr>
          <w:sz w:val="20"/>
          <w:szCs w:val="23"/>
          <w:rtl/>
        </w:rPr>
        <w:t>(משלי כ כז)</w:t>
      </w:r>
      <w:r>
        <w:rPr>
          <w:rtl/>
        </w:rPr>
        <w:t>.</w:t>
      </w:r>
    </w:p>
    <w:p w:rsidR="00D45634" w:rsidRDefault="00D45634" w:rsidP="00B17EA9">
      <w:pPr>
        <w:pStyle w:val="NormalWeb"/>
        <w:rPr>
          <w:rtl/>
        </w:rPr>
      </w:pPr>
      <w:r>
        <w:rPr>
          <w:rtl/>
        </w:rPr>
        <w:t xml:space="preserve">וְהַאי עֶבֶד </w:t>
      </w:r>
      <w:r>
        <w:rPr>
          <w:rStyle w:val="a7"/>
          <w:rtl/>
        </w:rPr>
        <w:footnoteReference w:id="766"/>
      </w:r>
      <w:r>
        <w:rPr>
          <w:rtl/>
        </w:rPr>
        <w:t xml:space="preserve">אִיהוּ כִּנּוּיָא לְכָל שְׁמָהָן, שִׁנּוּי לְכָל שְׁמָהָן, וּבֵיהּ מַרְכִּיבִין כָּל אִלָּנִין עִלָּאִין מִסִּטְרָא דְטוֹב, </w:t>
      </w:r>
      <w:r>
        <w:rPr>
          <w:rStyle w:val="a7"/>
          <w:rtl/>
        </w:rPr>
        <w:footnoteReference w:id="767"/>
      </w:r>
      <w:r>
        <w:rPr>
          <w:rtl/>
        </w:rPr>
        <w:t xml:space="preserve">מֶרְכָּבוֹת דְּסִטְרָא דְרַע, </w:t>
      </w:r>
      <w:r>
        <w:rPr>
          <w:rStyle w:val="a7"/>
          <w:rtl/>
        </w:rPr>
        <w:footnoteReference w:id="768"/>
      </w:r>
      <w:r>
        <w:rPr>
          <w:rtl/>
        </w:rPr>
        <w:t xml:space="preserve">עֲלַיְיהוּ אִתְּמַר וְלֹא בָּעֲרָיוֹת בִּשְׁלֹשָׁה, מַאי עֲרָיוֹת סמא''ל וְנָחָשׁ, לָא צָרִיךְ לְמֶהֱוִי בִשְׁלֹשָׁה, </w:t>
      </w:r>
      <w:r>
        <w:rPr>
          <w:rStyle w:val="a7"/>
          <w:rtl/>
        </w:rPr>
        <w:footnoteReference w:id="769"/>
      </w:r>
      <w:r>
        <w:rPr>
          <w:rtl/>
        </w:rPr>
        <w:t xml:space="preserve">דְאִינוּן מַשְׁחִי''ת אַ''ף וְחֵימָ''ה, </w:t>
      </w:r>
      <w:r>
        <w:rPr>
          <w:rStyle w:val="a7"/>
          <w:rtl/>
        </w:rPr>
        <w:footnoteReference w:id="770"/>
      </w:r>
      <w:r>
        <w:rPr>
          <w:rtl/>
        </w:rPr>
        <w:t xml:space="preserve">לְמֶהֱוֵי תְּלִיתָאָה בֵּינַיְיהוּ, דְּלָא מִתְקַשְּׁרִין בְּהוֹן, אֶלָּא דִיְהוֹן תַּרְוַיְיהוּ בְּפִרוּדָא, וּבְגִין דָּא אֵין דּוֹרְשִׁין בָּעֲרָיוֹת בִּתְלָתָא, וְעוֹבָדָא דִבְּרֵאשִׁית בְּהִפּוּכָא, אֵין דּוֹרְשִׁין בְּמַעֲשֵׂה בְרֵאשִׁית בִּשְׁנַיִם, דְּלָא יַעַבְדוּן פִּרוּדָא, אֶלָּא בְּיָחִיד דְּאִיהוּ יִחוּדָא חָד, </w:t>
      </w:r>
      <w:r>
        <w:rPr>
          <w:rStyle w:val="a7"/>
          <w:rtl/>
        </w:rPr>
        <w:footnoteReference w:id="771"/>
      </w:r>
      <w:r>
        <w:rPr>
          <w:rtl/>
        </w:rPr>
        <w:t>וּבְגִין דָּא לֹא יֹאכַל אָדָם תְּרֵי, וְלֹא יִשְׁתֶּה תְּרֵי.</w:t>
      </w:r>
    </w:p>
    <w:p w:rsidR="00D45634" w:rsidRDefault="00D45634" w:rsidP="00B17EA9">
      <w:pPr>
        <w:pStyle w:val="aa"/>
        <w:rPr>
          <w:rtl/>
        </w:rPr>
      </w:pPr>
      <w:bookmarkStart w:id="47" w:name="_Toc228095587"/>
      <w:bookmarkStart w:id="48" w:name="_Toc231638025"/>
      <w:r>
        <w:rPr>
          <w:rtl/>
        </w:rPr>
        <w:t>[תיקוני זוהר - דף עד ע''א]</w:t>
      </w:r>
      <w:bookmarkEnd w:id="47"/>
      <w:bookmarkEnd w:id="48"/>
    </w:p>
    <w:p w:rsidR="00D45634" w:rsidRDefault="00D45634" w:rsidP="00B17EA9">
      <w:pPr>
        <w:pStyle w:val="NormalWeb"/>
        <w:rPr>
          <w:rtl/>
        </w:rPr>
      </w:pPr>
      <w:r>
        <w:rPr>
          <w:rtl/>
        </w:rPr>
        <w:t xml:space="preserve">וְלֹא בְמֶרְכָּבָה בְיָחִיד, בְּגִין דְּיָחִיד לֵית לֵיהּ שִׁתּוּף דְּאִיהוּ מטטרו''ן, </w:t>
      </w:r>
      <w:r>
        <w:rPr>
          <w:rStyle w:val="a7"/>
          <w:rtl/>
        </w:rPr>
        <w:footnoteReference w:id="772"/>
      </w:r>
      <w:r>
        <w:rPr>
          <w:rtl/>
        </w:rPr>
        <w:t xml:space="preserve">כְּגַוְונָא דְנִשְׁמָתָא דְלֵית לָהּ שֻׁתּוּף בְּגוּפָא, וְאַמַּאי אָמַר אֶלָּא אִם כֵּן הָיָה חָכָם וּמֵבִין מִדַּעְתּוֹ, הָכָא מַשְׁמַע </w:t>
      </w:r>
      <w:r>
        <w:rPr>
          <w:rStyle w:val="a7"/>
          <w:rtl/>
        </w:rPr>
        <w:footnoteReference w:id="773"/>
      </w:r>
      <w:r>
        <w:rPr>
          <w:rtl/>
        </w:rPr>
        <w:t xml:space="preserve">דְּאִית לֵיהּ מֶרְכָּבָה לְעִילָא לְקוּדְשָׁא בְּרִיךְ הוּא, </w:t>
      </w:r>
      <w:r>
        <w:rPr>
          <w:rStyle w:val="a7"/>
          <w:rtl/>
        </w:rPr>
        <w:footnoteReference w:id="774"/>
      </w:r>
      <w:r>
        <w:rPr>
          <w:rtl/>
        </w:rPr>
        <w:t xml:space="preserve">דְאִיהוּ מְלָאכָה דִילֵיהּ, וּמַאי אִיהִי הַהִיא דְאִיהִי כְלִילָא מֵחָכְמָה וּבִינָה וָדַעַת, דְּאִינוּן יה''ו, מְלָאכָה דִתְלַת אַתְוָון </w:t>
      </w:r>
      <w:r>
        <w:rPr>
          <w:sz w:val="20"/>
          <w:szCs w:val="23"/>
          <w:rtl/>
        </w:rPr>
        <w:t>(דף עד</w:t>
      </w:r>
      <w:r>
        <w:rPr>
          <w:rtl/>
        </w:rPr>
        <w:t xml:space="preserve"> </w:t>
      </w:r>
      <w:r>
        <w:rPr>
          <w:sz w:val="20"/>
          <w:szCs w:val="23"/>
          <w:rtl/>
        </w:rPr>
        <w:t xml:space="preserve">ע''א) </w:t>
      </w:r>
      <w:r>
        <w:rPr>
          <w:rtl/>
        </w:rPr>
        <w:t xml:space="preserve">אִיהִי ה' שְׁכִינְתָּא תַּתָּאָה, </w:t>
      </w:r>
      <w:r>
        <w:rPr>
          <w:rStyle w:val="a7"/>
          <w:rtl/>
        </w:rPr>
        <w:footnoteReference w:id="775"/>
      </w:r>
      <w:r>
        <w:rPr>
          <w:rtl/>
        </w:rPr>
        <w:t xml:space="preserve">שְׁלִימוּ דִתְלַת אַתְוָון, </w:t>
      </w:r>
      <w:r>
        <w:rPr>
          <w:rStyle w:val="a7"/>
          <w:rtl/>
        </w:rPr>
        <w:footnoteReference w:id="776"/>
      </w:r>
      <w:r>
        <w:rPr>
          <w:rtl/>
        </w:rPr>
        <w:t xml:space="preserve">עֲלָהּ אִתְּמַר </w:t>
      </w:r>
      <w:r>
        <w:rPr>
          <w:sz w:val="20"/>
          <w:szCs w:val="23"/>
          <w:rtl/>
        </w:rPr>
        <w:t>(שמות לט לב)</w:t>
      </w:r>
      <w:r>
        <w:rPr>
          <w:rtl/>
        </w:rPr>
        <w:t xml:space="preserve"> וַתֵּכֶל כָּל עֲבוֹדַת </w:t>
      </w:r>
      <w:r>
        <w:rPr>
          <w:rtl/>
        </w:rPr>
        <w:lastRenderedPageBreak/>
        <w:t xml:space="preserve">מִשְׁכַּן וגו', </w:t>
      </w:r>
      <w:r>
        <w:rPr>
          <w:rStyle w:val="a7"/>
          <w:rtl/>
        </w:rPr>
        <w:footnoteReference w:id="777"/>
      </w:r>
      <w:r>
        <w:rPr>
          <w:rtl/>
        </w:rPr>
        <w:t xml:space="preserve">וְאִיהִי ה' דְּיוֹם הַשִּׁשִּׁי, וּבְגִין דָּא אַף עַל גַּב דְּאַמְרִינָן אֵין דּוֹרְשִׁין בְּמֶרְכָּבָה בְּיָחִיד, חָזַר וְאָמַר אֶלָּא אִם כֵּן הָיָה חָכָם וּמֵבִין מִדַּעְתּוֹ, דְּוַדַּאי בְּאִלֵּין תְּלַת דּוֹרְשִׁין בְּמֶרְכָּבָה בְּיָחִיד, </w:t>
      </w:r>
      <w:r>
        <w:rPr>
          <w:rStyle w:val="a7"/>
          <w:rtl/>
        </w:rPr>
        <w:footnoteReference w:id="778"/>
      </w:r>
      <w:r>
        <w:rPr>
          <w:rtl/>
        </w:rPr>
        <w:t xml:space="preserve">וּבְלָא אִלֵּין תְּלַת לַאו אִיהוּ יִחוּדָא דִילֵיהּ, וְדָא אִיהוּ רָזָא, דְאִיהוּ </w:t>
      </w:r>
      <w:r>
        <w:rPr>
          <w:rStyle w:val="a7"/>
          <w:rtl/>
        </w:rPr>
        <w:footnoteReference w:id="779"/>
      </w:r>
      <w:r>
        <w:rPr>
          <w:rtl/>
        </w:rPr>
        <w:t>קוּדְשָׁא בְּרִיךְ הוּא לְעִילָא חַד בִּשְׁכִינְתֵּיהּ.</w:t>
      </w:r>
    </w:p>
    <w:p w:rsidR="00D45634" w:rsidRDefault="00D45634" w:rsidP="00B17EA9">
      <w:pPr>
        <w:pStyle w:val="NormalWeb"/>
        <w:rPr>
          <w:rtl/>
        </w:rPr>
      </w:pPr>
      <w:r>
        <w:rPr>
          <w:rtl/>
        </w:rPr>
        <w:t xml:space="preserve">וְכַד אִיהוּ לְתַתָּא בְּמטטרו''ן בְּלָא שְׁכִינְתֵּיהּ, אִשְׁתַּנִּי בֵיהּ, וּבְגִין דָּא אָמַר אֱלִישָׁע אַחֵר, </w:t>
      </w:r>
      <w:r>
        <w:rPr>
          <w:rStyle w:val="a7"/>
          <w:rtl/>
        </w:rPr>
        <w:footnoteReference w:id="780"/>
      </w:r>
      <w:r>
        <w:rPr>
          <w:rtl/>
        </w:rPr>
        <w:t xml:space="preserve">שֶׁמָּא חַס וְשָׁלוֹם שְׁתֵּי רְשׁוּיוֹת יֵשׁ, וּבְגִין דָּא אָמַר </w:t>
      </w:r>
      <w:r>
        <w:rPr>
          <w:rStyle w:val="a7"/>
          <w:rtl/>
        </w:rPr>
        <w:footnoteReference w:id="781"/>
      </w:r>
      <w:r>
        <w:rPr>
          <w:rtl/>
        </w:rPr>
        <w:t xml:space="preserve">אַל תְּמִירֵנִי בוֹ, </w:t>
      </w:r>
      <w:r>
        <w:rPr>
          <w:rStyle w:val="a7"/>
          <w:rtl/>
        </w:rPr>
        <w:footnoteReference w:id="782"/>
      </w:r>
      <w:r>
        <w:rPr>
          <w:rtl/>
        </w:rPr>
        <w:t xml:space="preserve">כִּי שְׁמִי בְּקִרְבּוֹ, </w:t>
      </w:r>
      <w:r>
        <w:rPr>
          <w:rStyle w:val="a7"/>
          <w:rtl/>
        </w:rPr>
        <w:footnoteReference w:id="783"/>
      </w:r>
      <w:r>
        <w:rPr>
          <w:rtl/>
        </w:rPr>
        <w:t xml:space="preserve">בְּגִין דְמטטרו''ן אִיהוּ שֵׁנִי לַמֶּלֶךְ, וְכַד אִיהִי שְׁכִינְתָּא בְּלָא בַּעְלָהּ, אִתְקְרֵי הַאי מַלְאָךְ מִשְׁנֶה לָהּ, וְאִשְׁתְּנִיאַת דְּלָא אִשְׁתְּמוֹדְעִין בָּהּ חֲיָילִין, </w:t>
      </w:r>
      <w:r>
        <w:rPr>
          <w:rStyle w:val="a7"/>
          <w:rtl/>
        </w:rPr>
        <w:footnoteReference w:id="784"/>
      </w:r>
      <w:r>
        <w:rPr>
          <w:rtl/>
        </w:rPr>
        <w:t>וּמַה דְּאִיהִי מַטְרוֹנִיתָא, וּבְמַאי הִיא מִתְכַסְּיָא, בְּהַהִיא דְאִתְקְרִיאַת אָמָה.</w:t>
      </w:r>
    </w:p>
    <w:p w:rsidR="00D45634" w:rsidRDefault="00D45634" w:rsidP="00B17EA9">
      <w:pPr>
        <w:pStyle w:val="NormalWeb"/>
        <w:rPr>
          <w:rtl/>
        </w:rPr>
      </w:pPr>
      <w:r>
        <w:rPr>
          <w:rtl/>
        </w:rPr>
        <w:t xml:space="preserve">וְדָא הוּא דְאָמַר קְרָא </w:t>
      </w:r>
      <w:r>
        <w:rPr>
          <w:sz w:val="20"/>
          <w:szCs w:val="23"/>
          <w:rtl/>
        </w:rPr>
        <w:t>(שמות כא יג)</w:t>
      </w:r>
      <w:r>
        <w:rPr>
          <w:rtl/>
        </w:rPr>
        <w:t xml:space="preserve"> וְכִי יִמְכּוֹר אִישׁ אֶת בִּתּוֹ לְאָמָה, אִישׁ דָּא קוּדְשָׁא בְּרִיךְ הוּא, בִּתּוֹ דָּא שְׁכִינְתָּא, לְאָמָה בַּת זוּגֵיהּ דְמטטרו''ן, דְּאִיהִי מיטטרו''ן בְּתוֹסֶפֶת יוּ''ד, דְּשִׁפְחָה בִישָׁא </w:t>
      </w:r>
      <w:r>
        <w:rPr>
          <w:rStyle w:val="a7"/>
          <w:rtl/>
        </w:rPr>
        <w:footnoteReference w:id="785"/>
      </w:r>
      <w:r>
        <w:rPr>
          <w:rtl/>
        </w:rPr>
        <w:t xml:space="preserve">הִיא אָמָה דְעִרֶב רַב, וּבְגִין דְּהַהִיא שִׁפְחָה בִּישָׁא </w:t>
      </w:r>
      <w:r>
        <w:rPr>
          <w:rStyle w:val="a7"/>
          <w:rtl/>
        </w:rPr>
        <w:footnoteReference w:id="786"/>
      </w:r>
      <w:r>
        <w:rPr>
          <w:rtl/>
        </w:rPr>
        <w:t xml:space="preserve">וּבְנָהָא לָא אִשְׁתְּמוֹדְעִין בָּהּ, </w:t>
      </w:r>
      <w:r>
        <w:rPr>
          <w:rStyle w:val="a7"/>
          <w:rtl/>
        </w:rPr>
        <w:footnoteReference w:id="787"/>
      </w:r>
      <w:r>
        <w:rPr>
          <w:rtl/>
        </w:rPr>
        <w:t xml:space="preserve">אִיהִי מִתְכַסְּיָא בְעַבְדָּא דִילָהּ, </w:t>
      </w:r>
      <w:r>
        <w:rPr>
          <w:rStyle w:val="a7"/>
          <w:rtl/>
        </w:rPr>
        <w:footnoteReference w:id="788"/>
      </w:r>
      <w:r>
        <w:rPr>
          <w:rtl/>
        </w:rPr>
        <w:t>כְּנִשְׁמָתָא בְּגוּפָא.</w:t>
      </w:r>
    </w:p>
    <w:p w:rsidR="00D45634" w:rsidRDefault="00D45634" w:rsidP="00B17EA9">
      <w:pPr>
        <w:pStyle w:val="NormalWeb"/>
        <w:rPr>
          <w:rtl/>
        </w:rPr>
      </w:pPr>
      <w:r>
        <w:rPr>
          <w:rtl/>
        </w:rPr>
        <w:t xml:space="preserve">וּבְגָלוּתָא קַדְמָאָה דְּלָא חָזְרַת לְמַלְכוּתָהָא בְּרַתָּא דְמַלְכָּא, וְלָא נָפְקַת מֵהַהוּא גוּפָא, לָא נָפְקַת חָפְשִׁית, </w:t>
      </w:r>
      <w:r>
        <w:rPr>
          <w:rStyle w:val="a7"/>
          <w:rtl/>
        </w:rPr>
        <w:footnoteReference w:id="789"/>
      </w:r>
      <w:r>
        <w:rPr>
          <w:rtl/>
        </w:rPr>
        <w:t xml:space="preserve">וּבְגִינָהָא אִתְּמַר בְּהוֹן, עֲבָדִים הָיִינוּ לְפַרְעֹה בְּמִצְרָיִם בְּגִין דַּהֲווֹ תְּחוֹת רְשׁוּ דְּהַהוּא עֶבֶד, </w:t>
      </w:r>
      <w:r>
        <w:rPr>
          <w:rStyle w:val="a7"/>
          <w:rtl/>
        </w:rPr>
        <w:footnoteReference w:id="790"/>
      </w:r>
      <w:r>
        <w:rPr>
          <w:rtl/>
        </w:rPr>
        <w:t xml:space="preserve">וּבְגִין דָּא אָמַר פַּרְעֹה בְּהַאי אֲתַר לֹא יָדַעְתִּי אֶת יְיָ', וְגַם אֶת יִשְׂרָאֵל לֹא אֲשַׁלֵּחַ </w:t>
      </w:r>
      <w:r>
        <w:rPr>
          <w:sz w:val="20"/>
          <w:szCs w:val="23"/>
          <w:rtl/>
        </w:rPr>
        <w:t>(שמות ה ב)</w:t>
      </w:r>
      <w:r>
        <w:rPr>
          <w:rtl/>
        </w:rPr>
        <w:t xml:space="preserve">, </w:t>
      </w:r>
      <w:r>
        <w:rPr>
          <w:rStyle w:val="a7"/>
          <w:rtl/>
        </w:rPr>
        <w:footnoteReference w:id="791"/>
      </w:r>
      <w:r>
        <w:rPr>
          <w:rtl/>
        </w:rPr>
        <w:t>וּבְגִין דָּא נָפְקוּ בִּמְנוּסָה, כְּעַבְדָּא דְלֵית לֵיהּ כְּתַב חֵירוּ וּבָרַח מֵרִבּוֹנֵיהּ.</w:t>
      </w:r>
    </w:p>
    <w:p w:rsidR="00D45634" w:rsidRDefault="00D45634" w:rsidP="00B17EA9">
      <w:pPr>
        <w:pStyle w:val="NormalWeb"/>
        <w:rPr>
          <w:rtl/>
        </w:rPr>
      </w:pPr>
      <w:r>
        <w:rPr>
          <w:rtl/>
        </w:rPr>
        <w:t xml:space="preserve">אֲבָל בְּפוּרְקָנָא בַּתְרָאָה לָא נָפְקַת בְּרַתָּא, בְּהַאי עַבְדָּא כְּשִׁפְחָה, אֶלָּא בְּקוּדְשָׁא בְּרִיךְ הוּא, בְּגִין דְּאוֹרַיְיתָא אִיהוּ חֵירוּ, אִיהוּ עִמָּהּ בְּגָלוּתָא בַּתְרָאָה, אִיהוּ חֵירוּ דִּילָהּ, מַה דְּלָא הֲוָה הָכִי בְגָלוּתָא קַדְמָאָה, דְלָא הֲוָה לָהּ וְלִבְנָהָא אוֹרַיְיתָא דְּאִיהִי </w:t>
      </w:r>
      <w:r>
        <w:rPr>
          <w:rStyle w:val="a7"/>
          <w:rtl/>
        </w:rPr>
        <w:footnoteReference w:id="792"/>
      </w:r>
      <w:r>
        <w:rPr>
          <w:rtl/>
        </w:rPr>
        <w:t xml:space="preserve">חֵירוּ, דְאוֹרַיְיתָא וַדַּאי אִיהִי </w:t>
      </w:r>
      <w:r>
        <w:rPr>
          <w:rStyle w:val="a7"/>
          <w:rtl/>
        </w:rPr>
        <w:footnoteReference w:id="793"/>
      </w:r>
      <w:r>
        <w:rPr>
          <w:rtl/>
        </w:rPr>
        <w:t xml:space="preserve">חֵירוּ, בְּמַלְכוּתָא דִילָהּ בִּיקָרָא דִילָהּ, </w:t>
      </w:r>
      <w:r>
        <w:rPr>
          <w:rStyle w:val="a7"/>
          <w:rtl/>
        </w:rPr>
        <w:footnoteReference w:id="794"/>
      </w:r>
      <w:r>
        <w:rPr>
          <w:rtl/>
        </w:rPr>
        <w:t xml:space="preserve">הֲדָא הוּא דִכְתִיב </w:t>
      </w:r>
      <w:r>
        <w:rPr>
          <w:sz w:val="20"/>
          <w:szCs w:val="23"/>
          <w:rtl/>
        </w:rPr>
        <w:t>(משלי ג טו)</w:t>
      </w:r>
      <w:r>
        <w:rPr>
          <w:rtl/>
        </w:rPr>
        <w:t xml:space="preserve"> יְקָרָה הִיא מִפְּנִינִים, וּבְגִין דָּא לֹא תֵצֵא כְּצֵאת הָעֲבָדִים </w:t>
      </w:r>
      <w:r>
        <w:rPr>
          <w:sz w:val="20"/>
          <w:szCs w:val="23"/>
          <w:rtl/>
        </w:rPr>
        <w:t>(שמות כו ז)</w:t>
      </w:r>
      <w:r>
        <w:rPr>
          <w:rtl/>
        </w:rPr>
        <w:t xml:space="preserve">, וְדָא הוּא דְאָמַר כִּי לֹא בְחִפָּזוֹן תֵּצֵאוּ, וּבִמְנוּסָה לֹא תֵלֵכוּן, כִּי הוֹלֵךְ לִפְנֵיכֶם יהו''ה </w:t>
      </w:r>
      <w:r>
        <w:rPr>
          <w:sz w:val="20"/>
          <w:szCs w:val="23"/>
          <w:rtl/>
        </w:rPr>
        <w:t>(ישעיה נב יב)</w:t>
      </w:r>
      <w:r>
        <w:rPr>
          <w:rtl/>
        </w:rPr>
        <w:t xml:space="preserve">, יהו''ה וַדַּאי אִיהוּ יוֹקִים לוֹן מֵעַפְרָא, </w:t>
      </w:r>
      <w:r>
        <w:rPr>
          <w:rStyle w:val="a7"/>
          <w:rtl/>
        </w:rPr>
        <w:footnoteReference w:id="795"/>
      </w:r>
      <w:r>
        <w:rPr>
          <w:rtl/>
        </w:rPr>
        <w:t xml:space="preserve">וְאִיהוּ נָהִיר עַל אַנְפּוֹי דְּיִשְׂרָאֵל, וּבֵיהּ אִשְׁתְּמוֹדְעִין כָּל עָלְמִין דְּאִינוּן </w:t>
      </w:r>
      <w:r>
        <w:rPr>
          <w:sz w:val="20"/>
          <w:szCs w:val="23"/>
          <w:rtl/>
        </w:rPr>
        <w:t>(שם סא ט)</w:t>
      </w:r>
      <w:r>
        <w:rPr>
          <w:rtl/>
        </w:rPr>
        <w:t xml:space="preserve"> זֶרַע בֵּרַךְ יהו''ה.</w:t>
      </w:r>
    </w:p>
    <w:p w:rsidR="00D45634" w:rsidRDefault="00D45634" w:rsidP="00B17EA9">
      <w:pPr>
        <w:pStyle w:val="NormalWeb"/>
        <w:rPr>
          <w:rtl/>
        </w:rPr>
      </w:pPr>
      <w:r>
        <w:rPr>
          <w:rtl/>
        </w:rPr>
        <w:lastRenderedPageBreak/>
        <w:t xml:space="preserve">וְאִתְפַּשַּׁט קוּדְשָׁא בְּרִיךְ הוּא מִכָּל כִּנּוּיָין, וּמֶרְכָּבוֹת דְמטטרו''ן, </w:t>
      </w:r>
      <w:r>
        <w:rPr>
          <w:rStyle w:val="a7"/>
          <w:rtl/>
        </w:rPr>
        <w:footnoteReference w:id="796"/>
      </w:r>
      <w:r>
        <w:rPr>
          <w:rtl/>
        </w:rPr>
        <w:t xml:space="preserve">דְּאִינוּן כוז''ו במוכס''ז כוז''ו, </w:t>
      </w:r>
      <w:r>
        <w:rPr>
          <w:rStyle w:val="a7"/>
          <w:rtl/>
        </w:rPr>
        <w:footnoteReference w:id="797"/>
      </w:r>
      <w:r>
        <w:rPr>
          <w:rtl/>
        </w:rPr>
        <w:t xml:space="preserve">מצפ''ץ, וְאִתְּמַר בֵּיהּ </w:t>
      </w:r>
      <w:r>
        <w:rPr>
          <w:sz w:val="20"/>
          <w:szCs w:val="23"/>
          <w:rtl/>
        </w:rPr>
        <w:t>(ישעיה ל ב)</w:t>
      </w:r>
      <w:r>
        <w:rPr>
          <w:rtl/>
        </w:rPr>
        <w:t xml:space="preserve"> וְלֹא יִכָּנֵף עוֹד מוֹרֶיךָ, וְהָיוּ עִינֶיךָ רוֹאוֹת אֶת מוֹרֶיךָ, בְּהַהוּא זִמְנָא, כִּי עַיִן בְּעַיִן יִרְאוּ בְּשׁוּב יהו''ה צִיּוֹן </w:t>
      </w:r>
      <w:r>
        <w:rPr>
          <w:sz w:val="20"/>
          <w:szCs w:val="23"/>
          <w:rtl/>
        </w:rPr>
        <w:t>(שם לב כ)</w:t>
      </w:r>
      <w:r>
        <w:rPr>
          <w:rtl/>
        </w:rPr>
        <w:t xml:space="preserve">, וְאִתְפַּשַּׁט מִמֶּרְכָּבוֹת דִּלְתַתָּא, </w:t>
      </w:r>
      <w:r>
        <w:rPr>
          <w:rStyle w:val="a7"/>
          <w:rtl/>
        </w:rPr>
        <w:footnoteReference w:id="798"/>
      </w:r>
      <w:r>
        <w:rPr>
          <w:rtl/>
        </w:rPr>
        <w:t>וְאִתְלַבַּשׁ בְּמֶרְכָּבָה דִילֵיהּ דְּאִיהִי אדנ''י, שֵׁם הַמֶּרְכָּבָה דָא יהו''ה, כִּנּוּ''י דָא אֱלֹהִי''ם, דְּסָלִיק לְחֻשְׁבַּן אהי''ה אדנ''י, וְאִיהוּ כִנּוּ''י דִתְרֵין שְׁמָהָן אִלֵּין וּבֵיהּ אִתְכַּסְיָין.</w:t>
      </w:r>
    </w:p>
    <w:p w:rsidR="00D45634" w:rsidRDefault="00D45634" w:rsidP="00B17EA9">
      <w:pPr>
        <w:pStyle w:val="aa"/>
        <w:rPr>
          <w:rtl/>
        </w:rPr>
      </w:pPr>
      <w:bookmarkStart w:id="49" w:name="_Toc228095588"/>
      <w:bookmarkStart w:id="50" w:name="_Toc231638026"/>
      <w:r>
        <w:rPr>
          <w:rtl/>
        </w:rPr>
        <w:t>[תיקוני זוהר - דף עד ע''ב]</w:t>
      </w:r>
      <w:bookmarkEnd w:id="49"/>
      <w:bookmarkEnd w:id="50"/>
    </w:p>
    <w:p w:rsidR="00D45634" w:rsidRDefault="00D45634" w:rsidP="00B17EA9">
      <w:pPr>
        <w:pStyle w:val="NormalWeb"/>
        <w:rPr>
          <w:rtl/>
        </w:rPr>
      </w:pPr>
      <w:r>
        <w:rPr>
          <w:rStyle w:val="a7"/>
          <w:rtl/>
        </w:rPr>
        <w:footnoteReference w:id="799"/>
      </w:r>
      <w:r>
        <w:rPr>
          <w:rtl/>
        </w:rPr>
        <w:t xml:space="preserve">אהי''ה אִיהוּ יה''ו, </w:t>
      </w:r>
      <w:r>
        <w:rPr>
          <w:rStyle w:val="a7"/>
          <w:rtl/>
        </w:rPr>
        <w:footnoteReference w:id="800"/>
      </w:r>
      <w:r>
        <w:rPr>
          <w:rtl/>
        </w:rPr>
        <w:t xml:space="preserve">ו' דְּאִיהוּ כְּלִילָא דְשִׁית סִטְרִין, דִּבְהוֹן חָתִים שִׁית סִטְרִין, וְאִינוּן </w:t>
      </w:r>
      <w:r>
        <w:rPr>
          <w:rStyle w:val="a7"/>
          <w:rtl/>
        </w:rPr>
        <w:footnoteReference w:id="801"/>
      </w:r>
      <w:r>
        <w:rPr>
          <w:rtl/>
        </w:rPr>
        <w:t xml:space="preserve">יה"ו, יו"ה, הי"ו, הו"י, וי"ה, וה"י. יו"ה נָטִיל לֵיהּ יְמִינָא דְאִיהוּ חֶסֶ''ד, וְחָתִים בֵּיהּ לְחָכְמְתָא, וּבֵיהּ הָרוֹצֶה לְהַחְכִּים יַדְרִים. הו"י נָטִיל לִשְׂמָאלָא דְאִיהוּ גְבוּרָה, וְחָתִים בֵּיהּ לְעוּתְרָא, וּבֵיהּ הָרוֹצֶה לְהַעֲשִׁיר יַצְפִּין, וי"ה פָּנָה לְמִזְרָח, וְנָטִיל לֵיהּ עַמּוּדָא דְאֶמְצָעִיתָא, </w:t>
      </w:r>
      <w:r>
        <w:rPr>
          <w:rStyle w:val="a7"/>
          <w:rtl/>
        </w:rPr>
        <w:footnoteReference w:id="802"/>
      </w:r>
      <w:r>
        <w:rPr>
          <w:rtl/>
        </w:rPr>
        <w:t xml:space="preserve">וְחָתִים בֵּיהּ בָּנֵי, יה"ו נָטִיל לֵיהּ יַרְכָא יְמִינָא, וְאִסְתַּכַּל בֵּיהּ לְעִילָא, וְחָתִים בֵּיהּ חַיֵּי, הי''ו נָטִיל לֵיהּ יַרְכָא שְׂמָאלָא, וְאִסְתַּכַּל לְתַתָּא, וְחָתִים </w:t>
      </w:r>
      <w:r>
        <w:rPr>
          <w:rStyle w:val="a7"/>
          <w:rtl/>
        </w:rPr>
        <w:footnoteReference w:id="803"/>
      </w:r>
      <w:r>
        <w:rPr>
          <w:rtl/>
        </w:rPr>
        <w:t xml:space="preserve">בֵּיהּ מְזוֹנֵי, </w:t>
      </w:r>
      <w:r>
        <w:rPr>
          <w:rStyle w:val="a7"/>
          <w:rtl/>
        </w:rPr>
        <w:footnoteReference w:id="804"/>
      </w:r>
      <w:r>
        <w:rPr>
          <w:rtl/>
        </w:rPr>
        <w:t xml:space="preserve">אִסְתַּכַּל לְעִילָא לְגַבֵּי חָכְמָה, וְאִתְקַשַּׁר בְּיַרְכָא יְמִינָא, וְחָתִים בֵּיהּ חַיִּים, בְּגִין דְּחָכְמָה עֲלֵיהּ אִתְּמַר </w:t>
      </w:r>
      <w:r>
        <w:rPr>
          <w:sz w:val="20"/>
          <w:szCs w:val="23"/>
          <w:rtl/>
        </w:rPr>
        <w:t>(קהלת ז ב)</w:t>
      </w:r>
      <w:r>
        <w:rPr>
          <w:rtl/>
        </w:rPr>
        <w:t xml:space="preserve"> וְהַחָכְמָה תְּחַיֶּה בְעָלֶיהָ, </w:t>
      </w:r>
      <w:r>
        <w:rPr>
          <w:rStyle w:val="a7"/>
          <w:rtl/>
        </w:rPr>
        <w:footnoteReference w:id="805"/>
      </w:r>
      <w:r>
        <w:rPr>
          <w:rtl/>
        </w:rPr>
        <w:t xml:space="preserve">אִסְתַּכַּל לְתַתָּא לְגַבֵּי אִימָּא עִלָּאָה, וְאִתְקַשַּׁר בְּיַרְכָא שְׂמָאלָא, וְחָתִים בֵּיהּ מְזוֹנֵי, </w:t>
      </w:r>
      <w:r>
        <w:rPr>
          <w:sz w:val="20"/>
          <w:szCs w:val="23"/>
          <w:rtl/>
        </w:rPr>
        <w:t xml:space="preserve">(דף עד ע''ב) </w:t>
      </w:r>
      <w:r>
        <w:rPr>
          <w:rtl/>
        </w:rPr>
        <w:t xml:space="preserve">וה"י </w:t>
      </w:r>
      <w:r>
        <w:rPr>
          <w:rStyle w:val="a7"/>
          <w:rtl/>
        </w:rPr>
        <w:footnoteReference w:id="806"/>
      </w:r>
      <w:r>
        <w:rPr>
          <w:rtl/>
        </w:rPr>
        <w:t xml:space="preserve">פָּנָה לְמַעֲרָב בְּצַדִּיק, </w:t>
      </w:r>
      <w:r>
        <w:rPr>
          <w:rStyle w:val="a7"/>
          <w:rtl/>
        </w:rPr>
        <w:footnoteReference w:id="807"/>
      </w:r>
      <w:r>
        <w:rPr>
          <w:rtl/>
        </w:rPr>
        <w:t>דְּאִיהוּ עִרוּב, דְּתַמָּן מִתְעָרְבִין כָּל חֲיָילִין, וְאִתְכְּלִיל בְּחַ''י אַתְוָון, דְּאִינוּן יה"ו, יו"ה, הי"ו, הו"י, וי"ה, וה"י. אִלֵּין אִינוּן י''ח אַתְוָון, דִּבְהוֹן חַ''י עָלְמִין אִתְקְרֵי.</w:t>
      </w:r>
    </w:p>
    <w:p w:rsidR="00D45634" w:rsidRDefault="00D45634" w:rsidP="00B17EA9">
      <w:pPr>
        <w:pStyle w:val="NormalWeb"/>
        <w:rPr>
          <w:rtl/>
        </w:rPr>
      </w:pPr>
      <w:r>
        <w:rPr>
          <w:rStyle w:val="a7"/>
          <w:rtl/>
        </w:rPr>
        <w:footnoteReference w:id="808"/>
      </w:r>
      <w:r>
        <w:rPr>
          <w:rtl/>
        </w:rPr>
        <w:t xml:space="preserve">כָּל הֲוַויּוֹת אִלֵּין </w:t>
      </w:r>
      <w:r>
        <w:rPr>
          <w:rStyle w:val="a7"/>
          <w:rtl/>
        </w:rPr>
        <w:footnoteReference w:id="809"/>
      </w:r>
      <w:r>
        <w:rPr>
          <w:rtl/>
        </w:rPr>
        <w:t xml:space="preserve">מֵאִמָּא עִלָּאָה תַלְיָין, דְּאִיהִי חַיִּים, וְצַדִּיק עַל שְׁמֵיהּ אִתְקְרֵי חַ''י, </w:t>
      </w:r>
      <w:r>
        <w:rPr>
          <w:rStyle w:val="a7"/>
          <w:rtl/>
        </w:rPr>
        <w:footnoteReference w:id="810"/>
      </w:r>
      <w:r>
        <w:rPr>
          <w:rtl/>
        </w:rPr>
        <w:t xml:space="preserve">חַיּוֹת הַמֶּרְכָּבָה עַל שְׁמָהּ אִתְקְרִיאוּ, בְּגִין דְּאִיהִי אִימָּא עִלָּאָה חַיִּים, </w:t>
      </w:r>
      <w:r>
        <w:rPr>
          <w:rStyle w:val="a7"/>
          <w:rtl/>
        </w:rPr>
        <w:footnoteReference w:id="811"/>
      </w:r>
      <w:r>
        <w:rPr>
          <w:rtl/>
        </w:rPr>
        <w:t xml:space="preserve">כְּמָה דְאַתְּ אָמַר עִץ חַיִּים הִיא לַמַּחֲזִיקִים בָּהּ </w:t>
      </w:r>
      <w:r>
        <w:rPr>
          <w:sz w:val="20"/>
          <w:szCs w:val="23"/>
          <w:rtl/>
        </w:rPr>
        <w:t>(משלי ג יח)</w:t>
      </w:r>
      <w:r>
        <w:rPr>
          <w:rtl/>
        </w:rPr>
        <w:t xml:space="preserve">, </w:t>
      </w:r>
      <w:r>
        <w:rPr>
          <w:rStyle w:val="a7"/>
          <w:rtl/>
        </w:rPr>
        <w:footnoteReference w:id="812"/>
      </w:r>
      <w:r>
        <w:rPr>
          <w:rtl/>
        </w:rPr>
        <w:t xml:space="preserve">וְאִיהִי מֶרְכָּבָה </w:t>
      </w:r>
      <w:r>
        <w:rPr>
          <w:rStyle w:val="a7"/>
          <w:rtl/>
        </w:rPr>
        <w:footnoteReference w:id="813"/>
      </w:r>
      <w:r>
        <w:rPr>
          <w:rtl/>
        </w:rPr>
        <w:t>לְחָכְמָה.</w:t>
      </w:r>
    </w:p>
    <w:p w:rsidR="00D45634" w:rsidRDefault="00D45634" w:rsidP="00B17EA9">
      <w:pPr>
        <w:pStyle w:val="NormalWeb"/>
        <w:rPr>
          <w:rtl/>
        </w:rPr>
      </w:pPr>
      <w:r>
        <w:rPr>
          <w:rStyle w:val="a7"/>
          <w:rtl/>
        </w:rPr>
        <w:lastRenderedPageBreak/>
        <w:footnoteReference w:id="814"/>
      </w:r>
      <w:r>
        <w:rPr>
          <w:rtl/>
        </w:rPr>
        <w:t xml:space="preserve">מַלְכוּת תַּמָּן ה', </w:t>
      </w:r>
      <w:r>
        <w:rPr>
          <w:rStyle w:val="a7"/>
          <w:rtl/>
        </w:rPr>
        <w:footnoteReference w:id="815"/>
      </w:r>
      <w:r>
        <w:rPr>
          <w:rtl/>
        </w:rPr>
        <w:t xml:space="preserve">וּבָהּ אִתְקְרֵי יהו''ה בִּשְׁלִימוּ, </w:t>
      </w:r>
      <w:r>
        <w:rPr>
          <w:rStyle w:val="a7"/>
          <w:rtl/>
        </w:rPr>
        <w:footnoteReference w:id="816"/>
      </w:r>
      <w:r>
        <w:rPr>
          <w:rtl/>
        </w:rPr>
        <w:t xml:space="preserve">שִׁבְעָה זִמְנִין אִתְקְרִיאַת בָּהּ, יהו''ה יהו''ה יהו''ה יהו''ה יהו''ה יהו''ה יהו''ה, וְאִית בְּהוֹן כ''ח אַתְוָון דְּאִתְּמַר בְּהוֹן </w:t>
      </w:r>
      <w:r>
        <w:rPr>
          <w:sz w:val="20"/>
          <w:szCs w:val="23"/>
          <w:rtl/>
        </w:rPr>
        <w:t>(במדבר יד יז)</w:t>
      </w:r>
      <w:r>
        <w:rPr>
          <w:rtl/>
        </w:rPr>
        <w:t xml:space="preserve"> וְעַתָּה יִגְדַּל נָא כֹּ''חַ יהו''ה, וּבְאִלֵּין שִׁבְעָה שְׁמָהָן אִתְקְרִיאַת הִיא בַת שֶׁבַע, וַעֲלַיְיהוּ אִתְּמַר </w:t>
      </w:r>
      <w:r>
        <w:rPr>
          <w:sz w:val="20"/>
          <w:szCs w:val="23"/>
          <w:rtl/>
        </w:rPr>
        <w:t>(תהלים קיט קסח)</w:t>
      </w:r>
      <w:r>
        <w:rPr>
          <w:rtl/>
        </w:rPr>
        <w:t xml:space="preserve"> שֶׁבַע בַּיּוֹם הִלַּלְתִּיךָ.</w:t>
      </w:r>
    </w:p>
    <w:p w:rsidR="00D45634" w:rsidRDefault="00D45634" w:rsidP="00B17EA9">
      <w:pPr>
        <w:pStyle w:val="NormalWeb"/>
        <w:rPr>
          <w:rtl/>
        </w:rPr>
      </w:pPr>
      <w:r>
        <w:rPr>
          <w:rStyle w:val="a7"/>
          <w:rtl/>
        </w:rPr>
        <w:footnoteReference w:id="817"/>
      </w:r>
      <w:r>
        <w:rPr>
          <w:rtl/>
        </w:rPr>
        <w:t xml:space="preserve">י''ה תְּלָתִין וּתְרֵין זִמְנִין בִּתְלָתִין וּתְרֵין אֱלֹהִי''ם, אִינוּן ל''ב נְתִיבוֹת חָכְמָה </w:t>
      </w:r>
      <w:r>
        <w:rPr>
          <w:rStyle w:val="a7"/>
          <w:rtl/>
        </w:rPr>
        <w:footnoteReference w:id="818"/>
      </w:r>
      <w:r>
        <w:rPr>
          <w:rtl/>
        </w:rPr>
        <w:t>א' עִם י''ה אַיֵּ''ה מְקוֹם כְּבוֹדוֹ.</w:t>
      </w:r>
    </w:p>
    <w:p w:rsidR="00D45634" w:rsidRDefault="00D45634" w:rsidP="00B17EA9">
      <w:pPr>
        <w:pStyle w:val="NormalWeb"/>
        <w:rPr>
          <w:rtl/>
        </w:rPr>
      </w:pPr>
      <w:r>
        <w:rPr>
          <w:rStyle w:val="a7"/>
          <w:rtl/>
        </w:rPr>
        <w:footnoteReference w:id="819"/>
      </w:r>
      <w:r>
        <w:rPr>
          <w:rtl/>
        </w:rPr>
        <w:t xml:space="preserve">וְהַמַּשְׂכִּילִים אִינוּן </w:t>
      </w:r>
      <w:r>
        <w:rPr>
          <w:rStyle w:val="a7"/>
          <w:rtl/>
        </w:rPr>
        <w:footnoteReference w:id="820"/>
      </w:r>
      <w:r>
        <w:rPr>
          <w:rtl/>
        </w:rPr>
        <w:t xml:space="preserve">הֵיכָלִין וְצִיּוּרִין דְּגִנְּתָא דְעִדֶן, כֻּלְּהוּ </w:t>
      </w:r>
      <w:r>
        <w:rPr>
          <w:rStyle w:val="a7"/>
          <w:rtl/>
        </w:rPr>
        <w:footnoteReference w:id="821"/>
      </w:r>
      <w:r>
        <w:rPr>
          <w:rtl/>
        </w:rPr>
        <w:t>מְצוּיָירִין וּמְרוּקָמִין בְּאַתְוָון.</w:t>
      </w:r>
    </w:p>
    <w:p w:rsidR="00D45634" w:rsidRDefault="00D45634" w:rsidP="00B17EA9">
      <w:pPr>
        <w:pStyle w:val="NormalWeb"/>
        <w:rPr>
          <w:rtl/>
        </w:rPr>
      </w:pPr>
      <w:r>
        <w:rPr>
          <w:rStyle w:val="a7"/>
          <w:rtl/>
        </w:rPr>
        <w:footnoteReference w:id="822"/>
      </w:r>
      <w:r>
        <w:rPr>
          <w:rtl/>
        </w:rPr>
        <w:t xml:space="preserve">א צִיּוּרָא דְהֵיכָלָא גְנִיזָא </w:t>
      </w:r>
      <w:r>
        <w:rPr>
          <w:rStyle w:val="a7"/>
          <w:rtl/>
        </w:rPr>
        <w:footnoteReference w:id="823"/>
      </w:r>
      <w:r>
        <w:rPr>
          <w:rtl/>
        </w:rPr>
        <w:t>דְאִיהִי אָנֹכִ''י, דְסָלִיק לְחוּשְׁבַּן כִּסֵּ''א, וְאִיהוּ מְצוּיָיר בְּנִקּוּדִין, דְּאִינוּן כְּכֹכְבַיָּא דְנַהֲרִין בִּרְקִיעָא וּבְהוֹן מְצוּיָירִין נִשְׁמָתִין וְרוּחִין וְנַפְשִׁין דְּצַדִּיקַיָּא.</w:t>
      </w:r>
    </w:p>
    <w:p w:rsidR="00D45634" w:rsidRDefault="00D45634" w:rsidP="00B17EA9">
      <w:pPr>
        <w:pStyle w:val="NormalWeb"/>
        <w:rPr>
          <w:rtl/>
        </w:rPr>
      </w:pPr>
      <w:r>
        <w:rPr>
          <w:rtl/>
        </w:rPr>
        <w:t xml:space="preserve">וְצִיּוּרָא דִילֵיהּ כְּגַוְונָא דָא א דָּא אִיהִי דִיּוֹקְנָא דְקָמֵץ </w:t>
      </w:r>
      <w:bookmarkStart w:id="51" w:name="ציורים"/>
      <w:bookmarkEnd w:id="51"/>
      <w:r>
        <w:rPr>
          <w:rtl/>
        </w:rPr>
        <w:t xml:space="preserve">[ציור] דְּאִיהוּ נִיצוֹץ וְרָקִיעַ, נִיצוֹץ אִיהוּ כֹּכָב, וַעֲלֵיהּ אִתְּמַר </w:t>
      </w:r>
      <w:r>
        <w:rPr>
          <w:sz w:val="20"/>
          <w:szCs w:val="23"/>
          <w:rtl/>
        </w:rPr>
        <w:t>(במדבר כד יז)</w:t>
      </w:r>
      <w:r>
        <w:rPr>
          <w:rtl/>
        </w:rPr>
        <w:t xml:space="preserve"> דָּרַךְ כֹּכָב מִיַּעֲקֹב, רָקִיעַ </w:t>
      </w:r>
      <w:r>
        <w:rPr>
          <w:rStyle w:val="a7"/>
          <w:rtl/>
        </w:rPr>
        <w:footnoteReference w:id="824"/>
      </w:r>
      <w:r>
        <w:rPr>
          <w:rtl/>
        </w:rPr>
        <w:t xml:space="preserve">וְקָם שֵׁבֶט מִיִּשְׂרָאֵל, נִיצוֹץ אִיהוּ כֹּכָב </w:t>
      </w:r>
      <w:r>
        <w:rPr>
          <w:rStyle w:val="a7"/>
          <w:rtl/>
        </w:rPr>
        <w:footnoteReference w:id="825"/>
      </w:r>
      <w:r>
        <w:rPr>
          <w:rtl/>
        </w:rPr>
        <w:t xml:space="preserve">חַמָּה דְנַהֲרָא בִּרְקִיעָא, עֲטָרָה עַל רֵישֵׁיהּ, לְתַתָּא אִתְפַּלַּג א כְּגַוְונָא דָא א סִיהֲרָא דִתְּחוֹת רָקִיעַ </w:t>
      </w:r>
      <w:r>
        <w:rPr>
          <w:rStyle w:val="a7"/>
          <w:rtl/>
        </w:rPr>
        <w:footnoteReference w:id="826"/>
      </w:r>
      <w:r>
        <w:rPr>
          <w:rtl/>
        </w:rPr>
        <w:t xml:space="preserve">וְתַרְוַיְיהוּ בְּצִיּוּרָא דָא </w:t>
      </w:r>
      <w:r>
        <w:rPr>
          <w:sz w:val="20"/>
          <w:szCs w:val="23"/>
          <w:rtl/>
        </w:rPr>
        <w:t>( )</w:t>
      </w:r>
      <w:r>
        <w:rPr>
          <w:rtl/>
        </w:rPr>
        <w:t xml:space="preserve"> כַּד יֵיתֵי סמא''ל לְאִסְתַּכָּלָא בָהּ לְתַתָּא אִסְתַּכְּלַת לְעִילָא, וְאִתְכְּסִיאַת אַנְפָּהָא מִנֵּיהּ, וְהָדְרַת אַנְפָּהָא מִנֵּיהּ לְתַתָּא, וְאִיהִי אִתְרַחֲקָא מִנֵּיהּ.</w:t>
      </w:r>
    </w:p>
    <w:p w:rsidR="00D45634" w:rsidRDefault="00D45634" w:rsidP="00B17EA9">
      <w:pPr>
        <w:pStyle w:val="NormalWeb"/>
        <w:rPr>
          <w:rtl/>
        </w:rPr>
      </w:pPr>
      <w:r>
        <w:rPr>
          <w:rtl/>
        </w:rPr>
        <w:t xml:space="preserve">בְּהַהוּא זִמְנָא, </w:t>
      </w:r>
      <w:r>
        <w:rPr>
          <w:rStyle w:val="a7"/>
          <w:rtl/>
        </w:rPr>
        <w:footnoteReference w:id="827"/>
      </w:r>
      <w:r>
        <w:rPr>
          <w:rtl/>
        </w:rPr>
        <w:t xml:space="preserve">תִּקְעוּ בַחֹדֶשׁ שׁוֹפָר בַּכֶּסֶה לְיוֹם חַגֵּנוּ </w:t>
      </w:r>
      <w:r>
        <w:rPr>
          <w:sz w:val="20"/>
          <w:szCs w:val="23"/>
          <w:rtl/>
        </w:rPr>
        <w:t>(תהלים פא טז)</w:t>
      </w:r>
      <w:r>
        <w:rPr>
          <w:rtl/>
        </w:rPr>
        <w:t xml:space="preserve">, </w:t>
      </w:r>
      <w:r>
        <w:rPr>
          <w:rStyle w:val="a7"/>
          <w:rtl/>
        </w:rPr>
        <w:footnoteReference w:id="828"/>
      </w:r>
      <w:r>
        <w:rPr>
          <w:rtl/>
        </w:rPr>
        <w:t xml:space="preserve">בְּאָן יַרְחָא, בְּיַרְחָא דְאִתְכַּסְיָא בֵיהּ סִיהֲרָא, וּמָאן הוּא דִמְכַסֵּי עֲלָהּ יהו''ה, דְּכֵן סְלִיק א בְּחֻשְׁבָּן, י' לְעִילָא י' לְתַתָּא ו' בְּאֶמְצָעִיתָא, וְאִיהוּ נָטִיר לָהּ, הֲדָא הוּא דִכְתִיב </w:t>
      </w:r>
      <w:r>
        <w:rPr>
          <w:sz w:val="20"/>
          <w:szCs w:val="23"/>
          <w:rtl/>
        </w:rPr>
        <w:t>(ישעיה מב י)</w:t>
      </w:r>
      <w:r>
        <w:rPr>
          <w:rtl/>
        </w:rPr>
        <w:t xml:space="preserve"> אֲנִי יהו''ה </w:t>
      </w:r>
      <w:r>
        <w:rPr>
          <w:rStyle w:val="a7"/>
          <w:rtl/>
        </w:rPr>
        <w:footnoteReference w:id="829"/>
      </w:r>
      <w:r>
        <w:rPr>
          <w:rtl/>
        </w:rPr>
        <w:t>הוּא שְׁמִי וכו'.</w:t>
      </w:r>
    </w:p>
    <w:p w:rsidR="00D45634" w:rsidRDefault="00D45634" w:rsidP="00B17EA9">
      <w:pPr>
        <w:pStyle w:val="NormalWeb"/>
        <w:rPr>
          <w:rtl/>
        </w:rPr>
      </w:pPr>
      <w:r>
        <w:rPr>
          <w:rtl/>
        </w:rPr>
        <w:t xml:space="preserve">ב הֵיכָלָא לִנְקוּדָה, גַּג דִּילָהּ אִיהוּ רָקִיעַ, </w:t>
      </w:r>
      <w:r>
        <w:rPr>
          <w:rStyle w:val="a7"/>
          <w:rtl/>
        </w:rPr>
        <w:footnoteReference w:id="830"/>
      </w:r>
      <w:r>
        <w:rPr>
          <w:rtl/>
        </w:rPr>
        <w:t xml:space="preserve">וְאִיהוּ פַּתַח </w:t>
      </w:r>
      <w:r>
        <w:rPr>
          <w:rStyle w:val="a7"/>
          <w:rtl/>
        </w:rPr>
        <w:footnoteReference w:id="831"/>
      </w:r>
      <w:r>
        <w:rPr>
          <w:rtl/>
        </w:rPr>
        <w:t xml:space="preserve">עֲלֵיהּ אִתְּמַר </w:t>
      </w:r>
      <w:r>
        <w:rPr>
          <w:sz w:val="20"/>
          <w:szCs w:val="23"/>
          <w:rtl/>
        </w:rPr>
        <w:t>(תהלים קד ב)</w:t>
      </w:r>
      <w:r>
        <w:rPr>
          <w:rtl/>
        </w:rPr>
        <w:t xml:space="preserve"> נוֹטֶה שָׁמַיִם כַּיְרִיעָה, </w:t>
      </w:r>
      <w:r>
        <w:rPr>
          <w:rStyle w:val="a7"/>
          <w:rtl/>
        </w:rPr>
        <w:footnoteReference w:id="832"/>
      </w:r>
      <w:r>
        <w:rPr>
          <w:rtl/>
        </w:rPr>
        <w:t>וְאִיהוּ ו' דִּמְכַסֵּי עַל נְקוּדָה עִלָּאָה וְתַתָּאָה וְאֶמְצָעִיתָא, כְּגַוְונָא דָא ב.</w:t>
      </w:r>
    </w:p>
    <w:p w:rsidR="00D45634" w:rsidRDefault="00D45634" w:rsidP="00B17EA9">
      <w:pPr>
        <w:pStyle w:val="NormalWeb"/>
        <w:rPr>
          <w:rtl/>
        </w:rPr>
      </w:pPr>
      <w:r>
        <w:rPr>
          <w:rStyle w:val="a7"/>
          <w:rtl/>
        </w:rPr>
        <w:lastRenderedPageBreak/>
        <w:footnoteReference w:id="833"/>
      </w:r>
      <w:r>
        <w:rPr>
          <w:rtl/>
        </w:rPr>
        <w:t xml:space="preserve">צ </w:t>
      </w:r>
      <w:r>
        <w:rPr>
          <w:rStyle w:val="a7"/>
          <w:rtl/>
        </w:rPr>
        <w:footnoteReference w:id="834"/>
      </w:r>
      <w:r>
        <w:rPr>
          <w:rtl/>
        </w:rPr>
        <w:t xml:space="preserve">תְּרֵין נִצּוֹצוֹת דְּאָת צ אִינוּן צֵרִ''י, תְּרֵי רֵאשִׁין דְּצ </w:t>
      </w:r>
      <w:r>
        <w:rPr>
          <w:rStyle w:val="a7"/>
          <w:rtl/>
        </w:rPr>
        <w:footnoteReference w:id="835"/>
      </w:r>
      <w:r>
        <w:rPr>
          <w:rtl/>
        </w:rPr>
        <w:t>אִינוּן תְּרֵין דְּע'.</w:t>
      </w:r>
    </w:p>
    <w:p w:rsidR="00D45634" w:rsidRDefault="00D45634" w:rsidP="00B17EA9">
      <w:pPr>
        <w:pStyle w:val="NormalWeb"/>
        <w:rPr>
          <w:rtl/>
        </w:rPr>
      </w:pPr>
      <w:r>
        <w:rPr>
          <w:rtl/>
        </w:rPr>
        <w:t xml:space="preserve">ש אִית לָהּ תְּלַת רֵאשִׁין, וְאִנּוּן סֶגוֹ''ל, </w:t>
      </w:r>
      <w:r>
        <w:rPr>
          <w:rStyle w:val="a7"/>
          <w:rtl/>
        </w:rPr>
        <w:footnoteReference w:id="836"/>
      </w:r>
      <w:r>
        <w:rPr>
          <w:rtl/>
        </w:rPr>
        <w:t xml:space="preserve">וְאִנּוּן תְּלַת נְקוּדִין שֻׁרֵ''ק. </w:t>
      </w:r>
      <w:r>
        <w:rPr>
          <w:rStyle w:val="a7"/>
          <w:rtl/>
        </w:rPr>
        <w:footnoteReference w:id="837"/>
      </w:r>
      <w:r>
        <w:rPr>
          <w:rtl/>
        </w:rPr>
        <w:t xml:space="preserve">ו רֵישָׁא דִילָהּ חֹלֵ''ם חִירֵ''ק שׁוּרֵ''ק בְּו', קוֹצָא מִלְּגָאו חִירֵ''ק קוֹצָא דְאָת ג', וְכֹלָּא אִתְרְמִיז </w:t>
      </w:r>
      <w:r>
        <w:rPr>
          <w:rStyle w:val="a7"/>
          <w:rtl/>
        </w:rPr>
        <w:footnoteReference w:id="838"/>
      </w:r>
      <w:r>
        <w:rPr>
          <w:rtl/>
        </w:rPr>
        <w:t xml:space="preserve">בְּאָת א, נְקוּדָה לְעִילָא חֹלֵ''ם נְקוּדָה לְתַתָּא חִירֵ''ק בְּאֶמְצָעִיתָא שׁוּרֵ''ק כְּגַוְונָא דָא וִֹּ, וְעוֹד תְּרֵין נְקוּדִין דְּאָת א אִינוּן צֵרִ''י, וְאִינוּן שְׁבָ''א, </w:t>
      </w:r>
      <w:r>
        <w:rPr>
          <w:rStyle w:val="a7"/>
          <w:rtl/>
        </w:rPr>
        <w:footnoteReference w:id="839"/>
      </w:r>
      <w:r>
        <w:rPr>
          <w:rtl/>
        </w:rPr>
        <w:t xml:space="preserve">וְאִינוּן בְּדִיּוֹקְנָא אָחֳרָא א, כְּגוֹן י' לְעִילָא, ו' בְּאֶמְצָעִיתָא, </w:t>
      </w:r>
      <w:r>
        <w:rPr>
          <w:rStyle w:val="a7"/>
          <w:rtl/>
        </w:rPr>
        <w:footnoteReference w:id="840"/>
      </w:r>
      <w:r>
        <w:rPr>
          <w:rtl/>
        </w:rPr>
        <w:t xml:space="preserve">ד' לְתַתָּא, א אִיהוּ קוֹצָא לְעִילָא, קוֹצָא לְתַתָּא, קוֹצָא בְאֶמְצָעִיתָא, וְאִיהוּ סֶגוֹ''ל וְאִיהוּ שׁוּרֵ''ק תְּלַת נְקוּדִין, </w:t>
      </w:r>
      <w:r>
        <w:rPr>
          <w:rStyle w:val="a7"/>
          <w:rtl/>
        </w:rPr>
        <w:footnoteReference w:id="841"/>
      </w:r>
      <w:r>
        <w:rPr>
          <w:rtl/>
        </w:rPr>
        <w:t xml:space="preserve">כֹּלָּא אִיהוּ א, אַתְוָון אָחֳרָנִין הֵיכָלִין וְכִסּוּיָין לְאִלֵּין אַתְוָון, וְכֹלָּא אִיהוּ מְרוּקָם וּמְצוּיָיר בְּכָרְסַיָּא, </w:t>
      </w:r>
      <w:r>
        <w:rPr>
          <w:rStyle w:val="a7"/>
          <w:rtl/>
        </w:rPr>
        <w:footnoteReference w:id="842"/>
      </w:r>
      <w:r>
        <w:rPr>
          <w:rtl/>
        </w:rPr>
        <w:t xml:space="preserve">ו' שִׁית דַּרְגִּין לְכָרְסַיָּא, ס' שִׁתִּין גַּלְגַּלּוֹי דְּכָרְסַיָּא, דְּאַתְוָון דְאוֹרַיְיתָא אִתְּמַר בְּהוֹן אֵין מוּקְדָם וּמְאוּחָר בַּתּוֹרָה, </w:t>
      </w:r>
      <w:r>
        <w:rPr>
          <w:rStyle w:val="a7"/>
          <w:rtl/>
        </w:rPr>
        <w:footnoteReference w:id="843"/>
      </w:r>
      <w:r>
        <w:rPr>
          <w:rtl/>
        </w:rPr>
        <w:t xml:space="preserve">אֲבָל בְּכָרְסַיָּא כֻּלְּהוּ מִתְתַּקְנָן כִּדְקָא יָאוּת, </w:t>
      </w:r>
      <w:r>
        <w:rPr>
          <w:rStyle w:val="a7"/>
          <w:rtl/>
        </w:rPr>
        <w:footnoteReference w:id="844"/>
      </w:r>
      <w:r>
        <w:rPr>
          <w:rtl/>
        </w:rPr>
        <w:t xml:space="preserve">וְרָזָא דָא </w:t>
      </w:r>
      <w:r>
        <w:rPr>
          <w:rStyle w:val="a7"/>
          <w:rtl/>
        </w:rPr>
        <w:footnoteReference w:id="845"/>
      </w:r>
      <w:r>
        <w:rPr>
          <w:rtl/>
        </w:rPr>
        <w:t>לְחַכִּימֵי לִבָּא אִתְמַסַּר.</w:t>
      </w:r>
    </w:p>
    <w:p w:rsidR="00D45634" w:rsidRDefault="00D45634" w:rsidP="00B17EA9">
      <w:pPr>
        <w:pStyle w:val="aa"/>
        <w:rPr>
          <w:rtl/>
        </w:rPr>
      </w:pPr>
      <w:bookmarkStart w:id="52" w:name="_Toc228095589"/>
      <w:bookmarkStart w:id="53" w:name="_Toc231638027"/>
      <w:r>
        <w:rPr>
          <w:rtl/>
        </w:rPr>
        <w:t>[תיקוני זוהר - דף עה ע''א]</w:t>
      </w:r>
      <w:bookmarkEnd w:id="52"/>
      <w:bookmarkEnd w:id="53"/>
    </w:p>
    <w:p w:rsidR="00D45634" w:rsidRDefault="00D45634" w:rsidP="00B17EA9">
      <w:pPr>
        <w:pStyle w:val="NormalWeb"/>
        <w:rPr>
          <w:rtl/>
        </w:rPr>
      </w:pPr>
      <w:r>
        <w:rPr>
          <w:rStyle w:val="a7"/>
          <w:rtl/>
        </w:rPr>
        <w:footnoteReference w:id="846"/>
      </w:r>
      <w:r>
        <w:rPr>
          <w:rtl/>
        </w:rPr>
        <w:t xml:space="preserve">עִנְיָן אַחֵר וְהַמַּשְׂכִּילִים יַזְהִירוּ, אִלֵין אִינוּן אַתְוָון, דַּהֲוָה לוֹן שֵׂכֶל לְאַעָלָא קֳדָם מַלְכָּא, כָּל חַד עַל תִּקּוּנוֹי, מִסִּטְרָא דִגְבוּרָה עָאלוּ כֻּלְּהוּ לְמַפְרֵעַ, בְּגִין דְּאִיהִי דְרוֹעָא שְׂמָאלָא תִּשְׁרִ''י, וְדָא אִיהוּ בְּרֵאשִׁי''ת </w:t>
      </w:r>
      <w:r>
        <w:rPr>
          <w:rStyle w:val="a7"/>
          <w:rtl/>
        </w:rPr>
        <w:footnoteReference w:id="847"/>
      </w:r>
      <w:r>
        <w:rPr>
          <w:rtl/>
        </w:rPr>
        <w:t xml:space="preserve">בָּ''א תִּשְׁרִ''י, בְּגִין דִּבְמִדַּת הַדִּין אִתְבְּרֵי עָלְמָא, וּבְגִין דָּא עָאלוּ לְמַפְרֵעַ, </w:t>
      </w:r>
      <w:r>
        <w:rPr>
          <w:rStyle w:val="a7"/>
          <w:rtl/>
        </w:rPr>
        <w:footnoteReference w:id="848"/>
      </w:r>
      <w:r>
        <w:rPr>
          <w:rtl/>
        </w:rPr>
        <w:t xml:space="preserve">וְהָא אוּקְמוּהוּ דְּבִימִינָא אִתְבְּרֵי עָלְמָא, וּבֵיהּ עָאלוּ אַתְוָון כְּסִדְרָן, וְרָזָא דְמִלָּה אָמַרְתִּי עוֹלָם חֶסֶד יִבָּנֶה </w:t>
      </w:r>
      <w:r>
        <w:rPr>
          <w:sz w:val="20"/>
          <w:szCs w:val="23"/>
          <w:rtl/>
        </w:rPr>
        <w:t>(תהלים פט ג)</w:t>
      </w:r>
      <w:r>
        <w:rPr>
          <w:rtl/>
        </w:rPr>
        <w:t xml:space="preserve">, </w:t>
      </w:r>
      <w:r>
        <w:rPr>
          <w:sz w:val="20"/>
          <w:szCs w:val="23"/>
          <w:rtl/>
        </w:rPr>
        <w:t xml:space="preserve">(דף עה ע''א) </w:t>
      </w:r>
      <w:r>
        <w:rPr>
          <w:rtl/>
        </w:rPr>
        <w:t xml:space="preserve">וּבְגִין דָּא כַּד עָאלוּ אַתְוָון לְמַפְרֵעַ, וּמִנַּיְיהוּ כְּסִדְרָן, </w:t>
      </w:r>
      <w:r>
        <w:rPr>
          <w:rStyle w:val="a7"/>
          <w:rtl/>
        </w:rPr>
        <w:footnoteReference w:id="849"/>
      </w:r>
      <w:r>
        <w:rPr>
          <w:rtl/>
        </w:rPr>
        <w:t>לָא בָּעָא קוּדְשָׁא בְּרִיךְ הוּא לְמִבְרֵי בְּהוֹן עָלְמָא, עַד דְּשִׁתֵּף לוֹן בִּימִינָא וּשְׂמָאלָא וּבָרָא בְּהוֹן עָלְמָא.</w:t>
      </w:r>
    </w:p>
    <w:p w:rsidR="00D45634" w:rsidRDefault="00D45634" w:rsidP="00B17EA9">
      <w:pPr>
        <w:pStyle w:val="NormalWeb"/>
        <w:rPr>
          <w:rtl/>
        </w:rPr>
      </w:pPr>
      <w:r>
        <w:rPr>
          <w:rStyle w:val="a7"/>
          <w:rtl/>
        </w:rPr>
        <w:lastRenderedPageBreak/>
        <w:footnoteReference w:id="850"/>
      </w:r>
      <w:r>
        <w:rPr>
          <w:rtl/>
        </w:rPr>
        <w:t xml:space="preserve">נָטַל א''ב מִכְּסִדְרָן, </w:t>
      </w:r>
      <w:r>
        <w:rPr>
          <w:rStyle w:val="a7"/>
          <w:rtl/>
        </w:rPr>
        <w:footnoteReference w:id="851"/>
      </w:r>
      <w:r>
        <w:rPr>
          <w:rtl/>
        </w:rPr>
        <w:t xml:space="preserve">וְנָטַל תּשׁ''ר מִלְּמַפְרֵעַ, </w:t>
      </w:r>
      <w:r>
        <w:rPr>
          <w:rStyle w:val="a7"/>
          <w:rtl/>
        </w:rPr>
        <w:footnoteReference w:id="852"/>
      </w:r>
      <w:r>
        <w:rPr>
          <w:rtl/>
        </w:rPr>
        <w:t xml:space="preserve">וְשִׁתֵּף בְּהוֹן אָת י' מִן שְׁמֵיהּ, וּבָרָא בְּהוֹן עָלְמָא, בְּגִין דְּיִתְקַיַּים בִּנְיָינָא, וְאִינוּן אב''י תש''ר, </w:t>
      </w:r>
      <w:r>
        <w:rPr>
          <w:rStyle w:val="a7"/>
          <w:rtl/>
        </w:rPr>
        <w:footnoteReference w:id="853"/>
      </w:r>
      <w:r>
        <w:rPr>
          <w:rtl/>
        </w:rPr>
        <w:t xml:space="preserve">אב''י אֲ''שֶׁר בְּ"יָדוֹ נֶפֶשׁ כָּל חָ''י, </w:t>
      </w:r>
      <w:r>
        <w:rPr>
          <w:rStyle w:val="a7"/>
          <w:rtl/>
        </w:rPr>
        <w:footnoteReference w:id="854"/>
      </w:r>
      <w:r>
        <w:rPr>
          <w:rtl/>
        </w:rPr>
        <w:t xml:space="preserve">ת' תּוֹרַת יהו''ה תְּמִימָה, </w:t>
      </w:r>
      <w:r>
        <w:rPr>
          <w:rStyle w:val="a7"/>
          <w:rtl/>
        </w:rPr>
        <w:footnoteReference w:id="855"/>
      </w:r>
      <w:r>
        <w:rPr>
          <w:rtl/>
        </w:rPr>
        <w:t xml:space="preserve">ש' שַׁבָּת, </w:t>
      </w:r>
      <w:r>
        <w:rPr>
          <w:rStyle w:val="a7"/>
          <w:rtl/>
        </w:rPr>
        <w:footnoteReference w:id="856"/>
      </w:r>
      <w:r>
        <w:rPr>
          <w:rtl/>
        </w:rPr>
        <w:t xml:space="preserve">ר' רֵאשִׁית חָכְמָה יִרְאַת יְיָ', וּבְכֻלְּהוּ לָא בָעָא לְמִתְחַל </w:t>
      </w:r>
      <w:r>
        <w:rPr>
          <w:rStyle w:val="a7"/>
          <w:rtl/>
        </w:rPr>
        <w:footnoteReference w:id="857"/>
      </w:r>
      <w:r>
        <w:rPr>
          <w:rtl/>
        </w:rPr>
        <w:t xml:space="preserve">אֶלָּא בְּאָת בּ', בְּגִין דְּאִיהוּ </w:t>
      </w:r>
      <w:r>
        <w:rPr>
          <w:rStyle w:val="a7"/>
          <w:rtl/>
        </w:rPr>
        <w:footnoteReference w:id="858"/>
      </w:r>
      <w:r>
        <w:rPr>
          <w:rtl/>
        </w:rPr>
        <w:t xml:space="preserve">בִּנְיַן אָב, </w:t>
      </w:r>
      <w:r>
        <w:rPr>
          <w:rStyle w:val="a7"/>
          <w:rtl/>
        </w:rPr>
        <w:footnoteReference w:id="859"/>
      </w:r>
      <w:r>
        <w:rPr>
          <w:rtl/>
        </w:rPr>
        <w:t xml:space="preserve">בִּנְיָינָא דְעָלְמָא, וּבָהּ שָׁארֵי לְמִתְחַל, בְּגִין דְּבָהּ עָתִיד לְמִבְנֵי יְרוּשָׁלַם, כְּמָה דְאַתְּ אָמַר </w:t>
      </w:r>
      <w:r>
        <w:rPr>
          <w:sz w:val="20"/>
          <w:szCs w:val="23"/>
          <w:rtl/>
        </w:rPr>
        <w:t>(תהלים קמז ב)</w:t>
      </w:r>
      <w:r>
        <w:rPr>
          <w:rtl/>
        </w:rPr>
        <w:t xml:space="preserve"> בּוֹנֵה יְרוּשָׁלַם יהו''ה, </w:t>
      </w:r>
      <w:r>
        <w:rPr>
          <w:rStyle w:val="a7"/>
          <w:rtl/>
        </w:rPr>
        <w:footnoteReference w:id="860"/>
      </w:r>
      <w:r>
        <w:rPr>
          <w:rtl/>
        </w:rPr>
        <w:t xml:space="preserve">דְאִם יהו''ה לֹא יִבְנֶה בַיִת שָׁוְא עָמְלוּ בוֹנָיו בּוֹ </w:t>
      </w:r>
      <w:r>
        <w:rPr>
          <w:sz w:val="20"/>
          <w:szCs w:val="23"/>
          <w:rtl/>
        </w:rPr>
        <w:t>(שם קכז א)</w:t>
      </w:r>
      <w:r>
        <w:rPr>
          <w:rtl/>
        </w:rPr>
        <w:t xml:space="preserve">, וּבִנְיָינָא דְאוֹרַיְיתָא וּדְעָלְמָא בְּאָת ב' עֲתִידָה לְמִבְנֵי, וַעֲלָהּ קַיְימָא עָלְמָא, וּבְהַהוּא זִמְנָא דְאִתְבְּנִיאַת כְּאִלּוּ בְהַהוּא זִמְנָא יִתְבְּרֵי עָלְמָא וְיִתְבְּנֵי, </w:t>
      </w:r>
      <w:r>
        <w:rPr>
          <w:rStyle w:val="a7"/>
          <w:rtl/>
        </w:rPr>
        <w:footnoteReference w:id="861"/>
      </w:r>
      <w:r>
        <w:rPr>
          <w:rtl/>
        </w:rPr>
        <w:t xml:space="preserve">וְדָא בְּרֵאשִׁית בָּרָא אֱלֹהִי''ם, אֲבָל כַּד חָרַב בַּיִת רִאשׁוֹן כְּאִלּוּ הֲוָה עָלְמָא תֹהוּ וָבֹהוּ, וְדָא אִיהוּ וְהָאָרֶץ הָיְתָה תֹהוּ מִיָּד דְּאִתְבְּנִיאַת וַיֹּאמֶר אֱלֹהִי''ם יְהִי אוֹר, בְּגִין דְּכָל אַתְוָון נְהִירִין בָּהּ, </w:t>
      </w:r>
      <w:r>
        <w:rPr>
          <w:rStyle w:val="a7"/>
          <w:rtl/>
        </w:rPr>
        <w:footnoteReference w:id="862"/>
      </w:r>
      <w:r>
        <w:rPr>
          <w:rtl/>
        </w:rPr>
        <w:t xml:space="preserve">וְאַף עַל גַּב דְּאוֹר הוּא א, </w:t>
      </w:r>
      <w:r>
        <w:rPr>
          <w:rStyle w:val="a7"/>
          <w:rtl/>
        </w:rPr>
        <w:footnoteReference w:id="863"/>
      </w:r>
      <w:r>
        <w:rPr>
          <w:rtl/>
        </w:rPr>
        <w:t>אוֹר דִּילֵיהּ דְּנַהֲרָא בָהּ ב בְּחָמֵשׁ נְהוֹרִין דְּאִינוּן ה' עִלָּאָה דִשְׁמָא קַדִּישָׁא.</w:t>
      </w:r>
    </w:p>
    <w:p w:rsidR="00D45634" w:rsidRDefault="00D45634" w:rsidP="00B17EA9">
      <w:pPr>
        <w:pStyle w:val="NormalWeb"/>
        <w:rPr>
          <w:rtl/>
        </w:rPr>
      </w:pPr>
      <w:r>
        <w:rPr>
          <w:rStyle w:val="a7"/>
          <w:rtl/>
        </w:rPr>
        <w:footnoteReference w:id="864"/>
      </w:r>
      <w:r>
        <w:rPr>
          <w:rtl/>
        </w:rPr>
        <w:t xml:space="preserve">ג עַמּוּדָא </w:t>
      </w:r>
      <w:r>
        <w:rPr>
          <w:rStyle w:val="a7"/>
          <w:rtl/>
        </w:rPr>
        <w:footnoteReference w:id="865"/>
      </w:r>
      <w:r>
        <w:rPr>
          <w:rtl/>
        </w:rPr>
        <w:t xml:space="preserve">דִסְמִיךְ בֵּיתָא, </w:t>
      </w:r>
      <w:r>
        <w:rPr>
          <w:rStyle w:val="a7"/>
          <w:rtl/>
        </w:rPr>
        <w:footnoteReference w:id="866"/>
      </w:r>
      <w:r>
        <w:rPr>
          <w:rtl/>
        </w:rPr>
        <w:t xml:space="preserve">דְאִיהוּ גְמִילוּת חֲסָדִים טוֹבִים, </w:t>
      </w:r>
      <w:r>
        <w:rPr>
          <w:rStyle w:val="a7"/>
          <w:rtl/>
        </w:rPr>
        <w:footnoteReference w:id="867"/>
      </w:r>
      <w:r>
        <w:rPr>
          <w:rtl/>
        </w:rPr>
        <w:t xml:space="preserve">אִיהוּ סָמִיךְ לְד דְּאִיהוּ דַלֻּ''ת, וּבְאָן אֲתַר סָמִיךְ לָהּ </w:t>
      </w:r>
      <w:r>
        <w:rPr>
          <w:rStyle w:val="a7"/>
          <w:rtl/>
        </w:rPr>
        <w:footnoteReference w:id="868"/>
      </w:r>
      <w:r>
        <w:rPr>
          <w:rtl/>
        </w:rPr>
        <w:t xml:space="preserve">בְּגָלוּתָא, </w:t>
      </w:r>
      <w:r>
        <w:rPr>
          <w:rStyle w:val="a7"/>
          <w:rtl/>
        </w:rPr>
        <w:footnoteReference w:id="869"/>
      </w:r>
      <w:r>
        <w:rPr>
          <w:rtl/>
        </w:rPr>
        <w:t xml:space="preserve">א' סָמִיךְ וְנָהִיר לְב', ג' גָּמִיל חֶסֶד עִם ד', </w:t>
      </w:r>
      <w:r>
        <w:rPr>
          <w:rStyle w:val="a7"/>
          <w:rtl/>
        </w:rPr>
        <w:footnoteReference w:id="870"/>
      </w:r>
      <w:r>
        <w:rPr>
          <w:rtl/>
        </w:rPr>
        <w:t xml:space="preserve">וּבְמַאי, </w:t>
      </w:r>
      <w:r>
        <w:rPr>
          <w:rStyle w:val="a7"/>
          <w:rtl/>
        </w:rPr>
        <w:footnoteReference w:id="871"/>
      </w:r>
      <w:r>
        <w:rPr>
          <w:rtl/>
        </w:rPr>
        <w:t xml:space="preserve">ג' אִיהִי גַּלְגַּל, וּבָהּ כָּל אַתְוָון מִתְגַּלְגְּלִין </w:t>
      </w:r>
      <w:r>
        <w:rPr>
          <w:rStyle w:val="a7"/>
          <w:rtl/>
        </w:rPr>
        <w:footnoteReference w:id="872"/>
      </w:r>
      <w:r>
        <w:rPr>
          <w:rtl/>
        </w:rPr>
        <w:t xml:space="preserve">בְּכַמָּה גְלִילֵי דְּדַהֲבָא, הֲדָא הוּא דִכְתִיב </w:t>
      </w:r>
      <w:r>
        <w:rPr>
          <w:sz w:val="20"/>
          <w:szCs w:val="23"/>
          <w:rtl/>
        </w:rPr>
        <w:t>(שיר ה יד)</w:t>
      </w:r>
      <w:r>
        <w:rPr>
          <w:rtl/>
        </w:rPr>
        <w:t xml:space="preserve"> יָדָיו גְּלִילֵי זָהָב מְמֻלָּאִים בַּתַּרְשִׁישׁ, מַאי בַּתַּרְשִׁישׁ אֶלָּא </w:t>
      </w:r>
      <w:r>
        <w:rPr>
          <w:rStyle w:val="a7"/>
          <w:rtl/>
        </w:rPr>
        <w:footnoteReference w:id="873"/>
      </w:r>
      <w:r>
        <w:rPr>
          <w:rtl/>
        </w:rPr>
        <w:t xml:space="preserve">בִּתְרֵי שֵׁשׁ, וְאִינוּן בִּתְרֵין דְּרוֹעִין גְּדוּלָה גְבוּרָה, </w:t>
      </w:r>
      <w:r>
        <w:rPr>
          <w:rStyle w:val="a7"/>
          <w:rtl/>
        </w:rPr>
        <w:footnoteReference w:id="874"/>
      </w:r>
      <w:r>
        <w:rPr>
          <w:rtl/>
        </w:rPr>
        <w:t xml:space="preserve">דִבְהוֹן שָׁרִי אוֹרַיְיתָא בְּב', וּבְהוֹן שִׁית פִּרְקִין, דְּאִינוּן ו' אַתְוָון בְּרֵאשִׁית, </w:t>
      </w:r>
      <w:r>
        <w:rPr>
          <w:rStyle w:val="a7"/>
          <w:rtl/>
        </w:rPr>
        <w:footnoteReference w:id="875"/>
      </w:r>
      <w:r>
        <w:rPr>
          <w:rtl/>
        </w:rPr>
        <w:t xml:space="preserve">דִּכְלִילָן בְּעַמּוּדָא דְאֶמְצָעִיתָא דְאִיהוּ ו', וַעֲלֵיהּ אִתְּמַר </w:t>
      </w:r>
      <w:r>
        <w:rPr>
          <w:sz w:val="20"/>
          <w:szCs w:val="23"/>
          <w:rtl/>
        </w:rPr>
        <w:t>(דברים לג כא)</w:t>
      </w:r>
      <w:r>
        <w:rPr>
          <w:rtl/>
        </w:rPr>
        <w:t xml:space="preserve"> וַיַּרְא רֵאשִׁית לוֹ, לוֹ לְאָת ו', </w:t>
      </w:r>
      <w:r>
        <w:rPr>
          <w:rStyle w:val="a7"/>
          <w:rtl/>
        </w:rPr>
        <w:footnoteReference w:id="876"/>
      </w:r>
      <w:r>
        <w:rPr>
          <w:rtl/>
        </w:rPr>
        <w:t>כִּי שָׁם חֶלְקַת מְחוֹקֵק סָפוּן.</w:t>
      </w:r>
    </w:p>
    <w:p w:rsidR="00D45634" w:rsidRDefault="00D45634" w:rsidP="00B17EA9">
      <w:pPr>
        <w:pStyle w:val="NormalWeb"/>
        <w:rPr>
          <w:rtl/>
        </w:rPr>
      </w:pPr>
      <w:r>
        <w:rPr>
          <w:rStyle w:val="a7"/>
          <w:rtl/>
        </w:rPr>
        <w:lastRenderedPageBreak/>
        <w:footnoteReference w:id="877"/>
      </w:r>
      <w:r>
        <w:rPr>
          <w:rtl/>
        </w:rPr>
        <w:t xml:space="preserve">ד דֶּלֶת דְּבֵיתָא דִירוּשָׁלַם, </w:t>
      </w:r>
      <w:r>
        <w:rPr>
          <w:rStyle w:val="a7"/>
          <w:rtl/>
        </w:rPr>
        <w:footnoteReference w:id="878"/>
      </w:r>
      <w:r>
        <w:rPr>
          <w:rtl/>
        </w:rPr>
        <w:t xml:space="preserve">ו עַמּוּדָא דְסָמִיךְ לְדֶלֶת, וְאִיהִי דֶלֶת דִּתְרֵין תַּרְעִין, דְּאִתְּמַר בְּהוֹן </w:t>
      </w:r>
      <w:r>
        <w:rPr>
          <w:sz w:val="20"/>
          <w:szCs w:val="23"/>
          <w:rtl/>
        </w:rPr>
        <w:t>(תהלים קיח יט)</w:t>
      </w:r>
      <w:r>
        <w:rPr>
          <w:rtl/>
        </w:rPr>
        <w:t xml:space="preserve"> פִּתְחוּ לִי שַׁעֲרֵי צֶדֶק, וּבְגִין דָּא אִית לְדֶלֶ''ת תְּרֵין גַּגִּין, </w:t>
      </w:r>
      <w:r>
        <w:rPr>
          <w:rStyle w:val="a7"/>
          <w:rtl/>
        </w:rPr>
        <w:footnoteReference w:id="879"/>
      </w:r>
      <w:r>
        <w:rPr>
          <w:rtl/>
        </w:rPr>
        <w:t xml:space="preserve">וְאִינוּן תְּרֵין דְרוֹעִין, בְּלָא ו' דְּאִינוּן שִׁית פִּרְקִין, אִיהִי דֶלֶת וְדָא אִיהוּ </w:t>
      </w:r>
      <w:r>
        <w:rPr>
          <w:sz w:val="20"/>
          <w:szCs w:val="23"/>
          <w:rtl/>
        </w:rPr>
        <w:t>(שם קיג ו)</w:t>
      </w:r>
      <w:r>
        <w:rPr>
          <w:rtl/>
        </w:rPr>
        <w:t xml:space="preserve"> דַּלּוֹתִי וְלִי יְהוֹשִׁיעַ, </w:t>
      </w:r>
      <w:r>
        <w:rPr>
          <w:rStyle w:val="a7"/>
          <w:rtl/>
        </w:rPr>
        <w:footnoteReference w:id="880"/>
      </w:r>
      <w:r>
        <w:rPr>
          <w:rtl/>
        </w:rPr>
        <w:t xml:space="preserve">וְאָת ד' אִיהִי דְרוֹעָא דְאִית בֵּיהּ תְּרֵין אַמִּין, </w:t>
      </w:r>
      <w:r>
        <w:rPr>
          <w:rStyle w:val="a7"/>
          <w:rtl/>
        </w:rPr>
        <w:footnoteReference w:id="881"/>
      </w:r>
      <w:r>
        <w:rPr>
          <w:rtl/>
        </w:rPr>
        <w:t xml:space="preserve">ה שְׁלִימוּ דִתְרֵין דְּרוֹעִין וְגוּפָא דְאִיהִי כְלָלָא דִתְלַת אֲבָהָן, </w:t>
      </w:r>
      <w:r>
        <w:rPr>
          <w:rStyle w:val="a7"/>
          <w:rtl/>
        </w:rPr>
        <w:footnoteReference w:id="882"/>
      </w:r>
      <w:r>
        <w:rPr>
          <w:rtl/>
        </w:rPr>
        <w:t xml:space="preserve">ו' יִחוּדָא </w:t>
      </w:r>
      <w:r>
        <w:rPr>
          <w:rStyle w:val="a7"/>
          <w:rtl/>
        </w:rPr>
        <w:footnoteReference w:id="883"/>
      </w:r>
      <w:r>
        <w:rPr>
          <w:rtl/>
        </w:rPr>
        <w:t>שְׁלִימוּ דְּאָת ד' דְּאִיהִי סִיהֲרָא.</w:t>
      </w:r>
    </w:p>
    <w:p w:rsidR="00D45634" w:rsidRDefault="00D45634" w:rsidP="00B17EA9">
      <w:pPr>
        <w:pStyle w:val="NormalWeb"/>
        <w:rPr>
          <w:rtl/>
        </w:rPr>
      </w:pPr>
      <w:r>
        <w:rPr>
          <w:rStyle w:val="a7"/>
          <w:rtl/>
        </w:rPr>
        <w:footnoteReference w:id="884"/>
      </w:r>
      <w:r>
        <w:rPr>
          <w:rtl/>
        </w:rPr>
        <w:t xml:space="preserve">כַּד נָהִיר בָּהּ אִתְּמַר בָּהּ </w:t>
      </w:r>
      <w:r>
        <w:rPr>
          <w:sz w:val="20"/>
          <w:szCs w:val="23"/>
          <w:rtl/>
        </w:rPr>
        <w:t>(ישעיהו ל כו)</w:t>
      </w:r>
      <w:r>
        <w:rPr>
          <w:rtl/>
        </w:rPr>
        <w:t xml:space="preserve"> וְהָיָה אוֹר הַלְּבָנָה כְּאוֹר הַחַמָּה, וְאוֹר הַחַמָּה יִהְיֶה </w:t>
      </w:r>
      <w:r>
        <w:rPr>
          <w:rStyle w:val="a7"/>
          <w:rtl/>
        </w:rPr>
        <w:footnoteReference w:id="885"/>
      </w:r>
      <w:r>
        <w:rPr>
          <w:rtl/>
        </w:rPr>
        <w:t xml:space="preserve">שִׁבְעָתַיִם כְּאוֹר שִׁבְעַת הַיָּמִים, </w:t>
      </w:r>
      <w:r>
        <w:rPr>
          <w:rStyle w:val="a7"/>
          <w:rtl/>
        </w:rPr>
        <w:footnoteReference w:id="886"/>
      </w:r>
      <w:r>
        <w:rPr>
          <w:rtl/>
        </w:rPr>
        <w:t xml:space="preserve">וְדָא שְׁלִימוּ דְּחַמָּה וְסִיהֲרָא דְאִינוּן ה''ה, בְּגִין דְּאִיהוּ ז' כְּלִיל י''ו, </w:t>
      </w:r>
      <w:r>
        <w:rPr>
          <w:rStyle w:val="a7"/>
          <w:rtl/>
        </w:rPr>
        <w:footnoteReference w:id="887"/>
      </w:r>
      <w:r>
        <w:rPr>
          <w:rtl/>
        </w:rPr>
        <w:t xml:space="preserve">וּבְגִין דָּא אִיהוּ זָכוֹר וְשָׁמוֹר, </w:t>
      </w:r>
      <w:r>
        <w:rPr>
          <w:rStyle w:val="a7"/>
          <w:rtl/>
        </w:rPr>
        <w:footnoteReference w:id="888"/>
      </w:r>
      <w:r>
        <w:rPr>
          <w:rtl/>
        </w:rPr>
        <w:t>זָכוֹר מִסִּטְרָא דְה' עִלָּאָה, שָׁמוֹר מִסִּטְרָא דְה' תַּתָּאָה.</w:t>
      </w:r>
    </w:p>
    <w:p w:rsidR="00D45634" w:rsidRDefault="00D45634" w:rsidP="00B17EA9">
      <w:pPr>
        <w:pStyle w:val="aa"/>
        <w:rPr>
          <w:rtl/>
        </w:rPr>
      </w:pPr>
      <w:bookmarkStart w:id="54" w:name="_Toc228095590"/>
      <w:bookmarkStart w:id="55" w:name="_Toc231638028"/>
      <w:r>
        <w:rPr>
          <w:rtl/>
        </w:rPr>
        <w:t>[תיקוני זוהר - דף עה ע''ב]</w:t>
      </w:r>
      <w:bookmarkEnd w:id="54"/>
      <w:bookmarkEnd w:id="55"/>
    </w:p>
    <w:p w:rsidR="00D45634" w:rsidRDefault="00D45634" w:rsidP="00B17EA9">
      <w:pPr>
        <w:pStyle w:val="NormalWeb"/>
        <w:rPr>
          <w:rtl/>
        </w:rPr>
      </w:pPr>
      <w:r>
        <w:rPr>
          <w:rStyle w:val="a7"/>
          <w:rtl/>
        </w:rPr>
        <w:footnoteReference w:id="889"/>
      </w:r>
      <w:r>
        <w:rPr>
          <w:rtl/>
        </w:rPr>
        <w:t xml:space="preserve">ח אִית לָהּ תְּלַת גַּגִּין, </w:t>
      </w:r>
      <w:r>
        <w:rPr>
          <w:rStyle w:val="a7"/>
          <w:rtl/>
        </w:rPr>
        <w:footnoteReference w:id="890"/>
      </w:r>
      <w:r>
        <w:rPr>
          <w:rtl/>
        </w:rPr>
        <w:t xml:space="preserve">וְאִינוּן ו' ו' ו' דִּכְלִילָן בְּחַ''י עָלְמִין, </w:t>
      </w:r>
      <w:r>
        <w:rPr>
          <w:rStyle w:val="a7"/>
          <w:rtl/>
        </w:rPr>
        <w:footnoteReference w:id="891"/>
      </w:r>
      <w:r>
        <w:rPr>
          <w:rtl/>
        </w:rPr>
        <w:t xml:space="preserve">ח' אִיהִי מְפַשַּׁר חֶלְמִין טָבִין </w:t>
      </w:r>
      <w:r>
        <w:rPr>
          <w:rStyle w:val="a7"/>
          <w:rtl/>
        </w:rPr>
        <w:footnoteReference w:id="892"/>
      </w:r>
      <w:r>
        <w:rPr>
          <w:rtl/>
        </w:rPr>
        <w:t xml:space="preserve">בְּט', וְהָא אוּקְמוּהוּ חֶלְמָא טָבָא מִסִּטְרָא דְאָת ט', </w:t>
      </w:r>
      <w:r>
        <w:rPr>
          <w:rStyle w:val="a7"/>
          <w:rtl/>
        </w:rPr>
        <w:footnoteReference w:id="893"/>
      </w:r>
      <w:r>
        <w:rPr>
          <w:rtl/>
        </w:rPr>
        <w:t xml:space="preserve">דְּאִיהִי סְחוֹר לָהּ, כַּמָּה דְאוּקְמוּהוּ חֶלְמָא טָבָא חֲזֵיתָ, וַדַּאי מִתַּמָּן קָא אַתְיָא, </w:t>
      </w:r>
      <w:r>
        <w:rPr>
          <w:rStyle w:val="a7"/>
          <w:rtl/>
        </w:rPr>
        <w:footnoteReference w:id="894"/>
      </w:r>
      <w:r>
        <w:rPr>
          <w:rtl/>
        </w:rPr>
        <w:t xml:space="preserve">בְּגִין דְּאָת ט' אִיהִי סְפִירָה תְּשִׁיעָאָה מֵעִילָא לְתַתָּא, </w:t>
      </w:r>
      <w:r>
        <w:rPr>
          <w:rStyle w:val="a7"/>
          <w:rtl/>
        </w:rPr>
        <w:footnoteReference w:id="895"/>
      </w:r>
      <w:r>
        <w:rPr>
          <w:rtl/>
        </w:rPr>
        <w:t xml:space="preserve">ח' סְפִירָה תְּמִינָאָה מִסִּטְרָא דְאָת א', י' סְפִירָה עֲשִׂירָאָה, </w:t>
      </w:r>
      <w:r>
        <w:rPr>
          <w:rStyle w:val="a7"/>
          <w:rtl/>
        </w:rPr>
        <w:footnoteReference w:id="896"/>
      </w:r>
      <w:r>
        <w:rPr>
          <w:rtl/>
        </w:rPr>
        <w:t xml:space="preserve">עֲשִׂירִית הָאֵיפָה, </w:t>
      </w:r>
      <w:r>
        <w:rPr>
          <w:rStyle w:val="a7"/>
          <w:rtl/>
        </w:rPr>
        <w:footnoteReference w:id="897"/>
      </w:r>
      <w:r>
        <w:rPr>
          <w:rtl/>
        </w:rPr>
        <w:t xml:space="preserve">כַּד נָחִית ח' לְגַבָּהּ אִתְעֲבִידַת חַ''י, וְאָת י' כַּד סָלְקָא בְּכ' אִתְקְרִיאַת כֶּתֶר עִלָּאָה, וַעֲלֵיהּ אִתְּמַר כֶּתֶר יִתְּנוּ לְךָ, יהו''ה אלהינ''ו אַבָּא וְאִימָּא, מַלְאָכִים הֲמוֹנֵי מַעְלָה אִלֵּין נִשְׁמָתִין דְּאִינוּן מַלְאָכִים מִסִּטְרָא דְמַלְכוּת, יַחַד כֻּלָּם קְדוּשָׁה </w:t>
      </w:r>
      <w:r>
        <w:rPr>
          <w:rStyle w:val="a7"/>
          <w:rtl/>
        </w:rPr>
        <w:footnoteReference w:id="898"/>
      </w:r>
      <w:r>
        <w:rPr>
          <w:rtl/>
        </w:rPr>
        <w:t xml:space="preserve">לְךָ יְשַׁלֵּשׁוּ, קְדוּשָׁה וַדַּאי אִיהִי שְׁכִינְתָּא, לְךָ יְשַׁלֵּשׁוּ אִינוּן תְּלַת אֲבָהָן דְּאִינוּן קָדוֹשׁ קָדוֹשׁ קָדוֹשׁ, יהו''ה צְבָאוֹת מַאי צְבָאוֹת אִלֵּין תְּרֵין נְבִיאֵי קְשׁוֹט, מְלֹא כָל דָּא צַדִּיק, הָאָרֶץ כְּבוֹדוֹ דָּא שְׁכִינְתָּא דְּאִיהִי </w:t>
      </w:r>
      <w:r>
        <w:rPr>
          <w:rtl/>
        </w:rPr>
        <w:lastRenderedPageBreak/>
        <w:t xml:space="preserve">קְדוּשָׁה, דַּעֲלָהּ אִתְּמַר אֵין קְדוּשָׁה פָּחוּת מֵעֲשָׂרָה, וְדָא אִיהוּ </w:t>
      </w:r>
      <w:r>
        <w:rPr>
          <w:rStyle w:val="a7"/>
          <w:rtl/>
        </w:rPr>
        <w:footnoteReference w:id="899"/>
      </w:r>
      <w:r>
        <w:rPr>
          <w:rtl/>
        </w:rPr>
        <w:t xml:space="preserve">כ' כֶּתֶר. </w:t>
      </w:r>
      <w:r>
        <w:rPr>
          <w:rStyle w:val="a7"/>
          <w:rtl/>
        </w:rPr>
        <w:footnoteReference w:id="900"/>
      </w:r>
      <w:r>
        <w:rPr>
          <w:rtl/>
        </w:rPr>
        <w:t xml:space="preserve">ל, וַיַּחֲלוֹם וְהִנֵּה סֻלָּם מֻצָּב אַרְצָה </w:t>
      </w:r>
      <w:r>
        <w:rPr>
          <w:sz w:val="20"/>
          <w:szCs w:val="23"/>
          <w:rtl/>
        </w:rPr>
        <w:t>(בראשית כח יב)</w:t>
      </w:r>
      <w:r>
        <w:rPr>
          <w:rtl/>
        </w:rPr>
        <w:t xml:space="preserve">. דָא שְׁכִינְתָּא תַּתָּאָה, </w:t>
      </w:r>
      <w:r>
        <w:rPr>
          <w:sz w:val="20"/>
          <w:szCs w:val="23"/>
          <w:rtl/>
        </w:rPr>
        <w:t xml:space="preserve">(דף עה ע''ב) </w:t>
      </w:r>
      <w:r>
        <w:rPr>
          <w:rtl/>
        </w:rPr>
        <w:t xml:space="preserve">וְרֹאשׁוֹ מַגִּיעַ הַשָּׁמָיְמָה דָא שְׁכִינְתָּא עִלָּאָה, </w:t>
      </w:r>
      <w:r>
        <w:rPr>
          <w:rStyle w:val="a7"/>
          <w:rtl/>
        </w:rPr>
        <w:footnoteReference w:id="901"/>
      </w:r>
      <w:r>
        <w:rPr>
          <w:rtl/>
        </w:rPr>
        <w:t xml:space="preserve">וְהִנֵּה מַלְאֲכֵי אֱלֹהִי''ם דָּא מ', עוֹלִים בְּל' וְיוֹרְדִים בְּנ', דְּאִתְּמַר בָּהּ </w:t>
      </w:r>
      <w:r>
        <w:rPr>
          <w:sz w:val="20"/>
          <w:szCs w:val="23"/>
          <w:rtl/>
        </w:rPr>
        <w:t>(ישעיה יד יב)</w:t>
      </w:r>
      <w:r>
        <w:rPr>
          <w:rtl/>
        </w:rPr>
        <w:t xml:space="preserve"> אֵיךְ </w:t>
      </w:r>
      <w:r>
        <w:rPr>
          <w:rStyle w:val="a7"/>
          <w:rtl/>
        </w:rPr>
        <w:footnoteReference w:id="902"/>
      </w:r>
      <w:r>
        <w:rPr>
          <w:rtl/>
        </w:rPr>
        <w:t xml:space="preserve">נָפַלְתָּ </w:t>
      </w:r>
      <w:r>
        <w:rPr>
          <w:rStyle w:val="a7"/>
          <w:rtl/>
        </w:rPr>
        <w:footnoteReference w:id="903"/>
      </w:r>
      <w:r>
        <w:rPr>
          <w:rtl/>
        </w:rPr>
        <w:t>מִשָּׁמַיִם הֵלֵל בֶּן שָׁחַר, אִתְּמַר בֵּיהּ וְיוֹרְדִים בּוֹ.</w:t>
      </w:r>
    </w:p>
    <w:p w:rsidR="00D45634" w:rsidRDefault="00D45634" w:rsidP="00B17EA9">
      <w:pPr>
        <w:pStyle w:val="NormalWeb"/>
        <w:rPr>
          <w:rtl/>
        </w:rPr>
      </w:pPr>
      <w:r>
        <w:rPr>
          <w:rStyle w:val="a7"/>
          <w:rtl/>
        </w:rPr>
        <w:footnoteReference w:id="904"/>
      </w:r>
      <w:r>
        <w:rPr>
          <w:rtl/>
        </w:rPr>
        <w:t xml:space="preserve">אֲבָל בְּס', בָּהּ סָלְקִין, בְּגִין דְּאִיהִי סיני, אִיהִי סֻ''לָּם לְסַלְקָא בְּל', </w:t>
      </w:r>
      <w:r>
        <w:rPr>
          <w:rStyle w:val="a7"/>
          <w:rtl/>
        </w:rPr>
        <w:footnoteReference w:id="905"/>
      </w:r>
      <w:r>
        <w:rPr>
          <w:rtl/>
        </w:rPr>
        <w:t xml:space="preserve">ע בָּהּ מִסְתַּכֵּל וּבֵיהּ מְצַפֶּה, וְרָזָא דְמִלָּה וְכָל עַיִן לְךָ תְצַפֶּה, </w:t>
      </w:r>
      <w:r>
        <w:rPr>
          <w:rStyle w:val="a7"/>
          <w:rtl/>
        </w:rPr>
        <w:footnoteReference w:id="906"/>
      </w:r>
      <w:r>
        <w:rPr>
          <w:rtl/>
        </w:rPr>
        <w:t xml:space="preserve">פ, בָּהּ כָּל לָשׁוֹן לְךָ תְשַׁבֵּחַ, בְּזִמְנָא דְסָלִיק לְאַתְרֵיהּ, וְכִי כְעַן לָא מְשַׁבְּחִין לֵיהּ כָּל לָשׁוֹן, לָא, עַד דְּיִתְקַיֵּים קְרָא </w:t>
      </w:r>
      <w:r>
        <w:rPr>
          <w:sz w:val="20"/>
          <w:szCs w:val="23"/>
          <w:rtl/>
        </w:rPr>
        <w:t>(זכריה יד ט)</w:t>
      </w:r>
      <w:r>
        <w:rPr>
          <w:rtl/>
        </w:rPr>
        <w:t xml:space="preserve"> וְהָיָה יהו''ה לְמֶלֶךְ, </w:t>
      </w:r>
      <w:r>
        <w:rPr>
          <w:rStyle w:val="a7"/>
          <w:rtl/>
        </w:rPr>
        <w:footnoteReference w:id="907"/>
      </w:r>
      <w:r>
        <w:rPr>
          <w:rtl/>
        </w:rPr>
        <w:t>לְמֶלֶךְ וַדַּאי בְּאָת ל', וּבְהַהוּא זִמְנָא יִתְקַיַּים כָּל פֶּה וְכָל לָשׁוֹן יִתְּנוּ הָדָר לְמַלְכוּתָךְ.</w:t>
      </w:r>
    </w:p>
    <w:p w:rsidR="00D45634" w:rsidRDefault="00D45634" w:rsidP="00B17EA9">
      <w:pPr>
        <w:pStyle w:val="NormalWeb"/>
        <w:rPr>
          <w:rtl/>
        </w:rPr>
      </w:pPr>
      <w:r>
        <w:rPr>
          <w:rtl/>
        </w:rPr>
        <w:t xml:space="preserve">צ בְּהַהוּא זִמְנָא אִתְּמַר בָּהּ </w:t>
      </w:r>
      <w:r>
        <w:rPr>
          <w:sz w:val="20"/>
          <w:szCs w:val="23"/>
          <w:rtl/>
        </w:rPr>
        <w:t>(משלי יד לד)</w:t>
      </w:r>
      <w:r>
        <w:rPr>
          <w:rtl/>
        </w:rPr>
        <w:t xml:space="preserve"> צְדָקָה תְּרוֹמֵם גּוֹי, וְלֵית צְדָקָה אֶלָּא צְלוֹתָא הָא אוּקְמוּהוּ, וְאִיהִי אִימָּא עִלָּאָה דְנָחֲתָא לְגַבֵּי צֶדֶק וְאִתְעֲבִידַת צְדָקָה, וְאִתְכְּלִיל י''ה בְּתַרְוַיְהוּ בְצַדִּיק וּצְדָקָה, </w:t>
      </w:r>
      <w:r>
        <w:rPr>
          <w:rStyle w:val="a7"/>
          <w:rtl/>
        </w:rPr>
        <w:footnoteReference w:id="908"/>
      </w:r>
      <w:r>
        <w:rPr>
          <w:rtl/>
        </w:rPr>
        <w:t>ק בְּהַהוּא זִמְנָא יְסַלְקוּן לֵיהּ קָלִין דִּצְלוֹתִין קָלִין דְּאוֹרַיְיתָא, וּבְהַהוּא זִמְנָא יְהֵא הַקּוֹל קוֹל יַעֲקֹב.</w:t>
      </w:r>
    </w:p>
    <w:p w:rsidR="00D45634" w:rsidRDefault="00D45634" w:rsidP="00B17EA9">
      <w:pPr>
        <w:pStyle w:val="NormalWeb"/>
        <w:rPr>
          <w:rtl/>
        </w:rPr>
      </w:pPr>
      <w:r>
        <w:rPr>
          <w:rStyle w:val="a7"/>
          <w:rtl/>
        </w:rPr>
        <w:footnoteReference w:id="909"/>
      </w:r>
      <w:r>
        <w:rPr>
          <w:rtl/>
        </w:rPr>
        <w:t xml:space="preserve">ר רִאשׁוֹן לְצִיּוֹן הִנֵּה הִנָּם וְלִירוּשָׁלַם מְבַשֵּׂר אֶתֵּן </w:t>
      </w:r>
      <w:r>
        <w:rPr>
          <w:sz w:val="20"/>
          <w:szCs w:val="23"/>
          <w:rtl/>
        </w:rPr>
        <w:t>(ישעיה מא כז)</w:t>
      </w:r>
      <w:r>
        <w:rPr>
          <w:rtl/>
        </w:rPr>
        <w:t xml:space="preserve">. </w:t>
      </w:r>
      <w:r>
        <w:rPr>
          <w:rStyle w:val="a7"/>
          <w:rtl/>
        </w:rPr>
        <w:footnoteReference w:id="910"/>
      </w:r>
      <w:r>
        <w:rPr>
          <w:rtl/>
        </w:rPr>
        <w:t xml:space="preserve">ש בָּהּ שָׁלוֹם שָׁלוֹם לָרָחוֹק וְלַקָּרוֹב אָמַר יהו''ה וּרְפָאתִיו </w:t>
      </w:r>
      <w:r>
        <w:rPr>
          <w:sz w:val="20"/>
          <w:szCs w:val="23"/>
          <w:rtl/>
        </w:rPr>
        <w:t>(שם נז יט)</w:t>
      </w:r>
      <w:r>
        <w:rPr>
          <w:rtl/>
        </w:rPr>
        <w:t xml:space="preserve">, לָרָחוֹק שֶׁנִּתְקַרַב, דְּקָרוֹב קָרוֹב </w:t>
      </w:r>
      <w:r>
        <w:rPr>
          <w:sz w:val="20"/>
          <w:szCs w:val="23"/>
          <w:rtl/>
        </w:rPr>
        <w:t>(נ''א דרחוק רחוק)</w:t>
      </w:r>
      <w:r>
        <w:rPr>
          <w:szCs w:val="23"/>
          <w:rtl/>
        </w:rPr>
        <w:t xml:space="preserve"> </w:t>
      </w:r>
      <w:r>
        <w:rPr>
          <w:rStyle w:val="Char"/>
          <w:rtl/>
        </w:rPr>
        <w:t xml:space="preserve">הֲוָה. </w:t>
      </w:r>
      <w:r>
        <w:rPr>
          <w:rStyle w:val="a7"/>
          <w:rtl/>
        </w:rPr>
        <w:footnoteReference w:id="911"/>
      </w:r>
      <w:r>
        <w:rPr>
          <w:rStyle w:val="Char"/>
          <w:rtl/>
        </w:rPr>
        <w:t>ת בָּהּ</w:t>
      </w:r>
      <w:r>
        <w:rPr>
          <w:szCs w:val="23"/>
          <w:rtl/>
        </w:rPr>
        <w:t xml:space="preserve"> </w:t>
      </w:r>
      <w:r>
        <w:rPr>
          <w:sz w:val="20"/>
          <w:szCs w:val="23"/>
          <w:rtl/>
        </w:rPr>
        <w:t>(איכה ד כב)</w:t>
      </w:r>
      <w:r>
        <w:rPr>
          <w:rtl/>
        </w:rPr>
        <w:t xml:space="preserve"> תַּם עֲוֹנֵךְ בַּת צִיּוֹן, לֹא יוֹסִיף לְהַגְלוֹתֵךְ:</w:t>
      </w:r>
    </w:p>
    <w:p w:rsidR="00D45634" w:rsidRDefault="00D45634" w:rsidP="00B17EA9">
      <w:pPr>
        <w:pStyle w:val="NormalWeb"/>
        <w:rPr>
          <w:rtl/>
        </w:rPr>
      </w:pPr>
    </w:p>
    <w:p w:rsidR="00D45634" w:rsidRDefault="00D45634" w:rsidP="00E26B77">
      <w:pPr>
        <w:pStyle w:val="1"/>
        <w:rPr>
          <w:sz w:val="39"/>
          <w:szCs w:val="39"/>
          <w:rtl/>
        </w:rPr>
      </w:pPr>
      <w:bookmarkStart w:id="56" w:name="_Toc228091279"/>
      <w:bookmarkStart w:id="57" w:name="_Toc231637918"/>
      <w:r>
        <w:rPr>
          <w:rtl/>
        </w:rPr>
        <w:t>הקדמה אחרת לתקוני הזהר</w:t>
      </w:r>
      <w:bookmarkEnd w:id="56"/>
      <w:bookmarkEnd w:id="57"/>
    </w:p>
    <w:p w:rsidR="00D45634" w:rsidRDefault="00D45634" w:rsidP="00B17EA9">
      <w:pPr>
        <w:pStyle w:val="aa"/>
        <w:rPr>
          <w:rtl/>
        </w:rPr>
      </w:pPr>
      <w:bookmarkStart w:id="58" w:name="_Toc228095591"/>
      <w:bookmarkStart w:id="59" w:name="_Toc231638029"/>
      <w:r>
        <w:rPr>
          <w:rtl/>
        </w:rPr>
        <w:t>[תיקוני זוהר - דף יג ע''א]</w:t>
      </w:r>
      <w:bookmarkEnd w:id="58"/>
      <w:bookmarkEnd w:id="59"/>
    </w:p>
    <w:p w:rsidR="00D45634" w:rsidRDefault="00D45634" w:rsidP="00B17EA9">
      <w:pPr>
        <w:pStyle w:val="NormalWeb"/>
        <w:rPr>
          <w:rtl/>
        </w:rPr>
      </w:pPr>
      <w:r>
        <w:rPr>
          <w:sz w:val="20"/>
          <w:szCs w:val="23"/>
          <w:rtl/>
        </w:rPr>
        <w:t xml:space="preserve">(דף יג ע''א) </w:t>
      </w:r>
      <w:r>
        <w:rPr>
          <w:rtl/>
        </w:rPr>
        <w:t xml:space="preserve">בְּרֵאשִׁית בָּרָא אֱלֹהִי''ם וְגוֹמֵר, כְּתִיב </w:t>
      </w:r>
      <w:r>
        <w:rPr>
          <w:sz w:val="20"/>
          <w:szCs w:val="23"/>
          <w:rtl/>
        </w:rPr>
        <w:t>(דניאל יב ג)</w:t>
      </w:r>
      <w:r>
        <w:rPr>
          <w:rtl/>
        </w:rPr>
        <w:t xml:space="preserve"> הַמַּשְׂכִּילִים יַזְהִירוּ כְּזֹהַר הָרָקִיעַ וְגוֹמֵר, אִלֵּין אִינוּן רַבִּי שִׁמְעוֹן בֶּן יוֹחָאִי </w:t>
      </w:r>
      <w:r>
        <w:rPr>
          <w:rStyle w:val="a7"/>
          <w:rtl/>
        </w:rPr>
        <w:footnoteReference w:id="912"/>
      </w:r>
      <w:r>
        <w:rPr>
          <w:rtl/>
        </w:rPr>
        <w:t xml:space="preserve">וַחֲבֵרָיו, רַבִּי אֶלְעָזָר בְּרֵיהּ, וְרַבִּי אַבָּא, וְרַבִּי יוֹסֵי, וְרַבִּי חִיָּיא, וְרַבִּי יִצְחָק, וּשְׁאָר חַבְרַיָּא, דְאִזְדַּהֲרוּ זְהִירוּ לְעִילָא כְּזֹהַר הָרָקִיעַ, </w:t>
      </w:r>
      <w:r>
        <w:rPr>
          <w:rStyle w:val="a7"/>
          <w:rtl/>
        </w:rPr>
        <w:footnoteReference w:id="913"/>
      </w:r>
      <w:r>
        <w:rPr>
          <w:rtl/>
        </w:rPr>
        <w:t xml:space="preserve">מַאי כְּזֹהַר, אֶלָּא כַּד עָבְדוּ הַאי חִבּוּרָא, אִסְתַּכְּמוּ עֲלֵיהּ לְעִילָא, וְקָרְאוּ לֵיהּ סֵפֶר הַזֹּהַר, </w:t>
      </w:r>
      <w:r>
        <w:rPr>
          <w:rStyle w:val="a7"/>
          <w:rtl/>
        </w:rPr>
        <w:footnoteReference w:id="914"/>
      </w:r>
      <w:r>
        <w:rPr>
          <w:rtl/>
        </w:rPr>
        <w:t xml:space="preserve">וּמַצְדִּיקֵי הָרַבִּים בֵּיהּ </w:t>
      </w:r>
      <w:r>
        <w:rPr>
          <w:rStyle w:val="a7"/>
          <w:rtl/>
        </w:rPr>
        <w:footnoteReference w:id="915"/>
      </w:r>
      <w:r>
        <w:rPr>
          <w:rtl/>
        </w:rPr>
        <w:t xml:space="preserve">יְהוֹן נְפִישִׁין כַּכֹּכָבִים </w:t>
      </w:r>
      <w:r>
        <w:rPr>
          <w:rStyle w:val="a7"/>
          <w:rtl/>
        </w:rPr>
        <w:footnoteReference w:id="916"/>
      </w:r>
      <w:r>
        <w:rPr>
          <w:rtl/>
        </w:rPr>
        <w:t xml:space="preserve">לְעוֹלָם וָעֶד, דְּלָא אִתְחֲשִׁיךְ נְהוֹרָא דִלְהוֹן </w:t>
      </w:r>
      <w:r>
        <w:rPr>
          <w:rStyle w:val="a7"/>
          <w:rtl/>
        </w:rPr>
        <w:lastRenderedPageBreak/>
        <w:footnoteReference w:id="917"/>
      </w:r>
      <w:r>
        <w:rPr>
          <w:rtl/>
        </w:rPr>
        <w:t xml:space="preserve">לְעָלַם וּלְעָלְמֵי עָלְמִין, בְּהַהוּא זִמְנָא דְאִתְחַבַּר הַאי חִבּוּרָא, רְשׁוּתָא אִתְיְהִיב לְאֵלִיָּהוּ לְאַסְכָּמָא עִמְּהוֹן בֵּיהּ, וּלְכָל </w:t>
      </w:r>
      <w:r>
        <w:rPr>
          <w:rStyle w:val="a7"/>
          <w:rtl/>
        </w:rPr>
        <w:footnoteReference w:id="918"/>
      </w:r>
      <w:r>
        <w:rPr>
          <w:rtl/>
        </w:rPr>
        <w:t>מָארֵי מְתִיבְתָּא דִלְעִילָא וְתַתָּא, וְכָל חֲיָילִין דְּמַלְאָכִין עִלָּאִין, וְנִשְׁמָתִין עִלָּאִין, לְמֶהֱוִי עִמְּהוֹן בְּאַסְכָּמוּתָא וּרְעוּתָא כַּחֲדָא.</w:t>
      </w:r>
    </w:p>
    <w:p w:rsidR="00D45634" w:rsidRDefault="00D45634" w:rsidP="00B17EA9">
      <w:pPr>
        <w:pStyle w:val="NormalWeb"/>
        <w:rPr>
          <w:rtl/>
        </w:rPr>
      </w:pPr>
      <w:r>
        <w:rPr>
          <w:rtl/>
        </w:rPr>
        <w:t xml:space="preserve">פָּתַח אֵלִיָּהוּ וְאָמַר, </w:t>
      </w:r>
      <w:r>
        <w:rPr>
          <w:rStyle w:val="a7"/>
          <w:rtl/>
        </w:rPr>
        <w:footnoteReference w:id="919"/>
      </w:r>
      <w:r>
        <w:rPr>
          <w:rtl/>
        </w:rPr>
        <w:t xml:space="preserve">רִבּוֹן עָלְמִין דְּאַנְתְּ הוּא </w:t>
      </w:r>
      <w:r>
        <w:rPr>
          <w:rStyle w:val="a7"/>
          <w:rtl/>
        </w:rPr>
        <w:footnoteReference w:id="920"/>
      </w:r>
      <w:r>
        <w:rPr>
          <w:rtl/>
        </w:rPr>
        <w:t xml:space="preserve">חָד וְלָא בְחֻשְׁבָּן, אַנְתְּ הוּא </w:t>
      </w:r>
      <w:r>
        <w:rPr>
          <w:rStyle w:val="a7"/>
          <w:rtl/>
        </w:rPr>
        <w:footnoteReference w:id="921"/>
      </w:r>
      <w:r>
        <w:rPr>
          <w:rtl/>
        </w:rPr>
        <w:t xml:space="preserve">עִלָּאָה עַל כָּל עִלָּאִין, סְתִימָא עַל כָּל סְתִימִין, לֵית מַחֲשָׁבָה תְּפִיסָא בָךְ כְּלָל, אַנְתְּ הוּא דְאַפִּיקַת </w:t>
      </w:r>
      <w:r>
        <w:rPr>
          <w:rStyle w:val="a7"/>
          <w:rtl/>
        </w:rPr>
        <w:footnoteReference w:id="922"/>
      </w:r>
      <w:r>
        <w:rPr>
          <w:rtl/>
        </w:rPr>
        <w:t xml:space="preserve">עֲשַׂר תִּקּוּנִין, וְקָרִינָן לוֹן עֲשַׂר סְפִירָן, לְאַנְהָגָא בְהוֹן </w:t>
      </w:r>
      <w:r>
        <w:rPr>
          <w:rStyle w:val="a7"/>
          <w:rtl/>
        </w:rPr>
        <w:footnoteReference w:id="923"/>
      </w:r>
      <w:r>
        <w:rPr>
          <w:rtl/>
        </w:rPr>
        <w:t xml:space="preserve">עָלְמִין סְתִימִין דְּלָא אִתְגַּלְיָין, </w:t>
      </w:r>
      <w:r>
        <w:rPr>
          <w:rStyle w:val="a7"/>
          <w:rtl/>
        </w:rPr>
        <w:footnoteReference w:id="924"/>
      </w:r>
      <w:r>
        <w:rPr>
          <w:rtl/>
        </w:rPr>
        <w:t xml:space="preserve">וְעָלְמִין דְּאִתְגַּלְיָין, </w:t>
      </w:r>
      <w:r>
        <w:rPr>
          <w:rStyle w:val="a7"/>
          <w:rtl/>
        </w:rPr>
        <w:footnoteReference w:id="925"/>
      </w:r>
      <w:r>
        <w:rPr>
          <w:rtl/>
        </w:rPr>
        <w:t xml:space="preserve">וּבְהוֹן אִתְכְּסִיאַת מִבְּנֵי נָשָׁא, וְאַנְתְּ הוּא </w:t>
      </w:r>
      <w:r>
        <w:rPr>
          <w:rStyle w:val="a7"/>
          <w:rtl/>
        </w:rPr>
        <w:footnoteReference w:id="926"/>
      </w:r>
      <w:r>
        <w:rPr>
          <w:rtl/>
        </w:rPr>
        <w:t xml:space="preserve">דְקָשִׁיר לוֹן, </w:t>
      </w:r>
      <w:r>
        <w:rPr>
          <w:rStyle w:val="a7"/>
          <w:rtl/>
        </w:rPr>
        <w:footnoteReference w:id="927"/>
      </w:r>
      <w:r>
        <w:rPr>
          <w:rtl/>
        </w:rPr>
        <w:t>וּמְיַחֵד לוֹן, וּבְגִין דְּאַנְתְּ מִלְּגָאו, כָּל מָאן דְּאַפְרֵישׁ חַד מִן חַבְרֵיהּ מֵאִלֵּין עֲשַׂר, אִתְחַשֵּׁיב לֵיהּ כְּאִלּוּ אַפְרֵישׁ בָּךְ.</w:t>
      </w:r>
    </w:p>
    <w:p w:rsidR="00D45634" w:rsidRDefault="00D45634" w:rsidP="00B17EA9">
      <w:pPr>
        <w:pStyle w:val="NormalWeb"/>
        <w:rPr>
          <w:rtl/>
        </w:rPr>
      </w:pPr>
      <w:r>
        <w:rPr>
          <w:rtl/>
        </w:rPr>
        <w:t xml:space="preserve">וְאִלֵּין עֲשַׂר סְפִירָן אִינּוּן אָזְלִין </w:t>
      </w:r>
      <w:r>
        <w:rPr>
          <w:rStyle w:val="a7"/>
          <w:rtl/>
        </w:rPr>
        <w:footnoteReference w:id="928"/>
      </w:r>
      <w:r>
        <w:rPr>
          <w:rtl/>
        </w:rPr>
        <w:t xml:space="preserve">כְּסִדְרָן, חַד אֲרִיךְ, וְחַד קְצִר, וְחַד בֵּינוּנִי, </w:t>
      </w:r>
      <w:r>
        <w:rPr>
          <w:rStyle w:val="a7"/>
          <w:rtl/>
        </w:rPr>
        <w:footnoteReference w:id="929"/>
      </w:r>
      <w:r>
        <w:rPr>
          <w:rtl/>
        </w:rPr>
        <w:t xml:space="preserve">וְאַנְתְּ הוּא דְאַנְהִיג לוֹן, וְלֵית מָאן דְּאַנְהִיג לָךְ, לָא לְעִילָא </w:t>
      </w:r>
      <w:r>
        <w:rPr>
          <w:rStyle w:val="a7"/>
          <w:rtl/>
        </w:rPr>
        <w:footnoteReference w:id="930"/>
      </w:r>
      <w:r>
        <w:rPr>
          <w:rtl/>
        </w:rPr>
        <w:t xml:space="preserve">וְלָא לְתַתָּא </w:t>
      </w:r>
      <w:r>
        <w:rPr>
          <w:rStyle w:val="a7"/>
          <w:rtl/>
        </w:rPr>
        <w:footnoteReference w:id="931"/>
      </w:r>
      <w:r>
        <w:rPr>
          <w:rtl/>
        </w:rPr>
        <w:t>וְלָא מִכָּל סִטְרָא, לְבוּשִׁין תְּקִינַת לוֹן, דְּמִנַּיְיהוּ פָּרְחִין נִשְׁמָתִין לִבְנֵי נָשָׁא, וְכַמָּה גוּפִין תְּקִינַת לוֹן, דְּאִתְקְרִיאוּ גוּפָא לְגַבֵּי לְבוּשִׁין דִּמְכַסְיָין עֲלֵיהוֹן, וְאִתְקְרִיאוּ בְּתִקּוּנָא דָא, חֶסֶד דְּרוֹעָא יְמִינָא, גְּבוּרָה דְרוֹעָא שְׂמָאלָא, תִּפְאֶרֶת גּוּפָא, נֶצַח וְהוֹד תְּרֵין שׁוֹקִין, וִיסוֹד סִיּוּמָא דְגוּפָא אוֹת בְּרִית קֹדֶשׁ, מַלְכוּת פֶּה תּוֹרָה שֶׁבְּעַל פֶּה קָרִינָן לֵיהּ.</w:t>
      </w:r>
    </w:p>
    <w:p w:rsidR="00D45634" w:rsidRDefault="00D45634" w:rsidP="00B17EA9">
      <w:pPr>
        <w:pStyle w:val="NormalWeb"/>
        <w:rPr>
          <w:rtl/>
        </w:rPr>
      </w:pPr>
      <w:r>
        <w:rPr>
          <w:rtl/>
        </w:rPr>
        <w:t xml:space="preserve">חָכְמָה מוֹחָא אִיהוּ מַחֲשָׁבָה מִלְּגָו, בִּינָה לִבָּא וּבָהּ הַלֵּב מֵבִין, </w:t>
      </w:r>
      <w:r>
        <w:rPr>
          <w:rStyle w:val="a7"/>
          <w:rtl/>
        </w:rPr>
        <w:footnoteReference w:id="932"/>
      </w:r>
      <w:r>
        <w:rPr>
          <w:rtl/>
        </w:rPr>
        <w:t xml:space="preserve">וְעַל אִלֵּין תְּרֵין כְּתִיב </w:t>
      </w:r>
      <w:r>
        <w:rPr>
          <w:sz w:val="20"/>
          <w:szCs w:val="23"/>
          <w:rtl/>
        </w:rPr>
        <w:t>(דברים כט כח)</w:t>
      </w:r>
      <w:r>
        <w:rPr>
          <w:rtl/>
        </w:rPr>
        <w:t xml:space="preserve"> הַנִּסְתָּרוֹת </w:t>
      </w:r>
      <w:r>
        <w:rPr>
          <w:rStyle w:val="a7"/>
          <w:rtl/>
        </w:rPr>
        <w:footnoteReference w:id="933"/>
      </w:r>
      <w:r>
        <w:rPr>
          <w:rtl/>
        </w:rPr>
        <w:t xml:space="preserve">לַיהו''ה אלהינ''ו, כֶּתֶר עֶלְיוֹן </w:t>
      </w:r>
      <w:r>
        <w:rPr>
          <w:rStyle w:val="a7"/>
          <w:rtl/>
        </w:rPr>
        <w:footnoteReference w:id="934"/>
      </w:r>
      <w:r>
        <w:rPr>
          <w:rtl/>
        </w:rPr>
        <w:t xml:space="preserve">אִיהוּ כֶּתֶר מַלְכוּת, וַעֲלֵיהּ אִתְּמַר </w:t>
      </w:r>
      <w:r>
        <w:rPr>
          <w:sz w:val="20"/>
          <w:szCs w:val="23"/>
          <w:rtl/>
        </w:rPr>
        <w:t>(ישעיה מו י)</w:t>
      </w:r>
      <w:r>
        <w:rPr>
          <w:rtl/>
        </w:rPr>
        <w:t xml:space="preserve"> מַגִּיד מֵרֵאשִׁית אַחֲרִית, </w:t>
      </w:r>
      <w:r>
        <w:rPr>
          <w:rStyle w:val="a7"/>
          <w:rtl/>
        </w:rPr>
        <w:footnoteReference w:id="935"/>
      </w:r>
      <w:r>
        <w:rPr>
          <w:rtl/>
        </w:rPr>
        <w:t>וְאִיהוּ קַרְקַפְתָּא דִתְּפִלֵּי, מִלְּגָו אִיהוּ יו''ד ה''א וא''ו ה''א, דְּאִיהוּ אֹרַח אֲצִילוּת, אִיהוּ שַׁקְיוּ דְאִילָנָא בִּדְרוֹעוֹי וְעַנְפּוֹי, כְּמַיָּא דְאַשְׁקֵי לְאִילָנָא, וְאִתְרַבֵּי בְּהַהוּא שַׁקְיוּ.</w:t>
      </w:r>
    </w:p>
    <w:p w:rsidR="00D45634" w:rsidRDefault="00D45634" w:rsidP="00B17EA9">
      <w:pPr>
        <w:pStyle w:val="aa"/>
        <w:rPr>
          <w:rtl/>
        </w:rPr>
      </w:pPr>
      <w:bookmarkStart w:id="60" w:name="_Toc228095592"/>
      <w:bookmarkStart w:id="61" w:name="_Toc231638030"/>
      <w:r>
        <w:rPr>
          <w:rtl/>
        </w:rPr>
        <w:lastRenderedPageBreak/>
        <w:t>[תיקוני זוהר - דף יג ע''ב]</w:t>
      </w:r>
      <w:bookmarkEnd w:id="60"/>
      <w:bookmarkEnd w:id="61"/>
    </w:p>
    <w:p w:rsidR="00D45634" w:rsidRDefault="00D45634" w:rsidP="00B17EA9">
      <w:pPr>
        <w:pStyle w:val="NormalWeb"/>
        <w:rPr>
          <w:rtl/>
        </w:rPr>
      </w:pPr>
      <w:r>
        <w:rPr>
          <w:rtl/>
        </w:rPr>
        <w:t xml:space="preserve">רִבּוֹן הָעוֹלָמִים, אַנְתְּ הוּא עִלַּת הָעִלּוֹת, סִבַּת הַסִּבּוֹת, דְּאַשְׁקֵי לְאִילָנָא בְּהַהוּא נְבִיעוּ, וְהַהוּא נְבִיעוּ אִיהוּ כְּנִשְׁמָתָא לְגוּפָא, דְאִיהוּ חַיִּים לְגוּפָא, וּבָךְ לֵית דִּמְיוֹן וְלֵית דִּיוֹקְנָא מִכָּל מַה דִּלְּגָו וּלְבָר, </w:t>
      </w:r>
      <w:r>
        <w:rPr>
          <w:sz w:val="20"/>
          <w:szCs w:val="23"/>
          <w:rtl/>
        </w:rPr>
        <w:t xml:space="preserve">(דף יג ע''ב) </w:t>
      </w:r>
      <w:r>
        <w:rPr>
          <w:rtl/>
        </w:rPr>
        <w:t xml:space="preserve">וּבְרָאתָ שְׁמַיָּא וְאַרְעָא, וְאַפִּיקַת מִנְּהוֹן שִׁמְשָׁא וְסִיהֲרָא וְכֹכְבַיָּא וּמַזָּלֵי, וּבְאַרְעָא אִלָנִין וְדִשְׁאִין וְגִנְּתָא דְעִדֶן וְעִשְׂבִּין וְחֵיוָון וְעוֹפִין וְנוּנִין וּבְנֵי נָשָׁא, </w:t>
      </w:r>
      <w:r>
        <w:rPr>
          <w:rStyle w:val="a7"/>
          <w:rtl/>
        </w:rPr>
        <w:footnoteReference w:id="936"/>
      </w:r>
      <w:r>
        <w:rPr>
          <w:rtl/>
        </w:rPr>
        <w:t xml:space="preserve">לְאִשְׁתְּמוֹדְעָא בְהוֹן עִלָּאִין, </w:t>
      </w:r>
      <w:r>
        <w:rPr>
          <w:rStyle w:val="a7"/>
          <w:rtl/>
        </w:rPr>
        <w:footnoteReference w:id="937"/>
      </w:r>
      <w:r>
        <w:rPr>
          <w:rtl/>
        </w:rPr>
        <w:t xml:space="preserve">וְאֵיךְ יִתְנַהֲגוּן בְּהוֹן עִלָּאִין וְתַתָּאִין, </w:t>
      </w:r>
      <w:r>
        <w:rPr>
          <w:rStyle w:val="a7"/>
          <w:rtl/>
        </w:rPr>
        <w:footnoteReference w:id="938"/>
      </w:r>
      <w:r>
        <w:rPr>
          <w:rtl/>
        </w:rPr>
        <w:t xml:space="preserve">וְאֵיךְ אִשְׁתְּמוֹדְעָאן מֵעִלָּאֵי וְתַתָּאֵי, וְלֵית דְּיָדַע בָּךְ כְּלָל. וּבַר מִינָּךְ לֵית יְחִידָא בְּעִלָּאֵי וְתַתָּאֵי, </w:t>
      </w:r>
      <w:r>
        <w:rPr>
          <w:rStyle w:val="a7"/>
          <w:rtl/>
        </w:rPr>
        <w:footnoteReference w:id="939"/>
      </w:r>
      <w:r>
        <w:rPr>
          <w:rtl/>
        </w:rPr>
        <w:t>וְאַנְתְּ אִשְׁתְּמוֹדָע אָדוֹן עַל כֹּלָּא, וְכָל סְפִירָן כָּל חַד אִית לֵיהּ שֵׁם יְדִיעַ, וּבְהוֹן אִתְקְרִיאוּ מַלְאָכַיָּא, וְאַנְתְּ לֵית לָךְ שֵׁם יְדִיעַ, דְּאַנְתְּ הוּא מְמַלֵּא כָל שְׁמָהָן, וְאַנְתְּ הוּא שְׁלִימוּ דְּכֻלְּהוּ, וְכַד אַנְתְּ תִּסְתַּלֵּק מִנְּהוֹן, אִשְׁתָּאֲרוּ כֻּלְּהוּ שְׁמָהָן כְּגוּפָא בְּלָא נִשְׁמָתָא.</w:t>
      </w:r>
    </w:p>
    <w:p w:rsidR="00D45634" w:rsidRDefault="00D45634" w:rsidP="00B17EA9">
      <w:pPr>
        <w:pStyle w:val="NormalWeb"/>
        <w:rPr>
          <w:rtl/>
        </w:rPr>
      </w:pPr>
      <w:r>
        <w:rPr>
          <w:rtl/>
        </w:rPr>
        <w:t xml:space="preserve">אַנְתְּ חַכִּים וְלַאו בְּחָכְמָה יְדִיעָא, אַנְתְּ הוּא מֵבִין וְלָא מִבִּינָה יְדִיעָא, לֵית לָךְ אֲתַר יְדִיעָא </w:t>
      </w:r>
      <w:r>
        <w:rPr>
          <w:rStyle w:val="a7"/>
          <w:rtl/>
        </w:rPr>
        <w:footnoteReference w:id="940"/>
      </w:r>
      <w:r>
        <w:rPr>
          <w:rtl/>
        </w:rPr>
        <w:t xml:space="preserve">אֶלָּא לְאִשְׁתְּמוֹדְעָא תּוּקְפָךְ וְחֵילָךְ לִבְנֵי נָשָׁא, וּלְאַחֲזָאָה לוֹן אֵיךְ אִתְנַהֵיג עָלְמָא בְּדִינָא וּבְרַחֲמֵי, </w:t>
      </w:r>
      <w:r>
        <w:rPr>
          <w:rStyle w:val="a7"/>
          <w:rtl/>
        </w:rPr>
        <w:footnoteReference w:id="941"/>
      </w:r>
      <w:r>
        <w:rPr>
          <w:rtl/>
        </w:rPr>
        <w:t xml:space="preserve">דְאִינוּן צֶדֶק וּמִשְׁפָּט, כְּפוּם עוֹבְדֵיהוֹן דִּבְנֵי נָשָׁא, דִּין אִיהוּ גְבוּרָה, מִשְׁפָּט עַמּוּדָא דְאֶמְצָעִיתָא, צֶדֶק מַלְכוּתָא קַדִּישָׁא, </w:t>
      </w:r>
      <w:r>
        <w:rPr>
          <w:rStyle w:val="a7"/>
          <w:rtl/>
        </w:rPr>
        <w:footnoteReference w:id="942"/>
      </w:r>
      <w:r>
        <w:rPr>
          <w:rtl/>
        </w:rPr>
        <w:t xml:space="preserve">מֹאזְנֵי צֶדֶק תְּרֵין סַמְכֵי קְשׁוֹט, </w:t>
      </w:r>
      <w:r>
        <w:rPr>
          <w:rStyle w:val="a7"/>
          <w:rtl/>
        </w:rPr>
        <w:footnoteReference w:id="943"/>
      </w:r>
      <w:r>
        <w:rPr>
          <w:rtl/>
        </w:rPr>
        <w:t>הִין צֶדֶק אוֹת בְּרִית, כֹּלָּא לְאַחֲזָאָה אֵיךְ אִתְנַהֵיג עָלְמָא, אֲבָל לַאו דְּאִית לָךְ צֶדֶק יְדִיעָא דְאִיהוּ דִין, וְלַאו מִשְׁפָּט יְדִיעָא דְאִיהוּ רַחֲמֵי, וְלַאו מִכָּל אִלֵּין מִדּוֹת כְּלָל.</w:t>
      </w:r>
    </w:p>
    <w:p w:rsidR="00D45634" w:rsidRDefault="00D45634" w:rsidP="00B17EA9">
      <w:pPr>
        <w:pStyle w:val="NormalWeb"/>
        <w:rPr>
          <w:rtl/>
        </w:rPr>
      </w:pPr>
      <w:r>
        <w:rPr>
          <w:rtl/>
        </w:rPr>
        <w:t xml:space="preserve">קוּם רַבִּי שִׁמְעוֹן וְיִתְחַדְשׁוּן מִלִּין עַל יְדָךְ, דְּהָא רְשׁוּתָא אִתְיַהִיב לָךְ לְגַלָּאָה רָזִין טְמִירִין עַל יְדָךְ, מַה דְּלָא אִתְיַיהִיב רְשׁוּ לְגַלָּאָה לְשׁוּם בַּר נַשׁ עַד כְּעַן, קָם רַבִּי שִׁמְעוֹן פָּתַח </w:t>
      </w:r>
      <w:r>
        <w:rPr>
          <w:rStyle w:val="a7"/>
          <w:rtl/>
        </w:rPr>
        <w:footnoteReference w:id="944"/>
      </w:r>
      <w:r>
        <w:rPr>
          <w:rtl/>
        </w:rPr>
        <w:t xml:space="preserve">וְאָמַר, לְךָ יהו''ה הַגְּדוּלָה וְהַגְּבוּרָה וכו' </w:t>
      </w:r>
      <w:r>
        <w:rPr>
          <w:sz w:val="20"/>
          <w:szCs w:val="23"/>
          <w:rtl/>
        </w:rPr>
        <w:t>(ד''ה א כט יא)</w:t>
      </w:r>
      <w:r>
        <w:rPr>
          <w:rtl/>
        </w:rPr>
        <w:t xml:space="preserve">, עִלָּאִין שְׁמָעוּ אִינוּן דְּמִיכִין דְּחֶבְרוֹן, וְרַעְיָא מְהֵימְנָא אִתְעָרוּ מִשְּׁנַתְכוֹן, הָקִיצוּ וְרַנְּנוּ שׁוֹכְנֵי עָפָר </w:t>
      </w:r>
      <w:r>
        <w:rPr>
          <w:sz w:val="20"/>
          <w:szCs w:val="23"/>
          <w:rtl/>
        </w:rPr>
        <w:t>(ישעיהו כו יט)</w:t>
      </w:r>
      <w:r>
        <w:rPr>
          <w:rtl/>
        </w:rPr>
        <w:t xml:space="preserve">, אִלֵּין אִינוּן צַדִּיקַיָּא דְאִינוּן מִסִּטְרָא דְהַהוּא דְאִתְּמַר בָּהּ </w:t>
      </w:r>
      <w:r>
        <w:rPr>
          <w:sz w:val="20"/>
          <w:szCs w:val="23"/>
          <w:rtl/>
        </w:rPr>
        <w:t>(שיר ה ב)</w:t>
      </w:r>
      <w:r>
        <w:rPr>
          <w:rtl/>
        </w:rPr>
        <w:t xml:space="preserve"> אֲנִי יְשֵׁנָה וְלִבִּי עִר, וְלַאו אִינוּן מֵתִים, וּבְגִין דָּא אִתְּמַר בְּהוֹן הָקִיצוּ וְרַנְּנוּ וכו', הָקִיצוּ אַנְתְּ וַאֲבָהָן, רַעְיָא מְהֵימְנָא אִתְּעַר אַנְתְּ וַאֲבָהָן לְאִתְעָרוּתָא דִשְׁכִינְתָּא דְאִיהִי יְשֵׁנָה בְּגָלוּתָא, דְּעַד כְּעַן צַדִּיקַיָּא כֻּלְּהוּ דְּמִיכִין וְשִׁינְתָא בְחוֹרֵיהוֹן.</w:t>
      </w:r>
    </w:p>
    <w:p w:rsidR="00D45634" w:rsidRDefault="00D45634" w:rsidP="00B17EA9">
      <w:pPr>
        <w:pStyle w:val="NormalWeb"/>
        <w:rPr>
          <w:szCs w:val="23"/>
          <w:rtl/>
        </w:rPr>
      </w:pPr>
      <w:r>
        <w:rPr>
          <w:rStyle w:val="a7"/>
          <w:rtl/>
        </w:rPr>
        <w:footnoteReference w:id="945"/>
      </w:r>
      <w:r>
        <w:rPr>
          <w:rtl/>
        </w:rPr>
        <w:t xml:space="preserve">מִיָּד יְהִיבַת שְׁכִינְתָּא </w:t>
      </w:r>
      <w:r>
        <w:rPr>
          <w:rStyle w:val="a7"/>
          <w:rtl/>
        </w:rPr>
        <w:footnoteReference w:id="946"/>
      </w:r>
      <w:r>
        <w:rPr>
          <w:rtl/>
        </w:rPr>
        <w:t xml:space="preserve">תְּלַת קָלִין לְגַבֵּי רַעְיָא מְהֵימְנָא, וְיֵימָא לֵיהּ קוּם רַעְיָא מְהֵימְנָא, דְהָא עֲלָךְ אִתְּמַר </w:t>
      </w:r>
      <w:r>
        <w:rPr>
          <w:sz w:val="20"/>
          <w:szCs w:val="23"/>
          <w:rtl/>
        </w:rPr>
        <w:t>(שיר ה ב)</w:t>
      </w:r>
      <w:r>
        <w:rPr>
          <w:rtl/>
        </w:rPr>
        <w:t xml:space="preserve"> </w:t>
      </w:r>
      <w:r>
        <w:rPr>
          <w:rStyle w:val="a7"/>
          <w:rtl/>
        </w:rPr>
        <w:footnoteReference w:id="947"/>
      </w:r>
      <w:r>
        <w:rPr>
          <w:rtl/>
        </w:rPr>
        <w:t xml:space="preserve">קוֹל דּוֹדִי דוֹפֵק לְגַבָּאי בְּאַרְבַּע אַתְוָון דִּילֵיהּ, וְיֵימָא בְהוֹן, פִּתְחִי לִי </w:t>
      </w:r>
      <w:r>
        <w:rPr>
          <w:rStyle w:val="a7"/>
          <w:rtl/>
        </w:rPr>
        <w:footnoteReference w:id="948"/>
      </w:r>
      <w:r>
        <w:rPr>
          <w:rtl/>
        </w:rPr>
        <w:t xml:space="preserve">אֲחוֹתִי רַעְיָתִי יוֹנָתִי תַמָּתִי, דְּהָא תַּם עֲוֹנֵךְ בַּת צִיּוֹן, לֹא יוֹסִיף לְהַגְלוֹתֵךְ </w:t>
      </w:r>
      <w:r>
        <w:rPr>
          <w:sz w:val="20"/>
          <w:szCs w:val="23"/>
          <w:rtl/>
        </w:rPr>
        <w:t>(איכה ד כב)</w:t>
      </w:r>
      <w:r>
        <w:rPr>
          <w:szCs w:val="23"/>
          <w:rtl/>
        </w:rPr>
        <w:t>.</w:t>
      </w:r>
    </w:p>
    <w:p w:rsidR="00D45634" w:rsidRDefault="00D45634" w:rsidP="00B17EA9">
      <w:pPr>
        <w:pStyle w:val="NormalWeb"/>
        <w:rPr>
          <w:rtl/>
        </w:rPr>
      </w:pPr>
      <w:r>
        <w:rPr>
          <w:rStyle w:val="Char"/>
          <w:rtl/>
        </w:rPr>
        <w:t>שֶׁרֹאשִׁי נִמְלָא טָל</w:t>
      </w:r>
      <w:r>
        <w:rPr>
          <w:szCs w:val="23"/>
          <w:rtl/>
        </w:rPr>
        <w:t xml:space="preserve"> </w:t>
      </w:r>
      <w:r>
        <w:rPr>
          <w:sz w:val="20"/>
          <w:szCs w:val="23"/>
          <w:rtl/>
        </w:rPr>
        <w:t>(שיר ה ב)</w:t>
      </w:r>
      <w:r>
        <w:rPr>
          <w:rtl/>
        </w:rPr>
        <w:t xml:space="preserve">, מַאי נִמְלָא טָל אֶלָּא אָמַר קוּדְשָׁא בְּרִיךְ הוּא, אַנְתְּ חֲשִׁיבַת דְמִיּוֹמָא דְאִתְחָרַב בֵּי מַקְדְּשָׁא דְעָאלְנָא </w:t>
      </w:r>
      <w:r>
        <w:rPr>
          <w:rStyle w:val="a7"/>
          <w:rtl/>
        </w:rPr>
        <w:footnoteReference w:id="949"/>
      </w:r>
      <w:r>
        <w:rPr>
          <w:rtl/>
        </w:rPr>
        <w:t xml:space="preserve">בְּבֵיתָא דִילִי, וְעָאלְנָא בְיִשּׁוּבָא, לַאו הָכִי, דְלָא עָאלְנָא כָל זִמְנָא דְאַנְתְּ בְּגָלוּתָא, </w:t>
      </w:r>
      <w:r>
        <w:rPr>
          <w:rStyle w:val="a7"/>
          <w:rtl/>
        </w:rPr>
        <w:footnoteReference w:id="950"/>
      </w:r>
      <w:r>
        <w:rPr>
          <w:rtl/>
        </w:rPr>
        <w:t xml:space="preserve">הֲרֵי לָךְ </w:t>
      </w:r>
      <w:r>
        <w:rPr>
          <w:rtl/>
        </w:rPr>
        <w:lastRenderedPageBreak/>
        <w:t xml:space="preserve">סִימָנָא שֶׁרֹאשִׁי נִמְלָא טָל, הֵ''א שְׁכִינְתָּא בְגָלוּתָא, שְׁלִימוּ דִּילָהּ וְחַיִּים דִּילָהּ אִיהוּ טָל, וְדָא אִיהוּ יו''ד ה''א וא''ו, וְה''א אִיהִי שְׁכִינְתָּא דְלָא מֵחוּשְׁבַּן טָ''ל, אֶלָּא יו''ד ה''א וא''ו, דִּסְלִיקוּ אַתְוָון לְחֻשְׁבַּן טָ''ל, דְּאִיהוּ מַלְיָא לִשְׁכִינְתָּא מִנְּבִיעוּ דְּכָל מְקוֹרִין עִלָּאִין, </w:t>
      </w:r>
      <w:r>
        <w:rPr>
          <w:rStyle w:val="a7"/>
          <w:rtl/>
        </w:rPr>
        <w:footnoteReference w:id="951"/>
      </w:r>
      <w:r>
        <w:rPr>
          <w:rtl/>
        </w:rPr>
        <w:t xml:space="preserve">מִיָּד קָם </w:t>
      </w:r>
      <w:r>
        <w:rPr>
          <w:rStyle w:val="a7"/>
          <w:rtl/>
        </w:rPr>
        <w:footnoteReference w:id="952"/>
      </w:r>
      <w:r>
        <w:rPr>
          <w:rtl/>
        </w:rPr>
        <w:t>רַעְיָא מְהֵימְנָא, וַאֲבָהָן קַדִּישִׁין עִמֵּיהּ, עַד כַּאן רָזָא דְיִחוּדָא, מִכַּאן וְאֵילֵךְ פָּרָשָׁתָא קַדְמָאָה דְסִתְרֵי אוֹרַיְיתָא.</w:t>
      </w:r>
    </w:p>
    <w:p w:rsidR="00D45634" w:rsidRDefault="00D45634" w:rsidP="00B17EA9">
      <w:pPr>
        <w:pStyle w:val="NormalWeb"/>
        <w:rPr>
          <w:rtl/>
        </w:rPr>
      </w:pPr>
      <w:r>
        <w:rPr>
          <w:rtl/>
        </w:rPr>
        <w:t xml:space="preserve">פָּתַח רַבִּי שִׁמְעוֹן וְאָמַר, בְּרֵאשִׁית בָּרָא אֱלֹהִי''ם, סוֹד יהו''ה לִירֵיאָיו וּבְרִיתוֹ לְהוֹדִיעָם </w:t>
      </w:r>
      <w:r>
        <w:rPr>
          <w:sz w:val="20"/>
          <w:szCs w:val="23"/>
          <w:rtl/>
        </w:rPr>
        <w:t>(תהלים כה יד)</w:t>
      </w:r>
      <w:r>
        <w:rPr>
          <w:rtl/>
        </w:rPr>
        <w:t xml:space="preserve">, סוֹ''ד אִלֵּין אִינוּן שַׁבְעִין אַנְפִּין, דְּאִתְפָּרַשׁ מִלַּת בְּרֵאשִׁית </w:t>
      </w:r>
      <w:r>
        <w:rPr>
          <w:rStyle w:val="a7"/>
          <w:rtl/>
        </w:rPr>
        <w:footnoteReference w:id="953"/>
      </w:r>
      <w:r>
        <w:rPr>
          <w:rtl/>
        </w:rPr>
        <w:t>בְּהַאי פָּרָשָׁתָא.</w:t>
      </w:r>
    </w:p>
    <w:p w:rsidR="00D45634" w:rsidRDefault="00D45634" w:rsidP="00B17EA9">
      <w:pPr>
        <w:pStyle w:val="NormalWeb"/>
        <w:rPr>
          <w:rtl/>
        </w:rPr>
      </w:pPr>
    </w:p>
    <w:p w:rsidR="00D45634" w:rsidRDefault="00D45634" w:rsidP="00B17EA9">
      <w:pPr>
        <w:pStyle w:val="NormalWeb"/>
        <w:rPr>
          <w:rtl/>
        </w:rPr>
      </w:pPr>
    </w:p>
    <w:p w:rsidR="00D45634" w:rsidRDefault="00D45634" w:rsidP="00B17EA9">
      <w:pPr>
        <w:pStyle w:val="NormalWeb"/>
        <w:rPr>
          <w:rtl/>
        </w:rPr>
      </w:pPr>
    </w:p>
    <w:p w:rsidR="00D45634" w:rsidRDefault="00D45634">
      <w:pPr>
        <w:bidi w:val="0"/>
        <w:rPr>
          <w:rtl/>
        </w:rPr>
      </w:pPr>
      <w:r>
        <w:rPr>
          <w:rtl/>
        </w:rPr>
        <w:br w:type="page"/>
      </w:r>
    </w:p>
    <w:p w:rsidR="00134F53" w:rsidRDefault="00134F53">
      <w:pPr>
        <w:pStyle w:val="TOC2"/>
        <w:tabs>
          <w:tab w:val="right" w:leader="dot" w:pos="10194"/>
        </w:tabs>
        <w:rPr>
          <w:noProof/>
          <w:rtl/>
        </w:rPr>
      </w:pPr>
      <w:r>
        <w:rPr>
          <w:rtl/>
        </w:rPr>
        <w:lastRenderedPageBreak/>
        <w:fldChar w:fldCharType="begin"/>
      </w:r>
      <w:r>
        <w:rPr>
          <w:rtl/>
        </w:rPr>
        <w:instrText xml:space="preserve"> </w:instrText>
      </w:r>
      <w:r>
        <w:instrText>TOC</w:instrText>
      </w:r>
      <w:r>
        <w:rPr>
          <w:rtl/>
        </w:rPr>
        <w:instrText xml:space="preserve"> \</w:instrText>
      </w:r>
      <w:r>
        <w:instrText>o "1-3" \h \z \u</w:instrText>
      </w:r>
      <w:r>
        <w:rPr>
          <w:rtl/>
        </w:rPr>
        <w:instrText xml:space="preserve"> </w:instrText>
      </w:r>
      <w:r>
        <w:rPr>
          <w:rtl/>
        </w:rPr>
        <w:fldChar w:fldCharType="separate"/>
      </w:r>
      <w:hyperlink w:anchor="_Toc405982927" w:history="1">
        <w:r w:rsidRPr="007E3835">
          <w:rPr>
            <w:rStyle w:val="Hyperlink"/>
            <w:noProof/>
            <w:rtl/>
          </w:rPr>
          <w:t>[</w:t>
        </w:r>
        <w:r w:rsidRPr="007E3835">
          <w:rPr>
            <w:rStyle w:val="Hyperlink"/>
            <w:rFonts w:hint="eastAsia"/>
            <w:noProof/>
            <w:rtl/>
          </w:rPr>
          <w:t>תיקוני</w:t>
        </w:r>
        <w:r w:rsidRPr="007E3835">
          <w:rPr>
            <w:rStyle w:val="Hyperlink"/>
            <w:noProof/>
            <w:rtl/>
          </w:rPr>
          <w:t xml:space="preserve"> </w:t>
        </w:r>
        <w:r w:rsidRPr="007E3835">
          <w:rPr>
            <w:rStyle w:val="Hyperlink"/>
            <w:rFonts w:hint="eastAsia"/>
            <w:noProof/>
            <w:rtl/>
          </w:rPr>
          <w:t>זוהר</w:t>
        </w:r>
        <w:r w:rsidRPr="007E3835">
          <w:rPr>
            <w:rStyle w:val="Hyperlink"/>
            <w:noProof/>
            <w:rtl/>
          </w:rPr>
          <w:t xml:space="preserve"> - </w:t>
        </w:r>
        <w:r w:rsidRPr="007E3835">
          <w:rPr>
            <w:rStyle w:val="Hyperlink"/>
            <w:rFonts w:hint="eastAsia"/>
            <w:noProof/>
            <w:rtl/>
          </w:rPr>
          <w:t>דף</w:t>
        </w:r>
        <w:r w:rsidRPr="007E3835">
          <w:rPr>
            <w:rStyle w:val="Hyperlink"/>
            <w:noProof/>
            <w:rtl/>
          </w:rPr>
          <w:t xml:space="preserve"> </w:t>
        </w:r>
        <w:r w:rsidRPr="007E3835">
          <w:rPr>
            <w:rStyle w:val="Hyperlink"/>
            <w:rFonts w:hint="eastAsia"/>
            <w:noProof/>
            <w:rtl/>
          </w:rPr>
          <w:t>יד</w:t>
        </w:r>
        <w:r w:rsidRPr="007E3835">
          <w:rPr>
            <w:rStyle w:val="Hyperlink"/>
            <w:noProof/>
            <w:rtl/>
          </w:rPr>
          <w:t xml:space="preserve"> </w:t>
        </w:r>
        <w:r w:rsidRPr="007E3835">
          <w:rPr>
            <w:rStyle w:val="Hyperlink"/>
            <w:rFonts w:hint="eastAsia"/>
            <w:noProof/>
            <w:rtl/>
          </w:rPr>
          <w:t>ע</w:t>
        </w:r>
        <w:r w:rsidRPr="007E3835">
          <w:rPr>
            <w:rStyle w:val="Hyperlink"/>
            <w:noProof/>
            <w:rtl/>
          </w:rPr>
          <w:t>''</w:t>
        </w:r>
        <w:r w:rsidRPr="007E3835">
          <w:rPr>
            <w:rStyle w:val="Hyperlink"/>
            <w:rFonts w:hint="eastAsia"/>
            <w:noProof/>
            <w:rtl/>
          </w:rPr>
          <w:t>א</w:t>
        </w:r>
        <w:r w:rsidRPr="007E383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Toc405982927 \h</w:instrText>
        </w:r>
        <w:r>
          <w:rPr>
            <w:noProof/>
            <w:webHidden/>
            <w:rtl/>
          </w:rPr>
          <w:instrText xml:space="preserve"> </w:instrText>
        </w:r>
        <w:r>
          <w:rPr>
            <w:noProof/>
            <w:webHidden/>
            <w:rtl/>
          </w:rPr>
        </w:r>
        <w:r>
          <w:rPr>
            <w:noProof/>
            <w:webHidden/>
            <w:rtl/>
          </w:rPr>
          <w:fldChar w:fldCharType="separate"/>
        </w:r>
        <w:r>
          <w:rPr>
            <w:noProof/>
            <w:webHidden/>
            <w:rtl/>
          </w:rPr>
          <w:t>2</w:t>
        </w:r>
        <w:r>
          <w:rPr>
            <w:noProof/>
            <w:webHidden/>
            <w:rtl/>
          </w:rPr>
          <w:fldChar w:fldCharType="end"/>
        </w:r>
      </w:hyperlink>
    </w:p>
    <w:p w:rsidR="00134F53" w:rsidRDefault="00156DAD">
      <w:pPr>
        <w:pStyle w:val="TOC1"/>
        <w:tabs>
          <w:tab w:val="right" w:leader="dot" w:pos="10194"/>
        </w:tabs>
        <w:rPr>
          <w:rFonts w:asciiTheme="minorHAnsi" w:eastAsiaTheme="minorEastAsia" w:hAnsiTheme="minorHAnsi" w:cstheme="minorBidi"/>
          <w:noProof/>
          <w:sz w:val="22"/>
          <w:szCs w:val="22"/>
          <w:rtl/>
        </w:rPr>
      </w:pPr>
      <w:hyperlink w:anchor="_Toc405982928" w:history="1">
        <w:r w:rsidR="00134F53" w:rsidRPr="007E3835">
          <w:rPr>
            <w:rStyle w:val="Hyperlink"/>
            <w:rFonts w:hint="eastAsia"/>
            <w:noProof/>
            <w:rtl/>
          </w:rPr>
          <w:t>תקונא</w:t>
        </w:r>
        <w:r w:rsidR="00134F53" w:rsidRPr="007E3835">
          <w:rPr>
            <w:rStyle w:val="Hyperlink"/>
            <w:noProof/>
            <w:rtl/>
          </w:rPr>
          <w:t xml:space="preserve"> </w:t>
        </w:r>
        <w:r w:rsidR="00134F53" w:rsidRPr="007E3835">
          <w:rPr>
            <w:rStyle w:val="Hyperlink"/>
            <w:rFonts w:hint="eastAsia"/>
            <w:noProof/>
            <w:rtl/>
          </w:rPr>
          <w:t>תניינא</w:t>
        </w:r>
        <w:r w:rsidR="00134F53">
          <w:rPr>
            <w:noProof/>
            <w:webHidden/>
            <w:rtl/>
          </w:rPr>
          <w:tab/>
        </w:r>
        <w:r w:rsidR="00134F53">
          <w:rPr>
            <w:noProof/>
            <w:webHidden/>
            <w:rtl/>
          </w:rPr>
          <w:fldChar w:fldCharType="begin"/>
        </w:r>
        <w:r w:rsidR="00134F53">
          <w:rPr>
            <w:noProof/>
            <w:webHidden/>
            <w:rtl/>
          </w:rPr>
          <w:instrText xml:space="preserve"> </w:instrText>
        </w:r>
        <w:r w:rsidR="00134F53">
          <w:rPr>
            <w:noProof/>
            <w:webHidden/>
          </w:rPr>
          <w:instrText>PAGEREF</w:instrText>
        </w:r>
        <w:r w:rsidR="00134F53">
          <w:rPr>
            <w:noProof/>
            <w:webHidden/>
            <w:rtl/>
          </w:rPr>
          <w:instrText xml:space="preserve"> _</w:instrText>
        </w:r>
        <w:r w:rsidR="00134F53">
          <w:rPr>
            <w:noProof/>
            <w:webHidden/>
          </w:rPr>
          <w:instrText>Toc405982928 \h</w:instrText>
        </w:r>
        <w:r w:rsidR="00134F53">
          <w:rPr>
            <w:noProof/>
            <w:webHidden/>
            <w:rtl/>
          </w:rPr>
          <w:instrText xml:space="preserve"> </w:instrText>
        </w:r>
        <w:r w:rsidR="00134F53">
          <w:rPr>
            <w:noProof/>
            <w:webHidden/>
            <w:rtl/>
          </w:rPr>
        </w:r>
        <w:r w:rsidR="00134F53">
          <w:rPr>
            <w:noProof/>
            <w:webHidden/>
            <w:rtl/>
          </w:rPr>
          <w:fldChar w:fldCharType="separate"/>
        </w:r>
        <w:r w:rsidR="00134F53">
          <w:rPr>
            <w:noProof/>
            <w:webHidden/>
            <w:rtl/>
          </w:rPr>
          <w:t>3</w:t>
        </w:r>
        <w:r w:rsidR="00134F53">
          <w:rPr>
            <w:noProof/>
            <w:webHidden/>
            <w:rtl/>
          </w:rPr>
          <w:fldChar w:fldCharType="end"/>
        </w:r>
      </w:hyperlink>
    </w:p>
    <w:p w:rsidR="00134F53" w:rsidRDefault="00156DAD">
      <w:pPr>
        <w:pStyle w:val="TOC1"/>
        <w:tabs>
          <w:tab w:val="right" w:leader="dot" w:pos="10194"/>
        </w:tabs>
        <w:rPr>
          <w:rFonts w:asciiTheme="minorHAnsi" w:eastAsiaTheme="minorEastAsia" w:hAnsiTheme="minorHAnsi" w:cstheme="minorBidi"/>
          <w:noProof/>
          <w:sz w:val="22"/>
          <w:szCs w:val="22"/>
          <w:rtl/>
        </w:rPr>
      </w:pPr>
      <w:hyperlink w:anchor="_Toc405982929" w:history="1">
        <w:r w:rsidR="00134F53" w:rsidRPr="007E3835">
          <w:rPr>
            <w:rStyle w:val="Hyperlink"/>
            <w:rFonts w:hint="eastAsia"/>
            <w:noProof/>
            <w:rtl/>
          </w:rPr>
          <w:t>ודא</w:t>
        </w:r>
        <w:r w:rsidR="00134F53" w:rsidRPr="007E3835">
          <w:rPr>
            <w:rStyle w:val="Hyperlink"/>
            <w:noProof/>
            <w:rtl/>
          </w:rPr>
          <w:t xml:space="preserve"> </w:t>
        </w:r>
        <w:r w:rsidR="00134F53" w:rsidRPr="007E3835">
          <w:rPr>
            <w:rStyle w:val="Hyperlink"/>
            <w:rFonts w:hint="eastAsia"/>
            <w:noProof/>
            <w:rtl/>
          </w:rPr>
          <w:t>תקונא</w:t>
        </w:r>
        <w:r w:rsidR="00134F53" w:rsidRPr="007E3835">
          <w:rPr>
            <w:rStyle w:val="Hyperlink"/>
            <w:noProof/>
            <w:rtl/>
          </w:rPr>
          <w:t xml:space="preserve"> </w:t>
        </w:r>
        <w:r w:rsidR="00134F53" w:rsidRPr="007E3835">
          <w:rPr>
            <w:rStyle w:val="Hyperlink"/>
            <w:rFonts w:hint="eastAsia"/>
            <w:noProof/>
            <w:rtl/>
          </w:rPr>
          <w:t>תליתאה</w:t>
        </w:r>
        <w:r w:rsidR="00134F53" w:rsidRPr="007E3835">
          <w:rPr>
            <w:rStyle w:val="Hyperlink"/>
            <w:noProof/>
            <w:rtl/>
          </w:rPr>
          <w:t xml:space="preserve"> </w:t>
        </w:r>
        <w:r w:rsidR="00134F53" w:rsidRPr="007E3835">
          <w:rPr>
            <w:rStyle w:val="Hyperlink"/>
            <w:rFonts w:hint="eastAsia"/>
            <w:noProof/>
            <w:rtl/>
          </w:rPr>
          <w:t>כגוונא</w:t>
        </w:r>
        <w:r w:rsidR="00134F53" w:rsidRPr="007E3835">
          <w:rPr>
            <w:rStyle w:val="Hyperlink"/>
            <w:noProof/>
            <w:rtl/>
          </w:rPr>
          <w:t xml:space="preserve"> </w:t>
        </w:r>
        <w:r w:rsidR="00134F53" w:rsidRPr="007E3835">
          <w:rPr>
            <w:rStyle w:val="Hyperlink"/>
            <w:rFonts w:hint="eastAsia"/>
            <w:noProof/>
            <w:rtl/>
          </w:rPr>
          <w:t>דא</w:t>
        </w:r>
        <w:r w:rsidR="00134F53">
          <w:rPr>
            <w:noProof/>
            <w:webHidden/>
            <w:rtl/>
          </w:rPr>
          <w:tab/>
        </w:r>
        <w:r w:rsidR="00134F53">
          <w:rPr>
            <w:noProof/>
            <w:webHidden/>
            <w:rtl/>
          </w:rPr>
          <w:fldChar w:fldCharType="begin"/>
        </w:r>
        <w:r w:rsidR="00134F53">
          <w:rPr>
            <w:noProof/>
            <w:webHidden/>
            <w:rtl/>
          </w:rPr>
          <w:instrText xml:space="preserve"> </w:instrText>
        </w:r>
        <w:r w:rsidR="00134F53">
          <w:rPr>
            <w:noProof/>
            <w:webHidden/>
          </w:rPr>
          <w:instrText>PAGEREF</w:instrText>
        </w:r>
        <w:r w:rsidR="00134F53">
          <w:rPr>
            <w:noProof/>
            <w:webHidden/>
            <w:rtl/>
          </w:rPr>
          <w:instrText xml:space="preserve"> _</w:instrText>
        </w:r>
        <w:r w:rsidR="00134F53">
          <w:rPr>
            <w:noProof/>
            <w:webHidden/>
          </w:rPr>
          <w:instrText>Toc405982929 \h</w:instrText>
        </w:r>
        <w:r w:rsidR="00134F53">
          <w:rPr>
            <w:noProof/>
            <w:webHidden/>
            <w:rtl/>
          </w:rPr>
          <w:instrText xml:space="preserve"> </w:instrText>
        </w:r>
        <w:r w:rsidR="00134F53">
          <w:rPr>
            <w:noProof/>
            <w:webHidden/>
            <w:rtl/>
          </w:rPr>
        </w:r>
        <w:r w:rsidR="00134F53">
          <w:rPr>
            <w:noProof/>
            <w:webHidden/>
            <w:rtl/>
          </w:rPr>
          <w:fldChar w:fldCharType="separate"/>
        </w:r>
        <w:r w:rsidR="00134F53">
          <w:rPr>
            <w:noProof/>
            <w:webHidden/>
            <w:rtl/>
          </w:rPr>
          <w:t>3</w:t>
        </w:r>
        <w:r w:rsidR="00134F53">
          <w:rPr>
            <w:noProof/>
            <w:webHidden/>
            <w:rtl/>
          </w:rPr>
          <w:fldChar w:fldCharType="end"/>
        </w:r>
      </w:hyperlink>
    </w:p>
    <w:p w:rsidR="00134F53" w:rsidRDefault="00156DAD">
      <w:pPr>
        <w:pStyle w:val="TOC2"/>
        <w:tabs>
          <w:tab w:val="right" w:leader="dot" w:pos="10194"/>
        </w:tabs>
        <w:rPr>
          <w:noProof/>
          <w:rtl/>
        </w:rPr>
      </w:pPr>
      <w:hyperlink w:anchor="_Toc405982930" w:history="1">
        <w:r w:rsidR="00134F53" w:rsidRPr="007E3835">
          <w:rPr>
            <w:rStyle w:val="Hyperlink"/>
            <w:noProof/>
            <w:rtl/>
          </w:rPr>
          <w:t>[</w:t>
        </w:r>
        <w:r w:rsidR="00134F53" w:rsidRPr="007E3835">
          <w:rPr>
            <w:rStyle w:val="Hyperlink"/>
            <w:rFonts w:hint="eastAsia"/>
            <w:noProof/>
            <w:rtl/>
          </w:rPr>
          <w:t>תיקוני</w:t>
        </w:r>
        <w:r w:rsidR="00134F53" w:rsidRPr="007E3835">
          <w:rPr>
            <w:rStyle w:val="Hyperlink"/>
            <w:noProof/>
            <w:rtl/>
          </w:rPr>
          <w:t xml:space="preserve"> </w:t>
        </w:r>
        <w:r w:rsidR="00134F53" w:rsidRPr="007E3835">
          <w:rPr>
            <w:rStyle w:val="Hyperlink"/>
            <w:rFonts w:hint="eastAsia"/>
            <w:noProof/>
            <w:rtl/>
          </w:rPr>
          <w:t>זוהר</w:t>
        </w:r>
        <w:r w:rsidR="00134F53" w:rsidRPr="007E3835">
          <w:rPr>
            <w:rStyle w:val="Hyperlink"/>
            <w:noProof/>
            <w:rtl/>
          </w:rPr>
          <w:t xml:space="preserve"> - </w:t>
        </w:r>
        <w:r w:rsidR="00134F53" w:rsidRPr="007E3835">
          <w:rPr>
            <w:rStyle w:val="Hyperlink"/>
            <w:rFonts w:hint="eastAsia"/>
            <w:noProof/>
            <w:rtl/>
          </w:rPr>
          <w:t>דף</w:t>
        </w:r>
        <w:r w:rsidR="00134F53" w:rsidRPr="007E3835">
          <w:rPr>
            <w:rStyle w:val="Hyperlink"/>
            <w:noProof/>
            <w:rtl/>
          </w:rPr>
          <w:t xml:space="preserve"> </w:t>
        </w:r>
        <w:r w:rsidR="00134F53" w:rsidRPr="007E3835">
          <w:rPr>
            <w:rStyle w:val="Hyperlink"/>
            <w:rFonts w:hint="eastAsia"/>
            <w:noProof/>
            <w:rtl/>
          </w:rPr>
          <w:t>יד</w:t>
        </w:r>
        <w:r w:rsidR="00134F53" w:rsidRPr="007E3835">
          <w:rPr>
            <w:rStyle w:val="Hyperlink"/>
            <w:noProof/>
            <w:rtl/>
          </w:rPr>
          <w:t xml:space="preserve"> </w:t>
        </w:r>
        <w:r w:rsidR="00134F53" w:rsidRPr="007E3835">
          <w:rPr>
            <w:rStyle w:val="Hyperlink"/>
            <w:rFonts w:hint="eastAsia"/>
            <w:noProof/>
            <w:rtl/>
          </w:rPr>
          <w:t>ע</w:t>
        </w:r>
        <w:r w:rsidR="00134F53" w:rsidRPr="007E3835">
          <w:rPr>
            <w:rStyle w:val="Hyperlink"/>
            <w:noProof/>
            <w:rtl/>
          </w:rPr>
          <w:t>''</w:t>
        </w:r>
        <w:r w:rsidR="00134F53" w:rsidRPr="007E3835">
          <w:rPr>
            <w:rStyle w:val="Hyperlink"/>
            <w:rFonts w:hint="eastAsia"/>
            <w:noProof/>
            <w:rtl/>
          </w:rPr>
          <w:t>ב</w:t>
        </w:r>
        <w:r w:rsidR="00134F53" w:rsidRPr="007E3835">
          <w:rPr>
            <w:rStyle w:val="Hyperlink"/>
            <w:noProof/>
            <w:rtl/>
          </w:rPr>
          <w:t>]</w:t>
        </w:r>
        <w:r w:rsidR="00134F53">
          <w:rPr>
            <w:noProof/>
            <w:webHidden/>
            <w:rtl/>
          </w:rPr>
          <w:tab/>
        </w:r>
        <w:r w:rsidR="00134F53">
          <w:rPr>
            <w:noProof/>
            <w:webHidden/>
            <w:rtl/>
          </w:rPr>
          <w:fldChar w:fldCharType="begin"/>
        </w:r>
        <w:r w:rsidR="00134F53">
          <w:rPr>
            <w:noProof/>
            <w:webHidden/>
            <w:rtl/>
          </w:rPr>
          <w:instrText xml:space="preserve"> </w:instrText>
        </w:r>
        <w:r w:rsidR="00134F53">
          <w:rPr>
            <w:noProof/>
            <w:webHidden/>
          </w:rPr>
          <w:instrText>PAGEREF</w:instrText>
        </w:r>
        <w:r w:rsidR="00134F53">
          <w:rPr>
            <w:noProof/>
            <w:webHidden/>
            <w:rtl/>
          </w:rPr>
          <w:instrText xml:space="preserve"> _</w:instrText>
        </w:r>
        <w:r w:rsidR="00134F53">
          <w:rPr>
            <w:noProof/>
            <w:webHidden/>
          </w:rPr>
          <w:instrText>Toc405982930 \h</w:instrText>
        </w:r>
        <w:r w:rsidR="00134F53">
          <w:rPr>
            <w:noProof/>
            <w:webHidden/>
            <w:rtl/>
          </w:rPr>
          <w:instrText xml:space="preserve"> </w:instrText>
        </w:r>
        <w:r w:rsidR="00134F53">
          <w:rPr>
            <w:noProof/>
            <w:webHidden/>
            <w:rtl/>
          </w:rPr>
        </w:r>
        <w:r w:rsidR="00134F53">
          <w:rPr>
            <w:noProof/>
            <w:webHidden/>
            <w:rtl/>
          </w:rPr>
          <w:fldChar w:fldCharType="separate"/>
        </w:r>
        <w:r w:rsidR="00134F53">
          <w:rPr>
            <w:noProof/>
            <w:webHidden/>
            <w:rtl/>
          </w:rPr>
          <w:t>3</w:t>
        </w:r>
        <w:r w:rsidR="00134F53">
          <w:rPr>
            <w:noProof/>
            <w:webHidden/>
            <w:rtl/>
          </w:rPr>
          <w:fldChar w:fldCharType="end"/>
        </w:r>
      </w:hyperlink>
    </w:p>
    <w:p w:rsidR="00134F53" w:rsidRDefault="00156DAD">
      <w:pPr>
        <w:pStyle w:val="TOC1"/>
        <w:tabs>
          <w:tab w:val="right" w:leader="dot" w:pos="10194"/>
        </w:tabs>
        <w:rPr>
          <w:rFonts w:asciiTheme="minorHAnsi" w:eastAsiaTheme="minorEastAsia" w:hAnsiTheme="minorHAnsi" w:cstheme="minorBidi"/>
          <w:noProof/>
          <w:sz w:val="22"/>
          <w:szCs w:val="22"/>
          <w:rtl/>
        </w:rPr>
      </w:pPr>
      <w:hyperlink w:anchor="_Toc405982931" w:history="1">
        <w:r w:rsidR="00134F53" w:rsidRPr="007E3835">
          <w:rPr>
            <w:rStyle w:val="Hyperlink"/>
            <w:rFonts w:hint="eastAsia"/>
            <w:noProof/>
            <w:rtl/>
          </w:rPr>
          <w:t>תקונא</w:t>
        </w:r>
        <w:r w:rsidR="00134F53" w:rsidRPr="007E3835">
          <w:rPr>
            <w:rStyle w:val="Hyperlink"/>
            <w:noProof/>
            <w:rtl/>
          </w:rPr>
          <w:t xml:space="preserve"> </w:t>
        </w:r>
        <w:r w:rsidR="00134F53" w:rsidRPr="007E3835">
          <w:rPr>
            <w:rStyle w:val="Hyperlink"/>
            <w:rFonts w:hint="eastAsia"/>
            <w:noProof/>
            <w:rtl/>
          </w:rPr>
          <w:t>רביעאה</w:t>
        </w:r>
        <w:r w:rsidR="00134F53">
          <w:rPr>
            <w:noProof/>
            <w:webHidden/>
            <w:rtl/>
          </w:rPr>
          <w:tab/>
        </w:r>
        <w:r w:rsidR="00134F53">
          <w:rPr>
            <w:noProof/>
            <w:webHidden/>
            <w:rtl/>
          </w:rPr>
          <w:fldChar w:fldCharType="begin"/>
        </w:r>
        <w:r w:rsidR="00134F53">
          <w:rPr>
            <w:noProof/>
            <w:webHidden/>
            <w:rtl/>
          </w:rPr>
          <w:instrText xml:space="preserve"> </w:instrText>
        </w:r>
        <w:r w:rsidR="00134F53">
          <w:rPr>
            <w:noProof/>
            <w:webHidden/>
          </w:rPr>
          <w:instrText>PAGEREF</w:instrText>
        </w:r>
        <w:r w:rsidR="00134F53">
          <w:rPr>
            <w:noProof/>
            <w:webHidden/>
            <w:rtl/>
          </w:rPr>
          <w:instrText xml:space="preserve"> _</w:instrText>
        </w:r>
        <w:r w:rsidR="00134F53">
          <w:rPr>
            <w:noProof/>
            <w:webHidden/>
          </w:rPr>
          <w:instrText>Toc405982931 \h</w:instrText>
        </w:r>
        <w:r w:rsidR="00134F53">
          <w:rPr>
            <w:noProof/>
            <w:webHidden/>
            <w:rtl/>
          </w:rPr>
          <w:instrText xml:space="preserve"> </w:instrText>
        </w:r>
        <w:r w:rsidR="00134F53">
          <w:rPr>
            <w:noProof/>
            <w:webHidden/>
            <w:rtl/>
          </w:rPr>
        </w:r>
        <w:r w:rsidR="00134F53">
          <w:rPr>
            <w:noProof/>
            <w:webHidden/>
            <w:rtl/>
          </w:rPr>
          <w:fldChar w:fldCharType="separate"/>
        </w:r>
        <w:r w:rsidR="00134F53">
          <w:rPr>
            <w:noProof/>
            <w:webHidden/>
            <w:rtl/>
          </w:rPr>
          <w:t>4</w:t>
        </w:r>
        <w:r w:rsidR="00134F53">
          <w:rPr>
            <w:noProof/>
            <w:webHidden/>
            <w:rtl/>
          </w:rPr>
          <w:fldChar w:fldCharType="end"/>
        </w:r>
      </w:hyperlink>
    </w:p>
    <w:p w:rsidR="00134F53" w:rsidRDefault="00156DAD">
      <w:pPr>
        <w:pStyle w:val="TOC1"/>
        <w:tabs>
          <w:tab w:val="right" w:leader="dot" w:pos="10194"/>
        </w:tabs>
        <w:rPr>
          <w:rFonts w:asciiTheme="minorHAnsi" w:eastAsiaTheme="minorEastAsia" w:hAnsiTheme="minorHAnsi" w:cstheme="minorBidi"/>
          <w:noProof/>
          <w:sz w:val="22"/>
          <w:szCs w:val="22"/>
          <w:rtl/>
        </w:rPr>
      </w:pPr>
      <w:hyperlink w:anchor="_Toc405982932" w:history="1">
        <w:r w:rsidR="00134F53" w:rsidRPr="007E3835">
          <w:rPr>
            <w:rStyle w:val="Hyperlink"/>
            <w:rFonts w:hint="eastAsia"/>
            <w:noProof/>
            <w:rtl/>
          </w:rPr>
          <w:t>תקונא</w:t>
        </w:r>
        <w:r w:rsidR="00134F53" w:rsidRPr="007E3835">
          <w:rPr>
            <w:rStyle w:val="Hyperlink"/>
            <w:noProof/>
            <w:rtl/>
          </w:rPr>
          <w:t xml:space="preserve"> </w:t>
        </w:r>
        <w:r w:rsidR="00134F53" w:rsidRPr="007E3835">
          <w:rPr>
            <w:rStyle w:val="Hyperlink"/>
            <w:rFonts w:hint="eastAsia"/>
            <w:noProof/>
            <w:rtl/>
          </w:rPr>
          <w:t>חמישאה</w:t>
        </w:r>
        <w:r w:rsidR="00134F53">
          <w:rPr>
            <w:noProof/>
            <w:webHidden/>
            <w:rtl/>
          </w:rPr>
          <w:tab/>
        </w:r>
        <w:r w:rsidR="00134F53">
          <w:rPr>
            <w:noProof/>
            <w:webHidden/>
            <w:rtl/>
          </w:rPr>
          <w:fldChar w:fldCharType="begin"/>
        </w:r>
        <w:r w:rsidR="00134F53">
          <w:rPr>
            <w:noProof/>
            <w:webHidden/>
            <w:rtl/>
          </w:rPr>
          <w:instrText xml:space="preserve"> </w:instrText>
        </w:r>
        <w:r w:rsidR="00134F53">
          <w:rPr>
            <w:noProof/>
            <w:webHidden/>
          </w:rPr>
          <w:instrText>PAGEREF</w:instrText>
        </w:r>
        <w:r w:rsidR="00134F53">
          <w:rPr>
            <w:noProof/>
            <w:webHidden/>
            <w:rtl/>
          </w:rPr>
          <w:instrText xml:space="preserve"> _</w:instrText>
        </w:r>
        <w:r w:rsidR="00134F53">
          <w:rPr>
            <w:noProof/>
            <w:webHidden/>
          </w:rPr>
          <w:instrText>Toc405982932 \h</w:instrText>
        </w:r>
        <w:r w:rsidR="00134F53">
          <w:rPr>
            <w:noProof/>
            <w:webHidden/>
            <w:rtl/>
          </w:rPr>
          <w:instrText xml:space="preserve"> </w:instrText>
        </w:r>
        <w:r w:rsidR="00134F53">
          <w:rPr>
            <w:noProof/>
            <w:webHidden/>
            <w:rtl/>
          </w:rPr>
        </w:r>
        <w:r w:rsidR="00134F53">
          <w:rPr>
            <w:noProof/>
            <w:webHidden/>
            <w:rtl/>
          </w:rPr>
          <w:fldChar w:fldCharType="separate"/>
        </w:r>
        <w:r w:rsidR="00134F53">
          <w:rPr>
            <w:noProof/>
            <w:webHidden/>
            <w:rtl/>
          </w:rPr>
          <w:t>5</w:t>
        </w:r>
        <w:r w:rsidR="00134F53">
          <w:rPr>
            <w:noProof/>
            <w:webHidden/>
            <w:rtl/>
          </w:rPr>
          <w:fldChar w:fldCharType="end"/>
        </w:r>
      </w:hyperlink>
    </w:p>
    <w:p w:rsidR="00134F53" w:rsidRDefault="00156DAD">
      <w:pPr>
        <w:pStyle w:val="TOC2"/>
        <w:tabs>
          <w:tab w:val="right" w:leader="dot" w:pos="10194"/>
        </w:tabs>
        <w:rPr>
          <w:noProof/>
          <w:rtl/>
        </w:rPr>
      </w:pPr>
      <w:hyperlink w:anchor="_Toc405982933" w:history="1">
        <w:r w:rsidR="00134F53" w:rsidRPr="007E3835">
          <w:rPr>
            <w:rStyle w:val="Hyperlink"/>
            <w:noProof/>
            <w:rtl/>
          </w:rPr>
          <w:t>[</w:t>
        </w:r>
        <w:r w:rsidR="00134F53" w:rsidRPr="007E3835">
          <w:rPr>
            <w:rStyle w:val="Hyperlink"/>
            <w:rFonts w:hint="eastAsia"/>
            <w:noProof/>
            <w:rtl/>
          </w:rPr>
          <w:t>תיקוני</w:t>
        </w:r>
        <w:r w:rsidR="00134F53" w:rsidRPr="007E3835">
          <w:rPr>
            <w:rStyle w:val="Hyperlink"/>
            <w:noProof/>
            <w:rtl/>
          </w:rPr>
          <w:t xml:space="preserve"> </w:t>
        </w:r>
        <w:r w:rsidR="00134F53" w:rsidRPr="007E3835">
          <w:rPr>
            <w:rStyle w:val="Hyperlink"/>
            <w:rFonts w:hint="eastAsia"/>
            <w:noProof/>
            <w:rtl/>
          </w:rPr>
          <w:t>זוהר</w:t>
        </w:r>
        <w:r w:rsidR="00134F53" w:rsidRPr="007E3835">
          <w:rPr>
            <w:rStyle w:val="Hyperlink"/>
            <w:noProof/>
            <w:rtl/>
          </w:rPr>
          <w:t xml:space="preserve"> - </w:t>
        </w:r>
        <w:r w:rsidR="00134F53" w:rsidRPr="007E3835">
          <w:rPr>
            <w:rStyle w:val="Hyperlink"/>
            <w:rFonts w:hint="eastAsia"/>
            <w:noProof/>
            <w:rtl/>
          </w:rPr>
          <w:t>דף</w:t>
        </w:r>
        <w:r w:rsidR="00134F53" w:rsidRPr="007E3835">
          <w:rPr>
            <w:rStyle w:val="Hyperlink"/>
            <w:noProof/>
            <w:rtl/>
          </w:rPr>
          <w:t xml:space="preserve"> </w:t>
        </w:r>
        <w:r w:rsidR="00134F53" w:rsidRPr="007E3835">
          <w:rPr>
            <w:rStyle w:val="Hyperlink"/>
            <w:rFonts w:hint="eastAsia"/>
            <w:noProof/>
            <w:rtl/>
          </w:rPr>
          <w:t>טו</w:t>
        </w:r>
        <w:r w:rsidR="00134F53" w:rsidRPr="007E3835">
          <w:rPr>
            <w:rStyle w:val="Hyperlink"/>
            <w:noProof/>
            <w:rtl/>
          </w:rPr>
          <w:t xml:space="preserve"> </w:t>
        </w:r>
        <w:r w:rsidR="00134F53" w:rsidRPr="007E3835">
          <w:rPr>
            <w:rStyle w:val="Hyperlink"/>
            <w:rFonts w:hint="eastAsia"/>
            <w:noProof/>
            <w:rtl/>
          </w:rPr>
          <w:t>ע</w:t>
        </w:r>
        <w:r w:rsidR="00134F53" w:rsidRPr="007E3835">
          <w:rPr>
            <w:rStyle w:val="Hyperlink"/>
            <w:noProof/>
            <w:rtl/>
          </w:rPr>
          <w:t>"</w:t>
        </w:r>
        <w:r w:rsidR="00134F53" w:rsidRPr="007E3835">
          <w:rPr>
            <w:rStyle w:val="Hyperlink"/>
            <w:rFonts w:hint="eastAsia"/>
            <w:noProof/>
            <w:rtl/>
          </w:rPr>
          <w:t>א</w:t>
        </w:r>
        <w:r w:rsidR="00134F53" w:rsidRPr="007E3835">
          <w:rPr>
            <w:rStyle w:val="Hyperlink"/>
            <w:noProof/>
            <w:rtl/>
          </w:rPr>
          <w:t>]</w:t>
        </w:r>
        <w:r w:rsidR="00134F53">
          <w:rPr>
            <w:noProof/>
            <w:webHidden/>
            <w:rtl/>
          </w:rPr>
          <w:tab/>
        </w:r>
        <w:r w:rsidR="00134F53">
          <w:rPr>
            <w:noProof/>
            <w:webHidden/>
            <w:rtl/>
          </w:rPr>
          <w:fldChar w:fldCharType="begin"/>
        </w:r>
        <w:r w:rsidR="00134F53">
          <w:rPr>
            <w:noProof/>
            <w:webHidden/>
            <w:rtl/>
          </w:rPr>
          <w:instrText xml:space="preserve"> </w:instrText>
        </w:r>
        <w:r w:rsidR="00134F53">
          <w:rPr>
            <w:noProof/>
            <w:webHidden/>
          </w:rPr>
          <w:instrText>PAGEREF</w:instrText>
        </w:r>
        <w:r w:rsidR="00134F53">
          <w:rPr>
            <w:noProof/>
            <w:webHidden/>
            <w:rtl/>
          </w:rPr>
          <w:instrText xml:space="preserve"> _</w:instrText>
        </w:r>
        <w:r w:rsidR="00134F53">
          <w:rPr>
            <w:noProof/>
            <w:webHidden/>
          </w:rPr>
          <w:instrText>Toc405982933 \h</w:instrText>
        </w:r>
        <w:r w:rsidR="00134F53">
          <w:rPr>
            <w:noProof/>
            <w:webHidden/>
            <w:rtl/>
          </w:rPr>
          <w:instrText xml:space="preserve"> </w:instrText>
        </w:r>
        <w:r w:rsidR="00134F53">
          <w:rPr>
            <w:noProof/>
            <w:webHidden/>
            <w:rtl/>
          </w:rPr>
        </w:r>
        <w:r w:rsidR="00134F53">
          <w:rPr>
            <w:noProof/>
            <w:webHidden/>
            <w:rtl/>
          </w:rPr>
          <w:fldChar w:fldCharType="separate"/>
        </w:r>
        <w:r w:rsidR="00134F53">
          <w:rPr>
            <w:noProof/>
            <w:webHidden/>
            <w:rtl/>
          </w:rPr>
          <w:t>5</w:t>
        </w:r>
        <w:r w:rsidR="00134F53">
          <w:rPr>
            <w:noProof/>
            <w:webHidden/>
            <w:rtl/>
          </w:rPr>
          <w:fldChar w:fldCharType="end"/>
        </w:r>
      </w:hyperlink>
    </w:p>
    <w:p w:rsidR="00134F53" w:rsidRDefault="00156DAD">
      <w:pPr>
        <w:pStyle w:val="TOC2"/>
        <w:tabs>
          <w:tab w:val="right" w:leader="dot" w:pos="10194"/>
        </w:tabs>
        <w:rPr>
          <w:noProof/>
          <w:rtl/>
        </w:rPr>
      </w:pPr>
      <w:hyperlink w:anchor="_Toc405982934" w:history="1">
        <w:r w:rsidR="00134F53" w:rsidRPr="007E3835">
          <w:rPr>
            <w:rStyle w:val="Hyperlink"/>
            <w:noProof/>
            <w:rtl/>
          </w:rPr>
          <w:t>[</w:t>
        </w:r>
        <w:r w:rsidR="00134F53" w:rsidRPr="007E3835">
          <w:rPr>
            <w:rStyle w:val="Hyperlink"/>
            <w:rFonts w:hint="eastAsia"/>
            <w:noProof/>
            <w:rtl/>
          </w:rPr>
          <w:t>תיקוני</w:t>
        </w:r>
        <w:r w:rsidR="00134F53" w:rsidRPr="007E3835">
          <w:rPr>
            <w:rStyle w:val="Hyperlink"/>
            <w:noProof/>
            <w:rtl/>
          </w:rPr>
          <w:t xml:space="preserve"> </w:t>
        </w:r>
        <w:r w:rsidR="00134F53" w:rsidRPr="007E3835">
          <w:rPr>
            <w:rStyle w:val="Hyperlink"/>
            <w:rFonts w:hint="eastAsia"/>
            <w:noProof/>
            <w:rtl/>
          </w:rPr>
          <w:t>זוהר</w:t>
        </w:r>
        <w:r w:rsidR="00134F53" w:rsidRPr="007E3835">
          <w:rPr>
            <w:rStyle w:val="Hyperlink"/>
            <w:noProof/>
            <w:rtl/>
          </w:rPr>
          <w:t xml:space="preserve"> - </w:t>
        </w:r>
        <w:r w:rsidR="00134F53" w:rsidRPr="007E3835">
          <w:rPr>
            <w:rStyle w:val="Hyperlink"/>
            <w:rFonts w:hint="eastAsia"/>
            <w:noProof/>
            <w:rtl/>
          </w:rPr>
          <w:t>דף</w:t>
        </w:r>
        <w:r w:rsidR="00134F53" w:rsidRPr="007E3835">
          <w:rPr>
            <w:rStyle w:val="Hyperlink"/>
            <w:noProof/>
            <w:rtl/>
          </w:rPr>
          <w:t xml:space="preserve"> </w:t>
        </w:r>
        <w:r w:rsidR="00134F53" w:rsidRPr="007E3835">
          <w:rPr>
            <w:rStyle w:val="Hyperlink"/>
            <w:rFonts w:hint="eastAsia"/>
            <w:noProof/>
            <w:rtl/>
          </w:rPr>
          <w:t>טו</w:t>
        </w:r>
        <w:r w:rsidR="00134F53" w:rsidRPr="007E3835">
          <w:rPr>
            <w:rStyle w:val="Hyperlink"/>
            <w:noProof/>
            <w:rtl/>
          </w:rPr>
          <w:t xml:space="preserve"> </w:t>
        </w:r>
        <w:r w:rsidR="00134F53" w:rsidRPr="007E3835">
          <w:rPr>
            <w:rStyle w:val="Hyperlink"/>
            <w:rFonts w:hint="eastAsia"/>
            <w:noProof/>
            <w:rtl/>
          </w:rPr>
          <w:t>ע</w:t>
        </w:r>
        <w:r w:rsidR="00134F53" w:rsidRPr="007E3835">
          <w:rPr>
            <w:rStyle w:val="Hyperlink"/>
            <w:noProof/>
            <w:rtl/>
          </w:rPr>
          <w:t>''</w:t>
        </w:r>
        <w:r w:rsidR="00134F53" w:rsidRPr="007E3835">
          <w:rPr>
            <w:rStyle w:val="Hyperlink"/>
            <w:rFonts w:hint="eastAsia"/>
            <w:noProof/>
            <w:rtl/>
          </w:rPr>
          <w:t>ב</w:t>
        </w:r>
        <w:r w:rsidR="00134F53" w:rsidRPr="007E3835">
          <w:rPr>
            <w:rStyle w:val="Hyperlink"/>
            <w:noProof/>
            <w:rtl/>
          </w:rPr>
          <w:t>]</w:t>
        </w:r>
        <w:r w:rsidR="00134F53">
          <w:rPr>
            <w:noProof/>
            <w:webHidden/>
            <w:rtl/>
          </w:rPr>
          <w:tab/>
        </w:r>
        <w:r w:rsidR="00134F53">
          <w:rPr>
            <w:noProof/>
            <w:webHidden/>
            <w:rtl/>
          </w:rPr>
          <w:fldChar w:fldCharType="begin"/>
        </w:r>
        <w:r w:rsidR="00134F53">
          <w:rPr>
            <w:noProof/>
            <w:webHidden/>
            <w:rtl/>
          </w:rPr>
          <w:instrText xml:space="preserve"> </w:instrText>
        </w:r>
        <w:r w:rsidR="00134F53">
          <w:rPr>
            <w:noProof/>
            <w:webHidden/>
          </w:rPr>
          <w:instrText>PAGEREF</w:instrText>
        </w:r>
        <w:r w:rsidR="00134F53">
          <w:rPr>
            <w:noProof/>
            <w:webHidden/>
            <w:rtl/>
          </w:rPr>
          <w:instrText xml:space="preserve"> _</w:instrText>
        </w:r>
        <w:r w:rsidR="00134F53">
          <w:rPr>
            <w:noProof/>
            <w:webHidden/>
          </w:rPr>
          <w:instrText>Toc405982934 \h</w:instrText>
        </w:r>
        <w:r w:rsidR="00134F53">
          <w:rPr>
            <w:noProof/>
            <w:webHidden/>
            <w:rtl/>
          </w:rPr>
          <w:instrText xml:space="preserve"> </w:instrText>
        </w:r>
        <w:r w:rsidR="00134F53">
          <w:rPr>
            <w:noProof/>
            <w:webHidden/>
            <w:rtl/>
          </w:rPr>
        </w:r>
        <w:r w:rsidR="00134F53">
          <w:rPr>
            <w:noProof/>
            <w:webHidden/>
            <w:rtl/>
          </w:rPr>
          <w:fldChar w:fldCharType="separate"/>
        </w:r>
        <w:r w:rsidR="00134F53">
          <w:rPr>
            <w:noProof/>
            <w:webHidden/>
            <w:rtl/>
          </w:rPr>
          <w:t>8</w:t>
        </w:r>
        <w:r w:rsidR="00134F53">
          <w:rPr>
            <w:noProof/>
            <w:webHidden/>
            <w:rtl/>
          </w:rPr>
          <w:fldChar w:fldCharType="end"/>
        </w:r>
      </w:hyperlink>
    </w:p>
    <w:p w:rsidR="00134F53" w:rsidRDefault="00156DAD">
      <w:pPr>
        <w:pStyle w:val="TOC2"/>
        <w:tabs>
          <w:tab w:val="right" w:leader="dot" w:pos="10194"/>
        </w:tabs>
        <w:rPr>
          <w:noProof/>
          <w:rtl/>
        </w:rPr>
      </w:pPr>
      <w:hyperlink w:anchor="_Toc405982935" w:history="1">
        <w:r w:rsidR="00134F53" w:rsidRPr="007E3835">
          <w:rPr>
            <w:rStyle w:val="Hyperlink"/>
            <w:noProof/>
            <w:rtl/>
          </w:rPr>
          <w:t>[</w:t>
        </w:r>
        <w:r w:rsidR="00134F53" w:rsidRPr="007E3835">
          <w:rPr>
            <w:rStyle w:val="Hyperlink"/>
            <w:rFonts w:hint="eastAsia"/>
            <w:noProof/>
            <w:rtl/>
          </w:rPr>
          <w:t>תיקוני</w:t>
        </w:r>
        <w:r w:rsidR="00134F53" w:rsidRPr="007E3835">
          <w:rPr>
            <w:rStyle w:val="Hyperlink"/>
            <w:noProof/>
            <w:rtl/>
          </w:rPr>
          <w:t xml:space="preserve"> </w:t>
        </w:r>
        <w:r w:rsidR="00134F53" w:rsidRPr="007E3835">
          <w:rPr>
            <w:rStyle w:val="Hyperlink"/>
            <w:rFonts w:hint="eastAsia"/>
            <w:noProof/>
            <w:rtl/>
          </w:rPr>
          <w:t>זוהר</w:t>
        </w:r>
        <w:r w:rsidR="00134F53" w:rsidRPr="007E3835">
          <w:rPr>
            <w:rStyle w:val="Hyperlink"/>
            <w:noProof/>
            <w:rtl/>
          </w:rPr>
          <w:t xml:space="preserve"> - </w:t>
        </w:r>
        <w:r w:rsidR="00134F53" w:rsidRPr="007E3835">
          <w:rPr>
            <w:rStyle w:val="Hyperlink"/>
            <w:rFonts w:hint="eastAsia"/>
            <w:noProof/>
            <w:rtl/>
          </w:rPr>
          <w:t>דף</w:t>
        </w:r>
        <w:r w:rsidR="00134F53" w:rsidRPr="007E3835">
          <w:rPr>
            <w:rStyle w:val="Hyperlink"/>
            <w:noProof/>
            <w:rtl/>
          </w:rPr>
          <w:t xml:space="preserve"> </w:t>
        </w:r>
        <w:r w:rsidR="00134F53" w:rsidRPr="007E3835">
          <w:rPr>
            <w:rStyle w:val="Hyperlink"/>
            <w:rFonts w:hint="eastAsia"/>
            <w:noProof/>
            <w:rtl/>
          </w:rPr>
          <w:t>טז</w:t>
        </w:r>
        <w:r w:rsidR="00134F53" w:rsidRPr="007E3835">
          <w:rPr>
            <w:rStyle w:val="Hyperlink"/>
            <w:noProof/>
            <w:rtl/>
          </w:rPr>
          <w:t xml:space="preserve"> </w:t>
        </w:r>
        <w:r w:rsidR="00134F53" w:rsidRPr="007E3835">
          <w:rPr>
            <w:rStyle w:val="Hyperlink"/>
            <w:rFonts w:hint="eastAsia"/>
            <w:noProof/>
            <w:rtl/>
          </w:rPr>
          <w:t>ע</w:t>
        </w:r>
        <w:r w:rsidR="00134F53" w:rsidRPr="007E3835">
          <w:rPr>
            <w:rStyle w:val="Hyperlink"/>
            <w:noProof/>
            <w:rtl/>
          </w:rPr>
          <w:t>''</w:t>
        </w:r>
        <w:r w:rsidR="00134F53" w:rsidRPr="007E3835">
          <w:rPr>
            <w:rStyle w:val="Hyperlink"/>
            <w:rFonts w:hint="eastAsia"/>
            <w:noProof/>
            <w:rtl/>
          </w:rPr>
          <w:t>א</w:t>
        </w:r>
        <w:r w:rsidR="00134F53" w:rsidRPr="007E3835">
          <w:rPr>
            <w:rStyle w:val="Hyperlink"/>
            <w:noProof/>
            <w:rtl/>
          </w:rPr>
          <w:t>]</w:t>
        </w:r>
        <w:r w:rsidR="00134F53">
          <w:rPr>
            <w:noProof/>
            <w:webHidden/>
            <w:rtl/>
          </w:rPr>
          <w:tab/>
        </w:r>
        <w:r w:rsidR="00134F53">
          <w:rPr>
            <w:noProof/>
            <w:webHidden/>
            <w:rtl/>
          </w:rPr>
          <w:fldChar w:fldCharType="begin"/>
        </w:r>
        <w:r w:rsidR="00134F53">
          <w:rPr>
            <w:noProof/>
            <w:webHidden/>
            <w:rtl/>
          </w:rPr>
          <w:instrText xml:space="preserve"> </w:instrText>
        </w:r>
        <w:r w:rsidR="00134F53">
          <w:rPr>
            <w:noProof/>
            <w:webHidden/>
          </w:rPr>
          <w:instrText>PAGEREF</w:instrText>
        </w:r>
        <w:r w:rsidR="00134F53">
          <w:rPr>
            <w:noProof/>
            <w:webHidden/>
            <w:rtl/>
          </w:rPr>
          <w:instrText xml:space="preserve"> _</w:instrText>
        </w:r>
        <w:r w:rsidR="00134F53">
          <w:rPr>
            <w:noProof/>
            <w:webHidden/>
          </w:rPr>
          <w:instrText>Toc405982935 \h</w:instrText>
        </w:r>
        <w:r w:rsidR="00134F53">
          <w:rPr>
            <w:noProof/>
            <w:webHidden/>
            <w:rtl/>
          </w:rPr>
          <w:instrText xml:space="preserve"> </w:instrText>
        </w:r>
        <w:r w:rsidR="00134F53">
          <w:rPr>
            <w:noProof/>
            <w:webHidden/>
            <w:rtl/>
          </w:rPr>
        </w:r>
        <w:r w:rsidR="00134F53">
          <w:rPr>
            <w:noProof/>
            <w:webHidden/>
            <w:rtl/>
          </w:rPr>
          <w:fldChar w:fldCharType="separate"/>
        </w:r>
        <w:r w:rsidR="00134F53">
          <w:rPr>
            <w:noProof/>
            <w:webHidden/>
            <w:rtl/>
          </w:rPr>
          <w:t>11</w:t>
        </w:r>
        <w:r w:rsidR="00134F53">
          <w:rPr>
            <w:noProof/>
            <w:webHidden/>
            <w:rtl/>
          </w:rPr>
          <w:fldChar w:fldCharType="end"/>
        </w:r>
      </w:hyperlink>
    </w:p>
    <w:p w:rsidR="00134F53" w:rsidRDefault="00156DAD">
      <w:pPr>
        <w:pStyle w:val="TOC2"/>
        <w:tabs>
          <w:tab w:val="right" w:leader="dot" w:pos="10194"/>
        </w:tabs>
        <w:rPr>
          <w:noProof/>
          <w:rtl/>
        </w:rPr>
      </w:pPr>
      <w:hyperlink w:anchor="_Toc405982936" w:history="1">
        <w:r w:rsidR="00134F53" w:rsidRPr="007E3835">
          <w:rPr>
            <w:rStyle w:val="Hyperlink"/>
            <w:noProof/>
            <w:rtl/>
          </w:rPr>
          <w:t>[</w:t>
        </w:r>
        <w:r w:rsidR="00134F53" w:rsidRPr="007E3835">
          <w:rPr>
            <w:rStyle w:val="Hyperlink"/>
            <w:rFonts w:hint="eastAsia"/>
            <w:noProof/>
            <w:rtl/>
          </w:rPr>
          <w:t>תיקוני</w:t>
        </w:r>
        <w:r w:rsidR="00134F53" w:rsidRPr="007E3835">
          <w:rPr>
            <w:rStyle w:val="Hyperlink"/>
            <w:noProof/>
            <w:rtl/>
          </w:rPr>
          <w:t xml:space="preserve"> </w:t>
        </w:r>
        <w:r w:rsidR="00134F53" w:rsidRPr="007E3835">
          <w:rPr>
            <w:rStyle w:val="Hyperlink"/>
            <w:rFonts w:hint="eastAsia"/>
            <w:noProof/>
            <w:rtl/>
          </w:rPr>
          <w:t>זוהר</w:t>
        </w:r>
        <w:r w:rsidR="00134F53" w:rsidRPr="007E3835">
          <w:rPr>
            <w:rStyle w:val="Hyperlink"/>
            <w:noProof/>
            <w:rtl/>
          </w:rPr>
          <w:t xml:space="preserve"> - </w:t>
        </w:r>
        <w:r w:rsidR="00134F53" w:rsidRPr="007E3835">
          <w:rPr>
            <w:rStyle w:val="Hyperlink"/>
            <w:rFonts w:hint="eastAsia"/>
            <w:noProof/>
            <w:rtl/>
          </w:rPr>
          <w:t>דף</w:t>
        </w:r>
        <w:r w:rsidR="00134F53" w:rsidRPr="007E3835">
          <w:rPr>
            <w:rStyle w:val="Hyperlink"/>
            <w:noProof/>
            <w:rtl/>
          </w:rPr>
          <w:t xml:space="preserve"> </w:t>
        </w:r>
        <w:r w:rsidR="00134F53" w:rsidRPr="007E3835">
          <w:rPr>
            <w:rStyle w:val="Hyperlink"/>
            <w:rFonts w:hint="eastAsia"/>
            <w:noProof/>
            <w:rtl/>
          </w:rPr>
          <w:t>טז</w:t>
        </w:r>
        <w:r w:rsidR="00134F53" w:rsidRPr="007E3835">
          <w:rPr>
            <w:rStyle w:val="Hyperlink"/>
            <w:noProof/>
            <w:rtl/>
          </w:rPr>
          <w:t xml:space="preserve"> </w:t>
        </w:r>
        <w:r w:rsidR="00134F53" w:rsidRPr="007E3835">
          <w:rPr>
            <w:rStyle w:val="Hyperlink"/>
            <w:rFonts w:hint="eastAsia"/>
            <w:noProof/>
            <w:rtl/>
          </w:rPr>
          <w:t>ע</w:t>
        </w:r>
        <w:r w:rsidR="00134F53" w:rsidRPr="007E3835">
          <w:rPr>
            <w:rStyle w:val="Hyperlink"/>
            <w:noProof/>
            <w:rtl/>
          </w:rPr>
          <w:t>''</w:t>
        </w:r>
        <w:r w:rsidR="00134F53" w:rsidRPr="007E3835">
          <w:rPr>
            <w:rStyle w:val="Hyperlink"/>
            <w:rFonts w:hint="eastAsia"/>
            <w:noProof/>
            <w:rtl/>
          </w:rPr>
          <w:t>ב</w:t>
        </w:r>
        <w:r w:rsidR="00134F53" w:rsidRPr="007E3835">
          <w:rPr>
            <w:rStyle w:val="Hyperlink"/>
            <w:noProof/>
            <w:rtl/>
          </w:rPr>
          <w:t>]</w:t>
        </w:r>
        <w:r w:rsidR="00134F53">
          <w:rPr>
            <w:noProof/>
            <w:webHidden/>
            <w:rtl/>
          </w:rPr>
          <w:tab/>
        </w:r>
        <w:r w:rsidR="00134F53">
          <w:rPr>
            <w:noProof/>
            <w:webHidden/>
            <w:rtl/>
          </w:rPr>
          <w:fldChar w:fldCharType="begin"/>
        </w:r>
        <w:r w:rsidR="00134F53">
          <w:rPr>
            <w:noProof/>
            <w:webHidden/>
            <w:rtl/>
          </w:rPr>
          <w:instrText xml:space="preserve"> </w:instrText>
        </w:r>
        <w:r w:rsidR="00134F53">
          <w:rPr>
            <w:noProof/>
            <w:webHidden/>
          </w:rPr>
          <w:instrText>PAGEREF</w:instrText>
        </w:r>
        <w:r w:rsidR="00134F53">
          <w:rPr>
            <w:noProof/>
            <w:webHidden/>
            <w:rtl/>
          </w:rPr>
          <w:instrText xml:space="preserve"> _</w:instrText>
        </w:r>
        <w:r w:rsidR="00134F53">
          <w:rPr>
            <w:noProof/>
            <w:webHidden/>
          </w:rPr>
          <w:instrText>Toc405982936 \h</w:instrText>
        </w:r>
        <w:r w:rsidR="00134F53">
          <w:rPr>
            <w:noProof/>
            <w:webHidden/>
            <w:rtl/>
          </w:rPr>
          <w:instrText xml:space="preserve"> </w:instrText>
        </w:r>
        <w:r w:rsidR="00134F53">
          <w:rPr>
            <w:noProof/>
            <w:webHidden/>
            <w:rtl/>
          </w:rPr>
        </w:r>
        <w:r w:rsidR="00134F53">
          <w:rPr>
            <w:noProof/>
            <w:webHidden/>
            <w:rtl/>
          </w:rPr>
          <w:fldChar w:fldCharType="separate"/>
        </w:r>
        <w:r w:rsidR="00134F53">
          <w:rPr>
            <w:noProof/>
            <w:webHidden/>
            <w:rtl/>
          </w:rPr>
          <w:t>13</w:t>
        </w:r>
        <w:r w:rsidR="00134F53">
          <w:rPr>
            <w:noProof/>
            <w:webHidden/>
            <w:rtl/>
          </w:rPr>
          <w:fldChar w:fldCharType="end"/>
        </w:r>
      </w:hyperlink>
    </w:p>
    <w:p w:rsidR="00134F53" w:rsidRDefault="00156DAD">
      <w:pPr>
        <w:pStyle w:val="TOC1"/>
        <w:tabs>
          <w:tab w:val="right" w:leader="dot" w:pos="10194"/>
        </w:tabs>
        <w:rPr>
          <w:rFonts w:asciiTheme="minorHAnsi" w:eastAsiaTheme="minorEastAsia" w:hAnsiTheme="minorHAnsi" w:cstheme="minorBidi"/>
          <w:noProof/>
          <w:sz w:val="22"/>
          <w:szCs w:val="22"/>
          <w:rtl/>
        </w:rPr>
      </w:pPr>
      <w:hyperlink w:anchor="_Toc405982937" w:history="1">
        <w:r w:rsidR="00134F53" w:rsidRPr="007E3835">
          <w:rPr>
            <w:rStyle w:val="Hyperlink"/>
            <w:rFonts w:hint="eastAsia"/>
            <w:noProof/>
            <w:rtl/>
          </w:rPr>
          <w:t>תקונא</w:t>
        </w:r>
        <w:r w:rsidR="00134F53" w:rsidRPr="007E3835">
          <w:rPr>
            <w:rStyle w:val="Hyperlink"/>
            <w:noProof/>
            <w:rtl/>
          </w:rPr>
          <w:t xml:space="preserve"> </w:t>
        </w:r>
        <w:r w:rsidR="00134F53" w:rsidRPr="007E3835">
          <w:rPr>
            <w:rStyle w:val="Hyperlink"/>
            <w:rFonts w:hint="eastAsia"/>
            <w:noProof/>
            <w:rtl/>
          </w:rPr>
          <w:t>שתיתאה</w:t>
        </w:r>
        <w:r w:rsidR="00134F53">
          <w:rPr>
            <w:noProof/>
            <w:webHidden/>
            <w:rtl/>
          </w:rPr>
          <w:tab/>
        </w:r>
        <w:r w:rsidR="00134F53">
          <w:rPr>
            <w:noProof/>
            <w:webHidden/>
            <w:rtl/>
          </w:rPr>
          <w:fldChar w:fldCharType="begin"/>
        </w:r>
        <w:r w:rsidR="00134F53">
          <w:rPr>
            <w:noProof/>
            <w:webHidden/>
            <w:rtl/>
          </w:rPr>
          <w:instrText xml:space="preserve"> </w:instrText>
        </w:r>
        <w:r w:rsidR="00134F53">
          <w:rPr>
            <w:noProof/>
            <w:webHidden/>
          </w:rPr>
          <w:instrText>PAGEREF</w:instrText>
        </w:r>
        <w:r w:rsidR="00134F53">
          <w:rPr>
            <w:noProof/>
            <w:webHidden/>
            <w:rtl/>
          </w:rPr>
          <w:instrText xml:space="preserve"> _</w:instrText>
        </w:r>
        <w:r w:rsidR="00134F53">
          <w:rPr>
            <w:noProof/>
            <w:webHidden/>
          </w:rPr>
          <w:instrText>Toc405982937 \h</w:instrText>
        </w:r>
        <w:r w:rsidR="00134F53">
          <w:rPr>
            <w:noProof/>
            <w:webHidden/>
            <w:rtl/>
          </w:rPr>
          <w:instrText xml:space="preserve"> </w:instrText>
        </w:r>
        <w:r w:rsidR="00134F53">
          <w:rPr>
            <w:noProof/>
            <w:webHidden/>
            <w:rtl/>
          </w:rPr>
        </w:r>
        <w:r w:rsidR="00134F53">
          <w:rPr>
            <w:noProof/>
            <w:webHidden/>
            <w:rtl/>
          </w:rPr>
          <w:fldChar w:fldCharType="separate"/>
        </w:r>
        <w:r w:rsidR="00134F53">
          <w:rPr>
            <w:noProof/>
            <w:webHidden/>
            <w:rtl/>
          </w:rPr>
          <w:t>14</w:t>
        </w:r>
        <w:r w:rsidR="00134F53">
          <w:rPr>
            <w:noProof/>
            <w:webHidden/>
            <w:rtl/>
          </w:rPr>
          <w:fldChar w:fldCharType="end"/>
        </w:r>
      </w:hyperlink>
    </w:p>
    <w:p w:rsidR="00134F53" w:rsidRDefault="00156DAD">
      <w:pPr>
        <w:pStyle w:val="TOC2"/>
        <w:tabs>
          <w:tab w:val="right" w:leader="dot" w:pos="10194"/>
        </w:tabs>
        <w:rPr>
          <w:noProof/>
          <w:rtl/>
        </w:rPr>
      </w:pPr>
      <w:hyperlink w:anchor="_Toc405982938" w:history="1">
        <w:r w:rsidR="00134F53" w:rsidRPr="007E3835">
          <w:rPr>
            <w:rStyle w:val="Hyperlink"/>
            <w:noProof/>
            <w:rtl/>
          </w:rPr>
          <w:t>[</w:t>
        </w:r>
        <w:r w:rsidR="00134F53" w:rsidRPr="007E3835">
          <w:rPr>
            <w:rStyle w:val="Hyperlink"/>
            <w:rFonts w:hint="eastAsia"/>
            <w:noProof/>
            <w:rtl/>
          </w:rPr>
          <w:t>תיקוני</w:t>
        </w:r>
        <w:r w:rsidR="00134F53" w:rsidRPr="007E3835">
          <w:rPr>
            <w:rStyle w:val="Hyperlink"/>
            <w:noProof/>
            <w:rtl/>
          </w:rPr>
          <w:t xml:space="preserve"> </w:t>
        </w:r>
        <w:r w:rsidR="00134F53" w:rsidRPr="007E3835">
          <w:rPr>
            <w:rStyle w:val="Hyperlink"/>
            <w:rFonts w:hint="eastAsia"/>
            <w:noProof/>
            <w:rtl/>
          </w:rPr>
          <w:t>זוהר</w:t>
        </w:r>
        <w:r w:rsidR="00134F53" w:rsidRPr="007E3835">
          <w:rPr>
            <w:rStyle w:val="Hyperlink"/>
            <w:noProof/>
            <w:rtl/>
          </w:rPr>
          <w:t xml:space="preserve"> - </w:t>
        </w:r>
        <w:r w:rsidR="00134F53" w:rsidRPr="007E3835">
          <w:rPr>
            <w:rStyle w:val="Hyperlink"/>
            <w:rFonts w:hint="eastAsia"/>
            <w:noProof/>
            <w:rtl/>
          </w:rPr>
          <w:t>דף</w:t>
        </w:r>
        <w:r w:rsidR="00134F53" w:rsidRPr="007E3835">
          <w:rPr>
            <w:rStyle w:val="Hyperlink"/>
            <w:noProof/>
            <w:rtl/>
          </w:rPr>
          <w:t xml:space="preserve"> </w:t>
        </w:r>
        <w:r w:rsidR="00134F53" w:rsidRPr="007E3835">
          <w:rPr>
            <w:rStyle w:val="Hyperlink"/>
            <w:rFonts w:hint="eastAsia"/>
            <w:noProof/>
            <w:rtl/>
          </w:rPr>
          <w:t>יז</w:t>
        </w:r>
        <w:r w:rsidR="00134F53" w:rsidRPr="007E3835">
          <w:rPr>
            <w:rStyle w:val="Hyperlink"/>
            <w:noProof/>
            <w:rtl/>
          </w:rPr>
          <w:t xml:space="preserve"> </w:t>
        </w:r>
        <w:r w:rsidR="00134F53" w:rsidRPr="007E3835">
          <w:rPr>
            <w:rStyle w:val="Hyperlink"/>
            <w:rFonts w:hint="eastAsia"/>
            <w:noProof/>
            <w:rtl/>
          </w:rPr>
          <w:t>ע</w:t>
        </w:r>
        <w:r w:rsidR="00134F53" w:rsidRPr="007E3835">
          <w:rPr>
            <w:rStyle w:val="Hyperlink"/>
            <w:noProof/>
            <w:rtl/>
          </w:rPr>
          <w:t>''</w:t>
        </w:r>
        <w:r w:rsidR="00134F53" w:rsidRPr="007E3835">
          <w:rPr>
            <w:rStyle w:val="Hyperlink"/>
            <w:rFonts w:hint="eastAsia"/>
            <w:noProof/>
            <w:rtl/>
          </w:rPr>
          <w:t>א</w:t>
        </w:r>
        <w:r w:rsidR="00134F53" w:rsidRPr="007E3835">
          <w:rPr>
            <w:rStyle w:val="Hyperlink"/>
            <w:noProof/>
            <w:rtl/>
          </w:rPr>
          <w:t>]</w:t>
        </w:r>
        <w:r w:rsidR="00134F53">
          <w:rPr>
            <w:noProof/>
            <w:webHidden/>
            <w:rtl/>
          </w:rPr>
          <w:tab/>
        </w:r>
        <w:r w:rsidR="00134F53">
          <w:rPr>
            <w:noProof/>
            <w:webHidden/>
            <w:rtl/>
          </w:rPr>
          <w:fldChar w:fldCharType="begin"/>
        </w:r>
        <w:r w:rsidR="00134F53">
          <w:rPr>
            <w:noProof/>
            <w:webHidden/>
            <w:rtl/>
          </w:rPr>
          <w:instrText xml:space="preserve"> </w:instrText>
        </w:r>
        <w:r w:rsidR="00134F53">
          <w:rPr>
            <w:noProof/>
            <w:webHidden/>
          </w:rPr>
          <w:instrText>PAGEREF</w:instrText>
        </w:r>
        <w:r w:rsidR="00134F53">
          <w:rPr>
            <w:noProof/>
            <w:webHidden/>
            <w:rtl/>
          </w:rPr>
          <w:instrText xml:space="preserve"> _</w:instrText>
        </w:r>
        <w:r w:rsidR="00134F53">
          <w:rPr>
            <w:noProof/>
            <w:webHidden/>
          </w:rPr>
          <w:instrText>Toc405982938 \h</w:instrText>
        </w:r>
        <w:r w:rsidR="00134F53">
          <w:rPr>
            <w:noProof/>
            <w:webHidden/>
            <w:rtl/>
          </w:rPr>
          <w:instrText xml:space="preserve"> </w:instrText>
        </w:r>
        <w:r w:rsidR="00134F53">
          <w:rPr>
            <w:noProof/>
            <w:webHidden/>
            <w:rtl/>
          </w:rPr>
        </w:r>
        <w:r w:rsidR="00134F53">
          <w:rPr>
            <w:noProof/>
            <w:webHidden/>
            <w:rtl/>
          </w:rPr>
          <w:fldChar w:fldCharType="separate"/>
        </w:r>
        <w:r w:rsidR="00134F53">
          <w:rPr>
            <w:noProof/>
            <w:webHidden/>
            <w:rtl/>
          </w:rPr>
          <w:t>15</w:t>
        </w:r>
        <w:r w:rsidR="00134F53">
          <w:rPr>
            <w:noProof/>
            <w:webHidden/>
            <w:rtl/>
          </w:rPr>
          <w:fldChar w:fldCharType="end"/>
        </w:r>
      </w:hyperlink>
    </w:p>
    <w:p w:rsidR="00134F53" w:rsidRDefault="00156DAD">
      <w:pPr>
        <w:pStyle w:val="TOC2"/>
        <w:tabs>
          <w:tab w:val="right" w:leader="dot" w:pos="10194"/>
        </w:tabs>
        <w:rPr>
          <w:noProof/>
          <w:rtl/>
        </w:rPr>
      </w:pPr>
      <w:hyperlink w:anchor="_Toc405982939" w:history="1">
        <w:r w:rsidR="00134F53" w:rsidRPr="007E3835">
          <w:rPr>
            <w:rStyle w:val="Hyperlink"/>
            <w:noProof/>
            <w:rtl/>
          </w:rPr>
          <w:t>[</w:t>
        </w:r>
        <w:r w:rsidR="00134F53" w:rsidRPr="007E3835">
          <w:rPr>
            <w:rStyle w:val="Hyperlink"/>
            <w:rFonts w:hint="eastAsia"/>
            <w:noProof/>
            <w:rtl/>
          </w:rPr>
          <w:t>תיקוני</w:t>
        </w:r>
        <w:r w:rsidR="00134F53" w:rsidRPr="007E3835">
          <w:rPr>
            <w:rStyle w:val="Hyperlink"/>
            <w:noProof/>
            <w:rtl/>
          </w:rPr>
          <w:t xml:space="preserve"> </w:t>
        </w:r>
        <w:r w:rsidR="00134F53" w:rsidRPr="007E3835">
          <w:rPr>
            <w:rStyle w:val="Hyperlink"/>
            <w:rFonts w:hint="eastAsia"/>
            <w:noProof/>
            <w:rtl/>
          </w:rPr>
          <w:t>זוהר</w:t>
        </w:r>
        <w:r w:rsidR="00134F53" w:rsidRPr="007E3835">
          <w:rPr>
            <w:rStyle w:val="Hyperlink"/>
            <w:noProof/>
            <w:rtl/>
          </w:rPr>
          <w:t xml:space="preserve"> - </w:t>
        </w:r>
        <w:r w:rsidR="00134F53" w:rsidRPr="007E3835">
          <w:rPr>
            <w:rStyle w:val="Hyperlink"/>
            <w:rFonts w:hint="eastAsia"/>
            <w:noProof/>
            <w:rtl/>
          </w:rPr>
          <w:t>דף</w:t>
        </w:r>
        <w:r w:rsidR="00134F53" w:rsidRPr="007E3835">
          <w:rPr>
            <w:rStyle w:val="Hyperlink"/>
            <w:noProof/>
            <w:rtl/>
          </w:rPr>
          <w:t xml:space="preserve"> </w:t>
        </w:r>
        <w:r w:rsidR="00134F53" w:rsidRPr="007E3835">
          <w:rPr>
            <w:rStyle w:val="Hyperlink"/>
            <w:rFonts w:hint="eastAsia"/>
            <w:noProof/>
            <w:rtl/>
          </w:rPr>
          <w:t>יז</w:t>
        </w:r>
        <w:r w:rsidR="00134F53" w:rsidRPr="007E3835">
          <w:rPr>
            <w:rStyle w:val="Hyperlink"/>
            <w:noProof/>
            <w:rtl/>
          </w:rPr>
          <w:t xml:space="preserve"> </w:t>
        </w:r>
        <w:r w:rsidR="00134F53" w:rsidRPr="007E3835">
          <w:rPr>
            <w:rStyle w:val="Hyperlink"/>
            <w:rFonts w:hint="eastAsia"/>
            <w:noProof/>
            <w:rtl/>
          </w:rPr>
          <w:t>ע</w:t>
        </w:r>
        <w:r w:rsidR="00134F53" w:rsidRPr="007E3835">
          <w:rPr>
            <w:rStyle w:val="Hyperlink"/>
            <w:noProof/>
            <w:rtl/>
          </w:rPr>
          <w:t>''</w:t>
        </w:r>
        <w:r w:rsidR="00134F53" w:rsidRPr="007E3835">
          <w:rPr>
            <w:rStyle w:val="Hyperlink"/>
            <w:rFonts w:hint="eastAsia"/>
            <w:noProof/>
            <w:rtl/>
          </w:rPr>
          <w:t>ב</w:t>
        </w:r>
        <w:r w:rsidR="00134F53" w:rsidRPr="007E3835">
          <w:rPr>
            <w:rStyle w:val="Hyperlink"/>
            <w:noProof/>
            <w:rtl/>
          </w:rPr>
          <w:t>]</w:t>
        </w:r>
        <w:r w:rsidR="00134F53">
          <w:rPr>
            <w:noProof/>
            <w:webHidden/>
            <w:rtl/>
          </w:rPr>
          <w:tab/>
        </w:r>
        <w:r w:rsidR="00134F53">
          <w:rPr>
            <w:noProof/>
            <w:webHidden/>
            <w:rtl/>
          </w:rPr>
          <w:fldChar w:fldCharType="begin"/>
        </w:r>
        <w:r w:rsidR="00134F53">
          <w:rPr>
            <w:noProof/>
            <w:webHidden/>
            <w:rtl/>
          </w:rPr>
          <w:instrText xml:space="preserve"> </w:instrText>
        </w:r>
        <w:r w:rsidR="00134F53">
          <w:rPr>
            <w:noProof/>
            <w:webHidden/>
          </w:rPr>
          <w:instrText>PAGEREF</w:instrText>
        </w:r>
        <w:r w:rsidR="00134F53">
          <w:rPr>
            <w:noProof/>
            <w:webHidden/>
            <w:rtl/>
          </w:rPr>
          <w:instrText xml:space="preserve"> _</w:instrText>
        </w:r>
        <w:r w:rsidR="00134F53">
          <w:rPr>
            <w:noProof/>
            <w:webHidden/>
          </w:rPr>
          <w:instrText>Toc405982939 \h</w:instrText>
        </w:r>
        <w:r w:rsidR="00134F53">
          <w:rPr>
            <w:noProof/>
            <w:webHidden/>
            <w:rtl/>
          </w:rPr>
          <w:instrText xml:space="preserve"> </w:instrText>
        </w:r>
        <w:r w:rsidR="00134F53">
          <w:rPr>
            <w:noProof/>
            <w:webHidden/>
            <w:rtl/>
          </w:rPr>
        </w:r>
        <w:r w:rsidR="00134F53">
          <w:rPr>
            <w:noProof/>
            <w:webHidden/>
            <w:rtl/>
          </w:rPr>
          <w:fldChar w:fldCharType="separate"/>
        </w:r>
        <w:r w:rsidR="00134F53">
          <w:rPr>
            <w:noProof/>
            <w:webHidden/>
            <w:rtl/>
          </w:rPr>
          <w:t>17</w:t>
        </w:r>
        <w:r w:rsidR="00134F53">
          <w:rPr>
            <w:noProof/>
            <w:webHidden/>
            <w:rtl/>
          </w:rPr>
          <w:fldChar w:fldCharType="end"/>
        </w:r>
      </w:hyperlink>
    </w:p>
    <w:p w:rsidR="00134F53" w:rsidRDefault="00156DAD">
      <w:pPr>
        <w:pStyle w:val="TOC2"/>
        <w:tabs>
          <w:tab w:val="right" w:leader="dot" w:pos="10194"/>
        </w:tabs>
        <w:rPr>
          <w:noProof/>
          <w:rtl/>
        </w:rPr>
      </w:pPr>
      <w:hyperlink w:anchor="_Toc405982940" w:history="1">
        <w:r w:rsidR="00134F53" w:rsidRPr="007E3835">
          <w:rPr>
            <w:rStyle w:val="Hyperlink"/>
            <w:noProof/>
            <w:rtl/>
          </w:rPr>
          <w:t>[</w:t>
        </w:r>
        <w:r w:rsidR="00134F53" w:rsidRPr="007E3835">
          <w:rPr>
            <w:rStyle w:val="Hyperlink"/>
            <w:rFonts w:hint="eastAsia"/>
            <w:noProof/>
            <w:rtl/>
          </w:rPr>
          <w:t>תיקוני</w:t>
        </w:r>
        <w:r w:rsidR="00134F53" w:rsidRPr="007E3835">
          <w:rPr>
            <w:rStyle w:val="Hyperlink"/>
            <w:noProof/>
            <w:rtl/>
          </w:rPr>
          <w:t xml:space="preserve"> </w:t>
        </w:r>
        <w:r w:rsidR="00134F53" w:rsidRPr="007E3835">
          <w:rPr>
            <w:rStyle w:val="Hyperlink"/>
            <w:rFonts w:hint="eastAsia"/>
            <w:noProof/>
            <w:rtl/>
          </w:rPr>
          <w:t>זוהר</w:t>
        </w:r>
        <w:r w:rsidR="00134F53" w:rsidRPr="007E3835">
          <w:rPr>
            <w:rStyle w:val="Hyperlink"/>
            <w:noProof/>
            <w:rtl/>
          </w:rPr>
          <w:t xml:space="preserve"> - </w:t>
        </w:r>
        <w:r w:rsidR="00134F53" w:rsidRPr="007E3835">
          <w:rPr>
            <w:rStyle w:val="Hyperlink"/>
            <w:rFonts w:hint="eastAsia"/>
            <w:noProof/>
            <w:rtl/>
          </w:rPr>
          <w:t>דף</w:t>
        </w:r>
        <w:r w:rsidR="00134F53" w:rsidRPr="007E3835">
          <w:rPr>
            <w:rStyle w:val="Hyperlink"/>
            <w:noProof/>
            <w:rtl/>
          </w:rPr>
          <w:t xml:space="preserve"> </w:t>
        </w:r>
        <w:r w:rsidR="00134F53" w:rsidRPr="007E3835">
          <w:rPr>
            <w:rStyle w:val="Hyperlink"/>
            <w:rFonts w:hint="eastAsia"/>
            <w:noProof/>
            <w:rtl/>
          </w:rPr>
          <w:t>יח</w:t>
        </w:r>
        <w:r w:rsidR="00134F53" w:rsidRPr="007E3835">
          <w:rPr>
            <w:rStyle w:val="Hyperlink"/>
            <w:noProof/>
            <w:rtl/>
          </w:rPr>
          <w:t xml:space="preserve"> </w:t>
        </w:r>
        <w:r w:rsidR="00134F53" w:rsidRPr="007E3835">
          <w:rPr>
            <w:rStyle w:val="Hyperlink"/>
            <w:rFonts w:hint="eastAsia"/>
            <w:noProof/>
            <w:rtl/>
          </w:rPr>
          <w:t>ע</w:t>
        </w:r>
        <w:r w:rsidR="00134F53" w:rsidRPr="007E3835">
          <w:rPr>
            <w:rStyle w:val="Hyperlink"/>
            <w:noProof/>
            <w:rtl/>
          </w:rPr>
          <w:t>''</w:t>
        </w:r>
        <w:r w:rsidR="00134F53" w:rsidRPr="007E3835">
          <w:rPr>
            <w:rStyle w:val="Hyperlink"/>
            <w:rFonts w:hint="eastAsia"/>
            <w:noProof/>
            <w:rtl/>
          </w:rPr>
          <w:t>א</w:t>
        </w:r>
        <w:r w:rsidR="00134F53" w:rsidRPr="007E3835">
          <w:rPr>
            <w:rStyle w:val="Hyperlink"/>
            <w:noProof/>
            <w:rtl/>
          </w:rPr>
          <w:t>]</w:t>
        </w:r>
        <w:r w:rsidR="00134F53">
          <w:rPr>
            <w:noProof/>
            <w:webHidden/>
            <w:rtl/>
          </w:rPr>
          <w:tab/>
        </w:r>
        <w:r w:rsidR="00134F53">
          <w:rPr>
            <w:noProof/>
            <w:webHidden/>
            <w:rtl/>
          </w:rPr>
          <w:fldChar w:fldCharType="begin"/>
        </w:r>
        <w:r w:rsidR="00134F53">
          <w:rPr>
            <w:noProof/>
            <w:webHidden/>
            <w:rtl/>
          </w:rPr>
          <w:instrText xml:space="preserve"> </w:instrText>
        </w:r>
        <w:r w:rsidR="00134F53">
          <w:rPr>
            <w:noProof/>
            <w:webHidden/>
          </w:rPr>
          <w:instrText>PAGEREF</w:instrText>
        </w:r>
        <w:r w:rsidR="00134F53">
          <w:rPr>
            <w:noProof/>
            <w:webHidden/>
            <w:rtl/>
          </w:rPr>
          <w:instrText xml:space="preserve"> _</w:instrText>
        </w:r>
        <w:r w:rsidR="00134F53">
          <w:rPr>
            <w:noProof/>
            <w:webHidden/>
          </w:rPr>
          <w:instrText>Toc405982940 \h</w:instrText>
        </w:r>
        <w:r w:rsidR="00134F53">
          <w:rPr>
            <w:noProof/>
            <w:webHidden/>
            <w:rtl/>
          </w:rPr>
          <w:instrText xml:space="preserve"> </w:instrText>
        </w:r>
        <w:r w:rsidR="00134F53">
          <w:rPr>
            <w:noProof/>
            <w:webHidden/>
            <w:rtl/>
          </w:rPr>
        </w:r>
        <w:r w:rsidR="00134F53">
          <w:rPr>
            <w:noProof/>
            <w:webHidden/>
            <w:rtl/>
          </w:rPr>
          <w:fldChar w:fldCharType="separate"/>
        </w:r>
        <w:r w:rsidR="00134F53">
          <w:rPr>
            <w:noProof/>
            <w:webHidden/>
            <w:rtl/>
          </w:rPr>
          <w:t>19</w:t>
        </w:r>
        <w:r w:rsidR="00134F53">
          <w:rPr>
            <w:noProof/>
            <w:webHidden/>
            <w:rtl/>
          </w:rPr>
          <w:fldChar w:fldCharType="end"/>
        </w:r>
      </w:hyperlink>
    </w:p>
    <w:p w:rsidR="00134F53" w:rsidRDefault="00156DAD">
      <w:pPr>
        <w:pStyle w:val="TOC2"/>
        <w:tabs>
          <w:tab w:val="right" w:leader="dot" w:pos="10194"/>
        </w:tabs>
        <w:rPr>
          <w:noProof/>
          <w:rtl/>
        </w:rPr>
      </w:pPr>
      <w:hyperlink w:anchor="_Toc405982941" w:history="1">
        <w:r w:rsidR="00134F53" w:rsidRPr="007E3835">
          <w:rPr>
            <w:rStyle w:val="Hyperlink"/>
            <w:noProof/>
            <w:rtl/>
          </w:rPr>
          <w:t>[</w:t>
        </w:r>
        <w:r w:rsidR="00134F53" w:rsidRPr="007E3835">
          <w:rPr>
            <w:rStyle w:val="Hyperlink"/>
            <w:rFonts w:hint="eastAsia"/>
            <w:noProof/>
            <w:rtl/>
          </w:rPr>
          <w:t>תיקוני</w:t>
        </w:r>
        <w:r w:rsidR="00134F53" w:rsidRPr="007E3835">
          <w:rPr>
            <w:rStyle w:val="Hyperlink"/>
            <w:noProof/>
            <w:rtl/>
          </w:rPr>
          <w:t xml:space="preserve"> </w:t>
        </w:r>
        <w:r w:rsidR="00134F53" w:rsidRPr="007E3835">
          <w:rPr>
            <w:rStyle w:val="Hyperlink"/>
            <w:rFonts w:hint="eastAsia"/>
            <w:noProof/>
            <w:rtl/>
          </w:rPr>
          <w:t>זוהר</w:t>
        </w:r>
        <w:r w:rsidR="00134F53" w:rsidRPr="007E3835">
          <w:rPr>
            <w:rStyle w:val="Hyperlink"/>
            <w:noProof/>
            <w:rtl/>
          </w:rPr>
          <w:t xml:space="preserve"> - </w:t>
        </w:r>
        <w:r w:rsidR="00134F53" w:rsidRPr="007E3835">
          <w:rPr>
            <w:rStyle w:val="Hyperlink"/>
            <w:rFonts w:hint="eastAsia"/>
            <w:noProof/>
            <w:rtl/>
          </w:rPr>
          <w:t>דף</w:t>
        </w:r>
        <w:r w:rsidR="00134F53" w:rsidRPr="007E3835">
          <w:rPr>
            <w:rStyle w:val="Hyperlink"/>
            <w:noProof/>
            <w:rtl/>
          </w:rPr>
          <w:t xml:space="preserve"> </w:t>
        </w:r>
        <w:r w:rsidR="00134F53" w:rsidRPr="007E3835">
          <w:rPr>
            <w:rStyle w:val="Hyperlink"/>
            <w:rFonts w:hint="eastAsia"/>
            <w:noProof/>
            <w:rtl/>
          </w:rPr>
          <w:t>יח</w:t>
        </w:r>
        <w:r w:rsidR="00134F53" w:rsidRPr="007E3835">
          <w:rPr>
            <w:rStyle w:val="Hyperlink"/>
            <w:noProof/>
            <w:rtl/>
          </w:rPr>
          <w:t xml:space="preserve"> </w:t>
        </w:r>
        <w:r w:rsidR="00134F53" w:rsidRPr="007E3835">
          <w:rPr>
            <w:rStyle w:val="Hyperlink"/>
            <w:rFonts w:hint="eastAsia"/>
            <w:noProof/>
            <w:rtl/>
          </w:rPr>
          <w:t>ע</w:t>
        </w:r>
        <w:r w:rsidR="00134F53" w:rsidRPr="007E3835">
          <w:rPr>
            <w:rStyle w:val="Hyperlink"/>
            <w:noProof/>
            <w:rtl/>
          </w:rPr>
          <w:t>''</w:t>
        </w:r>
        <w:r w:rsidR="00134F53" w:rsidRPr="007E3835">
          <w:rPr>
            <w:rStyle w:val="Hyperlink"/>
            <w:rFonts w:hint="eastAsia"/>
            <w:noProof/>
            <w:rtl/>
          </w:rPr>
          <w:t>ב</w:t>
        </w:r>
        <w:r w:rsidR="00134F53" w:rsidRPr="007E3835">
          <w:rPr>
            <w:rStyle w:val="Hyperlink"/>
            <w:noProof/>
            <w:rtl/>
          </w:rPr>
          <w:t>]</w:t>
        </w:r>
        <w:r w:rsidR="00134F53">
          <w:rPr>
            <w:noProof/>
            <w:webHidden/>
            <w:rtl/>
          </w:rPr>
          <w:tab/>
        </w:r>
        <w:r w:rsidR="00134F53">
          <w:rPr>
            <w:noProof/>
            <w:webHidden/>
            <w:rtl/>
          </w:rPr>
          <w:fldChar w:fldCharType="begin"/>
        </w:r>
        <w:r w:rsidR="00134F53">
          <w:rPr>
            <w:noProof/>
            <w:webHidden/>
            <w:rtl/>
          </w:rPr>
          <w:instrText xml:space="preserve"> </w:instrText>
        </w:r>
        <w:r w:rsidR="00134F53">
          <w:rPr>
            <w:noProof/>
            <w:webHidden/>
          </w:rPr>
          <w:instrText>PAGEREF</w:instrText>
        </w:r>
        <w:r w:rsidR="00134F53">
          <w:rPr>
            <w:noProof/>
            <w:webHidden/>
            <w:rtl/>
          </w:rPr>
          <w:instrText xml:space="preserve"> _</w:instrText>
        </w:r>
        <w:r w:rsidR="00134F53">
          <w:rPr>
            <w:noProof/>
            <w:webHidden/>
          </w:rPr>
          <w:instrText>Toc405982941 \h</w:instrText>
        </w:r>
        <w:r w:rsidR="00134F53">
          <w:rPr>
            <w:noProof/>
            <w:webHidden/>
            <w:rtl/>
          </w:rPr>
          <w:instrText xml:space="preserve"> </w:instrText>
        </w:r>
        <w:r w:rsidR="00134F53">
          <w:rPr>
            <w:noProof/>
            <w:webHidden/>
            <w:rtl/>
          </w:rPr>
        </w:r>
        <w:r w:rsidR="00134F53">
          <w:rPr>
            <w:noProof/>
            <w:webHidden/>
            <w:rtl/>
          </w:rPr>
          <w:fldChar w:fldCharType="separate"/>
        </w:r>
        <w:r w:rsidR="00134F53">
          <w:rPr>
            <w:noProof/>
            <w:webHidden/>
            <w:rtl/>
          </w:rPr>
          <w:t>21</w:t>
        </w:r>
        <w:r w:rsidR="00134F53">
          <w:rPr>
            <w:noProof/>
            <w:webHidden/>
            <w:rtl/>
          </w:rPr>
          <w:fldChar w:fldCharType="end"/>
        </w:r>
      </w:hyperlink>
    </w:p>
    <w:p w:rsidR="00134F53" w:rsidRDefault="00156DAD">
      <w:pPr>
        <w:pStyle w:val="TOC2"/>
        <w:tabs>
          <w:tab w:val="right" w:leader="dot" w:pos="10194"/>
        </w:tabs>
        <w:rPr>
          <w:noProof/>
          <w:rtl/>
        </w:rPr>
      </w:pPr>
      <w:hyperlink w:anchor="_Toc405982942" w:history="1">
        <w:r w:rsidR="00134F53" w:rsidRPr="007E3835">
          <w:rPr>
            <w:rStyle w:val="Hyperlink"/>
            <w:noProof/>
            <w:rtl/>
          </w:rPr>
          <w:t>[</w:t>
        </w:r>
        <w:r w:rsidR="00134F53" w:rsidRPr="007E3835">
          <w:rPr>
            <w:rStyle w:val="Hyperlink"/>
            <w:rFonts w:hint="eastAsia"/>
            <w:noProof/>
            <w:rtl/>
          </w:rPr>
          <w:t>תיקוני</w:t>
        </w:r>
        <w:r w:rsidR="00134F53" w:rsidRPr="007E3835">
          <w:rPr>
            <w:rStyle w:val="Hyperlink"/>
            <w:noProof/>
            <w:rtl/>
          </w:rPr>
          <w:t xml:space="preserve"> </w:t>
        </w:r>
        <w:r w:rsidR="00134F53" w:rsidRPr="007E3835">
          <w:rPr>
            <w:rStyle w:val="Hyperlink"/>
            <w:rFonts w:hint="eastAsia"/>
            <w:noProof/>
            <w:rtl/>
          </w:rPr>
          <w:t>זוהר</w:t>
        </w:r>
        <w:r w:rsidR="00134F53" w:rsidRPr="007E3835">
          <w:rPr>
            <w:rStyle w:val="Hyperlink"/>
            <w:noProof/>
            <w:rtl/>
          </w:rPr>
          <w:t xml:space="preserve"> - </w:t>
        </w:r>
        <w:r w:rsidR="00134F53" w:rsidRPr="007E3835">
          <w:rPr>
            <w:rStyle w:val="Hyperlink"/>
            <w:rFonts w:hint="eastAsia"/>
            <w:noProof/>
            <w:rtl/>
          </w:rPr>
          <w:t>דף</w:t>
        </w:r>
        <w:r w:rsidR="00134F53" w:rsidRPr="007E3835">
          <w:rPr>
            <w:rStyle w:val="Hyperlink"/>
            <w:noProof/>
            <w:rtl/>
          </w:rPr>
          <w:t xml:space="preserve"> </w:t>
        </w:r>
        <w:r w:rsidR="00134F53" w:rsidRPr="007E3835">
          <w:rPr>
            <w:rStyle w:val="Hyperlink"/>
            <w:rFonts w:hint="eastAsia"/>
            <w:noProof/>
            <w:rtl/>
          </w:rPr>
          <w:t>יט</w:t>
        </w:r>
        <w:r w:rsidR="00134F53" w:rsidRPr="007E3835">
          <w:rPr>
            <w:rStyle w:val="Hyperlink"/>
            <w:noProof/>
            <w:rtl/>
          </w:rPr>
          <w:t xml:space="preserve"> </w:t>
        </w:r>
        <w:r w:rsidR="00134F53" w:rsidRPr="007E3835">
          <w:rPr>
            <w:rStyle w:val="Hyperlink"/>
            <w:rFonts w:hint="eastAsia"/>
            <w:noProof/>
            <w:rtl/>
          </w:rPr>
          <w:t>ע</w:t>
        </w:r>
        <w:r w:rsidR="00134F53" w:rsidRPr="007E3835">
          <w:rPr>
            <w:rStyle w:val="Hyperlink"/>
            <w:noProof/>
            <w:rtl/>
          </w:rPr>
          <w:t>''</w:t>
        </w:r>
        <w:r w:rsidR="00134F53" w:rsidRPr="007E3835">
          <w:rPr>
            <w:rStyle w:val="Hyperlink"/>
            <w:rFonts w:hint="eastAsia"/>
            <w:noProof/>
            <w:rtl/>
          </w:rPr>
          <w:t>א</w:t>
        </w:r>
        <w:r w:rsidR="00134F53" w:rsidRPr="007E3835">
          <w:rPr>
            <w:rStyle w:val="Hyperlink"/>
            <w:noProof/>
            <w:rtl/>
          </w:rPr>
          <w:t>]</w:t>
        </w:r>
        <w:r w:rsidR="00134F53">
          <w:rPr>
            <w:noProof/>
            <w:webHidden/>
            <w:rtl/>
          </w:rPr>
          <w:tab/>
        </w:r>
        <w:r w:rsidR="00134F53">
          <w:rPr>
            <w:noProof/>
            <w:webHidden/>
            <w:rtl/>
          </w:rPr>
          <w:fldChar w:fldCharType="begin"/>
        </w:r>
        <w:r w:rsidR="00134F53">
          <w:rPr>
            <w:noProof/>
            <w:webHidden/>
            <w:rtl/>
          </w:rPr>
          <w:instrText xml:space="preserve"> </w:instrText>
        </w:r>
        <w:r w:rsidR="00134F53">
          <w:rPr>
            <w:noProof/>
            <w:webHidden/>
          </w:rPr>
          <w:instrText>PAGEREF</w:instrText>
        </w:r>
        <w:r w:rsidR="00134F53">
          <w:rPr>
            <w:noProof/>
            <w:webHidden/>
            <w:rtl/>
          </w:rPr>
          <w:instrText xml:space="preserve"> _</w:instrText>
        </w:r>
        <w:r w:rsidR="00134F53">
          <w:rPr>
            <w:noProof/>
            <w:webHidden/>
          </w:rPr>
          <w:instrText>Toc405982942 \h</w:instrText>
        </w:r>
        <w:r w:rsidR="00134F53">
          <w:rPr>
            <w:noProof/>
            <w:webHidden/>
            <w:rtl/>
          </w:rPr>
          <w:instrText xml:space="preserve"> </w:instrText>
        </w:r>
        <w:r w:rsidR="00134F53">
          <w:rPr>
            <w:noProof/>
            <w:webHidden/>
            <w:rtl/>
          </w:rPr>
        </w:r>
        <w:r w:rsidR="00134F53">
          <w:rPr>
            <w:noProof/>
            <w:webHidden/>
            <w:rtl/>
          </w:rPr>
          <w:fldChar w:fldCharType="separate"/>
        </w:r>
        <w:r w:rsidR="00134F53">
          <w:rPr>
            <w:noProof/>
            <w:webHidden/>
            <w:rtl/>
          </w:rPr>
          <w:t>23</w:t>
        </w:r>
        <w:r w:rsidR="00134F53">
          <w:rPr>
            <w:noProof/>
            <w:webHidden/>
            <w:rtl/>
          </w:rPr>
          <w:fldChar w:fldCharType="end"/>
        </w:r>
      </w:hyperlink>
    </w:p>
    <w:p w:rsidR="00134F53" w:rsidRDefault="00156DAD">
      <w:pPr>
        <w:pStyle w:val="TOC2"/>
        <w:tabs>
          <w:tab w:val="right" w:leader="dot" w:pos="10194"/>
        </w:tabs>
        <w:rPr>
          <w:noProof/>
          <w:rtl/>
        </w:rPr>
      </w:pPr>
      <w:hyperlink w:anchor="_Toc405982943" w:history="1">
        <w:r w:rsidR="00134F53" w:rsidRPr="007E3835">
          <w:rPr>
            <w:rStyle w:val="Hyperlink"/>
            <w:noProof/>
            <w:rtl/>
          </w:rPr>
          <w:t>[</w:t>
        </w:r>
        <w:r w:rsidR="00134F53" w:rsidRPr="007E3835">
          <w:rPr>
            <w:rStyle w:val="Hyperlink"/>
            <w:rFonts w:hint="eastAsia"/>
            <w:noProof/>
            <w:rtl/>
          </w:rPr>
          <w:t>תיקוני</w:t>
        </w:r>
        <w:r w:rsidR="00134F53" w:rsidRPr="007E3835">
          <w:rPr>
            <w:rStyle w:val="Hyperlink"/>
            <w:noProof/>
            <w:rtl/>
          </w:rPr>
          <w:t xml:space="preserve"> </w:t>
        </w:r>
        <w:r w:rsidR="00134F53" w:rsidRPr="007E3835">
          <w:rPr>
            <w:rStyle w:val="Hyperlink"/>
            <w:rFonts w:hint="eastAsia"/>
            <w:noProof/>
            <w:rtl/>
          </w:rPr>
          <w:t>זוהר</w:t>
        </w:r>
        <w:r w:rsidR="00134F53" w:rsidRPr="007E3835">
          <w:rPr>
            <w:rStyle w:val="Hyperlink"/>
            <w:noProof/>
            <w:rtl/>
          </w:rPr>
          <w:t xml:space="preserve"> - </w:t>
        </w:r>
        <w:r w:rsidR="00134F53" w:rsidRPr="007E3835">
          <w:rPr>
            <w:rStyle w:val="Hyperlink"/>
            <w:rFonts w:hint="eastAsia"/>
            <w:noProof/>
            <w:rtl/>
          </w:rPr>
          <w:t>דף</w:t>
        </w:r>
        <w:r w:rsidR="00134F53" w:rsidRPr="007E3835">
          <w:rPr>
            <w:rStyle w:val="Hyperlink"/>
            <w:noProof/>
            <w:rtl/>
          </w:rPr>
          <w:t xml:space="preserve"> </w:t>
        </w:r>
        <w:r w:rsidR="00134F53" w:rsidRPr="007E3835">
          <w:rPr>
            <w:rStyle w:val="Hyperlink"/>
            <w:rFonts w:hint="eastAsia"/>
            <w:noProof/>
            <w:rtl/>
          </w:rPr>
          <w:t>יט</w:t>
        </w:r>
        <w:r w:rsidR="00134F53" w:rsidRPr="007E3835">
          <w:rPr>
            <w:rStyle w:val="Hyperlink"/>
            <w:noProof/>
            <w:rtl/>
          </w:rPr>
          <w:t xml:space="preserve"> </w:t>
        </w:r>
        <w:r w:rsidR="00134F53" w:rsidRPr="007E3835">
          <w:rPr>
            <w:rStyle w:val="Hyperlink"/>
            <w:rFonts w:hint="eastAsia"/>
            <w:noProof/>
            <w:rtl/>
          </w:rPr>
          <w:t>ע</w:t>
        </w:r>
        <w:r w:rsidR="00134F53" w:rsidRPr="007E3835">
          <w:rPr>
            <w:rStyle w:val="Hyperlink"/>
            <w:noProof/>
            <w:rtl/>
          </w:rPr>
          <w:t>''</w:t>
        </w:r>
        <w:r w:rsidR="00134F53" w:rsidRPr="007E3835">
          <w:rPr>
            <w:rStyle w:val="Hyperlink"/>
            <w:rFonts w:hint="eastAsia"/>
            <w:noProof/>
            <w:rtl/>
          </w:rPr>
          <w:t>ב</w:t>
        </w:r>
        <w:r w:rsidR="00134F53" w:rsidRPr="007E3835">
          <w:rPr>
            <w:rStyle w:val="Hyperlink"/>
            <w:noProof/>
            <w:rtl/>
          </w:rPr>
          <w:t>]</w:t>
        </w:r>
        <w:r w:rsidR="00134F53">
          <w:rPr>
            <w:noProof/>
            <w:webHidden/>
            <w:rtl/>
          </w:rPr>
          <w:tab/>
        </w:r>
        <w:r w:rsidR="00134F53">
          <w:rPr>
            <w:noProof/>
            <w:webHidden/>
            <w:rtl/>
          </w:rPr>
          <w:fldChar w:fldCharType="begin"/>
        </w:r>
        <w:r w:rsidR="00134F53">
          <w:rPr>
            <w:noProof/>
            <w:webHidden/>
            <w:rtl/>
          </w:rPr>
          <w:instrText xml:space="preserve"> </w:instrText>
        </w:r>
        <w:r w:rsidR="00134F53">
          <w:rPr>
            <w:noProof/>
            <w:webHidden/>
          </w:rPr>
          <w:instrText>PAGEREF</w:instrText>
        </w:r>
        <w:r w:rsidR="00134F53">
          <w:rPr>
            <w:noProof/>
            <w:webHidden/>
            <w:rtl/>
          </w:rPr>
          <w:instrText xml:space="preserve"> _</w:instrText>
        </w:r>
        <w:r w:rsidR="00134F53">
          <w:rPr>
            <w:noProof/>
            <w:webHidden/>
          </w:rPr>
          <w:instrText>Toc405982943 \h</w:instrText>
        </w:r>
        <w:r w:rsidR="00134F53">
          <w:rPr>
            <w:noProof/>
            <w:webHidden/>
            <w:rtl/>
          </w:rPr>
          <w:instrText xml:space="preserve"> </w:instrText>
        </w:r>
        <w:r w:rsidR="00134F53">
          <w:rPr>
            <w:noProof/>
            <w:webHidden/>
            <w:rtl/>
          </w:rPr>
        </w:r>
        <w:r w:rsidR="00134F53">
          <w:rPr>
            <w:noProof/>
            <w:webHidden/>
            <w:rtl/>
          </w:rPr>
          <w:fldChar w:fldCharType="separate"/>
        </w:r>
        <w:r w:rsidR="00134F53">
          <w:rPr>
            <w:noProof/>
            <w:webHidden/>
            <w:rtl/>
          </w:rPr>
          <w:t>24</w:t>
        </w:r>
        <w:r w:rsidR="00134F53">
          <w:rPr>
            <w:noProof/>
            <w:webHidden/>
            <w:rtl/>
          </w:rPr>
          <w:fldChar w:fldCharType="end"/>
        </w:r>
      </w:hyperlink>
    </w:p>
    <w:p w:rsidR="00134F53" w:rsidRDefault="00156DAD">
      <w:pPr>
        <w:pStyle w:val="TOC2"/>
        <w:tabs>
          <w:tab w:val="right" w:leader="dot" w:pos="10194"/>
        </w:tabs>
        <w:rPr>
          <w:noProof/>
          <w:rtl/>
        </w:rPr>
      </w:pPr>
      <w:hyperlink w:anchor="_Toc405982944" w:history="1">
        <w:r w:rsidR="00134F53" w:rsidRPr="007E3835">
          <w:rPr>
            <w:rStyle w:val="Hyperlink"/>
            <w:noProof/>
            <w:rtl/>
          </w:rPr>
          <w:t>[</w:t>
        </w:r>
        <w:r w:rsidR="00134F53" w:rsidRPr="007E3835">
          <w:rPr>
            <w:rStyle w:val="Hyperlink"/>
            <w:rFonts w:hint="eastAsia"/>
            <w:noProof/>
            <w:rtl/>
          </w:rPr>
          <w:t>תיקוני</w:t>
        </w:r>
        <w:r w:rsidR="00134F53" w:rsidRPr="007E3835">
          <w:rPr>
            <w:rStyle w:val="Hyperlink"/>
            <w:noProof/>
            <w:rtl/>
          </w:rPr>
          <w:t xml:space="preserve"> </w:t>
        </w:r>
        <w:r w:rsidR="00134F53" w:rsidRPr="007E3835">
          <w:rPr>
            <w:rStyle w:val="Hyperlink"/>
            <w:rFonts w:hint="eastAsia"/>
            <w:noProof/>
            <w:rtl/>
          </w:rPr>
          <w:t>זוהר</w:t>
        </w:r>
        <w:r w:rsidR="00134F53" w:rsidRPr="007E3835">
          <w:rPr>
            <w:rStyle w:val="Hyperlink"/>
            <w:noProof/>
            <w:rtl/>
          </w:rPr>
          <w:t xml:space="preserve"> - </w:t>
        </w:r>
        <w:r w:rsidR="00134F53" w:rsidRPr="007E3835">
          <w:rPr>
            <w:rStyle w:val="Hyperlink"/>
            <w:rFonts w:hint="eastAsia"/>
            <w:noProof/>
            <w:rtl/>
          </w:rPr>
          <w:t>דף</w:t>
        </w:r>
        <w:r w:rsidR="00134F53" w:rsidRPr="007E3835">
          <w:rPr>
            <w:rStyle w:val="Hyperlink"/>
            <w:noProof/>
            <w:rtl/>
          </w:rPr>
          <w:t xml:space="preserve"> </w:t>
        </w:r>
        <w:r w:rsidR="00134F53" w:rsidRPr="007E3835">
          <w:rPr>
            <w:rStyle w:val="Hyperlink"/>
            <w:rFonts w:hint="eastAsia"/>
            <w:noProof/>
            <w:rtl/>
          </w:rPr>
          <w:t>כ</w:t>
        </w:r>
        <w:r w:rsidR="00134F53" w:rsidRPr="007E3835">
          <w:rPr>
            <w:rStyle w:val="Hyperlink"/>
            <w:noProof/>
            <w:rtl/>
          </w:rPr>
          <w:t xml:space="preserve"> </w:t>
        </w:r>
        <w:r w:rsidR="00134F53" w:rsidRPr="007E3835">
          <w:rPr>
            <w:rStyle w:val="Hyperlink"/>
            <w:rFonts w:hint="eastAsia"/>
            <w:noProof/>
            <w:rtl/>
          </w:rPr>
          <w:t>ע</w:t>
        </w:r>
        <w:r w:rsidR="00134F53" w:rsidRPr="007E3835">
          <w:rPr>
            <w:rStyle w:val="Hyperlink"/>
            <w:noProof/>
            <w:rtl/>
          </w:rPr>
          <w:t>''</w:t>
        </w:r>
        <w:r w:rsidR="00134F53" w:rsidRPr="007E3835">
          <w:rPr>
            <w:rStyle w:val="Hyperlink"/>
            <w:rFonts w:hint="eastAsia"/>
            <w:noProof/>
            <w:rtl/>
          </w:rPr>
          <w:t>א</w:t>
        </w:r>
        <w:r w:rsidR="00134F53" w:rsidRPr="007E3835">
          <w:rPr>
            <w:rStyle w:val="Hyperlink"/>
            <w:noProof/>
            <w:rtl/>
          </w:rPr>
          <w:t>]</w:t>
        </w:r>
        <w:r w:rsidR="00134F53">
          <w:rPr>
            <w:noProof/>
            <w:webHidden/>
            <w:rtl/>
          </w:rPr>
          <w:tab/>
        </w:r>
        <w:r w:rsidR="00134F53">
          <w:rPr>
            <w:noProof/>
            <w:webHidden/>
            <w:rtl/>
          </w:rPr>
          <w:fldChar w:fldCharType="begin"/>
        </w:r>
        <w:r w:rsidR="00134F53">
          <w:rPr>
            <w:noProof/>
            <w:webHidden/>
            <w:rtl/>
          </w:rPr>
          <w:instrText xml:space="preserve"> </w:instrText>
        </w:r>
        <w:r w:rsidR="00134F53">
          <w:rPr>
            <w:noProof/>
            <w:webHidden/>
          </w:rPr>
          <w:instrText>PAGEREF</w:instrText>
        </w:r>
        <w:r w:rsidR="00134F53">
          <w:rPr>
            <w:noProof/>
            <w:webHidden/>
            <w:rtl/>
          </w:rPr>
          <w:instrText xml:space="preserve"> _</w:instrText>
        </w:r>
        <w:r w:rsidR="00134F53">
          <w:rPr>
            <w:noProof/>
            <w:webHidden/>
          </w:rPr>
          <w:instrText>Toc405982944 \h</w:instrText>
        </w:r>
        <w:r w:rsidR="00134F53">
          <w:rPr>
            <w:noProof/>
            <w:webHidden/>
            <w:rtl/>
          </w:rPr>
          <w:instrText xml:space="preserve"> </w:instrText>
        </w:r>
        <w:r w:rsidR="00134F53">
          <w:rPr>
            <w:noProof/>
            <w:webHidden/>
            <w:rtl/>
          </w:rPr>
        </w:r>
        <w:r w:rsidR="00134F53">
          <w:rPr>
            <w:noProof/>
            <w:webHidden/>
            <w:rtl/>
          </w:rPr>
          <w:fldChar w:fldCharType="separate"/>
        </w:r>
        <w:r w:rsidR="00134F53">
          <w:rPr>
            <w:noProof/>
            <w:webHidden/>
            <w:rtl/>
          </w:rPr>
          <w:t>26</w:t>
        </w:r>
        <w:r w:rsidR="00134F53">
          <w:rPr>
            <w:noProof/>
            <w:webHidden/>
            <w:rtl/>
          </w:rPr>
          <w:fldChar w:fldCharType="end"/>
        </w:r>
      </w:hyperlink>
    </w:p>
    <w:p w:rsidR="00134F53" w:rsidRDefault="00156DAD">
      <w:pPr>
        <w:pStyle w:val="TOC1"/>
        <w:tabs>
          <w:tab w:val="right" w:leader="dot" w:pos="10194"/>
        </w:tabs>
        <w:rPr>
          <w:rFonts w:asciiTheme="minorHAnsi" w:eastAsiaTheme="minorEastAsia" w:hAnsiTheme="minorHAnsi" w:cstheme="minorBidi"/>
          <w:noProof/>
          <w:sz w:val="22"/>
          <w:szCs w:val="22"/>
          <w:rtl/>
        </w:rPr>
      </w:pPr>
      <w:hyperlink w:anchor="_Toc405982945" w:history="1">
        <w:r w:rsidR="00134F53" w:rsidRPr="007E3835">
          <w:rPr>
            <w:rStyle w:val="Hyperlink"/>
            <w:rFonts w:hint="eastAsia"/>
            <w:noProof/>
            <w:rtl/>
          </w:rPr>
          <w:t>תקונא</w:t>
        </w:r>
        <w:r w:rsidR="00134F53" w:rsidRPr="007E3835">
          <w:rPr>
            <w:rStyle w:val="Hyperlink"/>
            <w:noProof/>
            <w:rtl/>
          </w:rPr>
          <w:t xml:space="preserve"> </w:t>
        </w:r>
        <w:r w:rsidR="00134F53" w:rsidRPr="007E3835">
          <w:rPr>
            <w:rStyle w:val="Hyperlink"/>
            <w:rFonts w:hint="eastAsia"/>
            <w:noProof/>
            <w:rtl/>
          </w:rPr>
          <w:t>שביעאה</w:t>
        </w:r>
        <w:r w:rsidR="00134F53" w:rsidRPr="007E3835">
          <w:rPr>
            <w:rStyle w:val="Hyperlink"/>
            <w:noProof/>
            <w:rtl/>
          </w:rPr>
          <w:t xml:space="preserve"> </w:t>
        </w:r>
        <w:r w:rsidR="00134F53" w:rsidRPr="007E3835">
          <w:rPr>
            <w:rStyle w:val="Hyperlink"/>
            <w:rFonts w:hint="eastAsia"/>
            <w:noProof/>
            <w:rtl/>
          </w:rPr>
          <w:t>ותמינאה</w:t>
        </w:r>
        <w:r w:rsidR="00134F53" w:rsidRPr="007E3835">
          <w:rPr>
            <w:rStyle w:val="Hyperlink"/>
            <w:noProof/>
            <w:rtl/>
          </w:rPr>
          <w:t xml:space="preserve">   (</w:t>
        </w:r>
        <w:r w:rsidR="00134F53" w:rsidRPr="007E3835">
          <w:rPr>
            <w:rStyle w:val="Hyperlink"/>
            <w:rFonts w:hint="eastAsia"/>
            <w:noProof/>
            <w:rtl/>
          </w:rPr>
          <w:t>היה</w:t>
        </w:r>
        <w:r w:rsidR="00134F53" w:rsidRPr="007E3835">
          <w:rPr>
            <w:rStyle w:val="Hyperlink"/>
            <w:noProof/>
            <w:rtl/>
          </w:rPr>
          <w:t xml:space="preserve"> </w:t>
        </w:r>
        <w:r w:rsidR="00134F53" w:rsidRPr="007E3835">
          <w:rPr>
            <w:rStyle w:val="Hyperlink"/>
            <w:rFonts w:hint="eastAsia"/>
            <w:noProof/>
            <w:rtl/>
          </w:rPr>
          <w:t>תקונא</w:t>
        </w:r>
        <w:r w:rsidR="00134F53" w:rsidRPr="007E3835">
          <w:rPr>
            <w:rStyle w:val="Hyperlink"/>
            <w:noProof/>
            <w:rtl/>
          </w:rPr>
          <w:t xml:space="preserve"> </w:t>
        </w:r>
        <w:r w:rsidR="00134F53" w:rsidRPr="007E3835">
          <w:rPr>
            <w:rStyle w:val="Hyperlink"/>
            <w:rFonts w:hint="eastAsia"/>
            <w:noProof/>
            <w:rtl/>
          </w:rPr>
          <w:t>תמינאה</w:t>
        </w:r>
        <w:r w:rsidR="00134F53" w:rsidRPr="007E3835">
          <w:rPr>
            <w:rStyle w:val="Hyperlink"/>
            <w:noProof/>
            <w:rtl/>
          </w:rPr>
          <w:t>)</w:t>
        </w:r>
        <w:r w:rsidR="00134F53">
          <w:rPr>
            <w:noProof/>
            <w:webHidden/>
            <w:rtl/>
          </w:rPr>
          <w:tab/>
        </w:r>
        <w:r w:rsidR="00134F53">
          <w:rPr>
            <w:noProof/>
            <w:webHidden/>
            <w:rtl/>
          </w:rPr>
          <w:fldChar w:fldCharType="begin"/>
        </w:r>
        <w:r w:rsidR="00134F53">
          <w:rPr>
            <w:noProof/>
            <w:webHidden/>
            <w:rtl/>
          </w:rPr>
          <w:instrText xml:space="preserve"> </w:instrText>
        </w:r>
        <w:r w:rsidR="00134F53">
          <w:rPr>
            <w:noProof/>
            <w:webHidden/>
          </w:rPr>
          <w:instrText>PAGEREF</w:instrText>
        </w:r>
        <w:r w:rsidR="00134F53">
          <w:rPr>
            <w:noProof/>
            <w:webHidden/>
            <w:rtl/>
          </w:rPr>
          <w:instrText xml:space="preserve"> _</w:instrText>
        </w:r>
        <w:r w:rsidR="00134F53">
          <w:rPr>
            <w:noProof/>
            <w:webHidden/>
          </w:rPr>
          <w:instrText>Toc405982945 \h</w:instrText>
        </w:r>
        <w:r w:rsidR="00134F53">
          <w:rPr>
            <w:noProof/>
            <w:webHidden/>
            <w:rtl/>
          </w:rPr>
          <w:instrText xml:space="preserve"> </w:instrText>
        </w:r>
        <w:r w:rsidR="00134F53">
          <w:rPr>
            <w:noProof/>
            <w:webHidden/>
            <w:rtl/>
          </w:rPr>
        </w:r>
        <w:r w:rsidR="00134F53">
          <w:rPr>
            <w:noProof/>
            <w:webHidden/>
            <w:rtl/>
          </w:rPr>
          <w:fldChar w:fldCharType="separate"/>
        </w:r>
        <w:r w:rsidR="00134F53">
          <w:rPr>
            <w:noProof/>
            <w:webHidden/>
            <w:rtl/>
          </w:rPr>
          <w:t>26</w:t>
        </w:r>
        <w:r w:rsidR="00134F53">
          <w:rPr>
            <w:noProof/>
            <w:webHidden/>
            <w:rtl/>
          </w:rPr>
          <w:fldChar w:fldCharType="end"/>
        </w:r>
      </w:hyperlink>
    </w:p>
    <w:p w:rsidR="00134F53" w:rsidRDefault="00156DAD">
      <w:pPr>
        <w:pStyle w:val="TOC1"/>
        <w:tabs>
          <w:tab w:val="right" w:leader="dot" w:pos="10194"/>
        </w:tabs>
        <w:rPr>
          <w:rFonts w:asciiTheme="minorHAnsi" w:eastAsiaTheme="minorEastAsia" w:hAnsiTheme="minorHAnsi" w:cstheme="minorBidi"/>
          <w:noProof/>
          <w:sz w:val="22"/>
          <w:szCs w:val="22"/>
          <w:rtl/>
        </w:rPr>
      </w:pPr>
      <w:hyperlink w:anchor="_Toc405982946" w:history="1">
        <w:r w:rsidR="00134F53" w:rsidRPr="007E3835">
          <w:rPr>
            <w:rStyle w:val="Hyperlink"/>
            <w:rFonts w:hint="eastAsia"/>
            <w:noProof/>
            <w:rtl/>
          </w:rPr>
          <w:t>תקונא</w:t>
        </w:r>
        <w:r w:rsidR="00134F53" w:rsidRPr="007E3835">
          <w:rPr>
            <w:rStyle w:val="Hyperlink"/>
            <w:noProof/>
            <w:rtl/>
          </w:rPr>
          <w:t xml:space="preserve"> </w:t>
        </w:r>
        <w:r w:rsidR="00134F53" w:rsidRPr="007E3835">
          <w:rPr>
            <w:rStyle w:val="Hyperlink"/>
            <w:rFonts w:hint="eastAsia"/>
            <w:noProof/>
            <w:rtl/>
          </w:rPr>
          <w:t>תשיעאה</w:t>
        </w:r>
        <w:r w:rsidR="00134F53">
          <w:rPr>
            <w:noProof/>
            <w:webHidden/>
            <w:rtl/>
          </w:rPr>
          <w:tab/>
        </w:r>
        <w:r w:rsidR="00134F53">
          <w:rPr>
            <w:noProof/>
            <w:webHidden/>
            <w:rtl/>
          </w:rPr>
          <w:fldChar w:fldCharType="begin"/>
        </w:r>
        <w:r w:rsidR="00134F53">
          <w:rPr>
            <w:noProof/>
            <w:webHidden/>
            <w:rtl/>
          </w:rPr>
          <w:instrText xml:space="preserve"> </w:instrText>
        </w:r>
        <w:r w:rsidR="00134F53">
          <w:rPr>
            <w:noProof/>
            <w:webHidden/>
          </w:rPr>
          <w:instrText>PAGEREF</w:instrText>
        </w:r>
        <w:r w:rsidR="00134F53">
          <w:rPr>
            <w:noProof/>
            <w:webHidden/>
            <w:rtl/>
          </w:rPr>
          <w:instrText xml:space="preserve"> _</w:instrText>
        </w:r>
        <w:r w:rsidR="00134F53">
          <w:rPr>
            <w:noProof/>
            <w:webHidden/>
          </w:rPr>
          <w:instrText>Toc405982946 \h</w:instrText>
        </w:r>
        <w:r w:rsidR="00134F53">
          <w:rPr>
            <w:noProof/>
            <w:webHidden/>
            <w:rtl/>
          </w:rPr>
          <w:instrText xml:space="preserve"> </w:instrText>
        </w:r>
        <w:r w:rsidR="00134F53">
          <w:rPr>
            <w:noProof/>
            <w:webHidden/>
            <w:rtl/>
          </w:rPr>
        </w:r>
        <w:r w:rsidR="00134F53">
          <w:rPr>
            <w:noProof/>
            <w:webHidden/>
            <w:rtl/>
          </w:rPr>
          <w:fldChar w:fldCharType="separate"/>
        </w:r>
        <w:r w:rsidR="00134F53">
          <w:rPr>
            <w:noProof/>
            <w:webHidden/>
            <w:rtl/>
          </w:rPr>
          <w:t>26</w:t>
        </w:r>
        <w:r w:rsidR="00134F53">
          <w:rPr>
            <w:noProof/>
            <w:webHidden/>
            <w:rtl/>
          </w:rPr>
          <w:fldChar w:fldCharType="end"/>
        </w:r>
      </w:hyperlink>
    </w:p>
    <w:p w:rsidR="00134F53" w:rsidRDefault="00156DAD">
      <w:pPr>
        <w:pStyle w:val="TOC2"/>
        <w:tabs>
          <w:tab w:val="right" w:leader="dot" w:pos="10194"/>
        </w:tabs>
        <w:rPr>
          <w:noProof/>
          <w:rtl/>
        </w:rPr>
      </w:pPr>
      <w:hyperlink w:anchor="_Toc405982947" w:history="1">
        <w:r w:rsidR="00134F53" w:rsidRPr="007E3835">
          <w:rPr>
            <w:rStyle w:val="Hyperlink"/>
            <w:noProof/>
            <w:rtl/>
          </w:rPr>
          <w:t>[</w:t>
        </w:r>
        <w:r w:rsidR="00134F53" w:rsidRPr="007E3835">
          <w:rPr>
            <w:rStyle w:val="Hyperlink"/>
            <w:rFonts w:hint="eastAsia"/>
            <w:noProof/>
            <w:rtl/>
          </w:rPr>
          <w:t>תיקוני</w:t>
        </w:r>
        <w:r w:rsidR="00134F53" w:rsidRPr="007E3835">
          <w:rPr>
            <w:rStyle w:val="Hyperlink"/>
            <w:noProof/>
            <w:rtl/>
          </w:rPr>
          <w:t xml:space="preserve"> </w:t>
        </w:r>
        <w:r w:rsidR="00134F53" w:rsidRPr="007E3835">
          <w:rPr>
            <w:rStyle w:val="Hyperlink"/>
            <w:rFonts w:hint="eastAsia"/>
            <w:noProof/>
            <w:rtl/>
          </w:rPr>
          <w:t>זוהר</w:t>
        </w:r>
        <w:r w:rsidR="00134F53" w:rsidRPr="007E3835">
          <w:rPr>
            <w:rStyle w:val="Hyperlink"/>
            <w:noProof/>
            <w:rtl/>
          </w:rPr>
          <w:t xml:space="preserve"> - </w:t>
        </w:r>
        <w:r w:rsidR="00134F53" w:rsidRPr="007E3835">
          <w:rPr>
            <w:rStyle w:val="Hyperlink"/>
            <w:rFonts w:hint="eastAsia"/>
            <w:noProof/>
            <w:rtl/>
          </w:rPr>
          <w:t>דף</w:t>
        </w:r>
        <w:r w:rsidR="00134F53" w:rsidRPr="007E3835">
          <w:rPr>
            <w:rStyle w:val="Hyperlink"/>
            <w:noProof/>
            <w:rtl/>
          </w:rPr>
          <w:t xml:space="preserve"> </w:t>
        </w:r>
        <w:r w:rsidR="00134F53" w:rsidRPr="007E3835">
          <w:rPr>
            <w:rStyle w:val="Hyperlink"/>
            <w:rFonts w:hint="eastAsia"/>
            <w:noProof/>
            <w:rtl/>
          </w:rPr>
          <w:t>כ</w:t>
        </w:r>
        <w:r w:rsidR="00134F53" w:rsidRPr="007E3835">
          <w:rPr>
            <w:rStyle w:val="Hyperlink"/>
            <w:noProof/>
            <w:rtl/>
          </w:rPr>
          <w:t xml:space="preserve"> </w:t>
        </w:r>
        <w:r w:rsidR="00134F53" w:rsidRPr="007E3835">
          <w:rPr>
            <w:rStyle w:val="Hyperlink"/>
            <w:rFonts w:hint="eastAsia"/>
            <w:noProof/>
            <w:rtl/>
          </w:rPr>
          <w:t>ע</w:t>
        </w:r>
        <w:r w:rsidR="00134F53" w:rsidRPr="007E3835">
          <w:rPr>
            <w:rStyle w:val="Hyperlink"/>
            <w:noProof/>
            <w:rtl/>
          </w:rPr>
          <w:t>''</w:t>
        </w:r>
        <w:r w:rsidR="00134F53" w:rsidRPr="007E3835">
          <w:rPr>
            <w:rStyle w:val="Hyperlink"/>
            <w:rFonts w:hint="eastAsia"/>
            <w:noProof/>
            <w:rtl/>
          </w:rPr>
          <w:t>ב</w:t>
        </w:r>
        <w:r w:rsidR="00134F53" w:rsidRPr="007E3835">
          <w:rPr>
            <w:rStyle w:val="Hyperlink"/>
            <w:noProof/>
            <w:rtl/>
          </w:rPr>
          <w:t>]</w:t>
        </w:r>
        <w:r w:rsidR="00134F53">
          <w:rPr>
            <w:noProof/>
            <w:webHidden/>
            <w:rtl/>
          </w:rPr>
          <w:tab/>
        </w:r>
        <w:r w:rsidR="00134F53">
          <w:rPr>
            <w:noProof/>
            <w:webHidden/>
            <w:rtl/>
          </w:rPr>
          <w:fldChar w:fldCharType="begin"/>
        </w:r>
        <w:r w:rsidR="00134F53">
          <w:rPr>
            <w:noProof/>
            <w:webHidden/>
            <w:rtl/>
          </w:rPr>
          <w:instrText xml:space="preserve"> </w:instrText>
        </w:r>
        <w:r w:rsidR="00134F53">
          <w:rPr>
            <w:noProof/>
            <w:webHidden/>
          </w:rPr>
          <w:instrText>PAGEREF</w:instrText>
        </w:r>
        <w:r w:rsidR="00134F53">
          <w:rPr>
            <w:noProof/>
            <w:webHidden/>
            <w:rtl/>
          </w:rPr>
          <w:instrText xml:space="preserve"> _</w:instrText>
        </w:r>
        <w:r w:rsidR="00134F53">
          <w:rPr>
            <w:noProof/>
            <w:webHidden/>
          </w:rPr>
          <w:instrText>Toc405982947 \h</w:instrText>
        </w:r>
        <w:r w:rsidR="00134F53">
          <w:rPr>
            <w:noProof/>
            <w:webHidden/>
            <w:rtl/>
          </w:rPr>
          <w:instrText xml:space="preserve"> </w:instrText>
        </w:r>
        <w:r w:rsidR="00134F53">
          <w:rPr>
            <w:noProof/>
            <w:webHidden/>
            <w:rtl/>
          </w:rPr>
        </w:r>
        <w:r w:rsidR="00134F53">
          <w:rPr>
            <w:noProof/>
            <w:webHidden/>
            <w:rtl/>
          </w:rPr>
          <w:fldChar w:fldCharType="separate"/>
        </w:r>
        <w:r w:rsidR="00134F53">
          <w:rPr>
            <w:noProof/>
            <w:webHidden/>
            <w:rtl/>
          </w:rPr>
          <w:t>26</w:t>
        </w:r>
        <w:r w:rsidR="00134F53">
          <w:rPr>
            <w:noProof/>
            <w:webHidden/>
            <w:rtl/>
          </w:rPr>
          <w:fldChar w:fldCharType="end"/>
        </w:r>
      </w:hyperlink>
    </w:p>
    <w:p w:rsidR="00134F53" w:rsidRDefault="00156DAD">
      <w:pPr>
        <w:pStyle w:val="TOC1"/>
        <w:tabs>
          <w:tab w:val="right" w:leader="dot" w:pos="10194"/>
        </w:tabs>
        <w:rPr>
          <w:rFonts w:asciiTheme="minorHAnsi" w:eastAsiaTheme="minorEastAsia" w:hAnsiTheme="minorHAnsi" w:cstheme="minorBidi"/>
          <w:noProof/>
          <w:sz w:val="22"/>
          <w:szCs w:val="22"/>
          <w:rtl/>
        </w:rPr>
      </w:pPr>
      <w:hyperlink w:anchor="_Toc405982948" w:history="1">
        <w:r w:rsidR="00134F53" w:rsidRPr="007E3835">
          <w:rPr>
            <w:rStyle w:val="Hyperlink"/>
            <w:rFonts w:hint="eastAsia"/>
            <w:noProof/>
            <w:rtl/>
          </w:rPr>
          <w:t>תקונא</w:t>
        </w:r>
        <w:r w:rsidR="00134F53" w:rsidRPr="007E3835">
          <w:rPr>
            <w:rStyle w:val="Hyperlink"/>
            <w:noProof/>
            <w:rtl/>
          </w:rPr>
          <w:t xml:space="preserve"> </w:t>
        </w:r>
        <w:r w:rsidR="00134F53" w:rsidRPr="007E3835">
          <w:rPr>
            <w:rStyle w:val="Hyperlink"/>
            <w:rFonts w:hint="eastAsia"/>
            <w:noProof/>
            <w:rtl/>
          </w:rPr>
          <w:t>עשיראה</w:t>
        </w:r>
        <w:r w:rsidR="00134F53">
          <w:rPr>
            <w:noProof/>
            <w:webHidden/>
            <w:rtl/>
          </w:rPr>
          <w:tab/>
        </w:r>
        <w:r w:rsidR="00134F53">
          <w:rPr>
            <w:noProof/>
            <w:webHidden/>
            <w:rtl/>
          </w:rPr>
          <w:fldChar w:fldCharType="begin"/>
        </w:r>
        <w:r w:rsidR="00134F53">
          <w:rPr>
            <w:noProof/>
            <w:webHidden/>
            <w:rtl/>
          </w:rPr>
          <w:instrText xml:space="preserve"> </w:instrText>
        </w:r>
        <w:r w:rsidR="00134F53">
          <w:rPr>
            <w:noProof/>
            <w:webHidden/>
          </w:rPr>
          <w:instrText>PAGEREF</w:instrText>
        </w:r>
        <w:r w:rsidR="00134F53">
          <w:rPr>
            <w:noProof/>
            <w:webHidden/>
            <w:rtl/>
          </w:rPr>
          <w:instrText xml:space="preserve"> _</w:instrText>
        </w:r>
        <w:r w:rsidR="00134F53">
          <w:rPr>
            <w:noProof/>
            <w:webHidden/>
          </w:rPr>
          <w:instrText>Toc405982948 \h</w:instrText>
        </w:r>
        <w:r w:rsidR="00134F53">
          <w:rPr>
            <w:noProof/>
            <w:webHidden/>
            <w:rtl/>
          </w:rPr>
          <w:instrText xml:space="preserve"> </w:instrText>
        </w:r>
        <w:r w:rsidR="00134F53">
          <w:rPr>
            <w:noProof/>
            <w:webHidden/>
            <w:rtl/>
          </w:rPr>
        </w:r>
        <w:r w:rsidR="00134F53">
          <w:rPr>
            <w:noProof/>
            <w:webHidden/>
            <w:rtl/>
          </w:rPr>
          <w:fldChar w:fldCharType="separate"/>
        </w:r>
        <w:r w:rsidR="00134F53">
          <w:rPr>
            <w:noProof/>
            <w:webHidden/>
            <w:rtl/>
          </w:rPr>
          <w:t>27</w:t>
        </w:r>
        <w:r w:rsidR="00134F53">
          <w:rPr>
            <w:noProof/>
            <w:webHidden/>
            <w:rtl/>
          </w:rPr>
          <w:fldChar w:fldCharType="end"/>
        </w:r>
      </w:hyperlink>
    </w:p>
    <w:p w:rsidR="00134F53" w:rsidRDefault="00156DAD">
      <w:pPr>
        <w:pStyle w:val="TOC2"/>
        <w:tabs>
          <w:tab w:val="right" w:leader="dot" w:pos="10194"/>
        </w:tabs>
        <w:rPr>
          <w:noProof/>
          <w:rtl/>
        </w:rPr>
      </w:pPr>
      <w:hyperlink w:anchor="_Toc405982949" w:history="1">
        <w:r w:rsidR="00134F53" w:rsidRPr="007E3835">
          <w:rPr>
            <w:rStyle w:val="Hyperlink"/>
            <w:noProof/>
            <w:rtl/>
          </w:rPr>
          <w:t>[</w:t>
        </w:r>
        <w:r w:rsidR="00134F53" w:rsidRPr="007E3835">
          <w:rPr>
            <w:rStyle w:val="Hyperlink"/>
            <w:rFonts w:hint="eastAsia"/>
            <w:noProof/>
            <w:rtl/>
          </w:rPr>
          <w:t>תיקוני</w:t>
        </w:r>
        <w:r w:rsidR="00134F53" w:rsidRPr="007E3835">
          <w:rPr>
            <w:rStyle w:val="Hyperlink"/>
            <w:noProof/>
            <w:rtl/>
          </w:rPr>
          <w:t xml:space="preserve"> </w:t>
        </w:r>
        <w:r w:rsidR="00134F53" w:rsidRPr="007E3835">
          <w:rPr>
            <w:rStyle w:val="Hyperlink"/>
            <w:rFonts w:hint="eastAsia"/>
            <w:noProof/>
            <w:rtl/>
          </w:rPr>
          <w:t>זוהר</w:t>
        </w:r>
        <w:r w:rsidR="00134F53" w:rsidRPr="007E3835">
          <w:rPr>
            <w:rStyle w:val="Hyperlink"/>
            <w:noProof/>
            <w:rtl/>
          </w:rPr>
          <w:t xml:space="preserve"> - </w:t>
        </w:r>
        <w:r w:rsidR="00134F53" w:rsidRPr="007E3835">
          <w:rPr>
            <w:rStyle w:val="Hyperlink"/>
            <w:rFonts w:hint="eastAsia"/>
            <w:noProof/>
            <w:rtl/>
          </w:rPr>
          <w:t>דף</w:t>
        </w:r>
        <w:r w:rsidR="00134F53" w:rsidRPr="007E3835">
          <w:rPr>
            <w:rStyle w:val="Hyperlink"/>
            <w:noProof/>
            <w:rtl/>
          </w:rPr>
          <w:t xml:space="preserve"> </w:t>
        </w:r>
        <w:r w:rsidR="00134F53" w:rsidRPr="007E3835">
          <w:rPr>
            <w:rStyle w:val="Hyperlink"/>
            <w:rFonts w:hint="eastAsia"/>
            <w:noProof/>
            <w:rtl/>
          </w:rPr>
          <w:t>כא</w:t>
        </w:r>
        <w:r w:rsidR="00134F53" w:rsidRPr="007E3835">
          <w:rPr>
            <w:rStyle w:val="Hyperlink"/>
            <w:noProof/>
            <w:rtl/>
          </w:rPr>
          <w:t xml:space="preserve"> </w:t>
        </w:r>
        <w:r w:rsidR="00134F53" w:rsidRPr="007E3835">
          <w:rPr>
            <w:rStyle w:val="Hyperlink"/>
            <w:rFonts w:hint="eastAsia"/>
            <w:noProof/>
            <w:rtl/>
          </w:rPr>
          <w:t>ע</w:t>
        </w:r>
        <w:r w:rsidR="00134F53" w:rsidRPr="007E3835">
          <w:rPr>
            <w:rStyle w:val="Hyperlink"/>
            <w:noProof/>
            <w:rtl/>
          </w:rPr>
          <w:t>''</w:t>
        </w:r>
        <w:r w:rsidR="00134F53" w:rsidRPr="007E3835">
          <w:rPr>
            <w:rStyle w:val="Hyperlink"/>
            <w:rFonts w:hint="eastAsia"/>
            <w:noProof/>
            <w:rtl/>
          </w:rPr>
          <w:t>א</w:t>
        </w:r>
        <w:r w:rsidR="00134F53" w:rsidRPr="007E3835">
          <w:rPr>
            <w:rStyle w:val="Hyperlink"/>
            <w:noProof/>
            <w:rtl/>
          </w:rPr>
          <w:t>]</w:t>
        </w:r>
        <w:r w:rsidR="00134F53">
          <w:rPr>
            <w:noProof/>
            <w:webHidden/>
            <w:rtl/>
          </w:rPr>
          <w:tab/>
        </w:r>
        <w:r w:rsidR="00134F53">
          <w:rPr>
            <w:noProof/>
            <w:webHidden/>
            <w:rtl/>
          </w:rPr>
          <w:fldChar w:fldCharType="begin"/>
        </w:r>
        <w:r w:rsidR="00134F53">
          <w:rPr>
            <w:noProof/>
            <w:webHidden/>
            <w:rtl/>
          </w:rPr>
          <w:instrText xml:space="preserve"> </w:instrText>
        </w:r>
        <w:r w:rsidR="00134F53">
          <w:rPr>
            <w:noProof/>
            <w:webHidden/>
          </w:rPr>
          <w:instrText>PAGEREF</w:instrText>
        </w:r>
        <w:r w:rsidR="00134F53">
          <w:rPr>
            <w:noProof/>
            <w:webHidden/>
            <w:rtl/>
          </w:rPr>
          <w:instrText xml:space="preserve"> _</w:instrText>
        </w:r>
        <w:r w:rsidR="00134F53">
          <w:rPr>
            <w:noProof/>
            <w:webHidden/>
          </w:rPr>
          <w:instrText>Toc405982949 \h</w:instrText>
        </w:r>
        <w:r w:rsidR="00134F53">
          <w:rPr>
            <w:noProof/>
            <w:webHidden/>
            <w:rtl/>
          </w:rPr>
          <w:instrText xml:space="preserve"> </w:instrText>
        </w:r>
        <w:r w:rsidR="00134F53">
          <w:rPr>
            <w:noProof/>
            <w:webHidden/>
            <w:rtl/>
          </w:rPr>
        </w:r>
        <w:r w:rsidR="00134F53">
          <w:rPr>
            <w:noProof/>
            <w:webHidden/>
            <w:rtl/>
          </w:rPr>
          <w:fldChar w:fldCharType="separate"/>
        </w:r>
        <w:r w:rsidR="00134F53">
          <w:rPr>
            <w:noProof/>
            <w:webHidden/>
            <w:rtl/>
          </w:rPr>
          <w:t>29</w:t>
        </w:r>
        <w:r w:rsidR="00134F53">
          <w:rPr>
            <w:noProof/>
            <w:webHidden/>
            <w:rtl/>
          </w:rPr>
          <w:fldChar w:fldCharType="end"/>
        </w:r>
      </w:hyperlink>
    </w:p>
    <w:p w:rsidR="00134F53" w:rsidRDefault="00156DAD">
      <w:pPr>
        <w:pStyle w:val="TOC2"/>
        <w:tabs>
          <w:tab w:val="right" w:leader="dot" w:pos="10194"/>
        </w:tabs>
        <w:rPr>
          <w:noProof/>
          <w:rtl/>
        </w:rPr>
      </w:pPr>
      <w:hyperlink w:anchor="_Toc405982950" w:history="1">
        <w:r w:rsidR="00134F53" w:rsidRPr="007E3835">
          <w:rPr>
            <w:rStyle w:val="Hyperlink"/>
            <w:noProof/>
            <w:rtl/>
          </w:rPr>
          <w:t>[</w:t>
        </w:r>
        <w:r w:rsidR="00134F53" w:rsidRPr="007E3835">
          <w:rPr>
            <w:rStyle w:val="Hyperlink"/>
            <w:rFonts w:hint="eastAsia"/>
            <w:noProof/>
            <w:rtl/>
          </w:rPr>
          <w:t>תיקוני</w:t>
        </w:r>
        <w:r w:rsidR="00134F53" w:rsidRPr="007E3835">
          <w:rPr>
            <w:rStyle w:val="Hyperlink"/>
            <w:noProof/>
            <w:rtl/>
          </w:rPr>
          <w:t xml:space="preserve"> </w:t>
        </w:r>
        <w:r w:rsidR="00134F53" w:rsidRPr="007E3835">
          <w:rPr>
            <w:rStyle w:val="Hyperlink"/>
            <w:rFonts w:hint="eastAsia"/>
            <w:noProof/>
            <w:rtl/>
          </w:rPr>
          <w:t>זוהר</w:t>
        </w:r>
        <w:r w:rsidR="00134F53" w:rsidRPr="007E3835">
          <w:rPr>
            <w:rStyle w:val="Hyperlink"/>
            <w:noProof/>
            <w:rtl/>
          </w:rPr>
          <w:t xml:space="preserve"> - </w:t>
        </w:r>
        <w:r w:rsidR="00134F53" w:rsidRPr="007E3835">
          <w:rPr>
            <w:rStyle w:val="Hyperlink"/>
            <w:rFonts w:hint="eastAsia"/>
            <w:noProof/>
            <w:rtl/>
          </w:rPr>
          <w:t>דף</w:t>
        </w:r>
        <w:r w:rsidR="00134F53" w:rsidRPr="007E3835">
          <w:rPr>
            <w:rStyle w:val="Hyperlink"/>
            <w:noProof/>
            <w:rtl/>
          </w:rPr>
          <w:t xml:space="preserve"> </w:t>
        </w:r>
        <w:r w:rsidR="00134F53" w:rsidRPr="007E3835">
          <w:rPr>
            <w:rStyle w:val="Hyperlink"/>
            <w:rFonts w:hint="eastAsia"/>
            <w:noProof/>
            <w:rtl/>
          </w:rPr>
          <w:t>כא</w:t>
        </w:r>
        <w:r w:rsidR="00134F53" w:rsidRPr="007E3835">
          <w:rPr>
            <w:rStyle w:val="Hyperlink"/>
            <w:noProof/>
            <w:rtl/>
          </w:rPr>
          <w:t xml:space="preserve"> </w:t>
        </w:r>
        <w:r w:rsidR="00134F53" w:rsidRPr="007E3835">
          <w:rPr>
            <w:rStyle w:val="Hyperlink"/>
            <w:rFonts w:hint="eastAsia"/>
            <w:noProof/>
            <w:rtl/>
          </w:rPr>
          <w:t>ע</w:t>
        </w:r>
        <w:r w:rsidR="00134F53" w:rsidRPr="007E3835">
          <w:rPr>
            <w:rStyle w:val="Hyperlink"/>
            <w:noProof/>
            <w:rtl/>
          </w:rPr>
          <w:t>''</w:t>
        </w:r>
        <w:r w:rsidR="00134F53" w:rsidRPr="007E3835">
          <w:rPr>
            <w:rStyle w:val="Hyperlink"/>
            <w:rFonts w:hint="eastAsia"/>
            <w:noProof/>
            <w:rtl/>
          </w:rPr>
          <w:t>ב</w:t>
        </w:r>
        <w:r w:rsidR="00134F53" w:rsidRPr="007E3835">
          <w:rPr>
            <w:rStyle w:val="Hyperlink"/>
            <w:noProof/>
            <w:rtl/>
          </w:rPr>
          <w:t>]</w:t>
        </w:r>
        <w:r w:rsidR="00134F53">
          <w:rPr>
            <w:noProof/>
            <w:webHidden/>
            <w:rtl/>
          </w:rPr>
          <w:tab/>
        </w:r>
        <w:r w:rsidR="00134F53">
          <w:rPr>
            <w:noProof/>
            <w:webHidden/>
            <w:rtl/>
          </w:rPr>
          <w:fldChar w:fldCharType="begin"/>
        </w:r>
        <w:r w:rsidR="00134F53">
          <w:rPr>
            <w:noProof/>
            <w:webHidden/>
            <w:rtl/>
          </w:rPr>
          <w:instrText xml:space="preserve"> </w:instrText>
        </w:r>
        <w:r w:rsidR="00134F53">
          <w:rPr>
            <w:noProof/>
            <w:webHidden/>
          </w:rPr>
          <w:instrText>PAGEREF</w:instrText>
        </w:r>
        <w:r w:rsidR="00134F53">
          <w:rPr>
            <w:noProof/>
            <w:webHidden/>
            <w:rtl/>
          </w:rPr>
          <w:instrText xml:space="preserve"> _</w:instrText>
        </w:r>
        <w:r w:rsidR="00134F53">
          <w:rPr>
            <w:noProof/>
            <w:webHidden/>
          </w:rPr>
          <w:instrText>Toc405982950 \h</w:instrText>
        </w:r>
        <w:r w:rsidR="00134F53">
          <w:rPr>
            <w:noProof/>
            <w:webHidden/>
            <w:rtl/>
          </w:rPr>
          <w:instrText xml:space="preserve"> </w:instrText>
        </w:r>
        <w:r w:rsidR="00134F53">
          <w:rPr>
            <w:noProof/>
            <w:webHidden/>
            <w:rtl/>
          </w:rPr>
        </w:r>
        <w:r w:rsidR="00134F53">
          <w:rPr>
            <w:noProof/>
            <w:webHidden/>
            <w:rtl/>
          </w:rPr>
          <w:fldChar w:fldCharType="separate"/>
        </w:r>
        <w:r w:rsidR="00134F53">
          <w:rPr>
            <w:noProof/>
            <w:webHidden/>
            <w:rtl/>
          </w:rPr>
          <w:t>31</w:t>
        </w:r>
        <w:r w:rsidR="00134F53">
          <w:rPr>
            <w:noProof/>
            <w:webHidden/>
            <w:rtl/>
          </w:rPr>
          <w:fldChar w:fldCharType="end"/>
        </w:r>
      </w:hyperlink>
    </w:p>
    <w:p w:rsidR="00134F53" w:rsidRDefault="00156DAD">
      <w:pPr>
        <w:pStyle w:val="TOC2"/>
        <w:tabs>
          <w:tab w:val="right" w:leader="dot" w:pos="10194"/>
        </w:tabs>
        <w:rPr>
          <w:noProof/>
          <w:rtl/>
        </w:rPr>
      </w:pPr>
      <w:hyperlink w:anchor="_Toc405982951" w:history="1">
        <w:r w:rsidR="00134F53" w:rsidRPr="007E3835">
          <w:rPr>
            <w:rStyle w:val="Hyperlink"/>
            <w:noProof/>
            <w:rtl/>
          </w:rPr>
          <w:t>[</w:t>
        </w:r>
        <w:r w:rsidR="00134F53" w:rsidRPr="007E3835">
          <w:rPr>
            <w:rStyle w:val="Hyperlink"/>
            <w:rFonts w:hint="eastAsia"/>
            <w:noProof/>
            <w:rtl/>
          </w:rPr>
          <w:t>תיקוני</w:t>
        </w:r>
        <w:r w:rsidR="00134F53" w:rsidRPr="007E3835">
          <w:rPr>
            <w:rStyle w:val="Hyperlink"/>
            <w:noProof/>
            <w:rtl/>
          </w:rPr>
          <w:t xml:space="preserve"> </w:t>
        </w:r>
        <w:r w:rsidR="00134F53" w:rsidRPr="007E3835">
          <w:rPr>
            <w:rStyle w:val="Hyperlink"/>
            <w:rFonts w:hint="eastAsia"/>
            <w:noProof/>
            <w:rtl/>
          </w:rPr>
          <w:t>זוהר</w:t>
        </w:r>
        <w:r w:rsidR="00134F53" w:rsidRPr="007E3835">
          <w:rPr>
            <w:rStyle w:val="Hyperlink"/>
            <w:noProof/>
            <w:rtl/>
          </w:rPr>
          <w:t xml:space="preserve"> - </w:t>
        </w:r>
        <w:r w:rsidR="00134F53" w:rsidRPr="007E3835">
          <w:rPr>
            <w:rStyle w:val="Hyperlink"/>
            <w:rFonts w:hint="eastAsia"/>
            <w:noProof/>
            <w:rtl/>
          </w:rPr>
          <w:t>דף</w:t>
        </w:r>
        <w:r w:rsidR="00134F53" w:rsidRPr="007E3835">
          <w:rPr>
            <w:rStyle w:val="Hyperlink"/>
            <w:noProof/>
            <w:rtl/>
          </w:rPr>
          <w:t xml:space="preserve"> </w:t>
        </w:r>
        <w:r w:rsidR="00134F53" w:rsidRPr="007E3835">
          <w:rPr>
            <w:rStyle w:val="Hyperlink"/>
            <w:rFonts w:hint="eastAsia"/>
            <w:noProof/>
            <w:rtl/>
          </w:rPr>
          <w:t>כב</w:t>
        </w:r>
        <w:r w:rsidR="00134F53" w:rsidRPr="007E3835">
          <w:rPr>
            <w:rStyle w:val="Hyperlink"/>
            <w:noProof/>
            <w:rtl/>
          </w:rPr>
          <w:t xml:space="preserve"> </w:t>
        </w:r>
        <w:r w:rsidR="00134F53" w:rsidRPr="007E3835">
          <w:rPr>
            <w:rStyle w:val="Hyperlink"/>
            <w:rFonts w:hint="eastAsia"/>
            <w:noProof/>
            <w:rtl/>
          </w:rPr>
          <w:t>ע</w:t>
        </w:r>
        <w:r w:rsidR="00134F53" w:rsidRPr="007E3835">
          <w:rPr>
            <w:rStyle w:val="Hyperlink"/>
            <w:noProof/>
            <w:rtl/>
          </w:rPr>
          <w:t>''</w:t>
        </w:r>
        <w:r w:rsidR="00134F53" w:rsidRPr="007E3835">
          <w:rPr>
            <w:rStyle w:val="Hyperlink"/>
            <w:rFonts w:hint="eastAsia"/>
            <w:noProof/>
            <w:rtl/>
          </w:rPr>
          <w:t>א</w:t>
        </w:r>
        <w:r w:rsidR="00134F53" w:rsidRPr="007E3835">
          <w:rPr>
            <w:rStyle w:val="Hyperlink"/>
            <w:noProof/>
            <w:rtl/>
          </w:rPr>
          <w:t>]</w:t>
        </w:r>
        <w:r w:rsidR="00134F53">
          <w:rPr>
            <w:noProof/>
            <w:webHidden/>
            <w:rtl/>
          </w:rPr>
          <w:tab/>
        </w:r>
        <w:r w:rsidR="00134F53">
          <w:rPr>
            <w:noProof/>
            <w:webHidden/>
            <w:rtl/>
          </w:rPr>
          <w:fldChar w:fldCharType="begin"/>
        </w:r>
        <w:r w:rsidR="00134F53">
          <w:rPr>
            <w:noProof/>
            <w:webHidden/>
            <w:rtl/>
          </w:rPr>
          <w:instrText xml:space="preserve"> </w:instrText>
        </w:r>
        <w:r w:rsidR="00134F53">
          <w:rPr>
            <w:noProof/>
            <w:webHidden/>
          </w:rPr>
          <w:instrText>PAGEREF</w:instrText>
        </w:r>
        <w:r w:rsidR="00134F53">
          <w:rPr>
            <w:noProof/>
            <w:webHidden/>
            <w:rtl/>
          </w:rPr>
          <w:instrText xml:space="preserve"> _</w:instrText>
        </w:r>
        <w:r w:rsidR="00134F53">
          <w:rPr>
            <w:noProof/>
            <w:webHidden/>
          </w:rPr>
          <w:instrText>Toc405982951 \h</w:instrText>
        </w:r>
        <w:r w:rsidR="00134F53">
          <w:rPr>
            <w:noProof/>
            <w:webHidden/>
            <w:rtl/>
          </w:rPr>
          <w:instrText xml:space="preserve"> </w:instrText>
        </w:r>
        <w:r w:rsidR="00134F53">
          <w:rPr>
            <w:noProof/>
            <w:webHidden/>
            <w:rtl/>
          </w:rPr>
        </w:r>
        <w:r w:rsidR="00134F53">
          <w:rPr>
            <w:noProof/>
            <w:webHidden/>
            <w:rtl/>
          </w:rPr>
          <w:fldChar w:fldCharType="separate"/>
        </w:r>
        <w:r w:rsidR="00134F53">
          <w:rPr>
            <w:noProof/>
            <w:webHidden/>
            <w:rtl/>
          </w:rPr>
          <w:t>33</w:t>
        </w:r>
        <w:r w:rsidR="00134F53">
          <w:rPr>
            <w:noProof/>
            <w:webHidden/>
            <w:rtl/>
          </w:rPr>
          <w:fldChar w:fldCharType="end"/>
        </w:r>
      </w:hyperlink>
    </w:p>
    <w:p w:rsidR="00134F53" w:rsidRDefault="00156DAD">
      <w:pPr>
        <w:pStyle w:val="TOC2"/>
        <w:tabs>
          <w:tab w:val="right" w:leader="dot" w:pos="10194"/>
        </w:tabs>
        <w:rPr>
          <w:noProof/>
          <w:rtl/>
        </w:rPr>
      </w:pPr>
      <w:hyperlink w:anchor="_Toc405982952" w:history="1">
        <w:r w:rsidR="00134F53" w:rsidRPr="007E3835">
          <w:rPr>
            <w:rStyle w:val="Hyperlink"/>
            <w:noProof/>
            <w:rtl/>
          </w:rPr>
          <w:t>[</w:t>
        </w:r>
        <w:r w:rsidR="00134F53" w:rsidRPr="007E3835">
          <w:rPr>
            <w:rStyle w:val="Hyperlink"/>
            <w:rFonts w:hint="eastAsia"/>
            <w:noProof/>
            <w:rtl/>
          </w:rPr>
          <w:t>תיקוני</w:t>
        </w:r>
        <w:r w:rsidR="00134F53" w:rsidRPr="007E3835">
          <w:rPr>
            <w:rStyle w:val="Hyperlink"/>
            <w:noProof/>
            <w:rtl/>
          </w:rPr>
          <w:t xml:space="preserve"> </w:t>
        </w:r>
        <w:r w:rsidR="00134F53" w:rsidRPr="007E3835">
          <w:rPr>
            <w:rStyle w:val="Hyperlink"/>
            <w:rFonts w:hint="eastAsia"/>
            <w:noProof/>
            <w:rtl/>
          </w:rPr>
          <w:t>זוהר</w:t>
        </w:r>
        <w:r w:rsidR="00134F53" w:rsidRPr="007E3835">
          <w:rPr>
            <w:rStyle w:val="Hyperlink"/>
            <w:noProof/>
            <w:rtl/>
          </w:rPr>
          <w:t xml:space="preserve"> - </w:t>
        </w:r>
        <w:r w:rsidR="00134F53" w:rsidRPr="007E3835">
          <w:rPr>
            <w:rStyle w:val="Hyperlink"/>
            <w:rFonts w:hint="eastAsia"/>
            <w:noProof/>
            <w:rtl/>
          </w:rPr>
          <w:t>המשך</w:t>
        </w:r>
        <w:r w:rsidR="00134F53" w:rsidRPr="007E3835">
          <w:rPr>
            <w:rStyle w:val="Hyperlink"/>
            <w:noProof/>
            <w:rtl/>
          </w:rPr>
          <w:t xml:space="preserve"> </w:t>
        </w:r>
        <w:r w:rsidR="00134F53" w:rsidRPr="007E3835">
          <w:rPr>
            <w:rStyle w:val="Hyperlink"/>
            <w:rFonts w:hint="eastAsia"/>
            <w:noProof/>
            <w:rtl/>
          </w:rPr>
          <w:t>דף</w:t>
        </w:r>
        <w:r w:rsidR="00134F53" w:rsidRPr="007E3835">
          <w:rPr>
            <w:rStyle w:val="Hyperlink"/>
            <w:noProof/>
            <w:rtl/>
          </w:rPr>
          <w:t xml:space="preserve"> </w:t>
        </w:r>
        <w:r w:rsidR="00134F53" w:rsidRPr="007E3835">
          <w:rPr>
            <w:rStyle w:val="Hyperlink"/>
            <w:rFonts w:hint="eastAsia"/>
            <w:noProof/>
            <w:rtl/>
          </w:rPr>
          <w:t>ח</w:t>
        </w:r>
        <w:r w:rsidR="00134F53" w:rsidRPr="007E3835">
          <w:rPr>
            <w:rStyle w:val="Hyperlink"/>
            <w:noProof/>
            <w:rtl/>
          </w:rPr>
          <w:t xml:space="preserve"> </w:t>
        </w:r>
        <w:r w:rsidR="00134F53" w:rsidRPr="007E3835">
          <w:rPr>
            <w:rStyle w:val="Hyperlink"/>
            <w:rFonts w:hint="eastAsia"/>
            <w:noProof/>
            <w:rtl/>
          </w:rPr>
          <w:t>ע</w:t>
        </w:r>
        <w:r w:rsidR="00134F53" w:rsidRPr="007E3835">
          <w:rPr>
            <w:rStyle w:val="Hyperlink"/>
            <w:noProof/>
            <w:rtl/>
          </w:rPr>
          <w:t>''</w:t>
        </w:r>
        <w:r w:rsidR="00134F53" w:rsidRPr="007E3835">
          <w:rPr>
            <w:rStyle w:val="Hyperlink"/>
            <w:rFonts w:hint="eastAsia"/>
            <w:noProof/>
            <w:rtl/>
          </w:rPr>
          <w:t>ב</w:t>
        </w:r>
        <w:r w:rsidR="00134F53" w:rsidRPr="007E3835">
          <w:rPr>
            <w:rStyle w:val="Hyperlink"/>
            <w:noProof/>
            <w:rtl/>
          </w:rPr>
          <w:t>]</w:t>
        </w:r>
        <w:r w:rsidR="00134F53">
          <w:rPr>
            <w:noProof/>
            <w:webHidden/>
            <w:rtl/>
          </w:rPr>
          <w:tab/>
        </w:r>
        <w:r w:rsidR="00134F53">
          <w:rPr>
            <w:noProof/>
            <w:webHidden/>
            <w:rtl/>
          </w:rPr>
          <w:fldChar w:fldCharType="begin"/>
        </w:r>
        <w:r w:rsidR="00134F53">
          <w:rPr>
            <w:noProof/>
            <w:webHidden/>
            <w:rtl/>
          </w:rPr>
          <w:instrText xml:space="preserve"> </w:instrText>
        </w:r>
        <w:r w:rsidR="00134F53">
          <w:rPr>
            <w:noProof/>
            <w:webHidden/>
          </w:rPr>
          <w:instrText>PAGEREF</w:instrText>
        </w:r>
        <w:r w:rsidR="00134F53">
          <w:rPr>
            <w:noProof/>
            <w:webHidden/>
            <w:rtl/>
          </w:rPr>
          <w:instrText xml:space="preserve"> _</w:instrText>
        </w:r>
        <w:r w:rsidR="00134F53">
          <w:rPr>
            <w:noProof/>
            <w:webHidden/>
          </w:rPr>
          <w:instrText>Toc405982952 \h</w:instrText>
        </w:r>
        <w:r w:rsidR="00134F53">
          <w:rPr>
            <w:noProof/>
            <w:webHidden/>
            <w:rtl/>
          </w:rPr>
          <w:instrText xml:space="preserve"> </w:instrText>
        </w:r>
        <w:r w:rsidR="00134F53">
          <w:rPr>
            <w:noProof/>
            <w:webHidden/>
            <w:rtl/>
          </w:rPr>
        </w:r>
        <w:r w:rsidR="00134F53">
          <w:rPr>
            <w:noProof/>
            <w:webHidden/>
            <w:rtl/>
          </w:rPr>
          <w:fldChar w:fldCharType="separate"/>
        </w:r>
        <w:r w:rsidR="00134F53">
          <w:rPr>
            <w:noProof/>
            <w:webHidden/>
            <w:rtl/>
          </w:rPr>
          <w:t>36</w:t>
        </w:r>
        <w:r w:rsidR="00134F53">
          <w:rPr>
            <w:noProof/>
            <w:webHidden/>
            <w:rtl/>
          </w:rPr>
          <w:fldChar w:fldCharType="end"/>
        </w:r>
      </w:hyperlink>
    </w:p>
    <w:p w:rsidR="00134F53" w:rsidRDefault="00156DAD">
      <w:pPr>
        <w:pStyle w:val="TOC2"/>
        <w:tabs>
          <w:tab w:val="right" w:leader="dot" w:pos="10194"/>
        </w:tabs>
        <w:rPr>
          <w:noProof/>
          <w:rtl/>
        </w:rPr>
      </w:pPr>
      <w:hyperlink w:anchor="_Toc405982953" w:history="1">
        <w:r w:rsidR="00134F53" w:rsidRPr="007E3835">
          <w:rPr>
            <w:rStyle w:val="Hyperlink"/>
            <w:noProof/>
            <w:rtl/>
          </w:rPr>
          <w:t>[</w:t>
        </w:r>
        <w:r w:rsidR="00134F53" w:rsidRPr="007E3835">
          <w:rPr>
            <w:rStyle w:val="Hyperlink"/>
            <w:rFonts w:hint="eastAsia"/>
            <w:noProof/>
            <w:rtl/>
          </w:rPr>
          <w:t>תיקוני</w:t>
        </w:r>
        <w:r w:rsidR="00134F53" w:rsidRPr="007E3835">
          <w:rPr>
            <w:rStyle w:val="Hyperlink"/>
            <w:noProof/>
            <w:rtl/>
          </w:rPr>
          <w:t xml:space="preserve"> </w:t>
        </w:r>
        <w:r w:rsidR="00134F53" w:rsidRPr="007E3835">
          <w:rPr>
            <w:rStyle w:val="Hyperlink"/>
            <w:rFonts w:hint="eastAsia"/>
            <w:noProof/>
            <w:rtl/>
          </w:rPr>
          <w:t>זוהר</w:t>
        </w:r>
        <w:r w:rsidR="00134F53" w:rsidRPr="007E3835">
          <w:rPr>
            <w:rStyle w:val="Hyperlink"/>
            <w:noProof/>
            <w:rtl/>
          </w:rPr>
          <w:t xml:space="preserve"> - </w:t>
        </w:r>
        <w:r w:rsidR="00134F53" w:rsidRPr="007E3835">
          <w:rPr>
            <w:rStyle w:val="Hyperlink"/>
            <w:rFonts w:hint="eastAsia"/>
            <w:noProof/>
            <w:rtl/>
          </w:rPr>
          <w:t>דף</w:t>
        </w:r>
        <w:r w:rsidR="00134F53" w:rsidRPr="007E3835">
          <w:rPr>
            <w:rStyle w:val="Hyperlink"/>
            <w:noProof/>
            <w:rtl/>
          </w:rPr>
          <w:t xml:space="preserve"> </w:t>
        </w:r>
        <w:r w:rsidR="00134F53" w:rsidRPr="007E3835">
          <w:rPr>
            <w:rStyle w:val="Hyperlink"/>
            <w:rFonts w:hint="eastAsia"/>
            <w:noProof/>
            <w:rtl/>
          </w:rPr>
          <w:t>ט</w:t>
        </w:r>
        <w:r w:rsidR="00134F53" w:rsidRPr="007E3835">
          <w:rPr>
            <w:rStyle w:val="Hyperlink"/>
            <w:noProof/>
            <w:rtl/>
          </w:rPr>
          <w:t xml:space="preserve"> </w:t>
        </w:r>
        <w:r w:rsidR="00134F53" w:rsidRPr="007E3835">
          <w:rPr>
            <w:rStyle w:val="Hyperlink"/>
            <w:rFonts w:hint="eastAsia"/>
            <w:noProof/>
            <w:rtl/>
          </w:rPr>
          <w:t>ע</w:t>
        </w:r>
        <w:r w:rsidR="00134F53" w:rsidRPr="007E3835">
          <w:rPr>
            <w:rStyle w:val="Hyperlink"/>
            <w:noProof/>
            <w:rtl/>
          </w:rPr>
          <w:t>''</w:t>
        </w:r>
        <w:r w:rsidR="00134F53" w:rsidRPr="007E3835">
          <w:rPr>
            <w:rStyle w:val="Hyperlink"/>
            <w:rFonts w:hint="eastAsia"/>
            <w:noProof/>
            <w:rtl/>
          </w:rPr>
          <w:t>א</w:t>
        </w:r>
        <w:r w:rsidR="00134F53" w:rsidRPr="007E3835">
          <w:rPr>
            <w:rStyle w:val="Hyperlink"/>
            <w:noProof/>
            <w:rtl/>
          </w:rPr>
          <w:t>]*</w:t>
        </w:r>
        <w:r w:rsidR="00134F53">
          <w:rPr>
            <w:noProof/>
            <w:webHidden/>
            <w:rtl/>
          </w:rPr>
          <w:tab/>
        </w:r>
        <w:r w:rsidR="00134F53">
          <w:rPr>
            <w:noProof/>
            <w:webHidden/>
            <w:rtl/>
          </w:rPr>
          <w:fldChar w:fldCharType="begin"/>
        </w:r>
        <w:r w:rsidR="00134F53">
          <w:rPr>
            <w:noProof/>
            <w:webHidden/>
            <w:rtl/>
          </w:rPr>
          <w:instrText xml:space="preserve"> </w:instrText>
        </w:r>
        <w:r w:rsidR="00134F53">
          <w:rPr>
            <w:noProof/>
            <w:webHidden/>
          </w:rPr>
          <w:instrText>PAGEREF</w:instrText>
        </w:r>
        <w:r w:rsidR="00134F53">
          <w:rPr>
            <w:noProof/>
            <w:webHidden/>
            <w:rtl/>
          </w:rPr>
          <w:instrText xml:space="preserve"> _</w:instrText>
        </w:r>
        <w:r w:rsidR="00134F53">
          <w:rPr>
            <w:noProof/>
            <w:webHidden/>
          </w:rPr>
          <w:instrText>Toc405982953 \h</w:instrText>
        </w:r>
        <w:r w:rsidR="00134F53">
          <w:rPr>
            <w:noProof/>
            <w:webHidden/>
            <w:rtl/>
          </w:rPr>
          <w:instrText xml:space="preserve"> </w:instrText>
        </w:r>
        <w:r w:rsidR="00134F53">
          <w:rPr>
            <w:noProof/>
            <w:webHidden/>
            <w:rtl/>
          </w:rPr>
        </w:r>
        <w:r w:rsidR="00134F53">
          <w:rPr>
            <w:noProof/>
            <w:webHidden/>
            <w:rtl/>
          </w:rPr>
          <w:fldChar w:fldCharType="separate"/>
        </w:r>
        <w:r w:rsidR="00134F53">
          <w:rPr>
            <w:noProof/>
            <w:webHidden/>
            <w:rtl/>
          </w:rPr>
          <w:t>37</w:t>
        </w:r>
        <w:r w:rsidR="00134F53">
          <w:rPr>
            <w:noProof/>
            <w:webHidden/>
            <w:rtl/>
          </w:rPr>
          <w:fldChar w:fldCharType="end"/>
        </w:r>
      </w:hyperlink>
    </w:p>
    <w:p w:rsidR="00134F53" w:rsidRDefault="00156DAD">
      <w:pPr>
        <w:pStyle w:val="TOC2"/>
        <w:tabs>
          <w:tab w:val="right" w:leader="dot" w:pos="10194"/>
        </w:tabs>
        <w:rPr>
          <w:noProof/>
          <w:rtl/>
        </w:rPr>
      </w:pPr>
      <w:hyperlink w:anchor="_Toc405982954" w:history="1">
        <w:r w:rsidR="00134F53" w:rsidRPr="007E3835">
          <w:rPr>
            <w:rStyle w:val="Hyperlink"/>
            <w:noProof/>
            <w:rtl/>
          </w:rPr>
          <w:t>[</w:t>
        </w:r>
        <w:r w:rsidR="00134F53" w:rsidRPr="007E3835">
          <w:rPr>
            <w:rStyle w:val="Hyperlink"/>
            <w:rFonts w:hint="eastAsia"/>
            <w:noProof/>
            <w:rtl/>
          </w:rPr>
          <w:t>תיקוני</w:t>
        </w:r>
        <w:r w:rsidR="00134F53" w:rsidRPr="007E3835">
          <w:rPr>
            <w:rStyle w:val="Hyperlink"/>
            <w:noProof/>
            <w:rtl/>
          </w:rPr>
          <w:t xml:space="preserve"> </w:t>
        </w:r>
        <w:r w:rsidR="00134F53" w:rsidRPr="007E3835">
          <w:rPr>
            <w:rStyle w:val="Hyperlink"/>
            <w:rFonts w:hint="eastAsia"/>
            <w:noProof/>
            <w:rtl/>
          </w:rPr>
          <w:t>זוהר</w:t>
        </w:r>
        <w:r w:rsidR="00134F53" w:rsidRPr="007E3835">
          <w:rPr>
            <w:rStyle w:val="Hyperlink"/>
            <w:noProof/>
            <w:rtl/>
          </w:rPr>
          <w:t xml:space="preserve"> - </w:t>
        </w:r>
        <w:r w:rsidR="00134F53" w:rsidRPr="007E3835">
          <w:rPr>
            <w:rStyle w:val="Hyperlink"/>
            <w:rFonts w:hint="eastAsia"/>
            <w:noProof/>
            <w:rtl/>
          </w:rPr>
          <w:t>דף</w:t>
        </w:r>
        <w:r w:rsidR="00134F53" w:rsidRPr="007E3835">
          <w:rPr>
            <w:rStyle w:val="Hyperlink"/>
            <w:noProof/>
            <w:rtl/>
          </w:rPr>
          <w:t xml:space="preserve"> </w:t>
        </w:r>
        <w:r w:rsidR="00134F53" w:rsidRPr="007E3835">
          <w:rPr>
            <w:rStyle w:val="Hyperlink"/>
            <w:rFonts w:hint="eastAsia"/>
            <w:noProof/>
            <w:rtl/>
          </w:rPr>
          <w:t>ט</w:t>
        </w:r>
        <w:r w:rsidR="00134F53" w:rsidRPr="007E3835">
          <w:rPr>
            <w:rStyle w:val="Hyperlink"/>
            <w:noProof/>
            <w:rtl/>
          </w:rPr>
          <w:t xml:space="preserve"> </w:t>
        </w:r>
        <w:r w:rsidR="00134F53" w:rsidRPr="007E3835">
          <w:rPr>
            <w:rStyle w:val="Hyperlink"/>
            <w:rFonts w:hint="eastAsia"/>
            <w:noProof/>
            <w:rtl/>
          </w:rPr>
          <w:t>ע</w:t>
        </w:r>
        <w:r w:rsidR="00134F53" w:rsidRPr="007E3835">
          <w:rPr>
            <w:rStyle w:val="Hyperlink"/>
            <w:noProof/>
            <w:rtl/>
          </w:rPr>
          <w:t>''</w:t>
        </w:r>
        <w:r w:rsidR="00134F53" w:rsidRPr="007E3835">
          <w:rPr>
            <w:rStyle w:val="Hyperlink"/>
            <w:rFonts w:hint="eastAsia"/>
            <w:noProof/>
            <w:rtl/>
          </w:rPr>
          <w:t>ב</w:t>
        </w:r>
        <w:r w:rsidR="00134F53" w:rsidRPr="007E3835">
          <w:rPr>
            <w:rStyle w:val="Hyperlink"/>
            <w:noProof/>
            <w:rtl/>
          </w:rPr>
          <w:t>]*</w:t>
        </w:r>
        <w:r w:rsidR="00134F53">
          <w:rPr>
            <w:noProof/>
            <w:webHidden/>
            <w:rtl/>
          </w:rPr>
          <w:tab/>
        </w:r>
        <w:r w:rsidR="00134F53">
          <w:rPr>
            <w:noProof/>
            <w:webHidden/>
            <w:rtl/>
          </w:rPr>
          <w:fldChar w:fldCharType="begin"/>
        </w:r>
        <w:r w:rsidR="00134F53">
          <w:rPr>
            <w:noProof/>
            <w:webHidden/>
            <w:rtl/>
          </w:rPr>
          <w:instrText xml:space="preserve"> </w:instrText>
        </w:r>
        <w:r w:rsidR="00134F53">
          <w:rPr>
            <w:noProof/>
            <w:webHidden/>
          </w:rPr>
          <w:instrText>PAGEREF</w:instrText>
        </w:r>
        <w:r w:rsidR="00134F53">
          <w:rPr>
            <w:noProof/>
            <w:webHidden/>
            <w:rtl/>
          </w:rPr>
          <w:instrText xml:space="preserve"> _</w:instrText>
        </w:r>
        <w:r w:rsidR="00134F53">
          <w:rPr>
            <w:noProof/>
            <w:webHidden/>
          </w:rPr>
          <w:instrText>Toc405982954 \h</w:instrText>
        </w:r>
        <w:r w:rsidR="00134F53">
          <w:rPr>
            <w:noProof/>
            <w:webHidden/>
            <w:rtl/>
          </w:rPr>
          <w:instrText xml:space="preserve"> </w:instrText>
        </w:r>
        <w:r w:rsidR="00134F53">
          <w:rPr>
            <w:noProof/>
            <w:webHidden/>
            <w:rtl/>
          </w:rPr>
        </w:r>
        <w:r w:rsidR="00134F53">
          <w:rPr>
            <w:noProof/>
            <w:webHidden/>
            <w:rtl/>
          </w:rPr>
          <w:fldChar w:fldCharType="separate"/>
        </w:r>
        <w:r w:rsidR="00134F53">
          <w:rPr>
            <w:noProof/>
            <w:webHidden/>
            <w:rtl/>
          </w:rPr>
          <w:t>39</w:t>
        </w:r>
        <w:r w:rsidR="00134F53">
          <w:rPr>
            <w:noProof/>
            <w:webHidden/>
            <w:rtl/>
          </w:rPr>
          <w:fldChar w:fldCharType="end"/>
        </w:r>
      </w:hyperlink>
    </w:p>
    <w:p w:rsidR="00134F53" w:rsidRDefault="00156DAD">
      <w:pPr>
        <w:pStyle w:val="TOC2"/>
        <w:tabs>
          <w:tab w:val="right" w:leader="dot" w:pos="10194"/>
        </w:tabs>
        <w:rPr>
          <w:noProof/>
          <w:rtl/>
        </w:rPr>
      </w:pPr>
      <w:hyperlink w:anchor="_Toc405982955" w:history="1">
        <w:r w:rsidR="00134F53" w:rsidRPr="007E3835">
          <w:rPr>
            <w:rStyle w:val="Hyperlink"/>
            <w:noProof/>
            <w:rtl/>
          </w:rPr>
          <w:t>[</w:t>
        </w:r>
        <w:r w:rsidR="00134F53" w:rsidRPr="007E3835">
          <w:rPr>
            <w:rStyle w:val="Hyperlink"/>
            <w:rFonts w:hint="eastAsia"/>
            <w:noProof/>
            <w:rtl/>
          </w:rPr>
          <w:t>תיקוני</w:t>
        </w:r>
        <w:r w:rsidR="00134F53" w:rsidRPr="007E3835">
          <w:rPr>
            <w:rStyle w:val="Hyperlink"/>
            <w:noProof/>
            <w:rtl/>
          </w:rPr>
          <w:t xml:space="preserve"> </w:t>
        </w:r>
        <w:r w:rsidR="00134F53" w:rsidRPr="007E3835">
          <w:rPr>
            <w:rStyle w:val="Hyperlink"/>
            <w:rFonts w:hint="eastAsia"/>
            <w:noProof/>
            <w:rtl/>
          </w:rPr>
          <w:t>זוהר</w:t>
        </w:r>
        <w:r w:rsidR="00134F53" w:rsidRPr="007E3835">
          <w:rPr>
            <w:rStyle w:val="Hyperlink"/>
            <w:noProof/>
            <w:rtl/>
          </w:rPr>
          <w:t xml:space="preserve"> - </w:t>
        </w:r>
        <w:r w:rsidR="00134F53" w:rsidRPr="007E3835">
          <w:rPr>
            <w:rStyle w:val="Hyperlink"/>
            <w:rFonts w:hint="eastAsia"/>
            <w:noProof/>
            <w:rtl/>
          </w:rPr>
          <w:t>המשך</w:t>
        </w:r>
        <w:r w:rsidR="00134F53" w:rsidRPr="007E3835">
          <w:rPr>
            <w:rStyle w:val="Hyperlink"/>
            <w:noProof/>
            <w:rtl/>
          </w:rPr>
          <w:t xml:space="preserve"> </w:t>
        </w:r>
        <w:r w:rsidR="00134F53" w:rsidRPr="007E3835">
          <w:rPr>
            <w:rStyle w:val="Hyperlink"/>
            <w:rFonts w:hint="eastAsia"/>
            <w:noProof/>
            <w:rtl/>
          </w:rPr>
          <w:t>דף</w:t>
        </w:r>
        <w:r w:rsidR="00134F53" w:rsidRPr="007E3835">
          <w:rPr>
            <w:rStyle w:val="Hyperlink"/>
            <w:noProof/>
            <w:rtl/>
          </w:rPr>
          <w:t xml:space="preserve"> </w:t>
        </w:r>
        <w:r w:rsidR="00134F53" w:rsidRPr="007E3835">
          <w:rPr>
            <w:rStyle w:val="Hyperlink"/>
            <w:rFonts w:hint="eastAsia"/>
            <w:noProof/>
            <w:rtl/>
          </w:rPr>
          <w:t>כב</w:t>
        </w:r>
        <w:r w:rsidR="00134F53" w:rsidRPr="007E3835">
          <w:rPr>
            <w:rStyle w:val="Hyperlink"/>
            <w:noProof/>
            <w:rtl/>
          </w:rPr>
          <w:t xml:space="preserve"> </w:t>
        </w:r>
        <w:r w:rsidR="00134F53" w:rsidRPr="007E3835">
          <w:rPr>
            <w:rStyle w:val="Hyperlink"/>
            <w:rFonts w:hint="eastAsia"/>
            <w:noProof/>
            <w:rtl/>
          </w:rPr>
          <w:t>ע</w:t>
        </w:r>
        <w:r w:rsidR="00134F53" w:rsidRPr="007E3835">
          <w:rPr>
            <w:rStyle w:val="Hyperlink"/>
            <w:noProof/>
            <w:rtl/>
          </w:rPr>
          <w:t>''</w:t>
        </w:r>
        <w:r w:rsidR="00134F53" w:rsidRPr="007E3835">
          <w:rPr>
            <w:rStyle w:val="Hyperlink"/>
            <w:rFonts w:hint="eastAsia"/>
            <w:noProof/>
            <w:rtl/>
          </w:rPr>
          <w:t>א</w:t>
        </w:r>
        <w:r w:rsidR="00134F53" w:rsidRPr="007E3835">
          <w:rPr>
            <w:rStyle w:val="Hyperlink"/>
            <w:noProof/>
            <w:rtl/>
          </w:rPr>
          <w:t>]</w:t>
        </w:r>
        <w:r w:rsidR="00134F53">
          <w:rPr>
            <w:noProof/>
            <w:webHidden/>
            <w:rtl/>
          </w:rPr>
          <w:tab/>
        </w:r>
        <w:r w:rsidR="00134F53">
          <w:rPr>
            <w:noProof/>
            <w:webHidden/>
            <w:rtl/>
          </w:rPr>
          <w:fldChar w:fldCharType="begin"/>
        </w:r>
        <w:r w:rsidR="00134F53">
          <w:rPr>
            <w:noProof/>
            <w:webHidden/>
            <w:rtl/>
          </w:rPr>
          <w:instrText xml:space="preserve"> </w:instrText>
        </w:r>
        <w:r w:rsidR="00134F53">
          <w:rPr>
            <w:noProof/>
            <w:webHidden/>
          </w:rPr>
          <w:instrText>PAGEREF</w:instrText>
        </w:r>
        <w:r w:rsidR="00134F53">
          <w:rPr>
            <w:noProof/>
            <w:webHidden/>
            <w:rtl/>
          </w:rPr>
          <w:instrText xml:space="preserve"> _</w:instrText>
        </w:r>
        <w:r w:rsidR="00134F53">
          <w:rPr>
            <w:noProof/>
            <w:webHidden/>
          </w:rPr>
          <w:instrText>Toc405982955 \h</w:instrText>
        </w:r>
        <w:r w:rsidR="00134F53">
          <w:rPr>
            <w:noProof/>
            <w:webHidden/>
            <w:rtl/>
          </w:rPr>
          <w:instrText xml:space="preserve"> </w:instrText>
        </w:r>
        <w:r w:rsidR="00134F53">
          <w:rPr>
            <w:noProof/>
            <w:webHidden/>
            <w:rtl/>
          </w:rPr>
        </w:r>
        <w:r w:rsidR="00134F53">
          <w:rPr>
            <w:noProof/>
            <w:webHidden/>
            <w:rtl/>
          </w:rPr>
          <w:fldChar w:fldCharType="separate"/>
        </w:r>
        <w:r w:rsidR="00134F53">
          <w:rPr>
            <w:noProof/>
            <w:webHidden/>
            <w:rtl/>
          </w:rPr>
          <w:t>41</w:t>
        </w:r>
        <w:r w:rsidR="00134F53">
          <w:rPr>
            <w:noProof/>
            <w:webHidden/>
            <w:rtl/>
          </w:rPr>
          <w:fldChar w:fldCharType="end"/>
        </w:r>
      </w:hyperlink>
    </w:p>
    <w:p w:rsidR="00134F53" w:rsidRDefault="00156DAD">
      <w:pPr>
        <w:pStyle w:val="TOC1"/>
        <w:tabs>
          <w:tab w:val="right" w:leader="dot" w:pos="10194"/>
        </w:tabs>
        <w:rPr>
          <w:rFonts w:asciiTheme="minorHAnsi" w:eastAsiaTheme="minorEastAsia" w:hAnsiTheme="minorHAnsi" w:cstheme="minorBidi"/>
          <w:noProof/>
          <w:sz w:val="22"/>
          <w:szCs w:val="22"/>
          <w:rtl/>
        </w:rPr>
      </w:pPr>
      <w:hyperlink w:anchor="_Toc405982956" w:history="1">
        <w:r w:rsidR="00134F53" w:rsidRPr="007E3835">
          <w:rPr>
            <w:rStyle w:val="Hyperlink"/>
            <w:rFonts w:hint="eastAsia"/>
            <w:noProof/>
            <w:rtl/>
          </w:rPr>
          <w:t>תקונא</w:t>
        </w:r>
        <w:r w:rsidR="00134F53" w:rsidRPr="007E3835">
          <w:rPr>
            <w:rStyle w:val="Hyperlink"/>
            <w:noProof/>
            <w:rtl/>
          </w:rPr>
          <w:t xml:space="preserve"> </w:t>
        </w:r>
        <w:r w:rsidR="00134F53" w:rsidRPr="007E3835">
          <w:rPr>
            <w:rStyle w:val="Hyperlink"/>
            <w:rFonts w:hint="eastAsia"/>
            <w:noProof/>
            <w:rtl/>
          </w:rPr>
          <w:t>חד</w:t>
        </w:r>
        <w:r w:rsidR="00134F53" w:rsidRPr="007E3835">
          <w:rPr>
            <w:rStyle w:val="Hyperlink"/>
            <w:noProof/>
            <w:rtl/>
          </w:rPr>
          <w:t xml:space="preserve"> </w:t>
        </w:r>
        <w:r w:rsidR="00134F53" w:rsidRPr="007E3835">
          <w:rPr>
            <w:rStyle w:val="Hyperlink"/>
            <w:rFonts w:hint="eastAsia"/>
            <w:noProof/>
            <w:rtl/>
          </w:rPr>
          <w:t>סר</w:t>
        </w:r>
        <w:r w:rsidR="00134F53">
          <w:rPr>
            <w:noProof/>
            <w:webHidden/>
            <w:rtl/>
          </w:rPr>
          <w:tab/>
        </w:r>
        <w:r w:rsidR="00134F53">
          <w:rPr>
            <w:noProof/>
            <w:webHidden/>
            <w:rtl/>
          </w:rPr>
          <w:fldChar w:fldCharType="begin"/>
        </w:r>
        <w:r w:rsidR="00134F53">
          <w:rPr>
            <w:noProof/>
            <w:webHidden/>
            <w:rtl/>
          </w:rPr>
          <w:instrText xml:space="preserve"> </w:instrText>
        </w:r>
        <w:r w:rsidR="00134F53">
          <w:rPr>
            <w:noProof/>
            <w:webHidden/>
          </w:rPr>
          <w:instrText>PAGEREF</w:instrText>
        </w:r>
        <w:r w:rsidR="00134F53">
          <w:rPr>
            <w:noProof/>
            <w:webHidden/>
            <w:rtl/>
          </w:rPr>
          <w:instrText xml:space="preserve"> _</w:instrText>
        </w:r>
        <w:r w:rsidR="00134F53">
          <w:rPr>
            <w:noProof/>
            <w:webHidden/>
          </w:rPr>
          <w:instrText>Toc405982956 \h</w:instrText>
        </w:r>
        <w:r w:rsidR="00134F53">
          <w:rPr>
            <w:noProof/>
            <w:webHidden/>
            <w:rtl/>
          </w:rPr>
          <w:instrText xml:space="preserve"> </w:instrText>
        </w:r>
        <w:r w:rsidR="00134F53">
          <w:rPr>
            <w:noProof/>
            <w:webHidden/>
            <w:rtl/>
          </w:rPr>
        </w:r>
        <w:r w:rsidR="00134F53">
          <w:rPr>
            <w:noProof/>
            <w:webHidden/>
            <w:rtl/>
          </w:rPr>
          <w:fldChar w:fldCharType="separate"/>
        </w:r>
        <w:r w:rsidR="00134F53">
          <w:rPr>
            <w:noProof/>
            <w:webHidden/>
            <w:rtl/>
          </w:rPr>
          <w:t>41</w:t>
        </w:r>
        <w:r w:rsidR="00134F53">
          <w:rPr>
            <w:noProof/>
            <w:webHidden/>
            <w:rtl/>
          </w:rPr>
          <w:fldChar w:fldCharType="end"/>
        </w:r>
      </w:hyperlink>
    </w:p>
    <w:p w:rsidR="00134F53" w:rsidRDefault="00156DAD">
      <w:pPr>
        <w:pStyle w:val="TOC2"/>
        <w:tabs>
          <w:tab w:val="right" w:leader="dot" w:pos="10194"/>
        </w:tabs>
        <w:rPr>
          <w:noProof/>
          <w:rtl/>
        </w:rPr>
      </w:pPr>
      <w:hyperlink w:anchor="_Toc405982957" w:history="1">
        <w:r w:rsidR="00134F53" w:rsidRPr="007E3835">
          <w:rPr>
            <w:rStyle w:val="Hyperlink"/>
            <w:noProof/>
            <w:rtl/>
          </w:rPr>
          <w:t>[</w:t>
        </w:r>
        <w:r w:rsidR="00134F53" w:rsidRPr="007E3835">
          <w:rPr>
            <w:rStyle w:val="Hyperlink"/>
            <w:rFonts w:hint="eastAsia"/>
            <w:noProof/>
            <w:rtl/>
          </w:rPr>
          <w:t>תיקוני</w:t>
        </w:r>
        <w:r w:rsidR="00134F53" w:rsidRPr="007E3835">
          <w:rPr>
            <w:rStyle w:val="Hyperlink"/>
            <w:noProof/>
            <w:rtl/>
          </w:rPr>
          <w:t xml:space="preserve"> </w:t>
        </w:r>
        <w:r w:rsidR="00134F53" w:rsidRPr="007E3835">
          <w:rPr>
            <w:rStyle w:val="Hyperlink"/>
            <w:rFonts w:hint="eastAsia"/>
            <w:noProof/>
            <w:rtl/>
          </w:rPr>
          <w:t>זוהר</w:t>
        </w:r>
        <w:r w:rsidR="00134F53" w:rsidRPr="007E3835">
          <w:rPr>
            <w:rStyle w:val="Hyperlink"/>
            <w:noProof/>
            <w:rtl/>
          </w:rPr>
          <w:t xml:space="preserve"> - </w:t>
        </w:r>
        <w:r w:rsidR="00134F53" w:rsidRPr="007E3835">
          <w:rPr>
            <w:rStyle w:val="Hyperlink"/>
            <w:rFonts w:hint="eastAsia"/>
            <w:noProof/>
            <w:rtl/>
          </w:rPr>
          <w:t>דף</w:t>
        </w:r>
        <w:r w:rsidR="00134F53" w:rsidRPr="007E3835">
          <w:rPr>
            <w:rStyle w:val="Hyperlink"/>
            <w:noProof/>
            <w:rtl/>
          </w:rPr>
          <w:t xml:space="preserve"> </w:t>
        </w:r>
        <w:r w:rsidR="00134F53" w:rsidRPr="007E3835">
          <w:rPr>
            <w:rStyle w:val="Hyperlink"/>
            <w:rFonts w:hint="eastAsia"/>
            <w:noProof/>
            <w:rtl/>
          </w:rPr>
          <w:t>כב</w:t>
        </w:r>
        <w:r w:rsidR="00134F53" w:rsidRPr="007E3835">
          <w:rPr>
            <w:rStyle w:val="Hyperlink"/>
            <w:noProof/>
            <w:rtl/>
          </w:rPr>
          <w:t xml:space="preserve"> </w:t>
        </w:r>
        <w:r w:rsidR="00134F53" w:rsidRPr="007E3835">
          <w:rPr>
            <w:rStyle w:val="Hyperlink"/>
            <w:rFonts w:hint="eastAsia"/>
            <w:noProof/>
            <w:rtl/>
          </w:rPr>
          <w:t>ע</w:t>
        </w:r>
        <w:r w:rsidR="00134F53" w:rsidRPr="007E3835">
          <w:rPr>
            <w:rStyle w:val="Hyperlink"/>
            <w:noProof/>
            <w:rtl/>
          </w:rPr>
          <w:t>''</w:t>
        </w:r>
        <w:r w:rsidR="00134F53" w:rsidRPr="007E3835">
          <w:rPr>
            <w:rStyle w:val="Hyperlink"/>
            <w:rFonts w:hint="eastAsia"/>
            <w:noProof/>
            <w:rtl/>
          </w:rPr>
          <w:t>ב</w:t>
        </w:r>
        <w:r w:rsidR="00134F53" w:rsidRPr="007E3835">
          <w:rPr>
            <w:rStyle w:val="Hyperlink"/>
            <w:noProof/>
            <w:rtl/>
          </w:rPr>
          <w:t>]</w:t>
        </w:r>
        <w:r w:rsidR="00134F53">
          <w:rPr>
            <w:noProof/>
            <w:webHidden/>
            <w:rtl/>
          </w:rPr>
          <w:tab/>
        </w:r>
        <w:r w:rsidR="00134F53">
          <w:rPr>
            <w:noProof/>
            <w:webHidden/>
            <w:rtl/>
          </w:rPr>
          <w:fldChar w:fldCharType="begin"/>
        </w:r>
        <w:r w:rsidR="00134F53">
          <w:rPr>
            <w:noProof/>
            <w:webHidden/>
            <w:rtl/>
          </w:rPr>
          <w:instrText xml:space="preserve"> </w:instrText>
        </w:r>
        <w:r w:rsidR="00134F53">
          <w:rPr>
            <w:noProof/>
            <w:webHidden/>
          </w:rPr>
          <w:instrText>PAGEREF</w:instrText>
        </w:r>
        <w:r w:rsidR="00134F53">
          <w:rPr>
            <w:noProof/>
            <w:webHidden/>
            <w:rtl/>
          </w:rPr>
          <w:instrText xml:space="preserve"> _</w:instrText>
        </w:r>
        <w:r w:rsidR="00134F53">
          <w:rPr>
            <w:noProof/>
            <w:webHidden/>
          </w:rPr>
          <w:instrText>Toc405982957 \h</w:instrText>
        </w:r>
        <w:r w:rsidR="00134F53">
          <w:rPr>
            <w:noProof/>
            <w:webHidden/>
            <w:rtl/>
          </w:rPr>
          <w:instrText xml:space="preserve"> </w:instrText>
        </w:r>
        <w:r w:rsidR="00134F53">
          <w:rPr>
            <w:noProof/>
            <w:webHidden/>
            <w:rtl/>
          </w:rPr>
        </w:r>
        <w:r w:rsidR="00134F53">
          <w:rPr>
            <w:noProof/>
            <w:webHidden/>
            <w:rtl/>
          </w:rPr>
          <w:fldChar w:fldCharType="separate"/>
        </w:r>
        <w:r w:rsidR="00134F53">
          <w:rPr>
            <w:noProof/>
            <w:webHidden/>
            <w:rtl/>
          </w:rPr>
          <w:t>41</w:t>
        </w:r>
        <w:r w:rsidR="00134F53">
          <w:rPr>
            <w:noProof/>
            <w:webHidden/>
            <w:rtl/>
          </w:rPr>
          <w:fldChar w:fldCharType="end"/>
        </w:r>
      </w:hyperlink>
    </w:p>
    <w:p w:rsidR="00134F53" w:rsidRDefault="00156DAD">
      <w:pPr>
        <w:pStyle w:val="TOC1"/>
        <w:tabs>
          <w:tab w:val="right" w:leader="dot" w:pos="10194"/>
        </w:tabs>
        <w:rPr>
          <w:rFonts w:asciiTheme="minorHAnsi" w:eastAsiaTheme="minorEastAsia" w:hAnsiTheme="minorHAnsi" w:cstheme="minorBidi"/>
          <w:noProof/>
          <w:sz w:val="22"/>
          <w:szCs w:val="22"/>
          <w:rtl/>
        </w:rPr>
      </w:pPr>
      <w:hyperlink w:anchor="_Toc405982958" w:history="1">
        <w:r w:rsidR="00134F53" w:rsidRPr="007E3835">
          <w:rPr>
            <w:rStyle w:val="Hyperlink"/>
            <w:rFonts w:hint="eastAsia"/>
            <w:noProof/>
            <w:rtl/>
          </w:rPr>
          <w:t>תקונא</w:t>
        </w:r>
        <w:r w:rsidR="00134F53" w:rsidRPr="007E3835">
          <w:rPr>
            <w:rStyle w:val="Hyperlink"/>
            <w:noProof/>
            <w:rtl/>
          </w:rPr>
          <w:t xml:space="preserve"> </w:t>
        </w:r>
        <w:r w:rsidR="00134F53" w:rsidRPr="007E3835">
          <w:rPr>
            <w:rStyle w:val="Hyperlink"/>
            <w:rFonts w:hint="eastAsia"/>
            <w:noProof/>
            <w:rtl/>
          </w:rPr>
          <w:t>תריסר</w:t>
        </w:r>
        <w:r w:rsidR="00134F53">
          <w:rPr>
            <w:noProof/>
            <w:webHidden/>
            <w:rtl/>
          </w:rPr>
          <w:tab/>
        </w:r>
        <w:r w:rsidR="00134F53">
          <w:rPr>
            <w:noProof/>
            <w:webHidden/>
            <w:rtl/>
          </w:rPr>
          <w:fldChar w:fldCharType="begin"/>
        </w:r>
        <w:r w:rsidR="00134F53">
          <w:rPr>
            <w:noProof/>
            <w:webHidden/>
            <w:rtl/>
          </w:rPr>
          <w:instrText xml:space="preserve"> </w:instrText>
        </w:r>
        <w:r w:rsidR="00134F53">
          <w:rPr>
            <w:noProof/>
            <w:webHidden/>
          </w:rPr>
          <w:instrText>PAGEREF</w:instrText>
        </w:r>
        <w:r w:rsidR="00134F53">
          <w:rPr>
            <w:noProof/>
            <w:webHidden/>
            <w:rtl/>
          </w:rPr>
          <w:instrText xml:space="preserve"> _</w:instrText>
        </w:r>
        <w:r w:rsidR="00134F53">
          <w:rPr>
            <w:noProof/>
            <w:webHidden/>
          </w:rPr>
          <w:instrText>Toc405982958 \h</w:instrText>
        </w:r>
        <w:r w:rsidR="00134F53">
          <w:rPr>
            <w:noProof/>
            <w:webHidden/>
            <w:rtl/>
          </w:rPr>
          <w:instrText xml:space="preserve"> </w:instrText>
        </w:r>
        <w:r w:rsidR="00134F53">
          <w:rPr>
            <w:noProof/>
            <w:webHidden/>
            <w:rtl/>
          </w:rPr>
        </w:r>
        <w:r w:rsidR="00134F53">
          <w:rPr>
            <w:noProof/>
            <w:webHidden/>
            <w:rtl/>
          </w:rPr>
          <w:fldChar w:fldCharType="separate"/>
        </w:r>
        <w:r w:rsidR="00134F53">
          <w:rPr>
            <w:noProof/>
            <w:webHidden/>
            <w:rtl/>
          </w:rPr>
          <w:t>43</w:t>
        </w:r>
        <w:r w:rsidR="00134F53">
          <w:rPr>
            <w:noProof/>
            <w:webHidden/>
            <w:rtl/>
          </w:rPr>
          <w:fldChar w:fldCharType="end"/>
        </w:r>
      </w:hyperlink>
    </w:p>
    <w:p w:rsidR="00134F53" w:rsidRDefault="00156DAD">
      <w:pPr>
        <w:pStyle w:val="TOC2"/>
        <w:tabs>
          <w:tab w:val="right" w:leader="dot" w:pos="10194"/>
        </w:tabs>
        <w:rPr>
          <w:noProof/>
          <w:rtl/>
        </w:rPr>
      </w:pPr>
      <w:hyperlink w:anchor="_Toc405982959" w:history="1">
        <w:r w:rsidR="00134F53" w:rsidRPr="007E3835">
          <w:rPr>
            <w:rStyle w:val="Hyperlink"/>
            <w:noProof/>
            <w:rtl/>
          </w:rPr>
          <w:t>[</w:t>
        </w:r>
        <w:r w:rsidR="00134F53" w:rsidRPr="007E3835">
          <w:rPr>
            <w:rStyle w:val="Hyperlink"/>
            <w:rFonts w:hint="eastAsia"/>
            <w:noProof/>
            <w:rtl/>
          </w:rPr>
          <w:t>תיקוני</w:t>
        </w:r>
        <w:r w:rsidR="00134F53" w:rsidRPr="007E3835">
          <w:rPr>
            <w:rStyle w:val="Hyperlink"/>
            <w:noProof/>
            <w:rtl/>
          </w:rPr>
          <w:t xml:space="preserve"> </w:t>
        </w:r>
        <w:r w:rsidR="00134F53" w:rsidRPr="007E3835">
          <w:rPr>
            <w:rStyle w:val="Hyperlink"/>
            <w:rFonts w:hint="eastAsia"/>
            <w:noProof/>
            <w:rtl/>
          </w:rPr>
          <w:t>זוהר</w:t>
        </w:r>
        <w:r w:rsidR="00134F53" w:rsidRPr="007E3835">
          <w:rPr>
            <w:rStyle w:val="Hyperlink"/>
            <w:noProof/>
            <w:rtl/>
          </w:rPr>
          <w:t xml:space="preserve"> - </w:t>
        </w:r>
        <w:r w:rsidR="00134F53" w:rsidRPr="007E3835">
          <w:rPr>
            <w:rStyle w:val="Hyperlink"/>
            <w:rFonts w:hint="eastAsia"/>
            <w:noProof/>
            <w:rtl/>
          </w:rPr>
          <w:t>דף</w:t>
        </w:r>
        <w:r w:rsidR="00134F53" w:rsidRPr="007E3835">
          <w:rPr>
            <w:rStyle w:val="Hyperlink"/>
            <w:noProof/>
            <w:rtl/>
          </w:rPr>
          <w:t xml:space="preserve"> </w:t>
        </w:r>
        <w:r w:rsidR="00134F53" w:rsidRPr="007E3835">
          <w:rPr>
            <w:rStyle w:val="Hyperlink"/>
            <w:rFonts w:hint="eastAsia"/>
            <w:noProof/>
            <w:rtl/>
          </w:rPr>
          <w:t>כג</w:t>
        </w:r>
        <w:r w:rsidR="00134F53" w:rsidRPr="007E3835">
          <w:rPr>
            <w:rStyle w:val="Hyperlink"/>
            <w:noProof/>
            <w:rtl/>
          </w:rPr>
          <w:t xml:space="preserve"> </w:t>
        </w:r>
        <w:r w:rsidR="00134F53" w:rsidRPr="007E3835">
          <w:rPr>
            <w:rStyle w:val="Hyperlink"/>
            <w:rFonts w:hint="eastAsia"/>
            <w:noProof/>
            <w:rtl/>
          </w:rPr>
          <w:t>ע</w:t>
        </w:r>
        <w:r w:rsidR="00134F53" w:rsidRPr="007E3835">
          <w:rPr>
            <w:rStyle w:val="Hyperlink"/>
            <w:noProof/>
            <w:rtl/>
          </w:rPr>
          <w:t>''</w:t>
        </w:r>
        <w:r w:rsidR="00134F53" w:rsidRPr="007E3835">
          <w:rPr>
            <w:rStyle w:val="Hyperlink"/>
            <w:rFonts w:hint="eastAsia"/>
            <w:noProof/>
            <w:rtl/>
          </w:rPr>
          <w:t>א</w:t>
        </w:r>
        <w:r w:rsidR="00134F53" w:rsidRPr="007E3835">
          <w:rPr>
            <w:rStyle w:val="Hyperlink"/>
            <w:noProof/>
            <w:rtl/>
          </w:rPr>
          <w:t>]</w:t>
        </w:r>
        <w:r w:rsidR="00134F53">
          <w:rPr>
            <w:noProof/>
            <w:webHidden/>
            <w:rtl/>
          </w:rPr>
          <w:tab/>
        </w:r>
        <w:r w:rsidR="00134F53">
          <w:rPr>
            <w:noProof/>
            <w:webHidden/>
            <w:rtl/>
          </w:rPr>
          <w:fldChar w:fldCharType="begin"/>
        </w:r>
        <w:r w:rsidR="00134F53">
          <w:rPr>
            <w:noProof/>
            <w:webHidden/>
            <w:rtl/>
          </w:rPr>
          <w:instrText xml:space="preserve"> </w:instrText>
        </w:r>
        <w:r w:rsidR="00134F53">
          <w:rPr>
            <w:noProof/>
            <w:webHidden/>
          </w:rPr>
          <w:instrText>PAGEREF</w:instrText>
        </w:r>
        <w:r w:rsidR="00134F53">
          <w:rPr>
            <w:noProof/>
            <w:webHidden/>
            <w:rtl/>
          </w:rPr>
          <w:instrText xml:space="preserve"> _</w:instrText>
        </w:r>
        <w:r w:rsidR="00134F53">
          <w:rPr>
            <w:noProof/>
            <w:webHidden/>
          </w:rPr>
          <w:instrText>Toc405982959 \h</w:instrText>
        </w:r>
        <w:r w:rsidR="00134F53">
          <w:rPr>
            <w:noProof/>
            <w:webHidden/>
            <w:rtl/>
          </w:rPr>
          <w:instrText xml:space="preserve"> </w:instrText>
        </w:r>
        <w:r w:rsidR="00134F53">
          <w:rPr>
            <w:noProof/>
            <w:webHidden/>
            <w:rtl/>
          </w:rPr>
        </w:r>
        <w:r w:rsidR="00134F53">
          <w:rPr>
            <w:noProof/>
            <w:webHidden/>
            <w:rtl/>
          </w:rPr>
          <w:fldChar w:fldCharType="separate"/>
        </w:r>
        <w:r w:rsidR="00134F53">
          <w:rPr>
            <w:noProof/>
            <w:webHidden/>
            <w:rtl/>
          </w:rPr>
          <w:t>43</w:t>
        </w:r>
        <w:r w:rsidR="00134F53">
          <w:rPr>
            <w:noProof/>
            <w:webHidden/>
            <w:rtl/>
          </w:rPr>
          <w:fldChar w:fldCharType="end"/>
        </w:r>
      </w:hyperlink>
    </w:p>
    <w:p w:rsidR="00134F53" w:rsidRDefault="00156DAD">
      <w:pPr>
        <w:pStyle w:val="TOC1"/>
        <w:tabs>
          <w:tab w:val="right" w:leader="dot" w:pos="10194"/>
        </w:tabs>
        <w:rPr>
          <w:rFonts w:asciiTheme="minorHAnsi" w:eastAsiaTheme="minorEastAsia" w:hAnsiTheme="minorHAnsi" w:cstheme="minorBidi"/>
          <w:noProof/>
          <w:sz w:val="22"/>
          <w:szCs w:val="22"/>
          <w:rtl/>
        </w:rPr>
      </w:pPr>
      <w:hyperlink w:anchor="_Toc405982960" w:history="1">
        <w:r w:rsidR="00134F53" w:rsidRPr="007E3835">
          <w:rPr>
            <w:rStyle w:val="Hyperlink"/>
            <w:rFonts w:hint="eastAsia"/>
            <w:noProof/>
            <w:rtl/>
          </w:rPr>
          <w:t>תקונא</w:t>
        </w:r>
        <w:r w:rsidR="00134F53" w:rsidRPr="007E3835">
          <w:rPr>
            <w:rStyle w:val="Hyperlink"/>
            <w:noProof/>
            <w:rtl/>
          </w:rPr>
          <w:t xml:space="preserve"> </w:t>
        </w:r>
        <w:r w:rsidR="00134F53" w:rsidRPr="007E3835">
          <w:rPr>
            <w:rStyle w:val="Hyperlink"/>
            <w:rFonts w:hint="eastAsia"/>
            <w:noProof/>
            <w:rtl/>
          </w:rPr>
          <w:t>תליסר</w:t>
        </w:r>
        <w:r w:rsidR="00134F53">
          <w:rPr>
            <w:noProof/>
            <w:webHidden/>
            <w:rtl/>
          </w:rPr>
          <w:tab/>
        </w:r>
        <w:r w:rsidR="00134F53">
          <w:rPr>
            <w:noProof/>
            <w:webHidden/>
            <w:rtl/>
          </w:rPr>
          <w:fldChar w:fldCharType="begin"/>
        </w:r>
        <w:r w:rsidR="00134F53">
          <w:rPr>
            <w:noProof/>
            <w:webHidden/>
            <w:rtl/>
          </w:rPr>
          <w:instrText xml:space="preserve"> </w:instrText>
        </w:r>
        <w:r w:rsidR="00134F53">
          <w:rPr>
            <w:noProof/>
            <w:webHidden/>
          </w:rPr>
          <w:instrText>PAGEREF</w:instrText>
        </w:r>
        <w:r w:rsidR="00134F53">
          <w:rPr>
            <w:noProof/>
            <w:webHidden/>
            <w:rtl/>
          </w:rPr>
          <w:instrText xml:space="preserve"> _</w:instrText>
        </w:r>
        <w:r w:rsidR="00134F53">
          <w:rPr>
            <w:noProof/>
            <w:webHidden/>
          </w:rPr>
          <w:instrText>Toc405982960 \h</w:instrText>
        </w:r>
        <w:r w:rsidR="00134F53">
          <w:rPr>
            <w:noProof/>
            <w:webHidden/>
            <w:rtl/>
          </w:rPr>
          <w:instrText xml:space="preserve"> </w:instrText>
        </w:r>
        <w:r w:rsidR="00134F53">
          <w:rPr>
            <w:noProof/>
            <w:webHidden/>
            <w:rtl/>
          </w:rPr>
        </w:r>
        <w:r w:rsidR="00134F53">
          <w:rPr>
            <w:noProof/>
            <w:webHidden/>
            <w:rtl/>
          </w:rPr>
          <w:fldChar w:fldCharType="separate"/>
        </w:r>
        <w:r w:rsidR="00134F53">
          <w:rPr>
            <w:noProof/>
            <w:webHidden/>
            <w:rtl/>
          </w:rPr>
          <w:t>45</w:t>
        </w:r>
        <w:r w:rsidR="00134F53">
          <w:rPr>
            <w:noProof/>
            <w:webHidden/>
            <w:rtl/>
          </w:rPr>
          <w:fldChar w:fldCharType="end"/>
        </w:r>
      </w:hyperlink>
    </w:p>
    <w:p w:rsidR="00134F53" w:rsidRDefault="00156DAD">
      <w:pPr>
        <w:pStyle w:val="TOC2"/>
        <w:tabs>
          <w:tab w:val="right" w:leader="dot" w:pos="10194"/>
        </w:tabs>
        <w:rPr>
          <w:noProof/>
          <w:rtl/>
        </w:rPr>
      </w:pPr>
      <w:hyperlink w:anchor="_Toc405982961" w:history="1">
        <w:r w:rsidR="00134F53" w:rsidRPr="007E3835">
          <w:rPr>
            <w:rStyle w:val="Hyperlink"/>
            <w:noProof/>
            <w:rtl/>
          </w:rPr>
          <w:t>[</w:t>
        </w:r>
        <w:r w:rsidR="00134F53" w:rsidRPr="007E3835">
          <w:rPr>
            <w:rStyle w:val="Hyperlink"/>
            <w:rFonts w:hint="eastAsia"/>
            <w:noProof/>
            <w:rtl/>
          </w:rPr>
          <w:t>תיקוני</w:t>
        </w:r>
        <w:r w:rsidR="00134F53" w:rsidRPr="007E3835">
          <w:rPr>
            <w:rStyle w:val="Hyperlink"/>
            <w:noProof/>
            <w:rtl/>
          </w:rPr>
          <w:t xml:space="preserve"> </w:t>
        </w:r>
        <w:r w:rsidR="00134F53" w:rsidRPr="007E3835">
          <w:rPr>
            <w:rStyle w:val="Hyperlink"/>
            <w:rFonts w:hint="eastAsia"/>
            <w:noProof/>
            <w:rtl/>
          </w:rPr>
          <w:t>זוהר</w:t>
        </w:r>
        <w:r w:rsidR="00134F53" w:rsidRPr="007E3835">
          <w:rPr>
            <w:rStyle w:val="Hyperlink"/>
            <w:noProof/>
            <w:rtl/>
          </w:rPr>
          <w:t xml:space="preserve"> - </w:t>
        </w:r>
        <w:r w:rsidR="00134F53" w:rsidRPr="007E3835">
          <w:rPr>
            <w:rStyle w:val="Hyperlink"/>
            <w:rFonts w:hint="eastAsia"/>
            <w:noProof/>
            <w:rtl/>
          </w:rPr>
          <w:t>דף</w:t>
        </w:r>
        <w:r w:rsidR="00134F53" w:rsidRPr="007E3835">
          <w:rPr>
            <w:rStyle w:val="Hyperlink"/>
            <w:noProof/>
            <w:rtl/>
          </w:rPr>
          <w:t xml:space="preserve"> </w:t>
        </w:r>
        <w:r w:rsidR="00134F53" w:rsidRPr="007E3835">
          <w:rPr>
            <w:rStyle w:val="Hyperlink"/>
            <w:rFonts w:hint="eastAsia"/>
            <w:noProof/>
            <w:rtl/>
          </w:rPr>
          <w:t>כג</w:t>
        </w:r>
        <w:r w:rsidR="00134F53" w:rsidRPr="007E3835">
          <w:rPr>
            <w:rStyle w:val="Hyperlink"/>
            <w:noProof/>
            <w:rtl/>
          </w:rPr>
          <w:t xml:space="preserve"> </w:t>
        </w:r>
        <w:r w:rsidR="00134F53" w:rsidRPr="007E3835">
          <w:rPr>
            <w:rStyle w:val="Hyperlink"/>
            <w:rFonts w:hint="eastAsia"/>
            <w:noProof/>
            <w:rtl/>
          </w:rPr>
          <w:t>ע</w:t>
        </w:r>
        <w:r w:rsidR="00134F53" w:rsidRPr="007E3835">
          <w:rPr>
            <w:rStyle w:val="Hyperlink"/>
            <w:noProof/>
            <w:rtl/>
          </w:rPr>
          <w:t>''</w:t>
        </w:r>
        <w:r w:rsidR="00134F53" w:rsidRPr="007E3835">
          <w:rPr>
            <w:rStyle w:val="Hyperlink"/>
            <w:rFonts w:hint="eastAsia"/>
            <w:noProof/>
            <w:rtl/>
          </w:rPr>
          <w:t>ב</w:t>
        </w:r>
        <w:r w:rsidR="00134F53" w:rsidRPr="007E3835">
          <w:rPr>
            <w:rStyle w:val="Hyperlink"/>
            <w:noProof/>
            <w:rtl/>
          </w:rPr>
          <w:t>]</w:t>
        </w:r>
        <w:r w:rsidR="00134F53">
          <w:rPr>
            <w:noProof/>
            <w:webHidden/>
            <w:rtl/>
          </w:rPr>
          <w:tab/>
        </w:r>
        <w:r w:rsidR="00134F53">
          <w:rPr>
            <w:noProof/>
            <w:webHidden/>
            <w:rtl/>
          </w:rPr>
          <w:fldChar w:fldCharType="begin"/>
        </w:r>
        <w:r w:rsidR="00134F53">
          <w:rPr>
            <w:noProof/>
            <w:webHidden/>
            <w:rtl/>
          </w:rPr>
          <w:instrText xml:space="preserve"> </w:instrText>
        </w:r>
        <w:r w:rsidR="00134F53">
          <w:rPr>
            <w:noProof/>
            <w:webHidden/>
          </w:rPr>
          <w:instrText>PAGEREF</w:instrText>
        </w:r>
        <w:r w:rsidR="00134F53">
          <w:rPr>
            <w:noProof/>
            <w:webHidden/>
            <w:rtl/>
          </w:rPr>
          <w:instrText xml:space="preserve"> _</w:instrText>
        </w:r>
        <w:r w:rsidR="00134F53">
          <w:rPr>
            <w:noProof/>
            <w:webHidden/>
          </w:rPr>
          <w:instrText>Toc405982961 \h</w:instrText>
        </w:r>
        <w:r w:rsidR="00134F53">
          <w:rPr>
            <w:noProof/>
            <w:webHidden/>
            <w:rtl/>
          </w:rPr>
          <w:instrText xml:space="preserve"> </w:instrText>
        </w:r>
        <w:r w:rsidR="00134F53">
          <w:rPr>
            <w:noProof/>
            <w:webHidden/>
            <w:rtl/>
          </w:rPr>
        </w:r>
        <w:r w:rsidR="00134F53">
          <w:rPr>
            <w:noProof/>
            <w:webHidden/>
            <w:rtl/>
          </w:rPr>
          <w:fldChar w:fldCharType="separate"/>
        </w:r>
        <w:r w:rsidR="00134F53">
          <w:rPr>
            <w:noProof/>
            <w:webHidden/>
            <w:rtl/>
          </w:rPr>
          <w:t>45</w:t>
        </w:r>
        <w:r w:rsidR="00134F53">
          <w:rPr>
            <w:noProof/>
            <w:webHidden/>
            <w:rtl/>
          </w:rPr>
          <w:fldChar w:fldCharType="end"/>
        </w:r>
      </w:hyperlink>
    </w:p>
    <w:p w:rsidR="00134F53" w:rsidRDefault="00156DAD">
      <w:pPr>
        <w:pStyle w:val="TOC2"/>
        <w:tabs>
          <w:tab w:val="right" w:leader="dot" w:pos="10194"/>
        </w:tabs>
        <w:rPr>
          <w:noProof/>
          <w:rtl/>
        </w:rPr>
      </w:pPr>
      <w:hyperlink w:anchor="_Toc405982962" w:history="1">
        <w:r w:rsidR="00134F53" w:rsidRPr="007E3835">
          <w:rPr>
            <w:rStyle w:val="Hyperlink"/>
            <w:noProof/>
            <w:rtl/>
          </w:rPr>
          <w:t>[</w:t>
        </w:r>
        <w:r w:rsidR="00134F53" w:rsidRPr="007E3835">
          <w:rPr>
            <w:rStyle w:val="Hyperlink"/>
            <w:rFonts w:hint="eastAsia"/>
            <w:noProof/>
            <w:rtl/>
          </w:rPr>
          <w:t>תיקוני</w:t>
        </w:r>
        <w:r w:rsidR="00134F53" w:rsidRPr="007E3835">
          <w:rPr>
            <w:rStyle w:val="Hyperlink"/>
            <w:noProof/>
            <w:rtl/>
          </w:rPr>
          <w:t xml:space="preserve"> </w:t>
        </w:r>
        <w:r w:rsidR="00134F53" w:rsidRPr="007E3835">
          <w:rPr>
            <w:rStyle w:val="Hyperlink"/>
            <w:rFonts w:hint="eastAsia"/>
            <w:noProof/>
            <w:rtl/>
          </w:rPr>
          <w:t>זוהר</w:t>
        </w:r>
        <w:r w:rsidR="00134F53" w:rsidRPr="007E3835">
          <w:rPr>
            <w:rStyle w:val="Hyperlink"/>
            <w:noProof/>
            <w:rtl/>
          </w:rPr>
          <w:t xml:space="preserve"> - </w:t>
        </w:r>
        <w:r w:rsidR="00134F53" w:rsidRPr="007E3835">
          <w:rPr>
            <w:rStyle w:val="Hyperlink"/>
            <w:rFonts w:hint="eastAsia"/>
            <w:noProof/>
            <w:rtl/>
          </w:rPr>
          <w:t>דף</w:t>
        </w:r>
        <w:r w:rsidR="00134F53" w:rsidRPr="007E3835">
          <w:rPr>
            <w:rStyle w:val="Hyperlink"/>
            <w:noProof/>
            <w:rtl/>
          </w:rPr>
          <w:t xml:space="preserve"> </w:t>
        </w:r>
        <w:r w:rsidR="00134F53" w:rsidRPr="007E3835">
          <w:rPr>
            <w:rStyle w:val="Hyperlink"/>
            <w:rFonts w:hint="eastAsia"/>
            <w:noProof/>
            <w:rtl/>
          </w:rPr>
          <w:t>כד</w:t>
        </w:r>
        <w:r w:rsidR="00134F53" w:rsidRPr="007E3835">
          <w:rPr>
            <w:rStyle w:val="Hyperlink"/>
            <w:noProof/>
            <w:rtl/>
          </w:rPr>
          <w:t xml:space="preserve"> </w:t>
        </w:r>
        <w:r w:rsidR="00134F53" w:rsidRPr="007E3835">
          <w:rPr>
            <w:rStyle w:val="Hyperlink"/>
            <w:rFonts w:hint="eastAsia"/>
            <w:noProof/>
            <w:rtl/>
          </w:rPr>
          <w:t>ע</w:t>
        </w:r>
        <w:r w:rsidR="00134F53" w:rsidRPr="007E3835">
          <w:rPr>
            <w:rStyle w:val="Hyperlink"/>
            <w:noProof/>
            <w:rtl/>
          </w:rPr>
          <w:t>''</w:t>
        </w:r>
        <w:r w:rsidR="00134F53" w:rsidRPr="007E3835">
          <w:rPr>
            <w:rStyle w:val="Hyperlink"/>
            <w:rFonts w:hint="eastAsia"/>
            <w:noProof/>
            <w:rtl/>
          </w:rPr>
          <w:t>א</w:t>
        </w:r>
        <w:r w:rsidR="00134F53" w:rsidRPr="007E3835">
          <w:rPr>
            <w:rStyle w:val="Hyperlink"/>
            <w:noProof/>
            <w:rtl/>
          </w:rPr>
          <w:t>]</w:t>
        </w:r>
        <w:r w:rsidR="00134F53">
          <w:rPr>
            <w:noProof/>
            <w:webHidden/>
            <w:rtl/>
          </w:rPr>
          <w:tab/>
        </w:r>
        <w:r w:rsidR="00134F53">
          <w:rPr>
            <w:noProof/>
            <w:webHidden/>
            <w:rtl/>
          </w:rPr>
          <w:fldChar w:fldCharType="begin"/>
        </w:r>
        <w:r w:rsidR="00134F53">
          <w:rPr>
            <w:noProof/>
            <w:webHidden/>
            <w:rtl/>
          </w:rPr>
          <w:instrText xml:space="preserve"> </w:instrText>
        </w:r>
        <w:r w:rsidR="00134F53">
          <w:rPr>
            <w:noProof/>
            <w:webHidden/>
          </w:rPr>
          <w:instrText>PAGEREF</w:instrText>
        </w:r>
        <w:r w:rsidR="00134F53">
          <w:rPr>
            <w:noProof/>
            <w:webHidden/>
            <w:rtl/>
          </w:rPr>
          <w:instrText xml:space="preserve"> _</w:instrText>
        </w:r>
        <w:r w:rsidR="00134F53">
          <w:rPr>
            <w:noProof/>
            <w:webHidden/>
          </w:rPr>
          <w:instrText>Toc405982962 \h</w:instrText>
        </w:r>
        <w:r w:rsidR="00134F53">
          <w:rPr>
            <w:noProof/>
            <w:webHidden/>
            <w:rtl/>
          </w:rPr>
          <w:instrText xml:space="preserve"> </w:instrText>
        </w:r>
        <w:r w:rsidR="00134F53">
          <w:rPr>
            <w:noProof/>
            <w:webHidden/>
            <w:rtl/>
          </w:rPr>
        </w:r>
        <w:r w:rsidR="00134F53">
          <w:rPr>
            <w:noProof/>
            <w:webHidden/>
            <w:rtl/>
          </w:rPr>
          <w:fldChar w:fldCharType="separate"/>
        </w:r>
        <w:r w:rsidR="00134F53">
          <w:rPr>
            <w:noProof/>
            <w:webHidden/>
            <w:rtl/>
          </w:rPr>
          <w:t>47</w:t>
        </w:r>
        <w:r w:rsidR="00134F53">
          <w:rPr>
            <w:noProof/>
            <w:webHidden/>
            <w:rtl/>
          </w:rPr>
          <w:fldChar w:fldCharType="end"/>
        </w:r>
      </w:hyperlink>
    </w:p>
    <w:p w:rsidR="00134F53" w:rsidRDefault="00156DAD">
      <w:pPr>
        <w:pStyle w:val="TOC2"/>
        <w:tabs>
          <w:tab w:val="right" w:leader="dot" w:pos="10194"/>
        </w:tabs>
        <w:rPr>
          <w:noProof/>
          <w:rtl/>
        </w:rPr>
      </w:pPr>
      <w:hyperlink w:anchor="_Toc405982963" w:history="1">
        <w:r w:rsidR="00134F53" w:rsidRPr="007E3835">
          <w:rPr>
            <w:rStyle w:val="Hyperlink"/>
            <w:noProof/>
            <w:rtl/>
          </w:rPr>
          <w:t>[</w:t>
        </w:r>
        <w:r w:rsidR="00134F53" w:rsidRPr="007E3835">
          <w:rPr>
            <w:rStyle w:val="Hyperlink"/>
            <w:rFonts w:hint="eastAsia"/>
            <w:noProof/>
            <w:rtl/>
          </w:rPr>
          <w:t>תיקוני</w:t>
        </w:r>
        <w:r w:rsidR="00134F53" w:rsidRPr="007E3835">
          <w:rPr>
            <w:rStyle w:val="Hyperlink"/>
            <w:noProof/>
            <w:rtl/>
          </w:rPr>
          <w:t xml:space="preserve"> </w:t>
        </w:r>
        <w:r w:rsidR="00134F53" w:rsidRPr="007E3835">
          <w:rPr>
            <w:rStyle w:val="Hyperlink"/>
            <w:rFonts w:hint="eastAsia"/>
            <w:noProof/>
            <w:rtl/>
          </w:rPr>
          <w:t>זוהר</w:t>
        </w:r>
        <w:r w:rsidR="00134F53" w:rsidRPr="007E3835">
          <w:rPr>
            <w:rStyle w:val="Hyperlink"/>
            <w:noProof/>
            <w:rtl/>
          </w:rPr>
          <w:t xml:space="preserve"> - </w:t>
        </w:r>
        <w:r w:rsidR="00134F53" w:rsidRPr="007E3835">
          <w:rPr>
            <w:rStyle w:val="Hyperlink"/>
            <w:rFonts w:hint="eastAsia"/>
            <w:noProof/>
            <w:rtl/>
          </w:rPr>
          <w:t>דף</w:t>
        </w:r>
        <w:r w:rsidR="00134F53" w:rsidRPr="007E3835">
          <w:rPr>
            <w:rStyle w:val="Hyperlink"/>
            <w:noProof/>
            <w:rtl/>
          </w:rPr>
          <w:t xml:space="preserve"> </w:t>
        </w:r>
        <w:r w:rsidR="00134F53" w:rsidRPr="007E3835">
          <w:rPr>
            <w:rStyle w:val="Hyperlink"/>
            <w:rFonts w:hint="eastAsia"/>
            <w:noProof/>
            <w:rtl/>
          </w:rPr>
          <w:t>כד</w:t>
        </w:r>
        <w:r w:rsidR="00134F53" w:rsidRPr="007E3835">
          <w:rPr>
            <w:rStyle w:val="Hyperlink"/>
            <w:noProof/>
            <w:rtl/>
          </w:rPr>
          <w:t xml:space="preserve"> </w:t>
        </w:r>
        <w:r w:rsidR="00134F53" w:rsidRPr="007E3835">
          <w:rPr>
            <w:rStyle w:val="Hyperlink"/>
            <w:rFonts w:hint="eastAsia"/>
            <w:noProof/>
            <w:rtl/>
          </w:rPr>
          <w:t>ע</w:t>
        </w:r>
        <w:r w:rsidR="00134F53" w:rsidRPr="007E3835">
          <w:rPr>
            <w:rStyle w:val="Hyperlink"/>
            <w:noProof/>
            <w:rtl/>
          </w:rPr>
          <w:t>''</w:t>
        </w:r>
        <w:r w:rsidR="00134F53" w:rsidRPr="007E3835">
          <w:rPr>
            <w:rStyle w:val="Hyperlink"/>
            <w:rFonts w:hint="eastAsia"/>
            <w:noProof/>
            <w:rtl/>
          </w:rPr>
          <w:t>ב</w:t>
        </w:r>
        <w:r w:rsidR="00134F53" w:rsidRPr="007E3835">
          <w:rPr>
            <w:rStyle w:val="Hyperlink"/>
            <w:noProof/>
            <w:rtl/>
          </w:rPr>
          <w:t>]</w:t>
        </w:r>
        <w:r w:rsidR="00134F53">
          <w:rPr>
            <w:noProof/>
            <w:webHidden/>
            <w:rtl/>
          </w:rPr>
          <w:tab/>
        </w:r>
        <w:r w:rsidR="00134F53">
          <w:rPr>
            <w:noProof/>
            <w:webHidden/>
            <w:rtl/>
          </w:rPr>
          <w:fldChar w:fldCharType="begin"/>
        </w:r>
        <w:r w:rsidR="00134F53">
          <w:rPr>
            <w:noProof/>
            <w:webHidden/>
            <w:rtl/>
          </w:rPr>
          <w:instrText xml:space="preserve"> </w:instrText>
        </w:r>
        <w:r w:rsidR="00134F53">
          <w:rPr>
            <w:noProof/>
            <w:webHidden/>
          </w:rPr>
          <w:instrText>PAGEREF</w:instrText>
        </w:r>
        <w:r w:rsidR="00134F53">
          <w:rPr>
            <w:noProof/>
            <w:webHidden/>
            <w:rtl/>
          </w:rPr>
          <w:instrText xml:space="preserve"> _</w:instrText>
        </w:r>
        <w:r w:rsidR="00134F53">
          <w:rPr>
            <w:noProof/>
            <w:webHidden/>
          </w:rPr>
          <w:instrText>Toc405982963 \h</w:instrText>
        </w:r>
        <w:r w:rsidR="00134F53">
          <w:rPr>
            <w:noProof/>
            <w:webHidden/>
            <w:rtl/>
          </w:rPr>
          <w:instrText xml:space="preserve"> </w:instrText>
        </w:r>
        <w:r w:rsidR="00134F53">
          <w:rPr>
            <w:noProof/>
            <w:webHidden/>
            <w:rtl/>
          </w:rPr>
        </w:r>
        <w:r w:rsidR="00134F53">
          <w:rPr>
            <w:noProof/>
            <w:webHidden/>
            <w:rtl/>
          </w:rPr>
          <w:fldChar w:fldCharType="separate"/>
        </w:r>
        <w:r w:rsidR="00134F53">
          <w:rPr>
            <w:noProof/>
            <w:webHidden/>
            <w:rtl/>
          </w:rPr>
          <w:t>49</w:t>
        </w:r>
        <w:r w:rsidR="00134F53">
          <w:rPr>
            <w:noProof/>
            <w:webHidden/>
            <w:rtl/>
          </w:rPr>
          <w:fldChar w:fldCharType="end"/>
        </w:r>
      </w:hyperlink>
    </w:p>
    <w:p w:rsidR="00134F53" w:rsidRDefault="00156DAD">
      <w:pPr>
        <w:pStyle w:val="TOC1"/>
        <w:tabs>
          <w:tab w:val="right" w:leader="dot" w:pos="10194"/>
        </w:tabs>
        <w:rPr>
          <w:rFonts w:asciiTheme="minorHAnsi" w:eastAsiaTheme="minorEastAsia" w:hAnsiTheme="minorHAnsi" w:cstheme="minorBidi"/>
          <w:noProof/>
          <w:sz w:val="22"/>
          <w:szCs w:val="22"/>
          <w:rtl/>
        </w:rPr>
      </w:pPr>
      <w:hyperlink w:anchor="_Toc405982964" w:history="1">
        <w:r w:rsidR="00134F53" w:rsidRPr="007E3835">
          <w:rPr>
            <w:rStyle w:val="Hyperlink"/>
            <w:rFonts w:hint="eastAsia"/>
            <w:noProof/>
            <w:rtl/>
          </w:rPr>
          <w:t>תקונא</w:t>
        </w:r>
        <w:r w:rsidR="00134F53" w:rsidRPr="007E3835">
          <w:rPr>
            <w:rStyle w:val="Hyperlink"/>
            <w:noProof/>
            <w:rtl/>
          </w:rPr>
          <w:t xml:space="preserve"> </w:t>
        </w:r>
        <w:r w:rsidR="00134F53" w:rsidRPr="007E3835">
          <w:rPr>
            <w:rStyle w:val="Hyperlink"/>
            <w:rFonts w:hint="eastAsia"/>
            <w:noProof/>
            <w:rtl/>
          </w:rPr>
          <w:t>ארביסר</w:t>
        </w:r>
        <w:r w:rsidR="00134F53">
          <w:rPr>
            <w:noProof/>
            <w:webHidden/>
            <w:rtl/>
          </w:rPr>
          <w:tab/>
        </w:r>
        <w:r w:rsidR="00134F53">
          <w:rPr>
            <w:noProof/>
            <w:webHidden/>
            <w:rtl/>
          </w:rPr>
          <w:fldChar w:fldCharType="begin"/>
        </w:r>
        <w:r w:rsidR="00134F53">
          <w:rPr>
            <w:noProof/>
            <w:webHidden/>
            <w:rtl/>
          </w:rPr>
          <w:instrText xml:space="preserve"> </w:instrText>
        </w:r>
        <w:r w:rsidR="00134F53">
          <w:rPr>
            <w:noProof/>
            <w:webHidden/>
          </w:rPr>
          <w:instrText>PAGEREF</w:instrText>
        </w:r>
        <w:r w:rsidR="00134F53">
          <w:rPr>
            <w:noProof/>
            <w:webHidden/>
            <w:rtl/>
          </w:rPr>
          <w:instrText xml:space="preserve"> _</w:instrText>
        </w:r>
        <w:r w:rsidR="00134F53">
          <w:rPr>
            <w:noProof/>
            <w:webHidden/>
          </w:rPr>
          <w:instrText>Toc405982964 \h</w:instrText>
        </w:r>
        <w:r w:rsidR="00134F53">
          <w:rPr>
            <w:noProof/>
            <w:webHidden/>
            <w:rtl/>
          </w:rPr>
          <w:instrText xml:space="preserve"> </w:instrText>
        </w:r>
        <w:r w:rsidR="00134F53">
          <w:rPr>
            <w:noProof/>
            <w:webHidden/>
            <w:rtl/>
          </w:rPr>
        </w:r>
        <w:r w:rsidR="00134F53">
          <w:rPr>
            <w:noProof/>
            <w:webHidden/>
            <w:rtl/>
          </w:rPr>
          <w:fldChar w:fldCharType="separate"/>
        </w:r>
        <w:r w:rsidR="00134F53">
          <w:rPr>
            <w:noProof/>
            <w:webHidden/>
            <w:rtl/>
          </w:rPr>
          <w:t>56</w:t>
        </w:r>
        <w:r w:rsidR="00134F53">
          <w:rPr>
            <w:noProof/>
            <w:webHidden/>
            <w:rtl/>
          </w:rPr>
          <w:fldChar w:fldCharType="end"/>
        </w:r>
      </w:hyperlink>
    </w:p>
    <w:p w:rsidR="00134F53" w:rsidRDefault="00156DAD">
      <w:pPr>
        <w:pStyle w:val="TOC1"/>
        <w:tabs>
          <w:tab w:val="right" w:leader="dot" w:pos="10194"/>
        </w:tabs>
        <w:rPr>
          <w:rFonts w:asciiTheme="minorHAnsi" w:eastAsiaTheme="minorEastAsia" w:hAnsiTheme="minorHAnsi" w:cstheme="minorBidi"/>
          <w:noProof/>
          <w:sz w:val="22"/>
          <w:szCs w:val="22"/>
          <w:rtl/>
        </w:rPr>
      </w:pPr>
      <w:hyperlink w:anchor="_Toc405982965" w:history="1">
        <w:r w:rsidR="00134F53" w:rsidRPr="007E3835">
          <w:rPr>
            <w:rStyle w:val="Hyperlink"/>
            <w:rFonts w:hint="eastAsia"/>
            <w:noProof/>
            <w:rtl/>
          </w:rPr>
          <w:t>תקונא</w:t>
        </w:r>
        <w:r w:rsidR="00134F53" w:rsidRPr="007E3835">
          <w:rPr>
            <w:rStyle w:val="Hyperlink"/>
            <w:noProof/>
            <w:rtl/>
          </w:rPr>
          <w:t xml:space="preserve"> </w:t>
        </w:r>
        <w:r w:rsidR="00134F53" w:rsidRPr="007E3835">
          <w:rPr>
            <w:rStyle w:val="Hyperlink"/>
            <w:rFonts w:hint="eastAsia"/>
            <w:noProof/>
            <w:rtl/>
          </w:rPr>
          <w:t>חמיסר</w:t>
        </w:r>
        <w:r w:rsidR="00134F53">
          <w:rPr>
            <w:noProof/>
            <w:webHidden/>
            <w:rtl/>
          </w:rPr>
          <w:tab/>
        </w:r>
        <w:r w:rsidR="00134F53">
          <w:rPr>
            <w:noProof/>
            <w:webHidden/>
            <w:rtl/>
          </w:rPr>
          <w:fldChar w:fldCharType="begin"/>
        </w:r>
        <w:r w:rsidR="00134F53">
          <w:rPr>
            <w:noProof/>
            <w:webHidden/>
            <w:rtl/>
          </w:rPr>
          <w:instrText xml:space="preserve"> </w:instrText>
        </w:r>
        <w:r w:rsidR="00134F53">
          <w:rPr>
            <w:noProof/>
            <w:webHidden/>
          </w:rPr>
          <w:instrText>PAGEREF</w:instrText>
        </w:r>
        <w:r w:rsidR="00134F53">
          <w:rPr>
            <w:noProof/>
            <w:webHidden/>
            <w:rtl/>
          </w:rPr>
          <w:instrText xml:space="preserve"> _</w:instrText>
        </w:r>
        <w:r w:rsidR="00134F53">
          <w:rPr>
            <w:noProof/>
            <w:webHidden/>
          </w:rPr>
          <w:instrText>Toc405982965 \h</w:instrText>
        </w:r>
        <w:r w:rsidR="00134F53">
          <w:rPr>
            <w:noProof/>
            <w:webHidden/>
            <w:rtl/>
          </w:rPr>
          <w:instrText xml:space="preserve"> </w:instrText>
        </w:r>
        <w:r w:rsidR="00134F53">
          <w:rPr>
            <w:noProof/>
            <w:webHidden/>
            <w:rtl/>
          </w:rPr>
        </w:r>
        <w:r w:rsidR="00134F53">
          <w:rPr>
            <w:noProof/>
            <w:webHidden/>
            <w:rtl/>
          </w:rPr>
          <w:fldChar w:fldCharType="separate"/>
        </w:r>
        <w:r w:rsidR="00134F53">
          <w:rPr>
            <w:noProof/>
            <w:webHidden/>
            <w:rtl/>
          </w:rPr>
          <w:t>58</w:t>
        </w:r>
        <w:r w:rsidR="00134F53">
          <w:rPr>
            <w:noProof/>
            <w:webHidden/>
            <w:rtl/>
          </w:rPr>
          <w:fldChar w:fldCharType="end"/>
        </w:r>
      </w:hyperlink>
    </w:p>
    <w:p w:rsidR="00134F53" w:rsidRDefault="00156DAD">
      <w:pPr>
        <w:pStyle w:val="TOC1"/>
        <w:tabs>
          <w:tab w:val="right" w:leader="dot" w:pos="10194"/>
        </w:tabs>
        <w:rPr>
          <w:rFonts w:asciiTheme="minorHAnsi" w:eastAsiaTheme="minorEastAsia" w:hAnsiTheme="minorHAnsi" w:cstheme="minorBidi"/>
          <w:noProof/>
          <w:sz w:val="22"/>
          <w:szCs w:val="22"/>
          <w:rtl/>
        </w:rPr>
      </w:pPr>
      <w:hyperlink w:anchor="_Toc405982966" w:history="1">
        <w:r w:rsidR="00134F53" w:rsidRPr="007E3835">
          <w:rPr>
            <w:rStyle w:val="Hyperlink"/>
            <w:rFonts w:hint="eastAsia"/>
            <w:noProof/>
            <w:rtl/>
          </w:rPr>
          <w:t>תקונא</w:t>
        </w:r>
        <w:r w:rsidR="00134F53" w:rsidRPr="007E3835">
          <w:rPr>
            <w:rStyle w:val="Hyperlink"/>
            <w:noProof/>
            <w:rtl/>
          </w:rPr>
          <w:t xml:space="preserve"> </w:t>
        </w:r>
        <w:r w:rsidR="00134F53" w:rsidRPr="007E3835">
          <w:rPr>
            <w:rStyle w:val="Hyperlink"/>
            <w:rFonts w:hint="eastAsia"/>
            <w:noProof/>
            <w:rtl/>
          </w:rPr>
          <w:t>שיתסר</w:t>
        </w:r>
        <w:r w:rsidR="00134F53">
          <w:rPr>
            <w:noProof/>
            <w:webHidden/>
            <w:rtl/>
          </w:rPr>
          <w:tab/>
        </w:r>
        <w:r w:rsidR="00134F53">
          <w:rPr>
            <w:noProof/>
            <w:webHidden/>
            <w:rtl/>
          </w:rPr>
          <w:fldChar w:fldCharType="begin"/>
        </w:r>
        <w:r w:rsidR="00134F53">
          <w:rPr>
            <w:noProof/>
            <w:webHidden/>
            <w:rtl/>
          </w:rPr>
          <w:instrText xml:space="preserve"> </w:instrText>
        </w:r>
        <w:r w:rsidR="00134F53">
          <w:rPr>
            <w:noProof/>
            <w:webHidden/>
          </w:rPr>
          <w:instrText>PAGEREF</w:instrText>
        </w:r>
        <w:r w:rsidR="00134F53">
          <w:rPr>
            <w:noProof/>
            <w:webHidden/>
            <w:rtl/>
          </w:rPr>
          <w:instrText xml:space="preserve"> _</w:instrText>
        </w:r>
        <w:r w:rsidR="00134F53">
          <w:rPr>
            <w:noProof/>
            <w:webHidden/>
          </w:rPr>
          <w:instrText>Toc405982966 \h</w:instrText>
        </w:r>
        <w:r w:rsidR="00134F53">
          <w:rPr>
            <w:noProof/>
            <w:webHidden/>
            <w:rtl/>
          </w:rPr>
          <w:instrText xml:space="preserve"> </w:instrText>
        </w:r>
        <w:r w:rsidR="00134F53">
          <w:rPr>
            <w:noProof/>
            <w:webHidden/>
            <w:rtl/>
          </w:rPr>
        </w:r>
        <w:r w:rsidR="00134F53">
          <w:rPr>
            <w:noProof/>
            <w:webHidden/>
            <w:rtl/>
          </w:rPr>
          <w:fldChar w:fldCharType="separate"/>
        </w:r>
        <w:r w:rsidR="00134F53">
          <w:rPr>
            <w:noProof/>
            <w:webHidden/>
            <w:rtl/>
          </w:rPr>
          <w:t>59</w:t>
        </w:r>
        <w:r w:rsidR="00134F53">
          <w:rPr>
            <w:noProof/>
            <w:webHidden/>
            <w:rtl/>
          </w:rPr>
          <w:fldChar w:fldCharType="end"/>
        </w:r>
      </w:hyperlink>
    </w:p>
    <w:p w:rsidR="00134F53" w:rsidRDefault="00156DAD">
      <w:pPr>
        <w:pStyle w:val="TOC1"/>
        <w:tabs>
          <w:tab w:val="right" w:leader="dot" w:pos="10194"/>
        </w:tabs>
        <w:rPr>
          <w:rFonts w:asciiTheme="minorHAnsi" w:eastAsiaTheme="minorEastAsia" w:hAnsiTheme="minorHAnsi" w:cstheme="minorBidi"/>
          <w:noProof/>
          <w:sz w:val="22"/>
          <w:szCs w:val="22"/>
          <w:rtl/>
        </w:rPr>
      </w:pPr>
      <w:hyperlink w:anchor="_Toc405982967" w:history="1">
        <w:r w:rsidR="00134F53" w:rsidRPr="007E3835">
          <w:rPr>
            <w:rStyle w:val="Hyperlink"/>
            <w:rFonts w:hint="eastAsia"/>
            <w:noProof/>
            <w:spacing w:val="5"/>
            <w:kern w:val="28"/>
            <w:rtl/>
          </w:rPr>
          <w:t>תקונא</w:t>
        </w:r>
        <w:r w:rsidR="00134F53" w:rsidRPr="007E3835">
          <w:rPr>
            <w:rStyle w:val="Hyperlink"/>
            <w:noProof/>
            <w:spacing w:val="5"/>
            <w:kern w:val="28"/>
            <w:rtl/>
          </w:rPr>
          <w:t xml:space="preserve"> </w:t>
        </w:r>
        <w:r w:rsidR="00134F53" w:rsidRPr="007E3835">
          <w:rPr>
            <w:rStyle w:val="Hyperlink"/>
            <w:rFonts w:hint="eastAsia"/>
            <w:noProof/>
            <w:spacing w:val="5"/>
            <w:kern w:val="28"/>
            <w:rtl/>
          </w:rPr>
          <w:t>שיבסר</w:t>
        </w:r>
        <w:r w:rsidR="00134F53">
          <w:rPr>
            <w:noProof/>
            <w:webHidden/>
            <w:rtl/>
          </w:rPr>
          <w:tab/>
        </w:r>
        <w:r w:rsidR="00134F53">
          <w:rPr>
            <w:noProof/>
            <w:webHidden/>
            <w:rtl/>
          </w:rPr>
          <w:fldChar w:fldCharType="begin"/>
        </w:r>
        <w:r w:rsidR="00134F53">
          <w:rPr>
            <w:noProof/>
            <w:webHidden/>
            <w:rtl/>
          </w:rPr>
          <w:instrText xml:space="preserve"> </w:instrText>
        </w:r>
        <w:r w:rsidR="00134F53">
          <w:rPr>
            <w:noProof/>
            <w:webHidden/>
          </w:rPr>
          <w:instrText>PAGEREF</w:instrText>
        </w:r>
        <w:r w:rsidR="00134F53">
          <w:rPr>
            <w:noProof/>
            <w:webHidden/>
            <w:rtl/>
          </w:rPr>
          <w:instrText xml:space="preserve"> _</w:instrText>
        </w:r>
        <w:r w:rsidR="00134F53">
          <w:rPr>
            <w:noProof/>
            <w:webHidden/>
          </w:rPr>
          <w:instrText>Toc405982967 \h</w:instrText>
        </w:r>
        <w:r w:rsidR="00134F53">
          <w:rPr>
            <w:noProof/>
            <w:webHidden/>
            <w:rtl/>
          </w:rPr>
          <w:instrText xml:space="preserve"> </w:instrText>
        </w:r>
        <w:r w:rsidR="00134F53">
          <w:rPr>
            <w:noProof/>
            <w:webHidden/>
            <w:rtl/>
          </w:rPr>
        </w:r>
        <w:r w:rsidR="00134F53">
          <w:rPr>
            <w:noProof/>
            <w:webHidden/>
            <w:rtl/>
          </w:rPr>
          <w:fldChar w:fldCharType="separate"/>
        </w:r>
        <w:r w:rsidR="00134F53">
          <w:rPr>
            <w:noProof/>
            <w:webHidden/>
            <w:rtl/>
          </w:rPr>
          <w:t>60</w:t>
        </w:r>
        <w:r w:rsidR="00134F53">
          <w:rPr>
            <w:noProof/>
            <w:webHidden/>
            <w:rtl/>
          </w:rPr>
          <w:fldChar w:fldCharType="end"/>
        </w:r>
      </w:hyperlink>
    </w:p>
    <w:p w:rsidR="00134F53" w:rsidRDefault="00156DAD">
      <w:pPr>
        <w:pStyle w:val="TOC1"/>
        <w:tabs>
          <w:tab w:val="right" w:leader="dot" w:pos="10194"/>
        </w:tabs>
        <w:rPr>
          <w:rFonts w:asciiTheme="minorHAnsi" w:eastAsiaTheme="minorEastAsia" w:hAnsiTheme="minorHAnsi" w:cstheme="minorBidi"/>
          <w:noProof/>
          <w:sz w:val="22"/>
          <w:szCs w:val="22"/>
          <w:rtl/>
        </w:rPr>
      </w:pPr>
      <w:hyperlink w:anchor="_Toc405982968" w:history="1">
        <w:r w:rsidR="00134F53" w:rsidRPr="007E3835">
          <w:rPr>
            <w:rStyle w:val="Hyperlink"/>
            <w:rFonts w:hint="eastAsia"/>
            <w:noProof/>
            <w:rtl/>
          </w:rPr>
          <w:t>תקונא</w:t>
        </w:r>
        <w:r w:rsidR="00134F53" w:rsidRPr="007E3835">
          <w:rPr>
            <w:rStyle w:val="Hyperlink"/>
            <w:noProof/>
            <w:rtl/>
          </w:rPr>
          <w:t xml:space="preserve"> </w:t>
        </w:r>
        <w:r w:rsidR="00134F53" w:rsidRPr="007E3835">
          <w:rPr>
            <w:rStyle w:val="Hyperlink"/>
            <w:rFonts w:hint="eastAsia"/>
            <w:noProof/>
            <w:rtl/>
          </w:rPr>
          <w:t>תמני</w:t>
        </w:r>
        <w:r w:rsidR="00134F53" w:rsidRPr="007E3835">
          <w:rPr>
            <w:rStyle w:val="Hyperlink"/>
            <w:noProof/>
            <w:rtl/>
          </w:rPr>
          <w:t xml:space="preserve"> </w:t>
        </w:r>
        <w:r w:rsidR="00134F53" w:rsidRPr="007E3835">
          <w:rPr>
            <w:rStyle w:val="Hyperlink"/>
            <w:rFonts w:hint="eastAsia"/>
            <w:noProof/>
            <w:rtl/>
          </w:rPr>
          <w:t>סרי</w:t>
        </w:r>
        <w:r w:rsidR="00134F53">
          <w:rPr>
            <w:noProof/>
            <w:webHidden/>
            <w:rtl/>
          </w:rPr>
          <w:tab/>
        </w:r>
        <w:r w:rsidR="00134F53">
          <w:rPr>
            <w:noProof/>
            <w:webHidden/>
            <w:rtl/>
          </w:rPr>
          <w:fldChar w:fldCharType="begin"/>
        </w:r>
        <w:r w:rsidR="00134F53">
          <w:rPr>
            <w:noProof/>
            <w:webHidden/>
            <w:rtl/>
          </w:rPr>
          <w:instrText xml:space="preserve"> </w:instrText>
        </w:r>
        <w:r w:rsidR="00134F53">
          <w:rPr>
            <w:noProof/>
            <w:webHidden/>
          </w:rPr>
          <w:instrText>PAGEREF</w:instrText>
        </w:r>
        <w:r w:rsidR="00134F53">
          <w:rPr>
            <w:noProof/>
            <w:webHidden/>
            <w:rtl/>
          </w:rPr>
          <w:instrText xml:space="preserve"> _</w:instrText>
        </w:r>
        <w:r w:rsidR="00134F53">
          <w:rPr>
            <w:noProof/>
            <w:webHidden/>
          </w:rPr>
          <w:instrText>Toc405982968 \h</w:instrText>
        </w:r>
        <w:r w:rsidR="00134F53">
          <w:rPr>
            <w:noProof/>
            <w:webHidden/>
            <w:rtl/>
          </w:rPr>
          <w:instrText xml:space="preserve"> </w:instrText>
        </w:r>
        <w:r w:rsidR="00134F53">
          <w:rPr>
            <w:noProof/>
            <w:webHidden/>
            <w:rtl/>
          </w:rPr>
        </w:r>
        <w:r w:rsidR="00134F53">
          <w:rPr>
            <w:noProof/>
            <w:webHidden/>
            <w:rtl/>
          </w:rPr>
          <w:fldChar w:fldCharType="separate"/>
        </w:r>
        <w:r w:rsidR="00134F53">
          <w:rPr>
            <w:noProof/>
            <w:webHidden/>
            <w:rtl/>
          </w:rPr>
          <w:t>62</w:t>
        </w:r>
        <w:r w:rsidR="00134F53">
          <w:rPr>
            <w:noProof/>
            <w:webHidden/>
            <w:rtl/>
          </w:rPr>
          <w:fldChar w:fldCharType="end"/>
        </w:r>
      </w:hyperlink>
    </w:p>
    <w:p w:rsidR="00134F53" w:rsidRDefault="00156DAD">
      <w:pPr>
        <w:pStyle w:val="TOC1"/>
        <w:tabs>
          <w:tab w:val="right" w:leader="dot" w:pos="10194"/>
        </w:tabs>
        <w:rPr>
          <w:rFonts w:asciiTheme="minorHAnsi" w:eastAsiaTheme="minorEastAsia" w:hAnsiTheme="minorHAnsi" w:cstheme="minorBidi"/>
          <w:noProof/>
          <w:sz w:val="22"/>
          <w:szCs w:val="22"/>
          <w:rtl/>
        </w:rPr>
      </w:pPr>
      <w:hyperlink w:anchor="_Toc405982969" w:history="1">
        <w:r w:rsidR="00134F53" w:rsidRPr="007E3835">
          <w:rPr>
            <w:rStyle w:val="Hyperlink"/>
            <w:rFonts w:hint="eastAsia"/>
            <w:noProof/>
            <w:rtl/>
          </w:rPr>
          <w:t>תקונא</w:t>
        </w:r>
        <w:r w:rsidR="00134F53" w:rsidRPr="007E3835">
          <w:rPr>
            <w:rStyle w:val="Hyperlink"/>
            <w:noProof/>
            <w:rtl/>
          </w:rPr>
          <w:t xml:space="preserve"> </w:t>
        </w:r>
        <w:r w:rsidR="00134F53" w:rsidRPr="007E3835">
          <w:rPr>
            <w:rStyle w:val="Hyperlink"/>
            <w:rFonts w:hint="eastAsia"/>
            <w:noProof/>
            <w:rtl/>
          </w:rPr>
          <w:t>תשסרי</w:t>
        </w:r>
        <w:r w:rsidR="00134F53">
          <w:rPr>
            <w:noProof/>
            <w:webHidden/>
            <w:rtl/>
          </w:rPr>
          <w:tab/>
        </w:r>
        <w:r w:rsidR="00134F53">
          <w:rPr>
            <w:noProof/>
            <w:webHidden/>
            <w:rtl/>
          </w:rPr>
          <w:fldChar w:fldCharType="begin"/>
        </w:r>
        <w:r w:rsidR="00134F53">
          <w:rPr>
            <w:noProof/>
            <w:webHidden/>
            <w:rtl/>
          </w:rPr>
          <w:instrText xml:space="preserve"> </w:instrText>
        </w:r>
        <w:r w:rsidR="00134F53">
          <w:rPr>
            <w:noProof/>
            <w:webHidden/>
          </w:rPr>
          <w:instrText>PAGEREF</w:instrText>
        </w:r>
        <w:r w:rsidR="00134F53">
          <w:rPr>
            <w:noProof/>
            <w:webHidden/>
            <w:rtl/>
          </w:rPr>
          <w:instrText xml:space="preserve"> _</w:instrText>
        </w:r>
        <w:r w:rsidR="00134F53">
          <w:rPr>
            <w:noProof/>
            <w:webHidden/>
          </w:rPr>
          <w:instrText>Toc405982969 \h</w:instrText>
        </w:r>
        <w:r w:rsidR="00134F53">
          <w:rPr>
            <w:noProof/>
            <w:webHidden/>
            <w:rtl/>
          </w:rPr>
          <w:instrText xml:space="preserve"> </w:instrText>
        </w:r>
        <w:r w:rsidR="00134F53">
          <w:rPr>
            <w:noProof/>
            <w:webHidden/>
            <w:rtl/>
          </w:rPr>
        </w:r>
        <w:r w:rsidR="00134F53">
          <w:rPr>
            <w:noProof/>
            <w:webHidden/>
            <w:rtl/>
          </w:rPr>
          <w:fldChar w:fldCharType="separate"/>
        </w:r>
        <w:r w:rsidR="00134F53">
          <w:rPr>
            <w:noProof/>
            <w:webHidden/>
            <w:rtl/>
          </w:rPr>
          <w:t>80</w:t>
        </w:r>
        <w:r w:rsidR="00134F53">
          <w:rPr>
            <w:noProof/>
            <w:webHidden/>
            <w:rtl/>
          </w:rPr>
          <w:fldChar w:fldCharType="end"/>
        </w:r>
      </w:hyperlink>
    </w:p>
    <w:p w:rsidR="00134F53" w:rsidRDefault="00156DAD">
      <w:pPr>
        <w:pStyle w:val="TOC1"/>
        <w:tabs>
          <w:tab w:val="right" w:leader="dot" w:pos="10194"/>
        </w:tabs>
        <w:rPr>
          <w:rFonts w:asciiTheme="minorHAnsi" w:eastAsiaTheme="minorEastAsia" w:hAnsiTheme="minorHAnsi" w:cstheme="minorBidi"/>
          <w:noProof/>
          <w:sz w:val="22"/>
          <w:szCs w:val="22"/>
          <w:rtl/>
        </w:rPr>
      </w:pPr>
      <w:hyperlink w:anchor="_Toc405982970" w:history="1">
        <w:r w:rsidR="00134F53" w:rsidRPr="007E3835">
          <w:rPr>
            <w:rStyle w:val="Hyperlink"/>
            <w:rFonts w:hint="eastAsia"/>
            <w:noProof/>
            <w:rtl/>
          </w:rPr>
          <w:t>תקונא</w:t>
        </w:r>
        <w:r w:rsidR="00134F53" w:rsidRPr="007E3835">
          <w:rPr>
            <w:rStyle w:val="Hyperlink"/>
            <w:noProof/>
            <w:rtl/>
          </w:rPr>
          <w:t xml:space="preserve"> </w:t>
        </w:r>
        <w:r w:rsidR="00134F53" w:rsidRPr="007E3835">
          <w:rPr>
            <w:rStyle w:val="Hyperlink"/>
            <w:rFonts w:hint="eastAsia"/>
            <w:noProof/>
            <w:rtl/>
          </w:rPr>
          <w:t>עשרין</w:t>
        </w:r>
        <w:r w:rsidR="00134F53">
          <w:rPr>
            <w:noProof/>
            <w:webHidden/>
            <w:rtl/>
          </w:rPr>
          <w:tab/>
        </w:r>
        <w:r w:rsidR="00134F53">
          <w:rPr>
            <w:noProof/>
            <w:webHidden/>
            <w:rtl/>
          </w:rPr>
          <w:fldChar w:fldCharType="begin"/>
        </w:r>
        <w:r w:rsidR="00134F53">
          <w:rPr>
            <w:noProof/>
            <w:webHidden/>
            <w:rtl/>
          </w:rPr>
          <w:instrText xml:space="preserve"> </w:instrText>
        </w:r>
        <w:r w:rsidR="00134F53">
          <w:rPr>
            <w:noProof/>
            <w:webHidden/>
          </w:rPr>
          <w:instrText>PAGEREF</w:instrText>
        </w:r>
        <w:r w:rsidR="00134F53">
          <w:rPr>
            <w:noProof/>
            <w:webHidden/>
            <w:rtl/>
          </w:rPr>
          <w:instrText xml:space="preserve"> _</w:instrText>
        </w:r>
        <w:r w:rsidR="00134F53">
          <w:rPr>
            <w:noProof/>
            <w:webHidden/>
          </w:rPr>
          <w:instrText>Toc405982970 \h</w:instrText>
        </w:r>
        <w:r w:rsidR="00134F53">
          <w:rPr>
            <w:noProof/>
            <w:webHidden/>
            <w:rtl/>
          </w:rPr>
          <w:instrText xml:space="preserve"> </w:instrText>
        </w:r>
        <w:r w:rsidR="00134F53">
          <w:rPr>
            <w:noProof/>
            <w:webHidden/>
            <w:rtl/>
          </w:rPr>
        </w:r>
        <w:r w:rsidR="00134F53">
          <w:rPr>
            <w:noProof/>
            <w:webHidden/>
            <w:rtl/>
          </w:rPr>
          <w:fldChar w:fldCharType="separate"/>
        </w:r>
        <w:r w:rsidR="00134F53">
          <w:rPr>
            <w:noProof/>
            <w:webHidden/>
            <w:rtl/>
          </w:rPr>
          <w:t>100</w:t>
        </w:r>
        <w:r w:rsidR="00134F53">
          <w:rPr>
            <w:noProof/>
            <w:webHidden/>
            <w:rtl/>
          </w:rPr>
          <w:fldChar w:fldCharType="end"/>
        </w:r>
      </w:hyperlink>
    </w:p>
    <w:p w:rsidR="00606298" w:rsidRDefault="00134F53" w:rsidP="005C2E20">
      <w:pPr>
        <w:pStyle w:val="afa"/>
        <w:rPr>
          <w:rtl/>
        </w:rPr>
      </w:pPr>
      <w:r>
        <w:rPr>
          <w:rtl/>
        </w:rPr>
        <w:fldChar w:fldCharType="end"/>
      </w:r>
      <w:r w:rsidR="00606298">
        <w:rPr>
          <w:rtl/>
        </w:rPr>
        <w:fldChar w:fldCharType="begin"/>
      </w:r>
      <w:r w:rsidR="00606298">
        <w:rPr>
          <w:rtl/>
        </w:rPr>
        <w:instrText xml:space="preserve"> </w:instrText>
      </w:r>
      <w:r w:rsidR="00606298">
        <w:instrText xml:space="preserve">REF </w:instrText>
      </w:r>
      <w:r w:rsidR="00606298">
        <w:rPr>
          <w:rtl/>
        </w:rPr>
        <w:instrText>כאן</w:instrText>
      </w:r>
      <w:r w:rsidR="00606298">
        <w:instrText xml:space="preserve"> \h</w:instrText>
      </w:r>
      <w:r w:rsidR="00606298">
        <w:rPr>
          <w:rtl/>
        </w:rPr>
        <w:instrText xml:space="preserve"> </w:instrText>
      </w:r>
      <w:r w:rsidR="009116B0">
        <w:rPr>
          <w:rtl/>
        </w:rPr>
        <w:instrText xml:space="preserve"> \* </w:instrText>
      </w:r>
      <w:r w:rsidR="009116B0">
        <w:instrText>MERGEFORMAT</w:instrText>
      </w:r>
      <w:r w:rsidR="009116B0">
        <w:rPr>
          <w:rtl/>
        </w:rPr>
        <w:instrText xml:space="preserve"> </w:instrText>
      </w:r>
      <w:r w:rsidR="00606298">
        <w:rPr>
          <w:rtl/>
        </w:rPr>
      </w:r>
      <w:r w:rsidR="00606298">
        <w:rPr>
          <w:rtl/>
        </w:rPr>
        <w:fldChar w:fldCharType="end"/>
      </w:r>
      <w:r w:rsidR="00606298">
        <w:rPr>
          <w:rtl/>
        </w:rPr>
        <w:fldChar w:fldCharType="begin"/>
      </w:r>
      <w:r w:rsidR="00606298">
        <w:rPr>
          <w:rtl/>
        </w:rPr>
        <w:instrText xml:space="preserve"> </w:instrText>
      </w:r>
      <w:r w:rsidR="00606298">
        <w:instrText xml:space="preserve">REF </w:instrText>
      </w:r>
      <w:r w:rsidR="00606298">
        <w:rPr>
          <w:rtl/>
        </w:rPr>
        <w:instrText>כאן</w:instrText>
      </w:r>
      <w:r w:rsidR="00606298">
        <w:instrText xml:space="preserve"> \h</w:instrText>
      </w:r>
      <w:r w:rsidR="00606298">
        <w:rPr>
          <w:rtl/>
        </w:rPr>
        <w:instrText xml:space="preserve"> </w:instrText>
      </w:r>
      <w:r w:rsidR="009116B0">
        <w:rPr>
          <w:rtl/>
        </w:rPr>
        <w:instrText xml:space="preserve"> \* </w:instrText>
      </w:r>
      <w:r w:rsidR="009116B0">
        <w:instrText>MERGEFORMAT</w:instrText>
      </w:r>
      <w:r w:rsidR="009116B0">
        <w:rPr>
          <w:rtl/>
        </w:rPr>
        <w:instrText xml:space="preserve"> </w:instrText>
      </w:r>
      <w:r w:rsidR="00606298">
        <w:rPr>
          <w:rtl/>
        </w:rPr>
      </w:r>
      <w:r w:rsidR="00606298">
        <w:rPr>
          <w:rtl/>
        </w:rPr>
        <w:fldChar w:fldCharType="end"/>
      </w:r>
      <w:r w:rsidR="00606298">
        <w:rPr>
          <w:rtl/>
        </w:rPr>
        <w:fldChar w:fldCharType="begin"/>
      </w:r>
      <w:r w:rsidR="00606298">
        <w:rPr>
          <w:rtl/>
        </w:rPr>
        <w:instrText xml:space="preserve"> </w:instrText>
      </w:r>
      <w:r w:rsidR="00606298">
        <w:instrText xml:space="preserve">REF </w:instrText>
      </w:r>
      <w:r w:rsidR="00606298">
        <w:rPr>
          <w:rtl/>
        </w:rPr>
        <w:instrText>כאן</w:instrText>
      </w:r>
      <w:r w:rsidR="00606298">
        <w:instrText xml:space="preserve"> \h</w:instrText>
      </w:r>
      <w:r w:rsidR="00606298">
        <w:rPr>
          <w:rtl/>
        </w:rPr>
        <w:instrText xml:space="preserve"> </w:instrText>
      </w:r>
      <w:r w:rsidR="009116B0">
        <w:rPr>
          <w:rtl/>
        </w:rPr>
        <w:instrText xml:space="preserve"> \* </w:instrText>
      </w:r>
      <w:r w:rsidR="009116B0">
        <w:instrText>MERGEFORMAT</w:instrText>
      </w:r>
      <w:r w:rsidR="009116B0">
        <w:rPr>
          <w:rtl/>
        </w:rPr>
        <w:instrText xml:space="preserve"> </w:instrText>
      </w:r>
      <w:r w:rsidR="00606298">
        <w:rPr>
          <w:rtl/>
        </w:rPr>
      </w:r>
      <w:r w:rsidR="00606298">
        <w:rPr>
          <w:rtl/>
        </w:rPr>
        <w:fldChar w:fldCharType="end"/>
      </w:r>
      <w:r w:rsidR="00606298">
        <w:rPr>
          <w:rtl/>
        </w:rPr>
        <w:fldChar w:fldCharType="begin"/>
      </w:r>
      <w:r w:rsidR="00606298">
        <w:rPr>
          <w:rtl/>
        </w:rPr>
        <w:instrText xml:space="preserve"> </w:instrText>
      </w:r>
      <w:r w:rsidR="00606298">
        <w:instrText xml:space="preserve">REF </w:instrText>
      </w:r>
      <w:r w:rsidR="00606298">
        <w:rPr>
          <w:rtl/>
        </w:rPr>
        <w:instrText>כאן</w:instrText>
      </w:r>
      <w:r w:rsidR="00606298">
        <w:instrText xml:space="preserve"> \h</w:instrText>
      </w:r>
      <w:r w:rsidR="00606298">
        <w:rPr>
          <w:rtl/>
        </w:rPr>
        <w:instrText xml:space="preserve"> </w:instrText>
      </w:r>
      <w:r w:rsidR="009116B0">
        <w:rPr>
          <w:rtl/>
        </w:rPr>
        <w:instrText xml:space="preserve"> \* </w:instrText>
      </w:r>
      <w:r w:rsidR="009116B0">
        <w:instrText>MERGEFORMAT</w:instrText>
      </w:r>
      <w:r w:rsidR="009116B0">
        <w:rPr>
          <w:rtl/>
        </w:rPr>
        <w:instrText xml:space="preserve"> </w:instrText>
      </w:r>
      <w:r w:rsidR="00606298">
        <w:rPr>
          <w:rtl/>
        </w:rPr>
      </w:r>
      <w:r w:rsidR="00606298">
        <w:rPr>
          <w:rtl/>
        </w:rPr>
        <w:fldChar w:fldCharType="end"/>
      </w:r>
      <w:r w:rsidR="00606298">
        <w:rPr>
          <w:rtl/>
        </w:rPr>
        <w:t xml:space="preserve">תקונא </w:t>
      </w:r>
      <w:r w:rsidR="00606298" w:rsidRPr="005C2E20">
        <w:rPr>
          <w:rtl/>
        </w:rPr>
        <w:t>קדמאה</w:t>
      </w:r>
      <w:bookmarkEnd w:id="2"/>
      <w:bookmarkEnd w:id="3"/>
    </w:p>
    <w:p w:rsidR="00606298" w:rsidRDefault="00606298" w:rsidP="00134F53">
      <w:pPr>
        <w:pStyle w:val="2"/>
        <w:rPr>
          <w:rtl/>
        </w:rPr>
      </w:pPr>
      <w:bookmarkStart w:id="62" w:name="_Toc228095593"/>
      <w:bookmarkStart w:id="63" w:name="_Toc231638031"/>
      <w:bookmarkStart w:id="64" w:name="_Toc405982927"/>
      <w:r>
        <w:rPr>
          <w:rtl/>
        </w:rPr>
        <w:lastRenderedPageBreak/>
        <w:t>[תיקוני זוהר - דף יד ע''א]</w:t>
      </w:r>
      <w:bookmarkEnd w:id="62"/>
      <w:bookmarkEnd w:id="63"/>
      <w:bookmarkEnd w:id="64"/>
    </w:p>
    <w:p w:rsidR="00606298" w:rsidRDefault="00606298" w:rsidP="00B17EA9">
      <w:pPr>
        <w:pStyle w:val="NormalWeb"/>
        <w:rPr>
          <w:rtl/>
        </w:rPr>
      </w:pPr>
      <w:r>
        <w:rPr>
          <w:rStyle w:val="a7"/>
          <w:rtl/>
        </w:rPr>
        <w:footnoteReference w:id="954"/>
      </w:r>
      <w:r>
        <w:rPr>
          <w:rtl/>
        </w:rPr>
        <w:t xml:space="preserve">בְּרֵאשִׁית, ב' רֵאשִׁית, זֶה הַשַּׁעַר לַיהו''ה צַדִּיקִים </w:t>
      </w:r>
      <w:r>
        <w:rPr>
          <w:rStyle w:val="a7"/>
          <w:rtl/>
        </w:rPr>
        <w:footnoteReference w:id="955"/>
      </w:r>
      <w:r>
        <w:rPr>
          <w:rtl/>
        </w:rPr>
        <w:t xml:space="preserve">יָבֹאוּ בוֹ </w:t>
      </w:r>
      <w:r>
        <w:rPr>
          <w:sz w:val="20"/>
          <w:szCs w:val="23"/>
          <w:rtl/>
        </w:rPr>
        <w:t>(תהלים קיח כ)</w:t>
      </w:r>
      <w:r>
        <w:rPr>
          <w:rtl/>
        </w:rPr>
        <w:t xml:space="preserve">, דָּא אִיהוּ תַרְעָא דְצַדִּיקַיָּיא, דְאִית לוֹן רְשׁוּ לְאַעָלָא תַמָּן, וְאָחֳרָנִין וּדְלַאו אִינוּן צַדִּיקַיָּא, </w:t>
      </w:r>
      <w:r>
        <w:rPr>
          <w:sz w:val="20"/>
          <w:szCs w:val="23"/>
          <w:rtl/>
        </w:rPr>
        <w:t xml:space="preserve">(דף יד ע''א) </w:t>
      </w:r>
      <w:r>
        <w:rPr>
          <w:rtl/>
        </w:rPr>
        <w:t xml:space="preserve">אִתְדַּחְיָין מִתַּמָּן, </w:t>
      </w:r>
      <w:r>
        <w:rPr>
          <w:rStyle w:val="a7"/>
          <w:rtl/>
        </w:rPr>
        <w:footnoteReference w:id="956"/>
      </w:r>
      <w:r>
        <w:rPr>
          <w:rtl/>
        </w:rPr>
        <w:t xml:space="preserve">בָּהּ </w:t>
      </w:r>
      <w:r>
        <w:rPr>
          <w:rStyle w:val="a7"/>
          <w:rtl/>
        </w:rPr>
        <w:footnoteReference w:id="957"/>
      </w:r>
      <w:r>
        <w:rPr>
          <w:rtl/>
        </w:rPr>
        <w:t xml:space="preserve">רְשִׁימִין וּמְצוּיָירִין וּמִתְחַקְּקִין דִּיּוֹקְנִין דְּעִלָּאִין </w:t>
      </w:r>
      <w:r>
        <w:rPr>
          <w:rStyle w:val="a7"/>
          <w:rtl/>
        </w:rPr>
        <w:footnoteReference w:id="958"/>
      </w:r>
      <w:r>
        <w:rPr>
          <w:rtl/>
        </w:rPr>
        <w:t xml:space="preserve">וְתַתָּאִין, צִיּוּרָא דְאָדָם רְשִׁימָא תַּמָּן, </w:t>
      </w:r>
      <w:r>
        <w:rPr>
          <w:rStyle w:val="a7"/>
          <w:rtl/>
        </w:rPr>
        <w:footnoteReference w:id="959"/>
      </w:r>
      <w:r>
        <w:rPr>
          <w:rtl/>
        </w:rPr>
        <w:t xml:space="preserve">וְאִיהוּ דְּמוּת אָדָם, </w:t>
      </w:r>
      <w:r>
        <w:rPr>
          <w:rStyle w:val="a7"/>
          <w:rtl/>
        </w:rPr>
        <w:footnoteReference w:id="960"/>
      </w:r>
      <w:r>
        <w:rPr>
          <w:rtl/>
        </w:rPr>
        <w:t xml:space="preserve">רְשִׁימָא דְאַרְיֵה תַּמָּן לִימִינָא, וּרְשִׁימָא דְשׁוֹר לִשְׂמָאלָא, וּרְשִׁימָא דְנִשְׁרָא בְאֶמְצָעִיתָא, </w:t>
      </w:r>
      <w:r>
        <w:rPr>
          <w:rStyle w:val="a7"/>
          <w:rtl/>
        </w:rPr>
        <w:footnoteReference w:id="961"/>
      </w:r>
      <w:r>
        <w:rPr>
          <w:rtl/>
        </w:rPr>
        <w:t xml:space="preserve">וְרָזָא דְמִלָּה וּדְמוּת פְּנֵיהֶם פְּנֵי אָדָם, וּפְנֵי אַרְיֵה אֶל הַיָּמִין לְאַרְבַּעְתָּם וכו' </w:t>
      </w:r>
      <w:r>
        <w:rPr>
          <w:sz w:val="20"/>
          <w:szCs w:val="23"/>
          <w:rtl/>
        </w:rPr>
        <w:t>(יחזקאל א י)</w:t>
      </w:r>
      <w:r>
        <w:rPr>
          <w:rtl/>
        </w:rPr>
        <w:t xml:space="preserve">, לְכָל חֵיוָתָא אַרְבַּע אַנְפִּין, אִלֵּין אַרְבַּע אַתְוָון דִּשְׁמָא קַדִּישָׁא דְיהו''ה, דְּנָהִיר בְּהוֹן, </w:t>
      </w:r>
      <w:r>
        <w:rPr>
          <w:rStyle w:val="a7"/>
          <w:rtl/>
        </w:rPr>
        <w:footnoteReference w:id="962"/>
      </w:r>
      <w:r>
        <w:rPr>
          <w:rtl/>
        </w:rPr>
        <w:t>מַלְכָּא דְכֻלְּהוּ חֵיוָון דָּא אָדָם, דְּאִיהוּ יו''ד ה''א וא''ו ה''א, דְּסָלִיק בְּחֻשְׁבָּן חָד, דְּמוּת אָדָם דָּא שְׁכִינְתָּא קַדִּישָׁא, דְאִיהִי דִיּוֹקְנֵיהּ.</w:t>
      </w:r>
    </w:p>
    <w:p w:rsidR="00606298" w:rsidRDefault="00606298" w:rsidP="00B17EA9">
      <w:pPr>
        <w:pStyle w:val="NormalWeb"/>
        <w:rPr>
          <w:rtl/>
        </w:rPr>
      </w:pPr>
      <w:r>
        <w:rPr>
          <w:rtl/>
        </w:rPr>
        <w:t xml:space="preserve">אִיהִי חוֹתָם דִּילֵיהּ, וַעֲלָהּ אִתְּמַר </w:t>
      </w:r>
      <w:r>
        <w:rPr>
          <w:sz w:val="20"/>
          <w:szCs w:val="23"/>
          <w:rtl/>
        </w:rPr>
        <w:t>(שיר ח ו)</w:t>
      </w:r>
      <w:r>
        <w:rPr>
          <w:rtl/>
        </w:rPr>
        <w:t xml:space="preserve"> שִׂימֵנִי כַחוֹתָם עַל לִבֶּךָ, </w:t>
      </w:r>
      <w:r>
        <w:rPr>
          <w:rStyle w:val="a7"/>
          <w:rtl/>
        </w:rPr>
        <w:footnoteReference w:id="963"/>
      </w:r>
      <w:r>
        <w:rPr>
          <w:rtl/>
        </w:rPr>
        <w:t xml:space="preserve">דְּהָכִי אָמְרִין יִשְׂרָאֵל בְּגָלוּתָּא, אַף עַל גַּב דְּאַנְתְּ תִּסְתַּלַּק לְעִילָא, דִיּוֹקְנָךְ לָא אִתְעַדֵּי מִנָּאִי לְעָלַם, כְּהַהוּא חוֹתָם דִּבְהַהוּא אֲתַר דְּאִתְדַּבַּק בֵּיהּ רְשִׁימוּ דְּמָארֵי חוֹתָמָא, לָא אִתְעַדֵּי מִנֵּיהּ דִּיּוֹקְנָא דְחוֹתָמָא, לְאִשְׁתְּמוֹדְעָא בֵיהּ, וּבְגִין כַּךְ אָמְרָה כְּנֶסֶת יִשְׂרָאֵל בְּגָלוּתָא, שִׂימֵנִי כַחוֹתָם עַל לִבֶּךָ, </w:t>
      </w:r>
      <w:r>
        <w:rPr>
          <w:rStyle w:val="a7"/>
          <w:rtl/>
        </w:rPr>
        <w:footnoteReference w:id="964"/>
      </w:r>
      <w:r>
        <w:rPr>
          <w:rtl/>
        </w:rPr>
        <w:t>כִּרְשִׁימוּ דִּתְּפִלִּין דְּיָד דְּאִינוּן לָקֳבֵל לִבָּא, כַּחוֹתָם עַל זְרוֹעֶךָ, כִּתְפִלִּין דְּרֵישָׁא דְאִינוּן תַּלְיָין רְצוּעִין לְכָל סִטְרִין עַל לִבָּא וּדְרוֹעָא, וּבְהוֹן אִינוּן רְשִׁימִין דְּאִינוּן עַמֵּיהּ דְּקוּדְשָׁא בְּרִיךְ הוּא, וְעוֹד שִׂימֵנִי כַחוֹתָם דָּא חוֹתָם דְּאוֹת בְּרִית קֹדֶשׁ, וְהוּא אוֹת בְּרִית שַׁבָּת קֹדֶשׁ וְיָמִים טוֹבִים.</w:t>
      </w:r>
    </w:p>
    <w:p w:rsidR="00606298" w:rsidRDefault="00606298" w:rsidP="00B17EA9">
      <w:pPr>
        <w:pStyle w:val="NormalWeb"/>
        <w:rPr>
          <w:rtl/>
        </w:rPr>
      </w:pPr>
      <w:r>
        <w:rPr>
          <w:rtl/>
        </w:rPr>
        <w:t xml:space="preserve">כִּי עַזָּה כַמָּוְת אַהֲבָה, תַּקִּיפָא אִיהִי אַפְרָשׁוּתָא דְקוּדְשָׁא בְּרִיךְ הוּא וּשְׁכִינְתָּא מִיִּשְׂרָאֵל, כִּפְרִישׁוּ דְּנִשְׁמָתָא וְרוּחָא וְנַפְשָׁא מִגּוּפָא, וְתוּ כִּי עַזָּה כַמָּוְת אַהֲבָה, כַּד יִשְׂרָאֵל מְיַחֲדִין שְׁמָא דְקוּדְשָׁא בְּרִיךְ הוּא בִרְחִימוּ, וְאָמְרִי הַבּוֹחֵר בְּעַמּוֹ יִשְׂרָאֵל בְּאַהֲבָה, קָשָׁה כִשְׁאוֹל קִנְאָה דְקוּדְשָׁא בְּרִיךְ הוּא דְּאִיהִי מְקַנֵּי עֲלַיְיהוּ, בְזִמְנָא דְיִפְקוּן מִן גָּלוּתָא, דְאִיהוּ יְהֵא בְהַהוּא זִמְנָא קַנָּא וְנוֹקֵם וּבַעַל חֵמָה, רְשָׁפֶיהָ רִשְׁפֵּי אֵשׁ, בְּהַהוּא זִמְנָא יִתְעַר שְׂמָאלָא בְשַׁלְהוֹבִין דִּילֵיהּ, דְּאִנּוּן רִשְׁפֵּי אֵשׁ, שַׁלְהֶבֶת י''הּ, וְיוֹקִיד כַּמָּה הֵיכָלִין דְּבָתֵּי עֲבוֹדָה זָרָה, וְיִטּוֹל נוּקְמִין מֵעֲמָלֵק, דְּאִיהוּ אוֹמֵי בִתְרֵין אַתְוָן דִּשְׁמָא קַדִּישָׁא דְאִינוּן י''ה, לְנָטְלָא נוּקְמָא מִנֵּיהּ, הֲדָא הוּא דִכְתִיב </w:t>
      </w:r>
      <w:r>
        <w:rPr>
          <w:sz w:val="20"/>
          <w:szCs w:val="23"/>
          <w:rtl/>
        </w:rPr>
        <w:t>(שמות יז טז)</w:t>
      </w:r>
      <w:r>
        <w:rPr>
          <w:rtl/>
        </w:rPr>
        <w:t xml:space="preserve"> וַיֹּאמֶר כִּי יָד עַל כֵּס י''הּ, וְדָא אִיהוּ רִשְׁפֵּי אֵשׁ שַׁלְהֶבֶת י''הּ.</w:t>
      </w:r>
    </w:p>
    <w:p w:rsidR="00606298" w:rsidRDefault="00606298" w:rsidP="00B17EA9">
      <w:pPr>
        <w:pStyle w:val="NormalWeb"/>
        <w:rPr>
          <w:rtl/>
        </w:rPr>
      </w:pPr>
      <w:r>
        <w:rPr>
          <w:rtl/>
        </w:rPr>
        <w:t>וְיִשְׂרָאֵל אָמְרִין, רִבּוֹן עָלְמַא, אַף עַל גַּב דַּאֲנָא בְגָלוּתָא מְרַחֲקָא מִמָּךְ, שִׂימֵנִי כַחוֹתָם עַל לִבֶּךָ, וְלָא יִתְעַדִּי מִינָּן דִּיּוֹקְנָךְ, דְּאִיהִי חוֹתָם דִּילָךְ, שְׁכִינְתָּא דִילָךְ, דִּבְגִינָהּ אַנְתְּ הֲוִית דָּכִיר לָן בְּגָלוּתָא, וְחוֹתָמָא דְקוּדְשָׁא בְּרִיךְ הוּא וַדַּאי אִיהִי שְׁכִינְתָּא.</w:t>
      </w:r>
    </w:p>
    <w:p w:rsidR="00606298" w:rsidRDefault="00606298" w:rsidP="00B17EA9">
      <w:pPr>
        <w:pStyle w:val="NormalWeb"/>
        <w:rPr>
          <w:rtl/>
        </w:rPr>
      </w:pPr>
      <w:r>
        <w:rPr>
          <w:rtl/>
        </w:rPr>
        <w:t xml:space="preserve">בְּרֵאשִׁית בָּרָא, ב' אִיהִי וַדַּאי, בָּהּ פָּתְחַת אוֹרַיְיתָא בְּב', וְדָא בְּרֵאשִׁית ב' רֵאשִׁית, </w:t>
      </w:r>
      <w:r>
        <w:rPr>
          <w:rStyle w:val="a7"/>
          <w:rtl/>
        </w:rPr>
        <w:footnoteReference w:id="965"/>
      </w:r>
      <w:r>
        <w:rPr>
          <w:rtl/>
        </w:rPr>
        <w:t xml:space="preserve">ב' אִיהוּ וַדַּאי, אוֹצָרָא דְכֹלָּא, עֲלָהּ אִתְּמַר </w:t>
      </w:r>
      <w:r>
        <w:rPr>
          <w:sz w:val="20"/>
          <w:szCs w:val="23"/>
          <w:rtl/>
        </w:rPr>
        <w:t>(ישעיהו לג ו)</w:t>
      </w:r>
      <w:r>
        <w:rPr>
          <w:rtl/>
        </w:rPr>
        <w:t xml:space="preserve"> </w:t>
      </w:r>
      <w:r>
        <w:rPr>
          <w:rStyle w:val="a7"/>
          <w:rtl/>
        </w:rPr>
        <w:footnoteReference w:id="966"/>
      </w:r>
      <w:r>
        <w:rPr>
          <w:rtl/>
        </w:rPr>
        <w:t>יִרְאַת יְיָ' הִיא אוֹצָרוֹ:</w:t>
      </w:r>
    </w:p>
    <w:p w:rsidR="00606298" w:rsidRDefault="00606298" w:rsidP="00B17EA9">
      <w:pPr>
        <w:pStyle w:val="NormalWeb"/>
        <w:rPr>
          <w:rtl/>
        </w:rPr>
      </w:pPr>
      <w:r>
        <w:rPr>
          <w:rtl/>
        </w:rPr>
        <w:lastRenderedPageBreak/>
        <w:t xml:space="preserve">בְּרֵאשִׁית, זִמְנִין סְגִיאִין אִינוּן בְּאוֹרַיְיתָא רֵאשִׁית, וְכָל חַד אִתְּפַּרַשׁ בְּאַתְּרֵיה, קַדְמָאָה אִיהוּ יהו''ה קַנַנִי רֵאשִׁית דַרְכּוֹ </w:t>
      </w:r>
      <w:r>
        <w:rPr>
          <w:sz w:val="20"/>
          <w:szCs w:val="23"/>
          <w:rtl/>
        </w:rPr>
        <w:t>(משלי ח כב)</w:t>
      </w:r>
      <w:r>
        <w:rPr>
          <w:rtl/>
        </w:rPr>
        <w:t xml:space="preserve">, </w:t>
      </w:r>
      <w:r>
        <w:rPr>
          <w:rStyle w:val="a7"/>
          <w:rtl/>
        </w:rPr>
        <w:footnoteReference w:id="967"/>
      </w:r>
      <w:r>
        <w:rPr>
          <w:rtl/>
        </w:rPr>
        <w:t xml:space="preserve">וְדָא אוֹרַיְיתָא, </w:t>
      </w:r>
      <w:r>
        <w:rPr>
          <w:rStyle w:val="a7"/>
          <w:rtl/>
        </w:rPr>
        <w:footnoteReference w:id="968"/>
      </w:r>
      <w:r>
        <w:rPr>
          <w:rtl/>
        </w:rPr>
        <w:t xml:space="preserve">דְּאִית בָּה </w:t>
      </w:r>
      <w:r>
        <w:rPr>
          <w:rStyle w:val="a7"/>
          <w:rtl/>
        </w:rPr>
        <w:footnoteReference w:id="969"/>
      </w:r>
      <w:r>
        <w:rPr>
          <w:rtl/>
        </w:rPr>
        <w:t xml:space="preserve">טַעֲמֵי וּנְקוּדֵי וְאַתְוַון, וְכַמָה פְקוּדִין דְעַשֵׂה וְלָא תַעַשֵׂה, </w:t>
      </w:r>
      <w:r>
        <w:rPr>
          <w:rStyle w:val="a7"/>
          <w:rtl/>
        </w:rPr>
        <w:footnoteReference w:id="970"/>
      </w:r>
      <w:r>
        <w:rPr>
          <w:rtl/>
        </w:rPr>
        <w:t xml:space="preserve">דְכּלְהוּ תַּלְיַין בְּשֵׁם יהו''ה, הַדָא הוּא דִּכְתִיב </w:t>
      </w:r>
      <w:r>
        <w:rPr>
          <w:sz w:val="20"/>
          <w:szCs w:val="23"/>
          <w:rtl/>
        </w:rPr>
        <w:t>(שמות ג טו)</w:t>
      </w:r>
      <w:r>
        <w:rPr>
          <w:rtl/>
        </w:rPr>
        <w:t xml:space="preserve"> זֶה שְׁמִי לְעָלָם וְכו', שְׁמִ''י עִם י''ה שס''ה, זִכְרִ''י עִם ו''ה רמ''ח, שס''ה מִשְׂמָאלָא </w:t>
      </w:r>
      <w:r>
        <w:rPr>
          <w:rStyle w:val="a7"/>
          <w:rtl/>
        </w:rPr>
        <w:footnoteReference w:id="971"/>
      </w:r>
      <w:r>
        <w:rPr>
          <w:rtl/>
        </w:rPr>
        <w:t>מִדְּחִילוּ דִּגְבוּרָה אִתְיְהִיבוּ, פַּחַד יִצְחָק.</w:t>
      </w:r>
    </w:p>
    <w:p w:rsidR="00606298" w:rsidRDefault="00606298">
      <w:pPr>
        <w:pStyle w:val="a8"/>
        <w:spacing w:before="0" w:after="40"/>
        <w:rPr>
          <w:rtl/>
        </w:rPr>
      </w:pPr>
      <w:bookmarkStart w:id="65" w:name="_Toc228091282"/>
      <w:bookmarkStart w:id="66" w:name="_Toc231637921"/>
    </w:p>
    <w:p w:rsidR="00606298" w:rsidRDefault="00606298" w:rsidP="0007465E">
      <w:pPr>
        <w:pStyle w:val="1"/>
        <w:rPr>
          <w:rtl/>
        </w:rPr>
      </w:pPr>
      <w:bookmarkStart w:id="67" w:name="_Toc405982928"/>
      <w:r>
        <w:rPr>
          <w:rtl/>
        </w:rPr>
        <w:t>תקונא תניינא</w:t>
      </w:r>
      <w:bookmarkEnd w:id="65"/>
      <w:bookmarkEnd w:id="66"/>
      <w:bookmarkEnd w:id="67"/>
    </w:p>
    <w:p w:rsidR="00606298" w:rsidRDefault="00606298" w:rsidP="00B17EA9">
      <w:pPr>
        <w:pStyle w:val="NormalWeb"/>
        <w:rPr>
          <w:rtl/>
        </w:rPr>
      </w:pPr>
      <w:r>
        <w:rPr>
          <w:rtl/>
        </w:rPr>
        <w:t xml:space="preserve">בְּרֵאשִׁית, תַּמָּן יִרְאַ''ת, מָה אִשְׁתָּאַר מֵאִינוּן אַתְוָון, </w:t>
      </w:r>
      <w:r>
        <w:rPr>
          <w:rStyle w:val="a7"/>
          <w:rtl/>
        </w:rPr>
        <w:footnoteReference w:id="972"/>
      </w:r>
      <w:r>
        <w:rPr>
          <w:rtl/>
        </w:rPr>
        <w:t xml:space="preserve">ש''ב, וְרָזָא דְמִלָּה שָׁב בְּיִרְאַת יהו''ה, וְאִם לֵית דְּחִילוּ לֵית חָכְמָה, כְּמָה דְאוּקְמוּהָ אִם אֵין יִרְאָה אֵין חָכְמָה, בְּגִין דְּיִרְאָה הִיא אוֹצָרָא לְחָכְמָה, </w:t>
      </w:r>
      <w:r>
        <w:rPr>
          <w:rStyle w:val="a7"/>
          <w:rtl/>
        </w:rPr>
        <w:footnoteReference w:id="973"/>
      </w:r>
      <w:r>
        <w:rPr>
          <w:rtl/>
        </w:rPr>
        <w:t xml:space="preserve">אִיהִי גְנִיזוּ דִּילָהּ, </w:t>
      </w:r>
      <w:r>
        <w:rPr>
          <w:rStyle w:val="a7"/>
          <w:rtl/>
        </w:rPr>
        <w:footnoteReference w:id="974"/>
      </w:r>
      <w:r>
        <w:rPr>
          <w:rtl/>
        </w:rPr>
        <w:t xml:space="preserve">אִיהִי טְמִירוּ דִּילָהּ, אִיהִי בֵיתָא </w:t>
      </w:r>
      <w:r>
        <w:rPr>
          <w:rStyle w:val="a7"/>
          <w:rtl/>
        </w:rPr>
        <w:footnoteReference w:id="975"/>
      </w:r>
      <w:r>
        <w:rPr>
          <w:rtl/>
        </w:rPr>
        <w:t>דְמַלְכָּא.</w:t>
      </w:r>
    </w:p>
    <w:p w:rsidR="00606298" w:rsidRDefault="00606298">
      <w:pPr>
        <w:pStyle w:val="a8"/>
        <w:spacing w:before="0" w:after="40"/>
        <w:rPr>
          <w:rtl/>
        </w:rPr>
      </w:pPr>
      <w:bookmarkStart w:id="68" w:name="_Toc228091283"/>
      <w:bookmarkStart w:id="69" w:name="_Toc231637922"/>
    </w:p>
    <w:p w:rsidR="00606298" w:rsidRDefault="00606298" w:rsidP="0007465E">
      <w:pPr>
        <w:pStyle w:val="1"/>
        <w:rPr>
          <w:rtl/>
        </w:rPr>
      </w:pPr>
      <w:bookmarkStart w:id="70" w:name="_Toc405982929"/>
      <w:r>
        <w:rPr>
          <w:rtl/>
        </w:rPr>
        <w:t>ודא תקונא תליתאה כגוונא דא</w:t>
      </w:r>
      <w:bookmarkEnd w:id="68"/>
      <w:bookmarkEnd w:id="69"/>
      <w:bookmarkEnd w:id="70"/>
    </w:p>
    <w:p w:rsidR="00606298" w:rsidRDefault="00606298" w:rsidP="00B17EA9">
      <w:pPr>
        <w:pStyle w:val="NormalWeb"/>
        <w:rPr>
          <w:rtl/>
        </w:rPr>
      </w:pPr>
      <w:r>
        <w:rPr>
          <w:rtl/>
        </w:rPr>
        <w:t xml:space="preserve">בְּרֵאשִׁית, </w:t>
      </w:r>
      <w:r>
        <w:rPr>
          <w:rStyle w:val="a7"/>
          <w:rtl/>
        </w:rPr>
        <w:footnoteReference w:id="976"/>
      </w:r>
      <w:r>
        <w:rPr>
          <w:rtl/>
        </w:rPr>
        <w:t xml:space="preserve">רֹא''שׁ בַּיִ''ת, וְרָזָא דְמִלָּה בְּחָכְמָה יִבָּנֶה בָּיִת </w:t>
      </w:r>
      <w:r>
        <w:rPr>
          <w:sz w:val="20"/>
          <w:szCs w:val="23"/>
          <w:rtl/>
        </w:rPr>
        <w:t>(משלי כד ג)</w:t>
      </w:r>
      <w:r>
        <w:rPr>
          <w:rtl/>
        </w:rPr>
        <w:t xml:space="preserve">, וּמָאן דְּבָעִי לְמֶחְזֵי </w:t>
      </w:r>
      <w:r>
        <w:rPr>
          <w:rStyle w:val="a7"/>
          <w:rtl/>
        </w:rPr>
        <w:footnoteReference w:id="977"/>
      </w:r>
      <w:r>
        <w:rPr>
          <w:rtl/>
        </w:rPr>
        <w:t xml:space="preserve">לְמַלְכָּא, לֵית לֵיהּ רְשׁוּ לְמֶחְזְיֵיהּ אֶלָּא </w:t>
      </w:r>
      <w:r>
        <w:rPr>
          <w:rStyle w:val="a7"/>
          <w:rtl/>
        </w:rPr>
        <w:footnoteReference w:id="978"/>
      </w:r>
      <w:r>
        <w:rPr>
          <w:rtl/>
        </w:rPr>
        <w:t xml:space="preserve">בְּבֵיתֵיהּ, </w:t>
      </w:r>
      <w:r>
        <w:rPr>
          <w:rStyle w:val="a7"/>
          <w:rtl/>
        </w:rPr>
        <w:footnoteReference w:id="979"/>
      </w:r>
      <w:r>
        <w:rPr>
          <w:rtl/>
        </w:rPr>
        <w:t>וְרָזָא דְמִלָּה חָכְמָה לָא אִשְׁתְּמוֹדְעָא אֶלָּא בְּבֵיתֵיהּ.</w:t>
      </w:r>
    </w:p>
    <w:p w:rsidR="00606298" w:rsidRDefault="00606298" w:rsidP="00134F53">
      <w:pPr>
        <w:pStyle w:val="2"/>
        <w:rPr>
          <w:rtl/>
        </w:rPr>
      </w:pPr>
      <w:bookmarkStart w:id="71" w:name="_Toc228095594"/>
      <w:bookmarkStart w:id="72" w:name="_Toc231638032"/>
      <w:bookmarkStart w:id="73" w:name="_Toc405982930"/>
      <w:r>
        <w:rPr>
          <w:rtl/>
        </w:rPr>
        <w:t>[תיקוני זוהר - דף יד ע''ב]</w:t>
      </w:r>
      <w:bookmarkEnd w:id="71"/>
      <w:bookmarkEnd w:id="72"/>
      <w:bookmarkEnd w:id="73"/>
    </w:p>
    <w:p w:rsidR="00606298" w:rsidRDefault="00606298" w:rsidP="00B17EA9">
      <w:pPr>
        <w:pStyle w:val="NormalWeb"/>
        <w:rPr>
          <w:rtl/>
        </w:rPr>
      </w:pPr>
      <w:r>
        <w:rPr>
          <w:rtl/>
        </w:rPr>
        <w:t xml:space="preserve">כְּגַוְונָא דָא עַמּוּדָא דְאֶמְצָעִיתָא דְאִיהוּ יהו''ה, לָא אִשְׁתְּמוֹדָע לְנָבִיא וְחוֹזֶה </w:t>
      </w:r>
      <w:r>
        <w:rPr>
          <w:rStyle w:val="a7"/>
          <w:rtl/>
        </w:rPr>
        <w:footnoteReference w:id="980"/>
      </w:r>
      <w:r>
        <w:rPr>
          <w:rtl/>
        </w:rPr>
        <w:t xml:space="preserve">אֶלָּא בְּהֵיכָלֵיהּ, דְּאִיהוּ אדנ''י, וְרָזָא דְמִלָּה וַיְיָ בְּהֵיכַל קָדְשׁוֹ </w:t>
      </w:r>
      <w:r>
        <w:rPr>
          <w:sz w:val="20"/>
          <w:szCs w:val="23"/>
          <w:rtl/>
        </w:rPr>
        <w:t>(חבקוק ב כ)</w:t>
      </w:r>
      <w:r>
        <w:rPr>
          <w:rtl/>
        </w:rPr>
        <w:t xml:space="preserve">, </w:t>
      </w:r>
      <w:r>
        <w:rPr>
          <w:rStyle w:val="a7"/>
          <w:rtl/>
        </w:rPr>
        <w:footnoteReference w:id="981"/>
      </w:r>
      <w:r>
        <w:rPr>
          <w:rtl/>
        </w:rPr>
        <w:t xml:space="preserve">וְאִיהִי כְלִילָא מִשִּׁבְעָה הֵיכָלִין, </w:t>
      </w:r>
      <w:r>
        <w:rPr>
          <w:rStyle w:val="a7"/>
          <w:rtl/>
        </w:rPr>
        <w:footnoteReference w:id="982"/>
      </w:r>
      <w:r>
        <w:rPr>
          <w:rtl/>
        </w:rPr>
        <w:t xml:space="preserve">מִשִּׁבְעָה אַרְעִין, וַעֲלַיְיהוּ אָמַר דָּוִד </w:t>
      </w:r>
      <w:r>
        <w:rPr>
          <w:sz w:val="20"/>
          <w:szCs w:val="23"/>
          <w:rtl/>
        </w:rPr>
        <w:t>(שם קטז טו)</w:t>
      </w:r>
      <w:r>
        <w:rPr>
          <w:rtl/>
        </w:rPr>
        <w:t xml:space="preserve"> אֶתְהַלֵּךְ לִפְנֵי יהו''ה בְּאַרְצוֹת </w:t>
      </w:r>
      <w:r>
        <w:rPr>
          <w:sz w:val="20"/>
          <w:szCs w:val="23"/>
          <w:rtl/>
        </w:rPr>
        <w:t xml:space="preserve">(דף יד ע''ב) </w:t>
      </w:r>
      <w:r>
        <w:rPr>
          <w:rtl/>
        </w:rPr>
        <w:t xml:space="preserve">הַחַיִּים, וְעַמּוּדָא דְאֶמְצָעִיתָא אִיהוּ כְּלִיל שֶׁבַע רְקִיעִין, וַעֲלַיְיהוּ אָמַר דָּוִד </w:t>
      </w:r>
      <w:r>
        <w:rPr>
          <w:sz w:val="20"/>
          <w:szCs w:val="23"/>
          <w:rtl/>
        </w:rPr>
        <w:t>(שם קטו טז)</w:t>
      </w:r>
      <w:r>
        <w:rPr>
          <w:rtl/>
        </w:rPr>
        <w:t xml:space="preserve"> הַשָּׁמַיִם </w:t>
      </w:r>
      <w:r>
        <w:rPr>
          <w:rStyle w:val="a7"/>
          <w:rtl/>
        </w:rPr>
        <w:footnoteReference w:id="983"/>
      </w:r>
      <w:r>
        <w:rPr>
          <w:rtl/>
        </w:rPr>
        <w:t xml:space="preserve">שָׁמַיִם לַיהו''ה, </w:t>
      </w:r>
      <w:r>
        <w:rPr>
          <w:rStyle w:val="a7"/>
          <w:rtl/>
        </w:rPr>
        <w:footnoteReference w:id="984"/>
      </w:r>
      <w:r>
        <w:rPr>
          <w:rtl/>
        </w:rPr>
        <w:t xml:space="preserve">וְלֵית יְדִיעָה כְלָל בְּמַלְכָּא וּבְמַלְבּוּשֵׁיהּ וּבְתִקּוּנֵיהּ לְבַר נַשׁ בְּעָלְמָא, עַד דְּיֵעוּל לְבֵיתֵיהּ וּלְהֵיכָלֵיהּ, דְּאִיהִי ב', וַעֲלָהּ אִתְּמַר </w:t>
      </w:r>
      <w:r>
        <w:rPr>
          <w:sz w:val="20"/>
          <w:szCs w:val="23"/>
          <w:rtl/>
        </w:rPr>
        <w:t>(ישעיהו נו ז)</w:t>
      </w:r>
      <w:r>
        <w:rPr>
          <w:rtl/>
        </w:rPr>
        <w:t xml:space="preserve"> כִּי בֵיתִי בֵּית תְּפִלָּה יִקָּרֵא לְכָל הָעַמִּים.</w:t>
      </w:r>
    </w:p>
    <w:p w:rsidR="00606298" w:rsidRDefault="00606298" w:rsidP="00B17EA9">
      <w:pPr>
        <w:pStyle w:val="NormalWeb"/>
        <w:rPr>
          <w:rtl/>
        </w:rPr>
      </w:pPr>
      <w:r>
        <w:rPr>
          <w:rtl/>
        </w:rPr>
        <w:t xml:space="preserve">וּמָאן דְּאִיהוּ אָדָם בְּדִיּוֹקְנָא דְעַמּוּדָא דְאֶמְצָעִיתָא, עֲלֵיהּ נֶאֱמַר אֵין תְּפִלָּתוֹ שֶׁל אָדָם נִשְׁמַעַת אֶלָּא בְּבֵית הַכְּנֶסֶת, וְהָא אוּקְמוּהָ מָארֵי מַתְנִיתִין, </w:t>
      </w:r>
      <w:r>
        <w:rPr>
          <w:rStyle w:val="a7"/>
          <w:rtl/>
        </w:rPr>
        <w:footnoteReference w:id="985"/>
      </w:r>
      <w:r>
        <w:rPr>
          <w:rtl/>
        </w:rPr>
        <w:t xml:space="preserve">וּמָאן דְּנָטִיר בְּרִית, אִתְקְרֵי אִישׁ תָּמִים, </w:t>
      </w:r>
      <w:r>
        <w:rPr>
          <w:rStyle w:val="a7"/>
          <w:rtl/>
        </w:rPr>
        <w:footnoteReference w:id="986"/>
      </w:r>
      <w:r>
        <w:rPr>
          <w:rtl/>
        </w:rPr>
        <w:t xml:space="preserve">וְתַמָּן בְּרֵאשִׁית, </w:t>
      </w:r>
      <w:r>
        <w:rPr>
          <w:rStyle w:val="a7"/>
          <w:rtl/>
        </w:rPr>
        <w:footnoteReference w:id="987"/>
      </w:r>
      <w:r>
        <w:rPr>
          <w:rtl/>
        </w:rPr>
        <w:t xml:space="preserve">בְּרִי''ת אֵ''שׁ, דְּנָטִיר לֵיהּ </w:t>
      </w:r>
      <w:r>
        <w:rPr>
          <w:rtl/>
        </w:rPr>
        <w:lastRenderedPageBreak/>
        <w:t xml:space="preserve">מֵאֶשָּׁא דְגֵיהִנָּם, אֲבָל מָאן דְּאִתְעַסַּק בְּאוֹרַיְיתָא וְנָטִיר לָהּ, אִתְקְרֵי אָדָם, בְּדִיּוֹקְנָא דְהַהוּא דִלְעִילָא, הֲדָא הוּא דִכְתִיב </w:t>
      </w:r>
      <w:r>
        <w:rPr>
          <w:sz w:val="20"/>
          <w:szCs w:val="23"/>
          <w:rtl/>
        </w:rPr>
        <w:t>(ישעיה מד יג)</w:t>
      </w:r>
      <w:r>
        <w:rPr>
          <w:rtl/>
        </w:rPr>
        <w:t xml:space="preserve"> כְּתִפְאֶרֶת אָדָם לָשֶׁבֶת בָּיִת, תָּא חֲזִי, כָּל מָאן דְּנָטִיר אוֹת בְּרִית, דִּיּוֹקְנֵיהּ רָשִׁים בִּשְׁכִינְתָּא וְצַדִּיק, וּמָאן דְּאִשְׁתַּדַּל בְּאוֹרַיְיתָא, דִיּוֹקְנֵיהּ רָשִׁים בְּעַמּוּדָא דְאֶמְצָעִיתָא:</w:t>
      </w:r>
    </w:p>
    <w:p w:rsidR="00606298" w:rsidRDefault="00606298">
      <w:pPr>
        <w:pStyle w:val="a8"/>
        <w:spacing w:before="0" w:after="40"/>
        <w:rPr>
          <w:rtl/>
        </w:rPr>
      </w:pPr>
      <w:bookmarkStart w:id="74" w:name="_Toc228091284"/>
      <w:bookmarkStart w:id="75" w:name="_Toc231637923"/>
    </w:p>
    <w:p w:rsidR="00606298" w:rsidRDefault="00606298" w:rsidP="0007465E">
      <w:pPr>
        <w:pStyle w:val="1"/>
        <w:rPr>
          <w:rtl/>
        </w:rPr>
      </w:pPr>
      <w:bookmarkStart w:id="76" w:name="_Toc405982931"/>
      <w:r>
        <w:rPr>
          <w:rtl/>
        </w:rPr>
        <w:t>תקונא רביעאה</w:t>
      </w:r>
      <w:bookmarkEnd w:id="74"/>
      <w:bookmarkEnd w:id="75"/>
      <w:bookmarkEnd w:id="76"/>
    </w:p>
    <w:p w:rsidR="00606298" w:rsidRDefault="00606298" w:rsidP="00B17EA9">
      <w:pPr>
        <w:pStyle w:val="NormalWeb"/>
        <w:rPr>
          <w:rtl/>
        </w:rPr>
      </w:pPr>
      <w:r>
        <w:rPr>
          <w:rtl/>
        </w:rPr>
        <w:t xml:space="preserve">בְּרֵאשִׁית, כְּתִיב </w:t>
      </w:r>
      <w:r>
        <w:rPr>
          <w:sz w:val="20"/>
          <w:szCs w:val="23"/>
          <w:rtl/>
        </w:rPr>
        <w:t>(תהלים קיח יט)</w:t>
      </w:r>
      <w:r>
        <w:rPr>
          <w:rtl/>
        </w:rPr>
        <w:t xml:space="preserve"> פִּתְחוּ לִי שַׁעֲרֵי צֶדֶק אָבֹא בָם אוֹדֶה י''הּ, פִּתְחוּ לִי דָא אִינוּן תְּרֵין </w:t>
      </w:r>
      <w:r>
        <w:rPr>
          <w:rStyle w:val="a7"/>
          <w:rtl/>
        </w:rPr>
        <w:footnoteReference w:id="988"/>
      </w:r>
      <w:r>
        <w:rPr>
          <w:rtl/>
        </w:rPr>
        <w:t xml:space="preserve">עַפְעַפֵּי עִינָא, דְאִינוּן פָּתְחִין וְסָגְרִין, וַעֲלַיְיהוּ אִתְּמַר </w:t>
      </w:r>
      <w:r>
        <w:rPr>
          <w:sz w:val="20"/>
          <w:szCs w:val="23"/>
          <w:rtl/>
        </w:rPr>
        <w:t>(שמות כה כ)</w:t>
      </w:r>
      <w:r>
        <w:rPr>
          <w:rtl/>
        </w:rPr>
        <w:t xml:space="preserve"> וְהָיוּ הַכְּרוּבִים פֹּרְשֵׂי כְנָפַיִם לְמַעְלָה, אִלֵין תְּרֵין </w:t>
      </w:r>
      <w:r>
        <w:rPr>
          <w:rStyle w:val="a7"/>
          <w:rtl/>
        </w:rPr>
        <w:footnoteReference w:id="989"/>
      </w:r>
      <w:r>
        <w:rPr>
          <w:rtl/>
        </w:rPr>
        <w:t xml:space="preserve">כְּרוּבֵי עִינָא, פֹּרְשֵׂי כְנָפַיִם עַפְעַפֵּי עִינָא, </w:t>
      </w:r>
      <w:r>
        <w:rPr>
          <w:rStyle w:val="a7"/>
          <w:rtl/>
        </w:rPr>
        <w:footnoteReference w:id="990"/>
      </w:r>
      <w:r>
        <w:rPr>
          <w:rtl/>
        </w:rPr>
        <w:t xml:space="preserve">וְעוֹד פִּתְחוּ לִי שַׁעֲרֵי צֶדֶק אִלֵּין אִינּוּן תְּרֵין עַיְינִין, בְּזִמְנָא דְאִינוּן מִסְתַּכְּלִין בְּאֹרַח מֵישַׁר, אִתְּמַר בְּהוֹן וּפְנֵיהֶם אִישׁ אֶל אָחִיו, וּבְזִמְנָא דְלַאו אִנּוּן מִסְתַּכְּלִין בְּאֹרַח מֵישַׁר, הָא נָחָשׁ עֲקַלָּתוֹן תַּמָּן, עֲלֵיהּ אִתְּמַר </w:t>
      </w:r>
      <w:r>
        <w:rPr>
          <w:sz w:val="20"/>
          <w:szCs w:val="23"/>
          <w:rtl/>
        </w:rPr>
        <w:t>(רות א יז)</w:t>
      </w:r>
      <w:r>
        <w:rPr>
          <w:rtl/>
        </w:rPr>
        <w:t xml:space="preserve"> </w:t>
      </w:r>
      <w:r>
        <w:rPr>
          <w:rStyle w:val="a7"/>
          <w:rtl/>
        </w:rPr>
        <w:footnoteReference w:id="991"/>
      </w:r>
      <w:r>
        <w:rPr>
          <w:rtl/>
        </w:rPr>
        <w:t>כִּי הַמָּוְת יַפְרִיד וְגוֹמֵר.</w:t>
      </w:r>
    </w:p>
    <w:p w:rsidR="00606298" w:rsidRDefault="00606298" w:rsidP="00B17EA9">
      <w:pPr>
        <w:pStyle w:val="NormalWeb"/>
        <w:rPr>
          <w:rtl/>
        </w:rPr>
      </w:pPr>
      <w:r>
        <w:rPr>
          <w:rtl/>
        </w:rPr>
        <w:t xml:space="preserve">תְּלַת גַּוְונֵי עִינָא אִנּוּן תְּלַת אֲבָהָן, דְּאִתְּמַר בְּהוּ </w:t>
      </w:r>
      <w:r>
        <w:rPr>
          <w:sz w:val="20"/>
          <w:szCs w:val="23"/>
          <w:rtl/>
        </w:rPr>
        <w:t>(שמות ו יד)</w:t>
      </w:r>
      <w:r>
        <w:rPr>
          <w:rtl/>
        </w:rPr>
        <w:t xml:space="preserve"> אֵלֶּה רָאשֵׁי בֵית אֲבוֹתָם, </w:t>
      </w:r>
      <w:r>
        <w:rPr>
          <w:rStyle w:val="a7"/>
          <w:rtl/>
        </w:rPr>
        <w:footnoteReference w:id="992"/>
      </w:r>
      <w:r>
        <w:rPr>
          <w:rtl/>
        </w:rPr>
        <w:t xml:space="preserve">בַּת עַיִן דְּאִיהִי דְקִיקָא זְעִירָא, דָא שְׁכִינְתָּא דְאִשְׁתַּתְּפַת בַּאֲבָהָן, וַעֲלָהּ אִתְּמַר </w:t>
      </w:r>
      <w:r>
        <w:rPr>
          <w:sz w:val="20"/>
          <w:szCs w:val="23"/>
          <w:rtl/>
        </w:rPr>
        <w:t>(תהלים יז ח)</w:t>
      </w:r>
      <w:r>
        <w:rPr>
          <w:rtl/>
        </w:rPr>
        <w:t xml:space="preserve"> </w:t>
      </w:r>
      <w:r>
        <w:rPr>
          <w:rStyle w:val="a7"/>
          <w:rtl/>
        </w:rPr>
        <w:footnoteReference w:id="993"/>
      </w:r>
      <w:r>
        <w:rPr>
          <w:rtl/>
        </w:rPr>
        <w:t xml:space="preserve">שָׁמְרֵנִי </w:t>
      </w:r>
      <w:r>
        <w:rPr>
          <w:rStyle w:val="a7"/>
          <w:rtl/>
        </w:rPr>
        <w:footnoteReference w:id="994"/>
      </w:r>
      <w:r>
        <w:rPr>
          <w:rtl/>
        </w:rPr>
        <w:t>כְּאִישׁוֹן בַּת עָיִן, וְכֹלָּא בְרָזָא דִבְרֵאשִׁית, תַּמָּן רָאשֵׁ''י תַּמָּן בַּ''ת.</w:t>
      </w:r>
    </w:p>
    <w:p w:rsidR="00606298" w:rsidRDefault="00606298" w:rsidP="00B17EA9">
      <w:pPr>
        <w:pStyle w:val="NormalWeb"/>
        <w:rPr>
          <w:rtl/>
        </w:rPr>
      </w:pPr>
      <w:r>
        <w:rPr>
          <w:rStyle w:val="a7"/>
          <w:rtl/>
        </w:rPr>
        <w:footnoteReference w:id="995"/>
      </w:r>
      <w:r>
        <w:rPr>
          <w:rtl/>
        </w:rPr>
        <w:t xml:space="preserve">קָם רַבִּי שִׁמְעוֹן עַל רַגְלוֹי וְאָמַר, רִבּוֹן עָלְמִין אַפְתַּח עִינַי לְאִסְתַּכָּלָא בְהוֹן לְעִילָא, אָבֹא בָ''ם </w:t>
      </w:r>
      <w:r>
        <w:rPr>
          <w:rStyle w:val="a7"/>
          <w:rtl/>
        </w:rPr>
        <w:footnoteReference w:id="996"/>
      </w:r>
      <w:r>
        <w:rPr>
          <w:rtl/>
        </w:rPr>
        <w:t xml:space="preserve">בְּאַרְבָּעִים וּתְרֵין אַתְוָון דִּשְׁמָא מְפָרַשׁ, לְמִנְדַּע כָּל אָת וְאָת עַל </w:t>
      </w:r>
      <w:r>
        <w:rPr>
          <w:sz w:val="20"/>
          <w:szCs w:val="23"/>
          <w:rtl/>
        </w:rPr>
        <w:t>(דף יט ע''א)</w:t>
      </w:r>
      <w:r>
        <w:rPr>
          <w:rtl/>
        </w:rPr>
        <w:t xml:space="preserve"> תִּיקּוּנֵיהּ, בְּרֵאשִׁית וגו', וְהָאָרֶץ הָיְתָה תֹהוּ וָבֹהוּ, וְאִינוּן אב''ג ית''ץ, קר''ע שט''ן, נג''ד יכ''ש, בט''ר צת''ג, חק''ב טנ''ע, יג''ל פז''ק, שק''ו צי''ת, </w:t>
      </w:r>
      <w:r>
        <w:rPr>
          <w:rStyle w:val="a7"/>
          <w:rtl/>
        </w:rPr>
        <w:footnoteReference w:id="997"/>
      </w:r>
      <w:r>
        <w:rPr>
          <w:rtl/>
        </w:rPr>
        <w:t xml:space="preserve">בָּרוּךְ שֵׁם כְּבוֹד מַלְכוּתוֹ לְעוֹלָם וָעֶד, </w:t>
      </w:r>
      <w:r>
        <w:rPr>
          <w:rStyle w:val="a7"/>
          <w:rtl/>
        </w:rPr>
        <w:footnoteReference w:id="998"/>
      </w:r>
      <w:r>
        <w:rPr>
          <w:rtl/>
        </w:rPr>
        <w:t xml:space="preserve">כָּל אָת וְאָת אִית לֵיהּ מַאֲמַר וְאִית לֵיהּ נָתִיב, עֲשַׂר אֲמִירָן אִינוּן, וְל''ב שְׁבִילִין, </w:t>
      </w:r>
      <w:r>
        <w:rPr>
          <w:rStyle w:val="a7"/>
          <w:rtl/>
        </w:rPr>
        <w:footnoteReference w:id="999"/>
      </w:r>
      <w:r>
        <w:rPr>
          <w:rtl/>
        </w:rPr>
        <w:t xml:space="preserve">וְכֻלְּהוּ תַלְיָין מִן אי''ה, וְדָא אִיהוּ אָבֹא בָם אוֹדֶה י''הּ </w:t>
      </w:r>
      <w:r>
        <w:rPr>
          <w:sz w:val="20"/>
          <w:szCs w:val="23"/>
          <w:rtl/>
        </w:rPr>
        <w:t>(תהלים קיח יט)</w:t>
      </w:r>
      <w:r>
        <w:rPr>
          <w:rtl/>
        </w:rPr>
        <w:t xml:space="preserve"> אי''ה בְחוּשְׁבַּן אוֹדֶ''ה י''ה, י''ה חָכְמָה וּבִינָה, א' כֶּתֶר עִלָּאָה, </w:t>
      </w:r>
      <w:r>
        <w:rPr>
          <w:rStyle w:val="a7"/>
          <w:rtl/>
        </w:rPr>
        <w:footnoteReference w:id="1000"/>
      </w:r>
      <w:r>
        <w:rPr>
          <w:rtl/>
        </w:rPr>
        <w:t>וְאִנּוּן שֶׁבַע סְפִירָן כְּלִילָן בְּשֶׁבַע שְׁמָהָן.</w:t>
      </w:r>
    </w:p>
    <w:p w:rsidR="00606298" w:rsidRDefault="00606298" w:rsidP="00B17EA9">
      <w:pPr>
        <w:pStyle w:val="NormalWeb"/>
        <w:rPr>
          <w:rtl/>
        </w:rPr>
      </w:pPr>
      <w:r>
        <w:rPr>
          <w:rtl/>
        </w:rPr>
        <w:t xml:space="preserve">וְכֻלְּהוּ כְּלִילַת לוֹן בַּת שֶׁבַע, </w:t>
      </w:r>
      <w:r>
        <w:rPr>
          <w:rStyle w:val="a7"/>
          <w:rtl/>
        </w:rPr>
        <w:footnoteReference w:id="1001"/>
      </w:r>
      <w:r>
        <w:rPr>
          <w:rtl/>
        </w:rPr>
        <w:t xml:space="preserve">וְלֵית סְפִירָה מִכֻּלְּהוּ סְפִירָן דִּיְהֵא לָהּ רְשׁוּ לְאַרָקָא בִרְכָאָן וּלְאַשְׁפָּעָא לְתַתָּאִין, אֶלָּא בְּבַת שֶׁבַע, בְּגִין דְּאִיהִי קִשּׁוּרָא דְכֻלְּהוּ סְפִירָן, דְּאִי סְפִירָן הֲווֹ מְרִיקִין לְבַר מִינָהּ הֲוָה פִּרוּדָא, וּבְגִין דָּא לֵית רְשׁוּ לְאַרָקָא סְפִירָה לְשׁוּם אֲתַר בַּר מִינָהּ, לְגַבֵּי תַּתָּאִין, וּבְגִין דָּא אִתְּמַר בָּהּ </w:t>
      </w:r>
      <w:r>
        <w:rPr>
          <w:sz w:val="20"/>
          <w:szCs w:val="23"/>
          <w:rtl/>
        </w:rPr>
        <w:t>(ירמיה ט כב)</w:t>
      </w:r>
      <w:r>
        <w:rPr>
          <w:rtl/>
        </w:rPr>
        <w:t xml:space="preserve"> אַל יִתְהַלֵּל חָכָם בְּחָכְמָתוֹ וְגוֹמֵר, כִּי אִם בְּזֹאת, בְּזֹאת יָבֹא אַהֲרֹן אֶל הַקֹּדֶשׁ </w:t>
      </w:r>
      <w:r>
        <w:rPr>
          <w:sz w:val="20"/>
          <w:szCs w:val="23"/>
          <w:rtl/>
        </w:rPr>
        <w:t>(ויקרא טז ג)</w:t>
      </w:r>
      <w:r>
        <w:rPr>
          <w:rtl/>
        </w:rPr>
        <w:t xml:space="preserve">, דְּלֵית רְשׁוּ לְנָבִיא וְחַכִּימָא לְמִנְדַּע לְעִילָא שׁוּם מַדָּע </w:t>
      </w:r>
      <w:r>
        <w:rPr>
          <w:rtl/>
        </w:rPr>
        <w:lastRenderedPageBreak/>
        <w:t xml:space="preserve">אֶלָּא בָּהּ, וּבְגִינָהּ אִתְּמַר </w:t>
      </w:r>
      <w:r>
        <w:rPr>
          <w:sz w:val="20"/>
          <w:szCs w:val="23"/>
          <w:rtl/>
        </w:rPr>
        <w:t>(שמות יט ג)</w:t>
      </w:r>
      <w:r>
        <w:rPr>
          <w:rtl/>
        </w:rPr>
        <w:t xml:space="preserve"> וּמֹשֶׁה עָלָה אֶל הָאֱלֹהִי''ם, וְדָוִד בְּגִינָהּ אָמַר </w:t>
      </w:r>
      <w:r>
        <w:rPr>
          <w:sz w:val="20"/>
          <w:szCs w:val="23"/>
          <w:rtl/>
        </w:rPr>
        <w:t>(תהלים קלב ד)</w:t>
      </w:r>
      <w:r>
        <w:rPr>
          <w:rtl/>
        </w:rPr>
        <w:t xml:space="preserve"> אִם אֶתֵּן </w:t>
      </w:r>
      <w:r>
        <w:rPr>
          <w:rStyle w:val="a7"/>
          <w:rtl/>
        </w:rPr>
        <w:footnoteReference w:id="1002"/>
      </w:r>
      <w:r>
        <w:rPr>
          <w:rtl/>
        </w:rPr>
        <w:t xml:space="preserve">שְׁנָת לְעִינָי לְעַפְעַפַּי תְּנוּמָה, </w:t>
      </w:r>
      <w:r>
        <w:rPr>
          <w:rStyle w:val="a7"/>
          <w:rtl/>
        </w:rPr>
        <w:footnoteReference w:id="1003"/>
      </w:r>
      <w:r>
        <w:rPr>
          <w:rtl/>
        </w:rPr>
        <w:t xml:space="preserve">עַד אֶמְצָא מָקוֹם לַיהו''ה, </w:t>
      </w:r>
      <w:r>
        <w:rPr>
          <w:rStyle w:val="a7"/>
          <w:rtl/>
        </w:rPr>
        <w:footnoteReference w:id="1004"/>
      </w:r>
      <w:r>
        <w:rPr>
          <w:rtl/>
        </w:rPr>
        <w:t xml:space="preserve">אִיהוּ </w:t>
      </w:r>
      <w:r>
        <w:rPr>
          <w:rStyle w:val="a7"/>
          <w:rtl/>
        </w:rPr>
        <w:footnoteReference w:id="1005"/>
      </w:r>
      <w:r>
        <w:rPr>
          <w:rtl/>
        </w:rPr>
        <w:t xml:space="preserve">שְׁלִימוּ דְאָדָם, </w:t>
      </w:r>
      <w:r>
        <w:rPr>
          <w:rStyle w:val="a7"/>
          <w:rtl/>
        </w:rPr>
        <w:footnoteReference w:id="1006"/>
      </w:r>
      <w:r>
        <w:rPr>
          <w:rtl/>
        </w:rPr>
        <w:t xml:space="preserve">שְׁלִימוּ דְיִחוּדָא, </w:t>
      </w:r>
      <w:r>
        <w:rPr>
          <w:rStyle w:val="a7"/>
          <w:rtl/>
        </w:rPr>
        <w:footnoteReference w:id="1007"/>
      </w:r>
      <w:r>
        <w:rPr>
          <w:rtl/>
        </w:rPr>
        <w:t xml:space="preserve">שְׁלִימוּ דִּשְׁמָא קַדִּישָׁא, </w:t>
      </w:r>
      <w:r>
        <w:rPr>
          <w:rStyle w:val="a7"/>
          <w:rtl/>
        </w:rPr>
        <w:footnoteReference w:id="1008"/>
      </w:r>
      <w:r>
        <w:rPr>
          <w:rtl/>
        </w:rPr>
        <w:t>שְׁלִימוּ דְּכָל סְפִירָה וּסְפִירָה:</w:t>
      </w:r>
    </w:p>
    <w:p w:rsidR="00606298" w:rsidRDefault="00606298">
      <w:pPr>
        <w:pStyle w:val="a8"/>
        <w:spacing w:before="0" w:after="40"/>
        <w:rPr>
          <w:rtl/>
        </w:rPr>
      </w:pPr>
      <w:bookmarkStart w:id="77" w:name="_Toc228091285"/>
      <w:bookmarkStart w:id="78" w:name="_Toc231637924"/>
    </w:p>
    <w:p w:rsidR="00606298" w:rsidRDefault="00606298" w:rsidP="0007465E">
      <w:pPr>
        <w:pStyle w:val="1"/>
        <w:rPr>
          <w:rtl/>
        </w:rPr>
      </w:pPr>
      <w:bookmarkStart w:id="79" w:name="_Toc405982932"/>
      <w:r>
        <w:rPr>
          <w:rtl/>
        </w:rPr>
        <w:t>תקונא חמישאה</w:t>
      </w:r>
      <w:bookmarkEnd w:id="77"/>
      <w:bookmarkEnd w:id="78"/>
      <w:bookmarkEnd w:id="79"/>
    </w:p>
    <w:p w:rsidR="00606298" w:rsidRDefault="00606298" w:rsidP="00134F53">
      <w:pPr>
        <w:pStyle w:val="2"/>
        <w:rPr>
          <w:rtl/>
        </w:rPr>
      </w:pPr>
      <w:bookmarkStart w:id="80" w:name="_Toc228095595"/>
      <w:bookmarkStart w:id="81" w:name="_Toc231638033"/>
      <w:bookmarkStart w:id="82" w:name="_Toc405982933"/>
      <w:r>
        <w:rPr>
          <w:rtl/>
        </w:rPr>
        <w:t>[תיקוני זוהר - דף טו ע"א]</w:t>
      </w:r>
      <w:bookmarkEnd w:id="80"/>
      <w:bookmarkEnd w:id="81"/>
      <w:bookmarkEnd w:id="82"/>
    </w:p>
    <w:p w:rsidR="00606298" w:rsidRDefault="00606298" w:rsidP="00B17EA9">
      <w:pPr>
        <w:pStyle w:val="NormalWeb"/>
        <w:rPr>
          <w:rtl/>
        </w:rPr>
      </w:pPr>
      <w:r>
        <w:rPr>
          <w:sz w:val="20"/>
          <w:szCs w:val="23"/>
          <w:rtl/>
        </w:rPr>
        <w:t xml:space="preserve">(דף טו ע"א) </w:t>
      </w:r>
      <w:r>
        <w:rPr>
          <w:rtl/>
        </w:rPr>
        <w:t xml:space="preserve">בְּרֵאשִׁית, ב' רֵאשִׁית, </w:t>
      </w:r>
      <w:r>
        <w:rPr>
          <w:rStyle w:val="a7"/>
          <w:rtl/>
        </w:rPr>
        <w:footnoteReference w:id="1009"/>
      </w:r>
      <w:r>
        <w:rPr>
          <w:rtl/>
        </w:rPr>
        <w:t xml:space="preserve">נְקוּדָה בְהֵיכָלֵיהּ, וְהַאי נְקוּדָה אִיהִי מַחֲשָׁבָה סְתִימָא, אַדְהָכִי הָא אֵלִיָּהוּ אִזְדַּמַּן לְגַבֵּיהּ דְרַבִּי שִׁמְעוֹן, אָמַר לֵיהּ רַבִּי רַבִּי, וְהָא ב' פְּתִיחָא אִיהִי, אִם כֵּן בְּמַאי </w:t>
      </w:r>
      <w:r>
        <w:rPr>
          <w:rStyle w:val="a7"/>
          <w:rtl/>
        </w:rPr>
        <w:footnoteReference w:id="1010"/>
      </w:r>
      <w:r>
        <w:rPr>
          <w:rtl/>
        </w:rPr>
        <w:t xml:space="preserve">אִיהִי מַחֲשָׁבָה סְתִימָא בָּהּ, אֶלָּא </w:t>
      </w:r>
      <w:r>
        <w:rPr>
          <w:rStyle w:val="a7"/>
          <w:rtl/>
        </w:rPr>
        <w:footnoteReference w:id="1011"/>
      </w:r>
      <w:r>
        <w:rPr>
          <w:rtl/>
        </w:rPr>
        <w:t xml:space="preserve">בְּרֵישׁ הוּרְמְנוּתָא דְמַלְכָּא, </w:t>
      </w:r>
      <w:r>
        <w:rPr>
          <w:rStyle w:val="a7"/>
          <w:rtl/>
        </w:rPr>
        <w:footnoteReference w:id="1012"/>
      </w:r>
      <w:r>
        <w:rPr>
          <w:rtl/>
        </w:rPr>
        <w:t xml:space="preserve">בּוֹצִינָא דְקַרְדִינוּתָא, </w:t>
      </w:r>
      <w:r>
        <w:rPr>
          <w:rStyle w:val="a7"/>
          <w:rtl/>
        </w:rPr>
        <w:footnoteReference w:id="1013"/>
      </w:r>
      <w:r>
        <w:rPr>
          <w:rtl/>
        </w:rPr>
        <w:t xml:space="preserve">כַּד מְדִיד </w:t>
      </w:r>
      <w:r>
        <w:rPr>
          <w:rStyle w:val="a7"/>
          <w:rtl/>
        </w:rPr>
        <w:footnoteReference w:id="1014"/>
      </w:r>
      <w:r>
        <w:rPr>
          <w:rtl/>
        </w:rPr>
        <w:t xml:space="preserve">מְשִׁיחָא, הַאי נְקוּדָה, </w:t>
      </w:r>
      <w:r>
        <w:rPr>
          <w:rStyle w:val="a7"/>
          <w:rtl/>
        </w:rPr>
        <w:footnoteReference w:id="1015"/>
      </w:r>
      <w:r>
        <w:rPr>
          <w:rtl/>
        </w:rPr>
        <w:t xml:space="preserve">נְפִיק מִינָהּ קַו, </w:t>
      </w:r>
      <w:r>
        <w:rPr>
          <w:rStyle w:val="a7"/>
          <w:rtl/>
        </w:rPr>
        <w:footnoteReference w:id="1016"/>
      </w:r>
      <w:r>
        <w:rPr>
          <w:rtl/>
        </w:rPr>
        <w:t xml:space="preserve">דְּסָתִים נִיצוֹצָא, הַהִיא מַחֲשָׁבָה </w:t>
      </w:r>
      <w:r>
        <w:rPr>
          <w:rStyle w:val="a7"/>
          <w:rtl/>
        </w:rPr>
        <w:footnoteReference w:id="1017"/>
      </w:r>
      <w:r>
        <w:rPr>
          <w:rtl/>
        </w:rPr>
        <w:t xml:space="preserve">כְּגַוְונָא דָא ם, בְּקַדְמֵיתָא אִיהִי מֵ''ם סְתִימָא, וְכַד אִתְפַּשַּׁט קַו דְּאִיהִי ו' מִן הַמִּדָּה, </w:t>
      </w:r>
      <w:r>
        <w:rPr>
          <w:rStyle w:val="a7"/>
          <w:rtl/>
        </w:rPr>
        <w:footnoteReference w:id="1018"/>
      </w:r>
      <w:r>
        <w:rPr>
          <w:rtl/>
        </w:rPr>
        <w:t>אִיהִי אִתְפַּתְּחַת וְאִתְעֲבִידַת ב', וְדָא בְּרֵאשִׁית ב' רֵאשִׁית, נְקוּדָה בְהֵיכָלֵיהּ.</w:t>
      </w:r>
    </w:p>
    <w:p w:rsidR="00606298" w:rsidRDefault="00606298" w:rsidP="00B17EA9">
      <w:pPr>
        <w:pStyle w:val="NormalWeb"/>
        <w:rPr>
          <w:rtl/>
        </w:rPr>
      </w:pPr>
      <w:r>
        <w:rPr>
          <w:rtl/>
        </w:rPr>
        <w:t xml:space="preserve">וְכַד אִיהִי ם סְתִימָא, אִיהִי מ''ם רַבְּתָא </w:t>
      </w:r>
      <w:r>
        <w:rPr>
          <w:rStyle w:val="a7"/>
          <w:rtl/>
        </w:rPr>
        <w:footnoteReference w:id="1019"/>
      </w:r>
      <w:r>
        <w:rPr>
          <w:rtl/>
        </w:rPr>
        <w:t xml:space="preserve">מִלְּםַרְבֵּה הַמִּשְׂרָה </w:t>
      </w:r>
      <w:r>
        <w:rPr>
          <w:sz w:val="20"/>
          <w:szCs w:val="23"/>
          <w:rtl/>
        </w:rPr>
        <w:t>(ישעיה ט ו)</w:t>
      </w:r>
      <w:r>
        <w:rPr>
          <w:rtl/>
        </w:rPr>
        <w:t xml:space="preserve">, </w:t>
      </w:r>
      <w:r>
        <w:rPr>
          <w:sz w:val="20"/>
          <w:szCs w:val="23"/>
          <w:rtl/>
        </w:rPr>
        <w:t>(ס"א למרב"ה בגימטריה עז"ר או זר"ע)</w:t>
      </w:r>
      <w:r>
        <w:rPr>
          <w:rtl/>
        </w:rPr>
        <w:t xml:space="preserve"> בְּהַהוּא הֵיכַל זָרַע זַרְעִין </w:t>
      </w:r>
      <w:r>
        <w:rPr>
          <w:rStyle w:val="a7"/>
          <w:rtl/>
        </w:rPr>
        <w:footnoteReference w:id="1020"/>
      </w:r>
      <w:r>
        <w:rPr>
          <w:rtl/>
        </w:rPr>
        <w:t xml:space="preserve">לְתִּקונָא דִילֵיה </w:t>
      </w:r>
      <w:r>
        <w:rPr>
          <w:sz w:val="20"/>
          <w:szCs w:val="23"/>
          <w:rtl/>
        </w:rPr>
        <w:t>(המשר"ה בגימטריה תקו"ן עם האותיות והמלה)</w:t>
      </w:r>
      <w:r>
        <w:rPr>
          <w:rtl/>
        </w:rPr>
        <w:t xml:space="preserve">, </w:t>
      </w:r>
      <w:r>
        <w:rPr>
          <w:rStyle w:val="a7"/>
          <w:rtl/>
        </w:rPr>
        <w:footnoteReference w:id="1021"/>
      </w:r>
      <w:r>
        <w:rPr>
          <w:rtl/>
        </w:rPr>
        <w:t>וְדָא מֵם רַבָּתִי.</w:t>
      </w:r>
    </w:p>
    <w:p w:rsidR="00606298" w:rsidRDefault="00606298" w:rsidP="00B17EA9">
      <w:pPr>
        <w:pStyle w:val="NormalWeb"/>
        <w:rPr>
          <w:rtl/>
        </w:rPr>
      </w:pPr>
      <w:r>
        <w:rPr>
          <w:rStyle w:val="a7"/>
          <w:rtl/>
        </w:rPr>
        <w:lastRenderedPageBreak/>
        <w:footnoteReference w:id="1022"/>
      </w:r>
      <w:r>
        <w:rPr>
          <w:rtl/>
        </w:rPr>
        <w:t xml:space="preserve">וְאִתְעֲבִידַת עִזְקָא, וּבְגִינָהּ אִתְּמַר לְגַבֵּי כַלָּה, תְּהֵא לִי מְקוּדֶשֶׁת </w:t>
      </w:r>
      <w:r>
        <w:rPr>
          <w:rStyle w:val="a7"/>
          <w:rtl/>
        </w:rPr>
        <w:footnoteReference w:id="1023"/>
      </w:r>
      <w:r>
        <w:rPr>
          <w:rtl/>
        </w:rPr>
        <w:t xml:space="preserve">בְּטַבַּעַת זוֹ ם, וַעֲלָהּ אִתְּמַר </w:t>
      </w:r>
      <w:r>
        <w:rPr>
          <w:rStyle w:val="a7"/>
          <w:rtl/>
        </w:rPr>
        <w:footnoteReference w:id="1024"/>
      </w:r>
      <w:r>
        <w:rPr>
          <w:rtl/>
        </w:rPr>
        <w:t xml:space="preserve">קוּטְרָא </w:t>
      </w:r>
      <w:r>
        <w:rPr>
          <w:rStyle w:val="a7"/>
          <w:rtl/>
        </w:rPr>
        <w:footnoteReference w:id="1025"/>
      </w:r>
      <w:r>
        <w:rPr>
          <w:rtl/>
        </w:rPr>
        <w:t xml:space="preserve">בְּגוֹלְמָא, נָעוּץ בְּעִזְקָא, </w:t>
      </w:r>
      <w:r>
        <w:rPr>
          <w:rStyle w:val="a7"/>
          <w:rtl/>
        </w:rPr>
        <w:footnoteReference w:id="1026"/>
      </w:r>
      <w:r>
        <w:rPr>
          <w:rtl/>
        </w:rPr>
        <w:t xml:space="preserve">וְאִיהִי לָא חִוָּור וְלָא סוּמַק וְלָא אוּכַם וְלָא יָרוֹק וְלָא גַוָּון כְּלָל, </w:t>
      </w:r>
      <w:r>
        <w:rPr>
          <w:rStyle w:val="a7"/>
          <w:rtl/>
        </w:rPr>
        <w:footnoteReference w:id="1027"/>
      </w:r>
      <w:r>
        <w:rPr>
          <w:rtl/>
        </w:rPr>
        <w:t xml:space="preserve">וְכַד אִתְפַּשְׁטָא </w:t>
      </w:r>
      <w:r>
        <w:rPr>
          <w:rStyle w:val="a7"/>
          <w:rtl/>
        </w:rPr>
        <w:footnoteReference w:id="1028"/>
      </w:r>
      <w:r>
        <w:rPr>
          <w:rtl/>
        </w:rPr>
        <w:t>לְאַנְהָרָא, אִיהִי עֲבִידַת גַּוָּונִין לְאַנְהָרָא.</w:t>
      </w:r>
    </w:p>
    <w:p w:rsidR="00606298" w:rsidRDefault="00606298" w:rsidP="00B17EA9">
      <w:pPr>
        <w:pStyle w:val="NormalWeb"/>
        <w:rPr>
          <w:rtl/>
        </w:rPr>
      </w:pPr>
      <w:r>
        <w:rPr>
          <w:rtl/>
        </w:rPr>
        <w:t xml:space="preserve">וְרָזָא דְמִלָּה עוֹטֶה אוֹר כַּשַּׁלְמָה כו' </w:t>
      </w:r>
      <w:r>
        <w:rPr>
          <w:sz w:val="20"/>
          <w:szCs w:val="23"/>
          <w:rtl/>
        </w:rPr>
        <w:t>(תהלים קד ב)</w:t>
      </w:r>
      <w:r>
        <w:rPr>
          <w:rtl/>
        </w:rPr>
        <w:t xml:space="preserve">, כַּד אִיהִי </w:t>
      </w:r>
      <w:r>
        <w:rPr>
          <w:rStyle w:val="a7"/>
          <w:rtl/>
        </w:rPr>
        <w:footnoteReference w:id="1029"/>
      </w:r>
      <w:r>
        <w:rPr>
          <w:rtl/>
        </w:rPr>
        <w:t xml:space="preserve">אוֹר מְעוּטָּף וְלָא אִתְפַּשַּׁט, וְאִיהוּ סָתִים, </w:t>
      </w:r>
      <w:r>
        <w:rPr>
          <w:rStyle w:val="a7"/>
          <w:rtl/>
        </w:rPr>
        <w:footnoteReference w:id="1030"/>
      </w:r>
      <w:r>
        <w:rPr>
          <w:rtl/>
        </w:rPr>
        <w:t xml:space="preserve">אִתְקְרֵי אַוִּיר, </w:t>
      </w:r>
      <w:r>
        <w:rPr>
          <w:rStyle w:val="a7"/>
          <w:rtl/>
        </w:rPr>
        <w:footnoteReference w:id="1031"/>
      </w:r>
      <w:r>
        <w:rPr>
          <w:rtl/>
        </w:rPr>
        <w:t xml:space="preserve">אוֹר סָתִים בְּאָת יוּ''ד, </w:t>
      </w:r>
      <w:r>
        <w:rPr>
          <w:rStyle w:val="a7"/>
          <w:rtl/>
        </w:rPr>
        <w:footnoteReference w:id="1032"/>
      </w:r>
      <w:r>
        <w:rPr>
          <w:rtl/>
        </w:rPr>
        <w:t xml:space="preserve">נְקוּדָה בְהֵיכָלֵיהּ, כַּד אַפִּיק י' מֵאַוִּי''ר, אִתְגַּלְיָא אוֹ''ר, </w:t>
      </w:r>
      <w:r>
        <w:rPr>
          <w:rStyle w:val="a7"/>
          <w:rtl/>
        </w:rPr>
        <w:footnoteReference w:id="1033"/>
      </w:r>
      <w:r>
        <w:rPr>
          <w:rtl/>
        </w:rPr>
        <w:t xml:space="preserve">וְדָא אִיהוּ וַיֹּאמֶר אֱלֹהִי''ם יְהִי אוֹר </w:t>
      </w:r>
      <w:r>
        <w:rPr>
          <w:sz w:val="20"/>
          <w:szCs w:val="23"/>
          <w:rtl/>
        </w:rPr>
        <w:t>(בראשית א ג)</w:t>
      </w:r>
      <w:r>
        <w:rPr>
          <w:rtl/>
        </w:rPr>
        <w:t xml:space="preserve">, </w:t>
      </w:r>
      <w:r>
        <w:rPr>
          <w:rStyle w:val="a7"/>
          <w:rtl/>
        </w:rPr>
        <w:footnoteReference w:id="1034"/>
      </w:r>
      <w:r>
        <w:rPr>
          <w:rtl/>
        </w:rPr>
        <w:t xml:space="preserve">וְחָמֵשׁ זִמְנִין אוֹר אִינוּן בְּעוֹבָדָא דִבְּרֵאשִׁית, וְאִינוּן ה', וַעֲלַיְהוּ אִתְּמַר </w:t>
      </w:r>
      <w:r>
        <w:rPr>
          <w:sz w:val="20"/>
          <w:szCs w:val="23"/>
          <w:rtl/>
        </w:rPr>
        <w:t>(ישעיה מ יב)</w:t>
      </w:r>
      <w:r>
        <w:rPr>
          <w:rtl/>
        </w:rPr>
        <w:t xml:space="preserve"> </w:t>
      </w:r>
      <w:r>
        <w:rPr>
          <w:rStyle w:val="a7"/>
          <w:rtl/>
        </w:rPr>
        <w:footnoteReference w:id="1035"/>
      </w:r>
      <w:r>
        <w:rPr>
          <w:rtl/>
        </w:rPr>
        <w:t xml:space="preserve">מִי מָדַד בְּשָׁעֳלוֹ מַיִם, </w:t>
      </w:r>
      <w:r>
        <w:rPr>
          <w:rStyle w:val="a7"/>
          <w:rtl/>
        </w:rPr>
        <w:footnoteReference w:id="1036"/>
      </w:r>
      <w:r>
        <w:rPr>
          <w:rtl/>
        </w:rPr>
        <w:t xml:space="preserve">וְדָא </w:t>
      </w:r>
      <w:r>
        <w:rPr>
          <w:rStyle w:val="a7"/>
          <w:rtl/>
        </w:rPr>
        <w:footnoteReference w:id="1037"/>
      </w:r>
      <w:r>
        <w:rPr>
          <w:rtl/>
        </w:rPr>
        <w:t xml:space="preserve">דְרוֹעָא יְמִינָא, וְאִיהוּ גַוָּון חִוָּור, </w:t>
      </w:r>
      <w:r>
        <w:rPr>
          <w:rStyle w:val="a7"/>
          <w:rtl/>
        </w:rPr>
        <w:footnoteReference w:id="1038"/>
      </w:r>
      <w:r>
        <w:rPr>
          <w:rtl/>
        </w:rPr>
        <w:t xml:space="preserve">וְשָׁמַיִם בַּזֶּרֶת תִּכֵּן, דָּא דְרוֹעָא שְׂמָאלָא, דְאִיהוּ גַוָּון סוּמַק, </w:t>
      </w:r>
      <w:r>
        <w:rPr>
          <w:rStyle w:val="a7"/>
          <w:rtl/>
        </w:rPr>
        <w:footnoteReference w:id="1039"/>
      </w:r>
      <w:r>
        <w:rPr>
          <w:rtl/>
        </w:rPr>
        <w:t xml:space="preserve">וְכָל בַּשָּׁלִישׁ </w:t>
      </w:r>
      <w:r>
        <w:rPr>
          <w:rStyle w:val="a7"/>
          <w:rtl/>
        </w:rPr>
        <w:footnoteReference w:id="1040"/>
      </w:r>
      <w:r>
        <w:rPr>
          <w:rtl/>
        </w:rPr>
        <w:t xml:space="preserve">עֲפַר הָאָרֶץ, דָּא גוּפָא עַמּוּדָא דְאֶמְצָעִיתָא, וְדָא גַוָּון יָרוֹק, וְשָׁקַל בַּפֶּלֶס הָרִים וּגְבָעוֹת </w:t>
      </w:r>
      <w:r>
        <w:rPr>
          <w:rStyle w:val="a7"/>
          <w:rtl/>
        </w:rPr>
        <w:footnoteReference w:id="1041"/>
      </w:r>
      <w:r>
        <w:rPr>
          <w:rtl/>
        </w:rPr>
        <w:t xml:space="preserve">בְּמֹאזְנָיִם, תְּרֵי סַמְכֵי קְשׁוֹט, וְהַאי ה' אִיהִי אִתְפַּשְּׁטַת לְאַנְהָרָא בְחָמֵשׁ גַּוָּונִין, דְּאִינוּן חָמֵשׁ זִמְנִין אוֹר, </w:t>
      </w:r>
      <w:r>
        <w:rPr>
          <w:rStyle w:val="a7"/>
          <w:rtl/>
        </w:rPr>
        <w:footnoteReference w:id="1042"/>
      </w:r>
      <w:r>
        <w:rPr>
          <w:rtl/>
        </w:rPr>
        <w:t xml:space="preserve">י' אִיהִי מִדָּה דִילָהּ, ה' עִלָּאָה חָמֵשׁ אוֹר, ה' תַּתָּאָה חָמֵשׁ גַּוָּונִין דְּנַהֲרִין בְּהוֹן חָמֵשׁ אוֹר, וְכַד אִתְפַּשְּׁטַת ה' עִלָּאָה לְאַנְהָרָא בְּה' תַּתָּאָה, בְחָמֵשׁ גַּוָּונִין </w:t>
      </w:r>
      <w:r>
        <w:rPr>
          <w:sz w:val="20"/>
          <w:szCs w:val="23"/>
          <w:rtl/>
        </w:rPr>
        <w:t>(דנהרין)</w:t>
      </w:r>
      <w:r>
        <w:rPr>
          <w:rtl/>
        </w:rPr>
        <w:t xml:space="preserve"> דִּילָהּ, מִיָּד אִתְפַּשַּׁט ו' לְגַבָּהּ, וְדָא אִיהוּ </w:t>
      </w:r>
      <w:r>
        <w:rPr>
          <w:rStyle w:val="a7"/>
          <w:rtl/>
        </w:rPr>
        <w:footnoteReference w:id="1043"/>
      </w:r>
      <w:r>
        <w:rPr>
          <w:rtl/>
        </w:rPr>
        <w:t xml:space="preserve">נוֹטֶה שָׁמַיִם כַּיְרִיעָה, דְּוַדַּאי כַּד אִיהִי נְהִירָא בְגַוָּונִין דִּילָהּ, אִתְּמַר בָּהּ </w:t>
      </w:r>
      <w:r>
        <w:rPr>
          <w:sz w:val="20"/>
          <w:szCs w:val="23"/>
          <w:rtl/>
        </w:rPr>
        <w:t>(בראשית ט טז)</w:t>
      </w:r>
      <w:r>
        <w:rPr>
          <w:rtl/>
        </w:rPr>
        <w:t xml:space="preserve"> </w:t>
      </w:r>
      <w:r>
        <w:rPr>
          <w:rStyle w:val="a7"/>
          <w:rtl/>
        </w:rPr>
        <w:footnoteReference w:id="1044"/>
      </w:r>
      <w:r>
        <w:rPr>
          <w:rtl/>
        </w:rPr>
        <w:t>וּרְאִיתִיהָ לִזְכּוֹר בְּרִית עוֹלָם, וּרְאִיתִיהָ בְּתַכְשִׁיטָהָא, כְּכַלָּה דְמִתְקַשְּׁטָא לְגַבֵּי בַּעְלָהּ, וּמִיָּד נוֹטֶה שָׁמַיִם כַּיְרִיעָה, דְאָתִי בַּעְלָהּ לְגַבָּהּ.</w:t>
      </w:r>
    </w:p>
    <w:p w:rsidR="00606298" w:rsidRDefault="00606298" w:rsidP="00B17EA9">
      <w:pPr>
        <w:pStyle w:val="NormalWeb"/>
        <w:rPr>
          <w:rtl/>
        </w:rPr>
      </w:pPr>
      <w:r>
        <w:rPr>
          <w:rtl/>
        </w:rPr>
        <w:t xml:space="preserve">וְדָא אִיהוּ רָזָא דְקַו הַמִּדָּה דְאִיהוּ ו', מֵהַהִיא מִדָּה דְאִיהִי י', </w:t>
      </w:r>
      <w:r>
        <w:rPr>
          <w:rStyle w:val="a7"/>
          <w:rtl/>
        </w:rPr>
        <w:footnoteReference w:id="1045"/>
      </w:r>
      <w:r>
        <w:rPr>
          <w:rtl/>
        </w:rPr>
        <w:t>וּלְבָתַר דְּאִיהִי נָטְלָא שְׁמָא קַדִּישָׁא, אִתְעֲבִידַת אִיהִי מִדָּה מִתַּתָּא לְעִילָא.</w:t>
      </w:r>
    </w:p>
    <w:p w:rsidR="00606298" w:rsidRDefault="00606298" w:rsidP="00B17EA9">
      <w:pPr>
        <w:pStyle w:val="NormalWeb"/>
        <w:rPr>
          <w:rtl/>
        </w:rPr>
      </w:pPr>
      <w:r>
        <w:rPr>
          <w:rStyle w:val="a7"/>
          <w:rtl/>
        </w:rPr>
        <w:lastRenderedPageBreak/>
        <w:footnoteReference w:id="1046"/>
      </w:r>
      <w:r>
        <w:rPr>
          <w:rtl/>
        </w:rPr>
        <w:t xml:space="preserve">כְּמָה דִנְקוּדָה י' אִיהִי מִדָּה לְעֶשֶׂר יְרִיעָן, אֹרֶךְ הַיְרִיעָה הָאַחַת דָּא ו', כַּךְ אִיהִי אַמָּה מִסִּטְרָא דְאוֹת ו', כְּלִילָא מֵי' אַמּוֹת, הֲדָא הוּא דִכְתִיב </w:t>
      </w:r>
      <w:r>
        <w:rPr>
          <w:sz w:val="20"/>
          <w:szCs w:val="23"/>
          <w:rtl/>
        </w:rPr>
        <w:t>(שמות כו טז)</w:t>
      </w:r>
      <w:r>
        <w:rPr>
          <w:rtl/>
        </w:rPr>
        <w:t xml:space="preserve"> עֶשֶׂר אַמּוֹת אֹרֶךְ הַקָּרֶשׁ, וְדָא י', </w:t>
      </w:r>
      <w:r>
        <w:rPr>
          <w:rStyle w:val="a7"/>
          <w:rtl/>
        </w:rPr>
        <w:footnoteReference w:id="1047"/>
      </w:r>
      <w:r>
        <w:rPr>
          <w:rtl/>
        </w:rPr>
        <w:t xml:space="preserve">וְאַמָּה ה' עִלָּאָה, </w:t>
      </w:r>
      <w:r>
        <w:rPr>
          <w:rStyle w:val="a7"/>
          <w:rtl/>
        </w:rPr>
        <w:footnoteReference w:id="1048"/>
      </w:r>
      <w:r>
        <w:rPr>
          <w:rtl/>
        </w:rPr>
        <w:t>וַחֲצִי הָאַמָּה ה' תַּתָּאָה, וְאַמַּאי אִתְקְרֵי ה' תַּתָּאָה חֲצִי הָאַמָּה, בְּגִין דְּאִתְקְרֵי מַצָּה פְּרוּסָה לֶחֶם עוֹנִי.</w:t>
      </w:r>
    </w:p>
    <w:p w:rsidR="00606298" w:rsidRDefault="00606298" w:rsidP="00B17EA9">
      <w:pPr>
        <w:pStyle w:val="NormalWeb"/>
        <w:rPr>
          <w:rtl/>
        </w:rPr>
      </w:pPr>
      <w:r>
        <w:rPr>
          <w:rStyle w:val="a7"/>
          <w:rtl/>
        </w:rPr>
        <w:footnoteReference w:id="1049"/>
      </w:r>
      <w:r>
        <w:rPr>
          <w:rtl/>
        </w:rPr>
        <w:t xml:space="preserve">וְהַאי נְקוּדָה כַּד סָלְקָא </w:t>
      </w:r>
      <w:r>
        <w:rPr>
          <w:rStyle w:val="a7"/>
          <w:rtl/>
        </w:rPr>
        <w:footnoteReference w:id="1050"/>
      </w:r>
      <w:r>
        <w:rPr>
          <w:rtl/>
        </w:rPr>
        <w:t xml:space="preserve">לְגַבֵּי א' </w:t>
      </w:r>
      <w:r>
        <w:rPr>
          <w:rStyle w:val="a7"/>
          <w:rtl/>
        </w:rPr>
        <w:footnoteReference w:id="1051"/>
      </w:r>
      <w:r>
        <w:rPr>
          <w:rtl/>
        </w:rPr>
        <w:t xml:space="preserve">דְאִיהוּ אַוִּירָא סָתִים, </w:t>
      </w:r>
      <w:r>
        <w:rPr>
          <w:rStyle w:val="a7"/>
          <w:rtl/>
        </w:rPr>
        <w:footnoteReference w:id="1052"/>
      </w:r>
      <w:r>
        <w:rPr>
          <w:rtl/>
        </w:rPr>
        <w:t xml:space="preserve">אִתְקְרֵי קָמֵ''ץ, </w:t>
      </w:r>
      <w:r>
        <w:rPr>
          <w:rStyle w:val="a7"/>
          <w:rtl/>
        </w:rPr>
        <w:footnoteReference w:id="1053"/>
      </w:r>
      <w:r>
        <w:rPr>
          <w:rtl/>
        </w:rPr>
        <w:t xml:space="preserve">קוֹמֶץ סָתִים, בְּגִין </w:t>
      </w:r>
      <w:r>
        <w:rPr>
          <w:rStyle w:val="a7"/>
          <w:rtl/>
        </w:rPr>
        <w:footnoteReference w:id="1054"/>
      </w:r>
      <w:r>
        <w:rPr>
          <w:rtl/>
        </w:rPr>
        <w:t xml:space="preserve">וְקָמַץ הַכֹּהֵן מִשָּׁם </w:t>
      </w:r>
      <w:r>
        <w:rPr>
          <w:rStyle w:val="a7"/>
          <w:rtl/>
        </w:rPr>
        <w:footnoteReference w:id="1055"/>
      </w:r>
      <w:r>
        <w:rPr>
          <w:rtl/>
        </w:rPr>
        <w:t xml:space="preserve">מְלֹא קֻמְצוֹ </w:t>
      </w:r>
      <w:r>
        <w:rPr>
          <w:sz w:val="20"/>
          <w:szCs w:val="23"/>
          <w:rtl/>
        </w:rPr>
        <w:t>(ויקרא ב ב)</w:t>
      </w:r>
      <w:r>
        <w:rPr>
          <w:rtl/>
        </w:rPr>
        <w:t xml:space="preserve">, וְאִיהִי מַחֲשָׁבָה סְתִימָא, </w:t>
      </w:r>
      <w:r>
        <w:rPr>
          <w:rStyle w:val="a7"/>
          <w:rtl/>
        </w:rPr>
        <w:footnoteReference w:id="1056"/>
      </w:r>
      <w:r>
        <w:rPr>
          <w:rtl/>
        </w:rPr>
        <w:t xml:space="preserve">ם סְתִימָא, מַפְתְּחָא דִילָהּ מַאי נִיהוּ </w:t>
      </w:r>
      <w:r>
        <w:rPr>
          <w:rStyle w:val="a7"/>
          <w:rtl/>
        </w:rPr>
        <w:footnoteReference w:id="1057"/>
      </w:r>
      <w:r>
        <w:rPr>
          <w:rtl/>
        </w:rPr>
        <w:t xml:space="preserve">פַּתַ''ח, </w:t>
      </w:r>
      <w:r>
        <w:rPr>
          <w:rStyle w:val="a7"/>
          <w:rtl/>
        </w:rPr>
        <w:footnoteReference w:id="1058"/>
      </w:r>
      <w:r>
        <w:rPr>
          <w:rtl/>
        </w:rPr>
        <w:t xml:space="preserve">וְדָא ו', </w:t>
      </w:r>
      <w:r>
        <w:rPr>
          <w:rStyle w:val="a7"/>
          <w:rtl/>
        </w:rPr>
        <w:footnoteReference w:id="1059"/>
      </w:r>
      <w:r>
        <w:rPr>
          <w:rtl/>
        </w:rPr>
        <w:t xml:space="preserve">וְאִיהוּ נָטוּי כְּגַוְונָא דָא [ציור] </w:t>
      </w:r>
      <w:r>
        <w:rPr>
          <w:sz w:val="20"/>
          <w:szCs w:val="23"/>
          <w:rtl/>
        </w:rPr>
        <w:t>(נ''א)</w:t>
      </w:r>
      <w:r>
        <w:rPr>
          <w:rtl/>
        </w:rPr>
        <w:t xml:space="preserve">, כַּד אִתְפַּרִישׁ מִנְּקוּדָה אִיהוּ רָקִיעַ </w:t>
      </w:r>
      <w:r>
        <w:rPr>
          <w:rStyle w:val="a7"/>
          <w:rtl/>
        </w:rPr>
        <w:footnoteReference w:id="1060"/>
      </w:r>
      <w:r>
        <w:rPr>
          <w:rtl/>
        </w:rPr>
        <w:t>פָּתוּחַ וַדַּאי.</w:t>
      </w:r>
    </w:p>
    <w:p w:rsidR="00606298" w:rsidRDefault="00606298" w:rsidP="00B17EA9">
      <w:pPr>
        <w:pStyle w:val="NormalWeb"/>
        <w:rPr>
          <w:rtl/>
        </w:rPr>
      </w:pPr>
      <w:r>
        <w:rPr>
          <w:rStyle w:val="a7"/>
          <w:rtl/>
        </w:rPr>
        <w:footnoteReference w:id="1061"/>
      </w:r>
      <w:r>
        <w:rPr>
          <w:rtl/>
        </w:rPr>
        <w:t xml:space="preserve">נָטוּי עַל רָאשֵׁי הַחַיָּה </w:t>
      </w:r>
      <w:r>
        <w:rPr>
          <w:rStyle w:val="a7"/>
          <w:rtl/>
        </w:rPr>
        <w:footnoteReference w:id="1062"/>
      </w:r>
      <w:r>
        <w:rPr>
          <w:rtl/>
        </w:rPr>
        <w:t xml:space="preserve">דְאִיהִי נִיצוֹצָא דְקָמֵ''ץ, </w:t>
      </w:r>
      <w:r>
        <w:rPr>
          <w:rStyle w:val="a7"/>
          <w:rtl/>
        </w:rPr>
        <w:footnoteReference w:id="1063"/>
      </w:r>
      <w:r>
        <w:rPr>
          <w:rtl/>
        </w:rPr>
        <w:t xml:space="preserve">הֲדָא הוּא דִכְתִיב </w:t>
      </w:r>
      <w:r>
        <w:rPr>
          <w:sz w:val="20"/>
          <w:szCs w:val="23"/>
          <w:rtl/>
        </w:rPr>
        <w:t>(יחזקאל א כב)</w:t>
      </w:r>
      <w:r>
        <w:rPr>
          <w:rtl/>
        </w:rPr>
        <w:t xml:space="preserve"> וּדְמוּת עַל רָאשֵׁי הַחַיָּה רָקִיעַ, מָאן חַיָּה דָּא מַלְכוּת, דְּאִיהִי נִיצוֹץ לְתַתָּא מִן רָקִיעַ, כְּגַוְונָא דָא א </w:t>
      </w:r>
      <w:r>
        <w:rPr>
          <w:sz w:val="20"/>
          <w:szCs w:val="23"/>
          <w:rtl/>
        </w:rPr>
        <w:t>(נ''א [ציור])</w:t>
      </w:r>
      <w:r>
        <w:rPr>
          <w:rtl/>
        </w:rPr>
        <w:t xml:space="preserve"> </w:t>
      </w:r>
      <w:r>
        <w:rPr>
          <w:rStyle w:val="a7"/>
          <w:rtl/>
        </w:rPr>
        <w:footnoteReference w:id="1064"/>
      </w:r>
      <w:r>
        <w:rPr>
          <w:rtl/>
        </w:rPr>
        <w:t xml:space="preserve">מָאן רָקִיעַ דָּא צַדִּיק, </w:t>
      </w:r>
      <w:r>
        <w:rPr>
          <w:rStyle w:val="a7"/>
          <w:rtl/>
        </w:rPr>
        <w:footnoteReference w:id="1065"/>
      </w:r>
      <w:r>
        <w:rPr>
          <w:rtl/>
        </w:rPr>
        <w:t xml:space="preserve">וְהַאי אִיהִי חַיָּה אֲשֶׁר תַּחַת אלה''י יִשְׂרָאֵל, </w:t>
      </w:r>
      <w:r>
        <w:rPr>
          <w:rStyle w:val="a7"/>
          <w:rtl/>
        </w:rPr>
        <w:footnoteReference w:id="1066"/>
      </w:r>
      <w:r>
        <w:rPr>
          <w:rtl/>
        </w:rPr>
        <w:t xml:space="preserve">רָאשֵׁי הַחַיָּה דִלְתַתָּא </w:t>
      </w:r>
      <w:r>
        <w:rPr>
          <w:rStyle w:val="a7"/>
          <w:rtl/>
        </w:rPr>
        <w:footnoteReference w:id="1067"/>
      </w:r>
      <w:r>
        <w:rPr>
          <w:rtl/>
        </w:rPr>
        <w:t>נֶצַח וְהוֹד.</w:t>
      </w:r>
    </w:p>
    <w:p w:rsidR="00606298" w:rsidRDefault="00606298" w:rsidP="00134F53">
      <w:pPr>
        <w:pStyle w:val="2"/>
        <w:rPr>
          <w:rtl/>
        </w:rPr>
      </w:pPr>
      <w:bookmarkStart w:id="83" w:name="_Toc405982934"/>
      <w:r>
        <w:rPr>
          <w:rtl/>
        </w:rPr>
        <w:t>[תיקוני זוהר - דף טו ע''ב]</w:t>
      </w:r>
      <w:bookmarkEnd w:id="83"/>
    </w:p>
    <w:p w:rsidR="00606298" w:rsidRDefault="00606298" w:rsidP="00B17EA9">
      <w:pPr>
        <w:pStyle w:val="NormalWeb"/>
        <w:rPr>
          <w:rtl/>
        </w:rPr>
      </w:pPr>
      <w:r>
        <w:rPr>
          <w:rStyle w:val="a7"/>
          <w:rtl/>
        </w:rPr>
        <w:footnoteReference w:id="1068"/>
      </w:r>
      <w:r>
        <w:rPr>
          <w:rtl/>
        </w:rPr>
        <w:t xml:space="preserve">וְאִית חַיָּה עִלָּאָה </w:t>
      </w:r>
      <w:r>
        <w:rPr>
          <w:sz w:val="20"/>
          <w:szCs w:val="23"/>
          <w:rtl/>
        </w:rPr>
        <w:t>(טו ע''ב)</w:t>
      </w:r>
      <w:r>
        <w:rPr>
          <w:rtl/>
        </w:rPr>
        <w:t xml:space="preserve"> כְּגַוְונָא דָא [ציור] וְדָא </w:t>
      </w:r>
      <w:r>
        <w:rPr>
          <w:rStyle w:val="a7"/>
          <w:rtl/>
        </w:rPr>
        <w:footnoteReference w:id="1069"/>
      </w:r>
      <w:r>
        <w:rPr>
          <w:rtl/>
        </w:rPr>
        <w:t xml:space="preserve">י' עִלָּאָה דְאִיהִי עַל הָרָקִיעַ, וְאִיהִי </w:t>
      </w:r>
      <w:r>
        <w:rPr>
          <w:rStyle w:val="a7"/>
          <w:rtl/>
        </w:rPr>
        <w:footnoteReference w:id="1070"/>
      </w:r>
      <w:r>
        <w:rPr>
          <w:rtl/>
        </w:rPr>
        <w:t xml:space="preserve">מַחֲשָׁבָה עִלָּאָה, וְהַאי אִיהוּ אדנ"י, עֲטֶרֶת עִלָּאָה, </w:t>
      </w:r>
      <w:r>
        <w:rPr>
          <w:rStyle w:val="a7"/>
          <w:rtl/>
        </w:rPr>
        <w:footnoteReference w:id="1071"/>
      </w:r>
      <w:r>
        <w:rPr>
          <w:rtl/>
        </w:rPr>
        <w:t>כֶּתֶר בְּרֵישָׁא (</w:t>
      </w:r>
      <w:r>
        <w:rPr>
          <w:rFonts w:cs="FrankRuehl"/>
          <w:rtl/>
        </w:rPr>
        <w:t>כן מצינו נכתב בצידו בגוף כתב יד קדשו</w:t>
      </w:r>
      <w:r>
        <w:rPr>
          <w:rtl/>
        </w:rPr>
        <w:t xml:space="preserve"> </w:t>
      </w:r>
      <w:r>
        <w:rPr>
          <w:rStyle w:val="a7"/>
          <w:rtl/>
        </w:rPr>
        <w:footnoteReference w:id="1072"/>
      </w:r>
      <w:r>
        <w:rPr>
          <w:rtl/>
        </w:rPr>
        <w:t xml:space="preserve">וְאִיהִי עֲטָרָה בְרֹאשׁ אַבָּא </w:t>
      </w:r>
      <w:r>
        <w:rPr>
          <w:rtl/>
        </w:rPr>
        <w:lastRenderedPageBreak/>
        <w:t xml:space="preserve">וְאִימָּא, וְאִיהִי כֶּתֶר עִלָּאָה וַדַּאי, וְרֵישִׁין דִּילָהּ לְעִילָא אִינוּן אַבָּא וְאִימָּא,) רָקִיעַ דִילָהּ </w:t>
      </w:r>
      <w:r>
        <w:rPr>
          <w:rStyle w:val="a7"/>
          <w:rtl/>
        </w:rPr>
        <w:footnoteReference w:id="1073"/>
      </w:r>
      <w:r>
        <w:rPr>
          <w:rtl/>
        </w:rPr>
        <w:t xml:space="preserve">ו' עִלָּאָה, וְהַאי אִיהִי </w:t>
      </w:r>
      <w:r>
        <w:rPr>
          <w:rStyle w:val="a7"/>
          <w:rtl/>
        </w:rPr>
        <w:footnoteReference w:id="1074"/>
      </w:r>
      <w:r>
        <w:rPr>
          <w:rtl/>
        </w:rPr>
        <w:t xml:space="preserve">עֲטֶרֶת </w:t>
      </w:r>
      <w:r>
        <w:rPr>
          <w:rStyle w:val="a7"/>
          <w:rtl/>
        </w:rPr>
        <w:footnoteReference w:id="1075"/>
      </w:r>
      <w:r>
        <w:rPr>
          <w:rtl/>
        </w:rPr>
        <w:t xml:space="preserve">תִּפְאֶרֶת, רֵאשִׁין דִּילָהּ </w:t>
      </w:r>
      <w:r>
        <w:rPr>
          <w:rStyle w:val="a7"/>
          <w:rtl/>
        </w:rPr>
        <w:footnoteReference w:id="1076"/>
      </w:r>
      <w:r>
        <w:rPr>
          <w:rtl/>
        </w:rPr>
        <w:t>תְּרֵין דְּרוֹעִין.</w:t>
      </w:r>
    </w:p>
    <w:p w:rsidR="00606298" w:rsidRDefault="00606298" w:rsidP="00B17EA9">
      <w:pPr>
        <w:pStyle w:val="NormalWeb"/>
        <w:rPr>
          <w:rtl/>
        </w:rPr>
      </w:pPr>
      <w:r>
        <w:rPr>
          <w:rStyle w:val="a7"/>
          <w:rtl/>
        </w:rPr>
        <w:footnoteReference w:id="1077"/>
      </w:r>
      <w:r>
        <w:rPr>
          <w:rtl/>
        </w:rPr>
        <w:t xml:space="preserve">אִיהִי י' בְּכָל אֲתַר, </w:t>
      </w:r>
      <w:r>
        <w:rPr>
          <w:rStyle w:val="a7"/>
          <w:rtl/>
        </w:rPr>
        <w:footnoteReference w:id="1078"/>
      </w:r>
      <w:r>
        <w:rPr>
          <w:rtl/>
        </w:rPr>
        <w:t xml:space="preserve">קוֹצָא דִילָהּ לְעִילָא, וְגֵיו דִּילָהּ </w:t>
      </w:r>
      <w:r>
        <w:rPr>
          <w:rStyle w:val="a7"/>
          <w:rtl/>
        </w:rPr>
        <w:footnoteReference w:id="1079"/>
      </w:r>
      <w:r>
        <w:rPr>
          <w:rtl/>
        </w:rPr>
        <w:t xml:space="preserve">בְּאֶמְצָעִיתָא, וְסוֹפָא דִילָהּ </w:t>
      </w:r>
      <w:r>
        <w:rPr>
          <w:rStyle w:val="a7"/>
          <w:rtl/>
        </w:rPr>
        <w:footnoteReference w:id="1080"/>
      </w:r>
      <w:r>
        <w:rPr>
          <w:rtl/>
        </w:rPr>
        <w:t xml:space="preserve">לְתַתָּא, </w:t>
      </w:r>
      <w:r>
        <w:rPr>
          <w:rStyle w:val="a7"/>
          <w:rtl/>
        </w:rPr>
        <w:footnoteReference w:id="1081"/>
      </w:r>
      <w:r>
        <w:rPr>
          <w:rtl/>
        </w:rPr>
        <w:t>כְּלָלָא דְאַתְוָון דִּשְׁמָא מְפָרַשׁ.</w:t>
      </w:r>
    </w:p>
    <w:p w:rsidR="00606298" w:rsidRDefault="00606298" w:rsidP="00B17EA9">
      <w:pPr>
        <w:pStyle w:val="NormalWeb"/>
        <w:rPr>
          <w:rtl/>
        </w:rPr>
      </w:pPr>
      <w:r>
        <w:rPr>
          <w:rStyle w:val="a7"/>
          <w:rtl/>
        </w:rPr>
        <w:footnoteReference w:id="1082"/>
      </w:r>
      <w:r>
        <w:rPr>
          <w:rtl/>
        </w:rPr>
        <w:t xml:space="preserve">רֵישָׁא דִילָהּ לְעִילָא בְרָזָא דְטַעֲמֵי, וְגֵיו דִּילָהּ בְּאֶמְצָעִיתָא בְּרָזָא </w:t>
      </w:r>
      <w:r>
        <w:rPr>
          <w:sz w:val="20"/>
          <w:szCs w:val="23"/>
          <w:rtl/>
        </w:rPr>
        <w:t>(נ''א כללא)</w:t>
      </w:r>
      <w:r>
        <w:rPr>
          <w:rtl/>
        </w:rPr>
        <w:t xml:space="preserve"> דְּאַתְוָון, גּוּפָא לְתַרְוַיְיהוּ, וְקוֹצָא דִילָהּ לְתַתָּא בְּרָזָא דִנְקוּדֵי, </w:t>
      </w:r>
      <w:r>
        <w:rPr>
          <w:rStyle w:val="a7"/>
          <w:rtl/>
        </w:rPr>
        <w:footnoteReference w:id="1083"/>
      </w:r>
      <w:r>
        <w:rPr>
          <w:rtl/>
        </w:rPr>
        <w:t xml:space="preserve">וּלְתַתָּא אִיהִי הַאי נְקוּדָה מַיִם נוּקְבִין, </w:t>
      </w:r>
      <w:r>
        <w:rPr>
          <w:rStyle w:val="a7"/>
          <w:rtl/>
        </w:rPr>
        <w:footnoteReference w:id="1084"/>
      </w:r>
      <w:r>
        <w:rPr>
          <w:rtl/>
        </w:rPr>
        <w:t xml:space="preserve">וּלְעִילָא מַיִם דְּכוּרִין, רָקִיעַ בְּאֶמְצָעִיתָא כְּגַוְונָא דָא א, עֲלָהּ אִתְּמַר </w:t>
      </w:r>
      <w:r>
        <w:rPr>
          <w:sz w:val="20"/>
          <w:szCs w:val="23"/>
          <w:rtl/>
        </w:rPr>
        <w:t>(בראשית א ו)</w:t>
      </w:r>
      <w:r>
        <w:rPr>
          <w:rtl/>
        </w:rPr>
        <w:t xml:space="preserve"> וִיהִי מַבְדִּיל בֵּין מַיִם לָמָיִם.</w:t>
      </w:r>
    </w:p>
    <w:p w:rsidR="00606298" w:rsidRDefault="00606298" w:rsidP="00B17EA9">
      <w:pPr>
        <w:pStyle w:val="NormalWeb"/>
        <w:rPr>
          <w:rtl/>
        </w:rPr>
      </w:pPr>
      <w:r>
        <w:rPr>
          <w:rtl/>
        </w:rPr>
        <w:t xml:space="preserve">וְהַאי אִיהוּ מַחֲלוֹקֶת שֶׁהִיא </w:t>
      </w:r>
      <w:r>
        <w:rPr>
          <w:rStyle w:val="a7"/>
          <w:rtl/>
        </w:rPr>
        <w:footnoteReference w:id="1085"/>
      </w:r>
      <w:r>
        <w:rPr>
          <w:rtl/>
        </w:rPr>
        <w:t xml:space="preserve">לְשֵׁם שָׁמַיִם, דְּאִיהוּ סוֹפָהּ לְהִתְקַיֵּים, וּלְאַעָלָא שְׁלָם וְיִחוּדָא בְּתַרְוַיְיהוּ, וְלַאו מַחֲלוֹקֶת דְּפִרוּדָא, </w:t>
      </w:r>
      <w:r>
        <w:rPr>
          <w:rStyle w:val="a7"/>
          <w:rtl/>
        </w:rPr>
        <w:footnoteReference w:id="1086"/>
      </w:r>
      <w:r>
        <w:rPr>
          <w:rtl/>
        </w:rPr>
        <w:t xml:space="preserve">כְּגוֹן מַחֲלוֹקֶת קֹרַח וַעֲדָתוֹ בְּאַהֲרֹן, וּמַחֲלוֹקֶת הַאי דְאִיהוּ לְשֵׁם שָׁמַיִם, בְּגִין דְּמַיִם תַּתָּאִין אִינוּן בּוֹכִין וְאָמְרִין אֲנַן בַּעְיָין לְמֶהֱוֵי קֳדָם מַלְכָּא עִלַּת הָעִלּוֹת, וּבָעָן לְסַלְקָא לְעִילָא, רָקִיעַ אַפְרִישׁ בֵּינַיְיהוּ, עַד דְּעִלַּת הָעִלּוֹת שַׁוִּי לוֹן שָׁוִין, י' מִסִּטְרָא דָא, וְי' מִסִּטְרָא דָא, ו' בְּאֶמְצָעִיתָא, כְּגַוְונָא דָא יו''י </w:t>
      </w:r>
      <w:r>
        <w:rPr>
          <w:rStyle w:val="a7"/>
          <w:rtl/>
        </w:rPr>
        <w:footnoteReference w:id="1087"/>
      </w:r>
      <w:r>
        <w:rPr>
          <w:rtl/>
        </w:rPr>
        <w:t xml:space="preserve">דְּאִיהִי א, וְאִלֵּין כֻּלְּהוּ קְרֵבִין לְעִלַּת הָעִלּוֹת, וְרָזָא דְמִלָּה וַיַּעַשׁ אֱלֹהִי''ם אֶת שְׁנֵי הַמְּאוֹרוֹת הַגְּדוֹלִים, </w:t>
      </w:r>
      <w:r>
        <w:rPr>
          <w:rStyle w:val="a7"/>
          <w:rtl/>
        </w:rPr>
        <w:footnoteReference w:id="1088"/>
      </w:r>
      <w:r>
        <w:rPr>
          <w:rtl/>
        </w:rPr>
        <w:t xml:space="preserve">וְאִינוּן שָׁוִין, הֲדָא הוּא דִכְתִיב </w:t>
      </w:r>
      <w:r>
        <w:rPr>
          <w:sz w:val="20"/>
          <w:szCs w:val="23"/>
          <w:rtl/>
        </w:rPr>
        <w:t>(ישעיה ל כא)</w:t>
      </w:r>
      <w:r>
        <w:rPr>
          <w:rtl/>
        </w:rPr>
        <w:t xml:space="preserve"> וְהָיָה אוֹר הַלְּבָנָה כְּאוֹר הַחַמָּה.</w:t>
      </w:r>
    </w:p>
    <w:p w:rsidR="00606298" w:rsidRDefault="00606298" w:rsidP="00B17EA9">
      <w:pPr>
        <w:pStyle w:val="NormalWeb"/>
        <w:rPr>
          <w:rtl/>
        </w:rPr>
      </w:pPr>
      <w:r>
        <w:rPr>
          <w:rStyle w:val="a7"/>
          <w:rtl/>
        </w:rPr>
        <w:footnoteReference w:id="1089"/>
      </w:r>
      <w:r>
        <w:rPr>
          <w:rtl/>
        </w:rPr>
        <w:t xml:space="preserve">תָּא חֲזִי קָמֵ''ץ אִיהוּ סָתִים בְּאָת י' מִכָּל סִטְרָא, עִילָא וְאֶמְצָעִיתָא וְתַתָּא, וְדָא קוֹמֶץ סָתִים בִּתְלַת סְפִירָן, פְּתִיחוּ דִילָיהּ אִיהוּ בְּחָמֵשׁ אוֹר, </w:t>
      </w:r>
      <w:r>
        <w:rPr>
          <w:rStyle w:val="a7"/>
          <w:rtl/>
        </w:rPr>
        <w:footnoteReference w:id="1090"/>
      </w:r>
      <w:r>
        <w:rPr>
          <w:rtl/>
        </w:rPr>
        <w:t xml:space="preserve">דְּאִינוּן חָמֵשׁ אֶצְבְּעָאן </w:t>
      </w:r>
      <w:r>
        <w:rPr>
          <w:rStyle w:val="a7"/>
          <w:rtl/>
        </w:rPr>
        <w:footnoteReference w:id="1091"/>
      </w:r>
      <w:r>
        <w:rPr>
          <w:rtl/>
        </w:rPr>
        <w:t xml:space="preserve">עִלָּאִין וְאִינוּן ה' עִלָּאָה, חָמֵשׁ אָאֵאֹאִאֻ, דְּאִנּוּן אוֹר אוֹר אוֹר אוֹר אוֹר, </w:t>
      </w:r>
      <w:r>
        <w:rPr>
          <w:rStyle w:val="a7"/>
          <w:rtl/>
        </w:rPr>
        <w:footnoteReference w:id="1092"/>
      </w:r>
      <w:r>
        <w:rPr>
          <w:rtl/>
        </w:rPr>
        <w:t xml:space="preserve">חָמֵשׁ זִמְנִין, </w:t>
      </w:r>
      <w:r>
        <w:rPr>
          <w:rStyle w:val="a7"/>
          <w:rtl/>
        </w:rPr>
        <w:footnoteReference w:id="1093"/>
      </w:r>
      <w:r>
        <w:rPr>
          <w:rtl/>
        </w:rPr>
        <w:t xml:space="preserve">חָמֵשׁ נְהוֹרִין דְּעוֹבָדָא דִבְּרֵאשִׁית, וּנְקוּדָא דִלְהוֹן אָאֵאֹאִאֻ חָמֵשׁ </w:t>
      </w:r>
      <w:r>
        <w:rPr>
          <w:rStyle w:val="a7"/>
          <w:rtl/>
        </w:rPr>
        <w:footnoteReference w:id="1094"/>
      </w:r>
      <w:r>
        <w:rPr>
          <w:rtl/>
        </w:rPr>
        <w:t>דְּסָלְקִין לְעֶשֶׂר.</w:t>
      </w:r>
    </w:p>
    <w:p w:rsidR="00606298" w:rsidRDefault="00606298" w:rsidP="00B17EA9">
      <w:pPr>
        <w:pStyle w:val="NormalWeb"/>
        <w:rPr>
          <w:rtl/>
        </w:rPr>
      </w:pPr>
      <w:r>
        <w:rPr>
          <w:rtl/>
        </w:rPr>
        <w:lastRenderedPageBreak/>
        <w:t xml:space="preserve">וְרָזָא דְמִלָּה וְהִנֵּה אֲנַחְנוּ מְאַלְּמִים וְגוֹמֵר, וְהִנֵּה קָמָה אֲלֻמָּתִי וְגַם נִצָּבָה </w:t>
      </w:r>
      <w:r>
        <w:rPr>
          <w:sz w:val="20"/>
          <w:szCs w:val="23"/>
          <w:rtl/>
        </w:rPr>
        <w:t>(בראשית לז ז)</w:t>
      </w:r>
      <w:r>
        <w:rPr>
          <w:rtl/>
        </w:rPr>
        <w:t xml:space="preserve">, </w:t>
      </w:r>
      <w:r>
        <w:rPr>
          <w:rStyle w:val="a7"/>
          <w:rtl/>
        </w:rPr>
        <w:footnoteReference w:id="1095"/>
      </w:r>
      <w:r>
        <w:rPr>
          <w:rtl/>
        </w:rPr>
        <w:t xml:space="preserve">דָּא א' בְּחֹלֵ''ם, דְּאִיהוּ לְעִילָא מִכָּל נְקוּדִין, </w:t>
      </w:r>
      <w:r>
        <w:rPr>
          <w:rStyle w:val="a7"/>
          <w:rtl/>
        </w:rPr>
        <w:footnoteReference w:id="1096"/>
      </w:r>
      <w:r>
        <w:rPr>
          <w:rtl/>
        </w:rPr>
        <w:t xml:space="preserve">בְּקוֹמָה זָקִיף, </w:t>
      </w:r>
      <w:r>
        <w:rPr>
          <w:rStyle w:val="a7"/>
          <w:rtl/>
        </w:rPr>
        <w:footnoteReference w:id="1097"/>
      </w:r>
      <w:r>
        <w:rPr>
          <w:rtl/>
        </w:rPr>
        <w:t xml:space="preserve">וּבֵיהּ אִסְתַּלַּק </w:t>
      </w:r>
      <w:r>
        <w:rPr>
          <w:sz w:val="20"/>
          <w:szCs w:val="23"/>
          <w:rtl/>
        </w:rPr>
        <w:t>(נ''א אסתכל)</w:t>
      </w:r>
      <w:r>
        <w:rPr>
          <w:rtl/>
        </w:rPr>
        <w:t xml:space="preserve"> יוֹסֵף בְּחֶלְמָא, וְכֵן יַעֲקֹב, הֲדָא הוּא דִכְתִיב </w:t>
      </w:r>
      <w:r>
        <w:rPr>
          <w:sz w:val="20"/>
          <w:szCs w:val="23"/>
          <w:rtl/>
        </w:rPr>
        <w:t>(שם כח יב)</w:t>
      </w:r>
      <w:r>
        <w:rPr>
          <w:rtl/>
        </w:rPr>
        <w:t xml:space="preserve"> וַיַּחֲלֹם </w:t>
      </w:r>
      <w:r>
        <w:rPr>
          <w:rStyle w:val="a7"/>
          <w:rtl/>
        </w:rPr>
        <w:footnoteReference w:id="1098"/>
      </w:r>
      <w:r>
        <w:rPr>
          <w:rtl/>
        </w:rPr>
        <w:t xml:space="preserve">וְהִנֵּה סֻלָּם </w:t>
      </w:r>
      <w:r>
        <w:rPr>
          <w:rStyle w:val="a7"/>
          <w:rtl/>
        </w:rPr>
        <w:footnoteReference w:id="1099"/>
      </w:r>
      <w:r>
        <w:rPr>
          <w:rtl/>
        </w:rPr>
        <w:t xml:space="preserve">מֻצָּב אַרְצָה </w:t>
      </w:r>
      <w:r>
        <w:rPr>
          <w:rStyle w:val="a7"/>
          <w:rtl/>
        </w:rPr>
        <w:footnoteReference w:id="1100"/>
      </w:r>
      <w:r>
        <w:rPr>
          <w:rtl/>
        </w:rPr>
        <w:t xml:space="preserve">וְרֹאשׁוֹ מַגִּיעַ הַשָּׁמָיְמָה, דָא א </w:t>
      </w:r>
      <w:r>
        <w:rPr>
          <w:rStyle w:val="a7"/>
          <w:rtl/>
        </w:rPr>
        <w:footnoteReference w:id="1101"/>
      </w:r>
      <w:r>
        <w:rPr>
          <w:rtl/>
        </w:rPr>
        <w:t xml:space="preserve">דְּאִיהוּ רֹאשׁ, </w:t>
      </w:r>
      <w:r>
        <w:rPr>
          <w:rStyle w:val="a7"/>
          <w:rtl/>
        </w:rPr>
        <w:footnoteReference w:id="1102"/>
      </w:r>
      <w:r>
        <w:rPr>
          <w:rtl/>
        </w:rPr>
        <w:t xml:space="preserve">וְהִנֵּה מַלְאֲכֵי אלהי''ם </w:t>
      </w:r>
      <w:r>
        <w:rPr>
          <w:rStyle w:val="a7"/>
          <w:rtl/>
        </w:rPr>
        <w:footnoteReference w:id="1103"/>
      </w:r>
      <w:r>
        <w:rPr>
          <w:rtl/>
        </w:rPr>
        <w:t xml:space="preserve">עוֹלִים וְיוֹרְדִים בּוֹ, אָמְרוּ מָארֵי מַתְנִיתִין, </w:t>
      </w:r>
      <w:r>
        <w:rPr>
          <w:rStyle w:val="a7"/>
          <w:rtl/>
        </w:rPr>
        <w:footnoteReference w:id="1104"/>
      </w:r>
      <w:r>
        <w:rPr>
          <w:rtl/>
        </w:rPr>
        <w:t xml:space="preserve">עוֹלִים תְּרֵי, </w:t>
      </w:r>
      <w:r>
        <w:rPr>
          <w:rStyle w:val="a7"/>
          <w:rtl/>
        </w:rPr>
        <w:footnoteReference w:id="1105"/>
      </w:r>
      <w:r>
        <w:rPr>
          <w:rtl/>
        </w:rPr>
        <w:t xml:space="preserve">וְיוֹרְדִים תְּרֵי, </w:t>
      </w:r>
      <w:r>
        <w:rPr>
          <w:rStyle w:val="a7"/>
          <w:rtl/>
        </w:rPr>
        <w:footnoteReference w:id="1106"/>
      </w:r>
      <w:r>
        <w:rPr>
          <w:rtl/>
        </w:rPr>
        <w:t>וְאִנּוּן אָאֵאִאֻ.</w:t>
      </w:r>
    </w:p>
    <w:p w:rsidR="00606298" w:rsidRDefault="00606298" w:rsidP="00B17EA9">
      <w:pPr>
        <w:pStyle w:val="NormalWeb"/>
        <w:rPr>
          <w:rtl/>
        </w:rPr>
      </w:pPr>
      <w:r>
        <w:rPr>
          <w:rtl/>
        </w:rPr>
        <w:t xml:space="preserve">וְהַאי אָת דְּאִיהִי אַלֶּ''ף חֹלֵ''ם דְּאִיהִי בְּאֶמְצָעִיתָא, אִיהִי כגוונא דא ו', איהי כֶתֶר עִלָּאָה </w:t>
      </w:r>
      <w:r>
        <w:rPr>
          <w:rStyle w:val="a7"/>
          <w:rtl/>
        </w:rPr>
        <w:footnoteReference w:id="1107"/>
      </w:r>
      <w:r>
        <w:rPr>
          <w:rtl/>
        </w:rPr>
        <w:t xml:space="preserve">דְאַסְחַר עַל רֵישָׁא דְעַמּוּדָא דְאֶמְצָעִיתָא, וּבְגִין דָּא וְהִנֵּה תְסֻבֶּינָה אֲלֻמֹּתֵיכֶם וַתִּשְׁתַּחֲוְיןָ לַאֲלֻמָּתִי </w:t>
      </w:r>
      <w:r>
        <w:rPr>
          <w:sz w:val="20"/>
          <w:szCs w:val="23"/>
          <w:rtl/>
        </w:rPr>
        <w:t>(שם לז)</w:t>
      </w:r>
      <w:r>
        <w:rPr>
          <w:rStyle w:val="Char"/>
          <w:rtl/>
        </w:rPr>
        <w:t>. ו</w:t>
      </w:r>
      <w:r>
        <w:rPr>
          <w:rtl/>
        </w:rPr>
        <w:t>ְ</w:t>
      </w:r>
      <w:r>
        <w:rPr>
          <w:rStyle w:val="Char"/>
          <w:rtl/>
        </w:rPr>
        <w:t>כ</w:t>
      </w:r>
      <w:r>
        <w:rPr>
          <w:rtl/>
        </w:rPr>
        <w:t>ַ</w:t>
      </w:r>
      <w:r>
        <w:rPr>
          <w:rStyle w:val="Char"/>
          <w:rtl/>
        </w:rPr>
        <w:t>ד ש</w:t>
      </w:r>
      <w:r>
        <w:rPr>
          <w:rtl/>
        </w:rPr>
        <w:t>ְׁ</w:t>
      </w:r>
      <w:r>
        <w:rPr>
          <w:rStyle w:val="Char"/>
          <w:rtl/>
        </w:rPr>
        <w:t>כ</w:t>
      </w:r>
      <w:r>
        <w:rPr>
          <w:rtl/>
        </w:rPr>
        <w:t>ִ</w:t>
      </w:r>
      <w:r>
        <w:rPr>
          <w:rStyle w:val="Char"/>
          <w:rtl/>
        </w:rPr>
        <w:t>ינ</w:t>
      </w:r>
      <w:r>
        <w:rPr>
          <w:rtl/>
        </w:rPr>
        <w:t>ְ</w:t>
      </w:r>
      <w:r>
        <w:rPr>
          <w:rStyle w:val="Char"/>
          <w:rtl/>
        </w:rPr>
        <w:t>ת</w:t>
      </w:r>
      <w:r>
        <w:rPr>
          <w:rtl/>
        </w:rPr>
        <w:t>ָּ</w:t>
      </w:r>
      <w:r>
        <w:rPr>
          <w:rStyle w:val="Char"/>
          <w:rtl/>
        </w:rPr>
        <w:t>א א</w:t>
      </w:r>
      <w:r>
        <w:rPr>
          <w:rtl/>
        </w:rPr>
        <w:t>ִ</w:t>
      </w:r>
      <w:r>
        <w:rPr>
          <w:rStyle w:val="Char"/>
          <w:rtl/>
        </w:rPr>
        <w:t>ס</w:t>
      </w:r>
      <w:r>
        <w:rPr>
          <w:rtl/>
        </w:rPr>
        <w:t>ְ</w:t>
      </w:r>
      <w:r>
        <w:rPr>
          <w:rStyle w:val="Char"/>
          <w:rtl/>
        </w:rPr>
        <w:t>ת</w:t>
      </w:r>
      <w:r>
        <w:rPr>
          <w:rtl/>
        </w:rPr>
        <w:t>ַּ</w:t>
      </w:r>
      <w:r>
        <w:rPr>
          <w:rStyle w:val="Char"/>
          <w:rtl/>
        </w:rPr>
        <w:t>ל</w:t>
      </w:r>
      <w:r>
        <w:rPr>
          <w:rtl/>
        </w:rPr>
        <w:t>ְ</w:t>
      </w:r>
      <w:r>
        <w:rPr>
          <w:rStyle w:val="Char"/>
          <w:rtl/>
        </w:rPr>
        <w:t>ק</w:t>
      </w:r>
      <w:r>
        <w:rPr>
          <w:rtl/>
        </w:rPr>
        <w:t>ָ</w:t>
      </w:r>
      <w:r>
        <w:rPr>
          <w:rStyle w:val="Char"/>
          <w:rtl/>
        </w:rPr>
        <w:t>א ל</w:t>
      </w:r>
      <w:r>
        <w:rPr>
          <w:rtl/>
        </w:rPr>
        <w:t>ְ</w:t>
      </w:r>
      <w:r>
        <w:rPr>
          <w:rStyle w:val="Char"/>
          <w:rtl/>
        </w:rPr>
        <w:t>גַב</w:t>
      </w:r>
      <w:r>
        <w:rPr>
          <w:rtl/>
        </w:rPr>
        <w:t>ֵּ</w:t>
      </w:r>
      <w:r>
        <w:rPr>
          <w:rStyle w:val="Char"/>
          <w:rtl/>
        </w:rPr>
        <w:t xml:space="preserve">יה </w:t>
      </w:r>
      <w:r>
        <w:rPr>
          <w:szCs w:val="23"/>
          <w:rtl/>
        </w:rPr>
        <w:t xml:space="preserve"> </w:t>
      </w:r>
      <w:r>
        <w:rPr>
          <w:rStyle w:val="Char"/>
          <w:rtl/>
        </w:rPr>
        <w:t>הַאי כִּתְרָא אִתְּמַר בָּהּ</w:t>
      </w:r>
      <w:r>
        <w:rPr>
          <w:szCs w:val="23"/>
          <w:rtl/>
        </w:rPr>
        <w:t xml:space="preserve"> </w:t>
      </w:r>
      <w:r>
        <w:rPr>
          <w:sz w:val="20"/>
          <w:szCs w:val="23"/>
          <w:rtl/>
        </w:rPr>
        <w:t>(תהלים קיח כב)</w:t>
      </w:r>
      <w:r>
        <w:rPr>
          <w:rtl/>
        </w:rPr>
        <w:t xml:space="preserve"> אֶבֶן מָאֲסוּ הַבּוֹנִים הָיְתָה לְרֹאשׁ פִּנָּה, וְאִיהִי אַבְנָא דְאִתְגַּזְרַת </w:t>
      </w:r>
      <w:r>
        <w:rPr>
          <w:rStyle w:val="a7"/>
          <w:rtl/>
        </w:rPr>
        <w:footnoteReference w:id="1108"/>
      </w:r>
      <w:r>
        <w:rPr>
          <w:rtl/>
        </w:rPr>
        <w:t xml:space="preserve">דְּלָא בִידַיִן, הֲדָא הוּא דִכְתִיב </w:t>
      </w:r>
      <w:r>
        <w:rPr>
          <w:sz w:val="20"/>
          <w:szCs w:val="23"/>
          <w:rtl/>
        </w:rPr>
        <w:t>(דניאל ב לד)</w:t>
      </w:r>
      <w:r>
        <w:rPr>
          <w:rtl/>
        </w:rPr>
        <w:t xml:space="preserve"> עַד דִּי הִתְגְּזֶרֶת אֶבֶן דִּי לָא בִידַיִן וְגוֹמֵר, וּבְגִין דְּלָא אַשְׁכְּחָן לָהּ אֲתַר מֵאָן אִתְגַּזְרָא, שָׁאֲלִין מַלְאָכַיָּא קַדִּישַׁיָּא אַיֵּה מְקוֹם כְּבוֹדוֹ לְהַעֲרִיצוֹ, וְלָא אַשְׁכְּחִין לָהּ אֲתַר, עַד דְּאָמְרִין בָּרוּךְ כְּבוֹד יְיָ' מִמְּקוֹמוֹ. </w:t>
      </w:r>
    </w:p>
    <w:p w:rsidR="00606298" w:rsidRDefault="00606298" w:rsidP="00B17EA9">
      <w:pPr>
        <w:pStyle w:val="NormalWeb"/>
        <w:rPr>
          <w:rtl/>
        </w:rPr>
      </w:pPr>
      <w:r>
        <w:rPr>
          <w:rtl/>
        </w:rPr>
        <w:t xml:space="preserve">וְהַאי אֶבֶן אִיהִי </w:t>
      </w:r>
      <w:r>
        <w:rPr>
          <w:rStyle w:val="a7"/>
          <w:rtl/>
        </w:rPr>
        <w:footnoteReference w:id="1109"/>
      </w:r>
      <w:r>
        <w:rPr>
          <w:rtl/>
        </w:rPr>
        <w:t xml:space="preserve">סְגוּלַת מְלָכִים, </w:t>
      </w:r>
      <w:r>
        <w:rPr>
          <w:rStyle w:val="a7"/>
          <w:rtl/>
        </w:rPr>
        <w:footnoteReference w:id="1110"/>
      </w:r>
      <w:r>
        <w:rPr>
          <w:rtl/>
        </w:rPr>
        <w:t xml:space="preserve">ואִיהִי שִׂיחַת מַלְאֲכֵי הַשָּׁרֵת, שִׂיחַת חֵיוָן וּשְׂרָפִים וְאוֹפַנִּים, שִׂיחַת כָּל עִלָּאִין וְתַתָּאִין, </w:t>
      </w:r>
      <w:r>
        <w:rPr>
          <w:rStyle w:val="a7"/>
          <w:rtl/>
        </w:rPr>
        <w:footnoteReference w:id="1111"/>
      </w:r>
      <w:r>
        <w:rPr>
          <w:rtl/>
        </w:rPr>
        <w:t xml:space="preserve">יְדִיעַת שִׁמְשָׁא וְסִיהֲרָא בְּעִתִּים, </w:t>
      </w:r>
      <w:r>
        <w:rPr>
          <w:rStyle w:val="a7"/>
          <w:rtl/>
        </w:rPr>
        <w:footnoteReference w:id="1112"/>
      </w:r>
      <w:r>
        <w:rPr>
          <w:rtl/>
        </w:rPr>
        <w:t>עִת וּזְמַן לְכֹלָּא.</w:t>
      </w:r>
    </w:p>
    <w:p w:rsidR="00606298" w:rsidRDefault="00606298" w:rsidP="00B17EA9">
      <w:pPr>
        <w:pStyle w:val="NormalWeb"/>
        <w:rPr>
          <w:rtl/>
        </w:rPr>
      </w:pPr>
      <w:r>
        <w:rPr>
          <w:rStyle w:val="a7"/>
          <w:rtl/>
        </w:rPr>
        <w:footnoteReference w:id="1113"/>
      </w:r>
      <w:r>
        <w:rPr>
          <w:rtl/>
        </w:rPr>
        <w:t xml:space="preserve">כָּל טַעֲמֵי וּנְקוּדֵי וְאַתְוָון כְּלִילָן בָּהּ, </w:t>
      </w:r>
      <w:r>
        <w:rPr>
          <w:rStyle w:val="a7"/>
          <w:rtl/>
        </w:rPr>
        <w:footnoteReference w:id="1114"/>
      </w:r>
      <w:r>
        <w:rPr>
          <w:rtl/>
        </w:rPr>
        <w:t xml:space="preserve">קָלָא דִבּוּר וּמַחֲשָׁבָה, כְּלִילָן בָּהּ, אִיהִי </w:t>
      </w:r>
      <w:r>
        <w:rPr>
          <w:rStyle w:val="a7"/>
          <w:rtl/>
        </w:rPr>
        <w:footnoteReference w:id="1115"/>
      </w:r>
      <w:r>
        <w:rPr>
          <w:rtl/>
        </w:rPr>
        <w:t xml:space="preserve">כֶתֶר תּוֹרָה, וְכֶתֶר כְּהוּנָה, וְכֶתֶר מַלְכוּת, וְאִיהִי תַּגָּא בְּרֵישׁ כָּל אַתְוָון, </w:t>
      </w:r>
      <w:r>
        <w:rPr>
          <w:rStyle w:val="a7"/>
          <w:rtl/>
        </w:rPr>
        <w:footnoteReference w:id="1116"/>
      </w:r>
      <w:r>
        <w:rPr>
          <w:rtl/>
        </w:rPr>
        <w:t xml:space="preserve">כְּגַוְונָא דָא ִשֹׂ, </w:t>
      </w:r>
      <w:r>
        <w:rPr>
          <w:rStyle w:val="a7"/>
          <w:rtl/>
        </w:rPr>
        <w:footnoteReference w:id="1117"/>
      </w:r>
      <w:r>
        <w:rPr>
          <w:rtl/>
        </w:rPr>
        <w:t>וְעַל הַאי אַבְנָא אָמַר רַבִּי עֲקִיבָא לַחֲבֵרָיו, כְּשֶׁתַּגִּיעוּ לְאַבְנֵי שַׁיִשׁ טָהוֹר אַל תֹּאמְרוּ מַיִם מַיִם.</w:t>
      </w:r>
    </w:p>
    <w:p w:rsidR="00606298" w:rsidRDefault="00606298" w:rsidP="00134F53">
      <w:pPr>
        <w:pStyle w:val="2"/>
        <w:rPr>
          <w:rtl/>
        </w:rPr>
      </w:pPr>
      <w:bookmarkStart w:id="84" w:name="_Toc405982935"/>
      <w:r>
        <w:rPr>
          <w:rtl/>
        </w:rPr>
        <w:lastRenderedPageBreak/>
        <w:t>[תיקוני זוהר - דף טז ע''א]</w:t>
      </w:r>
      <w:bookmarkEnd w:id="84"/>
      <w:r>
        <w:rPr>
          <w:rtl/>
        </w:rPr>
        <w:t xml:space="preserve"> </w:t>
      </w:r>
    </w:p>
    <w:p w:rsidR="00606298" w:rsidRDefault="00606298" w:rsidP="00B17EA9">
      <w:pPr>
        <w:pStyle w:val="NormalWeb"/>
        <w:rPr>
          <w:rtl/>
        </w:rPr>
      </w:pPr>
      <w:r>
        <w:rPr>
          <w:rtl/>
        </w:rPr>
        <w:t xml:space="preserve">וְאִיהִי קוֹצָא דְכָל אַתְוָון, </w:t>
      </w:r>
      <w:r>
        <w:rPr>
          <w:rStyle w:val="a7"/>
          <w:rtl/>
        </w:rPr>
        <w:footnoteReference w:id="1118"/>
      </w:r>
      <w:r>
        <w:rPr>
          <w:rtl/>
        </w:rPr>
        <w:t xml:space="preserve">בּ כְּגַוְונָא דָא דּ, </w:t>
      </w:r>
      <w:r>
        <w:rPr>
          <w:sz w:val="20"/>
          <w:szCs w:val="23"/>
          <w:rtl/>
        </w:rPr>
        <w:t xml:space="preserve">(דף טז ע''א) </w:t>
      </w:r>
      <w:r>
        <w:rPr>
          <w:rtl/>
        </w:rPr>
        <w:t xml:space="preserve">קוֹץ דְּכָל אָת וְאָת, </w:t>
      </w:r>
      <w:r>
        <w:rPr>
          <w:rStyle w:val="a7"/>
          <w:rtl/>
        </w:rPr>
        <w:footnoteReference w:id="1119"/>
      </w:r>
      <w:r>
        <w:rPr>
          <w:rtl/>
        </w:rPr>
        <w:t xml:space="preserve">שִׁיעוּר קוֹמָה דִּילְהוֹן ו', </w:t>
      </w:r>
      <w:r>
        <w:rPr>
          <w:rStyle w:val="a7"/>
          <w:rtl/>
        </w:rPr>
        <w:footnoteReference w:id="1120"/>
      </w:r>
      <w:r>
        <w:rPr>
          <w:rtl/>
        </w:rPr>
        <w:t xml:space="preserve">מֵעִילָא לְתַתָּא וּמִתַּתָּא לְעִילָא, </w:t>
      </w:r>
      <w:r>
        <w:rPr>
          <w:rStyle w:val="a7"/>
          <w:rtl/>
        </w:rPr>
        <w:footnoteReference w:id="1121"/>
      </w:r>
      <w:r>
        <w:rPr>
          <w:rtl/>
        </w:rPr>
        <w:t xml:space="preserve">וְרָזָא דְמִלָּה וּלְמִקְצֵה הַשָּׁמַיִם </w:t>
      </w:r>
      <w:r>
        <w:rPr>
          <w:rStyle w:val="a7"/>
          <w:rtl/>
        </w:rPr>
        <w:footnoteReference w:id="1122"/>
      </w:r>
      <w:r>
        <w:rPr>
          <w:rtl/>
        </w:rPr>
        <w:t xml:space="preserve">וְעַד קְצֵה הַשָּׁמָיִם </w:t>
      </w:r>
      <w:r>
        <w:rPr>
          <w:sz w:val="20"/>
          <w:szCs w:val="23"/>
          <w:rtl/>
        </w:rPr>
        <w:t>(דברים ד ג)</w:t>
      </w:r>
      <w:r>
        <w:rPr>
          <w:rtl/>
        </w:rPr>
        <w:t xml:space="preserve">, וְרָזָא דָא לְךָ יְיָ' הַגְּדֻלָּה וְהַגְּבוּרָה וְהַתִּפְאֶרֶת וְגוֹמֵר </w:t>
      </w:r>
      <w:r>
        <w:rPr>
          <w:sz w:val="20"/>
          <w:szCs w:val="23"/>
          <w:rtl/>
        </w:rPr>
        <w:t>(ד''ה א כח)</w:t>
      </w:r>
      <w:r>
        <w:rPr>
          <w:rtl/>
        </w:rPr>
        <w:t>, לְךָ יְיָ' הַמַּמְלָכָה דָא מַלְכוּת, דְּאִיהִי בְּכֹלָא.</w:t>
      </w:r>
    </w:p>
    <w:p w:rsidR="00606298" w:rsidRDefault="00606298" w:rsidP="00B17EA9">
      <w:pPr>
        <w:pStyle w:val="NormalWeb"/>
        <w:rPr>
          <w:rtl/>
        </w:rPr>
      </w:pPr>
      <w:r>
        <w:rPr>
          <w:rtl/>
        </w:rPr>
        <w:t xml:space="preserve">וְאִיהוּ </w:t>
      </w:r>
      <w:r>
        <w:rPr>
          <w:rStyle w:val="a7"/>
          <w:rtl/>
        </w:rPr>
        <w:footnoteReference w:id="1123"/>
      </w:r>
      <w:r>
        <w:rPr>
          <w:rtl/>
        </w:rPr>
        <w:t xml:space="preserve">צִפְצוּף עוֹפִין קַדִּישִׁין, </w:t>
      </w:r>
      <w:r>
        <w:rPr>
          <w:rStyle w:val="a7"/>
          <w:rtl/>
        </w:rPr>
        <w:footnoteReference w:id="1124"/>
      </w:r>
      <w:r>
        <w:rPr>
          <w:rtl/>
        </w:rPr>
        <w:t xml:space="preserve">דְּאִתְּמַר בְּהוֹן </w:t>
      </w:r>
      <w:r>
        <w:rPr>
          <w:sz w:val="20"/>
          <w:szCs w:val="23"/>
          <w:rtl/>
        </w:rPr>
        <w:t>(קהלת י ב)</w:t>
      </w:r>
      <w:r>
        <w:rPr>
          <w:rtl/>
        </w:rPr>
        <w:t xml:space="preserve"> כִּי עוֹף הַשָּׁמַיִם </w:t>
      </w:r>
      <w:r>
        <w:rPr>
          <w:rStyle w:val="a7"/>
          <w:rtl/>
        </w:rPr>
        <w:footnoteReference w:id="1125"/>
      </w:r>
      <w:r>
        <w:rPr>
          <w:rtl/>
        </w:rPr>
        <w:t xml:space="preserve">יוֹלִיךְ אֶת הַקּוֹל, צִפְצוּפָא דְכָל צִפָּרִין דְּאִינוּן נִשְׁמָתִין קַדִּישִׁין, דִּמְצַפְצְפִין בְּכַמָּה צְלוֹתִין, שִׂיחַת חֵיוָון </w:t>
      </w:r>
      <w:r>
        <w:rPr>
          <w:rStyle w:val="a7"/>
          <w:rtl/>
        </w:rPr>
        <w:footnoteReference w:id="1126"/>
      </w:r>
      <w:r>
        <w:rPr>
          <w:rtl/>
        </w:rPr>
        <w:t xml:space="preserve">דְּאִינוּן ת''ח, </w:t>
      </w:r>
      <w:r>
        <w:rPr>
          <w:rStyle w:val="a7"/>
          <w:rtl/>
        </w:rPr>
        <w:footnoteReference w:id="1127"/>
      </w:r>
      <w:r>
        <w:rPr>
          <w:rtl/>
        </w:rPr>
        <w:t xml:space="preserve">וּבְגִינָהּ אִתְּמַר </w:t>
      </w:r>
      <w:r>
        <w:rPr>
          <w:sz w:val="20"/>
          <w:szCs w:val="23"/>
          <w:rtl/>
        </w:rPr>
        <w:t>(בראשית כד סג)</w:t>
      </w:r>
      <w:r>
        <w:rPr>
          <w:rtl/>
        </w:rPr>
        <w:t xml:space="preserve"> וַיֵּצֵא יִצְחָק לָשׂוּחַ בַּשָּׂדֶה וגו', וְלֵית שִׂיחָה אֶלָּא צְלוֹתָא.</w:t>
      </w:r>
    </w:p>
    <w:p w:rsidR="00606298" w:rsidRDefault="00606298" w:rsidP="00B17EA9">
      <w:pPr>
        <w:pStyle w:val="NormalWeb"/>
        <w:rPr>
          <w:rtl/>
        </w:rPr>
      </w:pPr>
      <w:r>
        <w:rPr>
          <w:rtl/>
        </w:rPr>
        <w:t xml:space="preserve">וּבְגִינָהּ אִתְּמַר תְּפִלַּת שַׁחֲרִית חוֹבָה, </w:t>
      </w:r>
      <w:r>
        <w:rPr>
          <w:rStyle w:val="a7"/>
          <w:rtl/>
        </w:rPr>
        <w:footnoteReference w:id="1128"/>
      </w:r>
      <w:r>
        <w:rPr>
          <w:rtl/>
        </w:rPr>
        <w:t xml:space="preserve">תְּפִלַּת עַרְבִית רְשׁוּת, דְּאִיהוּ רְשׁוּ דְלַיְלָה בִּפְנֵי עַצְמָהּ, </w:t>
      </w:r>
      <w:r>
        <w:rPr>
          <w:rStyle w:val="a7"/>
          <w:rtl/>
        </w:rPr>
        <w:footnoteReference w:id="1129"/>
      </w:r>
      <w:r>
        <w:rPr>
          <w:rtl/>
        </w:rPr>
        <w:t>וּבְגִין דָּא לֵית לָהּ קְבִיעוּת בַּלַּיְלָא דְדַמְיָא לְגָלוּתָא, אֶלָּא זִמְנִין אִשְׁתַּכְּחַת תַּמָּן וְזִמְנִין לָא אִשְׁתַּכְּחַת.</w:t>
      </w:r>
    </w:p>
    <w:p w:rsidR="00606298" w:rsidRDefault="00606298" w:rsidP="00B17EA9">
      <w:pPr>
        <w:pStyle w:val="NormalWeb"/>
        <w:rPr>
          <w:rtl/>
        </w:rPr>
      </w:pPr>
      <w:r>
        <w:rPr>
          <w:rStyle w:val="a7"/>
          <w:rtl/>
        </w:rPr>
        <w:footnoteReference w:id="1130"/>
      </w:r>
      <w:r>
        <w:rPr>
          <w:rtl/>
        </w:rPr>
        <w:t xml:space="preserve">זַכָּאָה אִיהוּ מָאן דְּפָגַע בָּהּ, </w:t>
      </w:r>
      <w:r>
        <w:rPr>
          <w:rStyle w:val="a7"/>
          <w:rtl/>
        </w:rPr>
        <w:footnoteReference w:id="1131"/>
      </w:r>
      <w:r>
        <w:rPr>
          <w:rtl/>
        </w:rPr>
        <w:t xml:space="preserve">כְּגוֹן יַעֲקֹב דְּאִתְּמַר בֵּיהּ </w:t>
      </w:r>
      <w:r>
        <w:rPr>
          <w:sz w:val="20"/>
          <w:szCs w:val="23"/>
          <w:rtl/>
        </w:rPr>
        <w:t>(שם כח יא)</w:t>
      </w:r>
      <w:r>
        <w:rPr>
          <w:rtl/>
        </w:rPr>
        <w:t xml:space="preserve"> </w:t>
      </w:r>
      <w:r>
        <w:rPr>
          <w:rStyle w:val="a7"/>
          <w:rtl/>
        </w:rPr>
        <w:footnoteReference w:id="1132"/>
      </w:r>
      <w:r>
        <w:rPr>
          <w:rtl/>
        </w:rPr>
        <w:t xml:space="preserve">וַיִּפְגַּע בַּמָּקוֹם </w:t>
      </w:r>
      <w:r>
        <w:rPr>
          <w:rStyle w:val="a7"/>
          <w:rtl/>
        </w:rPr>
        <w:footnoteReference w:id="1133"/>
      </w:r>
      <w:r>
        <w:rPr>
          <w:rtl/>
        </w:rPr>
        <w:t xml:space="preserve">וַיָּלֶן שָׁם כִּי בָא הַשֶּׁמֶשׁ, עַד דְּאָתָא בַעְלָהּ וְנָטִיר לָהּ, וּבַת תַּמָּן עִמָּהּ, </w:t>
      </w:r>
      <w:r>
        <w:rPr>
          <w:rStyle w:val="a7"/>
          <w:rtl/>
        </w:rPr>
        <w:footnoteReference w:id="1134"/>
      </w:r>
      <w:r>
        <w:rPr>
          <w:rtl/>
        </w:rPr>
        <w:t>מִתַּמָּן וְאֵילֵךְ קְבָעוּהָ חוֹבָה.</w:t>
      </w:r>
    </w:p>
    <w:p w:rsidR="00606298" w:rsidRDefault="00606298" w:rsidP="00B17EA9">
      <w:pPr>
        <w:pStyle w:val="NormalWeb"/>
        <w:rPr>
          <w:rtl/>
        </w:rPr>
      </w:pPr>
      <w:r>
        <w:rPr>
          <w:rtl/>
        </w:rPr>
        <w:t xml:space="preserve">אֲבָל בְּשַׁבָּת אִיהִי רְשׁוּת הַיָּחִיד, דְּאִיהִי בִרְשׁוּתָא דְבַעְלָהּ, וְלַאו כְּגַוְונָא דְלֵילְיָא דַהֲוַת יְחִידָה בִרְשׁוּתָא דִילָהּ, הֲדָא הוּא דִכְתִיב </w:t>
      </w:r>
      <w:r>
        <w:rPr>
          <w:sz w:val="20"/>
          <w:szCs w:val="23"/>
          <w:rtl/>
        </w:rPr>
        <w:t>(איכה א)</w:t>
      </w:r>
      <w:r>
        <w:rPr>
          <w:rtl/>
        </w:rPr>
        <w:t xml:space="preserve"> אֵיכָה יָשְׁבָה בָדָד.</w:t>
      </w:r>
    </w:p>
    <w:p w:rsidR="00606298" w:rsidRDefault="00606298" w:rsidP="00B17EA9">
      <w:pPr>
        <w:pStyle w:val="NormalWeb"/>
        <w:rPr>
          <w:rtl/>
        </w:rPr>
      </w:pPr>
      <w:r>
        <w:rPr>
          <w:rtl/>
        </w:rPr>
        <w:t xml:space="preserve">וְיַעֲקֹב בְּגִין דְּקָרִיב לָהּ לְבַעְלָהּ בִּפְגִיעָה דִילֵיהּ, וַדַּאי עֲבִיד לָהּ חוֹבָה, וְכַד אָתָא שִׁמְשָׁא בְשַׁחֲרִית, דְּאִתְּמַר בֵּיהּ </w:t>
      </w:r>
      <w:r>
        <w:rPr>
          <w:sz w:val="20"/>
          <w:szCs w:val="23"/>
          <w:rtl/>
        </w:rPr>
        <w:t>(תהלים פד יב)</w:t>
      </w:r>
      <w:r>
        <w:rPr>
          <w:rtl/>
        </w:rPr>
        <w:t xml:space="preserve"> כִּי שֶׁמֶשׁ וּמָגֵן יְיָ' אלהי''ם, </w:t>
      </w:r>
      <w:r>
        <w:rPr>
          <w:rStyle w:val="a7"/>
          <w:rtl/>
        </w:rPr>
        <w:footnoteReference w:id="1135"/>
      </w:r>
      <w:r>
        <w:rPr>
          <w:rtl/>
        </w:rPr>
        <w:t xml:space="preserve">אִתְּמַר בֵּיהּ </w:t>
      </w:r>
      <w:r>
        <w:rPr>
          <w:sz w:val="20"/>
          <w:szCs w:val="23"/>
          <w:rtl/>
        </w:rPr>
        <w:t>(בראשית לב לב)</w:t>
      </w:r>
      <w:r>
        <w:rPr>
          <w:rtl/>
        </w:rPr>
        <w:t xml:space="preserve"> וַיִּזְרַח לוֹ הַשֶּׁמֶשׁ, </w:t>
      </w:r>
      <w:r>
        <w:rPr>
          <w:rStyle w:val="a7"/>
          <w:rtl/>
        </w:rPr>
        <w:footnoteReference w:id="1136"/>
      </w:r>
      <w:r>
        <w:rPr>
          <w:rtl/>
        </w:rPr>
        <w:t xml:space="preserve">מִתַּמָּן וְאֵילֵךְ </w:t>
      </w:r>
      <w:r>
        <w:rPr>
          <w:rStyle w:val="a7"/>
          <w:rtl/>
        </w:rPr>
        <w:lastRenderedPageBreak/>
        <w:footnoteReference w:id="1137"/>
      </w:r>
      <w:r>
        <w:rPr>
          <w:rtl/>
        </w:rPr>
        <w:t xml:space="preserve">קָשַׁר לָהּ עִמֵּיהּ, דְּאִיהוּ קֶשֶׁר דִּתְּפִלִּין דְּיָד, קָשִׁיר לָהּ עִמֵּיהּ דְּלָא תָּזוּז מִינֵיהּ לְעָלְמִין, </w:t>
      </w:r>
      <w:r>
        <w:rPr>
          <w:rStyle w:val="a7"/>
          <w:rtl/>
        </w:rPr>
        <w:footnoteReference w:id="1138"/>
      </w:r>
      <w:r>
        <w:rPr>
          <w:rtl/>
        </w:rPr>
        <w:t xml:space="preserve">מִסִּטְרָא דִשְׂמָאלָא קָשִׁיר לָהּ בִּתְפִלִּין דְּיָד, דְּאִינוּן בִּדְרוֹעָא שְׂמָאלָא, מִסִּטְרָא דִימִינָא שַׁוִּי לָהּ כִּתְרָא עַל רֵישֵׁיהּ, תְּפִלִּין דְּרֵישָׁא, וְהַאי בְּיוֹמָא דְאִיהִי קְשִׁירָא עִם בַּעְלָהּ, אִתְּמַר בָּהּ </w:t>
      </w:r>
      <w:r>
        <w:rPr>
          <w:rStyle w:val="a7"/>
          <w:rtl/>
        </w:rPr>
        <w:footnoteReference w:id="1139"/>
      </w:r>
      <w:r>
        <w:rPr>
          <w:rtl/>
        </w:rPr>
        <w:t xml:space="preserve">יְשַׁחֲרוּנְנִי </w:t>
      </w:r>
      <w:r>
        <w:rPr>
          <w:rStyle w:val="a7"/>
          <w:rtl/>
        </w:rPr>
        <w:footnoteReference w:id="1140"/>
      </w:r>
      <w:r>
        <w:rPr>
          <w:rtl/>
        </w:rPr>
        <w:t xml:space="preserve">וְאָז יִמְצָאוּנְנִי, אֲבָל בְּלֵילְיָא דְאִיהִי גָלוּתָא, דְּאִיהִי לְבַר מִבַּעְלָהּ, וְאִיהִי רְשׁוּת בִּפְנֵי עַצְמָהּ, אִתְּמַר בָּהּ </w:t>
      </w:r>
      <w:r>
        <w:rPr>
          <w:rStyle w:val="a7"/>
          <w:rtl/>
        </w:rPr>
        <w:footnoteReference w:id="1141"/>
      </w:r>
      <w:r>
        <w:rPr>
          <w:rtl/>
        </w:rPr>
        <w:t xml:space="preserve">אַל תִּתְוַדַּע לָרָשׁוּת, וּבְגִין דָּא אָמַר דָּוִד </w:t>
      </w:r>
      <w:r>
        <w:rPr>
          <w:sz w:val="20"/>
          <w:szCs w:val="23"/>
          <w:rtl/>
        </w:rPr>
        <w:t>(תהלים קלב ד)</w:t>
      </w:r>
      <w:r>
        <w:rPr>
          <w:rtl/>
        </w:rPr>
        <w:t xml:space="preserve"> אִם אֶתֵּן שְׁנָת לְעִינָי וְגוֹמֵר </w:t>
      </w:r>
      <w:r>
        <w:rPr>
          <w:rStyle w:val="a7"/>
          <w:rtl/>
        </w:rPr>
        <w:footnoteReference w:id="1142"/>
      </w:r>
      <w:r>
        <w:rPr>
          <w:rtl/>
        </w:rPr>
        <w:t>עַד אֶמְצָא מָקוֹם לַייָ.</w:t>
      </w:r>
    </w:p>
    <w:p w:rsidR="00606298" w:rsidRDefault="00606298" w:rsidP="00B17EA9">
      <w:pPr>
        <w:pStyle w:val="NormalWeb"/>
        <w:rPr>
          <w:rtl/>
        </w:rPr>
      </w:pPr>
      <w:r>
        <w:rPr>
          <w:rtl/>
        </w:rPr>
        <w:t xml:space="preserve">עַד כַּאן רָזָא דְקָמֵ''ץ, דְּאִיהוּ רָזָא </w:t>
      </w:r>
      <w:r>
        <w:rPr>
          <w:rStyle w:val="a7"/>
          <w:rtl/>
        </w:rPr>
        <w:footnoteReference w:id="1143"/>
      </w:r>
      <w:r>
        <w:rPr>
          <w:rtl/>
        </w:rPr>
        <w:t xml:space="preserve">דְמַחֲשָׁבָה עִלָּאָה וְתַתָּאָה </w:t>
      </w:r>
      <w:r>
        <w:rPr>
          <w:sz w:val="20"/>
          <w:szCs w:val="23"/>
          <w:rtl/>
        </w:rPr>
        <w:t>(נ''א עילא ותתא)</w:t>
      </w:r>
      <w:r>
        <w:rPr>
          <w:rtl/>
        </w:rPr>
        <w:t xml:space="preserve">, </w:t>
      </w:r>
      <w:r>
        <w:rPr>
          <w:rStyle w:val="a7"/>
          <w:rtl/>
        </w:rPr>
        <w:footnoteReference w:id="1144"/>
      </w:r>
      <w:r>
        <w:rPr>
          <w:rtl/>
        </w:rPr>
        <w:t xml:space="preserve">דְּאִיהִי נְקוּדָה בִּרְשׁוּת בַּעְלָהּ דְּאִיהוּ ו' רָקִיעַ, וּפַתַ''ח בְּלָא נְקוּדָה רְשׁוּ בִּפְנֵי עַצְמוֹ, וּנְקוּדָה בְּלָא פַּתַ''ח רְשׁוּ בִפְנֵי עַצְמָהּ, </w:t>
      </w:r>
      <w:r>
        <w:rPr>
          <w:rStyle w:val="a7"/>
          <w:rtl/>
        </w:rPr>
        <w:footnoteReference w:id="1145"/>
      </w:r>
      <w:r>
        <w:rPr>
          <w:rtl/>
        </w:rPr>
        <w:t xml:space="preserve">דִּכְּמָה דְאַתְוָון אִינוּן דְּכַר וְנוּקְבָא, הָכִי נְקוּדִין אִינוּן דְּכַר וְנוּקְבָא, </w:t>
      </w:r>
      <w:r>
        <w:rPr>
          <w:rStyle w:val="a7"/>
          <w:rtl/>
        </w:rPr>
        <w:footnoteReference w:id="1146"/>
      </w:r>
      <w:r>
        <w:rPr>
          <w:rtl/>
        </w:rPr>
        <w:t xml:space="preserve">אֲבָל אַתְוָון אִנְהוּ לְגַבֵּי נְקוּדֵי כְּגוֹן גּוּפָא לְגַבֵּי רוּחָא, </w:t>
      </w:r>
      <w:r>
        <w:rPr>
          <w:rStyle w:val="a7"/>
          <w:rtl/>
        </w:rPr>
        <w:footnoteReference w:id="1147"/>
      </w:r>
      <w:r>
        <w:rPr>
          <w:rtl/>
        </w:rPr>
        <w:t xml:space="preserve">וְכֵן נְקוּדָה בְּו', כְּגוֹן חֹלֵ''ם אוֹ חִירֵ''ק אוֹ שׁוּרֵק, </w:t>
      </w:r>
      <w:r>
        <w:rPr>
          <w:rStyle w:val="a7"/>
          <w:rtl/>
        </w:rPr>
        <w:footnoteReference w:id="1148"/>
      </w:r>
      <w:r>
        <w:rPr>
          <w:rtl/>
        </w:rPr>
        <w:t xml:space="preserve">חֹלֵם לְעִילָא מִן ו' אִתְעֲבִיד ז', </w:t>
      </w:r>
      <w:r>
        <w:rPr>
          <w:rStyle w:val="a7"/>
          <w:rtl/>
        </w:rPr>
        <w:footnoteReference w:id="1149"/>
      </w:r>
      <w:r>
        <w:rPr>
          <w:rtl/>
        </w:rPr>
        <w:t xml:space="preserve">חִירֵ''ק לְתַתָּא אִתְעֲבִיד זָנָב גִּימַ''ל, </w:t>
      </w:r>
      <w:r>
        <w:rPr>
          <w:rStyle w:val="a7"/>
          <w:rtl/>
        </w:rPr>
        <w:footnoteReference w:id="1150"/>
      </w:r>
      <w:r>
        <w:rPr>
          <w:rtl/>
        </w:rPr>
        <w:t xml:space="preserve">שׁוּרֵק בְּאֶמְצָעִיתָא קוֹצָא דְאָת ד' </w:t>
      </w:r>
      <w:r>
        <w:rPr>
          <w:rStyle w:val="a7"/>
          <w:rtl/>
        </w:rPr>
        <w:footnoteReference w:id="1151"/>
      </w:r>
      <w:r>
        <w:rPr>
          <w:rtl/>
        </w:rPr>
        <w:t xml:space="preserve">קוֹצָא בְּאֶמְצָעִיתָא, </w:t>
      </w:r>
      <w:r>
        <w:rPr>
          <w:rStyle w:val="a7"/>
          <w:rtl/>
        </w:rPr>
        <w:footnoteReference w:id="1152"/>
      </w:r>
      <w:r>
        <w:rPr>
          <w:rtl/>
        </w:rPr>
        <w:t xml:space="preserve">וְכֹלָּא חָד, אֲנִי רִאשׁוֹן וַאֲנִי אַחֲרוֹן וּמִבַּלְעָדַי אֵין אלהי''ם </w:t>
      </w:r>
      <w:r>
        <w:rPr>
          <w:sz w:val="20"/>
          <w:szCs w:val="23"/>
          <w:rtl/>
        </w:rPr>
        <w:t>(ישעיהו מד ו)</w:t>
      </w:r>
      <w:r>
        <w:rPr>
          <w:rtl/>
        </w:rPr>
        <w:t>.</w:t>
      </w:r>
    </w:p>
    <w:p w:rsidR="00606298" w:rsidRDefault="00606298" w:rsidP="00B17EA9">
      <w:pPr>
        <w:pStyle w:val="NormalWeb"/>
        <w:rPr>
          <w:rtl/>
        </w:rPr>
      </w:pPr>
      <w:r>
        <w:rPr>
          <w:rtl/>
        </w:rPr>
        <w:t xml:space="preserve">שְׁבָ''א מָאן אִיהוּ, כַּאֲשֶׁר יִהְיֶה הָאוֹפַן בְּתוֹךְ הָאוֹפָן, וְאִינוּן אֶת הַמָּאוֹר הַגָּדוֹל וְאֶת הַמָּאוֹר הַקָּטֹן, וְאִינוּן גּוּף וּבְרִית, </w:t>
      </w:r>
      <w:r>
        <w:rPr>
          <w:rStyle w:val="a7"/>
          <w:rtl/>
        </w:rPr>
        <w:footnoteReference w:id="1153"/>
      </w:r>
      <w:r>
        <w:rPr>
          <w:rtl/>
        </w:rPr>
        <w:t>וּלְקִבְלַיְיהוּ חַמָּה וּלְבָנָה, דְאִינוּן לָקֳבֵל אִימָּא עִלָּאָה וְתַתָּאָה.</w:t>
      </w:r>
    </w:p>
    <w:p w:rsidR="00606298" w:rsidRDefault="00606298" w:rsidP="00B17EA9">
      <w:pPr>
        <w:pStyle w:val="NormalWeb"/>
        <w:rPr>
          <w:rtl/>
        </w:rPr>
      </w:pPr>
      <w:r>
        <w:rPr>
          <w:rtl/>
        </w:rPr>
        <w:t xml:space="preserve">וְהִנֵּה אוֹפַן אֶחָד בָּאָרֶץ אֵצֶל הַחַיּוֹת </w:t>
      </w:r>
      <w:r>
        <w:rPr>
          <w:sz w:val="20"/>
          <w:szCs w:val="23"/>
          <w:rtl/>
        </w:rPr>
        <w:t>(יחזקאל א טו)</w:t>
      </w:r>
      <w:r>
        <w:rPr>
          <w:rtl/>
        </w:rPr>
        <w:t xml:space="preserve">, דָּא נְקוּדָה דִתְחוֹת סֶגוֹ''ל נְקוּדָה חִירֵ''ק דִלְתַתָּא, אֵצֶל הַחַיּוֹת </w:t>
      </w:r>
      <w:r>
        <w:rPr>
          <w:rStyle w:val="a7"/>
          <w:rtl/>
        </w:rPr>
        <w:footnoteReference w:id="1154"/>
      </w:r>
      <w:r>
        <w:rPr>
          <w:rtl/>
        </w:rPr>
        <w:t>דְּאִינוּן צֵרִ''י, אֶת שְׁנֵי הַמְּאוֹרוֹת הַגְּדוֹלִים.</w:t>
      </w:r>
    </w:p>
    <w:p w:rsidR="00606298" w:rsidRDefault="00606298" w:rsidP="00B17EA9">
      <w:pPr>
        <w:pStyle w:val="NormalWeb"/>
        <w:rPr>
          <w:rtl/>
        </w:rPr>
      </w:pPr>
      <w:r>
        <w:rPr>
          <w:rtl/>
        </w:rPr>
        <w:t xml:space="preserve">וְכֵן אִיהוּ בְּתוֹךְ הָאוֹפַנִּים </w:t>
      </w:r>
      <w:r>
        <w:rPr>
          <w:rStyle w:val="a7"/>
          <w:rtl/>
        </w:rPr>
        <w:footnoteReference w:id="1155"/>
      </w:r>
      <w:r>
        <w:rPr>
          <w:rtl/>
        </w:rPr>
        <w:t xml:space="preserve">שׁוּרֵ''ק, אוֹפַן חַד לְעִילָא וְאוֹפַן חַד לְתַתָּא, וְאִיהוּ עַמּוּדָא דְאֶמְצָעִיתָא בֵינַיְיהוּ, </w:t>
      </w:r>
      <w:r>
        <w:rPr>
          <w:rStyle w:val="a7"/>
          <w:rtl/>
        </w:rPr>
        <w:footnoteReference w:id="1156"/>
      </w:r>
      <w:r>
        <w:rPr>
          <w:rtl/>
        </w:rPr>
        <w:t xml:space="preserve">וְהִנֵּה אוֹפַן אֶחָד בָּאָרֶץ דָּא חִירֵק דְּאִיהוּ לְתַתָּא, </w:t>
      </w:r>
      <w:r>
        <w:rPr>
          <w:rStyle w:val="a7"/>
          <w:rtl/>
        </w:rPr>
        <w:footnoteReference w:id="1157"/>
      </w:r>
      <w:r>
        <w:rPr>
          <w:rtl/>
        </w:rPr>
        <w:t>כָּל נִיצוֹץ אִיהוּ י', וְכָל רָקִיעַ ו'.</w:t>
      </w:r>
    </w:p>
    <w:p w:rsidR="00606298" w:rsidRDefault="00606298" w:rsidP="00134F53">
      <w:pPr>
        <w:pStyle w:val="2"/>
        <w:rPr>
          <w:rtl/>
        </w:rPr>
      </w:pPr>
      <w:bookmarkStart w:id="85" w:name="_Toc405982936"/>
      <w:r>
        <w:rPr>
          <w:rtl/>
        </w:rPr>
        <w:lastRenderedPageBreak/>
        <w:t>[תיקוני זוהר - דף טז ע''ב]</w:t>
      </w:r>
      <w:bookmarkEnd w:id="85"/>
    </w:p>
    <w:p w:rsidR="00606298" w:rsidRDefault="00606298" w:rsidP="00B17EA9">
      <w:pPr>
        <w:pStyle w:val="NormalWeb"/>
        <w:rPr>
          <w:rtl/>
        </w:rPr>
      </w:pPr>
      <w:r>
        <w:rPr>
          <w:rStyle w:val="a7"/>
          <w:rtl/>
        </w:rPr>
        <w:footnoteReference w:id="1158"/>
      </w:r>
      <w:r>
        <w:rPr>
          <w:rtl/>
        </w:rPr>
        <w:t xml:space="preserve">יְהָו''ה שְׁבָ''א אִיהוּ דִינָא, קָמֵ''ץ רַחֲמֵי, שְׂמָאלָא וִימִינָא, </w:t>
      </w:r>
      <w:r>
        <w:rPr>
          <w:rStyle w:val="a7"/>
          <w:rtl/>
        </w:rPr>
        <w:footnoteReference w:id="1159"/>
      </w:r>
      <w:r>
        <w:rPr>
          <w:rtl/>
        </w:rPr>
        <w:t xml:space="preserve">דְמִתַּמָּן אוֹרַיְיתָא אִתְיַיהִיב דְּאִיהוּ עַמּוּדָא </w:t>
      </w:r>
      <w:r>
        <w:rPr>
          <w:sz w:val="20"/>
          <w:szCs w:val="23"/>
          <w:rtl/>
        </w:rPr>
        <w:t xml:space="preserve">(דף טז ע"ב) </w:t>
      </w:r>
      <w:r>
        <w:rPr>
          <w:rtl/>
        </w:rPr>
        <w:t xml:space="preserve">דְאֶמְצָעִיתָא, וּבְזִמְנָא דְאִינוּן שְׁבָ''א קָמֵ''ץ חֹלֵ''ם, אִיהוּ רָמוּז כִּי בִי חָשַׁ''ק וַאֲפַלְּטֵהוּ, רַק </w:t>
      </w:r>
      <w:r>
        <w:rPr>
          <w:rStyle w:val="a7"/>
          <w:rtl/>
        </w:rPr>
        <w:footnoteReference w:id="1160"/>
      </w:r>
      <w:r>
        <w:rPr>
          <w:rtl/>
        </w:rPr>
        <w:t>בַּאֲבוֹתֶיךָ חָשַׁ''ק יְיָ'.</w:t>
      </w:r>
    </w:p>
    <w:p w:rsidR="00606298" w:rsidRDefault="00606298" w:rsidP="00B17EA9">
      <w:pPr>
        <w:pStyle w:val="NormalWeb"/>
        <w:rPr>
          <w:rtl/>
        </w:rPr>
      </w:pPr>
      <w:r>
        <w:rPr>
          <w:rStyle w:val="a7"/>
          <w:rtl/>
        </w:rPr>
        <w:footnoteReference w:id="1161"/>
      </w:r>
      <w:r>
        <w:rPr>
          <w:rtl/>
        </w:rPr>
        <w:t xml:space="preserve">מִסִּטְרָא דְא' דְּאִיהוּ יו''י דְּסָלִיק יהו''ה, הֲוָה קוּדְשָׁא בְּרִיךְ הוּא הוּא וּשְׁמֵיהּ לְחוֹד בְּכִתְרָא, קֳדָם דְּאִתְבְּרֵי עָלְמָא, עַד דְּסָלִיק בְּמַחֲשַׁבְתֵּיהּ לְמִבְרֵי אָדָם, </w:t>
      </w:r>
      <w:r>
        <w:rPr>
          <w:rStyle w:val="a7"/>
          <w:rtl/>
        </w:rPr>
        <w:footnoteReference w:id="1162"/>
      </w:r>
      <w:r>
        <w:rPr>
          <w:rtl/>
        </w:rPr>
        <w:t xml:space="preserve">דְּאִיהִי </w:t>
      </w:r>
      <w:r>
        <w:rPr>
          <w:rStyle w:val="a7"/>
          <w:rtl/>
        </w:rPr>
        <w:footnoteReference w:id="1163"/>
      </w:r>
      <w:r>
        <w:rPr>
          <w:rtl/>
        </w:rPr>
        <w:t xml:space="preserve">י' בְּרֵישָׁא דְא', תַּגָּא לְעִילָא, וּלְתַתָּא נְקוּדָה, וּבִנְקוּדֵי דְאַתְוָון </w:t>
      </w:r>
      <w:r>
        <w:rPr>
          <w:rStyle w:val="a7"/>
          <w:rtl/>
        </w:rPr>
        <w:footnoteReference w:id="1164"/>
      </w:r>
      <w:r>
        <w:rPr>
          <w:rtl/>
        </w:rPr>
        <w:t xml:space="preserve">אִשְׁתְּמוֹדְעָאן כָּל סְפִירָן, </w:t>
      </w:r>
      <w:r>
        <w:rPr>
          <w:rStyle w:val="a7"/>
          <w:rtl/>
        </w:rPr>
        <w:footnoteReference w:id="1165"/>
      </w:r>
      <w:r>
        <w:rPr>
          <w:rtl/>
        </w:rPr>
        <w:t xml:space="preserve">דְּתֵשַׁע נְקוּדֵי אִינוּן, וּבְהוֹן י''ד נִיצוֹצִין, וַעֲלַיְהוּ אִתְּמַר </w:t>
      </w:r>
      <w:r>
        <w:rPr>
          <w:sz w:val="20"/>
          <w:szCs w:val="23"/>
          <w:rtl/>
        </w:rPr>
        <w:t>(שמות יד כח)</w:t>
      </w:r>
      <w:r>
        <w:rPr>
          <w:rtl/>
        </w:rPr>
        <w:t xml:space="preserve"> וּבְנֵי יִשְׂרָאֵל יוֹצְאִים </w:t>
      </w:r>
      <w:r>
        <w:rPr>
          <w:rStyle w:val="a7"/>
          <w:rtl/>
        </w:rPr>
        <w:footnoteReference w:id="1166"/>
      </w:r>
      <w:r>
        <w:rPr>
          <w:rtl/>
        </w:rPr>
        <w:t xml:space="preserve">בְּיָ''ד רָמָה, וְאִינוּן לָקֳבֵל פִּרְקִין דְה' אֶצְבְּעָן דְּאִינוּן י''ד, וּתְרֵין רְקִיעִין תַּמָּן, חַד מִן קָמֵ''ץ וְחַד מִן פַּתַ''ח, לָקֳבֵל תְּרֵין קָנֵי דִדְרוֹעִי, וְכָל נִיצוֹץ </w:t>
      </w:r>
      <w:r>
        <w:rPr>
          <w:rStyle w:val="a7"/>
          <w:rtl/>
        </w:rPr>
        <w:footnoteReference w:id="1167"/>
      </w:r>
      <w:r>
        <w:rPr>
          <w:rtl/>
        </w:rPr>
        <w:t xml:space="preserve">אִיהוּ פֶּרֶק, וְאִיהוּ </w:t>
      </w:r>
      <w:r>
        <w:rPr>
          <w:rStyle w:val="a7"/>
          <w:rtl/>
        </w:rPr>
        <w:footnoteReference w:id="1168"/>
      </w:r>
      <w:r>
        <w:rPr>
          <w:rtl/>
        </w:rPr>
        <w:t xml:space="preserve">מִדָּה, וְרָקִיעַ </w:t>
      </w:r>
      <w:r>
        <w:rPr>
          <w:rStyle w:val="a7"/>
          <w:rtl/>
        </w:rPr>
        <w:footnoteReference w:id="1169"/>
      </w:r>
      <w:r>
        <w:rPr>
          <w:rtl/>
        </w:rPr>
        <w:t xml:space="preserve">אַמָּה, </w:t>
      </w:r>
      <w:r>
        <w:rPr>
          <w:rStyle w:val="a7"/>
          <w:rtl/>
        </w:rPr>
        <w:footnoteReference w:id="1170"/>
      </w:r>
      <w:r>
        <w:rPr>
          <w:rtl/>
        </w:rPr>
        <w:t>וְקָנֶה, וְקַו הַמִּדָּה.</w:t>
      </w:r>
    </w:p>
    <w:p w:rsidR="00606298" w:rsidRDefault="00606298" w:rsidP="00B17EA9">
      <w:pPr>
        <w:pStyle w:val="NormalWeb"/>
        <w:rPr>
          <w:rtl/>
        </w:rPr>
      </w:pPr>
      <w:r>
        <w:rPr>
          <w:rtl/>
        </w:rPr>
        <w:t xml:space="preserve">טַעֲמֵי אִינוּן מִן כִּתְרָא, וְאִינוּן בְּרֵישָׁא דְעַמּוּדָא דְאֶמְצָעִיתָא, נְקוּדִין מִן מוֹחָא, וְאִינוּן בִּרְכָאָן עַל רֵישָׁא דְצַדִּיק, כְּמָה דְאַתְּ אָמַר </w:t>
      </w:r>
      <w:r>
        <w:rPr>
          <w:sz w:val="20"/>
          <w:szCs w:val="23"/>
          <w:rtl/>
        </w:rPr>
        <w:t>(משלי י ו)</w:t>
      </w:r>
      <w:r>
        <w:rPr>
          <w:rtl/>
        </w:rPr>
        <w:t xml:space="preserve"> בְּרָכוֹת לְרֹאשׁ צַדִּיק, </w:t>
      </w:r>
      <w:r>
        <w:rPr>
          <w:rStyle w:val="a7"/>
          <w:rtl/>
        </w:rPr>
        <w:footnoteReference w:id="1171"/>
      </w:r>
      <w:r>
        <w:rPr>
          <w:rtl/>
        </w:rPr>
        <w:t xml:space="preserve">וְאִינוּן תְּלַת טִפִּין דְּאִתְמַשְׁכוּ מִן מוֹחָא לְגַבֵּי בְּרִית מִילָה, אַתְוָון מִסִּטְרָא דְאִימָּא עִלָּאָה, </w:t>
      </w:r>
      <w:r>
        <w:rPr>
          <w:rStyle w:val="a7"/>
          <w:rtl/>
        </w:rPr>
        <w:footnoteReference w:id="1172"/>
      </w:r>
      <w:r>
        <w:rPr>
          <w:rtl/>
        </w:rPr>
        <w:t xml:space="preserve">וְכֻלְּהוּ אִתְכְּלִילָן בְּמַלְכוּתָא, וּנְקוּדֵי לְאַתְוָון כְּנִשְׁמָתָא לְגוּפָא, דְּגוּפָא אִיהוּ כְּסוּס לָרוֹכֵב, וְאַתְוָון אִינוּן פְּתִיחִין לִנְקוּדֵי לְקַבְּלָא לוֹן, </w:t>
      </w:r>
      <w:r>
        <w:rPr>
          <w:rStyle w:val="a7"/>
          <w:rtl/>
        </w:rPr>
        <w:footnoteReference w:id="1173"/>
      </w:r>
      <w:r>
        <w:rPr>
          <w:rtl/>
        </w:rPr>
        <w:t xml:space="preserve">וַעֲלַיְיהוּ אִתְּמַר </w:t>
      </w:r>
      <w:r>
        <w:rPr>
          <w:sz w:val="20"/>
          <w:szCs w:val="23"/>
          <w:rtl/>
        </w:rPr>
        <w:t>(יחזקאל א יא)</w:t>
      </w:r>
      <w:r>
        <w:rPr>
          <w:rtl/>
        </w:rPr>
        <w:t xml:space="preserve"> וְכַנְפֵיהֶם פְּרוּדוֹת מִלְמָעְלָה, לְקַבְּלָא עֲלַיְהוּ נְקוּדֵי, וּנְקוּדֵי בְּכָל אֲתַר </w:t>
      </w:r>
      <w:r>
        <w:rPr>
          <w:rStyle w:val="a7"/>
          <w:rtl/>
        </w:rPr>
        <w:footnoteReference w:id="1174"/>
      </w:r>
      <w:r>
        <w:rPr>
          <w:rtl/>
        </w:rPr>
        <w:t>בַּת קוֹל.</w:t>
      </w:r>
    </w:p>
    <w:p w:rsidR="00606298" w:rsidRDefault="00606298" w:rsidP="00B17EA9">
      <w:pPr>
        <w:pStyle w:val="NormalWeb"/>
        <w:rPr>
          <w:rtl/>
        </w:rPr>
      </w:pPr>
      <w:r>
        <w:rPr>
          <w:rStyle w:val="a7"/>
          <w:rtl/>
        </w:rPr>
        <w:footnoteReference w:id="1175"/>
      </w:r>
      <w:r>
        <w:rPr>
          <w:rtl/>
        </w:rPr>
        <w:t xml:space="preserve">טַעֲמֵי אִינוּן מָאנֵי קְרָבָא, </w:t>
      </w:r>
      <w:r>
        <w:rPr>
          <w:rStyle w:val="a7"/>
          <w:rtl/>
        </w:rPr>
        <w:footnoteReference w:id="1176"/>
      </w:r>
      <w:r>
        <w:rPr>
          <w:rtl/>
        </w:rPr>
        <w:t xml:space="preserve">רָפֶ''ה אִיהוּ לְעִילָא מֵאַתְוָון, וַעֲלֵיה אִתְּמַר </w:t>
      </w:r>
      <w:r>
        <w:rPr>
          <w:sz w:val="20"/>
          <w:szCs w:val="23"/>
          <w:rtl/>
        </w:rPr>
        <w:t>(שם כב)</w:t>
      </w:r>
      <w:r>
        <w:rPr>
          <w:rtl/>
        </w:rPr>
        <w:t xml:space="preserve"> וּדְמוּת עַל רָאשֵׁי הַחַיָּה רָקִיעַ, כְּעִין הַקֶּרַח הַנּוֹרָא נָטוּי עַל רָאשֵׁיהֶם מִלְמָעְלָה, נָטוּי דָּא אִיהוּ רָפֶ''ה, נָטוּי עַל רָאשֵׁי חֵיוָן, </w:t>
      </w:r>
      <w:r>
        <w:rPr>
          <w:rStyle w:val="a7"/>
          <w:rtl/>
        </w:rPr>
        <w:footnoteReference w:id="1177"/>
      </w:r>
      <w:r>
        <w:rPr>
          <w:rtl/>
        </w:rPr>
        <w:t xml:space="preserve">דְּאִינוּן יהו''ה </w:t>
      </w:r>
      <w:r>
        <w:rPr>
          <w:rtl/>
        </w:rPr>
        <w:lastRenderedPageBreak/>
        <w:t xml:space="preserve">אַרְבַּע אַתְוָון וַדַּאי, דָּגֵ''שׁ אִיהוּ מִלְּגָאו דְּאַתְוָון, כְּגַוְונָא דָא יּהּוּ''הּ, רָפֶ''ה מִלְּבָר </w:t>
      </w:r>
      <w:r>
        <w:rPr>
          <w:rStyle w:val="a7"/>
          <w:rtl/>
        </w:rPr>
        <w:footnoteReference w:id="1178"/>
      </w:r>
      <w:r>
        <w:rPr>
          <w:rtl/>
        </w:rPr>
        <w:t xml:space="preserve">כְּגַוְונָא דָא יֹהוֹֹ''הֹ, וְאִינוּן כְּמֶתֶג וָרֶסֶן לְאוֹתִיּוֹת, וּבְהוֹן וְהַחַיּוֹת רָצוֹא וָשׁוֹב, </w:t>
      </w:r>
      <w:r>
        <w:rPr>
          <w:rStyle w:val="a7"/>
          <w:rtl/>
        </w:rPr>
        <w:footnoteReference w:id="1179"/>
      </w:r>
      <w:r>
        <w:rPr>
          <w:rtl/>
        </w:rPr>
        <w:t>רָצוֹא בְּדָגֵ''שׁ, וָשׁוֹב בְּרָפֶ''ה.</w:t>
      </w:r>
    </w:p>
    <w:p w:rsidR="00606298" w:rsidRDefault="00606298">
      <w:pPr>
        <w:pStyle w:val="a8"/>
        <w:spacing w:before="0" w:after="40"/>
        <w:rPr>
          <w:rtl/>
        </w:rPr>
      </w:pPr>
    </w:p>
    <w:p w:rsidR="00606298" w:rsidRDefault="00606298" w:rsidP="0007465E">
      <w:pPr>
        <w:pStyle w:val="1"/>
        <w:rPr>
          <w:rtl/>
        </w:rPr>
      </w:pPr>
      <w:bookmarkStart w:id="86" w:name="_Toc405982937"/>
      <w:r>
        <w:rPr>
          <w:rtl/>
        </w:rPr>
        <w:t>תקונא שתיתאה</w:t>
      </w:r>
      <w:bookmarkEnd w:id="86"/>
    </w:p>
    <w:p w:rsidR="00606298" w:rsidRDefault="00606298" w:rsidP="00B17EA9">
      <w:pPr>
        <w:pStyle w:val="NormalWeb"/>
        <w:rPr>
          <w:rtl/>
        </w:rPr>
      </w:pPr>
      <w:r>
        <w:rPr>
          <w:rStyle w:val="Char"/>
          <w:rtl/>
        </w:rPr>
        <w:t>בְּרֵאשִׁית, קָם רַבִּי שִׁמְעוֹן,</w:t>
      </w:r>
      <w:r>
        <w:rPr>
          <w:szCs w:val="23"/>
          <w:rtl/>
        </w:rPr>
        <w:t xml:space="preserve"> </w:t>
      </w:r>
      <w:r>
        <w:rPr>
          <w:sz w:val="20"/>
          <w:szCs w:val="23"/>
          <w:rtl/>
        </w:rPr>
        <w:t>(פתח)</w:t>
      </w:r>
      <w:r>
        <w:rPr>
          <w:rtl/>
        </w:rPr>
        <w:t xml:space="preserve"> וְאָמַר לְאֵלִיָּהוּ, אֵלִיָּהוּ אֵלִיָּהוּ בְּאוֹמָאָה עֲלָךְ </w:t>
      </w:r>
      <w:r>
        <w:rPr>
          <w:rStyle w:val="a7"/>
          <w:rtl/>
        </w:rPr>
        <w:footnoteReference w:id="1180"/>
      </w:r>
      <w:r>
        <w:rPr>
          <w:rtl/>
        </w:rPr>
        <w:t xml:space="preserve">בְּמַלְכוּת קַדִּישָׁא, </w:t>
      </w:r>
      <w:r>
        <w:rPr>
          <w:rStyle w:val="a7"/>
          <w:rtl/>
        </w:rPr>
        <w:footnoteReference w:id="1181"/>
      </w:r>
      <w:r>
        <w:rPr>
          <w:rtl/>
        </w:rPr>
        <w:t xml:space="preserve">דְאִיהִי נְפִילָא בְגָלוּתָא, </w:t>
      </w:r>
      <w:r>
        <w:rPr>
          <w:rStyle w:val="a7"/>
          <w:rtl/>
        </w:rPr>
        <w:footnoteReference w:id="1182"/>
      </w:r>
      <w:r>
        <w:rPr>
          <w:rtl/>
        </w:rPr>
        <w:t xml:space="preserve">טוֹל רְשׁוּתָא דְלָא תָזוּז מִינָן, דְּהָא שְׁכִינְתָּא וְחֵילָהָא </w:t>
      </w:r>
      <w:r>
        <w:rPr>
          <w:rStyle w:val="a7"/>
          <w:rtl/>
        </w:rPr>
        <w:footnoteReference w:id="1183"/>
      </w:r>
      <w:r>
        <w:rPr>
          <w:rtl/>
        </w:rPr>
        <w:t xml:space="preserve">נָטְרִין לָךְ, </w:t>
      </w:r>
      <w:r>
        <w:rPr>
          <w:rStyle w:val="a7"/>
          <w:rtl/>
        </w:rPr>
        <w:footnoteReference w:id="1184"/>
      </w:r>
      <w:r>
        <w:rPr>
          <w:rtl/>
        </w:rPr>
        <w:t xml:space="preserve">מַלְאֲכֵי הַשָּׁרֵת דְּאִתְּמַר בְּהוֹן </w:t>
      </w:r>
      <w:r>
        <w:rPr>
          <w:sz w:val="20"/>
          <w:szCs w:val="23"/>
          <w:rtl/>
        </w:rPr>
        <w:t>(ישעיהו לג ז)</w:t>
      </w:r>
      <w:r>
        <w:rPr>
          <w:rtl/>
        </w:rPr>
        <w:t xml:space="preserve"> הֵן אֶרְאֶלָם צָעֲקוּ </w:t>
      </w:r>
      <w:r>
        <w:rPr>
          <w:rStyle w:val="a7"/>
          <w:rtl/>
        </w:rPr>
        <w:footnoteReference w:id="1185"/>
      </w:r>
      <w:r>
        <w:rPr>
          <w:rtl/>
        </w:rPr>
        <w:t xml:space="preserve">חוּצָה, לְבַר מֵהֵיכָלִין, לָא אִית מָאן דִּמְקַבֵּל צְלוֹתִין דְּיִשְׂרָאֵל, </w:t>
      </w:r>
      <w:r>
        <w:rPr>
          <w:rStyle w:val="a7"/>
          <w:rtl/>
        </w:rPr>
        <w:footnoteReference w:id="1186"/>
      </w:r>
      <w:r>
        <w:rPr>
          <w:rtl/>
        </w:rPr>
        <w:t xml:space="preserve">כַּמָּה צִפָּרִין מְצַפְצְפִין בִּצְלוֹתִין </w:t>
      </w:r>
      <w:r>
        <w:rPr>
          <w:rStyle w:val="a7"/>
          <w:rtl/>
        </w:rPr>
        <w:footnoteReference w:id="1187"/>
      </w:r>
      <w:r>
        <w:rPr>
          <w:rtl/>
        </w:rPr>
        <w:t xml:space="preserve">לְגַבֵּי אִמָּהוֹן, </w:t>
      </w:r>
      <w:r>
        <w:rPr>
          <w:rStyle w:val="a7"/>
          <w:rtl/>
        </w:rPr>
        <w:footnoteReference w:id="1188"/>
      </w:r>
      <w:r>
        <w:rPr>
          <w:rtl/>
        </w:rPr>
        <w:t xml:space="preserve">דְּאִינוּן מְקַנְנָן עַל אַרְעָא, דְנָטְרִין לָךְ, וְכֻלְּהוּ אִתְקְרִיאוּ צִפָּרִים, עַל שֵׁם קַן צִפּוֹר </w:t>
      </w:r>
      <w:r>
        <w:rPr>
          <w:rStyle w:val="a7"/>
          <w:rtl/>
        </w:rPr>
        <w:footnoteReference w:id="1189"/>
      </w:r>
      <w:r>
        <w:rPr>
          <w:rtl/>
        </w:rPr>
        <w:t xml:space="preserve">דְּאִיהִי אִימָּא קַדִּישָׁא, דְאִתְּמַר בָּהּ </w:t>
      </w:r>
      <w:r>
        <w:rPr>
          <w:sz w:val="20"/>
          <w:szCs w:val="23"/>
          <w:rtl/>
        </w:rPr>
        <w:t>(דברים כב ו)</w:t>
      </w:r>
      <w:r>
        <w:rPr>
          <w:rtl/>
        </w:rPr>
        <w:t xml:space="preserve"> כִּי יִקָּרֵא קַן צִפּוֹר לְפָנֶיךָ, וַעֲלָהּ אִתְּמַר </w:t>
      </w:r>
      <w:r>
        <w:rPr>
          <w:sz w:val="20"/>
          <w:szCs w:val="23"/>
          <w:rtl/>
        </w:rPr>
        <w:t>(תהלים פד ד)</w:t>
      </w:r>
      <w:r>
        <w:rPr>
          <w:rtl/>
        </w:rPr>
        <w:t xml:space="preserve"> גַּם צִפּוֹר מָצְאָה בַיִת, </w:t>
      </w:r>
      <w:r>
        <w:rPr>
          <w:rStyle w:val="a7"/>
          <w:rtl/>
        </w:rPr>
        <w:footnoteReference w:id="1190"/>
      </w:r>
      <w:r>
        <w:rPr>
          <w:rtl/>
        </w:rPr>
        <w:t xml:space="preserve">וְדָא ב' מִבְּרֵאשִׁית, דְּאִתְּמַר בָּהּ </w:t>
      </w:r>
      <w:r>
        <w:rPr>
          <w:sz w:val="20"/>
          <w:szCs w:val="23"/>
          <w:rtl/>
        </w:rPr>
        <w:t>(משלי כד ג)</w:t>
      </w:r>
      <w:r>
        <w:rPr>
          <w:rtl/>
        </w:rPr>
        <w:t xml:space="preserve"> בְּחָכְמָה יִבָּנֶה בָּיִת, וּדְרוֹר קֵן לָהּ דָּא אִימָּא עִלָּאָה יוֹבֵל, דְּאִתְּמַר בָּהּ </w:t>
      </w:r>
      <w:r>
        <w:rPr>
          <w:sz w:val="20"/>
          <w:szCs w:val="23"/>
          <w:rtl/>
        </w:rPr>
        <w:t>(ויקרא כה י)</w:t>
      </w:r>
      <w:r>
        <w:rPr>
          <w:rtl/>
        </w:rPr>
        <w:t xml:space="preserve"> וּקְרָאתֶם דְּרוֹר בָּאָרֶץ, בְּזִמְנָא דְצִפּוֹר מָצְאָה בַיִת דְּאִיהִי בֵּי מַקְדְּשָׁא, וְאִתְבְּנִיאַת וְאִתְתַּקְנַת, מִיָּד דְּרוֹר דְּאִיהִי שְׁכִינְתָּא עִלָּאָה, אַשְׁכְּחַת קֵן לָהּ לְעִילָא.</w:t>
      </w:r>
    </w:p>
    <w:p w:rsidR="00606298" w:rsidRDefault="00606298" w:rsidP="00B17EA9">
      <w:pPr>
        <w:pStyle w:val="NormalWeb"/>
        <w:rPr>
          <w:rtl/>
        </w:rPr>
      </w:pPr>
      <w:r>
        <w:rPr>
          <w:rtl/>
        </w:rPr>
        <w:t xml:space="preserve">וּמִיָּד אֲשֶׂר שָׁתָה אֶפְרוֹחֶיהָ, אִלֵּין שִׁית בְּנִין דִּילָהּ, שִׁית סְפִירָן, </w:t>
      </w:r>
      <w:r>
        <w:rPr>
          <w:rStyle w:val="a7"/>
          <w:rtl/>
        </w:rPr>
        <w:footnoteReference w:id="1191"/>
      </w:r>
      <w:r>
        <w:rPr>
          <w:rtl/>
        </w:rPr>
        <w:t xml:space="preserve">דְּאִינוּן שֵׁשֶׁת יְמֵי הַמַּעֲשֶׂה, כֻּלְּהוּ פָרְחִין לְגַבָּהּ, בְּכַמָּה חַגִּין וּזְמַנִּין וְיוֹמִין טָבִין, </w:t>
      </w:r>
      <w:r>
        <w:rPr>
          <w:rStyle w:val="a7"/>
          <w:rtl/>
        </w:rPr>
        <w:footnoteReference w:id="1192"/>
      </w:r>
      <w:r>
        <w:rPr>
          <w:rtl/>
        </w:rPr>
        <w:t xml:space="preserve">וְאֶפְרוֹחִים דְּאִינוּן יִשְׂרָאֵל לְתַתָּא, כֻּלְּהוּ פָרְחִין עִמָּהּ בְּגָלוּתָא, וּבְזִמְנָא דְאִנּוּן בֵּיצִים, דְּלֵית לוֹן גַּדְפִין בְּפִקּוּדִין דַּעֲשֵׂה לְפָרְחָא, </w:t>
      </w:r>
      <w:r>
        <w:rPr>
          <w:rStyle w:val="a7"/>
          <w:rtl/>
        </w:rPr>
        <w:footnoteReference w:id="1193"/>
      </w:r>
      <w:r>
        <w:rPr>
          <w:rtl/>
        </w:rPr>
        <w:t>אִתְּמַר בָּהּ לֹא תִקַּח הָאֵם עַל הַבָּנִים.</w:t>
      </w:r>
    </w:p>
    <w:p w:rsidR="00606298" w:rsidRDefault="00606298" w:rsidP="00134F53">
      <w:pPr>
        <w:pStyle w:val="2"/>
        <w:rPr>
          <w:rtl/>
        </w:rPr>
      </w:pPr>
      <w:bookmarkStart w:id="87" w:name="_Toc405982938"/>
      <w:r>
        <w:rPr>
          <w:rtl/>
        </w:rPr>
        <w:lastRenderedPageBreak/>
        <w:t>[תיקוני זוהר - דף יז ע''א]</w:t>
      </w:r>
      <w:bookmarkEnd w:id="87"/>
    </w:p>
    <w:p w:rsidR="00606298" w:rsidRDefault="00606298" w:rsidP="00B17EA9">
      <w:pPr>
        <w:pStyle w:val="NormalWeb"/>
        <w:rPr>
          <w:rtl/>
        </w:rPr>
      </w:pPr>
      <w:r>
        <w:rPr>
          <w:rStyle w:val="a7"/>
          <w:rtl/>
        </w:rPr>
        <w:footnoteReference w:id="1194"/>
      </w:r>
      <w:r>
        <w:rPr>
          <w:rtl/>
        </w:rPr>
        <w:t xml:space="preserve">אִי הָכִי מַאי כִּי יִקָּרֵא קַן, </w:t>
      </w:r>
      <w:r>
        <w:rPr>
          <w:rStyle w:val="a7"/>
          <w:rtl/>
        </w:rPr>
        <w:footnoteReference w:id="1195"/>
      </w:r>
      <w:r>
        <w:rPr>
          <w:rtl/>
        </w:rPr>
        <w:t xml:space="preserve">אֶלָּא בְזִמְנָא </w:t>
      </w:r>
      <w:r>
        <w:rPr>
          <w:rStyle w:val="a7"/>
          <w:rtl/>
        </w:rPr>
        <w:footnoteReference w:id="1196"/>
      </w:r>
      <w:r>
        <w:rPr>
          <w:rtl/>
        </w:rPr>
        <w:t xml:space="preserve">דְלֵית לָהּ לִשְׁכִינְתָּא אֲתַר לְשַׁרְיָא תַּמָּן בִּקְבִיעוּ, אִיהִי אָזְלַת בְּמִקְרֶה, וְדָא אִיהוּ כָּל </w:t>
      </w:r>
      <w:r>
        <w:rPr>
          <w:rStyle w:val="a7"/>
          <w:rtl/>
        </w:rPr>
        <w:footnoteReference w:id="1197"/>
      </w:r>
      <w:r>
        <w:rPr>
          <w:rtl/>
        </w:rPr>
        <w:t xml:space="preserve">הַקּוֹבֵעַ מָקוֹם לִתְפִלָּתוֹ וכו', כְּמָה דְנִשְׁמָתִין עָבְדִין, הָכִי שַׁרְיָא שְׁכִינְתָּא </w:t>
      </w:r>
      <w:r>
        <w:rPr>
          <w:rStyle w:val="Char0"/>
          <w:rtl/>
        </w:rPr>
        <w:t xml:space="preserve">(דף יז ע''א) </w:t>
      </w:r>
      <w:r>
        <w:rPr>
          <w:rtl/>
        </w:rPr>
        <w:t>עִמְּהוֹן, נִשְׁמָתָא דְאִיהִי קְבוּעָה בִּצְלוֹתָא אוֹ בְּאוֹרַיְיתָא אִיהִי אֲתַר קָבוּעַ לְשַׁרְיָא בָּהּ שְׁכִינְתָּא, אֲבָל נִשְׁמָתָא דְלֵית לָהּ קְבִיעוּ בִצְלוֹתָא אוֹ בְּאוֹרַיְיתָא, אֶלָּא אִי אִזְדַּמְנַת לָהּ בְּמִקְרֶה, הָכִי אִיהִי שַׁרְיָא עֲלָהּ בְּמִקְרֶה, וְדָא אִיהוּ כִּי יִקָּרֵא קַן צִפּוֹר לְפָנֶיךָ וגו'.</w:t>
      </w:r>
    </w:p>
    <w:p w:rsidR="00606298" w:rsidRDefault="00606298" w:rsidP="00B17EA9">
      <w:pPr>
        <w:pStyle w:val="NormalWeb"/>
        <w:rPr>
          <w:rtl/>
        </w:rPr>
      </w:pPr>
      <w:r>
        <w:rPr>
          <w:rStyle w:val="a7"/>
          <w:rtl/>
        </w:rPr>
        <w:footnoteReference w:id="1198"/>
      </w:r>
      <w:r>
        <w:rPr>
          <w:rtl/>
        </w:rPr>
        <w:t xml:space="preserve">דְּוַדַּאי נִשְׁמָתָא אִיהִי קַן צִפּוֹר, וְגוּפָא קַן דְּנִשְׁמָתָא, </w:t>
      </w:r>
      <w:r>
        <w:rPr>
          <w:rStyle w:val="a7"/>
          <w:rtl/>
        </w:rPr>
        <w:footnoteReference w:id="1199"/>
      </w:r>
      <w:r>
        <w:rPr>
          <w:rtl/>
        </w:rPr>
        <w:t xml:space="preserve">וְכֵן נִשְׁמָתִין דְּאִינוּן עוּלֵימָאן דִּילָהּ, דְּאִתְקְרִיאוּ בְּתוּלוֹת אַחֲרֶיהָ רֵעוֹתֶיהָ, יָתְבִין בְּגוּפִין דְּאִינוּן קַן דִּלְהוֹן בְּאֹרַח מִקְרֶה, </w:t>
      </w:r>
      <w:r>
        <w:rPr>
          <w:rStyle w:val="a7"/>
          <w:rtl/>
        </w:rPr>
        <w:footnoteReference w:id="1200"/>
      </w:r>
      <w:r>
        <w:rPr>
          <w:rtl/>
        </w:rPr>
        <w:t xml:space="preserve">בְּזִמְנָא דְלַאו אִינוּן קְבוּעִין בְּבָתֵּי כְּנֵסִיּוֹת וּבְבָתֵּי מֶדְרָשׁוֹת, </w:t>
      </w:r>
      <w:r>
        <w:rPr>
          <w:rStyle w:val="a7"/>
          <w:rtl/>
        </w:rPr>
        <w:footnoteReference w:id="1201"/>
      </w:r>
      <w:r>
        <w:rPr>
          <w:rtl/>
        </w:rPr>
        <w:t>וְדָא אִיהוּ כִּי יִקָּרֵא קַן צִפּוֹר לְפָנֶיךָ.</w:t>
      </w:r>
    </w:p>
    <w:p w:rsidR="00606298" w:rsidRDefault="00606298" w:rsidP="00B17EA9">
      <w:pPr>
        <w:pStyle w:val="NormalWeb"/>
        <w:rPr>
          <w:rtl/>
        </w:rPr>
      </w:pPr>
      <w:r>
        <w:rPr>
          <w:rStyle w:val="a7"/>
          <w:rtl/>
        </w:rPr>
        <w:footnoteReference w:id="1202"/>
      </w:r>
      <w:r>
        <w:rPr>
          <w:rtl/>
        </w:rPr>
        <w:t xml:space="preserve">וְעוֹד קַן צִפּוֹר לְעִילָא, אִיהוּ כָּרְסַיָּא, </w:t>
      </w:r>
      <w:r>
        <w:rPr>
          <w:rStyle w:val="a7"/>
          <w:rtl/>
        </w:rPr>
        <w:footnoteReference w:id="1203"/>
      </w:r>
      <w:r>
        <w:rPr>
          <w:rtl/>
        </w:rPr>
        <w:t xml:space="preserve">וְקַן דִּילָהּ לְתַתָּא מטטרו''ן, </w:t>
      </w:r>
      <w:r>
        <w:rPr>
          <w:rStyle w:val="a7"/>
          <w:rtl/>
        </w:rPr>
        <w:footnoteReference w:id="1204"/>
      </w:r>
      <w:r>
        <w:rPr>
          <w:rtl/>
        </w:rPr>
        <w:t xml:space="preserve">וַעֲלֵיהּ אִתְּמַר </w:t>
      </w:r>
      <w:r>
        <w:rPr>
          <w:sz w:val="20"/>
          <w:szCs w:val="23"/>
          <w:rtl/>
        </w:rPr>
        <w:t>(במדבר יד יח)</w:t>
      </w:r>
      <w:r>
        <w:rPr>
          <w:rtl/>
        </w:rPr>
        <w:t xml:space="preserve"> </w:t>
      </w:r>
      <w:r>
        <w:rPr>
          <w:rStyle w:val="a7"/>
          <w:rtl/>
        </w:rPr>
        <w:footnoteReference w:id="1205"/>
      </w:r>
      <w:r>
        <w:rPr>
          <w:rtl/>
        </w:rPr>
        <w:t xml:space="preserve">וְנַקֵּה לֹא יְנַקֶּה, </w:t>
      </w:r>
      <w:r>
        <w:rPr>
          <w:rStyle w:val="a7"/>
          <w:rtl/>
        </w:rPr>
        <w:footnoteReference w:id="1206"/>
      </w:r>
      <w:r>
        <w:rPr>
          <w:rtl/>
        </w:rPr>
        <w:t xml:space="preserve">דְתַמָּן קַן, </w:t>
      </w:r>
      <w:r>
        <w:rPr>
          <w:rStyle w:val="a7"/>
          <w:rtl/>
        </w:rPr>
        <w:footnoteReference w:id="1207"/>
      </w:r>
      <w:r>
        <w:rPr>
          <w:rtl/>
        </w:rPr>
        <w:t xml:space="preserve">וְאִיהוּ קַנֹּא וְנוֹקֵם, </w:t>
      </w:r>
      <w:r>
        <w:rPr>
          <w:rStyle w:val="a7"/>
          <w:rtl/>
        </w:rPr>
        <w:footnoteReference w:id="1208"/>
      </w:r>
      <w:r>
        <w:rPr>
          <w:rtl/>
        </w:rPr>
        <w:t xml:space="preserve">בְּזִמְנָא דְלָא אַשְׁכְּחַת קִינָא לְשַׁרְיָיא, </w:t>
      </w:r>
      <w:r>
        <w:rPr>
          <w:rStyle w:val="a7"/>
          <w:rtl/>
        </w:rPr>
        <w:footnoteReference w:id="1209"/>
      </w:r>
      <w:r>
        <w:rPr>
          <w:rtl/>
        </w:rPr>
        <w:t xml:space="preserve">בַּדֶּרֶךְ, דָּא דְאִתְּמַר בָּהּ </w:t>
      </w:r>
      <w:r>
        <w:rPr>
          <w:sz w:val="20"/>
          <w:szCs w:val="23"/>
          <w:rtl/>
        </w:rPr>
        <w:t>(יהושע ה ד)</w:t>
      </w:r>
      <w:r>
        <w:rPr>
          <w:rtl/>
        </w:rPr>
        <w:t xml:space="preserve"> מֵתוּ בַמִּדְבָּר בַּדֶּרֶךְ בְּצֵאתָם מִמִּצְרָיִם, </w:t>
      </w:r>
      <w:r>
        <w:rPr>
          <w:rStyle w:val="a7"/>
          <w:rtl/>
        </w:rPr>
        <w:footnoteReference w:id="1210"/>
      </w:r>
      <w:r>
        <w:rPr>
          <w:rtl/>
        </w:rPr>
        <w:t xml:space="preserve">וְעוֹד בַּדֶּרֶךְ, דָּא קְבוּרַת רָחֵל, </w:t>
      </w:r>
      <w:r>
        <w:rPr>
          <w:rStyle w:val="a7"/>
          <w:rtl/>
        </w:rPr>
        <w:footnoteReference w:id="1211"/>
      </w:r>
      <w:r>
        <w:rPr>
          <w:rtl/>
        </w:rPr>
        <w:t xml:space="preserve">דְּאִיהִי בְּפָרָשַׁת אוֹרְחִין, וַעֲלָהּ אִתְּמַר </w:t>
      </w:r>
      <w:r>
        <w:rPr>
          <w:sz w:val="20"/>
          <w:szCs w:val="23"/>
          <w:rtl/>
        </w:rPr>
        <w:t>(ירמיהו ט א)</w:t>
      </w:r>
      <w:r>
        <w:rPr>
          <w:rtl/>
        </w:rPr>
        <w:t xml:space="preserve"> </w:t>
      </w:r>
      <w:r>
        <w:rPr>
          <w:rStyle w:val="a7"/>
          <w:rtl/>
        </w:rPr>
        <w:footnoteReference w:id="1212"/>
      </w:r>
      <w:r>
        <w:rPr>
          <w:rtl/>
        </w:rPr>
        <w:t xml:space="preserve">מִי יִתְּנֵנִי בַמִּדְבָּר </w:t>
      </w:r>
      <w:r>
        <w:rPr>
          <w:rStyle w:val="a7"/>
          <w:rtl/>
        </w:rPr>
        <w:footnoteReference w:id="1213"/>
      </w:r>
      <w:r>
        <w:rPr>
          <w:rtl/>
        </w:rPr>
        <w:t>מְלוֹן אֹרְחִים, וְאִינוּן תְּרֵין מְשִׁיחִין, דְּמִתַּמָּן קָא עָבְרִין כַּד אָתָאן לְמִפְרַק לְיִשְׂרָאֵל מיצר הרע וחילוי.</w:t>
      </w:r>
    </w:p>
    <w:p w:rsidR="00606298" w:rsidRDefault="00606298" w:rsidP="00B17EA9">
      <w:pPr>
        <w:pStyle w:val="NormalWeb"/>
        <w:rPr>
          <w:rtl/>
        </w:rPr>
      </w:pPr>
      <w:r>
        <w:rPr>
          <w:rtl/>
        </w:rPr>
        <w:lastRenderedPageBreak/>
        <w:t xml:space="preserve">בְּכָל עִץ </w:t>
      </w:r>
      <w:r>
        <w:rPr>
          <w:rStyle w:val="a7"/>
          <w:rtl/>
        </w:rPr>
        <w:footnoteReference w:id="1214"/>
      </w:r>
      <w:r>
        <w:rPr>
          <w:rtl/>
        </w:rPr>
        <w:t xml:space="preserve">דָּא אִיהוּ עִץ הַחַיִּים, דְּאִתְּמַר בֵּיהּ </w:t>
      </w:r>
      <w:r>
        <w:rPr>
          <w:sz w:val="20"/>
          <w:szCs w:val="23"/>
          <w:rtl/>
        </w:rPr>
        <w:t>(משלי ג יח)</w:t>
      </w:r>
      <w:r>
        <w:rPr>
          <w:rtl/>
        </w:rPr>
        <w:t xml:space="preserve"> עִץ חַיִּים הִיא לַמַּחֲזִיקִים בָּהּ, </w:t>
      </w:r>
      <w:r>
        <w:rPr>
          <w:rStyle w:val="a7"/>
          <w:rtl/>
        </w:rPr>
        <w:footnoteReference w:id="1215"/>
      </w:r>
      <w:r>
        <w:rPr>
          <w:rtl/>
        </w:rPr>
        <w:t xml:space="preserve">וַעֲלֵיהּ אִתְּמַר </w:t>
      </w:r>
      <w:r>
        <w:rPr>
          <w:sz w:val="20"/>
          <w:szCs w:val="23"/>
          <w:rtl/>
        </w:rPr>
        <w:t>(דברים כ יט)</w:t>
      </w:r>
      <w:r>
        <w:rPr>
          <w:rtl/>
        </w:rPr>
        <w:t xml:space="preserve"> כִּי הָאָדָם עִץ הַשָּׂדֶה, וְעוֹד בְּכָל עִץ דָּא צַדִּיק דְּאִתְּמַר בֵּיהּ </w:t>
      </w:r>
      <w:r>
        <w:rPr>
          <w:sz w:val="20"/>
          <w:szCs w:val="23"/>
          <w:rtl/>
        </w:rPr>
        <w:t>(בראשית א יא)</w:t>
      </w:r>
      <w:r>
        <w:rPr>
          <w:rtl/>
        </w:rPr>
        <w:t xml:space="preserve"> עִץ פְּרִי עֹשֶׂה פְּרִי לְמִינוֹ, וְדָא יוֹם הַשַּׁבָּת דְּתַמָּן זִוּוּגָא דִשְׁכִינְתָּא עִם קוּדְשָׁא בְּרִיךְ הוּא, וְתַמָּן אִית לָהּ נְיָיחָא, וַעֲלֵיהּ אִתְּמַר </w:t>
      </w:r>
      <w:r>
        <w:rPr>
          <w:sz w:val="20"/>
          <w:szCs w:val="23"/>
          <w:rtl/>
        </w:rPr>
        <w:t>(תהלים א ג)</w:t>
      </w:r>
      <w:r>
        <w:rPr>
          <w:rtl/>
        </w:rPr>
        <w:t xml:space="preserve"> וְהָיָה כְּעִץ שָׁתוּל </w:t>
      </w:r>
      <w:r>
        <w:rPr>
          <w:rStyle w:val="a7"/>
          <w:rtl/>
        </w:rPr>
        <w:footnoteReference w:id="1216"/>
      </w:r>
      <w:r>
        <w:rPr>
          <w:rtl/>
        </w:rPr>
        <w:t xml:space="preserve">עַל פַּלְגֵי מָיִם אֲשֶׁר פִּרְיוֹ יִתֵּן בְּעִתּוֹ, </w:t>
      </w:r>
      <w:r>
        <w:rPr>
          <w:rStyle w:val="a7"/>
          <w:rtl/>
        </w:rPr>
        <w:footnoteReference w:id="1217"/>
      </w:r>
      <w:r>
        <w:rPr>
          <w:rtl/>
        </w:rPr>
        <w:t xml:space="preserve">דָא עִתּוֹ דְצַדִּיק </w:t>
      </w:r>
      <w:r>
        <w:rPr>
          <w:rStyle w:val="a7"/>
          <w:rtl/>
        </w:rPr>
        <w:footnoteReference w:id="1218"/>
      </w:r>
      <w:r>
        <w:rPr>
          <w:rtl/>
        </w:rPr>
        <w:t xml:space="preserve">דְּאִיהִי לֵיל שַׁבָּת, </w:t>
      </w:r>
      <w:r>
        <w:rPr>
          <w:rStyle w:val="a7"/>
          <w:rtl/>
        </w:rPr>
        <w:footnoteReference w:id="1219"/>
      </w:r>
      <w:r>
        <w:rPr>
          <w:rtl/>
        </w:rPr>
        <w:t xml:space="preserve">דְּצַדִּיק מִנֵּיהּ פָּרְחִין נִשְׁמָתִין חַדְתִּין בְּיִשְׂרָאֵל עֶרֶב שַׁבָּת </w:t>
      </w:r>
      <w:r>
        <w:rPr>
          <w:rStyle w:val="a7"/>
          <w:rtl/>
        </w:rPr>
        <w:footnoteReference w:id="1220"/>
      </w:r>
      <w:r>
        <w:rPr>
          <w:rtl/>
        </w:rPr>
        <w:t>דְּאִתְקְרִיאוּ פָּנִים חֲדָשׁוֹת.</w:t>
      </w:r>
    </w:p>
    <w:p w:rsidR="00606298" w:rsidRDefault="00606298" w:rsidP="00B17EA9">
      <w:pPr>
        <w:pStyle w:val="NormalWeb"/>
        <w:rPr>
          <w:rtl/>
        </w:rPr>
      </w:pPr>
      <w:r>
        <w:rPr>
          <w:rStyle w:val="a7"/>
          <w:rtl/>
        </w:rPr>
        <w:footnoteReference w:id="1221"/>
      </w:r>
      <w:r>
        <w:rPr>
          <w:rtl/>
        </w:rPr>
        <w:t xml:space="preserve">אֶפְרוֹחִים אִלֵּין תַּלְמִידֵי חֲכָמִים, </w:t>
      </w:r>
      <w:r>
        <w:rPr>
          <w:rStyle w:val="a7"/>
          <w:rtl/>
        </w:rPr>
        <w:footnoteReference w:id="1222"/>
      </w:r>
      <w:r>
        <w:rPr>
          <w:rtl/>
        </w:rPr>
        <w:t xml:space="preserve">דִּבְגִינְהוֹן שַׁרְיָא שְׁכִינְתָּא עַל יִשְׂרָאֵל, אוֹ בֵּיצִים אִלֵּין אִינוּן תִּינוֹקוֹת שֶׁל בֵּית רַבָּן, דִּבְגִינְהוֹן שַׁרְיָא שְׁכִינְתָּא עַל יִשְׂרָאֵל, </w:t>
      </w:r>
      <w:r>
        <w:rPr>
          <w:rStyle w:val="a7"/>
          <w:rtl/>
        </w:rPr>
        <w:footnoteReference w:id="1223"/>
      </w:r>
      <w:r>
        <w:rPr>
          <w:rtl/>
        </w:rPr>
        <w:t xml:space="preserve">וְאִלֵּין אִינוּן מָארֵי מִקְרָא, </w:t>
      </w:r>
      <w:r>
        <w:rPr>
          <w:rStyle w:val="a7"/>
          <w:rtl/>
        </w:rPr>
        <w:footnoteReference w:id="1224"/>
      </w:r>
      <w:r>
        <w:rPr>
          <w:rtl/>
        </w:rPr>
        <w:t xml:space="preserve">וּבְזִמְנָא דְאִינוּן עָסְקִין בְּאוֹרַיְיתָא ובְמִצְוָה דְאִנּוּן קוּדְשָׁא בְּרִיךְ הוּא וּשְׁכִינְתָּא, וְגָרְמִי לְחַבְּרָא לוֹן כַּחֲדָא, יָרְתִין מִתַּמָּן נִשְׁמָתִין, וְאִתְקְרִיאוּ בָנִים דְּקוּדְשָׁא בְּרִיךְ הוּא, בְּגִין דְּמָארֵי מִקְרָא וּמָארֵי מִשְׁנָה אִינוּן מִגַּדְפִין דִּילָהּ, וּבְגִין דָּא וְהָאֵם רֹבֶצֶת עַל הָאֶפְרוֹחִים אוֹ עַל הַבֵּיצִים, אִיהִי רְבִיעָא עֲלַיְיהוּ בְּאַרְבַּע גַּדְפִין דִּילָהּ, דְּאִתְּמַר בְּהוֹן </w:t>
      </w:r>
      <w:r>
        <w:rPr>
          <w:sz w:val="20"/>
          <w:szCs w:val="23"/>
          <w:rtl/>
        </w:rPr>
        <w:t>(יחזקאל א ו)</w:t>
      </w:r>
      <w:r>
        <w:rPr>
          <w:rtl/>
        </w:rPr>
        <w:t xml:space="preserve"> וְאַרְבַּע כְּנָפַיִם, </w:t>
      </w:r>
      <w:r>
        <w:rPr>
          <w:rStyle w:val="a7"/>
          <w:rtl/>
        </w:rPr>
        <w:footnoteReference w:id="1225"/>
      </w:r>
      <w:r>
        <w:rPr>
          <w:rtl/>
        </w:rPr>
        <w:t xml:space="preserve">ינוקִין אַנְפֵּי זוּטְרֵי, </w:t>
      </w:r>
      <w:r>
        <w:rPr>
          <w:rStyle w:val="a7"/>
          <w:rtl/>
        </w:rPr>
        <w:footnoteReference w:id="1226"/>
      </w:r>
      <w:r>
        <w:rPr>
          <w:rtl/>
        </w:rPr>
        <w:t xml:space="preserve">וְאִינוּן אַרְבַּע אַנְפִּין לְכָל חַד וְחַד, וּבְהוֹן אִימָּא רְבִיעָא עֲלַיְיהוּ, וְזִמְנִין אִיהִי עֲלַיְיהוּ, וְזִמְנִין אִסְתַּלְקַת מִנַּיְיהוּ, אֲבָל בְּנִין דְּאִינוּן מִן מֵעוֹי, </w:t>
      </w:r>
      <w:r>
        <w:rPr>
          <w:rStyle w:val="a7"/>
          <w:rtl/>
        </w:rPr>
        <w:footnoteReference w:id="1227"/>
      </w:r>
      <w:r>
        <w:rPr>
          <w:rtl/>
        </w:rPr>
        <w:t xml:space="preserve">דאתמר בהון (ירמיהו לא יט) המו מעי לו, בְּנִין דִּרְחִימוּ דְהָמוּ מֵיעָהָא עֲלַיְיהוּ וְאִינוּן מָארֵי קַבָּלָה, אִתְּמַר בְּהוֹן </w:t>
      </w:r>
      <w:r>
        <w:rPr>
          <w:sz w:val="20"/>
          <w:szCs w:val="23"/>
          <w:rtl/>
        </w:rPr>
        <w:t>(דברים כב ו)</w:t>
      </w:r>
      <w:r>
        <w:rPr>
          <w:rtl/>
        </w:rPr>
        <w:t xml:space="preserve"> לֹא תִקַּח הָאֵם עַל הַבָּנִים, דְּאִימָּא לָא זָזָה מִנַּיְיהוּ לְעָלַם.</w:t>
      </w:r>
    </w:p>
    <w:p w:rsidR="00606298" w:rsidRDefault="00606298" w:rsidP="00B17EA9">
      <w:pPr>
        <w:pStyle w:val="NormalWeb"/>
        <w:rPr>
          <w:rtl/>
        </w:rPr>
      </w:pPr>
      <w:r>
        <w:rPr>
          <w:rStyle w:val="a7"/>
          <w:rtl/>
        </w:rPr>
        <w:footnoteReference w:id="1228"/>
      </w:r>
      <w:r>
        <w:rPr>
          <w:rtl/>
        </w:rPr>
        <w:t xml:space="preserve">דְּוַדַּאי קוּדְשָׁא בְּרִיךְ הוּא אִיהוּ אוֹרַיְיתָא, וּשְׁכִינְתָּא הִיא מִצְוָה, זַכָּאָה מָאן דְּמִתְעַסֵּק בְּהוֹן לְיַחֲדָא לוֹן, וְכֵן </w:t>
      </w:r>
      <w:r>
        <w:rPr>
          <w:rStyle w:val="a7"/>
          <w:rtl/>
        </w:rPr>
        <w:footnoteReference w:id="1229"/>
      </w:r>
      <w:r>
        <w:rPr>
          <w:rtl/>
        </w:rPr>
        <w:t xml:space="preserve">זָכוֹר וְשָׁמוֹר אִינוּן קוּדְשָׁא בְּרִיךְ הוּא וּשְׁכִינְתֵּיהּ, זַכָּאָה אִיהוּ מָאן דִּמְיַחֵד לוֹן בְּיוֹם שַׁבָּת, דְּאִיהוּ יְסוֹד, </w:t>
      </w:r>
      <w:r>
        <w:rPr>
          <w:rStyle w:val="a7"/>
          <w:rtl/>
        </w:rPr>
        <w:footnoteReference w:id="1230"/>
      </w:r>
      <w:r>
        <w:rPr>
          <w:rtl/>
        </w:rPr>
        <w:t xml:space="preserve">וּבִרְחִימוּ וּדְחִילוּ דְי''ה, דְּאִינוּן אַבָּא וְאִימָּא. </w:t>
      </w:r>
      <w:r>
        <w:rPr>
          <w:rStyle w:val="a7"/>
          <w:rtl/>
        </w:rPr>
        <w:footnoteReference w:id="1231"/>
      </w:r>
      <w:r>
        <w:rPr>
          <w:rtl/>
        </w:rPr>
        <w:t xml:space="preserve">זָכוֹר וְשָׁמוֹר, אִינוּן לָקֳבֵל תְּפִלִּין דְּרֵישָׁא ו', וּתְפִלִּין דְּיָדָא ה', דְּכַר וְנוּקְבָא, </w:t>
      </w:r>
      <w:r>
        <w:rPr>
          <w:rStyle w:val="a7"/>
          <w:rtl/>
        </w:rPr>
        <w:footnoteReference w:id="1232"/>
      </w:r>
      <w:r>
        <w:rPr>
          <w:rtl/>
        </w:rPr>
        <w:t xml:space="preserve">וְזַכָּאָה אִיהוּ מָאן דִּמְיַחֵד לוֹן בִּקְרִיאַת שְׁמַע בִּדְחִילוּ וּרְחִימוּ, </w:t>
      </w:r>
      <w:r>
        <w:rPr>
          <w:rStyle w:val="a7"/>
          <w:rtl/>
        </w:rPr>
        <w:footnoteReference w:id="1233"/>
      </w:r>
      <w:r>
        <w:rPr>
          <w:rtl/>
        </w:rPr>
        <w:t xml:space="preserve">דִּבְזִמְנָא דְיִשְׂרָאֵל מִשְׁתַּדְלִין בְּאוֹרַיְיתָא דְבִכְתָב וּבְאוֹרַיְיתָא </w:t>
      </w:r>
      <w:r>
        <w:rPr>
          <w:rtl/>
        </w:rPr>
        <w:lastRenderedPageBreak/>
        <w:t>דִבְעַל פֶּה, בִּרְחִימוּ וּדְחִילוּ, אִתְּמַר בְּהוֹן לֹא תִקַּח הָאֵם עַל הַבָּנִים, וּבְזִמְנָא דְלָא מִשְׁתַּדְלִין בְּהוֹן בִּרְחִימוּ וּדְחִילוּ, אִתְּמַר בְּהוֹן שַׁלֵּחַ תְּשַׁלַּח אֶת הָאֵם.</w:t>
      </w:r>
    </w:p>
    <w:p w:rsidR="00606298" w:rsidRDefault="00606298" w:rsidP="00134F53">
      <w:pPr>
        <w:pStyle w:val="2"/>
        <w:rPr>
          <w:rtl/>
        </w:rPr>
      </w:pPr>
      <w:bookmarkStart w:id="88" w:name="_Toc405982939"/>
      <w:r>
        <w:rPr>
          <w:rtl/>
        </w:rPr>
        <w:t>[תיקוני זוהר - דף יז ע''ב]</w:t>
      </w:r>
      <w:bookmarkEnd w:id="88"/>
    </w:p>
    <w:p w:rsidR="00606298" w:rsidRDefault="00606298" w:rsidP="00B17EA9">
      <w:pPr>
        <w:pStyle w:val="NormalWeb"/>
        <w:rPr>
          <w:rtl/>
        </w:rPr>
      </w:pPr>
      <w:r>
        <w:rPr>
          <w:rtl/>
        </w:rPr>
        <w:t xml:space="preserve">בְּזִמְנָא דְיִשְׂרָאֵל נָטְרִין שַׁבַּתָּא בְּזָכוֹר וְשָׁמוֹר בִּדְחִילוּ וּרְחִימוּ, אִתְּמַר בְּהוֹן לֹא תִקַּח הָאֵם עַל הַבָּנִים, וְאִם לַאו כְּתִיב בְּהוֹן שַׁלֵּחַ תְּשַׁלַּח וְגוֹמֵר, </w:t>
      </w:r>
      <w:r>
        <w:rPr>
          <w:rStyle w:val="a7"/>
          <w:rtl/>
        </w:rPr>
        <w:footnoteReference w:id="1234"/>
      </w:r>
      <w:r>
        <w:rPr>
          <w:rtl/>
        </w:rPr>
        <w:t xml:space="preserve">תְּרֵין תְּרוּכִין, וּבְזִמְנָא דְיִשְׂרָאֵל מְיַחֲדִין לְקוּדְשָׁא בְּרִיךְ הוּא בִּתְפִלִּין דְּיָד וּבִתְפִלִּין דְּרֹאשׁ בִּדְחִילוּ וּרְחִימוּ, אִתְּמַר בְּהוֹן לֹא תִקַּח הָאֵם עַל הַבָּנִים, וְאִם לַאו שַׁלֵּחַ תְּשַׁלַּח, וּבְזִמְנָא דִמְקַיְּימִין מִצְוַת </w:t>
      </w:r>
      <w:r>
        <w:rPr>
          <w:sz w:val="20"/>
          <w:szCs w:val="23"/>
          <w:rtl/>
        </w:rPr>
        <w:t xml:space="preserve">(דף יז ע''ב) </w:t>
      </w:r>
      <w:r>
        <w:rPr>
          <w:rtl/>
        </w:rPr>
        <w:t xml:space="preserve">בְּרִית מִילָה </w:t>
      </w:r>
      <w:r>
        <w:rPr>
          <w:rStyle w:val="a7"/>
          <w:rtl/>
        </w:rPr>
        <w:footnoteReference w:id="1235"/>
      </w:r>
      <w:r>
        <w:rPr>
          <w:rtl/>
        </w:rPr>
        <w:t xml:space="preserve">וְאַעְבְרָן מִנַּיְיהוּ עָרְלָה, וְעָבְדִין פְּרִיעָה, בִּדְחִילוּ וּרְחִימוּ, אִתְּמַר בְּהוֹן לֹא תִקַּח הָאֵם עַל הַבָּנִים, וְאִם לַאו שַׁלֵּחַ תְּשַׁלַּח אֶת הָאֵם, </w:t>
      </w:r>
      <w:r>
        <w:rPr>
          <w:rStyle w:val="a7"/>
          <w:rtl/>
        </w:rPr>
        <w:footnoteReference w:id="1236"/>
      </w:r>
      <w:r>
        <w:rPr>
          <w:rtl/>
        </w:rPr>
        <w:t>בְּזִמְנָא דִמְיוּחָדִין בְּזִוּוּגֵיהוֹן בְּקִדּוּשִׁין וְשֶׁבַע בִּרְכָאָן, דְּאִינוּן יִחוּדָא דִלְהוֹן בִּקְדוּשָׁה וּבְבִרְכָתָא, אִתְּמַר בְּהוֹן לֹא תִקַּח הָאֵם עַל הַבָּנִים, וְאִם לַאו שַׁלֵּחַ תְּשַׁלַּח וכו'.</w:t>
      </w:r>
    </w:p>
    <w:p w:rsidR="00606298" w:rsidRDefault="00606298" w:rsidP="00B17EA9">
      <w:pPr>
        <w:pStyle w:val="NormalWeb"/>
        <w:rPr>
          <w:rtl/>
        </w:rPr>
      </w:pPr>
      <w:r>
        <w:rPr>
          <w:rtl/>
        </w:rPr>
        <w:t xml:space="preserve">וְאִינוּן יִשְׂרָאֵל בְּגָלוּתָא בִרְשׁוּתָא אָחֳרָא, דְּכַד לָא מִתְיַיחֲדִין בְּזִוּוּגַיְיהוּ בְקִדּוּשִׁין וְשֶׁבַע בִּרְכָאָן, דְּאִינוּן יִחוּדָא דִלְהוֹן בִּקְדוּשָׁה וּבְרָכָה, בַּאֲתַר דִּקְדוּשָׁה שַׁרְיָא עֲלַיְיהוּ מְסָאֲבָא, וּבַאֲתַר דִּבְרָכָה שַׁרְיָא עֲלַיְיהוּ לְטוּתָא, וּבַאֲתַר דְּיִחוּדָא שַׁרְיָא עֲלַיְיהוּ פִּרוּדָא, </w:t>
      </w:r>
      <w:r>
        <w:rPr>
          <w:rStyle w:val="a7"/>
          <w:rtl/>
        </w:rPr>
        <w:footnoteReference w:id="1237"/>
      </w:r>
      <w:r>
        <w:rPr>
          <w:rtl/>
        </w:rPr>
        <w:t xml:space="preserve">וְדָא גָרִים גָּלוּתָא לִשְׁכִינְתָּא, דְאִתְתַּרְכַת </w:t>
      </w:r>
      <w:r>
        <w:rPr>
          <w:rStyle w:val="a7"/>
          <w:rtl/>
        </w:rPr>
        <w:footnoteReference w:id="1238"/>
      </w:r>
      <w:r>
        <w:rPr>
          <w:rtl/>
        </w:rPr>
        <w:t xml:space="preserve">מֵאַתְרָהָא וּמִקִּנָּהָא דְאִיהִי יְרוּשָׁלַם, הֲדָא הוּא דִכְתִיב </w:t>
      </w:r>
      <w:r>
        <w:rPr>
          <w:sz w:val="20"/>
          <w:szCs w:val="23"/>
          <w:rtl/>
        </w:rPr>
        <w:t>(ישעיה נ א)</w:t>
      </w:r>
      <w:r>
        <w:rPr>
          <w:rtl/>
        </w:rPr>
        <w:t xml:space="preserve"> וּבְפִשְׁעִיכֶם שֻׁלְּחָה אִמְּכֶם, תְּרֵין שִׁלּוּחִין שַׁלֵּחַ תְּשַׁלַּח, חַד מִבַּיִת רִאשׁוֹן, וְחַד מִבַּיִת שֵׁנִי.</w:t>
      </w:r>
    </w:p>
    <w:p w:rsidR="00606298" w:rsidRDefault="00606298" w:rsidP="00B17EA9">
      <w:pPr>
        <w:pStyle w:val="NormalWeb"/>
        <w:rPr>
          <w:rtl/>
        </w:rPr>
      </w:pPr>
      <w:r>
        <w:rPr>
          <w:rStyle w:val="a7"/>
          <w:rtl/>
        </w:rPr>
        <w:footnoteReference w:id="1239"/>
      </w:r>
      <w:r>
        <w:rPr>
          <w:rtl/>
        </w:rPr>
        <w:t xml:space="preserve">וְאִי תֵימָא דְקוּדְשָׁא בְּרִיךְ הוּא לַאו אִתְתַּרַךְ עִמֵּיהּ, בְּגִין דָּא אָמַר קְרָא </w:t>
      </w:r>
      <w:r>
        <w:rPr>
          <w:sz w:val="20"/>
          <w:szCs w:val="23"/>
          <w:rtl/>
        </w:rPr>
        <w:t>(משלי כז ח)</w:t>
      </w:r>
      <w:r>
        <w:rPr>
          <w:rtl/>
        </w:rPr>
        <w:t xml:space="preserve"> כְּצִפּוֹר נוֹדֶדֶת מִן קִנָּהּ כֵּן אִישׁ נוֹדֵד מִמְּקוֹמוֹ, בְּגִין לְנַטְרָא לָהּ בְּגָלוּתָא מֵרְשׁוּ נוּכְרָאָה, </w:t>
      </w:r>
      <w:r>
        <w:rPr>
          <w:rStyle w:val="a7"/>
          <w:rtl/>
        </w:rPr>
        <w:footnoteReference w:id="1240"/>
      </w:r>
      <w:r>
        <w:rPr>
          <w:rtl/>
        </w:rPr>
        <w:t xml:space="preserve">הֲדָא הוּא דִכְתִיב </w:t>
      </w:r>
      <w:r>
        <w:rPr>
          <w:sz w:val="20"/>
          <w:szCs w:val="23"/>
          <w:rtl/>
        </w:rPr>
        <w:t>(ישעיה מב ח)</w:t>
      </w:r>
      <w:r>
        <w:rPr>
          <w:rtl/>
        </w:rPr>
        <w:t xml:space="preserve"> אֲנִי יְיָ' הוּא שְׁמִי וּכְבוֹדִי לְאַחֵר לֹא אֶתֵּן וְגוֹמֵר, לְאַחֵר דָּא אֵל אַחֵר, דָּא סמא''ל, </w:t>
      </w:r>
      <w:r>
        <w:rPr>
          <w:rStyle w:val="a7"/>
          <w:rtl/>
        </w:rPr>
        <w:footnoteReference w:id="1241"/>
      </w:r>
      <w:r>
        <w:rPr>
          <w:rtl/>
        </w:rPr>
        <w:t>לַפְּסִילִים אִלֵּין מְמַנָּן דְּעַל שַׁבְעִין אוּמִין.</w:t>
      </w:r>
    </w:p>
    <w:p w:rsidR="00606298" w:rsidRDefault="00606298" w:rsidP="00B17EA9">
      <w:pPr>
        <w:pStyle w:val="NormalWeb"/>
        <w:rPr>
          <w:rtl/>
        </w:rPr>
      </w:pPr>
      <w:r>
        <w:rPr>
          <w:rtl/>
        </w:rPr>
        <w:t xml:space="preserve">וּבְגִינָהּ, קוּדְשָׁא בְּרִיךְ הוּא אִיהוּ מֶלֶךְ אָסוּר בָּרְהָטִים, </w:t>
      </w:r>
      <w:r>
        <w:rPr>
          <w:rStyle w:val="a7"/>
          <w:rtl/>
        </w:rPr>
        <w:footnoteReference w:id="1242"/>
      </w:r>
      <w:r>
        <w:rPr>
          <w:rtl/>
        </w:rPr>
        <w:t xml:space="preserve">אִיהוּ אָסוּר עִמְּהוֹן בִּתְפִלִּין דְּרֵישָׁא, דְאִינוּן פְּאֵר דְּרֵישָׁא, דִתְּפִלִּין דְּרֵישָׁא אִינוּן בַּאֲתַר דְּרַהֲטֵי דְמוֹחָא, וְדָא אִיהוּ אָסוּר בָּרְהָטִים, וְאִיהוּ חָבוּשׁ עִמְּהוֹן בִּתְפִלִּין דְּיָד בְּקֶשֶׁר שֶׁל יָד, וְדָא הוּא דִכְתִיב </w:t>
      </w:r>
      <w:r>
        <w:rPr>
          <w:sz w:val="20"/>
          <w:szCs w:val="23"/>
          <w:rtl/>
        </w:rPr>
        <w:t>(יחזקאל כד יז)</w:t>
      </w:r>
      <w:r>
        <w:rPr>
          <w:rtl/>
        </w:rPr>
        <w:t xml:space="preserve"> פְּאֵרְךָ חֲבוֹשׁ עָלֶיךָ, וּבְגִין דְּאִיהוּ חָבוּשׁ עִמְּהוֹן בְּגָלוּתָא, אִתְּמַר בֵּיהּ אֵין חָבוּשׁ מַתִּיר עַצְמוֹ מִבֵּית הָאֲסוּרִין, וּשְׁכִינְתָּא אִיהִי בֵּית הָאֲסוּרִין דִּילֵיהּ, בְּגִין רְחִימוּ דִילָהּ אִיהוּ אָסוּר בָּהּ, וְרָזָא דְמִלָּה </w:t>
      </w:r>
      <w:r>
        <w:rPr>
          <w:rStyle w:val="a7"/>
          <w:rtl/>
        </w:rPr>
        <w:footnoteReference w:id="1243"/>
      </w:r>
      <w:r>
        <w:rPr>
          <w:rtl/>
        </w:rPr>
        <w:t xml:space="preserve">צְרוֹר הַמּוֹר דּוֹדִי לִי בֵּין שָׁדַי יָלִין </w:t>
      </w:r>
      <w:r>
        <w:rPr>
          <w:sz w:val="20"/>
          <w:szCs w:val="23"/>
          <w:rtl/>
        </w:rPr>
        <w:t>(שיר א יג)</w:t>
      </w:r>
      <w:r>
        <w:rPr>
          <w:rtl/>
        </w:rPr>
        <w:t>.</w:t>
      </w:r>
    </w:p>
    <w:p w:rsidR="00606298" w:rsidRDefault="00606298" w:rsidP="00B17EA9">
      <w:pPr>
        <w:pStyle w:val="NormalWeb"/>
        <w:rPr>
          <w:rtl/>
        </w:rPr>
      </w:pPr>
      <w:r>
        <w:rPr>
          <w:rtl/>
        </w:rPr>
        <w:t xml:space="preserve">וּבְגִין דָּא מָאן דְּבָעִי לְאַשָּׂגָא לְמַלְכָּא, לֵית לֵיהּ רְשׁוּ לְאַשָּׂגָא לֵיהּ אֶלָּא בִּשְׁכִינְתָּא, הֲדָא הוּא דִכְתִיב </w:t>
      </w:r>
      <w:r>
        <w:rPr>
          <w:sz w:val="20"/>
          <w:szCs w:val="23"/>
          <w:rtl/>
        </w:rPr>
        <w:t>(ירמיה ט כב)</w:t>
      </w:r>
      <w:r>
        <w:rPr>
          <w:rtl/>
        </w:rPr>
        <w:t xml:space="preserve"> אַל יִתְהַלֵּל כו' כִּי אִם בְּזֹאת וְגוֹמֵר, וְאַהֲרֹן כַּד עָאל לְקֹדֶשׁ קֻדְשִׁין בְּיוֹמָא דְכִפּוּרֵי, בָּהּ הֲוָה עָאל, דִּכְתִיב </w:t>
      </w:r>
      <w:r>
        <w:rPr>
          <w:sz w:val="20"/>
          <w:szCs w:val="23"/>
          <w:rtl/>
        </w:rPr>
        <w:t>(ויקרא טז ג)</w:t>
      </w:r>
      <w:r>
        <w:rPr>
          <w:rtl/>
        </w:rPr>
        <w:t xml:space="preserve"> בְּזֹאת יָבֹא אַהֲרֹן אֶל הַקֹּדֶשׁ, </w:t>
      </w:r>
      <w:r>
        <w:rPr>
          <w:rStyle w:val="a7"/>
          <w:rtl/>
        </w:rPr>
        <w:footnoteReference w:id="1244"/>
      </w:r>
      <w:r>
        <w:rPr>
          <w:rtl/>
        </w:rPr>
        <w:t xml:space="preserve">דְּאִיהִי עִת לַעֲשֹׂת לַיְיָ', </w:t>
      </w:r>
      <w:r>
        <w:rPr>
          <w:rStyle w:val="a7"/>
          <w:rtl/>
        </w:rPr>
        <w:footnoteReference w:id="1245"/>
      </w:r>
      <w:r>
        <w:rPr>
          <w:rtl/>
        </w:rPr>
        <w:t xml:space="preserve">וּמֹשֶׁה בְּגִינָהּ אִתְקַיַּים בְּעָלְמָא, הֲדָא הוּא דִכְתִיב </w:t>
      </w:r>
      <w:r>
        <w:rPr>
          <w:sz w:val="20"/>
          <w:szCs w:val="23"/>
          <w:rtl/>
        </w:rPr>
        <w:t>(דברים לג א)</w:t>
      </w:r>
      <w:r>
        <w:rPr>
          <w:rtl/>
        </w:rPr>
        <w:t xml:space="preserve"> וְזֹאת הַבְּרָכָה אֲשֶׁר וְגוֹמֵר, וּבָהּ עֲבִיד עֲשַׂר מַכְתְּשִׁין לְפַרְעֹה, הֲדָא הוּא דִכְתִיב </w:t>
      </w:r>
      <w:r>
        <w:rPr>
          <w:sz w:val="20"/>
          <w:szCs w:val="23"/>
          <w:rtl/>
        </w:rPr>
        <w:t>(שמות ט טז)</w:t>
      </w:r>
      <w:r>
        <w:rPr>
          <w:rtl/>
        </w:rPr>
        <w:t xml:space="preserve"> וְאוּלָם </w:t>
      </w:r>
      <w:r>
        <w:rPr>
          <w:rStyle w:val="a7"/>
          <w:rtl/>
        </w:rPr>
        <w:lastRenderedPageBreak/>
        <w:footnoteReference w:id="1246"/>
      </w:r>
      <w:r>
        <w:rPr>
          <w:rtl/>
        </w:rPr>
        <w:t xml:space="preserve">בַּעֲבוּר זֹאת הֶעֱמַדְתִּיךָ, וְיַעֲקֹב בְּגִין דַּהֲוָה יָדַע דְּכָל רְעוּתָא דְמַלְכָּא בָּהּ, מַנִּי לִבְנוֹי עֲלָהּ, דְּלָא יַעֲלוּן קֳדָם מַלְכָּא אֶלָּא בָּהּ, וְכָל שְׁאֵלְתִּין דִּלְהוֹן בִּצְלוֹתִין וּבָעוּתִין לְמַלְכָּא </w:t>
      </w:r>
      <w:r>
        <w:rPr>
          <w:rStyle w:val="a7"/>
          <w:rtl/>
        </w:rPr>
        <w:footnoteReference w:id="1247"/>
      </w:r>
      <w:r>
        <w:rPr>
          <w:rtl/>
        </w:rPr>
        <w:t xml:space="preserve">דִיְהוֹן בָּהּ, הֲדָא הוּא דִכְתִיב </w:t>
      </w:r>
      <w:r>
        <w:rPr>
          <w:sz w:val="20"/>
          <w:szCs w:val="23"/>
          <w:rtl/>
        </w:rPr>
        <w:t>(בראשית מט כח)</w:t>
      </w:r>
      <w:r>
        <w:rPr>
          <w:rtl/>
        </w:rPr>
        <w:t xml:space="preserve"> וְזֹאת אֲשֶׁר דִּבֶּר לָהֶם אֲבִיהֶם וְגוֹמֵר, וְדָוִד בְּגִין דַּהֲוָה יָדַע דְּכָל רְעוּתָא וְחֵילָא וְתוּקְפָא דְמַלְכָּא בָּהּ, אָמַר </w:t>
      </w:r>
      <w:r>
        <w:rPr>
          <w:sz w:val="20"/>
          <w:szCs w:val="23"/>
          <w:rtl/>
        </w:rPr>
        <w:t>(תהלים כז ג)</w:t>
      </w:r>
      <w:r>
        <w:rPr>
          <w:rtl/>
        </w:rPr>
        <w:t xml:space="preserve"> אִם תַּחֲנֶה וְגוֹמֵר, בְּזֹאת אֲנִי בוֹטֵחַ, </w:t>
      </w:r>
      <w:r>
        <w:rPr>
          <w:rStyle w:val="a7"/>
          <w:rtl/>
        </w:rPr>
        <w:footnoteReference w:id="1248"/>
      </w:r>
      <w:r>
        <w:rPr>
          <w:rtl/>
        </w:rPr>
        <w:t xml:space="preserve">דְּאִתְּמַר עֲלָהּ </w:t>
      </w:r>
      <w:r>
        <w:rPr>
          <w:sz w:val="20"/>
          <w:szCs w:val="23"/>
          <w:rtl/>
        </w:rPr>
        <w:t>(שם קג ט)</w:t>
      </w:r>
      <w:r>
        <w:rPr>
          <w:rtl/>
        </w:rPr>
        <w:t xml:space="preserve"> וּמַלְכוּתוֹ בַּכֹּל מָשָׁלָה, </w:t>
      </w:r>
      <w:r>
        <w:rPr>
          <w:rStyle w:val="a7"/>
          <w:rtl/>
        </w:rPr>
        <w:footnoteReference w:id="1249"/>
      </w:r>
      <w:r>
        <w:rPr>
          <w:rtl/>
        </w:rPr>
        <w:t xml:space="preserve">וּמָאן דְּלָא שָׁת לִבֵּיהּ גַּם לָזֹאת, </w:t>
      </w:r>
      <w:r>
        <w:rPr>
          <w:rStyle w:val="a7"/>
          <w:rtl/>
        </w:rPr>
        <w:footnoteReference w:id="1250"/>
      </w:r>
      <w:r>
        <w:rPr>
          <w:rtl/>
        </w:rPr>
        <w:t xml:space="preserve">עֲלֵיהּ אִתְּמַר </w:t>
      </w:r>
      <w:r>
        <w:rPr>
          <w:sz w:val="20"/>
          <w:szCs w:val="23"/>
          <w:rtl/>
        </w:rPr>
        <w:t>(שם צב ז)</w:t>
      </w:r>
      <w:r>
        <w:rPr>
          <w:rtl/>
        </w:rPr>
        <w:t xml:space="preserve"> וּכְסִיל לֹא יָבִין אֶת זֹאת.</w:t>
      </w:r>
    </w:p>
    <w:p w:rsidR="00606298" w:rsidRDefault="00606298" w:rsidP="00B17EA9">
      <w:pPr>
        <w:pStyle w:val="NormalWeb"/>
        <w:rPr>
          <w:rtl/>
        </w:rPr>
      </w:pPr>
      <w:r>
        <w:rPr>
          <w:rtl/>
        </w:rPr>
        <w:t xml:space="preserve">וּבְגִין דָּא כַד יִשְׂרָאֵל בָּעָאן בָּעוּתִין לְמַלְכָּא, אָמְרִין לָהּ </w:t>
      </w:r>
      <w:r>
        <w:rPr>
          <w:sz w:val="20"/>
          <w:szCs w:val="23"/>
          <w:rtl/>
        </w:rPr>
        <w:t>(שיר ו א)</w:t>
      </w:r>
      <w:r>
        <w:rPr>
          <w:rtl/>
        </w:rPr>
        <w:t xml:space="preserve"> אָנָה הָלַךְ דּוֹדֵךְ, דְּאִתְּמַר בֵּיהּ בְּרַח דּוֹדִי, אָנָה פָּנָה דוֹדֵךְ </w:t>
      </w:r>
      <w:r>
        <w:rPr>
          <w:rStyle w:val="a7"/>
          <w:rtl/>
        </w:rPr>
        <w:footnoteReference w:id="1251"/>
      </w:r>
      <w:r>
        <w:rPr>
          <w:rtl/>
        </w:rPr>
        <w:t xml:space="preserve">וּנְבַקְשֶׁנּוּ עִמָּךְ, בְּכַמָּה בַּקָּשׁוֹת דִּצְלוֹתִין וּבָעוּתִין, דִּבְגִינָךְ אִיהוּ נָחִית עֲלָן, </w:t>
      </w:r>
      <w:r>
        <w:rPr>
          <w:rStyle w:val="a7"/>
          <w:rtl/>
        </w:rPr>
        <w:footnoteReference w:id="1252"/>
      </w:r>
      <w:r>
        <w:rPr>
          <w:rtl/>
        </w:rPr>
        <w:t xml:space="preserve">דְּלָא זָז מִנָּנָא אֶלָּא בְּגִין דְּלָא נָהִגְנָא יְקָרָא בָךְ, </w:t>
      </w:r>
      <w:r>
        <w:rPr>
          <w:rStyle w:val="a7"/>
          <w:rtl/>
        </w:rPr>
        <w:footnoteReference w:id="1253"/>
      </w:r>
      <w:r>
        <w:rPr>
          <w:rtl/>
        </w:rPr>
        <w:t xml:space="preserve">דִּבְגִינָךְ הֲוָה אֲסִיר עִמָּנָא כָּל שִׁית יוֹמִין, </w:t>
      </w:r>
      <w:r>
        <w:rPr>
          <w:rStyle w:val="a7"/>
          <w:rtl/>
        </w:rPr>
        <w:footnoteReference w:id="1254"/>
      </w:r>
      <w:r>
        <w:rPr>
          <w:rtl/>
        </w:rPr>
        <w:t xml:space="preserve">הֲדָא הוּא דִכְתִיב </w:t>
      </w:r>
      <w:r>
        <w:rPr>
          <w:sz w:val="20"/>
          <w:szCs w:val="23"/>
          <w:rtl/>
        </w:rPr>
        <w:t>(יחזקאל מו א)</w:t>
      </w:r>
      <w:r>
        <w:rPr>
          <w:rtl/>
        </w:rPr>
        <w:t xml:space="preserve"> יִהְיֶה סָגוּר שֵׁשֶׁת יְמֵי הַמַּעֲשֶׂה, וּבְיוֹם הַשַּׁבָּת יִפָּתֵחַ וּבְיוֹם הַחֹדֶשׁ יִפָּתֵחַ, דְּהָכִי אִיהִי שְׁכִינְתָּא סְתִימָא עִמֵּיהּ בְּיוֹמָא דְחוֹלָא, כְּשׁוֹשַׁנָּה דְאִיהִי אֲטִימָא, וּבְיוֹמָא דְשַׁבַּתָּא וּבְיוֹמָא דְחָדְשָׁא וּבְיוֹמִין טָבִין אִתְפַּתְּחַת, לְקַבְּלָא רֵיחִין וּבוּסְמִין, וּלְיַרְתָא נַפְשִׁין וְעִנּוּגִין לִבְנַיְיהוּ.</w:t>
      </w:r>
    </w:p>
    <w:p w:rsidR="00606298" w:rsidRDefault="00606298" w:rsidP="00134F53">
      <w:pPr>
        <w:pStyle w:val="2"/>
        <w:rPr>
          <w:rtl/>
        </w:rPr>
      </w:pPr>
      <w:bookmarkStart w:id="89" w:name="_Toc405982940"/>
      <w:r>
        <w:rPr>
          <w:rtl/>
        </w:rPr>
        <w:t>[תיקוני זוהר - דף יח ע''א]</w:t>
      </w:r>
      <w:bookmarkEnd w:id="89"/>
    </w:p>
    <w:p w:rsidR="00606298" w:rsidRDefault="00606298" w:rsidP="00B17EA9">
      <w:pPr>
        <w:pStyle w:val="NormalWeb"/>
        <w:rPr>
          <w:rtl/>
        </w:rPr>
      </w:pPr>
      <w:r>
        <w:rPr>
          <w:rStyle w:val="a7"/>
          <w:rtl/>
        </w:rPr>
        <w:footnoteReference w:id="1255"/>
      </w:r>
      <w:r>
        <w:rPr>
          <w:rtl/>
        </w:rPr>
        <w:t xml:space="preserve">וַוי לוֹן לִבְנֵי נָשָׁא, דְקוּדְשָׁא בְּרִיךְ הוּא אֲסִיר עִמְּהוֹן בְּגָלוּתָא, וּשְׁכִינְתָּא אֲסִירַת עִמְּהוֹן, וְאִתְּמַר בָּהּ אֵין חָבוּשׁ מַתִּיר אֶת עַצְמוֹ מִבֵּית הָאֲסוּרִים, וּפוּרְקָנָא דִילָהּ דְּאִיהִי תְשׁוּבָה אִימָּא עִלָּאָה, אִיהִי </w:t>
      </w:r>
      <w:r>
        <w:rPr>
          <w:rStyle w:val="a7"/>
          <w:rtl/>
        </w:rPr>
        <w:footnoteReference w:id="1256"/>
      </w:r>
      <w:r>
        <w:rPr>
          <w:rtl/>
        </w:rPr>
        <w:t xml:space="preserve">תַלְיָא בִידֵיהוֹן, דְּחַמְשִׁין תַּרְעִין דְּחֵירוּ עִמָּהּ, לָקֳבֵל חַמְשִׁין זִמְנִין דְּאִדְכַּר יְצִיאַת מִצְרַיִם בְּאוֹרַיְיתָא, דָּא הוּא </w:t>
      </w:r>
      <w:r>
        <w:rPr>
          <w:sz w:val="20"/>
          <w:szCs w:val="23"/>
          <w:rtl/>
        </w:rPr>
        <w:t>(שמות ב יב)</w:t>
      </w:r>
      <w:r>
        <w:rPr>
          <w:rtl/>
        </w:rPr>
        <w:t xml:space="preserve"> וַיִּפֶן כֹּ''ה וָכֹ''ה, בְּאִלֵּין חַמְשִׁין אַתְוָון </w:t>
      </w:r>
      <w:r>
        <w:rPr>
          <w:sz w:val="20"/>
          <w:szCs w:val="23"/>
          <w:rtl/>
        </w:rPr>
        <w:t xml:space="preserve">(דף יח ע''א) </w:t>
      </w:r>
      <w:r>
        <w:rPr>
          <w:rtl/>
        </w:rPr>
        <w:t>דִּמְיַחֲדִין לֵיהּ בְּכָל יוֹמָא פַּעֲמַיִם שְׁמַע יִשְׂרָאֵל, דְּאִית בְּהוֹן כ''ה וְכ''ה אַתְוָון, וַיַּרְא כִּי אֵין אִישׁ דְּאִתְעַר לָהּ בְּגַוַּיְהוּ.</w:t>
      </w:r>
    </w:p>
    <w:p w:rsidR="00606298" w:rsidRDefault="00606298" w:rsidP="00B17EA9">
      <w:pPr>
        <w:pStyle w:val="NormalWeb"/>
        <w:rPr>
          <w:rtl/>
        </w:rPr>
      </w:pPr>
      <w:r>
        <w:rPr>
          <w:rtl/>
        </w:rPr>
        <w:t xml:space="preserve">וְאִיהִי מַשְׁגִּיחַ מִן הַחֲלוֹנוֹת, דְּאִתְּמַר בְּהוֹן </w:t>
      </w:r>
      <w:r>
        <w:rPr>
          <w:sz w:val="20"/>
          <w:szCs w:val="23"/>
          <w:rtl/>
        </w:rPr>
        <w:t>(מלאכי א ט)</w:t>
      </w:r>
      <w:r>
        <w:rPr>
          <w:rtl/>
        </w:rPr>
        <w:t xml:space="preserve"> </w:t>
      </w:r>
      <w:r>
        <w:rPr>
          <w:rStyle w:val="a7"/>
          <w:rtl/>
        </w:rPr>
        <w:footnoteReference w:id="1257"/>
      </w:r>
      <w:r>
        <w:rPr>
          <w:rtl/>
        </w:rPr>
        <w:t xml:space="preserve">חַלּוּ נָא פְנֵי אֵל וִיחָנֵּנוּ, </w:t>
      </w:r>
      <w:r>
        <w:rPr>
          <w:rStyle w:val="a7"/>
          <w:rtl/>
        </w:rPr>
        <w:footnoteReference w:id="1258"/>
      </w:r>
      <w:r>
        <w:rPr>
          <w:rtl/>
        </w:rPr>
        <w:t xml:space="preserve">לְהַהוּא דְאִתְּמַר בָּהּ </w:t>
      </w:r>
      <w:r>
        <w:rPr>
          <w:sz w:val="20"/>
          <w:szCs w:val="23"/>
          <w:rtl/>
        </w:rPr>
        <w:t>(במדבר יב יג)</w:t>
      </w:r>
      <w:r>
        <w:rPr>
          <w:rtl/>
        </w:rPr>
        <w:t xml:space="preserve"> אֵל נָא רְפָא נָא לָהּ, דְּאַסְוָותָא בִידֵיהּ, </w:t>
      </w:r>
      <w:r>
        <w:rPr>
          <w:rStyle w:val="a7"/>
          <w:rtl/>
        </w:rPr>
        <w:footnoteReference w:id="1259"/>
      </w:r>
      <w:r>
        <w:rPr>
          <w:rtl/>
        </w:rPr>
        <w:t xml:space="preserve">דְּאִיהוּ יָד פְּשׁוּטָה לְקַבֵּל שָׁבִים, </w:t>
      </w:r>
      <w:r>
        <w:rPr>
          <w:sz w:val="20"/>
          <w:szCs w:val="23"/>
          <w:rtl/>
        </w:rPr>
        <w:t>(שמות ב יב)</w:t>
      </w:r>
      <w:r>
        <w:rPr>
          <w:szCs w:val="23"/>
          <w:rtl/>
        </w:rPr>
        <w:t xml:space="preserve"> </w:t>
      </w:r>
      <w:r>
        <w:rPr>
          <w:rStyle w:val="Char"/>
          <w:rtl/>
        </w:rPr>
        <w:t xml:space="preserve">וַיַּרְא כִּי אֵין אִישׁ, </w:t>
      </w:r>
      <w:r>
        <w:rPr>
          <w:rStyle w:val="a7"/>
          <w:rtl/>
        </w:rPr>
        <w:footnoteReference w:id="1260"/>
      </w:r>
      <w:r>
        <w:rPr>
          <w:rStyle w:val="Char"/>
          <w:rtl/>
        </w:rPr>
        <w:t>וְאִיהִי</w:t>
      </w:r>
      <w:r>
        <w:rPr>
          <w:szCs w:val="23"/>
          <w:rtl/>
        </w:rPr>
        <w:t xml:space="preserve"> </w:t>
      </w:r>
      <w:r>
        <w:rPr>
          <w:sz w:val="20"/>
          <w:szCs w:val="23"/>
          <w:rtl/>
        </w:rPr>
        <w:t>(שופטים ה כח)</w:t>
      </w:r>
      <w:r>
        <w:rPr>
          <w:rtl/>
        </w:rPr>
        <w:t xml:space="preserve"> </w:t>
      </w:r>
      <w:r>
        <w:rPr>
          <w:rStyle w:val="a7"/>
          <w:rtl/>
        </w:rPr>
        <w:footnoteReference w:id="1261"/>
      </w:r>
      <w:r>
        <w:rPr>
          <w:rtl/>
        </w:rPr>
        <w:t xml:space="preserve">בְּעַד הַחַלּוֹן נִשְׁקְפָה, וַתְּיַבֵּב </w:t>
      </w:r>
      <w:r>
        <w:rPr>
          <w:rStyle w:val="a7"/>
          <w:rtl/>
        </w:rPr>
        <w:footnoteReference w:id="1262"/>
      </w:r>
      <w:r>
        <w:rPr>
          <w:rtl/>
        </w:rPr>
        <w:t xml:space="preserve">בִּתְרוּעָה </w:t>
      </w:r>
      <w:r>
        <w:rPr>
          <w:rStyle w:val="a7"/>
          <w:rtl/>
        </w:rPr>
        <w:footnoteReference w:id="1263"/>
      </w:r>
      <w:r>
        <w:rPr>
          <w:rtl/>
        </w:rPr>
        <w:t xml:space="preserve">דְאִיהִי יְבָבָא, </w:t>
      </w:r>
      <w:r>
        <w:rPr>
          <w:rStyle w:val="a7"/>
          <w:rtl/>
        </w:rPr>
        <w:footnoteReference w:id="1264"/>
      </w:r>
      <w:r>
        <w:rPr>
          <w:rtl/>
        </w:rPr>
        <w:t xml:space="preserve">דְּאִתְּמַר בָּהּ </w:t>
      </w:r>
      <w:r>
        <w:rPr>
          <w:sz w:val="20"/>
          <w:szCs w:val="23"/>
          <w:rtl/>
        </w:rPr>
        <w:t>(בראשית ח ו)</w:t>
      </w:r>
      <w:r>
        <w:rPr>
          <w:rtl/>
        </w:rPr>
        <w:t xml:space="preserve"> וַיִּפְתַּח </w:t>
      </w:r>
      <w:r>
        <w:rPr>
          <w:rtl/>
        </w:rPr>
        <w:lastRenderedPageBreak/>
        <w:t xml:space="preserve">נֹחַ אֶת חַלּוֹן הַתֵּבָה אֲשֶׁר עָשָׂה, וְדָא יוֹם הַכִּפּוּרִים דְּתֵיבַת נֹחַ הִיא אִימָּא עִלָּאָה, חַלּוֹן דִּילָהּ הוּא עַמּוּדָא דְאֶמְצָעִיתָא, </w:t>
      </w:r>
      <w:r>
        <w:rPr>
          <w:rStyle w:val="a7"/>
          <w:rtl/>
        </w:rPr>
        <w:footnoteReference w:id="1265"/>
      </w:r>
      <w:r>
        <w:rPr>
          <w:rtl/>
        </w:rPr>
        <w:t xml:space="preserve">דְבֵיהּ אוֹר, וְתוֹרָה אוֹר, </w:t>
      </w:r>
      <w:r>
        <w:rPr>
          <w:rStyle w:val="a7"/>
          <w:rtl/>
        </w:rPr>
        <w:footnoteReference w:id="1266"/>
      </w:r>
      <w:r>
        <w:rPr>
          <w:rtl/>
        </w:rPr>
        <w:t>וְאִיהוּ אוֹר הַגָּנוּז.</w:t>
      </w:r>
    </w:p>
    <w:p w:rsidR="00606298" w:rsidRDefault="00606298" w:rsidP="00B17EA9">
      <w:pPr>
        <w:pStyle w:val="NormalWeb"/>
        <w:rPr>
          <w:rtl/>
        </w:rPr>
      </w:pPr>
      <w:r>
        <w:rPr>
          <w:rStyle w:val="a7"/>
          <w:rtl/>
        </w:rPr>
        <w:footnoteReference w:id="1267"/>
      </w:r>
      <w:r>
        <w:rPr>
          <w:rtl/>
        </w:rPr>
        <w:t xml:space="preserve">וַיִּפֶן כֹּה וָכֹה, מֵצִיץ מִן הַחֲרַכִּים, אֵלּוּ עֲשֶׂרֶת יְמֵי תְּשׁוּבָה, וַיַּרְא כִּי אֵין אִישׁ, וְעוֹד מַשְׁגִּיחַ מִן הַחַלּוֹנוֹת אִלֵּין חַלּוֹנוֹת דְּבֵי כְנִישְׁתָּא, </w:t>
      </w:r>
      <w:r>
        <w:rPr>
          <w:rStyle w:val="a7"/>
          <w:rtl/>
        </w:rPr>
        <w:footnoteReference w:id="1268"/>
      </w:r>
      <w:r>
        <w:rPr>
          <w:rtl/>
        </w:rPr>
        <w:t>דְּאַבהן וּבְנין אִינוּן בְּבֵית הכנסת אֲסִירָן, וְאִיהוּ בְּכָל יוֹמָא אַשְׁגָּחוּתֵיהּ עֲלַיְהוּ, וְיָהִיב לוֹן מְזוֹנָא.</w:t>
      </w:r>
    </w:p>
    <w:p w:rsidR="00606298" w:rsidRDefault="00606298" w:rsidP="00B17EA9">
      <w:pPr>
        <w:pStyle w:val="NormalWeb"/>
        <w:rPr>
          <w:rtl/>
        </w:rPr>
      </w:pPr>
      <w:r>
        <w:rPr>
          <w:rtl/>
        </w:rPr>
        <w:t xml:space="preserve">וַיִּפֶן כֹּה וָכֹה, אִם אִית מָאן דְּיִתְעַר בִּתְיוּבְתָּא לְתַבְרָא בֵּית אֲסוּרִין דִּלְהוֹן, הֲדָא הוּא דִכְתִיב </w:t>
      </w:r>
      <w:r>
        <w:rPr>
          <w:sz w:val="20"/>
          <w:szCs w:val="23"/>
          <w:rtl/>
        </w:rPr>
        <w:t>(ישעיה מט ט)</w:t>
      </w:r>
      <w:r>
        <w:rPr>
          <w:rtl/>
        </w:rPr>
        <w:t xml:space="preserve"> לֵאמֹר לַאֲסוּרִים צֵאוּ, וְלַאֲשֶׁר בַּחֹשֶׁךְ הִגָּלוּ, וַיִּפֶן כֹּה וָכֹה וַיַּרְא כִּי אֵין אִישׁ, אֶלָּא אִישׁ לְדַרְכּוֹ פָּנוּ, בַּעֲסָקִין דִּלְהוֹן, בְּאוֹרְחִין דִּלְהוֹן, אִישׁ לְבִצְעוֹ מִקָּצֵהוּ, בְּבִצְעָא דְהַאי עָלְמָא, לְיַרְתָא הַאי עָלְמָא, וְלַאו אִינוּן מִסִּטְרָא דְאִלֵּין </w:t>
      </w:r>
      <w:r>
        <w:rPr>
          <w:rStyle w:val="a7"/>
          <w:rtl/>
        </w:rPr>
        <w:footnoteReference w:id="1269"/>
      </w:r>
      <w:r>
        <w:rPr>
          <w:rtl/>
        </w:rPr>
        <w:t xml:space="preserve">דְּאִתְּמַר בְּהוֹן </w:t>
      </w:r>
      <w:r>
        <w:rPr>
          <w:sz w:val="20"/>
          <w:szCs w:val="23"/>
          <w:rtl/>
        </w:rPr>
        <w:t>(שמות יח כא)</w:t>
      </w:r>
      <w:r>
        <w:rPr>
          <w:rtl/>
        </w:rPr>
        <w:t xml:space="preserve">, אַנְשֵׁי חַיִל, יִרְאֵי אלהי''ם, אַנְשֵׁי אֱמֶת, </w:t>
      </w:r>
      <w:r>
        <w:rPr>
          <w:rStyle w:val="a7"/>
          <w:rtl/>
        </w:rPr>
        <w:footnoteReference w:id="1270"/>
      </w:r>
      <w:r>
        <w:rPr>
          <w:rtl/>
        </w:rPr>
        <w:t xml:space="preserve">שֹׂנְאֵי בָצַע, אֶלָּא כֻּלְּהוּ צָוְוחִין בִּצְלוֹתִין בְּיוֹמָא דְכִפּוּרֵי כַכְּלָבִים, הַב לָנָא </w:t>
      </w:r>
      <w:r>
        <w:rPr>
          <w:rStyle w:val="a7"/>
          <w:rtl/>
        </w:rPr>
        <w:footnoteReference w:id="1271"/>
      </w:r>
      <w:r>
        <w:rPr>
          <w:rtl/>
        </w:rPr>
        <w:t xml:space="preserve">מְזוֹנָא, וּסְלִיחָה וְכַפָּרָה וְחַיֵּי, כָּתְבֵנוּ לְחַיִּים, </w:t>
      </w:r>
      <w:r>
        <w:rPr>
          <w:rStyle w:val="a7"/>
          <w:rtl/>
        </w:rPr>
        <w:footnoteReference w:id="1272"/>
      </w:r>
      <w:r>
        <w:rPr>
          <w:rtl/>
        </w:rPr>
        <w:t xml:space="preserve">וְאִינוּן עַזֵּי נֶפֶשׁ כַּכְּלָבִים, </w:t>
      </w:r>
      <w:r>
        <w:rPr>
          <w:rStyle w:val="a7"/>
          <w:rtl/>
        </w:rPr>
        <w:footnoteReference w:id="1273"/>
      </w:r>
      <w:r>
        <w:rPr>
          <w:rtl/>
        </w:rPr>
        <w:t xml:space="preserve">דְּאִינוּן אוּמִין דְּעָלְמָא </w:t>
      </w:r>
      <w:r>
        <w:rPr>
          <w:rStyle w:val="a7"/>
          <w:rtl/>
        </w:rPr>
        <w:footnoteReference w:id="1274"/>
      </w:r>
      <w:r>
        <w:rPr>
          <w:rtl/>
        </w:rPr>
        <w:t xml:space="preserve">דְצָוְוחֵי לְגַבֵּיהּ </w:t>
      </w:r>
      <w:r>
        <w:rPr>
          <w:rStyle w:val="a7"/>
          <w:rtl/>
        </w:rPr>
        <w:footnoteReference w:id="1275"/>
      </w:r>
      <w:r>
        <w:rPr>
          <w:rtl/>
        </w:rPr>
        <w:t xml:space="preserve">וְלֵית לוֹן בֹּשֶׁת אַנְפִּין, דְּלָא אִית מָאן דְּקָרָא לֵיהּ בִּתְיוּבְתָּא, דְיַחֲזוֹר שְׁכִינְתֵּיהּ לְקוּדְשָׁא בְּרִיךְ הוּא, דְאִיהִי מְרַחֲקָא מִנֵּיהּ, לְמֶהדַר לְגַבֵּיהּ, וְאִדַּמְיָין לִכְלָבִים, </w:t>
      </w:r>
      <w:r>
        <w:rPr>
          <w:rStyle w:val="a7"/>
          <w:rtl/>
        </w:rPr>
        <w:footnoteReference w:id="1276"/>
      </w:r>
      <w:r>
        <w:rPr>
          <w:rtl/>
        </w:rPr>
        <w:t xml:space="preserve">דְּאִתְּמַר בְּהוֹן </w:t>
      </w:r>
      <w:r>
        <w:rPr>
          <w:sz w:val="20"/>
          <w:szCs w:val="23"/>
          <w:rtl/>
        </w:rPr>
        <w:t>(תהלים קו לה)</w:t>
      </w:r>
      <w:r>
        <w:rPr>
          <w:rtl/>
        </w:rPr>
        <w:t xml:space="preserve"> וַיִּתְעָרְבוּ בַגּוֹיִם וַיִּלְמְדוּ מַעֲשֵׂיהֶם, </w:t>
      </w:r>
      <w:r>
        <w:rPr>
          <w:rStyle w:val="a7"/>
          <w:rtl/>
        </w:rPr>
        <w:footnoteReference w:id="1277"/>
      </w:r>
      <w:r>
        <w:rPr>
          <w:rtl/>
        </w:rPr>
        <w:t>וְאִינוּן עִרֶב רַב, דְּכָל חֶסֶד דְּעָבְדִין לְגַרְמַיְהוּ עָבְדִין.</w:t>
      </w:r>
    </w:p>
    <w:p w:rsidR="00606298" w:rsidRDefault="00606298" w:rsidP="00B17EA9">
      <w:pPr>
        <w:pStyle w:val="NormalWeb"/>
        <w:rPr>
          <w:rtl/>
        </w:rPr>
      </w:pPr>
      <w:r>
        <w:rPr>
          <w:rtl/>
        </w:rPr>
        <w:t xml:space="preserve">וְעוֹד אִינוּן שָׁאֲלִין מְזוֹנָא וְכִסּוּיָא וְעוֹנָה, דְאִיהִי עוֹנַת זְוִּגַיְיהוּ, דְאִתְּמַר בָּהּ </w:t>
      </w:r>
      <w:r>
        <w:rPr>
          <w:sz w:val="20"/>
          <w:szCs w:val="23"/>
          <w:rtl/>
        </w:rPr>
        <w:t>(שמות כא ו)</w:t>
      </w:r>
      <w:r>
        <w:rPr>
          <w:rtl/>
        </w:rPr>
        <w:t xml:space="preserve"> שְׁאֵרָהּ כְּסוּתָהּ וְעֹנָתָהּ לֹא יִגְרָע, וְלָא אִית מָאן דְּשָׁאִיל </w:t>
      </w:r>
      <w:r>
        <w:rPr>
          <w:rStyle w:val="a7"/>
          <w:rtl/>
        </w:rPr>
        <w:footnoteReference w:id="1278"/>
      </w:r>
      <w:r>
        <w:rPr>
          <w:rtl/>
        </w:rPr>
        <w:t xml:space="preserve">מְזוֹנָא דְאִיהִי תוֹרָה, </w:t>
      </w:r>
      <w:r>
        <w:rPr>
          <w:rStyle w:val="a7"/>
          <w:rtl/>
        </w:rPr>
        <w:footnoteReference w:id="1279"/>
      </w:r>
      <w:r>
        <w:rPr>
          <w:rtl/>
        </w:rPr>
        <w:t xml:space="preserve">שְׁאֵרָהּ דִשְׁכִינְתָּא, וְאִיהִי אִימָּא עִלָּאָה, דְאִתְּמַר בָּהּ </w:t>
      </w:r>
      <w:r>
        <w:rPr>
          <w:sz w:val="20"/>
          <w:szCs w:val="23"/>
          <w:rtl/>
        </w:rPr>
        <w:t>(משלי א ח)</w:t>
      </w:r>
      <w:r>
        <w:rPr>
          <w:rtl/>
        </w:rPr>
        <w:t xml:space="preserve"> וְאַל תִּטֹּשׁ תּוֹרַת אִמֶּךָ, כְּסוּתָהּ דָּא כִסּוּיָא דְצִיצִית, </w:t>
      </w:r>
      <w:r>
        <w:rPr>
          <w:rStyle w:val="a7"/>
          <w:rtl/>
        </w:rPr>
        <w:footnoteReference w:id="1280"/>
      </w:r>
      <w:r>
        <w:rPr>
          <w:rtl/>
        </w:rPr>
        <w:t xml:space="preserve">וְעַטִּיפוּ דִילַהּ בתְפִלִּין דְּיָד, דְּאִתְּמַר בָּהּ </w:t>
      </w:r>
      <w:r>
        <w:rPr>
          <w:sz w:val="20"/>
          <w:szCs w:val="23"/>
          <w:rtl/>
        </w:rPr>
        <w:t>(תהלים קב א)</w:t>
      </w:r>
      <w:r>
        <w:rPr>
          <w:rtl/>
        </w:rPr>
        <w:t xml:space="preserve"> </w:t>
      </w:r>
      <w:r>
        <w:rPr>
          <w:rStyle w:val="a7"/>
          <w:rtl/>
        </w:rPr>
        <w:footnoteReference w:id="1281"/>
      </w:r>
      <w:r>
        <w:rPr>
          <w:rtl/>
        </w:rPr>
        <w:t xml:space="preserve">תְּפִלָּה </w:t>
      </w:r>
      <w:r>
        <w:rPr>
          <w:rStyle w:val="a7"/>
          <w:rtl/>
        </w:rPr>
        <w:footnoteReference w:id="1282"/>
      </w:r>
      <w:r>
        <w:rPr>
          <w:rtl/>
        </w:rPr>
        <w:t xml:space="preserve">לְעָנִי כִי יַעֲטֹף, וְעוֹנָתָהּ </w:t>
      </w:r>
      <w:r>
        <w:rPr>
          <w:rStyle w:val="a7"/>
          <w:rtl/>
        </w:rPr>
        <w:footnoteReference w:id="1283"/>
      </w:r>
      <w:r>
        <w:rPr>
          <w:rtl/>
        </w:rPr>
        <w:t xml:space="preserve">דָּא קְרִיאַת שְׁמַע בְּעוֹנָתָהּ, דְּאִם שְׁלָשׁ אֵלֶּה לֹא יַעֲשֶׂה לָהּ לִשְׁכִינְתָּא, וְיָצְאָה חִנָּם </w:t>
      </w:r>
      <w:r>
        <w:rPr>
          <w:rtl/>
        </w:rPr>
        <w:lastRenderedPageBreak/>
        <w:t xml:space="preserve">אֵין כָּסֶף </w:t>
      </w:r>
      <w:r>
        <w:rPr>
          <w:sz w:val="20"/>
          <w:szCs w:val="23"/>
          <w:rtl/>
        </w:rPr>
        <w:t>(שמות כא יא)</w:t>
      </w:r>
      <w:r>
        <w:rPr>
          <w:rtl/>
        </w:rPr>
        <w:t>, לֵית לֵיהּ כִּסּוּפָא מִן שְׁכִינְתָּא, חָצִיף אִיהוּ, וְעוֹד אֵין כָּסֶף לָא יְהֵא לֵיהּ כִּסּוּפָא לְעָלְמָא דְאָתֵי.</w:t>
      </w:r>
    </w:p>
    <w:p w:rsidR="00606298" w:rsidRDefault="00606298" w:rsidP="00B17EA9">
      <w:pPr>
        <w:pStyle w:val="NormalWeb"/>
        <w:rPr>
          <w:rtl/>
        </w:rPr>
      </w:pPr>
      <w:r>
        <w:rPr>
          <w:rStyle w:val="a7"/>
          <w:rtl/>
        </w:rPr>
        <w:footnoteReference w:id="1284"/>
      </w:r>
      <w:r>
        <w:rPr>
          <w:rtl/>
        </w:rPr>
        <w:t xml:space="preserve">וְהֶן כָּל אֵלֶּה יִפְעַל אֵ''ל פַּעֲמַיִם שָׁלֹשׁ עִם גָּבֶר </w:t>
      </w:r>
      <w:r>
        <w:rPr>
          <w:sz w:val="20"/>
          <w:szCs w:val="23"/>
          <w:rtl/>
        </w:rPr>
        <w:t>(איוב לג כט)</w:t>
      </w:r>
      <w:r>
        <w:rPr>
          <w:rtl/>
        </w:rPr>
        <w:t xml:space="preserve">, </w:t>
      </w:r>
      <w:r>
        <w:rPr>
          <w:rStyle w:val="a7"/>
          <w:rtl/>
        </w:rPr>
        <w:footnoteReference w:id="1285"/>
      </w:r>
      <w:r>
        <w:rPr>
          <w:rtl/>
        </w:rPr>
        <w:t xml:space="preserve">וּבְגִין דָּא כִּי הִיא כְסוּתֹה לְבַדָּהּ, דָא גִלְגּוּלָא קַדְמָאָה, </w:t>
      </w:r>
      <w:r>
        <w:rPr>
          <w:rStyle w:val="a7"/>
          <w:rtl/>
        </w:rPr>
        <w:footnoteReference w:id="1286"/>
      </w:r>
      <w:r>
        <w:rPr>
          <w:rtl/>
        </w:rPr>
        <w:t xml:space="preserve">הִיא שִׂמְלָתוֹ לְעוֹרוֹ, דָא גִלְגּוּלָא תִנְיָינָא, </w:t>
      </w:r>
      <w:r>
        <w:rPr>
          <w:rStyle w:val="a7"/>
          <w:rtl/>
        </w:rPr>
        <w:footnoteReference w:id="1287"/>
      </w:r>
      <w:r>
        <w:rPr>
          <w:rtl/>
        </w:rPr>
        <w:t xml:space="preserve">בַּמֶּה יִשְׁכָּב, דָּא גִלְגּוּלָא תְּלִיתָאָה, </w:t>
      </w:r>
      <w:r>
        <w:rPr>
          <w:rStyle w:val="a7"/>
          <w:rtl/>
        </w:rPr>
        <w:footnoteReference w:id="1288"/>
      </w:r>
      <w:r>
        <w:rPr>
          <w:rtl/>
        </w:rPr>
        <w:t>וְאִלֵּין אִינוּן תְּלַת לְבוּשִׁין, דִּתְלַת כִּסּוּיָין, דִּתְלַת גַּוָּונִין דְּעִינָא, דְּאִינוּן לְבוּשִׁין לְבַת עַיִן, דְּאִיהִי נִשְׁמָתָא.</w:t>
      </w:r>
    </w:p>
    <w:p w:rsidR="00606298" w:rsidRDefault="00606298" w:rsidP="00B17EA9">
      <w:pPr>
        <w:pStyle w:val="NormalWeb"/>
        <w:rPr>
          <w:rtl/>
        </w:rPr>
      </w:pPr>
      <w:r>
        <w:rPr>
          <w:rtl/>
        </w:rPr>
        <w:t xml:space="preserve">וּבְאִלֵּין תְּלַת אִתְּמַר </w:t>
      </w:r>
      <w:r>
        <w:rPr>
          <w:sz w:val="20"/>
          <w:szCs w:val="23"/>
          <w:rtl/>
        </w:rPr>
        <w:t>(שמות כג יז)</w:t>
      </w:r>
      <w:r>
        <w:rPr>
          <w:rtl/>
        </w:rPr>
        <w:t xml:space="preserve"> </w:t>
      </w:r>
      <w:r>
        <w:rPr>
          <w:rStyle w:val="a7"/>
          <w:rtl/>
        </w:rPr>
        <w:footnoteReference w:id="1289"/>
      </w:r>
      <w:r>
        <w:rPr>
          <w:rtl/>
        </w:rPr>
        <w:t xml:space="preserve">שָׁלֹשׁ פְּעָמִים בַּשָּׁנָה </w:t>
      </w:r>
      <w:r>
        <w:rPr>
          <w:rStyle w:val="a7"/>
          <w:rtl/>
        </w:rPr>
        <w:footnoteReference w:id="1290"/>
      </w:r>
      <w:r>
        <w:rPr>
          <w:rtl/>
        </w:rPr>
        <w:t xml:space="preserve">יֵרָאֶה </w:t>
      </w:r>
      <w:r>
        <w:rPr>
          <w:rStyle w:val="a7"/>
          <w:rtl/>
        </w:rPr>
        <w:footnoteReference w:id="1291"/>
      </w:r>
      <w:r>
        <w:rPr>
          <w:rtl/>
        </w:rPr>
        <w:t xml:space="preserve">כָּל זְכוּרְךָ, וְלָקֳבֵל תְּלַת זִמְנִּין אִינוּן </w:t>
      </w:r>
      <w:r>
        <w:rPr>
          <w:rStyle w:val="a7"/>
          <w:rtl/>
        </w:rPr>
        <w:footnoteReference w:id="1292"/>
      </w:r>
      <w:r>
        <w:rPr>
          <w:rtl/>
        </w:rPr>
        <w:t xml:space="preserve">תְּלַת גַּוָּונִין דִּשְׁרַגָּא, דְאִתְּמַר בְּהוֹן </w:t>
      </w:r>
      <w:r>
        <w:rPr>
          <w:sz w:val="20"/>
          <w:szCs w:val="23"/>
          <w:rtl/>
        </w:rPr>
        <w:t>(שם ג ב)</w:t>
      </w:r>
      <w:r>
        <w:rPr>
          <w:rtl/>
        </w:rPr>
        <w:t xml:space="preserve"> וַיֵּרָא מַלְאַךְ יְיָ' אֵלָיו בְּלַבַּת אֵשׁ מִתּוֹךְ הַסְּנֶה, הָא גַוָּון חַד, וַיַּרְא וְהִנֵּה הַסְּנֶה בֹּעִר בָּאֵשׁ גַוָּון תִּנְיָינָא, וַיֹּאמֶר מֹשֶׁה אַסוּרָה נָא וְאֶרְאֶה אֶת הַמַּרְאֶה הַגָּדוֹל הַזֶּה מַדוּעַ כו' הָא גַוָּון תְּלָתָא, וְאִינוּן לָקֳבֵל שְׁלֹשָׁה גַוָּונִין דְּעִינָא, </w:t>
      </w:r>
      <w:r>
        <w:rPr>
          <w:rStyle w:val="a7"/>
          <w:rtl/>
        </w:rPr>
        <w:footnoteReference w:id="1293"/>
      </w:r>
      <w:r>
        <w:rPr>
          <w:rtl/>
        </w:rPr>
        <w:t xml:space="preserve">בְּלַבַּת אֵשׁ דָּא בַּת עַיִן, בְּהַהוּא זִמְנָא דִיְהוֹן נְהִירִין תְּלַת גַּוָּונִין דְּעִינָא, דְאִינוּן לָקֳבֵל תְּלַת גַּוָּונִין דְּקֶשֶׁת, מִיָּד וּרְאִיתִיהָ לִזְכֹּר בְּרִית עוֹלָם </w:t>
      </w:r>
      <w:r>
        <w:rPr>
          <w:sz w:val="20"/>
          <w:szCs w:val="23"/>
          <w:rtl/>
        </w:rPr>
        <w:t>(בראשית ט טז)</w:t>
      </w:r>
      <w:r>
        <w:rPr>
          <w:rtl/>
        </w:rPr>
        <w:t xml:space="preserve">, וּבְהַהוּא זִמְנָא כִּי עַיִן בְּעַיִן יִרְאוּ בְּשׁוּב יְיָ' צִיּוֹן </w:t>
      </w:r>
      <w:r>
        <w:rPr>
          <w:sz w:val="20"/>
          <w:szCs w:val="23"/>
          <w:rtl/>
        </w:rPr>
        <w:t>(ישעיה נב ח)</w:t>
      </w:r>
      <w:r>
        <w:rPr>
          <w:rtl/>
        </w:rPr>
        <w:t>.</w:t>
      </w:r>
    </w:p>
    <w:p w:rsidR="00606298" w:rsidRDefault="00606298" w:rsidP="00134F53">
      <w:pPr>
        <w:pStyle w:val="2"/>
        <w:rPr>
          <w:rtl/>
        </w:rPr>
      </w:pPr>
      <w:bookmarkStart w:id="90" w:name="_Toc405982941"/>
      <w:r>
        <w:rPr>
          <w:rtl/>
        </w:rPr>
        <w:t>[תיקוני זוהר - דף יח ע''ב]</w:t>
      </w:r>
      <w:bookmarkEnd w:id="90"/>
    </w:p>
    <w:p w:rsidR="00606298" w:rsidRDefault="00606298" w:rsidP="00B17EA9">
      <w:pPr>
        <w:pStyle w:val="NormalWeb"/>
        <w:rPr>
          <w:rtl/>
        </w:rPr>
      </w:pPr>
      <w:r>
        <w:rPr>
          <w:rStyle w:val="a7"/>
          <w:rtl/>
        </w:rPr>
        <w:footnoteReference w:id="1294"/>
      </w:r>
      <w:r>
        <w:rPr>
          <w:rtl/>
        </w:rPr>
        <w:t xml:space="preserve">אוֹר דְּעִינָא הוּא עַמּוּדָא דְאֶמְצָעִיתָא, בַּת עַיִן בֵּיתָא דִילָהּ, </w:t>
      </w:r>
      <w:r>
        <w:rPr>
          <w:rStyle w:val="a7"/>
          <w:rtl/>
        </w:rPr>
        <w:footnoteReference w:id="1295"/>
      </w:r>
      <w:r>
        <w:rPr>
          <w:rtl/>
        </w:rPr>
        <w:t xml:space="preserve">בְּהַהוּא זִמְנָא דְיִתְפַּנֵּי עַנָּנָא מִן בַּת עִינָא, דְאִתְּמַר בָּהּ </w:t>
      </w:r>
      <w:r>
        <w:rPr>
          <w:sz w:val="20"/>
          <w:szCs w:val="23"/>
          <w:rtl/>
        </w:rPr>
        <w:t>(איכה ג מד)</w:t>
      </w:r>
      <w:r>
        <w:rPr>
          <w:rtl/>
        </w:rPr>
        <w:t xml:space="preserve"> סַכֹּתָה בֶעָנָן לָךְ וְגוֹמֵר, דְּאִיהִי תְּבַלּוּל דְּעִינָא, דָא </w:t>
      </w:r>
      <w:r>
        <w:rPr>
          <w:rStyle w:val="a7"/>
          <w:rtl/>
        </w:rPr>
        <w:footnoteReference w:id="1296"/>
      </w:r>
      <w:r>
        <w:rPr>
          <w:rtl/>
        </w:rPr>
        <w:t xml:space="preserve">רוֹמִי רַבְּתָא, </w:t>
      </w:r>
      <w:r>
        <w:rPr>
          <w:sz w:val="20"/>
          <w:szCs w:val="23"/>
          <w:rtl/>
        </w:rPr>
        <w:t xml:space="preserve">(דף יח ע''ב) </w:t>
      </w:r>
      <w:r>
        <w:rPr>
          <w:rtl/>
        </w:rPr>
        <w:t xml:space="preserve">שְׁכִינְתָּא עִלָּאָה עֲתִידָה לְמֵימַר לְקוּדְשָׁא בְּרִיךְ הוּא, </w:t>
      </w:r>
      <w:r>
        <w:rPr>
          <w:rStyle w:val="a7"/>
          <w:rtl/>
        </w:rPr>
        <w:footnoteReference w:id="1297"/>
      </w:r>
      <w:r>
        <w:rPr>
          <w:rtl/>
        </w:rPr>
        <w:t xml:space="preserve">לָמָּה תַעֲמוֹד בַּחוּץ, וְאָנֹכִי פִּנִּיתִי הַבַּיִת </w:t>
      </w:r>
      <w:r>
        <w:rPr>
          <w:sz w:val="20"/>
          <w:szCs w:val="23"/>
          <w:rtl/>
        </w:rPr>
        <w:t>(בראשית כד לא)</w:t>
      </w:r>
      <w:r>
        <w:rPr>
          <w:rtl/>
        </w:rPr>
        <w:t xml:space="preserve">, </w:t>
      </w:r>
      <w:r>
        <w:rPr>
          <w:rStyle w:val="a7"/>
          <w:rtl/>
        </w:rPr>
        <w:footnoteReference w:id="1298"/>
      </w:r>
      <w:r>
        <w:rPr>
          <w:rtl/>
        </w:rPr>
        <w:t xml:space="preserve">אָנֹכִי דִיְצִיאַת מִצְרַיִם, וְאַף עַל גַּב דְּאֵין חָבוּשׁ מַתִּיר עַצְמוֹ מִבֵּית הָאֲסוּרִים, דְּאִיהִי שְׁכִינְתָּא, דְאִיהִי אֲסוּרָה בְגָלוּתָא, שְׁכִינְתָּא עִלָּאָה יִפְרוֹק לָהּ, הֲדָא הוּא דִכְתִיב </w:t>
      </w:r>
      <w:r>
        <w:rPr>
          <w:sz w:val="20"/>
          <w:szCs w:val="23"/>
          <w:rtl/>
        </w:rPr>
        <w:t>(רות ג יג)</w:t>
      </w:r>
      <w:r>
        <w:rPr>
          <w:rtl/>
        </w:rPr>
        <w:t xml:space="preserve"> אִם </w:t>
      </w:r>
      <w:r>
        <w:rPr>
          <w:rStyle w:val="a7"/>
          <w:rtl/>
        </w:rPr>
        <w:footnoteReference w:id="1299"/>
      </w:r>
      <w:r>
        <w:rPr>
          <w:rtl/>
        </w:rPr>
        <w:t xml:space="preserve">יִגְאָלֵךְ טוֹב יִגְאָל, וְאִם לֹא יַחְפֹּץ לְגָאֳלֵךְ וּגְאַלְתִּיךְ אָנֹכִי, חַי </w:t>
      </w:r>
      <w:r>
        <w:rPr>
          <w:rtl/>
        </w:rPr>
        <w:lastRenderedPageBreak/>
        <w:t xml:space="preserve">יְיָ' שִׁכְבִי עַד הַבֹּקֶר, </w:t>
      </w:r>
      <w:r>
        <w:rPr>
          <w:rStyle w:val="a7"/>
          <w:rtl/>
        </w:rPr>
        <w:footnoteReference w:id="1300"/>
      </w:r>
      <w:r>
        <w:rPr>
          <w:rtl/>
        </w:rPr>
        <w:t>דְּאִיהִי יְמִינָא פְּשׁוּטָה לְקַבֵּל שָׁבִים, דְּלֵית מִלְתָא דָא תַלְיָא אֶלָּא בִּתְיוּבְתָּא, יְמִין עִלָּאָה דִשְׁכִינְתָּא.</w:t>
      </w:r>
    </w:p>
    <w:p w:rsidR="00606298" w:rsidRDefault="00606298" w:rsidP="00B17EA9">
      <w:pPr>
        <w:pStyle w:val="NormalWeb"/>
        <w:rPr>
          <w:rtl/>
        </w:rPr>
      </w:pPr>
      <w:r>
        <w:rPr>
          <w:rStyle w:val="a7"/>
          <w:rtl/>
        </w:rPr>
        <w:footnoteReference w:id="1301"/>
      </w:r>
      <w:r>
        <w:rPr>
          <w:rtl/>
        </w:rPr>
        <w:t xml:space="preserve">בְּהַהוּא זִמְנָא שְׁכִינְתָּא עִלָּאָה כְּנֶשֶׁר יָעִיר קִנּוֹ </w:t>
      </w:r>
      <w:r>
        <w:rPr>
          <w:sz w:val="20"/>
          <w:szCs w:val="23"/>
          <w:rtl/>
        </w:rPr>
        <w:t>(דברים לב יא)</w:t>
      </w:r>
      <w:r>
        <w:rPr>
          <w:rtl/>
        </w:rPr>
        <w:t xml:space="preserve">, דְאִיהוּ יְרוּשָׁלַם, ק''ן ו' </w:t>
      </w:r>
      <w:r>
        <w:rPr>
          <w:rStyle w:val="a7"/>
          <w:rtl/>
        </w:rPr>
        <w:footnoteReference w:id="1302"/>
      </w:r>
      <w:r>
        <w:rPr>
          <w:rtl/>
        </w:rPr>
        <w:t xml:space="preserve">עַל גּוֹזָלָיו יְרַחֵף, יִפְרוֹשׂ כְּנָפָיו יִקָּחֵהוּ יִשָּׂאֵהוּ עַל אֶבְרָתוֹ, הֲדָא הוּא דִכְתִיב </w:t>
      </w:r>
      <w:r>
        <w:rPr>
          <w:sz w:val="20"/>
          <w:szCs w:val="23"/>
          <w:rtl/>
        </w:rPr>
        <w:t>(שמות יט ד)</w:t>
      </w:r>
      <w:r>
        <w:rPr>
          <w:rtl/>
        </w:rPr>
        <w:t xml:space="preserve"> וָאֶשָּׂא אֶתְכֶם עַל כַּנְפֵי נְשָׁרִים וָאָבִיא אֶתְכֶם אֵלָי.</w:t>
      </w:r>
    </w:p>
    <w:p w:rsidR="00606298" w:rsidRDefault="00606298" w:rsidP="00B17EA9">
      <w:pPr>
        <w:pStyle w:val="NormalWeb"/>
        <w:rPr>
          <w:rtl/>
        </w:rPr>
      </w:pPr>
      <w:r>
        <w:rPr>
          <w:rtl/>
        </w:rPr>
        <w:t xml:space="preserve">דִּבְזִמְנָא דִשְׁכִינְתָּא אִיהִי בְגָלוּתָא, דְאִתְּמַר בָּהּ </w:t>
      </w:r>
      <w:r>
        <w:rPr>
          <w:sz w:val="20"/>
          <w:szCs w:val="23"/>
          <w:rtl/>
        </w:rPr>
        <w:t>(בראשית ח ט)</w:t>
      </w:r>
      <w:r>
        <w:rPr>
          <w:rtl/>
        </w:rPr>
        <w:t xml:space="preserve"> וְלֹא מָצְאָה הַיּוֹנָה מָנוֹחַ וְגוֹמֵר, אֶלָּא בְּשַׁבָּת וְיוֹמִין טָבִין, וּבְהַהוּא זִמְנָא אִתְיַיחֲדַת עִם בַּעְלָהּ, וְכַמָּה נְפָשׁוֹת יְתֵרִין קָא נָחֲתִין עִמָּהּ, לְדַיָּירָא בְּיִשְׂרָאֵל, </w:t>
      </w:r>
      <w:r>
        <w:rPr>
          <w:rStyle w:val="a7"/>
          <w:rtl/>
        </w:rPr>
        <w:footnoteReference w:id="1303"/>
      </w:r>
      <w:r>
        <w:rPr>
          <w:rtl/>
        </w:rPr>
        <w:t xml:space="preserve">הֲדָא הוּא דִכְתִיב </w:t>
      </w:r>
      <w:r>
        <w:rPr>
          <w:sz w:val="20"/>
          <w:szCs w:val="23"/>
          <w:rtl/>
        </w:rPr>
        <w:t>(שמות לא טז)</w:t>
      </w:r>
      <w:r>
        <w:rPr>
          <w:rtl/>
        </w:rPr>
        <w:t xml:space="preserve"> וְשָׁמְרוּ בְנֵי יִשְׂרָאֵל אֶת הַשַּׁבָּת לַעֲשׂוֹת אֶת הַשַּׁבָּת לְדֹרֹתָם, זַכָּאָה אִיהוּ מָאן דִּמְתַקֵּן לָהּ דִּירָה נָאָה בְּלִבֵּיהּ, וְכֵלִים נָאִים בְּאֵיבָרִים דִּילֵיהּ, וְאִשָּׁה נָאָה דְאִיהִי נִשְׁמָתֵיהּ, </w:t>
      </w:r>
      <w:r>
        <w:rPr>
          <w:rStyle w:val="a7"/>
          <w:rtl/>
        </w:rPr>
        <w:footnoteReference w:id="1304"/>
      </w:r>
      <w:r>
        <w:rPr>
          <w:rtl/>
        </w:rPr>
        <w:t xml:space="preserve">דִּבְגִינָהּ שַׁרְיָא שְׁכִינְתָּא עִלָּאָה דְאִיהִי נִשְׁמַת כָּל חַי עֲלֵיהּ, וְקוּדְשָׁא בְּרִיךְ הוּא אִיהוּ שָׁבַת בְּחָד, וַיִּנָּפַשׁ בְּחָד, בִּשְׁכִינְתָּא עִלָּאָה אִיהוּ שָׁבַת עֲלַיְיהוּ, וּבִשְׁכִינְתָּא תַּתָּאָה </w:t>
      </w:r>
      <w:r>
        <w:rPr>
          <w:rStyle w:val="a7"/>
          <w:rtl/>
        </w:rPr>
        <w:footnoteReference w:id="1305"/>
      </w:r>
      <w:r>
        <w:rPr>
          <w:rtl/>
        </w:rPr>
        <w:t>אִיהוּ וַיִּנָּפַשׁ עֲלַיְיהוּ, וְיָהִיב לוֹן נַפְשָׁאן יְתֵירָן.</w:t>
      </w:r>
    </w:p>
    <w:p w:rsidR="00606298" w:rsidRDefault="00606298" w:rsidP="00B17EA9">
      <w:pPr>
        <w:pStyle w:val="NormalWeb"/>
        <w:rPr>
          <w:rtl/>
        </w:rPr>
      </w:pPr>
      <w:r>
        <w:rPr>
          <w:rtl/>
        </w:rPr>
        <w:t xml:space="preserve">דְּאִינוּן בְּתוּלוֹת אַחֲרֶיהָ רֵעוֹתֶיהָ, דְּקָא אַתְיָיאן עִמָּהּ, וְכַמָּה מַלְאָכִים מְמַנָּן וּמְשַׁמְּשִׁין דִּלְהוֹן קָא אַתְיָיאן עִמְּהוֹן, דְּאִינוּן </w:t>
      </w:r>
      <w:r>
        <w:rPr>
          <w:rStyle w:val="a7"/>
          <w:rtl/>
        </w:rPr>
        <w:footnoteReference w:id="1306"/>
      </w:r>
      <w:r>
        <w:rPr>
          <w:rtl/>
        </w:rPr>
        <w:t xml:space="preserve">שַׁבְעִין, דְּתַלְיָין מִן זָכוֹר וְשָׁמוֹר, וְדָא אִיהוּ וַיְכֻלּ''וּ, כְּלִיל שַׁבְעִין וּתְרֵין, </w:t>
      </w:r>
      <w:r>
        <w:rPr>
          <w:rStyle w:val="a7"/>
          <w:rtl/>
        </w:rPr>
        <w:footnoteReference w:id="1307"/>
      </w:r>
      <w:r>
        <w:rPr>
          <w:rtl/>
        </w:rPr>
        <w:t>וְאִתְקְרִיאוּ אִלֵּין נְפָשׁוֹת אוּשְׁפִּזִּין, בְּגִין דְּלָא שַׁרְיָיאן בְּיִשְׂרָאֵל אֶלָּא בְּיוֹם הַשַּׁבָּת, וְכַד נָפִיק שַׁבָּת כֻּלְּהוּ חָזְרִין לְאַתְרַיְיהוּ.</w:t>
      </w:r>
    </w:p>
    <w:p w:rsidR="00606298" w:rsidRDefault="00606298" w:rsidP="00B17EA9">
      <w:pPr>
        <w:pStyle w:val="NormalWeb"/>
        <w:rPr>
          <w:rtl/>
        </w:rPr>
      </w:pPr>
      <w:r>
        <w:rPr>
          <w:rtl/>
        </w:rPr>
        <w:t xml:space="preserve">וְנִשְׁמָתִין דְּאִינוּן מִסִּטְרָא דִשְׁכִינְתָּא עִלָּאָה אִתְקְרִיאוּ אֶפְרוֹחִין, וְנַפְשִׁין מִסִּטְרָא דִשְׁכִינְתָּא תַּתָּאָה אִקְרוּן בֵּיצִים, וְדָא אִיהוּ רָזָא דְהַפּוֹרֵס סֻכַּת שָׁלוֹם עָלֵינוּ, אִימָּא עִלָּאָה דְאִיהִי סֻכַּת שָׁלוֹם דִּמְסַכֵךְ עֲלַיְיהוּ, </w:t>
      </w:r>
      <w:r>
        <w:rPr>
          <w:rStyle w:val="a7"/>
          <w:rtl/>
        </w:rPr>
        <w:footnoteReference w:id="1308"/>
      </w:r>
      <w:r>
        <w:rPr>
          <w:rtl/>
        </w:rPr>
        <w:t xml:space="preserve">וְשָׁלוֹם עִמָּהּ, דְּאִתְּמַר בֵּיהּ </w:t>
      </w:r>
      <w:r>
        <w:rPr>
          <w:sz w:val="20"/>
          <w:szCs w:val="23"/>
          <w:rtl/>
        </w:rPr>
        <w:t>(במדבר כה יב)</w:t>
      </w:r>
      <w:r>
        <w:rPr>
          <w:rtl/>
        </w:rPr>
        <w:t xml:space="preserve"> הִנְנִי נוֹתֵן לוֹ אֶת בְּרִיתִי שָׁלוֹם, </w:t>
      </w:r>
      <w:r>
        <w:rPr>
          <w:rStyle w:val="a7"/>
          <w:rtl/>
        </w:rPr>
        <w:footnoteReference w:id="1309"/>
      </w:r>
      <w:r>
        <w:rPr>
          <w:rtl/>
        </w:rPr>
        <w:t xml:space="preserve">וְאִית סוּכָּה לְתַתָּא </w:t>
      </w:r>
      <w:r>
        <w:rPr>
          <w:rStyle w:val="a7"/>
          <w:rtl/>
        </w:rPr>
        <w:footnoteReference w:id="1310"/>
      </w:r>
      <w:r>
        <w:rPr>
          <w:rtl/>
        </w:rPr>
        <w:t xml:space="preserve">כ''ו ה''ס דְּאִיהוּ יאהדונה''י, סוּכַּת שָׁלוֹם, </w:t>
      </w:r>
      <w:r>
        <w:rPr>
          <w:rStyle w:val="a7"/>
          <w:rtl/>
        </w:rPr>
        <w:footnoteReference w:id="1311"/>
      </w:r>
      <w:r>
        <w:rPr>
          <w:rtl/>
        </w:rPr>
        <w:t>כּוֹ''ס ת', דְּאִיהוּ תִפְאֶרֶת. בְּהַהוּא זִמְנָא יְהוֹן בְּנִין בִּרְשׁוּתָא דְקוּדְשָׁא בְּרִיךְ הוּא, וְקָלָא נָפִיק וְיֵימָא לֹא תִקַּח הָאֵם עַל הַבָּנִים, מִיָּד דְּנָפִיק זָכוֹר וְשָׁמוֹר דְּשַׁבָּת, וְיֵיתֵי לֵילְיָא דְיוֹמָא קַמָּא דְשַׁבַּתָּא, קָלָא תִּנְיָינָא נָפִיק שַׁלֵּחַ תְּשַׁלַּח.</w:t>
      </w:r>
    </w:p>
    <w:p w:rsidR="00606298" w:rsidRDefault="00606298" w:rsidP="00B17EA9">
      <w:pPr>
        <w:pStyle w:val="NormalWeb"/>
        <w:rPr>
          <w:rtl/>
        </w:rPr>
      </w:pPr>
      <w:r>
        <w:rPr>
          <w:rtl/>
        </w:rPr>
        <w:t xml:space="preserve">וְתוּ כִּי יִקָּרֵא קַן צִפּוֹר לְפָנֶיךָ, דָּא סוּכָּה דְאִיהִי אִימָּא עִלָּאָה, </w:t>
      </w:r>
      <w:r>
        <w:rPr>
          <w:rStyle w:val="a7"/>
          <w:rtl/>
        </w:rPr>
        <w:footnoteReference w:id="1312"/>
      </w:r>
      <w:r>
        <w:rPr>
          <w:rtl/>
        </w:rPr>
        <w:t xml:space="preserve">בְּכָל עִץ, הֲדָא הוּא דִכְתִיב </w:t>
      </w:r>
      <w:r>
        <w:rPr>
          <w:sz w:val="20"/>
          <w:szCs w:val="23"/>
          <w:rtl/>
        </w:rPr>
        <w:t>(ויקרא כג מ)</w:t>
      </w:r>
      <w:r>
        <w:rPr>
          <w:rtl/>
        </w:rPr>
        <w:t xml:space="preserve"> וּלְקַחְתֶּם לָכֶם בַּיּוֹם הָרִאשׁוֹן פְּרִי עִץ הָדָר, אֶפְרוֹחִים אִלֵּין שִׁבְעַת יְמֵי הַסֻּכּוֹת, אוֹ בֵּיצִים דִּבְהוֹן עָבְדִין </w:t>
      </w:r>
      <w:r>
        <w:rPr>
          <w:rStyle w:val="a7"/>
          <w:rtl/>
        </w:rPr>
        <w:footnoteReference w:id="1313"/>
      </w:r>
      <w:r>
        <w:rPr>
          <w:rtl/>
        </w:rPr>
        <w:t xml:space="preserve">שֶׁבַע הַקָּפוֹת, וְרָזָא דְמִלָּה נְקֵבָה תְּסוֹבֵב גָּבֶר </w:t>
      </w:r>
      <w:r>
        <w:rPr>
          <w:sz w:val="20"/>
          <w:szCs w:val="23"/>
          <w:rtl/>
        </w:rPr>
        <w:t>(ירמיה לא כא)</w:t>
      </w:r>
      <w:r>
        <w:rPr>
          <w:rtl/>
        </w:rPr>
        <w:t>.</w:t>
      </w:r>
    </w:p>
    <w:p w:rsidR="00606298" w:rsidRDefault="00606298" w:rsidP="00B17EA9">
      <w:pPr>
        <w:pStyle w:val="NormalWeb"/>
        <w:rPr>
          <w:rtl/>
        </w:rPr>
      </w:pPr>
      <w:r>
        <w:rPr>
          <w:rtl/>
        </w:rPr>
        <w:t xml:space="preserve">פְּרִי עִץ הָדָר אִימָּא תַּתָּאָה, </w:t>
      </w:r>
      <w:r>
        <w:rPr>
          <w:rStyle w:val="a7"/>
          <w:rtl/>
        </w:rPr>
        <w:footnoteReference w:id="1314"/>
      </w:r>
      <w:r>
        <w:rPr>
          <w:rtl/>
        </w:rPr>
        <w:t xml:space="preserve">עִץ אִיהוּ לוּלָ''ב, ל''ו ל''ב נְתִיבוֹת, דְּאִיהוּ אֶתְרוֹג, </w:t>
      </w:r>
      <w:r>
        <w:rPr>
          <w:rStyle w:val="a7"/>
          <w:rtl/>
        </w:rPr>
        <w:footnoteReference w:id="1315"/>
      </w:r>
      <w:r>
        <w:rPr>
          <w:rtl/>
        </w:rPr>
        <w:t xml:space="preserve">וְצָרִיךְ לְנַעְנָעָא בֵּיהּ לְשִׁית סִטְרִין, אַרְבַּע רוּחִין וְעִילָא וְתַתָּא, לְאַתְעָרָא עֲלֵיהּ ו', </w:t>
      </w:r>
      <w:r>
        <w:rPr>
          <w:rStyle w:val="a7"/>
          <w:rtl/>
        </w:rPr>
        <w:footnoteReference w:id="1316"/>
      </w:r>
      <w:r>
        <w:rPr>
          <w:rtl/>
        </w:rPr>
        <w:t xml:space="preserve">וּתְלַת נִעְנוּעִין לְכָל סִטְרָא סָלְקִין חַ''י, וְצָרִיךְ אַרְבַּע זִמְנִין </w:t>
      </w:r>
      <w:r>
        <w:rPr>
          <w:rtl/>
        </w:rPr>
        <w:lastRenderedPageBreak/>
        <w:t xml:space="preserve">חַ''י, חַד בִּנְטִילַת לוּלָב, וחַד  בְּאָנָא יְיָ', תְּרֵין אָחֳרָנִין בְּהוֹדוּ לַייָ תְּחִלָּה וָסוֹף, וּבְאִלֵּין נִעְנוּעִין אִינוּן מַשְׁפִּילִין מֵעִילָא לְתַתָּא </w:t>
      </w:r>
      <w:r>
        <w:rPr>
          <w:rStyle w:val="a7"/>
          <w:rtl/>
        </w:rPr>
        <w:footnoteReference w:id="1317"/>
      </w:r>
      <w:r>
        <w:rPr>
          <w:rtl/>
        </w:rPr>
        <w:t xml:space="preserve">לְשַׁבְעִין וּתְרֵין אוּמִין, וּלְבָתַר דְּנָצְחֵי לוֹן אָמְרֵי אֲנִ''י וָה''וּ הוֹשִׁיעָה נָא תְּרֵין זִמְנִין, </w:t>
      </w:r>
      <w:r>
        <w:rPr>
          <w:rStyle w:val="a7"/>
          <w:rtl/>
        </w:rPr>
        <w:footnoteReference w:id="1318"/>
      </w:r>
      <w:r>
        <w:rPr>
          <w:rtl/>
        </w:rPr>
        <w:t>דְּאִינוּן וָא''ו מִן וה''ו אֲנִ''י וה''ו, מִן וַיִּסַּע וַיָּבֹ''א וַיֵּ''ט, וּבְהַהוּא זִמְנָא לֹא תִקַּח הָאֵם עַל הַבָּנִים.</w:t>
      </w:r>
    </w:p>
    <w:p w:rsidR="00606298" w:rsidRDefault="00606298" w:rsidP="00134F53">
      <w:pPr>
        <w:pStyle w:val="2"/>
        <w:rPr>
          <w:rtl/>
        </w:rPr>
      </w:pPr>
      <w:bookmarkStart w:id="91" w:name="_Toc405982942"/>
      <w:r>
        <w:rPr>
          <w:rtl/>
        </w:rPr>
        <w:t>[תיקוני זוהר - דף יט ע''א]</w:t>
      </w:r>
      <w:bookmarkEnd w:id="91"/>
    </w:p>
    <w:p w:rsidR="00606298" w:rsidRDefault="00606298" w:rsidP="00B17EA9">
      <w:pPr>
        <w:pStyle w:val="NormalWeb"/>
        <w:rPr>
          <w:rtl/>
        </w:rPr>
      </w:pPr>
      <w:r>
        <w:rPr>
          <w:rtl/>
        </w:rPr>
        <w:t xml:space="preserve">בֵּיצִים אִינוּן מִסִּטְרָא דְאוֹפַנִים, אֶפְרוֹחִים מִסִּטְרָא דְנַעַר מטטרו''ן, בָּנִים מִסִּטְרָא דְכָרְסַיָּא דְאִיהִי סֻכַּת שָׁלוֹם, דְּאִיהִי קִנָּא דִשְׁכִינְתָּא, דְּאִימָּא עִלָּאָה מְקַנְנָא בְּכָרְסַיָּא בִּתְלַת סְפִירָן עִלָּאִין, עַמּוּדָא דְאֶמְצָעִיתָא </w:t>
      </w:r>
      <w:r>
        <w:rPr>
          <w:sz w:val="20"/>
          <w:szCs w:val="23"/>
          <w:rtl/>
        </w:rPr>
        <w:t xml:space="preserve">(דף יט ע''א) </w:t>
      </w:r>
      <w:r>
        <w:rPr>
          <w:rtl/>
        </w:rPr>
        <w:t xml:space="preserve">כְּלִיל שִׁית סְפִירָן, מְקַנְנָן בִּמְטַטְרוֹ''ן, אִימָּא תַּתָּאָה מְקַנְנָא בְּאוֹפַן, דְּאִתְּמַר בֵּיהּ </w:t>
      </w:r>
      <w:r>
        <w:rPr>
          <w:sz w:val="20"/>
          <w:szCs w:val="23"/>
          <w:rtl/>
        </w:rPr>
        <w:t>(יחזקאל א טו)</w:t>
      </w:r>
      <w:r>
        <w:rPr>
          <w:rtl/>
        </w:rPr>
        <w:t xml:space="preserve"> וְהִנֵּה אוֹפַן אֶחָד בָּאָרֶץ.</w:t>
      </w:r>
    </w:p>
    <w:p w:rsidR="00606298" w:rsidRDefault="00606298" w:rsidP="00B17EA9">
      <w:pPr>
        <w:pStyle w:val="NormalWeb"/>
        <w:rPr>
          <w:rtl/>
        </w:rPr>
      </w:pPr>
      <w:r>
        <w:rPr>
          <w:rtl/>
        </w:rPr>
        <w:t>וְעוֹד שְׁכִינְתָּא מִסִּטְרָא דְכָרְסַיָּא אִתְקְרִיאַת נֶשֶׁר, וּמִסִּטְרָא דְנַעַר יוֹנָה, וּמִסִּטְרָא דְאוֹפַן צִפּוֹר, וּשְׁכִינְתָּא דְמוּת אָדָם לָהֵנָּה.</w:t>
      </w:r>
    </w:p>
    <w:p w:rsidR="00606298" w:rsidRDefault="00606298" w:rsidP="00B17EA9">
      <w:pPr>
        <w:pStyle w:val="NormalWeb"/>
        <w:rPr>
          <w:rtl/>
        </w:rPr>
      </w:pPr>
      <w:r>
        <w:rPr>
          <w:rtl/>
        </w:rPr>
        <w:t xml:space="preserve">וְעוֹד שַׁלֵּחַ תְּשַׁלַּח תָּא חֲזִי מַלְאָכָא אִית דִּמְמַנָּא עַל עוֹפִין, דְּאִינוּן נַפְשִׁין דְּאִתְקְרִיאוּ צִפָּרִין, וְסַנְדַּלְפוֹ''ן שְׁמֵיהּ, וּבְזִמְנָא דְיִשְׂרָאֵל מְקַיְימֵי הַאי פִּקּוּדָא, וְאָזְלַת אִימָּא מִתְתַּרְכָא, וּבְנִין צָוְוחִין, אִיהוּ אוֹלִיף זְכוּ עַל עוֹפִין דִּילֵיהּ, וְיֵימָא לְקוּדְשָׁא בְּרִיךְ הוּא, וְהָא כְּתִיב בָּךְ </w:t>
      </w:r>
      <w:r>
        <w:rPr>
          <w:sz w:val="20"/>
          <w:szCs w:val="23"/>
          <w:rtl/>
        </w:rPr>
        <w:t>(תהלים קמה ט)</w:t>
      </w:r>
      <w:r>
        <w:rPr>
          <w:rtl/>
        </w:rPr>
        <w:t xml:space="preserve"> וְרַחֲמָיו עַל כָּל מַעֲשָׂיו, אַמַּאי גְּזֵירְתְּ עַל הַאי עוֹפָא דְאִתְתַּרְכַת מִקִּינָהּ, וְכֵן מטטרו''ן אוֹלִיף זְכוּ עַל עוֹפִין דִּילֵיהּ, דְּאִינוּן רוּחִין דְּפָרְחִין בִּבְנֵי נָשָׁא, דְּמִכָּרְסַיָּא אִינוּן נִשְׁמָתִין, וּמֵהַאי חַיָּה רוּחִין, וּמֵאוֹפַן נַפְשִׁין, וְאִינוּן בִּבְרִיאָה יְצִירָה עֲשִׂיָּה.</w:t>
      </w:r>
    </w:p>
    <w:p w:rsidR="00606298" w:rsidRDefault="00606298" w:rsidP="00B17EA9">
      <w:pPr>
        <w:pStyle w:val="NormalWeb"/>
        <w:rPr>
          <w:rtl/>
        </w:rPr>
      </w:pPr>
      <w:r>
        <w:rPr>
          <w:rtl/>
        </w:rPr>
        <w:t xml:space="preserve">בְּשַׁבָּת וְיוֹמִין טָבִין נָחֲתִין עֲלַיְיהוּ נִשְׁמָתִין וְרוּחִין וְנַפְשִׁין בְּאֹרַח אֲצִילוּת, דְּאִינוּן רוּחָא דְקוּדְשָׁא </w:t>
      </w:r>
      <w:r>
        <w:rPr>
          <w:rStyle w:val="a7"/>
          <w:rtl/>
        </w:rPr>
        <w:footnoteReference w:id="1319"/>
      </w:r>
      <w:r>
        <w:rPr>
          <w:rtl/>
        </w:rPr>
        <w:t xml:space="preserve">מֵעֲשַׂר סְפִירָן, </w:t>
      </w:r>
      <w:r>
        <w:rPr>
          <w:rStyle w:val="a7"/>
          <w:rtl/>
        </w:rPr>
        <w:footnoteReference w:id="1320"/>
      </w:r>
      <w:r>
        <w:rPr>
          <w:rtl/>
        </w:rPr>
        <w:t xml:space="preserve">וְכָל מְמַנָּא אוֹלִיף זְכוּ עַל עוֹפִין דִּילֵיהּ, דְּאִינוּן נִשְׁמָתִין דְּפָרְחִין בִּבְנֵי נָשָׁא, וּבְזִמְנָא דְיִשְׂרָאֵל מְקַיְמִין הַאי פִּקּוּדָא, כָּל מְמַנָּא אוֹלִיף זְכוּ עַל עוֹפִין דִּילֵיהּ, וְקוּדְשָׁא בְּרִיךְ הוּא מֶה עָבִיד, כָּנִישׁ לְכָל חֲיָלִין דִּילֵיהּ, וְיֵימָא, וְכִי </w:t>
      </w:r>
      <w:r>
        <w:rPr>
          <w:sz w:val="20"/>
          <w:szCs w:val="23"/>
          <w:rtl/>
        </w:rPr>
        <w:t>(נ''א הא)</w:t>
      </w:r>
      <w:r>
        <w:rPr>
          <w:rtl/>
        </w:rPr>
        <w:t xml:space="preserve"> כָּל מְמַנָּא דְעוֹפֵי דִלְתַתָּא אוֹלִיף זְכוּ עַל עוֹפִין דִּילֵיהּ דִּמְמַנָּא עֲלַיְיהוּ, וְלֵית בְּכוּ מָאן דְּאוֹלִיף זְכוּ עַל בָּנַי דְּאִינוּן יִשְׂרָאֵל, בְּנִי בְּכֹרִי יִשְׂרָאֵל, וְעַל שְׁכִינְתָּא דְאִיהִי בְגָלוּתָא, דְקִנָּא דִילָהּ דְּאִיהִי יְרוּשָׁלַיִם חֲרֵבָה, וּבְנוֹי בְּגָלוּתָא תְּחוֹת יַד אֲדוֹנִים קָשִׁין אוּמִין דְּעָלְמָא, וְלֵית מָאן דְּבָעִי עֲלַיְיהוּ רַחֲמֵי, וְיוֹלִיף זְכוּ עֲלַיְיהוּ, בְּהַהוּא זִמְנָא צָוַוח קוּדְשָׁא בְּרִיךְ הוּא וְאָמַר </w:t>
      </w:r>
      <w:r>
        <w:rPr>
          <w:sz w:val="20"/>
          <w:szCs w:val="23"/>
          <w:rtl/>
        </w:rPr>
        <w:t>(ישעיה מח יא)</w:t>
      </w:r>
      <w:r>
        <w:rPr>
          <w:rtl/>
        </w:rPr>
        <w:t xml:space="preserve"> לְמַעֲנִי לְמַעֲנִי אֶעֱשֶׂה, וָאֶעֱשֶׂה לְמַעַן שְׁמִי </w:t>
      </w:r>
      <w:r>
        <w:rPr>
          <w:sz w:val="20"/>
          <w:szCs w:val="23"/>
          <w:rtl/>
        </w:rPr>
        <w:t>(יחזקאל כ יד)</w:t>
      </w:r>
      <w:r>
        <w:rPr>
          <w:rtl/>
        </w:rPr>
        <w:t>, וּבְדָא יִתְעַר רַחֲמֵי עַל שְׁכִינְתֵּיהּ וְעַל בְּנוֹי דִּבְגָלוּתָא.</w:t>
      </w:r>
    </w:p>
    <w:p w:rsidR="00606298" w:rsidRDefault="00606298" w:rsidP="00B17EA9">
      <w:pPr>
        <w:pStyle w:val="NormalWeb"/>
        <w:rPr>
          <w:rtl/>
        </w:rPr>
      </w:pPr>
      <w:r>
        <w:rPr>
          <w:rtl/>
        </w:rPr>
        <w:t xml:space="preserve">קָם רַבִּי אֶלְעָזָר וְאָמַר, וְהָא קֳדָם דְּגָלוּ יִשְׂרָאֵל וּשְׁכִינְתָּא, בְּמַאי הֲווֹ מְקַיְימִין שִׁלּוּחַ הַקֵּן, אָמַר לֵיהּ רַבִּי שִׁמְעוֹן, בְּרִי, בְּגִין לְאַתְעָרָא רַחֲמִין עַל אִינוּן נַפְשִׁין וְרוּחִין וְנִשְׁמָתִין, דַּהֲווֹ אָזְלִין בְּגָלוּתָא בְּגִלְגּוּלָא מִתְתַּרְכִין מִגּוּפֵיהוֹן דְּאִתְחַרְבוּ, דַּעֲלַיְיהוּ אִתְּמַר דְּקוּדְשָׁא בְּרִיךְ הוּא הֲוָה בּוֹנֶה עָלְמִין וּמַחֲרִיבָן, דְּאִשְׁתָּאֲרוּ חֲרֵבִין גּוּפֵיהוֹן מִנַּיְיהוּ, וּמְנִיעוּ דְבִרְכָאָן לְעִילָא גָרִים וְנָהָר יֶחרַב וְיָבֵשׁ, וְהָכִי אוּקְמוּהוּ </w:t>
      </w:r>
      <w:r>
        <w:rPr>
          <w:rStyle w:val="a7"/>
          <w:rtl/>
        </w:rPr>
        <w:footnoteReference w:id="1321"/>
      </w:r>
      <w:r>
        <w:rPr>
          <w:rtl/>
        </w:rPr>
        <w:t xml:space="preserve">אִתְחַרַב בַּיִת רִאשׁוֹן וְהָאָרֶץ הָיְתָה תֹהוּ וָבֹהוּ. אִתְחַרַב בַּיִת שֵׁנִי וְחֹשֶׁךְ עַל פְּנֵי תְהוֹם, </w:t>
      </w:r>
      <w:r>
        <w:rPr>
          <w:rStyle w:val="a7"/>
          <w:rtl/>
        </w:rPr>
        <w:footnoteReference w:id="1322"/>
      </w:r>
      <w:r>
        <w:rPr>
          <w:rtl/>
        </w:rPr>
        <w:t xml:space="preserve">וּבְגִין אִלֵּין נִשְׁמָתִין דְּאִתְבְּרִיאוּ קֳדָם דְּאִתְבְּרֵי עָלְמָא וְלֵית לוֹן גּוּפִין, בְּגִין לְאַתְעָרָא רַחֲמֵי עֲלַיְיהוּ, הֲווֹ מְקַיְּימֵי הַאי פִּקּוּדָא, אָמַר לֵיהּ, אַבָּא, </w:t>
      </w:r>
      <w:r>
        <w:rPr>
          <w:rStyle w:val="a7"/>
          <w:rtl/>
        </w:rPr>
        <w:footnoteReference w:id="1323"/>
      </w:r>
      <w:r>
        <w:rPr>
          <w:rtl/>
        </w:rPr>
        <w:t xml:space="preserve">אִם כֵּן תַּלְמִיד חָכָם דְּאִיהוּ מִסִּטְרָא דְמַחֲשָׁבָה, דְאִתְּמַר </w:t>
      </w:r>
      <w:r>
        <w:rPr>
          <w:rtl/>
        </w:rPr>
        <w:lastRenderedPageBreak/>
        <w:t xml:space="preserve">בֵּיהּ יִשְׂרָאֵל עָלָה בְּמַחֲשָׁבָה לִיבָּרְאוֹת, הַאי אוֹרַיְיתָא אִיהִי בֵּן לְתַלְמִיד חָכָם, אִם כֵּן אִתְּתָא דִילֵהּ אַמַּאי צְרִיכָא יִבּוּם, דְּהָא לָא שַׁוּוּ אַפְרָשׁוּתָא מָארֵי מַתְנִיתִין לְתַלְמִידֵי חֲכָמִים מִשְּׁאָר בְּנֵי נָשָׁא, </w:t>
      </w:r>
      <w:r>
        <w:rPr>
          <w:rStyle w:val="a7"/>
          <w:rtl/>
        </w:rPr>
        <w:footnoteReference w:id="1324"/>
      </w:r>
      <w:r>
        <w:rPr>
          <w:rtl/>
        </w:rPr>
        <w:t>אָמַר לֵיהּ, בְּרִי, וַדַּאי צְרִיכָה יִבּוּם, לְאִלֵּין נִשְׁמָתִין דְּאָזְלִין עַרְטִילָאִין מִשִּׁית יוֹמֵי בְּרֵאשִׁית.</w:t>
      </w:r>
    </w:p>
    <w:p w:rsidR="00606298" w:rsidRDefault="00606298" w:rsidP="00134F53">
      <w:pPr>
        <w:pStyle w:val="2"/>
        <w:rPr>
          <w:rtl/>
        </w:rPr>
      </w:pPr>
      <w:bookmarkStart w:id="92" w:name="_Toc405982943"/>
      <w:r>
        <w:rPr>
          <w:rtl/>
        </w:rPr>
        <w:t>[תיקוני זוהר - דף יט ע''ב]</w:t>
      </w:r>
      <w:bookmarkEnd w:id="92"/>
    </w:p>
    <w:p w:rsidR="00606298" w:rsidRDefault="00606298" w:rsidP="00B17EA9">
      <w:pPr>
        <w:pStyle w:val="NormalWeb"/>
        <w:rPr>
          <w:rtl/>
        </w:rPr>
      </w:pPr>
      <w:r>
        <w:rPr>
          <w:rtl/>
        </w:rPr>
        <w:t xml:space="preserve">אָמַר לֵיהּ, וְהָא כְּתִיב </w:t>
      </w:r>
      <w:r>
        <w:rPr>
          <w:sz w:val="20"/>
          <w:szCs w:val="23"/>
          <w:rtl/>
        </w:rPr>
        <w:t>(ויקרא כז י)</w:t>
      </w:r>
      <w:r>
        <w:rPr>
          <w:rtl/>
        </w:rPr>
        <w:t xml:space="preserve"> לֹא יַחֲלִיפֶנּוּ וְלֹא יָמִיר אֹתוֹ וְגוֹמֵר, וְכִי הַאי אִתְּתָא דְאִיהִי קֹדֶשׁ קֻדְשִׁין, תְּהֵא קִינָא </w:t>
      </w:r>
      <w:r>
        <w:rPr>
          <w:rStyle w:val="a7"/>
          <w:rtl/>
        </w:rPr>
        <w:footnoteReference w:id="1325"/>
      </w:r>
      <w:r>
        <w:rPr>
          <w:rtl/>
        </w:rPr>
        <w:t xml:space="preserve">לְמָאן דְּלַאו אִיהוּ מִמִּינָהּ, דְּהָא כְּתִיב </w:t>
      </w:r>
      <w:r>
        <w:rPr>
          <w:sz w:val="20"/>
          <w:szCs w:val="23"/>
          <w:rtl/>
        </w:rPr>
        <w:t>(בראשית א כד)</w:t>
      </w:r>
      <w:r>
        <w:rPr>
          <w:rtl/>
        </w:rPr>
        <w:t xml:space="preserve"> תּוֹצֵא הָאָרֶץ נֶפֶשׁ חַיָּה לְמִינָהּ, וְלֵית לָהּ הַרְכָּבָה אֶלָּא מִמִּינָהּ, אָמַר לֵיהּ, בְּנִי, גִלְגּוּלִין אִינוּן </w:t>
      </w:r>
      <w:r>
        <w:rPr>
          <w:rStyle w:val="a7"/>
          <w:rtl/>
        </w:rPr>
        <w:footnoteReference w:id="1326"/>
      </w:r>
      <w:r>
        <w:rPr>
          <w:rtl/>
        </w:rPr>
        <w:t xml:space="preserve">רָזָא דְהַרְכָּבָה, כְּגוֹן מָאן דְּמַרְכִּיב אִילָנָא דְלַאו אִיהוּ מִינֵיהּ בְּאִילָנָא אָחֳרָא, כְּגוֹן מָאן דְּמַרְכִּיבִין אִלָּנִין דָּא בְדָא, אֲבָל עִקָּרָא דְאִם הָמֵר יְמִירֶנּוּ, צָרִיךְ דִּיְהֵא קֹדֶשׁ בַּקֹּדֶשׁ, דְּאִילָנָא אִית מִסִּטְרָא דִמְסָאֲבוּ דְאִיהוּ רַע, וּבְגִינֵיהּ אִתְּמַר </w:t>
      </w:r>
      <w:r>
        <w:rPr>
          <w:sz w:val="20"/>
          <w:szCs w:val="23"/>
          <w:rtl/>
        </w:rPr>
        <w:t>(ויקרא כז י)</w:t>
      </w:r>
      <w:r>
        <w:rPr>
          <w:rtl/>
        </w:rPr>
        <w:t xml:space="preserve"> לֹא יָמִיר אֹתוֹ טוֹב בְּרָע אוֹ רַע בְּטוֹב, דְּהַאי </w:t>
      </w:r>
      <w:r>
        <w:rPr>
          <w:rStyle w:val="a7"/>
          <w:rtl/>
        </w:rPr>
        <w:footnoteReference w:id="1327"/>
      </w:r>
      <w:r>
        <w:rPr>
          <w:rtl/>
        </w:rPr>
        <w:t xml:space="preserve">אִיהוּ רָזָא דְצַדִּיק וְרַע לוֹ רָשָׁע וְטוֹב לוֹ, </w:t>
      </w:r>
      <w:r>
        <w:rPr>
          <w:rStyle w:val="a7"/>
          <w:rtl/>
        </w:rPr>
        <w:footnoteReference w:id="1328"/>
      </w:r>
      <w:r>
        <w:rPr>
          <w:rtl/>
        </w:rPr>
        <w:t xml:space="preserve">אֲבָל </w:t>
      </w:r>
      <w:r>
        <w:rPr>
          <w:sz w:val="20"/>
          <w:szCs w:val="23"/>
          <w:rtl/>
        </w:rPr>
        <w:t>(שם לג)</w:t>
      </w:r>
      <w:r>
        <w:rPr>
          <w:rtl/>
        </w:rPr>
        <w:t xml:space="preserve"> אִם הָמֵר יְמִירֶנּוּ, וְהָיָה הוּא וּתְמוּרָתוֹ יִהְיֶה קֹּדֶשׁ, וּבְדָא מַרְכִּיבִין קֹדֶשׁ בַּקֹּדֶשׁ, וּמְקַבְּלִין דֵּין מִן דֵּין, וְרָזָא </w:t>
      </w:r>
      <w:r>
        <w:rPr>
          <w:sz w:val="20"/>
          <w:szCs w:val="23"/>
          <w:rtl/>
        </w:rPr>
        <w:t xml:space="preserve">(דף יט ע''ב) </w:t>
      </w:r>
      <w:r>
        <w:rPr>
          <w:rtl/>
        </w:rPr>
        <w:t xml:space="preserve">דְמִלָּה </w:t>
      </w:r>
      <w:r>
        <w:rPr>
          <w:sz w:val="20"/>
          <w:szCs w:val="23"/>
          <w:rtl/>
        </w:rPr>
        <w:t>(שמות כו ה)</w:t>
      </w:r>
      <w:r>
        <w:rPr>
          <w:rtl/>
        </w:rPr>
        <w:t xml:space="preserve"> מַקְבִּילוֹת הַלֻּלָאֹת, וּמִין בְּמִינוֹ הַאי אִיהוּ צַדִּיק וְטוֹב לוֹ, וְכַד הַהִיא נִשְׁמָתָא דְאִיהִי קֹדֶשׁ לָא אַשְׁכַּחַת מִינָהּ, אִתְּמַר בָּהּ </w:t>
      </w:r>
      <w:r>
        <w:rPr>
          <w:sz w:val="20"/>
          <w:szCs w:val="23"/>
          <w:rtl/>
        </w:rPr>
        <w:t>(בראשית ח ט)</w:t>
      </w:r>
      <w:r>
        <w:rPr>
          <w:rtl/>
        </w:rPr>
        <w:t xml:space="preserve"> וְלֹא מָצְאָה הַיּוֹנָה מָנוֹחַ לְכַף רַגְלָהּ.</w:t>
      </w:r>
    </w:p>
    <w:p w:rsidR="00606298" w:rsidRDefault="00606298" w:rsidP="00B17EA9">
      <w:pPr>
        <w:pStyle w:val="NormalWeb"/>
        <w:rPr>
          <w:rtl/>
        </w:rPr>
      </w:pPr>
      <w:r>
        <w:rPr>
          <w:rtl/>
        </w:rPr>
        <w:t xml:space="preserve">וְהָכִי רָזָא דְקַן צִפּוֹר, דְּאִתְּמַר בָּהּ </w:t>
      </w:r>
      <w:r>
        <w:rPr>
          <w:sz w:val="20"/>
          <w:szCs w:val="23"/>
          <w:rtl/>
        </w:rPr>
        <w:t>(דברים כב ז)</w:t>
      </w:r>
      <w:r>
        <w:rPr>
          <w:rtl/>
        </w:rPr>
        <w:t xml:space="preserve"> שַׁלֵּחַ תְּשַׁלַּח אֶת הָאֵם, וְאָזְלָא מְנַדְדָא מִן קִנָּהּ, וְהֶן כָּל אֵלֶּה יִפְעַל אֵ''ל פַּעֲמַיִם שָׁלֹשׁ עִם גָּבֶר </w:t>
      </w:r>
      <w:r>
        <w:rPr>
          <w:sz w:val="20"/>
          <w:szCs w:val="23"/>
          <w:rtl/>
        </w:rPr>
        <w:t>(איוב לג כט)</w:t>
      </w:r>
      <w:r>
        <w:rPr>
          <w:rtl/>
        </w:rPr>
        <w:t xml:space="preserve">, לָקֳבֵל תְּלַת שִׁלּוּחִים דְּיוֹנָה, </w:t>
      </w:r>
      <w:r>
        <w:rPr>
          <w:rStyle w:val="a7"/>
          <w:rtl/>
        </w:rPr>
        <w:footnoteReference w:id="1329"/>
      </w:r>
      <w:r>
        <w:rPr>
          <w:rtl/>
        </w:rPr>
        <w:t xml:space="preserve">וְכַד אַשְׁכַּחַת אֲתַר לְשַׁרְיָא תַמָּן, אִתְּמַר בָּהּ </w:t>
      </w:r>
      <w:r>
        <w:rPr>
          <w:sz w:val="20"/>
          <w:szCs w:val="23"/>
          <w:rtl/>
        </w:rPr>
        <w:t>(בראשית ח יב)</w:t>
      </w:r>
      <w:r>
        <w:rPr>
          <w:rtl/>
        </w:rPr>
        <w:t xml:space="preserve"> וְלֹא יָסְפָה שׁוּב אֵלָיו עוֹד, לְמֵיתֵי זִמְנָא אָחֳרָא בְּהַרְכָּבָה.</w:t>
      </w:r>
    </w:p>
    <w:p w:rsidR="00606298" w:rsidRDefault="00606298" w:rsidP="00B17EA9">
      <w:pPr>
        <w:pStyle w:val="NormalWeb"/>
        <w:rPr>
          <w:rtl/>
        </w:rPr>
      </w:pPr>
      <w:r>
        <w:rPr>
          <w:rtl/>
        </w:rPr>
        <w:t xml:space="preserve">וּבְגִין דָּא שִׁלּוּחַ הַקֵּן בְּכָל עוֹפִין קַדִּישִׁין אִיהוּ, וְלָא בִּמְסָאֲבִין, דְּאִנּוּן נִשְׁמָתִין דְּאָזְלִין מִתְתַּרְכִין, לְאַתְעָרָא רַחֲמֵי עֲלַיְיהוּ, וּמַה כְּתִיב בְּהוּ </w:t>
      </w:r>
      <w:r>
        <w:rPr>
          <w:sz w:val="20"/>
          <w:szCs w:val="23"/>
          <w:rtl/>
        </w:rPr>
        <w:t>(תהלים פד ד)</w:t>
      </w:r>
      <w:r>
        <w:rPr>
          <w:rtl/>
        </w:rPr>
        <w:t xml:space="preserve"> גַּם צִפּוֹר מָצְאָה בַּיִת דָּא גִלְגּוּלָא קַדְמָאָה דְאִיהִי נֶפֶשׁ, </w:t>
      </w:r>
      <w:r>
        <w:rPr>
          <w:rStyle w:val="a7"/>
          <w:rtl/>
        </w:rPr>
        <w:footnoteReference w:id="1330"/>
      </w:r>
      <w:r>
        <w:rPr>
          <w:rtl/>
        </w:rPr>
        <w:t xml:space="preserve">וּדְרוֹר קֵן לָהּ דָּא גִלְגּוּלָא תִּנְיָינָא דְרוּחָא, אֲשֶׁר שָׁתָה אֶפְרוֹחֶיהָ דָא גִלְגּוּלָא תְּלִיתָאָה דְנִשְׁמָתָא, </w:t>
      </w:r>
      <w:r>
        <w:rPr>
          <w:rStyle w:val="a7"/>
          <w:rtl/>
        </w:rPr>
        <w:footnoteReference w:id="1331"/>
      </w:r>
      <w:r>
        <w:rPr>
          <w:rtl/>
        </w:rPr>
        <w:t xml:space="preserve">וְגִלְגּוּלֵיה דִּילֵיה אֶת מִזְבְּחוֹתֶיך ה' צבאו''ת. וּבְגִין דָּא שַׁלֵּחַ תְּשַׁלַּח לָקֳבֵל נֶפֶשׁ וְרוּחַ, אֶת </w:t>
      </w:r>
      <w:r>
        <w:rPr>
          <w:rStyle w:val="a7"/>
          <w:rtl/>
        </w:rPr>
        <w:footnoteReference w:id="1332"/>
      </w:r>
      <w:r>
        <w:rPr>
          <w:rtl/>
        </w:rPr>
        <w:t xml:space="preserve">הָאֵם לְרַבּוֹת נִשְׁמָתָא, </w:t>
      </w:r>
      <w:r>
        <w:rPr>
          <w:rStyle w:val="a7"/>
          <w:rtl/>
        </w:rPr>
        <w:footnoteReference w:id="1333"/>
      </w:r>
      <w:r>
        <w:rPr>
          <w:rtl/>
        </w:rPr>
        <w:t xml:space="preserve">דְאִתְּמַר בָּהּ </w:t>
      </w:r>
      <w:r>
        <w:rPr>
          <w:sz w:val="20"/>
          <w:szCs w:val="23"/>
          <w:rtl/>
        </w:rPr>
        <w:t>(ישעיה נ א)</w:t>
      </w:r>
      <w:r>
        <w:rPr>
          <w:rtl/>
        </w:rPr>
        <w:t xml:space="preserve"> וּבְפִשְׁעִיכֶם שֻׁלְּחָה אִמְּכֶם, אֶת הָאֵם, </w:t>
      </w:r>
      <w:r>
        <w:rPr>
          <w:rStyle w:val="a7"/>
          <w:rtl/>
        </w:rPr>
        <w:footnoteReference w:id="1334"/>
      </w:r>
      <w:r>
        <w:rPr>
          <w:rtl/>
        </w:rPr>
        <w:t>אֶת אָתָא לְרַבּוֹת גִּלְגּוּלָא תְּלִיתָאָה.</w:t>
      </w:r>
    </w:p>
    <w:p w:rsidR="00606298" w:rsidRDefault="00606298" w:rsidP="00B17EA9">
      <w:pPr>
        <w:pStyle w:val="NormalWeb"/>
        <w:rPr>
          <w:rtl/>
        </w:rPr>
      </w:pPr>
      <w:r>
        <w:rPr>
          <w:rStyle w:val="a7"/>
          <w:rtl/>
        </w:rPr>
        <w:footnoteReference w:id="1335"/>
      </w:r>
      <w:r>
        <w:rPr>
          <w:rtl/>
        </w:rPr>
        <w:t xml:space="preserve">וּבְגִין דָּא מָאן דִּמְקַבְּלִין אוּשְׁפִּיזִין, דְּאִינוּן נִשְׁמָתִין יְתֵרִין, דְּאִינוּן מַרְכִּיבִין עֲלַיְיהוּ בְעֶרֶב שַׁבָּת, בְּאַנְפִּין צְהוּבִין בְּחֶדְוָה בְּעִנּוּגָא בְּהַאי עָלְמָא, כַּד נִשְׁמָתָא וְרוּחָא וְנַפְשָׁא נָפִיק מִן גּוּפֵיהּ מֵהַאי עָלְמָא, הָכִי מְקַבְּלִין לוֹן בְּעָלְמָא דְאָתֵי, </w:t>
      </w:r>
      <w:r>
        <w:rPr>
          <w:rStyle w:val="a7"/>
          <w:rtl/>
        </w:rPr>
        <w:footnoteReference w:id="1336"/>
      </w:r>
      <w:r>
        <w:rPr>
          <w:rtl/>
        </w:rPr>
        <w:t xml:space="preserve">וְאִתְּמַר בְּהוֹן גַּם צִפּוֹר מָצְאָה בַיִת וגו', זַכָּאָה אִיהוּ מָאן דִּמְקַבֵּל אוֹרָחִין בִּרְעוּ שְׁלִים, כְּאִלּוּ מְקַבֵּל אַנְפֵּי </w:t>
      </w:r>
      <w:r>
        <w:rPr>
          <w:rtl/>
        </w:rPr>
        <w:lastRenderedPageBreak/>
        <w:t xml:space="preserve">שְׁכִינְתָּא, </w:t>
      </w:r>
      <w:r>
        <w:rPr>
          <w:rStyle w:val="a7"/>
          <w:rtl/>
        </w:rPr>
        <w:footnoteReference w:id="1337"/>
      </w:r>
      <w:r>
        <w:rPr>
          <w:rtl/>
        </w:rPr>
        <w:t>דִבְמִדָּה דְמָדַד בַּר נַשׁ בָּהּ מוֹדְדִין לֵיהּ, אָתָא רַבִּי אֶלְעָזָר בְּרֵיהּ וְנָשִׁיק יְדוֹי, וְאִשְׁתַּטְחוּ לֵיהּ כָּל חַבְרַיָּא, וְאָמְרוּ לֵיהּ, אִילוּ לָא אֲתֵינָא לְעָלְמָא אֶלָּא לְמִשְׁמַע מִלִּין אִלֵּין דַּי:</w:t>
      </w:r>
    </w:p>
    <w:p w:rsidR="00606298" w:rsidRDefault="00606298" w:rsidP="00B17EA9">
      <w:pPr>
        <w:pStyle w:val="NormalWeb"/>
        <w:rPr>
          <w:rtl/>
        </w:rPr>
      </w:pPr>
      <w:r>
        <w:rPr>
          <w:rtl/>
        </w:rPr>
        <w:t xml:space="preserve">אַדְהָכִי הָא אֵלִיָּהוּ קָא נָחִית מֵעִילָא, בְכַמָּה חֲיָילִין דְּנִשְׁמָתִין, וְכַמָּה מַלְאָכַיָּא סוּחְרָנֵיהּ, וּשְׁכִינְתָּא עִלָּאָה עֲטָרָה עַל כֻּלְּהוּ, כֶּתֶר בְּרֵישׁ כָּל צַדִּיק, בְּהַהוּא זִמְנָא קָלָא אִתְעַר בְּאִילָנָא דִלְעִילָא בְּנִגּוּנָא, וְכַמָּה עוֹפִין דְּנִשְׁמָתִין שַׁרְיָין תַּמָּן בְּעַנְפּוֹי, הֲדָא הוּא דִכְתִיב </w:t>
      </w:r>
      <w:r>
        <w:rPr>
          <w:sz w:val="20"/>
          <w:szCs w:val="23"/>
          <w:rtl/>
        </w:rPr>
        <w:t>(דניאל ד ח)</w:t>
      </w:r>
      <w:r>
        <w:rPr>
          <w:rtl/>
        </w:rPr>
        <w:t xml:space="preserve"> רְבָה אִילָנָא וּתְקִיף וגו', וְיֵימָא הָכִי, רַבִּי רַבִּי אַנְתְּ הוּא אִילָנָא דִרְבָה וּתְקִיף בְּאוֹרַיְיתָא, בְּעַנְפִין דִּילָךְ דְּאִינוּן אֵבָרִין קַדִּישִׁין, כַּמָּה עוֹפִין שַׁרְיָין תַּמָּן, דְּנִשְׁמָתִין קַדִּישִׁין כְּגַוְונָא דִלְעִילָא, דְאִתְּמַר בֵּיהּ </w:t>
      </w:r>
      <w:r>
        <w:rPr>
          <w:sz w:val="20"/>
          <w:szCs w:val="23"/>
          <w:rtl/>
        </w:rPr>
        <w:t>(שם ט)</w:t>
      </w:r>
      <w:r>
        <w:rPr>
          <w:rtl/>
        </w:rPr>
        <w:t xml:space="preserve"> וּבְעַנְפוֹהִי יְדוּרָן צִפֲּרֵי שְׁמַיָּא, וְכַמָּה בְּנֵי נָשָׁא לְתַתָּא יִתְפַּרְנְסוּן מֵהַאי חִבּוּרָא דִילָךְ, כַּד יִתְגַּלֵי לְתַתָּא בְּדָרָא בַתְרָאָה בְּסוֹף יוֹמַיָּא, </w:t>
      </w:r>
      <w:r>
        <w:rPr>
          <w:rStyle w:val="a7"/>
          <w:rtl/>
        </w:rPr>
        <w:footnoteReference w:id="1338"/>
      </w:r>
      <w:r>
        <w:rPr>
          <w:rtl/>
        </w:rPr>
        <w:t xml:space="preserve">וּבְגִינֵיהּ </w:t>
      </w:r>
      <w:r>
        <w:rPr>
          <w:sz w:val="20"/>
          <w:szCs w:val="23"/>
          <w:rtl/>
        </w:rPr>
        <w:t>(ויקרא כה י)</w:t>
      </w:r>
      <w:r>
        <w:rPr>
          <w:rtl/>
        </w:rPr>
        <w:t xml:space="preserve"> וּקְרָאתֶם דְּרוֹר בָּאָרֶץ וְגוֹמֵר.</w:t>
      </w:r>
    </w:p>
    <w:p w:rsidR="00606298" w:rsidRDefault="00606298" w:rsidP="00B17EA9">
      <w:pPr>
        <w:pStyle w:val="NormalWeb"/>
        <w:rPr>
          <w:rtl/>
        </w:rPr>
      </w:pPr>
      <w:r>
        <w:rPr>
          <w:rStyle w:val="a7"/>
          <w:rtl/>
        </w:rPr>
        <w:footnoteReference w:id="1339"/>
      </w:r>
      <w:r>
        <w:rPr>
          <w:rtl/>
        </w:rPr>
        <w:t>פָּתַח אֵלִיָּהוּ וְאָמַר, כַּד נָפִיק שַׁבַּתָא וְיוֹמִין טָבִין, וְיִשְׂרָאֵל אִינוּן תְּחוֹת מֶמְשָׁלָה דְסמא''ל וְשַׁבְעִין מְמַנָּן, וְדָחֲקִין לְיִשְׂרָאֵל, קָלָא נָפִיק מִן שְׁמַיָּא לְגַבֵּיהּ, וְיֵימָא הָכִי, יְרָ''א בֹּשֶׁ''ת, וְדָא בְרֵאשִׁית, יְהֵא לָךְ כִּסּוּפָא מִן שְׁמַיָּא, וְדָא בְּרֵאשִׁית.</w:t>
      </w:r>
    </w:p>
    <w:p w:rsidR="0065189A" w:rsidRPr="0065189A" w:rsidRDefault="0065189A" w:rsidP="0065189A">
      <w:pPr>
        <w:rPr>
          <w:rFonts w:cstheme="minorBidi"/>
          <w:sz w:val="24"/>
          <w:szCs w:val="24"/>
          <w:rtl/>
        </w:rPr>
      </w:pPr>
      <w:r w:rsidRPr="0065189A">
        <w:rPr>
          <w:rFonts w:cstheme="minorBidi"/>
          <w:sz w:val="24"/>
          <w:szCs w:val="24"/>
          <w:rtl/>
        </w:rPr>
        <w:t xml:space="preserve">  (היה תקונא שביעאה)</w:t>
      </w:r>
    </w:p>
    <w:p w:rsidR="00606298" w:rsidRDefault="00606298" w:rsidP="00134F53">
      <w:pPr>
        <w:pStyle w:val="2"/>
        <w:rPr>
          <w:rtl/>
        </w:rPr>
      </w:pPr>
      <w:bookmarkStart w:id="93" w:name="_Toc405982944"/>
      <w:r>
        <w:rPr>
          <w:rtl/>
        </w:rPr>
        <w:t>[תיקוני זוהר - דף כ ע''א]</w:t>
      </w:r>
      <w:bookmarkEnd w:id="93"/>
      <w:r>
        <w:rPr>
          <w:rtl/>
        </w:rPr>
        <w:t xml:space="preserve">             </w:t>
      </w:r>
    </w:p>
    <w:p w:rsidR="00606298" w:rsidRDefault="00606298" w:rsidP="00B17EA9">
      <w:pPr>
        <w:pStyle w:val="NormalWeb"/>
        <w:rPr>
          <w:rtl/>
        </w:rPr>
      </w:pPr>
      <w:r>
        <w:rPr>
          <w:rtl/>
        </w:rPr>
        <w:t xml:space="preserve">בְּרֵאשִׁית יְרָ''א בֹּשֶׁ''ת, וַוי לֵיהּ לְסמא''ל, כַּד קוּדְשָׁא בְּרִיךְ הוּא יֵיתֵי לְמִפְרַק לִשְׁכִינְתָּא וּלְיִשְׂרָאֵל בְּנָהָא, וְתָבַע מִנֵּיהּ וּמִשַּׁבְעִין אוּמִין וּמִמְּמַנָּן דִּילְהוֹן, כָּל עָאקוּ דְעָאקוּ לְיִשְׂרָאֵל בְּגָלוּתָא, בְּגִין דְּקֳדָם דְּגָלוּ יִשְׂרָאֵל, גַּלִּי לֵיהּ קוּדְשָׁא בְּרִיךְ הוּא, דַהֲווֹ עֲתִידִין יִשְׂרָאֵל לְמֶהֱוֵי תְּחוֹת שִׁעְבּוּדַיְיהוּ, </w:t>
      </w:r>
      <w:r>
        <w:rPr>
          <w:sz w:val="20"/>
          <w:szCs w:val="23"/>
          <w:rtl/>
        </w:rPr>
        <w:t>(ס''א למפק מתחות שעבודייהו)</w:t>
      </w:r>
      <w:r>
        <w:rPr>
          <w:rtl/>
        </w:rPr>
        <w:t xml:space="preserve">, וְאַחֲזֵי לֵיהּ וּלְשַׁבְעִין מְמַנָּן דִּתְחוֹת יְדֵיהּ, </w:t>
      </w:r>
      <w:r>
        <w:rPr>
          <w:sz w:val="20"/>
          <w:szCs w:val="23"/>
          <w:rtl/>
        </w:rPr>
        <w:t>(דף כ ע''א)</w:t>
      </w:r>
      <w:r>
        <w:rPr>
          <w:rtl/>
        </w:rPr>
        <w:t xml:space="preserve"> אַגְרָא דִלְהוֹן אִי הֲווֹ אוֹקְרִין לְיִשְׂרָאֵל בְּגָלוּתָא, הֲדָא הוּא דִכְתִיב </w:t>
      </w:r>
      <w:r>
        <w:rPr>
          <w:sz w:val="20"/>
          <w:szCs w:val="23"/>
          <w:rtl/>
        </w:rPr>
        <w:t>(בראשית לט ה)</w:t>
      </w:r>
      <w:r>
        <w:rPr>
          <w:rtl/>
        </w:rPr>
        <w:t xml:space="preserve"> וַיְבָרֶךְ יְיָ' אֶת בֵּית הַמִּצְרִי בִּגְלַל יוֹסֵף, וְאִיהוּ וּמְמַנָּן דִּילֵיהּ לָא עָבְדִין לְהוֹן יְקָרָא, אֶלָּא עָבְדִין בְּהוֹן וּבִשְׁכִינְתָּא קְלָנָא, דְאָמְרִין לוֹן כָּל יוֹמָא אַיֵּה אלהי''ך, וּבְגִין דָּא קָלָא נָפִיק לְגַבֵּיהּ כָּל יוֹמָא מִן שְׁמַיָּא, וְאָמַר יְרָ''א בֹּשֶׁ''ת, יְהֵא לָךְ כִּסּוּפָא מִן שְׁכִינְתָּא, יְרֵ''א שָׁמַיִם יְהֵא לָךְ כִּסּוּפָא מִקּוּדְשָׁא בְּרִיךְ הוּא דְאִיהוּ שָׁמַיִם, הֲדָא הוּא דִכְתִיב </w:t>
      </w:r>
      <w:r>
        <w:rPr>
          <w:sz w:val="20"/>
          <w:szCs w:val="23"/>
          <w:rtl/>
        </w:rPr>
        <w:t>(מלכים א ח לב)</w:t>
      </w:r>
      <w:r>
        <w:rPr>
          <w:rtl/>
        </w:rPr>
        <w:t xml:space="preserve"> וְאַתָּה תִּשְׁמַע הַשָּׁמַיִם, וְדָא </w:t>
      </w:r>
      <w:r>
        <w:rPr>
          <w:sz w:val="20"/>
          <w:szCs w:val="23"/>
          <w:rtl/>
        </w:rPr>
        <w:t>(בראשית).</w:t>
      </w:r>
    </w:p>
    <w:p w:rsidR="00606298" w:rsidRDefault="00606298" w:rsidP="0007465E">
      <w:pPr>
        <w:pStyle w:val="1"/>
        <w:rPr>
          <w:rtl/>
        </w:rPr>
      </w:pPr>
      <w:bookmarkStart w:id="94" w:name="_Toc405982945"/>
      <w:r>
        <w:rPr>
          <w:rtl/>
        </w:rPr>
        <w:t xml:space="preserve">תקונא שביעאה ותמינאה   </w:t>
      </w:r>
      <w:r>
        <w:rPr>
          <w:sz w:val="20"/>
          <w:szCs w:val="23"/>
          <w:rtl/>
        </w:rPr>
        <w:t>(היה תקונא תמינאה)</w:t>
      </w:r>
      <w:bookmarkEnd w:id="94"/>
    </w:p>
    <w:p w:rsidR="00606298" w:rsidRDefault="00606298" w:rsidP="00B17EA9">
      <w:pPr>
        <w:pStyle w:val="NormalWeb"/>
        <w:rPr>
          <w:rtl/>
        </w:rPr>
      </w:pPr>
      <w:r>
        <w:rPr>
          <w:rtl/>
        </w:rPr>
        <w:t xml:space="preserve">בְּרֵאשִׁית, ש' שָׁמַיִ''ם, יְרֵ''א שָׁמַיִ''ם, יְרֵ''א בַּיִ''ת דִּילֵיהּ, דְּאִיהוּ רֹא''שׁ בַּיִ''ת, דָּחִיל לֵיהּ בְּבֵיתֵיהּ, דָּא הוּא בְּרֵאשִׁי''ת, וְאִיהוּ וּמְמַנָּן דִּילֵיהּ לָא דְחִילוּ מִנֵּיהּ, וַחֲרִיבוּ בֵיתֵיהּ בַּיִת רִאשׁוֹן וּבַיִת שֵׁנִי, וּבְגִין דָּא </w:t>
      </w:r>
      <w:r>
        <w:rPr>
          <w:sz w:val="20"/>
          <w:szCs w:val="23"/>
          <w:rtl/>
        </w:rPr>
        <w:t>(ישעיהו כד כג)</w:t>
      </w:r>
      <w:r>
        <w:rPr>
          <w:rtl/>
        </w:rPr>
        <w:t xml:space="preserve"> וְחָפְרָה הַלְּבָנָה דְאִיהִי </w:t>
      </w:r>
      <w:r>
        <w:rPr>
          <w:rStyle w:val="a7"/>
          <w:rtl/>
        </w:rPr>
        <w:footnoteReference w:id="1340"/>
      </w:r>
      <w:r>
        <w:rPr>
          <w:rtl/>
        </w:rPr>
        <w:t>נָחָשׁ אֵשֶׁת זְנוּנִים, וּבוֹשָׁה הַחַמָּה דְאִיהִי גֵיהִנָּם, דְּנָחָשׁ אֵשֶׁת זְנוּנִים חֲרִיבַת בֵּיתָא דִשְׁכִינְתָּא, וְחַמָּה דְאִיהִי גֵיהִנָּם סַם הַמָּוְת אוֹקִידַת הֵיכָלָא.</w:t>
      </w:r>
    </w:p>
    <w:p w:rsidR="00606298" w:rsidRDefault="00606298">
      <w:pPr>
        <w:spacing w:after="40" w:line="360" w:lineRule="atLeast"/>
        <w:ind w:left="144" w:right="144" w:firstLine="288"/>
        <w:jc w:val="both"/>
        <w:rPr>
          <w:rFonts w:ascii="Arial" w:hAnsi="Arial Unicode MS" w:cs="Guttman Frank"/>
          <w:b/>
          <w:bCs/>
          <w:sz w:val="29"/>
          <w:szCs w:val="29"/>
          <w:rtl/>
          <w:lang w:eastAsia="he-IL"/>
        </w:rPr>
      </w:pPr>
      <w:r>
        <w:rPr>
          <w:rFonts w:ascii="Arial" w:hAnsi="Arial Unicode MS" w:cs="Guttman Frank"/>
          <w:b/>
          <w:bCs/>
          <w:sz w:val="29"/>
          <w:szCs w:val="29"/>
          <w:rtl/>
          <w:lang w:eastAsia="he-IL"/>
        </w:rPr>
        <w:t xml:space="preserve">וּבְזִמְנָא דְקוּדְשָׁא בְּרִיךְ הוּא בָּנֵי לוֹן כְּמִלְּקַדְמִין, הֲדָא הוּא דִכְתִיב </w:t>
      </w:r>
      <w:r>
        <w:rPr>
          <w:rFonts w:ascii="Arial" w:hAnsi="Arial Unicode MS" w:cs="Guttman Frank"/>
          <w:b/>
          <w:szCs w:val="23"/>
          <w:rtl/>
          <w:lang w:eastAsia="he-IL"/>
        </w:rPr>
        <w:t>(תהלים קמז ב)</w:t>
      </w:r>
      <w:r>
        <w:rPr>
          <w:rFonts w:ascii="Arial" w:hAnsi="Arial Unicode MS" w:cs="Guttman Frank"/>
          <w:b/>
          <w:bCs/>
          <w:sz w:val="29"/>
          <w:szCs w:val="29"/>
          <w:rtl/>
          <w:lang w:eastAsia="he-IL"/>
        </w:rPr>
        <w:t xml:space="preserve"> בּוֹנֵה יְרוּשָׁלַם יְיָ', בְּהַהוּא זִמְנָא וְחָפְרָה הַלְּבָנָה וּבוֹשָׁה הַחַמָּה </w:t>
      </w:r>
      <w:r>
        <w:rPr>
          <w:rFonts w:ascii="Arial" w:hAnsi="Arial Unicode MS" w:cs="Guttman Frank"/>
          <w:b/>
          <w:szCs w:val="23"/>
          <w:rtl/>
          <w:lang w:eastAsia="he-IL"/>
        </w:rPr>
        <w:t>(ישעיה כד כג)</w:t>
      </w:r>
      <w:r>
        <w:rPr>
          <w:rFonts w:ascii="Arial" w:hAnsi="Arial Unicode MS" w:cs="Guttman Frank"/>
          <w:b/>
          <w:bCs/>
          <w:sz w:val="29"/>
          <w:szCs w:val="29"/>
          <w:rtl/>
          <w:lang w:eastAsia="he-IL"/>
        </w:rPr>
        <w:t xml:space="preserve">, אֵימָתַי, בְּזִמְנָא דְכִי מָלַךְ יְיָ' צבאו''ת, דְּבִנְיָינָא קַדְמָאָה אִתְעֲבִיד עַל יְדָא דְבַר נַשׁ, וּבְגִין דָּא שַׁלִּיטוּ עֲלַיְהוּ, בְגִין </w:t>
      </w:r>
      <w:r>
        <w:rPr>
          <w:rFonts w:ascii="Arial" w:hAnsi="Arial Unicode MS" w:cs="Guttman Frank"/>
          <w:b/>
          <w:szCs w:val="23"/>
          <w:rtl/>
          <w:lang w:eastAsia="he-IL"/>
        </w:rPr>
        <w:t>(תהלים קכו א)</w:t>
      </w:r>
      <w:r>
        <w:rPr>
          <w:rFonts w:ascii="Arial" w:hAnsi="Arial Unicode MS" w:cs="Guttman Frank"/>
          <w:b/>
          <w:bCs/>
          <w:sz w:val="29"/>
          <w:szCs w:val="29"/>
          <w:rtl/>
          <w:lang w:eastAsia="he-IL"/>
        </w:rPr>
        <w:t xml:space="preserve"> דְּאִם יְיָ' לֹא יִבְנֶה בַיִת שָׁוְא עָמְלוּ בוֹנָיו בּוֹ, וּבְגִין דְּבִנְיָינָא בַתְרָאָה יְהֵא עַל יְדָא דְקוּדְשָׁא בְּרִיךְ הוּא, יִתְקַיַּים, וְעַל דָּא אָמַר קְרָא, </w:t>
      </w:r>
      <w:r>
        <w:rPr>
          <w:rFonts w:ascii="Arial" w:hAnsi="Arial Unicode MS" w:cs="Guttman Frank"/>
          <w:b/>
          <w:szCs w:val="23"/>
          <w:rtl/>
          <w:lang w:eastAsia="he-IL"/>
        </w:rPr>
        <w:t>(חגי ב ט)</w:t>
      </w:r>
      <w:r>
        <w:rPr>
          <w:rFonts w:ascii="Arial" w:hAnsi="Arial Unicode MS" w:cs="Guttman Frank"/>
          <w:b/>
          <w:bCs/>
          <w:sz w:val="29"/>
          <w:szCs w:val="29"/>
          <w:rtl/>
          <w:lang w:eastAsia="he-IL"/>
        </w:rPr>
        <w:t xml:space="preserve"> גָּדוֹל יִהְיֶה כְּבוֹד הַבַּיִת הַזֶּה הָאַחֲרוֹן מִן הָרִאשׁוֹן.</w:t>
      </w:r>
    </w:p>
    <w:p w:rsidR="00606298" w:rsidRDefault="00606298">
      <w:pPr>
        <w:spacing w:after="40" w:line="360" w:lineRule="atLeast"/>
        <w:ind w:left="144" w:right="144" w:firstLine="288"/>
        <w:jc w:val="both"/>
        <w:rPr>
          <w:rFonts w:ascii="Arial" w:hAnsi="Arial Unicode MS" w:cs="Guttman Frank"/>
          <w:b/>
          <w:bCs/>
          <w:sz w:val="29"/>
          <w:szCs w:val="29"/>
          <w:rtl/>
          <w:lang w:eastAsia="he-IL"/>
        </w:rPr>
      </w:pPr>
      <w:r>
        <w:rPr>
          <w:rFonts w:ascii="Arial" w:hAnsi="Arial Unicode MS" w:cs="Guttman Frank"/>
          <w:b/>
          <w:bCs/>
          <w:sz w:val="29"/>
          <w:szCs w:val="29"/>
          <w:rtl/>
          <w:lang w:eastAsia="he-IL"/>
        </w:rPr>
        <w:lastRenderedPageBreak/>
        <w:t xml:space="preserve">וּבְהַהוּא זִמְנָא דְיִתְבְּנֵי בִנְיָינָא עַל יְדָא דְקוּדְשָׁא בְּרִיךְ הוּא לְעִילָא וְתַתָּא, אִתְּמַר בִּשְׁכִינְתָּא עִלָּאָה וְתַתָּאָה, וְהָיָה אוֹר הַלְּבָנָה כְּאוֹר הַחַמָּה </w:t>
      </w:r>
      <w:r>
        <w:rPr>
          <w:rFonts w:ascii="Arial" w:hAnsi="Arial Unicode MS" w:cs="Guttman Frank"/>
          <w:b/>
          <w:szCs w:val="23"/>
          <w:rtl/>
          <w:lang w:eastAsia="he-IL"/>
        </w:rPr>
        <w:t>(ישעיהו ל כו)</w:t>
      </w:r>
      <w:r>
        <w:rPr>
          <w:rFonts w:ascii="Arial" w:hAnsi="Arial Unicode MS" w:cs="Guttman Frank"/>
          <w:b/>
          <w:bCs/>
          <w:sz w:val="29"/>
          <w:szCs w:val="29"/>
          <w:rtl/>
          <w:lang w:eastAsia="he-IL"/>
        </w:rPr>
        <w:t xml:space="preserve">, וְחָפְרָה הַלְּבָנָה וּבוֹשָׁה הַחַמָּה, דְאִינוּן נוּקְבִין דְּסמא''ל, וּבְגִין דְּלָא דְחִיל סמא''ל מִן קוּדְשָׁא בְּרִיךְ הוּא דְאִיהוּ שָׁמַיִם, וּבַת זוּגֵיהּ לָא דְחִילַת מִשְּׁכִינְתֵּיהּ דְּאִיהִי אַרְעִיהּ, אִתְּמַר בְּהוֹן </w:t>
      </w:r>
      <w:r>
        <w:rPr>
          <w:rFonts w:ascii="Arial" w:hAnsi="Arial Unicode MS" w:cs="Guttman Frank"/>
          <w:b/>
          <w:szCs w:val="23"/>
          <w:rtl/>
          <w:lang w:eastAsia="he-IL"/>
        </w:rPr>
        <w:t>(שם נא ו)</w:t>
      </w:r>
      <w:r>
        <w:rPr>
          <w:rFonts w:ascii="Arial" w:hAnsi="Arial Unicode MS" w:cs="Guttman Frank"/>
          <w:b/>
          <w:bCs/>
          <w:sz w:val="29"/>
          <w:szCs w:val="29"/>
          <w:rtl/>
          <w:lang w:eastAsia="he-IL"/>
        </w:rPr>
        <w:t>, כִּי שָׁמַיִם כֶּעָשָׁן נִמְלָחוּ, וְהָאָרֶץ כַּבֶּגֶד תִּבְלֶה, הוּא סמא''ל וּבַת זוּגֵיהּ:</w:t>
      </w:r>
    </w:p>
    <w:p w:rsidR="00606298" w:rsidRDefault="00606298">
      <w:pPr>
        <w:pStyle w:val="a8"/>
        <w:spacing w:before="0" w:after="40"/>
        <w:rPr>
          <w:rtl/>
        </w:rPr>
      </w:pPr>
    </w:p>
    <w:p w:rsidR="00606298" w:rsidRDefault="00606298" w:rsidP="0007465E">
      <w:pPr>
        <w:pStyle w:val="1"/>
        <w:rPr>
          <w:rtl/>
        </w:rPr>
      </w:pPr>
      <w:bookmarkStart w:id="95" w:name="_Toc405982946"/>
      <w:r>
        <w:rPr>
          <w:rtl/>
        </w:rPr>
        <w:t>תקונא תשיעאה</w:t>
      </w:r>
      <w:bookmarkEnd w:id="95"/>
    </w:p>
    <w:p w:rsidR="00606298" w:rsidRDefault="00606298" w:rsidP="00134F53">
      <w:pPr>
        <w:pStyle w:val="2"/>
        <w:rPr>
          <w:rtl/>
        </w:rPr>
      </w:pPr>
      <w:bookmarkStart w:id="96" w:name="_Toc405982947"/>
      <w:r>
        <w:rPr>
          <w:rtl/>
        </w:rPr>
        <w:t>[תיקוני זוהר - דף כ ע''ב]</w:t>
      </w:r>
      <w:bookmarkEnd w:id="96"/>
    </w:p>
    <w:p w:rsidR="00606298" w:rsidRDefault="00606298" w:rsidP="00B17EA9">
      <w:pPr>
        <w:pStyle w:val="NormalWeb"/>
        <w:rPr>
          <w:rtl/>
        </w:rPr>
      </w:pPr>
      <w:r>
        <w:rPr>
          <w:rtl/>
        </w:rPr>
        <w:t xml:space="preserve">בְּרֵאשִׁית, יָרֵ''א שַׁבָּ''ת, דְּאִיהִי שְׁכִינְתָּא, דַּעֲלָהּ אִתְּמַר </w:t>
      </w:r>
      <w:r>
        <w:rPr>
          <w:sz w:val="20"/>
          <w:szCs w:val="23"/>
          <w:rtl/>
        </w:rPr>
        <w:t>(שמות לא יד)</w:t>
      </w:r>
      <w:r>
        <w:rPr>
          <w:rtl/>
        </w:rPr>
        <w:t xml:space="preserve"> מְחַלְלֶיהָ מוֹת יוּמָת, דְּעָאלוּ אוֹיְבִים </w:t>
      </w:r>
      <w:r>
        <w:rPr>
          <w:rStyle w:val="a7"/>
          <w:rtl/>
        </w:rPr>
        <w:footnoteReference w:id="1341"/>
      </w:r>
      <w:r>
        <w:rPr>
          <w:rtl/>
        </w:rPr>
        <w:t xml:space="preserve">בֶּחָלָל דִּילָהּ דְּאִיהוּ קֹדֶשׁ קָדָשִׁים, וְאִתְּמַר בְּהוֹן </w:t>
      </w:r>
      <w:r>
        <w:rPr>
          <w:sz w:val="20"/>
          <w:szCs w:val="23"/>
          <w:rtl/>
        </w:rPr>
        <w:t>(במדבר יט יג)</w:t>
      </w:r>
      <w:r>
        <w:rPr>
          <w:rtl/>
        </w:rPr>
        <w:t xml:space="preserve"> אֶת מִקְדַּשׁ יְיָ' טִמֵּא, חִלֵּל מַמְלָכָה וְשָׂרֶיהָ </w:t>
      </w:r>
      <w:r>
        <w:rPr>
          <w:sz w:val="20"/>
          <w:szCs w:val="23"/>
          <w:rtl/>
        </w:rPr>
        <w:t>(איכה ב ב)</w:t>
      </w:r>
      <w:r>
        <w:rPr>
          <w:rtl/>
        </w:rPr>
        <w:t xml:space="preserve">, וְשִׁפְחָה עָאלַת בַּאֲתַר דִּגְבִירָה, דְּאִיהִי נִדָּה שִׁפְחָה גוֹיָה זוֹנָה, וְסָאִיבַת אַתְרָהָא, דְתַמָּן הֲוָה נְיָיחָא דִשְׁכִינְתָּא, וְקָלָא הֲוָה נָחִית וְאָמַר, יְרֵא שַׁבָּת, וְאִיהִי לָא עָבְדַת כַּךְ, אֶלָּא חִלֵּל מַמְלָכָה וְשָׂרֶיהָ, וּבָרְחַת שְׁכִינְתָּא מִתַּמָּן, בְּהַהוּא זִמְנָא שָׂחֲקוּ עַל מִשְׁבַּתֶּיהָ, וְאָמְרַת שִׁפְחָה, לַאו הַאי כְּגַוְונָא דְעָבְדַת שָׂרַי לְשִׁפְחָה דִילָהּ, הֲדָא הוּא דִכְתִיב </w:t>
      </w:r>
      <w:r>
        <w:rPr>
          <w:sz w:val="20"/>
          <w:szCs w:val="23"/>
          <w:rtl/>
        </w:rPr>
        <w:t>(בראשית טז ח)</w:t>
      </w:r>
      <w:r>
        <w:rPr>
          <w:rtl/>
        </w:rPr>
        <w:t xml:space="preserve"> מִפְּנֵי שָׂרַי גְּבִרְתִּי אָנֹכִי בֹּרַחַת, אָמַר קוּדְשָׁא בְּרִיךְ הוּא, בְּרַתָּא דְרָשָׁע חַיָּיבָא, וְהָא אַף עַל גַּב דְּשָׂרַי תָּרְכַת לָהּ, אֲנָא רְחִימְנָא עֲלָהּ וְעַל בְּנָהּ, וְאַתּוּן </w:t>
      </w:r>
      <w:r>
        <w:rPr>
          <w:sz w:val="20"/>
          <w:szCs w:val="23"/>
          <w:rtl/>
        </w:rPr>
        <w:t xml:space="preserve">(דף כ ע''ב) </w:t>
      </w:r>
      <w:r>
        <w:rPr>
          <w:rtl/>
        </w:rPr>
        <w:t xml:space="preserve">לָא עֲבַדְתּוּן הָכִי, אֶלָּא גְרַמְתּוּן </w:t>
      </w:r>
      <w:r>
        <w:rPr>
          <w:sz w:val="20"/>
          <w:szCs w:val="23"/>
          <w:rtl/>
        </w:rPr>
        <w:t>(נ''א גמלתון)</w:t>
      </w:r>
      <w:r>
        <w:rPr>
          <w:rtl/>
        </w:rPr>
        <w:t xml:space="preserve"> בִּישׁ תְּחוֹת טָב, אֲנָא אוֹמֵינָא לְאַעֲבָרָא מַלְכוּתָא חַיָּיבָא מֵעָלְמָא, וְלָא יְהֵא חֶדְוָה קֳדָמַי עַד דְּיִתְאֲבִידוּ מֵעָלְמָא, וּבְהַהוּא זִמְנָא יְהֵא חֶדְוָה קֳדָמַי, הֲדָא הוּא דִכְתִיב </w:t>
      </w:r>
      <w:r>
        <w:rPr>
          <w:sz w:val="20"/>
          <w:szCs w:val="23"/>
          <w:rtl/>
        </w:rPr>
        <w:t>(משלי יא י)</w:t>
      </w:r>
      <w:r>
        <w:rPr>
          <w:rtl/>
        </w:rPr>
        <w:t xml:space="preserve"> וּבַאֲבֹד רְשָׁעִים רִנָּה:</w:t>
      </w:r>
    </w:p>
    <w:p w:rsidR="00606298" w:rsidRDefault="00606298">
      <w:pPr>
        <w:pStyle w:val="a8"/>
        <w:spacing w:before="0" w:after="40"/>
        <w:rPr>
          <w:rtl/>
        </w:rPr>
      </w:pPr>
    </w:p>
    <w:p w:rsidR="00606298" w:rsidRDefault="00606298" w:rsidP="0007465E">
      <w:pPr>
        <w:pStyle w:val="1"/>
        <w:rPr>
          <w:rtl/>
        </w:rPr>
      </w:pPr>
      <w:bookmarkStart w:id="97" w:name="_Toc405982948"/>
      <w:r>
        <w:rPr>
          <w:rtl/>
        </w:rPr>
        <w:t>תקונא עשיראה</w:t>
      </w:r>
      <w:bookmarkEnd w:id="97"/>
    </w:p>
    <w:p w:rsidR="00606298" w:rsidRDefault="00606298" w:rsidP="00B17EA9">
      <w:pPr>
        <w:pStyle w:val="NormalWeb"/>
        <w:rPr>
          <w:rtl/>
        </w:rPr>
      </w:pPr>
      <w:r>
        <w:rPr>
          <w:rtl/>
        </w:rPr>
        <w:t xml:space="preserve">בְּרֵאשִׁית </w:t>
      </w:r>
      <w:r>
        <w:rPr>
          <w:rStyle w:val="a7"/>
          <w:rtl/>
        </w:rPr>
        <w:footnoteReference w:id="1342"/>
      </w:r>
      <w:r>
        <w:rPr>
          <w:rtl/>
        </w:rPr>
        <w:t xml:space="preserve">שִׁי''ר תָּאֵ''ב, </w:t>
      </w:r>
      <w:r>
        <w:rPr>
          <w:rStyle w:val="a7"/>
          <w:rtl/>
        </w:rPr>
        <w:footnoteReference w:id="1343"/>
      </w:r>
      <w:r>
        <w:rPr>
          <w:rtl/>
        </w:rPr>
        <w:t xml:space="preserve">וְהָא אִיהוּ שִׁיר מְשׁוּבָּח מִכָּל הַשִּׁירִים, תָּאֵב מִכָּל הַשִּׁירִים, וַעֲלֵיהּ אִתְּמַר שִׁיר הַשִּׁירִים אֲשֶׁר לִשְׁלֹמֹה, </w:t>
      </w:r>
      <w:r>
        <w:rPr>
          <w:rStyle w:val="a7"/>
          <w:rtl/>
        </w:rPr>
        <w:footnoteReference w:id="1344"/>
      </w:r>
      <w:r>
        <w:rPr>
          <w:rtl/>
        </w:rPr>
        <w:t xml:space="preserve">לַמֶּלֶךְ שֶׁהַשָּׁלוֹם שֶׁלּוֹ, הָכִי אוּקְמוּהוּ, וְהַאי שִׁיר מָתַי יִתְעַר, בְּזִמְנָא דְיִתְאַבְּדוּן סמא''ל וּמְמַנָּן דִּילֵיהּ חַיָּיבַיָּא מִן עָלְמָא, וּבְהַהוּא זִמְנָא אָז יָשִׁיר מֹשֶׁה </w:t>
      </w:r>
      <w:r>
        <w:rPr>
          <w:sz w:val="20"/>
          <w:szCs w:val="23"/>
          <w:rtl/>
        </w:rPr>
        <w:t>(שמות טו א)</w:t>
      </w:r>
      <w:r>
        <w:rPr>
          <w:rtl/>
        </w:rPr>
        <w:t>, אָז שָׁר לָא כְתִיב אֶלָּא יָשִׁיר, וְהָא אוּקְמוּהוּ.</w:t>
      </w:r>
    </w:p>
    <w:p w:rsidR="00606298" w:rsidRDefault="00606298" w:rsidP="00B17EA9">
      <w:pPr>
        <w:pStyle w:val="NormalWeb"/>
        <w:rPr>
          <w:rtl/>
        </w:rPr>
      </w:pPr>
      <w:r>
        <w:rPr>
          <w:rtl/>
        </w:rPr>
        <w:t xml:space="preserve">וְהַאי שִׁיר </w:t>
      </w:r>
      <w:r>
        <w:rPr>
          <w:rStyle w:val="a7"/>
          <w:rtl/>
        </w:rPr>
        <w:footnoteReference w:id="1345"/>
      </w:r>
      <w:r>
        <w:rPr>
          <w:rtl/>
        </w:rPr>
        <w:t xml:space="preserve">בְּאָז, סְלִיק בְּפוּמָא, </w:t>
      </w:r>
      <w:r>
        <w:rPr>
          <w:rStyle w:val="a7"/>
          <w:rtl/>
        </w:rPr>
        <w:footnoteReference w:id="1346"/>
      </w:r>
      <w:r>
        <w:rPr>
          <w:rtl/>
        </w:rPr>
        <w:t xml:space="preserve">אֲבָל שִׁיר אִיהוּ וַדַּאי חָכְמַת שְׁלֹמֹה, </w:t>
      </w:r>
      <w:r>
        <w:rPr>
          <w:rStyle w:val="a7"/>
          <w:rtl/>
        </w:rPr>
        <w:footnoteReference w:id="1347"/>
      </w:r>
      <w:r>
        <w:rPr>
          <w:rtl/>
        </w:rPr>
        <w:t xml:space="preserve">בְּהַהוּא זִמְנָא וַתֵּרֶב חָכְמַת שְׁלֹמֹה </w:t>
      </w:r>
      <w:r>
        <w:rPr>
          <w:sz w:val="20"/>
          <w:szCs w:val="23"/>
          <w:rtl/>
        </w:rPr>
        <w:t>(מלכים א ה י)</w:t>
      </w:r>
      <w:r>
        <w:rPr>
          <w:rtl/>
        </w:rPr>
        <w:t>, דְּאִיהִי וַדַּאי חָכְמַת שְׁלֹמֹה.</w:t>
      </w:r>
    </w:p>
    <w:p w:rsidR="00606298" w:rsidRDefault="00606298" w:rsidP="00B17EA9">
      <w:pPr>
        <w:pStyle w:val="NormalWeb"/>
        <w:rPr>
          <w:rtl/>
        </w:rPr>
      </w:pPr>
      <w:r>
        <w:rPr>
          <w:rStyle w:val="a7"/>
          <w:rtl/>
        </w:rPr>
        <w:footnoteReference w:id="1348"/>
      </w:r>
      <w:r>
        <w:rPr>
          <w:rtl/>
        </w:rPr>
        <w:t xml:space="preserve">וּמָאן סָלִיק לָהּ לְאַתְרָהּ, דָּא מֹשֶׁה, </w:t>
      </w:r>
      <w:r>
        <w:rPr>
          <w:rStyle w:val="a7"/>
          <w:rtl/>
        </w:rPr>
        <w:footnoteReference w:id="1349"/>
      </w:r>
      <w:r>
        <w:rPr>
          <w:rtl/>
        </w:rPr>
        <w:t xml:space="preserve">וְרָזָא דְמִלָּה אָז יָשִׁיר מֹשֶׁה, </w:t>
      </w:r>
      <w:r>
        <w:rPr>
          <w:rStyle w:val="a7"/>
          <w:rtl/>
        </w:rPr>
        <w:footnoteReference w:id="1350"/>
      </w:r>
      <w:r>
        <w:rPr>
          <w:rtl/>
        </w:rPr>
        <w:t xml:space="preserve">בְּאָן סָלִיק לָהּ בְּתַלְשָׁא, </w:t>
      </w:r>
      <w:r>
        <w:rPr>
          <w:rStyle w:val="a7"/>
          <w:rtl/>
        </w:rPr>
        <w:footnoteReference w:id="1351"/>
      </w:r>
      <w:r>
        <w:rPr>
          <w:rtl/>
        </w:rPr>
        <w:t xml:space="preserve">הַאי תַּגָּא דְתַלְשָׁא אִיהִי י' יָשִׁיר, </w:t>
      </w:r>
      <w:r>
        <w:rPr>
          <w:rStyle w:val="a7"/>
          <w:rtl/>
        </w:rPr>
        <w:footnoteReference w:id="1352"/>
      </w:r>
      <w:r>
        <w:rPr>
          <w:rtl/>
        </w:rPr>
        <w:t xml:space="preserve">וְתָקוּם מִן ה' דְמֹשֶׁה וְשַׁרְיָא עַל רֵישָׁא דְו', וְאִתְעֲבִידַת תַּגָּא ז', </w:t>
      </w:r>
      <w:r>
        <w:rPr>
          <w:rStyle w:val="a7"/>
          <w:rtl/>
        </w:rPr>
        <w:footnoteReference w:id="1353"/>
      </w:r>
      <w:r>
        <w:rPr>
          <w:rtl/>
        </w:rPr>
        <w:t>וְסָלִיק לָהּ עַד אֲתַר דְּאִתְגְּזַרַת מִתַּמָּן.</w:t>
      </w:r>
    </w:p>
    <w:p w:rsidR="00606298" w:rsidRDefault="00606298" w:rsidP="00B17EA9">
      <w:pPr>
        <w:pStyle w:val="NormalWeb"/>
        <w:rPr>
          <w:rtl/>
        </w:rPr>
      </w:pPr>
      <w:r>
        <w:rPr>
          <w:rtl/>
        </w:rPr>
        <w:lastRenderedPageBreak/>
        <w:t xml:space="preserve">כַּד סָלְקָא לְגַבֵּי י' עִלָּאָה אִתְקְרִיאַת שִׁיר זָכָר, </w:t>
      </w:r>
      <w:r>
        <w:rPr>
          <w:rStyle w:val="a7"/>
          <w:rtl/>
        </w:rPr>
        <w:footnoteReference w:id="1354"/>
      </w:r>
      <w:r>
        <w:rPr>
          <w:rtl/>
        </w:rPr>
        <w:t xml:space="preserve">וְכַד נָחְתָא לְגַבֵּי ה' אִתְקְרִיאַת שִׁירָה, </w:t>
      </w:r>
      <w:r>
        <w:rPr>
          <w:rStyle w:val="a7"/>
          <w:rtl/>
        </w:rPr>
        <w:footnoteReference w:id="1355"/>
      </w:r>
      <w:r>
        <w:rPr>
          <w:rtl/>
        </w:rPr>
        <w:t xml:space="preserve">הֲדָא הוּא דִכְתִיב אָז יָשִׁיר מֹשֶׁה וּבְנֵי יִשְׂרָאֵל אֶת הַשִּׁירָה הַזֹּאת לַיְיָ' וְגוֹמֵר, דַּעֲלָהּ אִתְּמַר </w:t>
      </w:r>
      <w:r>
        <w:rPr>
          <w:sz w:val="20"/>
          <w:szCs w:val="23"/>
          <w:rtl/>
        </w:rPr>
        <w:t>(תהלים קיח כב)</w:t>
      </w:r>
      <w:r>
        <w:rPr>
          <w:rtl/>
        </w:rPr>
        <w:t xml:space="preserve"> אֶבֶן מָאֲסוּ הַבּוֹנִים וְגוֹמֵר, דְּאִיהִי אַבְנָא דִי מְחָת לְצַלְמָא דַעֲבוֹדָה זָרָה, בְּהַהִיא זִמְנָא דְאִתְמַחִי צַלְמָא דַעֲבוֹדָה זָרָה דִיּוֹקְנָא בִישָׁא, אִתְּמַר בָּהּ </w:t>
      </w:r>
      <w:r>
        <w:rPr>
          <w:sz w:val="20"/>
          <w:szCs w:val="23"/>
          <w:rtl/>
        </w:rPr>
        <w:t>(דניאל ב לה)</w:t>
      </w:r>
      <w:r>
        <w:rPr>
          <w:rtl/>
        </w:rPr>
        <w:t xml:space="preserve"> וְאַבְנָא דִי מְחָת לְצַלְמָא הֲוַת לְטוּר רַב וּמְלָאת כָּל אַרְעָא, הֲדָא הוּא דִכְתִיב </w:t>
      </w:r>
      <w:r>
        <w:rPr>
          <w:sz w:val="20"/>
          <w:szCs w:val="23"/>
          <w:rtl/>
        </w:rPr>
        <w:t>(ישעיה ו ג)</w:t>
      </w:r>
      <w:r>
        <w:rPr>
          <w:rtl/>
        </w:rPr>
        <w:t xml:space="preserve"> מְלֹא כָל הָאָרֶץ כְּבוֹדוֹ, וְהָכִי סְלִיקַת עַד דְּלָא אַשְׁכְּחִין לָהּ אֲתַר, וְשָׁאֲלִין מַלְאָכִין בְּגִינָהּ אַיֵּה מְקוֹם כְּבוֹדוֹ לְהַעֲרִיצוֹ, וְלָא אַשְׁכְּחִין לָהּ שִׁיעוּרָא, עַד דְּאָמְרִין בָּרוּךְ כְּבוֹד יְיָ' מִמְּקוֹמוֹ, בְּגִין דְּסָלְקָא לֵיהּ </w:t>
      </w:r>
      <w:r>
        <w:rPr>
          <w:rStyle w:val="a7"/>
          <w:rtl/>
        </w:rPr>
        <w:footnoteReference w:id="1356"/>
      </w:r>
      <w:r>
        <w:rPr>
          <w:rtl/>
        </w:rPr>
        <w:t xml:space="preserve">עַד אֵין סוֹף </w:t>
      </w:r>
      <w:r>
        <w:rPr>
          <w:rStyle w:val="a7"/>
          <w:rtl/>
        </w:rPr>
        <w:footnoteReference w:id="1357"/>
      </w:r>
      <w:r>
        <w:rPr>
          <w:rtl/>
        </w:rPr>
        <w:t>דְּאִיהוּ י' רֵישָׁא דְא'.</w:t>
      </w:r>
    </w:p>
    <w:p w:rsidR="00606298" w:rsidRDefault="00606298" w:rsidP="00B17EA9">
      <w:pPr>
        <w:pStyle w:val="NormalWeb"/>
        <w:rPr>
          <w:rtl/>
        </w:rPr>
      </w:pPr>
      <w:r>
        <w:rPr>
          <w:rtl/>
        </w:rPr>
        <w:t xml:space="preserve">וּבְאָן סְלִיקַת בְּעַמּוּדָא דְאֶמְצָעִיתָא דְאִיהוּ ו', עֲטָרָה עַל רֵישֵׁיהּ, </w:t>
      </w:r>
      <w:r>
        <w:rPr>
          <w:rStyle w:val="a7"/>
          <w:rtl/>
        </w:rPr>
        <w:footnoteReference w:id="1358"/>
      </w:r>
      <w:r>
        <w:rPr>
          <w:rtl/>
        </w:rPr>
        <w:t xml:space="preserve">כַּד סְלִיקַת עֲטָרָה עַל רֵישֵׁיהּ אִתְּמַר בָּה </w:t>
      </w:r>
      <w:r>
        <w:rPr>
          <w:sz w:val="20"/>
          <w:szCs w:val="23"/>
          <w:rtl/>
        </w:rPr>
        <w:t>(משלי יב ד)</w:t>
      </w:r>
      <w:r>
        <w:rPr>
          <w:rtl/>
        </w:rPr>
        <w:t xml:space="preserve"> אֵשֶׁת חַיִל עֲטֶרֶת בַּעְלָהּ, וְכַד נְחִיתַת תְּחוֹתֵיהּ אִתְקְרִיאַת בַּת זוּגֵיהּ יִחוּדֵיהּ, </w:t>
      </w:r>
      <w:r>
        <w:rPr>
          <w:rStyle w:val="a7"/>
          <w:rtl/>
        </w:rPr>
        <w:footnoteReference w:id="1359"/>
      </w:r>
      <w:r>
        <w:rPr>
          <w:rtl/>
        </w:rPr>
        <w:t xml:space="preserve">אִיהוּ תַגָּא לְעִילָא, </w:t>
      </w:r>
      <w:r>
        <w:rPr>
          <w:rStyle w:val="a7"/>
          <w:rtl/>
        </w:rPr>
        <w:footnoteReference w:id="1360"/>
      </w:r>
      <w:r>
        <w:rPr>
          <w:rtl/>
        </w:rPr>
        <w:t xml:space="preserve">תַגָּא דְסֵפֶר תּוֹרָה, </w:t>
      </w:r>
      <w:r>
        <w:rPr>
          <w:rStyle w:val="a7"/>
          <w:rtl/>
        </w:rPr>
        <w:footnoteReference w:id="1361"/>
      </w:r>
      <w:r>
        <w:rPr>
          <w:rtl/>
        </w:rPr>
        <w:t xml:space="preserve">בְּגִינָהּ אִתְּמַר וּדְאִשְׁתַּמֵּשׁ בְּתַגָּא חֲלָף, </w:t>
      </w:r>
      <w:r>
        <w:rPr>
          <w:rStyle w:val="a7"/>
          <w:rtl/>
        </w:rPr>
        <w:footnoteReference w:id="1362"/>
      </w:r>
      <w:r>
        <w:rPr>
          <w:rtl/>
        </w:rPr>
        <w:t xml:space="preserve">וְאִיהִי נְקוּדָה דְקָמֵץ א' לְתַתָּא, כְּגַוְונָא דָא א [ציור] יְחוּדֵיה </w:t>
      </w:r>
      <w:r>
        <w:rPr>
          <w:rStyle w:val="a7"/>
          <w:rtl/>
        </w:rPr>
        <w:footnoteReference w:id="1363"/>
      </w:r>
      <w:r>
        <w:rPr>
          <w:rtl/>
        </w:rPr>
        <w:t xml:space="preserve">לְעִילָּא אִיהוּ כְּגַוְנָא דָא א [ציור] תַּגָּא עַל סֵפֶר תּוֹרָה, לְתַתָּא כְּגַונָא דָא א [ציור] נְקוּדָה דְאוֹרַיְיתָא, וּבְגִינָהּ אִתְּמַר </w:t>
      </w:r>
      <w:r>
        <w:rPr>
          <w:sz w:val="20"/>
          <w:szCs w:val="23"/>
          <w:rtl/>
        </w:rPr>
        <w:t>(ישעיה מו י)</w:t>
      </w:r>
      <w:r>
        <w:rPr>
          <w:rtl/>
        </w:rPr>
        <w:t xml:space="preserve"> מַגִּיד מֵרֵאשִׁית אַחֲרִית.</w:t>
      </w:r>
    </w:p>
    <w:p w:rsidR="00606298" w:rsidRDefault="00606298" w:rsidP="00B17EA9">
      <w:pPr>
        <w:pStyle w:val="NormalWeb"/>
        <w:rPr>
          <w:rtl/>
        </w:rPr>
      </w:pPr>
      <w:r>
        <w:rPr>
          <w:rStyle w:val="a7"/>
          <w:rtl/>
        </w:rPr>
        <w:footnoteReference w:id="1364"/>
      </w:r>
      <w:r>
        <w:rPr>
          <w:rtl/>
        </w:rPr>
        <w:t xml:space="preserve">כַּד אִיהִי חַיָּה בֵינַיְיהוּ, אוֹמְרִים מִמְּקוֹמוֹ יִפֶן בְּרַחֲמָיו לְעַמּוֹ, כַּד אִסְתַּלִּיקַת מִינַיְיהוּ, שׁוֹאֲלִים אַיֵּה מְקוֹם כְּבוֹדוֹ לְהַעֲרִיצוֹ, וּבְהַהוּא זִמְנָא דְסָלְקָא אִיהִי כֻלְּהוּ חֵיוָון תְּרַפֶּינָה כַנְפֵיהֶם </w:t>
      </w:r>
      <w:r>
        <w:rPr>
          <w:sz w:val="20"/>
          <w:szCs w:val="23"/>
          <w:rtl/>
        </w:rPr>
        <w:t>(יחזקאל א כד)</w:t>
      </w:r>
      <w:r>
        <w:rPr>
          <w:rtl/>
        </w:rPr>
        <w:t xml:space="preserve">, וְאֵימָתַי סָלְקָא אִיהִי לְעִילָא, בְּעָמְדָם יִשְׂרָאֵל בַּעֲמִידָה, הֲדָא הוּא דִכְתִיב </w:t>
      </w:r>
      <w:r>
        <w:rPr>
          <w:sz w:val="20"/>
          <w:szCs w:val="23"/>
          <w:rtl/>
        </w:rPr>
        <w:t>(שם)</w:t>
      </w:r>
      <w:r>
        <w:rPr>
          <w:rtl/>
        </w:rPr>
        <w:t xml:space="preserve"> בְּעָמְדָם תְּרַפֶּינָה כַנְפֵיהֶם, דִּסְלִיקַת עַד אֵין סוֹף, לְמִשְׁאַל מְזוֹנָא מֵעִלַּת הָעִלּוֹת, וְכַד נְחִיתַת נְחִיתַת מַלְיָא מִכָּל טָבִין, בְּהַהוּא זִמְנָא חֵיוָן </w:t>
      </w:r>
      <w:r>
        <w:rPr>
          <w:rStyle w:val="a7"/>
          <w:rtl/>
        </w:rPr>
        <w:footnoteReference w:id="1365"/>
      </w:r>
      <w:r>
        <w:rPr>
          <w:rtl/>
        </w:rPr>
        <w:t xml:space="preserve">פָּתְחִין גַּדְפַיְיהוּ </w:t>
      </w:r>
      <w:r>
        <w:rPr>
          <w:rStyle w:val="a7"/>
          <w:rtl/>
        </w:rPr>
        <w:footnoteReference w:id="1366"/>
      </w:r>
      <w:r>
        <w:rPr>
          <w:rtl/>
        </w:rPr>
        <w:t>לְגַבָּהּ, בְּכַמָּה שִׁירוֹת וְתוּשְׁבְּחָן לְקַבְּלָא לָהּ בְּחֶדְוָה.</w:t>
      </w:r>
    </w:p>
    <w:p w:rsidR="00606298" w:rsidRDefault="00606298" w:rsidP="00B17EA9">
      <w:pPr>
        <w:pStyle w:val="NormalWeb"/>
        <w:rPr>
          <w:rtl/>
        </w:rPr>
      </w:pPr>
      <w:r>
        <w:rPr>
          <w:rtl/>
        </w:rPr>
        <w:lastRenderedPageBreak/>
        <w:t xml:space="preserve">וּבְאָן אֲתַר נָחֲתַת </w:t>
      </w:r>
      <w:r>
        <w:rPr>
          <w:rStyle w:val="a7"/>
          <w:rtl/>
        </w:rPr>
        <w:footnoteReference w:id="1367"/>
      </w:r>
      <w:r>
        <w:rPr>
          <w:rtl/>
        </w:rPr>
        <w:t xml:space="preserve">בְּאָת ו' דְאִיהִי בְאֶמְצָעִיתָא דְא' עַמּוּדָא דְאֶמְצָעִיתָא, </w:t>
      </w:r>
      <w:r>
        <w:rPr>
          <w:rStyle w:val="a7"/>
          <w:rtl/>
        </w:rPr>
        <w:footnoteReference w:id="1368"/>
      </w:r>
      <w:r>
        <w:rPr>
          <w:rtl/>
        </w:rPr>
        <w:t xml:space="preserve">בֵּיהּ קָרָאן לֵיהּ שְׁמַע יִשְׂרָאֵל שִׁי''ר אֵ''ל, וּבְהַהוּא זִמְנָא דְנָחֲתַת מַה כְּתִיב בְּחֵיוָון </w:t>
      </w:r>
      <w:r>
        <w:rPr>
          <w:sz w:val="20"/>
          <w:szCs w:val="23"/>
          <w:rtl/>
        </w:rPr>
        <w:t>(שם)</w:t>
      </w:r>
      <w:r>
        <w:rPr>
          <w:rtl/>
        </w:rPr>
        <w:t xml:space="preserve"> וָאֶשְׁמַע אֶת קוֹל כַּנְפֵיהֶם.</w:t>
      </w:r>
    </w:p>
    <w:p w:rsidR="00606298" w:rsidRDefault="00606298" w:rsidP="00134F53">
      <w:pPr>
        <w:pStyle w:val="2"/>
        <w:rPr>
          <w:rtl/>
        </w:rPr>
      </w:pPr>
      <w:bookmarkStart w:id="98" w:name="_Toc405982949"/>
      <w:r>
        <w:rPr>
          <w:rtl/>
        </w:rPr>
        <w:t>[תיקוני זוהר - דף כא ע''א]</w:t>
      </w:r>
      <w:bookmarkEnd w:id="98"/>
    </w:p>
    <w:p w:rsidR="00606298" w:rsidRDefault="00606298" w:rsidP="00B17EA9">
      <w:pPr>
        <w:pStyle w:val="NormalWeb"/>
        <w:rPr>
          <w:rtl/>
        </w:rPr>
      </w:pPr>
      <w:r>
        <w:rPr>
          <w:rtl/>
        </w:rPr>
        <w:t xml:space="preserve">קָם אֵלִיָּהוּ וְאָמַר רַבִּי רַבִּי </w:t>
      </w:r>
      <w:r>
        <w:rPr>
          <w:rStyle w:val="a7"/>
          <w:rtl/>
        </w:rPr>
        <w:footnoteReference w:id="1369"/>
      </w:r>
      <w:r>
        <w:rPr>
          <w:rtl/>
        </w:rPr>
        <w:t xml:space="preserve">חֲזוֹר בָּךְ, בְּוַדַּאי כַּד אִיהִי סְלִיקַת, </w:t>
      </w:r>
      <w:r>
        <w:rPr>
          <w:sz w:val="20"/>
          <w:szCs w:val="23"/>
          <w:rtl/>
        </w:rPr>
        <w:t xml:space="preserve">(דף כא ע''א) </w:t>
      </w:r>
      <w:r>
        <w:rPr>
          <w:rStyle w:val="a7"/>
          <w:sz w:val="20"/>
          <w:szCs w:val="23"/>
          <w:rtl/>
        </w:rPr>
        <w:footnoteReference w:id="1370"/>
      </w:r>
      <w:r>
        <w:rPr>
          <w:rtl/>
        </w:rPr>
        <w:t xml:space="preserve">כֻּלְּהוּ חֵיוָון מְצַפְצְפִין לְגַבָּהּ בְּכַמָּה שִׁירִין וְתוּשְׁבְּחָן, וְאִיהִי סָלְקָא עַל כֻּלְּהוּ עַד אֵין סוֹף, </w:t>
      </w:r>
      <w:r>
        <w:rPr>
          <w:rStyle w:val="a7"/>
          <w:rtl/>
        </w:rPr>
        <w:footnoteReference w:id="1371"/>
      </w:r>
      <w:r>
        <w:rPr>
          <w:rtl/>
        </w:rPr>
        <w:t xml:space="preserve">הֲדָא הוּא דִכְתִיב </w:t>
      </w:r>
      <w:r>
        <w:rPr>
          <w:sz w:val="20"/>
          <w:szCs w:val="23"/>
          <w:rtl/>
        </w:rPr>
        <w:t>(משלי לא כט)</w:t>
      </w:r>
      <w:r>
        <w:rPr>
          <w:rtl/>
        </w:rPr>
        <w:t xml:space="preserve"> רַבּוֹת בָּנוֹת עָשׂוּ חָיִל וְאַתְּ עָלִית עַל כֻּלָּנָה.</w:t>
      </w:r>
    </w:p>
    <w:p w:rsidR="00606298" w:rsidRDefault="00606298" w:rsidP="00B17EA9">
      <w:pPr>
        <w:pStyle w:val="NormalWeb"/>
        <w:rPr>
          <w:rtl/>
        </w:rPr>
      </w:pPr>
      <w:r>
        <w:rPr>
          <w:rtl/>
        </w:rPr>
        <w:t xml:space="preserve">עַד דְּקָרָאן לָהּ יִשְׂרָאֵל לְתַתָּא בִקְרִיאַת שְׁמַע דְּתֵיחוּת לְגַבַּיְהוּ, וּבְאָן קָרָאן לָהּ בְּבֶן זוּגָהּ דְּאִיהוּ ו', </w:t>
      </w:r>
      <w:r>
        <w:rPr>
          <w:rStyle w:val="a7"/>
          <w:rtl/>
        </w:rPr>
        <w:footnoteReference w:id="1372"/>
      </w:r>
      <w:r>
        <w:rPr>
          <w:rtl/>
        </w:rPr>
        <w:t xml:space="preserve">יִשְׂרָאֵל סָבָא, </w:t>
      </w:r>
      <w:r>
        <w:rPr>
          <w:rStyle w:val="a7"/>
          <w:rtl/>
        </w:rPr>
        <w:footnoteReference w:id="1373"/>
      </w:r>
      <w:r>
        <w:rPr>
          <w:rtl/>
        </w:rPr>
        <w:t>וְאִיהוּ שִׁיר אֵ''ל, שִׁיר דִּילֵיהּ, דְּאִם לָא קָרָאן לָהּ בֵּיהּ לָא נָחֲתָא עֲלַיְהוּ.</w:t>
      </w:r>
    </w:p>
    <w:p w:rsidR="00606298" w:rsidRDefault="00606298" w:rsidP="00B17EA9">
      <w:pPr>
        <w:pStyle w:val="NormalWeb"/>
        <w:rPr>
          <w:rtl/>
        </w:rPr>
      </w:pPr>
      <w:r>
        <w:rPr>
          <w:rtl/>
        </w:rPr>
        <w:t xml:space="preserve">וּבְהַהוּא זִמְנָא דִנְחִיתַת קָשְׁרִין לָהּ בִּתְפִלָּה דְיָד לְתַתָּא, </w:t>
      </w:r>
      <w:r>
        <w:rPr>
          <w:rStyle w:val="a7"/>
          <w:rtl/>
        </w:rPr>
        <w:footnoteReference w:id="1374"/>
      </w:r>
      <w:r>
        <w:rPr>
          <w:rtl/>
        </w:rPr>
        <w:t xml:space="preserve">דִתְהֵא קְשׁוּרָה עִמֵּיהּ, </w:t>
      </w:r>
      <w:r>
        <w:rPr>
          <w:rStyle w:val="a7"/>
          <w:rtl/>
        </w:rPr>
        <w:footnoteReference w:id="1375"/>
      </w:r>
      <w:r>
        <w:rPr>
          <w:rtl/>
        </w:rPr>
        <w:t xml:space="preserve">וְרָזָא דְמִלָּה וְנַפְשׁוֹ קְשׁוּרָה בְנַפְשׁוֹ </w:t>
      </w:r>
      <w:r>
        <w:rPr>
          <w:sz w:val="20"/>
          <w:szCs w:val="23"/>
          <w:rtl/>
        </w:rPr>
        <w:t>(בראשית מד ז)</w:t>
      </w:r>
      <w:r>
        <w:rPr>
          <w:rtl/>
        </w:rPr>
        <w:t xml:space="preserve">, </w:t>
      </w:r>
      <w:r>
        <w:rPr>
          <w:rStyle w:val="a7"/>
          <w:rtl/>
        </w:rPr>
        <w:footnoteReference w:id="1376"/>
      </w:r>
      <w:r>
        <w:rPr>
          <w:rtl/>
        </w:rPr>
        <w:t xml:space="preserve">וְקֶשֶׁר דְּתַרְוַיְיהוּ אִיהוּ שֻׁרֵ''ק לְתַתָּא, וּלְעִילָא שַׁלְשֶׁלֶ''ת תְּפִלִּין עַל רֵישֵׁיהּ, </w:t>
      </w:r>
      <w:r>
        <w:rPr>
          <w:rStyle w:val="a7"/>
          <w:rtl/>
        </w:rPr>
        <w:footnoteReference w:id="1377"/>
      </w:r>
      <w:r>
        <w:rPr>
          <w:rtl/>
        </w:rPr>
        <w:t xml:space="preserve">בְּרָזָא דְטַעֲמֵי אִתְקְרִיאַת תְּנוּעָה, </w:t>
      </w:r>
      <w:r>
        <w:rPr>
          <w:rStyle w:val="a7"/>
          <w:rtl/>
        </w:rPr>
        <w:footnoteReference w:id="1378"/>
      </w:r>
      <w:r>
        <w:rPr>
          <w:rtl/>
        </w:rPr>
        <w:t xml:space="preserve">מִסִּטְרָא דִנְקוּדָה יִחוּדָא, </w:t>
      </w:r>
      <w:r>
        <w:rPr>
          <w:rStyle w:val="a7"/>
          <w:rtl/>
        </w:rPr>
        <w:footnoteReference w:id="1379"/>
      </w:r>
      <w:r>
        <w:rPr>
          <w:rtl/>
        </w:rPr>
        <w:t>וְצָרִיךְ לְאַרָכָא לָהּ בִּתְנוּעָה דְאִיהוּ רָבִיעַ עַד אֵין סוֹף לְעִילָא, וְצָרִיךְ לְנָחֲתָא לָהּ בְּחִירֵ''ק עַד אֵין תַּכְלִית, לְאַמְלָכָא לָהּ עַל תַּתָּאִין, וּבְשׁוּרֵ''ק צָרִיךְ לְיַחֲדָא לָהּ בְּבַעְלָהּ.</w:t>
      </w:r>
    </w:p>
    <w:p w:rsidR="00606298" w:rsidRDefault="00606298" w:rsidP="00B17EA9">
      <w:pPr>
        <w:pStyle w:val="NormalWeb"/>
        <w:rPr>
          <w:rtl/>
        </w:rPr>
      </w:pPr>
      <w:r>
        <w:rPr>
          <w:rStyle w:val="a7"/>
          <w:rtl/>
        </w:rPr>
        <w:footnoteReference w:id="1380"/>
      </w:r>
      <w:r>
        <w:rPr>
          <w:rtl/>
        </w:rPr>
        <w:t xml:space="preserve">וּבְחֹלֵ''ם אִיהִי תַגָּא עַל רֵישֵׁיהּ, וּבְחִירֵ''ק אִיהִי </w:t>
      </w:r>
      <w:r>
        <w:rPr>
          <w:rStyle w:val="a7"/>
          <w:rtl/>
        </w:rPr>
        <w:footnoteReference w:id="1381"/>
      </w:r>
      <w:r>
        <w:rPr>
          <w:rtl/>
        </w:rPr>
        <w:t xml:space="preserve">כָרְסַיָּא תְּחוֹתֵיהּ, וּבְשׁוּרֵ''ק אִיהוּ יִחוּדָא לְגַבֵּיהּ, </w:t>
      </w:r>
      <w:r>
        <w:rPr>
          <w:rStyle w:val="a7"/>
          <w:rtl/>
        </w:rPr>
        <w:footnoteReference w:id="1382"/>
      </w:r>
      <w:r>
        <w:rPr>
          <w:rtl/>
        </w:rPr>
        <w:t xml:space="preserve">כְּגַוְונָא דָא וִֹּ, </w:t>
      </w:r>
      <w:r>
        <w:rPr>
          <w:rStyle w:val="a7"/>
          <w:rtl/>
        </w:rPr>
        <w:footnoteReference w:id="1383"/>
      </w:r>
      <w:r>
        <w:rPr>
          <w:rtl/>
        </w:rPr>
        <w:t xml:space="preserve">וְכַד אִיהִי לְעִילָא תַּגָּא עַל רֵישֵׁיהּ, </w:t>
      </w:r>
      <w:r>
        <w:rPr>
          <w:rStyle w:val="a7"/>
          <w:rtl/>
        </w:rPr>
        <w:footnoteReference w:id="1384"/>
      </w:r>
      <w:r>
        <w:rPr>
          <w:rtl/>
        </w:rPr>
        <w:t xml:space="preserve">וְאִיהִי בְּרַתָּא </w:t>
      </w:r>
      <w:r>
        <w:rPr>
          <w:sz w:val="20"/>
          <w:szCs w:val="23"/>
          <w:rtl/>
        </w:rPr>
        <w:t>(נ''א נחתא)</w:t>
      </w:r>
      <w:r>
        <w:rPr>
          <w:rtl/>
        </w:rPr>
        <w:t xml:space="preserve"> תְּחוֹת רַגְלוֹי, וְאִיהִי בְּיִחוּדָא דִילֵיהּ בְּחֵיקֵיהּ, </w:t>
      </w:r>
      <w:r>
        <w:rPr>
          <w:rStyle w:val="a7"/>
          <w:rtl/>
        </w:rPr>
        <w:lastRenderedPageBreak/>
        <w:footnoteReference w:id="1385"/>
      </w:r>
      <w:r>
        <w:rPr>
          <w:rtl/>
        </w:rPr>
        <w:t xml:space="preserve">אִתְעֲבִידַת שֻׁרֵ''ק קִשּׁוּרָא דִילֵיהּ. </w:t>
      </w:r>
      <w:r>
        <w:rPr>
          <w:rStyle w:val="a7"/>
          <w:rtl/>
        </w:rPr>
        <w:footnoteReference w:id="1386"/>
      </w:r>
      <w:r>
        <w:rPr>
          <w:rtl/>
        </w:rPr>
        <w:t xml:space="preserve">וְכַד בָּעִי לְתַבְרָא קְלִיפִין דְּאִינוּן צְלָמִים, בָּהּ אִתְקְרֵי שְׁבָ''א </w:t>
      </w:r>
      <w:r>
        <w:rPr>
          <w:rStyle w:val="a7"/>
          <w:rtl/>
        </w:rPr>
        <w:footnoteReference w:id="1387"/>
      </w:r>
      <w:r>
        <w:rPr>
          <w:rtl/>
        </w:rPr>
        <w:t xml:space="preserve">תְּבִי''ר, וּבָהּ </w:t>
      </w:r>
      <w:r>
        <w:rPr>
          <w:rStyle w:val="a7"/>
          <w:rtl/>
        </w:rPr>
        <w:footnoteReference w:id="1388"/>
      </w:r>
      <w:r>
        <w:rPr>
          <w:rtl/>
        </w:rPr>
        <w:t xml:space="preserve">שַׁבֵּר תְּשַׁבֵּר מַצֵּבוֹתֵיהֶם </w:t>
      </w:r>
      <w:r>
        <w:rPr>
          <w:sz w:val="20"/>
          <w:szCs w:val="23"/>
          <w:rtl/>
        </w:rPr>
        <w:t>(שמות כג כד)</w:t>
      </w:r>
      <w:r>
        <w:rPr>
          <w:rtl/>
        </w:rPr>
        <w:t>.</w:t>
      </w:r>
    </w:p>
    <w:p w:rsidR="00606298" w:rsidRDefault="00606298" w:rsidP="00B17EA9">
      <w:pPr>
        <w:pStyle w:val="NormalWeb"/>
        <w:rPr>
          <w:rtl/>
        </w:rPr>
      </w:pPr>
      <w:r>
        <w:rPr>
          <w:rStyle w:val="a7"/>
          <w:rtl/>
        </w:rPr>
        <w:footnoteReference w:id="1389"/>
      </w:r>
      <w:r>
        <w:rPr>
          <w:rtl/>
        </w:rPr>
        <w:t xml:space="preserve">אֲבָל יִחוּדָא דִילָהּ בִּנְקוּדַת שׁוּרֵ''ק וּ </w:t>
      </w:r>
      <w:r>
        <w:rPr>
          <w:rStyle w:val="a7"/>
          <w:rtl/>
        </w:rPr>
        <w:footnoteReference w:id="1390"/>
      </w:r>
      <w:r>
        <w:rPr>
          <w:rtl/>
        </w:rPr>
        <w:t xml:space="preserve">דְּאִיהוּ יְסוֹד </w:t>
      </w:r>
      <w:r>
        <w:rPr>
          <w:rStyle w:val="a7"/>
          <w:rtl/>
        </w:rPr>
        <w:footnoteReference w:id="1391"/>
      </w:r>
      <w:r>
        <w:rPr>
          <w:rtl/>
        </w:rPr>
        <w:t xml:space="preserve">חַ''י עָלְמִין, חַ''י בִּרְכָאָן דִּצְלוֹתָא, </w:t>
      </w:r>
      <w:r>
        <w:rPr>
          <w:rStyle w:val="a7"/>
          <w:rtl/>
        </w:rPr>
        <w:footnoteReference w:id="1392"/>
      </w:r>
      <w:r>
        <w:rPr>
          <w:rtl/>
        </w:rPr>
        <w:t xml:space="preserve">בְּזִמְנָא דְאִינוּן בְּיִחוּדָא חֲדָא, צְרִיכִין יִשְׂרָאֵל לְמֵיקַם בִּצְלוֹתָא בַחֲשַׁאי, וְרָזָא דְמִלָּה הָבִיאוּ לִי בַּחֲשַׁאי, וּבְגִין דָּא בְּעָמְדָם יִשְׂרָאֵל בַּעֲמִידָה, לְאַתְעָרָא לְגַבָּהּ חַ''י בִּרְכָאָן בַּחֲשַׁאי, </w:t>
      </w:r>
      <w:r>
        <w:rPr>
          <w:rStyle w:val="a7"/>
          <w:rtl/>
        </w:rPr>
        <w:footnoteReference w:id="1393"/>
      </w:r>
      <w:r>
        <w:rPr>
          <w:rtl/>
        </w:rPr>
        <w:t xml:space="preserve">לְאַרָקָא לָהּ בִּרְכָאָן, אִתְּמַר בְּחֵיוָן בְּעָמְדָם תְּרַפֶּינָה כַנְפֵיהֶם, דְּלָא צָרִיךְ לְמִשְׁמַע גַּדְפַיְהוּ </w:t>
      </w:r>
      <w:r>
        <w:rPr>
          <w:sz w:val="20"/>
          <w:szCs w:val="23"/>
          <w:rtl/>
        </w:rPr>
        <w:t>(נ''א קלא)</w:t>
      </w:r>
      <w:r>
        <w:rPr>
          <w:rtl/>
        </w:rPr>
        <w:t xml:space="preserve">, כְּגַוְונָא דְחַנָּה דְאִתְּמַר בָּהּ </w:t>
      </w:r>
      <w:r>
        <w:rPr>
          <w:sz w:val="20"/>
          <w:szCs w:val="23"/>
          <w:rtl/>
        </w:rPr>
        <w:t>(שמואל א א יג)</w:t>
      </w:r>
      <w:r>
        <w:rPr>
          <w:rtl/>
        </w:rPr>
        <w:t xml:space="preserve"> וְקוֹלָהּ לֹא יִשָּׁמֵעַ.</w:t>
      </w:r>
    </w:p>
    <w:p w:rsidR="00606298" w:rsidRDefault="00606298" w:rsidP="00B17EA9">
      <w:pPr>
        <w:pStyle w:val="NormalWeb"/>
        <w:rPr>
          <w:rtl/>
        </w:rPr>
      </w:pPr>
      <w:r>
        <w:rPr>
          <w:rtl/>
        </w:rPr>
        <w:t xml:space="preserve">וְהָכִי צְרִיכִין יִשְׂרָאֵל לְיַחֲדָא בְּבַת זוּגַיְיהוּ בַּחֲשַׁאי, בַּעֲנָוָה בְּאֵימָה בְּרֶתֶת וּבְזִיעַ בְּכִסּוּפָא, כְמָה דְאוּקְמוּהוּ קַדְמָאִין כְּמִי שֶׁכְּפָאוֹ שֵׁד, </w:t>
      </w:r>
      <w:r>
        <w:rPr>
          <w:rStyle w:val="a7"/>
          <w:rtl/>
        </w:rPr>
        <w:footnoteReference w:id="1394"/>
      </w:r>
      <w:r>
        <w:rPr>
          <w:rtl/>
        </w:rPr>
        <w:t xml:space="preserve">דְּאִיהִי שֵׁד מִן שד''י, דִּבְהַהוּא זִמְנָא אִתְעֲבַר מִתַּרְעָא, וְדָא רָזָא דִמְזוּזָה, דְאִתְּמַר בָּהּ </w:t>
      </w:r>
      <w:r>
        <w:rPr>
          <w:sz w:val="20"/>
          <w:szCs w:val="23"/>
          <w:rtl/>
        </w:rPr>
        <w:t>(דברים ו ט)</w:t>
      </w:r>
      <w:r>
        <w:rPr>
          <w:rtl/>
        </w:rPr>
        <w:t xml:space="preserve"> וּכְתַבְתָּם עַל מְזְזוֹת בֵּיתֶךָ, מְזוּזַת כְּתִיב זָז מָוְת, </w:t>
      </w:r>
      <w:r>
        <w:rPr>
          <w:rStyle w:val="a7"/>
          <w:rtl/>
        </w:rPr>
        <w:footnoteReference w:id="1395"/>
      </w:r>
      <w:r>
        <w:rPr>
          <w:rtl/>
        </w:rPr>
        <w:t xml:space="preserve">וְאִם הוּא אִשְׁתַּמַּע קָלֵיהּ, מִיַּד לַפֶּתַח חַטָּאת רֹבֵץ </w:t>
      </w:r>
      <w:r>
        <w:rPr>
          <w:sz w:val="20"/>
          <w:szCs w:val="23"/>
          <w:rtl/>
        </w:rPr>
        <w:t>(בראשית ד ז)</w:t>
      </w:r>
      <w:r>
        <w:rPr>
          <w:rtl/>
        </w:rPr>
        <w:t>, וְלָא עוֹד אֶלָּא דְאִיהוּ זְעִיר בִּמְהֵמְנוּתָא דְהָכִי אוּקְמוּהָ קַדְמָאִין כָּל הַמַּשְׁמִיעַ קוֹלוֹ בִתְפִלָּתוֹ הֲרֵי זֶה מִקְּטַנֵּי אֲמָנָה.</w:t>
      </w:r>
    </w:p>
    <w:p w:rsidR="00606298" w:rsidRDefault="00606298" w:rsidP="00B17EA9">
      <w:pPr>
        <w:pStyle w:val="NormalWeb"/>
        <w:rPr>
          <w:rtl/>
        </w:rPr>
      </w:pPr>
      <w:r>
        <w:rPr>
          <w:rtl/>
        </w:rPr>
        <w:t xml:space="preserve">בְּהַהוּא זִמְנָא דִמְיַחֵד קוּדְשָׁא בְּרִיךְ הוּא בִשְׁכִינְתֵּיהּ, </w:t>
      </w:r>
      <w:r>
        <w:rPr>
          <w:rStyle w:val="a7"/>
          <w:rtl/>
        </w:rPr>
        <w:footnoteReference w:id="1396"/>
      </w:r>
      <w:r>
        <w:rPr>
          <w:rtl/>
        </w:rPr>
        <w:t xml:space="preserve">כֻּלְּהוּ חֵיוָון מְקַבְּלִין דֵּין מִן דֵּין בִּרְכָאָן, וְכֻלְּהוּ בִקְדוּשָׁה, </w:t>
      </w:r>
      <w:r>
        <w:rPr>
          <w:rStyle w:val="a7"/>
          <w:rtl/>
        </w:rPr>
        <w:footnoteReference w:id="1397"/>
      </w:r>
      <w:r>
        <w:rPr>
          <w:rtl/>
        </w:rPr>
        <w:t xml:space="preserve">וּבְגִין דָּא תַּקִּינוּ קִדּוּשִׁין וּבִרְכָאָן לְכַלָּה, וְלָקֳבֵל בְּרָכָה וּקְדוּשָׁה וְיִחוּד דְּקוּדְשָׁא בְּרִיךְ הוּא, הָכִי צְרִיכִין יִשְׂרָאֵל דִּיְהֵא יִחוּדָא דִלְהוֹן בִּקְדוּשָׁה וּבְרָכָה, </w:t>
      </w:r>
      <w:r>
        <w:rPr>
          <w:rStyle w:val="a7"/>
          <w:rtl/>
        </w:rPr>
        <w:footnoteReference w:id="1398"/>
      </w:r>
      <w:r>
        <w:rPr>
          <w:rtl/>
        </w:rPr>
        <w:t xml:space="preserve">וְהָכִי כָּל מְזוֹנַיְיהוּ בִּבְרָכָה וּקְדוּשָׁה, </w:t>
      </w:r>
      <w:r>
        <w:rPr>
          <w:rStyle w:val="a7"/>
          <w:rtl/>
        </w:rPr>
        <w:footnoteReference w:id="1399"/>
      </w:r>
      <w:r>
        <w:rPr>
          <w:rtl/>
        </w:rPr>
        <w:t xml:space="preserve">וְלֵית קְדוּשָׁה בְּפָחוּת מֵעֲשָׂרָה דְאִיהִי י', </w:t>
      </w:r>
      <w:r>
        <w:rPr>
          <w:rStyle w:val="a7"/>
          <w:rtl/>
        </w:rPr>
        <w:footnoteReference w:id="1400"/>
      </w:r>
      <w:r>
        <w:rPr>
          <w:rtl/>
        </w:rPr>
        <w:t xml:space="preserve">וּבְגִין דְּטַבַּעַת אִיהִי י' כְּגַוְונָא דָא סּ, בָּהּ אִתְקַדְּשַׁת כַּלָּה, וְצָרִיךְ לְאַעָלָא לָהּ בְּאֶצְבְּעָא דִילָהּ, דְּאִיהוּ דִיוֹקְנָא דְאָת </w:t>
      </w:r>
      <w:r>
        <w:rPr>
          <w:rtl/>
        </w:rPr>
        <w:lastRenderedPageBreak/>
        <w:t xml:space="preserve">ו', </w:t>
      </w:r>
      <w:r>
        <w:rPr>
          <w:rStyle w:val="a7"/>
          <w:rtl/>
        </w:rPr>
        <w:footnoteReference w:id="1401"/>
      </w:r>
      <w:r>
        <w:rPr>
          <w:rtl/>
        </w:rPr>
        <w:t xml:space="preserve">וְאִתְעֲבִידַת ז', וְצָרִיךְ תְּרֵין סַהֲדִין דְּאִינוּן לָקֳבֵל ה ה, וְכַד אִיהִי טַבַּעַת בְּרֵישָׁא דְאֶצְבְּעָא וְאִתְעֲבִידַת ז', בְּהַהוּא זִמְנָא צָרִיךְ לְבָרְכָא לָהּ בְּשֶׁבַע בִּרְכָאָן </w:t>
      </w:r>
      <w:r>
        <w:rPr>
          <w:rStyle w:val="a7"/>
          <w:rtl/>
        </w:rPr>
        <w:footnoteReference w:id="1402"/>
      </w:r>
      <w:r>
        <w:rPr>
          <w:rtl/>
        </w:rPr>
        <w:t>דְּיַרְתָא כַלָּה.</w:t>
      </w:r>
    </w:p>
    <w:p w:rsidR="00606298" w:rsidRDefault="00606298" w:rsidP="00B17EA9">
      <w:pPr>
        <w:pStyle w:val="NormalWeb"/>
        <w:rPr>
          <w:rtl/>
        </w:rPr>
      </w:pPr>
      <w:r>
        <w:rPr>
          <w:rtl/>
        </w:rPr>
        <w:t xml:space="preserve">בְּהַהוּא זִמְנָא דְמִתְיַחֲדִין יִשָּׁקֵנִי מִנְּשִׁיקוֹת פִּיהוּ </w:t>
      </w:r>
      <w:r>
        <w:rPr>
          <w:sz w:val="20"/>
          <w:szCs w:val="23"/>
          <w:rtl/>
        </w:rPr>
        <w:t>(שיר א)</w:t>
      </w:r>
      <w:r>
        <w:rPr>
          <w:rtl/>
        </w:rPr>
        <w:t xml:space="preserve">, </w:t>
      </w:r>
      <w:r>
        <w:rPr>
          <w:rStyle w:val="a7"/>
          <w:rtl/>
        </w:rPr>
        <w:footnoteReference w:id="1403"/>
      </w:r>
      <w:r>
        <w:rPr>
          <w:rtl/>
        </w:rPr>
        <w:t xml:space="preserve">מַאי נְשִׁיקוֹת פִּיהוּ, תְּרֵין שִׂפְוָון דִּילֵיהּ וּתְרֵין דִּילָהּ, </w:t>
      </w:r>
      <w:r>
        <w:rPr>
          <w:rStyle w:val="a7"/>
          <w:rtl/>
        </w:rPr>
        <w:footnoteReference w:id="1404"/>
      </w:r>
      <w:r>
        <w:rPr>
          <w:rtl/>
        </w:rPr>
        <w:t xml:space="preserve">אִינוּן אַרְבַּע גַּדְפִין דְּחֵיוָון, דְּאִתְּמַר בְּהוֹן </w:t>
      </w:r>
      <w:r>
        <w:rPr>
          <w:sz w:val="20"/>
          <w:szCs w:val="23"/>
          <w:rtl/>
        </w:rPr>
        <w:t>(יחזקאל א ו)</w:t>
      </w:r>
      <w:r>
        <w:rPr>
          <w:rtl/>
        </w:rPr>
        <w:t xml:space="preserve"> וְאַרְבַּע כְּנָפַיִם </w:t>
      </w:r>
      <w:r>
        <w:rPr>
          <w:rStyle w:val="a7"/>
          <w:rtl/>
        </w:rPr>
        <w:footnoteReference w:id="1405"/>
      </w:r>
      <w:r>
        <w:rPr>
          <w:rtl/>
        </w:rPr>
        <w:t xml:space="preserve">לְאַחַת מֵהֶן, </w:t>
      </w:r>
      <w:r>
        <w:rPr>
          <w:rStyle w:val="a7"/>
          <w:rtl/>
        </w:rPr>
        <w:footnoteReference w:id="1406"/>
      </w:r>
      <w:r>
        <w:rPr>
          <w:rtl/>
        </w:rPr>
        <w:t xml:space="preserve">וְכַד אִתְכְּלִילָן תְּרֵין אַנְפִּין דִּילֵיהּ וּתְרֵין דִּילָהּ, וְאַרְבַּע שִׂפְוָון דְּתַרְוַיְהוּ, </w:t>
      </w:r>
      <w:r>
        <w:rPr>
          <w:rStyle w:val="a7"/>
          <w:rtl/>
        </w:rPr>
        <w:footnoteReference w:id="1407"/>
      </w:r>
      <w:r>
        <w:rPr>
          <w:rtl/>
        </w:rPr>
        <w:t xml:space="preserve">אִתְּמַר בְּהוֹן </w:t>
      </w:r>
      <w:r>
        <w:rPr>
          <w:sz w:val="20"/>
          <w:szCs w:val="23"/>
          <w:rtl/>
        </w:rPr>
        <w:t>(שם)</w:t>
      </w:r>
      <w:r>
        <w:rPr>
          <w:rtl/>
        </w:rPr>
        <w:t xml:space="preserve"> וְאַרְבָּעָה פָנִים לְאֶחָת, וְאַרְבַּע כְּנָפַיִם לְאַחַת מֵהֶם, וְאִינוּן אַרְבַּע אַנְפִּין יהו''ה, אַרְבַּע גַּדְפִין אדנ''י, </w:t>
      </w:r>
      <w:r>
        <w:rPr>
          <w:rStyle w:val="a7"/>
          <w:rtl/>
        </w:rPr>
        <w:footnoteReference w:id="1408"/>
      </w:r>
      <w:r>
        <w:rPr>
          <w:rtl/>
        </w:rPr>
        <w:t>בְּחִבּוּרָא חֲדָא יאהדונה''י.</w:t>
      </w:r>
    </w:p>
    <w:p w:rsidR="00606298" w:rsidRDefault="00606298" w:rsidP="00134F53">
      <w:pPr>
        <w:pStyle w:val="2"/>
        <w:rPr>
          <w:rtl/>
        </w:rPr>
      </w:pPr>
      <w:bookmarkStart w:id="99" w:name="_Toc405982950"/>
      <w:r>
        <w:rPr>
          <w:rtl/>
        </w:rPr>
        <w:t>[תיקוני זוהר - דף כא ע''ב]</w:t>
      </w:r>
      <w:bookmarkEnd w:id="99"/>
    </w:p>
    <w:p w:rsidR="00606298" w:rsidRDefault="00606298" w:rsidP="00B17EA9">
      <w:pPr>
        <w:pStyle w:val="NormalWeb"/>
        <w:rPr>
          <w:rtl/>
        </w:rPr>
      </w:pPr>
      <w:r>
        <w:rPr>
          <w:rStyle w:val="a7"/>
          <w:rtl/>
        </w:rPr>
        <w:footnoteReference w:id="1409"/>
      </w:r>
      <w:r>
        <w:rPr>
          <w:rtl/>
        </w:rPr>
        <w:t xml:space="preserve">כַּד מִתְחַבְּרָן אַתְוָון אִקְרֵי חַשְׁמַ''ל, חַיּוֹת אֵשׁ מְמַלְּלָן, </w:t>
      </w:r>
      <w:r>
        <w:rPr>
          <w:rStyle w:val="a7"/>
          <w:rtl/>
        </w:rPr>
        <w:footnoteReference w:id="1410"/>
      </w:r>
      <w:r>
        <w:rPr>
          <w:rtl/>
        </w:rPr>
        <w:t xml:space="preserve">זִמְנִין חָשׁוֹת, זִמְנִין מְמַלְּלוֹת, </w:t>
      </w:r>
      <w:r>
        <w:rPr>
          <w:sz w:val="20"/>
          <w:szCs w:val="23"/>
          <w:rtl/>
        </w:rPr>
        <w:t xml:space="preserve">(דף כא ע''ב) </w:t>
      </w:r>
      <w:r>
        <w:rPr>
          <w:rtl/>
        </w:rPr>
        <w:t xml:space="preserve">וּבְגִינַיְהוּ אִתְּמַר </w:t>
      </w:r>
      <w:r>
        <w:rPr>
          <w:rStyle w:val="a7"/>
          <w:rtl/>
        </w:rPr>
        <w:footnoteReference w:id="1411"/>
      </w:r>
      <w:r>
        <w:rPr>
          <w:rtl/>
        </w:rPr>
        <w:t>גָּדוֹל הָעוֹנֶה אָמֵן יוֹתֵר מִן הַמְּבָרֵךְ, בְּגִין דְּמִתְחַבְּרִין חָתָן וְכַלָּה, תְּמַנְיָא אַתְוָון כַּחֲדָא.</w:t>
      </w:r>
    </w:p>
    <w:p w:rsidR="00606298" w:rsidRDefault="00606298" w:rsidP="00B17EA9">
      <w:pPr>
        <w:pStyle w:val="NormalWeb"/>
        <w:rPr>
          <w:rtl/>
        </w:rPr>
      </w:pPr>
      <w:r>
        <w:rPr>
          <w:rStyle w:val="a7"/>
          <w:rtl/>
        </w:rPr>
        <w:footnoteReference w:id="1412"/>
      </w:r>
      <w:r>
        <w:rPr>
          <w:rtl/>
        </w:rPr>
        <w:t xml:space="preserve">אִינוּן אַרְבַּע חֵיוָון, אִינוּן אדנ''י, וְאִינוּן אַרְיֵה שׁוֹר נֶשֶׁר אָדָם. אַרְיֵה מְקַבֵּל עֲלֵיהּ י' בְּמוֹחָא, </w:t>
      </w:r>
      <w:r>
        <w:rPr>
          <w:rStyle w:val="a7"/>
          <w:rtl/>
        </w:rPr>
        <w:footnoteReference w:id="1413"/>
      </w:r>
      <w:r>
        <w:rPr>
          <w:rtl/>
        </w:rPr>
        <w:t xml:space="preserve">וּבְזִמְנָא דְאִיהוּ בִימִינָא דְאִתְּמַר בֵּיהּ </w:t>
      </w:r>
      <w:r>
        <w:rPr>
          <w:sz w:val="20"/>
          <w:szCs w:val="23"/>
          <w:rtl/>
        </w:rPr>
        <w:t>(שם)</w:t>
      </w:r>
      <w:r>
        <w:rPr>
          <w:rtl/>
        </w:rPr>
        <w:t xml:space="preserve"> וּפְנֵי אַרְיֵה אֶל הַיָּמִין לְאַרְבַּעְתָּם, הָרוֹצֶה לְהַחְכִּים יַדְרִים. שׁוֹר לִשְׂמָאלָא </w:t>
      </w:r>
      <w:r>
        <w:rPr>
          <w:rStyle w:val="a7"/>
          <w:rtl/>
        </w:rPr>
        <w:footnoteReference w:id="1414"/>
      </w:r>
      <w:r>
        <w:rPr>
          <w:rtl/>
        </w:rPr>
        <w:t xml:space="preserve">לָקֳבֵל לִבָּא, </w:t>
      </w:r>
      <w:r>
        <w:rPr>
          <w:rStyle w:val="a7"/>
          <w:rtl/>
        </w:rPr>
        <w:footnoteReference w:id="1415"/>
      </w:r>
      <w:r>
        <w:rPr>
          <w:rtl/>
        </w:rPr>
        <w:t xml:space="preserve">ה' הֶבֶל דְּלִבָּא, תַמָּן ה' </w:t>
      </w:r>
      <w:r>
        <w:rPr>
          <w:sz w:val="20"/>
          <w:szCs w:val="23"/>
          <w:rtl/>
        </w:rPr>
        <w:t>(איוב לז כב)</w:t>
      </w:r>
      <w:r>
        <w:rPr>
          <w:rtl/>
        </w:rPr>
        <w:t xml:space="preserve"> </w:t>
      </w:r>
      <w:r>
        <w:rPr>
          <w:rStyle w:val="a7"/>
          <w:rtl/>
        </w:rPr>
        <w:footnoteReference w:id="1416"/>
      </w:r>
      <w:r>
        <w:rPr>
          <w:rtl/>
        </w:rPr>
        <w:t>מִצָּפוֹן זָהָב יֶאֱתֶה, בְּהַהוּא זִמְנָא דְאִיהִי ה' בְּלִבָּא, הָרוֹצֶה לְהַעֲשִׁיר יַצְפִּין.</w:t>
      </w:r>
    </w:p>
    <w:p w:rsidR="00606298" w:rsidRDefault="00606298" w:rsidP="00B17EA9">
      <w:pPr>
        <w:pStyle w:val="NormalWeb"/>
        <w:rPr>
          <w:rtl/>
        </w:rPr>
      </w:pPr>
      <w:r>
        <w:rPr>
          <w:rStyle w:val="a7"/>
          <w:rtl/>
        </w:rPr>
        <w:footnoteReference w:id="1417"/>
      </w:r>
      <w:r>
        <w:rPr>
          <w:rtl/>
        </w:rPr>
        <w:t xml:space="preserve">י''ה דְּחִילוּ וּרְחִימוּ, אַבָּא וְאִימָּא, </w:t>
      </w:r>
      <w:r>
        <w:rPr>
          <w:rStyle w:val="a7"/>
          <w:rtl/>
        </w:rPr>
        <w:footnoteReference w:id="1418"/>
      </w:r>
      <w:r>
        <w:rPr>
          <w:rtl/>
        </w:rPr>
        <w:t xml:space="preserve">דְּרוֹעָא יְמִינָא וּשְׂמָאלָא, וַיַּעֲבֹ''ר חֶסֶד וּגְבוּרָה, </w:t>
      </w:r>
      <w:r>
        <w:rPr>
          <w:rStyle w:val="a7"/>
          <w:rtl/>
        </w:rPr>
        <w:footnoteReference w:id="1419"/>
      </w:r>
      <w:r>
        <w:rPr>
          <w:rtl/>
        </w:rPr>
        <w:t>דְּסָלְקִין לְחוּשְׁבַּן ע''ב תֵּיבִין, וְרי''ו אַתְוָון דְע''ב שְׁמָהָן, וְדָא רָזָא דְוַיַּעֲבֹ''ר עִיבוּר כְּלָל תַּרְוַיְיהוּ.</w:t>
      </w:r>
    </w:p>
    <w:p w:rsidR="00606298" w:rsidRDefault="00606298" w:rsidP="00B17EA9">
      <w:pPr>
        <w:pStyle w:val="NormalWeb"/>
        <w:rPr>
          <w:rtl/>
        </w:rPr>
      </w:pPr>
      <w:r>
        <w:rPr>
          <w:rtl/>
        </w:rPr>
        <w:lastRenderedPageBreak/>
        <w:t xml:space="preserve">ו' דָּא אוֹרַיְיתָא דְשַׁרְיָא בְפוּמָא, </w:t>
      </w:r>
      <w:r>
        <w:rPr>
          <w:rStyle w:val="a7"/>
          <w:rtl/>
        </w:rPr>
        <w:footnoteReference w:id="1420"/>
      </w:r>
      <w:r>
        <w:rPr>
          <w:rtl/>
        </w:rPr>
        <w:t xml:space="preserve">וּבְרוּחָא דְפוּמָא פָרְחַת נֶשֶׁר, דְּנֶשֶׁר אִיהוּ פוּמָא, תְּרֵין גַּדְפוֹי דִּילֵיהּ תְּרֵין שִׂפְוָון, וַעֲלָהּ אִתְּמַר </w:t>
      </w:r>
      <w:r>
        <w:rPr>
          <w:sz w:val="20"/>
          <w:szCs w:val="23"/>
          <w:rtl/>
        </w:rPr>
        <w:t>(קהלת י כ)</w:t>
      </w:r>
      <w:r>
        <w:rPr>
          <w:rtl/>
        </w:rPr>
        <w:t xml:space="preserve"> כִּי </w:t>
      </w:r>
      <w:r>
        <w:rPr>
          <w:rStyle w:val="a7"/>
          <w:rtl/>
        </w:rPr>
        <w:footnoteReference w:id="1421"/>
      </w:r>
      <w:r>
        <w:rPr>
          <w:rtl/>
        </w:rPr>
        <w:t xml:space="preserve">עוֹף הַשָּׁמַיִם יוֹלִיךְ אֶת הַקּוֹל </w:t>
      </w:r>
      <w:r>
        <w:rPr>
          <w:rStyle w:val="a7"/>
          <w:rtl/>
        </w:rPr>
        <w:footnoteReference w:id="1422"/>
      </w:r>
      <w:r>
        <w:rPr>
          <w:rtl/>
        </w:rPr>
        <w:t xml:space="preserve">וּבַעַל כְּנָפַיִם יַגִּיד דָּבָר, וְדָא עַמּוּדָא דְאֶמְצָעִיתָא, </w:t>
      </w:r>
      <w:r>
        <w:rPr>
          <w:rStyle w:val="a7"/>
          <w:rtl/>
        </w:rPr>
        <w:footnoteReference w:id="1423"/>
      </w:r>
      <w:r>
        <w:rPr>
          <w:rtl/>
        </w:rPr>
        <w:t xml:space="preserve">דְּחָכְמָה וּבִינָה אִינוּן נִסְתָּרוֹת בְּמוֹחָא וְלִבָּא בִּרְחִימוּ וּדְחִילוּ, וְאוֹרַיְיתָא בְלָא דְחִילוּ וּרְחִימוּ </w:t>
      </w:r>
      <w:r>
        <w:rPr>
          <w:rStyle w:val="a7"/>
          <w:rtl/>
        </w:rPr>
        <w:footnoteReference w:id="1424"/>
      </w:r>
      <w:r>
        <w:rPr>
          <w:rtl/>
        </w:rPr>
        <w:t xml:space="preserve">לָא פָרְחַת לְעִילָא, </w:t>
      </w:r>
      <w:r>
        <w:rPr>
          <w:rStyle w:val="a7"/>
          <w:rtl/>
        </w:rPr>
        <w:footnoteReference w:id="1425"/>
      </w:r>
      <w:r>
        <w:rPr>
          <w:rtl/>
        </w:rPr>
        <w:t xml:space="preserve">ובהאי נֶשֶׁר </w:t>
      </w:r>
      <w:r>
        <w:rPr>
          <w:sz w:val="20"/>
          <w:szCs w:val="23"/>
          <w:rtl/>
        </w:rPr>
        <w:t>(נ"א וְכֶתֶר בֵּיה)</w:t>
      </w:r>
      <w:r>
        <w:rPr>
          <w:rtl/>
        </w:rPr>
        <w:t xml:space="preserve">ּ תַּלְיָין בָּנֵי חַיֵּי וּמְזוֹנֵי, </w:t>
      </w:r>
      <w:r>
        <w:rPr>
          <w:rStyle w:val="a7"/>
          <w:rtl/>
        </w:rPr>
        <w:footnoteReference w:id="1426"/>
      </w:r>
      <w:r>
        <w:rPr>
          <w:rtl/>
        </w:rPr>
        <w:t>דְּאִיהוּ מַזָּלָא דְכֻלְּהוּ, וְאִיהוּ לָא תַלְיָא בְּמַזָּלָא, וּבְגִין דָּא אוּקְמוּהוּ בָּנֵי חַיֵּי וּמְזוֹנֵי לַאו בִּזְכוּתָא תַלְיָא מִלְתָא, אֶלָּא בְּמַזָּלָא תַלְיָא מִלְתָא, דְּמִצְוָה אִיהוּ זְכוּתָא.</w:t>
      </w:r>
    </w:p>
    <w:p w:rsidR="00606298" w:rsidRDefault="00606298" w:rsidP="00B17EA9">
      <w:pPr>
        <w:pStyle w:val="NormalWeb"/>
        <w:rPr>
          <w:rtl/>
        </w:rPr>
      </w:pPr>
      <w:r>
        <w:rPr>
          <w:rtl/>
        </w:rPr>
        <w:t xml:space="preserve">ה' זְעִירָא דְמוּת אָדָם, בָּהּ אִשְׁתַּלִּים יהו''ה, וְהִיא מַלְכוּתָא קַדִּישָׁא, אִיהִי מִצְוָה, עֲשִׂיַּית פִּקּוּדִין, דְּאִיהִי שַׁרְיָא </w:t>
      </w:r>
      <w:r>
        <w:rPr>
          <w:rStyle w:val="a7"/>
          <w:rtl/>
        </w:rPr>
        <w:footnoteReference w:id="1427"/>
      </w:r>
      <w:r>
        <w:rPr>
          <w:rtl/>
        </w:rPr>
        <w:t xml:space="preserve">בְּרַמַ''ח אֵבָרִים, וְתוֹרָה וּמִצְוָה עֲלַיְיהוּ אִתְּמַר </w:t>
      </w:r>
      <w:r>
        <w:rPr>
          <w:sz w:val="20"/>
          <w:szCs w:val="23"/>
          <w:rtl/>
        </w:rPr>
        <w:t>(דברים כט כח)</w:t>
      </w:r>
      <w:r>
        <w:rPr>
          <w:rtl/>
        </w:rPr>
        <w:t xml:space="preserve"> וְהַנִּגְלוֹת לָנוּ, וּמִצְוָה בְּלָא דְחִילוּ וּרְחִימוּ לָא יְכִילַת לְסַלְקָא וּלְמֵיקַם קֳדָם י''ה </w:t>
      </w:r>
      <w:r>
        <w:rPr>
          <w:sz w:val="20"/>
          <w:szCs w:val="23"/>
          <w:rtl/>
        </w:rPr>
        <w:t>(נ"א י"י)</w:t>
      </w:r>
      <w:r>
        <w:rPr>
          <w:rtl/>
        </w:rPr>
        <w:t>.</w:t>
      </w:r>
    </w:p>
    <w:p w:rsidR="00606298" w:rsidRDefault="00606298" w:rsidP="00B17EA9">
      <w:pPr>
        <w:pStyle w:val="NormalWeb"/>
        <w:rPr>
          <w:rtl/>
        </w:rPr>
      </w:pPr>
      <w:r>
        <w:rPr>
          <w:rtl/>
        </w:rPr>
        <w:t xml:space="preserve">אִיהִי כְלִילָא דְכֹלָא, </w:t>
      </w:r>
      <w:r>
        <w:rPr>
          <w:rStyle w:val="a7"/>
          <w:rtl/>
        </w:rPr>
        <w:footnoteReference w:id="1428"/>
      </w:r>
      <w:r>
        <w:rPr>
          <w:rtl/>
        </w:rPr>
        <w:t xml:space="preserve">וְעַל כֹּלָּא אָדָ''ם, יו''ד ה''א וא''ו ה''א, דָא מַחֲשָׁבָה, דְסָלִיק כֹּלָּא עַד אֵין סוֹף, </w:t>
      </w:r>
      <w:r>
        <w:rPr>
          <w:rStyle w:val="a7"/>
          <w:rtl/>
        </w:rPr>
        <w:footnoteReference w:id="1429"/>
      </w:r>
      <w:r>
        <w:rPr>
          <w:rtl/>
        </w:rPr>
        <w:t>בְּמַלְכוּתָא אִשְׁתַּלִּים כֹּלָּא עִילָא וְתַתָּא.</w:t>
      </w:r>
    </w:p>
    <w:p w:rsidR="00606298" w:rsidRDefault="00606298" w:rsidP="00B17EA9">
      <w:pPr>
        <w:pStyle w:val="NormalWeb"/>
        <w:rPr>
          <w:rtl/>
        </w:rPr>
      </w:pPr>
      <w:r>
        <w:rPr>
          <w:rStyle w:val="a7"/>
          <w:rtl/>
        </w:rPr>
        <w:footnoteReference w:id="1430"/>
      </w:r>
      <w:r>
        <w:rPr>
          <w:rtl/>
        </w:rPr>
        <w:t xml:space="preserve">וְאִיהִי כְלִילָא מֵאַרְבַּע פָּרָשִׁיָּין דִּקְרִיאַת שְׁמַע, </w:t>
      </w:r>
      <w:r>
        <w:rPr>
          <w:rStyle w:val="a7"/>
          <w:rtl/>
        </w:rPr>
        <w:footnoteReference w:id="1431"/>
      </w:r>
      <w:r>
        <w:rPr>
          <w:rtl/>
        </w:rPr>
        <w:t xml:space="preserve">דְּאִינוּן רְמַ''ח תֵּיבִין עִם אֵל מֶלֶךְ נֶאֱמָן, וּבְגִין דְּלָא יַעַבְדוּן הַפְסָקָה תַקִּינוּ לְמֶהְדַּר שְׁלִיחָא דְצִבּוּרָא </w:t>
      </w:r>
      <w:r>
        <w:rPr>
          <w:rStyle w:val="a7"/>
          <w:rtl/>
        </w:rPr>
        <w:footnoteReference w:id="1432"/>
      </w:r>
      <w:r>
        <w:rPr>
          <w:rtl/>
        </w:rPr>
        <w:t xml:space="preserve">יְיָ' אלהיכ''ם אֱמֶת, וְכַד יִשְׂרָאֵל אָמְרִין </w:t>
      </w:r>
      <w:r>
        <w:rPr>
          <w:rStyle w:val="a7"/>
          <w:rtl/>
        </w:rPr>
        <w:footnoteReference w:id="1433"/>
      </w:r>
      <w:r>
        <w:rPr>
          <w:rtl/>
        </w:rPr>
        <w:t xml:space="preserve">שְׁמַע, וַדַּאי חֵיוָון שָׁמְעִין גַּדְפַיְיהוּ, בְּאָן אֲתַר, </w:t>
      </w:r>
      <w:r>
        <w:rPr>
          <w:rStyle w:val="a7"/>
          <w:rtl/>
        </w:rPr>
        <w:footnoteReference w:id="1434"/>
      </w:r>
      <w:r>
        <w:rPr>
          <w:rtl/>
        </w:rPr>
        <w:t xml:space="preserve">בְּכַנְפֵי מִצְוָה דְאִתְּמַר בְּהוֹן </w:t>
      </w:r>
      <w:r>
        <w:rPr>
          <w:sz w:val="20"/>
          <w:szCs w:val="23"/>
          <w:rtl/>
        </w:rPr>
        <w:t>(דברים כב יב)</w:t>
      </w:r>
      <w:r>
        <w:rPr>
          <w:rtl/>
        </w:rPr>
        <w:t xml:space="preserve"> עַל אַרְבַּע כַּנְפוֹת כְּסוּתְךָ אֲשֶׁר תְּכַסֶּה בָּהּ, </w:t>
      </w:r>
      <w:r>
        <w:rPr>
          <w:rStyle w:val="a7"/>
          <w:rtl/>
        </w:rPr>
        <w:footnoteReference w:id="1435"/>
      </w:r>
      <w:r>
        <w:rPr>
          <w:rtl/>
        </w:rPr>
        <w:t xml:space="preserve">דְּאִיהוּ כְּגַוְונָא דִמְעִיל הָאֵפוֹד, </w:t>
      </w:r>
      <w:r>
        <w:rPr>
          <w:rStyle w:val="a7"/>
          <w:rtl/>
        </w:rPr>
        <w:footnoteReference w:id="1436"/>
      </w:r>
      <w:r>
        <w:rPr>
          <w:rtl/>
        </w:rPr>
        <w:t>דְּפַעֲמוֹנִים וְרִמּוֹנִים אִינוּן לָקֳבֵל חֻלְיָין וְקִשְׁרִין, שׁוּלֵי הַמְּעִיל אִינוּן לָקֳבֵל כַּנְפֵי מִצְוָה.</w:t>
      </w:r>
    </w:p>
    <w:p w:rsidR="00606298" w:rsidRDefault="00606298" w:rsidP="00B17EA9">
      <w:pPr>
        <w:pStyle w:val="NormalWeb"/>
        <w:rPr>
          <w:rtl/>
        </w:rPr>
      </w:pPr>
      <w:r>
        <w:rPr>
          <w:rtl/>
        </w:rPr>
        <w:t xml:space="preserve">וְאִינוּן ה' קִשְׁרִין, לָקֳבֵל שְׁמַע יִשְׂרָאֵל יְיָ' אלהינ''ו יְיָ' </w:t>
      </w:r>
      <w:r>
        <w:rPr>
          <w:sz w:val="20"/>
          <w:szCs w:val="23"/>
          <w:rtl/>
        </w:rPr>
        <w:t>(דברים ו ד)</w:t>
      </w:r>
      <w:r>
        <w:rPr>
          <w:rtl/>
        </w:rPr>
        <w:t xml:space="preserve">, </w:t>
      </w:r>
      <w:r>
        <w:rPr>
          <w:rStyle w:val="a7"/>
          <w:rtl/>
        </w:rPr>
        <w:footnoteReference w:id="1437"/>
      </w:r>
      <w:r>
        <w:rPr>
          <w:rtl/>
        </w:rPr>
        <w:t xml:space="preserve">דְּאִינוּן לָקֳבֵל ה' נִימִין דְּכִנוֹר דְּדָוִד דְּהָיָה מְנַגֵּן מֵאֵלָיו, י''ג חֻלְיָין כְּחֻשְׁבַּ''ן אֶחָ''ד, </w:t>
      </w:r>
      <w:r>
        <w:rPr>
          <w:rStyle w:val="a7"/>
          <w:rtl/>
        </w:rPr>
        <w:footnoteReference w:id="1438"/>
      </w:r>
      <w:r>
        <w:rPr>
          <w:rtl/>
        </w:rPr>
        <w:t xml:space="preserve">דְּקָלָא דְנִגּוּנָא סָלְקָא בְאֶחָד, וְדָא חַ''י בֵּין חֻלְיָין וְקִשְׁרִין, לְכָל סְטַר, סָלְקִין ע''ב, וְדָא אִיהוּ וְהוּכַן בַּחֶסֶד כִּסֵּ''א </w:t>
      </w:r>
      <w:r>
        <w:rPr>
          <w:sz w:val="20"/>
          <w:szCs w:val="23"/>
          <w:rtl/>
        </w:rPr>
        <w:t>(ישעיה טז ה)</w:t>
      </w:r>
      <w:r>
        <w:rPr>
          <w:rtl/>
        </w:rPr>
        <w:t xml:space="preserve">, חֶסֶ''ד ע''ב, כָּל מָאן דְּאִתְעַטַּף בְּעִטּוּפָא דְמִצְוָה, כְּאִלּוּ אַתְקִין כָּרְסְיֵיהּ לְקוּדְשָׁא בְּרִיךְ הוּא, </w:t>
      </w:r>
      <w:r>
        <w:rPr>
          <w:rStyle w:val="a7"/>
          <w:rtl/>
        </w:rPr>
        <w:footnoteReference w:id="1439"/>
      </w:r>
      <w:r>
        <w:rPr>
          <w:rtl/>
        </w:rPr>
        <w:t xml:space="preserve">וְאִינוּן יאהדונה''י, </w:t>
      </w:r>
      <w:r>
        <w:rPr>
          <w:rStyle w:val="a7"/>
          <w:rtl/>
        </w:rPr>
        <w:footnoteReference w:id="1440"/>
      </w:r>
      <w:r>
        <w:rPr>
          <w:rtl/>
        </w:rPr>
        <w:t xml:space="preserve">לְכָל חַד אַרְבַּע אַנְפִּין וְאַרְבַּע גַּדְפִין סָלְקִין ס''ד, וּתְמַנְיָא אַתְוָון יאהדונה''י, </w:t>
      </w:r>
      <w:r>
        <w:rPr>
          <w:rStyle w:val="a7"/>
          <w:rtl/>
        </w:rPr>
        <w:footnoteReference w:id="1441"/>
      </w:r>
      <w:r>
        <w:rPr>
          <w:rtl/>
        </w:rPr>
        <w:t xml:space="preserve">סָלְקִין ע''ב, וְכַנְפֵי מִצְוָה אוֹלְפִין רָזָא, דְּאִינוּן ח' חוּטִין לְכָל סְטַר, </w:t>
      </w:r>
      <w:r>
        <w:rPr>
          <w:rStyle w:val="a7"/>
          <w:rtl/>
        </w:rPr>
        <w:footnoteReference w:id="1442"/>
      </w:r>
      <w:r>
        <w:rPr>
          <w:rtl/>
        </w:rPr>
        <w:t xml:space="preserve">לָקֳבֵל אַרְבַּע אַנְפִּין וְאַרְבַּע גַּדְפִין דְּכָל חַיָּה, </w:t>
      </w:r>
      <w:r>
        <w:rPr>
          <w:rStyle w:val="a7"/>
          <w:rtl/>
        </w:rPr>
        <w:footnoteReference w:id="1443"/>
      </w:r>
      <w:r>
        <w:rPr>
          <w:rtl/>
        </w:rPr>
        <w:t xml:space="preserve">וּבְחֻשְׁבַּן זְעִיר דַּחֲנוֹךְ </w:t>
      </w:r>
      <w:r>
        <w:rPr>
          <w:rStyle w:val="a7"/>
          <w:rtl/>
        </w:rPr>
        <w:footnoteReference w:id="1444"/>
      </w:r>
      <w:r>
        <w:rPr>
          <w:rtl/>
        </w:rPr>
        <w:t xml:space="preserve">אָ''ז אִיהוּ שד''י, </w:t>
      </w:r>
      <w:r>
        <w:rPr>
          <w:rStyle w:val="a7"/>
          <w:rtl/>
        </w:rPr>
        <w:footnoteReference w:id="1445"/>
      </w:r>
      <w:r>
        <w:rPr>
          <w:rtl/>
        </w:rPr>
        <w:t xml:space="preserve">אָז יָשִׁיר בְּכָל אֲתַר, </w:t>
      </w:r>
      <w:r>
        <w:rPr>
          <w:rStyle w:val="a7"/>
          <w:rtl/>
        </w:rPr>
        <w:footnoteReference w:id="1446"/>
      </w:r>
      <w:r>
        <w:rPr>
          <w:rtl/>
        </w:rPr>
        <w:t xml:space="preserve">וְאָמְרוּ מָארֵי מַתְנִיתִין, כָּל מָאן דְּפָחִית לָא יִפְחוֹת מִשֶּׁבַע, </w:t>
      </w:r>
      <w:r>
        <w:rPr>
          <w:rStyle w:val="a7"/>
          <w:rtl/>
        </w:rPr>
        <w:footnoteReference w:id="1447"/>
      </w:r>
      <w:r>
        <w:rPr>
          <w:rtl/>
        </w:rPr>
        <w:t xml:space="preserve">וְכָל מָאן דְּאוֹסִיף לָא יוֹסִיף עַל י''ג, </w:t>
      </w:r>
      <w:r>
        <w:rPr>
          <w:rStyle w:val="a7"/>
          <w:rtl/>
        </w:rPr>
        <w:footnoteReference w:id="1448"/>
      </w:r>
      <w:r>
        <w:rPr>
          <w:rtl/>
        </w:rPr>
        <w:t xml:space="preserve">וְאִינוּן שֶׁבַע </w:t>
      </w:r>
      <w:r>
        <w:rPr>
          <w:rStyle w:val="a7"/>
          <w:rtl/>
        </w:rPr>
        <w:footnoteReference w:id="1449"/>
      </w:r>
      <w:r>
        <w:rPr>
          <w:rtl/>
        </w:rPr>
        <w:t xml:space="preserve">לָקֳבֵל שֶׁבַע יְמֵי בְרֵאשִׁית, דִּרְמִיזִין לְשֶׁבַע שְׁמָהָן אבגית''ץ וכו', וַעֲלַיְיהוּ אִתְּמַר </w:t>
      </w:r>
      <w:r>
        <w:rPr>
          <w:sz w:val="20"/>
          <w:szCs w:val="23"/>
          <w:rtl/>
        </w:rPr>
        <w:t>(ישעיה ו ב)</w:t>
      </w:r>
      <w:r>
        <w:rPr>
          <w:rtl/>
        </w:rPr>
        <w:t xml:space="preserve"> שְׁרָפִים עוֹמְדִים מִמַּעַל לוֹ </w:t>
      </w:r>
      <w:r>
        <w:rPr>
          <w:rStyle w:val="a7"/>
          <w:rtl/>
        </w:rPr>
        <w:footnoteReference w:id="1450"/>
      </w:r>
      <w:r>
        <w:rPr>
          <w:rtl/>
        </w:rPr>
        <w:t xml:space="preserve">שֵׁשׁ כְּנָפַיִם שֵׁשׁ כְּנָפַיִם לְאֶחָד, דִּבְהוֹן פָּרְחַת צְלוֹתָא לְעִילָא, </w:t>
      </w:r>
      <w:r>
        <w:rPr>
          <w:rStyle w:val="a7"/>
          <w:rtl/>
        </w:rPr>
        <w:footnoteReference w:id="1451"/>
      </w:r>
      <w:r>
        <w:rPr>
          <w:rtl/>
        </w:rPr>
        <w:t xml:space="preserve">וְאִנּוּן תַּמָּן מ''ב, לָקֳבֵל מ''ב אַזְכָּרוֹת דְּאִינוּן בִּתְפִלִּין דְּיָד וּתְפִלִּין דְּרֵישָׁא, וַעֲלַיְיהוּ אִתְּמַר </w:t>
      </w:r>
      <w:r>
        <w:rPr>
          <w:sz w:val="20"/>
          <w:szCs w:val="23"/>
          <w:rtl/>
        </w:rPr>
        <w:t>(דברים כח י)</w:t>
      </w:r>
      <w:r>
        <w:rPr>
          <w:rtl/>
        </w:rPr>
        <w:t xml:space="preserve"> וְרָאוּ כָּל עַמֵּי הָאָרֶץ </w:t>
      </w:r>
      <w:r>
        <w:rPr>
          <w:rStyle w:val="a7"/>
          <w:rtl/>
        </w:rPr>
        <w:footnoteReference w:id="1452"/>
      </w:r>
      <w:r>
        <w:rPr>
          <w:rtl/>
        </w:rPr>
        <w:t>כִּי שֵׁם יְיָ' וגו'.</w:t>
      </w:r>
    </w:p>
    <w:p w:rsidR="00606298" w:rsidRDefault="00606298" w:rsidP="00134F53">
      <w:pPr>
        <w:pStyle w:val="2"/>
        <w:rPr>
          <w:rtl/>
        </w:rPr>
      </w:pPr>
      <w:bookmarkStart w:id="100" w:name="_Toc405982951"/>
      <w:r>
        <w:rPr>
          <w:rtl/>
        </w:rPr>
        <w:t>[תיקוני זוהר - דף כב ע''א]</w:t>
      </w:r>
      <w:bookmarkEnd w:id="100"/>
    </w:p>
    <w:p w:rsidR="00606298" w:rsidRDefault="00606298" w:rsidP="00B17EA9">
      <w:pPr>
        <w:pStyle w:val="NormalWeb"/>
        <w:rPr>
          <w:rtl/>
        </w:rPr>
      </w:pPr>
      <w:r>
        <w:rPr>
          <w:rStyle w:val="a7"/>
          <w:rtl/>
        </w:rPr>
        <w:footnoteReference w:id="1453"/>
      </w:r>
      <w:r>
        <w:rPr>
          <w:rtl/>
        </w:rPr>
        <w:t xml:space="preserve">וְאִינוּן תַּכְשִׁיטִין דְּכַלָּה, תְּפִלִּין דְּרֵישָׁא </w:t>
      </w:r>
      <w:r>
        <w:rPr>
          <w:rStyle w:val="a7"/>
          <w:rtl/>
        </w:rPr>
        <w:footnoteReference w:id="1454"/>
      </w:r>
      <w:r>
        <w:rPr>
          <w:rtl/>
        </w:rPr>
        <w:t xml:space="preserve">עֲטֶרֶת זָהָב בְּרֵישָׁא דְכַלָּה, וּתְפִלִּין דְּיָד טַבַּעַת דִּדְרוֹעָא, הָא </w:t>
      </w:r>
      <w:r>
        <w:rPr>
          <w:sz w:val="20"/>
          <w:szCs w:val="23"/>
          <w:rtl/>
        </w:rPr>
        <w:t xml:space="preserve">(דף כב ע''א) </w:t>
      </w:r>
      <w:r>
        <w:rPr>
          <w:rtl/>
        </w:rPr>
        <w:t xml:space="preserve">כַלָּה מִתְתַּקְנָא בְתַכְשִׁיטִין דִּילָהּ, צָרִיךְ לִקְרֹא לְחָתָן דִּילָהּ, הֲדָא הוּא דִכְתִיב </w:t>
      </w:r>
      <w:r>
        <w:rPr>
          <w:sz w:val="20"/>
          <w:szCs w:val="23"/>
          <w:rtl/>
        </w:rPr>
        <w:t>(שם ו ד)</w:t>
      </w:r>
      <w:r>
        <w:rPr>
          <w:rtl/>
        </w:rPr>
        <w:t xml:space="preserve"> שְׁמַע יִשְׂרָאֵל, וְהָא </w:t>
      </w:r>
      <w:r>
        <w:rPr>
          <w:rStyle w:val="a7"/>
          <w:rtl/>
        </w:rPr>
        <w:footnoteReference w:id="1455"/>
      </w:r>
      <w:r>
        <w:rPr>
          <w:rtl/>
        </w:rPr>
        <w:t xml:space="preserve">אִינוּן בְּחוּפָּה, </w:t>
      </w:r>
      <w:r>
        <w:rPr>
          <w:rStyle w:val="a7"/>
          <w:rtl/>
        </w:rPr>
        <w:footnoteReference w:id="1456"/>
      </w:r>
      <w:r>
        <w:rPr>
          <w:rtl/>
        </w:rPr>
        <w:t xml:space="preserve">צְרִיכִין עַמָּא קַדִּישָׁא לְמֵיקַם בַּעֲמִידָה קֳדָמֵיהוֹן, עִם חַזָּן, </w:t>
      </w:r>
      <w:r>
        <w:rPr>
          <w:rStyle w:val="a7"/>
          <w:rtl/>
        </w:rPr>
        <w:footnoteReference w:id="1457"/>
      </w:r>
      <w:r>
        <w:rPr>
          <w:rtl/>
        </w:rPr>
        <w:t xml:space="preserve">לְבָרְכָא לוֹן בְּשֶׁבַע בִּרְכָאָן, </w:t>
      </w:r>
      <w:r>
        <w:rPr>
          <w:rStyle w:val="a7"/>
          <w:rtl/>
        </w:rPr>
        <w:footnoteReference w:id="1458"/>
      </w:r>
      <w:r>
        <w:rPr>
          <w:rtl/>
        </w:rPr>
        <w:t xml:space="preserve">וּלְקַדְשָׁא הֶחָתָן לְכַלָּה בְּקַדְמֵיתָא בְקִדּוּשִׁין, וּבְעָמְדָם עַמָּא קַדִּישָׁא וְחַזָּן לְבָרְכָא לוֹן, חֵיוָון קַדִּישִׁין </w:t>
      </w:r>
      <w:r>
        <w:rPr>
          <w:rStyle w:val="a7"/>
          <w:rtl/>
        </w:rPr>
        <w:footnoteReference w:id="1459"/>
      </w:r>
      <w:r>
        <w:rPr>
          <w:rtl/>
        </w:rPr>
        <w:t>דַּהֲווֹ מְנַגְּנִין בְּגַדְפַיְיהוּ תְּרַפֶּינָה כַנְפֵיהֶן.</w:t>
      </w:r>
    </w:p>
    <w:p w:rsidR="00606298" w:rsidRDefault="00606298" w:rsidP="00B17EA9">
      <w:pPr>
        <w:pStyle w:val="NormalWeb"/>
        <w:rPr>
          <w:rtl/>
        </w:rPr>
      </w:pPr>
      <w:r>
        <w:rPr>
          <w:rtl/>
        </w:rPr>
        <w:t xml:space="preserve">ש שֶׁל תְּפִלִּין דָּא אִימָּא עִלָּאָה, עֲלָהּ אִתְּמַר </w:t>
      </w:r>
      <w:r>
        <w:rPr>
          <w:sz w:val="20"/>
          <w:szCs w:val="23"/>
          <w:rtl/>
        </w:rPr>
        <w:t>(שם כח י)</w:t>
      </w:r>
      <w:r>
        <w:rPr>
          <w:rtl/>
        </w:rPr>
        <w:t xml:space="preserve"> וְרָאוּ כָּל עַמֵּי הָאָרֶץ כִּי </w:t>
      </w:r>
      <w:r>
        <w:rPr>
          <w:rStyle w:val="a7"/>
          <w:rtl/>
        </w:rPr>
        <w:footnoteReference w:id="1460"/>
      </w:r>
      <w:r>
        <w:rPr>
          <w:rtl/>
        </w:rPr>
        <w:t xml:space="preserve">שֵׁ''ם יְיָ' נִקְרָא עָלֶיךָ וְיָרְאוּ מִמֶּךָּ, שִׁי''ן סְלִיק אַתְווֹי ש''ס, </w:t>
      </w:r>
      <w:r>
        <w:rPr>
          <w:rStyle w:val="a7"/>
          <w:rtl/>
        </w:rPr>
        <w:footnoteReference w:id="1461"/>
      </w:r>
      <w:r>
        <w:rPr>
          <w:rtl/>
        </w:rPr>
        <w:t xml:space="preserve">ה' דְיַד כֵּהָה שְׁסָ''ה, וְרַמַ''ח פִּקּוּדִין דִּכְלִילָן בְּרַמַ''ח תֵּיבִין דִּקְרִיאַת שְׁמַע בְּאַרְבַּע פָּרָשִׁיָּין, הָא תַּרְיַ''ג, עֲלַיְיהוּ אִתְּמַר </w:t>
      </w:r>
      <w:r>
        <w:rPr>
          <w:sz w:val="20"/>
          <w:szCs w:val="23"/>
          <w:rtl/>
        </w:rPr>
        <w:t>(שמות ג טו)</w:t>
      </w:r>
      <w:r>
        <w:rPr>
          <w:rtl/>
        </w:rPr>
        <w:t xml:space="preserve"> זֶה שְּׁמִי לְעֹלָם וְזֶה זִכְרִי לְדֹר דֹּר, שְׁמִ''י עִם י''ה שְׁסָ''ה, זִכְרִ''י עִם ו''ה רַמַ''ח, וְכֹלָּא תַּרְיַ''ג, </w:t>
      </w:r>
      <w:r>
        <w:rPr>
          <w:rStyle w:val="a7"/>
          <w:rtl/>
        </w:rPr>
        <w:footnoteReference w:id="1462"/>
      </w:r>
      <w:r>
        <w:rPr>
          <w:rtl/>
        </w:rPr>
        <w:t>אוֹרַיְיתָא אִיהִי שְׁמָא דְקוּדְשָׁא בְּרִיךְ הוּא.</w:t>
      </w:r>
    </w:p>
    <w:p w:rsidR="00606298" w:rsidRDefault="00606298" w:rsidP="00B17EA9">
      <w:pPr>
        <w:pStyle w:val="NormalWeb"/>
        <w:rPr>
          <w:rtl/>
        </w:rPr>
      </w:pPr>
      <w:r>
        <w:rPr>
          <w:rtl/>
        </w:rPr>
        <w:t xml:space="preserve">וְעוֹד צִיצִית אִיהִי כָרְסַיָּא, תְּפִלִּין קוּדְשָׁא בְּרִיךְ הוּא דְנָחִית עַל כָּרְסַיָּא, דְקָרָאן לֵיהּ בִּקְרִיאַת שְׁמַע, הָא קוּדְשָׁא בְּרִיךְ הוּא יְתִיב עַל כָּרְסַיָּא, צְרִיכִין לְמֵיקַם בְּגִינֵיהּ בִּצְלוֹתָא דְעַמִּידָה, </w:t>
      </w:r>
      <w:r>
        <w:rPr>
          <w:rStyle w:val="a7"/>
          <w:rtl/>
        </w:rPr>
        <w:footnoteReference w:id="1463"/>
      </w:r>
      <w:r>
        <w:rPr>
          <w:rtl/>
        </w:rPr>
        <w:t xml:space="preserve">תְּלַת חֲיָילִין דִּילָהּ אַתְיָין </w:t>
      </w:r>
      <w:r>
        <w:rPr>
          <w:rStyle w:val="a7"/>
          <w:rtl/>
        </w:rPr>
        <w:footnoteReference w:id="1464"/>
      </w:r>
      <w:r>
        <w:rPr>
          <w:rtl/>
        </w:rPr>
        <w:t>בִּזְמִירוֹת שִׁירוֹת וְתוּשְׁבָּחוֹת.</w:t>
      </w:r>
    </w:p>
    <w:p w:rsidR="00606298" w:rsidRDefault="00606298" w:rsidP="00B17EA9">
      <w:pPr>
        <w:pStyle w:val="NormalWeb"/>
        <w:rPr>
          <w:rtl/>
        </w:rPr>
      </w:pPr>
      <w:r>
        <w:rPr>
          <w:rtl/>
        </w:rPr>
        <w:t xml:space="preserve">בְּהַהוּא זִמְנָא דְאִיהוּ עַל כָּרְסְיֵיהּ, </w:t>
      </w:r>
      <w:r>
        <w:rPr>
          <w:rStyle w:val="a7"/>
          <w:rtl/>
        </w:rPr>
        <w:footnoteReference w:id="1465"/>
      </w:r>
      <w:r>
        <w:rPr>
          <w:rtl/>
        </w:rPr>
        <w:t xml:space="preserve">מָה אָמְרִין אֵ''ל מֶלֶךְ יוֹשֵׁב עַל כִּסֵּא רַחֲמִים וּמִתְנַהֵג בַּחֲסִידוּת, הַאי תִּקּוּנָא אִיהוּ לְגַבֵּי צַדִּיקִים גְּמוּרִים, דִּמְתַקְּנִין כָּרְסַיָּא לְקוּדְשָׁא בְּרִיךְ הוּא בְצִיצִית, וְנָחֲתִין לֵיהּ בִּתְפִלִּין, וְקַיְימִין קֳדָמוֹהִי בִצְלוֹתָא, לְבֵינוּנִיִּים צִיצִית וּתְפִלִּין אִינוּן </w:t>
      </w:r>
      <w:r>
        <w:rPr>
          <w:rStyle w:val="a7"/>
          <w:rtl/>
        </w:rPr>
        <w:footnoteReference w:id="1466"/>
      </w:r>
      <w:r>
        <w:rPr>
          <w:rtl/>
        </w:rPr>
        <w:t xml:space="preserve">כַּשּׁוֹר לְעוֹל וְכַחֲמוֹר לְמַשְׂאוֹי, </w:t>
      </w:r>
      <w:r>
        <w:rPr>
          <w:rStyle w:val="a7"/>
          <w:rtl/>
        </w:rPr>
        <w:footnoteReference w:id="1467"/>
      </w:r>
      <w:r>
        <w:rPr>
          <w:rtl/>
        </w:rPr>
        <w:t xml:space="preserve">וּבְשַׁבָּת אִתְּמַר בְּהוֹן </w:t>
      </w:r>
      <w:r>
        <w:rPr>
          <w:sz w:val="20"/>
          <w:szCs w:val="23"/>
          <w:rtl/>
        </w:rPr>
        <w:t>(שמות כג יב)</w:t>
      </w:r>
      <w:r>
        <w:rPr>
          <w:rtl/>
        </w:rPr>
        <w:t xml:space="preserve"> לְמַעַן יָנוּחַ שׁוֹרְךָ וַחֲמוֹרֶךָ, לָרְשָׁעִים </w:t>
      </w:r>
      <w:r>
        <w:rPr>
          <w:rStyle w:val="a7"/>
          <w:rtl/>
        </w:rPr>
        <w:footnoteReference w:id="1468"/>
      </w:r>
      <w:r>
        <w:rPr>
          <w:rtl/>
        </w:rPr>
        <w:t xml:space="preserve">אִינוּן קִשּׁוּרָא לְכָל מְקַטְרְגִין דִּלְהוֹן, </w:t>
      </w:r>
      <w:r>
        <w:rPr>
          <w:rStyle w:val="a7"/>
          <w:rtl/>
        </w:rPr>
        <w:footnoteReference w:id="1469"/>
      </w:r>
      <w:r>
        <w:rPr>
          <w:rtl/>
        </w:rPr>
        <w:t xml:space="preserve">דְּהָכִי אִינוּן עֲשָׂרָה כִּתְרִין תַּתָּאִין, דְּהָא דָא לָקֳבֵל דָּא בָּרָא קוּדְשָׁא בְּרִיךְ הוּא, אֲבָל כִּתְרִין תַּתָּאִין אִינוּן קְלִיפִין לְגַבֵּי כִּתְרִין עִלָּאִין, דְּמִתְלַבְּשִׁין בְּהוֹן </w:t>
      </w:r>
      <w:r>
        <w:rPr>
          <w:rStyle w:val="a7"/>
          <w:rtl/>
        </w:rPr>
        <w:footnoteReference w:id="1470"/>
      </w:r>
      <w:r>
        <w:rPr>
          <w:rtl/>
        </w:rPr>
        <w:t>עֲשַׂר אַתְוָון בּגָּלוּתָא, לְמֶהֱוִי כְּפוּיִין תְּחוֹתוֹי כִּתְרִין תַּתָּאִין.</w:t>
      </w:r>
    </w:p>
    <w:p w:rsidR="00606298" w:rsidRDefault="00606298" w:rsidP="00B17EA9">
      <w:pPr>
        <w:pStyle w:val="NormalWeb"/>
        <w:rPr>
          <w:rtl/>
        </w:rPr>
      </w:pPr>
      <w:r>
        <w:rPr>
          <w:rStyle w:val="a7"/>
          <w:rtl/>
        </w:rPr>
        <w:footnoteReference w:id="1471"/>
      </w:r>
      <w:r>
        <w:rPr>
          <w:rtl/>
        </w:rPr>
        <w:t xml:space="preserve">וּבְזִמְנָא דְצַדִּיקַיָּא מְתַקְּנִין בְּכַנְפֵי מִצְוָה וּבִתְפִלִּין, אִתְכַּפְיָין תְּחוֹתַיְיהוּ כִּתְרִין תַּתָּאִין, </w:t>
      </w:r>
      <w:r>
        <w:rPr>
          <w:rStyle w:val="a7"/>
          <w:rtl/>
        </w:rPr>
        <w:footnoteReference w:id="1472"/>
      </w:r>
      <w:r>
        <w:rPr>
          <w:rtl/>
        </w:rPr>
        <w:t xml:space="preserve">בְּהַהוּא זִמְנָא יֵעוּל מַלְכָּא בְּהֵיכָלֵיהּ דְּאִיהוּ אדנ''י, כְּגַוְונָא דָא יאהדונה''י, הָא מַלְכָּא בְּהֵיכָלֵיהּ, מָאן דְּבָעִי לְמִשְׁאַל שְׁאֶלְתּוֹי יֵעוּל, וּבְגִין דָּא </w:t>
      </w:r>
      <w:r>
        <w:rPr>
          <w:sz w:val="20"/>
          <w:szCs w:val="23"/>
          <w:rtl/>
        </w:rPr>
        <w:t>(תהלים נא יז)</w:t>
      </w:r>
      <w:r>
        <w:rPr>
          <w:rtl/>
        </w:rPr>
        <w:t xml:space="preserve"> אדנ''י שְׂפָתַי תִּפְתָּח, בִּתְלַת קַדְמָאִין יְסַדֵּר בַּר נַשׁ שְׁבָחוֹי, כְּעַבְדָא דִמְסַדֵּר שְׁבָחוֹי קֳדָם רַבֵּיהּ, </w:t>
      </w:r>
      <w:r>
        <w:rPr>
          <w:rStyle w:val="a7"/>
          <w:rtl/>
        </w:rPr>
        <w:footnoteReference w:id="1473"/>
      </w:r>
      <w:r>
        <w:rPr>
          <w:rtl/>
        </w:rPr>
        <w:t xml:space="preserve">דְאִלֵּין תְּלַת כָּתְבִין </w:t>
      </w:r>
      <w:r>
        <w:rPr>
          <w:rStyle w:val="a7"/>
          <w:rtl/>
        </w:rPr>
        <w:footnoteReference w:id="1474"/>
      </w:r>
      <w:r>
        <w:rPr>
          <w:rtl/>
        </w:rPr>
        <w:t xml:space="preserve">כָּל זַכְוָון, וּתְלַת בַּתְרָאִין </w:t>
      </w:r>
      <w:r>
        <w:rPr>
          <w:rStyle w:val="a7"/>
          <w:rtl/>
        </w:rPr>
        <w:footnoteReference w:id="1475"/>
      </w:r>
      <w:r>
        <w:rPr>
          <w:rtl/>
        </w:rPr>
        <w:t xml:space="preserve">חָתְמִין, וּבְגִין דָּא צָרִיךְ בַּר נַשׁ לְמֶהֱוֵי בְהוֹן כְּעַבְדָּא דִמְקַבֵּל פְּרָס מֵרַבֵּיהּ וְהָלַךְ לֵיהּ, </w:t>
      </w:r>
      <w:r>
        <w:rPr>
          <w:rStyle w:val="a7"/>
          <w:rtl/>
        </w:rPr>
        <w:footnoteReference w:id="1476"/>
      </w:r>
      <w:r>
        <w:rPr>
          <w:rtl/>
        </w:rPr>
        <w:t xml:space="preserve">דְּתַמָּן אִיהִי בֵית קִבּוּל </w:t>
      </w:r>
      <w:r>
        <w:rPr>
          <w:rStyle w:val="a7"/>
          <w:rtl/>
        </w:rPr>
        <w:footnoteReference w:id="1477"/>
      </w:r>
      <w:r>
        <w:rPr>
          <w:rtl/>
        </w:rPr>
        <w:t xml:space="preserve">חוֹתָמָא דִקְשּׁוט </w:t>
      </w:r>
      <w:r>
        <w:rPr>
          <w:rStyle w:val="a7"/>
          <w:rtl/>
        </w:rPr>
        <w:footnoteReference w:id="1478"/>
      </w:r>
      <w:r>
        <w:rPr>
          <w:rtl/>
        </w:rPr>
        <w:t>וְאִיהִי מַלְכוּתָא קַדִּישָׁא.</w:t>
      </w:r>
    </w:p>
    <w:p w:rsidR="00606298" w:rsidRDefault="00606298" w:rsidP="00B17EA9">
      <w:pPr>
        <w:pStyle w:val="NormalWeb"/>
        <w:rPr>
          <w:rtl/>
        </w:rPr>
      </w:pPr>
      <w:r>
        <w:rPr>
          <w:rStyle w:val="a7"/>
          <w:rtl/>
        </w:rPr>
        <w:footnoteReference w:id="1479"/>
      </w:r>
      <w:r>
        <w:rPr>
          <w:rtl/>
        </w:rPr>
        <w:t xml:space="preserve">בְּאֶמְצָעִיּוֹת צָרִיךְ לְמִשְׁאַל, דְּתמָּן </w:t>
      </w:r>
      <w:r>
        <w:rPr>
          <w:rStyle w:val="a7"/>
          <w:rtl/>
        </w:rPr>
        <w:footnoteReference w:id="1480"/>
      </w:r>
      <w:r>
        <w:rPr>
          <w:rtl/>
        </w:rPr>
        <w:t xml:space="preserve">ו' ו', </w:t>
      </w:r>
      <w:r>
        <w:rPr>
          <w:rStyle w:val="a7"/>
          <w:rtl/>
        </w:rPr>
        <w:footnoteReference w:id="1481"/>
      </w:r>
      <w:r>
        <w:rPr>
          <w:rtl/>
        </w:rPr>
        <w:t xml:space="preserve">חַד מָארֵי כְּתִיבָה וְחַד מָארֵי חֲתִימָה, וְאִינוּן ו' עִלָּאָה ו' תַּתָּאָה, </w:t>
      </w:r>
      <w:r>
        <w:rPr>
          <w:rStyle w:val="a7"/>
          <w:rtl/>
        </w:rPr>
        <w:footnoteReference w:id="1482"/>
      </w:r>
      <w:r>
        <w:rPr>
          <w:rtl/>
        </w:rPr>
        <w:t xml:space="preserve">כְּלִילָן תְּרֵין עֲשַׂר פִּרְקִין, </w:t>
      </w:r>
      <w:r>
        <w:rPr>
          <w:rStyle w:val="a7"/>
          <w:rtl/>
        </w:rPr>
        <w:footnoteReference w:id="1483"/>
      </w:r>
      <w:r>
        <w:rPr>
          <w:rtl/>
        </w:rPr>
        <w:t xml:space="preserve">תְּלַת קַדְמָאִין רֵישָׁא וּתְרֵין דְּרוֹעִין, תְּלַת בַּתְרָאִין גּוּפָא וּתְרֵין שׁוֹקִין, הָא אִתְפַּטַּר מִמַּלְכָּא, </w:t>
      </w:r>
      <w:r>
        <w:rPr>
          <w:rStyle w:val="a7"/>
          <w:rtl/>
        </w:rPr>
        <w:footnoteReference w:id="1484"/>
      </w:r>
      <w:r>
        <w:rPr>
          <w:rtl/>
        </w:rPr>
        <w:t xml:space="preserve">בְּגִין דָּא צָרִיךְ לַאֲחזרָא תְּלַת פְּסִיעָן לַאֲחוֹרָא, וְרָזָא דְמִלָּה </w:t>
      </w:r>
      <w:r>
        <w:rPr>
          <w:sz w:val="20"/>
          <w:szCs w:val="23"/>
          <w:rtl/>
        </w:rPr>
        <w:t>(בראשית מט לג)</w:t>
      </w:r>
      <w:r>
        <w:rPr>
          <w:rtl/>
        </w:rPr>
        <w:t xml:space="preserve"> וַיֶּאֱסוֹף רַגְלָיו אֶל הַמִּטָּה:</w:t>
      </w:r>
    </w:p>
    <w:p w:rsidR="00EF6D17" w:rsidRDefault="00EF6D17" w:rsidP="00B17EA9">
      <w:pPr>
        <w:pStyle w:val="aa"/>
        <w:rPr>
          <w:rFonts w:cs="Guttman Frank"/>
          <w:sz w:val="29"/>
          <w:szCs w:val="29"/>
          <w:rtl/>
        </w:rPr>
      </w:pPr>
      <w:r>
        <w:rPr>
          <w:rtl/>
        </w:rPr>
        <w:t>(*קטע זה הועבר מההקדמה לכאן)</w:t>
      </w:r>
    </w:p>
    <w:p w:rsidR="00606298" w:rsidRDefault="00606298" w:rsidP="00134F53">
      <w:pPr>
        <w:pStyle w:val="2"/>
        <w:rPr>
          <w:rtl/>
        </w:rPr>
      </w:pPr>
      <w:bookmarkStart w:id="101" w:name="_Toc405982952"/>
      <w:r>
        <w:rPr>
          <w:rtl/>
        </w:rPr>
        <w:t>[תיקוני זוהר - המשך דף ח ע''ב]</w:t>
      </w:r>
      <w:bookmarkEnd w:id="101"/>
      <w:r>
        <w:rPr>
          <w:rtl/>
        </w:rPr>
        <w:t xml:space="preserve"> </w:t>
      </w:r>
      <w:r w:rsidR="0065189A">
        <w:rPr>
          <w:rFonts w:hint="cs"/>
          <w:rtl/>
        </w:rPr>
        <w:tab/>
      </w:r>
      <w:r w:rsidR="0065189A">
        <w:rPr>
          <w:rFonts w:hint="cs"/>
          <w:rtl/>
        </w:rPr>
        <w:tab/>
      </w:r>
    </w:p>
    <w:p w:rsidR="00606298" w:rsidRDefault="00606298" w:rsidP="00B17EA9">
      <w:pPr>
        <w:pStyle w:val="NormalWeb"/>
        <w:rPr>
          <w:rtl/>
        </w:rPr>
      </w:pPr>
      <w:r>
        <w:rPr>
          <w:rStyle w:val="a7"/>
          <w:rtl/>
        </w:rPr>
        <w:footnoteReference w:id="1485"/>
      </w:r>
      <w:r>
        <w:rPr>
          <w:rtl/>
        </w:rPr>
        <w:t xml:space="preserve">וְעוֹד ה' דְּיַד כֵּהָה, דְאִיהִי יוֹנָה קַדִּישָׁא, </w:t>
      </w:r>
      <w:r>
        <w:rPr>
          <w:rStyle w:val="a7"/>
          <w:rtl/>
        </w:rPr>
        <w:footnoteReference w:id="1486"/>
      </w:r>
      <w:r>
        <w:rPr>
          <w:rtl/>
        </w:rPr>
        <w:t xml:space="preserve">מְצַפְצְפָאן לָהּ בְּנָהָא בְּכַמָּה צִפְצוּפִין דִּזְמִירוֹת שִׁירוֹת וְתוּשְׁבָּחוֹת וְהוֹדָאוֹת, עַד דְּנָחֲתִין לָהּ לְגַבַּיְיהוּ, הָא נָחֲתִין לָהּ לְגַבַּיְיהוּ </w:t>
      </w:r>
      <w:r>
        <w:rPr>
          <w:rStyle w:val="a7"/>
          <w:rtl/>
        </w:rPr>
        <w:footnoteReference w:id="1487"/>
      </w:r>
      <w:r>
        <w:rPr>
          <w:rtl/>
        </w:rPr>
        <w:t xml:space="preserve">קָשְׁרִין לָהּ בִּרְצוּעָה, דְאִיהִי ו' שִׁית תֵּיבִין דְּיִחוּדָא, וְהַיְינוּ רָזָא וְהָיָה לְאוֹת עַל יָדְכָה </w:t>
      </w:r>
      <w:r>
        <w:rPr>
          <w:sz w:val="20"/>
          <w:szCs w:val="23"/>
          <w:rtl/>
        </w:rPr>
        <w:t>(שמות יג ט)</w:t>
      </w:r>
      <w:r>
        <w:rPr>
          <w:rtl/>
        </w:rPr>
        <w:t xml:space="preserve">, קִשּׁוּרָא דְתַרְוַיְיהוּ דָא י', וְדָא יִחוּד, </w:t>
      </w:r>
      <w:r>
        <w:rPr>
          <w:rStyle w:val="a7"/>
          <w:rtl/>
        </w:rPr>
        <w:footnoteReference w:id="1488"/>
      </w:r>
      <w:r>
        <w:rPr>
          <w:rtl/>
        </w:rPr>
        <w:t>וּבְגִין דָּא בְּקִשּׁוּרָא דְתַרְוַיְיהוּ, מָאן דְּשָׂח שִׂיחָה בֵּינַיְיהוּ, דְּאִיהִי שִׂיחַת חוּלִין, עֲבֵירָה הִיא בְּיָדוֹ, דְּעָבַד בָּהּ פִּרוּדָא בֵּין ו''ה דְּאִיהוּ עַמּוּדָא דְאֶמְצָעִיתָא וּמַלְכוּתֵיהּ.</w:t>
      </w:r>
    </w:p>
    <w:p w:rsidR="00606298" w:rsidRDefault="00606298" w:rsidP="00B17EA9">
      <w:pPr>
        <w:pStyle w:val="NormalWeb"/>
        <w:rPr>
          <w:rtl/>
        </w:rPr>
      </w:pPr>
      <w:r>
        <w:rPr>
          <w:rtl/>
        </w:rPr>
        <w:t xml:space="preserve">תְּפִלִּין דְּרֵישֵׁיהּ דְּקוּדְשָׁא בְּרִיךְ הוּא דְאִיהוּ ו', אִיהִי ה' עִלָּאָה, אִימָּא עִלָּאָה, </w:t>
      </w:r>
      <w:r>
        <w:rPr>
          <w:rStyle w:val="a7"/>
          <w:rtl/>
        </w:rPr>
        <w:footnoteReference w:id="1489"/>
      </w:r>
      <w:r>
        <w:rPr>
          <w:rtl/>
        </w:rPr>
        <w:t xml:space="preserve">עֲטֶרֶת תִּפְאֶרֶת, </w:t>
      </w:r>
      <w:r>
        <w:rPr>
          <w:rStyle w:val="a7"/>
          <w:rtl/>
        </w:rPr>
        <w:footnoteReference w:id="1490"/>
      </w:r>
      <w:r>
        <w:rPr>
          <w:rtl/>
        </w:rPr>
        <w:t xml:space="preserve">עֲלָהּ אִתְּמַר פְּאֵרְךָ חֲבוֹשׁ עָלֶיךָ </w:t>
      </w:r>
      <w:r>
        <w:rPr>
          <w:sz w:val="20"/>
          <w:szCs w:val="23"/>
          <w:rtl/>
        </w:rPr>
        <w:t>(יחזקאל כד יז)</w:t>
      </w:r>
      <w:r>
        <w:rPr>
          <w:rtl/>
        </w:rPr>
        <w:t xml:space="preserve">, אֵלּוּ תְּפִלִּין שֶׁבָּרֹאשׁ, </w:t>
      </w:r>
      <w:r>
        <w:rPr>
          <w:rStyle w:val="a7"/>
          <w:rtl/>
        </w:rPr>
        <w:footnoteReference w:id="1491"/>
      </w:r>
      <w:r>
        <w:rPr>
          <w:rtl/>
        </w:rPr>
        <w:t xml:space="preserve">וְהַאי אִיהוּ רָזָא הֲוַיָּ''ה, </w:t>
      </w:r>
      <w:r>
        <w:rPr>
          <w:rStyle w:val="a7"/>
          <w:rtl/>
        </w:rPr>
        <w:footnoteReference w:id="1492"/>
      </w:r>
      <w:r>
        <w:rPr>
          <w:rtl/>
        </w:rPr>
        <w:t xml:space="preserve">דְאִתְּמַר בֵּיהּ הִנֵּה יַד יהו''ה הוֹיָ''ה וכו' </w:t>
      </w:r>
      <w:r>
        <w:rPr>
          <w:sz w:val="20"/>
          <w:szCs w:val="23"/>
          <w:rtl/>
        </w:rPr>
        <w:t>(שמות ט ג)</w:t>
      </w:r>
      <w:r>
        <w:rPr>
          <w:rtl/>
        </w:rPr>
        <w:t xml:space="preserve">, </w:t>
      </w:r>
      <w:r>
        <w:rPr>
          <w:rStyle w:val="a7"/>
          <w:rtl/>
        </w:rPr>
        <w:footnoteReference w:id="1493"/>
      </w:r>
      <w:r>
        <w:rPr>
          <w:rtl/>
        </w:rPr>
        <w:t>וּבְגִין דָּא אוּקְמוּהָ מָארֵי דְתַלְמוּדָא יְרוּשַׁלְמִי, הֲוַיּוֹת בְּאֶמְצַע.</w:t>
      </w:r>
    </w:p>
    <w:p w:rsidR="00606298" w:rsidRDefault="00606298" w:rsidP="00B17EA9">
      <w:pPr>
        <w:pStyle w:val="NormalWeb"/>
        <w:rPr>
          <w:rtl/>
        </w:rPr>
      </w:pPr>
      <w:r>
        <w:rPr>
          <w:rtl/>
        </w:rPr>
        <w:t xml:space="preserve">יַד יהו''ה מִימִינָא, דְאִתְּמַר בָּהּ </w:t>
      </w:r>
      <w:r>
        <w:rPr>
          <w:rStyle w:val="a7"/>
          <w:rtl/>
        </w:rPr>
        <w:footnoteReference w:id="1494"/>
      </w:r>
      <w:r>
        <w:rPr>
          <w:rtl/>
        </w:rPr>
        <w:t xml:space="preserve">וַיַּרְא יִשְׂרָאֵל אֶת הַיָּד הַגְּדוֹלָה </w:t>
      </w:r>
      <w:r>
        <w:rPr>
          <w:sz w:val="20"/>
          <w:szCs w:val="23"/>
          <w:rtl/>
        </w:rPr>
        <w:t>(שם יד לא)</w:t>
      </w:r>
      <w:r>
        <w:rPr>
          <w:rtl/>
        </w:rPr>
        <w:t xml:space="preserve"> מִסִּטְרָא דְחֶסֶד, יָד רָמָה מִסִּטְרָא דְתִפְאֶרֶת, </w:t>
      </w:r>
      <w:r>
        <w:rPr>
          <w:rStyle w:val="a7"/>
          <w:rtl/>
        </w:rPr>
        <w:footnoteReference w:id="1495"/>
      </w:r>
      <w:r>
        <w:rPr>
          <w:rtl/>
        </w:rPr>
        <w:t xml:space="preserve">דְּאִתְּמַר בָּהּ וּבְנֵי יִשְׂרָאֵל יוֹצְאִים בְּיָד רָמָה, יָד חֲזָקָה בְּאֶמְצָעִיתָא </w:t>
      </w:r>
      <w:r>
        <w:rPr>
          <w:rStyle w:val="a7"/>
          <w:rtl/>
        </w:rPr>
        <w:footnoteReference w:id="1496"/>
      </w:r>
      <w:r>
        <w:rPr>
          <w:rtl/>
        </w:rPr>
        <w:t xml:space="preserve">דְאִיהִי יַד יהו''ה הוֹיָ''ה, לְמֶהֱוִי רַחֲמֵי מִכָּל סִטְרָא, דִּינָא כָּבוּשׁ בְּאֶמְצָעִיתָא, יָד רָמָה </w:t>
      </w:r>
      <w:r>
        <w:rPr>
          <w:rStyle w:val="a7"/>
          <w:rtl/>
        </w:rPr>
        <w:footnoteReference w:id="1497"/>
      </w:r>
      <w:r>
        <w:rPr>
          <w:rtl/>
        </w:rPr>
        <w:t xml:space="preserve">עֲלָהּ אִתְּמַר וְהָיָ''ה יהו''ה </w:t>
      </w:r>
      <w:r>
        <w:rPr>
          <w:rStyle w:val="a7"/>
          <w:rtl/>
        </w:rPr>
        <w:footnoteReference w:id="1498"/>
      </w:r>
      <w:r>
        <w:rPr>
          <w:rtl/>
        </w:rPr>
        <w:t xml:space="preserve">לְמֶלֶךְ עַל כָּל הָאָרֶץ </w:t>
      </w:r>
      <w:r>
        <w:rPr>
          <w:sz w:val="20"/>
          <w:szCs w:val="23"/>
          <w:rtl/>
        </w:rPr>
        <w:t>(זכרי, יד ט)</w:t>
      </w:r>
      <w:r>
        <w:rPr>
          <w:rtl/>
        </w:rPr>
        <w:t>, וּתְלַת זִמְנִין י''ד אִנּוּן מ''ב אַזְכָּרוֹת דִּתְּפִלִּין דְּיָד וּתְפִלִּין דְּרֵישָׁא.</w:t>
      </w:r>
    </w:p>
    <w:p w:rsidR="00606298" w:rsidRDefault="00606298" w:rsidP="00B17EA9">
      <w:pPr>
        <w:pStyle w:val="NormalWeb"/>
        <w:rPr>
          <w:rtl/>
        </w:rPr>
      </w:pPr>
      <w:r>
        <w:rPr>
          <w:rStyle w:val="a7"/>
          <w:rtl/>
        </w:rPr>
        <w:footnoteReference w:id="1499"/>
      </w:r>
      <w:r>
        <w:rPr>
          <w:rtl/>
        </w:rPr>
        <w:t xml:space="preserve">י''ד שְׁכִינְתָּא תַּתָּאָה </w:t>
      </w:r>
      <w:r>
        <w:rPr>
          <w:rStyle w:val="a7"/>
          <w:rtl/>
        </w:rPr>
        <w:footnoteReference w:id="1500"/>
      </w:r>
      <w:r>
        <w:rPr>
          <w:rtl/>
        </w:rPr>
        <w:t xml:space="preserve">אִיהִי הַיָּד הַגְּדוֹלָה מִימִינָא דְחֶסֶד, דְּתַמָּן חָכְמָה, יָד הַחֲזָקָה מִסִּטְרָא דִגְבוּרָה, דְתַמָּן בִּינָה, יָד רָמָה מִסִּטְרָא דְעַמּוּדָא דְאֶמְצָעִיתָא, </w:t>
      </w:r>
      <w:r>
        <w:rPr>
          <w:rStyle w:val="a7"/>
          <w:rtl/>
        </w:rPr>
        <w:footnoteReference w:id="1501"/>
      </w:r>
      <w:r>
        <w:rPr>
          <w:rtl/>
        </w:rPr>
        <w:t xml:space="preserve">מְעוּטָּר בְּכֶתֶר עַל רֵישֵׁיהּ, </w:t>
      </w:r>
      <w:r>
        <w:rPr>
          <w:rStyle w:val="a7"/>
          <w:rtl/>
        </w:rPr>
        <w:footnoteReference w:id="1502"/>
      </w:r>
      <w:r>
        <w:rPr>
          <w:rtl/>
        </w:rPr>
        <w:t>תְּפִלֵּי דְמָארֵי עָלְמָא.</w:t>
      </w:r>
    </w:p>
    <w:p w:rsidR="00606298" w:rsidRDefault="00606298" w:rsidP="00B17EA9">
      <w:pPr>
        <w:pStyle w:val="NormalWeb"/>
        <w:rPr>
          <w:rtl/>
        </w:rPr>
      </w:pPr>
      <w:r>
        <w:rPr>
          <w:rStyle w:val="a7"/>
          <w:rtl/>
        </w:rPr>
        <w:footnoteReference w:id="1503"/>
      </w:r>
      <w:r>
        <w:rPr>
          <w:rtl/>
        </w:rPr>
        <w:t xml:space="preserve">שִׁין שֶׁל תְּפִלִּין </w:t>
      </w:r>
      <w:r>
        <w:rPr>
          <w:rStyle w:val="a7"/>
          <w:rtl/>
        </w:rPr>
        <w:footnoteReference w:id="1504"/>
      </w:r>
      <w:r>
        <w:rPr>
          <w:rtl/>
        </w:rPr>
        <w:t xml:space="preserve">הֲלָכָה לְמֹשֶׁה מִסִּינַי, ש דִתְלַת רָאשִׁין, שז דְאַרְבַּע רָאשִׁין, </w:t>
      </w:r>
      <w:r>
        <w:rPr>
          <w:rStyle w:val="a7"/>
          <w:rtl/>
        </w:rPr>
        <w:footnoteReference w:id="1505"/>
      </w:r>
      <w:r>
        <w:rPr>
          <w:rtl/>
        </w:rPr>
        <w:t xml:space="preserve">לָקֳבֵל שֶׁבַע הַנְּעָרוֹת הָרְאוּיוֹת לָתֶת לָהּ מִבֵּית הַמֶּלֶךְ </w:t>
      </w:r>
      <w:r>
        <w:rPr>
          <w:sz w:val="20"/>
          <w:szCs w:val="23"/>
          <w:rtl/>
        </w:rPr>
        <w:t>(אסתר ב ט)</w:t>
      </w:r>
      <w:r>
        <w:rPr>
          <w:rtl/>
        </w:rPr>
        <w:t xml:space="preserve">, </w:t>
      </w:r>
      <w:r>
        <w:rPr>
          <w:rStyle w:val="a7"/>
          <w:rtl/>
        </w:rPr>
        <w:footnoteReference w:id="1506"/>
      </w:r>
      <w:r>
        <w:rPr>
          <w:rtl/>
        </w:rPr>
        <w:t xml:space="preserve">וְאִינוּן בַּשַּׁחַר שְׁתַּיִם לְפָנֶיהָ וְאַחַת לְאַחֲרֶיהָ, וּבָעֶרֶב שְׁתַּיִם לְפָנֶיהָ וּשְׁתַּיִם לְאַחֲרֶיהָ, וְלָקֳבֵל אִלֵּין שִׁבְעָה, </w:t>
      </w:r>
      <w:r>
        <w:rPr>
          <w:rStyle w:val="a7"/>
          <w:rtl/>
        </w:rPr>
        <w:footnoteReference w:id="1507"/>
      </w:r>
      <w:r>
        <w:rPr>
          <w:rtl/>
        </w:rPr>
        <w:t xml:space="preserve">אִית שִׁבְעָה רוֹאֵי פְּנֵי הַמֶּלֶךְ </w:t>
      </w:r>
      <w:r>
        <w:rPr>
          <w:rStyle w:val="a7"/>
          <w:rtl/>
        </w:rPr>
        <w:footnoteReference w:id="1508"/>
      </w:r>
      <w:r>
        <w:rPr>
          <w:rtl/>
        </w:rPr>
        <w:t>הַיּוֹשְׁבִים רִאשׁוֹנָה בַּמַּלְכוּת.</w:t>
      </w:r>
    </w:p>
    <w:p w:rsidR="00606298" w:rsidRDefault="00606298" w:rsidP="00B17EA9">
      <w:pPr>
        <w:pStyle w:val="NormalWeb"/>
        <w:rPr>
          <w:rtl/>
        </w:rPr>
      </w:pPr>
      <w:r>
        <w:rPr>
          <w:rStyle w:val="a7"/>
          <w:rtl/>
        </w:rPr>
        <w:footnoteReference w:id="1509"/>
      </w:r>
      <w:r>
        <w:rPr>
          <w:rtl/>
        </w:rPr>
        <w:t xml:space="preserve">וְתִפְאֶרֶת אִיהוּ כָּבוּשׁ בְּאָת יוּ''ד, עִם ה' תַּתָּאָה, וְנַפְשׁוֹ קְשׁוּרָה בְּנַפְשׁוֹ, וְאִיהוּ חָבוּשׁ עִם אָת י' מִסִּטְרָא דְה' עִלָּאָה, </w:t>
      </w:r>
      <w:r>
        <w:rPr>
          <w:rStyle w:val="a7"/>
          <w:rtl/>
        </w:rPr>
        <w:footnoteReference w:id="1510"/>
      </w:r>
      <w:r>
        <w:rPr>
          <w:rtl/>
        </w:rPr>
        <w:t xml:space="preserve">וּבְגִין דָּא אֵין חָבוּשׁ מַתִּיר עַצְמוֹ מִבֵּית הָאֲסוּרִין, דְּאִיהוּ בְגָלוּת עִם יִשְׂרָאֵל, הֲדָא הוּא דִכְתִיב </w:t>
      </w:r>
      <w:r>
        <w:rPr>
          <w:sz w:val="20"/>
          <w:szCs w:val="23"/>
          <w:rtl/>
        </w:rPr>
        <w:t>(ישעיה סג ט)</w:t>
      </w:r>
      <w:r>
        <w:rPr>
          <w:rtl/>
        </w:rPr>
        <w:t xml:space="preserve"> בְּכָל צָרָתָם לוֹ צָר בְּו', </w:t>
      </w:r>
      <w:r>
        <w:rPr>
          <w:rStyle w:val="a7"/>
          <w:rtl/>
        </w:rPr>
        <w:footnoteReference w:id="1511"/>
      </w:r>
      <w:r>
        <w:rPr>
          <w:rtl/>
        </w:rPr>
        <w:t xml:space="preserve">לֹא צָר בְּא', בְּהַהוּא זִמְנָא דְאִיהוּ עִם יִשְׂרָאֵל </w:t>
      </w:r>
      <w:r>
        <w:rPr>
          <w:rStyle w:val="a7"/>
          <w:rtl/>
        </w:rPr>
        <w:footnoteReference w:id="1512"/>
      </w:r>
      <w:r>
        <w:rPr>
          <w:rtl/>
        </w:rPr>
        <w:t xml:space="preserve">לֹא צָר וַדַּאי, וְלֵית צָר אֶלָּא יֵצֶר הָרָע, דְּהַזָּר הַקָּרֵב יוּמָת </w:t>
      </w:r>
      <w:r>
        <w:rPr>
          <w:sz w:val="20"/>
          <w:szCs w:val="23"/>
          <w:rtl/>
        </w:rPr>
        <w:t>(במדבר א נב)</w:t>
      </w:r>
      <w:r>
        <w:rPr>
          <w:rtl/>
        </w:rPr>
        <w:t>.</w:t>
      </w:r>
    </w:p>
    <w:p w:rsidR="00606298" w:rsidRDefault="00606298" w:rsidP="00134F53">
      <w:pPr>
        <w:pStyle w:val="2"/>
        <w:rPr>
          <w:rtl/>
        </w:rPr>
      </w:pPr>
      <w:bookmarkStart w:id="102" w:name="_Toc405982953"/>
      <w:r>
        <w:rPr>
          <w:rtl/>
        </w:rPr>
        <w:t>[תיקוני זוהר - דף ט ע''א]*</w:t>
      </w:r>
      <w:bookmarkEnd w:id="102"/>
    </w:p>
    <w:p w:rsidR="00606298" w:rsidRDefault="00606298" w:rsidP="00B17EA9">
      <w:pPr>
        <w:pStyle w:val="NormalWeb"/>
        <w:rPr>
          <w:rtl/>
        </w:rPr>
      </w:pPr>
      <w:r>
        <w:rPr>
          <w:rStyle w:val="a7"/>
          <w:rtl/>
        </w:rPr>
        <w:footnoteReference w:id="1513"/>
      </w:r>
      <w:r>
        <w:rPr>
          <w:rtl/>
        </w:rPr>
        <w:t xml:space="preserve">וְרָזָא דְמִלָּה כִּי בִי חָשַׁק וַאֲפַלְּטֵהוּ </w:t>
      </w:r>
      <w:r>
        <w:rPr>
          <w:sz w:val="20"/>
          <w:szCs w:val="23"/>
          <w:rtl/>
        </w:rPr>
        <w:t>(תהלים צא יד)</w:t>
      </w:r>
      <w:r>
        <w:rPr>
          <w:rtl/>
        </w:rPr>
        <w:t xml:space="preserve">, כִּי בִי בְּגִימַטְרִיָּא מ''ב אַזְכָּרוֹת דִתְּפִלֵּי, אֲשַׂגְּבֵהוּ כִּי </w:t>
      </w:r>
      <w:r>
        <w:rPr>
          <w:rStyle w:val="a7"/>
          <w:rtl/>
        </w:rPr>
        <w:footnoteReference w:id="1514"/>
      </w:r>
      <w:r>
        <w:rPr>
          <w:rtl/>
        </w:rPr>
        <w:t xml:space="preserve">יָדַע שְׁמִי, יִקְרָאֵנִי בִּקְרִיאַת שְׁמַע, וְאֶעֱנֵהוּ, הֲדָא הוּא דִכְתִיב אָז תִּקְרָא </w:t>
      </w:r>
      <w:r>
        <w:rPr>
          <w:rStyle w:val="a7"/>
          <w:rtl/>
        </w:rPr>
        <w:footnoteReference w:id="1515"/>
      </w:r>
      <w:r>
        <w:rPr>
          <w:rtl/>
        </w:rPr>
        <w:t xml:space="preserve">וַיהוָֹ''ה יַעֲנֶה </w:t>
      </w:r>
      <w:r>
        <w:rPr>
          <w:sz w:val="20"/>
          <w:szCs w:val="23"/>
          <w:rtl/>
        </w:rPr>
        <w:t>(ישעי, נח ט)</w:t>
      </w:r>
      <w:r>
        <w:rPr>
          <w:rtl/>
        </w:rPr>
        <w:t xml:space="preserve">, יהו''ה בְּאַרְבַּע בָּתֵּי דִתְּפִלֵי דְרֵישָׁא, דְאִינוּן אַרְבַּע אַתְוָון אהי''ה, וַיהו''ה יַעֲנֶה, יהו''ה בְּאַרְבַּע בָּתֵּי דִתְּפִלִּין דְּיָד, דְּאִינוּן אדנ''י, וְאִי תֵימָא לַאו אִינוּן בְּיָד אֶלָּא בַּיִת אֶחָד חֲמִשָּׁאָה, יַד כֵּהָה, הָכִי הוּא וַדַּאי דְּאִיהִי חֲמִשָּׁאָה וְאִיהִי רְבִיעָאָה, רְבִיעָאָה לְיה''ו יַד כֵּהָה, יה''ו אִיהוּ אהי''ה, וְסָלִיק לְחוּשְׁבַּן כ''א, </w:t>
      </w:r>
      <w:r>
        <w:rPr>
          <w:rStyle w:val="a7"/>
          <w:rtl/>
        </w:rPr>
        <w:footnoteReference w:id="1516"/>
      </w:r>
      <w:r>
        <w:rPr>
          <w:rtl/>
        </w:rPr>
        <w:t xml:space="preserve">וְאַרְבַּע אַתְוָון בִּכְלָל </w:t>
      </w:r>
      <w:r>
        <w:rPr>
          <w:sz w:val="20"/>
          <w:szCs w:val="23"/>
          <w:rtl/>
        </w:rPr>
        <w:t xml:space="preserve">(דף ט ע''א) </w:t>
      </w:r>
      <w:r>
        <w:rPr>
          <w:rtl/>
        </w:rPr>
        <w:t>כ''ה, ה' מִן יהו''ה רְבִיעָאָה לְיה''ו, וַחֲמִשָּׁאָה לְאהי''ה, דְּאִיהוּ אַרְבַּע בָּתֵּי, וְאִיהוּ בַּיִת חֲמִשָּׁאָה.</w:t>
      </w:r>
    </w:p>
    <w:p w:rsidR="00606298" w:rsidRDefault="00606298" w:rsidP="00B17EA9">
      <w:pPr>
        <w:pStyle w:val="NormalWeb"/>
        <w:rPr>
          <w:rtl/>
        </w:rPr>
      </w:pPr>
      <w:r>
        <w:rPr>
          <w:rtl/>
        </w:rPr>
        <w:t xml:space="preserve">וְעוֹד אהי''ה אדנ''י סָלְקֵי לְחֻשְׁבַּן אֱלֹהִי''ם, </w:t>
      </w:r>
      <w:r>
        <w:rPr>
          <w:rStyle w:val="a7"/>
          <w:rtl/>
        </w:rPr>
        <w:footnoteReference w:id="1517"/>
      </w:r>
      <w:r>
        <w:rPr>
          <w:rtl/>
        </w:rPr>
        <w:t xml:space="preserve">דְּאִיהוּ כְּלָלָא דַחֲמִשָּׁה בָּתֵּי תְּפִלֵּי, יהו''ה אַרְבַּע פָּרָשִׁיָּין, י' </w:t>
      </w:r>
      <w:r>
        <w:rPr>
          <w:rStyle w:val="a7"/>
          <w:rtl/>
        </w:rPr>
        <w:footnoteReference w:id="1518"/>
      </w:r>
      <w:r>
        <w:rPr>
          <w:rtl/>
        </w:rPr>
        <w:t xml:space="preserve">קַדֶּשׁ לִי </w:t>
      </w:r>
      <w:r>
        <w:rPr>
          <w:sz w:val="20"/>
          <w:szCs w:val="23"/>
          <w:rtl/>
        </w:rPr>
        <w:t>(שמות יג ב)</w:t>
      </w:r>
      <w:r>
        <w:rPr>
          <w:szCs w:val="23"/>
          <w:rtl/>
        </w:rPr>
        <w:t xml:space="preserve"> </w:t>
      </w:r>
      <w:r>
        <w:rPr>
          <w:rStyle w:val="Char"/>
          <w:rtl/>
        </w:rPr>
        <w:t>וְדָא חָכְמָה, ה' וְהָיָה כִּי יְבִיאֲךָ</w:t>
      </w:r>
      <w:r>
        <w:rPr>
          <w:szCs w:val="23"/>
          <w:rtl/>
        </w:rPr>
        <w:t xml:space="preserve"> </w:t>
      </w:r>
      <w:r>
        <w:rPr>
          <w:sz w:val="20"/>
          <w:szCs w:val="23"/>
          <w:rtl/>
        </w:rPr>
        <w:t>(שם יא)</w:t>
      </w:r>
      <w:r>
        <w:rPr>
          <w:rtl/>
        </w:rPr>
        <w:t xml:space="preserve"> וְדָא בִינָה, וְאִינוּן לִימִינָא וּשְׂמָאלָא, דְאִינוּן חֶסֶד גְּבוּרָה, ו' שְׁמַע יִשְׂרָאֵל </w:t>
      </w:r>
      <w:r>
        <w:rPr>
          <w:sz w:val="20"/>
          <w:szCs w:val="23"/>
          <w:rtl/>
        </w:rPr>
        <w:t>(דברים ו ד)</w:t>
      </w:r>
      <w:r>
        <w:rPr>
          <w:rtl/>
        </w:rPr>
        <w:t xml:space="preserve"> תִּפְאֶרֶת, כְּלִיל שִׁית תֵּיבִין דְּיִחוּדָא, ה' וְהָיָה אִם שָׁמֹעַ </w:t>
      </w:r>
      <w:r>
        <w:rPr>
          <w:sz w:val="20"/>
          <w:szCs w:val="23"/>
          <w:rtl/>
        </w:rPr>
        <w:t>(שם יא יג)</w:t>
      </w:r>
      <w:r>
        <w:rPr>
          <w:rtl/>
        </w:rPr>
        <w:t xml:space="preserve"> מַלְכוּת, שְׁכִינְתָּא תַּתָּאָה.</w:t>
      </w:r>
    </w:p>
    <w:p w:rsidR="00606298" w:rsidRDefault="00606298" w:rsidP="00B17EA9">
      <w:pPr>
        <w:pStyle w:val="NormalWeb"/>
        <w:rPr>
          <w:rtl/>
        </w:rPr>
      </w:pPr>
      <w:r>
        <w:rPr>
          <w:rtl/>
        </w:rPr>
        <w:t xml:space="preserve">תְּלַת רְצוּעִין נֶצַח וְהוֹד וִיסוֹד, יְסוֹד רְצוּעָה דְקָשִׁיר וָא''ו עִם ה', כִּי כֹל בַּשָּׁמַיִם וּבָאָרֶץ </w:t>
      </w:r>
      <w:r>
        <w:rPr>
          <w:sz w:val="20"/>
          <w:szCs w:val="23"/>
          <w:rtl/>
        </w:rPr>
        <w:t>(דה''א כט יא)</w:t>
      </w:r>
      <w:r>
        <w:rPr>
          <w:rtl/>
        </w:rPr>
        <w:t xml:space="preserve">, דַּאֲחִיד בִּשְׁמַיָּא וּבְאַרְעָא, תְּרֵין רְצוּעִין נֶצַח וָהוֹד, דַּאֲחִידָן בְּה' עִלָּאָה, וְהַקְּרָנַיִם גְּבוֹהִים, וְהָאַחַת גָּבוֹהַּ מִן הַשֵּׁנִית </w:t>
      </w:r>
      <w:r>
        <w:rPr>
          <w:sz w:val="20"/>
          <w:szCs w:val="23"/>
          <w:rtl/>
        </w:rPr>
        <w:t>(דניאל ח ט)</w:t>
      </w:r>
      <w:r>
        <w:rPr>
          <w:rtl/>
        </w:rPr>
        <w:t>, אוּף הָכִי תְּרֵין רְצוּעִין חַד אֲרוּכָה וְחַד קְצָרָה, קְצָרָה עַד הֶחָזֶה, אֲרוּכָה עַד טַבּוּרָא.</w:t>
      </w:r>
    </w:p>
    <w:p w:rsidR="00606298" w:rsidRDefault="00606298" w:rsidP="00B17EA9">
      <w:pPr>
        <w:pStyle w:val="NormalWeb"/>
        <w:rPr>
          <w:rtl/>
        </w:rPr>
      </w:pPr>
      <w:r>
        <w:rPr>
          <w:rStyle w:val="a7"/>
          <w:rtl/>
        </w:rPr>
        <w:footnoteReference w:id="1519"/>
      </w:r>
      <w:r>
        <w:rPr>
          <w:rtl/>
        </w:rPr>
        <w:t xml:space="preserve">וְאִתְפַּשְׁטוּתָא דְה' עִלָּאָה עַד הוֹד בְּאָת י' אִיהוּ, דְּאִיהוּ קֶשֶׁר שֶׁל תְּפִלִּין דְּרֵישָׁא, דְּאִיהִי ה' עִלָּאָה, סְלִיקַת לְחַמְשִׁין, חָמֵשׁ זִמְנִין עֶשֶׂר בְּאָת י', </w:t>
      </w:r>
      <w:r>
        <w:rPr>
          <w:rStyle w:val="a7"/>
          <w:rtl/>
        </w:rPr>
        <w:footnoteReference w:id="1520"/>
      </w:r>
      <w:r>
        <w:rPr>
          <w:rtl/>
        </w:rPr>
        <w:t xml:space="preserve">וְהַיְינוּ ה' י' מִן אֱלֹהִי''ם, חָמֵשׁ זִמְנִין ה' בְּאָת י' חַמְשִׁין, בְּחָמֵשׁ סְפִירָן, יְסוֹד כָּ''ל נָטִיל לוֹן כֻּלְּהוּ, וְיָרִית לוֹן לְכַלָּה וְהַיְינוּ כָּ''ל </w:t>
      </w:r>
      <w:r>
        <w:rPr>
          <w:rStyle w:val="a7"/>
          <w:rtl/>
        </w:rPr>
        <w:footnoteReference w:id="1521"/>
      </w:r>
      <w:r>
        <w:rPr>
          <w:rtl/>
        </w:rPr>
        <w:t>כַּלָּ''ה.</w:t>
      </w:r>
    </w:p>
    <w:p w:rsidR="00606298" w:rsidRDefault="00606298" w:rsidP="00B17EA9">
      <w:pPr>
        <w:pStyle w:val="NormalWeb"/>
        <w:rPr>
          <w:rtl/>
        </w:rPr>
      </w:pPr>
      <w:r>
        <w:rPr>
          <w:rtl/>
        </w:rPr>
        <w:t xml:space="preserve">בְּאָת ה תַּתָּאָה קֶרֶן אַחַת, וְרָזָא דְמִלָּה אוּקְמוּהוּ רַבָּנָן, שׁוֹר שֶׁהִקְרִיב אָדָם הָרִאשׁוֹן קֶרֶן אַחַת הָיְתָה לוֹ בְמִצְחוֹ, שֶׁנֶּאֱמַר </w:t>
      </w:r>
      <w:r>
        <w:rPr>
          <w:sz w:val="20"/>
          <w:szCs w:val="23"/>
          <w:rtl/>
        </w:rPr>
        <w:t>(תהלים סט לב)</w:t>
      </w:r>
      <w:r>
        <w:rPr>
          <w:rtl/>
        </w:rPr>
        <w:t xml:space="preserve"> מִשּׁוֹר פָּר מַקְרִן מַפְרִיס, מַקְרִן חָסֵר יוּ''ד כְּתִיב, וְדָא רְצוּעָה דְיָד. </w:t>
      </w:r>
      <w:r>
        <w:rPr>
          <w:rStyle w:val="a7"/>
          <w:rtl/>
        </w:rPr>
        <w:footnoteReference w:id="1522"/>
      </w:r>
      <w:r>
        <w:rPr>
          <w:rtl/>
        </w:rPr>
        <w:t xml:space="preserve">כ' כֶּתֶר דִּתְּפִלֵּי דְּמָארֵי עָלְמָא, </w:t>
      </w:r>
      <w:r>
        <w:rPr>
          <w:rStyle w:val="a7"/>
          <w:rtl/>
        </w:rPr>
        <w:footnoteReference w:id="1523"/>
      </w:r>
      <w:r>
        <w:rPr>
          <w:rtl/>
        </w:rPr>
        <w:t xml:space="preserve">דְּמָארֵי עָלְמָא אִיהוּ שְׁמֵיהּ תְּפִלִּין דְּשַׁוִּי, אֲבָל כֶּתֶר תְּפִלִּין עֲלֵיהּ, וְרָזָא דְמִלָּה אֵין קָדוֹשׁ כַּיהו''ה כִּי אֵין בִּלְתֶּךָ </w:t>
      </w:r>
      <w:r>
        <w:rPr>
          <w:sz w:val="20"/>
          <w:szCs w:val="23"/>
          <w:rtl/>
        </w:rPr>
        <w:t>(שמואל א ב ב)</w:t>
      </w:r>
      <w:r>
        <w:rPr>
          <w:rtl/>
        </w:rPr>
        <w:t>, לֵית פִּקּוּדָא דְלָא אִתְכְּלִילָן בֵּיהּ עֲשַׂר סְפִירָן.</w:t>
      </w:r>
    </w:p>
    <w:p w:rsidR="00606298" w:rsidRDefault="00606298" w:rsidP="00B17EA9">
      <w:pPr>
        <w:pStyle w:val="NormalWeb"/>
        <w:rPr>
          <w:rtl/>
        </w:rPr>
      </w:pPr>
      <w:r>
        <w:rPr>
          <w:rtl/>
        </w:rPr>
        <w:t xml:space="preserve">וְעִיקָר דִּתְפִלִּין מִשְּׂמָאלָא, וּבְגִין כַּךְ נִשְׁבַּע יהו''ה בִּימִינוֹ </w:t>
      </w:r>
      <w:r>
        <w:rPr>
          <w:sz w:val="20"/>
          <w:szCs w:val="23"/>
          <w:rtl/>
        </w:rPr>
        <w:t>(ישעיה סב ד)</w:t>
      </w:r>
      <w:r>
        <w:rPr>
          <w:rtl/>
        </w:rPr>
        <w:t xml:space="preserve"> זוֹ תוֹרָה, וּבִזְרוֹעַ עוזּוֹ אֵלּוּ תְפִלִּין, וּמִסִּטְרָא דִשְׂמָאלָא ה' תְּפִלִּין עַל ו', אִימָּא עַל בְּרָהּ, בְּגִין דְּבָהּ אִתְבְּנֵי, הֲדָא הוּא דִכְתִיב כּוֹנֵן שָׁמַיִם בִּתְבוּנָה </w:t>
      </w:r>
      <w:r>
        <w:rPr>
          <w:sz w:val="20"/>
          <w:szCs w:val="23"/>
          <w:rtl/>
        </w:rPr>
        <w:t>(משלי ג ב)</w:t>
      </w:r>
      <w:r>
        <w:rPr>
          <w:rtl/>
        </w:rPr>
        <w:t xml:space="preserve">. י' אַבָּא, תְּפִלִּין עַל בְּרַתָּא ה', דְּבֵיהּ אִתְבְּנִיאַת, הֲדָא הוּא דִכְתִיב יהו''ה בְּחָכְמָה יָסַד אָרֶץ, וְדָא הוּא הֲוַיָּ''ה, </w:t>
      </w:r>
      <w:r>
        <w:rPr>
          <w:rStyle w:val="a7"/>
          <w:rtl/>
        </w:rPr>
        <w:footnoteReference w:id="1524"/>
      </w:r>
      <w:r>
        <w:rPr>
          <w:rtl/>
        </w:rPr>
        <w:t>וְדָא הוּא רָזָא אַרְבַּע מִשְׁמָרוֹת הַוִּי"הּלַיְלָה.</w:t>
      </w:r>
    </w:p>
    <w:p w:rsidR="00606298" w:rsidRDefault="00606298" w:rsidP="00B17EA9">
      <w:pPr>
        <w:pStyle w:val="NormalWeb"/>
        <w:rPr>
          <w:rtl/>
        </w:rPr>
      </w:pPr>
      <w:r>
        <w:rPr>
          <w:rtl/>
        </w:rPr>
        <w:t xml:space="preserve">(וְאִית דְּאָמַר) הֲוַיּוֹת בְּאֶמְצַע כְּגַוְונָא דָא יהה''ו, (י' קַדֶּשׁ לִי, ה' ה' וְהָיָה כִּי יְבִיאֲךָ וְהָיָה אִם שָׁמֹעַ, ו' שְׁמַע יִשְׂרָאֵל,) </w:t>
      </w:r>
      <w:r>
        <w:rPr>
          <w:rStyle w:val="a7"/>
          <w:rtl/>
        </w:rPr>
        <w:footnoteReference w:id="1525"/>
      </w:r>
      <w:r>
        <w:rPr>
          <w:rtl/>
        </w:rPr>
        <w:t xml:space="preserve">הוי''ה - ו' י' בְּאֶמְצָעִיתָא, (יהה''ו - ה' ה' בְּאֶמְצָעִיתָא.) וּבְצִרוּף דְי''ב הֲוַיָּן, אִשְׁתְּמוֹדְעוּ כֻּלְּהוּ, וְאִלֵּין אִינוּן יהו''ה יהה''ו יוה''ה, </w:t>
      </w:r>
      <w:r>
        <w:rPr>
          <w:rStyle w:val="a7"/>
          <w:rtl/>
        </w:rPr>
        <w:footnoteReference w:id="1526"/>
      </w:r>
      <w:r>
        <w:rPr>
          <w:rtl/>
        </w:rPr>
        <w:t xml:space="preserve">דִּרְמִיזֵי בְּשֵׁם יו''ד ה''י וי''ו ה''י, הַאי שְׁמָא מְקוֹרָא דְאַתְוָון, וּמְקוֹרָא דִלְהוֹן בִּקְרָאֵי בִּנְקוּדֵי, יִהַוְ''הָ יִשְׂמְחוּ הַשָּׁמַיִם וְתָגֵל הָאָרֶץ </w:t>
      </w:r>
      <w:r>
        <w:rPr>
          <w:sz w:val="20"/>
          <w:szCs w:val="23"/>
          <w:rtl/>
        </w:rPr>
        <w:t>(תהלים צז יא)</w:t>
      </w:r>
      <w:r>
        <w:rPr>
          <w:rtl/>
        </w:rPr>
        <w:t xml:space="preserve">, מְקוֹרָא דִנְקוּדֵי מִן יִהַהַ''וְ </w:t>
      </w:r>
      <w:r>
        <w:rPr>
          <w:sz w:val="20"/>
          <w:szCs w:val="23"/>
          <w:rtl/>
        </w:rPr>
        <w:t>(ירמיה ט כג)</w:t>
      </w:r>
      <w:r>
        <w:rPr>
          <w:rtl/>
        </w:rPr>
        <w:t xml:space="preserve"> יִתְהַלֵּל הַמִּתְהַלֵּל הַשְׂכֵּל וְיָדוֹעַ, יְוּהַ''הַ </w:t>
      </w:r>
      <w:r>
        <w:rPr>
          <w:sz w:val="20"/>
          <w:szCs w:val="23"/>
          <w:rtl/>
        </w:rPr>
        <w:t>(שמות כו יט כ)</w:t>
      </w:r>
      <w:r>
        <w:rPr>
          <w:rtl/>
        </w:rPr>
        <w:t xml:space="preserve"> יְדוֹתָיו וּלְצֶלַע הַמִּשְׁכָּן הַשֵּׁנִית.</w:t>
      </w:r>
    </w:p>
    <w:p w:rsidR="00606298" w:rsidRDefault="00606298" w:rsidP="00B17EA9">
      <w:pPr>
        <w:pStyle w:val="NormalWeb"/>
        <w:rPr>
          <w:rtl/>
        </w:rPr>
      </w:pPr>
      <w:r>
        <w:rPr>
          <w:rStyle w:val="a7"/>
          <w:rtl/>
        </w:rPr>
        <w:footnoteReference w:id="1527"/>
      </w:r>
      <w:r>
        <w:rPr>
          <w:rtl/>
        </w:rPr>
        <w:t xml:space="preserve">תְּלַת וָוִי''ן בְּהַאי שְׁמָא יו''ד ה''י וי''ו ה''י, והי''ה והה''י ויה''ה, וּנְקוּדִין דִּלְהוֹן וַיִּרְאוּ אוֹתָהּ שָׂרֵי פַרְעֹה </w:t>
      </w:r>
      <w:r>
        <w:rPr>
          <w:sz w:val="20"/>
          <w:szCs w:val="23"/>
          <w:rtl/>
        </w:rPr>
        <w:t>(בראשית יב טו)</w:t>
      </w:r>
      <w:r>
        <w:rPr>
          <w:rtl/>
        </w:rPr>
        <w:t xml:space="preserve"> וַהֹיָ''הַ, וּהַהַ''יְ וּדְבָשׁ הַיּוֹם הַזֶּה יהו''ה </w:t>
      </w:r>
      <w:r>
        <w:rPr>
          <w:sz w:val="20"/>
          <w:szCs w:val="23"/>
          <w:rtl/>
        </w:rPr>
        <w:t>(דברים כו טו)</w:t>
      </w:r>
      <w:r>
        <w:rPr>
          <w:rtl/>
        </w:rPr>
        <w:t xml:space="preserve">, וַיֹהָ''הַ וַיַּרְא יוֹשֵׁב הָאָרֶץ הַכְּנַעֲנִי </w:t>
      </w:r>
      <w:r>
        <w:rPr>
          <w:sz w:val="20"/>
          <w:szCs w:val="23"/>
          <w:rtl/>
        </w:rPr>
        <w:t>(בראשית נ טו)</w:t>
      </w:r>
      <w:r>
        <w:rPr>
          <w:rtl/>
        </w:rPr>
        <w:t xml:space="preserve">. הוה''י היו''ה ההי''ו מְקוֹרָא דִלְהוֹן, הֶוִהֹ''יִ וְכָל זֶה אֵינֶנּוּ שׁוְֹה לִי </w:t>
      </w:r>
      <w:r>
        <w:rPr>
          <w:sz w:val="20"/>
          <w:szCs w:val="23"/>
          <w:rtl/>
        </w:rPr>
        <w:t>(אסתר ה יג)</w:t>
      </w:r>
      <w:r>
        <w:rPr>
          <w:rtl/>
        </w:rPr>
        <w:t xml:space="preserve">, הָיְוְ''הּ הָמֵר יְמִירֶנּוּ וְהָיָה הוּא </w:t>
      </w:r>
      <w:r>
        <w:rPr>
          <w:sz w:val="20"/>
          <w:szCs w:val="23"/>
          <w:rtl/>
        </w:rPr>
        <w:t>(ויקרא כז לג)</w:t>
      </w:r>
      <w:r>
        <w:rPr>
          <w:rtl/>
        </w:rPr>
        <w:t xml:space="preserve">, הִהְיְ''וַ עִירֹה וְלַשֹּׂרֵקָה בְּנִי אֲתֹנוֹ </w:t>
      </w:r>
      <w:r>
        <w:rPr>
          <w:sz w:val="20"/>
          <w:szCs w:val="23"/>
          <w:rtl/>
        </w:rPr>
        <w:t>(בראשית מט יא)</w:t>
      </w:r>
      <w:r>
        <w:rPr>
          <w:rtl/>
        </w:rPr>
        <w:t xml:space="preserve">, היה''ו הוי''ה ההו''י, הַיִהִ''וְ לַיהוָֹ''ה אִתִּי וּנְרוֹמְמָה שְׁמוֹ </w:t>
      </w:r>
      <w:r>
        <w:rPr>
          <w:sz w:val="20"/>
          <w:szCs w:val="23"/>
          <w:rtl/>
        </w:rPr>
        <w:t>(תהלים לד ד)</w:t>
      </w:r>
      <w:r>
        <w:rPr>
          <w:szCs w:val="23"/>
          <w:rtl/>
        </w:rPr>
        <w:t xml:space="preserve">, </w:t>
      </w:r>
      <w:r>
        <w:rPr>
          <w:rStyle w:val="Char"/>
          <w:rtl/>
        </w:rPr>
        <w:t>ה</w:t>
      </w:r>
      <w:r>
        <w:rPr>
          <w:rtl/>
        </w:rPr>
        <w:t>ַ</w:t>
      </w:r>
      <w:r>
        <w:rPr>
          <w:rStyle w:val="Char"/>
          <w:rtl/>
        </w:rPr>
        <w:t>ו</w:t>
      </w:r>
      <w:r>
        <w:rPr>
          <w:rtl/>
        </w:rPr>
        <w:t>ּ</w:t>
      </w:r>
      <w:r>
        <w:rPr>
          <w:rStyle w:val="Char"/>
          <w:rtl/>
        </w:rPr>
        <w:t>י</w:t>
      </w:r>
      <w:r>
        <w:rPr>
          <w:rtl/>
        </w:rPr>
        <w:t>ִ</w:t>
      </w:r>
      <w:r>
        <w:rPr>
          <w:rStyle w:val="Char"/>
          <w:rtl/>
        </w:rPr>
        <w:t>''ה</w:t>
      </w:r>
      <w:r>
        <w:rPr>
          <w:rtl/>
        </w:rPr>
        <w:t>ַ</w:t>
      </w:r>
      <w:r>
        <w:rPr>
          <w:rStyle w:val="Char"/>
          <w:rtl/>
        </w:rPr>
        <w:t xml:space="preserve"> ה</w:t>
      </w:r>
      <w:r>
        <w:rPr>
          <w:rtl/>
        </w:rPr>
        <w:t>ַ</w:t>
      </w:r>
      <w:r>
        <w:rPr>
          <w:rStyle w:val="Char"/>
          <w:rtl/>
        </w:rPr>
        <w:t>ס</w:t>
      </w:r>
      <w:r>
        <w:rPr>
          <w:rtl/>
        </w:rPr>
        <w:t>ְ</w:t>
      </w:r>
      <w:r>
        <w:rPr>
          <w:rStyle w:val="Char"/>
          <w:rtl/>
        </w:rPr>
        <w:t>כ</w:t>
      </w:r>
      <w:r>
        <w:rPr>
          <w:rtl/>
        </w:rPr>
        <w:t>ֵּ</w:t>
      </w:r>
      <w:r>
        <w:rPr>
          <w:rStyle w:val="Char"/>
          <w:rtl/>
        </w:rPr>
        <w:t>ת ו</w:t>
      </w:r>
      <w:r>
        <w:rPr>
          <w:rtl/>
        </w:rPr>
        <w:t>ּ</w:t>
      </w:r>
      <w:r>
        <w:rPr>
          <w:rStyle w:val="Char"/>
          <w:rtl/>
        </w:rPr>
        <w:t>ש</w:t>
      </w:r>
      <w:r>
        <w:rPr>
          <w:rtl/>
        </w:rPr>
        <w:t>ְׁ</w:t>
      </w:r>
      <w:r>
        <w:rPr>
          <w:rStyle w:val="Char"/>
          <w:rtl/>
        </w:rPr>
        <w:t>מ</w:t>
      </w:r>
      <w:r>
        <w:rPr>
          <w:rtl/>
        </w:rPr>
        <w:t>ַ</w:t>
      </w:r>
      <w:r>
        <w:rPr>
          <w:rStyle w:val="Char"/>
          <w:rtl/>
        </w:rPr>
        <w:t>ע י</w:t>
      </w:r>
      <w:r>
        <w:rPr>
          <w:rtl/>
        </w:rPr>
        <w:t>ִ</w:t>
      </w:r>
      <w:r>
        <w:rPr>
          <w:rStyle w:val="Char"/>
          <w:rtl/>
        </w:rPr>
        <w:t>ש</w:t>
      </w:r>
      <w:r>
        <w:rPr>
          <w:rtl/>
        </w:rPr>
        <w:t>ְׂ</w:t>
      </w:r>
      <w:r>
        <w:rPr>
          <w:rStyle w:val="Char"/>
          <w:rtl/>
        </w:rPr>
        <w:t>ר</w:t>
      </w:r>
      <w:r>
        <w:rPr>
          <w:rtl/>
        </w:rPr>
        <w:t>ָ</w:t>
      </w:r>
      <w:r>
        <w:rPr>
          <w:rStyle w:val="Char"/>
          <w:rtl/>
        </w:rPr>
        <w:t>א</w:t>
      </w:r>
      <w:r>
        <w:rPr>
          <w:rtl/>
        </w:rPr>
        <w:t>ֵ</w:t>
      </w:r>
      <w:r>
        <w:rPr>
          <w:rStyle w:val="Char"/>
          <w:rtl/>
        </w:rPr>
        <w:t>ל ה</w:t>
      </w:r>
      <w:r>
        <w:rPr>
          <w:rtl/>
        </w:rPr>
        <w:t>ַ</w:t>
      </w:r>
      <w:r>
        <w:rPr>
          <w:rStyle w:val="Char"/>
          <w:rtl/>
        </w:rPr>
        <w:t>י</w:t>
      </w:r>
      <w:r>
        <w:rPr>
          <w:rtl/>
        </w:rPr>
        <w:t>ּ</w:t>
      </w:r>
      <w:r>
        <w:rPr>
          <w:rStyle w:val="Char"/>
          <w:rtl/>
        </w:rPr>
        <w:t>ו</w:t>
      </w:r>
      <w:r>
        <w:rPr>
          <w:rtl/>
        </w:rPr>
        <w:t>ֹ</w:t>
      </w:r>
      <w:r>
        <w:rPr>
          <w:rStyle w:val="Char"/>
          <w:rtl/>
        </w:rPr>
        <w:t>ם</w:t>
      </w:r>
      <w:r>
        <w:rPr>
          <w:szCs w:val="23"/>
          <w:rtl/>
        </w:rPr>
        <w:t xml:space="preserve"> </w:t>
      </w:r>
      <w:r>
        <w:rPr>
          <w:sz w:val="20"/>
          <w:szCs w:val="23"/>
          <w:rtl/>
        </w:rPr>
        <w:t>(שמות ט ג)</w:t>
      </w:r>
      <w:r>
        <w:rPr>
          <w:szCs w:val="23"/>
          <w:rtl/>
        </w:rPr>
        <w:t xml:space="preserve">, </w:t>
      </w:r>
      <w:r>
        <w:rPr>
          <w:rStyle w:val="Char"/>
          <w:rtl/>
        </w:rPr>
        <w:t>הּהִוָ''יִּ</w:t>
      </w:r>
      <w:r>
        <w:rPr>
          <w:szCs w:val="23"/>
          <w:rtl/>
        </w:rPr>
        <w:t xml:space="preserve"> </w:t>
      </w:r>
      <w:r>
        <w:rPr>
          <w:sz w:val="20"/>
          <w:szCs w:val="23"/>
          <w:rtl/>
        </w:rPr>
        <w:t>(דברים ו כה)</w:t>
      </w:r>
      <w:r>
        <w:rPr>
          <w:rtl/>
        </w:rPr>
        <w:t xml:space="preserve"> וּצְדָקָה תִּהְיֶה לָּנוּ כִּי.</w:t>
      </w:r>
    </w:p>
    <w:p w:rsidR="00606298" w:rsidRDefault="00606298" w:rsidP="00134F53">
      <w:pPr>
        <w:pStyle w:val="2"/>
        <w:rPr>
          <w:rtl/>
        </w:rPr>
      </w:pPr>
      <w:bookmarkStart w:id="103" w:name="_Toc228095579"/>
      <w:bookmarkStart w:id="104" w:name="_Toc231638017"/>
      <w:bookmarkStart w:id="105" w:name="_Toc405982954"/>
      <w:r>
        <w:rPr>
          <w:rtl/>
        </w:rPr>
        <w:t>[תיקוני זוהר - דף ט ע''ב]</w:t>
      </w:r>
      <w:bookmarkEnd w:id="103"/>
      <w:bookmarkEnd w:id="104"/>
      <w:r>
        <w:rPr>
          <w:rtl/>
        </w:rPr>
        <w:t>*</w:t>
      </w:r>
      <w:bookmarkEnd w:id="105"/>
    </w:p>
    <w:p w:rsidR="00606298" w:rsidRDefault="00606298" w:rsidP="00B17EA9">
      <w:pPr>
        <w:pStyle w:val="NormalWeb"/>
        <w:rPr>
          <w:rtl/>
        </w:rPr>
      </w:pPr>
      <w:r>
        <w:rPr>
          <w:rtl/>
        </w:rPr>
        <w:t xml:space="preserve">וְכָל קְרָאִין דְּקָא אַתְיָין הֲוַיָּין אִלֵּין בְּרָאשֵׁי אַתְוָון, אוֹ בְּסוֹפֵי אַתְוָון, בֵּין מִן הַתּוֹרָה בֵּין מִן הַנְּבִיאִים בֵּין מִן הַכְּתוּבִים, יָכִיל לְנַקְדָא לוֹן בְּנִקּוּדַיְיהוּ, אוּף הָכִי כָּל הֲוַויָּין דְּקָא אַתְיָין מִתְּלַת אַתְוָון, נְקוּדָה דִלְהוֹן בַּקְּרָאִין, כְּגוֹן יִהְהִ מְקוֹרָא דִילֵיהּ כִּי יהו''ה יִהְיֶ''ה בְכִסְלֶךָ </w:t>
      </w:r>
      <w:r>
        <w:rPr>
          <w:sz w:val="20"/>
          <w:szCs w:val="23"/>
          <w:rtl/>
        </w:rPr>
        <w:t>(משלי ג כו)</w:t>
      </w:r>
      <w:r>
        <w:rPr>
          <w:rtl/>
        </w:rPr>
        <w:t>, וְאִית דְּנָקִיד לוֹן מֵרָאשֵׁי תֵּיבִין לַהֲוַיָּה דִבְסוֹפֵי תֵּיבִין, וְאִם הֲוַיָּה בְרָאשֵׁי תֵּיבוֹת נְקוּדָא דִילֵיהּ בְּסוֹפֵי תֵּיבִין. וְאִית נְקוּדָה בְּרָזָא אָחֳרָא כְּגַוְונָא דָא,</w:t>
      </w:r>
      <w:r>
        <w:rPr>
          <w:sz w:val="20"/>
          <w:szCs w:val="23"/>
          <w:rtl/>
        </w:rPr>
        <w:t xml:space="preserve"> (דף ט ע''ב) </w:t>
      </w:r>
      <w:r>
        <w:rPr>
          <w:rtl/>
        </w:rPr>
        <w:t xml:space="preserve"> יהו''ה מֶלֶךְ יהו''ה מַלַךְ יהו''ה יִמְלֹךְ, </w:t>
      </w:r>
      <w:r>
        <w:rPr>
          <w:rStyle w:val="a7"/>
          <w:rtl/>
        </w:rPr>
        <w:footnoteReference w:id="1528"/>
      </w:r>
      <w:r>
        <w:rPr>
          <w:rtl/>
        </w:rPr>
        <w:t>שְׁמָהָן לְעִילָא, נְקוּדָאן דִּלְהוֹן כְּתִיבִין דִּתְחוֹתַיְיהוּ.</w:t>
      </w:r>
    </w:p>
    <w:p w:rsidR="00606298" w:rsidRDefault="00606298" w:rsidP="00B17EA9">
      <w:pPr>
        <w:pStyle w:val="NormalWeb"/>
        <w:rPr>
          <w:rtl/>
        </w:rPr>
      </w:pPr>
      <w:r>
        <w:rPr>
          <w:rStyle w:val="a7"/>
          <w:rtl/>
        </w:rPr>
        <w:footnoteReference w:id="1529"/>
      </w:r>
      <w:r>
        <w:rPr>
          <w:rtl/>
        </w:rPr>
        <w:t xml:space="preserve">אַרְבַּע שְׁמָהָן תַּלְיָין מִכָּל שְׁמָא וּשְׁמָא, וַעֲלַיְיהוּ אִתְּמַר </w:t>
      </w:r>
      <w:r>
        <w:rPr>
          <w:rStyle w:val="a7"/>
          <w:rtl/>
        </w:rPr>
        <w:footnoteReference w:id="1530"/>
      </w:r>
      <w:r>
        <w:rPr>
          <w:rtl/>
        </w:rPr>
        <w:t xml:space="preserve">וְקָרָא זֶה </w:t>
      </w:r>
      <w:r>
        <w:rPr>
          <w:sz w:val="20"/>
          <w:szCs w:val="23"/>
          <w:rtl/>
        </w:rPr>
        <w:t>(ישעיהו ו ב)</w:t>
      </w:r>
      <w:r>
        <w:rPr>
          <w:rtl/>
        </w:rPr>
        <w:t xml:space="preserve"> לָקֳבֵל י''ב אַנְפִּין דִּתְלַת חֵיוָון, אֶל זֶה י''ב גַּדְפִין </w:t>
      </w:r>
      <w:r>
        <w:rPr>
          <w:rStyle w:val="a7"/>
          <w:rtl/>
        </w:rPr>
        <w:footnoteReference w:id="1531"/>
      </w:r>
      <w:r>
        <w:rPr>
          <w:rtl/>
        </w:rPr>
        <w:t xml:space="preserve">דִּתְלַת חֵיוָון, </w:t>
      </w:r>
      <w:r>
        <w:rPr>
          <w:rStyle w:val="a7"/>
          <w:rtl/>
        </w:rPr>
        <w:footnoteReference w:id="1532"/>
      </w:r>
      <w:r>
        <w:rPr>
          <w:rtl/>
        </w:rPr>
        <w:t xml:space="preserve">וְעַל כֻּלְּהוּ פְּנֵי אָדָם, </w:t>
      </w:r>
      <w:r>
        <w:rPr>
          <w:rStyle w:val="a7"/>
          <w:rtl/>
        </w:rPr>
        <w:footnoteReference w:id="1533"/>
      </w:r>
      <w:r>
        <w:rPr>
          <w:rtl/>
        </w:rPr>
        <w:t xml:space="preserve">וּתְפִלִּין הוּא פְּנֵי אָדָם, </w:t>
      </w:r>
      <w:r>
        <w:rPr>
          <w:rStyle w:val="a7"/>
          <w:rtl/>
        </w:rPr>
        <w:footnoteReference w:id="1534"/>
      </w:r>
      <w:r>
        <w:rPr>
          <w:rtl/>
        </w:rPr>
        <w:t xml:space="preserve">צִיצִית פְּנֵי חֵיוָון וְגַדְפֵי חֵיוָון, וְאוּקְמוּהוּ רַבָּנָן שֵׁם בֶּן י''ב כָּל הַיּוֹדְעוֹ וְהַזָּהִיר בּוֹ כָּל תְּפִלּוֹתָיו מִתְקַבְּלוֹת, וּמְקוֹרוֹ יו''ד ה''י וא''ו ה''י, כָּל י' אִיהוּ אַנְפּוֹי יהו''ה, א' וּדְמוּת פְּנֵיהֶם פְּנֵי אָדָם </w:t>
      </w:r>
      <w:r>
        <w:rPr>
          <w:sz w:val="20"/>
          <w:szCs w:val="23"/>
          <w:rtl/>
        </w:rPr>
        <w:t>(יחזקאל א ט)</w:t>
      </w:r>
      <w:r>
        <w:rPr>
          <w:rtl/>
        </w:rPr>
        <w:t>, הָכָא בְּהַאי שְׁמָא רָזָא דִתְּפִלִּין וְצִיצִית.</w:t>
      </w:r>
    </w:p>
    <w:p w:rsidR="00606298" w:rsidRDefault="00606298" w:rsidP="00B17EA9">
      <w:pPr>
        <w:pStyle w:val="NormalWeb"/>
        <w:rPr>
          <w:rtl/>
        </w:rPr>
      </w:pPr>
      <w:r>
        <w:rPr>
          <w:rtl/>
        </w:rPr>
        <w:t xml:space="preserve">תָּא חֲזִי כָּל הֲוַיָּה דְאִיהִי ה' עַל י' ה' עַל ו' נוּקְבָא, כָּל הֲוַיָּה דִתְרֵין הֵהִין כַּחֲדָא בְּאֶמְצַע </w:t>
      </w:r>
      <w:r>
        <w:rPr>
          <w:rStyle w:val="a7"/>
          <w:rtl/>
        </w:rPr>
        <w:footnoteReference w:id="1535"/>
      </w:r>
      <w:r>
        <w:rPr>
          <w:rtl/>
        </w:rPr>
        <w:t xml:space="preserve">אִינוּן אֲחָיוֹת, כְּגַוְונָא דָא יהה''ו, כָּל הֲוָיָּה י' ו' כַּחֲדָא בְּאֶמְצַע היו''ה </w:t>
      </w:r>
      <w:r>
        <w:rPr>
          <w:sz w:val="20"/>
          <w:szCs w:val="23"/>
          <w:rtl/>
        </w:rPr>
        <w:t>(נ''א הוי''ה)</w:t>
      </w:r>
      <w:r>
        <w:rPr>
          <w:szCs w:val="23"/>
          <w:rtl/>
        </w:rPr>
        <w:t xml:space="preserve"> </w:t>
      </w:r>
      <w:r>
        <w:rPr>
          <w:rStyle w:val="Char"/>
          <w:rtl/>
        </w:rPr>
        <w:t>אִינוּן אַחִים,</w:t>
      </w:r>
      <w:r>
        <w:rPr>
          <w:szCs w:val="23"/>
          <w:rtl/>
        </w:rPr>
        <w:t xml:space="preserve"> </w:t>
      </w:r>
      <w:r>
        <w:rPr>
          <w:sz w:val="20"/>
          <w:szCs w:val="23"/>
          <w:rtl/>
        </w:rPr>
        <w:t>(דברים כה ה)</w:t>
      </w:r>
      <w:r>
        <w:rPr>
          <w:rtl/>
        </w:rPr>
        <w:t xml:space="preserve"> כִּי יֵשְׁבוּ אַחִים יַחְדָּו, </w:t>
      </w:r>
      <w:r>
        <w:rPr>
          <w:rStyle w:val="a7"/>
          <w:rtl/>
        </w:rPr>
        <w:footnoteReference w:id="1536"/>
      </w:r>
      <w:r>
        <w:rPr>
          <w:rtl/>
        </w:rPr>
        <w:t xml:space="preserve">תְּרֵין הֵהִין כַּחֲדָא, וַתֵּלַכְנָה שְׁתֵּיהֶן </w:t>
      </w:r>
      <w:r>
        <w:rPr>
          <w:sz w:val="20"/>
          <w:szCs w:val="23"/>
          <w:rtl/>
        </w:rPr>
        <w:t>(רות א יט)</w:t>
      </w:r>
      <w:r>
        <w:rPr>
          <w:rtl/>
        </w:rPr>
        <w:t xml:space="preserve">, </w:t>
      </w:r>
      <w:r>
        <w:rPr>
          <w:rStyle w:val="a7"/>
          <w:rtl/>
        </w:rPr>
        <w:footnoteReference w:id="1537"/>
      </w:r>
      <w:r>
        <w:rPr>
          <w:rtl/>
        </w:rPr>
        <w:t xml:space="preserve">י' ו' רְחוֹקִים דָּא מִן דָּא אוֹ קְרוֹבִים דָּא מִן דָּא, עֲלַיְיהוּ אִתְּמַר </w:t>
      </w:r>
      <w:r>
        <w:rPr>
          <w:sz w:val="20"/>
          <w:szCs w:val="23"/>
          <w:rtl/>
        </w:rPr>
        <w:t>(ישעיה נז ט)</w:t>
      </w:r>
      <w:r>
        <w:rPr>
          <w:rtl/>
        </w:rPr>
        <w:t xml:space="preserve"> שָׁלוֹם </w:t>
      </w:r>
      <w:r>
        <w:rPr>
          <w:rStyle w:val="a7"/>
          <w:rtl/>
        </w:rPr>
        <w:footnoteReference w:id="1538"/>
      </w:r>
      <w:r>
        <w:rPr>
          <w:rtl/>
        </w:rPr>
        <w:t xml:space="preserve">שָׁלוֹם לָרָחוֹק וְלַקָּרוֹב וגו', דְּהַיְינוּ </w:t>
      </w:r>
      <w:r>
        <w:rPr>
          <w:rStyle w:val="a7"/>
          <w:rtl/>
        </w:rPr>
        <w:footnoteReference w:id="1539"/>
      </w:r>
      <w:r>
        <w:rPr>
          <w:rtl/>
        </w:rPr>
        <w:t xml:space="preserve">קָרְבָּן עוֹלֶה וְיוֹרֵד יהה''ו, ה' דְּאִיהִי אִימָּא עוֹלָה, סְלִיקָא לְגַבֵּי י' הִיא הָעוֹלָה, ה' דְאִיהִי בְּרַתָּא נְחִיתַת לְגַבֵּי ו', וַיֵּרֶד מֵעֲשֹׂת הַחַטָּאת </w:t>
      </w:r>
      <w:r>
        <w:rPr>
          <w:sz w:val="20"/>
          <w:szCs w:val="23"/>
          <w:rtl/>
        </w:rPr>
        <w:t>(ויקרא ט כב)</w:t>
      </w:r>
      <w:r>
        <w:rPr>
          <w:rtl/>
        </w:rPr>
        <w:t xml:space="preserve">, </w:t>
      </w:r>
      <w:r>
        <w:rPr>
          <w:rStyle w:val="a7"/>
          <w:rtl/>
        </w:rPr>
        <w:footnoteReference w:id="1540"/>
      </w:r>
      <w:r>
        <w:rPr>
          <w:rtl/>
        </w:rPr>
        <w:t xml:space="preserve">עַל כֵּן יַעֲזָב אִישׁ אֶת אָבִיו וְאֶת אִמּוֹ וגו' </w:t>
      </w:r>
      <w:r>
        <w:rPr>
          <w:sz w:val="20"/>
          <w:szCs w:val="23"/>
          <w:rtl/>
        </w:rPr>
        <w:t>(בראשית ב כד)</w:t>
      </w:r>
      <w:r>
        <w:rPr>
          <w:rtl/>
        </w:rPr>
        <w:t xml:space="preserve">, וְהַאי אִיהוּ קָרְבָּן עוֹלֶה וְיוֹרֵד, </w:t>
      </w:r>
      <w:r>
        <w:rPr>
          <w:rStyle w:val="a7"/>
          <w:rtl/>
        </w:rPr>
        <w:footnoteReference w:id="1541"/>
      </w:r>
      <w:r>
        <w:rPr>
          <w:rtl/>
        </w:rPr>
        <w:t>חָמֵשׁ אֶשּׁוֹת סָלְקִין, וְחָמֵשׁ נָחֲתִין.</w:t>
      </w:r>
    </w:p>
    <w:p w:rsidR="00606298" w:rsidRDefault="00606298" w:rsidP="00B17EA9">
      <w:pPr>
        <w:pStyle w:val="NormalWeb"/>
        <w:rPr>
          <w:rtl/>
        </w:rPr>
      </w:pPr>
      <w:r>
        <w:rPr>
          <w:rtl/>
        </w:rPr>
        <w:t xml:space="preserve">לֵית הֲוַיָּה דְלָא אַחֲזֵי עַל רָזָא עִלָּאָה, </w:t>
      </w:r>
      <w:r>
        <w:rPr>
          <w:rStyle w:val="a7"/>
          <w:rtl/>
        </w:rPr>
        <w:footnoteReference w:id="1542"/>
      </w:r>
      <w:r>
        <w:rPr>
          <w:rtl/>
        </w:rPr>
        <w:t xml:space="preserve">הוה''י כַּד נוּקְבִין שָׁלְטִין עַל דְּכוּרִין, דִּינָא אַחֲזֵי בְעָלְמָא וּמִיתָה וְעוֹנִי, וְדָא הוּא רָזָא דְהָפַךְ מֹשֶׁה שְׁמֵיהּ וְקָטַל לְמִצְרִי, דְּאִתְּמַר בֵּיהּ וְאָמְרוּ לִי מַה שְּׁמוֹ מָה </w:t>
      </w:r>
      <w:r>
        <w:rPr>
          <w:sz w:val="20"/>
          <w:szCs w:val="23"/>
          <w:rtl/>
        </w:rPr>
        <w:t>(שמות ג יג)</w:t>
      </w:r>
      <w:r>
        <w:rPr>
          <w:rtl/>
        </w:rPr>
        <w:t xml:space="preserve">, וּמֹשֶׁה הָפַךְ לֵיהּ כְּגַוְונָא דָא מָה שְׁמוֹ מָה לִי הוה''י, וּנְקוּדָה הָוְהָיִ, </w:t>
      </w:r>
      <w:r>
        <w:rPr>
          <w:rStyle w:val="a7"/>
          <w:rtl/>
        </w:rPr>
        <w:footnoteReference w:id="1543"/>
      </w:r>
      <w:r>
        <w:rPr>
          <w:rtl/>
        </w:rPr>
        <w:t xml:space="preserve">מִצְרִי דִמְזַלְזֵל בִּשְׁמֵיהּ וְאָמַר מַה שְּׁמוֹ, מַה יָּכִיל לְמֶעֱבַד לִי, לִקְטֵיל לֵיהּ בֵּיהּ, </w:t>
      </w:r>
      <w:r>
        <w:rPr>
          <w:rStyle w:val="a7"/>
          <w:rtl/>
        </w:rPr>
        <w:footnoteReference w:id="1544"/>
      </w:r>
      <w:r>
        <w:rPr>
          <w:rtl/>
        </w:rPr>
        <w:t xml:space="preserve">וְאִם אַתְוָון בְּסוֹפֵי תֵּיבוֹת נְקוּדִין אִנּוּן מֵרָאשֵׁי תֵּיבִין: </w:t>
      </w:r>
      <w:r>
        <w:rPr>
          <w:rFonts w:hAnsi="Arial" w:cs="Guttman Drogolin"/>
          <w:sz w:val="25"/>
          <w:szCs w:val="25"/>
          <w:rtl/>
        </w:rPr>
        <w:t>(עד כאן הועבר מההקדמה*)</w:t>
      </w:r>
    </w:p>
    <w:p w:rsidR="00606298" w:rsidRDefault="00606298" w:rsidP="00B17EA9">
      <w:pPr>
        <w:pStyle w:val="aa"/>
        <w:rPr>
          <w:rtl/>
        </w:rPr>
      </w:pPr>
    </w:p>
    <w:p w:rsidR="00606298" w:rsidRDefault="00606298" w:rsidP="00134F53">
      <w:pPr>
        <w:pStyle w:val="2"/>
        <w:rPr>
          <w:rtl/>
        </w:rPr>
      </w:pPr>
      <w:bookmarkStart w:id="106" w:name="_Toc405982955"/>
      <w:r>
        <w:rPr>
          <w:rtl/>
        </w:rPr>
        <w:t>[תיקוני זוהר - המשך דף כב ע''א]</w:t>
      </w:r>
      <w:bookmarkEnd w:id="106"/>
    </w:p>
    <w:p w:rsidR="00606298" w:rsidRDefault="00606298" w:rsidP="0007465E">
      <w:pPr>
        <w:pStyle w:val="1"/>
        <w:rPr>
          <w:rtl/>
        </w:rPr>
      </w:pPr>
      <w:bookmarkStart w:id="107" w:name="_Toc405982956"/>
      <w:r>
        <w:rPr>
          <w:rtl/>
        </w:rPr>
        <w:t>תקונא חד סר</w:t>
      </w:r>
      <w:bookmarkEnd w:id="107"/>
    </w:p>
    <w:p w:rsidR="00606298" w:rsidRDefault="00606298" w:rsidP="00B17EA9">
      <w:pPr>
        <w:pStyle w:val="NormalWeb"/>
        <w:rPr>
          <w:rtl/>
        </w:rPr>
      </w:pPr>
      <w:r>
        <w:rPr>
          <w:rtl/>
        </w:rPr>
        <w:t xml:space="preserve">בְּרֵאשִׁית בָּרָ''א שִׁי''ת, וּמַאי נִיהוּ. </w:t>
      </w:r>
      <w:r>
        <w:rPr>
          <w:rStyle w:val="a7"/>
          <w:rtl/>
        </w:rPr>
        <w:footnoteReference w:id="1545"/>
      </w:r>
      <w:r>
        <w:rPr>
          <w:rtl/>
        </w:rPr>
        <w:t xml:space="preserve">שִׁית הֵיכָלִין לָקֳבֵל שִׁית יוֹמֵי בְּרֵאשִׁית, אלהי''ם אִימָּא עִלָּאָה עֲלַיְיהוּ, דְּאִיהִי הֵיכָלָא שְׁבִיעָאָה, וּכְמָה דְאִימָּא עִלָּאָה אַפִּיקַת שִׁית, </w:t>
      </w:r>
      <w:r>
        <w:rPr>
          <w:rStyle w:val="a7"/>
          <w:rtl/>
        </w:rPr>
        <w:footnoteReference w:id="1546"/>
      </w:r>
      <w:r>
        <w:rPr>
          <w:rtl/>
        </w:rPr>
        <w:t xml:space="preserve">הָכִי אִימָּא תַּתָּאָה אַפִּיקַת שִׁית </w:t>
      </w:r>
      <w:r>
        <w:rPr>
          <w:rStyle w:val="a7"/>
          <w:rtl/>
        </w:rPr>
        <w:footnoteReference w:id="1547"/>
      </w:r>
      <w:r>
        <w:rPr>
          <w:rtl/>
        </w:rPr>
        <w:t xml:space="preserve">וּמַאי נִיהוּ אֶת הַשָּׁמַיִם וְאֶת הָאָרֶץ, וְאִינוּן </w:t>
      </w:r>
      <w:r>
        <w:rPr>
          <w:rStyle w:val="a7"/>
          <w:rtl/>
        </w:rPr>
        <w:footnoteReference w:id="1548"/>
      </w:r>
      <w:r>
        <w:rPr>
          <w:rtl/>
        </w:rPr>
        <w:t xml:space="preserve">שִׁית מָאנִין, דְּאִתְּמַר בְּהוֹן </w:t>
      </w:r>
      <w:r>
        <w:rPr>
          <w:sz w:val="20"/>
          <w:szCs w:val="23"/>
          <w:rtl/>
        </w:rPr>
        <w:t>(שמות כ יא)</w:t>
      </w:r>
      <w:r>
        <w:rPr>
          <w:rtl/>
        </w:rPr>
        <w:t xml:space="preserve"> </w:t>
      </w:r>
      <w:r>
        <w:rPr>
          <w:rStyle w:val="a7"/>
          <w:rtl/>
        </w:rPr>
        <w:footnoteReference w:id="1549"/>
      </w:r>
      <w:r>
        <w:rPr>
          <w:rtl/>
        </w:rPr>
        <w:t>כִּי שֵׁשֶׁת יָמִים עָשָׂה יְיָ' אֶת הַשָּׁמַיִם וְאֶת הָאָרֶץ, וְהֵיכָלִין תַּתָּאִין אִינוּן מָאנִין לְהֵיכָלִין עִלָּאִין.</w:t>
      </w:r>
    </w:p>
    <w:p w:rsidR="00606298" w:rsidRDefault="00606298" w:rsidP="00134F53">
      <w:pPr>
        <w:pStyle w:val="2"/>
        <w:rPr>
          <w:rtl/>
        </w:rPr>
      </w:pPr>
      <w:bookmarkStart w:id="108" w:name="_Toc405982957"/>
      <w:r>
        <w:rPr>
          <w:rtl/>
        </w:rPr>
        <w:t>[תיקוני זוהר - דף כב ע''ב]</w:t>
      </w:r>
      <w:bookmarkEnd w:id="108"/>
    </w:p>
    <w:p w:rsidR="00606298" w:rsidRDefault="00606298" w:rsidP="00B17EA9">
      <w:pPr>
        <w:pStyle w:val="NormalWeb"/>
        <w:rPr>
          <w:rtl/>
        </w:rPr>
      </w:pPr>
      <w:r>
        <w:rPr>
          <w:rtl/>
        </w:rPr>
        <w:t xml:space="preserve">וְכַד יִשְׂרָאֵל הֲווֹ מְצַלָּאן, כָּל הֵיכָלִין אִלֵּין הֲווֹ מִתְפַּתְּחָן לְגַבַּיְיהוּ, </w:t>
      </w:r>
      <w:r>
        <w:rPr>
          <w:sz w:val="20"/>
          <w:szCs w:val="23"/>
          <w:rtl/>
        </w:rPr>
        <w:t xml:space="preserve">(דף כב ע''ב) </w:t>
      </w:r>
      <w:r>
        <w:rPr>
          <w:rtl/>
        </w:rPr>
        <w:t xml:space="preserve">וּכְעַן בְּגָלוּתָא אִתְּמַר בְּהוֹן כָּל הַשְּׁעָרִים נִנְעֲלוּ, </w:t>
      </w:r>
      <w:r>
        <w:rPr>
          <w:rStyle w:val="a7"/>
          <w:rtl/>
        </w:rPr>
        <w:footnoteReference w:id="1550"/>
      </w:r>
      <w:r>
        <w:rPr>
          <w:rtl/>
        </w:rPr>
        <w:t xml:space="preserve">וּשְׁכִינְתָּא לְבָר מֵהֵיכָלָהּ, </w:t>
      </w:r>
      <w:r>
        <w:rPr>
          <w:rStyle w:val="a7"/>
          <w:rtl/>
        </w:rPr>
        <w:footnoteReference w:id="1551"/>
      </w:r>
      <w:r>
        <w:rPr>
          <w:rtl/>
        </w:rPr>
        <w:t xml:space="preserve">וְקוּדְשָׁא בְּרִיךְ הוּא לְבָר מֵהֵיכָלֵיהּ, </w:t>
      </w:r>
      <w:r>
        <w:rPr>
          <w:rStyle w:val="a7"/>
          <w:rtl/>
        </w:rPr>
        <w:footnoteReference w:id="1552"/>
      </w:r>
      <w:r>
        <w:rPr>
          <w:rtl/>
        </w:rPr>
        <w:t xml:space="preserve">וּמַלְאָכַיָּא דִמְמַנָּן עַל צְלוֹתִין לְבָר מֵהֵיכָלֵיהוֹן, הֲדָא הוּא דִכְתִיב </w:t>
      </w:r>
      <w:r>
        <w:rPr>
          <w:sz w:val="20"/>
          <w:szCs w:val="23"/>
          <w:rtl/>
        </w:rPr>
        <w:t>(ישעיה לג ז)</w:t>
      </w:r>
      <w:r>
        <w:rPr>
          <w:rtl/>
        </w:rPr>
        <w:t xml:space="preserve"> הֵן אֶרְאֶלָּם צָעֲקוּ חוּצָה, וְלָא אִית לוֹן לִצְלוֹתִין אֲתַר לְאַעָלָא, וְדָא אִיהוּ כָּל הַשְּׁעָרִים נִנְעֲלוּ, </w:t>
      </w:r>
      <w:r>
        <w:rPr>
          <w:rStyle w:val="a7"/>
          <w:rtl/>
        </w:rPr>
        <w:footnoteReference w:id="1553"/>
      </w:r>
      <w:r>
        <w:rPr>
          <w:rtl/>
        </w:rPr>
        <w:t xml:space="preserve">אֲבָל שַׁעֲרֵי דִמְעָה לֹא נִנְעֲלוּ, וְלֵית מָאן דְּאַפְתַּח לוֹן </w:t>
      </w:r>
      <w:r>
        <w:rPr>
          <w:rStyle w:val="a7"/>
          <w:rtl/>
        </w:rPr>
        <w:footnoteReference w:id="1554"/>
      </w:r>
      <w:r>
        <w:rPr>
          <w:rtl/>
        </w:rPr>
        <w:t xml:space="preserve">לְאִלֵּין שְׁעָרִים, עַד דְּיֵיתֵי </w:t>
      </w:r>
      <w:r>
        <w:rPr>
          <w:rStyle w:val="a7"/>
          <w:rtl/>
        </w:rPr>
        <w:footnoteReference w:id="1555"/>
      </w:r>
      <w:r>
        <w:rPr>
          <w:rtl/>
        </w:rPr>
        <w:t xml:space="preserve">מָארֵי דְּדִמְעָה, </w:t>
      </w:r>
      <w:r>
        <w:rPr>
          <w:rStyle w:val="a7"/>
          <w:rtl/>
        </w:rPr>
        <w:footnoteReference w:id="1556"/>
      </w:r>
      <w:r>
        <w:rPr>
          <w:rtl/>
        </w:rPr>
        <w:t xml:space="preserve">דְאִתְּמַר בֵּיהּ </w:t>
      </w:r>
      <w:r>
        <w:rPr>
          <w:sz w:val="20"/>
          <w:szCs w:val="23"/>
          <w:rtl/>
        </w:rPr>
        <w:t>(שמות ב ו)</w:t>
      </w:r>
      <w:r>
        <w:rPr>
          <w:rtl/>
        </w:rPr>
        <w:t xml:space="preserve"> </w:t>
      </w:r>
      <w:r>
        <w:rPr>
          <w:rStyle w:val="a7"/>
          <w:rtl/>
        </w:rPr>
        <w:footnoteReference w:id="1557"/>
      </w:r>
      <w:r>
        <w:rPr>
          <w:rtl/>
        </w:rPr>
        <w:t xml:space="preserve">וַתִּפְתַּח וַתִּרְאֵהוּ </w:t>
      </w:r>
      <w:r>
        <w:rPr>
          <w:rStyle w:val="a7"/>
          <w:rtl/>
        </w:rPr>
        <w:footnoteReference w:id="1558"/>
      </w:r>
      <w:r>
        <w:rPr>
          <w:rtl/>
        </w:rPr>
        <w:t xml:space="preserve">אֶת הַיֶּלֶד וְהִנֵּה נַעַר בֹּכֶה, וְלֵית הֵיכָלָא מִתְפַּתְּחָא </w:t>
      </w:r>
      <w:r>
        <w:rPr>
          <w:rStyle w:val="a7"/>
          <w:rtl/>
        </w:rPr>
        <w:footnoteReference w:id="1559"/>
      </w:r>
      <w:r>
        <w:rPr>
          <w:rtl/>
        </w:rPr>
        <w:t>אֶלָּא בֵיהּ, וְדָא אִיהוּ וַתִּפְתַּח, וַתִּפְתַּח וַדַּאי הֵיכָלָא לְגַבֵּיהּ, הדא הוא דכתיב ה' שפתי תפתח. בְּמַאי אִתְפַּתַּח לֵיהּ בְּדִמְעָה, הֲדָא הוּא דִכְתִיב וְהִנֵּה נַעַר בֹּכֶה, וּמִיָּד וַתַּחְמֹל עָלָיו.</w:t>
      </w:r>
    </w:p>
    <w:p w:rsidR="00606298" w:rsidRDefault="00606298" w:rsidP="00B17EA9">
      <w:pPr>
        <w:pStyle w:val="NormalWeb"/>
        <w:rPr>
          <w:rtl/>
        </w:rPr>
      </w:pPr>
      <w:r>
        <w:rPr>
          <w:rStyle w:val="a7"/>
          <w:rtl/>
        </w:rPr>
        <w:footnoteReference w:id="1560"/>
      </w:r>
      <w:r>
        <w:rPr>
          <w:rtl/>
        </w:rPr>
        <w:t xml:space="preserve">וְעוֹד וַתִּפְתַּח, כַּד יִשְׂרָאֵל פָּתְחִין בִּתְיוּבְתָּא בְּבִכְיָה, מִיָּד וַתַּחְמֹל עָלָיו, וְדָא אִיהוּ בִּבְכִי יָבֹאוּ </w:t>
      </w:r>
      <w:r>
        <w:rPr>
          <w:sz w:val="20"/>
          <w:szCs w:val="23"/>
          <w:rtl/>
        </w:rPr>
        <w:t>(ירמיה לא ח)</w:t>
      </w:r>
      <w:r>
        <w:rPr>
          <w:rtl/>
        </w:rPr>
        <w:t>, בִּזְכוּת בִּכְיָה דִילֵיהּ יִתְכַּנְשׁוּן מִן גָּלוּתָא.</w:t>
      </w:r>
    </w:p>
    <w:p w:rsidR="00606298" w:rsidRDefault="00606298" w:rsidP="00B17EA9">
      <w:pPr>
        <w:pStyle w:val="NormalWeb"/>
        <w:rPr>
          <w:rtl/>
        </w:rPr>
      </w:pPr>
      <w:r>
        <w:rPr>
          <w:rStyle w:val="a7"/>
          <w:rtl/>
        </w:rPr>
        <w:footnoteReference w:id="1561"/>
      </w:r>
      <w:r>
        <w:rPr>
          <w:rtl/>
        </w:rPr>
        <w:t xml:space="preserve">דְּאִית הֵיכָלָא דְּדִמְעָה, דְלֵית לָהּ רְשׁוּ לְמִפְתַּח אֶלָּא בְדִמְעָה, וְאִית הֵיכָלָא דְנִגּוּנָא, דְלֵית לָהּ רְשׁוּ לְמִפְתַּח אֶלָּא בְנִגּוּנָא, </w:t>
      </w:r>
      <w:r>
        <w:rPr>
          <w:rStyle w:val="a7"/>
          <w:rtl/>
        </w:rPr>
        <w:footnoteReference w:id="1562"/>
      </w:r>
      <w:r>
        <w:rPr>
          <w:rtl/>
        </w:rPr>
        <w:t xml:space="preserve">וּבְגִין דָּא דָּוִד מִתְקָרֵב לְהַהוּא הֵיכָלָא בְנִגּוּנָא, </w:t>
      </w:r>
      <w:r>
        <w:rPr>
          <w:rStyle w:val="a7"/>
          <w:rtl/>
        </w:rPr>
        <w:footnoteReference w:id="1563"/>
      </w:r>
      <w:r>
        <w:rPr>
          <w:rtl/>
        </w:rPr>
        <w:t xml:space="preserve">הֲדָא הוּא דִכְתִיב </w:t>
      </w:r>
      <w:r>
        <w:rPr>
          <w:sz w:val="20"/>
          <w:szCs w:val="23"/>
          <w:rtl/>
        </w:rPr>
        <w:t>(מלכים ב ג טו)</w:t>
      </w:r>
      <w:r>
        <w:rPr>
          <w:rtl/>
        </w:rPr>
        <w:t xml:space="preserve"> וְהָיָה כְּנַגֵּן הַמְנַגֵּן, וְאִית הֵיכָלָא דִנְהוֹרָא, דְלָא מִתְפַּתְּחָא אֶלָּא לְבַר נַשׁ דַּהֲוָה מִתְעַסֵּק בִּנְהוֹרָא דְאוֹרַיְיתָא.</w:t>
      </w:r>
    </w:p>
    <w:p w:rsidR="00606298" w:rsidRDefault="00606298" w:rsidP="00B17EA9">
      <w:pPr>
        <w:pStyle w:val="NormalWeb"/>
        <w:rPr>
          <w:rtl/>
        </w:rPr>
      </w:pPr>
      <w:r>
        <w:rPr>
          <w:rtl/>
        </w:rPr>
        <w:t xml:space="preserve">וְאִית הֵיכָלָא דִנְבוּאָה, דְלָא מִתְפַּתְּחָא אֶלָּא לְבַר נַשׁ </w:t>
      </w:r>
      <w:r>
        <w:rPr>
          <w:rStyle w:val="a7"/>
          <w:rtl/>
        </w:rPr>
        <w:footnoteReference w:id="1564"/>
      </w:r>
      <w:r>
        <w:rPr>
          <w:rtl/>
        </w:rPr>
        <w:t>דַּהֲוָה חָכָם גִּבּוֹר וְעָשִׁיר, וְאִית הֵיכָלָא דְיִרְאָה, דְאִתְקְרֵי הֵיכַל הַיִּרְאָה, דְלָא מִתְפַּתְּחָא אֶלָּא לְמָאן דְּאִית בֵּיהּ דְּחִילוּ.</w:t>
      </w:r>
    </w:p>
    <w:p w:rsidR="00606298" w:rsidRDefault="00606298" w:rsidP="00B17EA9">
      <w:pPr>
        <w:pStyle w:val="NormalWeb"/>
        <w:rPr>
          <w:rtl/>
        </w:rPr>
      </w:pPr>
      <w:r>
        <w:rPr>
          <w:rtl/>
        </w:rPr>
        <w:t xml:space="preserve">וְאִית תַּרְעָא </w:t>
      </w:r>
      <w:r>
        <w:rPr>
          <w:rStyle w:val="a7"/>
          <w:rtl/>
        </w:rPr>
        <w:footnoteReference w:id="1565"/>
      </w:r>
      <w:r>
        <w:rPr>
          <w:rtl/>
        </w:rPr>
        <w:t xml:space="preserve">דְצַדִּיקַיָּא, דְלָא מִתְפַּתְּחָא אֶלָּא לְצַדִּיקַיָּא, הֲדָא הוּא דִכְתִיב </w:t>
      </w:r>
      <w:r>
        <w:rPr>
          <w:sz w:val="20"/>
          <w:szCs w:val="23"/>
          <w:rtl/>
        </w:rPr>
        <w:t>(שם קיח כ)</w:t>
      </w:r>
      <w:r>
        <w:rPr>
          <w:rtl/>
        </w:rPr>
        <w:t xml:space="preserve"> זֶה הַשַּׁעַר לַיְיָ' צַדִּיקִים יָבֹאוּ בוֹ, וְהַאי אִיהוּ תַרְעָא דְצַדִּיק חַ''י עָלְמִין, דְּאִתְּמַר בֵּיהּ </w:t>
      </w:r>
      <w:r>
        <w:rPr>
          <w:sz w:val="20"/>
          <w:szCs w:val="23"/>
          <w:rtl/>
        </w:rPr>
        <w:t>(שם לז כה)</w:t>
      </w:r>
      <w:r>
        <w:rPr>
          <w:rtl/>
        </w:rPr>
        <w:t xml:space="preserve"> </w:t>
      </w:r>
      <w:r>
        <w:rPr>
          <w:rStyle w:val="a7"/>
          <w:rtl/>
        </w:rPr>
        <w:footnoteReference w:id="1566"/>
      </w:r>
      <w:r>
        <w:rPr>
          <w:rtl/>
        </w:rPr>
        <w:t xml:space="preserve">וְלֹא רָאִיתִי צַדִּיק נֶעֱזָב וְזַרְעוֹ מְבַקֶּשׁ לָחֶם, וּכְעַן בְּגָלוּתָא אִתְּמַר בֵּיהּ </w:t>
      </w:r>
      <w:r>
        <w:rPr>
          <w:sz w:val="20"/>
          <w:szCs w:val="23"/>
          <w:rtl/>
        </w:rPr>
        <w:t>(ישעיה נז א)</w:t>
      </w:r>
      <w:r>
        <w:rPr>
          <w:rtl/>
        </w:rPr>
        <w:t xml:space="preserve"> הַצַּדִּיק אָבָד, </w:t>
      </w:r>
      <w:r>
        <w:rPr>
          <w:rStyle w:val="a7"/>
          <w:rtl/>
        </w:rPr>
        <w:footnoteReference w:id="1567"/>
      </w:r>
      <w:r>
        <w:rPr>
          <w:rtl/>
        </w:rPr>
        <w:t xml:space="preserve">מַאי אָבָד, אָבַד לְמַטְרוֹנִיתָא, וְאִתְּמַר בֵּיהּ </w:t>
      </w:r>
      <w:r>
        <w:rPr>
          <w:sz w:val="20"/>
          <w:szCs w:val="23"/>
          <w:rtl/>
        </w:rPr>
        <w:t>(שם יט ה)</w:t>
      </w:r>
      <w:r>
        <w:rPr>
          <w:rtl/>
        </w:rPr>
        <w:t xml:space="preserve"> וְנָהָר יֶחרַב וְיָבֵשׁ, יֶחרַב </w:t>
      </w:r>
      <w:r>
        <w:rPr>
          <w:rStyle w:val="a7"/>
          <w:rtl/>
        </w:rPr>
        <w:footnoteReference w:id="1568"/>
      </w:r>
      <w:r>
        <w:rPr>
          <w:rtl/>
        </w:rPr>
        <w:t xml:space="preserve">בְּבַיִת רִאשׁוֹן, </w:t>
      </w:r>
      <w:r>
        <w:rPr>
          <w:rStyle w:val="a7"/>
          <w:rtl/>
        </w:rPr>
        <w:footnoteReference w:id="1569"/>
      </w:r>
      <w:r>
        <w:rPr>
          <w:rtl/>
        </w:rPr>
        <w:t>וְיָבֵשׁ בְּבַיִת שֵׁנִי.</w:t>
      </w:r>
    </w:p>
    <w:p w:rsidR="00606298" w:rsidRDefault="00606298" w:rsidP="00B17EA9">
      <w:pPr>
        <w:pStyle w:val="NormalWeb"/>
        <w:rPr>
          <w:rtl/>
        </w:rPr>
      </w:pPr>
      <w:r>
        <w:rPr>
          <w:rtl/>
        </w:rPr>
        <w:t xml:space="preserve">וְאִית הֵיכָלָא דַעֲנִיִּים, דְּלָא מִתְפַּתְּחָא אֶלָּא לַעֲנִיִּים דַּהֲווֹ מִתְעַטְּפִים קֳדָם יהו''ה בִּצְלוֹתָא, בְעִטּוּפָא דְמִצְוָה דְצִיצִית וּתְפִלִּין וַעֲלַיְהוּ אִתְּמַר </w:t>
      </w:r>
      <w:r>
        <w:rPr>
          <w:sz w:val="20"/>
          <w:szCs w:val="23"/>
          <w:rtl/>
        </w:rPr>
        <w:t>(תהלים קב א)</w:t>
      </w:r>
      <w:r>
        <w:rPr>
          <w:rtl/>
        </w:rPr>
        <w:t xml:space="preserve"> תְּפִלָּה לְעָנִי כִי יַעֲטֹף. </w:t>
      </w:r>
    </w:p>
    <w:p w:rsidR="00606298" w:rsidRDefault="00606298" w:rsidP="00B17EA9">
      <w:pPr>
        <w:pStyle w:val="NormalWeb"/>
        <w:rPr>
          <w:rtl/>
        </w:rPr>
      </w:pPr>
      <w:r>
        <w:rPr>
          <w:rtl/>
        </w:rPr>
        <w:t xml:space="preserve">וּבְגִין דְּלֵית לֵיהּ מִדִּילֵיהּ, </w:t>
      </w:r>
      <w:r>
        <w:rPr>
          <w:rStyle w:val="a7"/>
          <w:rtl/>
        </w:rPr>
        <w:footnoteReference w:id="1570"/>
      </w:r>
      <w:r>
        <w:rPr>
          <w:rtl/>
        </w:rPr>
        <w:t xml:space="preserve">עֲנִיִּין צָוְוחִין בְּחַ''י בִּרְכָאָן דִּצְלוֹתָא, לְגַבֵּי חַ''י עָלְמִין, וְהָא אִסְתַּלַּק מִתַּמָּן נְבִיעוּ ובִּרְכָאָן, וְלֵית מָאן דִּיְהִיב לוֹן, וְתַרְעָא דְצַדִּיק חֲרֵבָא וִיבֵשָׁה, כְּמָה דְעָנִי חָרֵב וְיָבֵשׁ, וְרָזָא דְמִלָּה </w:t>
      </w:r>
      <w:r>
        <w:rPr>
          <w:sz w:val="20"/>
          <w:szCs w:val="23"/>
          <w:rtl/>
        </w:rPr>
        <w:t>(בראשית א ט)</w:t>
      </w:r>
      <w:r>
        <w:rPr>
          <w:rtl/>
        </w:rPr>
        <w:t xml:space="preserve"> יִקָּווּ הַמַּיִם מִתַּחַת הַשָּׁמַיִם </w:t>
      </w:r>
      <w:r>
        <w:rPr>
          <w:rStyle w:val="a7"/>
          <w:rtl/>
        </w:rPr>
        <w:footnoteReference w:id="1571"/>
      </w:r>
      <w:r>
        <w:rPr>
          <w:rtl/>
        </w:rPr>
        <w:t xml:space="preserve">אֶל מָקוֹם אֶחָד וְתֵרָאֶה הַיַּבָּשָׁה, </w:t>
      </w:r>
      <w:r>
        <w:rPr>
          <w:rStyle w:val="a7"/>
          <w:rtl/>
        </w:rPr>
        <w:footnoteReference w:id="1572"/>
      </w:r>
      <w:r>
        <w:rPr>
          <w:rtl/>
        </w:rPr>
        <w:t xml:space="preserve">וְתַרְעִין אָחֳרָנִין סְתִימִין, וְלֵית תַּרְעָא פְּתִיחָא אֶלָּא תַרְעָא דְּדִמְעָה, וּמַאי אִיהִי </w:t>
      </w:r>
      <w:r>
        <w:rPr>
          <w:rStyle w:val="a7"/>
          <w:rtl/>
        </w:rPr>
        <w:footnoteReference w:id="1573"/>
      </w:r>
      <w:r>
        <w:rPr>
          <w:rtl/>
        </w:rPr>
        <w:t xml:space="preserve">בַּת עַיִן, דְּדִמְעָה מִינָהּ נַפְקָא, וַעֲלָהּ אִתְּמַר </w:t>
      </w:r>
      <w:r>
        <w:rPr>
          <w:sz w:val="20"/>
          <w:szCs w:val="23"/>
          <w:rtl/>
        </w:rPr>
        <w:t>(תהלים יז ח)</w:t>
      </w:r>
      <w:r>
        <w:rPr>
          <w:rtl/>
        </w:rPr>
        <w:t xml:space="preserve"> שָׁמְרֵנִי כְּאִישׁוֹן בַּת עָיִן, </w:t>
      </w:r>
      <w:r>
        <w:rPr>
          <w:rStyle w:val="a7"/>
          <w:rtl/>
        </w:rPr>
        <w:footnoteReference w:id="1574"/>
      </w:r>
      <w:r>
        <w:rPr>
          <w:rtl/>
        </w:rPr>
        <w:t xml:space="preserve">וּבָהּ וְהִנֵּה נַעַר בֹּכֶה </w:t>
      </w:r>
      <w:r>
        <w:rPr>
          <w:sz w:val="20"/>
          <w:szCs w:val="23"/>
          <w:rtl/>
        </w:rPr>
        <w:t>(שמות ב ו)</w:t>
      </w:r>
      <w:r>
        <w:rPr>
          <w:rtl/>
        </w:rPr>
        <w:t xml:space="preserve">, לְגַבֵּי קוּדְשָׁא בְּרִיךְ הוּא, דִירַחַם עֲלֵיהּ בְּגָלוּתָא, הֲדָא הוּא דִכְתִיב </w:t>
      </w:r>
      <w:r>
        <w:rPr>
          <w:sz w:val="20"/>
          <w:szCs w:val="23"/>
          <w:rtl/>
        </w:rPr>
        <w:t>(תהלים קב יד)</w:t>
      </w:r>
      <w:r>
        <w:rPr>
          <w:rtl/>
        </w:rPr>
        <w:t xml:space="preserve"> אַתָּה תָקוּם תְּרַחֵם צִיּוֹן, בְּגִין דְּאִיהִי </w:t>
      </w:r>
      <w:r>
        <w:rPr>
          <w:rStyle w:val="a7"/>
          <w:rtl/>
        </w:rPr>
        <w:footnoteReference w:id="1575"/>
      </w:r>
      <w:r>
        <w:rPr>
          <w:rtl/>
        </w:rPr>
        <w:t xml:space="preserve">לַבַּת אֵשׁ </w:t>
      </w:r>
      <w:r>
        <w:rPr>
          <w:rStyle w:val="a7"/>
          <w:rtl/>
        </w:rPr>
        <w:footnoteReference w:id="1576"/>
      </w:r>
      <w:r>
        <w:rPr>
          <w:rtl/>
        </w:rPr>
        <w:t xml:space="preserve">דְּאִתְחַזְיָיא לְמֹשֶׁה בַּסְּנֶה, דִכְתִיב </w:t>
      </w:r>
      <w:r>
        <w:rPr>
          <w:sz w:val="20"/>
          <w:szCs w:val="23"/>
          <w:rtl/>
        </w:rPr>
        <w:t>(שמות ג ב)</w:t>
      </w:r>
      <w:r>
        <w:rPr>
          <w:rtl/>
        </w:rPr>
        <w:t xml:space="preserve"> וַיֵּרָא מַלְאַךְ יְיָ' אֵלָיו בְּלַבַּת אֵשׁ מִתּוֹךְ הַסְּנֶה, אִיהִי בַ''ת מִן בְּרֵאשִׁי''ת, וְדָא בְּרֵאשִׁית.</w:t>
      </w:r>
    </w:p>
    <w:p w:rsidR="00606298" w:rsidRDefault="00606298">
      <w:pPr>
        <w:pStyle w:val="a8"/>
        <w:spacing w:before="0" w:after="40"/>
        <w:rPr>
          <w:rtl/>
        </w:rPr>
      </w:pPr>
    </w:p>
    <w:p w:rsidR="00606298" w:rsidRDefault="00606298" w:rsidP="0007465E">
      <w:pPr>
        <w:pStyle w:val="1"/>
        <w:rPr>
          <w:rtl/>
        </w:rPr>
      </w:pPr>
      <w:bookmarkStart w:id="109" w:name="_Toc405982958"/>
      <w:r>
        <w:rPr>
          <w:rtl/>
        </w:rPr>
        <w:t>תקונא תריסר</w:t>
      </w:r>
      <w:bookmarkEnd w:id="109"/>
    </w:p>
    <w:p w:rsidR="00606298" w:rsidRDefault="00606298" w:rsidP="00134F53">
      <w:pPr>
        <w:pStyle w:val="2"/>
        <w:rPr>
          <w:rtl/>
        </w:rPr>
      </w:pPr>
      <w:bookmarkStart w:id="110" w:name="_Toc405982959"/>
      <w:r>
        <w:rPr>
          <w:rtl/>
        </w:rPr>
        <w:t>[תיקוני זוהר - דף כג ע''א]</w:t>
      </w:r>
      <w:bookmarkEnd w:id="110"/>
    </w:p>
    <w:p w:rsidR="00606298" w:rsidRDefault="00606298" w:rsidP="00B17EA9">
      <w:pPr>
        <w:pStyle w:val="NormalWeb"/>
        <w:rPr>
          <w:rtl/>
        </w:rPr>
      </w:pPr>
      <w:r>
        <w:rPr>
          <w:rtl/>
        </w:rPr>
        <w:t xml:space="preserve">בְּרֵאשִׁי''ת </w:t>
      </w:r>
      <w:r>
        <w:rPr>
          <w:rStyle w:val="a7"/>
          <w:rtl/>
        </w:rPr>
        <w:footnoteReference w:id="1577"/>
      </w:r>
      <w:r>
        <w:rPr>
          <w:rtl/>
        </w:rPr>
        <w:t xml:space="preserve">מַאֲמָר קַדְמָאָה דְכֹלָּא, כְּלִילָא מֵעֲשַׂר אֲמִירָן, וְאִיהִי ל''ב אלהי''ם דְּעוֹבָדָא דִבְּרֵאשִׁית, </w:t>
      </w:r>
      <w:r>
        <w:rPr>
          <w:rStyle w:val="a7"/>
          <w:rtl/>
        </w:rPr>
        <w:footnoteReference w:id="1578"/>
      </w:r>
      <w:r>
        <w:rPr>
          <w:rtl/>
        </w:rPr>
        <w:t xml:space="preserve">וּמִסִּטְרָא דִשְׂמָאלָא </w:t>
      </w:r>
      <w:r>
        <w:rPr>
          <w:rStyle w:val="a7"/>
          <w:rtl/>
        </w:rPr>
        <w:footnoteReference w:id="1579"/>
      </w:r>
      <w:r>
        <w:rPr>
          <w:rtl/>
        </w:rPr>
        <w:t xml:space="preserve">אִתְיְיהִיבַת, דְּאִיהִי גְבוּרָה אֶשָּׁא </w:t>
      </w:r>
      <w:r>
        <w:rPr>
          <w:rStyle w:val="a7"/>
          <w:rtl/>
        </w:rPr>
        <w:footnoteReference w:id="1580"/>
      </w:r>
      <w:r>
        <w:rPr>
          <w:rtl/>
        </w:rPr>
        <w:t xml:space="preserve">סוּמְקָא, וּבְגִין דָּא בְּלַבַּת אֵשׁ </w:t>
      </w:r>
      <w:r>
        <w:rPr>
          <w:sz w:val="20"/>
          <w:szCs w:val="23"/>
          <w:rtl/>
        </w:rPr>
        <w:t>(שמות ג ב)</w:t>
      </w:r>
      <w:r>
        <w:rPr>
          <w:rtl/>
        </w:rPr>
        <w:t xml:space="preserve">, וּמֹשֶׁה הֲוָה מִסִּטְרָא דְלֵיוָאֵי מִסִּטְרָא דִילֵיהּ מַמָּשׁ, וְאַמַּאי אִתְגַּלְיָא לֵיהּ בַּסְּנֶה, לְאַחֲזָאָה דַהֲוַת בְּדוֹחֲקָא בֵין הַקּוֹצִים, וְעִם כָּל דָּא וְהַסְּנֶה אֵינֶנּוּ אֻכָּל, </w:t>
      </w:r>
      <w:r>
        <w:rPr>
          <w:rStyle w:val="a7"/>
          <w:rtl/>
        </w:rPr>
        <w:footnoteReference w:id="1581"/>
      </w:r>
      <w:r>
        <w:rPr>
          <w:rtl/>
        </w:rPr>
        <w:t xml:space="preserve">בְּגִין שׁוֹשַׁנִּים דְּאִינוּן בּינָהָא, דְאִינוּן יִשְׂרָאֵל, דַּהֲווֹ עֲתִידִין לְמֶהֱוִי בְגָלוּתָא </w:t>
      </w:r>
      <w:r>
        <w:rPr>
          <w:sz w:val="20"/>
          <w:szCs w:val="23"/>
          <w:rtl/>
        </w:rPr>
        <w:t xml:space="preserve">(דף כג ע''א) </w:t>
      </w:r>
      <w:r>
        <w:rPr>
          <w:rtl/>
        </w:rPr>
        <w:t xml:space="preserve">בֵּין עִרֶב רַב דְּאִינוּן קוֹצִים, </w:t>
      </w:r>
      <w:r>
        <w:rPr>
          <w:rStyle w:val="a7"/>
          <w:sz w:val="20"/>
          <w:szCs w:val="23"/>
          <w:rtl/>
        </w:rPr>
        <w:footnoteReference w:id="1582"/>
      </w:r>
      <w:r>
        <w:rPr>
          <w:rtl/>
        </w:rPr>
        <w:t xml:space="preserve">וְדָא אִיהוּ רָזָא </w:t>
      </w:r>
      <w:r>
        <w:rPr>
          <w:sz w:val="20"/>
          <w:szCs w:val="23"/>
          <w:rtl/>
        </w:rPr>
        <w:t>(ירמיהו מו כח)</w:t>
      </w:r>
      <w:r>
        <w:rPr>
          <w:rtl/>
        </w:rPr>
        <w:t xml:space="preserve"> כִּי אֶעֱשֶׂה כָלָה בְּכָל הַגּוֹיִם אֲשֶׁר הִדַּחְתִּיךָ שָׁמָּה, וְאוֹתְךָ לֹא אֶעֱשֶׂה כָלָה.</w:t>
      </w:r>
    </w:p>
    <w:p w:rsidR="00606298" w:rsidRDefault="00606298" w:rsidP="00B17EA9">
      <w:pPr>
        <w:pStyle w:val="NormalWeb"/>
        <w:rPr>
          <w:rtl/>
        </w:rPr>
      </w:pPr>
      <w:r>
        <w:rPr>
          <w:rStyle w:val="a7"/>
          <w:rtl/>
        </w:rPr>
        <w:footnoteReference w:id="1583"/>
      </w:r>
      <w:r>
        <w:rPr>
          <w:rtl/>
        </w:rPr>
        <w:t xml:space="preserve">אַחֲזֵי לֵיהּ אַגְרָא דְכַלָּה, דְאִיהִי לַבַּת אֵשׁ בֵּין הַקּוֹצִים דְּאִינוּן חַיָּיבַיָּא, </w:t>
      </w:r>
      <w:r>
        <w:rPr>
          <w:rStyle w:val="a7"/>
          <w:rtl/>
        </w:rPr>
        <w:footnoteReference w:id="1584"/>
      </w:r>
      <w:r>
        <w:rPr>
          <w:rtl/>
        </w:rPr>
        <w:t xml:space="preserve">כַּד דָּחֲקִין לִשְׁכִינְתָּא וְיִשְׂרָאֵל, אַגְרָא דִלְהוֹן כַּלָּה, נַפְקָא שְׁכִינְתָּא כַלָּה מִבֵּינַיְיהוּ, וְיֵיתֵי חָתָן בְּגִינָהּ, וְדָא אִיהוּ אַגְרָא דְכַלָּה דוֹחֲקָא, וְיִפְרוֹק לוֹן מִן גָּלוּתָא בְּגִינָהּ, </w:t>
      </w:r>
      <w:r>
        <w:rPr>
          <w:rStyle w:val="a7"/>
          <w:rtl/>
        </w:rPr>
        <w:footnoteReference w:id="1585"/>
      </w:r>
      <w:r>
        <w:rPr>
          <w:rtl/>
        </w:rPr>
        <w:t>וְדוֹחֲקָא דְגָלוּתָא דְעִרֶב רַב לְיִשְׂרָאֵל מְמַהֵר לוֹן פּוּרְקָנָא, וְרִפְיוֹן דִּילְהוֹן מְעַכֵּב לוֹן לְיִשְׂרָאֵל פּוּרְקָנָא, בְּגִין דָּא אִתְחַזֵּי לֵיהּ לְמֹשֶׁה בְּלַבַּת אֵשׁ מִתּוֹךְ הַסְּנֶה, מִגּוֹ כוּבִין.</w:t>
      </w:r>
    </w:p>
    <w:p w:rsidR="00606298" w:rsidRDefault="00606298" w:rsidP="00B17EA9">
      <w:pPr>
        <w:pStyle w:val="NormalWeb"/>
        <w:rPr>
          <w:rtl/>
        </w:rPr>
      </w:pPr>
      <w:r>
        <w:rPr>
          <w:rtl/>
        </w:rPr>
        <w:t xml:space="preserve">כַּד אִתְקַרִיב תַּמָּן לְמֶחזֵי עוֹבָדָא דָא, אָמַר לֵיהּ הַקָּדוֹשׁ בָּרוּךְ הוּא, אַל תִּקְרַב הֲלוֹם, שַׁל נְעָלֶיךָ </w:t>
      </w:r>
      <w:r>
        <w:rPr>
          <w:sz w:val="20"/>
          <w:szCs w:val="23"/>
          <w:rtl/>
        </w:rPr>
        <w:t>(שמות ג ה)</w:t>
      </w:r>
      <w:r>
        <w:rPr>
          <w:rtl/>
        </w:rPr>
        <w:t xml:space="preserve">, הָכָא רֶמֶז דְּאִתְפַּשַּׁט מִן גּוּפָא דִילֵיהּ, דְּאִיהוּ נַעַל, לְגַבֵּי גוּפָא אָחֳרָא דְאִתְלַבַּשׁ כַּד אִתְקַרִיב, וְאִית מָאן דְּיֵימָא דְאִיהוּ אִתְּתֵיהּ, </w:t>
      </w:r>
      <w:r>
        <w:rPr>
          <w:rStyle w:val="a7"/>
          <w:rtl/>
        </w:rPr>
        <w:footnoteReference w:id="1586"/>
      </w:r>
      <w:r>
        <w:rPr>
          <w:rtl/>
        </w:rPr>
        <w:t>וְכֹלָּא קְשׁוֹט דָּא וְדָא.</w:t>
      </w:r>
    </w:p>
    <w:p w:rsidR="00606298" w:rsidRDefault="00606298" w:rsidP="00B17EA9">
      <w:pPr>
        <w:pStyle w:val="NormalWeb"/>
        <w:rPr>
          <w:rtl/>
        </w:rPr>
      </w:pPr>
      <w:r>
        <w:rPr>
          <w:rtl/>
        </w:rPr>
        <w:t xml:space="preserve">וְכֵן אַחֲזֵי לֵיהּ דְּבֵי מַקְדְּשָׁא דְאִיהִי בִנְיָנָא דְבַר נַשׁ דְּעָתִיד לְאִתְחָרְבָא, וְיִתְבְּנֵי זִמְנָא אָחֳרָא עַל יְדָא דְקוּדְשָׁא בְּרִיךְ הוּא, </w:t>
      </w:r>
      <w:r>
        <w:rPr>
          <w:rStyle w:val="a7"/>
          <w:rtl/>
        </w:rPr>
        <w:footnoteReference w:id="1587"/>
      </w:r>
      <w:r>
        <w:rPr>
          <w:rtl/>
        </w:rPr>
        <w:t xml:space="preserve">הֲדָא הוּא דִכְתִיב גָּדוֹל יִהְיֶה כְּבוֹד הַבַּיִת הַזֶּה הָאַחֲרוֹן מִן הָרִאשׁוֹן </w:t>
      </w:r>
      <w:r>
        <w:rPr>
          <w:sz w:val="20"/>
          <w:szCs w:val="23"/>
          <w:rtl/>
        </w:rPr>
        <w:t>(חגי ב ט)</w:t>
      </w:r>
      <w:r>
        <w:rPr>
          <w:szCs w:val="23"/>
          <w:rtl/>
        </w:rPr>
        <w:t xml:space="preserve">, </w:t>
      </w:r>
      <w:r>
        <w:rPr>
          <w:rStyle w:val="a7"/>
          <w:szCs w:val="23"/>
          <w:rtl/>
        </w:rPr>
        <w:footnoteReference w:id="1588"/>
      </w:r>
      <w:r>
        <w:rPr>
          <w:rStyle w:val="Char"/>
          <w:rtl/>
        </w:rPr>
        <w:t>בְּגִין דְּאִתְּמַר בּוֹ</w:t>
      </w:r>
      <w:r>
        <w:rPr>
          <w:szCs w:val="23"/>
          <w:rtl/>
        </w:rPr>
        <w:t xml:space="preserve"> </w:t>
      </w:r>
      <w:r>
        <w:rPr>
          <w:sz w:val="20"/>
          <w:szCs w:val="23"/>
          <w:rtl/>
        </w:rPr>
        <w:t>(זכריה ב ט)</w:t>
      </w:r>
      <w:r>
        <w:rPr>
          <w:rtl/>
        </w:rPr>
        <w:t xml:space="preserve"> וַאֲנִי אֶהְיֶה לָּהּ נְאֻם יְיָ' חוֹמַת אֵשׁ סָבִיב, </w:t>
      </w:r>
      <w:r>
        <w:rPr>
          <w:rStyle w:val="a7"/>
          <w:rtl/>
        </w:rPr>
        <w:footnoteReference w:id="1589"/>
      </w:r>
      <w:r>
        <w:rPr>
          <w:rtl/>
        </w:rPr>
        <w:t>אִתְּמַר בְּבֵי מַקְדְּשָׁא בּוֹנֵה יְרוּשָׁלַם יְיָ'.</w:t>
      </w:r>
    </w:p>
    <w:p w:rsidR="00606298" w:rsidRDefault="00606298" w:rsidP="00B17EA9">
      <w:pPr>
        <w:pStyle w:val="NormalWeb"/>
        <w:rPr>
          <w:rtl/>
        </w:rPr>
      </w:pPr>
      <w:r>
        <w:rPr>
          <w:rtl/>
        </w:rPr>
        <w:t xml:space="preserve">וְאִתְּמַר הָתָם לְגַבֵּי אָדָם </w:t>
      </w:r>
      <w:r>
        <w:rPr>
          <w:sz w:val="20"/>
          <w:szCs w:val="23"/>
          <w:rtl/>
        </w:rPr>
        <w:t>(בראשית ב כב)</w:t>
      </w:r>
      <w:r>
        <w:rPr>
          <w:rtl/>
        </w:rPr>
        <w:t xml:space="preserve"> וַיִּבֶן יְיָ' אלהי''ם אֶת הַצֵּלָע אֲשֶׁר לָקַח מִן הָאָדָם, דָּא חָכְמָה, וַיְבִיאֶהָ אֶל הָאָדָם, דָּא עַמּוּדָא דְאֶמְצָעִיתָא, דַרְגָּא דְמֹשֶׁה, וְהַאי צֵלָע אִיהוּ וַדַּאי כַּלַּת מֹשֶׁה, וַעֲלָהּ אִתְּמַר וַיֵּרָא אֵלָיו מַלְאַךְ יְיָ' בְּלַבַּת אֵשׁ, </w:t>
      </w:r>
      <w:r>
        <w:rPr>
          <w:rStyle w:val="a7"/>
          <w:rtl/>
        </w:rPr>
        <w:footnoteReference w:id="1590"/>
      </w:r>
      <w:r>
        <w:rPr>
          <w:rtl/>
        </w:rPr>
        <w:t xml:space="preserve">דְּאִיהִי בַת יְחִידָה, </w:t>
      </w:r>
      <w:r>
        <w:rPr>
          <w:rStyle w:val="a7"/>
          <w:rtl/>
        </w:rPr>
        <w:footnoteReference w:id="1591"/>
      </w:r>
      <w:r>
        <w:rPr>
          <w:rtl/>
        </w:rPr>
        <w:t>דְמִנָּהּ נָפִיק נְהוֹרָא דְאוֹרַיְיתָא.</w:t>
      </w:r>
    </w:p>
    <w:p w:rsidR="00606298" w:rsidRDefault="00606298" w:rsidP="00B17EA9">
      <w:pPr>
        <w:pStyle w:val="NormalWeb"/>
        <w:rPr>
          <w:rtl/>
        </w:rPr>
      </w:pPr>
      <w:r>
        <w:rPr>
          <w:rStyle w:val="a7"/>
          <w:rtl/>
        </w:rPr>
        <w:footnoteReference w:id="1592"/>
      </w:r>
      <w:r>
        <w:rPr>
          <w:rtl/>
        </w:rPr>
        <w:t xml:space="preserve">כְּגַוְונָא דָא אִתְּמַר </w:t>
      </w:r>
      <w:r>
        <w:rPr>
          <w:sz w:val="20"/>
          <w:szCs w:val="23"/>
          <w:rtl/>
        </w:rPr>
        <w:t>(שמות ב ו)</w:t>
      </w:r>
      <w:r>
        <w:rPr>
          <w:rtl/>
        </w:rPr>
        <w:t xml:space="preserve">, וַתִּפְתַּח וַתִּרְאֵהוּ אֶת הַיֶּלֶד, וַתִּרְאֵהוּ דָא שְׁכִינְתָּא, דַהֲוָה בָכֵי בְגִינָהּ, מִיָּד וַתַּחְמוֹל עָלָיו, וְדָא הוּא בִּבְכִי יָבֹאוּ וּבְתַחֲנוּנִים אוֹבִילֵם </w:t>
      </w:r>
      <w:r>
        <w:rPr>
          <w:sz w:val="20"/>
          <w:szCs w:val="23"/>
          <w:rtl/>
        </w:rPr>
        <w:t>(ירמיהו לא ח)</w:t>
      </w:r>
      <w:r>
        <w:rPr>
          <w:rtl/>
        </w:rPr>
        <w:t xml:space="preserve">, בְּתַחֲנוּנִים וַדַּאי, לְקַיְימָא וּבְרַחֲמִים גְּדוֹלִים אֲקַבְּצֵךְ </w:t>
      </w:r>
      <w:r>
        <w:rPr>
          <w:sz w:val="20"/>
          <w:szCs w:val="23"/>
          <w:rtl/>
        </w:rPr>
        <w:t>(ישעיהו נד ז)</w:t>
      </w:r>
      <w:r>
        <w:rPr>
          <w:rtl/>
        </w:rPr>
        <w:t>.</w:t>
      </w:r>
    </w:p>
    <w:p w:rsidR="00606298" w:rsidRDefault="00606298" w:rsidP="00B17EA9">
      <w:pPr>
        <w:pStyle w:val="NormalWeb"/>
        <w:rPr>
          <w:rtl/>
        </w:rPr>
      </w:pPr>
      <w:r>
        <w:rPr>
          <w:rStyle w:val="a7"/>
          <w:rtl/>
        </w:rPr>
        <w:footnoteReference w:id="1593"/>
      </w:r>
      <w:r>
        <w:rPr>
          <w:rtl/>
        </w:rPr>
        <w:t xml:space="preserve">בְּהַאי זִמְנָא כָּל חֵיוָן יִתְעָרוּן בְּקָלָא, </w:t>
      </w:r>
      <w:r>
        <w:rPr>
          <w:rStyle w:val="a7"/>
          <w:rtl/>
        </w:rPr>
        <w:footnoteReference w:id="1594"/>
      </w:r>
      <w:r>
        <w:rPr>
          <w:rtl/>
        </w:rPr>
        <w:t xml:space="preserve">וְעוֹפִין מְצַפְצְפִין בְּשִׁיר, לְקַבְּלָא בְּרַתָּא בְּחֶדְוָה בְנִגּוּנָא, לְקַבְּלָא קִדּוּשִׁין מֵהֶחָתָן, </w:t>
      </w:r>
      <w:r>
        <w:rPr>
          <w:rStyle w:val="a7"/>
          <w:rtl/>
        </w:rPr>
        <w:footnoteReference w:id="1595"/>
      </w:r>
      <w:r>
        <w:rPr>
          <w:rtl/>
        </w:rPr>
        <w:t xml:space="preserve">דְּאִינוּן קָדוֹשׁ קָדוֹשׁ קָדוֹשׁ וכו' </w:t>
      </w:r>
      <w:r>
        <w:rPr>
          <w:sz w:val="20"/>
          <w:szCs w:val="23"/>
          <w:rtl/>
        </w:rPr>
        <w:t>(שם ו ג)</w:t>
      </w:r>
      <w:r>
        <w:rPr>
          <w:rtl/>
        </w:rPr>
        <w:t xml:space="preserve">, </w:t>
      </w:r>
      <w:r>
        <w:rPr>
          <w:rStyle w:val="a7"/>
          <w:rtl/>
        </w:rPr>
        <w:footnoteReference w:id="1596"/>
      </w:r>
      <w:r>
        <w:rPr>
          <w:rtl/>
        </w:rPr>
        <w:t xml:space="preserve">וְלֵית קְדוּשָׁה פָּחוּת מֵעֲשָׂרָה, וְקִדּוּשִׁין אִינוּן מִסִּטְרָא דְחָכְמָה דְאִיהוּ י', קֹדֶשׁ יִשְׂרָאֵל לַיְיָ' רֵאשִׁית תְּבוּאָתֹה </w:t>
      </w:r>
      <w:r>
        <w:rPr>
          <w:sz w:val="20"/>
          <w:szCs w:val="23"/>
          <w:rtl/>
        </w:rPr>
        <w:t>(ירמיהו ב ג)</w:t>
      </w:r>
      <w:r>
        <w:rPr>
          <w:rtl/>
        </w:rPr>
        <w:t xml:space="preserve">, </w:t>
      </w:r>
      <w:r>
        <w:rPr>
          <w:rStyle w:val="a7"/>
          <w:rtl/>
        </w:rPr>
        <w:footnoteReference w:id="1597"/>
      </w:r>
      <w:r>
        <w:rPr>
          <w:rtl/>
        </w:rPr>
        <w:t xml:space="preserve">רֵאשִׁית וַדַּאי, וּמִתְבָּרְכִין בְּשֶׁבַע בִּרְכָאָן מִסִּטְרָא דְאִימָּא עִלָּאָה דְאִיהִי בְּרָכָה, וַעֲלָהּ אִתְּמַר </w:t>
      </w:r>
      <w:r>
        <w:rPr>
          <w:sz w:val="20"/>
          <w:szCs w:val="23"/>
          <w:rtl/>
        </w:rPr>
        <w:t>(יחזקאל מד ל)</w:t>
      </w:r>
      <w:r>
        <w:rPr>
          <w:rtl/>
        </w:rPr>
        <w:t xml:space="preserve"> לְהָנִיחַ בְּרָכָה אֶל בֵּיתֶךָ, </w:t>
      </w:r>
      <w:r>
        <w:rPr>
          <w:rStyle w:val="a7"/>
          <w:rtl/>
        </w:rPr>
        <w:footnoteReference w:id="1598"/>
      </w:r>
      <w:r>
        <w:rPr>
          <w:rtl/>
        </w:rPr>
        <w:t xml:space="preserve">וְשֶׁבַע בִּרְכָאָן אִינוּן, </w:t>
      </w:r>
      <w:r>
        <w:rPr>
          <w:rStyle w:val="a7"/>
          <w:rtl/>
        </w:rPr>
        <w:footnoteReference w:id="1599"/>
      </w:r>
      <w:r>
        <w:rPr>
          <w:rtl/>
        </w:rPr>
        <w:t xml:space="preserve">בְּשַׁחֲרִית שְׁתַּיִם לְפָנֶיהָ וְאַחַת לְאַחֲרֶיהָ, וּבְעַרְבִית שְׁתַּיִם לְפָנֶיהָ שְׁתַּיִם לְאַחֲרֶיהָ, וְאִינוּן שֶׁבַע סְפִירָן דִּכְלִילָן בְּחָתָן וְכַלָּה, </w:t>
      </w:r>
      <w:r>
        <w:rPr>
          <w:rStyle w:val="a7"/>
          <w:rtl/>
        </w:rPr>
        <w:footnoteReference w:id="1600"/>
      </w:r>
      <w:r>
        <w:rPr>
          <w:rtl/>
        </w:rPr>
        <w:t xml:space="preserve">וְדָא אִיהוּ שְׁמַע יִשְׂרָאֵל וְגוֹמֵר, הָא הָכָא קְדוּשָׁה וּבְרָכָה וְיִחוּד, בְּהַהוּא זִמְנָא אִתְעַר דָּוִד בְּכִנּוֹר דְּאִיהוּ </w:t>
      </w:r>
      <w:r>
        <w:rPr>
          <w:rStyle w:val="a7"/>
          <w:rtl/>
        </w:rPr>
        <w:footnoteReference w:id="1601"/>
      </w:r>
      <w:r>
        <w:rPr>
          <w:rtl/>
        </w:rPr>
        <w:t>מְנַגֵּן מֵאֵלָיו, בַּעֲשָׂרָה מִינֵי נִיגוּנִין: קַדְמָאָה בְּאַשְׁרֵי וְדָא בְּרֵאשִׁית:</w:t>
      </w:r>
    </w:p>
    <w:p w:rsidR="00606298" w:rsidRDefault="00606298" w:rsidP="0007465E">
      <w:pPr>
        <w:pStyle w:val="1"/>
        <w:rPr>
          <w:rtl/>
        </w:rPr>
      </w:pPr>
      <w:bookmarkStart w:id="111" w:name="_Toc405982960"/>
      <w:r>
        <w:rPr>
          <w:rtl/>
        </w:rPr>
        <w:t>תקונא תליסר</w:t>
      </w:r>
      <w:bookmarkEnd w:id="111"/>
    </w:p>
    <w:p w:rsidR="00606298" w:rsidRDefault="00606298" w:rsidP="00B17EA9">
      <w:pPr>
        <w:pStyle w:val="NormalWeb"/>
        <w:rPr>
          <w:rtl/>
        </w:rPr>
      </w:pPr>
      <w:r>
        <w:rPr>
          <w:rtl/>
        </w:rPr>
        <w:t xml:space="preserve">בְּרֵאשִׁית </w:t>
      </w:r>
      <w:r>
        <w:rPr>
          <w:rStyle w:val="a7"/>
          <w:rtl/>
        </w:rPr>
        <w:footnoteReference w:id="1602"/>
      </w:r>
      <w:r>
        <w:rPr>
          <w:rtl/>
        </w:rPr>
        <w:t xml:space="preserve">תַּמָּן אַשְׁרֵ''י, </w:t>
      </w:r>
      <w:r>
        <w:rPr>
          <w:rStyle w:val="a7"/>
          <w:rtl/>
        </w:rPr>
        <w:footnoteReference w:id="1603"/>
      </w:r>
      <w:r>
        <w:rPr>
          <w:rtl/>
        </w:rPr>
        <w:t xml:space="preserve">וְדָא אִיהוּ אַשְׁרֵי הָאִישׁ, </w:t>
      </w:r>
      <w:r>
        <w:rPr>
          <w:rStyle w:val="a7"/>
          <w:rtl/>
        </w:rPr>
        <w:footnoteReference w:id="1604"/>
      </w:r>
      <w:r>
        <w:rPr>
          <w:rtl/>
        </w:rPr>
        <w:t xml:space="preserve">וְאִיהוּ אהי''ה אֲשֶׁר אהי''ה, </w:t>
      </w:r>
      <w:r>
        <w:rPr>
          <w:rStyle w:val="a7"/>
          <w:rtl/>
        </w:rPr>
        <w:footnoteReference w:id="1605"/>
      </w:r>
      <w:r>
        <w:rPr>
          <w:rtl/>
        </w:rPr>
        <w:t xml:space="preserve">רֵישָׁא לְכָל </w:t>
      </w:r>
      <w:r>
        <w:rPr>
          <w:rStyle w:val="Char"/>
          <w:rtl/>
        </w:rPr>
        <w:t>רֵישִׁין, וַעֲלָהּ אִתְּמַר</w:t>
      </w:r>
      <w:r>
        <w:rPr>
          <w:szCs w:val="23"/>
          <w:rtl/>
        </w:rPr>
        <w:t xml:space="preserve"> </w:t>
      </w:r>
      <w:r>
        <w:rPr>
          <w:sz w:val="20"/>
          <w:szCs w:val="23"/>
          <w:rtl/>
        </w:rPr>
        <w:t>(שיר ז ו)</w:t>
      </w:r>
      <w:r>
        <w:rPr>
          <w:rtl/>
        </w:rPr>
        <w:t xml:space="preserve"> </w:t>
      </w:r>
      <w:r>
        <w:rPr>
          <w:rStyle w:val="a7"/>
          <w:rtl/>
        </w:rPr>
        <w:footnoteReference w:id="1606"/>
      </w:r>
      <w:r>
        <w:rPr>
          <w:rtl/>
        </w:rPr>
        <w:t xml:space="preserve">רֹאשֵׁךְ עָלַיִךְ כַּכַּרְמֶל וְדָא תְּפִלִּין דְּרֵישָׁא, וְדַלַּת רֹאשֵׁךְ כָּאַרְגָּמָן דָּא תְּפִלִּין דְּיָד, וּבֵיהּ מְשַׁבְּחִין לְבַת בְּהַאי אַשְׁרֵי, הֲדָא הוּא דִכְתִיב </w:t>
      </w:r>
      <w:r>
        <w:rPr>
          <w:sz w:val="20"/>
          <w:szCs w:val="23"/>
          <w:rtl/>
        </w:rPr>
        <w:t>(בראשית ל יג)</w:t>
      </w:r>
      <w:r>
        <w:rPr>
          <w:rtl/>
        </w:rPr>
        <w:t xml:space="preserve"> בְּאָשְׁרִי כִּי אִשְּׁרוּנִי בָּנוֹת.</w:t>
      </w:r>
    </w:p>
    <w:p w:rsidR="00606298" w:rsidRDefault="00606298" w:rsidP="00134F53">
      <w:pPr>
        <w:pStyle w:val="2"/>
        <w:rPr>
          <w:rtl/>
        </w:rPr>
      </w:pPr>
      <w:bookmarkStart w:id="112" w:name="_Toc405982961"/>
      <w:r>
        <w:rPr>
          <w:rtl/>
        </w:rPr>
        <w:t>[תיקוני זוהר - דף כג ע''ב]</w:t>
      </w:r>
      <w:bookmarkEnd w:id="112"/>
    </w:p>
    <w:p w:rsidR="00606298" w:rsidRDefault="00606298" w:rsidP="00B17EA9">
      <w:pPr>
        <w:pStyle w:val="NormalWeb"/>
        <w:rPr>
          <w:rtl/>
        </w:rPr>
      </w:pPr>
      <w:r>
        <w:rPr>
          <w:rStyle w:val="a7"/>
          <w:rtl/>
        </w:rPr>
        <w:footnoteReference w:id="1607"/>
      </w:r>
      <w:r>
        <w:rPr>
          <w:rtl/>
        </w:rPr>
        <w:t xml:space="preserve">מָאן זָכֵי לְאַעָלָא תַמָּן, אֲשֶׁר לֹא הָלַךְ בַּעֲצַת רְשָׁעִים </w:t>
      </w:r>
      <w:r>
        <w:rPr>
          <w:sz w:val="20"/>
          <w:szCs w:val="23"/>
          <w:rtl/>
        </w:rPr>
        <w:t>(תהלים א)</w:t>
      </w:r>
      <w:r>
        <w:rPr>
          <w:rtl/>
        </w:rPr>
        <w:t xml:space="preserve">, </w:t>
      </w:r>
      <w:r>
        <w:rPr>
          <w:rStyle w:val="a7"/>
          <w:rtl/>
        </w:rPr>
        <w:footnoteReference w:id="1608"/>
      </w:r>
      <w:r>
        <w:rPr>
          <w:rtl/>
        </w:rPr>
        <w:t xml:space="preserve">דְּאִיהִי עִצָה בִּישָׁא מִסִּטְרָא דְעִץ הַדַּעַת טוֹב וָרָע, וּבְדֶרֶךְ חַטָּאִים </w:t>
      </w:r>
      <w:r>
        <w:rPr>
          <w:sz w:val="20"/>
          <w:szCs w:val="23"/>
          <w:rtl/>
        </w:rPr>
        <w:t xml:space="preserve">(דף כג ע''ב) </w:t>
      </w:r>
      <w:r>
        <w:rPr>
          <w:rtl/>
        </w:rPr>
        <w:t xml:space="preserve">לֹא עָמָד, מָאן דֶּרֶךְ חַטָּאִים הַהִיא דְאִתְּמַר בָּהּ </w:t>
      </w:r>
      <w:r>
        <w:rPr>
          <w:sz w:val="20"/>
          <w:szCs w:val="23"/>
          <w:rtl/>
        </w:rPr>
        <w:t>(משלי ל כ)</w:t>
      </w:r>
      <w:r>
        <w:rPr>
          <w:rtl/>
        </w:rPr>
        <w:t xml:space="preserve"> כֵּן דֶּרֶךְ אִשָּׁה מְנָאָפֶת, אָכְלָה וּמָחֲתָה פִיהָ וְגוֹמֵר, וּבְמוֹשַׁב לֵצִים לֹא יָשָׁב, מָאן מוֹשַׁב לֵצִים, דָּא לִילִי''ת אִימָּן דְּעִרֶב רַב, דְּאִיהִי מְטַמְּאָה </w:t>
      </w:r>
      <w:r>
        <w:rPr>
          <w:rStyle w:val="a7"/>
          <w:rtl/>
        </w:rPr>
        <w:footnoteReference w:id="1609"/>
      </w:r>
      <w:r>
        <w:rPr>
          <w:rtl/>
        </w:rPr>
        <w:t>כְנִדָּה בְמוֹשָׁבָהּ, וְכֵן עִרֶב רַב מְטַמְּאִין בְּמוֹשָׁבָם לְצַדִּיקַיָּא דְיָתְבִין בֵּינַיְיהוּ כְנִדָּה.</w:t>
      </w:r>
    </w:p>
    <w:p w:rsidR="00606298" w:rsidRDefault="00606298" w:rsidP="00B17EA9">
      <w:pPr>
        <w:pStyle w:val="NormalWeb"/>
        <w:rPr>
          <w:rtl/>
        </w:rPr>
      </w:pPr>
      <w:r>
        <w:rPr>
          <w:rStyle w:val="a7"/>
          <w:rtl/>
        </w:rPr>
        <w:footnoteReference w:id="1610"/>
      </w:r>
      <w:r>
        <w:rPr>
          <w:rtl/>
        </w:rPr>
        <w:t xml:space="preserve">וּמָאן דְּאִתְדַּבַּק בְּהַאי אַשְׁרֵי, </w:t>
      </w:r>
      <w:r>
        <w:rPr>
          <w:rStyle w:val="a7"/>
          <w:rtl/>
        </w:rPr>
        <w:footnoteReference w:id="1611"/>
      </w:r>
      <w:r>
        <w:rPr>
          <w:rtl/>
        </w:rPr>
        <w:t xml:space="preserve">דְאִיהוּ כִתְרָא וְרֵישָׁא דְאוֹרַיְיתָא, אִתְּמַר בֵּיהּ </w:t>
      </w:r>
      <w:r>
        <w:rPr>
          <w:sz w:val="20"/>
          <w:szCs w:val="23"/>
          <w:rtl/>
        </w:rPr>
        <w:t>(תהלים א ג)</w:t>
      </w:r>
      <w:r>
        <w:rPr>
          <w:rtl/>
        </w:rPr>
        <w:t xml:space="preserve"> </w:t>
      </w:r>
      <w:r>
        <w:rPr>
          <w:rStyle w:val="a7"/>
          <w:rtl/>
        </w:rPr>
        <w:footnoteReference w:id="1612"/>
      </w:r>
      <w:r>
        <w:rPr>
          <w:rtl/>
        </w:rPr>
        <w:t xml:space="preserve">וְהָיָה כְּעִץ שָׁתוּל </w:t>
      </w:r>
      <w:r>
        <w:rPr>
          <w:rStyle w:val="a7"/>
          <w:rtl/>
        </w:rPr>
        <w:footnoteReference w:id="1613"/>
      </w:r>
      <w:r>
        <w:rPr>
          <w:rtl/>
        </w:rPr>
        <w:t xml:space="preserve">עַל פַּלְגֵי מָיִם, וְדָא עִץ חַיִּים, דְּאִתְּמַר בֵּיהּ </w:t>
      </w:r>
      <w:r>
        <w:rPr>
          <w:rStyle w:val="a7"/>
          <w:rtl/>
        </w:rPr>
        <w:footnoteReference w:id="1614"/>
      </w:r>
      <w:r>
        <w:rPr>
          <w:rtl/>
        </w:rPr>
        <w:t>וְעָלֵהוּ לֹא יִבּוֹל, וְהַאי תִּקּוּנָא קַדְמָאָה.</w:t>
      </w:r>
    </w:p>
    <w:p w:rsidR="00606298" w:rsidRDefault="00606298" w:rsidP="00B17EA9">
      <w:pPr>
        <w:pStyle w:val="NormalWeb"/>
        <w:rPr>
          <w:rtl/>
        </w:rPr>
      </w:pPr>
      <w:r>
        <w:rPr>
          <w:rtl/>
        </w:rPr>
        <w:t xml:space="preserve">תִּנְיָינָא בְּשִׁיר דָּא חָכְמָה, </w:t>
      </w:r>
      <w:r>
        <w:rPr>
          <w:rStyle w:val="a7"/>
          <w:rtl/>
        </w:rPr>
        <w:footnoteReference w:id="1615"/>
      </w:r>
      <w:r>
        <w:rPr>
          <w:rtl/>
        </w:rPr>
        <w:t xml:space="preserve">שָׁר י', </w:t>
      </w:r>
      <w:r>
        <w:rPr>
          <w:rStyle w:val="a7"/>
          <w:rtl/>
        </w:rPr>
        <w:footnoteReference w:id="1616"/>
      </w:r>
      <w:r>
        <w:rPr>
          <w:rtl/>
        </w:rPr>
        <w:t xml:space="preserve">וּתְלַת יוּדִי''ן אִנּוּן י' י' י', </w:t>
      </w:r>
      <w:r>
        <w:rPr>
          <w:rStyle w:val="a7"/>
          <w:rtl/>
        </w:rPr>
        <w:footnoteReference w:id="1617"/>
      </w:r>
      <w:r>
        <w:rPr>
          <w:rtl/>
        </w:rPr>
        <w:t xml:space="preserve">וְאִינוּן רֵישָׁא וְסוֹפָא וְאֶמְצָעִיתָא דְאָת יו"ד, וְאִינוּן רְמִיזִין </w:t>
      </w:r>
      <w:r>
        <w:rPr>
          <w:rStyle w:val="a7"/>
          <w:rtl/>
        </w:rPr>
        <w:footnoteReference w:id="1618"/>
      </w:r>
      <w:r>
        <w:rPr>
          <w:rtl/>
        </w:rPr>
        <w:t xml:space="preserve">בִּשְׁמָא סְתִים דְּאִיהוּ יו''ד ה''י וא''ו ה''י, בְּאִלֵּין תְּלַת שַׁבַּח דָּוִד מַלְכָּא לִבְרַתָּא דְמַלְכָּא, הֲדָא הוּא דִכְתִיב </w:t>
      </w:r>
      <w:r>
        <w:rPr>
          <w:sz w:val="20"/>
          <w:szCs w:val="23"/>
          <w:rtl/>
        </w:rPr>
        <w:t>(תהלים קכא א)</w:t>
      </w:r>
      <w:r>
        <w:rPr>
          <w:rtl/>
        </w:rPr>
        <w:t xml:space="preserve"> שִׁיר לַמַּעֲלוֹת, </w:t>
      </w:r>
      <w:r>
        <w:rPr>
          <w:rStyle w:val="a7"/>
          <w:rtl/>
        </w:rPr>
        <w:footnoteReference w:id="1619"/>
      </w:r>
      <w:r>
        <w:rPr>
          <w:rtl/>
        </w:rPr>
        <w:t xml:space="preserve">ל' מַעֲלוֹת אִינוּן וַדַּאי, </w:t>
      </w:r>
      <w:r>
        <w:rPr>
          <w:rStyle w:val="a7"/>
          <w:rtl/>
        </w:rPr>
        <w:footnoteReference w:id="1620"/>
      </w:r>
      <w:r>
        <w:rPr>
          <w:rtl/>
        </w:rPr>
        <w:t xml:space="preserve">אִינוּן תְּלָתִין דַּרְגִּין, דִּבְהוֹן בְּרַתָּא </w:t>
      </w:r>
      <w:r>
        <w:rPr>
          <w:rStyle w:val="a7"/>
          <w:rtl/>
        </w:rPr>
        <w:footnoteReference w:id="1621"/>
      </w:r>
      <w:r>
        <w:rPr>
          <w:rtl/>
        </w:rPr>
        <w:t>סָלְקָא לְגַבֵּי (אַבָּא) בַעְלָהּ.</w:t>
      </w:r>
    </w:p>
    <w:p w:rsidR="00606298" w:rsidRDefault="00606298" w:rsidP="00B17EA9">
      <w:pPr>
        <w:pStyle w:val="NormalWeb"/>
        <w:rPr>
          <w:rtl/>
        </w:rPr>
      </w:pPr>
      <w:r>
        <w:rPr>
          <w:rtl/>
        </w:rPr>
        <w:t xml:space="preserve">וּבְהוֹן מַלְכָּא אָמַר לְגַבֵּי כַלָּה, </w:t>
      </w:r>
      <w:r>
        <w:rPr>
          <w:rStyle w:val="a7"/>
          <w:rtl/>
        </w:rPr>
        <w:footnoteReference w:id="1622"/>
      </w:r>
      <w:r>
        <w:rPr>
          <w:rtl/>
        </w:rPr>
        <w:t xml:space="preserve">צַהֲלִי קוֹלֵךָ בַּת גַּלִּים </w:t>
      </w:r>
      <w:r>
        <w:rPr>
          <w:sz w:val="20"/>
          <w:szCs w:val="23"/>
          <w:rtl/>
        </w:rPr>
        <w:t>(ישעיהו י ל)</w:t>
      </w:r>
      <w:r>
        <w:rPr>
          <w:rtl/>
        </w:rPr>
        <w:t>, (</w:t>
      </w:r>
      <w:r>
        <w:rPr>
          <w:rStyle w:val="a7"/>
          <w:rtl/>
        </w:rPr>
        <w:footnoteReference w:id="1623"/>
      </w:r>
      <w:r>
        <w:rPr>
          <w:rtl/>
        </w:rPr>
        <w:t xml:space="preserve">בַּת עֲשָׂרָה גַּלְגַּלִּים, דְּסָלִיק בְּהוֹן יו''ד ה''א וא''ו ה''א, בַּעֲשָׂרָה מִינֵי נִגּוּנִין, וּבְאַרְבַּע חֵיוָן דְּסָלִיק יהו''ה, בְּשִׁיר פָּשׁוּט, כָּפוּל, מְשׁוּלָשׁ, מְרוּבָּע, דְּאִיהוּ יהו''ה) </w:t>
      </w:r>
      <w:r>
        <w:rPr>
          <w:rStyle w:val="a7"/>
          <w:rtl/>
        </w:rPr>
        <w:footnoteReference w:id="1624"/>
      </w:r>
      <w:r>
        <w:rPr>
          <w:rtl/>
        </w:rPr>
        <w:t xml:space="preserve">דְּקוֹלוֹ סָלְקָא כְגַלֵּי יַמָּא, </w:t>
      </w:r>
      <w:r>
        <w:rPr>
          <w:rStyle w:val="a7"/>
          <w:rtl/>
        </w:rPr>
        <w:footnoteReference w:id="1625"/>
      </w:r>
      <w:r>
        <w:rPr>
          <w:rtl/>
        </w:rPr>
        <w:t xml:space="preserve">וְגַלֵּי יַמָּא דִלְעִילָא אִינוּן עֲשָׂרָה, דְּסָלִיק בְּהוֹן יו''ד ה''א וא''ו ה''א, בַּעֲשָׂרָה מִינֵי נִגּוּנִין, וּבְאַרְבַּע חֵיוָן </w:t>
      </w:r>
      <w:r>
        <w:rPr>
          <w:rStyle w:val="a7"/>
          <w:rtl/>
        </w:rPr>
        <w:footnoteReference w:id="1626"/>
      </w:r>
      <w:r>
        <w:rPr>
          <w:rtl/>
        </w:rPr>
        <w:t xml:space="preserve">דְּסָלִיק יהו''ה, </w:t>
      </w:r>
      <w:r>
        <w:rPr>
          <w:rStyle w:val="a7"/>
          <w:rtl/>
        </w:rPr>
        <w:footnoteReference w:id="1627"/>
      </w:r>
      <w:r>
        <w:rPr>
          <w:rtl/>
        </w:rPr>
        <w:t xml:space="preserve">בְּשִׁיר פָּשׁוּט, כָּפוּל, מְשׁוּלָשׁ, מְרוּבָּע, דְּאִינוּן עֲשָׂרָה, וְאִינוּן עֲשָׂרָה גַלְגַּלִּין, וַעֲלַיְהוּ אִתְּמַר </w:t>
      </w:r>
      <w:r>
        <w:rPr>
          <w:sz w:val="20"/>
          <w:szCs w:val="23"/>
          <w:rtl/>
        </w:rPr>
        <w:t>(שיר ה יד)</w:t>
      </w:r>
      <w:r>
        <w:rPr>
          <w:rtl/>
        </w:rPr>
        <w:t xml:space="preserve"> </w:t>
      </w:r>
      <w:r>
        <w:rPr>
          <w:rStyle w:val="a7"/>
          <w:rtl/>
        </w:rPr>
        <w:footnoteReference w:id="1628"/>
      </w:r>
      <w:r>
        <w:rPr>
          <w:rtl/>
        </w:rPr>
        <w:t xml:space="preserve">יָדָיו גְּלִילֵי זָהָב מְמֻלָּאִים בַּתַּרְשִׁישׁ, </w:t>
      </w:r>
      <w:r>
        <w:rPr>
          <w:rStyle w:val="a7"/>
          <w:rtl/>
        </w:rPr>
        <w:footnoteReference w:id="1629"/>
      </w:r>
      <w:r>
        <w:rPr>
          <w:rtl/>
        </w:rPr>
        <w:t>בִּתְרֵין דְּרוֹעִין דִּבְרַתָּא.</w:t>
      </w:r>
    </w:p>
    <w:p w:rsidR="00606298" w:rsidRDefault="00606298" w:rsidP="00B17EA9">
      <w:pPr>
        <w:pStyle w:val="NormalWeb"/>
        <w:rPr>
          <w:rtl/>
        </w:rPr>
      </w:pPr>
      <w:r>
        <w:rPr>
          <w:rtl/>
        </w:rPr>
        <w:t xml:space="preserve">וּבְהוֹן שִׁית פִּרְקִין, וְאִינוּן שִׁית דַּרְגִּין דְּכָרְסַיָּא, </w:t>
      </w:r>
      <w:r>
        <w:rPr>
          <w:rStyle w:val="a7"/>
          <w:rtl/>
        </w:rPr>
        <w:footnoteReference w:id="1630"/>
      </w:r>
      <w:r>
        <w:rPr>
          <w:rtl/>
        </w:rPr>
        <w:t xml:space="preserve">שֵׁשׁ מַעֲלוֹת לַכִּסֵּא, וְכַד סָלִיק ו' בְּהוֹן, יִתְעָרוּן לְגַבֵּיהּ לְקַבְּלָא לֵיהּ שְׂרָפִים </w:t>
      </w:r>
      <w:r>
        <w:rPr>
          <w:rStyle w:val="a7"/>
          <w:rtl/>
        </w:rPr>
        <w:footnoteReference w:id="1631"/>
      </w:r>
      <w:r>
        <w:rPr>
          <w:rtl/>
        </w:rPr>
        <w:t xml:space="preserve">בְּגַדְפַיְיהוּ, הֲדָא הוּא דִכְתִיב </w:t>
      </w:r>
      <w:r>
        <w:rPr>
          <w:sz w:val="20"/>
          <w:szCs w:val="23"/>
          <w:rtl/>
        </w:rPr>
        <w:t>(ישעיה ו ב)</w:t>
      </w:r>
      <w:r>
        <w:rPr>
          <w:rtl/>
        </w:rPr>
        <w:t xml:space="preserve"> שְׂרָפִים עוֹמְדִים מִמַּעַל לוֹ שֵׁשׁ כְּנָפַיִם וְגוֹמֵר, וּמָאן דְּסָלִיק עַל גַּדְפַיְיהוּ וּפָרַח בְּהוֹן אִיהוּ ו', כְּלִיל שִׁית תֵּיבִין דְּיִחוּדָא שְׁמַע יִשְׂרָאֵל, וּבְגִינֵיהּ אִתְּמַר </w:t>
      </w:r>
      <w:r>
        <w:rPr>
          <w:sz w:val="20"/>
          <w:szCs w:val="23"/>
          <w:rtl/>
        </w:rPr>
        <w:t>(קהלת י כ)</w:t>
      </w:r>
      <w:r>
        <w:rPr>
          <w:rtl/>
        </w:rPr>
        <w:t xml:space="preserve"> </w:t>
      </w:r>
      <w:r>
        <w:rPr>
          <w:rStyle w:val="a7"/>
          <w:rtl/>
        </w:rPr>
        <w:footnoteReference w:id="1632"/>
      </w:r>
      <w:r>
        <w:rPr>
          <w:rtl/>
        </w:rPr>
        <w:t>כִּי עוֹף הַשָּׁמַיִם וְגוֹמֵר.</w:t>
      </w:r>
    </w:p>
    <w:p w:rsidR="00606298" w:rsidRDefault="00606298" w:rsidP="00B17EA9">
      <w:pPr>
        <w:pStyle w:val="NormalWeb"/>
        <w:rPr>
          <w:rtl/>
        </w:rPr>
      </w:pPr>
      <w:r>
        <w:rPr>
          <w:rtl/>
        </w:rPr>
        <w:t xml:space="preserve">וְכַד סָלְקָא בְּרַתָּא סָלְקָא בִּתְרֵין דְּרוֹעוֹי דְּאִינוּן חֶסֶד וּגְבוּרָה, דִבְהוֹן שִׁית פִּרְקִין </w:t>
      </w:r>
      <w:r>
        <w:rPr>
          <w:rStyle w:val="a7"/>
          <w:rtl/>
        </w:rPr>
        <w:footnoteReference w:id="1633"/>
      </w:r>
      <w:r>
        <w:rPr>
          <w:rtl/>
        </w:rPr>
        <w:t xml:space="preserve">דְּאִיהוּ ו', וְרָזָא דְמִלָּה שְׂמֹאלוֹ תַּחַת לְרֹאשִׁי וִימִינוֹ תְּחַבְּקֵנִי </w:t>
      </w:r>
      <w:r>
        <w:rPr>
          <w:sz w:val="20"/>
          <w:szCs w:val="23"/>
          <w:rtl/>
        </w:rPr>
        <w:t>(שיר ב ו)</w:t>
      </w:r>
      <w:r>
        <w:rPr>
          <w:rtl/>
        </w:rPr>
        <w:t>.</w:t>
      </w:r>
    </w:p>
    <w:p w:rsidR="00606298" w:rsidRDefault="00606298" w:rsidP="00B17EA9">
      <w:pPr>
        <w:pStyle w:val="NormalWeb"/>
        <w:rPr>
          <w:rtl/>
        </w:rPr>
      </w:pPr>
      <w:r>
        <w:rPr>
          <w:rtl/>
        </w:rPr>
        <w:t xml:space="preserve">כַּד סָלְקָא הַאי שִׁיר, סָלְקָא בְשִׁית תֵּיבִין דְּאִינוּן שְׁמַע יִשְׂרָאֵל וְגוֹמֵר, וְכַד נָחֲתָא, נָחֲתָא בְשִׁית, דְּאִינוּן בָּרוּךְ שֵׁם כְּבוֹד מַלְכוּתוֹ לְעוֹלָם וָעֶד, </w:t>
      </w:r>
      <w:r>
        <w:rPr>
          <w:rStyle w:val="a7"/>
          <w:rtl/>
        </w:rPr>
        <w:footnoteReference w:id="1634"/>
      </w:r>
      <w:r>
        <w:rPr>
          <w:rtl/>
        </w:rPr>
        <w:t xml:space="preserve">וַעֲלַיְיהוּ אִתְּמַר </w:t>
      </w:r>
      <w:r>
        <w:rPr>
          <w:sz w:val="20"/>
          <w:szCs w:val="23"/>
          <w:rtl/>
        </w:rPr>
        <w:t>(שם ה טו)</w:t>
      </w:r>
      <w:r>
        <w:rPr>
          <w:rtl/>
        </w:rPr>
        <w:t xml:space="preserve"> שׁוֹקָיו עַמּוּדֵי שֵׁשׁ, </w:t>
      </w:r>
      <w:r>
        <w:rPr>
          <w:rStyle w:val="a7"/>
          <w:rtl/>
        </w:rPr>
        <w:footnoteReference w:id="1635"/>
      </w:r>
      <w:r>
        <w:rPr>
          <w:rtl/>
        </w:rPr>
        <w:t>וְנִגּוּנָא כַד סָלִיק סָלִיק בְּשִׁית, וְכַד מָאִיךְ מָאִיךְ בְּשִׁית.</w:t>
      </w:r>
    </w:p>
    <w:p w:rsidR="00606298" w:rsidRDefault="00606298" w:rsidP="00B17EA9">
      <w:pPr>
        <w:pStyle w:val="NormalWeb"/>
        <w:rPr>
          <w:rtl/>
        </w:rPr>
      </w:pPr>
      <w:r>
        <w:rPr>
          <w:rStyle w:val="a7"/>
          <w:rtl/>
        </w:rPr>
        <w:footnoteReference w:id="1636"/>
      </w:r>
      <w:r>
        <w:rPr>
          <w:rtl/>
        </w:rPr>
        <w:t xml:space="preserve">וַעֲשָׂרָה גַלְגַּלִּין אִינוּן יו"ד, דְּאִינוּן לָקֳבֵל עֲשַׂר אֶצְבְּעָאן דְּבָטְשִׁין בְּנִגּוּנָא, </w:t>
      </w:r>
      <w:r>
        <w:rPr>
          <w:rStyle w:val="a7"/>
          <w:rtl/>
        </w:rPr>
        <w:footnoteReference w:id="1637"/>
      </w:r>
      <w:r>
        <w:rPr>
          <w:rtl/>
        </w:rPr>
        <w:t xml:space="preserve">חָמֵשׁ </w:t>
      </w:r>
      <w:r>
        <w:rPr>
          <w:rStyle w:val="a7"/>
          <w:rtl/>
        </w:rPr>
        <w:footnoteReference w:id="1638"/>
      </w:r>
      <w:r>
        <w:rPr>
          <w:rtl/>
        </w:rPr>
        <w:t xml:space="preserve">בְּחָמֵשׁ נִימִין דְּכִנּוֹר, </w:t>
      </w:r>
      <w:r>
        <w:rPr>
          <w:rStyle w:val="a7"/>
          <w:rtl/>
        </w:rPr>
        <w:footnoteReference w:id="1639"/>
      </w:r>
      <w:r>
        <w:rPr>
          <w:rtl/>
        </w:rPr>
        <w:t xml:space="preserve">דְּאִינוּן חָמֵשׁ אַזְכָּרוֹת דְּאַדְכִּיר חָמֵשׁ זִמְנִין יהו''ה בְּהַאי מִזְמוֹר, חַד עֶזְרִי מֵעִם יְיָ', ב' יְיָ' שֹׁמְרֶךָ, ג' יְיָ' צִלְּךָ, ד' יְיָ' יִשְׁמָרְךָ מִכָּל רָע, ה' יְיָ' יִשְׁמָר צֵאתְךָ וּבוֹאֶךָ, וְאִינוּן ה''ה, דְּסָלְקִין בְּי' בְּשִׁית דַּרְגִּין דְּאִיהוּ ו', בֵּיהּ סָלְקִין וְנָחֲתִין, </w:t>
      </w:r>
      <w:r>
        <w:rPr>
          <w:rStyle w:val="a7"/>
          <w:rtl/>
        </w:rPr>
        <w:footnoteReference w:id="1640"/>
      </w:r>
      <w:r>
        <w:rPr>
          <w:rtl/>
        </w:rPr>
        <w:t xml:space="preserve">וְאִיהוּ כְּגַוְונָא דְסֻלָּם, דְּאִתְּמַר בֵּיהּ </w:t>
      </w:r>
      <w:r>
        <w:rPr>
          <w:sz w:val="20"/>
          <w:szCs w:val="23"/>
          <w:rtl/>
        </w:rPr>
        <w:t>(בראשית כח יב)</w:t>
      </w:r>
      <w:r>
        <w:rPr>
          <w:rtl/>
        </w:rPr>
        <w:t xml:space="preserve"> וְהִנֵּה סֻלָּם מֻצָּב אַרְצָה וְגוֹמֵר, </w:t>
      </w:r>
      <w:r>
        <w:rPr>
          <w:rStyle w:val="a7"/>
          <w:rtl/>
        </w:rPr>
        <w:footnoteReference w:id="1641"/>
      </w:r>
      <w:r>
        <w:rPr>
          <w:rtl/>
        </w:rPr>
        <w:t xml:space="preserve">וְהִנֵּה מַלְאֲכֵי אלהי''ם עֹלִים וְיֹרְדִים בּוֹ, </w:t>
      </w:r>
      <w:r>
        <w:rPr>
          <w:rStyle w:val="a7"/>
          <w:rtl/>
        </w:rPr>
        <w:footnoteReference w:id="1642"/>
      </w:r>
      <w:r>
        <w:rPr>
          <w:rtl/>
        </w:rPr>
        <w:t xml:space="preserve">וְכֹלָּא יהו''ה, יו''ד ה''א וא''ו ה''א, יָ''ד, וְדָוִד מְנַגֵּן בְּיָד </w:t>
      </w:r>
      <w:r>
        <w:rPr>
          <w:sz w:val="20"/>
          <w:szCs w:val="23"/>
          <w:rtl/>
        </w:rPr>
        <w:t>(שמואל א יט ט)</w:t>
      </w:r>
      <w:r>
        <w:rPr>
          <w:rtl/>
        </w:rPr>
        <w:t>. (</w:t>
      </w:r>
      <w:r>
        <w:rPr>
          <w:rStyle w:val="a7"/>
          <w:rtl/>
        </w:rPr>
        <w:footnoteReference w:id="1643"/>
      </w:r>
      <w:r>
        <w:rPr>
          <w:rtl/>
        </w:rPr>
        <w:t>ו' אִיהוּ גוּפָא, גַּדְפוֹי ה''ה, רֵישָׁא דִילֵיהּ י', בֵּיהּ סָלִיק קָלָא דְנִגּוּנָא)</w:t>
      </w:r>
    </w:p>
    <w:p w:rsidR="00606298" w:rsidRDefault="00606298" w:rsidP="00B17EA9">
      <w:pPr>
        <w:pStyle w:val="NormalWeb"/>
        <w:rPr>
          <w:rtl/>
        </w:rPr>
      </w:pPr>
      <w:r>
        <w:rPr>
          <w:rStyle w:val="a7"/>
          <w:rtl/>
        </w:rPr>
        <w:footnoteReference w:id="1644"/>
      </w:r>
      <w:r>
        <w:rPr>
          <w:rtl/>
        </w:rPr>
        <w:t xml:space="preserve">וְעוֹד ו' אִיהִי מְנַרְתָּא, ה' ה' שְׁלֹשָׁה קְנֵי מְנוֹרָה מִצִּדָּהּ הָאֶחָת וְגוֹמֵר </w:t>
      </w:r>
      <w:r>
        <w:rPr>
          <w:sz w:val="20"/>
          <w:szCs w:val="23"/>
          <w:rtl/>
        </w:rPr>
        <w:t>(שמות כה לב)</w:t>
      </w:r>
      <w:r>
        <w:rPr>
          <w:rtl/>
        </w:rPr>
        <w:t xml:space="preserve">, ו' מְנוֹרָה בְּאֶמְצַע, נֵר עַל רֵישֵׁיהּ י', כַּד שַׁרְיָא בְּאָת ו' אִתְעֲבִיד ז', וְרָזָא דְמִלָּה יָאִירוּ שִׁבְעַת הַנֵּרוֹת </w:t>
      </w:r>
      <w:r>
        <w:rPr>
          <w:sz w:val="20"/>
          <w:szCs w:val="23"/>
          <w:rtl/>
        </w:rPr>
        <w:t>(במדבר ח ב)</w:t>
      </w:r>
      <w:r>
        <w:rPr>
          <w:rtl/>
        </w:rPr>
        <w:t>.</w:t>
      </w:r>
    </w:p>
    <w:p w:rsidR="00606298" w:rsidRDefault="00606298" w:rsidP="00134F53">
      <w:pPr>
        <w:pStyle w:val="2"/>
        <w:rPr>
          <w:rtl/>
        </w:rPr>
      </w:pPr>
      <w:bookmarkStart w:id="113" w:name="_Toc228095612"/>
      <w:bookmarkStart w:id="114" w:name="_Toc231638050"/>
      <w:r>
        <w:rPr>
          <w:rtl/>
        </w:rPr>
        <w:t xml:space="preserve"> </w:t>
      </w:r>
      <w:bookmarkStart w:id="115" w:name="_Toc405982962"/>
      <w:r>
        <w:rPr>
          <w:rtl/>
        </w:rPr>
        <w:t>[תיקוני זוהר - דף כד ע''א]</w:t>
      </w:r>
      <w:bookmarkEnd w:id="113"/>
      <w:bookmarkEnd w:id="114"/>
      <w:bookmarkEnd w:id="115"/>
    </w:p>
    <w:p w:rsidR="00606298" w:rsidRDefault="00606298" w:rsidP="00B17EA9">
      <w:pPr>
        <w:pStyle w:val="NormalWeb"/>
        <w:rPr>
          <w:rtl/>
        </w:rPr>
      </w:pPr>
      <w:r>
        <w:rPr>
          <w:rtl/>
        </w:rPr>
        <w:t xml:space="preserve">לָקֳבֵל מְנַרְתָּא דְאִיהִי ו', וְשִׁית קְנֵי מְנַרְתָּא דְאִינוּן ה' ה', שִׁית וָוִי''ן, וְרָזָא דְמִלָּה </w:t>
      </w:r>
      <w:r>
        <w:rPr>
          <w:rStyle w:val="a7"/>
          <w:rtl/>
        </w:rPr>
        <w:footnoteReference w:id="1645"/>
      </w:r>
      <w:r>
        <w:rPr>
          <w:rtl/>
        </w:rPr>
        <w:t xml:space="preserve">שִׁבְעָה וְשִׁבְעָה מוּצָקוֹת </w:t>
      </w:r>
      <w:r>
        <w:rPr>
          <w:sz w:val="20"/>
          <w:szCs w:val="23"/>
          <w:rtl/>
        </w:rPr>
        <w:t>(זכריה ד ב)</w:t>
      </w:r>
      <w:r>
        <w:rPr>
          <w:rtl/>
        </w:rPr>
        <w:t xml:space="preserve">, עַד דְּסָלְקִין לְי''ד, דְּאִיהוּ יהו''ה יו''ד ה''א וא''ו ה''א, וְדָא אִיהוּ וְדָוִד מְנַגֵּן בְּיָד, יָ''ד לָקֳבֵל יָ''ד, </w:t>
      </w:r>
      <w:r>
        <w:rPr>
          <w:rStyle w:val="a7"/>
          <w:rtl/>
        </w:rPr>
        <w:footnoteReference w:id="1646"/>
      </w:r>
      <w:r>
        <w:rPr>
          <w:rtl/>
        </w:rPr>
        <w:t xml:space="preserve">וְסָלְקָא ה' בְּאָת ו', </w:t>
      </w:r>
      <w:r>
        <w:rPr>
          <w:rStyle w:val="a7"/>
          <w:rtl/>
        </w:rPr>
        <w:footnoteReference w:id="1647"/>
      </w:r>
      <w:r>
        <w:rPr>
          <w:rtl/>
        </w:rPr>
        <w:t xml:space="preserve">וּלְבָתַר סָלִיק ו' בְּי', שִׁית זִמְנִין עֶשֶׂר, עַד דְּסָלִיק לְשִׁתִּין, </w:t>
      </w:r>
      <w:r>
        <w:rPr>
          <w:rStyle w:val="a7"/>
          <w:rtl/>
        </w:rPr>
        <w:footnoteReference w:id="1648"/>
      </w:r>
      <w:r>
        <w:rPr>
          <w:rtl/>
        </w:rPr>
        <w:t xml:space="preserve">וְאִינוּן אַתְוָון הַדְּבֵקוֹת בִּקְרִיאַת שְׁמַע, דִּבְגִינַיְיהוּ אִתְּמַר כָּל הַמֵּשִׂים </w:t>
      </w:r>
      <w:r>
        <w:rPr>
          <w:rStyle w:val="a7"/>
          <w:rtl/>
        </w:rPr>
        <w:footnoteReference w:id="1649"/>
      </w:r>
      <w:r>
        <w:rPr>
          <w:rtl/>
        </w:rPr>
        <w:t xml:space="preserve">רֵיוַח בֵּין הַדְּבֵקִים מְצַנְּנִים לֵיהּ גֵּיהִנָּם, </w:t>
      </w:r>
      <w:r>
        <w:rPr>
          <w:rStyle w:val="a7"/>
          <w:rtl/>
        </w:rPr>
        <w:footnoteReference w:id="1650"/>
      </w:r>
      <w:r>
        <w:rPr>
          <w:rtl/>
        </w:rPr>
        <w:t xml:space="preserve">וּשְׁלֹמֹה עֲלַיְיהוּ אָמַר </w:t>
      </w:r>
      <w:r>
        <w:rPr>
          <w:sz w:val="20"/>
          <w:szCs w:val="23"/>
          <w:rtl/>
        </w:rPr>
        <w:t>(שיר ג ז)</w:t>
      </w:r>
      <w:r>
        <w:rPr>
          <w:rtl/>
        </w:rPr>
        <w:t xml:space="preserve"> הִנֵּה מִטָּתוֹ שֶׁלִּשְׁלֹמֹה שִׁשִּׁים גִּבּוֹרִים סָבִיב לָהּ, וְאִינוּן נָטְרִין </w:t>
      </w:r>
      <w:r>
        <w:rPr>
          <w:sz w:val="20"/>
          <w:szCs w:val="23"/>
          <w:rtl/>
        </w:rPr>
        <w:t>(נ''א נטלין)</w:t>
      </w:r>
      <w:r>
        <w:rPr>
          <w:szCs w:val="23"/>
          <w:rtl/>
        </w:rPr>
        <w:t xml:space="preserve"> </w:t>
      </w:r>
      <w:r>
        <w:rPr>
          <w:rStyle w:val="Char"/>
          <w:rtl/>
        </w:rPr>
        <w:t xml:space="preserve">עַרְסֵיהּ, </w:t>
      </w:r>
      <w:r>
        <w:rPr>
          <w:rStyle w:val="a7"/>
          <w:rtl/>
        </w:rPr>
        <w:footnoteReference w:id="1651"/>
      </w:r>
      <w:r>
        <w:rPr>
          <w:rStyle w:val="Char"/>
          <w:rtl/>
        </w:rPr>
        <w:t>וּלְקִבְלַיְיהוּ</w:t>
      </w:r>
      <w:r>
        <w:rPr>
          <w:szCs w:val="23"/>
          <w:rtl/>
        </w:rPr>
        <w:t xml:space="preserve"> </w:t>
      </w:r>
      <w:r>
        <w:rPr>
          <w:sz w:val="20"/>
          <w:szCs w:val="23"/>
          <w:rtl/>
        </w:rPr>
        <w:t>(שם ו ח)</w:t>
      </w:r>
      <w:r>
        <w:rPr>
          <w:rtl/>
        </w:rPr>
        <w:t xml:space="preserve"> שִׁשִּׁים הֵמָּה מְלָכוֹת, </w:t>
      </w:r>
      <w:r>
        <w:rPr>
          <w:sz w:val="20"/>
          <w:szCs w:val="23"/>
          <w:rtl/>
        </w:rPr>
        <w:t xml:space="preserve">(דף כד ע''א) </w:t>
      </w:r>
      <w:r>
        <w:rPr>
          <w:rtl/>
        </w:rPr>
        <w:t>אִלֵּין דְּכוּרִין, וְאִלֵּין נוּקְבִין, אִלֵּין דִּקְרִיאַת שְׁמַע דְּתַקִּין מֹשֶׁה דְכוּרִין, אִלֵּין דִּשְׁלֹמֹה נוּקְבִין, וְאִלֵּין בֵּית קִבּוּל לְאִלֵּין, דַּרְגִּין דִּשְׁלֹמֹה אִינוּן בֵּית קִבּוּל לְדַרְגִּין דְּמֹשֶׁה, וְכַד מִתְחַבְּרָן כֹּלָּא כְּאֶחָד, שְׁלֹמֹ''ה אִתְהַפַּךְ לְמֹשֶׁ''ה.</w:t>
      </w:r>
    </w:p>
    <w:p w:rsidR="00606298" w:rsidRDefault="00606298" w:rsidP="00B17EA9">
      <w:pPr>
        <w:pStyle w:val="NormalWeb"/>
        <w:rPr>
          <w:rtl/>
        </w:rPr>
      </w:pPr>
      <w:r>
        <w:rPr>
          <w:rStyle w:val="a7"/>
          <w:rtl/>
        </w:rPr>
        <w:footnoteReference w:id="1652"/>
      </w:r>
      <w:r>
        <w:rPr>
          <w:rtl/>
        </w:rPr>
        <w:t xml:space="preserve">בְּתִיקוּנִין דְּאַרְבַּע אַתְוָון אִתַּקַּן שִׁיר, וַעֲלַיְיהוּ אִתְּמַר וְהִנֵּה מַלְאֲכֵי אלהי''ם וְגוֹמֵר, סָלְקִין תְּרֵין וְאִינוּן ו''ה, וְנָחֲתִין תְּרֵין וְאִינוּן י''ה, וְכֵן גַּלְגַּלֵּי יַמָּא סָלְקִין בְּעֶשֶׂר, וְאִינוּן יו''ד ה''א וא''ו ה''א, וְאַרְבַּע חֵיוָון, כַּד סָלְקָא בְּרַתָּא בְּשִׁיר, נִשְׁרָא נְטִיל י' בְּפוּמָא וְעַל רֵישָׁהָא, ו' בְּגוּפָא, ה''ה בְּגַדְפָהָא, אָדָ''ם יו''ד ה''א וא''ו ה''א רְכִיב עַל כֹּלָּא, וּדְמוּת פְּנֵיהֶם פְּנֵי אָדָם, </w:t>
      </w:r>
      <w:r>
        <w:rPr>
          <w:rStyle w:val="a7"/>
          <w:rtl/>
        </w:rPr>
        <w:footnoteReference w:id="1653"/>
      </w:r>
      <w:r>
        <w:rPr>
          <w:rtl/>
        </w:rPr>
        <w:t xml:space="preserve">דָּא סְלִיק עַל כֹּלָּא, וּפְנֵי אַרְיֵה אֶל הַיָּמִין </w:t>
      </w:r>
      <w:r>
        <w:rPr>
          <w:rStyle w:val="a7"/>
          <w:rtl/>
        </w:rPr>
        <w:footnoteReference w:id="1654"/>
      </w:r>
      <w:r>
        <w:rPr>
          <w:rtl/>
        </w:rPr>
        <w:t>לְאַרְבַּעְתָּם דָּא יהו''ה, וּפְנֵי שׁוֹר, וּפְנֵי נֶשֶׁר, אִינוּן מֶרְכָּבָה לִשְׁמָא דְיהו''ה, וְאָדָם עַל כֹּלָּא.</w:t>
      </w:r>
    </w:p>
    <w:p w:rsidR="00606298" w:rsidRDefault="00606298" w:rsidP="00B17EA9">
      <w:pPr>
        <w:pStyle w:val="NormalWeb"/>
        <w:rPr>
          <w:rtl/>
        </w:rPr>
      </w:pPr>
      <w:r>
        <w:rPr>
          <w:rtl/>
        </w:rPr>
        <w:t xml:space="preserve">בְּזִמְנָא דְאִיהִי סָלְקָא בְּכָל אִלֵּין תִּקּוּנִין, אִיהוּ מְשַׁבַּח לָהּ, הֲדָא הוּא דִכְתִיב </w:t>
      </w:r>
      <w:r>
        <w:rPr>
          <w:sz w:val="20"/>
          <w:szCs w:val="23"/>
          <w:rtl/>
        </w:rPr>
        <w:t>(שם ד ג)</w:t>
      </w:r>
      <w:r>
        <w:rPr>
          <w:rtl/>
        </w:rPr>
        <w:t xml:space="preserve"> </w:t>
      </w:r>
      <w:r>
        <w:rPr>
          <w:rStyle w:val="a7"/>
          <w:rtl/>
        </w:rPr>
        <w:footnoteReference w:id="1655"/>
      </w:r>
      <w:r>
        <w:rPr>
          <w:rtl/>
        </w:rPr>
        <w:t>כְּחוּט הַשָּׁנִי שִׂפְתוֹתַיִךְ וּמִדְבָּרֵךְ נָאוֶה, הָא תְּרֵין מִינֵי נִגּוּנִין דְּשַׁבַּח דָּוִד מַלְכָּא, בְּאַשְׁרֵי בְּשִׁיר.</w:t>
      </w:r>
    </w:p>
    <w:p w:rsidR="00606298" w:rsidRDefault="00606298" w:rsidP="00B17EA9">
      <w:pPr>
        <w:pStyle w:val="NormalWeb"/>
        <w:rPr>
          <w:rtl/>
        </w:rPr>
      </w:pPr>
      <w:r>
        <w:rPr>
          <w:rtl/>
        </w:rPr>
        <w:t xml:space="preserve">תְּלִיתָאָה בַּבְּרָכָה וְדָא שְׁכִינְתָּא עִלָּאָה, וַעֲלָהּ אִתְּמַר </w:t>
      </w:r>
      <w:r>
        <w:rPr>
          <w:sz w:val="20"/>
          <w:szCs w:val="23"/>
          <w:rtl/>
        </w:rPr>
        <w:t>(תהלים קג א)</w:t>
      </w:r>
      <w:r>
        <w:rPr>
          <w:rtl/>
        </w:rPr>
        <w:t xml:space="preserve"> בָּרְכִי נַפְשִׁי אֶת יְיָ', מֵהַאי אִתְיְיהִיבַת בְּבַר נַשׁ נִשְׁמַת חַיִּים, דְּאִתְּמַר בָּהּ חֲמִשָּׁה תִּקּוּנִין, מַה הַקָּדוֹשׁ בָּרוּךְ הוּא זָן כָּל עָלְמָא, הָכִי נִשְׁמָתָא זָנַת כָּל גּוּפָא, מַה הַקָּדוֹשׁ בָּרוּךְ הוּא רוֹאֶה וְאֵינוֹ נִרְאֶה, הָכִי נִשְׁמָתָא רוֹאָה וְאֵינָה נִרְאֵית, מַה הַקָּדוֹשׁ בָּרוּךְ הוּא יוֹשֵׁב בְּחַדְרֵי חֲדָרִים, הָכִי נִשְׁמָתָא יוֹשֶׁבֶת בְּחַדְרֵי חֲדָרִים, מַה הַקָּדוֹשׁ בָּרוּךְ הוּא מָלֵא כָל הָעוֹלָם הָכִי נִשְׁמָתָא מְלֵאָה אֶת כָּל הַגּוּף, </w:t>
      </w:r>
      <w:r>
        <w:rPr>
          <w:rStyle w:val="a7"/>
          <w:rtl/>
        </w:rPr>
        <w:footnoteReference w:id="1656"/>
      </w:r>
      <w:r>
        <w:rPr>
          <w:rtl/>
        </w:rPr>
        <w:t xml:space="preserve">מַה הַקָּדוֹשׁ בָּרוּךְ הוּא דָן אֶת כָּל הָעוֹלָם, הָכִי </w:t>
      </w:r>
      <w:r>
        <w:rPr>
          <w:rStyle w:val="a7"/>
          <w:rtl/>
        </w:rPr>
        <w:footnoteReference w:id="1657"/>
      </w:r>
      <w:r>
        <w:rPr>
          <w:rtl/>
        </w:rPr>
        <w:t xml:space="preserve">נִשְׁמָתָא דָּנָה אֶת גּוּפָא, וְרָזָא דְנִשְׁמָתָא דְאִיהִי שָׁוָה לְקוּדְשָׁא בְּרִיךְ הוּא, </w:t>
      </w:r>
      <w:r>
        <w:rPr>
          <w:rStyle w:val="a7"/>
          <w:rtl/>
        </w:rPr>
        <w:footnoteReference w:id="1658"/>
      </w:r>
      <w:r>
        <w:rPr>
          <w:rtl/>
        </w:rPr>
        <w:t xml:space="preserve">דָּא בִינָה, </w:t>
      </w:r>
      <w:r>
        <w:rPr>
          <w:rStyle w:val="a7"/>
          <w:rtl/>
        </w:rPr>
        <w:footnoteReference w:id="1659"/>
      </w:r>
      <w:r>
        <w:rPr>
          <w:rtl/>
        </w:rPr>
        <w:t xml:space="preserve">מִ''י, וַעֲלָהּ אִתְּמַר </w:t>
      </w:r>
      <w:r>
        <w:rPr>
          <w:sz w:val="20"/>
          <w:szCs w:val="23"/>
          <w:rtl/>
        </w:rPr>
        <w:t>(ישעיה מ כה)</w:t>
      </w:r>
      <w:r>
        <w:rPr>
          <w:rtl/>
        </w:rPr>
        <w:t xml:space="preserve"> וְאֶל מִי תְדַמְּיוּנִי וְאֶשְׁוְה, אֶל מִי וַדַּאי, וְהָא אוּקְמוּהוּ מָארֵי מַתְנִיתִין, חֲמִשָּׁה דְבָרִים אִלֵּין, חֲמִשָּׁה וַדַּאי, בְּגִין דְּאִינוּן מִסִּטְרָא דְה' עִלָּאָה.</w:t>
      </w:r>
    </w:p>
    <w:p w:rsidR="00606298" w:rsidRDefault="00606298" w:rsidP="00B17EA9">
      <w:pPr>
        <w:pStyle w:val="NormalWeb"/>
        <w:rPr>
          <w:rtl/>
        </w:rPr>
      </w:pPr>
      <w:r>
        <w:rPr>
          <w:rtl/>
        </w:rPr>
        <w:t xml:space="preserve">וְאִינוּן </w:t>
      </w:r>
      <w:r>
        <w:rPr>
          <w:rStyle w:val="a7"/>
          <w:rtl/>
        </w:rPr>
        <w:footnoteReference w:id="1660"/>
      </w:r>
      <w:r>
        <w:rPr>
          <w:rtl/>
        </w:rPr>
        <w:t xml:space="preserve">כֻּלְּהוּ תִקּוּנִין בְּלֵב, כְּמָה דְאוּקְמוּהוּ מָארֵי מַתְנִיתִין הַלֵּב מֵבִין, הַלֵּב רוֹאֶה, הַלֵּב שׁוֹמֵעַ, (הָא תְּלַת, הַלֵּב יוֹדֵעַ, וּבְלֵּב כָּל וגו') </w:t>
      </w:r>
      <w:r>
        <w:rPr>
          <w:rStyle w:val="a7"/>
          <w:rtl/>
        </w:rPr>
        <w:footnoteReference w:id="1661"/>
      </w:r>
      <w:r>
        <w:rPr>
          <w:rtl/>
        </w:rPr>
        <w:t>ה' אִיהִי מַמָּשׁ הֲבַל, הָא אִינוּן חָמֵשׁ, וּמִנֵּיהּ מַחֲשָׁבָה וְרוּחָא דְפוּמָא דְסָלִיק בָּהּ קָלָא (וַאֲמִירָה) וְדִבּוּרָא (</w:t>
      </w:r>
      <w:r>
        <w:rPr>
          <w:rStyle w:val="a7"/>
          <w:rtl/>
        </w:rPr>
        <w:footnoteReference w:id="1662"/>
      </w:r>
      <w:r>
        <w:rPr>
          <w:rtl/>
        </w:rPr>
        <w:t xml:space="preserve">דָא ו'), עַרְקִין דְּלִבָּא אִינוּן כַּחֲיָילִין בָּתַר מַלְכֵהוֹן, וְרָזָא דְמִלָּה </w:t>
      </w:r>
      <w:r>
        <w:rPr>
          <w:sz w:val="20"/>
          <w:szCs w:val="23"/>
          <w:rtl/>
        </w:rPr>
        <w:t>(יחזקאל א יב)</w:t>
      </w:r>
      <w:r>
        <w:rPr>
          <w:rtl/>
        </w:rPr>
        <w:t xml:space="preserve"> אֶל אֲשֶׁר יִהְיֶה שָּׁמָּה הָרוּחַ לָלֶכֶת יֵלֵכוּ, הָכִי מִתְנַהֲגִין עַרְקִין דְּלִבָּא לְגַבֵּי רוּחָא (הֲרֵי לָךְ רוּחַ בְּלֵב,) דְּנָפִיק מֵאֹזֶן שְׂמָאלָא דְלִבָּא, וְאִיהוּ הֲוָה רוּחַ צְפוֹנִית דְּבָטַשׁ בְּכִנּוֹר דְּדָוִד, וּבְהַאי רוּחָא הֲוָה בָטַשׁ בְּחָמֵשׁ נִימִין דְּכִנּוֹר, דְּאִינוּן </w:t>
      </w:r>
      <w:r>
        <w:rPr>
          <w:rStyle w:val="a7"/>
          <w:rtl/>
        </w:rPr>
        <w:footnoteReference w:id="1663"/>
      </w:r>
      <w:r>
        <w:rPr>
          <w:rtl/>
        </w:rPr>
        <w:t xml:space="preserve">חָמֵשׁ כַּנְפֵי רֵיאָה, וּבְקָנֶה, וְסָלִיק קוֹל, (מִלִבָּא, וְאִיהוּ) וְלִבָּא אִיהוּ אֵשׁ אוֹכְלָא, מֵאוּדְנָא יְמִינָא דְלִבָּא </w:t>
      </w:r>
      <w:r>
        <w:rPr>
          <w:rStyle w:val="a7"/>
          <w:rtl/>
        </w:rPr>
        <w:footnoteReference w:id="1664"/>
      </w:r>
      <w:r>
        <w:rPr>
          <w:rtl/>
        </w:rPr>
        <w:t xml:space="preserve">דְאִיהִי כְּלַפֵּי כָּבֵד, וּמִנֵּיהּ נָפִיק דִּבּוּר, הֲדָא הוּא דִכְתִיב </w:t>
      </w:r>
      <w:r>
        <w:rPr>
          <w:sz w:val="20"/>
          <w:szCs w:val="23"/>
          <w:rtl/>
        </w:rPr>
        <w:t>(ירמיה כג כט)</w:t>
      </w:r>
      <w:r>
        <w:rPr>
          <w:rtl/>
        </w:rPr>
        <w:t xml:space="preserve"> הֲלֹא כֹה דְבָרִי כָּאֵשׁ, וְאִי לַאו כַּנְפֵי רֵיאָה </w:t>
      </w:r>
      <w:r>
        <w:rPr>
          <w:rStyle w:val="a7"/>
          <w:rtl/>
        </w:rPr>
        <w:footnoteReference w:id="1665"/>
      </w:r>
      <w:r>
        <w:rPr>
          <w:rtl/>
        </w:rPr>
        <w:t xml:space="preserve">דְנָשְׁבִין עַל לִבָּא, הֲוָה אוֹקִיד כָּל גּוּפָא, מַחֲשָׁבָה בְּלִבָּא וְדָא י', </w:t>
      </w:r>
      <w:r>
        <w:rPr>
          <w:rStyle w:val="a7"/>
          <w:rtl/>
        </w:rPr>
        <w:footnoteReference w:id="1666"/>
      </w:r>
      <w:r>
        <w:rPr>
          <w:rtl/>
        </w:rPr>
        <w:t>דְּה' ה' אִנּוּן קָלָא וְדִבּוּרָא, ו' רוּחָא כְלִיל כֹּלָּא.</w:t>
      </w:r>
    </w:p>
    <w:p w:rsidR="00606298" w:rsidRDefault="00606298" w:rsidP="00B17EA9">
      <w:pPr>
        <w:pStyle w:val="NormalWeb"/>
        <w:rPr>
          <w:rtl/>
        </w:rPr>
      </w:pPr>
      <w:r>
        <w:rPr>
          <w:rtl/>
        </w:rPr>
        <w:t xml:space="preserve">רְבִיעָאָה בְּמִזְמוֹר, וְדָא הוּא דְרוֹעָא יְמִינָא, הֲדָא הוּא דִכְתִיב </w:t>
      </w:r>
      <w:r>
        <w:rPr>
          <w:sz w:val="20"/>
          <w:szCs w:val="23"/>
          <w:rtl/>
        </w:rPr>
        <w:t>(תהלים צח א)</w:t>
      </w:r>
      <w:r>
        <w:rPr>
          <w:rtl/>
        </w:rPr>
        <w:t xml:space="preserve"> מִזְמוֹר שִׁירוּ לַיְיָ' שִׁיר חָדָשׁ כִּי נִפְלָאוֹת עָשָׂה הוֹשִׁיעָה לּוֹ יְמִינוֹ, וַעֲלָהּ אִתְּמַר </w:t>
      </w:r>
      <w:r>
        <w:rPr>
          <w:sz w:val="20"/>
          <w:szCs w:val="23"/>
          <w:rtl/>
        </w:rPr>
        <w:t>(שם ס ז)</w:t>
      </w:r>
      <w:r>
        <w:rPr>
          <w:rtl/>
        </w:rPr>
        <w:t xml:space="preserve"> הוֹשִׁיעָה יְמִינְךָ, וְאִיהוּ בְגָלוּתָא עִם שְׁכִינְתָּא, וְאִיהוּ תְמִיךְ לָהּ, </w:t>
      </w:r>
      <w:r>
        <w:rPr>
          <w:rStyle w:val="a7"/>
          <w:rtl/>
        </w:rPr>
        <w:footnoteReference w:id="1667"/>
      </w:r>
      <w:r>
        <w:rPr>
          <w:rtl/>
        </w:rPr>
        <w:t xml:space="preserve">וְרָזָא דְמִלָּה </w:t>
      </w:r>
      <w:r>
        <w:rPr>
          <w:sz w:val="20"/>
          <w:szCs w:val="23"/>
          <w:rtl/>
        </w:rPr>
        <w:t>(ישעיה נג א)</w:t>
      </w:r>
      <w:r>
        <w:rPr>
          <w:rtl/>
        </w:rPr>
        <w:t xml:space="preserve"> וּזְרוֹעַ יְיָ' עַל מִי נִגְלָתָה, וּבֵיהּ אוֹמָאָה דְפוּרְקָנָא, הֲדָא הוּא דִכְתִיב </w:t>
      </w:r>
      <w:r>
        <w:rPr>
          <w:sz w:val="20"/>
          <w:szCs w:val="23"/>
          <w:rtl/>
        </w:rPr>
        <w:t>(שם סב ח)</w:t>
      </w:r>
      <w:r>
        <w:rPr>
          <w:rtl/>
        </w:rPr>
        <w:t xml:space="preserve"> נִשְׁבַּע יְיָ' בִּימִינוֹ וּבִזְרוֹעַ עְִזוֹ, וְעוֹד </w:t>
      </w:r>
      <w:r>
        <w:rPr>
          <w:sz w:val="20"/>
          <w:szCs w:val="23"/>
          <w:rtl/>
        </w:rPr>
        <w:t>(רות ג יג)</w:t>
      </w:r>
      <w:r>
        <w:rPr>
          <w:rtl/>
        </w:rPr>
        <w:t xml:space="preserve"> חַי יְיָ' שִׁכְבִי </w:t>
      </w:r>
      <w:r>
        <w:rPr>
          <w:rStyle w:val="a7"/>
          <w:rtl/>
        </w:rPr>
        <w:footnoteReference w:id="1668"/>
      </w:r>
      <w:r>
        <w:rPr>
          <w:rtl/>
        </w:rPr>
        <w:t>עַד הַבֹּקֶר.</w:t>
      </w:r>
    </w:p>
    <w:p w:rsidR="00606298" w:rsidRDefault="00606298" w:rsidP="00134F53">
      <w:pPr>
        <w:pStyle w:val="2"/>
        <w:rPr>
          <w:rtl/>
        </w:rPr>
      </w:pPr>
      <w:bookmarkStart w:id="116" w:name="_Toc228095613"/>
      <w:bookmarkStart w:id="117" w:name="_Toc231638051"/>
      <w:bookmarkStart w:id="118" w:name="_Toc405982963"/>
      <w:r>
        <w:rPr>
          <w:rtl/>
        </w:rPr>
        <w:t>[תיקוני זוהר - דף כד ע''ב]</w:t>
      </w:r>
      <w:bookmarkEnd w:id="116"/>
      <w:bookmarkEnd w:id="117"/>
      <w:bookmarkEnd w:id="118"/>
    </w:p>
    <w:p w:rsidR="00606298" w:rsidRDefault="00606298" w:rsidP="00B17EA9">
      <w:pPr>
        <w:pStyle w:val="NormalWeb"/>
        <w:rPr>
          <w:rtl/>
        </w:rPr>
      </w:pPr>
      <w:r>
        <w:rPr>
          <w:rStyle w:val="a7"/>
          <w:rtl/>
        </w:rPr>
        <w:footnoteReference w:id="1669"/>
      </w:r>
      <w:r>
        <w:rPr>
          <w:rtl/>
        </w:rPr>
        <w:t xml:space="preserve">וְאַמַּאי אִתְקְרֵי זְרוֹעַ יְיָ', בְּגִין דְּכַף הַיָּד בֵּיהּ י', חָמֵשׁ אֶצְבְּעָאן ה', קָנֶה דִימִינָא דְאִיהוּ דְרוֹעָא ו', כָּתֵף בֵּיהּ ה', </w:t>
      </w:r>
      <w:r>
        <w:rPr>
          <w:rStyle w:val="a7"/>
          <w:rtl/>
        </w:rPr>
        <w:footnoteReference w:id="1670"/>
      </w:r>
      <w:r>
        <w:rPr>
          <w:rtl/>
        </w:rPr>
        <w:t xml:space="preserve">וְדָא עַמּוּדָא דְאֶמְצָעִיתָא דְאִתְקַשַּׁר בִּימִינָא, לְאַקָּמָא בֵּיהּ שְׁכִינְתָּא בְגָלוּתָא, וּמֹשֶׁה דְאִיהוּ דִיּוֹקְנָא דְעַמּוּדָא דְאֶמְצָעִיתָא, אִתְּמַר בֵּיהּ </w:t>
      </w:r>
      <w:r>
        <w:rPr>
          <w:sz w:val="20"/>
          <w:szCs w:val="23"/>
          <w:rtl/>
        </w:rPr>
        <w:t>(ישעיה סג יב)</w:t>
      </w:r>
      <w:r>
        <w:rPr>
          <w:rtl/>
        </w:rPr>
        <w:t xml:space="preserve"> מוֹלִיךְ לִימִין מֹשֶׁה </w:t>
      </w:r>
      <w:r>
        <w:rPr>
          <w:rStyle w:val="a7"/>
          <w:rtl/>
        </w:rPr>
        <w:footnoteReference w:id="1671"/>
      </w:r>
      <w:r>
        <w:rPr>
          <w:rtl/>
        </w:rPr>
        <w:t xml:space="preserve">זְרוֹעַ תִּפְאַרְתּוֹ, </w:t>
      </w:r>
      <w:r>
        <w:rPr>
          <w:rStyle w:val="a7"/>
          <w:rtl/>
        </w:rPr>
        <w:footnoteReference w:id="1672"/>
      </w:r>
      <w:r>
        <w:rPr>
          <w:rtl/>
        </w:rPr>
        <w:t xml:space="preserve">וְאִיהוּ בּוֹקֵעַ מַיָּא דְאוֹרַיְיתָא לְגַבֵּי </w:t>
      </w:r>
      <w:r>
        <w:rPr>
          <w:rStyle w:val="a7"/>
          <w:rtl/>
        </w:rPr>
        <w:footnoteReference w:id="1673"/>
      </w:r>
      <w:r>
        <w:rPr>
          <w:rtl/>
        </w:rPr>
        <w:t xml:space="preserve">זֶרַע </w:t>
      </w:r>
      <w:r>
        <w:rPr>
          <w:rStyle w:val="a7"/>
          <w:rtl/>
        </w:rPr>
        <w:footnoteReference w:id="1674"/>
      </w:r>
      <w:r>
        <w:rPr>
          <w:rtl/>
        </w:rPr>
        <w:t xml:space="preserve">אַבְרָהָם דְּאִיהוּ </w:t>
      </w:r>
      <w:r w:rsidRPr="00806CC4">
        <w:rPr>
          <w:rStyle w:val="20"/>
          <w:rtl/>
        </w:rPr>
        <w:t>(דף כד ע''ב)</w:t>
      </w:r>
      <w:r>
        <w:rPr>
          <w:sz w:val="20"/>
          <w:szCs w:val="23"/>
          <w:rtl/>
        </w:rPr>
        <w:t xml:space="preserve"> </w:t>
      </w:r>
      <w:r>
        <w:rPr>
          <w:rtl/>
        </w:rPr>
        <w:t xml:space="preserve">יְמִינָא, לְמֶהֱוֵי לֵיהּ שֵׁם עוֹלָם, וְאִתְקַשַּׁר </w:t>
      </w:r>
      <w:r>
        <w:rPr>
          <w:rStyle w:val="a7"/>
          <w:rtl/>
        </w:rPr>
        <w:footnoteReference w:id="1675"/>
      </w:r>
      <w:r>
        <w:rPr>
          <w:rtl/>
        </w:rPr>
        <w:t xml:space="preserve">בְּה' דְּאַבְרָהָם, דְּאִיהוּ חֲמִשָּׁה חוּמְשֵׁי תוֹרָה, </w:t>
      </w:r>
      <w:r>
        <w:rPr>
          <w:rStyle w:val="a7"/>
          <w:rtl/>
        </w:rPr>
        <w:footnoteReference w:id="1676"/>
      </w:r>
      <w:r>
        <w:rPr>
          <w:rtl/>
        </w:rPr>
        <w:t xml:space="preserve">וּבָהּ אִשְׁתַּלִּים מֹשֶׁה, וּמִיָּד דְּאִשְׁתַּלִּים אִתְגַּלְיָא עֲלֵיהּ יְמִינָא, </w:t>
      </w:r>
      <w:r>
        <w:rPr>
          <w:rStyle w:val="a7"/>
          <w:rtl/>
        </w:rPr>
        <w:footnoteReference w:id="1677"/>
      </w:r>
      <w:r>
        <w:rPr>
          <w:rtl/>
        </w:rPr>
        <w:t xml:space="preserve">וְדָא הוּא </w:t>
      </w:r>
      <w:r>
        <w:rPr>
          <w:sz w:val="20"/>
          <w:szCs w:val="23"/>
          <w:rtl/>
        </w:rPr>
        <w:t>(ישעיה נג א)</w:t>
      </w:r>
      <w:r>
        <w:rPr>
          <w:rtl/>
        </w:rPr>
        <w:t xml:space="preserve"> וּזְרוֹעַ יְיָ' עַל מִי נִגְלָתָה.</w:t>
      </w:r>
    </w:p>
    <w:p w:rsidR="00606298" w:rsidRDefault="00606298" w:rsidP="00B17EA9">
      <w:pPr>
        <w:pStyle w:val="NormalWeb"/>
        <w:rPr>
          <w:rtl/>
        </w:rPr>
      </w:pPr>
      <w:r>
        <w:rPr>
          <w:rtl/>
        </w:rPr>
        <w:t xml:space="preserve">חֲמִשָּׁאָה בְּנִגּוּן, בְּגִין דְּהַאי נִיגוּן סָלִיק מִנֵּיהּ כַּמָּה נְגִינוֹת, עוּלֵימָן מִסִּטְרָא דִשְׂמָאלָא, דְּמִתַּמָּן רוּחַ צָפוֹן הֲוָה נָחֲתָא בְכִנּוֹר דָּוִד וַהֲוָה מְנַגֵּן מֵאֵלָיו, הֲדָא הוּא דִכְתִיב </w:t>
      </w:r>
      <w:r>
        <w:rPr>
          <w:sz w:val="20"/>
          <w:szCs w:val="23"/>
          <w:rtl/>
        </w:rPr>
        <w:t>(מלכים ב ג טו)</w:t>
      </w:r>
      <w:r>
        <w:rPr>
          <w:rtl/>
        </w:rPr>
        <w:t xml:space="preserve"> וְהָיָה כְּנַגֵּן הַמְנַגֵּן וְגוֹמֵר.</w:t>
      </w:r>
    </w:p>
    <w:p w:rsidR="00806CC4" w:rsidRDefault="00806CC4" w:rsidP="00806CC4">
      <w:pPr>
        <w:pStyle w:val="2"/>
        <w:jc w:val="right"/>
        <w:rPr>
          <w:rtl/>
        </w:rPr>
      </w:pPr>
      <w:r w:rsidRPr="00CA0F4E">
        <w:rPr>
          <w:rFonts w:hint="cs"/>
          <w:rtl/>
        </w:rPr>
        <w:t>[</w:t>
      </w:r>
      <w:r>
        <w:rPr>
          <w:rFonts w:hint="cs"/>
          <w:rtl/>
        </w:rPr>
        <w:t xml:space="preserve">דפוס </w:t>
      </w:r>
      <w:r w:rsidRPr="00CA0F4E">
        <w:rPr>
          <w:rFonts w:hint="cs"/>
          <w:rtl/>
        </w:rPr>
        <w:t xml:space="preserve">וילנא </w:t>
      </w:r>
      <w:r>
        <w:rPr>
          <w:rFonts w:hint="cs"/>
          <w:rtl/>
        </w:rPr>
        <w:t xml:space="preserve">דף </w:t>
      </w:r>
      <w:r w:rsidRPr="00CA0F4E">
        <w:rPr>
          <w:rFonts w:hint="cs"/>
          <w:rtl/>
        </w:rPr>
        <w:t>לז ע"א]</w:t>
      </w:r>
    </w:p>
    <w:p w:rsidR="00606298" w:rsidRDefault="00606298" w:rsidP="00806CC4">
      <w:pPr>
        <w:pStyle w:val="NormalWeb"/>
        <w:rPr>
          <w:rtl/>
        </w:rPr>
      </w:pPr>
      <w:r>
        <w:rPr>
          <w:rStyle w:val="a7"/>
          <w:rtl/>
        </w:rPr>
        <w:footnoteReference w:id="1678"/>
      </w:r>
      <w:r>
        <w:rPr>
          <w:rtl/>
        </w:rPr>
        <w:t xml:space="preserve">וּמִתַּמָּן רְעַמִין נָפְקִין, הֲדָא הוּא דִכְתִיב </w:t>
      </w:r>
      <w:r>
        <w:rPr>
          <w:sz w:val="20"/>
          <w:szCs w:val="23"/>
          <w:rtl/>
        </w:rPr>
        <w:t>(איוב כו יד)</w:t>
      </w:r>
      <w:r>
        <w:rPr>
          <w:rtl/>
        </w:rPr>
        <w:t xml:space="preserve"> וְרַעַם גְּבוּרוֹתָיו מִי יִתְבּוֹנָן, </w:t>
      </w:r>
      <w:r>
        <w:rPr>
          <w:rStyle w:val="a7"/>
          <w:rtl/>
        </w:rPr>
        <w:footnoteReference w:id="1679"/>
      </w:r>
      <w:r>
        <w:rPr>
          <w:rtl/>
        </w:rPr>
        <w:t xml:space="preserve">וּמִתַּמָּן </w:t>
      </w:r>
      <w:r w:rsidR="00806CC4">
        <w:rPr>
          <w:sz w:val="20"/>
          <w:szCs w:val="23"/>
          <w:rtl/>
        </w:rPr>
        <w:t>(ישעיה כד יט)</w:t>
      </w:r>
      <w:r w:rsidR="00806CC4">
        <w:rPr>
          <w:rFonts w:hint="cs"/>
          <w:sz w:val="20"/>
          <w:szCs w:val="23"/>
          <w:rtl/>
        </w:rPr>
        <w:t xml:space="preserve"> </w:t>
      </w:r>
      <w:r>
        <w:rPr>
          <w:rtl/>
        </w:rPr>
        <w:t xml:space="preserve">רֹעָה הִתְרֹעֲעָה הָאָרֶץ </w:t>
      </w:r>
      <w:r w:rsidR="00806CC4" w:rsidRPr="00CA0F4E">
        <w:rPr>
          <w:rFonts w:asciiTheme="majorHAnsi" w:eastAsiaTheme="majorEastAsia" w:hAnsiTheme="majorHAnsi" w:cstheme="majorBidi" w:hint="cs"/>
          <w:i/>
          <w:iCs/>
          <w:color w:val="4F81BD" w:themeColor="accent1"/>
          <w:sz w:val="24"/>
          <w:rtl/>
        </w:rPr>
        <w:t>(וילנא לז ע"א)</w:t>
      </w:r>
      <w:r w:rsidR="00806CC4" w:rsidRPr="00CA0F4E">
        <w:rPr>
          <w:rFonts w:ascii="Times New Roman" w:hAnsi="Times New Roman" w:cs="Arial" w:hint="cs"/>
          <w:sz w:val="24"/>
          <w:rtl/>
        </w:rPr>
        <w:t xml:space="preserve"> </w:t>
      </w:r>
      <w:r>
        <w:rPr>
          <w:rtl/>
        </w:rPr>
        <w:t>בִּתְרו</w:t>
      </w:r>
      <w:r w:rsidR="00806CC4">
        <w:rPr>
          <w:rtl/>
        </w:rPr>
        <w:t>ּעָה, פּוֹר הִתְפּוֹרְרָה אֶרֶץ</w:t>
      </w:r>
      <w:r w:rsidR="00806CC4">
        <w:rPr>
          <w:rFonts w:hint="cs"/>
          <w:rtl/>
        </w:rPr>
        <w:t xml:space="preserve"> </w:t>
      </w:r>
      <w:r>
        <w:rPr>
          <w:rtl/>
        </w:rPr>
        <w:t xml:space="preserve">בִּשְׁבָרִים, </w:t>
      </w:r>
      <w:r w:rsidR="00806CC4">
        <w:rPr>
          <w:rStyle w:val="a7"/>
          <w:rtl/>
        </w:rPr>
        <w:footnoteReference w:id="1680"/>
      </w:r>
      <w:r>
        <w:rPr>
          <w:rtl/>
        </w:rPr>
        <w:t>מוֹט הִתְמוֹטְטָה אָרֶץ בִּתְקִיעָה, מִסִּטְרָא דְמַטֶּה כְּלַפֵּי חֶסֶד</w:t>
      </w:r>
      <w:r w:rsidR="00806CC4">
        <w:rPr>
          <w:rFonts w:hint="cs"/>
          <w:rtl/>
        </w:rPr>
        <w:t>.</w:t>
      </w:r>
      <w:r>
        <w:rPr>
          <w:rtl/>
        </w:rPr>
        <w:t xml:space="preserve"> בְּהַהוּא זִמְנָא תְּלַת אֲבָהָן מִתְקַשְּׁרִין בִּגְבוּרָה, </w:t>
      </w:r>
      <w:r>
        <w:rPr>
          <w:rStyle w:val="a7"/>
          <w:rtl/>
        </w:rPr>
        <w:footnoteReference w:id="1681"/>
      </w:r>
      <w:r>
        <w:rPr>
          <w:rtl/>
        </w:rPr>
        <w:t xml:space="preserve">וְאִתְעֲבִידוּ בָהּ תְּרוּעָה שְׁבָרִים תְּקִיעָה, וּבְהוֹן עָלָה אלהי''ם בִּתְרוּעָה, וְדָא יְהֵא בְסוֹף יוֹמַיָּא, וְכָל אָתִין אִלֵּין </w:t>
      </w:r>
      <w:r>
        <w:rPr>
          <w:rStyle w:val="a7"/>
          <w:rtl/>
        </w:rPr>
        <w:footnoteReference w:id="1682"/>
      </w:r>
      <w:r>
        <w:rPr>
          <w:rtl/>
        </w:rPr>
        <w:t>בְּאַרְעָא דְיִשְׂרָאֵל יְהוֹן, בְּגִין דְּתַמָּן חֶבְרוֹן דַּאֲבָהָן תַּמָּן קְבוּרִים.</w:t>
      </w:r>
    </w:p>
    <w:p w:rsidR="00606298" w:rsidRDefault="00606298" w:rsidP="00B17EA9">
      <w:pPr>
        <w:pStyle w:val="NormalWeb"/>
        <w:rPr>
          <w:rtl/>
        </w:rPr>
      </w:pPr>
      <w:r>
        <w:rPr>
          <w:rtl/>
        </w:rPr>
        <w:t xml:space="preserve">שְׁתִיתָאָה </w:t>
      </w:r>
      <w:r>
        <w:rPr>
          <w:rStyle w:val="a7"/>
          <w:rtl/>
        </w:rPr>
        <w:footnoteReference w:id="1683"/>
      </w:r>
      <w:r>
        <w:rPr>
          <w:rtl/>
        </w:rPr>
        <w:t xml:space="preserve">הַלְלוּיָהּ הַלְלוּהוּ </w:t>
      </w:r>
      <w:r>
        <w:rPr>
          <w:rStyle w:val="a7"/>
          <w:rtl/>
        </w:rPr>
        <w:footnoteReference w:id="1684"/>
      </w:r>
      <w:r>
        <w:rPr>
          <w:rtl/>
        </w:rPr>
        <w:t xml:space="preserve">וְדָא ה''ו, עֲלֵיהּ אִתְּמַר </w:t>
      </w:r>
      <w:r>
        <w:rPr>
          <w:sz w:val="20"/>
          <w:szCs w:val="23"/>
          <w:rtl/>
        </w:rPr>
        <w:t>(שמות יב מב)</w:t>
      </w:r>
      <w:r>
        <w:rPr>
          <w:rtl/>
        </w:rPr>
        <w:t xml:space="preserve"> לֵיל שִׁמּוּרִים הוּא לַיְיָ', וְדָא אִיהוּ עַמּוּדָא דְאֶמְצָעִיתָא, </w:t>
      </w:r>
      <w:r>
        <w:rPr>
          <w:rStyle w:val="a7"/>
          <w:rtl/>
        </w:rPr>
        <w:footnoteReference w:id="1685"/>
      </w:r>
      <w:r>
        <w:rPr>
          <w:rtl/>
        </w:rPr>
        <w:t xml:space="preserve">וְרָזָא דְמִלָּה </w:t>
      </w:r>
      <w:r>
        <w:rPr>
          <w:sz w:val="20"/>
          <w:szCs w:val="23"/>
          <w:rtl/>
        </w:rPr>
        <w:t>(ירמיה לא ו)</w:t>
      </w:r>
      <w:r>
        <w:rPr>
          <w:rtl/>
        </w:rPr>
        <w:t xml:space="preserve"> הַשְׁמִיעוּ הַלְלוּ, וְאִמְרוּ הוֹשַׁע יְיָ' אֶת עַמְּךָ אֵת שְׁאֵרִית יִשְׂרָאֵל, לְקַיֵּים קְרָא </w:t>
      </w:r>
      <w:r>
        <w:rPr>
          <w:sz w:val="20"/>
          <w:szCs w:val="23"/>
          <w:rtl/>
        </w:rPr>
        <w:t>(מיכה ז טו)</w:t>
      </w:r>
      <w:r>
        <w:rPr>
          <w:rtl/>
        </w:rPr>
        <w:t xml:space="preserve"> כִּימֵי צֵאתְךָ מֵאֶרֶץ מִצְרָיִם אַרְאֶנּוּ נִפְלָאוֹת.</w:t>
      </w:r>
    </w:p>
    <w:p w:rsidR="00606298" w:rsidRDefault="00606298" w:rsidP="00B17EA9">
      <w:pPr>
        <w:pStyle w:val="NormalWeb"/>
        <w:rPr>
          <w:rtl/>
        </w:rPr>
      </w:pPr>
      <w:r>
        <w:rPr>
          <w:rStyle w:val="a7"/>
          <w:rtl/>
        </w:rPr>
        <w:footnoteReference w:id="1686"/>
      </w:r>
      <w:r>
        <w:rPr>
          <w:rtl/>
        </w:rPr>
        <w:t xml:space="preserve">וְרָזָא דְמִלָּה </w:t>
      </w:r>
      <w:r>
        <w:rPr>
          <w:sz w:val="20"/>
          <w:szCs w:val="23"/>
          <w:rtl/>
        </w:rPr>
        <w:t>(קהלת א ט)</w:t>
      </w:r>
      <w:r>
        <w:rPr>
          <w:rtl/>
        </w:rPr>
        <w:t xml:space="preserve"> מַ''ה שֶּׁ''הָיָה ה''וּא שֶׁיִּהְיֶה, וּבֵיהּ </w:t>
      </w:r>
      <w:r>
        <w:rPr>
          <w:sz w:val="20"/>
          <w:szCs w:val="23"/>
          <w:rtl/>
        </w:rPr>
        <w:t>(תהלים לג יד)</w:t>
      </w:r>
      <w:r>
        <w:rPr>
          <w:rtl/>
        </w:rPr>
        <w:t xml:space="preserve"> מִ''מְּכוֹן שִׁ''בְתּוֹ הִ''שְׁגִּיחַ, </w:t>
      </w:r>
      <w:r>
        <w:rPr>
          <w:rStyle w:val="a7"/>
          <w:rtl/>
        </w:rPr>
        <w:footnoteReference w:id="1687"/>
      </w:r>
      <w:r>
        <w:rPr>
          <w:rtl/>
        </w:rPr>
        <w:t>בְּגִין דְּאִיהוּ דִיּוֹקְנָא דְעַמּוּדָא דְאֶמְצָעִיתָא, בְּהַהוּא זִמְנָא אִתְקַיַּים רָזָא דְמַתְנִיתִין דְּאָמַר אוֹכְלִין כָּל אַרְבַּע, וְתוֹלִין כָּל חָמֵשׁ דְּהַיְינוּ אֶלֶף חֲמִשָּׁאָה, וְשׂוֹרְפִין בִּתְחִלַּת שֵׁשׁ דְּאִיהוּ אֶלֶף שְׁתִיתָאָה.</w:t>
      </w:r>
    </w:p>
    <w:p w:rsidR="00606298" w:rsidRDefault="00606298" w:rsidP="00B17EA9">
      <w:pPr>
        <w:pStyle w:val="NormalWeb"/>
        <w:rPr>
          <w:rtl/>
        </w:rPr>
      </w:pPr>
      <w:r>
        <w:rPr>
          <w:rtl/>
        </w:rPr>
        <w:t xml:space="preserve">וּבְגִין דְּלָא יַפְרִישׁוּ בֵּין שֵׁשׁ דְּאִיהוּ עַמּוּדָא דְאֶמְצָעִיתָא, וּבֵין שֶׁבַע דְּאִיהִי בַת זוּגֵיהּ, צָרִיךְ לְבַעֲרָא שְׂאוֹר וְחָמֵץ דְּאִינוּן עִרֶב רַב, דְּלָא יִתְחַזְיָין בֵּין שֵׁשׁ דְּאִיהוּ ו', וּבֵין שֶׁבַע דְּאִתְּמַר בָּהּ </w:t>
      </w:r>
      <w:r>
        <w:rPr>
          <w:sz w:val="20"/>
          <w:szCs w:val="23"/>
          <w:rtl/>
        </w:rPr>
        <w:t>(שם קיט קסד)</w:t>
      </w:r>
      <w:r>
        <w:rPr>
          <w:rtl/>
        </w:rPr>
        <w:t xml:space="preserve"> שֶׁבַע בַּיּוֹם הִלַּלְתִּיךָ, בְּגִין דְּעִרֶב רַב אַפְרִישׁוּ בֵּין שֵׁשׁ לְשֶׁבַע בְּמַתַּן תּוֹרָה, כְּמָה דְאַתְּ אָמַר </w:t>
      </w:r>
      <w:r>
        <w:rPr>
          <w:sz w:val="20"/>
          <w:szCs w:val="23"/>
          <w:rtl/>
        </w:rPr>
        <w:t>(שמות לב א)</w:t>
      </w:r>
      <w:r>
        <w:rPr>
          <w:rtl/>
        </w:rPr>
        <w:t xml:space="preserve"> וַיַּרְא הָעָם כִּי בֹשֵׁשׁ מֹשֶׁה, וְאוּקְמוּהוּ בַשֵּׁשׁ, בְּאִלֵּין שִׁית שַׁעְתִּין עֲבַדוּ יָת עֶגְלָא, וְאַפְרִישׁוּ בֵּין ו''ה דְּאִינוּן שֵׁשׁ לְשֶׁבַע, </w:t>
      </w:r>
      <w:r>
        <w:rPr>
          <w:rStyle w:val="a7"/>
          <w:rtl/>
        </w:rPr>
        <w:footnoteReference w:id="1688"/>
      </w:r>
      <w:r>
        <w:rPr>
          <w:rtl/>
        </w:rPr>
        <w:t>הָכִי יַפְרִישׁ לוֹן קוּדְשָׁא בְּרִיךְ הוּא בֵּין שֵׁשׁ לְשֶׁבַע.</w:t>
      </w:r>
    </w:p>
    <w:p w:rsidR="00606298" w:rsidRDefault="00606298" w:rsidP="00B17EA9">
      <w:pPr>
        <w:pStyle w:val="NormalWeb"/>
        <w:rPr>
          <w:rtl/>
        </w:rPr>
      </w:pPr>
      <w:r>
        <w:rPr>
          <w:rStyle w:val="a7"/>
          <w:rtl/>
        </w:rPr>
        <w:footnoteReference w:id="1689"/>
      </w:r>
      <w:r>
        <w:rPr>
          <w:rtl/>
        </w:rPr>
        <w:t xml:space="preserve">דִּבְגִינַיְיהוּ הֲוַת מַצָּה פְּרוּסָה לֶחֶם עֹנִי עָנִי וַדַּאי, וּבְהַהוּא זִמְנָא תְּהֵא שְׁלֵימָה כְּגַוְונָא דַחֲבֵרְתָּה דְאִיהִי מַצָּה שְׁלֵימָה, הֲדָא הוּא דִכְתִיב </w:t>
      </w:r>
      <w:r>
        <w:rPr>
          <w:sz w:val="20"/>
          <w:szCs w:val="23"/>
          <w:rtl/>
        </w:rPr>
        <w:t>(ישעיה ל כו)</w:t>
      </w:r>
      <w:r>
        <w:rPr>
          <w:rtl/>
        </w:rPr>
        <w:t xml:space="preserve"> וְהָיָה אוֹר הַלְּבָנָה </w:t>
      </w:r>
      <w:r>
        <w:rPr>
          <w:rStyle w:val="a7"/>
          <w:rtl/>
        </w:rPr>
        <w:footnoteReference w:id="1690"/>
      </w:r>
      <w:r>
        <w:rPr>
          <w:rtl/>
        </w:rPr>
        <w:t xml:space="preserve">כְּאוֹר הַחַמָּה, וְאַמַּאי הֲוַת מַצָּה פְּרוּסָה, בְּגִין דְּאִסְתַּלַּק מִנָּהּ ו' רֶגֶל דִּילָהּ לְמֶהֱוֵי בֵּיהּ </w:t>
      </w:r>
      <w:r>
        <w:rPr>
          <w:rStyle w:val="a7"/>
          <w:rtl/>
        </w:rPr>
        <w:footnoteReference w:id="1691"/>
      </w:r>
      <w:r>
        <w:rPr>
          <w:rtl/>
        </w:rPr>
        <w:t xml:space="preserve">כְּמִצְוָה, וּמַצָּה פְּרוּסָה אִשְׁתְּאָרַת ד', וּבְגִין דָּא מַצָּה פְּרוּסָה ד', מַצָּה שְׁלֵימָה ה', וּבְגִין דָּא אָמְרִין </w:t>
      </w:r>
      <w:r>
        <w:rPr>
          <w:rStyle w:val="a7"/>
          <w:rtl/>
        </w:rPr>
        <w:footnoteReference w:id="1692"/>
      </w:r>
      <w:r>
        <w:rPr>
          <w:rtl/>
        </w:rPr>
        <w:t>הַלֵּל גָּמוּר וְהַלֵּל שֶׁאֵינוֹ גָמוּר בַּפֶּסַח, לָקֳבֵל מַצָּה שְׁלֵימָה וּמַצָּה פְּרוּסָה.</w:t>
      </w:r>
    </w:p>
    <w:p w:rsidR="00606298" w:rsidRDefault="00606298" w:rsidP="00B17EA9">
      <w:pPr>
        <w:pStyle w:val="NormalWeb"/>
        <w:rPr>
          <w:rtl/>
        </w:rPr>
      </w:pPr>
      <w:r>
        <w:rPr>
          <w:rtl/>
        </w:rPr>
        <w:t xml:space="preserve">וְאָמְרִין מָרוֹר, עַל שֵׁם ו' דְּאִתְפַּרַשׁ מִן ה', וְדָא גָרִים לוֹן דְּוַיְמָרְרוּ אֶת חַיֵּיהֶם, </w:t>
      </w:r>
      <w:r>
        <w:rPr>
          <w:rStyle w:val="a7"/>
          <w:rtl/>
        </w:rPr>
        <w:footnoteReference w:id="1693"/>
      </w:r>
      <w:r>
        <w:rPr>
          <w:rtl/>
        </w:rPr>
        <w:t xml:space="preserve">אִיהוּ מָרוֹר וְאִיהִי מָרָה, הֲדָא הוּא דִכְתִיב </w:t>
      </w:r>
      <w:r>
        <w:rPr>
          <w:sz w:val="20"/>
          <w:szCs w:val="23"/>
          <w:rtl/>
        </w:rPr>
        <w:t>(רות א כ)</w:t>
      </w:r>
      <w:r>
        <w:rPr>
          <w:rtl/>
        </w:rPr>
        <w:t xml:space="preserve"> קְרֶאןָ לִי מָרָה כִּי הֵמַר שד''י לִי, בַּעֲבוֹדָה קָשָׁה בְּקֻשְׁיָא, בְּחֹמֶר בְּקַל וָחֹמֶר, בֵּין אוּמִין דְּעָלְמָא. </w:t>
      </w:r>
      <w:r>
        <w:rPr>
          <w:rStyle w:val="a7"/>
          <w:rtl/>
        </w:rPr>
        <w:footnoteReference w:id="1694"/>
      </w:r>
      <w:r>
        <w:rPr>
          <w:rtl/>
        </w:rPr>
        <w:t xml:space="preserve">וּמָאן גָּרִים דָּא, י' מִן שד''י, רְשִׁימוּ דִבְרִית דְּיָהִיב מֹשֶׁה בְּעִרֶב רַב, בְּגִין דָּא נָחִית מֹשֶׁה מִדַּרְגֵּיהּ, הֲדָא הוּא דִכְתִיב </w:t>
      </w:r>
      <w:r>
        <w:rPr>
          <w:sz w:val="20"/>
          <w:szCs w:val="23"/>
          <w:rtl/>
        </w:rPr>
        <w:t>(שמות לב ז)</w:t>
      </w:r>
      <w:r>
        <w:rPr>
          <w:rtl/>
        </w:rPr>
        <w:t xml:space="preserve"> לֶךְ רֵד כִּי שִׁחֵת עַמְּךָ, עַמְּךָ וְלֹא עַמִּי, וְעַל יָדֵיהּ עֲתִידָה שְׁכִינְתָּא לְיַחֲדָא עִם קוּדְשָׁא בְּרִיךְ הוּא, בְּגִין דְּאִיהוּ אַפְרִישׁ לוֹן, צָרִיךְ לְיַחֲדָא לוֹן, לְתַקְנָא בַּמֶּה דְחָאב, קָמוּ כֻלְּהוּ חַבְרַיָּא וְנָשְׁקוּ לֵיהּ, וְאָמְרוּ אִי לָא אָתֵינָא לְעָלְמָא אֶלָּא לְמִשְׁמַע דָּא דַי.</w:t>
      </w:r>
    </w:p>
    <w:p w:rsidR="00606298" w:rsidRDefault="00606298" w:rsidP="00B17EA9">
      <w:pPr>
        <w:pStyle w:val="NormalWeb"/>
        <w:rPr>
          <w:rtl/>
        </w:rPr>
      </w:pPr>
      <w:r>
        <w:rPr>
          <w:rtl/>
        </w:rPr>
        <w:t xml:space="preserve">שְׁבִיעָאָה בְּנִצּוּחַ דְּאִיהוּ נֶצַח יִשְׂרָאֵל, וַעֲלֵיהּ אִתְּמַר </w:t>
      </w:r>
      <w:r>
        <w:rPr>
          <w:sz w:val="20"/>
          <w:szCs w:val="23"/>
          <w:rtl/>
        </w:rPr>
        <w:t>(שמואל א טו כט)</w:t>
      </w:r>
      <w:r>
        <w:rPr>
          <w:rtl/>
        </w:rPr>
        <w:t xml:space="preserve"> וְגַם </w:t>
      </w:r>
      <w:r>
        <w:rPr>
          <w:rStyle w:val="a7"/>
          <w:rtl/>
        </w:rPr>
        <w:footnoteReference w:id="1695"/>
      </w:r>
      <w:r>
        <w:rPr>
          <w:rtl/>
        </w:rPr>
        <w:t xml:space="preserve">נֵצַח יִשְׂרָאֵל לֹא יְשַׁקֵּר, וַעֲלֵיהּ אִתְּמַר </w:t>
      </w:r>
      <w:r>
        <w:rPr>
          <w:sz w:val="20"/>
          <w:szCs w:val="23"/>
          <w:rtl/>
        </w:rPr>
        <w:t>(תהלים כב א)</w:t>
      </w:r>
      <w:r>
        <w:rPr>
          <w:rtl/>
        </w:rPr>
        <w:t xml:space="preserve"> </w:t>
      </w:r>
      <w:r>
        <w:rPr>
          <w:rStyle w:val="a7"/>
          <w:rtl/>
        </w:rPr>
        <w:footnoteReference w:id="1696"/>
      </w:r>
      <w:r>
        <w:rPr>
          <w:rtl/>
        </w:rPr>
        <w:t xml:space="preserve">לַמְנַצֵּחַ עַל אַיֶּלֶת הַשַּׁחַר, לַמְנַצֵּחַ עַל הַשְּׁמִינִית </w:t>
      </w:r>
      <w:r>
        <w:rPr>
          <w:sz w:val="20"/>
          <w:szCs w:val="23"/>
          <w:rtl/>
        </w:rPr>
        <w:t>(שם יב א)</w:t>
      </w:r>
      <w:r>
        <w:rPr>
          <w:rtl/>
        </w:rPr>
        <w:t>, מָאן שְׁמִינִית הוֹד, וְאִיהוּ נֶצַח עֲלֵיהּ.</w:t>
      </w:r>
    </w:p>
    <w:p w:rsidR="00606298" w:rsidRDefault="00606298" w:rsidP="00B17EA9">
      <w:pPr>
        <w:pStyle w:val="aa"/>
        <w:rPr>
          <w:rtl/>
        </w:rPr>
      </w:pPr>
      <w:bookmarkStart w:id="119" w:name="_Toc228095614"/>
      <w:bookmarkStart w:id="120" w:name="_Toc231638052"/>
      <w:r>
        <w:rPr>
          <w:rtl/>
        </w:rPr>
        <w:t>[תיקוני זוהר - דף כה ע''א]</w:t>
      </w:r>
      <w:bookmarkEnd w:id="119"/>
      <w:bookmarkEnd w:id="120"/>
    </w:p>
    <w:p w:rsidR="00606298" w:rsidRDefault="00606298" w:rsidP="00B17EA9">
      <w:pPr>
        <w:pStyle w:val="NormalWeb"/>
        <w:rPr>
          <w:rtl/>
        </w:rPr>
      </w:pPr>
      <w:r>
        <w:rPr>
          <w:rtl/>
        </w:rPr>
        <w:t xml:space="preserve">תְּמִינָאָה בְּהוֹדָאָה, וּבֵיהּ הֲוָה מְשַׁבַּח דָּוִד הוֹדוּ לַיְיָ', וְדָא הוֹד וַדַּאי, לַמְנַצֵּחַ הוֹדוּ, בְּהוֹן רְמִיזִין נֶצַח וָהוֹד, </w:t>
      </w:r>
      <w:r>
        <w:rPr>
          <w:rStyle w:val="a7"/>
          <w:rtl/>
        </w:rPr>
        <w:footnoteReference w:id="1697"/>
      </w:r>
      <w:r>
        <w:rPr>
          <w:rtl/>
        </w:rPr>
        <w:t xml:space="preserve">וְאִינוּן  </w:t>
      </w:r>
      <w:r>
        <w:rPr>
          <w:sz w:val="20"/>
          <w:szCs w:val="23"/>
          <w:rtl/>
        </w:rPr>
        <w:t xml:space="preserve">(דף כה ע''א) </w:t>
      </w:r>
      <w:r>
        <w:rPr>
          <w:rtl/>
        </w:rPr>
        <w:t xml:space="preserve">נִסִּין, וּבֵיהּ שַׁבַּח מֹשֶׁה </w:t>
      </w:r>
      <w:r>
        <w:rPr>
          <w:rStyle w:val="a7"/>
          <w:rtl/>
        </w:rPr>
        <w:footnoteReference w:id="1698"/>
      </w:r>
      <w:r>
        <w:rPr>
          <w:rtl/>
        </w:rPr>
        <w:t xml:space="preserve">אָז, הֲדָא הוּא דִכְתִיב </w:t>
      </w:r>
      <w:r>
        <w:rPr>
          <w:sz w:val="20"/>
          <w:szCs w:val="23"/>
          <w:rtl/>
        </w:rPr>
        <w:t>(שמות טו א)</w:t>
      </w:r>
      <w:r>
        <w:rPr>
          <w:rtl/>
        </w:rPr>
        <w:t xml:space="preserve"> אָז יָשִׁיר מֹשֶׁה, בְּגִין דְּאִיהוּ </w:t>
      </w:r>
      <w:r>
        <w:rPr>
          <w:rStyle w:val="a7"/>
          <w:rtl/>
        </w:rPr>
        <w:footnoteReference w:id="1699"/>
      </w:r>
      <w:r>
        <w:rPr>
          <w:rtl/>
        </w:rPr>
        <w:t xml:space="preserve">הוֹד דִּיְהִיב לְמֹשֶׁה, </w:t>
      </w:r>
      <w:r>
        <w:rPr>
          <w:sz w:val="20"/>
          <w:szCs w:val="23"/>
          <w:rtl/>
        </w:rPr>
        <w:t>(ישעיה נח ז)</w:t>
      </w:r>
      <w:r>
        <w:rPr>
          <w:rtl/>
        </w:rPr>
        <w:t xml:space="preserve"> אָז תִּקְרָא וַיְיָ' יַעֲנֶה, וּבַתְרֵיהּ בְּרִית דְּאִיהוּ יְסוֹד, צַדִּיקָא דְעָלְמָא, </w:t>
      </w:r>
      <w:r>
        <w:rPr>
          <w:rStyle w:val="a7"/>
          <w:rtl/>
        </w:rPr>
        <w:footnoteReference w:id="1700"/>
      </w:r>
      <w:r>
        <w:rPr>
          <w:rtl/>
        </w:rPr>
        <w:t xml:space="preserve">וְאִיהוּ תְּמַנְיָא יוֹמִין דְּמִילָה, וּבֵיהּ אִתְגַּלְיָא </w:t>
      </w:r>
      <w:r>
        <w:rPr>
          <w:rStyle w:val="a7"/>
          <w:rtl/>
        </w:rPr>
        <w:footnoteReference w:id="1701"/>
      </w:r>
      <w:r>
        <w:rPr>
          <w:rtl/>
        </w:rPr>
        <w:t>י'</w:t>
      </w:r>
      <w:r>
        <w:rPr>
          <w:sz w:val="20"/>
          <w:szCs w:val="23"/>
          <w:rtl/>
        </w:rPr>
        <w:t xml:space="preserve"> </w:t>
      </w:r>
      <w:r>
        <w:rPr>
          <w:rtl/>
        </w:rPr>
        <w:t xml:space="preserve">דְּמִילָה, עֲשִׂירָאָה לַעֲשַׂר סְפִירָן, וְאִיהוּ הוֹד תְּמַנְיָא יוֹמֵי דַחֲנוּכָּה, לְאַרְבָּעָה וְעֶשְׂרִין יוֹמִין, דְּאִינוּן בָּרוּךְ שֵׁם כְּבוֹד מַלְכוּתוֹ לְעוֹלָם וָעֶד, </w:t>
      </w:r>
      <w:r>
        <w:rPr>
          <w:rStyle w:val="a7"/>
          <w:rtl/>
        </w:rPr>
        <w:footnoteReference w:id="1702"/>
      </w:r>
      <w:r>
        <w:rPr>
          <w:rtl/>
        </w:rPr>
        <w:t>וּמִיָּד דַּעֲלֵה זַיִת טָרָף בְּפִיהָ, שַׁרְיָא כ''ה עַל יִשְׂרָאֵל בְּכ''ה בְּכִסְלֵו, וְאִלֵּין אִינוּן כ''ה אַתְוָון דְּיִחוּדָא, דְאִינוּן שְׁמַע יִשְׂרָאֵל וְגוֹמֵר, וְדָא אִיהוּ חֲנוּכָּ''ה חֲנ''וּ כָּ''ה.</w:t>
      </w:r>
    </w:p>
    <w:p w:rsidR="00606298" w:rsidRDefault="00606298" w:rsidP="00B17EA9">
      <w:pPr>
        <w:pStyle w:val="NormalWeb"/>
        <w:rPr>
          <w:rtl/>
        </w:rPr>
      </w:pPr>
      <w:r>
        <w:rPr>
          <w:rtl/>
        </w:rPr>
        <w:t xml:space="preserve">אֲבָל נֶצַח אִתְּמַר בֵּיהּ </w:t>
      </w:r>
      <w:r>
        <w:rPr>
          <w:sz w:val="20"/>
          <w:szCs w:val="23"/>
          <w:rtl/>
        </w:rPr>
        <w:t>(בראשית ח ד)</w:t>
      </w:r>
      <w:r>
        <w:rPr>
          <w:rtl/>
        </w:rPr>
        <w:t xml:space="preserve"> וַתָּנַח הַתֵּיבָה </w:t>
      </w:r>
      <w:r>
        <w:rPr>
          <w:rStyle w:val="a7"/>
          <w:rtl/>
        </w:rPr>
        <w:footnoteReference w:id="1703"/>
      </w:r>
      <w:r>
        <w:rPr>
          <w:rtl/>
        </w:rPr>
        <w:t xml:space="preserve">בַּחֹדֶשׁ הַשְּׁבִיעִי, בְּגִין דְּנֶצַח בֵּיהּ רְמִיז נֹחַ צַדִּיק, וּבֵיהּ וְהַמַּיִם גָּבְרוּ מְאֹד </w:t>
      </w:r>
      <w:r>
        <w:rPr>
          <w:sz w:val="20"/>
          <w:szCs w:val="23"/>
          <w:rtl/>
        </w:rPr>
        <w:t>(שם ז יט)</w:t>
      </w:r>
      <w:r>
        <w:rPr>
          <w:rtl/>
        </w:rPr>
        <w:t xml:space="preserve">, כַּד לָא נָטְרִין יִשְׂרָאֵל בְּרִית מִילָה מִתְגַּבְּרִין אוּמִין דְּעָלְמָא דְּאִינוּן הַמַּיִם הַזֵּדוֹנִים, וְכַד נָטְרִין לֵיהּ אִתְּמַר בְּהוֹן </w:t>
      </w:r>
      <w:r>
        <w:rPr>
          <w:sz w:val="20"/>
          <w:szCs w:val="23"/>
          <w:rtl/>
        </w:rPr>
        <w:t>(שם ח ה)</w:t>
      </w:r>
      <w:r>
        <w:rPr>
          <w:rtl/>
        </w:rPr>
        <w:t xml:space="preserve"> וְהַמַּיִם הָיוּ הָלוֹךְ וְחָסוֹר, עַד הַחֹדֶשׁ הָעֲשִׂירִי דָּא י' דְּמִילָה, דְאִיהִי מַלְכוּת, עֲשִׂירָאָה לַעֲשַׂר סְפִירָן.</w:t>
      </w:r>
    </w:p>
    <w:p w:rsidR="00606298" w:rsidRDefault="00606298" w:rsidP="00B17EA9">
      <w:pPr>
        <w:pStyle w:val="NormalWeb"/>
        <w:rPr>
          <w:rtl/>
        </w:rPr>
      </w:pPr>
      <w:r>
        <w:rPr>
          <w:rtl/>
        </w:rPr>
        <w:t xml:space="preserve">וְיַעֲקֹב </w:t>
      </w:r>
      <w:r>
        <w:rPr>
          <w:rStyle w:val="a7"/>
          <w:rtl/>
        </w:rPr>
        <w:footnoteReference w:id="1704"/>
      </w:r>
      <w:r>
        <w:rPr>
          <w:rtl/>
        </w:rPr>
        <w:t xml:space="preserve">בְּהַהִיא יַרְכָא אִתְּמַר בֵּיהּ </w:t>
      </w:r>
      <w:r>
        <w:rPr>
          <w:sz w:val="20"/>
          <w:szCs w:val="23"/>
          <w:rtl/>
        </w:rPr>
        <w:t>(שם לב לב)</w:t>
      </w:r>
      <w:r>
        <w:rPr>
          <w:rtl/>
        </w:rPr>
        <w:t xml:space="preserve"> וְהוּא צוֹלֵעַ עַל יְרֵכוֹ, </w:t>
      </w:r>
      <w:r>
        <w:rPr>
          <w:rStyle w:val="a7"/>
          <w:rtl/>
        </w:rPr>
        <w:footnoteReference w:id="1705"/>
      </w:r>
      <w:r>
        <w:rPr>
          <w:rtl/>
        </w:rPr>
        <w:t xml:space="preserve">דְפָרַח מִנֵּיהּ י', וְאִשְׁתָּאַר </w:t>
      </w:r>
      <w:r>
        <w:rPr>
          <w:rStyle w:val="a7"/>
          <w:rtl/>
        </w:rPr>
        <w:footnoteReference w:id="1706"/>
      </w:r>
      <w:r>
        <w:rPr>
          <w:rtl/>
        </w:rPr>
        <w:t xml:space="preserve">עָקֵב, וְרָזָא דְמִלָּה הוּא יְשׁוּפְךָ רֹאשׁ וְאַתָּה תְּשׁוּפֶנּוּ עָקֵב </w:t>
      </w:r>
      <w:r>
        <w:rPr>
          <w:sz w:val="20"/>
          <w:szCs w:val="23"/>
          <w:rtl/>
        </w:rPr>
        <w:t>(שם ג טו)</w:t>
      </w:r>
      <w:r>
        <w:rPr>
          <w:rtl/>
        </w:rPr>
        <w:t xml:space="preserve">, </w:t>
      </w:r>
      <w:r>
        <w:rPr>
          <w:rStyle w:val="a7"/>
          <w:rtl/>
        </w:rPr>
        <w:footnoteReference w:id="1707"/>
      </w:r>
      <w:r>
        <w:rPr>
          <w:rtl/>
        </w:rPr>
        <w:t xml:space="preserve">כַּד אִשְׁתַּלִּימַת סוּכָּה בְיֶרֵךְ דִּילָהּ, אִתְּמַר בְּיַעֲקֹב </w:t>
      </w:r>
      <w:r>
        <w:rPr>
          <w:sz w:val="20"/>
          <w:szCs w:val="23"/>
          <w:rtl/>
        </w:rPr>
        <w:t>(שם לג יח)</w:t>
      </w:r>
      <w:r>
        <w:rPr>
          <w:rtl/>
        </w:rPr>
        <w:t xml:space="preserve"> וַיָּבֹא יַעֲקֹב שָׁלֵם, וְיַעֲקֹב וַדַּאי אִיהוּ דִיּוֹקְנָא דְעַמּוּדָא דְאֶמְצָעִיתָא מִסִּטְרָא דִּלְבָר, וְהָא מֹשֶׁה תַמָּן הֲוָה, אֶלָּא מִסִּטְרָא דִלְגָאו הֲוָה, </w:t>
      </w:r>
      <w:r>
        <w:rPr>
          <w:rStyle w:val="a7"/>
          <w:rtl/>
        </w:rPr>
        <w:footnoteReference w:id="1708"/>
      </w:r>
      <w:r>
        <w:rPr>
          <w:rtl/>
        </w:rPr>
        <w:t xml:space="preserve">דָּא מִגּוּפָא, וְדָא מִנִּשְׁמָתָא, </w:t>
      </w:r>
      <w:r>
        <w:rPr>
          <w:rStyle w:val="a7"/>
          <w:rtl/>
        </w:rPr>
        <w:footnoteReference w:id="1709"/>
      </w:r>
      <w:r>
        <w:rPr>
          <w:rtl/>
        </w:rPr>
        <w:t>וּבְגִין דָּא תְרֵין יַרְכִין דְּעַמּוּדָא דְאֶמְצָעִיתָא שְׁלִים אִינוּן נֶצַח וָהוֹד.</w:t>
      </w:r>
    </w:p>
    <w:p w:rsidR="00606298" w:rsidRDefault="00606298" w:rsidP="00B17EA9">
      <w:pPr>
        <w:pStyle w:val="NormalWeb"/>
        <w:rPr>
          <w:rtl/>
        </w:rPr>
      </w:pPr>
      <w:r>
        <w:rPr>
          <w:rtl/>
        </w:rPr>
        <w:t xml:space="preserve">וּמָתַי יִהְיֶה עַמּוּדָא דְאֶמְצָעִיתָא שְׁלִים, כַּד אִתְחַבַּר בִּשְׁכִינְתָּא, הֲדָא הוּא דִכְתִיב </w:t>
      </w:r>
      <w:r>
        <w:rPr>
          <w:sz w:val="20"/>
          <w:szCs w:val="23"/>
          <w:rtl/>
        </w:rPr>
        <w:t>(שם יז)</w:t>
      </w:r>
      <w:r>
        <w:rPr>
          <w:rtl/>
        </w:rPr>
        <w:t xml:space="preserve"> וְיַעֲקֹב נָסַע סֻכֹּתָה וַיִּבֶן לוֹ בָּיִת, </w:t>
      </w:r>
      <w:r>
        <w:rPr>
          <w:rStyle w:val="a7"/>
          <w:rtl/>
        </w:rPr>
        <w:footnoteReference w:id="1710"/>
      </w:r>
      <w:r>
        <w:rPr>
          <w:rtl/>
        </w:rPr>
        <w:t xml:space="preserve">הֲדָא הוּא דִכְתִיב </w:t>
      </w:r>
      <w:r>
        <w:rPr>
          <w:sz w:val="20"/>
          <w:szCs w:val="23"/>
          <w:rtl/>
        </w:rPr>
        <w:t>(שם ב כב)</w:t>
      </w:r>
      <w:r>
        <w:rPr>
          <w:rtl/>
        </w:rPr>
        <w:t xml:space="preserve"> וַיִּבֶן יְיָ' אלהי''ם אֶת הַצֵּלָע, בְּהַהוּא זִמְנָא דְאִתְחַבַּר עִמָּהּ, וַיָּבֹא יַעֲקֹב שָׁלֵם </w:t>
      </w:r>
      <w:r>
        <w:rPr>
          <w:sz w:val="20"/>
          <w:szCs w:val="23"/>
          <w:rtl/>
        </w:rPr>
        <w:t>(שם לג יח)</w:t>
      </w:r>
      <w:r>
        <w:rPr>
          <w:rtl/>
        </w:rPr>
        <w:t xml:space="preserve">, בְּהַהוּא זִמְנָא תְהֵא </w:t>
      </w:r>
      <w:r>
        <w:rPr>
          <w:rStyle w:val="a7"/>
          <w:rtl/>
        </w:rPr>
        <w:footnoteReference w:id="1711"/>
      </w:r>
      <w:r>
        <w:rPr>
          <w:rtl/>
        </w:rPr>
        <w:t>סוּכָּה שְׁלֵימָתָא, כ''ו ה''ס, יאהדונה''י.</w:t>
      </w:r>
    </w:p>
    <w:p w:rsidR="00606298" w:rsidRDefault="00606298" w:rsidP="00B17EA9">
      <w:pPr>
        <w:pStyle w:val="NormalWeb"/>
        <w:rPr>
          <w:rtl/>
        </w:rPr>
      </w:pPr>
      <w:r>
        <w:rPr>
          <w:rtl/>
        </w:rPr>
        <w:t xml:space="preserve">קָם רַבִּי אֶלְעָזָר וְאָמַר, אַבָּא אַבָּא, </w:t>
      </w:r>
      <w:r>
        <w:rPr>
          <w:rStyle w:val="a7"/>
          <w:rtl/>
        </w:rPr>
        <w:footnoteReference w:id="1712"/>
      </w:r>
      <w:r>
        <w:rPr>
          <w:rtl/>
        </w:rPr>
        <w:t xml:space="preserve">אַמַּאי אִתְּמַר בְּיוֹמָא קַדְמָאָה דְסֻכּוֹת, וּלְקַחְתֶּם לָכֶם בַּיּוֹם הָרִאשׁוֹן פְּרִי עִץ הָדָר </w:t>
      </w:r>
      <w:r>
        <w:rPr>
          <w:sz w:val="20"/>
          <w:szCs w:val="23"/>
          <w:rtl/>
        </w:rPr>
        <w:t>(ויקרא כג ג)</w:t>
      </w:r>
      <w:r>
        <w:rPr>
          <w:rtl/>
        </w:rPr>
        <w:t xml:space="preserve">, אָמַר לֵיהּ בְּרִי מָאנֵי קְרָבָא </w:t>
      </w:r>
      <w:r>
        <w:rPr>
          <w:rStyle w:val="a7"/>
          <w:rtl/>
        </w:rPr>
        <w:footnoteReference w:id="1713"/>
      </w:r>
      <w:r>
        <w:rPr>
          <w:rtl/>
        </w:rPr>
        <w:t xml:space="preserve">בִּימִינָא נָטְלִין לוֹן, וּבְאִלֵּין מָאנֵי קְרָבָא אִינוּן יִשְׂרָאֵל רְשִׁימִין דְּנָצְחִין דִּינָא, מְתַל לְמַלְכָּא דַהֲוָה לֵיהּ דִּינָא </w:t>
      </w:r>
      <w:r>
        <w:rPr>
          <w:rStyle w:val="a7"/>
          <w:rtl/>
        </w:rPr>
        <w:footnoteReference w:id="1714"/>
      </w:r>
      <w:r>
        <w:rPr>
          <w:rtl/>
        </w:rPr>
        <w:t xml:space="preserve">וּקְרָבָא בְּשַׁבְעִין אוּמִין, וְלָא הֲווֹ יָדְעִין מָאן נָצַח דִּינָא, וְשָׁאֲלִין לֵיהּ מָאן נָצַח דִּינָא אָמַר תִּסְתַּכְּלוּן בְּאִלֵּין דִּרְשִׁימִין בְּמָאנֵי קְרָבָא בִידַיְיהוּ, וְתִנְדְּעוּן מָאן נָצַח דִּינָא, וּלְקַחְתֶּם לָכֶם בַּיּוֹם הָרִאשׁוֹן פְּרִי עִץ הָדָר דָּא אֶתְרוֹג, דְּאִיהִי שְׁכִינְתָּא, לִבָּא, דְּאִיהוּ עִקָּרָא דְכָל אֵבָרִין דְּגוּפָא, דְּאִינוּן תְּלַת הֲדַסִּים, וְלוּלָב וּתְרֵי בַדֵּי עֲרָבָה, לִבָּא בְאֶמְצָעִיתָא, וְאֵבָרִין סְחוֹר סְחוֹר לֵיהּ, וּבְגִין דָּא אֶתְרוֹג דָּא שְׁכִינְתָּא, וְהָכִי אוּקְמוּהָ מָארֵי מַתְנִיתִין, אִי נִטְּלָה בּוּכְנָתוֹ, וְאִי עָלָה חֲזָזִית עַל רוּבּוֹ, פָּסוּל, בְּגִין דְּאִיהוּ דָמֵי לִשְׁכִינְתָּא, דְאִתְּמַר בָּהּ </w:t>
      </w:r>
      <w:r>
        <w:rPr>
          <w:sz w:val="20"/>
          <w:szCs w:val="23"/>
          <w:rtl/>
        </w:rPr>
        <w:t>(שיר ד ז)</w:t>
      </w:r>
      <w:r>
        <w:rPr>
          <w:rtl/>
        </w:rPr>
        <w:t xml:space="preserve"> כֻּלָּךְ יָפָה רַעְיָתִי וּמוּם אֵין בָּךְ.</w:t>
      </w:r>
    </w:p>
    <w:p w:rsidR="00606298" w:rsidRDefault="00606298" w:rsidP="00B17EA9">
      <w:pPr>
        <w:pStyle w:val="NormalWeb"/>
        <w:rPr>
          <w:rtl/>
        </w:rPr>
      </w:pPr>
      <w:r>
        <w:rPr>
          <w:rtl/>
        </w:rPr>
        <w:t xml:space="preserve">כַּפֹּת תְּמָרִים דָּא לוּלָב, וַעֲלֵיהּ אִתְּמַר נִפְרְצוּ עַלָּיו פָּסוּל, בְּגִין דְּדָא אִיהוּ </w:t>
      </w:r>
      <w:r>
        <w:rPr>
          <w:rStyle w:val="a7"/>
          <w:rtl/>
        </w:rPr>
        <w:footnoteReference w:id="1715"/>
      </w:r>
      <w:r>
        <w:rPr>
          <w:rtl/>
        </w:rPr>
        <w:t xml:space="preserve">מְקַצֵּץ בִּנְטִיעוֹת, בְּגִין דָּא מְבָרֵךְ עֲלָהּ בְּיוֹמָא קַדְמָאָה דְסֻכּוֹת, </w:t>
      </w:r>
      <w:r>
        <w:rPr>
          <w:rStyle w:val="a7"/>
          <w:rtl/>
        </w:rPr>
        <w:footnoteReference w:id="1716"/>
      </w:r>
      <w:r>
        <w:rPr>
          <w:rtl/>
        </w:rPr>
        <w:t xml:space="preserve">בְּגִין דְּאִיהוּ קִשּׁוּרָא וְיִחוּדָא דְכֹלָּא, חַ''י עָלְמִין, דְּאִיהוּ לָקֳבֵל חַ''י חוּלְיָין דְּשִׁדְרָה, וּבְגִין דָּא אוּקְמוּהוּ מָארֵי מַתְנִיתִין, לוּלָב דּוֹמֶה לְשִׁדְרָה, וְרָזָא דְלוּלָב צַדִּיק כַּתָּמָר יִפְרָח, וְדָא אִיהוּ </w:t>
      </w:r>
      <w:r>
        <w:rPr>
          <w:sz w:val="20"/>
          <w:szCs w:val="23"/>
          <w:rtl/>
        </w:rPr>
        <w:t>(דה''י א כט יא)</w:t>
      </w:r>
      <w:r>
        <w:rPr>
          <w:rtl/>
        </w:rPr>
        <w:t xml:space="preserve"> כִּי כֹל בַּשָּׁמַיִם וּבָאָרֶץ, וְתִרְגֵם דַּאֲחִיד בִּשְׁמַיָּא וּבְאַרְעָא.</w:t>
      </w:r>
    </w:p>
    <w:p w:rsidR="00606298" w:rsidRDefault="00606298" w:rsidP="00B558C5">
      <w:pPr>
        <w:pStyle w:val="2"/>
        <w:rPr>
          <w:rtl/>
        </w:rPr>
      </w:pPr>
      <w:bookmarkStart w:id="121" w:name="_Toc228095615"/>
      <w:bookmarkStart w:id="122" w:name="_Toc231638053"/>
      <w:r>
        <w:rPr>
          <w:rtl/>
        </w:rPr>
        <w:t>[תיקוני זוהר - דף כה ע''ב]</w:t>
      </w:r>
      <w:bookmarkEnd w:id="121"/>
      <w:bookmarkEnd w:id="122"/>
    </w:p>
    <w:p w:rsidR="00606298" w:rsidRDefault="00606298" w:rsidP="00B17EA9">
      <w:pPr>
        <w:pStyle w:val="NormalWeb"/>
        <w:rPr>
          <w:rtl/>
        </w:rPr>
      </w:pPr>
      <w:r>
        <w:rPr>
          <w:rtl/>
        </w:rPr>
        <w:t xml:space="preserve">וְצָרִיךְ לְנַעְנְעָא </w:t>
      </w:r>
      <w:r>
        <w:rPr>
          <w:rStyle w:val="a7"/>
          <w:rtl/>
        </w:rPr>
        <w:footnoteReference w:id="1717"/>
      </w:r>
      <w:r>
        <w:rPr>
          <w:rtl/>
        </w:rPr>
        <w:t xml:space="preserve">חַ''י נִעְנוּעִין בְּשִׁית סִטְרִין, דְּאִינוּן חוֹתָם מִזְרָח בְּיה''ו וכו', שִׁית הֲוַיּוֹ''ת דְּאִית בְּהוֹן תַּמְנֵי סְרֵי אַתְוָון, וְכֻלְּהוּ רְמִיזִין בְּסֵפֶר יְצִירָה בְּשִׁית סִטְרִין, וְהָכִי אוּקְמוּהוּ מָארֵי מַתְנִיתִין, מוֹלִיךְ וּמֵבִיא לְמָאן </w:t>
      </w:r>
      <w:r w:rsidRPr="00B558C5">
        <w:rPr>
          <w:rStyle w:val="40"/>
          <w:rtl/>
        </w:rPr>
        <w:t>(דף כה ע''ב)</w:t>
      </w:r>
      <w:r>
        <w:rPr>
          <w:sz w:val="20"/>
          <w:szCs w:val="23"/>
          <w:rtl/>
        </w:rPr>
        <w:t xml:space="preserve"> </w:t>
      </w:r>
      <w:r>
        <w:rPr>
          <w:rtl/>
        </w:rPr>
        <w:t>דְּאַרְבַּע רוּחוֹת הָעוֹלָם דִּילֵיהּ, מַעֲלֶה וּמוֹרִיד לְמָאן דִּשְׁמַיָּא וְאַרְעָא דִילֵיהּ.</w:t>
      </w:r>
    </w:p>
    <w:p w:rsidR="00606298" w:rsidRDefault="00606298" w:rsidP="00B17EA9">
      <w:pPr>
        <w:pStyle w:val="NormalWeb"/>
        <w:rPr>
          <w:rtl/>
        </w:rPr>
      </w:pPr>
      <w:r>
        <w:rPr>
          <w:rtl/>
        </w:rPr>
        <w:t xml:space="preserve">תְּלַת הֲדַסִּין גּוּף וּתְרֵין דְּרוֹעִין, </w:t>
      </w:r>
      <w:r>
        <w:rPr>
          <w:rStyle w:val="a7"/>
          <w:rtl/>
        </w:rPr>
        <w:footnoteReference w:id="1718"/>
      </w:r>
      <w:r>
        <w:rPr>
          <w:rtl/>
        </w:rPr>
        <w:t xml:space="preserve">וְאִינוּן לָקֳבֵל עִינָא וְכַנְפֵי עִינָא, תְּרֵי בַדֵּי עֲרָבוֹת לָקֳבֵל תְּרֵין שׁוֹקִין, וְלָקֳבֵל תְּרֵין שִׂפְוָון, וְכַד אִינוּן כֻּלְּהוּ אֲגוּדָה חֲדָא בְּלוּלָב דְּאִיהוּ שִׁדְרָה, מַה כְּתִיב </w:t>
      </w:r>
      <w:r>
        <w:rPr>
          <w:sz w:val="20"/>
          <w:szCs w:val="23"/>
          <w:rtl/>
        </w:rPr>
        <w:t>(שיר השירים ז ט)</w:t>
      </w:r>
      <w:r>
        <w:rPr>
          <w:rtl/>
        </w:rPr>
        <w:t xml:space="preserve"> אָמַרְתִּי אֶעֱלֶה בְתָמָר, א' אֶתְרוֹג ע' עֲרָבָה ל' לוּלָב ה' הֲדַס, כֻּלְּהוּ אִתְעֲבִידוּ לָקֳבֵל אַרְבַּע מִינִין דְּמֶרְכַּבְתָּא, הָרוֹכֵב בְּהוֹן אִיהוּ יהו''ה וְצָרִיךְ לְסַדְרָא בְּהוֹן בְּהַקָּפָה, כְּגַוְונָא דְמִזְבֵּחַ, וּלְמָאן לְגַן, דְּאִתְנַטְעוּ אִלֵּין נְטִיעִין בֵּיהּ, וְרָזָא דְמִלָּה נְקֵבָה תְּסוֹבֵב גָּבֶר </w:t>
      </w:r>
      <w:r>
        <w:rPr>
          <w:sz w:val="20"/>
          <w:szCs w:val="23"/>
          <w:rtl/>
        </w:rPr>
        <w:t>(ירמיה לא כא)</w:t>
      </w:r>
      <w:r>
        <w:rPr>
          <w:rtl/>
        </w:rPr>
        <w:t xml:space="preserve">, נְקֵבָה נ' מִן גַּן, גָּבֶר ג' מִן גַּן, גַּ''ן הוּא כְלִיל </w:t>
      </w:r>
      <w:r>
        <w:rPr>
          <w:rStyle w:val="a7"/>
          <w:rtl/>
        </w:rPr>
        <w:footnoteReference w:id="1719"/>
      </w:r>
      <w:r>
        <w:rPr>
          <w:rtl/>
        </w:rPr>
        <w:t>תְּלַת וְחַמְשִׁין סִדְרִין דְּאוֹרַיְיתָא דְבִכְתָב, וְשֶׁבַע יוֹמִין דְּסוּכּוֹת, הָא שִׁתִּין לָקֳבֵל שִׁתִּין מַסֶּכְתּוֹת.</w:t>
      </w:r>
    </w:p>
    <w:p w:rsidR="00606298" w:rsidRDefault="00606298" w:rsidP="00B17EA9">
      <w:pPr>
        <w:pStyle w:val="NormalWeb"/>
        <w:rPr>
          <w:rtl/>
        </w:rPr>
      </w:pPr>
      <w:r>
        <w:rPr>
          <w:rtl/>
        </w:rPr>
        <w:t xml:space="preserve">שְׁמִינִי עֲצֶרֶת חַג בִּפְנֵי עַצְמוֹ, בֵּיהּ נְבִיעוּ דְאוֹרַיְיתָא, לְאַשְׁקָאָה אִילָנָא, דְאִיהוּ נָטוּעַ בְּגַן, וְשָׁרְשׁוֹי וְעַנְפּוֹי אִיהוּ, </w:t>
      </w:r>
      <w:r>
        <w:rPr>
          <w:rStyle w:val="a7"/>
          <w:rtl/>
        </w:rPr>
        <w:footnoteReference w:id="1720"/>
      </w:r>
      <w:r>
        <w:rPr>
          <w:rtl/>
        </w:rPr>
        <w:t xml:space="preserve">כְּגַוְונָא דְחוּג הָאָרֶץ </w:t>
      </w:r>
      <w:r>
        <w:rPr>
          <w:sz w:val="20"/>
          <w:szCs w:val="23"/>
          <w:rtl/>
        </w:rPr>
        <w:t>(ישעיה מ כב)</w:t>
      </w:r>
      <w:r>
        <w:rPr>
          <w:rtl/>
        </w:rPr>
        <w:t>, דְּכָל חַגִּין מִתְחַגְּגִין בָּהּ.</w:t>
      </w:r>
    </w:p>
    <w:p w:rsidR="00B558C5" w:rsidRDefault="00606298" w:rsidP="00B558C5">
      <w:pPr>
        <w:pStyle w:val="NormalWeb"/>
        <w:rPr>
          <w:rtl/>
        </w:rPr>
      </w:pPr>
      <w:r>
        <w:rPr>
          <w:rtl/>
        </w:rPr>
        <w:t xml:space="preserve">תְּשִׁיעָאָה בְּרִנָּה וְדָא אִיהוּ רַנֲנוּ צַדִּיקִים בַּיְיָ' </w:t>
      </w:r>
      <w:r>
        <w:rPr>
          <w:sz w:val="20"/>
          <w:szCs w:val="23"/>
          <w:rtl/>
        </w:rPr>
        <w:t>(תהלים לג א)</w:t>
      </w:r>
      <w:r>
        <w:rPr>
          <w:rtl/>
        </w:rPr>
        <w:t xml:space="preserve">, וְדָא דַרְגָּא דְצַדִּיק חַ''י עָלְמִין, </w:t>
      </w:r>
      <w:r>
        <w:rPr>
          <w:rStyle w:val="a7"/>
          <w:rtl/>
        </w:rPr>
        <w:footnoteReference w:id="1721"/>
      </w:r>
      <w:r>
        <w:rPr>
          <w:rtl/>
        </w:rPr>
        <w:t xml:space="preserve">מִתַּמָּן רִנָּה, </w:t>
      </w:r>
      <w:r>
        <w:rPr>
          <w:rStyle w:val="a7"/>
          <w:rtl/>
        </w:rPr>
        <w:footnoteReference w:id="1722"/>
      </w:r>
      <w:r>
        <w:rPr>
          <w:rtl/>
        </w:rPr>
        <w:t xml:space="preserve">וּבֵיהּ פּוּרְקָנָא, הֲדָא הוּא דִכְתִיב </w:t>
      </w:r>
      <w:r>
        <w:rPr>
          <w:sz w:val="20"/>
          <w:szCs w:val="23"/>
          <w:rtl/>
        </w:rPr>
        <w:t>(ירמיה כג ה)</w:t>
      </w:r>
      <w:r>
        <w:rPr>
          <w:szCs w:val="23"/>
          <w:rtl/>
        </w:rPr>
        <w:t xml:space="preserve"> </w:t>
      </w:r>
      <w:r>
        <w:rPr>
          <w:rStyle w:val="Char"/>
          <w:rtl/>
        </w:rPr>
        <w:t xml:space="preserve">צֶמַח צַדִּיק, </w:t>
      </w:r>
      <w:r>
        <w:rPr>
          <w:sz w:val="20"/>
          <w:szCs w:val="23"/>
          <w:rtl/>
        </w:rPr>
        <w:t>(זכריה ו יב)</w:t>
      </w:r>
      <w:r>
        <w:rPr>
          <w:rtl/>
        </w:rPr>
        <w:t xml:space="preserve"> וּמִתַּחְתָּיו יִצְמָח, מִתַּחְתָּיו וַדַּאי, הַהִיא דְאִיהִי עֲשִׂירִית לְכֹלָּא </w:t>
      </w:r>
      <w:r>
        <w:t>…</w:t>
      </w:r>
      <w:r w:rsidR="00B558C5">
        <w:rPr>
          <w:rFonts w:hint="cs"/>
          <w:rtl/>
        </w:rPr>
        <w:t xml:space="preserve"> (הגר"א כתב שכאן חסר, ולכן הכנסנו כאן את הקטע מתיקונים מזהר חדש דף פא ע"ג,ע"ד, ע"פ בהגר"א שכתב שם שקטע זה צריך להיות בסוף תיקון יב [שאצלנו הוא תיקון יג])</w:t>
      </w:r>
    </w:p>
    <w:p w:rsidR="00B558C5" w:rsidRPr="00B558C5" w:rsidRDefault="00B558C5" w:rsidP="00B558C5">
      <w:pPr>
        <w:pStyle w:val="4"/>
        <w:rPr>
          <w:sz w:val="24"/>
          <w:szCs w:val="24"/>
          <w:rtl/>
        </w:rPr>
      </w:pPr>
      <w:r w:rsidRPr="00B558C5">
        <w:rPr>
          <w:sz w:val="24"/>
          <w:szCs w:val="24"/>
          <w:rtl/>
        </w:rPr>
        <w:t>[</w:t>
      </w:r>
      <w:r w:rsidRPr="00B558C5">
        <w:rPr>
          <w:rFonts w:hint="cs"/>
          <w:sz w:val="24"/>
          <w:szCs w:val="24"/>
          <w:rtl/>
        </w:rPr>
        <w:t>תיקונים מזהר חדש</w:t>
      </w:r>
      <w:r>
        <w:rPr>
          <w:rFonts w:hint="cs"/>
          <w:i w:val="0"/>
          <w:iCs w:val="0"/>
          <w:rtl/>
        </w:rPr>
        <w:t xml:space="preserve"> </w:t>
      </w:r>
      <w:r w:rsidRPr="00B558C5">
        <w:rPr>
          <w:rFonts w:hint="cs"/>
          <w:sz w:val="24"/>
          <w:szCs w:val="24"/>
          <w:rtl/>
        </w:rPr>
        <w:t>דף</w:t>
      </w:r>
      <w:r w:rsidRPr="00B558C5">
        <w:rPr>
          <w:sz w:val="24"/>
          <w:szCs w:val="24"/>
          <w:rtl/>
        </w:rPr>
        <w:t xml:space="preserve"> </w:t>
      </w:r>
      <w:r w:rsidRPr="00B558C5">
        <w:rPr>
          <w:rFonts w:hint="cs"/>
          <w:sz w:val="24"/>
          <w:szCs w:val="24"/>
          <w:rtl/>
        </w:rPr>
        <w:t>פא</w:t>
      </w:r>
      <w:r w:rsidRPr="00B558C5">
        <w:rPr>
          <w:sz w:val="24"/>
          <w:szCs w:val="24"/>
          <w:rtl/>
        </w:rPr>
        <w:t xml:space="preserve"> ע"</w:t>
      </w:r>
      <w:r w:rsidRPr="00B558C5">
        <w:rPr>
          <w:rFonts w:hint="cs"/>
          <w:sz w:val="24"/>
          <w:szCs w:val="24"/>
          <w:rtl/>
        </w:rPr>
        <w:t>ג</w:t>
      </w:r>
      <w:r w:rsidRPr="00B558C5">
        <w:rPr>
          <w:sz w:val="24"/>
          <w:szCs w:val="24"/>
          <w:rtl/>
        </w:rPr>
        <w:t>]</w:t>
      </w:r>
    </w:p>
    <w:p w:rsidR="00B558C5" w:rsidRPr="00B558C5" w:rsidRDefault="00B558C5" w:rsidP="00B558C5">
      <w:pPr>
        <w:pStyle w:val="NormalWeb"/>
        <w:rPr>
          <w:rtl/>
        </w:rPr>
      </w:pPr>
      <w:r w:rsidRPr="00B558C5">
        <w:rPr>
          <w:vertAlign w:val="superscript"/>
          <w:rtl/>
        </w:rPr>
        <w:footnoteReference w:id="1723"/>
      </w:r>
      <w:r w:rsidRPr="00B558C5">
        <w:rPr>
          <w:rtl/>
        </w:rPr>
        <w:t>עֲשִׁירָאָה בִּתְפִלָּה</w:t>
      </w:r>
      <w:r w:rsidRPr="00B558C5">
        <w:rPr>
          <w:rFonts w:hint="cs"/>
          <w:rtl/>
        </w:rPr>
        <w:t>,</w:t>
      </w:r>
      <w:r w:rsidRPr="00B558C5">
        <w:rPr>
          <w:rtl/>
        </w:rPr>
        <w:t xml:space="preserve"> וְדָא שְׁכִינְתָּא</w:t>
      </w:r>
      <w:r w:rsidRPr="00B558C5">
        <w:rPr>
          <w:rFonts w:hint="cs"/>
          <w:rtl/>
        </w:rPr>
        <w:t>,</w:t>
      </w:r>
      <w:r w:rsidRPr="00B558C5">
        <w:rPr>
          <w:rtl/>
        </w:rPr>
        <w:t xml:space="preserve"> עָלֵהּ אִתְּמַר </w:t>
      </w:r>
      <w:r w:rsidRPr="00B558C5">
        <w:rPr>
          <w:rFonts w:hint="cs"/>
          <w:rtl/>
        </w:rPr>
        <w:t xml:space="preserve">(תהלים יז) </w:t>
      </w:r>
      <w:r w:rsidRPr="00B558C5">
        <w:rPr>
          <w:rtl/>
        </w:rPr>
        <w:t xml:space="preserve">תְּפִלָּה לְדָוִד </w:t>
      </w:r>
      <w:r w:rsidRPr="00B558C5">
        <w:rPr>
          <w:vertAlign w:val="superscript"/>
          <w:rtl/>
        </w:rPr>
        <w:footnoteReference w:id="1724"/>
      </w:r>
      <w:r w:rsidRPr="00B558C5">
        <w:rPr>
          <w:rtl/>
        </w:rPr>
        <w:t>שִׁמְעָה ה' צֶדֶק</w:t>
      </w:r>
      <w:r w:rsidRPr="00B558C5">
        <w:rPr>
          <w:rFonts w:hint="cs"/>
          <w:rtl/>
        </w:rPr>
        <w:t>.</w:t>
      </w:r>
      <w:r w:rsidRPr="00B558C5">
        <w:rPr>
          <w:rtl/>
        </w:rPr>
        <w:t xml:space="preserve"> וְדָוִד בְּרוּחַ קֻדְשָׁא אָמַר</w:t>
      </w:r>
      <w:r w:rsidRPr="00B558C5">
        <w:rPr>
          <w:rFonts w:hint="cs"/>
          <w:rtl/>
        </w:rPr>
        <w:t>,</w:t>
      </w:r>
      <w:r w:rsidRPr="00B558C5">
        <w:rPr>
          <w:rtl/>
        </w:rPr>
        <w:t xml:space="preserve"> בְּאַחֲרִית יוֹמִין דְּגָלוּתָא אָמַר עַל יִשְׂרָאֵל</w:t>
      </w:r>
      <w:r w:rsidRPr="00B558C5">
        <w:rPr>
          <w:rFonts w:hint="cs"/>
          <w:rtl/>
        </w:rPr>
        <w:t>,</w:t>
      </w:r>
      <w:r w:rsidRPr="00B558C5">
        <w:rPr>
          <w:rtl/>
        </w:rPr>
        <w:t xml:space="preserve"> בָּחַנְתָּ לִבִּי פָּקַדְתָּ לַיְלָה</w:t>
      </w:r>
      <w:r w:rsidRPr="00B558C5">
        <w:rPr>
          <w:rFonts w:hint="cs"/>
          <w:rtl/>
        </w:rPr>
        <w:t>,</w:t>
      </w:r>
      <w:r w:rsidRPr="00B558C5">
        <w:rPr>
          <w:rtl/>
        </w:rPr>
        <w:t xml:space="preserve"> וְלֵית לַיְלָה אֶלָּא גָּלוּת</w:t>
      </w:r>
      <w:r w:rsidRPr="00B558C5">
        <w:rPr>
          <w:rFonts w:hint="cs"/>
          <w:rtl/>
        </w:rPr>
        <w:t>.</w:t>
      </w:r>
      <w:r w:rsidRPr="00B558C5">
        <w:rPr>
          <w:rtl/>
        </w:rPr>
        <w:t xml:space="preserve"> </w:t>
      </w:r>
      <w:r w:rsidRPr="00B558C5">
        <w:rPr>
          <w:vertAlign w:val="superscript"/>
          <w:rtl/>
        </w:rPr>
        <w:footnoteReference w:id="1725"/>
      </w:r>
      <w:r w:rsidRPr="00B558C5">
        <w:rPr>
          <w:rtl/>
        </w:rPr>
        <w:t xml:space="preserve">וְאִיּוֹב מַה דְּאָמַר כֹּלָּא הֲוָה מָשָׁל עַל </w:t>
      </w:r>
      <w:r w:rsidRPr="00B558C5">
        <w:rPr>
          <w:rFonts w:hint="cs"/>
          <w:i/>
          <w:iCs/>
          <w:rtl/>
        </w:rPr>
        <w:t>(פא ע"ג)</w:t>
      </w:r>
      <w:r w:rsidRPr="00B558C5">
        <w:rPr>
          <w:rFonts w:hint="cs"/>
          <w:rtl/>
        </w:rPr>
        <w:t xml:space="preserve"> </w:t>
      </w:r>
      <w:r w:rsidRPr="00B558C5">
        <w:rPr>
          <w:rtl/>
        </w:rPr>
        <w:t>יִשְׂרָאֵל</w:t>
      </w:r>
      <w:r w:rsidRPr="00B558C5">
        <w:rPr>
          <w:rFonts w:hint="cs"/>
          <w:rtl/>
        </w:rPr>
        <w:t>,</w:t>
      </w:r>
      <w:r w:rsidRPr="00B558C5">
        <w:rPr>
          <w:rtl/>
        </w:rPr>
        <w:t xml:space="preserve"> </w:t>
      </w:r>
      <w:r w:rsidRPr="00B558C5">
        <w:rPr>
          <w:vertAlign w:val="superscript"/>
          <w:rtl/>
        </w:rPr>
        <w:footnoteReference w:id="1726"/>
      </w:r>
      <w:r w:rsidRPr="00B558C5">
        <w:rPr>
          <w:rtl/>
        </w:rPr>
        <w:t xml:space="preserve">דְּאָמַר </w:t>
      </w:r>
      <w:r w:rsidRPr="00B558C5">
        <w:rPr>
          <w:rFonts w:hint="cs"/>
          <w:rtl/>
        </w:rPr>
        <w:t xml:space="preserve">(איוב ז ט) </w:t>
      </w:r>
      <w:r w:rsidRPr="00B558C5">
        <w:rPr>
          <w:rtl/>
        </w:rPr>
        <w:t>כָּלָה עָנָן וַיֵלַך</w:t>
      </w:r>
      <w:r w:rsidRPr="00B558C5">
        <w:rPr>
          <w:rFonts w:hint="cs"/>
          <w:rtl/>
        </w:rPr>
        <w:t>.</w:t>
      </w:r>
      <w:r w:rsidRPr="00B558C5">
        <w:rPr>
          <w:rtl/>
        </w:rPr>
        <w:t xml:space="preserve"> וְשָׂטָן בָּעָא לְקַטְרְגָא לֵהּ</w:t>
      </w:r>
      <w:r w:rsidRPr="00B558C5">
        <w:rPr>
          <w:rFonts w:hint="cs"/>
          <w:rtl/>
        </w:rPr>
        <w:t>,</w:t>
      </w:r>
      <w:r w:rsidRPr="00B558C5">
        <w:rPr>
          <w:rtl/>
        </w:rPr>
        <w:t xml:space="preserve"> וְאָמַר קֻדְשָׁא בְּרִיךְ הוּא </w:t>
      </w:r>
      <w:r w:rsidRPr="00B558C5">
        <w:rPr>
          <w:rFonts w:hint="cs"/>
          <w:rtl/>
        </w:rPr>
        <w:t xml:space="preserve">(שם לג) </w:t>
      </w:r>
      <w:r w:rsidRPr="00B558C5">
        <w:rPr>
          <w:rtl/>
        </w:rPr>
        <w:t>אִיּוֹב לֹא בְּדַעַת יְדַבֵּר</w:t>
      </w:r>
      <w:r w:rsidRPr="00B558C5">
        <w:rPr>
          <w:rFonts w:hint="cs"/>
          <w:rtl/>
        </w:rPr>
        <w:t>.</w:t>
      </w:r>
      <w:r w:rsidRPr="00B558C5">
        <w:rPr>
          <w:rtl/>
        </w:rPr>
        <w:t xml:space="preserve"> וְיַעֲקֹב בְּגִין דְּחָזָא בְּרוּחַ קֻדְשָׁא דּוֹחֲקָא דְּגָלוּתָא בַּתְרָאָה </w:t>
      </w:r>
      <w:r w:rsidRPr="00B558C5">
        <w:rPr>
          <w:vertAlign w:val="superscript"/>
          <w:rtl/>
        </w:rPr>
        <w:footnoteReference w:id="1727"/>
      </w:r>
      <w:r w:rsidRPr="00B558C5">
        <w:rPr>
          <w:rtl/>
        </w:rPr>
        <w:t>בְּסוֹף יוֹמַיָּא</w:t>
      </w:r>
      <w:r w:rsidRPr="00B558C5">
        <w:rPr>
          <w:rFonts w:hint="cs"/>
          <w:rtl/>
        </w:rPr>
        <w:t>,</w:t>
      </w:r>
      <w:r w:rsidRPr="00B558C5">
        <w:rPr>
          <w:rtl/>
        </w:rPr>
        <w:t xml:space="preserve"> אָמַר </w:t>
      </w:r>
      <w:r w:rsidRPr="00B558C5">
        <w:rPr>
          <w:vertAlign w:val="superscript"/>
          <w:rtl/>
        </w:rPr>
        <w:footnoteReference w:id="1728"/>
      </w:r>
      <w:r w:rsidRPr="00B558C5">
        <w:rPr>
          <w:rtl/>
        </w:rPr>
        <w:t>וַיִּירָא יַעֲקֹב מְאֹד וְיִצֶר לוֹ</w:t>
      </w:r>
      <w:r w:rsidRPr="00B558C5">
        <w:rPr>
          <w:rFonts w:hint="cs"/>
          <w:rtl/>
        </w:rPr>
        <w:t>,</w:t>
      </w:r>
      <w:r w:rsidRPr="00B558C5">
        <w:rPr>
          <w:rtl/>
        </w:rPr>
        <w:t xml:space="preserve"> וּפָלִיג עַמָּא קַדִּישָׁא בַּגָּלוּת </w:t>
      </w:r>
      <w:r w:rsidRPr="00B558C5">
        <w:rPr>
          <w:vertAlign w:val="superscript"/>
          <w:rtl/>
        </w:rPr>
        <w:footnoteReference w:id="1729"/>
      </w:r>
      <w:r w:rsidRPr="00B558C5">
        <w:rPr>
          <w:rtl/>
        </w:rPr>
        <w:t>לִתְלָת סִטְרִין</w:t>
      </w:r>
      <w:r w:rsidRPr="00B558C5">
        <w:rPr>
          <w:rFonts w:hint="cs"/>
          <w:rtl/>
        </w:rPr>
        <w:t>,</w:t>
      </w:r>
      <w:r w:rsidRPr="00B558C5">
        <w:rPr>
          <w:rtl/>
        </w:rPr>
        <w:t xml:space="preserve"> הָדָא הוּא דִּכְתִיב </w:t>
      </w:r>
      <w:r w:rsidRPr="00B558C5">
        <w:rPr>
          <w:rFonts w:hint="cs"/>
          <w:rtl/>
        </w:rPr>
        <w:t xml:space="preserve">(בראשית לב) </w:t>
      </w:r>
      <w:r w:rsidRPr="00B558C5">
        <w:rPr>
          <w:rtl/>
        </w:rPr>
        <w:t xml:space="preserve">וַיָּשֶׂם אֶת </w:t>
      </w:r>
      <w:r w:rsidRPr="00B558C5">
        <w:rPr>
          <w:vertAlign w:val="superscript"/>
          <w:rtl/>
        </w:rPr>
        <w:footnoteReference w:id="1730"/>
      </w:r>
      <w:r w:rsidRPr="00B558C5">
        <w:rPr>
          <w:rtl/>
        </w:rPr>
        <w:t>הַשְּׁפָחוֹת וְיַלְדֵיהֶן רִאשׁוֹנָה</w:t>
      </w:r>
      <w:r w:rsidRPr="00B558C5">
        <w:rPr>
          <w:rFonts w:hint="cs"/>
          <w:rtl/>
        </w:rPr>
        <w:t>,</w:t>
      </w:r>
      <w:r w:rsidRPr="00B558C5">
        <w:rPr>
          <w:rtl/>
        </w:rPr>
        <w:t xml:space="preserve"> בְּרֵישָׁא דֶּאֱדוֹם. </w:t>
      </w:r>
      <w:r w:rsidRPr="00B558C5">
        <w:rPr>
          <w:vertAlign w:val="superscript"/>
          <w:rtl/>
        </w:rPr>
        <w:footnoteReference w:id="1731"/>
      </w:r>
      <w:r w:rsidRPr="00B558C5">
        <w:rPr>
          <w:rtl/>
        </w:rPr>
        <w:t xml:space="preserve">וְאֶת לֵאָה וִילָדֶיהָ אַחֲרוֹנִים </w:t>
      </w:r>
      <w:r w:rsidRPr="00B558C5">
        <w:rPr>
          <w:vertAlign w:val="superscript"/>
          <w:rtl/>
        </w:rPr>
        <w:footnoteReference w:id="1732"/>
      </w:r>
      <w:r w:rsidRPr="00B558C5">
        <w:rPr>
          <w:rtl/>
        </w:rPr>
        <w:t>וְאֶת רָחֵל וְאֶת יוֹסֵף אַחֲרוֹנִים (שם). וּבְגִין דְּחָזָא בָּתַר כֵּן עֲנִיּוּתָא וְצַעֲרָא דִּילְהוֹן אָמַר וְשַׁבְתִּי בְּשָׁלוֹם אֶל בֵּית אָבִי (שם), דָּא מַקְדְּשָׁא</w:t>
      </w:r>
      <w:r w:rsidRPr="00B558C5">
        <w:rPr>
          <w:rFonts w:hint="cs"/>
          <w:rtl/>
        </w:rPr>
        <w:t>.</w:t>
      </w:r>
      <w:r w:rsidRPr="00B558C5">
        <w:rPr>
          <w:rtl/>
        </w:rPr>
        <w:t xml:space="preserve"> </w:t>
      </w:r>
      <w:r w:rsidRPr="00B558C5">
        <w:rPr>
          <w:vertAlign w:val="superscript"/>
          <w:rtl/>
        </w:rPr>
        <w:footnoteReference w:id="1733"/>
      </w:r>
      <w:r w:rsidRPr="00B558C5">
        <w:rPr>
          <w:rtl/>
        </w:rPr>
        <w:t xml:space="preserve">וְאָמַר וְנָתַן לִי לֶחֶם לֶאֱכֹל וּבֶגֶד לִלְבֹּשׁ. וְדָוִד בְּגִין גָּלוּתָא </w:t>
      </w:r>
      <w:r w:rsidRPr="00B558C5">
        <w:rPr>
          <w:vertAlign w:val="superscript"/>
          <w:rtl/>
        </w:rPr>
        <w:footnoteReference w:id="1734"/>
      </w:r>
      <w:r w:rsidRPr="00B558C5">
        <w:rPr>
          <w:rtl/>
        </w:rPr>
        <w:t xml:space="preserve">אָמַר רָעֵב </w:t>
      </w:r>
      <w:r w:rsidRPr="00B558C5">
        <w:rPr>
          <w:rFonts w:hint="cs"/>
          <w:rtl/>
        </w:rPr>
        <w:t xml:space="preserve">ויעף </w:t>
      </w:r>
      <w:r w:rsidRPr="00B558C5">
        <w:rPr>
          <w:rtl/>
        </w:rPr>
        <w:t xml:space="preserve">וְצָמֵא </w:t>
      </w:r>
      <w:r w:rsidRPr="00B558C5">
        <w:rPr>
          <w:vertAlign w:val="superscript"/>
          <w:rtl/>
        </w:rPr>
        <w:footnoteReference w:id="1735"/>
      </w:r>
      <w:r w:rsidRPr="00B558C5">
        <w:rPr>
          <w:rtl/>
        </w:rPr>
        <w:t xml:space="preserve">בַּמִּדְבָּר. </w:t>
      </w:r>
      <w:r w:rsidRPr="00B558C5">
        <w:rPr>
          <w:vertAlign w:val="superscript"/>
          <w:rtl/>
        </w:rPr>
        <w:footnoteReference w:id="1736"/>
      </w:r>
      <w:r w:rsidRPr="00B558C5">
        <w:rPr>
          <w:rtl/>
        </w:rPr>
        <w:t xml:space="preserve">וּבְגִין דְּחָזָא שְׁכִינְתָּא חֲרֵבָה וִיבֵשָׁה, </w:t>
      </w:r>
      <w:r w:rsidRPr="00B558C5">
        <w:rPr>
          <w:vertAlign w:val="superscript"/>
          <w:rtl/>
        </w:rPr>
        <w:footnoteReference w:id="1737"/>
      </w:r>
      <w:r w:rsidRPr="00B558C5">
        <w:rPr>
          <w:rtl/>
        </w:rPr>
        <w:t xml:space="preserve">הֲוָה אִיהוּ נָטַל צַעֲרָא בְּגִינָהּ. דְּבָתַר דַּחֲזָא </w:t>
      </w:r>
      <w:r w:rsidRPr="00B558C5">
        <w:rPr>
          <w:vertAlign w:val="superscript"/>
          <w:rtl/>
        </w:rPr>
        <w:footnoteReference w:id="1738"/>
      </w:r>
      <w:r w:rsidRPr="00B558C5">
        <w:rPr>
          <w:rtl/>
        </w:rPr>
        <w:t>דְּחָזְרוּ יִשְׂרָאֵל בִּתְשׁוּבָה</w:t>
      </w:r>
      <w:r w:rsidRPr="00B558C5">
        <w:rPr>
          <w:rFonts w:hint="cs"/>
          <w:rtl/>
        </w:rPr>
        <w:t>,</w:t>
      </w:r>
      <w:r w:rsidRPr="00B558C5">
        <w:rPr>
          <w:rtl/>
        </w:rPr>
        <w:t xml:space="preserve"> בְּחֶדְוָה</w:t>
      </w:r>
      <w:r w:rsidRPr="00B558C5">
        <w:rPr>
          <w:rFonts w:hint="cs"/>
          <w:rtl/>
        </w:rPr>
        <w:t>,</w:t>
      </w:r>
      <w:r w:rsidRPr="00B558C5">
        <w:rPr>
          <w:rtl/>
        </w:rPr>
        <w:t xml:space="preserve"> </w:t>
      </w:r>
      <w:r w:rsidRPr="00B558C5">
        <w:rPr>
          <w:vertAlign w:val="superscript"/>
          <w:rtl/>
        </w:rPr>
        <w:footnoteReference w:id="1739"/>
      </w:r>
      <w:r w:rsidRPr="00B558C5">
        <w:rPr>
          <w:rtl/>
        </w:rPr>
        <w:t>תִּקֵּן עֶשֶׂר מִינֵי תְּהִלִּים</w:t>
      </w:r>
      <w:r w:rsidRPr="00B558C5">
        <w:rPr>
          <w:rFonts w:hint="cs"/>
          <w:rtl/>
        </w:rPr>
        <w:t>,</w:t>
      </w:r>
      <w:r w:rsidRPr="00B558C5">
        <w:rPr>
          <w:rtl/>
        </w:rPr>
        <w:t xml:space="preserve"> </w:t>
      </w:r>
      <w:r w:rsidRPr="00B558C5">
        <w:rPr>
          <w:vertAlign w:val="superscript"/>
          <w:rtl/>
        </w:rPr>
        <w:footnoteReference w:id="1740"/>
      </w:r>
      <w:r w:rsidRPr="00B558C5">
        <w:rPr>
          <w:rtl/>
        </w:rPr>
        <w:t xml:space="preserve">וּבַסּוֹף כֻּלְּהוּ אָמַר </w:t>
      </w:r>
      <w:r w:rsidRPr="00B558C5">
        <w:rPr>
          <w:rFonts w:hint="cs"/>
          <w:rtl/>
        </w:rPr>
        <w:t xml:space="preserve">(תהלים פו) </w:t>
      </w:r>
      <w:r w:rsidRPr="00B558C5">
        <w:rPr>
          <w:vertAlign w:val="superscript"/>
          <w:rtl/>
        </w:rPr>
        <w:footnoteReference w:id="1741"/>
      </w:r>
      <w:r w:rsidRPr="00B558C5">
        <w:rPr>
          <w:rtl/>
        </w:rPr>
        <w:t xml:space="preserve">תְּפִלָּה לְדָוִד הַטֵה ה' אָזְנְךָ עֲנֵנִי וְגוֹ'. חָזָא דְּכֻלְּהוּ </w:t>
      </w:r>
      <w:r w:rsidRPr="00B558C5">
        <w:rPr>
          <w:vertAlign w:val="superscript"/>
          <w:rtl/>
        </w:rPr>
        <w:footnoteReference w:id="1742"/>
      </w:r>
      <w:r w:rsidRPr="00B558C5">
        <w:rPr>
          <w:rtl/>
        </w:rPr>
        <w:t>צְלוֹתִין דְּנִגּוּנָא הֲווֹ מִתְעַטְפִין קֳדָם מַלְכָּא, וְלָא הֲווֹ עָאלִין עַד דְּיֵעוּל צְלוֹתָא דְּעָנִי</w:t>
      </w:r>
      <w:r w:rsidRPr="00B558C5">
        <w:rPr>
          <w:rFonts w:hint="cs"/>
          <w:rtl/>
        </w:rPr>
        <w:t>,</w:t>
      </w:r>
      <w:r w:rsidRPr="00B558C5">
        <w:rPr>
          <w:rtl/>
        </w:rPr>
        <w:t xml:space="preserve"> הָדָא הוּא דִּכְתִיב תְּפִלָּה לְעָנִי כִּי יַעֲטוֹף (שם), דְּעָטַף כָּל צְלוֹתִין קַדְמָאֵי עַד דְּעָאל צְלוֹתֵהּ דְּעָנִי, </w:t>
      </w:r>
      <w:r w:rsidRPr="00B558C5">
        <w:rPr>
          <w:vertAlign w:val="superscript"/>
          <w:rtl/>
        </w:rPr>
        <w:footnoteReference w:id="1743"/>
      </w:r>
      <w:r w:rsidRPr="00B558C5">
        <w:rPr>
          <w:rtl/>
        </w:rPr>
        <w:t>וּבְגִין דָּא צְלוֹתָא דְּעָנִי אַקְדִּים לְכֻלְּהוּ</w:t>
      </w:r>
      <w:r w:rsidRPr="00B558C5">
        <w:rPr>
          <w:rFonts w:hint="cs"/>
          <w:rtl/>
        </w:rPr>
        <w:t>.</w:t>
      </w:r>
      <w:r w:rsidRPr="00B558C5">
        <w:rPr>
          <w:rtl/>
        </w:rPr>
        <w:t xml:space="preserve"> </w:t>
      </w:r>
      <w:r w:rsidRPr="00B558C5">
        <w:rPr>
          <w:vertAlign w:val="superscript"/>
          <w:rtl/>
        </w:rPr>
        <w:footnoteReference w:id="1744"/>
      </w:r>
      <w:r w:rsidRPr="00B558C5">
        <w:rPr>
          <w:rtl/>
        </w:rPr>
        <w:t xml:space="preserve">מַאן צְלוֹתֵהּ דְּעָנִי, </w:t>
      </w:r>
      <w:r w:rsidRPr="00B558C5">
        <w:rPr>
          <w:vertAlign w:val="superscript"/>
          <w:rtl/>
        </w:rPr>
        <w:footnoteReference w:id="1745"/>
      </w:r>
      <w:r w:rsidRPr="00B558C5">
        <w:rPr>
          <w:rtl/>
        </w:rPr>
        <w:t>דָּא צְלוֹתָא דְּעַרְבִית</w:t>
      </w:r>
      <w:r w:rsidRPr="00B558C5">
        <w:rPr>
          <w:rFonts w:hint="cs"/>
          <w:rtl/>
        </w:rPr>
        <w:t>,</w:t>
      </w:r>
      <w:r w:rsidRPr="00B558C5">
        <w:rPr>
          <w:rtl/>
        </w:rPr>
        <w:t xml:space="preserve"> דְּאִיהִי רְשׁוּת בִּפְנֵי עַצְמָהּ בְּלֹא בַּעְלָהּ. וּבְגִין דְּאִיהִי בְּלֹא בַּעְלָהּ, אִיהִי עֲנִיָּה יְבֵשָׁה בִּרְשׁוּת כּל אִינִש</w:t>
      </w:r>
      <w:r w:rsidRPr="00B558C5">
        <w:rPr>
          <w:rFonts w:hint="cs"/>
          <w:rtl/>
        </w:rPr>
        <w:t>,</w:t>
      </w:r>
      <w:r w:rsidRPr="00B558C5">
        <w:rPr>
          <w:rtl/>
        </w:rPr>
        <w:t xml:space="preserve"> דָא זַרְעָא דְּיַעֲקֹב דְּאִיהוּ בִּרְשׁוּת כֹּל אוּמִין פַלְחֵי כּוכְבַיָא דְּעַלְמָא, וְדַמְיָא לִצְלוֹתָא דְּעַרְבִית, וְתַלְיָא בְּגַלוּתָא, וְצַדִּיק עָנִי וְיָבֵשׁ. וּצְלוֹתָא דְּשַׁבָּת אִיהִי צְדָקָה </w:t>
      </w:r>
      <w:r w:rsidRPr="00B558C5">
        <w:rPr>
          <w:vertAlign w:val="superscript"/>
          <w:rtl/>
        </w:rPr>
        <w:footnoteReference w:id="1746"/>
      </w:r>
      <w:r w:rsidRPr="00B558C5">
        <w:rPr>
          <w:rtl/>
        </w:rPr>
        <w:t>לְעָנִי דִילָה</w:t>
      </w:r>
      <w:r w:rsidRPr="00B558C5">
        <w:rPr>
          <w:rFonts w:hint="cs"/>
          <w:rtl/>
        </w:rPr>
        <w:t>,</w:t>
      </w:r>
      <w:r w:rsidRPr="00B558C5">
        <w:rPr>
          <w:rtl/>
        </w:rPr>
        <w:t xml:space="preserve"> כְּמָה דְּאוּקְמוּהָ מָארֵי מַתְנִיתִין </w:t>
      </w:r>
      <w:r w:rsidRPr="00B558C5">
        <w:rPr>
          <w:vertAlign w:val="superscript"/>
          <w:rtl/>
        </w:rPr>
        <w:footnoteReference w:id="1747"/>
      </w:r>
      <w:r w:rsidRPr="00B558C5">
        <w:rPr>
          <w:rtl/>
        </w:rPr>
        <w:t xml:space="preserve">שֶׁמֶשׁ בְּשַׁבָּת צְדָקָה </w:t>
      </w:r>
      <w:r w:rsidRPr="00B558C5">
        <w:rPr>
          <w:vertAlign w:val="superscript"/>
          <w:rtl/>
        </w:rPr>
        <w:footnoteReference w:id="1748"/>
      </w:r>
      <w:r w:rsidRPr="00B558C5">
        <w:rPr>
          <w:rtl/>
        </w:rPr>
        <w:t xml:space="preserve">לָעֲנִיִּים. וּבְגִין דָּא צָרִיךְ בַּר נָשׁ לְמֶהֱוֵי אִיהוּ </w:t>
      </w:r>
      <w:r w:rsidRPr="00B558C5">
        <w:rPr>
          <w:vertAlign w:val="superscript"/>
          <w:rtl/>
        </w:rPr>
        <w:footnoteReference w:id="1749"/>
      </w:r>
      <w:r w:rsidRPr="00B558C5">
        <w:rPr>
          <w:rtl/>
        </w:rPr>
        <w:t xml:space="preserve">כְּעָנִי לְתַרְעָא דְּמַלְכָּא בִּצְלוֹתָא דַּעֲמִידָה </w:t>
      </w:r>
      <w:r w:rsidRPr="00B558C5">
        <w:rPr>
          <w:vertAlign w:val="superscript"/>
          <w:rtl/>
        </w:rPr>
        <w:footnoteReference w:id="1750"/>
      </w:r>
      <w:r w:rsidRPr="00B558C5">
        <w:rPr>
          <w:rtl/>
        </w:rPr>
        <w:t xml:space="preserve">בְּכָל שִׁית יוֹמִין דְּחֹל בְּגִין שְׁכִינְתָּא. </w:t>
      </w:r>
      <w:r w:rsidRPr="00B558C5">
        <w:rPr>
          <w:vertAlign w:val="superscript"/>
          <w:rtl/>
        </w:rPr>
        <w:footnoteReference w:id="1751"/>
      </w:r>
      <w:r w:rsidRPr="00B558C5">
        <w:rPr>
          <w:rtl/>
        </w:rPr>
        <w:t xml:space="preserve">וּמִתְעַטֵף בְּעִטוּפָא דְּמִצְוָה כְּעָנִי, </w:t>
      </w:r>
      <w:r w:rsidRPr="00B558C5">
        <w:rPr>
          <w:vertAlign w:val="superscript"/>
          <w:rtl/>
        </w:rPr>
        <w:footnoteReference w:id="1752"/>
      </w:r>
      <w:r w:rsidRPr="00B558C5">
        <w:rPr>
          <w:rtl/>
        </w:rPr>
        <w:t>וִיהֵא בִּתְפִלִּין כְּאֶבְיוֹן</w:t>
      </w:r>
      <w:r w:rsidRPr="00B558C5">
        <w:rPr>
          <w:rFonts w:hint="cs"/>
          <w:rtl/>
        </w:rPr>
        <w:t>,</w:t>
      </w:r>
      <w:r w:rsidRPr="00B558C5">
        <w:rPr>
          <w:rtl/>
        </w:rPr>
        <w:t xml:space="preserve"> </w:t>
      </w:r>
      <w:r w:rsidRPr="00B558C5">
        <w:rPr>
          <w:vertAlign w:val="superscript"/>
          <w:rtl/>
        </w:rPr>
        <w:footnoteReference w:id="1753"/>
      </w:r>
      <w:r w:rsidRPr="00B558C5">
        <w:rPr>
          <w:rtl/>
        </w:rPr>
        <w:t xml:space="preserve">לְתַרְעָא דְּהֵיכָלָא </w:t>
      </w:r>
      <w:r w:rsidRPr="00B558C5">
        <w:rPr>
          <w:vertAlign w:val="superscript"/>
          <w:rtl/>
        </w:rPr>
        <w:footnoteReference w:id="1754"/>
      </w:r>
      <w:r w:rsidRPr="00B558C5">
        <w:rPr>
          <w:rtl/>
        </w:rPr>
        <w:t>דְּאִיהִי אדנ'י</w:t>
      </w:r>
      <w:r w:rsidRPr="00B558C5">
        <w:rPr>
          <w:rFonts w:hint="cs"/>
          <w:rtl/>
        </w:rPr>
        <w:t>,</w:t>
      </w:r>
      <w:r w:rsidRPr="00B558C5">
        <w:rPr>
          <w:rtl/>
        </w:rPr>
        <w:t xml:space="preserve"> דְּהָכֵי סָלִיק לְחֻשְׁבַּן הֵיכָ'ל</w:t>
      </w:r>
      <w:r w:rsidRPr="00B558C5">
        <w:rPr>
          <w:rFonts w:hint="cs"/>
          <w:rtl/>
        </w:rPr>
        <w:t>,</w:t>
      </w:r>
      <w:r w:rsidRPr="00B558C5">
        <w:rPr>
          <w:rtl/>
        </w:rPr>
        <w:t xml:space="preserve"> וְדָא אִיהוּ אֲדֹנָי שְׂפָתַי תִּפְתָּח. וְכַד אַפְתַּח פּוּמֵהּ בִּצְלוֹתָא דְּעַרְבִית, </w:t>
      </w:r>
      <w:r w:rsidRPr="00B558C5">
        <w:rPr>
          <w:vertAlign w:val="superscript"/>
          <w:rtl/>
        </w:rPr>
        <w:footnoteReference w:id="1755"/>
      </w:r>
      <w:r w:rsidRPr="00B558C5">
        <w:rPr>
          <w:rtl/>
        </w:rPr>
        <w:t xml:space="preserve">נִשְׁרָא קָא נָחִית </w:t>
      </w:r>
      <w:r w:rsidRPr="00B558C5">
        <w:rPr>
          <w:vertAlign w:val="superscript"/>
          <w:rtl/>
        </w:rPr>
        <w:footnoteReference w:id="1756"/>
      </w:r>
      <w:r w:rsidRPr="00B558C5">
        <w:rPr>
          <w:rtl/>
        </w:rPr>
        <w:t>בְּיוֹמִין דְּחֹל לְקַבְּלָא בְּגַדְפָּהָא צְלוֹתָא דְּלֵילָא, וְדָא נוריא"ל</w:t>
      </w:r>
      <w:r w:rsidRPr="00B558C5">
        <w:rPr>
          <w:rFonts w:hint="cs"/>
          <w:rtl/>
        </w:rPr>
        <w:t>.</w:t>
      </w:r>
      <w:r w:rsidRPr="00B558C5">
        <w:rPr>
          <w:rtl/>
        </w:rPr>
        <w:t xml:space="preserve"> </w:t>
      </w:r>
      <w:r w:rsidRPr="00B558C5">
        <w:rPr>
          <w:vertAlign w:val="superscript"/>
          <w:rtl/>
        </w:rPr>
        <w:footnoteReference w:id="1757"/>
      </w:r>
      <w:r w:rsidRPr="00B558C5">
        <w:rPr>
          <w:rtl/>
        </w:rPr>
        <w:t xml:space="preserve">אִתְקְרֵי אוּרִיאֵ"ל </w:t>
      </w:r>
      <w:r w:rsidRPr="00B558C5">
        <w:rPr>
          <w:vertAlign w:val="superscript"/>
          <w:rtl/>
        </w:rPr>
        <w:footnoteReference w:id="1758"/>
      </w:r>
      <w:r w:rsidRPr="00B558C5">
        <w:rPr>
          <w:rtl/>
        </w:rPr>
        <w:t>מִסִּטְרָא דְּחֶסֶד</w:t>
      </w:r>
      <w:r w:rsidRPr="00B558C5">
        <w:rPr>
          <w:rFonts w:hint="cs"/>
          <w:rtl/>
        </w:rPr>
        <w:t>,</w:t>
      </w:r>
      <w:r w:rsidRPr="00B558C5">
        <w:rPr>
          <w:rtl/>
        </w:rPr>
        <w:t xml:space="preserve"> וְנוריא"ל </w:t>
      </w:r>
      <w:r w:rsidRPr="00B558C5">
        <w:rPr>
          <w:vertAlign w:val="superscript"/>
          <w:rtl/>
        </w:rPr>
        <w:footnoteReference w:id="1759"/>
      </w:r>
      <w:r w:rsidRPr="00B558C5">
        <w:rPr>
          <w:rtl/>
        </w:rPr>
        <w:t>מִסִּטְרָא דִּגְבוּרָה</w:t>
      </w:r>
      <w:r w:rsidRPr="00B558C5">
        <w:rPr>
          <w:rFonts w:hint="cs"/>
          <w:rtl/>
        </w:rPr>
        <w:t>,</w:t>
      </w:r>
      <w:r w:rsidRPr="00B558C5">
        <w:rPr>
          <w:rtl/>
        </w:rPr>
        <w:t xml:space="preserve"> דְּאִיהוּ נוּר דָּלִיק, </w:t>
      </w:r>
      <w:r w:rsidRPr="00B558C5">
        <w:rPr>
          <w:vertAlign w:val="superscript"/>
          <w:rtl/>
        </w:rPr>
        <w:footnoteReference w:id="1760"/>
      </w:r>
      <w:r w:rsidRPr="00B558C5">
        <w:rPr>
          <w:rtl/>
        </w:rPr>
        <w:t xml:space="preserve">דְּאִתְּמַר בֵּהּ נְהַר דִינוּר נָגֵיד וְנָפֵק מִן קָדָמוֹהִי. וּבִצְלוֹתָא דְּשַׁחֲרִית נָחִית אַרְיֵה לְקַבְּלָא צְלוֹתֵהּ דְּבַר נָשׁ, </w:t>
      </w:r>
      <w:r w:rsidRPr="00B558C5">
        <w:rPr>
          <w:vertAlign w:val="superscript"/>
          <w:rtl/>
        </w:rPr>
        <w:footnoteReference w:id="1761"/>
      </w:r>
      <w:r w:rsidRPr="00B558C5">
        <w:rPr>
          <w:rtl/>
        </w:rPr>
        <w:t>בִּדְרוֹעוֹי וְגַדְפוֹי</w:t>
      </w:r>
      <w:r w:rsidRPr="00B558C5">
        <w:rPr>
          <w:rFonts w:hint="cs"/>
          <w:rtl/>
        </w:rPr>
        <w:t>,</w:t>
      </w:r>
      <w:r w:rsidRPr="00B558C5">
        <w:rPr>
          <w:rtl/>
        </w:rPr>
        <w:t xml:space="preserve"> דְּד' גַּדְפִּין לְכָל חַיָּה וְדָּא מִיכָאֵ"ל. וּבִצְלוֹתָא דְּמִנְחָא שׁוֹר נָחִית לְקַבְּלָא צְלוֹתָא בְּקַרְנוֹי וּבְגַדְפוֹי וְדָא גַּבְרִיאֵ"ל. </w:t>
      </w:r>
    </w:p>
    <w:p w:rsidR="00B558C5" w:rsidRPr="00B558C5" w:rsidRDefault="00B558C5" w:rsidP="00B558C5">
      <w:pPr>
        <w:pStyle w:val="4"/>
        <w:jc w:val="right"/>
        <w:rPr>
          <w:sz w:val="24"/>
          <w:szCs w:val="24"/>
          <w:rtl/>
        </w:rPr>
      </w:pPr>
      <w:r w:rsidRPr="00B558C5">
        <w:rPr>
          <w:rFonts w:hint="cs"/>
          <w:sz w:val="24"/>
          <w:szCs w:val="24"/>
          <w:rtl/>
        </w:rPr>
        <w:t>[וילנא כח ע"א]</w:t>
      </w:r>
    </w:p>
    <w:p w:rsidR="00B558C5" w:rsidRPr="00B558C5" w:rsidRDefault="00B558C5" w:rsidP="00B558C5">
      <w:pPr>
        <w:pStyle w:val="NormalWeb"/>
        <w:rPr>
          <w:rtl/>
        </w:rPr>
      </w:pPr>
      <w:r w:rsidRPr="00B558C5">
        <w:rPr>
          <w:rtl/>
        </w:rPr>
        <w:t xml:space="preserve">וּבְשַׁבָּת נָחִית קֻדְשָׁא בְּרִיךְ הוּא </w:t>
      </w:r>
      <w:r w:rsidRPr="00B558C5">
        <w:rPr>
          <w:vertAlign w:val="superscript"/>
          <w:rtl/>
        </w:rPr>
        <w:footnoteReference w:id="1762"/>
      </w:r>
      <w:r w:rsidRPr="00B558C5">
        <w:rPr>
          <w:rtl/>
        </w:rPr>
        <w:t>בִּתְלָת אֲבָהָן לְקַבְּלָא בַּת יְחִידָה בְּהוֹן</w:t>
      </w:r>
      <w:r w:rsidRPr="00B558C5">
        <w:rPr>
          <w:rFonts w:hint="cs"/>
          <w:rtl/>
        </w:rPr>
        <w:t>,</w:t>
      </w:r>
      <w:r w:rsidRPr="00B558C5">
        <w:rPr>
          <w:rtl/>
        </w:rPr>
        <w:t xml:space="preserve"> וְדָא רָזָא </w:t>
      </w:r>
      <w:r w:rsidRPr="00B558C5">
        <w:rPr>
          <w:vertAlign w:val="superscript"/>
          <w:rtl/>
        </w:rPr>
        <w:footnoteReference w:id="1763"/>
      </w:r>
      <w:r w:rsidRPr="00B558C5">
        <w:rPr>
          <w:rtl/>
        </w:rPr>
        <w:t>דְּשַׁבָּת, ש' בַּת, בִּתְלָת אֲבָהָן מְקַבֵּל קֻדְשָׁא בְּרִיךְ הוּא</w:t>
      </w:r>
      <w:r w:rsidRPr="00B558C5">
        <w:t xml:space="preserve"> </w:t>
      </w:r>
      <w:r w:rsidRPr="00B558C5">
        <w:rPr>
          <w:rtl/>
        </w:rPr>
        <w:t>לִצְלוֹתָא דְּאִיהִי שַׁבָּת</w:t>
      </w:r>
      <w:r w:rsidRPr="00B558C5">
        <w:rPr>
          <w:rFonts w:hint="cs"/>
          <w:rtl/>
        </w:rPr>
        <w:t>,</w:t>
      </w:r>
      <w:r w:rsidRPr="00B558C5">
        <w:rPr>
          <w:rtl/>
        </w:rPr>
        <w:t xml:space="preserve"> </w:t>
      </w:r>
      <w:r w:rsidRPr="00B558C5">
        <w:rPr>
          <w:vertAlign w:val="superscript"/>
          <w:rtl/>
        </w:rPr>
        <w:footnoteReference w:id="1764"/>
      </w:r>
      <w:r w:rsidRPr="00B558C5">
        <w:rPr>
          <w:rtl/>
        </w:rPr>
        <w:t xml:space="preserve">בַּת יְחִידָה דִּילֵהּ. בְּהַהוּא זִמְנָא </w:t>
      </w:r>
      <w:r w:rsidRPr="00B558C5">
        <w:rPr>
          <w:vertAlign w:val="superscript"/>
          <w:rtl/>
        </w:rPr>
        <w:footnoteReference w:id="1765"/>
      </w:r>
      <w:r w:rsidRPr="00B558C5">
        <w:rPr>
          <w:rtl/>
        </w:rPr>
        <w:t xml:space="preserve">חֵיוָן עִלָּאִין דְּאִתְקְרִיאוּ בִּשְׁמָא דה' פַּתְחִין וְאַמְרִין </w:t>
      </w:r>
      <w:r w:rsidRPr="00B558C5">
        <w:rPr>
          <w:vertAlign w:val="superscript"/>
          <w:rtl/>
        </w:rPr>
        <w:footnoteReference w:id="1766"/>
      </w:r>
      <w:r w:rsidRPr="00B558C5">
        <w:rPr>
          <w:rtl/>
        </w:rPr>
        <w:t xml:space="preserve">שְׂאוּ שְׁעָרִים </w:t>
      </w:r>
      <w:r w:rsidRPr="00B558C5">
        <w:rPr>
          <w:vertAlign w:val="superscript"/>
          <w:rtl/>
        </w:rPr>
        <w:footnoteReference w:id="1767"/>
      </w:r>
      <w:r w:rsidRPr="00B558C5">
        <w:rPr>
          <w:rtl/>
        </w:rPr>
        <w:t>רָאשֵׁיכֶם וְגוֹ' (שם). בְּהַהוּא שַׁעֲתָא מִתְפַּתְּחִין שִׁבְעָה הֵיכָלִין</w:t>
      </w:r>
      <w:r w:rsidRPr="00B558C5">
        <w:rPr>
          <w:rFonts w:hint="cs"/>
          <w:rtl/>
        </w:rPr>
        <w:t>.</w:t>
      </w:r>
      <w:r w:rsidRPr="00B558C5">
        <w:rPr>
          <w:rtl/>
        </w:rPr>
        <w:t xml:space="preserve"> </w:t>
      </w:r>
      <w:r w:rsidRPr="00B558C5">
        <w:rPr>
          <w:vertAlign w:val="superscript"/>
          <w:rtl/>
        </w:rPr>
        <w:footnoteReference w:id="1768"/>
      </w:r>
      <w:r w:rsidRPr="00B558C5">
        <w:rPr>
          <w:rtl/>
        </w:rPr>
        <w:t xml:space="preserve">הֵיכָלָא קַדְמָאָה הֵיכָלָא דְּאַהֲבָה. תִּנְיָנָא הֵיכָלָא דְּיִרְאָה. </w:t>
      </w:r>
      <w:r w:rsidRPr="00B558C5">
        <w:rPr>
          <w:rFonts w:hint="cs"/>
          <w:i/>
          <w:iCs/>
          <w:rtl/>
        </w:rPr>
        <w:t>(וילנא כח ע"א)</w:t>
      </w:r>
      <w:r w:rsidRPr="00B558C5">
        <w:rPr>
          <w:rFonts w:hint="cs"/>
          <w:rtl/>
        </w:rPr>
        <w:t xml:space="preserve"> </w:t>
      </w:r>
      <w:r w:rsidRPr="00B558C5">
        <w:rPr>
          <w:rtl/>
        </w:rPr>
        <w:t xml:space="preserve">תְּלִיתָאָה הֵיכָלָא דְּרַחֲמֵי. ד' הֵיכָלָא דִּנְבוּאָה דְּאַסְפַּקְלַרְיָא דְּנַהֲרָא. ה' הֵיכָל דִּנְבוּאָה דְּאַסְפַּקְלַרְיָא דְּלָא נַהֲרָא. ו' הֵיכַל צֶדֶק. ז' הֵיכַל דִּין. </w:t>
      </w:r>
      <w:r w:rsidRPr="00B558C5">
        <w:rPr>
          <w:vertAlign w:val="superscript"/>
          <w:rtl/>
        </w:rPr>
        <w:footnoteReference w:id="1769"/>
      </w:r>
      <w:r w:rsidRPr="00B558C5">
        <w:rPr>
          <w:rtl/>
        </w:rPr>
        <w:t xml:space="preserve">וְעָלַיְהוּ כְּתִיב בְּרֵאשִׁי"ת, בָּרָא שִׁית. אֱלֹהִים הֵיכָלָא שְׁבִיעָאָה. וְאִנּוּן ז' הֵיכָלִין לְתַתָּא וְשִׁבְעָה הֵיכָלִין לְעֵלָּא. וּלְקַבְלַיְהוּ ז' קָלֵי דַּהֲבוּ לַה'. </w:t>
      </w:r>
      <w:r w:rsidRPr="00B558C5">
        <w:rPr>
          <w:vertAlign w:val="superscript"/>
          <w:rtl/>
        </w:rPr>
        <w:footnoteReference w:id="1770"/>
      </w:r>
      <w:r w:rsidRPr="00B558C5">
        <w:rPr>
          <w:rtl/>
        </w:rPr>
        <w:t>וי"ח אַזְכָּרוֹת דַּהֲבוּ לַה'</w:t>
      </w:r>
      <w:r w:rsidRPr="00B558C5">
        <w:rPr>
          <w:rFonts w:hint="cs"/>
          <w:rtl/>
        </w:rPr>
        <w:t>,</w:t>
      </w:r>
      <w:r w:rsidRPr="00B558C5">
        <w:rPr>
          <w:rtl/>
        </w:rPr>
        <w:t xml:space="preserve"> דִּבְהוֹן שָׁט</w:t>
      </w:r>
      <w:r w:rsidRPr="00B558C5">
        <w:t xml:space="preserve"> </w:t>
      </w:r>
      <w:r w:rsidRPr="00B558C5">
        <w:rPr>
          <w:rtl/>
        </w:rPr>
        <w:t xml:space="preserve">קֻדְשָׁא בְּרִיךְ הוּא בְּי"ח עָלְמִין, בְּרֶכֶב אֱלֹהִים רִבּוֹתַיִם אַלְפֵי שִׁנְאָן, </w:t>
      </w:r>
      <w:r w:rsidRPr="00B558C5">
        <w:rPr>
          <w:vertAlign w:val="superscript"/>
          <w:rtl/>
        </w:rPr>
        <w:footnoteReference w:id="1771"/>
      </w:r>
      <w:r w:rsidRPr="00B558C5">
        <w:rPr>
          <w:rtl/>
        </w:rPr>
        <w:t>דְּאִנּוּן י"ח אַלְפֵי רִבּוֹא עָלְמִין. וְכַמָּה נְטוּרֵי תַּרְעִין אִית</w:t>
      </w:r>
      <w:r w:rsidRPr="00B558C5">
        <w:rPr>
          <w:rFonts w:hint="cs"/>
          <w:rtl/>
        </w:rPr>
        <w:t>,</w:t>
      </w:r>
      <w:r w:rsidRPr="00B558C5">
        <w:rPr>
          <w:rtl/>
        </w:rPr>
        <w:t xml:space="preserve"> נְטוּרֵי הֵיכָלִין דִּמְקַבְּלִין צְלוֹתִין. וְכָל צְלוֹתָא לֹא תֵּיעוֹל אֶלָּא </w:t>
      </w:r>
      <w:r w:rsidRPr="00B558C5">
        <w:rPr>
          <w:vertAlign w:val="superscript"/>
          <w:rtl/>
        </w:rPr>
        <w:footnoteReference w:id="1772"/>
      </w:r>
      <w:r w:rsidRPr="00B558C5">
        <w:rPr>
          <w:rtl/>
        </w:rPr>
        <w:t xml:space="preserve">בְּמִדָּה וּבְמִשְׁקָל. וּבְגִין דָּא אִתְּמַר עַל צְלוֹתָא, לֹא יִהְיֶה לְךָ בְּכִיסְךָ וְגוֹ'. וּצְלוֹתִין חֲסֵרִין, עָלַיְהוּ אִתְּמַר </w:t>
      </w:r>
      <w:r w:rsidRPr="00B558C5">
        <w:rPr>
          <w:rFonts w:hint="cs"/>
          <w:rtl/>
        </w:rPr>
        <w:t xml:space="preserve">(דניאל ה) </w:t>
      </w:r>
      <w:r w:rsidRPr="00B558C5">
        <w:rPr>
          <w:rtl/>
        </w:rPr>
        <w:t xml:space="preserve">תָּקֵל תְּקִילְתָּא </w:t>
      </w:r>
      <w:r w:rsidRPr="00B558C5">
        <w:rPr>
          <w:vertAlign w:val="superscript"/>
          <w:rtl/>
        </w:rPr>
        <w:footnoteReference w:id="1773"/>
      </w:r>
      <w:r w:rsidRPr="00B558C5">
        <w:rPr>
          <w:rtl/>
        </w:rPr>
        <w:t>בְּמָאזְנ</w:t>
      </w:r>
      <w:r w:rsidRPr="00B558C5">
        <w:rPr>
          <w:rFonts w:hint="cs"/>
          <w:rtl/>
        </w:rPr>
        <w:t>יי'</w:t>
      </w:r>
      <w:r w:rsidRPr="00B558C5">
        <w:rPr>
          <w:rtl/>
        </w:rPr>
        <w:t xml:space="preserve"> וְאִשְׁתְּכָחַת חַסִּיר. </w:t>
      </w:r>
      <w:r w:rsidRPr="00B558C5">
        <w:rPr>
          <w:vertAlign w:val="superscript"/>
          <w:rtl/>
        </w:rPr>
        <w:footnoteReference w:id="1774"/>
      </w:r>
      <w:r w:rsidRPr="00B558C5">
        <w:rPr>
          <w:rtl/>
        </w:rPr>
        <w:t xml:space="preserve">אַף עַל גַּב דְּהַאי קְרָא בַּאֲתַר אָחֳרָא אוֹקְמוּהּ, ע' אַנְפִּין לַתּוֹרָה. בְּגִין דִּשְׁכִינְתָּא עָלַהּ אִתְּמַר </w:t>
      </w:r>
      <w:r w:rsidRPr="00B558C5">
        <w:rPr>
          <w:rFonts w:hint="cs"/>
          <w:rtl/>
        </w:rPr>
        <w:t xml:space="preserve">(שיר ד) </w:t>
      </w:r>
      <w:r w:rsidRPr="00B558C5">
        <w:rPr>
          <w:rtl/>
        </w:rPr>
        <w:t xml:space="preserve">כֻּלָּךְ יָפָה רַעְיָתִי וּמוּם אֵין בָּךְ. וְלָא קַבִּילַת צְלוֹתָא דְּאִית בָּהּ מוּמָה. הָדָא הוּא דִּכְתִיב כָּל אֲשֶׁר בּוֹ מוּם לֹא </w:t>
      </w:r>
      <w:r w:rsidRPr="00B558C5">
        <w:rPr>
          <w:rFonts w:hint="cs"/>
          <w:rtl/>
        </w:rPr>
        <w:t>י</w:t>
      </w:r>
      <w:r w:rsidRPr="00B558C5">
        <w:rPr>
          <w:rtl/>
        </w:rPr>
        <w:t>ִקְרַב וְכִי אִית צְלוֹתָא דְּאִית בָּהּ מוּמָא</w:t>
      </w:r>
      <w:r w:rsidRPr="00B558C5">
        <w:rPr>
          <w:rFonts w:hint="cs"/>
          <w:rtl/>
        </w:rPr>
        <w:t>,</w:t>
      </w:r>
      <w:r w:rsidRPr="00B558C5">
        <w:rPr>
          <w:rtl/>
        </w:rPr>
        <w:t xml:space="preserve"> אִין</w:t>
      </w:r>
      <w:r w:rsidRPr="00B558C5">
        <w:rPr>
          <w:rFonts w:hint="cs"/>
          <w:rtl/>
        </w:rPr>
        <w:t>,</w:t>
      </w:r>
      <w:r w:rsidRPr="00B558C5">
        <w:rPr>
          <w:rtl/>
        </w:rPr>
        <w:t xml:space="preserve"> הַהִיא דְּסָלְקָא פְּגִימָא</w:t>
      </w:r>
      <w:r w:rsidRPr="00B558C5">
        <w:rPr>
          <w:rFonts w:hint="cs"/>
          <w:rtl/>
        </w:rPr>
        <w:t>,</w:t>
      </w:r>
      <w:r w:rsidRPr="00B558C5">
        <w:rPr>
          <w:rtl/>
        </w:rPr>
        <w:t xml:space="preserve"> </w:t>
      </w:r>
      <w:r w:rsidRPr="00B558C5">
        <w:rPr>
          <w:vertAlign w:val="superscript"/>
          <w:rtl/>
        </w:rPr>
        <w:footnoteReference w:id="1775"/>
      </w:r>
      <w:r w:rsidRPr="00B558C5">
        <w:rPr>
          <w:rtl/>
        </w:rPr>
        <w:t>בְּלֹא מַחֲשָׁבָה</w:t>
      </w:r>
      <w:r w:rsidRPr="00B558C5">
        <w:rPr>
          <w:rFonts w:hint="cs"/>
          <w:rtl/>
        </w:rPr>
        <w:t>,</w:t>
      </w:r>
      <w:r w:rsidRPr="00B558C5">
        <w:rPr>
          <w:rtl/>
        </w:rPr>
        <w:t xml:space="preserve"> וּבִלְבּוּלָא דְּדַעְתָּא</w:t>
      </w:r>
      <w:r w:rsidRPr="00B558C5">
        <w:rPr>
          <w:rFonts w:hint="cs"/>
          <w:rtl/>
        </w:rPr>
        <w:t>,</w:t>
      </w:r>
      <w:r w:rsidRPr="00B558C5">
        <w:rPr>
          <w:rtl/>
        </w:rPr>
        <w:t xml:space="preserve"> כ</w:t>
      </w:r>
      <w:r w:rsidRPr="00B558C5">
        <w:t>"</w:t>
      </w:r>
      <w:r w:rsidRPr="00B558C5">
        <w:rPr>
          <w:rtl/>
        </w:rPr>
        <w:t xml:space="preserve">ש </w:t>
      </w:r>
      <w:r w:rsidRPr="00B558C5">
        <w:rPr>
          <w:vertAlign w:val="superscript"/>
          <w:rtl/>
        </w:rPr>
        <w:footnoteReference w:id="1776"/>
      </w:r>
      <w:r w:rsidRPr="00B558C5">
        <w:rPr>
          <w:rtl/>
        </w:rPr>
        <w:t>אִם טָעָה בִּתְלָת בִּרְכָּאן קַדְמָאִין אוֹ בִּתְלָת בַּתְרָאִין אוֹ בָּאֶמְצָעִיּוֹת</w:t>
      </w:r>
      <w:r w:rsidRPr="00B558C5">
        <w:rPr>
          <w:rFonts w:hint="cs"/>
          <w:rtl/>
        </w:rPr>
        <w:t>.</w:t>
      </w:r>
      <w:r w:rsidRPr="00B558C5">
        <w:rPr>
          <w:rtl/>
        </w:rPr>
        <w:t xml:space="preserve"> וּבְגִין דָּא אוֹקְמוּהּ מָארֵי מַתְנִיתִין טָעָה בְּג' רִאשׁוֹנוֹת חוֹזֵר לָרֹאשׁ</w:t>
      </w:r>
      <w:r w:rsidRPr="00B558C5">
        <w:rPr>
          <w:rFonts w:hint="cs"/>
          <w:rtl/>
        </w:rPr>
        <w:t>,</w:t>
      </w:r>
      <w:r w:rsidRPr="00B558C5">
        <w:rPr>
          <w:rtl/>
        </w:rPr>
        <w:t xml:space="preserve"> וּבָאַחֲרוֹנוֹת חוֹזֵר לָעֲבוֹדָה</w:t>
      </w:r>
      <w:r w:rsidRPr="00B558C5">
        <w:rPr>
          <w:rFonts w:hint="cs"/>
          <w:rtl/>
        </w:rPr>
        <w:t>,</w:t>
      </w:r>
      <w:r w:rsidRPr="00B558C5">
        <w:rPr>
          <w:rtl/>
        </w:rPr>
        <w:t xml:space="preserve"> וּבָאֶמְצָעִיּוֹת חוֹזֵר לַמָּקוֹם שֶׁנִּזְכַּר</w:t>
      </w:r>
      <w:r w:rsidRPr="00B558C5">
        <w:rPr>
          <w:rFonts w:hint="cs"/>
          <w:rtl/>
        </w:rPr>
        <w:t>.</w:t>
      </w:r>
      <w:r w:rsidRPr="00B558C5">
        <w:rPr>
          <w:rtl/>
        </w:rPr>
        <w:t xml:space="preserve"> וּבְגִין דָּא אִתְּמַר בִּצְלוֹתָא </w:t>
      </w:r>
      <w:r w:rsidRPr="00B558C5">
        <w:rPr>
          <w:vertAlign w:val="superscript"/>
          <w:rtl/>
        </w:rPr>
        <w:footnoteReference w:id="1777"/>
      </w:r>
      <w:r w:rsidRPr="00B558C5">
        <w:rPr>
          <w:rtl/>
        </w:rPr>
        <w:t>מִי יַעֲלֶה בְּהַר ה' וְגוֹ'. וְכַד צְלוֹתָא סָלְקָא בִּדְרוֹעָא יְמִינָא אוֹ בִּשְׂמָאלָא</w:t>
      </w:r>
      <w:r w:rsidRPr="00B558C5">
        <w:rPr>
          <w:rFonts w:hint="cs"/>
          <w:rtl/>
        </w:rPr>
        <w:t>,</w:t>
      </w:r>
      <w:r w:rsidRPr="00B558C5">
        <w:rPr>
          <w:rtl/>
        </w:rPr>
        <w:t xml:space="preserve"> דְּאִנּוּן שַׁחֲרִית וּמִנְחָה, מַה כְּתִיב בָּהּ</w:t>
      </w:r>
      <w:r w:rsidRPr="00B558C5">
        <w:rPr>
          <w:rFonts w:hint="cs"/>
          <w:rtl/>
        </w:rPr>
        <w:t>, (שיר ג)</w:t>
      </w:r>
      <w:r w:rsidRPr="00B558C5">
        <w:rPr>
          <w:rtl/>
        </w:rPr>
        <w:t xml:space="preserve"> שְׂמֹאלוֹ תַּחַת לְרֹאשִׁי וִימִינוֹ תְחַבְּקֵנִי. צְלוֹתָא דְּעַרְבִית </w:t>
      </w:r>
      <w:r w:rsidRPr="00B558C5">
        <w:rPr>
          <w:vertAlign w:val="superscript"/>
          <w:rtl/>
        </w:rPr>
        <w:footnoteReference w:id="1778"/>
      </w:r>
      <w:r w:rsidRPr="00B558C5">
        <w:rPr>
          <w:rtl/>
        </w:rPr>
        <w:t xml:space="preserve">אִיהִי מִּטָה, וּבְגִינַהּ אִתְּמַר </w:t>
      </w:r>
      <w:r w:rsidRPr="00B558C5">
        <w:rPr>
          <w:vertAlign w:val="superscript"/>
          <w:rtl/>
        </w:rPr>
        <w:footnoteReference w:id="1779"/>
      </w:r>
      <w:r w:rsidRPr="00B558C5">
        <w:rPr>
          <w:rtl/>
        </w:rPr>
        <w:t xml:space="preserve">בְּיַעֲקֹב וַיִּשְׁתַּחוּ יִשְׂרָאֵל </w:t>
      </w:r>
      <w:r w:rsidRPr="00B558C5">
        <w:rPr>
          <w:vertAlign w:val="superscript"/>
          <w:rtl/>
        </w:rPr>
        <w:footnoteReference w:id="1780"/>
      </w:r>
      <w:r w:rsidRPr="00B558C5">
        <w:rPr>
          <w:rtl/>
        </w:rPr>
        <w:t>עַל רֹאשׁ הַמִּטָה</w:t>
      </w:r>
      <w:r w:rsidRPr="00B558C5">
        <w:rPr>
          <w:rFonts w:hint="cs"/>
          <w:rtl/>
        </w:rPr>
        <w:t>,</w:t>
      </w:r>
      <w:r w:rsidRPr="00B558C5">
        <w:rPr>
          <w:rtl/>
        </w:rPr>
        <w:t xml:space="preserve"> </w:t>
      </w:r>
      <w:r w:rsidRPr="00B558C5">
        <w:rPr>
          <w:vertAlign w:val="superscript"/>
          <w:rtl/>
        </w:rPr>
        <w:footnoteReference w:id="1781"/>
      </w:r>
      <w:r w:rsidRPr="00B558C5">
        <w:rPr>
          <w:rtl/>
        </w:rPr>
        <w:t>דְּאִיהִי בְּבֵי מַרְעָא בְּגָלוּתָא דְּאִיהוּ לַיְלָה</w:t>
      </w:r>
      <w:r w:rsidRPr="00B558C5">
        <w:rPr>
          <w:rFonts w:hint="cs"/>
          <w:rtl/>
        </w:rPr>
        <w:t>,</w:t>
      </w:r>
      <w:r w:rsidRPr="00B558C5">
        <w:rPr>
          <w:rtl/>
        </w:rPr>
        <w:t xml:space="preserve"> </w:t>
      </w:r>
      <w:r w:rsidRPr="00B558C5">
        <w:rPr>
          <w:vertAlign w:val="superscript"/>
          <w:rtl/>
        </w:rPr>
        <w:footnoteReference w:id="1782"/>
      </w:r>
      <w:r w:rsidRPr="00B558C5">
        <w:rPr>
          <w:rtl/>
        </w:rPr>
        <w:t xml:space="preserve">כִּמְעַט שֶׁעָבַרְתִּי מֵהֶם וְגוֹ' (שה"ש ג ד). </w:t>
      </w:r>
    </w:p>
    <w:p w:rsidR="00B558C5" w:rsidRPr="00B558C5" w:rsidRDefault="00B558C5" w:rsidP="00B558C5">
      <w:pPr>
        <w:pStyle w:val="NormalWeb"/>
        <w:rPr>
          <w:i/>
          <w:iCs/>
          <w:rtl/>
        </w:rPr>
      </w:pPr>
      <w:r w:rsidRPr="00B558C5">
        <w:rPr>
          <w:i/>
          <w:iCs/>
          <w:rtl/>
        </w:rPr>
        <w:t>[</w:t>
      </w:r>
      <w:r>
        <w:rPr>
          <w:rFonts w:hint="cs"/>
          <w:i/>
          <w:iCs/>
          <w:rtl/>
        </w:rPr>
        <w:t xml:space="preserve">תיקונים מזהר חדש </w:t>
      </w:r>
      <w:r w:rsidRPr="00B558C5">
        <w:rPr>
          <w:rFonts w:hint="cs"/>
          <w:i/>
          <w:iCs/>
          <w:rtl/>
        </w:rPr>
        <w:t>דף</w:t>
      </w:r>
      <w:r w:rsidRPr="00B558C5">
        <w:rPr>
          <w:i/>
          <w:iCs/>
          <w:rtl/>
        </w:rPr>
        <w:t xml:space="preserve"> </w:t>
      </w:r>
      <w:r w:rsidRPr="00B558C5">
        <w:rPr>
          <w:rFonts w:hint="cs"/>
          <w:i/>
          <w:iCs/>
          <w:rtl/>
        </w:rPr>
        <w:t>פא</w:t>
      </w:r>
      <w:r w:rsidRPr="00B558C5">
        <w:rPr>
          <w:i/>
          <w:iCs/>
          <w:rtl/>
        </w:rPr>
        <w:t xml:space="preserve"> ע"</w:t>
      </w:r>
      <w:r w:rsidRPr="00B558C5">
        <w:rPr>
          <w:rFonts w:hint="cs"/>
          <w:i/>
          <w:iCs/>
          <w:rtl/>
        </w:rPr>
        <w:t>ד</w:t>
      </w:r>
      <w:r w:rsidRPr="00B558C5">
        <w:rPr>
          <w:i/>
          <w:iCs/>
          <w:rtl/>
        </w:rPr>
        <w:t>]</w:t>
      </w:r>
    </w:p>
    <w:p w:rsidR="00B558C5" w:rsidRPr="00B558C5" w:rsidRDefault="00B558C5" w:rsidP="00B558C5">
      <w:pPr>
        <w:pStyle w:val="NormalWeb"/>
        <w:rPr>
          <w:rtl/>
        </w:rPr>
      </w:pPr>
      <w:r w:rsidRPr="00B558C5">
        <w:rPr>
          <w:rtl/>
        </w:rPr>
        <w:t xml:space="preserve">וְכַד צְלוֹתִין סָלְקִין כַּדְקָא יָאוּת, כָּרוֹזָא נָפִיק </w:t>
      </w:r>
      <w:r w:rsidRPr="00B558C5">
        <w:rPr>
          <w:vertAlign w:val="superscript"/>
          <w:rtl/>
        </w:rPr>
        <w:footnoteReference w:id="1783"/>
      </w:r>
      <w:r w:rsidRPr="00B558C5">
        <w:rPr>
          <w:rtl/>
        </w:rPr>
        <w:t>וְאָמַר שְׂאוּ שְׁעָרִים וְכוּ'. וְאַמְרִין מִי זֶה מֶלֶךְ הַכָּבוֹד (שם) מִסִּטְרָא דְּאִמָּא דְּאִיהִי מ'י, וְאִתְקְרֵי ה' עִזּוּז וְגִבּוֹר מִסִּטְרָא דִּשְׁכִינְתָּא תַּתָּאָה. מִי הוּא זֶה מֶלֶךְ הַכָּבוֹד</w:t>
      </w:r>
      <w:r w:rsidRPr="00B558C5">
        <w:rPr>
          <w:rFonts w:hint="cs"/>
          <w:rtl/>
        </w:rPr>
        <w:t>,</w:t>
      </w:r>
      <w:r w:rsidRPr="00B558C5">
        <w:rPr>
          <w:rtl/>
        </w:rPr>
        <w:t xml:space="preserve"> ה' צְבָאוֹת הוּא מֶלֶךְ הַכָּבוֹד סֶלָה</w:t>
      </w:r>
      <w:r w:rsidRPr="00B558C5">
        <w:rPr>
          <w:rFonts w:hint="cs"/>
          <w:rtl/>
        </w:rPr>
        <w:t>,</w:t>
      </w:r>
      <w:r w:rsidRPr="00B558C5">
        <w:rPr>
          <w:rtl/>
        </w:rPr>
        <w:t xml:space="preserve"> </w:t>
      </w:r>
      <w:r w:rsidRPr="00B558C5">
        <w:rPr>
          <w:vertAlign w:val="superscript"/>
          <w:rtl/>
        </w:rPr>
        <w:footnoteReference w:id="1784"/>
      </w:r>
      <w:r w:rsidRPr="00B558C5">
        <w:rPr>
          <w:rtl/>
        </w:rPr>
        <w:t xml:space="preserve">מִסִּטְרָא דְּעַמּוּדָא דְּאֶמְצָעִיתָא וְצַדִּיק. וְאִם צְלוֹתָא לָאו אִיהִי שְׁלֵמָא, כַּמָּה מַלְאֲכֵי חַבָּלָה רַדְפִין אֲבַתְרֵהּ, וְאִתְּמַר בָּהּ </w:t>
      </w:r>
      <w:r w:rsidRPr="00B558C5">
        <w:rPr>
          <w:rFonts w:hint="cs"/>
          <w:rtl/>
        </w:rPr>
        <w:t xml:space="preserve">(איכה א) </w:t>
      </w:r>
      <w:r w:rsidRPr="00B558C5">
        <w:rPr>
          <w:rtl/>
        </w:rPr>
        <w:t xml:space="preserve">כָּל רֹדְפֶיהָ הִשִּיגוּהָ בֵּין הַמְּצָרִים. </w:t>
      </w:r>
      <w:r w:rsidRPr="00B558C5">
        <w:rPr>
          <w:vertAlign w:val="superscript"/>
          <w:rtl/>
        </w:rPr>
        <w:footnoteReference w:id="1785"/>
      </w:r>
      <w:r w:rsidRPr="00B558C5">
        <w:rPr>
          <w:rtl/>
        </w:rPr>
        <w:t xml:space="preserve">וּבְגִין דָּא מְצַלִּין וְהוּא רַחוּם יְכַפֵּר עָוֹן, דָּא סמאל דְּאִיהוּ נָחָשׁ. וְלֹא יַשְׁחִית דָּא מַשְׁחִית. וְהִרְבָּה לְהָשִׁיב אַפּוֹ, דָּא אַף. כָּל חֲמָתוֹ, דָּא חֵמָה. בְּגִין דְּלָא יִרְדְּפוּן בָּתַר </w:t>
      </w:r>
      <w:r w:rsidRPr="00B558C5">
        <w:rPr>
          <w:rFonts w:hint="cs"/>
          <w:i/>
          <w:iCs/>
          <w:rtl/>
        </w:rPr>
        <w:t>(פא ע"ד)</w:t>
      </w:r>
      <w:r w:rsidRPr="00B558C5">
        <w:rPr>
          <w:rFonts w:hint="cs"/>
          <w:rtl/>
        </w:rPr>
        <w:t xml:space="preserve"> </w:t>
      </w:r>
      <w:r w:rsidRPr="00B558C5">
        <w:rPr>
          <w:rtl/>
        </w:rPr>
        <w:t>צְלוֹתָא. וְכַמָּה מַלְאֲכֵי חַבָּלָה תַּלְיָן מִנַּיְהוּ</w:t>
      </w:r>
      <w:r w:rsidRPr="00B558C5">
        <w:rPr>
          <w:rFonts w:hint="cs"/>
          <w:rtl/>
        </w:rPr>
        <w:t>,</w:t>
      </w:r>
      <w:r w:rsidRPr="00B558C5">
        <w:rPr>
          <w:rtl/>
        </w:rPr>
        <w:t xml:space="preserve"> </w:t>
      </w:r>
      <w:r w:rsidRPr="00B558C5">
        <w:rPr>
          <w:vertAlign w:val="superscript"/>
          <w:rtl/>
        </w:rPr>
        <w:footnoteReference w:id="1786"/>
      </w:r>
      <w:r w:rsidRPr="00B558C5">
        <w:rPr>
          <w:rtl/>
        </w:rPr>
        <w:t>שֶׁבַע אִנּוּן מְמָנָן</w:t>
      </w:r>
      <w:r w:rsidRPr="00B558C5">
        <w:rPr>
          <w:rFonts w:hint="cs"/>
          <w:rtl/>
        </w:rPr>
        <w:t>,</w:t>
      </w:r>
      <w:r w:rsidRPr="00B558C5">
        <w:rPr>
          <w:rtl/>
        </w:rPr>
        <w:t xml:space="preserve"> </w:t>
      </w:r>
      <w:r w:rsidRPr="00B558C5">
        <w:rPr>
          <w:vertAlign w:val="superscript"/>
          <w:rtl/>
        </w:rPr>
        <w:footnoteReference w:id="1787"/>
      </w:r>
      <w:r w:rsidRPr="00B558C5">
        <w:rPr>
          <w:rtl/>
        </w:rPr>
        <w:t>וְתַלְיָן בֵּינַיְהוּ שִׁבְעִין</w:t>
      </w:r>
      <w:r w:rsidRPr="00B558C5">
        <w:rPr>
          <w:rFonts w:hint="cs"/>
          <w:rtl/>
        </w:rPr>
        <w:t>,</w:t>
      </w:r>
      <w:r w:rsidRPr="00B558C5">
        <w:rPr>
          <w:rtl/>
        </w:rPr>
        <w:t xml:space="preserve"> </w:t>
      </w:r>
      <w:r w:rsidRPr="00B558C5">
        <w:rPr>
          <w:vertAlign w:val="superscript"/>
          <w:rtl/>
        </w:rPr>
        <w:footnoteReference w:id="1788"/>
      </w:r>
      <w:r w:rsidRPr="00B558C5">
        <w:rPr>
          <w:rtl/>
        </w:rPr>
        <w:t xml:space="preserve">וּלְכָל רְקִיעָא וּרְקִיעָא </w:t>
      </w:r>
      <w:r w:rsidRPr="00B558C5">
        <w:rPr>
          <w:vertAlign w:val="superscript"/>
          <w:rtl/>
        </w:rPr>
        <w:footnoteReference w:id="1789"/>
      </w:r>
      <w:r w:rsidRPr="00B558C5">
        <w:rPr>
          <w:rtl/>
        </w:rPr>
        <w:t>אִנּוּן מְקַטְרְגִין</w:t>
      </w:r>
      <w:r w:rsidRPr="00B558C5">
        <w:rPr>
          <w:rFonts w:hint="cs"/>
          <w:rtl/>
        </w:rPr>
        <w:t>,</w:t>
      </w:r>
      <w:r w:rsidRPr="00B558C5">
        <w:rPr>
          <w:rtl/>
        </w:rPr>
        <w:t xml:space="preserve"> </w:t>
      </w:r>
      <w:r w:rsidRPr="00B558C5">
        <w:rPr>
          <w:vertAlign w:val="superscript"/>
          <w:rtl/>
        </w:rPr>
        <w:footnoteReference w:id="1790"/>
      </w:r>
      <w:r w:rsidRPr="00B558C5">
        <w:rPr>
          <w:rtl/>
        </w:rPr>
        <w:t>וְתַלְיָן מִנַּיְהוּ ע' אֶלֶף רִבּוֹא. וְאִם צְלוֹתָא סָלְקָא שְׁלֵמָה</w:t>
      </w:r>
      <w:r w:rsidRPr="00B558C5">
        <w:rPr>
          <w:rFonts w:hint="cs"/>
          <w:rtl/>
        </w:rPr>
        <w:t>,</w:t>
      </w:r>
      <w:r w:rsidRPr="00B558C5">
        <w:rPr>
          <w:rtl/>
        </w:rPr>
        <w:t xml:space="preserve"> בְּעִטוּפָא דְּמִצְוָה וּבִתְפִלִּין עַל רֵישֵׁהּ וּבִדְרוֹעֵהּ, אִתְּמַר בְּהוֹן </w:t>
      </w:r>
      <w:r w:rsidRPr="00B558C5">
        <w:rPr>
          <w:rFonts w:hint="cs"/>
          <w:rtl/>
        </w:rPr>
        <w:t xml:space="preserve">(תהלים צא) </w:t>
      </w:r>
      <w:r w:rsidRPr="00B558C5">
        <w:rPr>
          <w:vertAlign w:val="superscript"/>
          <w:rtl/>
        </w:rPr>
        <w:footnoteReference w:id="1791"/>
      </w:r>
      <w:r w:rsidRPr="00B558C5">
        <w:rPr>
          <w:rtl/>
        </w:rPr>
        <w:t>יִפֹּל מִצִּדְּךָ אֶלֶף</w:t>
      </w:r>
      <w:r w:rsidRPr="00B558C5">
        <w:rPr>
          <w:rFonts w:hint="cs"/>
          <w:rtl/>
        </w:rPr>
        <w:t xml:space="preserve">. </w:t>
      </w:r>
      <w:r w:rsidRPr="00B558C5">
        <w:rPr>
          <w:vertAlign w:val="superscript"/>
          <w:rtl/>
        </w:rPr>
        <w:footnoteReference w:id="1792"/>
      </w:r>
      <w:r w:rsidRPr="00B558C5">
        <w:rPr>
          <w:rFonts w:hint="cs"/>
          <w:rtl/>
        </w:rPr>
        <w:t>ורבבה מימינך וגו'</w:t>
      </w:r>
      <w:r w:rsidRPr="00B558C5">
        <w:rPr>
          <w:rtl/>
        </w:rPr>
        <w:t>. וּבִזְכוּת תְּפִלִּין דְּרֵישָׁא</w:t>
      </w:r>
      <w:r w:rsidRPr="00B558C5">
        <w:rPr>
          <w:rFonts w:hint="cs"/>
          <w:rtl/>
        </w:rPr>
        <w:t>,</w:t>
      </w:r>
      <w:r w:rsidRPr="00B558C5">
        <w:rPr>
          <w:rtl/>
        </w:rPr>
        <w:t xml:space="preserve"> וְרָאוּ כָּל עַמֵּי הָאָרֶץ כִּי שֵׁם ה' וְגוֹ'</w:t>
      </w:r>
      <w:r w:rsidRPr="00B558C5">
        <w:rPr>
          <w:rFonts w:hint="cs"/>
          <w:rtl/>
        </w:rPr>
        <w:t xml:space="preserve"> (דברים כח י),</w:t>
      </w:r>
      <w:r w:rsidRPr="00B558C5">
        <w:rPr>
          <w:rtl/>
        </w:rPr>
        <w:t xml:space="preserve"> </w:t>
      </w:r>
      <w:r w:rsidRPr="00B558C5">
        <w:rPr>
          <w:vertAlign w:val="superscript"/>
          <w:rtl/>
        </w:rPr>
        <w:footnoteReference w:id="1793"/>
      </w:r>
      <w:r w:rsidRPr="00B558C5">
        <w:rPr>
          <w:rtl/>
        </w:rPr>
        <w:t xml:space="preserve">שֵׁם ה' הָא אוֹקְמוּהּ דְּאִיהִי תְּפִלִּין דְּרֵישָׁא. </w:t>
      </w:r>
    </w:p>
    <w:p w:rsidR="00B558C5" w:rsidRPr="00B558C5" w:rsidRDefault="00B558C5" w:rsidP="00B558C5">
      <w:pPr>
        <w:pStyle w:val="4"/>
        <w:jc w:val="right"/>
        <w:rPr>
          <w:sz w:val="24"/>
          <w:szCs w:val="24"/>
          <w:rtl/>
        </w:rPr>
      </w:pPr>
      <w:r w:rsidRPr="00B558C5">
        <w:rPr>
          <w:rFonts w:hint="cs"/>
          <w:sz w:val="24"/>
          <w:szCs w:val="24"/>
          <w:rtl/>
        </w:rPr>
        <w:t xml:space="preserve">[וילנא </w:t>
      </w:r>
      <w:r>
        <w:rPr>
          <w:rFonts w:hint="cs"/>
          <w:sz w:val="24"/>
          <w:szCs w:val="24"/>
          <w:rtl/>
        </w:rPr>
        <w:t xml:space="preserve">תיקונים מזהר חדש </w:t>
      </w:r>
      <w:r w:rsidRPr="00B558C5">
        <w:rPr>
          <w:rFonts w:hint="cs"/>
          <w:sz w:val="24"/>
          <w:szCs w:val="24"/>
          <w:rtl/>
        </w:rPr>
        <w:t>כח ע"ב]</w:t>
      </w:r>
    </w:p>
    <w:p w:rsidR="00B558C5" w:rsidRPr="00B558C5" w:rsidRDefault="00B558C5" w:rsidP="00B558C5">
      <w:pPr>
        <w:pStyle w:val="NormalWeb"/>
        <w:rPr>
          <w:rtl/>
        </w:rPr>
      </w:pPr>
      <w:r w:rsidRPr="00B558C5">
        <w:rPr>
          <w:rtl/>
        </w:rPr>
        <w:t>וּמִיָּד דְּחַזְיָן שֵׁם ה' עַל רֵישֵׁהּ</w:t>
      </w:r>
      <w:r w:rsidRPr="00B558C5">
        <w:rPr>
          <w:rFonts w:hint="cs"/>
          <w:rtl/>
        </w:rPr>
        <w:t>,</w:t>
      </w:r>
      <w:r w:rsidRPr="00B558C5">
        <w:rPr>
          <w:rtl/>
        </w:rPr>
        <w:t xml:space="preserve"> בִּצְלוֹתָא דְּאִיהוּ אֲדֹנָ"י</w:t>
      </w:r>
      <w:r w:rsidRPr="00B558C5">
        <w:rPr>
          <w:rFonts w:hint="cs"/>
          <w:rtl/>
        </w:rPr>
        <w:t>,</w:t>
      </w:r>
      <w:r w:rsidRPr="00B558C5">
        <w:rPr>
          <w:rtl/>
        </w:rPr>
        <w:t xml:space="preserve"> </w:t>
      </w:r>
      <w:r w:rsidRPr="00B558C5">
        <w:rPr>
          <w:vertAlign w:val="superscript"/>
          <w:rtl/>
        </w:rPr>
        <w:footnoteReference w:id="1794"/>
      </w:r>
      <w:r w:rsidRPr="00B558C5">
        <w:rPr>
          <w:rtl/>
        </w:rPr>
        <w:t xml:space="preserve">יְהוָֹ"ה תְּפִלִּין עָלֵהּ, </w:t>
      </w:r>
      <w:r w:rsidRPr="00B558C5">
        <w:rPr>
          <w:vertAlign w:val="superscript"/>
          <w:rtl/>
        </w:rPr>
        <w:footnoteReference w:id="1795"/>
      </w:r>
      <w:r w:rsidRPr="00B558C5">
        <w:rPr>
          <w:rtl/>
        </w:rPr>
        <w:t>מִיָּד כֻּלְּהוּ דָּחֲלִין וּמִזְדַּעְזְעִין מִצְּלוֹתָא</w:t>
      </w:r>
      <w:r w:rsidRPr="00B558C5">
        <w:rPr>
          <w:rFonts w:hint="cs"/>
          <w:rtl/>
        </w:rPr>
        <w:t xml:space="preserve">, </w:t>
      </w:r>
      <w:r w:rsidRPr="00B558C5">
        <w:rPr>
          <w:rtl/>
        </w:rPr>
        <w:t>וּמִנְּהוֹן נָפְלִין</w:t>
      </w:r>
      <w:r w:rsidRPr="00B558C5">
        <w:rPr>
          <w:rFonts w:hint="cs"/>
          <w:rtl/>
        </w:rPr>
        <w:t>,</w:t>
      </w:r>
      <w:r w:rsidRPr="00B558C5">
        <w:rPr>
          <w:rtl/>
        </w:rPr>
        <w:t xml:space="preserve"> </w:t>
      </w:r>
      <w:r w:rsidRPr="00B558C5">
        <w:rPr>
          <w:vertAlign w:val="superscript"/>
          <w:rtl/>
        </w:rPr>
        <w:footnoteReference w:id="1796"/>
      </w:r>
      <w:r w:rsidRPr="00B558C5">
        <w:rPr>
          <w:rtl/>
        </w:rPr>
        <w:t>וּמִנְּהוֹן בָּרְחִין</w:t>
      </w:r>
      <w:r w:rsidRPr="00B558C5">
        <w:rPr>
          <w:rFonts w:hint="cs"/>
          <w:rtl/>
        </w:rPr>
        <w:t>,</w:t>
      </w:r>
      <w:r w:rsidRPr="00B558C5">
        <w:rPr>
          <w:rtl/>
        </w:rPr>
        <w:t xml:space="preserve"> </w:t>
      </w:r>
      <w:r w:rsidRPr="00B558C5">
        <w:rPr>
          <w:vertAlign w:val="superscript"/>
          <w:rtl/>
        </w:rPr>
        <w:footnoteReference w:id="1797"/>
      </w:r>
      <w:r w:rsidRPr="00B558C5">
        <w:rPr>
          <w:rtl/>
        </w:rPr>
        <w:t>הָדָא הוּא דִּכְתִיב יִפֹּל מִצִּדְּךָ אֶלֶף</w:t>
      </w:r>
      <w:r w:rsidRPr="00B558C5">
        <w:rPr>
          <w:rFonts w:hint="cs"/>
          <w:rtl/>
        </w:rPr>
        <w:t>,</w:t>
      </w:r>
      <w:r w:rsidRPr="00B558C5">
        <w:rPr>
          <w:rtl/>
        </w:rPr>
        <w:t xml:space="preserve"> וְלֵית מָאן דְּקָאִים קַמֵּי תַּרְעָא דִּצְלוֹתָא. וְעָלֵהּ אִתְּמַר </w:t>
      </w:r>
      <w:r w:rsidRPr="00B558C5">
        <w:rPr>
          <w:rFonts w:hint="cs"/>
          <w:rtl/>
        </w:rPr>
        <w:t xml:space="preserve">(תהלים קכז) </w:t>
      </w:r>
      <w:r w:rsidRPr="00B558C5">
        <w:rPr>
          <w:rtl/>
        </w:rPr>
        <w:t xml:space="preserve">לֹא יֵבֹשׁוּ </w:t>
      </w:r>
      <w:r w:rsidRPr="00B558C5">
        <w:rPr>
          <w:vertAlign w:val="superscript"/>
          <w:rtl/>
        </w:rPr>
        <w:footnoteReference w:id="1798"/>
      </w:r>
      <w:r w:rsidRPr="00B558C5">
        <w:rPr>
          <w:rtl/>
        </w:rPr>
        <w:t xml:space="preserve">כִּי יְדַבְּרוּ </w:t>
      </w:r>
      <w:r w:rsidRPr="00B558C5">
        <w:rPr>
          <w:vertAlign w:val="superscript"/>
          <w:rtl/>
        </w:rPr>
        <w:footnoteReference w:id="1799"/>
      </w:r>
      <w:r w:rsidRPr="00B558C5">
        <w:rPr>
          <w:rtl/>
        </w:rPr>
        <w:t xml:space="preserve">אֶת אוֹיְבִים בַּשַּׁעַר. בַּשַּׁעַר, </w:t>
      </w:r>
      <w:r w:rsidRPr="00B558C5">
        <w:rPr>
          <w:vertAlign w:val="superscript"/>
          <w:rtl/>
        </w:rPr>
        <w:footnoteReference w:id="1800"/>
      </w:r>
      <w:r w:rsidRPr="00B558C5">
        <w:rPr>
          <w:rtl/>
        </w:rPr>
        <w:t xml:space="preserve">דְּאִיהוּ תַּרְעָא דְּמַלְכָּא. </w:t>
      </w:r>
      <w:r w:rsidRPr="00B558C5">
        <w:rPr>
          <w:vertAlign w:val="superscript"/>
          <w:rtl/>
        </w:rPr>
        <w:footnoteReference w:id="1801"/>
      </w:r>
      <w:r w:rsidRPr="00B558C5">
        <w:rPr>
          <w:rtl/>
        </w:rPr>
        <w:t xml:space="preserve">וְאַף עַל גַּב דְּבַאֲתַר אָחֳרָא אוֹקְמוּהּ, </w:t>
      </w:r>
      <w:r w:rsidRPr="00B558C5">
        <w:rPr>
          <w:vertAlign w:val="superscript"/>
          <w:rtl/>
        </w:rPr>
        <w:footnoteReference w:id="1802"/>
      </w:r>
      <w:r w:rsidRPr="00B558C5">
        <w:rPr>
          <w:rtl/>
        </w:rPr>
        <w:t xml:space="preserve">הָכָא אַתְרֵהּ. </w:t>
      </w:r>
      <w:r w:rsidRPr="00B558C5">
        <w:rPr>
          <w:vertAlign w:val="superscript"/>
          <w:rtl/>
        </w:rPr>
        <w:footnoteReference w:id="1803"/>
      </w:r>
      <w:r w:rsidRPr="00B558C5">
        <w:rPr>
          <w:rtl/>
        </w:rPr>
        <w:t>וּצְלוֹתָא אִיהִי שְׁכִינְתָּא</w:t>
      </w:r>
      <w:r w:rsidRPr="00B558C5">
        <w:rPr>
          <w:rFonts w:hint="cs"/>
          <w:rtl/>
        </w:rPr>
        <w:t>,</w:t>
      </w:r>
      <w:r w:rsidRPr="00B558C5">
        <w:rPr>
          <w:rtl/>
        </w:rPr>
        <w:t xml:space="preserve"> וְהַקּוּדְשָׁא בְּרִיךְ הוּא </w:t>
      </w:r>
      <w:r w:rsidRPr="00B558C5">
        <w:rPr>
          <w:rFonts w:hint="cs"/>
          <w:i/>
          <w:iCs/>
          <w:rtl/>
        </w:rPr>
        <w:t>(וילנא כח ע"ב)</w:t>
      </w:r>
      <w:r w:rsidRPr="00B558C5">
        <w:rPr>
          <w:rFonts w:hint="cs"/>
          <w:rtl/>
        </w:rPr>
        <w:t xml:space="preserve"> </w:t>
      </w:r>
      <w:r w:rsidRPr="00B558C5">
        <w:rPr>
          <w:rtl/>
        </w:rPr>
        <w:t>אוֹרַיְתָא</w:t>
      </w:r>
      <w:r w:rsidRPr="00B558C5">
        <w:rPr>
          <w:rFonts w:hint="cs"/>
          <w:rtl/>
        </w:rPr>
        <w:t>,</w:t>
      </w:r>
      <w:r w:rsidRPr="00B558C5">
        <w:rPr>
          <w:rtl/>
        </w:rPr>
        <w:t xml:space="preserve"> וְאִתְּמַר בֵּהּ </w:t>
      </w:r>
      <w:r w:rsidRPr="00B558C5">
        <w:rPr>
          <w:rFonts w:hint="cs"/>
          <w:rtl/>
        </w:rPr>
        <w:t xml:space="preserve">(משלי כח) </w:t>
      </w:r>
      <w:r w:rsidRPr="00B558C5">
        <w:rPr>
          <w:rtl/>
        </w:rPr>
        <w:t>מֵסִיר אָזְנוֹ מִשְּׁמוֹעַ תּוֹרָה וְגוֹ'. וְהָא אוֹקְמוּהּ מָארֵי מַתְנִיתִין</w:t>
      </w:r>
      <w:r w:rsidRPr="00B558C5">
        <w:rPr>
          <w:rFonts w:hint="cs"/>
          <w:rtl/>
        </w:rPr>
        <w:t>,</w:t>
      </w:r>
      <w:r w:rsidRPr="00B558C5">
        <w:rPr>
          <w:rtl/>
        </w:rPr>
        <w:t xml:space="preserve"> בְּגִין דִּצְלוֹתָא אִיהִי מִצְוָה</w:t>
      </w:r>
      <w:r w:rsidRPr="00B558C5">
        <w:rPr>
          <w:rFonts w:hint="cs"/>
          <w:rtl/>
        </w:rPr>
        <w:t>,</w:t>
      </w:r>
      <w:r w:rsidRPr="00B558C5">
        <w:rPr>
          <w:rtl/>
        </w:rPr>
        <w:t xml:space="preserve"> וְדָא שְׁכִינְתָּא</w:t>
      </w:r>
      <w:r w:rsidRPr="00B558C5">
        <w:rPr>
          <w:rFonts w:hint="cs"/>
          <w:rtl/>
        </w:rPr>
        <w:t>,</w:t>
      </w:r>
      <w:r w:rsidRPr="00B558C5">
        <w:rPr>
          <w:rtl/>
        </w:rPr>
        <w:t xml:space="preserve"> וְאוֹרַיְתָא וְקוּדְשָׁא בְּרִיךְ הוּא </w:t>
      </w:r>
      <w:r w:rsidRPr="00B558C5">
        <w:rPr>
          <w:vertAlign w:val="superscript"/>
          <w:rtl/>
        </w:rPr>
        <w:footnoteReference w:id="1804"/>
      </w:r>
      <w:r w:rsidRPr="00B558C5">
        <w:rPr>
          <w:rtl/>
        </w:rPr>
        <w:t xml:space="preserve">לֹא צָרִיךְ הַפְסָקָה בֵּינַיְהוּ. וְצָרִיךְ לְסַלֵּק </w:t>
      </w:r>
      <w:r w:rsidRPr="00B558C5">
        <w:rPr>
          <w:vertAlign w:val="superscript"/>
          <w:rtl/>
        </w:rPr>
        <w:footnoteReference w:id="1805"/>
      </w:r>
      <w:r w:rsidRPr="00B558C5">
        <w:rPr>
          <w:rtl/>
        </w:rPr>
        <w:t>תּוֹרָה וּמִצְוָה בִּדְחִילוּ וּרְחִימוּ</w:t>
      </w:r>
      <w:r w:rsidRPr="00B558C5">
        <w:rPr>
          <w:rFonts w:hint="cs"/>
          <w:rtl/>
        </w:rPr>
        <w:t>,</w:t>
      </w:r>
      <w:r w:rsidRPr="00B558C5">
        <w:rPr>
          <w:rtl/>
        </w:rPr>
        <w:t xml:space="preserve"> דְּכָל פִּקּוּדִין דַּעֲשֵׂה ול"ת כֻּלְּהוּ תַּלְיָן מִשֵּׁם יְהוָֹ"ה</w:t>
      </w:r>
      <w:r w:rsidRPr="00B558C5">
        <w:rPr>
          <w:rFonts w:hint="cs"/>
          <w:rtl/>
        </w:rPr>
        <w:t>,</w:t>
      </w:r>
      <w:r w:rsidRPr="00B558C5">
        <w:rPr>
          <w:rtl/>
        </w:rPr>
        <w:t xml:space="preserve"> וְרָזָא דְּמִלָּה זֶה שְׁמִי לְעוֹלָם</w:t>
      </w:r>
      <w:r w:rsidRPr="00B558C5">
        <w:rPr>
          <w:rFonts w:hint="cs"/>
          <w:rtl/>
        </w:rPr>
        <w:t>,</w:t>
      </w:r>
      <w:r w:rsidRPr="00B558C5">
        <w:rPr>
          <w:rtl/>
        </w:rPr>
        <w:t xml:space="preserve"> שְׁמִי עִם י'ה שס"ה</w:t>
      </w:r>
      <w:r w:rsidRPr="00B558C5">
        <w:rPr>
          <w:rFonts w:hint="cs"/>
          <w:rtl/>
        </w:rPr>
        <w:t>,</w:t>
      </w:r>
      <w:r w:rsidRPr="00B558C5">
        <w:rPr>
          <w:rtl/>
        </w:rPr>
        <w:t xml:space="preserve"> זִכְרִי עִם ו'ה רְמַ"ח. </w:t>
      </w:r>
      <w:r w:rsidRPr="00B558C5">
        <w:rPr>
          <w:vertAlign w:val="superscript"/>
          <w:rtl/>
        </w:rPr>
        <w:footnoteReference w:id="1806"/>
      </w:r>
      <w:r w:rsidRPr="00B558C5">
        <w:rPr>
          <w:rtl/>
        </w:rPr>
        <w:t xml:space="preserve">וּרְמַ"ח תֵּבִין אִנּוּן בִּקְרִיאַת שְׁמַע, וְאִתְיְהִיבוּ </w:t>
      </w:r>
      <w:r w:rsidRPr="00B558C5">
        <w:rPr>
          <w:vertAlign w:val="superscript"/>
          <w:rtl/>
        </w:rPr>
        <w:footnoteReference w:id="1807"/>
      </w:r>
      <w:r w:rsidRPr="00B558C5">
        <w:rPr>
          <w:rtl/>
        </w:rPr>
        <w:t>מֵרְחִימוּ דְּאַהֲבָה</w:t>
      </w:r>
      <w:r w:rsidRPr="00B558C5">
        <w:rPr>
          <w:rFonts w:hint="cs"/>
          <w:rtl/>
        </w:rPr>
        <w:t>,</w:t>
      </w:r>
      <w:r w:rsidRPr="00B558C5">
        <w:rPr>
          <w:rtl/>
        </w:rPr>
        <w:t xml:space="preserve"> וּבְגִין דָּא תַּקִּינוּ הַבּוֹחֵר בְּעַמּוֹ יִשְׂרָאֵל בְּאַהֲבָה. וְאִלֵּין </w:t>
      </w:r>
      <w:r w:rsidRPr="00B558C5">
        <w:rPr>
          <w:vertAlign w:val="superscript"/>
          <w:rtl/>
        </w:rPr>
        <w:footnoteReference w:id="1808"/>
      </w:r>
      <w:r w:rsidRPr="00B558C5">
        <w:rPr>
          <w:rtl/>
        </w:rPr>
        <w:t>כְּלִילָן בְּאַבְרָהָם</w:t>
      </w:r>
      <w:r w:rsidRPr="00B558C5">
        <w:rPr>
          <w:rFonts w:hint="cs"/>
          <w:rtl/>
        </w:rPr>
        <w:t>,</w:t>
      </w:r>
      <w:r w:rsidRPr="00B558C5">
        <w:rPr>
          <w:rtl/>
        </w:rPr>
        <w:t xml:space="preserve"> דאִתְּמַר בֵּהּ </w:t>
      </w:r>
      <w:r w:rsidRPr="00B558C5">
        <w:rPr>
          <w:rFonts w:hint="cs"/>
          <w:rtl/>
        </w:rPr>
        <w:t xml:space="preserve">(ישעיה מא ח) </w:t>
      </w:r>
      <w:r w:rsidRPr="00B558C5">
        <w:rPr>
          <w:rtl/>
        </w:rPr>
        <w:t xml:space="preserve">זֶרַע אַבְרָהָם אוֹהֲבִי. תְּפִלִּין </w:t>
      </w:r>
      <w:r w:rsidRPr="00B558C5">
        <w:rPr>
          <w:vertAlign w:val="superscript"/>
          <w:rtl/>
        </w:rPr>
        <w:footnoteReference w:id="1809"/>
      </w:r>
      <w:r w:rsidRPr="00B558C5">
        <w:rPr>
          <w:rtl/>
        </w:rPr>
        <w:t>אִנּוּן עֹז</w:t>
      </w:r>
      <w:r w:rsidRPr="00B558C5">
        <w:rPr>
          <w:rFonts w:hint="cs"/>
          <w:rtl/>
        </w:rPr>
        <w:t>,</w:t>
      </w:r>
      <w:r w:rsidRPr="00B558C5">
        <w:rPr>
          <w:rtl/>
        </w:rPr>
        <w:t xml:space="preserve"> דְּאִתְיְהִיבוּ </w:t>
      </w:r>
      <w:r w:rsidRPr="00B558C5">
        <w:rPr>
          <w:vertAlign w:val="superscript"/>
          <w:rtl/>
        </w:rPr>
        <w:footnoteReference w:id="1810"/>
      </w:r>
      <w:r w:rsidRPr="00B558C5">
        <w:rPr>
          <w:rtl/>
        </w:rPr>
        <w:t>מִיִּרְאָה</w:t>
      </w:r>
      <w:r w:rsidRPr="00B558C5">
        <w:rPr>
          <w:rFonts w:hint="cs"/>
          <w:rtl/>
        </w:rPr>
        <w:t>,</w:t>
      </w:r>
      <w:r w:rsidRPr="00B558C5">
        <w:rPr>
          <w:rtl/>
        </w:rPr>
        <w:t xml:space="preserve"> </w:t>
      </w:r>
      <w:r w:rsidRPr="00B558C5">
        <w:rPr>
          <w:vertAlign w:val="superscript"/>
          <w:rtl/>
        </w:rPr>
        <w:footnoteReference w:id="1811"/>
      </w:r>
      <w:r w:rsidRPr="00B558C5">
        <w:rPr>
          <w:rtl/>
        </w:rPr>
        <w:t>דְּאִיהִי לִשְׂמָאלָא</w:t>
      </w:r>
      <w:r w:rsidRPr="00B558C5">
        <w:rPr>
          <w:rFonts w:hint="cs"/>
          <w:rtl/>
        </w:rPr>
        <w:t>,</w:t>
      </w:r>
      <w:r w:rsidRPr="00B558C5">
        <w:rPr>
          <w:rtl/>
        </w:rPr>
        <w:t xml:space="preserve"> וְדָא פַּחַד יִצְחָק, </w:t>
      </w:r>
      <w:r w:rsidRPr="00B558C5">
        <w:rPr>
          <w:vertAlign w:val="superscript"/>
          <w:rtl/>
        </w:rPr>
        <w:footnoteReference w:id="1812"/>
      </w:r>
      <w:r w:rsidRPr="00B558C5">
        <w:rPr>
          <w:rtl/>
        </w:rPr>
        <w:t>דְּתַמָּן כָּל מְקַטְרְגִין סַלְקִין לְמִתְבַּע כָּל דִּינִין</w:t>
      </w:r>
      <w:r w:rsidRPr="00B558C5">
        <w:rPr>
          <w:rFonts w:hint="cs"/>
          <w:rtl/>
        </w:rPr>
        <w:t>,</w:t>
      </w:r>
      <w:r w:rsidRPr="00B558C5">
        <w:rPr>
          <w:rtl/>
        </w:rPr>
        <w:t xml:space="preserve"> וּבְגִין דָּא </w:t>
      </w:r>
      <w:r w:rsidRPr="00B558C5">
        <w:rPr>
          <w:rFonts w:hint="cs"/>
          <w:rtl/>
        </w:rPr>
        <w:t xml:space="preserve">(ישעיה סב ח) </w:t>
      </w:r>
      <w:r w:rsidRPr="00B558C5">
        <w:rPr>
          <w:rtl/>
        </w:rPr>
        <w:t>וּבִזְרוֹעַ עֻזּוֹ</w:t>
      </w:r>
      <w:r w:rsidRPr="00B558C5">
        <w:rPr>
          <w:rFonts w:hint="cs"/>
          <w:rtl/>
        </w:rPr>
        <w:t>,</w:t>
      </w:r>
      <w:r w:rsidRPr="00B558C5">
        <w:rPr>
          <w:rtl/>
        </w:rPr>
        <w:t xml:space="preserve"> דָּא תְּפִלִּין</w:t>
      </w:r>
      <w:r w:rsidRPr="00B558C5">
        <w:rPr>
          <w:rFonts w:hint="cs"/>
          <w:rtl/>
        </w:rPr>
        <w:t>.</w:t>
      </w:r>
      <w:r w:rsidRPr="00B558C5">
        <w:rPr>
          <w:rtl/>
        </w:rPr>
        <w:t xml:space="preserve"> יָ"הּ בְּיִרְאָה</w:t>
      </w:r>
      <w:r w:rsidRPr="00B558C5">
        <w:rPr>
          <w:rFonts w:hint="cs"/>
          <w:rtl/>
        </w:rPr>
        <w:t>,</w:t>
      </w:r>
      <w:r w:rsidRPr="00B558C5">
        <w:rPr>
          <w:rtl/>
        </w:rPr>
        <w:t xml:space="preserve"> וָ"ה בְּאַהֲבָה. </w:t>
      </w:r>
      <w:r w:rsidRPr="00B558C5">
        <w:rPr>
          <w:vertAlign w:val="superscript"/>
          <w:rtl/>
        </w:rPr>
        <w:footnoteReference w:id="1813"/>
      </w:r>
      <w:r w:rsidRPr="00B558C5">
        <w:rPr>
          <w:rtl/>
        </w:rPr>
        <w:t xml:space="preserve">הָדָא הוּא דִּכְתִיב </w:t>
      </w:r>
      <w:r w:rsidRPr="00B558C5">
        <w:rPr>
          <w:rFonts w:hint="cs"/>
          <w:rtl/>
        </w:rPr>
        <w:t xml:space="preserve">(תהלים לא כד) </w:t>
      </w:r>
      <w:r w:rsidRPr="00B558C5">
        <w:rPr>
          <w:rtl/>
        </w:rPr>
        <w:t xml:space="preserve">אֶהֱבוּ אֶת ה' כָּל חֲסִידָיו. </w:t>
      </w:r>
      <w:r w:rsidRPr="00B558C5">
        <w:rPr>
          <w:vertAlign w:val="superscript"/>
          <w:rtl/>
        </w:rPr>
        <w:footnoteReference w:id="1814"/>
      </w:r>
      <w:r w:rsidRPr="00B558C5">
        <w:rPr>
          <w:rtl/>
        </w:rPr>
        <w:t>תִּפְאֶרֶת</w:t>
      </w:r>
      <w:r w:rsidRPr="00B558C5">
        <w:rPr>
          <w:rFonts w:hint="cs"/>
          <w:rtl/>
        </w:rPr>
        <w:t>,</w:t>
      </w:r>
      <w:r w:rsidRPr="00B558C5">
        <w:rPr>
          <w:rtl/>
        </w:rPr>
        <w:t xml:space="preserve"> יהו'ה</w:t>
      </w:r>
      <w:r w:rsidRPr="00B558C5">
        <w:rPr>
          <w:rFonts w:hint="cs"/>
          <w:rtl/>
        </w:rPr>
        <w:t>,</w:t>
      </w:r>
      <w:r w:rsidRPr="00B558C5">
        <w:rPr>
          <w:rtl/>
        </w:rPr>
        <w:t xml:space="preserve"> כָּלִיל כֹּלָּא. וּבְגִין דָּא אִתְּמַר בְּיַעֲקֹב </w:t>
      </w:r>
      <w:r w:rsidRPr="00B558C5">
        <w:rPr>
          <w:rFonts w:hint="cs"/>
          <w:rtl/>
        </w:rPr>
        <w:t xml:space="preserve">(בראשית כח) </w:t>
      </w:r>
      <w:r w:rsidRPr="00B558C5">
        <w:rPr>
          <w:rtl/>
        </w:rPr>
        <w:t xml:space="preserve">וְהִנֵּה </w:t>
      </w:r>
      <w:r w:rsidRPr="00B558C5">
        <w:rPr>
          <w:vertAlign w:val="superscript"/>
          <w:rtl/>
        </w:rPr>
        <w:footnoteReference w:id="1815"/>
      </w:r>
      <w:r w:rsidRPr="00B558C5">
        <w:rPr>
          <w:rtl/>
        </w:rPr>
        <w:t>ה' נִצָּב עָלָיו</w:t>
      </w:r>
      <w:r w:rsidRPr="00B558C5">
        <w:rPr>
          <w:rFonts w:hint="cs"/>
          <w:rtl/>
        </w:rPr>
        <w:t>,</w:t>
      </w:r>
      <w:r w:rsidRPr="00B558C5">
        <w:rPr>
          <w:rtl/>
        </w:rPr>
        <w:t xml:space="preserve"> דְּאִיהוּ עַמּוּדָא דְּאֶמְצָעִיתָא. לְבָתַר דְּאִתְקְרֵי </w:t>
      </w:r>
      <w:r w:rsidRPr="00B558C5">
        <w:rPr>
          <w:vertAlign w:val="superscript"/>
          <w:rtl/>
        </w:rPr>
        <w:footnoteReference w:id="1816"/>
      </w:r>
      <w:r w:rsidRPr="00B558C5">
        <w:rPr>
          <w:rtl/>
        </w:rPr>
        <w:t>יִשְׂרָאֵל סָלִיק בְּיוּ"ד הֵ</w:t>
      </w:r>
      <w:r w:rsidRPr="00B558C5">
        <w:t>"</w:t>
      </w:r>
      <w:r w:rsidRPr="00B558C5">
        <w:rPr>
          <w:rtl/>
        </w:rPr>
        <w:t>א וָא"ו הֵ"א. וְרָזָא דְּמִלָּה</w:t>
      </w:r>
      <w:r w:rsidRPr="00B558C5">
        <w:rPr>
          <w:rFonts w:hint="cs"/>
          <w:rtl/>
        </w:rPr>
        <w:t>,</w:t>
      </w:r>
      <w:r w:rsidRPr="00B558C5">
        <w:rPr>
          <w:rtl/>
        </w:rPr>
        <w:t xml:space="preserve"> יִשְׂרָאֵל עָלָה בְּמַחֲשָׁבָה לְהִבָּרְאוֹת. מַחֲשָׁבָה, </w:t>
      </w:r>
      <w:r w:rsidRPr="00B558C5">
        <w:rPr>
          <w:vertAlign w:val="superscript"/>
          <w:rtl/>
        </w:rPr>
        <w:footnoteReference w:id="1817"/>
      </w:r>
      <w:r w:rsidRPr="00B558C5">
        <w:rPr>
          <w:rtl/>
        </w:rPr>
        <w:t xml:space="preserve">חַשֵׁב מָ"ה </w:t>
      </w:r>
      <w:r w:rsidRPr="00B558C5">
        <w:rPr>
          <w:vertAlign w:val="superscript"/>
          <w:rtl/>
        </w:rPr>
        <w:footnoteReference w:id="1818"/>
      </w:r>
      <w:r w:rsidRPr="00B558C5">
        <w:rPr>
          <w:rtl/>
        </w:rPr>
        <w:t>וְתִשְׁכַּח בֵּהּ שְׁמָא קַדִּישָׁא. וּבְגִינֵהּ דְּיַעֲקֹב</w:t>
      </w:r>
      <w:r w:rsidRPr="00B558C5">
        <w:t xml:space="preserve"> </w:t>
      </w:r>
      <w:r w:rsidRPr="00B558C5">
        <w:rPr>
          <w:rtl/>
        </w:rPr>
        <w:t>דְּאִיהוּ יִשְׂרָאֵל</w:t>
      </w:r>
      <w:r w:rsidRPr="00B558C5">
        <w:rPr>
          <w:rFonts w:hint="cs"/>
          <w:rtl/>
        </w:rPr>
        <w:t>,</w:t>
      </w:r>
      <w:r w:rsidRPr="00B558C5">
        <w:rPr>
          <w:rtl/>
        </w:rPr>
        <w:t xml:space="preserve"> אִתְּמַר וַיִּבְרָא אֱלֹהִים </w:t>
      </w:r>
      <w:r w:rsidRPr="00B558C5">
        <w:rPr>
          <w:vertAlign w:val="superscript"/>
          <w:rtl/>
        </w:rPr>
        <w:footnoteReference w:id="1819"/>
      </w:r>
      <w:r w:rsidRPr="00B558C5">
        <w:rPr>
          <w:rtl/>
        </w:rPr>
        <w:t xml:space="preserve">אֶת הָאָדָם בְּצַלְמוֹ, בְּדִיּוֹקְנָא דְּמָארֵהּ וַדַּאי. </w:t>
      </w:r>
      <w:r w:rsidRPr="00B558C5">
        <w:rPr>
          <w:vertAlign w:val="superscript"/>
          <w:rtl/>
        </w:rPr>
        <w:footnoteReference w:id="1820"/>
      </w:r>
      <w:r w:rsidRPr="00B558C5">
        <w:rPr>
          <w:rtl/>
        </w:rPr>
        <w:t>דְּכַד צְלוֹתָא דִּילֵהּ סַלְקָא לְעֵלָּא</w:t>
      </w:r>
      <w:r w:rsidRPr="00B558C5">
        <w:rPr>
          <w:rFonts w:hint="cs"/>
          <w:rtl/>
        </w:rPr>
        <w:t>,</w:t>
      </w:r>
      <w:r w:rsidRPr="00B558C5">
        <w:rPr>
          <w:rtl/>
        </w:rPr>
        <w:t xml:space="preserve"> כָּרוֹזָא נָפִיק מֵרְקִיעִין וְיֵימָא הָבוּ יְקָרָא לְדִיּוֹקְנָא דְּמַלְכָּא. וְלֵית תַּרְעָא דְּקָאִים קַמֵּי הַאי צְלוֹתָא. אֲדֹנַי שְׂפָתַי תִּפְתָּח, לְאַפָּקָא מְזוֹנָא לִבְנִין קַדִּישִׁין</w:t>
      </w:r>
      <w:r w:rsidRPr="00B558C5">
        <w:rPr>
          <w:rFonts w:hint="cs"/>
          <w:rtl/>
        </w:rPr>
        <w:t xml:space="preserve">, </w:t>
      </w:r>
      <w:r w:rsidRPr="00B558C5">
        <w:rPr>
          <w:rtl/>
        </w:rPr>
        <w:t xml:space="preserve">דִּבְהַאי הֵיכָלָא תַּמָּן מְזוֹנָא. בָּנֵי חַיֵּי וּמְזוֹנֵי </w:t>
      </w:r>
      <w:r w:rsidRPr="00B558C5">
        <w:rPr>
          <w:vertAlign w:val="superscript"/>
          <w:rtl/>
        </w:rPr>
        <w:footnoteReference w:id="1821"/>
      </w:r>
      <w:r w:rsidRPr="00B558C5">
        <w:rPr>
          <w:rtl/>
        </w:rPr>
        <w:t xml:space="preserve">מִסִּטְרָא דְּעַמּוּדָא דְּאֶמְצָעִיתָא, </w:t>
      </w:r>
      <w:r w:rsidRPr="00B558C5">
        <w:rPr>
          <w:vertAlign w:val="superscript"/>
          <w:rtl/>
        </w:rPr>
        <w:footnoteReference w:id="1822"/>
      </w:r>
      <w:r w:rsidRPr="00B558C5">
        <w:rPr>
          <w:rtl/>
        </w:rPr>
        <w:t xml:space="preserve">וְאִיהוּ בְּנִי בְּכֹרִי יִשְׂרָאֵל. </w:t>
      </w:r>
      <w:r w:rsidRPr="00B558C5">
        <w:rPr>
          <w:vertAlign w:val="superscript"/>
          <w:rtl/>
        </w:rPr>
        <w:footnoteReference w:id="1823"/>
      </w:r>
      <w:r w:rsidRPr="00B558C5">
        <w:rPr>
          <w:rtl/>
        </w:rPr>
        <w:t>וְאִיהוּ עֵץ הַחַיִּים דְּנָפִיק מֵחַיִּים דִּלְעֵלָּא</w:t>
      </w:r>
      <w:r w:rsidRPr="00B558C5">
        <w:rPr>
          <w:rFonts w:hint="cs"/>
          <w:rtl/>
        </w:rPr>
        <w:t>.</w:t>
      </w:r>
      <w:r w:rsidRPr="00B558C5">
        <w:rPr>
          <w:rtl/>
        </w:rPr>
        <w:t xml:space="preserve"> </w:t>
      </w:r>
      <w:r w:rsidRPr="00B558C5">
        <w:rPr>
          <w:vertAlign w:val="superscript"/>
          <w:rtl/>
        </w:rPr>
        <w:footnoteReference w:id="1824"/>
      </w:r>
      <w:r w:rsidRPr="00B558C5">
        <w:rPr>
          <w:rtl/>
        </w:rPr>
        <w:t>וְאִיהוּ אִילָנָא דְּמָזוֹן לְכֹלָּא בֵּהּ</w:t>
      </w:r>
      <w:r w:rsidRPr="00B558C5">
        <w:rPr>
          <w:rFonts w:hint="cs"/>
          <w:rtl/>
        </w:rPr>
        <w:t>.</w:t>
      </w:r>
      <w:r w:rsidRPr="00B558C5">
        <w:rPr>
          <w:rtl/>
        </w:rPr>
        <w:t xml:space="preserve"> וְתַלְיָא </w:t>
      </w:r>
      <w:r w:rsidRPr="00B558C5">
        <w:rPr>
          <w:vertAlign w:val="superscript"/>
          <w:rtl/>
        </w:rPr>
        <w:footnoteReference w:id="1825"/>
      </w:r>
      <w:r w:rsidRPr="00B558C5">
        <w:rPr>
          <w:rtl/>
        </w:rPr>
        <w:t>בְּמַזָּלָא קַדִּישָׁא</w:t>
      </w:r>
      <w:r w:rsidRPr="00B558C5">
        <w:rPr>
          <w:rFonts w:hint="cs"/>
          <w:rtl/>
        </w:rPr>
        <w:t>,</w:t>
      </w:r>
      <w:r w:rsidRPr="00B558C5">
        <w:rPr>
          <w:rtl/>
        </w:rPr>
        <w:t xml:space="preserve"> סָבָא דְּסָבִין. וּבְנִין דִּשְׁכִינָא אִנּוּן יִשְׂרָאֵל לְתַתָּא, וּבְגָלוּתָא אִתְּמַר לְגַבֵּי יִשְׂרָאֵל (בראשית ל) הָבָה לִי בָּנִים. חַיִּים דִּילֵהּ אוֹרַיְתָא</w:t>
      </w:r>
      <w:r w:rsidRPr="00B558C5">
        <w:rPr>
          <w:rFonts w:hint="cs"/>
          <w:rtl/>
        </w:rPr>
        <w:t>.</w:t>
      </w:r>
      <w:r w:rsidRPr="00B558C5">
        <w:rPr>
          <w:rtl/>
        </w:rPr>
        <w:t xml:space="preserve"> מְזוֹנָא דִילֵהּ צְלוֹתָא</w:t>
      </w:r>
      <w:r w:rsidRPr="00B558C5">
        <w:rPr>
          <w:rFonts w:hint="cs"/>
          <w:rtl/>
        </w:rPr>
        <w:t>,</w:t>
      </w:r>
      <w:r w:rsidRPr="00B558C5">
        <w:rPr>
          <w:rtl/>
        </w:rPr>
        <w:t xml:space="preserve"> </w:t>
      </w:r>
      <w:r w:rsidRPr="00B558C5">
        <w:rPr>
          <w:vertAlign w:val="superscript"/>
          <w:rtl/>
        </w:rPr>
        <w:footnoteReference w:id="1826"/>
      </w:r>
      <w:r w:rsidRPr="00B558C5">
        <w:rPr>
          <w:rtl/>
        </w:rPr>
        <w:t>דַּחֲשִׁיבָא לְקָרְבְּנָא. וּשְׁכִינְתָּא אִיהִי קֻרְבְּנָא דְּקֻדְשָׁא בְּרִיךְ הוּא</w:t>
      </w:r>
      <w:r w:rsidRPr="00B558C5">
        <w:rPr>
          <w:rFonts w:hint="cs"/>
          <w:rtl/>
        </w:rPr>
        <w:t>,</w:t>
      </w:r>
      <w:r w:rsidRPr="00B558C5">
        <w:rPr>
          <w:rtl/>
        </w:rPr>
        <w:t xml:space="preserve"> </w:t>
      </w:r>
      <w:r w:rsidRPr="00B558C5">
        <w:rPr>
          <w:vertAlign w:val="superscript"/>
          <w:rtl/>
        </w:rPr>
        <w:footnoteReference w:id="1827"/>
      </w:r>
      <w:r w:rsidRPr="00B558C5">
        <w:rPr>
          <w:rtl/>
        </w:rPr>
        <w:t>דִּמְקַבֵּל לָהּ בִּימִינָא וּשְׂמָאלָא וְגוּפָא</w:t>
      </w:r>
      <w:r w:rsidRPr="00B558C5">
        <w:rPr>
          <w:rFonts w:hint="cs"/>
          <w:rtl/>
        </w:rPr>
        <w:t>,</w:t>
      </w:r>
      <w:r w:rsidRPr="00B558C5">
        <w:rPr>
          <w:rtl/>
        </w:rPr>
        <w:t xml:space="preserve"> וְיִחוּדָא דִּילֵהּ עִמָּהּ בְּצַדִּיק</w:t>
      </w:r>
      <w:r w:rsidRPr="00B558C5">
        <w:rPr>
          <w:rFonts w:hint="cs"/>
          <w:rtl/>
        </w:rPr>
        <w:t>,</w:t>
      </w:r>
      <w:r w:rsidRPr="00B558C5">
        <w:rPr>
          <w:rtl/>
        </w:rPr>
        <w:t xml:space="preserve"> </w:t>
      </w:r>
      <w:r w:rsidRPr="00B558C5">
        <w:rPr>
          <w:vertAlign w:val="superscript"/>
          <w:rtl/>
        </w:rPr>
        <w:footnoteReference w:id="1828"/>
      </w:r>
      <w:r w:rsidRPr="00B558C5">
        <w:rPr>
          <w:rtl/>
        </w:rPr>
        <w:t xml:space="preserve">דְּאִיהוּ אוֹת תְּפִלִּין וְאוֹת שַׁבָּת וְיוֹמִין טָבִין. </w:t>
      </w:r>
    </w:p>
    <w:p w:rsidR="00B558C5" w:rsidRDefault="00B558C5" w:rsidP="00B558C5">
      <w:pPr>
        <w:pStyle w:val="NormalWeb"/>
        <w:rPr>
          <w:rtl/>
        </w:rPr>
      </w:pPr>
      <w:r w:rsidRPr="00B558C5">
        <w:rPr>
          <w:vertAlign w:val="superscript"/>
          <w:rtl/>
        </w:rPr>
        <w:footnoteReference w:id="1829"/>
      </w:r>
      <w:r w:rsidRPr="00B558C5">
        <w:rPr>
          <w:rtl/>
        </w:rPr>
        <w:t>וְאִית לְמִשְׁאַל</w:t>
      </w:r>
      <w:r w:rsidRPr="00B558C5">
        <w:rPr>
          <w:rFonts w:hint="cs"/>
          <w:rtl/>
        </w:rPr>
        <w:t>,</w:t>
      </w:r>
      <w:r w:rsidRPr="00B558C5">
        <w:rPr>
          <w:rtl/>
        </w:rPr>
        <w:t xml:space="preserve"> לָמָּה מְצַלְּאִין לְקֻדְשָׁא בְּרִיךְ הוּא בְּכַמָּה דַּרְגִּין. זִמְנִין מְצַלִּין לֵהּ בִּסְפִירָה יְדִיעָה</w:t>
      </w:r>
      <w:r w:rsidRPr="00B558C5">
        <w:rPr>
          <w:rFonts w:hint="cs"/>
          <w:rtl/>
        </w:rPr>
        <w:t xml:space="preserve"> ובמדה </w:t>
      </w:r>
      <w:r w:rsidRPr="00B558C5">
        <w:rPr>
          <w:rtl/>
        </w:rPr>
        <w:t>יְדִיעָה. לְזִמְנִין צְלוֹתָא לִימִינָא</w:t>
      </w:r>
      <w:r w:rsidRPr="00B558C5">
        <w:rPr>
          <w:rFonts w:hint="cs"/>
          <w:rtl/>
        </w:rPr>
        <w:t>,</w:t>
      </w:r>
      <w:r w:rsidRPr="00B558C5">
        <w:rPr>
          <w:rtl/>
        </w:rPr>
        <w:t xml:space="preserve"> הָדָא הוּא דְּאָמַר הָרוֹצֶה לְהַחְכִּים יַדְרִים. לְזִמְנִין לִשְׂמָאלָא</w:t>
      </w:r>
      <w:r w:rsidRPr="00B558C5">
        <w:rPr>
          <w:rFonts w:hint="cs"/>
          <w:rtl/>
        </w:rPr>
        <w:t>,</w:t>
      </w:r>
      <w:r w:rsidRPr="00B558C5">
        <w:rPr>
          <w:rtl/>
        </w:rPr>
        <w:t xml:space="preserve"> הָדָא הוּא דְּאָמַר הָרוֹצֶה לְהַעֲשִׁיר יַצְפִּין. דְּאַבָּא וְאִמָּא לִימִינָא וּשְׂמָאלָא אִנּוּן. לְזִמְנִין לְעַמּוּדָא דְּאֶמְצָעִיתָא</w:t>
      </w:r>
      <w:r w:rsidRPr="00B558C5">
        <w:rPr>
          <w:rFonts w:hint="cs"/>
          <w:rtl/>
        </w:rPr>
        <w:t>,</w:t>
      </w:r>
      <w:r w:rsidRPr="00B558C5">
        <w:rPr>
          <w:rtl/>
        </w:rPr>
        <w:t xml:space="preserve"> לְזִמְנִין לְצַדִּיק</w:t>
      </w:r>
      <w:r w:rsidRPr="00B558C5">
        <w:rPr>
          <w:rFonts w:hint="cs"/>
          <w:rtl/>
        </w:rPr>
        <w:t>,</w:t>
      </w:r>
      <w:r w:rsidRPr="00B558C5">
        <w:rPr>
          <w:rtl/>
        </w:rPr>
        <w:t xml:space="preserve"> כָּל צְלוֹתָא סָלְקָא לְדַרְגָּא יְדִיעָה. אֶלָּא </w:t>
      </w:r>
      <w:r w:rsidRPr="00B558C5">
        <w:rPr>
          <w:vertAlign w:val="superscript"/>
          <w:rtl/>
        </w:rPr>
        <w:footnoteReference w:id="1830"/>
      </w:r>
      <w:r w:rsidRPr="00B558C5">
        <w:rPr>
          <w:rtl/>
        </w:rPr>
        <w:t>וַדַּאי יהו'ה אִיהוּ בְּכָל סְפִירָה וּסְפִירָה. וּצְלוֹתָא אִיהִי שְׁכִינְתָּא. בְּזִמְנָא דְּבָעֵי לְרַחֲמָא עַל עָלְמָא</w:t>
      </w:r>
      <w:r w:rsidRPr="00B558C5">
        <w:rPr>
          <w:rFonts w:hint="cs"/>
          <w:rtl/>
        </w:rPr>
        <w:t>,</w:t>
      </w:r>
      <w:r w:rsidRPr="00B558C5">
        <w:rPr>
          <w:rtl/>
        </w:rPr>
        <w:t xml:space="preserve"> סְלִיקַת בִּימִינָא. וּבְזִמְנָא דְּבָעֵי לְמֶעֱבַד דִּינָא בְּעָלְמָא, סְלִיקָא לִשְׂמָאלָא</w:t>
      </w:r>
      <w:r w:rsidRPr="00B558C5">
        <w:rPr>
          <w:rFonts w:hint="cs"/>
          <w:rtl/>
        </w:rPr>
        <w:t>.</w:t>
      </w:r>
      <w:r w:rsidRPr="00B558C5">
        <w:rPr>
          <w:rtl/>
        </w:rPr>
        <w:t xml:space="preserve"> וְכֹלָּא לְגַבֵּי יְהוָֹ"ה דְּאִיהוּ בְּכָל אֲתַר. וּבְגִין דָּא</w:t>
      </w:r>
      <w:r w:rsidRPr="00B558C5">
        <w:rPr>
          <w:rFonts w:hint="cs"/>
          <w:rtl/>
        </w:rPr>
        <w:t>, (ויקרא ו ב)</w:t>
      </w:r>
      <w:r w:rsidRPr="00B558C5">
        <w:rPr>
          <w:rtl/>
        </w:rPr>
        <w:t xml:space="preserve"> זֹאת תּוֹרַת הָעֹלָה</w:t>
      </w:r>
      <w:r w:rsidRPr="00B558C5">
        <w:rPr>
          <w:rFonts w:hint="cs"/>
          <w:rtl/>
        </w:rPr>
        <w:t>,</w:t>
      </w:r>
      <w:r w:rsidRPr="00B558C5">
        <w:rPr>
          <w:rtl/>
        </w:rPr>
        <w:t xml:space="preserve"> ה'עֹלָה לַה'</w:t>
      </w:r>
      <w:r w:rsidRPr="00B558C5">
        <w:rPr>
          <w:rFonts w:hint="cs"/>
          <w:rtl/>
        </w:rPr>
        <w:t>,</w:t>
      </w:r>
      <w:r w:rsidRPr="00B558C5">
        <w:rPr>
          <w:rtl/>
        </w:rPr>
        <w:t xml:space="preserve"> וְדָא צְלוֹתָא, דְּאִיהִי שְׁכִינְתָּא</w:t>
      </w:r>
      <w:r w:rsidRPr="00B558C5">
        <w:rPr>
          <w:rFonts w:hint="cs"/>
          <w:rtl/>
        </w:rPr>
        <w:t>,</w:t>
      </w:r>
      <w:r w:rsidRPr="00B558C5">
        <w:rPr>
          <w:rtl/>
        </w:rPr>
        <w:t xml:space="preserve"> קָרְבָּן לַה'. וְכַד סְלִיקַת לְגַבֵּהּ, צָרִיךְ לְאַכְלְלָא עִמַּהּ כָּל סְפִירָן, דְּלֵית קְדֻשָּׁה פָּחוֹת מֵעֲשָׂרָה</w:t>
      </w:r>
      <w:r w:rsidRPr="00B558C5">
        <w:rPr>
          <w:rFonts w:hint="cs"/>
          <w:rtl/>
        </w:rPr>
        <w:t>.</w:t>
      </w:r>
      <w:r w:rsidRPr="00B558C5">
        <w:rPr>
          <w:rtl/>
        </w:rPr>
        <w:t xml:space="preserve"> </w:t>
      </w:r>
      <w:r w:rsidRPr="00B558C5">
        <w:rPr>
          <w:vertAlign w:val="superscript"/>
          <w:rtl/>
        </w:rPr>
        <w:footnoteReference w:id="1831"/>
      </w:r>
      <w:r w:rsidRPr="00B558C5">
        <w:rPr>
          <w:rtl/>
        </w:rPr>
        <w:t>דְּאִיהִי קְדֻשָּׁה דִּילֵהּ</w:t>
      </w:r>
      <w:r w:rsidRPr="00B558C5">
        <w:rPr>
          <w:rFonts w:hint="cs"/>
          <w:rtl/>
        </w:rPr>
        <w:t>,</w:t>
      </w:r>
      <w:r w:rsidRPr="00B558C5">
        <w:rPr>
          <w:rtl/>
        </w:rPr>
        <w:t xml:space="preserve"> בְּרָכָה דִּילֵהּ</w:t>
      </w:r>
      <w:r w:rsidRPr="00B558C5">
        <w:rPr>
          <w:rFonts w:hint="cs"/>
          <w:rtl/>
        </w:rPr>
        <w:t>,</w:t>
      </w:r>
      <w:r w:rsidRPr="00B558C5">
        <w:rPr>
          <w:rtl/>
        </w:rPr>
        <w:t xml:space="preserve"> יִחוּדָא דִּילֵהּ. וּבְגִין דָּא</w:t>
      </w:r>
      <w:r w:rsidRPr="00B558C5">
        <w:rPr>
          <w:rFonts w:hint="cs"/>
          <w:rtl/>
        </w:rPr>
        <w:t>,</w:t>
      </w:r>
      <w:r w:rsidRPr="00B558C5">
        <w:rPr>
          <w:rtl/>
        </w:rPr>
        <w:t xml:space="preserve"> כַּד בָּעֵי בַּר נָשׁ לְסָלְקָא לִצְלוֹתָא לְעֵלָּא, צָרִיךְ לְסָלְקָא לָהּ בְּכָל </w:t>
      </w:r>
      <w:r w:rsidRPr="00B558C5">
        <w:rPr>
          <w:vertAlign w:val="superscript"/>
          <w:rtl/>
        </w:rPr>
        <w:footnoteReference w:id="1832"/>
      </w:r>
      <w:r w:rsidRPr="00B558C5">
        <w:rPr>
          <w:rtl/>
        </w:rPr>
        <w:t>תְּנוּעִין. וְאִם חִוְיָא בָּעֵי לְקַטְרְגָא לִצְלוֹתָא צָרִיךְ לְמֶעֱבַד לֵהּ קִירְטָא. וְרָזָא דְּמִלָּה</w:t>
      </w:r>
      <w:r w:rsidRPr="00B558C5">
        <w:rPr>
          <w:rFonts w:hint="cs"/>
          <w:rtl/>
        </w:rPr>
        <w:t>,</w:t>
      </w:r>
      <w:r w:rsidRPr="00B558C5">
        <w:rPr>
          <w:rtl/>
        </w:rPr>
        <w:t xml:space="preserve"> זַרְקָא מַקַּף שׁוֹפָר הוֹלֵךְ סְגוֹלְתָּא</w:t>
      </w:r>
      <w:r w:rsidRPr="00B558C5">
        <w:t>:</w:t>
      </w:r>
    </w:p>
    <w:p w:rsidR="00B558C5" w:rsidRPr="00B558C5" w:rsidRDefault="00B558C5" w:rsidP="00B558C5">
      <w:pPr>
        <w:pStyle w:val="4"/>
        <w:rPr>
          <w:sz w:val="24"/>
          <w:szCs w:val="24"/>
          <w:rtl/>
        </w:rPr>
      </w:pPr>
      <w:r w:rsidRPr="00B558C5">
        <w:rPr>
          <w:rFonts w:hint="cs"/>
          <w:sz w:val="24"/>
          <w:szCs w:val="24"/>
          <w:rtl/>
        </w:rPr>
        <w:t xml:space="preserve"> (עד כאן הקטע שהובא מתז"ח)</w:t>
      </w:r>
    </w:p>
    <w:p w:rsidR="00606298" w:rsidRDefault="00606298" w:rsidP="00B558C5">
      <w:pPr>
        <w:pStyle w:val="NormalWeb"/>
        <w:rPr>
          <w:rtl/>
        </w:rPr>
      </w:pPr>
      <w:r>
        <w:rPr>
          <w:rStyle w:val="a7"/>
          <w:rtl/>
        </w:rPr>
        <w:footnoteReference w:id="1833"/>
      </w:r>
      <w:r>
        <w:rPr>
          <w:rtl/>
        </w:rPr>
        <w:t xml:space="preserve">וְצַדִּיק נָטִיל מִשְּׂמָאלָא, וְעַמּוּדָא דְאֶמְצָעִיתָא מִימִינָא, הֲדָא הוּא דִכְתִיב </w:t>
      </w:r>
      <w:r>
        <w:rPr>
          <w:sz w:val="20"/>
          <w:szCs w:val="23"/>
          <w:rtl/>
        </w:rPr>
        <w:t>(דברים לג ב)</w:t>
      </w:r>
      <w:r>
        <w:rPr>
          <w:rtl/>
        </w:rPr>
        <w:t xml:space="preserve"> מִימִינוֹ אֵשׁ דָּת לָמוֹ </w:t>
      </w:r>
      <w:r w:rsidR="00B558C5">
        <w:rPr>
          <w:rFonts w:hint="cs"/>
          <w:rtl/>
        </w:rPr>
        <w:t xml:space="preserve">(אלף קא יוד קא. יוד קא ויו קא. יוד קי ויו קי. יוד קי ואו קי. אלף קא ואו קא. יוד קק וו קק. אלף דלת נון יוד.) </w:t>
      </w:r>
      <w:r>
        <w:rPr>
          <w:rtl/>
        </w:rPr>
        <w:t xml:space="preserve">בְּהַהוּא זִמְנָא דִיְהוֹן תְּרֵין שְׁמָהָן כַּחֲדָא, אִתְעֲרָא בְּרַתָּא דְמַלְכָּא, בְּשִׁיר הַשִּׁירִים וּמִשְׁלֵי וְקֹהֶלֶת, דְּאִינוּן </w:t>
      </w:r>
      <w:r>
        <w:rPr>
          <w:sz w:val="20"/>
          <w:szCs w:val="23"/>
          <w:rtl/>
        </w:rPr>
        <w:t>(מ''א ה יב)</w:t>
      </w:r>
      <w:r>
        <w:rPr>
          <w:rtl/>
        </w:rPr>
        <w:t xml:space="preserve"> שְׁלֹשֶׁת אֲלָפִים מָשָׁל, תְּלַת יוּדִי''ן, דְּאִינוּן תְּלַת טִפִּין דְּמוֹחָא, </w:t>
      </w:r>
      <w:r>
        <w:rPr>
          <w:rStyle w:val="a7"/>
          <w:rtl/>
        </w:rPr>
        <w:footnoteReference w:id="1834"/>
      </w:r>
      <w:r>
        <w:rPr>
          <w:rtl/>
        </w:rPr>
        <w:t xml:space="preserve">דְנָחֲתִין מִן י', וּלְאָן אִתְמַשְׁכוּ לְגַבֵּי צַדִּיק, </w:t>
      </w:r>
      <w:r>
        <w:rPr>
          <w:rStyle w:val="a7"/>
          <w:rtl/>
        </w:rPr>
        <w:footnoteReference w:id="1835"/>
      </w:r>
      <w:r>
        <w:rPr>
          <w:rtl/>
        </w:rPr>
        <w:t xml:space="preserve">דְּאִיהוּ קֶשֶׁת </w:t>
      </w:r>
      <w:r w:rsidR="00B558C5">
        <w:rPr>
          <w:rFonts w:hint="cs"/>
          <w:rtl/>
        </w:rPr>
        <w:t>(</w:t>
      </w:r>
      <w:r>
        <w:rPr>
          <w:rtl/>
        </w:rPr>
        <w:t>הַבְּרִית</w:t>
      </w:r>
      <w:r w:rsidR="00B558C5">
        <w:rPr>
          <w:rFonts w:hint="cs"/>
          <w:rtl/>
        </w:rPr>
        <w:t>),</w:t>
      </w:r>
      <w:r>
        <w:rPr>
          <w:rtl/>
        </w:rPr>
        <w:t xml:space="preserve"> וּמַה דַּהֲוָה קָטָן אִתְעֲבִיד גָּדוֹל, וְרָזָא דְמִלָּה שׁוֹפָר הוֹלֵךְ פָּזֵר גָּדוֹל, מָתַי יְהֵא זָרִיק חֵץ בְּדִיּוֹקְנָא דָא </w:t>
      </w:r>
      <w:r>
        <w:t>µ</w:t>
      </w:r>
      <w:r>
        <w:rPr>
          <w:rFonts w:ascii="Ezra SIL" w:hAnsi="Ezra SIL" w:cs="Ezra SIL"/>
          <w:lang w:val="el-GR"/>
        </w:rPr>
        <w:t>μ</w:t>
      </w:r>
      <w:r>
        <w:rPr>
          <w:rtl/>
        </w:rPr>
        <w:t>.</w:t>
      </w:r>
    </w:p>
    <w:p w:rsidR="00606298" w:rsidRDefault="00606298" w:rsidP="00B17EA9">
      <w:pPr>
        <w:pStyle w:val="NormalWeb"/>
        <w:rPr>
          <w:rtl/>
        </w:rPr>
      </w:pPr>
      <w:r>
        <w:rPr>
          <w:rtl/>
        </w:rPr>
        <w:t xml:space="preserve">פָּתַח רַבִּי שִׁמְעוֹן וְאָמַר, עִלָּאִין אִתְתַּקְנוּ וְאִזְדַּרְזוּ בְּמָאנֵי קְרָבָא לְגַבֵּי חִוְיָא, דְאִיהוּ מְקַנְּנָא בְּטוּרִין רַבְרְבִין, וְאִיהוּ קָטִיל לְאָדָם קַדְמָאָה, וּלְכָל דָּרִין דַּהֲווֹ אַבַּתְרֵיהּ, וּבְגִין דָּא כָּרוֹזָא נָפִיק בְּכָל יוֹמָא, מָאן דְּקָטִיל הַהוּא חִוְיָא דְאִיהוּ מְקַנְּנָא בְּטוּרִין רַבְרְבִין, יָהֲבִין לֵיהּ בְּרַתָּא דְמַלְכָּא, </w:t>
      </w:r>
      <w:r>
        <w:rPr>
          <w:rStyle w:val="a7"/>
          <w:rtl/>
        </w:rPr>
        <w:footnoteReference w:id="1836"/>
      </w:r>
      <w:r>
        <w:rPr>
          <w:rtl/>
        </w:rPr>
        <w:t xml:space="preserve">דְאִיהִי צְלוֹתָא, דִיְתִיב עַל </w:t>
      </w:r>
      <w:r>
        <w:rPr>
          <w:rStyle w:val="a7"/>
          <w:rtl/>
        </w:rPr>
        <w:footnoteReference w:id="1837"/>
      </w:r>
      <w:r>
        <w:rPr>
          <w:rtl/>
        </w:rPr>
        <w:t xml:space="preserve">מַגְדְּלָא, דְאִתְּמַר בָּהּ </w:t>
      </w:r>
      <w:r>
        <w:rPr>
          <w:sz w:val="20"/>
          <w:szCs w:val="23"/>
          <w:rtl/>
        </w:rPr>
        <w:t>(משלי יח י)</w:t>
      </w:r>
      <w:r>
        <w:rPr>
          <w:rtl/>
        </w:rPr>
        <w:t xml:space="preserve"> מִגְדַּל עֹז שֵׁם יְיָ' בּוֹ יָרוּץ צַדִּיק וְנִשְׂגָּב.</w:t>
      </w:r>
    </w:p>
    <w:p w:rsidR="00606298" w:rsidRDefault="00606298" w:rsidP="00B17EA9">
      <w:pPr>
        <w:pStyle w:val="NormalWeb"/>
        <w:rPr>
          <w:rtl/>
        </w:rPr>
      </w:pPr>
      <w:r>
        <w:rPr>
          <w:rtl/>
        </w:rPr>
        <w:t xml:space="preserve">אַדְהָכִי הָא רַעְיָא מְהֵימְנָא קָא אָתֵי, </w:t>
      </w:r>
      <w:r>
        <w:rPr>
          <w:rStyle w:val="a7"/>
          <w:rtl/>
        </w:rPr>
        <w:footnoteReference w:id="1838"/>
      </w:r>
      <w:r>
        <w:rPr>
          <w:rtl/>
        </w:rPr>
        <w:t xml:space="preserve">בְּכַמָּה עָאנִין וְתוֹרִין וְאִמְרִין, </w:t>
      </w:r>
      <w:r>
        <w:rPr>
          <w:rStyle w:val="a7"/>
          <w:rtl/>
        </w:rPr>
        <w:footnoteReference w:id="1839"/>
      </w:r>
      <w:r>
        <w:rPr>
          <w:rtl/>
        </w:rPr>
        <w:t xml:space="preserve">וְחוּטְרָא בִידֵיהּ, סָלִיק עִינֵיהּ לְמַגְדְּלָא, וְחָמָא </w:t>
      </w:r>
      <w:r>
        <w:rPr>
          <w:rStyle w:val="a7"/>
          <w:rtl/>
        </w:rPr>
        <w:footnoteReference w:id="1840"/>
      </w:r>
      <w:r>
        <w:rPr>
          <w:rtl/>
        </w:rPr>
        <w:t>חַד בַּר נַשׁ עוּלֵימָא צַדִּיק שְׁמֵיהּ, דַּהֲוָה יְתִיב עַל מַגְדְּלָא, קַשְׁתָּא בִּידוֹי, וַהֲוָה זָרִיק חִצִּים לְגַבֵּי חִוְיָא, וְדָא אִיהוּ פָּזֵר גָּדוֹל, וְחִוְיָא לָא הֲוָה חָשִׁיב לוֹן.</w:t>
      </w:r>
    </w:p>
    <w:p w:rsidR="00606298" w:rsidRDefault="00606298" w:rsidP="00B17EA9">
      <w:pPr>
        <w:pStyle w:val="NormalWeb"/>
        <w:rPr>
          <w:rtl/>
        </w:rPr>
      </w:pPr>
      <w:r>
        <w:rPr>
          <w:rtl/>
        </w:rPr>
        <w:t>(</w:t>
      </w:r>
      <w:r>
        <w:rPr>
          <w:rStyle w:val="a7"/>
          <w:rtl/>
        </w:rPr>
        <w:footnoteReference w:id="1841"/>
      </w:r>
      <w:r>
        <w:rPr>
          <w:rtl/>
        </w:rPr>
        <w:t xml:space="preserve">וְקַשְׁתָּא) [וְצַדִּיק] אִיהוּ לִישָׁנָא דְפוּמָא, אֱגוֹזָא דְקַשְׁתָּא דְפוּמָא, </w:t>
      </w:r>
      <w:r>
        <w:rPr>
          <w:rStyle w:val="a7"/>
          <w:rtl/>
        </w:rPr>
        <w:footnoteReference w:id="1842"/>
      </w:r>
      <w:r>
        <w:rPr>
          <w:rtl/>
        </w:rPr>
        <w:t xml:space="preserve">חוּט הַשָּׁנִי דָא שָׂפָה חוּט שֶׁל קֶשֶׁת, </w:t>
      </w:r>
      <w:r>
        <w:rPr>
          <w:rStyle w:val="a7"/>
          <w:rtl/>
        </w:rPr>
        <w:footnoteReference w:id="1843"/>
      </w:r>
      <w:r>
        <w:rPr>
          <w:rtl/>
        </w:rPr>
        <w:t xml:space="preserve">דְּבֵיהּ הֲוָה צַדִּיק זָרִיק חִצִּין דְּאִינוּן מִלּוּלִין דִּצְלוֹתָא לְגַבֵּי חִוְיָא, וְחִוְיָא לָא הֲוָה חָשִׁיב לוֹן, וְלַאו בְּגִין חֲלִישׁוּ דְצַדִּיק חַ''י עָלְמִין, אֶלָּא בְּגִין חֲלִישׁוּ דְהַהוּא דְזָרִיק לוֹן דְּאִיהוּ </w:t>
      </w:r>
      <w:r>
        <w:rPr>
          <w:rStyle w:val="a7"/>
          <w:rtl/>
        </w:rPr>
        <w:footnoteReference w:id="1844"/>
      </w:r>
      <w:r>
        <w:rPr>
          <w:rtl/>
        </w:rPr>
        <w:t>צַדִּיק דִּלְתַתָּא מִנֵּיהּ, כַּד לַאו אִיהוּ שְׁלִים, וּבְגִין דָּא לָא חָשִׁיב לוֹן.</w:t>
      </w:r>
    </w:p>
    <w:p w:rsidR="00606298" w:rsidRDefault="00606298" w:rsidP="00B17EA9">
      <w:pPr>
        <w:pStyle w:val="NormalWeb"/>
        <w:rPr>
          <w:rtl/>
        </w:rPr>
      </w:pPr>
      <w:r>
        <w:rPr>
          <w:rtl/>
        </w:rPr>
        <w:t xml:space="preserve">עַד דְּאָתָא רַעְיָא מְהֵימְנָא, וְנָטִיל חֵץ חַד וְזָרִיק לְגַבֵּיהּ, דָּא בָּתַר דָּא בִּצְלוֹתֵיהּ, </w:t>
      </w:r>
      <w:r>
        <w:rPr>
          <w:sz w:val="20"/>
          <w:szCs w:val="23"/>
          <w:rtl/>
        </w:rPr>
        <w:t>(שם ז כג)</w:t>
      </w:r>
      <w:r>
        <w:rPr>
          <w:rtl/>
        </w:rPr>
        <w:t xml:space="preserve"> עַד יְפַלַּח חֵץ כְּבֵדוֹ דְחִוְיָא, דְּאִיהוּ סמא''ל אֵל אַחֵר, דְּתַמָּן יְסוֹדֵיהּ וְעִקָּרֵיהּ, וּבְגִין דָּא הַכָּבֵד כּוֹעֵס, בְּמַאי כּוֹעֵס, בְּמָרָה דְאִיהִי דְבוּקָה בֵּיהּ, וְדָא סַם הַמָּוֶת נוּקְבָא דִילֵיהּ, </w:t>
      </w:r>
      <w:r>
        <w:rPr>
          <w:rStyle w:val="a7"/>
          <w:rtl/>
        </w:rPr>
        <w:footnoteReference w:id="1845"/>
      </w:r>
      <w:r>
        <w:rPr>
          <w:rtl/>
        </w:rPr>
        <w:t xml:space="preserve">זְנָבָא דִילֵיהּ </w:t>
      </w:r>
      <w:r>
        <w:rPr>
          <w:rStyle w:val="a7"/>
          <w:rtl/>
        </w:rPr>
        <w:footnoteReference w:id="1846"/>
      </w:r>
      <w:r>
        <w:rPr>
          <w:rtl/>
        </w:rPr>
        <w:t xml:space="preserve">יוֹתֶרֶת הַכָּבֵד, </w:t>
      </w:r>
      <w:r>
        <w:rPr>
          <w:rStyle w:val="a7"/>
          <w:rtl/>
        </w:rPr>
        <w:footnoteReference w:id="1847"/>
      </w:r>
      <w:r>
        <w:rPr>
          <w:rtl/>
        </w:rPr>
        <w:t>יוֹתֶרֶת אִתְקְרִיאַת, דְּבָתַר דַּעֲבִידַת נִאוּפִין יְהִיבַת שִׁיּוּרִין לְבַעְלָהּ, וּזְנָבָא אִיהִי שִׁפְחָה דִילֵיהּ, בְּמָרָה כָעִיס, וּבִזְנָבָא קָטִיל, מָרָה אִיהִי פַרְצוּף דִּילֵיהּ, יוֹתֶרֶת זָנָב דִּילֵיהּ, כְּגַוְונָא דְאָדָם, דְּעָבִיד לֵיהּ פַּרְצוּף וּלְבָתַר זָנָב, דְּהַאי אָדָם רָע אִתְקְרֵי, וְדָא כְּגַוְונָא דְּדָא, דָא אָדָם דְּאִתְנַטִּיל מֵאִילָנָא דְחַיֵּי, וְדָא אָדָם דְּאִתְנַטִּיל מֵאִילָנָא דְמוֹתָא.</w:t>
      </w:r>
    </w:p>
    <w:p w:rsidR="00606298" w:rsidRDefault="00606298" w:rsidP="00B558C5">
      <w:pPr>
        <w:pStyle w:val="2"/>
        <w:spacing w:before="0"/>
        <w:rPr>
          <w:rtl/>
        </w:rPr>
      </w:pPr>
      <w:bookmarkStart w:id="123" w:name="_Toc228095616"/>
      <w:bookmarkStart w:id="124" w:name="_Toc231638054"/>
      <w:r>
        <w:rPr>
          <w:rtl/>
        </w:rPr>
        <w:t>[תיקוני זוהר - דף כו ע''א]</w:t>
      </w:r>
      <w:bookmarkEnd w:id="123"/>
      <w:bookmarkEnd w:id="124"/>
    </w:p>
    <w:p w:rsidR="00B558C5" w:rsidRPr="00B558C5" w:rsidRDefault="00B558C5" w:rsidP="00B558C5">
      <w:pPr>
        <w:pStyle w:val="4"/>
        <w:spacing w:before="0"/>
        <w:jc w:val="right"/>
        <w:rPr>
          <w:sz w:val="24"/>
          <w:szCs w:val="24"/>
          <w:rtl/>
        </w:rPr>
      </w:pPr>
      <w:r w:rsidRPr="00B558C5">
        <w:rPr>
          <w:rFonts w:hint="cs"/>
          <w:sz w:val="24"/>
          <w:szCs w:val="24"/>
          <w:rtl/>
        </w:rPr>
        <w:t>[וילנא ל ע"ב]</w:t>
      </w:r>
    </w:p>
    <w:p w:rsidR="00606298" w:rsidRDefault="00606298" w:rsidP="00B17EA9">
      <w:pPr>
        <w:pStyle w:val="NormalWeb"/>
        <w:rPr>
          <w:rtl/>
        </w:rPr>
      </w:pPr>
      <w:r>
        <w:rPr>
          <w:rtl/>
        </w:rPr>
        <w:t xml:space="preserve">לְבָתַר דִּיְפַלַּח חֵץ כְּבֵדוֹ, זֶרַע יוֹרֶה כַּחֵץ לְגַבֵּי כַלָּה, </w:t>
      </w:r>
      <w:r>
        <w:rPr>
          <w:rStyle w:val="a7"/>
          <w:rtl/>
        </w:rPr>
        <w:footnoteReference w:id="1848"/>
      </w:r>
      <w:r>
        <w:rPr>
          <w:rtl/>
        </w:rPr>
        <w:t xml:space="preserve">יוּ''ד זֶרַע </w:t>
      </w:r>
      <w:r>
        <w:rPr>
          <w:rStyle w:val="a7"/>
          <w:rtl/>
        </w:rPr>
        <w:footnoteReference w:id="1849"/>
      </w:r>
      <w:r>
        <w:rPr>
          <w:rtl/>
        </w:rPr>
        <w:t xml:space="preserve">דְּאִתְמַשֵּׁךְ מִינֵיהּ ו, </w:t>
      </w:r>
      <w:r>
        <w:rPr>
          <w:rStyle w:val="a7"/>
          <w:rtl/>
        </w:rPr>
        <w:footnoteReference w:id="1850"/>
      </w:r>
      <w:r>
        <w:rPr>
          <w:rtl/>
        </w:rPr>
        <w:t xml:space="preserve">וְדָא ז', וְאִתְּמַר בָּהּ </w:t>
      </w:r>
      <w:r>
        <w:rPr>
          <w:sz w:val="20"/>
          <w:szCs w:val="23"/>
          <w:rtl/>
        </w:rPr>
        <w:t>(שמואל א ב כ)</w:t>
      </w:r>
      <w:r>
        <w:rPr>
          <w:rtl/>
        </w:rPr>
        <w:t xml:space="preserve"> לְשַׁלַּח לִי לְמַטָּרָה, וְדָא </w:t>
      </w:r>
      <w:r>
        <w:rPr>
          <w:rStyle w:val="a7"/>
          <w:rtl/>
        </w:rPr>
        <w:footnoteReference w:id="1851"/>
      </w:r>
      <w:r>
        <w:rPr>
          <w:rtl/>
        </w:rPr>
        <w:t xml:space="preserve">בַת עַיִן, בֵּית קִבּוּל לְזֶרַע </w:t>
      </w:r>
      <w:r w:rsidR="00B558C5" w:rsidRPr="00B558C5">
        <w:rPr>
          <w:rStyle w:val="40"/>
          <w:rFonts w:hint="cs"/>
          <w:rtl/>
        </w:rPr>
        <w:t>(וילנא ל ע"ב)</w:t>
      </w:r>
      <w:r w:rsidR="00B558C5">
        <w:rPr>
          <w:rFonts w:hint="cs"/>
          <w:rtl/>
        </w:rPr>
        <w:t xml:space="preserve"> </w:t>
      </w:r>
      <w:r>
        <w:rPr>
          <w:rStyle w:val="a7"/>
          <w:rtl/>
        </w:rPr>
        <w:footnoteReference w:id="1852"/>
      </w:r>
      <w:r>
        <w:rPr>
          <w:rtl/>
        </w:rPr>
        <w:t xml:space="preserve">דְּאִיהוּ ז' וַדַּאי, </w:t>
      </w:r>
      <w:r>
        <w:rPr>
          <w:rStyle w:val="a7"/>
          <w:rtl/>
        </w:rPr>
        <w:footnoteReference w:id="1853"/>
      </w:r>
      <w:r>
        <w:rPr>
          <w:rtl/>
        </w:rPr>
        <w:t xml:space="preserve">מַאי מַטָּרָה, דָא יֶרַח בֶּן יוֹמוֹ, </w:t>
      </w:r>
      <w:r w:rsidRPr="00B558C5">
        <w:rPr>
          <w:rStyle w:val="40"/>
          <w:rtl/>
        </w:rPr>
        <w:t>(דף כו ע''א)</w:t>
      </w:r>
      <w:r>
        <w:rPr>
          <w:sz w:val="20"/>
          <w:szCs w:val="23"/>
          <w:rtl/>
        </w:rPr>
        <w:t xml:space="preserve"> </w:t>
      </w:r>
      <w:r>
        <w:rPr>
          <w:rtl/>
        </w:rPr>
        <w:t xml:space="preserve">סִיהֲרָא קַדִּישָׁא, מַטָּרָה אִיהִי וַדַּאי לְבַת עַיִן, נְקוּדָה זְעִירָא מִלְּגָיו, לְגַבָּהּ הֲוָה שָׁלַח חִצִּים </w:t>
      </w:r>
      <w:r>
        <w:rPr>
          <w:rStyle w:val="a7"/>
          <w:rtl/>
        </w:rPr>
        <w:footnoteReference w:id="1854"/>
      </w:r>
      <w:r>
        <w:rPr>
          <w:rtl/>
        </w:rPr>
        <w:t>בִּרְחִימוּ דְעַיְנִין, מַטָּרָה וַדַּאי שְׁכִינְתָּא, דְאִיהִי אֲגִינַת עַל יִשְׂרָאֵל מֵחִוְיָא בִּישָׁא סמא''ל.</w:t>
      </w:r>
    </w:p>
    <w:p w:rsidR="00606298" w:rsidRDefault="00606298" w:rsidP="00B17EA9">
      <w:pPr>
        <w:pStyle w:val="NormalWeb"/>
        <w:rPr>
          <w:rtl/>
        </w:rPr>
      </w:pPr>
      <w:r>
        <w:rPr>
          <w:rStyle w:val="a7"/>
          <w:rtl/>
        </w:rPr>
        <w:footnoteReference w:id="1855"/>
      </w:r>
      <w:r>
        <w:rPr>
          <w:rtl/>
        </w:rPr>
        <w:t xml:space="preserve">וּלְמָאן דְּאִיהִי אֲגִינַת עֲלֵיהּ, אִתְּמַר בֵּיהּ </w:t>
      </w:r>
      <w:r>
        <w:rPr>
          <w:sz w:val="20"/>
          <w:szCs w:val="23"/>
          <w:rtl/>
        </w:rPr>
        <w:t>(תהלים צא ה)</w:t>
      </w:r>
      <w:r>
        <w:rPr>
          <w:rtl/>
        </w:rPr>
        <w:t xml:space="preserve"> לֹא תִירָא מִפַּחַד לָיְלָה מֵחֵץ יָעוּף יוֹמָם, בְּאֶבְרָתוֹ יָסֶךְ לָךְ, דָּא </w:t>
      </w:r>
      <w:r>
        <w:rPr>
          <w:rStyle w:val="a7"/>
          <w:rtl/>
        </w:rPr>
        <w:footnoteReference w:id="1856"/>
      </w:r>
      <w:r>
        <w:rPr>
          <w:rtl/>
        </w:rPr>
        <w:t xml:space="preserve">אֵבֶר מִן הַחַי, צַדִּיק, וְתַחַת כְּנָפָיו תֶּחְסֶּה, אִינוּן ה''ה, </w:t>
      </w:r>
      <w:r>
        <w:rPr>
          <w:rStyle w:val="a7"/>
          <w:rtl/>
        </w:rPr>
        <w:footnoteReference w:id="1857"/>
      </w:r>
      <w:r>
        <w:rPr>
          <w:rtl/>
        </w:rPr>
        <w:t xml:space="preserve">דְּאָת ז' ו' אִיהוּ, אֶבְרָתוֹ כָּלוּל י''ו, גּוּפָא דִילֵיהּ ו', רֵישָׁא דִילֵיהּ י', גַּדְפוֹי ה''ה, וּבְגִין דָּא וְתַחַת כְּנָפָיו תֶּחְסֶּה צִנָּה וְסוֹחֵרָה אֲמִתּוֹ, צִנָּה וְסוֹחֵרָה שְׁכִינְתָּא עִלָּאָה וְתַתָּאָה, </w:t>
      </w:r>
      <w:r>
        <w:rPr>
          <w:rStyle w:val="a7"/>
          <w:rtl/>
        </w:rPr>
        <w:footnoteReference w:id="1858"/>
      </w:r>
      <w:r>
        <w:rPr>
          <w:rtl/>
        </w:rPr>
        <w:t xml:space="preserve">אֲמִתּוֹ דָא עַמּוּדָא דְאֶמְצָעִיתָא, רֵישָׁא דִילֵיהּ חָכְמָה עִלָּאָה, </w:t>
      </w:r>
      <w:r>
        <w:rPr>
          <w:rStyle w:val="a7"/>
          <w:rtl/>
        </w:rPr>
        <w:footnoteReference w:id="1859"/>
      </w:r>
      <w:r>
        <w:rPr>
          <w:rtl/>
        </w:rPr>
        <w:t>צַדִּיק אִיהוּ בְצַלְמוֹ כִּדְמוּתוֹ, זַכָּאָה אִיהוּ מָאן דְּנָטִיר בְּרִית מִילָה, וְאוֹרַיְיתָא דְאִיהוּ עַמּוּדָא דְאֶמְצָעִיתָא, דְּתַרְוַיְיהוּ מְגִינִין עֲלֵיהּ, חַד בְּעָלְמָא דָא, וְחַד בְּעָלְמָא דְאָתֵי.</w:t>
      </w:r>
    </w:p>
    <w:p w:rsidR="00606298" w:rsidRDefault="00606298" w:rsidP="00B17EA9">
      <w:pPr>
        <w:pStyle w:val="aa"/>
        <w:rPr>
          <w:rtl/>
        </w:rPr>
      </w:pPr>
      <w:r>
        <w:rPr>
          <w:rtl/>
        </w:rPr>
        <w:t>[תיקוני זוהר - דף מא ע''ב הובא מתיקון עשרין וחד אחרי ההגהה]</w:t>
      </w:r>
    </w:p>
    <w:p w:rsidR="00606298" w:rsidRDefault="00606298" w:rsidP="00B17EA9">
      <w:pPr>
        <w:pStyle w:val="NormalWeb"/>
        <w:rPr>
          <w:rtl/>
        </w:rPr>
      </w:pPr>
      <w:r>
        <w:rPr>
          <w:rtl/>
        </w:rPr>
        <w:t>(</w:t>
      </w:r>
      <w:r>
        <w:rPr>
          <w:sz w:val="20"/>
          <w:szCs w:val="20"/>
          <w:rtl/>
        </w:rPr>
        <w:t xml:space="preserve">דף מא ע"ב) </w:t>
      </w:r>
      <w:r>
        <w:rPr>
          <w:rStyle w:val="a7"/>
          <w:rFonts w:hAnsi="Arial"/>
          <w:rtl/>
          <w:lang w:eastAsia="en-US"/>
        </w:rPr>
        <w:footnoteReference w:id="1860"/>
      </w:r>
      <w:r>
        <w:rPr>
          <w:rtl/>
        </w:rPr>
        <w:t xml:space="preserve">קָמוּ </w:t>
      </w:r>
      <w:r>
        <w:rPr>
          <w:rStyle w:val="a7"/>
          <w:rFonts w:hAnsi="Arial"/>
          <w:rtl/>
          <w:lang w:eastAsia="en-US"/>
        </w:rPr>
        <w:footnoteReference w:id="1861"/>
      </w:r>
      <w:r>
        <w:rPr>
          <w:rtl/>
        </w:rPr>
        <w:t xml:space="preserve">תַּנָּאִין וַאֲמוֹרָאִין דִּלְעִילָא וּבָרִיכוּ לֵיהּ, וְאָמְרוּ </w:t>
      </w:r>
      <w:r>
        <w:rPr>
          <w:rStyle w:val="a7"/>
          <w:rFonts w:hAnsi="Arial"/>
          <w:rtl/>
          <w:lang w:eastAsia="en-US"/>
        </w:rPr>
        <w:footnoteReference w:id="1862"/>
      </w:r>
      <w:r>
        <w:rPr>
          <w:rtl/>
        </w:rPr>
        <w:t xml:space="preserve">מַטָּרָה </w:t>
      </w:r>
      <w:r>
        <w:rPr>
          <w:sz w:val="20"/>
          <w:szCs w:val="20"/>
          <w:rtl/>
        </w:rPr>
        <w:t>(נ''א עטרה)</w:t>
      </w:r>
      <w:r>
        <w:rPr>
          <w:rtl/>
        </w:rPr>
        <w:t xml:space="preserve"> תְּהֵא אֲגִינַת עֲלָךְ מֵחִצִּים בְּגָלוּתָא, עֲלָךְ אִתְּמַר </w:t>
      </w:r>
      <w:r>
        <w:rPr>
          <w:sz w:val="20"/>
          <w:szCs w:val="20"/>
          <w:rtl/>
        </w:rPr>
        <w:t>(תהלים צא ה)</w:t>
      </w:r>
      <w:r>
        <w:rPr>
          <w:rtl/>
        </w:rPr>
        <w:t xml:space="preserve"> לֹא תִירָא מִפַּחַד לָיְלָה מֵחֵץ יָעוּף יוֹמָם, </w:t>
      </w:r>
      <w:r>
        <w:rPr>
          <w:rStyle w:val="a7"/>
          <w:rFonts w:hAnsi="Arial"/>
          <w:rtl/>
          <w:lang w:eastAsia="en-US"/>
        </w:rPr>
        <w:footnoteReference w:id="1863"/>
      </w:r>
      <w:r>
        <w:rPr>
          <w:rtl/>
        </w:rPr>
        <w:t xml:space="preserve">וְקַשְׁתָּא וְחִצָּא דְסִטְרָא דִקְדוּשָׁה יָגֵן עֲלָךְ, וְתַחַת כְּנָפָיו תֶּחְסֶּה צִנָּה וְסֹחֵרָה אֲמִתּוֹ, </w:t>
      </w:r>
      <w:r>
        <w:rPr>
          <w:rStyle w:val="a7"/>
          <w:rFonts w:hAnsi="Arial"/>
          <w:rtl/>
          <w:lang w:eastAsia="en-US"/>
        </w:rPr>
        <w:footnoteReference w:id="1864"/>
      </w:r>
      <w:r>
        <w:rPr>
          <w:rtl/>
        </w:rPr>
        <w:t xml:space="preserve">צִנָּה דָא שְׁכִינְתָּא תַּתָּאָה, </w:t>
      </w:r>
      <w:r>
        <w:rPr>
          <w:rStyle w:val="a7"/>
          <w:rFonts w:hAnsi="Arial"/>
          <w:rtl/>
          <w:lang w:eastAsia="en-US"/>
        </w:rPr>
        <w:footnoteReference w:id="1865"/>
      </w:r>
      <w:r>
        <w:rPr>
          <w:rtl/>
        </w:rPr>
        <w:t xml:space="preserve">וְסֹחֵרָה דָא שְׁכִינְתָּא עִלָּאָה, </w:t>
      </w:r>
      <w:r>
        <w:rPr>
          <w:rStyle w:val="a7"/>
          <w:rFonts w:hAnsi="Arial"/>
          <w:rtl/>
          <w:lang w:eastAsia="en-US"/>
        </w:rPr>
        <w:footnoteReference w:id="1866"/>
      </w:r>
      <w:r>
        <w:rPr>
          <w:rtl/>
        </w:rPr>
        <w:t>אֲמִתּוֹ דָא עַמּוּדָא דְאֶמְצָעִיתָא.</w:t>
      </w:r>
    </w:p>
    <w:p w:rsidR="00606298" w:rsidRDefault="00606298" w:rsidP="00B17EA9">
      <w:pPr>
        <w:pStyle w:val="aa"/>
        <w:rPr>
          <w:rtl/>
        </w:rPr>
      </w:pPr>
      <w:bookmarkStart w:id="125" w:name="_Toc228091294"/>
      <w:bookmarkStart w:id="126" w:name="_Toc231637933"/>
      <w:r>
        <w:rPr>
          <w:rtl/>
        </w:rPr>
        <w:t>[עד כאן מדף מא ע"ב כמו שאומר בביאור הגר"א. ג.פ.]</w:t>
      </w:r>
    </w:p>
    <w:p w:rsidR="00606298" w:rsidRDefault="00606298" w:rsidP="00B17EA9">
      <w:pPr>
        <w:pStyle w:val="aa"/>
        <w:rPr>
          <w:rtl/>
        </w:rPr>
      </w:pPr>
    </w:p>
    <w:p w:rsidR="00606298" w:rsidRDefault="00606298" w:rsidP="00B17EA9">
      <w:pPr>
        <w:pStyle w:val="aa"/>
        <w:rPr>
          <w:rtl/>
        </w:rPr>
      </w:pPr>
      <w:r>
        <w:rPr>
          <w:rtl/>
        </w:rPr>
        <w:t>[תיקוני זוהר - המשך דף כו ע''א]</w:t>
      </w:r>
    </w:p>
    <w:p w:rsidR="00606298" w:rsidRDefault="00606298" w:rsidP="0007465E">
      <w:pPr>
        <w:pStyle w:val="1"/>
        <w:rPr>
          <w:rtl/>
        </w:rPr>
      </w:pPr>
      <w:bookmarkStart w:id="127" w:name="_Toc405982964"/>
      <w:r>
        <w:rPr>
          <w:rtl/>
        </w:rPr>
        <w:t>תקונא ארביסר</w:t>
      </w:r>
      <w:bookmarkEnd w:id="125"/>
      <w:bookmarkEnd w:id="126"/>
      <w:bookmarkEnd w:id="127"/>
    </w:p>
    <w:p w:rsidR="00606298" w:rsidRDefault="00606298" w:rsidP="00B17EA9">
      <w:pPr>
        <w:pStyle w:val="NormalWeb"/>
        <w:rPr>
          <w:rtl/>
        </w:rPr>
      </w:pPr>
      <w:r>
        <w:rPr>
          <w:rStyle w:val="a7"/>
          <w:rtl/>
        </w:rPr>
        <w:footnoteReference w:id="1867"/>
      </w:r>
      <w:r>
        <w:rPr>
          <w:rtl/>
        </w:rPr>
        <w:t xml:space="preserve">בְּרֵאשִׁית, עֲלָהּ אִתְּמַר </w:t>
      </w:r>
      <w:r>
        <w:rPr>
          <w:sz w:val="20"/>
          <w:szCs w:val="23"/>
          <w:rtl/>
        </w:rPr>
        <w:t>(שמות כג יט)</w:t>
      </w:r>
      <w:r>
        <w:rPr>
          <w:rtl/>
        </w:rPr>
        <w:t xml:space="preserve"> רֵאשִׁית בִּכּוּרֵי אַדְמָתְךָ תָּבִיא בֵּית יְיָ' אלהי''ך, לֹא תְבַשֵּׁל גְּדִי בַּחֲלֵב אִמּוֹ, תָּא חֲזִי חָכְמָה עִלָּאָה </w:t>
      </w:r>
      <w:r>
        <w:rPr>
          <w:rStyle w:val="a7"/>
          <w:rtl/>
        </w:rPr>
        <w:footnoteReference w:id="1868"/>
      </w:r>
      <w:r>
        <w:rPr>
          <w:rtl/>
        </w:rPr>
        <w:t xml:space="preserve">עֲלָהּ אִתְּמַר </w:t>
      </w:r>
      <w:r>
        <w:rPr>
          <w:sz w:val="20"/>
          <w:szCs w:val="23"/>
          <w:rtl/>
        </w:rPr>
        <w:t>(שם יג כ)</w:t>
      </w:r>
      <w:r>
        <w:rPr>
          <w:rtl/>
        </w:rPr>
        <w:t xml:space="preserve"> קַדֶּשׁ לִי כָל בְּכֹר, </w:t>
      </w:r>
      <w:r>
        <w:rPr>
          <w:rStyle w:val="a7"/>
          <w:rtl/>
        </w:rPr>
        <w:footnoteReference w:id="1869"/>
      </w:r>
      <w:r>
        <w:rPr>
          <w:rtl/>
        </w:rPr>
        <w:t xml:space="preserve">דְּכָל בִּכּוּרִים עַל שְׁמָהּ אִתְקְרִיאוּ, וּשְׁכִינְתָּא מִתַּמָּן אִתְקְרִיאַת בְּכוֹרָה, חָכְמָה וַדַּאי עֲלָהּ אִתְּמַר </w:t>
      </w:r>
      <w:r>
        <w:rPr>
          <w:sz w:val="20"/>
          <w:szCs w:val="23"/>
          <w:rtl/>
        </w:rPr>
        <w:t>(יחזקאל מד ל)</w:t>
      </w:r>
      <w:r>
        <w:rPr>
          <w:rtl/>
        </w:rPr>
        <w:t xml:space="preserve"> </w:t>
      </w:r>
      <w:r>
        <w:rPr>
          <w:rStyle w:val="a7"/>
          <w:rtl/>
        </w:rPr>
        <w:footnoteReference w:id="1870"/>
      </w:r>
      <w:r>
        <w:rPr>
          <w:rtl/>
        </w:rPr>
        <w:t xml:space="preserve">רֵאשִׁית כָּל בִּכּוּרֵי כֹל, וּבְרָא בּוּכְרָא דִילָהּ </w:t>
      </w:r>
      <w:r>
        <w:rPr>
          <w:rStyle w:val="a7"/>
          <w:rtl/>
        </w:rPr>
        <w:footnoteReference w:id="1871"/>
      </w:r>
      <w:r>
        <w:rPr>
          <w:rtl/>
        </w:rPr>
        <w:t>קַדְמָאָה דְכֹלָּא דָא ו' עַמּוּדָא דְאֶמְצָעִיתָא.</w:t>
      </w:r>
    </w:p>
    <w:p w:rsidR="00606298" w:rsidRDefault="00606298" w:rsidP="00B17EA9">
      <w:pPr>
        <w:pStyle w:val="NormalWeb"/>
        <w:rPr>
          <w:rtl/>
        </w:rPr>
      </w:pPr>
      <w:r>
        <w:rPr>
          <w:rtl/>
        </w:rPr>
        <w:t xml:space="preserve">בִּכּוּרֵי אַדְמָתְךָ תְּרֵי סַמְכֵי קְשׁוֹט, </w:t>
      </w:r>
      <w:r>
        <w:rPr>
          <w:rStyle w:val="a7"/>
          <w:rtl/>
        </w:rPr>
        <w:footnoteReference w:id="1872"/>
      </w:r>
      <w:r>
        <w:rPr>
          <w:rtl/>
        </w:rPr>
        <w:t xml:space="preserve">מַאי אַדְמָתְךָ שְׁכִינְתָּא תַּתָּאָה, </w:t>
      </w:r>
      <w:r>
        <w:rPr>
          <w:rStyle w:val="a7"/>
          <w:rtl/>
        </w:rPr>
        <w:footnoteReference w:id="1873"/>
      </w:r>
      <w:r>
        <w:rPr>
          <w:rtl/>
        </w:rPr>
        <w:t xml:space="preserve">וְאִנּוּן כָּל בִּכּוּרֵי כֹל מִסִּטְרָא דְצַדִּיק דְּאִיהוּ כֹל, וּשְׁכִינְתָּא אִיהִי אַרְעָא דְבֵיהּ גָּדְלִין וְצָמְחִין </w:t>
      </w:r>
      <w:r>
        <w:rPr>
          <w:rStyle w:val="a7"/>
          <w:rtl/>
        </w:rPr>
        <w:footnoteReference w:id="1874"/>
      </w:r>
      <w:r>
        <w:rPr>
          <w:rtl/>
        </w:rPr>
        <w:t xml:space="preserve">אִלָּנִין, דַּעֲלָהּ אִתְּמַר </w:t>
      </w:r>
      <w:r>
        <w:rPr>
          <w:sz w:val="20"/>
          <w:szCs w:val="23"/>
          <w:rtl/>
        </w:rPr>
        <w:t>(ירמיהו כג ה)</w:t>
      </w:r>
      <w:r>
        <w:rPr>
          <w:rtl/>
        </w:rPr>
        <w:t xml:space="preserve"> </w:t>
      </w:r>
      <w:r>
        <w:rPr>
          <w:rStyle w:val="a7"/>
          <w:rtl/>
        </w:rPr>
        <w:footnoteReference w:id="1875"/>
      </w:r>
      <w:r>
        <w:rPr>
          <w:rtl/>
        </w:rPr>
        <w:t xml:space="preserve">צֶמַח צַדִּיק, דְּאִיהוּ עִץ פְּרִי, אִילָנָא רְבָא וּתְקִיף עַמּוּדָא דְאֶמְצָעִיתָא, </w:t>
      </w:r>
      <w:r>
        <w:rPr>
          <w:rStyle w:val="a7"/>
          <w:rtl/>
        </w:rPr>
        <w:footnoteReference w:id="1876"/>
      </w:r>
      <w:r>
        <w:rPr>
          <w:rtl/>
        </w:rPr>
        <w:t>עִשְׂבִּין וְדִשְׁאִין דְּאִינוּן תַּלְמִידֵי חֲכָמִים מִתַּמָּן צָמְחִין, בְּגַן דְּאִיהִי אוֹרַיְיתָא דִבְעַל פֶּה.</w:t>
      </w:r>
    </w:p>
    <w:p w:rsidR="00606298" w:rsidRDefault="00606298" w:rsidP="00B17EA9">
      <w:pPr>
        <w:pStyle w:val="NormalWeb"/>
        <w:rPr>
          <w:rtl/>
        </w:rPr>
      </w:pPr>
      <w:r>
        <w:rPr>
          <w:rtl/>
        </w:rPr>
        <w:t xml:space="preserve">וּמָאן אַשְׁקֵי וְרַוִי </w:t>
      </w:r>
      <w:r>
        <w:rPr>
          <w:sz w:val="20"/>
          <w:szCs w:val="23"/>
          <w:rtl/>
        </w:rPr>
        <w:t>(נ''א ורבי)</w:t>
      </w:r>
      <w:r>
        <w:rPr>
          <w:rtl/>
        </w:rPr>
        <w:t xml:space="preserve"> בָהּ אִלָּנִין וְעִשְׂבִּין וְדִשְׁאִין, </w:t>
      </w:r>
      <w:r>
        <w:rPr>
          <w:rStyle w:val="a7"/>
          <w:rtl/>
        </w:rPr>
        <w:footnoteReference w:id="1877"/>
      </w:r>
      <w:r>
        <w:rPr>
          <w:rtl/>
        </w:rPr>
        <w:t xml:space="preserve">מַעְיַן גַּנִּים, דְּאִיהִי חָכְמָה </w:t>
      </w:r>
      <w:r>
        <w:rPr>
          <w:rStyle w:val="a7"/>
          <w:rtl/>
        </w:rPr>
        <w:footnoteReference w:id="1878"/>
      </w:r>
      <w:r>
        <w:rPr>
          <w:rtl/>
        </w:rPr>
        <w:t xml:space="preserve">רֵאשִׁית כָּל בִּכּוּרֵי כֹל, </w:t>
      </w:r>
      <w:r>
        <w:rPr>
          <w:rStyle w:val="a7"/>
          <w:rtl/>
        </w:rPr>
        <w:footnoteReference w:id="1879"/>
      </w:r>
      <w:r>
        <w:rPr>
          <w:rtl/>
        </w:rPr>
        <w:t xml:space="preserve">וּמֵאַיִן נַפְקָא מַעֲיָנָא דְמַיָּא, מִבֵּית יְיָ', הֲדָא הוּא דִכְתִיב </w:t>
      </w:r>
      <w:r>
        <w:rPr>
          <w:sz w:val="20"/>
          <w:szCs w:val="23"/>
          <w:rtl/>
        </w:rPr>
        <w:t>(יואל ד יח)</w:t>
      </w:r>
      <w:r>
        <w:rPr>
          <w:rtl/>
        </w:rPr>
        <w:t xml:space="preserve"> וּמַעְיָן מִבֵּית יְיָ' יֵצֵא, </w:t>
      </w:r>
      <w:r>
        <w:rPr>
          <w:rStyle w:val="a7"/>
          <w:rtl/>
        </w:rPr>
        <w:footnoteReference w:id="1880"/>
      </w:r>
      <w:r>
        <w:rPr>
          <w:rtl/>
        </w:rPr>
        <w:t xml:space="preserve">וּבְגִין דָּא </w:t>
      </w:r>
      <w:r>
        <w:rPr>
          <w:sz w:val="20"/>
          <w:szCs w:val="23"/>
          <w:rtl/>
        </w:rPr>
        <w:t>(שמות כג יט)</w:t>
      </w:r>
      <w:r>
        <w:rPr>
          <w:rtl/>
        </w:rPr>
        <w:t xml:space="preserve"> רֵאשִׁית בִּכּוּרֵי אַדְמָתְךָ תָּבִיא בֵּית יְיָ' אלהי''ך, </w:t>
      </w:r>
      <w:r>
        <w:rPr>
          <w:rStyle w:val="a7"/>
          <w:rtl/>
        </w:rPr>
        <w:footnoteReference w:id="1881"/>
      </w:r>
      <w:r>
        <w:rPr>
          <w:rtl/>
        </w:rPr>
        <w:t xml:space="preserve">וְכֵן רֵאשִׁית דְּעָאנֵי וְאִמְּרֵי, הֲדָא הוּא דִכְתִיב </w:t>
      </w:r>
      <w:r>
        <w:rPr>
          <w:sz w:val="20"/>
          <w:szCs w:val="23"/>
          <w:rtl/>
        </w:rPr>
        <w:t>(דברים יח ד)</w:t>
      </w:r>
      <w:r>
        <w:rPr>
          <w:rtl/>
        </w:rPr>
        <w:t xml:space="preserve"> וְרֵאשִׁית גֵּז צֹאנְךָ תִּתֶּן לוֹ.</w:t>
      </w:r>
    </w:p>
    <w:p w:rsidR="00606298" w:rsidRDefault="00606298" w:rsidP="00B17EA9">
      <w:pPr>
        <w:pStyle w:val="NormalWeb"/>
        <w:rPr>
          <w:rtl/>
        </w:rPr>
      </w:pPr>
      <w:r>
        <w:rPr>
          <w:rtl/>
        </w:rPr>
        <w:t xml:space="preserve">וּסְמִיךְ לֵיהּ לְרֵאשִׁית בִּכּוּרֵי אַדְמָתְךָ וכו' לֹא תְבַשֵּׁל גְּדִי בַּחֲלֵב אִמּוֹ, מַאי הַאי לְגַבֵּי הַאי, קָם רַבִּי שִׁמְעוֹן עַל רַגְלוֹי, פָּתַח בְּקָלָא סַגִּיא וְאָמַר, אֵלִיָּהוּ אֵלִיָּהוּ נְחֵית הָכָא בִרְשׁוּתָא דְמָארָךְ, וְאַנְהִיר עִינֵהוּ דְאִלֵּין סָבִין בְּהַאי מִלָּה, </w:t>
      </w:r>
      <w:r>
        <w:rPr>
          <w:rStyle w:val="a7"/>
          <w:rtl/>
        </w:rPr>
        <w:footnoteReference w:id="1882"/>
      </w:r>
      <w:r>
        <w:rPr>
          <w:rtl/>
        </w:rPr>
        <w:t>דְּלָא יֵתוּן לְמֵיכַל בָּשָׂר בֶּחָלָב.</w:t>
      </w:r>
    </w:p>
    <w:p w:rsidR="00606298" w:rsidRDefault="00606298" w:rsidP="00B17EA9">
      <w:pPr>
        <w:pStyle w:val="NormalWeb"/>
        <w:rPr>
          <w:rtl/>
        </w:rPr>
      </w:pPr>
      <w:r>
        <w:rPr>
          <w:rtl/>
        </w:rPr>
        <w:t xml:space="preserve">אַדְהָכִי הָא אֵלִיָּהוּ קָא נָחִית וְלָא אִתְעַכַּב, אָמַר בּוֹצִינָא קַדִּישָׁא, וְהָא רָזָא דָא וַדַּאי אִיהוּ רָזָא דְלֹא תַחֲרוֹשׁ </w:t>
      </w:r>
      <w:r>
        <w:rPr>
          <w:rStyle w:val="a7"/>
          <w:rtl/>
        </w:rPr>
        <w:footnoteReference w:id="1883"/>
      </w:r>
      <w:r>
        <w:rPr>
          <w:rtl/>
        </w:rPr>
        <w:t xml:space="preserve">בְּשׁוֹר וּבַחֲמוֹר יַחְדָּיו </w:t>
      </w:r>
      <w:r>
        <w:rPr>
          <w:sz w:val="20"/>
          <w:szCs w:val="23"/>
          <w:rtl/>
        </w:rPr>
        <w:t>(דברים כב ו)</w:t>
      </w:r>
      <w:r>
        <w:rPr>
          <w:rtl/>
        </w:rPr>
        <w:t xml:space="preserve">, </w:t>
      </w:r>
      <w:r>
        <w:rPr>
          <w:rStyle w:val="a7"/>
          <w:rtl/>
        </w:rPr>
        <w:footnoteReference w:id="1884"/>
      </w:r>
      <w:r>
        <w:rPr>
          <w:rtl/>
        </w:rPr>
        <w:t xml:space="preserve">כַּד בּוּכְרָא דְאִיהוּ יִשְׂרָאֵל עַמּוּדָא דְאֶמְצָעִיתָא, לָא אַתְיָין לֵיהּ לְבֵית יְיָ', </w:t>
      </w:r>
      <w:r>
        <w:rPr>
          <w:rStyle w:val="a7"/>
          <w:rtl/>
        </w:rPr>
        <w:footnoteReference w:id="1885"/>
      </w:r>
      <w:r>
        <w:rPr>
          <w:rtl/>
        </w:rPr>
        <w:t>חָלָב אִתְעָרַב בְּבִשְׂרָא, וְגָרְמִין לְאִתְעָרְבָא שׁוֹר בַּחֲמוֹר, וְדָא אִיהוּ כִּלְאַיִם מִין דְּלַאו בְּמִינֵיהּ.</w:t>
      </w:r>
    </w:p>
    <w:p w:rsidR="00606298" w:rsidRDefault="00606298" w:rsidP="00B17EA9">
      <w:pPr>
        <w:pStyle w:val="aa"/>
        <w:rPr>
          <w:rtl/>
        </w:rPr>
      </w:pPr>
      <w:bookmarkStart w:id="128" w:name="_Toc228095617"/>
      <w:bookmarkStart w:id="129" w:name="_Toc231638055"/>
      <w:r>
        <w:rPr>
          <w:rtl/>
        </w:rPr>
        <w:t>[תיקוני זוהר - דף כו ע''ב]</w:t>
      </w:r>
      <w:bookmarkEnd w:id="128"/>
      <w:bookmarkEnd w:id="129"/>
    </w:p>
    <w:p w:rsidR="00606298" w:rsidRDefault="00606298" w:rsidP="00B17EA9">
      <w:pPr>
        <w:pStyle w:val="NormalWeb"/>
        <w:rPr>
          <w:rtl/>
        </w:rPr>
      </w:pPr>
      <w:r>
        <w:rPr>
          <w:rtl/>
        </w:rPr>
        <w:t xml:space="preserve">אָמַר רַבִּי שִׁמְעוֹן, אֵלִיָּהוּ אֵלִיָּהוּ, וְהָא </w:t>
      </w:r>
      <w:r>
        <w:rPr>
          <w:rStyle w:val="a7"/>
          <w:rtl/>
        </w:rPr>
        <w:footnoteReference w:id="1886"/>
      </w:r>
      <w:r>
        <w:rPr>
          <w:rtl/>
        </w:rPr>
        <w:t xml:space="preserve">שׁוֹר אִיהוּ מִסִּטְרָא דְּדַכְיוּ, </w:t>
      </w:r>
      <w:r>
        <w:rPr>
          <w:rStyle w:val="a7"/>
          <w:rtl/>
        </w:rPr>
        <w:footnoteReference w:id="1887"/>
      </w:r>
      <w:r>
        <w:rPr>
          <w:rtl/>
        </w:rPr>
        <w:t xml:space="preserve">וַחֲמוֹר מִסִּטְרָא דִמְסָאֲבוּ, דָא אִיהוּ כִּלְאַיִם </w:t>
      </w:r>
      <w:r>
        <w:rPr>
          <w:rStyle w:val="a7"/>
          <w:rtl/>
        </w:rPr>
        <w:footnoteReference w:id="1888"/>
      </w:r>
      <w:r>
        <w:rPr>
          <w:rtl/>
        </w:rPr>
        <w:t xml:space="preserve">טַב וּבִישׁ, אֲבָל חָלָב אִיהוּ מִסִּטְרָא דְּדַכְיוּ, וּבִשְׂרָא מִסִּטְרָא דְּדַכְיוּ, אָמַר לֵיהּ וַדַּאי הָכִי הוּא, אֲבָל הַאי רָזָא אִשְׁתְּמוֹדָע בִּקְרָא דָא, </w:t>
      </w:r>
      <w:r>
        <w:rPr>
          <w:rStyle w:val="a7"/>
          <w:rtl/>
        </w:rPr>
        <w:footnoteReference w:id="1889"/>
      </w:r>
      <w:r>
        <w:rPr>
          <w:rtl/>
        </w:rPr>
        <w:t xml:space="preserve">תּוֹצֵא הָאָרֶץ נֶפֶשׁ חַיָּה לְמִינָהּ </w:t>
      </w:r>
      <w:r>
        <w:rPr>
          <w:sz w:val="20"/>
          <w:szCs w:val="23"/>
          <w:rtl/>
        </w:rPr>
        <w:t>(בראשית א כד)</w:t>
      </w:r>
      <w:r>
        <w:rPr>
          <w:rtl/>
        </w:rPr>
        <w:t xml:space="preserve">, דְּאַף עַל גַּב דְּאִינוּן מִסִּטְרָא דְּדַכְיוּ, כֻּלְּהוּ אִינוּן </w:t>
      </w:r>
      <w:r>
        <w:rPr>
          <w:sz w:val="20"/>
          <w:szCs w:val="23"/>
          <w:rtl/>
        </w:rPr>
        <w:t xml:space="preserve">(דף כו ע''ב) </w:t>
      </w:r>
      <w:r>
        <w:rPr>
          <w:rtl/>
        </w:rPr>
        <w:t xml:space="preserve">דְּכַר וְנוּקְבָא, וְאִינוּן זוּגִין, וּמָאן דְּנָטִיל מִמַּה דְּלַאו אִיהוּ מִינֵיהּ, </w:t>
      </w:r>
      <w:r>
        <w:rPr>
          <w:rStyle w:val="a7"/>
          <w:rtl/>
        </w:rPr>
        <w:footnoteReference w:id="1890"/>
      </w:r>
      <w:r>
        <w:rPr>
          <w:rtl/>
        </w:rPr>
        <w:t xml:space="preserve">הַהוּא בַּר דְּאִתְרְכִיב מִתַּרְוַיְיהוּ, עֲלֵיהּ אִתְּמַר </w:t>
      </w:r>
      <w:r>
        <w:rPr>
          <w:sz w:val="20"/>
          <w:szCs w:val="23"/>
          <w:rtl/>
        </w:rPr>
        <w:t>(שמות כג יט)</w:t>
      </w:r>
      <w:r>
        <w:rPr>
          <w:rtl/>
        </w:rPr>
        <w:t xml:space="preserve"> לֹא תְבַשֵּׁל גְּדִי בַּחֲלֵב אִמּוֹ.</w:t>
      </w:r>
    </w:p>
    <w:p w:rsidR="00606298" w:rsidRDefault="00606298" w:rsidP="00B17EA9">
      <w:pPr>
        <w:pStyle w:val="NormalWeb"/>
        <w:rPr>
          <w:rtl/>
        </w:rPr>
      </w:pPr>
      <w:r>
        <w:rPr>
          <w:rtl/>
        </w:rPr>
        <w:t xml:space="preserve">אָמַר בּוֹצִינָא קַדִּישָׁא בְּוַדַּאי כְּעַן אִיהוּ </w:t>
      </w:r>
      <w:r>
        <w:rPr>
          <w:rStyle w:val="a7"/>
          <w:rtl/>
        </w:rPr>
        <w:footnoteReference w:id="1891"/>
      </w:r>
      <w:r>
        <w:rPr>
          <w:rtl/>
        </w:rPr>
        <w:t xml:space="preserve">מִלָּה בְּדוּכְתָּהָא, וְדָא אִיהוּ בְרִירָא דְמִלָּה, </w:t>
      </w:r>
      <w:r>
        <w:rPr>
          <w:rStyle w:val="a7"/>
          <w:rtl/>
        </w:rPr>
        <w:footnoteReference w:id="1892"/>
      </w:r>
      <w:r>
        <w:rPr>
          <w:rtl/>
        </w:rPr>
        <w:t xml:space="preserve">וְדָא אִיהוּ, מְלֵאָתְךָ וְדִמְעֲךָ לֹא תְאַחֵר </w:t>
      </w:r>
      <w:r>
        <w:rPr>
          <w:sz w:val="20"/>
          <w:szCs w:val="23"/>
          <w:rtl/>
        </w:rPr>
        <w:t>(שם כב כח)</w:t>
      </w:r>
      <w:r>
        <w:rPr>
          <w:rtl/>
        </w:rPr>
        <w:t xml:space="preserve">, כְּמָה דְאִתְּמַר שֶׁמָּא יְקַדְּמֶנּוּ אַחֵר בְּרַחֲמֵי, חוֹבָא דָא דְעָרַב בַּר נַשׁ טִפָּה בּוּכְרָא בְּזִוּוּגָא נִדָּה שִׁפְחָה גוֹיָה זוֹנָה, דָּא גָרִים דְּנָטִיל אַחֵר בַּת זוּגֵיהּ, וְאִיהוּ מִדָּה לָקֳבֵל מִדָּה, וּבְגִין דָּא </w:t>
      </w:r>
      <w:r>
        <w:rPr>
          <w:rStyle w:val="a7"/>
          <w:rtl/>
        </w:rPr>
        <w:footnoteReference w:id="1893"/>
      </w:r>
      <w:r>
        <w:rPr>
          <w:rtl/>
        </w:rPr>
        <w:t xml:space="preserve">רֵאשִׁית בִּכּוּרֵי אַדְמָתְךָ תָּבִיא בֵּית יְיָ' אלהי''ך, לֹא תְבַשֵּׁל גְּדִי בַּחֲלֵב אִמּוֹ, </w:t>
      </w:r>
      <w:r>
        <w:rPr>
          <w:rStyle w:val="a7"/>
          <w:rtl/>
        </w:rPr>
        <w:footnoteReference w:id="1894"/>
      </w:r>
      <w:r>
        <w:rPr>
          <w:rtl/>
        </w:rPr>
        <w:t xml:space="preserve">דְּהַהוּא בַּר אִיהוּ עִרְבוּבְיָא דְנָפִיק כִּלְאַיִם, מֵאִתְּתָא דְלַאו מִינֵיהּ, </w:t>
      </w:r>
      <w:r>
        <w:rPr>
          <w:rStyle w:val="a7"/>
          <w:rtl/>
        </w:rPr>
        <w:footnoteReference w:id="1895"/>
      </w:r>
      <w:r>
        <w:rPr>
          <w:rtl/>
        </w:rPr>
        <w:t xml:space="preserve">דְּאִיהִי כְּנֶגְדּוֹ, וּבְגִין דָּא זָכָה עִזֶר, בַּת זוּגֵיהּ דְּאִיהִי עִזֶר לֵיהּ </w:t>
      </w:r>
      <w:r>
        <w:rPr>
          <w:rStyle w:val="a7"/>
          <w:rtl/>
        </w:rPr>
        <w:footnoteReference w:id="1896"/>
      </w:r>
      <w:r>
        <w:rPr>
          <w:rtl/>
        </w:rPr>
        <w:t>בְּאוֹרַיְיתָא בְּפִקּוּדָא בִּדְחִילוּ וּבִרְחִימוּ, עִזֶר לוֹ בְּעָלְמָא דֵין, וּבְעָלְמָא דְאָתֵי, וְאִם לַאו, אָחֳרָא דְלַאו אִיהוּ מִינֵיהּ, אִיהִי כְּנֶגְדּוֹ, לְאוֹבָדָא לֵיהּ מִתְּרֵין עָלְמִין, וְכָל דָּא גְרִים לֵיהּ בְּגִין דְּלָא נָטִיר טִפָּה קַדְמָאָה לְבַת זוּגֵיהּ.</w:t>
      </w:r>
    </w:p>
    <w:p w:rsidR="00606298" w:rsidRDefault="00606298" w:rsidP="00B17EA9">
      <w:pPr>
        <w:pStyle w:val="NormalWeb"/>
        <w:rPr>
          <w:rtl/>
        </w:rPr>
      </w:pPr>
      <w:r>
        <w:rPr>
          <w:rStyle w:val="a7"/>
          <w:rtl/>
        </w:rPr>
        <w:footnoteReference w:id="1897"/>
      </w:r>
      <w:r>
        <w:rPr>
          <w:rtl/>
        </w:rPr>
        <w:t xml:space="preserve">וְעִם כָּל דָּא אִם חָזַר בִּתְיוּבְתָּא, עֲלֵיהּ אִתְּמַר </w:t>
      </w:r>
      <w:r>
        <w:rPr>
          <w:sz w:val="20"/>
          <w:szCs w:val="23"/>
          <w:rtl/>
        </w:rPr>
        <w:t>(ישעיהו ו י)</w:t>
      </w:r>
      <w:r>
        <w:rPr>
          <w:rtl/>
        </w:rPr>
        <w:t xml:space="preserve"> וָשָׁב וְרָפָא לוֹ, וְיָהִיב לֵיהּ בַּת זוּגֵיהּ, דְּאִתְּמַר בָּהּ </w:t>
      </w:r>
      <w:r>
        <w:rPr>
          <w:sz w:val="20"/>
          <w:szCs w:val="23"/>
          <w:rtl/>
        </w:rPr>
        <w:t>(משלי ג ח)</w:t>
      </w:r>
      <w:r>
        <w:rPr>
          <w:rtl/>
        </w:rPr>
        <w:t xml:space="preserve"> רִפְאוּת תְּהִי לְשָׁרֶךָ, וְאִיהִי דִיּוֹקְנָא דְאוֹרַיְיתָא, דְאִיהִי אַסְוָותָא וְאִיהִי חַיִּים, הֲדָא הוּא דִכְתִיב </w:t>
      </w:r>
      <w:r>
        <w:rPr>
          <w:sz w:val="20"/>
          <w:szCs w:val="23"/>
          <w:rtl/>
        </w:rPr>
        <w:t>(שם יח)</w:t>
      </w:r>
      <w:r>
        <w:rPr>
          <w:rtl/>
        </w:rPr>
        <w:t xml:space="preserve"> עִץ חַיִּים הִיא לַמַּחֲזִיקִים בָּהּ, וְאִתְּתֵיהּ אִיהִי בְּדִיּוֹקְנָהָא, הֲדָא הוּא דִכְתִיב </w:t>
      </w:r>
      <w:r>
        <w:rPr>
          <w:sz w:val="20"/>
          <w:szCs w:val="23"/>
          <w:rtl/>
        </w:rPr>
        <w:t>(קהלת ט ט)</w:t>
      </w:r>
      <w:r>
        <w:rPr>
          <w:rtl/>
        </w:rPr>
        <w:t xml:space="preserve"> רְאֵה חַיִּים עִם אִשָּׁה אֲשֶׁר אָהַבְתָּ, אוֹרַיְיתָא אִיהִי טוֹב, הֲדָא הוּא דִכְתִיב </w:t>
      </w:r>
      <w:r>
        <w:rPr>
          <w:sz w:val="20"/>
          <w:szCs w:val="23"/>
          <w:rtl/>
        </w:rPr>
        <w:t>(משלי ד כב)</w:t>
      </w:r>
      <w:r>
        <w:rPr>
          <w:rtl/>
        </w:rPr>
        <w:t xml:space="preserve"> כִּי לֶקַח טוֹב נָתַתִּי לָכֶם, וְאִתְּתֵיהּ אִיהִי בְּדִיּוֹקְנָהָא, הֲדָא הוּא דִכְתִיב </w:t>
      </w:r>
      <w:r>
        <w:rPr>
          <w:sz w:val="20"/>
          <w:szCs w:val="23"/>
          <w:rtl/>
        </w:rPr>
        <w:t>(שם יח ב)</w:t>
      </w:r>
      <w:r>
        <w:rPr>
          <w:rtl/>
        </w:rPr>
        <w:t xml:space="preserve"> מָצָא אִשָּׁה מָצָא טוֹב, סוֹף סוֹף </w:t>
      </w:r>
      <w:r>
        <w:rPr>
          <w:rStyle w:val="a7"/>
          <w:rtl/>
        </w:rPr>
        <w:footnoteReference w:id="1898"/>
      </w:r>
      <w:r>
        <w:rPr>
          <w:rtl/>
        </w:rPr>
        <w:t xml:space="preserve">עֶשֶׂר מִלִּין אִתְּמַר בְּהַאי, וְעֶשֶׂר בְּהַאי, </w:t>
      </w:r>
      <w:r>
        <w:rPr>
          <w:rStyle w:val="a7"/>
          <w:rtl/>
        </w:rPr>
        <w:footnoteReference w:id="1899"/>
      </w:r>
      <w:r>
        <w:rPr>
          <w:rtl/>
        </w:rPr>
        <w:t>וְהָא אוּקְמוּהָ חַבְרַיָּא.</w:t>
      </w:r>
    </w:p>
    <w:p w:rsidR="00606298" w:rsidRDefault="00606298">
      <w:pPr>
        <w:pStyle w:val="a8"/>
        <w:spacing w:before="0" w:after="40"/>
        <w:rPr>
          <w:rtl/>
        </w:rPr>
      </w:pPr>
      <w:bookmarkStart w:id="130" w:name="_Toc228091295"/>
      <w:bookmarkStart w:id="131" w:name="_Toc231637934"/>
    </w:p>
    <w:p w:rsidR="00606298" w:rsidRDefault="00606298" w:rsidP="0007465E">
      <w:pPr>
        <w:pStyle w:val="1"/>
        <w:rPr>
          <w:rtl/>
        </w:rPr>
      </w:pPr>
      <w:bookmarkStart w:id="132" w:name="_Toc405982965"/>
      <w:r>
        <w:rPr>
          <w:rtl/>
        </w:rPr>
        <w:t>תקונא חמיסר</w:t>
      </w:r>
      <w:bookmarkEnd w:id="130"/>
      <w:bookmarkEnd w:id="131"/>
      <w:bookmarkEnd w:id="132"/>
    </w:p>
    <w:p w:rsidR="00606298" w:rsidRDefault="00606298" w:rsidP="00B17EA9">
      <w:pPr>
        <w:pStyle w:val="NormalWeb"/>
        <w:rPr>
          <w:rtl/>
        </w:rPr>
      </w:pPr>
      <w:r>
        <w:rPr>
          <w:rtl/>
        </w:rPr>
        <w:t xml:space="preserve">בְּרֵאשִׁית דָּא יִשְׂרָאֵל, הֲדָא הוּא דִכְתִיב </w:t>
      </w:r>
      <w:r>
        <w:rPr>
          <w:sz w:val="20"/>
          <w:szCs w:val="23"/>
          <w:rtl/>
        </w:rPr>
        <w:t>(ירמיה ב ג)</w:t>
      </w:r>
      <w:r>
        <w:rPr>
          <w:rtl/>
        </w:rPr>
        <w:t xml:space="preserve"> קֹדֶשׁ יִשְׂרָאֵל לַיְיָ' רֵאשִׁית תְּבוּאָתֹה, רֵאשִׁית בְּלָא עִרְבוּבְיָא אָחֳרָא, וּבְגִין דְּאִיהוּ קֹדֶשׁ, לָא הֲוָה לֵיהּ הַרְכָּבָה מִמִּינָא אָחֳרָא, וּבְגִין דְּאִיהוּ קֹדֶשׁ, לֵית לֵיהּ הַרְכָּבָה דְצָרִיךְ בֵּיהּ נְטִירוּ לְגַבֵּי בַּת זוּגֵיהּ דְּאִיהִי ה', וּבְגִין דָּא רֵאשִׁית תְּבוּאַת ה', לֵית בֵּיהּ פְּגִימוּ, הֲדָא הוּא דִכְתִיב </w:t>
      </w:r>
      <w:r>
        <w:rPr>
          <w:sz w:val="20"/>
          <w:szCs w:val="23"/>
          <w:rtl/>
        </w:rPr>
        <w:t>(בראשית כה כז)</w:t>
      </w:r>
      <w:r>
        <w:rPr>
          <w:rtl/>
        </w:rPr>
        <w:t xml:space="preserve"> וְיַעֲקֹב </w:t>
      </w:r>
      <w:r>
        <w:rPr>
          <w:rStyle w:val="a7"/>
          <w:rtl/>
        </w:rPr>
        <w:footnoteReference w:id="1900"/>
      </w:r>
      <w:r>
        <w:rPr>
          <w:rtl/>
        </w:rPr>
        <w:t xml:space="preserve">אִישׁ תָּם, לֵית בֵּיהּ פְּסוֹלֶת, </w:t>
      </w:r>
      <w:r>
        <w:rPr>
          <w:sz w:val="20"/>
          <w:szCs w:val="23"/>
          <w:rtl/>
        </w:rPr>
        <w:t>(צריך למהוי נטיר)</w:t>
      </w:r>
      <w:r>
        <w:rPr>
          <w:rtl/>
        </w:rPr>
        <w:t xml:space="preserve"> אִיבָּא דָא לְמַלְכָּא אִתְחָזֵי, וּבְגִין דָּא </w:t>
      </w:r>
      <w:r>
        <w:rPr>
          <w:sz w:val="20"/>
          <w:szCs w:val="23"/>
          <w:rtl/>
        </w:rPr>
        <w:t>(ירמיהו ב ג)</w:t>
      </w:r>
      <w:r>
        <w:rPr>
          <w:rtl/>
        </w:rPr>
        <w:t xml:space="preserve"> כָּל אוֹכְלָיו יֶאְשָׁמוּ רָעָה תָּבֹא אֲלֵיהֶם נְאֻם יְיָ'.</w:t>
      </w:r>
    </w:p>
    <w:p w:rsidR="00606298" w:rsidRDefault="00606298" w:rsidP="00B17EA9">
      <w:pPr>
        <w:pStyle w:val="NormalWeb"/>
        <w:rPr>
          <w:rtl/>
        </w:rPr>
      </w:pPr>
      <w:r>
        <w:rPr>
          <w:rtl/>
        </w:rPr>
        <w:t xml:space="preserve">דְּדָא אִיהוּ עִץ הַחַיִּים, דְּאִיבָּא דִילֵיהּ </w:t>
      </w:r>
      <w:r>
        <w:rPr>
          <w:rStyle w:val="a7"/>
          <w:rtl/>
        </w:rPr>
        <w:footnoteReference w:id="1901"/>
      </w:r>
      <w:r>
        <w:rPr>
          <w:rtl/>
        </w:rPr>
        <w:t xml:space="preserve">סַם חַיִּים בַּת זוּגֵיהּ, נְטִירָא לֵיהּ בְּעָלְמָא דֵין וּבְעָלְמָא דְאָתֵי, עֲלָהּ אִתְּמַר </w:t>
      </w:r>
      <w:r>
        <w:rPr>
          <w:sz w:val="20"/>
          <w:szCs w:val="23"/>
          <w:rtl/>
        </w:rPr>
        <w:t>(בראשית ג כב)</w:t>
      </w:r>
      <w:r>
        <w:rPr>
          <w:rtl/>
        </w:rPr>
        <w:t xml:space="preserve"> וְלָקַח גַּם מֵעִץ הַחַיִּים וְאָכַל וָחַי לְעוֹלָם, גַּם לְרַבּוֹת בַּת זוּגֵיהּ, סַם חַיִּים דִּילֵיהּ, </w:t>
      </w:r>
      <w:r>
        <w:rPr>
          <w:rStyle w:val="a7"/>
          <w:rtl/>
        </w:rPr>
        <w:footnoteReference w:id="1902"/>
      </w:r>
      <w:r>
        <w:rPr>
          <w:rtl/>
        </w:rPr>
        <w:t xml:space="preserve">וְאִיהוּ נָטִיר לֵיהּ בְּעָלְמָא דֵין וּבְעָלְמָא דְאָתֵי, וּמָאן דְּבָעִי לְנַטְלָא בַת זוּגֵיהּ, כְּגוֹן אוּרִיָּה דְאַקְדִּים לְדָוִד, אִתְּמַר בֵּיהּ </w:t>
      </w:r>
      <w:r>
        <w:rPr>
          <w:sz w:val="20"/>
          <w:szCs w:val="23"/>
          <w:rtl/>
        </w:rPr>
        <w:t>(ירמיהו ב ג)</w:t>
      </w:r>
      <w:r>
        <w:rPr>
          <w:rtl/>
        </w:rPr>
        <w:t xml:space="preserve"> כָּל אוֹכְלָיו יֶאְשָׁמוּ רָעָה תָּבֹא אֲלֵיהֶם נְאֻם יְיָ'.</w:t>
      </w:r>
    </w:p>
    <w:p w:rsidR="00606298" w:rsidRDefault="00606298" w:rsidP="00B17EA9">
      <w:pPr>
        <w:pStyle w:val="NormalWeb"/>
        <w:rPr>
          <w:rtl/>
        </w:rPr>
      </w:pPr>
      <w:r>
        <w:rPr>
          <w:rtl/>
        </w:rPr>
        <w:t xml:space="preserve">דְּבַת זוּגֵיהּ דְּצַדִּיק אִיהוּ מַצָּה שְׁמוּרָה, לְגַבֵּי מַצָּה שְׁלֵימָה עֲשִׁירָה, וּמָאן גָּרִים דָּא לְמֶהֱוִי בַת זוּגֵיהּ מַצָּה שְׁמוּרָה לְגַבֵּהּ, בְּגִין דְּנָטַר טִפָּה דִילֵיהּ, וּמָאן דְּפָגִים טִפָּה דִילֵיהּ, אִתְקְרֵי בַת זוּגוֹ מַצָּה פְּרוּסָה </w:t>
      </w:r>
      <w:r>
        <w:rPr>
          <w:rStyle w:val="a7"/>
          <w:rtl/>
        </w:rPr>
        <w:footnoteReference w:id="1903"/>
      </w:r>
      <w:r>
        <w:rPr>
          <w:rtl/>
        </w:rPr>
        <w:t xml:space="preserve">לֶחֶם עֹנִי, וְרָזָא דְמִלָּה כָּל מָאן דִּמְזַלְזֵל בְּנַהֲמָא, אוֹ בְּפִירוּרִין דְּנַהֲמָא, דְאִינוּן </w:t>
      </w:r>
      <w:r>
        <w:rPr>
          <w:rStyle w:val="a7"/>
          <w:rtl/>
        </w:rPr>
        <w:footnoteReference w:id="1904"/>
      </w:r>
      <w:r>
        <w:rPr>
          <w:rtl/>
        </w:rPr>
        <w:t xml:space="preserve">טִפִּין בְּכַזַּיִת, עֲנִיּוּת קָא רָדִיף אַבַּתְרֵיהּ, אֶלָּא צָרִיךְ לְנַטְרָא טִפִּין דִּילֵיהּ, דְּלָא יְזָרֵיק לוֹן בַּאֲתַר דְּלָא אִצְטְרִיךְ, וּבְגִין דָּא אוּקְמוּהוּ מָארֵי מַתְנִיתִין, </w:t>
      </w:r>
      <w:r>
        <w:rPr>
          <w:rStyle w:val="a7"/>
          <w:rtl/>
        </w:rPr>
        <w:footnoteReference w:id="1905"/>
      </w:r>
      <w:r>
        <w:rPr>
          <w:rtl/>
        </w:rPr>
        <w:t>אוֹקִירוּ לִנְשַׁיְיכוּ כִּי הֵיכֵי דְתִתְעַתְרוּ, וְאוֹקִירוּ דִלְהוֹן לְנַטְרָא טִפָּה קַדְמָאָה, דְלָא יַעֲבִיד בָּהּ פְּסוֹלֶת.</w:t>
      </w:r>
    </w:p>
    <w:p w:rsidR="00606298" w:rsidRDefault="00606298" w:rsidP="00B17EA9">
      <w:pPr>
        <w:pStyle w:val="aa"/>
        <w:rPr>
          <w:rtl/>
        </w:rPr>
      </w:pPr>
      <w:bookmarkStart w:id="133" w:name="_Toc228095618"/>
      <w:bookmarkStart w:id="134" w:name="_Toc231638056"/>
      <w:r>
        <w:rPr>
          <w:rtl/>
        </w:rPr>
        <w:t>[תיקוני זוהר - דף כז ע''א]</w:t>
      </w:r>
      <w:bookmarkEnd w:id="133"/>
      <w:bookmarkEnd w:id="134"/>
    </w:p>
    <w:p w:rsidR="00606298" w:rsidRDefault="00606298" w:rsidP="00B17EA9">
      <w:pPr>
        <w:pStyle w:val="NormalWeb"/>
        <w:rPr>
          <w:rtl/>
        </w:rPr>
      </w:pPr>
      <w:r>
        <w:rPr>
          <w:rStyle w:val="a7"/>
          <w:rtl/>
        </w:rPr>
        <w:footnoteReference w:id="1906"/>
      </w:r>
      <w:r>
        <w:rPr>
          <w:rtl/>
        </w:rPr>
        <w:t xml:space="preserve">דִּפְסוֹלֶת דְּאַבְרָהָם וְיִצְחָק, גָּרִים לְאוּמָה דְעִשָׂו וְיִשְׁמָעִאל דְּאִשְׁתַּעְבְּדוּן בִּבְנֵיהוֹן בְּגָלוּתָא, וְנִסְיוֹנָא דִלְהוֹן בְּאֶשָּׁא וְסַכִּינָא, </w:t>
      </w:r>
      <w:r>
        <w:rPr>
          <w:sz w:val="20"/>
          <w:szCs w:val="23"/>
          <w:rtl/>
        </w:rPr>
        <w:t xml:space="preserve">(דף כז ע''א) </w:t>
      </w:r>
      <w:r>
        <w:rPr>
          <w:rtl/>
        </w:rPr>
        <w:t>שֵׁזִיב לוֹן מִשְּׂרֵיפָה וְהֶרֶג דִּלְהוֹן.</w:t>
      </w:r>
    </w:p>
    <w:p w:rsidR="00606298" w:rsidRDefault="00606298" w:rsidP="00B17EA9">
      <w:pPr>
        <w:pStyle w:val="NormalWeb"/>
        <w:rPr>
          <w:rtl/>
        </w:rPr>
      </w:pPr>
      <w:r>
        <w:rPr>
          <w:rStyle w:val="a7"/>
          <w:rtl/>
        </w:rPr>
        <w:footnoteReference w:id="1907"/>
      </w:r>
      <w:r>
        <w:rPr>
          <w:rtl/>
        </w:rPr>
        <w:t xml:space="preserve">יַעֲקֹב בְּגִין דְּלָא הֲוָה בֵיהּ פְּסוֹלֶת, אִתְּמַר בְּזַרְעִיהּ בְּגָלוּתָא </w:t>
      </w:r>
      <w:r>
        <w:rPr>
          <w:sz w:val="20"/>
          <w:szCs w:val="23"/>
          <w:rtl/>
        </w:rPr>
        <w:t>(דברים לג כח)</w:t>
      </w:r>
      <w:r>
        <w:rPr>
          <w:rtl/>
        </w:rPr>
        <w:t xml:space="preserve"> וַיִּשְׁכֹּן יִשְׂרָאֵל בֶּטַח בָּדָד עִין יַעֲקֹב, אִתְּמַר הָכָא בֶטַח בָּדָד, וְאִתְּמַר הָתָם בְּמַפְּקָנוּ דְגָלוּתָא </w:t>
      </w:r>
      <w:r>
        <w:rPr>
          <w:sz w:val="20"/>
          <w:szCs w:val="23"/>
          <w:rtl/>
        </w:rPr>
        <w:t>(שם לב יב)</w:t>
      </w:r>
      <w:r>
        <w:rPr>
          <w:rtl/>
        </w:rPr>
        <w:t xml:space="preserve"> יְיָ' בָּדָד יַנְחֶנּוּ וְאֵין עִמּוֹ אֵל נֵכָר, לָא אִתְעָרְבוּן בִּבְנוֹי עִרְבוּבְיָא דְגִיּוֹרִים, וּבְגִין דָּא אֵין מְקַבְּלִים גֵּרִים לִימוֹת הַמָּשִׁיחַ, דַּעֲלַיְיהוּ דְזֶרַע יַעֲקֹב אִתְּמַר </w:t>
      </w:r>
      <w:r>
        <w:rPr>
          <w:sz w:val="20"/>
          <w:szCs w:val="23"/>
          <w:rtl/>
        </w:rPr>
        <w:t>(תהלים פ ט)</w:t>
      </w:r>
      <w:r>
        <w:rPr>
          <w:rtl/>
        </w:rPr>
        <w:t xml:space="preserve"> גֶּפֶן מִמִּצְרַיִם תַּסִּיעַ, מַה גֶּפֶן לָא מְקַבְּלָא הַרְכָּבָה מִמִּין אָחֳרָא, כֵּן זַרְעִיהּ הֲווֹ נָטְרִין אוֹת בְּרִית, וְלָא מְקַבְּלִין הַרְכָּבָה מִמִּין אָחֳרָא, </w:t>
      </w:r>
      <w:r>
        <w:rPr>
          <w:rStyle w:val="a7"/>
          <w:rtl/>
        </w:rPr>
        <w:footnoteReference w:id="1908"/>
      </w:r>
      <w:r>
        <w:rPr>
          <w:rtl/>
        </w:rPr>
        <w:t xml:space="preserve">וְכָל מָאן דְּנָטִיר אוֹת בְּרִית זָכֵי לְמַלְכוּ, כְּגַוְונָא דְיוֹסֵף, וְיִשְׂרָאֵל בְּגִין דְּנָטְרִין בְּרִית זָכוּ לְמַלְכוּתָא, וְאִתְּמַר בְּהוֹן כָּל יִשְׂרָאֵל בְּנֵי מְלָכִים, וּמֹשֶׁה בְּגִין דְּנָטַר אוֹת בְּרִית, אִתְּמַר בֵּיהּ </w:t>
      </w:r>
      <w:r>
        <w:rPr>
          <w:sz w:val="20"/>
          <w:szCs w:val="23"/>
          <w:rtl/>
        </w:rPr>
        <w:t>(דברים לג ה)</w:t>
      </w:r>
      <w:r>
        <w:rPr>
          <w:rtl/>
        </w:rPr>
        <w:t xml:space="preserve"> וַיְהִי בִישׁוּרוּן מֶלֶךְ, זַכָּאָה אִיהוּ מָאן דְּנָטַר בְּרִית.</w:t>
      </w:r>
    </w:p>
    <w:p w:rsidR="00606298" w:rsidRDefault="00606298">
      <w:pPr>
        <w:pStyle w:val="a8"/>
        <w:spacing w:before="0" w:after="40"/>
        <w:rPr>
          <w:rtl/>
        </w:rPr>
      </w:pPr>
      <w:bookmarkStart w:id="135" w:name="_Toc228091296"/>
      <w:bookmarkStart w:id="136" w:name="_Toc231637935"/>
    </w:p>
    <w:p w:rsidR="00606298" w:rsidRDefault="00606298" w:rsidP="0007465E">
      <w:pPr>
        <w:pStyle w:val="1"/>
        <w:rPr>
          <w:rtl/>
        </w:rPr>
      </w:pPr>
      <w:bookmarkStart w:id="137" w:name="_Toc405982966"/>
      <w:r>
        <w:rPr>
          <w:rtl/>
        </w:rPr>
        <w:t>תקונא שיתסר</w:t>
      </w:r>
      <w:bookmarkEnd w:id="135"/>
      <w:bookmarkEnd w:id="136"/>
      <w:bookmarkEnd w:id="137"/>
    </w:p>
    <w:p w:rsidR="00606298" w:rsidRDefault="00606298" w:rsidP="00B17EA9">
      <w:pPr>
        <w:pStyle w:val="NormalWeb"/>
        <w:rPr>
          <w:rtl/>
        </w:rPr>
      </w:pPr>
      <w:r>
        <w:rPr>
          <w:rtl/>
        </w:rPr>
        <w:t xml:space="preserve">בְּרֵאשִׁית דָּא חַלָּה, הֲדָא הוּא דִכְתִיב </w:t>
      </w:r>
      <w:r>
        <w:rPr>
          <w:sz w:val="20"/>
          <w:szCs w:val="23"/>
          <w:rtl/>
        </w:rPr>
        <w:t>(במדבר טו כ)</w:t>
      </w:r>
      <w:r>
        <w:rPr>
          <w:rtl/>
        </w:rPr>
        <w:t xml:space="preserve"> רֵאשִׁית עֲרִיסוֹתֵיכֶם חַלָּה תָּרִימוּ תְרוּמָה, וְהָא אוּקְמוּהוּ </w:t>
      </w:r>
      <w:r>
        <w:rPr>
          <w:rStyle w:val="a7"/>
          <w:rtl/>
        </w:rPr>
        <w:footnoteReference w:id="1909"/>
      </w:r>
      <w:r>
        <w:rPr>
          <w:rtl/>
        </w:rPr>
        <w:t xml:space="preserve">דְאָדָם חַלָּתוֹ שֶׁל עוֹלָם הֲוָה, </w:t>
      </w:r>
      <w:r w:rsidR="009778F8" w:rsidRPr="009778F8">
        <w:rPr>
          <w:rFonts w:hint="cs"/>
          <w:rtl/>
        </w:rPr>
        <w:t>(</w:t>
      </w:r>
      <w:r w:rsidRPr="009778F8">
        <w:rPr>
          <w:rtl/>
        </w:rPr>
        <w:t xml:space="preserve">וּמְנָא לָן דְּחַלָּה אִיהוּ רֵאשִׁית, דִּקְרָא אוֹכַח הֲדָא הוּא דִכְתִיב רֵאשִׁית עֲרִיסוֹתֵיכֶם </w:t>
      </w:r>
      <w:r w:rsidRPr="009778F8">
        <w:rPr>
          <w:rStyle w:val="a7"/>
          <w:rtl/>
        </w:rPr>
        <w:footnoteReference w:id="1910"/>
      </w:r>
      <w:r w:rsidRPr="009778F8">
        <w:rPr>
          <w:rtl/>
        </w:rPr>
        <w:t>חַלָּה תָּרִימוּ תְרוּמָה לַיְיָ'</w:t>
      </w:r>
      <w:r w:rsidR="009778F8" w:rsidRPr="009778F8">
        <w:rPr>
          <w:rFonts w:hint="cs"/>
          <w:rtl/>
        </w:rPr>
        <w:t>,)</w:t>
      </w:r>
      <w:r>
        <w:rPr>
          <w:rtl/>
        </w:rPr>
        <w:t xml:space="preserve"> </w:t>
      </w:r>
      <w:r>
        <w:rPr>
          <w:rStyle w:val="a7"/>
          <w:rtl/>
        </w:rPr>
        <w:footnoteReference w:id="1911"/>
      </w:r>
      <w:r>
        <w:rPr>
          <w:rtl/>
        </w:rPr>
        <w:t xml:space="preserve">מַאי חַלָּה, </w:t>
      </w:r>
      <w:r>
        <w:rPr>
          <w:rStyle w:val="a7"/>
          <w:rtl/>
        </w:rPr>
        <w:footnoteReference w:id="1912"/>
      </w:r>
      <w:r>
        <w:rPr>
          <w:rtl/>
        </w:rPr>
        <w:t xml:space="preserve">אֶלָּא שִׁבְעָה מִינִין אִינוּן, חִטָּה וּשְׂעוֹרָה וְגֶפֶן וּתְאֵנָה וְרִמּוֹן אֶרֶץ זֵית שֶׁמֶן וּדְבָשׁ, </w:t>
      </w:r>
      <w:r>
        <w:rPr>
          <w:rStyle w:val="a7"/>
          <w:rtl/>
        </w:rPr>
        <w:footnoteReference w:id="1913"/>
      </w:r>
      <w:r>
        <w:rPr>
          <w:rtl/>
        </w:rPr>
        <w:t>דְּהוּא דְבַשׁ תְּמָרִים.</w:t>
      </w:r>
    </w:p>
    <w:p w:rsidR="00606298" w:rsidRDefault="00606298" w:rsidP="00B17EA9">
      <w:pPr>
        <w:pStyle w:val="NormalWeb"/>
        <w:rPr>
          <w:rtl/>
        </w:rPr>
      </w:pPr>
      <w:r>
        <w:rPr>
          <w:rStyle w:val="a7"/>
          <w:rtl/>
        </w:rPr>
        <w:footnoteReference w:id="1914"/>
      </w:r>
      <w:r>
        <w:rPr>
          <w:rtl/>
        </w:rPr>
        <w:t xml:space="preserve">חִטָּה אִילָנָא אִיהוּ דְאָכִיל מִנֵּיהּ אָדָם קַדְמָאָה, וְאִיהוּ לָא אַפִּיק מִתַּמָּן חַלָּה, </w:t>
      </w:r>
      <w:r>
        <w:rPr>
          <w:rStyle w:val="a7"/>
          <w:rtl/>
        </w:rPr>
        <w:footnoteReference w:id="1915"/>
      </w:r>
      <w:r>
        <w:rPr>
          <w:rtl/>
        </w:rPr>
        <w:t>וּבְגִין דָּא לָא חָל בֵּיהּ ה', וְשַׁרְיָא בֵיהּ ח' ט', וְגָרִים לֵיהּ מוֹתָא.</w:t>
      </w:r>
    </w:p>
    <w:p w:rsidR="00606298" w:rsidRDefault="00606298" w:rsidP="00B17EA9">
      <w:pPr>
        <w:pStyle w:val="NormalWeb"/>
        <w:rPr>
          <w:rtl/>
        </w:rPr>
      </w:pPr>
      <w:r>
        <w:rPr>
          <w:rtl/>
        </w:rPr>
        <w:t xml:space="preserve">וְחַלָּה אִיהִי שְׁכִינְתָּא, כְלִילָא מִשִּׁבְעָה מִינִין אִילֵין, וּבָהּ חָב אָדָם קַדְמָאָה, </w:t>
      </w:r>
      <w:r>
        <w:rPr>
          <w:rStyle w:val="a7"/>
          <w:rtl/>
        </w:rPr>
        <w:footnoteReference w:id="1916"/>
      </w:r>
      <w:r>
        <w:rPr>
          <w:rtl/>
        </w:rPr>
        <w:t xml:space="preserve">טִפָּה דָא י', עִסָּה צָרִיךְ לְאַפָּקָא מִינָהּ חַלָּה, </w:t>
      </w:r>
      <w:r>
        <w:rPr>
          <w:rStyle w:val="a7"/>
          <w:rtl/>
        </w:rPr>
        <w:footnoteReference w:id="1917"/>
      </w:r>
      <w:r>
        <w:rPr>
          <w:rtl/>
        </w:rPr>
        <w:t xml:space="preserve">וּמִיָּד חָל ה' עַל הַהִיא עִסָּה, וְיָהִיב לֵיהּ זֶרַע כְּלִיל מִתַּרְוַיְיהוּ דְאִיהוּ ו', וְרָזָא דְמִלָּה </w:t>
      </w:r>
      <w:r>
        <w:rPr>
          <w:rStyle w:val="a7"/>
          <w:rtl/>
        </w:rPr>
        <w:footnoteReference w:id="1918"/>
      </w:r>
      <w:r>
        <w:rPr>
          <w:rtl/>
        </w:rPr>
        <w:t xml:space="preserve">הֵ''א לָכֶם זֶרַע </w:t>
      </w:r>
      <w:r>
        <w:rPr>
          <w:sz w:val="20"/>
          <w:szCs w:val="23"/>
          <w:rtl/>
        </w:rPr>
        <w:t>(בראשית מז כז)</w:t>
      </w:r>
      <w:r>
        <w:rPr>
          <w:rtl/>
        </w:rPr>
        <w:t>.</w:t>
      </w:r>
    </w:p>
    <w:p w:rsidR="00606298" w:rsidRDefault="00606298" w:rsidP="00B17EA9">
      <w:pPr>
        <w:pStyle w:val="NormalWeb"/>
        <w:rPr>
          <w:rtl/>
        </w:rPr>
      </w:pPr>
      <w:r>
        <w:rPr>
          <w:rtl/>
        </w:rPr>
        <w:t xml:space="preserve">וּבְגִין דָּא חַלָּה וַדַּאי אִיהִי פִּקּוּדָא דְאִתְמַנִּי לְאִתְּתָא, </w:t>
      </w:r>
      <w:r>
        <w:rPr>
          <w:rStyle w:val="a7"/>
          <w:rtl/>
        </w:rPr>
        <w:footnoteReference w:id="1919"/>
      </w:r>
      <w:r>
        <w:rPr>
          <w:rtl/>
        </w:rPr>
        <w:t xml:space="preserve">דִּבְגִינָהּ מֵת אָדָם דְּאִיהוּ חַלָּתוֹ שֶׁל עוֹלָם, צְרִיכָה אִיהִי לְאַפְרָשָׁא חַלָּה, </w:t>
      </w:r>
      <w:r>
        <w:rPr>
          <w:rStyle w:val="a7"/>
          <w:rtl/>
        </w:rPr>
        <w:footnoteReference w:id="1920"/>
      </w:r>
      <w:r>
        <w:rPr>
          <w:rtl/>
        </w:rPr>
        <w:t>וּלְאַפָּקָא לָהּ מֵעִסָּתָהּ, דְּאִיהִי טִפָּה דִילָהּ, לְהַחֲזִירָה עַל הָאָדָם.</w:t>
      </w:r>
    </w:p>
    <w:p w:rsidR="00606298" w:rsidRDefault="00606298" w:rsidP="00B17EA9">
      <w:pPr>
        <w:pStyle w:val="NormalWeb"/>
        <w:rPr>
          <w:rtl/>
        </w:rPr>
      </w:pPr>
      <w:r>
        <w:rPr>
          <w:rtl/>
        </w:rPr>
        <w:t xml:space="preserve">אִיהִי אַטְפַת </w:t>
      </w:r>
      <w:r w:rsidR="00063D95">
        <w:rPr>
          <w:rFonts w:hint="cs"/>
          <w:rtl/>
        </w:rPr>
        <w:t xml:space="preserve">(נ"א דעכה) </w:t>
      </w:r>
      <w:r>
        <w:rPr>
          <w:rtl/>
        </w:rPr>
        <w:t xml:space="preserve">שָׁרְגָּא דִילֵיהּ, דְּאִתְּמַר בֵּיהּ </w:t>
      </w:r>
      <w:r>
        <w:rPr>
          <w:sz w:val="20"/>
          <w:szCs w:val="23"/>
          <w:rtl/>
        </w:rPr>
        <w:t>(משלי כ כז)</w:t>
      </w:r>
      <w:r>
        <w:rPr>
          <w:rtl/>
        </w:rPr>
        <w:t xml:space="preserve"> נֵר יְיָ' נִשְׁמַת אָדָם, צְרִיכָה לְאוֹקָדָא לֵיהּ בְּלֵיל שַׁבָּת, </w:t>
      </w:r>
      <w:r>
        <w:rPr>
          <w:rStyle w:val="a7"/>
          <w:rtl/>
        </w:rPr>
        <w:footnoteReference w:id="1921"/>
      </w:r>
      <w:r>
        <w:rPr>
          <w:rtl/>
        </w:rPr>
        <w:t xml:space="preserve">בְּאִתְעָרוּ דְשַׁלְהוֹבִין דְּאֶשָּׁא דִרְחִימוּ לְגַבֵּי בַעְלָהּ, וְרָזָא דְמִלָּה מַיִם רַבִּים לֹא יוּכְלוּ לְכַבּוֹת אֶת הָאַהֲבָה </w:t>
      </w:r>
      <w:r>
        <w:rPr>
          <w:sz w:val="20"/>
          <w:szCs w:val="23"/>
          <w:rtl/>
        </w:rPr>
        <w:t>(שיר א ז)</w:t>
      </w:r>
      <w:r>
        <w:rPr>
          <w:rtl/>
        </w:rPr>
        <w:t xml:space="preserve">, </w:t>
      </w:r>
      <w:r>
        <w:rPr>
          <w:rStyle w:val="a7"/>
          <w:rtl/>
        </w:rPr>
        <w:footnoteReference w:id="1922"/>
      </w:r>
      <w:r>
        <w:rPr>
          <w:rtl/>
        </w:rPr>
        <w:t xml:space="preserve">וְאִתְעָרוּ דְחַמִּימוּתָא דְלֵיל שַׁבָּת, מֵאִתְּתֵיהּ צְרִיכָה </w:t>
      </w:r>
      <w:r>
        <w:rPr>
          <w:rStyle w:val="a7"/>
          <w:rtl/>
        </w:rPr>
        <w:footnoteReference w:id="1923"/>
      </w:r>
      <w:r>
        <w:rPr>
          <w:rtl/>
        </w:rPr>
        <w:t xml:space="preserve">בִרְחִימוּ וּדְחִילוּ, וְדָא אִיהוּ אִשָּׁה כִּי תַזְרִיעַ וְיָלְדָה זָכָר </w:t>
      </w:r>
      <w:r>
        <w:rPr>
          <w:sz w:val="20"/>
          <w:szCs w:val="23"/>
          <w:rtl/>
        </w:rPr>
        <w:t>(ויקרא יב ב)</w:t>
      </w:r>
      <w:r>
        <w:rPr>
          <w:rtl/>
        </w:rPr>
        <w:t>.</w:t>
      </w:r>
    </w:p>
    <w:p w:rsidR="00606298" w:rsidRDefault="00606298" w:rsidP="00B17EA9">
      <w:pPr>
        <w:pStyle w:val="NormalWeb"/>
        <w:rPr>
          <w:rtl/>
        </w:rPr>
      </w:pPr>
      <w:r>
        <w:rPr>
          <w:rtl/>
        </w:rPr>
        <w:t xml:space="preserve">אִיהִי שְׁפִיכַת דָּמִים דְּאָדָם, אִזְדְּרִיקַת דָּמָהּ, וְעַל דָּא צְרִיכָה לְנַטְרָא לֵיהּ מִדַּם נִדָּה, וּבְגִין דָּא עַל תְּלַת מִלִּין אִלֵּין נָשִׁים זְהִירוֹת, בַּנִּדָּה וּבַחַלָּה וּבְהַדְלָקַת הַנֵּר, עַד כַּאן רָזָא דְחִטָּה, דְמִתַּמָּן חַלָּה, </w:t>
      </w:r>
      <w:r>
        <w:rPr>
          <w:rStyle w:val="a7"/>
          <w:rtl/>
        </w:rPr>
        <w:footnoteReference w:id="1924"/>
      </w:r>
      <w:r>
        <w:rPr>
          <w:rtl/>
        </w:rPr>
        <w:t>חִטָּ''ה אִיהוּ רָזָא דְעֶשְׂרִין וּתְרֵין אַתְוָון דְּאוֹרַיְיתָא.</w:t>
      </w:r>
    </w:p>
    <w:p w:rsidR="00606298" w:rsidRDefault="00606298">
      <w:pPr>
        <w:pStyle w:val="a8"/>
        <w:spacing w:before="0" w:after="40"/>
        <w:rPr>
          <w:rtl/>
        </w:rPr>
      </w:pPr>
      <w:bookmarkStart w:id="138" w:name="_Toc228091297"/>
      <w:bookmarkStart w:id="139" w:name="_Toc231637936"/>
    </w:p>
    <w:p w:rsidR="00606298" w:rsidRPr="00602EF1" w:rsidRDefault="00606298" w:rsidP="00602EF1">
      <w:pPr>
        <w:pStyle w:val="1"/>
        <w:rPr>
          <w:rStyle w:val="af9"/>
          <w:color w:val="365F91" w:themeColor="accent1" w:themeShade="BF"/>
          <w:spacing w:val="0"/>
          <w:kern w:val="0"/>
          <w:sz w:val="28"/>
          <w:szCs w:val="28"/>
          <w:rtl/>
        </w:rPr>
      </w:pPr>
      <w:bookmarkStart w:id="140" w:name="_Toc405982967"/>
      <w:bookmarkEnd w:id="138"/>
      <w:bookmarkEnd w:id="139"/>
      <w:r w:rsidRPr="00602EF1">
        <w:rPr>
          <w:rStyle w:val="af9"/>
          <w:color w:val="365F91" w:themeColor="accent1" w:themeShade="BF"/>
          <w:spacing w:val="0"/>
          <w:kern w:val="0"/>
          <w:sz w:val="28"/>
          <w:szCs w:val="28"/>
          <w:rtl/>
        </w:rPr>
        <w:t>תקונא שיבסר</w:t>
      </w:r>
      <w:bookmarkEnd w:id="140"/>
    </w:p>
    <w:p w:rsidR="00852F64" w:rsidRDefault="00852F64" w:rsidP="00B17EA9">
      <w:pPr>
        <w:pStyle w:val="aa"/>
        <w:rPr>
          <w:rtl/>
        </w:rPr>
      </w:pPr>
      <w:bookmarkStart w:id="141" w:name="_Toc228095619"/>
      <w:bookmarkStart w:id="142" w:name="_Toc231638057"/>
      <w:r>
        <w:rPr>
          <w:rtl/>
        </w:rPr>
        <w:t>[תיקוני זוהר - דף כז ע''ב]</w:t>
      </w:r>
      <w:bookmarkEnd w:id="141"/>
      <w:bookmarkEnd w:id="142"/>
    </w:p>
    <w:p w:rsidR="00606298" w:rsidRDefault="00606298" w:rsidP="00B17EA9">
      <w:pPr>
        <w:pStyle w:val="NormalWeb"/>
        <w:rPr>
          <w:rtl/>
        </w:rPr>
      </w:pPr>
      <w:r>
        <w:rPr>
          <w:rtl/>
        </w:rPr>
        <w:t xml:space="preserve">בְּרֵאשִׁית, עֲלָהּ אִתְּמַר </w:t>
      </w:r>
      <w:r>
        <w:rPr>
          <w:sz w:val="20"/>
          <w:szCs w:val="23"/>
          <w:rtl/>
        </w:rPr>
        <w:t>(עי, דברים יח ד)</w:t>
      </w:r>
      <w:r>
        <w:rPr>
          <w:rtl/>
        </w:rPr>
        <w:t xml:space="preserve"> רֵאשִׁית מַעְשַׂר דְּגָנְךָ, וְדָא מַלְכוּת דְּאִיהוּ מַעֲשֵׂר, </w:t>
      </w:r>
      <w:r>
        <w:rPr>
          <w:rStyle w:val="a7"/>
          <w:rtl/>
        </w:rPr>
        <w:footnoteReference w:id="1925"/>
      </w:r>
      <w:r>
        <w:rPr>
          <w:rtl/>
        </w:rPr>
        <w:t xml:space="preserve">וְאִיהִי עֲשִׂירִית לְעֶשֶׂר סְפִירוֹת, וּבְגִינָהּ מְעַשְּׂרִין, וּמוֹץ וְתֶבֶן דְּאִינוּן לְבוּשִׁין </w:t>
      </w:r>
      <w:r>
        <w:rPr>
          <w:sz w:val="20"/>
          <w:szCs w:val="23"/>
          <w:rtl/>
        </w:rPr>
        <w:t xml:space="preserve">(דף כז ע''ב) </w:t>
      </w:r>
      <w:r>
        <w:rPr>
          <w:rtl/>
        </w:rPr>
        <w:t xml:space="preserve">דְּחִטָּה, בְּהַאי עָלְמָא פְּטוּרִין מִמַּעֲשֵׂר, וּמָאן דְּבָעִי לְאַפָּקָא מַעֲשֵׂר מֵחִטָּה, בָעִי לְנַקְיֵיהּ מִן מוֹץ וְתֶבֶן דְּאִינוּן ח''ט, וְאִשְׁתְּאָרַת אִיהִי ה' נְקִיָּה, בְּהַהוּא זִמְנָא יְהֵא </w:t>
      </w:r>
      <w:r>
        <w:rPr>
          <w:rStyle w:val="a7"/>
          <w:rtl/>
        </w:rPr>
        <w:footnoteReference w:id="1926"/>
      </w:r>
      <w:r>
        <w:rPr>
          <w:rtl/>
        </w:rPr>
        <w:t>זָרִיק בָּהּ טִפָּה דְאִיהִי י'.</w:t>
      </w:r>
    </w:p>
    <w:p w:rsidR="00606298" w:rsidRDefault="00606298" w:rsidP="00B17EA9">
      <w:pPr>
        <w:pStyle w:val="NormalWeb"/>
        <w:rPr>
          <w:rtl/>
        </w:rPr>
      </w:pPr>
      <w:r>
        <w:rPr>
          <w:rtl/>
        </w:rPr>
        <w:t xml:space="preserve">וּכְגַוְונָא דָא בְּזִווּגָא דְבַר נַשׁ, צָרִיךְ לְנַקָּאָה טִפָּה מֵחֵטְ''א דְּאִיהוּ יֵצֶר הָרָע, לְמֶהֱוִי זַרְעָא נְקִיָּה בְּה', הֲדָא הוּא דִכְתִיב </w:t>
      </w:r>
      <w:r>
        <w:rPr>
          <w:sz w:val="20"/>
          <w:szCs w:val="23"/>
          <w:rtl/>
        </w:rPr>
        <w:t>(בראשית מז כז)</w:t>
      </w:r>
      <w:r>
        <w:rPr>
          <w:rtl/>
        </w:rPr>
        <w:t xml:space="preserve"> הֵ''א לָכֶם זֶרַע.</w:t>
      </w:r>
    </w:p>
    <w:p w:rsidR="00606298" w:rsidRDefault="00606298" w:rsidP="00B17EA9">
      <w:pPr>
        <w:pStyle w:val="NormalWeb"/>
        <w:rPr>
          <w:rtl/>
        </w:rPr>
      </w:pPr>
      <w:r>
        <w:rPr>
          <w:rStyle w:val="a7"/>
          <w:rtl/>
        </w:rPr>
        <w:footnoteReference w:id="1927"/>
      </w:r>
      <w:r>
        <w:rPr>
          <w:rtl/>
        </w:rPr>
        <w:t xml:space="preserve">אֲבָל בְּעָלְמָא דְאָתֵי חִטָּה אִיהִי נְקִיָּה, </w:t>
      </w:r>
      <w:r>
        <w:rPr>
          <w:rStyle w:val="a7"/>
          <w:rtl/>
        </w:rPr>
        <w:footnoteReference w:id="1928"/>
      </w:r>
      <w:r>
        <w:rPr>
          <w:rtl/>
        </w:rPr>
        <w:t xml:space="preserve">אִיהִי וּלְבוּשָׁה, </w:t>
      </w:r>
      <w:r>
        <w:rPr>
          <w:rStyle w:val="a7"/>
          <w:rtl/>
        </w:rPr>
        <w:footnoteReference w:id="1929"/>
      </w:r>
      <w:r>
        <w:rPr>
          <w:rtl/>
        </w:rPr>
        <w:t xml:space="preserve">וְאִיהִי עֶשְׂרִין וּתְרֵין אַתְוָון דְּאוֹרַיְיתָא, וּבְגִין דָּא בְּהַמּוֹצִיא, בַּעַל הַבַּיִת צָרִיךְ </w:t>
      </w:r>
      <w:r>
        <w:rPr>
          <w:rStyle w:val="a7"/>
          <w:rtl/>
        </w:rPr>
        <w:footnoteReference w:id="1930"/>
      </w:r>
      <w:r>
        <w:rPr>
          <w:rtl/>
        </w:rPr>
        <w:t xml:space="preserve">לְדַקְדֵּק בְּה', לְמֶהֱוִי אִיהִי נְקִיָּה בְלָא פְסוֹלֶת, וּתְרֵין עִשּׂוּרִין אִינוּן, דְּאָמַר קְרָא </w:t>
      </w:r>
      <w:r>
        <w:rPr>
          <w:sz w:val="20"/>
          <w:szCs w:val="23"/>
          <w:rtl/>
        </w:rPr>
        <w:t>(דברים יד כב)</w:t>
      </w:r>
      <w:r>
        <w:rPr>
          <w:rtl/>
        </w:rPr>
        <w:t xml:space="preserve"> עַשֵּׂר תְּעַשֵּׂר, אַמַּאי אֶלָּא בְגִין לְקַשְׁרָא לָהּ בִּתְרֵין דְּרוֹעִין, דְּאִינוּן כֹּהֵן לֵוִי, דְאִינוּן מַעֲשֵׂר רִאשׁוֹן לְלֵוִי, מַעֲשֵׂר מִן הַמַּעֲשֵׂר לַכֹּהֵן, </w:t>
      </w:r>
      <w:r>
        <w:rPr>
          <w:rStyle w:val="a7"/>
          <w:rtl/>
        </w:rPr>
        <w:footnoteReference w:id="1931"/>
      </w:r>
      <w:r>
        <w:rPr>
          <w:rtl/>
        </w:rPr>
        <w:t xml:space="preserve">דְּכָל סְפִירָן סָלְקִין לְעֶשֶׂר </w:t>
      </w:r>
      <w:r>
        <w:rPr>
          <w:sz w:val="20"/>
          <w:szCs w:val="23"/>
          <w:rtl/>
        </w:rPr>
        <w:t>(בשכינתא)</w:t>
      </w:r>
      <w:r>
        <w:rPr>
          <w:rtl/>
        </w:rPr>
        <w:t xml:space="preserve">, עַד דְּסָלְקִין לְמֵאָה, וְאִיהִי אִתְעֲבִידַת תְּרוּמָה לְכֻלְּהוּ מֵאָה, וּבְגִין דָּא שִׁיעוּר תְּרוּמָה </w:t>
      </w:r>
      <w:r>
        <w:rPr>
          <w:rStyle w:val="a7"/>
          <w:rtl/>
        </w:rPr>
        <w:footnoteReference w:id="1932"/>
      </w:r>
      <w:r>
        <w:rPr>
          <w:rtl/>
        </w:rPr>
        <w:t xml:space="preserve">תְּרֵי מִמֵּאָה, לָקֳבֵל תְּרֵין לוּחִין דְּאוֹרַיְיתָא, דְּאִיהִי תוֹרָה דְאִתְיְיהִיבַת בְּאַרְבְּעִין יוֹמִין, </w:t>
      </w:r>
      <w:r>
        <w:rPr>
          <w:rStyle w:val="a7"/>
          <w:rtl/>
        </w:rPr>
        <w:footnoteReference w:id="1933"/>
      </w:r>
      <w:r>
        <w:rPr>
          <w:rtl/>
        </w:rPr>
        <w:t xml:space="preserve">וְדָא אִיהוּ תּוֹרָ''ה מ', </w:t>
      </w:r>
      <w:r>
        <w:rPr>
          <w:rStyle w:val="a7"/>
          <w:rtl/>
        </w:rPr>
        <w:footnoteReference w:id="1934"/>
      </w:r>
      <w:r>
        <w:rPr>
          <w:rtl/>
        </w:rPr>
        <w:t xml:space="preserve">וּבָהּ אִתְעֲבִידוּ סְפִירָן כֻּלְּהוּ עֶשְׂרוֹנִים, </w:t>
      </w:r>
      <w:r>
        <w:rPr>
          <w:rStyle w:val="a7"/>
          <w:rtl/>
        </w:rPr>
        <w:footnoteReference w:id="1935"/>
      </w:r>
      <w:r>
        <w:rPr>
          <w:rtl/>
        </w:rPr>
        <w:t xml:space="preserve">תְּלַת אֲבָהָן תְּלַת עֶשְׂרוֹנִין, </w:t>
      </w:r>
      <w:r>
        <w:rPr>
          <w:rStyle w:val="a7"/>
          <w:rtl/>
        </w:rPr>
        <w:footnoteReference w:id="1936"/>
      </w:r>
      <w:r>
        <w:rPr>
          <w:rtl/>
        </w:rPr>
        <w:t>תְּרֵי נְבִיאֵי קְשׁוֹט אִינוּן עִשָּׂרוֹן עִשָּׂרוֹן.</w:t>
      </w:r>
    </w:p>
    <w:p w:rsidR="00606298" w:rsidRDefault="00606298">
      <w:pPr>
        <w:pStyle w:val="a8"/>
        <w:spacing w:before="0" w:after="40"/>
        <w:rPr>
          <w:rtl/>
        </w:rPr>
      </w:pPr>
      <w:bookmarkStart w:id="143" w:name="_Toc228091298"/>
      <w:bookmarkStart w:id="144" w:name="_Toc231637937"/>
    </w:p>
    <w:p w:rsidR="00606298" w:rsidRDefault="00606298" w:rsidP="0007465E">
      <w:pPr>
        <w:pStyle w:val="1"/>
        <w:rPr>
          <w:rtl/>
        </w:rPr>
      </w:pPr>
      <w:bookmarkStart w:id="145" w:name="_Toc405982968"/>
      <w:r>
        <w:rPr>
          <w:rtl/>
        </w:rPr>
        <w:t>תקונא תמני סרי</w:t>
      </w:r>
      <w:bookmarkEnd w:id="143"/>
      <w:bookmarkEnd w:id="144"/>
      <w:bookmarkEnd w:id="145"/>
    </w:p>
    <w:p w:rsidR="00606298" w:rsidRDefault="00606298" w:rsidP="00B17EA9">
      <w:pPr>
        <w:pStyle w:val="NormalWeb"/>
        <w:rPr>
          <w:rtl/>
        </w:rPr>
      </w:pPr>
      <w:r>
        <w:rPr>
          <w:rtl/>
        </w:rPr>
        <w:t xml:space="preserve">בְּרֵאשִׁית בָּרָ''א שִׁי''ת, </w:t>
      </w:r>
      <w:r>
        <w:rPr>
          <w:rStyle w:val="a7"/>
          <w:rtl/>
        </w:rPr>
        <w:footnoteReference w:id="1937"/>
      </w:r>
      <w:r>
        <w:rPr>
          <w:rtl/>
        </w:rPr>
        <w:t xml:space="preserve">אִינוּן שִׁית דַּרְגִּין דִּנְבוּאָה, דְאִתְּמַר בְּהוֹן </w:t>
      </w:r>
      <w:r>
        <w:rPr>
          <w:sz w:val="20"/>
          <w:szCs w:val="23"/>
          <w:rtl/>
        </w:rPr>
        <w:t>(שיר ה טו)</w:t>
      </w:r>
      <w:r>
        <w:rPr>
          <w:rtl/>
        </w:rPr>
        <w:t xml:space="preserve"> שׁוֹקָיו עַמּוּדֵי שֵׁשׁ, </w:t>
      </w:r>
      <w:r>
        <w:rPr>
          <w:rStyle w:val="a7"/>
          <w:rtl/>
        </w:rPr>
        <w:footnoteReference w:id="1938"/>
      </w:r>
      <w:r>
        <w:rPr>
          <w:rtl/>
        </w:rPr>
        <w:t xml:space="preserve">וּכְמָה דְאִינוּן שִׁית לְתַתָּא, הָכִי אִינוּן שִׁית לְעִילָא, וְאִינוּן שִׁית סָלְקִין לְשִׁתִּין, </w:t>
      </w:r>
      <w:r>
        <w:rPr>
          <w:rStyle w:val="a7"/>
          <w:rtl/>
        </w:rPr>
        <w:footnoteReference w:id="1939"/>
      </w:r>
      <w:r>
        <w:rPr>
          <w:rtl/>
        </w:rPr>
        <w:t xml:space="preserve">בְּאָן אֲתַר, בִּיסוֹ''ד חַ''י עָלְמִין, </w:t>
      </w:r>
      <w:r>
        <w:rPr>
          <w:rStyle w:val="a7"/>
          <w:rtl/>
        </w:rPr>
        <w:footnoteReference w:id="1940"/>
      </w:r>
      <w:r>
        <w:rPr>
          <w:rtl/>
        </w:rPr>
        <w:t xml:space="preserve">אִשְׁתָּאַר י''ד מִן יְסוֹ''ד, דָּא שְׁכִינְתָּא תַּתָּאָה, כְּלִילָא מֵאַרְבַּע סְרֵי פִּרְקִין דְיָד, </w:t>
      </w:r>
      <w:r>
        <w:rPr>
          <w:rStyle w:val="a7"/>
          <w:rtl/>
        </w:rPr>
        <w:footnoteReference w:id="1941"/>
      </w:r>
      <w:r>
        <w:rPr>
          <w:rtl/>
        </w:rPr>
        <w:t xml:space="preserve">דְּאִינוּן בְּחָמֵשׁ אֶצְבְּעָאן, וְאִינוּן יהו''ה יו''ד ה''א וא''ו ה''א, אַרְבַּע סְרֵי </w:t>
      </w:r>
      <w:r>
        <w:rPr>
          <w:rStyle w:val="a7"/>
          <w:rtl/>
        </w:rPr>
        <w:footnoteReference w:id="1942"/>
      </w:r>
      <w:r>
        <w:rPr>
          <w:rtl/>
        </w:rPr>
        <w:t xml:space="preserve">אַתְוָון דְּקוּדְשָׁא בְּרִיךְ הוּא, דִכְלִילָן בָּהּ, וְדָא אִיהוּ </w:t>
      </w:r>
      <w:r>
        <w:rPr>
          <w:rStyle w:val="a7"/>
          <w:rtl/>
        </w:rPr>
        <w:footnoteReference w:id="1943"/>
      </w:r>
      <w:r>
        <w:rPr>
          <w:rtl/>
        </w:rPr>
        <w:t xml:space="preserve">וּבְיַד הַנְּבִיאִים אֲדַמֶּה </w:t>
      </w:r>
      <w:r>
        <w:rPr>
          <w:sz w:val="20"/>
          <w:szCs w:val="23"/>
          <w:rtl/>
        </w:rPr>
        <w:t>(הושע יב יא)</w:t>
      </w:r>
      <w:r>
        <w:rPr>
          <w:rtl/>
        </w:rPr>
        <w:t>.</w:t>
      </w:r>
    </w:p>
    <w:p w:rsidR="00606298" w:rsidRDefault="00606298" w:rsidP="00B17EA9">
      <w:pPr>
        <w:pStyle w:val="NormalWeb"/>
        <w:rPr>
          <w:rtl/>
        </w:rPr>
      </w:pPr>
      <w:r>
        <w:rPr>
          <w:rStyle w:val="a7"/>
          <w:rtl/>
        </w:rPr>
        <w:footnoteReference w:id="1944"/>
      </w:r>
      <w:r>
        <w:rPr>
          <w:rtl/>
        </w:rPr>
        <w:t xml:space="preserve">ס''ו מִן יְסוֹד, אִנּוּן לָקֳבֵל שִׁית דַּרְגִּין דְּכָרְסַיָּא, דְאִתְּמַר בֵּיהּ </w:t>
      </w:r>
      <w:r>
        <w:rPr>
          <w:sz w:val="20"/>
          <w:szCs w:val="23"/>
          <w:rtl/>
        </w:rPr>
        <w:t>(מלכים א י יט)</w:t>
      </w:r>
      <w:r>
        <w:rPr>
          <w:rtl/>
        </w:rPr>
        <w:t xml:space="preserve"> שֵׁשׁ מַעֲלוֹת לַכִּסֵּא, וְאָת ו' סְלִיק בְּי' דְּאִיהִי עֲטָרָה דִבְרִית לְשִׁתִּין, שִׁית זִמְנִין עֶשֶׂר, וְסָלְקִין לְשִׁתִּין לָקֳבֵל שִׁתִּין גַּלְגַּלִּין דְּסַחֲרִין לְכָרְסַיָּא, </w:t>
      </w:r>
      <w:r>
        <w:rPr>
          <w:rStyle w:val="a7"/>
          <w:rtl/>
        </w:rPr>
        <w:footnoteReference w:id="1945"/>
      </w:r>
      <w:r>
        <w:rPr>
          <w:rtl/>
        </w:rPr>
        <w:t>וְכָרְסַיָּא תַמָּן שְׁכִינְתָּא.</w:t>
      </w:r>
    </w:p>
    <w:p w:rsidR="00606298" w:rsidRDefault="00606298" w:rsidP="00B17EA9">
      <w:pPr>
        <w:pStyle w:val="NormalWeb"/>
        <w:rPr>
          <w:rtl/>
        </w:rPr>
      </w:pPr>
      <w:r>
        <w:rPr>
          <w:rStyle w:val="a7"/>
          <w:rtl/>
        </w:rPr>
        <w:footnoteReference w:id="1946"/>
      </w:r>
      <w:r>
        <w:rPr>
          <w:rtl/>
        </w:rPr>
        <w:t xml:space="preserve">דְאִיהִי דִמְיוֹן וּמַרְאֶה דְכֹלָּא, דִּמְיוֹן הָא דְאִתְּמַר וּבְיַד הַנְּבִיאִים אֲדַמֶּה, וַעֲלָהּ אִתְּמַר </w:t>
      </w:r>
      <w:r>
        <w:rPr>
          <w:sz w:val="20"/>
          <w:szCs w:val="23"/>
          <w:rtl/>
        </w:rPr>
        <w:t>(במדבר יב ח)</w:t>
      </w:r>
      <w:r>
        <w:rPr>
          <w:rtl/>
        </w:rPr>
        <w:t xml:space="preserve"> </w:t>
      </w:r>
      <w:r>
        <w:rPr>
          <w:rStyle w:val="a7"/>
          <w:rtl/>
        </w:rPr>
        <w:footnoteReference w:id="1947"/>
      </w:r>
      <w:r>
        <w:rPr>
          <w:rtl/>
        </w:rPr>
        <w:t xml:space="preserve">וּתְמוּנַת יְיָ' יַבִּיט, </w:t>
      </w:r>
      <w:r>
        <w:rPr>
          <w:rStyle w:val="a7"/>
          <w:rtl/>
        </w:rPr>
        <w:footnoteReference w:id="1948"/>
      </w:r>
      <w:r>
        <w:rPr>
          <w:rtl/>
        </w:rPr>
        <w:t xml:space="preserve">עַל שֵׁם </w:t>
      </w:r>
      <w:r>
        <w:rPr>
          <w:rStyle w:val="a7"/>
          <w:rtl/>
        </w:rPr>
        <w:footnoteReference w:id="1949"/>
      </w:r>
      <w:r>
        <w:rPr>
          <w:rtl/>
        </w:rPr>
        <w:t xml:space="preserve">דְּכָל פַּרְצוּפִין דִּנְבִיאֵי בָּהּ אִינוּן רְשִׁימִין, אִתְקְרֵי דִמְיוֹן, וְעַל שֵׁם </w:t>
      </w:r>
      <w:r>
        <w:rPr>
          <w:rStyle w:val="a7"/>
          <w:rtl/>
        </w:rPr>
        <w:footnoteReference w:id="1950"/>
      </w:r>
      <w:r>
        <w:rPr>
          <w:rtl/>
        </w:rPr>
        <w:t xml:space="preserve">דְּכָל נְהוֹרִין דִּלְעִילָא מִינָהּ, בָּהּ אִתְחַזְיָין אִתְקְרִיאַת מַרְאֶה, הֲדָא הוּא דִכְתִיב </w:t>
      </w:r>
      <w:r>
        <w:rPr>
          <w:sz w:val="20"/>
          <w:szCs w:val="23"/>
          <w:rtl/>
        </w:rPr>
        <w:t>(שם ו)</w:t>
      </w:r>
      <w:r>
        <w:rPr>
          <w:rtl/>
        </w:rPr>
        <w:t xml:space="preserve"> יְיָ' בַּמַּרְאָה אֵלָיו אֶתְוַדָּע, </w:t>
      </w:r>
      <w:r>
        <w:rPr>
          <w:rStyle w:val="a7"/>
          <w:rtl/>
        </w:rPr>
        <w:footnoteReference w:id="1951"/>
      </w:r>
      <w:r>
        <w:rPr>
          <w:rtl/>
        </w:rPr>
        <w:t xml:space="preserve">בִּסְתִימוּ דְעַיְינִין, </w:t>
      </w:r>
      <w:r>
        <w:rPr>
          <w:rStyle w:val="a7"/>
          <w:rtl/>
        </w:rPr>
        <w:footnoteReference w:id="1952"/>
      </w:r>
      <w:r>
        <w:rPr>
          <w:rtl/>
        </w:rPr>
        <w:t xml:space="preserve">אִתְקְרִיאַת מַרְאֶה בַחֲלוֹם, </w:t>
      </w:r>
      <w:r>
        <w:rPr>
          <w:rStyle w:val="a7"/>
          <w:rtl/>
        </w:rPr>
        <w:footnoteReference w:id="1953"/>
      </w:r>
      <w:r>
        <w:rPr>
          <w:rtl/>
        </w:rPr>
        <w:t xml:space="preserve">וְרָזָא דְמִלָּה אֲנִי יְשֵׁנָה וְלִבִּי עִר </w:t>
      </w:r>
      <w:r>
        <w:rPr>
          <w:sz w:val="20"/>
          <w:szCs w:val="23"/>
          <w:rtl/>
        </w:rPr>
        <w:t>(שיר ה ב)</w:t>
      </w:r>
      <w:r>
        <w:rPr>
          <w:rtl/>
        </w:rPr>
        <w:t xml:space="preserve">, וּבִפְתִיחוּ דְעַיְינִין אִיהוּ מַרְאֶה בְּהָקִיץ, וּתְרֵין מְמַנָּן תַּמָּן, </w:t>
      </w:r>
      <w:r>
        <w:rPr>
          <w:rStyle w:val="a7"/>
          <w:rtl/>
        </w:rPr>
        <w:footnoteReference w:id="1954"/>
      </w:r>
      <w:r>
        <w:rPr>
          <w:rtl/>
        </w:rPr>
        <w:t xml:space="preserve">חַד סגרו''ן, וְחַד פתחו''ן, </w:t>
      </w:r>
      <w:r>
        <w:rPr>
          <w:rStyle w:val="a7"/>
          <w:rtl/>
        </w:rPr>
        <w:footnoteReference w:id="1955"/>
      </w:r>
      <w:r>
        <w:rPr>
          <w:rtl/>
        </w:rPr>
        <w:t>וּמטטרו''ן דְּאִתְקְרֵי בְּשֵׁם תַּרְוַיְיהוּ, מְמַנָּא עַל תְּרֵין מַפְתְּחִין אִלֵּין.</w:t>
      </w:r>
    </w:p>
    <w:p w:rsidR="00606298" w:rsidRDefault="00606298" w:rsidP="00B17EA9">
      <w:pPr>
        <w:pStyle w:val="NormalWeb"/>
        <w:rPr>
          <w:rtl/>
        </w:rPr>
      </w:pPr>
      <w:r>
        <w:rPr>
          <w:rtl/>
        </w:rPr>
        <w:t xml:space="preserve">מִסִּטְרָא דְעַמּוּדָא דְאֶמְצָעִיתָא אִיהִי שְׁכִינְתָּא מַרְאֶה בְּהָקִיץ, וּמֹשֶׁה בְּסִטְרֵיהּ, דִּכְתִיב בֵּיהּ </w:t>
      </w:r>
      <w:r>
        <w:rPr>
          <w:sz w:val="20"/>
          <w:szCs w:val="23"/>
          <w:rtl/>
        </w:rPr>
        <w:t>(במדבר יב ח)</w:t>
      </w:r>
      <w:r>
        <w:rPr>
          <w:rtl/>
        </w:rPr>
        <w:t xml:space="preserve"> </w:t>
      </w:r>
      <w:r>
        <w:rPr>
          <w:rStyle w:val="a7"/>
          <w:rtl/>
        </w:rPr>
        <w:footnoteReference w:id="1956"/>
      </w:r>
      <w:r>
        <w:rPr>
          <w:rtl/>
        </w:rPr>
        <w:t>פֶּה אֶל פֶּה אֲדַבֶּר בּוֹ וּמַרְאֶה וְלֹא בְחִידוֹת, וּתְמוּנַת יְיָ' יַבִּיט.</w:t>
      </w:r>
    </w:p>
    <w:p w:rsidR="00606298" w:rsidRDefault="00606298" w:rsidP="00B17EA9">
      <w:pPr>
        <w:pStyle w:val="aa"/>
        <w:rPr>
          <w:rtl/>
        </w:rPr>
      </w:pPr>
      <w:bookmarkStart w:id="146" w:name="_Toc228095620"/>
      <w:bookmarkStart w:id="147" w:name="_Toc231638058"/>
      <w:r>
        <w:rPr>
          <w:rtl/>
        </w:rPr>
        <w:t>[תיקוני זוהר - דף כח ע''א]</w:t>
      </w:r>
      <w:bookmarkEnd w:id="146"/>
      <w:bookmarkEnd w:id="147"/>
    </w:p>
    <w:p w:rsidR="00606298" w:rsidRDefault="00606298" w:rsidP="00B17EA9">
      <w:pPr>
        <w:pStyle w:val="NormalWeb"/>
        <w:rPr>
          <w:rtl/>
        </w:rPr>
      </w:pPr>
      <w:r>
        <w:rPr>
          <w:rtl/>
        </w:rPr>
        <w:t xml:space="preserve">מִסִּטְרָא דְצַדִּיק, דְּאִיהוּ אוֹר הַגָּנוּז </w:t>
      </w:r>
      <w:r>
        <w:rPr>
          <w:rStyle w:val="a7"/>
          <w:rtl/>
        </w:rPr>
        <w:footnoteReference w:id="1957"/>
      </w:r>
      <w:r>
        <w:rPr>
          <w:rtl/>
        </w:rPr>
        <w:t xml:space="preserve">לַצַּדִּיקִים לְעָלְמָא דְאָתֵי </w:t>
      </w:r>
      <w:r>
        <w:rPr>
          <w:sz w:val="20"/>
          <w:szCs w:val="23"/>
          <w:rtl/>
        </w:rPr>
        <w:t>(נ''א לעתיד לבא)</w:t>
      </w:r>
      <w:r>
        <w:rPr>
          <w:rtl/>
        </w:rPr>
        <w:t xml:space="preserve">, אִתְקְרִיאַת </w:t>
      </w:r>
      <w:r>
        <w:rPr>
          <w:rStyle w:val="a7"/>
          <w:rtl/>
        </w:rPr>
        <w:footnoteReference w:id="1958"/>
      </w:r>
      <w:r>
        <w:rPr>
          <w:rtl/>
        </w:rPr>
        <w:t xml:space="preserve">מַרְאֶה בַחֲלוֹם, </w:t>
      </w:r>
      <w:r>
        <w:rPr>
          <w:rStyle w:val="a7"/>
          <w:rtl/>
        </w:rPr>
        <w:footnoteReference w:id="1959"/>
      </w:r>
      <w:r>
        <w:rPr>
          <w:rtl/>
        </w:rPr>
        <w:t xml:space="preserve">וְהוּא אִתְחַזְיָא בָּהּ מִתְּרֵין סִטְרִין, מִסִּטְרָא דְגוּפָא אִיהוּ יהו''ה, עַמּוּדָא דְאֶמְצָעִיתָא, וְאִיהוּ רָכִיב עַל אַרְבַּע חֵיוָון דְּאִינוּן פְּנֵי אָדָם פְּנֵי אַרְיֵה פְּנֵי שׁוֹר פְּנֵי נֶשֶׁר, יו''ד ה''א וא''ו ה''א אִתְקְרֵי מִלְּגָאו דְּגוּפָא, </w:t>
      </w:r>
      <w:r>
        <w:rPr>
          <w:sz w:val="20"/>
          <w:szCs w:val="23"/>
          <w:rtl/>
        </w:rPr>
        <w:t xml:space="preserve">(דף כח ע''א) </w:t>
      </w:r>
      <w:r>
        <w:rPr>
          <w:rtl/>
        </w:rPr>
        <w:t>וְאִיהוּ אָדָם לָשֶׁבֶת עַל הַכִּסֵּא.</w:t>
      </w:r>
    </w:p>
    <w:p w:rsidR="00606298" w:rsidRDefault="00606298" w:rsidP="00B17EA9">
      <w:pPr>
        <w:pStyle w:val="NormalWeb"/>
        <w:rPr>
          <w:rtl/>
        </w:rPr>
      </w:pPr>
      <w:r>
        <w:rPr>
          <w:rtl/>
        </w:rPr>
        <w:t xml:space="preserve">לְמָאן דְּאִיהוּ אָדָם אִתְחַזְיָא לֵיהּ בִּדְמוּת אָדָם, לְמָאן דְּאִיהוּ כִּשְׁאָר חֵיוָון אִתְחַזְיָא לֵיהּ בִּדְמוּת חֵיוָן דְּכָרְסַיָּא, לְכָל חַד כְּפוּם חֵילֵיהּ, </w:t>
      </w:r>
      <w:r>
        <w:rPr>
          <w:rStyle w:val="a7"/>
          <w:rtl/>
        </w:rPr>
        <w:footnoteReference w:id="1960"/>
      </w:r>
      <w:r>
        <w:rPr>
          <w:rtl/>
        </w:rPr>
        <w:t xml:space="preserve">וְאַל יִתְהַלֵּל הַמִּתְהַלֵּל הַשְׂכֵּל לֵיהּ, אֶלָּא בִּשְׁכִינְתֵּיהּ, דְּלָא יְכִיל לְאַשָּׂגָא לֵיהּ שׁוּם </w:t>
      </w:r>
      <w:r>
        <w:rPr>
          <w:rStyle w:val="a7"/>
          <w:rtl/>
        </w:rPr>
        <w:footnoteReference w:id="1961"/>
      </w:r>
      <w:r>
        <w:rPr>
          <w:rtl/>
        </w:rPr>
        <w:t xml:space="preserve">נָבִיא וְחוֹזֶה אֶלָּא בִשְׁכִינְתָּא, </w:t>
      </w:r>
      <w:r>
        <w:rPr>
          <w:rStyle w:val="a7"/>
          <w:rtl/>
        </w:rPr>
        <w:footnoteReference w:id="1962"/>
      </w:r>
      <w:r>
        <w:rPr>
          <w:rtl/>
        </w:rPr>
        <w:t xml:space="preserve">וְאִית אָדָם לְעִילָא מֵאָדָם, מִסִּטְרָא דְחָכְמָה, </w:t>
      </w:r>
      <w:r>
        <w:rPr>
          <w:rStyle w:val="a7"/>
          <w:rtl/>
        </w:rPr>
        <w:footnoteReference w:id="1963"/>
      </w:r>
      <w:r>
        <w:rPr>
          <w:rtl/>
        </w:rPr>
        <w:t>כֹּ''חַ מָ''ה וַדַּאי, וְאִתְּמַר בֵּיהּ חָכָם עָדִיף מִנָּבִיא.</w:t>
      </w:r>
    </w:p>
    <w:p w:rsidR="00606298" w:rsidRDefault="00606298" w:rsidP="00B17EA9">
      <w:pPr>
        <w:pStyle w:val="NormalWeb"/>
        <w:rPr>
          <w:rtl/>
        </w:rPr>
      </w:pPr>
      <w:r>
        <w:rPr>
          <w:rtl/>
        </w:rPr>
        <w:t xml:space="preserve">קָם רַבִּי שִׁמְעוֹן וְכֻלְּהוּ חַבְרַיָּא, וְאָמַר רַעְיָא מְהֵימְנָא, רַבָּן דְּכָל נְבִיאַיָּא, קוּם </w:t>
      </w:r>
      <w:r>
        <w:rPr>
          <w:rStyle w:val="a7"/>
          <w:rtl/>
        </w:rPr>
        <w:footnoteReference w:id="1964"/>
      </w:r>
      <w:r>
        <w:rPr>
          <w:rtl/>
        </w:rPr>
        <w:t xml:space="preserve">אִתְעַר מִשִּׁנְתָךְ, דְּאַנְתְּ אִיהוּ בְּכָל נְבִיאַיָּא כְּגַוְונָא דְשִׁמְשָׁא, דְּסִיהֲרָא וְכֹכָבַיָּא מִנֵּיהּ נָהֲרִין, וְלֵית לוֹן נְהוֹרָא מִסִּטְרָא אָחֳרָא, וּבְזִמְנָא דְאַנְתְּ אִתְכְּנִישַׁת מֵעָלְמָא, אִתְּמַר בְּהוֹן </w:t>
      </w:r>
      <w:r>
        <w:rPr>
          <w:sz w:val="20"/>
          <w:szCs w:val="23"/>
          <w:rtl/>
        </w:rPr>
        <w:t>(איוב ג ט)</w:t>
      </w:r>
      <w:r>
        <w:rPr>
          <w:rtl/>
        </w:rPr>
        <w:t xml:space="preserve"> יֶחְשְׁכוּ כֹּכְבֵי נִשְׁפּוֹ, </w:t>
      </w:r>
      <w:r>
        <w:rPr>
          <w:rStyle w:val="a7"/>
          <w:rtl/>
        </w:rPr>
        <w:footnoteReference w:id="1965"/>
      </w:r>
      <w:r>
        <w:rPr>
          <w:rtl/>
        </w:rPr>
        <w:t>קוּם אַנְהִיר נְהוֹרָךְ.</w:t>
      </w:r>
    </w:p>
    <w:p w:rsidR="00606298" w:rsidRDefault="00606298" w:rsidP="00B17EA9">
      <w:pPr>
        <w:pStyle w:val="NormalWeb"/>
        <w:rPr>
          <w:rtl/>
        </w:rPr>
      </w:pPr>
      <w:r>
        <w:rPr>
          <w:rtl/>
        </w:rPr>
        <w:t xml:space="preserve">וְלָא עוֹד, אֶלָּא בְזִמְנָא דְאַנְתְּ אִתְכַּנִּישׁ מִן עָלְמָא, </w:t>
      </w:r>
      <w:r>
        <w:rPr>
          <w:rStyle w:val="a7"/>
          <w:rtl/>
        </w:rPr>
        <w:footnoteReference w:id="1966"/>
      </w:r>
      <w:r>
        <w:rPr>
          <w:rtl/>
        </w:rPr>
        <w:t xml:space="preserve">בֵּיתָא דִנְבוּאָה, דְאִתְּמַר בָּהּ </w:t>
      </w:r>
      <w:r>
        <w:rPr>
          <w:sz w:val="20"/>
          <w:szCs w:val="23"/>
          <w:rtl/>
        </w:rPr>
        <w:t>(שם ז)</w:t>
      </w:r>
      <w:r>
        <w:rPr>
          <w:rtl/>
        </w:rPr>
        <w:t xml:space="preserve"> לֹא כֵן עַבְדִּי מֹשֶׁה בְּכָל בֵּיתִי נֶאֱמָן הוּא, </w:t>
      </w:r>
      <w:r>
        <w:rPr>
          <w:rStyle w:val="a7"/>
          <w:rtl/>
        </w:rPr>
        <w:footnoteReference w:id="1967"/>
      </w:r>
      <w:r>
        <w:rPr>
          <w:rtl/>
        </w:rPr>
        <w:t xml:space="preserve">אִיהִי סְתִימָא, קוּם אַפְתַּח לָהּ, דְּאִיהִי בֵּיתָא עִלָּאָה גְנִיזָא, דְכָל גְּנִיזִין דִּלְעִילָא סְתִימִין </w:t>
      </w:r>
      <w:r>
        <w:rPr>
          <w:rStyle w:val="a7"/>
          <w:rtl/>
        </w:rPr>
        <w:footnoteReference w:id="1968"/>
      </w:r>
      <w:r>
        <w:rPr>
          <w:rtl/>
        </w:rPr>
        <w:t xml:space="preserve">דְּמַלְכָּא עִלָּאָה תַּמָּן, וְאַנְתְּ הֲוִית כְּבֶן בַּיִת, בֶּן דְּהַהוּא בֵּיתָא, </w:t>
      </w:r>
      <w:r>
        <w:rPr>
          <w:rStyle w:val="a7"/>
          <w:rtl/>
        </w:rPr>
        <w:footnoteReference w:id="1969"/>
      </w:r>
      <w:r>
        <w:rPr>
          <w:rtl/>
        </w:rPr>
        <w:t xml:space="preserve">בַּיִ''ת, ב' אִימָּא עִלָּאָה, י' חָכְמָה אַבָּא, ת' תִּפְאֶרֶת, </w:t>
      </w:r>
      <w:r>
        <w:rPr>
          <w:rStyle w:val="a7"/>
          <w:rtl/>
        </w:rPr>
        <w:footnoteReference w:id="1970"/>
      </w:r>
      <w:r>
        <w:rPr>
          <w:rtl/>
        </w:rPr>
        <w:t xml:space="preserve">בֶּן בַּיִת דִּלְעִילָא, וְאַנְתְּ הֲוִית בְּדִיּוֹקְנֵיהּ, </w:t>
      </w:r>
      <w:r>
        <w:rPr>
          <w:rStyle w:val="a7"/>
          <w:rtl/>
        </w:rPr>
        <w:footnoteReference w:id="1971"/>
      </w:r>
      <w:r>
        <w:rPr>
          <w:rtl/>
        </w:rPr>
        <w:t>דִּבְהַהוּא בַּיִת לָא הֲוָה רְשׁוּ לְנָבִיא וְחוֹזֶה לְאַעָלָא תַּמָּן אֶלָּא בִּרְשׁוּ, וְאַנְתְּ הֲוִית עָאל בְּלָא רְשׁוּ, כִּבְרָא דְמַלְכָּא דְלֵית תַּמָּן תַּרְעָא סְתִימָא לֵיהּ.</w:t>
      </w:r>
    </w:p>
    <w:p w:rsidR="00606298" w:rsidRDefault="00606298" w:rsidP="00B17EA9">
      <w:pPr>
        <w:pStyle w:val="NormalWeb"/>
        <w:rPr>
          <w:rtl/>
        </w:rPr>
      </w:pPr>
      <w:r>
        <w:rPr>
          <w:rtl/>
        </w:rPr>
        <w:t xml:space="preserve">וְלָא עוֹד, אֶלָּא דִנְבִיאַיָּא אָחֳרָנִין, לָא הֲווֹ עָאלִין לְמֶחמֵי לְמַלְכָּא, אֶלָּא בְשַׁעְתִּין יְדִיעָאן, וּבְיוֹמִין יְדִיעָאן, כְּגַוְונָא דְאַשְׁכַּחְנָא בְאַהֲרֹן דַּהֲוָה עִלָּאָה מִכֻּלְּהוּ, דְאִתְּמַר בֵּיהּ </w:t>
      </w:r>
      <w:r>
        <w:rPr>
          <w:sz w:val="20"/>
          <w:szCs w:val="23"/>
          <w:rtl/>
        </w:rPr>
        <w:t>(ויקרא טז ב)</w:t>
      </w:r>
      <w:r>
        <w:rPr>
          <w:rtl/>
        </w:rPr>
        <w:t xml:space="preserve"> וְאַל יָבֹא בְכָל עִת אֶל הַקֹּדֶשׁ, </w:t>
      </w:r>
      <w:r>
        <w:rPr>
          <w:rStyle w:val="a7"/>
          <w:rtl/>
        </w:rPr>
        <w:footnoteReference w:id="1972"/>
      </w:r>
      <w:r>
        <w:rPr>
          <w:rtl/>
        </w:rPr>
        <w:t xml:space="preserve">אֶלָּא בְּזֹאת יָבֹא אַהֲרֹן </w:t>
      </w:r>
      <w:r>
        <w:rPr>
          <w:rStyle w:val="a7"/>
          <w:rtl/>
        </w:rPr>
        <w:footnoteReference w:id="1973"/>
      </w:r>
      <w:r>
        <w:rPr>
          <w:rtl/>
        </w:rPr>
        <w:t>אֶל הַקֹּדֶשׁ, כָּל שֶׁכֵּן אָחֳרָנִין, וְאַנְתְּ בְּכָל שַׁעְתָּא וְשַׁעְתָּא, וּבְכָל יוֹמָא דְאַנְתְּ בָּעִי הֲוִית עַיִיל לְמֶחזֵי לְמַלְכָּא.</w:t>
      </w:r>
    </w:p>
    <w:p w:rsidR="00606298" w:rsidRDefault="00606298" w:rsidP="00B17EA9">
      <w:pPr>
        <w:pStyle w:val="NormalWeb"/>
        <w:rPr>
          <w:rtl/>
        </w:rPr>
      </w:pPr>
      <w:r>
        <w:rPr>
          <w:rtl/>
        </w:rPr>
        <w:t xml:space="preserve">וְלָא עוֹד, אֶלָּא כָל נְבִיאַיָּא, הֲווֹ חַזְיָין נְבוּאָה דִלְהוֹן בְּאֵבָרִין דְּמַלְכָּא, כָּל חַד וְחַד בְּאֵבֶר יְדִיעָא וְלָא יַתִּיר, </w:t>
      </w:r>
      <w:r>
        <w:rPr>
          <w:rStyle w:val="a7"/>
          <w:rtl/>
        </w:rPr>
        <w:footnoteReference w:id="1974"/>
      </w:r>
      <w:r>
        <w:rPr>
          <w:rtl/>
        </w:rPr>
        <w:t xml:space="preserve">מִנְּהוֹן בְּרֵישָׁא דְמַלְכָּא, מִנְּהוֹן בְּנִימִין דְּרֵישָׁא, </w:t>
      </w:r>
      <w:r>
        <w:rPr>
          <w:rStyle w:val="a7"/>
          <w:rtl/>
        </w:rPr>
        <w:footnoteReference w:id="1975"/>
      </w:r>
      <w:r>
        <w:rPr>
          <w:rtl/>
        </w:rPr>
        <w:t>דְאִנּוּן כֹּכְבַיָּא וּמַזָּלֵי דְלֵית לוֹן חוּשְׁבָּנָא, מִנְּהוֹן בְּעַיְינִין, מִנְּהוֹן בְּאוּדְנִין, מִנְּהוֹן בְּאַנְפִּין, מִנְּהוֹן בְּחוֹטָמָא, מִנְּהוֹן בְּפוּמָא מִנְּהוֹן בְּצַוָּאר, מִנְּהוֹן בְּיָדַיִם, מִנְּהוֹן בְּקוֹמָה דְאִיהוּ גוּפָא, מִנְּהוֹן בְּשׁוֹקִין, מִנְּהוֹן בְּאוֹת בְּרִית, מִנְּהוֹן בִּלְבוּשִׁין דְּמַלְכָּא, דְלָא הֲוָה לוֹן רְשׁוּ לְאִסְתַּכְּלָא יַתִּיר.</w:t>
      </w:r>
    </w:p>
    <w:p w:rsidR="00606298" w:rsidRDefault="00606298" w:rsidP="00B17EA9">
      <w:pPr>
        <w:pStyle w:val="NormalWeb"/>
        <w:rPr>
          <w:rtl/>
        </w:rPr>
      </w:pPr>
      <w:r>
        <w:rPr>
          <w:rtl/>
        </w:rPr>
        <w:t>אֲבָל מֹשֶׁה בְּכָל אֵבֶר, וּבְכָל אֲתַר הֲוָה מַשִּׂיג נְבוּאָה דִילֵיהּ, וּבְכָל אֵבֶר וְאֵבֶר אִיהִי הֲוָה נָחֲתָא לְגַבֵּיהּ, מַה דְּלָא הֲוָה הָכִי לִשְׁאָר כָּל נְבִיאַיָּא, דְּכָל חַד סְלִיק לְאֵבֶר דִּילֵיהּ, דְּנִשְׁמָתֵיהּ הֲוָה אֲצִילוּת מֵהַהוּא אֵבֶר, וְהַהוּא אֵבֶר הֲוָה לֵיהּ אֲבוֹי.</w:t>
      </w:r>
    </w:p>
    <w:p w:rsidR="00606298" w:rsidRDefault="00606298" w:rsidP="00B17EA9">
      <w:pPr>
        <w:pStyle w:val="NormalWeb"/>
        <w:rPr>
          <w:rtl/>
        </w:rPr>
      </w:pPr>
      <w:r>
        <w:rPr>
          <w:rtl/>
        </w:rPr>
        <w:t xml:space="preserve">וּבְרַתָּא דְמַלְכָּא אִיהִי הֵיכָלָא דְכָל אֵבֶר וְאֵבֶר, </w:t>
      </w:r>
      <w:r>
        <w:rPr>
          <w:rStyle w:val="a7"/>
          <w:rtl/>
        </w:rPr>
        <w:footnoteReference w:id="1976"/>
      </w:r>
      <w:r>
        <w:rPr>
          <w:rtl/>
        </w:rPr>
        <w:t xml:space="preserve">מִצְוָה דְכָל אֵבֶר וְאֵבֶר, אדנ''י אִיהוּ כְּחֻשְׁבַּן הֵיכָ''ל, וּבְגִין דָּא אִתְּמַר </w:t>
      </w:r>
      <w:r>
        <w:rPr>
          <w:sz w:val="20"/>
          <w:szCs w:val="23"/>
          <w:rtl/>
        </w:rPr>
        <w:t>(תהלים נא יז)</w:t>
      </w:r>
      <w:r>
        <w:rPr>
          <w:rtl/>
        </w:rPr>
        <w:t xml:space="preserve"> אדנ''י שְׂפָתַי תִּפְתָּח, יהו''ה אִיהוּ בְּכָל אֵבֶר וְאֵבֶר, אדנ''י הֵיכָל, יהו''ה בְּכָל אֵבֶר וְאֵבֶר וְאִיהִי נְבוּאָה דְכָל אֵבֶר וְאֵבֶר, מַרְאֶה דְכָל אֵבֶר וְאֵבֶר אִתְקְרֵי, וְכָל אֵבֶר וְאֵבֶר אִית לֵיהּ סְפִירָה יְדִיעָא, הֵיכָלָא דְכֻלְּהוּ שְׁכִינְתָּא תַּתָּאָה אדנ''י, וְכַמָּה מְמַנָּן נְטוּרֵי תַרְעִין אִינוּן לְהֵיכָלָא, דְלָא יַעֲלוּן תַּמָּן נְבִיאַיָּא אֶלָּא בִּרְשׁוּ.</w:t>
      </w:r>
    </w:p>
    <w:p w:rsidR="00606298" w:rsidRDefault="00606298" w:rsidP="00B17EA9">
      <w:pPr>
        <w:pStyle w:val="aa"/>
        <w:rPr>
          <w:rtl/>
        </w:rPr>
      </w:pPr>
      <w:bookmarkStart w:id="148" w:name="_Toc228095621"/>
      <w:bookmarkStart w:id="149" w:name="_Toc231638059"/>
      <w:r>
        <w:rPr>
          <w:rtl/>
        </w:rPr>
        <w:t>[תיקוני זוהר - דף כח ע''ב]</w:t>
      </w:r>
      <w:bookmarkEnd w:id="148"/>
      <w:bookmarkEnd w:id="149"/>
    </w:p>
    <w:p w:rsidR="00606298" w:rsidRDefault="00606298" w:rsidP="00B17EA9">
      <w:pPr>
        <w:pStyle w:val="NormalWeb"/>
        <w:rPr>
          <w:rtl/>
        </w:rPr>
      </w:pPr>
      <w:r>
        <w:rPr>
          <w:rtl/>
        </w:rPr>
        <w:t xml:space="preserve">קוּם רַעְיָא מְהֵימְנָא, </w:t>
      </w:r>
      <w:r>
        <w:rPr>
          <w:rStyle w:val="a7"/>
          <w:rtl/>
        </w:rPr>
        <w:footnoteReference w:id="1977"/>
      </w:r>
      <w:r>
        <w:rPr>
          <w:rtl/>
        </w:rPr>
        <w:t xml:space="preserve">קוּם אַפְתַּח הֵיכָלָא, דְּהָא כַּמָּה מָארֵי דִנְבוּאָה אִינוּן דָּפְקִין לְתַרְעִין דְּהֵיכָלָא, וְאָמְרִין אדנ''י שְׂפָתַי תִּפְתָּח, וְאִיהִי סְתִימָא לְגַבַּיְיהוּ, עַד דְּאַנְתְּ תֵּיתֵי תַּמָּן אִיהִי לָא אִתְפַּתְּחַת, </w:t>
      </w:r>
      <w:r>
        <w:rPr>
          <w:rStyle w:val="a7"/>
          <w:rtl/>
        </w:rPr>
        <w:footnoteReference w:id="1978"/>
      </w:r>
      <w:r>
        <w:rPr>
          <w:rtl/>
        </w:rPr>
        <w:t xml:space="preserve">לְמַלְכָּא דַהֲווֹ צְרִיכִין לֵיהּ עַבְדּוֹי וַאֲפַרְכַסּוֹי וּמְמַנָּן וְשָׁלְטָנֵי אַרְעָא לְמֶחזֵי עִמֵּיהּ, כָּל חַד כְּפוּם צָרְכוֹי, וְכָל חַד כְּפוּם שָׁלְטָנוּתֵיהּ, וְכָל חַד כְּפוּם עִסְקוֹי, מֶה עָבַד מַלְכָּא, שַׁוִּי כֹלָּא בִידָא דְמַטְרוֹנִיתָא, וְאָמַר כָּל מָאן דְּבָעִי לְמִשְׁאַל </w:t>
      </w:r>
      <w:r>
        <w:rPr>
          <w:sz w:val="20"/>
          <w:szCs w:val="23"/>
          <w:rtl/>
        </w:rPr>
        <w:t xml:space="preserve">(דף כח ע''ב) </w:t>
      </w:r>
      <w:r>
        <w:rPr>
          <w:rtl/>
        </w:rPr>
        <w:t xml:space="preserve">שְׁאֶלְתּוֹי, יֵיתֵי לְמַטְרוֹנִיתָא, דְאִיהִי בַּיִת דִּילִי, </w:t>
      </w:r>
      <w:r>
        <w:rPr>
          <w:rStyle w:val="a7"/>
          <w:rtl/>
        </w:rPr>
        <w:footnoteReference w:id="1979"/>
      </w:r>
      <w:r>
        <w:rPr>
          <w:rtl/>
        </w:rPr>
        <w:t xml:space="preserve">בַּת י', </w:t>
      </w:r>
      <w:r>
        <w:rPr>
          <w:sz w:val="20"/>
          <w:szCs w:val="23"/>
          <w:rtl/>
        </w:rPr>
        <w:t>(ס"א בֵּית י')</w:t>
      </w:r>
      <w:r>
        <w:rPr>
          <w:rtl/>
        </w:rPr>
        <w:t xml:space="preserve"> הֵיכָל דִּילִי, וְהַאי אִיהוּ </w:t>
      </w:r>
      <w:r>
        <w:rPr>
          <w:sz w:val="20"/>
          <w:szCs w:val="23"/>
          <w:rtl/>
        </w:rPr>
        <w:t>(ירמיה ט כג)</w:t>
      </w:r>
      <w:r>
        <w:rPr>
          <w:rtl/>
        </w:rPr>
        <w:t xml:space="preserve"> </w:t>
      </w:r>
      <w:r>
        <w:rPr>
          <w:rStyle w:val="a7"/>
          <w:rtl/>
        </w:rPr>
        <w:footnoteReference w:id="1980"/>
      </w:r>
      <w:r>
        <w:rPr>
          <w:rtl/>
        </w:rPr>
        <w:t>אַל יִתְהַלֵּל הַמִּתְהַלֵּל הַשְׂכֵּל וְיָדוֹעַ אוֹתִי, כִּי אִם בְּזֹאת.</w:t>
      </w:r>
    </w:p>
    <w:p w:rsidR="00606298" w:rsidRDefault="00606298" w:rsidP="00B17EA9">
      <w:pPr>
        <w:pStyle w:val="NormalWeb"/>
        <w:rPr>
          <w:rtl/>
        </w:rPr>
      </w:pPr>
      <w:r>
        <w:rPr>
          <w:rtl/>
        </w:rPr>
        <w:t xml:space="preserve">בְּהַהוּא זִמְנָא דָפְקִין כֻּלְּהוּ לְפִתְחָא, דְתַמָּן סגרו''ן דְּסָגִיר, וְתַמָּן פתחו''ן דְּפָתַח, מִיָּד יֵיתֵי רַעְיָא מְהֵימְנָא, וְיֵימָא אדנ''י שְׂפָתַי תִּפְתָּח, קָמֵ''ץ פַּתָ''ח, דָּא סָגִיר וְדָא פָתַח, </w:t>
      </w:r>
      <w:r>
        <w:rPr>
          <w:rStyle w:val="a7"/>
          <w:rtl/>
        </w:rPr>
        <w:footnoteReference w:id="1981"/>
      </w:r>
      <w:r>
        <w:rPr>
          <w:rtl/>
        </w:rPr>
        <w:t xml:space="preserve">תְּרֵין תַרְעִין (נ"א שִׂפְוָון) </w:t>
      </w:r>
      <w:r>
        <w:rPr>
          <w:sz w:val="20"/>
          <w:szCs w:val="23"/>
          <w:rtl/>
        </w:rPr>
        <w:t xml:space="preserve"> </w:t>
      </w:r>
      <w:r>
        <w:rPr>
          <w:rStyle w:val="Char"/>
          <w:rtl/>
        </w:rPr>
        <w:t>שֲׁבַא</w:t>
      </w:r>
      <w:r>
        <w:rPr>
          <w:sz w:val="20"/>
          <w:szCs w:val="23"/>
          <w:rtl/>
        </w:rPr>
        <w:t xml:space="preserve"> </w:t>
      </w:r>
      <w:r>
        <w:rPr>
          <w:rStyle w:val="Char"/>
          <w:rtl/>
        </w:rPr>
        <w:t>שַׁעֲרֵי צֶדֶק, עֲלַיְיהוּ אִתְּמַר</w:t>
      </w:r>
      <w:r>
        <w:rPr>
          <w:szCs w:val="23"/>
          <w:rtl/>
        </w:rPr>
        <w:t xml:space="preserve"> </w:t>
      </w:r>
      <w:r>
        <w:rPr>
          <w:sz w:val="20"/>
          <w:szCs w:val="23"/>
          <w:rtl/>
        </w:rPr>
        <w:t>(שם קיח יט)</w:t>
      </w:r>
      <w:r>
        <w:rPr>
          <w:rtl/>
        </w:rPr>
        <w:t xml:space="preserve"> פִּתְחוּ לִי שַׁעֲרֵי צֶדֶק.</w:t>
      </w:r>
    </w:p>
    <w:p w:rsidR="00606298" w:rsidRDefault="00606298" w:rsidP="00B17EA9">
      <w:pPr>
        <w:pStyle w:val="NormalWeb"/>
        <w:rPr>
          <w:rtl/>
        </w:rPr>
      </w:pPr>
      <w:r>
        <w:rPr>
          <w:rStyle w:val="a7"/>
          <w:rtl/>
        </w:rPr>
        <w:footnoteReference w:id="1982"/>
      </w:r>
      <w:r>
        <w:rPr>
          <w:rtl/>
        </w:rPr>
        <w:t xml:space="preserve">מִלְּגָאו אִיהִי סֶגוֹלְתָּ''א, סֶגוֹ''ל אִיהוּ בַּעְלָהּ, </w:t>
      </w:r>
      <w:r>
        <w:rPr>
          <w:rStyle w:val="a7"/>
          <w:rtl/>
        </w:rPr>
        <w:footnoteReference w:id="1983"/>
      </w:r>
      <w:r>
        <w:rPr>
          <w:rtl/>
        </w:rPr>
        <w:t xml:space="preserve">וְאִיהִי סֶגוֹלְתָּ''א, עֲטָרָה עַל רֵישֵׁיהּ, חֹלֵ''ם עֲלֵיהּ אִתְּמַר </w:t>
      </w:r>
      <w:r>
        <w:rPr>
          <w:sz w:val="20"/>
          <w:szCs w:val="23"/>
          <w:rtl/>
        </w:rPr>
        <w:t>(שם)</w:t>
      </w:r>
      <w:r>
        <w:rPr>
          <w:rtl/>
        </w:rPr>
        <w:t xml:space="preserve"> אָבוֹא בָם אוֹדֶה י''הּ, </w:t>
      </w:r>
      <w:r>
        <w:rPr>
          <w:rStyle w:val="a7"/>
          <w:rtl/>
        </w:rPr>
        <w:footnoteReference w:id="1984"/>
      </w:r>
      <w:r>
        <w:rPr>
          <w:rtl/>
        </w:rPr>
        <w:t xml:space="preserve">אָבוֹ''א אִיהוּ עֶשֶׂר, דְּאִיהִי נְקוּדַת חֹלֵ''ם, וּבֵיהּ אוֹדֶה י''ה דְאִיהוּ כֶּתֶר עַל כֻּלְּהוּ, </w:t>
      </w:r>
      <w:r>
        <w:rPr>
          <w:rStyle w:val="a7"/>
          <w:rtl/>
        </w:rPr>
        <w:footnoteReference w:id="1985"/>
      </w:r>
      <w:r>
        <w:rPr>
          <w:rtl/>
        </w:rPr>
        <w:t xml:space="preserve">זֶה </w:t>
      </w:r>
      <w:r>
        <w:rPr>
          <w:sz w:val="20"/>
          <w:szCs w:val="23"/>
          <w:rtl/>
        </w:rPr>
        <w:t>(אולי צ"ל זה השער [הגהה במקור ג.פ.])</w:t>
      </w:r>
      <w:r>
        <w:rPr>
          <w:rtl/>
        </w:rPr>
        <w:t xml:space="preserve"> דָא צֵרִי, וְאִינוּן תְּרֵי סַמְכֵי קְשׁוֹט, צַדִּיקִים יָבֹאוּ בוֹ </w:t>
      </w:r>
      <w:r>
        <w:rPr>
          <w:sz w:val="20"/>
          <w:szCs w:val="23"/>
          <w:rtl/>
        </w:rPr>
        <w:t>(תהלים קח כ)</w:t>
      </w:r>
      <w:r>
        <w:rPr>
          <w:rtl/>
        </w:rPr>
        <w:t xml:space="preserve">, דָא צַדִּיק דְּאִיהוּ אוֹת בְּרִית, </w:t>
      </w:r>
      <w:r>
        <w:rPr>
          <w:rStyle w:val="a7"/>
          <w:rtl/>
        </w:rPr>
        <w:footnoteReference w:id="1986"/>
      </w:r>
      <w:r>
        <w:rPr>
          <w:rtl/>
        </w:rPr>
        <w:t xml:space="preserve">בְּתַרְוַיְהוּ, אִיהוּ חִירֵ''ק תְּחוֹת צֵרִ''י, וְאִיהוּ שׁוּרֵ''ק, קִשּׁוּרָא דְתַרְוַיְהוּ, </w:t>
      </w:r>
      <w:r>
        <w:rPr>
          <w:rStyle w:val="a7"/>
          <w:rtl/>
        </w:rPr>
        <w:footnoteReference w:id="1987"/>
      </w:r>
      <w:r>
        <w:rPr>
          <w:rtl/>
        </w:rPr>
        <w:t xml:space="preserve">שׁוּרֵ''ק בְּאַת ו' קִשׁוּרָא דִדְכַר וְנוּקְבָּא. וּבְגִין דָּא אוֹדְךָ כִּי עֲנִיתָנִי וַתְּהִי לִי לִישׁוּעָה </w:t>
      </w:r>
      <w:r>
        <w:rPr>
          <w:sz w:val="20"/>
          <w:szCs w:val="23"/>
          <w:rtl/>
        </w:rPr>
        <w:t>(שם כא)</w:t>
      </w:r>
      <w:r>
        <w:rPr>
          <w:rtl/>
        </w:rPr>
        <w:t xml:space="preserve">, </w:t>
      </w:r>
      <w:r>
        <w:rPr>
          <w:rStyle w:val="a7"/>
          <w:rtl/>
        </w:rPr>
        <w:footnoteReference w:id="1988"/>
      </w:r>
      <w:r>
        <w:rPr>
          <w:rtl/>
        </w:rPr>
        <w:t>דָּא שְׁכִינְתָּא, דְאִיהִי מִסִּטְרָא דְצַדִּיק שׁוּרֵ''ק לְגַבֵּי בַּעְלָהּ, קִשּׁוּרָא דִילֵיהּ.</w:t>
      </w:r>
    </w:p>
    <w:p w:rsidR="00606298" w:rsidRDefault="00606298" w:rsidP="00B17EA9">
      <w:pPr>
        <w:pStyle w:val="NormalWeb"/>
        <w:rPr>
          <w:rtl/>
        </w:rPr>
      </w:pPr>
      <w:r>
        <w:rPr>
          <w:rStyle w:val="a7"/>
          <w:rtl/>
        </w:rPr>
        <w:footnoteReference w:id="1989"/>
      </w:r>
      <w:r>
        <w:rPr>
          <w:rtl/>
        </w:rPr>
        <w:t xml:space="preserve">וְאִיהִי חִרֵ''ק תְּחוֹת צֵרִ''י, תְּרֵי סַמְכֵי קְשׁוֹט, וְאִיהוּ סֶגוֹ''ל תְּחוֹת תְּרֵין דְּרוֹעִין, </w:t>
      </w:r>
      <w:r>
        <w:rPr>
          <w:rStyle w:val="a7"/>
          <w:rtl/>
        </w:rPr>
        <w:footnoteReference w:id="1990"/>
      </w:r>
      <w:r>
        <w:rPr>
          <w:rtl/>
        </w:rPr>
        <w:t xml:space="preserve">וְאִיהִי חֹלֵ''ם לְעִילָא בְכֶתֶר, וּבְגִין דָּא אֶבֶן מָאֲסוּ הַבּוֹנִים הָיְתָה לְרֹאשׁ פִּנָּה </w:t>
      </w:r>
      <w:r>
        <w:rPr>
          <w:sz w:val="20"/>
          <w:szCs w:val="23"/>
          <w:rtl/>
        </w:rPr>
        <w:t>(שם)</w:t>
      </w:r>
      <w:r>
        <w:rPr>
          <w:rtl/>
        </w:rPr>
        <w:t xml:space="preserve">, כֻּלְּהוּ אָמְרִין מֵאֵת יְיָ' הָיְתָה זֹאת הִיא נִפְלָאת בְּעִינֵינוּ </w:t>
      </w:r>
      <w:r>
        <w:rPr>
          <w:sz w:val="20"/>
          <w:szCs w:val="23"/>
          <w:rtl/>
        </w:rPr>
        <w:t>(שם)</w:t>
      </w:r>
      <w:r>
        <w:rPr>
          <w:rtl/>
        </w:rPr>
        <w:t xml:space="preserve">, בְּזִמְנָא דְאִיהִי לְרֹאשׁ פִּנָּה אִתְקְרִיאַת רֵישָׁא, וַעֲלָהּ אִתְּמַר </w:t>
      </w:r>
      <w:r>
        <w:rPr>
          <w:sz w:val="20"/>
          <w:szCs w:val="23"/>
          <w:rtl/>
        </w:rPr>
        <w:t>(שיר ז ו)</w:t>
      </w:r>
      <w:r>
        <w:rPr>
          <w:rtl/>
        </w:rPr>
        <w:t xml:space="preserve"> רֹאשֵׁךְ עָלַיִךְ כַּכַּרְמֶל.</w:t>
      </w:r>
    </w:p>
    <w:p w:rsidR="00606298" w:rsidRDefault="00606298" w:rsidP="00B17EA9">
      <w:pPr>
        <w:pStyle w:val="NormalWeb"/>
        <w:rPr>
          <w:rtl/>
        </w:rPr>
      </w:pPr>
      <w:r>
        <w:rPr>
          <w:rStyle w:val="a7"/>
          <w:rtl/>
        </w:rPr>
        <w:footnoteReference w:id="1991"/>
      </w:r>
      <w:r>
        <w:rPr>
          <w:rtl/>
        </w:rPr>
        <w:t xml:space="preserve">כַּד סְלִיקַת לְגַבֵּי מַלְכָּא, כַּמָּה מַלְאָכִין וְכַמָּה נִשְׁמָתִין סָלְקִין עִמָּהּ, דְּאִנּוּן נִימִין דִּילָהּ, דְּתַלְיָין מִינָהּ כְּעִנְבִין בְּאַתְכְּלָא, וְכַמָּה מַלְאָכִין וְנִשְׁמָתִין נָהֲרִין קֳדָמָהָא דְאִתְקְרִיאוּ עִינֵי יְיָ', וַעֲלַיְיהוּ אִתְּמַר </w:t>
      </w:r>
      <w:r>
        <w:rPr>
          <w:sz w:val="20"/>
          <w:szCs w:val="23"/>
          <w:rtl/>
        </w:rPr>
        <w:t>(איוב לד כא)</w:t>
      </w:r>
      <w:r>
        <w:rPr>
          <w:rtl/>
        </w:rPr>
        <w:t xml:space="preserve"> כִּי עִינָיו עַל דַּרְכֵי אִישׁ, </w:t>
      </w:r>
      <w:r>
        <w:rPr>
          <w:rStyle w:val="a7"/>
          <w:rtl/>
        </w:rPr>
        <w:footnoteReference w:id="1992"/>
      </w:r>
      <w:r>
        <w:rPr>
          <w:rtl/>
        </w:rPr>
        <w:t xml:space="preserve">וְכַמָּה פִקּוּדִין סָלְקִין קֳדָמָהָא, דְאִתְקְרִיאַת בְּכֻלְּהוּ מִצְוַת יְיָ' בָּרָה מְאִירַת עִינָיִם </w:t>
      </w:r>
      <w:r>
        <w:rPr>
          <w:sz w:val="20"/>
          <w:szCs w:val="23"/>
          <w:rtl/>
        </w:rPr>
        <w:t>(תהלים יט ט)</w:t>
      </w:r>
      <w:r>
        <w:rPr>
          <w:rtl/>
        </w:rPr>
        <w:t>.</w:t>
      </w:r>
    </w:p>
    <w:p w:rsidR="00606298" w:rsidRDefault="00606298" w:rsidP="00B17EA9">
      <w:pPr>
        <w:pStyle w:val="NormalWeb"/>
        <w:rPr>
          <w:rtl/>
        </w:rPr>
      </w:pPr>
      <w:r>
        <w:rPr>
          <w:rtl/>
        </w:rPr>
        <w:t xml:space="preserve">וְכַמָּה מַלְאָכִין סָלְקִין עִמָּהּ, דְּאִתְקְרִיאוּ אָזְנֵי יְיָ', דִּמְמַנָּן </w:t>
      </w:r>
      <w:r>
        <w:rPr>
          <w:rStyle w:val="a7"/>
          <w:rtl/>
        </w:rPr>
        <w:footnoteReference w:id="1993"/>
      </w:r>
      <w:r>
        <w:rPr>
          <w:rtl/>
        </w:rPr>
        <w:t xml:space="preserve">עַל קָלִין דִּצְלוֹתִין, וְעַל שִׂיחַת בְּנֵי הָאָדָם, לְמִשְׁמַע צְלוֹתִין, וְכַמָּה מַלְאָכִין סָלְקִין עִמָּהּ דְּאִתְקְרִיאוּ פְּנֵי יְיָ', דְּאִתְּמַר בְּהוֹן </w:t>
      </w:r>
      <w:r>
        <w:rPr>
          <w:sz w:val="20"/>
          <w:szCs w:val="23"/>
          <w:rtl/>
        </w:rPr>
        <w:t>(יחזקאל א ו)</w:t>
      </w:r>
      <w:r>
        <w:rPr>
          <w:rtl/>
        </w:rPr>
        <w:t xml:space="preserve"> וּדְמוּת פְּנֵיהֶם פְּנֵי אָדָם וְגוֹמֵר, נָהֲרִין </w:t>
      </w:r>
      <w:r>
        <w:rPr>
          <w:rStyle w:val="a7"/>
          <w:rtl/>
        </w:rPr>
        <w:footnoteReference w:id="1994"/>
      </w:r>
      <w:r>
        <w:rPr>
          <w:rtl/>
        </w:rPr>
        <w:t xml:space="preserve">בְּכַמָּה גַוָּונִין, וְכַמָּה מַלְאָכִין סָלְקִין עִמָּהּ דְּאִתְקְרִיאוּ </w:t>
      </w:r>
      <w:r>
        <w:rPr>
          <w:rStyle w:val="a7"/>
          <w:rtl/>
        </w:rPr>
        <w:footnoteReference w:id="1995"/>
      </w:r>
      <w:r>
        <w:rPr>
          <w:rtl/>
        </w:rPr>
        <w:t xml:space="preserve">רוּחִין וְאֵשִׁין, דְּאִתְּמַר בְּהוֹן </w:t>
      </w:r>
      <w:r>
        <w:rPr>
          <w:sz w:val="20"/>
          <w:szCs w:val="23"/>
          <w:rtl/>
        </w:rPr>
        <w:t>(תהלים קד ד)</w:t>
      </w:r>
      <w:r>
        <w:rPr>
          <w:rtl/>
        </w:rPr>
        <w:t xml:space="preserve"> עוֹשֶׂה מַלְאָכָיו רוּחוֹת מְשָׁרְתָיו אֵשׁ לֹהֵט, דִּמְמַנָּן עַל רֵיחָא וּתְנָנָא דְקָרְבָנִין, וְאִינוּן מָארֵי דְחוֹטָמָא.</w:t>
      </w:r>
    </w:p>
    <w:p w:rsidR="00606298" w:rsidRDefault="00606298" w:rsidP="00B17EA9">
      <w:pPr>
        <w:pStyle w:val="NormalWeb"/>
        <w:rPr>
          <w:rtl/>
        </w:rPr>
      </w:pPr>
      <w:r>
        <w:rPr>
          <w:rtl/>
        </w:rPr>
        <w:t xml:space="preserve">וְכַמָּה מָארֵי דְקָלִין וְדִבּוּרִין דְּפוּמָא סָלְקִין עִמָּהּ, דְּאִתְּמַר בְּהוֹן </w:t>
      </w:r>
      <w:r>
        <w:rPr>
          <w:sz w:val="20"/>
          <w:szCs w:val="23"/>
          <w:rtl/>
        </w:rPr>
        <w:t>(קהלת י ב)</w:t>
      </w:r>
      <w:r>
        <w:rPr>
          <w:rtl/>
        </w:rPr>
        <w:t xml:space="preserve"> כִּי עוֹף הַשָּׁמַיִם יוֹלִיךְ אֶת הַקּוֹל וּבַעַל כְּנָפַיִם יַגִּיד דָּבָר, וְכַמָּה מָארֵי דְצַוָּארֵי סָלְקִין עִמָּהּ, דְּתַמָּן קָנֶה וִשֶׁט, דִּמְמַנָּן עַל קָרְבָּנִין </w:t>
      </w:r>
      <w:r>
        <w:rPr>
          <w:rStyle w:val="a7"/>
          <w:rtl/>
        </w:rPr>
        <w:footnoteReference w:id="1996"/>
      </w:r>
      <w:r>
        <w:rPr>
          <w:rtl/>
        </w:rPr>
        <w:t xml:space="preserve">וּצְלוֹתִין, דְּאִתְּמַר בְּהוֹן </w:t>
      </w:r>
      <w:r>
        <w:rPr>
          <w:sz w:val="20"/>
          <w:szCs w:val="23"/>
          <w:rtl/>
        </w:rPr>
        <w:t>(במדבר כח ב)</w:t>
      </w:r>
      <w:r>
        <w:rPr>
          <w:rtl/>
        </w:rPr>
        <w:t xml:space="preserve"> אֶת קָרְבָּנִי לַחְמִי לְאִשַּׁי, </w:t>
      </w:r>
      <w:r>
        <w:rPr>
          <w:rStyle w:val="a7"/>
          <w:rtl/>
        </w:rPr>
        <w:footnoteReference w:id="1997"/>
      </w:r>
      <w:r>
        <w:rPr>
          <w:rtl/>
        </w:rPr>
        <w:t xml:space="preserve">וְאִלֵּין אִתְקְרִיאוּ אִשִּׁי''ם, </w:t>
      </w:r>
      <w:r>
        <w:rPr>
          <w:rStyle w:val="a7"/>
          <w:rtl/>
        </w:rPr>
        <w:footnoteReference w:id="1998"/>
      </w:r>
      <w:r>
        <w:rPr>
          <w:rtl/>
        </w:rPr>
        <w:t xml:space="preserve">וְכַמָּה מַלְאָכִין סָלְקִין עִמָּהּ דְּאִתְקְרִיאוּ מָארֵי דִידַיִן, דְּאִתְּמַר בְּהוֹן </w:t>
      </w:r>
      <w:r>
        <w:rPr>
          <w:sz w:val="20"/>
          <w:szCs w:val="23"/>
          <w:rtl/>
        </w:rPr>
        <w:t>(יחזקאל א ח)</w:t>
      </w:r>
      <w:r>
        <w:rPr>
          <w:rtl/>
        </w:rPr>
        <w:t xml:space="preserve"> וִידֵי אָדָם מִתַּחַת כַּנְפֵיהֶם, וְכַמָּה מָארֵי דְגוּפָא סָלְקִין עִמָּהּ דְּאִתְּמַר בְּהוֹן </w:t>
      </w:r>
      <w:r>
        <w:rPr>
          <w:sz w:val="20"/>
          <w:szCs w:val="23"/>
          <w:rtl/>
        </w:rPr>
        <w:t>(דניאל י ו)</w:t>
      </w:r>
      <w:r>
        <w:rPr>
          <w:rtl/>
        </w:rPr>
        <w:t xml:space="preserve"> וּגְוִיָּתוֹ כְתַרְשִׁישׁ, וְכַמָּה מָארֵי דִבְרִית סָלְקִין עִמָּהּ דְּאִתְּמַר בְּהוֹן </w:t>
      </w:r>
      <w:r>
        <w:rPr>
          <w:sz w:val="20"/>
          <w:szCs w:val="23"/>
          <w:rtl/>
        </w:rPr>
        <w:t>(יחזקאל א כח)</w:t>
      </w:r>
      <w:r>
        <w:rPr>
          <w:rtl/>
        </w:rPr>
        <w:t xml:space="preserve"> כְּמַרְאֵה הַקֶּשֶׁת, וְאִנּוּן מָארֵי דְאוֹתוֹת, וְכַמָּה מָארֵי דְרַגְלִין סָלְקִין עִמָּהּ דְּאִתְּמַר בְּהוֹן </w:t>
      </w:r>
      <w:r>
        <w:rPr>
          <w:sz w:val="20"/>
          <w:szCs w:val="23"/>
          <w:rtl/>
        </w:rPr>
        <w:t>(שם)</w:t>
      </w:r>
      <w:r>
        <w:rPr>
          <w:rtl/>
        </w:rPr>
        <w:t xml:space="preserve"> וְרַגְלֵיהֶם רֶגֶל יְשָׁרָה.</w:t>
      </w:r>
    </w:p>
    <w:p w:rsidR="00606298" w:rsidRDefault="00606298" w:rsidP="00B17EA9">
      <w:pPr>
        <w:pStyle w:val="NormalWeb"/>
        <w:rPr>
          <w:rtl/>
        </w:rPr>
      </w:pPr>
      <w:r>
        <w:rPr>
          <w:rtl/>
        </w:rPr>
        <w:t xml:space="preserve">וְכַד אִיהוּ בְּהֵיכָלָהָא, כֻלְּהוּ נְבִיאַיָּא סָלְקִין תַּמָּן, וְדָפְקִין לְתַרְעָא וְאָמְרִין אדנ''י שְׂפָתַי תִּפְתָּח </w:t>
      </w:r>
      <w:r>
        <w:rPr>
          <w:sz w:val="20"/>
          <w:szCs w:val="23"/>
          <w:rtl/>
        </w:rPr>
        <w:t>(תהלים נא יז)</w:t>
      </w:r>
      <w:r>
        <w:rPr>
          <w:rtl/>
        </w:rPr>
        <w:t>, תְּלַת קַדְמָאִין דִּצְלוֹתָא אִינוּן מְסַדְּרִין שְׁבַחִין, לְאַעָלָא בְּהוֹן קֳדָם עִלַּת הָעִלּוֹת, דְּתַמָּן חַיֵּי נַפְשָׁא, אֶמְצָעִיּוֹת מְמַנָּן עַל שְׁאֵלְתִּין לְמִשְׁאַל בָּעוּתְהוֹן עַל צָרְכֵי גוּפָא, תְּלַת בַּתְרָאִין מְקַבְּלִין תְּיוּבְתָּא דְכָל שְׁאֵלְתִּין מִן מַלְכָּא.</w:t>
      </w:r>
    </w:p>
    <w:p w:rsidR="00606298" w:rsidRDefault="00606298" w:rsidP="00B17EA9">
      <w:pPr>
        <w:pStyle w:val="aa"/>
        <w:rPr>
          <w:rtl/>
        </w:rPr>
      </w:pPr>
      <w:bookmarkStart w:id="150" w:name="_Toc228095622"/>
      <w:bookmarkStart w:id="151" w:name="_Toc231638060"/>
      <w:r>
        <w:rPr>
          <w:rtl/>
        </w:rPr>
        <w:t>[תיקוני זוהר - דף כט ע''א]</w:t>
      </w:r>
      <w:bookmarkEnd w:id="150"/>
      <w:bookmarkEnd w:id="151"/>
    </w:p>
    <w:p w:rsidR="00606298" w:rsidRDefault="00606298" w:rsidP="00B17EA9">
      <w:pPr>
        <w:pStyle w:val="NormalWeb"/>
        <w:rPr>
          <w:rtl/>
        </w:rPr>
      </w:pPr>
      <w:r>
        <w:rPr>
          <w:rStyle w:val="a7"/>
          <w:rtl/>
        </w:rPr>
        <w:footnoteReference w:id="1999"/>
      </w:r>
      <w:r>
        <w:rPr>
          <w:rtl/>
        </w:rPr>
        <w:t xml:space="preserve">וּלְעִילָא מִכֻּלְּהוּ יָד כּוֹתֶבֶת, </w:t>
      </w:r>
      <w:r>
        <w:rPr>
          <w:rStyle w:val="a7"/>
          <w:rtl/>
        </w:rPr>
        <w:footnoteReference w:id="2000"/>
      </w:r>
      <w:r>
        <w:rPr>
          <w:rtl/>
        </w:rPr>
        <w:t xml:space="preserve">וּלְתַתָּא מִכֻּלְּהוּ יָד חוֹתֶמֶת, הֲדָא הוּא דִכְתִיב </w:t>
      </w:r>
      <w:r>
        <w:rPr>
          <w:sz w:val="20"/>
          <w:szCs w:val="23"/>
          <w:rtl/>
        </w:rPr>
        <w:t>(איוב לז ז)</w:t>
      </w:r>
      <w:r>
        <w:rPr>
          <w:rtl/>
        </w:rPr>
        <w:t xml:space="preserve"> וּבְיַד כָּל אָדָם יַחְתּוֹם, יָד כּוֹתֶבֶת אוֹרַיְיתָא דְבִכְתָב דְּאִיהִי </w:t>
      </w:r>
      <w:r>
        <w:rPr>
          <w:sz w:val="20"/>
          <w:szCs w:val="23"/>
          <w:rtl/>
        </w:rPr>
        <w:t xml:space="preserve">(דף כט ע''א) </w:t>
      </w:r>
      <w:r>
        <w:rPr>
          <w:rtl/>
        </w:rPr>
        <w:t xml:space="preserve">לִימִינָא, יָד חוֹתֶמֶת אוֹרַיְיתָא דִבְעַל פֶּה דְאִיהִי לִשְׂמָאלָא, אוֹרַיְיתָא דְבִכְתָב דְּאִיהִי לִימִינָא </w:t>
      </w:r>
      <w:r>
        <w:rPr>
          <w:rStyle w:val="a7"/>
          <w:rtl/>
        </w:rPr>
        <w:footnoteReference w:id="2001"/>
      </w:r>
      <w:r>
        <w:rPr>
          <w:rtl/>
        </w:rPr>
        <w:t xml:space="preserve">עֲלֵיהּ אִתְּמַר </w:t>
      </w:r>
      <w:r>
        <w:rPr>
          <w:sz w:val="20"/>
          <w:szCs w:val="23"/>
          <w:rtl/>
        </w:rPr>
        <w:t>(שמות יד ח)</w:t>
      </w:r>
      <w:r>
        <w:rPr>
          <w:rtl/>
        </w:rPr>
        <w:t xml:space="preserve"> וּבְנֵי יִשְׂרָאֵל יוֹצְאִים בְּיָד רָמָה, וְדָא עַמּוּדָא דְאֶמְצָעִיתָא, דְאִיהוּ אוֹרַיְיתָא דְאִתְיְיהִיב מִימִינָא </w:t>
      </w:r>
      <w:r>
        <w:rPr>
          <w:rStyle w:val="a7"/>
          <w:rtl/>
        </w:rPr>
        <w:footnoteReference w:id="2002"/>
      </w:r>
      <w:r>
        <w:rPr>
          <w:rtl/>
        </w:rPr>
        <w:t>דְתַמָּן חָכְמָה.</w:t>
      </w:r>
    </w:p>
    <w:p w:rsidR="00606298" w:rsidRDefault="00606298" w:rsidP="00B17EA9">
      <w:pPr>
        <w:pStyle w:val="NormalWeb"/>
        <w:rPr>
          <w:rtl/>
        </w:rPr>
      </w:pPr>
      <w:r>
        <w:rPr>
          <w:rtl/>
        </w:rPr>
        <w:t xml:space="preserve">אוֹרַיְיתָא דִבְעַל פֶּה דְתַמָּן שְׁכִינְתָּא תַּתָּאָה, פֶּה אִתְקְרִיאַת מִסִּטְרָא דְצַדִּיק, דְּהָכִי סְלִיק פֶּ''ה לְחוּשְׁבַּן מִילָ''ה, </w:t>
      </w:r>
      <w:r>
        <w:rPr>
          <w:rStyle w:val="a7"/>
          <w:rtl/>
        </w:rPr>
        <w:footnoteReference w:id="2003"/>
      </w:r>
      <w:r>
        <w:rPr>
          <w:rtl/>
        </w:rPr>
        <w:t xml:space="preserve">דְאִיהוּ כָּל פֶּה, וּבְגִין דָּא </w:t>
      </w:r>
      <w:r>
        <w:rPr>
          <w:sz w:val="20"/>
          <w:szCs w:val="23"/>
          <w:rtl/>
        </w:rPr>
        <w:t>(איוב לז ז)</w:t>
      </w:r>
      <w:r>
        <w:rPr>
          <w:rtl/>
        </w:rPr>
        <w:t xml:space="preserve"> וּבְיַד כָּל אָדָם יַחְתּוֹם, וְאִיהִי לִשְׂמָאלָא, דְתַמָּן אִיהִי אִימָּא עִלָּאָה, דְאִתְּמַר בָּהּ </w:t>
      </w:r>
      <w:r>
        <w:rPr>
          <w:rStyle w:val="a7"/>
          <w:rtl/>
        </w:rPr>
        <w:footnoteReference w:id="2004"/>
      </w:r>
      <w:r>
        <w:rPr>
          <w:rtl/>
        </w:rPr>
        <w:t xml:space="preserve">חָתְמֵנוּ לְחַיִּים, וְצַדִּיק עַל שְׁמָהּ אִתְקְרֵי סֵפֶר חַיִּים, </w:t>
      </w:r>
      <w:r>
        <w:rPr>
          <w:rStyle w:val="a7"/>
          <w:sz w:val="20"/>
          <w:szCs w:val="23"/>
          <w:rtl/>
        </w:rPr>
        <w:footnoteReference w:id="2005"/>
      </w:r>
      <w:r>
        <w:rPr>
          <w:rtl/>
        </w:rPr>
        <w:t xml:space="preserve">כְּמָה דְאַמְרִינָן וּבְסֵפֶר חַיִּים וְגוֹמֵר, הָא אִתְפַּתְּחַת הֵיכָלָא, </w:t>
      </w:r>
      <w:r>
        <w:rPr>
          <w:rStyle w:val="a7"/>
          <w:rtl/>
        </w:rPr>
        <w:footnoteReference w:id="2006"/>
      </w:r>
      <w:r>
        <w:rPr>
          <w:rtl/>
        </w:rPr>
        <w:t xml:space="preserve">הָא קָא אַתְיָין נְבִיאַיָּיא מָארֵי דְרַגְלִין דְּקָא דָפְקִין לְתַרְעָא, וְאָמְרִין לְהַהוּא דְסָגִיר הֵיכָלָא, סגרו''ן וְאִתְקְרֵי אדנ''י שְׁמֵיהּ כְּשֵׁם רַבֵּיהּ, אָמְרִין לֵיהּ אדנ''י שְׂפָתַי תִּפְתָּח, אַפְתַּח תַּרְעִין דְּהֵיכָלָא, בְּהַהוּא זִמְנָא עָאלִין נְטוּרֵי תַרְעָא לְמַלְכָּא, וְאַמְרֵי לֵיהּ, רִבּוֹן עָלְמִין הָא מָארֵי דְרַגְלִין קָא דָפְקִין לְתַרְעָא, דְאִינוּן שְׁלוּחֵי מִצְוָה, דְקַיְימִין </w:t>
      </w:r>
      <w:r>
        <w:rPr>
          <w:rStyle w:val="a7"/>
          <w:rtl/>
        </w:rPr>
        <w:footnoteReference w:id="2007"/>
      </w:r>
      <w:r>
        <w:rPr>
          <w:rtl/>
        </w:rPr>
        <w:t>בַּעֲמִידָה דִצְלוֹתָא קֳדָמָךְ.</w:t>
      </w:r>
    </w:p>
    <w:p w:rsidR="00606298" w:rsidRDefault="00606298" w:rsidP="00B17EA9">
      <w:pPr>
        <w:pStyle w:val="NormalWeb"/>
        <w:rPr>
          <w:rtl/>
        </w:rPr>
      </w:pPr>
      <w:r>
        <w:rPr>
          <w:rtl/>
        </w:rPr>
        <w:t xml:space="preserve">בְּהַהוּא זִמְנָא יָהַב לוֹן רְשׁוּ לְאַעָלָא, מַטְרוֹנִיתָא דְאִיהִי מִצְוָה דְמַלְכָּא אַפִּטְרוּפּוֹסָא דְכָל פִּקּוּדִין, אוֹלִיפַת זְכוּ קֳדָם מַלְכָּא בְּגִינַיְיהוּ, וְיֵימָא לֵיהּ רִבּוֹן עָלְמָא, הָא אִלֵּין דְּקַיְימִין קֳדָמָךְ בִּצְלוֹתִין, צָרִיךְ לְמֵיהַב לוֹן שְׁאֵלְתִּין דִּלְהוֹן, בְּהַהוּא זִמְנָא קָלָא נָפִיק לְגַבֵּי מָארֵי דְרַגְלִין, וְאָמַר </w:t>
      </w:r>
      <w:r>
        <w:rPr>
          <w:sz w:val="20"/>
          <w:szCs w:val="23"/>
          <w:rtl/>
        </w:rPr>
        <w:t>(יחזקאל ב א)</w:t>
      </w:r>
      <w:r>
        <w:rPr>
          <w:rtl/>
        </w:rPr>
        <w:t xml:space="preserve"> בֶּן אָדָם עֲמוֹד עַל רַגְלֶיךָ וַאֲדַבֵּר אוֹתָךְ, מַלֵּיל עִמִּי מַה שְּׁאֵלָתֵךְ בְּאֶמְצָעִיּוֹת דִּצְלוֹתִין, </w:t>
      </w:r>
      <w:r>
        <w:rPr>
          <w:rStyle w:val="a7"/>
          <w:rtl/>
        </w:rPr>
        <w:footnoteReference w:id="2008"/>
      </w:r>
      <w:r>
        <w:rPr>
          <w:rtl/>
        </w:rPr>
        <w:t>וְיִנָּתֵן לָךְ בְּבַתְרָאִין, מַטְרוֹנִיתָא קַבִּלַת שְׁאֵלְתּוֹי, וְצָרִיךְ לְמֵיהַב תְּלַת פְּסִיעָאן לַאֲחוֹרָא, דְלָא יִתְחַזַּר כִּתְפוֹי לְגַבֵּי מַלְכָּא, אִלֵּין נָפְקִין וְסגרו''ן סָגַר תַּרְעָא אַבַּתְרַיְיהוּ.</w:t>
      </w:r>
    </w:p>
    <w:p w:rsidR="00606298" w:rsidRDefault="00606298" w:rsidP="00B17EA9">
      <w:pPr>
        <w:pStyle w:val="NormalWeb"/>
        <w:rPr>
          <w:rtl/>
        </w:rPr>
      </w:pPr>
      <w:r>
        <w:rPr>
          <w:rtl/>
        </w:rPr>
        <w:t xml:space="preserve">הָא מָארֵי דְאוֹתוֹת קָא דָפְקִין לְפִתְחָא, וְאָמְרִין אדנ''י שְׂפָתַי תִּפְתָּח, </w:t>
      </w:r>
      <w:r>
        <w:rPr>
          <w:rStyle w:val="a7"/>
          <w:rtl/>
        </w:rPr>
        <w:footnoteReference w:id="2009"/>
      </w:r>
      <w:r>
        <w:rPr>
          <w:rtl/>
        </w:rPr>
        <w:t xml:space="preserve">תִּפְתָּח דָּא פתחו''ן, וְאִלֵּין אִינוּן מָארֵי דְחַ''י בִּרְכָאָן דִּצְלוֹתָא, מִסִּטְרָא דְחַ''י עָלְמִין, דִּמְיַחֲדִין לְקוּדְשָׁא בְּרִיךְ הוּא וּשְׁכִינְתֵּיהּ תַּמָּן, דְּצַדִּיק </w:t>
      </w:r>
      <w:r>
        <w:rPr>
          <w:rStyle w:val="a7"/>
          <w:rtl/>
        </w:rPr>
        <w:footnoteReference w:id="2010"/>
      </w:r>
      <w:r>
        <w:rPr>
          <w:rtl/>
        </w:rPr>
        <w:t xml:space="preserve">תֵּשַׁע, אִיהוּ תֵּשַׁע נְקוּדִין מֵעִילָא לְתַתָּא וּמִתַּתָּא לְעִילָא (תֵּשַׁע נְקוּדִין תֵּשַׁע טַעֲמֵי), וַעֲלַיְיהוּ אִתְּמַר </w:t>
      </w:r>
      <w:r>
        <w:rPr>
          <w:sz w:val="20"/>
          <w:szCs w:val="23"/>
          <w:rtl/>
        </w:rPr>
        <w:t>(בראשית א יז)</w:t>
      </w:r>
      <w:r>
        <w:rPr>
          <w:rtl/>
        </w:rPr>
        <w:t xml:space="preserve"> וַיִּתֵּן אוֹתָם אלהי''ם בִּרְקִיעַ הַשָּׁמָיִם, וְדָא צַדִּיק דְּבֵיהּ כָּל נְקוּדִין, לְהָאִיר עַל הָאָרֶץ דָּא שְׁכִינְתָּא, דְאִיהִי כְלִילָא מִכָּל אַתְוָון, וְאִלֵּין אִינוּן מָארֵי דְאוֹתוֹת, מִסִּטְרָא דְאִלֵּין דְּאִתְּמַר בְּהוֹן </w:t>
      </w:r>
      <w:r>
        <w:rPr>
          <w:sz w:val="20"/>
          <w:szCs w:val="23"/>
          <w:rtl/>
        </w:rPr>
        <w:t>(שם יד)</w:t>
      </w:r>
      <w:r>
        <w:rPr>
          <w:rtl/>
        </w:rPr>
        <w:t xml:space="preserve"> </w:t>
      </w:r>
      <w:r>
        <w:rPr>
          <w:rStyle w:val="a7"/>
          <w:rtl/>
        </w:rPr>
        <w:footnoteReference w:id="2011"/>
      </w:r>
      <w:r>
        <w:rPr>
          <w:rtl/>
        </w:rPr>
        <w:t xml:space="preserve">וְהָיוּ לְאֹתֹת וּלְמוֹעֲדִים וּלְיָמִים וְשָׁנִים, וְאִלֵּין </w:t>
      </w:r>
      <w:r>
        <w:rPr>
          <w:rStyle w:val="a7"/>
          <w:rtl/>
        </w:rPr>
        <w:footnoteReference w:id="2012"/>
      </w:r>
      <w:r>
        <w:rPr>
          <w:rtl/>
        </w:rPr>
        <w:t>אִנּוּן דְּסָגְדִין בְּחַ''י עָלְמִין, בְּחַ''י בִּרְכָאָן לְגַבֵּי שְׁכִינְתָּא.</w:t>
      </w:r>
    </w:p>
    <w:p w:rsidR="00606298" w:rsidRDefault="00606298" w:rsidP="00B17EA9">
      <w:pPr>
        <w:pStyle w:val="NormalWeb"/>
        <w:rPr>
          <w:rtl/>
        </w:rPr>
      </w:pPr>
      <w:r>
        <w:rPr>
          <w:rtl/>
        </w:rPr>
        <w:t>מִיָּד מָארֵי שְׁאֵלְתִּין דָּפְקִין לְתַרְעָא, כַּמָּה נְטוּרֵי תַרְעָא עָאלִין קֳדָם מַלְכָּא, וְיֵימְרוּן רִבּוֹן עָלְמָא, הָא מָארֵי צַדִּיקַיָּא מָארֵי דִצְלוֹתִין דִּמְבָרְכִין לָךְ בְּחַ''י בִּרְכָאָן, בָּעוּן לְאַעָלָא קַמָּךְ, מִיָּד מַנִּי לְמִפְתַּח לוֹן, וּלְמֵהַב שְׁאֵלְתּוֹי.</w:t>
      </w:r>
    </w:p>
    <w:p w:rsidR="00606298" w:rsidRDefault="00606298" w:rsidP="00B17EA9">
      <w:pPr>
        <w:pStyle w:val="NormalWeb"/>
        <w:rPr>
          <w:rtl/>
        </w:rPr>
      </w:pPr>
      <w:r>
        <w:rPr>
          <w:rtl/>
        </w:rPr>
        <w:t xml:space="preserve">אִלֵּין נָפְקִין הָא מָארֵי דְקוֹמָה דָפְקִין לְפִתְחָא, דְאִינוּן כָּרְעִין וְסָגְדִין לְמַלְכָּא בִצְלוֹתִין, כְּמָה דְאָמְרוּ כָּל הַכּוֹרֵעַ כּוֹרֵעַ בְּבָרוּךְ, וְכָל הַזּוֹקֵף זוֹקֵף בְּשֵׁם, כּוֹרֵעַ לְגַבֵּי אדנ''י בְּצַדִּיק, דְּאִתְּמַר בֵּיהּ </w:t>
      </w:r>
      <w:r>
        <w:rPr>
          <w:sz w:val="20"/>
          <w:szCs w:val="23"/>
          <w:rtl/>
        </w:rPr>
        <w:t>(מלכים א ב מה)</w:t>
      </w:r>
      <w:r>
        <w:rPr>
          <w:rtl/>
        </w:rPr>
        <w:t xml:space="preserve"> וְהַמֶּלֶךְ שְׁלֹמֹה בָּרוּךְ, וְזוֹקֵף לְגַבֵּי יהו''ה, לְחַבְּרָא לוֹן תַּרְוַיְיהוּ כְּגַוְונָא דָא יאהדונה''י.</w:t>
      </w:r>
    </w:p>
    <w:p w:rsidR="00606298" w:rsidRDefault="00606298" w:rsidP="00B17EA9">
      <w:pPr>
        <w:pStyle w:val="NormalWeb"/>
        <w:rPr>
          <w:rtl/>
        </w:rPr>
      </w:pPr>
      <w:r>
        <w:rPr>
          <w:rtl/>
        </w:rPr>
        <w:t>וְעַל כֻּלְּהוּ אוֹלִיפַת שְׁכִינְתָּא זְכוּ, וְאִינוּן כַּד סָלְקִין לְעִילָא נִשְׁמָתְהוֹן, כַּמָּה חֵיוָון מְקַבְּלִין לוֹן עַל גַּדְפַיְיהוּ, וְסָלְקִין לוֹן עַד תַּרְעָא דְהֵיכָלָא דְמַלְכָּא, מִיָּד דְּאִלֵּין דָּפְקִין לְפִתְחָא, אוֹלְפִין זְכוּ קֳדָם מַלְכָּא בְּגִינַיְיהוּ, וּמַנִּי מַלְכָּא לְמִפְתַּח לוֹן, וְאִלֵּין אִינוּן דִּמְמַלְּלִין קֳדָם מַלְכָּא בַּחֲשַׁאי, וְשָׁאֲלִין מִנֵּיהּ בָּעוּתְהוֹן בַּחֲשַׁאי, יְחִידִים קֳדָם מַלְכָּא, וּמַלְכָּא יָהִיב לוֹן שְׁאֵלְתִּין דִּלְהוֹן.</w:t>
      </w:r>
    </w:p>
    <w:p w:rsidR="00606298" w:rsidRDefault="00606298" w:rsidP="00B17EA9">
      <w:pPr>
        <w:pStyle w:val="aa"/>
        <w:rPr>
          <w:rtl/>
        </w:rPr>
      </w:pPr>
      <w:r>
        <w:rPr>
          <w:rtl/>
        </w:rPr>
        <w:t>[תיקוני זוהר - דף כט ע''ב]</w:t>
      </w:r>
    </w:p>
    <w:p w:rsidR="00606298" w:rsidRDefault="00606298" w:rsidP="00B17EA9">
      <w:pPr>
        <w:pStyle w:val="NormalWeb"/>
        <w:rPr>
          <w:rtl/>
        </w:rPr>
      </w:pPr>
      <w:r>
        <w:rPr>
          <w:rtl/>
        </w:rPr>
        <w:t xml:space="preserve">מִיָּד הָא מַטְרוֹנִיתָא אֲחִידַת בְּהוֹן, וְאוֹלִיפַת זְכוּ בְּגִינַיְיהוּ קֳדָם דְּיִפְקוּן מִן הֵיכָלָא, וְאָמְרַת רִבּוֹן עָלְמִין, אִלֵּין אִינוּן </w:t>
      </w:r>
      <w:r>
        <w:rPr>
          <w:rStyle w:val="a7"/>
          <w:rtl/>
        </w:rPr>
        <w:footnoteReference w:id="2013"/>
      </w:r>
      <w:r>
        <w:rPr>
          <w:rtl/>
        </w:rPr>
        <w:t xml:space="preserve">דַּהֲווֹ, מְכַסְּיָין לִי בְּעִטּוּפָא דְמִצְוָה דְצִיצִית, בְּחָמֵשׁ קִשְׁרִין </w:t>
      </w:r>
      <w:r>
        <w:rPr>
          <w:sz w:val="20"/>
          <w:szCs w:val="23"/>
          <w:rtl/>
        </w:rPr>
        <w:t>(דף כט ע''ב)</w:t>
      </w:r>
      <w:r>
        <w:rPr>
          <w:rtl/>
        </w:rPr>
        <w:t xml:space="preserve"> וּתְלַת עֶשֶׂר חוּלְיָין לְכָל סְטַר, וּבִתְלָתִין וּתְרֵין עַנְפֵי מִצְוָה, מִיָּד מַנִּי קוּדְשָׁא בְּרִיךְ הוּא לְמַלְאָכִין דְּמֶרְכַּבְתָּא דִלְעִילָא, לְנָטְלָא לוֹן בְּגַדְפַיְיהוּ, וּלְפָרְחָא בְהוֹן מֵאֲתַר לַאֲתַר, </w:t>
      </w:r>
      <w:r>
        <w:rPr>
          <w:rStyle w:val="a7"/>
          <w:rtl/>
        </w:rPr>
        <w:footnoteReference w:id="2014"/>
      </w:r>
      <w:r>
        <w:rPr>
          <w:rtl/>
        </w:rPr>
        <w:t>וּלְכַסָּאָה עֲלַיְהוֹן מִכָּל מַזִּיקִין וּמַלְאֲכֵי חַבָּלָה.</w:t>
      </w:r>
    </w:p>
    <w:p w:rsidR="00606298" w:rsidRDefault="00606298" w:rsidP="00B17EA9">
      <w:pPr>
        <w:pStyle w:val="NormalWeb"/>
        <w:rPr>
          <w:rtl/>
        </w:rPr>
      </w:pPr>
      <w:r>
        <w:rPr>
          <w:rtl/>
        </w:rPr>
        <w:t xml:space="preserve">הָא אִלֵּין נָפְקִין, וְהָא אָחֳרָנִין דָּפְקִין לְתַרְעָא, מִיָּד עָאלִין נְטוּרֵי תַרְעִין, וְאָמְרִין רִבּוֹן עָלְמָא, הָא מָארֵי יְדִין דְּקָשְׁרִין תְּפִלָּה שֶׁל יָד עַל דְּרוֹעַיְיהוּ שְׂמָאלָא בִצְלוֹתָא, וּתְפִלִּין עַל רֵישָׁא, קָא עָאלִין, וְאִלֵּין אִינוּן דְּיָהֲבִין דּוֹרוֹנָא לָךְ בִּימִינָא, דְּאִיהִי צְדָקָה, צ' תִּשְׁעִים אֲמֵנִים, ד' אַרְבַּע קְדוּשׁוֹת, ק' מֵאָה בִּרְכָאָן, ה' חֲמִשָּׁה חוּמְשֵׁי אוֹרַיְיתָא, וּמִיָּד מַנִּי לוֹן, לְמִפְתַּח לוֹן, בְּהַהוּא זִמְנָא וִידֵי אָדָם נָפְקִין, </w:t>
      </w:r>
      <w:r>
        <w:rPr>
          <w:rStyle w:val="a7"/>
          <w:rtl/>
        </w:rPr>
        <w:footnoteReference w:id="2015"/>
      </w:r>
      <w:r>
        <w:rPr>
          <w:rtl/>
        </w:rPr>
        <w:t xml:space="preserve">דְּאִינוּן גְּדוּלָה גְבוּרָה, וּמְקַבְּלִין דּוֹרוֹנָא דִלְהוֹן, הֲדָא הוּא דִכְתִיב </w:t>
      </w:r>
      <w:r>
        <w:rPr>
          <w:sz w:val="20"/>
          <w:szCs w:val="23"/>
          <w:rtl/>
        </w:rPr>
        <w:t>(יחזקאל א ח)</w:t>
      </w:r>
      <w:r>
        <w:rPr>
          <w:rtl/>
        </w:rPr>
        <w:t xml:space="preserve"> וִידֵי אָדָם מִתַּחַת כַּנְפֵיהֶם, מָאי אָדָם, הַהוּא דְאִתְּמַר בֵּיהּ </w:t>
      </w:r>
      <w:r>
        <w:rPr>
          <w:sz w:val="20"/>
          <w:szCs w:val="23"/>
          <w:rtl/>
        </w:rPr>
        <w:t>(ישעיה מד יג)</w:t>
      </w:r>
      <w:r>
        <w:rPr>
          <w:rtl/>
        </w:rPr>
        <w:t xml:space="preserve"> כְּתִפְאֶרֶת אָדָם, וּמְקַבְּלִין מִנַּיְיהוּ דוֹרוֹנָא וְיָהֲבִין לֵיהּ לְמַלְכָּא, וְאִם דּוֹרוֹנָא לַאו אִיהוּ כִדְקָא יָאוּת, לְכַלְבָּא אִתְמַסַּר, וְדַחְיָין לוֹן לְבָר, </w:t>
      </w:r>
      <w:r>
        <w:rPr>
          <w:rStyle w:val="a7"/>
          <w:rtl/>
        </w:rPr>
        <w:footnoteReference w:id="2016"/>
      </w:r>
      <w:r>
        <w:rPr>
          <w:rtl/>
        </w:rPr>
        <w:t xml:space="preserve">דְּאִית דְּלָא פָתְחִין לוֹן תַּרְעִין, וְאִתְּמַר בְּהוֹן </w:t>
      </w:r>
      <w:r>
        <w:rPr>
          <w:sz w:val="20"/>
          <w:szCs w:val="23"/>
          <w:rtl/>
        </w:rPr>
        <w:t>(דברים כד יא)</w:t>
      </w:r>
      <w:r>
        <w:rPr>
          <w:rtl/>
        </w:rPr>
        <w:t xml:space="preserve"> בַּחוּץ תַּעֲמֹד, וּמְמַלֵּל מַלְכָּא בְּהוֹן מִלְּבָר, וְיָהִיב לוֹן שְׁאֵלְתּוֹי מִלְּבָר, וְאָזְלִין לוֹן.</w:t>
      </w:r>
    </w:p>
    <w:p w:rsidR="00606298" w:rsidRDefault="00606298" w:rsidP="00B17EA9">
      <w:pPr>
        <w:pStyle w:val="NormalWeb"/>
        <w:rPr>
          <w:rtl/>
        </w:rPr>
      </w:pPr>
      <w:r>
        <w:rPr>
          <w:rtl/>
        </w:rPr>
        <w:t xml:space="preserve">דְּלַאו כֻּלְּהוּ עָאלִין לְבֵי מַלְכָּא, אֶלָּא אִלֵּין מָארֵי דְבֵיתָא, דְאִתְּמַר בְּהוֹן </w:t>
      </w:r>
      <w:r>
        <w:rPr>
          <w:sz w:val="20"/>
          <w:szCs w:val="23"/>
          <w:rtl/>
        </w:rPr>
        <w:t>(דניאל א ד)</w:t>
      </w:r>
      <w:r>
        <w:rPr>
          <w:rtl/>
        </w:rPr>
        <w:t xml:space="preserve"> יְלָדִים אֲשֶׁר אֵין בָּהֶם כָּל מוּם, לָא בִּצְלוֹתְהוֹן, וְלָא בְּנִשְׁמָתְהוֹן, וְטוֹבֵי מַרְאֶה בְּכָל עוֹבְדֵיהוֹן, וּמַשְׂכִּילִים בְּכָל חָכְמָה, </w:t>
      </w:r>
      <w:r>
        <w:rPr>
          <w:rStyle w:val="a7"/>
          <w:rtl/>
        </w:rPr>
        <w:footnoteReference w:id="2017"/>
      </w:r>
      <w:r>
        <w:rPr>
          <w:rtl/>
        </w:rPr>
        <w:t xml:space="preserve">וְשַׁפִּירָן לְמֶחזֵי, דַּעֲלַיְיהוּ אִתְּמַר </w:t>
      </w:r>
      <w:r>
        <w:rPr>
          <w:sz w:val="20"/>
          <w:szCs w:val="23"/>
          <w:rtl/>
        </w:rPr>
        <w:t>(שיר ב יד)</w:t>
      </w:r>
      <w:r>
        <w:rPr>
          <w:rtl/>
        </w:rPr>
        <w:t xml:space="preserve"> הַרְאִינִי אֶת מַרְאַיִךְ הַשְׁמִיעִינִי אֶת קוֹלֵךְ, כִּי קוֹלֵךְ עָרֵב וּמַרְאֵךְ נָאוְה, וְיוֹדְעִי דַעַת וּמְבִינֵי מַדָּע </w:t>
      </w:r>
      <w:r>
        <w:rPr>
          <w:sz w:val="20"/>
          <w:szCs w:val="23"/>
          <w:rtl/>
        </w:rPr>
        <w:t>(דניאל א ד)</w:t>
      </w:r>
      <w:r>
        <w:rPr>
          <w:rtl/>
        </w:rPr>
        <w:t xml:space="preserve">, </w:t>
      </w:r>
      <w:r>
        <w:rPr>
          <w:rStyle w:val="a7"/>
          <w:rtl/>
        </w:rPr>
        <w:footnoteReference w:id="2018"/>
      </w:r>
      <w:r>
        <w:rPr>
          <w:rtl/>
        </w:rPr>
        <w:t xml:space="preserve">דְּיָדְעִין בְּחָכְמָה וּבִתְבוּנָה וָדַעַת, דְּאֵין דּוֹרְשִׁין בְּמַעֲשֵׂה מֶרְכָּבָה, </w:t>
      </w:r>
      <w:r>
        <w:rPr>
          <w:rStyle w:val="a7"/>
          <w:rtl/>
        </w:rPr>
        <w:footnoteReference w:id="2019"/>
      </w:r>
      <w:r>
        <w:rPr>
          <w:rtl/>
        </w:rPr>
        <w:t xml:space="preserve">אֶלָּא אִם הוּא חָכָם בְּחָכְמָה וּמֵבִין בְּבִינָה וְיוֹדֵעַ בְּדַעַת, </w:t>
      </w:r>
      <w:r>
        <w:rPr>
          <w:rStyle w:val="a7"/>
          <w:rtl/>
        </w:rPr>
        <w:footnoteReference w:id="2020"/>
      </w:r>
      <w:r>
        <w:rPr>
          <w:rtl/>
        </w:rPr>
        <w:t xml:space="preserve">וַאֲשֶׁר כֹּחַ בָּהֶם, דָּא שְׁכִינְתָּא עִלָּאָה, דְאִיהִי </w:t>
      </w:r>
      <w:r>
        <w:rPr>
          <w:rStyle w:val="a7"/>
          <w:rtl/>
        </w:rPr>
        <w:footnoteReference w:id="2021"/>
      </w:r>
      <w:r>
        <w:rPr>
          <w:rtl/>
        </w:rPr>
        <w:t xml:space="preserve">כ''ח אַתְוָון דְּעוֹבָדָא דִבְּרֵאשִׁית, </w:t>
      </w:r>
      <w:r>
        <w:rPr>
          <w:rStyle w:val="a7"/>
          <w:rtl/>
        </w:rPr>
        <w:footnoteReference w:id="2022"/>
      </w:r>
      <w:r>
        <w:rPr>
          <w:rtl/>
        </w:rPr>
        <w:t>לַעֲמוֹד בְּכֻלְּהוּ, בַּעֲמִידָה דִצְלוֹתָא, אִלֵּין יַעֲלוּן לְהֵיכָלָא דְמַלְכָּא, דְאִינוּן צַדִּיקִים גְּמוּרִים.</w:t>
      </w:r>
    </w:p>
    <w:p w:rsidR="00606298" w:rsidRDefault="00606298" w:rsidP="00B17EA9">
      <w:pPr>
        <w:pStyle w:val="NormalWeb"/>
        <w:rPr>
          <w:rtl/>
        </w:rPr>
      </w:pPr>
      <w:r>
        <w:rPr>
          <w:rtl/>
        </w:rPr>
        <w:t xml:space="preserve">בֵּינוּנִיִּים יְהִיב לוֹן שְׁאֵלְתִּין דִּלְהוֹן מִלְּבָר, וְלָא עָאלִין לְגָאו, רַשִּׁיעַיָּיא אִדַּחְיָין מִתַּמָּן, וְלָא יָהִיב לוֹן שְׁאֵלְתִּין דִּלְהוֹן, אֶלָּא עֲלַיְיהוּ אִתְּמַר </w:t>
      </w:r>
      <w:r>
        <w:rPr>
          <w:sz w:val="20"/>
          <w:szCs w:val="23"/>
          <w:rtl/>
        </w:rPr>
        <w:t>(ישעיה א יב)</w:t>
      </w:r>
      <w:r>
        <w:rPr>
          <w:rtl/>
        </w:rPr>
        <w:t xml:space="preserve"> מִי בִקֵּשׁ זֹאת מִיֶּדְכֶם רְמֹס חֲצֵרָי, וְאִלֵּין אִינוּן רַשִּׁיעַיָּיא, דַהֲווֹ מְבַזִּין לְמַלְכָּא בִּצְלוֹתְהוֹן, דְּמַנְחָן לְמִשְׁמַע צְלוֹתָא, וּפָסְקִין לָהּ עַל שִׂיחָה בְּטֵלָה.</w:t>
      </w:r>
    </w:p>
    <w:p w:rsidR="00606298" w:rsidRDefault="00606298" w:rsidP="00B17EA9">
      <w:pPr>
        <w:pStyle w:val="NormalWeb"/>
        <w:rPr>
          <w:rtl/>
        </w:rPr>
      </w:pPr>
      <w:r>
        <w:rPr>
          <w:rtl/>
        </w:rPr>
        <w:t xml:space="preserve">אִלֵּין נָפְקִין, הָא אָחֳרָנִין עָאלִין, אִינוּן מָארֵי דְצַוָּאר, דַּהֲווֹ מְבָרְכִין לְקוּדְשָׁא בְּרִיךְ הוּא עַל מַאֲכָלִין וּמִשְׁתְּיָין דְּקָרְבָּנִין, דְּאָמְרִין בְּכָל יוֹמָא צַו אֶת בְּנֵי יִשְׂרָאֵל, וְאָמַרְתָּ אֲלֵיהֶם אֶת קָרְבָּנִי לַחְמִי לְאִשַּׁי רֵיחַ נִיחוֹחִי </w:t>
      </w:r>
      <w:r>
        <w:rPr>
          <w:sz w:val="20"/>
          <w:szCs w:val="23"/>
          <w:rtl/>
        </w:rPr>
        <w:t>(במדבר כח ב)</w:t>
      </w:r>
      <w:r>
        <w:rPr>
          <w:rtl/>
        </w:rPr>
        <w:t>, דַהֲווֹ מְקָרְבִין לְקוּדְשָׁא בְּרִיךְ הוּא וּשְׁכִינְתֵּיהּ, בְּכַמָּה קָרְבָּנִין דִּצְלוֹתִין, וְאִלֵּין אִינוּן דִּמְהַנְּיָין בְּעֹנֶג שַׁבָּת, וּמְבָרְכִין לְקוּדְשָׁא בְּרִיךְ הוּא, קוּדְשָׁא בְּרִיךְ הוּא יְהִיב לוֹן שְׁאֵלְתִּין דִּלְהוֹן, וּלְאָחֳרָנִין דַּהֲווֹ אָכְלִין בְּלָא צְלוֹתָא אִתְדַּחְיָין מִתַּמָּן, וְיָהֲבִין לוֹן בִּידָא דְכַמָּה מַלְאֲכֵי חַבָּלָה דְאִינוּן מַזִּיקִין.</w:t>
      </w:r>
    </w:p>
    <w:p w:rsidR="00606298" w:rsidRDefault="00606298" w:rsidP="00B17EA9">
      <w:pPr>
        <w:pStyle w:val="NormalWeb"/>
        <w:rPr>
          <w:rtl/>
        </w:rPr>
      </w:pPr>
      <w:r>
        <w:rPr>
          <w:rtl/>
        </w:rPr>
        <w:t xml:space="preserve">הָא אִלֵּין נָפְקִין, הָא מָארֵי דְקָלִין וְדִבּוּרִין בִּזְמִירוֹת וְתוּשְׁבָּחוֹת וְהוֹדָאוֹת דִּצְלוֹתָא דָפְקִין, וּמָארֵי דְקָלִין </w:t>
      </w:r>
      <w:r>
        <w:rPr>
          <w:rStyle w:val="a7"/>
          <w:rtl/>
        </w:rPr>
        <w:footnoteReference w:id="2023"/>
      </w:r>
      <w:r>
        <w:rPr>
          <w:rtl/>
        </w:rPr>
        <w:t>דְּקָרָאן לְקוּדְשָׁא בְּרִיךְ הוּא בִּקְרִיאַת שְׁמַע, שְׁמַע יִשְׂרָאֵל תְּרֵין זִמְנִין עֶרֶב וָבֹקֶר.</w:t>
      </w:r>
    </w:p>
    <w:p w:rsidR="00606298" w:rsidRDefault="00606298" w:rsidP="00B17EA9">
      <w:pPr>
        <w:pStyle w:val="NormalWeb"/>
        <w:rPr>
          <w:rtl/>
        </w:rPr>
      </w:pPr>
      <w:r>
        <w:rPr>
          <w:rStyle w:val="a7"/>
          <w:rtl/>
        </w:rPr>
        <w:footnoteReference w:id="2024"/>
      </w:r>
      <w:r>
        <w:rPr>
          <w:rtl/>
        </w:rPr>
        <w:t xml:space="preserve">אַדְהָכִי הָא מָארֵי דְרַגְלִין קָא דָפְקִין לְפִתְחָא, </w:t>
      </w:r>
      <w:r>
        <w:rPr>
          <w:rStyle w:val="a7"/>
          <w:rtl/>
        </w:rPr>
        <w:footnoteReference w:id="2025"/>
      </w:r>
      <w:r>
        <w:rPr>
          <w:rtl/>
        </w:rPr>
        <w:t xml:space="preserve">מָארֵי דַעֲמִידָה דִצְלוֹתָא, דְאִתְּמַר בְּהוֹן </w:t>
      </w:r>
      <w:r>
        <w:rPr>
          <w:sz w:val="20"/>
          <w:szCs w:val="23"/>
          <w:rtl/>
        </w:rPr>
        <w:t>(דניאל א ד)</w:t>
      </w:r>
      <w:r>
        <w:rPr>
          <w:rtl/>
        </w:rPr>
        <w:t xml:space="preserve"> וַאֲשֶׁר כֹּחַ בָּהֶם לַעֲמוֹד בְּהֵיכַל הַמֶּלֶךְ, הַמֶּלֶךְ סְתָם דָּא קוּדְשָׁא בְּרִיךְ הוּא, הֵיכַל הַמֶּלֶךְ דָּא אדנ''י, </w:t>
      </w:r>
      <w:r>
        <w:rPr>
          <w:rStyle w:val="a7"/>
          <w:rtl/>
        </w:rPr>
        <w:footnoteReference w:id="2026"/>
      </w:r>
      <w:r>
        <w:rPr>
          <w:rtl/>
        </w:rPr>
        <w:t xml:space="preserve">דְּאִתְּמַר בֵּיהּ </w:t>
      </w:r>
      <w:r>
        <w:rPr>
          <w:sz w:val="20"/>
          <w:szCs w:val="23"/>
          <w:rtl/>
        </w:rPr>
        <w:t>(תהלים נא יז)</w:t>
      </w:r>
      <w:r>
        <w:rPr>
          <w:rtl/>
        </w:rPr>
        <w:t xml:space="preserve"> אדנ''י שְׂפָתַי תִּפְתָּח, אדנ''י סְלִיק לְחוּשְׁבָּן הֵיכָל, וְאִתְּמַר </w:t>
      </w:r>
      <w:r>
        <w:rPr>
          <w:sz w:val="20"/>
          <w:szCs w:val="23"/>
          <w:rtl/>
        </w:rPr>
        <w:t>(חבקוק א כ)</w:t>
      </w:r>
      <w:r>
        <w:rPr>
          <w:rtl/>
        </w:rPr>
        <w:t xml:space="preserve"> וַיְיָ' בְּהֵיכַל קָדְשׁוֹ הַס מִפָּנָיו כָּל הָאָרֶץ.</w:t>
      </w:r>
    </w:p>
    <w:p w:rsidR="00606298" w:rsidRDefault="00606298" w:rsidP="00B17EA9">
      <w:pPr>
        <w:pStyle w:val="aa"/>
        <w:rPr>
          <w:rtl/>
        </w:rPr>
      </w:pPr>
      <w:bookmarkStart w:id="152" w:name="_Toc228095623"/>
      <w:bookmarkStart w:id="153" w:name="_Toc231638061"/>
      <w:r>
        <w:rPr>
          <w:rtl/>
        </w:rPr>
        <w:t>[תיקוני זוהר - דף ל ע''א]</w:t>
      </w:r>
      <w:bookmarkEnd w:id="152"/>
      <w:bookmarkEnd w:id="153"/>
    </w:p>
    <w:p w:rsidR="00606298" w:rsidRDefault="00606298" w:rsidP="00B17EA9">
      <w:pPr>
        <w:pStyle w:val="NormalWeb"/>
        <w:rPr>
          <w:rtl/>
        </w:rPr>
      </w:pPr>
      <w:r>
        <w:rPr>
          <w:rtl/>
        </w:rPr>
        <w:t xml:space="preserve">זַכָּאָה אִיהוּ מָאן דְּזָכֵי לְאַעֲלָאָה לְהֵיכָלֵיהּ דְּקוּדְשָׁא בְּרִיךְ הוּא, לְמֶחזֵי לְמַלְכָּא וּמַטְרוֹנִיתָא, זַכָּאָה פוּמָא </w:t>
      </w:r>
      <w:r>
        <w:rPr>
          <w:sz w:val="20"/>
          <w:szCs w:val="23"/>
          <w:rtl/>
        </w:rPr>
        <w:t>(דאיהי היכל יהו"ה)</w:t>
      </w:r>
      <w:r>
        <w:rPr>
          <w:rtl/>
        </w:rPr>
        <w:t xml:space="preserve">, דְּשַׁרְיָא בֵּיהּ </w:t>
      </w:r>
      <w:r>
        <w:rPr>
          <w:sz w:val="20"/>
          <w:szCs w:val="23"/>
          <w:rtl/>
        </w:rPr>
        <w:t xml:space="preserve">(דף ל ע''א) </w:t>
      </w:r>
      <w:r>
        <w:rPr>
          <w:rtl/>
        </w:rPr>
        <w:t xml:space="preserve">צְלוֹתָא דְאִיהִי אדנ''י, דְּאָמְרִין לָהּ אדנ''י שְׂפָתַי תִּפְתָּח, וְזַכָּאִין שִׂפְוָון דְּאִינוּן תַּרְעִין דְּהֵיכָלָא, כְּגַוְונָא דְאִלֵּין דְּאִתְּמַר בְּהוֹן </w:t>
      </w:r>
      <w:r>
        <w:rPr>
          <w:sz w:val="20"/>
          <w:szCs w:val="23"/>
          <w:rtl/>
        </w:rPr>
        <w:t>(שם קיח יט)</w:t>
      </w:r>
      <w:r>
        <w:rPr>
          <w:rtl/>
        </w:rPr>
        <w:t xml:space="preserve"> </w:t>
      </w:r>
      <w:r>
        <w:rPr>
          <w:rStyle w:val="a7"/>
          <w:rtl/>
        </w:rPr>
        <w:footnoteReference w:id="2027"/>
      </w:r>
      <w:r>
        <w:rPr>
          <w:rtl/>
        </w:rPr>
        <w:t xml:space="preserve">פִּתְחוּ לִי שַׁעֲרֵי צֶדֶק, </w:t>
      </w:r>
      <w:r>
        <w:rPr>
          <w:rStyle w:val="a7"/>
          <w:rtl/>
        </w:rPr>
        <w:footnoteReference w:id="2028"/>
      </w:r>
      <w:r>
        <w:rPr>
          <w:rtl/>
        </w:rPr>
        <w:t xml:space="preserve">דְּכַד פּוּמֵיהּ פָּתַח בִּצְלוֹתָא בִשְׁכִינְתָּא, וַיְיָ' יַעֲנֶה מִיָּד, הֲדָא הוּא דִכְתִיב </w:t>
      </w:r>
      <w:r>
        <w:rPr>
          <w:sz w:val="20"/>
          <w:szCs w:val="23"/>
          <w:rtl/>
        </w:rPr>
        <w:t>(ישעיה נח ט)</w:t>
      </w:r>
      <w:r>
        <w:rPr>
          <w:rtl/>
        </w:rPr>
        <w:t xml:space="preserve"> אָז תִּקְרָא וַיְיָ' יַעֲנֶה, </w:t>
      </w:r>
      <w:r>
        <w:rPr>
          <w:rStyle w:val="a7"/>
          <w:rtl/>
        </w:rPr>
        <w:footnoteReference w:id="2029"/>
      </w:r>
      <w:r>
        <w:rPr>
          <w:rtl/>
        </w:rPr>
        <w:t xml:space="preserve">אָ''ז תְּמַנְיָא אַתְוָון יהו''ה אהי''ה, וַיְיָ' יַעֲנֶה הוּא </w:t>
      </w:r>
      <w:r>
        <w:rPr>
          <w:rStyle w:val="a7"/>
          <w:rtl/>
        </w:rPr>
        <w:footnoteReference w:id="2030"/>
      </w:r>
      <w:r>
        <w:rPr>
          <w:rtl/>
        </w:rPr>
        <w:t xml:space="preserve">וּבֵית דִּינוֹ, וְדָא יהו''ה אדנ''י יאהדונה''י, לָקֳבֵל תְּמַנְיָא אַתְוָון, אִלֵּין אִינוּן </w:t>
      </w:r>
      <w:r>
        <w:rPr>
          <w:rStyle w:val="a7"/>
          <w:rtl/>
        </w:rPr>
        <w:footnoteReference w:id="2031"/>
      </w:r>
      <w:r>
        <w:rPr>
          <w:rtl/>
        </w:rPr>
        <w:t xml:space="preserve">אַתְוָון </w:t>
      </w:r>
      <w:r>
        <w:rPr>
          <w:sz w:val="20"/>
          <w:szCs w:val="23"/>
          <w:rtl/>
        </w:rPr>
        <w:t xml:space="preserve">(נ"א חֵיוָון) </w:t>
      </w:r>
      <w:r>
        <w:rPr>
          <w:rtl/>
        </w:rPr>
        <w:t>דְּחַשְׁמַ''ל, דְּאִינוּן חֵיוָון דְּאֶשָּׁא, פַּעַם חָשׁוֹת וּפַעַם מְמַלְּלוֹת, בִּצְלוֹתָא מְיוּשָׁב מְמַלְּלוֹת, בִּצְלוֹתָא דִמְעוּמֶד חָשׁוֹת.</w:t>
      </w:r>
    </w:p>
    <w:p w:rsidR="00606298" w:rsidRDefault="00606298" w:rsidP="00B17EA9">
      <w:pPr>
        <w:pStyle w:val="NormalWeb"/>
        <w:rPr>
          <w:rtl/>
        </w:rPr>
      </w:pPr>
      <w:r>
        <w:rPr>
          <w:rtl/>
        </w:rPr>
        <w:t>[בנ"א כתוב: כאן שייך מן וכד ב"נ מצלי כו' עד בתיקונא דא דלהלן. ובד"א ומנטובה הוא נ"ב כאן בהגהה]:</w:t>
      </w:r>
    </w:p>
    <w:p w:rsidR="00606298" w:rsidRDefault="00606298" w:rsidP="00B17EA9">
      <w:pPr>
        <w:pStyle w:val="NormalWeb"/>
        <w:rPr>
          <w:rtl/>
        </w:rPr>
      </w:pPr>
      <w:r>
        <w:rPr>
          <w:rtl/>
        </w:rPr>
        <w:t xml:space="preserve">וְתָא חֲזִי, אִם בַּר נַשׁ סָלִיק בְּמַחֲשַׁבְתֵּיהּ בִּצְלוֹתָא דִילֵיהּ לִשְׁכִינְתָּא, אוֹ בְּכָל פִּקּוּדָא וּפִקּוּדָא דְעָבִיד, מִיָּד דְּדָפִיק לְפִתְחָא דְהֵיכָלָא דְמַלְכָּא, </w:t>
      </w:r>
      <w:r>
        <w:rPr>
          <w:rStyle w:val="a7"/>
          <w:rtl/>
        </w:rPr>
        <w:footnoteReference w:id="2032"/>
      </w:r>
      <w:r>
        <w:rPr>
          <w:rtl/>
        </w:rPr>
        <w:t xml:space="preserve">נָבִיא אוֹ חוֹזֶה </w:t>
      </w:r>
      <w:r>
        <w:rPr>
          <w:rStyle w:val="a7"/>
          <w:rtl/>
        </w:rPr>
        <w:footnoteReference w:id="2033"/>
      </w:r>
      <w:r>
        <w:rPr>
          <w:rtl/>
        </w:rPr>
        <w:t xml:space="preserve">אוֹ חָכָם </w:t>
      </w:r>
      <w:r>
        <w:rPr>
          <w:rStyle w:val="a7"/>
          <w:rtl/>
        </w:rPr>
        <w:footnoteReference w:id="2034"/>
      </w:r>
      <w:r>
        <w:rPr>
          <w:rtl/>
        </w:rPr>
        <w:t xml:space="preserve">אוֹ צַדִּיק </w:t>
      </w:r>
      <w:r>
        <w:rPr>
          <w:rStyle w:val="a7"/>
          <w:rtl/>
        </w:rPr>
        <w:footnoteReference w:id="2035"/>
      </w:r>
      <w:r>
        <w:rPr>
          <w:rtl/>
        </w:rPr>
        <w:t xml:space="preserve">אוֹ חָסִיד, מִיָּד דְּקָרָא לָהּ לְתַרְעָא, </w:t>
      </w:r>
      <w:r>
        <w:rPr>
          <w:rStyle w:val="a7"/>
          <w:rtl/>
        </w:rPr>
        <w:footnoteReference w:id="2036"/>
      </w:r>
      <w:r>
        <w:rPr>
          <w:rtl/>
        </w:rPr>
        <w:t xml:space="preserve">אִם שְׁכִינְתָּא סְלִיקַת תַּמָּן, יְיָ' יַעֲנֶה מִיָּד, וְלָא אַמְתִּין לְעֶבֶד אוֹ מְמַנָּא דְאַפְתַּח לֵיהּ, אֶלָּא אִיהוּ מַמָּשׁ אַפְתַּח לֵיהּ, מֵחֲבִיבוּ וּרְחִימוּ דְאִית לֵיהּ לְגַבָּהּ כְּחָתָן לְגַבֵּי כַלָּה, וְאִם שְׁכִינְתָּא לָא סְלִיקַת בְּהַהוּא צְלוֹתָא אוֹ פִקּוּדָא, לָא חָשִׁיב לֵיהּ קוּדְשָׁא בְּרִיךְ הוּא לְמִפְתַּח לֵיהּ הֵיכָלֵיהּ, וַאֲפִילוּ עַל יְדֵי שִׁלּוּחָא. וְלַאו אִיהוּ כְדַאי לְמֵיעָאל לְהֵיכָלָא דְמַלְכָּא, וַעֲלֵיהּ אִתְּמַר </w:t>
      </w:r>
      <w:r>
        <w:rPr>
          <w:sz w:val="20"/>
          <w:szCs w:val="23"/>
          <w:rtl/>
        </w:rPr>
        <w:t>(דברים כד יא)</w:t>
      </w:r>
      <w:r>
        <w:rPr>
          <w:rtl/>
        </w:rPr>
        <w:t xml:space="preserve"> בַּחוּץ תַּעֲמֹד, וּמִלְּבָר יָהֲבִין לֵיהּ בָּעוּתֵיהּ, עַל יְדֵי שְׁלוּחָא אוֹ מְמַנָּא, וְאִי לָא סָלִיק צְלוֹתֵיהּ כִּדְקָא יָאוּת, דַּחְיָין לֵיהּ לְבָר, וְסָגְרִין תַּרְעִין בְּאַנְפּוֹי, וַעֲלֵיהּ אִתְּמַר </w:t>
      </w:r>
      <w:r>
        <w:rPr>
          <w:sz w:val="20"/>
          <w:szCs w:val="23"/>
          <w:rtl/>
        </w:rPr>
        <w:t>(משלי א כח)</w:t>
      </w:r>
      <w:r>
        <w:rPr>
          <w:rtl/>
        </w:rPr>
        <w:t xml:space="preserve"> אָז יִקְרָאֻנְנִי וְלֹא אֶעֱנֶה יְשַׁחֲרֻנְנִי וְלֹא יִמְצָאֻנְנִי.</w:t>
      </w:r>
    </w:p>
    <w:p w:rsidR="00606298" w:rsidRDefault="00606298" w:rsidP="00B17EA9">
      <w:pPr>
        <w:pStyle w:val="aa"/>
        <w:rPr>
          <w:rtl/>
        </w:rPr>
      </w:pPr>
      <w:r>
        <w:rPr>
          <w:rtl/>
        </w:rPr>
        <w:t>[תיקוני זוהר - דף ל ע''ב]</w:t>
      </w:r>
    </w:p>
    <w:p w:rsidR="00606298" w:rsidRDefault="00606298" w:rsidP="00B17EA9">
      <w:pPr>
        <w:pStyle w:val="NormalWeb"/>
        <w:rPr>
          <w:rtl/>
        </w:rPr>
      </w:pPr>
      <w:r>
        <w:rPr>
          <w:rtl/>
        </w:rPr>
        <w:t xml:space="preserve">וְהָכִי כַּד קָרָאן יִשְׂרָאֵל כָּל חַד וְחַד לְקוּדְשָׁא בְּרִיךְ הוּא, בִּקְרִיאַת שְׁמַע אוֹ בִצְלוֹתָא אוֹ בְכָל פִּקּוּדָא, אִם שְׁכִינְתָּא לַאו אִיהִי תַמָּן לָא נָחִית תַּמָּן, הֲדָא הוּא דִכְתִיב </w:t>
      </w:r>
      <w:r>
        <w:rPr>
          <w:sz w:val="20"/>
          <w:szCs w:val="23"/>
          <w:rtl/>
        </w:rPr>
        <w:t>(שמות כ כד)</w:t>
      </w:r>
      <w:r>
        <w:rPr>
          <w:rtl/>
        </w:rPr>
        <w:t xml:space="preserve"> בְּכָל מָקוֹם אֲשֶׁר אַזְכִּיר אֶת שְׁמִי אָבֹא אֵלֶיךָ וּבֵרַכְתִּיךָ, וְתִרְגֵּם אֹנְקְלוֹס בְּכָל אֲתַר </w:t>
      </w:r>
      <w:r>
        <w:rPr>
          <w:sz w:val="20"/>
          <w:szCs w:val="23"/>
          <w:rtl/>
        </w:rPr>
        <w:t xml:space="preserve">(דף ל ע''ב) </w:t>
      </w:r>
      <w:r>
        <w:rPr>
          <w:rtl/>
        </w:rPr>
        <w:t xml:space="preserve">דְּאַשְׁרֵי שְׁכִינְתִּי תַמָּן וְגוֹמֵר, דְּכַד בַּר נַשׁ סְלִיק שְׁכִינְתָּא בְּפִקּוּדִין דִּילֵיהּ לְגַבֵּי קוּדְשָׁא בְּרִיךְ הוּא, קוּדְשָׁא בְּרִיךְ הוּא נָחִית עֲלֵיהּ בְּגִינָהּ, וּבְגִין דָּא אָמַר הַנָּבִיא </w:t>
      </w:r>
      <w:r>
        <w:rPr>
          <w:sz w:val="20"/>
          <w:szCs w:val="23"/>
          <w:rtl/>
        </w:rPr>
        <w:t>(ירמיה ט כב)</w:t>
      </w:r>
      <w:r>
        <w:rPr>
          <w:rtl/>
        </w:rPr>
        <w:t>, אַל יִתְהַלֵּל וְגוֹמֵר, כִּי אִם בְּזֹאת וְהָא אוּקְמוּהוּ.</w:t>
      </w:r>
    </w:p>
    <w:p w:rsidR="00606298" w:rsidRDefault="00606298" w:rsidP="00B17EA9">
      <w:pPr>
        <w:pStyle w:val="NormalWeb"/>
        <w:rPr>
          <w:rtl/>
        </w:rPr>
      </w:pPr>
      <w:r>
        <w:rPr>
          <w:rStyle w:val="a7"/>
          <w:rtl/>
        </w:rPr>
        <w:footnoteReference w:id="2037"/>
      </w:r>
      <w:r>
        <w:rPr>
          <w:rtl/>
        </w:rPr>
        <w:t xml:space="preserve">וְהָכִי כַד בַּר נַשׁ נָחִית לְקוּדְשָׁא בְּרִיךְ הוּא בִּצְלוֹתֵיהּ לְגַבֵּי שְׁכִינְתָּא, מִיָּד שְׁכִינְתָּא אַקְדִּימַת (נ"א וְהָכִי כַד בַּר נַשׁ סָלִיק שְׁכִינְתָּא בִצְלוֹתָא דִילֵיהּ לְגַבֵּי קוּדְשָׁא בְּרִיךְ הוּא, קוּדְשָׁא בְּרִיךְ הוּא נָחִית לָקֳבֵל צְלוֹתֵיהּ, וּשְׁכִינְתֵּיהּ אַקְדִּימַת), לְאַפְתָּחָא לֵיהּ, הֲדָא הוּא דִכְתִיב (בראשית כד טו) וַיְהִי הוּא טֶרֶם כִּלָּה לְדַבֵּר, וְהִנֵּה רִבְקָה יֹצֵאת, וְדָא אִיהוּ רָזָא דְאוּקְמוּהָ מָארֵי מַתְנִיתִין, אִם שְׁגוּרָה תְּפִלָּתִי בְּפִי יוֹדֵעַ אֲנִי שֶׁהוּא מְקוּבָּל, וְאִם לַאו יוֹדֵעַ אֲנִי שֶׁהוּא מְטוֹרָף, וְטוֹרְפִין לוֹ צְלוֹתֵיהּ בְּאַנְפּוֹי, וּבְגִין דָּא וַיְהִי הוּא טֶרֶם כִּלָּה לְדַבֵּר, וּלְמַלְּלָא בִצְלוֹתֵיהּ בְּשֵׁם יְיָ', מִיָּד שְׁכִינְתָּא נָפְקַת לְגַבֵּיהּ וּבְגִינֵיהּ נָחְתַת שְׁכִינְתָּא לְרַגְלוֹי, הֲדָא הוּא דִכְתִיב (תהלים פה יד) צֶדֶק לְפָנָיו יְהַלֵּךְ וְיָשֵׂם </w:t>
      </w:r>
      <w:r>
        <w:rPr>
          <w:rStyle w:val="a7"/>
          <w:rtl/>
        </w:rPr>
        <w:footnoteReference w:id="2038"/>
      </w:r>
      <w:r>
        <w:rPr>
          <w:rtl/>
        </w:rPr>
        <w:t>לְדֶרֶךְ פְּעָמָיו.</w:t>
      </w:r>
    </w:p>
    <w:p w:rsidR="00606298" w:rsidRDefault="00606298" w:rsidP="00B17EA9">
      <w:pPr>
        <w:pStyle w:val="NormalWeb"/>
        <w:rPr>
          <w:rtl/>
        </w:rPr>
      </w:pPr>
      <w:r>
        <w:rPr>
          <w:rtl/>
        </w:rPr>
        <w:t xml:space="preserve">וְכַד שְׁכִינְתָּא אִיהִי עוֹמֶדֶת עַל יִשְׂרָאֵל, וְיִשְׂרָאֵל </w:t>
      </w:r>
      <w:r>
        <w:rPr>
          <w:rStyle w:val="a7"/>
          <w:rtl/>
        </w:rPr>
        <w:footnoteReference w:id="2039"/>
      </w:r>
      <w:r>
        <w:rPr>
          <w:rtl/>
        </w:rPr>
        <w:t xml:space="preserve">אִינוּן רַגְלִין דְּקָמַת עֲלַיְהוּ בִּצְלוּתָא, קוּדְשָׁא בְּרִיךְ הוּא מְשַׁבַּח לָהּ בְּהוֹן, מַה יָּפוּ </w:t>
      </w:r>
      <w:r>
        <w:rPr>
          <w:rStyle w:val="a7"/>
          <w:rtl/>
        </w:rPr>
        <w:footnoteReference w:id="2040"/>
      </w:r>
      <w:r>
        <w:rPr>
          <w:rtl/>
        </w:rPr>
        <w:t xml:space="preserve">פְעָמַיִךְ בַּנְּעָלִים וְגוֹמֵר </w:t>
      </w:r>
      <w:r>
        <w:rPr>
          <w:sz w:val="20"/>
          <w:szCs w:val="23"/>
          <w:rtl/>
        </w:rPr>
        <w:t>(שיר ז ב)</w:t>
      </w:r>
      <w:r>
        <w:rPr>
          <w:rtl/>
        </w:rPr>
        <w:t xml:space="preserve">, וְעוֹד מַה יָּפוּ פְעָמַיִךְ, כַּד יִשְׂרָאֵל הֲווֹ מְקַיְּימִין שָׁלֹשׁ פְּעָמִים בַּשָּׁנָה, וְעוֹד מַה יָּפוּ פְעָמַיִךְ בַּנְּעָלִים, בְּזִמְנָא דְעָמְדוּ יִשְׂרָאֵל עַל טוּרָא דְסִינַי, דַּעֲלַיְיהוּ אִתְּמַר </w:t>
      </w:r>
      <w:r>
        <w:rPr>
          <w:sz w:val="20"/>
          <w:szCs w:val="23"/>
          <w:rtl/>
        </w:rPr>
        <w:t>(זכריה יד ד)</w:t>
      </w:r>
      <w:r>
        <w:rPr>
          <w:rtl/>
        </w:rPr>
        <w:t xml:space="preserve"> וְעָמְדוּ </w:t>
      </w:r>
      <w:r>
        <w:rPr>
          <w:rStyle w:val="a7"/>
          <w:rtl/>
        </w:rPr>
        <w:footnoteReference w:id="2041"/>
      </w:r>
      <w:r>
        <w:rPr>
          <w:rtl/>
        </w:rPr>
        <w:t xml:space="preserve">רַגְלָיו בַּיּוֹם הַהוּא, וְעוֹד מַה יָּפוּ פְעָמַיִךְ בַּנְּעָלִים, כַּד קַיְימִין בְּרֹאשׁ הַשָּׁנָה בְּיוֹמָא דְּדִינָא בִצְלוֹתָא, קוּדְשָׁא בְּרִיךְ הוּא </w:t>
      </w:r>
      <w:r>
        <w:rPr>
          <w:rStyle w:val="a7"/>
          <w:rtl/>
        </w:rPr>
        <w:footnoteReference w:id="2042"/>
      </w:r>
      <w:r>
        <w:rPr>
          <w:rtl/>
        </w:rPr>
        <w:t xml:space="preserve">בְּגִינַיְיהוּ עוֹמֵד מִכִּסֵּא דִין וְיוֹשֵׁב עַל כִּסֵּא רַחֲמִים, בְּזִמְנָא דְאִינוּן קַיְימִין בִּשְׁכִינְתָּא בְגָלוּתָא, וְסָבְלִין עֲלַיְיהוּ כַמָּה דִינִין וְכַמָּה יִסּוּרִין, דְּאָמְרִין כִּי עָלֶיךָ הוֹרַגְנוּ כָל הַיּוֹם נֶחְשַׁבְנוּ כְּצֹאן טִבְחָה </w:t>
      </w:r>
      <w:r>
        <w:rPr>
          <w:sz w:val="20"/>
          <w:szCs w:val="23"/>
          <w:rtl/>
        </w:rPr>
        <w:t>(תהלים מד כג)</w:t>
      </w:r>
      <w:r>
        <w:rPr>
          <w:rtl/>
        </w:rPr>
        <w:t>.</w:t>
      </w:r>
    </w:p>
    <w:p w:rsidR="00606298" w:rsidRDefault="00606298" w:rsidP="00B17EA9">
      <w:pPr>
        <w:pStyle w:val="NormalWeb"/>
        <w:rPr>
          <w:rtl/>
        </w:rPr>
      </w:pPr>
      <w:r>
        <w:rPr>
          <w:rtl/>
        </w:rPr>
        <w:t>[בנ"א כתוב שכאן שייך ת"ח יהו"ה כו' דלהלן, והמוסגר שבנתיים שייך לעיל קודם ות"ח אם ב"נ כו' כמו שכתבנו שם]:</w:t>
      </w:r>
    </w:p>
    <w:p w:rsidR="00606298" w:rsidRDefault="00606298" w:rsidP="00B17EA9">
      <w:pPr>
        <w:pStyle w:val="aa"/>
        <w:rPr>
          <w:rtl/>
        </w:rPr>
      </w:pPr>
      <w:r>
        <w:rPr>
          <w:rtl/>
        </w:rPr>
        <w:t xml:space="preserve">[תיקוני זוהר </w:t>
      </w:r>
      <w:r>
        <w:t>–</w:t>
      </w:r>
      <w:r>
        <w:rPr>
          <w:rtl/>
        </w:rPr>
        <w:t>דף ל ע''א בהגהה]</w:t>
      </w:r>
    </w:p>
    <w:p w:rsidR="00606298" w:rsidRDefault="00606298" w:rsidP="00B17EA9">
      <w:pPr>
        <w:pStyle w:val="NormalWeb"/>
        <w:rPr>
          <w:rtl/>
        </w:rPr>
      </w:pPr>
      <w:r>
        <w:rPr>
          <w:sz w:val="20"/>
          <w:szCs w:val="23"/>
          <w:rtl/>
        </w:rPr>
        <w:t>(דף ל ע''א בהגהה) [</w:t>
      </w:r>
      <w:r>
        <w:rPr>
          <w:rtl/>
        </w:rPr>
        <w:t xml:space="preserve">וְכַד בַּר נַשׁ מְצַלֵּי, צָרִיךְ בְּקַדְמֵיתָא לְנַחְתָא קוּדְשָׁא בְּרִיךְ הוּא דְאִיהוּ יהו''ה בִּקְרִיאַת שְׁמַע, </w:t>
      </w:r>
      <w:r>
        <w:rPr>
          <w:rStyle w:val="a7"/>
          <w:rtl/>
        </w:rPr>
        <w:footnoteReference w:id="2043"/>
      </w:r>
      <w:r>
        <w:rPr>
          <w:rtl/>
        </w:rPr>
        <w:t xml:space="preserve">וְלֵיהּ אָמְרִין שְׁמַע יִשְׂרָאֵל, בְּכָל שַׁבָּתוֹת וְיֹמִין טָבִין, </w:t>
      </w:r>
      <w:r>
        <w:rPr>
          <w:rStyle w:val="a7"/>
          <w:rtl/>
        </w:rPr>
        <w:footnoteReference w:id="2044"/>
      </w:r>
      <w:r>
        <w:rPr>
          <w:rtl/>
        </w:rPr>
        <w:t xml:space="preserve">בְּגִין דְּיוֹמִין דְּחוֹל תַּרְעָא דְהֵיכָלָא פְּנִימָאָה אִיהִי סְתִימָא, הֲדָא הוּא דִכְתִיב </w:t>
      </w:r>
      <w:r>
        <w:rPr>
          <w:sz w:val="20"/>
          <w:szCs w:val="23"/>
          <w:rtl/>
        </w:rPr>
        <w:t>(יחזקאל מו א)</w:t>
      </w:r>
      <w:r>
        <w:rPr>
          <w:rtl/>
        </w:rPr>
        <w:t xml:space="preserve"> כֹּה אָמַר אדנ''י אלהי''ם שַׁעַר הֶחָצֵר הַפְּנִימִית </w:t>
      </w:r>
      <w:r>
        <w:rPr>
          <w:rStyle w:val="a7"/>
          <w:rtl/>
        </w:rPr>
        <w:footnoteReference w:id="2045"/>
      </w:r>
      <w:r>
        <w:rPr>
          <w:rtl/>
        </w:rPr>
        <w:t xml:space="preserve">הַפֹּנֶה קָדִים יִהְיֶה סָגוּר שֵׁשֶׁת יְמֵי הַמַּעֲשֶׂה, וְאַמַּאי </w:t>
      </w:r>
      <w:r>
        <w:rPr>
          <w:rStyle w:val="a7"/>
          <w:rtl/>
        </w:rPr>
        <w:footnoteReference w:id="2046"/>
      </w:r>
      <w:r>
        <w:rPr>
          <w:rtl/>
        </w:rPr>
        <w:t>בְּגִין דְמטטרון שַׁלִּיט עֲלַיְיהוּ, וּבְיוֹם הַשַּׁבָּת דְּיֵיתֵי בַעְלָהּ יִפָּתֵחַ, וְכֵן בְּיוֹם הַחֹדֶשׁ יִפָּתֵחַ, וּבְגִין דָּא, כַּד נָחִית בַּר נַשׁ יהו''ה בִּקְרִיאַת שְׁמַע, צָרִיךְ לְנַחְתָא לֵיהּ בְּאדנ''י, דְּאִיהוּ בְּפִימֵיהּ, וּבְגִין דָּא אדנ''י שְׂפָתַי תִּפְתָּח וּפִי יַגִּיד תְּהִלָּתֶךָ.</w:t>
      </w:r>
    </w:p>
    <w:p w:rsidR="00606298" w:rsidRDefault="00606298" w:rsidP="00B17EA9">
      <w:pPr>
        <w:pStyle w:val="NormalWeb"/>
        <w:rPr>
          <w:rtl/>
        </w:rPr>
      </w:pPr>
      <w:r>
        <w:rPr>
          <w:rtl/>
        </w:rPr>
        <w:t xml:space="preserve">דִתְלַת צְלוֹתִין אִינוּן בְּשַׁבָּת, וּרְבִיעָאָה צְלוֹתָא דְמוּסָף, צְלוֹתָא דְעַרְבִית אַתָּה קִדַּשְׁתָּ, וְדָא שְׁכִינְתָּא תַּתָּאָה, דְאִיהִי מִסִּטְרָא דִשְׂמָאלָא, דְתַמָּן לֵיוָאֵי, דְאִתְּמַר בְּהוֹן וְקִדַּשְׁתָּ אֶת הַלְוִיִּם, צְלוֹתָא דְשַׁחֲרִית יִשְׂמַח מֹשֶׁה </w:t>
      </w:r>
      <w:r>
        <w:rPr>
          <w:rStyle w:val="a7"/>
          <w:rtl/>
        </w:rPr>
        <w:footnoteReference w:id="2047"/>
      </w:r>
      <w:r>
        <w:rPr>
          <w:rtl/>
        </w:rPr>
        <w:t xml:space="preserve">בְּמַתְּנַת חֶלְקוֹ, וְדָא נִשְׁמַת </w:t>
      </w:r>
      <w:r>
        <w:rPr>
          <w:rStyle w:val="a7"/>
          <w:rtl/>
        </w:rPr>
        <w:footnoteReference w:id="2048"/>
      </w:r>
      <w:r>
        <w:rPr>
          <w:rtl/>
        </w:rPr>
        <w:t xml:space="preserve">כָּל חַי, דְאִיהִי אִימָּא עִלָּאָה, עֲלָהּ אִתְּמַר </w:t>
      </w:r>
      <w:r>
        <w:rPr>
          <w:sz w:val="20"/>
          <w:szCs w:val="23"/>
          <w:rtl/>
        </w:rPr>
        <w:t>(תהלים סח יד)</w:t>
      </w:r>
      <w:r>
        <w:rPr>
          <w:rtl/>
        </w:rPr>
        <w:t xml:space="preserve"> אִם תִּשְׁכְּבוּן בֵּין שְׁפַתָּיִם, אַל תִּקְרֵי אִם אֶלָּא אֵם, דַּעֲלָהּ אִתְּמַר </w:t>
      </w:r>
      <w:r>
        <w:rPr>
          <w:sz w:val="20"/>
          <w:szCs w:val="23"/>
          <w:rtl/>
        </w:rPr>
        <w:t>(בראשית כח יא)</w:t>
      </w:r>
      <w:r>
        <w:rPr>
          <w:rtl/>
        </w:rPr>
        <w:t xml:space="preserve"> וַיִּשְׁכַּב בַּמָּקוֹם הַהוּא, בַּאֲתַר </w:t>
      </w:r>
      <w:r>
        <w:rPr>
          <w:rStyle w:val="a7"/>
          <w:rtl/>
        </w:rPr>
        <w:footnoteReference w:id="2049"/>
      </w:r>
      <w:r>
        <w:rPr>
          <w:rtl/>
        </w:rPr>
        <w:t xml:space="preserve">דְּיֵשׁ כ''ב אַתְוָון דְּאוֹרַיְיתָא שְׁכִיבַת תַּמָּן, זַכָּאָה אִיהִי פוּמָא, </w:t>
      </w:r>
      <w:r>
        <w:rPr>
          <w:rStyle w:val="a7"/>
          <w:rtl/>
        </w:rPr>
        <w:footnoteReference w:id="2050"/>
      </w:r>
      <w:r>
        <w:rPr>
          <w:rtl/>
        </w:rPr>
        <w:t>דְאוֹרַיְיתָא דְהַהִיא שְׁכִינְתָּא שְׁכִיבַת תַּמָּן.</w:t>
      </w:r>
    </w:p>
    <w:p w:rsidR="00606298" w:rsidRDefault="00606298" w:rsidP="00B17EA9">
      <w:pPr>
        <w:pStyle w:val="NormalWeb"/>
        <w:rPr>
          <w:rtl/>
        </w:rPr>
      </w:pPr>
      <w:r>
        <w:rPr>
          <w:rtl/>
        </w:rPr>
        <w:t xml:space="preserve">צְלוֹתָא תְּלִיתָאָה אַתָּה אֶחָד וְשִׁמְךָ אֶחָד, דָּא יהו''ה עַמּוּדָא דְאֶמְצָעִיתָא דַאֲחִיד בְּתַרְוַיְיהוּ, </w:t>
      </w:r>
      <w:r>
        <w:rPr>
          <w:rStyle w:val="a7"/>
          <w:rtl/>
        </w:rPr>
        <w:footnoteReference w:id="2051"/>
      </w:r>
      <w:r>
        <w:rPr>
          <w:rtl/>
        </w:rPr>
        <w:t xml:space="preserve">וְאִינוּן נְשָׁמָה יְתֵירָה וְרוּחַ יְתֵירָה וְנֶפֶשׁ יְתֵירָה, נֶפֶשׁ יְתֵירָה בְּעֶרֶב שַׁבָּת, אַתָּה קִדַּשְׁתָּ, נְשָׁמָה יְתֵירָה נִשְׁמַת כָּל חַי, דְּאִתְּמַר בָּהּ יִשְׂמַח מֹשֶׁה בְּמַתְּנַת חֶלְקוֹ, רוּחַ יְתֵירָה אַתָּה אֶחָד וְשִׁמְךָ אֶחָד, זַכָּאָה אִיהוּ מָאן דְּאַפְתַּח פִּימוֹי בִּתְלַת צְלוֹתִין, לְקַבְּלָא לוֹן בְּשַׁבָּת, תְּפִלַּת מוּסָף דָּא צַדִּיק, דְּכָלִיל כֻּלְּהוּ צְלוֹתִין, וּבֵיהּ אָמְרִין בִּצְלוֹתָא דְמוּסָף כֶּתֶר יִתְּנוּ לְךָ יְיָ' אלהינ''ו וְכֶתֶר אִיהוּ כֶתֶר עֶלְיוֹן, יְיָ' אלהינ''ו אַבָּא וְאִימָּא, קָדוֹשׁ קָדוֹשׁ קָדוֹשׁ תְּלַת אֲבָהָן, יְיָ' צבאו''ת </w:t>
      </w:r>
      <w:r>
        <w:rPr>
          <w:rStyle w:val="a7"/>
          <w:rtl/>
        </w:rPr>
        <w:footnoteReference w:id="2052"/>
      </w:r>
      <w:r>
        <w:rPr>
          <w:rtl/>
        </w:rPr>
        <w:t>בְּרִית מִילָה וּתְרֵין יַרְכֵי קְשׁוֹט, מְלֹא כָל הָאָרֶץ כְּבוֹדוֹ דָא שְׁכִינְתָּא.</w:t>
      </w:r>
    </w:p>
    <w:p w:rsidR="00606298" w:rsidRDefault="00606298" w:rsidP="00B17EA9">
      <w:pPr>
        <w:pStyle w:val="aa"/>
        <w:rPr>
          <w:rtl/>
        </w:rPr>
      </w:pPr>
      <w:bookmarkStart w:id="154" w:name="_Toc228095624"/>
      <w:bookmarkStart w:id="155" w:name="_Toc231638062"/>
      <w:r>
        <w:rPr>
          <w:rtl/>
        </w:rPr>
        <w:t>[תיקוני זוהר - דף ל ע''ב בהגהה]</w:t>
      </w:r>
      <w:bookmarkEnd w:id="154"/>
      <w:bookmarkEnd w:id="155"/>
    </w:p>
    <w:p w:rsidR="00606298" w:rsidRDefault="00606298" w:rsidP="00B17EA9">
      <w:pPr>
        <w:pStyle w:val="NormalWeb"/>
        <w:rPr>
          <w:rtl/>
        </w:rPr>
      </w:pPr>
      <w:r>
        <w:rPr>
          <w:rtl/>
        </w:rPr>
        <w:t xml:space="preserve">זַכָּאִין שִׂפְוָון דְּאִינוּן תַּרְעִין דְּהֵיכָלָא, לְקַבְּלָא </w:t>
      </w:r>
      <w:r>
        <w:rPr>
          <w:sz w:val="20"/>
          <w:szCs w:val="23"/>
          <w:rtl/>
        </w:rPr>
        <w:t xml:space="preserve">(דף ל ע''ב בהגהה) </w:t>
      </w:r>
      <w:r>
        <w:rPr>
          <w:rtl/>
        </w:rPr>
        <w:t xml:space="preserve">בְהוֹן צְלוֹתִין אִלֵּין, וּבְגִין דָּא אדנ''י שְׂפָתַי תִּפְתָּח </w:t>
      </w:r>
      <w:r>
        <w:rPr>
          <w:sz w:val="20"/>
          <w:szCs w:val="23"/>
          <w:rtl/>
        </w:rPr>
        <w:t>(תהלים נא יז)</w:t>
      </w:r>
      <w:r>
        <w:rPr>
          <w:szCs w:val="23"/>
          <w:rtl/>
        </w:rPr>
        <w:t xml:space="preserve">, </w:t>
      </w:r>
      <w:r>
        <w:rPr>
          <w:rStyle w:val="Char"/>
          <w:rtl/>
        </w:rPr>
        <w:t>פִּתְחוּ לִי שַׁעֲרֵי צֶדֶק</w:t>
      </w:r>
      <w:r>
        <w:rPr>
          <w:szCs w:val="23"/>
          <w:rtl/>
        </w:rPr>
        <w:t xml:space="preserve"> </w:t>
      </w:r>
      <w:r>
        <w:rPr>
          <w:sz w:val="20"/>
          <w:szCs w:val="23"/>
          <w:rtl/>
        </w:rPr>
        <w:t>(שם קיח יט)</w:t>
      </w:r>
      <w:r>
        <w:rPr>
          <w:rtl/>
        </w:rPr>
        <w:t xml:space="preserve">, דְּכַד בַּר נַשׁ אַפְתַּח פִּימוֹי בִּצְלוֹתָא בִשְׁכִינְתֵּיהּ, מִיָּד אָז תִּקְרָא וַיְיָ' יַעֲנֶה </w:t>
      </w:r>
      <w:r>
        <w:rPr>
          <w:sz w:val="20"/>
          <w:szCs w:val="23"/>
          <w:rtl/>
        </w:rPr>
        <w:t>(ישעיה נח ט)</w:t>
      </w:r>
      <w:r>
        <w:rPr>
          <w:rtl/>
        </w:rPr>
        <w:t>, הוּא וּבֵית דִּינוֹ, אָ''ז תְּמַנְיָא אַתְוָון דְּאִינוּן יהו''ה אהי''ה, אַבָּא וְאִימָּא, וַיְיָ' יַעֲנֶה מִיָּד הוּא וּבֵית דִּינוֹ יהו''ה אדנ''י.</w:t>
      </w:r>
    </w:p>
    <w:p w:rsidR="00606298" w:rsidRDefault="00606298" w:rsidP="00B17EA9">
      <w:pPr>
        <w:pStyle w:val="NormalWeb"/>
        <w:rPr>
          <w:rtl/>
        </w:rPr>
      </w:pPr>
      <w:r>
        <w:rPr>
          <w:rtl/>
        </w:rPr>
        <w:t xml:space="preserve">כַּד אִינוּן בְּאַבָּא וּבְאִימָּא, לִימִינָא וּשְׂמָאלָא, כָּל חַד אִיהוּ שֵׁם בִּפְנֵי עַצְמוֹ, וְכַד אִינוּן בְּכֶתֶר עֶלְיוֹן אִינוּן בְּיִחוּדָא חֲדָא, כְּגַוְונָא דָא יאההויה''ה, בְּחֶסֶד וּגְבוּרָה אִינוּן יהו''ה אהי''ה, עַנְפִין מִתְפָּרְדִין לִימִינָא וּשְׂמָאלָא, בְּעַמּוּדָא דְאֶמְצָעִיתָא אִינוּן תַּרְוַיְיהוּ בְיִחוּדָא חֲדָא, וְהָכִי אִינוּן עַנְפִין מִתְפָּרְדִין בְּנֶצַח וָהוֹד, יהו''ה לִימִינָא אהי''ה לִשְׂמָאלָא, בְּצַדִּיק מִתְיַחֲדִים, הָא הָכָא רָזָא דְאִילָנָא, דְאִתְפַּשְׁטָן עַנְפּוֹי מֵעִילָא, וּמִתְיַיחֲדִין בְּשָׁרְשׁוֹי לְתַתָּא, וְדָא עִץ הַחַיִּים. עִץ הַדַּעַת טוֹב, דְּלֵית בֵּיהּ רָע, מִתַּתָּא לְעִילָא, כְגַוְונָא דָא, אדנ''י שְׁכִינְתָּא תַתָּאָה, יהו''ה עַמּוּדָא דְאֶמְצָעִיתָא, וְאִינוּן בִּתְרֵין יַרְכִין עַנְפִין מִתְפָּרְדִין לִימִינָא וּשְׂמָאלָא, וְהָכִי בִתְרֵין דְּרוֹעִין מִתְפָּרְדִין עַנְפִין לִימִינָא וְלִשְׂמָאלָא, בְּצַדִּיק אִינוּן בְּיִחוּדָא חֲדָא יאהדונה''י, וְדָא רָזָא דְחַשְׁמַ''ל, חֵיוָון דְּאֶשָּׁא מְמַלְּלָן, </w:t>
      </w:r>
      <w:r>
        <w:rPr>
          <w:rStyle w:val="a7"/>
          <w:rtl/>
        </w:rPr>
        <w:footnoteReference w:id="2053"/>
      </w:r>
      <w:r>
        <w:rPr>
          <w:rtl/>
        </w:rPr>
        <w:t xml:space="preserve">כָּל הַכּוֹרֵעַ כּוֹרֵעַ בְּבָרוּךְ, דְּאִיהִי יאהדונה''י, </w:t>
      </w:r>
      <w:r>
        <w:rPr>
          <w:rStyle w:val="a7"/>
          <w:rtl/>
        </w:rPr>
        <w:footnoteReference w:id="2054"/>
      </w:r>
      <w:r>
        <w:rPr>
          <w:rtl/>
        </w:rPr>
        <w:t>וְכָל הַזּוֹקֵף זוֹקֵף בְּשֵׁם, בִּתְרֵין שְׁמָהָן וְדָא יהו''ה אהי''ה.</w:t>
      </w:r>
    </w:p>
    <w:p w:rsidR="00606298" w:rsidRDefault="00606298" w:rsidP="00B17EA9">
      <w:pPr>
        <w:pStyle w:val="NormalWeb"/>
        <w:rPr>
          <w:rtl/>
        </w:rPr>
      </w:pPr>
      <w:r>
        <w:rPr>
          <w:rtl/>
        </w:rPr>
        <w:t xml:space="preserve">וּבְהוֹן הֲוָה מְשַׁבַּח שְׁכִינְתָּא בְּשִׁיר הַשִּׁירִים מִתַּתָּא לְעִילָא, הֲדָא הוּא דִכְתִיב </w:t>
      </w:r>
      <w:r>
        <w:rPr>
          <w:sz w:val="20"/>
          <w:szCs w:val="23"/>
          <w:rtl/>
        </w:rPr>
        <w:t>(שיר השירים ז ב)</w:t>
      </w:r>
      <w:r>
        <w:rPr>
          <w:rtl/>
        </w:rPr>
        <w:t xml:space="preserve"> מַה יָּפוּ פְעָמַיִךְ בַּנְּעָלִים בַּת נָדִיב, חַמּוּקֵי יְרֵכַיִךְ כְּמוֹ חֲלָאִים מַעֲשֵׂה יְדֵי אֳמָּן, שָׁרְרֵךְ אַגַּן הַסַּהַר, שְׁנֵי שָׁדַיִךְ, צַוָּארֵךְ, רֹאשֵׁךְ, הָא הָכָא מִתַּתָּא לְעִילָא.</w:t>
      </w:r>
    </w:p>
    <w:p w:rsidR="00606298" w:rsidRDefault="00606298" w:rsidP="00B17EA9">
      <w:pPr>
        <w:pStyle w:val="NormalWeb"/>
        <w:rPr>
          <w:rtl/>
        </w:rPr>
      </w:pPr>
      <w:r>
        <w:rPr>
          <w:rtl/>
        </w:rPr>
        <w:t xml:space="preserve">וְהִיא מְשַׁבַּחַת לְקוּדְשָׁא בְּרִיךְ הוּא מֵעִילָא לְתַתָּא, רֹאשׁוֹ כֶּתֶם פָּז, עִינָיו, לְחָיָיו, שִׂפְתוֹתָיו, יָדָיו, שׁוֹקָיו, זַכָּאָה אִיהוּ מָאן דְּסָלִיק צְלוֹתָא בְּכָל אַתַר וְאַתַר (נ"א אֵבֶר וְאֵבֶר) בְּתִקּוּנָא דָא.] </w:t>
      </w:r>
      <w:r>
        <w:rPr>
          <w:rFonts w:hAnsi="Arial" w:cs="Guttman Drogolin"/>
          <w:sz w:val="25"/>
          <w:szCs w:val="25"/>
          <w:rtl/>
        </w:rPr>
        <w:t>ע"כ ההגהה</w:t>
      </w:r>
    </w:p>
    <w:p w:rsidR="00606298" w:rsidRDefault="00606298" w:rsidP="00B17EA9">
      <w:pPr>
        <w:pStyle w:val="NormalWeb"/>
        <w:rPr>
          <w:rtl/>
        </w:rPr>
      </w:pPr>
      <w:r>
        <w:rPr>
          <w:rtl/>
        </w:rPr>
        <w:t xml:space="preserve">תָּא חֲזִי יהו''ה אדנ''י אִיהוּ קוּדְשָׁא בְּרִיךְ הוּא וּשְׁכִינְתֵּיהּ, בִּתְרֵין שׁוֹקִין יהו''ה לִימִינָא אדנ''י לִשְׂמָאלָא, וְאִינוּן אַסְפַּקְלַרְיָאָה הַמְּאִירָה וְאַסְפַּקְלַרְיָאָה שֶׁאֵינָה מְאִירָה, בְּצַדִּיק תַּרְוַיְיהוּ חַד יאהדונה''י, וְהָכִי בִתְרֵין דְּרוֹעִין יהו''ה לִימִינָא אדנ''י לִשְׂמָאלָא, בְּעַמּוּדָא דְאֶמְצָעִיתָא יאהדונה''י תַּרְוַיְיהוּ בְּיִחוּדָא חֲדָא, בְּסוֹד אָמֵ''ן, </w:t>
      </w:r>
      <w:r>
        <w:rPr>
          <w:rStyle w:val="a7"/>
          <w:rtl/>
        </w:rPr>
        <w:footnoteReference w:id="2055"/>
      </w:r>
      <w:r>
        <w:rPr>
          <w:rtl/>
        </w:rPr>
        <w:t>וּבְגִין דָּא גָדוֹל הָעוֹנֶה אָמֵן יוֹתֵר מִן הַמְבָרֵךְ, הָא אִיהוּ מִתַּתָּא לְעִילָא.</w:t>
      </w:r>
    </w:p>
    <w:p w:rsidR="00606298" w:rsidRDefault="00606298" w:rsidP="00B17EA9">
      <w:pPr>
        <w:pStyle w:val="aa"/>
        <w:rPr>
          <w:rtl/>
        </w:rPr>
      </w:pPr>
      <w:bookmarkStart w:id="156" w:name="_Toc228095625"/>
      <w:bookmarkStart w:id="157" w:name="_Toc231638063"/>
      <w:r>
        <w:rPr>
          <w:rtl/>
        </w:rPr>
        <w:t>[תיקוני זוהר - דף לא ע''א]</w:t>
      </w:r>
      <w:bookmarkEnd w:id="156"/>
      <w:bookmarkEnd w:id="157"/>
    </w:p>
    <w:p w:rsidR="00606298" w:rsidRDefault="00606298" w:rsidP="00B17EA9">
      <w:pPr>
        <w:pStyle w:val="NormalWeb"/>
        <w:rPr>
          <w:rtl/>
        </w:rPr>
      </w:pPr>
      <w:r>
        <w:rPr>
          <w:rtl/>
        </w:rPr>
        <w:t xml:space="preserve">מֵעִילָא לְתַתָּא יהו''ה אהי''ה תַּרְוַיְיהוּ חַד בְּכֶתֶר עֶלְיוֹן, כְּגַוְונָא דָא יאההויה''ה, בְּחָכְמָה וּבִינָה יהו''ה אהי''ה, </w:t>
      </w:r>
      <w:r>
        <w:rPr>
          <w:sz w:val="20"/>
          <w:szCs w:val="23"/>
          <w:rtl/>
        </w:rPr>
        <w:t xml:space="preserve">(דף לא ע''א) </w:t>
      </w:r>
      <w:r>
        <w:rPr>
          <w:rtl/>
        </w:rPr>
        <w:t xml:space="preserve">בִּתְרֵין דְּרוֹעִין יהו''ה אהי''ה, בְּעַמּוּדָא דְאֶמְצָעִיתָא תַּרְוַיְיהוּ כַּחֲדָא, בְּנֶצַח וָהוֹד יהו''ה אהי''ה דָּא לִימִינָא וְדָא לִשְׂמָאלָא, בְּצַדִּיק תַּרְוַיְיהוּ בְּיִחוּדָא כַּחֲדָא, </w:t>
      </w:r>
      <w:r>
        <w:rPr>
          <w:rStyle w:val="a7"/>
          <w:rtl/>
        </w:rPr>
        <w:footnoteReference w:id="2056"/>
      </w:r>
      <w:r>
        <w:rPr>
          <w:rtl/>
        </w:rPr>
        <w:t>וְכֵן בְּמַלְכוּת תַּרְוַיְיהוּ בְּיִחוּדָא חֲדָא כְּגַוְונָא דָא יהו''ה אדנ''י, וּבָהּ מִתְחַבְּרִין יהו''ה אהי''ה, וּבְגִין דָּא אִיהִי קִרְיַת אַרְבַּע, חִבּוּרָא דְאַרְבַּע שְׁמָהָן, דְּאִינוּן בְּאַרְבַּע פָּרָשִׁיָּין דִּתְּפִלִּין דְּיָד, וּבְאַרְבַּע בָּתֵּי דִתְּפִלִּין דְּרֵישָׁא.</w:t>
      </w:r>
    </w:p>
    <w:p w:rsidR="00606298" w:rsidRDefault="00606298" w:rsidP="00B17EA9">
      <w:pPr>
        <w:pStyle w:val="NormalWeb"/>
        <w:rPr>
          <w:rtl/>
        </w:rPr>
      </w:pPr>
      <w:r>
        <w:rPr>
          <w:rtl/>
        </w:rPr>
        <w:t xml:space="preserve">וְכַד נָבִיא הֲוָה סָלִיק לְעִילָא, וְדָפִיק לְתַרְעָא, אִי הֲוָה סָלִיק בִּשְׁכִינְתָּא, הֲוָה פָתַח לֵיהּ מִיָּד, וַהֲוָה אָמַר לֵיהּ בֶּן אָדָם עֲמֹד עַל רַגְלֶיךָ וַאֲדַבֵּר אֹתָךְ </w:t>
      </w:r>
      <w:r>
        <w:rPr>
          <w:sz w:val="20"/>
          <w:szCs w:val="23"/>
          <w:rtl/>
        </w:rPr>
        <w:t>(יחזקאל ב א)</w:t>
      </w:r>
      <w:r>
        <w:rPr>
          <w:rtl/>
        </w:rPr>
        <w:t xml:space="preserve">, דְּאַנְתְּ הוּא דַהֲוִית סָבִיל לִשְׁכִינְתָּא בִצְלוֹתָא בַעֲמִידָה, עֲמוֹד עַל רַגְלֶיךָ, דְּאִתְּמַר בְּהוֹן </w:t>
      </w:r>
      <w:r>
        <w:rPr>
          <w:sz w:val="20"/>
          <w:szCs w:val="23"/>
          <w:rtl/>
        </w:rPr>
        <w:t>(שם א ז)</w:t>
      </w:r>
      <w:r>
        <w:rPr>
          <w:rtl/>
        </w:rPr>
        <w:t xml:space="preserve"> וְכַף רַגְלֵיהֶם כְּכַף רֶגֶל עִגֶל, עֲגוּלִים כַּנְּקוּדִים דְּאִינוּן מַנְהִיגִים לְאַתְוָון, וּמִסִּטְרָא דְאַתְוָון אִינוּן מְרוּבָּעִין, הֲדָא הוּא דִכְתִיב </w:t>
      </w:r>
      <w:r>
        <w:rPr>
          <w:sz w:val="20"/>
          <w:szCs w:val="23"/>
          <w:rtl/>
        </w:rPr>
        <w:t>(שם יז)</w:t>
      </w:r>
      <w:r>
        <w:rPr>
          <w:rtl/>
        </w:rPr>
        <w:t xml:space="preserve"> עַל אַרְבַּעַת רִבְעִיהֶם </w:t>
      </w:r>
      <w:r>
        <w:rPr>
          <w:rStyle w:val="a7"/>
          <w:rtl/>
        </w:rPr>
        <w:footnoteReference w:id="2057"/>
      </w:r>
      <w:r>
        <w:rPr>
          <w:rtl/>
        </w:rPr>
        <w:t xml:space="preserve">בְּלֶכְתָּם יֵלֵכוּ, וְעוֹד עַל אַרְבַּעַת רִבְעִיהֶם, אִינוּן </w:t>
      </w:r>
      <w:r>
        <w:rPr>
          <w:rStyle w:val="a7"/>
          <w:sz w:val="20"/>
          <w:szCs w:val="23"/>
          <w:rtl/>
        </w:rPr>
        <w:footnoteReference w:id="2058"/>
      </w:r>
      <w:r>
        <w:rPr>
          <w:rtl/>
        </w:rPr>
        <w:t xml:space="preserve">אַרְבַּע קְדוּשׁוֹת דְּאוֹמֵר בַּר נַשׁ בְּכָל יוֹמָא. (וְעוֹד עֲמוֹד עַל רַגְלֶיךָ בְּקַדְמָאִין, וּמַה שְּׁאֵלָתֵךְ </w:t>
      </w:r>
      <w:r>
        <w:rPr>
          <w:rStyle w:val="a7"/>
          <w:rtl/>
        </w:rPr>
        <w:footnoteReference w:id="2059"/>
      </w:r>
      <w:r>
        <w:rPr>
          <w:rtl/>
        </w:rPr>
        <w:t>עַד חֲצִי הַמַּלְכוּת בְּאֶמְצָעִיּוֹת, וְתֵעָשׂ בְּבַתְרָאִין, דְּתַמָּן אִיהוּ בַּר נַשׁ כְּעֶבֶד הַמְקַבֵּל פְּרָס מֵרַבּוֹ וְהוֹלֵךְ לוֹ, אִלֵּין נָפְקִין דְּיָהִיב לוֹן מַלְכָּא בָּעוּתְהוֹן, הָא אָחֳרָנִין קָא דָפְקֵי לְתַרְעָא, מָארֵי דִבְרִית מִילָה, וְאַמְרֵי אדנ''י שְׂפָתַי תִּפְתָּח.)</w:t>
      </w:r>
    </w:p>
    <w:p w:rsidR="00606298" w:rsidRDefault="00606298" w:rsidP="00B17EA9">
      <w:pPr>
        <w:pStyle w:val="NormalWeb"/>
        <w:rPr>
          <w:rtl/>
        </w:rPr>
      </w:pPr>
      <w:r>
        <w:rPr>
          <w:rtl/>
        </w:rPr>
        <w:t xml:space="preserve">זַכָּאִין אִינוּן יִשְׂרָאֵל דְּאִינוּן רַגְלִין דִּשְׁכִינְתָּא, דְקָמַת עֲלַיְיהוּ בִצְלוֹתָא בַעֲמִידָה, דְּאִיהִי וַדַּאי עֲלַיְיהוּ תְּפִלָּה מְעוּמָד, </w:t>
      </w:r>
      <w:r>
        <w:rPr>
          <w:rStyle w:val="a7"/>
          <w:rtl/>
        </w:rPr>
        <w:footnoteReference w:id="2060"/>
      </w:r>
      <w:r>
        <w:rPr>
          <w:rtl/>
        </w:rPr>
        <w:t xml:space="preserve">וְקָמַת עֲלַיְיהוּ בְגָלוּתָא, וּבְמַאי קָמַת עֲלַיְיהוּ, בְּגִין דְּנָחֲתִין לְגַבָּה יהו''ה, דַּעֲלֵיהּ אִתְּמַר כָּל הַזּוֹקֵף זוֹקֵף בְּשֵׁם, דְּבֵיהּ צָרִיךְ בַּר נַשׁ לְזַקְפָא לִשְׁכִינְתָּא, וְאִלֵּין דְּלָא זָקְפִין לָהּ בְּשֵׁם יהו''ה בִּצְלוֹתְהוֹן, אוֹ בְּפִקּוּדִין דְּאוֹרַיְיתָא </w:t>
      </w:r>
      <w:r>
        <w:rPr>
          <w:sz w:val="20"/>
          <w:szCs w:val="23"/>
          <w:rtl/>
        </w:rPr>
        <w:t>(נ''א דלהון)</w:t>
      </w:r>
      <w:r>
        <w:rPr>
          <w:rtl/>
        </w:rPr>
        <w:t xml:space="preserve">, אִיהִי צָוְוחַת עֲלַיְיהוּ, נְתָנַנִי יְיָ' בִּידֵי לֹא אוּכַל קוּם </w:t>
      </w:r>
      <w:r>
        <w:rPr>
          <w:sz w:val="20"/>
          <w:szCs w:val="23"/>
          <w:rtl/>
        </w:rPr>
        <w:t>(איכה א יד)</w:t>
      </w:r>
      <w:r>
        <w:rPr>
          <w:rtl/>
        </w:rPr>
        <w:t xml:space="preserve">, דִּסְמִיכוּ דִילָהּ אִיהוּ בִּתְרֵין דְּרוֹעִין דְּאִינוּן חֶסֶד וּגְבוּרָה, וַעֲמִידָה דִילָהּ בִּתְרֵין שׁוֹקִין דְּאִינוּן נֶצַח וָהוֹד, וּזְקִיפוּ דִילָהּ בְּגוּפָא דְאִיהוּ עַמּוּדָא דְאֶמְצָעִיתָא, יהו''ה שְׁמֵיהּ, וּבְגִין דָּא כָּל הַזּוֹקֵף זוֹקֵף בְּשֵׁם, וְיִחוּדָא דִילָהּ בְּצַדִּיק, וּבְגִין אִלֵּין דְּלָא יְכִילַת לְמֵיקַם בְּהוֹן בִּצְלוֹתָא, וְלֵית לָהּ סְמִיכוּ וְלָא זְקִיפוּ בְהוֹן בְּגָלוּתָא, אִתְעֲצִיבַת בְּהוֹן, וְרָזָא דְמִלָּה בֵּן חָכָם יְשַׂמַּח אָב, וּבֵן כְּסִיל תּוּגַת אִמּוֹ </w:t>
      </w:r>
      <w:r>
        <w:rPr>
          <w:sz w:val="20"/>
          <w:szCs w:val="23"/>
          <w:rtl/>
        </w:rPr>
        <w:t>(משלי י א)</w:t>
      </w:r>
      <w:r>
        <w:rPr>
          <w:rtl/>
        </w:rPr>
        <w:t xml:space="preserve">, וּבְגִינֵיהּ וַיִּתְעַצֵּב אֶל לִבּוֹ </w:t>
      </w:r>
      <w:r>
        <w:rPr>
          <w:sz w:val="20"/>
          <w:szCs w:val="23"/>
          <w:rtl/>
        </w:rPr>
        <w:t>(בראשית ו ז)</w:t>
      </w:r>
      <w:r>
        <w:rPr>
          <w:rtl/>
        </w:rPr>
        <w:t>.</w:t>
      </w:r>
    </w:p>
    <w:p w:rsidR="00606298" w:rsidRDefault="00606298" w:rsidP="00B17EA9">
      <w:pPr>
        <w:pStyle w:val="NormalWeb"/>
        <w:rPr>
          <w:rtl/>
        </w:rPr>
      </w:pPr>
      <w:r>
        <w:rPr>
          <w:rtl/>
        </w:rPr>
        <w:t xml:space="preserve">וְאַמַּאי כּוּלֵי הַאי לְאִמֵּיהּ וְלָא לַאֲבוּהִי, אֶלָּא דָא רָזָא עִלָּאָה אִיהוּ, פִּקּוּדִין דַּעֲשֵׂה אִינוּן מִימִינָא דְתַמָּן חָכְמָה, כְּמָה דְאוּקְמוּהוּ מָארֵי מַתְנִיתִין הָרוֹצֶה לְהַחְכִּים יַדְרִים, וּפִקּוּדִין דְּלֹא תַעֲשֶׂה אִינוּן מִשְּׂמָאלָא דְתַמָּן אִימָּא עִלָּאָה, </w:t>
      </w:r>
      <w:r>
        <w:rPr>
          <w:rStyle w:val="a7"/>
          <w:rtl/>
        </w:rPr>
        <w:footnoteReference w:id="2061"/>
      </w:r>
      <w:r>
        <w:rPr>
          <w:rtl/>
        </w:rPr>
        <w:t xml:space="preserve">דִּבְהוֹן אדנ''י שְׁ'מָעָה אדנ''י סְ'לָחָה אדנ''י הַ'קְשִׁיבָה וַעֲשֵׂה אַל תְּאַחַר </w:t>
      </w:r>
      <w:r>
        <w:rPr>
          <w:sz w:val="20"/>
          <w:szCs w:val="23"/>
          <w:rtl/>
        </w:rPr>
        <w:t>(דניאל ט יט)</w:t>
      </w:r>
      <w:r>
        <w:rPr>
          <w:rtl/>
        </w:rPr>
        <w:t xml:space="preserve">, בְּיוֹם הַכִּפּוּרִים, וְכַד לָא חָזְרִין בִּתְיוּבְתָּא אִינוּן דְּעָבְרִין עַל לֹא תַעֲשֶׂה דְאִינוּן מִשְּׂמָאלָא, אִתְּמַר עֲלַיְהוּ </w:t>
      </w:r>
      <w:r>
        <w:rPr>
          <w:sz w:val="20"/>
          <w:szCs w:val="23"/>
          <w:rtl/>
        </w:rPr>
        <w:t>(משלי י א)</w:t>
      </w:r>
      <w:r>
        <w:rPr>
          <w:rtl/>
        </w:rPr>
        <w:t xml:space="preserve"> וּבֵן כְּסִיל תּוּגַת אִמּוֹ, בְּגִין דְּתַמָּן אִימָּא לִשְׂמָאלָא, וְלִבָּא אִיהוּ לִשְׂמָאלָא, </w:t>
      </w:r>
      <w:r>
        <w:rPr>
          <w:sz w:val="20"/>
          <w:szCs w:val="23"/>
          <w:rtl/>
        </w:rPr>
        <w:t>(ורזא דמלה)</w:t>
      </w:r>
      <w:r>
        <w:rPr>
          <w:rtl/>
        </w:rPr>
        <w:t xml:space="preserve"> וּבְגִין דָּא וַיִּתְעַצֵּב אֶל לִבּוֹ.</w:t>
      </w:r>
    </w:p>
    <w:p w:rsidR="00606298" w:rsidRDefault="00606298" w:rsidP="00B17EA9">
      <w:pPr>
        <w:pStyle w:val="NormalWeb"/>
        <w:rPr>
          <w:rtl/>
        </w:rPr>
      </w:pPr>
      <w:r>
        <w:rPr>
          <w:rStyle w:val="a7"/>
          <w:rtl/>
        </w:rPr>
        <w:footnoteReference w:id="2062"/>
      </w:r>
      <w:r>
        <w:rPr>
          <w:rtl/>
        </w:rPr>
        <w:t xml:space="preserve">וּתְרֵין הֲוַיּוֹ''ת אִינוּן לִימִינָא וְלִשְׂמָאלָא, כְגַוְונָא דָא יהה''ו יוה''ה, י' לִימִינָא וּבֵיהּ יהו''ה בְּחָכְמָה יָסַד אָרֶץ </w:t>
      </w:r>
      <w:r>
        <w:rPr>
          <w:sz w:val="20"/>
          <w:szCs w:val="23"/>
          <w:rtl/>
        </w:rPr>
        <w:t>(שם ג יט)</w:t>
      </w:r>
      <w:r>
        <w:rPr>
          <w:rtl/>
        </w:rPr>
        <w:t xml:space="preserve">, אָב עִם בְּרַתָּא, ה' עִלָּאָה עִם בְּרָא דְאִיהוּ ו', תְּפִלִּין עַל רֵישֵׁיהּ, הֲדָא הוּא דִכְתִיב </w:t>
      </w:r>
      <w:r>
        <w:rPr>
          <w:sz w:val="20"/>
          <w:szCs w:val="23"/>
          <w:rtl/>
        </w:rPr>
        <w:t>(ישעיה סב ח)</w:t>
      </w:r>
      <w:r>
        <w:rPr>
          <w:rtl/>
        </w:rPr>
        <w:t xml:space="preserve"> וּבִזְרוֹעַ עְִזּוֹ אֵלּוּ תְּפִלִּין דְּרֵישָׁא, דִבְכָל אֲתַר דְּאָת ה' עַל ו' אִיהִי אִימָּא.</w:t>
      </w:r>
    </w:p>
    <w:p w:rsidR="00606298" w:rsidRDefault="00606298" w:rsidP="00B17EA9">
      <w:pPr>
        <w:pStyle w:val="aa"/>
        <w:rPr>
          <w:rtl/>
        </w:rPr>
      </w:pPr>
      <w:bookmarkStart w:id="158" w:name="_Toc228095626"/>
      <w:bookmarkStart w:id="159" w:name="_Toc231638064"/>
      <w:r>
        <w:rPr>
          <w:rtl/>
        </w:rPr>
        <w:t>[תיקוני זוהר - דף לא ע''ב]</w:t>
      </w:r>
      <w:bookmarkEnd w:id="158"/>
      <w:bookmarkEnd w:id="159"/>
    </w:p>
    <w:p w:rsidR="00606298" w:rsidRDefault="00606298" w:rsidP="00B17EA9">
      <w:pPr>
        <w:pStyle w:val="NormalWeb"/>
        <w:rPr>
          <w:rtl/>
        </w:rPr>
      </w:pPr>
      <w:r>
        <w:rPr>
          <w:rStyle w:val="a7"/>
          <w:rtl/>
        </w:rPr>
        <w:footnoteReference w:id="2063"/>
      </w:r>
      <w:r>
        <w:rPr>
          <w:rtl/>
        </w:rPr>
        <w:t xml:space="preserve">וְדָא רָזָא דְקָרְבָּן עוֹלֶה וְיוֹרֵד, דְּסָלִיק ה' לְגַבֵּי י', וְנָחִית ה' לְגַבֵּי ו', וְאִם לַאו הַאי הֲוַיָּ''ה יהה''ו, דְאִתְרְמִיז בְּהַאי קְרָא </w:t>
      </w:r>
      <w:r>
        <w:rPr>
          <w:sz w:val="20"/>
          <w:szCs w:val="23"/>
          <w:rtl/>
        </w:rPr>
        <w:t>(ירמיה ט כג)</w:t>
      </w:r>
      <w:r>
        <w:rPr>
          <w:rtl/>
        </w:rPr>
        <w:t xml:space="preserve"> כִּי אִם בְּזֹאת יִ תְהַלֵּל הַ מִּתְהַלֵּל הַ שְׂכֵּל </w:t>
      </w:r>
      <w:r>
        <w:rPr>
          <w:rStyle w:val="a7"/>
          <w:rtl/>
        </w:rPr>
        <w:footnoteReference w:id="2064"/>
      </w:r>
      <w:r>
        <w:rPr>
          <w:rtl/>
        </w:rPr>
        <w:t xml:space="preserve">וְ יָדוֹעַ אוֹתִי, לָא הֲווֹ יָדְעִין בְּנֵי נָשָׁא קָרְבָּן עוֹלֶה וְיוֹרֵד, </w:t>
      </w:r>
      <w:r>
        <w:rPr>
          <w:rStyle w:val="a7"/>
          <w:rtl/>
        </w:rPr>
        <w:footnoteReference w:id="2065"/>
      </w:r>
      <w:r>
        <w:rPr>
          <w:rtl/>
        </w:rPr>
        <w:t xml:space="preserve">וכַד חַזַא בַּר נַשׁ דְּאָת ה' אִיהִי (נ"א דְּכַד לָא הֲוָה בַּר נַשׁ קָרִיב אָת ה') עִם י', ה' עִם ו', וּמָאן עוֹלֶה וְיוֹרֵד, מָאן הֲוָה יָדַע מָאי נִיהִי ה' דְּאִיהִי בְּרַתָּא, דְאִית לֵיהּ לְסַלְקָא לָהּ לְגַבֵּי אַבָּא, וְה' דְּאִיהִי אִימָּא לְנַחְתָא לָהּ לְגַבֵּי בְּרָא, אֶלָּא בְּגִין הַאי הֲוַיָּ''ה דְאִיהִי יהה''ו, דְה' דְּאִיהִי עַל ו' אִיהִי אִימָּא עִלָּאָה, וּבָהּ אִשְׁתְּמַע ה' תַּתָּאָה דְאִיהִי תְּחוֹת י' דְּאִיהִי בְּרַתָּא, וְדָא רָזָא דְקָרְבָּנָא, דְצָרִיךְ לְסַלְקָא ה' לְגַבֵּי י', </w:t>
      </w:r>
      <w:r>
        <w:rPr>
          <w:sz w:val="20"/>
          <w:szCs w:val="23"/>
          <w:rtl/>
        </w:rPr>
        <w:t xml:space="preserve">(דף לא ע''ב) </w:t>
      </w:r>
      <w:r>
        <w:rPr>
          <w:rtl/>
        </w:rPr>
        <w:t>וּלְנַחֲתָא ה' לְגַבֵּי ו'.</w:t>
      </w:r>
    </w:p>
    <w:p w:rsidR="00606298" w:rsidRDefault="00606298" w:rsidP="00B17EA9">
      <w:pPr>
        <w:pStyle w:val="NormalWeb"/>
        <w:rPr>
          <w:rtl/>
        </w:rPr>
      </w:pPr>
      <w:r>
        <w:rPr>
          <w:rStyle w:val="a7"/>
          <w:rtl/>
        </w:rPr>
        <w:footnoteReference w:id="2066"/>
      </w:r>
      <w:r>
        <w:rPr>
          <w:rtl/>
        </w:rPr>
        <w:t xml:space="preserve">יוה''ה י' אִיהוּ לִימִינָא חָכְמָה, ו' תּוֹרָה שֶׁבִּכְתָב, מִימִינוֹ אֵשׁ דָּת לָמוֹ </w:t>
      </w:r>
      <w:r>
        <w:rPr>
          <w:sz w:val="20"/>
          <w:szCs w:val="23"/>
          <w:rtl/>
        </w:rPr>
        <w:t>(דברים לג ב)</w:t>
      </w:r>
      <w:r>
        <w:rPr>
          <w:rtl/>
        </w:rPr>
        <w:t>, וְהַאי אִיהוּ דְאָמְרִין מוֹחַ הַבֵּן דְּאִתְמַשַּׁךְ מִמּוֹחַ הָאָב, ה' עִלָּאָה לִשְׂמָאלָא, וּמִתַּמָּן אִתְיְהִיבַת אוֹרַיְיתָא שֶׁבְּעַל פֶּה, דְאִיהִי ה' תַּתָּאָה.</w:t>
      </w:r>
    </w:p>
    <w:p w:rsidR="00606298" w:rsidRDefault="00606298" w:rsidP="00B17EA9">
      <w:pPr>
        <w:pStyle w:val="NormalWeb"/>
        <w:rPr>
          <w:rtl/>
        </w:rPr>
      </w:pPr>
      <w:r>
        <w:rPr>
          <w:rtl/>
        </w:rPr>
        <w:t xml:space="preserve">זַכָּאִין אִינוּן יִשְׂרָאֵל דְּיָדְעִין רָזִין עִלָּאִין בַּהֲוַיּוֹ''ת, דִּבְהוֹן סָלְקִין צְלוֹתִין בַּהֲבָלִים דְּפוּמְהוֹן, וְנָחֲתִין אִינוּן חֲיָילִין בְּהוֹן כִּדְקָא יָאוּת, דְּכַד בַּר נַשׁ סָלִיק שְׁכִינְתֵּיהּ בִּצְלוֹתֵיהּ, קוּדְשָׁא בְּרִיךְ הוּא נָחִית עֲלֵיהּ, הֲדָא הוּא דִכְתִיב </w:t>
      </w:r>
      <w:r>
        <w:rPr>
          <w:sz w:val="20"/>
          <w:szCs w:val="23"/>
          <w:rtl/>
        </w:rPr>
        <w:t>(שמות כ כד)</w:t>
      </w:r>
      <w:r>
        <w:rPr>
          <w:rtl/>
        </w:rPr>
        <w:t xml:space="preserve"> בְּכָל הַמָּקוֹם אֲשֶׁר אַזְכִּיר אֶת שְׁמִי אָבֹא אֵלֶיךָ וּבֵרַכְתִּיךָ, זַכָּאִין אִינוּן יִשְׂרָאֵל דְּאִינוּן רַגְלִין לִשְׁכִינְתָּא, לְמֵיקַם עִמָּהּ בֵּין בְּרֵיוַח בֵּין בְּעָאקוּ, דְּכַד אִנּוּן בְּדִינָא בְּיוֹמָא דְּדִינָא דְאִיהִי רֹאשׁ הַשָּׁנָה, </w:t>
      </w:r>
      <w:r>
        <w:rPr>
          <w:rStyle w:val="a7"/>
          <w:rtl/>
        </w:rPr>
        <w:footnoteReference w:id="2067"/>
      </w:r>
      <w:r>
        <w:rPr>
          <w:rtl/>
        </w:rPr>
        <w:t xml:space="preserve">אִיהִי קָמַת עִמְּהוֹן לְדִינָא, דְקַיְימִין לָהּ בִּצְלוֹתְהוֹן, דַּעֲלַיְיהוּ אִתְּמַר </w:t>
      </w:r>
      <w:r>
        <w:rPr>
          <w:sz w:val="20"/>
          <w:szCs w:val="23"/>
          <w:rtl/>
        </w:rPr>
        <w:t>(משלי ו כב)</w:t>
      </w:r>
      <w:r>
        <w:rPr>
          <w:rtl/>
        </w:rPr>
        <w:t xml:space="preserve"> בְּהִתְהַלֶּכְךָ תַּנְחֶה אוֹתָךְ, בְּשָׁכְבְּךָ תִּשְׁמוֹר עָלֶיךָ, וַהֲקִיצוֹתָ הִיא תְשִׂיחֶךָ, דִּבְכָל אֲתַר דְּקַיְימִין יִשְׂרָאֵל בְּכָל פִּקּוּדָא וּפִקּוּדָא לִשְׁכִינְתָּא, אִיהִי קַיְימַת בְּגִינַיְיהוּ בְּכָל דּוֹחֲקָא וְצַעֲרָא, בֵּין בְּאָרְחָא בֵּין בְּיִשּׁוּבָא בֵּין בְּיַמָּא, וְדָא אִיהוּ בְּהִתְהַלֶּכְךָ בְּמַדְבְּרָא תַּנְחֶה אוֹתָךְ, הֲדָא הוּא דִכְתִיב </w:t>
      </w:r>
      <w:r>
        <w:rPr>
          <w:sz w:val="20"/>
          <w:szCs w:val="23"/>
          <w:rtl/>
        </w:rPr>
        <w:t>(תהלים פה יד)</w:t>
      </w:r>
      <w:r>
        <w:rPr>
          <w:rtl/>
        </w:rPr>
        <w:t xml:space="preserve"> צֶדֶק לְפָנָיו יְהַלֵּךְ וְיָשֵׂם לְדֶרֶךְ פְּעָמָיו, בְּשָׁכְבְּךָ בְּיִשּׁוּבָא תִּשְׁמוֹר עָלֶיךָ, </w:t>
      </w:r>
      <w:r>
        <w:rPr>
          <w:rStyle w:val="a7"/>
          <w:rtl/>
        </w:rPr>
        <w:footnoteReference w:id="2068"/>
      </w:r>
      <w:r>
        <w:rPr>
          <w:rtl/>
        </w:rPr>
        <w:t>וַהֲקִיצוֹתָ לְמֵיזַל בְּיַמָּא הִיא תְשִׂיחֶךָ, וְעוֹד בְּהִתְהַלֶּכְךָ בְּהַאי עָלְמָא תַּנְחֶה אוֹתָךְ, בְּשָׁכְבְּךָ בַּקֶּבֶר תִּשְׁמוֹר עָלֶיךָ, וַהֲקִיצוֹתָ בִתְחִיַּת הַמֵּתִים הִיא תְשִׂיחֶךָ.</w:t>
      </w:r>
    </w:p>
    <w:p w:rsidR="00606298" w:rsidRDefault="00606298" w:rsidP="00B17EA9">
      <w:pPr>
        <w:pStyle w:val="NormalWeb"/>
        <w:rPr>
          <w:rtl/>
        </w:rPr>
      </w:pPr>
      <w:r>
        <w:rPr>
          <w:rtl/>
        </w:rPr>
        <w:t xml:space="preserve">הָא אִלֵּין נָפְקִין, </w:t>
      </w:r>
      <w:r>
        <w:rPr>
          <w:rStyle w:val="a7"/>
          <w:rtl/>
        </w:rPr>
        <w:footnoteReference w:id="2069"/>
      </w:r>
      <w:r>
        <w:rPr>
          <w:rtl/>
        </w:rPr>
        <w:t xml:space="preserve">וְהָא אָחֳרָנִין קָא דָפְקִין לְפִתְחָא, וְאִינוּן מָארֵי רַגְלִין, מִסִּטְרָא דְרַגְלִין דְּקוּדְשָׁא בְּרִיךְ הוּא, דְּאִתְּמַר בְּהוֹן </w:t>
      </w:r>
      <w:r>
        <w:rPr>
          <w:sz w:val="20"/>
          <w:szCs w:val="23"/>
          <w:rtl/>
        </w:rPr>
        <w:t>(זכריה יד ד)</w:t>
      </w:r>
      <w:r>
        <w:rPr>
          <w:rtl/>
        </w:rPr>
        <w:t xml:space="preserve"> וְעָמְדוּ רַגְלָיו בַּיּוֹם הַהוּא, וַעֲלַיְיהוּ אִתְּמַר </w:t>
      </w:r>
      <w:r>
        <w:rPr>
          <w:sz w:val="20"/>
          <w:szCs w:val="23"/>
          <w:rtl/>
        </w:rPr>
        <w:t>(שמות יב לז)</w:t>
      </w:r>
      <w:r>
        <w:rPr>
          <w:rtl/>
        </w:rPr>
        <w:t xml:space="preserve"> כְּשֵׁשׁ מֵאוֹת אֶלֶף רַגְלִי הַגְּבָרִים לְבַד מִטָּף, אִלֵּין נָפְקִין הָא אָחֳרָנִין עָאלִין, מִסִּטְרָא דְאִלֵּין דְּאִתְּמַר בְּהוֹן </w:t>
      </w:r>
      <w:r>
        <w:rPr>
          <w:sz w:val="20"/>
          <w:szCs w:val="23"/>
          <w:rtl/>
        </w:rPr>
        <w:t>(יחזקאל א ז)</w:t>
      </w:r>
      <w:r>
        <w:rPr>
          <w:rtl/>
        </w:rPr>
        <w:t xml:space="preserve"> וְרַגְלֵיהֶם רֶגֶל יְשָׁרָה, רַגְלִין בְּעִגּוּלָא </w:t>
      </w:r>
      <w:r>
        <w:rPr>
          <w:rStyle w:val="a7"/>
          <w:rtl/>
        </w:rPr>
        <w:footnoteReference w:id="2070"/>
      </w:r>
      <w:r>
        <w:rPr>
          <w:rtl/>
        </w:rPr>
        <w:t xml:space="preserve">אִינוּן רֶגֶל יְשָׁרָה, וְאִית רַגְלִין אָחֳרָנִין מְרוּבָּעִין דְּאוֹפַנִּים, דְּאִתְּמַר בְּהוֹן </w:t>
      </w:r>
      <w:r>
        <w:rPr>
          <w:sz w:val="20"/>
          <w:szCs w:val="23"/>
          <w:rtl/>
        </w:rPr>
        <w:t>(שם יז)</w:t>
      </w:r>
      <w:r>
        <w:rPr>
          <w:rtl/>
        </w:rPr>
        <w:t xml:space="preserve"> עַל אַרְבַּעַת רִבְעִיהֶם בְּלֶכְתָּם יֵלֵכוּ, דִּבְהוֹן וְהַחַיּוֹת רָצוֹא וָשׁוֹב כְּמַרְאֵה הַבָּזָק </w:t>
      </w:r>
      <w:r>
        <w:rPr>
          <w:sz w:val="20"/>
          <w:szCs w:val="23"/>
          <w:rtl/>
        </w:rPr>
        <w:t>(שם יד)</w:t>
      </w:r>
      <w:r>
        <w:rPr>
          <w:rtl/>
        </w:rPr>
        <w:t>, וְאִנּוּן רַגְלִין בְּעִגּוּלָא, אִינוּן כְּנִקּוּדִין לְאַתְוָון, דְּאִינוּן רַגְלִין בְּרִבּוּעָא.</w:t>
      </w:r>
    </w:p>
    <w:p w:rsidR="00606298" w:rsidRDefault="00606298" w:rsidP="00B17EA9">
      <w:pPr>
        <w:pStyle w:val="NormalWeb"/>
        <w:rPr>
          <w:rtl/>
        </w:rPr>
      </w:pPr>
      <w:r>
        <w:rPr>
          <w:rtl/>
        </w:rPr>
        <w:t xml:space="preserve">וְנָבִיא דְאִיהוּ מִסִּטְרָא דִלְהוֹן, תַּמָּן הֲוָה </w:t>
      </w:r>
      <w:r>
        <w:rPr>
          <w:rStyle w:val="a7"/>
          <w:rtl/>
        </w:rPr>
        <w:footnoteReference w:id="2071"/>
      </w:r>
      <w:r>
        <w:rPr>
          <w:rtl/>
        </w:rPr>
        <w:t xml:space="preserve">סָלִיק רוּחֵיהּ, וּמִתַּמָּן הֲוָה שָׁמַע כָּל מַה דַּהֲוָה לֵיהּ לְמִשְׁמַע, הֲדָא הוּא דִכְתִיב </w:t>
      </w:r>
      <w:r>
        <w:rPr>
          <w:sz w:val="20"/>
          <w:szCs w:val="23"/>
          <w:rtl/>
        </w:rPr>
        <w:t>(יחזקאל ב א)</w:t>
      </w:r>
      <w:r>
        <w:rPr>
          <w:rtl/>
        </w:rPr>
        <w:t xml:space="preserve"> וַיֹּאמֶר אֵלָי בֶּן אָדָם עֲמֹד עַל רַגְלֶיךָ וַאֲדַבֵּר אוֹתָךְ, וְעוֹד </w:t>
      </w:r>
      <w:r>
        <w:rPr>
          <w:sz w:val="20"/>
          <w:szCs w:val="23"/>
          <w:rtl/>
        </w:rPr>
        <w:t>(שם ב)</w:t>
      </w:r>
      <w:r>
        <w:rPr>
          <w:rtl/>
        </w:rPr>
        <w:t xml:space="preserve"> וַתָּבֹא בִי רוּחַ כַּאֲשֶׁר דִּבֶּר אֵלַי וַתַּעֲמִדֵנִי עַל רַגְלָי, וָאֶשְׁמַע אֵת מִדַּבֵּר אֵלָי, וַתִּשָּׂאֵנִי רוּחַ וָאֶשְׁמַע אַחֲרַי וְגוֹמֵר </w:t>
      </w:r>
      <w:r>
        <w:rPr>
          <w:sz w:val="20"/>
          <w:szCs w:val="23"/>
          <w:rtl/>
        </w:rPr>
        <w:t>(שם ג יב)</w:t>
      </w:r>
      <w:r>
        <w:rPr>
          <w:rtl/>
        </w:rPr>
        <w:t xml:space="preserve">, בְּגִין דְּדַרְגִּין אִינוּן מִסִּטְרָא דִשְׁכִינְתָּא, דְאִתְּמַר בָּהּ </w:t>
      </w:r>
      <w:r>
        <w:rPr>
          <w:sz w:val="20"/>
          <w:szCs w:val="23"/>
          <w:rtl/>
        </w:rPr>
        <w:t>(שמות לג כג)</w:t>
      </w:r>
      <w:r>
        <w:rPr>
          <w:rtl/>
        </w:rPr>
        <w:t xml:space="preserve"> וְרָאִיתָ אֶת אֲחוֹרָי, אָמַר וָאֶשְׁמַע אַחֲרַי.</w:t>
      </w:r>
    </w:p>
    <w:p w:rsidR="00606298" w:rsidRDefault="00606298" w:rsidP="00B17EA9">
      <w:pPr>
        <w:pStyle w:val="NormalWeb"/>
        <w:rPr>
          <w:rtl/>
        </w:rPr>
      </w:pPr>
      <w:r>
        <w:rPr>
          <w:rtl/>
        </w:rPr>
        <w:t xml:space="preserve">מָאי קוֹל רַעַשׁ גָּדוֹל, </w:t>
      </w:r>
      <w:r>
        <w:rPr>
          <w:rStyle w:val="a7"/>
          <w:rtl/>
        </w:rPr>
        <w:footnoteReference w:id="2072"/>
      </w:r>
      <w:r>
        <w:rPr>
          <w:rtl/>
        </w:rPr>
        <w:t xml:space="preserve">דְּאִית רַעַשׁ וְאִית רַעַשׁ, אִית רַעַשׁ דְּאִתְּמַר בֵּיהּ </w:t>
      </w:r>
      <w:r>
        <w:rPr>
          <w:sz w:val="20"/>
          <w:szCs w:val="23"/>
          <w:rtl/>
        </w:rPr>
        <w:t>(מלכים א יט יא)</w:t>
      </w:r>
      <w:r>
        <w:rPr>
          <w:rtl/>
        </w:rPr>
        <w:t xml:space="preserve"> לֹא בָרַעַשׁ יְיָ', דְּלָא יֵיתֵי תַמָּן קוּדְשָׁא בְּרִיךְ הוּא, וְאִית רַעַשׁ דְּיֵיתֵי תַמָּן, אֶלָּא רַעַ''שׁ בְּהִפּוּכָא עֶרֶ''שׂ, כְּמָה דְאִתְּמַר </w:t>
      </w:r>
      <w:r>
        <w:rPr>
          <w:sz w:val="20"/>
          <w:szCs w:val="23"/>
          <w:rtl/>
        </w:rPr>
        <w:t>(תהלים מא ד)</w:t>
      </w:r>
      <w:r>
        <w:rPr>
          <w:rtl/>
        </w:rPr>
        <w:t xml:space="preserve"> יְיָ' יִסְעָדֶנּוּ עַל עֶרֶשׂ </w:t>
      </w:r>
      <w:r>
        <w:rPr>
          <w:rStyle w:val="a7"/>
          <w:rtl/>
        </w:rPr>
        <w:footnoteReference w:id="2073"/>
      </w:r>
      <w:r>
        <w:rPr>
          <w:rtl/>
        </w:rPr>
        <w:t>דְּוָי, וְדָא אִיהוּ כָּל מִשְׁכָּבוֹ הָפַכְתָּ בְחָלְיוֹ, דְאִתְהַפַּךְ רַעַ''שׁ לְעֶרֶ''שׂ, וּמַאי נִיהוּ עֶרֶ''שׂ, אֶלָּא אִיהוּ עֶשֶׂ''ר בְּהִפּוּךְ אַתְוָון, וְדָא שְׁכִינְתָּא דְאִיהִי כְלָלָא דְעֶשֶׂר סְפִירָן, דַּעֲלָהּ אִתְּמַר אֵין קְדוּשָׁה בְּפָחוּת מֵעֲשָׂרָה.</w:t>
      </w:r>
    </w:p>
    <w:p w:rsidR="00606298" w:rsidRDefault="00606298" w:rsidP="00B17EA9">
      <w:pPr>
        <w:pStyle w:val="NormalWeb"/>
        <w:rPr>
          <w:rtl/>
        </w:rPr>
      </w:pPr>
      <w:r>
        <w:rPr>
          <w:rtl/>
        </w:rPr>
        <w:t xml:space="preserve">דְאִיהִי שַׁרְיָא לְרֵישָׁא דְחוֹלֶה, וּבְגִינָהּ יְיָ' יִסְעָדֶנּוּ, וּבְמַאי עַל עֶרֶשׂ דְּוָי, עַל שְׁכִינְתֵּיהּ וַדַּאי, וְאִם שְׁכִינְתָּא לַאו תַּמָּן, רוּחַ </w:t>
      </w:r>
      <w:r>
        <w:rPr>
          <w:rStyle w:val="a7"/>
          <w:rtl/>
        </w:rPr>
        <w:footnoteReference w:id="2074"/>
      </w:r>
      <w:r>
        <w:rPr>
          <w:rtl/>
        </w:rPr>
        <w:t xml:space="preserve">סְעָרָה תַמָּן, דְּאַסְעִיר גּוּפֵיהּ דְּבַר נַשׁ, דִּכְתִיב בֵּיהּ </w:t>
      </w:r>
      <w:r>
        <w:rPr>
          <w:sz w:val="20"/>
          <w:szCs w:val="23"/>
          <w:rtl/>
        </w:rPr>
        <w:t>(יונה א ד)</w:t>
      </w:r>
      <w:r>
        <w:rPr>
          <w:rtl/>
        </w:rPr>
        <w:t xml:space="preserve"> וְהָאֳנִיָּה חִשְּׁבָה לְהִשָּׁבֵר, דְּאִיהִי גוּפָא דִסְפִינָה, כַּד לֵית שְׁכִינְתָּא סְמִיכַת לָהּ, רוּחַ סְעָרָה מְהַפֵּךְ לָהּ וְתַבַּר לָהּ, וּבְזִמְנָא דִשְׁכִינְתָּא סְמִיכַת לָהּ, מִיָּד קָלָא נָפִיק בֶּן אָדָם עֲמֹד עַל רַגְלֶיךָ </w:t>
      </w:r>
      <w:r>
        <w:rPr>
          <w:sz w:val="20"/>
          <w:szCs w:val="23"/>
          <w:rtl/>
        </w:rPr>
        <w:t>(יחזקאל ב א)</w:t>
      </w:r>
      <w:r>
        <w:rPr>
          <w:rtl/>
        </w:rPr>
        <w:t>, וְקָאִים מִמַּרְעָא דִילֵיהּ, וְנָפִיק מִדִּינָא, שְׁלִים בְּגוּפֵיהּ שְׁלִים בְּמָמוֹנֵיהּ.</w:t>
      </w:r>
    </w:p>
    <w:p w:rsidR="00606298" w:rsidRDefault="00606298" w:rsidP="00B17EA9">
      <w:pPr>
        <w:pStyle w:val="NormalWeb"/>
        <w:rPr>
          <w:rtl/>
        </w:rPr>
      </w:pPr>
      <w:r>
        <w:rPr>
          <w:rtl/>
        </w:rPr>
        <w:t>[מכאן עד הא אלין נפקין דלהלן הוא הגהה בד"א ומנטובה, וכתוב עליה: זה מצאתי בספר אחר]</w:t>
      </w:r>
    </w:p>
    <w:p w:rsidR="00606298" w:rsidRPr="00BC41D5" w:rsidRDefault="00606298" w:rsidP="00B17EA9">
      <w:pPr>
        <w:pStyle w:val="aa"/>
        <w:rPr>
          <w:b w:val="0"/>
          <w:bCs w:val="0"/>
          <w:rtl/>
        </w:rPr>
      </w:pPr>
      <w:bookmarkStart w:id="160" w:name="_Toc228095627"/>
      <w:bookmarkStart w:id="161" w:name="_Toc231638065"/>
      <w:r w:rsidRPr="00BC41D5">
        <w:rPr>
          <w:b w:val="0"/>
          <w:bCs w:val="0"/>
          <w:rtl/>
        </w:rPr>
        <w:t>[תיקוני זוהר - דף לב ע''א]</w:t>
      </w:r>
      <w:bookmarkEnd w:id="160"/>
      <w:bookmarkEnd w:id="161"/>
    </w:p>
    <w:p w:rsidR="00606298" w:rsidRPr="00BC41D5" w:rsidRDefault="00606298" w:rsidP="00B17EA9">
      <w:pPr>
        <w:pStyle w:val="NormalWeb"/>
        <w:rPr>
          <w:b w:val="0"/>
          <w:bCs w:val="0"/>
          <w:rtl/>
        </w:rPr>
      </w:pPr>
      <w:r w:rsidRPr="00BC41D5">
        <w:rPr>
          <w:b w:val="0"/>
          <w:bCs w:val="0"/>
          <w:sz w:val="20"/>
          <w:szCs w:val="23"/>
          <w:rtl/>
        </w:rPr>
        <w:t xml:space="preserve"> (דף לב ע''א) </w:t>
      </w:r>
      <w:r w:rsidRPr="00BC41D5">
        <w:rPr>
          <w:b w:val="0"/>
          <w:bCs w:val="0"/>
          <w:rtl/>
        </w:rPr>
        <w:t xml:space="preserve">[הָא אִלֵּין נָפְקִין, הָא אָחֳרָנִין דָּפְקִין לְפִתְחָא, וְאָמְרִין אדנ''י שְׂפָתַי תִּפְתָּח, וְאִינוּן דִּסְמִיכִין לִשְׁכִינְתָּא בְּכַמָּה </w:t>
      </w:r>
      <w:r w:rsidRPr="00BC41D5">
        <w:rPr>
          <w:rStyle w:val="a7"/>
          <w:b w:val="0"/>
          <w:bCs w:val="0"/>
          <w:rtl/>
        </w:rPr>
        <w:footnoteReference w:id="2075"/>
      </w:r>
      <w:r w:rsidRPr="00BC41D5">
        <w:rPr>
          <w:b w:val="0"/>
          <w:bCs w:val="0"/>
          <w:rtl/>
        </w:rPr>
        <w:t xml:space="preserve">רַגְלִין דְּמוֹעֲדִים וְיוֹמִין טָבִין, וְכַד אִלֵּין עָאלִין, קוּדְשָׁא בְּרִיךְ הוּא מְשַׁבַּח לָהּ בְּהוֹן, מַה יָּפוּ </w:t>
      </w:r>
      <w:r w:rsidRPr="00BC41D5">
        <w:rPr>
          <w:rStyle w:val="a7"/>
          <w:b w:val="0"/>
          <w:bCs w:val="0"/>
          <w:rtl/>
        </w:rPr>
        <w:footnoteReference w:id="2076"/>
      </w:r>
      <w:r w:rsidRPr="00BC41D5">
        <w:rPr>
          <w:b w:val="0"/>
          <w:bCs w:val="0"/>
          <w:rtl/>
        </w:rPr>
        <w:t xml:space="preserve">פְעָמַיִךְ בַּנְּעָלִים בַּת נָדִיב </w:t>
      </w:r>
      <w:r w:rsidRPr="00BC41D5">
        <w:rPr>
          <w:b w:val="0"/>
          <w:bCs w:val="0"/>
          <w:sz w:val="20"/>
          <w:szCs w:val="23"/>
          <w:rtl/>
        </w:rPr>
        <w:t>(שיר ז ב)</w:t>
      </w:r>
      <w:r w:rsidRPr="00BC41D5">
        <w:rPr>
          <w:b w:val="0"/>
          <w:bCs w:val="0"/>
          <w:rtl/>
        </w:rPr>
        <w:t xml:space="preserve">, דְּאִלֵּין אִינוּן דְּאִתְּמַר בְּהוֹן </w:t>
      </w:r>
      <w:r w:rsidRPr="00BC41D5">
        <w:rPr>
          <w:b w:val="0"/>
          <w:bCs w:val="0"/>
          <w:sz w:val="20"/>
          <w:szCs w:val="23"/>
          <w:rtl/>
        </w:rPr>
        <w:t>(דברים טז טז)</w:t>
      </w:r>
      <w:r w:rsidRPr="00BC41D5">
        <w:rPr>
          <w:b w:val="0"/>
          <w:bCs w:val="0"/>
          <w:rtl/>
        </w:rPr>
        <w:t xml:space="preserve"> שָׁלֹשׁ פְּעָמִים בַּשָּׁנָה יֵרָאֶה כָל זְכוּרְךָ, אָמַר קוּדְשָׁא בְּרִיךְ הוּא, כַּמָּה אַנְתְּ שַׁפִּירָא בְּאִלֵּין נְעָלִים דְּאִינוּן </w:t>
      </w:r>
      <w:r w:rsidRPr="00BC41D5">
        <w:rPr>
          <w:rStyle w:val="a7"/>
          <w:b w:val="0"/>
          <w:bCs w:val="0"/>
          <w:rtl/>
        </w:rPr>
        <w:footnoteReference w:id="2077"/>
      </w:r>
      <w:r w:rsidRPr="00BC41D5">
        <w:rPr>
          <w:b w:val="0"/>
          <w:bCs w:val="0"/>
          <w:rtl/>
        </w:rPr>
        <w:t xml:space="preserve">נְעִילַת פֶּסַח וּנְעִילַת עֲצֶרֶת וּנְעִילַת חָג, חַמּוּקֵי יְרֵכַיִךְ, אִלֵּין אִינוּן מִסִּטְרָא דִתְרֵי יַרְכֵי קְשׁוֹט דְּאִתְּמַר בְּהוֹן </w:t>
      </w:r>
      <w:r w:rsidRPr="00BC41D5">
        <w:rPr>
          <w:rStyle w:val="a7"/>
          <w:b w:val="0"/>
          <w:bCs w:val="0"/>
          <w:rtl/>
        </w:rPr>
        <w:footnoteReference w:id="2078"/>
      </w:r>
      <w:r w:rsidRPr="00BC41D5">
        <w:rPr>
          <w:b w:val="0"/>
          <w:bCs w:val="0"/>
          <w:rtl/>
        </w:rPr>
        <w:t>שׁוֹקָיו עַמּוּדֵי שֵׁשׁ, וְאִינוּן שִׁית דַּרְגִּין דִּנְבוּאָה.</w:t>
      </w:r>
    </w:p>
    <w:p w:rsidR="00606298" w:rsidRPr="00BC41D5" w:rsidRDefault="00606298" w:rsidP="00B17EA9">
      <w:pPr>
        <w:pStyle w:val="NormalWeb"/>
        <w:rPr>
          <w:b w:val="0"/>
          <w:bCs w:val="0"/>
          <w:rtl/>
        </w:rPr>
      </w:pPr>
      <w:r w:rsidRPr="00BC41D5">
        <w:rPr>
          <w:b w:val="0"/>
          <w:bCs w:val="0"/>
          <w:rtl/>
        </w:rPr>
        <w:t xml:space="preserve">מִסִּטְרָא דְאָת ו' דְּאִיהוּ צַדִּיק, עַמּוּד דְּסָמִיךְ לוֹן, </w:t>
      </w:r>
      <w:r w:rsidR="00AF6C4B">
        <w:rPr>
          <w:rStyle w:val="a7"/>
          <w:b w:val="0"/>
          <w:bCs w:val="0"/>
          <w:rtl/>
        </w:rPr>
        <w:footnoteReference w:id="2079"/>
      </w:r>
      <w:r w:rsidRPr="00BC41D5">
        <w:rPr>
          <w:b w:val="0"/>
          <w:bCs w:val="0"/>
          <w:rtl/>
        </w:rPr>
        <w:t xml:space="preserve">וְאִיהוּ שִׁית לָקֳבֵל </w:t>
      </w:r>
      <w:r w:rsidRPr="00BC41D5">
        <w:rPr>
          <w:b w:val="0"/>
          <w:bCs w:val="0"/>
          <w:sz w:val="20"/>
          <w:szCs w:val="23"/>
          <w:rtl/>
        </w:rPr>
        <w:t>(מלכים א י יט)</w:t>
      </w:r>
      <w:r w:rsidRPr="00BC41D5">
        <w:rPr>
          <w:b w:val="0"/>
          <w:bCs w:val="0"/>
          <w:rtl/>
        </w:rPr>
        <w:t xml:space="preserve"> שֵׁשׁ מַעֲלוֹת לַכִּסֵּא, וְסָלִיק בְּאָת י' לְשִׁשִּׁים, כְּגַוְונָא דְשִׁשִּׁים וְשִׁית גַּלְגַּלִּים דְּסַחֲרִין לְכוּרְסַיָּא, וְאִינוּן ס''ו מִן יְסוֹ''ד, וְהָא אוּקְמוּהָ, אִשְׁתָּאַר י''ד, בֵּיהּ וּבְיַד הַנְּבִיאִים אֲדַמֶּה </w:t>
      </w:r>
      <w:r w:rsidRPr="00BC41D5">
        <w:rPr>
          <w:b w:val="0"/>
          <w:bCs w:val="0"/>
          <w:sz w:val="20"/>
          <w:szCs w:val="23"/>
          <w:rtl/>
        </w:rPr>
        <w:t>(הושע יב יא)</w:t>
      </w:r>
      <w:r w:rsidRPr="00BC41D5">
        <w:rPr>
          <w:b w:val="0"/>
          <w:bCs w:val="0"/>
          <w:rtl/>
        </w:rPr>
        <w:t xml:space="preserve">, וְדָא שְׁכִינְתָּא יָד חוֹתֶמֶת מִסִּטְרָא דְצַדִּיק, יָד כּוֹתֶבֶת מִסִּטְרָא דְעַמּוּדָא דְאֶמְצָעִיתָא, </w:t>
      </w:r>
      <w:r w:rsidRPr="00BC41D5">
        <w:rPr>
          <w:rStyle w:val="a7"/>
          <w:b w:val="0"/>
          <w:bCs w:val="0"/>
          <w:rtl/>
        </w:rPr>
        <w:footnoteReference w:id="2080"/>
      </w:r>
      <w:r w:rsidRPr="00BC41D5">
        <w:rPr>
          <w:b w:val="0"/>
          <w:bCs w:val="0"/>
          <w:rtl/>
        </w:rPr>
        <w:t xml:space="preserve">אִיהִי תְמוּנַת כֹּל, וּבְגִין דָּא </w:t>
      </w:r>
      <w:r w:rsidRPr="00BC41D5">
        <w:rPr>
          <w:b w:val="0"/>
          <w:bCs w:val="0"/>
          <w:sz w:val="20"/>
          <w:szCs w:val="23"/>
          <w:rtl/>
        </w:rPr>
        <w:t>(הושע יב יא)</w:t>
      </w:r>
      <w:r w:rsidRPr="00BC41D5">
        <w:rPr>
          <w:b w:val="0"/>
          <w:bCs w:val="0"/>
          <w:rtl/>
        </w:rPr>
        <w:t xml:space="preserve"> וּבְיַד הַנְּבִיאִים אֲדַמֶּה.]</w:t>
      </w:r>
    </w:p>
    <w:p w:rsidR="00606298" w:rsidRPr="00510565" w:rsidRDefault="00606298" w:rsidP="00B17EA9">
      <w:pPr>
        <w:pStyle w:val="NormalWeb"/>
        <w:rPr>
          <w:rtl/>
        </w:rPr>
      </w:pPr>
      <w:r w:rsidRPr="00510565">
        <w:rPr>
          <w:rtl/>
        </w:rPr>
        <w:t xml:space="preserve">הָא אִלֵּין נָפְקִין, הָא אָחֳרָנִין קָא דָפְקִין לְפִתְחָא, וְאָמְרִין אדנ''י שְׂפָתַי תִּפְתָּח, וְאִינוּן מָארֵי דְאוֹת, דְּאִיהוּ חַ''י עָלְמִין, דִּמְצַלִּין בְּחַ''י בִּרְכָאָן דִּצְלוֹתִין, דִּמְקָרְבִין בְּהוֹן קָרְבָּנָא לְקוּדְשָׁא בְּרִיךְ הוּא, דַּחֲשִׁיבָא לָקֳבֵל שִׁבְעָה פָּרִים וְשִׁבְעָה אֵלִים, וְלָקֳבֵל שְׁתֵּי תוֹרִים אוֹ שְׁנֵי בְנֵי יוֹנָה, דְּמִסִּטְרָא דְהַאי אוֹת אָמַר לְמֹשֶׁה </w:t>
      </w:r>
      <w:r w:rsidRPr="00510565">
        <w:rPr>
          <w:rStyle w:val="a7"/>
          <w:rtl/>
        </w:rPr>
        <w:footnoteReference w:id="2081"/>
      </w:r>
      <w:r w:rsidRPr="00510565">
        <w:rPr>
          <w:rtl/>
        </w:rPr>
        <w:t xml:space="preserve">וְזֶה לְךָ הָאוֹת </w:t>
      </w:r>
      <w:r w:rsidRPr="00510565">
        <w:rPr>
          <w:sz w:val="20"/>
          <w:szCs w:val="23"/>
          <w:rtl/>
        </w:rPr>
        <w:t>(שמות ג יב)</w:t>
      </w:r>
      <w:r w:rsidRPr="00510565">
        <w:rPr>
          <w:rtl/>
        </w:rPr>
        <w:t xml:space="preserve">, וְאִיהוּ כְלִיל תְּרֵי עֲשַׂר מַזָּלוֹת, </w:t>
      </w:r>
      <w:r w:rsidRPr="00510565">
        <w:rPr>
          <w:rStyle w:val="a7"/>
          <w:rtl/>
        </w:rPr>
        <w:footnoteReference w:id="2082"/>
      </w:r>
      <w:r w:rsidRPr="00510565">
        <w:rPr>
          <w:rtl/>
        </w:rPr>
        <w:t xml:space="preserve">וְשִׁבְעָה כֹּכְבֵי לֶכֶת, מִסִּטְרָא דִקְדוּשָׁה, דְאִיהִי בַת שֶׁבַע, וּמִסִּטְרָא דְוו' דְּאִיהוּ ו' עִלָּאָה ו' תַּתָּאָה הַא אִינוּן שִׁית כֹּכְבֵי לֶכֶת, </w:t>
      </w:r>
      <w:r w:rsidRPr="00510565">
        <w:rPr>
          <w:rStyle w:val="a7"/>
          <w:rtl/>
        </w:rPr>
        <w:footnoteReference w:id="2083"/>
      </w:r>
      <w:r w:rsidRPr="00510565">
        <w:rPr>
          <w:rtl/>
        </w:rPr>
        <w:t>א' כֹּכָבָא שְׁבִיעָאָה, ו''ו תְּרֵין עֲשַׂר מַזָּלוֹת, דְּכָל מַזָּל אִתְקְרֵי אוֹת, וְאִיהוּ מְמַנָּא עַל כָּל שַׁעְתָּא דִתְרֵין עֲשַׂר שַׁעְתִּין, כָּל נָבִיא אִית לֵיהּ מַזָּלֵיהּ וְשַׁעְתֵּיהּ, וּכְפוּם הַהוּא מַזָּל, וּכְפוּם פְּעוּלָה דִילֵיהּ, הָכִי אִתְגַּלְיָיא לֵיהּ אוֹת מִן וָא''ו, דִּתְרֵין עֲשַׂר מַזָּלוֹת מְמַנָּן עַל תְּרֵין עֲשַׂר שַׁעְתִּין, וְעַל תְּרֵין עֲשַׂר יַרְחִין.</w:t>
      </w:r>
    </w:p>
    <w:p w:rsidR="00606298" w:rsidRPr="00510565" w:rsidRDefault="00606298" w:rsidP="00B17EA9">
      <w:pPr>
        <w:pStyle w:val="NormalWeb"/>
        <w:rPr>
          <w:rtl/>
        </w:rPr>
      </w:pPr>
      <w:r w:rsidRPr="00510565">
        <w:rPr>
          <w:rtl/>
        </w:rPr>
        <w:t xml:space="preserve">וְאִלֵּין מַזָּלוֹת מִתַּמָּן הֲווֹ יָרְתִין תְּרֵין עֲשַׂר שִׁבְטִין נִשְׁמָתִין דִּלְהוֹן, וְאִית מִסִּטְרָא אָחֳרָא תְּרֵין עֲשַׂר, דְּאִתְּמַר בְּהוֹן </w:t>
      </w:r>
      <w:r w:rsidRPr="00510565">
        <w:rPr>
          <w:sz w:val="20"/>
          <w:szCs w:val="23"/>
          <w:rtl/>
        </w:rPr>
        <w:t>(בראשית כה טז)</w:t>
      </w:r>
      <w:r w:rsidRPr="00510565">
        <w:rPr>
          <w:rtl/>
        </w:rPr>
        <w:t xml:space="preserve"> שְׁנֵים עָשָׂר נְשִׂיאִים לְאֻמֹּתָם, דְּאִינוּן אִתְקְרִיאוּ טָלֶ''ה שׁוֹ''ר תְּאוֹמִי''ם סַרְטָ''ן וְגוֹמֵר, דָּא כְגַוְונָא דְּדָא עָבַד קוּדְשָׁא בְּרִיךְ הוּא, וַעֲלַיְיהוּ אִתְּמַר </w:t>
      </w:r>
      <w:r w:rsidRPr="00510565">
        <w:rPr>
          <w:sz w:val="20"/>
          <w:szCs w:val="23"/>
          <w:rtl/>
        </w:rPr>
        <w:t>(ירמיה י ב)</w:t>
      </w:r>
      <w:r w:rsidRPr="00510565">
        <w:rPr>
          <w:rtl/>
        </w:rPr>
        <w:t xml:space="preserve"> וּמֵאֹתוֹת הַשָּׁמַיִם אַל תֵּחָתּוּ, כִּי יֵחַתּוּ הַגּוֹיִם מֵהֵמָּה.</w:t>
      </w:r>
    </w:p>
    <w:p w:rsidR="00606298" w:rsidRPr="00510565" w:rsidRDefault="00606298" w:rsidP="00B17EA9">
      <w:pPr>
        <w:pStyle w:val="NormalWeb"/>
        <w:rPr>
          <w:rtl/>
        </w:rPr>
      </w:pPr>
      <w:r w:rsidRPr="00510565">
        <w:rPr>
          <w:rStyle w:val="a7"/>
          <w:rtl/>
        </w:rPr>
        <w:footnoteReference w:id="2084"/>
      </w:r>
      <w:r w:rsidRPr="00510565">
        <w:rPr>
          <w:rtl/>
        </w:rPr>
        <w:t xml:space="preserve">שִׁית מַזָּלוֹת אִינוּן מֵעִילָא לְתַתָּא מֵחֶסֶד וְעַד יְסוֹד, וְשִׁית מִתַּתָּא לְעִילָא מִיסוֹד וְעַד חֶסֶד, מִסִּטְרָא דְמַלְכוּת אִתְקְרִיאוּ שִׁבְעָה כֹּכְבֵי לֶכֶת, מִשְּׁכִינְתָא עַד חֶסֶד, וּכְפוּם פְּעוּלָה דְהַהִיא סְפִירָה הָכִי אִתְגַּלְיָיא אוֹת, אוֹת מִסִּטְרָא דְחֶסֶד אִיהוּ רַחֲמֵי, אוֹת מִסִּטְרָא דִגְבוּרָה אִיהוּ דִינָא, וְאַחֲזֵי עַל קָטוֹלָא דְחַיָּיבַיָּא, וּשְׁפִיכוּ דִדְמָא, וְאַחֲזֵי בְצַדִּיקַיָּיא דַם דִּבְעִירָן, לְמֵיכַל בְּחֶדְוָה וְעֹנֶג דְּמַאֲכָלִין בְּחָתָן וְכַלָּה, וּבִשְׁפִיכוּ דִדְמָא דְקָרְבָּנִין, הֲדָא הוּא דִכְתִיב </w:t>
      </w:r>
      <w:r w:rsidRPr="00510565">
        <w:rPr>
          <w:sz w:val="20"/>
          <w:szCs w:val="23"/>
          <w:rtl/>
        </w:rPr>
        <w:t>(שמות כ כד)</w:t>
      </w:r>
      <w:r w:rsidRPr="00510565">
        <w:rPr>
          <w:rtl/>
        </w:rPr>
        <w:t xml:space="preserve"> וְזָבַחְתָּ עָלָיו אֶת עֹלֹתֶיךָ וכו', וַעֲלַיְיהוּ אִתְּמַר אֵיזֶהוּ מְקוֹמָן שֶׁל זְבָחִים שְׁחִיטָתָן בַּצָּפוֹן, וְעוֹד אַחֲזֵי בְצַדִּיקַיָּיא דַם בְּרִית, דְּאִתְּמַר בָּהּ </w:t>
      </w:r>
      <w:r w:rsidRPr="00510565">
        <w:rPr>
          <w:sz w:val="20"/>
          <w:szCs w:val="23"/>
          <w:rtl/>
        </w:rPr>
        <w:t>(יחזקאל טז ו)</w:t>
      </w:r>
      <w:r w:rsidRPr="00510565">
        <w:rPr>
          <w:rtl/>
        </w:rPr>
        <w:t xml:space="preserve"> וָאוֹמַר לָךְ בְּדָמַיִךְ חֲיִי וָאוֹמַר לָךְ בְּדָמַיִךְ חֲיִי.</w:t>
      </w:r>
    </w:p>
    <w:p w:rsidR="00606298" w:rsidRPr="00510565" w:rsidRDefault="00606298" w:rsidP="00B17EA9">
      <w:pPr>
        <w:pStyle w:val="NormalWeb"/>
        <w:rPr>
          <w:rtl/>
        </w:rPr>
      </w:pPr>
      <w:r w:rsidRPr="00510565">
        <w:rPr>
          <w:rtl/>
        </w:rPr>
        <w:t xml:space="preserve">מִסִּטְרָא דְעַמּוּדָא דְאֶמְצָעִיתָא אִיהוּ אוֹת </w:t>
      </w:r>
      <w:r w:rsidRPr="00510565">
        <w:rPr>
          <w:rStyle w:val="a7"/>
          <w:rtl/>
        </w:rPr>
        <w:footnoteReference w:id="2085"/>
      </w:r>
      <w:r w:rsidRPr="00510565">
        <w:rPr>
          <w:rtl/>
        </w:rPr>
        <w:t xml:space="preserve">תָּלוּי אָרוּךְ, אִם זַכְוָון עוֹבָדִין דְּעָלְמָא מַטֶּה כְּלַפֵּי חֶסֶד, וְאִם לַאו כְּלַפֵּי דִינָא, </w:t>
      </w:r>
      <w:r w:rsidRPr="00510565">
        <w:rPr>
          <w:rStyle w:val="a7"/>
          <w:rtl/>
        </w:rPr>
        <w:footnoteReference w:id="2086"/>
      </w:r>
      <w:r w:rsidRPr="00510565">
        <w:rPr>
          <w:rtl/>
        </w:rPr>
        <w:t>וְהָכִי אִינוּן תְּלַת אָחֳרָנִין כְּגַוְונָא דָא, וּלְחַכִּימַיָּא בִרְמִיזָא.</w:t>
      </w:r>
    </w:p>
    <w:p w:rsidR="00606298" w:rsidRPr="00510565" w:rsidRDefault="00606298" w:rsidP="00B17EA9">
      <w:pPr>
        <w:pStyle w:val="NormalWeb"/>
        <w:rPr>
          <w:rtl/>
        </w:rPr>
      </w:pPr>
      <w:r w:rsidRPr="00510565">
        <w:rPr>
          <w:rtl/>
        </w:rPr>
        <w:t xml:space="preserve">הָא אִלֵּין נָפְקִין, הָא אָחֳרָנִין דָּפְקִין לְפִתְחָא מִסִּטְרָא דְקֶשֶׁת, דְּאִיהוּ אוּף הָכִי אוֹת בְּרִית, דְּאִתְּמַר בֵּיהּ </w:t>
      </w:r>
      <w:r w:rsidRPr="00510565">
        <w:rPr>
          <w:sz w:val="20"/>
          <w:szCs w:val="23"/>
          <w:rtl/>
        </w:rPr>
        <w:t>(שם א כח)</w:t>
      </w:r>
      <w:r w:rsidRPr="00510565">
        <w:rPr>
          <w:rtl/>
        </w:rPr>
        <w:t xml:space="preserve"> כְּמַרְאֵה הַקֶּשֶׁת אֲשֶׁר יִהְיֶה בֶעָנָן בְּיוֹם הַגֶּשֶׁם, כֵּן מַרְאֵה הַנֹּגַהּ סָבִיב, הוּא מַרְאֵה דְּמוּת כְּבוֹד יְיָ' וָאֶרְאֶה וָאֶפֹּל עַל פָּנַי, וָאֶשְׁמַע קוֹל מְדַבֵּר, וְאַמַּאי הוּא נְפִיל עַל אַנְפּוֹי, בְּגִין דַּאֲסִיר לְאִסְתַּכְּלָא בַקֶּשֶׁת.</w:t>
      </w:r>
    </w:p>
    <w:p w:rsidR="00606298" w:rsidRPr="00510565" w:rsidRDefault="00606298" w:rsidP="00B17EA9">
      <w:pPr>
        <w:pStyle w:val="aa"/>
        <w:rPr>
          <w:rtl/>
        </w:rPr>
      </w:pPr>
      <w:bookmarkStart w:id="162" w:name="_Toc228095628"/>
      <w:bookmarkStart w:id="163" w:name="_Toc231638066"/>
      <w:r w:rsidRPr="00510565">
        <w:rPr>
          <w:rtl/>
        </w:rPr>
        <w:t>[תיקוני זוהר - דף לב ע''ב]</w:t>
      </w:r>
      <w:bookmarkEnd w:id="162"/>
      <w:bookmarkEnd w:id="163"/>
    </w:p>
    <w:p w:rsidR="00606298" w:rsidRPr="00510565" w:rsidRDefault="00606298" w:rsidP="00690A17">
      <w:pPr>
        <w:pStyle w:val="NormalWeb"/>
        <w:rPr>
          <w:rtl/>
        </w:rPr>
      </w:pPr>
      <w:r w:rsidRPr="00510565">
        <w:rPr>
          <w:rtl/>
        </w:rPr>
        <w:t xml:space="preserve">אָמַר רַבִּי אֶלְעָזָר, אַבָּא וְאַמַּאי אַסִּיר לְאִסְתַּכְּלָא בַקֶּשֶׁת, אָמַר לֵיהּ </w:t>
      </w:r>
      <w:r w:rsidRPr="00690A17">
        <w:rPr>
          <w:rStyle w:val="20"/>
          <w:rtl/>
        </w:rPr>
        <w:t>(דף לב ע''</w:t>
      </w:r>
      <w:r w:rsidR="00690A17">
        <w:rPr>
          <w:rStyle w:val="20"/>
          <w:rFonts w:hint="cs"/>
          <w:rtl/>
        </w:rPr>
        <w:t>ב</w:t>
      </w:r>
      <w:r w:rsidRPr="00690A17">
        <w:rPr>
          <w:rStyle w:val="20"/>
          <w:rtl/>
        </w:rPr>
        <w:t>)</w:t>
      </w:r>
      <w:r w:rsidRPr="00510565">
        <w:rPr>
          <w:sz w:val="20"/>
          <w:szCs w:val="23"/>
          <w:rtl/>
        </w:rPr>
        <w:t xml:space="preserve"> </w:t>
      </w:r>
      <w:r w:rsidRPr="00510565">
        <w:rPr>
          <w:rtl/>
        </w:rPr>
        <w:t xml:space="preserve">רַבִּי שִׁמְעוֹן, בְּרִי בְּגִין אִינוּן קְלִיפִין דְּמִתְלַבְּשִׁין בֵּיהּ וּדְאִינוּן בֵּיהּ, דְּאִינוּן רוּחַ סְעָרָה עָנָן גָּדוֹל וְאֵשׁ מִתְלַקַּחַת וְנֹגַהּ לוֹ סָבִיב, וְדָא אִיהוּ דְחָזָא יְחֶזְקֵאל עָלָיו הַשָּׁלוֹם, דְּאָמַר וָאֵרֶא וְהִנֵּה רוּחַ סְעָרָה בָּאָה מִן הַצָּפוֹן, דָּא קַו תֹּהוּ קְלִיפָא יְרוֹקָא דֶאֱגוֹזָא קַו יָרוֹק, עָנָן גָּדוֹל קְלִיפָה תִּנְיָינָא חִוְורָא דֶאֱגוֹזָא, </w:t>
      </w:r>
      <w:r w:rsidRPr="00510565">
        <w:rPr>
          <w:rStyle w:val="a7"/>
          <w:rtl/>
        </w:rPr>
        <w:footnoteReference w:id="2087"/>
      </w:r>
      <w:r w:rsidRPr="00510565">
        <w:rPr>
          <w:rtl/>
        </w:rPr>
        <w:t xml:space="preserve">וְדָא בֹהוּ, וְאֵשׁ מִתְלַקַּחַת קְלִיפָה תְלִיתָאָה דֶאֱגוֹזָא </w:t>
      </w:r>
      <w:r w:rsidRPr="00510565">
        <w:rPr>
          <w:rStyle w:val="a7"/>
          <w:rtl/>
        </w:rPr>
        <w:footnoteReference w:id="2088"/>
      </w:r>
      <w:r w:rsidRPr="00510565">
        <w:rPr>
          <w:rtl/>
        </w:rPr>
        <w:t>וְדָא חֹשֶׁךְ, וְנֹגַהּ לוֹ סָבִיב דָּא קְלִיפָה רְבִיעָאָה דֶּאֱגוֹזָא, דְאִיהִי אִתְאַחֲדָא בְּמוֹחָא, וּמִתּוֹכָם כְּעִין הַחַשְׁמַל דָּא מוֹחָא דֶאֱגוֹזָא, וְדָא יאהדונה''י.</w:t>
      </w:r>
    </w:p>
    <w:p w:rsidR="00606298" w:rsidRPr="00510565" w:rsidRDefault="00606298" w:rsidP="00B17EA9">
      <w:pPr>
        <w:pStyle w:val="NormalWeb"/>
        <w:rPr>
          <w:rtl/>
        </w:rPr>
      </w:pPr>
      <w:r w:rsidRPr="00510565">
        <w:rPr>
          <w:rtl/>
        </w:rPr>
        <w:t xml:space="preserve">וּבְרִי עַד דְּאִלֵּין קְלִיפִין דֶּאֱגוֹזָא מִתְעַבְּרִין וּמִתְתַּבְּרִין, בִּתְקִיעָה וּשְׁבָרִים וּתְרוּעָה, דִּבְהוֹן שְׁבָרִים </w:t>
      </w:r>
      <w:r w:rsidRPr="00510565">
        <w:rPr>
          <w:sz w:val="20"/>
          <w:szCs w:val="23"/>
          <w:rtl/>
        </w:rPr>
        <w:t>(שמות כג כד)</w:t>
      </w:r>
      <w:r w:rsidRPr="00510565">
        <w:rPr>
          <w:rtl/>
        </w:rPr>
        <w:t xml:space="preserve"> </w:t>
      </w:r>
      <w:r w:rsidRPr="00510565">
        <w:rPr>
          <w:rStyle w:val="a7"/>
          <w:rtl/>
        </w:rPr>
        <w:footnoteReference w:id="2089"/>
      </w:r>
      <w:r w:rsidRPr="00510565">
        <w:rPr>
          <w:rtl/>
        </w:rPr>
        <w:t xml:space="preserve">שַׁבֵּר תְּשַׁבֵּר מַצֵּבוֹתֵיהֶם, דְּאִינוּן קְלִיפִין דֶּאֱגוֹזָא, וּבִתְרוּעָה </w:t>
      </w:r>
      <w:r w:rsidRPr="00510565">
        <w:rPr>
          <w:sz w:val="20"/>
          <w:szCs w:val="23"/>
          <w:rtl/>
        </w:rPr>
        <w:t>(תהלים ב ט)</w:t>
      </w:r>
      <w:r w:rsidRPr="00510565">
        <w:rPr>
          <w:rtl/>
        </w:rPr>
        <w:t xml:space="preserve"> תְּרוֹעִם בְּשֵׁבֶט בַּרְזֶל, וּבִתְקִיעָה וְהוֹקַע אוֹתָם לַיְיָ', דְּאִלֵּין גָּרְמוּ </w:t>
      </w:r>
      <w:r w:rsidRPr="00510565">
        <w:rPr>
          <w:sz w:val="20"/>
          <w:szCs w:val="23"/>
          <w:rtl/>
        </w:rPr>
        <w:t>(בראשית לב כו)</w:t>
      </w:r>
      <w:r w:rsidRPr="00510565">
        <w:rPr>
          <w:rtl/>
        </w:rPr>
        <w:t xml:space="preserve"> </w:t>
      </w:r>
      <w:r w:rsidRPr="00510565">
        <w:rPr>
          <w:rStyle w:val="a7"/>
          <w:rtl/>
        </w:rPr>
        <w:footnoteReference w:id="2090"/>
      </w:r>
      <w:r w:rsidRPr="00510565">
        <w:rPr>
          <w:rtl/>
        </w:rPr>
        <w:t xml:space="preserve">דְוַתֵּקַע כַּף יֶרֶךְ יַעֲקֹב בְּגִיד הַנָּשֶׁה, דְאִיהוּ צַדִּיק, וְאִתְפָּרַשׁ מִינָהּ שְׁכִינְתָּא, וְאִיהִי בְּגָלוּתָא, וְאִתְדַּבַּק בְּאַתְרָהָא קְלִיפָה דְּעָרְלָה דְאַפְרִיד בֵּין צַדִּיק וּשְׁכִינְתָּא, עַל כֵּן לֹא יֹאכְלוּ בְנֵי יִשְׂרָאֵל אֶת גִּיד הַנָּשֶׁה </w:t>
      </w:r>
      <w:r w:rsidRPr="00510565">
        <w:rPr>
          <w:sz w:val="20"/>
          <w:szCs w:val="23"/>
          <w:rtl/>
        </w:rPr>
        <w:t>(שם לב לג)</w:t>
      </w:r>
      <w:r w:rsidRPr="00510565">
        <w:rPr>
          <w:rtl/>
        </w:rPr>
        <w:t>, עַד דְּאִתְעַבְּרַת הַאי קְלִיפָה מִתַּמָּן.</w:t>
      </w:r>
    </w:p>
    <w:p w:rsidR="00606298" w:rsidRPr="00510565" w:rsidRDefault="00606298" w:rsidP="00B17EA9">
      <w:pPr>
        <w:pStyle w:val="NormalWeb"/>
        <w:rPr>
          <w:rtl/>
        </w:rPr>
      </w:pPr>
      <w:r w:rsidRPr="00510565">
        <w:rPr>
          <w:rtl/>
        </w:rPr>
        <w:t xml:space="preserve">וּבְרִי כָּל זִמְנָא דְאִלֵּין קְלִיפִין לָא מִתְעַבְּרִין מִקֶּשֶׁת, לָא יְהֵא קֶשֶׁת בְּגַוְּונוֹי נְהִירִין, וְסִימָנָא דָא יְהֵא בִידָךְ, עַד דְּתֶחֱזֵי קַשְׁתָּא בְּגַוְּונוֹי נְהִירִין לָא תְצַפֵּי לְרַגְלֵי דִמְשִׁיחָא, וּמִיָּד דִּיְהֵא נָהִיר בְּגַוָּונִין נְהִירִין, מִיָּד וּרְאִיתִיהָ לִזְכֹּר בְּרִית עוֹלָם </w:t>
      </w:r>
      <w:r w:rsidRPr="00510565">
        <w:rPr>
          <w:sz w:val="20"/>
          <w:szCs w:val="23"/>
          <w:rtl/>
        </w:rPr>
        <w:t>(שם ט טז)</w:t>
      </w:r>
      <w:r w:rsidRPr="00510565">
        <w:rPr>
          <w:rtl/>
        </w:rPr>
        <w:t xml:space="preserve">, וּמִיָּד אִתְגַּלְיָיא הַהוּא דְאִתְּמַר בֵּיהּ </w:t>
      </w:r>
      <w:r w:rsidRPr="00510565">
        <w:rPr>
          <w:sz w:val="20"/>
          <w:szCs w:val="23"/>
          <w:rtl/>
        </w:rPr>
        <w:t>(שמות ג יב)</w:t>
      </w:r>
      <w:r w:rsidRPr="00510565">
        <w:rPr>
          <w:rtl/>
        </w:rPr>
        <w:t xml:space="preserve"> וְזֶה לְּךָ הָאוֹת כִּי אָנֹכִי שְׁלַחְתִּיךָ, לְקַיָּימָא בֵּיהּ כִּימֵי צֵאתְךָ מֵאֶרֶץ מִצְרָיִם אַרְאֶנּוּ נִפְלָאוֹת </w:t>
      </w:r>
      <w:r w:rsidRPr="00510565">
        <w:rPr>
          <w:sz w:val="20"/>
          <w:szCs w:val="23"/>
          <w:rtl/>
        </w:rPr>
        <w:t>(מיכה ז טו)</w:t>
      </w:r>
      <w:r w:rsidRPr="00510565">
        <w:rPr>
          <w:rtl/>
        </w:rPr>
        <w:t xml:space="preserve">, בְּהַהוּא זִמְנָא אִתְגַּלְיָיא </w:t>
      </w:r>
      <w:r w:rsidRPr="00510565">
        <w:rPr>
          <w:rStyle w:val="a7"/>
          <w:rtl/>
        </w:rPr>
        <w:footnoteReference w:id="2091"/>
      </w:r>
      <w:r w:rsidRPr="00510565">
        <w:rPr>
          <w:rtl/>
        </w:rPr>
        <w:t>מַ''ה שֶּׁ''הָיָה ה''וּא שֶׁיִּהְיֶה.</w:t>
      </w:r>
    </w:p>
    <w:p w:rsidR="00606298" w:rsidRPr="00510565" w:rsidRDefault="00606298" w:rsidP="00B17EA9">
      <w:pPr>
        <w:pStyle w:val="NormalWeb"/>
        <w:rPr>
          <w:rtl/>
        </w:rPr>
      </w:pPr>
      <w:r w:rsidRPr="00510565">
        <w:rPr>
          <w:rtl/>
        </w:rPr>
        <w:t xml:space="preserve">הָא אִלֵּין נָפְקִין, אָחֳרָנִין דָּפְקִין לְפִתְחָא, וְאָמְרִין אדנ''י שְׂפָתַי תִּפְתָּח, וְאִינוּן מָארֵי דְקוֹמָה, מִסִּטְרָא דְאִימָּא עִלָּאָה אִתְקְרִיאַת שְׁכִינְתָּא בֶּטֶן, הֲדָא הוּא דִכְתִיב </w:t>
      </w:r>
      <w:r w:rsidRPr="00510565">
        <w:rPr>
          <w:sz w:val="20"/>
          <w:szCs w:val="23"/>
          <w:rtl/>
        </w:rPr>
        <w:t>(איוב לח כט)</w:t>
      </w:r>
      <w:r w:rsidRPr="00510565">
        <w:rPr>
          <w:szCs w:val="23"/>
          <w:rtl/>
        </w:rPr>
        <w:t xml:space="preserve"> </w:t>
      </w:r>
      <w:r w:rsidRPr="00510565">
        <w:rPr>
          <w:rStyle w:val="Char"/>
          <w:rtl/>
        </w:rPr>
        <w:t>מִבֶּטֶן מִי יָצָא הַקָּרַח,</w:t>
      </w:r>
      <w:r w:rsidRPr="00510565">
        <w:rPr>
          <w:szCs w:val="23"/>
          <w:rtl/>
        </w:rPr>
        <w:t xml:space="preserve"> </w:t>
      </w:r>
      <w:r w:rsidRPr="00510565">
        <w:rPr>
          <w:sz w:val="20"/>
          <w:szCs w:val="23"/>
          <w:rtl/>
        </w:rPr>
        <w:t>(יחזקאל א כב)</w:t>
      </w:r>
      <w:r w:rsidRPr="00510565">
        <w:rPr>
          <w:rtl/>
        </w:rPr>
        <w:t xml:space="preserve"> כְּעִין הַקֶּרַח הַנּוֹרָא, </w:t>
      </w:r>
      <w:r w:rsidRPr="00510565">
        <w:rPr>
          <w:rStyle w:val="a7"/>
          <w:rtl/>
        </w:rPr>
        <w:footnoteReference w:id="2092"/>
      </w:r>
      <w:r w:rsidRPr="00510565">
        <w:rPr>
          <w:rtl/>
        </w:rPr>
        <w:t xml:space="preserve">גוּף דִּילָהּ עַמּוּדָא דְאֶמְצָעִיתָא, בֶּטֶן עֲלֵיהּ אִתְּמַר </w:t>
      </w:r>
      <w:r w:rsidRPr="00510565">
        <w:rPr>
          <w:sz w:val="20"/>
          <w:szCs w:val="23"/>
          <w:rtl/>
        </w:rPr>
        <w:t>(שיר ז ג)</w:t>
      </w:r>
      <w:r w:rsidRPr="00510565">
        <w:rPr>
          <w:rtl/>
        </w:rPr>
        <w:t xml:space="preserve"> בִּטְנֵךְ עֲרֵמַת חִטִּים.</w:t>
      </w:r>
    </w:p>
    <w:p w:rsidR="00606298" w:rsidRPr="00510565" w:rsidRDefault="00606298" w:rsidP="00B17EA9">
      <w:pPr>
        <w:pStyle w:val="NormalWeb"/>
        <w:rPr>
          <w:rtl/>
        </w:rPr>
      </w:pPr>
      <w:r w:rsidRPr="00510565">
        <w:rPr>
          <w:rtl/>
        </w:rPr>
        <w:t xml:space="preserve">שָׁרְרֵךְ אַגַּן הַסַּהַר אַל יֶחְסַר הַמָּזֶג וְגוֹמֵר </w:t>
      </w:r>
      <w:r w:rsidRPr="00510565">
        <w:rPr>
          <w:sz w:val="20"/>
          <w:szCs w:val="23"/>
          <w:rtl/>
        </w:rPr>
        <w:t>(שם)</w:t>
      </w:r>
      <w:r w:rsidRPr="00510565">
        <w:rPr>
          <w:rtl/>
        </w:rPr>
        <w:t xml:space="preserve">, שָׁרְרֵךְ </w:t>
      </w:r>
      <w:r w:rsidRPr="00510565">
        <w:rPr>
          <w:rStyle w:val="a7"/>
          <w:rtl/>
        </w:rPr>
        <w:footnoteReference w:id="2093"/>
      </w:r>
      <w:r w:rsidRPr="00510565">
        <w:rPr>
          <w:rtl/>
        </w:rPr>
        <w:t xml:space="preserve">דָּא צִיּוֹן, דְּאִיהוּ טַבּוּר עָלְמָא, נְקוּדָה דְמִינָהּ הוּשְׁתַּת הָעוֹלָם, לְאַרְבַּע סִטְרִין דְּאִינוּן מִזְרָח וּמַעֲרָב צָפוֹן וְדָרוֹם, וּלְקִבְלַיְיהוּ, רֵישָׁא לְמִזְרָח, גּוּפָא לְמַעֲרָב, דְּרוֹעִין לְדָרוֹם, רַגְלִין לְצָפוֹן, אוֹת בְּרִית נְקוּדָה בְּאֶמְצָעִיתָא, כְּגַוְונָא דְטַבּוּר, אַגַּן הַסַּהַר, </w:t>
      </w:r>
      <w:r w:rsidRPr="00510565">
        <w:rPr>
          <w:rStyle w:val="a7"/>
          <w:rtl/>
        </w:rPr>
        <w:footnoteReference w:id="2094"/>
      </w:r>
      <w:r w:rsidRPr="00510565">
        <w:rPr>
          <w:rtl/>
        </w:rPr>
        <w:t xml:space="preserve">דָּא נְקוּדָה דְסִיהֲרָא כְגַוְונָא דָא כּ, </w:t>
      </w:r>
      <w:r w:rsidRPr="00510565">
        <w:rPr>
          <w:rStyle w:val="a7"/>
          <w:rtl/>
        </w:rPr>
        <w:footnoteReference w:id="2095"/>
      </w:r>
      <w:r w:rsidRPr="00510565">
        <w:rPr>
          <w:rtl/>
        </w:rPr>
        <w:t xml:space="preserve">וְהִיא רֵאשִׁית נְקוּדָה בְאָת בּ, </w:t>
      </w:r>
      <w:r w:rsidRPr="00510565">
        <w:rPr>
          <w:rStyle w:val="a7"/>
          <w:rtl/>
        </w:rPr>
        <w:footnoteReference w:id="2096"/>
      </w:r>
      <w:r w:rsidRPr="00510565">
        <w:rPr>
          <w:rtl/>
        </w:rPr>
        <w:t xml:space="preserve">בַּת קוֹל אִיהִי וַדַּאי, </w:t>
      </w:r>
      <w:r w:rsidRPr="00510565">
        <w:rPr>
          <w:rStyle w:val="a7"/>
          <w:rtl/>
        </w:rPr>
        <w:footnoteReference w:id="2097"/>
      </w:r>
      <w:r w:rsidRPr="00510565">
        <w:rPr>
          <w:rtl/>
        </w:rPr>
        <w:t>כְּלָלָא דְנִקּוּדִין וְאַתְוָון.</w:t>
      </w:r>
    </w:p>
    <w:p w:rsidR="00606298" w:rsidRPr="00510565" w:rsidRDefault="00606298" w:rsidP="00B17EA9">
      <w:pPr>
        <w:pStyle w:val="NormalWeb"/>
        <w:rPr>
          <w:rtl/>
        </w:rPr>
      </w:pPr>
      <w:r w:rsidRPr="00510565">
        <w:rPr>
          <w:rtl/>
        </w:rPr>
        <w:t xml:space="preserve">וְאִיהִי פְתוּחָה כְלַפֵּי צַדִּיקַיָּא וְחַסִּידַיָּא וְחַכִּימַיָּא מָארֵי דְאוֹרַיְיתָא, וּפְתִיחָא לְגַבֵּי נְבִיאַיָּיא, וּלְגַבֵּי צַדִּיקַיָּא נַטְרֵי בְרִית, וְכָל אִינוּן דְּתַלְיָין בִּסְפִירָן, דְּאִינוּן שְׁמָא קַדִּישָׁא דְקוּדְשָׁא בְּרִיךְ הוּא, וְאִיהִי סְתִימָא </w:t>
      </w:r>
      <w:r w:rsidRPr="00510565">
        <w:rPr>
          <w:rStyle w:val="a7"/>
          <w:rtl/>
        </w:rPr>
        <w:footnoteReference w:id="2098"/>
      </w:r>
      <w:r w:rsidRPr="00510565">
        <w:rPr>
          <w:rtl/>
        </w:rPr>
        <w:t>מִסִּטְרָא אָחֳרָא כְּלַפֵּי רַשִּׁיעַיָּיא, דִבְזִמְנָא דְאַתְיָין לְאִסְתַּכְּלָא בָּהּ, חָזְרַת אַנְפִּין לַאֲחוֹרָא מִנַּיְיהוּ, כְגַוְונָא דָא [ציור].</w:t>
      </w:r>
    </w:p>
    <w:p w:rsidR="00606298" w:rsidRPr="00510565" w:rsidRDefault="00606298" w:rsidP="00B17EA9">
      <w:pPr>
        <w:pStyle w:val="NormalWeb"/>
        <w:rPr>
          <w:rtl/>
        </w:rPr>
      </w:pPr>
      <w:r w:rsidRPr="00510565">
        <w:rPr>
          <w:rtl/>
        </w:rPr>
        <w:t xml:space="preserve">וּבְגִין דְּיַעֲקֹב דְּאִיהוּ דִיוֹקְנֵיהּ חֲקוּקָה בְסִיהֲרָא תַמָּן, אִתְּמַר בֵּיהּ </w:t>
      </w:r>
      <w:r w:rsidRPr="00510565">
        <w:rPr>
          <w:sz w:val="20"/>
          <w:szCs w:val="23"/>
          <w:rtl/>
        </w:rPr>
        <w:t>(במדבר כג כא)</w:t>
      </w:r>
      <w:r w:rsidRPr="00510565">
        <w:rPr>
          <w:rtl/>
        </w:rPr>
        <w:t xml:space="preserve"> לֹא הִבִּיט אָוְן בְּיַעֲקֹב וְלֹא רָאָה עָמָל בְּיִשְׂרָאֵל, יְיָ' אֱלֹהָי''ו עִמּוֹ וּתְרוּעַת מֶלֶךְ בּוֹ, וְעַל אִינוּן דְּזַרְעָא דְיַעֲקֹב אִתְּמַר </w:t>
      </w:r>
      <w:r w:rsidRPr="00510565">
        <w:rPr>
          <w:sz w:val="20"/>
          <w:szCs w:val="23"/>
          <w:rtl/>
        </w:rPr>
        <w:t>(דברים לג כז)</w:t>
      </w:r>
      <w:r w:rsidRPr="00510565">
        <w:rPr>
          <w:rtl/>
        </w:rPr>
        <w:t xml:space="preserve"> וַיִּשְׁכֹּן יִשְׂרָאֵל בֶּטַח בָּדָד </w:t>
      </w:r>
      <w:r w:rsidRPr="00510565">
        <w:rPr>
          <w:rStyle w:val="a7"/>
          <w:rtl/>
        </w:rPr>
        <w:footnoteReference w:id="2099"/>
      </w:r>
      <w:r w:rsidRPr="00510565">
        <w:rPr>
          <w:rtl/>
        </w:rPr>
        <w:t xml:space="preserve">עִין יַעֲקֹב, אִתְּמַר הָכָא בָּדָד, וְאִתְּמַר הָתָם בַּאֲתַר אָחֳרָא </w:t>
      </w:r>
      <w:r w:rsidRPr="00510565">
        <w:rPr>
          <w:sz w:val="20"/>
          <w:szCs w:val="23"/>
          <w:rtl/>
        </w:rPr>
        <w:t>(שם לב יב)</w:t>
      </w:r>
      <w:r w:rsidRPr="00510565">
        <w:rPr>
          <w:rtl/>
        </w:rPr>
        <w:t xml:space="preserve"> יְיָ' בָּדָד יַנְחֶנּוּ וְאֵין עִמּוֹ אֵל נֵכָר, דָּא יְהֵא בְיוֹמוֹי דְמַלְכָּא מְשִׁיחָא, דְלָא יְהֵא פְסוֹלֶת בְּיִשְׂרָאֵל, אֶלָּא יְיָ' בָּדָד יַנְחֶנּוּ, וּמָאן פְּסוֹלֶת. אִינוּן גֵּרִים, וּבְגִין דָּא אוּקְמוּה מָארֵי מַתְנִיתִין, דְּאֵין מְקַבְּלִים גֵּרִים לִימוֹת הַמָּשִׁיחַ.</w:t>
      </w:r>
    </w:p>
    <w:p w:rsidR="00606298" w:rsidRPr="00510565" w:rsidRDefault="00606298" w:rsidP="00B17EA9">
      <w:pPr>
        <w:pStyle w:val="aa"/>
        <w:rPr>
          <w:rtl/>
        </w:rPr>
      </w:pPr>
      <w:bookmarkStart w:id="164" w:name="_Toc228095629"/>
      <w:bookmarkStart w:id="165" w:name="_Toc231638067"/>
      <w:r w:rsidRPr="00510565">
        <w:rPr>
          <w:rtl/>
        </w:rPr>
        <w:t>[תיקוני זוהר - דף לג ע''א]</w:t>
      </w:r>
      <w:bookmarkEnd w:id="164"/>
      <w:bookmarkEnd w:id="165"/>
    </w:p>
    <w:p w:rsidR="00606298" w:rsidRPr="00510565" w:rsidRDefault="00606298" w:rsidP="00B17EA9">
      <w:pPr>
        <w:pStyle w:val="NormalWeb"/>
        <w:rPr>
          <w:rtl/>
        </w:rPr>
      </w:pPr>
      <w:r w:rsidRPr="00510565">
        <w:rPr>
          <w:rtl/>
        </w:rPr>
        <w:t xml:space="preserve">וּבְהַהוּא זִמְנָא מִתְפַּשְׁטָא סִיהֲרָא מֵאִלֵּין קְלִיפִין חֲשׁוֹכִין, וּמִתְחַדְּשָׁא בִלְבוּשִׁין שַׁפִּירִין, וְהַאי אִיהוּ חִדּוּשָׁא דְסִיהֲרָא, הֲדָא הוּא דִכְתִיב </w:t>
      </w:r>
      <w:r w:rsidRPr="00510565">
        <w:rPr>
          <w:sz w:val="20"/>
          <w:szCs w:val="23"/>
          <w:rtl/>
        </w:rPr>
        <w:t>(בראשית לה יד)</w:t>
      </w:r>
      <w:r w:rsidRPr="00510565">
        <w:rPr>
          <w:rtl/>
        </w:rPr>
        <w:t xml:space="preserve"> וַתָּסַר בִּגְדֵי אַלְמְנוּתָהּ מֵעָלֶיהָ, וְאִתְּמַר בָּה </w:t>
      </w:r>
      <w:r w:rsidRPr="00510565">
        <w:rPr>
          <w:sz w:val="20"/>
          <w:szCs w:val="23"/>
          <w:rtl/>
        </w:rPr>
        <w:t>(תהלים קג ה)</w:t>
      </w:r>
      <w:r w:rsidRPr="00510565">
        <w:rPr>
          <w:rtl/>
        </w:rPr>
        <w:t xml:space="preserve"> תִּתְחַדֵּשׁ כַּנֶּשֶׁר נְעוּרָיְיכִי, וּמִיָּד דְּאִיהִי מִתְחַדְּשָׁא, מִיָּד אִתְקַיַּים </w:t>
      </w:r>
      <w:r w:rsidRPr="00510565">
        <w:rPr>
          <w:sz w:val="20"/>
          <w:szCs w:val="23"/>
          <w:rtl/>
        </w:rPr>
        <w:t xml:space="preserve">(דף לג ע''א) </w:t>
      </w:r>
      <w:r w:rsidRPr="00510565">
        <w:rPr>
          <w:rtl/>
        </w:rPr>
        <w:t xml:space="preserve">קְרָא </w:t>
      </w:r>
      <w:r w:rsidRPr="00510565">
        <w:rPr>
          <w:sz w:val="20"/>
          <w:szCs w:val="23"/>
          <w:rtl/>
        </w:rPr>
        <w:t>(יחזקאל לו כז)</w:t>
      </w:r>
      <w:r w:rsidRPr="00510565">
        <w:rPr>
          <w:rtl/>
        </w:rPr>
        <w:t xml:space="preserve"> דִנְבוּאָה בְיִשְׂרָאֵל, וְאֶת רוּחִי אֶתֵּן בְּקִרְבְּכֶם וְגוֹמֵר </w:t>
      </w:r>
      <w:r w:rsidRPr="00510565">
        <w:rPr>
          <w:sz w:val="20"/>
          <w:szCs w:val="23"/>
          <w:rtl/>
        </w:rPr>
        <w:t>(שם כו)</w:t>
      </w:r>
      <w:r w:rsidRPr="00510565">
        <w:rPr>
          <w:rtl/>
        </w:rPr>
        <w:t xml:space="preserve"> וְנָתַתִּי בָכֶם לֵב חָדָשׁ, וְרוּחַ חֲדָשָׁה אֶתֵּן בְּקִרְבְּכֶם וְגוֹמֵר, וְנִבְּאוּ בְּנֵיכֶם וּבְנוֹתֵיכֶם </w:t>
      </w:r>
      <w:r w:rsidRPr="00510565">
        <w:rPr>
          <w:sz w:val="20"/>
          <w:szCs w:val="23"/>
          <w:rtl/>
        </w:rPr>
        <w:t>(יואל ג א)</w:t>
      </w:r>
      <w:r w:rsidRPr="00510565">
        <w:rPr>
          <w:rtl/>
        </w:rPr>
        <w:t>.</w:t>
      </w:r>
    </w:p>
    <w:p w:rsidR="00606298" w:rsidRDefault="00606298" w:rsidP="00B17EA9">
      <w:pPr>
        <w:pStyle w:val="NormalWeb"/>
        <w:rPr>
          <w:rtl/>
        </w:rPr>
      </w:pPr>
      <w:r>
        <w:rPr>
          <w:rtl/>
        </w:rPr>
        <w:t xml:space="preserve">הָא אִלֵּין נָפְקִין, </w:t>
      </w:r>
      <w:r>
        <w:rPr>
          <w:rStyle w:val="a7"/>
          <w:rtl/>
        </w:rPr>
        <w:footnoteReference w:id="2100"/>
      </w:r>
      <w:r>
        <w:rPr>
          <w:rtl/>
        </w:rPr>
        <w:t xml:space="preserve">הָא מָארֵי דְקוֹמָה קָא דָפְקִין לְפִתְחָא, דְאִיהוּ קוֹמָה דְגוּפָא דְמַלְכָּא, דְאִתְּמַר בֵּיהּ </w:t>
      </w:r>
      <w:r>
        <w:rPr>
          <w:sz w:val="20"/>
          <w:szCs w:val="23"/>
          <w:rtl/>
        </w:rPr>
        <w:t>(דניאל י ו)</w:t>
      </w:r>
      <w:r>
        <w:rPr>
          <w:rtl/>
        </w:rPr>
        <w:t xml:space="preserve"> וּגְוִיָּתוֹ כְּתַרְשִׁישׁ, וְהַאי אִיהוּ דְאִתְקְרֵי שָׁמַיִם, דְּבֵיהּ אִתְפַּתְּחוּן חָמֵשׁ נְהוֹרִין, הֲדָא הוּא דִכְתִיב </w:t>
      </w:r>
      <w:r>
        <w:rPr>
          <w:sz w:val="20"/>
          <w:szCs w:val="23"/>
          <w:rtl/>
        </w:rPr>
        <w:t>(יחזקאל א א)</w:t>
      </w:r>
      <w:r>
        <w:rPr>
          <w:rtl/>
        </w:rPr>
        <w:t xml:space="preserve"> נִפְתְּחוּ הַשָּׁמַיִם וָאֶרְאֶה </w:t>
      </w:r>
      <w:r>
        <w:rPr>
          <w:rStyle w:val="a7"/>
          <w:rtl/>
        </w:rPr>
        <w:footnoteReference w:id="2101"/>
      </w:r>
      <w:r>
        <w:rPr>
          <w:rtl/>
        </w:rPr>
        <w:t xml:space="preserve">מַרְאוֹת אלהי''ם, וְאִינוּן חָמֵשׁ נְהוֹרִין דְּאִינוּן ה' סִפְרֵי דְאוֹרַיְיתָא, </w:t>
      </w:r>
      <w:r>
        <w:rPr>
          <w:rStyle w:val="a7"/>
          <w:rtl/>
        </w:rPr>
        <w:footnoteReference w:id="2102"/>
      </w:r>
      <w:r>
        <w:rPr>
          <w:rtl/>
        </w:rPr>
        <w:t>בְּגִין דְּאִיהוּ ו' וּבֵיהּ אִתְפַּתְּחָן חָמֵשׁ נְהוֹרִין דְּאָת ה', דְּסָלְקִין לְחַמְשִׁין תַּרְעִין דְּחֵירוּ.</w:t>
      </w:r>
    </w:p>
    <w:p w:rsidR="00606298" w:rsidRDefault="00606298" w:rsidP="00B17EA9">
      <w:pPr>
        <w:pStyle w:val="NormalWeb"/>
        <w:rPr>
          <w:rtl/>
        </w:rPr>
      </w:pPr>
      <w:r>
        <w:rPr>
          <w:rtl/>
        </w:rPr>
        <w:t>וּבְזִמְנָא דְאִלֵּין דָּפְקִין לְפִתְחָא, וְאָמְרִין אדנ''י שְׂפָתַי תִּפְתָּח, אִתְפַּתְּחַת לוֹן תַּרְעָא דְהֵיכָלָא בְּכַמָּה נְהוֹרִין מְרַקְּמָן, נָהֲרִין מִכָּל גַּוָּונִין דְּעָלְמָא, וּבְזִמְנָא דְאִלֵּין עָאלִין לְהֵיכָלָא, שְׁכִינְתָּא אוֹלִיפַת זְכוּ עֲלַיְיהוּ, וְאָמְרַת רִבּוֹן עָלְמָא, הָא אִלֵּין מָארֵי דְקוֹמָה דְקָא סָגְדִין בִּצְלוֹתָא לְגַבָּךְ אַרְבַּע זִמְנִין, בִּתְלַת קַדְמָאִין תְּרֵי, וּבִתְלַת בַּתְרָאִין תְּרֵי, לָקֳבֵל אַרְבַּע אַתְוָון דִּילָךְ, וְזָקְפִין אַרְבַּע זְקִיפוֹת בְּהוֹן לְאַרְבַּע אַתְוָון דִּילִי דְאִינוּן אדנ''י, לְסַלְקָא אַרְבַּע דְּאִינוּן אדנ''י, בְּאַרְבַּע דְּאִינוּן יהו''ה, וְצָרִיךְ לְמִכְרַע בְּכֻלְּהוּ, בְּחַ''י חוּלְיָין, דְּאִינוּן לָקֳבֵל תַּמְנֵי סְרֵי בִרְכָאָן, דִּכְלִילָן בְּחַ''י עָלְמִין, וְדָא אִיהוּ דְתַקִּינוּ מָארֵי מַתְנִיתִין, עַד דְּיִתְפַּקְקוּ כָּל חוּלְיוֹת שֶׁבַּשִּׁדְרָה, וְשִׁדְרָה אִיהוּ לוּלָב, אִם נִפְרְצוּ עַלָּיו פָּסוּל, כְּגַוְונָא דָא צָרִיךְ דְּלָא יַפְסִיק בְּתַמְנֵי סְרֵי בִרְכָאָן דִּצְלוֹתָא, דְאִינוּן לָקֳבֵל חַ''י נִעְנוּעִין דְּלוּלָב.</w:t>
      </w:r>
    </w:p>
    <w:p w:rsidR="00606298" w:rsidRDefault="00606298" w:rsidP="00B17EA9">
      <w:pPr>
        <w:pStyle w:val="NormalWeb"/>
        <w:rPr>
          <w:rtl/>
        </w:rPr>
      </w:pPr>
      <w:r>
        <w:rPr>
          <w:rtl/>
        </w:rPr>
        <w:t xml:space="preserve">כְּמָה דְאוּקְמוּהוּ מָארֵי מַתְנִיתִין, אֲפִילוּ נָחָשׁ כָּרוּךְ עַל עֲקֵבוֹ לֹא יַפְסִיק, בְּגִין דְּחַ''י עָלְמִין אִיהוּ דַאֲחִיד בֵּין יהו''ה אדנ''י, כְּגַוְונָא דָא יאהדונה''י, דְסָלִיק לְחֻשְׁבַּן אָמֵ''ן, וּבְגִין דָּא אֲפִילוּ נָחָשׁ כָּרוּךְ עַל עֲקֵבוֹ לֹא יַפְסִיק, כְּשֶׁהוּא כוֹרֵעַ בְּבָרוּךְ, וּמַה דְּאִתְּמַר אֲבָל עַקְרָב פּוֹסֵק, בְּגִין דְּהָא אוּקְמוּהוּ </w:t>
      </w:r>
      <w:r>
        <w:rPr>
          <w:sz w:val="20"/>
          <w:szCs w:val="23"/>
          <w:rtl/>
        </w:rPr>
        <w:t>(ויקרא יח ה)</w:t>
      </w:r>
      <w:r>
        <w:rPr>
          <w:rtl/>
        </w:rPr>
        <w:t xml:space="preserve"> וָחַי בָּהֶם, וְלֹא שֶׁיָּמוּת בָּהֶם.</w:t>
      </w:r>
    </w:p>
    <w:p w:rsidR="00606298" w:rsidRDefault="00606298" w:rsidP="00B17EA9">
      <w:pPr>
        <w:pStyle w:val="NormalWeb"/>
        <w:rPr>
          <w:rtl/>
        </w:rPr>
      </w:pPr>
      <w:r>
        <w:rPr>
          <w:rtl/>
        </w:rPr>
        <w:t xml:space="preserve">וְעוֹד כָּל הַכּוֹרֵעַ כּוֹרֵעַ בְּבָרוּךְ, הָא אוּקְמוּהוּ דְצָרִיךְ לִכְלוֹל בֵּיהּ עֶשֶׂר סְפִירָן, דְּאִינוּן יו''ד ה''א וא''ו ה''א, דְּאִינוּן כ' מִן בָּרוּךְ כֶּתֶר, ר' רֵאשִׁית חָכְמָה, ב' תְּרֵין הֵהִי''ן שְׁכִינְתָּא עִלָּאָה וְתַתָּאָה, ו' שִׁית סְפִירָן, הָא עֶשֶׂר, </w:t>
      </w:r>
      <w:r>
        <w:rPr>
          <w:rStyle w:val="a7"/>
          <w:rtl/>
        </w:rPr>
        <w:footnoteReference w:id="2103"/>
      </w:r>
      <w:r>
        <w:rPr>
          <w:rtl/>
        </w:rPr>
        <w:t xml:space="preserve">וּבְגִינֵיהּ אִתְּמַר </w:t>
      </w:r>
      <w:r>
        <w:rPr>
          <w:sz w:val="20"/>
          <w:szCs w:val="23"/>
          <w:rtl/>
        </w:rPr>
        <w:t>(בראשית יד כ)</w:t>
      </w:r>
      <w:r>
        <w:rPr>
          <w:rtl/>
        </w:rPr>
        <w:t xml:space="preserve"> וּבָרוּךְ אֵ''ל עֶלְיוֹן וְגוֹמֵר, וַיִּתֶּן לוֹ מַעֲשֵׂר מִכֹּל, יוֹסֵף בְּגִין דְּזָכָה לְצַדִּיק חַ''י עָלְמִין, דְּבֵיהּ צָרִיךְ לְמִסְגַּד בְּכָל סְפִירָן לְגַבֵּי שְׁכִינְתָּא, זָכָה לְהַאי חֶלְמָא, הֲדָא הוּא דִכְתִיב </w:t>
      </w:r>
      <w:r>
        <w:rPr>
          <w:sz w:val="20"/>
          <w:szCs w:val="23"/>
          <w:rtl/>
        </w:rPr>
        <w:t>(שם לז ט)</w:t>
      </w:r>
      <w:r>
        <w:rPr>
          <w:rtl/>
        </w:rPr>
        <w:t xml:space="preserve"> וְהִנֵּה הַשֶּׁמֶשׁ וְהַיָּרֵחַ וְגוֹמֵר, וְנָבִיא דְסָלִיק לְהַאי דַרְגָּא, שִׁמְשָׁא וְסִיהֲרָא וְכֹכְבַיָּא וּמַזָּלֵי, כֻלְּהוּ יָהֲבִין בֵּיהּ נְבִיעוּ בְּנִשְׁמָתֵיהּ, וְרוּחַ דִּנְבוּאָה לְאִתְנַבָּאָה מִכֻּלְּהוּ, וְהַאי אִיהוּ מִשְׁתַּחֲוִים לִי, דְּמִכֻּלְּהוּ נָחִית לֵיהּ נְבוּאָה, וּמִכֻּלְּהוּ אִתְכְּלִילַת נִשְׁמָתֵיהּ, וְהַאי אִיהוּ אַגְרָא דְאִלֵּין מָארֵי דְקוֹמָה.</w:t>
      </w:r>
    </w:p>
    <w:p w:rsidR="00606298" w:rsidRDefault="00606298" w:rsidP="00B17EA9">
      <w:pPr>
        <w:pStyle w:val="NormalWeb"/>
        <w:rPr>
          <w:rtl/>
        </w:rPr>
      </w:pPr>
      <w:r>
        <w:rPr>
          <w:rtl/>
        </w:rPr>
        <w:t xml:space="preserve">הָא אִלֵּין נָפְקִין, הָא אָחֳרָנִין דָּפְקִין לְפִתְחָא, וְאִינוּן מָארֵי דְרוֹעִין, וְאָמְרִין אדנ''י שְׂפָתַי תִּפְתָּח, מִיָּד עָאלִין נְטוּרֵי תַּרְעִין, וְאָמְרִין רִבּוֹן עָלְמָא הָא מָארֵי דִדְרוֹעִין קָא דָפְקִין לְפִתְחָא, קָלָא נָפִיק וְיֵימָא, הָא אִינוּן מָארֵי דִדְרוֹעִין בְּקִשּׁוּרָא דִתְּפִלִּין, וּבַעֲטִיפוּ דְמִצְוָה, דְאִתְּמַר בְּהוֹן וַיָּשִׂימוּ </w:t>
      </w:r>
      <w:r>
        <w:rPr>
          <w:rStyle w:val="a7"/>
          <w:rtl/>
        </w:rPr>
        <w:footnoteReference w:id="2104"/>
      </w:r>
      <w:r>
        <w:rPr>
          <w:rtl/>
        </w:rPr>
        <w:t xml:space="preserve">עַל שְׁכֶם </w:t>
      </w:r>
      <w:r>
        <w:rPr>
          <w:rStyle w:val="a7"/>
          <w:rtl/>
        </w:rPr>
        <w:footnoteReference w:id="2105"/>
      </w:r>
      <w:r>
        <w:rPr>
          <w:rtl/>
        </w:rPr>
        <w:t xml:space="preserve">שְׁנֵיהֶם, כְּגַוְונָא דְשֵׁם וָיֶפֶת, דְּאִתְּמַר בְּהוֹן </w:t>
      </w:r>
      <w:r>
        <w:rPr>
          <w:sz w:val="20"/>
          <w:szCs w:val="23"/>
          <w:rtl/>
        </w:rPr>
        <w:t>(שם ט כג)</w:t>
      </w:r>
      <w:r>
        <w:rPr>
          <w:rtl/>
        </w:rPr>
        <w:t xml:space="preserve"> וַיִּקַּח שֵׁם וָיֶפֶת אֶת הַשִּׂמְלָה וְגוֹמֵר, </w:t>
      </w:r>
      <w:r>
        <w:rPr>
          <w:rStyle w:val="a7"/>
          <w:rtl/>
        </w:rPr>
        <w:footnoteReference w:id="2106"/>
      </w:r>
      <w:r>
        <w:rPr>
          <w:rtl/>
        </w:rPr>
        <w:t xml:space="preserve">וְעֶרְוַת אֲבִיהֶם לֹא רָאוּ, עֶרְוָה אִיהִי מִסִּטְרָא דְחָם, וְדָא אִיהוּ יֵצֶר הָרַע, דִּמְחַמֵּם גּוּפֵיהּ לִדְבַר עֶרְוָה </w:t>
      </w:r>
      <w:r>
        <w:rPr>
          <w:sz w:val="20"/>
          <w:szCs w:val="23"/>
          <w:rtl/>
        </w:rPr>
        <w:t>(נ''א עבירה)</w:t>
      </w:r>
      <w:r>
        <w:rPr>
          <w:rtl/>
        </w:rPr>
        <w:t xml:space="preserve">, וְגַלִּי עֶרְיָן בְּעָלְמָא, דְאִיהוּ מִסִּטְרָא דְנָחָשׁ הַקַּדְמוֹנִי, דְאִתְּמַר בֵּיהּ </w:t>
      </w:r>
      <w:r>
        <w:rPr>
          <w:sz w:val="20"/>
          <w:szCs w:val="23"/>
          <w:rtl/>
        </w:rPr>
        <w:t>(שם ג יד)</w:t>
      </w:r>
      <w:r>
        <w:rPr>
          <w:rtl/>
        </w:rPr>
        <w:t xml:space="preserve"> אָרוּר אַתָּה מִכָּל הַבְּהֵמָה, וּבְגִין דְּהַאי אִיהוּ מִסִּטְרוֹי, אָמַר </w:t>
      </w:r>
      <w:r>
        <w:rPr>
          <w:sz w:val="20"/>
          <w:szCs w:val="23"/>
          <w:rtl/>
        </w:rPr>
        <w:t>(שם ט כה)</w:t>
      </w:r>
      <w:r>
        <w:rPr>
          <w:rtl/>
        </w:rPr>
        <w:t xml:space="preserve"> אָרוּר כְּנָעַן וְגוֹמֵר.</w:t>
      </w:r>
    </w:p>
    <w:p w:rsidR="00606298" w:rsidRDefault="00606298" w:rsidP="00B17EA9">
      <w:pPr>
        <w:pStyle w:val="aa"/>
        <w:rPr>
          <w:rtl/>
        </w:rPr>
      </w:pPr>
      <w:bookmarkStart w:id="166" w:name="_Toc228095630"/>
      <w:bookmarkStart w:id="167" w:name="_Toc231638068"/>
      <w:r>
        <w:rPr>
          <w:rtl/>
        </w:rPr>
        <w:t>[תיקוני זוהר - דף לג ע''ב]</w:t>
      </w:r>
      <w:bookmarkEnd w:id="166"/>
      <w:bookmarkEnd w:id="167"/>
    </w:p>
    <w:p w:rsidR="00606298" w:rsidRDefault="00606298" w:rsidP="00B17EA9">
      <w:pPr>
        <w:pStyle w:val="NormalWeb"/>
        <w:rPr>
          <w:rtl/>
        </w:rPr>
      </w:pPr>
      <w:r>
        <w:rPr>
          <w:rtl/>
        </w:rPr>
        <w:t xml:space="preserve">וְעוֹד אִלֵּין אִינוּן מָארֵי מַתְּנָן, דְּעָבְדִין גְּמִילוּת חֲסָדִים עִם שְׁכִינְתָּא דְאִיהִי עַנְיָא, דְאִנּוּן </w:t>
      </w:r>
      <w:r>
        <w:rPr>
          <w:sz w:val="20"/>
          <w:szCs w:val="23"/>
          <w:rtl/>
        </w:rPr>
        <w:t>(דברים טו יא)</w:t>
      </w:r>
      <w:r>
        <w:rPr>
          <w:szCs w:val="23"/>
          <w:rtl/>
        </w:rPr>
        <w:t xml:space="preserve"> </w:t>
      </w:r>
      <w:r>
        <w:rPr>
          <w:rStyle w:val="Char"/>
          <w:rtl/>
        </w:rPr>
        <w:t>פָּתוֹחַ תִּפְתַּח, נָתוֹן תִּתֵּן</w:t>
      </w:r>
      <w:r>
        <w:rPr>
          <w:szCs w:val="23"/>
          <w:rtl/>
        </w:rPr>
        <w:t xml:space="preserve"> </w:t>
      </w:r>
      <w:r>
        <w:rPr>
          <w:sz w:val="20"/>
          <w:szCs w:val="23"/>
          <w:rtl/>
        </w:rPr>
        <w:t>(שם י)</w:t>
      </w:r>
      <w:r>
        <w:rPr>
          <w:szCs w:val="23"/>
          <w:rtl/>
        </w:rPr>
        <w:t xml:space="preserve">, </w:t>
      </w:r>
      <w:r>
        <w:rPr>
          <w:rStyle w:val="Char"/>
          <w:rtl/>
        </w:rPr>
        <w:t>הַעֲנֵק תַּעֲנִיק וכו'</w:t>
      </w:r>
      <w:r>
        <w:rPr>
          <w:szCs w:val="23"/>
          <w:rtl/>
        </w:rPr>
        <w:t xml:space="preserve"> </w:t>
      </w:r>
      <w:r>
        <w:rPr>
          <w:sz w:val="20"/>
          <w:szCs w:val="23"/>
          <w:rtl/>
        </w:rPr>
        <w:t>(שם יד)</w:t>
      </w:r>
      <w:r>
        <w:rPr>
          <w:rtl/>
        </w:rPr>
        <w:t xml:space="preserve">, </w:t>
      </w:r>
      <w:r>
        <w:rPr>
          <w:sz w:val="20"/>
          <w:szCs w:val="23"/>
          <w:rtl/>
        </w:rPr>
        <w:t xml:space="preserve">(דף לג ע''ב) </w:t>
      </w:r>
      <w:r>
        <w:rPr>
          <w:rtl/>
        </w:rPr>
        <w:t xml:space="preserve">עֲשָׂרָה אִינוּן, וְהָא אוּקְמוּהוּ חַבְרַיָּא מָארֵי מַתְנִיתִין, וְאִלֵּין אִינוּן יְדֵי נְדִיבִים מִסִּטְרָא דַאֲבָהָן, דְּאִתְּמַר בְּהוֹן </w:t>
      </w:r>
      <w:r>
        <w:rPr>
          <w:sz w:val="20"/>
          <w:szCs w:val="23"/>
          <w:rtl/>
        </w:rPr>
        <w:t>(תהלים מז ו)</w:t>
      </w:r>
      <w:r>
        <w:rPr>
          <w:rtl/>
        </w:rPr>
        <w:t xml:space="preserve"> </w:t>
      </w:r>
      <w:r>
        <w:rPr>
          <w:rStyle w:val="a7"/>
          <w:rtl/>
        </w:rPr>
        <w:footnoteReference w:id="2107"/>
      </w:r>
      <w:r>
        <w:rPr>
          <w:rtl/>
        </w:rPr>
        <w:t xml:space="preserve">נְדִיבֵי עַמִּים וְגוֹמֵר, יְדַיִן פְּתִיחָן בְּוַתְּרָנוּתָא לְגַבֵּי עֲנִיִּין, דְּאִינוּן צַדִּיק וָצֶדֶק, דְּגָמְלִין עִמְּהוֹן בְּגָלוּתָא גְמִילוּת חֲסָדִים, בְּאוֹרַיְיתָא דְאִתְיְיהִיבַת מִימִינָא וּמִשְּׂמָאלָא, הֲדָא הוּא דִכְתִיב </w:t>
      </w:r>
      <w:r>
        <w:rPr>
          <w:sz w:val="20"/>
          <w:szCs w:val="23"/>
          <w:rtl/>
        </w:rPr>
        <w:t>(שם מב ט)</w:t>
      </w:r>
      <w:r>
        <w:rPr>
          <w:rtl/>
        </w:rPr>
        <w:t xml:space="preserve"> יוֹמָם יְצַוְּה יְיָ' חַסְדּוֹ וּבַלַּיְלָה שִׁירֹה עִמִּי, אוֹרַיְיתָא דְבִכְתָב וְאוֹרַיְיתָא דִבְעַל פֶּה, דְּמִתַּרְוַיְיהוּ אִתְיְהִיבוּ, הֲדָא הוּא דִכְתִיב </w:t>
      </w:r>
      <w:r>
        <w:rPr>
          <w:sz w:val="20"/>
          <w:szCs w:val="23"/>
          <w:rtl/>
        </w:rPr>
        <w:t>(דברים לג ב)</w:t>
      </w:r>
      <w:r>
        <w:rPr>
          <w:rtl/>
        </w:rPr>
        <w:t xml:space="preserve"> </w:t>
      </w:r>
      <w:r>
        <w:rPr>
          <w:rStyle w:val="a7"/>
          <w:rtl/>
        </w:rPr>
        <w:footnoteReference w:id="2108"/>
      </w:r>
      <w:r>
        <w:rPr>
          <w:rtl/>
        </w:rPr>
        <w:t>מִימִינוֹ אֵשׁ דָּת לָמוֹ.</w:t>
      </w:r>
    </w:p>
    <w:p w:rsidR="00606298" w:rsidRDefault="00606298" w:rsidP="00B17EA9">
      <w:pPr>
        <w:pStyle w:val="NormalWeb"/>
        <w:rPr>
          <w:rtl/>
        </w:rPr>
      </w:pPr>
      <w:r>
        <w:rPr>
          <w:rtl/>
        </w:rPr>
        <w:t xml:space="preserve">וְעוֹד רִבּוֹן עָלְמָא, </w:t>
      </w:r>
      <w:r>
        <w:rPr>
          <w:rStyle w:val="a7"/>
          <w:rtl/>
        </w:rPr>
        <w:footnoteReference w:id="2109"/>
      </w:r>
      <w:r>
        <w:rPr>
          <w:rtl/>
        </w:rPr>
        <w:t xml:space="preserve">קַבֵּל דּוֹרוֹנָא דִלְהוֹן, דְּאִיהִי מַתָּנָה טוֹבָה דְסָלְקָא עֲלַיְיהוּ, דְּאִתְּמַר בָּהּ מַתָּנָה טוֹבָה יֵשׁ לִי בְּבֵית גְּנָזַי וְשַׁבָּת שְׁמָהּ. </w:t>
      </w:r>
    </w:p>
    <w:p w:rsidR="00EA7581" w:rsidRDefault="00606298" w:rsidP="00B17EA9">
      <w:pPr>
        <w:pStyle w:val="NormalWeb"/>
        <w:rPr>
          <w:rtl/>
        </w:rPr>
      </w:pPr>
      <w:r>
        <w:rPr>
          <w:rtl/>
        </w:rPr>
        <w:t xml:space="preserve">וְעוֹד אִלֵּין אִינוּן דַּהֲווֹ עָבְדִין צְדָקָה עִמָּהּ, דְּאִיהִי צ' תִּשְׁעִין אֲמֵנִים, ד' אַרְבַּע קְדוּשׁוֹת, ק' מֵאָה בִרְכָאָן, ה' חֲמִשָּׁה חוּמְשֵׁי תוֹרָה, מִיָּד וִידֵי אָדָם </w:t>
      </w:r>
      <w:r>
        <w:rPr>
          <w:sz w:val="20"/>
          <w:szCs w:val="23"/>
          <w:rtl/>
        </w:rPr>
        <w:t>(יחזקאל א ח)</w:t>
      </w:r>
      <w:r>
        <w:rPr>
          <w:rtl/>
        </w:rPr>
        <w:t xml:space="preserve"> דְּאִינוּן חֶסֶד וּגְבוּרָה, הֲווֹ נָפְקִין מֵאָדָם דְּאִיהוּ עַמּוּדָא דְאֶמְצָעִיתָא, לְקַבְּלָא דוֹרוֹנָא דִלְהוֹן, וְיָהֲבִין לֵיהּ לְמַלְכָּא, דְּאִלֵּין דְּלָא עָבְדִין גְּמִילוּת חֲסָדִים עִם שְׁכִינְתֵּיהּ בְּגָלוּתָא, וְאִינוּן קַמְצָנִין לְגַבָּהּ, דּוֹרוֹנָא דִלְהוֹן לְכַלְבָּא אִתְמַסַּר, </w:t>
      </w:r>
      <w:r>
        <w:rPr>
          <w:rStyle w:val="a7"/>
          <w:rtl/>
        </w:rPr>
        <w:footnoteReference w:id="2110"/>
      </w:r>
      <w:r>
        <w:rPr>
          <w:rtl/>
        </w:rPr>
        <w:t xml:space="preserve">וְדוֹרוֹנָא דִשְׁכִינְתָּא צָרִיךְ לְמֶעֱבַד בְּגִינָהּ מֵהַהוּא חָבִיב דְּאִית לֵיהּ, כְּמָה דְאוּקְמוּהוּ מָארֵי מַתְנִיתִין, וְאָהַבְתָּ אֵת יְיָ' וְגוֹמֵר </w:t>
      </w:r>
      <w:r>
        <w:rPr>
          <w:sz w:val="20"/>
          <w:szCs w:val="23"/>
          <w:rtl/>
        </w:rPr>
        <w:t>(דברים ו ה)</w:t>
      </w:r>
      <w:r>
        <w:rPr>
          <w:rtl/>
        </w:rPr>
        <w:t xml:space="preserve">, בְּהַהוּא דְאִיהוּ חָבִיב עֲלָךְ, בְּהַהוּא זִמְנָא כַּמָּה חֵיוָון פָּתְחִין יְדַיְיהוּ, דְאִתְּמַר בְּהוֹן </w:t>
      </w:r>
      <w:r>
        <w:rPr>
          <w:sz w:val="20"/>
          <w:szCs w:val="23"/>
          <w:rtl/>
        </w:rPr>
        <w:t>(יחזקאל א ח)</w:t>
      </w:r>
      <w:r>
        <w:rPr>
          <w:rtl/>
        </w:rPr>
        <w:t xml:space="preserve"> וִידֵי אָדָם מִתַּחַת כַּנְפֵיהֶם, יָהֲבֵי דוֹרוֹנָא לְנִשְׁמָתָא דְהַהוּא בַר נַשׁ, מִכַּמָּה מַתְּנָן טָבִין, מִכַּמָּה דַרְגִּין דִּנְבוּאָה, וְעַל כֻּלְּהוּ יְהִיבַת לֵיהּ שְׁכִינְתָּא מַתְּנָן, דְּאִתְּמַר בָּהּ יִשְׂמַח מֹשֶׁה </w:t>
      </w:r>
      <w:r>
        <w:rPr>
          <w:rStyle w:val="a7"/>
          <w:rtl/>
        </w:rPr>
        <w:footnoteReference w:id="2111"/>
      </w:r>
      <w:r>
        <w:rPr>
          <w:rtl/>
        </w:rPr>
        <w:t xml:space="preserve">בְּמַתְּנַת חֶלְקוֹ, בְּגִין </w:t>
      </w:r>
      <w:r>
        <w:rPr>
          <w:sz w:val="20"/>
          <w:szCs w:val="23"/>
          <w:rtl/>
        </w:rPr>
        <w:t>(קהלת ג יג)</w:t>
      </w:r>
      <w:r>
        <w:rPr>
          <w:rtl/>
        </w:rPr>
        <w:t xml:space="preserve"> דְּמַתַּת אלהי''ם הִיא, </w:t>
      </w:r>
      <w:r>
        <w:rPr>
          <w:rStyle w:val="a7"/>
          <w:rtl/>
        </w:rPr>
        <w:footnoteReference w:id="2112"/>
      </w:r>
      <w:r>
        <w:rPr>
          <w:rtl/>
        </w:rPr>
        <w:t xml:space="preserve">וְהַהוּא דְאִתְּמַר בֵּיהּ </w:t>
      </w:r>
      <w:r>
        <w:rPr>
          <w:sz w:val="20"/>
          <w:szCs w:val="23"/>
          <w:rtl/>
        </w:rPr>
        <w:t>(תהלים קמה טז)</w:t>
      </w:r>
      <w:r>
        <w:rPr>
          <w:rtl/>
        </w:rPr>
        <w:t xml:space="preserve"> פּוֹתֵחַ אֶת יָדֶיךָ וכו', יְהִיב לֵיהּ כַּמָּה מַתְּנָן טָבִין, וּפַרְנָ</w:t>
      </w:r>
      <w:r w:rsidR="00EA7581">
        <w:rPr>
          <w:rtl/>
        </w:rPr>
        <w:t>סָה לְנִשְׁמָתֵיהּ וּלְגוּפֵיהּ</w:t>
      </w:r>
      <w:r w:rsidR="00EA7581">
        <w:rPr>
          <w:rFonts w:hint="cs"/>
          <w:rtl/>
        </w:rPr>
        <w:t>.</w:t>
      </w:r>
    </w:p>
    <w:p w:rsidR="00EA7581" w:rsidRDefault="00606298" w:rsidP="00EA7581">
      <w:pPr>
        <w:pStyle w:val="NormalWeb"/>
        <w:rPr>
          <w:rtl/>
        </w:rPr>
      </w:pPr>
      <w:r>
        <w:rPr>
          <w:rtl/>
        </w:rPr>
        <w:t xml:space="preserve">וְכֻלְּהוּ דְעָאלִין, כַּד נָפְקִין מִבֵּי מַלְכָּא, יָהֲבִין תְּלַת פְּסִיעָן לַאֲחוֹרָא, דְלָא חָזְרִין כִּתְפַיְיהוּ לְגַבֵּי קוּדְשָׁא בְּרִיךְ הוּא, </w:t>
      </w:r>
      <w:r w:rsidR="00EA7581">
        <w:rPr>
          <w:rStyle w:val="a7"/>
          <w:rtl/>
        </w:rPr>
        <w:footnoteReference w:id="2113"/>
      </w:r>
      <w:r>
        <w:rPr>
          <w:rtl/>
        </w:rPr>
        <w:t xml:space="preserve">דְלֵית דּוֹרוֹנָא חֲבִיבָא קֳדָם קוּדְשָׁא בְּרִיךְ הוּא </w:t>
      </w:r>
      <w:r w:rsidR="00EA7581" w:rsidRPr="00EA7581">
        <w:rPr>
          <w:vertAlign w:val="superscript"/>
          <w:rtl/>
        </w:rPr>
        <w:footnoteReference w:id="2114"/>
      </w:r>
      <w:r>
        <w:rPr>
          <w:rtl/>
        </w:rPr>
        <w:t>כְּדוֹרוֹנָא דִשְׁכִינְתָּא.</w:t>
      </w:r>
      <w:r w:rsidR="00EA7581">
        <w:rPr>
          <w:rFonts w:hint="cs"/>
          <w:rtl/>
        </w:rPr>
        <w:t xml:space="preserve"> </w:t>
      </w:r>
      <w:r w:rsidR="00EA7581" w:rsidRPr="00EA7581">
        <w:rPr>
          <w:rtl/>
        </w:rPr>
        <w:t>זַכָּאִין אִנּוּן דְּרוֹעִין דְּסָלְקִין לָהּ לְגַבֵּ</w:t>
      </w:r>
      <w:r w:rsidR="00EA7581" w:rsidRPr="00EA7581">
        <w:rPr>
          <w:rFonts w:hint="cs"/>
          <w:rtl/>
        </w:rPr>
        <w:t>ה</w:t>
      </w:r>
      <w:r w:rsidR="00EA7581" w:rsidRPr="00EA7581">
        <w:rPr>
          <w:rtl/>
        </w:rPr>
        <w:t>. תְּפִלִּין עַל יְדַיְהוּ וְעַל רֵישַׁיְהוּ</w:t>
      </w:r>
      <w:r w:rsidR="00EA7581" w:rsidRPr="00EA7581">
        <w:rPr>
          <w:rFonts w:hint="cs"/>
          <w:rtl/>
        </w:rPr>
        <w:t>.</w:t>
      </w:r>
      <w:r w:rsidR="00EA7581" w:rsidRPr="00EA7581">
        <w:rPr>
          <w:rtl/>
        </w:rPr>
        <w:t xml:space="preserve"> זַכָּאִין אִנּוּן רַגְלַיִן וְגוּפָא וְיָדִין וְכָל אֵבָר וְאֵבָר דְּבֵהּ סָלִיק דּוֹרוֹנָא לְקוּדְשָׁא בְּרִיךְ הוּא. דְּלֵית דּוֹרוֹנָא חֲבִיבָא קֳדָם קֻדְשָׁא בְּרִיךְ הוּא כְּדוֹרוֹנָא דִּשְׁכִינְתָּא. זַכָּאָה אִיהוּ אֵבָר </w:t>
      </w:r>
      <w:r w:rsidR="00EA7581" w:rsidRPr="00EA7581">
        <w:rPr>
          <w:vertAlign w:val="superscript"/>
          <w:rtl/>
        </w:rPr>
        <w:footnoteReference w:id="2115"/>
      </w:r>
      <w:r w:rsidR="00EA7581" w:rsidRPr="00EA7581">
        <w:rPr>
          <w:rtl/>
        </w:rPr>
        <w:t>דְּעָבִיד בֵּהּ מִצְוָה לְקוּדְשָׁא בְּרִיךְ הוּא. דִּבְגִינָהּ נָחִית קֻדְשָׁא בְּרִיךְ הוּא לְשַׁרְיָא בְּכָל אֵבָר דִּילֵהּ. וְעַל הַאי בַּר נָשׁ מַכְרִיזִין לְעֵלָּא</w:t>
      </w:r>
      <w:r w:rsidR="00EA7581" w:rsidRPr="00EA7581">
        <w:rPr>
          <w:rFonts w:hint="cs"/>
          <w:rtl/>
        </w:rPr>
        <w:t>,</w:t>
      </w:r>
      <w:r w:rsidR="00EA7581" w:rsidRPr="00EA7581">
        <w:rPr>
          <w:rtl/>
        </w:rPr>
        <w:t xml:space="preserve"> הָבוּ יְקָר </w:t>
      </w:r>
      <w:r w:rsidR="00EA7581" w:rsidRPr="00EA7581">
        <w:rPr>
          <w:vertAlign w:val="superscript"/>
          <w:rtl/>
        </w:rPr>
        <w:footnoteReference w:id="2116"/>
      </w:r>
      <w:r w:rsidR="00EA7581" w:rsidRPr="00EA7581">
        <w:rPr>
          <w:rtl/>
        </w:rPr>
        <w:t>לְדִיּוֹקְנָא דְּמַלְכָּא</w:t>
      </w:r>
      <w:r w:rsidR="00EA7581" w:rsidRPr="00EA7581">
        <w:rPr>
          <w:rFonts w:hint="cs"/>
          <w:rtl/>
        </w:rPr>
        <w:t>:</w:t>
      </w:r>
    </w:p>
    <w:p w:rsidR="00606298" w:rsidRDefault="00606298" w:rsidP="00B17EA9">
      <w:pPr>
        <w:pStyle w:val="NormalWeb"/>
        <w:rPr>
          <w:rtl/>
        </w:rPr>
      </w:pPr>
      <w:r>
        <w:rPr>
          <w:rtl/>
        </w:rPr>
        <w:t>זַכָּאִין אִינוּן דְּרוֹעִין דְּסָלְקִין לָהּ לְגַבֵּיהּ, תְּפִלִּין עַל יְדַיְיהוּ וְעַל רֵישַׁיְיהוּ, זַכָּאִין אִינוּן רַגְלִין וְגוּפָא וִידַיִן וְכָל אֵבֶר וְאֵבֶר, דְּבֵיהּ סָלִיק דּוֹרוֹנָא לְקוּדְשָׁא בְּרִיךְ הוּא, דְלֵית דּוֹרוֹנָא חֲבִיבָא קֳדָם קוּדְשָׁא בְּרִיךְ הוּא כְּדוֹרוֹנָא דִשְׁכִינְתָּא, זַכָּאָה אִיהוּ אֵבֶר דְּעָבִיד בֵּיהּ מִצְוָה לְקוּדְשָׁא בְּרִיךְ הוּא, דִבְגִינָהּ נָחִית קוּדְשָׁא בְּרִיךְ הוּא לְשַׁרְיָיא בְּכָל אֵבֶר דִּילֵיהּ, וְעַל הַאי בַּר נַשׁ מַכְרִיזִין לְעִילָא, הָבוּ יְקָר לְדִיּוֹקְנָא דְמַלְכָּא.</w:t>
      </w:r>
    </w:p>
    <w:p w:rsidR="00606298" w:rsidRDefault="00606298" w:rsidP="00B17EA9">
      <w:pPr>
        <w:pStyle w:val="NormalWeb"/>
        <w:rPr>
          <w:rtl/>
        </w:rPr>
      </w:pPr>
      <w:bookmarkStart w:id="168" w:name="_Toc228095631"/>
      <w:bookmarkStart w:id="169" w:name="_Toc231638069"/>
      <w:r>
        <w:rPr>
          <w:rtl/>
        </w:rPr>
        <w:t>[בד"א ומנטובה הובא כאן מאמר אני ישנה כו' שהוא לפנינו בתיקון ס"ט]</w:t>
      </w:r>
    </w:p>
    <w:p w:rsidR="00606298" w:rsidRDefault="00606298" w:rsidP="00B17EA9">
      <w:pPr>
        <w:pStyle w:val="aa"/>
        <w:rPr>
          <w:rtl/>
        </w:rPr>
      </w:pPr>
      <w:r>
        <w:rPr>
          <w:rtl/>
        </w:rPr>
        <w:t>[תיקוני זוהר - דף לו ע''ב]</w:t>
      </w:r>
      <w:bookmarkEnd w:id="168"/>
      <w:bookmarkEnd w:id="169"/>
    </w:p>
    <w:p w:rsidR="00606298" w:rsidRDefault="00606298" w:rsidP="00B17EA9">
      <w:pPr>
        <w:pStyle w:val="NormalWeb"/>
        <w:rPr>
          <w:sz w:val="20"/>
          <w:szCs w:val="23"/>
          <w:rtl/>
        </w:rPr>
      </w:pPr>
      <w:r>
        <w:rPr>
          <w:sz w:val="20"/>
          <w:szCs w:val="23"/>
          <w:rtl/>
        </w:rPr>
        <w:t xml:space="preserve">(דף לו ע''ב) </w:t>
      </w:r>
      <w:r>
        <w:rPr>
          <w:rStyle w:val="a7"/>
          <w:rtl/>
        </w:rPr>
        <w:footnoteReference w:id="2117"/>
      </w:r>
      <w:r>
        <w:rPr>
          <w:rtl/>
        </w:rPr>
        <w:t xml:space="preserve">בְּרֵישׁ הוּרְמָנוּ דְמַלְכָּא, בּוֹצִינָא דְקַרְדִּינוּתָא, לָא חִוָּור וְלָא סוּמָק וְלָא יָרוֹק וְלָא אוּכָּם וְלָא  גַּוָון כְּלָל. וְהַאי בּוֹצִינָא אִיהוּ קַו הַמִּדָּה, דְאִיהוּ אִתְלַבַּשׁ בְּאַוִּירָא, וְכַד אִיהִי בְאַוִּירָא, אִיהִי סְתִימָא וְלָא אִתְחַזְיָיא כְלָל, וְכַד אִתְפַּשְּׁטַת לְאִתְגַּלְיָא, נָפִיק מֵהַאי אַוִּירָא </w:t>
      </w:r>
      <w:r>
        <w:rPr>
          <w:rStyle w:val="a7"/>
          <w:rtl/>
        </w:rPr>
        <w:footnoteReference w:id="2118"/>
      </w:r>
      <w:r>
        <w:rPr>
          <w:rtl/>
        </w:rPr>
        <w:t xml:space="preserve">נְקוּדָה חֲדָא, וּמַה דְּאִשְׁתָּאַר אִיהוּ אוֹר, וְהַאי אִיהוּ אוֹר קַדְמָאָה דְעוֹבָדָא דִבְּרֵאשִׁית, הֲדָא הוּא דִכְתִיב </w:t>
      </w:r>
      <w:r>
        <w:rPr>
          <w:sz w:val="20"/>
          <w:szCs w:val="23"/>
          <w:rtl/>
        </w:rPr>
        <w:t>(בראשית א ג)</w:t>
      </w:r>
      <w:r>
        <w:rPr>
          <w:rtl/>
        </w:rPr>
        <w:t xml:space="preserve"> וַיֹּאמֶר אלהי''ם יְהִי אוֹר, יְהִי </w:t>
      </w:r>
      <w:r>
        <w:rPr>
          <w:rStyle w:val="a7"/>
          <w:rtl/>
        </w:rPr>
        <w:footnoteReference w:id="2119"/>
      </w:r>
      <w:r>
        <w:rPr>
          <w:rtl/>
        </w:rPr>
        <w:t>י"ה אַוִּיר, וְרָזָא דָא לְחַכִּימֵי לִבָּא אִתְמַסַּר.</w:t>
      </w:r>
    </w:p>
    <w:p w:rsidR="00606298" w:rsidRDefault="00606298" w:rsidP="00B17EA9">
      <w:pPr>
        <w:pStyle w:val="NormalWeb"/>
        <w:rPr>
          <w:rtl/>
        </w:rPr>
      </w:pPr>
      <w:r>
        <w:rPr>
          <w:rtl/>
        </w:rPr>
        <w:t xml:space="preserve">וְהַאי נְקוּדָה בָתַר דְּאִתְפַּשַּׁט מֵהַאי אוֹר, אִתְלַבְּשַׁת בְּגַּוָּונִין אַרְבַּע </w:t>
      </w:r>
      <w:r>
        <w:rPr>
          <w:rStyle w:val="a7"/>
          <w:rtl/>
        </w:rPr>
        <w:footnoteReference w:id="2120"/>
      </w:r>
      <w:r>
        <w:rPr>
          <w:rtl/>
        </w:rPr>
        <w:t xml:space="preserve">בְּהֵיכָלָא עִלָּאָה, וּמָאי אִיהִי בּ </w:t>
      </w:r>
      <w:r>
        <w:rPr>
          <w:rStyle w:val="a7"/>
          <w:rtl/>
        </w:rPr>
        <w:footnoteReference w:id="2121"/>
      </w:r>
      <w:r>
        <w:rPr>
          <w:rtl/>
        </w:rPr>
        <w:t xml:space="preserve">וַעֲלָהּ אִתְּמַר </w:t>
      </w:r>
      <w:r>
        <w:rPr>
          <w:sz w:val="20"/>
          <w:szCs w:val="23"/>
          <w:rtl/>
        </w:rPr>
        <w:t>(משלי כד ג)</w:t>
      </w:r>
      <w:r>
        <w:rPr>
          <w:rtl/>
        </w:rPr>
        <w:t xml:space="preserve"> בְּחָכְמָה יִבָּנֶה בָּיִת, וְרָזָא דְהַאי נְקוּדָה אִיהִי מָדִיד </w:t>
      </w:r>
      <w:r>
        <w:rPr>
          <w:rStyle w:val="a7"/>
          <w:rtl/>
        </w:rPr>
        <w:footnoteReference w:id="2122"/>
      </w:r>
      <w:r>
        <w:rPr>
          <w:rtl/>
        </w:rPr>
        <w:t xml:space="preserve">חָמֵשׁ גַּוָּונִין, וַעֲלַיְיהוּ אִתְּמַר </w:t>
      </w:r>
      <w:r>
        <w:rPr>
          <w:sz w:val="20"/>
          <w:szCs w:val="23"/>
          <w:rtl/>
        </w:rPr>
        <w:t>(ישעיה מ יב)</w:t>
      </w:r>
      <w:r>
        <w:rPr>
          <w:rtl/>
        </w:rPr>
        <w:t xml:space="preserve"> מִי מָדַד בְּשָׁעֳלוֹ מַיִם וְדָא אָ, וְשָׁמַיִם בַּזֶּרֶת תִּכֵּן וְדָא אֵ </w:t>
      </w:r>
      <w:r>
        <w:rPr>
          <w:sz w:val="20"/>
          <w:szCs w:val="23"/>
          <w:rtl/>
        </w:rPr>
        <w:t>(נ"א אִ)</w:t>
      </w:r>
      <w:r>
        <w:rPr>
          <w:rtl/>
        </w:rPr>
        <w:t xml:space="preserve">, וְכָל בַּשָּׁלִישׁ עֲפַר הָאָרֶץ וְדָא אֹ, וְשָׁקַל בַּפֶּלֶס הָרִים וְדָא אִ, וּגְבָעוֹת בְּמֹאזְנָיִם וְדָא אֻ, דָּא סָלִיק בְּאַוִּירָא, וְדָא אָזִיל לְצָפוֹנָא, וְדָא לְדָרוֹמָא, הֲדָא הוּא דִכְתִיב </w:t>
      </w:r>
      <w:r>
        <w:rPr>
          <w:sz w:val="20"/>
          <w:szCs w:val="23"/>
          <w:rtl/>
        </w:rPr>
        <w:t>(קהלת א ו)</w:t>
      </w:r>
      <w:r>
        <w:rPr>
          <w:rtl/>
        </w:rPr>
        <w:t xml:space="preserve"> הוֹלֵךְ אֶל דָּרוֹם וְסוֹבֵב אֶל צָפוֹן, תְּרֵין אָחֳרָנִין סוֹבֵב סוֹבֵב לְגַבֵּי מִזְרָח וּמַעֲרָב, דְּאִינוּן כֻּלְּהוּ נְקוּדֵי כְּגַלֵּי יַמָּא, דָּא סָלִיק וְדָא נָחִית.</w:t>
      </w:r>
    </w:p>
    <w:p w:rsidR="00606298" w:rsidRDefault="00606298" w:rsidP="00B17EA9">
      <w:pPr>
        <w:pStyle w:val="NormalWeb"/>
        <w:rPr>
          <w:rtl/>
        </w:rPr>
      </w:pPr>
      <w:r>
        <w:rPr>
          <w:rtl/>
        </w:rPr>
        <w:t xml:space="preserve">וְאִינוּן </w:t>
      </w:r>
      <w:r>
        <w:rPr>
          <w:rStyle w:val="a7"/>
          <w:rtl/>
        </w:rPr>
        <w:footnoteReference w:id="2123"/>
      </w:r>
      <w:r>
        <w:rPr>
          <w:rtl/>
        </w:rPr>
        <w:t xml:space="preserve">כְּחוּטָא חִוְורָא דְעִינָא, דְאִיהוּ אַסְחַר עִינָא, וּכְחוּטָא יְרוֹקָא וְאוּכְמָא וְסוּמָקָא וְתִכְלָא, אִלֵּין גַּלְגַּלִּין כֻּלְּהוּ סָחֲרִין לְהַהוּא נְקוּדָה, וְאִיהִי מִדָּה לְכֻלְּהוּ, </w:t>
      </w:r>
      <w:r>
        <w:rPr>
          <w:rStyle w:val="a7"/>
          <w:rtl/>
        </w:rPr>
        <w:footnoteReference w:id="2124"/>
      </w:r>
      <w:r>
        <w:rPr>
          <w:rtl/>
        </w:rPr>
        <w:t xml:space="preserve">אִיהִי בְּאַרְבַּע, </w:t>
      </w:r>
      <w:r>
        <w:rPr>
          <w:rStyle w:val="a7"/>
          <w:rtl/>
        </w:rPr>
        <w:footnoteReference w:id="2125"/>
      </w:r>
      <w:r>
        <w:rPr>
          <w:rtl/>
        </w:rPr>
        <w:t xml:space="preserve">וְסָלְקָא בְעֶשֶׂר, וְרָזָא דְמִלָּה יהו''ה יו''ד ה''א וא''ו ה''א, אִלֵּין אִינוּן אַרְבַּע גַּוָּונִין דְּסָלְקִין בְּעֶשֶׂר, </w:t>
      </w:r>
      <w:r>
        <w:rPr>
          <w:rStyle w:val="a7"/>
          <w:rtl/>
        </w:rPr>
        <w:footnoteReference w:id="2126"/>
      </w:r>
      <w:r>
        <w:rPr>
          <w:rtl/>
        </w:rPr>
        <w:t xml:space="preserve">וְאִנּוּן כֻּלְּהוּ לַהֲבִיּוֹת אִשִּׁיּוֹת, וַעֲלֵיהוֹן אִתְּמַר </w:t>
      </w:r>
      <w:r>
        <w:rPr>
          <w:sz w:val="20"/>
          <w:szCs w:val="23"/>
          <w:rtl/>
        </w:rPr>
        <w:t>(דברים ד כד)</w:t>
      </w:r>
      <w:r>
        <w:rPr>
          <w:rtl/>
        </w:rPr>
        <w:t xml:space="preserve"> כִּי יהו''ה אלהי''ך אֵשׁ אֹכְלָה הוּא, </w:t>
      </w:r>
      <w:r>
        <w:rPr>
          <w:rStyle w:val="a7"/>
          <w:rtl/>
        </w:rPr>
        <w:footnoteReference w:id="2127"/>
      </w:r>
      <w:r>
        <w:rPr>
          <w:rtl/>
        </w:rPr>
        <w:t xml:space="preserve">שֶׁבַע אִינוּן מֵהַאי עֶשֶׂר, וְאִינוּן לָקֳבֵל שִׁבְעָה רְקִיעִין, וְאִינוּן שֶׁבַע סְפִירָאן, וּבֵין כָּל חַד וְחַד חֲמֵשׁ מְאָה שְׁנִין, וְהָכִי פוּתְיָא דְכָל רְקִיעָא וּרְקִיעָא חֲמֵשׁ מְאָה שְׁנִין </w:t>
      </w:r>
      <w:r>
        <w:rPr>
          <w:rStyle w:val="a7"/>
          <w:rtl/>
        </w:rPr>
        <w:footnoteReference w:id="2128"/>
      </w:r>
      <w:r>
        <w:rPr>
          <w:rtl/>
        </w:rPr>
        <w:t xml:space="preserve">עַד דְּסָלְקִין כֹּלָּא לְמִדָּה יְדִיעָא דְּאִיהִי נְקוּדָה חֲדָא, לִחְשִׁבַּן יְדִיעָא, וְהָכִי אִיהוּ רָזָא דְחוּשְׁבָּנָא כְּגַוְונָא דָא [ציור] תֵּשַׁע נְקוּדִין אִינוּן לְכָל סְטַר, </w:t>
      </w:r>
      <w:r>
        <w:rPr>
          <w:rStyle w:val="a7"/>
          <w:rtl/>
        </w:rPr>
        <w:footnoteReference w:id="2129"/>
      </w:r>
      <w:r>
        <w:rPr>
          <w:rtl/>
        </w:rPr>
        <w:t xml:space="preserve">דְּאִתְכְּלִילָן בִּנְקוּדָה דְחָלָל דִּילָהּ, וּבְגִינָהּ אִתְּמַר </w:t>
      </w:r>
      <w:r>
        <w:rPr>
          <w:sz w:val="20"/>
          <w:szCs w:val="23"/>
          <w:rtl/>
        </w:rPr>
        <w:t>(שמות לא יד)</w:t>
      </w:r>
      <w:r>
        <w:rPr>
          <w:rtl/>
        </w:rPr>
        <w:t xml:space="preserve"> מְחַלֲלֶיהָ מוֹת יוּמָת וכו'.</w:t>
      </w:r>
    </w:p>
    <w:p w:rsidR="00606298" w:rsidRDefault="00606298" w:rsidP="00B17EA9">
      <w:pPr>
        <w:pStyle w:val="aa"/>
        <w:rPr>
          <w:rtl/>
        </w:rPr>
      </w:pPr>
      <w:bookmarkStart w:id="170" w:name="_Toc228095632"/>
      <w:bookmarkStart w:id="171" w:name="_Toc231638070"/>
      <w:r>
        <w:rPr>
          <w:rtl/>
        </w:rPr>
        <w:t>[תיקוני זוהר - דף לז ע''א]</w:t>
      </w:r>
      <w:bookmarkEnd w:id="170"/>
      <w:bookmarkEnd w:id="171"/>
    </w:p>
    <w:p w:rsidR="00606298" w:rsidRDefault="00606298" w:rsidP="00EA7581">
      <w:pPr>
        <w:pStyle w:val="NormalWeb"/>
        <w:rPr>
          <w:rtl/>
        </w:rPr>
      </w:pPr>
      <w:r>
        <w:rPr>
          <w:rtl/>
        </w:rPr>
        <w:t xml:space="preserve">קָם הַהוּא סָבָא וְאָמַר לוֹ רַבִּי רַבִּי בְּאוֹמָאָה עֲלָךְ בְּהַאי נְקוּדָה טְמִירָא עִלָּאָה, נְחִית הָכָא לְגַלָּאָה רָזָא טְמִירָא, וְלָא לִיקָרָא דִילִי </w:t>
      </w:r>
      <w:r>
        <w:rPr>
          <w:szCs w:val="23"/>
          <w:rtl/>
        </w:rPr>
        <w:t xml:space="preserve">(דף לז ע''א) </w:t>
      </w:r>
      <w:r>
        <w:rPr>
          <w:rtl/>
        </w:rPr>
        <w:t xml:space="preserve">עֲבִידְנָא, אֶלָּא לִיקָרָא דִשְׁכִינְתָּא, לְאַחֲזָאָה יְקָרָא דְהַאי נְקוּדָה טְמִירָא גְנִיזָא, דְאִתְּמַר בָּהּ </w:t>
      </w:r>
      <w:r>
        <w:rPr>
          <w:szCs w:val="23"/>
          <w:rtl/>
        </w:rPr>
        <w:t>(איוב כח כא)</w:t>
      </w:r>
      <w:r>
        <w:rPr>
          <w:rtl/>
        </w:rPr>
        <w:t xml:space="preserve"> וְנֶעֶלְמָה מֵעִינֵי כָל חָי, וַעֲלָהּ אִתְּמַר נָתִיב לֹא יְדָעוֹ עָיִט וְגוֹמֵר, אַדְהָכִי הָא רַבִּי סָלִיק לְעִילָא בְאַוִּירָא לְנַטְלָא רְשׁוּ מֵהַהִיא נְקוּדָה דְאִיהִי גְנִיזָא תַמָּן, וְהָא קָא נָחִית בְּעַמּוּדָא דְאֶשָּׁא דְאִיהִי הֲבַל דְּפוּמָא, דְּבֵיהּ חֵיוָון רָצִין וְשָׁבִין, הֲדָא הוּא דִכְתִיב </w:t>
      </w:r>
      <w:r>
        <w:rPr>
          <w:szCs w:val="23"/>
          <w:rtl/>
        </w:rPr>
        <w:t>(יחזקאל א יט)</w:t>
      </w:r>
      <w:r>
        <w:rPr>
          <w:rtl/>
        </w:rPr>
        <w:t xml:space="preserve"> וְהַחַיּוֹת רָצוֹא וָשׁוֹב וְגוֹמֵר, וְאָמַר בְּרֵאשִׁית תַּמָּן בַּ''ת.</w:t>
      </w:r>
    </w:p>
    <w:p w:rsidR="00606298" w:rsidRDefault="00606298" w:rsidP="0007465E">
      <w:pPr>
        <w:pStyle w:val="1"/>
        <w:rPr>
          <w:rtl/>
        </w:rPr>
      </w:pPr>
      <w:bookmarkStart w:id="172" w:name="_Toc228091299"/>
      <w:bookmarkStart w:id="173" w:name="_Toc231637938"/>
      <w:bookmarkStart w:id="174" w:name="_Toc405982969"/>
      <w:r>
        <w:rPr>
          <w:rtl/>
        </w:rPr>
        <w:t>תקונא תשסרי</w:t>
      </w:r>
      <w:bookmarkEnd w:id="172"/>
      <w:bookmarkEnd w:id="173"/>
      <w:bookmarkEnd w:id="174"/>
    </w:p>
    <w:p w:rsidR="00606298" w:rsidRDefault="00606298">
      <w:pPr>
        <w:spacing w:after="40" w:line="360" w:lineRule="atLeast"/>
        <w:ind w:left="144" w:right="144" w:firstLine="288"/>
        <w:jc w:val="both"/>
        <w:rPr>
          <w:rFonts w:ascii="Arial" w:cs="Guttman Frank"/>
          <w:b/>
          <w:bCs/>
          <w:sz w:val="29"/>
          <w:szCs w:val="29"/>
          <w:rtl/>
        </w:rPr>
      </w:pPr>
      <w:r>
        <w:rPr>
          <w:rStyle w:val="a7"/>
          <w:rFonts w:ascii="Arial" w:cs="Guttman Frank"/>
          <w:b/>
          <w:bCs/>
          <w:sz w:val="29"/>
          <w:szCs w:val="29"/>
          <w:rtl/>
        </w:rPr>
        <w:footnoteReference w:id="2130"/>
      </w:r>
      <w:r>
        <w:rPr>
          <w:rFonts w:ascii="Arial" w:cs="Guttman Frank"/>
          <w:b/>
          <w:bCs/>
          <w:sz w:val="29"/>
          <w:szCs w:val="29"/>
          <w:rtl/>
        </w:rPr>
        <w:t xml:space="preserve">בְּרֵאשִׁית תַּמָּן בַּ''ת, </w:t>
      </w:r>
      <w:r>
        <w:rPr>
          <w:rStyle w:val="a7"/>
          <w:rFonts w:ascii="Arial" w:cs="Guttman Frank"/>
          <w:b/>
          <w:bCs/>
          <w:sz w:val="29"/>
          <w:szCs w:val="29"/>
          <w:rtl/>
        </w:rPr>
        <w:footnoteReference w:id="2131"/>
      </w:r>
      <w:r>
        <w:rPr>
          <w:rFonts w:ascii="Arial" w:cs="Guttman Frank"/>
          <w:b/>
          <w:bCs/>
          <w:sz w:val="29"/>
          <w:szCs w:val="29"/>
          <w:rtl/>
        </w:rPr>
        <w:t xml:space="preserve">וְהַאי בַּת נְקוּדָה סְתִימָא בְאַוִּירָא, עֲלָהּ אִתְּמַר </w:t>
      </w:r>
      <w:r>
        <w:rPr>
          <w:rFonts w:ascii="Arial" w:cs="Guttman Frank"/>
          <w:b/>
          <w:szCs w:val="23"/>
          <w:rtl/>
        </w:rPr>
        <w:t>(תהלים יז ח)</w:t>
      </w:r>
      <w:r>
        <w:rPr>
          <w:rFonts w:ascii="Arial" w:cs="Guttman Frank"/>
          <w:b/>
          <w:bCs/>
          <w:sz w:val="29"/>
          <w:szCs w:val="29"/>
          <w:rtl/>
        </w:rPr>
        <w:t xml:space="preserve"> שָׁמְרֵנִי כְּאִישׁוֹן בַּת עָיִן, </w:t>
      </w:r>
      <w:r>
        <w:rPr>
          <w:rStyle w:val="a7"/>
          <w:rFonts w:ascii="Arial" w:cs="Guttman Frank"/>
          <w:b/>
          <w:bCs/>
          <w:sz w:val="29"/>
          <w:szCs w:val="29"/>
          <w:rtl/>
        </w:rPr>
        <w:footnoteReference w:id="2132"/>
      </w:r>
      <w:r>
        <w:rPr>
          <w:rFonts w:ascii="Arial" w:cs="Guttman Frank"/>
          <w:b/>
          <w:bCs/>
          <w:sz w:val="29"/>
          <w:szCs w:val="29"/>
          <w:rtl/>
        </w:rPr>
        <w:t xml:space="preserve">אִיהִי וַדַּאי גְּנִיזָא בְאוֹר, וּבָהּ אִתְעֲבִיד אַוִּיר, וּבְגִינָהּ אִתְּמַר </w:t>
      </w:r>
      <w:r>
        <w:rPr>
          <w:rFonts w:ascii="Arial" w:cs="Guttman Frank"/>
          <w:b/>
          <w:szCs w:val="23"/>
          <w:rtl/>
        </w:rPr>
        <w:t>(שמות ג ב)</w:t>
      </w:r>
      <w:r>
        <w:rPr>
          <w:rFonts w:ascii="Arial" w:cs="Guttman Frank"/>
          <w:b/>
          <w:bCs/>
          <w:sz w:val="29"/>
          <w:szCs w:val="29"/>
          <w:rtl/>
        </w:rPr>
        <w:t xml:space="preserve"> וַיֵּרָא מַלְאַךְ יהו''ה אֵלָיו </w:t>
      </w:r>
      <w:r>
        <w:rPr>
          <w:rStyle w:val="a7"/>
          <w:rFonts w:ascii="Arial" w:cs="Guttman Frank"/>
          <w:b/>
          <w:bCs/>
          <w:sz w:val="29"/>
          <w:szCs w:val="29"/>
          <w:rtl/>
        </w:rPr>
        <w:footnoteReference w:id="2133"/>
      </w:r>
      <w:r>
        <w:rPr>
          <w:rFonts w:ascii="Arial" w:cs="Guttman Frank"/>
          <w:b/>
          <w:bCs/>
          <w:sz w:val="29"/>
          <w:szCs w:val="29"/>
          <w:rtl/>
        </w:rPr>
        <w:t xml:space="preserve">בְּלַבַּת אֵשׁ </w:t>
      </w:r>
      <w:r>
        <w:rPr>
          <w:rStyle w:val="a7"/>
          <w:rFonts w:ascii="Arial" w:cs="Guttman Frank"/>
          <w:b/>
          <w:bCs/>
          <w:sz w:val="29"/>
          <w:szCs w:val="29"/>
          <w:rtl/>
        </w:rPr>
        <w:footnoteReference w:id="2134"/>
      </w:r>
      <w:r>
        <w:rPr>
          <w:rFonts w:ascii="Arial" w:cs="Guttman Frank"/>
          <w:b/>
          <w:bCs/>
          <w:sz w:val="29"/>
          <w:szCs w:val="29"/>
          <w:rtl/>
        </w:rPr>
        <w:t xml:space="preserve">מִתּוֹךְ הַסְּנֶה, חָמֵשׁ זִמְנִין אַדְכִּיר סְנֶה, וְחָמֵשׁ זִמְנִין אוֹר אִינוּן לְקִבְלַיְהוּ בְעוֹבָדָא דִבְּרֵאשִׁית, וְאִינוּן </w:t>
      </w:r>
      <w:r>
        <w:rPr>
          <w:rFonts w:ascii="Arial" w:cs="Guttman Frank"/>
          <w:b/>
          <w:szCs w:val="23"/>
          <w:rtl/>
        </w:rPr>
        <w:t>(בראשית א ג ד)</w:t>
      </w:r>
      <w:r>
        <w:rPr>
          <w:rFonts w:ascii="Arial" w:cs="Guttman Frank"/>
          <w:b/>
          <w:bCs/>
          <w:sz w:val="29"/>
          <w:szCs w:val="29"/>
          <w:rtl/>
        </w:rPr>
        <w:t xml:space="preserve"> יְהִי אוֹר, וַיְהִי אוֹר, אֶת הָאוֹר כִּי טוֹב, וַיַּבְדֵל אלהי''ם בֵּין הָאוֹר, וַיִּקְרָא אלהי''ם לָאוֹר.</w:t>
      </w:r>
    </w:p>
    <w:p w:rsidR="00606298" w:rsidRDefault="00606298">
      <w:pPr>
        <w:spacing w:after="40" w:line="360" w:lineRule="atLeast"/>
        <w:ind w:left="144" w:right="144" w:firstLine="288"/>
        <w:jc w:val="both"/>
        <w:rPr>
          <w:rFonts w:ascii="Arial" w:cs="Guttman Frank"/>
          <w:b/>
          <w:bCs/>
          <w:sz w:val="29"/>
          <w:szCs w:val="29"/>
          <w:rtl/>
        </w:rPr>
      </w:pPr>
      <w:r>
        <w:rPr>
          <w:rStyle w:val="a7"/>
          <w:rFonts w:ascii="Arial" w:cs="Guttman Frank"/>
          <w:b/>
          <w:bCs/>
          <w:sz w:val="29"/>
          <w:szCs w:val="29"/>
          <w:rtl/>
        </w:rPr>
        <w:footnoteReference w:id="2135"/>
      </w:r>
      <w:r>
        <w:rPr>
          <w:rFonts w:ascii="Arial" w:cs="Guttman Frank"/>
          <w:b/>
          <w:bCs/>
          <w:sz w:val="29"/>
          <w:szCs w:val="29"/>
          <w:rtl/>
        </w:rPr>
        <w:t xml:space="preserve">וְאִינוּן </w:t>
      </w:r>
      <w:r>
        <w:rPr>
          <w:rStyle w:val="a7"/>
          <w:rFonts w:ascii="Arial" w:cs="Guttman Frank"/>
          <w:b/>
          <w:bCs/>
          <w:sz w:val="29"/>
          <w:szCs w:val="29"/>
          <w:rtl/>
        </w:rPr>
        <w:footnoteReference w:id="2136"/>
      </w:r>
      <w:r>
        <w:rPr>
          <w:rFonts w:ascii="Arial" w:cs="Guttman Frank"/>
          <w:b/>
          <w:bCs/>
          <w:sz w:val="29"/>
          <w:szCs w:val="29"/>
          <w:rtl/>
        </w:rPr>
        <w:t xml:space="preserve">חָמֵשׁ תִּקּוּנִין דְּמִדָּה, </w:t>
      </w:r>
      <w:r>
        <w:rPr>
          <w:rStyle w:val="a7"/>
          <w:rFonts w:ascii="Arial" w:cs="Guttman Frank"/>
          <w:b/>
          <w:bCs/>
          <w:sz w:val="29"/>
          <w:szCs w:val="29"/>
          <w:rtl/>
        </w:rPr>
        <w:footnoteReference w:id="2137"/>
      </w:r>
      <w:r>
        <w:rPr>
          <w:rFonts w:ascii="Arial" w:cs="Guttman Frank"/>
          <w:b/>
          <w:bCs/>
          <w:sz w:val="29"/>
          <w:szCs w:val="29"/>
          <w:rtl/>
        </w:rPr>
        <w:t xml:space="preserve">דְאִינוּן לְקִבְלַיְיהוּ אָאֵאֹאִאֻ, וַעֲלַיְיהוּ אִתְּמַר </w:t>
      </w:r>
      <w:r>
        <w:rPr>
          <w:rFonts w:ascii="Arial" w:cs="Guttman Frank"/>
          <w:b/>
          <w:szCs w:val="23"/>
          <w:rtl/>
        </w:rPr>
        <w:t>(ישעיהו מ יב)</w:t>
      </w:r>
      <w:r>
        <w:rPr>
          <w:rFonts w:ascii="Arial" w:cs="Guttman Frank"/>
          <w:b/>
          <w:bCs/>
          <w:sz w:val="29"/>
          <w:szCs w:val="29"/>
          <w:rtl/>
        </w:rPr>
        <w:t xml:space="preserve"> מִי מָדַד בְּשָׁעֳלוֹ מַיִם </w:t>
      </w:r>
      <w:r>
        <w:rPr>
          <w:rStyle w:val="a7"/>
          <w:rFonts w:ascii="Arial" w:cs="Guttman Frank"/>
          <w:b/>
          <w:bCs/>
          <w:sz w:val="29"/>
          <w:szCs w:val="29"/>
          <w:rtl/>
        </w:rPr>
        <w:footnoteReference w:id="2138"/>
      </w:r>
      <w:r>
        <w:rPr>
          <w:rFonts w:ascii="Arial" w:cs="Guttman Frank"/>
          <w:b/>
          <w:bCs/>
          <w:sz w:val="29"/>
          <w:szCs w:val="29"/>
          <w:rtl/>
        </w:rPr>
        <w:t xml:space="preserve">דָּא חֶסֶד, וְשָׁמַיִם בַּזֶּרֶת תִּכֵּן </w:t>
      </w:r>
      <w:r>
        <w:rPr>
          <w:rStyle w:val="a7"/>
          <w:rFonts w:ascii="Arial" w:cs="Guttman Frank"/>
          <w:b/>
          <w:bCs/>
          <w:sz w:val="29"/>
          <w:szCs w:val="29"/>
          <w:rtl/>
        </w:rPr>
        <w:footnoteReference w:id="2139"/>
      </w:r>
      <w:r>
        <w:rPr>
          <w:rFonts w:ascii="Arial" w:cs="Guttman Frank"/>
          <w:b/>
          <w:bCs/>
          <w:sz w:val="29"/>
          <w:szCs w:val="29"/>
          <w:rtl/>
        </w:rPr>
        <w:t xml:space="preserve">מָאי זֶרֶת דָּא גְּבוּרָה, וְכָל בַּשָּׁלִישׁ דָּא עַמּוּדָא דְאֶמְצָעִיתָא </w:t>
      </w:r>
      <w:r>
        <w:rPr>
          <w:rStyle w:val="a7"/>
          <w:rFonts w:ascii="Arial" w:cs="Guttman Frank"/>
          <w:b/>
          <w:bCs/>
          <w:sz w:val="29"/>
          <w:szCs w:val="29"/>
          <w:rtl/>
        </w:rPr>
        <w:footnoteReference w:id="2140"/>
      </w:r>
      <w:r>
        <w:rPr>
          <w:rFonts w:ascii="Arial" w:cs="Guttman Frank"/>
          <w:b/>
          <w:bCs/>
          <w:sz w:val="29"/>
          <w:szCs w:val="29"/>
          <w:rtl/>
        </w:rPr>
        <w:t xml:space="preserve">דְאִיהוּ תְּלִיתָאֵי, וְשָׁקַל בַּפֶּלֶס הָרִים דָּא נֶצַח, וּגְבָעוֹת בְּמֹאזְנָיִם </w:t>
      </w:r>
      <w:r>
        <w:rPr>
          <w:rStyle w:val="a7"/>
          <w:rFonts w:ascii="Arial" w:cs="Guttman Frank"/>
          <w:b/>
          <w:bCs/>
          <w:sz w:val="29"/>
          <w:szCs w:val="29"/>
          <w:rtl/>
        </w:rPr>
        <w:footnoteReference w:id="2141"/>
      </w:r>
      <w:r>
        <w:rPr>
          <w:rFonts w:ascii="Arial" w:cs="Guttman Frank"/>
          <w:b/>
          <w:bCs/>
          <w:sz w:val="29"/>
          <w:szCs w:val="29"/>
          <w:rtl/>
        </w:rPr>
        <w:t xml:space="preserve">דָּא הוֹד, וְאִינוּן בְּרָזָא </w:t>
      </w:r>
      <w:r>
        <w:rPr>
          <w:rStyle w:val="a7"/>
          <w:rFonts w:ascii="Arial" w:cs="Guttman Frank"/>
          <w:b/>
          <w:bCs/>
          <w:sz w:val="29"/>
          <w:szCs w:val="29"/>
          <w:rtl/>
        </w:rPr>
        <w:footnoteReference w:id="2142"/>
      </w:r>
      <w:r>
        <w:rPr>
          <w:rFonts w:ascii="Arial" w:cs="Guttman Frank"/>
          <w:b/>
          <w:bCs/>
          <w:sz w:val="29"/>
          <w:szCs w:val="29"/>
          <w:rtl/>
        </w:rPr>
        <w:t xml:space="preserve">דְאָת ה', </w:t>
      </w:r>
      <w:r>
        <w:rPr>
          <w:rStyle w:val="a7"/>
          <w:rFonts w:ascii="Arial" w:cs="Guttman Frank"/>
          <w:b/>
          <w:bCs/>
          <w:sz w:val="29"/>
          <w:szCs w:val="29"/>
          <w:rtl/>
        </w:rPr>
        <w:footnoteReference w:id="2143"/>
      </w:r>
      <w:r>
        <w:rPr>
          <w:rFonts w:ascii="Arial" w:cs="Guttman Frank"/>
          <w:b/>
          <w:bCs/>
          <w:sz w:val="29"/>
          <w:szCs w:val="29"/>
          <w:rtl/>
        </w:rPr>
        <w:t>דְּהַאי נְקוּדָה מָדִיד בְּהוֹן ה' נְקוּדִין.</w:t>
      </w:r>
    </w:p>
    <w:p w:rsidR="00606298" w:rsidRDefault="00606298">
      <w:pPr>
        <w:spacing w:after="40" w:line="360" w:lineRule="atLeast"/>
        <w:ind w:left="144" w:right="144" w:firstLine="288"/>
        <w:jc w:val="both"/>
        <w:rPr>
          <w:rFonts w:ascii="Arial" w:cs="Guttman Frank"/>
          <w:b/>
          <w:bCs/>
          <w:sz w:val="29"/>
          <w:szCs w:val="29"/>
          <w:rtl/>
        </w:rPr>
      </w:pPr>
      <w:r>
        <w:rPr>
          <w:rStyle w:val="a7"/>
          <w:rFonts w:ascii="Arial" w:cs="Guttman Frank"/>
          <w:b/>
          <w:bCs/>
          <w:sz w:val="29"/>
          <w:szCs w:val="29"/>
          <w:rtl/>
        </w:rPr>
        <w:footnoteReference w:id="2144"/>
      </w:r>
      <w:r>
        <w:rPr>
          <w:rFonts w:ascii="Arial" w:cs="Guttman Frank"/>
          <w:b/>
          <w:bCs/>
          <w:sz w:val="29"/>
          <w:szCs w:val="29"/>
          <w:rtl/>
        </w:rPr>
        <w:t xml:space="preserve">דְּאִיהִי י' דְּנָפִיק מִגּוֹ אַוִּירָא דַכְיָא, דְאִיהוּ כֶתֶר עִלָּאָה, וּבְגִין דְּאִלֵּין חָמֵשׁ מְדִידִין אִינוּן בְּרָזָא דְה' עִלָּאָה, </w:t>
      </w:r>
      <w:r>
        <w:rPr>
          <w:rStyle w:val="a7"/>
          <w:rFonts w:ascii="Arial" w:cs="Guttman Frank"/>
          <w:b/>
          <w:bCs/>
          <w:sz w:val="29"/>
          <w:szCs w:val="29"/>
          <w:rtl/>
        </w:rPr>
        <w:footnoteReference w:id="2145"/>
      </w:r>
      <w:r>
        <w:rPr>
          <w:rFonts w:ascii="Arial" w:cs="Guttman Frank"/>
          <w:b/>
          <w:bCs/>
          <w:sz w:val="29"/>
          <w:szCs w:val="29"/>
          <w:rtl/>
        </w:rPr>
        <w:t xml:space="preserve">אִיהוּ אָזִיל בְּהוֹן </w:t>
      </w:r>
      <w:r>
        <w:rPr>
          <w:rStyle w:val="a7"/>
          <w:rFonts w:ascii="Arial" w:cs="Guttman Frank"/>
          <w:b/>
          <w:bCs/>
          <w:sz w:val="29"/>
          <w:szCs w:val="29"/>
          <w:rtl/>
        </w:rPr>
        <w:footnoteReference w:id="2146"/>
      </w:r>
      <w:r>
        <w:rPr>
          <w:rFonts w:ascii="Arial" w:cs="Guttman Frank"/>
          <w:b/>
          <w:bCs/>
          <w:sz w:val="29"/>
          <w:szCs w:val="29"/>
          <w:rtl/>
        </w:rPr>
        <w:t xml:space="preserve">חֲמֵשׁ מְאָה שְׁנִין </w:t>
      </w:r>
      <w:r>
        <w:rPr>
          <w:rStyle w:val="a7"/>
          <w:rFonts w:ascii="Arial" w:cs="Guttman Frank"/>
          <w:b/>
          <w:bCs/>
          <w:sz w:val="29"/>
          <w:szCs w:val="29"/>
          <w:rtl/>
        </w:rPr>
        <w:footnoteReference w:id="2147"/>
      </w:r>
      <w:r>
        <w:rPr>
          <w:rFonts w:ascii="Arial" w:cs="Guttman Frank"/>
          <w:b/>
          <w:bCs/>
          <w:sz w:val="29"/>
          <w:szCs w:val="29"/>
          <w:rtl/>
        </w:rPr>
        <w:t xml:space="preserve">בֵּין כָּל חַד וְחַד, וְרָזָא דְמִלָּה </w:t>
      </w:r>
      <w:r>
        <w:rPr>
          <w:rStyle w:val="a7"/>
          <w:rFonts w:ascii="Arial" w:cs="Guttman Frank"/>
          <w:b/>
          <w:bCs/>
          <w:sz w:val="29"/>
          <w:szCs w:val="29"/>
          <w:rtl/>
        </w:rPr>
        <w:footnoteReference w:id="2148"/>
      </w:r>
      <w:r>
        <w:rPr>
          <w:rFonts w:ascii="Arial" w:cs="Guttman Frank"/>
          <w:b/>
          <w:bCs/>
          <w:sz w:val="29"/>
          <w:szCs w:val="29"/>
          <w:rtl/>
        </w:rPr>
        <w:t xml:space="preserve">עִץ הַחַיִּים </w:t>
      </w:r>
      <w:r>
        <w:rPr>
          <w:rStyle w:val="a7"/>
          <w:rFonts w:ascii="Arial" w:cs="Guttman Frank"/>
          <w:b/>
          <w:bCs/>
          <w:sz w:val="29"/>
          <w:szCs w:val="29"/>
          <w:rtl/>
        </w:rPr>
        <w:footnoteReference w:id="2149"/>
      </w:r>
      <w:r>
        <w:rPr>
          <w:rFonts w:ascii="Arial" w:cs="Guttman Frank"/>
          <w:b/>
          <w:bCs/>
          <w:sz w:val="29"/>
          <w:szCs w:val="29"/>
          <w:rtl/>
        </w:rPr>
        <w:t>מַהֲלַךְ חֲמֵשׁ מֵאוֹת שָׁנָה, וּבֵין כָּל חַד וְחַד חֲמֵשׁ מֵאוֹת שָׁנָה, וּבְעוֹבִי דְכָל חַד וְחַד חֲמֵשׁ מֵאוֹת שָׁנָה, דְּכֻלְּהוּ סָלְקִין בְּמַתְקְלָא דְחָמֵשׁ חָמֵשׁ לְכָל סִטְרָא.</w:t>
      </w:r>
    </w:p>
    <w:p w:rsidR="00606298" w:rsidRDefault="00606298" w:rsidP="00B17EA9">
      <w:pPr>
        <w:pStyle w:val="aa"/>
        <w:rPr>
          <w:rtl/>
        </w:rPr>
      </w:pPr>
      <w:r>
        <w:rPr>
          <w:rtl/>
        </w:rPr>
        <w:t>[תיקוני זוהר - דף לז ע''א בהגהה]</w:t>
      </w:r>
    </w:p>
    <w:p w:rsidR="00606298" w:rsidRDefault="00606298">
      <w:pPr>
        <w:spacing w:after="40" w:line="360" w:lineRule="atLeast"/>
        <w:ind w:left="144" w:right="144" w:firstLine="288"/>
        <w:jc w:val="both"/>
        <w:rPr>
          <w:rFonts w:ascii="Arial" w:cs="Guttman Frank"/>
          <w:b/>
          <w:bCs/>
          <w:sz w:val="29"/>
          <w:szCs w:val="29"/>
          <w:rtl/>
        </w:rPr>
      </w:pPr>
      <w:r>
        <w:rPr>
          <w:rFonts w:ascii="Arial" w:cs="Guttman Frank"/>
          <w:b/>
          <w:bCs/>
          <w:sz w:val="29"/>
          <w:szCs w:val="29"/>
          <w:rtl/>
        </w:rPr>
        <w:t xml:space="preserve">וְרָזָא דְמִלָּה וְעָשִׂיתָ בְרִיחִם עֲצֵי שִׁטִּים </w:t>
      </w:r>
      <w:r>
        <w:rPr>
          <w:rStyle w:val="a7"/>
          <w:rFonts w:ascii="Arial" w:cs="Guttman Frank"/>
          <w:b/>
          <w:bCs/>
          <w:sz w:val="29"/>
          <w:szCs w:val="29"/>
          <w:rtl/>
        </w:rPr>
        <w:footnoteReference w:id="2150"/>
      </w:r>
      <w:r>
        <w:rPr>
          <w:rFonts w:ascii="Arial" w:cs="Guttman Frank"/>
          <w:b/>
          <w:bCs/>
          <w:sz w:val="29"/>
          <w:szCs w:val="29"/>
          <w:rtl/>
        </w:rPr>
        <w:t xml:space="preserve">חֲמִשָּׁה לְקַרְשֵׁי צֶלַע הַמִּשְׁכָּן הָאֶחָד, וַחֲמִשָּׁה בְרִיחִם לְקַרְשֵׁי צֶלַע הַמִּשְׁכָּן הַשֵּׁנִית, וַחֲמִשָּׁה בְרִיחִים לְקַרְשֵׁי צֶלַע הַמִּשְׁכָּן לַיַּרְכָתַיִם יָמָּה </w:t>
      </w:r>
      <w:r>
        <w:rPr>
          <w:rFonts w:ascii="Arial" w:cs="Guttman Frank"/>
          <w:b/>
          <w:szCs w:val="23"/>
          <w:rtl/>
        </w:rPr>
        <w:t>(שמות כו כו)</w:t>
      </w:r>
      <w:r>
        <w:rPr>
          <w:rFonts w:ascii="Arial" w:cs="Guttman Frank"/>
          <w:b/>
          <w:bCs/>
          <w:sz w:val="29"/>
          <w:szCs w:val="29"/>
          <w:rtl/>
        </w:rPr>
        <w:t xml:space="preserve">, לַיַּרְכָתַיִם אִינוּן יַרְכֵי קְשׁוֹט, יָמָּה, מָאי יָמָּה </w:t>
      </w:r>
      <w:r>
        <w:rPr>
          <w:rStyle w:val="a7"/>
          <w:rFonts w:ascii="Arial" w:cs="Guttman Frank"/>
          <w:b/>
          <w:bCs/>
          <w:sz w:val="29"/>
          <w:szCs w:val="29"/>
          <w:rtl/>
        </w:rPr>
        <w:footnoteReference w:id="2151"/>
      </w:r>
      <w:r>
        <w:rPr>
          <w:rFonts w:ascii="Arial" w:cs="Guttman Frank"/>
          <w:b/>
          <w:bCs/>
          <w:sz w:val="29"/>
          <w:szCs w:val="29"/>
          <w:rtl/>
        </w:rPr>
        <w:t>דָא שְׁכִינְתָּא עִלָּאָה.</w:t>
      </w:r>
    </w:p>
    <w:p w:rsidR="00606298" w:rsidRDefault="00606298" w:rsidP="00B17EA9">
      <w:pPr>
        <w:pStyle w:val="aa"/>
        <w:rPr>
          <w:rtl/>
        </w:rPr>
      </w:pPr>
      <w:r>
        <w:rPr>
          <w:rtl/>
        </w:rPr>
        <w:t>[תיקוני זוהר - דף לז ע''ב בהגהה]</w:t>
      </w:r>
    </w:p>
    <w:p w:rsidR="00606298" w:rsidRDefault="00606298">
      <w:pPr>
        <w:spacing w:after="40" w:line="360" w:lineRule="atLeast"/>
        <w:ind w:left="144" w:right="144" w:firstLine="288"/>
        <w:jc w:val="both"/>
        <w:rPr>
          <w:rFonts w:ascii="Arial" w:cs="Guttman Frank"/>
          <w:b/>
          <w:bCs/>
          <w:sz w:val="29"/>
          <w:szCs w:val="29"/>
          <w:rtl/>
        </w:rPr>
      </w:pPr>
      <w:r>
        <w:rPr>
          <w:rFonts w:ascii="Arial" w:cs="Guttman Frank"/>
          <w:b/>
          <w:szCs w:val="23"/>
          <w:rtl/>
        </w:rPr>
        <w:t>[מכאן עד צדיק איהו רקיע כו' דלהלן, הוא בדפוס א' ומנטובה - נדפס בצדו, בהגהה]</w:t>
      </w:r>
      <w:r>
        <w:rPr>
          <w:rFonts w:ascii="Arial" w:cs="Guttman Frank"/>
          <w:b/>
          <w:bCs/>
          <w:sz w:val="29"/>
          <w:szCs w:val="29"/>
          <w:rtl/>
        </w:rPr>
        <w:t xml:space="preserve"> </w:t>
      </w:r>
    </w:p>
    <w:p w:rsidR="00606298" w:rsidRDefault="00606298">
      <w:pPr>
        <w:spacing w:after="40" w:line="360" w:lineRule="atLeast"/>
        <w:ind w:left="144" w:right="144" w:firstLine="288"/>
        <w:jc w:val="both"/>
        <w:rPr>
          <w:rFonts w:ascii="Arial" w:cs="Guttman Frank"/>
          <w:b/>
          <w:bCs/>
          <w:sz w:val="29"/>
          <w:szCs w:val="29"/>
          <w:rtl/>
        </w:rPr>
      </w:pPr>
      <w:r>
        <w:rPr>
          <w:rFonts w:ascii="Arial" w:cs="Guttman Frank"/>
          <w:b/>
          <w:szCs w:val="23"/>
          <w:rtl/>
        </w:rPr>
        <w:t xml:space="preserve">(דף לז ע''א בהגהה) </w:t>
      </w:r>
      <w:r>
        <w:rPr>
          <w:rFonts w:ascii="Arial" w:cs="Guttman Frank"/>
          <w:b/>
          <w:bCs/>
          <w:sz w:val="29"/>
          <w:szCs w:val="29"/>
          <w:rtl/>
        </w:rPr>
        <w:t xml:space="preserve">הַהוּא דְאִתְּמַר בֵּיהּ </w:t>
      </w:r>
      <w:r>
        <w:rPr>
          <w:rFonts w:ascii="Arial" w:cs="Guttman Frank"/>
          <w:b/>
          <w:szCs w:val="23"/>
          <w:rtl/>
        </w:rPr>
        <w:t>(יחזקאל א כב)</w:t>
      </w:r>
      <w:r>
        <w:rPr>
          <w:rFonts w:ascii="Arial" w:cs="Guttman Frank"/>
          <w:b/>
          <w:bCs/>
          <w:sz w:val="29"/>
          <w:szCs w:val="29"/>
          <w:rtl/>
        </w:rPr>
        <w:t xml:space="preserve"> וּדְמוּת </w:t>
      </w:r>
      <w:r>
        <w:rPr>
          <w:rStyle w:val="a7"/>
          <w:rFonts w:ascii="Arial" w:cs="Guttman Frank"/>
          <w:b/>
          <w:bCs/>
          <w:sz w:val="29"/>
          <w:szCs w:val="29"/>
          <w:rtl/>
        </w:rPr>
        <w:footnoteReference w:id="2152"/>
      </w:r>
      <w:r>
        <w:rPr>
          <w:rFonts w:ascii="Arial" w:cs="Guttman Frank"/>
          <w:b/>
          <w:bCs/>
          <w:sz w:val="29"/>
          <w:szCs w:val="29"/>
          <w:rtl/>
        </w:rPr>
        <w:t xml:space="preserve">עַל רָאשֵׁי הַחַיָּה רָקִיעַ, </w:t>
      </w:r>
      <w:r>
        <w:rPr>
          <w:rStyle w:val="a7"/>
          <w:rFonts w:ascii="Arial" w:cs="Guttman Frank"/>
          <w:b/>
          <w:bCs/>
          <w:sz w:val="29"/>
          <w:szCs w:val="29"/>
          <w:rtl/>
        </w:rPr>
        <w:footnoteReference w:id="2153"/>
      </w:r>
      <w:r>
        <w:rPr>
          <w:rFonts w:ascii="Arial" w:cs="Guttman Frank"/>
          <w:b/>
          <w:bCs/>
          <w:sz w:val="29"/>
          <w:szCs w:val="29"/>
          <w:rtl/>
        </w:rPr>
        <w:t xml:space="preserve">וְאִיהוּ דְאוּקְמוּהוּ אֵין בֵּין </w:t>
      </w:r>
      <w:r>
        <w:rPr>
          <w:rStyle w:val="a7"/>
          <w:rFonts w:ascii="Arial" w:cs="Guttman Frank"/>
          <w:b/>
          <w:bCs/>
          <w:sz w:val="29"/>
          <w:szCs w:val="29"/>
          <w:rtl/>
        </w:rPr>
        <w:footnoteReference w:id="2154"/>
      </w:r>
      <w:r>
        <w:rPr>
          <w:rFonts w:ascii="Arial" w:cs="Guttman Frank"/>
          <w:b/>
          <w:bCs/>
          <w:sz w:val="29"/>
          <w:szCs w:val="29"/>
          <w:rtl/>
        </w:rPr>
        <w:t xml:space="preserve">מַיִם הָעֶלְיוֹנִים </w:t>
      </w:r>
      <w:r>
        <w:rPr>
          <w:rStyle w:val="a7"/>
          <w:rFonts w:ascii="Arial" w:cs="Guttman Frank"/>
          <w:b/>
          <w:bCs/>
          <w:sz w:val="29"/>
          <w:szCs w:val="29"/>
          <w:rtl/>
        </w:rPr>
        <w:footnoteReference w:id="2155"/>
      </w:r>
      <w:r>
        <w:rPr>
          <w:rFonts w:ascii="Arial" w:cs="Guttman Frank"/>
          <w:b/>
          <w:bCs/>
          <w:sz w:val="29"/>
          <w:szCs w:val="29"/>
          <w:rtl/>
        </w:rPr>
        <w:t xml:space="preserve">לַמַּיִם הַתַּחְתּוֹנִים </w:t>
      </w:r>
      <w:r>
        <w:rPr>
          <w:rFonts w:ascii="Arial" w:cs="Guttman Frank"/>
          <w:b/>
          <w:szCs w:val="23"/>
          <w:rtl/>
        </w:rPr>
        <w:t>(ס"א אלא)</w:t>
      </w:r>
      <w:r>
        <w:rPr>
          <w:rFonts w:ascii="Arial" w:cs="Guttman Frank"/>
          <w:b/>
          <w:bCs/>
          <w:sz w:val="29"/>
          <w:szCs w:val="29"/>
          <w:rtl/>
        </w:rPr>
        <w:t xml:space="preserve"> </w:t>
      </w:r>
      <w:r>
        <w:rPr>
          <w:rStyle w:val="a7"/>
          <w:rFonts w:ascii="Arial" w:cs="Guttman Frank"/>
          <w:b/>
          <w:bCs/>
          <w:sz w:val="29"/>
          <w:szCs w:val="29"/>
          <w:rtl/>
        </w:rPr>
        <w:footnoteReference w:id="2156"/>
      </w:r>
      <w:r>
        <w:rPr>
          <w:rFonts w:ascii="Arial" w:cs="Guttman Frank"/>
          <w:b/>
          <w:bCs/>
          <w:sz w:val="29"/>
          <w:szCs w:val="29"/>
          <w:rtl/>
        </w:rPr>
        <w:t xml:space="preserve">כִּמְלֹא נִימָא, וְהַאי נִימָא עֲלֵיהּ אִתְּמַר אֵין מַלְכוּת נוֹגַעַת בַּחֲבֵרְתָּהּ </w:t>
      </w:r>
      <w:r>
        <w:rPr>
          <w:rFonts w:ascii="Arial" w:cs="Guttman Frank"/>
          <w:b/>
          <w:szCs w:val="23"/>
          <w:rtl/>
        </w:rPr>
        <w:t>(ס"א אֲפִילוּ)</w:t>
      </w:r>
      <w:r>
        <w:rPr>
          <w:rFonts w:ascii="Arial" w:cs="Guttman Frank"/>
          <w:b/>
          <w:bCs/>
          <w:sz w:val="29"/>
          <w:szCs w:val="29"/>
          <w:rtl/>
        </w:rPr>
        <w:t xml:space="preserve"> כִּמְלֹא נִימָא, </w:t>
      </w:r>
      <w:r>
        <w:rPr>
          <w:rStyle w:val="a7"/>
          <w:rFonts w:ascii="Arial" w:cs="Guttman Frank"/>
          <w:b/>
          <w:bCs/>
          <w:sz w:val="29"/>
          <w:szCs w:val="29"/>
          <w:rtl/>
        </w:rPr>
        <w:footnoteReference w:id="2157"/>
      </w:r>
      <w:r>
        <w:rPr>
          <w:rFonts w:ascii="Arial" w:cs="Guttman Frank"/>
          <w:b/>
          <w:bCs/>
          <w:sz w:val="29"/>
          <w:szCs w:val="29"/>
          <w:rtl/>
        </w:rPr>
        <w:t xml:space="preserve">וּבָהּ קוּדְשָׁא בְּרִיךְ הוּא מְדַקְדֵּק עִם צַדִּיקַיָּיא אֲפִילוּ כְּחוּט הַשַּׂעֲרָה, וְהַאי חוּט אִיהוּ חוּט דְּסָחִיר לְאוֹת בְּרִית מִילָה, וּבְרִית אִיהִי נִימָא, וַוי לֵיהּ מָאן דְּאַפְרִישׁ אוֹת בְּרִית בֵּין מַיִם לַמַּיִם, </w:t>
      </w:r>
      <w:r>
        <w:rPr>
          <w:rStyle w:val="a7"/>
          <w:rFonts w:ascii="Arial" w:cs="Guttman Frank"/>
          <w:b/>
          <w:bCs/>
          <w:sz w:val="29"/>
          <w:szCs w:val="29"/>
          <w:rtl/>
        </w:rPr>
        <w:footnoteReference w:id="2158"/>
      </w:r>
      <w:r>
        <w:rPr>
          <w:rFonts w:ascii="Arial" w:cs="Guttman Frank"/>
          <w:b/>
          <w:bCs/>
          <w:sz w:val="29"/>
          <w:szCs w:val="29"/>
          <w:rtl/>
        </w:rPr>
        <w:t xml:space="preserve">וּמָנַע זַרְעָא מִנֵּיהּ, </w:t>
      </w:r>
      <w:r>
        <w:rPr>
          <w:rStyle w:val="a7"/>
          <w:rFonts w:ascii="Arial" w:cs="Guttman Frank"/>
          <w:b/>
          <w:bCs/>
          <w:sz w:val="29"/>
          <w:szCs w:val="29"/>
          <w:rtl/>
        </w:rPr>
        <w:footnoteReference w:id="2159"/>
      </w:r>
      <w:r>
        <w:rPr>
          <w:rFonts w:ascii="Arial" w:cs="Guttman Frank"/>
          <w:b/>
          <w:bCs/>
          <w:sz w:val="29"/>
          <w:szCs w:val="29"/>
          <w:rtl/>
        </w:rPr>
        <w:t xml:space="preserve">דְּאַחְזַר עָלְמָא לְתֹהוּ וָבֹהוּ, וְרָזָא דְמִלָּה </w:t>
      </w:r>
      <w:r>
        <w:rPr>
          <w:rFonts w:ascii="Arial" w:cs="Guttman Frank"/>
          <w:b/>
          <w:szCs w:val="23"/>
          <w:rtl/>
        </w:rPr>
        <w:t>(ישעיהו מח יח)</w:t>
      </w:r>
      <w:r>
        <w:rPr>
          <w:rFonts w:ascii="Arial" w:cs="Guttman Frank"/>
          <w:b/>
          <w:bCs/>
          <w:sz w:val="29"/>
          <w:szCs w:val="29"/>
          <w:rtl/>
        </w:rPr>
        <w:t xml:space="preserve"> לֹא תֹהוּ בְרָאָהּ </w:t>
      </w:r>
      <w:r>
        <w:rPr>
          <w:rStyle w:val="a7"/>
          <w:rFonts w:ascii="Arial" w:cs="Guttman Frank"/>
          <w:b/>
          <w:bCs/>
          <w:sz w:val="29"/>
          <w:szCs w:val="29"/>
          <w:rtl/>
        </w:rPr>
        <w:footnoteReference w:id="2160"/>
      </w:r>
      <w:r>
        <w:rPr>
          <w:rFonts w:ascii="Arial" w:cs="Guttman Frank"/>
          <w:b/>
          <w:bCs/>
          <w:sz w:val="29"/>
          <w:szCs w:val="29"/>
          <w:rtl/>
        </w:rPr>
        <w:t xml:space="preserve">לָשֶׁבֶת </w:t>
      </w:r>
      <w:r>
        <w:rPr>
          <w:rFonts w:ascii="Arial" w:cs="Guttman Frank"/>
          <w:b/>
          <w:szCs w:val="23"/>
          <w:rtl/>
        </w:rPr>
        <w:t xml:space="preserve">(דף לז ע''ב בהגהה) </w:t>
      </w:r>
      <w:r>
        <w:rPr>
          <w:rFonts w:ascii="Arial" w:cs="Guttman Frank"/>
          <w:b/>
          <w:bCs/>
          <w:sz w:val="29"/>
          <w:szCs w:val="29"/>
          <w:rtl/>
        </w:rPr>
        <w:t xml:space="preserve">יְצָרָהּ וַדַּאי, </w:t>
      </w:r>
      <w:r>
        <w:rPr>
          <w:rStyle w:val="a7"/>
          <w:rFonts w:ascii="Arial" w:cs="Guttman Frank"/>
          <w:b/>
          <w:bCs/>
          <w:sz w:val="29"/>
          <w:szCs w:val="29"/>
          <w:rtl/>
        </w:rPr>
        <w:footnoteReference w:id="2161"/>
      </w:r>
      <w:r>
        <w:rPr>
          <w:rFonts w:ascii="Arial" w:cs="Guttman Frank"/>
          <w:b/>
          <w:bCs/>
          <w:sz w:val="29"/>
          <w:szCs w:val="29"/>
          <w:rtl/>
        </w:rPr>
        <w:t xml:space="preserve">מַיִם עֶלְיוֹנִים אוֹרַיְיתָא דְבִכְתָב, מַיִם תַּחְתּוֹנִים אוֹרַיְיתָא דִבְעַל פֶּה, נִימָא דְאִיהוּ בֵין תַּרְוַיְיהוּ דָא יְסוֹד, </w:t>
      </w:r>
      <w:r>
        <w:rPr>
          <w:rStyle w:val="a7"/>
          <w:rFonts w:ascii="Arial" w:cs="Guttman Frank"/>
          <w:b/>
          <w:bCs/>
          <w:sz w:val="29"/>
          <w:szCs w:val="29"/>
          <w:rtl/>
        </w:rPr>
        <w:footnoteReference w:id="2162"/>
      </w:r>
      <w:r>
        <w:rPr>
          <w:rFonts w:ascii="Arial" w:cs="Guttman Frank"/>
          <w:b/>
          <w:bCs/>
          <w:sz w:val="29"/>
          <w:szCs w:val="29"/>
          <w:rtl/>
        </w:rPr>
        <w:t xml:space="preserve">דְּאִיהוּ רָזָא דְאוֹרַיְיתָא, וְאִיהוּ </w:t>
      </w:r>
      <w:r>
        <w:rPr>
          <w:rStyle w:val="a7"/>
          <w:rFonts w:ascii="Arial" w:cs="Guttman Frank"/>
          <w:b/>
          <w:bCs/>
          <w:sz w:val="29"/>
          <w:szCs w:val="29"/>
          <w:rtl/>
        </w:rPr>
        <w:footnoteReference w:id="2163"/>
      </w:r>
      <w:r>
        <w:rPr>
          <w:rFonts w:ascii="Arial" w:cs="Guttman Frank"/>
          <w:b/>
          <w:bCs/>
          <w:sz w:val="29"/>
          <w:szCs w:val="29"/>
          <w:rtl/>
        </w:rPr>
        <w:t>יְסוֹדָא וְעִקָּרָא דְתַרְוַיְיהוּ.</w:t>
      </w:r>
    </w:p>
    <w:p w:rsidR="00606298" w:rsidRDefault="00606298">
      <w:pPr>
        <w:spacing w:after="40" w:line="360" w:lineRule="atLeast"/>
        <w:ind w:left="144" w:right="144" w:firstLine="288"/>
        <w:jc w:val="both"/>
        <w:rPr>
          <w:rFonts w:ascii="Arial" w:cs="Guttman Frank"/>
          <w:b/>
          <w:bCs/>
          <w:sz w:val="29"/>
          <w:szCs w:val="29"/>
          <w:rtl/>
        </w:rPr>
      </w:pPr>
      <w:r>
        <w:rPr>
          <w:rStyle w:val="a7"/>
          <w:rFonts w:ascii="Arial" w:cs="Guttman Frank"/>
          <w:b/>
          <w:bCs/>
          <w:sz w:val="29"/>
          <w:szCs w:val="29"/>
          <w:rtl/>
        </w:rPr>
        <w:footnoteReference w:id="2164"/>
      </w:r>
      <w:r>
        <w:rPr>
          <w:rFonts w:ascii="Arial" w:cs="Guttman Frank"/>
          <w:b/>
          <w:bCs/>
          <w:sz w:val="29"/>
          <w:szCs w:val="29"/>
          <w:rtl/>
        </w:rPr>
        <w:t xml:space="preserve">וּמָאן דְּמָנַע רָזָא וְעִקָּרָא דִתְרֵי תוֹרוֹת, כְּאִלּוּ אַהְדַּר עָלְמָא לְתֹהוּ וָבֹהוּ, </w:t>
      </w:r>
      <w:r>
        <w:rPr>
          <w:rStyle w:val="a7"/>
          <w:rFonts w:ascii="Arial" w:cs="Guttman Frank"/>
          <w:b/>
          <w:bCs/>
          <w:sz w:val="29"/>
          <w:szCs w:val="29"/>
          <w:rtl/>
        </w:rPr>
        <w:footnoteReference w:id="2165"/>
      </w:r>
      <w:r>
        <w:rPr>
          <w:rFonts w:ascii="Arial" w:cs="Guttman Frank"/>
          <w:b/>
          <w:bCs/>
          <w:sz w:val="29"/>
          <w:szCs w:val="29"/>
          <w:rtl/>
        </w:rPr>
        <w:t xml:space="preserve">וְאִלֵּין אִינוּן דְּאָמְרִין דְּלָא אוֹרַיְיתָא אֶלָּא כִּפְשָׁטָה, וְלֵית בָּהּ רָזָא אָחֳרָא, </w:t>
      </w:r>
      <w:r>
        <w:rPr>
          <w:rStyle w:val="a7"/>
          <w:rFonts w:ascii="Arial" w:cs="Guttman Frank"/>
          <w:b/>
          <w:bCs/>
          <w:sz w:val="29"/>
          <w:szCs w:val="29"/>
          <w:rtl/>
        </w:rPr>
        <w:footnoteReference w:id="2166"/>
      </w:r>
      <w:r>
        <w:rPr>
          <w:rFonts w:ascii="Arial" w:cs="Guttman Frank"/>
          <w:b/>
          <w:bCs/>
          <w:sz w:val="29"/>
          <w:szCs w:val="29"/>
          <w:rtl/>
        </w:rPr>
        <w:t xml:space="preserve">וְאִינוּן דּוּ פַּרְצוּפִין, אִיהוּ </w:t>
      </w:r>
      <w:r>
        <w:rPr>
          <w:rStyle w:val="a7"/>
          <w:rFonts w:ascii="Arial" w:cs="Guttman Frank"/>
          <w:b/>
          <w:bCs/>
          <w:sz w:val="29"/>
          <w:szCs w:val="29"/>
          <w:rtl/>
        </w:rPr>
        <w:footnoteReference w:id="2167"/>
      </w:r>
      <w:r>
        <w:rPr>
          <w:rFonts w:ascii="Arial" w:cs="Guttman Frank"/>
          <w:b/>
          <w:bCs/>
          <w:sz w:val="29"/>
          <w:szCs w:val="29"/>
          <w:rtl/>
        </w:rPr>
        <w:t xml:space="preserve">גַ''ן סְדָרִים </w:t>
      </w:r>
      <w:r>
        <w:rPr>
          <w:rStyle w:val="a7"/>
          <w:rFonts w:ascii="Arial" w:cs="Guttman Frank"/>
          <w:b/>
          <w:bCs/>
          <w:sz w:val="29"/>
          <w:szCs w:val="29"/>
          <w:rtl/>
        </w:rPr>
        <w:footnoteReference w:id="2168"/>
      </w:r>
      <w:r>
        <w:rPr>
          <w:rFonts w:ascii="Arial" w:cs="Guttman Frank"/>
          <w:b/>
          <w:bCs/>
          <w:sz w:val="29"/>
          <w:szCs w:val="29"/>
          <w:rtl/>
        </w:rPr>
        <w:t xml:space="preserve">דְּאִתְּמַר בָּהּ </w:t>
      </w:r>
      <w:r>
        <w:rPr>
          <w:rFonts w:ascii="Arial" w:cs="Guttman Frank"/>
          <w:b/>
          <w:szCs w:val="23"/>
          <w:rtl/>
        </w:rPr>
        <w:t>(שיר ד יב)</w:t>
      </w:r>
      <w:r>
        <w:rPr>
          <w:rFonts w:ascii="Arial" w:cs="Guttman Frank"/>
          <w:b/>
          <w:bCs/>
          <w:sz w:val="29"/>
          <w:szCs w:val="29"/>
          <w:rtl/>
        </w:rPr>
        <w:t xml:space="preserve"> גַּן נָעוּל אֲחוֹתִי כַלָּה, גַּן נָעוּל מִסִּטְרָא </w:t>
      </w:r>
      <w:r>
        <w:rPr>
          <w:rStyle w:val="a7"/>
          <w:rFonts w:ascii="Arial" w:cs="Guttman Frank"/>
          <w:b/>
          <w:bCs/>
          <w:sz w:val="29"/>
          <w:szCs w:val="29"/>
          <w:rtl/>
        </w:rPr>
        <w:footnoteReference w:id="2169"/>
      </w:r>
      <w:r>
        <w:rPr>
          <w:rFonts w:ascii="Arial" w:cs="Guttman Frank"/>
          <w:b/>
          <w:bCs/>
          <w:sz w:val="29"/>
          <w:szCs w:val="29"/>
          <w:rtl/>
        </w:rPr>
        <w:t xml:space="preserve">דְם' סְתוּמָה, ו' אִיהוּ נָעוּל </w:t>
      </w:r>
      <w:r>
        <w:rPr>
          <w:rStyle w:val="a7"/>
          <w:rFonts w:ascii="Arial" w:cs="Guttman Frank"/>
          <w:b/>
          <w:bCs/>
          <w:sz w:val="29"/>
          <w:szCs w:val="29"/>
          <w:rtl/>
        </w:rPr>
        <w:footnoteReference w:id="2170"/>
      </w:r>
      <w:r>
        <w:rPr>
          <w:rFonts w:ascii="Arial" w:cs="Guttman Frank"/>
          <w:b/>
          <w:bCs/>
          <w:sz w:val="29"/>
          <w:szCs w:val="29"/>
          <w:rtl/>
        </w:rPr>
        <w:t xml:space="preserve">בְּשִׁית יוֹמֵי דְשָׁבוּעַ, הֲדָא הוּא דִכְתִיב </w:t>
      </w:r>
      <w:r>
        <w:rPr>
          <w:rFonts w:ascii="Arial" w:cs="Guttman Frank"/>
          <w:b/>
          <w:szCs w:val="23"/>
          <w:rtl/>
        </w:rPr>
        <w:t>(יחזקאל מו א)</w:t>
      </w:r>
      <w:r>
        <w:rPr>
          <w:rFonts w:ascii="Arial" w:cs="Guttman Frank"/>
          <w:b/>
          <w:bCs/>
          <w:sz w:val="29"/>
          <w:szCs w:val="29"/>
          <w:rtl/>
        </w:rPr>
        <w:t xml:space="preserve"> יִהְיֶה סָגוּר שֵׁשֶׁת יְמֵי הַמַּעֲשֶׂה, וּבְיוֹם הַשַּׁבָּת יִפָּתֵחַ, וּבְשַׁבָּת בְּגִין דְּלָא תְהֵא </w:t>
      </w:r>
      <w:r>
        <w:rPr>
          <w:rStyle w:val="a7"/>
          <w:rFonts w:ascii="Arial" w:cs="Guttman Frank"/>
          <w:b/>
          <w:bCs/>
          <w:sz w:val="29"/>
          <w:szCs w:val="29"/>
          <w:rtl/>
        </w:rPr>
        <w:footnoteReference w:id="2171"/>
      </w:r>
      <w:r>
        <w:rPr>
          <w:rFonts w:ascii="Arial" w:cs="Guttman Frank"/>
          <w:b/>
          <w:bCs/>
          <w:sz w:val="29"/>
          <w:szCs w:val="29"/>
          <w:rtl/>
        </w:rPr>
        <w:t xml:space="preserve">כְּנוֹעִל דֶּלֶת בִּפְנֵי לָוִוין, דְּאִתְּמַר בְּהוּ </w:t>
      </w:r>
      <w:r>
        <w:rPr>
          <w:rStyle w:val="a7"/>
          <w:rFonts w:ascii="Arial" w:cs="Guttman Frank"/>
          <w:b/>
          <w:bCs/>
          <w:sz w:val="29"/>
          <w:szCs w:val="29"/>
          <w:rtl/>
        </w:rPr>
        <w:footnoteReference w:id="2172"/>
      </w:r>
      <w:r>
        <w:rPr>
          <w:rFonts w:ascii="Arial" w:cs="Guttman Frank"/>
          <w:b/>
          <w:bCs/>
          <w:sz w:val="29"/>
          <w:szCs w:val="29"/>
          <w:rtl/>
        </w:rPr>
        <w:t>לְווּ עָלַי וַאֲנִי פוֹרֵעַ, אִיהִי פְּתִיחָא לְגַבַּיְיהוּ דְאִינוּן נִשְׁמָתִין יְתֵירִין.</w:t>
      </w:r>
    </w:p>
    <w:p w:rsidR="00606298" w:rsidRDefault="00606298" w:rsidP="00B17EA9">
      <w:pPr>
        <w:pStyle w:val="NormalWeb"/>
        <w:rPr>
          <w:rtl/>
        </w:rPr>
      </w:pPr>
      <w:r>
        <w:rPr>
          <w:rtl/>
        </w:rPr>
        <w:t xml:space="preserve">וּבְאִלֵּין דְּלָא מַלְוִוין לָהּ וְלָא אוֹסִיפִין לְשַׁבָּתוֹת וּלְיָמִים טוֹבִים, אִיהִי סְתִימָא לְהוֹן, וּבְגִין דָּא כָּל הַמּוֹסִיף מוֹסִיפִין לֵיהּ, וְדָא תוֹסֶפֶת נִשְׁמָתָא יְתֵירָא, </w:t>
      </w:r>
      <w:r>
        <w:rPr>
          <w:rStyle w:val="a7"/>
          <w:rtl/>
        </w:rPr>
        <w:footnoteReference w:id="2173"/>
      </w:r>
      <w:r>
        <w:rPr>
          <w:rtl/>
        </w:rPr>
        <w:t xml:space="preserve">וְאִיהִי תוֹסֶפֶת רוּחָא דִקְדוּשָׁה, וְכָל הַגּוֹרֵעַ גּוֹרְעִין לֵיהּ הַהִיא נְשָׁמָה יְתֵירָה, וְאִשְׁתָּאַר עָנִי, וְאִם הוּא חָכָם אִסְתַּלַּק מִנֵּיהּ חָכְמָתֵיהּ, וְאִם הוּא עָשִׁיר בְּמָמוֹנָא אִסְתַּלַּק מִנֵּיהּ, וְאִשְׁתָּאַר עָנִי יָבֵשׁ, כְּמָה דְאִיהוּ מָנַע מִלְּעִילָא נִשְׁמָתָא יְתֵירָה דְאִיהוּ </w:t>
      </w:r>
      <w:r>
        <w:rPr>
          <w:rStyle w:val="a7"/>
          <w:rtl/>
        </w:rPr>
        <w:footnoteReference w:id="2174"/>
      </w:r>
      <w:r>
        <w:rPr>
          <w:rtl/>
        </w:rPr>
        <w:t xml:space="preserve">נִשְׁמַת כָּל חַי, וְאִשְׁתָּאַר יוֹם הַשַּׁבָּת עָנִי וּשְׁכִינְתָּא יְבֵשָׁה, הָכִי אִתְמַנַּע בִּרְכָאָן מִנֵּיהּ, וְאִיהוּ מִדָּה כְּנֶגֶד מִדָּה, וְכָל מָאן דְּאוֹסִיף בְּשַׁבָּת, אָז </w:t>
      </w:r>
      <w:r>
        <w:rPr>
          <w:rStyle w:val="a7"/>
          <w:rtl/>
        </w:rPr>
        <w:footnoteReference w:id="2175"/>
      </w:r>
      <w:r>
        <w:rPr>
          <w:rtl/>
        </w:rPr>
        <w:t xml:space="preserve">וּכְגַנָּה </w:t>
      </w:r>
      <w:r>
        <w:rPr>
          <w:rStyle w:val="a7"/>
          <w:rtl/>
        </w:rPr>
        <w:footnoteReference w:id="2176"/>
      </w:r>
      <w:r>
        <w:rPr>
          <w:rtl/>
        </w:rPr>
        <w:t xml:space="preserve">זֵרוּעֶיהָ תַצְמִיחַ </w:t>
      </w:r>
      <w:r>
        <w:rPr>
          <w:sz w:val="20"/>
          <w:szCs w:val="23"/>
          <w:rtl/>
        </w:rPr>
        <w:t>(ישעיהו סא יא)</w:t>
      </w:r>
      <w:r>
        <w:rPr>
          <w:rtl/>
        </w:rPr>
        <w:t>. אוּף הָכִי נַמִּי אַצְמִיחַ טוֹבָה דִילֵיהּ, וּמָאן זֵרוּעֶיהָ דִשְׁכִינְתָּא לְעִילָא, אִינוּן נְשָׁמוֹת יְתֵירוֹת דְּזַרְעִין מִנֵּיהּ, וְיֶחדוּן לוֹן לְיִשְׂרָאֵל לְתַתָּא מִזִּיו כְּבוֹדָהּ.</w:t>
      </w:r>
    </w:p>
    <w:p w:rsidR="00606298" w:rsidRDefault="00606298" w:rsidP="00B17EA9">
      <w:pPr>
        <w:pStyle w:val="NormalWeb"/>
        <w:rPr>
          <w:rtl/>
        </w:rPr>
      </w:pPr>
      <w:r>
        <w:rPr>
          <w:rtl/>
        </w:rPr>
        <w:t xml:space="preserve">וּבְזִמְנָא דְהַהִיא ם' סְתִימָא אִתְפַּתְּחַת, לָא אִתְפַּתְּחַת אֶלָּא בְּפִיּוּסָא, כְּמָה דְאַתְּ אָמַר </w:t>
      </w:r>
      <w:r>
        <w:rPr>
          <w:sz w:val="20"/>
          <w:szCs w:val="23"/>
          <w:rtl/>
        </w:rPr>
        <w:t>(שיר ה ב)</w:t>
      </w:r>
      <w:r>
        <w:rPr>
          <w:rtl/>
        </w:rPr>
        <w:t xml:space="preserve"> פִּתְחִי לִי אֲחוֹתִי רַעְיָתִי יוֹנָתִי תַמָּתִי שֶׁרֹאשִׁי נִמְלָא טָל, וְהַאי פִּיּוּסָא לְגַבֵּי ו' דְּאִיהוּ מַפְתְּחָא דְסָתִים לָהּ, </w:t>
      </w:r>
      <w:r>
        <w:rPr>
          <w:rStyle w:val="a7"/>
          <w:rtl/>
        </w:rPr>
        <w:footnoteReference w:id="2177"/>
      </w:r>
      <w:r>
        <w:rPr>
          <w:rtl/>
        </w:rPr>
        <w:t xml:space="preserve">וּבְגִין דָּא פִּתְחִי לִי בְיוֹמָא קַדְמָאָה, </w:t>
      </w:r>
      <w:r>
        <w:rPr>
          <w:rStyle w:val="a7"/>
          <w:rtl/>
        </w:rPr>
        <w:footnoteReference w:id="2178"/>
      </w:r>
      <w:r>
        <w:rPr>
          <w:rtl/>
        </w:rPr>
        <w:t xml:space="preserve">לְמָאן לְאָת י' </w:t>
      </w:r>
      <w:r>
        <w:rPr>
          <w:rStyle w:val="a7"/>
          <w:rtl/>
        </w:rPr>
        <w:footnoteReference w:id="2179"/>
      </w:r>
      <w:r>
        <w:rPr>
          <w:rtl/>
        </w:rPr>
        <w:t xml:space="preserve">דְּאִיהִי נְקוּדָה דְקָמֵ''ץ, כַּד אִתְפַּתְּחַת אִתְפַּתְּחַת בְּפַתָח דְּאִיהוּ ו', כַּד סָתִים סָתִים בְּקָמֵ''ץ, </w:t>
      </w:r>
      <w:r>
        <w:rPr>
          <w:rStyle w:val="a7"/>
          <w:rtl/>
        </w:rPr>
        <w:footnoteReference w:id="2180"/>
      </w:r>
      <w:r>
        <w:rPr>
          <w:rtl/>
        </w:rPr>
        <w:t>וְאִיהוּ י''ו טִפָּה וְזֶרַע דְּאִתְמַשַּׁךְ מִנֵּיהּ.</w:t>
      </w:r>
    </w:p>
    <w:p w:rsidR="00606298" w:rsidRDefault="00606298" w:rsidP="00B17EA9">
      <w:pPr>
        <w:pStyle w:val="aa"/>
        <w:rPr>
          <w:rtl/>
        </w:rPr>
      </w:pPr>
      <w:bookmarkStart w:id="175" w:name="_Toc228095633"/>
      <w:bookmarkStart w:id="176" w:name="_Toc231638071"/>
      <w:r>
        <w:rPr>
          <w:rtl/>
        </w:rPr>
        <w:t>[תיקוני זוהר - דף לח ע''א בהגהה]</w:t>
      </w:r>
      <w:bookmarkEnd w:id="175"/>
      <w:bookmarkEnd w:id="176"/>
    </w:p>
    <w:p w:rsidR="00606298" w:rsidRDefault="00606298" w:rsidP="00B17EA9">
      <w:pPr>
        <w:pStyle w:val="NormalWeb"/>
        <w:rPr>
          <w:rtl/>
        </w:rPr>
      </w:pPr>
      <w:r>
        <w:rPr>
          <w:rtl/>
        </w:rPr>
        <w:t xml:space="preserve">וּבְגִין דָּא פִּתְחִי לִי בְיוֹמָא קַדְמָאָה לְאָת י' דְּאִיהִי נְקוּדָה דְקָמֵץ, </w:t>
      </w:r>
      <w:r>
        <w:rPr>
          <w:rStyle w:val="a7"/>
          <w:rtl/>
        </w:rPr>
        <w:footnoteReference w:id="2181"/>
      </w:r>
      <w:r>
        <w:rPr>
          <w:rtl/>
        </w:rPr>
        <w:t xml:space="preserve">אֲחוֹתִי בְיוֹמָא תִנְיָינָא, רַעְיָתִי בְּיוֹמָא תְלִיתָאָה, דְאִיהוּ רַעְיָא מְהֵימְנָא, </w:t>
      </w:r>
      <w:r>
        <w:rPr>
          <w:rStyle w:val="a7"/>
          <w:rtl/>
        </w:rPr>
        <w:footnoteReference w:id="2182"/>
      </w:r>
      <w:r>
        <w:rPr>
          <w:rtl/>
        </w:rPr>
        <w:t xml:space="preserve">יוֹנָתִי בְיוֹמָא רְבִיעָאָה, </w:t>
      </w:r>
      <w:r>
        <w:rPr>
          <w:rStyle w:val="a7"/>
          <w:rtl/>
        </w:rPr>
        <w:footnoteReference w:id="2183"/>
      </w:r>
      <w:r>
        <w:rPr>
          <w:rtl/>
        </w:rPr>
        <w:t xml:space="preserve">תַמָּתִי בְיוֹמָא חֲמִשָּׁאָה, תַּם עֲוֹנֵךְ בַּת צִיּוֹן, שֶׁרֹאשִׁי בְיוֹמָא שְׁתִיתָאָה, </w:t>
      </w:r>
      <w:r>
        <w:rPr>
          <w:sz w:val="20"/>
          <w:szCs w:val="23"/>
          <w:rtl/>
        </w:rPr>
        <w:t xml:space="preserve">(דף לח ע''א בהגהה) </w:t>
      </w:r>
      <w:r>
        <w:rPr>
          <w:rtl/>
        </w:rPr>
        <w:t xml:space="preserve">דְאִתְּמַר </w:t>
      </w:r>
      <w:r>
        <w:rPr>
          <w:sz w:val="20"/>
          <w:szCs w:val="23"/>
          <w:rtl/>
        </w:rPr>
        <w:t>(בראשית מז לא)</w:t>
      </w:r>
      <w:r>
        <w:rPr>
          <w:rtl/>
        </w:rPr>
        <w:t xml:space="preserve"> וַיִּשְׁתַּחוּ יִשְׂרָאֵל </w:t>
      </w:r>
      <w:r>
        <w:rPr>
          <w:rStyle w:val="a7"/>
          <w:rtl/>
        </w:rPr>
        <w:footnoteReference w:id="2184"/>
      </w:r>
      <w:r>
        <w:rPr>
          <w:rtl/>
        </w:rPr>
        <w:t xml:space="preserve">עַל רֹאשׁ הַמִּטָּה דְאִיהוּ יוֹם הַשִּׁשִּׁי, נִמְלָא </w:t>
      </w:r>
      <w:r>
        <w:rPr>
          <w:rStyle w:val="a7"/>
          <w:rtl/>
        </w:rPr>
        <w:footnoteReference w:id="2185"/>
      </w:r>
      <w:r>
        <w:rPr>
          <w:rtl/>
        </w:rPr>
        <w:t xml:space="preserve">טָל בְּיוֹמָא שְׁבִיעָאָה, דָא טִפָּה י' וַדַּאי, </w:t>
      </w:r>
      <w:r>
        <w:rPr>
          <w:rStyle w:val="a7"/>
          <w:rtl/>
        </w:rPr>
        <w:footnoteReference w:id="2186"/>
      </w:r>
      <w:r>
        <w:rPr>
          <w:rtl/>
        </w:rPr>
        <w:t>וְדָא נְקוּדָה דְאָת ב'.</w:t>
      </w:r>
    </w:p>
    <w:p w:rsidR="00606298" w:rsidRDefault="00606298" w:rsidP="00B17EA9">
      <w:pPr>
        <w:pStyle w:val="NormalWeb"/>
        <w:rPr>
          <w:rtl/>
        </w:rPr>
      </w:pPr>
      <w:r>
        <w:rPr>
          <w:rtl/>
        </w:rPr>
        <w:t xml:space="preserve">וּבְגִין דָּא זִוּוּגָא דְתַלְמִידֵי חֲכָמִים מִשַּׁבָּת לְשַׁבָּת, לְיַרְתָא הַהִיא טִפָּה דְאִיהִי חָכְמָה, טַ''ל תּוֹרָה לִבְנַיְיהוּ, וְלַאו לְמַגָּנָא אוּקְמוּהוּ זִכְרוֹנָם לִבְרָכָה, כָּל הָעוֹסֵק בְּטַל תּוֹרָה </w:t>
      </w:r>
      <w:r>
        <w:rPr>
          <w:rStyle w:val="a7"/>
          <w:rtl/>
        </w:rPr>
        <w:footnoteReference w:id="2187"/>
      </w:r>
      <w:r>
        <w:rPr>
          <w:rtl/>
        </w:rPr>
        <w:t>טַל תּוֹרָה מְחַיֵּיהוּ.</w:t>
      </w:r>
    </w:p>
    <w:p w:rsidR="00606298" w:rsidRDefault="00606298" w:rsidP="00B17EA9">
      <w:pPr>
        <w:pStyle w:val="NormalWeb"/>
        <w:rPr>
          <w:rtl/>
        </w:rPr>
      </w:pPr>
      <w:r>
        <w:rPr>
          <w:rStyle w:val="a7"/>
          <w:rtl/>
        </w:rPr>
        <w:footnoteReference w:id="2188"/>
      </w:r>
      <w:r>
        <w:rPr>
          <w:rtl/>
        </w:rPr>
        <w:t xml:space="preserve">גַּל נָעוּל </w:t>
      </w:r>
      <w:r>
        <w:rPr>
          <w:sz w:val="20"/>
          <w:szCs w:val="23"/>
          <w:rtl/>
        </w:rPr>
        <w:t>(שיר ד יד)</w:t>
      </w:r>
      <w:r>
        <w:rPr>
          <w:rtl/>
        </w:rPr>
        <w:t xml:space="preserve"> גַּל אִיהוּ </w:t>
      </w:r>
      <w:r>
        <w:rPr>
          <w:rStyle w:val="a7"/>
          <w:rtl/>
        </w:rPr>
        <w:footnoteReference w:id="2189"/>
      </w:r>
      <w:r>
        <w:rPr>
          <w:rtl/>
        </w:rPr>
        <w:t xml:space="preserve">כְּמוֹ גַלְגַּל, אִיהוּ רְמִיז דְּבֵיהּ </w:t>
      </w:r>
      <w:r>
        <w:rPr>
          <w:rStyle w:val="a7"/>
          <w:rtl/>
        </w:rPr>
        <w:footnoteReference w:id="2190"/>
      </w:r>
      <w:r>
        <w:rPr>
          <w:rtl/>
        </w:rPr>
        <w:t xml:space="preserve">מַעְיָן חָתוּם דְּאִיהִי י', </w:t>
      </w:r>
      <w:r>
        <w:rPr>
          <w:rStyle w:val="a7"/>
          <w:rtl/>
        </w:rPr>
        <w:footnoteReference w:id="2191"/>
      </w:r>
      <w:r>
        <w:rPr>
          <w:rtl/>
        </w:rPr>
        <w:t xml:space="preserve">וּמִיַּד הַשְׁקוּ הַצֹּאן </w:t>
      </w:r>
      <w:r>
        <w:rPr>
          <w:rStyle w:val="a7"/>
          <w:rtl/>
        </w:rPr>
        <w:footnoteReference w:id="2192"/>
      </w:r>
      <w:r>
        <w:rPr>
          <w:rtl/>
        </w:rPr>
        <w:t xml:space="preserve">דְּאִינוּן אֵבָרִין קַדִּישִׁין, דְּאִתְּמַר בְּהוֹן </w:t>
      </w:r>
      <w:r>
        <w:rPr>
          <w:sz w:val="20"/>
          <w:szCs w:val="23"/>
          <w:rtl/>
        </w:rPr>
        <w:t>(יחזקאל לד לא)</w:t>
      </w:r>
      <w:r>
        <w:rPr>
          <w:rtl/>
        </w:rPr>
        <w:t xml:space="preserve"> וְאַתֵּן צֹאנִי צֹאן מַרְעִיתִי אָדָם אַתֶּם, </w:t>
      </w:r>
      <w:r>
        <w:rPr>
          <w:rStyle w:val="a7"/>
          <w:rtl/>
        </w:rPr>
        <w:footnoteReference w:id="2193"/>
      </w:r>
      <w:r>
        <w:rPr>
          <w:rtl/>
        </w:rPr>
        <w:t xml:space="preserve">כֻּלְּהוּ רוֹעִים, וּמֹשֶׁה עַל כֻּלְּהוֹן, דִּכְתִיב </w:t>
      </w:r>
      <w:r>
        <w:rPr>
          <w:sz w:val="20"/>
          <w:szCs w:val="23"/>
          <w:rtl/>
        </w:rPr>
        <w:t>(שמות ב טו)</w:t>
      </w:r>
      <w:r>
        <w:rPr>
          <w:szCs w:val="23"/>
          <w:rtl/>
        </w:rPr>
        <w:t xml:space="preserve"> </w:t>
      </w:r>
      <w:r>
        <w:rPr>
          <w:rStyle w:val="Char"/>
          <w:rtl/>
        </w:rPr>
        <w:t>וַיֵּשֶׁב עַל הַבְּאֵר, וּכְתִיב</w:t>
      </w:r>
      <w:r>
        <w:rPr>
          <w:szCs w:val="23"/>
          <w:rtl/>
        </w:rPr>
        <w:t xml:space="preserve"> </w:t>
      </w:r>
      <w:r>
        <w:rPr>
          <w:sz w:val="20"/>
          <w:szCs w:val="23"/>
          <w:rtl/>
        </w:rPr>
        <w:t>(תהלים צ א)</w:t>
      </w:r>
      <w:r>
        <w:rPr>
          <w:rtl/>
        </w:rPr>
        <w:t xml:space="preserve"> תְּפִלָּה לְמֹשֶׁה </w:t>
      </w:r>
      <w:r>
        <w:rPr>
          <w:rStyle w:val="a7"/>
          <w:rtl/>
        </w:rPr>
        <w:footnoteReference w:id="2194"/>
      </w:r>
      <w:r>
        <w:rPr>
          <w:rtl/>
        </w:rPr>
        <w:t>אִישׁ הָאלהי''ם וכו', אִיהוּ שׁוּלְטָנוּתֵיהּ בְּשִׁבְעָה רְקִיעִין.</w:t>
      </w:r>
    </w:p>
    <w:p w:rsidR="00606298" w:rsidRDefault="00606298" w:rsidP="00B17EA9">
      <w:pPr>
        <w:pStyle w:val="NormalWeb"/>
        <w:rPr>
          <w:rtl/>
        </w:rPr>
      </w:pPr>
      <w:r>
        <w:rPr>
          <w:rStyle w:val="a7"/>
          <w:rtl/>
        </w:rPr>
        <w:footnoteReference w:id="2195"/>
      </w:r>
      <w:r>
        <w:rPr>
          <w:rtl/>
        </w:rPr>
        <w:t xml:space="preserve">צַדִּיק אִיהִי רָקִיעַ דְּפַלִּיג בֵּין מַיָּא לְמַיָּא, </w:t>
      </w:r>
      <w:r>
        <w:rPr>
          <w:rStyle w:val="a7"/>
          <w:rtl/>
        </w:rPr>
        <w:footnoteReference w:id="2196"/>
      </w:r>
      <w:r>
        <w:rPr>
          <w:rtl/>
        </w:rPr>
        <w:t>בֵּין יָם עִלָּאָה דְאִיהִי אִימָּא עִלָּאָה, וּבֵין יָם תַּתָּאָה דְאִיהִי אִימָּא תַּתָּאָה, וַעֲלֵיהּ אִתְּמַר אֵין בֵּין מַיִם הָעֶלְיוֹנִים לְמַיִם הַתַּחְתּוֹנִים אֶלָּא כִּמְלֹא נִימָא, כְּמָה דְאוּקְמוּהוּ מָארֵי מַתְנִיתִין, וְהַאי נִימָא אִיהוּ צַדִּיק, וְלַאו לְמַגָּנָא אוּקְמוּהוּ קַדְמָאִין, דְּקוּדְשָׁא בְּרִיךְ הוּא מְדַקְדֵּק עִם הַצַּדִּיקִים אֲפִילוּ כְּחוּט הַשַּׂעֲרָה.</w:t>
      </w:r>
    </w:p>
    <w:p w:rsidR="00606298" w:rsidRDefault="00606298" w:rsidP="00B17EA9">
      <w:pPr>
        <w:pStyle w:val="aa"/>
        <w:rPr>
          <w:rtl/>
        </w:rPr>
      </w:pPr>
      <w:r>
        <w:rPr>
          <w:rtl/>
        </w:rPr>
        <w:t>[תיקוני זוהר - דף לז ע''ב]</w:t>
      </w:r>
    </w:p>
    <w:p w:rsidR="00606298" w:rsidRDefault="00606298" w:rsidP="00B17EA9">
      <w:pPr>
        <w:pStyle w:val="NormalWeb"/>
        <w:rPr>
          <w:rtl/>
        </w:rPr>
      </w:pPr>
      <w:r>
        <w:rPr>
          <w:rStyle w:val="a7"/>
          <w:rtl/>
        </w:rPr>
        <w:footnoteReference w:id="2197"/>
      </w:r>
      <w:r>
        <w:rPr>
          <w:rtl/>
        </w:rPr>
        <w:t xml:space="preserve">וְלֵית נִימָא וְנִימָא דְשַׂעֲרָה דְעַתִּיקָא קַדִּישָׁא דְלָא נָפְקָא מִמַּבּוּעָא עִלָּאָה, וְהַאי נִימָא אִיהוּ ו', מַבּוּעָא דִילֵיהּ י', </w:t>
      </w:r>
      <w:r>
        <w:rPr>
          <w:rStyle w:val="a7"/>
          <w:rtl/>
        </w:rPr>
        <w:footnoteReference w:id="2198"/>
      </w:r>
      <w:r>
        <w:rPr>
          <w:rtl/>
        </w:rPr>
        <w:t xml:space="preserve">דְּסָלְקָא </w:t>
      </w:r>
      <w:r>
        <w:rPr>
          <w:sz w:val="20"/>
          <w:szCs w:val="23"/>
          <w:rtl/>
        </w:rPr>
        <w:t xml:space="preserve">(דף לז ע''ב) </w:t>
      </w:r>
      <w:r>
        <w:rPr>
          <w:rtl/>
        </w:rPr>
        <w:t>בְאַוִּירָא עַד אֵין סוֹף וְנָחְתָא עַד אֵין תַּכְלִית.</w:t>
      </w:r>
    </w:p>
    <w:p w:rsidR="00606298" w:rsidRDefault="00606298" w:rsidP="00B17EA9">
      <w:pPr>
        <w:pStyle w:val="NormalWeb"/>
        <w:rPr>
          <w:rtl/>
        </w:rPr>
      </w:pPr>
      <w:r>
        <w:rPr>
          <w:rStyle w:val="a7"/>
          <w:rtl/>
        </w:rPr>
        <w:footnoteReference w:id="2199"/>
      </w:r>
      <w:r>
        <w:rPr>
          <w:rtl/>
        </w:rPr>
        <w:t xml:space="preserve">וְאִיהִי עֶשֶׂר, וּבְגִינָהּ אִתְּמַר </w:t>
      </w:r>
      <w:r>
        <w:rPr>
          <w:sz w:val="20"/>
          <w:szCs w:val="23"/>
          <w:rtl/>
        </w:rPr>
        <w:t>(שמות כו טז)</w:t>
      </w:r>
      <w:r>
        <w:rPr>
          <w:rtl/>
        </w:rPr>
        <w:t xml:space="preserve"> עֶשֶׂר אַמּוֹת אֹרֶךְ הַקָּרֶשׁ, אַמּוֹ''ת </w:t>
      </w:r>
      <w:r>
        <w:rPr>
          <w:rStyle w:val="a7"/>
          <w:rtl/>
        </w:rPr>
        <w:footnoteReference w:id="2200"/>
      </w:r>
      <w:r>
        <w:rPr>
          <w:rtl/>
        </w:rPr>
        <w:t xml:space="preserve">אִינוּן מֵאוֹ''ת בְּהִפּוּכָא, וְאַמָּה וַחֲצִי הָאַמָּה רֹחַב הַקֶּרֶשׁ הָאֶחָד, דָּא רָזָא </w:t>
      </w:r>
      <w:r>
        <w:rPr>
          <w:rStyle w:val="a7"/>
          <w:rtl/>
        </w:rPr>
        <w:footnoteReference w:id="2201"/>
      </w:r>
      <w:r>
        <w:rPr>
          <w:rtl/>
        </w:rPr>
        <w:t>דְשִׁעוּר קוֹמָה, דְאִיהוּ אָזִיל עַל קַ''ו הַמִּדָּה, מַאי קַ''ו דָּא אָת ו', דְּאִיהוּ מִדָּה לְכָל שִׁעוּרָא דְגוּפָא.</w:t>
      </w:r>
    </w:p>
    <w:p w:rsidR="00606298" w:rsidRDefault="00606298" w:rsidP="00B17EA9">
      <w:pPr>
        <w:pStyle w:val="NormalWeb"/>
        <w:rPr>
          <w:rtl/>
        </w:rPr>
      </w:pPr>
      <w:r>
        <w:rPr>
          <w:rStyle w:val="a7"/>
          <w:rtl/>
        </w:rPr>
        <w:footnoteReference w:id="2202"/>
      </w:r>
      <w:r>
        <w:rPr>
          <w:rtl/>
        </w:rPr>
        <w:t xml:space="preserve">אִיהוּ מִדָּה בֵּין עִינָא לְעִינָא, וַעֲלָהּ אִתְּמַר </w:t>
      </w:r>
      <w:r>
        <w:rPr>
          <w:sz w:val="20"/>
          <w:szCs w:val="23"/>
          <w:rtl/>
        </w:rPr>
        <w:t>(שם ה טו)</w:t>
      </w:r>
      <w:r>
        <w:rPr>
          <w:rtl/>
        </w:rPr>
        <w:t xml:space="preserve"> אֶצְבַּע אלהי''ם הִיא, </w:t>
      </w:r>
      <w:r>
        <w:rPr>
          <w:rStyle w:val="a7"/>
          <w:rtl/>
        </w:rPr>
        <w:footnoteReference w:id="2203"/>
      </w:r>
      <w:r>
        <w:rPr>
          <w:rtl/>
        </w:rPr>
        <w:t xml:space="preserve">אִיהוּ שִׁיעוּרָא דְאוּרְכָא דְחוֹטָמָא וְאִיהִי שִׁעוּרָא דְכָל אֶצְבְּעָא וְאֶצְבְּעָא וְשִׁעוּרָא בֵּין אֶצְבְּעָא לְאֶצְבְּעָא ו' </w:t>
      </w:r>
      <w:r>
        <w:rPr>
          <w:sz w:val="20"/>
          <w:szCs w:val="23"/>
          <w:rtl/>
        </w:rPr>
        <w:t>(נ''א י')</w:t>
      </w:r>
      <w:r>
        <w:rPr>
          <w:rtl/>
        </w:rPr>
        <w:t xml:space="preserve">. </w:t>
      </w:r>
      <w:r>
        <w:rPr>
          <w:rStyle w:val="a7"/>
          <w:rtl/>
        </w:rPr>
        <w:footnoteReference w:id="2204"/>
      </w:r>
      <w:r>
        <w:rPr>
          <w:rtl/>
        </w:rPr>
        <w:t xml:space="preserve">י' אִיהִי מִדָּה דְשָׂפָה, וּמִדָּה דְכָל עִינָא וְעִינָא בְּעִגּוּלָא, וּמִדָּה דְפַן וּפַן דְּאַנְפִּין, </w:t>
      </w:r>
      <w:r>
        <w:rPr>
          <w:rStyle w:val="a7"/>
          <w:rtl/>
        </w:rPr>
        <w:footnoteReference w:id="2205"/>
      </w:r>
      <w:r>
        <w:rPr>
          <w:rtl/>
        </w:rPr>
        <w:t xml:space="preserve">וּמִדָּה דְקָמֵ''ץ סָתִים, וְכַד אִתְפַּתַּח קָמֵ''ץ </w:t>
      </w:r>
      <w:r>
        <w:rPr>
          <w:rStyle w:val="a7"/>
          <w:rtl/>
        </w:rPr>
        <w:footnoteReference w:id="2206"/>
      </w:r>
      <w:r>
        <w:rPr>
          <w:rtl/>
        </w:rPr>
        <w:t>אִתְפַּתַּח בְּחָמֵשׁ אֶצְבָּעִין בְּרָזָא דְה', דִּבְהוֹן הַאי קַו אָזִיל חֲמֵשׁ מְאָה שְׁנִין.</w:t>
      </w:r>
    </w:p>
    <w:p w:rsidR="00606298" w:rsidRDefault="00606298" w:rsidP="00B17EA9">
      <w:pPr>
        <w:pStyle w:val="NormalWeb"/>
        <w:rPr>
          <w:rtl/>
        </w:rPr>
      </w:pPr>
      <w:r>
        <w:rPr>
          <w:rtl/>
        </w:rPr>
        <w:t xml:space="preserve">וְכַד </w:t>
      </w:r>
      <w:r>
        <w:rPr>
          <w:sz w:val="20"/>
          <w:szCs w:val="23"/>
          <w:rtl/>
        </w:rPr>
        <w:t>(ס''א ו' כד)</w:t>
      </w:r>
      <w:r>
        <w:rPr>
          <w:rtl/>
        </w:rPr>
        <w:t xml:space="preserve"> נָחִית לְתַתָּא לְגַבֵּי צַדִּיק </w:t>
      </w:r>
      <w:r>
        <w:rPr>
          <w:rStyle w:val="a7"/>
          <w:rtl/>
        </w:rPr>
        <w:footnoteReference w:id="2207"/>
      </w:r>
      <w:r>
        <w:rPr>
          <w:rtl/>
        </w:rPr>
        <w:t xml:space="preserve">אִתְקְרֵי שִׁיעוּר, וְכַד סָלִיק לְעִילָא לְגַבֵּי אִימָּא עִלָּאָה </w:t>
      </w:r>
      <w:r>
        <w:rPr>
          <w:rStyle w:val="a7"/>
          <w:rtl/>
        </w:rPr>
        <w:footnoteReference w:id="2208"/>
      </w:r>
      <w:r>
        <w:rPr>
          <w:rtl/>
        </w:rPr>
        <w:t xml:space="preserve">אִתְקְרֵי קוֹמָה, וְרָזָא דְמִלָּה </w:t>
      </w:r>
      <w:r>
        <w:rPr>
          <w:sz w:val="20"/>
          <w:szCs w:val="23"/>
          <w:rtl/>
        </w:rPr>
        <w:t>(שם טז יח)</w:t>
      </w:r>
      <w:r>
        <w:rPr>
          <w:rtl/>
        </w:rPr>
        <w:t xml:space="preserve"> </w:t>
      </w:r>
      <w:r>
        <w:rPr>
          <w:rStyle w:val="a7"/>
          <w:rtl/>
        </w:rPr>
        <w:footnoteReference w:id="2209"/>
      </w:r>
      <w:r>
        <w:rPr>
          <w:rtl/>
        </w:rPr>
        <w:t xml:space="preserve">וַיָּמֹדּוּ בָעֹמֶר דָּא שְׁכִינְתָּא עִלָּאָה, דְאִיהִי עֹמֶר לַגֻּלְגֹּלֶת, דְּאִיהִי גֻלְגַּלְתָּא דְרֵישָׁא, וּשְׁכִינְתָּא תַּתָּאָה </w:t>
      </w:r>
      <w:r>
        <w:rPr>
          <w:rStyle w:val="a7"/>
          <w:rtl/>
        </w:rPr>
        <w:footnoteReference w:id="2210"/>
      </w:r>
      <w:r>
        <w:rPr>
          <w:rtl/>
        </w:rPr>
        <w:t xml:space="preserve">אִיהִי סְפִירַת הָעוֹמֶר, דְּבָהּ מָנֵי </w:t>
      </w:r>
      <w:r>
        <w:rPr>
          <w:rStyle w:val="a7"/>
          <w:rtl/>
        </w:rPr>
        <w:footnoteReference w:id="2211"/>
      </w:r>
      <w:r>
        <w:rPr>
          <w:rtl/>
        </w:rPr>
        <w:t xml:space="preserve">שֶׁבַע יוֹמִין </w:t>
      </w:r>
      <w:r>
        <w:rPr>
          <w:rStyle w:val="a7"/>
          <w:rtl/>
        </w:rPr>
        <w:footnoteReference w:id="2212"/>
      </w:r>
      <w:r>
        <w:rPr>
          <w:rtl/>
        </w:rPr>
        <w:t xml:space="preserve">דְּאִינוּן שֶׁבַע שַׁבָּתוֹת, דְּאִית בְּהוֹן אַרְבָּעִין וּתְרֵין יוֹמִין </w:t>
      </w:r>
      <w:r>
        <w:rPr>
          <w:rStyle w:val="a7"/>
          <w:rtl/>
        </w:rPr>
        <w:footnoteReference w:id="2213"/>
      </w:r>
      <w:r>
        <w:rPr>
          <w:rtl/>
        </w:rPr>
        <w:t xml:space="preserve">דְּשִׁיתָּא דְכָל שָׁבוּעַ, </w:t>
      </w:r>
      <w:r>
        <w:rPr>
          <w:rStyle w:val="a7"/>
          <w:rtl/>
        </w:rPr>
        <w:footnoteReference w:id="2214"/>
      </w:r>
      <w:r>
        <w:rPr>
          <w:rtl/>
        </w:rPr>
        <w:t xml:space="preserve">וְשֶׁבַע </w:t>
      </w:r>
      <w:r>
        <w:rPr>
          <w:rStyle w:val="Char"/>
          <w:rtl/>
        </w:rPr>
        <w:t>שַׁבָּתוֹת הָא מ''ט</w:t>
      </w:r>
      <w:r>
        <w:rPr>
          <w:szCs w:val="23"/>
          <w:rtl/>
        </w:rPr>
        <w:t xml:space="preserve"> </w:t>
      </w:r>
      <w:r>
        <w:rPr>
          <w:sz w:val="20"/>
          <w:szCs w:val="23"/>
          <w:rtl/>
        </w:rPr>
        <w:t>(נ''א דמטטרו''ן)</w:t>
      </w:r>
      <w:r>
        <w:rPr>
          <w:rtl/>
        </w:rPr>
        <w:t xml:space="preserve">, דְּאִינוּן מ''ט אַנְפִּין טָהוֹר, </w:t>
      </w:r>
      <w:r>
        <w:rPr>
          <w:rStyle w:val="a7"/>
          <w:rtl/>
        </w:rPr>
        <w:footnoteReference w:id="2215"/>
      </w:r>
      <w:r>
        <w:rPr>
          <w:rtl/>
        </w:rPr>
        <w:t xml:space="preserve">שְׁמַע יִשְׂרָאֵל יהו''ה אלהינ''ו יהו''ה אֶחָד, בָּרוּךְ שֵׁם כְּבוֹד מַלְכוּתוֹ לְעוֹלָם וָעֶד, </w:t>
      </w:r>
      <w:r>
        <w:rPr>
          <w:rStyle w:val="a7"/>
          <w:rtl/>
        </w:rPr>
        <w:footnoteReference w:id="2216"/>
      </w:r>
      <w:r>
        <w:rPr>
          <w:rtl/>
        </w:rPr>
        <w:t xml:space="preserve">דִּבְהוֹן אִתְדַּכִּיאַת שְׁכִינְתָּא תַּתָּאָה לְגַבֵּי בַּעְלָהּ, </w:t>
      </w:r>
      <w:r>
        <w:rPr>
          <w:rStyle w:val="a7"/>
          <w:rtl/>
        </w:rPr>
        <w:footnoteReference w:id="2217"/>
      </w:r>
      <w:r>
        <w:rPr>
          <w:rtl/>
        </w:rPr>
        <w:t xml:space="preserve">בְּמִקְוְה דִּילָהּ, </w:t>
      </w:r>
      <w:r>
        <w:rPr>
          <w:rStyle w:val="a7"/>
          <w:rtl/>
        </w:rPr>
        <w:footnoteReference w:id="2218"/>
      </w:r>
      <w:r>
        <w:rPr>
          <w:rtl/>
        </w:rPr>
        <w:t xml:space="preserve">דְּאִיהוּ מִקְוִה יִשְׂרָאֵל יהו''ה, וְאִיהוּ שִׁיעוּר קוֹמָה, דְּהָכִי אִינוּן אַתְוָון דְּמִקְוְה קוֹמָה, </w:t>
      </w:r>
      <w:r>
        <w:rPr>
          <w:rStyle w:val="a7"/>
          <w:rtl/>
        </w:rPr>
        <w:footnoteReference w:id="2219"/>
      </w:r>
      <w:r>
        <w:rPr>
          <w:rtl/>
        </w:rPr>
        <w:t>וְאִינוּן ם סְתִימָא בְרָזָא דָא, [ציור] דְתֵשַׁע נְקוּדִין לְכָל סְטַר, בִּנְקוּדָה דְאֶמְצָעִיתָא אִשְׁתַּלִּימוּ לְאַרְבָּעִים סָאִין, אִיהוּ שִׁיעוּרָא דְמִקְוְה, דְּבֵיהּ אִתְדַּכִּיאַת אִתְּתָא לְבַעְלָהּ.</w:t>
      </w:r>
    </w:p>
    <w:p w:rsidR="00606298" w:rsidRDefault="00606298" w:rsidP="00B17EA9">
      <w:pPr>
        <w:pStyle w:val="aa"/>
        <w:rPr>
          <w:rtl/>
        </w:rPr>
      </w:pPr>
      <w:bookmarkStart w:id="177" w:name="_Toc228095634"/>
      <w:bookmarkStart w:id="178" w:name="_Toc231638072"/>
      <w:r>
        <w:rPr>
          <w:rtl/>
        </w:rPr>
        <w:t>[תיקוני זוהר - דף לח ע''א]</w:t>
      </w:r>
      <w:bookmarkEnd w:id="177"/>
      <w:bookmarkEnd w:id="178"/>
    </w:p>
    <w:p w:rsidR="00606298" w:rsidRDefault="00606298" w:rsidP="00B17EA9">
      <w:pPr>
        <w:pStyle w:val="NormalWeb"/>
        <w:rPr>
          <w:rtl/>
        </w:rPr>
      </w:pPr>
      <w:r>
        <w:rPr>
          <w:sz w:val="20"/>
          <w:szCs w:val="23"/>
          <w:rtl/>
        </w:rPr>
        <w:t xml:space="preserve">(דף לח ע''א) </w:t>
      </w:r>
      <w:r>
        <w:rPr>
          <w:rStyle w:val="a7"/>
          <w:rtl/>
        </w:rPr>
        <w:footnoteReference w:id="2220"/>
      </w:r>
      <w:r>
        <w:rPr>
          <w:rtl/>
        </w:rPr>
        <w:t xml:space="preserve">וְקֳדָם דְּאִתְדַּכִּיאַת, צָרִיךְ לְמַנָּאָה שִׁבְעָה יוֹמִין דְּדַכְיוּ, לְאַשְׁלָמָא בְּהוֹן מ''ט פָּנִים דַּכְיוּ דְאוֹרַיְיתָא, </w:t>
      </w:r>
      <w:r>
        <w:rPr>
          <w:rStyle w:val="a7"/>
          <w:rtl/>
        </w:rPr>
        <w:footnoteReference w:id="2221"/>
      </w:r>
      <w:r>
        <w:rPr>
          <w:rtl/>
        </w:rPr>
        <w:t xml:space="preserve">וּבְהוֹן אִתְחַבְּרַת אוֹרַיְיתָא דְבִכְתָב וְאוֹרַיְיתָא דִבְעַל פֶּה </w:t>
      </w:r>
      <w:r>
        <w:rPr>
          <w:rStyle w:val="a7"/>
          <w:rtl/>
        </w:rPr>
        <w:footnoteReference w:id="2222"/>
      </w:r>
      <w:r>
        <w:rPr>
          <w:rtl/>
        </w:rPr>
        <w:t>בְּיוֹמָא דְשָׁבוּעוֹת, דְּאִינוּן דּוּ פַּרְצוּפִין דְּאָדָם, וְחִבּוּרָא דְתַרְוַיְיהוּ בְּלֶחֶם,</w:t>
      </w:r>
      <w:r>
        <w:rPr>
          <w:rFonts w:cs="Arial"/>
          <w:sz w:val="38"/>
          <w:rtl/>
        </w:rPr>
        <w:t xml:space="preserve"> </w:t>
      </w:r>
      <w:r>
        <w:rPr>
          <w:rStyle w:val="a7"/>
          <w:rFonts w:cs="Arial"/>
          <w:sz w:val="38"/>
          <w:rtl/>
        </w:rPr>
        <w:footnoteReference w:id="2223"/>
      </w:r>
      <w:r>
        <w:rPr>
          <w:rtl/>
        </w:rPr>
        <w:t>דְהוּא בְּחִלוּפא דְאַתְוָון</w:t>
      </w:r>
      <w:r>
        <w:rPr>
          <w:rFonts w:cs="Arial"/>
          <w:sz w:val="38"/>
          <w:rtl/>
        </w:rPr>
        <w:t xml:space="preserve"> </w:t>
      </w:r>
      <w:r>
        <w:rPr>
          <w:rtl/>
        </w:rPr>
        <w:t>רֶחֶם</w:t>
      </w:r>
      <w:r>
        <w:rPr>
          <w:rFonts w:cs="Arial"/>
          <w:sz w:val="38"/>
          <w:rtl/>
        </w:rPr>
        <w:t>,</w:t>
      </w:r>
      <w:r>
        <w:rPr>
          <w:rtl/>
        </w:rPr>
        <w:t xml:space="preserve"> </w:t>
      </w:r>
      <w:r>
        <w:rPr>
          <w:rStyle w:val="a7"/>
          <w:rtl/>
        </w:rPr>
        <w:footnoteReference w:id="2224"/>
      </w:r>
      <w:r>
        <w:rPr>
          <w:rtl/>
        </w:rPr>
        <w:t xml:space="preserve">דְּאִיהוּ רְמַ''ח פִּקּוּדִין דַּעֲשֵׂה, </w:t>
      </w:r>
      <w:r>
        <w:rPr>
          <w:rStyle w:val="a7"/>
          <w:rtl/>
        </w:rPr>
        <w:footnoteReference w:id="2225"/>
      </w:r>
      <w:r>
        <w:rPr>
          <w:rtl/>
        </w:rPr>
        <w:t xml:space="preserve">וְרָזָא דְמִלָּה </w:t>
      </w:r>
      <w:r>
        <w:rPr>
          <w:sz w:val="20"/>
          <w:szCs w:val="23"/>
          <w:rtl/>
        </w:rPr>
        <w:t>(שמות יג ב)</w:t>
      </w:r>
      <w:r>
        <w:rPr>
          <w:rtl/>
        </w:rPr>
        <w:t xml:space="preserve"> קַדֶּשׁ לִי כָל בְּכֹר פֶּטֶר כָּל רֶחֶם, בְּהַאי חִבּוּרָא דְשָׁבוּעוֹת </w:t>
      </w:r>
      <w:r>
        <w:rPr>
          <w:rStyle w:val="a7"/>
          <w:rtl/>
        </w:rPr>
        <w:footnoteReference w:id="2226"/>
      </w:r>
      <w:r>
        <w:rPr>
          <w:rtl/>
        </w:rPr>
        <w:t xml:space="preserve">מִתְקָרְבִין כָּל פִּקּוּדִין דַּעֲשֵׂה, כַּעֲצָמִים בְּבֶטֶן הַמְּלֵאָה </w:t>
      </w:r>
      <w:r>
        <w:rPr>
          <w:sz w:val="20"/>
          <w:szCs w:val="23"/>
          <w:rtl/>
        </w:rPr>
        <w:t>(קהלת יא ה)</w:t>
      </w:r>
      <w:r>
        <w:rPr>
          <w:rtl/>
        </w:rPr>
        <w:t>.</w:t>
      </w:r>
    </w:p>
    <w:p w:rsidR="00606298" w:rsidRDefault="00606298" w:rsidP="00B17EA9">
      <w:pPr>
        <w:pStyle w:val="NormalWeb"/>
        <w:rPr>
          <w:rtl/>
        </w:rPr>
      </w:pPr>
      <w:r>
        <w:rPr>
          <w:rStyle w:val="a7"/>
          <w:rtl/>
        </w:rPr>
        <w:footnoteReference w:id="2227"/>
      </w:r>
      <w:r>
        <w:rPr>
          <w:rtl/>
        </w:rPr>
        <w:t xml:space="preserve">וּבְהַהוּא זִמְנָא, כָל אִינוּן אֵבָרִין מְקַבְּלִין עַל יְדֵי צִנּוֹרִין דָּא מִן דָּא, </w:t>
      </w:r>
      <w:r>
        <w:rPr>
          <w:rStyle w:val="a7"/>
          <w:rtl/>
        </w:rPr>
        <w:footnoteReference w:id="2228"/>
      </w:r>
      <w:r>
        <w:rPr>
          <w:rtl/>
        </w:rPr>
        <w:t xml:space="preserve">הֲדָא הוּא דִכְתִיב </w:t>
      </w:r>
      <w:r>
        <w:rPr>
          <w:sz w:val="20"/>
          <w:szCs w:val="23"/>
          <w:rtl/>
        </w:rPr>
        <w:t>(שמות כו ה)</w:t>
      </w:r>
      <w:r>
        <w:rPr>
          <w:rtl/>
        </w:rPr>
        <w:t xml:space="preserve"> מַקְבִּילוֹת הַלֻּלָאוֹת אִשָּׁה אֶל אֲחֹתָהּ, וְכַד אִינוּן מְקַבְּלִין, כָּל סְפִירָאן מְקַבְּלִין דָּא מִן דָּא, וּמַלְאָכִין לְתַתָּא מְקַבְּלִין דֵּין מִן דֵּין, כְּמָה דְאַתְּ אָמַר וּמְקַבְּלִין דֵּין מִן דֵּין, וְכָל חַד וְחַד יָהִיב רְשׁוּ לְחַבְרֵיהּ, לְאַעָלָא בִּתְחוּמָא דְחַבְרֵיהּ, </w:t>
      </w:r>
      <w:r>
        <w:rPr>
          <w:rStyle w:val="a7"/>
          <w:rtl/>
        </w:rPr>
        <w:footnoteReference w:id="2229"/>
      </w:r>
      <w:r>
        <w:rPr>
          <w:rtl/>
        </w:rPr>
        <w:t>הֲדָא דְאַתְּ אָמַר וְנוֹתְנִין רְשׁוּת זֶה לָזֶה.</w:t>
      </w:r>
    </w:p>
    <w:p w:rsidR="00606298" w:rsidRDefault="00606298" w:rsidP="00B17EA9">
      <w:pPr>
        <w:pStyle w:val="NormalWeb"/>
        <w:rPr>
          <w:rtl/>
        </w:rPr>
      </w:pPr>
      <w:r>
        <w:rPr>
          <w:rtl/>
        </w:rPr>
        <w:t xml:space="preserve">וּמָאן גָּרִים דָּא, יִשְׂרָאֵל כַּד מְקַבְּלִין דָּא מִן דָּא, בֵּין בְּאוֹרַיְיתָא בֵּין בְּמָמוֹנָא, גָּרְמִין לְקַבְּלָא לְעִילָא דָא מִן דָּא, וּלְאַשְׁפָּעָא דָא לְדָא, וְכֹלָּא עַל יְדֵי צִנּוֹרִין, הֲדָא הוּא דִכְתִיב </w:t>
      </w:r>
      <w:r>
        <w:rPr>
          <w:sz w:val="20"/>
          <w:szCs w:val="23"/>
          <w:rtl/>
        </w:rPr>
        <w:t>(תהלים מב ח)</w:t>
      </w:r>
      <w:r>
        <w:rPr>
          <w:rtl/>
        </w:rPr>
        <w:t xml:space="preserve"> תְּהוֹם אֶל תְּהוֹם קוֹרֵא לְקוֹל צִנּוֹרֶיךָ וְגוֹמֵר, </w:t>
      </w:r>
      <w:r>
        <w:rPr>
          <w:rStyle w:val="a7"/>
          <w:rtl/>
        </w:rPr>
        <w:footnoteReference w:id="2230"/>
      </w:r>
      <w:r>
        <w:rPr>
          <w:rtl/>
        </w:rPr>
        <w:t>וּמַאי אַמְרֵי דָא לְדָא, אַבַּע מֵימֶיךָ. קוֹל שְׁנֵי רֵיעִים אֲנִי שׁוֹמֵעַ.</w:t>
      </w:r>
    </w:p>
    <w:p w:rsidR="00606298" w:rsidRDefault="00606298" w:rsidP="00B17EA9">
      <w:pPr>
        <w:pStyle w:val="NormalWeb"/>
        <w:rPr>
          <w:rtl/>
        </w:rPr>
      </w:pPr>
      <w:r>
        <w:rPr>
          <w:rtl/>
        </w:rPr>
        <w:t xml:space="preserve">וְאִינוּן </w:t>
      </w:r>
      <w:r>
        <w:rPr>
          <w:rStyle w:val="a7"/>
          <w:rtl/>
        </w:rPr>
        <w:footnoteReference w:id="2231"/>
      </w:r>
      <w:r>
        <w:rPr>
          <w:rtl/>
        </w:rPr>
        <w:t xml:space="preserve">לְקִבְלַיְיהוּ תְּרֵין שִׂפְוָון דְּאִתְקְרוּן אֲפִיקֵי מָיִם, וּמָאן נִינְהוּ נֶצַח וָהוֹד, דְּאִתְקְרוּן שִׁקְתוֹת הַמָּיִם, </w:t>
      </w:r>
      <w:r>
        <w:rPr>
          <w:rStyle w:val="a7"/>
          <w:rtl/>
        </w:rPr>
        <w:footnoteReference w:id="2232"/>
      </w:r>
      <w:r>
        <w:rPr>
          <w:rtl/>
        </w:rPr>
        <w:t xml:space="preserve">וְתַרְוַיְיהוּ אִתְשַׁקְיָין עַל יְדָא דְצִנּוֹרָא דְאִיהוּ עַמּוּדָא דְאֶמְצָעִיתָא דִכְלִיל כֹּלָּא, וְאִיהוּ בְּרִית דִּכְלִילָן בֵּיהּ כָּל אֵבָרִין דְּגוּפָא, </w:t>
      </w:r>
      <w:r>
        <w:rPr>
          <w:rStyle w:val="a7"/>
          <w:rtl/>
        </w:rPr>
        <w:footnoteReference w:id="2233"/>
      </w:r>
      <w:r>
        <w:rPr>
          <w:rtl/>
        </w:rPr>
        <w:t xml:space="preserve">כָּל צִנּוֹרִין אִינוּן אִתְשַׁקְיָין מִן אָת ו', דְּאִיהוּ נָהָר דְּנָגֵיד וְנָפֵיק מֵעִדֶן, וְאִיהוּ צִנּוֹר </w:t>
      </w:r>
      <w:r>
        <w:rPr>
          <w:rStyle w:val="a7"/>
          <w:rtl/>
        </w:rPr>
        <w:footnoteReference w:id="2234"/>
      </w:r>
      <w:r>
        <w:rPr>
          <w:rtl/>
        </w:rPr>
        <w:t xml:space="preserve">דְּנָפִיק מִמַּעֲיָנָא דְמַיָּא דְאִיהוּ י', וּמִנֵּיהּ אִתְפַּשְׁטָא ה' </w:t>
      </w:r>
      <w:r>
        <w:rPr>
          <w:rStyle w:val="a7"/>
          <w:rtl/>
        </w:rPr>
        <w:footnoteReference w:id="2235"/>
      </w:r>
      <w:r>
        <w:rPr>
          <w:rtl/>
        </w:rPr>
        <w:t>דְּאִיהִי יָם עִלָּאָה.</w:t>
      </w:r>
    </w:p>
    <w:p w:rsidR="00606298" w:rsidRDefault="00606298" w:rsidP="00B17EA9">
      <w:pPr>
        <w:pStyle w:val="NormalWeb"/>
        <w:rPr>
          <w:rtl/>
        </w:rPr>
      </w:pPr>
      <w:r>
        <w:rPr>
          <w:rtl/>
        </w:rPr>
        <w:t xml:space="preserve">וְתָא חֲזִי תֵּשַׁע נְקוּדִין אִינוּן מִן קָמֵ''ץ עַד שׁוּרֵ''ק, וְכֻלְּהוּ אִתְקְרִיאוּ צִנּוֹרִין וּמַבּוּעִין לְאַתְוָון, דְּאִינוּן </w:t>
      </w:r>
      <w:r>
        <w:rPr>
          <w:rStyle w:val="a7"/>
          <w:rtl/>
        </w:rPr>
        <w:footnoteReference w:id="2236"/>
      </w:r>
      <w:r>
        <w:rPr>
          <w:rtl/>
        </w:rPr>
        <w:t xml:space="preserve">כְּלִילָן בְּקַרְקַע, דְּאִיהִי שְׁכִינְתָּא תַּתָּאָה, דְּאִתְקְרִיאַת גַּ''ן, כְּלִילָא מִתְּלַת וְחַמְשִׁין סְדָרִין דְּאוֹרַיְיתָא, וַעֲלָהּ אִתְּמַר גַּן נָעוּל אֲחֹתִי כַלָּה, </w:t>
      </w:r>
      <w:r>
        <w:rPr>
          <w:rStyle w:val="a7"/>
          <w:rtl/>
        </w:rPr>
        <w:footnoteReference w:id="2237"/>
      </w:r>
      <w:r>
        <w:rPr>
          <w:rtl/>
        </w:rPr>
        <w:t xml:space="preserve">גַּל נָעוּל מַעְיָן חָתוּם, חָתוּם וַדַּאי, בְּגִין דְּאִיהִי בְּתוּלָה וְאִישׁ לֹא יְדָעָהּ, וְאִיהִי חָכְמַת שְׁלֹמֹה, דַעֲלָהּ אִתְּמַר </w:t>
      </w:r>
      <w:r>
        <w:rPr>
          <w:sz w:val="20"/>
          <w:szCs w:val="23"/>
          <w:rtl/>
        </w:rPr>
        <w:t>(מלכים א ה ו)</w:t>
      </w:r>
      <w:r>
        <w:rPr>
          <w:rtl/>
        </w:rPr>
        <w:t xml:space="preserve"> וַתֵּרֶב חָכְמַת שְׁלֹמֹה, אִתְרַבִּיאַת מִכָּל שַׁקְיוּ דְכָל סְפִירָה וּסְפִירָה, עַל יְדָא דְהַהוּא צִנּוֹרָא דְאִיהוּ ו', עַד דִּמְטִיאַת לְהַהוּא מַבּוּעָא עִלָּאָה </w:t>
      </w:r>
      <w:r>
        <w:rPr>
          <w:rStyle w:val="a7"/>
          <w:rtl/>
        </w:rPr>
        <w:footnoteReference w:id="2238"/>
      </w:r>
      <w:r>
        <w:rPr>
          <w:rtl/>
        </w:rPr>
        <w:t xml:space="preserve">דְאִיהִי י' עִלָּאָה חָכְמַת כָּל </w:t>
      </w:r>
      <w:r>
        <w:rPr>
          <w:rStyle w:val="a7"/>
          <w:rtl/>
        </w:rPr>
        <w:footnoteReference w:id="2239"/>
      </w:r>
      <w:r>
        <w:rPr>
          <w:rtl/>
        </w:rPr>
        <w:t>בְּנֵי קֶדֶם, וּבְהַהוּא זִמְנָא אִתְעֲבִידַת אִיהִי תַּגָּא בְּרֵישָׁא דְאָת ו'.</w:t>
      </w:r>
    </w:p>
    <w:p w:rsidR="00606298" w:rsidRDefault="00606298" w:rsidP="00B17EA9">
      <w:pPr>
        <w:pStyle w:val="aa"/>
        <w:rPr>
          <w:rtl/>
        </w:rPr>
      </w:pPr>
      <w:bookmarkStart w:id="179" w:name="_Toc228095635"/>
      <w:bookmarkStart w:id="180" w:name="_Toc231638073"/>
      <w:r>
        <w:rPr>
          <w:rtl/>
        </w:rPr>
        <w:t>[תיקוני זוהר - דף לח ע''ב]</w:t>
      </w:r>
      <w:bookmarkEnd w:id="179"/>
      <w:bookmarkEnd w:id="180"/>
    </w:p>
    <w:p w:rsidR="00606298" w:rsidRDefault="00606298" w:rsidP="00B17EA9">
      <w:pPr>
        <w:pStyle w:val="NormalWeb"/>
        <w:rPr>
          <w:rtl/>
        </w:rPr>
      </w:pPr>
      <w:r>
        <w:rPr>
          <w:rStyle w:val="a7"/>
          <w:rtl/>
        </w:rPr>
        <w:footnoteReference w:id="2240"/>
      </w:r>
      <w:r>
        <w:rPr>
          <w:rtl/>
        </w:rPr>
        <w:t xml:space="preserve">וְתָא חֲזִי, שְׁכִינְתָּא תַּתָּאָה כַּד אִיהִי אִתְשַׁקְיָא מִן נְקוּדִין, אִתְקְרֵי חִרֵ''ק חֹלֵ''ם שׁוּרֵ''ק, </w:t>
      </w:r>
      <w:r>
        <w:rPr>
          <w:rStyle w:val="a7"/>
          <w:rtl/>
        </w:rPr>
        <w:footnoteReference w:id="2241"/>
      </w:r>
      <w:r>
        <w:rPr>
          <w:rtl/>
        </w:rPr>
        <w:t xml:space="preserve">לְמָאן לְהַהוּא צִנּוֹר דְּאִיהוּ ו', דִּכְלִיל שִׁית צִנּוֹרִין, </w:t>
      </w:r>
      <w:r>
        <w:rPr>
          <w:rStyle w:val="a7"/>
          <w:rtl/>
        </w:rPr>
        <w:footnoteReference w:id="2242"/>
      </w:r>
      <w:r>
        <w:rPr>
          <w:rtl/>
        </w:rPr>
        <w:t xml:space="preserve">דְּכֻלְּהוֹן מִשִּׁית אַתְוָון, וְאִיהוּ אבגית''ץ וכו', שִׁית צִנּוֹרִין אִינוּן דְּתַלְיָין מִנֵּיהּ, וְכָל חַד כְּלִיל שִׁית אָחֳרָנִין, וְכֻלְּהוּ סָלְקִין לְמ''ב, </w:t>
      </w:r>
      <w:r>
        <w:rPr>
          <w:sz w:val="20"/>
          <w:szCs w:val="23"/>
          <w:rtl/>
        </w:rPr>
        <w:t xml:space="preserve">(דף לח ע''ב) </w:t>
      </w:r>
      <w:r>
        <w:rPr>
          <w:rStyle w:val="a7"/>
          <w:rtl/>
        </w:rPr>
        <w:footnoteReference w:id="2243"/>
      </w:r>
      <w:r>
        <w:rPr>
          <w:rtl/>
        </w:rPr>
        <w:t>אִתְקְרִיאַת חִרֵ''ק חֹלֵ''ם שׁוּרֻ''ק דְּהַהוּא צִנּוֹר, כְּגַוְונָא דָא וִֹּ.</w:t>
      </w:r>
    </w:p>
    <w:p w:rsidR="00606298" w:rsidRDefault="00606298" w:rsidP="00B17EA9">
      <w:pPr>
        <w:pStyle w:val="NormalWeb"/>
        <w:rPr>
          <w:rtl/>
        </w:rPr>
      </w:pPr>
      <w:r>
        <w:rPr>
          <w:rtl/>
        </w:rPr>
        <w:t xml:space="preserve">וְהָכִי אִתְקְרִיאַת לְגַבֵּי יִֹּ, וְהָכִי לְגַבֵּי הִֹּ, </w:t>
      </w:r>
      <w:r>
        <w:rPr>
          <w:rStyle w:val="a7"/>
          <w:rtl/>
        </w:rPr>
        <w:footnoteReference w:id="2244"/>
      </w:r>
      <w:r>
        <w:rPr>
          <w:rtl/>
        </w:rPr>
        <w:t xml:space="preserve">וְרָזָא דְמִלָּה אֲנִי רִאשׁוֹן וַאֲנִי אַחֲרוֹן וכו', וּלְזִמְנִין אִיהִי עֲטָרָה עַל רֵישָׁא דְאָת </w:t>
      </w:r>
      <w:r>
        <w:rPr>
          <w:rStyle w:val="a7"/>
          <w:rtl/>
        </w:rPr>
        <w:footnoteReference w:id="2245"/>
      </w:r>
      <w:r>
        <w:rPr>
          <w:rtl/>
        </w:rPr>
        <w:t xml:space="preserve">ו', כְּגַוְונָא דָא [ציור] וְרָזָא דְמִלָּה </w:t>
      </w:r>
      <w:r>
        <w:rPr>
          <w:rStyle w:val="a7"/>
          <w:rtl/>
        </w:rPr>
        <w:footnoteReference w:id="2246"/>
      </w:r>
      <w:r>
        <w:rPr>
          <w:rtl/>
        </w:rPr>
        <w:t xml:space="preserve">נוֹטֶה שָׁמַיִם כַּיְרִיעָה, וְדָא רָזָא דְרֵישָׁא דְאָת א, וּלְזִמְנִין נָחִית תְּחוֹתוֹי כְּגַוְונָא דָא [ציור] קָמֵ''ץ, </w:t>
      </w:r>
      <w:r>
        <w:rPr>
          <w:rStyle w:val="a7"/>
          <w:rtl/>
        </w:rPr>
        <w:footnoteReference w:id="2247"/>
      </w:r>
      <w:r>
        <w:rPr>
          <w:rtl/>
        </w:rPr>
        <w:t xml:space="preserve">כַּד סָלְקָא עַל רֵישָׁא אִתְקְרִיאַת תַּגָּא </w:t>
      </w:r>
      <w:r>
        <w:rPr>
          <w:rStyle w:val="a7"/>
          <w:rtl/>
        </w:rPr>
        <w:footnoteReference w:id="2248"/>
      </w:r>
      <w:r>
        <w:rPr>
          <w:rtl/>
        </w:rPr>
        <w:t xml:space="preserve">זַרְקָ''א, </w:t>
      </w:r>
      <w:r w:rsidR="00FB1D80">
        <w:rPr>
          <w:rStyle w:val="a7"/>
          <w:rtl/>
        </w:rPr>
        <w:footnoteReference w:id="2249"/>
      </w:r>
      <w:r>
        <w:rPr>
          <w:rtl/>
        </w:rPr>
        <w:t xml:space="preserve">בְּהַהוּא זִמְנָא אִתְּמַר בָּהּ </w:t>
      </w:r>
      <w:r>
        <w:rPr>
          <w:sz w:val="20"/>
          <w:szCs w:val="23"/>
          <w:rtl/>
        </w:rPr>
        <w:t>(משלי יב ד)</w:t>
      </w:r>
      <w:r>
        <w:rPr>
          <w:rtl/>
        </w:rPr>
        <w:t xml:space="preserve"> אֵשֶׁת חַיִל עֲטֶרֶת בַּעְלָהּ, וְאִתְקְרִיאַת חֹלֵ''ם, וְאִיהִי לֶחֶ''ם, דְּהָכִי אִיהוּ חֹלֵ''ם בְּהִפּוּךְ אַתְוָון לֶחֶ''ם, </w:t>
      </w:r>
      <w:r>
        <w:rPr>
          <w:rStyle w:val="a7"/>
          <w:rtl/>
        </w:rPr>
        <w:footnoteReference w:id="2250"/>
      </w:r>
      <w:r>
        <w:rPr>
          <w:rtl/>
        </w:rPr>
        <w:t xml:space="preserve">הֲדָא הוּא דִכְתִיב לֶחֶם אַבִּירִים אָכַל אִישׁ </w:t>
      </w:r>
      <w:r>
        <w:rPr>
          <w:sz w:val="20"/>
          <w:szCs w:val="23"/>
          <w:rtl/>
        </w:rPr>
        <w:t>(תהלים עח כה</w:t>
      </w:r>
      <w:r w:rsidRPr="00FB1D80">
        <w:rPr>
          <w:rtl/>
        </w:rPr>
        <w:t>), דְּאִתְּמַר בֵּיהּ</w:t>
      </w:r>
      <w:r>
        <w:rPr>
          <w:szCs w:val="23"/>
          <w:rtl/>
        </w:rPr>
        <w:t xml:space="preserve"> </w:t>
      </w:r>
      <w:r>
        <w:rPr>
          <w:sz w:val="20"/>
          <w:szCs w:val="23"/>
          <w:rtl/>
        </w:rPr>
        <w:t>(שמות טו ג)</w:t>
      </w:r>
      <w:r>
        <w:rPr>
          <w:rtl/>
        </w:rPr>
        <w:t xml:space="preserve"> יהו''ה אִישׁ מִלְחָמָה, וְכַד נָחְתַת תְּחוֹתֵיהּ אִתְקְרִיאַת חִירֵ''ק, מִסִּטְרָא דְחָכְמָה אִתְקְרִיאַת חֹלֵ''ם, וּמִסִּטְרָא דְעַמּוּדָא דְאֶמְצָעִיתָא אִתְקְרֵי שׁוּרֻ''ק, כְּמָה דְאַתְּ אָמַר </w:t>
      </w:r>
      <w:r>
        <w:rPr>
          <w:sz w:val="20"/>
          <w:szCs w:val="23"/>
          <w:rtl/>
        </w:rPr>
        <w:t>(ירמיהו ג כא)</w:t>
      </w:r>
      <w:r>
        <w:rPr>
          <w:rtl/>
        </w:rPr>
        <w:t xml:space="preserve"> וְאָנֹכִי נְטַעְתִּיךְ שׂוֹרֵ''ק כֻּלֹּה זֶרַע אֱמֶת, הַהוּא דְאִתְּמַר בֵּיהּ </w:t>
      </w:r>
      <w:r>
        <w:rPr>
          <w:sz w:val="20"/>
          <w:szCs w:val="23"/>
          <w:rtl/>
        </w:rPr>
        <w:t>(מיכה ז כ)</w:t>
      </w:r>
      <w:r>
        <w:rPr>
          <w:rtl/>
        </w:rPr>
        <w:t xml:space="preserve"> תִּתֵּן אֱמֶת לְיַעֲקֹב, </w:t>
      </w:r>
      <w:r>
        <w:rPr>
          <w:rStyle w:val="a7"/>
          <w:rtl/>
        </w:rPr>
        <w:footnoteReference w:id="2251"/>
      </w:r>
      <w:r>
        <w:rPr>
          <w:rtl/>
        </w:rPr>
        <w:t xml:space="preserve">מִסִּטְרָא דִילַהּ אִתְקְרִיאַת חִרֵ''ק, וּבְהִפּוּךְ אַתְוָון </w:t>
      </w:r>
      <w:r>
        <w:rPr>
          <w:rStyle w:val="a7"/>
          <w:rtl/>
        </w:rPr>
        <w:footnoteReference w:id="2252"/>
      </w:r>
      <w:r>
        <w:rPr>
          <w:rtl/>
        </w:rPr>
        <w:t xml:space="preserve">חֵקֶ''ר, וּבְגִינָהּ אִתְּמַר </w:t>
      </w:r>
      <w:r>
        <w:rPr>
          <w:sz w:val="20"/>
          <w:szCs w:val="23"/>
          <w:rtl/>
        </w:rPr>
        <w:t>(איוב יא ז)</w:t>
      </w:r>
      <w:r>
        <w:rPr>
          <w:rtl/>
        </w:rPr>
        <w:t xml:space="preserve"> הַחֵקֶר אֱלוֹהַּ תִּמְצָא, </w:t>
      </w:r>
      <w:r>
        <w:rPr>
          <w:rStyle w:val="a7"/>
          <w:rtl/>
        </w:rPr>
        <w:footnoteReference w:id="2253"/>
      </w:r>
      <w:r>
        <w:rPr>
          <w:rtl/>
        </w:rPr>
        <w:t xml:space="preserve">וְאִיהִי </w:t>
      </w:r>
      <w:r>
        <w:rPr>
          <w:rStyle w:val="a7"/>
          <w:rtl/>
        </w:rPr>
        <w:footnoteReference w:id="2254"/>
      </w:r>
      <w:r>
        <w:rPr>
          <w:rtl/>
        </w:rPr>
        <w:t>קֶרַח הַנּוֹרָא, דְאִיהוּ שְׁמָא תְּלִיתָאָה דִצְלוֹתָא, דְּאִתְּמַר בֵּיהּ הָאֵ''ל הַגָּדוֹל הַגִּבּוֹר וְהַנּוֹרָא, הַנּוֹרָא.</w:t>
      </w:r>
    </w:p>
    <w:p w:rsidR="00606298" w:rsidRDefault="00606298" w:rsidP="00B17EA9">
      <w:pPr>
        <w:pStyle w:val="NormalWeb"/>
        <w:rPr>
          <w:rtl/>
        </w:rPr>
      </w:pPr>
      <w:r>
        <w:rPr>
          <w:rtl/>
        </w:rPr>
        <w:t>[א"ה. הבאתי כאן את הנוסחא הישנה לצורך הבנת הגהת הגאון]</w:t>
      </w:r>
    </w:p>
    <w:p w:rsidR="00606298" w:rsidRDefault="00606298" w:rsidP="00FB1D80">
      <w:pPr>
        <w:pStyle w:val="NormalWeb"/>
        <w:rPr>
          <w:rtl/>
        </w:rPr>
      </w:pPr>
      <w:r>
        <w:rPr>
          <w:rtl/>
        </w:rPr>
        <w:t xml:space="preserve">וְשׁוּרֻ''ק אִיהוּ טָמִיר וְגָנִיז, מִסִּטְרָא דְצַדִּיק דְּאִיהוּ בְרִית, אוֹר גָּנוּז. דְּאִיהוּ רָ''ז כְּחוּשְׁבַּן אוֹר, כְּמָה דְאוּקְמוּהוּ מָארֵי מַתְנִיתִין, אוֹר זָרוּעַ לַצַּדִּיק, וְדָא הוּא אוֹר הַגָּנוּז לְצַדִּיקַיָּא, דְּחָמֵשׁ אוֹר דִּלְעִילָא מִנֵּיהּ כֻּלְּהוֹן אִינוּן בְּאִתְגַּלְיָיא, </w:t>
      </w:r>
      <w:r w:rsidR="00FB1D80">
        <w:rPr>
          <w:rStyle w:val="a7"/>
          <w:rtl/>
        </w:rPr>
        <w:footnoteReference w:id="2255"/>
      </w:r>
      <w:r>
        <w:rPr>
          <w:rtl/>
        </w:rPr>
        <w:t>וּמַאי נִיהוּ, תְּלַת אוֹר</w:t>
      </w:r>
      <w:r w:rsidR="00FB1D80">
        <w:rPr>
          <w:rFonts w:hint="cs"/>
          <w:rtl/>
        </w:rPr>
        <w:t>,</w:t>
      </w:r>
      <w:r>
        <w:rPr>
          <w:rtl/>
        </w:rPr>
        <w:t xml:space="preserve"> סֶגוֹ''ל, וּתְרֵין אוֹר</w:t>
      </w:r>
      <w:r w:rsidR="00FB1D80">
        <w:rPr>
          <w:rFonts w:hint="cs"/>
          <w:rtl/>
        </w:rPr>
        <w:t>,</w:t>
      </w:r>
      <w:r>
        <w:rPr>
          <w:rtl/>
        </w:rPr>
        <w:t xml:space="preserve"> שְׁבָ''א</w:t>
      </w:r>
      <w:r w:rsidR="00FB1D80">
        <w:rPr>
          <w:rFonts w:hint="cs"/>
          <w:rtl/>
        </w:rPr>
        <w:t>.</w:t>
      </w:r>
      <w:r>
        <w:rPr>
          <w:rtl/>
        </w:rPr>
        <w:t xml:space="preserve"> </w:t>
      </w:r>
      <w:r>
        <w:rPr>
          <w:rStyle w:val="a7"/>
          <w:rtl/>
        </w:rPr>
        <w:footnoteReference w:id="2256"/>
      </w:r>
      <w:r>
        <w:rPr>
          <w:rtl/>
        </w:rPr>
        <w:t>כַּד סָלְקָא עַל גַּדְפַיְיהוּ דִתְרֵין נְקוּדִין דְּאִינוּן שְׁבָ''א, אִתְעֲבִידַת שׁוּרֵ''ק, וְרָזָא דְמִלָּה (שיר ב ה) סַמְּכוּנִי בָאֲשִׁישׁוֹת, וְכַד נָחְתַת אִיהִי תְּחוֹת צֵרִ''י אִתְעֲבִידַת סֶגוֹ''ל וַעֲלַיְהוּ אִתְּמַר רַפְּדוּנִי בַּתַּפּוּחִים, וּמַאי נִיהוּ אִלֵּין אֲשִׁישׁוֹת, אִינוּן תְּרֵי אֵשׁוֹת, דְּאִינוּן אִישׁ וְאִשָּׁה, אֶשָּׁא חִוְורָא, וְאֶשָּׁא סוּמְקָא, דְתַמָּן אָב וָאֵם, דְּאִינוּן י''ה, וְאִינוּן אַנְפֵּי דִינָא וְאַנְפּוֹי דְרַחֲמֵי.</w:t>
      </w:r>
    </w:p>
    <w:p w:rsidR="00606298" w:rsidRDefault="00606298" w:rsidP="00B17EA9">
      <w:pPr>
        <w:pStyle w:val="NormalWeb"/>
        <w:rPr>
          <w:rtl/>
        </w:rPr>
      </w:pPr>
      <w:r>
        <w:rPr>
          <w:rtl/>
        </w:rPr>
        <w:t>אַמָּאי בָּעָאת לְאִסְתַּמְכָא תַמָּן, בְּגִין דְּאִינוּן תְּרֵין גַּוְונִין דְּשׁוֹשַׁנָּה, חִוָּור וְסוּמַק, רַחֲמֵי וְדִינָא, דְּאִינוּן חֶסֶד וּגְבוּרָה, וְתַמָּן רֵיחָא דְשׁוֹשַׁנָּה, וְדָא אִיהוּ עַמּוּדָא דְאֶמְצָעִיתָא, וּבְגִין דְּאָרְחַת בֵּיהּ, אָמְרַת סַמְּכוּנִי בָּאֲשִׁישׁוֹת, וּבֵיהּ אִתְעֲבִידַת סֶגוֹ''ל, כַּד נָחְתָא רַפְּדוּנִי בַּתַּפּוּחִים, אִלֵּין אִינוּן תְּרֵי סַמְכֵי קְשׁוֹט, דְּאִינוּן חִוָּור וְסוּמַק, וּבְגִין דְּאָרְחַת בְּאָת ו' דְּאִיהִי בִּבְרִית, אָמְרַת רַפְּדוּנִי בַּתַּפּוּחִים.</w:t>
      </w:r>
    </w:p>
    <w:p w:rsidR="00606298" w:rsidRDefault="00606298" w:rsidP="00B17EA9">
      <w:pPr>
        <w:pStyle w:val="NormalWeb"/>
        <w:rPr>
          <w:rtl/>
        </w:rPr>
      </w:pPr>
      <w:r>
        <w:rPr>
          <w:rtl/>
        </w:rPr>
        <w:t>וְכַד אִתְחַבְּרַת בֵּיהּ אִתְעֲבִידַת סֶגוֹ''ל, מַה דַּהֲווֹ צֵרִ''י אִתְעֲבִיד צִיֵּיר, הֲדָא הוּא דִכְתִיב (בראשית ב ז) וַיִּיצֶר יהו''ה אלהי''ם אֶת הָאָדָם עָפָר מִן הָאֲדָמָה וְגוֹמֵר, וַיַּצְמַח יהו''ה אלהי''ם מִן הָאֲדָמָה כָּל עִץ נֶחְמָד לְמַרְאֶה וְגוֹמֵר, דָּא צַדִּיק אִיהוּ עִץ פְּרִי עוֹשֶׂה פְּרִי לְמִינוֹ, וּבְהַאי אֲתַר אִיהוּ רְחִימוּ דִילָהּ בְּחִבּוּרָא וְיִחוּדָא דְבַעְלָהּ, וּבְגִין דָּא אָמְרַת (שיר ב ה) כִּי חוֹלַת אַהֲבָה אָנִי.</w:t>
      </w:r>
    </w:p>
    <w:p w:rsidR="00606298" w:rsidRDefault="00606298" w:rsidP="00B17EA9">
      <w:pPr>
        <w:pStyle w:val="NormalWeb"/>
        <w:rPr>
          <w:rtl/>
        </w:rPr>
      </w:pPr>
      <w:r>
        <w:rPr>
          <w:rtl/>
        </w:rPr>
        <w:t>וְכַד יִשְׂרָאֵל חָאבִין בִּבְרִית מִילָה, אִתְפַּסִּיק נְבִיעוּ דִנְקוּדִין מֵאַתְוָון, דִּכְלִילָן בִּשְׁכִינְתָּא תַּתָּאָה, וְאִשְׁתְּאָרַת יַבָּשָׁה, בְּהַהוּא זִמְנָא מַה כְּתִיב בְּשׁוּרֻ''ק חִירֵ''ק, שָׁרְקוּ וַיַּחַרְקוּ שֵׁן אָמְרוּ בִּלָּעְנוּ (איכה ב טז), קָמֵץ פַּתָּ''ח דָּא סָגִיר וְדָא פָּתַח, אִלֵּין תְּרֵין אִינוּן דְּסָגְרִין וּפָתְחִין מַבּוּעִין דְּאִינוּן נְקוּדִין, לְגַבֵּי אַתְוָון, וְאָת ו' כַּד אִיהוּ נָטוּי עַל רֵישֵׁי אַתְוַון עִלָּאִין אִתְקְרֵי רָפֵ''ה, וְכַד אִיהוּ בִּמְצִיעוּ דְאַתְוָון אִתְקְרֵי דָגֵ''שׁ, אַתְוָון אִלֵּין אִינוּן חֵיוָון, דְּאִתְּמַר בְּהוֹן (יחזקאל א יד) וְהַחַיּוֹת רָצוֹא וָשׁוֹב, רָצוֹא בְדָגֵ''שׁ וָשׁוֹב בְּרָפֵ''ה.</w:t>
      </w:r>
    </w:p>
    <w:p w:rsidR="00606298" w:rsidRDefault="00606298" w:rsidP="00B17EA9">
      <w:pPr>
        <w:pStyle w:val="NormalWeb"/>
        <w:rPr>
          <w:rtl/>
        </w:rPr>
      </w:pPr>
      <w:r>
        <w:rPr>
          <w:rtl/>
        </w:rPr>
        <w:t>כִּתְרִין דְּאַתְוָון דְּאִינוּן תַּלְיָין בְּמַחֲשָׁבָה, דְאִינוּן כְּגַוְונָא דְתַגִּין, נְקוּדִין תַּלְיָין בְּדִבּוּרָא, אַתְוָון תַּלְיָין בְּעוֹבָדָא, שֶׁבַע זַיְינִין אִינוּן כְּגַוְונָא דָא [ציור] [ציור] י''ו אִיהוּ ז', לָא צְרִיכִין תַּגִּין, דְּאִינוּן אַתְוָון אִתְקְרוּן תַּגִּין כְּגַוְונָא דָא יהו''ה.</w:t>
      </w:r>
    </w:p>
    <w:p w:rsidR="00606298" w:rsidRDefault="00606298" w:rsidP="00B17EA9">
      <w:pPr>
        <w:pStyle w:val="NormalWeb"/>
        <w:rPr>
          <w:rtl/>
        </w:rPr>
      </w:pPr>
      <w:r>
        <w:rPr>
          <w:rtl/>
        </w:rPr>
        <w:t xml:space="preserve">וְשׁוּרֻ''ק </w:t>
      </w:r>
      <w:r>
        <w:rPr>
          <w:rStyle w:val="a7"/>
          <w:rtl/>
        </w:rPr>
        <w:footnoteReference w:id="2257"/>
      </w:r>
      <w:r>
        <w:rPr>
          <w:rtl/>
        </w:rPr>
        <w:t xml:space="preserve">אִיהוּ טָמִיר וְגָנִיז, </w:t>
      </w:r>
      <w:r>
        <w:rPr>
          <w:rStyle w:val="a7"/>
          <w:rtl/>
        </w:rPr>
        <w:footnoteReference w:id="2258"/>
      </w:r>
      <w:r>
        <w:rPr>
          <w:rtl/>
        </w:rPr>
        <w:t xml:space="preserve">מִסִּטְרָא דְצַדִּיק </w:t>
      </w:r>
      <w:r>
        <w:rPr>
          <w:rStyle w:val="a7"/>
          <w:rtl/>
        </w:rPr>
        <w:footnoteReference w:id="2259"/>
      </w:r>
      <w:r>
        <w:rPr>
          <w:rtl/>
        </w:rPr>
        <w:t xml:space="preserve">דְּאִיהוּ בְרִית, אוֹר גָּנוּז. </w:t>
      </w:r>
      <w:r>
        <w:rPr>
          <w:rStyle w:val="a7"/>
          <w:rtl/>
        </w:rPr>
        <w:footnoteReference w:id="2260"/>
      </w:r>
      <w:r>
        <w:rPr>
          <w:rtl/>
        </w:rPr>
        <w:t>דְּאִיהוּ רָ''ז כְּחוּשְׁבַּן אוֹר, כְּמָה דְאוּקְמוּהוּ מָארֵי מַתְנִיתִין, אוֹר זָרוּעַ לַצַּדִּיק, וְדָא הוּא אוֹר הַגָּנוּז לְצַדִּיקַיָּא, דְּחָמֵשׁ אוֹר דִּלְעִילָא מִנֵּיהּ כֻּלְּהוֹן אִינוּן בְּאִתְגַּלְיָיא.</w:t>
      </w:r>
    </w:p>
    <w:p w:rsidR="00606298" w:rsidRDefault="00606298" w:rsidP="00B17EA9">
      <w:pPr>
        <w:pStyle w:val="NormalWeb"/>
        <w:rPr>
          <w:sz w:val="20"/>
          <w:szCs w:val="23"/>
          <w:rtl/>
        </w:rPr>
      </w:pPr>
      <w:r>
        <w:rPr>
          <w:rtl/>
        </w:rPr>
        <w:t xml:space="preserve">וּמַאי נִיהוּ, </w:t>
      </w:r>
      <w:r>
        <w:rPr>
          <w:rStyle w:val="a7"/>
          <w:rtl/>
        </w:rPr>
        <w:footnoteReference w:id="2261"/>
      </w:r>
      <w:r>
        <w:rPr>
          <w:rtl/>
        </w:rPr>
        <w:t xml:space="preserve">תְּלַת אוֹר סֶגוֹ''ל, וּתְרֵין אוֹר שְׁבָ''א, וְרָזָא דְמִלָּה </w:t>
      </w:r>
      <w:r>
        <w:rPr>
          <w:sz w:val="20"/>
          <w:szCs w:val="23"/>
          <w:rtl/>
        </w:rPr>
        <w:t>(שיר ב ה)</w:t>
      </w:r>
      <w:r>
        <w:rPr>
          <w:rtl/>
        </w:rPr>
        <w:t xml:space="preserve"> סַמְּכוּנִי </w:t>
      </w:r>
      <w:r>
        <w:rPr>
          <w:rStyle w:val="a7"/>
          <w:rtl/>
        </w:rPr>
        <w:footnoteReference w:id="2262"/>
      </w:r>
      <w:r>
        <w:rPr>
          <w:rtl/>
        </w:rPr>
        <w:t xml:space="preserve">בָאֲשִׁישׁוֹת רַפְּדוּנִי בַּתַּפּוּחִים, וּמַאי נִיהוּ אִלֵּין אֲשִׁישׁוֹת, אִינוּן תְּרֵי אֵשׁוֹת, דְּאִינוּן אִישׁ וְאִשָּׁה, אֶשָּׁא חִוְורָא, וְאֶשָּׁא סוּמְקָא, דְתַמָּן אָב וָאֵם, דְּאִינוּן י''ה, וְאִלֵּין אִינוּן תְּרֵי סַמְכֵי קְשׁוֹט, דְּאִינוּן חִוָּור וְסוּמַק. אַמָּאי בָּעָאת לְאִסְתַּמְכָא תַמָּן, בְּגִין דְּאִינוּן תְּרֵין גַּוְונִין דְּשׁוֹשַׁנָּה, חִוָּור וְסוּמַק, רַחֲמֵי וְדִינָא, דְּאִינוּן חֶסֶד וּגְבוּרָה, וְתַמָּן רֵיחָא דְשׁוֹשַׁנָּה, וּבְגִין דְּאָרְחַת בְּאָת ו' דְאִיהוּ בְּעַמּוּדָא דְאֶמְצָעִיתָא, אָמְרַת רַפְּדוּנִי בַּתַּפּוּחִים. וּבְגִין דְּאָרְחַת בְּאָת בְּרִית, וּבְהַאי אֲתַר אִיהוּ רְחִימוּ דִילָהּ בְּחִבּוּרָא וְיִחוּדָא דְבַעְלָהּ, אָמְרַת </w:t>
      </w:r>
      <w:r>
        <w:rPr>
          <w:sz w:val="20"/>
          <w:szCs w:val="23"/>
          <w:rtl/>
        </w:rPr>
        <w:t>(שיר ב ה)</w:t>
      </w:r>
      <w:r>
        <w:rPr>
          <w:rtl/>
        </w:rPr>
        <w:t xml:space="preserve"> כִּי חוֹלַת אַהֲבָה אָנִי, וְכַד יִשְׂרָאֵל חָאבִין בִּבְרִית מִילָה, אִתְפַּסִּיק נְבִיעוּ דִנְקוּדִין מֵאַתְוָון, דִּכְלִילָן בִּשְׁכִינְתָּא תַּתָּאָה, וְאִשְׁתְּאָרַת יְבֵשָׁה, בְּהַהוּא זִמְנָא </w:t>
      </w:r>
      <w:r>
        <w:rPr>
          <w:rStyle w:val="a7"/>
          <w:rtl/>
        </w:rPr>
        <w:footnoteReference w:id="2263"/>
      </w:r>
      <w:r>
        <w:rPr>
          <w:rtl/>
        </w:rPr>
        <w:t xml:space="preserve">מַה כְּתִיב בְּשׁוּרֻ''ק חִירֵ''ק, שָׁרְקוּ וַיַּחַרְקוּ </w:t>
      </w:r>
      <w:r>
        <w:rPr>
          <w:rStyle w:val="a7"/>
          <w:rtl/>
        </w:rPr>
        <w:footnoteReference w:id="2264"/>
      </w:r>
      <w:r>
        <w:rPr>
          <w:rtl/>
        </w:rPr>
        <w:t xml:space="preserve">שֵׁן אָמְרוּ בִּלָּעְנוּ </w:t>
      </w:r>
      <w:r>
        <w:rPr>
          <w:sz w:val="20"/>
          <w:szCs w:val="23"/>
          <w:rtl/>
        </w:rPr>
        <w:t>(איכה ב טז).</w:t>
      </w:r>
    </w:p>
    <w:p w:rsidR="00606298" w:rsidRDefault="00606298" w:rsidP="00B17EA9">
      <w:pPr>
        <w:pStyle w:val="NormalWeb"/>
        <w:rPr>
          <w:rtl/>
        </w:rPr>
      </w:pPr>
      <w:r>
        <w:rPr>
          <w:rtl/>
        </w:rPr>
        <w:t xml:space="preserve">צֵרִ''י דְּאִתְעֲבִידַת צַיָיר, הֲדָא הוּא דִכְתִיב </w:t>
      </w:r>
      <w:r>
        <w:rPr>
          <w:sz w:val="20"/>
          <w:szCs w:val="23"/>
          <w:rtl/>
        </w:rPr>
        <w:t>(בראשית ב ז)</w:t>
      </w:r>
      <w:r>
        <w:rPr>
          <w:rtl/>
        </w:rPr>
        <w:t xml:space="preserve"> וַיִּיצֶר יהו''ה אלהי''ם אֶת הָאָדָם עָפָר מִן הָאֲדָמָה וְגוֹמֵר, וַיַּצְמַח יהו''ה אלהי''ם מִן הָאֲדָמָה כָּל עִץ נֶחְמָד לְמַרְאֶה וְגוֹמֵר, דָּא צַדִּיק אִיהוּ עִץ פְּרִי עוֹשֶׂה פְּרִי לְמִינוֹ. </w:t>
      </w:r>
    </w:p>
    <w:p w:rsidR="00606298" w:rsidRDefault="00606298" w:rsidP="00B17EA9">
      <w:pPr>
        <w:pStyle w:val="NormalWeb"/>
        <w:rPr>
          <w:rtl/>
        </w:rPr>
      </w:pPr>
      <w:r>
        <w:rPr>
          <w:rStyle w:val="a7"/>
          <w:rtl/>
        </w:rPr>
        <w:footnoteReference w:id="2265"/>
      </w:r>
      <w:r>
        <w:rPr>
          <w:rtl/>
        </w:rPr>
        <w:t xml:space="preserve">כַּד סָלְקָא עַל גַּדְפַיְיהוּ דִתְרֵין נְקוּדִין דְּאִינוּן שְׁבָ''א, אִתְעֲבִידַת שׁוּרֵ''ק, וְכַד נָחְתַת אִיהִי תְּחוֹת צֵרִ''י אִתְעֲבִידַת סֶגוֹ''ל. </w:t>
      </w:r>
      <w:r>
        <w:rPr>
          <w:rStyle w:val="a7"/>
          <w:rtl/>
        </w:rPr>
        <w:footnoteReference w:id="2266"/>
      </w:r>
      <w:r>
        <w:rPr>
          <w:rtl/>
        </w:rPr>
        <w:t xml:space="preserve">קָמֵץ פַּתָּ''ח דָּא סָגִיר וְדָא פָּתַח, אִלֵּין תְּרֵין אִינוּן דְּסָגְרִין וּפָתְחִין מַבּוּעִין דְּאִינוּן נְקוּדִין, לְגַבֵּי אַתְוָון. </w:t>
      </w:r>
      <w:r>
        <w:rPr>
          <w:rStyle w:val="a7"/>
          <w:rtl/>
        </w:rPr>
        <w:footnoteReference w:id="2267"/>
      </w:r>
      <w:r>
        <w:rPr>
          <w:rtl/>
        </w:rPr>
        <w:t xml:space="preserve">דָגֵ''שׁ וְרָפֵ''ה, כַּד אִיהוּ נָטוּי עַל רֵישֵׁי אַתְוַון עִלָּאִין אִתְקְרֵי רָפֵ''ה, וְכַד אִיהוּ בִּמְצִיעוּ דְאַתְוָון אִתְקְרֵי דָגֵ''שׁ, אַתְוָון אִלֵּין אִינוּן חֵיוָון, דְּאִתְּמַר בְּהוֹן </w:t>
      </w:r>
      <w:r>
        <w:rPr>
          <w:sz w:val="20"/>
          <w:szCs w:val="23"/>
          <w:rtl/>
        </w:rPr>
        <w:t>(יחזקאל א יד)</w:t>
      </w:r>
      <w:r>
        <w:rPr>
          <w:rtl/>
        </w:rPr>
        <w:t xml:space="preserve"> וְהַחַיּוֹת רָצוֹא וָשׁוֹב, רָצוֹא בְּרָפֵ''ה </w:t>
      </w:r>
      <w:r>
        <w:rPr>
          <w:rStyle w:val="a7"/>
          <w:rtl/>
        </w:rPr>
        <w:footnoteReference w:id="2268"/>
      </w:r>
      <w:r>
        <w:rPr>
          <w:rtl/>
        </w:rPr>
        <w:t xml:space="preserve">וָשׁוֹב בְּדָגֵ''שׁ, וְאִינוּן תַּלְיָין בְּמַחֲשָׁבָה. כְּגַוְונָא דְתַגִּין </w:t>
      </w:r>
      <w:r>
        <w:rPr>
          <w:rStyle w:val="a7"/>
          <w:rtl/>
        </w:rPr>
        <w:footnoteReference w:id="2269"/>
      </w:r>
      <w:r>
        <w:rPr>
          <w:rtl/>
        </w:rPr>
        <w:t>שֶׁבַע זַיְינִין אִינוּן כְּגַוְונָא דָא ה' ה' י''ו, אִיהוּ ז' תַּגִּין, תַּלְיָין בְּמַחֲשָׁבָה.</w:t>
      </w:r>
    </w:p>
    <w:p w:rsidR="00606298" w:rsidRDefault="00606298" w:rsidP="00B17EA9">
      <w:pPr>
        <w:pStyle w:val="aa"/>
        <w:rPr>
          <w:rtl/>
        </w:rPr>
      </w:pPr>
      <w:bookmarkStart w:id="181" w:name="_Toc228095636"/>
      <w:bookmarkStart w:id="182" w:name="_Toc231638074"/>
      <w:r>
        <w:rPr>
          <w:rtl/>
        </w:rPr>
        <w:t xml:space="preserve"> [תיקוני זוהר - דף לט ע''א]</w:t>
      </w:r>
      <w:bookmarkEnd w:id="181"/>
      <w:bookmarkEnd w:id="182"/>
    </w:p>
    <w:p w:rsidR="00606298" w:rsidRDefault="00606298" w:rsidP="00B17EA9">
      <w:pPr>
        <w:pStyle w:val="NormalWeb"/>
        <w:rPr>
          <w:rtl/>
        </w:rPr>
      </w:pPr>
      <w:r>
        <w:rPr>
          <w:rStyle w:val="a7"/>
          <w:rtl/>
        </w:rPr>
        <w:footnoteReference w:id="2270"/>
      </w:r>
      <w:r>
        <w:rPr>
          <w:rtl/>
        </w:rPr>
        <w:t xml:space="preserve">תַּגִּין תַּלְיָין בְּמַחֲשָׁבָה דְלִבָּא וּמוֹחָא, נְקוּדִין </w:t>
      </w:r>
      <w:r>
        <w:rPr>
          <w:sz w:val="20"/>
          <w:szCs w:val="23"/>
          <w:rtl/>
        </w:rPr>
        <w:t xml:space="preserve">(דף לט ע''א) </w:t>
      </w:r>
      <w:r>
        <w:rPr>
          <w:rtl/>
        </w:rPr>
        <w:t xml:space="preserve">בְּדִבּוּרָא דְפוּמָא, אַתְוָון בְּעוֹבָדָא דְאֵבָרִין, </w:t>
      </w:r>
      <w:r>
        <w:rPr>
          <w:rStyle w:val="a7"/>
          <w:rtl/>
        </w:rPr>
        <w:footnoteReference w:id="2271"/>
      </w:r>
      <w:r>
        <w:rPr>
          <w:rtl/>
        </w:rPr>
        <w:t xml:space="preserve">וּמֵאִלֵין נְקוּדִין וְאַתְוָון, עָבִיד הַהוּא סָתִים וְגָנִיז כָּרְסַיָּיא טְמִירָא עִלָּאָה, </w:t>
      </w:r>
      <w:r>
        <w:rPr>
          <w:rStyle w:val="a7"/>
          <w:rtl/>
        </w:rPr>
        <w:footnoteReference w:id="2272"/>
      </w:r>
      <w:r>
        <w:rPr>
          <w:rtl/>
        </w:rPr>
        <w:t xml:space="preserve">וַעֲלֵיהּ אִתְּמַר </w:t>
      </w:r>
      <w:r>
        <w:rPr>
          <w:sz w:val="20"/>
          <w:szCs w:val="23"/>
          <w:rtl/>
        </w:rPr>
        <w:t>(איכה ה יט)</w:t>
      </w:r>
      <w:r>
        <w:rPr>
          <w:rtl/>
        </w:rPr>
        <w:t xml:space="preserve"> אַתָּה יהו''ה לְעוֹלָם תֵּשֵׁב וכו', מַאי אַתָּה, הַהוּא דְאִתְּמַר בֵּיהּ </w:t>
      </w:r>
      <w:r>
        <w:rPr>
          <w:sz w:val="20"/>
          <w:szCs w:val="23"/>
          <w:rtl/>
        </w:rPr>
        <w:t>(ישעיהו כה א)</w:t>
      </w:r>
      <w:r>
        <w:rPr>
          <w:rtl/>
        </w:rPr>
        <w:t xml:space="preserve"> יהו''ה אלה''י אַתָּה אֲרוֹמִמְךָ, בְּהַהוּא דְאִתְּמַר בֵּיהּ </w:t>
      </w:r>
      <w:r>
        <w:rPr>
          <w:sz w:val="20"/>
          <w:szCs w:val="23"/>
          <w:rtl/>
        </w:rPr>
        <w:t>(חבקוק ג ו)</w:t>
      </w:r>
      <w:r>
        <w:rPr>
          <w:rtl/>
        </w:rPr>
        <w:t xml:space="preserve"> </w:t>
      </w:r>
      <w:r>
        <w:rPr>
          <w:rStyle w:val="a7"/>
          <w:rtl/>
        </w:rPr>
        <w:footnoteReference w:id="2273"/>
      </w:r>
      <w:r>
        <w:rPr>
          <w:rtl/>
        </w:rPr>
        <w:t xml:space="preserve">רוֹם יָדֵיהוּ נָשָׂא, </w:t>
      </w:r>
      <w:r>
        <w:rPr>
          <w:rStyle w:val="a7"/>
          <w:rtl/>
        </w:rPr>
        <w:footnoteReference w:id="2274"/>
      </w:r>
      <w:r>
        <w:rPr>
          <w:rtl/>
        </w:rPr>
        <w:t xml:space="preserve">וּבְגִינֵיהּ אִתְּמַר לְמִי נוֹשְׂאִין כַּפַּיִם לְרוּם הַשָּׁמַיִם, הֲדָא הוּא דִכְתִיב רוֹם יָדֵיהוּ נָשָׂא, וּמַאי נִיהוּ יו''ד ה''א וא''ו ה''א, דְאִיהוּ חָכְמָה כֹּ''חַ מָ''ה, וַעֲלֵיהּ אִתְּמַר </w:t>
      </w:r>
      <w:r>
        <w:rPr>
          <w:sz w:val="20"/>
          <w:szCs w:val="23"/>
          <w:rtl/>
        </w:rPr>
        <w:t>(תהלים קיא ו)</w:t>
      </w:r>
      <w:r>
        <w:rPr>
          <w:rtl/>
        </w:rPr>
        <w:t xml:space="preserve"> כֹּ''חַ מַ''עֲשָׂיו הִ''גִּיד לְעַמּוֹ, וְהַאי אִיהוּ כ''ח פִּרְקִין דִּיְדִין דְּמַלְכָּא עִלָּאָה, </w:t>
      </w:r>
      <w:r>
        <w:rPr>
          <w:rStyle w:val="a7"/>
          <w:rtl/>
        </w:rPr>
        <w:footnoteReference w:id="2275"/>
      </w:r>
      <w:r>
        <w:rPr>
          <w:rtl/>
        </w:rPr>
        <w:t xml:space="preserve">דְּאִינוּן כוז''ו במוכס''ז כוז''ו, כִּנּוּיִין דְּיִחוּדָא עִלָּאָה, </w:t>
      </w:r>
      <w:r>
        <w:rPr>
          <w:rStyle w:val="a7"/>
          <w:rtl/>
        </w:rPr>
        <w:footnoteReference w:id="2276"/>
      </w:r>
      <w:r>
        <w:rPr>
          <w:rtl/>
        </w:rPr>
        <w:t xml:space="preserve">דְאִיהוּ יהו''ה אלהינ''ו יהו''ה אֶחָד, </w:t>
      </w:r>
      <w:r>
        <w:rPr>
          <w:rStyle w:val="a7"/>
          <w:rtl/>
        </w:rPr>
        <w:footnoteReference w:id="2277"/>
      </w:r>
      <w:r>
        <w:rPr>
          <w:rtl/>
        </w:rPr>
        <w:t xml:space="preserve">וּבְגִין דְּאִסְתַּלַּק הַאי חֵילָא מִיִּשְׂרָאֵל, אִתְּמַר בְּהוֹן </w:t>
      </w:r>
      <w:r>
        <w:rPr>
          <w:sz w:val="20"/>
          <w:szCs w:val="23"/>
          <w:rtl/>
        </w:rPr>
        <w:t>(איכה א ו)</w:t>
      </w:r>
      <w:r>
        <w:rPr>
          <w:rtl/>
        </w:rPr>
        <w:t xml:space="preserve"> וַיֵּלְכוּ בְלֹא כֹחַ לִפְנֵי רוֹדֵף.</w:t>
      </w:r>
    </w:p>
    <w:p w:rsidR="00606298" w:rsidRDefault="00606298" w:rsidP="00B17EA9">
      <w:pPr>
        <w:pStyle w:val="NormalWeb"/>
        <w:rPr>
          <w:rtl/>
        </w:rPr>
      </w:pPr>
      <w:r>
        <w:rPr>
          <w:rStyle w:val="a7"/>
          <w:rtl/>
        </w:rPr>
        <w:footnoteReference w:id="2278"/>
      </w:r>
      <w:r>
        <w:rPr>
          <w:rtl/>
        </w:rPr>
        <w:t xml:space="preserve">יו''ד ה''א וא''ו ה''א, אִינוּן עֲשַׂר אֶצְבְּעָאן, </w:t>
      </w:r>
      <w:r>
        <w:rPr>
          <w:rStyle w:val="a7"/>
          <w:rtl/>
        </w:rPr>
        <w:footnoteReference w:id="2279"/>
      </w:r>
      <w:r>
        <w:rPr>
          <w:rtl/>
        </w:rPr>
        <w:t xml:space="preserve">דְּאִתְּמַר בְּהוֹן </w:t>
      </w:r>
      <w:r>
        <w:rPr>
          <w:sz w:val="20"/>
          <w:szCs w:val="23"/>
          <w:rtl/>
        </w:rPr>
        <w:t>(שיר ח יד)</w:t>
      </w:r>
      <w:r>
        <w:rPr>
          <w:rtl/>
        </w:rPr>
        <w:t xml:space="preserve"> יָדָיו גְּלִילֵי זָהָב, </w:t>
      </w:r>
      <w:r>
        <w:rPr>
          <w:rStyle w:val="a7"/>
          <w:rtl/>
        </w:rPr>
        <w:footnoteReference w:id="2280"/>
      </w:r>
      <w:r>
        <w:rPr>
          <w:rtl/>
        </w:rPr>
        <w:t xml:space="preserve">דִּבְהוֹן כ''ח פִּרְקִין, דְּאִינוּן כ''ח אַתְוָון דְּעוֹבָדָא דִבְּרֵאשִׁית, וּבְגִין דָּא יהו''ה אלה''י אַתָּה, </w:t>
      </w:r>
      <w:r>
        <w:rPr>
          <w:rStyle w:val="a7"/>
          <w:rtl/>
        </w:rPr>
        <w:footnoteReference w:id="2281"/>
      </w:r>
      <w:r>
        <w:rPr>
          <w:rtl/>
        </w:rPr>
        <w:t xml:space="preserve">וּמַאי כִּסְאֲךָ, הַהוּא דְאִתְּמַר בֵּיהּ </w:t>
      </w:r>
      <w:r>
        <w:rPr>
          <w:sz w:val="20"/>
          <w:szCs w:val="23"/>
          <w:rtl/>
        </w:rPr>
        <w:t>(תהלים צג ב)</w:t>
      </w:r>
      <w:r>
        <w:rPr>
          <w:rtl/>
        </w:rPr>
        <w:t xml:space="preserve"> נָכוֹן כִּסְאֲךָ מֵאָז מֵעוֹלָם אָתָּה, </w:t>
      </w:r>
      <w:r>
        <w:rPr>
          <w:rStyle w:val="a7"/>
          <w:rtl/>
        </w:rPr>
        <w:footnoteReference w:id="2282"/>
      </w:r>
      <w:r>
        <w:rPr>
          <w:rtl/>
        </w:rPr>
        <w:t xml:space="preserve">וּמַאי נָכוֹן, דָּא נֶאֱמָן יוֹשֵׁב וְנֶאֱמָן עוֹמֵד וְכ"ו בְּאֶמְצַע, הֲדָא הוּא דִכְתִיב </w:t>
      </w:r>
      <w:r>
        <w:rPr>
          <w:sz w:val="20"/>
          <w:szCs w:val="23"/>
          <w:rtl/>
        </w:rPr>
        <w:t>(ישעיה מד יג)</w:t>
      </w:r>
      <w:r>
        <w:rPr>
          <w:rtl/>
        </w:rPr>
        <w:t xml:space="preserve"> כְּתִפְאֶרֶת אָדָם לָשֶׁבֶת בָּיִת, </w:t>
      </w:r>
      <w:r>
        <w:rPr>
          <w:rStyle w:val="a7"/>
          <w:rtl/>
        </w:rPr>
        <w:footnoteReference w:id="2283"/>
      </w:r>
      <w:r>
        <w:rPr>
          <w:rtl/>
        </w:rPr>
        <w:t xml:space="preserve">וּמַאי מֵאָז, אֶלָּא הַהוּא דְאִתְּמַר בֵּיהּ </w:t>
      </w:r>
      <w:r>
        <w:rPr>
          <w:sz w:val="20"/>
          <w:szCs w:val="23"/>
          <w:rtl/>
        </w:rPr>
        <w:t>(שם נח ט)</w:t>
      </w:r>
      <w:r>
        <w:rPr>
          <w:rtl/>
        </w:rPr>
        <w:t xml:space="preserve"> אָז תִּקְרָא וַיהו''ה יַעֲנֶה, וּמַאי אָ''ז אִלֵּין תְמַנְיָא אַתְוָון דְּאִינוּן יאהדונה''י דְסָלְקִין </w:t>
      </w:r>
      <w:r>
        <w:rPr>
          <w:rStyle w:val="a7"/>
          <w:rtl/>
        </w:rPr>
        <w:footnoteReference w:id="2284"/>
      </w:r>
      <w:r>
        <w:rPr>
          <w:rtl/>
        </w:rPr>
        <w:t>לְחוּשְׁבַּן אָמֵ''ן.</w:t>
      </w:r>
    </w:p>
    <w:p w:rsidR="00606298" w:rsidRDefault="00606298" w:rsidP="00B17EA9">
      <w:pPr>
        <w:pStyle w:val="NormalWeb"/>
        <w:rPr>
          <w:rtl/>
        </w:rPr>
      </w:pPr>
      <w:r>
        <w:rPr>
          <w:rStyle w:val="a7"/>
          <w:rtl/>
        </w:rPr>
        <w:footnoteReference w:id="2285"/>
      </w:r>
      <w:r>
        <w:rPr>
          <w:rtl/>
        </w:rPr>
        <w:t xml:space="preserve">וְדָא אִיהוּ הָעוֹנֶה אָמֵן בְּכָל כֹּחוֹ, בְהַהוּא כ''ח, </w:t>
      </w:r>
      <w:r>
        <w:rPr>
          <w:rStyle w:val="a7"/>
          <w:rtl/>
        </w:rPr>
        <w:footnoteReference w:id="2286"/>
      </w:r>
      <w:r>
        <w:rPr>
          <w:rtl/>
        </w:rPr>
        <w:t xml:space="preserve">וּבְגִין דָּא אוּקְמוּהָ מָארֵי מַתְנִיתִין, הָעוֹנֶה אָמֵן בְּכָל כֹּחוֹ קוֹרְעִין לוֹ גְזַר דִּינוֹ שֶׁל שִׁבְעִים שָׁנָה, וּבְגִינֵיהּ אִתְּמַר </w:t>
      </w:r>
      <w:r>
        <w:rPr>
          <w:sz w:val="20"/>
          <w:szCs w:val="23"/>
          <w:rtl/>
        </w:rPr>
        <w:t>(תהלים צג ב)</w:t>
      </w:r>
      <w:r>
        <w:rPr>
          <w:rtl/>
        </w:rPr>
        <w:t xml:space="preserve"> נָכוֹן כִּסְאֲךָ מֵאָז מֵעוֹלָם אָתָּה, </w:t>
      </w:r>
      <w:r>
        <w:rPr>
          <w:rStyle w:val="a7"/>
          <w:rtl/>
        </w:rPr>
        <w:footnoteReference w:id="2287"/>
      </w:r>
      <w:r>
        <w:rPr>
          <w:rtl/>
        </w:rPr>
        <w:t xml:space="preserve">וְעוֹד </w:t>
      </w:r>
      <w:r>
        <w:rPr>
          <w:sz w:val="20"/>
          <w:szCs w:val="23"/>
          <w:rtl/>
        </w:rPr>
        <w:t>(איכה ה יט)</w:t>
      </w:r>
      <w:r>
        <w:rPr>
          <w:rtl/>
        </w:rPr>
        <w:t xml:space="preserve"> אַתָּה יהו''ה לְעוֹלָם תֵּשֵׁב, אַתָּה, הַהוּא דְאִתְּמַר בֵּיהּ אָבִינוּ מַלְכֵּנוּ אָבִינוּ אָתָּה, וּמַאי נִיהוּ אָבִינוּ אָב הָרַחֲמָן.</w:t>
      </w:r>
    </w:p>
    <w:p w:rsidR="00606298" w:rsidRDefault="00606298" w:rsidP="00B17EA9">
      <w:pPr>
        <w:pStyle w:val="NormalWeb"/>
        <w:rPr>
          <w:rtl/>
        </w:rPr>
      </w:pPr>
      <w:r>
        <w:rPr>
          <w:rStyle w:val="a7"/>
          <w:rtl/>
        </w:rPr>
        <w:footnoteReference w:id="2288"/>
      </w:r>
      <w:r>
        <w:rPr>
          <w:rtl/>
        </w:rPr>
        <w:t xml:space="preserve">וְאִיהוּ כְלִיל כָּל אַתְוָון דְּאוֹרַיְיתָא, וּמַאי נִיהוּ אוֹרַיְיתָא דְבִכְתָב עַמּוּדָא דְאֶמְצָעִיתָא, וַעֲלֵיהּ אִתְּמַר בָּרוּךְ אַתָּה, </w:t>
      </w:r>
      <w:r>
        <w:rPr>
          <w:rStyle w:val="a7"/>
          <w:rtl/>
        </w:rPr>
        <w:footnoteReference w:id="2289"/>
      </w:r>
      <w:r>
        <w:rPr>
          <w:rtl/>
        </w:rPr>
        <w:t xml:space="preserve">וְכַד יִשְׂרָאֵל קַיְימִין בַּעֲמִידָה דִצְלוֹתָא, אִיהוּ יְתִיב עַל כָּרְסַיָּיא, וּבְגִינֵיהּ אִתְּמַר בְּהַהוּא זִמְנָא אַתָּה יהו''ה לְעוֹלָם תֵּשֵׁב כִּסְאֲךָ לְדוֹר וָדוֹר, </w:t>
      </w:r>
      <w:r>
        <w:rPr>
          <w:rStyle w:val="a7"/>
          <w:rtl/>
        </w:rPr>
        <w:footnoteReference w:id="2290"/>
      </w:r>
      <w:r>
        <w:rPr>
          <w:rtl/>
        </w:rPr>
        <w:t xml:space="preserve">וּמַאי נִיהוּ לְדוֹר וָדוֹר, אֶלָּא הַהוּא דְאִתְּמַר בֵּיהּ </w:t>
      </w:r>
      <w:r>
        <w:rPr>
          <w:sz w:val="20"/>
          <w:szCs w:val="23"/>
          <w:rtl/>
        </w:rPr>
        <w:t>(קהלת א ד)</w:t>
      </w:r>
      <w:r>
        <w:rPr>
          <w:rtl/>
        </w:rPr>
        <w:t xml:space="preserve"> דּוֹר הוֹלֵךְ וְדוֹר בָּא וְהָאָרֶץ לְעוֹלָם עֹמָדֶת, וְלֵית דּוֹר פָּחוּת מִשִּׁשִּׁים רִבּוֹא, וּמַאי נִיהוּ, מֹשֶׁה דְשָׁקוּל לְשִׁתִּין רִבּוֹא מִיִשְׂרָאֵל, וְדַרְגָּא דִילֵיהּ אַסְפַּקְלַרְיָאָה דְנַהֲרָא.</w:t>
      </w:r>
    </w:p>
    <w:p w:rsidR="00606298" w:rsidRDefault="00606298" w:rsidP="00B17EA9">
      <w:pPr>
        <w:pStyle w:val="aa"/>
        <w:rPr>
          <w:rtl/>
        </w:rPr>
      </w:pPr>
      <w:bookmarkStart w:id="183" w:name="_Toc228095638"/>
      <w:bookmarkStart w:id="184" w:name="_Toc231638076"/>
      <w:r>
        <w:rPr>
          <w:rtl/>
        </w:rPr>
        <w:t>[תיקוני זוהר - דף לט ע''ב]</w:t>
      </w:r>
      <w:bookmarkEnd w:id="183"/>
      <w:bookmarkEnd w:id="184"/>
    </w:p>
    <w:p w:rsidR="00606298" w:rsidRDefault="00606298" w:rsidP="00B17EA9">
      <w:pPr>
        <w:pStyle w:val="NormalWeb"/>
        <w:rPr>
          <w:rtl/>
        </w:rPr>
      </w:pPr>
      <w:r>
        <w:rPr>
          <w:sz w:val="20"/>
          <w:szCs w:val="23"/>
          <w:rtl/>
        </w:rPr>
        <w:t xml:space="preserve"> (דף לט ע''ב) </w:t>
      </w:r>
      <w:r>
        <w:rPr>
          <w:rStyle w:val="a7"/>
          <w:rtl/>
        </w:rPr>
        <w:footnoteReference w:id="2291"/>
      </w:r>
      <w:r>
        <w:rPr>
          <w:rtl/>
        </w:rPr>
        <w:t xml:space="preserve">וְכ''ח אַתְוָון אִינוּן לְכָל עוֹבָדָא דִבְּרֵאשִׁית, וְכֻלְּהוֹן אִינוּן </w:t>
      </w:r>
      <w:r>
        <w:rPr>
          <w:rStyle w:val="a7"/>
          <w:rtl/>
        </w:rPr>
        <w:footnoteReference w:id="2292"/>
      </w:r>
      <w:r>
        <w:rPr>
          <w:rtl/>
        </w:rPr>
        <w:t xml:space="preserve">בֵּין לִכְתִיבָה בֵּין לְכָל מִלָּה דְיִתְעֲבִיד בַּיְדִין, דְּעוֹבָדָא דְכ''ח פִּרְקִין אִינוּן בַּעֲשַׂר אֶצְבְּעָאן, </w:t>
      </w:r>
      <w:r>
        <w:rPr>
          <w:rStyle w:val="a7"/>
          <w:rtl/>
        </w:rPr>
        <w:footnoteReference w:id="2293"/>
      </w:r>
      <w:r>
        <w:rPr>
          <w:rtl/>
        </w:rPr>
        <w:t xml:space="preserve">וְדָא אִיהוּ רָזָא מֵהַכֹּחַ אֶל הַפּוֹעִל, </w:t>
      </w:r>
      <w:r>
        <w:rPr>
          <w:rStyle w:val="a7"/>
          <w:rtl/>
        </w:rPr>
        <w:footnoteReference w:id="2294"/>
      </w:r>
      <w:r>
        <w:rPr>
          <w:rtl/>
        </w:rPr>
        <w:t xml:space="preserve">וְכֹלָּא בְחָכְמָה, וְרָזָא דְמִלָּה </w:t>
      </w:r>
      <w:r>
        <w:rPr>
          <w:sz w:val="20"/>
          <w:szCs w:val="23"/>
          <w:rtl/>
        </w:rPr>
        <w:t>(תהלים קד כד)</w:t>
      </w:r>
      <w:r>
        <w:rPr>
          <w:rtl/>
        </w:rPr>
        <w:t xml:space="preserve"> כֻּלָּם בְּחָכְמָה עָשִׂיתָ.</w:t>
      </w:r>
    </w:p>
    <w:p w:rsidR="00606298" w:rsidRDefault="00606298" w:rsidP="00B17EA9">
      <w:pPr>
        <w:pStyle w:val="NormalWeb"/>
        <w:rPr>
          <w:rtl/>
        </w:rPr>
      </w:pPr>
      <w:r>
        <w:rPr>
          <w:rtl/>
        </w:rPr>
        <w:t xml:space="preserve">אִית חָכְמָ''ה מִסִּטְרָא דְאַתְוָון, וְאִית חָכְמָה מִסִּטְרָא דִנְקוּדִין, </w:t>
      </w:r>
      <w:r>
        <w:rPr>
          <w:rStyle w:val="a7"/>
          <w:rtl/>
        </w:rPr>
        <w:footnoteReference w:id="2295"/>
      </w:r>
      <w:r>
        <w:rPr>
          <w:rtl/>
        </w:rPr>
        <w:t xml:space="preserve">וּבְהוֹן רָזָא דְדִבּוּרָא לִדְרָשָׁא וּלְכָל מִלָּה דְתַלְיָיא בִדְרָשָׁא, תַּגִּין אִינוּן לְמַחֲשָׁבָה, </w:t>
      </w:r>
      <w:r>
        <w:rPr>
          <w:rStyle w:val="a7"/>
          <w:rtl/>
        </w:rPr>
        <w:footnoteReference w:id="2296"/>
      </w:r>
      <w:r>
        <w:rPr>
          <w:rtl/>
        </w:rPr>
        <w:t xml:space="preserve">וְאִינוּן בְּרָזָא דְהַאי קְרָא </w:t>
      </w:r>
      <w:r>
        <w:rPr>
          <w:sz w:val="20"/>
          <w:szCs w:val="23"/>
          <w:rtl/>
        </w:rPr>
        <w:t>(שמות לא ד)</w:t>
      </w:r>
      <w:r>
        <w:rPr>
          <w:rtl/>
        </w:rPr>
        <w:t xml:space="preserve"> וְלַחֲשׁוֹב מַחֲשָׁבוֹת וכו', </w:t>
      </w:r>
      <w:r>
        <w:rPr>
          <w:rStyle w:val="a7"/>
          <w:rtl/>
        </w:rPr>
        <w:footnoteReference w:id="2297"/>
      </w:r>
      <w:r>
        <w:rPr>
          <w:rtl/>
        </w:rPr>
        <w:t>וְכֻלְּהוֹן תַּלְיָין בִּשְׁכִינְתָּא תַתָּאָה, וְאִיהִי כְלָלָא דְכֻלְּהוּ.</w:t>
      </w:r>
    </w:p>
    <w:p w:rsidR="00606298" w:rsidRDefault="00606298" w:rsidP="00B17EA9">
      <w:pPr>
        <w:pStyle w:val="NormalWeb"/>
        <w:rPr>
          <w:rtl/>
        </w:rPr>
      </w:pPr>
      <w:r>
        <w:rPr>
          <w:rtl/>
        </w:rPr>
        <w:t xml:space="preserve">וּבְרָזָא דְא תִשְׁכַּח טַעֲמִין וּנְקוּדִין וְאַתְוָון, וְבְרָזָא דְש' [ציור] תְּלַת תַּגִּין לְעִילָא כְּמוֹ זַיְינִין דְּסֵפֶר תּוֹרָה, בָּהּ רְשִׁימִין </w:t>
      </w:r>
      <w:r>
        <w:rPr>
          <w:sz w:val="20"/>
          <w:szCs w:val="23"/>
          <w:rtl/>
        </w:rPr>
        <w:t>(ס''א רמיזין)</w:t>
      </w:r>
      <w:r>
        <w:rPr>
          <w:rtl/>
        </w:rPr>
        <w:t xml:space="preserve"> כִּתְרִין וּנְקוּדִין וְאַתְוָון, וְהָכִי בְכָל אָת וְאָת, ש </w:t>
      </w:r>
      <w:r>
        <w:rPr>
          <w:rStyle w:val="a7"/>
          <w:rtl/>
        </w:rPr>
        <w:footnoteReference w:id="2298"/>
      </w:r>
      <w:r>
        <w:rPr>
          <w:rtl/>
        </w:rPr>
        <w:t xml:space="preserve">שַׁבָּת הַגָּדוֹל בִּינָה, שַׁבָּת הַקָּטָן מַלְכוּת, ב' תְּרֵין דְּרוֹעִין גְּדוּלָה גְבוּרָה, ת' תִּפְאֶרֶת, </w:t>
      </w:r>
      <w:r>
        <w:rPr>
          <w:rStyle w:val="a7"/>
          <w:rtl/>
        </w:rPr>
        <w:footnoteReference w:id="2299"/>
      </w:r>
      <w:r>
        <w:rPr>
          <w:rtl/>
        </w:rPr>
        <w:t xml:space="preserve">בֵּיהּ שְׁקִיל שַׁבָּת לְכָל אוֹרַיְיתָא, תְּלַת כִּתְרִין דְש תְּלַת סְפִירָן עִלָּאִין, </w:t>
      </w:r>
      <w:r>
        <w:rPr>
          <w:rStyle w:val="a7"/>
          <w:rtl/>
        </w:rPr>
        <w:footnoteReference w:id="2300"/>
      </w:r>
      <w:r>
        <w:rPr>
          <w:rtl/>
        </w:rPr>
        <w:t xml:space="preserve">וְכֻלְּהוּ כְּלִילָן בְּש' דְּאִיהִי תְיוּבְתָּא, שְׁכִינְתָּא עִלָּאָה, </w:t>
      </w:r>
      <w:r>
        <w:rPr>
          <w:rStyle w:val="a7"/>
          <w:rtl/>
        </w:rPr>
        <w:footnoteReference w:id="2301"/>
      </w:r>
      <w:r>
        <w:rPr>
          <w:rtl/>
        </w:rPr>
        <w:t>וַעֲלָהּ אִתְּמַר תְּפִלַּת כָּל פֶּה.</w:t>
      </w:r>
    </w:p>
    <w:p w:rsidR="00606298" w:rsidRDefault="00606298" w:rsidP="00B17EA9">
      <w:pPr>
        <w:pStyle w:val="NormalWeb"/>
        <w:rPr>
          <w:rtl/>
        </w:rPr>
      </w:pPr>
      <w:r>
        <w:rPr>
          <w:rtl/>
        </w:rPr>
        <w:t xml:space="preserve">וְהָא עַמּוּדָא דְאֶמְצָעִיתָא אִתְקְרֵי תְּפִלַּת כָּל פֶּה, </w:t>
      </w:r>
      <w:r>
        <w:rPr>
          <w:rStyle w:val="a7"/>
          <w:rtl/>
        </w:rPr>
        <w:footnoteReference w:id="2302"/>
      </w:r>
      <w:r>
        <w:rPr>
          <w:rtl/>
        </w:rPr>
        <w:t xml:space="preserve">אֶלָּא כָּל אִיהוּ בֶ''ן י''ה מִן בִּינָ''ה, וְאִיהוּ עַמּוּדָא דְאֶמְצָעִיתָא, אִיהוּ מְמוּצָע בִּתְּלַת אַתְוָון דְּאִינוּן יה''ו, דְאִתְכְּלִילָן בְּבִינָה, וְאִיהוּ מְמוּצָע כְּגוּפָא בֵּין תְּרֵין דְּרוֹעִין, </w:t>
      </w:r>
      <w:r>
        <w:rPr>
          <w:rStyle w:val="a7"/>
          <w:rtl/>
        </w:rPr>
        <w:footnoteReference w:id="2303"/>
      </w:r>
      <w:r>
        <w:rPr>
          <w:rtl/>
        </w:rPr>
        <w:t xml:space="preserve">וְאִיהוּ אוֹת בַּצַּדִּיק, </w:t>
      </w:r>
      <w:r>
        <w:rPr>
          <w:rStyle w:val="a7"/>
          <w:rtl/>
        </w:rPr>
        <w:footnoteReference w:id="2304"/>
      </w:r>
      <w:r>
        <w:rPr>
          <w:rtl/>
        </w:rPr>
        <w:t xml:space="preserve">דְּאִיהוּ כְּלִיל בְּא''ת, דְּאִיהִי שְׁכִינְתָּא תַּתָּאָה כְּלִילָא מֵא' וְעַד ת', וְאִיהוּ כְּלִיל תְּלַת בִּרְכָאָן דִּצְלוֹתָא קַדְמָאִין, וּתְלַת בַּתְרָאִין, וְאִיהוּ כְּלִיל תְּרֵין ו'ו' דְּאִתְּמַר בְּהוֹן </w:t>
      </w:r>
      <w:r>
        <w:rPr>
          <w:sz w:val="20"/>
          <w:szCs w:val="23"/>
          <w:rtl/>
        </w:rPr>
        <w:t>(שמות כח ז)</w:t>
      </w:r>
      <w:r>
        <w:rPr>
          <w:rtl/>
        </w:rPr>
        <w:t xml:space="preserve"> עַל שְׁתֵּי קְצוֹתָיו וְחֻבָּר, דְּאִינוּן </w:t>
      </w:r>
      <w:r>
        <w:rPr>
          <w:sz w:val="20"/>
          <w:szCs w:val="23"/>
          <w:rtl/>
        </w:rPr>
        <w:t>(נ''א ואינון)</w:t>
      </w:r>
      <w:r>
        <w:rPr>
          <w:rtl/>
        </w:rPr>
        <w:t xml:space="preserve"> י''ב בִּרְכָאָן דִּצְלוֹתָא דְּאִתְקְרִיאוּ אֶמְצָעִיּוֹת, וְכֻלְּהוּ חַ''י בִּרְכָאָן (דְּאִתְכְּלִילָן בְּה) דְּאִינוּן תְּלַת וָוִי''ן, יהו"ה, </w:t>
      </w:r>
      <w:r>
        <w:rPr>
          <w:rStyle w:val="a7"/>
          <w:rtl/>
        </w:rPr>
        <w:footnoteReference w:id="2305"/>
      </w:r>
      <w:r>
        <w:rPr>
          <w:rtl/>
        </w:rPr>
        <w:t xml:space="preserve">דְּאִתְּמַר בְּהוֹן דוּ פַּרְצוּפִין, </w:t>
      </w:r>
      <w:r>
        <w:rPr>
          <w:rStyle w:val="a7"/>
          <w:rtl/>
        </w:rPr>
        <w:footnoteReference w:id="2306"/>
      </w:r>
      <w:r>
        <w:rPr>
          <w:rtl/>
        </w:rPr>
        <w:t xml:space="preserve">וְדָא אִיהוּ שִׁעוּר קוֹמָה, דְאִתְּמַר בֵּיהּ </w:t>
      </w:r>
      <w:r>
        <w:rPr>
          <w:sz w:val="20"/>
          <w:szCs w:val="23"/>
          <w:rtl/>
        </w:rPr>
        <w:t>(שם כו טז)</w:t>
      </w:r>
      <w:r>
        <w:rPr>
          <w:rtl/>
        </w:rPr>
        <w:t xml:space="preserve"> עֶשֶׂר אַמּוֹת אֹרֶךְ הַקָּרֶשׁ, בְּמַאי סָלְקַת לְעֶשֶׂר בְּאָת י'.</w:t>
      </w:r>
    </w:p>
    <w:p w:rsidR="00606298" w:rsidRDefault="00606298" w:rsidP="00B17EA9">
      <w:pPr>
        <w:pStyle w:val="NormalWeb"/>
        <w:rPr>
          <w:rtl/>
        </w:rPr>
      </w:pPr>
      <w:r>
        <w:rPr>
          <w:rStyle w:val="a7"/>
          <w:rtl/>
        </w:rPr>
        <w:footnoteReference w:id="2307"/>
      </w:r>
      <w:r>
        <w:rPr>
          <w:rtl/>
        </w:rPr>
        <w:t xml:space="preserve">קָם סָבָא חַד פָּתַח וְאָמַר, </w:t>
      </w:r>
      <w:r>
        <w:rPr>
          <w:rStyle w:val="a7"/>
          <w:rtl/>
        </w:rPr>
        <w:footnoteReference w:id="2308"/>
      </w:r>
      <w:r>
        <w:rPr>
          <w:rtl/>
        </w:rPr>
        <w:t xml:space="preserve">וַדַּאי ה' אִית בָּהּ תְּלַת וָוִי''ן, דְּאִינוּן חַ''י בִּרְכָאָן, כְּגַוְונָא דָא </w:t>
      </w:r>
      <w:r>
        <w:rPr>
          <w:szCs w:val="40"/>
          <w:rtl/>
        </w:rPr>
        <w:t>ה</w:t>
      </w:r>
      <w:r>
        <w:rPr>
          <w:rtl/>
        </w:rPr>
        <w:t xml:space="preserve">, דְּאִתְּמַר בְּהוֹן </w:t>
      </w:r>
      <w:r>
        <w:rPr>
          <w:sz w:val="20"/>
          <w:szCs w:val="23"/>
          <w:rtl/>
        </w:rPr>
        <w:t>(משלי י ו)</w:t>
      </w:r>
      <w:r>
        <w:rPr>
          <w:rtl/>
        </w:rPr>
        <w:t xml:space="preserve"> וּבְרָכוֹת לְרֹאשׁ צַדִּיק, מַאי רֹאשׁ צַדִּיק דָּא עַמּוּדָא דְאֶמְצָעִיתָא, דְּבֵיהּ שַׁרְיָין חַ''י בִּרְכָאָן דְּה' עִלָּאָה, וּמִנֵּיהּ אִתְמְשִׁיכוּ לְה' זְעִירָא עַל יְדָא דְצַדִּיק, וּבְגִין דָּא </w:t>
      </w:r>
      <w:r>
        <w:rPr>
          <w:rStyle w:val="a7"/>
          <w:rtl/>
        </w:rPr>
        <w:footnoteReference w:id="2309"/>
      </w:r>
      <w:r>
        <w:rPr>
          <w:rtl/>
        </w:rPr>
        <w:t>גוּף וּבְרִית חַשְׁבִינָן חַד.</w:t>
      </w:r>
    </w:p>
    <w:p w:rsidR="00606298" w:rsidRDefault="00606298" w:rsidP="00B17EA9">
      <w:pPr>
        <w:pStyle w:val="NormalWeb"/>
        <w:rPr>
          <w:rtl/>
        </w:rPr>
      </w:pPr>
      <w:r>
        <w:rPr>
          <w:rtl/>
        </w:rPr>
        <w:t xml:space="preserve">שְׁתֵּי כְתֵפֹת </w:t>
      </w:r>
      <w:r>
        <w:rPr>
          <w:sz w:val="20"/>
          <w:szCs w:val="23"/>
          <w:rtl/>
        </w:rPr>
        <w:t>(שם כח ז)</w:t>
      </w:r>
      <w:r>
        <w:rPr>
          <w:rtl/>
        </w:rPr>
        <w:t xml:space="preserve"> חֹבְרֹת דָּא כָתֵף עִלָּאָה וְכָתֵף תַּתָּאָה, דְאִינוּן יְמִינָא וּשְׂמָאלָא, וְאִינוּן ה''ה, אֶל שְׁנֵי קְצוֹתָיו וְחֻבָּר אִינוּן ו' ו', וּבְהוֹן אִתְעֲבִיד ה' ה' בְּחִבּוּרָא, וּבְגִין דָּא אֶל שְׁנֵי קְצוֹתָיו וְחֻבָּר </w:t>
      </w:r>
      <w:r>
        <w:rPr>
          <w:sz w:val="20"/>
          <w:szCs w:val="23"/>
          <w:rtl/>
        </w:rPr>
        <w:t>(שם)</w:t>
      </w:r>
      <w:r>
        <w:rPr>
          <w:rtl/>
        </w:rPr>
        <w:t>.</w:t>
      </w:r>
    </w:p>
    <w:p w:rsidR="00606298" w:rsidRDefault="00606298" w:rsidP="00B17EA9">
      <w:pPr>
        <w:pStyle w:val="NormalWeb"/>
        <w:rPr>
          <w:rtl/>
        </w:rPr>
      </w:pPr>
      <w:r>
        <w:rPr>
          <w:rtl/>
        </w:rPr>
        <w:t xml:space="preserve">ו' דְּאִיהוּ בִמְצִיעוּת ה''ה, אִיהוּ שִׁעוּר קוֹמָה, וְאִיהוּ אַמָּה, וְסָלִיק </w:t>
      </w:r>
      <w:r>
        <w:rPr>
          <w:sz w:val="20"/>
          <w:szCs w:val="23"/>
          <w:rtl/>
        </w:rPr>
        <w:t>(נ''א דסליק)</w:t>
      </w:r>
      <w:r>
        <w:rPr>
          <w:rtl/>
        </w:rPr>
        <w:t xml:space="preserve"> בְּאָת י' לְעֶשֶׂר אַמּוֹת, דְּאִתְּמַר בֵּיהּ </w:t>
      </w:r>
      <w:r>
        <w:rPr>
          <w:sz w:val="20"/>
          <w:szCs w:val="23"/>
          <w:rtl/>
        </w:rPr>
        <w:t>(שמות כו טז)</w:t>
      </w:r>
      <w:r>
        <w:rPr>
          <w:rtl/>
        </w:rPr>
        <w:t xml:space="preserve"> עֶשֶׂר אַמּוֹת אֹרֶךְ הַקָּרֶשׁ, וְאַמָּה וַחֲצִי הָאַמָּה רֹחַב הַקֶּרֶשׁ הָאֶחָד, דָּא ו' י', דְּאִיהוּ </w:t>
      </w:r>
      <w:r>
        <w:rPr>
          <w:rStyle w:val="a7"/>
          <w:rtl/>
        </w:rPr>
        <w:footnoteReference w:id="2310"/>
      </w:r>
      <w:r>
        <w:rPr>
          <w:rtl/>
        </w:rPr>
        <w:t xml:space="preserve">בְרָזָא דְז', </w:t>
      </w:r>
      <w:r>
        <w:rPr>
          <w:rStyle w:val="a7"/>
          <w:rtl/>
        </w:rPr>
        <w:footnoteReference w:id="2311"/>
      </w:r>
      <w:r>
        <w:rPr>
          <w:rtl/>
        </w:rPr>
        <w:t xml:space="preserve">דְּכָל תַּגִּין </w:t>
      </w:r>
      <w:r>
        <w:rPr>
          <w:rStyle w:val="a7"/>
          <w:rtl/>
        </w:rPr>
        <w:footnoteReference w:id="2312"/>
      </w:r>
      <w:r>
        <w:rPr>
          <w:rtl/>
        </w:rPr>
        <w:t>בֵּיהּ אִתְקְרִיאוּ.</w:t>
      </w:r>
    </w:p>
    <w:p w:rsidR="00606298" w:rsidRDefault="00606298" w:rsidP="00B17EA9">
      <w:pPr>
        <w:pStyle w:val="aa"/>
        <w:rPr>
          <w:rtl/>
        </w:rPr>
      </w:pPr>
      <w:bookmarkStart w:id="185" w:name="_Toc228095639"/>
      <w:bookmarkStart w:id="186" w:name="_Toc231638077"/>
      <w:r>
        <w:rPr>
          <w:rtl/>
        </w:rPr>
        <w:t>[תיקוני זוהר - דף מ ע''א]</w:t>
      </w:r>
      <w:bookmarkEnd w:id="185"/>
      <w:bookmarkEnd w:id="186"/>
    </w:p>
    <w:p w:rsidR="00606298" w:rsidRDefault="00606298" w:rsidP="00B17EA9">
      <w:pPr>
        <w:pStyle w:val="NormalWeb"/>
        <w:rPr>
          <w:rtl/>
        </w:rPr>
      </w:pPr>
      <w:r>
        <w:rPr>
          <w:rtl/>
        </w:rPr>
        <w:t xml:space="preserve">בְּכָל אֲתַר אַמָּה אִיהִי ו', וּבְגִין דָּא אִיהִי בַּת שִׁשָּׁה טְפָחִים, וַחֲצִי הָאַמָּה דָא י', דִּתְרֵין יוּדִי''ן אִינוּן שִׁעוּרָא דְאַמָּה, וְאָת י' שִׁעוּרָא דִילָהּ </w:t>
      </w:r>
      <w:r>
        <w:rPr>
          <w:rStyle w:val="a7"/>
          <w:rtl/>
        </w:rPr>
        <w:footnoteReference w:id="2313"/>
      </w:r>
      <w:r>
        <w:rPr>
          <w:rtl/>
        </w:rPr>
        <w:t xml:space="preserve">תְּלַת טְפָחִים, וְדָא ג', </w:t>
      </w:r>
      <w:r>
        <w:rPr>
          <w:rStyle w:val="a7"/>
          <w:rtl/>
        </w:rPr>
        <w:footnoteReference w:id="2314"/>
      </w:r>
      <w:r>
        <w:rPr>
          <w:rtl/>
        </w:rPr>
        <w:t xml:space="preserve">וְעֶשֶׂר אַמּוֹת דָּא אִיהוּ שִׁעוּרָא דְגוּפָא דְבַר נַשׁ, </w:t>
      </w:r>
      <w:r>
        <w:rPr>
          <w:rStyle w:val="a7"/>
          <w:rtl/>
        </w:rPr>
        <w:footnoteReference w:id="2315"/>
      </w:r>
      <w:r>
        <w:rPr>
          <w:rtl/>
        </w:rPr>
        <w:t xml:space="preserve">לָקֳבֵל </w:t>
      </w:r>
      <w:r>
        <w:rPr>
          <w:sz w:val="20"/>
          <w:szCs w:val="23"/>
          <w:rtl/>
        </w:rPr>
        <w:t xml:space="preserve">(דף מ ע''א) </w:t>
      </w:r>
      <w:r>
        <w:rPr>
          <w:rtl/>
        </w:rPr>
        <w:t xml:space="preserve">עֲשָׂרָה דְבָרִים דְּאִתְּמַר בְּכוֹס שֶׁל בְּרָכָה, וְלָא אִשְׁתָּאַר בְּזִמְנָא דָא אֶלָּא אַרְבַּע </w:t>
      </w:r>
      <w:r>
        <w:rPr>
          <w:sz w:val="20"/>
          <w:szCs w:val="23"/>
          <w:rtl/>
        </w:rPr>
        <w:t>(ס''א דאסתלק ו' ואשתאר ד' מן דו פרצופין, ושעורא דכלא ו', באת י' סליק לעשר)</w:t>
      </w:r>
      <w:r>
        <w:rPr>
          <w:rtl/>
        </w:rPr>
        <w:t>, כְּמָה דְאוּקְמוּהָ.</w:t>
      </w:r>
    </w:p>
    <w:p w:rsidR="00606298" w:rsidRDefault="00606298" w:rsidP="00B17EA9">
      <w:pPr>
        <w:pStyle w:val="NormalWeb"/>
        <w:rPr>
          <w:rtl/>
        </w:rPr>
      </w:pPr>
      <w:r>
        <w:rPr>
          <w:rtl/>
        </w:rPr>
        <w:t xml:space="preserve">וְכֻלְּהוּ רְמִיזֵי בְגוּפָא כְּגַוְונָא דָא, בִּדְרוֹעָא יְמִינָא תְרֵין אַמִּין מִן פִּרְקָא לְפִרְקָא, וְכֵן בִּדְרוֹעָא שְׂמָאלָא תְּרֵין, הָא אַרְבַּע, וְכֵן בִּתְּרֵין שׁוֹקִין ד' הָא ח', וּבְגוּפָא תְּרֵין הָא עֶשֶׂר, דָּא אִיהוּ עֶשֶׂר אַמּוֹת אֹרֶךְ הַקָּרֶשׁ, </w:t>
      </w:r>
      <w:r>
        <w:rPr>
          <w:rStyle w:val="a7"/>
          <w:rtl/>
        </w:rPr>
        <w:footnoteReference w:id="2316"/>
      </w:r>
      <w:r>
        <w:rPr>
          <w:rtl/>
        </w:rPr>
        <w:t>הַקֶּשֶׁ''ר אִיהוּ בְהִפּוּךְ אַתְוָון, בֵּין קֶשֶׁר לְקֶשֶׁר.</w:t>
      </w:r>
    </w:p>
    <w:p w:rsidR="00606298" w:rsidRDefault="00606298" w:rsidP="00B17EA9">
      <w:pPr>
        <w:pStyle w:val="NormalWeb"/>
        <w:rPr>
          <w:rtl/>
        </w:rPr>
      </w:pPr>
      <w:r>
        <w:rPr>
          <w:rStyle w:val="a7"/>
          <w:rtl/>
        </w:rPr>
        <w:footnoteReference w:id="2317"/>
      </w:r>
      <w:r>
        <w:rPr>
          <w:rtl/>
        </w:rPr>
        <w:t xml:space="preserve">וַחֲמִשָּׁה בְרִיחִים לְקַרְשֵׁי צֶלַע הַמִּשְׁכָּן הָאֶחָת </w:t>
      </w:r>
      <w:r>
        <w:rPr>
          <w:sz w:val="20"/>
          <w:szCs w:val="23"/>
          <w:rtl/>
        </w:rPr>
        <w:t>(שם כו כז)</w:t>
      </w:r>
      <w:r>
        <w:rPr>
          <w:rtl/>
        </w:rPr>
        <w:t xml:space="preserve">, אִינוּן חָמֵשׁ אֶצְבְּעָאן דְּיָד יָמִין, וַחֲמִשָּׁה בְרִיחִים לְקַרְשֵׁי צֶלַע הַמִּשְׁכָּן הַשֵּׁנִית חָמֵשׁ אֶצְבְּעָאן דְּיָד שְׂמָאלָא, </w:t>
      </w:r>
      <w:r>
        <w:rPr>
          <w:rStyle w:val="a7"/>
          <w:rtl/>
        </w:rPr>
        <w:footnoteReference w:id="2318"/>
      </w:r>
      <w:r>
        <w:rPr>
          <w:rtl/>
        </w:rPr>
        <w:t xml:space="preserve">וְאִינוּן חָמֵשׁ אֶצְבְּעָאן כֻּלְּהוּ מִדָּה, וְאִינוּן מִי מָדַד בְּשָׁעֳלוֹ מַיִם וְגוֹמֵר </w:t>
      </w:r>
      <w:r>
        <w:rPr>
          <w:sz w:val="20"/>
          <w:szCs w:val="23"/>
          <w:rtl/>
        </w:rPr>
        <w:t>(ישעיה מ יב)</w:t>
      </w:r>
      <w:r>
        <w:rPr>
          <w:rtl/>
        </w:rPr>
        <w:t xml:space="preserve">, וְהָא אוּקְמוּהוּ, וְאִינוּן אָ אֵ אֹ אִ אֻ חָמֵשׁ נְקוּדִין אִלֵּין, דְּאִנּוּן קָמֵ''ץ צֵרִ''י חֹלֵ''ם חִירֵ''ק שֻׁרֵ''ק, </w:t>
      </w:r>
      <w:r>
        <w:rPr>
          <w:rStyle w:val="a7"/>
          <w:rtl/>
        </w:rPr>
        <w:footnoteReference w:id="2319"/>
      </w:r>
      <w:r>
        <w:rPr>
          <w:rtl/>
        </w:rPr>
        <w:t xml:space="preserve">אִינוּן בְּרָזָא דְאלהי''ם, דְּהָכִי סְלִיק בְּחֻשְׁבַּן, וְרָזָא דְאלהי''ם מָלֵא י''ה, וְדָא אִיהוּ </w:t>
      </w:r>
      <w:r>
        <w:rPr>
          <w:sz w:val="20"/>
          <w:szCs w:val="23"/>
          <w:rtl/>
        </w:rPr>
        <w:t>(נ''א יה''ו)</w:t>
      </w:r>
      <w:r>
        <w:rPr>
          <w:rtl/>
        </w:rPr>
        <w:t xml:space="preserve"> בִּינָה וַדַּאי.</w:t>
      </w:r>
    </w:p>
    <w:p w:rsidR="00606298" w:rsidRDefault="00606298" w:rsidP="00B17EA9">
      <w:pPr>
        <w:pStyle w:val="NormalWeb"/>
        <w:rPr>
          <w:rtl/>
        </w:rPr>
      </w:pPr>
      <w:r>
        <w:rPr>
          <w:rStyle w:val="a7"/>
          <w:rtl/>
        </w:rPr>
        <w:footnoteReference w:id="2320"/>
      </w:r>
      <w:r>
        <w:rPr>
          <w:rtl/>
        </w:rPr>
        <w:t xml:space="preserve">וְהָכִי (בְרָזָא) ה' אַלְפִי''ן כְּלִילָן בְּה' תַּתָּאָה, </w:t>
      </w:r>
      <w:r>
        <w:rPr>
          <w:rStyle w:val="a7"/>
          <w:rtl/>
        </w:rPr>
        <w:footnoteReference w:id="2321"/>
      </w:r>
      <w:r>
        <w:rPr>
          <w:rtl/>
        </w:rPr>
        <w:t xml:space="preserve">וְאִלֵּין אַתְוָון אִינוּן תְּלַת, נְשָׁמָה רוּחַ וְנֶפֶשׁ, ה' זְעִירָא גוּפָא בֵּית קִבּוּל דְּכֻלְּהוּ, </w:t>
      </w:r>
      <w:r>
        <w:rPr>
          <w:rStyle w:val="a7"/>
          <w:rtl/>
        </w:rPr>
        <w:footnoteReference w:id="2322"/>
      </w:r>
      <w:r>
        <w:rPr>
          <w:rtl/>
        </w:rPr>
        <w:t xml:space="preserve">פְּתִילָה </w:t>
      </w:r>
      <w:r>
        <w:rPr>
          <w:sz w:val="20"/>
          <w:szCs w:val="23"/>
          <w:rtl/>
        </w:rPr>
        <w:t>(ס''א פתיל ה')</w:t>
      </w:r>
      <w:r>
        <w:rPr>
          <w:rtl/>
        </w:rPr>
        <w:t xml:space="preserve"> דְּאִתְאַחֲדָן בֵּיהּ תְּלַת גּוּוָנִין דִּשְׁרַגָּא, דְאִיהוּ נֵר יהו''ה נִשְׁמַת אָדָם </w:t>
      </w:r>
      <w:r>
        <w:rPr>
          <w:sz w:val="20"/>
          <w:szCs w:val="23"/>
          <w:rtl/>
        </w:rPr>
        <w:t>(משלי כ כז)</w:t>
      </w:r>
      <w:r>
        <w:rPr>
          <w:rtl/>
        </w:rPr>
        <w:t xml:space="preserve">, </w:t>
      </w:r>
      <w:r>
        <w:rPr>
          <w:rStyle w:val="a7"/>
          <w:rtl/>
        </w:rPr>
        <w:footnoteReference w:id="2323"/>
      </w:r>
      <w:r>
        <w:rPr>
          <w:rtl/>
        </w:rPr>
        <w:t xml:space="preserve">זַיִת מִזֵּתִים דָּא צַדִּיק, </w:t>
      </w:r>
      <w:r>
        <w:rPr>
          <w:rStyle w:val="a7"/>
          <w:rtl/>
        </w:rPr>
        <w:footnoteReference w:id="2324"/>
      </w:r>
      <w:r>
        <w:rPr>
          <w:rtl/>
        </w:rPr>
        <w:t xml:space="preserve">דְּאִתְּמַר בֵּיהּ שֶׁמֶן זַיִת זָךְ, כָּתִית דְּכַתִּישׁ כְּתִישָׁא בְאִינוּן אָתִין </w:t>
      </w:r>
      <w:r>
        <w:rPr>
          <w:sz w:val="20"/>
          <w:szCs w:val="23"/>
          <w:rtl/>
        </w:rPr>
        <w:t>(ס''א זיתין)</w:t>
      </w:r>
      <w:r>
        <w:rPr>
          <w:rtl/>
        </w:rPr>
        <w:t xml:space="preserve"> דְּאִינוּן אֵבָרֵי גוּפָא, </w:t>
      </w:r>
      <w:r>
        <w:rPr>
          <w:rStyle w:val="a7"/>
          <w:rtl/>
        </w:rPr>
        <w:footnoteReference w:id="2325"/>
      </w:r>
      <w:r>
        <w:rPr>
          <w:rtl/>
        </w:rPr>
        <w:t xml:space="preserve">וְדָא בְרִית מִילָה, לְגַבֵּי שְׁכִינְתָּא </w:t>
      </w:r>
      <w:r>
        <w:rPr>
          <w:rStyle w:val="a7"/>
          <w:rtl/>
        </w:rPr>
        <w:footnoteReference w:id="2326"/>
      </w:r>
      <w:r>
        <w:rPr>
          <w:rtl/>
        </w:rPr>
        <w:t>דְאִתְקְרִי גַּד.</w:t>
      </w:r>
    </w:p>
    <w:p w:rsidR="00606298" w:rsidRDefault="00606298" w:rsidP="00B17EA9">
      <w:pPr>
        <w:pStyle w:val="NormalWeb"/>
        <w:rPr>
          <w:rtl/>
        </w:rPr>
      </w:pPr>
      <w:r>
        <w:rPr>
          <w:rStyle w:val="a7"/>
          <w:rtl/>
        </w:rPr>
        <w:footnoteReference w:id="2327"/>
      </w:r>
      <w:r>
        <w:rPr>
          <w:rtl/>
        </w:rPr>
        <w:t xml:space="preserve">וְרָזָא דְמִלָּה וְהַמָּן כִּזְרַע גַּד הוּא </w:t>
      </w:r>
      <w:r>
        <w:rPr>
          <w:sz w:val="20"/>
          <w:szCs w:val="23"/>
          <w:rtl/>
        </w:rPr>
        <w:t>(במדבר יא ז)</w:t>
      </w:r>
      <w:r>
        <w:rPr>
          <w:rtl/>
        </w:rPr>
        <w:t xml:space="preserve">, בְּהַהוּא יוּ''ד אִתְעֲבִידַת גִּיד, וְאַמַּאי אִתְקְרִי גַּד, בְּגִין דְּאִיהִי כְּלִילָא מִז' סְפִירָאן דְּסָלְקִין לְחוּשְׁבַּן גַּד, וְאַמָּאי אִתְקְרִיאַת נָשֶׁה, בְּגִין דְּכֹלָּא לָא יָדְעוּ מַה הוּא, דְּנָחִית לוֹן קוּדְשָׁא בְּרִיךְ הוּא </w:t>
      </w:r>
      <w:r>
        <w:rPr>
          <w:rStyle w:val="a7"/>
          <w:rtl/>
        </w:rPr>
        <w:footnoteReference w:id="2328"/>
      </w:r>
      <w:r>
        <w:rPr>
          <w:rtl/>
        </w:rPr>
        <w:t xml:space="preserve">דְּאִיהוּ כִּזְרַע גַּד חִוָּור, וְעִינוֹ כְּעִין הַבְּדֹלַח </w:t>
      </w:r>
      <w:r>
        <w:rPr>
          <w:sz w:val="20"/>
          <w:szCs w:val="23"/>
          <w:rtl/>
        </w:rPr>
        <w:t>(שם)</w:t>
      </w:r>
      <w:r>
        <w:rPr>
          <w:rtl/>
        </w:rPr>
        <w:t xml:space="preserve">, דְּאִיהוּ חִוָּור מִסִּטְרָא דִימִינָא, וְטַעְמּוֹ כְּצַפִּיחִית בִּדְבָשׁ </w:t>
      </w:r>
      <w:r>
        <w:rPr>
          <w:sz w:val="20"/>
          <w:szCs w:val="23"/>
          <w:rtl/>
        </w:rPr>
        <w:t>(שמות טז לא)</w:t>
      </w:r>
      <w:r>
        <w:rPr>
          <w:rtl/>
        </w:rPr>
        <w:t xml:space="preserve"> מִסִּטְרָא דִשְׂמָאלָא, מַה הוּא, כְלִיל מֵעֲשַׂר אַתְוָון דְּאִינוּן יו''ד ה''א וא''ו ה''א, וְדָא מַנָּא דְאוֹרַיְיתָא, וְסָלִיק לְחֻשְׁבַּן מ''ה, וְלָא יָדְעוּ מַ''ה הוּא.</w:t>
      </w:r>
    </w:p>
    <w:p w:rsidR="00606298" w:rsidRDefault="00606298" w:rsidP="00B17EA9">
      <w:pPr>
        <w:pStyle w:val="NormalWeb"/>
        <w:rPr>
          <w:rtl/>
        </w:rPr>
      </w:pPr>
      <w:r>
        <w:rPr>
          <w:rtl/>
        </w:rPr>
        <w:t xml:space="preserve">וְעִרֶב רַב שְׁאִילוּ בִּשְׂרָא וְיָהִיב לוֹן, וּמַה כְּתִיב </w:t>
      </w:r>
      <w:r>
        <w:rPr>
          <w:sz w:val="20"/>
          <w:szCs w:val="23"/>
          <w:rtl/>
        </w:rPr>
        <w:t>(במדבר יא לג)</w:t>
      </w:r>
      <w:r>
        <w:rPr>
          <w:rtl/>
        </w:rPr>
        <w:t xml:space="preserve"> הַבָּשָׂר עוֹדֶנּוּ בֵּין שִׁנֵּיהֶם טֶרֶם יִכָּרֵת וְאַף יהו''ה כו', </w:t>
      </w:r>
      <w:r>
        <w:rPr>
          <w:rStyle w:val="a7"/>
          <w:rtl/>
        </w:rPr>
        <w:footnoteReference w:id="2329"/>
      </w:r>
      <w:r>
        <w:rPr>
          <w:rtl/>
        </w:rPr>
        <w:t xml:space="preserve">וְהַאי בָּשָׂר הָא אוּקְמוּהוּ מָארֵי מַתְנִיתִין בַּבָּשָׂר הַיּוֹרֵד מִן הַשָּׁמַיִם, דָּא מַנָּא דְאָכְלוּ עִרֶב רַב, וְעִם כָּל דָּא אָמְרוּ עֲלָהּ אֵין דָּבָר טָמֵא </w:t>
      </w:r>
      <w:r>
        <w:rPr>
          <w:sz w:val="20"/>
          <w:szCs w:val="23"/>
          <w:rtl/>
        </w:rPr>
        <w:t>(ס''א רע)</w:t>
      </w:r>
      <w:r>
        <w:rPr>
          <w:rtl/>
        </w:rPr>
        <w:t xml:space="preserve"> יוֹרֵד מִן הַשָּׁמַיִם.</w:t>
      </w:r>
    </w:p>
    <w:p w:rsidR="00606298" w:rsidRDefault="00606298" w:rsidP="00B17EA9">
      <w:pPr>
        <w:pStyle w:val="NormalWeb"/>
        <w:rPr>
          <w:sz w:val="20"/>
          <w:szCs w:val="23"/>
          <w:rtl/>
        </w:rPr>
      </w:pPr>
      <w:r>
        <w:rPr>
          <w:rtl/>
        </w:rPr>
        <w:t xml:space="preserve">וְרָזָא דְהַאי בָּשָׂר מַאי נִיהוּ, אֶלָּא כְּמָה דְאַתְּ אָמַר </w:t>
      </w:r>
      <w:r>
        <w:rPr>
          <w:sz w:val="20"/>
          <w:szCs w:val="23"/>
          <w:rtl/>
        </w:rPr>
        <w:t>(בראשית ו ג)</w:t>
      </w:r>
      <w:r>
        <w:rPr>
          <w:rtl/>
        </w:rPr>
        <w:t xml:space="preserve"> </w:t>
      </w:r>
      <w:r>
        <w:rPr>
          <w:rStyle w:val="a7"/>
          <w:rtl/>
        </w:rPr>
        <w:footnoteReference w:id="2330"/>
      </w:r>
      <w:r>
        <w:rPr>
          <w:rtl/>
        </w:rPr>
        <w:t xml:space="preserve">בְּשַׁגָּם הוּא בָשָׂר, וְרָזָא דָא לְחַכִּימֵי לִבָּא אִתְמַסַּר, </w:t>
      </w:r>
      <w:r>
        <w:rPr>
          <w:rStyle w:val="a7"/>
          <w:rtl/>
        </w:rPr>
        <w:footnoteReference w:id="2331"/>
      </w:r>
      <w:r>
        <w:rPr>
          <w:rtl/>
        </w:rPr>
        <w:t xml:space="preserve">וְהַאי בָשָׂ''ר בְּהִפּוּכָא שֶׁבֶ''ר, וַעֲלֵיהּ אִתְּמַר </w:t>
      </w:r>
      <w:r>
        <w:rPr>
          <w:sz w:val="20"/>
          <w:szCs w:val="23"/>
          <w:rtl/>
        </w:rPr>
        <w:t>(שם מב יט)</w:t>
      </w:r>
      <w:r>
        <w:rPr>
          <w:rtl/>
        </w:rPr>
        <w:t xml:space="preserve"> שֶׁבֶר רַעֲבוֹן בָּתֵּיכֶם, אִם זָכוּ בָּשָׂר קֹדֶשׁ, דְּאִתְּמַר בֵּיהּ </w:t>
      </w:r>
      <w:r>
        <w:rPr>
          <w:sz w:val="20"/>
          <w:szCs w:val="23"/>
          <w:rtl/>
        </w:rPr>
        <w:t>(איוב יט כו)</w:t>
      </w:r>
      <w:r>
        <w:rPr>
          <w:rtl/>
        </w:rPr>
        <w:t xml:space="preserve"> וּמִבְּשָׂרִי אֶחזֶה אֱלוֹ''הַ, וְאִם לָא נָטְרִין בְּהַאי בָּשָׂ''ר אוֹת בְּרִי''ת, אִתְהַפַּךְ לוֹן בַּשֶּׁבֶ''ר. </w:t>
      </w:r>
      <w:r>
        <w:rPr>
          <w:sz w:val="20"/>
          <w:szCs w:val="23"/>
          <w:rtl/>
        </w:rPr>
        <w:t>(כאן חסר) [א.ה. הפסקה ותא חזי כל שמא וכו' עד אין שכינה שורה בפחות מי', הועברה לקמן לתיקון ע' דף קלג ע"ב]</w:t>
      </w:r>
    </w:p>
    <w:p w:rsidR="00606298" w:rsidRDefault="00606298" w:rsidP="00B17EA9">
      <w:pPr>
        <w:pStyle w:val="NormalWeb"/>
        <w:rPr>
          <w:rtl/>
        </w:rPr>
      </w:pPr>
    </w:p>
    <w:p w:rsidR="00606298" w:rsidRDefault="00606298" w:rsidP="0007465E">
      <w:pPr>
        <w:pStyle w:val="1"/>
        <w:rPr>
          <w:rtl/>
        </w:rPr>
      </w:pPr>
      <w:bookmarkStart w:id="188" w:name="_Toc405982970"/>
      <w:r>
        <w:rPr>
          <w:rtl/>
        </w:rPr>
        <w:t>תקונא עשרין</w:t>
      </w:r>
      <w:bookmarkEnd w:id="188"/>
    </w:p>
    <w:p w:rsidR="00606298" w:rsidRDefault="00606298" w:rsidP="00B17EA9">
      <w:pPr>
        <w:pStyle w:val="aa"/>
        <w:rPr>
          <w:rtl/>
        </w:rPr>
      </w:pPr>
      <w:r>
        <w:rPr>
          <w:rtl/>
        </w:rPr>
        <w:t>[קטע זה הובא לכאן מלקמן סוף ההגהה נה ע"ב, על פי ביאור הגר"א שם]</w:t>
      </w:r>
    </w:p>
    <w:p w:rsidR="00606298" w:rsidRDefault="00606298" w:rsidP="00B17EA9">
      <w:pPr>
        <w:pStyle w:val="NormalWeb"/>
        <w:rPr>
          <w:rtl/>
        </w:rPr>
      </w:pPr>
      <w:r>
        <w:rPr>
          <w:rtl/>
        </w:rPr>
        <w:t xml:space="preserve">קָם אֶחָד בְּקִירְטָא </w:t>
      </w:r>
      <w:r>
        <w:rPr>
          <w:rStyle w:val="a7"/>
          <w:rFonts w:hAnsi="Arial"/>
          <w:rtl/>
          <w:lang w:eastAsia="en-US"/>
        </w:rPr>
        <w:footnoteReference w:id="2332"/>
      </w:r>
      <w:r>
        <w:rPr>
          <w:rtl/>
        </w:rPr>
        <w:t xml:space="preserve">וְדָא שְׁכִינְתָּא תַּתָּאָה, וְחַד בְּקַשְׁתָּא </w:t>
      </w:r>
      <w:r>
        <w:rPr>
          <w:rStyle w:val="a7"/>
          <w:rFonts w:hAnsi="Arial"/>
          <w:rtl/>
          <w:lang w:eastAsia="en-US"/>
        </w:rPr>
        <w:footnoteReference w:id="2333"/>
      </w:r>
      <w:r>
        <w:rPr>
          <w:rtl/>
        </w:rPr>
        <w:t xml:space="preserve">דָא בְרִית צַדִּיק, </w:t>
      </w:r>
      <w:r>
        <w:rPr>
          <w:rStyle w:val="a7"/>
          <w:rFonts w:hAnsi="Arial"/>
          <w:rtl/>
          <w:lang w:eastAsia="en-US"/>
        </w:rPr>
        <w:footnoteReference w:id="2334"/>
      </w:r>
      <w:r>
        <w:rPr>
          <w:rtl/>
        </w:rPr>
        <w:t xml:space="preserve">עֲלֵיהּ אִתְּמַר שׁוֹפָ''ר הוֹלֵ''ךְ פָּזֵ''ר גָּדוֹ''ל, </w:t>
      </w:r>
      <w:r>
        <w:rPr>
          <w:rStyle w:val="a7"/>
          <w:rFonts w:hAnsi="Arial"/>
          <w:rtl/>
          <w:lang w:eastAsia="en-US"/>
        </w:rPr>
        <w:footnoteReference w:id="2335"/>
      </w:r>
      <w:r>
        <w:rPr>
          <w:rtl/>
        </w:rPr>
        <w:t xml:space="preserve">גִּירִין דִּילֵיהּ </w:t>
      </w:r>
      <w:r>
        <w:rPr>
          <w:rStyle w:val="a7"/>
          <w:rFonts w:hAnsi="Arial"/>
          <w:rtl/>
          <w:lang w:eastAsia="en-US"/>
        </w:rPr>
        <w:footnoteReference w:id="2336"/>
      </w:r>
      <w:r>
        <w:rPr>
          <w:rtl/>
        </w:rPr>
        <w:t xml:space="preserve">אִינוּן צַדִּיקִים דְּיִשְׂרָאֵל דְּקַבִּילוּ בְרִית, דְּבִזְכוּתֵיהּ נָפְקִין מִגָּלוּתָא, וְרָזָא דְמִלָּה </w:t>
      </w:r>
      <w:r>
        <w:rPr>
          <w:sz w:val="20"/>
          <w:szCs w:val="23"/>
          <w:rtl/>
        </w:rPr>
        <w:t>(בראשית מז כג)</w:t>
      </w:r>
      <w:r>
        <w:rPr>
          <w:sz w:val="20"/>
          <w:szCs w:val="20"/>
          <w:rtl/>
        </w:rPr>
        <w:t xml:space="preserve"> </w:t>
      </w:r>
      <w:r>
        <w:rPr>
          <w:rStyle w:val="a7"/>
          <w:rFonts w:hAnsi="Arial"/>
          <w:rtl/>
          <w:lang w:eastAsia="en-US"/>
        </w:rPr>
        <w:footnoteReference w:id="2337"/>
      </w:r>
      <w:r>
        <w:rPr>
          <w:rtl/>
        </w:rPr>
        <w:t xml:space="preserve">הֵא לָכֶם זֶרַע, דְּאִינוּן טִיפִּין וְדָּא זַרְקָ''א. </w:t>
      </w:r>
      <w:r>
        <w:rPr>
          <w:rFonts w:cs="Guttman Drogolin"/>
          <w:sz w:val="25"/>
          <w:szCs w:val="25"/>
          <w:rtl/>
        </w:rPr>
        <w:t>[עד כאן הובא מסוף ההגהה לקמן, כנ"ל]</w:t>
      </w:r>
    </w:p>
    <w:p w:rsidR="00606298" w:rsidRDefault="00606298" w:rsidP="00B17EA9">
      <w:pPr>
        <w:pStyle w:val="aa"/>
        <w:rPr>
          <w:rtl/>
        </w:rPr>
      </w:pPr>
      <w:r>
        <w:rPr>
          <w:rtl/>
        </w:rPr>
        <w:t>[תיקוני זוהר - המשך דף מ ע''א]</w:t>
      </w:r>
    </w:p>
    <w:p w:rsidR="00606298" w:rsidRDefault="00606298" w:rsidP="00B17EA9">
      <w:pPr>
        <w:pStyle w:val="NormalWeb"/>
        <w:rPr>
          <w:rtl/>
        </w:rPr>
      </w:pPr>
      <w:r>
        <w:rPr>
          <w:rtl/>
        </w:rPr>
        <w:t xml:space="preserve">זַרְקָ''א הַאי תַּגָּא אִיהִי י', וְחוּטָא דִילָהּ ו', וְהָא אוּקְמוּהוּ כּוֹרְכִין אֶת שְׁמַע עִם וְאָהַבְתָּ אֵת וְלָא הֲווֹ מַפְסִיקִין, בְּגִין דְּאָת י' אִיהִי אַבְנָא מַרְגְּלִיתָא קַדִּישָׁא יְקָרָא, </w:t>
      </w:r>
      <w:r>
        <w:rPr>
          <w:rStyle w:val="a7"/>
          <w:rtl/>
        </w:rPr>
        <w:footnoteReference w:id="2338"/>
      </w:r>
      <w:r>
        <w:rPr>
          <w:rtl/>
        </w:rPr>
        <w:t>קִירְטָא אִיהִי שָׂפָה, כְּלִילָא מֵחָמֵשׁ תִּקּוּנִין דְּאִינוּן אחה''ע בומ''ף וְגוֹמֵר, וְדָא ה' זְעִירָא, חָמֵשׁ אַבְנִין דְּקִירְטָא דָא ה' עִלָּאָה, דְאִינוּן שְׁמַע יִשְׂרָאֵל יהו''ה אלהינ''ו יהו''ה, אִתְעֲבִידוּ ה' אַבְנִין אֶחָד.</w:t>
      </w:r>
    </w:p>
    <w:p w:rsidR="00606298" w:rsidRDefault="00606298" w:rsidP="00B17EA9">
      <w:pPr>
        <w:pStyle w:val="aa"/>
        <w:rPr>
          <w:rtl/>
        </w:rPr>
      </w:pPr>
      <w:r>
        <w:rPr>
          <w:rtl/>
        </w:rPr>
        <w:t>[תיקוני זוהר - דף מ ע''ב]</w:t>
      </w:r>
    </w:p>
    <w:p w:rsidR="00606298" w:rsidRDefault="00606298" w:rsidP="00B17EA9">
      <w:pPr>
        <w:pStyle w:val="NormalWeb"/>
        <w:rPr>
          <w:rtl/>
        </w:rPr>
      </w:pPr>
      <w:r>
        <w:rPr>
          <w:rtl/>
        </w:rPr>
        <w:t xml:space="preserve">כְּרִיכוּ דְכוּלְהוּ ו' דְאִיהוּ כְלִיל שִׁית תֵּיבִין דְּיִחוּדָא, דְאִינוּן שְׁמַע יִשְׂרָאֵל יהו''ה אלהינ''ו יהו''ה אֶחָד </w:t>
      </w:r>
      <w:r>
        <w:rPr>
          <w:sz w:val="20"/>
          <w:szCs w:val="23"/>
          <w:rtl/>
        </w:rPr>
        <w:t>(דברים ו ד)</w:t>
      </w:r>
      <w:r>
        <w:rPr>
          <w:rtl/>
        </w:rPr>
        <w:t xml:space="preserve">, </w:t>
      </w:r>
      <w:r>
        <w:rPr>
          <w:rStyle w:val="a7"/>
          <w:rtl/>
        </w:rPr>
        <w:footnoteReference w:id="2339"/>
      </w:r>
      <w:r>
        <w:rPr>
          <w:rtl/>
        </w:rPr>
        <w:t xml:space="preserve">וּבְהַהוּא כְּרִיכָא צָרִיךְ לְסַחֲרָא אַבְנָא </w:t>
      </w:r>
      <w:r>
        <w:rPr>
          <w:sz w:val="20"/>
          <w:szCs w:val="23"/>
          <w:rtl/>
        </w:rPr>
        <w:t xml:space="preserve">(דף מ ע''ב) </w:t>
      </w:r>
      <w:r>
        <w:rPr>
          <w:rtl/>
        </w:rPr>
        <w:t xml:space="preserve">וּלְאָרְכָא בָּהּ, </w:t>
      </w:r>
      <w:r>
        <w:rPr>
          <w:rStyle w:val="a7"/>
          <w:rtl/>
        </w:rPr>
        <w:footnoteReference w:id="2340"/>
      </w:r>
      <w:r>
        <w:rPr>
          <w:rtl/>
        </w:rPr>
        <w:t xml:space="preserve">הַאי אַבְנָא כְּלִילָא (מחמש) מֵעֶשֶׂר, עַד דְּסָלִיק לָהּ עַד אֵין סוֹף, וְרָזָא דְמִלָּה לְמַעַן יַאֲרִיךְ יָמִים עַל מַמְלַכְתּוֹ </w:t>
      </w:r>
      <w:r>
        <w:rPr>
          <w:sz w:val="20"/>
          <w:szCs w:val="23"/>
          <w:rtl/>
        </w:rPr>
        <w:t>(שם יז כ)</w:t>
      </w:r>
      <w:r>
        <w:rPr>
          <w:rtl/>
        </w:rPr>
        <w:t>.</w:t>
      </w:r>
    </w:p>
    <w:p w:rsidR="00606298" w:rsidRDefault="00606298" w:rsidP="00B17EA9">
      <w:pPr>
        <w:pStyle w:val="NormalWeb"/>
        <w:rPr>
          <w:rtl/>
        </w:rPr>
      </w:pPr>
      <w:r>
        <w:rPr>
          <w:rtl/>
        </w:rPr>
        <w:t>כַּד הַאי אַבְנָא בָּעַאת לְמֶעֱבַד דִּינָא בַּעֲמָלֵק, אוֹ בְּסִטְרִין אָחֳרָנִין, וְכֵן בְּחַיָּיבִין, נָטְלָא מִגְּבוּרָה, וְאִתְכְּלִילָן בָּהּ כָּל סְפִירָאן, וְאִתְקְרִיאוּ בָּהּ כֻּלְּהוּ גְבוּרוֹת, וְכַד בָּעַאת לְמֶעֱבַד חִנָּא וְחִסְדָּא בְּעָלְמָא, נָטְלָא מֵחֶסֶד, וְכֻלְּהוּ סְפִירָן אִתְכְּלִילָן בָּהּ וְאִתְקְרִיאוּ חֲסָדִים, וְכַד בָּעַאת לְרַחֲמָא עַל עָלְמָא, נָטְלָא מֵעַמּוּדָא דְאֶמְצָעִיתָא, וְכֻלְּהוּ סְפִירָן אִתְכְּלִילוּ בָּהּ, וְאִתְקְרִיאוּ רַחֲמֵי.</w:t>
      </w:r>
    </w:p>
    <w:p w:rsidR="00606298" w:rsidRDefault="00606298" w:rsidP="00B17EA9">
      <w:pPr>
        <w:pStyle w:val="NormalWeb"/>
        <w:rPr>
          <w:rtl/>
        </w:rPr>
      </w:pPr>
      <w:r>
        <w:rPr>
          <w:rtl/>
        </w:rPr>
        <w:t xml:space="preserve">וְהַאי, י' אִיהִי בְּכָל סִטְרָא, אִם כֵּן בְּמַאי אִשְׁתְּמוֹדְעַת, </w:t>
      </w:r>
      <w:r>
        <w:rPr>
          <w:rStyle w:val="a7"/>
          <w:rtl/>
        </w:rPr>
        <w:footnoteReference w:id="2341"/>
      </w:r>
      <w:r>
        <w:rPr>
          <w:rtl/>
        </w:rPr>
        <w:t xml:space="preserve">אֶלָּא בִּנְקוּדָה, כַּד אִיהִי נְקִידָא מִסִּטְרָא דְקמ''ץ נַטְלָא מֵחֶסֶד, וְכַד אִיהִי נְקִידָא מִסִּטְרָא דִשְׁבָ''א נַטְלָא </w:t>
      </w:r>
      <w:r>
        <w:rPr>
          <w:sz w:val="20"/>
          <w:szCs w:val="23"/>
          <w:rtl/>
        </w:rPr>
        <w:t>(ס''א ינקא)</w:t>
      </w:r>
      <w:r>
        <w:rPr>
          <w:rtl/>
        </w:rPr>
        <w:t xml:space="preserve"> מִגְּבוּרָה, וְכַד נְקִידָא מֵחֹלֵ''ם אִיהוּ מִסִּטְרָא דְעַמּוּדָא דְאֶמְצָעִיתָא, </w:t>
      </w:r>
      <w:r>
        <w:rPr>
          <w:rStyle w:val="a7"/>
          <w:rtl/>
        </w:rPr>
        <w:footnoteReference w:id="2342"/>
      </w:r>
      <w:r>
        <w:rPr>
          <w:rtl/>
        </w:rPr>
        <w:t xml:space="preserve">דִתְלַת נְקוּדִין אִלֵּין אִינוּן מַיָּא וְאֶשָּׁא וְרוּחָא כַּד נָטְלָא מֵאֲבָהָן. </w:t>
      </w:r>
      <w:r>
        <w:rPr>
          <w:sz w:val="20"/>
          <w:szCs w:val="23"/>
          <w:rtl/>
        </w:rPr>
        <w:t>(כאן חסר והוא בתקוז''ח דף כ''ד ע''ג)</w:t>
      </w:r>
      <w:r>
        <w:rPr>
          <w:rtl/>
        </w:rPr>
        <w:t>.</w:t>
      </w:r>
    </w:p>
    <w:p w:rsidR="00606298" w:rsidRDefault="00606298" w:rsidP="00B17EA9">
      <w:pPr>
        <w:pStyle w:val="NormalWeb"/>
        <w:rPr>
          <w:rtl/>
        </w:rPr>
      </w:pPr>
      <w:r>
        <w:rPr>
          <w:rtl/>
        </w:rPr>
        <w:t>[מה שכתוב כאן בדפוס אמסטרדם ומנטובה - הוא שייך לקמן תיקון כ"ב (דף מד ע"א), וכן מאמר ויאמר אי הבל, הנדפס כאן בכל ספרי התיקוני זוהר, הוא נוסחה אחרת השייך לתיקון ס"ט (דף קיב ע"ב), ויבואו אם ירצה השם הכל על מקומם].</w:t>
      </w:r>
    </w:p>
    <w:p w:rsidR="002D629A" w:rsidRDefault="002D629A" w:rsidP="00602EF1">
      <w:pPr>
        <w:pStyle w:val="1"/>
        <w:rPr>
          <w:sz w:val="39"/>
          <w:rtl/>
        </w:rPr>
      </w:pPr>
      <w:bookmarkStart w:id="189" w:name="_Toc228091300"/>
      <w:bookmarkStart w:id="190" w:name="_Toc231637939"/>
      <w:r>
        <w:rPr>
          <w:rtl/>
        </w:rPr>
        <w:t>תקונא חד ועשרין</w:t>
      </w:r>
      <w:bookmarkEnd w:id="189"/>
      <w:bookmarkEnd w:id="190"/>
      <w:r>
        <w:rPr>
          <w:rtl/>
        </w:rPr>
        <w:t xml:space="preserve"> </w:t>
      </w:r>
      <w:r>
        <w:rPr>
          <w:sz w:val="25"/>
          <w:szCs w:val="25"/>
          <w:rtl/>
        </w:rPr>
        <w:t>(תקונא עשרין)</w:t>
      </w:r>
    </w:p>
    <w:p w:rsidR="002D629A" w:rsidRDefault="002D629A" w:rsidP="00B17EA9">
      <w:pPr>
        <w:pStyle w:val="aa"/>
        <w:rPr>
          <w:rtl/>
        </w:rPr>
      </w:pPr>
      <w:bookmarkStart w:id="191" w:name="_Toc228095641"/>
      <w:bookmarkStart w:id="192" w:name="_Toc231638079"/>
      <w:r>
        <w:rPr>
          <w:rtl/>
        </w:rPr>
        <w:t>[תיקוני זוהר - דף מא ע''ב]</w:t>
      </w:r>
      <w:bookmarkEnd w:id="191"/>
      <w:bookmarkEnd w:id="192"/>
    </w:p>
    <w:p w:rsidR="002D629A" w:rsidRDefault="002D629A" w:rsidP="00B17EA9">
      <w:pPr>
        <w:pStyle w:val="NormalWeb"/>
        <w:rPr>
          <w:rtl/>
        </w:rPr>
      </w:pPr>
      <w:r>
        <w:rPr>
          <w:sz w:val="20"/>
          <w:szCs w:val="20"/>
          <w:rtl/>
        </w:rPr>
        <w:t xml:space="preserve">(דף מא ע''ב) </w:t>
      </w:r>
      <w:r>
        <w:rPr>
          <w:rtl/>
        </w:rPr>
        <w:t xml:space="preserve">בְּרֵאשִׁית בָּרָא אלהי''ם, אלהי''ם מִ''י אֵלֶּ''ה, עֲלֵיהּ אִתְּמַר </w:t>
      </w:r>
      <w:r>
        <w:rPr>
          <w:sz w:val="20"/>
          <w:szCs w:val="20"/>
          <w:rtl/>
        </w:rPr>
        <w:t>(ישעיהו מ כו)</w:t>
      </w:r>
      <w:r>
        <w:rPr>
          <w:rtl/>
        </w:rPr>
        <w:t xml:space="preserve"> שְׂאוּ מָרוֹם עִינֵיכֶם וּרְאוּ מִי בָרָא אֵלֶּ''ה.</w:t>
      </w:r>
    </w:p>
    <w:p w:rsidR="002D629A" w:rsidRDefault="002D629A" w:rsidP="00602EF1">
      <w:pPr>
        <w:pStyle w:val="1"/>
        <w:rPr>
          <w:rtl/>
        </w:rPr>
      </w:pPr>
      <w:r>
        <w:rPr>
          <w:rtl/>
        </w:rPr>
        <w:t>(תקונא חד ועשרין)</w:t>
      </w:r>
    </w:p>
    <w:p w:rsidR="002D629A" w:rsidRDefault="002D629A" w:rsidP="00B17EA9">
      <w:pPr>
        <w:pStyle w:val="aa"/>
        <w:rPr>
          <w:rtl/>
        </w:rPr>
      </w:pPr>
      <w:r>
        <w:rPr>
          <w:rtl/>
        </w:rPr>
        <w:t>[תיקוני זוהר - דף נא ע''ב]</w:t>
      </w:r>
    </w:p>
    <w:p w:rsidR="002D629A" w:rsidRDefault="002D629A" w:rsidP="00B17EA9">
      <w:pPr>
        <w:pStyle w:val="NormalWeb"/>
        <w:rPr>
          <w:rtl/>
        </w:rPr>
      </w:pPr>
      <w:r>
        <w:rPr>
          <w:sz w:val="20"/>
          <w:szCs w:val="20"/>
          <w:rtl/>
        </w:rPr>
        <w:t xml:space="preserve">(דף נא ע''ב) </w:t>
      </w:r>
      <w:r>
        <w:rPr>
          <w:rtl/>
        </w:rPr>
        <w:t xml:space="preserve">בְּרֵאשִׁית, </w:t>
      </w:r>
      <w:r>
        <w:rPr>
          <w:rStyle w:val="a7"/>
          <w:rFonts w:hAnsi="Arial"/>
          <w:b w:val="0"/>
          <w:bCs w:val="0"/>
          <w:rtl/>
          <w:lang w:eastAsia="en-US"/>
        </w:rPr>
        <w:footnoteReference w:id="2343"/>
      </w:r>
      <w:r>
        <w:rPr>
          <w:rtl/>
        </w:rPr>
        <w:t xml:space="preserve">נָחְתוּ תַמָּן תְּרֵין סָבִין, וְאָמְרִין </w:t>
      </w:r>
      <w:r>
        <w:rPr>
          <w:rStyle w:val="a7"/>
          <w:rFonts w:hAnsi="Arial"/>
          <w:b w:val="0"/>
          <w:bCs w:val="0"/>
          <w:rtl/>
          <w:lang w:eastAsia="en-US"/>
        </w:rPr>
        <w:footnoteReference w:id="2344"/>
      </w:r>
      <w:r>
        <w:rPr>
          <w:rtl/>
        </w:rPr>
        <w:t xml:space="preserve">אִתְעֲסַקְנָא בְּמַה דַּהֲוִיתוּן וַאֲנַן לָא הֲוִינָן </w:t>
      </w:r>
      <w:r>
        <w:rPr>
          <w:sz w:val="20"/>
          <w:szCs w:val="20"/>
          <w:rtl/>
        </w:rPr>
        <w:t>(נ''א ולא הוינן)</w:t>
      </w:r>
      <w:r>
        <w:rPr>
          <w:rtl/>
        </w:rPr>
        <w:t xml:space="preserve">, </w:t>
      </w:r>
      <w:r>
        <w:rPr>
          <w:rStyle w:val="a7"/>
          <w:rFonts w:hAnsi="Arial"/>
          <w:b w:val="0"/>
          <w:bCs w:val="0"/>
          <w:rtl/>
          <w:lang w:eastAsia="en-US"/>
        </w:rPr>
        <w:footnoteReference w:id="2345"/>
      </w:r>
      <w:r>
        <w:rPr>
          <w:rtl/>
        </w:rPr>
        <w:t>וְדָא ב' תְּרֵין רֵאשִׁית.</w:t>
      </w:r>
    </w:p>
    <w:p w:rsidR="002D629A" w:rsidRDefault="002D629A" w:rsidP="00B17EA9">
      <w:pPr>
        <w:pStyle w:val="aa"/>
        <w:rPr>
          <w:rtl/>
        </w:rPr>
      </w:pPr>
      <w:r>
        <w:rPr>
          <w:rtl/>
        </w:rPr>
        <w:t>[תיקוני זוהר - דף נב ע''א]</w:t>
      </w:r>
    </w:p>
    <w:p w:rsidR="002D629A" w:rsidRDefault="002D629A" w:rsidP="00B17EA9">
      <w:pPr>
        <w:pStyle w:val="NormalWeb"/>
        <w:rPr>
          <w:rtl/>
        </w:rPr>
      </w:pPr>
      <w:r>
        <w:rPr>
          <w:rStyle w:val="a7"/>
          <w:rFonts w:hAnsi="Arial"/>
          <w:b w:val="0"/>
          <w:bCs w:val="0"/>
          <w:rtl/>
          <w:lang w:eastAsia="en-US"/>
        </w:rPr>
        <w:footnoteReference w:id="2346"/>
      </w:r>
      <w:r>
        <w:rPr>
          <w:rtl/>
        </w:rPr>
        <w:t xml:space="preserve">הָא סָבָא עִלָּאָה קָא נָחִית בֵּינַיְיהוּ, אָמַר הָא אֲנַן חַד, וּתְלַת הֲוִינָן וּכְעַן אֲנַן חַד, אלהי''ם וַדַּאי מִ''י בָרָא אֵלֶּה, מִ''י בָרָא בְאִלֵּין תְּלַת, אִינוּן שִׁית סָבִין, וּמָאן נִינְהוּ אֶת הַשָּׁמַיִם, </w:t>
      </w:r>
      <w:r>
        <w:rPr>
          <w:rStyle w:val="a7"/>
          <w:rFonts w:hAnsi="Arial"/>
          <w:b w:val="0"/>
          <w:bCs w:val="0"/>
          <w:rtl/>
          <w:lang w:eastAsia="en-US"/>
        </w:rPr>
        <w:footnoteReference w:id="2347"/>
      </w:r>
      <w:r>
        <w:rPr>
          <w:rtl/>
        </w:rPr>
        <w:t xml:space="preserve">וְאִיהִי רְבִיעָאָה, וּשְׁבִיעָאָה, </w:t>
      </w:r>
      <w:r>
        <w:rPr>
          <w:rStyle w:val="a7"/>
          <w:rFonts w:hAnsi="Arial"/>
          <w:b w:val="0"/>
          <w:bCs w:val="0"/>
          <w:rtl/>
          <w:lang w:eastAsia="en-US"/>
        </w:rPr>
        <w:footnoteReference w:id="2348"/>
      </w:r>
      <w:r>
        <w:rPr>
          <w:rtl/>
        </w:rPr>
        <w:t xml:space="preserve">הָא אִינוּן שִׁבְעָה סָבִין </w:t>
      </w:r>
      <w:r>
        <w:rPr>
          <w:sz w:val="20"/>
          <w:szCs w:val="20"/>
          <w:rtl/>
        </w:rPr>
        <w:t xml:space="preserve">(דף נב ע''א) </w:t>
      </w:r>
      <w:r>
        <w:rPr>
          <w:rtl/>
        </w:rPr>
        <w:t>וּתְלַת גְּנִיזִין עֲלַיְיהוּ.</w:t>
      </w:r>
    </w:p>
    <w:p w:rsidR="002D629A" w:rsidRDefault="002D629A" w:rsidP="00B17EA9">
      <w:pPr>
        <w:pStyle w:val="NormalWeb"/>
        <w:rPr>
          <w:rtl/>
        </w:rPr>
      </w:pPr>
      <w:r>
        <w:rPr>
          <w:rtl/>
        </w:rPr>
        <w:t>בְּאִלֵּין שִׁבְעָה סָבִין</w:t>
      </w:r>
      <w:r>
        <w:rPr>
          <w:sz w:val="20"/>
          <w:szCs w:val="20"/>
          <w:rtl/>
        </w:rPr>
        <w:t xml:space="preserve"> (ס"א וּבַת שְׁבַּת יְחִידָה לְקִבְלַיְהוּ שִׁבְעָה אַתְוַון, וּבְגִין דָּא הָא אֲנַן שִׁבְעָה שָׁבוּעוֹת)</w:t>
      </w:r>
      <w:r>
        <w:rPr>
          <w:rtl/>
        </w:rPr>
        <w:t xml:space="preserve"> חַד עוּלֵימָא הֲוָה מְזַנֵּב אַבַּתְרַיְיהוּ, </w:t>
      </w:r>
      <w:r>
        <w:rPr>
          <w:rStyle w:val="a7"/>
          <w:rFonts w:hAnsi="Arial"/>
          <w:b w:val="0"/>
          <w:bCs w:val="0"/>
          <w:rtl/>
          <w:lang w:eastAsia="en-US"/>
        </w:rPr>
        <w:footnoteReference w:id="2349"/>
      </w:r>
      <w:r>
        <w:rPr>
          <w:rtl/>
        </w:rPr>
        <w:t xml:space="preserve">וְאִלֵּין סָבִין אַעְרְעוּ בְּבוֹצִינָא קַדִּישָׁא וְחַבְרוֹי, </w:t>
      </w:r>
      <w:r>
        <w:rPr>
          <w:rStyle w:val="a7"/>
          <w:rFonts w:hAnsi="Arial"/>
          <w:b w:val="0"/>
          <w:bCs w:val="0"/>
          <w:rtl/>
          <w:lang w:eastAsia="en-US"/>
        </w:rPr>
        <w:footnoteReference w:id="2350"/>
      </w:r>
      <w:r>
        <w:rPr>
          <w:rtl/>
        </w:rPr>
        <w:t>אָמְרוּ לֵיהּ רַבִּי רַבִּי, אַנְתְּ וַחֲבֵרָךְ אַשְׁכַּחְתּוּן חַד עוּלֵימָא דְאִיהוּ בְאָרְחָא מְזַנֵּב אַבַּתְרַיְיכוּ.</w:t>
      </w:r>
    </w:p>
    <w:p w:rsidR="002D629A" w:rsidRDefault="002D629A" w:rsidP="00B17EA9">
      <w:pPr>
        <w:pStyle w:val="NormalWeb"/>
        <w:rPr>
          <w:rtl/>
        </w:rPr>
      </w:pPr>
      <w:r>
        <w:rPr>
          <w:rStyle w:val="a7"/>
          <w:rFonts w:hAnsi="Arial"/>
          <w:b w:val="0"/>
          <w:bCs w:val="0"/>
          <w:rtl/>
          <w:lang w:eastAsia="en-US"/>
        </w:rPr>
        <w:footnoteReference w:id="2351"/>
      </w:r>
      <w:r>
        <w:rPr>
          <w:rtl/>
        </w:rPr>
        <w:t xml:space="preserve">אָמַר לוֹן, אַעְרַעְנָא בְמַשִּׁרְיָין סַגִּיאִין דַּהֲווֹ קָא אַתְיָין מִקְּרָבָא דְחִוְיָא, </w:t>
      </w:r>
      <w:r>
        <w:rPr>
          <w:rStyle w:val="a7"/>
          <w:rFonts w:hAnsi="Arial"/>
          <w:b w:val="0"/>
          <w:bCs w:val="0"/>
          <w:rtl/>
          <w:lang w:eastAsia="en-US"/>
        </w:rPr>
        <w:footnoteReference w:id="2352"/>
      </w:r>
      <w:r>
        <w:rPr>
          <w:rtl/>
        </w:rPr>
        <w:t xml:space="preserve">וְאִנּוּן מַשִּׁרְיָין דְּמַלְאָכִין דְּנָחְתִין </w:t>
      </w:r>
      <w:r>
        <w:rPr>
          <w:rStyle w:val="a7"/>
          <w:rFonts w:hAnsi="Arial"/>
          <w:b w:val="0"/>
          <w:bCs w:val="0"/>
          <w:rtl/>
          <w:lang w:eastAsia="en-US"/>
        </w:rPr>
        <w:footnoteReference w:id="2353"/>
      </w:r>
      <w:r>
        <w:rPr>
          <w:rtl/>
        </w:rPr>
        <w:t xml:space="preserve">מְזַרְזָן לְקַבְּלָא צְלוֹתִין, </w:t>
      </w:r>
      <w:r>
        <w:rPr>
          <w:rStyle w:val="a7"/>
          <w:rFonts w:hAnsi="Arial"/>
          <w:b w:val="0"/>
          <w:bCs w:val="0"/>
          <w:rtl/>
          <w:lang w:eastAsia="en-US"/>
        </w:rPr>
        <w:footnoteReference w:id="2354"/>
      </w:r>
      <w:r>
        <w:rPr>
          <w:rtl/>
        </w:rPr>
        <w:t xml:space="preserve">מִסִּטְרָא דְחַמְשִׁין אַתְוָון דִּמְיַחֲדִין יִשְׂרָאֵל בְּכָל יוֹמָא, </w:t>
      </w:r>
      <w:r>
        <w:rPr>
          <w:rStyle w:val="a7"/>
          <w:rFonts w:hAnsi="Arial"/>
          <w:b w:val="0"/>
          <w:bCs w:val="0"/>
          <w:rtl/>
          <w:lang w:eastAsia="en-US"/>
        </w:rPr>
        <w:footnoteReference w:id="2355"/>
      </w:r>
      <w:r>
        <w:rPr>
          <w:rtl/>
        </w:rPr>
        <w:t xml:space="preserve">דִּבְהוֹן וַחֲמוּשִׁים עָלוּ בְנֵי יִשְׂרָאֵל מֵאֶרֶץ מִצְרָיִם </w:t>
      </w:r>
      <w:r>
        <w:rPr>
          <w:sz w:val="20"/>
          <w:szCs w:val="20"/>
          <w:rtl/>
        </w:rPr>
        <w:t>(שמות יג יט)</w:t>
      </w:r>
      <w:r>
        <w:rPr>
          <w:rtl/>
        </w:rPr>
        <w:t xml:space="preserve">, </w:t>
      </w:r>
      <w:r>
        <w:rPr>
          <w:rStyle w:val="a7"/>
          <w:rFonts w:hAnsi="Arial"/>
          <w:b w:val="0"/>
          <w:bCs w:val="0"/>
          <w:rtl/>
          <w:lang w:eastAsia="en-US"/>
        </w:rPr>
        <w:footnoteReference w:id="2356"/>
      </w:r>
      <w:r>
        <w:rPr>
          <w:rtl/>
        </w:rPr>
        <w:t xml:space="preserve">דְּמַלְאָכִין דְּנָחֲתִין לְאַגָּחָא קְרָבָא, דְקָא מְמַנָּן עַל צְלוֹתִין, כֻּלְּהוּ הֲווּ נָחֲתִין </w:t>
      </w:r>
      <w:r>
        <w:rPr>
          <w:sz w:val="20"/>
          <w:szCs w:val="20"/>
          <w:rtl/>
        </w:rPr>
        <w:t>(סלקין)</w:t>
      </w:r>
      <w:r>
        <w:rPr>
          <w:rtl/>
        </w:rPr>
        <w:t xml:space="preserve"> בְּתוּקְפָא דִגְבוּרָה, כַּד נָצְחִין לְחִוְיָא, וְכַמָּה חֲיָלִין דִּילֵיהּ דְּקָא רָדְפִין אַבַּתְרַיְיהוּ, בְכַמָּה חוֹבִין דְּיִשְׂרָאֵל, וְאִינוּן מָארֵי צְלוֹתִין, וּמִסְתַּכְּלִין בְּשֵׁם יהו''ה דְּאִיהִי בִינָה, דְנָחְתָא עֲלַיְיהוּ בְתוּקְפָא דִגְבוּרָה, כֻּלְּהוּ עַאלִין </w:t>
      </w:r>
      <w:r>
        <w:rPr>
          <w:sz w:val="20"/>
          <w:szCs w:val="20"/>
          <w:rtl/>
        </w:rPr>
        <w:t>(נָפְלִין)</w:t>
      </w:r>
      <w:r>
        <w:rPr>
          <w:rtl/>
        </w:rPr>
        <w:t xml:space="preserve"> מִקִּיּוּמַיְהוּ, וְאִתְקַיַּים בְּהוּ סוּס וְרֹכְבוֹ רָמָה בַיָּם </w:t>
      </w:r>
      <w:r>
        <w:rPr>
          <w:sz w:val="20"/>
          <w:szCs w:val="20"/>
          <w:rtl/>
        </w:rPr>
        <w:t>(שם טו א)</w:t>
      </w:r>
      <w:r>
        <w:rPr>
          <w:rtl/>
        </w:rPr>
        <w:t>, דָּא יָם נ' שַׁעֲרֵי בִינָה, חַמְשִׁין אַתְוָון דִּקְרִיאַת שְׁמַע.</w:t>
      </w:r>
    </w:p>
    <w:p w:rsidR="002D629A" w:rsidRDefault="002D629A" w:rsidP="00B17EA9">
      <w:pPr>
        <w:pStyle w:val="NormalWeb"/>
        <w:rPr>
          <w:rtl/>
        </w:rPr>
      </w:pPr>
      <w:r>
        <w:rPr>
          <w:rStyle w:val="a7"/>
          <w:rFonts w:hAnsi="Arial"/>
          <w:b w:val="0"/>
          <w:bCs w:val="0"/>
          <w:rtl/>
          <w:lang w:eastAsia="en-US"/>
        </w:rPr>
        <w:footnoteReference w:id="2357"/>
      </w:r>
      <w:r>
        <w:rPr>
          <w:rtl/>
        </w:rPr>
        <w:t xml:space="preserve">אָמְרוּ לֵיהּ וּלְחַבְרַיָּא הֲוָה לְכוּ לְעַיְינָא לְאִסְתַּכְּלָא בָתַר הַהוּא דִמְזַנֵּב בָּתַר צְלוֹתִין דְּאִינוּן חַלָּשִׁין, וְלֵית לוֹן רְשׁוּ לְסַלְקָא עִם אָחֳרָנִין וּלְפָרְחָא עִמְּהוֹן לְעִילָא, וּבְגִין אִינוּן צְלוֹתִין חַלָּשִׁין אִתְּמַר </w:t>
      </w:r>
      <w:r>
        <w:rPr>
          <w:sz w:val="20"/>
          <w:szCs w:val="20"/>
          <w:rtl/>
        </w:rPr>
        <w:t>(דברים כה יח)</w:t>
      </w:r>
      <w:r>
        <w:rPr>
          <w:rtl/>
        </w:rPr>
        <w:t xml:space="preserve"> וַיְזַנֵּב בְּךָ כָּל </w:t>
      </w:r>
      <w:r>
        <w:rPr>
          <w:rStyle w:val="a7"/>
          <w:rFonts w:hAnsi="Arial"/>
          <w:b w:val="0"/>
          <w:bCs w:val="0"/>
          <w:rtl/>
          <w:lang w:eastAsia="en-US"/>
        </w:rPr>
        <w:footnoteReference w:id="2358"/>
      </w:r>
      <w:r>
        <w:rPr>
          <w:rtl/>
        </w:rPr>
        <w:t xml:space="preserve">הַנֶּחשָׁלִים אַחֲרֶיךָ, </w:t>
      </w:r>
      <w:r>
        <w:rPr>
          <w:sz w:val="20"/>
          <w:szCs w:val="20"/>
          <w:rtl/>
        </w:rPr>
        <w:t>(ישעיה יא ו)</w:t>
      </w:r>
      <w:r>
        <w:rPr>
          <w:rtl/>
        </w:rPr>
        <w:t xml:space="preserve"> דְּנַעַר קָטָן נוֹהֵג בָּם.</w:t>
      </w:r>
    </w:p>
    <w:p w:rsidR="001A2169" w:rsidRDefault="002D629A" w:rsidP="001A2169">
      <w:pPr>
        <w:pStyle w:val="NormalWeb"/>
        <w:rPr>
          <w:rtl/>
        </w:rPr>
      </w:pPr>
      <w:r>
        <w:rPr>
          <w:rStyle w:val="a7"/>
          <w:rFonts w:hAnsi="Arial"/>
          <w:b w:val="0"/>
          <w:bCs w:val="0"/>
          <w:rtl/>
          <w:lang w:eastAsia="en-US"/>
        </w:rPr>
        <w:footnoteReference w:id="2359"/>
      </w:r>
      <w:r>
        <w:rPr>
          <w:rtl/>
        </w:rPr>
        <w:t xml:space="preserve">דְּאִלֵּין עֶשֶׂר סָלְקִין בְּיו''ד ה''י וא''ו ה''י, וְכָל חַד אִית לֵיהּ צְלוֹתֵיהּ, וְאִם חָסֵר חַד מִנַּיְיהוּ אֲפִילוּ בַתְרָאָה, דְּלָא סָלִיק צְלוֹתָא דִילֵיהּ עִמֵּיהּ, בְּגִין דְּאִיהוּ עַנְיָא, וְלֵית לֵיהּ רְשׁוּ לְסַלְקָא צְלוֹתֵיהּ עִם אָחֳרָנִין, כֻּלְּהוּ צְלוֹתִין מִתְעַכְּבָן לְסַלְקָא, בְּגִין הַהִיא צְלוֹתָא דְעַנְיָא, וּבְגִין דָּא תְּפִלָּה לְעָנִי כִי יַעֲטוֹף </w:t>
      </w:r>
      <w:r>
        <w:rPr>
          <w:sz w:val="20"/>
          <w:szCs w:val="20"/>
          <w:rtl/>
        </w:rPr>
        <w:t>(תהלים קב א)</w:t>
      </w:r>
      <w:r>
        <w:rPr>
          <w:rtl/>
        </w:rPr>
        <w:t>, דְּכֻלְּהוּ מִתְעַטְּפִין בְּגִינָהּ, עַד דְּאִיהִי סָלְקָא עִמְּהוֹן, דְּל</w:t>
      </w:r>
      <w:r w:rsidR="001A2169">
        <w:rPr>
          <w:rtl/>
        </w:rPr>
        <w:t>ֵית פִּרוּדָא בָּהּ מִנַּיְיהוּ</w:t>
      </w:r>
      <w:r w:rsidR="001A2169">
        <w:rPr>
          <w:rFonts w:hint="cs"/>
          <w:rtl/>
        </w:rPr>
        <w:t xml:space="preserve">, </w:t>
      </w:r>
      <w:r>
        <w:rPr>
          <w:rtl/>
        </w:rPr>
        <w:t>וּצְלוֹתָא דְעָנִי אִיהוּ שְׁכִינְתָּא, וְהַאי צְלוֹתָא אִתְקְרִיאַת עָקֵב לְגַבֵּי צְלוֹתִין אָחֳרָנִין</w:t>
      </w:r>
      <w:r w:rsidR="001A2169">
        <w:rPr>
          <w:rFonts w:hint="cs"/>
          <w:rtl/>
        </w:rPr>
        <w:t>.</w:t>
      </w:r>
    </w:p>
    <w:p w:rsidR="001A2169" w:rsidRDefault="001A2169" w:rsidP="00CC22AA">
      <w:pPr>
        <w:pStyle w:val="NormalWeb"/>
        <w:rPr>
          <w:rtl/>
        </w:rPr>
      </w:pPr>
      <w:r>
        <w:rPr>
          <w:rFonts w:hint="cs"/>
          <w:b w:val="0"/>
          <w:bCs w:val="0"/>
          <w:rtl/>
        </w:rPr>
        <w:t>(</w:t>
      </w:r>
      <w:r w:rsidRPr="001A2169">
        <w:rPr>
          <w:rFonts w:hint="cs"/>
          <w:b w:val="0"/>
          <w:bCs w:val="0"/>
          <w:rtl/>
        </w:rPr>
        <w:t xml:space="preserve">להלן </w:t>
      </w:r>
      <w:r>
        <w:rPr>
          <w:rFonts w:hint="cs"/>
          <w:b w:val="0"/>
          <w:bCs w:val="0"/>
          <w:rtl/>
        </w:rPr>
        <w:t xml:space="preserve">בסוגריים </w:t>
      </w:r>
      <w:r w:rsidRPr="001A2169">
        <w:rPr>
          <w:rFonts w:hint="cs"/>
          <w:b w:val="0"/>
          <w:bCs w:val="0"/>
          <w:rtl/>
        </w:rPr>
        <w:t>מובאת גירסה שונה במקצת</w:t>
      </w:r>
      <w:r>
        <w:rPr>
          <w:rFonts w:hint="cs"/>
          <w:b w:val="0"/>
          <w:bCs w:val="0"/>
          <w:rtl/>
        </w:rPr>
        <w:t>. ג.פ.</w:t>
      </w:r>
      <w:r w:rsidRPr="001A2169">
        <w:rPr>
          <w:rFonts w:hint="cs"/>
          <w:b w:val="0"/>
          <w:bCs w:val="0"/>
          <w:rtl/>
        </w:rPr>
        <w:t xml:space="preserve">) </w:t>
      </w:r>
      <w:r w:rsidR="002D629A">
        <w:rPr>
          <w:rtl/>
        </w:rPr>
        <w:t xml:space="preserve">וּבְגִינָהּ אִתְּמַר </w:t>
      </w:r>
      <w:r w:rsidR="002D629A">
        <w:rPr>
          <w:rStyle w:val="a7"/>
          <w:rFonts w:hAnsi="Arial"/>
          <w:b w:val="0"/>
          <w:bCs w:val="0"/>
          <w:rtl/>
          <w:lang w:eastAsia="en-US"/>
        </w:rPr>
        <w:footnoteReference w:id="2360"/>
      </w:r>
      <w:r w:rsidR="002D629A">
        <w:rPr>
          <w:rtl/>
        </w:rPr>
        <w:t xml:space="preserve">אֲפִילוּ נָחָשׁ כָּרוּךְ עַל עֲקֵבוֹ לֹא יַפְסִיק, אַף עַל גַּב דְּסָחִיר לָהּ לְהַאי נְקוּדָה </w:t>
      </w:r>
      <w:r w:rsidR="002D629A">
        <w:rPr>
          <w:rStyle w:val="a7"/>
          <w:rFonts w:hAnsi="Arial"/>
          <w:b w:val="0"/>
          <w:bCs w:val="0"/>
          <w:rtl/>
          <w:lang w:eastAsia="en-US"/>
        </w:rPr>
        <w:footnoteReference w:id="2361"/>
      </w:r>
      <w:r w:rsidR="002D629A">
        <w:rPr>
          <w:rtl/>
        </w:rPr>
        <w:t xml:space="preserve">דְאִיהִי קוֹצָא דְאָת ד', בְּכַמָּה חוֹבִין לְאוֹלָפָא קַטֵּיגוֹרָא עַל בְּנוֹי דִּשְׁכִינְתָּא, </w:t>
      </w:r>
      <w:r w:rsidR="002D629A">
        <w:rPr>
          <w:rStyle w:val="a7"/>
          <w:rFonts w:hAnsi="Arial"/>
          <w:b w:val="0"/>
          <w:bCs w:val="0"/>
          <w:rtl/>
          <w:lang w:eastAsia="en-US"/>
        </w:rPr>
        <w:footnoteReference w:id="2362"/>
      </w:r>
      <w:r w:rsidR="002D629A">
        <w:rPr>
          <w:rtl/>
        </w:rPr>
        <w:t xml:space="preserve">לֹא יַפְסִיק לְהַהִיא נְקוּדָה, דְּאִם יַפְסִיק, בְּגִינֵיהּ אִסְתַּלַּק קוֹצָא מִן ד' מִן אֶחָד, וְאִשְׁתָּאַר אַחֵר, דְּאִיהוּ נָחָשׁ כָּרוּךְ בַּעֲקֵבוֹ, דִּבְגִין חִוְיָא לָא יַפְסִיק, וְלָא אִסְתַּלַּק קוֹצָא דְאָת ד' מִן אֶחָד, אֲבָל בְּגִין עַקְרָב אִסְתַּלַּק, וְאִיהוּ פּוֹסֵק, וּבָרַח מִנֵּיהּ, הֲדָא הוּא דִכְתִיב </w:t>
      </w:r>
      <w:r w:rsidR="002D629A">
        <w:rPr>
          <w:sz w:val="20"/>
          <w:szCs w:val="20"/>
          <w:rtl/>
        </w:rPr>
        <w:t>(בראשית לט יב)</w:t>
      </w:r>
      <w:r w:rsidR="002D629A">
        <w:rPr>
          <w:rtl/>
        </w:rPr>
        <w:t xml:space="preserve"> וַיַּעֲזוֹב בִּגְדוֹ אֶצְלָה וַיָּנָס וַיֵּצֵא הַחוּצָה.</w:t>
      </w:r>
      <w:r>
        <w:rPr>
          <w:rFonts w:hint="cs"/>
          <w:rtl/>
        </w:rPr>
        <w:t xml:space="preserve"> </w:t>
      </w:r>
      <w:r w:rsidR="002D629A">
        <w:rPr>
          <w:rtl/>
        </w:rPr>
        <w:t xml:space="preserve">אַדְהָכִי הָא עוּלֵימָא דְקָא אִזְדַּמַּן לְגַבַּיְיהוּ, מְחַמֵּר אַחֵר בְּעִירָן, אָמַר לוֹן מַהוּ וַיַּעֲזֹב בִּגְדוֹ אֶצְלָה, אֶלָּא עַקְרָב אִיהִי עָקַר ב', </w:t>
      </w:r>
      <w:r w:rsidR="002D629A">
        <w:rPr>
          <w:rStyle w:val="a7"/>
          <w:rFonts w:hAnsi="Arial"/>
          <w:b w:val="0"/>
          <w:bCs w:val="0"/>
          <w:rtl/>
          <w:lang w:eastAsia="en-US"/>
        </w:rPr>
        <w:footnoteReference w:id="2363"/>
      </w:r>
      <w:r w:rsidR="002D629A">
        <w:rPr>
          <w:rtl/>
        </w:rPr>
        <w:t xml:space="preserve">דְּעָקְרַת בֵּיתָא דִשְׁכִינְתָּא, </w:t>
      </w:r>
      <w:r w:rsidR="00CC22AA">
        <w:rPr>
          <w:rFonts w:hint="cs"/>
          <w:rtl/>
        </w:rPr>
        <w:t xml:space="preserve">(בדפוס וילנא הגירסה כאן: </w:t>
      </w:r>
      <w:r w:rsidR="0009450C">
        <w:rPr>
          <w:rFonts w:hint="cs"/>
          <w:rtl/>
        </w:rPr>
        <w:t>כד בעיא לאתחברא עם צדיקיא צריך לאפסקא מניה, ולא יתהני מניה ואפילו ממשכא דיליה, לך לך אמרי לנזירא, סחור סחור, לכרמא לא תקרב. הה"ד ותנח בגדו אצלה, משכא דיצר הרע, ודא איהו בגדו דחויא דפלחן כוכביא כד איהי אתיא לאתחברא עם גוף אדם ישן (נ"א לאתחברא עם צדיקיא)</w:t>
      </w:r>
      <w:r w:rsidR="00CC22AA">
        <w:rPr>
          <w:rFonts w:hint="cs"/>
          <w:rtl/>
        </w:rPr>
        <w:t xml:space="preserve"> [עד כאן בדפוס וילנא])</w:t>
      </w:r>
      <w:r w:rsidR="0009450C">
        <w:rPr>
          <w:rFonts w:hint="cs"/>
          <w:rtl/>
        </w:rPr>
        <w:t>,</w:t>
      </w:r>
      <w:r>
        <w:rPr>
          <w:rFonts w:hint="cs"/>
          <w:rtl/>
        </w:rPr>
        <w:t xml:space="preserve"> </w:t>
      </w:r>
      <w:r w:rsidR="002D629A">
        <w:rPr>
          <w:rtl/>
        </w:rPr>
        <w:t xml:space="preserve">וְדָא אִיהוּ בִּגְדוֹ דְחִוְיָא דַעֲבוֹדָה זָרָה, כַּד חִוְיָא אַתְיָא לְאִתְחַבְּרָא עִם גּוּף אָדָם יָשֵׁן, דְּאָמְרַת </w:t>
      </w:r>
      <w:r w:rsidR="002D629A">
        <w:rPr>
          <w:rStyle w:val="a7"/>
          <w:rFonts w:hAnsi="Arial"/>
          <w:b w:val="0"/>
          <w:bCs w:val="0"/>
          <w:rtl/>
          <w:lang w:eastAsia="en-US"/>
        </w:rPr>
        <w:footnoteReference w:id="2364"/>
      </w:r>
      <w:r w:rsidR="002D629A">
        <w:rPr>
          <w:rtl/>
        </w:rPr>
        <w:t xml:space="preserve">שִׁכְבָה עִמִּי, חֲצוּפָה זוֹנָה, אִתְּמַר בְּאוֹת בְּרִית וַיָּנָס וַיֵּצֵא הַחוּצָה. </w:t>
      </w:r>
    </w:p>
    <w:p w:rsidR="002D629A" w:rsidRPr="0009450C" w:rsidRDefault="002D629A" w:rsidP="001A2169">
      <w:pPr>
        <w:pStyle w:val="NormalWeb"/>
        <w:rPr>
          <w:b w:val="0"/>
          <w:bCs w:val="0"/>
          <w:rtl/>
        </w:rPr>
      </w:pPr>
      <w:r w:rsidRPr="0009450C">
        <w:rPr>
          <w:b w:val="0"/>
          <w:bCs w:val="0"/>
          <w:rtl/>
        </w:rPr>
        <w:t>(נ''א כ''י</w:t>
      </w:r>
      <w:r w:rsidR="001A2169">
        <w:rPr>
          <w:rFonts w:hint="cs"/>
          <w:b w:val="0"/>
          <w:bCs w:val="0"/>
          <w:rtl/>
        </w:rPr>
        <w:t>:</w:t>
      </w:r>
      <w:r w:rsidRPr="0009450C">
        <w:rPr>
          <w:b w:val="0"/>
          <w:bCs w:val="0"/>
          <w:rtl/>
        </w:rPr>
        <w:t xml:space="preserve"> ובגין דא אפילו נחש כרוך על עקבו לא יפסיק, אף על גב דסתיר לה לההיא נקודה דאת ד' לא יפסיק, דאי יפסיק בגיניה אסתלק קוצא מן ד' דאחד ואשתאר אחר דאיהו נחש כרוך בגין דחויא לא יפסיק ולא אסתלק, ואיהו פוסק וברחת מניה, אבל עקרב יפסיק, כמה דעבד יוסף צדיקא הדא הוא דכתיב וינח בגדו אצלה וינס וכו'. אדהכי הא עולימא קא אזדמן לגבייהו מחמר בתר בעירן, אמר לון מאי וינח בגדו אצלה וכו', אלא עקרב עקר ב', דעקר ביתא דשכינתא, כד בעיא לאתחברא עם צדיקייא צריך לאפסקא מניה, ולא יתהני מיניה ואפילו ממשכא דיליה, לך לך אמרי נזירא סחור סחור לכרמא לא תקרב הדא הוא דכתיב וינח בגדו אצלה, משכא דיצר הרע, ודא בגדו דחוייא עבודה זרה, כד איהו קא אתייא לאתחברא עם צדיקייא ואמרה שכבה עמי חצופה זונה, איתמר באות ברית וינס ויצא החוצה).</w:t>
      </w:r>
    </w:p>
    <w:p w:rsidR="002D629A" w:rsidRDefault="002D629A" w:rsidP="00B17EA9">
      <w:pPr>
        <w:pStyle w:val="NormalWeb"/>
        <w:rPr>
          <w:rtl/>
        </w:rPr>
      </w:pPr>
      <w:r>
        <w:rPr>
          <w:rStyle w:val="a7"/>
          <w:rFonts w:hAnsi="Arial"/>
          <w:b w:val="0"/>
          <w:bCs w:val="0"/>
          <w:rtl/>
          <w:lang w:eastAsia="en-US"/>
        </w:rPr>
        <w:footnoteReference w:id="2365"/>
      </w:r>
      <w:r>
        <w:rPr>
          <w:rtl/>
        </w:rPr>
        <w:t xml:space="preserve">אָמְרוּ לֵיהּ מָאן אַנְתְּ, אָמַר לוֹן אֲנָא אִיהוּ בְרָא </w:t>
      </w:r>
      <w:r>
        <w:rPr>
          <w:rStyle w:val="a7"/>
          <w:rFonts w:hAnsi="Arial"/>
          <w:b w:val="0"/>
          <w:bCs w:val="0"/>
          <w:rtl/>
          <w:lang w:eastAsia="en-US"/>
        </w:rPr>
        <w:footnoteReference w:id="2366"/>
      </w:r>
      <w:r>
        <w:rPr>
          <w:rtl/>
        </w:rPr>
        <w:t xml:space="preserve">דְנוּנָא חֲדָא, דְשָׁט בְּיַמָּא רַבְרְבָא, וּבָלַע כָּל נוּנִין דְּיַמָּא וְאַפֵּיק לְהוֹן חַיִּים לְבָר, וּלְזִמְנִין אִיהוּ נָפִיק בְּיַבֶּשְׁתָּא, </w:t>
      </w:r>
      <w:r>
        <w:rPr>
          <w:rStyle w:val="a7"/>
          <w:rFonts w:hAnsi="Arial"/>
          <w:b w:val="0"/>
          <w:bCs w:val="0"/>
          <w:rtl/>
          <w:lang w:eastAsia="en-US"/>
        </w:rPr>
        <w:footnoteReference w:id="2367"/>
      </w:r>
      <w:r>
        <w:rPr>
          <w:rtl/>
        </w:rPr>
        <w:t xml:space="preserve">לְקַיְימָא בֵּיהּ </w:t>
      </w:r>
      <w:r>
        <w:rPr>
          <w:sz w:val="20"/>
          <w:szCs w:val="20"/>
          <w:rtl/>
        </w:rPr>
        <w:t>(בראשית מח טז)</w:t>
      </w:r>
      <w:r>
        <w:rPr>
          <w:rtl/>
        </w:rPr>
        <w:t xml:space="preserve">, וְיִדְגּוּ לָרוֹב בְּקֶרֶב הָאָרֶץ, תַּוְוהוּ, אָמְרוּ לֵיהּ, בָּתַר דְּלֵית רְעוּתָךְ לְגַלָּאָה מָאן אַנְתְּ וּבְרָא דְמָאן אַנְתְּ, מָאן אִיהוּ </w:t>
      </w:r>
      <w:r>
        <w:rPr>
          <w:sz w:val="20"/>
          <w:szCs w:val="20"/>
          <w:rtl/>
        </w:rPr>
        <w:t>(נ''א מאי איהו)</w:t>
      </w:r>
      <w:r>
        <w:rPr>
          <w:rtl/>
        </w:rPr>
        <w:t xml:space="preserve"> אֲתַר דְּדוּכְתָּךְ, אָמַר לוֹן אֲתַר דְּדוּכְתִּי אִיהוּ </w:t>
      </w:r>
      <w:r>
        <w:rPr>
          <w:rStyle w:val="a7"/>
          <w:rFonts w:hAnsi="Arial"/>
          <w:b w:val="0"/>
          <w:bCs w:val="0"/>
          <w:rtl/>
          <w:lang w:eastAsia="en-US"/>
        </w:rPr>
        <w:footnoteReference w:id="2368"/>
      </w:r>
      <w:r>
        <w:rPr>
          <w:rtl/>
        </w:rPr>
        <w:t>מַגְדְּלָא חָדָא דְפָרַח בַּאֲוִירָא תַּוְוהוּ.</w:t>
      </w:r>
    </w:p>
    <w:p w:rsidR="002D629A" w:rsidRDefault="002D629A" w:rsidP="00B17EA9">
      <w:pPr>
        <w:pStyle w:val="NormalWeb"/>
        <w:rPr>
          <w:rtl/>
        </w:rPr>
      </w:pPr>
      <w:r>
        <w:rPr>
          <w:rtl/>
        </w:rPr>
        <w:t xml:space="preserve">אָמְרוּ לֵיהּ לָא תֵימָא לָן מִדֵי </w:t>
      </w:r>
      <w:r>
        <w:rPr>
          <w:sz w:val="20"/>
          <w:szCs w:val="20"/>
          <w:rtl/>
        </w:rPr>
        <w:t>(ס''א מלי)</w:t>
      </w:r>
      <w:r>
        <w:rPr>
          <w:rtl/>
        </w:rPr>
        <w:t xml:space="preserve">, מַאי אִיהוּ אָבוּךְ, אָמַר לוֹן אַבָּא דִילִי אִיהוּ חַד נוּנָא רַבְרְבָא, </w:t>
      </w:r>
      <w:r>
        <w:rPr>
          <w:rStyle w:val="a7"/>
          <w:rFonts w:hAnsi="Arial"/>
          <w:b w:val="0"/>
          <w:bCs w:val="0"/>
          <w:rtl/>
          <w:lang w:eastAsia="en-US"/>
        </w:rPr>
        <w:footnoteReference w:id="2369"/>
      </w:r>
      <w:r>
        <w:rPr>
          <w:rtl/>
        </w:rPr>
        <w:t xml:space="preserve">דְכַד צָחֵי, אַפְתַּח פּוּמֵיהּ וּבָלַע מַיָּא דְיַמָּא, וְעַד שַׁבְעִין </w:t>
      </w:r>
      <w:r>
        <w:rPr>
          <w:sz w:val="20"/>
          <w:szCs w:val="20"/>
          <w:rtl/>
        </w:rPr>
        <w:t>(ס''א שבעה)</w:t>
      </w:r>
      <w:r>
        <w:rPr>
          <w:rtl/>
        </w:rPr>
        <w:t xml:space="preserve"> שְׁנִין לָא הֲדַר יַמָּא לְתוּקְפֵיהּ, </w:t>
      </w:r>
      <w:r>
        <w:rPr>
          <w:rStyle w:val="a7"/>
          <w:rFonts w:hAnsi="Arial"/>
          <w:b w:val="0"/>
          <w:bCs w:val="0"/>
          <w:rtl/>
          <w:lang w:eastAsia="en-US"/>
        </w:rPr>
        <w:footnoteReference w:id="2370"/>
      </w:r>
      <w:r>
        <w:rPr>
          <w:rtl/>
        </w:rPr>
        <w:t xml:space="preserve">וְרָזָא דְמִלָּה יִבְטַח כִּי יָגִיחַ יַרְדֵּן אֶל פִּיהוּ </w:t>
      </w:r>
      <w:r>
        <w:rPr>
          <w:sz w:val="20"/>
          <w:szCs w:val="20"/>
          <w:rtl/>
        </w:rPr>
        <w:t>(איוב מ כג)</w:t>
      </w:r>
      <w:r>
        <w:rPr>
          <w:rtl/>
        </w:rPr>
        <w:t xml:space="preserve">, וְאִיהוּ בָלַע כָּל כַּךְ מִן יַמָּא, </w:t>
      </w:r>
      <w:r>
        <w:rPr>
          <w:rStyle w:val="a7"/>
          <w:rFonts w:hAnsi="Arial"/>
          <w:b w:val="0"/>
          <w:bCs w:val="0"/>
          <w:rtl/>
          <w:lang w:eastAsia="en-US"/>
        </w:rPr>
        <w:footnoteReference w:id="2371"/>
      </w:r>
      <w:r>
        <w:rPr>
          <w:rtl/>
        </w:rPr>
        <w:t>וְאַתּוּן לָא אִשְׁתָּאַבְתּוּן מִנֵּיהּ אֶלָּא כַּד חַד, דְּאִיהוּ כ''ד סִפְרֵי דְאוֹרַיְיתָא, אֵיךְ לָא אִשְׁתְּמוֹדַעְתּוּן בֵּיהּ.</w:t>
      </w:r>
    </w:p>
    <w:p w:rsidR="002D629A" w:rsidRDefault="002D629A" w:rsidP="00B17EA9">
      <w:pPr>
        <w:pStyle w:val="aa"/>
        <w:rPr>
          <w:rtl/>
        </w:rPr>
      </w:pPr>
      <w:bookmarkStart w:id="193" w:name="_Toc228095643"/>
      <w:bookmarkStart w:id="194" w:name="_Toc231638081"/>
      <w:r>
        <w:rPr>
          <w:rtl/>
        </w:rPr>
        <w:t>[תיקוני זוהר - דף נב ע''ב]</w:t>
      </w:r>
      <w:bookmarkEnd w:id="193"/>
      <w:bookmarkEnd w:id="194"/>
    </w:p>
    <w:p w:rsidR="002D629A" w:rsidRDefault="002D629A" w:rsidP="00B17EA9">
      <w:pPr>
        <w:pStyle w:val="NormalWeb"/>
        <w:rPr>
          <w:rtl/>
        </w:rPr>
      </w:pPr>
      <w:r>
        <w:rPr>
          <w:rtl/>
        </w:rPr>
        <w:t xml:space="preserve">בְּהַהוּא זִמְנָא אִדְכַּר רַבִּי אֶלְעָזָר וְאָמַר וַדַּאי אַנְתְּ אִיהוּ בְרָא דְרַב הַמְנוּנָא סָבָא, חָדוּ בֵּיהּ, וְאָמְרוּ. בְּוַדַּאי אִי אַנְתְּ הֲוִית בְּהַאי עָלְמָא, הֲוִינָן </w:t>
      </w:r>
      <w:r>
        <w:rPr>
          <w:sz w:val="20"/>
          <w:szCs w:val="20"/>
          <w:rtl/>
        </w:rPr>
        <w:t xml:space="preserve">(נב ע"ב) </w:t>
      </w:r>
      <w:r>
        <w:rPr>
          <w:rtl/>
        </w:rPr>
        <w:t>קָא נָחֲתִין מִסּוּסְוָון דִּילָן, וַהֲוִינָן אֲנַן מְחַמְּרִין בָּתַר בְּעִירָךְ.</w:t>
      </w:r>
    </w:p>
    <w:p w:rsidR="002D629A" w:rsidRDefault="002D629A" w:rsidP="00B17EA9">
      <w:pPr>
        <w:pStyle w:val="NormalWeb"/>
        <w:rPr>
          <w:rtl/>
        </w:rPr>
      </w:pPr>
      <w:r>
        <w:rPr>
          <w:rStyle w:val="a7"/>
          <w:rFonts w:hAnsi="Arial"/>
          <w:b w:val="0"/>
          <w:bCs w:val="0"/>
          <w:rtl/>
          <w:lang w:eastAsia="en-US"/>
        </w:rPr>
        <w:footnoteReference w:id="2372"/>
      </w:r>
      <w:r>
        <w:rPr>
          <w:rtl/>
        </w:rPr>
        <w:t xml:space="preserve">אָמַר לוֹן, הַהוּא חִוְיָא דְאַתּוּן מַגִּיחִין קְרָבָא בֵיהּ אֵיךְ אִשְׁתֵּזַבְתּוּן מִנֵּיהּ, </w:t>
      </w:r>
      <w:r>
        <w:rPr>
          <w:rStyle w:val="a7"/>
          <w:rFonts w:hAnsi="Arial"/>
          <w:b w:val="0"/>
          <w:bCs w:val="0"/>
          <w:rtl/>
          <w:lang w:eastAsia="en-US"/>
        </w:rPr>
        <w:footnoteReference w:id="2373"/>
      </w:r>
      <w:r>
        <w:rPr>
          <w:rtl/>
        </w:rPr>
        <w:t xml:space="preserve">דְּאִיהוּ בָלַע וְקָטִיל, וְלָא עוֹד אֶלָּא דְאִיהוּ קָטִיל לְאָדָם קַדְמָאָה, וּלְכָל דָּרִין דְּקָא אַתְיָין אַבַּתְרֵיהּ, </w:t>
      </w:r>
      <w:r>
        <w:rPr>
          <w:rStyle w:val="a7"/>
          <w:rFonts w:hAnsi="Arial"/>
          <w:b w:val="0"/>
          <w:bCs w:val="0"/>
          <w:rtl/>
          <w:lang w:eastAsia="en-US"/>
        </w:rPr>
        <w:footnoteReference w:id="2374"/>
      </w:r>
      <w:r>
        <w:rPr>
          <w:rtl/>
        </w:rPr>
        <w:t xml:space="preserve">וּבְרַתָּא </w:t>
      </w:r>
      <w:r>
        <w:rPr>
          <w:rStyle w:val="a7"/>
          <w:rFonts w:hAnsi="Arial"/>
          <w:b w:val="0"/>
          <w:bCs w:val="0"/>
          <w:rtl/>
          <w:lang w:eastAsia="en-US"/>
        </w:rPr>
        <w:footnoteReference w:id="2375"/>
      </w:r>
      <w:r>
        <w:rPr>
          <w:rtl/>
        </w:rPr>
        <w:t xml:space="preserve">אִיהִי עַל מַגְדְּלָא דְפָרַח בַּאֲוִירָא, </w:t>
      </w:r>
      <w:r>
        <w:rPr>
          <w:rStyle w:val="a7"/>
          <w:rFonts w:hAnsi="Arial"/>
          <w:b w:val="0"/>
          <w:bCs w:val="0"/>
          <w:rtl/>
          <w:lang w:eastAsia="en-US"/>
        </w:rPr>
        <w:footnoteReference w:id="2376"/>
      </w:r>
      <w:r>
        <w:rPr>
          <w:rtl/>
        </w:rPr>
        <w:t xml:space="preserve">וּמַכְרִיזִין בְּכָל יוֹמָא בִרְקִיעָא, דְכָל מָאן דְּקָטִיל לְהַאי חִוְיָא, </w:t>
      </w:r>
      <w:r>
        <w:rPr>
          <w:rStyle w:val="a7"/>
          <w:rFonts w:hAnsi="Arial"/>
          <w:b w:val="0"/>
          <w:bCs w:val="0"/>
          <w:rtl/>
          <w:lang w:eastAsia="en-US"/>
        </w:rPr>
        <w:footnoteReference w:id="2377"/>
      </w:r>
      <w:r>
        <w:rPr>
          <w:rtl/>
        </w:rPr>
        <w:t xml:space="preserve">דְיָהֲבִין לֵיהּ לְאִנְתּוּ בַת מֶלֶךְ פְּנִימָאָה מִמִּשְׁבְּצוֹת זָהָב לְבוּשָׁהּ, וְהַאי זָהָב </w:t>
      </w:r>
      <w:r>
        <w:rPr>
          <w:rStyle w:val="a7"/>
          <w:rFonts w:hAnsi="Arial"/>
          <w:b w:val="0"/>
          <w:bCs w:val="0"/>
          <w:rtl/>
          <w:lang w:eastAsia="en-US"/>
        </w:rPr>
        <w:footnoteReference w:id="2378"/>
      </w:r>
      <w:r>
        <w:rPr>
          <w:rtl/>
        </w:rPr>
        <w:t xml:space="preserve">אִיהוּ ז' יְמֵי בְרֵאשִׁית, ה' חָמֵשׁ אוֹר, ב' אִיהִי ב' מִן בְּרֵאשִׁית, עֲלָהּ אִתְּמַר </w:t>
      </w:r>
      <w:r>
        <w:rPr>
          <w:sz w:val="20"/>
          <w:szCs w:val="20"/>
          <w:rtl/>
        </w:rPr>
        <w:t>(שיר ז י)</w:t>
      </w:r>
      <w:r>
        <w:rPr>
          <w:rtl/>
        </w:rPr>
        <w:t xml:space="preserve"> </w:t>
      </w:r>
      <w:r>
        <w:rPr>
          <w:rStyle w:val="a7"/>
          <w:rFonts w:hAnsi="Arial"/>
          <w:b w:val="0"/>
          <w:bCs w:val="0"/>
          <w:rtl/>
          <w:lang w:eastAsia="en-US"/>
        </w:rPr>
        <w:footnoteReference w:id="2379"/>
      </w:r>
      <w:r>
        <w:rPr>
          <w:rtl/>
        </w:rPr>
        <w:t>יָפָה כַלְּבָנָה, תּוֹרָה שֶׁבְּעַל פֶּה קְרָאָן לָהּ בִּמְתִיבְתָּא.</w:t>
      </w:r>
    </w:p>
    <w:p w:rsidR="002D629A" w:rsidRDefault="002D629A" w:rsidP="00B17EA9">
      <w:pPr>
        <w:pStyle w:val="NormalWeb"/>
        <w:rPr>
          <w:rtl/>
        </w:rPr>
      </w:pPr>
      <w:r>
        <w:rPr>
          <w:rtl/>
        </w:rPr>
        <w:t xml:space="preserve">וּבְגִין הַהוּא כָרוֹזָא דְּכַרִיז, </w:t>
      </w:r>
      <w:r>
        <w:rPr>
          <w:rStyle w:val="a7"/>
          <w:rFonts w:hAnsi="Arial"/>
          <w:b w:val="0"/>
          <w:bCs w:val="0"/>
          <w:rtl/>
          <w:lang w:eastAsia="en-US"/>
        </w:rPr>
        <w:footnoteReference w:id="2380"/>
      </w:r>
      <w:r>
        <w:rPr>
          <w:rtl/>
        </w:rPr>
        <w:t xml:space="preserve">כַּמָּה גִבָּרִין, כַּמָּה מָארֵי תְרִיסִין, אִתְכַּנְשׁוּ בְּבֵי מֶדְרָשָׁא, לְאַגָּחָא קְרָבָא עִם חִוְיָא בְגִינָהּ, </w:t>
      </w:r>
      <w:r>
        <w:rPr>
          <w:rStyle w:val="a7"/>
          <w:rFonts w:hAnsi="Arial"/>
          <w:b w:val="0"/>
          <w:bCs w:val="0"/>
          <w:rtl/>
          <w:lang w:eastAsia="en-US"/>
        </w:rPr>
        <w:footnoteReference w:id="2381"/>
      </w:r>
      <w:r>
        <w:rPr>
          <w:rtl/>
        </w:rPr>
        <w:t xml:space="preserve">וְכַמָּה תְרִיסִין אִתְעֲבִידוּ פְּסָקוֹת בְּגִינָהּ דִּבְרַתָּא דְמַלְכָּא, וַיִּפֶן כֹּה וָכֹה וַיַּרְא כִּי אֵין אִישׁ </w:t>
      </w:r>
      <w:r>
        <w:rPr>
          <w:sz w:val="20"/>
          <w:szCs w:val="20"/>
          <w:rtl/>
        </w:rPr>
        <w:t>(שמות ב יב)</w:t>
      </w:r>
      <w:r>
        <w:rPr>
          <w:rtl/>
        </w:rPr>
        <w:t xml:space="preserve">, לֵית בְּהוֹן דְּקָטִיל לְחִוְיָא, עַד דְּיֵיתֵי הַהוּא דְאִתְּמַר בֵּיהּ וַיִּפֶן כֹּה וָכֹה וַיַּךְ אֶת הַמִּצְרִי, וּבְגִין דָּא בְּגִינֵיהּ אִתְּמַר בֵּיהּ </w:t>
      </w:r>
      <w:r>
        <w:rPr>
          <w:sz w:val="20"/>
          <w:szCs w:val="20"/>
          <w:rtl/>
        </w:rPr>
        <w:t>(בראשית מט י)</w:t>
      </w:r>
      <w:r>
        <w:rPr>
          <w:rtl/>
        </w:rPr>
        <w:t xml:space="preserve"> עַד כִּי יָבֹא </w:t>
      </w:r>
      <w:r>
        <w:rPr>
          <w:rStyle w:val="a7"/>
          <w:rFonts w:hAnsi="Arial"/>
          <w:b w:val="0"/>
          <w:bCs w:val="0"/>
          <w:rtl/>
          <w:lang w:eastAsia="en-US"/>
        </w:rPr>
        <w:footnoteReference w:id="2382"/>
      </w:r>
      <w:r>
        <w:rPr>
          <w:rtl/>
        </w:rPr>
        <w:t xml:space="preserve">שִׁילֹ''ה, מֹשֶׁ''ה, דְּאִיהִי מוֹרָשָׁה דִילֵיהּ, וַדַּאי </w:t>
      </w:r>
      <w:r>
        <w:rPr>
          <w:rStyle w:val="a7"/>
          <w:rFonts w:hAnsi="Arial"/>
          <w:b w:val="0"/>
          <w:bCs w:val="0"/>
          <w:rtl/>
          <w:lang w:eastAsia="en-US"/>
        </w:rPr>
        <w:footnoteReference w:id="2383"/>
      </w:r>
      <w:r>
        <w:rPr>
          <w:rtl/>
        </w:rPr>
        <w:t>אִיהוּ קָטִיל לְחִוְיָא.</w:t>
      </w:r>
    </w:p>
    <w:p w:rsidR="002D629A" w:rsidRDefault="002D629A" w:rsidP="00B17EA9">
      <w:pPr>
        <w:pStyle w:val="NormalWeb"/>
        <w:rPr>
          <w:rtl/>
        </w:rPr>
      </w:pPr>
      <w:r>
        <w:rPr>
          <w:rStyle w:val="a7"/>
          <w:rFonts w:hAnsi="Arial"/>
          <w:b w:val="0"/>
          <w:bCs w:val="0"/>
          <w:rtl/>
          <w:lang w:eastAsia="en-US"/>
        </w:rPr>
        <w:footnoteReference w:id="2384"/>
      </w:r>
      <w:r>
        <w:rPr>
          <w:rtl/>
        </w:rPr>
        <w:t xml:space="preserve">וְל''וֹ יִקְּהַ''ת עַמִּי''ם </w:t>
      </w:r>
      <w:r>
        <w:rPr>
          <w:sz w:val="20"/>
          <w:szCs w:val="20"/>
          <w:rtl/>
        </w:rPr>
        <w:t>(שם)</w:t>
      </w:r>
      <w:r>
        <w:rPr>
          <w:rtl/>
        </w:rPr>
        <w:t xml:space="preserve">, בְּגִין דְּאִיהוּ בֶּן לֵוִי בֶּן קְהָ''ת בֶּן עַמְרָ''ם, בֶּן עַמָּא רָמָא, דְאִתְּמַר בֵּיהּ </w:t>
      </w:r>
      <w:r>
        <w:rPr>
          <w:sz w:val="20"/>
          <w:szCs w:val="20"/>
          <w:rtl/>
        </w:rPr>
        <w:t>(דהי''א כג יז)</w:t>
      </w:r>
      <w:r>
        <w:rPr>
          <w:rtl/>
        </w:rPr>
        <w:t xml:space="preserve"> וּבְנֵי רְחַבְיָה רָבוּ לְמָעְלָה, וְקָטִיל לְחִוְיָא, </w:t>
      </w:r>
      <w:r>
        <w:rPr>
          <w:rStyle w:val="a7"/>
          <w:rFonts w:hAnsi="Arial"/>
          <w:b w:val="0"/>
          <w:bCs w:val="0"/>
          <w:rtl/>
          <w:lang w:eastAsia="en-US"/>
        </w:rPr>
        <w:footnoteReference w:id="2385"/>
      </w:r>
      <w:r>
        <w:rPr>
          <w:rtl/>
        </w:rPr>
        <w:t xml:space="preserve">וְחֵילֵיהּ בְּיַמָּא וּבְיַבֶּשְׁתָּא וּבִרְקִיעָא, </w:t>
      </w:r>
      <w:r>
        <w:rPr>
          <w:rStyle w:val="a7"/>
          <w:rFonts w:hAnsi="Arial"/>
          <w:b w:val="0"/>
          <w:bCs w:val="0"/>
          <w:rtl/>
          <w:lang w:eastAsia="en-US"/>
        </w:rPr>
        <w:footnoteReference w:id="2386"/>
      </w:r>
      <w:r>
        <w:rPr>
          <w:rtl/>
        </w:rPr>
        <w:t xml:space="preserve">וְכַמָּה מָארֵי קְרָבִין אַגָּחוּ עִמֵּיהּ קְרָבָא עַל יַמָּא, כְּמָה דְאַתְּ אָמַר </w:t>
      </w:r>
      <w:r>
        <w:rPr>
          <w:sz w:val="20"/>
          <w:szCs w:val="20"/>
          <w:rtl/>
        </w:rPr>
        <w:t>(תהלים קד כו)</w:t>
      </w:r>
      <w:r>
        <w:rPr>
          <w:rtl/>
        </w:rPr>
        <w:t xml:space="preserve"> שָׁם אֳנִיּוֹת יְהַלֵּכוּן בְּיַמָּא דְאוֹרַיְיתָא, דְּאִינוּן אֳנִיּוֹת </w:t>
      </w:r>
      <w:r>
        <w:rPr>
          <w:rStyle w:val="a7"/>
          <w:rFonts w:hAnsi="Arial"/>
          <w:b w:val="0"/>
          <w:bCs w:val="0"/>
          <w:rtl/>
          <w:lang w:eastAsia="en-US"/>
        </w:rPr>
        <w:footnoteReference w:id="2387"/>
      </w:r>
      <w:r>
        <w:rPr>
          <w:rtl/>
        </w:rPr>
        <w:t>עַיְינִין דְּמִסְתַּכְּלִין בְּאוֹרַיְיתָא, וְכַמָּה אֳנִיּוֹת מִנַּיְיהוּ אִתַּבְּרוּ וְנָפְלוּ בְּיַמָּא.</w:t>
      </w:r>
    </w:p>
    <w:p w:rsidR="002D629A" w:rsidRDefault="002D629A" w:rsidP="00B17EA9">
      <w:pPr>
        <w:pStyle w:val="NormalWeb"/>
        <w:rPr>
          <w:rtl/>
        </w:rPr>
      </w:pPr>
      <w:r>
        <w:rPr>
          <w:rtl/>
        </w:rPr>
        <w:t xml:space="preserve">עַד דְּיֵיתֵי דְּמוֹרָשָׁה הִיא דִילֵיהּ, </w:t>
      </w:r>
      <w:r>
        <w:rPr>
          <w:rStyle w:val="a7"/>
          <w:rFonts w:hAnsi="Arial"/>
          <w:b w:val="0"/>
          <w:bCs w:val="0"/>
          <w:rtl/>
          <w:lang w:eastAsia="en-US"/>
        </w:rPr>
        <w:footnoteReference w:id="2388"/>
      </w:r>
      <w:r>
        <w:rPr>
          <w:rtl/>
        </w:rPr>
        <w:t xml:space="preserve">וְקָרַע יַמָּא דְאוֹרַיְיתָא, </w:t>
      </w:r>
      <w:r>
        <w:rPr>
          <w:rStyle w:val="a7"/>
          <w:rFonts w:hAnsi="Arial"/>
          <w:b w:val="0"/>
          <w:bCs w:val="0"/>
          <w:rtl/>
          <w:lang w:eastAsia="en-US"/>
        </w:rPr>
        <w:footnoteReference w:id="2389"/>
      </w:r>
      <w:r>
        <w:rPr>
          <w:rtl/>
        </w:rPr>
        <w:t xml:space="preserve">וְסוּס וְרוֹכְבוֹ רָמָה בַיָּם, דְּאִיהוּ חִוְיָא וּבַת זוּגֵיהּ, דְּאִיהִי סוּסְיָא דִילֵיהּ, וְאִיהוּ אַעֲבַר עֲלָהּ לְיִשְׂרָאֵל דְּלָא טָבְעִין בָּהּ, הֲדָא הוּא דִכְתִיב </w:t>
      </w:r>
      <w:r>
        <w:rPr>
          <w:sz w:val="20"/>
          <w:szCs w:val="20"/>
          <w:rtl/>
        </w:rPr>
        <w:t>(שמות יד כט)</w:t>
      </w:r>
      <w:r>
        <w:rPr>
          <w:rtl/>
        </w:rPr>
        <w:t xml:space="preserve"> וּבְנֵי יִשְׂרָאֵל הָלְכוּ בַּיַּבָּשָׁה בְּתוֹךְ הַיָּם.</w:t>
      </w:r>
    </w:p>
    <w:p w:rsidR="002D629A" w:rsidRDefault="002D629A" w:rsidP="00B17EA9">
      <w:pPr>
        <w:pStyle w:val="NormalWeb"/>
        <w:rPr>
          <w:rtl/>
        </w:rPr>
      </w:pPr>
      <w:r>
        <w:rPr>
          <w:rStyle w:val="a7"/>
          <w:rFonts w:hAnsi="Arial"/>
          <w:b w:val="0"/>
          <w:bCs w:val="0"/>
          <w:rtl/>
          <w:lang w:eastAsia="en-US"/>
        </w:rPr>
        <w:footnoteReference w:id="2390"/>
      </w:r>
      <w:r>
        <w:rPr>
          <w:rtl/>
        </w:rPr>
        <w:t xml:space="preserve">בְּקַדְמֵיתָא בְיַמָּא בְּהַהוּא חֹמֶר, בְּפוּרְקָנָא בַתְרַיְיתָא כֹּלָּא בְיַמָּא דְאוֹרַיְיתָא, מַטֶּה דִילֵיהּ דְּקָרַע בֵּיהּ יַמָּא </w:t>
      </w:r>
      <w:r>
        <w:rPr>
          <w:rStyle w:val="a7"/>
          <w:rFonts w:hAnsi="Arial"/>
          <w:b w:val="0"/>
          <w:bCs w:val="0"/>
          <w:rtl/>
          <w:lang w:eastAsia="en-US"/>
        </w:rPr>
        <w:footnoteReference w:id="2391"/>
      </w:r>
      <w:r>
        <w:rPr>
          <w:rtl/>
        </w:rPr>
        <w:t xml:space="preserve">דָא קוֹלְמוֹס, </w:t>
      </w:r>
      <w:r>
        <w:rPr>
          <w:rStyle w:val="a7"/>
          <w:rFonts w:hAnsi="Arial"/>
          <w:b w:val="0"/>
          <w:bCs w:val="0"/>
          <w:rtl/>
          <w:lang w:eastAsia="en-US"/>
        </w:rPr>
        <w:footnoteReference w:id="2392"/>
      </w:r>
      <w:r>
        <w:rPr>
          <w:rtl/>
        </w:rPr>
        <w:t xml:space="preserve">בְּגִין דַּעֲלֵיהּ אִתְגַּלְיָיא זְרוֹעַ יהו''ה, דְּאִתְּמַר בֵּיהּ </w:t>
      </w:r>
      <w:r>
        <w:rPr>
          <w:sz w:val="20"/>
          <w:szCs w:val="20"/>
          <w:rtl/>
        </w:rPr>
        <w:t>(ישעיה נג א)</w:t>
      </w:r>
      <w:r>
        <w:rPr>
          <w:rtl/>
        </w:rPr>
        <w:t xml:space="preserve"> וּזְרוֹעַ יהו''ה עַל מִי נִגְלָתָה.</w:t>
      </w:r>
    </w:p>
    <w:p w:rsidR="002D629A" w:rsidRDefault="002D629A" w:rsidP="00B17EA9">
      <w:pPr>
        <w:pStyle w:val="NormalWeb"/>
        <w:rPr>
          <w:rtl/>
        </w:rPr>
      </w:pPr>
      <w:r>
        <w:rPr>
          <w:rStyle w:val="a7"/>
          <w:rFonts w:hAnsi="Arial"/>
          <w:b w:val="0"/>
          <w:bCs w:val="0"/>
          <w:rtl/>
          <w:lang w:eastAsia="en-US"/>
        </w:rPr>
        <w:footnoteReference w:id="2393"/>
      </w:r>
      <w:r>
        <w:rPr>
          <w:rtl/>
        </w:rPr>
        <w:t xml:space="preserve">בְּהַהוּא זִמְנָא דְאִתְעֲבַר הַהוּא חִוְיָא בִּישָׁא מִן יַמָּא, שַׁלִּיט חִוְיָא קַדִּישָׁא, </w:t>
      </w:r>
      <w:r>
        <w:rPr>
          <w:rStyle w:val="a7"/>
          <w:rFonts w:hAnsi="Arial"/>
          <w:b w:val="0"/>
          <w:bCs w:val="0"/>
          <w:rtl/>
          <w:lang w:eastAsia="en-US"/>
        </w:rPr>
        <w:footnoteReference w:id="2394"/>
      </w:r>
      <w:r>
        <w:rPr>
          <w:rtl/>
        </w:rPr>
        <w:t xml:space="preserve">וּבְהַהוּא זִמְנָא </w:t>
      </w:r>
      <w:r>
        <w:rPr>
          <w:sz w:val="20"/>
          <w:szCs w:val="20"/>
          <w:rtl/>
        </w:rPr>
        <w:t>(שם רמש ואין מספר חיות קטנות עם גדולות)</w:t>
      </w:r>
      <w:r>
        <w:rPr>
          <w:rtl/>
        </w:rPr>
        <w:t xml:space="preserve">, אָזְלִין אֳנִיּוֹת בְּהַבְטָחָה בְיַמָּא דְלָא טָבְעִין, </w:t>
      </w:r>
      <w:r>
        <w:rPr>
          <w:rStyle w:val="a7"/>
          <w:rFonts w:hAnsi="Arial"/>
          <w:b w:val="0"/>
          <w:bCs w:val="0"/>
          <w:rtl/>
          <w:lang w:eastAsia="en-US"/>
        </w:rPr>
        <w:footnoteReference w:id="2395"/>
      </w:r>
      <w:r>
        <w:rPr>
          <w:rtl/>
        </w:rPr>
        <w:t xml:space="preserve">דְּהָא רוּחַ סְעָרָה אִתְעֲבַר שָׁלְטָנוּתֵיהּ מִן יַמָּא דְאוֹרַיְיתָא, וּבְהַהוּא זִמְנָא </w:t>
      </w:r>
      <w:r>
        <w:rPr>
          <w:rStyle w:val="a7"/>
          <w:rFonts w:hAnsi="Arial"/>
          <w:b w:val="0"/>
          <w:bCs w:val="0"/>
          <w:rtl/>
          <w:lang w:eastAsia="en-US"/>
        </w:rPr>
        <w:footnoteReference w:id="2396"/>
      </w:r>
      <w:r>
        <w:rPr>
          <w:rtl/>
        </w:rPr>
        <w:t xml:space="preserve">שָׁם רֶמֶשׂ וְאֵין מִסְפָּר וְגוֹמֵר, </w:t>
      </w:r>
      <w:r>
        <w:rPr>
          <w:rStyle w:val="a7"/>
          <w:rFonts w:hAnsi="Arial"/>
          <w:b w:val="0"/>
          <w:bCs w:val="0"/>
          <w:rtl/>
          <w:lang w:eastAsia="en-US"/>
        </w:rPr>
        <w:footnoteReference w:id="2397"/>
      </w:r>
      <w:r>
        <w:rPr>
          <w:rtl/>
        </w:rPr>
        <w:t xml:space="preserve">שָׁם אֳנִיּוֹת יְהַלֵּכוּן </w:t>
      </w:r>
      <w:r>
        <w:rPr>
          <w:rStyle w:val="a7"/>
          <w:rFonts w:hAnsi="Arial"/>
          <w:b w:val="0"/>
          <w:bCs w:val="0"/>
          <w:rtl/>
          <w:lang w:eastAsia="en-US"/>
        </w:rPr>
        <w:footnoteReference w:id="2398"/>
      </w:r>
      <w:r>
        <w:rPr>
          <w:rtl/>
        </w:rPr>
        <w:t xml:space="preserve">לִוְיָתָן זֶה יָצַרְתָּ לְשַׂחֶק בּוֹ </w:t>
      </w:r>
      <w:r>
        <w:rPr>
          <w:sz w:val="20"/>
          <w:szCs w:val="20"/>
          <w:rtl/>
        </w:rPr>
        <w:t>(תהלים קד כה כו)</w:t>
      </w:r>
      <w:r>
        <w:rPr>
          <w:rtl/>
        </w:rPr>
        <w:t xml:space="preserve">, </w:t>
      </w:r>
      <w:r>
        <w:rPr>
          <w:rStyle w:val="a7"/>
          <w:rFonts w:hAnsi="Arial"/>
          <w:b w:val="0"/>
          <w:bCs w:val="0"/>
          <w:rtl/>
          <w:lang w:eastAsia="en-US"/>
        </w:rPr>
        <w:footnoteReference w:id="2399"/>
      </w:r>
      <w:r>
        <w:rPr>
          <w:rtl/>
        </w:rPr>
        <w:t xml:space="preserve">וִיהֵי חָדֵי עִמְּהוֹן, </w:t>
      </w:r>
      <w:r>
        <w:rPr>
          <w:rStyle w:val="a7"/>
          <w:rFonts w:hAnsi="Arial"/>
          <w:b w:val="0"/>
          <w:bCs w:val="0"/>
          <w:rtl/>
          <w:lang w:eastAsia="en-US"/>
        </w:rPr>
        <w:footnoteReference w:id="2400"/>
      </w:r>
      <w:r>
        <w:rPr>
          <w:rtl/>
        </w:rPr>
        <w:t xml:space="preserve">הֲדָא הוּא דִכְתִיב </w:t>
      </w:r>
      <w:r>
        <w:rPr>
          <w:sz w:val="20"/>
          <w:szCs w:val="20"/>
          <w:rtl/>
        </w:rPr>
        <w:t>(תהלים מח יד)</w:t>
      </w:r>
      <w:r>
        <w:rPr>
          <w:rtl/>
        </w:rPr>
        <w:t xml:space="preserve"> שִׁיתוּ לִבְּכֶם לְחֵילָה וְגוֹמֵר, לְחוֹלָה כְּתִיב, וְכֻלָּם אֵלֶיךָ יְשַׂבֵּרוּן לָתֵת אָכְלָם בְּעִתּוֹ, </w:t>
      </w:r>
      <w:r>
        <w:rPr>
          <w:sz w:val="20"/>
          <w:szCs w:val="20"/>
          <w:rtl/>
        </w:rPr>
        <w:t>(דאינון עתותי דאורייתא כמו שאמרו חכמינו זכרונם לברכה קבעת עתים לתורה)</w:t>
      </w:r>
      <w:r>
        <w:rPr>
          <w:rtl/>
        </w:rPr>
        <w:t xml:space="preserve"> </w:t>
      </w:r>
      <w:r>
        <w:rPr>
          <w:rStyle w:val="a7"/>
          <w:rFonts w:hAnsi="Arial"/>
          <w:b w:val="0"/>
          <w:bCs w:val="0"/>
          <w:rtl/>
          <w:lang w:eastAsia="en-US"/>
        </w:rPr>
        <w:footnoteReference w:id="2401"/>
      </w:r>
      <w:r>
        <w:rPr>
          <w:rtl/>
        </w:rPr>
        <w:t xml:space="preserve">דְּאִיהוּ עִתּוֹ דְצַדִּיק, </w:t>
      </w:r>
      <w:r>
        <w:rPr>
          <w:rStyle w:val="a7"/>
          <w:rFonts w:hAnsi="Arial"/>
          <w:b w:val="0"/>
          <w:bCs w:val="0"/>
          <w:rtl/>
          <w:lang w:eastAsia="en-US"/>
        </w:rPr>
        <w:footnoteReference w:id="2402"/>
      </w:r>
      <w:r>
        <w:rPr>
          <w:rtl/>
        </w:rPr>
        <w:t xml:space="preserve">תִּתֵּן לָהֶם יִלְקוֹטוּן </w:t>
      </w:r>
      <w:r>
        <w:rPr>
          <w:sz w:val="20"/>
          <w:szCs w:val="20"/>
          <w:rtl/>
        </w:rPr>
        <w:t>(שם קד כח)</w:t>
      </w:r>
      <w:r>
        <w:rPr>
          <w:rtl/>
        </w:rPr>
        <w:t xml:space="preserve"> </w:t>
      </w:r>
      <w:r>
        <w:rPr>
          <w:rStyle w:val="Char"/>
          <w:rtl/>
          <w:lang w:eastAsia="en-US"/>
        </w:rPr>
        <w:t>דָּא מַנָּא, דְאִתְּמַר בֵּיהּ</w:t>
      </w:r>
      <w:r>
        <w:rPr>
          <w:rtl/>
        </w:rPr>
        <w:t xml:space="preserve"> </w:t>
      </w:r>
      <w:r>
        <w:rPr>
          <w:sz w:val="20"/>
          <w:szCs w:val="20"/>
          <w:rtl/>
        </w:rPr>
        <w:t>(שמות טז כו)</w:t>
      </w:r>
      <w:r>
        <w:rPr>
          <w:rtl/>
        </w:rPr>
        <w:t xml:space="preserve"> שֵׁשֶׁת יָמִים תִּלְקְטוּהוּ וְגוֹמֵר, מִסִּטְרָא דְעַמּוּדָא דְאֶמְצָעִיתָא דְאִיהוּ כְּלִיל שִׁית סִטְרִין, </w:t>
      </w:r>
      <w:r>
        <w:rPr>
          <w:rStyle w:val="a7"/>
          <w:rFonts w:hAnsi="Arial"/>
          <w:b w:val="0"/>
          <w:bCs w:val="0"/>
          <w:rtl/>
          <w:lang w:eastAsia="en-US"/>
        </w:rPr>
        <w:footnoteReference w:id="2403"/>
      </w:r>
      <w:r>
        <w:rPr>
          <w:rtl/>
        </w:rPr>
        <w:t xml:space="preserve">לִוְיָתָן לְעִילָא דָא צַדִּיק </w:t>
      </w:r>
      <w:r>
        <w:rPr>
          <w:rStyle w:val="a7"/>
          <w:rFonts w:hAnsi="Arial"/>
          <w:b w:val="0"/>
          <w:bCs w:val="0"/>
          <w:rtl/>
          <w:lang w:eastAsia="en-US"/>
        </w:rPr>
        <w:footnoteReference w:id="2404"/>
      </w:r>
      <w:r>
        <w:rPr>
          <w:rtl/>
        </w:rPr>
        <w:t xml:space="preserve">דְּאִיהוּ כְּדָג </w:t>
      </w:r>
      <w:r>
        <w:rPr>
          <w:sz w:val="20"/>
          <w:szCs w:val="20"/>
          <w:rtl/>
        </w:rPr>
        <w:t xml:space="preserve">(דף מג ע''ב) </w:t>
      </w:r>
      <w:r>
        <w:rPr>
          <w:rtl/>
        </w:rPr>
        <w:t xml:space="preserve">קָטָן עַל כֵּיף יַמָּא, </w:t>
      </w:r>
      <w:r>
        <w:rPr>
          <w:rStyle w:val="a7"/>
          <w:rFonts w:hAnsi="Arial"/>
          <w:b w:val="0"/>
          <w:bCs w:val="0"/>
          <w:rtl/>
          <w:lang w:eastAsia="en-US"/>
        </w:rPr>
        <w:footnoteReference w:id="2405"/>
      </w:r>
      <w:r>
        <w:rPr>
          <w:rtl/>
        </w:rPr>
        <w:t xml:space="preserve">נָחָשׁ בָּרִיחַ, דָּא הַהוּא דְאִתְּמַר בֵּיהּ </w:t>
      </w:r>
      <w:r>
        <w:rPr>
          <w:sz w:val="20"/>
          <w:szCs w:val="20"/>
          <w:rtl/>
        </w:rPr>
        <w:t>(שמות כו כח)</w:t>
      </w:r>
      <w:r>
        <w:rPr>
          <w:rtl/>
        </w:rPr>
        <w:t xml:space="preserve"> הַבְּרִיחַ הַתִּיכוֹן בְּתוֹךְ הַקְּרָשִׁים, וְדָא עַמּוּדָא דְאֶמְצָעִיתָא דְאִתְקְרֵי תִּיכוֹן, בְּגִין דְּאִיהוּ עַמּוּדָא דְאֶמְצָעִיתָא, </w:t>
      </w:r>
      <w:r>
        <w:rPr>
          <w:rStyle w:val="a7"/>
          <w:rFonts w:hAnsi="Arial"/>
          <w:b w:val="0"/>
          <w:bCs w:val="0"/>
          <w:rtl/>
          <w:lang w:eastAsia="en-US"/>
        </w:rPr>
        <w:footnoteReference w:id="2406"/>
      </w:r>
      <w:r>
        <w:rPr>
          <w:rtl/>
        </w:rPr>
        <w:t xml:space="preserve">תְּרֵין גַּדְפוֹי יְמִינָא וּשְׂמָאלָא, </w:t>
      </w:r>
      <w:r>
        <w:rPr>
          <w:rStyle w:val="a7"/>
          <w:rFonts w:hAnsi="Arial"/>
          <w:b w:val="0"/>
          <w:bCs w:val="0"/>
          <w:rtl/>
          <w:lang w:eastAsia="en-US"/>
        </w:rPr>
        <w:footnoteReference w:id="2407"/>
      </w:r>
      <w:r>
        <w:rPr>
          <w:rtl/>
        </w:rPr>
        <w:t xml:space="preserve">דְמִתַּמָּן אוֹרַיְיתָא אִתְיְהִיבַת, </w:t>
      </w:r>
      <w:r>
        <w:rPr>
          <w:rStyle w:val="a7"/>
          <w:rFonts w:hAnsi="Arial"/>
          <w:b w:val="0"/>
          <w:bCs w:val="0"/>
          <w:rtl/>
          <w:lang w:eastAsia="en-US"/>
        </w:rPr>
        <w:footnoteReference w:id="2408"/>
      </w:r>
      <w:r>
        <w:rPr>
          <w:rtl/>
        </w:rPr>
        <w:t xml:space="preserve">תְּרֵין קַשְׂקַשּׂוֹי </w:t>
      </w:r>
      <w:r>
        <w:rPr>
          <w:rStyle w:val="a7"/>
          <w:rFonts w:hAnsi="Arial"/>
          <w:b w:val="0"/>
          <w:bCs w:val="0"/>
          <w:rtl/>
          <w:lang w:eastAsia="en-US"/>
        </w:rPr>
        <w:footnoteReference w:id="2409"/>
      </w:r>
      <w:r>
        <w:rPr>
          <w:rtl/>
        </w:rPr>
        <w:t xml:space="preserve">תְּרֵין סַמְכֵי קְשׁוֹט, </w:t>
      </w:r>
      <w:r>
        <w:rPr>
          <w:rStyle w:val="a7"/>
          <w:rFonts w:hAnsi="Arial"/>
          <w:b w:val="0"/>
          <w:bCs w:val="0"/>
          <w:rtl/>
          <w:lang w:eastAsia="en-US"/>
        </w:rPr>
        <w:footnoteReference w:id="2410"/>
      </w:r>
      <w:r>
        <w:rPr>
          <w:rtl/>
        </w:rPr>
        <w:t xml:space="preserve">שְׁכִינְתָּא עִלָּאָה אִיהִי יַמָּא, שְׁכִינְתָּא תַּתָּאָה אִיהִי </w:t>
      </w:r>
      <w:r>
        <w:rPr>
          <w:sz w:val="20"/>
          <w:szCs w:val="20"/>
          <w:rtl/>
        </w:rPr>
        <w:t>(משלי ל יט)</w:t>
      </w:r>
      <w:r>
        <w:rPr>
          <w:rtl/>
        </w:rPr>
        <w:t xml:space="preserve"> דֶרֶךְ אֳנִיָּה בְּלֵב יָם, </w:t>
      </w:r>
      <w:r>
        <w:rPr>
          <w:rStyle w:val="a7"/>
          <w:rFonts w:hAnsi="Arial"/>
          <w:b w:val="0"/>
          <w:bCs w:val="0"/>
          <w:rtl/>
          <w:lang w:eastAsia="en-US"/>
        </w:rPr>
        <w:footnoteReference w:id="2411"/>
      </w:r>
      <w:r>
        <w:rPr>
          <w:rtl/>
        </w:rPr>
        <w:t xml:space="preserve">דְּאִיהוּ ל''ב אלהי''ם דְּעוֹבָדָא דִבְּרֵאשִׁית, </w:t>
      </w:r>
      <w:r>
        <w:rPr>
          <w:rStyle w:val="a7"/>
          <w:rFonts w:hAnsi="Arial"/>
          <w:b w:val="0"/>
          <w:bCs w:val="0"/>
          <w:rtl/>
          <w:lang w:eastAsia="en-US"/>
        </w:rPr>
        <w:footnoteReference w:id="2412"/>
      </w:r>
      <w:r>
        <w:rPr>
          <w:rtl/>
        </w:rPr>
        <w:t xml:space="preserve">שָׁם רֶמֶשׂ וְאֵין מִסְפָּר, כְּמָה דְאַתְּ אָמַר </w:t>
      </w:r>
      <w:r>
        <w:rPr>
          <w:sz w:val="20"/>
          <w:szCs w:val="20"/>
          <w:rtl/>
        </w:rPr>
        <w:t>(שיר ו ח)</w:t>
      </w:r>
      <w:r>
        <w:rPr>
          <w:rtl/>
        </w:rPr>
        <w:t xml:space="preserve"> וַעֲלָמוֹת אֵין מִסְפָּר וכו', וְאִינוּן הֲלָכוֹת פְּסוּקוֹת, דְּאִינוּן </w:t>
      </w:r>
      <w:r>
        <w:rPr>
          <w:sz w:val="20"/>
          <w:szCs w:val="20"/>
          <w:rtl/>
        </w:rPr>
        <w:t>(תהלים מה טו)</w:t>
      </w:r>
      <w:r>
        <w:rPr>
          <w:rtl/>
        </w:rPr>
        <w:t xml:space="preserve"> בְּתוּלוֹת אַחֲרֶיהָ רֵעוֹתֶיהָ דִשְׁכִינְתָּא.</w:t>
      </w:r>
    </w:p>
    <w:p w:rsidR="002D629A" w:rsidRDefault="002D629A" w:rsidP="00B17EA9">
      <w:pPr>
        <w:pStyle w:val="aa"/>
        <w:rPr>
          <w:rtl/>
        </w:rPr>
      </w:pPr>
      <w:r>
        <w:rPr>
          <w:rtl/>
        </w:rPr>
        <w:t>[תיקוני זוהר - דף נג</w:t>
      </w:r>
      <w:r>
        <w:rPr>
          <w:rFonts w:cs="Guttman Frank"/>
          <w:sz w:val="20"/>
          <w:szCs w:val="20"/>
          <w:rtl/>
        </w:rPr>
        <w:t xml:space="preserve"> </w:t>
      </w:r>
      <w:r>
        <w:rPr>
          <w:rtl/>
        </w:rPr>
        <w:t>ע''א]</w:t>
      </w:r>
    </w:p>
    <w:p w:rsidR="002D629A" w:rsidRDefault="002D629A" w:rsidP="00B17EA9">
      <w:pPr>
        <w:pStyle w:val="NormalWeb"/>
        <w:rPr>
          <w:rtl/>
        </w:rPr>
      </w:pPr>
      <w:r>
        <w:rPr>
          <w:rStyle w:val="a7"/>
          <w:rFonts w:hAnsi="Arial"/>
          <w:b w:val="0"/>
          <w:bCs w:val="0"/>
          <w:rtl/>
          <w:lang w:eastAsia="en-US"/>
        </w:rPr>
        <w:footnoteReference w:id="2413"/>
      </w:r>
      <w:r>
        <w:rPr>
          <w:rtl/>
        </w:rPr>
        <w:t xml:space="preserve">חַיּוֹת קְטַנּוֹת אִלֵּין אַתְוָון דְאדנ''י, עִם גְּדוֹלוֹת אִינוּן אַתְוָון דְיהו''ה, דְּאִינוּן מֶרְכָּבוֹת דְּקוּדְשָׁא בְּרִיךְ הוּא וּשְׁכִינְתֵּיהּ, אָתוּ כֻּלְּהוּ </w:t>
      </w:r>
      <w:r>
        <w:rPr>
          <w:sz w:val="20"/>
          <w:szCs w:val="20"/>
          <w:rtl/>
        </w:rPr>
        <w:t xml:space="preserve">(דף נג ע''א) </w:t>
      </w:r>
      <w:r>
        <w:rPr>
          <w:rtl/>
        </w:rPr>
        <w:t>חַבְרַיָּא לְנַשְׁקָא לֵיהּ, פָּרַח וְלָא חָזוּ לֵיהּ וְלָא מִידֵי.</w:t>
      </w:r>
    </w:p>
    <w:p w:rsidR="002D629A" w:rsidRDefault="002D629A" w:rsidP="00B17EA9">
      <w:pPr>
        <w:pStyle w:val="NormalWeb"/>
        <w:rPr>
          <w:rtl/>
        </w:rPr>
      </w:pPr>
      <w:r>
        <w:rPr>
          <w:rStyle w:val="a7"/>
          <w:rFonts w:hAnsi="Arial"/>
          <w:b w:val="0"/>
          <w:bCs w:val="0"/>
          <w:rtl/>
          <w:lang w:eastAsia="en-US"/>
        </w:rPr>
        <w:footnoteReference w:id="2414"/>
      </w:r>
      <w:r>
        <w:rPr>
          <w:rtl/>
        </w:rPr>
        <w:t xml:space="preserve">פָּתַח רַבִּי אֶלְעָזָר וְאָמַר, אַבָּא, וְהָא שֶׁבַע יַמִּים אִינוּן, וְיָם עִלָּאָה אִיהוּ עַל כֻּלְּהוּ, וַעֲלַיְיהוּ אִתְּמַר </w:t>
      </w:r>
      <w:r>
        <w:rPr>
          <w:sz w:val="20"/>
          <w:szCs w:val="20"/>
          <w:rtl/>
        </w:rPr>
        <w:t>(דברים לג יט)</w:t>
      </w:r>
      <w:r>
        <w:rPr>
          <w:rtl/>
        </w:rPr>
        <w:t xml:space="preserve"> כִּי שֶׁפַע יַמִּים יִנָּקוּ, לְמָאן אִינוּן יוֹנְקִים, </w:t>
      </w:r>
      <w:r>
        <w:rPr>
          <w:rStyle w:val="a7"/>
          <w:rFonts w:hAnsi="Arial"/>
          <w:b w:val="0"/>
          <w:bCs w:val="0"/>
          <w:rtl/>
          <w:lang w:eastAsia="en-US"/>
        </w:rPr>
        <w:footnoteReference w:id="2415"/>
      </w:r>
      <w:r>
        <w:rPr>
          <w:rtl/>
        </w:rPr>
        <w:t xml:space="preserve">אָמַר לֵיהּ בְּרִי שִׁבְעָה בְּשִׁבְעָה אִינוּן מוּצָקוֹת, וְהָכִי אִינוּן רְקִיעִים שִׁבְעָה בְּשִׁבְעָה, וְהָכִי אִינוּן טוּרִין שִׁבְעָה בְּשִׁבְעָה, יִשּׁוּבִין שִׁבְעָה בְּשִׁבְעָה, כָּרְסְיָין שִׁבְעָה בְּשִׁבְעָה, הֵיכָלִין שִׁבְעָה בְּשִׁבְעָה, וְרָאשִׁין דִּלְהוֹן תְּרֵין, </w:t>
      </w:r>
      <w:r>
        <w:rPr>
          <w:rStyle w:val="a7"/>
          <w:rFonts w:hAnsi="Arial"/>
          <w:b w:val="0"/>
          <w:bCs w:val="0"/>
          <w:rtl/>
          <w:lang w:eastAsia="en-US"/>
        </w:rPr>
        <w:footnoteReference w:id="2416"/>
      </w:r>
      <w:r>
        <w:rPr>
          <w:rtl/>
        </w:rPr>
        <w:t>וְרָזָא דְמִלָּה שְׁנַיִם שְׁנַיִם שִׁבְעָה שִׁבְעָה, וְכֻלְּהוּ זָכָר וּנְקֵבָה, וּלְעִילָא חַד גָּנִיז וְטָמִיר, וְהָכִי אִינוּן שֶׁבַע כָּרְסְיָין שִׁבְעָה בְּשִׁבְעָה, שֶׁבַע הֵיכָלִין שִׁבְעָה בְּשִׁבְעָה.</w:t>
      </w:r>
    </w:p>
    <w:p w:rsidR="002D629A" w:rsidRDefault="002D629A" w:rsidP="00B17EA9">
      <w:pPr>
        <w:pStyle w:val="NormalWeb"/>
        <w:rPr>
          <w:rtl/>
        </w:rPr>
      </w:pPr>
      <w:r>
        <w:rPr>
          <w:rStyle w:val="a7"/>
          <w:rFonts w:hAnsi="Arial"/>
          <w:b w:val="0"/>
          <w:bCs w:val="0"/>
          <w:rtl/>
          <w:lang w:eastAsia="en-US"/>
        </w:rPr>
        <w:footnoteReference w:id="2417"/>
      </w:r>
      <w:r>
        <w:rPr>
          <w:rtl/>
        </w:rPr>
        <w:t xml:space="preserve">לִוְיָתָן דְּיַמָּא דָא צַדִּיק, רֵישָׁא דְאִיהוּ עַמּוּדָא דְאֶמְצָעִיתָא, מָטֵי עַד יַמָּא שְׁבִיעָאָה דְאִיהִי רֵישָׁא דְכֻלְּהוּ, וּתְרֵין גַּדְפוֹי וּתְרֵין קַשְׂקַשִּׂין בְּאַרְבַּע יַמִּים שִׁעוּרַיְיהוּ, שִׁעוּר דִּזְנָבָא דִילֵיהּ מָטֵי עַד יַמָּא שְׁבִיעָאָה בַּתְרָאָה, </w:t>
      </w:r>
      <w:r>
        <w:rPr>
          <w:rStyle w:val="a7"/>
          <w:rFonts w:hAnsi="Arial"/>
          <w:b w:val="0"/>
          <w:bCs w:val="0"/>
          <w:rtl/>
          <w:lang w:eastAsia="en-US"/>
        </w:rPr>
        <w:footnoteReference w:id="2418"/>
      </w:r>
      <w:r>
        <w:rPr>
          <w:rtl/>
        </w:rPr>
        <w:t xml:space="preserve">דְאִיהִי כְּלִילָא שֶׁבַע יַמִּים, </w:t>
      </w:r>
      <w:r>
        <w:rPr>
          <w:rStyle w:val="a7"/>
          <w:rFonts w:hAnsi="Arial"/>
          <w:b w:val="0"/>
          <w:bCs w:val="0"/>
          <w:rtl/>
          <w:lang w:eastAsia="en-US"/>
        </w:rPr>
        <w:footnoteReference w:id="2419"/>
      </w:r>
      <w:r>
        <w:rPr>
          <w:rtl/>
        </w:rPr>
        <w:t xml:space="preserve">דַּעֲלָהּ אִתְּמַר </w:t>
      </w:r>
      <w:r>
        <w:rPr>
          <w:sz w:val="20"/>
          <w:szCs w:val="20"/>
          <w:rtl/>
        </w:rPr>
        <w:t>(תהלים קיט קסד)</w:t>
      </w:r>
      <w:r>
        <w:rPr>
          <w:rtl/>
        </w:rPr>
        <w:t xml:space="preserve"> שֶׁבַע בַּיּוֹם הִלַּלְתִּיךָ.</w:t>
      </w:r>
    </w:p>
    <w:p w:rsidR="002D629A" w:rsidRDefault="002D629A" w:rsidP="00B17EA9">
      <w:pPr>
        <w:pStyle w:val="NormalWeb"/>
        <w:rPr>
          <w:rtl/>
        </w:rPr>
      </w:pPr>
      <w:r>
        <w:rPr>
          <w:rtl/>
        </w:rPr>
        <w:t xml:space="preserve">אָמַר רַבִּי שִׁמְעוֹן, בְּרִי, </w:t>
      </w:r>
      <w:r>
        <w:rPr>
          <w:rStyle w:val="a7"/>
          <w:rFonts w:hAnsi="Arial"/>
          <w:b w:val="0"/>
          <w:bCs w:val="0"/>
          <w:rtl/>
          <w:lang w:eastAsia="en-US"/>
        </w:rPr>
        <w:footnoteReference w:id="2420"/>
      </w:r>
      <w:r>
        <w:rPr>
          <w:rtl/>
        </w:rPr>
        <w:t xml:space="preserve">הָא מָארֵי תְרִיסִין קָא נָחֲתִין מִלְּעִילָא, </w:t>
      </w:r>
      <w:r>
        <w:rPr>
          <w:rStyle w:val="a7"/>
          <w:rFonts w:hAnsi="Arial"/>
          <w:b w:val="0"/>
          <w:bCs w:val="0"/>
          <w:rtl/>
          <w:lang w:eastAsia="en-US"/>
        </w:rPr>
        <w:footnoteReference w:id="2421"/>
      </w:r>
      <w:r>
        <w:rPr>
          <w:rtl/>
        </w:rPr>
        <w:t xml:space="preserve">מְלוּבָּשִׁין שִׁרְיָין, </w:t>
      </w:r>
      <w:r>
        <w:rPr>
          <w:rStyle w:val="a7"/>
          <w:rFonts w:hAnsi="Arial"/>
          <w:b w:val="0"/>
          <w:bCs w:val="0"/>
          <w:rtl/>
          <w:lang w:eastAsia="en-US"/>
        </w:rPr>
        <w:footnoteReference w:id="2422"/>
      </w:r>
      <w:r>
        <w:rPr>
          <w:rtl/>
        </w:rPr>
        <w:t xml:space="preserve">קַשְׁתּוֹתֵיהוֹן קַשְׁתֵּי אֵשׁ, </w:t>
      </w:r>
      <w:r>
        <w:rPr>
          <w:rStyle w:val="a7"/>
          <w:rFonts w:hAnsi="Arial"/>
          <w:b w:val="0"/>
          <w:bCs w:val="0"/>
          <w:rtl/>
          <w:lang w:eastAsia="en-US"/>
        </w:rPr>
        <w:footnoteReference w:id="2423"/>
      </w:r>
      <w:r>
        <w:rPr>
          <w:rtl/>
        </w:rPr>
        <w:t xml:space="preserve">וְרוּמְחֵיהוֹן אֶשָּׁא, </w:t>
      </w:r>
      <w:r>
        <w:rPr>
          <w:rStyle w:val="a7"/>
          <w:rFonts w:hAnsi="Arial"/>
          <w:b w:val="0"/>
          <w:bCs w:val="0"/>
          <w:rtl/>
          <w:lang w:eastAsia="en-US"/>
        </w:rPr>
        <w:footnoteReference w:id="2424"/>
      </w:r>
      <w:r>
        <w:rPr>
          <w:rtl/>
        </w:rPr>
        <w:t xml:space="preserve">וְסַיְיפֵיהוֹן </w:t>
      </w:r>
      <w:r>
        <w:rPr>
          <w:rStyle w:val="a7"/>
          <w:rFonts w:hAnsi="Arial"/>
          <w:b w:val="0"/>
          <w:bCs w:val="0"/>
          <w:rtl/>
          <w:lang w:eastAsia="en-US"/>
        </w:rPr>
        <w:footnoteReference w:id="2425"/>
      </w:r>
      <w:r>
        <w:rPr>
          <w:rtl/>
        </w:rPr>
        <w:t xml:space="preserve">לֶהָבָה, </w:t>
      </w:r>
      <w:r>
        <w:rPr>
          <w:rStyle w:val="a7"/>
          <w:rFonts w:hAnsi="Arial"/>
          <w:b w:val="0"/>
          <w:bCs w:val="0"/>
          <w:rtl/>
          <w:lang w:eastAsia="en-US"/>
        </w:rPr>
        <w:footnoteReference w:id="2426"/>
      </w:r>
      <w:r>
        <w:rPr>
          <w:rtl/>
        </w:rPr>
        <w:t xml:space="preserve">כֻּלְּהוּ מָארֵי עַיְינִין, </w:t>
      </w:r>
      <w:r>
        <w:rPr>
          <w:rStyle w:val="a7"/>
          <w:rFonts w:hAnsi="Arial"/>
          <w:b w:val="0"/>
          <w:bCs w:val="0"/>
          <w:rtl/>
          <w:lang w:eastAsia="en-US"/>
        </w:rPr>
        <w:footnoteReference w:id="2427"/>
      </w:r>
      <w:r>
        <w:rPr>
          <w:rtl/>
        </w:rPr>
        <w:t>בְּוַדַּאי הָא מָארֵי תְרִיסִין בְּבֵי מֶדְרָשָׁא, וְאִלֵּין בְּהוֹן יִתְעָרוּן לְאַגָחָא קְרָבָא לְעִילָא.</w:t>
      </w:r>
    </w:p>
    <w:p w:rsidR="002D629A" w:rsidRDefault="002D629A" w:rsidP="00FB1D80">
      <w:pPr>
        <w:pStyle w:val="NormalWeb"/>
        <w:rPr>
          <w:rtl/>
        </w:rPr>
      </w:pPr>
      <w:r>
        <w:rPr>
          <w:rtl/>
        </w:rPr>
        <w:t xml:space="preserve">וְלָא עוֹד אֶלָּא דְהָא נוּנָא רַבְרְבָא קָא אַתְיָא, רַב הַמְנוּנָא סָבָא, וַדַּאי בְּכַמָּה נוּנִין חֲיָילִין קַדִּישִׁין דְּתַלְמִידֵי חֲכָמִים, דְּמִתְרַבִּין בְּיַמָּא, כְּעַן צָרִיךְ לְפָרְשָׁא לוֹן </w:t>
      </w:r>
      <w:r>
        <w:rPr>
          <w:rStyle w:val="a7"/>
          <w:rFonts w:hAnsi="Arial"/>
          <w:b w:val="0"/>
          <w:bCs w:val="0"/>
          <w:rtl/>
          <w:lang w:eastAsia="en-US"/>
        </w:rPr>
        <w:footnoteReference w:id="2428"/>
      </w:r>
      <w:r>
        <w:rPr>
          <w:rtl/>
        </w:rPr>
        <w:t xml:space="preserve">רֶשֶׁת, לְמִיהְוִי בִרְשׁוּת דִּילָן, </w:t>
      </w:r>
      <w:r>
        <w:rPr>
          <w:rStyle w:val="a7"/>
          <w:rFonts w:hAnsi="Arial"/>
          <w:b w:val="0"/>
          <w:bCs w:val="0"/>
          <w:rtl/>
          <w:lang w:eastAsia="en-US"/>
        </w:rPr>
        <w:footnoteReference w:id="2429"/>
      </w:r>
      <w:r>
        <w:rPr>
          <w:rtl/>
        </w:rPr>
        <w:t xml:space="preserve">וּלְמָארֵי תְּרִיסִין מָאנֵי קְרָבָא, כְּעַן צָרִיךְ לְאַתְקָנָא </w:t>
      </w:r>
      <w:r>
        <w:rPr>
          <w:rStyle w:val="a7"/>
          <w:rFonts w:hAnsi="Arial"/>
          <w:b w:val="0"/>
          <w:bCs w:val="0"/>
          <w:rtl/>
          <w:lang w:eastAsia="en-US"/>
        </w:rPr>
        <w:footnoteReference w:id="2430"/>
      </w:r>
      <w:r>
        <w:rPr>
          <w:rtl/>
        </w:rPr>
        <w:t xml:space="preserve">בְקִירְטָא </w:t>
      </w:r>
      <w:r w:rsidR="00FB1D80">
        <w:rPr>
          <w:rStyle w:val="a7"/>
          <w:rtl/>
        </w:rPr>
        <w:footnoteReference w:id="2431"/>
      </w:r>
      <w:r>
        <w:rPr>
          <w:rtl/>
        </w:rPr>
        <w:t xml:space="preserve">בְּאַבְנִין דְּקִירְטָא, </w:t>
      </w:r>
      <w:r>
        <w:rPr>
          <w:rStyle w:val="a7"/>
          <w:rFonts w:hAnsi="Arial"/>
          <w:b w:val="0"/>
          <w:bCs w:val="0"/>
          <w:rtl/>
          <w:lang w:eastAsia="en-US"/>
        </w:rPr>
        <w:footnoteReference w:id="2432"/>
      </w:r>
      <w:r>
        <w:rPr>
          <w:rtl/>
        </w:rPr>
        <w:t xml:space="preserve">בְּקַשְׁתָּא בְגִירִין דְּקַשְׁתָּא, </w:t>
      </w:r>
      <w:r>
        <w:rPr>
          <w:rStyle w:val="a7"/>
          <w:rFonts w:hAnsi="Arial"/>
          <w:b w:val="0"/>
          <w:bCs w:val="0"/>
          <w:rtl/>
          <w:lang w:eastAsia="en-US"/>
        </w:rPr>
        <w:footnoteReference w:id="2433"/>
      </w:r>
      <w:r>
        <w:rPr>
          <w:rtl/>
        </w:rPr>
        <w:t xml:space="preserve">בְּרוּמְחָא, בְּחַרְבָּא, </w:t>
      </w:r>
      <w:r>
        <w:rPr>
          <w:rStyle w:val="a7"/>
          <w:rFonts w:hAnsi="Arial"/>
          <w:b w:val="0"/>
          <w:bCs w:val="0"/>
          <w:rtl/>
          <w:lang w:eastAsia="en-US"/>
        </w:rPr>
        <w:footnoteReference w:id="2434"/>
      </w:r>
      <w:r>
        <w:rPr>
          <w:rtl/>
        </w:rPr>
        <w:t xml:space="preserve">הַחֲזֵק מָגֵן וְצִנָּה </w:t>
      </w:r>
      <w:r>
        <w:rPr>
          <w:sz w:val="20"/>
          <w:szCs w:val="20"/>
          <w:rtl/>
        </w:rPr>
        <w:t>(תהלים לה ב)</w:t>
      </w:r>
      <w:r>
        <w:rPr>
          <w:rtl/>
        </w:rPr>
        <w:t xml:space="preserve">, </w:t>
      </w:r>
      <w:r>
        <w:rPr>
          <w:rStyle w:val="a7"/>
          <w:rFonts w:hAnsi="Arial"/>
          <w:b w:val="0"/>
          <w:bCs w:val="0"/>
          <w:rtl/>
          <w:lang w:eastAsia="en-US"/>
        </w:rPr>
        <w:footnoteReference w:id="2435"/>
      </w:r>
      <w:r>
        <w:rPr>
          <w:rtl/>
        </w:rPr>
        <w:t xml:space="preserve">דְּאִית מָארֵי תְּרִיסִין דְּאִינוּן מַגִּיחִין בְּסוּסְוָון, וְאִית אָחֳרָנִין דְּאִינוּן רַגְלִין, </w:t>
      </w:r>
      <w:r>
        <w:rPr>
          <w:rStyle w:val="a7"/>
          <w:rFonts w:hAnsi="Arial"/>
          <w:b w:val="0"/>
          <w:bCs w:val="0"/>
          <w:rtl/>
          <w:lang w:eastAsia="en-US"/>
        </w:rPr>
        <w:footnoteReference w:id="2436"/>
      </w:r>
      <w:r>
        <w:rPr>
          <w:rtl/>
        </w:rPr>
        <w:t xml:space="preserve">דַּעֲלַיְיהוּ אִתְּמַר בְּמַפְּקָנוּתָא דְגָלוּתָא דְמִצְרָאֵי, כְּשֵׁשׁ מֵאוֹת אֶלֶף רַגְלִי וְגוֹמֵר </w:t>
      </w:r>
      <w:r>
        <w:rPr>
          <w:sz w:val="20"/>
          <w:szCs w:val="20"/>
          <w:rtl/>
        </w:rPr>
        <w:t>(שמות יב לז)</w:t>
      </w:r>
      <w:r>
        <w:rPr>
          <w:rtl/>
        </w:rPr>
        <w:t>.</w:t>
      </w:r>
    </w:p>
    <w:p w:rsidR="002D629A" w:rsidRDefault="002D629A" w:rsidP="00B17EA9">
      <w:pPr>
        <w:pStyle w:val="NormalWeb"/>
        <w:rPr>
          <w:rtl/>
        </w:rPr>
      </w:pPr>
      <w:r>
        <w:rPr>
          <w:rtl/>
        </w:rPr>
        <w:t xml:space="preserve">קָם רַבִּי שִׁמְעוֹן פָּתַח וְאָמַר, שִׁמְעוּ הָרִים אֶת רִיב יהו''ה </w:t>
      </w:r>
      <w:r>
        <w:rPr>
          <w:sz w:val="20"/>
          <w:szCs w:val="20"/>
          <w:rtl/>
        </w:rPr>
        <w:t>(מיכה ו ב)</w:t>
      </w:r>
      <w:r>
        <w:rPr>
          <w:rtl/>
        </w:rPr>
        <w:t xml:space="preserve">, מָאן רִיב, דָּא שְׁכִינְתָּא, </w:t>
      </w:r>
      <w:r>
        <w:rPr>
          <w:rStyle w:val="a7"/>
          <w:rFonts w:hAnsi="Arial"/>
          <w:b w:val="0"/>
          <w:bCs w:val="0"/>
          <w:rtl/>
          <w:lang w:eastAsia="en-US"/>
        </w:rPr>
        <w:footnoteReference w:id="2437"/>
      </w:r>
      <w:r>
        <w:rPr>
          <w:rtl/>
        </w:rPr>
        <w:t>דְאִיהִי רִיב יהו''ה בְּגִין בְּנָהָא, אִיהִי רִיב בְּרַבִּי וְרַב (וְרַבָּן) וְרַבָּא, רִיב וַדַּאי בְּכֻלְּהוּ תַּנָּאִים וְאֱמוֹרָאִים, דְּאִיהִי מְרִיבַת בְּהוֹן בְּשִׁית סִדְרֵי מִשְׁנָה, בְּגִין בַּעְלָהּ דְּאִיהוּ עַמּוּדָא דְאֶמְצָעִיתָא, כְּלִיל שִׁית סִדְרִין.</w:t>
      </w:r>
    </w:p>
    <w:p w:rsidR="002D629A" w:rsidRDefault="002D629A" w:rsidP="00B17EA9">
      <w:pPr>
        <w:pStyle w:val="NormalWeb"/>
        <w:rPr>
          <w:rtl/>
        </w:rPr>
      </w:pPr>
      <w:r>
        <w:rPr>
          <w:rStyle w:val="a7"/>
          <w:rFonts w:hAnsi="Arial"/>
          <w:b w:val="0"/>
          <w:bCs w:val="0"/>
          <w:rtl/>
          <w:lang w:eastAsia="en-US"/>
        </w:rPr>
        <w:footnoteReference w:id="2438"/>
      </w:r>
      <w:r>
        <w:rPr>
          <w:rtl/>
        </w:rPr>
        <w:t xml:space="preserve">וַעֲלַיְיהוּ אִתְּמַר </w:t>
      </w:r>
      <w:r>
        <w:rPr>
          <w:sz w:val="20"/>
          <w:szCs w:val="20"/>
          <w:rtl/>
        </w:rPr>
        <w:t>(ישעיהו כז ה)</w:t>
      </w:r>
      <w:r>
        <w:rPr>
          <w:rtl/>
        </w:rPr>
        <w:t xml:space="preserve"> אוֹ יַחֲזֵק </w:t>
      </w:r>
      <w:r>
        <w:rPr>
          <w:rStyle w:val="a7"/>
          <w:rFonts w:hAnsi="Arial"/>
          <w:b w:val="0"/>
          <w:bCs w:val="0"/>
          <w:rtl/>
          <w:lang w:eastAsia="en-US"/>
        </w:rPr>
        <w:footnoteReference w:id="2439"/>
      </w:r>
      <w:r>
        <w:rPr>
          <w:rtl/>
        </w:rPr>
        <w:t xml:space="preserve">בְּמָעוּזִי, יַעֲשֶׂה שָׁלוֹם לִי, שָׁלוֹם יַעֲשֶׂה לִּי, תְּרֵי שְׁלָמֵי, חַד בְּעַמּוּדָא דְאֶמְצָעִיתָא, וְחַד בְּצַדִּיק, דַּעֲלַיְיהוּ אִתְּמַר </w:t>
      </w:r>
      <w:r>
        <w:rPr>
          <w:sz w:val="20"/>
          <w:szCs w:val="20"/>
          <w:rtl/>
        </w:rPr>
        <w:t>(שם נז ט)</w:t>
      </w:r>
      <w:r>
        <w:rPr>
          <w:rtl/>
        </w:rPr>
        <w:t xml:space="preserve"> שָׁלוֹם שָׁלוֹם לָרָחוֹק וְלַקָּרוֹב, </w:t>
      </w:r>
      <w:r>
        <w:rPr>
          <w:rStyle w:val="a7"/>
          <w:rFonts w:hAnsi="Arial"/>
          <w:b w:val="0"/>
          <w:bCs w:val="0"/>
          <w:rtl/>
          <w:lang w:eastAsia="en-US"/>
        </w:rPr>
        <w:footnoteReference w:id="2440"/>
      </w:r>
      <w:r>
        <w:rPr>
          <w:rtl/>
        </w:rPr>
        <w:t xml:space="preserve">דִּבְגָלוּתָא אִתְּמַר בְּעַמּוּדָא דְאֶמָצָעִיתָא </w:t>
      </w:r>
      <w:r>
        <w:rPr>
          <w:rStyle w:val="a7"/>
          <w:rFonts w:hAnsi="Arial"/>
          <w:b w:val="0"/>
          <w:bCs w:val="0"/>
          <w:rtl/>
          <w:lang w:eastAsia="en-US"/>
        </w:rPr>
        <w:footnoteReference w:id="2441"/>
      </w:r>
      <w:r>
        <w:rPr>
          <w:rtl/>
        </w:rPr>
        <w:t xml:space="preserve">מֵרָחוֹק יהו''ה נִרְאָה לִי </w:t>
      </w:r>
      <w:r>
        <w:rPr>
          <w:sz w:val="20"/>
          <w:szCs w:val="20"/>
          <w:rtl/>
        </w:rPr>
        <w:t>(ירמיהו לא ב)</w:t>
      </w:r>
      <w:r>
        <w:rPr>
          <w:rtl/>
        </w:rPr>
        <w:t xml:space="preserve">, </w:t>
      </w:r>
      <w:r>
        <w:rPr>
          <w:rStyle w:val="a7"/>
          <w:rFonts w:hAnsi="Arial"/>
          <w:b w:val="0"/>
          <w:bCs w:val="0"/>
          <w:rtl/>
          <w:lang w:eastAsia="en-US"/>
        </w:rPr>
        <w:footnoteReference w:id="2442"/>
      </w:r>
      <w:r>
        <w:rPr>
          <w:rtl/>
        </w:rPr>
        <w:t xml:space="preserve">צַדִּיק קָרוֹב לָהּ, וּבְגִינֵיהּ אִתְּמַר </w:t>
      </w:r>
      <w:r>
        <w:rPr>
          <w:sz w:val="20"/>
          <w:szCs w:val="20"/>
          <w:rtl/>
        </w:rPr>
        <w:t>(משלי כז לה)</w:t>
      </w:r>
      <w:r>
        <w:rPr>
          <w:rtl/>
        </w:rPr>
        <w:t xml:space="preserve"> </w:t>
      </w:r>
      <w:r>
        <w:rPr>
          <w:rStyle w:val="a7"/>
          <w:rFonts w:hAnsi="Arial"/>
          <w:b w:val="0"/>
          <w:bCs w:val="0"/>
          <w:rtl/>
          <w:lang w:eastAsia="en-US"/>
        </w:rPr>
        <w:footnoteReference w:id="2443"/>
      </w:r>
      <w:r>
        <w:rPr>
          <w:rtl/>
        </w:rPr>
        <w:t>טוֹב שָׁכֵן קָרוֹב מֵאָח רָחוֹק.</w:t>
      </w:r>
    </w:p>
    <w:p w:rsidR="002D629A" w:rsidRDefault="002D629A" w:rsidP="00B17EA9">
      <w:pPr>
        <w:pStyle w:val="aa"/>
        <w:rPr>
          <w:rtl/>
        </w:rPr>
      </w:pPr>
      <w:bookmarkStart w:id="195" w:name="_Toc228095644"/>
      <w:bookmarkStart w:id="196" w:name="_Toc231638082"/>
      <w:r>
        <w:rPr>
          <w:rtl/>
        </w:rPr>
        <w:t>[תיקוני זוהר - דף נג ע''ב]</w:t>
      </w:r>
      <w:bookmarkEnd w:id="195"/>
      <w:bookmarkEnd w:id="196"/>
    </w:p>
    <w:p w:rsidR="002D629A" w:rsidRDefault="002D629A" w:rsidP="00B17EA9">
      <w:pPr>
        <w:pStyle w:val="NormalWeb"/>
        <w:rPr>
          <w:rtl/>
        </w:rPr>
      </w:pPr>
      <w:r>
        <w:rPr>
          <w:rStyle w:val="a7"/>
          <w:rFonts w:hAnsi="Arial"/>
          <w:b w:val="0"/>
          <w:bCs w:val="0"/>
          <w:rtl/>
          <w:lang w:eastAsia="en-US"/>
        </w:rPr>
        <w:footnoteReference w:id="2444"/>
      </w:r>
      <w:r>
        <w:rPr>
          <w:rtl/>
        </w:rPr>
        <w:t xml:space="preserve">וּבְגִין דָּא שִׁמְעוּ הָרִים אִלֵּין אֲבָהָן, אֶת רִיב יהו''ה דָּא שְׁכִינְתָּא, </w:t>
      </w:r>
      <w:r>
        <w:rPr>
          <w:sz w:val="20"/>
          <w:szCs w:val="20"/>
          <w:rtl/>
        </w:rPr>
        <w:t xml:space="preserve">(דף נג ע''ב) </w:t>
      </w:r>
      <w:r>
        <w:rPr>
          <w:rtl/>
        </w:rPr>
        <w:t xml:space="preserve">דְאִיהִי רִיב עִם אֲבָהָן, בְּגִין דִּמְרַחֲקִין לָהּ מִבַּעְלָהּ, דְּאִינוּן אִתְקְרִיאוּ </w:t>
      </w:r>
      <w:r>
        <w:rPr>
          <w:rStyle w:val="a7"/>
          <w:rFonts w:hAnsi="Arial"/>
          <w:b w:val="0"/>
          <w:bCs w:val="0"/>
          <w:rtl/>
          <w:lang w:eastAsia="en-US"/>
        </w:rPr>
        <w:footnoteReference w:id="2445"/>
      </w:r>
      <w:r>
        <w:rPr>
          <w:rtl/>
        </w:rPr>
        <w:t xml:space="preserve">אֱמוֹרָאִים, </w:t>
      </w:r>
      <w:r>
        <w:rPr>
          <w:rStyle w:val="a7"/>
          <w:rFonts w:hAnsi="Arial"/>
          <w:b w:val="0"/>
          <w:bCs w:val="0"/>
          <w:rtl/>
          <w:lang w:eastAsia="en-US"/>
        </w:rPr>
        <w:footnoteReference w:id="2446"/>
      </w:r>
      <w:r>
        <w:rPr>
          <w:rtl/>
        </w:rPr>
        <w:t xml:space="preserve">וְהָאֵיתָנִים מוֹסְדֵי אָרֶץ אִלֵּין אִינוּן תַּנָּאִים, וְאִלֵּין תַּנָּאִי''ם </w:t>
      </w:r>
      <w:r>
        <w:rPr>
          <w:rStyle w:val="a7"/>
          <w:rFonts w:hAnsi="Arial"/>
          <w:b w:val="0"/>
          <w:bCs w:val="0"/>
          <w:rtl/>
          <w:lang w:eastAsia="en-US"/>
        </w:rPr>
        <w:footnoteReference w:id="2447"/>
      </w:r>
      <w:r>
        <w:rPr>
          <w:rtl/>
        </w:rPr>
        <w:t xml:space="preserve">אֵיתָנִי''ם בְּהִפּוּךְ </w:t>
      </w:r>
      <w:r>
        <w:rPr>
          <w:rStyle w:val="Char"/>
          <w:rtl/>
          <w:lang w:eastAsia="en-US"/>
        </w:rPr>
        <w:t xml:space="preserve">אַתְוָון, וְאִינוּן נֶצַח וָהוֹד </w:t>
      </w:r>
      <w:r>
        <w:rPr>
          <w:sz w:val="20"/>
          <w:szCs w:val="20"/>
          <w:rtl/>
        </w:rPr>
        <w:t>(צדיקים)</w:t>
      </w:r>
      <w:r>
        <w:rPr>
          <w:rtl/>
        </w:rPr>
        <w:t xml:space="preserve"> </w:t>
      </w:r>
      <w:r>
        <w:rPr>
          <w:rStyle w:val="a7"/>
          <w:rFonts w:hAnsi="Arial"/>
          <w:b w:val="0"/>
          <w:bCs w:val="0"/>
          <w:rtl/>
          <w:lang w:eastAsia="en-US"/>
        </w:rPr>
        <w:footnoteReference w:id="2448"/>
      </w:r>
      <w:r>
        <w:rPr>
          <w:rtl/>
        </w:rPr>
        <w:t xml:space="preserve">אֵיתָנֵי עוֹלָם, </w:t>
      </w:r>
      <w:r>
        <w:rPr>
          <w:rStyle w:val="a7"/>
          <w:rFonts w:hAnsi="Arial"/>
          <w:b w:val="0"/>
          <w:bCs w:val="0"/>
          <w:rtl/>
          <w:lang w:eastAsia="en-US"/>
        </w:rPr>
        <w:footnoteReference w:id="2449"/>
      </w:r>
      <w:r>
        <w:rPr>
          <w:rtl/>
        </w:rPr>
        <w:t xml:space="preserve">וְהָא אֵיתָ''ן בְּהִפּוּךְ אַתְוָון תַּנְיָ''א </w:t>
      </w:r>
      <w:r>
        <w:rPr>
          <w:rStyle w:val="a7"/>
          <w:rFonts w:hAnsi="Arial"/>
          <w:b w:val="0"/>
          <w:bCs w:val="0"/>
          <w:rtl/>
          <w:lang w:eastAsia="en-US"/>
        </w:rPr>
        <w:footnoteReference w:id="2450"/>
      </w:r>
      <w:r>
        <w:rPr>
          <w:rtl/>
        </w:rPr>
        <w:t xml:space="preserve">דִמְסַיֵּיעַ לֵיהּ בְּגָלוּתָא, </w:t>
      </w:r>
      <w:r>
        <w:rPr>
          <w:rStyle w:val="a7"/>
          <w:rFonts w:hAnsi="Arial"/>
          <w:b w:val="0"/>
          <w:bCs w:val="0"/>
          <w:rtl/>
          <w:lang w:eastAsia="en-US"/>
        </w:rPr>
        <w:footnoteReference w:id="2451"/>
      </w:r>
      <w:r>
        <w:rPr>
          <w:rtl/>
        </w:rPr>
        <w:t xml:space="preserve">וַעֲלָהּ אִתְּמַר </w:t>
      </w:r>
      <w:r>
        <w:rPr>
          <w:sz w:val="20"/>
          <w:szCs w:val="20"/>
          <w:rtl/>
        </w:rPr>
        <w:t>(במדבר כד כא)</w:t>
      </w:r>
      <w:r>
        <w:rPr>
          <w:rtl/>
        </w:rPr>
        <w:t xml:space="preserve"> אֵיתָן מוֹשָׁבֶךָ וְשִׂים בַּסֶּלַע קִנֶּךָ.</w:t>
      </w:r>
    </w:p>
    <w:p w:rsidR="002D629A" w:rsidRDefault="002D629A" w:rsidP="00B17EA9">
      <w:pPr>
        <w:pStyle w:val="NormalWeb"/>
        <w:rPr>
          <w:rtl/>
        </w:rPr>
      </w:pPr>
      <w:r>
        <w:rPr>
          <w:rStyle w:val="a7"/>
          <w:rFonts w:hAnsi="Arial"/>
          <w:b w:val="0"/>
          <w:bCs w:val="0"/>
          <w:rtl/>
          <w:lang w:eastAsia="en-US"/>
        </w:rPr>
        <w:footnoteReference w:id="2452"/>
      </w:r>
      <w:r>
        <w:rPr>
          <w:rtl/>
        </w:rPr>
        <w:t xml:space="preserve">וְהַאי סֶלַע אִתְּמַר בָּהּ דְלָא נָפִיק </w:t>
      </w:r>
      <w:r>
        <w:rPr>
          <w:rStyle w:val="a7"/>
          <w:rFonts w:hAnsi="Arial"/>
          <w:b w:val="0"/>
          <w:bCs w:val="0"/>
          <w:rtl/>
          <w:lang w:eastAsia="en-US"/>
        </w:rPr>
        <w:footnoteReference w:id="2453"/>
      </w:r>
      <w:r>
        <w:rPr>
          <w:rtl/>
        </w:rPr>
        <w:t xml:space="preserve">אֶלָּא </w:t>
      </w:r>
      <w:r>
        <w:rPr>
          <w:rStyle w:val="a7"/>
          <w:rFonts w:hAnsi="Arial"/>
          <w:b w:val="0"/>
          <w:bCs w:val="0"/>
          <w:rtl/>
          <w:lang w:eastAsia="en-US"/>
        </w:rPr>
        <w:footnoteReference w:id="2454"/>
      </w:r>
      <w:r>
        <w:rPr>
          <w:rtl/>
        </w:rPr>
        <w:t xml:space="preserve">טִפִּין טִפִּין דְמַיָא דְאוֹרַיְיתָא </w:t>
      </w:r>
      <w:r>
        <w:rPr>
          <w:rStyle w:val="a7"/>
          <w:rFonts w:hAnsi="Arial"/>
          <w:b w:val="0"/>
          <w:bCs w:val="0"/>
          <w:rtl/>
          <w:lang w:eastAsia="en-US"/>
        </w:rPr>
        <w:footnoteReference w:id="2455"/>
      </w:r>
      <w:r>
        <w:rPr>
          <w:rtl/>
        </w:rPr>
        <w:t xml:space="preserve">בְּאִלֵּין פְּסַקוֹת </w:t>
      </w:r>
      <w:r>
        <w:rPr>
          <w:rStyle w:val="a7"/>
          <w:rFonts w:hAnsi="Arial"/>
          <w:b w:val="0"/>
          <w:bCs w:val="0"/>
          <w:rtl/>
          <w:lang w:eastAsia="en-US"/>
        </w:rPr>
        <w:footnoteReference w:id="2456"/>
      </w:r>
      <w:r>
        <w:rPr>
          <w:rtl/>
        </w:rPr>
        <w:t xml:space="preserve">וּבְגִין וַיַך מֹשֶה אֶת הַסֶלַע בְּמַטהוּ פְּעֲמָים (במדבר כ יא) </w:t>
      </w:r>
      <w:r>
        <w:rPr>
          <w:rStyle w:val="a7"/>
          <w:rFonts w:hAnsi="Arial"/>
          <w:b w:val="0"/>
          <w:bCs w:val="0"/>
          <w:rtl/>
          <w:lang w:eastAsia="en-US"/>
        </w:rPr>
        <w:footnoteReference w:id="2457"/>
      </w:r>
      <w:r>
        <w:rPr>
          <w:rtl/>
        </w:rPr>
        <w:t xml:space="preserve">דָּא גָּרִים דְּלָא נָפִיק מִינָהּ אֶלָּא טִפִּין טִפִּין זְעִיר שָׁם זְעִיר שָׁם, </w:t>
      </w:r>
      <w:r>
        <w:rPr>
          <w:rStyle w:val="a7"/>
          <w:rFonts w:hAnsi="Arial"/>
          <w:b w:val="0"/>
          <w:bCs w:val="0"/>
          <w:rtl/>
          <w:lang w:eastAsia="en-US"/>
        </w:rPr>
        <w:footnoteReference w:id="2458"/>
      </w:r>
      <w:r>
        <w:rPr>
          <w:rtl/>
        </w:rPr>
        <w:t xml:space="preserve">וְכַמָּה מַחֲלוֹקוֹת עַל אִלֵּין טִפִּין, </w:t>
      </w:r>
      <w:r>
        <w:rPr>
          <w:rStyle w:val="a7"/>
          <w:rFonts w:hAnsi="Arial"/>
          <w:b w:val="0"/>
          <w:bCs w:val="0"/>
          <w:rtl/>
          <w:lang w:eastAsia="en-US"/>
        </w:rPr>
        <w:footnoteReference w:id="2459"/>
      </w:r>
      <w:r>
        <w:rPr>
          <w:rtl/>
        </w:rPr>
        <w:t xml:space="preserve">וּמָאן גְּרִים דָּא, הַמּוֹרִים, דְּאִתְּמַר בְּהוֹן כָּל הַמּוֹרֶה הֲלָכָה בִּפְנֵי רַבּוֹ חַיָּיב מִיתָה, </w:t>
      </w:r>
      <w:r>
        <w:rPr>
          <w:rStyle w:val="a7"/>
          <w:rFonts w:hAnsi="Arial"/>
          <w:b w:val="0"/>
          <w:bCs w:val="0"/>
          <w:rtl/>
          <w:lang w:eastAsia="en-US"/>
        </w:rPr>
        <w:footnoteReference w:id="2460"/>
      </w:r>
      <w:r>
        <w:rPr>
          <w:rtl/>
        </w:rPr>
        <w:t xml:space="preserve">וּבְגִין דָּא שִׁמְעוּ נָא הַמּוֹרִים, וּבְגִינַיְיהוּ וַיַּךְ מֹשֶׁה אֶת הַסֶּלַע בְּמַטֵּהוּ פַּעֲמָיִם, דְּאִם לָא דְמָחָא בָּהּ </w:t>
      </w:r>
      <w:r>
        <w:rPr>
          <w:rStyle w:val="a7"/>
          <w:rFonts w:hAnsi="Arial"/>
          <w:b w:val="0"/>
          <w:bCs w:val="0"/>
          <w:rtl/>
          <w:lang w:eastAsia="en-US"/>
        </w:rPr>
        <w:footnoteReference w:id="2461"/>
      </w:r>
      <w:r>
        <w:rPr>
          <w:rtl/>
        </w:rPr>
        <w:t xml:space="preserve">לָא הֲווֹ טָרְחִין יִשְׂרָאֵל וְתַנָּאִים וְאֱמוֹרָאִין בְּאוֹרַיְיתָא דִבְעַל פֶּה דְּאִיהִי סֶלַע, אֶלָּא אִתְּמַר בּוֹ </w:t>
      </w:r>
      <w:r>
        <w:rPr>
          <w:sz w:val="20"/>
          <w:szCs w:val="20"/>
          <w:rtl/>
        </w:rPr>
        <w:t>(שם ח)</w:t>
      </w:r>
      <w:r>
        <w:rPr>
          <w:rtl/>
        </w:rPr>
        <w:t xml:space="preserve"> </w:t>
      </w:r>
      <w:r>
        <w:rPr>
          <w:rStyle w:val="a7"/>
          <w:rFonts w:hAnsi="Arial"/>
          <w:b w:val="0"/>
          <w:bCs w:val="0"/>
          <w:rtl/>
          <w:lang w:eastAsia="en-US"/>
        </w:rPr>
        <w:footnoteReference w:id="2462"/>
      </w:r>
      <w:r>
        <w:rPr>
          <w:rtl/>
        </w:rPr>
        <w:t xml:space="preserve">וְדִבַּרְתֶּם אֶל הַסֶּלַע וְנָתַן מֵימָיו בְּלָא טוֹרַח, וְיִהְיֶה מִתְקַיֵּים בְּהוֹן וְלֹא יְלַמְּדוּ עוֹד וְגוֹמֵר </w:t>
      </w:r>
      <w:r>
        <w:rPr>
          <w:sz w:val="20"/>
          <w:szCs w:val="20"/>
          <w:rtl/>
        </w:rPr>
        <w:t>(ירמיה לא לג)</w:t>
      </w:r>
      <w:r>
        <w:rPr>
          <w:rtl/>
        </w:rPr>
        <w:t xml:space="preserve">, וַהֲוָה נָפִיק מַיָּא </w:t>
      </w:r>
      <w:r>
        <w:rPr>
          <w:rStyle w:val="a7"/>
          <w:rFonts w:hAnsi="Arial"/>
          <w:b w:val="0"/>
          <w:bCs w:val="0"/>
          <w:rtl/>
          <w:lang w:eastAsia="en-US"/>
        </w:rPr>
        <w:footnoteReference w:id="2463"/>
      </w:r>
      <w:r>
        <w:rPr>
          <w:rtl/>
        </w:rPr>
        <w:t xml:space="preserve">בְּלָא קֻשְׁיָא וּמַחֲלוֹקֶת וּפְסַק, בְּגִין דִּשְׁכִינְתָּא דְאִתְּמַר בָּהּ </w:t>
      </w:r>
      <w:r>
        <w:rPr>
          <w:sz w:val="20"/>
          <w:szCs w:val="20"/>
          <w:rtl/>
        </w:rPr>
        <w:t>(שם כג כט)</w:t>
      </w:r>
      <w:r>
        <w:rPr>
          <w:rtl/>
        </w:rPr>
        <w:t xml:space="preserve"> הֲלֹא </w:t>
      </w:r>
      <w:r>
        <w:rPr>
          <w:rStyle w:val="a7"/>
          <w:rFonts w:hAnsi="Arial"/>
          <w:b w:val="0"/>
          <w:bCs w:val="0"/>
          <w:rtl/>
          <w:lang w:eastAsia="en-US"/>
        </w:rPr>
        <w:footnoteReference w:id="2464"/>
      </w:r>
      <w:r>
        <w:rPr>
          <w:rtl/>
        </w:rPr>
        <w:t xml:space="preserve">כֹה דְבָרִי כָּאֵשׁ נְאֻם יהו''ה </w:t>
      </w:r>
      <w:r>
        <w:rPr>
          <w:rStyle w:val="a7"/>
          <w:rFonts w:hAnsi="Arial"/>
          <w:b w:val="0"/>
          <w:bCs w:val="0"/>
          <w:rtl/>
          <w:lang w:eastAsia="en-US"/>
        </w:rPr>
        <w:footnoteReference w:id="2465"/>
      </w:r>
      <w:r>
        <w:rPr>
          <w:rtl/>
        </w:rPr>
        <w:t xml:space="preserve">הֲוָה שָׁרִי בְּפוּמֵיהוֹן דְּיִשְׂרָאֵל, דְּאִיהִי אוֹרַיְיתָא דִבְעַל פֶּה, דְּאִיהִי סֶלַע </w:t>
      </w:r>
      <w:r>
        <w:rPr>
          <w:rStyle w:val="a7"/>
          <w:rFonts w:hAnsi="Arial"/>
          <w:b w:val="0"/>
          <w:bCs w:val="0"/>
          <w:rtl/>
          <w:lang w:eastAsia="en-US"/>
        </w:rPr>
        <w:footnoteReference w:id="2466"/>
      </w:r>
      <w:r>
        <w:rPr>
          <w:rtl/>
        </w:rPr>
        <w:t>עַ''ל ס', דְּאִינוּן שִׁתִּין מַסֶּכְתּוֹת, דְּהָכִי אִיהוּ סֶלַ''ע עַ''ל ס'.</w:t>
      </w:r>
    </w:p>
    <w:p w:rsidR="002D629A" w:rsidRDefault="002D629A" w:rsidP="00B17EA9">
      <w:pPr>
        <w:pStyle w:val="aa"/>
        <w:rPr>
          <w:rtl/>
        </w:rPr>
      </w:pPr>
      <w:r>
        <w:rPr>
          <w:rtl/>
        </w:rPr>
        <w:t>[תיקוני זוהר - דף נד ע''א]</w:t>
      </w:r>
    </w:p>
    <w:p w:rsidR="002D629A" w:rsidRDefault="002D629A" w:rsidP="00B17EA9">
      <w:pPr>
        <w:pStyle w:val="NormalWeb"/>
        <w:rPr>
          <w:rtl/>
        </w:rPr>
      </w:pPr>
      <w:r>
        <w:rPr>
          <w:rtl/>
        </w:rPr>
        <w:t xml:space="preserve">דִּשְׁכִינְתָּא הֲוָה נָח עַל טִנָּרָא, </w:t>
      </w:r>
      <w:r>
        <w:rPr>
          <w:rStyle w:val="a7"/>
          <w:rFonts w:hAnsi="Arial"/>
          <w:b w:val="0"/>
          <w:bCs w:val="0"/>
          <w:rtl/>
          <w:lang w:eastAsia="en-US"/>
        </w:rPr>
        <w:footnoteReference w:id="2467"/>
      </w:r>
      <w:r>
        <w:rPr>
          <w:rtl/>
        </w:rPr>
        <w:t xml:space="preserve">דִּבְכָל אֲתַר דְּבָעִי קוּדְשָׁא בְּרִיךְ הוּא לְמֶעֱבַד נֵס, שְׁכִינְתָּא אַקְדִּמַת לְהַהוּא אֲתַר, וְכֵיוָן דִּשְׁכִינְתָּא הֲוָה תַּמָּן, לָא הֲוָה לֵיהּ לִמְחָאָה בַסֶּלַע, </w:t>
      </w:r>
      <w:r>
        <w:rPr>
          <w:rStyle w:val="a7"/>
          <w:rFonts w:hAnsi="Arial"/>
          <w:b w:val="0"/>
          <w:bCs w:val="0"/>
          <w:rtl/>
          <w:lang w:eastAsia="en-US"/>
        </w:rPr>
        <w:footnoteReference w:id="2468"/>
      </w:r>
      <w:r>
        <w:rPr>
          <w:rtl/>
        </w:rPr>
        <w:t xml:space="preserve">דִּקְלָנָא הֲוַות לִשְׁכִינְתָּא דַהֲוַת תַּמָּן דְּלָא הֲוָה לֵיהּ חֵילָא לְמֵיהַב מַיָּא, וְדָא אִיהוּ עַל אֲשֶׁר לֹא קִדַּשְׁתֶּם אוֹתִי </w:t>
      </w:r>
      <w:r>
        <w:rPr>
          <w:sz w:val="20"/>
          <w:szCs w:val="20"/>
          <w:rtl/>
        </w:rPr>
        <w:t>(דברים לב נא)</w:t>
      </w:r>
      <w:r>
        <w:rPr>
          <w:rtl/>
        </w:rPr>
        <w:t xml:space="preserve">, יַעַן לֹא הֶאֱמַנְתֶּם בִּי לְהַקְדִּישֵׁנִי </w:t>
      </w:r>
      <w:r>
        <w:rPr>
          <w:sz w:val="20"/>
          <w:szCs w:val="20"/>
          <w:rtl/>
        </w:rPr>
        <w:t>(במדבר כ יב)</w:t>
      </w:r>
      <w:r>
        <w:rPr>
          <w:rtl/>
        </w:rPr>
        <w:t xml:space="preserve">, וּבְגִין דָּא </w:t>
      </w:r>
      <w:r>
        <w:rPr>
          <w:sz w:val="20"/>
          <w:szCs w:val="20"/>
          <w:rtl/>
        </w:rPr>
        <w:t xml:space="preserve">(דף נד ע''א) </w:t>
      </w:r>
      <w:r>
        <w:rPr>
          <w:rtl/>
        </w:rPr>
        <w:t xml:space="preserve">אִסְתַּלַּק שְׁכִינְתָּא מִן הַסֶּלַע, </w:t>
      </w:r>
      <w:r>
        <w:rPr>
          <w:rStyle w:val="a7"/>
          <w:rFonts w:hAnsi="Arial"/>
          <w:b w:val="0"/>
          <w:bCs w:val="0"/>
          <w:rtl/>
          <w:lang w:eastAsia="en-US"/>
        </w:rPr>
        <w:footnoteReference w:id="2469"/>
      </w:r>
      <w:r>
        <w:rPr>
          <w:rtl/>
        </w:rPr>
        <w:t xml:space="preserve">דְּאִיהִי י' מִן מיטטרו''ן, וְאִשְׁתָּאַר מטטרו''ן יְבֵשָׁה, וְרָזָא דְמִלָּה יִקָּווּ הַמַּיִם מִתַּחַת הַשָּׁמַיִם אֶל מָקוֹם אֶחָד וְגוֹמֵר </w:t>
      </w:r>
      <w:r>
        <w:rPr>
          <w:sz w:val="20"/>
          <w:szCs w:val="20"/>
          <w:rtl/>
        </w:rPr>
        <w:t>(בראשית א ט)</w:t>
      </w:r>
      <w:r>
        <w:rPr>
          <w:rtl/>
        </w:rPr>
        <w:t xml:space="preserve">, </w:t>
      </w:r>
      <w:r>
        <w:rPr>
          <w:rStyle w:val="a7"/>
          <w:rFonts w:hAnsi="Arial"/>
          <w:b w:val="0"/>
          <w:bCs w:val="0"/>
          <w:rtl/>
          <w:lang w:eastAsia="en-US"/>
        </w:rPr>
        <w:footnoteReference w:id="2470"/>
      </w:r>
      <w:r>
        <w:rPr>
          <w:rtl/>
        </w:rPr>
        <w:t xml:space="preserve">אֶחָד אִיהִי מַלְכוּת, וְתֵרָאֶה הַיַּבָּשָׁה </w:t>
      </w:r>
      <w:r>
        <w:rPr>
          <w:rStyle w:val="a7"/>
          <w:rFonts w:hAnsi="Arial"/>
          <w:b w:val="0"/>
          <w:bCs w:val="0"/>
          <w:rtl/>
          <w:lang w:eastAsia="en-US"/>
        </w:rPr>
        <w:footnoteReference w:id="2471"/>
      </w:r>
      <w:r>
        <w:rPr>
          <w:rtl/>
        </w:rPr>
        <w:t xml:space="preserve">דָא סֶלַע מטטרו''ן, </w:t>
      </w:r>
      <w:r>
        <w:rPr>
          <w:rStyle w:val="a7"/>
          <w:rFonts w:hAnsi="Arial"/>
          <w:b w:val="0"/>
          <w:bCs w:val="0"/>
          <w:rtl/>
          <w:lang w:eastAsia="en-US"/>
        </w:rPr>
        <w:footnoteReference w:id="2472"/>
      </w:r>
      <w:r>
        <w:rPr>
          <w:rtl/>
        </w:rPr>
        <w:t xml:space="preserve">דִּבְגִינֵיהּ אִתְּמַר </w:t>
      </w:r>
      <w:r>
        <w:rPr>
          <w:sz w:val="20"/>
          <w:szCs w:val="20"/>
          <w:rtl/>
        </w:rPr>
        <w:t>(שם ב כא)</w:t>
      </w:r>
      <w:r>
        <w:rPr>
          <w:rtl/>
        </w:rPr>
        <w:t xml:space="preserve"> וַיִּקַּח אַחַת מִצַּלְעוֹתָיו וַיִּסְגּוֹר בָּשָׂר תַּחְתֶּנָּה, מַאי בָּשָׂר, הַהוּא דְאִתְּמַר בֵּיהּ </w:t>
      </w:r>
      <w:r>
        <w:rPr>
          <w:sz w:val="20"/>
          <w:szCs w:val="20"/>
          <w:rtl/>
        </w:rPr>
        <w:t>(שם ו ג)</w:t>
      </w:r>
      <w:r>
        <w:rPr>
          <w:rtl/>
        </w:rPr>
        <w:t xml:space="preserve"> בְּשַׁגָּם הוּא בָשָׂר, </w:t>
      </w:r>
      <w:r>
        <w:rPr>
          <w:rStyle w:val="a7"/>
          <w:rFonts w:hAnsi="Arial"/>
          <w:b w:val="0"/>
          <w:bCs w:val="0"/>
          <w:rtl/>
          <w:lang w:eastAsia="en-US"/>
        </w:rPr>
        <w:footnoteReference w:id="2473"/>
      </w:r>
      <w:r>
        <w:rPr>
          <w:rtl/>
        </w:rPr>
        <w:t>וְעַד דְּנָחִית לָהּ לָא עָלָה הַסֶּלַע וְלָא יָהִיב מֵימוֹי.</w:t>
      </w:r>
    </w:p>
    <w:p w:rsidR="002D629A" w:rsidRDefault="002D629A" w:rsidP="00B17EA9">
      <w:pPr>
        <w:pStyle w:val="NormalWeb"/>
        <w:rPr>
          <w:rtl/>
        </w:rPr>
      </w:pPr>
      <w:r>
        <w:rPr>
          <w:rStyle w:val="a7"/>
          <w:rFonts w:hAnsi="Arial"/>
          <w:b w:val="0"/>
          <w:bCs w:val="0"/>
          <w:rtl/>
          <w:lang w:eastAsia="en-US"/>
        </w:rPr>
        <w:footnoteReference w:id="2474"/>
      </w:r>
      <w:r>
        <w:rPr>
          <w:rtl/>
        </w:rPr>
        <w:t xml:space="preserve">וּבָתַר דְּאִסְתַּלַּק הַאי מַבּוּעָא מִתַּמָּן, שַׁלִּיטַת מָרָה בְּאַתְרָהָא, הֲדָא הוּא דִכְתִיב </w:t>
      </w:r>
      <w:r>
        <w:rPr>
          <w:sz w:val="20"/>
          <w:szCs w:val="20"/>
          <w:rtl/>
        </w:rPr>
        <w:t>(שמות טו כג)</w:t>
      </w:r>
      <w:r>
        <w:rPr>
          <w:rtl/>
        </w:rPr>
        <w:t xml:space="preserve"> וַיָּבֹאוּ מָרָתָה, וְרָזָא דְמִלָּה וַיְמָרַרוּ אֶת חַיֵּיהֶם בַּעֲבוֹדָה קָשָׁה וְגוֹמֵר </w:t>
      </w:r>
      <w:r>
        <w:rPr>
          <w:sz w:val="20"/>
          <w:szCs w:val="20"/>
          <w:rtl/>
        </w:rPr>
        <w:t>(שם א יד)</w:t>
      </w:r>
      <w:r>
        <w:rPr>
          <w:rtl/>
        </w:rPr>
        <w:t xml:space="preserve">, דָּא קוּשְׁיָא, בְּחֹמֶר דָּא קַל וָחֹמֶר, </w:t>
      </w:r>
      <w:r>
        <w:rPr>
          <w:rStyle w:val="a7"/>
          <w:rFonts w:hAnsi="Arial"/>
          <w:b w:val="0"/>
          <w:bCs w:val="0"/>
          <w:rtl/>
          <w:lang w:eastAsia="en-US"/>
        </w:rPr>
        <w:footnoteReference w:id="2475"/>
      </w:r>
      <w:r>
        <w:rPr>
          <w:rtl/>
        </w:rPr>
        <w:t>וְהָא אוּקְמוּהוּ.</w:t>
      </w:r>
    </w:p>
    <w:p w:rsidR="002D629A" w:rsidRDefault="002D629A" w:rsidP="00B17EA9">
      <w:pPr>
        <w:pStyle w:val="NormalWeb"/>
        <w:rPr>
          <w:rtl/>
        </w:rPr>
      </w:pPr>
      <w:r>
        <w:rPr>
          <w:rtl/>
        </w:rPr>
        <w:t xml:space="preserve">וְהָכִי הֲווֹ יִשְׂרָאֵל עַד דְּאַחֲזֵי לוֹן עִץ, הֲדָא הוּא דִכְתִיב </w:t>
      </w:r>
      <w:r>
        <w:rPr>
          <w:sz w:val="20"/>
          <w:szCs w:val="20"/>
          <w:rtl/>
        </w:rPr>
        <w:t>(שם טו כה)</w:t>
      </w:r>
      <w:r>
        <w:rPr>
          <w:rtl/>
        </w:rPr>
        <w:t xml:space="preserve"> וַיּוֹרֵהוּ יהו''ה עִץ וַיַּשְׁלֵךְ אֶל הַמַּיִם וַיִּמְתְּקוּ הַמָּיִם, וְדָא עִץ הַחַיִּים, דְּאִתְרַבִּי עַל הַהוּא מַבּוּעָא דְאִיהִי י', מַבּוּעָא דְאַשְׁקֵי לְאִילָנָא דְאִיהוּ ו', וְהַאי עִץ מַהֲלַךְ חֲמֵשׁ מֵאוֹת שָׁנָה דְאִינוּן ה', וַיִּמְתְּקוּ הַמָּיִם דָּא ה' בַּתְרָאָה, דְּאִתְּמַר בָּהּ </w:t>
      </w:r>
      <w:r>
        <w:rPr>
          <w:sz w:val="20"/>
          <w:szCs w:val="20"/>
          <w:rtl/>
        </w:rPr>
        <w:t>(רות א כ)</w:t>
      </w:r>
      <w:r>
        <w:rPr>
          <w:rtl/>
        </w:rPr>
        <w:t xml:space="preserve"> </w:t>
      </w:r>
      <w:r>
        <w:rPr>
          <w:rStyle w:val="a7"/>
          <w:rFonts w:hAnsi="Arial"/>
          <w:b w:val="0"/>
          <w:bCs w:val="0"/>
          <w:rtl/>
          <w:lang w:eastAsia="en-US"/>
        </w:rPr>
        <w:footnoteReference w:id="2476"/>
      </w:r>
      <w:r>
        <w:rPr>
          <w:rtl/>
        </w:rPr>
        <w:t xml:space="preserve">קְרֶאןָ לִי מָרָה, דִּשְׁכִינְתָּא </w:t>
      </w:r>
      <w:r>
        <w:rPr>
          <w:rStyle w:val="a7"/>
          <w:rFonts w:hAnsi="Arial"/>
          <w:b w:val="0"/>
          <w:bCs w:val="0"/>
          <w:rtl/>
          <w:lang w:eastAsia="en-US"/>
        </w:rPr>
        <w:footnoteReference w:id="2477"/>
      </w:r>
      <w:r>
        <w:rPr>
          <w:rtl/>
        </w:rPr>
        <w:t xml:space="preserve">אִיהִי מַעְיַן גַּנִּים דְּלֵית לֵיהּ פָּסֵק, טִפָּה דְאִתְמַשְׁכָא מִן מוֹחָא, </w:t>
      </w:r>
      <w:r>
        <w:rPr>
          <w:rStyle w:val="a7"/>
          <w:rFonts w:hAnsi="Arial"/>
          <w:b w:val="0"/>
          <w:bCs w:val="0"/>
          <w:rtl/>
          <w:lang w:eastAsia="en-US"/>
        </w:rPr>
        <w:footnoteReference w:id="2478"/>
      </w:r>
      <w:r>
        <w:rPr>
          <w:rtl/>
        </w:rPr>
        <w:t xml:space="preserve">וְכַמָּה טִפִּין אִתְמַשְׁכָאן מִנֵּיהּ, דְּאִינוּן </w:t>
      </w:r>
      <w:r>
        <w:rPr>
          <w:sz w:val="20"/>
          <w:szCs w:val="20"/>
          <w:rtl/>
        </w:rPr>
        <w:t>(תהלים מה טו)</w:t>
      </w:r>
      <w:r>
        <w:rPr>
          <w:rtl/>
        </w:rPr>
        <w:t xml:space="preserve"> בְּתוּלוֹת אַחֲרֶיהָ רֵעוֹתֶיהָ.</w:t>
      </w:r>
    </w:p>
    <w:p w:rsidR="002D629A" w:rsidRDefault="002D629A" w:rsidP="00B17EA9">
      <w:pPr>
        <w:pStyle w:val="NormalWeb"/>
        <w:rPr>
          <w:rtl/>
        </w:rPr>
      </w:pPr>
      <w:r>
        <w:rPr>
          <w:rStyle w:val="a7"/>
          <w:rFonts w:hAnsi="Arial"/>
          <w:b w:val="0"/>
          <w:bCs w:val="0"/>
          <w:rtl/>
          <w:lang w:eastAsia="en-US"/>
        </w:rPr>
        <w:footnoteReference w:id="2479"/>
      </w:r>
      <w:r>
        <w:rPr>
          <w:rtl/>
        </w:rPr>
        <w:t xml:space="preserve">קַרְקַפְתָּא אִיהִי סֶלַע, וּמַבּוּעָא מִלְּגָאו דָּא מוֹחָא, </w:t>
      </w:r>
      <w:r>
        <w:rPr>
          <w:rStyle w:val="a7"/>
          <w:rFonts w:hAnsi="Arial"/>
          <w:b w:val="0"/>
          <w:bCs w:val="0"/>
          <w:rtl/>
          <w:lang w:eastAsia="en-US"/>
        </w:rPr>
        <w:footnoteReference w:id="2480"/>
      </w:r>
      <w:r>
        <w:rPr>
          <w:rtl/>
        </w:rPr>
        <w:t xml:space="preserve">עַל אִלֵּין טִפִּין אִתְּמַר </w:t>
      </w:r>
      <w:r>
        <w:rPr>
          <w:sz w:val="20"/>
          <w:szCs w:val="20"/>
          <w:rtl/>
        </w:rPr>
        <w:t>(תהלים קכז ה)</w:t>
      </w:r>
      <w:r>
        <w:rPr>
          <w:rtl/>
        </w:rPr>
        <w:t xml:space="preserve"> אַשְׁרֵי הַגֶּבֶר אֲשֶׁר מִלֵּא אֶת אַשְׁפָּתוֹ מֵהֶם וְגוֹמֵר, אֶת אוֹיְבִים בַּשָּׁעַר, דְּאִיהוּ תַרְעָא דְצַדִּיק אוֹת בְּרִית קֹדֶשׁ, דַּעֲלָהּ אִתְּמַר </w:t>
      </w:r>
      <w:r>
        <w:rPr>
          <w:sz w:val="20"/>
          <w:szCs w:val="20"/>
          <w:rtl/>
        </w:rPr>
        <w:t>(שם קיח ב)</w:t>
      </w:r>
      <w:r>
        <w:rPr>
          <w:rtl/>
        </w:rPr>
        <w:t xml:space="preserve"> זֶה הַשַּׁעַר לַיהו''ה צַדִּיקִים יָבֹאוּ בוֹ.</w:t>
      </w:r>
    </w:p>
    <w:p w:rsidR="002D629A" w:rsidRDefault="002D629A" w:rsidP="00B17EA9">
      <w:pPr>
        <w:pStyle w:val="NormalWeb"/>
        <w:rPr>
          <w:rtl/>
        </w:rPr>
      </w:pPr>
      <w:r>
        <w:rPr>
          <w:rStyle w:val="a7"/>
          <w:rFonts w:hAnsi="Arial"/>
          <w:b w:val="0"/>
          <w:bCs w:val="0"/>
          <w:rtl/>
          <w:lang w:eastAsia="en-US"/>
        </w:rPr>
        <w:footnoteReference w:id="2481"/>
      </w:r>
      <w:r>
        <w:rPr>
          <w:rtl/>
        </w:rPr>
        <w:t xml:space="preserve">וְעוֹד שִׁמְעוּ הָרִים אֶת רִיב יהו''ה </w:t>
      </w:r>
      <w:r>
        <w:rPr>
          <w:sz w:val="20"/>
          <w:szCs w:val="20"/>
          <w:rtl/>
        </w:rPr>
        <w:t>(מיכה ו ב)</w:t>
      </w:r>
      <w:r>
        <w:rPr>
          <w:rtl/>
        </w:rPr>
        <w:t xml:space="preserve">, אִלֵּין תְּלַת יוּדִי''ן, וְהָאֵיתָנִים מוֹסְדֵי אָרֶץ </w:t>
      </w:r>
      <w:r>
        <w:rPr>
          <w:sz w:val="20"/>
          <w:szCs w:val="20"/>
          <w:rtl/>
        </w:rPr>
        <w:t>(שם)</w:t>
      </w:r>
      <w:r>
        <w:rPr>
          <w:rtl/>
        </w:rPr>
        <w:t xml:space="preserve"> אִלֵּין תְּלַת וָוִי''ן, דְּכֻלְּהוּ אִתְרְמִיזוּ בְּוַיִּסַּע וַיָּבֹא וַיֵּט.</w:t>
      </w:r>
    </w:p>
    <w:p w:rsidR="002D629A" w:rsidRDefault="002D629A" w:rsidP="00B17EA9">
      <w:pPr>
        <w:pStyle w:val="aa"/>
        <w:rPr>
          <w:rtl/>
        </w:rPr>
      </w:pPr>
      <w:r>
        <w:rPr>
          <w:rtl/>
        </w:rPr>
        <w:t xml:space="preserve"> </w:t>
      </w:r>
      <w:bookmarkStart w:id="197" w:name="_Toc228095645"/>
      <w:bookmarkStart w:id="198" w:name="_Toc231638083"/>
      <w:r>
        <w:rPr>
          <w:rtl/>
        </w:rPr>
        <w:t>[תיקוני זוהר - דף נד ע''ב]</w:t>
      </w:r>
      <w:bookmarkEnd w:id="197"/>
      <w:bookmarkEnd w:id="198"/>
    </w:p>
    <w:p w:rsidR="002D629A" w:rsidRDefault="002D629A" w:rsidP="00B17EA9">
      <w:pPr>
        <w:pStyle w:val="NormalWeb"/>
        <w:rPr>
          <w:rtl/>
        </w:rPr>
      </w:pPr>
      <w:r>
        <w:rPr>
          <w:rStyle w:val="a7"/>
          <w:rFonts w:hAnsi="Arial"/>
          <w:b w:val="0"/>
          <w:bCs w:val="0"/>
          <w:rtl/>
          <w:lang w:eastAsia="en-US"/>
        </w:rPr>
        <w:footnoteReference w:id="2482"/>
      </w:r>
      <w:r>
        <w:rPr>
          <w:rtl/>
        </w:rPr>
        <w:t xml:space="preserve">קוּם אֶלְעָזָר וּנְטֵיל קִירְטָא דְאִיהִי שְׁכִינְתָּא </w:t>
      </w:r>
      <w:r>
        <w:rPr>
          <w:sz w:val="20"/>
          <w:szCs w:val="20"/>
          <w:rtl/>
        </w:rPr>
        <w:t>(ואקיף לה (דף נד ע''ב) תגא)</w:t>
      </w:r>
      <w:r>
        <w:rPr>
          <w:rtl/>
        </w:rPr>
        <w:t xml:space="preserve">, וּזְרֵיק מִנָּהּ אֶבֶן דאִיהִי טִפָּה קַדִּישָׁא, דַּעֲלָהּ אִתְּמַר </w:t>
      </w:r>
      <w:r>
        <w:rPr>
          <w:sz w:val="20"/>
          <w:szCs w:val="20"/>
          <w:rtl/>
        </w:rPr>
        <w:t>(בראשית ב ו)</w:t>
      </w:r>
      <w:r>
        <w:rPr>
          <w:rtl/>
        </w:rPr>
        <w:t xml:space="preserve"> </w:t>
      </w:r>
      <w:r>
        <w:rPr>
          <w:rStyle w:val="Char"/>
          <w:rtl/>
          <w:lang w:eastAsia="en-US"/>
        </w:rPr>
        <w:t xml:space="preserve">וְאֵד יַעֲלֶה מִן הָאָרֶץ, </w:t>
      </w:r>
      <w:r>
        <w:rPr>
          <w:rStyle w:val="a7"/>
          <w:rFonts w:hAnsi="Arial"/>
          <w:b w:val="0"/>
          <w:bCs w:val="0"/>
          <w:rtl/>
          <w:lang w:eastAsia="en-US"/>
        </w:rPr>
        <w:footnoteReference w:id="2483"/>
      </w:r>
      <w:r>
        <w:rPr>
          <w:rtl/>
        </w:rPr>
        <w:t xml:space="preserve">וּבְגִין דָּא אִסְתַּלְּקַת עִזְקָא מִן זרק''א, לְקַבְּלָא עֲלָהּ אֶבֶן יְקָרָה דְאִיהִי טִפָּה, וּמִיָּד וְהִשְׁקָה אֶת כָּל פְּנֵי הָאֲדָמָה, </w:t>
      </w:r>
      <w:r>
        <w:rPr>
          <w:rStyle w:val="a7"/>
          <w:rFonts w:hAnsi="Arial"/>
          <w:b w:val="0"/>
          <w:bCs w:val="0"/>
          <w:rtl/>
          <w:lang w:eastAsia="en-US"/>
        </w:rPr>
        <w:footnoteReference w:id="2484"/>
      </w:r>
      <w:r>
        <w:rPr>
          <w:rtl/>
        </w:rPr>
        <w:t xml:space="preserve">כַּד סְלִיקַת, סְלִיקַת בְּאִימָּא, דְאִיהוּ א' מִן אדנ''י אהי''ה, וְעַל מָאן סְלִיקַת, עַל עַמּוּדָא דְאֶמְצָעִיתָא דְאִיהוּ ו', דְּאִיהִי כְּרִיכָא בֵיהּ כְּעִזְקָא בְּאֶצְבְּעָא, וּסְלִיקַת בְּד' מִן אדנ''י, דְּאִינוּן תְּרֵין דְּרוֹעִין וּתְרֵין שׁוֹקִין, </w:t>
      </w:r>
      <w:r>
        <w:rPr>
          <w:rStyle w:val="a7"/>
          <w:rFonts w:hAnsi="Arial"/>
          <w:b w:val="0"/>
          <w:bCs w:val="0"/>
          <w:rtl/>
          <w:lang w:eastAsia="en-US"/>
        </w:rPr>
        <w:footnoteReference w:id="2485"/>
      </w:r>
      <w:r>
        <w:rPr>
          <w:rtl/>
        </w:rPr>
        <w:t xml:space="preserve">עַד דְּסָלִיק לְאָת י' דְּאִיהִי אַבָּא חָכְמָה י' עִלָּאָה, בְּגִין דְּמִתַּמָּן אִתְנְטִילַת, הֲדָא הוּא דִכְתִיב </w:t>
      </w:r>
      <w:r>
        <w:rPr>
          <w:sz w:val="20"/>
          <w:szCs w:val="20"/>
          <w:rtl/>
        </w:rPr>
        <w:t>(משלי ג יט)</w:t>
      </w:r>
      <w:r>
        <w:rPr>
          <w:rtl/>
        </w:rPr>
        <w:t xml:space="preserve"> יהו''ה בְּחָכְמָה יָסַד אֶרֶץ, </w:t>
      </w:r>
      <w:r>
        <w:rPr>
          <w:rStyle w:val="a7"/>
          <w:rFonts w:hAnsi="Arial"/>
          <w:b w:val="0"/>
          <w:bCs w:val="0"/>
          <w:rtl/>
          <w:lang w:eastAsia="en-US"/>
        </w:rPr>
        <w:footnoteReference w:id="2486"/>
      </w:r>
      <w:r>
        <w:rPr>
          <w:rtl/>
        </w:rPr>
        <w:t xml:space="preserve">וּנְטִילַת נְבִיעוּ וְשַׁקְיוּ מִנֵּיהּ לְעִילָא, בְּקוֹצָא דִילֵיהּ לְעִילָא, וּבְאֶמְצָעִיתָא, וּבְקוֹצָא דִילֵיהּ לְתַתָּא, וְכַד נְחִיתַת, נְחִיתַת כְּלִילָא מִתְּלַת טִפִּין, בְּהַהוּא זִמְנָא אִתְּמַר בָּהּ </w:t>
      </w:r>
      <w:r>
        <w:rPr>
          <w:rStyle w:val="a7"/>
          <w:rFonts w:hAnsi="Arial"/>
          <w:b w:val="0"/>
          <w:bCs w:val="0"/>
          <w:rtl/>
          <w:lang w:eastAsia="en-US"/>
        </w:rPr>
        <w:footnoteReference w:id="2487"/>
      </w:r>
      <w:r>
        <w:rPr>
          <w:rtl/>
        </w:rPr>
        <w:t>הוֹלֵךְ סֶגוֹלְתָּ''א.</w:t>
      </w:r>
    </w:p>
    <w:p w:rsidR="002D629A" w:rsidRDefault="002D629A" w:rsidP="00B17EA9">
      <w:pPr>
        <w:pStyle w:val="NormalWeb"/>
        <w:rPr>
          <w:rtl/>
        </w:rPr>
      </w:pPr>
      <w:r>
        <w:rPr>
          <w:rtl/>
        </w:rPr>
        <w:t xml:space="preserve">וְאִתְקְרִיאַת י' י' י' בִּתְּלַת יוּדִי''ן, </w:t>
      </w:r>
      <w:r>
        <w:rPr>
          <w:rStyle w:val="a7"/>
          <w:rFonts w:hAnsi="Arial"/>
          <w:b w:val="0"/>
          <w:bCs w:val="0"/>
          <w:rtl/>
          <w:lang w:eastAsia="en-US"/>
        </w:rPr>
        <w:footnoteReference w:id="2488"/>
      </w:r>
      <w:r>
        <w:rPr>
          <w:rtl/>
        </w:rPr>
        <w:t xml:space="preserve">י' עִלָּאָה אִיהִי עַל רֵישָׁא דְ א, דְאִיהִי כֶּתֶר עֶלְיוֹן עַל כָּל עִלָּאִין, </w:t>
      </w:r>
      <w:r>
        <w:rPr>
          <w:rStyle w:val="a7"/>
          <w:rFonts w:hAnsi="Arial"/>
          <w:b w:val="0"/>
          <w:bCs w:val="0"/>
          <w:rtl/>
          <w:lang w:eastAsia="en-US"/>
        </w:rPr>
        <w:footnoteReference w:id="2489"/>
      </w:r>
      <w:r>
        <w:rPr>
          <w:rtl/>
        </w:rPr>
        <w:t>וּלְבָתַר נְחִיתַת בְּאֶמְצָעִיתָא בְּעַמּוּדָא דְאֶמְצָעִיתָא</w:t>
      </w:r>
      <w:r>
        <w:rPr>
          <w:sz w:val="20"/>
          <w:szCs w:val="20"/>
          <w:rtl/>
        </w:rPr>
        <w:t xml:space="preserve"> (נ''א באמצע)</w:t>
      </w:r>
      <w:r>
        <w:rPr>
          <w:rtl/>
        </w:rPr>
        <w:t>, וּלְבָתַר נְחִיתַת לְתַתָּא בְּאַתְרָהָא י' דְאִיהִי לְתַתָּא מִן א.</w:t>
      </w:r>
    </w:p>
    <w:p w:rsidR="002D629A" w:rsidRDefault="002D629A" w:rsidP="00B17EA9">
      <w:pPr>
        <w:pStyle w:val="NormalWeb"/>
        <w:rPr>
          <w:rtl/>
        </w:rPr>
      </w:pPr>
      <w:r>
        <w:rPr>
          <w:rtl/>
        </w:rPr>
        <w:t xml:space="preserve">קָמוּ תַּנָּאִים וְאֱמוֹרָאִים דִּלְעִילָא, וְאָמְרוּ רַבִּי רַבִּי כַּמָּה תַקִּיפָא קִירְטָא דִילָךְ, </w:t>
      </w:r>
      <w:r>
        <w:rPr>
          <w:rStyle w:val="a7"/>
          <w:rFonts w:hAnsi="Arial"/>
          <w:b w:val="0"/>
          <w:bCs w:val="0"/>
          <w:rtl/>
          <w:lang w:eastAsia="en-US"/>
        </w:rPr>
        <w:footnoteReference w:id="2490"/>
      </w:r>
      <w:r>
        <w:rPr>
          <w:rtl/>
        </w:rPr>
        <w:t>דִּי סְלִיקַת לָהּ עַד אֵין סוֹף, וּנְחִיתַת לָהּ עַד אֵין תַּכְלִית.</w:t>
      </w:r>
    </w:p>
    <w:p w:rsidR="002D629A" w:rsidRDefault="002D629A" w:rsidP="00B17EA9">
      <w:pPr>
        <w:pStyle w:val="NormalWeb"/>
        <w:rPr>
          <w:rtl/>
        </w:rPr>
      </w:pPr>
      <w:r>
        <w:rPr>
          <w:rtl/>
        </w:rPr>
        <w:t xml:space="preserve">קָם עוּלֵימָא בָּתַר טוּלָא, אָמַר רַבִּי רַבִּי </w:t>
      </w:r>
      <w:r>
        <w:rPr>
          <w:rStyle w:val="a7"/>
          <w:rFonts w:hAnsi="Arial"/>
          <w:b w:val="0"/>
          <w:bCs w:val="0"/>
          <w:rtl/>
          <w:lang w:eastAsia="en-US"/>
        </w:rPr>
        <w:footnoteReference w:id="2491"/>
      </w:r>
      <w:r>
        <w:rPr>
          <w:rtl/>
        </w:rPr>
        <w:t xml:space="preserve">הָא טִפָּה קָא נָחְתָא, </w:t>
      </w:r>
      <w:r>
        <w:rPr>
          <w:rStyle w:val="a7"/>
          <w:rFonts w:hAnsi="Arial"/>
          <w:b w:val="0"/>
          <w:bCs w:val="0"/>
          <w:rtl/>
          <w:lang w:eastAsia="en-US"/>
        </w:rPr>
        <w:footnoteReference w:id="2492"/>
      </w:r>
      <w:r>
        <w:rPr>
          <w:rtl/>
        </w:rPr>
        <w:t xml:space="preserve">טוֹל קֶשֶׁת בִּידָךְ, דְּאִיהוּ כְּגַוְונָא דְאֶצְבְּעָא וְעִזְקָא בֵּיהּ, טוּל לֵיהּ וּדְרֵךְ </w:t>
      </w:r>
      <w:r>
        <w:rPr>
          <w:sz w:val="20"/>
          <w:szCs w:val="20"/>
          <w:rtl/>
        </w:rPr>
        <w:t>(ס''א וזרקה)</w:t>
      </w:r>
      <w:r>
        <w:rPr>
          <w:rtl/>
        </w:rPr>
        <w:t xml:space="preserve"> לֵיהּ לְגַבָּהּ, </w:t>
      </w:r>
      <w:r>
        <w:rPr>
          <w:rStyle w:val="a7"/>
          <w:rFonts w:hAnsi="Arial"/>
          <w:b w:val="0"/>
          <w:bCs w:val="0"/>
          <w:rtl/>
          <w:lang w:eastAsia="en-US"/>
        </w:rPr>
        <w:footnoteReference w:id="2493"/>
      </w:r>
      <w:r>
        <w:rPr>
          <w:rtl/>
        </w:rPr>
        <w:t xml:space="preserve">דְּקַבִּילַת לָהּ עֲלָךְ, דְּהָא כַּד סְלִיקַת מִתַּתָּא לְעִילָא עַל רֵישָׁא דְאָת ו', אִיהוּ כְּרוּמְחָא ו', אִתְאָרְכַת בֵּיהּ כְּשַׁרְבִיטָא דְכֹכָבָא, וְכַד סְלִיקַת לְעִילָא שַׁרְיָא עֲלָהּ י' וְאִתְעֲבִידַת ז', </w:t>
      </w:r>
      <w:r>
        <w:rPr>
          <w:rStyle w:val="a7"/>
          <w:rFonts w:hAnsi="Arial"/>
          <w:b w:val="0"/>
          <w:bCs w:val="0"/>
          <w:rtl/>
          <w:lang w:eastAsia="en-US"/>
        </w:rPr>
        <w:footnoteReference w:id="2494"/>
      </w:r>
      <w:r>
        <w:rPr>
          <w:rtl/>
        </w:rPr>
        <w:t>וַדַּאי תַּגָּא עַל רֵישָׁא דְסֵפֶר תּוֹרָה, כֵּיוָן דְּנָחְתַת, צָרִיךְ לְמִדְרַךְ קֶשֶׁת לְגַבָּהּ דְּאִיהוּ צַדִּיק, וּמִנֵּיהּ נְחִיתַת וְאִזְדְּרִיקַת בְּאַתְרָהָא.</w:t>
      </w:r>
    </w:p>
    <w:p w:rsidR="002D629A" w:rsidRDefault="002D629A" w:rsidP="00B17EA9">
      <w:pPr>
        <w:pStyle w:val="aa"/>
        <w:rPr>
          <w:rtl/>
        </w:rPr>
      </w:pPr>
      <w:r>
        <w:rPr>
          <w:rtl/>
        </w:rPr>
        <w:t>[תיקוני זוהר - דף נה ע''א]</w:t>
      </w:r>
    </w:p>
    <w:p w:rsidR="002D629A" w:rsidRDefault="002D629A" w:rsidP="00B17EA9">
      <w:pPr>
        <w:pStyle w:val="NormalWeb"/>
        <w:rPr>
          <w:rtl/>
        </w:rPr>
      </w:pPr>
      <w:r>
        <w:rPr>
          <w:rStyle w:val="a7"/>
          <w:rFonts w:hAnsi="Arial"/>
          <w:b w:val="0"/>
          <w:bCs w:val="0"/>
          <w:rtl/>
          <w:lang w:eastAsia="en-US"/>
        </w:rPr>
        <w:footnoteReference w:id="2495"/>
      </w:r>
      <w:r>
        <w:rPr>
          <w:rtl/>
        </w:rPr>
        <w:t xml:space="preserve">וְחַרְבָּא אִיהִי חַתִּיכַת לָהּ לְהַאי טִפָּה לִתְלַת טִפִּין, בְּגִין דָּא אַזְלַא סֶגוֹלְתָּא, דְכַד </w:t>
      </w:r>
      <w:r>
        <w:rPr>
          <w:sz w:val="20"/>
          <w:szCs w:val="20"/>
          <w:rtl/>
        </w:rPr>
        <w:t xml:space="preserve">(דף נה ע''א) </w:t>
      </w:r>
      <w:r>
        <w:rPr>
          <w:rtl/>
        </w:rPr>
        <w:t xml:space="preserve">נְחִיתַת עֲלָהּ הֲוָה י', וּלְבָתַר חַתִּיכַת לָהּ לִתְלַת, לְמֶהֱוֵי תַּגָּא וַעֲטָרָה בְרֵישָׁא דִתְלַת אֲבָהָן, דִּתְהֵא </w:t>
      </w:r>
      <w:r>
        <w:rPr>
          <w:rStyle w:val="a7"/>
          <w:rFonts w:hAnsi="Arial"/>
          <w:b w:val="0"/>
          <w:bCs w:val="0"/>
          <w:rtl/>
          <w:lang w:eastAsia="en-US"/>
        </w:rPr>
        <w:footnoteReference w:id="2496"/>
      </w:r>
      <w:r>
        <w:rPr>
          <w:rtl/>
        </w:rPr>
        <w:t>כֶתֶר תּוֹרָה וְכֶתֶר כְּהוּנָה וְכֶתֶר מַלְכוּת, וְדָא רָזָא דְ [ציור] תְּלַת תַּגִּין עֲלָהּ.</w:t>
      </w:r>
    </w:p>
    <w:p w:rsidR="002D629A" w:rsidRDefault="002D629A" w:rsidP="00B17EA9">
      <w:pPr>
        <w:pStyle w:val="NormalWeb"/>
        <w:rPr>
          <w:rtl/>
        </w:rPr>
      </w:pPr>
      <w:r>
        <w:rPr>
          <w:rtl/>
        </w:rPr>
        <w:t xml:space="preserve">דְּרֵישָׁא דְחַרְבָּא אִיהִי י', גּוּפָא דְחַרְבָּא ו', תְּרֵין פִּיפִיּוֹת דִּילָהּ ה''ה, נַרְתְּקָא דִילָהּ אדנ''י, </w:t>
      </w:r>
      <w:r>
        <w:rPr>
          <w:sz w:val="20"/>
          <w:szCs w:val="20"/>
          <w:rtl/>
        </w:rPr>
        <w:t>(וחרבא יהו''ה)</w:t>
      </w:r>
      <w:r>
        <w:rPr>
          <w:rtl/>
        </w:rPr>
        <w:t xml:space="preserve">, </w:t>
      </w:r>
      <w:r>
        <w:rPr>
          <w:rStyle w:val="a7"/>
          <w:rFonts w:hAnsi="Arial"/>
          <w:b w:val="0"/>
          <w:bCs w:val="0"/>
          <w:rtl/>
          <w:lang w:eastAsia="en-US"/>
        </w:rPr>
        <w:footnoteReference w:id="2497"/>
      </w:r>
      <w:r>
        <w:rPr>
          <w:rtl/>
        </w:rPr>
        <w:t>וְכַד אִיהוּ יהו''ה בַּר מִשְּׁכִינְתֵּיהּ, אִיהוּ דִין דְּחַתִּיךְ מִכָּל סִטְרָא, כַּד עָאל בְּנַרְתְּקָהּ אִתְעֲבִיד רַחֲמֵי וְלָא חַתִּיךְ, וְרָזָא דְחַרְבָּא בְּנַרְתְּקָהּ, יאהדונה''י הָכִי וַדַּאי.</w:t>
      </w:r>
    </w:p>
    <w:p w:rsidR="002D629A" w:rsidRDefault="002D629A" w:rsidP="00B17EA9">
      <w:pPr>
        <w:pStyle w:val="NormalWeb"/>
        <w:rPr>
          <w:rtl/>
        </w:rPr>
      </w:pPr>
      <w:r>
        <w:rPr>
          <w:rStyle w:val="a7"/>
          <w:rFonts w:hAnsi="Arial"/>
          <w:b w:val="0"/>
          <w:bCs w:val="0"/>
          <w:rtl/>
          <w:lang w:eastAsia="en-US"/>
        </w:rPr>
        <w:footnoteReference w:id="2498"/>
      </w:r>
      <w:r>
        <w:rPr>
          <w:rtl/>
        </w:rPr>
        <w:t xml:space="preserve">וּבְזִמְנָא דְיהו''ה בַּר מִשְּׁכִינְתֵּיהּ, אִתְּמַר בֵּיהּ </w:t>
      </w:r>
      <w:r>
        <w:rPr>
          <w:sz w:val="20"/>
          <w:szCs w:val="20"/>
          <w:rtl/>
        </w:rPr>
        <w:t>(דברים ד כג)</w:t>
      </w:r>
      <w:r>
        <w:rPr>
          <w:rtl/>
        </w:rPr>
        <w:t xml:space="preserve"> כִּי יהו''ה אלהי''ך אֵשׁ אֹכְלָה הוּא, דְּנָטִיל מִגְּבוּרָה לְאוֹקָדָא עָלְמָא, י' אִתְעֲבִיד גַּחֶלֶת, ו' שַׁלְהוֹבָא דְגַחֶלֶת, ה' ה' חַד חָמֵשׁ גַּוָּונִין, תִּנְיָינָא חָמֵשׁ נְהוֹרִין דְּנַהֲרִין בְּהוֹן, וּבְזִמְנָא דְה' עִלָּאָה אִסְתַּלְּקַת מֵה' תַּתָּאָה, אִיהִי אָמְרָה </w:t>
      </w:r>
      <w:r>
        <w:rPr>
          <w:sz w:val="20"/>
          <w:szCs w:val="20"/>
          <w:rtl/>
        </w:rPr>
        <w:t>(שיר א ו)</w:t>
      </w:r>
      <w:r>
        <w:rPr>
          <w:rtl/>
        </w:rPr>
        <w:t xml:space="preserve"> אַל תִּרְאוּנִי שֶׁאֲנִי שְׁחַרְחֹרֶת, </w:t>
      </w:r>
      <w:r>
        <w:rPr>
          <w:rStyle w:val="a7"/>
          <w:rFonts w:hAnsi="Arial"/>
          <w:b w:val="0"/>
          <w:bCs w:val="0"/>
          <w:rtl/>
          <w:lang w:eastAsia="en-US"/>
        </w:rPr>
        <w:footnoteReference w:id="2499"/>
      </w:r>
      <w:r>
        <w:rPr>
          <w:rtl/>
        </w:rPr>
        <w:t xml:space="preserve">וּבְזִמְנָא דְאִיהִי נַהֲרָא בְּגַוְּונָהָא, אִתְּמַר בָּהּ </w:t>
      </w:r>
      <w:r>
        <w:rPr>
          <w:sz w:val="20"/>
          <w:szCs w:val="20"/>
          <w:rtl/>
        </w:rPr>
        <w:t>(בראשית ט טז)</w:t>
      </w:r>
      <w:r>
        <w:rPr>
          <w:rtl/>
        </w:rPr>
        <w:t xml:space="preserve"> </w:t>
      </w:r>
      <w:r>
        <w:rPr>
          <w:rStyle w:val="a7"/>
          <w:rFonts w:hAnsi="Arial"/>
          <w:b w:val="0"/>
          <w:bCs w:val="0"/>
          <w:rtl/>
          <w:lang w:eastAsia="en-US"/>
        </w:rPr>
        <w:footnoteReference w:id="2500"/>
      </w:r>
      <w:r>
        <w:rPr>
          <w:rtl/>
        </w:rPr>
        <w:t>וּרְאִיתִיהָ לִזְכֹּר בְּרִית עוֹלָם.</w:t>
      </w:r>
    </w:p>
    <w:p w:rsidR="002D629A" w:rsidRDefault="002D629A" w:rsidP="00B17EA9">
      <w:pPr>
        <w:pStyle w:val="NormalWeb"/>
        <w:rPr>
          <w:rtl/>
        </w:rPr>
      </w:pPr>
      <w:r>
        <w:rPr>
          <w:rtl/>
        </w:rPr>
        <w:t xml:space="preserve">פָּתַח כְּמִלְּקַדְמִין וְאָמַר, שִׁמְעוּ הָרִים אֶת רִיב יהו''ה </w:t>
      </w:r>
      <w:r>
        <w:rPr>
          <w:sz w:val="20"/>
          <w:szCs w:val="20"/>
          <w:rtl/>
        </w:rPr>
        <w:t>(מיכה ו ב)</w:t>
      </w:r>
      <w:r>
        <w:rPr>
          <w:rtl/>
        </w:rPr>
        <w:t xml:space="preserve">, אֲבָהָן אֲבָהָן </w:t>
      </w:r>
      <w:r>
        <w:rPr>
          <w:rStyle w:val="a7"/>
          <w:rFonts w:hAnsi="Arial"/>
          <w:b w:val="0"/>
          <w:bCs w:val="0"/>
          <w:rtl/>
          <w:lang w:eastAsia="en-US"/>
        </w:rPr>
        <w:footnoteReference w:id="2501"/>
      </w:r>
      <w:r>
        <w:rPr>
          <w:rtl/>
        </w:rPr>
        <w:t xml:space="preserve">טוּרִין רַבְרְבִין, שְׁמָעוּ, </w:t>
      </w:r>
      <w:r>
        <w:rPr>
          <w:rStyle w:val="a7"/>
          <w:rFonts w:hAnsi="Arial"/>
          <w:b w:val="0"/>
          <w:bCs w:val="0"/>
          <w:rtl/>
          <w:lang w:eastAsia="en-US"/>
        </w:rPr>
        <w:footnoteReference w:id="2502"/>
      </w:r>
      <w:r>
        <w:rPr>
          <w:rtl/>
        </w:rPr>
        <w:t xml:space="preserve">דְּהַאי אֶבֶן </w:t>
      </w:r>
      <w:r>
        <w:rPr>
          <w:rStyle w:val="a7"/>
          <w:rFonts w:hAnsi="Arial"/>
          <w:b w:val="0"/>
          <w:bCs w:val="0"/>
          <w:rtl/>
          <w:lang w:eastAsia="en-US"/>
        </w:rPr>
        <w:footnoteReference w:id="2503"/>
      </w:r>
      <w:r>
        <w:rPr>
          <w:rtl/>
        </w:rPr>
        <w:t xml:space="preserve">דְּאִתְגְּזֶרֶת מֵאִלֵּין טוּרִין דִּלְכוֹן, </w:t>
      </w:r>
      <w:r>
        <w:rPr>
          <w:rStyle w:val="a7"/>
          <w:rFonts w:hAnsi="Arial"/>
          <w:b w:val="0"/>
          <w:bCs w:val="0"/>
          <w:rtl/>
          <w:lang w:eastAsia="en-US"/>
        </w:rPr>
        <w:footnoteReference w:id="2504"/>
      </w:r>
      <w:r>
        <w:rPr>
          <w:rtl/>
        </w:rPr>
        <w:t xml:space="preserve">וְאִיהִי כִּתְרָא בְרֵישָׁא דְכֻלְּהוּ, </w:t>
      </w:r>
      <w:r>
        <w:rPr>
          <w:rStyle w:val="a7"/>
          <w:rFonts w:hAnsi="Arial"/>
          <w:b w:val="0"/>
          <w:bCs w:val="0"/>
          <w:rtl/>
          <w:lang w:eastAsia="en-US"/>
        </w:rPr>
        <w:footnoteReference w:id="2505"/>
      </w:r>
      <w:r>
        <w:rPr>
          <w:rtl/>
        </w:rPr>
        <w:t xml:space="preserve">וְהָאֵיתָנִים דְּאִיהִי כִּתְרָא עַל כֻּלְּהוּ, אִיהִי סְלִיקַת רִיב עֲלַיְיכוּ, </w:t>
      </w:r>
      <w:r>
        <w:rPr>
          <w:rStyle w:val="a7"/>
          <w:rFonts w:hAnsi="Arial"/>
          <w:b w:val="0"/>
          <w:bCs w:val="0"/>
          <w:rtl/>
          <w:lang w:eastAsia="en-US"/>
        </w:rPr>
        <w:footnoteReference w:id="2506"/>
      </w:r>
      <w:r>
        <w:rPr>
          <w:rtl/>
        </w:rPr>
        <w:t xml:space="preserve">בְּגִין בַּעְלָהּ, דְּאִיהִי מַבּוּעָא סְתִימָא כַּסֶּלַע, עַד דְּיֵיתֵי בַּעְלָהּ לָא יַהֲבָא מֵימוֹי, דְּהָא לִישָׁנִין אִינוּן כַּפַּטִּישִׁין דִּמְחָאָן בְּהַהוּא סֶלַע, וְלֵית חַד מִנַּיְיהוּ דְאַפִּיק מִינָהּ נְבִיעוּ, </w:t>
      </w:r>
      <w:r>
        <w:rPr>
          <w:rStyle w:val="a7"/>
          <w:rFonts w:hAnsi="Arial"/>
          <w:b w:val="0"/>
          <w:bCs w:val="0"/>
          <w:rtl/>
          <w:lang w:eastAsia="en-US"/>
        </w:rPr>
        <w:footnoteReference w:id="2507"/>
      </w:r>
      <w:r>
        <w:rPr>
          <w:rtl/>
        </w:rPr>
        <w:t xml:space="preserve">בַּר מִבַּעְלָהּ </w:t>
      </w:r>
      <w:r>
        <w:rPr>
          <w:rStyle w:val="a7"/>
          <w:rFonts w:hAnsi="Arial"/>
          <w:b w:val="0"/>
          <w:bCs w:val="0"/>
          <w:rtl/>
          <w:lang w:eastAsia="en-US"/>
        </w:rPr>
        <w:footnoteReference w:id="2508"/>
      </w:r>
      <w:r>
        <w:rPr>
          <w:rtl/>
        </w:rPr>
        <w:t>דְּיָדַע לְאַמְשָׁכָא לָהּ.</w:t>
      </w:r>
    </w:p>
    <w:p w:rsidR="002D629A" w:rsidRDefault="002D629A" w:rsidP="00B17EA9">
      <w:pPr>
        <w:pStyle w:val="aa"/>
        <w:rPr>
          <w:rtl/>
        </w:rPr>
      </w:pPr>
      <w:bookmarkStart w:id="199" w:name="_Toc228095646"/>
      <w:bookmarkStart w:id="200" w:name="_Toc231638084"/>
      <w:r>
        <w:rPr>
          <w:rtl/>
        </w:rPr>
        <w:t>[תיקוני זוהר - הגהה דף נה ע''ב, הגהה דף נו ע"א]</w:t>
      </w:r>
      <w:bookmarkEnd w:id="199"/>
      <w:bookmarkEnd w:id="200"/>
    </w:p>
    <w:p w:rsidR="002D629A" w:rsidRDefault="002D629A" w:rsidP="00B17EA9">
      <w:pPr>
        <w:pStyle w:val="NormalWeb"/>
        <w:rPr>
          <w:rtl/>
        </w:rPr>
      </w:pPr>
      <w:r>
        <w:rPr>
          <w:sz w:val="20"/>
          <w:szCs w:val="20"/>
          <w:rtl/>
        </w:rPr>
        <w:t xml:space="preserve">(הגהה דף נה ע''ב) </w:t>
      </w:r>
      <w:r>
        <w:rPr>
          <w:rtl/>
        </w:rPr>
        <w:t xml:space="preserve">פָּתַח רַבִּי שִׁמְעוֹן וְאָמַר, זַכָּאָה אִיהוּ מָאן דִּמְצַלֵּי וְיָדַע לְסַלְקָא רְעוּתֵיהּ </w:t>
      </w:r>
      <w:r>
        <w:rPr>
          <w:rStyle w:val="a7"/>
          <w:rFonts w:hAnsi="Arial"/>
          <w:b w:val="0"/>
          <w:bCs w:val="0"/>
          <w:rtl/>
          <w:lang w:eastAsia="en-US"/>
        </w:rPr>
        <w:footnoteReference w:id="2509"/>
      </w:r>
      <w:r>
        <w:rPr>
          <w:rtl/>
        </w:rPr>
        <w:t xml:space="preserve">לְעִילָא, דְּכַד סָלְקִין שְׁמָהָן מִפִּימוֹי, </w:t>
      </w:r>
      <w:r>
        <w:rPr>
          <w:rStyle w:val="a7"/>
          <w:rFonts w:hAnsi="Arial"/>
          <w:b w:val="0"/>
          <w:bCs w:val="0"/>
          <w:rtl/>
          <w:lang w:eastAsia="en-US"/>
        </w:rPr>
        <w:footnoteReference w:id="2510"/>
      </w:r>
      <w:r>
        <w:rPr>
          <w:rtl/>
        </w:rPr>
        <w:t xml:space="preserve">כַּמָּה עוֹפִין פָּתְחִין גַּדְפַיְיהוּ לְעִילָא לְקַבְּלָא לוֹן, </w:t>
      </w:r>
      <w:r>
        <w:rPr>
          <w:rStyle w:val="a7"/>
          <w:rFonts w:hAnsi="Arial"/>
          <w:b w:val="0"/>
          <w:bCs w:val="0"/>
          <w:rtl/>
          <w:lang w:eastAsia="en-US"/>
        </w:rPr>
        <w:footnoteReference w:id="2511"/>
      </w:r>
      <w:r>
        <w:rPr>
          <w:rtl/>
        </w:rPr>
        <w:t xml:space="preserve">וְכַמָּה חֵיוָון דְּמֶרְכַּבְתָּא, כֻּלְּהוּ מִזְדַּמְּנִין לְגַבַּיְיהוּ לְנַטְלָא לוֹן, כָּל שֶׁכֵּן אִם שְׁכִינְתָּא שַׁרְיָא בִּצְלוֹתֵיהּ, וְאִסְתַּלְּקַת לְקוּדְשָׁא בְּרִיךְ הוּא, וְרָזָא דְמִלָּה אִם תִּשְׁכְּבוּן </w:t>
      </w:r>
      <w:r>
        <w:rPr>
          <w:rStyle w:val="a7"/>
          <w:rFonts w:hAnsi="Arial"/>
          <w:b w:val="0"/>
          <w:bCs w:val="0"/>
          <w:rtl/>
          <w:lang w:eastAsia="en-US"/>
        </w:rPr>
        <w:footnoteReference w:id="2512"/>
      </w:r>
      <w:r>
        <w:rPr>
          <w:rtl/>
        </w:rPr>
        <w:t xml:space="preserve">בֵּין שְׁפַתָּיִם, </w:t>
      </w:r>
      <w:r>
        <w:rPr>
          <w:sz w:val="20"/>
          <w:szCs w:val="20"/>
          <w:rtl/>
        </w:rPr>
        <w:t>(תהלים סח יד)</w:t>
      </w:r>
      <w:r>
        <w:rPr>
          <w:rtl/>
        </w:rPr>
        <w:t xml:space="preserve">, אַל תִּקְרֵי אִם אֶלָּא אֵם, זַכָּאָה </w:t>
      </w:r>
      <w:r>
        <w:rPr>
          <w:sz w:val="20"/>
          <w:szCs w:val="20"/>
          <w:rtl/>
        </w:rPr>
        <w:t xml:space="preserve">(הגהה דף נו ע''א) </w:t>
      </w:r>
      <w:r>
        <w:rPr>
          <w:rtl/>
        </w:rPr>
        <w:t xml:space="preserve">אִיהוּ מָאן דְּסָלִיק לָהּ בִּצְלוֹתֵיהּ דִּמְצַלֵּי בְשִׂפְווֹי, </w:t>
      </w:r>
      <w:r>
        <w:rPr>
          <w:rStyle w:val="a7"/>
          <w:rFonts w:hAnsi="Arial"/>
          <w:b w:val="0"/>
          <w:bCs w:val="0"/>
          <w:rtl/>
          <w:lang w:eastAsia="en-US"/>
        </w:rPr>
        <w:footnoteReference w:id="2513"/>
      </w:r>
      <w:r>
        <w:rPr>
          <w:rtl/>
        </w:rPr>
        <w:t>לְעִילָא לְגַבֵּי בַעְלָהּ.</w:t>
      </w:r>
    </w:p>
    <w:p w:rsidR="002D629A" w:rsidRDefault="002D629A" w:rsidP="00B17EA9">
      <w:pPr>
        <w:pStyle w:val="NormalWeb"/>
        <w:rPr>
          <w:rtl/>
        </w:rPr>
      </w:pPr>
      <w:r>
        <w:rPr>
          <w:rtl/>
        </w:rPr>
        <w:t xml:space="preserve">בִּצְלוֹתָא דְשַׁחֲרִית סָלְקָא בִשְׁמָא דְאִתְקְרֵי אֵ''ל, הָאֵ''ל הַגָּדוֹל וַדַּאי, בִּצְלוֹתָא דְמִנְחָה סְלִיקַת בִּשְׁמָא דְאִתְקְרֵי אלהי''ם, בִּצְלוֹתָא דְעַרְבִית סְלִיקַת בִּשְׁמָא דְאִתְקְרֵי יהו''ה, וְרָזָא דְמִלָּה אֵ''ל אלהי''ם יהו''ה דִּבֶּר וַיִּקְרָא אָרֶץ </w:t>
      </w:r>
      <w:r>
        <w:rPr>
          <w:sz w:val="20"/>
          <w:szCs w:val="20"/>
          <w:rtl/>
        </w:rPr>
        <w:t>(שם נ א)</w:t>
      </w:r>
      <w:r>
        <w:rPr>
          <w:rtl/>
        </w:rPr>
        <w:t>.</w:t>
      </w:r>
    </w:p>
    <w:p w:rsidR="002D629A" w:rsidRDefault="002D629A" w:rsidP="00B17EA9">
      <w:pPr>
        <w:pStyle w:val="NormalWeb"/>
        <w:rPr>
          <w:rtl/>
        </w:rPr>
      </w:pPr>
      <w:r>
        <w:rPr>
          <w:rtl/>
        </w:rPr>
        <w:t xml:space="preserve">וְאָמְרוּ מָארֵי מַתְנִיתִין, דְּצָרִיךְ בַּר נַשׁ בִּצְלוֹתֵיהּ לִשְׁהוֹת שָׁעָה אַחַת קֳדָם דִּמְצַלֵּי, וְשָׁעָה אַחַת לְבָתַר דִּמְצַלֵּי, וְרָזָא דְמִלָּה דְיִשְׁהֵא בִצְלוֹתֵיהּ שַׁעְתָּא חֲדָא, בְּגִין דְּאִתְּמַר </w:t>
      </w:r>
      <w:r>
        <w:rPr>
          <w:sz w:val="20"/>
          <w:szCs w:val="20"/>
          <w:rtl/>
        </w:rPr>
        <w:t>(בראשית כד כא)</w:t>
      </w:r>
      <w:r>
        <w:rPr>
          <w:rtl/>
        </w:rPr>
        <w:t xml:space="preserve"> </w:t>
      </w:r>
      <w:r>
        <w:rPr>
          <w:rStyle w:val="a7"/>
          <w:rFonts w:hAnsi="Arial"/>
          <w:b w:val="0"/>
          <w:bCs w:val="0"/>
          <w:rtl/>
          <w:lang w:eastAsia="en-US"/>
        </w:rPr>
        <w:footnoteReference w:id="2514"/>
      </w:r>
      <w:r>
        <w:rPr>
          <w:rtl/>
        </w:rPr>
        <w:t xml:space="preserve">וְהָאִישׁ מִשְׁתָּאֵה לָהּ מַחֲרִישׁ, הַהוּא דְאִתְּמַר בֵּיהּ </w:t>
      </w:r>
      <w:r>
        <w:rPr>
          <w:sz w:val="20"/>
          <w:szCs w:val="20"/>
          <w:rtl/>
        </w:rPr>
        <w:t>(שמות טו ג)</w:t>
      </w:r>
      <w:r>
        <w:rPr>
          <w:rtl/>
        </w:rPr>
        <w:t xml:space="preserve"> יהו''ה אִישׁ מִלְחָמָה, וּלְבָתַר דְּשָׁהָא לֵיהּ בַּר נַשׁ וְצַלִּי, אִם שְׁגוּרָה תְּפִלָּתוֹ בְּפִיו וַדַּאי אִתְקַבַּל צְלוֹתֵיהּ.</w:t>
      </w:r>
    </w:p>
    <w:p w:rsidR="002D629A" w:rsidRDefault="002D629A" w:rsidP="00B17EA9">
      <w:pPr>
        <w:pStyle w:val="NormalWeb"/>
        <w:rPr>
          <w:rtl/>
        </w:rPr>
      </w:pPr>
      <w:r>
        <w:rPr>
          <w:rtl/>
        </w:rPr>
        <w:t xml:space="preserve">וְרָזָא דְמִלָּה בַר נַשׁ צָרִיךְ לְמִשְׁהֶא וְאִתְּתָא לְאַקְדָּמָא, כְּמָה דְאַתְּ אָמַר </w:t>
      </w:r>
      <w:r>
        <w:rPr>
          <w:sz w:val="20"/>
          <w:szCs w:val="20"/>
          <w:rtl/>
        </w:rPr>
        <w:t>(ויקרא יב ב)</w:t>
      </w:r>
      <w:r>
        <w:rPr>
          <w:rtl/>
        </w:rPr>
        <w:t xml:space="preserve"> אִשָּׁה כִּי תַזְרִיעַ וְיָלְדָה זָכָר, וְרָזָא דְמִלָּה אִשָּׁה מַזְרַעַת תְּחִלָּה יוֹלֶדֶת זָכָר.</w:t>
      </w:r>
      <w:r>
        <w:rPr>
          <w:sz w:val="20"/>
          <w:szCs w:val="20"/>
          <w:rtl/>
        </w:rPr>
        <w:t xml:space="preserve"> (</w:t>
      </w:r>
      <w:r>
        <w:rPr>
          <w:rStyle w:val="a7"/>
          <w:rFonts w:hAnsi="Arial"/>
          <w:b w:val="0"/>
          <w:bCs w:val="0"/>
          <w:sz w:val="20"/>
          <w:szCs w:val="20"/>
          <w:rtl/>
          <w:lang w:eastAsia="en-US"/>
        </w:rPr>
        <w:footnoteReference w:id="2515"/>
      </w:r>
      <w:r>
        <w:rPr>
          <w:sz w:val="20"/>
          <w:szCs w:val="20"/>
          <w:rtl/>
        </w:rPr>
        <w:t>ועוד (תהלים קלו כג) שבשפלנו זכר לנו, ורזא דמלה שבשפלותו של אדם זכור יזכרנו לטובה)</w:t>
      </w:r>
      <w:r>
        <w:rPr>
          <w:rtl/>
        </w:rPr>
        <w:t>.</w:t>
      </w:r>
    </w:p>
    <w:p w:rsidR="002D629A" w:rsidRDefault="002D629A" w:rsidP="00B17EA9">
      <w:pPr>
        <w:pStyle w:val="NormalWeb"/>
        <w:rPr>
          <w:rtl/>
        </w:rPr>
      </w:pPr>
      <w:r>
        <w:rPr>
          <w:rtl/>
        </w:rPr>
        <w:t xml:space="preserve">וְעוֹד אִם שְׁגוּרָה תְּפִלָּתוֹ בְּפִיו, אִיהוּ רָזָא וַיְהִי הוּא טֶרֶם כִּלָּה לְדַבֵּר </w:t>
      </w:r>
      <w:r>
        <w:rPr>
          <w:rStyle w:val="a7"/>
          <w:rFonts w:hAnsi="Arial"/>
          <w:b w:val="0"/>
          <w:bCs w:val="0"/>
          <w:rtl/>
          <w:lang w:eastAsia="en-US"/>
        </w:rPr>
        <w:footnoteReference w:id="2516"/>
      </w:r>
      <w:r>
        <w:rPr>
          <w:rtl/>
        </w:rPr>
        <w:t xml:space="preserve">וְהִנֵּה רִבְקָה יוֹצֵאת </w:t>
      </w:r>
      <w:r>
        <w:rPr>
          <w:sz w:val="20"/>
          <w:szCs w:val="20"/>
          <w:rtl/>
        </w:rPr>
        <w:t>(בראשית כד טו)</w:t>
      </w:r>
      <w:r>
        <w:rPr>
          <w:rtl/>
        </w:rPr>
        <w:t xml:space="preserve">, וְרָזָא דְמִלָּה וְהָיָה טֶרֶם יִקְרָאוּ </w:t>
      </w:r>
      <w:r>
        <w:rPr>
          <w:rStyle w:val="a7"/>
          <w:rFonts w:hAnsi="Arial"/>
          <w:b w:val="0"/>
          <w:bCs w:val="0"/>
          <w:rtl/>
          <w:lang w:eastAsia="en-US"/>
        </w:rPr>
        <w:footnoteReference w:id="2517"/>
      </w:r>
      <w:r>
        <w:rPr>
          <w:rtl/>
        </w:rPr>
        <w:t xml:space="preserve">וַאֲנִי אֶעֱנֶה, עוֹד הֵם מְדַבְּרִים וַאֲנִי אֶשְׁמָע </w:t>
      </w:r>
      <w:r>
        <w:rPr>
          <w:sz w:val="20"/>
          <w:szCs w:val="20"/>
          <w:rtl/>
        </w:rPr>
        <w:t>(ישעיהו סה כד)</w:t>
      </w:r>
      <w:r>
        <w:rPr>
          <w:rtl/>
        </w:rPr>
        <w:t xml:space="preserve">, זַכָּאָה אִיהוּ מָאן דְּלָא מְעַכֵּב מַטְרוֹנִיתָא לְסַלְקָא לְמַלְכָּא, דְּכָל מָאן דְּאִיהוּ צְלוֹתֵיהּ שְׁגוּרָה בְּפִימוֹי בְּלָא עִכּוּבָא, הַהוּא מְמַהֵר מַטְרוֹנִיתָא לְמַלְכָּא, וַוי לוֹן לִבְנֵי נָשָׁא דְאִינוּן אֲטִימִין לִבָּא וְעַיְינִין, דְּלָא מִשְׁתַּדְלִין לְמִנְדַּע בִּיקָרָא דְמָארֵיהוֹן לְרַצּוּיֵי לֵיהּ בִּשְׁכִינְתֵּיהּ, </w:t>
      </w:r>
      <w:r>
        <w:rPr>
          <w:rStyle w:val="a7"/>
          <w:rFonts w:hAnsi="Arial"/>
          <w:b w:val="0"/>
          <w:bCs w:val="0"/>
          <w:rtl/>
          <w:lang w:eastAsia="en-US"/>
        </w:rPr>
        <w:footnoteReference w:id="2518"/>
      </w:r>
      <w:r>
        <w:rPr>
          <w:rtl/>
        </w:rPr>
        <w:t>בְּכַמָּה תַּחֲנוּנִים וּפִיּוּסִים, לְנַחֲתָא לֵיהּ לְגַבֵּי שְׁכִינְתָּא, כָּל שֶׁכֵּן לְאַתְעָרָא בֵיהּ רְחִימוּ לְגַבָּהּ, כְּמָה דְתַקִּינוּ הַבּוֹחֵר בְּעַמּוֹ יִשְׂרָאֵל בְּאַהֲבָה.</w:t>
      </w:r>
    </w:p>
    <w:p w:rsidR="002D629A" w:rsidRDefault="002D629A" w:rsidP="00B17EA9">
      <w:pPr>
        <w:pStyle w:val="aa"/>
        <w:rPr>
          <w:rtl/>
        </w:rPr>
      </w:pPr>
      <w:r>
        <w:rPr>
          <w:rtl/>
        </w:rPr>
        <w:t>[תיקוני זוהר - הגהה דף נו ע''ב]</w:t>
      </w:r>
    </w:p>
    <w:p w:rsidR="002D629A" w:rsidRDefault="002D629A" w:rsidP="00B17EA9">
      <w:pPr>
        <w:pStyle w:val="NormalWeb"/>
        <w:rPr>
          <w:rtl/>
        </w:rPr>
      </w:pPr>
      <w:r>
        <w:rPr>
          <w:rStyle w:val="a7"/>
          <w:rFonts w:hAnsi="Arial"/>
          <w:b w:val="0"/>
          <w:bCs w:val="0"/>
          <w:rtl/>
          <w:lang w:eastAsia="en-US"/>
        </w:rPr>
        <w:footnoteReference w:id="2519"/>
      </w:r>
      <w:r>
        <w:rPr>
          <w:rtl/>
        </w:rPr>
        <w:t xml:space="preserve">וְכַד קַיְימִין קֳדָמֵיהּ, צָרִיךְ לְמֵיקַם קֳדָמֵיהּ בִּדְחִילוּ, זַכָּאִין אִינוּן יִשְׂרָאֵל דְּיָדְעִין לְפַיְיסָא לְמָארֵיהוֹן כִּדְקָא יָאוּת, וּלְחַבְּרָא בְּפִימַיְיהוּ בִּצְלוֹתְהוֹן תְּרֵין שְׁמָהָן אִלֵּין דְּאִינוּן יאהדונה''י, דִּבְהַהוּא זִמְנָא אָ''ז תִּקְרָא וַיהו''ה יַעֲנֶה </w:t>
      </w:r>
      <w:r>
        <w:rPr>
          <w:sz w:val="20"/>
          <w:szCs w:val="20"/>
          <w:rtl/>
        </w:rPr>
        <w:t>(ישעיהו נח א)</w:t>
      </w:r>
      <w:r>
        <w:rPr>
          <w:rtl/>
        </w:rPr>
        <w:t xml:space="preserve">, וַיהו''ה </w:t>
      </w:r>
      <w:r>
        <w:rPr>
          <w:rStyle w:val="a7"/>
          <w:rFonts w:hAnsi="Arial"/>
          <w:b w:val="0"/>
          <w:bCs w:val="0"/>
          <w:rtl/>
          <w:lang w:eastAsia="en-US"/>
        </w:rPr>
        <w:footnoteReference w:id="2520"/>
      </w:r>
      <w:r>
        <w:rPr>
          <w:rtl/>
        </w:rPr>
        <w:t xml:space="preserve">הוּא וּבֵית דִּינוֹ, וְדָא שְׁכִינְתָּא </w:t>
      </w:r>
      <w:r>
        <w:rPr>
          <w:sz w:val="20"/>
          <w:szCs w:val="20"/>
          <w:rtl/>
        </w:rPr>
        <w:t>(נ''א ודא חכמתא עלאה ושכינתא)</w:t>
      </w:r>
      <w:r>
        <w:rPr>
          <w:rtl/>
        </w:rPr>
        <w:t xml:space="preserve"> </w:t>
      </w:r>
      <w:r>
        <w:rPr>
          <w:sz w:val="20"/>
          <w:szCs w:val="20"/>
          <w:rtl/>
        </w:rPr>
        <w:t>(נ''א חכמה)</w:t>
      </w:r>
      <w:r>
        <w:rPr>
          <w:rtl/>
        </w:rPr>
        <w:t xml:space="preserve"> עִלָּאָה וְתַתָּאָה, </w:t>
      </w:r>
      <w:r>
        <w:rPr>
          <w:rStyle w:val="a7"/>
          <w:rFonts w:hAnsi="Arial"/>
          <w:b w:val="0"/>
          <w:bCs w:val="0"/>
          <w:rtl/>
          <w:lang w:eastAsia="en-US"/>
        </w:rPr>
        <w:footnoteReference w:id="2521"/>
      </w:r>
      <w:r>
        <w:rPr>
          <w:rtl/>
        </w:rPr>
        <w:t xml:space="preserve">וְדָא אִיהוּ </w:t>
      </w:r>
      <w:r>
        <w:rPr>
          <w:sz w:val="20"/>
          <w:szCs w:val="20"/>
          <w:rtl/>
        </w:rPr>
        <w:t>(הגהה דף נו ע"ב)</w:t>
      </w:r>
      <w:r>
        <w:rPr>
          <w:rtl/>
        </w:rPr>
        <w:t xml:space="preserve"> רָזָא </w:t>
      </w:r>
      <w:r>
        <w:rPr>
          <w:sz w:val="20"/>
          <w:szCs w:val="20"/>
          <w:rtl/>
        </w:rPr>
        <w:t>(שיר ח ה)</w:t>
      </w:r>
      <w:r>
        <w:rPr>
          <w:rtl/>
        </w:rPr>
        <w:t xml:space="preserve"> מִי זֹאת עוֹלָה, דְּאִיהִי קָרְבָּנָא דְקוּדְשָׁא בְּרִיךְ הוּא, דְוַדַּאי שְׁכִינְתָּא אִיהִי קָרְבָּנָא דִילֵיהּ, וּבְגִין דָּא תַּקִּינוּ צְלוֹתָא בְּקָרְבָּנָא.</w:t>
      </w:r>
    </w:p>
    <w:p w:rsidR="002D629A" w:rsidRDefault="002D629A" w:rsidP="00B17EA9">
      <w:pPr>
        <w:pStyle w:val="NormalWeb"/>
        <w:rPr>
          <w:rtl/>
        </w:rPr>
      </w:pPr>
      <w:r>
        <w:rPr>
          <w:rtl/>
        </w:rPr>
        <w:t xml:space="preserve">הִיא הָעוֹלָה, </w:t>
      </w:r>
      <w:r>
        <w:rPr>
          <w:rStyle w:val="a7"/>
          <w:rFonts w:hAnsi="Arial"/>
          <w:b w:val="0"/>
          <w:bCs w:val="0"/>
          <w:rtl/>
          <w:lang w:eastAsia="en-US"/>
        </w:rPr>
        <w:footnoteReference w:id="2522"/>
      </w:r>
      <w:r>
        <w:rPr>
          <w:rtl/>
        </w:rPr>
        <w:t xml:space="preserve">הָעוֹלָה וַדַּאי, זַכָּאָה אִיהוּ מָאן דְּסָלִיק לָהּ לְגַבֵּיהּ כִּדְקָא יָאוּת, </w:t>
      </w:r>
      <w:r>
        <w:rPr>
          <w:rStyle w:val="a7"/>
          <w:rFonts w:hAnsi="Arial"/>
          <w:b w:val="0"/>
          <w:bCs w:val="0"/>
          <w:rtl/>
          <w:lang w:eastAsia="en-US"/>
        </w:rPr>
        <w:footnoteReference w:id="2523"/>
      </w:r>
      <w:r>
        <w:rPr>
          <w:rtl/>
        </w:rPr>
        <w:t xml:space="preserve">דְּאִיהוּ שְׁאִיל בְּגִינָהּ </w:t>
      </w:r>
      <w:r>
        <w:rPr>
          <w:sz w:val="20"/>
          <w:szCs w:val="20"/>
          <w:rtl/>
        </w:rPr>
        <w:t>(שיר ח ה)</w:t>
      </w:r>
      <w:r>
        <w:rPr>
          <w:rtl/>
        </w:rPr>
        <w:t xml:space="preserve"> מִי זֹאת עוֹלָה, עוֹלָה וַדַּאי, מִן הַמִּדְבָּר, מִן הַמְּדַבֵּר וַדַּאי, דְּפִימוֹי חָשִׁיב קוּדְשָׁא בְּרִיךְ הוּא </w:t>
      </w:r>
      <w:r>
        <w:rPr>
          <w:rStyle w:val="a7"/>
          <w:rFonts w:hAnsi="Arial"/>
          <w:b w:val="0"/>
          <w:bCs w:val="0"/>
          <w:rtl/>
          <w:lang w:eastAsia="en-US"/>
        </w:rPr>
        <w:footnoteReference w:id="2524"/>
      </w:r>
      <w:r>
        <w:rPr>
          <w:rtl/>
        </w:rPr>
        <w:t xml:space="preserve">כְּטוּרָא דְסִינַי, וּבְגִין דָּא מִי זֹאת עוֹלָה מִן הַמִּדְבָּר </w:t>
      </w:r>
      <w:r>
        <w:rPr>
          <w:rStyle w:val="a7"/>
          <w:rFonts w:hAnsi="Arial"/>
          <w:b w:val="0"/>
          <w:bCs w:val="0"/>
          <w:rtl/>
          <w:lang w:eastAsia="en-US"/>
        </w:rPr>
        <w:footnoteReference w:id="2525"/>
      </w:r>
      <w:r>
        <w:rPr>
          <w:rtl/>
        </w:rPr>
        <w:t>מִן דִּבּוּרָא.</w:t>
      </w:r>
    </w:p>
    <w:p w:rsidR="002D629A" w:rsidRDefault="002D629A" w:rsidP="00B17EA9">
      <w:pPr>
        <w:pStyle w:val="NormalWeb"/>
        <w:rPr>
          <w:rtl/>
        </w:rPr>
      </w:pPr>
      <w:r>
        <w:rPr>
          <w:rtl/>
        </w:rPr>
        <w:t xml:space="preserve">מְקֻטֶּרֶת מֹר </w:t>
      </w:r>
      <w:r>
        <w:rPr>
          <w:sz w:val="20"/>
          <w:szCs w:val="20"/>
          <w:rtl/>
        </w:rPr>
        <w:t>(שם ג ו)</w:t>
      </w:r>
      <w:r>
        <w:rPr>
          <w:rtl/>
        </w:rPr>
        <w:t xml:space="preserve"> דָּא צְלוֹתָא דְשַׁחֲרִית דְּתַקִּין אַבְרָהָם </w:t>
      </w:r>
      <w:r>
        <w:rPr>
          <w:rStyle w:val="a7"/>
          <w:rFonts w:hAnsi="Arial"/>
          <w:b w:val="0"/>
          <w:bCs w:val="0"/>
          <w:rtl/>
          <w:lang w:eastAsia="en-US"/>
        </w:rPr>
        <w:footnoteReference w:id="2526"/>
      </w:r>
      <w:r>
        <w:rPr>
          <w:rtl/>
        </w:rPr>
        <w:t xml:space="preserve">דְּהוּא מֹר, </w:t>
      </w:r>
      <w:r>
        <w:rPr>
          <w:rStyle w:val="a7"/>
          <w:rFonts w:hAnsi="Arial"/>
          <w:b w:val="0"/>
          <w:bCs w:val="0"/>
          <w:rtl/>
          <w:lang w:eastAsia="en-US"/>
        </w:rPr>
        <w:footnoteReference w:id="2527"/>
      </w:r>
      <w:r>
        <w:rPr>
          <w:rtl/>
        </w:rPr>
        <w:t xml:space="preserve">וְעוֹד מְקֻטֶּרֶת מֹר, </w:t>
      </w:r>
      <w:r>
        <w:rPr>
          <w:sz w:val="20"/>
          <w:szCs w:val="20"/>
          <w:rtl/>
        </w:rPr>
        <w:t>(שם א יג)</w:t>
      </w:r>
      <w:r>
        <w:rPr>
          <w:rtl/>
        </w:rPr>
        <w:t xml:space="preserve"> צְרוֹר הַמֹּר דּוֹדִי לִי, וְדָא נֶצַח דְּסָלִיק לָהּ בִּימִינָא, </w:t>
      </w:r>
      <w:r>
        <w:rPr>
          <w:rStyle w:val="a7"/>
          <w:rFonts w:hAnsi="Arial"/>
          <w:b w:val="0"/>
          <w:bCs w:val="0"/>
          <w:rtl/>
          <w:lang w:eastAsia="en-US"/>
        </w:rPr>
        <w:footnoteReference w:id="2528"/>
      </w:r>
      <w:r>
        <w:rPr>
          <w:rtl/>
        </w:rPr>
        <w:t xml:space="preserve">הֲדָא הוּא דִכְתִיב </w:t>
      </w:r>
      <w:r>
        <w:rPr>
          <w:sz w:val="20"/>
          <w:szCs w:val="20"/>
          <w:rtl/>
        </w:rPr>
        <w:t>(תהלים טז יא)</w:t>
      </w:r>
      <w:r>
        <w:rPr>
          <w:rtl/>
        </w:rPr>
        <w:t xml:space="preserve"> נְעִימוֹת בִּימִינְךָ נֶצַח, </w:t>
      </w:r>
      <w:r>
        <w:rPr>
          <w:rStyle w:val="a7"/>
          <w:rFonts w:hAnsi="Arial"/>
          <w:b w:val="0"/>
          <w:bCs w:val="0"/>
          <w:rtl/>
          <w:lang w:eastAsia="en-US"/>
        </w:rPr>
        <w:footnoteReference w:id="2529"/>
      </w:r>
      <w:r>
        <w:rPr>
          <w:rtl/>
        </w:rPr>
        <w:t xml:space="preserve">וּלְבוֹנָה דָא הוֹד, דְּסָלִיק לָהּ בִּגְבוּרָה, </w:t>
      </w:r>
      <w:r>
        <w:rPr>
          <w:rStyle w:val="a7"/>
          <w:rFonts w:hAnsi="Arial"/>
          <w:b w:val="0"/>
          <w:bCs w:val="0"/>
          <w:rtl/>
          <w:lang w:eastAsia="en-US"/>
        </w:rPr>
        <w:footnoteReference w:id="2530"/>
      </w:r>
      <w:r>
        <w:rPr>
          <w:rtl/>
        </w:rPr>
        <w:t xml:space="preserve">מִכֹּל אַבְקַת רוֹכֵל דָּא צַדִּיק, דְּסָלִיק לָהּ בְּעַמּוּדָא דְאֶמְצָעִיתָא, וְאִם לָא סָלְקָא שְׁכִינְתָּא בִצְלוֹתֵיהּ, קָרְבָּנָא לְקוּדְשָׁא בְּרִיךְ הוּא, הָא כַּלְבָּא קָא נָחִית לְמֵיכַל קָרְבָּנָא דִילֵיהּ, וַוי לֵיהּ טַב לֵיהּ דְּלָא אִתְבְּרִי בְּעָלְמָא, וַעֲלֵיהּ אִתְּמַר </w:t>
      </w:r>
      <w:r>
        <w:rPr>
          <w:sz w:val="20"/>
          <w:szCs w:val="20"/>
          <w:rtl/>
        </w:rPr>
        <w:t>(משלי יט כג)</w:t>
      </w:r>
      <w:r>
        <w:rPr>
          <w:rtl/>
        </w:rPr>
        <w:t xml:space="preserve"> </w:t>
      </w:r>
      <w:r>
        <w:rPr>
          <w:rStyle w:val="a7"/>
          <w:rFonts w:hAnsi="Arial"/>
          <w:b w:val="0"/>
          <w:bCs w:val="0"/>
          <w:rtl/>
          <w:lang w:eastAsia="en-US"/>
        </w:rPr>
        <w:footnoteReference w:id="2531"/>
      </w:r>
      <w:r>
        <w:rPr>
          <w:rtl/>
        </w:rPr>
        <w:t>גַּם בְּלֹא דַעַת נֶפֶשׁ לֹא טוֹב.</w:t>
      </w:r>
    </w:p>
    <w:p w:rsidR="002D629A" w:rsidRDefault="002D629A" w:rsidP="00B17EA9">
      <w:pPr>
        <w:pStyle w:val="NormalWeb"/>
        <w:rPr>
          <w:rtl/>
        </w:rPr>
      </w:pPr>
      <w:r>
        <w:rPr>
          <w:rtl/>
        </w:rPr>
        <w:t xml:space="preserve">וְכַד סָלְקָא שְׁכִינְתָּא בִּצְלוֹתֵיהּ, כַּמָּה </w:t>
      </w:r>
      <w:r>
        <w:rPr>
          <w:rStyle w:val="a7"/>
          <w:rFonts w:hAnsi="Arial"/>
          <w:b w:val="0"/>
          <w:bCs w:val="0"/>
          <w:rtl/>
          <w:lang w:eastAsia="en-US"/>
        </w:rPr>
        <w:footnoteReference w:id="2532"/>
      </w:r>
      <w:r>
        <w:rPr>
          <w:rtl/>
        </w:rPr>
        <w:t xml:space="preserve">חֵיוָון וּמֶרְכַּבְתָּא וְגַלְגַּלֵּי דְכוּרְסַיָּיא, כֻּלְּהוּ יִתְעָרוּן לְגַבָּהּ בְּנִגּוּנָא בְּחֶדְוָה, וְכֻלְּהוּ גַדְפַיְיהוּ פְּתִיחָן לְקַבְּלָא לָהּ, וְהָא אוּקְמוּהוּ </w:t>
      </w:r>
      <w:r>
        <w:rPr>
          <w:sz w:val="20"/>
          <w:szCs w:val="20"/>
          <w:rtl/>
        </w:rPr>
        <w:t>(יחזקאל א יא)</w:t>
      </w:r>
      <w:r>
        <w:rPr>
          <w:rtl/>
        </w:rPr>
        <w:t xml:space="preserve"> </w:t>
      </w:r>
      <w:r>
        <w:rPr>
          <w:rStyle w:val="a7"/>
          <w:rFonts w:hAnsi="Arial"/>
          <w:b w:val="0"/>
          <w:bCs w:val="0"/>
          <w:rtl/>
          <w:lang w:eastAsia="en-US"/>
        </w:rPr>
        <w:footnoteReference w:id="2533"/>
      </w:r>
      <w:r>
        <w:rPr>
          <w:rtl/>
        </w:rPr>
        <w:t>וּפְנֵיהֶם וְכַנְפֵיהֶם פְּרוּדוֹת מִלְמָעְלָה.</w:t>
      </w:r>
    </w:p>
    <w:p w:rsidR="002D629A" w:rsidRDefault="002D629A" w:rsidP="00B17EA9">
      <w:pPr>
        <w:pStyle w:val="NormalWeb"/>
        <w:rPr>
          <w:rtl/>
        </w:rPr>
      </w:pPr>
      <w:r>
        <w:rPr>
          <w:rStyle w:val="a7"/>
          <w:rFonts w:hAnsi="Arial"/>
          <w:b w:val="0"/>
          <w:bCs w:val="0"/>
          <w:rtl/>
          <w:lang w:eastAsia="en-US"/>
        </w:rPr>
        <w:footnoteReference w:id="2534"/>
      </w:r>
      <w:r>
        <w:rPr>
          <w:rtl/>
        </w:rPr>
        <w:t xml:space="preserve">וְכַד סָלְקָא סָלְקָא כְּיוֹנָה, וְכַד נָחֲתַת נָחֲתַת כְּנִשְׁרָא, דְאִיהִי מַטְרוֹנִיתָא, דְלָא דְחִילַת מִכָּל עוֹפִין דְּעָלְמָא, וְנָחְתָא בְּכַמָּה מְזוֹנִין לִבְנָהָא, הֲדָא הוּא דִכְתִיב </w:t>
      </w:r>
      <w:r>
        <w:rPr>
          <w:sz w:val="20"/>
          <w:szCs w:val="20"/>
          <w:rtl/>
        </w:rPr>
        <w:t>(דברים לב יא)</w:t>
      </w:r>
      <w:r>
        <w:rPr>
          <w:rtl/>
        </w:rPr>
        <w:t xml:space="preserve"> כְּנֶשֶׁר יָעִיר קִנּוֹ עַל גּוֹזָלָיו יְרַחֵף, מָאן גּוֹזָלָיו, אִלֵּין אִינוּן יִשְׂרָאֵל, דְּאִינוּן כְּגוֹזָלַיָּיא מְצַפְצְפִין לָהּ בְּכַמָה צִפְצוּפִין דִּצְלוֹתָא, וְנָחֲתַת לְגַבַּיְיהוּ, לְכָל חַד נָחְתָא לֵיהּ מְזוֹנָא כִּדְקָא יָאוּת לֵיהּ, לְמָאן נָחְתָא מְזוֹנָא דְאוֹרַיְיתָא דְאִיהִי מְזוֹנָא דְנִשְׁמָתָא, </w:t>
      </w:r>
      <w:r>
        <w:rPr>
          <w:rStyle w:val="a7"/>
          <w:rFonts w:hAnsi="Arial"/>
          <w:b w:val="0"/>
          <w:bCs w:val="0"/>
          <w:rtl/>
          <w:lang w:eastAsia="en-US"/>
        </w:rPr>
        <w:footnoteReference w:id="2535"/>
      </w:r>
      <w:r>
        <w:rPr>
          <w:rtl/>
        </w:rPr>
        <w:t>לְמָאן נָחְתָא מְזוֹנָא דְגוּפָא, לְכָל חַד כְּפוּם רְעוּתֵיהּ.</w:t>
      </w:r>
    </w:p>
    <w:p w:rsidR="002D629A" w:rsidRDefault="002D629A" w:rsidP="00B17EA9">
      <w:pPr>
        <w:pStyle w:val="NormalWeb"/>
        <w:rPr>
          <w:rtl/>
        </w:rPr>
      </w:pPr>
      <w:r>
        <w:rPr>
          <w:rStyle w:val="a7"/>
          <w:rFonts w:hAnsi="Arial"/>
          <w:b w:val="0"/>
          <w:bCs w:val="0"/>
          <w:rtl/>
          <w:lang w:eastAsia="en-US"/>
        </w:rPr>
        <w:footnoteReference w:id="2536"/>
      </w:r>
      <w:r>
        <w:rPr>
          <w:rtl/>
        </w:rPr>
        <w:t xml:space="preserve">דָּבָר אַחֵר אֵם תִּשְׁכְּבוּן, דָּא אִימָּא עִלָּאָה, דְאִיהִי צְלוֹתָא דְשַׁבָּת, </w:t>
      </w:r>
      <w:r>
        <w:rPr>
          <w:rStyle w:val="a7"/>
          <w:rFonts w:hAnsi="Arial"/>
          <w:b w:val="0"/>
          <w:bCs w:val="0"/>
          <w:rtl/>
          <w:lang w:eastAsia="en-US"/>
        </w:rPr>
        <w:footnoteReference w:id="2537"/>
      </w:r>
      <w:r>
        <w:rPr>
          <w:rtl/>
        </w:rPr>
        <w:t xml:space="preserve">דִּצְרִיכִין שִׂפְוָון לְקַבְּלָא לָהּ בְּעֶרֶב שַׁבָּת, </w:t>
      </w:r>
      <w:r>
        <w:rPr>
          <w:rStyle w:val="a7"/>
          <w:rFonts w:hAnsi="Arial"/>
          <w:b w:val="0"/>
          <w:bCs w:val="0"/>
          <w:rtl/>
          <w:lang w:eastAsia="en-US"/>
        </w:rPr>
        <w:footnoteReference w:id="2538"/>
      </w:r>
      <w:r>
        <w:rPr>
          <w:rtl/>
        </w:rPr>
        <w:t xml:space="preserve">דְּאִיהִי נִשְׁמַת כָּל חַי, </w:t>
      </w:r>
      <w:r>
        <w:rPr>
          <w:rStyle w:val="a7"/>
          <w:rFonts w:hAnsi="Arial"/>
          <w:b w:val="0"/>
          <w:bCs w:val="0"/>
          <w:rtl/>
          <w:lang w:eastAsia="en-US"/>
        </w:rPr>
        <w:footnoteReference w:id="2539"/>
      </w:r>
      <w:r>
        <w:rPr>
          <w:rtl/>
        </w:rPr>
        <w:t xml:space="preserve">אִיהִי נָחְתָא עַל רֹאשׁ צַדִּיק </w:t>
      </w:r>
      <w:r>
        <w:rPr>
          <w:rStyle w:val="a7"/>
          <w:rFonts w:hAnsi="Arial"/>
          <w:b w:val="0"/>
          <w:bCs w:val="0"/>
          <w:rtl/>
          <w:lang w:eastAsia="en-US"/>
        </w:rPr>
        <w:footnoteReference w:id="2540"/>
      </w:r>
      <w:r>
        <w:rPr>
          <w:rtl/>
        </w:rPr>
        <w:t xml:space="preserve">דְּאִיהוּ יוֹם הַשְּׁבִיעִי, </w:t>
      </w:r>
      <w:r>
        <w:rPr>
          <w:rStyle w:val="a7"/>
          <w:rFonts w:hAnsi="Arial"/>
          <w:b w:val="0"/>
          <w:bCs w:val="0"/>
          <w:rtl/>
          <w:lang w:eastAsia="en-US"/>
        </w:rPr>
        <w:footnoteReference w:id="2541"/>
      </w:r>
      <w:r>
        <w:rPr>
          <w:rtl/>
        </w:rPr>
        <w:t>לְשׁוֹן לִמּוּדִים קָרִינָן לֵיהּ, וְאִיהִי שַׁרְיָא עֲלֵיהּ בֵּין תְּרֵין שִׂפְוָון דְּאִינוּן נֶצַח וָהוֹד.</w:t>
      </w:r>
    </w:p>
    <w:p w:rsidR="002D629A" w:rsidRDefault="002D629A" w:rsidP="00B17EA9">
      <w:pPr>
        <w:pStyle w:val="aa"/>
        <w:rPr>
          <w:rtl/>
        </w:rPr>
      </w:pPr>
      <w:bookmarkStart w:id="201" w:name="_Toc228095647"/>
      <w:bookmarkStart w:id="202" w:name="_Toc231638085"/>
      <w:r>
        <w:rPr>
          <w:rtl/>
        </w:rPr>
        <w:t>[תיקוני זוהר - הגהה דף נז ע''א]</w:t>
      </w:r>
      <w:bookmarkEnd w:id="201"/>
      <w:bookmarkEnd w:id="202"/>
    </w:p>
    <w:p w:rsidR="002D629A" w:rsidRDefault="002D629A" w:rsidP="00B17EA9">
      <w:pPr>
        <w:pStyle w:val="NormalWeb"/>
        <w:rPr>
          <w:rtl/>
        </w:rPr>
      </w:pPr>
      <w:r>
        <w:rPr>
          <w:rtl/>
        </w:rPr>
        <w:t xml:space="preserve">וְשַׁבָּת אִיהִי פֶה, </w:t>
      </w:r>
      <w:r>
        <w:rPr>
          <w:sz w:val="20"/>
          <w:szCs w:val="20"/>
          <w:rtl/>
        </w:rPr>
        <w:t>(נ''א פתח)</w:t>
      </w:r>
      <w:r>
        <w:rPr>
          <w:rtl/>
        </w:rPr>
        <w:t xml:space="preserve"> דְּאִתְפַּתְּחָא </w:t>
      </w:r>
      <w:r>
        <w:rPr>
          <w:rStyle w:val="a7"/>
          <w:rFonts w:hAnsi="Arial"/>
          <w:b w:val="0"/>
          <w:bCs w:val="0"/>
          <w:rtl/>
          <w:lang w:eastAsia="en-US"/>
        </w:rPr>
        <w:footnoteReference w:id="2542"/>
      </w:r>
      <w:r>
        <w:rPr>
          <w:rtl/>
        </w:rPr>
        <w:t xml:space="preserve">בְּעֶרֶב שַׁבָּת </w:t>
      </w:r>
      <w:r>
        <w:rPr>
          <w:sz w:val="20"/>
          <w:szCs w:val="20"/>
          <w:rtl/>
        </w:rPr>
        <w:t>(הגהה דף נז ע"א)</w:t>
      </w:r>
      <w:r>
        <w:rPr>
          <w:rtl/>
        </w:rPr>
        <w:t xml:space="preserve"> לְקַבְּלָא לָהּ בְּהַאי צְלוֹתָא דְשַׁבָּת, </w:t>
      </w:r>
      <w:r>
        <w:rPr>
          <w:rStyle w:val="a7"/>
          <w:rFonts w:hAnsi="Arial"/>
          <w:b w:val="0"/>
          <w:bCs w:val="0"/>
          <w:rtl/>
          <w:lang w:eastAsia="en-US"/>
        </w:rPr>
        <w:footnoteReference w:id="2543"/>
      </w:r>
      <w:r>
        <w:rPr>
          <w:rtl/>
        </w:rPr>
        <w:t xml:space="preserve">דְּהָא צְלוֹתָא דְשַׁבָּת אִתְקְרִיאַת קַבָּלָה, </w:t>
      </w:r>
      <w:r>
        <w:rPr>
          <w:rStyle w:val="a7"/>
          <w:rFonts w:hAnsi="Arial"/>
          <w:b w:val="0"/>
          <w:bCs w:val="0"/>
          <w:rtl/>
          <w:lang w:eastAsia="en-US"/>
        </w:rPr>
        <w:footnoteReference w:id="2544"/>
      </w:r>
      <w:r>
        <w:rPr>
          <w:rtl/>
        </w:rPr>
        <w:t xml:space="preserve">וּמִינָהּ מְקַבְּלִין כָּל סְפִירָאן דֵּין מִן דֵּין, </w:t>
      </w:r>
      <w:r>
        <w:rPr>
          <w:rStyle w:val="a7"/>
          <w:rFonts w:hAnsi="Arial"/>
          <w:b w:val="0"/>
          <w:bCs w:val="0"/>
          <w:rtl/>
          <w:lang w:eastAsia="en-US"/>
        </w:rPr>
        <w:footnoteReference w:id="2545"/>
      </w:r>
      <w:r>
        <w:rPr>
          <w:rtl/>
        </w:rPr>
        <w:t xml:space="preserve">וּבָהּ צְלוֹתָא דְבַר נַשׁ מְקוּבֶּלֶת קֳדָם יהו''ה, </w:t>
      </w:r>
      <w:r>
        <w:rPr>
          <w:rStyle w:val="a7"/>
          <w:rFonts w:hAnsi="Arial"/>
          <w:b w:val="0"/>
          <w:bCs w:val="0"/>
          <w:rtl/>
          <w:lang w:eastAsia="en-US"/>
        </w:rPr>
        <w:footnoteReference w:id="2546"/>
      </w:r>
      <w:r>
        <w:rPr>
          <w:rtl/>
        </w:rPr>
        <w:t xml:space="preserve">וְאִיהִי צְלוֹתָא דַעֲשֶׂרֶת יְמֵי תְּשׁוּבָה, </w:t>
      </w:r>
      <w:r>
        <w:rPr>
          <w:rStyle w:val="a7"/>
          <w:rFonts w:hAnsi="Arial"/>
          <w:b w:val="0"/>
          <w:bCs w:val="0"/>
          <w:rtl/>
          <w:lang w:eastAsia="en-US"/>
        </w:rPr>
        <w:footnoteReference w:id="2547"/>
      </w:r>
      <w:r>
        <w:rPr>
          <w:rtl/>
        </w:rPr>
        <w:t>וְאִיהִי ה' עִלָּאָה, דְתַקִּינוּ בָּהּ חָמֵשׁ צְלוֹתִין בְּיוֹמָא דְכִפּוּרֵי.</w:t>
      </w:r>
    </w:p>
    <w:p w:rsidR="002D629A" w:rsidRDefault="002D629A" w:rsidP="00B17EA9">
      <w:pPr>
        <w:pStyle w:val="NormalWeb"/>
        <w:rPr>
          <w:rtl/>
        </w:rPr>
      </w:pPr>
      <w:r>
        <w:rPr>
          <w:rStyle w:val="a7"/>
          <w:rFonts w:hAnsi="Arial"/>
          <w:b w:val="0"/>
          <w:bCs w:val="0"/>
          <w:rtl/>
          <w:lang w:eastAsia="en-US"/>
        </w:rPr>
        <w:footnoteReference w:id="2548"/>
      </w:r>
      <w:r>
        <w:rPr>
          <w:rtl/>
        </w:rPr>
        <w:t xml:space="preserve">אֲבָל שַׁבָּת אִיהִי שְׁכִינְתָּא תַּתָּאָה, </w:t>
      </w:r>
      <w:r>
        <w:rPr>
          <w:rStyle w:val="a7"/>
          <w:rFonts w:hAnsi="Arial"/>
          <w:b w:val="0"/>
          <w:bCs w:val="0"/>
          <w:rtl/>
          <w:lang w:eastAsia="en-US"/>
        </w:rPr>
        <w:footnoteReference w:id="2549"/>
      </w:r>
      <w:r>
        <w:rPr>
          <w:rtl/>
        </w:rPr>
        <w:t xml:space="preserve">כְּלִילָא מִתְּלַת אֲבָהָן, דְּאִינוּן תְּלַת עַנְפִין דְּש' דְּשַׁבָּ''ת, </w:t>
      </w:r>
      <w:r>
        <w:rPr>
          <w:rStyle w:val="a7"/>
          <w:rFonts w:hAnsi="Arial"/>
          <w:b w:val="0"/>
          <w:bCs w:val="0"/>
          <w:rtl/>
          <w:lang w:eastAsia="en-US"/>
        </w:rPr>
        <w:footnoteReference w:id="2550"/>
      </w:r>
      <w:r>
        <w:rPr>
          <w:rtl/>
        </w:rPr>
        <w:t xml:space="preserve">בַּ''ת יְחִידָה אִיהִי נְקוּדָה בֶּחָלָל דִּילָהּ, </w:t>
      </w:r>
      <w:r>
        <w:rPr>
          <w:rStyle w:val="a7"/>
          <w:rFonts w:hAnsi="Arial"/>
          <w:b w:val="0"/>
          <w:bCs w:val="0"/>
          <w:rtl/>
          <w:lang w:eastAsia="en-US"/>
        </w:rPr>
        <w:footnoteReference w:id="2551"/>
      </w:r>
      <w:r>
        <w:rPr>
          <w:rtl/>
        </w:rPr>
        <w:t xml:space="preserve">וְאִיהִי חַג דְּכָל </w:t>
      </w:r>
      <w:r>
        <w:rPr>
          <w:sz w:val="20"/>
          <w:szCs w:val="20"/>
          <w:rtl/>
        </w:rPr>
        <w:t>(נ''א דכליל כל)</w:t>
      </w:r>
      <w:r>
        <w:rPr>
          <w:rtl/>
        </w:rPr>
        <w:t xml:space="preserve"> </w:t>
      </w:r>
      <w:r>
        <w:rPr>
          <w:rStyle w:val="Char"/>
          <w:rtl/>
          <w:lang w:eastAsia="en-US"/>
        </w:rPr>
        <w:t>יוֹמִין טָבִין, עֲלָהּ אִתְּמַר</w:t>
      </w:r>
      <w:r>
        <w:rPr>
          <w:rtl/>
        </w:rPr>
        <w:t xml:space="preserve"> </w:t>
      </w:r>
      <w:r>
        <w:rPr>
          <w:sz w:val="20"/>
          <w:szCs w:val="20"/>
          <w:rtl/>
        </w:rPr>
        <w:t>(ישעיהו מ כב)</w:t>
      </w:r>
      <w:r>
        <w:rPr>
          <w:rtl/>
        </w:rPr>
        <w:t xml:space="preserve"> הַיּוֹשֵׁב עַל חוּג הָאָרֶץ.</w:t>
      </w:r>
    </w:p>
    <w:p w:rsidR="002D629A" w:rsidRDefault="002D629A" w:rsidP="00B17EA9">
      <w:pPr>
        <w:pStyle w:val="NormalWeb"/>
        <w:rPr>
          <w:rtl/>
        </w:rPr>
      </w:pPr>
      <w:r>
        <w:rPr>
          <w:rStyle w:val="a7"/>
          <w:rFonts w:hAnsi="Arial"/>
          <w:b w:val="0"/>
          <w:bCs w:val="0"/>
          <w:rtl/>
          <w:lang w:eastAsia="en-US"/>
        </w:rPr>
        <w:footnoteReference w:id="2552"/>
      </w:r>
      <w:r>
        <w:rPr>
          <w:rtl/>
        </w:rPr>
        <w:t xml:space="preserve">אֲבָל נִשְׁמָתָא יְתֵירָא בְּשַׁבָּת וּבְיוֹמִין טָבִין וּבְכָל מוּסָפִין, אִיהִי אִימָּא עִלָּאָה, תּוֹסֶפֶת רוּחַ הַקֹּדֶשׁ, צְלוֹתָא דְשִׁית יוֹמִין דְּחוֹל תְּלַת זִמְנִין בְּכָל יוֹמָא, אִיהִי שְׁכִינְתָּא תַּתָּאָה, כְּלָלָא דְתַמְנֵי סְרֵי צְלוֹתִין, תְּלַת זִמְנִין בְּיוֹמָא, סָלְקִין בְּשִׁית יוֹמִין חַ''י, </w:t>
      </w:r>
      <w:r>
        <w:rPr>
          <w:rStyle w:val="a7"/>
          <w:rFonts w:hAnsi="Arial"/>
          <w:b w:val="0"/>
          <w:bCs w:val="0"/>
          <w:rtl/>
          <w:lang w:eastAsia="en-US"/>
        </w:rPr>
        <w:footnoteReference w:id="2553"/>
      </w:r>
      <w:r>
        <w:rPr>
          <w:rtl/>
        </w:rPr>
        <w:t xml:space="preserve">וְעַל שְׁמֵיהּ אִתְקְרֵי תְּפִלַּת כָּל פֶּ''ה, בְּיוֹמִין דְּחוֹל אַיְיתֵי לָהּ מְזוֹנָא </w:t>
      </w:r>
      <w:r>
        <w:rPr>
          <w:rStyle w:val="a7"/>
          <w:rFonts w:hAnsi="Arial"/>
          <w:b w:val="0"/>
          <w:bCs w:val="0"/>
          <w:rtl/>
          <w:lang w:eastAsia="en-US"/>
        </w:rPr>
        <w:footnoteReference w:id="2554"/>
      </w:r>
      <w:r>
        <w:rPr>
          <w:rtl/>
        </w:rPr>
        <w:t xml:space="preserve">עַל יְדֵי שְׁלִיחַ, </w:t>
      </w:r>
      <w:r>
        <w:rPr>
          <w:rStyle w:val="a7"/>
          <w:rFonts w:hAnsi="Arial"/>
          <w:b w:val="0"/>
          <w:bCs w:val="0"/>
          <w:rtl/>
          <w:lang w:eastAsia="en-US"/>
        </w:rPr>
        <w:footnoteReference w:id="2555"/>
      </w:r>
      <w:r>
        <w:rPr>
          <w:rtl/>
        </w:rPr>
        <w:t xml:space="preserve">אֲבָל בְּשַׁבָּת וְיוֹמִין טָבִין אַיְיתֵי לָהּ מְזוֹנָא עַל יְדָא דְקוּדְשָׁא בְּרִיךְ הוּא, וַוי לְאִתְּתָא דְאִתְפַּרְנְסַת עַל יְדֵי שְׁלִיחָא, וְהָא אוּקְמוּהוּ בְיוֹנָה, דְאִתְּמַר </w:t>
      </w:r>
      <w:r>
        <w:rPr>
          <w:sz w:val="20"/>
          <w:szCs w:val="20"/>
          <w:rtl/>
        </w:rPr>
        <w:t>(בראשית ח יא)</w:t>
      </w:r>
      <w:r>
        <w:rPr>
          <w:rtl/>
        </w:rPr>
        <w:t xml:space="preserve"> וְהִנֵּה עֲלֵה זַיִת טָרָף בְּפִיהָ, וְאַמַּאי עֲלֵה זַיִת, אֶלָּא אָמְרַת יוֹנָה, רִבּוֹן עָלְמִין, תְּהֵא מְזוֹנָא דִילִי מְסוּרָה בִּידָךְ וּתְהֵא </w:t>
      </w:r>
      <w:r>
        <w:rPr>
          <w:rStyle w:val="a7"/>
          <w:rFonts w:hAnsi="Arial"/>
          <w:b w:val="0"/>
          <w:bCs w:val="0"/>
          <w:rtl/>
          <w:lang w:eastAsia="en-US"/>
        </w:rPr>
        <w:footnoteReference w:id="2556"/>
      </w:r>
      <w:r>
        <w:rPr>
          <w:rtl/>
        </w:rPr>
        <w:t>מְרִירָא כַּזַּיִת, וְלָא תְּהֵא מְתוּקָה וּמְסוּרָה בְיַד שְׁלִיחַ, וּשְׁלִיחַ בְּהַאי אֲתַר דָּא מטטרו''ן.</w:t>
      </w:r>
    </w:p>
    <w:p w:rsidR="002D629A" w:rsidRDefault="002D629A" w:rsidP="00B17EA9">
      <w:pPr>
        <w:pStyle w:val="NormalWeb"/>
        <w:rPr>
          <w:rtl/>
        </w:rPr>
      </w:pPr>
      <w:r>
        <w:rPr>
          <w:rStyle w:val="a7"/>
          <w:rFonts w:hAnsi="Arial"/>
          <w:b w:val="0"/>
          <w:bCs w:val="0"/>
          <w:rtl/>
          <w:lang w:eastAsia="en-US"/>
        </w:rPr>
        <w:footnoteReference w:id="2557"/>
      </w:r>
      <w:r>
        <w:rPr>
          <w:rtl/>
        </w:rPr>
        <w:t xml:space="preserve">וְעוֹד שְׁכִינְתָּא אִתְקְרִיאַת צְלוֹתָא דְפִסְחָא מִסִּטְרָא דִימִינָא, צְלוֹתָא דְרֹאשׁ הַשָּׁנָה מִסִּטְרָא דִשְׂמָאלָא, צְלוֹתָא דְשָׁבוּעוֹת מִסִּטְרָא דְעַמּוּדָא דְאֶמְצָעִיתָא, </w:t>
      </w:r>
      <w:r>
        <w:rPr>
          <w:rStyle w:val="a7"/>
          <w:rFonts w:hAnsi="Arial"/>
          <w:b w:val="0"/>
          <w:bCs w:val="0"/>
          <w:rtl/>
          <w:lang w:eastAsia="en-US"/>
        </w:rPr>
        <w:footnoteReference w:id="2558"/>
      </w:r>
      <w:r>
        <w:rPr>
          <w:rtl/>
        </w:rPr>
        <w:t>וּבַעֲלָה נְחִית בְכָל אֲתַר לְקַבְּלָא לָהּ (ולתקוני מאני קרבא).</w:t>
      </w:r>
    </w:p>
    <w:p w:rsidR="002D629A" w:rsidRDefault="002D629A" w:rsidP="00B17EA9">
      <w:pPr>
        <w:pStyle w:val="aa"/>
        <w:rPr>
          <w:rtl/>
        </w:rPr>
      </w:pPr>
      <w:r>
        <w:rPr>
          <w:rtl/>
        </w:rPr>
        <w:t>[תיקוני זוהר - דף נג ע''א]</w:t>
      </w:r>
    </w:p>
    <w:p w:rsidR="002D629A" w:rsidRDefault="002D629A" w:rsidP="00B17EA9">
      <w:pPr>
        <w:pStyle w:val="NormalWeb"/>
        <w:rPr>
          <w:rtl/>
        </w:rPr>
      </w:pPr>
      <w:r>
        <w:rPr>
          <w:sz w:val="20"/>
          <w:szCs w:val="20"/>
          <w:rtl/>
        </w:rPr>
        <w:t xml:space="preserve">(דף נג ע"א) </w:t>
      </w:r>
      <w:r>
        <w:rPr>
          <w:rtl/>
        </w:rPr>
        <w:t xml:space="preserve">דָּבָר אַחֵר שִׁמְעוּ הָרִים אֶת רִיב יהו''ה </w:t>
      </w:r>
      <w:r>
        <w:rPr>
          <w:sz w:val="20"/>
          <w:szCs w:val="20"/>
          <w:rtl/>
        </w:rPr>
        <w:t>(מיכה ו ב)</w:t>
      </w:r>
      <w:r>
        <w:rPr>
          <w:rtl/>
        </w:rPr>
        <w:t xml:space="preserve">, מָאן רִיב יהו''ה וּמָאן הָרִים, רִיב יהו''ה דָּא שְׁכִינְתָּא, הָרִים אִלֵּין אֲבָהָן, רִיב אִיהִי קְטָטָה וּמַחֲלֹקֶת לְקוּדְשָׁא בְּרִיךְ הוּא, עַל בְּנָהָא דְאִינוּן בְּגָלוּתָא, וּבְזִמְנָא דְלַאו אִינוּן בְּגָלוּתָא, אִיהִי רִיב לְגַבֵּיהּ עַל אִינוּן מִסְכְּנִין דְּאָזְלִין מִתְתָּרְכִין מֵאַתְרַיְהוּ, בְגִין דִּיְרַחֵם עֲלַיְהוּ, וּקְרָא אוֹכַח, הֲדָא הוּא דִכְתִיב </w:t>
      </w:r>
      <w:r>
        <w:rPr>
          <w:sz w:val="20"/>
          <w:szCs w:val="20"/>
          <w:rtl/>
        </w:rPr>
        <w:t>(ישעיה כז ה)</w:t>
      </w:r>
      <w:r>
        <w:rPr>
          <w:rtl/>
        </w:rPr>
        <w:t xml:space="preserve"> אוֹ יַחֲזֵק בְּמָעוּזִי, יַעֲשֶׂה שָׁלוֹם לִי, שָׁלוֹם יַעֲשֶׂה לִי, תְּרֵי שְׁלָמֵי, חַד עִם שְׁכִינְתָּא דְאִיהִי רִיב לְגַבֵּיהּ עַל מִסְכְּנָא, </w:t>
      </w:r>
      <w:r>
        <w:rPr>
          <w:rStyle w:val="a7"/>
          <w:rFonts w:hAnsi="Arial"/>
          <w:b w:val="0"/>
          <w:bCs w:val="0"/>
          <w:rtl/>
          <w:lang w:eastAsia="en-US"/>
        </w:rPr>
        <w:footnoteReference w:id="2559"/>
      </w:r>
      <w:r>
        <w:rPr>
          <w:rtl/>
        </w:rPr>
        <w:t xml:space="preserve">וּמָאן אִיהוּ מִסְכְּנָא דְעָבְדַת רִיב בְּגִינֵיהּ, דָּא מִסְכְּנָא דְאִיהוּ מִסִּטְרָא דְצַדִּיק, וְכָל שֶׁכֵּן כַּד צַדִּיק דְּאִיהוּ חָרֵב וְיָבֵשׁ בְּחַ''י בִּרְכָאָן דִּצְלוֹתָא, </w:t>
      </w:r>
      <w:r>
        <w:rPr>
          <w:rStyle w:val="a7"/>
          <w:rFonts w:hAnsi="Arial"/>
          <w:b w:val="0"/>
          <w:bCs w:val="0"/>
          <w:rtl/>
          <w:lang w:eastAsia="en-US"/>
        </w:rPr>
        <w:footnoteReference w:id="2560"/>
      </w:r>
      <w:r>
        <w:rPr>
          <w:rtl/>
        </w:rPr>
        <w:t xml:space="preserve">וְצָוְוחִין לְגַבֵּי קוּדְשָׁא בְּרִיךְ הוּא, </w:t>
      </w:r>
      <w:r>
        <w:rPr>
          <w:rStyle w:val="a7"/>
          <w:rFonts w:hAnsi="Arial"/>
          <w:b w:val="0"/>
          <w:bCs w:val="0"/>
          <w:rtl/>
          <w:lang w:eastAsia="en-US"/>
        </w:rPr>
        <w:footnoteReference w:id="2561"/>
      </w:r>
      <w:r>
        <w:rPr>
          <w:rtl/>
        </w:rPr>
        <w:t xml:space="preserve">וְאִתְּמַר לְגַבַּיְיהוּ </w:t>
      </w:r>
      <w:r>
        <w:rPr>
          <w:sz w:val="20"/>
          <w:szCs w:val="20"/>
          <w:rtl/>
        </w:rPr>
        <w:t>(משלי א כח)</w:t>
      </w:r>
      <w:r>
        <w:rPr>
          <w:rtl/>
        </w:rPr>
        <w:t xml:space="preserve"> </w:t>
      </w:r>
      <w:r>
        <w:rPr>
          <w:rStyle w:val="a7"/>
          <w:rFonts w:hAnsi="Arial"/>
          <w:b w:val="0"/>
          <w:bCs w:val="0"/>
          <w:rtl/>
          <w:lang w:eastAsia="en-US"/>
        </w:rPr>
        <w:footnoteReference w:id="2562"/>
      </w:r>
      <w:r>
        <w:rPr>
          <w:rtl/>
        </w:rPr>
        <w:t>אָז יִקְרָאֻנְנִי וְלֹא אֶעֱנֶה.</w:t>
      </w:r>
    </w:p>
    <w:p w:rsidR="002D629A" w:rsidRDefault="002D629A" w:rsidP="00B17EA9">
      <w:pPr>
        <w:pStyle w:val="aa"/>
        <w:rPr>
          <w:rtl/>
        </w:rPr>
      </w:pPr>
      <w:bookmarkStart w:id="203" w:name="_Toc228095648"/>
      <w:bookmarkStart w:id="204" w:name="_Toc231638086"/>
      <w:r>
        <w:rPr>
          <w:rtl/>
        </w:rPr>
        <w:t>[תיקוני זוהר - דף נג ע''ב]</w:t>
      </w:r>
      <w:bookmarkEnd w:id="203"/>
      <w:bookmarkEnd w:id="204"/>
    </w:p>
    <w:p w:rsidR="002D629A" w:rsidRDefault="002D629A" w:rsidP="00B17EA9">
      <w:pPr>
        <w:pStyle w:val="NormalWeb"/>
        <w:rPr>
          <w:rtl/>
        </w:rPr>
      </w:pPr>
      <w:r>
        <w:rPr>
          <w:rStyle w:val="a7"/>
          <w:rFonts w:hAnsi="Arial"/>
          <w:b w:val="0"/>
          <w:bCs w:val="0"/>
          <w:rtl/>
          <w:lang w:eastAsia="en-US"/>
        </w:rPr>
        <w:footnoteReference w:id="2563"/>
      </w:r>
      <w:r>
        <w:rPr>
          <w:rStyle w:val="a7"/>
          <w:rFonts w:hAnsi="Arial"/>
          <w:b w:val="0"/>
          <w:bCs w:val="0"/>
          <w:rtl/>
          <w:lang w:eastAsia="en-US"/>
        </w:rPr>
        <w:footnoteReference w:id="2564"/>
      </w:r>
      <w:r>
        <w:rPr>
          <w:rtl/>
        </w:rPr>
        <w:t xml:space="preserve">וּכְמָה דִשְׁכִינְתָּא תַּתָּאָה אִיהִי רִיב עַל צַדִּיק דְּאִיהוּ חַ''י עָלְמִין, חָרֵב וְיָבֵשׁ, (חָרֵב מִבֵּי מַקְדְשָׁא וְיָבֵשׁ מִנְסָכִים וְעוֹלוֹת), הָכִי אִיהוּ רִיב שְׁכִינְתָּא עִלָּאָה </w:t>
      </w:r>
      <w:r>
        <w:rPr>
          <w:rStyle w:val="a7"/>
          <w:rFonts w:hAnsi="Arial"/>
          <w:b w:val="0"/>
          <w:bCs w:val="0"/>
          <w:rtl/>
          <w:lang w:eastAsia="en-US"/>
        </w:rPr>
        <w:footnoteReference w:id="2565"/>
      </w:r>
      <w:r>
        <w:rPr>
          <w:rtl/>
        </w:rPr>
        <w:t xml:space="preserve">בְגִינֵיהּ עִם קוּדְשָׁא בְּרִיךְ הוּא, וַעֲלַיְיהוּ אִתְּמַר </w:t>
      </w:r>
      <w:r>
        <w:rPr>
          <w:sz w:val="20"/>
          <w:szCs w:val="20"/>
          <w:rtl/>
        </w:rPr>
        <w:t>(דברים יז ח)</w:t>
      </w:r>
      <w:r>
        <w:rPr>
          <w:rtl/>
        </w:rPr>
        <w:t xml:space="preserve"> דִּבְרֵי רִיבוֹת בִּשְׁעָרֶיךָ, וּבְזִמְנָא דְתַרְוַיְיהוּ אִינוּן רִיבוֹת </w:t>
      </w:r>
      <w:r>
        <w:rPr>
          <w:sz w:val="20"/>
          <w:szCs w:val="20"/>
          <w:rtl/>
        </w:rPr>
        <w:t xml:space="preserve">(דף נג ע''ב) </w:t>
      </w:r>
      <w:r>
        <w:rPr>
          <w:rtl/>
        </w:rPr>
        <w:t xml:space="preserve">בְּגִינֵיהּ עִם קוּדְשָׁא בְּרִיךְ הוּא, קוּדְשָׁא בְּרִיךְ הוּא צָוַוח לְגַבֵּי יִשְׂרָאֵל לְתַתָּא, אוֹ יַחֲזֵק בְּמָעוּזִי, יַעֲשֶׂה שָׁלוֹם לִי, שָׁלוֹם יַעֲשֶׂה לִּי </w:t>
      </w:r>
      <w:r>
        <w:rPr>
          <w:sz w:val="20"/>
          <w:szCs w:val="20"/>
          <w:rtl/>
        </w:rPr>
        <w:t>(ישעיהו כז ה)</w:t>
      </w:r>
      <w:r>
        <w:rPr>
          <w:rtl/>
        </w:rPr>
        <w:t xml:space="preserve">, תְּרֵי שְׁלוֹמִים, לָקֳבֵל תְּרֵי רִיבוֹת, </w:t>
      </w:r>
      <w:r>
        <w:rPr>
          <w:rStyle w:val="a7"/>
          <w:rFonts w:hAnsi="Arial"/>
          <w:b w:val="0"/>
          <w:bCs w:val="0"/>
          <w:rtl/>
          <w:lang w:eastAsia="en-US"/>
        </w:rPr>
        <w:footnoteReference w:id="2566"/>
      </w:r>
      <w:r>
        <w:rPr>
          <w:rtl/>
        </w:rPr>
        <w:t>וְקַשְׁיָא אִיהִי לָהּ מִכֹּלָּא, אַפְרָשׁוּתָא דְקוּדְשָׁא בְּרִיךְ הוּא מִינָהּ, וְדָא אִיהוּ מַחֲלוֹקֶת לְשֵׁם שָׁמַיִם.</w:t>
      </w:r>
    </w:p>
    <w:p w:rsidR="002D629A" w:rsidRDefault="002D629A" w:rsidP="00B17EA9">
      <w:pPr>
        <w:pStyle w:val="NormalWeb"/>
        <w:rPr>
          <w:rtl/>
        </w:rPr>
      </w:pPr>
      <w:r>
        <w:rPr>
          <w:rStyle w:val="a7"/>
          <w:rFonts w:hAnsi="Arial"/>
          <w:b w:val="0"/>
          <w:bCs w:val="0"/>
          <w:rtl/>
          <w:lang w:eastAsia="en-US"/>
        </w:rPr>
        <w:footnoteReference w:id="2567"/>
      </w:r>
      <w:r>
        <w:rPr>
          <w:rtl/>
        </w:rPr>
        <w:t xml:space="preserve">וְכַד נְפִילַת, נְפִילַת לְרַגְלוֹי, הֲדָא הוּא דִכְתִיב </w:t>
      </w:r>
      <w:r>
        <w:rPr>
          <w:sz w:val="20"/>
          <w:szCs w:val="20"/>
          <w:rtl/>
        </w:rPr>
        <w:t>(רות ג ז)</w:t>
      </w:r>
      <w:r>
        <w:rPr>
          <w:rtl/>
        </w:rPr>
        <w:t xml:space="preserve"> וַתְּגַל מַרְגְּלוֹתָיו וַתִּשְׁכָּב, וְאִתְנַפְּלַת קֳדָמֵיהּ בִּנְפִילַת אַפַּיִם, בְּגִין צַדִּיק דְּאִיהוּ חַ''י עָלְמִין עָנִי בְגָלוּתָא, וְצַדִּיק כַּד אִיהוּ לְבָר מֵאַתְרֵיהּ אִתְּמַר בֵּיהּ </w:t>
      </w:r>
      <w:r>
        <w:rPr>
          <w:sz w:val="20"/>
          <w:szCs w:val="20"/>
          <w:rtl/>
        </w:rPr>
        <w:t>(תהלים ב יב)</w:t>
      </w:r>
      <w:r>
        <w:rPr>
          <w:rtl/>
        </w:rPr>
        <w:t xml:space="preserve"> </w:t>
      </w:r>
      <w:r>
        <w:rPr>
          <w:rStyle w:val="a7"/>
          <w:rFonts w:hAnsi="Arial"/>
          <w:b w:val="0"/>
          <w:bCs w:val="0"/>
          <w:rtl/>
          <w:lang w:eastAsia="en-US"/>
        </w:rPr>
        <w:footnoteReference w:id="2568"/>
      </w:r>
      <w:r>
        <w:rPr>
          <w:rtl/>
        </w:rPr>
        <w:t xml:space="preserve">נַשְׁקוּ בַר פֶּן יֶאֱנַף, וּשְׁכִינְתָּא כַד אִיהִי לְבָר מֵאַתְרָהָא אִתְקְרִיאַת בְּרַיְיתָא, אִיהוּ בַר </w:t>
      </w:r>
      <w:r>
        <w:rPr>
          <w:rStyle w:val="a7"/>
          <w:rFonts w:hAnsi="Arial"/>
          <w:b w:val="0"/>
          <w:bCs w:val="0"/>
          <w:rtl/>
          <w:lang w:eastAsia="en-US"/>
        </w:rPr>
        <w:footnoteReference w:id="2569"/>
      </w:r>
      <w:r>
        <w:rPr>
          <w:rtl/>
        </w:rPr>
        <w:t xml:space="preserve">וְאִיהִי בְּרַיְיתָא </w:t>
      </w:r>
      <w:r>
        <w:rPr>
          <w:rStyle w:val="a7"/>
          <w:rFonts w:hAnsi="Arial"/>
          <w:b w:val="0"/>
          <w:bCs w:val="0"/>
          <w:rtl/>
          <w:lang w:eastAsia="en-US"/>
        </w:rPr>
        <w:footnoteReference w:id="2570"/>
      </w:r>
      <w:r>
        <w:rPr>
          <w:rtl/>
        </w:rPr>
        <w:t>וְתּוֹסֶפֶת דְשַׁבָּת דְּאִתּוֹסַף לְעָנִי דְאִיהוּ צַדִּיק, יוֹם הַשַּׁבָּת וַדַּאי, דְּלֵית לֵיהּ מִדִּילֵיהּ אֶלָּא נִשְׁמָתָא יְתֵירָה דְאִתּוֹסַף לְגַבֵּיהּ בְּגִין שְׁכִינְתָּא, דְּאִתְקְרֵי אִיהוּ מוּסַף שַׁבָּת.</w:t>
      </w:r>
    </w:p>
    <w:p w:rsidR="002D629A" w:rsidRDefault="002D629A" w:rsidP="00B17EA9">
      <w:pPr>
        <w:pStyle w:val="aa"/>
        <w:rPr>
          <w:rtl/>
        </w:rPr>
      </w:pPr>
      <w:r>
        <w:rPr>
          <w:rtl/>
        </w:rPr>
        <w:t>[תיקוני זוהר - דף סא ע''א]</w:t>
      </w:r>
    </w:p>
    <w:p w:rsidR="002D629A" w:rsidRDefault="002D629A" w:rsidP="00B17EA9">
      <w:pPr>
        <w:pStyle w:val="NormalWeb"/>
        <w:rPr>
          <w:rtl/>
        </w:rPr>
      </w:pPr>
      <w:r>
        <w:rPr>
          <w:sz w:val="20"/>
          <w:szCs w:val="20"/>
          <w:rtl/>
        </w:rPr>
        <w:t>(דף סא ע"א)</w:t>
      </w:r>
      <w:r>
        <w:rPr>
          <w:rtl/>
        </w:rPr>
        <w:t xml:space="preserve"> וּבְהַהוּא זִמְנָא </w:t>
      </w:r>
      <w:r>
        <w:rPr>
          <w:rStyle w:val="a7"/>
          <w:rFonts w:hAnsi="Arial"/>
          <w:b w:val="0"/>
          <w:bCs w:val="0"/>
          <w:rtl/>
          <w:lang w:eastAsia="en-US"/>
        </w:rPr>
        <w:footnoteReference w:id="2571"/>
      </w:r>
      <w:r>
        <w:rPr>
          <w:rtl/>
        </w:rPr>
        <w:t xml:space="preserve">אִתְקְרִיאַת אִיהִי תּוֹסֶפְתָּא, מִסִּטְרָא דְיוֹם שַׁבָּת כַּמָּה תּוֹסָפוֹת נָחֲתִין עִמָּה לְתַלְמִידֵי חֲכָמִים, דְּאִתְקְרִיאוּ נְשָׁמוֹת יְתֵירוֹת, הֲדָא הוּא דִכְתִיב נִשְׁמַת כָּל חַי תְּבָרֵךְ אֶת שִׁמְךָ יהו''ה אלהינ''ו וכו', </w:t>
      </w:r>
      <w:r>
        <w:rPr>
          <w:rStyle w:val="a7"/>
          <w:rFonts w:hAnsi="Arial"/>
          <w:b w:val="0"/>
          <w:bCs w:val="0"/>
          <w:rtl/>
          <w:lang w:eastAsia="en-US"/>
        </w:rPr>
        <w:footnoteReference w:id="2572"/>
      </w:r>
      <w:r>
        <w:rPr>
          <w:rtl/>
        </w:rPr>
        <w:t xml:space="preserve">וְאִלֵּין </w:t>
      </w:r>
      <w:r>
        <w:rPr>
          <w:sz w:val="20"/>
          <w:szCs w:val="20"/>
          <w:rtl/>
        </w:rPr>
        <w:t>(אינון)</w:t>
      </w:r>
      <w:r>
        <w:rPr>
          <w:rtl/>
        </w:rPr>
        <w:t xml:space="preserve"> דְּמִתּוֹסְפָאן לְעַמָּא קַדִּישָׁא בְּעֶרֶב שַׁבָּת יָרְתִין לוֹן תַּלְמִידֵי חֲכָמִים בְּיוֹמִין דְּחוֹל, וּבְהוֹן אִתְעֲבִיד חוֹל קֹדֶשׁ, </w:t>
      </w:r>
      <w:r>
        <w:rPr>
          <w:rStyle w:val="a7"/>
          <w:rFonts w:hAnsi="Arial"/>
          <w:b w:val="0"/>
          <w:bCs w:val="0"/>
          <w:rtl/>
          <w:lang w:eastAsia="en-US"/>
        </w:rPr>
        <w:footnoteReference w:id="2573"/>
      </w:r>
      <w:r>
        <w:rPr>
          <w:rtl/>
        </w:rPr>
        <w:t>וְאִלֵּין אִינוּן תּוֹסָפוֹת דְּקָא נָחֲתִין מִתּוֹסֶפְתָּא.</w:t>
      </w:r>
    </w:p>
    <w:p w:rsidR="002D629A" w:rsidRDefault="002D629A" w:rsidP="00B17EA9">
      <w:pPr>
        <w:pStyle w:val="NormalWeb"/>
        <w:rPr>
          <w:rtl/>
        </w:rPr>
      </w:pPr>
      <w:r>
        <w:rPr>
          <w:rtl/>
        </w:rPr>
        <w:t xml:space="preserve">דְוַדַּאי שְׁכִינְתָּא אִיהִי תִקּוּנָא דְגוּפָא דְקוּדְשָׁא בְּרִיךְ הוּא, אִיהִי בְרַיְתָא כַּד אִתְּמַר בָּהּ </w:t>
      </w:r>
      <w:r>
        <w:rPr>
          <w:sz w:val="20"/>
          <w:szCs w:val="20"/>
          <w:rtl/>
        </w:rPr>
        <w:t>(רות ג ז)</w:t>
      </w:r>
      <w:r>
        <w:rPr>
          <w:rtl/>
        </w:rPr>
        <w:t xml:space="preserve"> וַתְּגַל מַרְגְּלוֹתָיו, וְאִיהִי תּוֹסֶפְתָּא מִסִּטְרָא דְחַ''י עָלְמִין, דְּאִיהוּ מוּסַף שַׁבָּת, וְאִיהִי מִשְׁנָה מִסִּטְרָא דְגוּפָא, </w:t>
      </w:r>
      <w:r>
        <w:rPr>
          <w:rStyle w:val="a7"/>
          <w:rFonts w:hAnsi="Arial"/>
          <w:b w:val="0"/>
          <w:bCs w:val="0"/>
          <w:rtl/>
          <w:lang w:eastAsia="en-US"/>
        </w:rPr>
        <w:footnoteReference w:id="2574"/>
      </w:r>
      <w:r>
        <w:rPr>
          <w:rtl/>
        </w:rPr>
        <w:t xml:space="preserve">מִשְׁנֶה תּוֹרָה וַדַּאי, </w:t>
      </w:r>
      <w:r>
        <w:rPr>
          <w:rStyle w:val="a7"/>
          <w:rFonts w:hAnsi="Arial"/>
          <w:b w:val="0"/>
          <w:bCs w:val="0"/>
          <w:rtl/>
          <w:lang w:eastAsia="en-US"/>
        </w:rPr>
        <w:footnoteReference w:id="2575"/>
      </w:r>
      <w:r>
        <w:rPr>
          <w:rtl/>
        </w:rPr>
        <w:t xml:space="preserve">וְאִיהִי הַתְקַפְתָּא </w:t>
      </w:r>
      <w:r>
        <w:rPr>
          <w:rStyle w:val="a7"/>
          <w:rFonts w:hAnsi="Arial"/>
          <w:b w:val="0"/>
          <w:bCs w:val="0"/>
          <w:rtl/>
          <w:lang w:eastAsia="en-US"/>
        </w:rPr>
        <w:footnoteReference w:id="2576"/>
      </w:r>
      <w:r>
        <w:rPr>
          <w:rtl/>
        </w:rPr>
        <w:t xml:space="preserve">מִסִּטְרָא דִדְרוֹעָא יְמִינָא דְמַלְכָּא, הֲדָא הוּא דִכְתִיב </w:t>
      </w:r>
      <w:r>
        <w:rPr>
          <w:sz w:val="20"/>
          <w:szCs w:val="20"/>
          <w:rtl/>
        </w:rPr>
        <w:t>(שמות טו ו)</w:t>
      </w:r>
      <w:r>
        <w:rPr>
          <w:rtl/>
        </w:rPr>
        <w:t xml:space="preserve"> יְמִינְךָ יהו''ה נֶאְדָּרִי בַּכֹּחַ, בַּכֹּחַ תַּרְגּוּם בְּתוּקְפָא, </w:t>
      </w:r>
      <w:r>
        <w:rPr>
          <w:rStyle w:val="a7"/>
          <w:rFonts w:hAnsi="Arial"/>
          <w:b w:val="0"/>
          <w:bCs w:val="0"/>
          <w:rtl/>
          <w:lang w:eastAsia="en-US"/>
        </w:rPr>
        <w:footnoteReference w:id="2577"/>
      </w:r>
      <w:r>
        <w:rPr>
          <w:rtl/>
        </w:rPr>
        <w:t xml:space="preserve">הַצְרָכָה אִיהִי מִסִּטְרָא דִשְׂמָאלָא, וּבִדְרוֹעָא שְׂמָאלָא אֲחִיד בָּהּ, וּבִדְרוֹעָא יְמִינָא אַתְקַן בָּהּ, וְיֵימָא </w:t>
      </w:r>
      <w:r>
        <w:rPr>
          <w:sz w:val="20"/>
          <w:szCs w:val="20"/>
          <w:rtl/>
        </w:rPr>
        <w:t>(ישעיה נב ב)</w:t>
      </w:r>
      <w:r>
        <w:rPr>
          <w:rtl/>
        </w:rPr>
        <w:t xml:space="preserve"> קוּמִי שְׁבִי יְרוּשָׁלָם.</w:t>
      </w:r>
    </w:p>
    <w:p w:rsidR="002D629A" w:rsidRDefault="002D629A" w:rsidP="00B17EA9">
      <w:pPr>
        <w:pStyle w:val="NormalWeb"/>
        <w:rPr>
          <w:rtl/>
        </w:rPr>
      </w:pPr>
      <w:r>
        <w:rPr>
          <w:rtl/>
        </w:rPr>
        <w:t xml:space="preserve">וְעוֹד מִסִּטְרָא דִימִינָא אִיהִי תוּקְפָא לְבַר נַשׁ, וּמִסִּטְרָא דִשְׂמָאלָא </w:t>
      </w:r>
      <w:r>
        <w:rPr>
          <w:rStyle w:val="a7"/>
          <w:rFonts w:hAnsi="Arial"/>
          <w:b w:val="0"/>
          <w:bCs w:val="0"/>
          <w:rtl/>
          <w:lang w:eastAsia="en-US"/>
        </w:rPr>
        <w:footnoteReference w:id="2578"/>
      </w:r>
      <w:r>
        <w:rPr>
          <w:rtl/>
        </w:rPr>
        <w:t xml:space="preserve">יְהִיב לוֹן צָרְכֵיהוֹן בַּאֲרַע מַדְבְּרָא, </w:t>
      </w:r>
      <w:r>
        <w:rPr>
          <w:rStyle w:val="a7"/>
          <w:rFonts w:hAnsi="Arial"/>
          <w:b w:val="0"/>
          <w:bCs w:val="0"/>
          <w:rtl/>
          <w:lang w:eastAsia="en-US"/>
        </w:rPr>
        <w:footnoteReference w:id="2579"/>
      </w:r>
      <w:r>
        <w:rPr>
          <w:rtl/>
        </w:rPr>
        <w:t xml:space="preserve">שְׁאֵלָה אִיהִי בְּפִימָא דְמַלְכָּא, הֲדָא הוּא דִכְתִיב </w:t>
      </w:r>
      <w:r>
        <w:rPr>
          <w:sz w:val="20"/>
          <w:szCs w:val="20"/>
          <w:rtl/>
        </w:rPr>
        <w:t>(דברים לב ז)</w:t>
      </w:r>
      <w:r>
        <w:rPr>
          <w:rtl/>
        </w:rPr>
        <w:t xml:space="preserve"> שְׁאַל אָבִיךָ, </w:t>
      </w:r>
      <w:r>
        <w:rPr>
          <w:rStyle w:val="a7"/>
          <w:rFonts w:hAnsi="Arial"/>
          <w:b w:val="0"/>
          <w:bCs w:val="0"/>
          <w:rtl/>
          <w:lang w:eastAsia="en-US"/>
        </w:rPr>
        <w:footnoteReference w:id="2580"/>
      </w:r>
      <w:r>
        <w:rPr>
          <w:rtl/>
        </w:rPr>
        <w:t>וּתְיוּבְתָּא לְגַבַּהּ הֲדָא הוּא דִכְתִיב וְיַגֶּדְךָ, וּכְדֵין בַּר נַשׁ שׁוֹאֵל כְּעִנְיַן וּמֵשִׁיב כַּהֲלָכָה.</w:t>
      </w:r>
    </w:p>
    <w:p w:rsidR="002D629A" w:rsidRDefault="002D629A" w:rsidP="00B17EA9">
      <w:pPr>
        <w:pStyle w:val="aa"/>
        <w:rPr>
          <w:rtl/>
        </w:rPr>
      </w:pPr>
      <w:r>
        <w:rPr>
          <w:rtl/>
        </w:rPr>
        <w:t>[תיקוני זוהר - דף סא ע''ב]</w:t>
      </w:r>
    </w:p>
    <w:p w:rsidR="002D629A" w:rsidRDefault="002D629A" w:rsidP="00B17EA9">
      <w:pPr>
        <w:pStyle w:val="NormalWeb"/>
        <w:rPr>
          <w:rtl/>
        </w:rPr>
      </w:pPr>
      <w:r>
        <w:rPr>
          <w:rStyle w:val="a7"/>
          <w:rFonts w:hAnsi="Arial"/>
          <w:b w:val="0"/>
          <w:bCs w:val="0"/>
          <w:rtl/>
          <w:lang w:eastAsia="en-US"/>
        </w:rPr>
        <w:footnoteReference w:id="2581"/>
      </w:r>
      <w:r>
        <w:rPr>
          <w:rtl/>
        </w:rPr>
        <w:t xml:space="preserve">שְׁמַעְתְּתָא אִיהִי בְלִבָּא דְתַמָּן מַחֲשָׁבָה, </w:t>
      </w:r>
      <w:r>
        <w:rPr>
          <w:rStyle w:val="a7"/>
          <w:rFonts w:hAnsi="Arial"/>
          <w:b w:val="0"/>
          <w:bCs w:val="0"/>
          <w:rtl/>
          <w:lang w:eastAsia="en-US"/>
        </w:rPr>
        <w:footnoteReference w:id="2582"/>
      </w:r>
      <w:r>
        <w:rPr>
          <w:rtl/>
        </w:rPr>
        <w:t xml:space="preserve">תֵּיקוּ אִיהִי כַד אִסְתַּלַּק מַלְכָּא מִינָהּ, הֲדָא הוּא דִכְתִיב </w:t>
      </w:r>
      <w:r>
        <w:rPr>
          <w:sz w:val="20"/>
          <w:szCs w:val="20"/>
          <w:rtl/>
        </w:rPr>
        <w:t>(תהלים לט ג)</w:t>
      </w:r>
      <w:r>
        <w:rPr>
          <w:rtl/>
        </w:rPr>
        <w:t xml:space="preserve"> נֶאֱלַמְתִּי דוּמִיָּה הֶחשֵׁתִי מִטּוֹב, </w:t>
      </w:r>
      <w:r>
        <w:rPr>
          <w:rStyle w:val="a7"/>
          <w:rFonts w:hAnsi="Arial"/>
          <w:b w:val="0"/>
          <w:bCs w:val="0"/>
          <w:rtl/>
          <w:lang w:eastAsia="en-US"/>
        </w:rPr>
        <w:footnoteReference w:id="2583"/>
      </w:r>
      <w:r>
        <w:rPr>
          <w:rtl/>
        </w:rPr>
        <w:t xml:space="preserve">וּבָהּ צְלוֹתָא בַחֲשָׁאי, </w:t>
      </w:r>
      <w:r>
        <w:rPr>
          <w:rStyle w:val="a7"/>
          <w:rFonts w:hAnsi="Arial"/>
          <w:b w:val="0"/>
          <w:bCs w:val="0"/>
          <w:rtl/>
          <w:lang w:eastAsia="en-US"/>
        </w:rPr>
        <w:footnoteReference w:id="2584"/>
      </w:r>
      <w:r>
        <w:rPr>
          <w:rtl/>
        </w:rPr>
        <w:t xml:space="preserve">וְכַד אִיהוּ תֵּיקוּ אִתְּמַר בָּהּ </w:t>
      </w:r>
      <w:r>
        <w:rPr>
          <w:sz w:val="20"/>
          <w:szCs w:val="20"/>
          <w:rtl/>
        </w:rPr>
        <w:t>(דף סא ע"ב)</w:t>
      </w:r>
      <w:r>
        <w:rPr>
          <w:rtl/>
        </w:rPr>
        <w:t xml:space="preserve"> </w:t>
      </w:r>
      <w:r>
        <w:rPr>
          <w:sz w:val="20"/>
          <w:szCs w:val="20"/>
          <w:rtl/>
        </w:rPr>
        <w:t>(משלי א כח)</w:t>
      </w:r>
      <w:r>
        <w:rPr>
          <w:rtl/>
        </w:rPr>
        <w:t xml:space="preserve"> אָז יִקְרָאוּנְנִי וְלֹא אֶעֱנֶה.</w:t>
      </w:r>
    </w:p>
    <w:p w:rsidR="002D629A" w:rsidRDefault="002D629A" w:rsidP="00B17EA9">
      <w:pPr>
        <w:pStyle w:val="NormalWeb"/>
        <w:rPr>
          <w:rtl/>
        </w:rPr>
      </w:pPr>
      <w:r>
        <w:rPr>
          <w:rStyle w:val="a7"/>
          <w:rFonts w:hAnsi="Arial"/>
          <w:b w:val="0"/>
          <w:bCs w:val="0"/>
          <w:rtl/>
          <w:lang w:eastAsia="en-US"/>
        </w:rPr>
        <w:footnoteReference w:id="2585"/>
      </w:r>
      <w:r>
        <w:rPr>
          <w:rtl/>
        </w:rPr>
        <w:t xml:space="preserve">כַּד שַׁרְיָא בָּהּ יהו''ה אִתְקְרִיאַת הַגָּדָה, בְּהַהוּא זִמְנָא אָז תִּקְרָא וַיהו''ה יַעֲנֶה, שִׁטָּה אִתְקְרִיאַת כַּד לָא יְהֵא קוּשְׁיָא וּמַחֲלֹקֶת, </w:t>
      </w:r>
      <w:r>
        <w:rPr>
          <w:rStyle w:val="a7"/>
          <w:rFonts w:hAnsi="Arial"/>
          <w:b w:val="0"/>
          <w:bCs w:val="0"/>
          <w:rtl/>
          <w:lang w:eastAsia="en-US"/>
        </w:rPr>
        <w:footnoteReference w:id="2586"/>
      </w:r>
      <w:r>
        <w:rPr>
          <w:rtl/>
        </w:rPr>
        <w:t xml:space="preserve">הֲדָא הוּא דִכְתִיב </w:t>
      </w:r>
      <w:r>
        <w:rPr>
          <w:sz w:val="20"/>
          <w:szCs w:val="20"/>
          <w:rtl/>
        </w:rPr>
        <w:t>(ישעיה מ ד)</w:t>
      </w:r>
      <w:r>
        <w:rPr>
          <w:rtl/>
        </w:rPr>
        <w:t xml:space="preserve"> כָּל גֵּיא יִנָּשֵׂא וְכָל הַר וְגִבְעָה יִשְׁפָּלוּ, וְהָיָה הֶעָקֹב לְמִישׁוֹר.</w:t>
      </w:r>
    </w:p>
    <w:p w:rsidR="002D629A" w:rsidRDefault="002D629A" w:rsidP="00B17EA9">
      <w:pPr>
        <w:pStyle w:val="NormalWeb"/>
        <w:rPr>
          <w:rtl/>
        </w:rPr>
      </w:pPr>
      <w:r>
        <w:rPr>
          <w:rtl/>
        </w:rPr>
        <w:t xml:space="preserve">פְּסַק אִתְקְרִיאַת מִכַּמָּה גַוָּונִין, אִית בְּנֵי נָשָׁא דְמִשְׁתַּדְלִין בְּאוֹרַיְיתָא דִבְעַל פֶּה לִשְׁמָהּ, וְאִינוּן </w:t>
      </w:r>
      <w:r>
        <w:rPr>
          <w:rStyle w:val="a7"/>
          <w:rFonts w:hAnsi="Arial"/>
          <w:b w:val="0"/>
          <w:bCs w:val="0"/>
          <w:rtl/>
          <w:lang w:eastAsia="en-US"/>
        </w:rPr>
        <w:footnoteReference w:id="2587"/>
      </w:r>
      <w:r>
        <w:rPr>
          <w:rtl/>
        </w:rPr>
        <w:t xml:space="preserve">בַּעֲלֵי אוּמָנוּת לְגַבָּהּ, וּפָסְקִין בָּהּ אֲבָנִין </w:t>
      </w:r>
      <w:r>
        <w:rPr>
          <w:rStyle w:val="a7"/>
          <w:rFonts w:hAnsi="Arial"/>
          <w:b w:val="0"/>
          <w:bCs w:val="0"/>
          <w:rtl/>
          <w:lang w:eastAsia="en-US"/>
        </w:rPr>
        <w:footnoteReference w:id="2588"/>
      </w:r>
      <w:r>
        <w:rPr>
          <w:rtl/>
        </w:rPr>
        <w:t xml:space="preserve">בְּטוּרִין וּסְלָעִין תַּקִּיפִין, וּלְבָתַר דְּפָסְקִין לוֹן מְתַקְּנִין לוֹן בְּכַמָּה פִרוּקִין, וַעֲלַיְיהוּ אִתְּמַר </w:t>
      </w:r>
      <w:r>
        <w:rPr>
          <w:sz w:val="20"/>
          <w:szCs w:val="20"/>
          <w:rtl/>
        </w:rPr>
        <w:t>(דברים כז ו)</w:t>
      </w:r>
      <w:r>
        <w:rPr>
          <w:rtl/>
        </w:rPr>
        <w:t xml:space="preserve"> </w:t>
      </w:r>
      <w:r>
        <w:rPr>
          <w:rStyle w:val="a7"/>
          <w:rFonts w:hAnsi="Arial"/>
          <w:b w:val="0"/>
          <w:bCs w:val="0"/>
          <w:rtl/>
          <w:lang w:eastAsia="en-US"/>
        </w:rPr>
        <w:footnoteReference w:id="2589"/>
      </w:r>
      <w:r>
        <w:rPr>
          <w:rtl/>
        </w:rPr>
        <w:t xml:space="preserve">אֲבָנִים שְׁלֵמוֹת תִּבְנֶה, וְעָבְדִין בְּהוֹן כַּמָּה </w:t>
      </w:r>
      <w:r>
        <w:rPr>
          <w:rStyle w:val="a7"/>
          <w:rFonts w:hAnsi="Arial"/>
          <w:b w:val="0"/>
          <w:bCs w:val="0"/>
          <w:rtl/>
          <w:lang w:eastAsia="en-US"/>
        </w:rPr>
        <w:footnoteReference w:id="2590"/>
      </w:r>
      <w:r>
        <w:rPr>
          <w:rtl/>
        </w:rPr>
        <w:t>בִנְיָנִין לְמַלְכָּא וּלְמַטְרוֹנִיתָא לְדַיְירָא בֵּינַיְיהוּ.</w:t>
      </w:r>
    </w:p>
    <w:p w:rsidR="002D629A" w:rsidRDefault="002D629A" w:rsidP="00B17EA9">
      <w:pPr>
        <w:pStyle w:val="NormalWeb"/>
        <w:rPr>
          <w:rtl/>
        </w:rPr>
      </w:pPr>
      <w:r>
        <w:rPr>
          <w:rtl/>
        </w:rPr>
        <w:t xml:space="preserve">וְאִית פְּסָקוֹת דְּאִינוּן לְבוּשִׁין דְּמַטְרוֹנִיתָא, וְחָתְּכִין לוֹן לְכַמָּה סִטְרִין, וּלְבָתַר מְתַקְּנִין לוֹן בְּכַמָּה פִרוּקִין, לְאִתְחַזָּאָה בְּהוֹן מַטְרוֹנִיתָא קֳדָם מַלְכָּא, </w:t>
      </w:r>
      <w:r>
        <w:rPr>
          <w:rStyle w:val="a7"/>
          <w:rFonts w:hAnsi="Arial"/>
          <w:b w:val="0"/>
          <w:bCs w:val="0"/>
          <w:rtl/>
          <w:lang w:eastAsia="en-US"/>
        </w:rPr>
        <w:footnoteReference w:id="2591"/>
      </w:r>
      <w:r>
        <w:rPr>
          <w:rtl/>
        </w:rPr>
        <w:t xml:space="preserve">בְּהַהוּא זִמְנָא וּרְאִיתִיהָ לִזְכּוֹר בְּרִית עוֹלָם </w:t>
      </w:r>
      <w:r>
        <w:rPr>
          <w:sz w:val="20"/>
          <w:szCs w:val="20"/>
          <w:rtl/>
        </w:rPr>
        <w:t>(בראשית ט טז)</w:t>
      </w:r>
      <w:r>
        <w:rPr>
          <w:rtl/>
        </w:rPr>
        <w:t>, וְאִלֵּין אִינוּן לְבוּשִׁין דְּכַהֲנָא, דְאִינוּן אַרְבַּע בִּגְדֵי לָבָן וְאַרְבַּע בִּגְדֵי זָהָב.</w:t>
      </w:r>
    </w:p>
    <w:p w:rsidR="002D629A" w:rsidRDefault="002D629A" w:rsidP="00B17EA9">
      <w:pPr>
        <w:pStyle w:val="NormalWeb"/>
        <w:rPr>
          <w:rtl/>
        </w:rPr>
      </w:pPr>
      <w:r>
        <w:rPr>
          <w:rtl/>
        </w:rPr>
        <w:t xml:space="preserve">וְאִית פְּסָקוֹת מֵאִלֵּין מָארֵי תְרִיסִין דְּקָא אַתְיָין לְבֵי מֶדְרָשָׁא, דְפָסְקִין וְחָתְּכִין בְּהוֹן בְּלִישָׁנְהוֹן, </w:t>
      </w:r>
      <w:r>
        <w:rPr>
          <w:rStyle w:val="a7"/>
          <w:rFonts w:hAnsi="Arial"/>
          <w:b w:val="0"/>
          <w:bCs w:val="0"/>
          <w:rtl/>
          <w:lang w:eastAsia="en-US"/>
        </w:rPr>
        <w:footnoteReference w:id="2592"/>
      </w:r>
      <w:r>
        <w:rPr>
          <w:rtl/>
        </w:rPr>
        <w:t>דְּאִינוּן כְּרוּמְחִין וְסַיְיפִין, וְאִלֵּין אִינוּן פָּרְשָׁיָּין תַּקִּיפִין, דְּמַגִּיחִין קְרָבָא בְיַמָּא וּבְיַבֶּשְׁתָּא, דְאִינוּן אוֹרַיְיתָא דְבִכְתָב וְאוֹרַיְיתָא דִבְעַל פֶּה.</w:t>
      </w:r>
    </w:p>
    <w:p w:rsidR="002D629A" w:rsidRDefault="002D629A" w:rsidP="00B17EA9">
      <w:pPr>
        <w:pStyle w:val="NormalWeb"/>
        <w:rPr>
          <w:rtl/>
        </w:rPr>
      </w:pPr>
      <w:r>
        <w:rPr>
          <w:rStyle w:val="a7"/>
          <w:rFonts w:hAnsi="Arial"/>
          <w:b w:val="0"/>
          <w:bCs w:val="0"/>
          <w:rtl/>
          <w:lang w:eastAsia="en-US"/>
        </w:rPr>
        <w:footnoteReference w:id="2593"/>
      </w:r>
      <w:r>
        <w:rPr>
          <w:rtl/>
        </w:rPr>
        <w:t xml:space="preserve">זַכָּאִין אִינוּן אִם מַלְכָּא בֵינַיְיהוּ דְאִיהוּ עַמּוּדָא דְאֶמְצָעִיתָא, כְּלִיל תְּרֵין תּוֹרוֹת דְּאִנּוּן תּוֹרָה שֶׁבִּכְתָב וְתוֹרָה שֶׁבְּעַל פֶּה, דְאִתְיְיהִיבוּ מִימִינָא וּמִשְּׂמָאלָא, דְבֵיהּ נָצְחִין קְרָבָא, וַוי לוֹן לְאִלֵּין דְּיַעֲלוּן לְאַגָּחָא קְרָבָא בִתְרֵין תּוֹרוֹת בְּלָא מַלְכָּא, דַעֲלַיְיהוּ אִתְּמַר </w:t>
      </w:r>
      <w:r>
        <w:rPr>
          <w:sz w:val="20"/>
          <w:szCs w:val="20"/>
          <w:rtl/>
        </w:rPr>
        <w:t>(תהלים יט ד)</w:t>
      </w:r>
      <w:r>
        <w:rPr>
          <w:rtl/>
        </w:rPr>
        <w:t xml:space="preserve"> </w:t>
      </w:r>
      <w:r>
        <w:rPr>
          <w:rStyle w:val="a7"/>
          <w:rFonts w:hAnsi="Arial"/>
          <w:b w:val="0"/>
          <w:bCs w:val="0"/>
          <w:rtl/>
          <w:lang w:eastAsia="en-US"/>
        </w:rPr>
        <w:footnoteReference w:id="2594"/>
      </w:r>
      <w:r>
        <w:rPr>
          <w:rtl/>
        </w:rPr>
        <w:t xml:space="preserve">אֵין אֹמֶר וְאֵין דְּבָרִים בְּלִי נִשְׁמָע קוֹלָם, </w:t>
      </w:r>
      <w:r>
        <w:rPr>
          <w:rStyle w:val="a7"/>
          <w:rFonts w:hAnsi="Arial"/>
          <w:b w:val="0"/>
          <w:bCs w:val="0"/>
          <w:rtl/>
          <w:lang w:eastAsia="en-US"/>
        </w:rPr>
        <w:footnoteReference w:id="2595"/>
      </w:r>
      <w:r>
        <w:rPr>
          <w:rtl/>
        </w:rPr>
        <w:t xml:space="preserve">כָּל בַּעֲלֵי אוּמָנִיּוֹת מִשְׁתַּכְּחִין בְּתוֹרָה שֶׁבְּעַל פֶּה, דְאִיהִי מִלְּגָאו, הֲדָא הוּא דִכְתִיב </w:t>
      </w:r>
      <w:r>
        <w:rPr>
          <w:sz w:val="20"/>
          <w:szCs w:val="20"/>
          <w:rtl/>
        </w:rPr>
        <w:t>(שם מה יד)</w:t>
      </w:r>
      <w:r>
        <w:rPr>
          <w:rtl/>
        </w:rPr>
        <w:t xml:space="preserve"> כָּל כְּבוּדָּה בַת מֶלֶךְ פְּנִימָה.</w:t>
      </w:r>
    </w:p>
    <w:p w:rsidR="002D629A" w:rsidRDefault="002D629A" w:rsidP="00B17EA9">
      <w:pPr>
        <w:pStyle w:val="NormalWeb"/>
        <w:rPr>
          <w:rtl/>
        </w:rPr>
      </w:pPr>
      <w:r>
        <w:rPr>
          <w:rStyle w:val="a7"/>
          <w:rFonts w:hAnsi="Arial"/>
          <w:b w:val="0"/>
          <w:bCs w:val="0"/>
          <w:rtl/>
          <w:lang w:eastAsia="en-US"/>
        </w:rPr>
        <w:footnoteReference w:id="2596"/>
      </w:r>
      <w:r>
        <w:rPr>
          <w:rtl/>
        </w:rPr>
        <w:t xml:space="preserve">אִיהִי הֲלָכָה דְמַלְכָּא, כַּד אִיהִי אָזְלַת גַּבֵּיהּ בִּתְרֵין שׁוֹקִין דְּאִינוּן תְּרֵי סַמְכֵי קְשׁוֹט, וְכַד סְלִיקַת בְּגוּפָא בִּתְרֵין דְּרוֹעוֹי דְּמַלְכָּא אִתְקְרִיאַת קַבָּלָה, וְכַד נְשִׁיקַת לֵיהּ בְּפִימֵיהּ אִתְקְרִיאַת אוֹרַיְיתָא דִבְעַל פֶּה, בְּהַהוּא זִמְנָא דְסָלְקָא לְפִימָא דְמַלְכָּא, מִיָּד יִתְקַיֵּים בְּרַעְיָא מְהֵימְנָא </w:t>
      </w:r>
      <w:r>
        <w:rPr>
          <w:sz w:val="20"/>
          <w:szCs w:val="20"/>
          <w:rtl/>
        </w:rPr>
        <w:t>(במדבר יב ח)</w:t>
      </w:r>
      <w:r>
        <w:rPr>
          <w:rtl/>
        </w:rPr>
        <w:t xml:space="preserve"> פֶּה אֶל פֶּה אֲדַבֶּר בּוֹ, כַּד קָמַת עַל רַגְלָהָא בְגָלוּתָא בַתְרָאָה, אִתְקְרִיאַת הֲלָכָה לְמֹשֶׁה מִסִּינַי, וְכַד שַׁרְיָיא בִדְרוֹעוֹי דְּמַלְכָּא, אִתְקְרִיאַת קַבָּלָה לְמֹשֶׁה מִסִּינַי, וְכַד שַׁרְיָיא בְּפִימָא דְמַלְכָּא מִיָּד פֶּה אֶל פֶּה אֲדַבֶּר בּוֹ, וְכַד אִיהִי מְרַחֲקָא הֲלָכָה מִמֹּשֶׁה, שְׁכִינְתָּא אִיהִי רִיב לַיהו''ה לְתַתָּא, וְכַד לַאו אִיהִי בִדְרוֹעוֹי קַבָּלָה, אִיהִי רִיב לְעִילָא.</w:t>
      </w:r>
    </w:p>
    <w:p w:rsidR="002D629A" w:rsidRDefault="002D629A" w:rsidP="00B17EA9">
      <w:pPr>
        <w:pStyle w:val="NormalWeb"/>
        <w:rPr>
          <w:rtl/>
        </w:rPr>
      </w:pPr>
      <w:r>
        <w:rPr>
          <w:rtl/>
        </w:rPr>
        <w:t>וּבְגִין דָּא שִׁמְעוּ הָרִים אֶת רִיב יהו''ה, אִלֵּין תְּלַת אֲבָהָן, מַאי רִיב דִּלְהוֹן, דָּא שְׁכִינְתָּא, וּבְהִפּוּךְ אַתְוָון רִי''ב אִיהוּ רַבִּ''י, דְּאִיהוּ רַבִּי מֵאֶרֶץ יִשְׂרָאֵל, וְעִמֵּיהּ אִיהִי שְׁכִינְתָּא רִיב, וְהָאֵיתָנִים אִלֵּין תְּרֵי תַּנָּאֵי, אֵיתָנִי''ם בְּהִפּוּךְ אַתְוָון תַּנָּאִי''ם, מוֹסְדֵי אָרֶץ אִלֵּין צַדִּיק וָצֶדֶק.</w:t>
      </w:r>
    </w:p>
    <w:p w:rsidR="002D629A" w:rsidRDefault="002D629A" w:rsidP="00B17EA9">
      <w:pPr>
        <w:pStyle w:val="aa"/>
        <w:rPr>
          <w:rtl/>
        </w:rPr>
      </w:pPr>
      <w:bookmarkStart w:id="205" w:name="_Toc228095649"/>
      <w:bookmarkStart w:id="206" w:name="_Toc231638087"/>
      <w:r>
        <w:rPr>
          <w:rtl/>
        </w:rPr>
        <w:t>[תיקוני זוהר - הגהה דף נג ע''ב]</w:t>
      </w:r>
      <w:bookmarkEnd w:id="205"/>
      <w:bookmarkEnd w:id="206"/>
    </w:p>
    <w:p w:rsidR="002D629A" w:rsidRDefault="002D629A" w:rsidP="00B17EA9">
      <w:pPr>
        <w:pStyle w:val="NormalWeb"/>
        <w:rPr>
          <w:rtl/>
        </w:rPr>
      </w:pPr>
      <w:r>
        <w:rPr>
          <w:sz w:val="20"/>
          <w:szCs w:val="20"/>
          <w:rtl/>
        </w:rPr>
        <w:t xml:space="preserve">(הגהה דף נג ע"ב) </w:t>
      </w:r>
      <w:r>
        <w:rPr>
          <w:rStyle w:val="a7"/>
          <w:rFonts w:hAnsi="Arial"/>
          <w:b w:val="0"/>
          <w:bCs w:val="0"/>
          <w:rtl/>
          <w:lang w:eastAsia="en-US"/>
        </w:rPr>
        <w:footnoteReference w:id="2597"/>
      </w:r>
      <w:r>
        <w:rPr>
          <w:rtl/>
        </w:rPr>
        <w:t xml:space="preserve">וְעוֹד שִׁמְעוּ הָרִים, מָאן הָרִים אִלֵּין תְּלַת נְקוּדִין דְּאִינוּן סֶגוֹ''ל, וְהָאֵיתָנִים אִלֵּין תְּרֵין נְקוּדִין דְּאִינוּן שְׁבָ''א, רִיב דָּא חִירֵ''ק, רִיב יהו''ה לְעִילָא חוֹלֵ''ם, רִיב יהו''ה לְתַתָּא חִירֵ''ק, תְּרֵי רִיבוֹת אִינוּן עַל שׁוּרֵ''ק, דְּאִיהוּ </w:t>
      </w:r>
      <w:r>
        <w:rPr>
          <w:sz w:val="20"/>
          <w:szCs w:val="20"/>
          <w:rtl/>
        </w:rPr>
        <w:t>(חד)</w:t>
      </w:r>
      <w:r>
        <w:rPr>
          <w:rtl/>
        </w:rPr>
        <w:t xml:space="preserve"> </w:t>
      </w:r>
      <w:r>
        <w:rPr>
          <w:rStyle w:val="Char"/>
          <w:rtl/>
          <w:lang w:eastAsia="en-US"/>
        </w:rPr>
        <w:t xml:space="preserve">צַדִּיק </w:t>
      </w:r>
      <w:r>
        <w:rPr>
          <w:sz w:val="20"/>
          <w:szCs w:val="20"/>
          <w:rtl/>
        </w:rPr>
        <w:t>(עמודא דאמצעיתא)</w:t>
      </w:r>
      <w:r>
        <w:rPr>
          <w:rtl/>
        </w:rPr>
        <w:t xml:space="preserve"> כַּד אִיהוּ מִתְרַחֵק מִנַּיְיהוּ אִיהוּ רִיב, וְכַד מִתְקַשֵּׁר בֵּין תַּרְוַיְיהוּ אִיהוּ שָׁלוֹם, וְאִיהוּ קֶשֶׁר, הֲדָא הוּא דִכְתִיב </w:t>
      </w:r>
      <w:r>
        <w:rPr>
          <w:sz w:val="20"/>
          <w:szCs w:val="20"/>
          <w:rtl/>
        </w:rPr>
        <w:t>(בראשית מד ל)</w:t>
      </w:r>
      <w:r>
        <w:rPr>
          <w:rtl/>
        </w:rPr>
        <w:t xml:space="preserve"> וְנַפְשׁוֹ קְשׁוּרָה בְנַפְשׁוֹ.</w:t>
      </w:r>
    </w:p>
    <w:p w:rsidR="002D629A" w:rsidRDefault="002D629A" w:rsidP="00B17EA9">
      <w:pPr>
        <w:pStyle w:val="NormalWeb"/>
        <w:rPr>
          <w:rtl/>
        </w:rPr>
      </w:pPr>
      <w:r>
        <w:rPr>
          <w:rtl/>
        </w:rPr>
        <w:t xml:space="preserve">וְעוֹד תְּרֵי רִיבוֹת אִינוּן, חַד צַדִּיק, וְחַד עַמּוּדָא דְאֶמְצָעִיתָא, </w:t>
      </w:r>
      <w:r>
        <w:rPr>
          <w:rStyle w:val="a7"/>
          <w:rFonts w:hAnsi="Arial"/>
          <w:b w:val="0"/>
          <w:bCs w:val="0"/>
          <w:rtl/>
          <w:lang w:eastAsia="en-US"/>
        </w:rPr>
        <w:footnoteReference w:id="2598"/>
      </w:r>
      <w:r>
        <w:rPr>
          <w:rtl/>
        </w:rPr>
        <w:t xml:space="preserve">אִיהוּ רִיב בֵּין אַבָּא וְאִמָּא, דְאִנּוּן קָמֵ''ץ וּפַתַ''ח, וְאַמַּאי אִיהוּ רִיב בֵּינַיְיהוּ, בְּגִין שְׁכִינְתָּא דְלֵית לָהּ מְזוֹנָא בְגָלוּתָא, </w:t>
      </w:r>
      <w:r>
        <w:rPr>
          <w:rStyle w:val="a7"/>
          <w:rFonts w:hAnsi="Arial"/>
          <w:b w:val="0"/>
          <w:bCs w:val="0"/>
          <w:rtl/>
          <w:lang w:eastAsia="en-US"/>
        </w:rPr>
        <w:footnoteReference w:id="2599"/>
      </w:r>
      <w:r>
        <w:rPr>
          <w:rtl/>
        </w:rPr>
        <w:t xml:space="preserve">בְגִין דְּתַרְעָא אִיהוּ פַתַ''ח, דְּאִתְּמַר בֵּיהּ </w:t>
      </w:r>
      <w:r>
        <w:rPr>
          <w:sz w:val="20"/>
          <w:szCs w:val="20"/>
          <w:rtl/>
        </w:rPr>
        <w:t>(תהלים קמה טז)</w:t>
      </w:r>
      <w:r>
        <w:rPr>
          <w:rtl/>
        </w:rPr>
        <w:t xml:space="preserve"> </w:t>
      </w:r>
      <w:r>
        <w:rPr>
          <w:rStyle w:val="a7"/>
          <w:rFonts w:hAnsi="Arial"/>
          <w:b w:val="0"/>
          <w:bCs w:val="0"/>
          <w:rtl/>
          <w:lang w:eastAsia="en-US"/>
        </w:rPr>
        <w:footnoteReference w:id="2600"/>
      </w:r>
      <w:r>
        <w:rPr>
          <w:rtl/>
        </w:rPr>
        <w:t xml:space="preserve">פּוֹתֵחַ אֶת יָדֶיךָ, דְאִיהוּ י' </w:t>
      </w:r>
      <w:r>
        <w:rPr>
          <w:rStyle w:val="a7"/>
          <w:rFonts w:hAnsi="Arial"/>
          <w:b w:val="0"/>
          <w:bCs w:val="0"/>
          <w:rtl/>
          <w:lang w:eastAsia="en-US"/>
        </w:rPr>
        <w:footnoteReference w:id="2601"/>
      </w:r>
      <w:r>
        <w:rPr>
          <w:rtl/>
        </w:rPr>
        <w:t xml:space="preserve">חָכְמָה, קָמֵ''ץ סָתוּם, עֲלֵיהּ אִתְּמַר פּוֹתֵחַ אֶת יָדֶיךָ וּמַשְׂבִּיעַ לְכָל חַ''י, וְדָא חַ''י עָלְמִין, דְּאִיהוּ כְּלִיל חַ''י בִּרְכָאָן, אִיהוּ חָרֵב וְיָבֵשׁ בִּצְלוֹתָא דְאִיהוּ שְׁכִינְתָּא, וּבְגִין דָּא אִיהוּ צְלוֹתָא יְבֵשָׁה, </w:t>
      </w:r>
      <w:r>
        <w:rPr>
          <w:rStyle w:val="a7"/>
          <w:rFonts w:hAnsi="Arial"/>
          <w:b w:val="0"/>
          <w:bCs w:val="0"/>
          <w:rtl/>
          <w:lang w:eastAsia="en-US"/>
        </w:rPr>
        <w:footnoteReference w:id="2602"/>
      </w:r>
      <w:r>
        <w:rPr>
          <w:rtl/>
        </w:rPr>
        <w:t>בְּגִינַיְהוּ אִיהוּ רִיב בֵּין אַבָּא וְאִימָּא.</w:t>
      </w:r>
    </w:p>
    <w:p w:rsidR="002D629A" w:rsidRDefault="002D629A" w:rsidP="00B17EA9">
      <w:pPr>
        <w:pStyle w:val="NormalWeb"/>
        <w:rPr>
          <w:rtl/>
        </w:rPr>
      </w:pPr>
      <w:r>
        <w:rPr>
          <w:rtl/>
        </w:rPr>
        <w:t xml:space="preserve">וְכַד אִתְפַּתַּח קָמֵ''ץ בְּפַתָ''ח דְּאִיהוּ תַרְעָא דִילֵיהּ, עַמּוּדָא דְאֶמְצָעִיתָא </w:t>
      </w:r>
      <w:r>
        <w:rPr>
          <w:rStyle w:val="a7"/>
          <w:rFonts w:hAnsi="Arial"/>
          <w:b w:val="0"/>
          <w:bCs w:val="0"/>
          <w:rtl/>
          <w:lang w:eastAsia="en-US"/>
        </w:rPr>
        <w:footnoteReference w:id="2603"/>
      </w:r>
      <w:r>
        <w:rPr>
          <w:rtl/>
        </w:rPr>
        <w:t xml:space="preserve">נָחִית מָלֵא, וּמְהַלֵּךְ חָמֵשׁ מְאָה שְׁנִין, </w:t>
      </w:r>
      <w:r>
        <w:rPr>
          <w:rStyle w:val="a7"/>
          <w:rFonts w:hAnsi="Arial"/>
          <w:b w:val="0"/>
          <w:bCs w:val="0"/>
          <w:rtl/>
          <w:lang w:eastAsia="en-US"/>
        </w:rPr>
        <w:footnoteReference w:id="2604"/>
      </w:r>
      <w:r>
        <w:rPr>
          <w:rtl/>
        </w:rPr>
        <w:t xml:space="preserve">עַד דְּמָטִי לְחַ''י עָלְמִין (דְּאִיהוּ כְּלִיל חַ''י בִּרְכָאָן), וְאִתְמַלָּא מִנַּיְיהוּ, וּמִנֵּיהּ אִתְשַׁקְיָיא לִשְׁכִינְתָּא דְאִיהִי צְלוֹתָא, וּמַאי דַּהֲוָה יַבָּשָׁה קָרָא לֵיה אֶרֶץ, הֲדָא הוּא דִכְתִיב </w:t>
      </w:r>
      <w:r>
        <w:rPr>
          <w:sz w:val="20"/>
          <w:szCs w:val="20"/>
          <w:rtl/>
        </w:rPr>
        <w:t>(בראשית א ו)</w:t>
      </w:r>
      <w:r>
        <w:rPr>
          <w:rtl/>
        </w:rPr>
        <w:t xml:space="preserve"> וַיִּקְרָא אלהי''ם לַיַּבָּשָׁה אֶרֶץ, לְמֶעְבַּד פֵּרִין וְאִיבִּין, דְּאִינוּן אַרְעָא קַדִּישָׁא דְיִשְׂרָאֵל לְתַתָּא, הֲדָא הוּא דִכְתִיב </w:t>
      </w:r>
      <w:r>
        <w:rPr>
          <w:sz w:val="20"/>
          <w:szCs w:val="20"/>
          <w:rtl/>
        </w:rPr>
        <w:t>(שם יא)</w:t>
      </w:r>
      <w:r>
        <w:rPr>
          <w:rtl/>
        </w:rPr>
        <w:t xml:space="preserve"> וַיֹּאמֶר אלהי''ם תַּדְשֵׁא הָאָרֶץ דֶּשֶׁא.</w:t>
      </w:r>
    </w:p>
    <w:p w:rsidR="002D629A" w:rsidRDefault="002D629A" w:rsidP="00B17EA9">
      <w:pPr>
        <w:pStyle w:val="aa"/>
        <w:rPr>
          <w:rtl/>
        </w:rPr>
      </w:pPr>
      <w:r>
        <w:rPr>
          <w:rtl/>
        </w:rPr>
        <w:t>[תיקוני זוהר - הגהה דף נד ע''א]</w:t>
      </w:r>
    </w:p>
    <w:p w:rsidR="002D629A" w:rsidRDefault="002D629A" w:rsidP="00B17EA9">
      <w:pPr>
        <w:pStyle w:val="NormalWeb"/>
        <w:rPr>
          <w:rtl/>
        </w:rPr>
      </w:pPr>
      <w:r>
        <w:rPr>
          <w:rtl/>
        </w:rPr>
        <w:t xml:space="preserve">וְעַמּוּדָא דְאֶמְצָעִיתָא כַּד סָלִיק לְאַבָּא וְאִימָּא לְנַחֲתָא מְזוֹנָא מִתַּמָּן, </w:t>
      </w:r>
      <w:r>
        <w:rPr>
          <w:rStyle w:val="a7"/>
          <w:rFonts w:hAnsi="Arial"/>
          <w:b w:val="0"/>
          <w:bCs w:val="0"/>
          <w:rtl/>
          <w:lang w:eastAsia="en-US"/>
        </w:rPr>
        <w:footnoteReference w:id="2605"/>
      </w:r>
      <w:r>
        <w:rPr>
          <w:rtl/>
        </w:rPr>
        <w:t xml:space="preserve">קָלֵיהּ סָלְקָא עַל כָּל אִינוּן נְחָלִין וּמַבּוּעִין, וְכַד נָחְתָא קָלֵיהּ נָחְתָא עַל כָּל אִינוּן נְחָלִין וּמַבּוּעִין דְּאוֹרַיְיתָא, הֲדָא הוּא דִכְתִיב </w:t>
      </w:r>
      <w:r>
        <w:rPr>
          <w:sz w:val="20"/>
          <w:szCs w:val="20"/>
          <w:rtl/>
        </w:rPr>
        <w:t>(תהלים צג ג)</w:t>
      </w:r>
      <w:r>
        <w:rPr>
          <w:rtl/>
        </w:rPr>
        <w:t xml:space="preserve"> </w:t>
      </w:r>
      <w:r>
        <w:rPr>
          <w:rStyle w:val="a7"/>
          <w:rFonts w:hAnsi="Arial"/>
          <w:b w:val="0"/>
          <w:bCs w:val="0"/>
          <w:rtl/>
          <w:lang w:eastAsia="en-US"/>
        </w:rPr>
        <w:footnoteReference w:id="2606"/>
      </w:r>
      <w:r>
        <w:rPr>
          <w:rtl/>
        </w:rPr>
        <w:t xml:space="preserve">נָשְׂאוּ נְהָרוֹת יהו''ה, נָשְׂאוּ נְהָרוֹת קוֹלָם, וְאִינוּן תְּרֵין נְקוּדִין, צֵרִ''י, מָאן אִיהוּ דְסָלִיק עַל גַּבַּיְיהוּ בִתְרֵין דְּרוֹעִין, דָּא חוֹלֵ''ם, וּבֵיהּ אִתְעֲבִיד סֶגוֹלְתָּ''א, וּמָאן אִיהוּ דְנָחִית תְּחוֹתַיְיהוּ בִּתְרֵין שׁוֹקִין, דָּא חִירֵ''ק, וּבֵיהּ אִתְעֲבִיד שׁוּרֵ''ק, כַּד סָלִיק בְּהַהוּא זִמְנָא נָשְׂאוּ נְהָרוֹת </w:t>
      </w:r>
      <w:r>
        <w:rPr>
          <w:sz w:val="20"/>
          <w:szCs w:val="20"/>
          <w:rtl/>
        </w:rPr>
        <w:t>(הגהה דף נד ע"א)</w:t>
      </w:r>
      <w:r>
        <w:rPr>
          <w:rtl/>
        </w:rPr>
        <w:t xml:space="preserve"> קוֹלָם, דְּאִיהוּ קוֹל יַעֲקֹב, קוֹל הַשּׁוֹפָר, וּלְאָן סָלְקִין לֵיהּ לְגַבֵּי אַבָּא וְאִימָּא, וְכַד נָחִית נָחִית בִּתְרֵין נְקוּדִין דְּאִינוּן שְׁבָ''א תְּרֵי יַרְכֵי קְשׁוֹט, הֲדָא הוּא דִכְתִיב </w:t>
      </w:r>
      <w:r>
        <w:rPr>
          <w:sz w:val="20"/>
          <w:szCs w:val="20"/>
          <w:rtl/>
        </w:rPr>
        <w:t>(שם)</w:t>
      </w:r>
      <w:r>
        <w:rPr>
          <w:rtl/>
        </w:rPr>
        <w:t xml:space="preserve"> יִשְׂאוּ נְהָרוֹת דָּכְיָם, </w:t>
      </w:r>
      <w:r>
        <w:rPr>
          <w:rStyle w:val="a7"/>
          <w:rFonts w:hAnsi="Arial"/>
          <w:b w:val="0"/>
          <w:bCs w:val="0"/>
          <w:rtl/>
          <w:lang w:eastAsia="en-US"/>
        </w:rPr>
        <w:footnoteReference w:id="2607"/>
      </w:r>
      <w:r>
        <w:rPr>
          <w:rtl/>
        </w:rPr>
        <w:t xml:space="preserve">כְּגוֹן עַל כָּתֵף יִשָּׂאוּ </w:t>
      </w:r>
      <w:r>
        <w:rPr>
          <w:sz w:val="20"/>
          <w:szCs w:val="20"/>
          <w:rtl/>
        </w:rPr>
        <w:t>(במדבר ז ט)</w:t>
      </w:r>
      <w:r>
        <w:rPr>
          <w:rtl/>
        </w:rPr>
        <w:t xml:space="preserve">. </w:t>
      </w:r>
      <w:r>
        <w:rPr>
          <w:sz w:val="20"/>
          <w:szCs w:val="20"/>
          <w:rtl/>
        </w:rPr>
        <w:t>(ואבא נחית)</w:t>
      </w:r>
      <w:r>
        <w:rPr>
          <w:rtl/>
        </w:rPr>
        <w:t xml:space="preserve"> בַּצַּדִּיק, </w:t>
      </w:r>
      <w:r>
        <w:rPr>
          <w:rStyle w:val="a7"/>
          <w:rFonts w:hAnsi="Arial"/>
          <w:b w:val="0"/>
          <w:bCs w:val="0"/>
          <w:rtl/>
          <w:lang w:eastAsia="en-US"/>
        </w:rPr>
        <w:footnoteReference w:id="2608"/>
      </w:r>
      <w:r>
        <w:rPr>
          <w:rtl/>
        </w:rPr>
        <w:t xml:space="preserve">דְּאִיהוּ שׁוּרֵ''ק בִּנְקוּדַת </w:t>
      </w:r>
      <w:r>
        <w:rPr>
          <w:sz w:val="20"/>
          <w:szCs w:val="20"/>
          <w:rtl/>
        </w:rPr>
        <w:t>(חיר''ק)</w:t>
      </w:r>
      <w:r>
        <w:rPr>
          <w:rtl/>
        </w:rPr>
        <w:t xml:space="preserve"> חֲדָא, </w:t>
      </w:r>
      <w:r>
        <w:rPr>
          <w:rStyle w:val="a7"/>
          <w:rFonts w:hAnsi="Arial"/>
          <w:b w:val="0"/>
          <w:bCs w:val="0"/>
          <w:rtl/>
          <w:lang w:eastAsia="en-US"/>
        </w:rPr>
        <w:footnoteReference w:id="2609"/>
      </w:r>
      <w:r>
        <w:rPr>
          <w:rtl/>
        </w:rPr>
        <w:t xml:space="preserve">כִּי שָׁם חֶלְקַת מְחוֹקֵק סָפוּן </w:t>
      </w:r>
      <w:r>
        <w:rPr>
          <w:sz w:val="20"/>
          <w:szCs w:val="20"/>
          <w:rtl/>
        </w:rPr>
        <w:t>(דברים לג כא)</w:t>
      </w:r>
      <w:r>
        <w:rPr>
          <w:rtl/>
        </w:rPr>
        <w:t xml:space="preserve">, </w:t>
      </w:r>
      <w:r>
        <w:rPr>
          <w:rStyle w:val="a7"/>
          <w:rFonts w:hAnsi="Arial"/>
          <w:b w:val="0"/>
          <w:bCs w:val="0"/>
          <w:rtl/>
          <w:lang w:eastAsia="en-US"/>
        </w:rPr>
        <w:footnoteReference w:id="2610"/>
      </w:r>
      <w:r>
        <w:rPr>
          <w:rtl/>
        </w:rPr>
        <w:t xml:space="preserve">קִשּׁוּרָא דִתְרֵין יַרְכִין דִּקְשׁוֹט, דְּאִיהוּ דָּכְיָם, </w:t>
      </w:r>
      <w:r>
        <w:rPr>
          <w:rStyle w:val="a7"/>
          <w:rFonts w:hAnsi="Arial"/>
          <w:b w:val="0"/>
          <w:bCs w:val="0"/>
          <w:rtl/>
          <w:lang w:eastAsia="en-US"/>
        </w:rPr>
        <w:footnoteReference w:id="2611"/>
      </w:r>
      <w:r>
        <w:rPr>
          <w:rtl/>
        </w:rPr>
        <w:t xml:space="preserve">דָּךְ יָם, דָּ''ךְ דִּכְלִיל כ''ד אַתְוָון דְּיִחוּדָא תִּנְיָינָא, עֲלֵיהּ אִתְּמַר </w:t>
      </w:r>
      <w:r>
        <w:rPr>
          <w:sz w:val="20"/>
          <w:szCs w:val="20"/>
          <w:rtl/>
        </w:rPr>
        <w:t>(תהלים עד כד)</w:t>
      </w:r>
      <w:r>
        <w:rPr>
          <w:rtl/>
        </w:rPr>
        <w:t xml:space="preserve"> </w:t>
      </w:r>
      <w:r>
        <w:rPr>
          <w:rStyle w:val="a7"/>
          <w:rFonts w:hAnsi="Arial"/>
          <w:b w:val="0"/>
          <w:bCs w:val="0"/>
          <w:rtl/>
          <w:lang w:eastAsia="en-US"/>
        </w:rPr>
        <w:footnoteReference w:id="2612"/>
      </w:r>
      <w:r>
        <w:rPr>
          <w:rtl/>
        </w:rPr>
        <w:t xml:space="preserve">אַל יָשׁוֹב דַּךְ נִכְלָם, דָּ''ךְ אִיהוּ בְּכ''ד סְפָרִים דְּאוֹרַיְיתָא, וּשְׁכִינְתָּא </w:t>
      </w:r>
      <w:r>
        <w:rPr>
          <w:sz w:val="20"/>
          <w:szCs w:val="20"/>
          <w:rtl/>
        </w:rPr>
        <w:t>(בראשית כד טו)</w:t>
      </w:r>
      <w:r>
        <w:rPr>
          <w:rtl/>
        </w:rPr>
        <w:t xml:space="preserve"> וְכַדָּ''הּ עַל שִׁכְמָהּ, </w:t>
      </w:r>
      <w:r>
        <w:rPr>
          <w:rStyle w:val="a7"/>
          <w:rFonts w:hAnsi="Arial"/>
          <w:b w:val="0"/>
          <w:bCs w:val="0"/>
          <w:rtl/>
          <w:lang w:eastAsia="en-US"/>
        </w:rPr>
        <w:footnoteReference w:id="2613"/>
      </w:r>
      <w:r>
        <w:rPr>
          <w:rtl/>
        </w:rPr>
        <w:t xml:space="preserve">וְכַד צַדִּיק אִיהוּ מָלֵא מֵעַמּוּדָא דְאֶמְצָעִיתָא, </w:t>
      </w:r>
      <w:r>
        <w:rPr>
          <w:rStyle w:val="a7"/>
          <w:rFonts w:hAnsi="Arial"/>
          <w:b w:val="0"/>
          <w:bCs w:val="0"/>
          <w:rtl/>
          <w:lang w:eastAsia="en-US"/>
        </w:rPr>
        <w:footnoteReference w:id="2614"/>
      </w:r>
      <w:r>
        <w:rPr>
          <w:rtl/>
        </w:rPr>
        <w:t xml:space="preserve">דְאִתְּמַר בֵּיהּ </w:t>
      </w:r>
      <w:r>
        <w:rPr>
          <w:sz w:val="20"/>
          <w:szCs w:val="20"/>
          <w:rtl/>
        </w:rPr>
        <w:t>(שם טז)</w:t>
      </w:r>
      <w:r>
        <w:rPr>
          <w:rtl/>
        </w:rPr>
        <w:t xml:space="preserve"> וַתְּמַלֵּא כַדָּהּ וַתָּעַל. סְלִיקַת הַאי נְקוּדָה דְאִיהוּ חַד שׁוּרֵ''ק עַל תְּרֵין דְּאִינוּן שְׁבָ''א, וְאִתְעֲבִידוּ שׁוּרֵ''ק, בָּתַר דְּאִיהוּ מַלְיָא </w:t>
      </w:r>
      <w:r>
        <w:rPr>
          <w:rStyle w:val="a7"/>
          <w:rFonts w:hAnsi="Arial"/>
          <w:b w:val="0"/>
          <w:bCs w:val="0"/>
          <w:rtl/>
          <w:lang w:eastAsia="en-US"/>
        </w:rPr>
        <w:footnoteReference w:id="2615"/>
      </w:r>
      <w:r>
        <w:rPr>
          <w:rtl/>
        </w:rPr>
        <w:t xml:space="preserve">מִסִּטְרָא דִילֵיהּ וּמִסִּטְרָא דְעַמּוּדָא דְאֶמְצָעִיתָא, אִתְּמַר בִּשְׁכִינְתָּא וַתְּמַלֵּא כַדָּהּ וַתָּעַל, וַתּוֹרֶד כַּדָּהּ מֵעַל שִׁכְמָהּ, כָּל הַכּוֹרֵעַ כּוֹרֵעַ בְּבָרוּךְ, וַתְּמַלֵּא כַדָּהּ וַתָּעַל, כָּל הַזּוֹקֵף זוֹקֵף בְּשֵׁם, </w:t>
      </w:r>
      <w:r>
        <w:rPr>
          <w:rStyle w:val="a7"/>
          <w:rFonts w:hAnsi="Arial"/>
          <w:b w:val="0"/>
          <w:bCs w:val="0"/>
          <w:rtl/>
          <w:lang w:eastAsia="en-US"/>
        </w:rPr>
        <w:footnoteReference w:id="2616"/>
      </w:r>
      <w:r>
        <w:rPr>
          <w:rtl/>
        </w:rPr>
        <w:t xml:space="preserve">סְלִיקַת וַדַּאי מִגָּלוּתָא לְגַבֵּי בַּעְלָהּ, בְּהַאי שַׁעְתָּא </w:t>
      </w:r>
      <w:r>
        <w:rPr>
          <w:rStyle w:val="Char"/>
          <w:rtl/>
          <w:lang w:eastAsia="en-US"/>
        </w:rPr>
        <w:t>אִיהִי אָמְרַת לְגַבֵּי צַדִּיק</w:t>
      </w:r>
      <w:r>
        <w:rPr>
          <w:rtl/>
        </w:rPr>
        <w:t xml:space="preserve"> </w:t>
      </w:r>
      <w:r>
        <w:rPr>
          <w:sz w:val="20"/>
          <w:szCs w:val="20"/>
          <w:rtl/>
        </w:rPr>
        <w:t>(בראשית כד יח)</w:t>
      </w:r>
      <w:r>
        <w:rPr>
          <w:rtl/>
        </w:rPr>
        <w:t xml:space="preserve"> וַתֹּאמֶר שְׁתֵה אֲדוֹנִי, וְגַם גְּמַלֶּיךָ אַשְׁקֶה, </w:t>
      </w:r>
      <w:r>
        <w:rPr>
          <w:rStyle w:val="a7"/>
          <w:rFonts w:hAnsi="Arial"/>
          <w:b w:val="0"/>
          <w:bCs w:val="0"/>
          <w:rtl/>
          <w:lang w:eastAsia="en-US"/>
        </w:rPr>
        <w:footnoteReference w:id="2617"/>
      </w:r>
      <w:r>
        <w:rPr>
          <w:rtl/>
        </w:rPr>
        <w:t>דְאִינוּן גְּמוּלֵי מֵחָלָב.</w:t>
      </w:r>
    </w:p>
    <w:p w:rsidR="002D629A" w:rsidRDefault="002D629A" w:rsidP="00B17EA9">
      <w:pPr>
        <w:pStyle w:val="NormalWeb"/>
        <w:rPr>
          <w:rtl/>
        </w:rPr>
      </w:pPr>
      <w:r>
        <w:rPr>
          <w:rStyle w:val="a7"/>
          <w:rFonts w:hAnsi="Arial"/>
          <w:b w:val="0"/>
          <w:bCs w:val="0"/>
          <w:rtl/>
          <w:lang w:eastAsia="en-US"/>
        </w:rPr>
        <w:footnoteReference w:id="2618"/>
      </w:r>
      <w:r>
        <w:rPr>
          <w:rtl/>
        </w:rPr>
        <w:t xml:space="preserve">וְעוֹד חוֹלֵ''ם אִתְקְרֵי עַמּוּדָא דְאֶמְצָעִיתָא לְגַבֵּי מוֹחָא, וְחִירֵ''ק לְגַבֵּי לִבָּא, שׁוּרֵ''ק אִתְקְרֵי בְקִשּׁוּרָא דְתַרְוַיְיהוּ, </w:t>
      </w:r>
      <w:r>
        <w:rPr>
          <w:rStyle w:val="a7"/>
          <w:rFonts w:hAnsi="Arial"/>
          <w:b w:val="0"/>
          <w:bCs w:val="0"/>
          <w:rtl/>
          <w:lang w:eastAsia="en-US"/>
        </w:rPr>
        <w:footnoteReference w:id="2619"/>
      </w:r>
      <w:r>
        <w:rPr>
          <w:rtl/>
        </w:rPr>
        <w:t xml:space="preserve">וְעוֹד חוֹלֵ''ם אִתְקְרֵי בְכָל סִטְרָא דִימִינָא, הֲדָא הוּא דִכְתִיב </w:t>
      </w:r>
      <w:r>
        <w:rPr>
          <w:sz w:val="20"/>
          <w:szCs w:val="20"/>
          <w:rtl/>
        </w:rPr>
        <w:t>(ויקרא ב יג)</w:t>
      </w:r>
      <w:r>
        <w:rPr>
          <w:rtl/>
        </w:rPr>
        <w:t xml:space="preserve"> </w:t>
      </w:r>
      <w:r>
        <w:rPr>
          <w:rStyle w:val="a7"/>
          <w:rFonts w:hAnsi="Arial"/>
          <w:b w:val="0"/>
          <w:bCs w:val="0"/>
          <w:rtl/>
          <w:lang w:eastAsia="en-US"/>
        </w:rPr>
        <w:footnoteReference w:id="2620"/>
      </w:r>
      <w:r>
        <w:rPr>
          <w:rtl/>
        </w:rPr>
        <w:t xml:space="preserve">עַל כָּל קָרְבָּנְךָ תַּקְרִיב מֶלַח, </w:t>
      </w:r>
      <w:r>
        <w:rPr>
          <w:rStyle w:val="a7"/>
          <w:rFonts w:hAnsi="Arial"/>
          <w:b w:val="0"/>
          <w:bCs w:val="0"/>
          <w:rtl/>
          <w:lang w:eastAsia="en-US"/>
        </w:rPr>
        <w:footnoteReference w:id="2621"/>
      </w:r>
      <w:r>
        <w:rPr>
          <w:rtl/>
        </w:rPr>
        <w:t xml:space="preserve">וְחִירֵ''ק אִתְקְרֵי בְּכָל סִטְרָא דִשְׂמָאלָא, וְאִיהוּ שׁוּרֵ''ק קִשּׁוּרָא דְתַרְוַיְיהוּ, </w:t>
      </w:r>
      <w:r>
        <w:rPr>
          <w:rStyle w:val="a7"/>
          <w:rFonts w:hAnsi="Arial"/>
          <w:b w:val="0"/>
          <w:bCs w:val="0"/>
          <w:rtl/>
          <w:lang w:eastAsia="en-US"/>
        </w:rPr>
        <w:footnoteReference w:id="2622"/>
      </w:r>
      <w:r>
        <w:rPr>
          <w:rtl/>
        </w:rPr>
        <w:t xml:space="preserve">וְעוֹד חֹלֵ''ם אִתְקְרֵי בְאִימָּא עִלָּאָה, יוֹם הַכִּפּוּרִים </w:t>
      </w:r>
      <w:r>
        <w:rPr>
          <w:rStyle w:val="a7"/>
          <w:rFonts w:hAnsi="Arial"/>
          <w:b w:val="0"/>
          <w:bCs w:val="0"/>
          <w:rtl/>
          <w:lang w:eastAsia="en-US"/>
        </w:rPr>
        <w:footnoteReference w:id="2623"/>
      </w:r>
      <w:r>
        <w:rPr>
          <w:rtl/>
        </w:rPr>
        <w:t xml:space="preserve">דְּאִיהוּ עָשׂוֹר, וּבֵיהּ יְהֵא מוֹחֵ''ל וְסוֹלֵחַ חוֹבִין דְּעַמֵּיהּ, </w:t>
      </w:r>
      <w:r>
        <w:rPr>
          <w:rStyle w:val="a7"/>
          <w:rFonts w:hAnsi="Arial"/>
          <w:b w:val="0"/>
          <w:bCs w:val="0"/>
          <w:rtl/>
          <w:lang w:eastAsia="en-US"/>
        </w:rPr>
        <w:footnoteReference w:id="2624"/>
      </w:r>
      <w:r>
        <w:rPr>
          <w:rtl/>
        </w:rPr>
        <w:t>וְחִירֵ''ק אִתְּמַר בְּאִימָּא תַּתָּאָה, וּבֵיהּ חוֹרֵ''ק עָלָיו שִׁנָּיו עַל סמא''ל, דְּאִשְׁתַּעֲבִיד בִּבְנוֹי דִּשְׁכִינְתָּא בְגָלוּתָא.</w:t>
      </w:r>
    </w:p>
    <w:p w:rsidR="002D629A" w:rsidRDefault="002D629A" w:rsidP="00B17EA9">
      <w:pPr>
        <w:pStyle w:val="NormalWeb"/>
        <w:rPr>
          <w:rtl/>
        </w:rPr>
      </w:pPr>
      <w:r>
        <w:rPr>
          <w:rStyle w:val="a7"/>
          <w:rFonts w:hAnsi="Arial"/>
          <w:b w:val="0"/>
          <w:bCs w:val="0"/>
          <w:rtl/>
          <w:lang w:eastAsia="en-US"/>
        </w:rPr>
        <w:footnoteReference w:id="2625"/>
      </w:r>
      <w:r>
        <w:rPr>
          <w:rtl/>
        </w:rPr>
        <w:t>דָּבָר אַחֵר נָשְׂאוּ נְהָרוֹת קוֹלָם, דָּא תְּרֵין זִמְנִין דִּמְיַחֲדִין יִשְׂרָאֵל לְקוּדְשָׁא בְּרִיךְ הוּא, וְסָלְקִין לֵיהּ בֵּיהּ קָלָא עֶרֶב וָבֹקֶר וְצָהֳרָיִם, דְּאִינוּן יְמִינָא וּשְׂמָאלָא, בְּתַרְוַיְיהוּ סָלְקִין קָלָא דְאִיהוּ עַמּוּדָא דְאֶמְצָעִיתָא, לְגַבֵּי מָאן סָלְקָאן לֵיהּ לְגַבֵּי אִימָּא עִלָּאָה, דְאִיהוּ כ''ה בִּימִינָא וְכ''ה בִּשְׂמָאלָא עֶרֶב וָבֹקֶר, וְאִינוּן חַמְשִׁין תַּרְעִין דְּבִינָה, קָרָאן לֵיהּ בְּהוֹן, דְּנָחִית לְגַבֵּי צַדִּיק וָצֶדֶק.</w:t>
      </w:r>
    </w:p>
    <w:p w:rsidR="002D629A" w:rsidRDefault="002D629A" w:rsidP="00B17EA9">
      <w:pPr>
        <w:pStyle w:val="NormalWeb"/>
        <w:rPr>
          <w:rtl/>
        </w:rPr>
      </w:pPr>
      <w:r>
        <w:rPr>
          <w:rtl/>
        </w:rPr>
        <w:t xml:space="preserve">דְּאִיהוּ דָ''ךְ בְּשׁוֹקָא יְמִינָא, וְאִיהִי כַּדָּהּ עַל שִׁכְמָהּ בְּשׁוֹקָא שְׂמָאלָא, דְּאִינוּן תְּרֵי סַמְכֵי קְשׁוֹט, וּבְגִין דָּא יִשְׂאוּ נְהָרוֹת דָּכְיָם, דָּ''ךְ יָ''ם, וְאִיהוּ דָּ''ךְ בְּכ''ד אַתְוָון דְּבָּרוּךְ שֵׁם כְּבוֹד מַלְכוּתוֹ לְעוֹלָם וָעֶד דְּעַרְבִית, וְאִיהוּ דָּ''ךְ בְּכ''ד אַתְוָון דְּשַׁחֲרִית, וְרָזָא דְמִלָּה וְשַׂמְתִּי כַּ''דְכֹ''ד שִׁמְשׁוֹתַיִךְ </w:t>
      </w:r>
      <w:r>
        <w:rPr>
          <w:sz w:val="20"/>
          <w:szCs w:val="20"/>
          <w:rtl/>
        </w:rPr>
        <w:t>(ישעיה נד יב)</w:t>
      </w:r>
      <w:r>
        <w:rPr>
          <w:rtl/>
        </w:rPr>
        <w:t>, וְאִיהִי כַּדָּ''הּ בְּתַרְוַיְיהוּ, וְאַל יָשׁוֹב דָּ''ךְ נִכְלָם.</w:t>
      </w:r>
    </w:p>
    <w:p w:rsidR="002D629A" w:rsidRDefault="002D629A" w:rsidP="00B17EA9">
      <w:pPr>
        <w:pStyle w:val="aa"/>
        <w:rPr>
          <w:rtl/>
        </w:rPr>
      </w:pPr>
      <w:r>
        <w:rPr>
          <w:rtl/>
        </w:rPr>
        <w:t>[תיקוני זוהר - הגהה דף נד ע''ב]</w:t>
      </w:r>
    </w:p>
    <w:p w:rsidR="002D629A" w:rsidRDefault="002D629A" w:rsidP="00B17EA9">
      <w:pPr>
        <w:pStyle w:val="NormalWeb"/>
        <w:rPr>
          <w:rtl/>
        </w:rPr>
      </w:pPr>
      <w:r>
        <w:rPr>
          <w:rStyle w:val="a7"/>
          <w:rFonts w:hAnsi="Arial"/>
          <w:b w:val="0"/>
          <w:bCs w:val="0"/>
          <w:rtl/>
          <w:lang w:eastAsia="en-US"/>
        </w:rPr>
        <w:footnoteReference w:id="2626"/>
      </w:r>
      <w:r>
        <w:rPr>
          <w:rtl/>
        </w:rPr>
        <w:t xml:space="preserve">וְצָדִיקְ לָא אִשְׁתַּמַע קָלָא בְהַהוּא דָךְ, אֶלָּא יִשְׂאוּ נְהָרוֹת, נָשְׂאוּ לָא כְּתִיב אֶלָּא יִשְׂאוּ, </w:t>
      </w:r>
      <w:r>
        <w:rPr>
          <w:rStyle w:val="a7"/>
          <w:rFonts w:hAnsi="Arial"/>
          <w:b w:val="0"/>
          <w:bCs w:val="0"/>
          <w:rtl/>
          <w:lang w:eastAsia="en-US"/>
        </w:rPr>
        <w:footnoteReference w:id="2627"/>
      </w:r>
      <w:r>
        <w:rPr>
          <w:rtl/>
        </w:rPr>
        <w:t xml:space="preserve">כְּגוֹן עַל כָּתֵף יִשָּׂאוּ, </w:t>
      </w:r>
      <w:r>
        <w:rPr>
          <w:rStyle w:val="a7"/>
          <w:rFonts w:hAnsi="Arial"/>
          <w:b w:val="0"/>
          <w:bCs w:val="0"/>
          <w:rtl/>
          <w:lang w:eastAsia="en-US"/>
        </w:rPr>
        <w:footnoteReference w:id="2628"/>
      </w:r>
      <w:r>
        <w:rPr>
          <w:rtl/>
        </w:rPr>
        <w:t xml:space="preserve">בְּהַהִיא זִמְנָא </w:t>
      </w:r>
      <w:r>
        <w:rPr>
          <w:sz w:val="20"/>
          <w:szCs w:val="20"/>
          <w:rtl/>
        </w:rPr>
        <w:t>(בראשית כד טז)</w:t>
      </w:r>
      <w:r>
        <w:rPr>
          <w:rtl/>
        </w:rPr>
        <w:t xml:space="preserve"> וַתְּמַלֵּא כַדָּה וַתָּעַל, </w:t>
      </w:r>
      <w:r>
        <w:rPr>
          <w:rStyle w:val="a7"/>
          <w:rFonts w:hAnsi="Arial"/>
          <w:b w:val="0"/>
          <w:bCs w:val="0"/>
          <w:rtl/>
          <w:lang w:eastAsia="en-US"/>
        </w:rPr>
        <w:footnoteReference w:id="2629"/>
      </w:r>
      <w:r>
        <w:rPr>
          <w:rtl/>
        </w:rPr>
        <w:t xml:space="preserve">וַתֹּאמֶר שְׁתֵה אֲדוֹנִי וְגַם לִגְמַלֶּיךָ אַשְׁקֶה, אִלֵּין אִינוּן רְמַ''ח תֵּיבִין דְּאַרְבַּע פָּרָשִׁיָּין דְּיִחוּדָא </w:t>
      </w:r>
      <w:r>
        <w:rPr>
          <w:sz w:val="20"/>
          <w:szCs w:val="20"/>
          <w:rtl/>
        </w:rPr>
        <w:t xml:space="preserve">(הגהה דף נד ע"ב) </w:t>
      </w:r>
      <w:r>
        <w:rPr>
          <w:rtl/>
        </w:rPr>
        <w:t xml:space="preserve">דִקְרִיאַת שְׁמַע, דִּבְכֻלְּהוּ אִינוּן רְמַ''ח אֵבָרִים דִּכְלִילָן בַּבְּרִית דְּאִיהוּ צַדִּיק, כֻּלְּהוּ אִתְשַׁקְיָין עַל יְדֵי שְׁכִינְתָּא, </w:t>
      </w:r>
      <w:r>
        <w:rPr>
          <w:rStyle w:val="a7"/>
          <w:rFonts w:hAnsi="Arial"/>
          <w:b w:val="0"/>
          <w:bCs w:val="0"/>
          <w:rtl/>
          <w:lang w:eastAsia="en-US"/>
        </w:rPr>
        <w:footnoteReference w:id="2630"/>
      </w:r>
      <w:r>
        <w:rPr>
          <w:rtl/>
        </w:rPr>
        <w:t>דְּאִיהוּ כ''ד י''ם.</w:t>
      </w:r>
    </w:p>
    <w:p w:rsidR="002D629A" w:rsidRDefault="002D629A" w:rsidP="00B17EA9">
      <w:pPr>
        <w:pStyle w:val="NormalWeb"/>
        <w:rPr>
          <w:rtl/>
        </w:rPr>
      </w:pPr>
      <w:r>
        <w:rPr>
          <w:rtl/>
        </w:rPr>
        <w:t xml:space="preserve">כ''ד סִפְרִין דְּאוֹרַיְיתָא, וַדַּאי אִינוּן כ''ד דְּאִתְמַלִּי מִן יַמָּא עִלָּאָה דְאוֹרַיְיתָא, דְאִיהִי כְלִילָא דְחַמְשִׁין אַתְוָון דְּיִחוּדָא, דְאִינוּן כ''ה וְכ''ה, דִּמְיַחֲדִין בְּהוֹן לְקוּדְשָׁא בְּרִיךְ הוּא תְּרֵין זִמְנִין, דְּסָלִיק י''ם חַמְשִׁין, דָּא אִיהוּ יִשְׂאוּ נְהָרוֹת דָּכְיָם, בְּהִפּוּךְ אַתְוָון, דָךְ אִיהוּ צַדִּיק בְּהַאי כַּד, בְּגִין דְּאִיהוּ תְּבִירָא בְגָלוּתָא, שְׁכִינְתָּא דְאִיהִי כַּד עֲלֵיהּ אִתְּמַר </w:t>
      </w:r>
      <w:r>
        <w:rPr>
          <w:sz w:val="20"/>
          <w:szCs w:val="20"/>
          <w:rtl/>
        </w:rPr>
        <w:t>(תהלים נא יט)</w:t>
      </w:r>
      <w:r>
        <w:rPr>
          <w:rtl/>
        </w:rPr>
        <w:t xml:space="preserve"> לֵב נִשְׁבָּר וְנִדְכֶּה אלהי''ם לֹא תִבְזֶה, צַדִּיק אִיהוּ דָּךְ בְּמַיָּא דְאוֹרַיְיתָא, וְאִיהוּ כָּתִית בְּמִשְׁחָא דְאוֹרַיְיתָא, </w:t>
      </w:r>
      <w:r>
        <w:rPr>
          <w:rStyle w:val="a7"/>
          <w:rFonts w:hAnsi="Arial"/>
          <w:b w:val="0"/>
          <w:bCs w:val="0"/>
          <w:rtl/>
          <w:lang w:eastAsia="en-US"/>
        </w:rPr>
        <w:footnoteReference w:id="2631"/>
      </w:r>
      <w:r>
        <w:rPr>
          <w:rtl/>
        </w:rPr>
        <w:t xml:space="preserve">הֲדָא הוּא דִכְתִיב </w:t>
      </w:r>
      <w:r>
        <w:rPr>
          <w:sz w:val="20"/>
          <w:szCs w:val="20"/>
          <w:rtl/>
        </w:rPr>
        <w:t>(במדבר כח ה)</w:t>
      </w:r>
      <w:r>
        <w:rPr>
          <w:rtl/>
        </w:rPr>
        <w:t xml:space="preserve"> שֶׁמֶן כָּתִית, </w:t>
      </w:r>
      <w:r>
        <w:rPr>
          <w:rStyle w:val="a7"/>
          <w:rFonts w:hAnsi="Arial"/>
          <w:b w:val="0"/>
          <w:bCs w:val="0"/>
          <w:rtl/>
          <w:lang w:eastAsia="en-US"/>
        </w:rPr>
        <w:footnoteReference w:id="2632"/>
      </w:r>
      <w:r>
        <w:rPr>
          <w:rtl/>
        </w:rPr>
        <w:t xml:space="preserve">אֵימָתַי, בְּזִמְנָא דְאִסְתַּלַּק ו' מִן ה', וְאִשְׁתְּאָרַת ד', דַּלַּת וַדַּאי, וּבְגִין דָּא שֶׁמֶן כָּתִית רְבִיעִית הַהִין, רְבִיעִית הֵ''א וַדַּאי, דְּאִתְחַזְרַת דָּלֵ''ת, וְהַהוּא כָּתִית אִיהוּ ו' זְעִירָא, שְׁלִימוּ דְה', </w:t>
      </w:r>
      <w:r>
        <w:rPr>
          <w:rStyle w:val="a7"/>
          <w:rFonts w:hAnsi="Arial"/>
          <w:b w:val="0"/>
          <w:bCs w:val="0"/>
          <w:rtl/>
          <w:lang w:eastAsia="en-US"/>
        </w:rPr>
        <w:footnoteReference w:id="2633"/>
      </w:r>
      <w:r>
        <w:rPr>
          <w:rtl/>
        </w:rPr>
        <w:t xml:space="preserve">וַעֲלֵיהּ אִתְּמַר </w:t>
      </w:r>
      <w:r>
        <w:rPr>
          <w:sz w:val="20"/>
          <w:szCs w:val="20"/>
          <w:rtl/>
        </w:rPr>
        <w:t>(שמות לא יז)</w:t>
      </w:r>
      <w:r>
        <w:rPr>
          <w:rtl/>
        </w:rPr>
        <w:t xml:space="preserve"> בֵּינִי וּבֵין בְּנֵי יִשְׂרָאֵל אוֹת הִיא לְעוֹלָם, אוֹת ה' וַדַּאי, וּבְגִין דָּא אִתְקְרִיאַת ה' עַל שְׁמֵיהּ, יוֹם הַשִּׁשִּׁי, הֵ''א דְּשִׁשִּׁי.</w:t>
      </w:r>
    </w:p>
    <w:p w:rsidR="002D629A" w:rsidRDefault="002D629A" w:rsidP="00B17EA9">
      <w:pPr>
        <w:pStyle w:val="NormalWeb"/>
        <w:rPr>
          <w:rtl/>
        </w:rPr>
      </w:pPr>
      <w:r>
        <w:rPr>
          <w:rStyle w:val="a7"/>
          <w:rFonts w:hAnsi="Arial"/>
          <w:b w:val="0"/>
          <w:bCs w:val="0"/>
          <w:rtl/>
          <w:lang w:eastAsia="en-US"/>
        </w:rPr>
        <w:footnoteReference w:id="2634"/>
      </w:r>
      <w:r>
        <w:rPr>
          <w:rtl/>
        </w:rPr>
        <w:t xml:space="preserve">מִקּוֹלוֹת מַיִם רַבִּים </w:t>
      </w:r>
      <w:r>
        <w:rPr>
          <w:sz w:val="20"/>
          <w:szCs w:val="20"/>
          <w:rtl/>
        </w:rPr>
        <w:t>(תהלים צג ד)</w:t>
      </w:r>
      <w:r>
        <w:rPr>
          <w:rtl/>
        </w:rPr>
        <w:t xml:space="preserve">, </w:t>
      </w:r>
      <w:r>
        <w:rPr>
          <w:rStyle w:val="Char"/>
          <w:rtl/>
          <w:lang w:eastAsia="en-US"/>
        </w:rPr>
        <w:t xml:space="preserve">אִלֵּין </w:t>
      </w:r>
      <w:r>
        <w:rPr>
          <w:rStyle w:val="a7"/>
          <w:rFonts w:hAnsi="Arial"/>
          <w:b w:val="0"/>
          <w:bCs w:val="0"/>
          <w:rtl/>
          <w:lang w:eastAsia="en-US"/>
        </w:rPr>
        <w:footnoteReference w:id="2635"/>
      </w:r>
      <w:r>
        <w:rPr>
          <w:rtl/>
        </w:rPr>
        <w:t xml:space="preserve">שֶׁבַע קַלִין, דְּמִתְפַּלְגִין לְשִׁבְעָה נְהָרוֹת, וְכֻלְּהוֹן מִתְפַּלְגִין בְּהַהוּא נָהָר דְּנָפִיק מֵעִדֶן, וְאִינוּן בְּהָבוּ לַיהו''ה, שֶׁבַע אִינוּן דְּאָזְלִין עַל שֶׁבַע שְׁמָהָן, דְּאִינוּן אבגית''ץ וכו', וְאִינוּן שֶׁבַע סְפִירָן, </w:t>
      </w:r>
      <w:r>
        <w:rPr>
          <w:sz w:val="20"/>
          <w:szCs w:val="20"/>
          <w:rtl/>
        </w:rPr>
        <w:t>(שם כט ג)</w:t>
      </w:r>
      <w:r>
        <w:rPr>
          <w:rtl/>
        </w:rPr>
        <w:t xml:space="preserve"> קוֹל יהו''ה עַל הַמָּיִם דָּא חֶסֶ''ד וְאִיהוּ אבגית''ץ, דְּמִתַּמָּן מַיָּא דְאוֹרַיְיתָא, קוֹל יהו''ה בַּכֹּחַ דָּא קר''ע שט''ן וְדָא גְבוּרָ''ה, קוֹל יהו''ה בֶּהָדָר דָּא נג''ד יכ''ש וְדָא תִפְאֶרֶ''ת, </w:t>
      </w:r>
      <w:r>
        <w:rPr>
          <w:rStyle w:val="a7"/>
          <w:rFonts w:hAnsi="Arial"/>
          <w:b w:val="0"/>
          <w:bCs w:val="0"/>
          <w:rtl/>
          <w:lang w:eastAsia="en-US"/>
        </w:rPr>
        <w:footnoteReference w:id="2636"/>
      </w:r>
      <w:r>
        <w:rPr>
          <w:rtl/>
        </w:rPr>
        <w:t xml:space="preserve">כִּסְאוֹ כַּשֶּׁמֶ''שׁ נֶגְדִּ''י </w:t>
      </w:r>
      <w:r>
        <w:rPr>
          <w:sz w:val="20"/>
          <w:szCs w:val="20"/>
          <w:rtl/>
        </w:rPr>
        <w:t>(שם פט לז)</w:t>
      </w:r>
      <w:r>
        <w:rPr>
          <w:rtl/>
        </w:rPr>
        <w:t xml:space="preserve">, </w:t>
      </w:r>
      <w:r>
        <w:rPr>
          <w:rStyle w:val="a7"/>
          <w:rFonts w:hAnsi="Arial"/>
          <w:b w:val="0"/>
          <w:bCs w:val="0"/>
          <w:rtl/>
          <w:lang w:eastAsia="en-US"/>
        </w:rPr>
        <w:footnoteReference w:id="2637"/>
      </w:r>
      <w:r>
        <w:rPr>
          <w:rStyle w:val="Char"/>
          <w:rtl/>
          <w:lang w:eastAsia="en-US"/>
        </w:rPr>
        <w:t>וּבֵיהּ אִתְּמַר לְמֹשֶׁה</w:t>
      </w:r>
      <w:r>
        <w:rPr>
          <w:rtl/>
        </w:rPr>
        <w:t xml:space="preserve"> </w:t>
      </w:r>
      <w:r>
        <w:rPr>
          <w:sz w:val="20"/>
          <w:szCs w:val="20"/>
          <w:rtl/>
        </w:rPr>
        <w:t>(שמות לד י)</w:t>
      </w:r>
      <w:r>
        <w:rPr>
          <w:rtl/>
        </w:rPr>
        <w:t xml:space="preserve"> נֶגֶד כָּל עַמְּךָ אֶעֱשֶׂה נִפְלָאוֹת, קוֹל יהו''ה </w:t>
      </w:r>
      <w:r>
        <w:rPr>
          <w:rStyle w:val="a7"/>
          <w:rFonts w:hAnsi="Arial"/>
          <w:b w:val="0"/>
          <w:bCs w:val="0"/>
          <w:rtl/>
          <w:lang w:eastAsia="en-US"/>
        </w:rPr>
        <w:footnoteReference w:id="2638"/>
      </w:r>
      <w:r>
        <w:rPr>
          <w:rtl/>
        </w:rPr>
        <w:t xml:space="preserve">שׁוֹבֵר אֲרָזִים </w:t>
      </w:r>
      <w:r>
        <w:rPr>
          <w:sz w:val="20"/>
          <w:szCs w:val="20"/>
          <w:rtl/>
        </w:rPr>
        <w:t>(תהלים כט ז)</w:t>
      </w:r>
      <w:r>
        <w:rPr>
          <w:rtl/>
        </w:rPr>
        <w:t xml:space="preserve"> דָּא בט''ר צת''ג וְדָא נֶצַ''ח, קוֹל יהו''ה </w:t>
      </w:r>
      <w:r>
        <w:rPr>
          <w:rStyle w:val="a7"/>
          <w:rFonts w:hAnsi="Arial"/>
          <w:b w:val="0"/>
          <w:bCs w:val="0"/>
          <w:rtl/>
          <w:lang w:eastAsia="en-US"/>
        </w:rPr>
        <w:footnoteReference w:id="2639"/>
      </w:r>
      <w:r>
        <w:rPr>
          <w:rtl/>
        </w:rPr>
        <w:t xml:space="preserve">חוֹצֵב לַהֲבוֹת אֵשׁ דָּא חק''ב טנ''ע וְדָא הוֹ''ד, קוֹל יהו''ה יָחִיל מִדְבָּר דָּא יג''ל פז''ק </w:t>
      </w:r>
      <w:r>
        <w:rPr>
          <w:rStyle w:val="a7"/>
          <w:rFonts w:hAnsi="Arial"/>
          <w:b w:val="0"/>
          <w:bCs w:val="0"/>
          <w:rtl/>
          <w:lang w:eastAsia="en-US"/>
        </w:rPr>
        <w:footnoteReference w:id="2640"/>
      </w:r>
      <w:r>
        <w:rPr>
          <w:rtl/>
        </w:rPr>
        <w:t xml:space="preserve">דְּאִיהוּ יְסוֹ''ד, הַר סִינַי, קוֹל יהו''ה יְחוֹלֵל אַיָּלוֹת דָּא שק''ו צי''ת וְדָא מַלְכוּ''ת, דַּעֲלָהּ אִתְּמַר </w:t>
      </w:r>
      <w:r>
        <w:rPr>
          <w:sz w:val="20"/>
          <w:szCs w:val="20"/>
          <w:rtl/>
        </w:rPr>
        <w:t>(שם כב א)</w:t>
      </w:r>
      <w:r>
        <w:rPr>
          <w:rtl/>
        </w:rPr>
        <w:t xml:space="preserve"> לַמְנַצֵּחַ עַל אַיֶּלֶת הַשַּׁחַר, </w:t>
      </w:r>
      <w:r>
        <w:rPr>
          <w:rStyle w:val="a7"/>
          <w:rFonts w:hAnsi="Arial"/>
          <w:b w:val="0"/>
          <w:bCs w:val="0"/>
          <w:rtl/>
          <w:lang w:eastAsia="en-US"/>
        </w:rPr>
        <w:footnoteReference w:id="2641"/>
      </w:r>
      <w:r>
        <w:rPr>
          <w:rtl/>
        </w:rPr>
        <w:t>וְדָא אִיהוּ מִקּוֹלוֹת מַיִם רַבִּים.</w:t>
      </w:r>
    </w:p>
    <w:p w:rsidR="002D629A" w:rsidRDefault="002D629A" w:rsidP="00B17EA9">
      <w:pPr>
        <w:pStyle w:val="NormalWeb"/>
        <w:rPr>
          <w:rtl/>
        </w:rPr>
      </w:pPr>
      <w:r>
        <w:rPr>
          <w:rtl/>
        </w:rPr>
        <w:t xml:space="preserve">אַדִּירִים מִשְׁבְּרֵי יָם </w:t>
      </w:r>
      <w:r>
        <w:rPr>
          <w:sz w:val="20"/>
          <w:szCs w:val="20"/>
          <w:rtl/>
        </w:rPr>
        <w:t>(שם צג ד)</w:t>
      </w:r>
      <w:r>
        <w:rPr>
          <w:rtl/>
        </w:rPr>
        <w:t xml:space="preserve">, </w:t>
      </w:r>
      <w:r>
        <w:rPr>
          <w:rStyle w:val="a7"/>
          <w:rFonts w:hAnsi="Arial"/>
          <w:b w:val="0"/>
          <w:bCs w:val="0"/>
          <w:rtl/>
          <w:lang w:eastAsia="en-US"/>
        </w:rPr>
        <w:footnoteReference w:id="2642"/>
      </w:r>
      <w:r>
        <w:rPr>
          <w:rtl/>
        </w:rPr>
        <w:t xml:space="preserve">אִלֵּין טַעֲמֵי דְאוֹרַיְיתָא, </w:t>
      </w:r>
      <w:r>
        <w:rPr>
          <w:rStyle w:val="a7"/>
          <w:rFonts w:hAnsi="Arial"/>
          <w:b w:val="0"/>
          <w:bCs w:val="0"/>
          <w:rtl/>
          <w:lang w:eastAsia="en-US"/>
        </w:rPr>
        <w:footnoteReference w:id="2643"/>
      </w:r>
      <w:r>
        <w:rPr>
          <w:rtl/>
        </w:rPr>
        <w:t xml:space="preserve">דְאִתְּמַר בְּהוּ </w:t>
      </w:r>
      <w:r>
        <w:rPr>
          <w:sz w:val="20"/>
          <w:szCs w:val="20"/>
          <w:rtl/>
        </w:rPr>
        <w:t>(שם מב ח)</w:t>
      </w:r>
      <w:r>
        <w:rPr>
          <w:rtl/>
        </w:rPr>
        <w:t xml:space="preserve"> כָּל מִשְׁבָּרֶיךָ וְגַלֶּיךָ עָלַי עָבָרוּ, וְאִלֵּין אִינוּן זַרְקָ''א מַקַּ''ף שׁוֹפָ''ר הוֹלֵ''ךְ סֶגּוֹלְתָּ''א. </w:t>
      </w:r>
      <w:r>
        <w:rPr>
          <w:rStyle w:val="a7"/>
          <w:rFonts w:hAnsi="Arial"/>
          <w:b w:val="0"/>
          <w:bCs w:val="0"/>
          <w:sz w:val="20"/>
          <w:szCs w:val="20"/>
          <w:rtl/>
          <w:lang w:eastAsia="en-US"/>
        </w:rPr>
        <w:footnoteReference w:id="2644"/>
      </w:r>
      <w:r>
        <w:rPr>
          <w:rtl/>
        </w:rPr>
        <w:t xml:space="preserve">זַרְקָ''א, קַו דִּיּוֹקְנָא דְאָת ו', רֵישָׁא דִילֵיהּ י', תְּלַת גַּלְגַּלִּים </w:t>
      </w:r>
      <w:r>
        <w:rPr>
          <w:sz w:val="20"/>
          <w:szCs w:val="20"/>
          <w:rtl/>
        </w:rPr>
        <w:t>(נ''א אית)</w:t>
      </w:r>
      <w:r>
        <w:rPr>
          <w:rtl/>
        </w:rPr>
        <w:t xml:space="preserve"> סָלְקִין בֵּיהּ בְּיַמָּא דְאוֹרַיְיתָא, וְאִינוּן סֶגוֹלְתָּ''א, </w:t>
      </w:r>
      <w:r>
        <w:rPr>
          <w:rStyle w:val="a7"/>
          <w:rFonts w:hAnsi="Arial"/>
          <w:b w:val="0"/>
          <w:bCs w:val="0"/>
          <w:rtl/>
          <w:lang w:eastAsia="en-US"/>
        </w:rPr>
        <w:footnoteReference w:id="2645"/>
      </w:r>
      <w:r>
        <w:rPr>
          <w:rtl/>
        </w:rPr>
        <w:t xml:space="preserve">וְכָל גַּלְגַּל סָלִיק </w:t>
      </w:r>
      <w:r>
        <w:rPr>
          <w:rStyle w:val="a7"/>
          <w:rFonts w:hAnsi="Arial"/>
          <w:b w:val="0"/>
          <w:bCs w:val="0"/>
          <w:rtl/>
          <w:lang w:eastAsia="en-US"/>
        </w:rPr>
        <w:footnoteReference w:id="2646"/>
      </w:r>
      <w:r>
        <w:rPr>
          <w:rtl/>
        </w:rPr>
        <w:t xml:space="preserve">לְי' גַּלְגַּלִּים לְעִילָא, הֲדָא הוּא דִכְתִיב וְהָאוֹפַנִּים יִנָּשְׂאוּ לְעֻמָּתָם </w:t>
      </w:r>
      <w:r>
        <w:rPr>
          <w:sz w:val="20"/>
          <w:szCs w:val="20"/>
          <w:rtl/>
        </w:rPr>
        <w:t>(יחזקאל א כ)</w:t>
      </w:r>
      <w:r>
        <w:rPr>
          <w:rtl/>
        </w:rPr>
        <w:t>, וְדָא הוּא נָשְׂאוּ נְהָרוֹת יהו''ה, תְּרֵין נְקוּדִין דְּאִינוּן צֵירֵי סָלְקִין נְקוּדָה חֲדָא עַל גַּדְפוֹי, וְאִתְעֲבִידוּ סֶגוֹלְתָּ''א, וְעוֹד נָשְׂאוּ נְהָרוֹת, אִינוּן ב' נְקוּדִין, י' לְעִילָא וְי' לְתַתָּא, סָלְקִין ו' עַל גַּדְפַיְהוּ, וּלְאָן סָלְקִין, אֶלָּא חוּשְׁבָּנָא דִלְהוֹן לְחוּשְׁבַּן שְׁמָא דְיהו''ה, וְכַד סָלְקִין לָהּ עַל גַּדְפַיְיהוּ, לְקַבְּלָא עֲלַיְיהוּ עִלַּת הָעִילּוֹת, דְּנָחִית עַל גַּבַּיְיהוּ.</w:t>
      </w:r>
    </w:p>
    <w:p w:rsidR="002D629A" w:rsidRDefault="002D629A" w:rsidP="00B17EA9">
      <w:pPr>
        <w:pStyle w:val="NormalWeb"/>
        <w:rPr>
          <w:rtl/>
        </w:rPr>
      </w:pPr>
      <w:r>
        <w:rPr>
          <w:rStyle w:val="a7"/>
          <w:rFonts w:hAnsi="Arial"/>
          <w:b w:val="0"/>
          <w:bCs w:val="0"/>
          <w:rtl/>
          <w:lang w:eastAsia="en-US"/>
        </w:rPr>
        <w:footnoteReference w:id="2647"/>
      </w:r>
      <w:r>
        <w:rPr>
          <w:rtl/>
        </w:rPr>
        <w:t xml:space="preserve">וְעוֹד זַרְקָ''א אִיהוּ יְפֵה נוֹף מְשׂוֹשׂ כָּל הָאָרֶץ </w:t>
      </w:r>
      <w:r>
        <w:rPr>
          <w:sz w:val="20"/>
          <w:szCs w:val="20"/>
          <w:rtl/>
        </w:rPr>
        <w:t>(תהלים מח ג)</w:t>
      </w:r>
      <w:r>
        <w:rPr>
          <w:rtl/>
        </w:rPr>
        <w:t xml:space="preserve">, אִיהוּ ז', יוֹם הַשְּׁבִיעִי, וְדָא צַדִּיק, וְאִיהוּ עַנְפָא מִגּוּפָא דְאִילָנָא, דְאִיהוּ עַמּוּדָא דְאֶמְצָעִיתָא, הַר צִיּוֹן יַרְכְּתֵי צָפוֹן דָּא נְקוּדָה חֲדָא י' </w:t>
      </w:r>
      <w:r>
        <w:rPr>
          <w:sz w:val="20"/>
          <w:szCs w:val="20"/>
          <w:rtl/>
        </w:rPr>
        <w:t>(נ''א א)</w:t>
      </w:r>
      <w:r>
        <w:rPr>
          <w:rtl/>
        </w:rPr>
        <w:t xml:space="preserve"> </w:t>
      </w:r>
      <w:r>
        <w:rPr>
          <w:rStyle w:val="Char"/>
          <w:rtl/>
          <w:lang w:eastAsia="en-US"/>
        </w:rPr>
        <w:t>זְעִירָא אוֹת הַבְּרִית, וַעֲלָהּ אִתְּמַר</w:t>
      </w:r>
      <w:r>
        <w:rPr>
          <w:rtl/>
        </w:rPr>
        <w:t xml:space="preserve"> </w:t>
      </w:r>
      <w:r>
        <w:rPr>
          <w:sz w:val="20"/>
          <w:szCs w:val="20"/>
          <w:rtl/>
        </w:rPr>
        <w:t>(שם צג ג)</w:t>
      </w:r>
      <w:r>
        <w:rPr>
          <w:rtl/>
        </w:rPr>
        <w:t xml:space="preserve"> נָשְׂאוּ נְהָרוֹת יהו''ה, </w:t>
      </w:r>
      <w:r>
        <w:rPr>
          <w:rStyle w:val="a7"/>
          <w:rFonts w:hAnsi="Arial"/>
          <w:b w:val="0"/>
          <w:bCs w:val="0"/>
          <w:rtl/>
          <w:lang w:eastAsia="en-US"/>
        </w:rPr>
        <w:footnoteReference w:id="2648"/>
      </w:r>
      <w:r>
        <w:rPr>
          <w:rtl/>
        </w:rPr>
        <w:t xml:space="preserve">וּמַאי נִיהוּ יַרְכְּתֵי צָפוֹן </w:t>
      </w:r>
      <w:r>
        <w:rPr>
          <w:sz w:val="20"/>
          <w:szCs w:val="20"/>
          <w:rtl/>
        </w:rPr>
        <w:t>(שם מח ג)</w:t>
      </w:r>
      <w:r>
        <w:rPr>
          <w:rtl/>
        </w:rPr>
        <w:t>, דְּסָלְקִין לָהּ לְגַבֵּיהּ דְיהו''ה דְּאִיהוּ בַּעְלָהּ, וְכַד סָלְקִין לָהּ לְגַבֵּיהּ אִתְקְרִיאַת הַהִיא נְקוּדָה קִרְיַת מֶלֶךְ רָב.</w:t>
      </w:r>
    </w:p>
    <w:p w:rsidR="002D629A" w:rsidRDefault="002D629A" w:rsidP="00B17EA9">
      <w:pPr>
        <w:pStyle w:val="aa"/>
        <w:rPr>
          <w:rtl/>
        </w:rPr>
      </w:pPr>
      <w:r>
        <w:rPr>
          <w:rtl/>
        </w:rPr>
        <w:t>[תיקוני זוהר - הגהה דף נה ע''א]</w:t>
      </w:r>
    </w:p>
    <w:p w:rsidR="002D629A" w:rsidRDefault="002D629A" w:rsidP="00B17EA9">
      <w:pPr>
        <w:pStyle w:val="NormalWeb"/>
        <w:rPr>
          <w:rtl/>
        </w:rPr>
      </w:pPr>
      <w:r>
        <w:rPr>
          <w:rtl/>
        </w:rPr>
        <w:t xml:space="preserve">בְּהַהִיא זִמְנָא דְסָלְקַת הַהִיא נְקוּדָה בִּתְרֵין יַרְכֵי, מְקַבְּלִין לָהּ תְּרֵין דְּרוֹעִין, דְּאִינוּן ב' נְהָרוֹת עִלָּאִין, וְסָלְקִין לָהּ בְּעַמּוּדָא דְאֶמְצָעִיתָא, וְדָא </w:t>
      </w:r>
      <w:r>
        <w:rPr>
          <w:sz w:val="20"/>
          <w:szCs w:val="20"/>
          <w:rtl/>
        </w:rPr>
        <w:t xml:space="preserve">(הגהה דף נה ע"א) </w:t>
      </w:r>
      <w:r>
        <w:rPr>
          <w:rtl/>
        </w:rPr>
        <w:t xml:space="preserve">אִיהוּ נָשְׂאוּ נְהָרוֹת קוֹלָם </w:t>
      </w:r>
      <w:r>
        <w:rPr>
          <w:sz w:val="20"/>
          <w:szCs w:val="20"/>
          <w:rtl/>
        </w:rPr>
        <w:t>(שם צג ג)</w:t>
      </w:r>
      <w:r>
        <w:rPr>
          <w:rtl/>
        </w:rPr>
        <w:t xml:space="preserve">, תְּרֵין יַרְכִין אָזְלִין לָהּ לְגַבֵּי בַּעְלָהּ, וּתְרֵין דְּרוֹעִין אִינוּן מְקַבְּלִין לָהּ לְגַבֵּי בַּעְלָהּ, וּבְגִין דָּא תְּרֵין נְהָרוֹת אִתְּמַר בְּהוֹן נָשְׂאוּ נְהָרוֹת יהו''ה, וּתְרֵין תִּנְיָינִין יִשְׂאוּ נְהָרוֹת </w:t>
      </w:r>
      <w:r>
        <w:rPr>
          <w:sz w:val="20"/>
          <w:szCs w:val="20"/>
          <w:rtl/>
        </w:rPr>
        <w:t>(שם)</w:t>
      </w:r>
      <w:r>
        <w:rPr>
          <w:rtl/>
        </w:rPr>
        <w:t>.</w:t>
      </w:r>
    </w:p>
    <w:p w:rsidR="002D629A" w:rsidRDefault="002D629A" w:rsidP="00B17EA9">
      <w:pPr>
        <w:pStyle w:val="NormalWeb"/>
        <w:rPr>
          <w:rtl/>
        </w:rPr>
      </w:pPr>
      <w:r>
        <w:rPr>
          <w:rtl/>
        </w:rPr>
        <w:t xml:space="preserve">וְעוֹד אִתְּמַר בָּהּ סְלִיקוּ וּנְחִיתוּ, כְּגַוְונָא דָא, כַּד סָלְקִין לָהּ לְגַבֵּי עַמּוּדָא דְאֶמְצָעִיתָא אִתְּמַר בֵּיהּ נָשְׂאוּ נְהָרוֹת קוֹלָם, אֲבָל כַּד נָחֲתִין לָהּ לְגַבֵּי צַדִּיק אִתְּמַר בֵּיהּ יִשְׂאוּ נְהָרוֹת דָּכְיָם, וּמַה דַּהֲוָה סֶגוּלָה לְעִילָא כְּגַוְונָא דָא כַּד נָחְתָא לְגַבֵּי צַדִּיק אִתְעֲבִידַת סֶגוֹ''ל כְּגַוְונָא דָא וּבְגִין דָּא מַה דַּהֲוַת לְעִילָא אִתְנַטְּלַת </w:t>
      </w:r>
      <w:r>
        <w:rPr>
          <w:sz w:val="20"/>
          <w:szCs w:val="20"/>
          <w:rtl/>
        </w:rPr>
        <w:t>(נ''א אתחזרת)</w:t>
      </w:r>
      <w:r>
        <w:rPr>
          <w:rtl/>
        </w:rPr>
        <w:t xml:space="preserve"> לְתַתָּא, </w:t>
      </w:r>
      <w:r>
        <w:rPr>
          <w:rStyle w:val="a7"/>
          <w:rFonts w:hAnsi="Arial"/>
          <w:b w:val="0"/>
          <w:bCs w:val="0"/>
          <w:rtl/>
          <w:lang w:eastAsia="en-US"/>
        </w:rPr>
        <w:footnoteReference w:id="2649"/>
      </w:r>
      <w:r>
        <w:rPr>
          <w:rtl/>
        </w:rPr>
        <w:t>וּבְגִין דָּא אִתְקְרִיאַת בְּצַדִּיק דָּכְיָם.</w:t>
      </w:r>
    </w:p>
    <w:p w:rsidR="002D629A" w:rsidRDefault="002D629A" w:rsidP="00B17EA9">
      <w:pPr>
        <w:pStyle w:val="NormalWeb"/>
        <w:rPr>
          <w:rtl/>
        </w:rPr>
      </w:pPr>
      <w:r>
        <w:rPr>
          <w:rtl/>
        </w:rPr>
        <w:t xml:space="preserve">וּבָהּ מַיִם הַתַּחְתּוֹנִם בָּכָאן, בְּגִין דְּאִינוּן תַּרְעִין דְּדִמְעָה, וַעֲלַיְיהוּ אִתְּמַר שַׁעֲרֵי דִּמְעָה לֹא נִנְעָלוּ, וּבְגִין דְּאִיהִי דִמְעָה דִלְהוֹן, דָּכְיָם וַדַּאי, וְצַדִּיק בָּהּ דָּ''ךְ יָ''ם, וְהָא אוּקְמוּהוּ </w:t>
      </w:r>
      <w:r>
        <w:rPr>
          <w:sz w:val="20"/>
          <w:szCs w:val="20"/>
          <w:rtl/>
        </w:rPr>
        <w:t>(שם עד כא)</w:t>
      </w:r>
      <w:r>
        <w:rPr>
          <w:rtl/>
        </w:rPr>
        <w:t xml:space="preserve"> אַל יָשׁוֹב דַּךְ נִכְלָם, וּבֵיהּ אֶל דִּמְעָתִי אַל תֶּחרַשׁ </w:t>
      </w:r>
      <w:r>
        <w:rPr>
          <w:sz w:val="20"/>
          <w:szCs w:val="20"/>
          <w:rtl/>
        </w:rPr>
        <w:t>(שם לט יג)</w:t>
      </w:r>
      <w:r>
        <w:rPr>
          <w:rtl/>
        </w:rPr>
        <w:t xml:space="preserve">, </w:t>
      </w:r>
      <w:r>
        <w:rPr>
          <w:rStyle w:val="Char"/>
          <w:rtl/>
          <w:lang w:eastAsia="en-US"/>
        </w:rPr>
        <w:t>וַעֲלָהּ אִתְּמַר</w:t>
      </w:r>
      <w:r>
        <w:rPr>
          <w:rtl/>
        </w:rPr>
        <w:t xml:space="preserve"> </w:t>
      </w:r>
      <w:r>
        <w:rPr>
          <w:sz w:val="20"/>
          <w:szCs w:val="20"/>
          <w:rtl/>
        </w:rPr>
        <w:t>(שמות ג ט)</w:t>
      </w:r>
      <w:r>
        <w:rPr>
          <w:rtl/>
        </w:rPr>
        <w:t xml:space="preserve"> צַעֲקַת בְּנֵי יִשְׂרָאֵל בָּאָה אֵלָי.</w:t>
      </w:r>
    </w:p>
    <w:p w:rsidR="002D629A" w:rsidRDefault="002D629A" w:rsidP="00B17EA9">
      <w:pPr>
        <w:pStyle w:val="aa"/>
        <w:rPr>
          <w:rtl/>
        </w:rPr>
      </w:pPr>
      <w:r>
        <w:rPr>
          <w:rtl/>
        </w:rPr>
        <w:t>[תיקוני זוהר - הגהה דף נה ע''ב]</w:t>
      </w:r>
    </w:p>
    <w:p w:rsidR="002D629A" w:rsidRDefault="002D629A" w:rsidP="00B17EA9">
      <w:pPr>
        <w:pStyle w:val="NormalWeb"/>
        <w:rPr>
          <w:rtl/>
        </w:rPr>
      </w:pPr>
      <w:r>
        <w:rPr>
          <w:rStyle w:val="a7"/>
          <w:rFonts w:hAnsi="Arial"/>
          <w:b w:val="0"/>
          <w:bCs w:val="0"/>
          <w:rtl/>
          <w:lang w:eastAsia="en-US"/>
        </w:rPr>
        <w:footnoteReference w:id="2650"/>
      </w:r>
      <w:r>
        <w:rPr>
          <w:rtl/>
        </w:rPr>
        <w:t xml:space="preserve">תְּנוּעָה דְסָלִיק לָהּ לְגַבֵּי בַעְלָהּ דָּא רָבִי''עַ, וּבְהַהוּא זִמְנָא אִתְקְרֵי זָקֵ''ף גָּדוֹ''ל, וְאִיהִי אִתְקְרִיאַת קִרְיַת מֶלֶךְ רָב, וּבְאָן אִיהוּ זַקְפָא לְגַבֵּיהּ, </w:t>
      </w:r>
      <w:r>
        <w:rPr>
          <w:rStyle w:val="a7"/>
          <w:rFonts w:hAnsi="Arial"/>
          <w:b w:val="0"/>
          <w:bCs w:val="0"/>
          <w:rtl/>
          <w:lang w:eastAsia="en-US"/>
        </w:rPr>
        <w:footnoteReference w:id="2651"/>
      </w:r>
      <w:r>
        <w:rPr>
          <w:rtl/>
        </w:rPr>
        <w:t xml:space="preserve">בִּתְרֵין נְהָרוֹת, דְּאִתְּמַר בְּהוֹן </w:t>
      </w:r>
      <w:r>
        <w:rPr>
          <w:sz w:val="20"/>
          <w:szCs w:val="20"/>
          <w:rtl/>
        </w:rPr>
        <w:t>(שם טו ו)</w:t>
      </w:r>
      <w:r>
        <w:rPr>
          <w:rtl/>
        </w:rPr>
        <w:t xml:space="preserve"> יְמִינְךָ יהו''ה נֶאְדָּרִי בַּכֹּחַ יְמִינְךָ יהו''ה תִּרְעַץ אוֹיֵב, וַעֲלַיְיהוּ אִתְּמַר </w:t>
      </w:r>
      <w:r>
        <w:rPr>
          <w:sz w:val="20"/>
          <w:szCs w:val="20"/>
          <w:rtl/>
        </w:rPr>
        <w:t>(תהלים טז יא)</w:t>
      </w:r>
      <w:r>
        <w:rPr>
          <w:rtl/>
        </w:rPr>
        <w:t xml:space="preserve"> נְעִימוֹת בִּימִינְךָ נֶצַח, מַאי בִּימִינְךָ דָא גְדוּלָה, בְּהַהוּא זִמְנָא אִתְקְרֵי זָקֵ''ף גָּדוֹ''ל, וְכַד נָחֲתַת בְּצַדִּיק אִתְקְרִיאַת זָקֵף קָטָ''ן, וּמַאי אִיהִי תְּנוּעָה דְקָא נָחִית לָהּ, דָּא </w:t>
      </w:r>
      <w:r>
        <w:rPr>
          <w:rStyle w:val="a7"/>
          <w:rFonts w:hAnsi="Arial"/>
          <w:b w:val="0"/>
          <w:bCs w:val="0"/>
          <w:rtl/>
          <w:lang w:eastAsia="en-US"/>
        </w:rPr>
        <w:footnoteReference w:id="2652"/>
      </w:r>
      <w:r>
        <w:rPr>
          <w:rtl/>
        </w:rPr>
        <w:t xml:space="preserve">תְּבִי''ר, רָבִי''עַ לִימִינָא, אֶרֶךְ אַפַּיִם עַל בֵּינוּנִים, </w:t>
      </w:r>
      <w:r>
        <w:rPr>
          <w:rStyle w:val="a7"/>
          <w:rFonts w:hAnsi="Arial"/>
          <w:b w:val="0"/>
          <w:bCs w:val="0"/>
          <w:rtl/>
          <w:lang w:eastAsia="en-US"/>
        </w:rPr>
        <w:footnoteReference w:id="2653"/>
      </w:r>
      <w:r>
        <w:rPr>
          <w:rtl/>
        </w:rPr>
        <w:t xml:space="preserve">וּבֵיהּ אִיהוּ מַאֲרִי''ךְ, תְּבִי''ר לִשְׂמָאלָא, תְּבִירוּ דְחַיָּיבַיָּא, </w:t>
      </w:r>
      <w:r>
        <w:rPr>
          <w:rStyle w:val="a7"/>
          <w:rFonts w:hAnsi="Arial"/>
          <w:b w:val="0"/>
          <w:bCs w:val="0"/>
          <w:rtl/>
          <w:lang w:eastAsia="en-US"/>
        </w:rPr>
        <w:footnoteReference w:id="2654"/>
      </w:r>
      <w:r>
        <w:rPr>
          <w:rtl/>
        </w:rPr>
        <w:t>חַד סָלִיק (</w:t>
      </w:r>
      <w:r>
        <w:rPr>
          <w:sz w:val="20"/>
          <w:szCs w:val="20"/>
          <w:rtl/>
        </w:rPr>
        <w:t>הגהה דף נה ע"ב)</w:t>
      </w:r>
      <w:r>
        <w:rPr>
          <w:rtl/>
        </w:rPr>
        <w:t xml:space="preserve"> בִּתְקִיעָ''ה וּמַאֲרִיךְ בָּהּ, וְחַד נָחִית לָהּ בִּשְׁבָרִי''ם, שַׁלְשֶׁלֶ''ת דָּא תְרוּעָ''ה קִשּׁוּרָא דְתַרְוַיְיהוּ, דִיּוֹקְנָא דְשׁוּרֵ''ק דִּלְתַתָּא, </w:t>
      </w:r>
      <w:r>
        <w:rPr>
          <w:rStyle w:val="a7"/>
          <w:rFonts w:hAnsi="Arial"/>
          <w:b w:val="0"/>
          <w:bCs w:val="0"/>
          <w:rtl/>
          <w:lang w:eastAsia="en-US"/>
        </w:rPr>
        <w:footnoteReference w:id="2655"/>
      </w:r>
      <w:r>
        <w:rPr>
          <w:rtl/>
        </w:rPr>
        <w:t xml:space="preserve">בְּשַׁלְשֶׁלֶ''ת סָלְקָא, בְּשֻׁרֵ''ק נָחְתָא, הַאי אִיהוּ סֻלָּם </w:t>
      </w:r>
      <w:r>
        <w:rPr>
          <w:sz w:val="20"/>
          <w:szCs w:val="20"/>
          <w:rtl/>
        </w:rPr>
        <w:t>(נ''א חל''ם)</w:t>
      </w:r>
      <w:r>
        <w:rPr>
          <w:rtl/>
        </w:rPr>
        <w:t xml:space="preserve"> דְּסָלְקָא לְעִילָא, וְהַאי אִיהוּ סֻלָּם </w:t>
      </w:r>
      <w:r>
        <w:rPr>
          <w:sz w:val="20"/>
          <w:szCs w:val="20"/>
          <w:rtl/>
        </w:rPr>
        <w:t>(נ''א חירק)</w:t>
      </w:r>
      <w:r>
        <w:rPr>
          <w:rtl/>
        </w:rPr>
        <w:t xml:space="preserve"> דְּנָחְתָא לְתַתָּא, וְהַיְינוּ דַרְגָּ''א תְרֵ''י טַעֲמֵ''י.</w:t>
      </w:r>
    </w:p>
    <w:p w:rsidR="002D629A" w:rsidRDefault="002D629A" w:rsidP="00B17EA9">
      <w:pPr>
        <w:pStyle w:val="NormalWeb"/>
        <w:rPr>
          <w:rtl/>
        </w:rPr>
      </w:pPr>
      <w:r>
        <w:rPr>
          <w:rStyle w:val="a7"/>
          <w:rFonts w:hAnsi="Arial"/>
          <w:b w:val="0"/>
          <w:bCs w:val="0"/>
          <w:rtl/>
          <w:lang w:eastAsia="en-US"/>
        </w:rPr>
        <w:footnoteReference w:id="2656"/>
      </w:r>
      <w:r>
        <w:rPr>
          <w:rtl/>
        </w:rPr>
        <w:t xml:space="preserve">וְעִנּוּיָא דִשְׁכִינְתָּא אַף עַל גַּב דְּאִיהִי בִּתְלַת סִטְרִין, בִּתְקִיעָ''ה דְאִיהִי דִינָא רַפְיָא רָפֵ''ה, וּבִשְׁבָרִי''ם דְּאִיהוּ דִינָא קַשְׁיָא דָגֵ''שׁ גְּבוּרָה, לֵית לָהּ עִנּוּיָא כְּעִנּוּיָא דְבַעְלָהּ דְּאִיהוּ תְרוּעָ''ה, שַׁלְשֶׁלֶ''ת, </w:t>
      </w:r>
      <w:r>
        <w:rPr>
          <w:rStyle w:val="a7"/>
          <w:rFonts w:hAnsi="Arial"/>
          <w:b w:val="0"/>
          <w:bCs w:val="0"/>
          <w:rtl/>
          <w:lang w:eastAsia="en-US"/>
        </w:rPr>
        <w:footnoteReference w:id="2657"/>
      </w:r>
      <w:r>
        <w:rPr>
          <w:rtl/>
        </w:rPr>
        <w:t xml:space="preserve">וְרָזָא דְמִלָּה אֵין קוֹל עַנוֹת גְּבוּרָה </w:t>
      </w:r>
      <w:r>
        <w:rPr>
          <w:sz w:val="20"/>
          <w:szCs w:val="20"/>
          <w:rtl/>
        </w:rPr>
        <w:t>(שמות לב יח)</w:t>
      </w:r>
      <w:r>
        <w:rPr>
          <w:rtl/>
        </w:rPr>
        <w:t xml:space="preserve"> דָא שְׁבָרִי''ם, וְאֵין קוֹל עַנוֹת חֲלוּשָׁה דָא תְּקִיעָ''ה, אֶלָּא קוֹל עַנּוֹת אָנֹכִי שׁוֹמֵעַ דָּא תְרוּעָ''ה, דְּסָלְקָא בְּעִנּוּיָיא דָא בָתַר דָּא כִּתְרוּעָה, וּבְגִין דָּא אַשְׁרֵי הָעָם יוֹדְעִי תְרוּעָה </w:t>
      </w:r>
      <w:r>
        <w:rPr>
          <w:sz w:val="20"/>
          <w:szCs w:val="20"/>
          <w:rtl/>
        </w:rPr>
        <w:t>(תהלים פט טז)</w:t>
      </w:r>
      <w:r>
        <w:rPr>
          <w:rtl/>
        </w:rPr>
        <w:t xml:space="preserve">, אַף עַל גַּב דִּשְׁכִינְתָּא אִיהִי בְּעִנּוּיָיא מִימִינָא וּמִשְּׂמָאלָא, לֵית עִנּוּיָיא כְּעִנּוּיָא דְבַעְלָהּ, תְּרוּעָ''ה </w:t>
      </w:r>
      <w:r>
        <w:rPr>
          <w:rStyle w:val="a7"/>
          <w:rFonts w:hAnsi="Arial"/>
          <w:b w:val="0"/>
          <w:bCs w:val="0"/>
          <w:rtl/>
          <w:lang w:eastAsia="en-US"/>
        </w:rPr>
        <w:footnoteReference w:id="2658"/>
      </w:r>
      <w:r>
        <w:rPr>
          <w:rtl/>
        </w:rPr>
        <w:t>דְאִיהִי תוֹרָ''ה עַיִ''ן אַנְפִּין, וְאִיהִי תְרוּעָה דִילֵיהּ, וּבְגִין דָּא אַשְׁרֵי הָעָם יוֹדְעִי תְרוּעָה.</w:t>
      </w:r>
    </w:p>
    <w:p w:rsidR="002D629A" w:rsidRDefault="002D629A" w:rsidP="00B17EA9">
      <w:pPr>
        <w:pStyle w:val="NormalWeb"/>
        <w:rPr>
          <w:rtl/>
        </w:rPr>
      </w:pPr>
      <w:r>
        <w:rPr>
          <w:rtl/>
        </w:rPr>
        <w:t xml:space="preserve">דָּבָר אַחֵר קוֹל עַנוֹת אָנֹכִי שׁוֹמֵעַ </w:t>
      </w:r>
      <w:r>
        <w:rPr>
          <w:sz w:val="20"/>
          <w:szCs w:val="20"/>
          <w:rtl/>
        </w:rPr>
        <w:t>(שמות לב יח)</w:t>
      </w:r>
      <w:r>
        <w:rPr>
          <w:rtl/>
        </w:rPr>
        <w:t xml:space="preserve">, </w:t>
      </w:r>
      <w:r>
        <w:rPr>
          <w:rStyle w:val="a7"/>
          <w:rFonts w:hAnsi="Arial"/>
          <w:b w:val="0"/>
          <w:bCs w:val="0"/>
          <w:rtl/>
          <w:lang w:eastAsia="en-US"/>
        </w:rPr>
        <w:footnoteReference w:id="2659"/>
      </w:r>
      <w:r>
        <w:rPr>
          <w:rtl/>
        </w:rPr>
        <w:t xml:space="preserve">דָּא אִיהוּ עִנּוּיָא דְאָנֹכִי שׁוֹמֵעַ, דְּאִיהִי צָוְוחַת בְּכָל יוֹמָא לְמַעְלָה, הִיא וּבְנָהָא, וְקָרָאן לֵיהּ תְּרֵין זִמְנִין עֶרֶב וָבֹקֶר שְׁמַע יִשְׂרָאֵל, </w:t>
      </w:r>
      <w:r>
        <w:rPr>
          <w:rStyle w:val="a7"/>
          <w:rFonts w:hAnsi="Arial"/>
          <w:b w:val="0"/>
          <w:bCs w:val="0"/>
          <w:rtl/>
          <w:lang w:eastAsia="en-US"/>
        </w:rPr>
        <w:footnoteReference w:id="2660"/>
      </w:r>
      <w:r>
        <w:rPr>
          <w:rtl/>
        </w:rPr>
        <w:t xml:space="preserve">וְכָל בַּר נַשׁ דְּאִית לֵיהּ עִנּוּי מִשְּׁכִינְתָּא, דְאִיהִי עַנְיָא בְגָלוּתָא, רְחִיקָא מִן בַּעְלָהּ, וְקָרָא לֵיהּ בְּכָל יוֹמָא שְׁמַע יִשְׂרָאֵל, דִּיְהֵא נָחִית לְגַבָּהּ, וַדַּאי עֲלֵיהּ אִתְּמַר קוֹל עַנּוֹת אָנֹכִי שֹׁמֵעַ, </w:t>
      </w:r>
      <w:r>
        <w:rPr>
          <w:rStyle w:val="a7"/>
          <w:rFonts w:hAnsi="Arial"/>
          <w:b w:val="0"/>
          <w:bCs w:val="0"/>
          <w:rtl/>
          <w:lang w:eastAsia="en-US"/>
        </w:rPr>
        <w:footnoteReference w:id="2661"/>
      </w:r>
      <w:r>
        <w:rPr>
          <w:rtl/>
        </w:rPr>
        <w:t>קוֹל דְּעִנּוּיָא דְהַאי עַנְיָא אָנֹכִי שֹׁמֵעַ.</w:t>
      </w:r>
    </w:p>
    <w:p w:rsidR="002D629A" w:rsidRDefault="002D629A" w:rsidP="00B17EA9">
      <w:pPr>
        <w:pStyle w:val="aa"/>
        <w:rPr>
          <w:rtl/>
        </w:rPr>
      </w:pPr>
      <w:r>
        <w:rPr>
          <w:rtl/>
        </w:rPr>
        <w:t>(הקטע שהיה כאן, קם חד בקירטא כו' עד סוף ההגהה, תמצא בריש תיקון כ', ע"פ ביאור הגר"א כאן. ג.פ.).</w:t>
      </w:r>
    </w:p>
    <w:p w:rsidR="002D629A" w:rsidRDefault="002D629A" w:rsidP="00B17EA9">
      <w:pPr>
        <w:pStyle w:val="aa"/>
        <w:rPr>
          <w:rtl/>
        </w:rPr>
      </w:pPr>
      <w:r>
        <w:rPr>
          <w:rtl/>
        </w:rPr>
        <w:t>[תיקוני זוהר - דף מא ע''ב, דף מב ע"א]</w:t>
      </w:r>
    </w:p>
    <w:p w:rsidR="002D629A" w:rsidRDefault="002D629A" w:rsidP="00B17EA9">
      <w:pPr>
        <w:pStyle w:val="NormalWeb"/>
        <w:rPr>
          <w:rtl/>
        </w:rPr>
      </w:pPr>
      <w:r>
        <w:rPr>
          <w:rtl/>
        </w:rPr>
        <w:t>(</w:t>
      </w:r>
      <w:r>
        <w:rPr>
          <w:sz w:val="20"/>
          <w:szCs w:val="20"/>
          <w:rtl/>
        </w:rPr>
        <w:t xml:space="preserve">דף מא ע"ב) </w:t>
      </w:r>
      <w:r>
        <w:rPr>
          <w:rFonts w:cs="Guttman Drogolin"/>
          <w:sz w:val="25"/>
          <w:szCs w:val="25"/>
          <w:rtl/>
        </w:rPr>
        <w:t>(קטע זה שייך לסוף תיקון י"ג כמו שאומר בביאור הגר"א כאן. ג.פ.)</w:t>
      </w:r>
      <w:r>
        <w:rPr>
          <w:sz w:val="20"/>
          <w:szCs w:val="20"/>
          <w:rtl/>
        </w:rPr>
        <w:t xml:space="preserve"> </w:t>
      </w:r>
      <w:r>
        <w:rPr>
          <w:rtl/>
        </w:rPr>
        <w:t xml:space="preserve">קָמוּ תַּנָּאִין וַאֲמוֹרָאִין דִּלְעִילָא וּבָרִיכוּ לֵיהּ, וְאָמְרוּ מַטָּרָה </w:t>
      </w:r>
      <w:r>
        <w:rPr>
          <w:sz w:val="20"/>
          <w:szCs w:val="20"/>
          <w:rtl/>
        </w:rPr>
        <w:t>(נ''א עטרה)</w:t>
      </w:r>
      <w:r>
        <w:rPr>
          <w:rtl/>
        </w:rPr>
        <w:t xml:space="preserve"> (</w:t>
      </w:r>
      <w:r>
        <w:rPr>
          <w:sz w:val="20"/>
          <w:szCs w:val="20"/>
          <w:rtl/>
        </w:rPr>
        <w:t xml:space="preserve">דף מב ע"א) </w:t>
      </w:r>
      <w:r>
        <w:rPr>
          <w:rtl/>
        </w:rPr>
        <w:t xml:space="preserve">תְּהֵא אֲגִינַת עֲלָךְ מֵחִצִּים בְּגָלוּתָא, עֲלָךְ אִתְּמַר </w:t>
      </w:r>
      <w:r>
        <w:rPr>
          <w:sz w:val="20"/>
          <w:szCs w:val="20"/>
          <w:rtl/>
        </w:rPr>
        <w:t>(תהלים צא ה)</w:t>
      </w:r>
      <w:r>
        <w:rPr>
          <w:rtl/>
        </w:rPr>
        <w:t xml:space="preserve"> לֹא תִירָא מִפַּחַד לָיְלָה מֵחֵץ יָעוּף יוֹמָם, וְקַשְׁתָּא וְחִצָּא דְסִטְרָא דִקְדוּשָׁה יָגֵן עֲלָךְ, וְתַחַת כְּנָפָיו תֶּחְסֶּה צִנָּה וְסֹחֵרָה אֲמִתּוֹ, צִנָּה דָא שְׁכִינְתָּא תַּתָּאָה, וְסֹחֵרָה דָא שְׁכִינְתָּא עִלָּאָה, אֲמִתּוֹ דָא עַמּוּדָא דְאֶמְצָעִיתָא.  </w:t>
      </w:r>
      <w:r>
        <w:rPr>
          <w:rFonts w:cs="Guttman Drogolin"/>
          <w:sz w:val="25"/>
          <w:szCs w:val="25"/>
          <w:rtl/>
        </w:rPr>
        <w:t>(עד כאן שייך לסוף תיקון י"ג, דף כו ע"א, ואת באורו תמצא שם</w:t>
      </w:r>
      <w:r>
        <w:rPr>
          <w:rtl/>
        </w:rPr>
        <w:t>. ג.פ.)</w:t>
      </w:r>
    </w:p>
    <w:p w:rsidR="002D629A" w:rsidRDefault="002D629A" w:rsidP="00B17EA9">
      <w:pPr>
        <w:pStyle w:val="aa"/>
        <w:rPr>
          <w:rtl/>
        </w:rPr>
      </w:pPr>
      <w:r>
        <w:rPr>
          <w:rtl/>
        </w:rPr>
        <w:t>[תיקוני זוהר - המשך דף מב ע"א]</w:t>
      </w:r>
    </w:p>
    <w:p w:rsidR="002D629A" w:rsidRDefault="002D629A" w:rsidP="00B17EA9">
      <w:pPr>
        <w:pStyle w:val="NormalWeb"/>
        <w:rPr>
          <w:rtl/>
        </w:rPr>
      </w:pPr>
      <w:r>
        <w:rPr>
          <w:rtl/>
        </w:rPr>
        <w:t xml:space="preserve">קָם אִיהוּ וְאָמַר תַּנָּאִין תַּנָּאִין </w:t>
      </w:r>
      <w:r>
        <w:rPr>
          <w:rStyle w:val="a7"/>
          <w:rFonts w:hAnsi="Arial"/>
          <w:b w:val="0"/>
          <w:bCs w:val="0"/>
          <w:rtl/>
          <w:lang w:eastAsia="en-US"/>
        </w:rPr>
        <w:footnoteReference w:id="2662"/>
      </w:r>
      <w:r>
        <w:rPr>
          <w:rtl/>
        </w:rPr>
        <w:t xml:space="preserve">מִשְׁנָה תְּהֵא בְּעֶזְרַיְיכוּ, וְלָא תִּשְׁתַּנִּיאוּ מֵרַחֲמֵי לְדִינָא, הֲלָכָה אָזְלַת לִימִינָא דִלְכוֹן, לְאִתְגַבְּרָא בָּהּ עַל (נ"א עמלק) שַׂנְאֵכוֹן, קַבָּלָה תִּתְקַבֵּל צְלוֹתְכוֹן, </w:t>
      </w:r>
      <w:r>
        <w:rPr>
          <w:rStyle w:val="a7"/>
          <w:rFonts w:hAnsi="Arial"/>
          <w:b w:val="0"/>
          <w:bCs w:val="0"/>
          <w:rtl/>
          <w:lang w:eastAsia="en-US"/>
        </w:rPr>
        <w:footnoteReference w:id="2663"/>
      </w:r>
      <w:r>
        <w:rPr>
          <w:rtl/>
        </w:rPr>
        <w:t>בְּרַיְיתָא אֲפִיקַת לְכוֹן וְלִבְנַיְיכוּ מִגָּלוּתָא, וּמִשִּׁעְבּוּדָא וְדִינָא דְהַהוּא דִמְמַנָּא עַל גָּלוּתָא עַל בְּנַיְיכוּ, מִיָּד דְּבָרִיךְ לוֹן סָלִיק לְאַתְרֵיהּ.</w:t>
      </w:r>
    </w:p>
    <w:p w:rsidR="002D629A" w:rsidRDefault="002D629A" w:rsidP="00B17EA9">
      <w:pPr>
        <w:pStyle w:val="NormalWeb"/>
        <w:rPr>
          <w:rtl/>
        </w:rPr>
      </w:pPr>
      <w:r>
        <w:rPr>
          <w:rStyle w:val="a7"/>
          <w:rFonts w:hAnsi="Arial"/>
          <w:b w:val="0"/>
          <w:bCs w:val="0"/>
          <w:rtl/>
          <w:lang w:eastAsia="en-US"/>
        </w:rPr>
        <w:footnoteReference w:id="2664"/>
      </w:r>
      <w:r>
        <w:rPr>
          <w:rtl/>
        </w:rPr>
        <w:t>קָם רַבִּי שִׁמְעוֹן בְּקַדְמֵיתָא פָּתַח וְאָמַר, תַּנָּא תַּנָּא אִסְתַּמַּר לָךְ, דְּהָא קִירְטָא לְגַבָּךְ, וְדָא שְׁכִינְתָּא, וּבָהּ אִזְדְּרִיקוּ תְלַת אַבְנִין, דְּאִינוּן תְּלַת טִפִּין דְּמוֹחָא עִלָּאִין, דְּאִינוּן י'י'י', וְאִתְכְּלִילוּ בְּחָכְמָה בִּתְבוּנָה וּבְדַעַת.</w:t>
      </w:r>
    </w:p>
    <w:p w:rsidR="002D629A" w:rsidRDefault="002D629A" w:rsidP="00B17EA9">
      <w:pPr>
        <w:pStyle w:val="NormalWeb"/>
        <w:rPr>
          <w:rtl/>
        </w:rPr>
      </w:pPr>
      <w:r>
        <w:rPr>
          <w:rtl/>
        </w:rPr>
        <w:t>אָמַר לֵיהּ רַבִּי שִׂים בַּסֶּלַע קִנֶּךָ, דְּהָא קַשְׁתָּא לְגַבָּךְ דְּאִיהוּ אוֹת הַבְּרִית, אִסְתַּמַּר מִגִּירִין דִּילֵיהּ, דְּאִינוּן תְּלַת ו'ו'ו', דְּסָלְקִין חַ''י בְּחוּשְׁבַּן, וְדָא חַ''י עָלְמִין.</w:t>
      </w:r>
    </w:p>
    <w:p w:rsidR="002D629A" w:rsidRDefault="002D629A" w:rsidP="00B17EA9">
      <w:pPr>
        <w:pStyle w:val="NormalWeb"/>
        <w:rPr>
          <w:rtl/>
        </w:rPr>
      </w:pPr>
      <w:r>
        <w:rPr>
          <w:rStyle w:val="a7"/>
          <w:rFonts w:hAnsi="Arial"/>
          <w:b w:val="0"/>
          <w:bCs w:val="0"/>
          <w:rtl/>
          <w:lang w:eastAsia="en-US"/>
        </w:rPr>
        <w:footnoteReference w:id="2665"/>
      </w:r>
      <w:r>
        <w:rPr>
          <w:rtl/>
        </w:rPr>
        <w:t xml:space="preserve">קָם תַּנָּא תִּנְיָינָא וְאָמַר לֵיהּ, הָא תַּנְיָא דִמְסַיֵּיעַ לָךְ, בְּרוּמְחָא דְאִיהוּ כְּלִילָא מֵאַרְבַּע פַּרָשִׁיָּין, וְדָא ו' דְּאִיהוּ עַמּוּדָא דְאֶמְצָעִיתָא, כְלִיל שִׁית תֵּיבִין דְּיִחוּדָא, </w:t>
      </w:r>
      <w:r>
        <w:rPr>
          <w:rStyle w:val="a7"/>
          <w:rFonts w:hAnsi="Arial"/>
          <w:b w:val="0"/>
          <w:bCs w:val="0"/>
          <w:rtl/>
          <w:lang w:eastAsia="en-US"/>
        </w:rPr>
        <w:footnoteReference w:id="2666"/>
      </w:r>
      <w:r>
        <w:rPr>
          <w:rtl/>
        </w:rPr>
        <w:t xml:space="preserve">וְרַמַ''ח תֵּיבִין דִּבְהוֹן </w:t>
      </w:r>
      <w:r>
        <w:rPr>
          <w:sz w:val="20"/>
          <w:szCs w:val="20"/>
          <w:rtl/>
        </w:rPr>
        <w:t>(במדבר כד כא)</w:t>
      </w:r>
      <w:r>
        <w:rPr>
          <w:rtl/>
        </w:rPr>
        <w:t xml:space="preserve"> וְשִׂים בַּסֶּלַע קִנֶּךָ.</w:t>
      </w:r>
    </w:p>
    <w:p w:rsidR="002D629A" w:rsidRDefault="002D629A" w:rsidP="00B17EA9">
      <w:pPr>
        <w:pStyle w:val="NormalWeb"/>
        <w:rPr>
          <w:rtl/>
        </w:rPr>
      </w:pPr>
      <w:r>
        <w:rPr>
          <w:rtl/>
        </w:rPr>
        <w:t xml:space="preserve">דְּהָא קַרְנֵי פָרָה [ציור] לְגַבָּךְ, דְּאִנּוּן תְּרֵין נְבִיאֵי קְשׁוֹט, עֲלַיְהוּ אִתְּמַר </w:t>
      </w:r>
      <w:r>
        <w:rPr>
          <w:sz w:val="20"/>
          <w:szCs w:val="20"/>
          <w:rtl/>
        </w:rPr>
        <w:t>(תהלים קלב יז)</w:t>
      </w:r>
      <w:r>
        <w:rPr>
          <w:rtl/>
        </w:rPr>
        <w:t xml:space="preserve"> </w:t>
      </w:r>
      <w:r>
        <w:rPr>
          <w:rStyle w:val="a7"/>
          <w:rFonts w:hAnsi="Arial"/>
          <w:b w:val="0"/>
          <w:bCs w:val="0"/>
          <w:rtl/>
          <w:lang w:eastAsia="en-US"/>
        </w:rPr>
        <w:footnoteReference w:id="2667"/>
      </w:r>
      <w:r>
        <w:rPr>
          <w:rtl/>
        </w:rPr>
        <w:t xml:space="preserve">אַצְמִיחַ קֶרֶן לְדָוִד, וּמַצְמִיחַ קֶרֶן יְשׁוּעָה מִסִּטְרָא דִשְׁכִינְתָּא אִתְקְרֵי קַרְנֵי פָרָה, </w:t>
      </w:r>
      <w:r>
        <w:rPr>
          <w:rStyle w:val="a7"/>
          <w:rFonts w:hAnsi="Arial"/>
          <w:b w:val="0"/>
          <w:bCs w:val="0"/>
          <w:rtl/>
          <w:lang w:eastAsia="en-US"/>
        </w:rPr>
        <w:footnoteReference w:id="2668"/>
      </w:r>
      <w:r>
        <w:rPr>
          <w:rtl/>
        </w:rPr>
        <w:t xml:space="preserve">מִסִּטְרָא דְשׁוֹר </w:t>
      </w:r>
      <w:r>
        <w:rPr>
          <w:sz w:val="20"/>
          <w:szCs w:val="20"/>
          <w:rtl/>
        </w:rPr>
        <w:t>(דברים לג יז)</w:t>
      </w:r>
      <w:r>
        <w:rPr>
          <w:rtl/>
        </w:rPr>
        <w:t xml:space="preserve"> וְקַרְנֵי רְאֵם קַרְנָיו, וְאִינוּן מָשִׁיחַ רִאשׁוֹן וְשֵׁנִי י' ו', בַּיִת רִאשׁוֹן וְשֵׁנִי ה''ה.</w:t>
      </w:r>
    </w:p>
    <w:p w:rsidR="002D629A" w:rsidRDefault="002D629A" w:rsidP="00B17EA9">
      <w:pPr>
        <w:pStyle w:val="NormalWeb"/>
        <w:rPr>
          <w:rtl/>
        </w:rPr>
      </w:pPr>
      <w:r>
        <w:rPr>
          <w:rtl/>
        </w:rPr>
        <w:t xml:space="preserve">וּשְׁכִינְתָּא נַטְלָא פּוּרְפִּירָא מֵאֶשָּׁא סוּמְקָא וְאִצְטַבְּעַת בָּהּ, וְאִתְקְרִיאַת פָרָה אֲדֻמָּה תְּמִימָה </w:t>
      </w:r>
      <w:r>
        <w:rPr>
          <w:sz w:val="20"/>
          <w:szCs w:val="20"/>
          <w:rtl/>
        </w:rPr>
        <w:t>(במדבר יט ב)</w:t>
      </w:r>
      <w:r>
        <w:rPr>
          <w:rtl/>
        </w:rPr>
        <w:t xml:space="preserve">, אֲדוּמָה וַדַּאי מִסִּטְרָא דִגְבוּרָה, </w:t>
      </w:r>
      <w:r>
        <w:rPr>
          <w:rStyle w:val="a7"/>
          <w:rFonts w:hAnsi="Arial"/>
          <w:b w:val="0"/>
          <w:bCs w:val="0"/>
          <w:rtl/>
          <w:lang w:eastAsia="en-US"/>
        </w:rPr>
        <w:footnoteReference w:id="2669"/>
      </w:r>
      <w:r>
        <w:rPr>
          <w:rtl/>
        </w:rPr>
        <w:t xml:space="preserve">תְּמִימָה מִסִּטְרָא דְהַהוּא דְאִתְּמַר בֵּיהּ </w:t>
      </w:r>
      <w:r>
        <w:rPr>
          <w:sz w:val="20"/>
          <w:szCs w:val="20"/>
          <w:rtl/>
        </w:rPr>
        <w:t>(בראשית יז א)</w:t>
      </w:r>
      <w:r>
        <w:rPr>
          <w:rtl/>
        </w:rPr>
        <w:t xml:space="preserve"> הִתְהַלֵּךְ לְפָנַי וְהְיֵה תָמִים, אֲשֶׁר אֵין בָּהּ מוּם מִסִּטְרָא דְיַעֲקֹב דְּלֵית בֵּיהּ פְּסוֹלֶת, </w:t>
      </w:r>
      <w:r>
        <w:rPr>
          <w:rStyle w:val="a7"/>
          <w:rFonts w:hAnsi="Arial"/>
          <w:b w:val="0"/>
          <w:bCs w:val="0"/>
          <w:rtl/>
          <w:lang w:eastAsia="en-US"/>
        </w:rPr>
        <w:footnoteReference w:id="2670"/>
      </w:r>
      <w:r>
        <w:rPr>
          <w:rtl/>
        </w:rPr>
        <w:t xml:space="preserve">דְּאִתְּמַר בֵּיהּ </w:t>
      </w:r>
      <w:r>
        <w:rPr>
          <w:sz w:val="20"/>
          <w:szCs w:val="20"/>
          <w:rtl/>
        </w:rPr>
        <w:t>(שם כה כז)</w:t>
      </w:r>
      <w:r>
        <w:rPr>
          <w:rtl/>
        </w:rPr>
        <w:t xml:space="preserve"> וְיַעֲקֹב אִישׁ תָּם, יַעֲקֹב דִּלְעִילָא, וּבְדִיּוֹקְנֵיהּ יַעֲקֹב דִּלְתַתָּא, אֲשֶׁר לֹא עָלָה עָלֶיהָ עוֹל </w:t>
      </w:r>
      <w:r>
        <w:rPr>
          <w:sz w:val="20"/>
          <w:szCs w:val="20"/>
          <w:rtl/>
        </w:rPr>
        <w:t>(במדבר יט ב)</w:t>
      </w:r>
      <w:r>
        <w:rPr>
          <w:rtl/>
        </w:rPr>
        <w:t xml:space="preserve">, מִשִּׁעְבּוּדָא דְגָלוּתָא, בְּגִין דְּאִיהִי שְׁכִינְתָּא עִלָּאָה אִתְקְרִיאַת, </w:t>
      </w:r>
      <w:r>
        <w:rPr>
          <w:rStyle w:val="a7"/>
          <w:rFonts w:hAnsi="Arial"/>
          <w:b w:val="0"/>
          <w:bCs w:val="0"/>
          <w:rtl/>
          <w:lang w:eastAsia="en-US"/>
        </w:rPr>
        <w:footnoteReference w:id="2671"/>
      </w:r>
      <w:r>
        <w:rPr>
          <w:rtl/>
        </w:rPr>
        <w:t>דְאִיהִי אִתְקְרִיאַת שַׁבָּת, דְּאִיהִי אָסוּר בִּמְלָאכָה, בְּגִין דְּאִתְקְרִיאַת חֵרוּת.</w:t>
      </w:r>
    </w:p>
    <w:p w:rsidR="002D629A" w:rsidRDefault="002D629A" w:rsidP="00B17EA9">
      <w:pPr>
        <w:pStyle w:val="NormalWeb"/>
        <w:rPr>
          <w:rtl/>
        </w:rPr>
      </w:pPr>
      <w:r>
        <w:rPr>
          <w:rStyle w:val="a7"/>
          <w:rFonts w:hAnsi="Arial"/>
          <w:b w:val="0"/>
          <w:bCs w:val="0"/>
          <w:rtl/>
          <w:lang w:eastAsia="en-US"/>
        </w:rPr>
        <w:footnoteReference w:id="2672"/>
      </w:r>
      <w:r>
        <w:rPr>
          <w:rtl/>
        </w:rPr>
        <w:t xml:space="preserve">וּשְׁלֹמֹה בְגִינָהּ אָמַר </w:t>
      </w:r>
      <w:r>
        <w:rPr>
          <w:sz w:val="20"/>
          <w:szCs w:val="20"/>
          <w:rtl/>
        </w:rPr>
        <w:t>(קהלת ז כג)</w:t>
      </w:r>
      <w:r>
        <w:rPr>
          <w:rtl/>
        </w:rPr>
        <w:t xml:space="preserve"> אָמַרְתִּי אֶחְכָּמָה וְהִיא רְחוֹקָה מִמֶּנִּי, בְּגִין פָּרָה אֲדוּמָה דְאִיהִי מְטַהֶרֶת אֶת הַטָּמֵא וּמְטַמְּאָה אֶת הַטָּהוֹר דְּאִתְעַסַּק בָּהּ, </w:t>
      </w:r>
      <w:r>
        <w:rPr>
          <w:rStyle w:val="a7"/>
          <w:rFonts w:hAnsi="Arial"/>
          <w:b w:val="0"/>
          <w:bCs w:val="0"/>
          <w:rtl/>
          <w:lang w:eastAsia="en-US"/>
        </w:rPr>
        <w:footnoteReference w:id="2673"/>
      </w:r>
      <w:r>
        <w:rPr>
          <w:rtl/>
        </w:rPr>
        <w:t xml:space="preserve">וְרָזָא דְמִלָּה מִי יִתֵּן טָהוֹר מִטָּמֵא לֹא אֶחָד </w:t>
      </w:r>
      <w:r>
        <w:rPr>
          <w:sz w:val="20"/>
          <w:szCs w:val="20"/>
          <w:rtl/>
        </w:rPr>
        <w:t>(איוב יד ד)</w:t>
      </w:r>
      <w:r>
        <w:rPr>
          <w:rtl/>
        </w:rPr>
        <w:t xml:space="preserve">, מְטַהֶרֶת אֶת הַטָּמֵא מִסִּטְרָא דִימִינָא, דְּכַהֲנָא מִסִּטְרָא דִימִינָא אִתְקְרֵי אִישׁ טָהוֹר, בְּגִין דִּלְסִטְרָא </w:t>
      </w:r>
      <w:r>
        <w:rPr>
          <w:sz w:val="20"/>
          <w:szCs w:val="20"/>
          <w:rtl/>
        </w:rPr>
        <w:t>(נ''א דסטרא)</w:t>
      </w:r>
      <w:r>
        <w:rPr>
          <w:rtl/>
        </w:rPr>
        <w:t xml:space="preserve"> דִימִינָא אִיהִי מַיָּא דְאוֹרַיְיתָא, אַף עַל גַּב דִּיְהֵא טָמֵא אִתְדַּכִּי בָּהּ, וּמְטַמֶּאֶת אֶת הַטָּהוֹר דָּא גְבוּרָה, דִלְסִטְרָא סמא''ל דְּנָפַל מִקְּדוּשָׁתֵיהּ, וּמַה דַּהֲוָה טָהוֹר סָאִיב לֵיהּ, בְּגִין דְּשַׁלִּיט עַל חֲיָילִין דִּמְסָאֲבוּ, וְכַהֲנָא דְאִיהוּ טָהוֹר כַּד הֲוָה מִשְׁתַּדֵּל לְקָרְבָא לֵיהּ לַעֲזָאזֵל, הֲוָה מְטַהֵר לְיִשְׂרָאֵל מִכָּל חוֹבִין דִּלְהוֹן, כְּמָה דְאַתְּ אָמַר </w:t>
      </w:r>
      <w:r>
        <w:rPr>
          <w:sz w:val="20"/>
          <w:szCs w:val="20"/>
          <w:rtl/>
        </w:rPr>
        <w:t>(ויקרא טז ל)</w:t>
      </w:r>
      <w:r>
        <w:rPr>
          <w:rtl/>
        </w:rPr>
        <w:t xml:space="preserve"> כִי בַּיּוֹם הַזֶּה יְכַפֵּר עֲלֵיכֶם לְטַהֵר אֶתְכֶם וכו', וְאִיהוּ דַהֲוָה טָהוֹר הֲוָה מִתְטַמֵּא בְהַהוּא עֲזָאזֵל, וְהָכִי לְמֵי נִדָּה הֲוָה כַהֲנָא מְטַהֵר לָהּ, וְאִיהוּ הֲוָה מִסְתָּאֵב עַד עִדָּן רַמְשָׁא דַהֲוָה מִתְדַכֵּי.</w:t>
      </w:r>
    </w:p>
    <w:p w:rsidR="002D629A" w:rsidRDefault="002D629A" w:rsidP="00B17EA9">
      <w:pPr>
        <w:pStyle w:val="aa"/>
        <w:rPr>
          <w:rtl/>
        </w:rPr>
      </w:pPr>
      <w:r>
        <w:rPr>
          <w:rtl/>
        </w:rPr>
        <w:t>[תיקוני זוהר - דף מב ע''ב]</w:t>
      </w:r>
    </w:p>
    <w:p w:rsidR="002D629A" w:rsidRDefault="002D629A" w:rsidP="00B17EA9">
      <w:pPr>
        <w:pStyle w:val="NormalWeb"/>
        <w:rPr>
          <w:rtl/>
        </w:rPr>
      </w:pPr>
      <w:r>
        <w:rPr>
          <w:rtl/>
        </w:rPr>
        <w:t xml:space="preserve">וְעוֹד מְטַהֶרֶת אֶת הַטָּמֵא, כַּד נוֹלַד מֹשֶׁה אִתְּמַר בֵּיהּ </w:t>
      </w:r>
      <w:r>
        <w:rPr>
          <w:sz w:val="20"/>
          <w:szCs w:val="20"/>
          <w:rtl/>
        </w:rPr>
        <w:t>(לגבי בת פרעה)</w:t>
      </w:r>
      <w:r>
        <w:rPr>
          <w:rtl/>
        </w:rPr>
        <w:t xml:space="preserve"> </w:t>
      </w:r>
      <w:r>
        <w:rPr>
          <w:sz w:val="20"/>
          <w:szCs w:val="20"/>
          <w:rtl/>
        </w:rPr>
        <w:t>(שמות ב ב)</w:t>
      </w:r>
      <w:r>
        <w:rPr>
          <w:rtl/>
        </w:rPr>
        <w:t xml:space="preserve"> וַתֵּרֶא אוֹתוֹ כִּי טוֹב הוּא, דְחָמַאת עִמֵּיהּ שְׁכִינְתָּה, וּמִיָּד דְּנָגְעָה </w:t>
      </w:r>
      <w:r>
        <w:rPr>
          <w:sz w:val="20"/>
          <w:szCs w:val="20"/>
          <w:rtl/>
        </w:rPr>
        <w:t>(איהי)</w:t>
      </w:r>
      <w:r>
        <w:rPr>
          <w:rtl/>
        </w:rPr>
        <w:t xml:space="preserve"> בֵּיהּ בַּת פַּרְעֹה אִתְדַּכִּיאַת וְאִתְּסִיאַת מִצָּרַעְתָּא דִילָהּ, וּמֹשֶׁה אִתְדַּבְּקַת בֵּיהּ צָרַעַת, כְּמָה דְאַתְּ אָמַר </w:t>
      </w:r>
      <w:r>
        <w:rPr>
          <w:sz w:val="20"/>
          <w:szCs w:val="20"/>
          <w:rtl/>
        </w:rPr>
        <w:t>(שם ד ו)</w:t>
      </w:r>
      <w:r>
        <w:rPr>
          <w:rtl/>
        </w:rPr>
        <w:t xml:space="preserve"> וְהִנֵּה יָדוֹ מְצוֹרַעַת כַּשָּׁלֶג, דִּבְהַהוּא זִמְנָא דְנָגְעָה בֵיהּ בַּת פַּרְעֹה, פָרְחַת שְׁכִינְתָּא מִנֵּיהּ, וּבְגִין דָּא כַד בָּעָא </w:t>
      </w:r>
      <w:r>
        <w:rPr>
          <w:sz w:val="20"/>
          <w:szCs w:val="20"/>
          <w:rtl/>
        </w:rPr>
        <w:t xml:space="preserve">(דף מב ע"ב) </w:t>
      </w:r>
      <w:r>
        <w:rPr>
          <w:rtl/>
        </w:rPr>
        <w:t xml:space="preserve">לְאִתְקָרְבָא לְגַבָּהּ בַּסְּנֶה, אָמְרָה לֵיהּ אַל תִּקְרַב הֲלוֹם שַׁל נְעָלֶיךָ מֵעַל רַגְלֶיךָ </w:t>
      </w:r>
      <w:r>
        <w:rPr>
          <w:sz w:val="20"/>
          <w:szCs w:val="20"/>
          <w:rtl/>
        </w:rPr>
        <w:t>(שם ג ה)</w:t>
      </w:r>
      <w:r>
        <w:rPr>
          <w:rtl/>
        </w:rPr>
        <w:t xml:space="preserve"> עַד דְּיִתְפַּשַּׁט מֵהַהוּא גוּפָא דְנָגְעַת בֵּיהּ בַּת פַּרְעֹה. </w:t>
      </w:r>
      <w:r>
        <w:rPr>
          <w:rStyle w:val="a7"/>
          <w:rFonts w:hAnsi="Arial"/>
          <w:b w:val="0"/>
          <w:bCs w:val="0"/>
          <w:rtl/>
          <w:lang w:eastAsia="en-US"/>
        </w:rPr>
        <w:footnoteReference w:id="2674"/>
      </w:r>
      <w:r>
        <w:rPr>
          <w:rtl/>
        </w:rPr>
        <w:t xml:space="preserve">תַּמָּן אַחֲזֵי לֵיהּ, דְּגוּפָא דְבַר נַשׁ בְּהַאי עָלְמָא, אִיהוּ צָרַעַת מִמַּשְׁכָא דְחִוְיָא, </w:t>
      </w:r>
      <w:r>
        <w:rPr>
          <w:rStyle w:val="a7"/>
          <w:rFonts w:hAnsi="Arial"/>
          <w:b w:val="0"/>
          <w:bCs w:val="0"/>
          <w:rtl/>
          <w:lang w:eastAsia="en-US"/>
        </w:rPr>
        <w:footnoteReference w:id="2675"/>
      </w:r>
      <w:r>
        <w:rPr>
          <w:rtl/>
        </w:rPr>
        <w:t xml:space="preserve">לְבָתַר דְּאִתְפַּשַּׁט מִנֵּיהּ, וְהָדַר לְגִנְּתָא דְעִדֶן, אִתְלַבַּשׁ בְּגוּפָא קַדִּישָׁא דִילֵיהּ, וְדָא אִיהוּ וְהִנֵּה שָׁבָה כִּבְשָׂרוֹ </w:t>
      </w:r>
      <w:r>
        <w:rPr>
          <w:sz w:val="20"/>
          <w:szCs w:val="20"/>
          <w:rtl/>
        </w:rPr>
        <w:t>(שם ד ה)</w:t>
      </w:r>
      <w:r>
        <w:rPr>
          <w:rtl/>
        </w:rPr>
        <w:t xml:space="preserve">. וְהָכִי אִתְלַבַּשׁ מֹשֶׁה בָּהּ, וְדָא אִיהוּ וְהִנֵּה שָׁבָה כִּבְשָׂרוֹ, כְּקַדְמֵיתָא דְאִתְּמַר בֵּיהּ </w:t>
      </w:r>
      <w:r>
        <w:rPr>
          <w:sz w:val="20"/>
          <w:szCs w:val="20"/>
          <w:rtl/>
        </w:rPr>
        <w:t>(בראשית ב כג)</w:t>
      </w:r>
      <w:r>
        <w:rPr>
          <w:rtl/>
        </w:rPr>
        <w:t xml:space="preserve"> עֶצֶם מֵעֲצָמַי וּבָשָׂר מִבְּשָׂרִי, </w:t>
      </w:r>
      <w:r>
        <w:rPr>
          <w:rStyle w:val="a7"/>
          <w:rFonts w:hAnsi="Arial"/>
          <w:b w:val="0"/>
          <w:bCs w:val="0"/>
          <w:rtl/>
          <w:lang w:eastAsia="en-US"/>
        </w:rPr>
        <w:footnoteReference w:id="2676"/>
      </w:r>
      <w:r>
        <w:rPr>
          <w:rtl/>
        </w:rPr>
        <w:t xml:space="preserve">וּבְגִין דָּא אָמַר לֵיהּ שַׁל נְעָלֶיךָ מֵעַל רַגְלֶיךָ </w:t>
      </w:r>
      <w:r>
        <w:rPr>
          <w:sz w:val="20"/>
          <w:szCs w:val="20"/>
          <w:rtl/>
        </w:rPr>
        <w:t>(שמות ג ה)</w:t>
      </w:r>
      <w:r>
        <w:rPr>
          <w:rtl/>
        </w:rPr>
        <w:t>, דָּא גוּפָא דַהֲוָה לֵיהּ כְּנַעַל, הַהוּא דְנָגְעָה בֵיהּ בַּת פַּרְעֹה, וְאִתְלַבַּשׁ בְּאָחֳרָא, וּבְהַהוּא זִמְנָא אַהֲדַרַת עֲלֵיהּ שְׁכִינְתָּא.</w:t>
      </w:r>
    </w:p>
    <w:p w:rsidR="002D629A" w:rsidRDefault="002D629A" w:rsidP="00B17EA9">
      <w:pPr>
        <w:pStyle w:val="NormalWeb"/>
        <w:rPr>
          <w:rtl/>
        </w:rPr>
      </w:pPr>
      <w:r>
        <w:rPr>
          <w:rtl/>
        </w:rPr>
        <w:t xml:space="preserve">וּבְגִין דָּא אִתְחֲזֵי </w:t>
      </w:r>
      <w:r>
        <w:rPr>
          <w:sz w:val="20"/>
          <w:szCs w:val="20"/>
          <w:rtl/>
        </w:rPr>
        <w:t>(נ''א אחזי)</w:t>
      </w:r>
      <w:r>
        <w:rPr>
          <w:rtl/>
        </w:rPr>
        <w:t xml:space="preserve"> לֵיהּ בְּאָתִין דְּעָבַד בְּאָת קַדְמָאָה, וְאָמַר לֵיהּ הָבֵא נָא יָדְךָ בְּחֵיקֶךָ וכו' </w:t>
      </w:r>
      <w:r>
        <w:rPr>
          <w:sz w:val="20"/>
          <w:szCs w:val="20"/>
          <w:rtl/>
        </w:rPr>
        <w:t>(שם ד ו)</w:t>
      </w:r>
      <w:r>
        <w:rPr>
          <w:rtl/>
        </w:rPr>
        <w:t xml:space="preserve">, וְאַמַּאי בְּחֵיקֶךָ, הָכָא רָמִיז מִשּׁוֹכֶבֶת חֵיקֶךָ שְׁמוֹר פִּתְחֵי פִיךָ </w:t>
      </w:r>
      <w:r>
        <w:rPr>
          <w:sz w:val="20"/>
          <w:szCs w:val="20"/>
          <w:rtl/>
        </w:rPr>
        <w:t>(מיכה ז ו)</w:t>
      </w:r>
      <w:r>
        <w:rPr>
          <w:rtl/>
        </w:rPr>
        <w:t xml:space="preserve">, </w:t>
      </w:r>
      <w:r>
        <w:rPr>
          <w:rStyle w:val="Char"/>
          <w:rtl/>
          <w:lang w:eastAsia="en-US"/>
        </w:rPr>
        <w:t>וְהִנֵּה מְצוֹרַעַת כַּשָּׁלֶג</w:t>
      </w:r>
      <w:r>
        <w:rPr>
          <w:rtl/>
        </w:rPr>
        <w:t xml:space="preserve"> </w:t>
      </w:r>
      <w:r>
        <w:rPr>
          <w:sz w:val="20"/>
          <w:szCs w:val="20"/>
          <w:rtl/>
        </w:rPr>
        <w:t>(שמות ד ו)</w:t>
      </w:r>
      <w:r>
        <w:rPr>
          <w:rtl/>
        </w:rPr>
        <w:t xml:space="preserve">, וּלְבָתַר אַחֲזֵי לֵיהּ דְּאִתְדַּכְיָא בְאוֹרַיְיתָא, הֲדָא הוּא דִכְתִיב בָּהּ </w:t>
      </w:r>
      <w:r>
        <w:rPr>
          <w:sz w:val="20"/>
          <w:szCs w:val="20"/>
          <w:rtl/>
        </w:rPr>
        <w:t>(שם)</w:t>
      </w:r>
      <w:r>
        <w:rPr>
          <w:rtl/>
        </w:rPr>
        <w:t xml:space="preserve"> וְהִנֵּה שָׁבָה כִּבְשָׂרוֹ.</w:t>
      </w:r>
    </w:p>
    <w:p w:rsidR="002D629A" w:rsidRDefault="002D629A" w:rsidP="00B17EA9">
      <w:pPr>
        <w:pStyle w:val="NormalWeb"/>
        <w:rPr>
          <w:sz w:val="20"/>
          <w:szCs w:val="20"/>
          <w:rtl/>
        </w:rPr>
      </w:pPr>
      <w:r>
        <w:rPr>
          <w:rStyle w:val="a7"/>
          <w:rFonts w:hAnsi="Arial"/>
          <w:b w:val="0"/>
          <w:bCs w:val="0"/>
          <w:rtl/>
          <w:lang w:eastAsia="en-US"/>
        </w:rPr>
        <w:footnoteReference w:id="2677"/>
      </w:r>
      <w:r>
        <w:rPr>
          <w:rtl/>
        </w:rPr>
        <w:t xml:space="preserve">וְעוֹד שְׁכִינְתָּא תַּתָּאָה אִיהִי עֶגְלָה עֲרוּפָה, וּמִסִּטְרָא דְפָרָה שׁוֹר, וְדָא אִיהוּ וּפְנֵי שׁוֹר מֵהַשְּׂמֹאל </w:t>
      </w:r>
      <w:r>
        <w:rPr>
          <w:sz w:val="20"/>
          <w:szCs w:val="20"/>
          <w:rtl/>
        </w:rPr>
        <w:t>(יחזקאל א י)</w:t>
      </w:r>
      <w:r>
        <w:rPr>
          <w:rtl/>
        </w:rPr>
        <w:t xml:space="preserve">, וּמִסִּטְרָא דְעֶגְלָה, עִגֶל בֶּן בָּקָר לְחַטָּאת </w:t>
      </w:r>
      <w:r>
        <w:rPr>
          <w:sz w:val="20"/>
          <w:szCs w:val="20"/>
          <w:rtl/>
        </w:rPr>
        <w:t>(ויקרא ט ב)</w:t>
      </w:r>
      <w:r>
        <w:rPr>
          <w:rtl/>
        </w:rPr>
        <w:t xml:space="preserve">, וּפָרָה וַדַּאי אִתְקְרִיאַת שְׁכִינְתָּא עִלָּאָה כַּד נָטְלַת מִן גְּבוּרָה, וּשְׁכִינְתָּא תַּתָּאָה עֶגְלָה כַּד נְטִילַת מִנֵּיהּ. </w:t>
      </w:r>
      <w:r>
        <w:rPr>
          <w:sz w:val="20"/>
          <w:szCs w:val="20"/>
          <w:rtl/>
        </w:rPr>
        <w:t>(כאן היתה גירסה מהופכת, והגהתי ע"פ ביאור הגר"א)</w:t>
      </w:r>
    </w:p>
    <w:p w:rsidR="002D629A" w:rsidRDefault="002D629A" w:rsidP="00B17EA9">
      <w:pPr>
        <w:pStyle w:val="NormalWeb"/>
        <w:rPr>
          <w:rtl/>
        </w:rPr>
      </w:pPr>
      <w:r>
        <w:rPr>
          <w:rStyle w:val="a7"/>
          <w:rFonts w:hAnsi="Arial"/>
          <w:b w:val="0"/>
          <w:bCs w:val="0"/>
          <w:rtl/>
          <w:lang w:eastAsia="en-US"/>
        </w:rPr>
        <w:footnoteReference w:id="2678"/>
      </w:r>
      <w:r>
        <w:rPr>
          <w:rtl/>
        </w:rPr>
        <w:t xml:space="preserve">וְעוֹד קַרְנֵי פָרָה אִלֵּין תַּלְמִידֵי חֲכָמִים דְּמִתְוַוכְּחִין דָּא עִם דָּא בְאוֹרַיְיתָא, וּמִתְנַגְּחִין כַּשְּׁוָורִים דָּא עִם דָּא, בְּגִין דְּאוֹרַיְיתָא אִיהִי מִסִּטְרָא דִגְבוּרָה </w:t>
      </w:r>
      <w:r>
        <w:rPr>
          <w:rStyle w:val="a7"/>
          <w:rFonts w:hAnsi="Arial"/>
          <w:b w:val="0"/>
          <w:bCs w:val="0"/>
          <w:rtl/>
          <w:lang w:eastAsia="en-US"/>
        </w:rPr>
        <w:footnoteReference w:id="2679"/>
      </w:r>
      <w:r>
        <w:rPr>
          <w:rtl/>
        </w:rPr>
        <w:t xml:space="preserve">דְאִתְקְרֵי אלהי''ם, וּבֵיהּ פָּתְחַת אוֹרַיְיתָא בְּרֵאשִׁית בָּרָא אלהי''ם, בְּגִין דָּא תַּלְמִידֵי חֲכָמִים אִינוּן מִתְנַגְּחִין בְּאוֹרַיְיתָא </w:t>
      </w:r>
      <w:r>
        <w:rPr>
          <w:rStyle w:val="a7"/>
          <w:rFonts w:hAnsi="Arial"/>
          <w:b w:val="0"/>
          <w:bCs w:val="0"/>
          <w:rtl/>
          <w:lang w:eastAsia="en-US"/>
        </w:rPr>
        <w:footnoteReference w:id="2680"/>
      </w:r>
      <w:r>
        <w:rPr>
          <w:rtl/>
        </w:rPr>
        <w:t>כַּשְּׁוָורִים דָּא עִם דָּא.</w:t>
      </w:r>
    </w:p>
    <w:p w:rsidR="002D629A" w:rsidRDefault="002D629A" w:rsidP="00B17EA9">
      <w:pPr>
        <w:pStyle w:val="NormalWeb"/>
        <w:rPr>
          <w:rtl/>
        </w:rPr>
      </w:pPr>
      <w:r>
        <w:rPr>
          <w:rtl/>
        </w:rPr>
        <w:t xml:space="preserve">וְעוֹד קַרְנֵי פָרָה נֶצַח וָהוֹד, בָּהֶם עַמִּים יְנַגַּח יַחְדָּיו </w:t>
      </w:r>
      <w:r>
        <w:rPr>
          <w:sz w:val="20"/>
          <w:szCs w:val="20"/>
          <w:rtl/>
        </w:rPr>
        <w:t>(דברים לג יז)</w:t>
      </w:r>
      <w:r>
        <w:rPr>
          <w:rtl/>
        </w:rPr>
        <w:t>, קַרְנֵי רְאֵם חֶסֶד גְּבוּרָה, דְיַעֲבִיד בְּהוֹן קְרָבָא בַעֲמָלֵק, וְיִמְחֵי לֵיהּ וּלְזַרְעִיהּ מִן עָלְמָא.</w:t>
      </w:r>
    </w:p>
    <w:p w:rsidR="002D629A" w:rsidRDefault="002D629A" w:rsidP="00B17EA9">
      <w:pPr>
        <w:pStyle w:val="NormalWeb"/>
        <w:rPr>
          <w:rtl/>
        </w:rPr>
      </w:pPr>
      <w:r>
        <w:rPr>
          <w:rStyle w:val="a7"/>
          <w:rFonts w:hAnsi="Arial"/>
          <w:b w:val="0"/>
          <w:bCs w:val="0"/>
          <w:rtl/>
          <w:lang w:eastAsia="en-US"/>
        </w:rPr>
        <w:footnoteReference w:id="2681"/>
      </w:r>
      <w:r>
        <w:rPr>
          <w:rtl/>
        </w:rPr>
        <w:t xml:space="preserve">וּבְגִין דָּא יהו''ה כַּגִּבּוֹר יֵצֵא </w:t>
      </w:r>
      <w:r>
        <w:rPr>
          <w:sz w:val="20"/>
          <w:szCs w:val="20"/>
          <w:rtl/>
        </w:rPr>
        <w:t>(ישעיה מב יג)</w:t>
      </w:r>
      <w:r>
        <w:rPr>
          <w:rtl/>
        </w:rPr>
        <w:t xml:space="preserve"> מִסִּטְרָא דִגְבוּרָה, יָרִיעַ בִּתְרוּעָה, יַצְרִיחַ בַּשְּׁבָרִים, עַל אוֹיְבָיו יִתְגַּבָּר בִּתְקִיעָה בְּהַהוּא זִמְנָא כָל סְפִירָן נָטְלִין מִגְּבוּרָה, וּשְׁמָא דְיו''ד ה''א וא''ו ה''א, וַאֲפִילוּ מַלְאָכִים דִּלְעִילָא, וְיִשְׂרָאֵל דִּלְתַתָּא.</w:t>
      </w:r>
    </w:p>
    <w:p w:rsidR="002D629A" w:rsidRDefault="002D629A" w:rsidP="00B17EA9">
      <w:pPr>
        <w:pStyle w:val="NormalWeb"/>
        <w:rPr>
          <w:rtl/>
        </w:rPr>
      </w:pPr>
      <w:r>
        <w:rPr>
          <w:rtl/>
        </w:rPr>
        <w:t xml:space="preserve">וּלְבָתַר דְּנָטִיל נוּקְמָא מִנַּיְיהוּ, יִתְמַלֵּא רַחֲמִין עַל יִשְׂרָאֵל, </w:t>
      </w:r>
      <w:r>
        <w:rPr>
          <w:rStyle w:val="a7"/>
          <w:rFonts w:hAnsi="Arial"/>
          <w:b w:val="0"/>
          <w:bCs w:val="0"/>
          <w:rtl/>
          <w:lang w:eastAsia="en-US"/>
        </w:rPr>
        <w:footnoteReference w:id="2682"/>
      </w:r>
      <w:r>
        <w:rPr>
          <w:rtl/>
        </w:rPr>
        <w:t xml:space="preserve">וְקֳדָם דִּיְהֵא נָטִיל נוּקְמָא מֵעֲמָלֵק, לָא יְתִיב בְּכָרְסַיָּא, וּבְהַהוּא זִמְנָא דְנָטִיל נוּקְמָא מִבְּנֵי עִשָׂו, יֵיתֵי לְפַיְיסָא לְאַיָּלָתָא, </w:t>
      </w:r>
      <w:r>
        <w:rPr>
          <w:rStyle w:val="a7"/>
          <w:rFonts w:hAnsi="Arial"/>
          <w:b w:val="0"/>
          <w:bCs w:val="0"/>
          <w:rtl/>
          <w:lang w:eastAsia="en-US"/>
        </w:rPr>
        <w:footnoteReference w:id="2683"/>
      </w:r>
      <w:r>
        <w:rPr>
          <w:rtl/>
        </w:rPr>
        <w:t xml:space="preserve">וְאִיהִי גַעְיָ''א וּבוֹכָה, הֲדָא הוּא דִכְתִיב </w:t>
      </w:r>
      <w:r>
        <w:rPr>
          <w:sz w:val="20"/>
          <w:szCs w:val="20"/>
          <w:rtl/>
        </w:rPr>
        <w:t>(ירמיה לא יד)</w:t>
      </w:r>
      <w:r>
        <w:rPr>
          <w:rtl/>
        </w:rPr>
        <w:t xml:space="preserve"> רָחֵל מְבַכָּה עַל בָּנֶיהָ, עַד דְּאוֹמֵי לָהּ קוּדְשָׁא בְּרִיךְ הוּא לְאַעֲבָרָא לוֹן מֵעָלְמָא, וְיִקְטוֹל בְּהוֹן, עַד דְּיִצְטַבַּע יַמָּא מִן דִּמְהוֹן, וְיִקְטוֹל בְּהוֹן עַד דְּיִתְפַּרְנְסוּן מִנְּהוֹן חֵיוָון בָּרָא </w:t>
      </w:r>
      <w:r>
        <w:rPr>
          <w:rStyle w:val="a7"/>
          <w:rFonts w:hAnsi="Arial"/>
          <w:b w:val="0"/>
          <w:bCs w:val="0"/>
          <w:rtl/>
          <w:lang w:eastAsia="en-US"/>
        </w:rPr>
        <w:footnoteReference w:id="2684"/>
      </w:r>
      <w:r>
        <w:rPr>
          <w:rtl/>
        </w:rPr>
        <w:t>תְּרֵי עֲשַׂר חֳדָשִׁים, וְעוֹפִין דִּשְׁמַיָּא שֶׁבַע שְׁנִין.</w:t>
      </w:r>
    </w:p>
    <w:p w:rsidR="002D629A" w:rsidRDefault="002D629A" w:rsidP="00B17EA9">
      <w:pPr>
        <w:pStyle w:val="NormalWeb"/>
        <w:rPr>
          <w:rtl/>
        </w:rPr>
      </w:pPr>
      <w:r>
        <w:rPr>
          <w:rStyle w:val="a7"/>
          <w:rFonts w:hAnsi="Arial"/>
          <w:b w:val="0"/>
          <w:bCs w:val="0"/>
          <w:rtl/>
          <w:lang w:eastAsia="en-US"/>
        </w:rPr>
        <w:footnoteReference w:id="2685"/>
      </w:r>
      <w:r>
        <w:rPr>
          <w:rtl/>
        </w:rPr>
        <w:t xml:space="preserve">וְעוֹד גַּעְיָ''א, תַּלְשָׁ''א, אַזְלָ''א גְרִי''שׁ, </w:t>
      </w:r>
      <w:r>
        <w:rPr>
          <w:rStyle w:val="a7"/>
          <w:rFonts w:hAnsi="Arial"/>
          <w:b w:val="0"/>
          <w:bCs w:val="0"/>
          <w:rtl/>
          <w:lang w:eastAsia="en-US"/>
        </w:rPr>
        <w:footnoteReference w:id="2686"/>
      </w:r>
      <w:r>
        <w:rPr>
          <w:rtl/>
        </w:rPr>
        <w:t xml:space="preserve">גַּעְיָ''א בִתְרוּעָה וְיָהִיב בְּהוֹן חֶנֶק, הֲדָא הוּא דִכְתִיב </w:t>
      </w:r>
      <w:r>
        <w:rPr>
          <w:sz w:val="20"/>
          <w:szCs w:val="20"/>
          <w:rtl/>
        </w:rPr>
        <w:t>(ישעיה לד יא)</w:t>
      </w:r>
      <w:r>
        <w:rPr>
          <w:rtl/>
        </w:rPr>
        <w:t xml:space="preserve"> וְנָטָה עָלֶיהָ קַו תֹהוּ וְאַבְנֵי בֹהוּ, תַּלְשָׁ''א בַּשְּׁבָרִים </w:t>
      </w:r>
      <w:r>
        <w:rPr>
          <w:rStyle w:val="a7"/>
          <w:rFonts w:hAnsi="Arial"/>
          <w:b w:val="0"/>
          <w:bCs w:val="0"/>
          <w:rtl/>
          <w:lang w:eastAsia="en-US"/>
        </w:rPr>
        <w:footnoteReference w:id="2687"/>
      </w:r>
      <w:r>
        <w:rPr>
          <w:rtl/>
        </w:rPr>
        <w:t xml:space="preserve">תֵּ''ל אֵ''שׁ כְּגַוְונָא דָא, תֵּ''ל דָּא סְקִילָה, אֵ''שׁ דָּא שְׂרֵיפָה, אַזְלָ''א גְרִי''שׁ </w:t>
      </w:r>
      <w:r>
        <w:rPr>
          <w:rStyle w:val="a7"/>
          <w:rFonts w:hAnsi="Arial"/>
          <w:b w:val="0"/>
          <w:bCs w:val="0"/>
          <w:rtl/>
          <w:lang w:eastAsia="en-US"/>
        </w:rPr>
        <w:footnoteReference w:id="2688"/>
      </w:r>
      <w:r>
        <w:rPr>
          <w:rtl/>
        </w:rPr>
        <w:t>בִּתְקִיעָה, דְאִיהוּ כְּרוּמְחָא לְקַטְלָא לוֹן בַּהֶרֶג.</w:t>
      </w:r>
      <w:r>
        <w:rPr>
          <w:sz w:val="20"/>
          <w:szCs w:val="20"/>
          <w:rtl/>
        </w:rPr>
        <w:t xml:space="preserve"> (הפיסקה שלשלת וכו' עברה לקמן מג ע"א)</w:t>
      </w:r>
    </w:p>
    <w:p w:rsidR="002D629A" w:rsidRDefault="002D629A" w:rsidP="00B17EA9">
      <w:pPr>
        <w:pStyle w:val="NormalWeb"/>
        <w:rPr>
          <w:rtl/>
        </w:rPr>
      </w:pPr>
      <w:r>
        <w:rPr>
          <w:rStyle w:val="a7"/>
          <w:rFonts w:hAnsi="Arial"/>
          <w:b w:val="0"/>
          <w:bCs w:val="0"/>
          <w:rtl/>
          <w:lang w:eastAsia="en-US"/>
        </w:rPr>
        <w:footnoteReference w:id="2689"/>
      </w:r>
      <w:r>
        <w:rPr>
          <w:rtl/>
        </w:rPr>
        <w:t xml:space="preserve">שׁוֹפָ''ר הוֹלֵ''ךְ, פָּסֵ''ק, מַקַּ''ף, קָלָא דְשׁוֹפָרָא סָלְקָא בִתְרוּעָה, לְעוֹרֵר עֲלַיְיהוּ קוֹל תְּרוּעַת מִלְחָמָה, וְדָא שׁוֹפָ''ר הוֹלֵ''ךְ, </w:t>
      </w:r>
      <w:r>
        <w:rPr>
          <w:rStyle w:val="a7"/>
          <w:rFonts w:hAnsi="Arial"/>
          <w:b w:val="0"/>
          <w:bCs w:val="0"/>
          <w:rtl/>
          <w:lang w:eastAsia="en-US"/>
        </w:rPr>
        <w:footnoteReference w:id="2690"/>
      </w:r>
      <w:r>
        <w:rPr>
          <w:rtl/>
        </w:rPr>
        <w:t xml:space="preserve">פָּסֵק דָּא שְׁבָרִים דְּעָבִיד לוֹן פְּסָקוֹת וְקָטְרִין </w:t>
      </w:r>
      <w:r>
        <w:rPr>
          <w:sz w:val="20"/>
          <w:szCs w:val="20"/>
          <w:rtl/>
        </w:rPr>
        <w:t>(נ''א וקרטין או וקרעין)</w:t>
      </w:r>
      <w:r>
        <w:rPr>
          <w:rtl/>
        </w:rPr>
        <w:t xml:space="preserve">, </w:t>
      </w:r>
      <w:r>
        <w:rPr>
          <w:rStyle w:val="a7"/>
          <w:rFonts w:hAnsi="Arial"/>
          <w:b w:val="0"/>
          <w:bCs w:val="0"/>
          <w:rtl/>
          <w:lang w:eastAsia="en-US"/>
        </w:rPr>
        <w:footnoteReference w:id="2691"/>
      </w:r>
      <w:r>
        <w:rPr>
          <w:rtl/>
        </w:rPr>
        <w:t xml:space="preserve">וְדָא מַכַּת חֶרֶב וְהֶרֶג וְאָבְדָן, </w:t>
      </w:r>
      <w:r>
        <w:rPr>
          <w:rStyle w:val="a7"/>
          <w:rFonts w:hAnsi="Arial"/>
          <w:b w:val="0"/>
          <w:bCs w:val="0"/>
          <w:rtl/>
          <w:lang w:eastAsia="en-US"/>
        </w:rPr>
        <w:footnoteReference w:id="2692"/>
      </w:r>
      <w:r>
        <w:rPr>
          <w:rtl/>
        </w:rPr>
        <w:t xml:space="preserve">מַקַּף תְּרוּעָה דָּא חֶנֶק, וְדָא אִיהוּ הוֹלֵךְ וְחָזֵק מְאֹד </w:t>
      </w:r>
      <w:r>
        <w:rPr>
          <w:sz w:val="20"/>
          <w:szCs w:val="20"/>
          <w:rtl/>
        </w:rPr>
        <w:t>(שמות יט ט)</w:t>
      </w:r>
      <w:r>
        <w:rPr>
          <w:rtl/>
        </w:rPr>
        <w:t xml:space="preserve">, מְאֹד דָּא מָוְת </w:t>
      </w:r>
      <w:r>
        <w:rPr>
          <w:rStyle w:val="a7"/>
          <w:rFonts w:hAnsi="Arial"/>
          <w:b w:val="0"/>
          <w:bCs w:val="0"/>
          <w:rtl/>
          <w:lang w:eastAsia="en-US"/>
        </w:rPr>
        <w:footnoteReference w:id="2693"/>
      </w:r>
      <w:r>
        <w:rPr>
          <w:rtl/>
        </w:rPr>
        <w:t>דְּאִתְתַּקַּף עֲלַיְיהוּ, כְּגַוְונָא דְמַתַּן תּוֹרָה.</w:t>
      </w:r>
    </w:p>
    <w:p w:rsidR="002D629A" w:rsidRDefault="002D629A" w:rsidP="00B17EA9">
      <w:pPr>
        <w:pStyle w:val="aa"/>
        <w:rPr>
          <w:rtl/>
        </w:rPr>
      </w:pPr>
      <w:bookmarkStart w:id="207" w:name="_Toc228095654"/>
      <w:bookmarkStart w:id="208" w:name="_Toc231638092"/>
      <w:r>
        <w:rPr>
          <w:rtl/>
        </w:rPr>
        <w:t>[תיקוני זוהר - דף מג ע''א]</w:t>
      </w:r>
      <w:bookmarkEnd w:id="207"/>
      <w:bookmarkEnd w:id="208"/>
    </w:p>
    <w:p w:rsidR="002D629A" w:rsidRDefault="002D629A" w:rsidP="007758CC">
      <w:pPr>
        <w:pStyle w:val="NormalWeb"/>
        <w:rPr>
          <w:rtl/>
        </w:rPr>
      </w:pPr>
      <w:r>
        <w:rPr>
          <w:rStyle w:val="a7"/>
          <w:rFonts w:hAnsi="Arial"/>
          <w:b w:val="0"/>
          <w:bCs w:val="0"/>
          <w:rtl/>
          <w:lang w:eastAsia="en-US"/>
        </w:rPr>
        <w:footnoteReference w:id="2694"/>
      </w:r>
      <w:r>
        <w:rPr>
          <w:rtl/>
        </w:rPr>
        <w:t xml:space="preserve">וְעוֹד אַזְלָ''א גְרִי''שׁ, שְׁכִינְתָּא אָמְרַת לְקוּדְשָׁא בְּרִיךְ הוּא, גָּרֵשׁ הָאָמָה הַזֹּאת וְאֶת בְּנָהּ </w:t>
      </w:r>
      <w:r>
        <w:rPr>
          <w:sz w:val="20"/>
          <w:szCs w:val="20"/>
          <w:rtl/>
        </w:rPr>
        <w:t>(בראשית כא י)</w:t>
      </w:r>
      <w:r>
        <w:rPr>
          <w:rtl/>
        </w:rPr>
        <w:t xml:space="preserve"> </w:t>
      </w:r>
      <w:r w:rsidRPr="007758CC">
        <w:rPr>
          <w:rtl/>
        </w:rPr>
        <w:t>אִלֵּין עִרֶב רַב,</w:t>
      </w:r>
      <w:r>
        <w:rPr>
          <w:rtl/>
        </w:rPr>
        <w:t xml:space="preserve"> </w:t>
      </w:r>
      <w:r>
        <w:rPr>
          <w:sz w:val="20"/>
          <w:szCs w:val="20"/>
          <w:rtl/>
        </w:rPr>
        <w:t>(ש''א כו יט)</w:t>
      </w:r>
      <w:r>
        <w:rPr>
          <w:rtl/>
        </w:rPr>
        <w:t xml:space="preserve"> דְּגֵרְשׁוּנִי מֵהִסְתַּפֵּחַ בְּנַחֲלַת יהו''ה, גַּרֵישׁ לוֹן מִן עָלְמָא דֵין וּמֵעָלְמָא דְאָתֵי, דְלָא יְהֵא לוֹן חוּלָקָא עִם יִשְׂרָאֵל, שׁוֹפָ''ר הוֹלֵ''ךְ רָבִי''עַ, שְׁנֵ''י גְרִישִׁי''ן, שַׁלְשֶׁלֶ''ת, בְּהַהוּא זִמְנָא נָטִיל קוּדְשָׁא בְּרִיךְ הוּא רוֹמַ''ח, דְּאִיהִי רְמַ''ח תֵּיבִין דְּאִית בִּקְרִיאַת שְׁמַע </w:t>
      </w:r>
      <w:r>
        <w:rPr>
          <w:rStyle w:val="a7"/>
          <w:rFonts w:hAnsi="Arial"/>
          <w:b w:val="0"/>
          <w:bCs w:val="0"/>
          <w:rtl/>
          <w:lang w:eastAsia="en-US"/>
        </w:rPr>
        <w:footnoteReference w:id="2695"/>
      </w:r>
      <w:r>
        <w:rPr>
          <w:rtl/>
        </w:rPr>
        <w:t xml:space="preserve">וְשִׁית תֵּיבִין דְּיִחוּדָא, וּבָהּ </w:t>
      </w:r>
      <w:r>
        <w:rPr>
          <w:sz w:val="20"/>
          <w:szCs w:val="20"/>
          <w:rtl/>
        </w:rPr>
        <w:t>(במדבר כה ח)</w:t>
      </w:r>
      <w:r>
        <w:rPr>
          <w:rtl/>
        </w:rPr>
        <w:t xml:space="preserve"> וַיִּדְקֹר אֶת שְׁנֵיהֶם, דְּכַר וְנוּקְבָא, דָא סמא''ל וְנָחָשׁ, </w:t>
      </w:r>
      <w:r>
        <w:rPr>
          <w:sz w:val="20"/>
          <w:szCs w:val="20"/>
          <w:rtl/>
        </w:rPr>
        <w:t>(דף מג ע''א)</w:t>
      </w:r>
      <w:r>
        <w:rPr>
          <w:rtl/>
        </w:rPr>
        <w:t xml:space="preserve"> וְרָבִי''עַ דִּיּוֹקְנֵיה דוּמְיָא דְרוֹמַ''ח. </w:t>
      </w:r>
      <w:r>
        <w:rPr>
          <w:rStyle w:val="a7"/>
          <w:rFonts w:hAnsi="Arial"/>
          <w:b w:val="0"/>
          <w:bCs w:val="0"/>
          <w:rtl/>
          <w:lang w:eastAsia="en-US"/>
        </w:rPr>
        <w:footnoteReference w:id="2696"/>
      </w:r>
      <w:r>
        <w:rPr>
          <w:rtl/>
        </w:rPr>
        <w:t>שְׁנֵ''י גְרִישִׁי''ן, תָּרֵיךְ לוֹן קוּדְשָׁא בְּרִיךְ הוּא מִן שְׁמַיָּא וְאַרְעָא.</w:t>
      </w:r>
    </w:p>
    <w:p w:rsidR="002D629A" w:rsidRDefault="002D629A" w:rsidP="00B17EA9">
      <w:pPr>
        <w:pStyle w:val="NormalWeb"/>
        <w:rPr>
          <w:rtl/>
        </w:rPr>
      </w:pPr>
      <w:r>
        <w:rPr>
          <w:sz w:val="20"/>
          <w:szCs w:val="20"/>
          <w:rtl/>
        </w:rPr>
        <w:t>(פיסקה זו היתה לעיל מב ע"ב)</w:t>
      </w:r>
      <w:r>
        <w:rPr>
          <w:rtl/>
        </w:rPr>
        <w:t xml:space="preserve"> שַׁלְשֶׁלֶ''ת לְמִתְפַּשׂ לוֹן אֲסוּרִין בְּבֵית אֲסוּרִין דְּמַלְכָּא, כְּמָה דְאַתְּ אָמַר </w:t>
      </w:r>
      <w:r>
        <w:rPr>
          <w:sz w:val="20"/>
          <w:szCs w:val="20"/>
          <w:rtl/>
        </w:rPr>
        <w:t>(תהלים קמט ה)</w:t>
      </w:r>
      <w:r>
        <w:rPr>
          <w:rtl/>
        </w:rPr>
        <w:t xml:space="preserve"> לֶאְסוֹר מַלְכֵיהֶם בְּזִיקִים וכו', בְּהַהוּא זִמְנָא שֶׁקֶר הַסּוּס לִתְשׁוּעָה וכו' </w:t>
      </w:r>
      <w:r>
        <w:rPr>
          <w:sz w:val="20"/>
          <w:szCs w:val="20"/>
          <w:rtl/>
        </w:rPr>
        <w:t>(תהלים לג יז)</w:t>
      </w:r>
      <w:r>
        <w:rPr>
          <w:rtl/>
        </w:rPr>
        <w:t xml:space="preserve">, </w:t>
      </w:r>
      <w:r>
        <w:rPr>
          <w:rStyle w:val="a7"/>
          <w:rFonts w:hAnsi="Arial"/>
          <w:b w:val="0"/>
          <w:bCs w:val="0"/>
          <w:rtl/>
          <w:lang w:eastAsia="en-US"/>
        </w:rPr>
        <w:footnoteReference w:id="2697"/>
      </w:r>
      <w:r>
        <w:rPr>
          <w:rtl/>
        </w:rPr>
        <w:t>דְּקוּדְשָׁא בְּרִיךְ הוּא רָדִיף אַבַּתְרַיְיהוּ, וְנָטִיל לוֹן בְּשַׁלְשֶׁלֶ''ת עַל צַוָּארֵיהוֹן, וּלְבָתַר קָטִיל לוֹן בְּרוּמְחָא דְאִיהוּ רָבִי''עַ, בְּקַדְמֵיתָא תָרֵיךְ לוֹן, וּלְבָתַר רָדִיף אַבַּתְרַיְיהוּ וְתָּפִיס לוֹן, וּלְבָתַר קָטִיל לוֹן.</w:t>
      </w:r>
    </w:p>
    <w:p w:rsidR="002D629A" w:rsidRDefault="002D629A" w:rsidP="00B17EA9">
      <w:pPr>
        <w:pStyle w:val="NormalWeb"/>
        <w:rPr>
          <w:rtl/>
        </w:rPr>
      </w:pPr>
      <w:r>
        <w:rPr>
          <w:rtl/>
        </w:rPr>
        <w:t xml:space="preserve">וְרָבִי''עַ, וּשְׁנֵ''י גְרִישִׁי''ן, וְשַׁלְשֶׁלֶ''ת, אִינוּן תְּקִיעָ''ה שְׁבָרִי''ם תְּרוּעָ''ה, </w:t>
      </w:r>
      <w:r>
        <w:rPr>
          <w:rStyle w:val="a7"/>
          <w:rFonts w:hAnsi="Arial"/>
          <w:b w:val="0"/>
          <w:bCs w:val="0"/>
          <w:rtl/>
          <w:lang w:eastAsia="en-US"/>
        </w:rPr>
        <w:footnoteReference w:id="2698"/>
      </w:r>
      <w:r>
        <w:rPr>
          <w:rtl/>
        </w:rPr>
        <w:t xml:space="preserve">שְׁבָרִי''ם שַׁבֵּר </w:t>
      </w:r>
      <w:r>
        <w:rPr>
          <w:sz w:val="20"/>
          <w:szCs w:val="20"/>
          <w:rtl/>
        </w:rPr>
        <w:t>(שמות כג כד)</w:t>
      </w:r>
      <w:r>
        <w:rPr>
          <w:rtl/>
        </w:rPr>
        <w:t xml:space="preserve"> תְּשַׁבֵּר מַצֵּבוֹתֵיהֶם, אִלֵּין דְּאִתְּמַר בְּהוֹן </w:t>
      </w:r>
      <w:r>
        <w:rPr>
          <w:sz w:val="20"/>
          <w:szCs w:val="20"/>
          <w:rtl/>
        </w:rPr>
        <w:t>(איוב א ו)</w:t>
      </w:r>
      <w:r>
        <w:rPr>
          <w:rtl/>
        </w:rPr>
        <w:t xml:space="preserve"> וַיָּבֹאוּ בְּנֵי הָאלהי''ם לְהִתְיַצֵּב עַל יהו''ה, בְּדִינָא עַל שְׁכִינְתָּא וְיִשְׂרָאֵל, דְאִתְּמַר בֵּיהּ וַיָּבֹא גַם הַשָּׂטָן בְּתוֹכָם, דָּא סמא''ל דְּאָתָא לְקַטְרֵג עַל בְּנוֹי דְּיִשְׂרָאֵל, וְלָדוּן לִשְׁכִינְתָּא, וְכֵיוָן דְּהוּא בָעִי דִינָא עַל שְׁכִינְתָּא וּבְנוֹי, כְּאִלּוּ קַיְימִין עֲלֵיהּ, תְּרוּעָ''ה בָהּ </w:t>
      </w:r>
      <w:r>
        <w:rPr>
          <w:sz w:val="20"/>
          <w:szCs w:val="20"/>
          <w:rtl/>
        </w:rPr>
        <w:t>(תהלים ב ט)</w:t>
      </w:r>
      <w:r>
        <w:rPr>
          <w:rtl/>
        </w:rPr>
        <w:t xml:space="preserve"> תְּרוֹעִם בְּשֵׁבֶט בַּרְזֶל, תְּקִיעָ''ה וְהוֹקַע אוֹתָם לַיהו''ה נֶגֶד הַשָּׁמֶשׁ </w:t>
      </w:r>
      <w:r>
        <w:rPr>
          <w:sz w:val="20"/>
          <w:szCs w:val="20"/>
          <w:rtl/>
        </w:rPr>
        <w:t>(במדבר כה ד)</w:t>
      </w:r>
      <w:r>
        <w:rPr>
          <w:rtl/>
        </w:rPr>
        <w:t xml:space="preserve">, </w:t>
      </w:r>
      <w:r>
        <w:rPr>
          <w:rStyle w:val="a7"/>
          <w:rFonts w:hAnsi="Arial"/>
          <w:b w:val="0"/>
          <w:bCs w:val="0"/>
          <w:rtl/>
          <w:lang w:eastAsia="en-US"/>
        </w:rPr>
        <w:footnoteReference w:id="2699"/>
      </w:r>
      <w:r>
        <w:rPr>
          <w:rtl/>
        </w:rPr>
        <w:t xml:space="preserve">וְשׁוֹפָר אִיהוּ קָלָא, מִנֵּיהּ נָפִיק קָלָא בִתְקִיעָה שְׁבָרִים תְּרוּעָה, </w:t>
      </w:r>
      <w:r>
        <w:rPr>
          <w:rStyle w:val="a7"/>
          <w:rFonts w:hAnsi="Arial"/>
          <w:b w:val="0"/>
          <w:bCs w:val="0"/>
          <w:rtl/>
          <w:lang w:eastAsia="en-US"/>
        </w:rPr>
        <w:footnoteReference w:id="2700"/>
      </w:r>
      <w:r>
        <w:rPr>
          <w:rtl/>
        </w:rPr>
        <w:t xml:space="preserve">תְּקִיעָה מִן מוֹחָא, שְׁבָרִים מִלִּבָּא, כְּמָה דְאַתְּ אָמַר </w:t>
      </w:r>
      <w:r>
        <w:rPr>
          <w:sz w:val="20"/>
          <w:szCs w:val="20"/>
          <w:rtl/>
        </w:rPr>
        <w:t>(תהלים נא יט)</w:t>
      </w:r>
      <w:r>
        <w:rPr>
          <w:rtl/>
        </w:rPr>
        <w:t xml:space="preserve"> לֵב נִשְׁבָּר וְנִדְכֶּה וְגוֹמֵר, דָּא אִיהוּ זִבְחֵי אלהי''ם רוּחַ נִשְׁבָּרָה, קָלָא תְרוּעָה מִכַּנְפֵי רֵיאָה, </w:t>
      </w:r>
      <w:r>
        <w:rPr>
          <w:rStyle w:val="a7"/>
          <w:rFonts w:hAnsi="Arial"/>
          <w:b w:val="0"/>
          <w:bCs w:val="0"/>
          <w:rtl/>
          <w:lang w:eastAsia="en-US"/>
        </w:rPr>
        <w:footnoteReference w:id="2701"/>
      </w:r>
      <w:r>
        <w:rPr>
          <w:rtl/>
        </w:rPr>
        <w:t>וְכֻלְּהוּ אִתְכְּלִילוּ בְקָנֶה, וְאִתְעֲבִידוּ קוֹל וּבְפוּמָא דִבּוּר.</w:t>
      </w:r>
    </w:p>
    <w:p w:rsidR="002D629A" w:rsidRDefault="002D629A" w:rsidP="00B17EA9">
      <w:pPr>
        <w:pStyle w:val="NormalWeb"/>
        <w:rPr>
          <w:rtl/>
        </w:rPr>
      </w:pPr>
      <w:r>
        <w:rPr>
          <w:rStyle w:val="a7"/>
          <w:rFonts w:hAnsi="Arial"/>
          <w:b w:val="0"/>
          <w:bCs w:val="0"/>
          <w:rtl/>
          <w:lang w:eastAsia="en-US"/>
        </w:rPr>
        <w:footnoteReference w:id="2702"/>
      </w:r>
      <w:r>
        <w:rPr>
          <w:rtl/>
        </w:rPr>
        <w:t xml:space="preserve">וְעוֹד נִשְׁמָתָא וְרוּחָא וְנַפְשָׁא דְבַר נַשׁ, </w:t>
      </w:r>
      <w:r>
        <w:rPr>
          <w:rStyle w:val="a7"/>
          <w:rFonts w:hAnsi="Arial"/>
          <w:b w:val="0"/>
          <w:bCs w:val="0"/>
          <w:rtl/>
          <w:lang w:eastAsia="en-US"/>
        </w:rPr>
        <w:footnoteReference w:id="2703"/>
      </w:r>
      <w:r>
        <w:rPr>
          <w:rtl/>
        </w:rPr>
        <w:t xml:space="preserve">אִינוּן תְּקִיעָה שְׁבָרִים תְּרוּעָה, נַפְשָׁא בְּלִבָּא וְדָא שְׁבָרִים, כְּמָה דְאַתְּ אָמַר לֵב נִשְׁבָּר וְנִדְכֶּה, נִשְׁמָתָא בְמוֹחָא וְדָא תְקִיעָה, רוּחָא בְּכַנְפֵי רֵיאָה, דְנָשִׁיב עַל לִבָּא דְאִיהוּ נוּר דָּלֵיק, וְאִם לַאו הֲוָה דָלֵיק כָּל גּוּפָא, </w:t>
      </w:r>
      <w:r>
        <w:rPr>
          <w:rStyle w:val="a7"/>
          <w:rFonts w:hAnsi="Arial"/>
          <w:b w:val="0"/>
          <w:bCs w:val="0"/>
          <w:rtl/>
          <w:lang w:eastAsia="en-US"/>
        </w:rPr>
        <w:footnoteReference w:id="2704"/>
      </w:r>
      <w:r>
        <w:rPr>
          <w:rtl/>
        </w:rPr>
        <w:t xml:space="preserve">וְרָזָא דְמִלָּה כַּנְפֵי יוֹנָה נֶחְפָּה בַכֶּסֶף וְגוֹמֵר </w:t>
      </w:r>
      <w:r>
        <w:rPr>
          <w:sz w:val="20"/>
          <w:szCs w:val="20"/>
          <w:rtl/>
        </w:rPr>
        <w:t>(שם סח יד)</w:t>
      </w:r>
      <w:r>
        <w:rPr>
          <w:rtl/>
        </w:rPr>
        <w:t xml:space="preserve">, וְרוּחָא כְּלִיל מֵאֶשָּׁא וּמַיָּא, וּבְגִין דָּא אִיהוּ תְרוּעָה, וַעֲלֵיהּ אִתְּמַר </w:t>
      </w:r>
      <w:r>
        <w:rPr>
          <w:sz w:val="20"/>
          <w:szCs w:val="20"/>
          <w:rtl/>
        </w:rPr>
        <w:t>(שם פט טז)</w:t>
      </w:r>
      <w:r>
        <w:rPr>
          <w:rtl/>
        </w:rPr>
        <w:t xml:space="preserve"> אַשְׁרֵי הָעָם יוֹדְעִי תְרוּעָה, </w:t>
      </w:r>
      <w:r>
        <w:rPr>
          <w:rStyle w:val="a7"/>
          <w:rFonts w:hAnsi="Arial"/>
          <w:b w:val="0"/>
          <w:bCs w:val="0"/>
          <w:rtl/>
          <w:lang w:eastAsia="en-US"/>
        </w:rPr>
        <w:footnoteReference w:id="2705"/>
      </w:r>
      <w:r>
        <w:rPr>
          <w:rtl/>
        </w:rPr>
        <w:t xml:space="preserve">בְּגִין דְּנִשְׁמָתָא אִיהִי נִשְׁמַת חַיִּים, בִּינָה דְנָטְלָה מֵחָכְמָה, נֶפֶשׁ מַלְכוּת תְּבוּנָה, רוּחַ תִּפְאֶרֶת, וְאִיהוּ דַעַת כְּלִיל תַּרְוַיְיהוּ, </w:t>
      </w:r>
      <w:r>
        <w:rPr>
          <w:rStyle w:val="a7"/>
          <w:rFonts w:hAnsi="Arial"/>
          <w:b w:val="0"/>
          <w:bCs w:val="0"/>
          <w:rtl/>
          <w:lang w:eastAsia="en-US"/>
        </w:rPr>
        <w:footnoteReference w:id="2706"/>
      </w:r>
      <w:r>
        <w:rPr>
          <w:rtl/>
        </w:rPr>
        <w:t xml:space="preserve">עֲלֵיהּ אִתְּמַר </w:t>
      </w:r>
      <w:r>
        <w:rPr>
          <w:sz w:val="20"/>
          <w:szCs w:val="20"/>
          <w:rtl/>
        </w:rPr>
        <w:t>(משלי כד ד)</w:t>
      </w:r>
      <w:r>
        <w:rPr>
          <w:rtl/>
        </w:rPr>
        <w:t xml:space="preserve"> וּבְדַעַת חֲדָרִים יִמָּלְאוּ.</w:t>
      </w:r>
    </w:p>
    <w:p w:rsidR="002D629A" w:rsidRDefault="002D629A" w:rsidP="00B17EA9">
      <w:pPr>
        <w:pStyle w:val="NormalWeb"/>
        <w:rPr>
          <w:rtl/>
        </w:rPr>
      </w:pPr>
      <w:r>
        <w:rPr>
          <w:rStyle w:val="a7"/>
          <w:rFonts w:hAnsi="Arial"/>
          <w:b w:val="0"/>
          <w:bCs w:val="0"/>
          <w:rtl/>
          <w:lang w:eastAsia="en-US"/>
        </w:rPr>
        <w:footnoteReference w:id="2707"/>
      </w:r>
      <w:r>
        <w:rPr>
          <w:rtl/>
        </w:rPr>
        <w:t xml:space="preserve">וּמִבִּינָה נְבִיאִים, וְאִינוּן נֶצַח וָהוֹד, וּמִמַּלְכוּת כְּתוּבִים וְאִינוּן חֶסֶד וּגְבוּרָה, תִּפְאֶרֶת תּוֹרָה כְּלִיל כֻּלְּהוּ, </w:t>
      </w:r>
      <w:r>
        <w:rPr>
          <w:rStyle w:val="a7"/>
          <w:rFonts w:hAnsi="Arial"/>
          <w:b w:val="0"/>
          <w:bCs w:val="0"/>
          <w:rtl/>
          <w:lang w:eastAsia="en-US"/>
        </w:rPr>
        <w:footnoteReference w:id="2708"/>
      </w:r>
      <w:r>
        <w:rPr>
          <w:rtl/>
        </w:rPr>
        <w:t xml:space="preserve">וְכֹלָּא עַל עַמּוּדָא חַד קַיְימָא וְדָא </w:t>
      </w:r>
      <w:r>
        <w:rPr>
          <w:sz w:val="20"/>
          <w:szCs w:val="20"/>
          <w:rtl/>
        </w:rPr>
        <w:t>(משלי י כה)</w:t>
      </w:r>
      <w:r>
        <w:rPr>
          <w:rtl/>
        </w:rPr>
        <w:t xml:space="preserve"> צַדִּיק יְסוֹד עוֹלָם.</w:t>
      </w:r>
    </w:p>
    <w:p w:rsidR="002D629A" w:rsidRDefault="002D629A" w:rsidP="00B17EA9">
      <w:pPr>
        <w:pStyle w:val="NormalWeb"/>
        <w:rPr>
          <w:rtl/>
        </w:rPr>
      </w:pPr>
      <w:r>
        <w:rPr>
          <w:rStyle w:val="a7"/>
          <w:rFonts w:hAnsi="Arial"/>
          <w:b w:val="0"/>
          <w:bCs w:val="0"/>
          <w:rtl/>
          <w:lang w:eastAsia="en-US"/>
        </w:rPr>
        <w:footnoteReference w:id="2709"/>
      </w:r>
      <w:r>
        <w:rPr>
          <w:rtl/>
        </w:rPr>
        <w:t xml:space="preserve">כָּבֵד וּטְחוֹל דָּא סמא''ל וְנָחָ''שׁ, כָּבֵד אֶשָּׁא סוּמְקָא, מָרָה אֶשָּׁא יְרוֹקָא, טְחוֹל אֶשָּׁא אוּכְמָא, יוֹתֶרֶת כְּלִילָא דְכֻלְּהוּ, כָּבֵד וּטְחוֹל סמא''ל וְנָחָ''שׁ, כָּבֵד אֵל אַחֵר, מָרָה סַם מָוְת דִּילֵיהּ, טְחוֹל נָחָשׁ, נוּקְבָא דִילֵיהּ יוֹתֶרֶת הַכָּבֵד, וּמָרָה אִיהוּ חַרְבָּא דְמַלְאַךְ הַמָּוְת, כְּמָה דְאַתְּ אָמַר </w:t>
      </w:r>
      <w:r>
        <w:rPr>
          <w:sz w:val="20"/>
          <w:szCs w:val="20"/>
          <w:rtl/>
        </w:rPr>
        <w:t>(שם ה ד)</w:t>
      </w:r>
      <w:r>
        <w:rPr>
          <w:rtl/>
        </w:rPr>
        <w:t xml:space="preserve"> וְאַחֲרִיתָהּ מָרָה כַלַּעֲנָה חַדָּה כְּחֶרֶב פִּיּוֹת, וּבְאוֹרַיְיתָא דְאִיהִי סַם חַיִּים אִיהוּ אִתְעַבְּרָא מִן עָלְמָא, </w:t>
      </w:r>
      <w:r>
        <w:rPr>
          <w:rStyle w:val="a7"/>
          <w:rFonts w:hAnsi="Arial"/>
          <w:b w:val="0"/>
          <w:bCs w:val="0"/>
          <w:rtl/>
          <w:lang w:eastAsia="en-US"/>
        </w:rPr>
        <w:footnoteReference w:id="2710"/>
      </w:r>
      <w:r>
        <w:rPr>
          <w:rtl/>
        </w:rPr>
        <w:t>וְכָבֵד דְּהוּא אֵל אַחֵר, בִּתְרוּעָה דְאִיהוּ רוּחָא מִתְעַבְּרָא מִן עָלְמָא, טְחוֹל דְּהוּא נָחָשׁ בַּשְּׁבָרִים מִתְעַבְּרָא מִן עָלְמָא, מָרָה דְהוּא סַם הַמָּוְת בִּתְקִיעָה מִתְעַבְּרָא מִן עָלְמָא.</w:t>
      </w:r>
    </w:p>
    <w:p w:rsidR="002D629A" w:rsidRDefault="002D629A" w:rsidP="00B17EA9">
      <w:pPr>
        <w:pStyle w:val="NormalWeb"/>
        <w:rPr>
          <w:rtl/>
        </w:rPr>
      </w:pPr>
      <w:r>
        <w:rPr>
          <w:rtl/>
        </w:rPr>
        <w:t xml:space="preserve">זַכָּאָה אִיהוּ דְכָלֵיל נִשְׁמָתָא וְרוּחָא עִם נַפְשָׁא בְקָלָא דְאוֹרַיְיתָא, דִבְאוֹרַיְיתָא אִתְתַּקְּפוּן, דְּכָל מָאן דְּלָא אִתְעַסַּק בְּאוֹרַיְיתָא חַלִּישׁ נִשְׁמָתֵיהּ רוּחֵיהּ וְנַפְשֵׁיהּ עִילָא וְתַתָּא, </w:t>
      </w:r>
      <w:r>
        <w:rPr>
          <w:rStyle w:val="a7"/>
          <w:rFonts w:hAnsi="Arial"/>
          <w:b w:val="0"/>
          <w:bCs w:val="0"/>
          <w:rtl/>
          <w:lang w:eastAsia="en-US"/>
        </w:rPr>
        <w:footnoteReference w:id="2711"/>
      </w:r>
      <w:r>
        <w:rPr>
          <w:rtl/>
        </w:rPr>
        <w:t xml:space="preserve">וְיוֹתֶרֶת הַכָּבֵד אִיהוּ זוֹנָה, </w:t>
      </w:r>
      <w:r>
        <w:rPr>
          <w:rStyle w:val="a7"/>
          <w:rFonts w:hAnsi="Arial"/>
          <w:b w:val="0"/>
          <w:bCs w:val="0"/>
          <w:rtl/>
          <w:lang w:eastAsia="en-US"/>
        </w:rPr>
        <w:footnoteReference w:id="2712"/>
      </w:r>
      <w:r>
        <w:rPr>
          <w:rtl/>
        </w:rPr>
        <w:t xml:space="preserve">שִׁיּוּרִין אִיהוּ לְכָל אֱלֹהִים אֲחֵרִים מִתְתַּקְפָא, וְאַמַּאי אִתְקְרִיאַת יוֹתֶרֶת הַכָּבֵד, אֶלָּא בָּתַר דְּעָבִיד נִאוּפָא עִם כֻּלְּהוּ, יְהִיבַת שִׁיּוּרִין לְבַעְלָהּ, וַעֲלָהּ אִתְּמַר </w:t>
      </w:r>
      <w:r>
        <w:rPr>
          <w:sz w:val="20"/>
          <w:szCs w:val="20"/>
          <w:rtl/>
        </w:rPr>
        <w:t>(שם ד כו)</w:t>
      </w:r>
      <w:r>
        <w:rPr>
          <w:rtl/>
        </w:rPr>
        <w:t xml:space="preserve"> כִּי בְעַד אִשָּׁה זוֹנָה עַד כִּכַּר לָחֶם, דְּאִיהִי אִתְחַמְמַת מִכָּבֵד, וּטְחוֹל אִיהוּ שְׂחוֹק הַכְּסִיל, וַעֲלֵיהּ אִתְּמַר אִם רָאִיתָ רָשָׁע שֶׁהַשָּׁעָה מְשַׂחֶקֶת לוֹ אַל תִּתְגָּרֶה בּוֹ, </w:t>
      </w:r>
      <w:r>
        <w:rPr>
          <w:rStyle w:val="a7"/>
          <w:rFonts w:hAnsi="Arial"/>
          <w:b w:val="0"/>
          <w:bCs w:val="0"/>
          <w:rtl/>
          <w:lang w:eastAsia="en-US"/>
        </w:rPr>
        <w:footnoteReference w:id="2713"/>
      </w:r>
      <w:r>
        <w:rPr>
          <w:rtl/>
        </w:rPr>
        <w:t xml:space="preserve">בְּגִין דְּאִיהוּ שְׁאוֹל תַּחְתִּית, </w:t>
      </w:r>
      <w:r>
        <w:rPr>
          <w:rStyle w:val="a7"/>
          <w:rFonts w:hAnsi="Arial"/>
          <w:b w:val="0"/>
          <w:bCs w:val="0"/>
          <w:rtl/>
          <w:lang w:eastAsia="en-US"/>
        </w:rPr>
        <w:footnoteReference w:id="2714"/>
      </w:r>
      <w:r>
        <w:rPr>
          <w:rtl/>
        </w:rPr>
        <w:t>דְּאִתְּמַר בֵּיהּ צַדִּיק מִמֶּנּוּ בּוֹלֵעַ, אֲבָל צַדִּיק גָּמוּר אֵינוֹ בּוֹלֵעַ, כָּבֵד כּוֹעִס וְקָטִיל.</w:t>
      </w:r>
    </w:p>
    <w:p w:rsidR="002D629A" w:rsidRDefault="002D629A" w:rsidP="00B17EA9">
      <w:pPr>
        <w:pStyle w:val="NormalWeb"/>
        <w:rPr>
          <w:rtl/>
        </w:rPr>
      </w:pPr>
      <w:r>
        <w:rPr>
          <w:rStyle w:val="a7"/>
          <w:rFonts w:hAnsi="Arial"/>
          <w:b w:val="0"/>
          <w:bCs w:val="0"/>
          <w:rtl/>
          <w:lang w:eastAsia="en-US"/>
        </w:rPr>
        <w:footnoteReference w:id="2715"/>
      </w:r>
      <w:r>
        <w:rPr>
          <w:rtl/>
        </w:rPr>
        <w:t xml:space="preserve">לֵב מֵבִין, לֵב יוֹדֵעַ, לֵב רוֹאֶה, לֵב אִיהוּ שְׁכִינְתָּא, דְלָא נַטְלָא אֶלָּא דְמָא צַח, דְּאִיהִי קָרְבָּנָא דִצְלוֹתָא נְקִיָּה </w:t>
      </w:r>
      <w:r>
        <w:rPr>
          <w:rStyle w:val="a7"/>
          <w:rFonts w:hAnsi="Arial"/>
          <w:b w:val="0"/>
          <w:bCs w:val="0"/>
          <w:rtl/>
          <w:lang w:eastAsia="en-US"/>
        </w:rPr>
        <w:footnoteReference w:id="2716"/>
      </w:r>
      <w:r>
        <w:rPr>
          <w:rtl/>
        </w:rPr>
        <w:t>בְּלָא חוֹבִין וּבְלָא פְּסוֹלֶת, וּקְרִיבַת לְגַבֵּי בַּעְלָהּ שׁוּפְרָא דְכֹלָּא.</w:t>
      </w:r>
    </w:p>
    <w:p w:rsidR="002D629A" w:rsidRDefault="002D629A" w:rsidP="00B17EA9">
      <w:pPr>
        <w:pStyle w:val="NormalWeb"/>
        <w:rPr>
          <w:rtl/>
        </w:rPr>
      </w:pPr>
      <w:r>
        <w:rPr>
          <w:rtl/>
        </w:rPr>
        <w:t xml:space="preserve">אֲבָל יוֹתֶרֶת הַכָּבֵד לָא יְהִיבַת לְבַעְלָהּ אֶלָּא שִׁיּוּרִין וּפְסוֹלֶת, וּמַאי נִיהוּ בַּעְלָהּ טְחוֹל, וּמֵאִלֵּין שִׁיּוּרִין דְּנָטִיל מִנָּהּ אִתְעֲבִיד דָּם טְחוֹל חָשׁוּךְ וְאוּכְמָא, </w:t>
      </w:r>
      <w:r>
        <w:rPr>
          <w:rStyle w:val="a7"/>
          <w:rFonts w:hAnsi="Arial"/>
          <w:b w:val="0"/>
          <w:bCs w:val="0"/>
          <w:rtl/>
          <w:lang w:eastAsia="en-US"/>
        </w:rPr>
        <w:footnoteReference w:id="2717"/>
      </w:r>
      <w:r>
        <w:rPr>
          <w:rtl/>
        </w:rPr>
        <w:t>הוּא נָחָשׁ רַמַּאי דְּפַתִּי לְחַוָּה דְּאִיהִי לִבָּא, וְגָרַם לָהּ מוֹתָא.</w:t>
      </w:r>
    </w:p>
    <w:p w:rsidR="002D629A" w:rsidRDefault="002D629A" w:rsidP="00B17EA9">
      <w:pPr>
        <w:pStyle w:val="aa"/>
        <w:rPr>
          <w:rtl/>
        </w:rPr>
      </w:pPr>
      <w:bookmarkStart w:id="209" w:name="_Toc228095655"/>
      <w:bookmarkStart w:id="210" w:name="_Toc231638093"/>
      <w:r>
        <w:rPr>
          <w:rtl/>
        </w:rPr>
        <w:t xml:space="preserve"> [תיקוני זוהר - דף מג ע''ב]</w:t>
      </w:r>
      <w:bookmarkEnd w:id="209"/>
      <w:bookmarkEnd w:id="210"/>
    </w:p>
    <w:p w:rsidR="002D629A" w:rsidRDefault="002D629A" w:rsidP="00B17EA9">
      <w:pPr>
        <w:pStyle w:val="NormalWeb"/>
        <w:rPr>
          <w:sz w:val="20"/>
          <w:szCs w:val="20"/>
          <w:rtl/>
        </w:rPr>
      </w:pPr>
      <w:r>
        <w:rPr>
          <w:rStyle w:val="a7"/>
          <w:rFonts w:hAnsi="Arial"/>
          <w:b w:val="0"/>
          <w:bCs w:val="0"/>
          <w:rtl/>
          <w:lang w:eastAsia="en-US"/>
        </w:rPr>
        <w:footnoteReference w:id="2718"/>
      </w:r>
      <w:r>
        <w:rPr>
          <w:rtl/>
        </w:rPr>
        <w:t xml:space="preserve">וְהָא תְּרֵי בָּתֵּי לִבָּא אִינוּן לְמָאן פַּתִּי מִנַּיְיהוּ, אֶלָּא הַהוּא דִשְׂמָאלָא דְאִתְּמַר בָּהּ </w:t>
      </w:r>
      <w:r>
        <w:rPr>
          <w:sz w:val="20"/>
          <w:szCs w:val="20"/>
          <w:rtl/>
        </w:rPr>
        <w:t>(קהלת י ב)</w:t>
      </w:r>
      <w:r>
        <w:rPr>
          <w:rtl/>
        </w:rPr>
        <w:t xml:space="preserve"> לֵב כְּסִיל לִשְׂמֹאלוֹ, וַעֲלֵיהּ אִתְּמַר </w:t>
      </w:r>
      <w:r>
        <w:rPr>
          <w:sz w:val="20"/>
          <w:szCs w:val="20"/>
          <w:rtl/>
        </w:rPr>
        <w:t>(שם ז כו)</w:t>
      </w:r>
      <w:r>
        <w:rPr>
          <w:rtl/>
        </w:rPr>
        <w:t xml:space="preserve"> וּמוֹצֵא אֲנִי מַר מִמָּוְת </w:t>
      </w:r>
      <w:r>
        <w:rPr>
          <w:sz w:val="20"/>
          <w:szCs w:val="20"/>
          <w:rtl/>
        </w:rPr>
        <w:t xml:space="preserve">(דף מג ע"ב) </w:t>
      </w:r>
      <w:r>
        <w:rPr>
          <w:rtl/>
        </w:rPr>
        <w:t>אֶת הָאִשָּׁה, לֵב חָכָם לִימִינוֹ דָא אֵשֶׁת חַיִל עֲטֶרֶת בַּעְלָהּ, עֲלָהּ אִתְּמַר</w:t>
      </w:r>
      <w:r>
        <w:rPr>
          <w:sz w:val="20"/>
          <w:szCs w:val="20"/>
          <w:rtl/>
        </w:rPr>
        <w:t xml:space="preserve"> (משלי יח כב)</w:t>
      </w:r>
      <w:r>
        <w:rPr>
          <w:rtl/>
        </w:rPr>
        <w:t xml:space="preserve"> מָצָא אִשָּׁה מָצָא טוֹב, דְּאִיהִי יֵצֶר הַטּוֹב מַזָּלֵיהּ דְּבַר נַשׁ, </w:t>
      </w:r>
      <w:r>
        <w:rPr>
          <w:rStyle w:val="a7"/>
          <w:rFonts w:hAnsi="Arial"/>
          <w:b w:val="0"/>
          <w:bCs w:val="0"/>
          <w:rtl/>
          <w:lang w:eastAsia="en-US"/>
        </w:rPr>
        <w:footnoteReference w:id="2719"/>
      </w:r>
      <w:r>
        <w:rPr>
          <w:rtl/>
        </w:rPr>
        <w:t xml:space="preserve">עֲלָהּ אִתְּמַר </w:t>
      </w:r>
      <w:r>
        <w:rPr>
          <w:sz w:val="20"/>
          <w:szCs w:val="20"/>
          <w:rtl/>
        </w:rPr>
        <w:t>(יחזקאל מד ל)</w:t>
      </w:r>
      <w:r>
        <w:rPr>
          <w:rtl/>
        </w:rPr>
        <w:t xml:space="preserve"> לְהָנִיחַ </w:t>
      </w:r>
      <w:r>
        <w:rPr>
          <w:rStyle w:val="a7"/>
          <w:rFonts w:hAnsi="Arial"/>
          <w:b w:val="0"/>
          <w:bCs w:val="0"/>
          <w:rtl/>
          <w:lang w:eastAsia="en-US"/>
        </w:rPr>
        <w:footnoteReference w:id="2720"/>
      </w:r>
      <w:r>
        <w:rPr>
          <w:rtl/>
        </w:rPr>
        <w:t xml:space="preserve">בְּרָכָה אֶל בֵּיתֶיךָ, בִּרְכַּת יהו''ה הִיא תַּעֲשִׁיר, וַעֲלָהּ אִתְּמַר </w:t>
      </w:r>
      <w:r>
        <w:rPr>
          <w:sz w:val="20"/>
          <w:szCs w:val="20"/>
          <w:rtl/>
        </w:rPr>
        <w:t>(קהלת ט ט)</w:t>
      </w:r>
      <w:r>
        <w:rPr>
          <w:rtl/>
        </w:rPr>
        <w:t xml:space="preserve"> רְאֵה חַיִּים עִם אִשָּׁה אֲשֶׁר אָהַבְתָּ. </w:t>
      </w:r>
      <w:r>
        <w:rPr>
          <w:sz w:val="20"/>
          <w:szCs w:val="20"/>
          <w:rtl/>
        </w:rPr>
        <w:t>(בפסקאות הבאות ערכנו שינויי גירסא רבים ע"פ הגר"א)</w:t>
      </w:r>
    </w:p>
    <w:p w:rsidR="002D629A" w:rsidRDefault="002D629A" w:rsidP="00B17EA9">
      <w:pPr>
        <w:pStyle w:val="NormalWeb"/>
        <w:rPr>
          <w:rtl/>
        </w:rPr>
      </w:pPr>
      <w:r>
        <w:rPr>
          <w:rtl/>
        </w:rPr>
        <w:t xml:space="preserve">אִיהִי בְדִיּוֹקְנָא דִשְׁכִינְתָּא תַּתָּאָה כְּלִילָא מֵעֶשֶׂר, </w:t>
      </w:r>
      <w:r>
        <w:rPr>
          <w:rStyle w:val="a7"/>
          <w:rFonts w:hAnsi="Arial"/>
          <w:b w:val="0"/>
          <w:bCs w:val="0"/>
          <w:rtl/>
          <w:lang w:eastAsia="en-US"/>
        </w:rPr>
        <w:footnoteReference w:id="2721"/>
      </w:r>
      <w:r>
        <w:rPr>
          <w:rtl/>
        </w:rPr>
        <w:t xml:space="preserve">וְאִיהִי נֵר מִצְוָה, וְרוּחָא דְנָשִׁיב בָּהּ תִּפְאֶרֶת יִשְׂרָאֵל אִיהִי בְּכַנְפֵי רֵיאָה, וְדָא אִיהוּ </w:t>
      </w:r>
      <w:r>
        <w:rPr>
          <w:rStyle w:val="a7"/>
          <w:rFonts w:hAnsi="Arial"/>
          <w:b w:val="0"/>
          <w:bCs w:val="0"/>
          <w:rtl/>
          <w:lang w:eastAsia="en-US"/>
        </w:rPr>
        <w:footnoteReference w:id="2722"/>
      </w:r>
      <w:r>
        <w:rPr>
          <w:rtl/>
        </w:rPr>
        <w:t>וְתוֹרָה אוֹר, נֵר דְּנָהִיר בָּהּ דָּא שְׁכִינְתָּא עִלָּאָה נִשְׁמַת חַיִּים, דְּנָחֲתָא מִן מוֹחָא לְאַנְהָרָא לוֹן בְּלִבָּא.</w:t>
      </w:r>
    </w:p>
    <w:p w:rsidR="002D629A" w:rsidRDefault="002D629A" w:rsidP="00B17EA9">
      <w:pPr>
        <w:pStyle w:val="NormalWeb"/>
        <w:rPr>
          <w:rtl/>
        </w:rPr>
      </w:pPr>
      <w:r>
        <w:rPr>
          <w:rtl/>
        </w:rPr>
        <w:t xml:space="preserve">דְּנַפְשָׁא אִיהִי פְּתִילָה, רוּחָא דָא זֵיתָא, נִשְׁמָתָא נֵר יהו''ה נִשְׁמַת אָדָם </w:t>
      </w:r>
      <w:r>
        <w:rPr>
          <w:sz w:val="20"/>
          <w:szCs w:val="20"/>
          <w:rtl/>
        </w:rPr>
        <w:t>(משלי ב כז)</w:t>
      </w:r>
      <w:r>
        <w:rPr>
          <w:rtl/>
        </w:rPr>
        <w:t>, דְּאִיהִי אוֹר נָהִיר בְּאוֹרַיְיתָא (דבכתב) וְנִשְׁמָתָא דְּאִיהִי נֵר נָהִיר בְּמִצְוָה, וּבְזִמְנִין דְּלָא נְהִירִין בְּהוּ אוֹר וְנֵר אִתְּמַר בְּנִשְמְתָא אַל תִּרְאוּנִי שֶׁאֲנִי שְׁחַרְחֹרֶת</w:t>
      </w:r>
      <w:r>
        <w:rPr>
          <w:sz w:val="20"/>
          <w:szCs w:val="20"/>
          <w:rtl/>
        </w:rPr>
        <w:t xml:space="preserve"> (שיר א ו), </w:t>
      </w:r>
      <w:r>
        <w:rPr>
          <w:rtl/>
        </w:rPr>
        <w:t>ואִתְּמַר בָּאָדָם</w:t>
      </w:r>
      <w:r>
        <w:rPr>
          <w:sz w:val="20"/>
          <w:szCs w:val="20"/>
          <w:rtl/>
        </w:rPr>
        <w:t xml:space="preserve"> (ישעיה נ ג) </w:t>
      </w:r>
      <w:r>
        <w:rPr>
          <w:rtl/>
        </w:rPr>
        <w:t>אַלְבִּישׁ שָׁמַיִם קַדְרוּת.</w:t>
      </w:r>
    </w:p>
    <w:p w:rsidR="002D629A" w:rsidRDefault="002D629A" w:rsidP="00B17EA9">
      <w:pPr>
        <w:pStyle w:val="NormalWeb"/>
        <w:rPr>
          <w:rtl/>
        </w:rPr>
      </w:pPr>
      <w:r>
        <w:rPr>
          <w:rtl/>
        </w:rPr>
        <w:t>וּמַאי נֵ''ר נַפְשָׁא רוּחָא, נ' נַפְשָׁא ר' רוּחָא, לָקֳבֵל תְּלַת קִטְרִין אִלֵּין, אִינוּן תְּלַת גַּוָּונֵי אֶשָּׁא, אוּכְמָא חִוְורָא וּתְכֵלְתָּא, וּתְכֵלְתָּא אִיהוּ תְכֵלְתָּא דְּצִיצִית בְּגִין דְּאִיהוּ דוֹמֶה לְכָרְסַיָּא, דְמָאן דְּנָטִיר נֵר יהו''ה נִשְׁמַת אָדָם בְּאוֹרַיְיתָא, בְּפִקּוּדִין דַּעֲשֵׂה וְלֹא תַעֲשֶׂה, לָא שַׁלִּיט עֲלֵיהּ נוּרָא דְגֵיהִנָּם, וְדָא אִיהוּ כָּבֵד וּמָרָה וּטְחוֹל, כָּבֵד אֶשָּׁא סוּמְקָא, מָרָה אֶשָּׁא יְרוֹקָא, טְחוֹל אֶשָּׁא אוּכְמָא, יוֹתֶרֶת הַכָּבֵד כְּלָלָא דְכֻלְּהוּ, תְּכֵלֶת חָשׁוּךְ.</w:t>
      </w:r>
    </w:p>
    <w:p w:rsidR="002D629A" w:rsidRDefault="002D629A" w:rsidP="00B17EA9">
      <w:pPr>
        <w:pStyle w:val="NormalWeb"/>
        <w:rPr>
          <w:rtl/>
        </w:rPr>
      </w:pPr>
      <w:r>
        <w:rPr>
          <w:rtl/>
        </w:rPr>
        <w:t xml:space="preserve">וְכַּד מִתְלַבְּשַׁת תַּמָּן נַפְשָׁא בְּחוֹבִין, אִיהִי אָמְרַת </w:t>
      </w:r>
      <w:r>
        <w:rPr>
          <w:sz w:val="20"/>
          <w:szCs w:val="20"/>
          <w:rtl/>
        </w:rPr>
        <w:t>(שיר א ו)</w:t>
      </w:r>
      <w:r>
        <w:rPr>
          <w:rtl/>
        </w:rPr>
        <w:t xml:space="preserve"> אַל תִּרְאוּנִי שֶׁאֲנִי שְׁחַרְחֹרֶת, שְׁחַרְחֹרֶת בְּקַדְרוּתָא דְבָנַי, בְּדוֹחֲקָא דִלְהוֹן, בְּקַדְרוּתָא וְלַיְצָנוּתָא דִטְּחוֹל, וְנִשְׁמָתָא אֲסִירָא בָּהּ בְּגָלוּתָא, </w:t>
      </w:r>
      <w:r>
        <w:rPr>
          <w:rStyle w:val="a7"/>
          <w:rFonts w:hAnsi="Arial"/>
          <w:b w:val="0"/>
          <w:bCs w:val="0"/>
          <w:rtl/>
          <w:lang w:eastAsia="en-US"/>
        </w:rPr>
        <w:footnoteReference w:id="2723"/>
      </w:r>
      <w:r>
        <w:rPr>
          <w:rtl/>
        </w:rPr>
        <w:t xml:space="preserve">וְדָא אִיהוּ </w:t>
      </w:r>
      <w:r>
        <w:rPr>
          <w:sz w:val="20"/>
          <w:szCs w:val="20"/>
          <w:rtl/>
        </w:rPr>
        <w:t>(משלי ל כג)</w:t>
      </w:r>
      <w:r>
        <w:rPr>
          <w:rtl/>
        </w:rPr>
        <w:t xml:space="preserve"> וְשִׁפְחָה כִּי תִירַשׁ גְּבִירְתָּהּ, </w:t>
      </w:r>
      <w:r>
        <w:rPr>
          <w:rStyle w:val="a7"/>
          <w:rFonts w:hAnsi="Arial"/>
          <w:b w:val="0"/>
          <w:bCs w:val="0"/>
          <w:rtl/>
          <w:lang w:eastAsia="en-US"/>
        </w:rPr>
        <w:footnoteReference w:id="2724"/>
      </w:r>
      <w:r>
        <w:rPr>
          <w:rtl/>
        </w:rPr>
        <w:t xml:space="preserve">וּבְהַהוּא זִמְנָא טְחוֹל שׂוֹחֵק, וּלְזִמְנָא דְיֵיתֵי מַלְכָּא מְשִׁיחָא לְנַטְלָא נוּקְמָא מִטְּחוֹל דְּאִיהִי שִׁפְחָה, </w:t>
      </w:r>
      <w:r>
        <w:rPr>
          <w:sz w:val="20"/>
          <w:szCs w:val="20"/>
          <w:rtl/>
        </w:rPr>
        <w:t>(תהלים ב ד)</w:t>
      </w:r>
      <w:r>
        <w:rPr>
          <w:rtl/>
        </w:rPr>
        <w:t xml:space="preserve"> יוֹשֵׁב בַּשָּׁמַיִם יִשְׂחָק, יִשְׂחָק אִיהוּ בְאִבּוּדָא דִלְהוֹן, כְּמָה דְאַתְּ אָמַר </w:t>
      </w:r>
      <w:r>
        <w:rPr>
          <w:sz w:val="20"/>
          <w:szCs w:val="20"/>
          <w:rtl/>
        </w:rPr>
        <w:t>(משלי יא ו)</w:t>
      </w:r>
      <w:r>
        <w:rPr>
          <w:rtl/>
        </w:rPr>
        <w:t xml:space="preserve"> וּבַאֲבֹד רְשָׁעִים רִנָּה.</w:t>
      </w:r>
    </w:p>
    <w:p w:rsidR="002D629A" w:rsidRDefault="002D629A" w:rsidP="00B17EA9">
      <w:pPr>
        <w:pStyle w:val="NormalWeb"/>
        <w:rPr>
          <w:rtl/>
        </w:rPr>
      </w:pPr>
      <w:r>
        <w:rPr>
          <w:rtl/>
        </w:rPr>
        <w:t xml:space="preserve">רִנָּ''ה אִיהוּ הַנֵּ''ר, אִיהוּ נָהָ''ר יוֹצֵא מֵעִדֶן, וּמַאי נִיהוּ מִצְוֹת עֲשֵׂה וּמִצְוֹת לֹא תַעֲשֶׂה כְּחוּשְׁבַּן נָהָ''ר, נוּ''ן הֵ''א רֵי''שׁ, וְאִיהִי הַנֵּר הַמֵּאִיר לְאָדָם, וְעַל דָּא בַּאֲבֹד רְשָׁעִים רִנָּ''ה, וּבְהַהוּא זִמְנָא הַטְּחוֹל דְּשׂוֹחֵק אִתְאֲבִיד, וְאָז יִתְקַיַּים </w:t>
      </w:r>
      <w:r>
        <w:rPr>
          <w:sz w:val="20"/>
          <w:szCs w:val="20"/>
          <w:rtl/>
        </w:rPr>
        <w:t>(תהלים קכו ב)</w:t>
      </w:r>
      <w:r>
        <w:rPr>
          <w:rtl/>
        </w:rPr>
        <w:t xml:space="preserve"> אָז יִמָּלֵא שְׂחוֹק פִּינוּ וּלְשׁוֹנֵנוּ רִנָּה וַדַּאי, וְאָז </w:t>
      </w:r>
      <w:r>
        <w:rPr>
          <w:sz w:val="20"/>
          <w:szCs w:val="20"/>
          <w:rtl/>
        </w:rPr>
        <w:t>(משלי לא יח)</w:t>
      </w:r>
      <w:r>
        <w:rPr>
          <w:rtl/>
        </w:rPr>
        <w:t xml:space="preserve"> </w:t>
      </w:r>
      <w:r>
        <w:rPr>
          <w:rStyle w:val="Char"/>
          <w:rtl/>
          <w:lang w:eastAsia="en-US"/>
        </w:rPr>
        <w:t>לֹא יִכְבֶּה בַּלַּיְלָה נֵרָהּ, בְּגִין</w:t>
      </w:r>
      <w:r>
        <w:rPr>
          <w:rtl/>
        </w:rPr>
        <w:t xml:space="preserve"> </w:t>
      </w:r>
      <w:r>
        <w:rPr>
          <w:sz w:val="20"/>
          <w:szCs w:val="20"/>
          <w:rtl/>
        </w:rPr>
        <w:t>(שם)</w:t>
      </w:r>
      <w:r>
        <w:rPr>
          <w:rtl/>
        </w:rPr>
        <w:t xml:space="preserve"> דְּטָעֲמָה כִּי טוֹב סַחְרָהּ, וּבְהַהִיא זִמְנָא </w:t>
      </w:r>
      <w:r>
        <w:rPr>
          <w:rStyle w:val="a7"/>
          <w:rFonts w:hAnsi="Arial"/>
          <w:b w:val="0"/>
          <w:bCs w:val="0"/>
          <w:rtl/>
          <w:lang w:eastAsia="en-US"/>
        </w:rPr>
        <w:footnoteReference w:id="2725"/>
      </w:r>
      <w:r>
        <w:rPr>
          <w:rtl/>
        </w:rPr>
        <w:t xml:space="preserve">מִתְתַּקְנָא יְרוּשָׁלַם דְּאִיהִי לִבָּא, לִבָּא אִיהוּ לַהַ''ב הַמִּזְבֵּחַ, יִכְבֶּ''ה בְּחוּשְׁבַּן הַלֵּ''ב, לַהַ''ב הֶבֶ''ל, לֹא יִכְבֶּה בְגָלוּתָא דְאִיהִי לַיְלָה, וְאִתְבְּנִיאַת עַל יְדָא דְקוּדְשָׁא בְּרִיךְ הוּא, כְּמָה דְאַתְּ אָמַר </w:t>
      </w:r>
      <w:r>
        <w:rPr>
          <w:sz w:val="20"/>
          <w:szCs w:val="20"/>
          <w:rtl/>
        </w:rPr>
        <w:t>(תהלים קמז ב)</w:t>
      </w:r>
      <w:r>
        <w:rPr>
          <w:rtl/>
        </w:rPr>
        <w:t xml:space="preserve"> בּוֹנֵה יְרוּשָׁלַם יהו''ה, </w:t>
      </w:r>
      <w:r>
        <w:rPr>
          <w:sz w:val="20"/>
          <w:szCs w:val="20"/>
          <w:rtl/>
        </w:rPr>
        <w:t>(מאן דנטיר נר יהו''ה נשמת אדם בפקודין דעשה ולא תעשה, לא שליט עליה נורא דגיהנם, דאיהי כבד מרה טחול)</w:t>
      </w:r>
      <w:r>
        <w:rPr>
          <w:rtl/>
        </w:rPr>
        <w:t>.</w:t>
      </w:r>
    </w:p>
    <w:p w:rsidR="002D629A" w:rsidRDefault="002D629A" w:rsidP="00B17EA9">
      <w:pPr>
        <w:pStyle w:val="NormalWeb"/>
        <w:rPr>
          <w:rtl/>
        </w:rPr>
      </w:pPr>
      <w:r>
        <w:rPr>
          <w:rtl/>
        </w:rPr>
        <w:t xml:space="preserve">וְעוֹד מָרָה טְחוֹל כָּבֵד, אִינוּן גָּלוּתָא לְנִשְׁמָתָא וְרוּחָא וְנַפְשָׁא, דְאִיהִי שְׁכִינְתָּא כַּד גָּלַת בְּכָבֵד, אִתְּמַר בְּאֵבָרִים דְּאִינוּן עַמָּא קַדִּישָׁא חֵילָהָא דִילָהּ, תִּכְבַּד הָעֲבוֹדָה עַל הָאֲנָשִׁים </w:t>
      </w:r>
      <w:r>
        <w:rPr>
          <w:sz w:val="20"/>
          <w:szCs w:val="20"/>
          <w:rtl/>
        </w:rPr>
        <w:t>(שמות ה ט)</w:t>
      </w:r>
      <w:r>
        <w:rPr>
          <w:rtl/>
        </w:rPr>
        <w:t xml:space="preserve">, </w:t>
      </w:r>
      <w:r>
        <w:rPr>
          <w:rStyle w:val="Char"/>
          <w:rtl/>
          <w:lang w:eastAsia="en-US"/>
        </w:rPr>
        <w:t>כַּד גָּלַת בְּמָרָה אִתְּמַר בָּהּ</w:t>
      </w:r>
      <w:r>
        <w:rPr>
          <w:rtl/>
        </w:rPr>
        <w:t xml:space="preserve"> </w:t>
      </w:r>
      <w:r>
        <w:rPr>
          <w:sz w:val="20"/>
          <w:szCs w:val="20"/>
          <w:rtl/>
        </w:rPr>
        <w:t>(שם א יד)</w:t>
      </w:r>
      <w:r>
        <w:rPr>
          <w:rtl/>
        </w:rPr>
        <w:t xml:space="preserve"> וַיְמָרְרוּ אֶת חַיֵּיהֶם, כַּד גָּלַת בַּטְּחוֹל אִתְּמַר בָּהּ </w:t>
      </w:r>
      <w:r>
        <w:rPr>
          <w:sz w:val="20"/>
          <w:szCs w:val="20"/>
          <w:rtl/>
        </w:rPr>
        <w:t>(שם ו ט)</w:t>
      </w:r>
      <w:r>
        <w:rPr>
          <w:rtl/>
        </w:rPr>
        <w:t xml:space="preserve"> וְלֹא שָׁמְעוּ אֶל מֹשֶׁה </w:t>
      </w:r>
      <w:r>
        <w:rPr>
          <w:rStyle w:val="a7"/>
          <w:rFonts w:hAnsi="Arial"/>
          <w:b w:val="0"/>
          <w:bCs w:val="0"/>
          <w:rtl/>
          <w:lang w:eastAsia="en-US"/>
        </w:rPr>
        <w:footnoteReference w:id="2726"/>
      </w:r>
      <w:r>
        <w:rPr>
          <w:rtl/>
        </w:rPr>
        <w:t xml:space="preserve">מִקֹּצֶר רוּחַ דַּהֲוָה בְּבִטְנָם, וּמְעֲבוֹדָה קָשָׁה דַּהֲוָה בַּטְּחוֹל, וַהֲווֹ צָוְוחִין לְקוּדְשָׁא בְּרִיךְ הוּא מִנָּהּ, הֲדָא הוּא דִכְתִיב </w:t>
      </w:r>
      <w:r>
        <w:rPr>
          <w:sz w:val="20"/>
          <w:szCs w:val="20"/>
          <w:rtl/>
        </w:rPr>
        <w:t>(יונה ב ג)</w:t>
      </w:r>
      <w:r>
        <w:rPr>
          <w:rtl/>
        </w:rPr>
        <w:t xml:space="preserve"> מִבֶּטֶן שְׁאוֹל שִׁוַּעְתִּי שָׁמַעְתָּ קוֹלִי, וְאִתְּמַר בְּהוֹן </w:t>
      </w:r>
      <w:r>
        <w:rPr>
          <w:sz w:val="20"/>
          <w:szCs w:val="20"/>
          <w:rtl/>
        </w:rPr>
        <w:t>(שמות ב כג)</w:t>
      </w:r>
      <w:r>
        <w:rPr>
          <w:rtl/>
        </w:rPr>
        <w:t xml:space="preserve"> וַתַּעַל שַׁוְעָתָם אֶל הָאלהי''ם מִן הָעֲבוֹדָה, וְנִשְׁמָתָא בְגָלוּתָא בַתְרָאָה </w:t>
      </w:r>
      <w:r>
        <w:rPr>
          <w:rStyle w:val="a7"/>
          <w:rFonts w:hAnsi="Arial"/>
          <w:b w:val="0"/>
          <w:bCs w:val="0"/>
          <w:sz w:val="20"/>
          <w:szCs w:val="20"/>
          <w:rtl/>
          <w:lang w:eastAsia="en-US"/>
        </w:rPr>
        <w:footnoteReference w:id="2727"/>
      </w:r>
      <w:r>
        <w:rPr>
          <w:rStyle w:val="Char"/>
          <w:rtl/>
          <w:lang w:eastAsia="en-US"/>
        </w:rPr>
        <w:t>אִתְּמַר בָּהּ</w:t>
      </w:r>
      <w:r>
        <w:rPr>
          <w:rtl/>
        </w:rPr>
        <w:t xml:space="preserve"> </w:t>
      </w:r>
      <w:r>
        <w:rPr>
          <w:sz w:val="20"/>
          <w:szCs w:val="20"/>
          <w:rtl/>
        </w:rPr>
        <w:t>(רות ג ז)</w:t>
      </w:r>
      <w:r>
        <w:rPr>
          <w:rtl/>
        </w:rPr>
        <w:t xml:space="preserve"> וַתְּגַל מַרְגְּלוֹתָיו וַתִּשְׁכָּב, שְׁכִיבַת לְעַפְרָא, וַוי לֵיהּ לְבַר נַשׁ </w:t>
      </w:r>
      <w:r>
        <w:rPr>
          <w:rStyle w:val="a7"/>
          <w:rFonts w:hAnsi="Arial"/>
          <w:b w:val="0"/>
          <w:bCs w:val="0"/>
          <w:rtl/>
          <w:lang w:eastAsia="en-US"/>
        </w:rPr>
        <w:footnoteReference w:id="2728"/>
      </w:r>
      <w:r>
        <w:rPr>
          <w:rtl/>
        </w:rPr>
        <w:t xml:space="preserve">דְּנִשְׁמָתֵיהּ נְחִיתַת תְּחוֹת רַגְלוֹי, </w:t>
      </w:r>
      <w:r>
        <w:rPr>
          <w:rStyle w:val="a7"/>
          <w:rFonts w:hAnsi="Arial"/>
          <w:b w:val="0"/>
          <w:bCs w:val="0"/>
          <w:rtl/>
          <w:lang w:eastAsia="en-US"/>
        </w:rPr>
        <w:footnoteReference w:id="2729"/>
      </w:r>
      <w:r>
        <w:rPr>
          <w:rtl/>
        </w:rPr>
        <w:t xml:space="preserve">דִּבְהַהוּא זִמְנָא אִתְּמַר בְּמַזָּלֵיהּ </w:t>
      </w:r>
      <w:r>
        <w:rPr>
          <w:sz w:val="20"/>
          <w:szCs w:val="20"/>
          <w:rtl/>
        </w:rPr>
        <w:t>(עמוס ה ב)</w:t>
      </w:r>
      <w:r>
        <w:rPr>
          <w:rtl/>
        </w:rPr>
        <w:t xml:space="preserve"> נָפְלָה לֹא תוֹסִיף קוּם, </w:t>
      </w:r>
      <w:r>
        <w:rPr>
          <w:rStyle w:val="a7"/>
          <w:rFonts w:hAnsi="Arial"/>
          <w:b w:val="0"/>
          <w:bCs w:val="0"/>
          <w:rtl/>
          <w:lang w:eastAsia="en-US"/>
        </w:rPr>
        <w:footnoteReference w:id="2730"/>
      </w:r>
      <w:r>
        <w:rPr>
          <w:rtl/>
        </w:rPr>
        <w:t>וְלֵית לֵיהּ עִלּוּי וְסִלּוּק אֶלָּא בִידָא דְקוּדְשָׁא בְּרִיךְ הוּא, דְאָזִיל שְׁמָא קַדִּישָׁא לִימִינָא וְאוֹקִים לָהּ.</w:t>
      </w:r>
    </w:p>
    <w:p w:rsidR="002D629A" w:rsidRDefault="002D629A" w:rsidP="00B17EA9">
      <w:pPr>
        <w:pStyle w:val="NormalWeb"/>
        <w:rPr>
          <w:rtl/>
        </w:rPr>
      </w:pPr>
      <w:r>
        <w:rPr>
          <w:rtl/>
        </w:rPr>
        <w:t xml:space="preserve">וְרָזָא דְמִלָּה לִינִי הַלַּיְלָה וְהָיָה בַבֹּקֶר אִם יִגְאָלֵךְ טוֹב יִגְאָל </w:t>
      </w:r>
      <w:r>
        <w:rPr>
          <w:sz w:val="20"/>
          <w:szCs w:val="20"/>
          <w:rtl/>
        </w:rPr>
        <w:t>(רות ג יג)</w:t>
      </w:r>
      <w:r>
        <w:rPr>
          <w:rtl/>
        </w:rPr>
        <w:t xml:space="preserve">, טוֹב דְּאִיהוּ בְּרִית יִגְאָל, וְאִם לֹא יַחְפּוֹץ לְגָאֳלֵךְ וּגְאַלְתִּיךְ אָנֹכִי, חַי יהו''ה שִׁכְבִי עַד הַבֹּקֶר, </w:t>
      </w:r>
      <w:r>
        <w:rPr>
          <w:rStyle w:val="a7"/>
          <w:rFonts w:hAnsi="Arial"/>
          <w:b w:val="0"/>
          <w:bCs w:val="0"/>
          <w:rtl/>
          <w:lang w:eastAsia="en-US"/>
        </w:rPr>
        <w:footnoteReference w:id="2731"/>
      </w:r>
      <w:r>
        <w:rPr>
          <w:rtl/>
        </w:rPr>
        <w:t xml:space="preserve">אָנֹכִי דְאִיהִי אִימָּא עִלָּאָה, אָנֹכִי דִיצִיאַת מִצְרַיִם, חַי יהו''ה שִׁכְבִי עַד הַבֹּקֶר דְּאִיהִי יְמִינָא, דְבֵיהּ תּוּקְפָא דְאוֹרַיְיתָא דְבִכְתָב דְּאִיהִי עַמּוּדָא דְאֶמְצָעִיתָא, דְמִימִינָא אִתְיְיהִיבַת אוֹרַיְיתָא </w:t>
      </w:r>
      <w:r>
        <w:rPr>
          <w:rStyle w:val="a7"/>
          <w:rFonts w:hAnsi="Arial"/>
          <w:b w:val="0"/>
          <w:bCs w:val="0"/>
          <w:rtl/>
          <w:lang w:eastAsia="en-US"/>
        </w:rPr>
        <w:footnoteReference w:id="2732"/>
      </w:r>
      <w:r>
        <w:rPr>
          <w:rtl/>
        </w:rPr>
        <w:t>דְבִכְתָב, וּמִשְּׂמָאלָא אִתְיְיהִיבַת אוֹרַיְיתָא דְעַל פֶּה דְאִיהִי נוּקְבָא.</w:t>
      </w:r>
    </w:p>
    <w:p w:rsidR="002D629A" w:rsidRDefault="002D629A" w:rsidP="00B17EA9">
      <w:pPr>
        <w:pStyle w:val="NormalWeb"/>
        <w:rPr>
          <w:rtl/>
        </w:rPr>
      </w:pPr>
      <w:r>
        <w:rPr>
          <w:rStyle w:val="a7"/>
          <w:rFonts w:hAnsi="Arial"/>
          <w:b w:val="0"/>
          <w:bCs w:val="0"/>
          <w:rtl/>
          <w:lang w:eastAsia="en-US"/>
        </w:rPr>
        <w:footnoteReference w:id="2733"/>
      </w:r>
      <w:r>
        <w:rPr>
          <w:rtl/>
        </w:rPr>
        <w:t xml:space="preserve">וּבְגִין דָּא טוֹב, צַדִּיק, חַ''י עָלְמִין, אִיהוּ מִסִּטְרָא דִשְׂמָאלָא, דְאִיהוּ גִבּוֹר הַכּוֹבֵשׁ אֶת יִצְרוֹ דְאִיהוּ סמא''ל, וּבְגִין דָּא שְׂמֹאל דּוֹחֶה, וּבִימִינָא יֵקוּם </w:t>
      </w:r>
      <w:r>
        <w:rPr>
          <w:szCs w:val="20"/>
          <w:rtl/>
        </w:rPr>
        <w:t>(ס"א יקים לה)</w:t>
      </w:r>
      <w:r>
        <w:rPr>
          <w:rtl/>
        </w:rPr>
        <w:t xml:space="preserve">, דְּמָאן דְּנָפִיל לָא צָרִיךְ לְאַקָּמָא אֶלָּא בִידָא יְמִינָא, </w:t>
      </w:r>
      <w:r>
        <w:rPr>
          <w:rStyle w:val="a7"/>
          <w:rFonts w:hAnsi="Arial"/>
          <w:b w:val="0"/>
          <w:bCs w:val="0"/>
          <w:rtl/>
          <w:lang w:eastAsia="en-US"/>
        </w:rPr>
        <w:footnoteReference w:id="2734"/>
      </w:r>
      <w:r>
        <w:rPr>
          <w:rtl/>
        </w:rPr>
        <w:t>וּבְגִין דָּא חַי יהו''ה שִׁכְבִי עַד הַבֹּקֶר.</w:t>
      </w:r>
    </w:p>
    <w:p w:rsidR="002D629A" w:rsidRDefault="002D629A" w:rsidP="00B17EA9">
      <w:pPr>
        <w:pStyle w:val="aa"/>
        <w:rPr>
          <w:rtl/>
        </w:rPr>
      </w:pPr>
      <w:bookmarkStart w:id="211" w:name="_Toc228095656"/>
      <w:bookmarkStart w:id="212" w:name="_Toc231638094"/>
      <w:r>
        <w:rPr>
          <w:rtl/>
        </w:rPr>
        <w:t>[תיקוני זוהר - דף מד ע''א]</w:t>
      </w:r>
      <w:bookmarkEnd w:id="211"/>
      <w:bookmarkEnd w:id="212"/>
    </w:p>
    <w:p w:rsidR="002D629A" w:rsidRDefault="002D629A" w:rsidP="00B17EA9">
      <w:pPr>
        <w:pStyle w:val="NormalWeb"/>
        <w:rPr>
          <w:rtl/>
        </w:rPr>
      </w:pPr>
      <w:r>
        <w:rPr>
          <w:rStyle w:val="a7"/>
          <w:rFonts w:hAnsi="Arial"/>
          <w:b w:val="0"/>
          <w:bCs w:val="0"/>
          <w:rtl/>
          <w:lang w:eastAsia="en-US"/>
        </w:rPr>
        <w:footnoteReference w:id="2735"/>
      </w:r>
      <w:r>
        <w:rPr>
          <w:rtl/>
        </w:rPr>
        <w:t xml:space="preserve">וּשְׂמָאלָא אִיהִי רֹאשׁ הַשָּׁנָה, וִימִינָא פֶּסַח, וּבֵיהּ הֲוָה אוֹמָאָה בְּי''ד יוֹמִין, וְדָא אִיהוּ כִּי יָד עַל כֵּס י''הּ </w:t>
      </w:r>
      <w:r>
        <w:rPr>
          <w:sz w:val="20"/>
          <w:szCs w:val="20"/>
          <w:rtl/>
        </w:rPr>
        <w:t>(שמות יז טז)</w:t>
      </w:r>
      <w:r>
        <w:rPr>
          <w:rtl/>
        </w:rPr>
        <w:t xml:space="preserve">, </w:t>
      </w:r>
      <w:r>
        <w:rPr>
          <w:rStyle w:val="a7"/>
          <w:rFonts w:hAnsi="Arial"/>
          <w:b w:val="0"/>
          <w:bCs w:val="0"/>
          <w:rtl/>
          <w:lang w:eastAsia="en-US"/>
        </w:rPr>
        <w:footnoteReference w:id="2736"/>
      </w:r>
      <w:r>
        <w:rPr>
          <w:rStyle w:val="Char"/>
          <w:rtl/>
          <w:lang w:eastAsia="en-US"/>
        </w:rPr>
        <w:t>וְעַל הַהוּא זִמְנָא אִיהִי אָמְרַת</w:t>
      </w:r>
      <w:r>
        <w:rPr>
          <w:rtl/>
        </w:rPr>
        <w:t xml:space="preserve"> </w:t>
      </w:r>
      <w:r>
        <w:rPr>
          <w:sz w:val="20"/>
          <w:szCs w:val="20"/>
          <w:rtl/>
        </w:rPr>
        <w:t>(שיר א ו)</w:t>
      </w:r>
      <w:r>
        <w:rPr>
          <w:rtl/>
        </w:rPr>
        <w:t xml:space="preserve"> אַל תִּרְאוּנִי שֶׁאֲנִי שְׁחַרְחֹרֶת, אַל תִּרְאוּנִי מִסִּטְרָא דִשְׂמָאלָא דְיִצְחָק, דַּאֲנָא בְקַדְרוּתָא בֵיהּ, הֲדָא הוּא דִכְתִיב </w:t>
      </w:r>
      <w:r>
        <w:rPr>
          <w:sz w:val="20"/>
          <w:szCs w:val="20"/>
          <w:rtl/>
        </w:rPr>
        <w:t>(בראשית כז א)</w:t>
      </w:r>
      <w:r>
        <w:rPr>
          <w:rtl/>
        </w:rPr>
        <w:t xml:space="preserve"> וַתִּכְהֶיןָ עִינָיו מֵרְאוֹת, מֵרְאוֹת וַדַּאי בְּפוּרְקָנָא, דְּאִיהִי אוֹר מַרְאוֹת דִּנְבוּאָה, </w:t>
      </w:r>
      <w:r>
        <w:rPr>
          <w:sz w:val="20"/>
          <w:szCs w:val="20"/>
          <w:rtl/>
        </w:rPr>
        <w:t xml:space="preserve">(דף מד ע''א) </w:t>
      </w:r>
      <w:r>
        <w:rPr>
          <w:rtl/>
        </w:rPr>
        <w:t xml:space="preserve">דְּאִתְּמַר בְּהוֹן </w:t>
      </w:r>
      <w:r>
        <w:rPr>
          <w:sz w:val="20"/>
          <w:szCs w:val="20"/>
          <w:rtl/>
        </w:rPr>
        <w:t>(יחזקאל א א)</w:t>
      </w:r>
      <w:r>
        <w:rPr>
          <w:rtl/>
        </w:rPr>
        <w:t xml:space="preserve"> נִפְתְּחוּ הַשָּׁמַיִם וָאֶרְאֶה מַרְאוֹת אלהי''ם, וְדָא אִיהוּ וַתִּכְהֶיןָ עִינָיו מֵרְאוֹת מִסִּטְרָא דִשְׂמָאלָא, וְאִתְּמַר בְּהַהוּא זִמְנָא בְּקוּדְשָׁא בְּרִיךְ הוּא אַלְבִּישׁ שָׁמַיִם קַדְרוּת </w:t>
      </w:r>
      <w:r>
        <w:rPr>
          <w:sz w:val="20"/>
          <w:szCs w:val="20"/>
          <w:rtl/>
        </w:rPr>
        <w:t>(ישעיהו נ ג)</w:t>
      </w:r>
      <w:r>
        <w:rPr>
          <w:rtl/>
        </w:rPr>
        <w:t>.</w:t>
      </w:r>
    </w:p>
    <w:p w:rsidR="002D629A" w:rsidRDefault="002D629A" w:rsidP="00B17EA9">
      <w:pPr>
        <w:pStyle w:val="aa"/>
        <w:rPr>
          <w:rtl/>
        </w:rPr>
      </w:pPr>
      <w:bookmarkStart w:id="213" w:name="_Toc228095657"/>
      <w:bookmarkStart w:id="214" w:name="_Toc231638095"/>
      <w:r>
        <w:rPr>
          <w:rtl/>
        </w:rPr>
        <w:t>[תיקוני זוהר - דף מ ע''ב]</w:t>
      </w:r>
      <w:bookmarkEnd w:id="213"/>
      <w:bookmarkEnd w:id="214"/>
    </w:p>
    <w:p w:rsidR="002D629A" w:rsidRDefault="002D629A" w:rsidP="00B17EA9">
      <w:pPr>
        <w:pStyle w:val="NormalWeb"/>
        <w:rPr>
          <w:rtl/>
        </w:rPr>
      </w:pPr>
      <w:r>
        <w:rPr>
          <w:rStyle w:val="Char"/>
          <w:rtl/>
          <w:lang w:eastAsia="en-US"/>
        </w:rPr>
        <w:t xml:space="preserve">וְעַל </w:t>
      </w:r>
      <w:r>
        <w:rPr>
          <w:rtl/>
        </w:rPr>
        <w:t>אִלֵין חֲשׁוֹכִין כְּתִיב כִּי אִם עֲווֹנוֹתֵיכם הָיוּ מ</w:t>
      </w:r>
      <w:r>
        <w:rPr>
          <w:rStyle w:val="Char"/>
          <w:rtl/>
          <w:lang w:eastAsia="en-US"/>
        </w:rPr>
        <w:t>ַ</w:t>
      </w:r>
      <w:r>
        <w:rPr>
          <w:rtl/>
        </w:rPr>
        <w:t>ב</w:t>
      </w:r>
      <w:r>
        <w:rPr>
          <w:rStyle w:val="Char"/>
          <w:rtl/>
          <w:lang w:eastAsia="en-US"/>
        </w:rPr>
        <w:t>ְ</w:t>
      </w:r>
      <w:r>
        <w:rPr>
          <w:rtl/>
        </w:rPr>
        <w:t xml:space="preserve">דִילִים וגו' </w:t>
      </w:r>
      <w:r>
        <w:rPr>
          <w:rStyle w:val="a7"/>
          <w:rFonts w:hAnsi="Arial"/>
          <w:b w:val="0"/>
          <w:bCs w:val="0"/>
          <w:rtl/>
          <w:lang w:eastAsia="en-US"/>
        </w:rPr>
        <w:footnoteReference w:id="2737"/>
      </w:r>
      <w:r>
        <w:rPr>
          <w:rtl/>
        </w:rPr>
        <w:t>וּבְהַהוּא זִמְנָא מִת</w:t>
      </w:r>
      <w:r>
        <w:rPr>
          <w:rStyle w:val="Char"/>
          <w:rtl/>
          <w:lang w:eastAsia="en-US"/>
        </w:rPr>
        <w:t>ְ</w:t>
      </w:r>
      <w:r>
        <w:rPr>
          <w:rtl/>
        </w:rPr>
        <w:t>ה</w:t>
      </w:r>
      <w:r>
        <w:rPr>
          <w:rStyle w:val="Char"/>
          <w:rtl/>
          <w:lang w:eastAsia="en-US"/>
        </w:rPr>
        <w:t>ַ</w:t>
      </w:r>
      <w:r>
        <w:rPr>
          <w:rtl/>
        </w:rPr>
        <w:t>פּ</w:t>
      </w:r>
      <w:r>
        <w:rPr>
          <w:rStyle w:val="Char"/>
          <w:rtl/>
          <w:lang w:eastAsia="en-US"/>
        </w:rPr>
        <w:t>ְ</w:t>
      </w:r>
      <w:r>
        <w:rPr>
          <w:rtl/>
        </w:rPr>
        <w:t>כִין עַיְינִין מֵחשׁוֹכָא לִנ</w:t>
      </w:r>
      <w:r>
        <w:rPr>
          <w:rStyle w:val="Char"/>
          <w:rtl/>
          <w:lang w:eastAsia="en-US"/>
        </w:rPr>
        <w:t>ְ</w:t>
      </w:r>
      <w:r>
        <w:rPr>
          <w:rtl/>
        </w:rPr>
        <w:t>הוֹרָא, ו</w:t>
      </w:r>
      <w:r>
        <w:rPr>
          <w:rStyle w:val="Char"/>
          <w:rtl/>
          <w:lang w:eastAsia="en-US"/>
        </w:rPr>
        <w:t>ְ</w:t>
      </w:r>
      <w:r>
        <w:rPr>
          <w:rtl/>
        </w:rPr>
        <w:t>ר</w:t>
      </w:r>
      <w:r>
        <w:rPr>
          <w:rStyle w:val="Char"/>
          <w:rtl/>
          <w:lang w:eastAsia="en-US"/>
        </w:rPr>
        <w:t>ַ</w:t>
      </w:r>
      <w:r>
        <w:rPr>
          <w:rtl/>
        </w:rPr>
        <w:t>זָא ד</w:t>
      </w:r>
      <w:r>
        <w:rPr>
          <w:rStyle w:val="Char"/>
          <w:rtl/>
          <w:lang w:eastAsia="en-US"/>
        </w:rPr>
        <w:t>ְ</w:t>
      </w:r>
      <w:r>
        <w:rPr>
          <w:rtl/>
        </w:rPr>
        <w:t>מִלָה שׁוֹפ</w:t>
      </w:r>
      <w:r>
        <w:rPr>
          <w:rStyle w:val="Char"/>
          <w:rtl/>
          <w:lang w:eastAsia="en-US"/>
        </w:rPr>
        <w:t>ַ</w:t>
      </w:r>
      <w:r>
        <w:rPr>
          <w:rtl/>
        </w:rPr>
        <w:t>ר מ</w:t>
      </w:r>
      <w:r>
        <w:rPr>
          <w:rStyle w:val="Char"/>
          <w:rtl/>
          <w:lang w:eastAsia="en-US"/>
        </w:rPr>
        <w:t>ְ</w:t>
      </w:r>
      <w:r>
        <w:rPr>
          <w:rtl/>
        </w:rPr>
        <w:t>הוּפּ</w:t>
      </w:r>
      <w:r>
        <w:rPr>
          <w:rStyle w:val="Char"/>
          <w:rtl/>
          <w:lang w:eastAsia="en-US"/>
        </w:rPr>
        <w:t>ַ</w:t>
      </w:r>
      <w:r>
        <w:rPr>
          <w:rtl/>
        </w:rPr>
        <w:t>ך ק</w:t>
      </w:r>
      <w:r>
        <w:rPr>
          <w:rStyle w:val="Char"/>
          <w:rtl/>
          <w:lang w:eastAsia="en-US"/>
        </w:rPr>
        <w:t>ַ</w:t>
      </w:r>
      <w:r>
        <w:rPr>
          <w:rtl/>
        </w:rPr>
        <w:t>ד</w:t>
      </w:r>
      <w:r>
        <w:rPr>
          <w:rStyle w:val="Char"/>
          <w:rtl/>
          <w:lang w:eastAsia="en-US"/>
        </w:rPr>
        <w:t>ְ</w:t>
      </w:r>
      <w:r>
        <w:rPr>
          <w:rtl/>
        </w:rPr>
        <w:t>מָא זָקֵף קָטָן, ה</w:t>
      </w:r>
      <w:r>
        <w:rPr>
          <w:rStyle w:val="Char"/>
          <w:rtl/>
          <w:lang w:eastAsia="en-US"/>
        </w:rPr>
        <w:t>ַ</w:t>
      </w:r>
      <w:r>
        <w:rPr>
          <w:rtl/>
        </w:rPr>
        <w:t>הוּא ד</w:t>
      </w:r>
      <w:r>
        <w:rPr>
          <w:rStyle w:val="Char"/>
          <w:rtl/>
          <w:lang w:eastAsia="en-US"/>
        </w:rPr>
        <w:t xml:space="preserve">ְאִתְּמַר </w:t>
      </w:r>
      <w:r>
        <w:rPr>
          <w:rtl/>
        </w:rPr>
        <w:t xml:space="preserve">בֵּיה </w:t>
      </w:r>
      <w:r>
        <w:rPr>
          <w:rStyle w:val="a7"/>
          <w:rFonts w:hAnsi="Arial"/>
          <w:b w:val="0"/>
          <w:bCs w:val="0"/>
          <w:rtl/>
          <w:lang w:eastAsia="en-US"/>
        </w:rPr>
        <w:footnoteReference w:id="2738"/>
      </w:r>
      <w:r>
        <w:rPr>
          <w:rtl/>
        </w:rPr>
        <w:t>קָטֹנ</w:t>
      </w:r>
      <w:r>
        <w:rPr>
          <w:rStyle w:val="Char"/>
          <w:rtl/>
          <w:lang w:eastAsia="en-US"/>
        </w:rPr>
        <w:t>ְ</w:t>
      </w:r>
      <w:r>
        <w:rPr>
          <w:rtl/>
        </w:rPr>
        <w:t>תִי מִכֹּל ה</w:t>
      </w:r>
      <w:r>
        <w:rPr>
          <w:rStyle w:val="Char"/>
          <w:rtl/>
          <w:lang w:eastAsia="en-US"/>
        </w:rPr>
        <w:t>ַ</w:t>
      </w:r>
      <w:r>
        <w:rPr>
          <w:rtl/>
        </w:rPr>
        <w:t>חֲסָדִים וּמִכֹּל הָאֶמֶת, הָאֶמֶת אִז</w:t>
      </w:r>
      <w:r>
        <w:rPr>
          <w:rStyle w:val="Char"/>
          <w:rtl/>
          <w:lang w:eastAsia="en-US"/>
        </w:rPr>
        <w:t>ְ</w:t>
      </w:r>
      <w:r>
        <w:rPr>
          <w:rtl/>
        </w:rPr>
        <w:t>ד</w:t>
      </w:r>
      <w:r>
        <w:rPr>
          <w:rStyle w:val="Char"/>
          <w:rtl/>
          <w:lang w:eastAsia="en-US"/>
        </w:rPr>
        <w:t>ְ</w:t>
      </w:r>
      <w:r>
        <w:rPr>
          <w:rtl/>
        </w:rPr>
        <w:t>ק</w:t>
      </w:r>
      <w:r>
        <w:rPr>
          <w:rStyle w:val="Char"/>
          <w:rtl/>
          <w:lang w:eastAsia="en-US"/>
        </w:rPr>
        <w:t>ַ</w:t>
      </w:r>
      <w:r>
        <w:rPr>
          <w:rtl/>
        </w:rPr>
        <w:t xml:space="preserve">ף </w:t>
      </w:r>
      <w:r>
        <w:rPr>
          <w:rStyle w:val="a7"/>
          <w:rFonts w:hAnsi="Arial"/>
          <w:b w:val="0"/>
          <w:bCs w:val="0"/>
          <w:rtl/>
          <w:lang w:eastAsia="en-US"/>
        </w:rPr>
        <w:footnoteReference w:id="2739"/>
      </w:r>
      <w:r>
        <w:rPr>
          <w:rtl/>
        </w:rPr>
        <w:t>ו</w:t>
      </w:r>
      <w:r>
        <w:rPr>
          <w:rStyle w:val="Char"/>
          <w:rtl/>
          <w:lang w:eastAsia="en-US"/>
        </w:rPr>
        <w:t>ְ</w:t>
      </w:r>
      <w:r>
        <w:rPr>
          <w:rtl/>
        </w:rPr>
        <w:t>אִק</w:t>
      </w:r>
      <w:r>
        <w:rPr>
          <w:rStyle w:val="Char"/>
          <w:rtl/>
          <w:lang w:eastAsia="en-US"/>
        </w:rPr>
        <w:t>ְ</w:t>
      </w:r>
      <w:r>
        <w:rPr>
          <w:rtl/>
        </w:rPr>
        <w:t xml:space="preserve">רֵי זָקֵף גָדוֹל, </w:t>
      </w:r>
      <w:r>
        <w:rPr>
          <w:rStyle w:val="a7"/>
          <w:rFonts w:hAnsi="Arial"/>
          <w:b w:val="0"/>
          <w:bCs w:val="0"/>
          <w:rtl/>
          <w:lang w:eastAsia="en-US"/>
        </w:rPr>
        <w:footnoteReference w:id="2740"/>
      </w:r>
      <w:r>
        <w:rPr>
          <w:rtl/>
        </w:rPr>
        <w:t>ו</w:t>
      </w:r>
      <w:r>
        <w:rPr>
          <w:rStyle w:val="Char"/>
          <w:rtl/>
          <w:lang w:eastAsia="en-US"/>
        </w:rPr>
        <w:t>ְ</w:t>
      </w:r>
      <w:r>
        <w:rPr>
          <w:rtl/>
        </w:rPr>
        <w:t>לֵית אֶמֶת אֶלָא אוֹר</w:t>
      </w:r>
      <w:r>
        <w:rPr>
          <w:rStyle w:val="Char"/>
          <w:rtl/>
          <w:lang w:eastAsia="en-US"/>
        </w:rPr>
        <w:t>ַ</w:t>
      </w:r>
      <w:r>
        <w:rPr>
          <w:rtl/>
        </w:rPr>
        <w:t>י</w:t>
      </w:r>
      <w:r>
        <w:rPr>
          <w:rStyle w:val="Char"/>
          <w:rtl/>
          <w:lang w:eastAsia="en-US"/>
        </w:rPr>
        <w:t>ְ</w:t>
      </w:r>
      <w:r>
        <w:rPr>
          <w:rtl/>
        </w:rPr>
        <w:t>יתָא דִמ</w:t>
      </w:r>
      <w:r>
        <w:rPr>
          <w:rStyle w:val="Char"/>
          <w:rtl/>
          <w:lang w:eastAsia="en-US"/>
        </w:rPr>
        <w:t>ְ</w:t>
      </w:r>
      <w:r>
        <w:rPr>
          <w:rtl/>
        </w:rPr>
        <w:t>ה</w:t>
      </w:r>
      <w:r>
        <w:rPr>
          <w:rStyle w:val="Char"/>
          <w:rtl/>
          <w:lang w:eastAsia="en-US"/>
        </w:rPr>
        <w:t>ַ</w:t>
      </w:r>
      <w:r>
        <w:rPr>
          <w:rtl/>
        </w:rPr>
        <w:t>פּ</w:t>
      </w:r>
      <w:r>
        <w:rPr>
          <w:rStyle w:val="Char"/>
          <w:rtl/>
          <w:lang w:eastAsia="en-US"/>
        </w:rPr>
        <w:t>ְ</w:t>
      </w:r>
      <w:r>
        <w:rPr>
          <w:rtl/>
        </w:rPr>
        <w:t>כִין בָּה צ</w:t>
      </w:r>
      <w:r>
        <w:rPr>
          <w:rStyle w:val="Char"/>
          <w:rtl/>
          <w:lang w:eastAsia="en-US"/>
        </w:rPr>
        <w:t>ַ</w:t>
      </w:r>
      <w:r>
        <w:rPr>
          <w:rtl/>
        </w:rPr>
        <w:t>דִיקֵי דִּינָא ל</w:t>
      </w:r>
      <w:r>
        <w:rPr>
          <w:rStyle w:val="Char"/>
          <w:rtl/>
          <w:lang w:eastAsia="en-US"/>
        </w:rPr>
        <w:t>ְ</w:t>
      </w:r>
      <w:r>
        <w:rPr>
          <w:rtl/>
        </w:rPr>
        <w:t>ר</w:t>
      </w:r>
      <w:r>
        <w:rPr>
          <w:rStyle w:val="Char"/>
          <w:rtl/>
          <w:lang w:eastAsia="en-US"/>
        </w:rPr>
        <w:t>ַ</w:t>
      </w:r>
      <w:r>
        <w:rPr>
          <w:rtl/>
        </w:rPr>
        <w:t>חֲמֵי, הה"ד תּוֹר</w:t>
      </w:r>
      <w:r>
        <w:rPr>
          <w:rStyle w:val="Char"/>
          <w:rtl/>
          <w:lang w:eastAsia="en-US"/>
        </w:rPr>
        <w:t>ַ</w:t>
      </w:r>
      <w:r>
        <w:rPr>
          <w:rtl/>
        </w:rPr>
        <w:t>ת אֶמֶת הָי</w:t>
      </w:r>
      <w:r>
        <w:rPr>
          <w:rStyle w:val="Char"/>
          <w:rtl/>
          <w:lang w:eastAsia="en-US"/>
        </w:rPr>
        <w:t>ְ</w:t>
      </w:r>
      <w:r>
        <w:rPr>
          <w:rtl/>
        </w:rPr>
        <w:t>תָה בּ</w:t>
      </w:r>
      <w:r>
        <w:rPr>
          <w:rStyle w:val="Char"/>
          <w:rtl/>
          <w:lang w:eastAsia="en-US"/>
        </w:rPr>
        <w:t>ְ</w:t>
      </w:r>
      <w:r>
        <w:rPr>
          <w:rtl/>
        </w:rPr>
        <w:t>פִיהוּ, בּ</w:t>
      </w:r>
      <w:r>
        <w:rPr>
          <w:rStyle w:val="Char"/>
          <w:rtl/>
          <w:lang w:eastAsia="en-US"/>
        </w:rPr>
        <w:t>ְ</w:t>
      </w:r>
      <w:r>
        <w:rPr>
          <w:rtl/>
        </w:rPr>
        <w:t>ה</w:t>
      </w:r>
      <w:r>
        <w:rPr>
          <w:rStyle w:val="Char"/>
          <w:rtl/>
          <w:lang w:eastAsia="en-US"/>
        </w:rPr>
        <w:t>ַ</w:t>
      </w:r>
      <w:r>
        <w:rPr>
          <w:rtl/>
        </w:rPr>
        <w:t>הוּא זִמ</w:t>
      </w:r>
      <w:r>
        <w:rPr>
          <w:rStyle w:val="Char"/>
          <w:rtl/>
          <w:lang w:eastAsia="en-US"/>
        </w:rPr>
        <w:t>ְ</w:t>
      </w:r>
      <w:r>
        <w:rPr>
          <w:rtl/>
        </w:rPr>
        <w:t>נָא אִת</w:t>
      </w:r>
      <w:r>
        <w:rPr>
          <w:rStyle w:val="Char"/>
          <w:rtl/>
          <w:lang w:eastAsia="en-US"/>
        </w:rPr>
        <w:t>ְ</w:t>
      </w:r>
      <w:r>
        <w:rPr>
          <w:rtl/>
        </w:rPr>
        <w:t>ה</w:t>
      </w:r>
      <w:r>
        <w:rPr>
          <w:rStyle w:val="Char"/>
          <w:rtl/>
          <w:lang w:eastAsia="en-US"/>
        </w:rPr>
        <w:t>ַ</w:t>
      </w:r>
      <w:r>
        <w:rPr>
          <w:rtl/>
        </w:rPr>
        <w:t>פֵּך כּור</w:t>
      </w:r>
      <w:r>
        <w:rPr>
          <w:rStyle w:val="Char"/>
          <w:rtl/>
          <w:lang w:eastAsia="en-US"/>
        </w:rPr>
        <w:t>ְ</w:t>
      </w:r>
      <w:r>
        <w:rPr>
          <w:rtl/>
        </w:rPr>
        <w:t>ס</w:t>
      </w:r>
      <w:r>
        <w:rPr>
          <w:rStyle w:val="Char"/>
          <w:rtl/>
          <w:lang w:eastAsia="en-US"/>
        </w:rPr>
        <w:t>ַ</w:t>
      </w:r>
      <w:r>
        <w:rPr>
          <w:rtl/>
        </w:rPr>
        <w:t>יָא מִדִינָא ל</w:t>
      </w:r>
      <w:r>
        <w:rPr>
          <w:rStyle w:val="Char"/>
          <w:rtl/>
          <w:lang w:eastAsia="en-US"/>
        </w:rPr>
        <w:t>ְ</w:t>
      </w:r>
      <w:r>
        <w:rPr>
          <w:rtl/>
        </w:rPr>
        <w:t>ר</w:t>
      </w:r>
      <w:r>
        <w:rPr>
          <w:rStyle w:val="Char"/>
          <w:rtl/>
          <w:lang w:eastAsia="en-US"/>
        </w:rPr>
        <w:t>ַ</w:t>
      </w:r>
      <w:r>
        <w:rPr>
          <w:rtl/>
        </w:rPr>
        <w:t>חֲמֵי, ו</w:t>
      </w:r>
      <w:r>
        <w:rPr>
          <w:rStyle w:val="Char"/>
          <w:rtl/>
          <w:lang w:eastAsia="en-US"/>
        </w:rPr>
        <w:t>ְ</w:t>
      </w:r>
      <w:r>
        <w:rPr>
          <w:rtl/>
        </w:rPr>
        <w:t>דָא אִיהוּ דּ</w:t>
      </w:r>
      <w:r>
        <w:rPr>
          <w:rStyle w:val="Char"/>
          <w:rtl/>
          <w:lang w:eastAsia="en-US"/>
        </w:rPr>
        <w:t>ְ</w:t>
      </w:r>
      <w:r>
        <w:rPr>
          <w:rtl/>
        </w:rPr>
        <w:t>אוּקמוּהוּ מ</w:t>
      </w:r>
      <w:r>
        <w:rPr>
          <w:rStyle w:val="Char"/>
          <w:rtl/>
          <w:lang w:eastAsia="en-US"/>
        </w:rPr>
        <w:t>ַ</w:t>
      </w:r>
      <w:r>
        <w:rPr>
          <w:rtl/>
        </w:rPr>
        <w:t>ארֵי מ</w:t>
      </w:r>
      <w:r>
        <w:rPr>
          <w:rStyle w:val="Char"/>
          <w:rtl/>
          <w:lang w:eastAsia="en-US"/>
        </w:rPr>
        <w:t>ַ</w:t>
      </w:r>
      <w:r>
        <w:rPr>
          <w:rtl/>
        </w:rPr>
        <w:t>ת</w:t>
      </w:r>
      <w:r>
        <w:rPr>
          <w:rStyle w:val="Char"/>
          <w:rtl/>
          <w:lang w:eastAsia="en-US"/>
        </w:rPr>
        <w:t>ְ</w:t>
      </w:r>
      <w:r>
        <w:rPr>
          <w:rtl/>
        </w:rPr>
        <w:t>נִיתִין דּ</w:t>
      </w:r>
      <w:r>
        <w:rPr>
          <w:rStyle w:val="Char"/>
          <w:rtl/>
          <w:lang w:eastAsia="en-US"/>
        </w:rPr>
        <w:t>ְ</w:t>
      </w:r>
      <w:r>
        <w:rPr>
          <w:rtl/>
        </w:rPr>
        <w:t>צ</w:t>
      </w:r>
      <w:r>
        <w:rPr>
          <w:rStyle w:val="Char"/>
          <w:rtl/>
          <w:lang w:eastAsia="en-US"/>
        </w:rPr>
        <w:t>ַ</w:t>
      </w:r>
      <w:r>
        <w:rPr>
          <w:rtl/>
        </w:rPr>
        <w:t>דִיק</w:t>
      </w:r>
      <w:r>
        <w:rPr>
          <w:rStyle w:val="Char"/>
          <w:rtl/>
          <w:lang w:eastAsia="en-US"/>
        </w:rPr>
        <w:t>ַ</w:t>
      </w:r>
      <w:r>
        <w:rPr>
          <w:rtl/>
        </w:rPr>
        <w:t>יָא מ</w:t>
      </w:r>
      <w:r>
        <w:rPr>
          <w:rStyle w:val="Char"/>
          <w:rtl/>
          <w:lang w:eastAsia="en-US"/>
        </w:rPr>
        <w:t>ְ</w:t>
      </w:r>
      <w:r>
        <w:rPr>
          <w:rtl/>
        </w:rPr>
        <w:t>ה</w:t>
      </w:r>
      <w:r>
        <w:rPr>
          <w:rStyle w:val="Char"/>
          <w:rtl/>
          <w:lang w:eastAsia="en-US"/>
        </w:rPr>
        <w:t>ַ</w:t>
      </w:r>
      <w:r>
        <w:rPr>
          <w:rtl/>
        </w:rPr>
        <w:t>פּ</w:t>
      </w:r>
      <w:r>
        <w:rPr>
          <w:rStyle w:val="Char"/>
          <w:rtl/>
          <w:lang w:eastAsia="en-US"/>
        </w:rPr>
        <w:t>ְ</w:t>
      </w:r>
      <w:r>
        <w:rPr>
          <w:rtl/>
        </w:rPr>
        <w:t>כִין מִד</w:t>
      </w:r>
      <w:r>
        <w:rPr>
          <w:rStyle w:val="Char"/>
          <w:rtl/>
          <w:lang w:eastAsia="en-US"/>
        </w:rPr>
        <w:t>ַ</w:t>
      </w:r>
      <w:r>
        <w:rPr>
          <w:rtl/>
        </w:rPr>
        <w:t>ת ה</w:t>
      </w:r>
      <w:r>
        <w:rPr>
          <w:rStyle w:val="Char"/>
          <w:rtl/>
          <w:lang w:eastAsia="en-US"/>
        </w:rPr>
        <w:t>ַ</w:t>
      </w:r>
      <w:r>
        <w:rPr>
          <w:rtl/>
        </w:rPr>
        <w:t>דִּין ל</w:t>
      </w:r>
      <w:r>
        <w:rPr>
          <w:rStyle w:val="Char"/>
          <w:rtl/>
          <w:lang w:eastAsia="en-US"/>
        </w:rPr>
        <w:t>ְ</w:t>
      </w:r>
      <w:r>
        <w:rPr>
          <w:rtl/>
        </w:rPr>
        <w:t>מִד</w:t>
      </w:r>
      <w:r>
        <w:rPr>
          <w:rStyle w:val="Char"/>
          <w:rtl/>
          <w:lang w:eastAsia="en-US"/>
        </w:rPr>
        <w:t>ַ</w:t>
      </w:r>
      <w:r>
        <w:rPr>
          <w:rtl/>
        </w:rPr>
        <w:t>ת הָר</w:t>
      </w:r>
      <w:r>
        <w:rPr>
          <w:rStyle w:val="Char"/>
          <w:rtl/>
          <w:lang w:eastAsia="en-US"/>
        </w:rPr>
        <w:t>ַ</w:t>
      </w:r>
      <w:r>
        <w:rPr>
          <w:rtl/>
        </w:rPr>
        <w:t xml:space="preserve">חֲמִים. </w:t>
      </w:r>
      <w:r>
        <w:rPr>
          <w:rStyle w:val="a7"/>
          <w:rFonts w:hAnsi="Arial"/>
          <w:b w:val="0"/>
          <w:bCs w:val="0"/>
          <w:rtl/>
          <w:lang w:eastAsia="en-US"/>
        </w:rPr>
        <w:footnoteReference w:id="2741"/>
      </w:r>
      <w:r>
        <w:rPr>
          <w:rtl/>
        </w:rPr>
        <w:t>נִשׁ</w:t>
      </w:r>
      <w:r>
        <w:rPr>
          <w:rStyle w:val="Char"/>
          <w:rtl/>
          <w:lang w:eastAsia="en-US"/>
        </w:rPr>
        <w:t>ְ</w:t>
      </w:r>
      <w:r>
        <w:rPr>
          <w:rtl/>
        </w:rPr>
        <w:t>מ</w:t>
      </w:r>
      <w:r>
        <w:rPr>
          <w:rStyle w:val="Char"/>
          <w:rtl/>
          <w:lang w:eastAsia="en-US"/>
        </w:rPr>
        <w:t>ְ</w:t>
      </w:r>
      <w:r>
        <w:rPr>
          <w:rtl/>
        </w:rPr>
        <w:t xml:space="preserve">תָא </w:t>
      </w:r>
      <w:r>
        <w:rPr>
          <w:rStyle w:val="Char"/>
          <w:rtl/>
          <w:lang w:eastAsia="en-US"/>
        </w:rPr>
        <w:t xml:space="preserve">אִתְּמַר </w:t>
      </w:r>
      <w:r>
        <w:rPr>
          <w:rtl/>
        </w:rPr>
        <w:t>בָּה נֵר ד' נִשׁ</w:t>
      </w:r>
      <w:r>
        <w:rPr>
          <w:rStyle w:val="Char"/>
          <w:rtl/>
          <w:lang w:eastAsia="en-US"/>
        </w:rPr>
        <w:t>ְ</w:t>
      </w:r>
      <w:r>
        <w:rPr>
          <w:rtl/>
        </w:rPr>
        <w:t>מ</w:t>
      </w:r>
      <w:r>
        <w:rPr>
          <w:rStyle w:val="Char"/>
          <w:rtl/>
          <w:lang w:eastAsia="en-US"/>
        </w:rPr>
        <w:t>ַ</w:t>
      </w:r>
      <w:r>
        <w:rPr>
          <w:rtl/>
        </w:rPr>
        <w:t xml:space="preserve">ת אָדָם. נֵר אִיהִי ה', חָמֵשׁ גַּוָּונִין נְהִירִין בָּהּ, וְאִינוּן חִוָּור סוּמַק יָרוֹק וְאוּכַם וּתְכֵלֶת, ו' אוֹר הַנֵּר מִלְּגָאו, </w:t>
      </w:r>
      <w:r>
        <w:rPr>
          <w:rStyle w:val="a7"/>
          <w:rFonts w:hAnsi="Arial"/>
          <w:b w:val="0"/>
          <w:bCs w:val="0"/>
          <w:rtl/>
          <w:lang w:eastAsia="en-US"/>
        </w:rPr>
        <w:footnoteReference w:id="2742"/>
      </w:r>
      <w:r>
        <w:rPr>
          <w:rtl/>
        </w:rPr>
        <w:t xml:space="preserve">סמא''ל חֹשֶׁךְ, נָחָשׁ קַדְרוּת, וַעֲלָהּ אִתְּמַר אַלְבִּישׁ שָׁמַיִם קַדְרוּת </w:t>
      </w:r>
      <w:r>
        <w:rPr>
          <w:rStyle w:val="a7"/>
          <w:rFonts w:hAnsi="Arial"/>
          <w:b w:val="0"/>
          <w:bCs w:val="0"/>
          <w:rtl/>
          <w:lang w:eastAsia="en-US"/>
        </w:rPr>
        <w:footnoteReference w:id="2743"/>
      </w:r>
      <w:r>
        <w:rPr>
          <w:rtl/>
        </w:rPr>
        <w:t xml:space="preserve">נוּקְבָא דִילֵיהּ וְשַׂק אָשִׂים כְּסוּתָם, </w:t>
      </w:r>
      <w:r>
        <w:rPr>
          <w:rStyle w:val="a7"/>
          <w:rFonts w:hAnsi="Arial"/>
          <w:b w:val="0"/>
          <w:bCs w:val="0"/>
          <w:rtl/>
          <w:lang w:eastAsia="en-US"/>
        </w:rPr>
        <w:footnoteReference w:id="2744"/>
      </w:r>
      <w:r>
        <w:rPr>
          <w:rtl/>
        </w:rPr>
        <w:t xml:space="preserve">וַוי לְנִשְׁמָתָא כַּד אִתְלַבְּשַׁת בְּקַדְרוּתָא דִלְהוֹן, וַעֲלֵיהּ אִתְּמַר </w:t>
      </w:r>
      <w:r>
        <w:rPr>
          <w:rStyle w:val="a7"/>
          <w:rFonts w:hAnsi="Arial"/>
          <w:b w:val="0"/>
          <w:bCs w:val="0"/>
          <w:rtl/>
          <w:lang w:eastAsia="en-US"/>
        </w:rPr>
        <w:footnoteReference w:id="2745"/>
      </w:r>
      <w:r>
        <w:rPr>
          <w:rtl/>
        </w:rPr>
        <w:t xml:space="preserve">וַתִּכְהֶיןָ עִינָיו מֵרְאוֹת, </w:t>
      </w:r>
      <w:r>
        <w:rPr>
          <w:sz w:val="20"/>
          <w:szCs w:val="20"/>
          <w:rtl/>
        </w:rPr>
        <w:t xml:space="preserve">(דף מ ע''ב) </w:t>
      </w:r>
      <w:r>
        <w:rPr>
          <w:rStyle w:val="a7"/>
          <w:rFonts w:hAnsi="Arial"/>
          <w:b w:val="0"/>
          <w:bCs w:val="0"/>
          <w:rtl/>
          <w:lang w:eastAsia="en-US"/>
        </w:rPr>
        <w:footnoteReference w:id="2746"/>
      </w:r>
      <w:r>
        <w:rPr>
          <w:rtl/>
        </w:rPr>
        <w:t>וְאִינוּן חֲשׁוֹכִין דִּמְכַסְּיָין עַל עַיְינִין, דְּלֵית לוֹן רְשׁוּ לְאִסְתַּכְּלָא בְּקוּדְשָׁא בְּרִיךְ הוּא וּשְׁכִינְתֵּיהּ.</w:t>
      </w:r>
    </w:p>
    <w:p w:rsidR="002D629A" w:rsidRDefault="002D629A" w:rsidP="00B17EA9">
      <w:pPr>
        <w:pStyle w:val="NormalWeb"/>
        <w:rPr>
          <w:rtl/>
        </w:rPr>
      </w:pPr>
      <w:r>
        <w:rPr>
          <w:rtl/>
        </w:rPr>
        <w:t xml:space="preserve">וְאוֹר וְנֵר דְּנַהֲרִין </w:t>
      </w:r>
      <w:r>
        <w:rPr>
          <w:sz w:val="20"/>
          <w:szCs w:val="20"/>
          <w:rtl/>
        </w:rPr>
        <w:t>(נ''א דחשכו)</w:t>
      </w:r>
      <w:r>
        <w:rPr>
          <w:rtl/>
        </w:rPr>
        <w:t xml:space="preserve"> </w:t>
      </w:r>
      <w:r>
        <w:rPr>
          <w:rStyle w:val="Char"/>
          <w:rtl/>
          <w:lang w:eastAsia="en-US"/>
        </w:rPr>
        <w:t>בְּהוֹן, אִתְּמַר בְּהוֹן</w:t>
      </w:r>
      <w:r>
        <w:rPr>
          <w:rtl/>
        </w:rPr>
        <w:t xml:space="preserve"> </w:t>
      </w:r>
      <w:r>
        <w:rPr>
          <w:sz w:val="20"/>
          <w:szCs w:val="20"/>
          <w:rtl/>
        </w:rPr>
        <w:t>(קהלת יב ג)</w:t>
      </w:r>
      <w:r>
        <w:rPr>
          <w:rtl/>
        </w:rPr>
        <w:t xml:space="preserve"> </w:t>
      </w:r>
      <w:r>
        <w:rPr>
          <w:rStyle w:val="a7"/>
          <w:rFonts w:hAnsi="Arial"/>
          <w:b w:val="0"/>
          <w:bCs w:val="0"/>
          <w:rtl/>
          <w:lang w:eastAsia="en-US"/>
        </w:rPr>
        <w:footnoteReference w:id="2747"/>
      </w:r>
      <w:r>
        <w:rPr>
          <w:rtl/>
        </w:rPr>
        <w:t xml:space="preserve">וְחָשְׁכוּ הָרוֹאוֹת בָּאֲרֻבּוֹת, כְּמָה דְּאָמַר קֹהֶלֶת </w:t>
      </w:r>
      <w:r>
        <w:rPr>
          <w:sz w:val="20"/>
          <w:szCs w:val="20"/>
          <w:rtl/>
        </w:rPr>
        <w:t>(שם ב)</w:t>
      </w:r>
      <w:r>
        <w:rPr>
          <w:rtl/>
        </w:rPr>
        <w:t xml:space="preserve"> עַד אֲשֶׁר לֹא תֶחְשַׁךְ הַשֶּׁמֶשׁ וְהָאוֹר וְגוֹמֵר, וְאוֹר וְנֵר עֲלַיְיהוּ אִתְּמַר </w:t>
      </w:r>
      <w:r>
        <w:rPr>
          <w:sz w:val="20"/>
          <w:szCs w:val="20"/>
          <w:rtl/>
        </w:rPr>
        <w:t>(משלי ו כג)</w:t>
      </w:r>
      <w:r>
        <w:rPr>
          <w:rtl/>
        </w:rPr>
        <w:t xml:space="preserve"> כִּי נֵר מִצְוָה וְתוֹרָה אוֹר, </w:t>
      </w:r>
      <w:r>
        <w:rPr>
          <w:rStyle w:val="a7"/>
          <w:rFonts w:hAnsi="Arial"/>
          <w:b w:val="0"/>
          <w:bCs w:val="0"/>
          <w:rtl/>
          <w:lang w:eastAsia="en-US"/>
        </w:rPr>
        <w:footnoteReference w:id="2748"/>
      </w:r>
      <w:r>
        <w:rPr>
          <w:rtl/>
        </w:rPr>
        <w:t xml:space="preserve">וְאַמַּאי אִתְחַשְׁכָן בְּהוֹן, בְּגִין דְּלָא הֲווֹ מִשְׁתַּדְלִין בְּאוֹרַיְיתָא וּמִצְוָה, בִּדְחִילוּ וּבִרְחִימוּ דְאִינוּן י''ה, וּמִיָּד דְּמִשְׁתַּדְלִין בְּהוֹן בִּדְחִילוּ וּרְחִימוּ, אוֹמָאָה אִיהוּ לְקוּדְשָׁא בְּרִיךְ הוּא בְּי''ה דְּאִינוּן דְּחִילוּ וּרְחִימוּ, לְאַעְבָּרָא לוֹן מֵעָלְמָא דְנִשְׁמָתָא, בְגִין דְּאִינוּן חֲשׁוֹכִין אַפְרִישִׁין בֵּין י''ה וּבֵין ו''ה, כְּמָה דְאוּקְמוּהוּ דִכְתִיב </w:t>
      </w:r>
      <w:r>
        <w:rPr>
          <w:sz w:val="20"/>
          <w:szCs w:val="20"/>
          <w:rtl/>
        </w:rPr>
        <w:t>(שמות יז טז)</w:t>
      </w:r>
      <w:r>
        <w:rPr>
          <w:rtl/>
        </w:rPr>
        <w:t xml:space="preserve"> כִּי יָד עַל כֵּס י''ה, וּבְהַהוּא זִמְנָא אִתְּמַר בְּאָדָם לָבְשׁוּ שָׁמַיִם קַדְרוּת וְגוֹמֵר, וּבְהַהוּא זִמְנָא דְמִתְעַבְרִין קַדְרוּתָא וַחֲשׁוֹכָא מִנִּשְׁמָתָא, מִיָּד כֹּל הַנְּשָׁמָה תְּהַלֵּל י''הּ </w:t>
      </w:r>
      <w:r>
        <w:rPr>
          <w:sz w:val="20"/>
          <w:szCs w:val="20"/>
          <w:rtl/>
        </w:rPr>
        <w:t>(תהלים קנ ו)</w:t>
      </w:r>
      <w:r>
        <w:rPr>
          <w:rtl/>
        </w:rPr>
        <w:t>.</w:t>
      </w:r>
    </w:p>
    <w:p w:rsidR="002D629A" w:rsidRDefault="002D629A" w:rsidP="00B17EA9">
      <w:pPr>
        <w:pStyle w:val="NormalWeb"/>
        <w:rPr>
          <w:rtl/>
        </w:rPr>
      </w:pPr>
      <w:r>
        <w:rPr>
          <w:rtl/>
        </w:rPr>
        <w:t xml:space="preserve">וּמָאן אִינוּן אִלֵּין חֲשׁוֹכִין אִלֵּין סמא''ל וְנָחָשׁ, וּמָאן גְּרִים לוֹן לְשַׁלְטָאָה עֲלַיְיהוּ, אֶלָּא </w:t>
      </w:r>
      <w:r>
        <w:rPr>
          <w:rStyle w:val="a7"/>
          <w:rFonts w:hAnsi="Arial"/>
          <w:b w:val="0"/>
          <w:bCs w:val="0"/>
          <w:rtl/>
          <w:lang w:eastAsia="en-US"/>
        </w:rPr>
        <w:footnoteReference w:id="2749"/>
      </w:r>
      <w:r>
        <w:rPr>
          <w:rtl/>
        </w:rPr>
        <w:t xml:space="preserve">רָזָא דִקְרָא אוֹלִיף כִּי אִם עֲוֹנוֹתֵיכֶם הָיוּ מַבְדִּילִים בֵּינֵיכֶם לְבֵין אלהיכ''ם </w:t>
      </w:r>
      <w:r>
        <w:rPr>
          <w:sz w:val="20"/>
          <w:szCs w:val="20"/>
          <w:rtl/>
        </w:rPr>
        <w:t>(ישעיה נט ב)</w:t>
      </w:r>
      <w:r>
        <w:rPr>
          <w:rtl/>
        </w:rPr>
        <w:t xml:space="preserve">, </w:t>
      </w:r>
      <w:r>
        <w:rPr>
          <w:rStyle w:val="Char"/>
          <w:rtl/>
          <w:lang w:eastAsia="en-US"/>
        </w:rPr>
        <w:t>וְדָוִד בְּגִינַיְהוּ אָמַר</w:t>
      </w:r>
      <w:r>
        <w:rPr>
          <w:rtl/>
        </w:rPr>
        <w:t xml:space="preserve"> </w:t>
      </w:r>
      <w:r>
        <w:rPr>
          <w:sz w:val="20"/>
          <w:szCs w:val="20"/>
          <w:rtl/>
        </w:rPr>
        <w:t>(תהלים קיט יח)</w:t>
      </w:r>
      <w:r>
        <w:rPr>
          <w:rtl/>
        </w:rPr>
        <w:t xml:space="preserve"> גַּל עִינַי וְאַבִּיטָה נִפְלָאוֹת מִתּוֹרָתֶךָ.</w:t>
      </w:r>
    </w:p>
    <w:p w:rsidR="002D629A" w:rsidRDefault="002D629A" w:rsidP="00B17EA9">
      <w:pPr>
        <w:pStyle w:val="NormalWeb"/>
        <w:rPr>
          <w:rtl/>
        </w:rPr>
      </w:pPr>
      <w:r>
        <w:rPr>
          <w:rtl/>
        </w:rPr>
        <w:t xml:space="preserve">וּבְהַהוּא זִמְנָא מַה דַּהֲווֹ שָׁלְטִין חֲשׁוֹכִין עַל נְהוֹרִין דְּעַיְינִין, מִתְהַפְּכִין נְהוֹרִין וְשָׁלְטִין עַל חֲשׁוֹכִין, וְרָזָא דְמִלָּה שׁוֹפָ''ר מְהוּפָּ''ךְ קַדְמָ''א זָקֵ''ף קָטָ''ן, הַהוּא דְאִתְּמַר בֵּיהּ </w:t>
      </w:r>
      <w:r>
        <w:rPr>
          <w:sz w:val="20"/>
          <w:szCs w:val="20"/>
          <w:rtl/>
        </w:rPr>
        <w:t>(בראשית לב יא)</w:t>
      </w:r>
      <w:r>
        <w:rPr>
          <w:rtl/>
        </w:rPr>
        <w:t xml:space="preserve"> קָטֹנְתִּי מִכֹּל הַחֲסָדִים וּמִכָּל הָאֱמֶת, אִזְדַקַּף וְאִקְרֵי זָקֵף גָּדוֹל, וְאֵין אֱמֶת אֶלָּא תוֹרָה, הֲדָא הוּא דִכְתִיב </w:t>
      </w:r>
      <w:r>
        <w:rPr>
          <w:sz w:val="20"/>
          <w:szCs w:val="20"/>
          <w:rtl/>
        </w:rPr>
        <w:t>(מלאכי ב ו)</w:t>
      </w:r>
      <w:r>
        <w:rPr>
          <w:rtl/>
        </w:rPr>
        <w:t xml:space="preserve"> תּוֹרַת אֱמֶת הָיְתָה בְּפִיהוּ, וּבְהַהוּא זִמְנָא מִתְהַפְּכָא כָּרְסַיָּא מִדִּינָא לְרַחֲמֵי, וְדָא הִיא רָזָא דְאוּקְמוּהָ מָארֵי מַתְנִיתִין צַדִּיקִיּם מְהַפְּכִין מִדַּת הַדִּין לְמִדַּת רַחֲמִים.</w:t>
      </w:r>
    </w:p>
    <w:p w:rsidR="002D629A" w:rsidRDefault="002D629A" w:rsidP="00B17EA9">
      <w:pPr>
        <w:pStyle w:val="NormalWeb"/>
        <w:rPr>
          <w:rtl/>
        </w:rPr>
      </w:pPr>
      <w:r>
        <w:rPr>
          <w:rtl/>
        </w:rPr>
        <w:t xml:space="preserve">וּבְהַהוּא זִמְנָא אִתְחֲשִׁיב כְּאִלּוּ אִתְבְּרִי עָלְמָא, וִיסַדֵּר נְהוֹרִין כִּדְקָא יָאוּת, הֲדָא הוּא דִכְתִיב </w:t>
      </w:r>
      <w:r>
        <w:rPr>
          <w:sz w:val="20"/>
          <w:szCs w:val="20"/>
          <w:rtl/>
        </w:rPr>
        <w:t>(בראשית א ג)</w:t>
      </w:r>
      <w:r>
        <w:rPr>
          <w:rtl/>
        </w:rPr>
        <w:t xml:space="preserve"> וַיִּקְרָא אלהי''ם לָאוֹר יוֹם וְלַחֹשֶׁךְ קָרָא לָיְלָה, וַיִּקְרָא אלהי''ם לָאוֹר יוֹם דָּא יִשְׂרָאֵל, דְּשָׁלְטָנוּתְהוֹן יְהֵא לְזִמְנָא דְפוּרְקָנָא, וְרַשִּׁיעַיָּא יִשְׁתָּאֲרוּן </w:t>
      </w:r>
      <w:r>
        <w:rPr>
          <w:sz w:val="20"/>
          <w:szCs w:val="20"/>
          <w:rtl/>
        </w:rPr>
        <w:t>(נ''א אזלי)</w:t>
      </w:r>
      <w:r>
        <w:rPr>
          <w:rtl/>
        </w:rPr>
        <w:t xml:space="preserve"> בַּחֲשׁוֹכָא, הֲדָא הוּא דִכְתִיב וְלַחֹשֶׁךְ קָרָא לָיְלָה, </w:t>
      </w:r>
      <w:r>
        <w:rPr>
          <w:rStyle w:val="a7"/>
          <w:rFonts w:hAnsi="Arial"/>
          <w:b w:val="0"/>
          <w:bCs w:val="0"/>
          <w:rtl/>
          <w:lang w:eastAsia="en-US"/>
        </w:rPr>
        <w:footnoteReference w:id="2750"/>
      </w:r>
      <w:r>
        <w:rPr>
          <w:rtl/>
        </w:rPr>
        <w:t xml:space="preserve">וְאִתְּמַר בִּימִינָא וּשְׂמָאלָא וַיְהִי עֶרֶב וַיְהִי בֹקֶר יוֹם אֶחָד </w:t>
      </w:r>
      <w:r>
        <w:rPr>
          <w:sz w:val="20"/>
          <w:szCs w:val="20"/>
          <w:rtl/>
        </w:rPr>
        <w:t>(שם א ה)</w:t>
      </w:r>
      <w:r>
        <w:rPr>
          <w:rtl/>
        </w:rPr>
        <w:t xml:space="preserve">, דְּאִיהוּ עֶרֶב דְּיִצְחָק, וּבֹקֶר דְּאַבְרָהָם. </w:t>
      </w:r>
      <w:r>
        <w:rPr>
          <w:rStyle w:val="a7"/>
          <w:rFonts w:hAnsi="Arial"/>
          <w:b w:val="0"/>
          <w:bCs w:val="0"/>
          <w:rtl/>
          <w:lang w:eastAsia="en-US"/>
        </w:rPr>
        <w:footnoteReference w:id="2751"/>
      </w:r>
      <w:r>
        <w:rPr>
          <w:rtl/>
        </w:rPr>
        <w:t xml:space="preserve">בְּהַהוּא זִמְנָא מַה דַּהֲוַת נִשְׁמָתָא מְהַדְּקָא בֵּין רַגְלִין, הֲדָא הוּא דִכְתִיב </w:t>
      </w:r>
      <w:r>
        <w:rPr>
          <w:sz w:val="20"/>
          <w:szCs w:val="20"/>
          <w:rtl/>
        </w:rPr>
        <w:t>(רות ג ז)</w:t>
      </w:r>
      <w:r>
        <w:rPr>
          <w:rtl/>
        </w:rPr>
        <w:t xml:space="preserve"> וַתְּגַל מַרְגְּלוֹתָיו וַתִּשְׁכָּב, דְּאִתְחַזְרַת לְלִבָּא, דְאִיהִי כְּגַוְונָא דִיְרוּשְׁלֵם, </w:t>
      </w:r>
      <w:r>
        <w:rPr>
          <w:rStyle w:val="a7"/>
          <w:rFonts w:hAnsi="Arial"/>
          <w:b w:val="0"/>
          <w:bCs w:val="0"/>
          <w:rtl/>
          <w:lang w:eastAsia="en-US"/>
        </w:rPr>
        <w:footnoteReference w:id="2752"/>
      </w:r>
      <w:r>
        <w:rPr>
          <w:rtl/>
        </w:rPr>
        <w:t xml:space="preserve">בְּהַהוּא זִמְנָא הַלֵּב רוֹאֶה, הֲדָא הוּא דִכְתִיב </w:t>
      </w:r>
      <w:r>
        <w:rPr>
          <w:sz w:val="20"/>
          <w:szCs w:val="20"/>
          <w:rtl/>
        </w:rPr>
        <w:t>(ישעיה ל כ)</w:t>
      </w:r>
      <w:r>
        <w:rPr>
          <w:rtl/>
        </w:rPr>
        <w:t xml:space="preserve"> וְלֹא יִכָּנֵף עוֹד מוֹרֶיךָ וְהָיוּ עִינֶיךָ רוֹאוֹת אֶת מוֹרֶיךָ, הַלֵּב שׁוֹמֵעַ דְּאִתְחַזַּר עֲבוֹדָה וּכְרוּבִים לְבֵי מַקְדְּשָׁא, דְאִתְּמַר בְּהוֹן </w:t>
      </w:r>
      <w:r>
        <w:rPr>
          <w:sz w:val="20"/>
          <w:szCs w:val="20"/>
          <w:rtl/>
        </w:rPr>
        <w:t>(במדבר ז פט)</w:t>
      </w:r>
      <w:r>
        <w:rPr>
          <w:rtl/>
        </w:rPr>
        <w:t xml:space="preserve"> וַיִּשְׁמַע אֶת הַקּוֹל מִדַּבֵּר אֵלָיו מֵעַל הַכַּפֹּרֶת מִבֵּין שְׁנֵי הַכְּרוּבִים, </w:t>
      </w:r>
      <w:r>
        <w:rPr>
          <w:rStyle w:val="a7"/>
          <w:rFonts w:hAnsi="Arial"/>
          <w:b w:val="0"/>
          <w:bCs w:val="0"/>
          <w:rtl/>
          <w:lang w:eastAsia="en-US"/>
        </w:rPr>
        <w:footnoteReference w:id="2753"/>
      </w:r>
      <w:r>
        <w:rPr>
          <w:rtl/>
        </w:rPr>
        <w:t xml:space="preserve">וְכָל עֲנָנִין דְּאִינוּן רוֹמִי רַבְּתָא ורוֹמִי זְעֵירָא דְּאִינוּן מְכַסְּיָין עַל צְלוֹתִין, הֲדָא הוּא דִכְתִיב </w:t>
      </w:r>
      <w:r>
        <w:rPr>
          <w:sz w:val="20"/>
          <w:szCs w:val="20"/>
          <w:rtl/>
        </w:rPr>
        <w:t>(איכה ג מד)</w:t>
      </w:r>
      <w:r>
        <w:rPr>
          <w:rtl/>
        </w:rPr>
        <w:t xml:space="preserve"> סַכּוֹתָ בֶעָנָן לָךְ מֵעֲבוֹר תְּפִלָּה מִתְעַבְּרִין, וְנָהֲרִין עַיְינִין דְּאִינוּן בַּיִת רִאשׁוֹן וּבַיִת שֵׁנִי, דִבְהוֹן סָלְקִין צְלוֹתִין.</w:t>
      </w:r>
    </w:p>
    <w:p w:rsidR="002D629A" w:rsidRDefault="002D629A" w:rsidP="00B17EA9">
      <w:pPr>
        <w:pStyle w:val="aa"/>
        <w:rPr>
          <w:rtl/>
        </w:rPr>
      </w:pPr>
      <w:bookmarkStart w:id="215" w:name="_Toc228095658"/>
      <w:bookmarkStart w:id="216" w:name="_Toc231638096"/>
      <w:r>
        <w:rPr>
          <w:rtl/>
        </w:rPr>
        <w:t>[תיקוני זוהר - דף מא ע''א]</w:t>
      </w:r>
      <w:bookmarkEnd w:id="215"/>
      <w:bookmarkEnd w:id="216"/>
    </w:p>
    <w:p w:rsidR="002D629A" w:rsidRDefault="002D629A" w:rsidP="00B17EA9">
      <w:pPr>
        <w:pStyle w:val="NormalWeb"/>
        <w:rPr>
          <w:rtl/>
        </w:rPr>
      </w:pPr>
      <w:r>
        <w:rPr>
          <w:rtl/>
        </w:rPr>
        <w:t xml:space="preserve">דִּבְזִמְנָא דְאִינוּן יִשְׂרָאֵל מְלוּכְלָכִין בְּטִנּוּפִין דִּשְׁאָר עַמִּין, נִשְׁמָתָא דְאִיהִי שְׁכִינְתָּא אָמְרַת, </w:t>
      </w:r>
      <w:r>
        <w:rPr>
          <w:sz w:val="20"/>
          <w:szCs w:val="20"/>
          <w:rtl/>
        </w:rPr>
        <w:t>(שיר א ו)</w:t>
      </w:r>
      <w:r>
        <w:rPr>
          <w:rtl/>
        </w:rPr>
        <w:t xml:space="preserve"> אַל תִּרְאוּנִי שֶׁאֲנִי שְׁחַרְחֹרֶת, </w:t>
      </w:r>
      <w:r>
        <w:rPr>
          <w:sz w:val="20"/>
          <w:szCs w:val="20"/>
          <w:rtl/>
        </w:rPr>
        <w:t xml:space="preserve">(דף מא ע''א) </w:t>
      </w:r>
      <w:r>
        <w:rPr>
          <w:rtl/>
        </w:rPr>
        <w:t xml:space="preserve">וּצְלוֹתָא נָפְלַת, הֲדָא הוּא דִכְתִיב </w:t>
      </w:r>
      <w:r>
        <w:rPr>
          <w:sz w:val="20"/>
          <w:szCs w:val="20"/>
          <w:rtl/>
        </w:rPr>
        <w:t>(עמוס ה ב)</w:t>
      </w:r>
      <w:r>
        <w:rPr>
          <w:rtl/>
        </w:rPr>
        <w:t xml:space="preserve"> נָפְלָה לֹא תוֹסִיף קוּם בְּתוּלַת יִשְׂרָאֵל, וְכַד נָפְלַת שְׁכִיבַת לְעַפְרָא בֵּין רַגְלִין, וְהָא אוּקְמוּהוּ </w:t>
      </w:r>
      <w:r>
        <w:rPr>
          <w:sz w:val="20"/>
          <w:szCs w:val="20"/>
          <w:rtl/>
        </w:rPr>
        <w:t>(רות ג ז)</w:t>
      </w:r>
      <w:r>
        <w:rPr>
          <w:rtl/>
        </w:rPr>
        <w:t xml:space="preserve"> וַתְּגַל מַרְגְּלוֹתָיו וַתִּשְׁכָּב, וְאִיהִי מְצַלֵּי לְקוּדְשָׁא בְּרִיךְ הוּא דְיוֹקִים לָהּ מֵעַפְרָא, הֲדָא הוּא דִכְתִיב </w:t>
      </w:r>
      <w:r>
        <w:rPr>
          <w:sz w:val="20"/>
          <w:szCs w:val="20"/>
          <w:rtl/>
        </w:rPr>
        <w:t>(שם ט)</w:t>
      </w:r>
      <w:r>
        <w:rPr>
          <w:rtl/>
        </w:rPr>
        <w:t xml:space="preserve"> וּפָרַשְׂתָּ כְנָפֶךָ עַל אֲמָתְךָ כִּי גוֹאֵל אָתָּה.</w:t>
      </w:r>
    </w:p>
    <w:p w:rsidR="002D629A" w:rsidRDefault="002D629A" w:rsidP="00B17EA9">
      <w:pPr>
        <w:pStyle w:val="NormalWeb"/>
        <w:rPr>
          <w:rtl/>
        </w:rPr>
      </w:pPr>
      <w:r>
        <w:rPr>
          <w:rtl/>
        </w:rPr>
        <w:t xml:space="preserve">בְּהַהוּא זִמְנָא </w:t>
      </w:r>
      <w:r>
        <w:rPr>
          <w:sz w:val="20"/>
          <w:szCs w:val="20"/>
          <w:rtl/>
        </w:rPr>
        <w:t>(שם ח)</w:t>
      </w:r>
      <w:r>
        <w:rPr>
          <w:rtl/>
        </w:rPr>
        <w:t xml:space="preserve"> וַיֶּחֱרַד הָאִישׁ וַיִּלָּפֵת, הַהוּא דְאִתְּמַר בֵּיהּ </w:t>
      </w:r>
      <w:r>
        <w:rPr>
          <w:sz w:val="20"/>
          <w:szCs w:val="20"/>
          <w:rtl/>
        </w:rPr>
        <w:t>(שמות טו ג)</w:t>
      </w:r>
      <w:r>
        <w:rPr>
          <w:rtl/>
        </w:rPr>
        <w:t xml:space="preserve"> יהו''ה אִישׁ מִלְחָמָה, מַאי וַיִּלָּפֵת </w:t>
      </w:r>
      <w:r>
        <w:rPr>
          <w:rStyle w:val="a7"/>
          <w:rFonts w:hAnsi="Arial"/>
          <w:b w:val="0"/>
          <w:bCs w:val="0"/>
          <w:rtl/>
          <w:lang w:eastAsia="en-US"/>
        </w:rPr>
        <w:footnoteReference w:id="2754"/>
      </w:r>
      <w:r>
        <w:rPr>
          <w:rtl/>
        </w:rPr>
        <w:t xml:space="preserve">כְּמָה דְאַתְּ אָמַר </w:t>
      </w:r>
      <w:r>
        <w:rPr>
          <w:sz w:val="20"/>
          <w:szCs w:val="20"/>
          <w:rtl/>
        </w:rPr>
        <w:t>(איוב ו יח)</w:t>
      </w:r>
      <w:r>
        <w:rPr>
          <w:rtl/>
        </w:rPr>
        <w:t xml:space="preserve"> יִלָּפְתוּ אָרְחוֹת דַּרְכָּם, בְּהַהוּא זִמְנָא יֵיתֵי קוּדְשָׁא בְּרִיךְ הוּא וְיֵימָא לָהּ, לִינִי הַלַּיְלָה וְהָיָה בַבֹּקֶר </w:t>
      </w:r>
      <w:r>
        <w:rPr>
          <w:sz w:val="20"/>
          <w:szCs w:val="20"/>
          <w:rtl/>
        </w:rPr>
        <w:t>(רות ג יג)</w:t>
      </w:r>
      <w:r>
        <w:rPr>
          <w:rtl/>
        </w:rPr>
        <w:t xml:space="preserve">, לִינִי הַלַּיְלָה דְאִיהִי שְׂמָאלָא, וְהָיָה בַבֹּקֶר דְּאִיהִי רַחֲמֵי יְמִינָא, דְּמִתַּמָּן נְהִיר אוֹר, הֲדָא הוּא דִכְתִיב </w:t>
      </w:r>
      <w:r>
        <w:rPr>
          <w:sz w:val="20"/>
          <w:szCs w:val="20"/>
          <w:rtl/>
        </w:rPr>
        <w:t>(בראשית מד ג)</w:t>
      </w:r>
      <w:r>
        <w:rPr>
          <w:rtl/>
        </w:rPr>
        <w:t xml:space="preserve"> הַבֹּקֶר אוֹר, אִם יִגְאָלֵךְ טוֹב יִגְאָל, </w:t>
      </w:r>
      <w:r>
        <w:rPr>
          <w:rStyle w:val="a7"/>
          <w:rFonts w:hAnsi="Arial"/>
          <w:b w:val="0"/>
          <w:bCs w:val="0"/>
          <w:rtl/>
          <w:lang w:eastAsia="en-US"/>
        </w:rPr>
        <w:footnoteReference w:id="2755"/>
      </w:r>
      <w:r>
        <w:rPr>
          <w:rtl/>
        </w:rPr>
        <w:t xml:space="preserve">אִם יַעֲבִיד בָּךְ יִשְׂרָאֵל עוֹבְדִין טָבִין לְסָלְקָא לָךְ מִבֵּין רַגְלִין שַׁפִּיר, תִּגְאָל </w:t>
      </w:r>
      <w:r>
        <w:rPr>
          <w:rStyle w:val="a7"/>
          <w:rFonts w:hAnsi="Arial"/>
          <w:b w:val="0"/>
          <w:bCs w:val="0"/>
          <w:rtl/>
          <w:lang w:eastAsia="en-US"/>
        </w:rPr>
        <w:footnoteReference w:id="2756"/>
      </w:r>
      <w:r>
        <w:rPr>
          <w:rtl/>
        </w:rPr>
        <w:t xml:space="preserve">עַל יְדֵי דְיִשְׂרָאֵל עִלָּאָה דְּאִיהוּ בַעְלָךְ, טוֹב וַדַּאי, וְאִם לָא יַעַבְדוּן בָּךְ עוֹבְדִין טָבִין, </w:t>
      </w:r>
      <w:r>
        <w:rPr>
          <w:rStyle w:val="a7"/>
          <w:rFonts w:hAnsi="Arial"/>
          <w:b w:val="0"/>
          <w:bCs w:val="0"/>
          <w:rtl/>
          <w:lang w:eastAsia="en-US"/>
        </w:rPr>
        <w:footnoteReference w:id="2757"/>
      </w:r>
      <w:r>
        <w:rPr>
          <w:rtl/>
        </w:rPr>
        <w:t>וּגְאַלְתִּיךְ אָנֹכִי וְהָא אוּקְמוּהוּ.</w:t>
      </w:r>
    </w:p>
    <w:p w:rsidR="002D629A" w:rsidRDefault="002D629A" w:rsidP="00B17EA9">
      <w:pPr>
        <w:pStyle w:val="NormalWeb"/>
        <w:rPr>
          <w:rtl/>
        </w:rPr>
      </w:pPr>
      <w:r>
        <w:rPr>
          <w:sz w:val="20"/>
          <w:szCs w:val="20"/>
          <w:rtl/>
        </w:rPr>
        <w:t>(רות ג יג)</w:t>
      </w:r>
      <w:r>
        <w:rPr>
          <w:rtl/>
        </w:rPr>
        <w:t xml:space="preserve"> חַי יהו''ה שִׁכְבִי עַד הַבֹּקֶר, אוֹמָאָה בְּחַ''י, דְאִיהוּ כְלִיל חַ''י בִּרְכָאָן דִּצְלוֹתָא, שִׁכְבִי עַד הַבֹּקֶר, עַד הַהוּא נַהֲרָא, דִבְהַהוּא זִמְנָא צְלוֹתָא תְהֵא נַהֲרָא בְלִבָּא וּבְעַיְינִין, וּבְגִין </w:t>
      </w:r>
      <w:r>
        <w:rPr>
          <w:rStyle w:val="a7"/>
          <w:rFonts w:hAnsi="Arial"/>
          <w:b w:val="0"/>
          <w:bCs w:val="0"/>
          <w:rtl/>
          <w:lang w:eastAsia="en-US"/>
        </w:rPr>
        <w:footnoteReference w:id="2758"/>
      </w:r>
      <w:r>
        <w:rPr>
          <w:rtl/>
        </w:rPr>
        <w:t xml:space="preserve">דִּבְחַ''י בִּרְכָאָן דִּצְלוֹתָא תַלְיָא פּוּרְקָנָא, וּבֵיהּ אִתְגַּלְיָא, דְאִיהוּ יְסוֹד חַ''י עָלְמִין, </w:t>
      </w:r>
      <w:r>
        <w:rPr>
          <w:rStyle w:val="a7"/>
          <w:rFonts w:hAnsi="Arial"/>
          <w:b w:val="0"/>
          <w:bCs w:val="0"/>
          <w:rtl/>
          <w:lang w:eastAsia="en-US"/>
        </w:rPr>
        <w:footnoteReference w:id="2759"/>
      </w:r>
      <w:r>
        <w:rPr>
          <w:rtl/>
        </w:rPr>
        <w:t xml:space="preserve">אִתְּמַר בֵּיהּ </w:t>
      </w:r>
      <w:r>
        <w:rPr>
          <w:sz w:val="20"/>
          <w:szCs w:val="20"/>
          <w:rtl/>
        </w:rPr>
        <w:t>(ד''ה ב ז טז)</w:t>
      </w:r>
      <w:r>
        <w:rPr>
          <w:rtl/>
        </w:rPr>
        <w:t xml:space="preserve"> וְהָיוּ עִינַי וְלִבִּי שָׁם כָּל הַיָּמִים.</w:t>
      </w:r>
    </w:p>
    <w:p w:rsidR="002D629A" w:rsidRDefault="002D629A" w:rsidP="00B17EA9">
      <w:pPr>
        <w:pStyle w:val="NormalWeb"/>
        <w:rPr>
          <w:rtl/>
        </w:rPr>
      </w:pPr>
      <w:r>
        <w:rPr>
          <w:rtl/>
        </w:rPr>
        <w:t xml:space="preserve">וְהָיוּ עִינַי וְלִבִּי אַדְכִּיר עַיְינִין וְלִבָּא, בְּגִין דְּצָרִיךְ בַּר נַשׁ בִּצְלוֹתֵיהּ לְמֶהֱוִי עִינוֹי </w:t>
      </w:r>
      <w:r>
        <w:rPr>
          <w:rStyle w:val="a7"/>
          <w:rFonts w:hAnsi="Arial"/>
          <w:b w:val="0"/>
          <w:bCs w:val="0"/>
          <w:rtl/>
          <w:lang w:eastAsia="en-US"/>
        </w:rPr>
        <w:footnoteReference w:id="2760"/>
      </w:r>
      <w:r>
        <w:rPr>
          <w:rtl/>
        </w:rPr>
        <w:t xml:space="preserve">לְתַתָּא לְגַבֵּי נִשְׁמָתָא, דְאִיהִי שְׁכִינְתָּא, דְאִיהִי אֲסִירָא בְגָלוּתָא, וְלִבֵּיהּ לְעִילָא בְּקוּדְשָׁא בְּרִיךְ הוּא, וְרָזָא דְמִלָּה עִינַי תָּמִיד אֶל יהו''ה כִּי הוּא יוֹצִיא מֵרֶשֶׁת רַגְלָי </w:t>
      </w:r>
      <w:r>
        <w:rPr>
          <w:sz w:val="20"/>
          <w:szCs w:val="20"/>
          <w:rtl/>
        </w:rPr>
        <w:t>(תהלים כה טו)</w:t>
      </w:r>
      <w:r>
        <w:rPr>
          <w:rtl/>
        </w:rPr>
        <w:t xml:space="preserve">, וְלִבֵּיהּ לְעִילָא </w:t>
      </w:r>
      <w:r>
        <w:rPr>
          <w:rStyle w:val="a7"/>
          <w:rFonts w:hAnsi="Arial"/>
          <w:b w:val="0"/>
          <w:bCs w:val="0"/>
          <w:rtl/>
          <w:lang w:eastAsia="en-US"/>
        </w:rPr>
        <w:footnoteReference w:id="2761"/>
      </w:r>
      <w:r>
        <w:rPr>
          <w:rtl/>
        </w:rPr>
        <w:t xml:space="preserve">לְנָטְלָא נוּקְמָא מֵעֲמָלֵק, הֲדָא הוּא דִכְתִיב </w:t>
      </w:r>
      <w:r>
        <w:rPr>
          <w:sz w:val="20"/>
          <w:szCs w:val="20"/>
          <w:rtl/>
        </w:rPr>
        <w:t>(ישעיה סג ד)</w:t>
      </w:r>
      <w:r>
        <w:rPr>
          <w:rtl/>
        </w:rPr>
        <w:t xml:space="preserve"> כִּי יוֹם נָקָם בְּלִבִּי, </w:t>
      </w:r>
      <w:r>
        <w:rPr>
          <w:rStyle w:val="a7"/>
          <w:rFonts w:hAnsi="Arial"/>
          <w:b w:val="0"/>
          <w:bCs w:val="0"/>
          <w:rtl/>
          <w:lang w:eastAsia="en-US"/>
        </w:rPr>
        <w:footnoteReference w:id="2762"/>
      </w:r>
      <w:r>
        <w:rPr>
          <w:rtl/>
        </w:rPr>
        <w:t>בְלִבִּי וַדַּאי, בֵּיהּ עָתִיד לְנָטְלָא נוּקְמָא, כְּמָה דְנָטִיל בֵּיהּ נוּקְמָא מִמִּצְרָאֵי.</w:t>
      </w:r>
    </w:p>
    <w:p w:rsidR="002D629A" w:rsidRDefault="002D629A" w:rsidP="00B17EA9">
      <w:pPr>
        <w:pStyle w:val="NormalWeb"/>
        <w:rPr>
          <w:rtl/>
        </w:rPr>
      </w:pPr>
      <w:r>
        <w:rPr>
          <w:rtl/>
        </w:rPr>
        <w:t xml:space="preserve">דְּאִיהִי לִבִּ''י שֵׁם בֶּן אַרְבָּעִים וּתְרֵין, </w:t>
      </w:r>
      <w:r>
        <w:rPr>
          <w:rStyle w:val="a7"/>
          <w:rFonts w:hAnsi="Arial"/>
          <w:b w:val="0"/>
          <w:bCs w:val="0"/>
          <w:rtl/>
          <w:lang w:eastAsia="en-US"/>
        </w:rPr>
        <w:footnoteReference w:id="2763"/>
      </w:r>
      <w:r>
        <w:rPr>
          <w:rtl/>
        </w:rPr>
        <w:t xml:space="preserve">אבגית''ץ בֵּיהּ אַפִּיק לְיִשְׂרָאֵל מִגָּלוּתָא, קְרַ''ע שָׂטָ''ן דְּאִיהוּ שְׁמָא תִנְיָינָא דְיוֹמָא תִנְיָינָא, בֵּיהּ קָרַע יַמָּא, וּבְהַאי שְׁמָא אִתְּמַר </w:t>
      </w:r>
      <w:r>
        <w:rPr>
          <w:sz w:val="20"/>
          <w:szCs w:val="20"/>
          <w:rtl/>
        </w:rPr>
        <w:t>(בראשית א ו)</w:t>
      </w:r>
      <w:r>
        <w:rPr>
          <w:rtl/>
        </w:rPr>
        <w:t xml:space="preserve"> יְהִי רָקִיעַ בְּתוֹךְ הַמָּיִם וְגוֹמֵר, נג''ד יכ''ש </w:t>
      </w:r>
      <w:r>
        <w:rPr>
          <w:rStyle w:val="a7"/>
          <w:rFonts w:hAnsi="Arial"/>
          <w:b w:val="0"/>
          <w:bCs w:val="0"/>
          <w:rtl/>
          <w:lang w:eastAsia="en-US"/>
        </w:rPr>
        <w:footnoteReference w:id="2764"/>
      </w:r>
      <w:r>
        <w:rPr>
          <w:rtl/>
        </w:rPr>
        <w:t xml:space="preserve">נֶגֶד כָּל עַמְּךָ אֶעֱשֶׂה נִפְלָאוֹת </w:t>
      </w:r>
      <w:r>
        <w:rPr>
          <w:sz w:val="20"/>
          <w:szCs w:val="20"/>
          <w:rtl/>
        </w:rPr>
        <w:t>(שמות לד י)</w:t>
      </w:r>
      <w:r>
        <w:rPr>
          <w:rtl/>
        </w:rPr>
        <w:t xml:space="preserve">, </w:t>
      </w:r>
      <w:r>
        <w:rPr>
          <w:rStyle w:val="a7"/>
          <w:rFonts w:hAnsi="Arial"/>
          <w:b w:val="0"/>
          <w:bCs w:val="0"/>
          <w:rtl/>
          <w:lang w:eastAsia="en-US"/>
        </w:rPr>
        <w:footnoteReference w:id="2765"/>
      </w:r>
      <w:r>
        <w:rPr>
          <w:rtl/>
        </w:rPr>
        <w:t>בְּכָל שְׁמָא נָטַל נוּקְמָא בְּמִצְרַיִם.</w:t>
      </w:r>
    </w:p>
    <w:p w:rsidR="002D629A" w:rsidRDefault="002D629A" w:rsidP="00B17EA9">
      <w:pPr>
        <w:pStyle w:val="NormalWeb"/>
        <w:rPr>
          <w:rtl/>
        </w:rPr>
      </w:pPr>
      <w:r>
        <w:rPr>
          <w:rtl/>
        </w:rPr>
        <w:t xml:space="preserve">וּפוּרְקָנָא בְלִבָּא תַלְיָא, דְאִתְּמַר בֵּיהּ הַלֵּב רוֹאֶה, וּבְגִין דָּא כִּי יוֹם נָקָם בְּלִבִּי </w:t>
      </w:r>
      <w:r>
        <w:rPr>
          <w:sz w:val="20"/>
          <w:szCs w:val="20"/>
          <w:rtl/>
        </w:rPr>
        <w:t>(ישעיה סג ד)</w:t>
      </w:r>
      <w:r>
        <w:rPr>
          <w:rtl/>
        </w:rPr>
        <w:t xml:space="preserve">, נְקָמָה בְּמַאי בְּלִבִּי בְּי''ה, דְּאִתְּמַר בֵּיהּ </w:t>
      </w:r>
      <w:r>
        <w:rPr>
          <w:sz w:val="20"/>
          <w:szCs w:val="20"/>
          <w:rtl/>
        </w:rPr>
        <w:t>(תהלם קן ו)</w:t>
      </w:r>
      <w:r>
        <w:rPr>
          <w:rtl/>
        </w:rPr>
        <w:t xml:space="preserve"> כֹּל הַנְּשָׁמָה תְּהַלֵּל י''הּ, וַעֲלֵיהּ אִתְּמַר </w:t>
      </w:r>
      <w:r>
        <w:rPr>
          <w:sz w:val="20"/>
          <w:szCs w:val="20"/>
          <w:rtl/>
        </w:rPr>
        <w:t>(שמות יז טז)</w:t>
      </w:r>
      <w:r>
        <w:rPr>
          <w:rtl/>
        </w:rPr>
        <w:t xml:space="preserve"> כִּי יָד עַל כֵּס י''הּ, וּפוּרְקָנָא בְלִבָּא תַלְיָא, דְבֵיהּ אִתְּמַר הַלֵּב רוֹאֶה, וּבְגִין דָּא אוּקְמוּהוּ מָארֵי מַתְנִיתִין לְלִבִּ''י גִלִּיתִי וּלְאֵבָרַי לֹא גִלִּיתִי, מַאי לְלִבִּי, </w:t>
      </w:r>
      <w:r>
        <w:rPr>
          <w:rStyle w:val="a7"/>
          <w:rFonts w:hAnsi="Arial"/>
          <w:b w:val="0"/>
          <w:bCs w:val="0"/>
          <w:rtl/>
          <w:lang w:eastAsia="en-US"/>
        </w:rPr>
        <w:footnoteReference w:id="2766"/>
      </w:r>
      <w:r>
        <w:rPr>
          <w:rtl/>
        </w:rPr>
        <w:t xml:space="preserve">אֶלָּא אוֹרַיְיתָא דְבִכְתָב אִתְקְרִיאַת לִבִּי, וְאוֹרַיְיתָא דְעַל פֶּה אִתְקְרִיאַת פּוּמָא וְאוּקְמוּהוּ מָארֵי מַתְנִיתִין מִלִּבָּא לְפוּמָא לָא גַלִּי, </w:t>
      </w:r>
      <w:r>
        <w:rPr>
          <w:rStyle w:val="a7"/>
          <w:rFonts w:hAnsi="Arial"/>
          <w:b w:val="0"/>
          <w:bCs w:val="0"/>
          <w:rtl/>
          <w:lang w:eastAsia="en-US"/>
        </w:rPr>
        <w:footnoteReference w:id="2767"/>
      </w:r>
      <w:r>
        <w:rPr>
          <w:rtl/>
        </w:rPr>
        <w:t>לְלִבִּ''י גִלִּיתִי (וַדַאי) דָא שְׁמָא דְע''ב שְׁמָהָן, וְאִינוּן שַׁבְעִין אַנְפִּין לְאוֹרַיְתָא, דְתַלְיָין מִן ב'.</w:t>
      </w:r>
    </w:p>
    <w:p w:rsidR="002D629A" w:rsidRDefault="002D629A" w:rsidP="00B17EA9">
      <w:pPr>
        <w:pStyle w:val="aa"/>
        <w:rPr>
          <w:rtl/>
        </w:rPr>
      </w:pPr>
      <w:r>
        <w:rPr>
          <w:rtl/>
        </w:rPr>
        <w:t>[תיקוני זוהר - דף מד ע''א]</w:t>
      </w:r>
    </w:p>
    <w:p w:rsidR="002D629A" w:rsidRDefault="002D629A" w:rsidP="00B17EA9">
      <w:pPr>
        <w:pStyle w:val="NormalWeb"/>
        <w:rPr>
          <w:rtl/>
        </w:rPr>
      </w:pPr>
      <w:r>
        <w:rPr>
          <w:rStyle w:val="a7"/>
          <w:rFonts w:hAnsi="Arial"/>
          <w:b w:val="0"/>
          <w:bCs w:val="0"/>
          <w:rtl/>
          <w:lang w:eastAsia="en-US"/>
        </w:rPr>
        <w:footnoteReference w:id="2768"/>
      </w:r>
      <w:r>
        <w:rPr>
          <w:rtl/>
        </w:rPr>
        <w:t xml:space="preserve">וְאוֹרַיְיתָא אִית לָהּ רֵישָׁא וְגוּפָא וְלִבָּא וּפִימָא וְאֵבָרִין, כְּגַוְונָא דְאִית בְּיִשְׂרָאֵל, דְּאִינוּן רֵישִׁין רֵישֵׁי עַמָּא, וּמִנְּהוֹן עַיְינִין הֲדָא הוּא דִכְתִיב </w:t>
      </w:r>
      <w:r>
        <w:rPr>
          <w:sz w:val="20"/>
          <w:szCs w:val="20"/>
          <w:rtl/>
        </w:rPr>
        <w:t>(במדבר טו כד)</w:t>
      </w:r>
      <w:r>
        <w:rPr>
          <w:rtl/>
        </w:rPr>
        <w:t xml:space="preserve"> וְהָיָה אִם מֵעִינֵי הָעִדָה, וְאִית מִנְּהוֹן לִבָּא, דְאִינוּן לָקֳבֵל שַׁבְעִין סַנְהֶדְרִין וּמֹשֶׁה וְאַהֲרֹן עַל גַּבַּיְיהוּ, </w:t>
      </w:r>
      <w:r>
        <w:rPr>
          <w:rStyle w:val="a7"/>
          <w:rFonts w:hAnsi="Arial"/>
          <w:b w:val="0"/>
          <w:bCs w:val="0"/>
          <w:rtl/>
          <w:lang w:eastAsia="en-US"/>
        </w:rPr>
        <w:footnoteReference w:id="2769"/>
      </w:r>
      <w:r>
        <w:rPr>
          <w:rtl/>
        </w:rPr>
        <w:t xml:space="preserve">דְּלָא חָסְרִין מֵעָלְמָא כְּוָתַיְיהוּ, וְדָא אִיהוּ לְלִבִּי גִלִּיתִי, אֲבָל אָחֳרָנִין דְּאִינוּן כִּשְׁאָר אֵבָרִין אִתְּמַר בְּהוֹן וּלְאֵבָרַי לֹא גִלִּיתִי, </w:t>
      </w:r>
      <w:r>
        <w:rPr>
          <w:sz w:val="20"/>
          <w:szCs w:val="20"/>
          <w:rtl/>
        </w:rPr>
        <w:t xml:space="preserve">(דף מד ע''א) </w:t>
      </w:r>
      <w:r>
        <w:rPr>
          <w:rtl/>
        </w:rPr>
        <w:t>וְכֵן בְּאוֹרַיְיתָא שַׁבְעִין אַנְפִּין תַּלְיָין מִתְּרֵין תּוֹרוֹת, אוֹרַיְיתָא דְבִכְתָב וְאוֹרַיְיתָא דִבְעַל פֶּה.</w:t>
      </w:r>
    </w:p>
    <w:p w:rsidR="002D629A" w:rsidRDefault="002D629A" w:rsidP="00B17EA9">
      <w:pPr>
        <w:pStyle w:val="NormalWeb"/>
        <w:rPr>
          <w:rtl/>
        </w:rPr>
      </w:pPr>
      <w:r>
        <w:rPr>
          <w:rStyle w:val="a7"/>
          <w:rFonts w:hAnsi="Arial"/>
          <w:b w:val="0"/>
          <w:bCs w:val="0"/>
          <w:rtl/>
          <w:lang w:eastAsia="en-US"/>
        </w:rPr>
        <w:footnoteReference w:id="2770"/>
      </w:r>
      <w:r>
        <w:rPr>
          <w:rtl/>
        </w:rPr>
        <w:t xml:space="preserve">וּבְגָלוּתָא חָלַק לִבָּ''ם </w:t>
      </w:r>
      <w:r>
        <w:rPr>
          <w:sz w:val="20"/>
          <w:szCs w:val="20"/>
          <w:rtl/>
        </w:rPr>
        <w:t>(הושע י ב)</w:t>
      </w:r>
      <w:r>
        <w:rPr>
          <w:rtl/>
        </w:rPr>
        <w:t xml:space="preserve">, דְּאִינוּן ע''ב צַדִּיקִים דְּאִינוּן כְּגַוְונָא דְסַנְהֶדְרִין, וְרָזָא דְמִלָּה </w:t>
      </w:r>
      <w:r>
        <w:rPr>
          <w:sz w:val="20"/>
          <w:szCs w:val="20"/>
          <w:rtl/>
        </w:rPr>
        <w:t>(ישעיה ל יח)</w:t>
      </w:r>
      <w:r>
        <w:rPr>
          <w:rtl/>
        </w:rPr>
        <w:t xml:space="preserve"> אַשְׁרֵי כָּל חוֹכֵי לוֹ, לֹ''ו בְּחוּשְׁבָּנָא סְלִיק תְּלָתִין וְשִׁית, וְאִינוּן ל''ו בְּאַרְעָא דְיִשְׂרָאֵל, וְל''ו לְבָר מֵאַרְעָא דְיִשְׂרָאֵל, וְדָא אִיהוּ חָלַק לִבָּ''ם, וּמָאן חָלַק לִבָּם. שְׂאוֹר וְחָמֵץ </w:t>
      </w:r>
      <w:r>
        <w:rPr>
          <w:rStyle w:val="a7"/>
          <w:rFonts w:hAnsi="Arial"/>
          <w:b w:val="0"/>
          <w:bCs w:val="0"/>
          <w:rtl/>
          <w:lang w:eastAsia="en-US"/>
        </w:rPr>
        <w:footnoteReference w:id="2771"/>
      </w:r>
      <w:r>
        <w:rPr>
          <w:rtl/>
        </w:rPr>
        <w:t xml:space="preserve">דְּאִינוּן עִרֶב רַב, דִבְהוֹן </w:t>
      </w:r>
      <w:r>
        <w:rPr>
          <w:rStyle w:val="Char"/>
          <w:rtl/>
          <w:lang w:eastAsia="en-US"/>
        </w:rPr>
        <w:t>אִתְּמַר</w:t>
      </w:r>
      <w:r>
        <w:rPr>
          <w:rtl/>
        </w:rPr>
        <w:t xml:space="preserve"> בְּהוֹן </w:t>
      </w:r>
      <w:r>
        <w:rPr>
          <w:sz w:val="20"/>
          <w:szCs w:val="20"/>
          <w:rtl/>
        </w:rPr>
        <w:t>(שמות יב טו)</w:t>
      </w:r>
      <w:r>
        <w:rPr>
          <w:rtl/>
        </w:rPr>
        <w:t xml:space="preserve"> אַךְ בַּיּוֹם הָרִאשׁוֹן תַּשְׁבִּיתוּ שְׂאֹר מִבָּתֵּיכֶם, אַךְ חָלַק, וְאוֹמָאָה דְיִתְמַחוּן בְּי''ד, דְּאִינוּן אַרְבַּע סְרֵי יוֹמֵי דְפִסְחָא, לְקַיְימָא כִּימֵי צֵאתְךָ מֵאֶרֶץ מִצְרַיִם אַרְאֶנּוּ נִפְלָאוֹת </w:t>
      </w:r>
      <w:r>
        <w:rPr>
          <w:sz w:val="20"/>
          <w:szCs w:val="20"/>
          <w:rtl/>
        </w:rPr>
        <w:t>(מיכה ז טו)</w:t>
      </w:r>
      <w:r>
        <w:rPr>
          <w:rtl/>
        </w:rPr>
        <w:t xml:space="preserve">, </w:t>
      </w:r>
      <w:r>
        <w:rPr>
          <w:sz w:val="20"/>
          <w:szCs w:val="20"/>
          <w:rtl/>
        </w:rPr>
        <w:t>(ודא שבעה יומי דפסחא דגלותא קדמאה, ושבעה יומי דפסחא דגלותא בתראה)</w:t>
      </w:r>
      <w:r>
        <w:rPr>
          <w:rtl/>
        </w:rPr>
        <w:t xml:space="preserve">, הֲדָא הוּא דִכְתִיב </w:t>
      </w:r>
      <w:r>
        <w:rPr>
          <w:sz w:val="20"/>
          <w:szCs w:val="20"/>
          <w:rtl/>
        </w:rPr>
        <w:t>(יחזקאל מה כא)</w:t>
      </w:r>
      <w:r>
        <w:rPr>
          <w:rtl/>
        </w:rPr>
        <w:t xml:space="preserve"> חָג שְׁבֻעוֹת יָמִים מַצּוֹת יֵאָכֵל.</w:t>
      </w:r>
    </w:p>
    <w:p w:rsidR="002D629A" w:rsidRDefault="002D629A" w:rsidP="00B17EA9">
      <w:pPr>
        <w:pStyle w:val="NormalWeb"/>
        <w:rPr>
          <w:rtl/>
        </w:rPr>
      </w:pPr>
      <w:r>
        <w:rPr>
          <w:rtl/>
        </w:rPr>
        <w:t xml:space="preserve">וּבְגִין דָּא אוֹר לְאַרְבָּעָה עָשָׂר בּוֹדְקִין אֶת הֶחָמֵץ לְאוֹר הַנֵּר, וְדָא אוֹר הַנֵּר דְּאִיהִי אוֹרַיְיתָא וּפִקּוּדַיָּא, דְאִתְּמַר בְּהוֹן </w:t>
      </w:r>
      <w:r>
        <w:rPr>
          <w:sz w:val="20"/>
          <w:szCs w:val="20"/>
          <w:rtl/>
        </w:rPr>
        <w:t>(משלי ו כג)</w:t>
      </w:r>
      <w:r>
        <w:rPr>
          <w:rtl/>
        </w:rPr>
        <w:t xml:space="preserve"> כִּי נֵר מִצְוָה וְתוֹרָה אוֹר, </w:t>
      </w:r>
      <w:r>
        <w:rPr>
          <w:rStyle w:val="a7"/>
          <w:rFonts w:hAnsi="Arial"/>
          <w:b w:val="0"/>
          <w:bCs w:val="0"/>
          <w:rtl/>
          <w:lang w:eastAsia="en-US"/>
        </w:rPr>
        <w:footnoteReference w:id="2772"/>
      </w:r>
      <w:r>
        <w:rPr>
          <w:rtl/>
        </w:rPr>
        <w:t xml:space="preserve">נֵר בְּלִבָּא, אוֹר בְּעַיְינִין, דְּאִיהוּ אוֹר הַנֵּר, בִּדְחִילוּ וּרְחִימוּ בְּי''ה מִתְעַבְּרִין חֲשׁוֹכָא וְקַדְרוּתָא מִנַּיְיהוּ, </w:t>
      </w:r>
      <w:r>
        <w:rPr>
          <w:rStyle w:val="a7"/>
          <w:rFonts w:hAnsi="Arial"/>
          <w:b w:val="0"/>
          <w:bCs w:val="0"/>
          <w:rtl/>
          <w:lang w:eastAsia="en-US"/>
        </w:rPr>
        <w:footnoteReference w:id="2773"/>
      </w:r>
      <w:r>
        <w:rPr>
          <w:rtl/>
        </w:rPr>
        <w:t xml:space="preserve">וּבְגִין דָּא כִּי יוֹם נָקָם בְּלִבִּי </w:t>
      </w:r>
      <w:r>
        <w:rPr>
          <w:sz w:val="20"/>
          <w:szCs w:val="20"/>
          <w:rtl/>
        </w:rPr>
        <w:t>(ישעיה סג ד)</w:t>
      </w:r>
      <w:r>
        <w:rPr>
          <w:rtl/>
        </w:rPr>
        <w:t>.</w:t>
      </w:r>
    </w:p>
    <w:p w:rsidR="002D629A" w:rsidRDefault="002D629A" w:rsidP="00B17EA9">
      <w:pPr>
        <w:pStyle w:val="NormalWeb"/>
        <w:rPr>
          <w:rtl/>
        </w:rPr>
      </w:pPr>
      <w:r>
        <w:rPr>
          <w:rtl/>
        </w:rPr>
        <w:t xml:space="preserve">וְעוֹד בְּלִבִּי דָא ל''ב אלהי''ם דְּעוֹבְדָא דִבְּרֵאשִׁית, וַעֲשַׂר אֲמִירָן דְּאִינוּן י' מִן לִבִּי, וְלֵב הַאי אִיהוּ לֵב, </w:t>
      </w:r>
      <w:r>
        <w:rPr>
          <w:rStyle w:val="a7"/>
          <w:rFonts w:hAnsi="Arial"/>
          <w:b w:val="0"/>
          <w:bCs w:val="0"/>
          <w:rtl/>
          <w:lang w:eastAsia="en-US"/>
        </w:rPr>
        <w:footnoteReference w:id="2774"/>
      </w:r>
      <w:r>
        <w:rPr>
          <w:rtl/>
        </w:rPr>
        <w:t xml:space="preserve">דְּבֵיהּ נָהִיר </w:t>
      </w:r>
      <w:r>
        <w:rPr>
          <w:rStyle w:val="a7"/>
          <w:rFonts w:hAnsi="Arial"/>
          <w:b w:val="0"/>
          <w:bCs w:val="0"/>
          <w:rtl/>
          <w:lang w:eastAsia="en-US"/>
        </w:rPr>
        <w:footnoteReference w:id="2775"/>
      </w:r>
      <w:r>
        <w:rPr>
          <w:rtl/>
        </w:rPr>
        <w:t xml:space="preserve">הַהוּא דְאִתְּמַר בֵּיהּ </w:t>
      </w:r>
      <w:r>
        <w:rPr>
          <w:sz w:val="20"/>
          <w:szCs w:val="20"/>
          <w:rtl/>
        </w:rPr>
        <w:t>(שמות ב ב)</w:t>
      </w:r>
      <w:r>
        <w:rPr>
          <w:rtl/>
        </w:rPr>
        <w:t xml:space="preserve"> וַתֵּרֶא אוֹתוֹ כִּי טוֹב הוּא, וּבֵיהּ עָתִיד לְאִתְגַּלְיָיא קוּדְשָׁא בְּרִיךְ הוּא לְמֹשֶׁה בְאוֹרַיְיתָא בְגָלוּתָא בַתְרָאָה, כְּגַוְונָא דְפוּרְקָנָא קַדְמָאָה, דְאִתְּמַר בֵּיהּ </w:t>
      </w:r>
      <w:r>
        <w:rPr>
          <w:sz w:val="20"/>
          <w:szCs w:val="20"/>
          <w:rtl/>
        </w:rPr>
        <w:t>(שם ג ב)</w:t>
      </w:r>
      <w:r>
        <w:rPr>
          <w:rtl/>
        </w:rPr>
        <w:t xml:space="preserve"> וַיֵּרָא מַלְאַךְ יהו''ה אֵלָיו בְּלַבַּת אֵשׁ, בְּקַדְמֵיתָא בְּלַבַּת אֵשׁ דִּנְבוּאָה, וּבְגָלוּתָא בַתְרָאָה בְּלַבַּת אֵשׁ דְּאוֹרַיְיתָא.</w:t>
      </w:r>
    </w:p>
    <w:p w:rsidR="002D629A" w:rsidRDefault="002D629A" w:rsidP="00B17EA9">
      <w:pPr>
        <w:pStyle w:val="NormalWeb"/>
        <w:rPr>
          <w:rtl/>
        </w:rPr>
      </w:pPr>
      <w:r>
        <w:rPr>
          <w:rStyle w:val="a7"/>
          <w:rFonts w:hAnsi="Arial"/>
          <w:b w:val="0"/>
          <w:bCs w:val="0"/>
          <w:rtl/>
          <w:lang w:eastAsia="en-US"/>
        </w:rPr>
        <w:footnoteReference w:id="2776"/>
      </w:r>
      <w:r>
        <w:rPr>
          <w:rtl/>
        </w:rPr>
        <w:t xml:space="preserve">וְדָא בַ''ת מִן בְּרֵאשִׁית, דְּאִיהִי כְלִילָא מֵעֲשַׂר אֲמִירָן וְל''ב אלהי''ם דְּעוֹבְדָא דִבְּרֵאשִׁית, בַּת כְּלִילָא מֵעֲשַׂר אֲמִירָן </w:t>
      </w:r>
      <w:r>
        <w:rPr>
          <w:rStyle w:val="a7"/>
          <w:rFonts w:hAnsi="Arial"/>
          <w:b w:val="0"/>
          <w:bCs w:val="0"/>
          <w:rtl/>
          <w:lang w:eastAsia="en-US"/>
        </w:rPr>
        <w:footnoteReference w:id="2777"/>
      </w:r>
      <w:r>
        <w:rPr>
          <w:rtl/>
        </w:rPr>
        <w:t xml:space="preserve">אִיהִי בַת עַיִן אוּכְמָא, דְאִתְּמַר בָּהּ שְׁחוֹרָה אֲנִי וְנָאוָה, וּבֵיהּ נָהִיר אוֹר, הֲדָא הוּא דִכְתִיב </w:t>
      </w:r>
      <w:r>
        <w:rPr>
          <w:sz w:val="20"/>
          <w:szCs w:val="20"/>
          <w:rtl/>
        </w:rPr>
        <w:t>(משלי ו כג)</w:t>
      </w:r>
      <w:r>
        <w:rPr>
          <w:rtl/>
        </w:rPr>
        <w:t xml:space="preserve"> וְתוֹרָה אוֹר, ל''ב אלהי''ם בֵּיהּ נָהִיר מִצְוָה, </w:t>
      </w:r>
      <w:r>
        <w:rPr>
          <w:rStyle w:val="a7"/>
          <w:rFonts w:hAnsi="Arial"/>
          <w:b w:val="0"/>
          <w:bCs w:val="0"/>
          <w:rtl/>
          <w:lang w:eastAsia="en-US"/>
        </w:rPr>
        <w:footnoteReference w:id="2778"/>
      </w:r>
      <w:r>
        <w:rPr>
          <w:rtl/>
        </w:rPr>
        <w:t xml:space="preserve">דְּאִתְּמַר בֵּיהּ </w:t>
      </w:r>
      <w:r>
        <w:rPr>
          <w:sz w:val="20"/>
          <w:szCs w:val="20"/>
          <w:rtl/>
        </w:rPr>
        <w:t>(שם כ כז)</w:t>
      </w:r>
      <w:r>
        <w:rPr>
          <w:rtl/>
        </w:rPr>
        <w:t xml:space="preserve"> נֵר יהו''ה נִשְׁמַת אָדָם וכו': </w:t>
      </w:r>
    </w:p>
    <w:p w:rsidR="002D629A" w:rsidRDefault="002D629A" w:rsidP="00B17EA9">
      <w:pPr>
        <w:pStyle w:val="NormalWeb"/>
        <w:rPr>
          <w:rtl/>
        </w:rPr>
      </w:pPr>
      <w:r>
        <w:rPr>
          <w:rtl/>
        </w:rPr>
        <w:t>(כאן חסר והוא בתיקונים זוהר חדש)</w:t>
      </w:r>
    </w:p>
    <w:p w:rsidR="002D629A" w:rsidRDefault="002D629A" w:rsidP="00B17EA9">
      <w:pPr>
        <w:pStyle w:val="aa"/>
        <w:rPr>
          <w:rtl/>
        </w:rPr>
      </w:pPr>
      <w:r>
        <w:rPr>
          <w:rtl/>
        </w:rPr>
        <w:t xml:space="preserve">[תיקוני זוהר - דף נ ע''ב] </w:t>
      </w:r>
    </w:p>
    <w:p w:rsidR="002D629A" w:rsidRDefault="002D629A" w:rsidP="00B17EA9">
      <w:pPr>
        <w:pStyle w:val="NormalWeb"/>
        <w:rPr>
          <w:rtl/>
        </w:rPr>
      </w:pPr>
      <w:r>
        <w:rPr>
          <w:rtl/>
        </w:rPr>
        <w:t xml:space="preserve">(ס"א </w:t>
      </w:r>
      <w:r>
        <w:rPr>
          <w:sz w:val="20"/>
          <w:szCs w:val="20"/>
          <w:rtl/>
        </w:rPr>
        <w:t xml:space="preserve">(דף נ ע''ב) </w:t>
      </w:r>
      <w:r>
        <w:rPr>
          <w:rStyle w:val="a7"/>
          <w:rFonts w:hAnsi="Arial"/>
          <w:rtl/>
          <w:lang w:eastAsia="en-US"/>
        </w:rPr>
        <w:footnoteReference w:id="2779"/>
      </w:r>
      <w:r>
        <w:rPr>
          <w:rtl/>
        </w:rPr>
        <w:t>וְגַדְפוֹי דִּשְׁכִינְתָּא אִינוּן כִּסּוּי דַּם חַיָּה וְעוֹף, דִּמְכַסֵּי עֲלַיְיהוּ בִרְחִימוּ, וְכַד מְכַסֵּי עֲלַיְיהוּ בִרְחִימוּ דְאַהֲבָה, מֵי טוֹפָנָא לָא שָׁלְטָא עֲלַיְיהוּ, מַיִם רַבִּים דְּמֵי טוֹפָנָא לֹא יוּכְלוּ לְכַבּוֹת אֶת הָאַהֲבָה דְיִשְׂרָאֵל בַּאֲבוּהוֹן דְּבִשְׁמַיָּא)</w:t>
      </w:r>
    </w:p>
    <w:p w:rsidR="002D629A" w:rsidRDefault="002D629A" w:rsidP="00B17EA9">
      <w:pPr>
        <w:pStyle w:val="NormalWeb"/>
        <w:rPr>
          <w:rtl/>
        </w:rPr>
      </w:pPr>
      <w:r>
        <w:rPr>
          <w:rStyle w:val="a7"/>
          <w:rFonts w:hAnsi="Arial"/>
          <w:b w:val="0"/>
          <w:bCs w:val="0"/>
          <w:rtl/>
          <w:lang w:eastAsia="en-US"/>
        </w:rPr>
        <w:footnoteReference w:id="2780"/>
      </w:r>
      <w:r>
        <w:rPr>
          <w:rtl/>
        </w:rPr>
        <w:t xml:space="preserve">בְּהַהוּא זִמְנָא כָּרְסַיָּא יְהֵא עַל אַרְבַּע חֵיוָון, וְדָא אִיהוּ שׁוֹפָר הוֹלֵ''ךְ רָבִי''עַ מְרוּבַּע, דַּרְגָּ''א בְּשִׁית דַּרְגִּין, דְּאִינוּן שֵׁשׁ מַעֲלוֹת לַכִּסֵּא </w:t>
      </w:r>
      <w:r>
        <w:rPr>
          <w:sz w:val="20"/>
          <w:szCs w:val="20"/>
          <w:rtl/>
        </w:rPr>
        <w:t>(מלכים א י יט)</w:t>
      </w:r>
      <w:r>
        <w:rPr>
          <w:rtl/>
        </w:rPr>
        <w:t xml:space="preserve">, וְאָמַר מַלְכָּא עַל כָּרְסַיָּא בְּהַהִיא זִמְנָא וַעֲשֵׂה לִי מַטְעַמִּים כַּאֲשֶׁר אָהַבְתִּי </w:t>
      </w:r>
      <w:r>
        <w:rPr>
          <w:sz w:val="20"/>
          <w:szCs w:val="20"/>
          <w:rtl/>
        </w:rPr>
        <w:t>(בראשית כז ד)</w:t>
      </w:r>
      <w:r>
        <w:rPr>
          <w:rtl/>
        </w:rPr>
        <w:t xml:space="preserve"> מִפִּקּוּדִין דַּעֲשֵׂה </w:t>
      </w:r>
      <w:r>
        <w:rPr>
          <w:rStyle w:val="a7"/>
          <w:rFonts w:hAnsi="Arial"/>
          <w:b w:val="0"/>
          <w:bCs w:val="0"/>
          <w:rtl/>
          <w:lang w:eastAsia="en-US"/>
        </w:rPr>
        <w:footnoteReference w:id="2781"/>
      </w:r>
      <w:r>
        <w:rPr>
          <w:rtl/>
        </w:rPr>
        <w:t xml:space="preserve">דְאִתְיְיהִיבוּ מֵאַהֲבָה, </w:t>
      </w:r>
      <w:r>
        <w:rPr>
          <w:rStyle w:val="a7"/>
          <w:rFonts w:hAnsi="Arial"/>
          <w:b w:val="0"/>
          <w:bCs w:val="0"/>
          <w:rtl/>
          <w:lang w:eastAsia="en-US"/>
        </w:rPr>
        <w:footnoteReference w:id="2782"/>
      </w:r>
      <w:r>
        <w:rPr>
          <w:rtl/>
        </w:rPr>
        <w:t xml:space="preserve">וְלָא מִפִּקּוּדִין דְּלֹא תַעֲשֶׂה, דְהוּא אַקְרִיב לֵיהּ מְמַנָּא דְעִשָׂו, לְקַטְרְגָא בְהוֹן לְיִשְׂרָאֵל, </w:t>
      </w:r>
      <w:r>
        <w:rPr>
          <w:rStyle w:val="a7"/>
          <w:rFonts w:hAnsi="Arial"/>
          <w:b w:val="0"/>
          <w:bCs w:val="0"/>
          <w:rtl/>
          <w:lang w:eastAsia="en-US"/>
        </w:rPr>
        <w:footnoteReference w:id="2783"/>
      </w:r>
      <w:r>
        <w:rPr>
          <w:rtl/>
        </w:rPr>
        <w:t xml:space="preserve">דִּבְגִינַיְיהוּ אִתְּמַר </w:t>
      </w:r>
      <w:r>
        <w:rPr>
          <w:sz w:val="20"/>
          <w:szCs w:val="20"/>
          <w:rtl/>
        </w:rPr>
        <w:t>(מלאכי א ג)</w:t>
      </w:r>
      <w:r>
        <w:rPr>
          <w:rtl/>
        </w:rPr>
        <w:t xml:space="preserve"> וְאֶת עִשָׂו שָׂנֵאתִי.</w:t>
      </w:r>
    </w:p>
    <w:p w:rsidR="002D629A" w:rsidRDefault="002D629A" w:rsidP="00B17EA9">
      <w:pPr>
        <w:pStyle w:val="aa"/>
        <w:rPr>
          <w:rtl/>
        </w:rPr>
      </w:pPr>
      <w:r>
        <w:rPr>
          <w:rtl/>
        </w:rPr>
        <w:t xml:space="preserve">[תיקוני זוהר - דף נא ע''א] </w:t>
      </w:r>
    </w:p>
    <w:p w:rsidR="002D629A" w:rsidRDefault="002D629A" w:rsidP="00B17EA9">
      <w:pPr>
        <w:pStyle w:val="NormalWeb"/>
        <w:rPr>
          <w:rtl/>
        </w:rPr>
      </w:pPr>
      <w:r>
        <w:rPr>
          <w:rStyle w:val="a7"/>
          <w:rFonts w:hAnsi="Arial"/>
          <w:b w:val="0"/>
          <w:bCs w:val="0"/>
          <w:rtl/>
          <w:lang w:eastAsia="en-US"/>
        </w:rPr>
        <w:footnoteReference w:id="2784"/>
      </w:r>
      <w:r>
        <w:rPr>
          <w:rtl/>
        </w:rPr>
        <w:t xml:space="preserve">וְדָא אִיהוּ דַרְגָּ''א תְרֵי טַעֲמֵ''י, דְמִסִּטְרָא </w:t>
      </w:r>
      <w:r>
        <w:rPr>
          <w:sz w:val="20"/>
          <w:szCs w:val="20"/>
          <w:rtl/>
        </w:rPr>
        <w:t xml:space="preserve">(דף נא ע''א) </w:t>
      </w:r>
      <w:r>
        <w:rPr>
          <w:rtl/>
        </w:rPr>
        <w:t xml:space="preserve">דְפִקּוּדִין דְּלֹא תַעֲשֶׂה מְמַנָּא דְעִשָׂו </w:t>
      </w:r>
      <w:r>
        <w:rPr>
          <w:rStyle w:val="a7"/>
          <w:rFonts w:hAnsi="Arial"/>
          <w:b w:val="0"/>
          <w:bCs w:val="0"/>
          <w:rtl/>
          <w:lang w:eastAsia="en-US"/>
        </w:rPr>
        <w:footnoteReference w:id="2785"/>
      </w:r>
      <w:r>
        <w:rPr>
          <w:rtl/>
        </w:rPr>
        <w:t xml:space="preserve">אִיהוּ רָבִי''עַ עַל יִשְׂרָאֵל, וְאִיהִי דַרְגָּ''א עֲלַיְיהוּ, </w:t>
      </w:r>
      <w:r>
        <w:rPr>
          <w:rStyle w:val="a7"/>
          <w:rFonts w:hAnsi="Arial"/>
          <w:b w:val="0"/>
          <w:bCs w:val="0"/>
          <w:rtl/>
          <w:lang w:eastAsia="en-US"/>
        </w:rPr>
        <w:footnoteReference w:id="2786"/>
      </w:r>
      <w:r>
        <w:rPr>
          <w:rtl/>
        </w:rPr>
        <w:t xml:space="preserve">וְאִי תֵימָא דְשָׁלְטָא עַל שְׁכִינְתָּא דְאִיהִי עִמְּהוֹן בְּגָלוּתָא, הָא אָמַר קְרָא </w:t>
      </w:r>
      <w:r>
        <w:rPr>
          <w:sz w:val="20"/>
          <w:szCs w:val="20"/>
          <w:rtl/>
        </w:rPr>
        <w:t>(ישעיה מב ח)</w:t>
      </w:r>
      <w:r>
        <w:rPr>
          <w:rtl/>
        </w:rPr>
        <w:t xml:space="preserve"> אֲנִי יהו''ה הוּא שְׁמִי וּכְבוֹדִי לְאַחֵר לֹא אֶתֵּן וּתְהִלָּתִי לַפְּסִילִים, </w:t>
      </w:r>
      <w:r>
        <w:rPr>
          <w:rStyle w:val="a7"/>
          <w:rFonts w:hAnsi="Arial"/>
          <w:b w:val="0"/>
          <w:bCs w:val="0"/>
          <w:rtl/>
          <w:lang w:eastAsia="en-US"/>
        </w:rPr>
        <w:footnoteReference w:id="2787"/>
      </w:r>
      <w:r>
        <w:rPr>
          <w:rtl/>
        </w:rPr>
        <w:t xml:space="preserve">וּכְבוֹדִי שְׁכִינְתָּא עִלָּאָה, לְאַחֵר לֹא אֶתֵּן אֵל אַחֵר, וּתְהִלָּתִי לַפְּסִילִים דָּא שְׁכִינְתָּא תַּתָּאָה, וּבְגִין דָּא בְשִׁית יוֹמִין דְּשָׁלְטָא </w:t>
      </w:r>
      <w:r>
        <w:rPr>
          <w:rStyle w:val="a7"/>
          <w:rFonts w:hAnsi="Arial"/>
          <w:b w:val="0"/>
          <w:bCs w:val="0"/>
          <w:rtl/>
          <w:lang w:eastAsia="en-US"/>
        </w:rPr>
        <w:footnoteReference w:id="2788"/>
      </w:r>
      <w:r>
        <w:rPr>
          <w:rtl/>
        </w:rPr>
        <w:t xml:space="preserve">סַם הַמָּוְת, אֵל אַחֵר, </w:t>
      </w:r>
      <w:r>
        <w:rPr>
          <w:rStyle w:val="a7"/>
          <w:rFonts w:hAnsi="Arial"/>
          <w:b w:val="0"/>
          <w:bCs w:val="0"/>
          <w:rtl/>
          <w:lang w:eastAsia="en-US"/>
        </w:rPr>
        <w:footnoteReference w:id="2789"/>
      </w:r>
      <w:r>
        <w:rPr>
          <w:rtl/>
        </w:rPr>
        <w:t xml:space="preserve">אִתְּמַר בִּשְׁכִינְתָּא </w:t>
      </w:r>
      <w:r>
        <w:rPr>
          <w:sz w:val="20"/>
          <w:szCs w:val="20"/>
          <w:rtl/>
        </w:rPr>
        <w:t>(יחזקאל מו א)</w:t>
      </w:r>
      <w:r>
        <w:rPr>
          <w:rtl/>
        </w:rPr>
        <w:t xml:space="preserve"> יִהְיֶה סָגוּר שֵׁשֶׁת יְמֵי הַמַּעֲשֶׂה, בְּשַׁבָּת וּבְרָאשֵׁי חֳדָשִׁים דְּלָא שָׁלְטִין מְמַנָּן בִּישִׁין, אִתְּמַר בְּהוֹן </w:t>
      </w:r>
      <w:r>
        <w:rPr>
          <w:sz w:val="20"/>
          <w:szCs w:val="20"/>
          <w:rtl/>
        </w:rPr>
        <w:t>(נ''א בה)</w:t>
      </w:r>
      <w:r>
        <w:rPr>
          <w:rtl/>
        </w:rPr>
        <w:t xml:space="preserve"> וּבְיוֹם הַשַּׁבָּת יִפָּתֵחַ וּבְיוֹם הַחֹדֶשׁ יִפָּתֵחַ.</w:t>
      </w:r>
    </w:p>
    <w:p w:rsidR="002D629A" w:rsidRDefault="002D629A" w:rsidP="00B17EA9">
      <w:pPr>
        <w:pStyle w:val="NormalWeb"/>
        <w:rPr>
          <w:rtl/>
        </w:rPr>
      </w:pPr>
      <w:r>
        <w:rPr>
          <w:rStyle w:val="a7"/>
          <w:rFonts w:hAnsi="Arial"/>
          <w:b w:val="0"/>
          <w:bCs w:val="0"/>
          <w:rtl/>
          <w:lang w:eastAsia="en-US"/>
        </w:rPr>
        <w:footnoteReference w:id="2790"/>
      </w:r>
      <w:r>
        <w:rPr>
          <w:rtl/>
        </w:rPr>
        <w:t xml:space="preserve">וְעוֹד רָבִי''עַ אִיהוּ </w:t>
      </w:r>
      <w:r>
        <w:rPr>
          <w:rStyle w:val="a7"/>
          <w:rFonts w:hAnsi="Arial"/>
          <w:b w:val="0"/>
          <w:bCs w:val="0"/>
          <w:rtl/>
          <w:lang w:eastAsia="en-US"/>
        </w:rPr>
        <w:footnoteReference w:id="2791"/>
      </w:r>
      <w:r>
        <w:rPr>
          <w:rtl/>
        </w:rPr>
        <w:t xml:space="preserve">כְּגַוְונָא דָא כּ, וּלְזִמְנִין כְּגַוְונָא דָא [ציור] בַּת מֶלֶךְ פְּנִימָה סְגִירָא בְּבֵיתָא, וְאִיהִי סִיהֲרָא קַדִּישָׁא לְעוֹלָם לָא אִסְתַּכְּלַת בָּהּ </w:t>
      </w:r>
      <w:r>
        <w:rPr>
          <w:rStyle w:val="a7"/>
          <w:rFonts w:hAnsi="Arial"/>
          <w:b w:val="0"/>
          <w:bCs w:val="0"/>
          <w:rtl/>
          <w:lang w:eastAsia="en-US"/>
        </w:rPr>
        <w:footnoteReference w:id="2792"/>
      </w:r>
      <w:r>
        <w:rPr>
          <w:rtl/>
        </w:rPr>
        <w:t xml:space="preserve">חַמָּה בִישָׁא, גֵיהִנָּם סַם הַמָּוְת נוּקְבָא בִישָׁא, </w:t>
      </w:r>
      <w:r>
        <w:rPr>
          <w:rStyle w:val="a7"/>
          <w:rFonts w:hAnsi="Arial"/>
          <w:b w:val="0"/>
          <w:bCs w:val="0"/>
          <w:rtl/>
          <w:lang w:eastAsia="en-US"/>
        </w:rPr>
        <w:footnoteReference w:id="2793"/>
      </w:r>
      <w:r>
        <w:rPr>
          <w:rtl/>
        </w:rPr>
        <w:t xml:space="preserve">כָּל שֶׁכֵּן אֵל אַחֵר, דְּהָכִי אוּקְמוּהוּ קַדְמָאִין, לְעוֹלָם לָא חָזָא חַמָּה פְּגִימוּתָא דְסִיהֲרָא, דִּבְזִמְנָא דְחַמָּה נָפְקָא </w:t>
      </w:r>
      <w:r>
        <w:rPr>
          <w:sz w:val="20"/>
          <w:szCs w:val="20"/>
          <w:rtl/>
        </w:rPr>
        <w:t>(נפקא)</w:t>
      </w:r>
      <w:r>
        <w:rPr>
          <w:rtl/>
        </w:rPr>
        <w:t xml:space="preserve"> מִמִּזְרָח, סִיהֲרָא חָזְרַת אַנְפָּהָא מִינֵיהּ כְּגַוְונָא דָא [ציור] וּבְגִין דָּא אָמַר בִּלְעָם הָרָשָׁע </w:t>
      </w:r>
      <w:r>
        <w:rPr>
          <w:rStyle w:val="a7"/>
          <w:rFonts w:hAnsi="Arial"/>
          <w:b w:val="0"/>
          <w:bCs w:val="0"/>
          <w:rtl/>
          <w:lang w:eastAsia="en-US"/>
        </w:rPr>
        <w:footnoteReference w:id="2794"/>
      </w:r>
      <w:r>
        <w:rPr>
          <w:rtl/>
        </w:rPr>
        <w:t xml:space="preserve">לֹא הִבִּיט אָוְן בְּיַעֲקֹב וְלֹא רָאָה עָמָל בְּיִשְׂרָאֵל </w:t>
      </w:r>
      <w:r>
        <w:rPr>
          <w:sz w:val="20"/>
          <w:szCs w:val="20"/>
          <w:rtl/>
        </w:rPr>
        <w:t>(במדבר כג כא)</w:t>
      </w:r>
      <w:r>
        <w:rPr>
          <w:rtl/>
        </w:rPr>
        <w:t>, עָמָל וָאָוְן סמא''ל וְנָחָשׁ.</w:t>
      </w:r>
    </w:p>
    <w:p w:rsidR="002D629A" w:rsidRDefault="002D629A" w:rsidP="00B17EA9">
      <w:pPr>
        <w:pStyle w:val="NormalWeb"/>
        <w:rPr>
          <w:rtl/>
        </w:rPr>
      </w:pPr>
      <w:r>
        <w:rPr>
          <w:rStyle w:val="a7"/>
          <w:rFonts w:hAnsi="Arial"/>
          <w:b w:val="0"/>
          <w:bCs w:val="0"/>
          <w:rtl/>
          <w:lang w:eastAsia="en-US"/>
        </w:rPr>
        <w:footnoteReference w:id="2795"/>
      </w:r>
      <w:r>
        <w:rPr>
          <w:rtl/>
        </w:rPr>
        <w:t xml:space="preserve">וּבְזִמְנָא דְּדָחֲקִין לָהּ לְאִסְתַּכָּלָא בָהּ, אִתְכַּסְיָא מִכָּל וָכֹל, וְאֵימָתַי בְּיַרְחָא שְׁבִיעָאָה, הֲדָא הוּא דִכְתִיב </w:t>
      </w:r>
      <w:r>
        <w:rPr>
          <w:sz w:val="20"/>
          <w:szCs w:val="20"/>
          <w:rtl/>
        </w:rPr>
        <w:t>(תהלים פא ג)</w:t>
      </w:r>
      <w:r>
        <w:rPr>
          <w:rtl/>
        </w:rPr>
        <w:t xml:space="preserve"> תִּקְעוּ בַחֹדֶשׁ שׁוֹפָר בַּכֶּסֶה לְיוֹם חַגֵּנוּ, מַאי בַּכֶּסֶה בְּיַרְחָא דְאִתְכַּסְיָיא בֵּיהּ סִיהֲרָא, </w:t>
      </w:r>
      <w:r>
        <w:rPr>
          <w:rStyle w:val="a7"/>
          <w:rFonts w:hAnsi="Arial"/>
          <w:b w:val="0"/>
          <w:bCs w:val="0"/>
          <w:rtl/>
          <w:lang w:eastAsia="en-US"/>
        </w:rPr>
        <w:footnoteReference w:id="2796"/>
      </w:r>
      <w:r>
        <w:rPr>
          <w:rtl/>
        </w:rPr>
        <w:t xml:space="preserve">בְּהַהוּא זִמְנָא דְאִתְכְּסִיאַת מִנֵּיהּ, אִיהִי אָמְרַת לְיִשְׂרָאֵל דִּיְתַקְנוּן צְלוֹתִין בְּמַאֲכָלִין טָבִין, מִפִּקּוּדִין דַּעֲשֵׂה, </w:t>
      </w:r>
      <w:r>
        <w:rPr>
          <w:rStyle w:val="a7"/>
          <w:rFonts w:hAnsi="Arial"/>
          <w:b w:val="0"/>
          <w:bCs w:val="0"/>
          <w:rtl/>
          <w:lang w:eastAsia="en-US"/>
        </w:rPr>
        <w:footnoteReference w:id="2797"/>
      </w:r>
      <w:r>
        <w:rPr>
          <w:rtl/>
        </w:rPr>
        <w:t xml:space="preserve">דִּצְלוֹתָא שְׁקִילָא כְּכָל פִּקּוּדִין, בְּהַהוּא זִמְנָא יֵימָא קוּדְשָׁא בְּרִיךְ הוּא לְיִשְׂרָאֵל, וַעֲשֵׂה לִי מַטְעַמִּים </w:t>
      </w:r>
      <w:r>
        <w:rPr>
          <w:sz w:val="20"/>
          <w:szCs w:val="20"/>
          <w:rtl/>
        </w:rPr>
        <w:t>(בראשית כז ד)</w:t>
      </w:r>
      <w:r>
        <w:rPr>
          <w:rtl/>
        </w:rPr>
        <w:t xml:space="preserve"> בִּרְעוּתָא דִשְׁכִינְתָּא, כַּאֲשֶׁר אָהַבְתִּי מִפִּקּוּדִין דַּעֲשֵׂה, וְתַקִּנַּת שְׁכִינְתָּא עִם יִשְׂרָאֵל מַאֲכָלִין דִּצְלוֹתִין דְּאִינוּן קָרְבָּנִין, </w:t>
      </w:r>
      <w:r>
        <w:rPr>
          <w:rStyle w:val="a7"/>
          <w:rFonts w:hAnsi="Arial"/>
          <w:b w:val="0"/>
          <w:bCs w:val="0"/>
          <w:rtl/>
          <w:lang w:eastAsia="en-US"/>
        </w:rPr>
        <w:footnoteReference w:id="2798"/>
      </w:r>
      <w:r>
        <w:rPr>
          <w:rtl/>
        </w:rPr>
        <w:t xml:space="preserve">וּבְזִמְנָא דְאִיהִי תַקִּינַת מְזוֹנָא לְמַלְכָּא, יְהִיבַת לוֹן עִיטָא לְאַתְעָרָא בַשּׁוֹפָר, </w:t>
      </w:r>
      <w:r>
        <w:rPr>
          <w:rStyle w:val="a7"/>
          <w:rFonts w:hAnsi="Arial"/>
          <w:b w:val="0"/>
          <w:bCs w:val="0"/>
          <w:rtl/>
          <w:lang w:eastAsia="en-US"/>
        </w:rPr>
        <w:footnoteReference w:id="2799"/>
      </w:r>
      <w:r>
        <w:rPr>
          <w:rtl/>
        </w:rPr>
        <w:t xml:space="preserve">דְּבֵיהּ עָתִיד קוּדְשָׁא בְּרִיךְ הוּא לְאַכְנָשָׁא בֵיהּ לְיִשְׂרָאֵל מִן גָּלוּתָא מֵאַרְבַּע סִטְרִין, הֲדָא הוּא דִכְתִיב תְּקַע בְּשׁוֹפָר גָּדוֹל לְחֵירוּתֵינוּ וְשָׂא נֵס לְקַבֵּץ גָּלֻיּוֹתֵינוּ, </w:t>
      </w:r>
      <w:r>
        <w:rPr>
          <w:rStyle w:val="a7"/>
          <w:rFonts w:hAnsi="Arial"/>
          <w:b w:val="0"/>
          <w:bCs w:val="0"/>
          <w:rtl/>
          <w:lang w:eastAsia="en-US"/>
        </w:rPr>
        <w:footnoteReference w:id="2800"/>
      </w:r>
      <w:r>
        <w:rPr>
          <w:rtl/>
        </w:rPr>
        <w:t xml:space="preserve">וְאִיהוּ חָשִׁיב דְּאִיהוּ יוֹמָא דְּדִינָא דִילֵיהּ וּבָרַח </w:t>
      </w:r>
      <w:r>
        <w:rPr>
          <w:szCs w:val="20"/>
          <w:rtl/>
        </w:rPr>
        <w:t>(ס"א וּבראש השנה)</w:t>
      </w:r>
      <w:r>
        <w:rPr>
          <w:rtl/>
        </w:rPr>
        <w:t xml:space="preserve"> עַד הַהוּא זִמְנָא קוּדְשָׁא בְּרִיךְ הוּא מַאֲרִיךְ עֲלַיְיהוּ דְחַיָּיבַיָּא, וּלְבַסּוֹף אַפְסִיק לוֹן וְחָרִיב לוֹן מֵעָלְמָא, וְדָא אִיהוּ מַאֲרִי''ךְ טַרְחָ''א סוֹף פָּסוּ''ק.</w:t>
      </w:r>
    </w:p>
    <w:p w:rsidR="002D629A" w:rsidRDefault="002D629A" w:rsidP="00B17EA9">
      <w:pPr>
        <w:pStyle w:val="NormalWeb"/>
        <w:rPr>
          <w:rtl/>
        </w:rPr>
      </w:pPr>
      <w:r>
        <w:rPr>
          <w:rtl/>
        </w:rPr>
        <w:t xml:space="preserve">וְעוֹד שׁוֹפָ''ר הוֹלֵךְ רָבִי''עַ דַּרְגָּ''א תְרֵי טַעֲמֵ''י, בְהַהוּא זִמְנָא דְיִתְמַחוּן חַיָּיבַיָּא מֵעָלְמָא, </w:t>
      </w:r>
      <w:r>
        <w:rPr>
          <w:rStyle w:val="a7"/>
          <w:rFonts w:hAnsi="Arial"/>
          <w:b w:val="0"/>
          <w:bCs w:val="0"/>
          <w:rtl/>
          <w:lang w:eastAsia="en-US"/>
        </w:rPr>
        <w:footnoteReference w:id="2801"/>
      </w:r>
      <w:r>
        <w:rPr>
          <w:rtl/>
        </w:rPr>
        <w:t xml:space="preserve">סָלְקָא צְלוֹתָא בְנִגּוּנָא בְּאַרְבַּע מִינִין, דְּאִינוּן שִׁיר פָּשׁוּט וְדָא י', שִׁיר כָּפוּל וְדָא י''ה, שִׁיר מְשׁוּלָשׁ וְדָא יה''ו, שִׁיר מְרוּבַּע וְדָא יהו''ה, </w:t>
      </w:r>
      <w:r>
        <w:rPr>
          <w:rStyle w:val="a7"/>
          <w:rFonts w:hAnsi="Arial"/>
          <w:b w:val="0"/>
          <w:bCs w:val="0"/>
          <w:rtl/>
          <w:lang w:eastAsia="en-US"/>
        </w:rPr>
        <w:footnoteReference w:id="2802"/>
      </w:r>
      <w:r>
        <w:rPr>
          <w:rtl/>
        </w:rPr>
        <w:t xml:space="preserve">בִּשְׁמָא דְיהו''ה סָלְקָא צְלוֹתָא בְנִגּוּנָא, אוֹרַיְתָא בְנִגּוּנָא, שְׁכִינְתָּא בְנִגּוּנָא, יִשְׂרָאֵל סָלְקִין מִגּוֹ גָלוּתָא בְנִגּוּנָא, </w:t>
      </w:r>
      <w:r>
        <w:rPr>
          <w:rStyle w:val="a7"/>
          <w:rFonts w:hAnsi="Arial"/>
          <w:b w:val="0"/>
          <w:bCs w:val="0"/>
          <w:rtl/>
          <w:lang w:eastAsia="en-US"/>
        </w:rPr>
        <w:footnoteReference w:id="2803"/>
      </w:r>
      <w:r>
        <w:rPr>
          <w:rtl/>
        </w:rPr>
        <w:t xml:space="preserve">הֲדָא הוּא דִכְתִיב </w:t>
      </w:r>
      <w:r>
        <w:rPr>
          <w:sz w:val="20"/>
          <w:szCs w:val="20"/>
          <w:rtl/>
        </w:rPr>
        <w:t>(שמות טו א)</w:t>
      </w:r>
      <w:r>
        <w:rPr>
          <w:rtl/>
        </w:rPr>
        <w:t xml:space="preserve"> אָז יָשִׁיר מֹשֶׁה וּבְנֵי יִשְׂרָאֵל אֶת הַשִּׁירָה הַזֹּאת לַיהו''ה. </w:t>
      </w:r>
    </w:p>
    <w:p w:rsidR="002D629A" w:rsidRDefault="002D629A" w:rsidP="00B17EA9">
      <w:pPr>
        <w:pStyle w:val="NormalWeb"/>
        <w:rPr>
          <w:rtl/>
        </w:rPr>
      </w:pPr>
      <w:r>
        <w:rPr>
          <w:rtl/>
        </w:rPr>
        <w:t xml:space="preserve">צְלוֹתָא דְאִיהִי שְׁכִינְתָּא, סָלְקָא לְגַבֵּיהּ דְּמַלְכָּא בַעֲשָׂרָה זִכְרוֹנוֹת וּבַעֲשָׂרָה מַלְכִיּוֹת וּבַעֲשָׂרָה שׁוֹפָרוֹת, דְּאִינוּן י י י', </w:t>
      </w:r>
      <w:r>
        <w:rPr>
          <w:rStyle w:val="a7"/>
          <w:rFonts w:hAnsi="Arial"/>
          <w:b w:val="0"/>
          <w:bCs w:val="0"/>
          <w:rtl/>
          <w:lang w:eastAsia="en-US"/>
        </w:rPr>
        <w:footnoteReference w:id="2804"/>
      </w:r>
      <w:r>
        <w:rPr>
          <w:rtl/>
        </w:rPr>
        <w:t xml:space="preserve">וַעֲשָׂרָה כִּתּוֹת דְּמַלְאָכִים יִתְעָרוּן לְגַבַּיְיהוּ, </w:t>
      </w:r>
      <w:r>
        <w:rPr>
          <w:rStyle w:val="a7"/>
          <w:rFonts w:hAnsi="Arial"/>
          <w:b w:val="0"/>
          <w:bCs w:val="0"/>
          <w:rtl/>
          <w:lang w:eastAsia="en-US"/>
        </w:rPr>
        <w:footnoteReference w:id="2805"/>
      </w:r>
      <w:r>
        <w:rPr>
          <w:rtl/>
        </w:rPr>
        <w:t xml:space="preserve">וְסָלְקִין לוֹן לְגַבֵּי עֲשַׂר סְפִירָן, </w:t>
      </w:r>
      <w:r>
        <w:rPr>
          <w:rStyle w:val="a7"/>
          <w:rFonts w:hAnsi="Arial"/>
          <w:b w:val="0"/>
          <w:bCs w:val="0"/>
          <w:rtl/>
          <w:lang w:eastAsia="en-US"/>
        </w:rPr>
        <w:footnoteReference w:id="2806"/>
      </w:r>
      <w:r>
        <w:rPr>
          <w:rtl/>
        </w:rPr>
        <w:t xml:space="preserve">וְנִגּוּנִין סָלְקִין מִנַּיְיהוּ מְרוּבָּעִים מִסִּטְרָא דְרָבִי''עַ בְּאַרְבַּע חֵיוָון, </w:t>
      </w:r>
      <w:r>
        <w:rPr>
          <w:rStyle w:val="a7"/>
          <w:rFonts w:hAnsi="Arial"/>
          <w:b w:val="0"/>
          <w:bCs w:val="0"/>
          <w:rtl/>
          <w:lang w:eastAsia="en-US"/>
        </w:rPr>
        <w:footnoteReference w:id="2807"/>
      </w:r>
      <w:r>
        <w:rPr>
          <w:rtl/>
        </w:rPr>
        <w:t xml:space="preserve">וְאִינוּן חַיּוֹת קְטַנּוֹת עִם גְּדוֹלוֹת אִינוּן תְּמַנְיָא, וְאִינוּן יאהדונה''י, וַעֲלַיְיהוּ אִתְּמַר </w:t>
      </w:r>
      <w:r>
        <w:rPr>
          <w:sz w:val="20"/>
          <w:szCs w:val="20"/>
          <w:rtl/>
        </w:rPr>
        <w:t>(שם)</w:t>
      </w:r>
      <w:r>
        <w:rPr>
          <w:rtl/>
        </w:rPr>
        <w:t xml:space="preserve"> אָז יָשִׁיר מֹשֶׁה, כַד יְהֵא קוּדְשָׁא בְּרִיךְ הוּא בִּשְׁכִינְתֵּיהּ בְּחֵיוָן תְּמַנְיָא, </w:t>
      </w:r>
      <w:r>
        <w:rPr>
          <w:rStyle w:val="a7"/>
          <w:rFonts w:hAnsi="Arial"/>
          <w:b w:val="0"/>
          <w:bCs w:val="0"/>
          <w:rtl/>
          <w:lang w:eastAsia="en-US"/>
        </w:rPr>
        <w:footnoteReference w:id="2808"/>
      </w:r>
      <w:r>
        <w:rPr>
          <w:rtl/>
        </w:rPr>
        <w:t xml:space="preserve">דְאִינוּן חֵיוָן עִתִּים חָשׁוֹת עִתִּים מְמַלְּלוֹת, </w:t>
      </w:r>
      <w:r>
        <w:rPr>
          <w:rStyle w:val="a7"/>
          <w:rFonts w:hAnsi="Arial"/>
          <w:b w:val="0"/>
          <w:bCs w:val="0"/>
          <w:rtl/>
          <w:lang w:eastAsia="en-US"/>
        </w:rPr>
        <w:footnoteReference w:id="2809"/>
      </w:r>
      <w:r>
        <w:rPr>
          <w:rtl/>
        </w:rPr>
        <w:t xml:space="preserve">וְכֻלְּהוּ מְחָאָן בְּגַדְפַיְיהוּ בְּנִגּוּנָא, וְנִגּוּנָא בְהוֹן </w:t>
      </w:r>
      <w:r>
        <w:rPr>
          <w:sz w:val="20"/>
          <w:szCs w:val="20"/>
          <w:rtl/>
        </w:rPr>
        <w:t>(סלקא)</w:t>
      </w:r>
      <w:r>
        <w:rPr>
          <w:rtl/>
        </w:rPr>
        <w:t xml:space="preserve"> בְּאַרְבַּע אַנְפִּין, לְכָל סִטְרָא מְרוּבָּעִין, הֲדָא הוּא דִכְתִיב </w:t>
      </w:r>
      <w:r>
        <w:rPr>
          <w:sz w:val="20"/>
          <w:szCs w:val="20"/>
          <w:rtl/>
        </w:rPr>
        <w:t>(יחזקאל א ו)</w:t>
      </w:r>
      <w:r>
        <w:rPr>
          <w:rtl/>
        </w:rPr>
        <w:t xml:space="preserve"> וְאַרְבָּעָה פָנִים לְאֶחָת וְאַרְבַּע כְּנָפַיִם לְאַחַת מֵהֶם, לְכָל חַיָּה תְמַנְיָא אִינוּן בֵּין אַנְפִּין וְגַדְפִין, לָקֳבֵל תְּמַנְיָא דִי בְּהוֹן שַׁבַּח מֹשֶׁה אָ''ז.</w:t>
      </w:r>
    </w:p>
    <w:p w:rsidR="002D629A" w:rsidRDefault="002D629A" w:rsidP="007E03EF">
      <w:pPr>
        <w:pStyle w:val="2"/>
        <w:rPr>
          <w:rtl/>
        </w:rPr>
      </w:pPr>
      <w:r>
        <w:rPr>
          <w:rtl/>
        </w:rPr>
        <w:t xml:space="preserve">[תיקוני זוהר - דף נא ע''ב] </w:t>
      </w:r>
      <w:r w:rsidR="007E03EF">
        <w:rPr>
          <w:rFonts w:hint="cs"/>
          <w:rtl/>
        </w:rPr>
        <w:tab/>
      </w:r>
      <w:r w:rsidR="007E03EF">
        <w:rPr>
          <w:rFonts w:hint="cs"/>
          <w:rtl/>
        </w:rPr>
        <w:tab/>
      </w:r>
      <w:r w:rsidR="007E03EF">
        <w:rPr>
          <w:rFonts w:hint="cs"/>
          <w:rtl/>
        </w:rPr>
        <w:tab/>
      </w:r>
      <w:r w:rsidR="007E03EF">
        <w:rPr>
          <w:rFonts w:hint="cs"/>
          <w:rtl/>
        </w:rPr>
        <w:tab/>
      </w:r>
      <w:r w:rsidR="007E03EF">
        <w:rPr>
          <w:rFonts w:hint="cs"/>
          <w:rtl/>
        </w:rPr>
        <w:tab/>
      </w:r>
      <w:r w:rsidR="007E03EF">
        <w:rPr>
          <w:rFonts w:hint="cs"/>
          <w:rtl/>
        </w:rPr>
        <w:tab/>
      </w:r>
      <w:r w:rsidR="007E03EF">
        <w:rPr>
          <w:rFonts w:hint="cs"/>
          <w:rtl/>
        </w:rPr>
        <w:tab/>
      </w:r>
      <w:r w:rsidR="007E03EF">
        <w:rPr>
          <w:rFonts w:hint="cs"/>
          <w:rtl/>
        </w:rPr>
        <w:tab/>
      </w:r>
      <w:r w:rsidR="007E03EF">
        <w:rPr>
          <w:rtl/>
        </w:rPr>
        <w:t>[</w:t>
      </w:r>
      <w:r w:rsidR="007E03EF">
        <w:rPr>
          <w:rFonts w:hint="cs"/>
          <w:rtl/>
        </w:rPr>
        <w:t xml:space="preserve">וילנא - </w:t>
      </w:r>
      <w:r w:rsidR="007E03EF">
        <w:rPr>
          <w:rtl/>
        </w:rPr>
        <w:t>דף נ</w:t>
      </w:r>
      <w:r w:rsidR="007E03EF">
        <w:rPr>
          <w:rFonts w:hint="cs"/>
          <w:rtl/>
        </w:rPr>
        <w:t>ח</w:t>
      </w:r>
      <w:r w:rsidR="007E03EF">
        <w:rPr>
          <w:rtl/>
        </w:rPr>
        <w:t xml:space="preserve"> ע''ב]</w:t>
      </w:r>
    </w:p>
    <w:p w:rsidR="002D629A" w:rsidRDefault="002D629A" w:rsidP="00B17EA9">
      <w:pPr>
        <w:pStyle w:val="NormalWeb"/>
        <w:rPr>
          <w:rtl/>
        </w:rPr>
      </w:pPr>
      <w:r>
        <w:rPr>
          <w:rtl/>
        </w:rPr>
        <w:t xml:space="preserve">וְדָוִד בְּגִין דָּא תַקִּין מָנָא בִתְמַנְיָא נִימִין, וְשַׁבַּח לָהּ בִתְּמַנְיָא, הֲדָא הוּא דִכְתִיב </w:t>
      </w:r>
      <w:r>
        <w:rPr>
          <w:sz w:val="20"/>
          <w:szCs w:val="20"/>
          <w:rtl/>
        </w:rPr>
        <w:t>(תהלים יב א)</w:t>
      </w:r>
      <w:r>
        <w:rPr>
          <w:rtl/>
        </w:rPr>
        <w:t xml:space="preserve"> לַמְנַצֵּחַ עַל הַשְּׁמִינִית, וּתְמַנְיָא אַתְוָון, לְכָל חַד תְּמַנְיָא, סָלְקִין כֻּלְּהוּ ע''ב, יאהדונה''י תְּמַנְיָא, </w:t>
      </w:r>
      <w:r>
        <w:rPr>
          <w:rStyle w:val="a7"/>
          <w:rFonts w:hAnsi="Arial"/>
          <w:b w:val="0"/>
          <w:bCs w:val="0"/>
          <w:rtl/>
          <w:lang w:eastAsia="en-US"/>
        </w:rPr>
        <w:footnoteReference w:id="2810"/>
      </w:r>
      <w:r>
        <w:rPr>
          <w:rtl/>
        </w:rPr>
        <w:t xml:space="preserve">וְתַלְיָין מִנַּיְיהוּ ס''ד תְּמַנְיָא לְכָל חַד, סָלְקִין כֻּלְּהוּ </w:t>
      </w:r>
      <w:r w:rsidR="007E03EF" w:rsidRPr="007E03EF">
        <w:rPr>
          <w:rStyle w:val="20"/>
          <w:rFonts w:hint="cs"/>
          <w:rtl/>
        </w:rPr>
        <w:t>(וילנא נח ע"ב)</w:t>
      </w:r>
      <w:r w:rsidR="007E03EF">
        <w:rPr>
          <w:rFonts w:hint="cs"/>
          <w:rtl/>
        </w:rPr>
        <w:t xml:space="preserve"> </w:t>
      </w:r>
      <w:r>
        <w:rPr>
          <w:rtl/>
        </w:rPr>
        <w:t xml:space="preserve">ע''ב, </w:t>
      </w:r>
      <w:r>
        <w:rPr>
          <w:rStyle w:val="a7"/>
          <w:rFonts w:hAnsi="Arial"/>
          <w:b w:val="0"/>
          <w:bCs w:val="0"/>
          <w:rtl/>
          <w:lang w:eastAsia="en-US"/>
        </w:rPr>
        <w:footnoteReference w:id="2811"/>
      </w:r>
      <w:r>
        <w:rPr>
          <w:rtl/>
        </w:rPr>
        <w:t xml:space="preserve">דָּא אִיהוּ </w:t>
      </w:r>
      <w:r w:rsidRPr="007E03EF">
        <w:rPr>
          <w:rStyle w:val="20"/>
          <w:rtl/>
        </w:rPr>
        <w:t>(דף נא ע''ב)</w:t>
      </w:r>
      <w:r>
        <w:rPr>
          <w:sz w:val="20"/>
          <w:szCs w:val="20"/>
          <w:rtl/>
        </w:rPr>
        <w:t xml:space="preserve"> </w:t>
      </w:r>
      <w:r>
        <w:rPr>
          <w:rtl/>
        </w:rPr>
        <w:t>רָזָא דְחַשְׁמַל.</w:t>
      </w:r>
    </w:p>
    <w:p w:rsidR="002D629A" w:rsidRDefault="002D629A" w:rsidP="00B17EA9">
      <w:pPr>
        <w:pStyle w:val="NormalWeb"/>
        <w:rPr>
          <w:rtl/>
        </w:rPr>
      </w:pPr>
      <w:r>
        <w:rPr>
          <w:rStyle w:val="a7"/>
          <w:rFonts w:hAnsi="Arial"/>
          <w:b w:val="0"/>
          <w:bCs w:val="0"/>
          <w:rtl/>
          <w:lang w:eastAsia="en-US"/>
        </w:rPr>
        <w:footnoteReference w:id="2812"/>
      </w:r>
      <w:r>
        <w:rPr>
          <w:rtl/>
        </w:rPr>
        <w:t xml:space="preserve">וְאִית נִגּוּנָא דְסָלְקָא בְעֶשֶׂר, וְדָא אִיהוּ יו''ד ה''א וא''ו ה''א, וַעֲלַיְיהוּ אִתְּמַר </w:t>
      </w:r>
      <w:r>
        <w:rPr>
          <w:sz w:val="20"/>
          <w:szCs w:val="20"/>
          <w:rtl/>
        </w:rPr>
        <w:t>(שיר ה יד)</w:t>
      </w:r>
      <w:r>
        <w:rPr>
          <w:rtl/>
        </w:rPr>
        <w:t xml:space="preserve"> יָדָיו גְּלִילֵי זָהָב, וְאִית נִגּוּנָא דְסָלִיק בְּשִׁית, הֲדָא הוּא דִכְתִיב שׁוֹקָיו עַמּוּדֵי שֵׁשׁ, י''ה יהו''ה צוּר עוֹלָמִים, י''ה י''ה י''ה אָדָ''ם.</w:t>
      </w:r>
    </w:p>
    <w:p w:rsidR="002D629A" w:rsidRDefault="002D629A" w:rsidP="00B17EA9">
      <w:pPr>
        <w:pStyle w:val="NormalWeb"/>
        <w:rPr>
          <w:rtl/>
        </w:rPr>
      </w:pPr>
      <w:r>
        <w:rPr>
          <w:rtl/>
        </w:rPr>
        <w:t xml:space="preserve">אַרְבַּע כְּנָפַיִם אַרְיֵה שׁוֹר נֶשֶׁר, </w:t>
      </w:r>
      <w:r>
        <w:rPr>
          <w:rStyle w:val="a7"/>
          <w:rFonts w:hAnsi="Arial"/>
          <w:b w:val="0"/>
          <w:bCs w:val="0"/>
          <w:rtl/>
          <w:lang w:eastAsia="en-US"/>
        </w:rPr>
        <w:footnoteReference w:id="2813"/>
      </w:r>
      <w:r>
        <w:rPr>
          <w:rtl/>
        </w:rPr>
        <w:t xml:space="preserve">יהו''ה יהו''ה יהו''ה, מֶרְכָּבָה תִּנְיָינָא, י''ה יהו''ה י''ה יהו''ה י''ה יהו''ה, לְעִילָא מִכֻּלְּהוּ י''ה יהו''ה חָכְמָ''ה בִּינָ''ה, </w:t>
      </w:r>
      <w:r>
        <w:rPr>
          <w:rStyle w:val="a7"/>
          <w:rFonts w:hAnsi="Arial"/>
          <w:b w:val="0"/>
          <w:bCs w:val="0"/>
          <w:rtl/>
          <w:lang w:eastAsia="en-US"/>
        </w:rPr>
        <w:footnoteReference w:id="2814"/>
      </w:r>
      <w:r>
        <w:rPr>
          <w:rtl/>
        </w:rPr>
        <w:t xml:space="preserve">כֶּתֶר אהי''ה אֲשֶׁר אהי''ה, </w:t>
      </w:r>
      <w:r>
        <w:rPr>
          <w:rStyle w:val="a7"/>
          <w:rFonts w:hAnsi="Arial"/>
          <w:b w:val="0"/>
          <w:bCs w:val="0"/>
          <w:rtl/>
          <w:lang w:eastAsia="en-US"/>
        </w:rPr>
        <w:footnoteReference w:id="2815"/>
      </w:r>
      <w:r>
        <w:rPr>
          <w:rtl/>
        </w:rPr>
        <w:t xml:space="preserve">וַעֲלַיְיהוּ אִתְּמַר </w:t>
      </w:r>
      <w:r>
        <w:rPr>
          <w:sz w:val="20"/>
          <w:szCs w:val="20"/>
          <w:rtl/>
        </w:rPr>
        <w:t>(ישעיה ו ב)</w:t>
      </w:r>
      <w:r>
        <w:rPr>
          <w:rtl/>
        </w:rPr>
        <w:t xml:space="preserve"> שְׂרָפִים עוֹמְדִים מִמַּעַל לוֹ שֵׁשׁ כְּנָפַיִם שֵׁשׁ כְּנָפַיִם לְאֶחָד, וְדָא אבגית''ץ, בִּשְׁתַּיִם יְכַסֶּה פָנָיו לְיִשְׂרָאֵל דְּלָא יִסְתַּכְּלוּן בְּהוֹן שָׂנְאֵיהוֹן, וּבִשְׁתַּיִם יְכַסֶּה רַגְלָיו דְּלָא אַדְכִּיר לוֹן עוֹבְדָא דְעֶגְלָא, וּבִשְׁתַּיִם יְעוֹפֵף מִן גָּלוּתָא, הֲדָא הוּא דִכְתִיב </w:t>
      </w:r>
      <w:r>
        <w:rPr>
          <w:sz w:val="20"/>
          <w:szCs w:val="20"/>
          <w:rtl/>
        </w:rPr>
        <w:t>(שמות יט ד)</w:t>
      </w:r>
      <w:r>
        <w:rPr>
          <w:rtl/>
        </w:rPr>
        <w:t xml:space="preserve"> וָאֶשָּׂא אֶתְכֶם עַל כַּנְפֵי נְשָׁרִים וָאָבִיא אֶתְכֶם אֵלָי.</w:t>
      </w:r>
    </w:p>
    <w:p w:rsidR="002D629A" w:rsidRDefault="002D629A" w:rsidP="00B17EA9">
      <w:pPr>
        <w:pStyle w:val="NormalWeb"/>
        <w:rPr>
          <w:rtl/>
        </w:rPr>
      </w:pPr>
      <w:r>
        <w:rPr>
          <w:rStyle w:val="a7"/>
          <w:rFonts w:hAnsi="Arial"/>
          <w:b w:val="0"/>
          <w:bCs w:val="0"/>
          <w:rtl/>
          <w:lang w:eastAsia="en-US"/>
        </w:rPr>
        <w:footnoteReference w:id="2816"/>
      </w:r>
      <w:r>
        <w:rPr>
          <w:rtl/>
        </w:rPr>
        <w:t xml:space="preserve">וְאִית נִגּוּנָא </w:t>
      </w:r>
      <w:r>
        <w:rPr>
          <w:rStyle w:val="a7"/>
          <w:rFonts w:hAnsi="Arial"/>
          <w:b w:val="0"/>
          <w:bCs w:val="0"/>
          <w:rtl/>
          <w:lang w:eastAsia="en-US"/>
        </w:rPr>
        <w:footnoteReference w:id="2817"/>
      </w:r>
      <w:r>
        <w:rPr>
          <w:rtl/>
        </w:rPr>
        <w:t xml:space="preserve">דְסָלְקָא בִתְרֵין כְּגוֹן הַלְלוּהוּ, וְאִית נִגּוּנָא דְסָלִיק בְּאָת חַד כְּגוֹן הַלְלִי בְּי', </w:t>
      </w:r>
      <w:r>
        <w:rPr>
          <w:rStyle w:val="a7"/>
          <w:rFonts w:hAnsi="Arial"/>
          <w:b w:val="0"/>
          <w:bCs w:val="0"/>
          <w:rtl/>
          <w:lang w:eastAsia="en-US"/>
        </w:rPr>
        <w:footnoteReference w:id="2818"/>
      </w:r>
      <w:r>
        <w:rPr>
          <w:rtl/>
        </w:rPr>
        <w:t xml:space="preserve">וְאִית נִגּוּנָא דְסָלִיק בְּחָמֵשׁ כְּגוֹן ה', וְהָא אִתְּמַר בְּכִנּוֹר דְּחָמֵשׁ נִימִין, אֲבָל נִגּוּנָא דְסָלִיק בְּשִׁית דְּאִינוּן אבגית''ץ </w:t>
      </w:r>
      <w:r>
        <w:rPr>
          <w:rStyle w:val="a7"/>
          <w:rFonts w:hAnsi="Arial"/>
          <w:b w:val="0"/>
          <w:bCs w:val="0"/>
          <w:rtl/>
          <w:lang w:eastAsia="en-US"/>
        </w:rPr>
        <w:footnoteReference w:id="2819"/>
      </w:r>
      <w:r>
        <w:rPr>
          <w:rtl/>
        </w:rPr>
        <w:t xml:space="preserve">מִן ו' אִיהִי, וְאִית דְּסָלִיק לֵיהּ בִּתְלַת וְדָא אִיהוּ </w:t>
      </w:r>
      <w:r>
        <w:rPr>
          <w:rStyle w:val="a7"/>
          <w:rFonts w:hAnsi="Arial"/>
          <w:b w:val="0"/>
          <w:bCs w:val="0"/>
          <w:rtl/>
          <w:lang w:eastAsia="en-US"/>
        </w:rPr>
        <w:footnoteReference w:id="2820"/>
      </w:r>
      <w:r>
        <w:rPr>
          <w:rtl/>
        </w:rPr>
        <w:t>יה''ו, דְאִיהוּ אהי''ה, וְסָלִיק נִגּוּנָא בֵיהּ בַּתְּקִיעָה שְׁבָרִים תְּרוּעָה.</w:t>
      </w:r>
    </w:p>
    <w:p w:rsidR="002D629A" w:rsidRDefault="002D629A" w:rsidP="002F1396">
      <w:pPr>
        <w:pStyle w:val="NormalWeb"/>
        <w:rPr>
          <w:rtl/>
        </w:rPr>
      </w:pPr>
      <w:r>
        <w:rPr>
          <w:rStyle w:val="a7"/>
          <w:rFonts w:hAnsi="Arial"/>
          <w:b w:val="0"/>
          <w:bCs w:val="0"/>
          <w:rtl/>
          <w:lang w:eastAsia="en-US"/>
        </w:rPr>
        <w:footnoteReference w:id="2821"/>
      </w:r>
      <w:r>
        <w:rPr>
          <w:rtl/>
        </w:rPr>
        <w:t>בַּתְּקִיעָה הוּא קָלָא אָרו</w:t>
      </w:r>
      <w:r w:rsidR="002F1396">
        <w:rPr>
          <w:rtl/>
        </w:rPr>
        <w:t>ֹ</w:t>
      </w:r>
      <w:r>
        <w:rPr>
          <w:rtl/>
        </w:rPr>
        <w:t>ךְ בְּנִגּוּנָא, עַד דַּהֲוָה סָלִיק לֵיהּ לְגַבֵּי יְמִינָא דְאִיהוּ חֶסֶד</w:t>
      </w:r>
      <w:r w:rsidR="002F1396">
        <w:rPr>
          <w:rFonts w:hint="cs"/>
          <w:rtl/>
        </w:rPr>
        <w:t>.</w:t>
      </w:r>
      <w:r>
        <w:rPr>
          <w:rtl/>
        </w:rPr>
        <w:t xml:space="preserve"> בַּשְּׁבָרִים הֲוָה סָלִיק קָלָא דְנִגּוּנָא לְגַבֵּי גְבוּרָה, </w:t>
      </w:r>
      <w:r>
        <w:rPr>
          <w:rStyle w:val="a7"/>
          <w:rFonts w:hAnsi="Arial"/>
          <w:b w:val="0"/>
          <w:bCs w:val="0"/>
          <w:rtl/>
          <w:lang w:eastAsia="en-US"/>
        </w:rPr>
        <w:footnoteReference w:id="2822"/>
      </w:r>
      <w:r>
        <w:rPr>
          <w:rtl/>
        </w:rPr>
        <w:t>דְתַמָּן י''ה בִּימִינָא וּשְׂמָאלָא, וַהֲוָה נָחִית מִנֵּיהּ בְּחֶדְוָה חָכְמָתָא וְעוּתְרָא, כְּמָה דְאוּקְמוּהוּ הָרוֹצֶה לְהַחְכִּים יַדְרִים, לְהַעֲשִׁיר יַצְפִּין</w:t>
      </w:r>
      <w:r w:rsidR="002F1396">
        <w:rPr>
          <w:rFonts w:hint="cs"/>
          <w:rtl/>
        </w:rPr>
        <w:t>.</w:t>
      </w:r>
      <w:r>
        <w:rPr>
          <w:rtl/>
        </w:rPr>
        <w:t xml:space="preserve"> בִּתְרוּעָה הֲוָה סָלִיק קָלָא דְנִגּוּנָא לְגַבֵּי עַמּוּדָא דְאֶמְצָעִיתָא, </w:t>
      </w:r>
      <w:r>
        <w:rPr>
          <w:rStyle w:val="a7"/>
          <w:rFonts w:hAnsi="Arial"/>
          <w:b w:val="0"/>
          <w:bCs w:val="0"/>
          <w:rtl/>
          <w:lang w:eastAsia="en-US"/>
        </w:rPr>
        <w:footnoteReference w:id="2823"/>
      </w:r>
      <w:r>
        <w:rPr>
          <w:rtl/>
        </w:rPr>
        <w:t xml:space="preserve">וַהֲוָה נָחִית מִנֵּיהּ מַלְכָּא לְגַבֵּי כַּלָּה </w:t>
      </w:r>
      <w:r>
        <w:rPr>
          <w:rStyle w:val="a7"/>
          <w:rFonts w:hAnsi="Arial"/>
          <w:b w:val="0"/>
          <w:bCs w:val="0"/>
          <w:rtl/>
          <w:lang w:eastAsia="en-US"/>
        </w:rPr>
        <w:footnoteReference w:id="2824"/>
      </w:r>
      <w:r>
        <w:rPr>
          <w:rtl/>
        </w:rPr>
        <w:t xml:space="preserve">דְאִיהִי קוֹל דְּמָמָה דַקָּה, </w:t>
      </w:r>
      <w:r>
        <w:rPr>
          <w:rStyle w:val="a7"/>
          <w:rFonts w:hAnsi="Arial"/>
          <w:b w:val="0"/>
          <w:bCs w:val="0"/>
          <w:rtl/>
          <w:lang w:eastAsia="en-US"/>
        </w:rPr>
        <w:footnoteReference w:id="2825"/>
      </w:r>
      <w:r>
        <w:rPr>
          <w:rtl/>
        </w:rPr>
        <w:t xml:space="preserve">בְּהַהוּא זִמְנָא יִתְעָרוּן כָּל מִינֵי נִגּוּנָא, הֲדָא הוּא דִכְתִיב </w:t>
      </w:r>
      <w:r>
        <w:rPr>
          <w:sz w:val="20"/>
          <w:szCs w:val="20"/>
          <w:rtl/>
        </w:rPr>
        <w:t>(תהלים קנ ג)</w:t>
      </w:r>
      <w:r>
        <w:rPr>
          <w:rtl/>
        </w:rPr>
        <w:t xml:space="preserve"> הַלְלוּהוּ בְּתֵקַע שׁוֹפָר, הַלְלוּהוּ בְּנֵבֶל וְכִנּוֹר, הַלְלוּהוּ בְּתוֹף וּמָחוֹל, הַלְלוּהוּ בְּמִינִים וְעוּגָב, הַלְלוּהוּ בְּצִלְצְלֵי שָׁמַע, הַלְלוּהוּ בְּצִלְצְלֵי תְרוּעָה.</w:t>
      </w:r>
    </w:p>
    <w:p w:rsidR="002D629A" w:rsidRDefault="002D629A" w:rsidP="002F1396">
      <w:pPr>
        <w:pStyle w:val="NormalWeb"/>
        <w:rPr>
          <w:rtl/>
        </w:rPr>
      </w:pPr>
      <w:r>
        <w:rPr>
          <w:rtl/>
        </w:rPr>
        <w:t>שׁוֹפָר אִיהִי שְׁכִינְתָּא עִלָּאָה, תּ</w:t>
      </w:r>
      <w:r w:rsidR="002F1396">
        <w:rPr>
          <w:rtl/>
        </w:rPr>
        <w:t>ֵ</w:t>
      </w:r>
      <w:r>
        <w:rPr>
          <w:rtl/>
        </w:rPr>
        <w:t xml:space="preserve">קַע דִּילָהּ שְׁכִינְתָּא תַּתָּאָה, דְּאִתְּמַר בָּהּ </w:t>
      </w:r>
      <w:r>
        <w:rPr>
          <w:sz w:val="20"/>
          <w:szCs w:val="20"/>
          <w:rtl/>
        </w:rPr>
        <w:t>(בראשית לב כו)</w:t>
      </w:r>
      <w:r>
        <w:rPr>
          <w:rtl/>
        </w:rPr>
        <w:t xml:space="preserve"> וַתֵּקַע כַּף יֶרֶךְ יַעֲקֹב בְּגָלוּתָא, בְּהַהוּא זִמְנָא סָלְקָא מִן גָּלוּתָא בַשּׁוֹפָר גָּדוֹל, וְאִתְקְרִיאַת תְּקַע בְּשׁוֹפָר גָּדוֹל לְחֵרוּתֵנוּ.</w:t>
      </w:r>
    </w:p>
    <w:p w:rsidR="002D629A" w:rsidRDefault="002D629A" w:rsidP="002F1396">
      <w:pPr>
        <w:pStyle w:val="NormalWeb"/>
        <w:rPr>
          <w:rtl/>
        </w:rPr>
      </w:pPr>
      <w:r>
        <w:rPr>
          <w:rtl/>
        </w:rPr>
        <w:t xml:space="preserve">בְּנֵבֶ''ל, </w:t>
      </w:r>
      <w:r>
        <w:rPr>
          <w:rStyle w:val="a7"/>
          <w:rFonts w:hAnsi="Arial"/>
          <w:b w:val="0"/>
          <w:bCs w:val="0"/>
          <w:rtl/>
          <w:lang w:eastAsia="en-US"/>
        </w:rPr>
        <w:footnoteReference w:id="2826"/>
      </w:r>
      <w:r>
        <w:rPr>
          <w:rtl/>
        </w:rPr>
        <w:t xml:space="preserve">בֶּ''ן לֵ''ב, בְּהַהוּא זִמְנָא בֶּ''ן יֵעוּל לְהֵיכָלֵיהּ דְּאִיהִי לֵ''ב, דְאִתְּמַר בֵּיהּ </w:t>
      </w:r>
      <w:r>
        <w:rPr>
          <w:sz w:val="20"/>
          <w:szCs w:val="20"/>
          <w:rtl/>
        </w:rPr>
        <w:t>(משלי טו טו)</w:t>
      </w:r>
      <w:r>
        <w:rPr>
          <w:rtl/>
        </w:rPr>
        <w:t xml:space="preserve"> וְטוֹב לֵב מִשְׁתֶּה תָמִיד, </w:t>
      </w:r>
      <w:r>
        <w:rPr>
          <w:rStyle w:val="a7"/>
          <w:rFonts w:hAnsi="Arial"/>
          <w:b w:val="0"/>
          <w:bCs w:val="0"/>
          <w:rtl/>
          <w:lang w:eastAsia="en-US"/>
        </w:rPr>
        <w:footnoteReference w:id="2827"/>
      </w:r>
      <w:r>
        <w:rPr>
          <w:rtl/>
        </w:rPr>
        <w:t xml:space="preserve">וּמַה דְּאִתְּמַר בְּקַדְמֵיתָא </w:t>
      </w:r>
      <w:r>
        <w:rPr>
          <w:sz w:val="20"/>
          <w:szCs w:val="20"/>
          <w:rtl/>
        </w:rPr>
        <w:t>(בראשית ו ו)</w:t>
      </w:r>
      <w:r>
        <w:rPr>
          <w:rtl/>
        </w:rPr>
        <w:t xml:space="preserve"> וַיִּתְעַצֵּב אֶל לִבּוֹ בְּגִין חַיָּיבַיָּא, מִיָּד דְּאִתְאֲבִידוּ אִתְקַיַּים בֵּיהּ וּבַאֲבֹד רְשָׁעִים רִנָּה </w:t>
      </w:r>
      <w:r>
        <w:rPr>
          <w:sz w:val="20"/>
          <w:szCs w:val="20"/>
          <w:rtl/>
        </w:rPr>
        <w:t>(משלי יא י)</w:t>
      </w:r>
      <w:r w:rsidR="002F1396">
        <w:rPr>
          <w:rFonts w:hint="cs"/>
          <w:rtl/>
        </w:rPr>
        <w:t>.</w:t>
      </w:r>
      <w:r>
        <w:rPr>
          <w:rtl/>
        </w:rPr>
        <w:t xml:space="preserve"> </w:t>
      </w:r>
      <w:r>
        <w:rPr>
          <w:rStyle w:val="a7"/>
          <w:rFonts w:hAnsi="Arial"/>
          <w:b w:val="0"/>
          <w:bCs w:val="0"/>
          <w:rtl/>
          <w:lang w:eastAsia="en-US"/>
        </w:rPr>
        <w:footnoteReference w:id="2828"/>
      </w:r>
      <w:r>
        <w:rPr>
          <w:rtl/>
        </w:rPr>
        <w:t xml:space="preserve">כִּנּוֹר, כ''ו נ''ר, קוּדְשָׁא בְּרִיךְ הוּא דְאִיהוּ יהו''ה, דְּאִתְּמַר בֵּיהּ </w:t>
      </w:r>
      <w:r>
        <w:rPr>
          <w:sz w:val="20"/>
          <w:szCs w:val="20"/>
          <w:rtl/>
        </w:rPr>
        <w:t>(תהלים כז א)</w:t>
      </w:r>
      <w:r>
        <w:rPr>
          <w:rtl/>
        </w:rPr>
        <w:t xml:space="preserve"> יהו''ה אוֹרִי וְיִשְׁעִי, נָהִיר בְּנֵ''ר דְּאִיהִי שְׁכִינְתָּא, מִצְוָה דִילֵיהּ, וְחָדֵי בָהּ.</w:t>
      </w:r>
    </w:p>
    <w:p w:rsidR="002F1396" w:rsidRDefault="002F1396" w:rsidP="002F1396">
      <w:pPr>
        <w:pStyle w:val="2"/>
        <w:jc w:val="right"/>
        <w:rPr>
          <w:rtl/>
        </w:rPr>
      </w:pPr>
      <w:r>
        <w:rPr>
          <w:rtl/>
        </w:rPr>
        <w:t>[</w:t>
      </w:r>
      <w:r>
        <w:rPr>
          <w:rFonts w:hint="cs"/>
          <w:rtl/>
        </w:rPr>
        <w:t xml:space="preserve">וילנא </w:t>
      </w:r>
      <w:r>
        <w:rPr>
          <w:rtl/>
        </w:rPr>
        <w:t xml:space="preserve">- דף </w:t>
      </w:r>
      <w:r>
        <w:rPr>
          <w:rFonts w:hint="cs"/>
          <w:rtl/>
        </w:rPr>
        <w:t>נט</w:t>
      </w:r>
      <w:r>
        <w:rPr>
          <w:rtl/>
        </w:rPr>
        <w:t xml:space="preserve"> ע</w:t>
      </w:r>
      <w:r>
        <w:rPr>
          <w:rFonts w:hint="cs"/>
          <w:rtl/>
        </w:rPr>
        <w:t>"א</w:t>
      </w:r>
      <w:r>
        <w:rPr>
          <w:rtl/>
        </w:rPr>
        <w:t xml:space="preserve">] </w:t>
      </w:r>
    </w:p>
    <w:p w:rsidR="002D629A" w:rsidRDefault="002D629A" w:rsidP="002F1396">
      <w:pPr>
        <w:pStyle w:val="NormalWeb"/>
        <w:rPr>
          <w:rtl/>
        </w:rPr>
      </w:pPr>
      <w:r>
        <w:rPr>
          <w:rStyle w:val="a7"/>
          <w:rFonts w:hAnsi="Arial"/>
          <w:b w:val="0"/>
          <w:bCs w:val="0"/>
          <w:rtl/>
          <w:lang w:eastAsia="en-US"/>
        </w:rPr>
        <w:footnoteReference w:id="2829"/>
      </w:r>
      <w:r>
        <w:rPr>
          <w:rtl/>
        </w:rPr>
        <w:t xml:space="preserve">צִלְצְלֵי שָׁמַע חֶסֶד גְּבוּרָה, צִלְצְלֵי תְרוּעָה נֶצַח וָהוֹד, </w:t>
      </w:r>
      <w:r>
        <w:rPr>
          <w:rStyle w:val="a7"/>
          <w:rFonts w:hAnsi="Arial"/>
          <w:b w:val="0"/>
          <w:bCs w:val="0"/>
          <w:rtl/>
          <w:lang w:eastAsia="en-US"/>
        </w:rPr>
        <w:footnoteReference w:id="2830"/>
      </w:r>
      <w:r>
        <w:rPr>
          <w:rtl/>
        </w:rPr>
        <w:t xml:space="preserve">וּבְכֻלְּהוּ כֹּל </w:t>
      </w:r>
      <w:r w:rsidR="002F1396" w:rsidRPr="002F1396">
        <w:rPr>
          <w:rStyle w:val="20"/>
          <w:rFonts w:hint="cs"/>
          <w:rtl/>
        </w:rPr>
        <w:t>(וילנא נט ע"א)</w:t>
      </w:r>
      <w:r w:rsidR="002F1396">
        <w:rPr>
          <w:rFonts w:hint="cs"/>
          <w:rtl/>
        </w:rPr>
        <w:t xml:space="preserve"> </w:t>
      </w:r>
      <w:r>
        <w:rPr>
          <w:rtl/>
        </w:rPr>
        <w:t>הַנְּשָׁמָה תְּהַלֵּל י''הּ,</w:t>
      </w:r>
      <w:r w:rsidR="002F1396">
        <w:rPr>
          <w:rFonts w:hint="cs"/>
          <w:rtl/>
        </w:rPr>
        <w:t xml:space="preserve"> </w:t>
      </w:r>
      <w:r>
        <w:rPr>
          <w:rtl/>
        </w:rPr>
        <w:t>דְּאִיהוּ חָכְמָה וּבִינָה, דִּי בְהוֹן יְהֵא פוֹרְקָנָא לו</w:t>
      </w:r>
      <w:r w:rsidR="002F1396">
        <w:rPr>
          <w:rFonts w:hint="cs"/>
          <w:rtl/>
        </w:rPr>
        <w:t>'</w:t>
      </w:r>
      <w:r>
        <w:rPr>
          <w:rtl/>
        </w:rPr>
        <w:t xml:space="preserve"> וְלה</w:t>
      </w:r>
      <w:r w:rsidR="002F1396">
        <w:rPr>
          <w:rFonts w:hint="cs"/>
          <w:rtl/>
        </w:rPr>
        <w:t>'</w:t>
      </w:r>
      <w:r>
        <w:rPr>
          <w:rtl/>
        </w:rPr>
        <w:t xml:space="preserve"> דְּאִינוּן בֵּן וּבַת, </w:t>
      </w:r>
      <w:r>
        <w:rPr>
          <w:rStyle w:val="a7"/>
          <w:rFonts w:hAnsi="Arial"/>
          <w:b w:val="0"/>
          <w:bCs w:val="0"/>
          <w:rtl/>
          <w:lang w:eastAsia="en-US"/>
        </w:rPr>
        <w:footnoteReference w:id="2831"/>
      </w:r>
      <w:r>
        <w:rPr>
          <w:rtl/>
        </w:rPr>
        <w:t xml:space="preserve">וּבְהוֹן יִתְמַחוּן עֲמָלֵקִים מֵעָלְמָא, </w:t>
      </w:r>
      <w:r>
        <w:rPr>
          <w:rStyle w:val="a7"/>
          <w:rFonts w:hAnsi="Arial"/>
          <w:b w:val="0"/>
          <w:bCs w:val="0"/>
          <w:rtl/>
          <w:lang w:eastAsia="en-US"/>
        </w:rPr>
        <w:footnoteReference w:id="2832"/>
      </w:r>
      <w:r>
        <w:rPr>
          <w:rtl/>
        </w:rPr>
        <w:t>וְדָא אִיהוּ סוֹף פָּסוּק.</w:t>
      </w:r>
    </w:p>
    <w:p w:rsidR="002D629A" w:rsidRDefault="002D629A" w:rsidP="00B17EA9">
      <w:pPr>
        <w:pStyle w:val="aa"/>
        <w:rPr>
          <w:rtl/>
        </w:rPr>
      </w:pPr>
      <w:r>
        <w:rPr>
          <w:rtl/>
        </w:rPr>
        <w:t xml:space="preserve">[תיקוני זוהר - דף מד ע''ב] </w:t>
      </w:r>
    </w:p>
    <w:p w:rsidR="002D629A" w:rsidRDefault="002D629A" w:rsidP="00B17EA9">
      <w:pPr>
        <w:pStyle w:val="NormalWeb"/>
        <w:rPr>
          <w:rtl/>
        </w:rPr>
      </w:pPr>
      <w:r>
        <w:rPr>
          <w:sz w:val="20"/>
          <w:szCs w:val="20"/>
          <w:rtl/>
        </w:rPr>
        <w:t xml:space="preserve">(דף מד ע''ב) </w:t>
      </w:r>
      <w:r>
        <w:rPr>
          <w:rStyle w:val="a7"/>
          <w:rFonts w:hAnsi="Arial"/>
          <w:b w:val="0"/>
          <w:bCs w:val="0"/>
          <w:rtl/>
          <w:lang w:eastAsia="en-US"/>
        </w:rPr>
        <w:footnoteReference w:id="2833"/>
      </w:r>
      <w:r>
        <w:rPr>
          <w:rtl/>
        </w:rPr>
        <w:t xml:space="preserve">דָּבָר אַחֵר וַעֲשֵׂה לִי מַטְעַמִּים כַּאֲשֶׁר אָהַבְתִּי </w:t>
      </w:r>
      <w:r>
        <w:rPr>
          <w:sz w:val="20"/>
          <w:szCs w:val="20"/>
          <w:rtl/>
        </w:rPr>
        <w:t>(בראשית כז ד)</w:t>
      </w:r>
      <w:r>
        <w:rPr>
          <w:rtl/>
        </w:rPr>
        <w:t xml:space="preserve"> מִפִּקּוּדִין דַּעֲשֵׂה, וְלָא כַאֲשֶׁר שָׂנֵאתִי מִפִּקּוּדִין דְּלֹא תַעֲשֶׂה, פִּקּוּדִין דְּלֹא תַעֲשֶׂה תַּלְיָין מִדְּחִילוּ דְיִרְאָה, וְאִינוּן לְרַחֲקָא הַשָּׂטָן מִנַּיְיהוּ, דְּלָא יִתְקַרִיב לְגַבֵּי כָּרְסַיָּא דְאִיהוּ לִבָּא, לְתַבְעָא דִינִין עַל אֵבָרִין קַדִּישִׁין דְּאִינוּן יִשְׂרָאֵל, וְלִבָּא שְׁכִינְתָּא בֵינַיְיהוּ.</w:t>
      </w:r>
    </w:p>
    <w:p w:rsidR="002D629A" w:rsidRDefault="002D629A" w:rsidP="00B17EA9">
      <w:pPr>
        <w:pStyle w:val="NormalWeb"/>
        <w:rPr>
          <w:rtl/>
        </w:rPr>
      </w:pPr>
      <w:r>
        <w:rPr>
          <w:rStyle w:val="a7"/>
          <w:rFonts w:hAnsi="Arial"/>
          <w:b w:val="0"/>
          <w:bCs w:val="0"/>
          <w:rtl/>
          <w:lang w:eastAsia="en-US"/>
        </w:rPr>
        <w:footnoteReference w:id="2834"/>
      </w:r>
      <w:r>
        <w:rPr>
          <w:rtl/>
        </w:rPr>
        <w:t xml:space="preserve">הַשָּׂטָן אִיהוּ סמא''ל, שָׁלְטָנוּתָא דִילֵיהּ בְּכָבֵד, דַּעֲלֵיהּ אִתְּמַר </w:t>
      </w:r>
      <w:r>
        <w:rPr>
          <w:sz w:val="20"/>
          <w:szCs w:val="20"/>
          <w:rtl/>
        </w:rPr>
        <w:t>(בראשית לו א)</w:t>
      </w:r>
      <w:r>
        <w:rPr>
          <w:rtl/>
        </w:rPr>
        <w:t xml:space="preserve"> עִשָׂו הוּא אֱדוֹם, </w:t>
      </w:r>
      <w:r>
        <w:rPr>
          <w:rStyle w:val="a7"/>
          <w:rFonts w:hAnsi="Arial"/>
          <w:b w:val="0"/>
          <w:bCs w:val="0"/>
          <w:rtl/>
          <w:lang w:eastAsia="en-US"/>
        </w:rPr>
        <w:footnoteReference w:id="2835"/>
      </w:r>
      <w:r>
        <w:rPr>
          <w:rtl/>
        </w:rPr>
        <w:t xml:space="preserve">עַרְקִין דְּכַבְדָּא חֲיָילִין וּמַשִּׁרְיָין דִּילֵיהּ, וְכָבֵד נָטִיל כָּל לִכְלוּכִין וְחוֹבִין דְּעַרְקִין, הֲדָא הוּא דִכְתִיב </w:t>
      </w:r>
      <w:r>
        <w:rPr>
          <w:sz w:val="20"/>
          <w:szCs w:val="20"/>
          <w:rtl/>
        </w:rPr>
        <w:t>(ויקרא טז כב)</w:t>
      </w:r>
      <w:r>
        <w:rPr>
          <w:rtl/>
        </w:rPr>
        <w:t xml:space="preserve"> וְנָשָׂא הַשָּׂעִיר עָלָיו אֶת כָּל עֲוֹנוֹתָם אֶל אֶרֶץ גְּזֵרָה, עֲוֹנוֹת תָּם, דְּהַהוּא אִישׁ תָּם, אֶל אֶרֶץ גְּזֵרָה, </w:t>
      </w:r>
      <w:r>
        <w:rPr>
          <w:rStyle w:val="a7"/>
          <w:rFonts w:hAnsi="Arial"/>
          <w:b w:val="0"/>
          <w:bCs w:val="0"/>
          <w:rtl/>
          <w:lang w:eastAsia="en-US"/>
        </w:rPr>
        <w:footnoteReference w:id="2836"/>
      </w:r>
      <w:r>
        <w:rPr>
          <w:rtl/>
        </w:rPr>
        <w:t>אֲתַר דִּגְזֵרַת עִירִין.</w:t>
      </w:r>
    </w:p>
    <w:p w:rsidR="002D629A" w:rsidRDefault="002D629A" w:rsidP="00B17EA9">
      <w:pPr>
        <w:pStyle w:val="NormalWeb"/>
        <w:rPr>
          <w:rtl/>
        </w:rPr>
      </w:pPr>
      <w:r>
        <w:rPr>
          <w:rtl/>
        </w:rPr>
        <w:t xml:space="preserve">מָרָה חַרְבָּא דִילֵיהּ, עֲלָהּ אִתְּמַר </w:t>
      </w:r>
      <w:r>
        <w:rPr>
          <w:sz w:val="20"/>
          <w:szCs w:val="20"/>
          <w:rtl/>
        </w:rPr>
        <w:t>(בראשית כז מ)</w:t>
      </w:r>
      <w:r>
        <w:rPr>
          <w:rtl/>
        </w:rPr>
        <w:t xml:space="preserve"> וְעַל חַרְבְּךָ תִּחְיֶה, וּמְנָא לָן דְּמָרָה אִיהִי חַרְבָּא דְמַלְאַךְ הַמָּוְת, דִּכְתִיב </w:t>
      </w:r>
      <w:r>
        <w:rPr>
          <w:sz w:val="20"/>
          <w:szCs w:val="20"/>
          <w:rtl/>
        </w:rPr>
        <w:t>(משלי ה ד)</w:t>
      </w:r>
      <w:r>
        <w:rPr>
          <w:rtl/>
        </w:rPr>
        <w:t xml:space="preserve"> וְאַחֲרִיתָהּ מָרָה כַלַּעֲנָה חַדָּה כְּחֶרֶב פִּיּוֹת, אִיהִי חַיִּים לְכָבֵד, וְסַם הַמָּוְת לְלִבָּא, מָרָה אִיהִי גֵיהִנָּם, וְאִית לָהּ תְּרֵי פִיּוֹת דְּאָמְרִין הַב הַב, הֲדָא הוּא דִכְתִיב </w:t>
      </w:r>
      <w:r>
        <w:rPr>
          <w:sz w:val="20"/>
          <w:szCs w:val="20"/>
          <w:rtl/>
        </w:rPr>
        <w:t>(שם ל טו)</w:t>
      </w:r>
      <w:r>
        <w:rPr>
          <w:rtl/>
        </w:rPr>
        <w:t xml:space="preserve"> לַעֲלוּקָה </w:t>
      </w:r>
      <w:r>
        <w:rPr>
          <w:rStyle w:val="a7"/>
          <w:rFonts w:hAnsi="Arial"/>
          <w:b w:val="0"/>
          <w:bCs w:val="0"/>
          <w:rtl/>
          <w:lang w:eastAsia="en-US"/>
        </w:rPr>
        <w:footnoteReference w:id="2837"/>
      </w:r>
      <w:r>
        <w:rPr>
          <w:rtl/>
        </w:rPr>
        <w:t>שְׁתֵּי בָנוֹת הַב הַב, שְׁתֵּי בָנוֹת דְּאָמְרִין הַב חַיָּיבִין לְגֵיהִנָּם.</w:t>
      </w:r>
    </w:p>
    <w:p w:rsidR="002D629A" w:rsidRDefault="002D629A" w:rsidP="00B17EA9">
      <w:pPr>
        <w:pStyle w:val="NormalWeb"/>
        <w:rPr>
          <w:rtl/>
        </w:rPr>
      </w:pPr>
      <w:r>
        <w:rPr>
          <w:rtl/>
        </w:rPr>
        <w:t xml:space="preserve">שַׁבְעִין עַרְקִין אִינוּן בְּכַבְדָּא, לָקֳבֵל שַׁבְעִין מְמַנָּן, </w:t>
      </w:r>
      <w:r>
        <w:rPr>
          <w:rStyle w:val="a7"/>
          <w:rFonts w:hAnsi="Arial"/>
          <w:b w:val="0"/>
          <w:bCs w:val="0"/>
          <w:rtl/>
          <w:lang w:eastAsia="en-US"/>
        </w:rPr>
        <w:footnoteReference w:id="2838"/>
      </w:r>
      <w:r>
        <w:rPr>
          <w:rtl/>
        </w:rPr>
        <w:t xml:space="preserve">כָּבֵד וְיוֹתֶרֶת ע''ב, יוֹתֶרֶת דִּילֵיהּ אִיהִי נָחָשׁ אֵשֶׁת זְנוּנִים, בְּגִין דְּשִׁיּוּרִין דִּילֵיהּ </w:t>
      </w:r>
      <w:r>
        <w:rPr>
          <w:sz w:val="20"/>
          <w:szCs w:val="20"/>
          <w:rtl/>
        </w:rPr>
        <w:t>(נ''א דילה)</w:t>
      </w:r>
      <w:r>
        <w:rPr>
          <w:rtl/>
        </w:rPr>
        <w:t xml:space="preserve"> נַטְלָא טְחוֹל דְּאִיהוּ חֹשֶׁךְ, וַעֲלָהּ אִתְּמַר </w:t>
      </w:r>
      <w:r>
        <w:rPr>
          <w:sz w:val="20"/>
          <w:szCs w:val="20"/>
          <w:rtl/>
        </w:rPr>
        <w:t>(בראשית א ד)</w:t>
      </w:r>
      <w:r>
        <w:rPr>
          <w:rtl/>
        </w:rPr>
        <w:t xml:space="preserve"> וְלַחֹשֶׁךְ קָרָא לָיְלָה, </w:t>
      </w:r>
      <w:r>
        <w:rPr>
          <w:rStyle w:val="a7"/>
          <w:rFonts w:hAnsi="Arial"/>
          <w:b w:val="0"/>
          <w:bCs w:val="0"/>
          <w:rtl/>
          <w:lang w:eastAsia="en-US"/>
        </w:rPr>
        <w:footnoteReference w:id="2839"/>
      </w:r>
      <w:r>
        <w:rPr>
          <w:rtl/>
        </w:rPr>
        <w:t xml:space="preserve">דְּשָׁלְטָנוּתָהּ בְּגָלוּתָא דְאִיהוּ לַיְלָה, וּבְגָלוּתָא שַׁעְתָּא קַיְימָא לֵיהּ, דְּאִיהִי לִילִי''ת אִימָּא דְעִרֶב רַב, וְאִיהִי שְׂחוֹק הַכְּסִיל </w:t>
      </w:r>
      <w:r>
        <w:rPr>
          <w:sz w:val="20"/>
          <w:szCs w:val="20"/>
          <w:rtl/>
        </w:rPr>
        <w:t>(ס''א הטחול)</w:t>
      </w:r>
      <w:r>
        <w:rPr>
          <w:rtl/>
        </w:rPr>
        <w:t xml:space="preserve">, </w:t>
      </w:r>
      <w:r>
        <w:rPr>
          <w:rStyle w:val="Char"/>
          <w:rtl/>
          <w:lang w:eastAsia="en-US"/>
        </w:rPr>
        <w:t xml:space="preserve">וּבְגִינָהּ אִתְּמַר </w:t>
      </w:r>
      <w:r>
        <w:rPr>
          <w:sz w:val="20"/>
          <w:szCs w:val="20"/>
          <w:rtl/>
        </w:rPr>
        <w:t>(איוב ז ט)</w:t>
      </w:r>
      <w:r>
        <w:rPr>
          <w:rtl/>
        </w:rPr>
        <w:t xml:space="preserve"> כָּלָה עָנָן וַיֵּלַךְ </w:t>
      </w:r>
      <w:r>
        <w:rPr>
          <w:rStyle w:val="a7"/>
          <w:rFonts w:hAnsi="Arial"/>
          <w:b w:val="0"/>
          <w:bCs w:val="0"/>
          <w:rtl/>
          <w:lang w:eastAsia="en-US"/>
        </w:rPr>
        <w:footnoteReference w:id="2840"/>
      </w:r>
      <w:r>
        <w:rPr>
          <w:rtl/>
        </w:rPr>
        <w:t>כֵּן יוֹרֵד שְׁאוֹל לֹא יַעֲלֶה.</w:t>
      </w:r>
    </w:p>
    <w:p w:rsidR="002D629A" w:rsidRDefault="002D629A" w:rsidP="00B17EA9">
      <w:pPr>
        <w:pStyle w:val="NormalWeb"/>
        <w:rPr>
          <w:rtl/>
        </w:rPr>
      </w:pPr>
      <w:r>
        <w:rPr>
          <w:rtl/>
        </w:rPr>
        <w:t xml:space="preserve">וְדָא אִיהוּ צַדִּיק מִמֶּנּוּ בּוֹלֵעַ, דְּרָשָׁע וַדַּאי דְּאִיהוּ כְּסִיל, עֲלֵיהּ אִתְּמַר </w:t>
      </w:r>
      <w:r>
        <w:rPr>
          <w:sz w:val="20"/>
          <w:szCs w:val="20"/>
          <w:rtl/>
        </w:rPr>
        <w:t>(חבקוק א יג)</w:t>
      </w:r>
      <w:r>
        <w:rPr>
          <w:rtl/>
        </w:rPr>
        <w:t xml:space="preserve"> לָמָּה תַבִּיט בּוֹגְדִים תַּחֲרִישׁ בְּבַלַּע רָשָׁע צַדִּיק מִמֶּנּוּ, וְאוּקְמוּהוּ מָארֵי מַתְנִיתִין, צַדִּיק מִמֶּנּוּ בּוֹלֵעַ אֲבָל צַדִּיק גָּמוּר אֵינוֹ בּוֹלֵעַ, וּבְגִינֵיהּ אִתְּמַר </w:t>
      </w:r>
      <w:r>
        <w:rPr>
          <w:sz w:val="20"/>
          <w:szCs w:val="20"/>
          <w:rtl/>
        </w:rPr>
        <w:t>(ש''א ב ו)</w:t>
      </w:r>
      <w:r>
        <w:rPr>
          <w:rtl/>
        </w:rPr>
        <w:t xml:space="preserve"> מוֹרִיד שְׁאוֹל וַיָּעַל, וַוי לְנִשְׁמָתָא כַד בָּלַע לָהּ טְחוֹל, וַוי לְיִשְׂרָאֵל כַּד אִתְבַּלְעוּ בְּעִרֶב רַב, דַּעֲלַיְיהוּ אִתְּמַר </w:t>
      </w:r>
      <w:r>
        <w:rPr>
          <w:sz w:val="20"/>
          <w:szCs w:val="20"/>
          <w:rtl/>
        </w:rPr>
        <w:t>(בראשית מא כא)</w:t>
      </w:r>
      <w:r>
        <w:rPr>
          <w:rtl/>
        </w:rPr>
        <w:t xml:space="preserve"> </w:t>
      </w:r>
      <w:r>
        <w:rPr>
          <w:rStyle w:val="a7"/>
          <w:rFonts w:hAnsi="Arial"/>
          <w:b w:val="0"/>
          <w:bCs w:val="0"/>
          <w:rtl/>
          <w:lang w:eastAsia="en-US"/>
        </w:rPr>
        <w:footnoteReference w:id="2841"/>
      </w:r>
      <w:r>
        <w:rPr>
          <w:rtl/>
        </w:rPr>
        <w:t>וְלֹא נוֹדַע כִּי בָאוּ אֶל קִרְבֶּנָה, וּמַרְאֵיהֶן רַע כַּאֲשֶׁר בַּתְּחִלָּה.</w:t>
      </w:r>
    </w:p>
    <w:p w:rsidR="002D629A" w:rsidRDefault="002D629A" w:rsidP="00B17EA9">
      <w:pPr>
        <w:pStyle w:val="NormalWeb"/>
        <w:rPr>
          <w:rtl/>
        </w:rPr>
      </w:pPr>
      <w:r>
        <w:rPr>
          <w:rtl/>
        </w:rPr>
        <w:t xml:space="preserve">בְּזִמְנָא דְגָלוּתָא כָּל מְמַנָּן דְּאוּמִין דְּעָלְמָא וְעִרֶב רַב, אִתְּמַר בְּהוֹן </w:t>
      </w:r>
      <w:r>
        <w:rPr>
          <w:sz w:val="20"/>
          <w:szCs w:val="20"/>
          <w:rtl/>
        </w:rPr>
        <w:t>(איכה א ה)</w:t>
      </w:r>
      <w:r>
        <w:rPr>
          <w:rtl/>
        </w:rPr>
        <w:t xml:space="preserve"> הָיוּ צָרֶיהָ לְרֹאשׁ אוֹיְבֶיהָ שָׁלוּ, </w:t>
      </w:r>
      <w:r>
        <w:rPr>
          <w:rStyle w:val="a7"/>
          <w:rFonts w:hAnsi="Arial"/>
          <w:b w:val="0"/>
          <w:bCs w:val="0"/>
          <w:rtl/>
          <w:lang w:eastAsia="en-US"/>
        </w:rPr>
        <w:footnoteReference w:id="2842"/>
      </w:r>
      <w:r>
        <w:rPr>
          <w:rtl/>
        </w:rPr>
        <w:t xml:space="preserve">צָרֶיהָ וַדַּאי אִינוּן עִרֶב רַב, עֲלַיְיהוּ אִתְּמַר </w:t>
      </w:r>
      <w:r>
        <w:rPr>
          <w:sz w:val="20"/>
          <w:szCs w:val="20"/>
          <w:rtl/>
        </w:rPr>
        <w:t>(ישעיה א כג)</w:t>
      </w:r>
      <w:r>
        <w:rPr>
          <w:rtl/>
        </w:rPr>
        <w:t xml:space="preserve"> שָׂרַיִךְ סוֹרְרִים וְחַבְרֵי גַנָּבִים כֻּלּוֹ, אוֹהֵב שֹׁחַד וְגוֹמֵר, </w:t>
      </w:r>
      <w:r>
        <w:rPr>
          <w:rStyle w:val="a7"/>
          <w:rFonts w:hAnsi="Arial"/>
          <w:b w:val="0"/>
          <w:bCs w:val="0"/>
          <w:rtl/>
          <w:lang w:eastAsia="en-US"/>
        </w:rPr>
        <w:footnoteReference w:id="2843"/>
      </w:r>
      <w:r>
        <w:rPr>
          <w:rtl/>
        </w:rPr>
        <w:t xml:space="preserve">אוֹיְבֶיהָ שָׁלוּ אִלֵּין עִשָׂו וְיִשְׁמָעִאל וְשַׁבְעִין מְמַנָּן, דְּאִינוּן כֻּלְּהוּ בְּשַׁלְוָה בְעוּתְרָא, וְיִשְׂרָאֵל בְּדוֹחֲקָא בַעֲנִיּוּתָא, וּבְגִין דָּא וַוי לְעָלְמָא כַּד אִתְבַּלְעוּ בְּעִרְבוּבְיָא בִישָׁא, </w:t>
      </w:r>
      <w:r>
        <w:rPr>
          <w:rStyle w:val="a7"/>
          <w:rFonts w:hAnsi="Arial"/>
          <w:b w:val="0"/>
          <w:bCs w:val="0"/>
          <w:rtl/>
          <w:lang w:eastAsia="en-US"/>
        </w:rPr>
        <w:footnoteReference w:id="2844"/>
      </w:r>
      <w:r>
        <w:rPr>
          <w:rtl/>
        </w:rPr>
        <w:t xml:space="preserve">וּמָאן גָּרַם דְּאִתְבַּלְעוּ בְּמֵעַיְיהוּ וְלֹא נוֹדַע כִּי בָאוּ אֶל קִרְבֶּנָה, בְּגִין דְּעוֹבְדֵיהוֹן בִּישִׁין בִּידֵיהוֹן, </w:t>
      </w:r>
      <w:r>
        <w:rPr>
          <w:rStyle w:val="a7"/>
          <w:rFonts w:hAnsi="Arial"/>
          <w:b w:val="0"/>
          <w:bCs w:val="0"/>
          <w:rtl/>
          <w:lang w:eastAsia="en-US"/>
        </w:rPr>
        <w:footnoteReference w:id="2845"/>
      </w:r>
      <w:r>
        <w:rPr>
          <w:rtl/>
        </w:rPr>
        <w:t xml:space="preserve">הֲדָא הוּא דִכְתִיב </w:t>
      </w:r>
      <w:r>
        <w:rPr>
          <w:sz w:val="20"/>
          <w:szCs w:val="20"/>
          <w:rtl/>
        </w:rPr>
        <w:t>(תהלים קו לה)</w:t>
      </w:r>
      <w:r>
        <w:rPr>
          <w:rtl/>
        </w:rPr>
        <w:t xml:space="preserve"> וַיִּתְעָרְבוּ בַגּוֹיִם וַיִּלְמְדוּ מַעֲשֵׂיהֶם, </w:t>
      </w:r>
      <w:r>
        <w:rPr>
          <w:rStyle w:val="a7"/>
          <w:rFonts w:hAnsi="Arial"/>
          <w:b w:val="0"/>
          <w:bCs w:val="0"/>
          <w:rtl/>
          <w:lang w:eastAsia="en-US"/>
        </w:rPr>
        <w:footnoteReference w:id="2846"/>
      </w:r>
      <w:r>
        <w:rPr>
          <w:rtl/>
        </w:rPr>
        <w:t xml:space="preserve">כְּגַוְונָא דָא נִשְׁמָתָא אִיהִי כְּנֶסֶת יִשְׂרָאֵל, כַּד אִיהִי שְׁלֵימָא בְּפִקּוּדִין דַּעֲשֵׂה, אִתְּמַר בָּהּ </w:t>
      </w:r>
      <w:r>
        <w:rPr>
          <w:sz w:val="20"/>
          <w:szCs w:val="20"/>
          <w:rtl/>
        </w:rPr>
        <w:t>(שיר ד ז)</w:t>
      </w:r>
      <w:r>
        <w:rPr>
          <w:rtl/>
        </w:rPr>
        <w:t xml:space="preserve"> כֻּלָּךְ יָפָה רַעְיָתִי וּמוּם אֵין בָּךְ, בְּהַהוּא זִמְנָא שַׁרְיָא שֵׁם יהו''ה עֲלָהּ, וְאִתְּמַר בָּהּ </w:t>
      </w:r>
      <w:r>
        <w:rPr>
          <w:sz w:val="20"/>
          <w:szCs w:val="20"/>
          <w:rtl/>
        </w:rPr>
        <w:t>(דברים כח י)</w:t>
      </w:r>
      <w:r>
        <w:rPr>
          <w:rtl/>
        </w:rPr>
        <w:t xml:space="preserve"> וְרָאוּ כָּל עַמֵּי הָאָרֶץ כִּי שֵׁם יהו''ה נִקְרָא עָלֶיךָ וְיָרְאוּ מִמֶּךָּ, וּמְמַנָּן דְּכָבֵד וְעַרְקִין דִּילֵיהּ וּמְמַנָּן דִּטְחוֹל וְעִרְבוּבְיָא בִישָׁא דִילֵיהּ, מִתְכַּפְיָין תְּחוֹת לִבָּא דְתַמָּן נִשְׁמָתָא.</w:t>
      </w:r>
    </w:p>
    <w:p w:rsidR="002D629A" w:rsidRDefault="002D629A" w:rsidP="00B17EA9">
      <w:pPr>
        <w:pStyle w:val="aa"/>
        <w:rPr>
          <w:rtl/>
        </w:rPr>
      </w:pPr>
      <w:r>
        <w:rPr>
          <w:rtl/>
        </w:rPr>
        <w:t xml:space="preserve">[תיקוני זוהר - דף מה ע''א] </w:t>
      </w:r>
    </w:p>
    <w:p w:rsidR="002D629A" w:rsidRDefault="002D629A" w:rsidP="00B17EA9">
      <w:pPr>
        <w:pStyle w:val="NormalWeb"/>
        <w:rPr>
          <w:rtl/>
        </w:rPr>
      </w:pPr>
      <w:r>
        <w:rPr>
          <w:rtl/>
        </w:rPr>
        <w:t xml:space="preserve">וְאִם נִשְׁמָתָא אִיהִי מִתְטַנְפָא </w:t>
      </w:r>
      <w:r>
        <w:rPr>
          <w:sz w:val="20"/>
          <w:szCs w:val="20"/>
          <w:rtl/>
        </w:rPr>
        <w:t>(ס''א פגימא)</w:t>
      </w:r>
      <w:r>
        <w:rPr>
          <w:rtl/>
        </w:rPr>
        <w:t xml:space="preserve"> בְחוֹבִין, </w:t>
      </w:r>
      <w:r>
        <w:rPr>
          <w:rStyle w:val="a7"/>
          <w:rFonts w:hAnsi="Arial"/>
          <w:b w:val="0"/>
          <w:bCs w:val="0"/>
          <w:rtl/>
          <w:lang w:eastAsia="en-US"/>
        </w:rPr>
        <w:footnoteReference w:id="2847"/>
      </w:r>
      <w:r>
        <w:rPr>
          <w:rtl/>
        </w:rPr>
        <w:t xml:space="preserve">אוֹ גָּרַע מִינָהּ אֲפִילוּ פִקּוּדָא חֲדָא </w:t>
      </w:r>
      <w:r>
        <w:rPr>
          <w:sz w:val="20"/>
          <w:szCs w:val="20"/>
          <w:rtl/>
        </w:rPr>
        <w:t xml:space="preserve">(דף מה ע''א) </w:t>
      </w:r>
      <w:r>
        <w:rPr>
          <w:rtl/>
        </w:rPr>
        <w:t xml:space="preserve">מֵאִינוּן פִּקּוּדִין, </w:t>
      </w:r>
      <w:r>
        <w:rPr>
          <w:rStyle w:val="a7"/>
          <w:rFonts w:hAnsi="Arial"/>
          <w:b w:val="0"/>
          <w:bCs w:val="0"/>
          <w:rtl/>
          <w:lang w:eastAsia="en-US"/>
        </w:rPr>
        <w:footnoteReference w:id="2848"/>
      </w:r>
      <w:r>
        <w:rPr>
          <w:rtl/>
        </w:rPr>
        <w:t xml:space="preserve">כְּמָה דְאוּקְמוּהָ מָארֵי מַתְנִיתִין עֲבֵירָה מְכַבָּה מִצְוָה, בְּהַהוּא אֲתַר </w:t>
      </w:r>
      <w:r>
        <w:rPr>
          <w:sz w:val="20"/>
          <w:szCs w:val="20"/>
          <w:rtl/>
        </w:rPr>
        <w:t>(נ''א אבר)</w:t>
      </w:r>
      <w:r>
        <w:rPr>
          <w:rtl/>
        </w:rPr>
        <w:t xml:space="preserve"> דְּשַׁרְיָא עֲבֵירָה וְאִסְתַּלַּק מִצְוָה מִנֵּיהּ, הַהוּא אֵבֶר אִיהוּ פָּגוּם, וְאִיהוּ מוּם דְּנִשְׁמָתָא, בְּגִינֵיהּ לָא שַׁרְיָא קוּדְשָׁא בְּרִיךְ הוּא עַל נִשְׁמָתָא, הֲדָא הוּא דִכְתִיב </w:t>
      </w:r>
      <w:r>
        <w:rPr>
          <w:sz w:val="20"/>
          <w:szCs w:val="20"/>
          <w:rtl/>
        </w:rPr>
        <w:t>(ויקרא כא יח)</w:t>
      </w:r>
      <w:r>
        <w:rPr>
          <w:rtl/>
        </w:rPr>
        <w:t xml:space="preserve"> כָל אֲשֶׁר בּוֹ מוּם לֹא יִקְרָב, נִשְׁמָתָא דְאִית בָּהּ מוּם בְּחַד מֵרַמַ''ח פִּקּוּדִין דִּילָהּ לָא אִתְקְרִיבַת בְּגִינֵיהּ לְגַבֵּי קוּדְשָׁא בְּרִיךְ הוּא.</w:t>
      </w:r>
    </w:p>
    <w:p w:rsidR="00666389" w:rsidRDefault="002D629A" w:rsidP="00666389">
      <w:pPr>
        <w:pStyle w:val="NormalWeb"/>
        <w:rPr>
          <w:rtl/>
        </w:rPr>
      </w:pPr>
      <w:r>
        <w:rPr>
          <w:rStyle w:val="a7"/>
          <w:rFonts w:hAnsi="Arial"/>
          <w:b w:val="0"/>
          <w:bCs w:val="0"/>
          <w:rtl/>
          <w:lang w:eastAsia="en-US"/>
        </w:rPr>
        <w:footnoteReference w:id="2849"/>
      </w:r>
      <w:r>
        <w:rPr>
          <w:rtl/>
        </w:rPr>
        <w:t xml:space="preserve">אֲבָל נִשְׁמָתָא מִסִּטְרָא דִשְׁכִינְתָּא לֵית בָּהּ מוּם, הֲדָא הוּא דִכְתִיב </w:t>
      </w:r>
      <w:r>
        <w:rPr>
          <w:sz w:val="20"/>
          <w:szCs w:val="20"/>
          <w:rtl/>
        </w:rPr>
        <w:t>(שיר ד ז)</w:t>
      </w:r>
      <w:r>
        <w:rPr>
          <w:rtl/>
        </w:rPr>
        <w:t xml:space="preserve"> כֻּלָּךְ יָפָה רַעְיָתִי וּמוּם אֵין בָּךְ, אִם יֵצֶר הָרָע בָּעִי לְקָרְבָא לְהַהוּא אֲתַר, כֵּיוָן דִּשְׁכִינְתָּא שַׁרְיָא תַמָּן דְּאִיהִי נִשְׁמָתָא, אִתְּמַר בָּהּ </w:t>
      </w:r>
      <w:r>
        <w:rPr>
          <w:sz w:val="20"/>
          <w:szCs w:val="20"/>
          <w:rtl/>
        </w:rPr>
        <w:t>(במדבר א נא)</w:t>
      </w:r>
      <w:r>
        <w:rPr>
          <w:rtl/>
        </w:rPr>
        <w:t xml:space="preserve"> וְהַזָּר הַקָּרֵב יוּמָת, בְּגִין דַּעֲלָהּ אִתְּמַר </w:t>
      </w:r>
      <w:r>
        <w:rPr>
          <w:sz w:val="20"/>
          <w:szCs w:val="20"/>
          <w:rtl/>
        </w:rPr>
        <w:t>(ישעיה מב ח)</w:t>
      </w:r>
      <w:r>
        <w:rPr>
          <w:rtl/>
        </w:rPr>
        <w:t xml:space="preserve"> אֲנִי יהו''ה הוּא שְׁמִי וּכְבוֹדִי לְאַחֵר לֹא אֶתֵּן, דְּהַיְינוּ אֵל אַחֵר אֵל זָר, </w:t>
      </w:r>
      <w:r>
        <w:rPr>
          <w:rStyle w:val="a7"/>
          <w:rFonts w:hAnsi="Arial"/>
          <w:b w:val="0"/>
          <w:bCs w:val="0"/>
          <w:rtl/>
          <w:lang w:eastAsia="en-US"/>
        </w:rPr>
        <w:footnoteReference w:id="2850"/>
      </w:r>
      <w:r>
        <w:rPr>
          <w:rtl/>
        </w:rPr>
        <w:t xml:space="preserve">דְּנִשְׁמָתָא אִיהִי יְקָרֵיהּ, וְאִיהִי תּוּשְׁבַּחְתֵּיהּ, דְּבָהּ מְשַׁבַּח בַּר נַשׁ לְקוּדְשָׁא בְּרִיךְ הוּא בִּצְלוֹתָא בְּכָל יוֹמָא בְּכַמָּה תּוּשְׁבְּחָן וְהוֹדָאָן, וּבְגִין דָּא אֲנִי יהו''ה הוּא שְׁמִי וּכְבוֹדִי לְאַחֵר לֹא אֶתֵּן וּתְהִלָּתִי </w:t>
      </w:r>
      <w:r>
        <w:rPr>
          <w:rStyle w:val="a7"/>
          <w:rFonts w:hAnsi="Arial"/>
          <w:b w:val="0"/>
          <w:bCs w:val="0"/>
          <w:rtl/>
          <w:lang w:eastAsia="en-US"/>
        </w:rPr>
        <w:footnoteReference w:id="2851"/>
      </w:r>
      <w:r>
        <w:rPr>
          <w:rtl/>
        </w:rPr>
        <w:t xml:space="preserve">לַפְּסִילִים, אִלֵּין שַׁבְעִין מְמַנָּן, דְּלָא יְהִיב לוֹן קוּדְשָׁא בְּרִיךְ הוּא רְשׁוּ לְשַׁלְטָאָה עֲלָהּ, דְּאִינוּן עַרְקִין דְּכָבֵד דְּאִיהוּ אֵל אַחֵר, טְחוֹל נָחָשׁ יוֹתֶרֶת הַכָּבֵד אֵשֶׁת זְנוּנִים, בָּתַר דַּעֲבִידַת </w:t>
      </w:r>
      <w:r>
        <w:rPr>
          <w:rStyle w:val="a7"/>
          <w:rFonts w:hAnsi="Arial"/>
          <w:b w:val="0"/>
          <w:bCs w:val="0"/>
          <w:rtl/>
          <w:lang w:eastAsia="en-US"/>
        </w:rPr>
        <w:footnoteReference w:id="2852"/>
      </w:r>
      <w:r>
        <w:rPr>
          <w:rtl/>
        </w:rPr>
        <w:t xml:space="preserve">נִיאוּפִין עִם אֱלֹהִים אֲחֵרִים, וּפַלִּיגַת דְּמָא דִילָהּ דְּאִיהִי תַּמְצִית דִּילָהּ לְכָל עַרְקִין, שִׁיּוּרָא קְרֵיבַת לְגַבֵּי טְחוֹל דְּאִיהוּ בַּעְלָהּ כְּסִיל, דְּלָא נָטִיל טְחוֹל אֶלָּא תַּמְצִית </w:t>
      </w:r>
      <w:r>
        <w:rPr>
          <w:sz w:val="20"/>
          <w:szCs w:val="20"/>
          <w:rtl/>
        </w:rPr>
        <w:t>(נ''א שמרים)</w:t>
      </w:r>
      <w:r>
        <w:rPr>
          <w:rtl/>
        </w:rPr>
        <w:t xml:space="preserve"> דִּדְמָא, וְלָא יְהִיב לֵיהּ מִדְּמָא אָחֳרָא, וּבְגִין דָּא אִתְקְרִיאַת יוֹתֶרֶת הַכָּבֵד, </w:t>
      </w:r>
      <w:r>
        <w:rPr>
          <w:rStyle w:val="a7"/>
          <w:rFonts w:hAnsi="Arial"/>
          <w:b w:val="0"/>
          <w:bCs w:val="0"/>
          <w:rtl/>
          <w:lang w:eastAsia="en-US"/>
        </w:rPr>
        <w:footnoteReference w:id="2853"/>
      </w:r>
      <w:r>
        <w:rPr>
          <w:rtl/>
        </w:rPr>
        <w:t xml:space="preserve">בְּגִין דְּלָא יְהִיב אֶלָּא שִׁיּוּרִין, </w:t>
      </w:r>
      <w:r>
        <w:rPr>
          <w:rStyle w:val="a7"/>
          <w:rFonts w:hAnsi="Arial"/>
          <w:b w:val="0"/>
          <w:bCs w:val="0"/>
          <w:rtl/>
          <w:lang w:eastAsia="en-US"/>
        </w:rPr>
        <w:footnoteReference w:id="2854"/>
      </w:r>
      <w:r>
        <w:rPr>
          <w:rtl/>
        </w:rPr>
        <w:t xml:space="preserve">וְכָבֵד אִיהוּ קִטְרוּגָא דְרֵיאָה, דְּסָלִיק לְגַבֵּי לִבָּא נוּרָא מִנֵּיהּ, וְאִי לַאו דְּנָשִׁיב בֵּיהּ כַּנְפֵי רֵיאָה, הֲוָה אוֹקִיד לְלִבָּא </w:t>
      </w:r>
      <w:r>
        <w:rPr>
          <w:sz w:val="20"/>
          <w:szCs w:val="20"/>
          <w:rtl/>
        </w:rPr>
        <w:t>(והוה אוקיד כל גופא נורא דלבא)</w:t>
      </w:r>
      <w:r>
        <w:rPr>
          <w:rtl/>
        </w:rPr>
        <w:t>, הַדְרָא דְכִנְתָא לִוְיָתָן, לָקֳבֵל חֵלֶב טָמֵא</w:t>
      </w:r>
      <w:r w:rsidR="00666389">
        <w:rPr>
          <w:rFonts w:hint="cs"/>
          <w:rtl/>
        </w:rPr>
        <w:t>.</w:t>
      </w:r>
      <w:r>
        <w:rPr>
          <w:rtl/>
        </w:rPr>
        <w:t xml:space="preserve"> </w:t>
      </w:r>
    </w:p>
    <w:p w:rsidR="002D629A" w:rsidRDefault="002D629A" w:rsidP="00666389">
      <w:pPr>
        <w:pStyle w:val="NormalWeb"/>
        <w:rPr>
          <w:rtl/>
        </w:rPr>
      </w:pPr>
      <w:r>
        <w:rPr>
          <w:rtl/>
        </w:rPr>
        <w:t>נָחָשׁ אִיהוּ קִטְרוּגָא דְלִבָּא, וַעֲלַהּ אִתְּמַר אֲפִילוּ נָחָשׁ כָּרוּךְ עַל עֲקֵבוֹ לֹא יַפְסִיק, אֲבָל עַקְרָב פּוֹסֵק, שָׂרָף אִיהוּ מָרָה קִטְרוּגָא דְמוֹחָא, בְּגִין דְּמָרָה אִיהִי שְׂרֵיפַת כָּל גּוּפָא.</w:t>
      </w:r>
      <w:r w:rsidR="00666389">
        <w:rPr>
          <w:rFonts w:hint="cs"/>
          <w:rtl/>
        </w:rPr>
        <w:t xml:space="preserve"> </w:t>
      </w:r>
      <w:r>
        <w:rPr>
          <w:rStyle w:val="a7"/>
          <w:rFonts w:hAnsi="Arial"/>
          <w:b w:val="0"/>
          <w:bCs w:val="0"/>
          <w:rtl/>
          <w:lang w:eastAsia="en-US"/>
        </w:rPr>
        <w:footnoteReference w:id="2855"/>
      </w:r>
      <w:r>
        <w:rPr>
          <w:rtl/>
        </w:rPr>
        <w:t xml:space="preserve">בְּגִין דָּא תְּקִיעָה שְׁבָרִים וּתְרוּעָה אִינוּן תְּבִירוּ דִלְהוֹן, וַעֲלַיְיהוּ אִתְּמַר </w:t>
      </w:r>
      <w:r>
        <w:rPr>
          <w:sz w:val="20"/>
          <w:szCs w:val="20"/>
          <w:rtl/>
        </w:rPr>
        <w:t>(תהלים פט טז)</w:t>
      </w:r>
      <w:r>
        <w:rPr>
          <w:rtl/>
        </w:rPr>
        <w:t xml:space="preserve"> אַשְׁרֵי הָעָם יוֹדְעִי תְרוּעָה יהו''ה בְּאוֹר פָּנֶיךָ יְהַלֵּכוּן, מַאי פָּנֶיךָ אִלֵּין תְּקִיעָה שְׁבָרִים וּתְרוּעָה, דְּאִינוּן תְּקִיעָה חִוְורוּ דְאַנְפִּין, שְׁבָרִים סוּמְקוּ דְאַנְפִּין, תְּרוּעָה </w:t>
      </w:r>
      <w:r>
        <w:rPr>
          <w:rStyle w:val="a7"/>
          <w:rFonts w:hAnsi="Arial"/>
          <w:b w:val="0"/>
          <w:bCs w:val="0"/>
          <w:rtl/>
          <w:lang w:eastAsia="en-US"/>
        </w:rPr>
        <w:footnoteReference w:id="2856"/>
      </w:r>
      <w:r>
        <w:rPr>
          <w:rtl/>
        </w:rPr>
        <w:t xml:space="preserve">יְרוֹקָא דְאַנְפִּין, </w:t>
      </w:r>
      <w:r>
        <w:rPr>
          <w:rStyle w:val="a7"/>
          <w:rFonts w:hAnsi="Arial"/>
          <w:b w:val="0"/>
          <w:bCs w:val="0"/>
          <w:rtl/>
          <w:lang w:eastAsia="en-US"/>
        </w:rPr>
        <w:footnoteReference w:id="2857"/>
      </w:r>
      <w:r>
        <w:rPr>
          <w:rtl/>
        </w:rPr>
        <w:t>וּבָהּ נָפְקִין יִשְׂרָאֵל מִן גָּלוּתָא, בְזִמְנָא דְמִתְהַפְּכִין אַנְפִּין דְּיִשְׂרָאֵל לִירוֹקָא כְּאִתְּתָא עוּבָּרָא.</w:t>
      </w:r>
    </w:p>
    <w:p w:rsidR="002D629A" w:rsidRDefault="002D629A" w:rsidP="00B17EA9">
      <w:pPr>
        <w:pStyle w:val="NormalWeb"/>
        <w:rPr>
          <w:rtl/>
        </w:rPr>
      </w:pPr>
      <w:r>
        <w:rPr>
          <w:rStyle w:val="a7"/>
          <w:rFonts w:hAnsi="Arial"/>
          <w:b w:val="0"/>
          <w:bCs w:val="0"/>
          <w:rtl/>
          <w:lang w:eastAsia="en-US"/>
        </w:rPr>
        <w:footnoteReference w:id="2858"/>
      </w:r>
      <w:r>
        <w:rPr>
          <w:rtl/>
        </w:rPr>
        <w:t xml:space="preserve">וּבְאִלֵּין תְּלַת גַּוָּונִין נַהֲרָא שְׁרַגָּא דְאִיהִי נֵר יהו''ה נִשְׁמַת אָדָם </w:t>
      </w:r>
      <w:r>
        <w:rPr>
          <w:sz w:val="20"/>
          <w:szCs w:val="20"/>
          <w:rtl/>
        </w:rPr>
        <w:t>(משלי כ כז)</w:t>
      </w:r>
      <w:r>
        <w:rPr>
          <w:rtl/>
        </w:rPr>
        <w:t xml:space="preserve">, מַאי אָדָם יו''ד ה''א וא''ו ה''א, תְּלַת גַּוָּונִין דִּשְׁרַגָּא, </w:t>
      </w:r>
      <w:r>
        <w:rPr>
          <w:rStyle w:val="a7"/>
          <w:rFonts w:hAnsi="Arial"/>
          <w:b w:val="0"/>
          <w:bCs w:val="0"/>
          <w:rtl/>
          <w:lang w:eastAsia="en-US"/>
        </w:rPr>
        <w:footnoteReference w:id="2859"/>
      </w:r>
      <w:r>
        <w:rPr>
          <w:rtl/>
        </w:rPr>
        <w:t xml:space="preserve">וּתְלַת גַּוָּונִין אִלֵּין אִינוּן לְבוּשִׁין לִתְלַת אֲבָהָן, דְּאִינוּן חִוָּור סוּמָק יָרוֹק, גַּוָּון אוּכְמָא אִיהִי קַדְרוּתָא דִלְהוֹן, וַעֲלָהּ אִתְּמַר </w:t>
      </w:r>
      <w:r>
        <w:rPr>
          <w:sz w:val="20"/>
          <w:szCs w:val="20"/>
          <w:rtl/>
        </w:rPr>
        <w:t>(ישעיה נ ג)</w:t>
      </w:r>
      <w:r>
        <w:rPr>
          <w:rtl/>
        </w:rPr>
        <w:t xml:space="preserve"> אַלְבִּישׁ שָׁמַיִם קַדְרוּת, וּבְהוֹן מִתְלַבְּשִׁין הו''ה, תְּכֵלֶת לְבוּשָׁא דְאָת י' </w:t>
      </w:r>
      <w:r>
        <w:rPr>
          <w:rStyle w:val="a7"/>
          <w:rFonts w:hAnsi="Arial"/>
          <w:b w:val="0"/>
          <w:bCs w:val="0"/>
          <w:rtl/>
          <w:lang w:eastAsia="en-US"/>
        </w:rPr>
        <w:footnoteReference w:id="2860"/>
      </w:r>
      <w:r>
        <w:rPr>
          <w:rtl/>
        </w:rPr>
        <w:t xml:space="preserve">דְּאִיהוּ תַּכְלִית דְּכֹלָּא, </w:t>
      </w:r>
      <w:r>
        <w:rPr>
          <w:rStyle w:val="a7"/>
          <w:rFonts w:hAnsi="Arial"/>
          <w:b w:val="0"/>
          <w:bCs w:val="0"/>
          <w:rtl/>
          <w:lang w:eastAsia="en-US"/>
        </w:rPr>
        <w:footnoteReference w:id="2861"/>
      </w:r>
      <w:r>
        <w:rPr>
          <w:rtl/>
        </w:rPr>
        <w:t>נֵר אִיהוּ י', שַׁלְהוֹבָא דְסָלִיק מִנֵּיהּ ו', וְנִעְנוּעָא דִילֵיהּ הָכָא וְהָכָא דָא ה''ה.</w:t>
      </w:r>
    </w:p>
    <w:p w:rsidR="002D629A" w:rsidRDefault="002D629A" w:rsidP="00666389">
      <w:pPr>
        <w:pStyle w:val="NormalWeb"/>
        <w:rPr>
          <w:rtl/>
        </w:rPr>
      </w:pPr>
      <w:r>
        <w:rPr>
          <w:rtl/>
        </w:rPr>
        <w:t xml:space="preserve">וּלְסִטְרָא אָחֳרָא אִית נֵר חֲשׁוֹכָא דְגֵיהִנָּם, </w:t>
      </w:r>
      <w:r>
        <w:rPr>
          <w:rStyle w:val="a7"/>
          <w:rFonts w:hAnsi="Arial"/>
          <w:b w:val="0"/>
          <w:bCs w:val="0"/>
          <w:rtl/>
          <w:lang w:eastAsia="en-US"/>
        </w:rPr>
        <w:footnoteReference w:id="2862"/>
      </w:r>
      <w:r>
        <w:rPr>
          <w:rtl/>
        </w:rPr>
        <w:t xml:space="preserve">וְאִית לֵיהּ תְּלַת גַּוָּונִין, גַּוָּון סוּמָק דָּא כָּבֵד, עִשָׂו הוּא אֱדוֹם </w:t>
      </w:r>
      <w:r>
        <w:rPr>
          <w:sz w:val="20"/>
          <w:szCs w:val="20"/>
          <w:rtl/>
        </w:rPr>
        <w:t>(בראשית לו א)</w:t>
      </w:r>
      <w:r>
        <w:rPr>
          <w:rtl/>
        </w:rPr>
        <w:t xml:space="preserve">, מָרָה גַוָּון יָרוֹק, טְחוֹל גַּוָּון שָׁחוֹר, וַעֲלֵיהּ אִתְּמַר </w:t>
      </w:r>
      <w:r>
        <w:rPr>
          <w:sz w:val="20"/>
          <w:szCs w:val="20"/>
          <w:rtl/>
        </w:rPr>
        <w:t>(שם כז א)</w:t>
      </w:r>
      <w:r>
        <w:rPr>
          <w:rtl/>
        </w:rPr>
        <w:t xml:space="preserve"> וַתִּכְהֶין</w:t>
      </w:r>
      <w:r w:rsidR="00666389">
        <w:rPr>
          <w:rtl/>
        </w:rPr>
        <w:t>ָ</w:t>
      </w:r>
      <w:r>
        <w:rPr>
          <w:rtl/>
        </w:rPr>
        <w:t xml:space="preserve"> עִינָיו מֵרְאוֹת, וְסִימָנִיךְ בְּאִלֵּין גַּוָּונִין שְׁקַעֲרוּרוֹת </w:t>
      </w:r>
      <w:r>
        <w:rPr>
          <w:sz w:val="20"/>
          <w:szCs w:val="20"/>
          <w:rtl/>
        </w:rPr>
        <w:t>(ויקרא יד לז)</w:t>
      </w:r>
      <w:r>
        <w:rPr>
          <w:rtl/>
        </w:rPr>
        <w:t xml:space="preserve"> יְרַקְרַקּוֹת אוֹ אֲדַמְדַּמּוֹת </w:t>
      </w:r>
      <w:r>
        <w:rPr>
          <w:rStyle w:val="a7"/>
          <w:rFonts w:hAnsi="Arial"/>
          <w:b w:val="0"/>
          <w:bCs w:val="0"/>
          <w:rtl/>
          <w:lang w:eastAsia="en-US"/>
        </w:rPr>
        <w:footnoteReference w:id="2863"/>
      </w:r>
      <w:r>
        <w:rPr>
          <w:rtl/>
        </w:rPr>
        <w:t xml:space="preserve">וּמַרְאֵיהֶן שָׁפָל מִן הַקִּיר, שָׁפָל הוּא גַוָּון אוּכָם, דְּאִתְּמַר </w:t>
      </w:r>
      <w:r>
        <w:rPr>
          <w:rStyle w:val="Char"/>
          <w:rtl/>
          <w:lang w:eastAsia="en-US"/>
        </w:rPr>
        <w:t>בֵּיהּ</w:t>
      </w:r>
      <w:r>
        <w:rPr>
          <w:rtl/>
        </w:rPr>
        <w:t xml:space="preserve"> </w:t>
      </w:r>
      <w:r>
        <w:rPr>
          <w:sz w:val="20"/>
          <w:szCs w:val="20"/>
          <w:rtl/>
        </w:rPr>
        <w:t>(שם יג כא)</w:t>
      </w:r>
      <w:r>
        <w:rPr>
          <w:rtl/>
        </w:rPr>
        <w:t xml:space="preserve">, וּשְׁפָלָה אֵינֶנָּה מִן הָעוֹר וְהִיא כֵהָה, וְאִיהִי שִׁפְלוּת דְּנִשְׁמָתָא בְּגוּפָא, </w:t>
      </w:r>
      <w:r>
        <w:rPr>
          <w:sz w:val="20"/>
          <w:szCs w:val="20"/>
          <w:rtl/>
        </w:rPr>
        <w:t>(מכאן עד סוף הפסקא מובא מלעיל מג ע"ב)</w:t>
      </w:r>
      <w:r>
        <w:rPr>
          <w:rtl/>
        </w:rPr>
        <w:t xml:space="preserve"> </w:t>
      </w:r>
      <w:r>
        <w:rPr>
          <w:rStyle w:val="a7"/>
          <w:rFonts w:hAnsi="Arial"/>
          <w:b w:val="0"/>
          <w:bCs w:val="0"/>
          <w:rtl/>
          <w:lang w:eastAsia="en-US"/>
        </w:rPr>
        <w:footnoteReference w:id="2864"/>
      </w:r>
      <w:r>
        <w:rPr>
          <w:rtl/>
        </w:rPr>
        <w:t>וּתְכֵלֶת לֵית בְּסִטְרָא אַחֲרָא בְּגִין דְּאִיהוּ דוֹמֶה לְכֻּרְסְייָא יְקִירָא.</w:t>
      </w:r>
    </w:p>
    <w:p w:rsidR="002D629A" w:rsidRDefault="002D629A" w:rsidP="00B17EA9">
      <w:pPr>
        <w:pStyle w:val="NormalWeb"/>
        <w:rPr>
          <w:rtl/>
        </w:rPr>
      </w:pPr>
      <w:r>
        <w:rPr>
          <w:rtl/>
        </w:rPr>
        <w:t xml:space="preserve">נִשְׁמָתָא וְרוּחָא וְנַפְשָׁא אִתְגַּלְיָין </w:t>
      </w:r>
      <w:r>
        <w:rPr>
          <w:rStyle w:val="a7"/>
          <w:rFonts w:hAnsi="Arial"/>
          <w:b w:val="0"/>
          <w:bCs w:val="0"/>
          <w:rtl/>
          <w:lang w:eastAsia="en-US"/>
        </w:rPr>
        <w:footnoteReference w:id="2865"/>
      </w:r>
      <w:r>
        <w:rPr>
          <w:rtl/>
        </w:rPr>
        <w:t xml:space="preserve">בְּכָבֵד מָרָה וּטְחוֹל, כָּל אִינוּן אֵבָרֵי דְגוּפָא דְאִינוּן עַמָּא קַדִּישָׁא, כֻּלְּהוּ דַחֲקָן בִּמְרִירוּ, בְגִין דְּנִשְׁמָתָא אַתְרָא דִילָהּ מוֹחָא, יוֹנָה קַדִּישָׁא נִשְׁמָתָא, שְׁכִינְתָּא נִשְׁרָא, </w:t>
      </w:r>
      <w:r>
        <w:rPr>
          <w:rStyle w:val="a7"/>
          <w:rFonts w:hAnsi="Arial"/>
          <w:b w:val="0"/>
          <w:bCs w:val="0"/>
          <w:rtl/>
          <w:lang w:eastAsia="en-US"/>
        </w:rPr>
        <w:footnoteReference w:id="2866"/>
      </w:r>
      <w:r>
        <w:rPr>
          <w:rtl/>
        </w:rPr>
        <w:t xml:space="preserve">דִּבְהַאי יוֹנָה אִתְפַּרְנְסַת, בְּכַמָּה צְלוֹתִין וּפוּלְחָנִין, </w:t>
      </w:r>
      <w:r>
        <w:rPr>
          <w:rStyle w:val="a7"/>
          <w:rFonts w:hAnsi="Arial"/>
          <w:b w:val="0"/>
          <w:bCs w:val="0"/>
          <w:rtl/>
          <w:lang w:eastAsia="en-US"/>
        </w:rPr>
        <w:footnoteReference w:id="2867"/>
      </w:r>
      <w:r>
        <w:rPr>
          <w:rtl/>
        </w:rPr>
        <w:t xml:space="preserve">סְפִינָה דְיוֹנָה קַרְקַפְתָּא, וְכַמָּה מְמַנָּן אִית בְּהַאי סְפִינָה דְמַנְהִיגִין לָהּ, וְאִינוּן אוּדְנִין עַיְינִין חוֹטָמָא פוּמָא, שֶׁבַע מְמַנָּן אִינוּן, </w:t>
      </w:r>
      <w:r>
        <w:rPr>
          <w:rStyle w:val="a7"/>
          <w:rFonts w:hAnsi="Arial"/>
          <w:b w:val="0"/>
          <w:bCs w:val="0"/>
          <w:rtl/>
          <w:lang w:eastAsia="en-US"/>
        </w:rPr>
        <w:footnoteReference w:id="2868"/>
      </w:r>
      <w:r>
        <w:rPr>
          <w:rtl/>
        </w:rPr>
        <w:t xml:space="preserve">וְסָלְקִין לְשִׁבְעִים לָשׁוֹן </w:t>
      </w:r>
      <w:r>
        <w:rPr>
          <w:rStyle w:val="a7"/>
          <w:rFonts w:hAnsi="Arial"/>
          <w:b w:val="0"/>
          <w:bCs w:val="0"/>
          <w:rtl/>
          <w:lang w:eastAsia="en-US"/>
        </w:rPr>
        <w:footnoteReference w:id="2869"/>
      </w:r>
      <w:r>
        <w:rPr>
          <w:rtl/>
        </w:rPr>
        <w:t>דַּהֲווֹ בִּסְפִינָה דְיוֹנָה.</w:t>
      </w:r>
    </w:p>
    <w:p w:rsidR="002D629A" w:rsidRDefault="002D629A" w:rsidP="00B17EA9">
      <w:pPr>
        <w:pStyle w:val="aa"/>
        <w:rPr>
          <w:rtl/>
        </w:rPr>
      </w:pPr>
      <w:r>
        <w:rPr>
          <w:rtl/>
        </w:rPr>
        <w:t xml:space="preserve">[תיקוני זוהר - דף מה ע''ב] </w:t>
      </w:r>
    </w:p>
    <w:p w:rsidR="002D629A" w:rsidRDefault="002D629A" w:rsidP="00B17EA9">
      <w:pPr>
        <w:pStyle w:val="NormalWeb"/>
        <w:rPr>
          <w:rtl/>
        </w:rPr>
      </w:pPr>
      <w:r>
        <w:rPr>
          <w:rStyle w:val="a7"/>
          <w:rFonts w:hAnsi="Arial"/>
          <w:b w:val="0"/>
          <w:bCs w:val="0"/>
          <w:rtl/>
          <w:lang w:eastAsia="en-US"/>
        </w:rPr>
        <w:footnoteReference w:id="2870"/>
      </w:r>
      <w:r>
        <w:rPr>
          <w:rtl/>
        </w:rPr>
        <w:t xml:space="preserve">וְיוֹנָה </w:t>
      </w:r>
      <w:r>
        <w:rPr>
          <w:sz w:val="20"/>
          <w:szCs w:val="20"/>
          <w:rtl/>
        </w:rPr>
        <w:t xml:space="preserve">(דף מה ע''ב) </w:t>
      </w:r>
      <w:r>
        <w:rPr>
          <w:rtl/>
        </w:rPr>
        <w:t xml:space="preserve">אִיהִי צְלוֹתָא שְׁכִינְתָּא תַּתָּאָה, נִשְׁרָא דְאִתְפַּרְנְסַת בָּהּ דָּא שְׁכִינְתָּא עִלָּאָה, אִם יִשְׂרָאֵל לָא מִשְׁתַּדְּלִין בִּצְלוֹתִין וּבָעוּתִין וּפוּלְחָנִין דְּנִשְׁרָא דְּאִיהִי רֵיאָה, מִיָּד וַיהו''ה הֵטִיל רוּחַ גְּדוֹלָה אֶל הַיָּם </w:t>
      </w:r>
      <w:r>
        <w:rPr>
          <w:sz w:val="20"/>
          <w:szCs w:val="20"/>
          <w:rtl/>
        </w:rPr>
        <w:t>(יונה א ד)</w:t>
      </w:r>
      <w:r>
        <w:rPr>
          <w:rtl/>
        </w:rPr>
        <w:t xml:space="preserve">, </w:t>
      </w:r>
      <w:r>
        <w:rPr>
          <w:rStyle w:val="a7"/>
          <w:rFonts w:hAnsi="Arial"/>
          <w:b w:val="0"/>
          <w:bCs w:val="0"/>
          <w:rtl/>
          <w:lang w:eastAsia="en-US"/>
        </w:rPr>
        <w:footnoteReference w:id="2871"/>
      </w:r>
      <w:r>
        <w:rPr>
          <w:rtl/>
        </w:rPr>
        <w:t xml:space="preserve">דְּאִיהִי רוּחַ סְעָרָה, </w:t>
      </w:r>
      <w:r>
        <w:rPr>
          <w:rStyle w:val="a7"/>
          <w:rFonts w:hAnsi="Arial"/>
          <w:b w:val="0"/>
          <w:bCs w:val="0"/>
          <w:rtl/>
          <w:lang w:eastAsia="en-US"/>
        </w:rPr>
        <w:footnoteReference w:id="2872"/>
      </w:r>
      <w:r>
        <w:rPr>
          <w:rtl/>
        </w:rPr>
        <w:t xml:space="preserve">רוּחַ יהו''ה תְּנִיחֵהוּ בְּקַדְמֵיתָא, </w:t>
      </w:r>
      <w:r>
        <w:rPr>
          <w:rStyle w:val="a7"/>
          <w:rFonts w:hAnsi="Arial"/>
          <w:b w:val="0"/>
          <w:bCs w:val="0"/>
          <w:rtl/>
          <w:lang w:eastAsia="en-US"/>
        </w:rPr>
        <w:footnoteReference w:id="2873"/>
      </w:r>
      <w:r>
        <w:rPr>
          <w:rtl/>
        </w:rPr>
        <w:t xml:space="preserve">רוּחַ דְּנָשִׁיב בְּכַנְפֵי נִשְׁרָ''א דְאִיהוּ עַמּוּדָא דְאֶמְצָעִיתָא, דְבֵיהּ פָּרַח נִשְׁרָא בְאִינוּן תְּרֵין שִׂפְוָון, </w:t>
      </w:r>
      <w:r>
        <w:rPr>
          <w:rStyle w:val="a7"/>
          <w:rFonts w:hAnsi="Arial"/>
          <w:b w:val="0"/>
          <w:bCs w:val="0"/>
          <w:rtl/>
          <w:lang w:eastAsia="en-US"/>
        </w:rPr>
        <w:footnoteReference w:id="2874"/>
      </w:r>
      <w:r>
        <w:rPr>
          <w:rtl/>
        </w:rPr>
        <w:t>רוּחַ דְּנָשִׁיב בְּכֻלְּהוּ דָא רוּחַ דְּחוֹטָמָא.</w:t>
      </w:r>
    </w:p>
    <w:p w:rsidR="002D629A" w:rsidRDefault="002D629A" w:rsidP="00B17EA9">
      <w:pPr>
        <w:pStyle w:val="NormalWeb"/>
        <w:rPr>
          <w:rtl/>
        </w:rPr>
      </w:pPr>
      <w:r>
        <w:rPr>
          <w:rStyle w:val="a7"/>
          <w:rFonts w:hAnsi="Arial"/>
          <w:b w:val="0"/>
          <w:bCs w:val="0"/>
          <w:rtl/>
          <w:lang w:eastAsia="en-US"/>
        </w:rPr>
        <w:footnoteReference w:id="2875"/>
      </w:r>
      <w:r>
        <w:rPr>
          <w:rtl/>
        </w:rPr>
        <w:t xml:space="preserve">הַאי רוּחַ בְּכָל אֲתַר דְּאִיהוּ שְׁכִינְתָּא עִלָּאָה וְתַתָּאָה תַמָּן אִשְׁתַּכְּחוּ, אִיהוּ ו' דְּנָשִׁיב בְּכַנְפֵי רֵיאָה וְעַל לִבָּא, דְּתַמָּן </w:t>
      </w:r>
      <w:r>
        <w:rPr>
          <w:sz w:val="20"/>
          <w:szCs w:val="20"/>
          <w:rtl/>
        </w:rPr>
        <w:t>(משלי כ כז)</w:t>
      </w:r>
      <w:r>
        <w:rPr>
          <w:rtl/>
        </w:rPr>
        <w:t xml:space="preserve"> נֵר יהו''ה נִשְׁמַת אָדָם, נִשְׁמָתָא בְּמוֹחָא, רוּחַ בְּכַנְפֵי רֵיאָה, נֶפֶשׁ בְּלִבָּא, </w:t>
      </w:r>
      <w:r>
        <w:rPr>
          <w:rStyle w:val="a7"/>
          <w:rFonts w:hAnsi="Arial"/>
          <w:b w:val="0"/>
          <w:bCs w:val="0"/>
          <w:rtl/>
          <w:lang w:eastAsia="en-US"/>
        </w:rPr>
        <w:footnoteReference w:id="2876"/>
      </w:r>
      <w:r>
        <w:rPr>
          <w:rtl/>
        </w:rPr>
        <w:t xml:space="preserve">וּמַחֲשָׁבָה רָכִיב עֲלַיְיהוּ דְאִיהוּ אָדָם, וּלְזִמְנִין תְּלַת לַלֵב, נִשְׁמָתָא וְנַפְשָׁא בִּתְרֵי בָּתֵּי לִבָּא, רוּחָא דְנָשִׁיב בְּהוֹן וְאִינוּן נֶפֶ''שׁ וְרוּ''חַ, סִימָן נֵ''ר, </w:t>
      </w:r>
      <w:r>
        <w:rPr>
          <w:rStyle w:val="a7"/>
          <w:rFonts w:hAnsi="Arial"/>
          <w:b w:val="0"/>
          <w:bCs w:val="0"/>
          <w:rtl/>
          <w:lang w:eastAsia="en-US"/>
        </w:rPr>
        <w:footnoteReference w:id="2877"/>
      </w:r>
      <w:r>
        <w:rPr>
          <w:rtl/>
        </w:rPr>
        <w:t xml:space="preserve">וְהַאי ו' אִיהוּ דְנָשִׁיב בִּדְרוֹעִין בְּשִׁית פִּרְקִין דִּלְהוֹן, וְאִיהוּ נַשִּׁיב בִּתְרֵין שׁוֹקִין בְּשִׁית פִּרְקִין, דְּאִתְּמַר בְּהוֹן </w:t>
      </w:r>
      <w:r>
        <w:rPr>
          <w:sz w:val="20"/>
          <w:szCs w:val="20"/>
          <w:rtl/>
        </w:rPr>
        <w:t>(שיר ה טו)</w:t>
      </w:r>
      <w:r>
        <w:rPr>
          <w:rtl/>
        </w:rPr>
        <w:t xml:space="preserve"> שׁוֹקָיו עַמּוּדֵי שֵׁשׁ, וַעֲלֵיהּ אִתְּמַר </w:t>
      </w:r>
      <w:r>
        <w:rPr>
          <w:sz w:val="20"/>
          <w:szCs w:val="20"/>
          <w:rtl/>
        </w:rPr>
        <w:t>(ישעיה יא ב)</w:t>
      </w:r>
      <w:r>
        <w:rPr>
          <w:rtl/>
        </w:rPr>
        <w:t xml:space="preserve"> וְנָחָה עָלָיו רוּחַ יהו''ה.</w:t>
      </w:r>
    </w:p>
    <w:p w:rsidR="002D629A" w:rsidRDefault="002D629A" w:rsidP="00B17EA9">
      <w:pPr>
        <w:pStyle w:val="NormalWeb"/>
        <w:rPr>
          <w:rtl/>
        </w:rPr>
      </w:pPr>
      <w:r>
        <w:rPr>
          <w:rStyle w:val="a7"/>
          <w:rFonts w:hAnsi="Arial"/>
          <w:b w:val="0"/>
          <w:bCs w:val="0"/>
          <w:rtl/>
          <w:lang w:eastAsia="en-US"/>
        </w:rPr>
        <w:footnoteReference w:id="2878"/>
      </w:r>
      <w:r>
        <w:rPr>
          <w:rtl/>
        </w:rPr>
        <w:t xml:space="preserve">כַּד אֵבָרִין דְּגוּפָא מִתְנַהֲגִין בְּהַאי רוּחָא בְּאוֹרַיְיתָא קַדִּישָׁא בְּפִקּוּדִין דְּאוֹרַיְיתָא, </w:t>
      </w:r>
      <w:r>
        <w:rPr>
          <w:rStyle w:val="a7"/>
          <w:rFonts w:hAnsi="Arial"/>
          <w:b w:val="0"/>
          <w:bCs w:val="0"/>
          <w:rtl/>
          <w:lang w:eastAsia="en-US"/>
        </w:rPr>
        <w:footnoteReference w:id="2879"/>
      </w:r>
      <w:r>
        <w:rPr>
          <w:rtl/>
        </w:rPr>
        <w:t xml:space="preserve">סְפִינָה מִתְנַהֲגָא לְכָל סִטְרָא דְבָעִי בַּר נַשׁ, כְּמָה דְאַתְּ אָמַר </w:t>
      </w:r>
      <w:r>
        <w:rPr>
          <w:sz w:val="20"/>
          <w:szCs w:val="20"/>
          <w:rtl/>
        </w:rPr>
        <w:t>(יחזקאל א יב)</w:t>
      </w:r>
      <w:r>
        <w:rPr>
          <w:rtl/>
        </w:rPr>
        <w:t xml:space="preserve"> אֶל אֲשֶׁר יִהְיֶה שָׁמָּה הָרוּחַ לָלֶכֶת יֵלֵכוּ, </w:t>
      </w:r>
      <w:r>
        <w:rPr>
          <w:rStyle w:val="a7"/>
          <w:rFonts w:hAnsi="Arial"/>
          <w:b w:val="0"/>
          <w:bCs w:val="0"/>
          <w:rtl/>
          <w:lang w:eastAsia="en-US"/>
        </w:rPr>
        <w:footnoteReference w:id="2880"/>
      </w:r>
      <w:r>
        <w:rPr>
          <w:rtl/>
        </w:rPr>
        <w:t>דִּסְפִינָה אִיהִי רֵישָׁא וְאִיהִי לִבָּא וְאִיהִי גוּפָא.</w:t>
      </w:r>
    </w:p>
    <w:p w:rsidR="002D629A" w:rsidRDefault="002D629A" w:rsidP="00B17EA9">
      <w:pPr>
        <w:pStyle w:val="NormalWeb"/>
        <w:rPr>
          <w:rtl/>
        </w:rPr>
      </w:pPr>
      <w:r>
        <w:rPr>
          <w:rStyle w:val="a7"/>
          <w:rFonts w:hAnsi="Arial"/>
          <w:b w:val="0"/>
          <w:bCs w:val="0"/>
          <w:rtl/>
          <w:lang w:eastAsia="en-US"/>
        </w:rPr>
        <w:footnoteReference w:id="2881"/>
      </w:r>
      <w:r>
        <w:rPr>
          <w:rtl/>
        </w:rPr>
        <w:t xml:space="preserve">וְאִם אֵבָרִין דְּגוּפָא דְאִינוּן מָארֵי סְפִינָה </w:t>
      </w:r>
      <w:r>
        <w:rPr>
          <w:rStyle w:val="a7"/>
          <w:rFonts w:hAnsi="Arial"/>
          <w:b w:val="0"/>
          <w:bCs w:val="0"/>
          <w:rtl/>
          <w:lang w:eastAsia="en-US"/>
        </w:rPr>
        <w:footnoteReference w:id="2882"/>
      </w:r>
      <w:r>
        <w:rPr>
          <w:rtl/>
        </w:rPr>
        <w:t xml:space="preserve">דְאִינוּן עַמָּא קַדִּישָׁא, לָא מִתְנַהֲגִין </w:t>
      </w:r>
      <w:r>
        <w:rPr>
          <w:rStyle w:val="a7"/>
          <w:rFonts w:hAnsi="Arial"/>
          <w:b w:val="0"/>
          <w:bCs w:val="0"/>
          <w:rtl/>
          <w:lang w:eastAsia="en-US"/>
        </w:rPr>
        <w:footnoteReference w:id="2883"/>
      </w:r>
      <w:r>
        <w:rPr>
          <w:rtl/>
        </w:rPr>
        <w:t xml:space="preserve">בְּאוֹרַיְיתָא דְאִיהִי נִשְׁמָתָא וּבְמִצְוָה דְאִיהִי נַפְשָׁא, </w:t>
      </w:r>
      <w:r>
        <w:rPr>
          <w:rStyle w:val="a7"/>
          <w:rFonts w:hAnsi="Arial"/>
          <w:b w:val="0"/>
          <w:bCs w:val="0"/>
          <w:rtl/>
          <w:lang w:eastAsia="en-US"/>
        </w:rPr>
        <w:footnoteReference w:id="2884"/>
      </w:r>
      <w:r>
        <w:rPr>
          <w:rtl/>
        </w:rPr>
        <w:t xml:space="preserve">פָּרַח רוּחָא מִבֵּינַיְיהוּ, </w:t>
      </w:r>
      <w:r>
        <w:rPr>
          <w:rStyle w:val="a7"/>
          <w:rFonts w:hAnsi="Arial"/>
          <w:b w:val="0"/>
          <w:bCs w:val="0"/>
          <w:rtl/>
          <w:lang w:eastAsia="en-US"/>
        </w:rPr>
        <w:footnoteReference w:id="2885"/>
      </w:r>
      <w:r>
        <w:rPr>
          <w:rtl/>
        </w:rPr>
        <w:t xml:space="preserve">בְּהַהוּא זִמְנָא </w:t>
      </w:r>
      <w:r>
        <w:rPr>
          <w:sz w:val="20"/>
          <w:szCs w:val="20"/>
          <w:rtl/>
        </w:rPr>
        <w:t>(יונה א ד)</w:t>
      </w:r>
      <w:r>
        <w:rPr>
          <w:rtl/>
        </w:rPr>
        <w:t xml:space="preserve"> וַיהו''ה הֵטִיל רוּחַ גְּדוֹלָה אֶל הַיָּם, דְּאִיהִי רוּחַ סְעָרָה, דְאִיהִי גְזֵרַת דִּינָא קַשְׁיָא, </w:t>
      </w:r>
      <w:r>
        <w:rPr>
          <w:rStyle w:val="a7"/>
          <w:rFonts w:hAnsi="Arial"/>
          <w:b w:val="0"/>
          <w:bCs w:val="0"/>
          <w:rtl/>
          <w:lang w:eastAsia="en-US"/>
        </w:rPr>
        <w:footnoteReference w:id="2886"/>
      </w:r>
      <w:r>
        <w:rPr>
          <w:rtl/>
        </w:rPr>
        <w:t>דִסְעָרָה גוּפֵיהּ דְּבַר נַשׁ דְּאִינוּן יִשְׂרָאֵל, וְיִשְׂרָאֵל אִינוּן בִּסְעָרָה, וְהָאֳנִיָּה דְאִיהִי גוּפָא חִשְּׁבָה לְהִשָּׁבֵר.</w:t>
      </w:r>
    </w:p>
    <w:p w:rsidR="002D629A" w:rsidRDefault="002D629A" w:rsidP="00B17EA9">
      <w:pPr>
        <w:pStyle w:val="NormalWeb"/>
        <w:rPr>
          <w:rtl/>
        </w:rPr>
      </w:pPr>
      <w:r>
        <w:rPr>
          <w:rtl/>
        </w:rPr>
        <w:t xml:space="preserve">בֵּיהּ זִמְנָא וְיוֹנָה יָרַד אֶל יַרְכְּתֵי הַסְּפִינָה </w:t>
      </w:r>
      <w:r>
        <w:rPr>
          <w:sz w:val="20"/>
          <w:szCs w:val="20"/>
          <w:rtl/>
        </w:rPr>
        <w:t>(שם ה)</w:t>
      </w:r>
      <w:r>
        <w:rPr>
          <w:rtl/>
        </w:rPr>
        <w:t xml:space="preserve"> דָא שְׁכִינְתָּא תַּתָּאָה, דְּאִתְּמַר בָּהּ </w:t>
      </w:r>
      <w:r>
        <w:rPr>
          <w:sz w:val="20"/>
          <w:szCs w:val="20"/>
          <w:rtl/>
        </w:rPr>
        <w:t>(רות ג ז)</w:t>
      </w:r>
      <w:r>
        <w:rPr>
          <w:rtl/>
        </w:rPr>
        <w:t xml:space="preserve"> וַתְּגַל מַרְגְּלוֹתָיו וַתִּשְׁכָּב, שְׁכִיבַת לְעַפְרָא, וְדָא אִיהוּ </w:t>
      </w:r>
      <w:r>
        <w:rPr>
          <w:sz w:val="20"/>
          <w:szCs w:val="20"/>
          <w:rtl/>
        </w:rPr>
        <w:t>(יונה א ה)</w:t>
      </w:r>
      <w:r>
        <w:rPr>
          <w:rtl/>
        </w:rPr>
        <w:t xml:space="preserve"> וַיִּשְׁכַּב וַיֵּרָדַּם, וְאַמַּאי נָפְלַת, בְּגִין דְּפָרַח מִינָהּ רוּחָא דְאִיהוּ עַמּוּדָא דְאֶמְצָעִיתָא דְסָמִיךְ לָהּ, וְאִיהִי נָפְלַת, וּבְהַהוּא זִמְנָא אִתְּמַר בָּהּ </w:t>
      </w:r>
      <w:r>
        <w:rPr>
          <w:sz w:val="20"/>
          <w:szCs w:val="20"/>
          <w:rtl/>
        </w:rPr>
        <w:t>(איכה א א)</w:t>
      </w:r>
      <w:r>
        <w:rPr>
          <w:rtl/>
        </w:rPr>
        <w:t xml:space="preserve"> אֵיכָה יָשְׁבָה בָדָד, וּמָאן גָּרִים נְחִיתוּ דִילָהּ, בְּגִין דִּבְטִילוּ יִשְׂרָאֵל אוֹרַיְיתָא וּמִצְוָה, בְּהַהוּא זִמְנָא דְאִיהִי נָחֲתַת בֵּין רַגְלִין, יִשְׂרָאֵל בְּנָהָא אִינוּן מְהוּדָקִין בֵּין רַגְלִין, וְאִינוּן בְּמַרְעִין בְּמַכְתָּשִׁין, בְּהַהוּא זִמְנָא דְגוּפָא בְּבֵי מַרְעִין דְּאִינוּן יִשְׂרָאֵל, וּשְׁכִינְתָּא עִמְּהוֹן דְּאִיהִי יוֹנָה, מַה כְּתִיב בֵּיהּ </w:t>
      </w:r>
      <w:r>
        <w:rPr>
          <w:sz w:val="20"/>
          <w:szCs w:val="20"/>
          <w:rtl/>
        </w:rPr>
        <w:t>(יונה א ו)</w:t>
      </w:r>
      <w:r>
        <w:rPr>
          <w:rtl/>
        </w:rPr>
        <w:t xml:space="preserve"> וַיִּקְרַב אֵלָיו רַב הַחוֹבֵל, הַהוּא דְחָבִיל בִּשְׂרָא בְּבֵי מַרְעָא.</w:t>
      </w:r>
    </w:p>
    <w:p w:rsidR="002D629A" w:rsidRDefault="002D629A" w:rsidP="00B17EA9">
      <w:pPr>
        <w:pStyle w:val="aa"/>
        <w:rPr>
          <w:rtl/>
        </w:rPr>
      </w:pPr>
      <w:r>
        <w:rPr>
          <w:rtl/>
        </w:rPr>
        <w:t xml:space="preserve">[תיקוני זוהר - דף מו ע''א] </w:t>
      </w:r>
    </w:p>
    <w:p w:rsidR="002D629A" w:rsidRDefault="002D629A" w:rsidP="00B17EA9">
      <w:pPr>
        <w:pStyle w:val="NormalWeb"/>
        <w:rPr>
          <w:rtl/>
        </w:rPr>
      </w:pPr>
      <w:r>
        <w:rPr>
          <w:rStyle w:val="a7"/>
          <w:rFonts w:hAnsi="Arial"/>
          <w:b w:val="0"/>
          <w:bCs w:val="0"/>
          <w:rtl/>
          <w:lang w:eastAsia="en-US"/>
        </w:rPr>
        <w:footnoteReference w:id="2887"/>
      </w:r>
      <w:r>
        <w:rPr>
          <w:rtl/>
        </w:rPr>
        <w:t xml:space="preserve">וְעוֹד מָאן רַב הַחוֹבֵל הַהוּא דְאִתְּמַר בֵּיהּ </w:t>
      </w:r>
      <w:r>
        <w:rPr>
          <w:sz w:val="20"/>
          <w:szCs w:val="20"/>
          <w:rtl/>
        </w:rPr>
        <w:t>(שמות כב כה)</w:t>
      </w:r>
      <w:r>
        <w:rPr>
          <w:rtl/>
        </w:rPr>
        <w:t xml:space="preserve"> </w:t>
      </w:r>
      <w:r>
        <w:rPr>
          <w:rStyle w:val="a7"/>
          <w:rFonts w:hAnsi="Arial"/>
          <w:b w:val="0"/>
          <w:bCs w:val="0"/>
          <w:rtl/>
          <w:lang w:eastAsia="en-US"/>
        </w:rPr>
        <w:footnoteReference w:id="2888"/>
      </w:r>
      <w:r>
        <w:rPr>
          <w:rtl/>
        </w:rPr>
        <w:t xml:space="preserve">אִם חָבוֹל תַּחְבּוֹל שַׂלְמַת רֵעֶךָ, חָבוֹל בְּבַיִת רִאשׁוֹן, תַּחְבּוֹל בְּבַיִת שֵׁנִי, </w:t>
      </w:r>
      <w:r>
        <w:rPr>
          <w:rStyle w:val="a7"/>
          <w:rFonts w:hAnsi="Arial"/>
          <w:b w:val="0"/>
          <w:bCs w:val="0"/>
          <w:rtl/>
          <w:lang w:eastAsia="en-US"/>
        </w:rPr>
        <w:footnoteReference w:id="2889"/>
      </w:r>
      <w:r>
        <w:rPr>
          <w:rtl/>
        </w:rPr>
        <w:t xml:space="preserve">וְאִיהוּ רַב דְּכָל מַנְהִיגֵי סְפִינָה, וּמָה אָמַר לֵיהּ </w:t>
      </w:r>
      <w:r>
        <w:rPr>
          <w:sz w:val="20"/>
          <w:szCs w:val="20"/>
          <w:rtl/>
        </w:rPr>
        <w:t>(יונה א ו)</w:t>
      </w:r>
      <w:r>
        <w:rPr>
          <w:rtl/>
        </w:rPr>
        <w:t xml:space="preserve"> קוּם קְרָא אֶל אלהי''ך, דְּהָא דִינִין קָא אַתְיָין עֲלָךְ וְעַל בְּנָיִךְ, הָא מָארֵי דְחוֹבִין מִתְכַּנְשִׁין, </w:t>
      </w:r>
      <w:r>
        <w:rPr>
          <w:rStyle w:val="a7"/>
          <w:rFonts w:hAnsi="Arial"/>
          <w:b w:val="0"/>
          <w:bCs w:val="0"/>
          <w:rtl/>
          <w:lang w:eastAsia="en-US"/>
        </w:rPr>
        <w:footnoteReference w:id="2890"/>
      </w:r>
      <w:r>
        <w:rPr>
          <w:rtl/>
        </w:rPr>
        <w:t xml:space="preserve">דְּאִינוּן סַחֲרִין לִסְפִינָה דִילָךְ דְּאִינוּן רוּחִין בִּישִׁין, </w:t>
      </w:r>
      <w:r>
        <w:rPr>
          <w:rStyle w:val="a7"/>
          <w:rFonts w:hAnsi="Arial"/>
          <w:b w:val="0"/>
          <w:bCs w:val="0"/>
          <w:rtl/>
          <w:lang w:eastAsia="en-US"/>
        </w:rPr>
        <w:footnoteReference w:id="2891"/>
      </w:r>
      <w:r>
        <w:rPr>
          <w:rtl/>
        </w:rPr>
        <w:t xml:space="preserve">אִסְתַּכַּל בְּזַכְוָון דִּילָךְ, </w:t>
      </w:r>
      <w:r>
        <w:rPr>
          <w:rStyle w:val="a7"/>
          <w:rFonts w:hAnsi="Arial"/>
          <w:b w:val="0"/>
          <w:bCs w:val="0"/>
          <w:rtl/>
          <w:lang w:eastAsia="en-US"/>
        </w:rPr>
        <w:footnoteReference w:id="2892"/>
      </w:r>
      <w:r>
        <w:rPr>
          <w:rtl/>
        </w:rPr>
        <w:t xml:space="preserve">בְּאִלֵּין אֵבָרִים דְּיִשְׁתַּדְלוּן בְּאוֹרַיְיתָא וּבְפִקּוּדִין טָבִין, וְיַחֲזִירוּן שְׁכִינְתָּא עִלָּאָה דְאִיהִי תְּיוּבְתָּא עֲלָךְ, </w:t>
      </w:r>
      <w:r>
        <w:rPr>
          <w:rStyle w:val="a7"/>
          <w:rFonts w:hAnsi="Arial"/>
          <w:b w:val="0"/>
          <w:bCs w:val="0"/>
          <w:rtl/>
          <w:lang w:eastAsia="en-US"/>
        </w:rPr>
        <w:footnoteReference w:id="2893"/>
      </w:r>
      <w:r>
        <w:rPr>
          <w:rtl/>
        </w:rPr>
        <w:t xml:space="preserve">וְאִיהִי אֲגִינַת עֲלָךְ, דַּעֲלָהּ אִתְּמַר </w:t>
      </w:r>
      <w:r>
        <w:rPr>
          <w:sz w:val="20"/>
          <w:szCs w:val="20"/>
          <w:rtl/>
        </w:rPr>
        <w:t>(דברים לב יא)</w:t>
      </w:r>
      <w:r>
        <w:rPr>
          <w:rtl/>
        </w:rPr>
        <w:t xml:space="preserve"> כְּנֶשֶׁר יָעִיר קִנּוֹ </w:t>
      </w:r>
      <w:r>
        <w:rPr>
          <w:rStyle w:val="a7"/>
          <w:rFonts w:hAnsi="Arial"/>
          <w:b w:val="0"/>
          <w:bCs w:val="0"/>
          <w:rtl/>
          <w:lang w:eastAsia="en-US"/>
        </w:rPr>
        <w:footnoteReference w:id="2894"/>
      </w:r>
      <w:r>
        <w:rPr>
          <w:rtl/>
        </w:rPr>
        <w:t xml:space="preserve">דָּא יְרוּשָׁלֵם, עַל גּוֹזָלָיו יְרַחֵף </w:t>
      </w:r>
      <w:r>
        <w:rPr>
          <w:sz w:val="20"/>
          <w:szCs w:val="20"/>
          <w:rtl/>
        </w:rPr>
        <w:t>(שם)</w:t>
      </w:r>
      <w:r>
        <w:rPr>
          <w:rtl/>
        </w:rPr>
        <w:t xml:space="preserve"> </w:t>
      </w:r>
      <w:r>
        <w:rPr>
          <w:rStyle w:val="a7"/>
          <w:rFonts w:hAnsi="Arial"/>
          <w:b w:val="0"/>
          <w:bCs w:val="0"/>
          <w:rtl/>
          <w:lang w:eastAsia="en-US"/>
        </w:rPr>
        <w:footnoteReference w:id="2895"/>
      </w:r>
      <w:r>
        <w:rPr>
          <w:rtl/>
        </w:rPr>
        <w:t xml:space="preserve">דְּאִינוּן יִשְׂרָאֵל, יִפְרוֹשׂ כְּנָפָיו עֲלַיְיהוּ </w:t>
      </w:r>
      <w:r>
        <w:rPr>
          <w:rStyle w:val="a7"/>
          <w:rFonts w:hAnsi="Arial"/>
          <w:b w:val="0"/>
          <w:bCs w:val="0"/>
          <w:rtl/>
          <w:lang w:eastAsia="en-US"/>
        </w:rPr>
        <w:footnoteReference w:id="2896"/>
      </w:r>
      <w:r>
        <w:rPr>
          <w:rtl/>
        </w:rPr>
        <w:t xml:space="preserve">בְּשַׁבַּתָּא וְיֹמִין טָבִין, וּבְגִינָהּ מְבָרְכִין בְּהוֹן בָּרוּךְ אַתָּה יהו''ה הַפּוֹרֵס </w:t>
      </w:r>
      <w:r>
        <w:rPr>
          <w:rStyle w:val="a7"/>
          <w:rFonts w:hAnsi="Arial"/>
          <w:b w:val="0"/>
          <w:bCs w:val="0"/>
          <w:rtl/>
          <w:lang w:eastAsia="en-US"/>
        </w:rPr>
        <w:footnoteReference w:id="2897"/>
      </w:r>
      <w:r>
        <w:rPr>
          <w:rtl/>
        </w:rPr>
        <w:t xml:space="preserve">סֻכַּת שָׁלוֹם, וּבְזִמְנָא דִפְּרִישַׁת גַּדְפָהָא עַל יִשְׂרָאֵל אִתְּמַר </w:t>
      </w:r>
      <w:r>
        <w:rPr>
          <w:sz w:val="20"/>
          <w:szCs w:val="20"/>
          <w:rtl/>
        </w:rPr>
        <w:t>(דברים לב יא)</w:t>
      </w:r>
      <w:r>
        <w:rPr>
          <w:rtl/>
        </w:rPr>
        <w:t xml:space="preserve"> יִקָּחֵהוּ יִשָּׂאֵהוּ עַל אֶבְרָתוֹ, כְּמָה דְאוּקְמוּהוּ </w:t>
      </w:r>
      <w:r>
        <w:rPr>
          <w:sz w:val="20"/>
          <w:szCs w:val="20"/>
          <w:rtl/>
        </w:rPr>
        <w:t>(שמות יט ד)</w:t>
      </w:r>
      <w:r>
        <w:rPr>
          <w:rtl/>
        </w:rPr>
        <w:t xml:space="preserve"> וָאֶשָּׂא אֶתְכֶם עַל כַּנְפֵי נְשָׁרִים וכו', וּבְגִין דָּא קוּם קְרָא אֶל אלהי''ך דְאִיהִי שְׁכִינְתָּא עִלָּאָה, דְאִיהִי תְיוּבְתָּא דִילָךְ, </w:t>
      </w:r>
      <w:r>
        <w:rPr>
          <w:rStyle w:val="a7"/>
          <w:rFonts w:hAnsi="Arial"/>
          <w:b w:val="0"/>
          <w:bCs w:val="0"/>
          <w:rtl/>
          <w:lang w:eastAsia="en-US"/>
        </w:rPr>
        <w:footnoteReference w:id="2898"/>
      </w:r>
      <w:r>
        <w:rPr>
          <w:rtl/>
        </w:rPr>
        <w:t xml:space="preserve">וְתוּב בָּהּ לְמָארָךְ דְּאִיהוּ קוּדְשָׁא בְּרִיךְ הוּא, </w:t>
      </w:r>
      <w:r>
        <w:rPr>
          <w:rStyle w:val="a7"/>
          <w:rFonts w:hAnsi="Arial"/>
          <w:b w:val="0"/>
          <w:bCs w:val="0"/>
          <w:rtl/>
          <w:lang w:eastAsia="en-US"/>
        </w:rPr>
        <w:footnoteReference w:id="2899"/>
      </w:r>
      <w:r>
        <w:rPr>
          <w:rtl/>
        </w:rPr>
        <w:t xml:space="preserve">אִסְתַּכַּל דְּשִׁפְחָה בִּישָׁא שָׁלְטָא עֲלָךְ </w:t>
      </w:r>
      <w:r>
        <w:rPr>
          <w:rStyle w:val="a7"/>
          <w:rFonts w:hAnsi="Arial"/>
          <w:b w:val="0"/>
          <w:bCs w:val="0"/>
          <w:rtl/>
          <w:lang w:eastAsia="en-US"/>
        </w:rPr>
        <w:footnoteReference w:id="2900"/>
      </w:r>
      <w:r>
        <w:rPr>
          <w:rtl/>
        </w:rPr>
        <w:t xml:space="preserve">דְּאִיהִי טִפָּה סְרוּחָה, </w:t>
      </w:r>
      <w:r>
        <w:rPr>
          <w:rStyle w:val="a7"/>
          <w:rFonts w:hAnsi="Arial"/>
          <w:b w:val="0"/>
          <w:bCs w:val="0"/>
          <w:rtl/>
          <w:lang w:eastAsia="en-US"/>
        </w:rPr>
        <w:footnoteReference w:id="2901"/>
      </w:r>
      <w:r>
        <w:rPr>
          <w:rtl/>
        </w:rPr>
        <w:t xml:space="preserve">וַעֲלָהּ אִתְּמַר </w:t>
      </w:r>
      <w:r>
        <w:rPr>
          <w:sz w:val="20"/>
          <w:szCs w:val="20"/>
          <w:rtl/>
        </w:rPr>
        <w:t>(איוב א ז)</w:t>
      </w:r>
      <w:r>
        <w:rPr>
          <w:rtl/>
        </w:rPr>
        <w:t xml:space="preserve"> וַיֹּאמֶר יהו''ה אֶל הַשָּׂטָן מֵאַיִן תָּבֹא, דְּכָל חוֹבִין אִינוּן מֵאֵבָרִין דְּטִפָּה סְרוּחָה, דִּבְגִינָהּ אִתְּמַר לְגַבֵּי חַיָּיבַיָּא מֵאַיִן בָּאתָ מִטִּפָּה סְרוּחָה, וַיַּחְתְּרוּ </w:t>
      </w:r>
      <w:r>
        <w:rPr>
          <w:sz w:val="20"/>
          <w:szCs w:val="20"/>
          <w:rtl/>
        </w:rPr>
        <w:t xml:space="preserve">(דף מו ע''א) </w:t>
      </w:r>
      <w:r>
        <w:rPr>
          <w:rtl/>
        </w:rPr>
        <w:t xml:space="preserve">הָאֲנָשִׁים לְהָשִׁיב אֶל הַיַּבָּשָׁה </w:t>
      </w:r>
      <w:r>
        <w:rPr>
          <w:sz w:val="20"/>
          <w:szCs w:val="20"/>
          <w:rtl/>
        </w:rPr>
        <w:t>(יונה א יג)</w:t>
      </w:r>
      <w:r>
        <w:rPr>
          <w:rtl/>
        </w:rPr>
        <w:t xml:space="preserve"> בְּתִיּוּבְתָּא, וְלֹא יָכוֹלוּ </w:t>
      </w:r>
      <w:r>
        <w:rPr>
          <w:rStyle w:val="a7"/>
          <w:rFonts w:hAnsi="Arial"/>
          <w:b w:val="0"/>
          <w:bCs w:val="0"/>
          <w:rtl/>
          <w:lang w:eastAsia="en-US"/>
        </w:rPr>
        <w:footnoteReference w:id="2902"/>
      </w:r>
      <w:r>
        <w:rPr>
          <w:rtl/>
        </w:rPr>
        <w:t>כִּי הַיָּם, דְּאִיהוּ גְזֵרַת דִּינָא, הוֹלֵךְ וְסוֹעִר עֲלֵיהֶם.</w:t>
      </w:r>
    </w:p>
    <w:p w:rsidR="002D629A" w:rsidRDefault="002D629A" w:rsidP="00B17EA9">
      <w:pPr>
        <w:pStyle w:val="NormalWeb"/>
        <w:rPr>
          <w:rtl/>
        </w:rPr>
      </w:pPr>
      <w:r>
        <w:rPr>
          <w:rtl/>
        </w:rPr>
        <w:t xml:space="preserve">בְּהַהוּא זִמְנָא וַיְמַן יהו''ה דָּג גָּדוֹל לִבְלוֹעַ אֶת יוֹנָה </w:t>
      </w:r>
      <w:r>
        <w:rPr>
          <w:sz w:val="20"/>
          <w:szCs w:val="20"/>
          <w:rtl/>
        </w:rPr>
        <w:t>(שם ב א)</w:t>
      </w:r>
      <w:r>
        <w:rPr>
          <w:rtl/>
        </w:rPr>
        <w:t xml:space="preserve">, </w:t>
      </w:r>
      <w:r>
        <w:rPr>
          <w:rStyle w:val="a7"/>
          <w:rFonts w:hAnsi="Arial"/>
          <w:b w:val="0"/>
          <w:bCs w:val="0"/>
          <w:rtl/>
          <w:lang w:eastAsia="en-US"/>
        </w:rPr>
        <w:footnoteReference w:id="2903"/>
      </w:r>
      <w:r>
        <w:rPr>
          <w:rtl/>
        </w:rPr>
        <w:t xml:space="preserve">דָא גָלוּתָא קַדְמָאָה, דְּאִתְּמַר בֵּיהּ וְיוֹנָה יָרַד </w:t>
      </w:r>
      <w:r>
        <w:rPr>
          <w:rStyle w:val="a7"/>
          <w:rFonts w:hAnsi="Arial"/>
          <w:b w:val="0"/>
          <w:bCs w:val="0"/>
          <w:rtl/>
          <w:lang w:eastAsia="en-US"/>
        </w:rPr>
        <w:footnoteReference w:id="2904"/>
      </w:r>
      <w:r>
        <w:rPr>
          <w:rtl/>
        </w:rPr>
        <w:t xml:space="preserve">אֶל יַרְכְּתֵי הַסְּפִינָה, </w:t>
      </w:r>
      <w:r>
        <w:rPr>
          <w:rStyle w:val="a7"/>
          <w:rFonts w:hAnsi="Arial"/>
          <w:b w:val="0"/>
          <w:bCs w:val="0"/>
          <w:rtl/>
          <w:lang w:eastAsia="en-US"/>
        </w:rPr>
        <w:footnoteReference w:id="2905"/>
      </w:r>
      <w:r>
        <w:rPr>
          <w:rtl/>
        </w:rPr>
        <w:t xml:space="preserve">וְדָא הוּא </w:t>
      </w:r>
      <w:r>
        <w:rPr>
          <w:sz w:val="20"/>
          <w:szCs w:val="20"/>
          <w:rtl/>
        </w:rPr>
        <w:t>(בראשית מו ד)</w:t>
      </w:r>
      <w:r>
        <w:rPr>
          <w:rtl/>
        </w:rPr>
        <w:t xml:space="preserve"> אָנֹכִי אֵרֵד עִמְּךָ מִצְרַיְמָה, כְּמָה דְאוּקְמוּהוּ בְּכָל אֲתַר דְּגָלוּ יִשְׂרָאֵל שְׁכִינְתָּא עִמְּהוֹן, קִלְקְלוּ יִשְׂרָאֵל עוֹבְדֵיהוֹן, בֵּיהּ זִמְנָא אִתְּמַר בְּהוֹן </w:t>
      </w:r>
      <w:r>
        <w:rPr>
          <w:sz w:val="20"/>
          <w:szCs w:val="20"/>
          <w:rtl/>
        </w:rPr>
        <w:t>(שמות א ח)</w:t>
      </w:r>
      <w:r>
        <w:rPr>
          <w:rtl/>
        </w:rPr>
        <w:t xml:space="preserve"> וַיָּקָם מֶלֶךְ חָדָשׁ עַל מִצְרָיִם, וְדָא פַּרְעֹה, עֲלֵיהּ אִתְּמַר וַיְמַן יהו''ה דָּג גָּדוֹל לִבְלוֹעַ אֶת יוֹנָה, דְּבָעָא לְבַטְלָא יִשְׂרָאֵל מֵעָלְמָא, הֲדָא הוּא דִכְתִיב </w:t>
      </w:r>
      <w:r>
        <w:rPr>
          <w:sz w:val="20"/>
          <w:szCs w:val="20"/>
          <w:rtl/>
        </w:rPr>
        <w:t>(שם כב)</w:t>
      </w:r>
      <w:r>
        <w:rPr>
          <w:rtl/>
        </w:rPr>
        <w:t xml:space="preserve"> כָּל הַבֵּן הַיִּלּוֹד הַיְאוֹרָה תַּשְׁלִיכוּהוּ, לְקִבְּלֵיהּ וַיְמַן יהו''ה דָּג גָּדוֹל לִבְלוֹעַ אֶת יוֹנָה, לְקַטְלֵיהּ, לִבְלוֹעַ יוֹנָה לָא כְּתִיב, אֶלָּא לִבְלוֹעַ אֶת יוֹנָה, אֶת אָתָא לְרַבּוֹת רַעְיָא מְהֵימְנָא דְעָתִיד לְאִתְיַיהֲבָא אוֹרַיְיתָא עַל יְדֵיהּ, דְּאִיהִי מֵאַלֶּ''ף וְעַד תָּי''ו, </w:t>
      </w:r>
      <w:r>
        <w:rPr>
          <w:rStyle w:val="a7"/>
          <w:rFonts w:hAnsi="Arial"/>
          <w:b w:val="0"/>
          <w:bCs w:val="0"/>
          <w:rtl/>
          <w:lang w:eastAsia="en-US"/>
        </w:rPr>
        <w:footnoteReference w:id="2906"/>
      </w:r>
      <w:r>
        <w:rPr>
          <w:rtl/>
        </w:rPr>
        <w:t xml:space="preserve">כָּל אִלֵּין גִּלְגּוּלִין עַל יְדֵיהּ הֲווֹ, וְדָא אִיהוּ דָּג גָּדוֹל, דְּאִתְּמַר בֵּיהּ </w:t>
      </w:r>
      <w:r>
        <w:rPr>
          <w:sz w:val="20"/>
          <w:szCs w:val="20"/>
          <w:rtl/>
        </w:rPr>
        <w:t>(יחזקאל כט ג)</w:t>
      </w:r>
      <w:r>
        <w:rPr>
          <w:rtl/>
        </w:rPr>
        <w:t xml:space="preserve"> הַתַּנִּין הַגָּדוֹל, </w:t>
      </w:r>
      <w:r>
        <w:rPr>
          <w:rStyle w:val="a7"/>
          <w:rFonts w:hAnsi="Arial"/>
          <w:b w:val="0"/>
          <w:bCs w:val="0"/>
          <w:rtl/>
          <w:lang w:eastAsia="en-US"/>
        </w:rPr>
        <w:footnoteReference w:id="2907"/>
      </w:r>
      <w:r>
        <w:rPr>
          <w:rtl/>
        </w:rPr>
        <w:t xml:space="preserve">אִיהוּ דָּג, וּמִצְרָיִם בַת זוּגֵיהּ דָּגָה, </w:t>
      </w:r>
      <w:r>
        <w:rPr>
          <w:sz w:val="20"/>
          <w:szCs w:val="20"/>
          <w:rtl/>
        </w:rPr>
        <w:t>(יונה ב ב)</w:t>
      </w:r>
      <w:r>
        <w:rPr>
          <w:rtl/>
        </w:rPr>
        <w:t xml:space="preserve"> וַיִּתְפַּלֵּל יוֹנָה אֶל יהו''ה אֱלֹהָי''ו מִמְּעִי הַדָּגָה, מָאן מְעִי הַדָּגָה אִלֵּין מִצְרָאֵי.</w:t>
      </w:r>
    </w:p>
    <w:p w:rsidR="002D629A" w:rsidRDefault="002D629A" w:rsidP="00B17EA9">
      <w:pPr>
        <w:pStyle w:val="NormalWeb"/>
        <w:rPr>
          <w:rtl/>
        </w:rPr>
      </w:pPr>
      <w:r>
        <w:rPr>
          <w:rtl/>
        </w:rPr>
        <w:t xml:space="preserve">וְעוֹד וַיְמַן יהו''ה </w:t>
      </w:r>
      <w:r>
        <w:rPr>
          <w:rStyle w:val="a7"/>
          <w:rFonts w:hAnsi="Arial"/>
          <w:b w:val="0"/>
          <w:bCs w:val="0"/>
          <w:rtl/>
          <w:lang w:eastAsia="en-US"/>
        </w:rPr>
        <w:footnoteReference w:id="2908"/>
      </w:r>
      <w:r>
        <w:rPr>
          <w:rtl/>
        </w:rPr>
        <w:t xml:space="preserve">דָּג גָּדוֹל דָּא סמא''ל, דָּגָה דָּא לִילִית נָחָשׁ בַת זוּגֵיהּ, מֵהַהוּא רַב הַחוֹבֵל דְּאִיהוּ עִרֶב רַב דְּאִתְּמַר בֵּיהּ </w:t>
      </w:r>
      <w:r>
        <w:rPr>
          <w:sz w:val="20"/>
          <w:szCs w:val="20"/>
          <w:rtl/>
        </w:rPr>
        <w:t>(שמות יב לח)</w:t>
      </w:r>
      <w:r>
        <w:rPr>
          <w:rtl/>
        </w:rPr>
        <w:t xml:space="preserve"> וְגַם עִרֶב רַב וכו'. </w:t>
      </w:r>
      <w:r>
        <w:rPr>
          <w:rStyle w:val="a7"/>
          <w:rFonts w:hAnsi="Arial"/>
          <w:b w:val="0"/>
          <w:bCs w:val="0"/>
          <w:rtl/>
          <w:lang w:eastAsia="en-US"/>
        </w:rPr>
        <w:footnoteReference w:id="2909"/>
      </w:r>
      <w:r>
        <w:rPr>
          <w:rtl/>
        </w:rPr>
        <w:t xml:space="preserve">וּטְחוֹל אִיהוּ שְׂחוֹק הַכְּסִיל, לִבְלוֹעַ אֶת יוֹנָה דָא נַפְשָׁא, מִסִּטְרָא דִילֵיהּ </w:t>
      </w:r>
      <w:r>
        <w:rPr>
          <w:sz w:val="20"/>
          <w:szCs w:val="20"/>
          <w:rtl/>
        </w:rPr>
        <w:t>(שמות ו ט)</w:t>
      </w:r>
      <w:r>
        <w:rPr>
          <w:rtl/>
        </w:rPr>
        <w:t xml:space="preserve"> וְלֹא שָׁמְעוּ אֶל מֹשֶׁה מִקֹּצֶר רוּחַ, וּמֵעֲבוֹדָה קָשָׁה מִסִּטְרָא דְכָבֵד דְּאִתְּמַר בֵּיהּ </w:t>
      </w:r>
      <w:r>
        <w:rPr>
          <w:sz w:val="20"/>
          <w:szCs w:val="20"/>
          <w:rtl/>
        </w:rPr>
        <w:t>(שם ז יד)</w:t>
      </w:r>
      <w:r>
        <w:rPr>
          <w:rtl/>
        </w:rPr>
        <w:t xml:space="preserve"> </w:t>
      </w:r>
      <w:r>
        <w:rPr>
          <w:rStyle w:val="Char"/>
          <w:rtl/>
          <w:lang w:eastAsia="en-US"/>
        </w:rPr>
        <w:t>כָּבֵד לֵב פַּרְעֹה, תִּכְבַּד הָעֲבוֹדָה</w:t>
      </w:r>
      <w:r>
        <w:rPr>
          <w:rtl/>
        </w:rPr>
        <w:t xml:space="preserve"> </w:t>
      </w:r>
      <w:r>
        <w:rPr>
          <w:sz w:val="20"/>
          <w:szCs w:val="20"/>
          <w:rtl/>
        </w:rPr>
        <w:t>(שם ה ט)</w:t>
      </w:r>
      <w:r>
        <w:rPr>
          <w:rtl/>
        </w:rPr>
        <w:t xml:space="preserve">, עֲלֵיהּ אִתְּמַר </w:t>
      </w:r>
      <w:r>
        <w:rPr>
          <w:sz w:val="20"/>
          <w:szCs w:val="20"/>
          <w:rtl/>
        </w:rPr>
        <w:t>(קהלת ז ט)</w:t>
      </w:r>
      <w:r>
        <w:rPr>
          <w:rtl/>
        </w:rPr>
        <w:t xml:space="preserve"> כִּי כַּעַס בְּחֵיק כְּסִילִים יָנוּחַ, </w:t>
      </w:r>
      <w:r>
        <w:rPr>
          <w:rStyle w:val="Char"/>
          <w:rtl/>
          <w:lang w:eastAsia="en-US"/>
        </w:rPr>
        <w:t>מִסִּטְרָא דְמָרָה</w:t>
      </w:r>
      <w:r>
        <w:rPr>
          <w:rtl/>
        </w:rPr>
        <w:t xml:space="preserve"> </w:t>
      </w:r>
      <w:r>
        <w:rPr>
          <w:sz w:val="20"/>
          <w:szCs w:val="20"/>
          <w:rtl/>
        </w:rPr>
        <w:t>(שם א יד)</w:t>
      </w:r>
      <w:r>
        <w:rPr>
          <w:rtl/>
        </w:rPr>
        <w:t xml:space="preserve"> וַיְמָרַרוּ אֶת חַיֵּיהֶם.</w:t>
      </w:r>
    </w:p>
    <w:p w:rsidR="002D629A" w:rsidRDefault="002D629A" w:rsidP="00B17EA9">
      <w:pPr>
        <w:pStyle w:val="NormalWeb"/>
        <w:rPr>
          <w:rtl/>
        </w:rPr>
      </w:pPr>
      <w:r>
        <w:rPr>
          <w:rtl/>
        </w:rPr>
        <w:t xml:space="preserve">דָּג גָּדוֹל אִיהוּ עִרֶב רַב, דְּאִינוּן </w:t>
      </w:r>
      <w:r>
        <w:rPr>
          <w:sz w:val="20"/>
          <w:szCs w:val="20"/>
          <w:rtl/>
        </w:rPr>
        <w:t>(נ''א דאיהו)</w:t>
      </w:r>
      <w:r>
        <w:rPr>
          <w:rtl/>
        </w:rPr>
        <w:t xml:space="preserve"> רַב הַחוֹבֵל, מָאן חוֹבֵל אֶלָּא רַב מִכָּל מַלְאֲכֵי חַבָּלָה, אִיהוּ חוֹבֵל, וְאִיהִי חַבָּלָה, עִרֶב רַב בְּנִין דְּלִילִית חַיָּיבָא, </w:t>
      </w:r>
      <w:r>
        <w:rPr>
          <w:rStyle w:val="a7"/>
          <w:rFonts w:hAnsi="Arial"/>
          <w:b w:val="0"/>
          <w:bCs w:val="0"/>
          <w:rtl/>
          <w:lang w:eastAsia="en-US"/>
        </w:rPr>
        <w:footnoteReference w:id="2910"/>
      </w:r>
      <w:r>
        <w:rPr>
          <w:rtl/>
        </w:rPr>
        <w:t xml:space="preserve">דִבְהוֹן חָאבוּ יִשְׂרָאֵל </w:t>
      </w:r>
      <w:r>
        <w:rPr>
          <w:rStyle w:val="a7"/>
          <w:rFonts w:hAnsi="Arial"/>
          <w:b w:val="0"/>
          <w:bCs w:val="0"/>
          <w:rtl/>
          <w:lang w:eastAsia="en-US"/>
        </w:rPr>
        <w:footnoteReference w:id="2911"/>
      </w:r>
      <w:r>
        <w:rPr>
          <w:rtl/>
        </w:rPr>
        <w:t xml:space="preserve">וַחֲבִילוּ יָת בִּשְׂרַיְיהוּ בְּאָת בְּרִית, </w:t>
      </w:r>
      <w:r>
        <w:rPr>
          <w:rStyle w:val="a7"/>
          <w:rFonts w:hAnsi="Arial"/>
          <w:b w:val="0"/>
          <w:bCs w:val="0"/>
          <w:rtl/>
          <w:lang w:eastAsia="en-US"/>
        </w:rPr>
        <w:footnoteReference w:id="2912"/>
      </w:r>
      <w:r>
        <w:rPr>
          <w:rtl/>
        </w:rPr>
        <w:t xml:space="preserve">אִינוּן רַב עֲלַיְיהוּ בְגָלוּתָא, </w:t>
      </w:r>
      <w:r>
        <w:rPr>
          <w:rStyle w:val="a7"/>
          <w:rFonts w:hAnsi="Arial"/>
          <w:b w:val="0"/>
          <w:bCs w:val="0"/>
          <w:rtl/>
          <w:lang w:eastAsia="en-US"/>
        </w:rPr>
        <w:footnoteReference w:id="2913"/>
      </w:r>
      <w:r>
        <w:rPr>
          <w:rtl/>
        </w:rPr>
        <w:t xml:space="preserve">וְאִינוּן דָּגָה לְיִשְׂרָאֵל, וּבְגִין דָּא אָמְרוּ </w:t>
      </w:r>
      <w:r>
        <w:rPr>
          <w:sz w:val="20"/>
          <w:szCs w:val="20"/>
          <w:rtl/>
        </w:rPr>
        <w:t>(במדבר יא ה)</w:t>
      </w:r>
      <w:r>
        <w:rPr>
          <w:rtl/>
        </w:rPr>
        <w:t xml:space="preserve"> זָכַרְנוּ אֶת הַדָּגָה וכו', וּבְזִמְנָא דְנָפְקוּ יִשְׂרָאֵל מִמִּצְרַיִם קְטִיל מִנַּיְיהוּ סַגִּיאִין, וְדָא אִיהוּ </w:t>
      </w:r>
      <w:r>
        <w:rPr>
          <w:sz w:val="20"/>
          <w:szCs w:val="20"/>
          <w:rtl/>
        </w:rPr>
        <w:t>(שמות ז יח)</w:t>
      </w:r>
      <w:r>
        <w:rPr>
          <w:rtl/>
        </w:rPr>
        <w:t xml:space="preserve"> וְהַדָּגָה אֲשֶׁר בַּיְאוֹר מֵתָה, </w:t>
      </w:r>
      <w:r>
        <w:rPr>
          <w:rStyle w:val="a7"/>
          <w:rFonts w:hAnsi="Arial"/>
          <w:b w:val="0"/>
          <w:bCs w:val="0"/>
          <w:rtl/>
          <w:lang w:eastAsia="en-US"/>
        </w:rPr>
        <w:footnoteReference w:id="2914"/>
      </w:r>
      <w:r>
        <w:rPr>
          <w:rtl/>
        </w:rPr>
        <w:t xml:space="preserve">וּבְגָלוּתָא בַתְרָאָה עָתִיד הַקָּדוֹשׁ בָּרוּךְ הוּא לְקָטְלָא לוֹן, </w:t>
      </w:r>
      <w:r>
        <w:rPr>
          <w:rStyle w:val="a7"/>
          <w:rFonts w:hAnsi="Arial"/>
          <w:b w:val="0"/>
          <w:bCs w:val="0"/>
          <w:rtl/>
          <w:lang w:eastAsia="en-US"/>
        </w:rPr>
        <w:footnoteReference w:id="2915"/>
      </w:r>
      <w:r>
        <w:rPr>
          <w:rtl/>
        </w:rPr>
        <w:t xml:space="preserve">וַיִּבְאַשׁ הַיְאוֹר דָּא אוֹרַיְיתָא, דְאִתְּמַר בָּהּ </w:t>
      </w:r>
      <w:r>
        <w:rPr>
          <w:sz w:val="20"/>
          <w:szCs w:val="20"/>
          <w:rtl/>
        </w:rPr>
        <w:t>(משלי ו כג)</w:t>
      </w:r>
      <w:r>
        <w:rPr>
          <w:rtl/>
        </w:rPr>
        <w:t xml:space="preserve"> וְתוֹרָה אוֹר, סָרְחַת לְגַבַּיְיהוּ, </w:t>
      </w:r>
      <w:r>
        <w:rPr>
          <w:rStyle w:val="a7"/>
          <w:rFonts w:hAnsi="Arial"/>
          <w:b w:val="0"/>
          <w:bCs w:val="0"/>
          <w:rtl/>
          <w:lang w:eastAsia="en-US"/>
        </w:rPr>
        <w:footnoteReference w:id="2916"/>
      </w:r>
      <w:r>
        <w:rPr>
          <w:rtl/>
        </w:rPr>
        <w:t xml:space="preserve">וְאִתְּמַר בְּיִשְׂרָאֵל </w:t>
      </w:r>
      <w:r>
        <w:rPr>
          <w:sz w:val="20"/>
          <w:szCs w:val="20"/>
          <w:rtl/>
        </w:rPr>
        <w:t>(שמות א כב)</w:t>
      </w:r>
      <w:r>
        <w:rPr>
          <w:rtl/>
        </w:rPr>
        <w:t xml:space="preserve"> כָּל הַבֵּן הַיִּלּוֹד הַיְאוֹרָה תַּשְׁלִיכוּהוּ, אוֹר אִיהוּ רָ''ז, הַיְאוֹרָה בַּת זוּגֵיהּ דְּהַהוּא אוֹר, </w:t>
      </w:r>
      <w:r>
        <w:rPr>
          <w:rStyle w:val="a7"/>
          <w:rFonts w:hAnsi="Arial"/>
          <w:b w:val="0"/>
          <w:bCs w:val="0"/>
          <w:rtl/>
          <w:lang w:eastAsia="en-US"/>
        </w:rPr>
        <w:footnoteReference w:id="2917"/>
      </w:r>
      <w:r>
        <w:rPr>
          <w:rtl/>
        </w:rPr>
        <w:t xml:space="preserve">דְּאִתְּמַר בָּהּ </w:t>
      </w:r>
      <w:r>
        <w:rPr>
          <w:sz w:val="20"/>
          <w:szCs w:val="20"/>
          <w:rtl/>
        </w:rPr>
        <w:t>(שם י כג)</w:t>
      </w:r>
      <w:r>
        <w:rPr>
          <w:rtl/>
        </w:rPr>
        <w:t xml:space="preserve"> וּלְכָל בְּנֵי יִשְׂרָאֵל הָיָה אוֹר בְּמוֹשְׁבוֹתָם, כְּגַוְונָא דָא בְגָלוּתָא בַתְרָאָה </w:t>
      </w:r>
      <w:r>
        <w:rPr>
          <w:sz w:val="20"/>
          <w:szCs w:val="20"/>
          <w:rtl/>
        </w:rPr>
        <w:t>(היאורה)</w:t>
      </w:r>
      <w:r>
        <w:rPr>
          <w:rtl/>
        </w:rPr>
        <w:t xml:space="preserve"> הַזּוֹהַר בֵּיהּ הָוָה רָ''ז, דְּאִיהוּ אוֹר דְּפוּרְקָנָא בַתְרַיְיתָא, לְקַיֵּים </w:t>
      </w:r>
      <w:r>
        <w:rPr>
          <w:sz w:val="20"/>
          <w:szCs w:val="20"/>
          <w:rtl/>
        </w:rPr>
        <w:t>(מיכה ז טו)</w:t>
      </w:r>
      <w:r>
        <w:rPr>
          <w:rtl/>
        </w:rPr>
        <w:t xml:space="preserve"> כִּימֵי צֵאתְךָ מֵאֶרֶץ מִצְרָיִם אַרְאֶנּוּ נִפְלָאוֹת, וְדָא אִיהוּ כָּל הַבֵּן הַיִּלּוֹד הַיְאוֹרָה תַּשְׁלִיכוּהוּ, וְכָל הַבַּת תְּחַיּוּן, אִלֵּין דְּמִשְׁתַּדְלִין בְּאוֹרַיְיתָא דִבְעַל פֶּה.</w:t>
      </w:r>
    </w:p>
    <w:p w:rsidR="002D629A" w:rsidRDefault="002D629A" w:rsidP="00B17EA9">
      <w:pPr>
        <w:pStyle w:val="NormalWeb"/>
        <w:rPr>
          <w:rtl/>
        </w:rPr>
      </w:pPr>
      <w:r>
        <w:rPr>
          <w:rStyle w:val="a7"/>
          <w:rFonts w:hAnsi="Arial"/>
          <w:b w:val="0"/>
          <w:bCs w:val="0"/>
          <w:rtl/>
          <w:lang w:eastAsia="en-US"/>
        </w:rPr>
        <w:footnoteReference w:id="2918"/>
      </w:r>
      <w:r>
        <w:rPr>
          <w:rtl/>
        </w:rPr>
        <w:t xml:space="preserve">דָּבָר אַחֵר וַיְמַן יהו''ה דָּג גָּדוֹל לִבְלוֹעַ אֶת יוֹנָה </w:t>
      </w:r>
      <w:r>
        <w:rPr>
          <w:sz w:val="20"/>
          <w:szCs w:val="20"/>
          <w:rtl/>
        </w:rPr>
        <w:t>(יונה ב א)</w:t>
      </w:r>
      <w:r>
        <w:rPr>
          <w:rtl/>
        </w:rPr>
        <w:t xml:space="preserve">, דָּא עֲנִיּוּתָא, דְּאִיהוּ עֶצֶב, וְנוּקְבָא דִילֵיהּ עִצָּבוֹן, דְּכוּרָא דָג נוּקְבָא דָגָה, דָּא הוּא </w:t>
      </w:r>
      <w:r>
        <w:rPr>
          <w:sz w:val="20"/>
          <w:szCs w:val="20"/>
          <w:rtl/>
        </w:rPr>
        <w:t>(שם ב)</w:t>
      </w:r>
      <w:r>
        <w:rPr>
          <w:rtl/>
        </w:rPr>
        <w:t xml:space="preserve"> וַיִּתְפַּלֵּל יוֹנָה אֶל יהו''ה אֱלֹהָי''ו מִמְּעִי הַדָּגָה, </w:t>
      </w:r>
      <w:r>
        <w:rPr>
          <w:rStyle w:val="a7"/>
          <w:rFonts w:hAnsi="Arial"/>
          <w:b w:val="0"/>
          <w:bCs w:val="0"/>
          <w:rtl/>
          <w:lang w:eastAsia="en-US"/>
        </w:rPr>
        <w:footnoteReference w:id="2919"/>
      </w:r>
      <w:r>
        <w:rPr>
          <w:rtl/>
        </w:rPr>
        <w:t xml:space="preserve">מִכַּפְנָא דַעֲנִיּוּתָא דְמָטֵי לִמְעוֹי דְּיִשְׂרָאֵל, </w:t>
      </w:r>
      <w:r>
        <w:rPr>
          <w:rStyle w:val="a7"/>
          <w:rFonts w:hAnsi="Arial"/>
          <w:b w:val="0"/>
          <w:bCs w:val="0"/>
          <w:rtl/>
          <w:lang w:eastAsia="en-US"/>
        </w:rPr>
        <w:footnoteReference w:id="2920"/>
      </w:r>
      <w:r>
        <w:rPr>
          <w:rtl/>
        </w:rPr>
        <w:t xml:space="preserve">בְּהַהוּא זִמְנָא וַיֹּאמֶר יהו''ה לַדָּג וַיָּקֵא אֶת יוֹנָה וְגוֹמֵר </w:t>
      </w:r>
      <w:r>
        <w:rPr>
          <w:sz w:val="20"/>
          <w:szCs w:val="20"/>
          <w:rtl/>
        </w:rPr>
        <w:t>(שם יא)</w:t>
      </w:r>
      <w:r>
        <w:rPr>
          <w:rtl/>
        </w:rPr>
        <w:t xml:space="preserve">, בְּדוֹחֲקָא דִדְאָגָה דִלְהוֹן דְּדוֹאֲגִין מִן עֲנִיּוּתָא, מִדּוֹחֲקָא יִפְקוּן מִן גָּלוּתָא, הֲדָא הוּא דִכְתִיב </w:t>
      </w:r>
      <w:r>
        <w:rPr>
          <w:sz w:val="20"/>
          <w:szCs w:val="20"/>
          <w:rtl/>
        </w:rPr>
        <w:t>(שמואל ב, כב כח)</w:t>
      </w:r>
      <w:r>
        <w:rPr>
          <w:rtl/>
        </w:rPr>
        <w:t xml:space="preserve"> וְאֶת עַם עָנִי תּוֹשִׁיעַ, דָּא נְבוּאָה דְיוֹנָה דְנִתְנַבָּא דְיִפְקוּן יִשְׂרָאֵל מִן גָּלוּתָא </w:t>
      </w:r>
      <w:r>
        <w:rPr>
          <w:rStyle w:val="a7"/>
          <w:rFonts w:hAnsi="Arial"/>
          <w:b w:val="0"/>
          <w:bCs w:val="0"/>
          <w:rtl/>
          <w:lang w:eastAsia="en-US"/>
        </w:rPr>
        <w:footnoteReference w:id="2921"/>
      </w:r>
      <w:r>
        <w:rPr>
          <w:rtl/>
        </w:rPr>
        <w:t xml:space="preserve">בְּדוֹחֲקָא דַעֲנִיּוּתָא בִּימִינָא יִפְקוּן, בְּגִין דְּצַדִּיק חַ''י עָלְמִין אִיהוּ עָנִי דְאִתְקַשַּׁר בִּימִינָא, דְאִיהוּ פֶּסַח, כְּגַוְונָא דְיִשְׂרָאֵל דְּאִתְּמַר בְּהוֹן </w:t>
      </w:r>
      <w:r>
        <w:rPr>
          <w:sz w:val="20"/>
          <w:szCs w:val="20"/>
          <w:rtl/>
        </w:rPr>
        <w:t>(יחזקאל טז ז)</w:t>
      </w:r>
      <w:r>
        <w:rPr>
          <w:rtl/>
        </w:rPr>
        <w:t xml:space="preserve"> וְאַתְּ עִרוֹם וְעֶרְיָה, וְהַאי יוֹנָה אִיהִי יוֹנָה דְתֵיבַת נֹחַ.</w:t>
      </w:r>
    </w:p>
    <w:p w:rsidR="002D629A" w:rsidRDefault="002D629A" w:rsidP="00B17EA9">
      <w:pPr>
        <w:pStyle w:val="aa"/>
        <w:rPr>
          <w:rtl/>
        </w:rPr>
      </w:pPr>
      <w:r>
        <w:rPr>
          <w:rtl/>
        </w:rPr>
        <w:t xml:space="preserve">[תיקוני זוהר - דף מו ע''ב] </w:t>
      </w:r>
    </w:p>
    <w:p w:rsidR="002D629A" w:rsidRDefault="002D629A" w:rsidP="00B17EA9">
      <w:pPr>
        <w:pStyle w:val="NormalWeb"/>
        <w:rPr>
          <w:rtl/>
        </w:rPr>
      </w:pPr>
      <w:r>
        <w:rPr>
          <w:rtl/>
        </w:rPr>
        <w:t xml:space="preserve">דָּבָר אַחֵר </w:t>
      </w:r>
      <w:r>
        <w:rPr>
          <w:sz w:val="20"/>
          <w:szCs w:val="20"/>
          <w:rtl/>
        </w:rPr>
        <w:t>(יונה ב יא)</w:t>
      </w:r>
      <w:r>
        <w:rPr>
          <w:rtl/>
        </w:rPr>
        <w:t xml:space="preserve"> וַיֹּאמֶר יהו''ה לַדָּג וַיָּקֵא אֶת הַיוֹנָה אֶל הַיַּבָּשָׁה, קָם סָבָא מִבָּתַר טוּלָא פָּתַח וְאָמַר, וְהַמָּן כִּזְרַע גַּד הוּא </w:t>
      </w:r>
      <w:r>
        <w:rPr>
          <w:sz w:val="20"/>
          <w:szCs w:val="20"/>
          <w:rtl/>
        </w:rPr>
        <w:t>(במדבר יא ז)</w:t>
      </w:r>
      <w:r>
        <w:rPr>
          <w:rtl/>
        </w:rPr>
        <w:t xml:space="preserve">, מַאי כִּזְרַע גַּד, אֶלָּא </w:t>
      </w:r>
      <w:r>
        <w:rPr>
          <w:rStyle w:val="a7"/>
          <w:rFonts w:hAnsi="Arial"/>
          <w:b w:val="0"/>
          <w:bCs w:val="0"/>
          <w:rtl/>
          <w:lang w:eastAsia="en-US"/>
        </w:rPr>
        <w:footnoteReference w:id="2922"/>
      </w:r>
      <w:r>
        <w:rPr>
          <w:rtl/>
        </w:rPr>
        <w:t xml:space="preserve">גַד אִיהוּ יְמִינָא וּשְׂמָאלָא, גְמוֹ''ל דַּלִּי''ם, </w:t>
      </w:r>
      <w:r>
        <w:rPr>
          <w:rStyle w:val="a7"/>
          <w:rFonts w:hAnsi="Arial"/>
          <w:b w:val="0"/>
          <w:bCs w:val="0"/>
          <w:rtl/>
          <w:lang w:eastAsia="en-US"/>
        </w:rPr>
        <w:footnoteReference w:id="2923"/>
      </w:r>
      <w:r>
        <w:rPr>
          <w:rtl/>
        </w:rPr>
        <w:t xml:space="preserve">כִּזְרַע גַּד דָּא יוֹנָה י' וַדַּאי, טִפָּה חִוַּורְתָּא, דְּבֵיהּ אִשְׁתַּלִּים גַּד וְאִתְעֲבִיד גִּיד, וְעַל דָּא הַאי זַרְעָא דְאִיהִי יוּ''ד דְּאִיהִי טִפָּה קַדִּישָׁא, אִתְּמַר </w:t>
      </w:r>
      <w:r>
        <w:rPr>
          <w:sz w:val="20"/>
          <w:szCs w:val="20"/>
          <w:rtl/>
        </w:rPr>
        <w:t>(יונה ב יא)</w:t>
      </w:r>
      <w:r>
        <w:rPr>
          <w:rtl/>
        </w:rPr>
        <w:t xml:space="preserve"> וַיָּקֵא אֶת יוֹנָה אֶל הַיַּבָּשָׁה דְאִיהִי נוּקְבָא, וּמִמַּה דַּהֲוַת יַבָּשָׁה ה' אִתְקְרִיאַת אֶרֶץ, לְאַפָּקָא זַרְעִין וְאִיבִין, </w:t>
      </w:r>
      <w:r>
        <w:rPr>
          <w:sz w:val="20"/>
          <w:szCs w:val="20"/>
          <w:rtl/>
        </w:rPr>
        <w:t xml:space="preserve">(דף מו ע''ב) </w:t>
      </w:r>
      <w:r>
        <w:rPr>
          <w:rtl/>
        </w:rPr>
        <w:t xml:space="preserve">הֲדָא הוּא דִכְתִיב </w:t>
      </w:r>
      <w:r>
        <w:rPr>
          <w:sz w:val="20"/>
          <w:szCs w:val="20"/>
          <w:rtl/>
        </w:rPr>
        <w:t>(בראשית א י)</w:t>
      </w:r>
      <w:r>
        <w:rPr>
          <w:rtl/>
        </w:rPr>
        <w:t xml:space="preserve"> וַיִּקְרָא אלהי''ם לַיַּבָּשָׁה אֶרֶץ, וּלְמִקְוִה הַמַּיִם קָרָא יַמִּים, </w:t>
      </w:r>
      <w:r>
        <w:rPr>
          <w:rStyle w:val="a7"/>
          <w:rFonts w:hAnsi="Arial"/>
          <w:b w:val="0"/>
          <w:bCs w:val="0"/>
          <w:rtl/>
          <w:lang w:eastAsia="en-US"/>
        </w:rPr>
        <w:footnoteReference w:id="2924"/>
      </w:r>
      <w:r>
        <w:rPr>
          <w:rtl/>
        </w:rPr>
        <w:t xml:space="preserve">דָּא מִקְוִה יִשְׂרָאֵל מוֹשִׁיעוֹ בְּעִת צָרָה </w:t>
      </w:r>
      <w:r>
        <w:rPr>
          <w:sz w:val="20"/>
          <w:szCs w:val="20"/>
          <w:rtl/>
        </w:rPr>
        <w:t>(ירמיה יד ח)</w:t>
      </w:r>
      <w:r>
        <w:rPr>
          <w:rtl/>
        </w:rPr>
        <w:t>.</w:t>
      </w:r>
    </w:p>
    <w:p w:rsidR="002D629A" w:rsidRDefault="002D629A" w:rsidP="00B17EA9">
      <w:pPr>
        <w:pStyle w:val="NormalWeb"/>
        <w:rPr>
          <w:rtl/>
        </w:rPr>
      </w:pPr>
      <w:r>
        <w:rPr>
          <w:rtl/>
        </w:rPr>
        <w:t xml:space="preserve">מְקוֹרָא דִנְבִיעוּ מֵהַהוּא זֶרַע דְּאִתְמַשַּׁךְ מִמּוֹחָא עִלָּאָה, וְהַאי </w:t>
      </w:r>
      <w:r>
        <w:rPr>
          <w:sz w:val="20"/>
          <w:szCs w:val="20"/>
          <w:rtl/>
        </w:rPr>
        <w:t>(נ''א וההיא)</w:t>
      </w:r>
      <w:r>
        <w:rPr>
          <w:rtl/>
        </w:rPr>
        <w:t xml:space="preserve"> טִפָּה אִיהִי י' זְעִירָא, כַּד נָפְקַת א מִן מוֹחָא דְאִיהִי חָכְמָה, כָּל סְפִירָה נָטְלַת חֶלְקָהָא, עַד דְּאִתְפַּלִּיגַת לְתֵשַׁע נְקוּדִין, וְכַד נָטִיל כָּל חַד חוּלָקֵיהּ אִשְׁתָּאַרַת עִשּׂוּרָא מִכֻּלְּהוּ טִפִּין, דְּנַטִּילַת הַהִיא יַבָּשָׁה דְּאִיהִי עֲשִׂירִית הָאֵיפָה סֹלֶת, וּבְגִינָהּ מְעַשְּׂרִין.</w:t>
      </w:r>
    </w:p>
    <w:p w:rsidR="002D629A" w:rsidRDefault="002D629A" w:rsidP="00B17EA9">
      <w:pPr>
        <w:pStyle w:val="NormalWeb"/>
        <w:rPr>
          <w:rtl/>
        </w:rPr>
      </w:pPr>
      <w:r>
        <w:rPr>
          <w:rtl/>
        </w:rPr>
        <w:t xml:space="preserve">וְהַהִיא טִפָּה בְּעַמּוּדָא דְאֶמְצָעִיתָא אִתְאָרְכַת, </w:t>
      </w:r>
      <w:r>
        <w:rPr>
          <w:rStyle w:val="a7"/>
          <w:rFonts w:hAnsi="Arial"/>
          <w:b w:val="0"/>
          <w:bCs w:val="0"/>
          <w:rtl/>
          <w:lang w:eastAsia="en-US"/>
        </w:rPr>
        <w:footnoteReference w:id="2925"/>
      </w:r>
      <w:r>
        <w:rPr>
          <w:rtl/>
        </w:rPr>
        <w:t xml:space="preserve">וְאִתְעֲבִידַת זֶרַע ו', דְּכָלִיל שִׁית סִטְרִין, וּכְמָה דְכָל סְפִירָן נָטְלִין חוּלָקֵיהוֹן מֵהַהוּא טִפָּה, הָכִי נָטְלִין </w:t>
      </w:r>
      <w:r>
        <w:rPr>
          <w:rStyle w:val="a7"/>
          <w:rFonts w:hAnsi="Arial"/>
          <w:b w:val="0"/>
          <w:bCs w:val="0"/>
          <w:rtl/>
          <w:lang w:eastAsia="en-US"/>
        </w:rPr>
        <w:footnoteReference w:id="2926"/>
      </w:r>
      <w:r>
        <w:rPr>
          <w:rtl/>
        </w:rPr>
        <w:t xml:space="preserve">מִזֶּרַע </w:t>
      </w:r>
      <w:r>
        <w:rPr>
          <w:sz w:val="20"/>
          <w:szCs w:val="20"/>
          <w:rtl/>
        </w:rPr>
        <w:t>(נ''א מההוא זרע)</w:t>
      </w:r>
      <w:r>
        <w:rPr>
          <w:rtl/>
        </w:rPr>
        <w:t xml:space="preserve"> דְּאִיהוּ ו', כַּד אִיהוּ ו' אִתְעֲבִיד שִׁית, כַּד נָטִיל בְּיוּ''ד סָלִיק לְשִׁתִּין, שִׁית זִמְנִין עֶשֶׂר, </w:t>
      </w:r>
      <w:r>
        <w:rPr>
          <w:rStyle w:val="a7"/>
          <w:rFonts w:hAnsi="Arial"/>
          <w:b w:val="0"/>
          <w:bCs w:val="0"/>
          <w:rtl/>
          <w:lang w:eastAsia="en-US"/>
        </w:rPr>
        <w:footnoteReference w:id="2927"/>
      </w:r>
      <w:r>
        <w:rPr>
          <w:rtl/>
        </w:rPr>
        <w:t xml:space="preserve">אֲבָל כָּל סְפִירָן כָּל חַד אִיהוּ תֵשַׁע, וּמַלְכוּת בָּהּ אִשְׁתַּלִּים כָּל חַד לְעֶשֶׂר, וְכֹלָּא אִתְמַשַּׁךְ לְגַבֵּיהּ דְּגִיד דְּאִיהוּ צַדִּיק, וּמִנֵּיהּ לְהַהוּא יַבָּשָׁה, וּבְהַהוּא זִמְנָא דְאָרִיק בָּהּ כֹּלָּא </w:t>
      </w:r>
      <w:r>
        <w:rPr>
          <w:rStyle w:val="a7"/>
          <w:rFonts w:hAnsi="Arial"/>
          <w:b w:val="0"/>
          <w:bCs w:val="0"/>
          <w:rtl/>
          <w:lang w:eastAsia="en-US"/>
        </w:rPr>
        <w:footnoteReference w:id="2928"/>
      </w:r>
      <w:r>
        <w:rPr>
          <w:rtl/>
        </w:rPr>
        <w:t xml:space="preserve">אִתְקְרִיאַת תֵּיבַת נֹחַ, וְרָזָא דְמִלָּה וַתָּנַח הַתֵּיבָה בַּחֹדֶשׁ הַשְּׁבִיעִי </w:t>
      </w:r>
      <w:r>
        <w:rPr>
          <w:sz w:val="20"/>
          <w:szCs w:val="20"/>
          <w:rtl/>
        </w:rPr>
        <w:t>(בראשית ח יג)</w:t>
      </w:r>
      <w:r>
        <w:rPr>
          <w:rtl/>
        </w:rPr>
        <w:t xml:space="preserve">, מַה דַּהֲוַת </w:t>
      </w:r>
      <w:r>
        <w:rPr>
          <w:rStyle w:val="a7"/>
          <w:rFonts w:hAnsi="Arial"/>
          <w:b w:val="0"/>
          <w:bCs w:val="0"/>
          <w:rtl/>
          <w:lang w:eastAsia="en-US"/>
        </w:rPr>
        <w:footnoteReference w:id="2929"/>
      </w:r>
      <w:r>
        <w:rPr>
          <w:rtl/>
        </w:rPr>
        <w:t>ה' יַבָּשָׁה, אִתְעֲבִידַת הֵ''א הַשְּׁבִיעִי, וְדָא אִיהוּ וַתָּנַח הַתֵּיבָה בַּחֹדֶשׁ הַשְּׁבִיעִי, וַתָּנַח וַדַּאי בַּחֹדֶשׁ הַשְּׁבִיעִי, וְדָא אִיהוּ גִיד צַדִּיק חַ''י עָלְמִין, בְּגִין דְּמִנֵּיהּ נָפִיק זֶרַע לְהַאי יַבָּשָׁה.</w:t>
      </w:r>
    </w:p>
    <w:p w:rsidR="002D629A" w:rsidRDefault="002D629A" w:rsidP="00B17EA9">
      <w:pPr>
        <w:pStyle w:val="NormalWeb"/>
        <w:rPr>
          <w:rtl/>
        </w:rPr>
      </w:pPr>
      <w:r>
        <w:rPr>
          <w:rtl/>
        </w:rPr>
        <w:t xml:space="preserve">וְכָל מָאן דְּאַפֵּיק הַאי זֶרַע דְּאִיהוּ נְבִיעוּ מִלְּעִילָא דְלָא בְהַאי יַבָּשָׁה, גָרִים פִּרוּדָא בְהַהוּא נְבִיעוּ, כַּבְיָכוֹל כְּאִלּוּ אִתְפַּסַּק נְבִיעוּ דִשְׁכִינְתָּא, וְיִתְרַבָּהּ נְבִיעוּ דְסִטְרָא אָחֳרָא, דְאִינוּן מֵי טוֹפָנָא, הֲדָא הוּא דִכְתִיב </w:t>
      </w:r>
      <w:r>
        <w:rPr>
          <w:sz w:val="20"/>
          <w:szCs w:val="20"/>
          <w:rtl/>
        </w:rPr>
        <w:t>(בראשית ז יט)</w:t>
      </w:r>
      <w:r>
        <w:rPr>
          <w:rtl/>
        </w:rPr>
        <w:t xml:space="preserve"> וְהַמַּיִם גָּבְרוּ מְאֹד מְאֹד עַל הָאָרֶץ, בְּהַהוּא זִמְנָא דְלֵית נְבִיעוּ בְּהַהִיא יַבָּשָׁה דְהִיא כְּבֵדָה, אִתְעֲבִידַת קַלָּה, לְאִסְתַּלְקָא מֵעַל יִשְׂרָאֵל, וְאִתְּמַר בָּהּ </w:t>
      </w:r>
      <w:r>
        <w:rPr>
          <w:sz w:val="20"/>
          <w:szCs w:val="20"/>
          <w:rtl/>
        </w:rPr>
        <w:t>(שם יז)</w:t>
      </w:r>
      <w:r>
        <w:rPr>
          <w:rtl/>
        </w:rPr>
        <w:t xml:space="preserve"> וַתָּרָם מֵעַל הָאָרֶץ, וְלָא נָחֲתַת עַד יַרְחָא שְׁבִיעָאָה, דְאִתְמְלִיאַת בְּזַכְוָון דִּילָהּ </w:t>
      </w:r>
      <w:r>
        <w:rPr>
          <w:rStyle w:val="a7"/>
          <w:rFonts w:hAnsi="Arial"/>
          <w:b w:val="0"/>
          <w:bCs w:val="0"/>
          <w:rtl/>
          <w:lang w:eastAsia="en-US"/>
        </w:rPr>
        <w:footnoteReference w:id="2930"/>
      </w:r>
      <w:r>
        <w:rPr>
          <w:rtl/>
        </w:rPr>
        <w:t xml:space="preserve">וְאִיהִי כְּבֵדָה נָחֲתַת, הֲדָא הוּא דִכְתִיב </w:t>
      </w:r>
      <w:r>
        <w:rPr>
          <w:sz w:val="20"/>
          <w:szCs w:val="20"/>
          <w:rtl/>
        </w:rPr>
        <w:t>(שם ח ד)</w:t>
      </w:r>
      <w:r>
        <w:rPr>
          <w:rtl/>
        </w:rPr>
        <w:t xml:space="preserve"> וַתָּנַח הַתֵּיבָה בַּחֹדֶשׁ הַשְּׁבִיעִי, דְאִיהוּ תִּשְׁרִי דְרוֹעָא שְׂמָאלָא, </w:t>
      </w:r>
      <w:r>
        <w:rPr>
          <w:rStyle w:val="a7"/>
          <w:rFonts w:hAnsi="Arial"/>
          <w:b w:val="0"/>
          <w:bCs w:val="0"/>
          <w:rtl/>
          <w:lang w:eastAsia="en-US"/>
        </w:rPr>
        <w:footnoteReference w:id="2931"/>
      </w:r>
      <w:r>
        <w:rPr>
          <w:rtl/>
        </w:rPr>
        <w:t xml:space="preserve">דְּאִי הֲווֹ נָפְקִין בֵּיהּ יִפְקוּן בְּמִיתָה, </w:t>
      </w:r>
      <w:r>
        <w:rPr>
          <w:rStyle w:val="a7"/>
          <w:rFonts w:hAnsi="Arial"/>
          <w:b w:val="0"/>
          <w:bCs w:val="0"/>
          <w:rtl/>
          <w:lang w:eastAsia="en-US"/>
        </w:rPr>
        <w:footnoteReference w:id="2932"/>
      </w:r>
      <w:r>
        <w:rPr>
          <w:rtl/>
        </w:rPr>
        <w:t xml:space="preserve">וְלָא יִשְׁתָּאֲרוּן אֶלָּא </w:t>
      </w:r>
      <w:r>
        <w:rPr>
          <w:rStyle w:val="a7"/>
          <w:rFonts w:hAnsi="Arial"/>
          <w:b w:val="0"/>
          <w:bCs w:val="0"/>
          <w:rtl/>
          <w:lang w:eastAsia="en-US"/>
        </w:rPr>
        <w:footnoteReference w:id="2933"/>
      </w:r>
      <w:r>
        <w:rPr>
          <w:rtl/>
        </w:rPr>
        <w:t xml:space="preserve">חַד מֵעִיר וּשְׁנַיִם מִמִּשְׁפָּחָה </w:t>
      </w:r>
      <w:r>
        <w:rPr>
          <w:sz w:val="20"/>
          <w:szCs w:val="20"/>
          <w:rtl/>
        </w:rPr>
        <w:t>(ירמיהו ג יד)</w:t>
      </w:r>
      <w:r>
        <w:rPr>
          <w:rtl/>
        </w:rPr>
        <w:t xml:space="preserve">, חַד מֵעִיר כְּגוֹן נֹחַ, וּשְׁנַיִם מִמִּשְׁפָּחָה </w:t>
      </w:r>
      <w:r>
        <w:rPr>
          <w:rStyle w:val="a7"/>
          <w:rFonts w:hAnsi="Arial"/>
          <w:b w:val="0"/>
          <w:bCs w:val="0"/>
          <w:rtl/>
          <w:lang w:eastAsia="en-US"/>
        </w:rPr>
        <w:footnoteReference w:id="2934"/>
      </w:r>
      <w:r>
        <w:rPr>
          <w:rtl/>
        </w:rPr>
        <w:t xml:space="preserve">כְּגוֹן שֵׁם וְיֶפֶת, וּמֵאָחֳרָנִין שְׁנַיִם שְׁנַיִם שִׁבְעָה שִׁבְעָה, מֵאִינוּן עַמֵּי הָאָרֶץ דְּדַמְיָין לִבְעִירָן וְעוֹפִין וְחֵיוָון, וְאִלֵּין אִינוּן דְּאוֹקְרִין יָמִים טוֹבִים וְחַגִּין, דְּאִינוּן שְׁנַיִם שְׁנַיִם, </w:t>
      </w:r>
      <w:r>
        <w:rPr>
          <w:rStyle w:val="a7"/>
          <w:rFonts w:hAnsi="Arial"/>
          <w:b w:val="0"/>
          <w:bCs w:val="0"/>
          <w:rtl/>
          <w:lang w:eastAsia="en-US"/>
        </w:rPr>
        <w:footnoteReference w:id="2935"/>
      </w:r>
      <w:r>
        <w:rPr>
          <w:rtl/>
        </w:rPr>
        <w:t>תְּרֵין יוֹמִין דְּרֹאשׁ הַשָּׁנָה וְיוֹם הַכִּפּוּרִים, תְּרֵין יוֹמִין דְּעֲצֶרֶת. שִׁבְעָה שִׁבְעָה אִלֵּין שִׁבְעָה יוֹמִין דְּפִסְחָא, וְשִׁבְעָה יוֹמִין דְּסֻכּוֹת, אוֹ דְמִתְפַּלְּלִין חַ''י בִּרְכָאָן דִּצְלוֹתָא בְּכָל יוֹמָא. דְסָלְקִין לְחוּשְׁבַּן שְׁנַיִם שְׁנַיִם שִׁבְעָה שִׁבְעָה חַ''י.</w:t>
      </w:r>
    </w:p>
    <w:p w:rsidR="002D629A" w:rsidRDefault="002D629A" w:rsidP="00B17EA9">
      <w:pPr>
        <w:pStyle w:val="NormalWeb"/>
        <w:rPr>
          <w:rtl/>
        </w:rPr>
      </w:pPr>
      <w:r>
        <w:rPr>
          <w:rtl/>
        </w:rPr>
        <w:t xml:space="preserve">אוֹ אִלֵּין דַּהֲווֹ נָטְרִין י' דְּאִיהוּ אוֹת בְּרִית מִילָה דְאִיהוּ לִשְׁמֹנָה דְכֹלָּא חַ''י, אוֹ אִלֵּין דְּמַנְחָן תְּפִלֵּי בְּכָל יוֹמָא דְאִינוּן אוֹת י', כְּמָה דְאַתְּ אָמַר </w:t>
      </w:r>
      <w:r>
        <w:rPr>
          <w:sz w:val="20"/>
          <w:szCs w:val="20"/>
          <w:rtl/>
        </w:rPr>
        <w:t>(שמות יג טז)</w:t>
      </w:r>
      <w:r>
        <w:rPr>
          <w:rtl/>
        </w:rPr>
        <w:t xml:space="preserve"> וְהָיָה לְאוֹת כו', וַהֲווֹ קָשְׁרִין לֵיהּ בְּח' בָּתֵּי דִתְּפִלֵּי, דְאִינוּן ד' בָּתֵּי דִתְּפִלִּין דְּרֵישָׁא, וְאַרְבַּע פַּרְשִׁיָּין דִּתְּפִלִּין דְּיָד, אוֹ אִינוּן דְּנָטְרִין אוֹת י' שַׁבָּת בִּתְּחוּמָא דִילֵיהּ דְּאִיהוּ ח', תְּרֵי אַלְפֵי אַמִּין לְכָל סִטְרָא, וְכֹלָּא חַ''י, לְאִלֵּין אִינוּן מְקַבְּלִין בִּתְשׁוּבָה, דְאִיהִי </w:t>
      </w:r>
      <w:r>
        <w:rPr>
          <w:rStyle w:val="a7"/>
          <w:rFonts w:hAnsi="Arial"/>
          <w:b w:val="0"/>
          <w:bCs w:val="0"/>
          <w:rtl/>
          <w:lang w:eastAsia="en-US"/>
        </w:rPr>
        <w:footnoteReference w:id="2936"/>
      </w:r>
      <w:r>
        <w:rPr>
          <w:rtl/>
        </w:rPr>
        <w:t>תֵּיבַת נֹחַ יוֹם הַכִּפּוּרִים.</w:t>
      </w:r>
    </w:p>
    <w:p w:rsidR="002D629A" w:rsidRDefault="002D629A" w:rsidP="00B17EA9">
      <w:pPr>
        <w:pStyle w:val="NormalWeb"/>
        <w:rPr>
          <w:rtl/>
        </w:rPr>
      </w:pPr>
      <w:r>
        <w:rPr>
          <w:rtl/>
        </w:rPr>
        <w:t xml:space="preserve">אֲבָל לְאָחֳרָנִין לָא יְקַבֵּל לוֹן בִּתְיוּבְתָּא, וְאִם יִפְקוּן בְּיוֹמָא דְּדִינָא, אִלֵּין דְּלָא הֲווֹ נָטְרִין, אִתְּמַר בְּהוֹן </w:t>
      </w:r>
      <w:r>
        <w:rPr>
          <w:sz w:val="20"/>
          <w:szCs w:val="20"/>
          <w:rtl/>
        </w:rPr>
        <w:t>(בראשית ז כא)</w:t>
      </w:r>
      <w:r>
        <w:rPr>
          <w:rtl/>
        </w:rPr>
        <w:t xml:space="preserve"> וַיִּגְוַע כָּל בָּשָׂר הָרֹמֵשׂ עַל הָאָרֶץ, וְאִלֵּין אִתְקְרִיאוּ רְשָׁעִים גְּמוּרִים דְּנִדּוֹנִין לְאַלְתַּר לְמִיתָה, דִּבְהוֹן הֲוַת שְׁכִינְתָּא מִתְתַּרְכָא הֲדָא הוּא דִכְתִיב </w:t>
      </w:r>
      <w:r>
        <w:rPr>
          <w:sz w:val="20"/>
          <w:szCs w:val="20"/>
          <w:rtl/>
        </w:rPr>
        <w:t>(שם ח ט)</w:t>
      </w:r>
      <w:r>
        <w:rPr>
          <w:rtl/>
        </w:rPr>
        <w:t xml:space="preserve"> וְלֹא מָצְאָה הַיּוֹנָה מָנוֹחַ לְכַף רַגְלָהּ, </w:t>
      </w:r>
      <w:r>
        <w:rPr>
          <w:rStyle w:val="a7"/>
          <w:rFonts w:hAnsi="Arial"/>
          <w:b w:val="0"/>
          <w:bCs w:val="0"/>
          <w:rtl/>
          <w:lang w:eastAsia="en-US"/>
        </w:rPr>
        <w:footnoteReference w:id="2937"/>
      </w:r>
      <w:r>
        <w:rPr>
          <w:rtl/>
        </w:rPr>
        <w:t>וְאִלֵּין אִינוּן יוֹמִין דְּחוֹל.</w:t>
      </w:r>
    </w:p>
    <w:p w:rsidR="002D629A" w:rsidRDefault="002D629A" w:rsidP="00B17EA9">
      <w:pPr>
        <w:pStyle w:val="aa"/>
        <w:rPr>
          <w:rtl/>
        </w:rPr>
      </w:pPr>
      <w:r>
        <w:rPr>
          <w:rtl/>
        </w:rPr>
        <w:t xml:space="preserve">[תיקוני זוהר - דף מז ע''א] </w:t>
      </w:r>
    </w:p>
    <w:p w:rsidR="002D629A" w:rsidRDefault="002D629A" w:rsidP="00B17EA9">
      <w:pPr>
        <w:pStyle w:val="NormalWeb"/>
        <w:rPr>
          <w:rtl/>
        </w:rPr>
      </w:pPr>
      <w:r>
        <w:rPr>
          <w:rtl/>
        </w:rPr>
        <w:t xml:space="preserve">צַדִּיקִים גְּמוּרִים </w:t>
      </w:r>
      <w:r>
        <w:rPr>
          <w:rStyle w:val="a7"/>
          <w:rFonts w:hAnsi="Arial"/>
          <w:b w:val="0"/>
          <w:bCs w:val="0"/>
          <w:rtl/>
          <w:lang w:eastAsia="en-US"/>
        </w:rPr>
        <w:footnoteReference w:id="2938"/>
      </w:r>
      <w:r>
        <w:rPr>
          <w:rtl/>
        </w:rPr>
        <w:t xml:space="preserve">אִלֵּין אִינוּן דְּנָטְרִין חַ''י דְּשַׁבָּתוֹת וְיֹמִין טָבִין, עֲלַיְיהוּ אִתְּמַר וַתָּשָׁב אֵלָיו הַיּוֹנָה </w:t>
      </w:r>
      <w:r>
        <w:rPr>
          <w:rStyle w:val="a7"/>
          <w:rFonts w:hAnsi="Arial"/>
          <w:b w:val="0"/>
          <w:bCs w:val="0"/>
          <w:rtl/>
          <w:lang w:eastAsia="en-US"/>
        </w:rPr>
        <w:footnoteReference w:id="2939"/>
      </w:r>
      <w:r>
        <w:rPr>
          <w:rtl/>
        </w:rPr>
        <w:t xml:space="preserve">לְעִת עֶרֶב וְדָא עַרְבֵי שַׁבָּתוֹת וְיוֹמִין טָבִין, דִּשְׁכִינְתָּא קָא אַתְיָא לְשַׁרְיָא עֲלַיְיהוּ </w:t>
      </w:r>
      <w:r>
        <w:rPr>
          <w:rStyle w:val="a7"/>
          <w:rFonts w:hAnsi="Arial"/>
          <w:b w:val="0"/>
          <w:bCs w:val="0"/>
          <w:rtl/>
          <w:lang w:eastAsia="en-US"/>
        </w:rPr>
        <w:footnoteReference w:id="2940"/>
      </w:r>
      <w:r>
        <w:rPr>
          <w:rtl/>
        </w:rPr>
        <w:t xml:space="preserve">בְּגִין דְּאִינוּן קֹדֶשׁ, כְּמָה דְאַתְּ אָמַר </w:t>
      </w:r>
      <w:r>
        <w:rPr>
          <w:sz w:val="20"/>
          <w:szCs w:val="20"/>
          <w:rtl/>
        </w:rPr>
        <w:t>(ירמיה ב ג)</w:t>
      </w:r>
      <w:r>
        <w:rPr>
          <w:rtl/>
        </w:rPr>
        <w:t xml:space="preserve"> קֹדֶשׁ יִשְׂרָאֵל לַיהו''ה, </w:t>
      </w:r>
      <w:r>
        <w:rPr>
          <w:rStyle w:val="a7"/>
          <w:rFonts w:hAnsi="Arial"/>
          <w:b w:val="0"/>
          <w:bCs w:val="0"/>
          <w:rtl/>
          <w:lang w:eastAsia="en-US"/>
        </w:rPr>
        <w:footnoteReference w:id="2941"/>
      </w:r>
      <w:r>
        <w:rPr>
          <w:rtl/>
        </w:rPr>
        <w:t xml:space="preserve">וְאַתֶּם הַדְּבֵקִים בַּיהו''ה אלהיכ''ם חַיִּים </w:t>
      </w:r>
      <w:r>
        <w:rPr>
          <w:sz w:val="20"/>
          <w:szCs w:val="20"/>
          <w:rtl/>
        </w:rPr>
        <w:t xml:space="preserve">(דף מז ע''א) </w:t>
      </w:r>
      <w:r>
        <w:rPr>
          <w:rtl/>
        </w:rPr>
        <w:t xml:space="preserve">כֻּלְּכֶם הַיּוֹם </w:t>
      </w:r>
      <w:r>
        <w:rPr>
          <w:sz w:val="20"/>
          <w:szCs w:val="20"/>
          <w:rtl/>
        </w:rPr>
        <w:t>(דברים ד ד)</w:t>
      </w:r>
      <w:r>
        <w:rPr>
          <w:rtl/>
        </w:rPr>
        <w:t>.</w:t>
      </w:r>
    </w:p>
    <w:p w:rsidR="002D629A" w:rsidRDefault="002D629A" w:rsidP="00B17EA9">
      <w:pPr>
        <w:pStyle w:val="NormalWeb"/>
        <w:rPr>
          <w:rtl/>
        </w:rPr>
      </w:pPr>
      <w:r>
        <w:rPr>
          <w:rtl/>
        </w:rPr>
        <w:t xml:space="preserve">וְאִינוּן צַדִּיקִים גְּמוּרִים דְּנִכְתָּבִין וְנֶחתָמִין לְאַלְתַּר לְחַיִּים, וּכְתִיבִין בְּסִפְרָא דְחַיֵּי, כְּמָה דְאַתְּ אָמַר וּבְסֵפֶר חַיִּים בְּרָכָה וכו', בֵּינוּנִיִּים דִּכְּלִילָן מֵחוֹל וְקֹדֶשׁ תַּלְיָין עַד יוֹם הַכִּפּוּרִים דְּאִיהוּ כְּגַוְונָא דְתֵּיבַת נֹחַ, אִם תַּיְיבִין בִּתְיוּבְתָּא יְקַבֵּל לוֹן וְיִכָּתְבוּן לְחַיֵּי, וְאִם לַאו יִכָּתְבוּן לְמִיתָה עִם אָחֳרָנִין, דְּאִתְּמַר בְּהוֹן </w:t>
      </w:r>
      <w:r>
        <w:rPr>
          <w:sz w:val="20"/>
          <w:szCs w:val="20"/>
          <w:rtl/>
        </w:rPr>
        <w:t>(בראשית ז כא)</w:t>
      </w:r>
      <w:r>
        <w:rPr>
          <w:rtl/>
        </w:rPr>
        <w:t xml:space="preserve"> וַיִּגְוַע כָּל בָּשָׂר וכו', וּבֵינוּנִיִּים בְּגִין דְּאִית בְּהוֹן פִּקּוּדִין וְחוֹבִין, אִתְּמַר בְּהוֹן </w:t>
      </w:r>
      <w:r>
        <w:rPr>
          <w:sz w:val="20"/>
          <w:szCs w:val="20"/>
          <w:rtl/>
        </w:rPr>
        <w:t>(שם ו יט)</w:t>
      </w:r>
      <w:r>
        <w:rPr>
          <w:rtl/>
        </w:rPr>
        <w:t xml:space="preserve"> וּמִכָּל הָחַי מִכָּל בָּשָׂר וכו', </w:t>
      </w:r>
      <w:r>
        <w:rPr>
          <w:rStyle w:val="a7"/>
          <w:rFonts w:hAnsi="Arial"/>
          <w:b w:val="0"/>
          <w:bCs w:val="0"/>
          <w:rtl/>
          <w:lang w:eastAsia="en-US"/>
        </w:rPr>
        <w:footnoteReference w:id="2942"/>
      </w:r>
      <w:r>
        <w:rPr>
          <w:rtl/>
        </w:rPr>
        <w:t xml:space="preserve">מִכָּל הָחַי מִסִּטְרָא דְזַכְוָון, </w:t>
      </w:r>
      <w:r>
        <w:rPr>
          <w:rStyle w:val="a7"/>
          <w:rFonts w:hAnsi="Arial"/>
          <w:b w:val="0"/>
          <w:bCs w:val="0"/>
          <w:rtl/>
          <w:lang w:eastAsia="en-US"/>
        </w:rPr>
        <w:footnoteReference w:id="2943"/>
      </w:r>
      <w:r>
        <w:rPr>
          <w:rtl/>
        </w:rPr>
        <w:t xml:space="preserve">מִכָּל בָּשָׂר מִסִּטְרָא דְחוֹבִין. </w:t>
      </w:r>
      <w:r>
        <w:rPr>
          <w:sz w:val="20"/>
          <w:szCs w:val="20"/>
          <w:rtl/>
        </w:rPr>
        <w:t>(ועוד דבזמנא דייתי משיחא כל אינון דנטרו אות ברית ישזיב יתהון ממותנא, דבההוא זמנא יתבטל מותנא, דהוו מתנבאין אינון נביאיא דאספקלריא דלא נהרא דלא ישתארון אלא חד מעיר ושנים ממשפחה, כגון ההוא דכתיב (שם ז ט) שנים שנים באו אל נח, ואית מאן דאמר שבעה שבעה מסטרא דבת שבע, ואלין אינון חד מעיר, נח דא שבת, דביה נייחא דירית לה צדיק, שנים שנים תרין יומין חד דראש השנה וחד דיום הדין, דתניינא איהו מספק ויומא חדא דיום הכפורים, ויומא חדא דשבועות, ושבעה שבעה אינון שבעה יומי דסכות ושבעה יומי דפסחא, דמאן דנטיר אינון יומין עתיד לאשתזבא בגלותא)</w:t>
      </w:r>
      <w:r>
        <w:rPr>
          <w:rtl/>
        </w:rPr>
        <w:t>.</w:t>
      </w:r>
    </w:p>
    <w:p w:rsidR="002D629A" w:rsidRDefault="002D629A" w:rsidP="00B17EA9">
      <w:pPr>
        <w:pStyle w:val="NormalWeb"/>
        <w:rPr>
          <w:rtl/>
        </w:rPr>
      </w:pPr>
      <w:r>
        <w:rPr>
          <w:rtl/>
        </w:rPr>
        <w:t xml:space="preserve">וּבְגִין דְּגַלֵּי כָּל דָּא קוּדְשָׁא בְּרִיךְ הוּא לְמֹשֶׁה, שְׁאִיל רַחֲמֵי עֲלַיְיהוּ, וּמָסַר גַּרְמֵיהּ לְמִיתָה, הֲדָא הוּא דִכְתִיב </w:t>
      </w:r>
      <w:r>
        <w:rPr>
          <w:sz w:val="20"/>
          <w:szCs w:val="20"/>
          <w:rtl/>
        </w:rPr>
        <w:t>(שמות לב לב)</w:t>
      </w:r>
      <w:r>
        <w:rPr>
          <w:rtl/>
        </w:rPr>
        <w:t xml:space="preserve"> וְאִם אַיִן מְחֵנִי נָא מִסִּפְרְךָ, וּבְפִיּוּסָא דִילֵיהּ אִדַּבַּק בְּמַלְכָּא, </w:t>
      </w:r>
      <w:r>
        <w:rPr>
          <w:rStyle w:val="a7"/>
          <w:rFonts w:hAnsi="Arial"/>
          <w:b w:val="0"/>
          <w:bCs w:val="0"/>
          <w:rtl/>
          <w:lang w:eastAsia="en-US"/>
        </w:rPr>
        <w:footnoteReference w:id="2944"/>
      </w:r>
      <w:r>
        <w:rPr>
          <w:rtl/>
        </w:rPr>
        <w:t xml:space="preserve">וַאֲחִיד בִּדְרוֹעָא דִיְמִינָא וְאָמַר </w:t>
      </w:r>
      <w:r>
        <w:rPr>
          <w:sz w:val="20"/>
          <w:szCs w:val="20"/>
          <w:rtl/>
        </w:rPr>
        <w:t>(שם יג)</w:t>
      </w:r>
      <w:r>
        <w:rPr>
          <w:rtl/>
        </w:rPr>
        <w:t xml:space="preserve"> זְכוֹר לְאַבְרָהָם, וּלְבָתַר אֲחִיד בִּשְׂמָאלָא וְאָמַר זְכוֹר לְיִצְחָק, וּלְבָתַר אֲחִיד בְּגוּפָא וְאָמַר </w:t>
      </w:r>
      <w:r>
        <w:rPr>
          <w:sz w:val="20"/>
          <w:szCs w:val="20"/>
          <w:rtl/>
        </w:rPr>
        <w:t>(שם)</w:t>
      </w:r>
      <w:r>
        <w:rPr>
          <w:rtl/>
        </w:rPr>
        <w:t xml:space="preserve"> וּלְיִשְׂרָאֵל, </w:t>
      </w:r>
      <w:r>
        <w:rPr>
          <w:rStyle w:val="a7"/>
          <w:rFonts w:hAnsi="Arial"/>
          <w:b w:val="0"/>
          <w:bCs w:val="0"/>
          <w:rtl/>
          <w:lang w:eastAsia="en-US"/>
        </w:rPr>
        <w:footnoteReference w:id="2945"/>
      </w:r>
      <w:r>
        <w:rPr>
          <w:rtl/>
        </w:rPr>
        <w:t>וְאָמַר קוּדְשָׁא בְּרִיךְ הוּא לְאִלֵּין בֵּינוּנִים לְגַבַּיְיהוּ תַּמָּה זְכוּת אָבוֹת, כֵּיוָן דְּלָא תָאבוּ בִתְיוּבְתָּא הָא אִינוּן כִּרְשָׁעִים גְּמוּרִים וְאִם תָּאבִין בִּתְיוּבְתָּא אִתְּמַר לְגַבַּיְיהוּ חָלָה זְכוּת אָבוֹת, וּבְגִין דְּלָא יִתְאֲבִידוּ אִלֵּין בֵּינוּנִיִּים אָמַר מֹשֶׁה וְכִי יֵמְרוּן בְּנֵי עָלְמָא דַאֲנָא כְּנֹחַ דְּלָא בָּעָא רַחֲמֵי עַל דָּרֵיהּ, בְּהַהוּא זִמְנָא מָסַר גַּרְמֵיהּ עֲלַיְיהוּ, הֲדָא הוּא דִכְתִיב וְאִם אַיִן מְחֵנִי נָא.</w:t>
      </w:r>
    </w:p>
    <w:p w:rsidR="002D629A" w:rsidRDefault="002D629A" w:rsidP="00B17EA9">
      <w:pPr>
        <w:pStyle w:val="NormalWeb"/>
        <w:rPr>
          <w:rtl/>
        </w:rPr>
      </w:pPr>
      <w:r>
        <w:rPr>
          <w:rtl/>
        </w:rPr>
        <w:t xml:space="preserve">וּבְגִין דָּא עָתִיד רַעְיָא מְהֵימְנָא לְמֶהֱוִי בְגָלוּתָא בַתְרָאָה, וּבֵיהּ יִתְקַיֵּים </w:t>
      </w:r>
      <w:r>
        <w:rPr>
          <w:sz w:val="20"/>
          <w:szCs w:val="20"/>
          <w:rtl/>
        </w:rPr>
        <w:t>(ישעיה נג ה)</w:t>
      </w:r>
      <w:r>
        <w:rPr>
          <w:rtl/>
        </w:rPr>
        <w:t xml:space="preserve"> וְהוּא מְחוֹלָל מִפְּשָׁעִינוּ, </w:t>
      </w:r>
      <w:r>
        <w:rPr>
          <w:rStyle w:val="a7"/>
          <w:rFonts w:hAnsi="Arial"/>
          <w:b w:val="0"/>
          <w:bCs w:val="0"/>
          <w:rtl/>
          <w:lang w:eastAsia="en-US"/>
        </w:rPr>
        <w:footnoteReference w:id="2946"/>
      </w:r>
      <w:r>
        <w:rPr>
          <w:rtl/>
        </w:rPr>
        <w:t xml:space="preserve">אִתְעֲבִיד חוֹל בְּגִינַיְיהוּ, מְדוּכָּא בַּעֲוֹנוֹתֵינוּ בְּמַכְתְּשִׁין </w:t>
      </w:r>
      <w:r>
        <w:rPr>
          <w:rStyle w:val="a7"/>
          <w:rFonts w:hAnsi="Arial"/>
          <w:b w:val="0"/>
          <w:bCs w:val="0"/>
          <w:rtl/>
          <w:lang w:eastAsia="en-US"/>
        </w:rPr>
        <w:footnoteReference w:id="2947"/>
      </w:r>
      <w:r>
        <w:rPr>
          <w:rtl/>
        </w:rPr>
        <w:t xml:space="preserve">דְּיִסּוּרִין דַּעֲנִיּוּתָא, בְּכַמָּה דוֹחֲקִין דְּסָבִיל עֲלַיְיהוּ, וּבְגִינֵיהּ </w:t>
      </w:r>
      <w:r>
        <w:rPr>
          <w:sz w:val="20"/>
          <w:szCs w:val="20"/>
          <w:rtl/>
        </w:rPr>
        <w:t>(שמות לב ד)</w:t>
      </w:r>
      <w:r>
        <w:rPr>
          <w:rtl/>
        </w:rPr>
        <w:t xml:space="preserve"> וַיִּנָּחֶם יהו''ה עַל הָרָעָה וְגוֹמֵר, וְהֲדָא הוּא דִכְתִיב </w:t>
      </w:r>
      <w:r>
        <w:rPr>
          <w:sz w:val="20"/>
          <w:szCs w:val="20"/>
          <w:rtl/>
        </w:rPr>
        <w:t>(ישעיה נג ה)</w:t>
      </w:r>
      <w:r>
        <w:rPr>
          <w:rtl/>
        </w:rPr>
        <w:t xml:space="preserve"> וּבַחֲבוּרָתוֹ נִרְפָּא לָנוּ, וּבְגִינֵיהּ </w:t>
      </w:r>
      <w:r>
        <w:rPr>
          <w:rStyle w:val="a7"/>
          <w:rFonts w:hAnsi="Arial"/>
          <w:b w:val="0"/>
          <w:bCs w:val="0"/>
          <w:rtl/>
          <w:lang w:eastAsia="en-US"/>
        </w:rPr>
        <w:footnoteReference w:id="2948"/>
      </w:r>
      <w:r>
        <w:rPr>
          <w:rtl/>
        </w:rPr>
        <w:t xml:space="preserve">שְׂמֹאל דּוֹחֶה לְבֵינוּנִיִּים דְּאִיהִי רֹאשׁ הַשָּׁנָה, וְיָמִין מְקָרֵב לוֹן בִּתְיוּבְתָּא דְאִיהוּ פֶּסַח, דְּרוֹעָא יְמִינָא לְקַבֵּל שָׁבִים, </w:t>
      </w:r>
      <w:r>
        <w:rPr>
          <w:rStyle w:val="a7"/>
          <w:rFonts w:hAnsi="Arial"/>
          <w:b w:val="0"/>
          <w:bCs w:val="0"/>
          <w:rtl/>
          <w:lang w:eastAsia="en-US"/>
        </w:rPr>
        <w:footnoteReference w:id="2949"/>
      </w:r>
      <w:r>
        <w:rPr>
          <w:rtl/>
        </w:rPr>
        <w:t xml:space="preserve">וְיוֹקִים לוֹן מִנְּפִילוּ דִלְהוֹן וַאֲחִיד בִּידֵיהוֹן, וְיֵימִי לוֹן קוּמִי שְׁבִי יְרוּשָׁלָם, וּבְשָׁבוּעוֹת יִפְקוּן בִּזְכוּתָא דְמֹשֶׁה </w:t>
      </w:r>
      <w:r>
        <w:rPr>
          <w:rStyle w:val="a7"/>
          <w:rFonts w:hAnsi="Arial"/>
          <w:b w:val="0"/>
          <w:bCs w:val="0"/>
          <w:rtl/>
          <w:lang w:eastAsia="en-US"/>
        </w:rPr>
        <w:footnoteReference w:id="2950"/>
      </w:r>
      <w:r>
        <w:rPr>
          <w:rtl/>
        </w:rPr>
        <w:t xml:space="preserve">דְאִיהוּ מַתַּן תּוֹרָה רַחֲמֵי, </w:t>
      </w:r>
      <w:r>
        <w:rPr>
          <w:sz w:val="20"/>
          <w:szCs w:val="20"/>
          <w:rtl/>
        </w:rPr>
        <w:t>(ס"א וְגַלִּי לוֹן סֵפֶר תּוֹרָה, וְיִתְכַּנְשׁוּן לִירוּשְׁלֵם, וְתֵרָאֶה הַיַּבָּשָׁה מַלְכוּת הָרִשְׁעָה, וְרַחֲמֵי עַל בְּנוֹי)</w:t>
      </w:r>
      <w:r>
        <w:rPr>
          <w:rtl/>
        </w:rPr>
        <w:t xml:space="preserve"> וּבֵיהּ </w:t>
      </w:r>
      <w:r>
        <w:rPr>
          <w:sz w:val="20"/>
          <w:szCs w:val="20"/>
          <w:rtl/>
        </w:rPr>
        <w:t>(דברים לב יא)</w:t>
      </w:r>
      <w:r>
        <w:rPr>
          <w:rtl/>
        </w:rPr>
        <w:t xml:space="preserve"> כְּנֶשֶׁר יָעִיר קִנּוֹ, </w:t>
      </w:r>
      <w:r>
        <w:rPr>
          <w:rStyle w:val="a7"/>
          <w:rFonts w:hAnsi="Arial"/>
          <w:b w:val="0"/>
          <w:bCs w:val="0"/>
          <w:rtl/>
          <w:lang w:eastAsia="en-US"/>
        </w:rPr>
        <w:footnoteReference w:id="2951"/>
      </w:r>
      <w:r>
        <w:rPr>
          <w:rtl/>
        </w:rPr>
        <w:t xml:space="preserve">מָאן קִנּוֹ יְרוּשְׁלֵם קִנּוֹ </w:t>
      </w:r>
      <w:r>
        <w:rPr>
          <w:sz w:val="20"/>
          <w:szCs w:val="20"/>
          <w:rtl/>
        </w:rPr>
        <w:t>(לשכינתא)</w:t>
      </w:r>
      <w:r>
        <w:rPr>
          <w:rtl/>
        </w:rPr>
        <w:t>.</w:t>
      </w:r>
    </w:p>
    <w:p w:rsidR="002D629A" w:rsidRDefault="002D629A" w:rsidP="00B17EA9">
      <w:pPr>
        <w:pStyle w:val="NormalWeb"/>
        <w:rPr>
          <w:rtl/>
        </w:rPr>
      </w:pPr>
      <w:r>
        <w:rPr>
          <w:rtl/>
        </w:rPr>
        <w:t xml:space="preserve">בְּהַהוּא זִמְנָא שׁוֹפָ''ר מְהוּפָּ''ךְ קַדְמָ''א זָקֵף קָטָ''ן, אִתְהַפַּךְ מֶמְשָׁלָה דְאוּמִין דְּעָלְמָא, וְיִשְׂרָאֵל דְּאִינוּן מִזַּרְעָא דְהַהוּא </w:t>
      </w:r>
      <w:r>
        <w:rPr>
          <w:rStyle w:val="a7"/>
          <w:rFonts w:hAnsi="Arial"/>
          <w:b w:val="0"/>
          <w:bCs w:val="0"/>
          <w:rtl/>
          <w:lang w:eastAsia="en-US"/>
        </w:rPr>
        <w:footnoteReference w:id="2952"/>
      </w:r>
      <w:r>
        <w:rPr>
          <w:rtl/>
        </w:rPr>
        <w:t xml:space="preserve">דְאִתְּמַר בֵּיהּ </w:t>
      </w:r>
      <w:r>
        <w:rPr>
          <w:sz w:val="20"/>
          <w:szCs w:val="20"/>
          <w:rtl/>
        </w:rPr>
        <w:t>(בראשית לב יא)</w:t>
      </w:r>
      <w:r>
        <w:rPr>
          <w:rtl/>
        </w:rPr>
        <w:t xml:space="preserve"> קָטֹנְתִּי מִכֹּל הַחֲסָדִים אִסְתַּלַּק וְאִזְדַּקַּף, וְאִתְּמַר בֵּיהּ </w:t>
      </w:r>
      <w:r>
        <w:rPr>
          <w:rStyle w:val="a7"/>
          <w:rFonts w:hAnsi="Arial"/>
          <w:b w:val="0"/>
          <w:bCs w:val="0"/>
          <w:rtl/>
          <w:lang w:eastAsia="en-US"/>
        </w:rPr>
        <w:footnoteReference w:id="2953"/>
      </w:r>
      <w:r>
        <w:rPr>
          <w:rtl/>
        </w:rPr>
        <w:t xml:space="preserve">זָקֵ''ף גָּדוֹ''ל, בִּימִינָא אִסְתַּלְקוּ מִן גָּלוּתָא, </w:t>
      </w:r>
      <w:r>
        <w:rPr>
          <w:rStyle w:val="a7"/>
          <w:rFonts w:hAnsi="Arial"/>
          <w:b w:val="0"/>
          <w:bCs w:val="0"/>
          <w:rtl/>
          <w:lang w:eastAsia="en-US"/>
        </w:rPr>
        <w:footnoteReference w:id="2954"/>
      </w:r>
      <w:r>
        <w:rPr>
          <w:rtl/>
        </w:rPr>
        <w:t>בְּגִין דְּמוֹלִיךְ לִימִין מֹשֶׁה דְּדַרְגֵּיהּ עַמּוּדָא דְאֶמְצָעִיתָא דְאִיהוּ שָׁבוּעוֹת.</w:t>
      </w:r>
    </w:p>
    <w:p w:rsidR="002D629A" w:rsidRDefault="002D629A" w:rsidP="00B17EA9">
      <w:pPr>
        <w:pStyle w:val="NormalWeb"/>
        <w:rPr>
          <w:rtl/>
        </w:rPr>
      </w:pPr>
      <w:r>
        <w:rPr>
          <w:rStyle w:val="a7"/>
          <w:rFonts w:hAnsi="Arial"/>
          <w:b w:val="0"/>
          <w:bCs w:val="0"/>
          <w:rtl/>
          <w:lang w:eastAsia="en-US"/>
        </w:rPr>
        <w:footnoteReference w:id="2955"/>
      </w:r>
      <w:r>
        <w:rPr>
          <w:rtl/>
        </w:rPr>
        <w:t xml:space="preserve">וּבֵיהּ מַאֲרִי''ךְ טַרְחָ''א, בֵיהּ מַאֲרִיךְ קוּדְשָׁא בְּרִיךְ הוּא </w:t>
      </w:r>
      <w:r>
        <w:rPr>
          <w:rStyle w:val="a7"/>
          <w:rFonts w:hAnsi="Arial"/>
          <w:b w:val="0"/>
          <w:bCs w:val="0"/>
          <w:rtl/>
          <w:lang w:eastAsia="en-US"/>
        </w:rPr>
        <w:footnoteReference w:id="2956"/>
      </w:r>
      <w:r>
        <w:rPr>
          <w:rtl/>
        </w:rPr>
        <w:t xml:space="preserve">דְאִיהוּ אֶרֶךְ אַפַּיִם עַל בֵּינוּנִיִּים, </w:t>
      </w:r>
      <w:r>
        <w:rPr>
          <w:rStyle w:val="a7"/>
          <w:rFonts w:hAnsi="Arial"/>
          <w:b w:val="0"/>
          <w:bCs w:val="0"/>
          <w:rtl/>
          <w:lang w:eastAsia="en-US"/>
        </w:rPr>
        <w:footnoteReference w:id="2957"/>
      </w:r>
      <w:r>
        <w:rPr>
          <w:rtl/>
        </w:rPr>
        <w:t xml:space="preserve">וְטָרַח בְּגִינַיְיהוּ, לְקַיָּימָא וּבְרַחֲמִים גְּדוֹלִים אֲקַבְּצֵךְ </w:t>
      </w:r>
      <w:r>
        <w:rPr>
          <w:sz w:val="20"/>
          <w:szCs w:val="20"/>
          <w:rtl/>
        </w:rPr>
        <w:t>(ישעיה נד ז)</w:t>
      </w:r>
      <w:r>
        <w:rPr>
          <w:rtl/>
        </w:rPr>
        <w:t xml:space="preserve">, </w:t>
      </w:r>
      <w:r>
        <w:rPr>
          <w:rStyle w:val="a7"/>
          <w:rFonts w:hAnsi="Arial"/>
          <w:b w:val="0"/>
          <w:bCs w:val="0"/>
          <w:rtl/>
          <w:lang w:eastAsia="en-US"/>
        </w:rPr>
        <w:footnoteReference w:id="2958"/>
      </w:r>
      <w:r>
        <w:rPr>
          <w:rtl/>
        </w:rPr>
        <w:t xml:space="preserve">וּבֵיהּ יִפְקוֹן עַל יְדָא דְהַהוּא דְאִתְיַיהִיב אוֹרַיְתָא עַל יְדֵיהּ בְּשָׁבוּעוֹת, דְּאָזִיל לִימִינָא דְהַיְינוּ פֶסַח, </w:t>
      </w:r>
      <w:r>
        <w:rPr>
          <w:rStyle w:val="a7"/>
          <w:rFonts w:hAnsi="Arial"/>
          <w:b w:val="0"/>
          <w:bCs w:val="0"/>
          <w:rtl/>
          <w:lang w:eastAsia="en-US"/>
        </w:rPr>
        <w:footnoteReference w:id="2959"/>
      </w:r>
      <w:r>
        <w:rPr>
          <w:rtl/>
        </w:rPr>
        <w:t xml:space="preserve">בְּהַהִיא זִמְנָא אָז יָשִׁיר מֹשֶׁה </w:t>
      </w:r>
      <w:r>
        <w:rPr>
          <w:sz w:val="20"/>
          <w:szCs w:val="20"/>
          <w:rtl/>
        </w:rPr>
        <w:t>(שמות טו א)</w:t>
      </w:r>
      <w:r>
        <w:rPr>
          <w:rtl/>
        </w:rPr>
        <w:t xml:space="preserve">, </w:t>
      </w:r>
      <w:r>
        <w:rPr>
          <w:rStyle w:val="a7"/>
          <w:rFonts w:hAnsi="Arial"/>
          <w:b w:val="0"/>
          <w:bCs w:val="0"/>
          <w:rtl/>
          <w:lang w:eastAsia="en-US"/>
        </w:rPr>
        <w:footnoteReference w:id="2960"/>
      </w:r>
      <w:r>
        <w:rPr>
          <w:rtl/>
        </w:rPr>
        <w:t xml:space="preserve">וּבַסֻּכּוֹת וַיָּבֹא יַעֲקֹב שָׁלֵם </w:t>
      </w:r>
      <w:r>
        <w:rPr>
          <w:sz w:val="20"/>
          <w:szCs w:val="20"/>
          <w:rtl/>
        </w:rPr>
        <w:t>(בראשית לג יח)</w:t>
      </w:r>
      <w:r>
        <w:rPr>
          <w:rtl/>
        </w:rPr>
        <w:t xml:space="preserve">, </w:t>
      </w:r>
      <w:r>
        <w:rPr>
          <w:rStyle w:val="a7"/>
          <w:rFonts w:hAnsi="Arial"/>
          <w:b w:val="0"/>
          <w:bCs w:val="0"/>
          <w:rtl/>
          <w:lang w:eastAsia="en-US"/>
        </w:rPr>
        <w:footnoteReference w:id="2961"/>
      </w:r>
      <w:r>
        <w:rPr>
          <w:rtl/>
        </w:rPr>
        <w:t xml:space="preserve">שָׁלֵם בְּגוּפֵיהּ, </w:t>
      </w:r>
      <w:r>
        <w:rPr>
          <w:rStyle w:val="a7"/>
          <w:rFonts w:hAnsi="Arial"/>
          <w:b w:val="0"/>
          <w:bCs w:val="0"/>
          <w:rtl/>
          <w:lang w:eastAsia="en-US"/>
        </w:rPr>
        <w:footnoteReference w:id="2962"/>
      </w:r>
      <w:r>
        <w:rPr>
          <w:rtl/>
        </w:rPr>
        <w:t xml:space="preserve">שָׁלֵם בְּמָמוֹנֵיהּ, וְאִסְתַּחַר בְּשִׁבְעָה עֲנָנֵי יְקָר </w:t>
      </w:r>
      <w:r>
        <w:rPr>
          <w:rStyle w:val="a7"/>
          <w:rFonts w:hAnsi="Arial"/>
          <w:b w:val="0"/>
          <w:bCs w:val="0"/>
          <w:rtl/>
          <w:lang w:eastAsia="en-US"/>
        </w:rPr>
        <w:footnoteReference w:id="2963"/>
      </w:r>
      <w:r>
        <w:rPr>
          <w:rtl/>
        </w:rPr>
        <w:t xml:space="preserve">כְּגַוְונָא דְקַדְמֵיתָא כַּד נָפְקוּ יִשְׂרָאֵל מִמִּצְרַיִם, לְקַיֵּים כִּימֵי צֵאתְךָ מֵאֶרֶץ מִצְרָיִם וְגוֹמֵר </w:t>
      </w:r>
      <w:r>
        <w:rPr>
          <w:sz w:val="20"/>
          <w:szCs w:val="20"/>
          <w:rtl/>
        </w:rPr>
        <w:t>(מיכה ז טו)</w:t>
      </w:r>
      <w:r>
        <w:rPr>
          <w:rtl/>
        </w:rPr>
        <w:t>.</w:t>
      </w:r>
    </w:p>
    <w:p w:rsidR="002D629A" w:rsidRDefault="002D629A" w:rsidP="00B17EA9">
      <w:pPr>
        <w:pStyle w:val="NormalWeb"/>
        <w:rPr>
          <w:sz w:val="20"/>
          <w:szCs w:val="20"/>
          <w:rtl/>
        </w:rPr>
      </w:pPr>
      <w:r>
        <w:rPr>
          <w:rStyle w:val="a7"/>
          <w:rFonts w:hAnsi="Arial"/>
          <w:b w:val="0"/>
          <w:bCs w:val="0"/>
          <w:rtl/>
          <w:lang w:eastAsia="en-US"/>
        </w:rPr>
        <w:footnoteReference w:id="2964"/>
      </w:r>
      <w:r>
        <w:rPr>
          <w:rtl/>
        </w:rPr>
        <w:t xml:space="preserve">וְרַשִּׁיעַיָּא דְאִינוּן עִרֶב רַב אִתְּמַר בְּהוֹן סוֹ''ף פָּסוּ''ק, דְּאִינוּן מִזַּרְעָא דַעֲמָלֵק דְּאִתְּמַר בֵּיהּ </w:t>
      </w:r>
      <w:r>
        <w:rPr>
          <w:sz w:val="20"/>
          <w:szCs w:val="20"/>
          <w:rtl/>
        </w:rPr>
        <w:t>(שמות יז טו)</w:t>
      </w:r>
      <w:r>
        <w:rPr>
          <w:rtl/>
        </w:rPr>
        <w:t xml:space="preserve"> וַיֹּאמֶר כִּי יָד עַל כֵּס י''הּ, וְאִינוּן חָמֵשׁ מִינִים עֲמָלֵקִים גִּבּוֹרִים נְפִילִים עֲנָקִים רְפָאִים, דְּכֻלְּהוּ מִסְתַּלְּקִין וּמִתְגַּבְּרִין עַל יִשְׂרָאֵל בְּגָלוּתָא, הֲדָא הוּא דִכְתִיב </w:t>
      </w:r>
      <w:r>
        <w:rPr>
          <w:sz w:val="20"/>
          <w:szCs w:val="20"/>
          <w:rtl/>
        </w:rPr>
        <w:t>(בראשית ז יח)</w:t>
      </w:r>
      <w:r>
        <w:rPr>
          <w:rtl/>
        </w:rPr>
        <w:t xml:space="preserve"> וַיִּגְבְּרוּ הַמַּיִם וַיִּרְבּוּ מְאֹד עַל הָאָרֶץ, וְאַרְבַּע זִמְנִין כְּתִיב וַיִּגְבְּרוּ וְגָבְרוּ, לָקֳבֵל אַרְבַּע גַּלְוָון, וַעֲלַיְיהוּ אִתְּמַר סוֹ''ף פָּסוּ''ק, דְּפָסִיק לוֹן קוּדְשָׁא בְּרִיךְ הוּא לְסוֹף יוֹמַיָּא מֵעָלְמָא.</w:t>
      </w:r>
    </w:p>
    <w:p w:rsidR="002D629A" w:rsidRDefault="002D629A" w:rsidP="00B17EA9">
      <w:pPr>
        <w:pStyle w:val="aa"/>
        <w:rPr>
          <w:rtl/>
        </w:rPr>
      </w:pPr>
      <w:r>
        <w:rPr>
          <w:rtl/>
        </w:rPr>
        <w:t xml:space="preserve">[תיקוני זוהר - דף מז ע''ב] </w:t>
      </w:r>
    </w:p>
    <w:p w:rsidR="002D629A" w:rsidRDefault="002D629A" w:rsidP="00B17EA9">
      <w:pPr>
        <w:pStyle w:val="NormalWeb"/>
        <w:rPr>
          <w:rtl/>
        </w:rPr>
      </w:pPr>
      <w:r>
        <w:rPr>
          <w:rtl/>
        </w:rPr>
        <w:t xml:space="preserve">וּבְהַהוּא זִמְנָא </w:t>
      </w:r>
      <w:r>
        <w:rPr>
          <w:rStyle w:val="a7"/>
          <w:rFonts w:hAnsi="Arial"/>
          <w:b w:val="0"/>
          <w:bCs w:val="0"/>
          <w:rtl/>
          <w:lang w:eastAsia="en-US"/>
        </w:rPr>
        <w:footnoteReference w:id="2965"/>
      </w:r>
      <w:r>
        <w:rPr>
          <w:rtl/>
        </w:rPr>
        <w:t xml:space="preserve">הַקָּטֹן יִהְיֶה לָאֶלֶף </w:t>
      </w:r>
      <w:r>
        <w:rPr>
          <w:sz w:val="20"/>
          <w:szCs w:val="20"/>
          <w:rtl/>
        </w:rPr>
        <w:t>(ישעיה ס כב)</w:t>
      </w:r>
      <w:r>
        <w:rPr>
          <w:rtl/>
        </w:rPr>
        <w:t xml:space="preserve"> מִסִּטְרָא דִשְׂמָאלָא, וְהַצָּעִיר </w:t>
      </w:r>
      <w:r>
        <w:rPr>
          <w:rStyle w:val="a7"/>
          <w:rFonts w:hAnsi="Arial"/>
          <w:b w:val="0"/>
          <w:bCs w:val="0"/>
          <w:rtl/>
          <w:lang w:eastAsia="en-US"/>
        </w:rPr>
        <w:footnoteReference w:id="2966"/>
      </w:r>
      <w:r>
        <w:rPr>
          <w:rtl/>
        </w:rPr>
        <w:t xml:space="preserve">לְגוֹי עָצוּם </w:t>
      </w:r>
      <w:r>
        <w:rPr>
          <w:sz w:val="20"/>
          <w:szCs w:val="20"/>
          <w:rtl/>
        </w:rPr>
        <w:t>(שם)</w:t>
      </w:r>
      <w:r>
        <w:rPr>
          <w:rtl/>
        </w:rPr>
        <w:t xml:space="preserve"> מִסִּטְרָא דִימִינָא, </w:t>
      </w:r>
      <w:r>
        <w:rPr>
          <w:rStyle w:val="a7"/>
          <w:rFonts w:hAnsi="Arial"/>
          <w:b w:val="0"/>
          <w:bCs w:val="0"/>
          <w:rtl/>
          <w:lang w:eastAsia="en-US"/>
        </w:rPr>
        <w:footnoteReference w:id="2967"/>
      </w:r>
      <w:r>
        <w:rPr>
          <w:rtl/>
        </w:rPr>
        <w:t xml:space="preserve">אֲנִי יהו''ה בְּעִתָּהּ אֲחִישֶׁנָּה </w:t>
      </w:r>
      <w:r>
        <w:rPr>
          <w:sz w:val="20"/>
          <w:szCs w:val="20"/>
          <w:rtl/>
        </w:rPr>
        <w:t>(שם)</w:t>
      </w:r>
      <w:r>
        <w:rPr>
          <w:rtl/>
        </w:rPr>
        <w:t xml:space="preserve"> מִסִּטְרָא דְעַמּוּדָא דְאֶמְצָעִיתָא, וּמִיָּד יִתְפַּסְקוּן עֲמָלֵקִים </w:t>
      </w:r>
      <w:r>
        <w:rPr>
          <w:sz w:val="20"/>
          <w:szCs w:val="20"/>
          <w:rtl/>
        </w:rPr>
        <w:t xml:space="preserve">(דף מז ע''ב) </w:t>
      </w:r>
      <w:r>
        <w:rPr>
          <w:rtl/>
        </w:rPr>
        <w:t xml:space="preserve">מִן עָלְמָא, וְקוּדְשָׁא בְּרִיךְ הוּא יְתִיב עַל כָּרְסְיֵיהּ, וְדָא אִיהוּ </w:t>
      </w:r>
      <w:r>
        <w:rPr>
          <w:rStyle w:val="a7"/>
          <w:rFonts w:hAnsi="Arial"/>
          <w:b w:val="0"/>
          <w:bCs w:val="0"/>
          <w:rtl/>
          <w:lang w:eastAsia="en-US"/>
        </w:rPr>
        <w:footnoteReference w:id="2968"/>
      </w:r>
      <w:r>
        <w:rPr>
          <w:rtl/>
        </w:rPr>
        <w:t xml:space="preserve">שׁוֹפָ''ר הוֹלֵ''ךְ אַתְנָ''ח יְתִי''ב, בְּהַהוּא זִמְנָא דְיִתְמַחוּן עֲמָלֵקִים מֵעָלְמָא, יְהֵא קוּדְשָׁא בְּרִיךְ הוּא נָח נְיָיחָא לְיִשְׂרָאֵל, וְיָתִיב עַל כָּרְסְיֵיהּ, כְּמָה דְאִתְּמַר בֵּיהּ </w:t>
      </w:r>
      <w:r>
        <w:rPr>
          <w:sz w:val="20"/>
          <w:szCs w:val="20"/>
          <w:rtl/>
        </w:rPr>
        <w:t>(דניאל ז ט)</w:t>
      </w:r>
      <w:r>
        <w:rPr>
          <w:rtl/>
        </w:rPr>
        <w:t xml:space="preserve"> וְעַתִּיק יוֹמִין יְתִיב, לְבוּשֵׁהּ כִּתְלָג חִוָּר, לְקַיְימָא אִם יִהְיוּ חֲטָאֵיכֶם כַּשָּׁנִים כַּשֶּׁלֶג יַלְבִּינוּ </w:t>
      </w:r>
      <w:r>
        <w:rPr>
          <w:sz w:val="20"/>
          <w:szCs w:val="20"/>
          <w:rtl/>
        </w:rPr>
        <w:t>(ישעיה א יח)</w:t>
      </w:r>
      <w:r>
        <w:rPr>
          <w:rtl/>
        </w:rPr>
        <w:t>.</w:t>
      </w:r>
    </w:p>
    <w:p w:rsidR="002D629A" w:rsidRDefault="002D629A" w:rsidP="00B17EA9">
      <w:pPr>
        <w:pStyle w:val="NormalWeb"/>
        <w:rPr>
          <w:rtl/>
        </w:rPr>
      </w:pPr>
      <w:r>
        <w:rPr>
          <w:rtl/>
        </w:rPr>
        <w:t xml:space="preserve">וּלְגַבֵּי עִשָׂו וְיִשְׂמָעִאל </w:t>
      </w:r>
      <w:r>
        <w:rPr>
          <w:rStyle w:val="a7"/>
          <w:rFonts w:hAnsi="Arial"/>
          <w:b w:val="0"/>
          <w:bCs w:val="0"/>
          <w:rtl/>
          <w:lang w:eastAsia="en-US"/>
        </w:rPr>
        <w:footnoteReference w:id="2969"/>
      </w:r>
      <w:r>
        <w:rPr>
          <w:rtl/>
        </w:rPr>
        <w:t xml:space="preserve">כְּתִיב </w:t>
      </w:r>
      <w:r>
        <w:rPr>
          <w:sz w:val="20"/>
          <w:szCs w:val="20"/>
          <w:rtl/>
        </w:rPr>
        <w:t>(דניאל ז ט)</w:t>
      </w:r>
      <w:r>
        <w:rPr>
          <w:rtl/>
        </w:rPr>
        <w:t xml:space="preserve"> </w:t>
      </w:r>
      <w:r>
        <w:rPr>
          <w:rStyle w:val="Char"/>
          <w:rtl/>
          <w:lang w:eastAsia="en-US"/>
        </w:rPr>
        <w:t>כָּרְסְיֵיהּ שְׁבִיבִין דִּי נוּר,</w:t>
      </w:r>
      <w:r>
        <w:rPr>
          <w:rtl/>
        </w:rPr>
        <w:t xml:space="preserve"> </w:t>
      </w:r>
      <w:r>
        <w:rPr>
          <w:sz w:val="20"/>
          <w:szCs w:val="20"/>
          <w:rtl/>
        </w:rPr>
        <w:t>(ס''א רומי)</w:t>
      </w:r>
      <w:r>
        <w:rPr>
          <w:rtl/>
        </w:rPr>
        <w:t xml:space="preserve"> וּמֵאִינוּן שְׁבִיבִין דְּכָרְסְיֵיהּ אוֹקְדוּן כָּל טַעֲוָון דִּילְהוֹן, גַּלְגִּלּוֹהִי נוּר דָּלִיק, דְּנָחֲתִין מִנֵּיהּ </w:t>
      </w:r>
      <w:r>
        <w:rPr>
          <w:rStyle w:val="a7"/>
          <w:rFonts w:hAnsi="Arial"/>
          <w:b w:val="0"/>
          <w:bCs w:val="0"/>
          <w:rtl/>
          <w:lang w:eastAsia="en-US"/>
        </w:rPr>
        <w:footnoteReference w:id="2970"/>
      </w:r>
      <w:r>
        <w:rPr>
          <w:rtl/>
        </w:rPr>
        <w:t xml:space="preserve">עֶשֶׂר גַּלְגַּלִּין מִסִּטְרָא דְאָת י', </w:t>
      </w:r>
      <w:r>
        <w:rPr>
          <w:rStyle w:val="a7"/>
          <w:rFonts w:hAnsi="Arial"/>
          <w:b w:val="0"/>
          <w:bCs w:val="0"/>
          <w:rtl/>
          <w:lang w:eastAsia="en-US"/>
        </w:rPr>
        <w:footnoteReference w:id="2971"/>
      </w:r>
      <w:r>
        <w:rPr>
          <w:rtl/>
        </w:rPr>
        <w:t xml:space="preserve">וּשְׁבִיבִין מִסִּטְרָא דְאָת ה', תְּרֵין אַתְוָון יִתְעָרוּן בְּנוּרָא לְאוֹקָדָא טַעֲוָון דִּלְהוֹן, </w:t>
      </w:r>
      <w:r>
        <w:rPr>
          <w:rStyle w:val="a7"/>
          <w:rFonts w:hAnsi="Arial"/>
          <w:b w:val="0"/>
          <w:bCs w:val="0"/>
          <w:rtl/>
          <w:lang w:eastAsia="en-US"/>
        </w:rPr>
        <w:footnoteReference w:id="2972"/>
      </w:r>
      <w:r>
        <w:rPr>
          <w:rtl/>
        </w:rPr>
        <w:t xml:space="preserve">בְּהַהוּא זִמְנָא </w:t>
      </w:r>
      <w:r>
        <w:rPr>
          <w:sz w:val="20"/>
          <w:szCs w:val="20"/>
          <w:rtl/>
        </w:rPr>
        <w:t>(ישעיה א לא)</w:t>
      </w:r>
      <w:r>
        <w:rPr>
          <w:rtl/>
        </w:rPr>
        <w:t xml:space="preserve"> וְהָיָה הֶחָסֹן לִנְעוֹרֶת וכו'.</w:t>
      </w:r>
    </w:p>
    <w:p w:rsidR="002D629A" w:rsidRDefault="002D629A" w:rsidP="00B17EA9">
      <w:pPr>
        <w:pStyle w:val="NormalWeb"/>
        <w:rPr>
          <w:rtl/>
        </w:rPr>
      </w:pPr>
      <w:r>
        <w:rPr>
          <w:rStyle w:val="a7"/>
          <w:rFonts w:hAnsi="Arial"/>
          <w:b w:val="0"/>
          <w:bCs w:val="0"/>
          <w:rtl/>
          <w:lang w:eastAsia="en-US"/>
        </w:rPr>
        <w:footnoteReference w:id="2973"/>
      </w:r>
      <w:r>
        <w:rPr>
          <w:rtl/>
        </w:rPr>
        <w:t xml:space="preserve">בְּהַהוּא זִמְנָא סָלִיק ו' עַל דַּרְגָּא דִילֵיהּ דְּאִיהוּ שֵׁשׁ מַעֲלוֹת לַכִּסֵּא, וְדָא אִיהוּ דַרְגָּ''א, תְרֵ''י טַעֲמֵ''י, מַאי תְּרֵ''י טַעֲמֵ''י, אֶלָּא בָּתַר דְּסָלִיק לְדַרְגֵּיהּ יֵימַר לְיִשְׂרָאֵל וַעֲשֵׂה לִי מַטְעַמִּים כַּאֲשֶׁר אָהַבְתִּי </w:t>
      </w:r>
      <w:r>
        <w:rPr>
          <w:sz w:val="20"/>
          <w:szCs w:val="20"/>
          <w:rtl/>
        </w:rPr>
        <w:t>(בראשית כז ד)</w:t>
      </w:r>
      <w:r>
        <w:rPr>
          <w:rtl/>
        </w:rPr>
        <w:t xml:space="preserve">, מִפִּקּוּדִין דַּעֲשֵׂה דִכְלִילָן בְּה' דְּאַבְרָהָם, דִּכְלִיל רְמַ''ח פִּקּוּדִין, </w:t>
      </w:r>
      <w:r>
        <w:rPr>
          <w:rStyle w:val="a7"/>
          <w:rFonts w:hAnsi="Arial"/>
          <w:b w:val="0"/>
          <w:bCs w:val="0"/>
          <w:rtl/>
          <w:lang w:eastAsia="en-US"/>
        </w:rPr>
        <w:footnoteReference w:id="2974"/>
      </w:r>
      <w:r>
        <w:rPr>
          <w:rtl/>
        </w:rPr>
        <w:t>דִּבְהוֹן אִתְקְרִיב ה' לְגַבֵּי ו', וְקָרְבָּנָא דָא אִיהוּ קְרִיבוּ דְקוּדְשָׁא בְּרִיךְ הוּא עִם שְׁכִינְתֵּיהּ.</w:t>
      </w:r>
    </w:p>
    <w:p w:rsidR="002D629A" w:rsidRDefault="002D629A" w:rsidP="00B17EA9">
      <w:pPr>
        <w:pStyle w:val="NormalWeb"/>
        <w:rPr>
          <w:rtl/>
        </w:rPr>
      </w:pPr>
      <w:r>
        <w:rPr>
          <w:rtl/>
        </w:rPr>
        <w:t xml:space="preserve">בְּכָל אֲתַר וַאֲתַר </w:t>
      </w:r>
      <w:r>
        <w:rPr>
          <w:sz w:val="20"/>
          <w:szCs w:val="20"/>
          <w:rtl/>
        </w:rPr>
        <w:t>(נ''א אבר ואבר)</w:t>
      </w:r>
      <w:r>
        <w:rPr>
          <w:rtl/>
        </w:rPr>
        <w:t xml:space="preserve"> קְרִיבוּ י''ה, ה' חֲמֵשֶׁת אֲלָפִים לִבְרִיאַת עוֹלָם, ו' אֶלֶף הַשִּׁשִּׁי בְּרַמַ''ח, וּבִשְׂמָאלָא דְתַמָּן לִבָּא יִטּוֹל נוּקְמִין מֵאוּמִין דְּעָלְמָא, וְרָזָא דְמִלָּה </w:t>
      </w:r>
      <w:r>
        <w:rPr>
          <w:sz w:val="20"/>
          <w:szCs w:val="20"/>
          <w:rtl/>
        </w:rPr>
        <w:t>(ישעיה סג)</w:t>
      </w:r>
      <w:r>
        <w:rPr>
          <w:rtl/>
        </w:rPr>
        <w:t xml:space="preserve"> כִּי יוֹם נָקָם בְּלִבִּי, וַדַּאי אִתְכְּלִילָן בְּעַמּוּדָא דְאֶמְצָעִיתָא, דְפִקּוּדִין דַּעֲשֵׂה אִתְיְיהִיבוּ מִימִינָא, וּפִקּוּדִין דְּלֹא תַעֲשֶׂה מִשְּׂמָאלָא, וְאִלֵּין אִינוּן תְּרֵ''י טַעֲמֵ''י, וּפִקּוּדִין דַּעֲשֵׂה אִינוּן מַאֲכָלִין דְּקוּדְשָׁא בְּרִיךְ הוּא, וּפִקּוּדִין דְלֹא תַעֲשֶׂה פַרְנָסָה לְסמא''ל לְמָאן דְּעָבַר עֲלַיְיהוּ. </w:t>
      </w:r>
      <w:r>
        <w:rPr>
          <w:sz w:val="20"/>
          <w:szCs w:val="20"/>
          <w:rtl/>
        </w:rPr>
        <w:t>(ואלין הוה קריב)</w:t>
      </w:r>
      <w:r>
        <w:rPr>
          <w:rtl/>
        </w:rPr>
        <w:t xml:space="preserve"> </w:t>
      </w:r>
      <w:r>
        <w:rPr>
          <w:sz w:val="20"/>
          <w:szCs w:val="20"/>
          <w:rtl/>
        </w:rPr>
        <w:t>(נ''א אקדים)</w:t>
      </w:r>
      <w:r>
        <w:rPr>
          <w:rtl/>
        </w:rPr>
        <w:t xml:space="preserve"> </w:t>
      </w:r>
      <w:r>
        <w:rPr>
          <w:sz w:val="20"/>
          <w:szCs w:val="20"/>
          <w:rtl/>
        </w:rPr>
        <w:t>(נ''א ובאלין מתקרב)</w:t>
      </w:r>
      <w:r>
        <w:rPr>
          <w:rtl/>
        </w:rPr>
        <w:t xml:space="preserve"> עִשָׂו לְיִצְחָק וְאָמַר לֵיהּ יָקֻם אָבִי וְיֹאכַל מִצֵּיד בְּנוֹ </w:t>
      </w:r>
      <w:r>
        <w:rPr>
          <w:sz w:val="20"/>
          <w:szCs w:val="20"/>
          <w:rtl/>
        </w:rPr>
        <w:t>(בראשית כז לא)</w:t>
      </w:r>
      <w:r>
        <w:rPr>
          <w:rtl/>
        </w:rPr>
        <w:t xml:space="preserve">, וְסמא''ל בְּגִינַיְיהוּ </w:t>
      </w:r>
      <w:r>
        <w:rPr>
          <w:rStyle w:val="a7"/>
          <w:rFonts w:hAnsi="Arial"/>
          <w:b w:val="0"/>
          <w:bCs w:val="0"/>
          <w:rtl/>
          <w:lang w:eastAsia="en-US"/>
        </w:rPr>
        <w:footnoteReference w:id="2975"/>
      </w:r>
      <w:r>
        <w:rPr>
          <w:rtl/>
        </w:rPr>
        <w:t xml:space="preserve">הֲוָה קְרִיב לִשְׂמָאלָא, לְאַטְעָמָא לְקוּדְשָׁא בְּרִיךְ הוּא מֵחוֹבִין דִּבְנוֹי דְּאִינוּן מַאֲכָלִין מְרִירָן, דִּבְגִינַיְהוּ אִתְּמַר </w:t>
      </w:r>
      <w:r>
        <w:rPr>
          <w:sz w:val="20"/>
          <w:szCs w:val="20"/>
          <w:rtl/>
        </w:rPr>
        <w:t>(מלאכי א ג)</w:t>
      </w:r>
      <w:r>
        <w:rPr>
          <w:rtl/>
        </w:rPr>
        <w:t xml:space="preserve"> </w:t>
      </w:r>
      <w:r>
        <w:rPr>
          <w:rStyle w:val="a7"/>
          <w:rFonts w:hAnsi="Arial"/>
          <w:b w:val="0"/>
          <w:bCs w:val="0"/>
          <w:rtl/>
          <w:lang w:eastAsia="en-US"/>
        </w:rPr>
        <w:footnoteReference w:id="2976"/>
      </w:r>
      <w:r>
        <w:rPr>
          <w:rtl/>
        </w:rPr>
        <w:t xml:space="preserve">וְאֶת עִשָׂו שָׂנֵאתִי, </w:t>
      </w:r>
      <w:r>
        <w:rPr>
          <w:rStyle w:val="a7"/>
          <w:rFonts w:hAnsi="Arial"/>
          <w:b w:val="0"/>
          <w:bCs w:val="0"/>
          <w:rtl/>
          <w:lang w:eastAsia="en-US"/>
        </w:rPr>
        <w:footnoteReference w:id="2977"/>
      </w:r>
      <w:r>
        <w:rPr>
          <w:rtl/>
        </w:rPr>
        <w:t xml:space="preserve">עַמּוּדָא דְאֶמְצָעִיתָא מִתַּמָּן אִתְיְיהִיבַת אוֹרַיְתָא, דְאִיהִי כְּלִילָא דִימִינָא וּשְׂמָאלָא, </w:t>
      </w:r>
      <w:r>
        <w:rPr>
          <w:rStyle w:val="a7"/>
          <w:rFonts w:hAnsi="Arial"/>
          <w:b w:val="0"/>
          <w:bCs w:val="0"/>
          <w:rtl/>
          <w:lang w:eastAsia="en-US"/>
        </w:rPr>
        <w:footnoteReference w:id="2978"/>
      </w:r>
      <w:r>
        <w:rPr>
          <w:rtl/>
        </w:rPr>
        <w:t xml:space="preserve">בְּהַהוּא זִמְנָא עָשָׁן יִתְעַר לְגַבֵּי שְׂמָאלָא לְאַעֲבָרָא מִתַּמָּן סמא''ל, וּמִיָּד סָלִיק עָשָׁן אָחֳרָא דְאִיהוּ עֲשַׁן הַקְּטֹרֶת, </w:t>
      </w:r>
      <w:r>
        <w:rPr>
          <w:sz w:val="20"/>
          <w:szCs w:val="20"/>
          <w:rtl/>
        </w:rPr>
        <w:t>(איהו כללא דאורייתא קשורא דיליה פקודין דעשה)</w:t>
      </w:r>
      <w:r>
        <w:rPr>
          <w:rtl/>
        </w:rPr>
        <w:t xml:space="preserve"> לְקָשְׁרָא וּלְקָרְבָא יְמִינָא בִּשְׂמָאלָא, דְּעַמּוּדָא דְעָשָׁן אִיהוּ עַמּוּדָא דְאֶמְצָעִיתָא </w:t>
      </w:r>
      <w:r>
        <w:rPr>
          <w:sz w:val="20"/>
          <w:szCs w:val="20"/>
          <w:rtl/>
        </w:rPr>
        <w:t>(ברחימו, ופקודין דלא תעשה בדחילו)</w:t>
      </w:r>
      <w:r>
        <w:rPr>
          <w:rtl/>
        </w:rPr>
        <w:t xml:space="preserve"> עַמּוּד הַקְּטֹרֶת.</w:t>
      </w:r>
    </w:p>
    <w:p w:rsidR="002D629A" w:rsidRDefault="002D629A" w:rsidP="00B17EA9">
      <w:pPr>
        <w:pStyle w:val="NormalWeb"/>
        <w:rPr>
          <w:rtl/>
        </w:rPr>
      </w:pPr>
      <w:r>
        <w:rPr>
          <w:rtl/>
        </w:rPr>
        <w:t xml:space="preserve">מַאי קְטֹרֶת דִּילֵיהּ שְׁכִינְתָּא תַּתָּאָה, דְּאִיהִי סָלְקָא בְּכַמָּה רֵיחִין וּבוּסְמִין טָבִין, וְכַד סָלְקָא לְגַבֵּיהּ אִתְּמַר בָּהּ </w:t>
      </w:r>
      <w:r>
        <w:rPr>
          <w:sz w:val="20"/>
          <w:szCs w:val="20"/>
          <w:rtl/>
        </w:rPr>
        <w:t>(שיר ג ו)</w:t>
      </w:r>
      <w:r>
        <w:rPr>
          <w:rtl/>
        </w:rPr>
        <w:t xml:space="preserve"> מִי זֹאת עוֹלָה מִן הַמִּדְבָּר וכו' דְּסָלְקָא בְּהוֹן, דָּא ה' תַּתָּאָה, זֹאת סָלְקָא בְמִ''י, </w:t>
      </w:r>
      <w:r>
        <w:rPr>
          <w:rStyle w:val="a7"/>
          <w:rFonts w:hAnsi="Arial"/>
          <w:b w:val="0"/>
          <w:bCs w:val="0"/>
          <w:rtl/>
          <w:lang w:eastAsia="en-US"/>
        </w:rPr>
        <w:footnoteReference w:id="2979"/>
      </w:r>
      <w:r>
        <w:rPr>
          <w:rtl/>
        </w:rPr>
        <w:t xml:space="preserve">מְקֻטֶּרֶת מֹר וּלְבֹנָה </w:t>
      </w:r>
      <w:r>
        <w:rPr>
          <w:sz w:val="20"/>
          <w:szCs w:val="20"/>
          <w:rtl/>
        </w:rPr>
        <w:t>(שם)</w:t>
      </w:r>
      <w:r>
        <w:rPr>
          <w:rtl/>
        </w:rPr>
        <w:t xml:space="preserve"> </w:t>
      </w:r>
      <w:r>
        <w:rPr>
          <w:rStyle w:val="Char"/>
          <w:rtl/>
          <w:lang w:eastAsia="en-US"/>
        </w:rPr>
        <w:t>תְּרֵי יַרְכֵי קְשׁוֹט, מִכֹּל אַבְקַת רוֹכֵל</w:t>
      </w:r>
      <w:r>
        <w:rPr>
          <w:rtl/>
        </w:rPr>
        <w:t xml:space="preserve"> </w:t>
      </w:r>
      <w:r>
        <w:rPr>
          <w:sz w:val="20"/>
          <w:szCs w:val="20"/>
          <w:rtl/>
        </w:rPr>
        <w:t>(שם)</w:t>
      </w:r>
      <w:r>
        <w:rPr>
          <w:rtl/>
        </w:rPr>
        <w:t xml:space="preserve"> דָּא צַדִּיק, </w:t>
      </w:r>
      <w:r>
        <w:rPr>
          <w:rStyle w:val="a7"/>
          <w:rFonts w:hAnsi="Arial"/>
          <w:b w:val="0"/>
          <w:bCs w:val="0"/>
          <w:rtl/>
          <w:lang w:eastAsia="en-US"/>
        </w:rPr>
        <w:footnoteReference w:id="2980"/>
      </w:r>
      <w:r>
        <w:rPr>
          <w:rtl/>
        </w:rPr>
        <w:t xml:space="preserve">דְּאִיהוּ כְּלִיל כֹּלָּא, אִיהוּ רוֹכֵל, </w:t>
      </w:r>
      <w:r>
        <w:rPr>
          <w:rStyle w:val="a7"/>
          <w:rFonts w:hAnsi="Arial"/>
          <w:b w:val="0"/>
          <w:bCs w:val="0"/>
          <w:rtl/>
          <w:lang w:eastAsia="en-US"/>
        </w:rPr>
        <w:footnoteReference w:id="2981"/>
      </w:r>
      <w:r>
        <w:rPr>
          <w:rtl/>
        </w:rPr>
        <w:t xml:space="preserve">וְאִיהִי אַבְקַת דִּילֵיהּ, הֲדָא הוּא דִכְתִיב </w:t>
      </w:r>
      <w:r>
        <w:rPr>
          <w:sz w:val="20"/>
          <w:szCs w:val="20"/>
          <w:rtl/>
        </w:rPr>
        <w:t>(בראשית ב כד)</w:t>
      </w:r>
      <w:r>
        <w:rPr>
          <w:rtl/>
        </w:rPr>
        <w:t xml:space="preserve"> וְדָבַק בְּאִשְׁתּוֹ, </w:t>
      </w:r>
      <w:r>
        <w:rPr>
          <w:rStyle w:val="a7"/>
          <w:rFonts w:hAnsi="Arial"/>
          <w:b w:val="0"/>
          <w:bCs w:val="0"/>
          <w:rtl/>
          <w:lang w:eastAsia="en-US"/>
        </w:rPr>
        <w:footnoteReference w:id="2982"/>
      </w:r>
      <w:r>
        <w:rPr>
          <w:rtl/>
        </w:rPr>
        <w:t xml:space="preserve">וּבֵיהּ סְלִיקַת לְגַבֵּי בַּעְלָהּ. </w:t>
      </w:r>
      <w:r>
        <w:rPr>
          <w:rStyle w:val="a7"/>
          <w:rFonts w:hAnsi="Arial"/>
          <w:b w:val="0"/>
          <w:bCs w:val="0"/>
          <w:rtl/>
          <w:lang w:eastAsia="en-US"/>
        </w:rPr>
        <w:footnoteReference w:id="2983"/>
      </w:r>
      <w:r>
        <w:rPr>
          <w:rtl/>
        </w:rPr>
        <w:t xml:space="preserve">שְׁכִינְתָּא תַּתָּאָה אִיהִי קְטֹרֶת דְּקוּדְשָׁא בְּרִיךְ הוּא, וְאִיהִי קָרְבָּן דִּילֵיהּ, מִזְבֵּחַ דִּילֵיהּ, דְּבָהּ מְתַקְּנִין יִשְׂרָאֵל מַאֲכָלִים דְּקָרְבָּנִין דִּצְלוֹתִין לְקוּדְשָׁא בְּרִיךְ הוּא, </w:t>
      </w:r>
      <w:r>
        <w:rPr>
          <w:rStyle w:val="a7"/>
          <w:rFonts w:hAnsi="Arial"/>
          <w:b w:val="0"/>
          <w:bCs w:val="0"/>
          <w:rtl/>
          <w:lang w:eastAsia="en-US"/>
        </w:rPr>
        <w:footnoteReference w:id="2984"/>
      </w:r>
      <w:r>
        <w:rPr>
          <w:rtl/>
        </w:rPr>
        <w:t xml:space="preserve">דְּאִינוּן לָקֳבֵל קָרְבַּן הַשַּׁחַר, וְקָרְבַּן דְּבֵין הָעַרְבַּיִם, וְקָרְבָּנָא דְאֵמוּרִים וּפְדָרִים דְּמִתְאַכְלִין כָּל לֵילְיָא, וְאִיהִי קָרְבַּן מוּסַף, דְּאִיהוּ צַדִּיק, וְאִיהִי קָרְבָּנָא דְשַׁבָּתוֹת וְיָמִים טוֹבִים, דְּלֵית קְרִיבוּ </w:t>
      </w:r>
      <w:r>
        <w:rPr>
          <w:sz w:val="20"/>
          <w:szCs w:val="20"/>
          <w:rtl/>
        </w:rPr>
        <w:t>(לעמא קדישא לקודשא בריך הוא בשבת ויום טוב)</w:t>
      </w:r>
      <w:r>
        <w:rPr>
          <w:rtl/>
        </w:rPr>
        <w:t xml:space="preserve"> אֶלָּא בָּהּ, הֲדָא הוּא דִכְתִיב </w:t>
      </w:r>
      <w:r>
        <w:rPr>
          <w:sz w:val="20"/>
          <w:szCs w:val="20"/>
          <w:rtl/>
        </w:rPr>
        <w:t>(ויקרא טז ג)</w:t>
      </w:r>
      <w:r>
        <w:rPr>
          <w:rtl/>
        </w:rPr>
        <w:t xml:space="preserve"> בְּזֹאת יָבֹא אַהֲרֹן אֶל הַקֹּדֶשׁ, וְאַל יִתְהַלֵּל הַמִּתְהַלֵּל כִּי אִם בְּזֹאת </w:t>
      </w:r>
      <w:r>
        <w:rPr>
          <w:sz w:val="20"/>
          <w:szCs w:val="20"/>
          <w:rtl/>
        </w:rPr>
        <w:t>(ירמיהו ט כג)</w:t>
      </w:r>
      <w:r>
        <w:rPr>
          <w:rtl/>
        </w:rPr>
        <w:t>.</w:t>
      </w:r>
    </w:p>
    <w:p w:rsidR="002D629A" w:rsidRDefault="002D629A" w:rsidP="00B17EA9">
      <w:pPr>
        <w:pStyle w:val="NormalWeb"/>
        <w:rPr>
          <w:rtl/>
        </w:rPr>
      </w:pPr>
      <w:r>
        <w:rPr>
          <w:rStyle w:val="a7"/>
          <w:rFonts w:hAnsi="Arial"/>
          <w:b w:val="0"/>
          <w:bCs w:val="0"/>
          <w:rtl/>
          <w:lang w:eastAsia="en-US"/>
        </w:rPr>
        <w:footnoteReference w:id="2985"/>
      </w:r>
      <w:r>
        <w:rPr>
          <w:rtl/>
        </w:rPr>
        <w:t xml:space="preserve">אִיהִי מַשְׁכּוֹנָא דִילֵיהּ, דִּבְגִינָהּ אִיהוּ שָׁארֵי בְגַוַּויְיהוּ, הֲדָא הוּא דִכְתִיב </w:t>
      </w:r>
      <w:r>
        <w:rPr>
          <w:sz w:val="20"/>
          <w:szCs w:val="20"/>
          <w:rtl/>
        </w:rPr>
        <w:t>(שמות כה ח)</w:t>
      </w:r>
      <w:r>
        <w:rPr>
          <w:rtl/>
        </w:rPr>
        <w:t xml:space="preserve"> וְעָשׂוּ לִי מִקְדָּשׁ </w:t>
      </w:r>
      <w:r>
        <w:rPr>
          <w:rStyle w:val="a7"/>
          <w:rFonts w:hAnsi="Arial"/>
          <w:b w:val="0"/>
          <w:bCs w:val="0"/>
          <w:rtl/>
          <w:lang w:eastAsia="en-US"/>
        </w:rPr>
        <w:footnoteReference w:id="2986"/>
      </w:r>
      <w:r>
        <w:rPr>
          <w:rtl/>
        </w:rPr>
        <w:t xml:space="preserve">וְשָׁכַנְתִּי בְּתוֹכָם וְגוֹמֵר, אִיהִי אָרוֹן דִּילֵיהּ, וְאִיהוּ סֵפֶר תּוֹרָה גָנִיז בְּגַוָּוהּ, אִיהִי מְנַרְתָּא דִילֵיהּ, וּמְנוֹרַת הַמָּאוֹר </w:t>
      </w:r>
      <w:r>
        <w:rPr>
          <w:rStyle w:val="a7"/>
          <w:rFonts w:hAnsi="Arial"/>
          <w:b w:val="0"/>
          <w:bCs w:val="0"/>
          <w:rtl/>
          <w:lang w:eastAsia="en-US"/>
        </w:rPr>
        <w:footnoteReference w:id="2987"/>
      </w:r>
      <w:r>
        <w:rPr>
          <w:rtl/>
        </w:rPr>
        <w:t xml:space="preserve">מֵהַהוּא דְאִתְּמַר בֵּיהּ </w:t>
      </w:r>
      <w:r>
        <w:rPr>
          <w:sz w:val="20"/>
          <w:szCs w:val="20"/>
          <w:rtl/>
        </w:rPr>
        <w:t>(משלי ו כג)</w:t>
      </w:r>
      <w:r>
        <w:rPr>
          <w:rtl/>
        </w:rPr>
        <w:t xml:space="preserve"> וְתוֹרָה אוֹר, וְאִיהִי נֵר דְּדָלִיק קֳדָמֵיהּ, </w:t>
      </w:r>
      <w:r>
        <w:rPr>
          <w:rStyle w:val="a7"/>
          <w:rFonts w:hAnsi="Arial"/>
          <w:b w:val="0"/>
          <w:bCs w:val="0"/>
          <w:rtl/>
          <w:lang w:eastAsia="en-US"/>
        </w:rPr>
        <w:footnoteReference w:id="2988"/>
      </w:r>
      <w:r>
        <w:rPr>
          <w:rtl/>
        </w:rPr>
        <w:t xml:space="preserve">כְּמָה דְאַתְּ אָמַר </w:t>
      </w:r>
      <w:r>
        <w:rPr>
          <w:sz w:val="20"/>
          <w:szCs w:val="20"/>
          <w:rtl/>
        </w:rPr>
        <w:t>(ויקרא כד ב)</w:t>
      </w:r>
      <w:r>
        <w:rPr>
          <w:rtl/>
        </w:rPr>
        <w:t xml:space="preserve"> לְהַעֲלוֹת נֵר תָּמִיד, וְאִיהִי בַּת שֶׁבַע מְנַרְתָּא כְלִילָא מִשִּׁבְעָה בוֹצִינִין, </w:t>
      </w:r>
      <w:r>
        <w:rPr>
          <w:rStyle w:val="a7"/>
          <w:rFonts w:hAnsi="Arial"/>
          <w:b w:val="0"/>
          <w:bCs w:val="0"/>
          <w:rtl/>
          <w:lang w:eastAsia="en-US"/>
        </w:rPr>
        <w:footnoteReference w:id="2989"/>
      </w:r>
      <w:r>
        <w:rPr>
          <w:rtl/>
        </w:rPr>
        <w:t xml:space="preserve">אִיהִי נֵר לְגַבֵּיהּ מִסִּטְרָא דִשְׂמָאלָא, וְאִיהוּ אוֹר לְגַבָּהּ מִסִּטְרָא דִימִינָא, וְעַל תַּרְוַיְיהוּ אִתְּמַר </w:t>
      </w:r>
      <w:r>
        <w:rPr>
          <w:sz w:val="20"/>
          <w:szCs w:val="20"/>
          <w:rtl/>
        </w:rPr>
        <w:t>(משלי ו כג)</w:t>
      </w:r>
      <w:r>
        <w:rPr>
          <w:rtl/>
        </w:rPr>
        <w:t xml:space="preserve"> כִּי נֵר מִצְוָה וְתוֹרָה אוֹר.</w:t>
      </w:r>
    </w:p>
    <w:p w:rsidR="002D629A" w:rsidRDefault="002D629A" w:rsidP="00B17EA9">
      <w:pPr>
        <w:pStyle w:val="aa"/>
        <w:rPr>
          <w:rtl/>
        </w:rPr>
      </w:pPr>
      <w:r>
        <w:rPr>
          <w:rtl/>
        </w:rPr>
        <w:t xml:space="preserve">[תיקוני זוהר - דף מח ע''א] </w:t>
      </w:r>
    </w:p>
    <w:p w:rsidR="002D629A" w:rsidRDefault="002D629A" w:rsidP="00B17EA9">
      <w:pPr>
        <w:pStyle w:val="NormalWeb"/>
        <w:rPr>
          <w:rtl/>
        </w:rPr>
      </w:pPr>
      <w:r>
        <w:rPr>
          <w:rtl/>
        </w:rPr>
        <w:t xml:space="preserve">אִיהִי קִדּוּשִׁין דִּילֵיהּ מִסִּטְרָא דִשְׂמָאלָא, </w:t>
      </w:r>
      <w:r>
        <w:rPr>
          <w:sz w:val="20"/>
          <w:szCs w:val="20"/>
          <w:rtl/>
        </w:rPr>
        <w:t xml:space="preserve">(דף מח ע''א) </w:t>
      </w:r>
      <w:r>
        <w:rPr>
          <w:rtl/>
        </w:rPr>
        <w:t xml:space="preserve">בְגִין דִּקְדוּשָׁה מִסִּטְרָא דִלְוִיִּם, כְּמָה דְאַתְּ אָמַר וְקִדַּשְׁתָּ אֶת הַלְוִיִּם, וַעֲלָהּ אִתְּמַר </w:t>
      </w:r>
      <w:r>
        <w:rPr>
          <w:rStyle w:val="a7"/>
          <w:rFonts w:hAnsi="Arial"/>
          <w:b w:val="0"/>
          <w:bCs w:val="0"/>
          <w:rtl/>
          <w:lang w:eastAsia="en-US"/>
        </w:rPr>
        <w:footnoteReference w:id="2990"/>
      </w:r>
      <w:r>
        <w:rPr>
          <w:rtl/>
        </w:rPr>
        <w:t xml:space="preserve">תְּהֵא לִי מְקוּדֶשֶׁת בְּטַבַּעַת זֹאת, </w:t>
      </w:r>
      <w:r>
        <w:rPr>
          <w:rStyle w:val="a7"/>
          <w:rFonts w:hAnsi="Arial"/>
          <w:b w:val="0"/>
          <w:bCs w:val="0"/>
          <w:rtl/>
          <w:lang w:eastAsia="en-US"/>
        </w:rPr>
        <w:footnoteReference w:id="2991"/>
      </w:r>
      <w:r>
        <w:rPr>
          <w:rtl/>
        </w:rPr>
        <w:t xml:space="preserve">וְאִיהוּ בְּרָכָה דִילַהּ מִסִּטְרָא דִימִינָא, דְאִיהִי כְּהוּנָה, הֲדָא הוּא דִכְתִיב </w:t>
      </w:r>
      <w:r>
        <w:rPr>
          <w:sz w:val="20"/>
          <w:szCs w:val="20"/>
          <w:rtl/>
        </w:rPr>
        <w:t>(במדבר ו כג)</w:t>
      </w:r>
      <w:r>
        <w:rPr>
          <w:rtl/>
        </w:rPr>
        <w:t xml:space="preserve"> כֹּה תְבָרַכוּ אֶת בְּנֵי יִשְׂרָאֵל.</w:t>
      </w:r>
    </w:p>
    <w:p w:rsidR="002D629A" w:rsidRDefault="002D629A" w:rsidP="00B17EA9">
      <w:pPr>
        <w:pStyle w:val="NormalWeb"/>
        <w:rPr>
          <w:rtl/>
        </w:rPr>
      </w:pPr>
      <w:r>
        <w:rPr>
          <w:rtl/>
        </w:rPr>
        <w:t xml:space="preserve">וְאִתְקְרִיאַת כַּלָּה דִילֵיהּ מִסִּטְרָא דְצַדִּיק דְּאִיהוּ כָּ''ל, וְדָא אִיהוּ כַלָּ''ה, כָּ''ל ה', </w:t>
      </w:r>
      <w:r>
        <w:rPr>
          <w:rStyle w:val="a7"/>
          <w:rFonts w:hAnsi="Arial"/>
          <w:b w:val="0"/>
          <w:bCs w:val="0"/>
          <w:rtl/>
          <w:lang w:eastAsia="en-US"/>
        </w:rPr>
        <w:footnoteReference w:id="2992"/>
      </w:r>
      <w:r>
        <w:rPr>
          <w:rtl/>
        </w:rPr>
        <w:t>בְּגִין דְּאִיהוּ בְּרִית דַּאֲחִיד בְּתַרְוַיְיהוּ, וּמִסִּטְרָא דְצַדִּיק אִיהוּ יִחוּד דִילָהּ, דְּאִיהוּ קוֹצָא דְאָת ד' מִן אֶחָד, דְּקָשִׁיר בֵּין א''ח וּבֵין ד', וְאִיהִי צְלוֹתָא דִילֵיהּ מִסִּטְרָא דְחַי עָלְמִין, דְּאִיהוּ חַ''י בִּרְכָאָן דִּצְלוֹתָא.</w:t>
      </w:r>
    </w:p>
    <w:p w:rsidR="002D629A" w:rsidRDefault="002D629A" w:rsidP="00B17EA9">
      <w:pPr>
        <w:pStyle w:val="NormalWeb"/>
        <w:rPr>
          <w:rtl/>
        </w:rPr>
      </w:pPr>
      <w:r>
        <w:rPr>
          <w:rStyle w:val="a7"/>
          <w:rFonts w:hAnsi="Arial"/>
          <w:b w:val="0"/>
          <w:bCs w:val="0"/>
          <w:rtl/>
          <w:lang w:eastAsia="en-US"/>
        </w:rPr>
        <w:footnoteReference w:id="2993"/>
      </w:r>
      <w:r>
        <w:rPr>
          <w:rtl/>
        </w:rPr>
        <w:t xml:space="preserve">אִיהִי אוֹת דְּשַׁבָּתוֹת וְיֹמִין טָבִין, שַׁבָּת אִיהִי כְּלָל דִּתְלַת אֲבָהָן, בְּגִין דְּאִיהִי בַת כְּלִילָא בִתְלַת עַנְפֵי אֲבָהָן דְּאִינוּן ש, </w:t>
      </w:r>
      <w:r>
        <w:rPr>
          <w:rStyle w:val="a7"/>
          <w:rFonts w:hAnsi="Arial"/>
          <w:b w:val="0"/>
          <w:bCs w:val="0"/>
          <w:rtl/>
          <w:lang w:eastAsia="en-US"/>
        </w:rPr>
        <w:footnoteReference w:id="2994"/>
      </w:r>
      <w:r>
        <w:rPr>
          <w:rtl/>
        </w:rPr>
        <w:t xml:space="preserve">אִיהוּ תְּחוּם דִּילַהּ </w:t>
      </w:r>
      <w:r>
        <w:rPr>
          <w:rStyle w:val="a7"/>
          <w:rFonts w:hAnsi="Arial"/>
          <w:b w:val="0"/>
          <w:bCs w:val="0"/>
          <w:rtl/>
          <w:lang w:eastAsia="en-US"/>
        </w:rPr>
        <w:footnoteReference w:id="2995"/>
      </w:r>
      <w:r>
        <w:rPr>
          <w:rtl/>
        </w:rPr>
        <w:t xml:space="preserve">וְאִיהִי רְשׁוּת דִּילֵיהּ, רְשׁוּת הַיָּחִיד דְּגָבְהוֹ עֲשָׂרָה, וְדָא יו''ד ה''א וא''ו ה''א, וְרָחְבּוֹ אַרְבָּעָה דְאִינוּן יהו''ה, </w:t>
      </w:r>
      <w:r>
        <w:rPr>
          <w:rStyle w:val="a7"/>
          <w:rFonts w:hAnsi="Arial"/>
          <w:b w:val="0"/>
          <w:bCs w:val="0"/>
          <w:rtl/>
          <w:lang w:eastAsia="en-US"/>
        </w:rPr>
        <w:footnoteReference w:id="2996"/>
      </w:r>
      <w:r>
        <w:rPr>
          <w:rtl/>
        </w:rPr>
        <w:t>אִיהוּ עִירוּב דִּילָהּ מִסִּטְרָא דִימִינָא וּשְׁמָאלָא, דְאִינוּן ע''ב רי''ו דְהַיְינוּ חֶסֶד וּגְבוּרָה, וְאִיהִי עַרְבִית דִּילֵיהּ עִיבוּר דִּילֵיהּ.</w:t>
      </w:r>
    </w:p>
    <w:p w:rsidR="002D629A" w:rsidRDefault="002D629A" w:rsidP="00B17EA9">
      <w:pPr>
        <w:pStyle w:val="NormalWeb"/>
        <w:rPr>
          <w:rtl/>
        </w:rPr>
      </w:pPr>
      <w:r>
        <w:rPr>
          <w:rStyle w:val="a7"/>
          <w:rFonts w:hAnsi="Arial"/>
          <w:b w:val="0"/>
          <w:bCs w:val="0"/>
          <w:rtl/>
          <w:lang w:eastAsia="en-US"/>
        </w:rPr>
        <w:footnoteReference w:id="2997"/>
      </w:r>
      <w:r>
        <w:rPr>
          <w:rtl/>
        </w:rPr>
        <w:t xml:space="preserve">אִיהִי טַלִּית דְּקוּדְשָׁא בְּרִיךְ הוּא, וּבָהּ אִתְעַטֵּף קוּדְשָׁא בְּרִיךְ הוּא, </w:t>
      </w:r>
      <w:r>
        <w:rPr>
          <w:rStyle w:val="a7"/>
          <w:rFonts w:hAnsi="Arial"/>
          <w:b w:val="0"/>
          <w:bCs w:val="0"/>
          <w:rtl/>
          <w:lang w:eastAsia="en-US"/>
        </w:rPr>
        <w:footnoteReference w:id="2998"/>
      </w:r>
      <w:r>
        <w:rPr>
          <w:rtl/>
        </w:rPr>
        <w:t xml:space="preserve">כְּמָה דְאַתְּ אָמַר </w:t>
      </w:r>
      <w:r>
        <w:rPr>
          <w:sz w:val="20"/>
          <w:szCs w:val="20"/>
          <w:rtl/>
        </w:rPr>
        <w:t>(תהלים קד ב)</w:t>
      </w:r>
      <w:r>
        <w:rPr>
          <w:rtl/>
        </w:rPr>
        <w:t xml:space="preserve"> עוֹטֶה אוֹר כַּשַּׂלְמָה, </w:t>
      </w:r>
      <w:r>
        <w:rPr>
          <w:rStyle w:val="a7"/>
          <w:rFonts w:hAnsi="Arial"/>
          <w:b w:val="0"/>
          <w:bCs w:val="0"/>
          <w:rtl/>
          <w:lang w:eastAsia="en-US"/>
        </w:rPr>
        <w:footnoteReference w:id="2999"/>
      </w:r>
      <w:r>
        <w:rPr>
          <w:rtl/>
        </w:rPr>
        <w:t xml:space="preserve">וְאִיהִי צִיצִית דְּצַדִּיק </w:t>
      </w:r>
      <w:r>
        <w:rPr>
          <w:rStyle w:val="a7"/>
          <w:rFonts w:hAnsi="Arial"/>
          <w:b w:val="0"/>
          <w:bCs w:val="0"/>
          <w:rtl/>
          <w:lang w:eastAsia="en-US"/>
        </w:rPr>
        <w:footnoteReference w:id="3000"/>
      </w:r>
      <w:r>
        <w:rPr>
          <w:rtl/>
        </w:rPr>
        <w:t xml:space="preserve">דְּאִיהוּ עָנִי בְּגָלוּתָא, הֲדָא הוּא דִכְתִיב </w:t>
      </w:r>
      <w:r>
        <w:rPr>
          <w:sz w:val="20"/>
          <w:szCs w:val="20"/>
          <w:rtl/>
        </w:rPr>
        <w:t>(שם קב א)</w:t>
      </w:r>
      <w:r>
        <w:rPr>
          <w:rtl/>
        </w:rPr>
        <w:t xml:space="preserve"> תְּפִלָּה לְעָנִי כִי יַעֲטֹף, עָנִי וַדַּאי, דְּבַהּ יִתְעַטֵּף, בְּגִין דְּאִיהִי </w:t>
      </w:r>
      <w:r>
        <w:rPr>
          <w:rStyle w:val="a7"/>
          <w:rFonts w:hAnsi="Arial"/>
          <w:b w:val="0"/>
          <w:bCs w:val="0"/>
          <w:rtl/>
          <w:lang w:eastAsia="en-US"/>
        </w:rPr>
        <w:footnoteReference w:id="3001"/>
      </w:r>
      <w:r>
        <w:rPr>
          <w:rtl/>
        </w:rPr>
        <w:t xml:space="preserve">כְסוּתֹה לְבַדָּהּ הִיא שִׂמְלָתוֹ לְעוֹרוֹ </w:t>
      </w:r>
      <w:r>
        <w:rPr>
          <w:sz w:val="20"/>
          <w:szCs w:val="20"/>
          <w:rtl/>
        </w:rPr>
        <w:t>(שמות כב כו)</w:t>
      </w:r>
      <w:r>
        <w:rPr>
          <w:rtl/>
        </w:rPr>
        <w:t xml:space="preserve">, דָא מִשְׁכָא דִתְּפִלֵּי, דְאִתְּמַר בְּהוֹן </w:t>
      </w:r>
      <w:r>
        <w:rPr>
          <w:sz w:val="20"/>
          <w:szCs w:val="20"/>
          <w:rtl/>
        </w:rPr>
        <w:t>(בראשית ג כא)</w:t>
      </w:r>
      <w:r>
        <w:rPr>
          <w:rtl/>
        </w:rPr>
        <w:t xml:space="preserve"> וַיַּעַשׂ יהו''ה אֱלֹהִים </w:t>
      </w:r>
      <w:r>
        <w:rPr>
          <w:rStyle w:val="a7"/>
          <w:rFonts w:hAnsi="Arial"/>
          <w:b w:val="0"/>
          <w:bCs w:val="0"/>
          <w:rtl/>
          <w:lang w:eastAsia="en-US"/>
        </w:rPr>
        <w:footnoteReference w:id="3002"/>
      </w:r>
      <w:r>
        <w:rPr>
          <w:rtl/>
        </w:rPr>
        <w:t>לְאָדָם וּלְאִשְׁתּוֹ כָּתְנוֹת עוֹר וַיַּלְבִּישֵׁם.</w:t>
      </w:r>
    </w:p>
    <w:p w:rsidR="002D629A" w:rsidRDefault="002D629A" w:rsidP="00B17EA9">
      <w:pPr>
        <w:pStyle w:val="NormalWeb"/>
        <w:rPr>
          <w:rtl/>
        </w:rPr>
      </w:pPr>
      <w:r>
        <w:rPr>
          <w:rtl/>
        </w:rPr>
        <w:t xml:space="preserve">אַרְבַּע בָּתֵּי דְרֵישָׁא </w:t>
      </w:r>
      <w:r>
        <w:rPr>
          <w:rStyle w:val="a7"/>
          <w:rFonts w:hAnsi="Arial"/>
          <w:b w:val="0"/>
          <w:bCs w:val="0"/>
          <w:rtl/>
          <w:lang w:eastAsia="en-US"/>
        </w:rPr>
        <w:footnoteReference w:id="3003"/>
      </w:r>
      <w:r>
        <w:rPr>
          <w:rtl/>
        </w:rPr>
        <w:t xml:space="preserve">אִינוּן אהי''ה, אַרְבַּע פָּרָשִׁיָּין דְּאִינוּן קַדֶּשׁ לִי </w:t>
      </w:r>
      <w:r>
        <w:rPr>
          <w:sz w:val="20"/>
          <w:szCs w:val="20"/>
          <w:rtl/>
        </w:rPr>
        <w:t>(שמות יג ב)</w:t>
      </w:r>
      <w:r>
        <w:rPr>
          <w:rtl/>
        </w:rPr>
        <w:t xml:space="preserve">, </w:t>
      </w:r>
      <w:r>
        <w:rPr>
          <w:rStyle w:val="Char"/>
          <w:rtl/>
          <w:lang w:eastAsia="en-US"/>
        </w:rPr>
        <w:t>וְהָיָה כִּי יְבִיאֲךָ</w:t>
      </w:r>
      <w:r>
        <w:rPr>
          <w:rtl/>
        </w:rPr>
        <w:t xml:space="preserve"> </w:t>
      </w:r>
      <w:r>
        <w:rPr>
          <w:sz w:val="20"/>
          <w:szCs w:val="20"/>
          <w:rtl/>
        </w:rPr>
        <w:t>(שם יא)</w:t>
      </w:r>
      <w:r>
        <w:rPr>
          <w:rtl/>
        </w:rPr>
        <w:t xml:space="preserve">, </w:t>
      </w:r>
      <w:r>
        <w:rPr>
          <w:rStyle w:val="Char"/>
          <w:rtl/>
          <w:lang w:eastAsia="en-US"/>
        </w:rPr>
        <w:t>שְׁמַע יִשְׂרָאֵל</w:t>
      </w:r>
      <w:r>
        <w:rPr>
          <w:rtl/>
        </w:rPr>
        <w:t xml:space="preserve"> </w:t>
      </w:r>
      <w:r>
        <w:rPr>
          <w:sz w:val="20"/>
          <w:szCs w:val="20"/>
          <w:rtl/>
        </w:rPr>
        <w:t>(דברים ו ד)</w:t>
      </w:r>
      <w:r>
        <w:rPr>
          <w:rtl/>
        </w:rPr>
        <w:t xml:space="preserve">, </w:t>
      </w:r>
      <w:r>
        <w:rPr>
          <w:rStyle w:val="Char"/>
          <w:rtl/>
          <w:lang w:eastAsia="en-US"/>
        </w:rPr>
        <w:t>וְהָיָה אִם שָׁמֹעַ</w:t>
      </w:r>
      <w:r>
        <w:rPr>
          <w:rtl/>
        </w:rPr>
        <w:t xml:space="preserve"> </w:t>
      </w:r>
      <w:r>
        <w:rPr>
          <w:sz w:val="20"/>
          <w:szCs w:val="20"/>
          <w:rtl/>
        </w:rPr>
        <w:t>(שם יא יג)</w:t>
      </w:r>
      <w:r>
        <w:rPr>
          <w:rtl/>
        </w:rPr>
        <w:t xml:space="preserve">, דָא יהו''ה, אַרְבָּעָה בָּתֵּי דְיָד דָּא אדנ''י, אַרְבָּעָה פָּרְשִׁיָּין דָּא יהו''ה, וּבְהוֹן מ''ב אַזְכָּרוֹת בִּתְמַנְיָא פָּרְשִׁיָּין, דְּאִתְּמַר בְּהוֹן </w:t>
      </w:r>
      <w:r>
        <w:rPr>
          <w:sz w:val="20"/>
          <w:szCs w:val="20"/>
          <w:rtl/>
        </w:rPr>
        <w:t>(תהלים סה יח)</w:t>
      </w:r>
      <w:r>
        <w:rPr>
          <w:rtl/>
        </w:rPr>
        <w:t xml:space="preserve"> אדנ''י בָם, דָּא אִיהוּ כִּי הִיא שִׂמְלָתוֹ לְעוֹרוֹ </w:t>
      </w:r>
      <w:r>
        <w:rPr>
          <w:sz w:val="20"/>
          <w:szCs w:val="20"/>
          <w:rtl/>
        </w:rPr>
        <w:t>(שמות כב כו)</w:t>
      </w:r>
      <w:r>
        <w:rPr>
          <w:rtl/>
        </w:rPr>
        <w:t xml:space="preserve">, וְאִיהִי תְּכֵלֶת שֶׁבַּצִּיצִית, </w:t>
      </w:r>
      <w:r>
        <w:rPr>
          <w:rStyle w:val="a7"/>
          <w:rFonts w:hAnsi="Arial"/>
          <w:b w:val="0"/>
          <w:bCs w:val="0"/>
          <w:rtl/>
          <w:lang w:eastAsia="en-US"/>
        </w:rPr>
        <w:footnoteReference w:id="3004"/>
      </w:r>
      <w:r>
        <w:rPr>
          <w:rtl/>
        </w:rPr>
        <w:t xml:space="preserve">אִיהִי סוֹד הַיִּבּוּם, יְבָמָה דִילֵיהּ </w:t>
      </w:r>
      <w:r>
        <w:rPr>
          <w:rStyle w:val="a7"/>
          <w:rFonts w:hAnsi="Arial"/>
          <w:b w:val="0"/>
          <w:bCs w:val="0"/>
          <w:rtl/>
          <w:lang w:eastAsia="en-US"/>
        </w:rPr>
        <w:footnoteReference w:id="3005"/>
      </w:r>
      <w:r>
        <w:rPr>
          <w:rtl/>
        </w:rPr>
        <w:t xml:space="preserve">בְּגָלוּתָא, י''ב מ''ה, מ''ה גִּלְגּוּלָא דְאָדָם, י"ב תְּלַת גִּלְגּוּלִין אִינוּן לְקָבֵל תְּלַת אֲבָהָן, דַּעֲלַיְיהוּ אִתְּמַר </w:t>
      </w:r>
      <w:r>
        <w:rPr>
          <w:sz w:val="20"/>
          <w:szCs w:val="20"/>
          <w:rtl/>
        </w:rPr>
        <w:t>(איוב לג כט)</w:t>
      </w:r>
      <w:r>
        <w:rPr>
          <w:rtl/>
        </w:rPr>
        <w:t xml:space="preserve"> הֶן כָּל אֵלֶּה יִפְעַל אֵ''ל פַּעֲמַיִם שָׁלֹשׁ עִם גָּבֶר, אִיהִי יְשׁוּעָה דִילֵיהּ, גְּאוּלָה דִילֵיהּ, בְּגִין דְּקוּדְשָׁא בְּרִיךְ הוּא לֵית לֵיהּ רְשׁוּתָא לְאַפָּקָא מִן גָּלוּתָא, עַד דְּאִיהִי נָפְקַת עִמֵּיהּ, הִיא נְבוּאָה דִילֵיהּ, נְבוּאָה </w:t>
      </w:r>
      <w:r>
        <w:rPr>
          <w:rStyle w:val="a7"/>
          <w:rFonts w:hAnsi="Arial"/>
          <w:b w:val="0"/>
          <w:bCs w:val="0"/>
          <w:rtl/>
          <w:lang w:eastAsia="en-US"/>
        </w:rPr>
        <w:footnoteReference w:id="3006"/>
      </w:r>
      <w:r>
        <w:rPr>
          <w:rtl/>
        </w:rPr>
        <w:t xml:space="preserve">כְלִילָא שִׁית דַּרְגִין מִסִּטְרָא דְאָת ו' דְּאִיהִי עַמּוּדָא דְאֶמְצָעִיתָא, וְאִיהִי חֲלוֹם אֶחָד מִשִּׁתִּין בִּנְבוּאָה, וּמַאי שִׁתִּין אֶלָּא </w:t>
      </w:r>
      <w:r>
        <w:rPr>
          <w:rStyle w:val="a7"/>
          <w:rFonts w:hAnsi="Arial"/>
          <w:b w:val="0"/>
          <w:bCs w:val="0"/>
          <w:rtl/>
          <w:lang w:eastAsia="en-US"/>
        </w:rPr>
        <w:footnoteReference w:id="3007"/>
      </w:r>
      <w:r>
        <w:rPr>
          <w:rtl/>
        </w:rPr>
        <w:t xml:space="preserve">לֵית שֵׂיבָ''ה </w:t>
      </w:r>
      <w:r>
        <w:rPr>
          <w:sz w:val="20"/>
          <w:szCs w:val="20"/>
          <w:rtl/>
        </w:rPr>
        <w:t>(נ''א שינה)</w:t>
      </w:r>
      <w:r>
        <w:rPr>
          <w:rtl/>
        </w:rPr>
        <w:t xml:space="preserve"> פְּחוּתָה מִשִּׁתִּין, </w:t>
      </w:r>
      <w:r>
        <w:rPr>
          <w:rStyle w:val="a7"/>
          <w:rFonts w:hAnsi="Arial"/>
          <w:b w:val="0"/>
          <w:bCs w:val="0"/>
          <w:rtl/>
          <w:lang w:eastAsia="en-US"/>
        </w:rPr>
        <w:footnoteReference w:id="3008"/>
      </w:r>
      <w:r>
        <w:rPr>
          <w:rtl/>
        </w:rPr>
        <w:t xml:space="preserve">וְדָא יִשְׂרָאֵל סָבָא, דְסָלִיק בְּאָת יו"ד, שִׁית זִמְנִין עֶשֶׂר, </w:t>
      </w:r>
      <w:r>
        <w:rPr>
          <w:rStyle w:val="a7"/>
          <w:rFonts w:hAnsi="Arial"/>
          <w:b w:val="0"/>
          <w:bCs w:val="0"/>
          <w:rtl/>
          <w:lang w:eastAsia="en-US"/>
        </w:rPr>
        <w:footnoteReference w:id="3009"/>
      </w:r>
      <w:r>
        <w:rPr>
          <w:rtl/>
        </w:rPr>
        <w:t>דְּאִיהוּ שִׁתִּין.</w:t>
      </w:r>
    </w:p>
    <w:p w:rsidR="002D629A" w:rsidRDefault="002D629A" w:rsidP="00B17EA9">
      <w:pPr>
        <w:pStyle w:val="NormalWeb"/>
        <w:rPr>
          <w:rtl/>
        </w:rPr>
      </w:pPr>
      <w:r>
        <w:rPr>
          <w:rtl/>
        </w:rPr>
        <w:t xml:space="preserve">וְאִיהִי יִרְאָה מִסִּטְרָא דִשְׂמָאלָא, אַהֲבָה מִסִּטְרָא דִימִינָא, וְאִיהִי תוֹרָה מִסִּטְרָא דְעַמּוּדָא דְאֶמְצָעִיתָא, וְאִיהִי אָנֹכִי מִסִּטְרָא דְאִימָּא עִלָּאָה </w:t>
      </w:r>
      <w:r>
        <w:rPr>
          <w:rStyle w:val="a7"/>
          <w:rFonts w:hAnsi="Arial"/>
          <w:b w:val="0"/>
          <w:bCs w:val="0"/>
          <w:rtl/>
          <w:lang w:eastAsia="en-US"/>
        </w:rPr>
        <w:footnoteReference w:id="3010"/>
      </w:r>
      <w:r>
        <w:rPr>
          <w:rtl/>
        </w:rPr>
        <w:t xml:space="preserve">דַאֲחִידָא בִימִינָא, בְּגִין דְאָנֹכִ''י אִיהוּ כִסֵּ''א בְחוּשְׁבָּן, וְאִתְּמַר בֵּיהּ </w:t>
      </w:r>
      <w:r>
        <w:rPr>
          <w:sz w:val="20"/>
          <w:szCs w:val="20"/>
          <w:rtl/>
        </w:rPr>
        <w:t>(ישעיה טז ה)</w:t>
      </w:r>
      <w:r>
        <w:rPr>
          <w:rtl/>
        </w:rPr>
        <w:t xml:space="preserve"> וְהוּכַן בַּחֶסֶד כִּסֵּא, וַעֲלָהּ אִתְּמַר </w:t>
      </w:r>
      <w:r>
        <w:rPr>
          <w:sz w:val="20"/>
          <w:szCs w:val="20"/>
          <w:rtl/>
        </w:rPr>
        <w:t>(שמות כ ג)</w:t>
      </w:r>
      <w:r>
        <w:rPr>
          <w:rtl/>
        </w:rPr>
        <w:t xml:space="preserve"> לֹא יִהְיֶה לְךָ אֱלֹהִים אֲחֵרִים עַל פָּנָי, מִסִּטְרָא דְסמא''ל וְנָחָשׁ דְּאִינוּן אֱלֹהִים אֲחֵרִים.</w:t>
      </w:r>
    </w:p>
    <w:p w:rsidR="002D629A" w:rsidRDefault="002D629A" w:rsidP="00B17EA9">
      <w:pPr>
        <w:pStyle w:val="NormalWeb"/>
        <w:rPr>
          <w:rtl/>
        </w:rPr>
      </w:pPr>
      <w:r>
        <w:rPr>
          <w:rtl/>
        </w:rPr>
        <w:t xml:space="preserve">וְאִיהִי פֶּסַח מִסִּטְרָא דִימִינָא, וְאִיהִי רֹאשׁ הַשָּׁנָה מִסִּטְרָא דִשְׂמָאלָא, וְאִיהִי מַצָּה פְּרוּסָה מִסִּטְרָא דִשְׂמָאלָא, וְאִיהִי מַצָּה שְׁלֵמָה מִסִּטְרָא דִימִינָא, </w:t>
      </w:r>
      <w:r>
        <w:rPr>
          <w:rStyle w:val="a7"/>
          <w:rFonts w:hAnsi="Arial"/>
          <w:b w:val="0"/>
          <w:bCs w:val="0"/>
          <w:rtl/>
          <w:lang w:eastAsia="en-US"/>
        </w:rPr>
        <w:footnoteReference w:id="3011"/>
      </w:r>
      <w:r>
        <w:rPr>
          <w:rtl/>
        </w:rPr>
        <w:t xml:space="preserve">בְּגִין דְּסִטְרָא דְצָפוֹן לַאו אִיהוּ שְׁלִים, וּבְגִין דָּא מִצָּפוֹן תִּפָּתַח הָרָעָה </w:t>
      </w:r>
      <w:r>
        <w:rPr>
          <w:sz w:val="20"/>
          <w:szCs w:val="20"/>
          <w:rtl/>
        </w:rPr>
        <w:t>(ירמיה א יד)</w:t>
      </w:r>
      <w:r>
        <w:rPr>
          <w:rtl/>
        </w:rPr>
        <w:t xml:space="preserve">, </w:t>
      </w:r>
      <w:r>
        <w:rPr>
          <w:rStyle w:val="Char"/>
          <w:rtl/>
          <w:lang w:eastAsia="en-US"/>
        </w:rPr>
        <w:t>וְהִיא</w:t>
      </w:r>
      <w:r>
        <w:rPr>
          <w:rtl/>
        </w:rPr>
        <w:t xml:space="preserve"> </w:t>
      </w:r>
      <w:r>
        <w:rPr>
          <w:sz w:val="20"/>
          <w:szCs w:val="20"/>
          <w:rtl/>
        </w:rPr>
        <w:t>(מצה)</w:t>
      </w:r>
      <w:r>
        <w:rPr>
          <w:rtl/>
        </w:rPr>
        <w:t xml:space="preserve"> מִצְוָה בְּאָת ו' מִסִּטְרָא דְעַמּוּדָא דְאֶמְצָעִיתָא.</w:t>
      </w:r>
    </w:p>
    <w:p w:rsidR="002D629A" w:rsidRDefault="002D629A" w:rsidP="00B17EA9">
      <w:pPr>
        <w:pStyle w:val="aa"/>
        <w:rPr>
          <w:rtl/>
        </w:rPr>
      </w:pPr>
      <w:r>
        <w:rPr>
          <w:rtl/>
        </w:rPr>
        <w:t xml:space="preserve">[תיקוני זוהר - דף מח ע''ב] </w:t>
      </w:r>
    </w:p>
    <w:p w:rsidR="002D629A" w:rsidRDefault="002D629A" w:rsidP="00B17EA9">
      <w:pPr>
        <w:pStyle w:val="NormalWeb"/>
        <w:rPr>
          <w:rtl/>
        </w:rPr>
      </w:pPr>
      <w:r>
        <w:rPr>
          <w:rtl/>
        </w:rPr>
        <w:t xml:space="preserve">וְאִיהִי שָׁבוּעוֹת מִסִּטְרָא דְעַמּוּדָא דְאֶמְצָעִיתָא, </w:t>
      </w:r>
      <w:r>
        <w:rPr>
          <w:rStyle w:val="a7"/>
          <w:rFonts w:hAnsi="Arial"/>
          <w:b w:val="0"/>
          <w:bCs w:val="0"/>
          <w:rtl/>
          <w:lang w:eastAsia="en-US"/>
        </w:rPr>
        <w:footnoteReference w:id="3012"/>
      </w:r>
      <w:r>
        <w:rPr>
          <w:rtl/>
        </w:rPr>
        <w:t xml:space="preserve">שִׁבְעָה שָׁבוּעוֹת וַדַּאי אִית בְּהוֹן שֶׁבַע שַׁבָּתוֹת, וּבְהוֹן מ''ט יוֹמִין, כְּחוּשְׁבַּן מ''ט אַתְוָון דִּקְרִיאַת שְׁמַע, </w:t>
      </w:r>
      <w:r>
        <w:rPr>
          <w:rStyle w:val="a7"/>
          <w:rFonts w:hAnsi="Arial"/>
          <w:b w:val="0"/>
          <w:bCs w:val="0"/>
          <w:rtl/>
          <w:lang w:eastAsia="en-US"/>
        </w:rPr>
        <w:footnoteReference w:id="3013"/>
      </w:r>
      <w:r>
        <w:rPr>
          <w:rtl/>
        </w:rPr>
        <w:t xml:space="preserve">דְּאִינוּן שְׁמַע יִשְׂרָאֵל וכו', בָּרוּךְ שֵׁם וכו', בְּיוֹמָא דְחַמְשִׁין שַׁרְיָא שְׁכִינְתָּא עִלָּאָה בָּהּ, </w:t>
      </w:r>
      <w:r>
        <w:rPr>
          <w:rStyle w:val="a7"/>
          <w:rFonts w:hAnsi="Arial"/>
          <w:b w:val="0"/>
          <w:bCs w:val="0"/>
          <w:rtl/>
          <w:lang w:eastAsia="en-US"/>
        </w:rPr>
        <w:footnoteReference w:id="3014"/>
      </w:r>
      <w:r>
        <w:rPr>
          <w:rtl/>
        </w:rPr>
        <w:t xml:space="preserve">וְאִתְקְרִיאַת מַתַּן תּוֹרָה, וְעַמּוּדָא דְאֶמְצָעִיתָא אִיהוּ תוֹרָה דְאִתְיְיהִיבַת בְּחַמְשִׁין יוֹמִין דְּשָׁבוּעוֹת, וַעֲלֵיהּ אִתְּמַר בֶּן חֲמִשִּׁים לְזִקְנָה </w:t>
      </w:r>
      <w:r>
        <w:rPr>
          <w:sz w:val="20"/>
          <w:szCs w:val="20"/>
          <w:rtl/>
        </w:rPr>
        <w:t>(נ''א לבינה)</w:t>
      </w:r>
      <w:r>
        <w:rPr>
          <w:rtl/>
        </w:rPr>
        <w:t xml:space="preserve">, בְּהַהִיא דְאִתְּמַר בָּהּ כִּי זָקְנָה אִמֶּךָ, וַעֲלָהּ אִתְּמַר </w:t>
      </w:r>
      <w:r>
        <w:rPr>
          <w:sz w:val="20"/>
          <w:szCs w:val="20"/>
          <w:rtl/>
        </w:rPr>
        <w:t>(משלי ב ג)</w:t>
      </w:r>
      <w:r>
        <w:rPr>
          <w:rtl/>
        </w:rPr>
        <w:t xml:space="preserve"> כִּי אִם לַבִּינָה תִקְרָא, </w:t>
      </w:r>
      <w:r>
        <w:rPr>
          <w:sz w:val="20"/>
          <w:szCs w:val="20"/>
          <w:rtl/>
        </w:rPr>
        <w:t xml:space="preserve">(דף מח ע''ב) </w:t>
      </w:r>
      <w:r>
        <w:rPr>
          <w:rtl/>
        </w:rPr>
        <w:t xml:space="preserve">בְּגִין דְּאִיהִי ה' וְסָלְקָא בְּאָת י' לְחַמְשִׁין חָמֵשׁ זִמְנִין עֶשֶׂר, וַעֲלָהּ אִתְּמַר בֶּן חֲמִשִּׁים לְזִקְנָה, בְּהַהִיא דְאִתְּמַר </w:t>
      </w:r>
      <w:r>
        <w:rPr>
          <w:sz w:val="20"/>
          <w:szCs w:val="20"/>
          <w:rtl/>
        </w:rPr>
        <w:t>(שם כג כב)</w:t>
      </w:r>
      <w:r>
        <w:rPr>
          <w:rtl/>
        </w:rPr>
        <w:t xml:space="preserve"> </w:t>
      </w:r>
      <w:r>
        <w:rPr>
          <w:rStyle w:val="Char"/>
          <w:rtl/>
          <w:lang w:eastAsia="en-US"/>
        </w:rPr>
        <w:t>אַל תָּבוּז כִּי זָקְנָה אִמֶּךָ,</w:t>
      </w:r>
      <w:r>
        <w:rPr>
          <w:rtl/>
        </w:rPr>
        <w:t xml:space="preserve"> </w:t>
      </w:r>
      <w:r>
        <w:rPr>
          <w:sz w:val="20"/>
          <w:szCs w:val="20"/>
          <w:rtl/>
        </w:rPr>
        <w:t>(ו' בן י''ה)</w:t>
      </w:r>
      <w:r>
        <w:rPr>
          <w:rtl/>
        </w:rPr>
        <w:t>.</w:t>
      </w:r>
    </w:p>
    <w:p w:rsidR="002D629A" w:rsidRDefault="002D629A" w:rsidP="00B17EA9">
      <w:pPr>
        <w:pStyle w:val="NormalWeb"/>
        <w:rPr>
          <w:rtl/>
        </w:rPr>
      </w:pPr>
      <w:r>
        <w:rPr>
          <w:rStyle w:val="a7"/>
          <w:rFonts w:hAnsi="Arial"/>
          <w:b w:val="0"/>
          <w:bCs w:val="0"/>
          <w:rtl/>
          <w:lang w:eastAsia="en-US"/>
        </w:rPr>
        <w:footnoteReference w:id="3015"/>
      </w:r>
      <w:r>
        <w:rPr>
          <w:rtl/>
        </w:rPr>
        <w:t xml:space="preserve">וְזִמְנִין אִתְקְרִיאַת ם' סְתִימָא, </w:t>
      </w:r>
      <w:r>
        <w:rPr>
          <w:rStyle w:val="a7"/>
          <w:rFonts w:hAnsi="Arial"/>
          <w:b w:val="0"/>
          <w:bCs w:val="0"/>
          <w:rtl/>
          <w:lang w:eastAsia="en-US"/>
        </w:rPr>
        <w:footnoteReference w:id="3016"/>
      </w:r>
      <w:r>
        <w:rPr>
          <w:rtl/>
        </w:rPr>
        <w:t xml:space="preserve">וְאִתְּמַר בָּהּ בֶּן אַרְבָּעִים לַבִּינָה, </w:t>
      </w:r>
      <w:r>
        <w:rPr>
          <w:sz w:val="20"/>
          <w:szCs w:val="20"/>
          <w:rtl/>
        </w:rPr>
        <w:t>(כד לא איהי)</w:t>
      </w:r>
      <w:r>
        <w:rPr>
          <w:rtl/>
        </w:rPr>
        <w:t xml:space="preserve"> בְּשׁוּתָּפָא דְאָת י' אִתְקְרִיאַת אַרְבָּעִים, וְאִיהִי עָלְמָא דְאָתֵי דְלֵית בֵּיהּ אֲכִילָה וּשְׁתִיָּה, וְכַד סָלִיק מֹשֶׁה לְגַבָּהּ אִתְּמַר בֵּיהּ </w:t>
      </w:r>
      <w:r>
        <w:rPr>
          <w:sz w:val="20"/>
          <w:szCs w:val="20"/>
          <w:rtl/>
        </w:rPr>
        <w:t>(שמות כד יח)</w:t>
      </w:r>
      <w:r>
        <w:rPr>
          <w:rtl/>
        </w:rPr>
        <w:t xml:space="preserve"> וַיְהִי מֹשֶׁה בָּהָר אַרְבָּעִים יוֹם וְאַרְבָּעִים לָיְלָה וְגוֹמֵר.</w:t>
      </w:r>
    </w:p>
    <w:p w:rsidR="002D629A" w:rsidRDefault="002D629A" w:rsidP="00B17EA9">
      <w:pPr>
        <w:pStyle w:val="NormalWeb"/>
        <w:rPr>
          <w:rtl/>
        </w:rPr>
      </w:pPr>
      <w:r>
        <w:rPr>
          <w:rtl/>
        </w:rPr>
        <w:t xml:space="preserve">מַתַּן תּוֹרָה דָא שְׁכִינְתָּא תַּתָּאָה, </w:t>
      </w:r>
      <w:r>
        <w:rPr>
          <w:rStyle w:val="a7"/>
          <w:rFonts w:hAnsi="Arial"/>
          <w:b w:val="0"/>
          <w:bCs w:val="0"/>
          <w:rtl/>
          <w:lang w:eastAsia="en-US"/>
        </w:rPr>
        <w:footnoteReference w:id="3017"/>
      </w:r>
      <w:r>
        <w:rPr>
          <w:rtl/>
        </w:rPr>
        <w:t xml:space="preserve">וַעֲלָהּ אִתְּמַר יִשְׂמַח מֹשֶׂה בְּמַתְּנַת חֶלְקוֹ, בְּגִין דְּאִיהִי דוּגְמָא דְעַמּוּדָא דְאֶמְצָעִיתָא, </w:t>
      </w:r>
      <w:r>
        <w:rPr>
          <w:rStyle w:val="a7"/>
          <w:rFonts w:hAnsi="Arial"/>
          <w:b w:val="0"/>
          <w:bCs w:val="0"/>
          <w:rtl/>
          <w:lang w:eastAsia="en-US"/>
        </w:rPr>
        <w:footnoteReference w:id="3018"/>
      </w:r>
      <w:r>
        <w:rPr>
          <w:rtl/>
        </w:rPr>
        <w:t xml:space="preserve">וְעוֹד שָׁבוּעוֹת עַל שֵׁם מַלֵּא שְׁבֻעַ זֹאת וְנִתְּנָה לְךָ גַם אֶת זֹאת </w:t>
      </w:r>
      <w:r>
        <w:rPr>
          <w:sz w:val="20"/>
          <w:szCs w:val="20"/>
          <w:rtl/>
        </w:rPr>
        <w:t>(בראשית כט כז)</w:t>
      </w:r>
      <w:r>
        <w:rPr>
          <w:rtl/>
        </w:rPr>
        <w:t xml:space="preserve">, </w:t>
      </w:r>
      <w:r>
        <w:rPr>
          <w:rStyle w:val="a7"/>
          <w:rFonts w:hAnsi="Arial"/>
          <w:b w:val="0"/>
          <w:bCs w:val="0"/>
          <w:rtl/>
          <w:lang w:eastAsia="en-US"/>
        </w:rPr>
        <w:footnoteReference w:id="3019"/>
      </w:r>
      <w:r>
        <w:rPr>
          <w:rtl/>
        </w:rPr>
        <w:t xml:space="preserve">מַלֵּא שְׁבוּעַ זֹאת דָּא שְׁכִינְתָּא </w:t>
      </w:r>
      <w:r>
        <w:rPr>
          <w:rStyle w:val="a7"/>
          <w:rFonts w:hAnsi="Arial"/>
          <w:b w:val="0"/>
          <w:bCs w:val="0"/>
          <w:rtl/>
          <w:lang w:eastAsia="en-US"/>
        </w:rPr>
        <w:footnoteReference w:id="3020"/>
      </w:r>
      <w:r>
        <w:rPr>
          <w:rtl/>
        </w:rPr>
        <w:t xml:space="preserve">עִלָּאָה מַלֵּא ה' מַלֵּא י"ה, </w:t>
      </w:r>
      <w:r>
        <w:rPr>
          <w:rStyle w:val="Char"/>
          <w:rtl/>
          <w:lang w:eastAsia="en-US"/>
        </w:rPr>
        <w:t>דְּאִתְּמַר בֵּיהּ</w:t>
      </w:r>
      <w:r>
        <w:rPr>
          <w:rtl/>
        </w:rPr>
        <w:t xml:space="preserve"> </w:t>
      </w:r>
      <w:r>
        <w:rPr>
          <w:sz w:val="20"/>
          <w:szCs w:val="20"/>
          <w:rtl/>
        </w:rPr>
        <w:t>(שמות יז טז)</w:t>
      </w:r>
      <w:r>
        <w:rPr>
          <w:rtl/>
        </w:rPr>
        <w:t xml:space="preserve"> כִּי יָד עַל כֵּ''ס י''הּ, וְנִתְּנָה לְךָ גַם אֶת זֹאת דָּא שְׁכִינְתָּא תַּתָּאָה ה' זְעִירָא, </w:t>
      </w:r>
      <w:r>
        <w:rPr>
          <w:rStyle w:val="a7"/>
          <w:rFonts w:hAnsi="Arial"/>
          <w:b w:val="0"/>
          <w:bCs w:val="0"/>
          <w:rtl/>
          <w:lang w:eastAsia="en-US"/>
        </w:rPr>
        <w:footnoteReference w:id="3021"/>
      </w:r>
      <w:r>
        <w:rPr>
          <w:rtl/>
        </w:rPr>
        <w:t xml:space="preserve">מַלֵּא דְכֹלָּא עִלָּאָה </w:t>
      </w:r>
      <w:r>
        <w:rPr>
          <w:rStyle w:val="a7"/>
          <w:rFonts w:hAnsi="Arial"/>
          <w:b w:val="0"/>
          <w:bCs w:val="0"/>
          <w:rtl/>
          <w:lang w:eastAsia="en-US"/>
        </w:rPr>
        <w:footnoteReference w:id="3022"/>
      </w:r>
      <w:r>
        <w:rPr>
          <w:rtl/>
        </w:rPr>
        <w:t xml:space="preserve">וְתַתָּאָה דָא ו', אִיהוּ מַלֵּא י''ה לְעִילָא, דְּאִיהִי מְלֵיאָ''ה אלהי''ם, וַעֲלָהּ אִתְּמַר </w:t>
      </w:r>
      <w:r>
        <w:rPr>
          <w:sz w:val="20"/>
          <w:szCs w:val="20"/>
          <w:rtl/>
        </w:rPr>
        <w:t>(רות א כא)</w:t>
      </w:r>
      <w:r>
        <w:rPr>
          <w:rtl/>
        </w:rPr>
        <w:t xml:space="preserve"> אֲנִי מְלֵאָה הָלַכְתִּי, מְלֵאָה הָלַכְתִּי לְטוּרָא דְסִינַי, וּבְגָלוּתָא רֵיקָם הֱשִׁיבַנִי יהו''ה </w:t>
      </w:r>
      <w:r>
        <w:rPr>
          <w:sz w:val="20"/>
          <w:szCs w:val="20"/>
          <w:rtl/>
        </w:rPr>
        <w:t>(שם)</w:t>
      </w:r>
      <w:r>
        <w:rPr>
          <w:rtl/>
        </w:rPr>
        <w:t xml:space="preserve"> </w:t>
      </w:r>
      <w:r>
        <w:rPr>
          <w:rStyle w:val="Char"/>
          <w:rtl/>
          <w:lang w:eastAsia="en-US"/>
        </w:rPr>
        <w:t>וְאִיהוּ מָלֵא ה', וּבָהּ</w:t>
      </w:r>
      <w:r>
        <w:rPr>
          <w:rtl/>
        </w:rPr>
        <w:t xml:space="preserve"> </w:t>
      </w:r>
      <w:r>
        <w:rPr>
          <w:sz w:val="20"/>
          <w:szCs w:val="20"/>
          <w:rtl/>
        </w:rPr>
        <w:t>(נ''א וביה)</w:t>
      </w:r>
      <w:r>
        <w:rPr>
          <w:rtl/>
        </w:rPr>
        <w:t xml:space="preserve"> </w:t>
      </w:r>
      <w:r>
        <w:rPr>
          <w:sz w:val="20"/>
          <w:szCs w:val="20"/>
          <w:rtl/>
        </w:rPr>
        <w:t>(תהלים קד כד)</w:t>
      </w:r>
      <w:r>
        <w:rPr>
          <w:rtl/>
        </w:rPr>
        <w:t xml:space="preserve"> </w:t>
      </w:r>
      <w:r>
        <w:rPr>
          <w:rStyle w:val="a7"/>
          <w:rFonts w:hAnsi="Arial"/>
          <w:b w:val="0"/>
          <w:bCs w:val="0"/>
          <w:rtl/>
          <w:lang w:eastAsia="en-US"/>
        </w:rPr>
        <w:footnoteReference w:id="3023"/>
      </w:r>
      <w:r>
        <w:rPr>
          <w:rtl/>
        </w:rPr>
        <w:t>מָלְאָה הָאָרֶץ קִנְיָנֶךָ.</w:t>
      </w:r>
    </w:p>
    <w:p w:rsidR="002D629A" w:rsidRDefault="002D629A" w:rsidP="00B17EA9">
      <w:pPr>
        <w:pStyle w:val="NormalWeb"/>
        <w:rPr>
          <w:rtl/>
        </w:rPr>
      </w:pPr>
      <w:r>
        <w:rPr>
          <w:rStyle w:val="a7"/>
          <w:rFonts w:hAnsi="Arial"/>
          <w:b w:val="0"/>
          <w:bCs w:val="0"/>
          <w:rtl/>
          <w:lang w:eastAsia="en-US"/>
        </w:rPr>
        <w:footnoteReference w:id="3024"/>
      </w:r>
      <w:r>
        <w:rPr>
          <w:rtl/>
        </w:rPr>
        <w:t xml:space="preserve">וּשְׁכִינְתָּא תַּתָּאָה אִיהִי סוּכָּ''ה, כ''ו ה''ס, דְּאִיהִי יהו''ה אדנ''י, כְּלִילָא מִתְּרֵין שְׁמָהָן, סוּכָּה חִבּוּרָא דְתַרְוַיְהוּ כְּגַוְונָא דָא יאהדונה''י, בְּגִין דְּאִיהִי כַּלָּה דִילֵיהּ, וְאִיהִי בַּת שֶׁבַע כְּלָלָא דְשֶׁבַע יְמֵי סוּכָּה, וְכַד נָטְלָא מֵאִימָּא עִלָּאָה </w:t>
      </w:r>
      <w:r>
        <w:rPr>
          <w:rStyle w:val="a7"/>
          <w:rFonts w:hAnsi="Arial"/>
          <w:b w:val="0"/>
          <w:bCs w:val="0"/>
          <w:rtl/>
          <w:lang w:eastAsia="en-US"/>
        </w:rPr>
        <w:footnoteReference w:id="3025"/>
      </w:r>
      <w:r>
        <w:rPr>
          <w:rtl/>
        </w:rPr>
        <w:t xml:space="preserve">דְאִיהִי שִׂמְחַת תּוֹרָה </w:t>
      </w:r>
      <w:r>
        <w:rPr>
          <w:rStyle w:val="a7"/>
          <w:rFonts w:hAnsi="Arial"/>
          <w:b w:val="0"/>
          <w:bCs w:val="0"/>
          <w:rtl/>
          <w:lang w:eastAsia="en-US"/>
        </w:rPr>
        <w:footnoteReference w:id="3026"/>
      </w:r>
      <w:r>
        <w:rPr>
          <w:rtl/>
        </w:rPr>
        <w:t>שִׂמְחַת בֵּית הַשּׁוֹאֵבָה, וְאִיהִי חוּפָּה דִילֵיהּ, אִתְקְרִיאַת שְׁמִינִי חַג עֲצֶרֶת.</w:t>
      </w:r>
    </w:p>
    <w:p w:rsidR="002D629A" w:rsidRDefault="002D629A" w:rsidP="00B17EA9">
      <w:pPr>
        <w:pStyle w:val="NormalWeb"/>
        <w:rPr>
          <w:rtl/>
        </w:rPr>
      </w:pPr>
      <w:r>
        <w:rPr>
          <w:rtl/>
        </w:rPr>
        <w:t xml:space="preserve">בְּהַהוּא זִמְנָא דְשִׂמְחַת תּוֹרָה </w:t>
      </w:r>
      <w:r>
        <w:rPr>
          <w:rStyle w:val="a7"/>
          <w:rFonts w:hAnsi="Arial"/>
          <w:b w:val="0"/>
          <w:bCs w:val="0"/>
          <w:rtl/>
          <w:lang w:eastAsia="en-US"/>
        </w:rPr>
        <w:footnoteReference w:id="3027"/>
      </w:r>
      <w:r>
        <w:rPr>
          <w:rtl/>
        </w:rPr>
        <w:t xml:space="preserve">שַׁוְיָין </w:t>
      </w:r>
      <w:r>
        <w:rPr>
          <w:sz w:val="20"/>
          <w:szCs w:val="20"/>
          <w:rtl/>
        </w:rPr>
        <w:t>(נ''א שריא)</w:t>
      </w:r>
      <w:r>
        <w:rPr>
          <w:rtl/>
        </w:rPr>
        <w:t xml:space="preserve"> עֲטָרָה בְרֵישׁ כָּל צַדִּיק לְעִילָא, כְּמָה דְאַתְּ אָמַר </w:t>
      </w:r>
      <w:r>
        <w:rPr>
          <w:sz w:val="20"/>
          <w:szCs w:val="20"/>
          <w:rtl/>
        </w:rPr>
        <w:t>(שיר ג יא)</w:t>
      </w:r>
      <w:r>
        <w:rPr>
          <w:rtl/>
        </w:rPr>
        <w:t xml:space="preserve"> בַּעֲטָרָה שֶׁעִטְּרָה לוֹ אִמּוֹ, </w:t>
      </w:r>
      <w:r>
        <w:rPr>
          <w:rStyle w:val="a7"/>
          <w:rFonts w:hAnsi="Arial"/>
          <w:b w:val="0"/>
          <w:bCs w:val="0"/>
          <w:rtl/>
          <w:lang w:eastAsia="en-US"/>
        </w:rPr>
        <w:footnoteReference w:id="3028"/>
      </w:r>
      <w:r>
        <w:rPr>
          <w:rtl/>
        </w:rPr>
        <w:t xml:space="preserve">בְּיוֹם חֲתוּנָתוֹ </w:t>
      </w:r>
      <w:r>
        <w:rPr>
          <w:rStyle w:val="a7"/>
          <w:rFonts w:hAnsi="Arial"/>
          <w:b w:val="0"/>
          <w:bCs w:val="0"/>
          <w:rtl/>
          <w:lang w:eastAsia="en-US"/>
        </w:rPr>
        <w:footnoteReference w:id="3029"/>
      </w:r>
      <w:r>
        <w:rPr>
          <w:rtl/>
        </w:rPr>
        <w:t xml:space="preserve">וּבְיוֹם שִׂמְחַת לִבּוֹ, בְּיוֹם חֲתוּנָתוֹ דָּא שְׁכִינְתָּא תַּתָּאָה, וּבְיוֹם שִׂמְחַת לִבּוֹ דָא שְׁכִינְתָּא עִלָּאָה, וְהָכִי צְרִיכִין יִשְׂרָאֵל לְאִתְעַטְרָא בְּכֹלָּא </w:t>
      </w:r>
      <w:r>
        <w:rPr>
          <w:sz w:val="20"/>
          <w:szCs w:val="20"/>
          <w:rtl/>
        </w:rPr>
        <w:t>(נ''א כלהו)</w:t>
      </w:r>
      <w:r>
        <w:rPr>
          <w:rtl/>
        </w:rPr>
        <w:t xml:space="preserve"> </w:t>
      </w:r>
      <w:r>
        <w:rPr>
          <w:rStyle w:val="Char"/>
          <w:rtl/>
          <w:lang w:eastAsia="en-US"/>
        </w:rPr>
        <w:t>בַעֲטָרָא עַל רֵישַׁיְיהוּ</w:t>
      </w:r>
      <w:r>
        <w:rPr>
          <w:rtl/>
        </w:rPr>
        <w:t xml:space="preserve"> בְּיוֹמָא דְשִׂמְחַת תּוֹרָה. </w:t>
      </w:r>
      <w:r>
        <w:rPr>
          <w:rStyle w:val="a7"/>
          <w:rFonts w:hAnsi="Arial"/>
          <w:b w:val="0"/>
          <w:bCs w:val="0"/>
          <w:rtl/>
          <w:lang w:eastAsia="en-US"/>
        </w:rPr>
        <w:footnoteReference w:id="3030"/>
      </w:r>
      <w:r>
        <w:rPr>
          <w:rtl/>
        </w:rPr>
        <w:t xml:space="preserve">וּלְקַחְתֶּם לָכֶם בַּיּוֹם הָרִאשׁוֹן פְּרִי עִץ הָדָר כַּפּוֹת תְּמָרִים וכו' </w:t>
      </w:r>
      <w:r>
        <w:rPr>
          <w:sz w:val="20"/>
          <w:szCs w:val="20"/>
          <w:rtl/>
        </w:rPr>
        <w:t>(ויקרא כג מ)</w:t>
      </w:r>
      <w:r>
        <w:rPr>
          <w:rtl/>
        </w:rPr>
        <w:t xml:space="preserve">, אֶתְרוֹג אִיהִי שְׁכִינְתָּא תַּתָּאָה, וְדַמְיָא לְלִבָּא דְאִיהוּ לִשְׂמָאלָא </w:t>
      </w:r>
      <w:r>
        <w:rPr>
          <w:rStyle w:val="a7"/>
          <w:rFonts w:hAnsi="Arial"/>
          <w:b w:val="0"/>
          <w:bCs w:val="0"/>
          <w:rtl/>
          <w:lang w:eastAsia="en-US"/>
        </w:rPr>
        <w:footnoteReference w:id="3031"/>
      </w:r>
      <w:r>
        <w:rPr>
          <w:rtl/>
        </w:rPr>
        <w:t xml:space="preserve">דְאִיהוּ גְבוּרָה, וּבְגִין כַּךְ צָרִיךְ בַּר נַשׁ לְנָטְלָא אֶתְרוֹג בִּידָא שְׂמָאלָא וּצְרִיכָא לְמֶהֱוִי אֶתְרוֹג דְּדַמְיָא לְלִבָּא שְׁלֵימָא בִּפְטוֹמֶת דִּילָהּ, בְּגִין הַהוּא דְאִתְּמַר בֵּיהּ </w:t>
      </w:r>
      <w:r>
        <w:rPr>
          <w:sz w:val="20"/>
          <w:szCs w:val="20"/>
          <w:rtl/>
        </w:rPr>
        <w:t>(בראשית כה כז)</w:t>
      </w:r>
      <w:r>
        <w:rPr>
          <w:rtl/>
        </w:rPr>
        <w:t xml:space="preserve"> וְיַעֲקֹב אִישׁ תָּם, </w:t>
      </w:r>
      <w:r>
        <w:rPr>
          <w:rStyle w:val="a7"/>
          <w:rFonts w:hAnsi="Arial"/>
          <w:b w:val="0"/>
          <w:bCs w:val="0"/>
          <w:rtl/>
          <w:lang w:eastAsia="en-US"/>
        </w:rPr>
        <w:footnoteReference w:id="3032"/>
      </w:r>
      <w:r>
        <w:rPr>
          <w:rtl/>
        </w:rPr>
        <w:t xml:space="preserve">לְמֶהֱוִי שְׁלֵימָא עִמֵּיהּ, וּכְמָה דְלֵית פְּסוּל בְּיַעֲקֹב דִּלְעִילָא, כֵּן צָרִיךְ דְּלָא יְהֵא פְסוּל בְּאֶתְרוֹג, לְקַיְימָא קְרָא </w:t>
      </w:r>
      <w:r>
        <w:rPr>
          <w:sz w:val="20"/>
          <w:szCs w:val="20"/>
          <w:rtl/>
        </w:rPr>
        <w:t>(שיר ד ז)</w:t>
      </w:r>
      <w:r>
        <w:rPr>
          <w:rtl/>
        </w:rPr>
        <w:t xml:space="preserve"> כֻּלָּךְ יָפָה רַעְיָתִי וּמוּם אֵין בָּךְ, וְאִם הִיא </w:t>
      </w:r>
      <w:r>
        <w:rPr>
          <w:rStyle w:val="a7"/>
          <w:rFonts w:hAnsi="Arial"/>
          <w:b w:val="0"/>
          <w:bCs w:val="0"/>
          <w:rtl/>
          <w:lang w:eastAsia="en-US"/>
        </w:rPr>
        <w:footnoteReference w:id="3033"/>
      </w:r>
      <w:r>
        <w:rPr>
          <w:rtl/>
        </w:rPr>
        <w:t xml:space="preserve">יְרוֹקָא הִיא מְשׁוּבַּחַת יַתִּיר, כְּדִיּוֹקְנָא דַהֲוַת אֶסְתֵּר יְרַקְרֹקֶת, </w:t>
      </w:r>
      <w:r>
        <w:rPr>
          <w:rStyle w:val="a7"/>
          <w:rFonts w:hAnsi="Arial"/>
          <w:b w:val="0"/>
          <w:bCs w:val="0"/>
          <w:rtl/>
          <w:lang w:eastAsia="en-US"/>
        </w:rPr>
        <w:footnoteReference w:id="3034"/>
      </w:r>
      <w:r>
        <w:rPr>
          <w:rtl/>
        </w:rPr>
        <w:t xml:space="preserve">דְּאִתְּמַר בָּהּ </w:t>
      </w:r>
      <w:r>
        <w:rPr>
          <w:sz w:val="20"/>
          <w:szCs w:val="20"/>
          <w:rtl/>
        </w:rPr>
        <w:t>(אסתר ה א)</w:t>
      </w:r>
      <w:r>
        <w:rPr>
          <w:rtl/>
        </w:rPr>
        <w:t xml:space="preserve"> וַתִּלְבַּשׁ אֶסְתֵּר מַלְכוּת.</w:t>
      </w:r>
    </w:p>
    <w:p w:rsidR="002D629A" w:rsidRDefault="002D629A" w:rsidP="00B17EA9">
      <w:pPr>
        <w:pStyle w:val="NormalWeb"/>
        <w:rPr>
          <w:rtl/>
        </w:rPr>
      </w:pPr>
      <w:r>
        <w:rPr>
          <w:rtl/>
        </w:rPr>
        <w:t xml:space="preserve">וְאִתְקְרִיאַת הֲדַסָּה עַל שֵׁם הֲדַס, </w:t>
      </w:r>
      <w:r>
        <w:rPr>
          <w:rStyle w:val="a7"/>
          <w:rFonts w:hAnsi="Arial"/>
          <w:b w:val="0"/>
          <w:bCs w:val="0"/>
          <w:rtl/>
          <w:lang w:eastAsia="en-US"/>
        </w:rPr>
        <w:footnoteReference w:id="3035"/>
      </w:r>
      <w:r>
        <w:rPr>
          <w:rtl/>
        </w:rPr>
        <w:t xml:space="preserve">וַהֲדַס אִית לֵיהּ תְּלַת הֲדַסִּין, לְאִשְׁתַּכְלָלָא בִּתְלַת אֲבָהָן, וְאִתְקְרִיאַת עֲרָבָה מִסִּטְרָא דִתְרֵין שִׂפְוָון דְּאִינוּן לִמּוּדֵי יהו''ה, וְאִתְקְרִיאַת לוּלָב מִסִּטְרָא דְחַ''י עָלְמִין, דְּאִיהוּ כְלִיל חַ''י בִּרְכָאָן דִּצְלוֹתָא, וּלְקִבְלַיְיהוּ עָבְדִין חַ''י נִעְנוּעִין בְּלוּלָב בְּשִׁית סִטְרִין, תְּלַת לְכָל סִטְרָא וְסִטְרָא, </w:t>
      </w:r>
      <w:r>
        <w:rPr>
          <w:rStyle w:val="a7"/>
          <w:rFonts w:hAnsi="Arial"/>
          <w:b w:val="0"/>
          <w:bCs w:val="0"/>
          <w:rtl/>
          <w:lang w:eastAsia="en-US"/>
        </w:rPr>
        <w:footnoteReference w:id="3036"/>
      </w:r>
      <w:r>
        <w:rPr>
          <w:rtl/>
        </w:rPr>
        <w:t>שִׁית סִטְרִין דִּכְלִילָן בְּגוּפָא דְאִיהוּ עַמּוּדָא דְאֶמְצָעִיתָא, דְלוּלָב עַל שְׁמֵיהּ אִתְקְרֵי ל''ו ל''ב.</w:t>
      </w:r>
    </w:p>
    <w:p w:rsidR="002D629A" w:rsidRDefault="002D629A" w:rsidP="00B17EA9">
      <w:pPr>
        <w:pStyle w:val="NormalWeb"/>
        <w:rPr>
          <w:rtl/>
        </w:rPr>
      </w:pPr>
      <w:r>
        <w:rPr>
          <w:rtl/>
        </w:rPr>
        <w:t xml:space="preserve">וְאִינוּן נִעְנוּעִין חַ''י ד' זִמְנִין, דְּסָלְקִין ע''ב, וְאִינוּן חַ''י נִעְנוּעִין בְּהוֹדוּ לַיהו''ה תְּחִלָּה וָסוֹף, חַ''י בְּאָנָא יהו''ה הוֹשִׁיעָה נָא, הָא ע''ב, וְאִינוּן תַּלְיָין מִן ד' דְּאִיהִי שְׁכִינְתָּא, וְצַדִּיק בָּהּ אִתְקְרֵי ד' זִמְנִין חַ''י חַ''י חַ''י חַ''י דְּסָלִיק ע''ב, מִסִּטְרָא דִתְלַת אֲבָהָן, וּשְׁכִינְתָּא דְאִשְׁתַּתְּפַת עִמְּהוֹן, דְּאִינוּן חַ''י </w:t>
      </w:r>
      <w:r>
        <w:rPr>
          <w:sz w:val="20"/>
          <w:szCs w:val="20"/>
          <w:rtl/>
        </w:rPr>
        <w:t>(פרקין)</w:t>
      </w:r>
      <w:r>
        <w:rPr>
          <w:rtl/>
        </w:rPr>
        <w:t xml:space="preserve"> בִּדְרוֹעָא יְמִינָא, וְחַ''י בִּשְׂמָאלָא, וְחַ''י בְּגוּפָא לְגַבֵּי שִׁדְרָה, וְחַ''י בִּבְרִית מִילָה, </w:t>
      </w:r>
      <w:r>
        <w:rPr>
          <w:rStyle w:val="a7"/>
          <w:rFonts w:hAnsi="Arial"/>
          <w:b w:val="0"/>
          <w:bCs w:val="0"/>
          <w:rtl/>
          <w:lang w:eastAsia="en-US"/>
        </w:rPr>
        <w:footnoteReference w:id="3037"/>
      </w:r>
      <w:r>
        <w:rPr>
          <w:rtl/>
        </w:rPr>
        <w:t>וְאִינוּן ו' סִטְרִין תְּרֵין דְּרוֹעִין דְּמַלְכָּא, וּתְרֵין שׁוֹקִין דְּמַלְכָּא, דְאִינוּן תְּרֵי נְבִיאֵי קְשׁוֹט, וְגוּפָא וּבְרִית הָא שִׁית, חַ''י נִעְנוּעִין לָקֳבֵל חַ''י חוּלְיָין דְּשִׁדְרָה מִסִּטְרָא דְגוּפָא, וְכָל דָּא מִסִּטְרָא דְאִילָנָא דְחַיֵּי.</w:t>
      </w:r>
    </w:p>
    <w:p w:rsidR="002D629A" w:rsidRDefault="002D629A" w:rsidP="00B17EA9">
      <w:pPr>
        <w:pStyle w:val="NormalWeb"/>
        <w:rPr>
          <w:rtl/>
        </w:rPr>
      </w:pPr>
      <w:r>
        <w:rPr>
          <w:rtl/>
        </w:rPr>
        <w:t xml:space="preserve">וּמִסִּטְרָא דְאִילָנָא דְטוֹב וָרָע, אֶתְרוֹג דָּמֵי לְצַדִּיקַיָּיא, וַהֲדַס לְבֵינוּנִיִּים, וַעֲרָבָה לָרְשָׁעִים, וּשְׁכִינְתָּא אִתְּמַר בָּהּ </w:t>
      </w:r>
      <w:r>
        <w:rPr>
          <w:sz w:val="20"/>
          <w:szCs w:val="20"/>
          <w:rtl/>
        </w:rPr>
        <w:t>(תהלים קג יט)</w:t>
      </w:r>
      <w:r>
        <w:rPr>
          <w:rtl/>
        </w:rPr>
        <w:t xml:space="preserve"> וּמַלְכוּתוֹ בַּכֹּל מָשָׁלָה, אַף עַל גַּב דְּאִתְּמַר בָּהּ </w:t>
      </w:r>
      <w:r>
        <w:rPr>
          <w:sz w:val="20"/>
          <w:szCs w:val="20"/>
          <w:rtl/>
        </w:rPr>
        <w:t>(משלי ג יח)</w:t>
      </w:r>
      <w:r>
        <w:rPr>
          <w:rtl/>
        </w:rPr>
        <w:t xml:space="preserve"> עִץ חַיִּים הִיא לַמַּחֲזִיקִים בָּהּ, אִיהִי שָׁלְטָא עַל עִץ הַדַּעַת טוֹב וָרָע, מִסִּטְרָא דִילֵיהּ הִיא קְרִיבָא לְמַלְכָּא, </w:t>
      </w:r>
      <w:r>
        <w:rPr>
          <w:sz w:val="20"/>
          <w:szCs w:val="20"/>
          <w:rtl/>
        </w:rPr>
        <w:t>(נ''א ומסטרין אלין לזמנין איהי נוקבא קריבא למלכא)</w:t>
      </w:r>
      <w:r>
        <w:rPr>
          <w:rtl/>
        </w:rPr>
        <w:t xml:space="preserve">, הֲדָא הוּא דִכְתִיב </w:t>
      </w:r>
      <w:r>
        <w:rPr>
          <w:sz w:val="20"/>
          <w:szCs w:val="20"/>
          <w:rtl/>
        </w:rPr>
        <w:t>(ויקרא טז ג)</w:t>
      </w:r>
      <w:r>
        <w:rPr>
          <w:rtl/>
        </w:rPr>
        <w:t xml:space="preserve"> בְּזֹאת יָבֹא אַהֲרֹן אֶל הַקֹּדֶשׁ מִסִּטְרָא דִימִינָא, לְזִמְנִין אִיהִי רְחִיקָא מִנֵּיהּ מִסִּטְרָא דִשְׂמָאלָא, וְאַל יָבֹא בְכָל עִת אֶל הַקֹּדֶשׁ, מִסִּטְרָא דִימִינָא אִיהִי לָא מְקַבְּלָא טוּמְאָה, טוֹב הוּא יְמִינָא, אֲבָל אַתְרָהָא טוֹב מְקַבְּלָא טוּמְאָה מֵרַע וּמָוְת, הוּא אֲתַר לֵית לֵיהּ קְרִיבוּ, </w:t>
      </w:r>
      <w:r>
        <w:rPr>
          <w:sz w:val="20"/>
          <w:szCs w:val="20"/>
          <w:rtl/>
        </w:rPr>
        <w:t>(נ''א אל הקדש איהי לא מקבלא טומאה, אבל אתרהא טוב מקבלא טומאה מרע ומההוא אתר דלית ליה קריבו)</w:t>
      </w:r>
      <w:r>
        <w:rPr>
          <w:rtl/>
        </w:rPr>
        <w:t>, וְתַמָּן צָרִיךְ קוּרְבָּנָא לְקָרְבָא, וּקְטֹרֶת לְרַחֲקָא רוּחַ הַטּוּמְאָה מֵהַהוּא אֲתַר, וּלְקָרְבָא זְכוּתָא לִשְׂמָאלָא גְבִירְתָּא, וּלְרַחֲקָא שִׁפְחָה מִתַּמָּן, וּבְגִין דָּא כָּל שְׁמָהָן אִית בָּהּ.</w:t>
      </w:r>
    </w:p>
    <w:p w:rsidR="002D629A" w:rsidRDefault="002D629A" w:rsidP="00B17EA9">
      <w:pPr>
        <w:pStyle w:val="aa"/>
        <w:rPr>
          <w:rtl/>
        </w:rPr>
      </w:pPr>
      <w:r>
        <w:rPr>
          <w:rtl/>
        </w:rPr>
        <w:t xml:space="preserve">[תיקוני זוהר - דף מט ע''א] </w:t>
      </w:r>
    </w:p>
    <w:p w:rsidR="002D629A" w:rsidRDefault="002D629A" w:rsidP="00B17EA9">
      <w:pPr>
        <w:pStyle w:val="NormalWeb"/>
        <w:rPr>
          <w:rtl/>
        </w:rPr>
      </w:pPr>
      <w:r>
        <w:rPr>
          <w:rStyle w:val="a7"/>
          <w:rFonts w:hAnsi="Arial"/>
          <w:b w:val="0"/>
          <w:bCs w:val="0"/>
          <w:rtl/>
          <w:lang w:eastAsia="en-US"/>
        </w:rPr>
        <w:footnoteReference w:id="3038"/>
      </w:r>
      <w:r>
        <w:rPr>
          <w:rtl/>
        </w:rPr>
        <w:t xml:space="preserve">וְאִתְקְרֵי </w:t>
      </w:r>
      <w:r>
        <w:rPr>
          <w:szCs w:val="22"/>
          <w:rtl/>
        </w:rPr>
        <w:t>(שדרה)</w:t>
      </w:r>
      <w:r>
        <w:rPr>
          <w:rtl/>
        </w:rPr>
        <w:t xml:space="preserve"> אָחוֹר מִסִּטְרָא </w:t>
      </w:r>
      <w:r>
        <w:rPr>
          <w:sz w:val="20"/>
          <w:szCs w:val="20"/>
          <w:rtl/>
        </w:rPr>
        <w:t xml:space="preserve">(דף מט ע''א) </w:t>
      </w:r>
      <w:r>
        <w:rPr>
          <w:rtl/>
        </w:rPr>
        <w:t xml:space="preserve">דְסִיהֲרָא, וּמִסִּטְרָא דְעַמּוּדָא דְאֶמְצָעִיתָא אִתְקְרֵי קֶדֶם, וְרָזָא דְמִלָּה אָחוֹר וָקֶדֶם צַרְתָּנִי </w:t>
      </w:r>
      <w:r>
        <w:rPr>
          <w:sz w:val="20"/>
          <w:szCs w:val="20"/>
          <w:rtl/>
        </w:rPr>
        <w:t>(תהלים קלט ה)</w:t>
      </w:r>
      <w:r>
        <w:rPr>
          <w:rtl/>
        </w:rPr>
        <w:t xml:space="preserve">, וּבְגָלוּתָא </w:t>
      </w:r>
      <w:r>
        <w:rPr>
          <w:rStyle w:val="a7"/>
          <w:rFonts w:hAnsi="Arial"/>
          <w:b w:val="0"/>
          <w:bCs w:val="0"/>
          <w:rtl/>
          <w:lang w:eastAsia="en-US"/>
        </w:rPr>
        <w:footnoteReference w:id="3039"/>
      </w:r>
      <w:r>
        <w:rPr>
          <w:rtl/>
        </w:rPr>
        <w:t xml:space="preserve">הֵשִׁיב אָחוֹר יְמִינוֹ מִפְּנֵי אוֹיֵב </w:t>
      </w:r>
      <w:r>
        <w:rPr>
          <w:sz w:val="20"/>
          <w:szCs w:val="20"/>
          <w:rtl/>
        </w:rPr>
        <w:t>(איכה ב ג)</w:t>
      </w:r>
      <w:r>
        <w:rPr>
          <w:rtl/>
        </w:rPr>
        <w:t>, מַאי אוֹיֵב דָּא סמא''ל, דְּכָל אֱלֹהִים אֲחֵרִים אִינוּן לְאָחוֹר, וּבְגִין דְּלָא יִסְתַּכְּלוּן בִּשְׁכִינְתָּא דְאִיהִי לְמַעֲרָב דְּאִיהוּ אָחוֹר, שַׁוִּי לָהּ בִּימִינָא, וּבְגִין דָּא אָסוּר לְצַלָּאָה לְמַעֲרָב דְּאִיהוּ אָחוֹר, בְּגִין דְּתַמָּן אֱלֹהִים אֲחֵרִים, וְתַמָּן סַם הַמָּוְת שַׁבְּתַא''י, וּבְגִין דַּהֲוַת בְּקַדְמֵיתָא לְמַעֲרָב וְחָזְרַת לִימִינָא, שָׁאֲלִין עֲלָהּ אֱלֹהִים אֲחֵרִים שַׁבְּתַא''י אֵ''י שַׁבָּ''ת, שַׁבְּתַא''י אַתְוָון דִּילֵיהּ אֵי שַׁבָּת.</w:t>
      </w:r>
    </w:p>
    <w:p w:rsidR="002D629A" w:rsidRDefault="002D629A" w:rsidP="00B17EA9">
      <w:pPr>
        <w:pStyle w:val="NormalWeb"/>
        <w:rPr>
          <w:rtl/>
        </w:rPr>
      </w:pPr>
      <w:r>
        <w:rPr>
          <w:rStyle w:val="a7"/>
          <w:rFonts w:hAnsi="Arial"/>
          <w:b w:val="0"/>
          <w:bCs w:val="0"/>
          <w:rtl/>
          <w:lang w:eastAsia="en-US"/>
        </w:rPr>
        <w:footnoteReference w:id="3040"/>
      </w:r>
      <w:r>
        <w:rPr>
          <w:rtl/>
        </w:rPr>
        <w:t xml:space="preserve">וּצְרִיכִין יִשְׂרָאֵל לְשַׁנִּי לָהּ אֲתַר וּשְׁמָא וְעוֹבָדָא, </w:t>
      </w:r>
      <w:r>
        <w:rPr>
          <w:rStyle w:val="a7"/>
          <w:rFonts w:hAnsi="Arial"/>
          <w:b w:val="0"/>
          <w:bCs w:val="0"/>
          <w:rtl/>
          <w:lang w:eastAsia="en-US"/>
        </w:rPr>
        <w:footnoteReference w:id="3041"/>
      </w:r>
      <w:r>
        <w:rPr>
          <w:rtl/>
        </w:rPr>
        <w:t xml:space="preserve">וְדָא אִיהוּ שִׁנּוּי מָקוֹם וְשִׁנּוּי הַשֵּׁם וְשִׁנּוּי מַעֲשֶׂה, בְּגִין דְּלָא אִשְׁתְּמוֹדָע בֵּיהּ אוֹיֵב דְּאִיהוּ סמא''ל, וְדָא אִיהוּ הֵשִׁיב אָחוֹר יְמִינוֹ וכו', אִם זַכָּאָן לְנָטְרָא שַׁבָּת, צָרִיךְ לְשַׁנּוּיֵי לֵיהּ מִיּוֹמִין דְּחוֹלָא בִּלְבוּשִׁין וּמֵיכְלִין דְּאִינוּן עֹנֶג שַׁבָּת, דְּאִם הֲוָה רָגִיל לְמֵיכַל תְּרֵי סְעוּדוֹת בְּיוֹמָא דְחוֹלָא, בְּשַׁבָּת אָכִיל תְּלַת, דִּכְתִיב </w:t>
      </w:r>
      <w:r>
        <w:rPr>
          <w:sz w:val="20"/>
          <w:szCs w:val="20"/>
          <w:rtl/>
        </w:rPr>
        <w:t>(שמות טז כה)</w:t>
      </w:r>
      <w:r>
        <w:rPr>
          <w:rtl/>
        </w:rPr>
        <w:t xml:space="preserve"> וַיֹּאמֶר מֹשֶׁה אִכְלוּהוּ הַיּוֹם, כִּי שַׁבָּת הַיּוֹם לַיהו''ה הַיּוֹם לֹא תִמְצָאוּהוּ בַּשָּׁדֶה, וּבְכֹלָּא צָרִיךְ לְמֶעֱבַד בְּשַׁבָּת תּוֹסֶפֶת, דְּאִם הֲוָה רָגִיל לְמֵיכַל בְּיוֹמָא דְחוֹלָא נַהֲמָא וְחַמְרָא, יוֹסִיף בְּשַׁבָּת בִּשְׂרָא, דָא תוֹסֶפֶת שַׁבָּת.</w:t>
      </w:r>
    </w:p>
    <w:p w:rsidR="002D629A" w:rsidRDefault="002D629A" w:rsidP="00B17EA9">
      <w:pPr>
        <w:pStyle w:val="NormalWeb"/>
        <w:rPr>
          <w:rtl/>
        </w:rPr>
      </w:pPr>
      <w:r>
        <w:rPr>
          <w:rtl/>
        </w:rPr>
        <w:t xml:space="preserve">שִׁנּוּי מַעֲשֶׂה, דְאִם הֲוָה רָגִיל לְמֶעֱבַד עוֹבָדָא בְּחוֹל, לָא יַעֲבֵיד בְּשַׁבָּת, הֲדָא הוּא דִכְתִיב </w:t>
      </w:r>
      <w:r>
        <w:rPr>
          <w:sz w:val="20"/>
          <w:szCs w:val="20"/>
          <w:rtl/>
        </w:rPr>
        <w:t>(שם כ ט)</w:t>
      </w:r>
      <w:r>
        <w:rPr>
          <w:rtl/>
        </w:rPr>
        <w:t xml:space="preserve"> שֵׁשֶׁת יָמִים תַּעֲבוֹד וכו', שִׁנּוּי הַשֵּׁם לְכָל יוֹמָא קָארֵי לֵיהּ מַעֲשֶׂה, כְּמָה דְאַתְּ אָמַר </w:t>
      </w:r>
      <w:r>
        <w:rPr>
          <w:sz w:val="20"/>
          <w:szCs w:val="20"/>
          <w:rtl/>
        </w:rPr>
        <w:t>(יחזקאל מו א)</w:t>
      </w:r>
      <w:r>
        <w:rPr>
          <w:rtl/>
        </w:rPr>
        <w:t xml:space="preserve"> שֵׁשֶׁת יְמֵי הַמַּעֲשֶׂה, וּלְיוֹם הַשְּׁבִיעִי קָארֵי לֵיהּ שַׁבָּת, דְּאִיהוּ הַשְׁבָּתַת מַעֲשֶׂה, </w:t>
      </w:r>
      <w:r>
        <w:rPr>
          <w:rStyle w:val="a7"/>
          <w:rFonts w:hAnsi="Arial"/>
          <w:b w:val="0"/>
          <w:bCs w:val="0"/>
          <w:rtl/>
          <w:lang w:eastAsia="en-US"/>
        </w:rPr>
        <w:footnoteReference w:id="3042"/>
      </w:r>
      <w:r>
        <w:rPr>
          <w:rtl/>
        </w:rPr>
        <w:t xml:space="preserve">בִּיטוּלָא דְעוֹבָדָא, שִׁנּוּי מָקוֹם, אִם הוּא רָגִיל לְאוֹקָדָא נוּרָא בְחוֹלָא, דְּיִשְׁנֵי וְלָא יוֹקִיד לֵיהּ בְּשַׁבַּתָּא, הֲדָא הוּא דִכְתִיב </w:t>
      </w:r>
      <w:r>
        <w:rPr>
          <w:sz w:val="20"/>
          <w:szCs w:val="20"/>
          <w:rtl/>
        </w:rPr>
        <w:t>(שם לה ג)</w:t>
      </w:r>
      <w:r>
        <w:rPr>
          <w:rtl/>
        </w:rPr>
        <w:t xml:space="preserve"> לֹא תְבַעֲרוּ אֵשׁ בְּכֹל מוֹשְׁבוֹתֵיכֶם בְּיוֹם הַשַּׁבָּת.</w:t>
      </w:r>
    </w:p>
    <w:p w:rsidR="002D629A" w:rsidRDefault="002D629A" w:rsidP="00B17EA9">
      <w:pPr>
        <w:pStyle w:val="NormalWeb"/>
        <w:rPr>
          <w:rtl/>
        </w:rPr>
      </w:pPr>
      <w:r>
        <w:rPr>
          <w:rtl/>
        </w:rPr>
        <w:t xml:space="preserve">(ס"א וְעוֹד אִית שִׁינּוּי, דְּצָרִיךְ לְשַׁנּוֹת מֵעַבְדָּא לְמַטְרוֹנִיתָא, דְלָא יְהוֹן שָׁוִין, דְּמַטְרוֹנִיתָא אִיהִי מְקוֹמוֹ דְקוּדְשָׁא בְּרִיךְ הוּא, צָרִיךְ לְשַׁנּוֹת לְמַלְכָּא, הֲדָא הוּא דִכְתִיב </w:t>
      </w:r>
      <w:r>
        <w:rPr>
          <w:sz w:val="20"/>
          <w:szCs w:val="20"/>
          <w:rtl/>
        </w:rPr>
        <w:t>(אסתר ב ט)</w:t>
      </w:r>
      <w:r>
        <w:rPr>
          <w:rtl/>
        </w:rPr>
        <w:t xml:space="preserve"> וַיְשַׁנֶּהָ וְאֶת נַעֲרוֹתֶיהָ, בְּיוֹם הַשַּׁבָּת, דְּאִשְׁתַּנֵי יוֹמָא דְשַׁבַּתָּא מִיּוֹמָא דְחוֹל דְּשָׁלְטָא בֵּיהּ עַבְדָּא דְמַלְכָּא.)</w:t>
      </w:r>
    </w:p>
    <w:p w:rsidR="002D629A" w:rsidRDefault="002D629A" w:rsidP="00B17EA9">
      <w:pPr>
        <w:pStyle w:val="NormalWeb"/>
        <w:rPr>
          <w:rtl/>
        </w:rPr>
      </w:pPr>
      <w:r>
        <w:rPr>
          <w:rtl/>
        </w:rPr>
        <w:t xml:space="preserve">וְעוֹד מוֹשְׁבוֹתֵיכֶם מוֹשַׁב דְּבַר נַשׁ אִיהוּ מָקוֹם דִּילֵיהּ, וְעוֹד שִׁנּוּי מָקוֹם, לְתַקְנָא בֵיתָא בְּשַׁבַּתָּא תוֹסֶפֶת מִבַּחוֹל, וְעוֹד שִׁנּוּי מַעֲשֶׂה אִם הוּא עָצִיב בְּחוֹלָא, דִּיְהֵא חָדֵי בְּשַׁבַּתָּא, וְאִם אִית לֵיהּ קְטָטָה בְחוֹלָא עִם בַּר נַשׁ אוֹ עִם אִתְּתֵיהּ, דִּיְהֵא לֵיהּ שְׁלָמָא עִמָּהּ בְּשַׁבַּתָּא, </w:t>
      </w:r>
      <w:r>
        <w:rPr>
          <w:rStyle w:val="a7"/>
          <w:rFonts w:hAnsi="Arial"/>
          <w:b w:val="0"/>
          <w:bCs w:val="0"/>
          <w:rtl/>
          <w:lang w:eastAsia="en-US"/>
        </w:rPr>
        <w:footnoteReference w:id="3043"/>
      </w:r>
      <w:r>
        <w:rPr>
          <w:rtl/>
        </w:rPr>
        <w:t xml:space="preserve">וּבְדָא </w:t>
      </w:r>
      <w:r>
        <w:rPr>
          <w:rStyle w:val="a7"/>
          <w:rFonts w:hAnsi="Arial"/>
          <w:b w:val="0"/>
          <w:bCs w:val="0"/>
          <w:rtl/>
          <w:lang w:eastAsia="en-US"/>
        </w:rPr>
        <w:footnoteReference w:id="3044"/>
      </w:r>
      <w:r>
        <w:rPr>
          <w:rtl/>
        </w:rPr>
        <w:t xml:space="preserve">לֵית רְשׁוּ לְקָרְבָא לְסַם הַמָּוְת חֲלָלָה, וּלְבַעְלָהּ דְּאִיהוּ אֵל אַחֵר חִלּוּל שַׁבָּת, </w:t>
      </w:r>
      <w:r>
        <w:rPr>
          <w:sz w:val="20"/>
          <w:szCs w:val="20"/>
          <w:rtl/>
        </w:rPr>
        <w:t>(לית לון רשו לקרבא)</w:t>
      </w:r>
      <w:r>
        <w:rPr>
          <w:rtl/>
        </w:rPr>
        <w:t xml:space="preserve">, וּבְגִין דָּא אָמְרוּ קַדְמָאֵי, אִם יִשְׂרָאֵל הֲווֹ מְקַיְּימִין שַׁבָּת אַחַת כְּהִלְכָתָהּ </w:t>
      </w:r>
      <w:r>
        <w:rPr>
          <w:sz w:val="20"/>
          <w:szCs w:val="20"/>
          <w:rtl/>
        </w:rPr>
        <w:t>(נ''א שתי שבתות כהלכתן)</w:t>
      </w:r>
      <w:r>
        <w:rPr>
          <w:rtl/>
        </w:rPr>
        <w:t xml:space="preserve">, </w:t>
      </w:r>
      <w:r>
        <w:rPr>
          <w:rStyle w:val="a7"/>
          <w:rFonts w:hAnsi="Arial"/>
          <w:b w:val="0"/>
          <w:bCs w:val="0"/>
          <w:rtl/>
          <w:lang w:eastAsia="en-US"/>
        </w:rPr>
        <w:footnoteReference w:id="3045"/>
      </w:r>
      <w:r>
        <w:rPr>
          <w:rtl/>
        </w:rPr>
        <w:t>מִיָּד הֲווֹ נִגְאָלִין.</w:t>
      </w:r>
    </w:p>
    <w:p w:rsidR="002D629A" w:rsidRDefault="002D629A" w:rsidP="00B17EA9">
      <w:pPr>
        <w:pStyle w:val="NormalWeb"/>
        <w:rPr>
          <w:rtl/>
        </w:rPr>
      </w:pPr>
      <w:r>
        <w:rPr>
          <w:rtl/>
        </w:rPr>
        <w:t xml:space="preserve">וְכַךְ צָרִיךְ לְשַׁנּוּיֵי בְּנֵר דָּלוּק, וּבְמִטָּה מוּצַעַת, וּבְפָתוֹרָא, כְּגַוְונָא דָא אִם הֲוָה רָגִיל בְּיוֹמֵי דְחוֹל לְאַדְלָקָא שְׁרַגָּא בִּפְתִילָה חַד יוֹסִיף </w:t>
      </w:r>
      <w:r>
        <w:rPr>
          <w:rStyle w:val="a7"/>
          <w:rFonts w:hAnsi="Arial"/>
          <w:b w:val="0"/>
          <w:bCs w:val="0"/>
          <w:rtl/>
          <w:lang w:eastAsia="en-US"/>
        </w:rPr>
        <w:footnoteReference w:id="3046"/>
      </w:r>
      <w:r>
        <w:rPr>
          <w:rtl/>
        </w:rPr>
        <w:t xml:space="preserve">בְּשַׁבָּת תִּנְיָינָא, וּבְפָתוֹרָא אִם רָגִיל לְבָרְכָא הַמּוֹצִיא עַל נַהֲמָא חֲדָא, בְּשַׁבָּת יוֹסִיף תִּנְיָינָא, דְּאִינוּן כְּגַוְונָא דְלֶחֶם מִשְׁנֶה, </w:t>
      </w:r>
      <w:r>
        <w:rPr>
          <w:rStyle w:val="a7"/>
          <w:rFonts w:hAnsi="Arial"/>
          <w:b w:val="0"/>
          <w:bCs w:val="0"/>
          <w:rtl/>
          <w:lang w:eastAsia="en-US"/>
        </w:rPr>
        <w:footnoteReference w:id="3047"/>
      </w:r>
      <w:r>
        <w:rPr>
          <w:rtl/>
        </w:rPr>
        <w:t xml:space="preserve">מִטָּה הָא אִתְּמַר דְּאִם הֲוָה רָגִיל לְשַׁמֵּשׁ בְּיוֹמָא דְחוֹלָא בִקְטָטָה עִם אִתְּתֵיהּ </w:t>
      </w:r>
      <w:r>
        <w:rPr>
          <w:rStyle w:val="a7"/>
          <w:rFonts w:hAnsi="Arial"/>
          <w:b w:val="0"/>
          <w:bCs w:val="0"/>
          <w:rtl/>
          <w:lang w:eastAsia="en-US"/>
        </w:rPr>
        <w:footnoteReference w:id="3048"/>
      </w:r>
      <w:r>
        <w:rPr>
          <w:rtl/>
        </w:rPr>
        <w:t xml:space="preserve">וּבְפִרוּדָא, לָא יִזְדַוִּוג לְאִתְּתֵיהּ בְּשַׁבַּתָּא אֶלָּא בִּשְׁלָמָא, וּבְגִין דָּא תַּלְמִידֵי חֲכָמִים עוֹנָתָן מִלֵּיל שַׁבָּת לְלֵיל שַׁבָּת, וְצָרִיךְ לְשַׁנּוּיֵי שַׁבָּת מִיּוֹמָא דְחוֹלָא בְּכֹלָּא, וְאִם אִית לוֹן שְׁלָמָא בְּכָל שִׁית יוֹמִין דְּחוֹלָא, יַעַבְדוּן תּוֹסֶפֶת בְּשַׁבַּתָּא בְּפִיּוּסָא דָא לְדָא בִּרְחִימוּ סַגִּי, כְּגַוְונָא דִלְעִילָא, דְאִתְּמַר לְגַבֵּי שְׁכִינְתָּא </w:t>
      </w:r>
      <w:r>
        <w:rPr>
          <w:sz w:val="20"/>
          <w:szCs w:val="20"/>
          <w:rtl/>
        </w:rPr>
        <w:t>(שיר ה ב)</w:t>
      </w:r>
      <w:r>
        <w:rPr>
          <w:rtl/>
        </w:rPr>
        <w:t xml:space="preserve"> פִּתְחִי לִי אֲחוֹתִי רַעְיָתִי יוֹנָתִי תַמָּתִי, בְּתוֹסֶפֶת מִלִּין דְּפִיּוּסָא, כְּגַוְונָא דָא צָרִיךְ בַּר נַשׁ לְפַיְיסָא לְאִתְּתֵיהּ בְּשַׁבָּת בְּתוֹסֶפֶת מִלִּין דְּפִיּוּסָא.</w:t>
      </w:r>
    </w:p>
    <w:p w:rsidR="002D629A" w:rsidRDefault="002D629A" w:rsidP="00134482">
      <w:pPr>
        <w:pStyle w:val="2"/>
        <w:rPr>
          <w:rtl/>
        </w:rPr>
      </w:pPr>
      <w:r>
        <w:rPr>
          <w:rtl/>
        </w:rPr>
        <w:t xml:space="preserve">[תיקוני זוהר - דף מט ע''ב] </w:t>
      </w:r>
    </w:p>
    <w:p w:rsidR="002D629A" w:rsidRDefault="002D629A" w:rsidP="00B17EA9">
      <w:pPr>
        <w:pStyle w:val="NormalWeb"/>
        <w:rPr>
          <w:rtl/>
        </w:rPr>
      </w:pPr>
      <w:r>
        <w:rPr>
          <w:rtl/>
        </w:rPr>
        <w:t xml:space="preserve">וּבְזִמְנָא דְאֱלֹהִים אֲחֵרִים חַזְיָין בְּשַׁבָּת שִׁנּוּיָיא בְּכֹלָּא, לֵית לוֹן רְשׁוּ לְקָרְבָא, הֲדָא הוּא דִכְתִיב </w:t>
      </w:r>
      <w:r>
        <w:rPr>
          <w:sz w:val="20"/>
          <w:szCs w:val="20"/>
          <w:rtl/>
        </w:rPr>
        <w:t>(במדבר א נא)</w:t>
      </w:r>
      <w:r>
        <w:rPr>
          <w:rtl/>
        </w:rPr>
        <w:t xml:space="preserve"> </w:t>
      </w:r>
      <w:r>
        <w:rPr>
          <w:rStyle w:val="a7"/>
          <w:rFonts w:hAnsi="Arial"/>
          <w:b w:val="0"/>
          <w:bCs w:val="0"/>
          <w:rtl/>
          <w:lang w:eastAsia="en-US"/>
        </w:rPr>
        <w:footnoteReference w:id="3049"/>
      </w:r>
      <w:r>
        <w:rPr>
          <w:rtl/>
        </w:rPr>
        <w:t xml:space="preserve">וְהַזָּר הַקָּרֵב יוּמָת, </w:t>
      </w:r>
      <w:r>
        <w:rPr>
          <w:rStyle w:val="a7"/>
          <w:rFonts w:hAnsi="Arial"/>
          <w:b w:val="0"/>
          <w:bCs w:val="0"/>
          <w:rtl/>
          <w:lang w:eastAsia="en-US"/>
        </w:rPr>
        <w:footnoteReference w:id="3050"/>
      </w:r>
      <w:r>
        <w:rPr>
          <w:rtl/>
        </w:rPr>
        <w:t xml:space="preserve">בְּגִין דְּקֹדֶשׁ הִיא לָכֶם מְחַלֲלֶיהָ מוֹת יוּמָת, וּבְגִין דָּא אִתְּמַר בִּקְרָא </w:t>
      </w:r>
      <w:r>
        <w:rPr>
          <w:sz w:val="20"/>
          <w:szCs w:val="20"/>
          <w:rtl/>
        </w:rPr>
        <w:t>(ויקרא יט ג)</w:t>
      </w:r>
      <w:r>
        <w:rPr>
          <w:rtl/>
        </w:rPr>
        <w:t xml:space="preserve"> אֶת שַׁבְּתוֹתַי תִּשְׁמוֹרוּ וְגוֹמֵר, וּבְאִלֵּין תּוֹסֶפֶת אִתְקְרִיאַת שְׁכִינְתָּא מוּסַף שַׁבָּת, וְכַד מִתְרַחֲקִין מִינָהּ כָּל דַּרְגִּין דְּחוֹל, וְלָא אִית רְשׁוּ נוּכְרָאָה בְּשַׁבָּת, לְאַעָלָא בֵין קוּדְשָׁא בְּרִיךְ הוּא וּשְׁכִינְתֵּיהּ, אִיהִי אִתְקְרִיאַת </w:t>
      </w:r>
      <w:r>
        <w:rPr>
          <w:rStyle w:val="a7"/>
          <w:rFonts w:hAnsi="Arial"/>
          <w:b w:val="0"/>
          <w:bCs w:val="0"/>
          <w:rtl/>
          <w:lang w:eastAsia="en-US"/>
        </w:rPr>
        <w:footnoteReference w:id="3051"/>
      </w:r>
      <w:r>
        <w:rPr>
          <w:rtl/>
        </w:rPr>
        <w:t xml:space="preserve">קְדוּשָׁה דִילֵיהּ, וְכַד מְבָרְכִין לָהּ בִּבְרָכָה אִתְקְרִיאַת בְּרָכָה דִילֵיהּ, </w:t>
      </w:r>
      <w:r>
        <w:rPr>
          <w:rStyle w:val="a7"/>
          <w:rFonts w:hAnsi="Arial"/>
          <w:b w:val="0"/>
          <w:bCs w:val="0"/>
          <w:rtl/>
          <w:lang w:eastAsia="en-US"/>
        </w:rPr>
        <w:footnoteReference w:id="3052"/>
      </w:r>
      <w:r>
        <w:rPr>
          <w:rtl/>
        </w:rPr>
        <w:t xml:space="preserve">וּבְתַרְוַיְהוּ אִיהִי </w:t>
      </w:r>
      <w:r w:rsidRPr="00134482">
        <w:rPr>
          <w:rStyle w:val="20"/>
          <w:rtl/>
        </w:rPr>
        <w:t>(דף מט ע''ב)</w:t>
      </w:r>
      <w:r>
        <w:rPr>
          <w:sz w:val="20"/>
          <w:szCs w:val="20"/>
          <w:rtl/>
        </w:rPr>
        <w:t xml:space="preserve"> </w:t>
      </w:r>
      <w:r>
        <w:rPr>
          <w:rtl/>
        </w:rPr>
        <w:t xml:space="preserve">יִחוּד דִּילֵיהּ, כַּלָּה דִילֵיהּ, בְּהַהוּא זִמְנָא אִיהִי שַׁבָּת </w:t>
      </w:r>
      <w:r>
        <w:rPr>
          <w:rStyle w:val="a7"/>
          <w:rFonts w:hAnsi="Arial"/>
          <w:b w:val="0"/>
          <w:bCs w:val="0"/>
          <w:rtl/>
          <w:lang w:eastAsia="en-US"/>
        </w:rPr>
        <w:footnoteReference w:id="3053"/>
      </w:r>
      <w:r>
        <w:rPr>
          <w:rtl/>
        </w:rPr>
        <w:t>שְׁקוּלָה כְּכָל אוֹרַיְיתָא.</w:t>
      </w:r>
    </w:p>
    <w:p w:rsidR="002D629A" w:rsidRDefault="002D629A" w:rsidP="00B17EA9">
      <w:pPr>
        <w:pStyle w:val="NormalWeb"/>
        <w:rPr>
          <w:rtl/>
        </w:rPr>
      </w:pPr>
      <w:r>
        <w:rPr>
          <w:rtl/>
        </w:rPr>
        <w:t xml:space="preserve">וּשְׁרַגָּא אִיהִי דִיּוֹקְנָא דִמְנַרְתָּא, וְצָרִיךְ לְמֶהֱוִי לִימִינָא, וַעֲלָהּ אִתְּמַר הָרוֹצֶה לְהַחְכִּים יַדְרִים, וּפָתוֹרָא דְשַׁבָּת צָרִיךְ לְמֶהֱוֵי לִשְׂמָאלָא, וַעֲלָהּ אִתְּמַר הָרוֹצֶה לְהַעֲשִׁיר יַצְפִּין, מִטָּה בֵּין צָפוֹן לַדָּרוֹם, וְשַׁבָּת אִיהוּ אוֹת בְּרִית מִילָה, מָאן דִּמְחַלֵּל דָּא כְּאִלוּ מְחַלֵּל דָּא, מָה רְשׁוּת הָרַבִּים אִיהוּ חִלּוּל שַׁבָּת, אוּף הָכִי אוֹת בְּרִית אִיהִי חִלּוּל דִּילֵיהּ זוֹנָה, וְדָא רְשׁוּ נוּכְרָאָה, אוֹת דְּתְּפִלִּין דְּרֵישָׁא לָקֳבֵל זָכוֹר, תְּפִלִּין דְּיָד לָקֳבֵל שָׁמוֹר, </w:t>
      </w:r>
      <w:r>
        <w:rPr>
          <w:rStyle w:val="a7"/>
          <w:rFonts w:hAnsi="Arial"/>
          <w:b w:val="0"/>
          <w:bCs w:val="0"/>
          <w:rtl/>
          <w:lang w:eastAsia="en-US"/>
        </w:rPr>
        <w:footnoteReference w:id="3054"/>
      </w:r>
      <w:r>
        <w:rPr>
          <w:rtl/>
        </w:rPr>
        <w:t>לֵית פִּקּוּדָא דַעֲשֵׂה וְלֹא תַעֲשֶׂה דְלָא אִשְׁתַּכַּח בְּשַׁבָּת, וּבְגִין דָּא שַׁבָּת הִיא שְׁקוּלָה כְּכָל אוֹרַיְיתָא כֻּלָּהּ.</w:t>
      </w:r>
    </w:p>
    <w:p w:rsidR="002D629A" w:rsidRDefault="002D629A" w:rsidP="00134482">
      <w:pPr>
        <w:pStyle w:val="NormalWeb"/>
        <w:rPr>
          <w:rtl/>
        </w:rPr>
      </w:pPr>
      <w:r>
        <w:rPr>
          <w:rtl/>
        </w:rPr>
        <w:t xml:space="preserve">וְעוֹד שְׁכִינְתָּא תַּתָּאָה אִתְקְרִיאַת שׁוֹפָר, מִסִּטְרָא דִשְׁכִינְתָּא עִלָּאָה דְאִיהִי שׁוֹפָר גָּדוֹל, תְּקַע בְּשׁוֹפָר גָּדוֹל לְחֵירוּתֵנוּ, תְּקַע אִיהִי תְּקִיעָה, דְּוַדַּאי שְׁכִינְתָּא תַּתָּאָה אִיהִי תְּקִיעָה דְקוּדְשָׁא בְּרִיךְ הוּא מִסִּטְרָא דִימִינָא, וְאִתְקְרִיאַת שְׁבָרִים דִּילֵיהּ מִסִּטְרָא דִשְׂמָאלָא, וְאִתְקְרִיאַת תְּרוּעָה דִילֵיהּ מִסִּטְרָא דְעַמּוּדָא דְאֶמְצָעִיתָא, דְאִיהוּ דַעַת, וּבְגִין דָּא אִתְּמַר </w:t>
      </w:r>
      <w:r>
        <w:rPr>
          <w:sz w:val="20"/>
          <w:szCs w:val="20"/>
          <w:rtl/>
        </w:rPr>
        <w:t>(תהלים פט טז)</w:t>
      </w:r>
      <w:r>
        <w:rPr>
          <w:rtl/>
        </w:rPr>
        <w:t xml:space="preserve"> אַשְׁרֵי הָעָם יוֹדְעִי תְרוּעָה, יוֹדְעִי בְדַעַת, דְאִתְּמַר בֵּיהּ </w:t>
      </w:r>
      <w:r>
        <w:rPr>
          <w:sz w:val="20"/>
          <w:szCs w:val="20"/>
          <w:rtl/>
        </w:rPr>
        <w:t>(משלי ג כ)</w:t>
      </w:r>
      <w:r>
        <w:rPr>
          <w:rtl/>
        </w:rPr>
        <w:t xml:space="preserve"> בְּדַעְתּוֹ תְּהוֹמוֹת נִבְקָעוּ, וּבְדַעַת חֲדָרִים יִמָּלְאוּ </w:t>
      </w:r>
      <w:r>
        <w:rPr>
          <w:sz w:val="20"/>
          <w:szCs w:val="20"/>
          <w:rtl/>
        </w:rPr>
        <w:t>(שם כד ד)</w:t>
      </w:r>
      <w:r w:rsidR="00134482">
        <w:rPr>
          <w:rFonts w:hint="cs"/>
          <w:rtl/>
        </w:rPr>
        <w:t>.</w:t>
      </w:r>
      <w:r>
        <w:rPr>
          <w:rtl/>
        </w:rPr>
        <w:t xml:space="preserve"> אִיהִי שׁוֹפָר, וְקוּדְשָׁא בְּרִיךְ הוּא קוֹל הַשּׁוֹפָר, וּבְזִמְנָא דְהִיא סָלְקָא לְגַבֵּיהּ בִּתְלַת קִטְרִין אִלֵּין, אִתְּמַר בֵּיהּ </w:t>
      </w:r>
      <w:r>
        <w:rPr>
          <w:sz w:val="20"/>
          <w:szCs w:val="20"/>
          <w:rtl/>
        </w:rPr>
        <w:t>(שמות יט יט)</w:t>
      </w:r>
      <w:r>
        <w:rPr>
          <w:rtl/>
        </w:rPr>
        <w:t xml:space="preserve"> וַיְהִי קוֹל הַשּׁוֹפָר הוֹלֵךְ וְחָזֵק מְאֹד, הוֹלֵךְ בַּתְּקִיעָה, וְחָזֵק בַּשְּׁבָרִים, מְאֹד בַּתְּרוּעָה.</w:t>
      </w:r>
    </w:p>
    <w:p w:rsidR="002D629A" w:rsidRDefault="002D629A" w:rsidP="00B17EA9">
      <w:pPr>
        <w:pStyle w:val="NormalWeb"/>
        <w:rPr>
          <w:rtl/>
        </w:rPr>
      </w:pPr>
      <w:r>
        <w:rPr>
          <w:rtl/>
        </w:rPr>
        <w:t xml:space="preserve">וְאִיהִי יוֹם הַכִּפּוּרִים, וְכַד אִתְקַשְּׁטַת קֳדָמֵיהּ בִּלְבוּשִׁין שַׁפִּירִין דְּאִינוּן לְבוּשֵׁי כַפָּרָה, אִתְקְרִיאַת צִיץ דִּילֵיהּ, מִצְנֶפֶת דִּילֵיהּ, אַבְנֵט דִּילֵיהּ, אִיהִי כְלִילָא מֵאַרְבַּע בִּגְדֵי לָבָן מִסִּטְרָא דִימִינָא, וּמֵאַרְבַּע בִּגְדֵי זָהָב מִסִּטְרָא דִשְׂמָאלָא, בְּהַהוּא זִמְנָא דְאִתְקַשְּׁטַת בְּאִלֵּין לְבוּשִׁין דְּכַפָּרָה אִתְּמַר בָּהּ </w:t>
      </w:r>
      <w:r>
        <w:rPr>
          <w:sz w:val="20"/>
          <w:szCs w:val="20"/>
          <w:rtl/>
        </w:rPr>
        <w:t>(אסתר ה א)</w:t>
      </w:r>
      <w:r>
        <w:rPr>
          <w:rtl/>
        </w:rPr>
        <w:t xml:space="preserve"> וַתִּלְבַּשׁ אֶסְתֵּר מַלְכוּת, וּבְהוֹן עָאלַת לִפְנַי וְלִפְנִים, הֲדָא הוּא דִכְתִיב </w:t>
      </w:r>
      <w:r>
        <w:rPr>
          <w:sz w:val="20"/>
          <w:szCs w:val="20"/>
          <w:rtl/>
        </w:rPr>
        <w:t>(שם)</w:t>
      </w:r>
      <w:r>
        <w:rPr>
          <w:rtl/>
        </w:rPr>
        <w:t xml:space="preserve"> וַתַּעֲמוֹד בַּחֲצַר בֵּית הַמֶּלֶךְ הַפְּנִימִית, וּבְהוֹן נָשְׂאָה חֵן בְּעִינָיו, </w:t>
      </w:r>
      <w:r>
        <w:rPr>
          <w:rStyle w:val="a7"/>
          <w:rFonts w:hAnsi="Arial"/>
          <w:b w:val="0"/>
          <w:bCs w:val="0"/>
          <w:rtl/>
          <w:lang w:eastAsia="en-US"/>
        </w:rPr>
        <w:footnoteReference w:id="3055"/>
      </w:r>
      <w:r>
        <w:rPr>
          <w:rtl/>
        </w:rPr>
        <w:t xml:space="preserve">וְרָזָא דְמִלָּה וּרְאִיתִיהָ לִזְכּוֹר בְּרִית עוֹלָם </w:t>
      </w:r>
      <w:r>
        <w:rPr>
          <w:sz w:val="20"/>
          <w:szCs w:val="20"/>
          <w:rtl/>
        </w:rPr>
        <w:t>(בראשית ט טז)</w:t>
      </w:r>
      <w:r>
        <w:rPr>
          <w:rtl/>
        </w:rPr>
        <w:t xml:space="preserve">, וּמִיָּד </w:t>
      </w:r>
      <w:r>
        <w:rPr>
          <w:rStyle w:val="a7"/>
          <w:rFonts w:hAnsi="Arial"/>
          <w:b w:val="0"/>
          <w:bCs w:val="0"/>
          <w:rtl/>
          <w:lang w:eastAsia="en-US"/>
        </w:rPr>
        <w:footnoteReference w:id="3056"/>
      </w:r>
      <w:r>
        <w:rPr>
          <w:rtl/>
        </w:rPr>
        <w:t xml:space="preserve">אדנ''י שְׁמָעָה אדנ''י סְלָחָה אדנ''י הַקְשִׁיבָה וַעֲשֵׂה אַל תְּאַחַר </w:t>
      </w:r>
      <w:r>
        <w:rPr>
          <w:sz w:val="20"/>
          <w:szCs w:val="20"/>
          <w:rtl/>
        </w:rPr>
        <w:t>(דניאל ט יט)</w:t>
      </w:r>
      <w:r>
        <w:rPr>
          <w:rtl/>
        </w:rPr>
        <w:t>.</w:t>
      </w:r>
    </w:p>
    <w:p w:rsidR="002D629A" w:rsidRDefault="002D629A" w:rsidP="00B17EA9">
      <w:pPr>
        <w:pStyle w:val="NormalWeb"/>
        <w:rPr>
          <w:rtl/>
        </w:rPr>
      </w:pPr>
      <w:r>
        <w:rPr>
          <w:rtl/>
        </w:rPr>
        <w:t xml:space="preserve">פּוּרִים אִתְקְרִיאַת עַל שֵׁם יוֹם הַכִּפּוּרִים, דַּעֲתִידִין לְאִתְעַנְגָא בֵּיהּ, וּלְשַׁנּוּיֵי לֵיהּ מֵעִנּוּי לְעֹנֶג, וּמַה דְּאִיהִי שְׁכִינְתָּא אָסוּר בֵּיהּ נְעִילַת הַסַּנְדָל, בְּהַהוּא זִמְנָא אִתְּמַר בָּהּ </w:t>
      </w:r>
      <w:r>
        <w:rPr>
          <w:sz w:val="20"/>
          <w:szCs w:val="20"/>
          <w:rtl/>
        </w:rPr>
        <w:t>(שיר ז ב)</w:t>
      </w:r>
      <w:r>
        <w:rPr>
          <w:rtl/>
        </w:rPr>
        <w:t xml:space="preserve"> מַה יָּפוּ פְעָמַיִךְ בַּנְּעָלִים בַּת נָדִיב, וְעִנּוּגָא וְחֶדְוָה וְכַמָּה טָבִין מְזוּמָנִין לְגַבָּהּ, וְדָא יְהֵא בְזִמְנָא דְפוּרְקָנָא בַעֲגָלָא.</w:t>
      </w:r>
    </w:p>
    <w:p w:rsidR="002D629A" w:rsidRDefault="002D629A" w:rsidP="00B17EA9">
      <w:pPr>
        <w:pStyle w:val="aa"/>
        <w:rPr>
          <w:rtl/>
        </w:rPr>
      </w:pPr>
      <w:r>
        <w:rPr>
          <w:rtl/>
        </w:rPr>
        <w:t xml:space="preserve">[תיקוני זוהר - דף נ ע''א] </w:t>
      </w:r>
    </w:p>
    <w:p w:rsidR="002D629A" w:rsidRDefault="002D629A" w:rsidP="00B17EA9">
      <w:pPr>
        <w:pStyle w:val="NormalWeb"/>
        <w:rPr>
          <w:rtl/>
        </w:rPr>
      </w:pPr>
      <w:r>
        <w:rPr>
          <w:rtl/>
        </w:rPr>
        <w:t xml:space="preserve">וּמָאן גָּרַם עִנּוּי לִשְׁכִינְתָּא בְגָלוּתָא, אֶלָּא רָזָא דְמִלָּה וּבְכֵן אָבֹא אֶל הַמֶּלֶךְ אֲשֶׁר לֹא כַדָּת </w:t>
      </w:r>
      <w:r>
        <w:rPr>
          <w:sz w:val="20"/>
          <w:szCs w:val="20"/>
          <w:rtl/>
        </w:rPr>
        <w:t>(אסתר ד טז)</w:t>
      </w:r>
      <w:r>
        <w:rPr>
          <w:rtl/>
        </w:rPr>
        <w:t xml:space="preserve">, בְּגִין דְּעָאלַת </w:t>
      </w:r>
      <w:r>
        <w:rPr>
          <w:rStyle w:val="a7"/>
          <w:rFonts w:hAnsi="Arial"/>
          <w:b w:val="0"/>
          <w:bCs w:val="0"/>
          <w:rtl/>
          <w:lang w:eastAsia="en-US"/>
        </w:rPr>
        <w:footnoteReference w:id="3057"/>
      </w:r>
      <w:r>
        <w:rPr>
          <w:rtl/>
        </w:rPr>
        <w:t xml:space="preserve">בְּלָא בַּעְלָהּ, דְּאִתְּמַר בֵּיהּ </w:t>
      </w:r>
      <w:r>
        <w:rPr>
          <w:sz w:val="20"/>
          <w:szCs w:val="20"/>
          <w:rtl/>
        </w:rPr>
        <w:t>(דברים לג)</w:t>
      </w:r>
      <w:r>
        <w:rPr>
          <w:rtl/>
        </w:rPr>
        <w:t xml:space="preserve"> מִימִינוֹ אֵשׁ דָּת לָמוֹ, דְּבַטִּילוּ בָּהּ אוֹרַיְיתָא, וְדָא גָרַם אִבּוּדָא דְבַיִת רִאשׁוֹן וְשֵׁנִי, </w:t>
      </w:r>
      <w:r>
        <w:rPr>
          <w:rStyle w:val="a7"/>
          <w:rFonts w:hAnsi="Arial"/>
          <w:b w:val="0"/>
          <w:bCs w:val="0"/>
          <w:rtl/>
          <w:lang w:eastAsia="en-US"/>
        </w:rPr>
        <w:footnoteReference w:id="3058"/>
      </w:r>
      <w:r>
        <w:rPr>
          <w:rtl/>
        </w:rPr>
        <w:t xml:space="preserve">הֲדָא הוּא דִכְתִיב </w:t>
      </w:r>
      <w:r>
        <w:rPr>
          <w:sz w:val="20"/>
          <w:szCs w:val="20"/>
          <w:rtl/>
        </w:rPr>
        <w:t>(אסתר ד טז)</w:t>
      </w:r>
      <w:r>
        <w:rPr>
          <w:rtl/>
        </w:rPr>
        <w:t xml:space="preserve"> וְכַאֲשֶׁר אָבַדְתִּי אָבָדְתִּי, וְעִם כָּל דָּא </w:t>
      </w:r>
      <w:r>
        <w:rPr>
          <w:rStyle w:val="a7"/>
          <w:rFonts w:hAnsi="Arial"/>
          <w:b w:val="0"/>
          <w:bCs w:val="0"/>
          <w:rtl/>
          <w:lang w:eastAsia="en-US"/>
        </w:rPr>
        <w:footnoteReference w:id="3059"/>
      </w:r>
      <w:r>
        <w:rPr>
          <w:rtl/>
        </w:rPr>
        <w:t xml:space="preserve">אַף עַל גַּב דְּעָאלַת בְּלָא בַּעְלָהּ דְאִיהוּ דִבְרֵי תוֹרָה, עִם כָּל דָּא עָאלַת בַּאֲבָהָן, </w:t>
      </w:r>
      <w:r>
        <w:rPr>
          <w:rStyle w:val="a7"/>
          <w:rFonts w:hAnsi="Arial"/>
          <w:b w:val="0"/>
          <w:bCs w:val="0"/>
          <w:rtl/>
          <w:lang w:eastAsia="en-US"/>
        </w:rPr>
        <w:footnoteReference w:id="3060"/>
      </w:r>
      <w:r>
        <w:rPr>
          <w:rtl/>
        </w:rPr>
        <w:t xml:space="preserve">דְּאִינוּן שְׁלֹשֶׁת יָמִים לַיְלָה וָיוֹם דְּאִתְעַנַּת בְּהוֹן, </w:t>
      </w:r>
      <w:r>
        <w:rPr>
          <w:rStyle w:val="a7"/>
          <w:rFonts w:hAnsi="Arial"/>
          <w:b w:val="0"/>
          <w:bCs w:val="0"/>
          <w:rtl/>
          <w:lang w:eastAsia="en-US"/>
        </w:rPr>
        <w:footnoteReference w:id="3061"/>
      </w:r>
      <w:r>
        <w:rPr>
          <w:rtl/>
        </w:rPr>
        <w:t xml:space="preserve">וְאִינוּן סַהֲדִין דְעוּלֵימְתָא עָאלַת בֵּיהּ לְמַלְכָּא, </w:t>
      </w:r>
      <w:r>
        <w:rPr>
          <w:rStyle w:val="a7"/>
          <w:rFonts w:hAnsi="Arial"/>
          <w:b w:val="0"/>
          <w:bCs w:val="0"/>
          <w:rtl/>
          <w:lang w:eastAsia="en-US"/>
        </w:rPr>
        <w:footnoteReference w:id="3062"/>
      </w:r>
      <w:r>
        <w:rPr>
          <w:rtl/>
        </w:rPr>
        <w:t xml:space="preserve">הֲדָא הוּא דִכְתִיב </w:t>
      </w:r>
      <w:r>
        <w:rPr>
          <w:sz w:val="20"/>
          <w:szCs w:val="20"/>
          <w:rtl/>
        </w:rPr>
        <w:t>(שם ב יג)</w:t>
      </w:r>
      <w:r>
        <w:rPr>
          <w:rtl/>
        </w:rPr>
        <w:t xml:space="preserve"> וּבָזֶה הַנַּעֲרָה בָּאָה אֶל הַמֶּלֶךְ, נַעֲרָה וַדַּאי בָּאָה אֶל הַמֶּלֶךְ דְּאִישׁ לֹא יְדָעָהּ אֶלָּא בַעְלָהּ, </w:t>
      </w:r>
      <w:r>
        <w:rPr>
          <w:rStyle w:val="a7"/>
          <w:rFonts w:hAnsi="Arial"/>
          <w:b w:val="0"/>
          <w:bCs w:val="0"/>
          <w:rtl/>
          <w:lang w:eastAsia="en-US"/>
        </w:rPr>
        <w:footnoteReference w:id="3063"/>
      </w:r>
      <w:r>
        <w:rPr>
          <w:rtl/>
        </w:rPr>
        <w:t xml:space="preserve">וּכְמָה דְבָעֶרֶב הִיא בָאָה נַעֲרָה בְּתוּלָה וַדַּאי, הָכִי נַמִּי בַּבֹּקֶר הִיא שָׁבָה נַעֲרָה בְּתוּלָה וַדַּאי, וּבָהּ עֶרֶב וָבֹקֶר פַּעֲמַיִם קוֹרִין לְיִשְׂרָאֵל בַּעְלָהּ, וְסַהֲדִין עֲלָהּ דְּלָא חֲלִיפַת לֵיהּ הִיא וּבְנָהָא בְאָחֳרָא, </w:t>
      </w:r>
      <w:r>
        <w:rPr>
          <w:rStyle w:val="a7"/>
          <w:rFonts w:hAnsi="Arial"/>
          <w:b w:val="0"/>
          <w:bCs w:val="0"/>
          <w:rtl/>
          <w:lang w:eastAsia="en-US"/>
        </w:rPr>
        <w:footnoteReference w:id="3064"/>
      </w:r>
      <w:r>
        <w:rPr>
          <w:rtl/>
        </w:rPr>
        <w:t xml:space="preserve">וּבְגִין דָּא יִשְׂרָאֵל אָמְרִין בְּכָל יוֹמָא שְׁמַע יִשְׂרָאֵל יהו''ה אלהינ''ו יהו''ה אֶחָד, שְׁמַ''ע אֶחָ''ד, שֵׁ''ם אָ''ח עִ''ד, אָ''ח נָטִיר לָהּ, בְּגִין דְּאָח לְצָרָה יִוָּלֵד </w:t>
      </w:r>
      <w:r>
        <w:rPr>
          <w:sz w:val="20"/>
          <w:szCs w:val="20"/>
          <w:rtl/>
        </w:rPr>
        <w:t>(משלי יז יז)</w:t>
      </w:r>
      <w:r>
        <w:rPr>
          <w:rtl/>
        </w:rPr>
        <w:t xml:space="preserve">, </w:t>
      </w:r>
      <w:r w:rsidRPr="005F01B5">
        <w:rPr>
          <w:rtl/>
        </w:rPr>
        <w:t>וַעֲלֵיהּ אִתְּמַר</w:t>
      </w:r>
      <w:r>
        <w:rPr>
          <w:rtl/>
        </w:rPr>
        <w:t xml:space="preserve"> </w:t>
      </w:r>
      <w:r>
        <w:rPr>
          <w:sz w:val="20"/>
          <w:szCs w:val="20"/>
          <w:rtl/>
        </w:rPr>
        <w:t>(תהלים לב ז)</w:t>
      </w:r>
      <w:r>
        <w:rPr>
          <w:rtl/>
        </w:rPr>
        <w:t xml:space="preserve"> </w:t>
      </w:r>
      <w:r>
        <w:rPr>
          <w:rStyle w:val="a7"/>
          <w:rFonts w:hAnsi="Arial"/>
          <w:b w:val="0"/>
          <w:bCs w:val="0"/>
          <w:rtl/>
          <w:lang w:eastAsia="en-US"/>
        </w:rPr>
        <w:footnoteReference w:id="3065"/>
      </w:r>
      <w:r>
        <w:rPr>
          <w:rtl/>
        </w:rPr>
        <w:t xml:space="preserve">אַתָּה סֵתֶר לִי, בָּרוּךְ אַתָּה בְּבוֹאֶךָ </w:t>
      </w:r>
      <w:r>
        <w:rPr>
          <w:sz w:val="20"/>
          <w:szCs w:val="20"/>
          <w:rtl/>
        </w:rPr>
        <w:t>(דברים כח ו)</w:t>
      </w:r>
      <w:r>
        <w:rPr>
          <w:rtl/>
        </w:rPr>
        <w:t xml:space="preserve">, </w:t>
      </w:r>
      <w:r w:rsidRPr="005F01B5">
        <w:rPr>
          <w:rtl/>
        </w:rPr>
        <w:t>יְהוּדָה אַתָּה יוֹדוּךָ אַחֶיךָ</w:t>
      </w:r>
      <w:r>
        <w:rPr>
          <w:rtl/>
        </w:rPr>
        <w:t xml:space="preserve"> </w:t>
      </w:r>
      <w:r>
        <w:rPr>
          <w:sz w:val="20"/>
          <w:szCs w:val="20"/>
          <w:rtl/>
        </w:rPr>
        <w:t>(בראשית מט כח)</w:t>
      </w:r>
      <w:r>
        <w:rPr>
          <w:rtl/>
        </w:rPr>
        <w:t xml:space="preserve">, </w:t>
      </w:r>
      <w:r>
        <w:rPr>
          <w:sz w:val="20"/>
          <w:szCs w:val="20"/>
          <w:rtl/>
        </w:rPr>
        <w:t xml:space="preserve">(דף נ ע''א) </w:t>
      </w:r>
      <w:r>
        <w:rPr>
          <w:rtl/>
        </w:rPr>
        <w:t>בְּגִין דְּבֵיהּ יהו''ה וּבֵיהּ ד', בֵּיהּ אִיהִי נְטִירָא.</w:t>
      </w:r>
    </w:p>
    <w:p w:rsidR="002D629A" w:rsidRDefault="002D629A" w:rsidP="00B17EA9">
      <w:pPr>
        <w:pStyle w:val="NormalWeb"/>
        <w:rPr>
          <w:rtl/>
        </w:rPr>
      </w:pPr>
      <w:r>
        <w:rPr>
          <w:rtl/>
        </w:rPr>
        <w:t xml:space="preserve">וַעֲלֵיהּ אִתְּמַר </w:t>
      </w:r>
      <w:r>
        <w:rPr>
          <w:sz w:val="20"/>
          <w:szCs w:val="20"/>
          <w:rtl/>
        </w:rPr>
        <w:t>(אסתר ב ז)</w:t>
      </w:r>
      <w:r>
        <w:rPr>
          <w:rtl/>
        </w:rPr>
        <w:t xml:space="preserve"> </w:t>
      </w:r>
      <w:r>
        <w:rPr>
          <w:rStyle w:val="a7"/>
          <w:rFonts w:hAnsi="Arial"/>
          <w:b w:val="0"/>
          <w:bCs w:val="0"/>
          <w:rtl/>
          <w:lang w:eastAsia="en-US"/>
        </w:rPr>
        <w:footnoteReference w:id="3066"/>
      </w:r>
      <w:r>
        <w:rPr>
          <w:rtl/>
        </w:rPr>
        <w:t xml:space="preserve">וַיְהִי אֹמֵן אֶת הֲדַסָּה, הוּא אוּמָן דִּילָהּ וְאִיהִי אֱמוּנָה דִילֵיהּ, וְדָא אִיהוּ דְאִתְּמַר </w:t>
      </w:r>
      <w:r>
        <w:rPr>
          <w:sz w:val="20"/>
          <w:szCs w:val="20"/>
          <w:rtl/>
        </w:rPr>
        <w:t>(שם כ)</w:t>
      </w:r>
      <w:r>
        <w:rPr>
          <w:rtl/>
        </w:rPr>
        <w:t xml:space="preserve"> כַּאֲשֶׁר הָיְתָה בְאָמְנָה אִתּוֹ, וְלָא נָגַע בָּהּ </w:t>
      </w:r>
      <w:r>
        <w:rPr>
          <w:rStyle w:val="a7"/>
          <w:rFonts w:hAnsi="Arial"/>
          <w:b w:val="0"/>
          <w:bCs w:val="0"/>
          <w:rtl/>
          <w:lang w:eastAsia="en-US"/>
        </w:rPr>
        <w:footnoteReference w:id="3067"/>
      </w:r>
      <w:r>
        <w:rPr>
          <w:rtl/>
        </w:rPr>
        <w:t xml:space="preserve">נוּכְרָאָה דְאִיהוּ אַחֵר, בְּגִין דְּאָח עִמָּהּ וַדַּאי, וְאִיהוּ סָתִיר לָהּ מִנֵּיהּ, בְּמַאי סָתִיר לָהּ מִנֵּיהּ בַּנְּקוּדָה דְאִיהִי קוֹצָא דְאָת ד' מִן אֶחָד, א''ח נְטִיר ד', דְּלָא יִתְקַרִיב לְגַבָּהּ אַחֵר, הֲדָא הוּא דִכְתִיב </w:t>
      </w:r>
      <w:r>
        <w:rPr>
          <w:sz w:val="20"/>
          <w:szCs w:val="20"/>
          <w:rtl/>
        </w:rPr>
        <w:t>(ישעיה מב ח)</w:t>
      </w:r>
      <w:r>
        <w:rPr>
          <w:rtl/>
        </w:rPr>
        <w:t xml:space="preserve"> אֲנִי יהו''ה הוּא שְׁמִי וּכְבוֹדִי לְאַחֵר לֹא אֶתֵּן, וְהַאי נְקוּדָה אִיהִי אוֹת בְּרִית, דְּבָהּ אִשְׁתַּלִּים א''ח לְעֶשֶׂר, וּבָהּ אִתְעֲבִיד י', וּמָאן דִּמְשַׁקֵּר בִּבְרִית מִילָה גָּרִים לְאִסְתַּלְקָא מִינֵיהּ שְׁכִינְתָּא, דְאִיהִי יִחוּדָא דְקוּדְשָׁא בְּרִיךְ הוּא, </w:t>
      </w:r>
      <w:r>
        <w:rPr>
          <w:rStyle w:val="a7"/>
          <w:rFonts w:hAnsi="Arial"/>
          <w:b w:val="0"/>
          <w:bCs w:val="0"/>
          <w:rtl/>
          <w:lang w:eastAsia="en-US"/>
        </w:rPr>
        <w:footnoteReference w:id="3068"/>
      </w:r>
      <w:r>
        <w:rPr>
          <w:rtl/>
        </w:rPr>
        <w:t>וְשַׁלִּיט עֲלֵיהּ ש''ד דְּאִיהוּ אַחֵר.</w:t>
      </w:r>
    </w:p>
    <w:p w:rsidR="002D629A" w:rsidRDefault="002D629A" w:rsidP="00B17EA9">
      <w:pPr>
        <w:pStyle w:val="NormalWeb"/>
        <w:rPr>
          <w:rtl/>
        </w:rPr>
      </w:pPr>
      <w:r>
        <w:rPr>
          <w:rStyle w:val="a7"/>
          <w:rFonts w:hAnsi="Arial"/>
          <w:b w:val="0"/>
          <w:bCs w:val="0"/>
          <w:rtl/>
          <w:lang w:eastAsia="en-US"/>
        </w:rPr>
        <w:footnoteReference w:id="3069"/>
      </w:r>
      <w:r>
        <w:rPr>
          <w:rtl/>
        </w:rPr>
        <w:t xml:space="preserve">וַדַּאי י' דְּשַׁדַּי, אִיהִי קוֹצָא מִן ד' דְאֶחָד, וְאִם מְשַׁקֵּר אַעֲבַר קוֹצָא מִן ד' מִן אֶחָד וְאִשְׁתָּאַר אַחֵר, וּבְגִין דָּא אָמַר קְרָא </w:t>
      </w:r>
      <w:r>
        <w:rPr>
          <w:sz w:val="20"/>
          <w:szCs w:val="20"/>
          <w:rtl/>
        </w:rPr>
        <w:t>(שמות לד יד)</w:t>
      </w:r>
      <w:r>
        <w:rPr>
          <w:rtl/>
        </w:rPr>
        <w:t xml:space="preserve"> לֹא תִשְׁתַּחֲוְה לְאֵל אַחֵר וְגוֹמֵר, וּבְהַהוּא זִמְנָא דְשָׁלְטָא עַל בַּר נַשׁ שֵׁד דְּאִיהוּ אֵל אַחֵר, </w:t>
      </w:r>
      <w:r>
        <w:rPr>
          <w:rStyle w:val="a7"/>
          <w:rFonts w:hAnsi="Arial"/>
          <w:b w:val="0"/>
          <w:bCs w:val="0"/>
          <w:rtl/>
          <w:lang w:eastAsia="en-US"/>
        </w:rPr>
        <w:footnoteReference w:id="3070"/>
      </w:r>
      <w:r>
        <w:rPr>
          <w:rtl/>
        </w:rPr>
        <w:t>אִיהוּ מִשְׁתַּעְבֵּד בֵּיהּ בְּכָל מִינֵי עִנּוּיִין, וְחוֹבָא דָא גָרָם לְיִשְׂרָאֵל לְאִשְׁתַּעְבְּדָא בְּהוֹן אוּמִין דְּעָלְמָא.</w:t>
      </w:r>
    </w:p>
    <w:p w:rsidR="002D629A" w:rsidRDefault="002D629A" w:rsidP="00B17EA9">
      <w:pPr>
        <w:pStyle w:val="NormalWeb"/>
        <w:rPr>
          <w:rtl/>
        </w:rPr>
      </w:pPr>
      <w:r>
        <w:rPr>
          <w:rtl/>
        </w:rPr>
        <w:t xml:space="preserve">וּמָאן דְּנָטִיר אוֹת בְּרִית בְּכָל אֲתַר דְּאִיהִי, בֵּין בִּבְרִית מִילָה, בֵּין בְּשַׁבָּת וְיֹמִין טָבִין, קוּדְשָׁא בְּרִיךְ הוּא נָטִיר לֵיהּ בְּגִינָהּ בְּכָל אֲתַר, וּמְכַסֵּי עֲלוֹי מִשָּׂנְאוֹי, </w:t>
      </w:r>
      <w:r>
        <w:rPr>
          <w:rStyle w:val="a7"/>
          <w:rFonts w:hAnsi="Arial"/>
          <w:b w:val="0"/>
          <w:bCs w:val="0"/>
          <w:rtl/>
          <w:lang w:eastAsia="en-US"/>
        </w:rPr>
        <w:footnoteReference w:id="3071"/>
      </w:r>
      <w:r>
        <w:rPr>
          <w:rtl/>
        </w:rPr>
        <w:t xml:space="preserve">כְּגַוְונָא דְמֹשֶׁה דְאִתְּמַר בֵּיהּ </w:t>
      </w:r>
      <w:r>
        <w:rPr>
          <w:sz w:val="20"/>
          <w:szCs w:val="20"/>
          <w:rtl/>
        </w:rPr>
        <w:t>(תהלים צא א)</w:t>
      </w:r>
      <w:r>
        <w:rPr>
          <w:rtl/>
        </w:rPr>
        <w:t xml:space="preserve"> בְּצֵל שַדָ''י יִתְלוֹנָן, </w:t>
      </w:r>
      <w:r>
        <w:rPr>
          <w:rStyle w:val="a7"/>
          <w:rFonts w:hAnsi="Arial"/>
          <w:b w:val="0"/>
          <w:bCs w:val="0"/>
          <w:rtl/>
          <w:lang w:eastAsia="en-US"/>
        </w:rPr>
        <w:footnoteReference w:id="3072"/>
      </w:r>
      <w:r>
        <w:rPr>
          <w:rtl/>
        </w:rPr>
        <w:t xml:space="preserve">וּכְגַוְונָא דְאֶסְתֵּר דְּסָתִיר לָהּ מֵאֲחַשְׁוִרוֹשׁ </w:t>
      </w:r>
      <w:r>
        <w:rPr>
          <w:rStyle w:val="a7"/>
          <w:rFonts w:hAnsi="Arial"/>
          <w:b w:val="0"/>
          <w:bCs w:val="0"/>
          <w:rtl/>
          <w:lang w:eastAsia="en-US"/>
        </w:rPr>
        <w:footnoteReference w:id="3073"/>
      </w:r>
      <w:r>
        <w:rPr>
          <w:rtl/>
        </w:rPr>
        <w:t xml:space="preserve">דְּאִיהוּ עָרֵל וְטָמֵא, </w:t>
      </w:r>
      <w:r>
        <w:rPr>
          <w:rStyle w:val="a7"/>
          <w:rFonts w:hAnsi="Arial"/>
          <w:b w:val="0"/>
          <w:bCs w:val="0"/>
          <w:rtl/>
          <w:lang w:eastAsia="en-US"/>
        </w:rPr>
        <w:footnoteReference w:id="3074"/>
      </w:r>
      <w:r>
        <w:rPr>
          <w:rtl/>
        </w:rPr>
        <w:t xml:space="preserve">וְשַׁוִּי בְּאַתְרֵיהּ שֵׁנִית </w:t>
      </w:r>
      <w:r>
        <w:rPr>
          <w:sz w:val="20"/>
          <w:szCs w:val="20"/>
          <w:rtl/>
        </w:rPr>
        <w:t>(נ''אשדית)</w:t>
      </w:r>
      <w:r>
        <w:rPr>
          <w:rtl/>
        </w:rPr>
        <w:t xml:space="preserve"> בּדִיּוֹקְנָא דִילָהּ, הֲדָא הוּא דִכְתִיב </w:t>
      </w:r>
      <w:r>
        <w:rPr>
          <w:sz w:val="20"/>
          <w:szCs w:val="20"/>
          <w:rtl/>
        </w:rPr>
        <w:t>(אסתר ב יג)</w:t>
      </w:r>
      <w:r>
        <w:rPr>
          <w:rtl/>
        </w:rPr>
        <w:t xml:space="preserve"> כָּל אֲשֶׁר תֹּאמַר וְגוֹמֵר, בָּעֶרֶב הִיא בָאָה וּבַבֹּקֶר הִיא שָׁבָה אֶל בֵּית הַנָּשִׁים שֵׁנִי, </w:t>
      </w:r>
      <w:r>
        <w:rPr>
          <w:rStyle w:val="a7"/>
          <w:rFonts w:hAnsi="Arial"/>
          <w:b w:val="0"/>
          <w:bCs w:val="0"/>
          <w:rtl/>
          <w:lang w:eastAsia="en-US"/>
        </w:rPr>
        <w:footnoteReference w:id="3075"/>
      </w:r>
      <w:r>
        <w:rPr>
          <w:rtl/>
        </w:rPr>
        <w:t xml:space="preserve">וְאִיהוּ נָטִיר לָהּ מֵהָמָן הָרָשָׁע, הֲדָא הוּא דִכְתִיב </w:t>
      </w:r>
      <w:r>
        <w:rPr>
          <w:sz w:val="20"/>
          <w:szCs w:val="20"/>
          <w:rtl/>
        </w:rPr>
        <w:t>(תהלים לב ז)</w:t>
      </w:r>
      <w:r>
        <w:rPr>
          <w:rtl/>
        </w:rPr>
        <w:t xml:space="preserve"> מִצַּר תִּצְּרֵנִי, דְאִיהוּ צַר וְאוֹיֵב.</w:t>
      </w:r>
    </w:p>
    <w:p w:rsidR="002D629A" w:rsidRDefault="002D629A" w:rsidP="00B17EA9">
      <w:pPr>
        <w:pStyle w:val="NormalWeb"/>
        <w:rPr>
          <w:rtl/>
        </w:rPr>
      </w:pPr>
      <w:r>
        <w:rPr>
          <w:rtl/>
        </w:rPr>
        <w:t xml:space="preserve">וּבְגִין הַאי קִנְאָה דְכַסִּי קוּדְשָׁא בְּרִיךְ הוּא </w:t>
      </w:r>
      <w:r>
        <w:rPr>
          <w:rStyle w:val="a7"/>
          <w:rFonts w:hAnsi="Arial"/>
          <w:b w:val="0"/>
          <w:bCs w:val="0"/>
          <w:rtl/>
          <w:lang w:eastAsia="en-US"/>
        </w:rPr>
        <w:footnoteReference w:id="3076"/>
      </w:r>
      <w:r>
        <w:rPr>
          <w:rtl/>
        </w:rPr>
        <w:t xml:space="preserve">בְאוֹת דִּילֵיהּ עַל אֶסְתֵּר, דְּאִיהִי קְדוּשָׁה דִילֵיהּ, דְּלָא אִיהִי קְדוּשָׁה פָּחוּת מֵעֲשָׂרָה, אִתְלַבְּשׁוּ עֲשָׂרָה כִּתְרִין תַּתָּאִין בַּעֲשָׂרָה בְּנִין דְּהָמָן, דְּתַמָּן אֵל אַחֵר, דְּהָמָן אָמַר וַעֲשֶׂרֶת אֲלָפִים כִּכַּר כֶּסֶף אֶשְׁקוֹל וְגוֹמֵר </w:t>
      </w:r>
      <w:r>
        <w:rPr>
          <w:sz w:val="20"/>
          <w:szCs w:val="20"/>
          <w:rtl/>
        </w:rPr>
        <w:t>(אסתר ג ט)</w:t>
      </w:r>
      <w:r>
        <w:rPr>
          <w:rtl/>
        </w:rPr>
        <w:t xml:space="preserve">, וְכֹלָּא לְנָטְלָא נוּקְמָא מֵאֶסְתֵּר וְאוּמָתָהּ, </w:t>
      </w:r>
      <w:r>
        <w:rPr>
          <w:rStyle w:val="a7"/>
          <w:rFonts w:hAnsi="Arial"/>
          <w:b w:val="0"/>
          <w:bCs w:val="0"/>
          <w:rtl/>
          <w:lang w:eastAsia="en-US"/>
        </w:rPr>
        <w:footnoteReference w:id="3077"/>
      </w:r>
      <w:r>
        <w:rPr>
          <w:rtl/>
        </w:rPr>
        <w:t xml:space="preserve">דְּאִתְּמַר בָּהּ </w:t>
      </w:r>
      <w:r>
        <w:rPr>
          <w:sz w:val="20"/>
          <w:szCs w:val="20"/>
          <w:rtl/>
        </w:rPr>
        <w:t>(שם ה א)</w:t>
      </w:r>
      <w:r>
        <w:rPr>
          <w:rtl/>
        </w:rPr>
        <w:t xml:space="preserve"> וַתִּלְבַּשׁ אֶסְתֵּר מַלְכוּת, וְקוּדְשָׁא בְּרִיךְ הוּא מָסַר לוֹן בִּידָהָא וּבִידָא דְאוּמָתָהּ, וְתָלוּ אוֹתוֹ וְאֶת בָּנָיו עַל הָעִץ </w:t>
      </w:r>
      <w:r>
        <w:rPr>
          <w:sz w:val="20"/>
          <w:szCs w:val="20"/>
          <w:rtl/>
        </w:rPr>
        <w:t>(שם ט כה)</w:t>
      </w:r>
      <w:r>
        <w:rPr>
          <w:rtl/>
        </w:rPr>
        <w:t>, וְאִיהוּ עָבַד עִץ גָּבוֹהַּ חֲמִשִּׁים אַמָּה, וְקוּדְשָׁא בְּרִיךְ הוּא נָטִיל נוּקְמָא מִנֵּיהּ וּמִבְּנוֹי בִּשְׁכִינְתָּא עִלָּאָה, דְמָחַאת לְמִצְרָאֵי חֲמִשִּׁים מַכּוֹת. עִץ גָּבוֹהַּ חֲמִשִּׁים אַמָּה דָא ה', דִּסְלִיקַת בְּי' לְחֲמִשִּׁים.</w:t>
      </w:r>
    </w:p>
    <w:p w:rsidR="002D629A" w:rsidRDefault="002D629A" w:rsidP="00B17EA9">
      <w:pPr>
        <w:pStyle w:val="NormalWeb"/>
        <w:rPr>
          <w:rtl/>
        </w:rPr>
      </w:pPr>
      <w:r>
        <w:rPr>
          <w:rtl/>
        </w:rPr>
        <w:t xml:space="preserve">וְעוֹד שְׁכִינְתָּא אִתְקְרִיאַת צְדָקָה, וְקוּדְשָׁא בְּרִיךְ הוּא בַּעַל צְדָקָה, וּבְגָלוּתָא אִיהִי עֲנִיָּה, וּבְנָהָא עֲנִיִּים, וְקוּדְשָׁא בְּרִיךְ הוּא כַּבְיָכוֹל אִיהוּ עָנִי </w:t>
      </w:r>
      <w:r>
        <w:rPr>
          <w:rStyle w:val="a7"/>
          <w:rFonts w:hAnsi="Arial"/>
          <w:b w:val="0"/>
          <w:bCs w:val="0"/>
          <w:rtl/>
          <w:lang w:eastAsia="en-US"/>
        </w:rPr>
        <w:footnoteReference w:id="3078"/>
      </w:r>
      <w:r>
        <w:rPr>
          <w:rtl/>
        </w:rPr>
        <w:t xml:space="preserve">כַּד אִיהוּ בַּר מֵאַתְרֵיהּ, וּבְגִינָהּ אִתְּמַר </w:t>
      </w:r>
      <w:r>
        <w:rPr>
          <w:sz w:val="20"/>
          <w:szCs w:val="20"/>
          <w:rtl/>
        </w:rPr>
        <w:t>(ישעיה לג ז)</w:t>
      </w:r>
      <w:r>
        <w:rPr>
          <w:rtl/>
        </w:rPr>
        <w:t xml:space="preserve"> הֵן אֶרְאֶלָּם צָעֲקוּ חוּצָה וכו', וּבְאָן אֲתַר אִיהוּ עָנִי וְאִיהִי עֲנִיָּה בְּצַדִּיק דְּאִיהוּ בְּרִית, וּבְגִין דְּחָאבוּ בֵּיהּ יִשְׂרָאֵל לְתַתָּא אִיהוּ נָהָר יֶחרַב וְיָבֵשׁ </w:t>
      </w:r>
      <w:r>
        <w:rPr>
          <w:sz w:val="20"/>
          <w:szCs w:val="20"/>
          <w:rtl/>
        </w:rPr>
        <w:t>(איוב יד יא)</w:t>
      </w:r>
      <w:r>
        <w:rPr>
          <w:rtl/>
        </w:rPr>
        <w:t xml:space="preserve"> בְּבַיִת רִאשׁוֹן וְשֵׁנִי, וּשְׁכִינְתָּא אִיהִי בֵּיהּ חֲרֵבָה וִיבֵשָׁה, בְּגִין דְּאִינוּן גְּרָמֵי דְיִתְכַּנְשׁוּן מִנֵּיהּ מַיִּין עִלָּאִין, וּשְׁכִינְתָּא אִשְׁתְּאָרַת יְבֵשָׁה, הֲדָא הוּא דִכְתִיב </w:t>
      </w:r>
      <w:r>
        <w:rPr>
          <w:sz w:val="20"/>
          <w:szCs w:val="20"/>
          <w:rtl/>
        </w:rPr>
        <w:t>(בראשית א ט)</w:t>
      </w:r>
      <w:r>
        <w:rPr>
          <w:rtl/>
        </w:rPr>
        <w:t xml:space="preserve"> יִקָּווּ הַמַּיִם מִתַּחַת הַשָּׁמַיִם אֶל מָקוֹם אֶחָד וְתֵרָאֶה הַיַּבָּשָׁה.</w:t>
      </w:r>
    </w:p>
    <w:p w:rsidR="002D629A" w:rsidRDefault="002D629A" w:rsidP="00B17EA9">
      <w:pPr>
        <w:pStyle w:val="aa"/>
        <w:rPr>
          <w:rtl/>
        </w:rPr>
      </w:pPr>
      <w:r>
        <w:rPr>
          <w:rtl/>
        </w:rPr>
        <w:t xml:space="preserve">[תיקוני זוהר - דף נ ע''ב] </w:t>
      </w:r>
    </w:p>
    <w:p w:rsidR="002D629A" w:rsidRDefault="002D629A" w:rsidP="00B17EA9">
      <w:pPr>
        <w:pStyle w:val="NormalWeb"/>
        <w:rPr>
          <w:rtl/>
        </w:rPr>
      </w:pPr>
      <w:r>
        <w:rPr>
          <w:rtl/>
        </w:rPr>
        <w:t xml:space="preserve">וְכָל מָאן דְּעָבִיד צְדָקָה בְּמִסְכֵּנָא גָּרִים הַהוּא נָהָר דְּיִתְמַשֵּׁךְ מֵעִדֶן דְּאִיהִי אִימָּא עִלָּאָה, לְהַשְׁקוֹת אֶת הַגָּן דְּאִיהִי ד' דַּלָּה מִסְכֵּנָא, </w:t>
      </w:r>
      <w:r>
        <w:rPr>
          <w:rStyle w:val="a7"/>
          <w:rFonts w:hAnsi="Arial"/>
          <w:b w:val="0"/>
          <w:bCs w:val="0"/>
          <w:rtl/>
          <w:lang w:eastAsia="en-US"/>
        </w:rPr>
        <w:footnoteReference w:id="3079"/>
      </w:r>
      <w:r>
        <w:rPr>
          <w:rtl/>
        </w:rPr>
        <w:t xml:space="preserve">וְעָנִי אִיהוּ יוֹם שַׁבָּת, וּמָאן דִּמְקַיֵּים בָּהּ עֹנֶג שַׁבָּת </w:t>
      </w:r>
      <w:r>
        <w:rPr>
          <w:rStyle w:val="a7"/>
          <w:rFonts w:hAnsi="Arial"/>
          <w:b w:val="0"/>
          <w:bCs w:val="0"/>
          <w:rtl/>
          <w:lang w:eastAsia="en-US"/>
        </w:rPr>
        <w:footnoteReference w:id="3080"/>
      </w:r>
      <w:r>
        <w:rPr>
          <w:rtl/>
        </w:rPr>
        <w:t xml:space="preserve">גָּרִים לְאַשְׁקָאָה הַהִיא ד', וְהַהוּא עָנִי אִתְמַלֵּי וְאִתְקְרֵי נָהָר, וּמָאן דְּאִית לֵיהּ רְשׁוּ לְמֶעֱבַד עֹנֶג שַׁבָּת וְלָא עָבִיד, אִתְהַפֵּךְ לֵיהּ עֹנֶג לְנֶגַע צָרַעַת, וְחָרִיב בֵּיתֵיהּ וּמָמוֹנֵיהּ, </w:t>
      </w:r>
      <w:r>
        <w:rPr>
          <w:rStyle w:val="a7"/>
          <w:rFonts w:hAnsi="Arial"/>
          <w:b w:val="0"/>
          <w:bCs w:val="0"/>
          <w:rtl/>
          <w:lang w:eastAsia="en-US"/>
        </w:rPr>
        <w:footnoteReference w:id="3081"/>
      </w:r>
      <w:r>
        <w:rPr>
          <w:rtl/>
        </w:rPr>
        <w:t xml:space="preserve">וְכֵן עֲנִיָּה אִיהִי אוֹרַיְיתָא דְעַל פֶּה וַדַּאי, וְאִיהִי קַבָּלָה כַּד מְקַבְּלָא מִבַּעַל צְדָקָה, דְאִיהוּ אוֹרַיְיתָא דְבִכְתָב, </w:t>
      </w:r>
      <w:r>
        <w:rPr>
          <w:rStyle w:val="a7"/>
          <w:rFonts w:hAnsi="Arial"/>
          <w:b w:val="0"/>
          <w:bCs w:val="0"/>
          <w:rtl/>
          <w:lang w:eastAsia="en-US"/>
        </w:rPr>
        <w:footnoteReference w:id="3082"/>
      </w:r>
      <w:r>
        <w:rPr>
          <w:rtl/>
        </w:rPr>
        <w:t xml:space="preserve">כַּד אָזְלַת לְגַבֵּיהּ לְקַבָּלָה אִתְקְרִיאַת הֲלָכָה, כַּד מְקַבְּלָא מִנֵּיהּ אִתְקְרִיאַת קַבָּלָה, וּבְהַהוּא זִמְנָא אִיהִי פְלִיגַת מַה דְּיַהֲבִין לָהּ </w:t>
      </w:r>
      <w:r>
        <w:rPr>
          <w:rStyle w:val="a7"/>
          <w:rFonts w:hAnsi="Arial"/>
          <w:b w:val="0"/>
          <w:bCs w:val="0"/>
          <w:rtl/>
          <w:lang w:eastAsia="en-US"/>
        </w:rPr>
        <w:footnoteReference w:id="3083"/>
      </w:r>
      <w:r>
        <w:rPr>
          <w:rtl/>
        </w:rPr>
        <w:t xml:space="preserve">לְעַבְדִין </w:t>
      </w:r>
      <w:r>
        <w:rPr>
          <w:sz w:val="20"/>
          <w:szCs w:val="20"/>
          <w:rtl/>
        </w:rPr>
        <w:t xml:space="preserve">(דף נ ע''ב) </w:t>
      </w:r>
      <w:r>
        <w:rPr>
          <w:rtl/>
        </w:rPr>
        <w:t xml:space="preserve">דִּילָהּ וְלִבְנִין וּלְעוּלֵמִין דִּילָהּ, כְּמָה דְאַתְּ אָמַר </w:t>
      </w:r>
      <w:r>
        <w:rPr>
          <w:sz w:val="20"/>
          <w:szCs w:val="20"/>
          <w:rtl/>
        </w:rPr>
        <w:t>(משלי לא טו)</w:t>
      </w:r>
      <w:r>
        <w:rPr>
          <w:rtl/>
        </w:rPr>
        <w:t xml:space="preserve"> וַתִּתֵּן טֶרֶף לְבֵיתָהּ וְחֹק לְנַעֲרוֹתֶיהָ, וּמְקַבְּלִין דֵּין מִן דֵּין, </w:t>
      </w:r>
      <w:r>
        <w:rPr>
          <w:rStyle w:val="a7"/>
          <w:rFonts w:hAnsi="Arial"/>
          <w:b w:val="0"/>
          <w:bCs w:val="0"/>
          <w:rtl/>
          <w:lang w:eastAsia="en-US"/>
        </w:rPr>
        <w:footnoteReference w:id="3084"/>
      </w:r>
      <w:r>
        <w:rPr>
          <w:rtl/>
        </w:rPr>
        <w:t>מֵהַהוּא דִמְקַבְּלִין מִינָהּ.</w:t>
      </w:r>
    </w:p>
    <w:p w:rsidR="002D629A" w:rsidRDefault="002D629A" w:rsidP="00B17EA9">
      <w:pPr>
        <w:pStyle w:val="NormalWeb"/>
        <w:rPr>
          <w:rtl/>
        </w:rPr>
      </w:pPr>
      <w:r>
        <w:rPr>
          <w:rtl/>
        </w:rPr>
        <w:t xml:space="preserve">בַּעַל קַבָּלָה אִיהוּ עַמּוּדָא דְאֶמְצָעִיתָא, וְאִיהִי קַבִּילַת מִינֵיהּ, וּבְאָן אֲתַר קַבִּילַת מִנֵּיהּ בִּימִינָא, בְּגִין דַּעֲלֵיהּ אִתְּמַר כִּי יְמִינְךָ פְּשׁוּטָה לְקַבֵּל שָׁבִים, </w:t>
      </w:r>
      <w:r>
        <w:rPr>
          <w:rStyle w:val="a7"/>
          <w:rFonts w:hAnsi="Arial"/>
          <w:b w:val="0"/>
          <w:bCs w:val="0"/>
          <w:rtl/>
          <w:lang w:eastAsia="en-US"/>
        </w:rPr>
        <w:footnoteReference w:id="3085"/>
      </w:r>
      <w:r>
        <w:rPr>
          <w:rtl/>
        </w:rPr>
        <w:t xml:space="preserve">הֲלָכָה אִיהִי מִסִּטְרָא דִשְׂמָאלָא, קַבָּלָה הִיא מִסִּטְרָא דִימִינָא, הֲלָכָה בִשְׂמָאלָא לְגַבֵּי בַּעְלָהּ, וְקַבִּילַת מִנֵּיהּ בִּימִינָא </w:t>
      </w:r>
      <w:r>
        <w:rPr>
          <w:rStyle w:val="a7"/>
          <w:rFonts w:hAnsi="Arial"/>
          <w:b w:val="0"/>
          <w:bCs w:val="0"/>
          <w:rtl/>
          <w:lang w:eastAsia="en-US"/>
        </w:rPr>
        <w:footnoteReference w:id="3086"/>
      </w:r>
      <w:r>
        <w:rPr>
          <w:rtl/>
        </w:rPr>
        <w:t xml:space="preserve">וְנָחֲתָא מַלְיָא לְגַבֵּי צַדִּיק, וּבְגִין דָּא </w:t>
      </w:r>
      <w:r>
        <w:rPr>
          <w:sz w:val="20"/>
          <w:szCs w:val="20"/>
          <w:rtl/>
        </w:rPr>
        <w:t>(תהלים לז כה)</w:t>
      </w:r>
      <w:r>
        <w:rPr>
          <w:rtl/>
        </w:rPr>
        <w:t xml:space="preserve"> </w:t>
      </w:r>
      <w:r>
        <w:rPr>
          <w:rStyle w:val="Char"/>
          <w:rtl/>
          <w:lang w:eastAsia="en-US"/>
        </w:rPr>
        <w:t>לֹא רָאִיתִי צַדִּיק נֶעֱזָב וכו',</w:t>
      </w:r>
      <w:r>
        <w:rPr>
          <w:rtl/>
        </w:rPr>
        <w:t xml:space="preserve"> </w:t>
      </w:r>
      <w:r>
        <w:rPr>
          <w:sz w:val="20"/>
          <w:szCs w:val="20"/>
          <w:rtl/>
        </w:rPr>
        <w:t>(ובמאי)</w:t>
      </w:r>
      <w:r>
        <w:rPr>
          <w:rtl/>
        </w:rPr>
        <w:t xml:space="preserve"> וְכַד נָחֲתָא </w:t>
      </w:r>
      <w:r>
        <w:rPr>
          <w:rStyle w:val="a7"/>
          <w:rFonts w:hAnsi="Arial"/>
          <w:b w:val="0"/>
          <w:bCs w:val="0"/>
          <w:rtl/>
          <w:lang w:eastAsia="en-US"/>
        </w:rPr>
        <w:footnoteReference w:id="3087"/>
      </w:r>
      <w:r>
        <w:rPr>
          <w:rtl/>
        </w:rPr>
        <w:t xml:space="preserve">מַלְיָא לְגַבֵּי בַעְלָהּ דְּאִיהוּ ו', נָהָר דְּאִתְמַשַּׁךְ מֵעִדֶן, ו' עָאל בְּד' וְאִתְעֲבִידַת ה', וּמַה דַּהֲוָה צֶדֶק </w:t>
      </w:r>
      <w:r>
        <w:rPr>
          <w:rStyle w:val="a7"/>
          <w:rFonts w:hAnsi="Arial"/>
          <w:b w:val="0"/>
          <w:bCs w:val="0"/>
          <w:rtl/>
          <w:lang w:eastAsia="en-US"/>
        </w:rPr>
        <w:footnoteReference w:id="3088"/>
      </w:r>
      <w:r>
        <w:rPr>
          <w:rtl/>
        </w:rPr>
        <w:t>אִתְעֲבִידַת צְדָקָה לְגַבֵּי עָנִי דְאִיהוּ צַדִּיק.</w:t>
      </w:r>
    </w:p>
    <w:p w:rsidR="002D629A" w:rsidRDefault="002D629A" w:rsidP="00B17EA9">
      <w:pPr>
        <w:pStyle w:val="NormalWeb"/>
        <w:rPr>
          <w:rtl/>
        </w:rPr>
      </w:pPr>
      <w:r>
        <w:rPr>
          <w:rtl/>
        </w:rPr>
        <w:t xml:space="preserve">וְהַהוּא נָהָר עֲלֵיהּ אִתְּמַר </w:t>
      </w:r>
      <w:r>
        <w:rPr>
          <w:rStyle w:val="a7"/>
          <w:rFonts w:hAnsi="Arial"/>
          <w:b w:val="0"/>
          <w:bCs w:val="0"/>
          <w:rtl/>
          <w:lang w:eastAsia="en-US"/>
        </w:rPr>
        <w:footnoteReference w:id="3089"/>
      </w:r>
      <w:r>
        <w:rPr>
          <w:rtl/>
        </w:rPr>
        <w:t xml:space="preserve">שֶׁמֶשׁ בְּשַׁבָּת צְדָקָה לַעֲנִיִּים, </w:t>
      </w:r>
      <w:r>
        <w:rPr>
          <w:rStyle w:val="a7"/>
          <w:rFonts w:hAnsi="Arial"/>
          <w:b w:val="0"/>
          <w:bCs w:val="0"/>
          <w:rtl/>
          <w:lang w:eastAsia="en-US"/>
        </w:rPr>
        <w:footnoteReference w:id="3090"/>
      </w:r>
      <w:r>
        <w:rPr>
          <w:rtl/>
        </w:rPr>
        <w:t xml:space="preserve">וַעֲלֵיהּ אִתְּמַר </w:t>
      </w:r>
      <w:r>
        <w:rPr>
          <w:sz w:val="20"/>
          <w:szCs w:val="20"/>
          <w:rtl/>
        </w:rPr>
        <w:t>(משלי יד לד)</w:t>
      </w:r>
      <w:r>
        <w:rPr>
          <w:rtl/>
        </w:rPr>
        <w:t xml:space="preserve"> צְדָקָה תְּרוֹמֵם גּוֹי, וּמַה דַּהֲוַת צֶדֶק דִּינָא, אִתְעֲבִידַת רַחֲמֵי, וְכָל סְפִירָן עַל שְׁמָהּ אִתְקְרִיאוּ, מֹאזְנֵי צֶדֶק אַבְנֵי צֶדֶק אֵיפַת צֶדֶק וְהִין צֶדֶק </w:t>
      </w:r>
      <w:r>
        <w:rPr>
          <w:sz w:val="20"/>
          <w:szCs w:val="20"/>
          <w:rtl/>
        </w:rPr>
        <w:t>(ויקרא יט לו)</w:t>
      </w:r>
      <w:r>
        <w:rPr>
          <w:rtl/>
        </w:rPr>
        <w:t xml:space="preserve">, כַּד אִתְרַחַק מִינָהּ בַּעְלָהּ דְּאִיהוּ רַחֲמֵי, מֹאזְנֵי צֶדֶק תְּרֵין דְּרוֹעִין, אַבְנֵי צֶדֶק תְּרֵין סַמְכֵי קְשׁוֹט, אֵיפַת צֶדֶק עַמּוּדָא דְאֶמְצָעִיתָא, הִין צֶדֶק צַדִּיק, וְכַד עַמּוּדָא דְאֶמְצָעִיתָא מְרַחֵק מִינָהּ </w:t>
      </w:r>
      <w:r>
        <w:rPr>
          <w:rStyle w:val="a7"/>
          <w:rFonts w:hAnsi="Arial"/>
          <w:b w:val="0"/>
          <w:bCs w:val="0"/>
          <w:rtl/>
          <w:lang w:eastAsia="en-US"/>
        </w:rPr>
        <w:footnoteReference w:id="3091"/>
      </w:r>
      <w:r>
        <w:rPr>
          <w:rtl/>
        </w:rPr>
        <w:t xml:space="preserve">אִיהוּ מִשְׁפָּט, וּבֵיהּ כְּתִיב </w:t>
      </w:r>
      <w:r>
        <w:rPr>
          <w:sz w:val="20"/>
          <w:szCs w:val="20"/>
          <w:rtl/>
        </w:rPr>
        <w:t>(תהלים עה ח)</w:t>
      </w:r>
      <w:r>
        <w:rPr>
          <w:rtl/>
        </w:rPr>
        <w:t xml:space="preserve"> כִּי אלהי''ם שׁוֹפֵט </w:t>
      </w:r>
      <w:r>
        <w:rPr>
          <w:rStyle w:val="a7"/>
          <w:rFonts w:hAnsi="Arial"/>
          <w:b w:val="0"/>
          <w:bCs w:val="0"/>
          <w:rtl/>
          <w:lang w:eastAsia="en-US"/>
        </w:rPr>
        <w:footnoteReference w:id="3092"/>
      </w:r>
      <w:r>
        <w:rPr>
          <w:rtl/>
        </w:rPr>
        <w:t>זֶה יַשְׁפִּיל וְזֶה יָרִים, זֶה יַשְׁפִּיל מָאן דְּגָרִים לְאַשְׁפָּלָא לִשְׁכִינְתָּא מֵאַתְרָהָא, וְזֶה יָרִים מָאן דְּגָרִים לְסָלְקָא לָהּ מֵאַתְרָהָא, דְּחוֹבִין דְּיִשְׂרָאֵל אִינוּן אַשְׁפִּילָן לָהּ לְתַתָּא, וְזַכְוָון דִּלְהוֹן סָלְקִין לָהּ לְאַתְרָהָא, הָא זַכָּאָה אִיהוּ מָאן דְּעָבִיד זַכְוָון לְסָלְקָא לָהּ לְאַתְרָהָא.</w:t>
      </w:r>
    </w:p>
    <w:p w:rsidR="002D629A" w:rsidRDefault="002D629A" w:rsidP="00B17EA9">
      <w:pPr>
        <w:pStyle w:val="NormalWeb"/>
        <w:rPr>
          <w:rtl/>
        </w:rPr>
      </w:pPr>
      <w:r>
        <w:rPr>
          <w:rtl/>
        </w:rPr>
        <w:t xml:space="preserve">וְעוֹד שְׁכִינְתָּא אִיהִי שִׁלּוּחַ הַקֵּן, </w:t>
      </w:r>
      <w:r>
        <w:rPr>
          <w:rStyle w:val="a7"/>
          <w:rFonts w:hAnsi="Arial"/>
          <w:b w:val="0"/>
          <w:bCs w:val="0"/>
          <w:rtl/>
          <w:lang w:eastAsia="en-US"/>
        </w:rPr>
        <w:footnoteReference w:id="3093"/>
      </w:r>
      <w:r>
        <w:rPr>
          <w:rtl/>
        </w:rPr>
        <w:t xml:space="preserve">מָאן קֵן דִילָהּ דָּא יְרוּשָׁלַם, </w:t>
      </w:r>
      <w:r>
        <w:rPr>
          <w:rStyle w:val="a7"/>
          <w:rFonts w:hAnsi="Arial"/>
          <w:b w:val="0"/>
          <w:bCs w:val="0"/>
          <w:rtl/>
          <w:lang w:eastAsia="en-US"/>
        </w:rPr>
        <w:footnoteReference w:id="3094"/>
      </w:r>
      <w:r>
        <w:rPr>
          <w:rtl/>
        </w:rPr>
        <w:t xml:space="preserve">וּלְעִילָא קֵן דִּילָהּ הַהוּא דְאִתְּמַר בֵּיהּ </w:t>
      </w:r>
      <w:r>
        <w:rPr>
          <w:sz w:val="20"/>
          <w:szCs w:val="20"/>
          <w:rtl/>
        </w:rPr>
        <w:t>(שמות לד ז)</w:t>
      </w:r>
      <w:r>
        <w:rPr>
          <w:rtl/>
        </w:rPr>
        <w:t xml:space="preserve"> וְנַקֵּה לֹא יְנַקֶּה, וְדָא מטטרו''ן, עֲלֵיהּ אִתְּמַר אַל תִּסְתַּכֵּל בְּקַנְקַן אֶלָּא בַּמֶּה דְאִית בֵּיהּ, </w:t>
      </w:r>
      <w:r>
        <w:rPr>
          <w:rStyle w:val="a7"/>
          <w:rFonts w:hAnsi="Arial"/>
          <w:b w:val="0"/>
          <w:bCs w:val="0"/>
          <w:rtl/>
          <w:lang w:eastAsia="en-US"/>
        </w:rPr>
        <w:footnoteReference w:id="3095"/>
      </w:r>
      <w:r>
        <w:rPr>
          <w:rtl/>
        </w:rPr>
        <w:t xml:space="preserve">וְדָא אִיהוּ כִּי יִקָּרֵא קַן צִפּוֹר לְפָנֶיךָ בַּדֶּרֶךְ בְּכָל עִץ אוֹ עַל הָאָרֶץ </w:t>
      </w:r>
      <w:r>
        <w:rPr>
          <w:sz w:val="20"/>
          <w:szCs w:val="20"/>
          <w:rtl/>
        </w:rPr>
        <w:t>(דברים כב ו)</w:t>
      </w:r>
      <w:r>
        <w:rPr>
          <w:rtl/>
        </w:rPr>
        <w:t xml:space="preserve">, בְּכָל עִץ דָּא גוּף וּבְרִית, צַדִּיק אִיהוּ בְרִית וְאִיהוּ כָּ''ל, עִץ דָּא עַמּוּדָא דְאֶמְצָעִיתָא, אוֹ עַל הָאָרֶץ דָּא אִימָּא תַּתָּאָה, אֶפְרֹחִים תְּרֵין דְּרוֹעִין, אוֹ בֵּיצִים תְּרֵין שׁוֹקִין, וְהָאֵם רֹבֶצֶת דָּא אִימָּא עִלָּאָה, שַׁלֵּחַ תְּשַׁלַּח אֶת הָאֵם דָּא אִימָּא תַּתָּאָה </w:t>
      </w:r>
      <w:r>
        <w:rPr>
          <w:rStyle w:val="a7"/>
          <w:rFonts w:hAnsi="Arial"/>
          <w:b w:val="0"/>
          <w:bCs w:val="0"/>
          <w:rtl/>
          <w:lang w:eastAsia="en-US"/>
        </w:rPr>
        <w:footnoteReference w:id="3096"/>
      </w:r>
      <w:r>
        <w:rPr>
          <w:rtl/>
        </w:rPr>
        <w:t>אֶת וַדַּאי.</w:t>
      </w:r>
    </w:p>
    <w:p w:rsidR="002D629A" w:rsidRDefault="002D629A" w:rsidP="00B17EA9">
      <w:pPr>
        <w:pStyle w:val="NormalWeb"/>
        <w:rPr>
          <w:rtl/>
        </w:rPr>
      </w:pPr>
      <w:r>
        <w:rPr>
          <w:rStyle w:val="a7"/>
          <w:rFonts w:hAnsi="Arial"/>
          <w:b w:val="0"/>
          <w:bCs w:val="0"/>
          <w:rtl/>
          <w:lang w:eastAsia="en-US"/>
        </w:rPr>
        <w:footnoteReference w:id="3097"/>
      </w:r>
      <w:r>
        <w:rPr>
          <w:rtl/>
        </w:rPr>
        <w:t xml:space="preserve">שַׁלֵּחַ תְּשַׁלַּח, הֲדָא הוּא דִכְתִיב </w:t>
      </w:r>
      <w:r>
        <w:rPr>
          <w:sz w:val="20"/>
          <w:szCs w:val="20"/>
          <w:rtl/>
        </w:rPr>
        <w:t>(בראשית ח ח)</w:t>
      </w:r>
      <w:r>
        <w:rPr>
          <w:rtl/>
        </w:rPr>
        <w:t xml:space="preserve"> וַיְשַׁלַּח אֶת הַיּוֹנָה מֵאִתּוֹ, וְאִתְּמַר בְּיַעֲקֹב </w:t>
      </w:r>
      <w:r>
        <w:rPr>
          <w:sz w:val="20"/>
          <w:szCs w:val="20"/>
          <w:rtl/>
        </w:rPr>
        <w:t>(שם כז ל)</w:t>
      </w:r>
      <w:r>
        <w:rPr>
          <w:rtl/>
        </w:rPr>
        <w:t xml:space="preserve"> וַיְהִי אַךְ יָצֹא יָצָא, לָקֳבֵל שַׁלֵּחַ תְּשַׁלַּח, וְאִינוּן תְּרֵין דְרוֹעִין שְׁנֵי גְרִישִׁי''ן וְאִינוּן תְּרֵין תְּרוּכִין, וְדָא אִיהוּ שַׁלֵּחַ תְּשַׁלַּח אֶת הָאֵם, </w:t>
      </w:r>
      <w:r>
        <w:rPr>
          <w:rStyle w:val="a7"/>
          <w:rFonts w:hAnsi="Arial"/>
          <w:b w:val="0"/>
          <w:bCs w:val="0"/>
          <w:rtl/>
          <w:lang w:eastAsia="en-US"/>
        </w:rPr>
        <w:footnoteReference w:id="3098"/>
      </w:r>
      <w:r>
        <w:rPr>
          <w:rtl/>
        </w:rPr>
        <w:t xml:space="preserve">וְאֶת הַבָּנִים תִּקַּח לָךְ, אִלֵּין שִׁית פִּרְקִין דְּאִינוּן בִּתְרֵי דְרוֹעִין, אִשְׁתְּאָרַת ה' ד' בְּלָא ו', מָאן גָּרִים לָהּ תְּרֵי תְּרוּכִין, אֶלָּא </w:t>
      </w:r>
      <w:r>
        <w:rPr>
          <w:rStyle w:val="a7"/>
          <w:rFonts w:hAnsi="Arial"/>
          <w:b w:val="0"/>
          <w:bCs w:val="0"/>
          <w:rtl/>
          <w:lang w:eastAsia="en-US"/>
        </w:rPr>
        <w:footnoteReference w:id="3099"/>
      </w:r>
      <w:r>
        <w:rPr>
          <w:rtl/>
        </w:rPr>
        <w:t xml:space="preserve">בְּגִין דְעָבְרִין בְּנָהָא עַל פִּקּוּדֵי אוֹרַיְיתָא עֲשֵׂה וְלֹא תַעֲשֶׂה, הֲדָא הוּא דִכְתִיב </w:t>
      </w:r>
      <w:r>
        <w:rPr>
          <w:sz w:val="20"/>
          <w:szCs w:val="20"/>
          <w:rtl/>
        </w:rPr>
        <w:t>(ישעיה נ יח)</w:t>
      </w:r>
      <w:r>
        <w:rPr>
          <w:rtl/>
        </w:rPr>
        <w:t xml:space="preserve"> וּבְפִשְׁעִיכֶם שֻׁלְּחָה אִמְּכֶם.</w:t>
      </w:r>
    </w:p>
    <w:p w:rsidR="002D629A" w:rsidRDefault="002D629A" w:rsidP="00B17EA9">
      <w:pPr>
        <w:pStyle w:val="aa"/>
        <w:rPr>
          <w:rtl/>
        </w:rPr>
      </w:pPr>
      <w:r>
        <w:rPr>
          <w:rtl/>
        </w:rPr>
        <w:t xml:space="preserve">[תיקוני זוהר - דף נה ע''ב] </w:t>
      </w:r>
    </w:p>
    <w:p w:rsidR="002D629A" w:rsidRDefault="002D629A" w:rsidP="00B17EA9">
      <w:pPr>
        <w:pStyle w:val="NormalWeb"/>
        <w:rPr>
          <w:rtl/>
        </w:rPr>
      </w:pPr>
      <w:r>
        <w:rPr>
          <w:rtl/>
        </w:rPr>
        <w:t xml:space="preserve">וַיּוֹסֶף שַׁלַּח אֶת הַיּוֹנָה מֵאִתּוֹ </w:t>
      </w:r>
      <w:r>
        <w:rPr>
          <w:sz w:val="20"/>
          <w:szCs w:val="20"/>
          <w:rtl/>
        </w:rPr>
        <w:t>(בראשית ח י)</w:t>
      </w:r>
      <w:r>
        <w:rPr>
          <w:rtl/>
        </w:rPr>
        <w:t xml:space="preserve"> דָא עַמּוּדָא דְאֶמְצָעִיתָא, מָאן גָּרִים דָּא דְאִתְתָּרְכַת מִינֵיהּ, בְּגִין דְּיִשְׂרָאֵל עָבְרוּ עַל אוֹרַיְיתָא, </w:t>
      </w:r>
      <w:r>
        <w:rPr>
          <w:sz w:val="20"/>
          <w:szCs w:val="20"/>
          <w:rtl/>
        </w:rPr>
        <w:t>(דף נה ע''ב)</w:t>
      </w:r>
      <w:r>
        <w:rPr>
          <w:rtl/>
        </w:rPr>
        <w:t xml:space="preserve"> וַיָּחֶל עוֹד שִׁבְעַת יָמִים אֲחֵרִים </w:t>
      </w:r>
      <w:r>
        <w:rPr>
          <w:sz w:val="20"/>
          <w:szCs w:val="20"/>
          <w:rtl/>
        </w:rPr>
        <w:t>(שם)</w:t>
      </w:r>
      <w:r>
        <w:rPr>
          <w:rtl/>
        </w:rPr>
        <w:t xml:space="preserve"> </w:t>
      </w:r>
      <w:r>
        <w:rPr>
          <w:sz w:val="20"/>
          <w:szCs w:val="20"/>
          <w:rtl/>
        </w:rPr>
        <w:t>(נ''א וישלח את היונה ולא יספה שוב)</w:t>
      </w:r>
      <w:r>
        <w:rPr>
          <w:rtl/>
        </w:rPr>
        <w:t>, דָּא ז', יוֹמָא שְׁבִיעָאָה דִכְלִיל שֶׁבַע שַׁבָּתוֹת, וּמָאן גָּרַם דְּאִתְתָּרְכַת מִנֵּיהּ, בְּגִין דְּעָבְרוּ יִשְׂרָאֵל עַל אוֹת שַׁבָּת וְיוֹמִין טָבִין וְאוֹת בְּרִית.</w:t>
      </w:r>
    </w:p>
    <w:p w:rsidR="002D629A" w:rsidRDefault="002D629A" w:rsidP="00B17EA9">
      <w:pPr>
        <w:pStyle w:val="aa"/>
        <w:rPr>
          <w:rtl/>
        </w:rPr>
      </w:pPr>
      <w:r>
        <w:rPr>
          <w:rtl/>
        </w:rPr>
        <w:t xml:space="preserve">[תיקוני זוהר - דף נו ע''א] </w:t>
      </w:r>
    </w:p>
    <w:p w:rsidR="002D629A" w:rsidRDefault="002D629A" w:rsidP="00B17EA9">
      <w:pPr>
        <w:pStyle w:val="NormalWeb"/>
        <w:rPr>
          <w:rtl/>
        </w:rPr>
      </w:pPr>
      <w:r>
        <w:rPr>
          <w:rStyle w:val="a7"/>
          <w:rFonts w:hAnsi="Arial"/>
          <w:b w:val="0"/>
          <w:bCs w:val="0"/>
          <w:rtl/>
          <w:lang w:eastAsia="en-US"/>
        </w:rPr>
        <w:footnoteReference w:id="3100"/>
      </w:r>
      <w:r>
        <w:rPr>
          <w:rtl/>
        </w:rPr>
        <w:t xml:space="preserve">מִסִּטְרָא דְיִצְחָק דְּאִיהוּ רֹאשׁ הַשָּׁנָה, אִתְּמַר בֵּיהּ </w:t>
      </w:r>
      <w:r>
        <w:rPr>
          <w:sz w:val="20"/>
          <w:szCs w:val="20"/>
          <w:rtl/>
        </w:rPr>
        <w:t>(שם)</w:t>
      </w:r>
      <w:r>
        <w:rPr>
          <w:rtl/>
        </w:rPr>
        <w:t xml:space="preserve"> וַתָּבֹא אֵלָיו הַיּוֹנָה לְעִת עֶרֶב, וְדָא עֶרֶב דְּיִצְחָק, </w:t>
      </w:r>
      <w:r>
        <w:rPr>
          <w:rStyle w:val="a7"/>
          <w:rFonts w:hAnsi="Arial"/>
          <w:b w:val="0"/>
          <w:bCs w:val="0"/>
          <w:rtl/>
          <w:lang w:eastAsia="en-US"/>
        </w:rPr>
        <w:footnoteReference w:id="3101"/>
      </w:r>
      <w:r>
        <w:rPr>
          <w:rtl/>
        </w:rPr>
        <w:t xml:space="preserve">וּמִסִּטְרָא דְצַדִּיק אִתְּמַר בָּהּ </w:t>
      </w:r>
      <w:r>
        <w:rPr>
          <w:sz w:val="20"/>
          <w:szCs w:val="20"/>
          <w:rtl/>
        </w:rPr>
        <w:t>(שם)</w:t>
      </w:r>
      <w:r>
        <w:rPr>
          <w:rtl/>
        </w:rPr>
        <w:t xml:space="preserve"> וְהִנֵּה עֲלֵה זַיִת טָרָף בְּפִיהָ, וַיֵּדַע נֹחַ כִּי קַלּוּ הַמַּיִם מֵעַל הָאָרֶץ, </w:t>
      </w:r>
      <w:r>
        <w:rPr>
          <w:rStyle w:val="a7"/>
          <w:rFonts w:hAnsi="Arial"/>
          <w:b w:val="0"/>
          <w:bCs w:val="0"/>
          <w:rtl/>
          <w:lang w:eastAsia="en-US"/>
        </w:rPr>
        <w:footnoteReference w:id="3102"/>
      </w:r>
      <w:r>
        <w:rPr>
          <w:rtl/>
        </w:rPr>
        <w:t xml:space="preserve">וּבְכָל אֲתַר דְּלָא אַשְׁכַּחַת לְתַתָּא דִיּוֹקְנָא דְבַעְלָהּ </w:t>
      </w:r>
      <w:r>
        <w:rPr>
          <w:sz w:val="20"/>
          <w:szCs w:val="20"/>
          <w:rtl/>
        </w:rPr>
        <w:t xml:space="preserve">(דף נו ע''א) </w:t>
      </w:r>
      <w:r>
        <w:rPr>
          <w:rtl/>
        </w:rPr>
        <w:t xml:space="preserve">בְּאוֹרַיְיתָא, לָא הֲוַת שַׁרְיָא עֲלָהּ, הֲדָא הוּא דִכְתִיב </w:t>
      </w:r>
      <w:r>
        <w:rPr>
          <w:sz w:val="20"/>
          <w:szCs w:val="20"/>
          <w:rtl/>
        </w:rPr>
        <w:t>(שם ט)</w:t>
      </w:r>
      <w:r>
        <w:rPr>
          <w:rtl/>
        </w:rPr>
        <w:t xml:space="preserve"> וְלֹא מָצְאָה הַיּוֹנָה מָנוֹחַ לְכַף רַגְלָהּ בְּגָלוּתָא, מִיָּד דְּאַשְׁכְּחַת בַּעְלָהּ לְרַעְיָא מְהֵימְנָא, שַׁרְיָא עֲלֵיהּ וְלָא חָזְרַת לְתֵיבָה, הֲדָא הוּא דִכְתִיב </w:t>
      </w:r>
      <w:r>
        <w:rPr>
          <w:sz w:val="20"/>
          <w:szCs w:val="20"/>
          <w:rtl/>
        </w:rPr>
        <w:t>(שם יב)</w:t>
      </w:r>
      <w:r>
        <w:rPr>
          <w:rtl/>
        </w:rPr>
        <w:t xml:space="preserve"> וְלֹא יָסְפָה שׁוּב אֵלָיו עוֹד, וְעַל דָּא אִתְּמַר </w:t>
      </w:r>
      <w:r>
        <w:rPr>
          <w:sz w:val="20"/>
          <w:szCs w:val="20"/>
          <w:rtl/>
        </w:rPr>
        <w:t>(שם ב כד)</w:t>
      </w:r>
      <w:r>
        <w:rPr>
          <w:rtl/>
        </w:rPr>
        <w:t xml:space="preserve"> עַל כֵּן יַעֲזָב אִישׁ אֶת אָבִיו וְאֶת אִמּוֹ וְגוֹמֵר, אִיהִי אִתְדַּבְּקַת בֵּיהּ וְאִיהוּ בָהּ.</w:t>
      </w:r>
    </w:p>
    <w:p w:rsidR="002D629A" w:rsidRDefault="002D629A" w:rsidP="00B17EA9">
      <w:pPr>
        <w:pStyle w:val="NormalWeb"/>
        <w:rPr>
          <w:rtl/>
        </w:rPr>
      </w:pPr>
      <w:r>
        <w:rPr>
          <w:rtl/>
        </w:rPr>
        <w:t xml:space="preserve">בְּהַהוּא זִמְנָא וַיִּפְתַּח נֹחַ אֶת חַלּוֹן הַתֵּיבָה אֲשֶׁר עָשָׂה </w:t>
      </w:r>
      <w:r>
        <w:rPr>
          <w:sz w:val="20"/>
          <w:szCs w:val="20"/>
          <w:rtl/>
        </w:rPr>
        <w:t>(שם ח ו)</w:t>
      </w:r>
      <w:r>
        <w:rPr>
          <w:rtl/>
        </w:rPr>
        <w:t xml:space="preserve">, וְנָפְקוּ כֻלְּהוּ וְאָזְלוּ לְגַבֵּי יוֹנָה וּבַעְלָהּ, וְאִתְּמַר לְגַבֵּי נֹחַ וַיִּפְתַּח נֹחַ, מַאי וַיִּפְתַּח נֹחַ, אֶלָּא </w:t>
      </w:r>
      <w:r>
        <w:rPr>
          <w:rStyle w:val="a7"/>
          <w:rFonts w:hAnsi="Arial"/>
          <w:b w:val="0"/>
          <w:bCs w:val="0"/>
          <w:rtl/>
          <w:lang w:eastAsia="en-US"/>
        </w:rPr>
        <w:footnoteReference w:id="3103"/>
      </w:r>
      <w:r>
        <w:rPr>
          <w:rtl/>
        </w:rPr>
        <w:t xml:space="preserve">רָמִיז וַתִּפְתַּח וַתִּרְאֵהוּ אֶת הַיֶּלֶד </w:t>
      </w:r>
      <w:r>
        <w:rPr>
          <w:sz w:val="20"/>
          <w:szCs w:val="20"/>
          <w:rtl/>
        </w:rPr>
        <w:t>(שמות ב כד)</w:t>
      </w:r>
      <w:r>
        <w:rPr>
          <w:rtl/>
        </w:rPr>
        <w:t>, אדנ''י שְׂפָתַי תִּפְתָּח, וְדָא יִשְׂרָאֵל דְּפָתְחִין בִּתְיוּבְתָּא בַּבִּכְיָה, וּמִיָּד וַתַּחְמוֹל עָלָיו.</w:t>
      </w:r>
    </w:p>
    <w:p w:rsidR="002D629A" w:rsidRDefault="002D629A" w:rsidP="00B17EA9">
      <w:pPr>
        <w:pStyle w:val="NormalWeb"/>
        <w:rPr>
          <w:rtl/>
        </w:rPr>
      </w:pPr>
      <w:r>
        <w:rPr>
          <w:rtl/>
        </w:rPr>
        <w:t xml:space="preserve">וְעוֹד שְׁכִינְתָּא אִתְקְרִיאַת </w:t>
      </w:r>
      <w:r>
        <w:rPr>
          <w:rStyle w:val="a7"/>
          <w:rFonts w:hAnsi="Arial"/>
          <w:b w:val="0"/>
          <w:bCs w:val="0"/>
          <w:rtl/>
          <w:lang w:eastAsia="en-US"/>
        </w:rPr>
        <w:footnoteReference w:id="3104"/>
      </w:r>
      <w:r>
        <w:rPr>
          <w:rtl/>
        </w:rPr>
        <w:t xml:space="preserve">חַג, בְּכָל זִמְנִין וְיוֹמִין טָבִין, </w:t>
      </w:r>
      <w:r>
        <w:rPr>
          <w:rStyle w:val="a7"/>
          <w:rFonts w:hAnsi="Arial"/>
          <w:b w:val="0"/>
          <w:bCs w:val="0"/>
          <w:rtl/>
          <w:lang w:eastAsia="en-US"/>
        </w:rPr>
        <w:footnoteReference w:id="3105"/>
      </w:r>
      <w:r>
        <w:rPr>
          <w:rtl/>
        </w:rPr>
        <w:t xml:space="preserve">חָג דִּתְלַת רְגָלִין, דְּאִתְּמַר בְהוֹן </w:t>
      </w:r>
      <w:r>
        <w:rPr>
          <w:sz w:val="20"/>
          <w:szCs w:val="20"/>
          <w:rtl/>
        </w:rPr>
        <w:t>(שמות כג יד)</w:t>
      </w:r>
      <w:r>
        <w:rPr>
          <w:rtl/>
        </w:rPr>
        <w:t xml:space="preserve"> </w:t>
      </w:r>
      <w:r>
        <w:rPr>
          <w:rStyle w:val="Char"/>
          <w:rtl/>
          <w:lang w:eastAsia="en-US"/>
        </w:rPr>
        <w:t>שָׁלֹשׁ</w:t>
      </w:r>
      <w:r>
        <w:rPr>
          <w:rtl/>
        </w:rPr>
        <w:t xml:space="preserve"> </w:t>
      </w:r>
      <w:r>
        <w:rPr>
          <w:sz w:val="20"/>
          <w:szCs w:val="20"/>
          <w:rtl/>
        </w:rPr>
        <w:t>(דף נט ע''א)</w:t>
      </w:r>
      <w:r>
        <w:rPr>
          <w:rtl/>
        </w:rPr>
        <w:t xml:space="preserve"> רְגָלִים תָּחוֹג לִי בַּשָּׁנָה, </w:t>
      </w:r>
      <w:r>
        <w:rPr>
          <w:rStyle w:val="a7"/>
          <w:rFonts w:hAnsi="Arial"/>
          <w:b w:val="0"/>
          <w:bCs w:val="0"/>
          <w:rtl/>
          <w:lang w:eastAsia="en-US"/>
        </w:rPr>
        <w:footnoteReference w:id="3106"/>
      </w:r>
      <w:r>
        <w:rPr>
          <w:rtl/>
        </w:rPr>
        <w:t xml:space="preserve">וּבְגִינָהּ יֵרָאֶה כָּל זְכוּרְךָ, </w:t>
      </w:r>
      <w:r>
        <w:rPr>
          <w:rStyle w:val="a7"/>
          <w:rFonts w:hAnsi="Arial"/>
          <w:b w:val="0"/>
          <w:bCs w:val="0"/>
          <w:rtl/>
          <w:lang w:eastAsia="en-US"/>
        </w:rPr>
        <w:footnoteReference w:id="3107"/>
      </w:r>
      <w:r>
        <w:rPr>
          <w:rtl/>
        </w:rPr>
        <w:t xml:space="preserve">לְקַיְימָא זָכוֹר וְשָׁמוֹר, זָכוֹר לַזָּכָר וְשָׁמוֹר לַנְּקֵבָה, </w:t>
      </w:r>
      <w:r>
        <w:rPr>
          <w:rStyle w:val="a7"/>
          <w:rFonts w:hAnsi="Arial"/>
          <w:b w:val="0"/>
          <w:bCs w:val="0"/>
          <w:rtl/>
          <w:lang w:eastAsia="en-US"/>
        </w:rPr>
        <w:footnoteReference w:id="3108"/>
      </w:r>
      <w:r>
        <w:rPr>
          <w:rtl/>
        </w:rPr>
        <w:t xml:space="preserve">כֻּלְּהוּ אִלֵּין דְּאָזְלִין לְאִסְתַּכְּלָא </w:t>
      </w:r>
      <w:r>
        <w:rPr>
          <w:sz w:val="20"/>
          <w:szCs w:val="20"/>
          <w:rtl/>
        </w:rPr>
        <w:t>(נ''א לאתכללא)</w:t>
      </w:r>
      <w:r>
        <w:rPr>
          <w:rtl/>
        </w:rPr>
        <w:t xml:space="preserve"> בִשְׁכִינְתָּא, צְרִיכִין לְמֵיהַב לָהּ דּוֹרוֹנָא, הֲדָא הוּא דִכְתִיב </w:t>
      </w:r>
      <w:r>
        <w:rPr>
          <w:sz w:val="20"/>
          <w:szCs w:val="20"/>
          <w:rtl/>
        </w:rPr>
        <w:t>(דברים טז טז)</w:t>
      </w:r>
      <w:r>
        <w:rPr>
          <w:rtl/>
        </w:rPr>
        <w:t xml:space="preserve"> וְלֹא יֵרָאֶה אֶת פְּנֵי יהו''ה רֵיקָם, וְצָרִיךְ לְמֶחדֵי בָּהּ, הֲדָא הוּא דִכְתִיב </w:t>
      </w:r>
      <w:r>
        <w:rPr>
          <w:sz w:val="20"/>
          <w:szCs w:val="20"/>
          <w:rtl/>
        </w:rPr>
        <w:t>(שם)</w:t>
      </w:r>
      <w:r>
        <w:rPr>
          <w:rtl/>
        </w:rPr>
        <w:t xml:space="preserve"> וְשָׂמַחְתָּ בְּחַגֶּךָ, דְּאִיהִי חֶדְוָא דְקוּדְשָׁא בְּרִיךְ הוּא אִתְקְרִיאַת, וּמָאן דְּאָזִיל לְמֶחמֵי לָהּ צָרִיךְ לְנָטְרָא גַרְמֵיהּ מֵעֲצִיבוּ, דְאִיהִי לִילִי''ת </w:t>
      </w:r>
      <w:r>
        <w:rPr>
          <w:rStyle w:val="a7"/>
          <w:rFonts w:hAnsi="Arial"/>
          <w:b w:val="0"/>
          <w:bCs w:val="0"/>
          <w:rtl/>
          <w:lang w:eastAsia="en-US"/>
        </w:rPr>
        <w:footnoteReference w:id="3109"/>
      </w:r>
      <w:r>
        <w:rPr>
          <w:rtl/>
        </w:rPr>
        <w:t xml:space="preserve">חֲשׁוֹכָא עִצָּבוֹן שְׁאוֹל טְחוֹל, דְּאִיהִי מוּם, וַעֲלֵיהּ אִתְּמַר </w:t>
      </w:r>
      <w:r>
        <w:rPr>
          <w:sz w:val="20"/>
          <w:szCs w:val="20"/>
          <w:rtl/>
        </w:rPr>
        <w:t>(ויקרא כא יח)</w:t>
      </w:r>
      <w:r>
        <w:rPr>
          <w:rtl/>
        </w:rPr>
        <w:t xml:space="preserve"> כָל אֲשֶׁר בּוֹ מוּם לֹא יִקְרָב.</w:t>
      </w:r>
    </w:p>
    <w:p w:rsidR="002D629A" w:rsidRDefault="002D629A" w:rsidP="00B17EA9">
      <w:pPr>
        <w:pStyle w:val="aa"/>
        <w:rPr>
          <w:rtl/>
        </w:rPr>
      </w:pPr>
      <w:r>
        <w:rPr>
          <w:rtl/>
        </w:rPr>
        <w:t xml:space="preserve">[תיקוני זוהר - דף נו ע''ב] </w:t>
      </w:r>
    </w:p>
    <w:p w:rsidR="002D629A" w:rsidRDefault="002D629A" w:rsidP="00B17EA9">
      <w:pPr>
        <w:pStyle w:val="NormalWeb"/>
        <w:rPr>
          <w:rtl/>
        </w:rPr>
      </w:pPr>
      <w:r>
        <w:rPr>
          <w:rtl/>
        </w:rPr>
        <w:t xml:space="preserve">אִישׁ כְּמַתְּנַת יָדוֹ דָא שְׁכִינְתָּא עִלָּאָה, דַעֲלָהּ אִתְּמַר </w:t>
      </w:r>
      <w:r>
        <w:rPr>
          <w:sz w:val="20"/>
          <w:szCs w:val="20"/>
          <w:rtl/>
        </w:rPr>
        <w:t>(משלי כא יד)</w:t>
      </w:r>
      <w:r>
        <w:rPr>
          <w:rtl/>
        </w:rPr>
        <w:t xml:space="preserve"> </w:t>
      </w:r>
      <w:r>
        <w:rPr>
          <w:rStyle w:val="a7"/>
          <w:rFonts w:hAnsi="Arial"/>
          <w:b w:val="0"/>
          <w:bCs w:val="0"/>
          <w:rtl/>
          <w:lang w:eastAsia="en-US"/>
        </w:rPr>
        <w:footnoteReference w:id="3110"/>
      </w:r>
      <w:r>
        <w:rPr>
          <w:rtl/>
        </w:rPr>
        <w:t xml:space="preserve">מַתָּן בַּסֵּתֶר יִכְפֶּה אָף, בְּגִין דְּאִיהִי סְתִימָא, </w:t>
      </w:r>
      <w:r>
        <w:rPr>
          <w:rStyle w:val="a7"/>
          <w:rFonts w:hAnsi="Arial"/>
          <w:b w:val="0"/>
          <w:bCs w:val="0"/>
          <w:rtl/>
          <w:lang w:eastAsia="en-US"/>
        </w:rPr>
        <w:footnoteReference w:id="3111"/>
      </w:r>
      <w:r>
        <w:rPr>
          <w:rtl/>
        </w:rPr>
        <w:t xml:space="preserve">עוֹלָם הַבָּא קָרִינָן לָהּ מַתָּנָה, וַעֲלָהּ אִתְּמַר יִשְׂמַח מֹשֶׁה </w:t>
      </w:r>
      <w:r>
        <w:rPr>
          <w:rStyle w:val="a7"/>
          <w:rFonts w:hAnsi="Arial"/>
          <w:b w:val="0"/>
          <w:bCs w:val="0"/>
          <w:rtl/>
          <w:lang w:eastAsia="en-US"/>
        </w:rPr>
        <w:footnoteReference w:id="3112"/>
      </w:r>
      <w:r>
        <w:rPr>
          <w:rtl/>
        </w:rPr>
        <w:t xml:space="preserve">בְּמַתְּנַת חֶלְקוֹ, </w:t>
      </w:r>
      <w:r>
        <w:rPr>
          <w:rStyle w:val="a7"/>
          <w:rFonts w:hAnsi="Arial"/>
          <w:b w:val="0"/>
          <w:bCs w:val="0"/>
          <w:rtl/>
          <w:lang w:eastAsia="en-US"/>
        </w:rPr>
        <w:footnoteReference w:id="3113"/>
      </w:r>
      <w:r>
        <w:rPr>
          <w:rtl/>
        </w:rPr>
        <w:t xml:space="preserve">בְּגִין </w:t>
      </w:r>
      <w:r>
        <w:rPr>
          <w:sz w:val="20"/>
          <w:szCs w:val="20"/>
          <w:rtl/>
        </w:rPr>
        <w:t>(קהלת ג יג)</w:t>
      </w:r>
      <w:r>
        <w:rPr>
          <w:rtl/>
        </w:rPr>
        <w:t xml:space="preserve"> דְּמַתַּת אלהי''ם הִיא, כְּבִרְכַּת יהו''ה אלהי''ך אֲשֶׁר נָתַן לָךְ דָּא שְׁכִינְתָּא תַּתָּאָה, </w:t>
      </w:r>
      <w:r>
        <w:rPr>
          <w:rStyle w:val="a7"/>
          <w:rFonts w:hAnsi="Arial"/>
          <w:b w:val="0"/>
          <w:bCs w:val="0"/>
          <w:rtl/>
          <w:lang w:eastAsia="en-US"/>
        </w:rPr>
        <w:footnoteReference w:id="3114"/>
      </w:r>
      <w:r>
        <w:rPr>
          <w:rtl/>
        </w:rPr>
        <w:t xml:space="preserve">חַד מִסִּטְרָא דִיְמִינָא בְרָכָה, וְחַד מִסִּטְרָא </w:t>
      </w:r>
      <w:r>
        <w:rPr>
          <w:sz w:val="20"/>
          <w:szCs w:val="20"/>
          <w:rtl/>
        </w:rPr>
        <w:t xml:space="preserve">(דף נו ע''ב) </w:t>
      </w:r>
      <w:r>
        <w:rPr>
          <w:rtl/>
        </w:rPr>
        <w:t>דִשְׂמָאלָא מַתָּנָה.</w:t>
      </w:r>
    </w:p>
    <w:p w:rsidR="002D629A" w:rsidRDefault="002D629A" w:rsidP="00B17EA9">
      <w:pPr>
        <w:pStyle w:val="NormalWeb"/>
        <w:rPr>
          <w:rtl/>
        </w:rPr>
      </w:pPr>
      <w:r>
        <w:rPr>
          <w:rtl/>
        </w:rPr>
        <w:t xml:space="preserve">וְעוֹד שְׁכִינְתָּא אִיהִי חֶשְׁבּוֹן תְּקוּפוֹת וּמַזָּלוֹת וּמוֹלָדוֹת וְעִבּוּרִין, אַרְבַּע תְּקוּפָן דְּאִתְקְרִיאוּ אַרְבַּע תְּקוּפוֹת, וּלְכָל תְּקוּפָה תְּלַת יַרְחִין, וּבְהוֹן תְּרֵין עֲשַׂר מַזָּלוֹת, וְאִינוּן לָקֳבֵל תְּרֵין עֲשַׂר שִׁבְטִין דְּיִשְׂרָאֵל, </w:t>
      </w:r>
      <w:r>
        <w:rPr>
          <w:rStyle w:val="a7"/>
          <w:rFonts w:hAnsi="Arial"/>
          <w:b w:val="0"/>
          <w:bCs w:val="0"/>
          <w:rtl/>
          <w:lang w:eastAsia="en-US"/>
        </w:rPr>
        <w:footnoteReference w:id="3115"/>
      </w:r>
      <w:r>
        <w:rPr>
          <w:rtl/>
        </w:rPr>
        <w:t xml:space="preserve">וְכֹלָּא אִתְקַשֵּׁר בְּהַאי שְׁמָא אדנ''י, אִיהִי שְׁכִינְתָּא תַּתָּאָה, </w:t>
      </w:r>
      <w:r>
        <w:rPr>
          <w:rStyle w:val="a7"/>
          <w:rFonts w:hAnsi="Arial"/>
          <w:b w:val="0"/>
          <w:bCs w:val="0"/>
          <w:rtl/>
          <w:lang w:eastAsia="en-US"/>
        </w:rPr>
        <w:footnoteReference w:id="3116"/>
      </w:r>
      <w:r>
        <w:rPr>
          <w:rtl/>
        </w:rPr>
        <w:t>תַּקִּיפָא בְּאַרְבַּע תְּקוּפִין, דְּאִינוּן מִסִּטְרָא דִשְׂמָאלָא חָזָק תַּקִּיף, וְאִינוּן אל''ף דל''ת נו''ן יו''ד, וְכֻלְּהוּ תְּרֵין עֲשַׂר מַזָּלוֹת קָשִׁין מִסִּטְרָא דְּדִין, וּבְגִין דִּמְזוֹנָא קָא אַתְיָא מִנַּיְיהוּ, אָמְרוּ מָארֵי מַתְנִיתִין קָשִׁין מְזוֹנוֹתָיו שֶׁל אָדָם כִּקְרִיעַת יַם סוּף, דְּאִתְקַרַע בְּהוֹן לִתְרֵין עֲשַׂר קְרָעִין.</w:t>
      </w:r>
    </w:p>
    <w:p w:rsidR="002D629A" w:rsidRDefault="002D629A" w:rsidP="00B17EA9">
      <w:pPr>
        <w:pStyle w:val="NormalWeb"/>
        <w:rPr>
          <w:rtl/>
        </w:rPr>
      </w:pPr>
      <w:r>
        <w:rPr>
          <w:rtl/>
        </w:rPr>
        <w:t xml:space="preserve">וְאִינוּן אַרְבַּע תְּקוּפוֹת </w:t>
      </w:r>
      <w:r>
        <w:rPr>
          <w:rStyle w:val="a7"/>
          <w:rFonts w:hAnsi="Arial"/>
          <w:b w:val="0"/>
          <w:bCs w:val="0"/>
          <w:rtl/>
          <w:lang w:eastAsia="en-US"/>
        </w:rPr>
        <w:footnoteReference w:id="3117"/>
      </w:r>
      <w:r>
        <w:rPr>
          <w:rtl/>
        </w:rPr>
        <w:t xml:space="preserve">תְּרֵין דְּרוֹעִין וּתְרֵין שׁוֹקִין, תְּרֵין עֲשַׂר מַזָּלוֹת תְּרֵין עֲשַׂר פִּרְקִין דְּאִית בְּהוֹן, וּלְקִבְלַיְיהוּ תְּרֵין עֲשַׂר יַרְחֵי שַׁתָּא, וְאִינוּן ו' ו' רָזָא דְעִבּוּרָא וְדָא יַרְחָא תְּלַת עֲשַׂר, דָּא א, </w:t>
      </w:r>
      <w:r>
        <w:rPr>
          <w:rStyle w:val="a7"/>
          <w:rFonts w:hAnsi="Arial"/>
          <w:b w:val="0"/>
          <w:bCs w:val="0"/>
          <w:rtl/>
          <w:lang w:eastAsia="en-US"/>
        </w:rPr>
        <w:footnoteReference w:id="3118"/>
      </w:r>
      <w:r>
        <w:rPr>
          <w:rtl/>
        </w:rPr>
        <w:t xml:space="preserve">וְדָא וָא''ו, שַׁתָּא מִתְּלַת עֲשַׂר יַרְחִין, </w:t>
      </w:r>
      <w:r>
        <w:rPr>
          <w:rStyle w:val="a7"/>
          <w:rFonts w:hAnsi="Arial"/>
          <w:b w:val="0"/>
          <w:bCs w:val="0"/>
          <w:rtl/>
          <w:lang w:eastAsia="en-US"/>
        </w:rPr>
        <w:footnoteReference w:id="3119"/>
      </w:r>
      <w:r>
        <w:rPr>
          <w:rtl/>
        </w:rPr>
        <w:t xml:space="preserve">וּבֵיהּ צָרִיךְ לְהַשְׁווֹת שְׁנַת הַחַמָּה עִם שְׁנַת הַלְּבָנָה, וּלְיַחֲדָא לוֹן </w:t>
      </w:r>
      <w:r>
        <w:rPr>
          <w:rStyle w:val="a7"/>
          <w:rFonts w:hAnsi="Arial"/>
          <w:b w:val="0"/>
          <w:bCs w:val="0"/>
          <w:rtl/>
          <w:lang w:eastAsia="en-US"/>
        </w:rPr>
        <w:footnoteReference w:id="3120"/>
      </w:r>
      <w:r>
        <w:rPr>
          <w:rtl/>
        </w:rPr>
        <w:t xml:space="preserve">בְּמַהֲלַךְ הָאֶמְצָעִי </w:t>
      </w:r>
      <w:r>
        <w:rPr>
          <w:rStyle w:val="a7"/>
          <w:rFonts w:hAnsi="Arial"/>
          <w:b w:val="0"/>
          <w:bCs w:val="0"/>
          <w:rtl/>
          <w:lang w:eastAsia="en-US"/>
        </w:rPr>
        <w:footnoteReference w:id="3121"/>
      </w:r>
      <w:r>
        <w:rPr>
          <w:rtl/>
        </w:rPr>
        <w:t xml:space="preserve">דְאִיהוּ עַמּוּדָא דְאֶמְצָעִיתָא, </w:t>
      </w:r>
      <w:r>
        <w:rPr>
          <w:rStyle w:val="a7"/>
          <w:rFonts w:hAnsi="Arial"/>
          <w:b w:val="0"/>
          <w:bCs w:val="0"/>
          <w:rtl/>
          <w:lang w:eastAsia="en-US"/>
        </w:rPr>
        <w:footnoteReference w:id="3122"/>
      </w:r>
      <w:r>
        <w:rPr>
          <w:rtl/>
        </w:rPr>
        <w:t xml:space="preserve">וְאִם בַּר נַשׁ יָדַע (לְמִמְנִי וּ) לְהַשְׁווֹת שְׁנַת הַחַמָּה עִם שְׁנַת הַלְּבָנָה וּלְיַיחֵד לוֹן, וְלֵידַע מָתַי יְהֵא פֶּסַח בַּחֹדֶשׁ הָאָבִיב, </w:t>
      </w:r>
      <w:r>
        <w:rPr>
          <w:rStyle w:val="a7"/>
          <w:rFonts w:hAnsi="Arial"/>
          <w:b w:val="0"/>
          <w:bCs w:val="0"/>
          <w:rtl/>
          <w:lang w:eastAsia="en-US"/>
        </w:rPr>
        <w:footnoteReference w:id="3123"/>
      </w:r>
      <w:r>
        <w:rPr>
          <w:rtl/>
        </w:rPr>
        <w:t xml:space="preserve">וּבְדָא יִשְׁווּן אַבָּא וְאִמָּא בְּרָא וּבְרַתָּא, הֲדָא הוּא דִכְתִיב </w:t>
      </w:r>
      <w:r>
        <w:rPr>
          <w:sz w:val="20"/>
          <w:szCs w:val="20"/>
          <w:rtl/>
        </w:rPr>
        <w:t>(דברים ד ו)</w:t>
      </w:r>
      <w:r>
        <w:rPr>
          <w:rtl/>
        </w:rPr>
        <w:t xml:space="preserve"> וּשְׁמַרְתֶּם וַעֲשִׂיתֶם כִּי הִיא חָכְמַתְכֶם וּבִינַתְכֶם, </w:t>
      </w:r>
      <w:r>
        <w:rPr>
          <w:rStyle w:val="a7"/>
          <w:rFonts w:hAnsi="Arial"/>
          <w:b w:val="0"/>
          <w:bCs w:val="0"/>
          <w:rtl/>
          <w:lang w:eastAsia="en-US"/>
        </w:rPr>
        <w:footnoteReference w:id="3124"/>
      </w:r>
      <w:r>
        <w:rPr>
          <w:rtl/>
        </w:rPr>
        <w:t xml:space="preserve">וּשְׁמַרְתֶּם וַעֲשִׂיתֶם דָּא ו''ה, כִּי הִיא חָכְמַתְכֶם וּבִינַתְכֶם דָּא י''ה </w:t>
      </w:r>
      <w:r>
        <w:rPr>
          <w:rStyle w:val="a7"/>
          <w:rFonts w:hAnsi="Arial"/>
          <w:b w:val="0"/>
          <w:bCs w:val="0"/>
          <w:rtl/>
          <w:lang w:eastAsia="en-US"/>
        </w:rPr>
        <w:footnoteReference w:id="3125"/>
      </w:r>
      <w:r>
        <w:rPr>
          <w:rtl/>
        </w:rPr>
        <w:t xml:space="preserve">וּבַמֶּה יְהוֹן שָׁוִין אַבָּא וְאִמָּא בְּרָא וּבְרַתָּא, בְּא' דְהוּא כִּתְרָא עִלָּאָה, </w:t>
      </w:r>
      <w:r>
        <w:rPr>
          <w:rStyle w:val="a7"/>
          <w:rFonts w:hAnsi="Arial"/>
          <w:b w:val="0"/>
          <w:bCs w:val="0"/>
          <w:rtl/>
          <w:lang w:eastAsia="en-US"/>
        </w:rPr>
        <w:footnoteReference w:id="3126"/>
      </w:r>
      <w:r>
        <w:rPr>
          <w:rtl/>
        </w:rPr>
        <w:t xml:space="preserve">דְּאָמְרָה סִיהֲרָא עֲלָהּ, אִי אֶפְשַׁר לִשְׁנֵי מְלָכִים שֶׁיִּשְׁתַּמְּשׁוּ בְּכֶתֶר אֶחָד, וּבְגִינֵיהּ אָמְרִין בְּשַׁבָּת וְיוֹמִין טָבִין וּבְרֵישֵׁי יַרְחִין, כֶּתֶר יִתְּנוּ לְךָ יהו''ה אלהינ''ו מַלְאָכִים הֲמוֹנֵי מַעְלָה, </w:t>
      </w:r>
      <w:r>
        <w:rPr>
          <w:rStyle w:val="a7"/>
          <w:rFonts w:hAnsi="Arial"/>
          <w:b w:val="0"/>
          <w:bCs w:val="0"/>
          <w:rtl/>
          <w:lang w:eastAsia="en-US"/>
        </w:rPr>
        <w:footnoteReference w:id="3127"/>
      </w:r>
      <w:r>
        <w:rPr>
          <w:rtl/>
        </w:rPr>
        <w:t>מֶלֶךְ וּמַלְכוּת.</w:t>
      </w:r>
    </w:p>
    <w:p w:rsidR="002D629A" w:rsidRDefault="002D629A" w:rsidP="00B17EA9">
      <w:pPr>
        <w:pStyle w:val="aa"/>
        <w:rPr>
          <w:rtl/>
        </w:rPr>
      </w:pPr>
      <w:r>
        <w:rPr>
          <w:rtl/>
        </w:rPr>
        <w:t xml:space="preserve">[תיקוני זוהר - דף נז ע''א] </w:t>
      </w:r>
    </w:p>
    <w:p w:rsidR="002D629A" w:rsidRDefault="002D629A" w:rsidP="00B17EA9">
      <w:pPr>
        <w:pStyle w:val="NormalWeb"/>
        <w:rPr>
          <w:rtl/>
        </w:rPr>
      </w:pPr>
      <w:r>
        <w:rPr>
          <w:sz w:val="20"/>
          <w:szCs w:val="20"/>
          <w:rtl/>
        </w:rPr>
        <w:t xml:space="preserve">(דף נז ע''א) </w:t>
      </w:r>
      <w:r>
        <w:rPr>
          <w:rStyle w:val="a7"/>
          <w:rFonts w:hAnsi="Arial"/>
          <w:b w:val="0"/>
          <w:bCs w:val="0"/>
          <w:rtl/>
          <w:lang w:eastAsia="en-US"/>
        </w:rPr>
        <w:footnoteReference w:id="3128"/>
      </w:r>
      <w:r>
        <w:rPr>
          <w:rtl/>
        </w:rPr>
        <w:t xml:space="preserve">וְעוֹד אִיהִי מִצְוַת שְׁחִיטָה כְּשֵׁרָה בַּזָּרִים </w:t>
      </w:r>
      <w:r>
        <w:rPr>
          <w:sz w:val="20"/>
          <w:szCs w:val="20"/>
          <w:rtl/>
        </w:rPr>
        <w:t>(נ''א בנשים)</w:t>
      </w:r>
      <w:r>
        <w:rPr>
          <w:rtl/>
        </w:rPr>
        <w:t xml:space="preserve">, דְּאִינוּן בְּנֵי נָשָׁא דְּדַמְיָין לִבְעִירָן, דְּאִלֵּין דְּלָא מִשְׁתַּדְּלֵי בְּאוֹרַיְיתָא צָרִיךְ לְמֶעֱבַד בְּהוֹן קָרְבָּנִין דִּצְלוֹתִין, דְּיִתְקַרִיבוּ לְקוּדְשָׁא בְּרִיךְ הוּא, וְאִם מִתְקָרְבִין בִּצְלוֹתִין לְקוּדְשָׁא בְּרִיךְ הוּא, וְסָבְלִין כַּמָּה מַכְתָּשִׁין, הֲדָא הוּא דִכְתִיב </w:t>
      </w:r>
      <w:r>
        <w:rPr>
          <w:sz w:val="20"/>
          <w:szCs w:val="20"/>
          <w:rtl/>
        </w:rPr>
        <w:t>(תהלים מד כג)</w:t>
      </w:r>
      <w:r>
        <w:rPr>
          <w:rtl/>
        </w:rPr>
        <w:t xml:space="preserve"> כִּי עָלֶיךָ הוֹרַגְנוּ כָל הַיּוֹם נֶחְשַׁבְנוּ כְּצֹאן טִבְחָה, אִתְחֲזֵי כְּאִלּוּ וְזָבַחְתָּ עָלָיו אֶת עוֹלוֹתֶיךָ וְאֶת שְׁלָמֶיךָ וְגוֹמֵר </w:t>
      </w:r>
      <w:r>
        <w:rPr>
          <w:sz w:val="20"/>
          <w:szCs w:val="20"/>
          <w:rtl/>
        </w:rPr>
        <w:t>(שמות כ כד)</w:t>
      </w:r>
      <w:r>
        <w:rPr>
          <w:rtl/>
        </w:rPr>
        <w:t xml:space="preserve">, דְּדָא שֵׁזִיב לוֹן מִמִּיתָה דְמַלְאַךְ הַמָּוְת, הֲדָא הוּא דִכְתִיב </w:t>
      </w:r>
      <w:r>
        <w:rPr>
          <w:sz w:val="20"/>
          <w:szCs w:val="20"/>
          <w:rtl/>
        </w:rPr>
        <w:t>(תהלים לו ז)</w:t>
      </w:r>
      <w:r>
        <w:rPr>
          <w:rtl/>
        </w:rPr>
        <w:t xml:space="preserve"> אָדָם וּבְהֵמָה תּוֹשִׁיעַ יהו''ה.</w:t>
      </w:r>
    </w:p>
    <w:p w:rsidR="002D629A" w:rsidRDefault="002D629A" w:rsidP="00B17EA9">
      <w:pPr>
        <w:pStyle w:val="NormalWeb"/>
        <w:rPr>
          <w:rtl/>
        </w:rPr>
      </w:pPr>
      <w:r>
        <w:rPr>
          <w:rtl/>
        </w:rPr>
        <w:t xml:space="preserve">וְאִלֵּין דְּעוֹבְדַיְיהוּ כִּבְעִירָן דְּחַקְלָא דְאָכְלִין בְּלָא צְלוֹתִין, מִיתַתְהוֹן יְהֵא כִּבְעִירָן דְּחַקְלָא, וְשָׁחִיט לוֹן מַלְאַךְ הַמָּוְת מִדָּה כְּנֶגֶד מִדָּה, וְלָא עוֹד אֶלָּא בְּסַכִּין פָּגוּם קָא שָׁחִיט לוֹן, וְאִתְקְרִיאוּ נְבֵלָה, וַעֲלַיְיהוּ אִתְּמַר </w:t>
      </w:r>
      <w:r>
        <w:rPr>
          <w:sz w:val="20"/>
          <w:szCs w:val="20"/>
          <w:rtl/>
        </w:rPr>
        <w:t>(ישעיה כו יט)</w:t>
      </w:r>
      <w:r>
        <w:rPr>
          <w:rtl/>
        </w:rPr>
        <w:t xml:space="preserve"> נְבֵלָתִי יְקוּמוּן, מַאי סַכִּין פָּגוּם דָּא סמא''ל אֵל אַחֵר, סַכִּין פָּגוּם וַדַּאי אִתְקְרֵי, וְאִיהִי פְּגִימָה סַם הַמָּוְת, טְרֵיפָה וּנְבֵלָה. וְכֵיוָן דְּאִתְיְיהִיבוּ בִידֵיהוֹן כְּבָר קַבִּילוּ עָנְשַׁיְהוּ, וּבְגִין דָּא נְבֵלָתִי יְקוּמוּן, וְכָל סִירְכָאן דְּסַם הַמָּוְת אִינוּן רַגְלִין דִּילָהּ, וַעֲלַיְיהוּ אִתְּמַר </w:t>
      </w:r>
      <w:r>
        <w:rPr>
          <w:sz w:val="20"/>
          <w:szCs w:val="20"/>
          <w:rtl/>
        </w:rPr>
        <w:t>(משלי ה ה)</w:t>
      </w:r>
      <w:r>
        <w:rPr>
          <w:rtl/>
        </w:rPr>
        <w:t xml:space="preserve"> רַגְלֶיהָ יוֹרְדוֹת מָוְת וְגוֹמֵר, וְאִינוּן חַ''י סִרְכוֹת, עֲלַיְיהוּ כְּתִיב </w:t>
      </w:r>
      <w:r>
        <w:rPr>
          <w:sz w:val="20"/>
          <w:szCs w:val="20"/>
          <w:rtl/>
        </w:rPr>
        <w:t>(בראשית ח כא)</w:t>
      </w:r>
      <w:r>
        <w:rPr>
          <w:rtl/>
        </w:rPr>
        <w:t xml:space="preserve"> וְלֹא אוֹסִיף עוֹד לְהַכּוֹת אֶת כָּל חַ''י כַּאֲשֶׁר עָשִׂיתִי, לְאִינוּן דִּמְצַלִּין חַ''י בִּרְכָאָן דִּצְלוֹתִין, </w:t>
      </w:r>
      <w:r>
        <w:rPr>
          <w:sz w:val="20"/>
          <w:szCs w:val="20"/>
          <w:rtl/>
        </w:rPr>
        <w:t>(ומאן גרים דמי טופנא מתגברין, מאן דאריק מיא דזרע ברית מילה בנדה שפחה גויה זונה)</w:t>
      </w:r>
      <w:r>
        <w:rPr>
          <w:rtl/>
        </w:rPr>
        <w:t xml:space="preserve"> וּלְעוֹלָם וַורְדָּא בְכָל אֲתַר דְּתִתְסָרֵךְ טְרֵפָה וְאֵינָה חַיָּה, דִבְכָל אֲתַר דְּתִתְסָרֵךְ בְּבַר נַשׁ בְּחוֹבִין דִּילָהּ קְטִילַת.</w:t>
      </w:r>
    </w:p>
    <w:p w:rsidR="002D629A" w:rsidRDefault="002D629A" w:rsidP="00B17EA9">
      <w:pPr>
        <w:pStyle w:val="aa"/>
        <w:rPr>
          <w:rtl/>
        </w:rPr>
      </w:pPr>
      <w:r>
        <w:rPr>
          <w:rtl/>
        </w:rPr>
        <w:t xml:space="preserve">[תיקוני זוהר - דף נז ע''ב] </w:t>
      </w:r>
    </w:p>
    <w:p w:rsidR="002D629A" w:rsidRDefault="002D629A" w:rsidP="00B17EA9">
      <w:pPr>
        <w:pStyle w:val="NormalWeb"/>
        <w:rPr>
          <w:rtl/>
        </w:rPr>
      </w:pPr>
      <w:r>
        <w:rPr>
          <w:rStyle w:val="a7"/>
          <w:rFonts w:hAnsi="Arial"/>
          <w:b w:val="0"/>
          <w:bCs w:val="0"/>
          <w:rtl/>
          <w:lang w:eastAsia="en-US"/>
        </w:rPr>
        <w:footnoteReference w:id="3129"/>
      </w:r>
      <w:r>
        <w:rPr>
          <w:rtl/>
        </w:rPr>
        <w:t xml:space="preserve">וְעוֹד שְׁכִינְתָּא אִיהִי מִצְוַת אֲסִיפַת נוּנִי יַמָּא דְאוֹרַיְיתָא, דְאִתְּמַר בְּהוֹן דָּגִים וַחֲגָבִים אֵינָן טְעוּנִין שְׁחִיטָה, וְאִינוּן תַּלְמִידֵי דְבֵי רַב דְּמִתְרַבִּין בְּיַמָּא דְאוֹרַיְיתָא, דַּעֲלַיְיהוּ אִתְּמַר אֲסִיפָתָן הִיא הַמַּתֶּרֶת אוֹתָן, </w:t>
      </w:r>
      <w:r>
        <w:rPr>
          <w:rStyle w:val="a7"/>
          <w:rFonts w:hAnsi="Arial"/>
          <w:b w:val="0"/>
          <w:bCs w:val="0"/>
          <w:rtl/>
          <w:lang w:eastAsia="en-US"/>
        </w:rPr>
        <w:footnoteReference w:id="3130"/>
      </w:r>
      <w:r>
        <w:rPr>
          <w:rtl/>
        </w:rPr>
        <w:t xml:space="preserve">הֲדָא הוּא דִכְתִיב </w:t>
      </w:r>
      <w:r>
        <w:rPr>
          <w:sz w:val="20"/>
          <w:szCs w:val="20"/>
          <w:rtl/>
        </w:rPr>
        <w:t>(בראשית כה ח, כה יז, לה כט, מט לג, דברים לב נ)</w:t>
      </w:r>
      <w:r>
        <w:rPr>
          <w:rtl/>
        </w:rPr>
        <w:t xml:space="preserve"> וַיֵאָסֵף אֶל עַמָּיו, הִיא הַמַּתֶּרֶת אוֹתָם מִשְּׁחִיטָה </w:t>
      </w:r>
      <w:r>
        <w:rPr>
          <w:sz w:val="20"/>
          <w:szCs w:val="20"/>
          <w:rtl/>
        </w:rPr>
        <w:t>(דף נז ע''ב)</w:t>
      </w:r>
      <w:r>
        <w:rPr>
          <w:rtl/>
        </w:rPr>
        <w:t xml:space="preserve"> וַדַּאי.</w:t>
      </w:r>
    </w:p>
    <w:p w:rsidR="002D629A" w:rsidRDefault="002D629A" w:rsidP="00B17EA9">
      <w:pPr>
        <w:pStyle w:val="NormalWeb"/>
        <w:rPr>
          <w:rtl/>
        </w:rPr>
      </w:pPr>
      <w:r>
        <w:rPr>
          <w:rtl/>
        </w:rPr>
        <w:t xml:space="preserve">וְגַדְפוֹי דִשְׁכִינְתָּא אִינוּן כִּסּוּי דַם חַיָּה אוֹ עוֹף, דְּאִינוּן כַּנְפֵי יוֹנָה, </w:t>
      </w:r>
      <w:r>
        <w:rPr>
          <w:rStyle w:val="a7"/>
          <w:rFonts w:hAnsi="Arial"/>
          <w:b w:val="0"/>
          <w:bCs w:val="0"/>
          <w:rtl/>
          <w:lang w:eastAsia="en-US"/>
        </w:rPr>
        <w:footnoteReference w:id="3131"/>
      </w:r>
      <w:r>
        <w:rPr>
          <w:rtl/>
        </w:rPr>
        <w:t xml:space="preserve">וְאִלֵּין אִינוּן כַּנְפֵי מִצְוָה, דִמְכַסְּיָן עַל דְּמֵיהוֹן, </w:t>
      </w:r>
      <w:r>
        <w:rPr>
          <w:rStyle w:val="a7"/>
          <w:rFonts w:hAnsi="Arial"/>
          <w:b w:val="0"/>
          <w:bCs w:val="0"/>
          <w:rtl/>
          <w:lang w:eastAsia="en-US"/>
        </w:rPr>
        <w:footnoteReference w:id="3132"/>
      </w:r>
      <w:r>
        <w:rPr>
          <w:rtl/>
        </w:rPr>
        <w:t xml:space="preserve">דְּלָא שָׁלְטִין עֲלַיְהוּ כַּלְבִּין דְּאִנּוּן חֲצִיפִין, דְּאִינוּן מַלְאֲכֵי חַבָּלָה, דְלָא אִשְׁתְּמוֹדְעוּן בְּהוֹן מָארֵי חוֹבִין, </w:t>
      </w:r>
      <w:r>
        <w:rPr>
          <w:sz w:val="20"/>
          <w:szCs w:val="20"/>
          <w:rtl/>
        </w:rPr>
        <w:t>(דברים יב כג)</w:t>
      </w:r>
      <w:r>
        <w:rPr>
          <w:rtl/>
        </w:rPr>
        <w:t xml:space="preserve"> כִּי הַדָּם הוּא הַנֶּפֶשׁ, וְעַפְרָא דִמְכַסְּיָא עָלָיו רָמִיז </w:t>
      </w:r>
      <w:r>
        <w:rPr>
          <w:sz w:val="20"/>
          <w:szCs w:val="20"/>
          <w:rtl/>
        </w:rPr>
        <w:t>(דברים לב מג)</w:t>
      </w:r>
      <w:r>
        <w:rPr>
          <w:rtl/>
        </w:rPr>
        <w:t xml:space="preserve"> וְכִפֶּר אַדְמָתוֹ עַמּוֹ.</w:t>
      </w:r>
    </w:p>
    <w:p w:rsidR="002D629A" w:rsidRDefault="002D629A" w:rsidP="00B17EA9">
      <w:pPr>
        <w:pStyle w:val="NormalWeb"/>
        <w:rPr>
          <w:rtl/>
        </w:rPr>
      </w:pPr>
      <w:r>
        <w:rPr>
          <w:rtl/>
        </w:rPr>
        <w:t xml:space="preserve">וְעוֹד שְׁכִינְתָּא אִיהִי בְּדִיקַת סִימָנֵי חַיָּה אוֹ עוֹף, מִבְּנֵי נָשָׁא דְּדַמְיָין לְחֵיוָן וּבְעִירָן וְעוֹפִין, דַּעֲלַיְיהוּ אִתְּמַר </w:t>
      </w:r>
      <w:r>
        <w:rPr>
          <w:sz w:val="20"/>
          <w:szCs w:val="20"/>
          <w:rtl/>
        </w:rPr>
        <w:t>(שמואל א יד לד)</w:t>
      </w:r>
      <w:r>
        <w:rPr>
          <w:rtl/>
        </w:rPr>
        <w:t xml:space="preserve"> </w:t>
      </w:r>
      <w:r>
        <w:rPr>
          <w:rStyle w:val="a7"/>
          <w:rFonts w:hAnsi="Arial"/>
          <w:b w:val="0"/>
          <w:bCs w:val="0"/>
          <w:rtl/>
          <w:lang w:eastAsia="en-US"/>
        </w:rPr>
        <w:footnoteReference w:id="3133"/>
      </w:r>
      <w:r>
        <w:rPr>
          <w:rtl/>
        </w:rPr>
        <w:t xml:space="preserve">וּשְׁחַטְתֶּם בָּזֶה, בְּדוֹק כְּמוֹ זֶה, דְּאִינוּן סָבְלִין מַכְתָּשִׁין, כְּמָה דְאוּקְמוּהוּ כִּי עָלֶיךָ הוֹרַגְנוּ כָל הַיּוֹם </w:t>
      </w:r>
      <w:r>
        <w:rPr>
          <w:sz w:val="20"/>
          <w:szCs w:val="20"/>
          <w:rtl/>
        </w:rPr>
        <w:t>(תהלים מד כג)</w:t>
      </w:r>
      <w:r>
        <w:rPr>
          <w:rtl/>
        </w:rPr>
        <w:t xml:space="preserve">, וּבְכָל יוֹמָא לָא מַנִּיחִין צְלוֹתִין, וּבָדִיק לוֹן קוּדְשָׁא בְּרִיךְ הוּא בְּכַמָּה מַכְתְּשִׁין, </w:t>
      </w:r>
      <w:r>
        <w:rPr>
          <w:rStyle w:val="a7"/>
          <w:rFonts w:hAnsi="Arial"/>
          <w:b w:val="0"/>
          <w:bCs w:val="0"/>
          <w:rtl/>
          <w:lang w:eastAsia="en-US"/>
        </w:rPr>
        <w:footnoteReference w:id="3134"/>
      </w:r>
      <w:r>
        <w:rPr>
          <w:rtl/>
        </w:rPr>
        <w:t xml:space="preserve">וְאָמְרִין זֶה לָזֶה בִּצְלוֹתִין, קוּדְשָׁא בְּרִיךְ הוּא פָּרִיק לָן מִדִּינָא דִבְעִירָן וְחֵיוָן דְּאַרְעָא, וְאַעִיל לָן לְמֶהֱוֵי לָן חוּלָקָא בְּמַלְאָכַיָּא, דְאִינוּן חַיּוֹת הַקֹּדֶשׁ, דְּקָרָאן זֶה לָזֶה וְאָמְרִין קָדוֹשׁ קָדוֹשׁ קָדוֹשׁ, דָּא אִיהוּ </w:t>
      </w:r>
      <w:r>
        <w:rPr>
          <w:sz w:val="20"/>
          <w:szCs w:val="20"/>
          <w:rtl/>
        </w:rPr>
        <w:t>(קדוש)</w:t>
      </w:r>
      <w:r>
        <w:rPr>
          <w:rtl/>
        </w:rPr>
        <w:t xml:space="preserve"> דְּאִתְקַדַּשׁ שְׁמֵיהּ דְּקוּדְשָׁא בְּרִיךְ הוּא עַל יְדֵיהּ, וִיהֵא לֵיהּ חוּלָקָא בֵּיהּ.</w:t>
      </w:r>
    </w:p>
    <w:p w:rsidR="002D629A" w:rsidRDefault="002D629A" w:rsidP="00B17EA9">
      <w:pPr>
        <w:pStyle w:val="aa"/>
        <w:rPr>
          <w:rtl/>
        </w:rPr>
      </w:pPr>
      <w:r>
        <w:rPr>
          <w:rtl/>
        </w:rPr>
        <w:t xml:space="preserve">[תיקוני זוהר - דף נח ע''א] </w:t>
      </w:r>
    </w:p>
    <w:p w:rsidR="002D629A" w:rsidRDefault="002D629A" w:rsidP="00B17EA9">
      <w:pPr>
        <w:pStyle w:val="NormalWeb"/>
        <w:rPr>
          <w:rtl/>
        </w:rPr>
      </w:pPr>
      <w:r>
        <w:rPr>
          <w:rStyle w:val="a7"/>
          <w:rFonts w:hAnsi="Arial"/>
          <w:b w:val="0"/>
          <w:bCs w:val="0"/>
          <w:rtl/>
          <w:lang w:eastAsia="en-US"/>
        </w:rPr>
        <w:footnoteReference w:id="3135"/>
      </w:r>
      <w:r>
        <w:rPr>
          <w:rtl/>
        </w:rPr>
        <w:t xml:space="preserve">וְעוֹד וּשְׁחַטְתֶּם בָּזֶה דָּא אל''ף דל''ת נו''ן יו''ד, דְּבֵיהּ דָּן קוּדְשָׁא בְּרִיךְ הוּא כָּל נְזִיקִין, וְעַל כָּל אִלֵּין דְּקָטְלִין חַד לְחַבְרֵיהּ, וְעַל כָּל אִלֵּין דְּגָזְלִין יהו''ה אִיהוּ דָן, דְּאִתְלַבַּשׁ בְּתֹהוּ וָבֹהוּ וְחֹשֶׁךְ וּתְהוֹם, וְדָן בְּהוֹן אַרְבַּע מִיתוֹת בֵּית דִּין, וְהָא אוּקְמוּהוּ כֻּלְּהוּ בְּאַתְוָון, י' גַּחֶלֶת, ו' שַׁלְהוֹבָא, ה''ה גַּוָּונִין וּנְהוֹרִין דְּנוּרָא דָּא אִיהוּ שְׂרֵפָה, </w:t>
      </w:r>
      <w:r>
        <w:rPr>
          <w:sz w:val="20"/>
          <w:szCs w:val="20"/>
          <w:rtl/>
        </w:rPr>
        <w:t>(דברים ד כד)</w:t>
      </w:r>
      <w:r>
        <w:rPr>
          <w:rtl/>
        </w:rPr>
        <w:t xml:space="preserve"> כִּי יהו''ה אלהי''ך אֵשׁ אוֹכְלָה הוּא, סְקִילָה בִּתְלַת אַבְנִין י' י' י', וְאִינוּן יהו''ה כ''ו, וְד' אַתְוָון י' י' י', הֶרֶג בְּחַרְבָּא, י' רֵישָׁא דְחַרְבָּא, ו' גּוּפָא דְחַרְבָּא, ה''ה תְּרֵין פִּפִיּוֹת דִּילָהּ, חֶנֶק ו' </w:t>
      </w:r>
      <w:r>
        <w:rPr>
          <w:sz w:val="20"/>
          <w:szCs w:val="20"/>
          <w:rtl/>
        </w:rPr>
        <w:t>(ס''א ג')</w:t>
      </w:r>
      <w:r>
        <w:rPr>
          <w:rtl/>
        </w:rPr>
        <w:t xml:space="preserve"> אִתְעֲבִיד חוּט כְּגַוְונָא דָא זַרְקָא [ציור] וַעֲלָהּ י' דְּעִזְקָא בְחוּטָא לְמֶהֱוֵי כְּרִיךְ לָהּ עַל צַוָּאר, וְרָזָא דְמִלָּה </w:t>
      </w:r>
      <w:r>
        <w:rPr>
          <w:sz w:val="20"/>
          <w:szCs w:val="20"/>
          <w:rtl/>
        </w:rPr>
        <w:t>(במדבר כז ג)</w:t>
      </w:r>
      <w:r>
        <w:rPr>
          <w:rtl/>
        </w:rPr>
        <w:t xml:space="preserve"> </w:t>
      </w:r>
      <w:r>
        <w:rPr>
          <w:rStyle w:val="a7"/>
          <w:rFonts w:hAnsi="Arial"/>
          <w:b w:val="0"/>
          <w:bCs w:val="0"/>
          <w:rtl/>
          <w:lang w:eastAsia="en-US"/>
        </w:rPr>
        <w:footnoteReference w:id="3136"/>
      </w:r>
      <w:r>
        <w:rPr>
          <w:rtl/>
        </w:rPr>
        <w:t xml:space="preserve">אָבִינוּ מֵת בַּמִּדְבָּר, </w:t>
      </w:r>
      <w:r>
        <w:rPr>
          <w:sz w:val="20"/>
          <w:szCs w:val="20"/>
          <w:rtl/>
        </w:rPr>
        <w:t xml:space="preserve">(דף נח ע''א) </w:t>
      </w:r>
      <w:r>
        <w:rPr>
          <w:rtl/>
        </w:rPr>
        <w:t xml:space="preserve">מַקַּ''ף וְהוֹלֵ''ךְ אִינוּן ה''ה, חַד מַקַּף לֵיהּ וְחַד הוֹלֵךְ, עַד דְּחָנְקִין לֵיהּ, וּבְגִין דָּא אָמַר קוּדְשָׁא בְּרִיךְ הוּא, </w:t>
      </w:r>
      <w:r>
        <w:rPr>
          <w:rStyle w:val="a7"/>
          <w:rFonts w:hAnsi="Arial"/>
          <w:b w:val="0"/>
          <w:bCs w:val="0"/>
          <w:rtl/>
          <w:lang w:eastAsia="en-US"/>
        </w:rPr>
        <w:footnoteReference w:id="3137"/>
      </w:r>
      <w:r>
        <w:rPr>
          <w:rtl/>
        </w:rPr>
        <w:t xml:space="preserve">רְאוּ עַתָּה כִּי אֲנִי אֲנִי הוּא, אֲנִי אָמִית וַאֲחַיֶּה, מָחַצְתִּי וַאֲנִי אֶרְפָּא וְאֵין מִיָּדִי מַצִּיל </w:t>
      </w:r>
      <w:r>
        <w:rPr>
          <w:sz w:val="20"/>
          <w:szCs w:val="20"/>
          <w:rtl/>
        </w:rPr>
        <w:t>(דברים לב לט)</w:t>
      </w:r>
      <w:r>
        <w:rPr>
          <w:rtl/>
        </w:rPr>
        <w:t xml:space="preserve">. (ו') בִּתְלַת אַתְוָון דִּשְׁכִינְתָּא תַּתָּאָה אִיהִי דָן אַרְבַּע מִיתוֹת בֵּית דִּין, אִיהִי חֲנִיקַת לְחַיָּיבַיָּא, וְהָרַג לוֹן, בִּשְׂרֵפָה וּסְקִילָה, וּבְגִין דָּא רְאוּ עַתָּה כִּי אֲנִי אֲנִי הוּא, הֲדָא הוּא דִכְתִיב </w:t>
      </w:r>
      <w:r>
        <w:rPr>
          <w:sz w:val="20"/>
          <w:szCs w:val="20"/>
          <w:rtl/>
        </w:rPr>
        <w:t>(ויקרא כו כח)</w:t>
      </w:r>
      <w:r>
        <w:rPr>
          <w:rtl/>
        </w:rPr>
        <w:t xml:space="preserve"> וְיִסַּרְתִּי אֶתְכֶם אַף אָנִי וְגוֹמֵר, וּכְמָה דְבִשְׁמֵיהּ קָטִיל לְמָאן דְּאַעֲבַר עַל כְּרִיתוֹת וּמִיתוֹת בֵּית דִּין דְּאוֹרַיְיתָא, </w:t>
      </w:r>
      <w:r>
        <w:rPr>
          <w:rStyle w:val="a7"/>
          <w:rFonts w:hAnsi="Arial"/>
          <w:b w:val="0"/>
          <w:bCs w:val="0"/>
          <w:rtl/>
          <w:lang w:eastAsia="en-US"/>
        </w:rPr>
        <w:footnoteReference w:id="3138"/>
      </w:r>
      <w:r>
        <w:rPr>
          <w:rtl/>
        </w:rPr>
        <w:t>הָכִי מַסֵּי וּמְחַיֶה בִּשְׁמֵיהּ לְמָאן דִּמְקַיֵּים לוֹן.</w:t>
      </w:r>
    </w:p>
    <w:p w:rsidR="002D629A" w:rsidRDefault="002D629A" w:rsidP="00B17EA9">
      <w:pPr>
        <w:pStyle w:val="NormalWeb"/>
        <w:rPr>
          <w:rtl/>
        </w:rPr>
      </w:pPr>
      <w:r>
        <w:rPr>
          <w:rtl/>
        </w:rPr>
        <w:t xml:space="preserve">וְעוֹד מִצְוַת גְּזֵלַת הֶעָנִי בְּבָתֵּיכֶם דָּא שְׁכִינְתָּא, דְּמָאן דְּגָזִיל צְלוֹתָא </w:t>
      </w:r>
      <w:r>
        <w:rPr>
          <w:rStyle w:val="a7"/>
          <w:rFonts w:hAnsi="Arial"/>
          <w:b w:val="0"/>
          <w:bCs w:val="0"/>
          <w:rtl/>
          <w:lang w:eastAsia="en-US"/>
        </w:rPr>
        <w:footnoteReference w:id="3139"/>
      </w:r>
      <w:r>
        <w:rPr>
          <w:rtl/>
        </w:rPr>
        <w:t xml:space="preserve">דְאִיהִי צְדָקָה לְצַדִּיק חַ''י עָלְמִין, כְּלִיל חַ''י בִּרְכָאָן, כְּאִלּוּ גָזִיל לֵיהּ חַיִּים דִּילֵיהּ דְּאִיהוּ שְׁכִינְתָּא, דְאִתְּמַר בָּהּ </w:t>
      </w:r>
      <w:r>
        <w:rPr>
          <w:sz w:val="20"/>
          <w:szCs w:val="20"/>
          <w:rtl/>
        </w:rPr>
        <w:t>(קהלת ט ט)</w:t>
      </w:r>
      <w:r>
        <w:rPr>
          <w:rtl/>
        </w:rPr>
        <w:t xml:space="preserve"> רְאֵה חַיִּים עִם אִשָּׁה אֲשֶׁר אָהַבְתָּ, וְכֵן מָאן דְּגָרַע מֵעֹנֶג שַׁבָּת, כְּאִלּוּ גָזִיל לֵיהּ שְׁכִינְתֵּיהּ </w:t>
      </w:r>
      <w:r>
        <w:rPr>
          <w:rStyle w:val="a7"/>
          <w:rFonts w:hAnsi="Arial"/>
          <w:b w:val="0"/>
          <w:bCs w:val="0"/>
          <w:rtl/>
          <w:lang w:eastAsia="en-US"/>
        </w:rPr>
        <w:footnoteReference w:id="3140"/>
      </w:r>
      <w:r>
        <w:rPr>
          <w:rtl/>
        </w:rPr>
        <w:t xml:space="preserve">דְּאִיהִי שַׁבָּת בַּת יְחִידָה, וְדָא גָרַם דְּאִתְגְזִילַת מִנֵּיהּ בְּגָלוּתָא, הֲדָא הוּא דִכְתִיב </w:t>
      </w:r>
      <w:r>
        <w:rPr>
          <w:sz w:val="20"/>
          <w:szCs w:val="20"/>
          <w:rtl/>
        </w:rPr>
        <w:t>(ישעיה נ א)</w:t>
      </w:r>
      <w:r>
        <w:rPr>
          <w:rtl/>
        </w:rPr>
        <w:t xml:space="preserve"> וּבְפִשְׁעִיכֶם שֻׁלְּחָה אִמְּכֶם, וּתְיוּבְתָּא מַאי נִיהוּ וְהֵשִׁיב </w:t>
      </w:r>
      <w:r>
        <w:rPr>
          <w:rStyle w:val="Char"/>
          <w:rtl/>
          <w:lang w:eastAsia="en-US"/>
        </w:rPr>
        <w:t>אֶת הַגְּזֵלָה אֲשֶׁר גָּזָל</w:t>
      </w:r>
      <w:r>
        <w:rPr>
          <w:rtl/>
        </w:rPr>
        <w:t xml:space="preserve"> </w:t>
      </w:r>
      <w:r>
        <w:rPr>
          <w:sz w:val="20"/>
          <w:szCs w:val="20"/>
          <w:rtl/>
        </w:rPr>
        <w:t>(ויקרא ה כג)</w:t>
      </w:r>
      <w:r>
        <w:rPr>
          <w:rtl/>
        </w:rPr>
        <w:t xml:space="preserve">, דְּיַחֲזִיר שְׁכִינְתָּא לְאַתְרָהּ, אוֹ אֶת הָעֹשֶׁק אֲשֶׁר עָשָׁק </w:t>
      </w:r>
      <w:r>
        <w:rPr>
          <w:sz w:val="20"/>
          <w:szCs w:val="20"/>
          <w:rtl/>
        </w:rPr>
        <w:t>(שם)</w:t>
      </w:r>
      <w:r>
        <w:rPr>
          <w:rtl/>
        </w:rPr>
        <w:t xml:space="preserve"> דָּא קוּדְשָׁא בְּרִיךְ הוּא דְאִתְפָּרַשׁ מִינָהּ, דִּשְׁכִינְתָּא אִתְקְרִיאַת מִצְוַת עֲשֵׂה מִסִּטְרָא דִימִינָא, וּמִצְוַת לֹא תַעֲשֶׂה מִסִּטְרָא דִשְׂמָאלָא, וְתוֹרָה אִתְקְרִיאַת מִסִּטְרָא דְעַמּוּדָא דְאֶמְצָעִיתָא, </w:t>
      </w:r>
      <w:r>
        <w:rPr>
          <w:rStyle w:val="a7"/>
          <w:rFonts w:hAnsi="Arial"/>
          <w:b w:val="0"/>
          <w:bCs w:val="0"/>
          <w:rtl/>
          <w:lang w:eastAsia="en-US"/>
        </w:rPr>
        <w:footnoteReference w:id="3141"/>
      </w:r>
      <w:r>
        <w:rPr>
          <w:rtl/>
        </w:rPr>
        <w:t>וְכָל מָאן דְּגָזִיל אוֹ עָשַׁק בְּאוֹרַיְיתָא, וּבְמִצְוַת עֲשֵׂה וְלֹא תַעֲשֶׂה, כְּאִלּוּ גָזַל שְׁכִינְתָּא מִדְּרוֹעוֹי דְּקוּדְשָׁא בְּרִיךְ הוּא.</w:t>
      </w:r>
    </w:p>
    <w:p w:rsidR="002D629A" w:rsidRDefault="002D629A" w:rsidP="00B17EA9">
      <w:pPr>
        <w:pStyle w:val="aa"/>
        <w:rPr>
          <w:rtl/>
        </w:rPr>
      </w:pPr>
      <w:r>
        <w:rPr>
          <w:rtl/>
        </w:rPr>
        <w:t xml:space="preserve">[תיקוני זוהר - דף נח ע''ב] </w:t>
      </w:r>
    </w:p>
    <w:p w:rsidR="002D629A" w:rsidRDefault="002D629A" w:rsidP="00B17EA9">
      <w:pPr>
        <w:pStyle w:val="NormalWeb"/>
        <w:rPr>
          <w:rtl/>
        </w:rPr>
      </w:pPr>
      <w:r>
        <w:rPr>
          <w:rtl/>
        </w:rPr>
        <w:t xml:space="preserve">וְכֵן מִסִּטְרָא דִיְסוֹד חַ''י עָלְמִין, אִתְקְרִיאַת מִצְוַת בְּרִית מִילָה, מָאן דְּגָזַל בִּבְרִית וְאַפִּיק זַרְעָא מִינֵיהּ </w:t>
      </w:r>
      <w:r>
        <w:rPr>
          <w:sz w:val="20"/>
          <w:szCs w:val="20"/>
          <w:rtl/>
        </w:rPr>
        <w:t xml:space="preserve">(דף נח ע''ב) </w:t>
      </w:r>
      <w:r>
        <w:rPr>
          <w:rtl/>
        </w:rPr>
        <w:t xml:space="preserve">לִרְשׁוּ נוּכְרָאָה, כְּאִלּוּ אַפִּיק מֵרְשׁוּת הַיָּחִיד לִרְשׁוּת הָרַבִּים, וְגָרַם לְמֶהֱוִי שְׁכִינְתָּא נָפְקָא מֵאַתְרָהּ דְאִיהִי אֶרֶץ יִשְׂרָאֵל רְשׁוּת הַיָּחִיד, וְגָלָה אוֹתָהּ בֵּין אוּמִין דְּעָלְמָא </w:t>
      </w:r>
      <w:r>
        <w:rPr>
          <w:rStyle w:val="a7"/>
          <w:rFonts w:hAnsi="Arial"/>
          <w:b w:val="0"/>
          <w:bCs w:val="0"/>
          <w:rtl/>
          <w:lang w:eastAsia="en-US"/>
        </w:rPr>
        <w:footnoteReference w:id="3142"/>
      </w:r>
      <w:r>
        <w:rPr>
          <w:rtl/>
        </w:rPr>
        <w:t xml:space="preserve">דְאִינוּן רְשׁוּת הָרַבִּים, הֲדָא הוּא דִכְתִיב </w:t>
      </w:r>
      <w:r>
        <w:rPr>
          <w:sz w:val="20"/>
          <w:szCs w:val="20"/>
          <w:rtl/>
        </w:rPr>
        <w:t>(ישעיה נ יא)</w:t>
      </w:r>
      <w:r>
        <w:rPr>
          <w:rtl/>
        </w:rPr>
        <w:t xml:space="preserve"> וּבְפִשְׁעִיכֶם שֻׁלְּחָה אִמְּכֶם, וּבְגִין דָּא לֹא תִשָּׂא אֶת שֵׁם יהו''ה אלהי''ך לַשָּׁוְא </w:t>
      </w:r>
      <w:r>
        <w:rPr>
          <w:sz w:val="20"/>
          <w:szCs w:val="20"/>
          <w:rtl/>
        </w:rPr>
        <w:t>(שמות כ ז)</w:t>
      </w:r>
      <w:r>
        <w:rPr>
          <w:rtl/>
        </w:rPr>
        <w:t>, מָאן שֵׁם יהו''ה דָּא שְׁכִינְתָּא, לַשָּׁוְא דָּא עֲבוֹדָה זָרָה דְּגָלַת תַּמָּן.</w:t>
      </w:r>
    </w:p>
    <w:p w:rsidR="002D629A" w:rsidRDefault="002D629A" w:rsidP="00B17EA9">
      <w:pPr>
        <w:pStyle w:val="NormalWeb"/>
        <w:rPr>
          <w:rtl/>
        </w:rPr>
      </w:pPr>
      <w:r>
        <w:rPr>
          <w:rtl/>
        </w:rPr>
        <w:t xml:space="preserve">וְעוֹד אִיהִי תְּשׁוּבָה יוֹם הַכִּפּוּרִים, כְּלִילָא מֵעֲשֶׂרֶת יְמֵי תְּשׁוּבָה דְאִינוּן י''ה, יוֹם הַכִּפּוּרִים דָּא ה' כְּלִילָא מֵחָמֵשׁ צְלוֹתִין, עֲשֶׂרֶת יְמֵי תְּשׁוּבָה דָא י', </w:t>
      </w:r>
      <w:r>
        <w:rPr>
          <w:rStyle w:val="a7"/>
          <w:rFonts w:hAnsi="Arial"/>
          <w:b w:val="0"/>
          <w:bCs w:val="0"/>
          <w:rtl/>
          <w:lang w:eastAsia="en-US"/>
        </w:rPr>
        <w:footnoteReference w:id="3143"/>
      </w:r>
      <w:r>
        <w:rPr>
          <w:rtl/>
        </w:rPr>
        <w:t xml:space="preserve">לְקַבֵּל שָׁבִים דָּא ו''ה, כָּל מָאן דְּחָזַר בִּתְיוּבְתָּא כְּאִלּוּ חָזַר ו''ה עִם י''ה, </w:t>
      </w:r>
      <w:r>
        <w:rPr>
          <w:rStyle w:val="a7"/>
          <w:rFonts w:hAnsi="Arial"/>
          <w:b w:val="0"/>
          <w:bCs w:val="0"/>
          <w:rtl/>
          <w:lang w:eastAsia="en-US"/>
        </w:rPr>
        <w:footnoteReference w:id="3144"/>
      </w:r>
      <w:r>
        <w:rPr>
          <w:rtl/>
        </w:rPr>
        <w:t xml:space="preserve">וְעִקָּרָא לְסָלְקָא כֹלָּא בְּמַחֲשָׁבָה דְאִיהוּ יו''ד ה''א וא''ו ה''א. וְאַבָּא וְאִמָּא אִינוּן נָחְתֵי בִימִינָא וּשְׂמָאלָא, לְקַבְּלָא בְּהוֹן ו''ה, דְּאִינוּן תּוֹרָה וּמִצְוָה, וְרָזָא דְמִלָּה וָשָׁב וְרָפָא לוֹ </w:t>
      </w:r>
      <w:r>
        <w:rPr>
          <w:sz w:val="20"/>
          <w:szCs w:val="20"/>
          <w:rtl/>
        </w:rPr>
        <w:t>(ישעיה ו י)</w:t>
      </w:r>
      <w:r>
        <w:rPr>
          <w:rtl/>
        </w:rPr>
        <w:t xml:space="preserve">, וְדָא אִיהוּ שׁוּבָה יִשְׂרָאֵל עַד יהו''ה אלהי''ך </w:t>
      </w:r>
      <w:r>
        <w:rPr>
          <w:sz w:val="20"/>
          <w:szCs w:val="20"/>
          <w:rtl/>
        </w:rPr>
        <w:t>(הושע יד ב)</w:t>
      </w:r>
      <w:r>
        <w:rPr>
          <w:rtl/>
        </w:rPr>
        <w:t xml:space="preserve">. </w:t>
      </w:r>
      <w:r>
        <w:rPr>
          <w:rStyle w:val="a7"/>
          <w:rFonts w:hAnsi="Arial"/>
          <w:b w:val="0"/>
          <w:bCs w:val="0"/>
          <w:rtl/>
          <w:lang w:eastAsia="en-US"/>
        </w:rPr>
        <w:footnoteReference w:id="3145"/>
      </w:r>
      <w:r>
        <w:rPr>
          <w:rtl/>
        </w:rPr>
        <w:t xml:space="preserve">וּבִימִינָא הוּא מְקַבֵּל שָׁבִים. וּגְבוּרָה תַמָּן סמא''ל דְּאִיהוּ יֵצֶר הָרָע, וְכָל מָאן דְּיִתְגַבֵּר עַל יִצְרֵיהּ כְּאִלּוּ הֲוָה מִתְגַבֵּר גְּבוּרָה עַל סמא''ל בְּדִינָא לְגַבֵּי בְּנוֹי, וּבְגִין דָּא אָמְרוּ מָארֵי מַתְנִיתִין, אֵיזֶהוּ גִבּוֹר הַכּוֹבֵשׁ אֶת יִצְרוֹ, מַאי הַכּוֹבֵשׁ, כְּמָה דְאַתְּ אָמַר </w:t>
      </w:r>
      <w:r>
        <w:rPr>
          <w:sz w:val="20"/>
          <w:szCs w:val="20"/>
          <w:rtl/>
        </w:rPr>
        <w:t>(בראשית א כח)</w:t>
      </w:r>
      <w:r>
        <w:rPr>
          <w:rtl/>
        </w:rPr>
        <w:t xml:space="preserve"> וְכִבְשׁוּהָ, דִּיְהֵא כְּבוּשָׁה תְּחוֹת יְדֵיהּ, כְּכַלְבָּא דְאִיהוּ כָּבוּשׁ וְקָשׁוּר תְּחוֹת יְדֵי דְבַר נַשׁ. וּתְשׁוּבָה הוּא וא"ו. וְצָרִיךְ בַּר נַשׁ לְקַבְּלָא עֲלֵיהּ חָמֵשׁ עִנּוּיִין, בְּגִין עִנּוּי דְּגָרִים לְה' זְעִירָא דְגָלַת בְּגָלוּתָא, וְאִתְקְרִיאַת עֲנִיָּה סוֹעֲרָה לֹא נוּחָמָה.</w:t>
      </w:r>
    </w:p>
    <w:p w:rsidR="002D629A" w:rsidRDefault="002D629A" w:rsidP="00B17EA9">
      <w:pPr>
        <w:pStyle w:val="NormalWeb"/>
        <w:rPr>
          <w:rtl/>
        </w:rPr>
      </w:pPr>
      <w:r>
        <w:rPr>
          <w:rtl/>
        </w:rPr>
        <w:t xml:space="preserve">וְעוֹד מִצְוַת פִּרְיָה וְרִבְיָה דָא שְׁכִינְתָּא, לֹא תֹהוּ בְרָאָהּ לָשֶׁבֶת יְצָרָהּ </w:t>
      </w:r>
      <w:r>
        <w:rPr>
          <w:sz w:val="20"/>
          <w:szCs w:val="20"/>
          <w:rtl/>
        </w:rPr>
        <w:t>(ישעיה מה יח)</w:t>
      </w:r>
      <w:r>
        <w:rPr>
          <w:rtl/>
        </w:rPr>
        <w:t xml:space="preserve">, כָּל תַּלְמִיד חָכָם דְּמָנַע מִינָהּ </w:t>
      </w:r>
      <w:r>
        <w:rPr>
          <w:rStyle w:val="a7"/>
          <w:rFonts w:hAnsi="Arial"/>
          <w:b w:val="0"/>
          <w:bCs w:val="0"/>
          <w:rtl/>
          <w:lang w:eastAsia="en-US"/>
        </w:rPr>
        <w:footnoteReference w:id="3146"/>
      </w:r>
      <w:r>
        <w:rPr>
          <w:rtl/>
        </w:rPr>
        <w:t>עוֹנַת קְרִיאַת שְׁמַע כְּאִלּוּ מָנַע מִינָהּ בִּרְכָאָן מִלְּעִילָא.</w:t>
      </w:r>
    </w:p>
    <w:p w:rsidR="002D629A" w:rsidRDefault="002D629A" w:rsidP="00B17EA9">
      <w:pPr>
        <w:pStyle w:val="aa"/>
        <w:rPr>
          <w:rtl/>
        </w:rPr>
      </w:pPr>
      <w:r>
        <w:rPr>
          <w:rtl/>
        </w:rPr>
        <w:t xml:space="preserve">[תיקוני זוהר - דף נט ע''א] </w:t>
      </w:r>
    </w:p>
    <w:p w:rsidR="002D629A" w:rsidRDefault="002D629A" w:rsidP="00B17EA9">
      <w:pPr>
        <w:pStyle w:val="NormalWeb"/>
        <w:rPr>
          <w:rtl/>
        </w:rPr>
      </w:pPr>
      <w:r>
        <w:rPr>
          <w:rtl/>
        </w:rPr>
        <w:t xml:space="preserve">שִׁית סִטְרִין אִינוּן דִּכְלִילָן בְּאָת ו', דְּאִיהוּ </w:t>
      </w:r>
      <w:r>
        <w:rPr>
          <w:sz w:val="20"/>
          <w:szCs w:val="20"/>
          <w:rtl/>
        </w:rPr>
        <w:t>(בראשית א יא)</w:t>
      </w:r>
      <w:r>
        <w:rPr>
          <w:rtl/>
        </w:rPr>
        <w:t xml:space="preserve"> עִץ פְּרִי עוֹשֶׂה פְּרִי, מָאן פְּרִי דִילֵיהּ י', דְּאָת ו' אִיהוּ עַנְפָא דְאִילָנָא, דְאִתְפָּרַשׁ לְשִׁית עַנְפִין, וּמִשִּׁית לְעַנְפִין דְּלֵית לוֹן חוּשְׁבַּן, </w:t>
      </w:r>
      <w:r>
        <w:rPr>
          <w:sz w:val="20"/>
          <w:szCs w:val="20"/>
          <w:rtl/>
        </w:rPr>
        <w:t xml:space="preserve">(דף נט ע''א) </w:t>
      </w:r>
      <w:r>
        <w:rPr>
          <w:rtl/>
        </w:rPr>
        <w:t>יו"ד אִיהִי אִיבָּא עַל כָּל עַנְפָא וְעַנְפָא דְאִיהוּ ו'.</w:t>
      </w:r>
    </w:p>
    <w:p w:rsidR="002D629A" w:rsidRDefault="002D629A" w:rsidP="00B17EA9">
      <w:pPr>
        <w:pStyle w:val="NormalWeb"/>
        <w:rPr>
          <w:rtl/>
        </w:rPr>
      </w:pPr>
      <w:r>
        <w:rPr>
          <w:rtl/>
        </w:rPr>
        <w:t xml:space="preserve">קָם סָבָא וְאָמַר רַבִּי רַבִּי חֲזוֹר בָּךְ, אִילָנָא הוּא ו', אִיבָּא דִילֵיהּ י' הָכִי הוּא וַדַּאי, </w:t>
      </w:r>
      <w:r>
        <w:rPr>
          <w:rStyle w:val="a7"/>
          <w:rFonts w:hAnsi="Arial"/>
          <w:b w:val="0"/>
          <w:bCs w:val="0"/>
          <w:rtl/>
          <w:lang w:eastAsia="en-US"/>
        </w:rPr>
        <w:footnoteReference w:id="3147"/>
      </w:r>
      <w:r>
        <w:rPr>
          <w:rtl/>
        </w:rPr>
        <w:t>אֲבָל עַנְפוֹי לְעִילָא אִיהוּ ה' עִלָּאָה וְשָׁרְשׁוֹי ה' תַּתָּאָה, וּמָאן דְּאַפְרִישׁ עַנְפָא מִינֵיהּ דָּא אִיהוּ מְקַצֵּץ בִּנְטִיעוֹת, וְהָכִי אִתְקַצַּץ אִיהוּ מֵעָלְמָא דֵין וּמֵעָלְמָא דְאָתֵי.</w:t>
      </w:r>
    </w:p>
    <w:p w:rsidR="002D629A" w:rsidRDefault="002D629A" w:rsidP="00B17EA9">
      <w:pPr>
        <w:pStyle w:val="NormalWeb"/>
        <w:rPr>
          <w:rtl/>
        </w:rPr>
      </w:pPr>
      <w:r>
        <w:rPr>
          <w:rtl/>
        </w:rPr>
        <w:t xml:space="preserve">וְעוֹד מִצְוָה לְאִתְעַסְקָא בְּאוֹרַיְיתָא יוֹמָם וָלַיְלָה, הֲדָא הוּא דִכְתִיב </w:t>
      </w:r>
      <w:r>
        <w:rPr>
          <w:sz w:val="20"/>
          <w:szCs w:val="20"/>
          <w:rtl/>
        </w:rPr>
        <w:t>(יהושע א ח)</w:t>
      </w:r>
      <w:r>
        <w:rPr>
          <w:rtl/>
        </w:rPr>
        <w:t xml:space="preserve"> וְהָגִיתָ בּוֹ יוֹמָם וָלַיְלָה, וְכִי יָכִיל בַּר נַשׁ לְאִתְעַסְקָא בְּאוֹרַיְיתָא בְּכָל יוֹמֵי וְלֵילֵי כָּל יוֹמוֹי, וְהָא קוּדְשָׁא בְּרִיךְ הוּא לֵית בָּא בִּטְרוּנְיָא עִם בִּרְיוֹתָיו, אֶלָּא כָּל מָאן דְּקָרָא קְרִיאַת שְׁמַע בְּכָל יוֹם עֶרֶב וָבֹקֶר, כְּאִלּוּ מְקַיֵּים בּוֹ וְהָגִיתָ בּוֹ יוֹמָם וָלַיְלָה, כָּל פִּקּוּדִין אִית מִנַּיְיהוּ דְתַלְיָין בִּפְרִי אִילָנָא, מִנַּיְיהוּ בְעַנְפִין, מִנְּהוֹן בְּשָׁרְשִׁין, מִנְּהוֹן בְּאִילָנָא, וּבְגִין דָּא אִתְקְרִיאַת אוֹרַיְיתָא עִץ חַיִּים, וְכָל מָאן דְּאָכַל מִנֵּיהּ וְאָכַל וָחַי לְעוֹלָם.</w:t>
      </w:r>
    </w:p>
    <w:p w:rsidR="002D629A" w:rsidRDefault="002D629A" w:rsidP="00B17EA9">
      <w:pPr>
        <w:pStyle w:val="NormalWeb"/>
        <w:rPr>
          <w:rtl/>
        </w:rPr>
      </w:pPr>
      <w:r>
        <w:rPr>
          <w:rtl/>
        </w:rPr>
        <w:t xml:space="preserve">וְאִית אִילָנָא לְתַתָּא, דְעַנְפּוֹי וְשָׁרְשׁוֹי וְגוּפָא וְאִיבָּא דִילֵיהּ, כֻּלְּהוּ סַם הַמָּוְת וְדָא סמא''ל, מָאן דְּאַעֲבַר עַל אוֹרַיְיתָא, אִתְשַׁקְיָיא מֵהַהוּא אִילָנָא וְאִתְפַּרְנֵס מִינֵיהּ, וַעֲלֵיהּ אִתְּמַר </w:t>
      </w:r>
      <w:r>
        <w:rPr>
          <w:sz w:val="20"/>
          <w:szCs w:val="20"/>
          <w:rtl/>
        </w:rPr>
        <w:t>(בראשית ב יז)</w:t>
      </w:r>
      <w:r>
        <w:rPr>
          <w:rtl/>
        </w:rPr>
        <w:t xml:space="preserve"> כִּי בְּיוֹם אֲכָלְךָ מִמֶּנּוּ מוֹת תָּמוּת, וּמִסִּטְרָא דִילֵיהּ </w:t>
      </w:r>
      <w:r>
        <w:rPr>
          <w:rStyle w:val="a7"/>
          <w:rFonts w:hAnsi="Arial"/>
          <w:b w:val="0"/>
          <w:bCs w:val="0"/>
          <w:rtl/>
          <w:lang w:eastAsia="en-US"/>
        </w:rPr>
        <w:footnoteReference w:id="3148"/>
      </w:r>
      <w:r>
        <w:rPr>
          <w:rtl/>
        </w:rPr>
        <w:t>חַיֵּי צַעַר.</w:t>
      </w:r>
    </w:p>
    <w:p w:rsidR="002D629A" w:rsidRDefault="002D629A" w:rsidP="00B17EA9">
      <w:pPr>
        <w:pStyle w:val="aa"/>
        <w:rPr>
          <w:rtl/>
        </w:rPr>
      </w:pPr>
      <w:r>
        <w:rPr>
          <w:rtl/>
        </w:rPr>
        <w:t xml:space="preserve">[תיקוני זוהר - דף נט ע''ב] </w:t>
      </w:r>
    </w:p>
    <w:p w:rsidR="002D629A" w:rsidRDefault="002D629A" w:rsidP="00B17EA9">
      <w:pPr>
        <w:pStyle w:val="NormalWeb"/>
        <w:rPr>
          <w:rtl/>
        </w:rPr>
      </w:pPr>
      <w:r>
        <w:rPr>
          <w:rtl/>
        </w:rPr>
        <w:t xml:space="preserve">וְעוֹד שְׁכִינְתָּא אִיהִי מִצְוַת הַעֲמָדַת מַלְכָּא, הֲדָא הוּא דִכְתִיב </w:t>
      </w:r>
      <w:r>
        <w:rPr>
          <w:sz w:val="20"/>
          <w:szCs w:val="20"/>
          <w:rtl/>
        </w:rPr>
        <w:t>(דברים יז טו)</w:t>
      </w:r>
      <w:r>
        <w:rPr>
          <w:rtl/>
        </w:rPr>
        <w:t xml:space="preserve"> שׂוֹם תָּשִׂים עָלֶיךָ מֶלֶךְ, וְכַבְיָכוֹל כָּל זִמְנָא דְלֵית שְׁכִינְתָּא בְּאַתְרָהָא לֵית מַלְכָּא, וּבְגִין דִּשְׁכִינְתָּא אִיהִי מַלְכוּת עַל בַּר נַשׁ, אִתְּמַר בֵּיהּ שׂוֹם תָּשִׂים עָלֶיךָ מֶלֶךְ, לְמֶהֱוִי יִשְׂרָאֵל בָּהּ כֻּלְּהוּ בְּנֵי מְלָכִים. </w:t>
      </w:r>
      <w:r>
        <w:rPr>
          <w:rStyle w:val="a7"/>
          <w:rFonts w:hAnsi="Arial"/>
          <w:b w:val="0"/>
          <w:bCs w:val="0"/>
          <w:sz w:val="20"/>
          <w:szCs w:val="20"/>
          <w:rtl/>
          <w:lang w:eastAsia="en-US"/>
        </w:rPr>
        <w:footnoteReference w:id="3149"/>
      </w:r>
      <w:r>
        <w:rPr>
          <w:rtl/>
        </w:rPr>
        <w:t xml:space="preserve">דְּלֵית מֶלֶךְ בְּלָא מַלְכוּת, דִּבְגָלוּתָא שִׁפְחָה תִּירַשׁ גְּבִירְתָּהּ, וּבְזִמְנָא דְיֵיתֵי מְשִׁיחָא אִתְּמַר </w:t>
      </w:r>
      <w:r>
        <w:rPr>
          <w:sz w:val="20"/>
          <w:szCs w:val="20"/>
          <w:rtl/>
        </w:rPr>
        <w:t>(אסתר א יט)</w:t>
      </w:r>
      <w:r>
        <w:rPr>
          <w:rtl/>
        </w:rPr>
        <w:t xml:space="preserve"> וּמַלְכוּתָהּ יִתֵּן הַמֶּלֶךְ לִרְעוּתָהּ הַטּוֹבָה מִמֶּנָּה, אִיהִי מַלְכוּתֵיהּ, אִיהִי כָרְסְיֵיהּ, </w:t>
      </w:r>
      <w:r>
        <w:rPr>
          <w:sz w:val="20"/>
          <w:szCs w:val="20"/>
          <w:rtl/>
        </w:rPr>
        <w:t xml:space="preserve">(דף נט ע''ב) </w:t>
      </w:r>
      <w:r>
        <w:rPr>
          <w:rtl/>
        </w:rPr>
        <w:t xml:space="preserve">אִיהִי עֲטֶרֶת דִילֵיהּ, לְמַלְכָּא דְּאִית לֵיהּ מָאנָא דִיקָר וְאִיהִי מְחַבְּבָא לְגַבֵּיהּ, </w:t>
      </w:r>
      <w:r>
        <w:rPr>
          <w:rStyle w:val="a7"/>
          <w:rFonts w:hAnsi="Arial"/>
          <w:b w:val="0"/>
          <w:bCs w:val="0"/>
          <w:rtl/>
          <w:lang w:eastAsia="en-US"/>
        </w:rPr>
        <w:footnoteReference w:id="3150"/>
      </w:r>
      <w:r>
        <w:rPr>
          <w:rtl/>
        </w:rPr>
        <w:t xml:space="preserve">לְזִמְנִין שַׁוִּי לֵיהּ עֲטָרָה עַל רֵישֵׁיהּ דָּא תְּפִלִּין דְּרֵישָׁא, </w:t>
      </w:r>
      <w:r>
        <w:rPr>
          <w:rStyle w:val="a7"/>
          <w:rFonts w:hAnsi="Arial"/>
          <w:b w:val="0"/>
          <w:bCs w:val="0"/>
          <w:rtl/>
          <w:lang w:eastAsia="en-US"/>
        </w:rPr>
        <w:footnoteReference w:id="3151"/>
      </w:r>
      <w:r>
        <w:rPr>
          <w:rtl/>
        </w:rPr>
        <w:t xml:space="preserve">לְזִמְנִין קָשִׁיר לֵיהּ בְּאֶצְבְּעָא וְדָא תְּפִלִּין דְּיָד, </w:t>
      </w:r>
      <w:r>
        <w:rPr>
          <w:rStyle w:val="a7"/>
          <w:rFonts w:hAnsi="Arial"/>
          <w:b w:val="0"/>
          <w:bCs w:val="0"/>
          <w:rtl/>
          <w:lang w:eastAsia="en-US"/>
        </w:rPr>
        <w:footnoteReference w:id="3152"/>
      </w:r>
      <w:r>
        <w:rPr>
          <w:rtl/>
        </w:rPr>
        <w:t>לְזִמְנִין שַׁוִּי לֵיהּ תְּחוֹתֵיהּ וְאִתְקְרֵי כָּרְסַיָּא דִילֵיהּ, לְזִמְנִין עָבִיד מִינָהּ לְבוּשָׁא.</w:t>
      </w:r>
    </w:p>
    <w:p w:rsidR="002D629A" w:rsidRDefault="002D629A" w:rsidP="00B17EA9">
      <w:pPr>
        <w:pStyle w:val="NormalWeb"/>
        <w:rPr>
          <w:rtl/>
        </w:rPr>
      </w:pPr>
      <w:r>
        <w:rPr>
          <w:rtl/>
        </w:rPr>
        <w:t xml:space="preserve">וּכְעַן דְּאִיהִי מְרַחֲקָא מִן מַלְכָּא, אִתְּמַר בְּמַלְכָּא </w:t>
      </w:r>
      <w:r>
        <w:rPr>
          <w:sz w:val="20"/>
          <w:szCs w:val="20"/>
          <w:rtl/>
        </w:rPr>
        <w:t>(ישעיה נ ג)</w:t>
      </w:r>
      <w:r>
        <w:rPr>
          <w:rtl/>
        </w:rPr>
        <w:t xml:space="preserve"> אַלְבִּישׁ שָׁמַיִם קַדְרוּת, וּשְׁכִינְתָּא אָמְרַת אַל תִּרְאוּנִי שֶׁאֲנִי שְׁחַרְחֹרֶת </w:t>
      </w:r>
      <w:r>
        <w:rPr>
          <w:sz w:val="20"/>
          <w:szCs w:val="20"/>
          <w:rtl/>
        </w:rPr>
        <w:t>(שיר א ו)</w:t>
      </w:r>
      <w:r>
        <w:rPr>
          <w:rtl/>
        </w:rPr>
        <w:t xml:space="preserve">, </w:t>
      </w:r>
      <w:r>
        <w:rPr>
          <w:rStyle w:val="a7"/>
          <w:rFonts w:hAnsi="Arial"/>
          <w:b w:val="0"/>
          <w:bCs w:val="0"/>
          <w:rtl/>
          <w:lang w:eastAsia="en-US"/>
        </w:rPr>
        <w:footnoteReference w:id="3153"/>
      </w:r>
      <w:r>
        <w:rPr>
          <w:rtl/>
        </w:rPr>
        <w:t xml:space="preserve">וּבְנֵי נָשָׁא דְאִינוּן שַׁטְיָין מִסְתַּכְּלִין בִּלְבוּשָׁא, וְאָחֳרָנִין הָכִי מִסְתַּכְּלִין בְּגוּפָא, וּבְגָלוּתָא כֻלְּהוֹן שַׁטְיָין, אֲבָל פִּקְחָא חַכִּימָא אִסְתַּכַּל מִלְּגָאו, וְכַד יֵתֵי פּוּרְקָנָא אִתְפַּשַּׁט מִלְבוּשִׁין דְּקַדְרוּתָא, וְזָרִיק לוֹן עַל אוּמִין דְּעָלְמָא, הֲדָא הוּא דִכְתִיב </w:t>
      </w:r>
      <w:r>
        <w:rPr>
          <w:sz w:val="20"/>
          <w:szCs w:val="20"/>
          <w:rtl/>
        </w:rPr>
        <w:t>(שמות י כב)</w:t>
      </w:r>
      <w:r>
        <w:rPr>
          <w:rtl/>
        </w:rPr>
        <w:t xml:space="preserve"> וַיְהִי חֹשֶׁךְ אֲפֵלָה וְגוֹמֵר, וּלְכָל בְּנֵי יִשְׂרָאֵל הָיָה אוֹר בְּמוֹשְׁבוֹתָם.</w:t>
      </w:r>
    </w:p>
    <w:p w:rsidR="002D629A" w:rsidRDefault="002D629A" w:rsidP="00B17EA9">
      <w:pPr>
        <w:pStyle w:val="NormalWeb"/>
        <w:rPr>
          <w:rtl/>
        </w:rPr>
      </w:pPr>
      <w:r>
        <w:rPr>
          <w:rtl/>
        </w:rPr>
        <w:t xml:space="preserve">דִּבְהַהוּא זִמְנָא דְאִתְלַבַּשׁ בְּאִלֵּין לְבוּשִׁין, אִתְּמַר בֵּיהּ </w:t>
      </w:r>
      <w:r>
        <w:rPr>
          <w:sz w:val="20"/>
          <w:szCs w:val="20"/>
          <w:rtl/>
        </w:rPr>
        <w:t>(דברים לב כ)</w:t>
      </w:r>
      <w:r>
        <w:rPr>
          <w:rtl/>
        </w:rPr>
        <w:t xml:space="preserve"> </w:t>
      </w:r>
      <w:r>
        <w:rPr>
          <w:rStyle w:val="a7"/>
          <w:rFonts w:hAnsi="Arial"/>
          <w:b w:val="0"/>
          <w:bCs w:val="0"/>
          <w:rtl/>
          <w:lang w:eastAsia="en-US"/>
        </w:rPr>
        <w:footnoteReference w:id="3154"/>
      </w:r>
      <w:r>
        <w:rPr>
          <w:rtl/>
        </w:rPr>
        <w:t xml:space="preserve">וַיֹּאמֶר אַסְתִּירָה פָנַי מֵהֶם, לְבָתַר דְּאִתְפַּשַּׁט מִנַּיְיהוּ וַיִּירְאוּ הָעָם אֶת יהו''ה </w:t>
      </w:r>
      <w:r>
        <w:rPr>
          <w:sz w:val="20"/>
          <w:szCs w:val="20"/>
          <w:rtl/>
        </w:rPr>
        <w:t>(שמות יד לא)</w:t>
      </w:r>
      <w:r>
        <w:rPr>
          <w:rtl/>
        </w:rPr>
        <w:t xml:space="preserve">, וְכָל יְנוּקִין אַחְזִין לֵיהּ בְּאֶצְבַּע, הֲדָא הוּא דִכְתִיב </w:t>
      </w:r>
      <w:r>
        <w:rPr>
          <w:sz w:val="20"/>
          <w:szCs w:val="20"/>
          <w:rtl/>
        </w:rPr>
        <w:t>(שם טו ב)</w:t>
      </w:r>
      <w:r>
        <w:rPr>
          <w:rtl/>
        </w:rPr>
        <w:t xml:space="preserve"> זֶה אֵלִי וְאַנְוִהוּ, וּבְגָלוּתָא יָשֶׁת חֹשֶׁךְ סִתְרוֹ </w:t>
      </w:r>
      <w:r>
        <w:rPr>
          <w:sz w:val="20"/>
          <w:szCs w:val="20"/>
          <w:rtl/>
        </w:rPr>
        <w:t>(תהלים יח יב)</w:t>
      </w:r>
      <w:r>
        <w:rPr>
          <w:rtl/>
        </w:rPr>
        <w:t xml:space="preserve">, </w:t>
      </w:r>
      <w:r>
        <w:rPr>
          <w:rStyle w:val="Char"/>
          <w:rtl/>
          <w:lang w:eastAsia="en-US"/>
        </w:rPr>
        <w:t>וּבְגִין דָּא אָמַר דָּנִיֵּאל</w:t>
      </w:r>
      <w:r>
        <w:rPr>
          <w:rtl/>
        </w:rPr>
        <w:t xml:space="preserve"> </w:t>
      </w:r>
      <w:r>
        <w:rPr>
          <w:sz w:val="20"/>
          <w:szCs w:val="20"/>
          <w:rtl/>
        </w:rPr>
        <w:t>(דניאל ב כב)</w:t>
      </w:r>
      <w:r>
        <w:rPr>
          <w:rtl/>
        </w:rPr>
        <w:t xml:space="preserve">, יָדַע מָה בַחֲשׁוֹכָא וּנְהוֹרָא עִמֵּיהּ שְׁרֵיהּ, וּבְהַהוּא זִמְנָא דְאִיהוּ בַּחֲשׁוֹכָא מִתְלַבֵּשׁ בְּתֹהוּ וָבֹהוּ וּבְחֹשֶׁךְ וּתְהוֹם, כַּבְיָכוֹל אַתְוָון אִינוּן בְּפִרוּדָא וְלָא מִתְיַחֲדִין תַּמָּן, וּלְבָתַר דְּנָפִיק מִנַּיְיהוּ, וְהָיָה יהו''ה לְמֶלֶךְ עַל כָּל הָאָרֶץ בַּיּוֹם הַהוּא יִהְיֶה יהו''ה אֶחָד וּשְׁמוֹ אֶחָד </w:t>
      </w:r>
      <w:r>
        <w:rPr>
          <w:sz w:val="20"/>
          <w:szCs w:val="20"/>
          <w:rtl/>
        </w:rPr>
        <w:t>(זכריה יד ט)</w:t>
      </w:r>
      <w:r>
        <w:rPr>
          <w:rtl/>
        </w:rPr>
        <w:t>.</w:t>
      </w:r>
    </w:p>
    <w:p w:rsidR="002D629A" w:rsidRDefault="002D629A" w:rsidP="00B17EA9">
      <w:pPr>
        <w:pStyle w:val="aa"/>
        <w:rPr>
          <w:rtl/>
        </w:rPr>
      </w:pPr>
      <w:r>
        <w:rPr>
          <w:rtl/>
        </w:rPr>
        <w:t xml:space="preserve">[תיקוני זוהר - דף ס ע''א] </w:t>
      </w:r>
    </w:p>
    <w:p w:rsidR="002D629A" w:rsidRDefault="002D629A" w:rsidP="00B17EA9">
      <w:pPr>
        <w:pStyle w:val="NormalWeb"/>
        <w:rPr>
          <w:rtl/>
        </w:rPr>
      </w:pPr>
      <w:r>
        <w:rPr>
          <w:rtl/>
        </w:rPr>
        <w:t xml:space="preserve">בְּהַהוּא זִמְנָא כָּל חֵיוָן יִתְעָרוּן בְּנִגּוּנָא, וְכַנְפֵיהֶם פְּרוּדוֹת מִלְּמָעְלָה לְקַבְּלָא לֵיהּ בְּחֶדְוָה, וְכֻלְּהוֹן יְהוֹן רָצִין וְשָׁבִין בְּנִגּוּנָא, וּשְׁלִיחוּתָא לְגַבֵּיהּ, הֲדָא הוּא דִכְתִיב </w:t>
      </w:r>
      <w:r>
        <w:rPr>
          <w:sz w:val="20"/>
          <w:szCs w:val="20"/>
          <w:rtl/>
        </w:rPr>
        <w:t>(יחזקאל א יד)</w:t>
      </w:r>
      <w:r>
        <w:rPr>
          <w:rtl/>
        </w:rPr>
        <w:t xml:space="preserve"> וְהַחַיּוֹת רָצוֹא וָשׁוֹב כְּמַרְאֵה הַבָּזָק, לְבַשְּׂרָא לְיִשְׂרָאֵל, וּבְהַהוּא </w:t>
      </w:r>
      <w:r>
        <w:rPr>
          <w:sz w:val="20"/>
          <w:szCs w:val="20"/>
          <w:rtl/>
        </w:rPr>
        <w:t xml:space="preserve">(דף ס ע''א) </w:t>
      </w:r>
      <w:r>
        <w:rPr>
          <w:rtl/>
        </w:rPr>
        <w:t xml:space="preserve">זִמְנָא הַלֲלוּ אֶת יהו''ה מִן הָאָרֶץ תַּנִּינִים וְכָל תְּהוֹמוֹת וְגוֹמֵר </w:t>
      </w:r>
      <w:r>
        <w:rPr>
          <w:sz w:val="20"/>
          <w:szCs w:val="20"/>
          <w:rtl/>
        </w:rPr>
        <w:t>(תהלים קמח ז)</w:t>
      </w:r>
      <w:r>
        <w:rPr>
          <w:rtl/>
        </w:rPr>
        <w:t xml:space="preserve">, כֻּלְּהוּ לְעִילָא וּלְתַתָּא מַה דְּאִתְבְּרִי עַד יִתּוּשׁ זְעִירָא, כֻּלְּהוּ מְשַׁבְּחִין לֵיהּ, כִי מָלְאָה הָאָרֶץ דֵּעָה אֶת יהו''ה כַּמַּיִם לַיָּם מְכַסִּים </w:t>
      </w:r>
      <w:r>
        <w:rPr>
          <w:sz w:val="20"/>
          <w:szCs w:val="20"/>
          <w:rtl/>
        </w:rPr>
        <w:t>(ישעיה יא ט)</w:t>
      </w:r>
      <w:r>
        <w:rPr>
          <w:rtl/>
        </w:rPr>
        <w:t xml:space="preserve">, בְּהַהוּא זִמְנָא יִתְקַיַּים קְרָא, </w:t>
      </w:r>
      <w:r>
        <w:rPr>
          <w:sz w:val="20"/>
          <w:szCs w:val="20"/>
          <w:rtl/>
        </w:rPr>
        <w:t>(צפניה ג ט)</w:t>
      </w:r>
      <w:r>
        <w:rPr>
          <w:rtl/>
        </w:rPr>
        <w:t xml:space="preserve"> כִּי אָז אֶהְפּוֹךְ אֶל עַמִּים שָׂפָה בְרוּרָה לִקְרֹא כֻלָּם בְּשֵׁם יהו''ה וְגוֹמֵר.</w:t>
      </w:r>
    </w:p>
    <w:p w:rsidR="002D629A" w:rsidRDefault="002D629A" w:rsidP="00B17EA9">
      <w:pPr>
        <w:pStyle w:val="NormalWeb"/>
        <w:rPr>
          <w:rtl/>
        </w:rPr>
      </w:pPr>
      <w:r>
        <w:rPr>
          <w:rtl/>
        </w:rPr>
        <w:t xml:space="preserve">בְּהַהוּא זִמְנָא אִתְבְּנִי בֵּיתָא דִשְׁכִינְתָּא דְאִיהִי בֵּית הַבְּחִירָה עַל יְדָא דְקוּדְשָׁא בְּרִיךְ הוּא, דְאִתְּמַר בָּהּ </w:t>
      </w:r>
      <w:r>
        <w:rPr>
          <w:sz w:val="20"/>
          <w:szCs w:val="20"/>
          <w:rtl/>
        </w:rPr>
        <w:t>(זכריה ב ט)</w:t>
      </w:r>
      <w:r>
        <w:rPr>
          <w:rtl/>
        </w:rPr>
        <w:t xml:space="preserve"> וַאֲנִי אֶהְיֶה לָּהּ נְאֻם יהו''ה חוֹמַת אֵשׁ סָבִיב, </w:t>
      </w:r>
      <w:r>
        <w:rPr>
          <w:rStyle w:val="a7"/>
          <w:rFonts w:hAnsi="Arial"/>
          <w:b w:val="0"/>
          <w:bCs w:val="0"/>
          <w:rtl/>
          <w:lang w:eastAsia="en-US"/>
        </w:rPr>
        <w:footnoteReference w:id="3155"/>
      </w:r>
      <w:r>
        <w:rPr>
          <w:rtl/>
        </w:rPr>
        <w:t xml:space="preserve">אֲבָנֵיהָ אִינוּן אֲבָנִין טָבִין דְּאִתְבְּנִי מִינָהּ, הֲדָא הוּא דִכְתִיב </w:t>
      </w:r>
      <w:r>
        <w:rPr>
          <w:sz w:val="20"/>
          <w:szCs w:val="20"/>
          <w:rtl/>
        </w:rPr>
        <w:t>(בראשית ל ג)</w:t>
      </w:r>
      <w:r>
        <w:rPr>
          <w:rtl/>
        </w:rPr>
        <w:t xml:space="preserve"> וְאִבָּנֶה גַם אָנֹכִי מִמֶּנָּה, נְטִיעֵיה אִינוּן נְטִיעִין קַדִּישִׁין, הֲדָא הוּא דִכְתִיב </w:t>
      </w:r>
      <w:r>
        <w:rPr>
          <w:sz w:val="20"/>
          <w:szCs w:val="20"/>
          <w:rtl/>
        </w:rPr>
        <w:t>(ישעיה ס כא)</w:t>
      </w:r>
      <w:r>
        <w:rPr>
          <w:rtl/>
        </w:rPr>
        <w:t xml:space="preserve"> נֵצֶר מַטָּעַי מַעֲשֵׂה יָדַי לְהִתְפָּאֵר, וּבִנְיָינָא דְבֵי מַקְדְּשָׁא תְהֵא בְּנוּיָה מִכַּסְפָּא וְדַהֲבָא וְאַבְנִין יַקִּירִין, וּתְהֵא מְרַקְּמָא מִכָּל צִיּוּרָא דְּעוֹבָדָא דִבְּרֵאשִׁית, וַעֲלָהּ נַהֲרָא יְרוּשָׁלֵם דִּלְעִילָא, לְעִילָא מְרַקְּמָא מִכָּל מִינֵי גַוָּונִין דִּנְהוֹרָא, וְרָזָא דְמִלָּה יְרוּשָׁלַם הַבְּנוּיָה כְּעִיר שְׁחֻבְּרָה לָּהּ יַחְדָּיו </w:t>
      </w:r>
      <w:r>
        <w:rPr>
          <w:sz w:val="20"/>
          <w:szCs w:val="20"/>
          <w:rtl/>
        </w:rPr>
        <w:t>(תהלים קכב ג)</w:t>
      </w:r>
      <w:r>
        <w:rPr>
          <w:rtl/>
        </w:rPr>
        <w:t>, דְּאַנְהָרָא עַל גַּבּוֹי.</w:t>
      </w:r>
    </w:p>
    <w:p w:rsidR="002D629A" w:rsidRDefault="002D629A" w:rsidP="00B17EA9">
      <w:pPr>
        <w:pStyle w:val="aa"/>
        <w:rPr>
          <w:rtl/>
        </w:rPr>
      </w:pPr>
      <w:r>
        <w:rPr>
          <w:rtl/>
        </w:rPr>
        <w:t xml:space="preserve">[תיקוני זוהר - דף ס ע''ב] </w:t>
      </w:r>
    </w:p>
    <w:p w:rsidR="002D629A" w:rsidRDefault="002D629A" w:rsidP="00B17EA9">
      <w:pPr>
        <w:pStyle w:val="NormalWeb"/>
        <w:rPr>
          <w:rtl/>
        </w:rPr>
      </w:pPr>
      <w:r>
        <w:rPr>
          <w:rtl/>
        </w:rPr>
        <w:t xml:space="preserve">בְּהַהוּא זִמְנָא אִתְקַיַּים בְּיִשְׂרָאֵל </w:t>
      </w:r>
      <w:r>
        <w:rPr>
          <w:sz w:val="20"/>
          <w:szCs w:val="20"/>
          <w:rtl/>
        </w:rPr>
        <w:t>(ישעיה ס כ)</w:t>
      </w:r>
      <w:r>
        <w:rPr>
          <w:rtl/>
        </w:rPr>
        <w:t xml:space="preserve"> לֹא יָבֹא עוֹד שִׁמְשֵׁךְ, וִירֵחֵךְ לֹא יֵאָסֵף וְגוֹמֵר, </w:t>
      </w:r>
      <w:r>
        <w:rPr>
          <w:rStyle w:val="a7"/>
          <w:rFonts w:hAnsi="Arial"/>
          <w:b w:val="0"/>
          <w:bCs w:val="0"/>
          <w:rtl/>
          <w:lang w:eastAsia="en-US"/>
        </w:rPr>
        <w:footnoteReference w:id="3156"/>
      </w:r>
      <w:r>
        <w:rPr>
          <w:rtl/>
        </w:rPr>
        <w:t xml:space="preserve">וְאִתְעַר שִׁיר הַשִּׁירִים בְּעָלְמָא, וְאַדְלִיק נְהוֹרָא עַל זֵיתָא וּשְׁרַגָּא, דְיִשְׂרָאֵל אִינוּן פְּתִילָה, אוֹרַיְיתָא מִשְׁחָא, שְׁכִינְתָּא שְׁרַגָּא, הֲדָא הוּא דִכְתִיב </w:t>
      </w:r>
      <w:r>
        <w:rPr>
          <w:sz w:val="20"/>
          <w:szCs w:val="20"/>
          <w:rtl/>
        </w:rPr>
        <w:t>(איוב כט ג)</w:t>
      </w:r>
      <w:r>
        <w:rPr>
          <w:rtl/>
        </w:rPr>
        <w:t xml:space="preserve"> בְּהִלּוֹ נֵרוֹ עֲלֵי רֹאשִׁי, בְּהַהוּא זִמְנָא אִתְּמַר בִּשְׁכִינְתָּא, </w:t>
      </w:r>
      <w:r>
        <w:rPr>
          <w:rStyle w:val="a7"/>
          <w:rFonts w:hAnsi="Arial"/>
          <w:b w:val="0"/>
          <w:bCs w:val="0"/>
          <w:rtl/>
          <w:lang w:eastAsia="en-US"/>
        </w:rPr>
        <w:footnoteReference w:id="3157"/>
      </w:r>
      <w:r>
        <w:rPr>
          <w:rtl/>
        </w:rPr>
        <w:t xml:space="preserve">וְחָלְצָה נַעֲלוֹ </w:t>
      </w:r>
      <w:r>
        <w:rPr>
          <w:sz w:val="20"/>
          <w:szCs w:val="20"/>
          <w:rtl/>
        </w:rPr>
        <w:t>(דברים כח ט)</w:t>
      </w:r>
      <w:r>
        <w:rPr>
          <w:rtl/>
        </w:rPr>
        <w:t xml:space="preserve">, נַעֲלוֹ דְקוּדְשָׁא בְּרִיךְ הוּא, לְקַיֵּים בֵּיהּ שַׁל נְעָלֶךָ </w:t>
      </w:r>
      <w:r>
        <w:rPr>
          <w:sz w:val="20"/>
          <w:szCs w:val="20"/>
          <w:rtl/>
        </w:rPr>
        <w:t>(שמות ג ה)</w:t>
      </w:r>
      <w:r>
        <w:rPr>
          <w:rtl/>
        </w:rPr>
        <w:t xml:space="preserve">, וְאִתְיַיחֵד בִּשְׁכִינְתֵּיהּ, דְּאִתְקְרִיאַת חֲלִיצָה, וְאִיהוּ חֲלוּץ הַנָּעַל, וְלָא צְרִיכִין לְאִתְחַבְּרָא בְאֹרַח יִבּוּם לְעוֹלָם, </w:t>
      </w:r>
      <w:r>
        <w:rPr>
          <w:rStyle w:val="a7"/>
          <w:rFonts w:hAnsi="Arial"/>
          <w:b w:val="0"/>
          <w:bCs w:val="0"/>
          <w:rtl/>
          <w:lang w:eastAsia="en-US"/>
        </w:rPr>
        <w:footnoteReference w:id="3158"/>
      </w:r>
      <w:r>
        <w:rPr>
          <w:rtl/>
        </w:rPr>
        <w:t xml:space="preserve">דְּאִתְּמַר בָּהּ </w:t>
      </w:r>
      <w:r>
        <w:rPr>
          <w:sz w:val="20"/>
          <w:szCs w:val="20"/>
          <w:rtl/>
        </w:rPr>
        <w:t>(רות ד ז)</w:t>
      </w:r>
      <w:r>
        <w:rPr>
          <w:rtl/>
        </w:rPr>
        <w:t xml:space="preserve"> וְזֹאת לְפָנִים בְּיִשְׂרָאֵל וְגוֹמֵר, שָׁלַף אִישׁ נַעֲלוֹ וְנָתַן לְרֵעִהוּ, מַאי נַעֲלוֹ דָא כִּנּוּ''י, הַהוּא דְאִתְּמַר בֵּיהּ </w:t>
      </w:r>
      <w:r>
        <w:rPr>
          <w:sz w:val="20"/>
          <w:szCs w:val="20"/>
          <w:rtl/>
        </w:rPr>
        <w:t>(שיר ד יב)</w:t>
      </w:r>
      <w:r>
        <w:rPr>
          <w:rtl/>
        </w:rPr>
        <w:t xml:space="preserve"> גַּן נָעוּל, אִתְפַּתַּח הַהוּא נָעוּל מַפְתְּחָא, בְּגִין </w:t>
      </w:r>
      <w:r>
        <w:rPr>
          <w:sz w:val="20"/>
          <w:szCs w:val="20"/>
          <w:rtl/>
        </w:rPr>
        <w:t xml:space="preserve">(דף ס ע''ב) </w:t>
      </w:r>
      <w:r>
        <w:rPr>
          <w:rtl/>
        </w:rPr>
        <w:t xml:space="preserve">דְּלַפֶּתַח חַטָּאת רוֹבֵץ </w:t>
      </w:r>
      <w:r>
        <w:rPr>
          <w:sz w:val="20"/>
          <w:szCs w:val="20"/>
          <w:rtl/>
        </w:rPr>
        <w:t>(בראשית ד ז)</w:t>
      </w:r>
      <w:r>
        <w:rPr>
          <w:rtl/>
        </w:rPr>
        <w:t xml:space="preserve">, אִתְעַבַּר הַהוּא חַטָּאת וְאִתְפַּתַּח תַּרְעָא, הֲדָא הוּא דִכְתִיב </w:t>
      </w:r>
      <w:r>
        <w:rPr>
          <w:sz w:val="20"/>
          <w:szCs w:val="20"/>
          <w:rtl/>
        </w:rPr>
        <w:t>(תהלים קיח כ)</w:t>
      </w:r>
      <w:r>
        <w:rPr>
          <w:rtl/>
        </w:rPr>
        <w:t xml:space="preserve"> זֶה הַשַּׁעַר לַיהו''ה, וְיֶחזוּן תַּמָּן שְׁכִינְתָּא, דְאִתְּמַר בָּהּ וְזֹאת לְפָנִים בְּיִשְׂרָאֵל.</w:t>
      </w:r>
    </w:p>
    <w:p w:rsidR="002D629A" w:rsidRDefault="002D629A" w:rsidP="00B17EA9">
      <w:pPr>
        <w:pStyle w:val="NormalWeb"/>
        <w:rPr>
          <w:rtl/>
        </w:rPr>
      </w:pPr>
      <w:r>
        <w:rPr>
          <w:rtl/>
        </w:rPr>
        <w:t xml:space="preserve">דָּבָר אַחֵר וְזֹאת לְפָנִים בְּיִשְׂרָאֵל עַל הַגְּאוּלָה וְעַל הַתְּמוּרָה, </w:t>
      </w:r>
      <w:r>
        <w:rPr>
          <w:rStyle w:val="a7"/>
          <w:rFonts w:hAnsi="Arial"/>
          <w:b w:val="0"/>
          <w:bCs w:val="0"/>
          <w:rtl/>
          <w:lang w:eastAsia="en-US"/>
        </w:rPr>
        <w:footnoteReference w:id="3159"/>
      </w:r>
      <w:r>
        <w:rPr>
          <w:rtl/>
        </w:rPr>
        <w:t xml:space="preserve">עַל הַגְּאוּלָה דָא שְׁכִינְתָּא עִלָּאָה ה' עִלָּאָה, וְעַל הַתְּמוּרָה דָא שְׁכִינְתָּא תַּתָּאָה, דְאִיהִי תְּמוּרָה </w:t>
      </w:r>
      <w:r>
        <w:rPr>
          <w:rStyle w:val="a7"/>
          <w:rFonts w:hAnsi="Arial"/>
          <w:b w:val="0"/>
          <w:bCs w:val="0"/>
          <w:rtl/>
          <w:lang w:eastAsia="en-US"/>
        </w:rPr>
        <w:footnoteReference w:id="3160"/>
      </w:r>
      <w:r>
        <w:rPr>
          <w:rtl/>
        </w:rPr>
        <w:t xml:space="preserve">בְּהַהוּא דְאִתְּמַר בֵּיהּ אַל תְּמִירֵנִי בּוֹ, וְאִינוּן ה''ה, וְזֹאת </w:t>
      </w:r>
      <w:r>
        <w:rPr>
          <w:rStyle w:val="a7"/>
          <w:rFonts w:hAnsi="Arial"/>
          <w:b w:val="0"/>
          <w:bCs w:val="0"/>
          <w:rtl/>
          <w:lang w:eastAsia="en-US"/>
        </w:rPr>
        <w:footnoteReference w:id="3161"/>
      </w:r>
      <w:r>
        <w:rPr>
          <w:rtl/>
        </w:rPr>
        <w:t>לְפָנִים בְּיִשְׂרָאֵל אָב וּבֵן, וּבְגִין דָּא לְתַתָּא אִיהוּ תְּמוּרוֹת אַתְוָון יהו''ה בְּאדנ''י, אֲבָל לְעָלְמָא דְאָתֵי לֵית תְּמוּרָה, כְּמָה דְאוּקְמוּהוּ מָארֵי מַתְנִיתִין לֹא כְּשֶׁאֲנִי נִכְתָּב אֲנִי נִקְרָא, בָעוֹלָם הַזֶּה נִכְתָּב בְּיהו''ה וְנִקְרָא בְּאדנ''י, וּבָעוֹלָם הַבָּא נִכְתָּב בְּיהו''ה וְנִקְרָא בְּיהו''ה.</w:t>
      </w:r>
    </w:p>
    <w:p w:rsidR="002D629A" w:rsidRDefault="002D629A" w:rsidP="00B17EA9">
      <w:pPr>
        <w:pStyle w:val="NormalWeb"/>
        <w:rPr>
          <w:rtl/>
        </w:rPr>
      </w:pPr>
      <w:r>
        <w:rPr>
          <w:rtl/>
        </w:rPr>
        <w:t xml:space="preserve">וְעוֹד שָׁלַף אִישׁ נַעֲלוֹ, דָּא גוּפָא דְאִיהִי אִתְּתָא כְּלִי דִילֵיהּ, וְדָא מטטרו''ן, וְנָתַן לְרֵעִהוּ, </w:t>
      </w:r>
      <w:r>
        <w:rPr>
          <w:rStyle w:val="a7"/>
          <w:rFonts w:hAnsi="Arial"/>
          <w:b w:val="0"/>
          <w:bCs w:val="0"/>
          <w:rtl/>
          <w:lang w:eastAsia="en-US"/>
        </w:rPr>
        <w:footnoteReference w:id="3162"/>
      </w:r>
      <w:r>
        <w:rPr>
          <w:rtl/>
        </w:rPr>
        <w:t xml:space="preserve">דִּלְזִמְנִין אִשְׁתַּכַּח בֵּיהּ עַמּוּדָא דְאֶמְצָעִיתָא, </w:t>
      </w:r>
      <w:r>
        <w:rPr>
          <w:rStyle w:val="a7"/>
          <w:rFonts w:hAnsi="Arial"/>
          <w:b w:val="0"/>
          <w:bCs w:val="0"/>
          <w:rtl/>
          <w:lang w:eastAsia="en-US"/>
        </w:rPr>
        <w:footnoteReference w:id="3163"/>
      </w:r>
      <w:r>
        <w:rPr>
          <w:rtl/>
        </w:rPr>
        <w:t xml:space="preserve">וּלְזִמְנִין צַדִּיק, וּלְזִמְנִין שְׁכִינְתָּא עִלָּאָה אִיהִי תְעוּדָה בֵּיהּ, וּלְזִמְנִין שְׁכִינְתָּא תַּתָּאָה הִיא תְּמוּרָה בֵּיהּ, </w:t>
      </w:r>
      <w:r>
        <w:rPr>
          <w:rStyle w:val="a7"/>
          <w:rFonts w:hAnsi="Arial"/>
          <w:b w:val="0"/>
          <w:bCs w:val="0"/>
          <w:rtl/>
          <w:lang w:eastAsia="en-US"/>
        </w:rPr>
        <w:footnoteReference w:id="3164"/>
      </w:r>
      <w:r>
        <w:rPr>
          <w:rtl/>
        </w:rPr>
        <w:t xml:space="preserve">וְדָא אִיהוּ גַּן נָעוּל, וּבֵיהּ מַעְיָן חָתוּם, דְּאִיהִי שְׁכִינְתָּא, </w:t>
      </w:r>
      <w:r>
        <w:rPr>
          <w:rStyle w:val="a7"/>
          <w:rFonts w:hAnsi="Arial"/>
          <w:b w:val="0"/>
          <w:bCs w:val="0"/>
          <w:rtl/>
          <w:lang w:eastAsia="en-US"/>
        </w:rPr>
        <w:footnoteReference w:id="3165"/>
      </w:r>
      <w:r>
        <w:rPr>
          <w:rtl/>
        </w:rPr>
        <w:t>י' כְּלִילָא מֵעֶשֶׂר סְפִירָן, י' מִן מיטטרו''ן.</w:t>
      </w:r>
    </w:p>
    <w:p w:rsidR="002D629A" w:rsidRDefault="002D629A" w:rsidP="00B17EA9">
      <w:pPr>
        <w:pStyle w:val="NormalWeb"/>
        <w:rPr>
          <w:rtl/>
        </w:rPr>
      </w:pPr>
      <w:r>
        <w:rPr>
          <w:rtl/>
        </w:rPr>
        <w:t xml:space="preserve">כָּל סְפִירָן פּוֹעֲלִים בֵּיהּ בְּהַאי עָלְמָא שְׁפָלָה, וּבֵיהּ יִבּוּם וַחֲלִיצָה וְגֵט פִּטּוּרִין, וְכָל אַתְוָון בֵּיהּ אִינוּן תְּמוּרֹת, כְּגוֹן מצפ''ץ, </w:t>
      </w:r>
      <w:r>
        <w:rPr>
          <w:rStyle w:val="a7"/>
          <w:rFonts w:hAnsi="Arial"/>
          <w:b w:val="0"/>
          <w:bCs w:val="0"/>
          <w:rtl/>
          <w:lang w:eastAsia="en-US"/>
        </w:rPr>
        <w:footnoteReference w:id="3166"/>
      </w:r>
      <w:r>
        <w:rPr>
          <w:rtl/>
        </w:rPr>
        <w:t>וְאִיהוּ נְעִילַת דֶּלֶת בִּפְנֵי לווִֹין, בְּיּוֹם הַכִּפּוּרִים דְּאִיהִי עָלְמָא דְאָתֵי, לָא אִתְקְרֵי יהו''ה בְּאדנ''י דְּאִיהִי דִין, וְאִיהוּ נַעַל, נְעִילַת דֶּלֶת, וְאֵינוֹ נוֹעִל הַדֶּלֶת, אֶלָּא אִיהִי פְּתִיחָא לְקַבֵּל שָׁבִים, וּבְגִין דָּא יוֹם הַכִּפּוּרִים אָסוּר בִּנְעִילַת הַסַּנְדָּל, דְּלֵית יִחוּדָא בֵּיהּ לְקוּדְשָׁא בְּרִיךְ הוּא וּשְׁכִינְתָּא, דִּלְזִמְנִין אִיהִי שְׁכִינְתָּא, וְאִסְתַּלַּק קוּדְשָׁא בְּרִיךְ הוּא, וּלְזִמְנִין קוּדְשָׁא בְּרִיךְ הוּא, וְאִסְתַּלַּק שְׁכִינְתָּא.</w:t>
      </w:r>
    </w:p>
    <w:p w:rsidR="002D629A" w:rsidRDefault="002D629A" w:rsidP="00B17EA9">
      <w:pPr>
        <w:pStyle w:val="aa"/>
        <w:rPr>
          <w:rtl/>
        </w:rPr>
      </w:pPr>
      <w:r>
        <w:rPr>
          <w:rtl/>
        </w:rPr>
        <w:t xml:space="preserve">[תיקוני זוהר - דף סא ע''א] </w:t>
      </w:r>
    </w:p>
    <w:p w:rsidR="002D629A" w:rsidRDefault="002D629A" w:rsidP="00B17EA9">
      <w:pPr>
        <w:pStyle w:val="NormalWeb"/>
        <w:rPr>
          <w:rtl/>
        </w:rPr>
      </w:pPr>
      <w:r>
        <w:rPr>
          <w:sz w:val="20"/>
          <w:szCs w:val="20"/>
          <w:rtl/>
        </w:rPr>
        <w:t xml:space="preserve">(דף סא ע''א) </w:t>
      </w:r>
      <w:r>
        <w:rPr>
          <w:rtl/>
        </w:rPr>
        <w:t xml:space="preserve">וּבְגִין דָּא עוֹנַת תַּלְמִידֵי חֲכָמִים בְּשַׁבָּת, דִּבְיוֹמִין דְּחוֹל דְּשַׁלִּיט מטטרו''ן אִתְּמַר </w:t>
      </w:r>
      <w:r>
        <w:rPr>
          <w:sz w:val="20"/>
          <w:szCs w:val="20"/>
          <w:rtl/>
        </w:rPr>
        <w:t>(יחזקאל מד ב)</w:t>
      </w:r>
      <w:r>
        <w:rPr>
          <w:rtl/>
        </w:rPr>
        <w:t xml:space="preserve"> יִהְיֶה סָגוּר שֵׁשֶׁת יְמֵי הַמַּעֲשֶׂה, </w:t>
      </w:r>
      <w:r>
        <w:rPr>
          <w:rStyle w:val="a7"/>
          <w:rFonts w:hAnsi="Arial"/>
          <w:b w:val="0"/>
          <w:bCs w:val="0"/>
          <w:rtl/>
          <w:lang w:eastAsia="en-US"/>
        </w:rPr>
        <w:footnoteReference w:id="3167"/>
      </w:r>
      <w:r>
        <w:rPr>
          <w:rtl/>
        </w:rPr>
        <w:t xml:space="preserve">בֵּיהּ אִיהִי סְגִירָא תַרְעָא, וּבְיוֹם הַשַּׁבָּת יִפָּתֵחַ, יִפָּתֵחַ תַּרְעָא, וְתַפִּיק מִינָהּ שְׁכִינְתָּא לְאִתְיַיחֲדָא עִם בַּעְלָהּ, </w:t>
      </w:r>
      <w:r>
        <w:rPr>
          <w:rStyle w:val="a7"/>
          <w:rFonts w:hAnsi="Arial"/>
          <w:b w:val="0"/>
          <w:bCs w:val="0"/>
          <w:rtl/>
          <w:lang w:eastAsia="en-US"/>
        </w:rPr>
        <w:footnoteReference w:id="3168"/>
      </w:r>
      <w:r>
        <w:rPr>
          <w:rtl/>
        </w:rPr>
        <w:t xml:space="preserve">וּבְהַהוּא זִמְנָא אִתְקְרִיאַת כּוֹס מָלֵא, הֲדָא הוּא דִכְתִיב </w:t>
      </w:r>
      <w:r>
        <w:rPr>
          <w:sz w:val="20"/>
          <w:szCs w:val="20"/>
          <w:rtl/>
        </w:rPr>
        <w:t>(דברים לג כג)</w:t>
      </w:r>
      <w:r>
        <w:rPr>
          <w:rtl/>
        </w:rPr>
        <w:t xml:space="preserve"> וּמָלֵא בִּרְכַּת יהו''ה יָם וְדָרוֹם יְרָשָׁה, דִּבְיוֹמִין דְּחוֹל אִתְקְרִיאַת יַבָּשָׁה בְּמטטרו''ן, הֲדָא הוּא דִכְתִיב </w:t>
      </w:r>
      <w:r>
        <w:rPr>
          <w:sz w:val="20"/>
          <w:szCs w:val="20"/>
          <w:rtl/>
        </w:rPr>
        <w:t>(בראשית א ט)</w:t>
      </w:r>
      <w:r>
        <w:rPr>
          <w:rtl/>
        </w:rPr>
        <w:t xml:space="preserve"> וַיֹּאמֶר אלהי''ם יִקָּווּ הַמַּיִם מִתַּחַת הַשָּׁמַיִם אֶל מָקוֹם אֶחָד וְתֵרָאֶה הַיַּבָּשָׁה.</w:t>
      </w:r>
    </w:p>
    <w:p w:rsidR="002D629A" w:rsidRDefault="002D629A" w:rsidP="00B17EA9">
      <w:pPr>
        <w:pStyle w:val="NormalWeb"/>
        <w:rPr>
          <w:rtl/>
        </w:rPr>
      </w:pPr>
      <w:r>
        <w:rPr>
          <w:rtl/>
        </w:rPr>
        <w:t xml:space="preserve">וּבְזִמְנָא דְאִתְמְלִיאַת אִתְּמַר עֲלָהּ </w:t>
      </w:r>
      <w:r>
        <w:rPr>
          <w:sz w:val="20"/>
          <w:szCs w:val="20"/>
          <w:rtl/>
        </w:rPr>
        <w:t>(תהלים קטז יג)</w:t>
      </w:r>
      <w:r>
        <w:rPr>
          <w:rtl/>
        </w:rPr>
        <w:t xml:space="preserve"> כּוֹס יְשׁוּעוֹת אֶשָּׂא וּבְשֵׁם יהו''ה אֶקְרָא, כּוֹ''ס אִיהִי אלהי''ם בְּחֻשְׁבַּן, </w:t>
      </w:r>
      <w:r>
        <w:rPr>
          <w:rStyle w:val="a7"/>
          <w:rFonts w:hAnsi="Arial"/>
          <w:b w:val="0"/>
          <w:bCs w:val="0"/>
          <w:rtl/>
          <w:lang w:eastAsia="en-US"/>
        </w:rPr>
        <w:footnoteReference w:id="3169"/>
      </w:r>
      <w:r>
        <w:rPr>
          <w:rtl/>
        </w:rPr>
        <w:t>דְּסָלִיק לְחֻשְׁבַּן כִּנּוּ''י, בְּמַאי אִתְמְלִיאַת בְּאָת י', וְאִתְעֲבִידַת כּוֹסִי רְוָיָה, וּבְגִין דָּא כּוֹס צָרִיךְ עֲשָׂרָה דְבָרִים וכו'.</w:t>
      </w:r>
    </w:p>
    <w:p w:rsidR="002D629A" w:rsidRDefault="002D629A" w:rsidP="00B17EA9">
      <w:pPr>
        <w:pStyle w:val="aa"/>
        <w:rPr>
          <w:rtl/>
        </w:rPr>
      </w:pPr>
      <w:r>
        <w:rPr>
          <w:rtl/>
        </w:rPr>
        <w:t xml:space="preserve">[בדפוס אמסטרדם ומנטבה הוא הגהה בדף נז ע"א] </w:t>
      </w:r>
    </w:p>
    <w:p w:rsidR="002D629A" w:rsidRDefault="002D629A" w:rsidP="00B17EA9">
      <w:pPr>
        <w:pStyle w:val="aa"/>
        <w:rPr>
          <w:rtl/>
        </w:rPr>
      </w:pPr>
      <w:r>
        <w:rPr>
          <w:rtl/>
        </w:rPr>
        <w:t xml:space="preserve">[תיקוני זוהר - הגהה דף נז ע''א, הגהה דף נז ע''ב] </w:t>
      </w:r>
    </w:p>
    <w:p w:rsidR="002D629A" w:rsidRDefault="002D629A" w:rsidP="00B17EA9">
      <w:pPr>
        <w:pStyle w:val="NormalWeb"/>
        <w:rPr>
          <w:rtl/>
        </w:rPr>
      </w:pPr>
      <w:r>
        <w:rPr>
          <w:sz w:val="20"/>
          <w:szCs w:val="20"/>
          <w:rtl/>
        </w:rPr>
        <w:t xml:space="preserve">(הגהה דף נז ע''א) </w:t>
      </w:r>
      <w:r>
        <w:rPr>
          <w:rtl/>
        </w:rPr>
        <w:t xml:space="preserve">קָם רַבִּי שִׁמְעוֹן וְאָמַר, אִם תַּחֲנֶה עָלַי מַחֲנֶה לֹא יִירָא לִבִּי, אִם תָּקוּם עָלַי מִלְחָמָה בְּזֹאת אֲנִי בוֹטֵחַ </w:t>
      </w:r>
      <w:r>
        <w:rPr>
          <w:sz w:val="20"/>
          <w:szCs w:val="20"/>
          <w:rtl/>
        </w:rPr>
        <w:t>(תהלים כז ג)</w:t>
      </w:r>
      <w:r>
        <w:rPr>
          <w:rtl/>
        </w:rPr>
        <w:t xml:space="preserve">, בְּזֹאת בְּוַדַּאי אֲנָא בָּעִינָא לְאִתְתַּקְּפָא, בְּהַאי קְרָא דְּדָוִד, קוּם דָּוִד הָא זֹאת דִּילָךְ לְגַבָּן, אַהֲרֹן כַּהֲנָא קוּם מִשִּׁנְּתָךְ הָא זֹאת דִּילָךְ לְגַבָּן, דְּאִתְּמַר בָּהּ </w:t>
      </w:r>
      <w:r>
        <w:rPr>
          <w:sz w:val="20"/>
          <w:szCs w:val="20"/>
          <w:rtl/>
        </w:rPr>
        <w:t>(ויקרא טו ג)</w:t>
      </w:r>
      <w:r>
        <w:rPr>
          <w:rtl/>
        </w:rPr>
        <w:t xml:space="preserve"> בְּזֹאת יָבֹא אַהֲרֹן אֶל הַקֹּדֶשׁ, קוּם רַעְיָא מְהֵימְנָא לְאַגָּנָא עַל זֹאת דִּילָךְ, דְּאִתְּמַר בָּהּ </w:t>
      </w:r>
      <w:r>
        <w:rPr>
          <w:sz w:val="20"/>
          <w:szCs w:val="20"/>
          <w:rtl/>
        </w:rPr>
        <w:t>(דברים ד מד)</w:t>
      </w:r>
      <w:r>
        <w:rPr>
          <w:rtl/>
        </w:rPr>
        <w:t xml:space="preserve"> וְזֹאת הַתּוֹרָה אֲשֶׁר שָׂם מֹשֶׁה, דְהָא כַּמָּה מָארֵי מַגִּיחֵי קְרָבָא קָא אַתְיָין לְאַגָּחָא עֲלָהּ, קוּמוּ נְבִיאֵי קְשׁוֹט דְּהָא </w:t>
      </w:r>
      <w:r>
        <w:rPr>
          <w:sz w:val="20"/>
          <w:szCs w:val="20"/>
          <w:rtl/>
        </w:rPr>
        <w:t xml:space="preserve">(הגהה דף נז ע''ב) </w:t>
      </w:r>
      <w:r>
        <w:rPr>
          <w:rtl/>
        </w:rPr>
        <w:t xml:space="preserve">זֹאת דִּילְכוֹן לְגַבָּן, דְּקָא הֲוִיתוּן מִתְנַבְּאִין, עֲלָהּ אִתְּמַר </w:t>
      </w:r>
      <w:r>
        <w:rPr>
          <w:sz w:val="20"/>
          <w:szCs w:val="20"/>
          <w:rtl/>
        </w:rPr>
        <w:t>(ירמיה ט כב)</w:t>
      </w:r>
      <w:r>
        <w:rPr>
          <w:rtl/>
        </w:rPr>
        <w:t xml:space="preserve"> אַל יִתְהַלֵּל חָכָם בְּחָכְמָתוֹ וְאַל יִתְהַלֵּל הַגִּבּוֹר בִּגְבוּרָתוֹ וְגוֹמֵר כִּי אִם בְּזֹאת, זֹאת אָשִׁיב אֶל לִבִּי עַל כֵּן אוֹחִיל לוֹ </w:t>
      </w:r>
      <w:r>
        <w:rPr>
          <w:sz w:val="20"/>
          <w:szCs w:val="20"/>
          <w:rtl/>
        </w:rPr>
        <w:t>(איכה ג כא)</w:t>
      </w:r>
      <w:r>
        <w:rPr>
          <w:rtl/>
        </w:rPr>
        <w:t>.</w:t>
      </w:r>
    </w:p>
    <w:p w:rsidR="002D629A" w:rsidRDefault="002D629A" w:rsidP="00B17EA9">
      <w:pPr>
        <w:pStyle w:val="NormalWeb"/>
        <w:rPr>
          <w:rtl/>
        </w:rPr>
      </w:pPr>
      <w:r>
        <w:rPr>
          <w:rtl/>
        </w:rPr>
        <w:t xml:space="preserve">קוּמוּ אֲבָהָן מָארֵי דִבְרִית, דְּהָא זֹאת הַבְּרִית דִּלְכוֹן בֵּינָנָא, דְאִתְּמַר בָּהּ </w:t>
      </w:r>
      <w:r>
        <w:rPr>
          <w:sz w:val="20"/>
          <w:szCs w:val="20"/>
          <w:rtl/>
        </w:rPr>
        <w:t>(ויקרא כו מד)</w:t>
      </w:r>
      <w:r>
        <w:rPr>
          <w:rtl/>
        </w:rPr>
        <w:t xml:space="preserve"> וְאַף גַּם זֹאת בִּהְיוֹתָם בְּאֶרֶץ אוֹיְבֵיהֶם וְגוֹמֵר, וּבְגִינָהּ אָמַר קוּדְשָׁא בְּרִיךְ הוּא </w:t>
      </w:r>
      <w:r>
        <w:rPr>
          <w:sz w:val="20"/>
          <w:szCs w:val="20"/>
          <w:rtl/>
        </w:rPr>
        <w:t>(שם יב)</w:t>
      </w:r>
      <w:r>
        <w:rPr>
          <w:rtl/>
        </w:rPr>
        <w:t xml:space="preserve"> וְזָכַרְתִּי אֶת בְּרִיתִי יַעֲקוֹב, </w:t>
      </w:r>
      <w:r>
        <w:rPr>
          <w:rStyle w:val="a7"/>
          <w:rFonts w:hAnsi="Arial"/>
          <w:b w:val="0"/>
          <w:bCs w:val="0"/>
          <w:rtl/>
          <w:lang w:eastAsia="en-US"/>
        </w:rPr>
        <w:footnoteReference w:id="3170"/>
      </w:r>
      <w:r>
        <w:rPr>
          <w:rtl/>
        </w:rPr>
        <w:t xml:space="preserve">קוּם שְׁלֹמֹה מַלְכָּא </w:t>
      </w:r>
      <w:r>
        <w:rPr>
          <w:rStyle w:val="a7"/>
          <w:rFonts w:hAnsi="Arial"/>
          <w:b w:val="0"/>
          <w:bCs w:val="0"/>
          <w:rtl/>
          <w:lang w:eastAsia="en-US"/>
        </w:rPr>
        <w:footnoteReference w:id="3171"/>
      </w:r>
      <w:r>
        <w:rPr>
          <w:rtl/>
        </w:rPr>
        <w:t xml:space="preserve">דְאַנְתְּ שְׁלָם דִּילָהּ, קוּמוּ לְמֶהֱוִי עִזֶר לְגַבָּהּ בְּהַאי קְרָבָא, </w:t>
      </w:r>
      <w:r>
        <w:rPr>
          <w:rStyle w:val="a7"/>
          <w:rFonts w:hAnsi="Arial"/>
          <w:b w:val="0"/>
          <w:bCs w:val="0"/>
          <w:rtl/>
          <w:lang w:eastAsia="en-US"/>
        </w:rPr>
        <w:footnoteReference w:id="3172"/>
      </w:r>
      <w:r>
        <w:rPr>
          <w:rtl/>
        </w:rPr>
        <w:t xml:space="preserve">נַעַר נַעַר דְּאַנְתְּ מָארֵי מַפְתְּחָן דְּאוֹצְרִין דְּמַלְכָּא, דְכָל מָאנֵי קְרָבָא דְמַלְכָּא בְּהוֹן, קוּם אַפְתַּח הֵיכָלָא, אדנ''י שְׂפָתַי תִּפְתָּח, וּפִי יַגִּיד </w:t>
      </w:r>
      <w:r>
        <w:rPr>
          <w:rStyle w:val="a7"/>
          <w:rFonts w:hAnsi="Arial"/>
          <w:b w:val="0"/>
          <w:bCs w:val="0"/>
          <w:rtl/>
          <w:lang w:eastAsia="en-US"/>
        </w:rPr>
        <w:footnoteReference w:id="3173"/>
      </w:r>
      <w:r>
        <w:rPr>
          <w:rtl/>
        </w:rPr>
        <w:t xml:space="preserve">שְׁבָחוֹי דְּמַלְכָּא עִלָּאָה, דְּהָא הֵיכָלָא </w:t>
      </w:r>
      <w:r>
        <w:rPr>
          <w:sz w:val="20"/>
          <w:szCs w:val="20"/>
          <w:rtl/>
        </w:rPr>
        <w:t>(עלאה)</w:t>
      </w:r>
      <w:r>
        <w:rPr>
          <w:rtl/>
        </w:rPr>
        <w:t xml:space="preserve"> דִילֵיהּ אִיהוּ, טוֹל רְשׁוּ וְאַפְתַּח הֵיכָלָא בְּגִין יְקָרָא דִשְׁכִינְתָּא.</w:t>
      </w:r>
    </w:p>
    <w:p w:rsidR="002D629A" w:rsidRDefault="002D629A" w:rsidP="00B17EA9">
      <w:pPr>
        <w:pStyle w:val="NormalWeb"/>
        <w:rPr>
          <w:rtl/>
        </w:rPr>
      </w:pPr>
      <w:r>
        <w:rPr>
          <w:rtl/>
        </w:rPr>
        <w:t xml:space="preserve">פָּתַח וְאָמַר זַרְקָ''א מַקַּ''ף שׁוֹפָ''ר הוֹלֵ''ךְ סֶגוֹלְתָּ''א, אַדְהָכִי הָא עוּלֵימָא קָא נָחִית וְאָמַר, רַעְיָא מְהֵימְנָא אַנְתְּ אִיהוּ </w:t>
      </w:r>
      <w:r>
        <w:rPr>
          <w:rStyle w:val="a7"/>
          <w:rFonts w:hAnsi="Arial"/>
          <w:b w:val="0"/>
          <w:bCs w:val="0"/>
          <w:rtl/>
          <w:lang w:eastAsia="en-US"/>
        </w:rPr>
        <w:footnoteReference w:id="3174"/>
      </w:r>
      <w:r>
        <w:rPr>
          <w:rtl/>
        </w:rPr>
        <w:t xml:space="preserve">מָארֵי דְקִירְטָא, דְּרַעְיָא דְאָזִיל בְּעָאנָא, בְּגִין דּוּבִּין זְאֵבִין וְחֵיוָון בִּישִׁין דְּקָא אַתְיָין לְמֵיכַל עָאנָא. אָרְחָא דִילֵיהּ לְמֶהֱוִי קִירְטָא בַהֲדֵיהּ לְזַרְקָא אַבְנִין לְגַבַּיְיהוּ, לְמֶהֱוֵי עָאנָא נְטִיר מֵחֵיוָן בִּישָׁן קוּם נָטִיל קִירְטָא בִּידָךְ, </w:t>
      </w:r>
      <w:r>
        <w:rPr>
          <w:rStyle w:val="a7"/>
          <w:rFonts w:hAnsi="Arial"/>
          <w:b w:val="0"/>
          <w:bCs w:val="0"/>
          <w:rtl/>
          <w:lang w:eastAsia="en-US"/>
        </w:rPr>
        <w:footnoteReference w:id="3175"/>
      </w:r>
      <w:r>
        <w:rPr>
          <w:rtl/>
        </w:rPr>
        <w:t xml:space="preserve">פָּתַח </w:t>
      </w:r>
      <w:r>
        <w:rPr>
          <w:rStyle w:val="a7"/>
          <w:rFonts w:hAnsi="Arial"/>
          <w:b w:val="0"/>
          <w:bCs w:val="0"/>
          <w:rtl/>
          <w:lang w:eastAsia="en-US"/>
        </w:rPr>
        <w:footnoteReference w:id="3176"/>
      </w:r>
      <w:r>
        <w:rPr>
          <w:rtl/>
        </w:rPr>
        <w:t xml:space="preserve">וְאָמַר זַרְקָ''א, שְׁכִינְתָּא קַדִּישָׁא, אַנְתְּ הוּא קִירְטָא קַדִּישָׁא דְקוּדְשָׁא בְּרִיךְ הוּא דְבָּךְ, אִזְדַּרִיקוּ תְּלַת אַבְנִין דְּאִינוּן סֶגוֹלְתָּ''א, תְּלַת אַבְנִין יַקִּירִין דְּאִינוּן תְּלַת אֲבָהָן, וְאַנְתְּ אֶבֶן יְקָרָא עַל כֻּלְּהוּ, תַּגָּא בְרֵישָׁא דְכֻלְּהוּ, עֲלָךְ אִתְּמַר </w:t>
      </w:r>
      <w:r>
        <w:rPr>
          <w:sz w:val="20"/>
          <w:szCs w:val="20"/>
          <w:rtl/>
        </w:rPr>
        <w:t>(תהלים קיח כב)</w:t>
      </w:r>
      <w:r>
        <w:rPr>
          <w:rtl/>
        </w:rPr>
        <w:t xml:space="preserve"> </w:t>
      </w:r>
      <w:r>
        <w:rPr>
          <w:rStyle w:val="a7"/>
          <w:rFonts w:hAnsi="Arial"/>
          <w:b w:val="0"/>
          <w:bCs w:val="0"/>
          <w:rtl/>
          <w:lang w:eastAsia="en-US"/>
        </w:rPr>
        <w:footnoteReference w:id="3177"/>
      </w:r>
      <w:r>
        <w:rPr>
          <w:rtl/>
        </w:rPr>
        <w:t xml:space="preserve">אֶבֶן מָאֲסוּ הַבּוֹנִים הָיְתָה לְרֹאשׁ פִּנָּה, וְהָאֶבֶן הַזֹּאת אֲשֶׁר שַׂמְתִּי מַצֵּבָה יִהְיֶה בֵּית אלהי''ם </w:t>
      </w:r>
      <w:r>
        <w:rPr>
          <w:sz w:val="20"/>
          <w:szCs w:val="20"/>
          <w:rtl/>
        </w:rPr>
        <w:t>(בראשית כח כב)</w:t>
      </w:r>
      <w:r>
        <w:rPr>
          <w:rtl/>
        </w:rPr>
        <w:t xml:space="preserve">, </w:t>
      </w:r>
      <w:r>
        <w:rPr>
          <w:rStyle w:val="Char"/>
          <w:rtl/>
          <w:lang w:eastAsia="en-US"/>
        </w:rPr>
        <w:t>אַנְתְּ הוּא דְאִתְּמַר עֲלָךְ</w:t>
      </w:r>
      <w:r>
        <w:rPr>
          <w:rtl/>
        </w:rPr>
        <w:t xml:space="preserve"> </w:t>
      </w:r>
      <w:r>
        <w:rPr>
          <w:sz w:val="20"/>
          <w:szCs w:val="20"/>
          <w:rtl/>
        </w:rPr>
        <w:t>(דניאל ב לה)</w:t>
      </w:r>
      <w:r>
        <w:rPr>
          <w:rtl/>
        </w:rPr>
        <w:t xml:space="preserve"> אַבְנָא דִי מְחָת לְצַלְמָא וַהֲוַת לְטוּר רַב וּמְלָאת כָּל אַרְעָא.</w:t>
      </w:r>
    </w:p>
    <w:p w:rsidR="002D629A" w:rsidRDefault="002D629A" w:rsidP="00B17EA9">
      <w:pPr>
        <w:pStyle w:val="aa"/>
        <w:rPr>
          <w:rtl/>
        </w:rPr>
      </w:pPr>
      <w:r>
        <w:rPr>
          <w:rtl/>
        </w:rPr>
        <w:t xml:space="preserve">[תיקוני זוהר - הגהה דף נח ע''א] </w:t>
      </w:r>
    </w:p>
    <w:p w:rsidR="002D629A" w:rsidRDefault="002D629A" w:rsidP="00B17EA9">
      <w:pPr>
        <w:pStyle w:val="NormalWeb"/>
        <w:rPr>
          <w:rtl/>
        </w:rPr>
      </w:pPr>
      <w:r>
        <w:rPr>
          <w:rtl/>
        </w:rPr>
        <w:t xml:space="preserve">וְאִיהִי תַּגָּא כְּגַוְונָא דָא </w:t>
      </w:r>
      <w:r>
        <w:rPr>
          <w:rFonts w:cs="Arial"/>
        </w:rPr>
        <w:t>∞</w:t>
      </w:r>
      <w:r>
        <w:rPr>
          <w:rtl/>
        </w:rPr>
        <w:t xml:space="preserve"> בְּרֵישָׁא דְחוּטָא דְזַרְקָ''א, אַבְנָא כְּלִילָא וּמִתְעַטְּרָא </w:t>
      </w:r>
      <w:r>
        <w:rPr>
          <w:sz w:val="20"/>
          <w:szCs w:val="20"/>
          <w:rtl/>
        </w:rPr>
        <w:t>(נ''א מוכללת ומעוטרת)</w:t>
      </w:r>
      <w:r>
        <w:rPr>
          <w:rtl/>
        </w:rPr>
        <w:t xml:space="preserve"> כְּאַבְנָא בְרֵישׁ עִזְקָא, </w:t>
      </w:r>
      <w:r>
        <w:rPr>
          <w:rStyle w:val="a7"/>
          <w:rFonts w:hAnsi="Arial"/>
          <w:b w:val="0"/>
          <w:bCs w:val="0"/>
          <w:rtl/>
          <w:lang w:eastAsia="en-US"/>
        </w:rPr>
        <w:footnoteReference w:id="3178"/>
      </w:r>
      <w:r>
        <w:rPr>
          <w:rtl/>
        </w:rPr>
        <w:t xml:space="preserve">וְכַד אִית בְּיִשְׂרָאֵל מַשְׂכִּילִים בְּחָכְמָה דְאִיהִי י' מַחֲשָׁבָה עִלָּאָה, יָדְעִין לְזָרְקָא לָהּ לְהַאי אַבְנָא דְאִיהִי בַּת יְחִידָה, </w:t>
      </w:r>
      <w:r>
        <w:rPr>
          <w:rStyle w:val="a7"/>
          <w:rFonts w:hAnsi="Arial"/>
          <w:b w:val="0"/>
          <w:bCs w:val="0"/>
          <w:rtl/>
          <w:lang w:eastAsia="en-US"/>
        </w:rPr>
        <w:footnoteReference w:id="3179"/>
      </w:r>
      <w:r>
        <w:rPr>
          <w:rtl/>
        </w:rPr>
        <w:t xml:space="preserve">לְהַהוּא אֲתַר דְּאִתְגְּזֶרֶת, בְּגִין דִּבְרַתָּא בְּאַבָּא אִתְעֲבִידַת, הֲדָא הוּא דִכְתִיב </w:t>
      </w:r>
      <w:r>
        <w:rPr>
          <w:sz w:val="20"/>
          <w:szCs w:val="20"/>
          <w:rtl/>
        </w:rPr>
        <w:t>(משלי ג יט)</w:t>
      </w:r>
      <w:r>
        <w:rPr>
          <w:rtl/>
        </w:rPr>
        <w:t xml:space="preserve"> יהו''ה בְּחָכְמָה יָסַד אָרֶץ, </w:t>
      </w:r>
      <w:r>
        <w:rPr>
          <w:sz w:val="20"/>
          <w:szCs w:val="20"/>
          <w:rtl/>
        </w:rPr>
        <w:t xml:space="preserve">(הגהה דף נח ע''א) </w:t>
      </w:r>
      <w:r>
        <w:rPr>
          <w:rtl/>
        </w:rPr>
        <w:t>בְּחָכְמָה דְאִיהוּ אַבָּא יָסַד בְּרַתָּא דְאִיהִי אָרֶץ הֲדוֹם רַגְלָיו.</w:t>
      </w:r>
    </w:p>
    <w:p w:rsidR="002D629A" w:rsidRDefault="002D629A" w:rsidP="00B17EA9">
      <w:pPr>
        <w:pStyle w:val="NormalWeb"/>
        <w:rPr>
          <w:rtl/>
        </w:rPr>
      </w:pPr>
      <w:r>
        <w:rPr>
          <w:rStyle w:val="a7"/>
          <w:rFonts w:hAnsi="Arial"/>
          <w:b w:val="0"/>
          <w:bCs w:val="0"/>
          <w:rtl/>
          <w:lang w:eastAsia="en-US"/>
        </w:rPr>
        <w:footnoteReference w:id="3180"/>
      </w:r>
      <w:r>
        <w:rPr>
          <w:rtl/>
        </w:rPr>
        <w:t xml:space="preserve">וְהַהוּא חוּט דִּילָהּ אִיהוּ ו', דְּאַבְנָא דְאִיהִי תַּגָּא עֲטָרָה עַל רֵישֵׁיהּ, עֲטָרָה דְסֵפֶר תּוֹרָה, וּבְגִינָהּ אִתְּמַר וּדְאִשְׁתַּמֵּשׁ בְּתַגָּא חֲלָף, אִיהוּ כֶּתֶר תּוֹרָה וַדַּאי, </w:t>
      </w:r>
      <w:r>
        <w:rPr>
          <w:rStyle w:val="a7"/>
          <w:rFonts w:hAnsi="Arial"/>
          <w:b w:val="0"/>
          <w:bCs w:val="0"/>
          <w:rtl/>
          <w:lang w:eastAsia="en-US"/>
        </w:rPr>
        <w:footnoteReference w:id="3181"/>
      </w:r>
      <w:r>
        <w:rPr>
          <w:rtl/>
        </w:rPr>
        <w:t xml:space="preserve">דִּתְלַת כִּתְרִין אִינוּן, כֶּתֶר תּוֹרָה וְכֶתֶר כְּהוּנָה וְכֶתֶר מַלְכוּת, וְכֶתֶר תּוֹרָה </w:t>
      </w:r>
      <w:r>
        <w:rPr>
          <w:sz w:val="20"/>
          <w:szCs w:val="20"/>
          <w:rtl/>
        </w:rPr>
        <w:t>(נ''א וכתר שם טוב)</w:t>
      </w:r>
      <w:r>
        <w:rPr>
          <w:rtl/>
        </w:rPr>
        <w:t xml:space="preserve"> עַל גַּבַּיְיהוּ, וְהַאי אַבְנָא אִיהִי י' בְּרֵישׁ א, וְאִיהִי י' בְּסוֹפָה, עֲלָהּ אִתְּמַר </w:t>
      </w:r>
      <w:r>
        <w:rPr>
          <w:sz w:val="20"/>
          <w:szCs w:val="20"/>
          <w:rtl/>
        </w:rPr>
        <w:t>(ישעיה מו י)</w:t>
      </w:r>
      <w:r>
        <w:rPr>
          <w:rtl/>
        </w:rPr>
        <w:t xml:space="preserve"> מַגִּיד מֵרֵאשִׁית אַחֲרִית, </w:t>
      </w:r>
      <w:r>
        <w:rPr>
          <w:rStyle w:val="a7"/>
          <w:rFonts w:hAnsi="Arial"/>
          <w:b w:val="0"/>
          <w:bCs w:val="0"/>
          <w:rtl/>
          <w:lang w:eastAsia="en-US"/>
        </w:rPr>
        <w:footnoteReference w:id="3182"/>
      </w:r>
      <w:r>
        <w:rPr>
          <w:rtl/>
        </w:rPr>
        <w:t xml:space="preserve">וְאִיהִי יו''ד ה''י וא''ו ה''י, כְּלִיל עֲשַׂר סְפִירָן, דְּאִינוּן </w:t>
      </w:r>
      <w:r>
        <w:rPr>
          <w:sz w:val="20"/>
          <w:szCs w:val="20"/>
          <w:rtl/>
        </w:rPr>
        <w:t>(ס''א דאיהו)</w:t>
      </w:r>
      <w:r>
        <w:rPr>
          <w:rtl/>
        </w:rPr>
        <w:t xml:space="preserve"> נָעוּץ סוֹפָן בִּתְחִלָּתָן וּתְחִלָּתָן בְּסוֹפָן.</w:t>
      </w:r>
    </w:p>
    <w:p w:rsidR="002D629A" w:rsidRDefault="002D629A" w:rsidP="00B17EA9">
      <w:pPr>
        <w:pStyle w:val="NormalWeb"/>
        <w:rPr>
          <w:rtl/>
        </w:rPr>
      </w:pPr>
      <w:r>
        <w:rPr>
          <w:rtl/>
        </w:rPr>
        <w:t xml:space="preserve">קָמוּ כֻּלְּהוּ מָארֵי מְתִיבְתָּא וְאָמְרוּ, רַעְיָא מְהֵימְנָא כַּמָּה אַנְתְּ תַּקִּיף לְזַרְקָא אַבְנָא, </w:t>
      </w:r>
      <w:r>
        <w:rPr>
          <w:rStyle w:val="a7"/>
          <w:rFonts w:hAnsi="Arial"/>
          <w:b w:val="0"/>
          <w:bCs w:val="0"/>
          <w:rtl/>
          <w:lang w:eastAsia="en-US"/>
        </w:rPr>
        <w:footnoteReference w:id="3183"/>
      </w:r>
      <w:r>
        <w:rPr>
          <w:rtl/>
        </w:rPr>
        <w:t xml:space="preserve">דְּהָא מָטָא לַאֲתַר דְּלֵית מָאן דְּיָדַע אַתְרָהָא, וּמַלְאָכִין קַדִּישִׁין שָׁאֲלִין בְּגִינָהָא אַיֵּה מְקוֹם כְּבוֹדוֹ לְהַעֲרִיצוֹ, דְלֵית מָאן דְּיָדַע מְקוֹמוֹ, כַּד סָלְקָא לְעִילָא בַּאֲתַר דִּזְרִיקַת לָהּ, עַד דְּאָמְרִין כֻּלְּהוּ </w:t>
      </w:r>
      <w:r>
        <w:rPr>
          <w:sz w:val="20"/>
          <w:szCs w:val="20"/>
          <w:rtl/>
        </w:rPr>
        <w:t>(יחזקאל ג יב)</w:t>
      </w:r>
      <w:r>
        <w:rPr>
          <w:rtl/>
        </w:rPr>
        <w:t xml:space="preserve"> בָּרוּךְ כְּבוֹד יהו''ה מִמְּקוֹמוֹ, </w:t>
      </w:r>
      <w:r>
        <w:rPr>
          <w:rStyle w:val="a7"/>
          <w:rFonts w:hAnsi="Arial"/>
          <w:b w:val="0"/>
          <w:bCs w:val="0"/>
          <w:rtl/>
          <w:lang w:eastAsia="en-US"/>
        </w:rPr>
        <w:footnoteReference w:id="3184"/>
      </w:r>
      <w:r>
        <w:rPr>
          <w:rtl/>
        </w:rPr>
        <w:t xml:space="preserve">וְאַף עַל גַּב דְּאִיהִי זְעִירָא לְתַתָּא, </w:t>
      </w:r>
      <w:r>
        <w:rPr>
          <w:rStyle w:val="a7"/>
          <w:rFonts w:hAnsi="Arial"/>
          <w:b w:val="0"/>
          <w:bCs w:val="0"/>
          <w:rtl/>
          <w:lang w:eastAsia="en-US"/>
        </w:rPr>
        <w:footnoteReference w:id="3185"/>
      </w:r>
      <w:r>
        <w:rPr>
          <w:rtl/>
        </w:rPr>
        <w:t>לְעִילָא לֵית לָהּ סוֹף.</w:t>
      </w:r>
    </w:p>
    <w:p w:rsidR="002D629A" w:rsidRDefault="002D629A" w:rsidP="00B17EA9">
      <w:pPr>
        <w:pStyle w:val="aa"/>
        <w:rPr>
          <w:rtl/>
        </w:rPr>
      </w:pPr>
      <w:r>
        <w:rPr>
          <w:rtl/>
        </w:rPr>
        <w:t xml:space="preserve">[תיקוני זוהר - הגהה דף נח ע''ב] </w:t>
      </w:r>
    </w:p>
    <w:p w:rsidR="002D629A" w:rsidRDefault="002D629A" w:rsidP="00B17EA9">
      <w:pPr>
        <w:pStyle w:val="NormalWeb"/>
        <w:rPr>
          <w:rtl/>
        </w:rPr>
      </w:pPr>
      <w:r>
        <w:rPr>
          <w:rStyle w:val="a7"/>
          <w:rFonts w:hAnsi="Arial"/>
          <w:b w:val="0"/>
          <w:bCs w:val="0"/>
          <w:rtl/>
          <w:lang w:eastAsia="en-US"/>
        </w:rPr>
        <w:footnoteReference w:id="3186"/>
      </w:r>
      <w:r>
        <w:rPr>
          <w:rtl/>
        </w:rPr>
        <w:t xml:space="preserve">מָאן יָכִיל לְאַגָּחָא קְרָבָא בַאֲתַר דְּאַנְתְּ תַּמָּן, בְּאַבְנָא זְעִירָא דִזְרִיקַת </w:t>
      </w:r>
      <w:r>
        <w:rPr>
          <w:rStyle w:val="a7"/>
          <w:rFonts w:hAnsi="Arial"/>
          <w:b w:val="0"/>
          <w:bCs w:val="0"/>
          <w:rtl/>
          <w:lang w:eastAsia="en-US"/>
        </w:rPr>
        <w:footnoteReference w:id="3187"/>
      </w:r>
      <w:r>
        <w:rPr>
          <w:rtl/>
        </w:rPr>
        <w:t xml:space="preserve">אִזְדַּעְזַעוּ רְקִיעִין עַד אֵין סוֹף, וּמַלְאָכִין עַד אֵין תַּכְלִית, וְכָל מָארֵי מְתִיבְתָּא כֻּלְּהוּ אִזְדַּעְזַעוּ </w:t>
      </w:r>
      <w:r>
        <w:rPr>
          <w:rStyle w:val="a7"/>
          <w:rFonts w:hAnsi="Arial"/>
          <w:b w:val="0"/>
          <w:bCs w:val="0"/>
          <w:rtl/>
          <w:lang w:eastAsia="en-US"/>
        </w:rPr>
        <w:footnoteReference w:id="3188"/>
      </w:r>
      <w:r>
        <w:rPr>
          <w:rtl/>
        </w:rPr>
        <w:t xml:space="preserve">וְנָפְלוּ בִּנְפִילַת אַפַּיִם, מִקִּיּוּמַיְהוּ קֳדָמָהָא, וְאָמְרוּ וְכִי בְאַבְנָא זְעִירָא הַאי, כָּל שֶׁכֵּן </w:t>
      </w:r>
      <w:r>
        <w:rPr>
          <w:rStyle w:val="a7"/>
          <w:rFonts w:hAnsi="Arial"/>
          <w:b w:val="0"/>
          <w:bCs w:val="0"/>
          <w:rtl/>
          <w:lang w:eastAsia="en-US"/>
        </w:rPr>
        <w:footnoteReference w:id="3189"/>
      </w:r>
      <w:r>
        <w:rPr>
          <w:rtl/>
        </w:rPr>
        <w:t xml:space="preserve">מָאן יַגִּיחַ עִמָּךְ בְּסַיְיפָא, דְאִתְּמַר בָּהּ </w:t>
      </w:r>
      <w:r>
        <w:rPr>
          <w:sz w:val="20"/>
          <w:szCs w:val="20"/>
          <w:rtl/>
        </w:rPr>
        <w:t>(תהלים קמט ו)</w:t>
      </w:r>
      <w:r>
        <w:rPr>
          <w:rtl/>
        </w:rPr>
        <w:t xml:space="preserve"> רוֹמְמוֹת אֵ''ל בִּגְרוֹנָם וְחֶרֶב פִּיפִיּוֹת בְּיָדָם, </w:t>
      </w:r>
      <w:r>
        <w:rPr>
          <w:rStyle w:val="a7"/>
          <w:rFonts w:hAnsi="Arial"/>
          <w:b w:val="0"/>
          <w:bCs w:val="0"/>
          <w:rtl/>
          <w:lang w:eastAsia="en-US"/>
        </w:rPr>
        <w:footnoteReference w:id="3190"/>
      </w:r>
      <w:r>
        <w:rPr>
          <w:rtl/>
        </w:rPr>
        <w:t xml:space="preserve">דְּאִיהִי קְרִיאַת שְׁמַע, חַרְבָּא דִילָךְ </w:t>
      </w:r>
      <w:r>
        <w:rPr>
          <w:rStyle w:val="a7"/>
          <w:rFonts w:hAnsi="Arial"/>
          <w:b w:val="0"/>
          <w:bCs w:val="0"/>
          <w:rtl/>
          <w:lang w:eastAsia="en-US"/>
        </w:rPr>
        <w:footnoteReference w:id="3191"/>
      </w:r>
      <w:r>
        <w:rPr>
          <w:rtl/>
        </w:rPr>
        <w:t xml:space="preserve">דְּאַנְתְּ תַּקִּינַת לָךְ </w:t>
      </w:r>
      <w:r>
        <w:rPr>
          <w:sz w:val="20"/>
          <w:szCs w:val="20"/>
          <w:rtl/>
        </w:rPr>
        <w:t>(נ''א לה)</w:t>
      </w:r>
      <w:r>
        <w:rPr>
          <w:rtl/>
        </w:rPr>
        <w:t xml:space="preserve">, דְּבָהּ קְטִילַת לַמִּצְרִי, הֲדָא הוּא דִכְתִיב </w:t>
      </w:r>
      <w:r>
        <w:rPr>
          <w:sz w:val="20"/>
          <w:szCs w:val="20"/>
          <w:rtl/>
        </w:rPr>
        <w:t>(שמות ב יב)</w:t>
      </w:r>
      <w:r>
        <w:rPr>
          <w:rtl/>
        </w:rPr>
        <w:t xml:space="preserve"> </w:t>
      </w:r>
      <w:r>
        <w:rPr>
          <w:rStyle w:val="a7"/>
          <w:rFonts w:hAnsi="Arial"/>
          <w:b w:val="0"/>
          <w:bCs w:val="0"/>
          <w:rtl/>
          <w:lang w:eastAsia="en-US"/>
        </w:rPr>
        <w:footnoteReference w:id="3192"/>
      </w:r>
      <w:r>
        <w:rPr>
          <w:rtl/>
        </w:rPr>
        <w:t xml:space="preserve">וַיִּפֶן כֹּה וָכֹה וְגוֹמֵר וַיַּךְ אֶת הַמִּצְרִי, כֹּ''ה וָכֹ''ה סָלְקִין לְחַמְשִׁין אַתְוָון, דִּמְיַחֲדִין בְּהוֹן לְקוּדְשָׁא בְּרִיךְ הוּא פַּעֲמַיִם, שְׁמַע יִשְׂרָאֵל יהו''ה אלהינ''ו יהו''ה אֶחָד, דְּאִית בְּהוֹן כ''ה אַתְוָון תְּרֵין זִמְנִין, וְסָלְקִין לְחַמְשִׁין תַּרְעִין דְּבִינָה, </w:t>
      </w:r>
      <w:r>
        <w:rPr>
          <w:rStyle w:val="a7"/>
          <w:rFonts w:hAnsi="Arial"/>
          <w:b w:val="0"/>
          <w:bCs w:val="0"/>
          <w:rtl/>
          <w:lang w:eastAsia="en-US"/>
        </w:rPr>
        <w:footnoteReference w:id="3193"/>
      </w:r>
      <w:r>
        <w:rPr>
          <w:rtl/>
        </w:rPr>
        <w:t xml:space="preserve">דְּאִיהִי ח' תְּמִינָאָה מֵעֲשַׂר סְפִירָן מִתַּתָּאָה וּלְעִילָא. י' רֵישָׁא דְחַרְבָּא, ו' גּוּפָא דְחַרְבָּא, תְּרֵין פִּפִיּוֹת דִּילָהּ ה''ה, נַרְתְּקָא דְחַרְבָּא אהי''ה, וְהָכִי לְתַתָּא נַרְתְּקָא דְהַאי חַרְבָּא אדנ''י, וְאִיהוּ יאהדונה''י לְתַתָּא, יאההויה''ה לְעִילָא, </w:t>
      </w:r>
      <w:r>
        <w:rPr>
          <w:sz w:val="20"/>
          <w:szCs w:val="20"/>
          <w:rtl/>
        </w:rPr>
        <w:t>(נ''א יה''ו הה''ו יה''ה)</w:t>
      </w:r>
      <w:r>
        <w:rPr>
          <w:rtl/>
        </w:rPr>
        <w:t xml:space="preserve">, </w:t>
      </w:r>
      <w:r>
        <w:rPr>
          <w:rStyle w:val="Char"/>
          <w:rtl/>
          <w:lang w:eastAsia="en-US"/>
        </w:rPr>
        <w:t xml:space="preserve">וְרָזָא דְמִלָּה </w:t>
      </w:r>
      <w:r>
        <w:rPr>
          <w:sz w:val="20"/>
          <w:szCs w:val="20"/>
          <w:rtl/>
        </w:rPr>
        <w:t>(שמות טו א)</w:t>
      </w:r>
      <w:r>
        <w:rPr>
          <w:rtl/>
        </w:rPr>
        <w:t xml:space="preserve"> </w:t>
      </w:r>
      <w:r>
        <w:rPr>
          <w:rStyle w:val="a7"/>
          <w:rFonts w:hAnsi="Arial"/>
          <w:b w:val="0"/>
          <w:bCs w:val="0"/>
          <w:rtl/>
          <w:lang w:eastAsia="en-US"/>
        </w:rPr>
        <w:footnoteReference w:id="3194"/>
      </w:r>
      <w:r>
        <w:rPr>
          <w:rtl/>
        </w:rPr>
        <w:t xml:space="preserve">אָז יָשִׁיר מֹשֶׁה תְּמַנְיָא אַתְוָון בְּחִיבּוּרָא לְעִילָא, </w:t>
      </w:r>
      <w:r>
        <w:rPr>
          <w:sz w:val="20"/>
          <w:szCs w:val="20"/>
          <w:rtl/>
        </w:rPr>
        <w:t>(ישעיה נח ט)</w:t>
      </w:r>
      <w:r>
        <w:rPr>
          <w:rtl/>
        </w:rPr>
        <w:t xml:space="preserve"> אָ''ז תִּקְרָא וַיהו''ה יַעֲנֶה לְתַתָּא, </w:t>
      </w:r>
      <w:r>
        <w:rPr>
          <w:sz w:val="20"/>
          <w:szCs w:val="20"/>
          <w:rtl/>
        </w:rPr>
        <w:t xml:space="preserve">(הגהה דף נח ע''ב) </w:t>
      </w:r>
      <w:r>
        <w:rPr>
          <w:rStyle w:val="a7"/>
          <w:rFonts w:hAnsi="Arial"/>
          <w:b w:val="0"/>
          <w:bCs w:val="0"/>
          <w:rtl/>
          <w:lang w:eastAsia="en-US"/>
        </w:rPr>
        <w:footnoteReference w:id="3195"/>
      </w:r>
      <w:r>
        <w:rPr>
          <w:rtl/>
        </w:rPr>
        <w:t>וּמָאן יָכִיל בְּרוּמְחָא דִילָךְ דְּאִיהוּ רְמַ''ח תֵּיבִין דִּקְרִיאַת שְׁמַע, אַגַּח קְרָבָא לְרַבִּי שִׁמְעוֹן וְחַבְרוֹי, נֶחזֵי מַאי נִיהוּ חֵילָא וּתְקִיפוּ דִילֵיהּ, דְּהָא אִיהוּ אַתְעַר עִלָּאִין וְתַתָּאִין, וְיִזְדַּעְזַעוּ כָּל עָלְמִין עִלָּאִין וְתַתָּאִין וּבְאוּמָאָה לְכָל חֲיָילִין לְעִילָא וְתַתָּא לְמֶהֱוִי בְּעָזְרֵיהּ, אַגַּח לֵיהּ. קוּם רַבִּי שִׁמְעוֹן זָרֵיז גַּרְמָךְ בְּמָאנֵי קְרָבָא דִילָךְ, נֶחזֵי מַאי תַּקִּיפוּ וּגְבוּרָה דִילָךְ.</w:t>
      </w:r>
    </w:p>
    <w:p w:rsidR="002D629A" w:rsidRDefault="002D629A" w:rsidP="00B17EA9">
      <w:pPr>
        <w:pStyle w:val="NormalWeb"/>
        <w:rPr>
          <w:rtl/>
        </w:rPr>
      </w:pPr>
      <w:r>
        <w:rPr>
          <w:rtl/>
        </w:rPr>
        <w:t xml:space="preserve">קָם רַבִּי שִׁמְעוֹן פָּתַח וְאָמַר, זַרְקָ''א מַקַּ''ף שׁוֹפָ''ר הוֹלֵ''ךְ סֶגוֹלְתָּ''א, קָם וְנָטִיל תְּלַת אַבְנִין דְּאִינוּן י י י', </w:t>
      </w:r>
      <w:r>
        <w:rPr>
          <w:rStyle w:val="a7"/>
          <w:rFonts w:hAnsi="Arial"/>
          <w:b w:val="0"/>
          <w:bCs w:val="0"/>
          <w:rtl/>
          <w:lang w:eastAsia="en-US"/>
        </w:rPr>
        <w:footnoteReference w:id="3196"/>
      </w:r>
      <w:r>
        <w:rPr>
          <w:rtl/>
        </w:rPr>
        <w:t xml:space="preserve">וְאַבְנָא עִלָּאָה דְאִיהִי בְּקִירְטָא, תַגָּא בְּחוּטָא הָא אַרְבַּע, דְּאִנּוּן אַרְבְּעִין, וְחוּט דְּסִיהֲרָא </w:t>
      </w:r>
      <w:r>
        <w:rPr>
          <w:sz w:val="20"/>
          <w:szCs w:val="20"/>
          <w:rtl/>
        </w:rPr>
        <w:t>(נ''א דסחרא)</w:t>
      </w:r>
      <w:r>
        <w:rPr>
          <w:rtl/>
        </w:rPr>
        <w:t xml:space="preserve"> עֲלָהּ </w:t>
      </w:r>
      <w:r>
        <w:rPr>
          <w:rStyle w:val="a7"/>
          <w:rFonts w:hAnsi="Arial"/>
          <w:b w:val="0"/>
          <w:bCs w:val="0"/>
          <w:rtl/>
          <w:lang w:eastAsia="en-US"/>
        </w:rPr>
        <w:footnoteReference w:id="3197"/>
      </w:r>
      <w:r>
        <w:rPr>
          <w:rtl/>
        </w:rPr>
        <w:t xml:space="preserve">הַיְינוּ בּ', וְרָזָא דְמִלָּה בְּרֵאשִׁית בּ' רֵאשִׁית, הַאי נְקוּדָה </w:t>
      </w:r>
      <w:r>
        <w:rPr>
          <w:rStyle w:val="a7"/>
          <w:rFonts w:hAnsi="Arial"/>
          <w:b w:val="0"/>
          <w:bCs w:val="0"/>
          <w:sz w:val="20"/>
          <w:szCs w:val="20"/>
          <w:rtl/>
          <w:lang w:eastAsia="en-US"/>
        </w:rPr>
        <w:footnoteReference w:id="3198"/>
      </w:r>
      <w:r>
        <w:rPr>
          <w:rtl/>
        </w:rPr>
        <w:t xml:space="preserve">עֲלָהּ אִתְּמַר בַּעֲשָׂרָה מַאֲמָרוֹת נִבְרָא הָעוֹלָם מַאי בּ' הַהוּא חוּט דְּאַסְחַר עֲלָהּ, וְהַאי נְקוּדָה אִית לָהּ רֵישָׁא וְאֶמְצָעִיתָא וְסוֹפָא, וְאִתְעֲבִידַת תְּלַת יוּדִי''ן י י י', דְסָלְקִין לִתְלָתִין, וְהַהוּא חוּט ב' תְּלָתִין וּתְרֵין, תַּגָּא דְעַל חוּט י', וְהָא אַרְבְּעִין וּתְרֵין, לָקֳבֵל ל''ב אלהי''ם, וַעֲשַׂר אֲמִירָן דְּאִתְבְּרִי בְּהוֹן שְׁמַיָּא וְאַרְעָא וְכָל חֵילֵיהוֹן, </w:t>
      </w:r>
      <w:r>
        <w:rPr>
          <w:sz w:val="20"/>
          <w:szCs w:val="20"/>
          <w:rtl/>
        </w:rPr>
        <w:t>(וירא אלהי''ם את כל אשר עשה, דאיהו רזא וירא מלאך יהו''ה אליו בלבת אש, בלבת דאורייתא ודא איהו כי יום נקם בלב''י, ובהון פועלים ארבעין ותרין אתוון דיהו''ה, ורזא דמלה פתחו לי שערי צדק אב''א ב''ם אודה י''ה, וכלהון אתכלילן בבאר שבע, דא אב''ג ית''ץ וחברוי)</w:t>
      </w:r>
      <w:r>
        <w:rPr>
          <w:rtl/>
        </w:rPr>
        <w:t>.</w:t>
      </w:r>
    </w:p>
    <w:p w:rsidR="002D629A" w:rsidRDefault="002D629A" w:rsidP="00B17EA9">
      <w:pPr>
        <w:pStyle w:val="NormalWeb"/>
        <w:rPr>
          <w:rtl/>
        </w:rPr>
      </w:pPr>
      <w:r>
        <w:rPr>
          <w:rtl/>
        </w:rPr>
        <w:t xml:space="preserve">אָמְרוּ לֵיהּ מָארֵי מַתְנִיתִין, רַבִּי רַבִּי כַּמָּה תַּקִּיפִין אַבְנִין דִּזְרִיקַת, דְּאִזְדַּעְזְעוּ בְּהוֹן שְׁמַיָּא וְאַרְעָא, וְחֵיוָון וּבְעִירָן וְעוֹפִין </w:t>
      </w:r>
      <w:r>
        <w:rPr>
          <w:rStyle w:val="a7"/>
          <w:rFonts w:hAnsi="Arial"/>
          <w:b w:val="0"/>
          <w:bCs w:val="0"/>
          <w:rtl/>
          <w:lang w:eastAsia="en-US"/>
        </w:rPr>
        <w:footnoteReference w:id="3199"/>
      </w:r>
      <w:r>
        <w:rPr>
          <w:rtl/>
        </w:rPr>
        <w:t>כֻּלְּהוּ בָּרְחוּ, וּמִנְּהוֹן נָפְלוּ לְאַרְעָא, וְכָרְסַיָּיא יַקִּירָא וּמַלְאָכִין וְאוֹפַנִּים כֻּלְּהוּ אִזְדַּעְזַעוּ מֵאַבְנִין דִּילָךְ, וְאִלֵּין אִינוּן אַרְבָּעָה טוּרֵי אָבֶן, דְּכֻלְּהוּ חָד.</w:t>
      </w:r>
    </w:p>
    <w:p w:rsidR="002D629A" w:rsidRDefault="002D629A" w:rsidP="00B17EA9">
      <w:pPr>
        <w:pStyle w:val="NormalWeb"/>
        <w:rPr>
          <w:rtl/>
        </w:rPr>
      </w:pPr>
      <w:r>
        <w:rPr>
          <w:rtl/>
        </w:rPr>
        <w:t xml:space="preserve">זַכָּאָה אִיהוּ מָאן דְּאַפִּיק אַבְנִין אִלֵּין שְׁלֵמִין בִּצְלוֹתֵיהּ, בְּאַרְבַּע צְלוֹתִין עִם צְלוֹתָא דְמוּסָף, דַּעֲלַיְיהוּ אִתְּמַר </w:t>
      </w:r>
      <w:r>
        <w:rPr>
          <w:sz w:val="20"/>
          <w:szCs w:val="20"/>
          <w:rtl/>
        </w:rPr>
        <w:t>(דברים כו ו)</w:t>
      </w:r>
      <w:r>
        <w:rPr>
          <w:rtl/>
        </w:rPr>
        <w:t xml:space="preserve"> אֲבָנִים שְׁלֵמוֹת תִּבְנֶה, </w:t>
      </w:r>
      <w:r>
        <w:rPr>
          <w:rStyle w:val="a7"/>
          <w:rFonts w:hAnsi="Arial"/>
          <w:b w:val="0"/>
          <w:bCs w:val="0"/>
          <w:rtl/>
          <w:lang w:eastAsia="en-US"/>
        </w:rPr>
        <w:footnoteReference w:id="3200"/>
      </w:r>
      <w:r>
        <w:rPr>
          <w:rtl/>
        </w:rPr>
        <w:t xml:space="preserve">וְאִית אֶבֶן דְּאוֹרַיְיתָא, דְאִתְּמַר בָּהּ </w:t>
      </w:r>
      <w:r>
        <w:rPr>
          <w:sz w:val="20"/>
          <w:szCs w:val="20"/>
          <w:rtl/>
        </w:rPr>
        <w:t>(בראשית כח כב)</w:t>
      </w:r>
      <w:r>
        <w:rPr>
          <w:rtl/>
        </w:rPr>
        <w:t xml:space="preserve"> וְהָאֶבֶן הַזֹּאת אֲשֶׁר שַׂמְתִּי מַצֵּבָה יִהְיֶה בֵּית אלהי''ם, דְּאִיהִי מִסִּטְרָא דְעַמּוּדָא דְאֶמְצָעִיתָא, דְאִתְּמַר בֵּיהּ </w:t>
      </w:r>
      <w:r>
        <w:rPr>
          <w:sz w:val="20"/>
          <w:szCs w:val="20"/>
          <w:rtl/>
        </w:rPr>
        <w:t>(דברים ד מד)</w:t>
      </w:r>
      <w:r>
        <w:rPr>
          <w:rtl/>
        </w:rPr>
        <w:t xml:space="preserve"> וְזֹאת הַתּוֹרָה אֲשֶׁר שָׂם מֹשֶׁה, </w:t>
      </w:r>
      <w:r>
        <w:rPr>
          <w:rStyle w:val="a7"/>
          <w:rFonts w:hAnsi="Arial"/>
          <w:b w:val="0"/>
          <w:bCs w:val="0"/>
          <w:rtl/>
          <w:lang w:eastAsia="en-US"/>
        </w:rPr>
        <w:footnoteReference w:id="3201"/>
      </w:r>
      <w:r>
        <w:rPr>
          <w:rtl/>
        </w:rPr>
        <w:t>דְאִיהוּ דִיּוֹקְנָא דִילֵיהּ.</w:t>
      </w:r>
    </w:p>
    <w:p w:rsidR="002D629A" w:rsidRDefault="002D629A" w:rsidP="00B17EA9">
      <w:pPr>
        <w:pStyle w:val="aa"/>
        <w:rPr>
          <w:rtl/>
        </w:rPr>
      </w:pPr>
      <w:r>
        <w:rPr>
          <w:rtl/>
        </w:rPr>
        <w:t xml:space="preserve">[תיקוני זוהר - הגהה דף נט ע''א] </w:t>
      </w:r>
    </w:p>
    <w:p w:rsidR="002D629A" w:rsidRDefault="002D629A" w:rsidP="00B17EA9">
      <w:pPr>
        <w:pStyle w:val="NormalWeb"/>
        <w:rPr>
          <w:sz w:val="20"/>
          <w:szCs w:val="20"/>
          <w:rtl/>
        </w:rPr>
      </w:pPr>
      <w:r>
        <w:rPr>
          <w:rtl/>
        </w:rPr>
        <w:t xml:space="preserve">וְאִלֵּין אַבְנִין כֻּלְּהוּ חָד, </w:t>
      </w:r>
      <w:r>
        <w:rPr>
          <w:sz w:val="20"/>
          <w:szCs w:val="20"/>
          <w:rtl/>
        </w:rPr>
        <w:t>(הגהה דף נט ע''א)</w:t>
      </w:r>
      <w:r>
        <w:rPr>
          <w:rtl/>
        </w:rPr>
        <w:t xml:space="preserve"> </w:t>
      </w:r>
      <w:r>
        <w:rPr>
          <w:rStyle w:val="a7"/>
          <w:rFonts w:hAnsi="Arial"/>
          <w:b w:val="0"/>
          <w:bCs w:val="0"/>
          <w:rtl/>
          <w:lang w:eastAsia="en-US"/>
        </w:rPr>
        <w:footnoteReference w:id="3202"/>
      </w:r>
      <w:r>
        <w:rPr>
          <w:rtl/>
        </w:rPr>
        <w:t xml:space="preserve">מַלְכוּת קַדִּישָׁא אִיהִי מִסִּטְרָא דִשְׂמָאלָא, אִתְּמַר בָּהּ </w:t>
      </w:r>
      <w:r>
        <w:rPr>
          <w:sz w:val="20"/>
          <w:szCs w:val="20"/>
          <w:rtl/>
        </w:rPr>
        <w:t>(שם כה א)</w:t>
      </w:r>
      <w:r>
        <w:rPr>
          <w:rtl/>
        </w:rPr>
        <w:t xml:space="preserve"> אֶבֶן שְׁלֵמָה וָצֶדֶק יִהְיֶה לָּךְ, וְהַאי אִיהִי </w:t>
      </w:r>
      <w:r>
        <w:rPr>
          <w:sz w:val="20"/>
          <w:szCs w:val="20"/>
          <w:rtl/>
        </w:rPr>
        <w:t>(דניאל ב לה)</w:t>
      </w:r>
      <w:r>
        <w:rPr>
          <w:rtl/>
        </w:rPr>
        <w:t xml:space="preserve"> אַבְנָא דִי מְחָת לְצַלְמָא דַהֲוַת לְטוּר רַב וּמְלָאת כָּל אַרְעָא, מַאי וּמְלָאת כָּל אַרְעָא, אֶלָּא בְּגִינָהּ אִתְּמַר </w:t>
      </w:r>
      <w:r>
        <w:rPr>
          <w:sz w:val="20"/>
          <w:szCs w:val="20"/>
          <w:rtl/>
        </w:rPr>
        <w:t>(ישעיה ו ג)</w:t>
      </w:r>
      <w:r>
        <w:rPr>
          <w:rtl/>
        </w:rPr>
        <w:t xml:space="preserve"> מְלֹא כָל הָאָרֶץ כְּבוֹדוֹ. </w:t>
      </w:r>
      <w:r>
        <w:rPr>
          <w:sz w:val="20"/>
          <w:szCs w:val="20"/>
          <w:rtl/>
        </w:rPr>
        <w:t xml:space="preserve">הקטע ועלה אתמר על אבן אחת עד מוצקות נמצא לקמן בדף נט ע''ב בהגהה. </w:t>
      </w:r>
    </w:p>
    <w:p w:rsidR="002D629A" w:rsidRDefault="002D629A" w:rsidP="00B17EA9">
      <w:pPr>
        <w:pStyle w:val="NormalWeb"/>
        <w:rPr>
          <w:rtl/>
        </w:rPr>
      </w:pPr>
      <w:r>
        <w:rPr>
          <w:rtl/>
        </w:rPr>
        <w:t xml:space="preserve">וְהַאי אֶבֶן אִיהִי חֲמִשָּׁה אַבְנִין דְּשַׁוִּי דָוִד בְּקִירְטָא וְאִתְעֲבִידוּ כֻּלְּהוּ חָד, הֲדָא הוּא דִכְתִיב </w:t>
      </w:r>
      <w:r>
        <w:rPr>
          <w:sz w:val="20"/>
          <w:szCs w:val="20"/>
          <w:rtl/>
        </w:rPr>
        <w:t>(שמואל א ו יז)</w:t>
      </w:r>
      <w:r>
        <w:rPr>
          <w:rtl/>
        </w:rPr>
        <w:t xml:space="preserve"> וַיִּקַּח דָּוִד חֲמִשָּׁה חֲלוּקֵי אֲבָנִים </w:t>
      </w:r>
      <w:r>
        <w:rPr>
          <w:rStyle w:val="a7"/>
          <w:rFonts w:hAnsi="Arial"/>
          <w:b w:val="0"/>
          <w:bCs w:val="0"/>
          <w:rtl/>
          <w:lang w:eastAsia="en-US"/>
        </w:rPr>
        <w:footnoteReference w:id="3203"/>
      </w:r>
      <w:r>
        <w:rPr>
          <w:rtl/>
        </w:rPr>
        <w:t xml:space="preserve">מִן הַנַּחַל, וְאִינוּן גְּדוּלָה גְבוּרָה תִּפְאֶרֶת נֶצַח הוֹד, דִּבְהוֹן שַׁבַּח דָּוִד לְקוּדְשָׁא בְּרִיךְ הוּא וְאָמַר </w:t>
      </w:r>
      <w:r>
        <w:rPr>
          <w:sz w:val="20"/>
          <w:szCs w:val="20"/>
          <w:rtl/>
        </w:rPr>
        <w:t>(דה''י א כט)</w:t>
      </w:r>
      <w:r>
        <w:rPr>
          <w:rtl/>
        </w:rPr>
        <w:t xml:space="preserve"> לְךָ יהו''ה הַגְּדוּלָה וְהַגְּבוּרָה וְגוֹמֵר, וְאִלֵּין חֲמִשָּׁה חֲלוּקֵי אֲבָנִים נָטִיל לוֹן מִן הַנַּחַל דְּאִיהוּ יְסוֹד חַ''י עָלְמִין, וְכַד שַׁוִּי לוֹן בְּקִירְטָא דְאִיהִי מַלְכוּת קַדִּישָׁא, אִתְעֲבִידוּ בָּהּ חַד, וְטָבַע בְּמִצְחָא דִפְּלִשְׁתָּאָה וְקָטִיל לֵיהּ.</w:t>
      </w:r>
    </w:p>
    <w:p w:rsidR="002D629A" w:rsidRDefault="002D629A" w:rsidP="00B17EA9">
      <w:pPr>
        <w:pStyle w:val="NormalWeb"/>
        <w:rPr>
          <w:rtl/>
        </w:rPr>
      </w:pPr>
      <w:r>
        <w:rPr>
          <w:rtl/>
        </w:rPr>
        <w:t xml:space="preserve">וְאִינוּן חָמֵשׁ אַבְנִין דְּאִינוּן שְׁמַע יִשְׂרָאֵל יהו''ה אלהינ''ו יהו''ה, וְכַד שַׁוִּי לוֹן בְּקִירְטָא דְאִיהִי שָׂפָה דְפִימָא צָרִיךְ לְמֶעֱבַד לוֹן בָּהּ כֻּלְּהוּ אֶחָד, דִּבְזִמְנָא דְיִנְצַח בָּהּ קוּדְשָׁא בְּרִיךְ הוּא כָּל אוּמִין דְּעָלְמָא יִתְקַיַּים בְּהוֹן כִּי אָז אֶהְפּוֹךְ אֶל עַמִּים שָׂפָה בְרוּרָה לִקְרֹא כֻלָּם בְּשֵׁם יהו''ה לְעָבְדוֹ שְׁכֶם אֶחָד </w:t>
      </w:r>
      <w:r>
        <w:rPr>
          <w:sz w:val="20"/>
          <w:szCs w:val="20"/>
          <w:rtl/>
        </w:rPr>
        <w:t>(צפניה ג ט)</w:t>
      </w:r>
      <w:r>
        <w:rPr>
          <w:rtl/>
        </w:rPr>
        <w:t xml:space="preserve">, וְהָא שָׂפָ''ה וַדַּאי דָּא שְׁכִינָ''ה, דְּהָכִי סְלִיקַת בְּחוּשְׁבַּן שָׂפָ''ה, בְּגִין הָכִי כָּל אוּמִין דְּעָלְמָא עֲתִידִין לְאִשְׁתַּעְבְּדָא תְּחוֹת יְדָהָא, וּלְאַמְלָכָא לָהּ עֲלַיְיהוּ בְּיוֹמִין דְּמַלְכָּא מְשִׁיחָא, לְקַיֵּים מַה דְּאִתְּמַר בָּהּ </w:t>
      </w:r>
      <w:r>
        <w:rPr>
          <w:sz w:val="20"/>
          <w:szCs w:val="20"/>
          <w:rtl/>
        </w:rPr>
        <w:t>(תהלים קג יט)</w:t>
      </w:r>
      <w:r>
        <w:rPr>
          <w:rtl/>
        </w:rPr>
        <w:t xml:space="preserve"> וּמַלְכוּתוֹ בַּכֹּל מָשָׁלָה.</w:t>
      </w:r>
    </w:p>
    <w:p w:rsidR="002D629A" w:rsidRDefault="002D629A" w:rsidP="00B17EA9">
      <w:pPr>
        <w:pStyle w:val="aa"/>
        <w:rPr>
          <w:rtl/>
        </w:rPr>
      </w:pPr>
      <w:r>
        <w:rPr>
          <w:rtl/>
        </w:rPr>
        <w:t xml:space="preserve">[תיקוני זוהר - הגהה דף נט ע''ב] </w:t>
      </w:r>
    </w:p>
    <w:p w:rsidR="002D629A" w:rsidRDefault="002D629A" w:rsidP="00B17EA9">
      <w:pPr>
        <w:pStyle w:val="NormalWeb"/>
        <w:rPr>
          <w:rtl/>
        </w:rPr>
      </w:pPr>
      <w:r>
        <w:rPr>
          <w:rStyle w:val="a7"/>
          <w:rFonts w:hAnsi="Arial"/>
          <w:b w:val="0"/>
          <w:bCs w:val="0"/>
          <w:rtl/>
          <w:lang w:eastAsia="en-US"/>
        </w:rPr>
        <w:footnoteReference w:id="3204"/>
      </w:r>
      <w:r>
        <w:rPr>
          <w:rtl/>
        </w:rPr>
        <w:t xml:space="preserve">זַכָּאָה אִיהוּ מָאן דְּנָטִיר הַאי אֱמוּנָה בְּלִבֵּיהּ וּבְפוּמֵיהּ דְּוַדַּאי אִיהִי אֱמוּנָה דְיִשְׂרָאֵל, וְאִיהִי יִחוּדָא דְקוּדְשָׁא בְּרִיךְ הוּא, וּבָהּ מְיַחֲדִין יִשְׂרָאֵל לְקוּדְשָׁא בְּרִיךְ הוּא תְּרֵין זִמְנִין בְּכָל יוֹמָא, וְזַכָּאָה אִיהוּ מָאן דְּאִיהִי בְּאָמְנָה אִתּוֹ בְגָלוּתָא, דְּלָא דָחִיל מֵעִלָּאִין וְתַתָּאִין, דִּבְגִינָהּ אִתְּמַר לְאָדָם </w:t>
      </w:r>
      <w:r>
        <w:rPr>
          <w:sz w:val="20"/>
          <w:szCs w:val="20"/>
          <w:rtl/>
        </w:rPr>
        <w:t>(בראשית ב טו)</w:t>
      </w:r>
      <w:r>
        <w:rPr>
          <w:rtl/>
        </w:rPr>
        <w:t xml:space="preserve"> וַיַּנִּיחֵהוּ בְגַן עִדֶן לְעָבְדָהּ וּלְשָׁמְרָהּ, לְעָבְדָהּ בְּפִקּוּדִין דַּעֲשֵׂה, וּלְשָׁמְרָהּ בְּפִקּוּדִין דְּלֹא תַעֲשֶׂה, בְּגִין דְּאִיהִי גַ''ן סְדָרִים דְּאוֹרַיְיתָא, וְאִיהִי עִדּוּנָא דְאוֹרַיְיתָא, מַאי אוֹרַיְיתָא עַמּוּדָא </w:t>
      </w:r>
      <w:r>
        <w:rPr>
          <w:sz w:val="20"/>
          <w:szCs w:val="20"/>
          <w:rtl/>
        </w:rPr>
        <w:t xml:space="preserve">(הגהה דף נט ע''ב) </w:t>
      </w:r>
      <w:r>
        <w:rPr>
          <w:rtl/>
        </w:rPr>
        <w:t>דְאֶמְצָעִיתָא, אִיהִי גַן דִּילֵיהּ, וְעִדֶן דִּילֵיהּ.</w:t>
      </w:r>
    </w:p>
    <w:p w:rsidR="002D629A" w:rsidRDefault="002D629A" w:rsidP="00B17EA9">
      <w:pPr>
        <w:pStyle w:val="NormalWeb"/>
        <w:rPr>
          <w:rtl/>
        </w:rPr>
      </w:pPr>
      <w:r>
        <w:rPr>
          <w:rtl/>
        </w:rPr>
        <w:t xml:space="preserve">רַבִּי רַבִּי קוּם אַסְחַר לְהַאי קִירְטָא, וְאַקַּף וְאַסְחַר לָהּ </w:t>
      </w:r>
      <w:r>
        <w:rPr>
          <w:rStyle w:val="a7"/>
          <w:rFonts w:hAnsi="Arial"/>
          <w:b w:val="0"/>
          <w:bCs w:val="0"/>
          <w:rtl/>
          <w:lang w:eastAsia="en-US"/>
        </w:rPr>
        <w:footnoteReference w:id="3205"/>
      </w:r>
      <w:r>
        <w:rPr>
          <w:rtl/>
        </w:rPr>
        <w:t xml:space="preserve">בְּשָׂפָה דִילָךְ, בְּהַאי אַבְנָא דְאִיהִי כְּלִילָא </w:t>
      </w:r>
      <w:r>
        <w:rPr>
          <w:sz w:val="20"/>
          <w:szCs w:val="20"/>
          <w:rtl/>
        </w:rPr>
        <w:t>(נ''א מוכלל ומעוטר)</w:t>
      </w:r>
      <w:r>
        <w:rPr>
          <w:rtl/>
        </w:rPr>
        <w:t xml:space="preserve"> מִכָּל אַבְנִין דְּבִנְיָינָא דְאוֹרַיְיתָא, </w:t>
      </w:r>
      <w:r>
        <w:rPr>
          <w:sz w:val="20"/>
          <w:szCs w:val="20"/>
          <w:rtl/>
        </w:rPr>
        <w:t>(וצלותא)</w:t>
      </w:r>
      <w:r>
        <w:rPr>
          <w:rtl/>
        </w:rPr>
        <w:t xml:space="preserve"> </w:t>
      </w:r>
      <w:r>
        <w:rPr>
          <w:rStyle w:val="Char"/>
          <w:rtl/>
          <w:lang w:eastAsia="en-US"/>
        </w:rPr>
        <w:t>אִיהִי אֶבֶן יְקָרָה</w:t>
      </w:r>
      <w:r>
        <w:rPr>
          <w:rtl/>
        </w:rPr>
        <w:t xml:space="preserve"> מוּכְלֶלֶת וּמְעוּטֶרֶת בְּאוֹת בְּרִית, וּבְאוֹת דְּשַׁבָּת, וּבְאוֹת דְּיֹמִין טָבִין, וּבְאוֹת תְּפִלִּין, </w:t>
      </w:r>
      <w:r>
        <w:rPr>
          <w:rStyle w:val="a7"/>
          <w:rFonts w:hAnsi="Arial"/>
          <w:b w:val="0"/>
          <w:bCs w:val="0"/>
          <w:rtl/>
          <w:lang w:eastAsia="en-US"/>
        </w:rPr>
        <w:footnoteReference w:id="3206"/>
      </w:r>
      <w:r>
        <w:rPr>
          <w:rtl/>
        </w:rPr>
        <w:t xml:space="preserve">וְחוּט דִּילָהּ כְּרוּכָה בְּאֶצְבְּעָא, וְדָא כְּרִיכוּ דִרְצוּעָה דִתְּפִלָּה דְיָד, דְּבָהּ הֲווֹ קַדְמָאִין כּוֹרְכִין אֶת שְׁמַע עִם וְאָהַבְתָּ </w:t>
      </w:r>
      <w:r>
        <w:rPr>
          <w:rStyle w:val="a7"/>
          <w:rFonts w:hAnsi="Arial"/>
          <w:b w:val="0"/>
          <w:bCs w:val="0"/>
          <w:rtl/>
          <w:lang w:eastAsia="en-US"/>
        </w:rPr>
        <w:footnoteReference w:id="3207"/>
      </w:r>
      <w:r>
        <w:rPr>
          <w:rtl/>
        </w:rPr>
        <w:t>בִּרְחִימוּ דְאַהֲבָה, דְהַיְינוּ וְאָהַבְתָּ אֵת יהו''ה אלהי''ך, בְּגִין דִּתְהֵא רְחִימָא לְגַבֵּי בַּעְלָהּ, וְלָא מַפְסִיקִין, וּלְבָתַר דְּאָתָא יַעֲקֹב דְּאִיהוּ כְּלִיל תְּלַת אֲבָהָן, הִתִּיר הַהוּא כְּרִיכוּ דִילָהּ, וְאָמַר בָּרוּךְ שֵׁם כְּבוֹד מַלְכוּתוֹ לְעוֹלָם וָעֶד.</w:t>
      </w:r>
    </w:p>
    <w:p w:rsidR="002D629A" w:rsidRDefault="002D629A" w:rsidP="00B17EA9">
      <w:pPr>
        <w:pStyle w:val="NormalWeb"/>
        <w:rPr>
          <w:rtl/>
        </w:rPr>
      </w:pPr>
      <w:r>
        <w:rPr>
          <w:rtl/>
        </w:rPr>
        <w:t xml:space="preserve">בְּגִין דְּאִיהִי בָּעִי לְמֶהֱוִי אִיהִי סְגוּלַת מְלָכִים, בְּהַהוּא זִמְנָא אִתְּמַר שׁוֹפָ''ר הוֹלֵ''ךְ סֶגוֹלְתָּ''א, וְאַזְלָ''א לְשַׁרְיָא כִּתְרָא עַל יִשְׂרָאֵל דְּאִיהוּ עַמּוּדָא דְאֶמְצָעִיתָא, דְּאִיהוּ סֵפֶר תּוֹרָה כְּלִיל </w:t>
      </w:r>
      <w:r>
        <w:rPr>
          <w:rStyle w:val="a7"/>
          <w:rFonts w:hAnsi="Arial"/>
          <w:b w:val="0"/>
          <w:bCs w:val="0"/>
          <w:rtl/>
          <w:lang w:eastAsia="en-US"/>
        </w:rPr>
        <w:footnoteReference w:id="3208"/>
      </w:r>
      <w:r>
        <w:rPr>
          <w:rtl/>
        </w:rPr>
        <w:t xml:space="preserve">שִׁית סִפְרֵי תוֹרָה, וְאִתְעֲבִידַת תַּגָּא עַל רֵישֵׁיהּ, </w:t>
      </w:r>
      <w:r>
        <w:rPr>
          <w:rStyle w:val="a7"/>
          <w:rFonts w:hAnsi="Arial"/>
          <w:b w:val="0"/>
          <w:bCs w:val="0"/>
          <w:rtl/>
          <w:lang w:eastAsia="en-US"/>
        </w:rPr>
        <w:footnoteReference w:id="3209"/>
      </w:r>
      <w:r>
        <w:rPr>
          <w:rtl/>
        </w:rPr>
        <w:t xml:space="preserve">בְּכָל אָת וְאָת דִּילֵיהּ, מֵאִלֵּין אַתְוָון יְדִיעָאן דְּסֵפֶר תּוֹרָה, כְּגַוְונָא דָא ש ע ט נ ז ג ץ, </w:t>
      </w:r>
      <w:r>
        <w:rPr>
          <w:sz w:val="20"/>
          <w:szCs w:val="20"/>
          <w:rtl/>
        </w:rPr>
        <w:t>(מובא מלעיל ע"א)</w:t>
      </w:r>
      <w:r>
        <w:rPr>
          <w:rtl/>
        </w:rPr>
        <w:t xml:space="preserve"> וַעֲלָהּ אִתְּמַר </w:t>
      </w:r>
      <w:r>
        <w:rPr>
          <w:sz w:val="20"/>
          <w:szCs w:val="20"/>
          <w:rtl/>
        </w:rPr>
        <w:t>(זכריה ג ט)</w:t>
      </w:r>
      <w:r>
        <w:rPr>
          <w:rtl/>
        </w:rPr>
        <w:t xml:space="preserve"> עַל אֶבֶן אַחַת שִׁבְעָה עִינָיִם, </w:t>
      </w:r>
      <w:r>
        <w:rPr>
          <w:rStyle w:val="a7"/>
          <w:rFonts w:hAnsi="Arial"/>
          <w:b w:val="0"/>
          <w:bCs w:val="0"/>
          <w:rtl/>
          <w:lang w:eastAsia="en-US"/>
        </w:rPr>
        <w:footnoteReference w:id="3210"/>
      </w:r>
      <w:r>
        <w:rPr>
          <w:rtl/>
        </w:rPr>
        <w:t xml:space="preserve">דְּאִינוּן שִׁבְעָה רוֹעִין קַדִּישִׁין, וְאִינוּן שֶׁבַע דְּכוּרִין וְשֶׁבַע נוּקְבִין, כֻּלְּהוּ כְּלִילָן בָּהּ וְרָזָא דְמִלָּה שִׁבְעָה וְשִׁבְעָה מוּצָקוֹת. כֻּלְּהוּ זַיְינִין אִינוּן חַד וְעֶשְׂרִין, לָקֳבֵל חַד וְעֶשְׂרִין אַזְכָּרוֹת דִּתְּפִלִּין דְּרֵישָׁא, וּלְקִבְלַיְיהוּ חַד וְעֶשְׂרִין אַזְכָּרוֹת דִּתְּפִלִּין דְּיָד, דְּסָלְקִין כֻּלְּהוּ אַרְבְּעִין וּתְרֵין, </w:t>
      </w:r>
      <w:r>
        <w:rPr>
          <w:rStyle w:val="a7"/>
          <w:rFonts w:hAnsi="Arial"/>
          <w:b w:val="0"/>
          <w:bCs w:val="0"/>
          <w:rtl/>
          <w:lang w:eastAsia="en-US"/>
        </w:rPr>
        <w:footnoteReference w:id="3211"/>
      </w:r>
      <w:r>
        <w:rPr>
          <w:rtl/>
        </w:rPr>
        <w:t>לָקֳבֵל שְׁמָא דְמ''ב.</w:t>
      </w:r>
    </w:p>
    <w:p w:rsidR="002D629A" w:rsidRDefault="002D629A" w:rsidP="00B17EA9">
      <w:pPr>
        <w:pStyle w:val="NormalWeb"/>
        <w:rPr>
          <w:rtl/>
        </w:rPr>
      </w:pPr>
      <w:r>
        <w:rPr>
          <w:rtl/>
        </w:rPr>
        <w:t xml:space="preserve">תַּגָּא אִיהִי י' עַל רֵישָׁא דְז', גּוּפָא דִילֵיהּ ו', וְסֵפֶר תּוֹרָה עַמּוּדָא דְאֶמְצָעִיתָא כְּלִיל שִׁית סְפִירָן מֵחֶסֶד עַד יְסוֹד, מַלְכוּת י' זְעִירָא, </w:t>
      </w:r>
      <w:r>
        <w:rPr>
          <w:rStyle w:val="a7"/>
          <w:rFonts w:hAnsi="Arial"/>
          <w:b w:val="0"/>
          <w:bCs w:val="0"/>
          <w:rtl/>
          <w:lang w:eastAsia="en-US"/>
        </w:rPr>
        <w:footnoteReference w:id="3212"/>
      </w:r>
      <w:r>
        <w:rPr>
          <w:rtl/>
        </w:rPr>
        <w:t xml:space="preserve">בָּהּ אִתְעֲבִידַת שְׁבִיעִי יוֹם שַׁבָּת, וְאִיהִי אוֹת תְּפִלִּין, אוֹת שַׁבָּת, אוֹת בְּרִית, </w:t>
      </w:r>
      <w:r>
        <w:rPr>
          <w:rStyle w:val="a7"/>
          <w:rFonts w:hAnsi="Arial"/>
          <w:b w:val="0"/>
          <w:bCs w:val="0"/>
          <w:rtl/>
          <w:lang w:eastAsia="en-US"/>
        </w:rPr>
        <w:footnoteReference w:id="3213"/>
      </w:r>
      <w:r>
        <w:rPr>
          <w:rtl/>
        </w:rPr>
        <w:t xml:space="preserve">וְאִיהִי כֶּתֶר תּוֹרָה וְכֶתֶר כְּהוּנָה וְכֶתֶר מַלְכוּת, </w:t>
      </w:r>
      <w:r>
        <w:rPr>
          <w:rStyle w:val="a7"/>
          <w:rFonts w:hAnsi="Arial"/>
          <w:b w:val="0"/>
          <w:bCs w:val="0"/>
          <w:rtl/>
          <w:lang w:eastAsia="en-US"/>
        </w:rPr>
        <w:footnoteReference w:id="3214"/>
      </w:r>
      <w:r>
        <w:rPr>
          <w:rtl/>
        </w:rPr>
        <w:t xml:space="preserve">מִסִּטְרָא דִימִינָא דְאִתְיְיהִיבַת אוֹרַיְיתָא אִתְקְרִיאַת כֶּתֶר תּוֹרָה וִימִינָא אִיהוּ כַּהֲנָא, מִסִּטְרֵיהּ אִיהוּ כֶּתֶר כְּהוּנָה, וְעַמּוּדָא דְאֶמְצָעִיתָא אִיהוּ מֶלֶךְ וּמִסִּטְרָא דִגְבוּרָה בֵּית דִּין הַגָּדוֹל, נָפִיק מִתַּמָּן אֶשָּׁא וְאוֹקִיד לֵיהּ, וְכַד כַּהֲנָא נָפִיק בִּשְׁלָם מֵהֵיכָלָא, בְּהַהוּא זִמְנָא יִתְעָרוּן לְוִיִּים בְּנִגּוּנָא </w:t>
      </w:r>
      <w:r>
        <w:rPr>
          <w:sz w:val="20"/>
          <w:szCs w:val="20"/>
          <w:rtl/>
        </w:rPr>
        <w:t>(כאן חסר והוא בתקוני זהר חדש כ"ד ע"ג)</w:t>
      </w:r>
      <w:r>
        <w:rPr>
          <w:rtl/>
        </w:rPr>
        <w:t>.</w:t>
      </w:r>
    </w:p>
    <w:p w:rsidR="002D629A" w:rsidRDefault="002D629A" w:rsidP="00B17EA9">
      <w:pPr>
        <w:pStyle w:val="aa"/>
        <w:rPr>
          <w:rtl/>
        </w:rPr>
      </w:pPr>
      <w:r>
        <w:rPr>
          <w:rtl/>
        </w:rPr>
        <w:t xml:space="preserve">[תיקוני זוהר - הגהה דף ס ע''א] </w:t>
      </w:r>
    </w:p>
    <w:p w:rsidR="002D629A" w:rsidRDefault="002D629A" w:rsidP="00B17EA9">
      <w:pPr>
        <w:pStyle w:val="NormalWeb"/>
        <w:rPr>
          <w:rtl/>
        </w:rPr>
      </w:pPr>
      <w:r>
        <w:rPr>
          <w:rStyle w:val="a7"/>
          <w:rFonts w:hAnsi="Arial"/>
          <w:b w:val="0"/>
          <w:bCs w:val="0"/>
          <w:rtl/>
          <w:lang w:eastAsia="en-US"/>
        </w:rPr>
        <w:footnoteReference w:id="3215"/>
      </w:r>
      <w:r>
        <w:rPr>
          <w:rtl/>
        </w:rPr>
        <w:t xml:space="preserve">וְעוֹד אִית תִּקּוּנָא חֲמִשָּׁאָה בִּצְלוֹתָא, צְלוֹתָא אִיהִי כְּקָרְבָּנָא, כְּמָה דְאוּקְמוּהוּ קַדְמָאִין תְּפִלּוֹת כְּנֶגֶד תְּמִידִין תִּקְנוּם, תָּא חֲזִי קָרְבָּנִין אִינוּן מֵאַרְבַּע מִינִין, דְּאִינוּן לָקֳבֵל אַרְיֵה שׁוֹר נֶשֶׁר אָדָם, דְּאִינוּן מְצוּיָירִים בְּכָרְסַיָּיא, </w:t>
      </w:r>
      <w:r>
        <w:rPr>
          <w:sz w:val="20"/>
          <w:szCs w:val="20"/>
          <w:rtl/>
        </w:rPr>
        <w:t xml:space="preserve">(הגהה דף ס ע''א) </w:t>
      </w:r>
      <w:r>
        <w:rPr>
          <w:rStyle w:val="a7"/>
          <w:rFonts w:hAnsi="Arial"/>
          <w:b w:val="0"/>
          <w:bCs w:val="0"/>
          <w:rtl/>
          <w:lang w:eastAsia="en-US"/>
        </w:rPr>
        <w:footnoteReference w:id="3216"/>
      </w:r>
      <w:r>
        <w:rPr>
          <w:rtl/>
        </w:rPr>
        <w:t>קָרְבָּנָא דַהֲווֹ מְקָרְבִין יִשְׂרָאֵל, וְכַהֲנָא הֲוָה קָרִיב קָרְבָּנָא דִלְהוֹן.</w:t>
      </w:r>
    </w:p>
    <w:p w:rsidR="002D629A" w:rsidRDefault="002D629A" w:rsidP="00B17EA9">
      <w:pPr>
        <w:pStyle w:val="NormalWeb"/>
        <w:rPr>
          <w:rtl/>
        </w:rPr>
      </w:pPr>
      <w:r>
        <w:rPr>
          <w:rStyle w:val="a7"/>
          <w:rFonts w:hAnsi="Arial"/>
          <w:b w:val="0"/>
          <w:bCs w:val="0"/>
          <w:rtl/>
          <w:lang w:eastAsia="en-US"/>
        </w:rPr>
        <w:footnoteReference w:id="3217"/>
      </w:r>
      <w:r>
        <w:rPr>
          <w:rtl/>
        </w:rPr>
        <w:t xml:space="preserve">קָרְבָּנָא קַדְמָאָה, קָרְבָּנָא דַהֲוָה קָרִיב לִימִינָא, דָּא צְלוֹתָא דְשַׁחֲרִית, וְאִם הֲווֹ זַכְיָין הֲוָה נָחִית דִּיּוֹקְנָא דְאַרְיֵ''ה וַהֲוָה מְקַבֵּל קָרְבָּנָא, </w:t>
      </w:r>
      <w:r>
        <w:rPr>
          <w:rStyle w:val="a7"/>
          <w:rFonts w:hAnsi="Arial"/>
          <w:b w:val="0"/>
          <w:bCs w:val="0"/>
          <w:rtl/>
          <w:lang w:eastAsia="en-US"/>
        </w:rPr>
        <w:footnoteReference w:id="3218"/>
      </w:r>
      <w:r>
        <w:rPr>
          <w:rtl/>
        </w:rPr>
        <w:t xml:space="preserve">וְדָא מִיכָאֵ''ל דְּדַרְגֵּיהּ חֶסֶ''ד, אִיהוּ הֲוָה מְקַבֵּל צְלוֹתָא דְשַׁחֲרִית, </w:t>
      </w:r>
      <w:r>
        <w:rPr>
          <w:rStyle w:val="a7"/>
          <w:rFonts w:hAnsi="Arial"/>
          <w:b w:val="0"/>
          <w:bCs w:val="0"/>
          <w:rtl/>
          <w:lang w:eastAsia="en-US"/>
        </w:rPr>
        <w:footnoteReference w:id="3219"/>
      </w:r>
      <w:r>
        <w:rPr>
          <w:rtl/>
        </w:rPr>
        <w:t xml:space="preserve">וְאִם לָא זָכוּ מַה כְּתִיב בְּקָרְבָּנָא </w:t>
      </w:r>
      <w:r>
        <w:rPr>
          <w:sz w:val="20"/>
          <w:szCs w:val="20"/>
          <w:rtl/>
        </w:rPr>
        <w:t>(שמות כב ל)</w:t>
      </w:r>
      <w:r>
        <w:rPr>
          <w:rtl/>
        </w:rPr>
        <w:t xml:space="preserve"> לַכֶּלֶב תַּשְׁלִיכוּן אוֹתוֹ, דְחָשִׁיב לֵיהּ כִּטְרֵיפָה, </w:t>
      </w:r>
      <w:r>
        <w:rPr>
          <w:rStyle w:val="a7"/>
          <w:rFonts w:hAnsi="Arial"/>
          <w:b w:val="0"/>
          <w:bCs w:val="0"/>
          <w:rtl/>
          <w:lang w:eastAsia="en-US"/>
        </w:rPr>
        <w:footnoteReference w:id="3220"/>
      </w:r>
      <w:r>
        <w:rPr>
          <w:rtl/>
        </w:rPr>
        <w:t xml:space="preserve">וּבְגִין דָּא הֲוָה נָחִית דִּיּוֹקְנָא דְכֶלֶב לְקַבֵּל הַהוּא דוֹרוֹנָא, וְקָרְבָּנָא, </w:t>
      </w:r>
      <w:r>
        <w:rPr>
          <w:rStyle w:val="a7"/>
          <w:rFonts w:hAnsi="Arial"/>
          <w:b w:val="0"/>
          <w:bCs w:val="0"/>
          <w:rtl/>
          <w:lang w:eastAsia="en-US"/>
        </w:rPr>
        <w:footnoteReference w:id="3221"/>
      </w:r>
      <w:r>
        <w:rPr>
          <w:rtl/>
        </w:rPr>
        <w:t xml:space="preserve">וְדָא אִיהוּ כֶּלֶב דְּאָמַר דָּוִד עָלָיו הַשָּׁלוֹם </w:t>
      </w:r>
      <w:r>
        <w:rPr>
          <w:sz w:val="20"/>
          <w:szCs w:val="20"/>
          <w:rtl/>
        </w:rPr>
        <w:t>(תהלים כב כב)</w:t>
      </w:r>
      <w:r>
        <w:rPr>
          <w:rtl/>
        </w:rPr>
        <w:t xml:space="preserve">, הַצִּילָה מֵחֶרֶב נַפְשִׁי מִיַּד כֶּלֶב יְחִידָתִי, </w:t>
      </w:r>
      <w:r>
        <w:rPr>
          <w:rStyle w:val="a7"/>
          <w:rFonts w:hAnsi="Arial"/>
          <w:b w:val="0"/>
          <w:bCs w:val="0"/>
          <w:rtl/>
          <w:lang w:eastAsia="en-US"/>
        </w:rPr>
        <w:footnoteReference w:id="3222"/>
      </w:r>
      <w:r>
        <w:rPr>
          <w:rtl/>
        </w:rPr>
        <w:t xml:space="preserve">וְכָל מַלְאֲכֵי חַבָּלָה דְאִינוּן כְּלָבִים צוֹעֲקִים בְּמִשְׁמָרָה תִּנְיָינָא דְלֵילְיָא, </w:t>
      </w:r>
      <w:r>
        <w:rPr>
          <w:rStyle w:val="a7"/>
          <w:rFonts w:hAnsi="Arial"/>
          <w:b w:val="0"/>
          <w:bCs w:val="0"/>
          <w:rtl/>
          <w:lang w:eastAsia="en-US"/>
        </w:rPr>
        <w:footnoteReference w:id="3223"/>
      </w:r>
      <w:r>
        <w:rPr>
          <w:rtl/>
        </w:rPr>
        <w:t xml:space="preserve">אִינוּן צָוְוחִין וְנָבְחִין וְאָמְרִין הַב הַב, בְּגִין דְּאִינוּן מִסִּטְרָא דְגֵיהִנָּם סַם הַמָּוְת, דְּאִתְּמַר בֵּיהּ </w:t>
      </w:r>
      <w:r>
        <w:rPr>
          <w:sz w:val="20"/>
          <w:szCs w:val="20"/>
          <w:rtl/>
        </w:rPr>
        <w:t>(משלי ל טו)</w:t>
      </w:r>
      <w:r>
        <w:rPr>
          <w:rtl/>
        </w:rPr>
        <w:t xml:space="preserve"> לַעֲלוּקָה שְׁתֵּי בָנוֹת הַב הַב.</w:t>
      </w:r>
    </w:p>
    <w:p w:rsidR="002D629A" w:rsidRDefault="002D629A" w:rsidP="00B17EA9">
      <w:pPr>
        <w:pStyle w:val="NormalWeb"/>
        <w:rPr>
          <w:rtl/>
        </w:rPr>
      </w:pPr>
      <w:r>
        <w:rPr>
          <w:rtl/>
        </w:rPr>
        <w:t xml:space="preserve">קָרְבָּנָא תִנְיָינָא לָקֳבֵל שׁוֹ''ר, דְּאִתְּמַר בֵּיהּ </w:t>
      </w:r>
      <w:r>
        <w:rPr>
          <w:sz w:val="20"/>
          <w:szCs w:val="20"/>
          <w:rtl/>
        </w:rPr>
        <w:t>(ויקרא כב כז)</w:t>
      </w:r>
      <w:r>
        <w:rPr>
          <w:rtl/>
        </w:rPr>
        <w:t xml:space="preserve"> שׁוֹר אוֹ כֶשֶׂב אוֹ עִז וְגוֹמֵר, </w:t>
      </w:r>
      <w:r>
        <w:rPr>
          <w:rStyle w:val="a7"/>
          <w:rFonts w:hAnsi="Arial"/>
          <w:b w:val="0"/>
          <w:bCs w:val="0"/>
          <w:rtl/>
          <w:lang w:eastAsia="en-US"/>
        </w:rPr>
        <w:footnoteReference w:id="3224"/>
      </w:r>
      <w:r>
        <w:rPr>
          <w:rtl/>
        </w:rPr>
        <w:t xml:space="preserve">וּלְקִבְלֵיהּ צְלוֹתָא דְמִנְחָה, דְאָמַר דָּוִד עֲלָהּ </w:t>
      </w:r>
      <w:r>
        <w:rPr>
          <w:sz w:val="20"/>
          <w:szCs w:val="20"/>
          <w:rtl/>
        </w:rPr>
        <w:t>(תהלים קד יד)</w:t>
      </w:r>
      <w:r>
        <w:rPr>
          <w:rtl/>
        </w:rPr>
        <w:t xml:space="preserve"> מַצְמִיחַ חָצִיר לַבְּהֵמָה וְעִשֶׂב לַעֲבוֹדַת הָאָדָם, מַאי עִשֶׂב, ע''ב ש', </w:t>
      </w:r>
      <w:r>
        <w:rPr>
          <w:rStyle w:val="a7"/>
          <w:rFonts w:hAnsi="Arial"/>
          <w:b w:val="0"/>
          <w:bCs w:val="0"/>
          <w:rtl/>
          <w:lang w:eastAsia="en-US"/>
        </w:rPr>
        <w:footnoteReference w:id="3225"/>
      </w:r>
      <w:r>
        <w:rPr>
          <w:rtl/>
        </w:rPr>
        <w:t xml:space="preserve">וְאִנּוּן ע''ב שְׁמָהָן, דְּאִינוּן לְבוּשִׁין לְע''ב שְׁמָהָן עִלָּאִין, כְּגַוְונָא דְעִשֶׂב דְּאִיהוּ לְבוּשָׁא דְחִטָּה, </w:t>
      </w:r>
      <w:r>
        <w:rPr>
          <w:rStyle w:val="a7"/>
          <w:rFonts w:hAnsi="Arial"/>
          <w:b w:val="0"/>
          <w:bCs w:val="0"/>
          <w:rtl/>
          <w:lang w:eastAsia="en-US"/>
        </w:rPr>
        <w:footnoteReference w:id="3226"/>
      </w:r>
      <w:r>
        <w:rPr>
          <w:rtl/>
        </w:rPr>
        <w:t xml:space="preserve">וּבְגִין דָּא לְהוֹצִיא לֶחֶם מִן הָאָרֶץ, וְהַיְינוּ לֶחֶם אַבִּירִים אָכַל אִישׁ </w:t>
      </w:r>
      <w:r>
        <w:rPr>
          <w:sz w:val="20"/>
          <w:szCs w:val="20"/>
          <w:rtl/>
        </w:rPr>
        <w:t>(שם עח כ)</w:t>
      </w:r>
      <w:r>
        <w:rPr>
          <w:rtl/>
        </w:rPr>
        <w:t>, וְדָא נַהֲמָא דְאוֹרַיְיתָא.</w:t>
      </w:r>
    </w:p>
    <w:p w:rsidR="002D629A" w:rsidRDefault="002D629A" w:rsidP="00B17EA9">
      <w:pPr>
        <w:pStyle w:val="aa"/>
        <w:rPr>
          <w:rtl/>
        </w:rPr>
      </w:pPr>
      <w:r>
        <w:rPr>
          <w:rtl/>
        </w:rPr>
        <w:t xml:space="preserve">[תיקוני זוהר - הגהה דף ס ע''ב] </w:t>
      </w:r>
    </w:p>
    <w:p w:rsidR="002D629A" w:rsidRDefault="002D629A" w:rsidP="00B17EA9">
      <w:pPr>
        <w:pStyle w:val="NormalWeb"/>
        <w:rPr>
          <w:rtl/>
        </w:rPr>
      </w:pPr>
      <w:r>
        <w:rPr>
          <w:rStyle w:val="a7"/>
          <w:rFonts w:hAnsi="Arial"/>
          <w:b w:val="0"/>
          <w:bCs w:val="0"/>
          <w:rtl/>
          <w:lang w:eastAsia="en-US"/>
        </w:rPr>
        <w:footnoteReference w:id="3227"/>
      </w:r>
      <w:r>
        <w:rPr>
          <w:rtl/>
        </w:rPr>
        <w:t xml:space="preserve">וּלְעוֹלָם כָּל קָרְבָּנִין שְׁחִיטָתָן בַּצָּפוֹן, בְּגִין דְּמִצָּפוֹן תִּפָּתַח הָרָעָה (ירמיה א יד), (ס''א ודא יצר הרע, ובגין דלא יהא צריך מנשמתא דילך) (ס''א דלא יסריך נשמתא דילך האכילהו קרבנא, לקיימא ביה (משלי כה כא) אם רעב שונאך האכילהו לחם, ואם צמא השקהו מים, ולבתר דאיהו נטיל דמא דקרבנא, לא יטול מדילך) </w:t>
      </w:r>
      <w:r>
        <w:rPr>
          <w:rStyle w:val="a7"/>
          <w:rFonts w:hAnsi="Arial"/>
          <w:b w:val="0"/>
          <w:bCs w:val="0"/>
          <w:rtl/>
          <w:lang w:eastAsia="en-US"/>
        </w:rPr>
        <w:footnoteReference w:id="3228"/>
      </w:r>
      <w:r>
        <w:rPr>
          <w:rtl/>
        </w:rPr>
        <w:t xml:space="preserve">דְמִתַּמָן הַהוּא דְאוֹשִׁיד דָמָא, מְלַחֲךְ הַהוּא דָמָא דְבְעִירָן וּבְגִין דָא לֹא צָרִיךְ לְכַסָאָה לָהּ מִנֵיה, לְקַיְימָא בֵיה אִם רָעִב שׂוֹנַאֲךָ הַאֲכִילֵהוּ לָחֶם וְאִם צָמֵא הַשְׁקֵהוּ מָיִם </w:t>
      </w:r>
      <w:r>
        <w:rPr>
          <w:rStyle w:val="a7"/>
          <w:rFonts w:hAnsi="Arial"/>
          <w:b w:val="0"/>
          <w:bCs w:val="0"/>
          <w:rtl/>
          <w:lang w:eastAsia="en-US"/>
        </w:rPr>
        <w:footnoteReference w:id="3229"/>
      </w:r>
      <w:r>
        <w:rPr>
          <w:rtl/>
        </w:rPr>
        <w:t xml:space="preserve">וּלְבָתָר דְאִיהוּ נָטִיל דָּמָא, קְרֵבִין קָרְבָּנָא לְעִילָא, דְאִתְּמַר בָּהּ (במדבר כח ב) אֶת קָרְבָּנִי לַחְמִי לְאִשַּׁי, וּלְקִבְלֵיהּ דְּשׁוֹר אִיהוּ </w:t>
      </w:r>
      <w:r>
        <w:rPr>
          <w:rStyle w:val="a7"/>
          <w:rFonts w:hAnsi="Arial"/>
          <w:b w:val="0"/>
          <w:bCs w:val="0"/>
          <w:rtl/>
          <w:lang w:eastAsia="en-US"/>
        </w:rPr>
        <w:footnoteReference w:id="3230"/>
      </w:r>
      <w:r>
        <w:rPr>
          <w:rtl/>
        </w:rPr>
        <w:t xml:space="preserve">חֲמוֹר נוֹעִר, אִם זָכוּ הָא שׁוֹ''ר מְקַבֵּל קָרְבָּנָא, וְאִם (הגהה דף ס ע''ב) לַאו הָא חֲמוֹר נוֹעִר, וּבְגִין דָּא אִתְּמַר (דברים כב י) לֹא תַחֲרוֹשׁ בְּשׁוֹר וּבַחֲמוֹר יַחְדָּו, יַחְדָּו </w:t>
      </w:r>
      <w:r>
        <w:rPr>
          <w:rStyle w:val="a7"/>
          <w:rFonts w:hAnsi="Arial"/>
          <w:b w:val="0"/>
          <w:bCs w:val="0"/>
          <w:rtl/>
          <w:lang w:eastAsia="en-US"/>
        </w:rPr>
        <w:footnoteReference w:id="3231"/>
      </w:r>
      <w:r>
        <w:rPr>
          <w:rtl/>
        </w:rPr>
        <w:t>כְּלוֹמַר לָא תִגְרוֹם דְּיֹאכָל חֲמוֹר קָרְבָּנָא דְשׁוֹר.</w:t>
      </w:r>
    </w:p>
    <w:p w:rsidR="002D629A" w:rsidRDefault="002D629A" w:rsidP="00B17EA9">
      <w:pPr>
        <w:pStyle w:val="NormalWeb"/>
        <w:rPr>
          <w:rtl/>
        </w:rPr>
      </w:pPr>
      <w:r>
        <w:rPr>
          <w:rtl/>
        </w:rPr>
        <w:t xml:space="preserve">קָרְבָּנָא תְּלִיתָאָה דְעַרְבִית, קָרְבָּנָא דְעוֹפִין, דְּאִתְּמַר בְּהוֹן </w:t>
      </w:r>
      <w:r>
        <w:rPr>
          <w:sz w:val="20"/>
          <w:szCs w:val="20"/>
          <w:rtl/>
        </w:rPr>
        <w:t>(ויקרא ה ז)</w:t>
      </w:r>
      <w:r>
        <w:rPr>
          <w:rtl/>
        </w:rPr>
        <w:t xml:space="preserve"> שְׁתֵּי תוֹרִים אוֹ שְׁנֵי בְנֵי יוֹנָה וְגוֹמֵר, דְּאִי זָכוּ נִשְׁרָ''א דְיַעֲקֹב נָחִית לְקַבְּלָא לוֹן, וְאִם לַאו מִסִטְרָא דִמְסָאֲבוּ </w:t>
      </w:r>
      <w:r>
        <w:rPr>
          <w:rStyle w:val="a7"/>
          <w:rFonts w:hAnsi="Arial"/>
          <w:b w:val="0"/>
          <w:bCs w:val="0"/>
          <w:rtl/>
          <w:lang w:eastAsia="en-US"/>
        </w:rPr>
        <w:footnoteReference w:id="3232"/>
      </w:r>
      <w:r>
        <w:rPr>
          <w:rtl/>
        </w:rPr>
        <w:t xml:space="preserve">נֵץ לְגַבֵּי יוֹנָה, </w:t>
      </w:r>
      <w:r>
        <w:rPr>
          <w:rStyle w:val="a7"/>
          <w:rFonts w:hAnsi="Arial"/>
          <w:b w:val="0"/>
          <w:bCs w:val="0"/>
          <w:rtl/>
          <w:lang w:eastAsia="en-US"/>
        </w:rPr>
        <w:footnoteReference w:id="3233"/>
      </w:r>
      <w:r>
        <w:rPr>
          <w:rtl/>
        </w:rPr>
        <w:t>וּכְפוּם קָרְבָּנָא הָכִי יִתְרַבֵּי אוֹ יִתְזָעִר.</w:t>
      </w:r>
    </w:p>
    <w:p w:rsidR="002D629A" w:rsidRDefault="002D629A" w:rsidP="00B17EA9">
      <w:pPr>
        <w:pStyle w:val="NormalWeb"/>
        <w:rPr>
          <w:rtl/>
        </w:rPr>
      </w:pPr>
      <w:r>
        <w:rPr>
          <w:rtl/>
        </w:rPr>
        <w:t xml:space="preserve">קָרְבָּנָא רְבִיעָאָה אָדָם, הַאי אִיהוּ דִמְקַבֵּל קָרְבָּנָא דְאָדָ''ם, </w:t>
      </w:r>
      <w:r>
        <w:rPr>
          <w:rStyle w:val="a7"/>
          <w:rFonts w:hAnsi="Arial"/>
          <w:b w:val="0"/>
          <w:bCs w:val="0"/>
          <w:rtl/>
          <w:lang w:eastAsia="en-US"/>
        </w:rPr>
        <w:footnoteReference w:id="3234"/>
      </w:r>
      <w:r>
        <w:rPr>
          <w:rtl/>
        </w:rPr>
        <w:t xml:space="preserve">דְּאִיהוּ מַחֲשָׁבָה דְקָרִיב וּמְיַחֵד כֹּלָּא, וַעֲלֵיהּ אִתְּמַר </w:t>
      </w:r>
      <w:r>
        <w:rPr>
          <w:sz w:val="20"/>
          <w:szCs w:val="20"/>
          <w:rtl/>
        </w:rPr>
        <w:t>(שם א ב)</w:t>
      </w:r>
      <w:r>
        <w:rPr>
          <w:rtl/>
        </w:rPr>
        <w:t xml:space="preserve"> אָדָם כִּי יַקְרִיב מִכֶּם וְגוֹמֵר, הַאי אִיהוּ דִמְקָרֵב קָרְבָּן לַיהו''ה, וְדָא אוֹרַיְיתָא, וּבְגִין דָּא תַּקִּינוּ בִצְלוֹתָא לְמִשְׁמַע בָּהּ סֵפֶר תּוֹרָה, לְמֶהֱוִי בֵּיהּ קָרְבָּנָא שְׁלִים בְּאָדָם, </w:t>
      </w:r>
      <w:r>
        <w:rPr>
          <w:rStyle w:val="a7"/>
          <w:rFonts w:hAnsi="Arial"/>
          <w:b w:val="0"/>
          <w:bCs w:val="0"/>
          <w:rtl/>
          <w:lang w:eastAsia="en-US"/>
        </w:rPr>
        <w:footnoteReference w:id="3235"/>
      </w:r>
      <w:r>
        <w:rPr>
          <w:rtl/>
        </w:rPr>
        <w:t xml:space="preserve">דְּאִתְּמַר בֵּיהּ </w:t>
      </w:r>
      <w:r>
        <w:rPr>
          <w:sz w:val="20"/>
          <w:szCs w:val="20"/>
          <w:rtl/>
        </w:rPr>
        <w:t>(שם יט יד)</w:t>
      </w:r>
      <w:r>
        <w:rPr>
          <w:rtl/>
        </w:rPr>
        <w:t xml:space="preserve"> זֹאת הַתּוֹרָה אָדָם, </w:t>
      </w:r>
      <w:r>
        <w:rPr>
          <w:rStyle w:val="a7"/>
          <w:rFonts w:hAnsi="Arial"/>
          <w:b w:val="0"/>
          <w:bCs w:val="0"/>
          <w:rtl/>
          <w:lang w:eastAsia="en-US"/>
        </w:rPr>
        <w:footnoteReference w:id="3236"/>
      </w:r>
      <w:r>
        <w:rPr>
          <w:rtl/>
        </w:rPr>
        <w:t xml:space="preserve">וּבְגִין דָּא מֵסִיר אָזְנוֹ מִשְּׁמוֹעַ תּוֹרָה גַּם תְּפִלָּתוֹ תּוֹעִבָה </w:t>
      </w:r>
      <w:r>
        <w:rPr>
          <w:sz w:val="20"/>
          <w:szCs w:val="20"/>
          <w:rtl/>
        </w:rPr>
        <w:t>(משלי כח ט)</w:t>
      </w:r>
      <w:r>
        <w:rPr>
          <w:rtl/>
        </w:rPr>
        <w:t>.</w:t>
      </w:r>
    </w:p>
    <w:p w:rsidR="002D629A" w:rsidRDefault="002D629A" w:rsidP="00B17EA9">
      <w:pPr>
        <w:pStyle w:val="NormalWeb"/>
        <w:rPr>
          <w:rtl/>
        </w:rPr>
      </w:pPr>
      <w:r>
        <w:rPr>
          <w:rtl/>
        </w:rPr>
        <w:t xml:space="preserve">וְכָל קָרְבָּנִין אִלֵּין רְמִיזִין בְּגוּפָא דְבַר נַשׁ, מוֹחָ''א וְלִיבָּ''א וְרֵיאָ''ה, אִינוּן אַרְיֵ''ה שׁוֹ''ר נֶשֶׁ''ר, קִטְרוּגָא דִלְהוֹן כֶּלֶב חֲמוֹר נֵץ, </w:t>
      </w:r>
      <w:r>
        <w:rPr>
          <w:rStyle w:val="a7"/>
          <w:rFonts w:hAnsi="Arial"/>
          <w:b w:val="0"/>
          <w:bCs w:val="0"/>
          <w:rtl/>
          <w:lang w:eastAsia="en-US"/>
        </w:rPr>
        <w:footnoteReference w:id="3237"/>
      </w:r>
      <w:r>
        <w:rPr>
          <w:rtl/>
        </w:rPr>
        <w:t xml:space="preserve">מָרָ''ה כָבֵ''ד וּטְחוֹ''ל, דְּאִינוּן מַשְׁחִי''ת אַ''ף וְחֵמָ''ה, מַחֲשָׁבָה דָא אָדָם, אִית מַחֲשָׁבָה טָבָא דְחֵיוָון טָבִין, וְאִית מַחֲשָׁבָה בִּישָׁא דְחֵיוָן בִּישִׁין, וּמַחֲשָׁבָה טָבָא אִיהוּ אָדָם טוֹב, </w:t>
      </w:r>
      <w:r>
        <w:rPr>
          <w:rStyle w:val="a7"/>
          <w:rFonts w:hAnsi="Arial"/>
          <w:b w:val="0"/>
          <w:bCs w:val="0"/>
          <w:rtl/>
          <w:lang w:eastAsia="en-US"/>
        </w:rPr>
        <w:footnoteReference w:id="3238"/>
      </w:r>
      <w:r>
        <w:rPr>
          <w:rtl/>
        </w:rPr>
        <w:t>וּמַחֲשָׁבָה בִּישָׁא דָא אָדָם רָע בְּלִיַּעַל, אָדָם לַהֶבֶל דָּמָה.</w:t>
      </w:r>
    </w:p>
    <w:p w:rsidR="002D629A" w:rsidRDefault="002D629A" w:rsidP="00B17EA9">
      <w:pPr>
        <w:pStyle w:val="NormalWeb"/>
        <w:rPr>
          <w:rtl/>
        </w:rPr>
      </w:pPr>
      <w:r>
        <w:rPr>
          <w:rStyle w:val="a7"/>
          <w:rFonts w:hAnsi="Arial"/>
          <w:b w:val="0"/>
          <w:bCs w:val="0"/>
          <w:rtl/>
          <w:lang w:eastAsia="en-US"/>
        </w:rPr>
        <w:footnoteReference w:id="3239"/>
      </w:r>
      <w:r>
        <w:rPr>
          <w:rtl/>
        </w:rPr>
        <w:t xml:space="preserve">לָקֳבֵל מוֹחָ''א אִיהוּ אַרְיֵ''ה דְנָחִית לְמֵיכַל קָרְבָּנִין, וַעֲלֵיהּ אִתְּמַר </w:t>
      </w:r>
      <w:r>
        <w:rPr>
          <w:sz w:val="20"/>
          <w:szCs w:val="20"/>
          <w:rtl/>
        </w:rPr>
        <w:t>(יחזקאל א ו)</w:t>
      </w:r>
      <w:r>
        <w:rPr>
          <w:rtl/>
        </w:rPr>
        <w:t xml:space="preserve"> וּפְנֵי אַרְיֵה אֶל הַיָּמִין לְאַרְבַּעְתָּם, לִבָּ''א לִשְׂמָאלָא וַעֲלֵיהּ אִתְּמַר וּפְנֵי שׁוֹ''ר מֵהַשְּׂמֹאל לְאַרְבַּעְתָּם, רֵיאָ''ה דָא נֶשֶׁ''ר </w:t>
      </w:r>
      <w:r>
        <w:rPr>
          <w:rStyle w:val="a7"/>
          <w:rFonts w:hAnsi="Arial"/>
          <w:b w:val="0"/>
          <w:bCs w:val="0"/>
          <w:rtl/>
          <w:lang w:eastAsia="en-US"/>
        </w:rPr>
        <w:footnoteReference w:id="3240"/>
      </w:r>
      <w:r>
        <w:rPr>
          <w:rtl/>
        </w:rPr>
        <w:t>דְּאִית לָהּ גַּדְפִין דְּפָרַח בְּהוֹן, וַעֲלָהּ אִתְּמַר וּפְנֵי נֶשֶׁר לְאַרְבַּעְתָּם, מַחֲשָׁבָה דְאִיהוּ אָדָם רָכִיב עַל כֻּלְּהוֹן, וְאִינוּן מֶרְכָּבָה דִילֵיהּ, כְּסוּסְוָון לִבְנֵי נָשָׁא.</w:t>
      </w:r>
    </w:p>
    <w:p w:rsidR="002D629A" w:rsidRDefault="002D629A" w:rsidP="00B17EA9">
      <w:pPr>
        <w:pStyle w:val="aa"/>
        <w:rPr>
          <w:rtl/>
        </w:rPr>
      </w:pPr>
      <w:r>
        <w:rPr>
          <w:rtl/>
        </w:rPr>
        <w:t xml:space="preserve">[תיקוני זוהר - הגהה דף סא ע''א] </w:t>
      </w:r>
    </w:p>
    <w:p w:rsidR="002D629A" w:rsidRDefault="002D629A" w:rsidP="00B17EA9">
      <w:pPr>
        <w:pStyle w:val="NormalWeb"/>
        <w:rPr>
          <w:rtl/>
        </w:rPr>
      </w:pPr>
      <w:r>
        <w:rPr>
          <w:rStyle w:val="a7"/>
          <w:rFonts w:hAnsi="Arial"/>
          <w:b w:val="0"/>
          <w:bCs w:val="0"/>
          <w:rtl/>
          <w:lang w:eastAsia="en-US"/>
        </w:rPr>
        <w:footnoteReference w:id="3241"/>
      </w:r>
      <w:r>
        <w:rPr>
          <w:rtl/>
        </w:rPr>
        <w:t xml:space="preserve">חֲיָילִין דְּמוֹחָא גַרְמִי''ן </w:t>
      </w:r>
      <w:r>
        <w:rPr>
          <w:rStyle w:val="a7"/>
          <w:rFonts w:hAnsi="Arial"/>
          <w:b w:val="0"/>
          <w:bCs w:val="0"/>
          <w:rtl/>
          <w:lang w:eastAsia="en-US"/>
        </w:rPr>
        <w:footnoteReference w:id="3242"/>
      </w:r>
      <w:r>
        <w:rPr>
          <w:rtl/>
        </w:rPr>
        <w:t xml:space="preserve">(בְּ)[דְּ]קָרְבָּנָא, וַתִּקְרְבוּ עֲצָמוֹת עֶצֶם אֶל עַצְמוֹ </w:t>
      </w:r>
      <w:r>
        <w:rPr>
          <w:sz w:val="20"/>
          <w:szCs w:val="20"/>
          <w:rtl/>
        </w:rPr>
        <w:t>(יחזקאל לז ז)</w:t>
      </w:r>
      <w:r>
        <w:rPr>
          <w:rtl/>
        </w:rPr>
        <w:t xml:space="preserve">, </w:t>
      </w:r>
      <w:r>
        <w:rPr>
          <w:rStyle w:val="a7"/>
          <w:rFonts w:hAnsi="Arial"/>
          <w:b w:val="0"/>
          <w:bCs w:val="0"/>
          <w:rtl/>
          <w:lang w:eastAsia="en-US"/>
        </w:rPr>
        <w:footnoteReference w:id="3243"/>
      </w:r>
      <w:r>
        <w:rPr>
          <w:rtl/>
        </w:rPr>
        <w:t xml:space="preserve">חֲיָילִין דְלִבָּא עַרְקִין דִּדְמָא, חֲיָילִין דְּרֵיאָה גִידִין </w:t>
      </w:r>
      <w:r>
        <w:rPr>
          <w:rStyle w:val="a7"/>
          <w:rFonts w:hAnsi="Arial"/>
          <w:b w:val="0"/>
          <w:bCs w:val="0"/>
          <w:rtl/>
          <w:lang w:eastAsia="en-US"/>
        </w:rPr>
        <w:footnoteReference w:id="3244"/>
      </w:r>
      <w:r>
        <w:rPr>
          <w:rtl/>
        </w:rPr>
        <w:t xml:space="preserve">דְּאִינוּן קִשׁוּרָא וְחִבּוּרָא דִלְהוֹן ברוּחָא דְכַנְפֵי רֵיאָה, וְאִיהוּ רוּחַ אלהי''ם מְרַחֶפֶת עַל פְּנֵי הַמָּיִם </w:t>
      </w:r>
      <w:r>
        <w:rPr>
          <w:sz w:val="20"/>
          <w:szCs w:val="20"/>
          <w:rtl/>
        </w:rPr>
        <w:t>(בראשית א ב)</w:t>
      </w:r>
      <w:r>
        <w:rPr>
          <w:rtl/>
        </w:rPr>
        <w:t xml:space="preserve"> </w:t>
      </w:r>
      <w:r>
        <w:rPr>
          <w:sz w:val="20"/>
          <w:szCs w:val="20"/>
          <w:rtl/>
        </w:rPr>
        <w:t>(נ''א דאיהו מוחא)</w:t>
      </w:r>
      <w:r>
        <w:rPr>
          <w:rtl/>
        </w:rPr>
        <w:t xml:space="preserve">, </w:t>
      </w:r>
      <w:r>
        <w:rPr>
          <w:rStyle w:val="Char"/>
          <w:rtl/>
          <w:lang w:eastAsia="en-US"/>
        </w:rPr>
        <w:t>בְּגִין דְּרֵיאָה</w:t>
      </w:r>
      <w:r>
        <w:rPr>
          <w:rtl/>
        </w:rPr>
        <w:t xml:space="preserve"> </w:t>
      </w:r>
      <w:r>
        <w:rPr>
          <w:sz w:val="20"/>
          <w:szCs w:val="20"/>
          <w:rtl/>
        </w:rPr>
        <w:t>(נ''א דרישא)</w:t>
      </w:r>
      <w:r>
        <w:rPr>
          <w:rtl/>
        </w:rPr>
        <w:t xml:space="preserve"> כְּלִילָא מִתַּרְוַיְיהוּ, כְּגַוְונָא דְעוֹפָא מִמַּיָּא וְאַרְעָא, וְאִינוּן כְּלִילָן מִתַּרְוַיְיהוּ. עַל מוֹחָא שַׁרְיָא בְּרָכָה, עַל לִבָּא שַׁרְיָא קְדוּשָׁה, עַל רֵיאָה שַׁרְיָא יִחוּד, מַחֲשָׁבָה </w:t>
      </w:r>
      <w:r>
        <w:rPr>
          <w:sz w:val="20"/>
          <w:szCs w:val="20"/>
          <w:rtl/>
        </w:rPr>
        <w:t xml:space="preserve">(הגהה דף סא ע''א) </w:t>
      </w:r>
      <w:r>
        <w:rPr>
          <w:rtl/>
        </w:rPr>
        <w:t xml:space="preserve">כְלִילָא מִכֻּלְּהוּ, וְאִינוּן יְבָרֶכְךָ יהו''ה יָאֵר יהו''ה יִשָּׂא יהו''ה </w:t>
      </w:r>
      <w:r>
        <w:rPr>
          <w:sz w:val="20"/>
          <w:szCs w:val="20"/>
          <w:rtl/>
        </w:rPr>
        <w:t>(במדבר כד ו)</w:t>
      </w:r>
      <w:r>
        <w:rPr>
          <w:rtl/>
        </w:rPr>
        <w:t xml:space="preserve">, </w:t>
      </w:r>
      <w:r>
        <w:rPr>
          <w:rStyle w:val="a7"/>
          <w:rFonts w:hAnsi="Arial"/>
          <w:b w:val="0"/>
          <w:bCs w:val="0"/>
          <w:rtl/>
          <w:lang w:eastAsia="en-US"/>
        </w:rPr>
        <w:footnoteReference w:id="3245"/>
      </w:r>
      <w:r>
        <w:rPr>
          <w:rtl/>
        </w:rPr>
        <w:t xml:space="preserve">יְבָרֶכְךָ בְּמוֹחָא, יָאֵר בְּלִבָּא דְתַמָּן נְהוֹרָא דְעַיְינִין, כְּמָה דְאוּקְמוּהָ הַלֵּב רוֹאֶה, יִשָּׂא </w:t>
      </w:r>
      <w:r>
        <w:rPr>
          <w:rStyle w:val="a7"/>
          <w:rFonts w:hAnsi="Arial"/>
          <w:b w:val="0"/>
          <w:bCs w:val="0"/>
          <w:rtl/>
          <w:lang w:eastAsia="en-US"/>
        </w:rPr>
        <w:footnoteReference w:id="3246"/>
      </w:r>
      <w:r>
        <w:rPr>
          <w:rtl/>
        </w:rPr>
        <w:t>בְּרֵיאָה דְאִיהוּ שָׁלוֹם, הֲדָא הוּא דִכְתִיב וְיָשֵׂם לְךָ שָׁלוֹם.</w:t>
      </w:r>
    </w:p>
    <w:p w:rsidR="002D629A" w:rsidRDefault="002D629A" w:rsidP="00B17EA9">
      <w:pPr>
        <w:pStyle w:val="NormalWeb"/>
        <w:rPr>
          <w:rtl/>
        </w:rPr>
      </w:pPr>
      <w:r>
        <w:rPr>
          <w:rStyle w:val="a7"/>
          <w:rFonts w:hAnsi="Arial"/>
          <w:b w:val="0"/>
          <w:bCs w:val="0"/>
          <w:rtl/>
          <w:lang w:eastAsia="en-US"/>
        </w:rPr>
        <w:footnoteReference w:id="3247"/>
      </w:r>
      <w:r>
        <w:rPr>
          <w:rtl/>
        </w:rPr>
        <w:t xml:space="preserve">וְאִינוּן שְׁמִיעָ''ה רְאִיָּ''ה רֵיחָ''א, שְׁמִיעָ''ה בְּמוֹחַ, וְאִיהוּ בְּהִפּוּכָא חוֹ''ם, דְּשַׁרְיָא בְלַחוּתָא וּקְרִירוּתָא דְמוֹחָא לְחַמְמָא לֵיהּ, מִסִּטְרָא דִגְבוּרָה, וְאִיהוּ אַרְיֵה מִסִּטְרָא דְגוּפָא, שׁוֹר מִסִּטְרָא דְנַפְשָׁא, דְּאִינוּן אֵשׁ וּמַיִם, אֵשׁ שִׂכְלִית מַיִם יְסוֹדִית, </w:t>
      </w:r>
      <w:r>
        <w:rPr>
          <w:rStyle w:val="a7"/>
          <w:rFonts w:hAnsi="Arial"/>
          <w:b w:val="0"/>
          <w:bCs w:val="0"/>
          <w:rtl/>
          <w:lang w:eastAsia="en-US"/>
        </w:rPr>
        <w:footnoteReference w:id="3248"/>
      </w:r>
      <w:r>
        <w:rPr>
          <w:rtl/>
        </w:rPr>
        <w:t>רְאִיָּ''ה בְּלִבָּ''א, דְאִיהוּ אֵשׁ, רְאִיָּ''ה אַרְיֵ''ה, מַיִם שִׂכְלִית לְקַרְרָא אֵשׁ יְסוֹדִי דְּלִבָּא, דְּלָא יוֹקִיד כָּל גּוּפָא.</w:t>
      </w:r>
    </w:p>
    <w:p w:rsidR="002D629A" w:rsidRDefault="002D629A" w:rsidP="00B17EA9">
      <w:pPr>
        <w:pStyle w:val="NormalWeb"/>
        <w:rPr>
          <w:rtl/>
        </w:rPr>
      </w:pPr>
      <w:r>
        <w:rPr>
          <w:rStyle w:val="a7"/>
          <w:rFonts w:hAnsi="Arial"/>
          <w:b w:val="0"/>
          <w:bCs w:val="0"/>
          <w:rtl/>
          <w:lang w:eastAsia="en-US"/>
        </w:rPr>
        <w:footnoteReference w:id="3249"/>
      </w:r>
      <w:r>
        <w:rPr>
          <w:rtl/>
        </w:rPr>
        <w:t xml:space="preserve">רֵיחָא בְרֵיאָה דְנָפִיק לְחוֹטָמָא, עֲלֵיהּ אִתְּמַר </w:t>
      </w:r>
      <w:r>
        <w:rPr>
          <w:sz w:val="20"/>
          <w:szCs w:val="20"/>
          <w:rtl/>
        </w:rPr>
        <w:t>(בראשית ב ז)</w:t>
      </w:r>
      <w:r>
        <w:rPr>
          <w:rtl/>
        </w:rPr>
        <w:t xml:space="preserve"> וַיִּפַּח בְּאַפָּיו נִשְׁמַת חַיִּים, וְרֵיאָה אִיהִי מִסִּטְרָא דְמוֹחָא קְרִירָא, וּמִסִּטְרָא דְלִבָּא יְבֵישָׁה, וְאִיהוּ חֶצְיוֹ מַיִם יְסוֹדִית, וְחֶצְיוֹ יְבֵשָׁה יְסוֹדִית, בְּגִין דָּא שַׁרְיָא עֲלָהּ רוּחָא שִׂכְלִית, דְּאִיהוּ חַם וְלַח, חַם לְחַמְמָא קְרִירוּתָא, לַח לְרַטְבָא יְבֵשׁוּתָא, דָּא שִׂכְלִי וְדָא יְסוֹדִיִּי.</w:t>
      </w:r>
    </w:p>
    <w:p w:rsidR="002D629A" w:rsidRDefault="002D629A" w:rsidP="00B17EA9">
      <w:pPr>
        <w:pStyle w:val="NormalWeb"/>
        <w:rPr>
          <w:rtl/>
        </w:rPr>
      </w:pPr>
      <w:r>
        <w:rPr>
          <w:rtl/>
        </w:rPr>
        <w:t xml:space="preserve">דִּבּוּר דָּא אָדָם, דִּכְּלִיל מִכֻּלְּהוּ, </w:t>
      </w:r>
      <w:r>
        <w:rPr>
          <w:rStyle w:val="a7"/>
          <w:rFonts w:hAnsi="Arial"/>
          <w:b w:val="0"/>
          <w:bCs w:val="0"/>
          <w:rtl/>
          <w:lang w:eastAsia="en-US"/>
        </w:rPr>
        <w:footnoteReference w:id="3250"/>
      </w:r>
      <w:r>
        <w:rPr>
          <w:rtl/>
        </w:rPr>
        <w:t xml:space="preserve">וּמָאן אַפִּיק לֵיהּ מַחֲשָׁבָה, וּבְגִין אִלֵּין שִׂכְלִיִּים הֲווֹ נָחֲתִין בְּקָרְבָּנָא לְקָרְבָא קָרְבָּנָא וּלְיַחֲדָא כֹלָּא, וְאִלֵּין אִינוּן בִּתְחִיַּית הַמֵּתִים, דִּבְהוֹן יְהֵא קוּדְשָׁא בְּרִיךְ הוּא מְקָרֵב עֶצֶם אֶל עַצְמוֹ, </w:t>
      </w:r>
      <w:r>
        <w:rPr>
          <w:rStyle w:val="a7"/>
          <w:rFonts w:hAnsi="Arial"/>
          <w:b w:val="0"/>
          <w:bCs w:val="0"/>
          <w:rtl/>
          <w:lang w:eastAsia="en-US"/>
        </w:rPr>
        <w:footnoteReference w:id="3251"/>
      </w:r>
      <w:r>
        <w:rPr>
          <w:rtl/>
        </w:rPr>
        <w:t xml:space="preserve">וְגִידִין וְעַרְקִין כֻּלְּהוֹן לְחַבְּרָא דָא בְדָא, וִיקַבְּלוּן אִלֵּין בְּאִלֵּין, וּמְשֻׁלָּבִין אִלֵּין בְּאִלֵּין, הֲדָא הוּא דִכְתִיב </w:t>
      </w:r>
      <w:r>
        <w:rPr>
          <w:sz w:val="20"/>
          <w:szCs w:val="20"/>
          <w:rtl/>
        </w:rPr>
        <w:t>(שמות לו ה)</w:t>
      </w:r>
      <w:r>
        <w:rPr>
          <w:rtl/>
        </w:rPr>
        <w:t xml:space="preserve"> מַקְבִּילוֹת הַלּוּלָאוֹת וְגוֹמֵר, בְּהַהוּא זִמְנָא יְהֵא חֶדְוָה וְנִגּוּנָא, בִּקְרִיבוּ דִלְהוֹן.</w:t>
      </w:r>
    </w:p>
    <w:p w:rsidR="003841DB" w:rsidRDefault="003841DB" w:rsidP="003841DB">
      <w:pPr>
        <w:pStyle w:val="a8"/>
        <w:spacing w:before="0" w:after="40"/>
        <w:rPr>
          <w:rtl/>
        </w:rPr>
      </w:pPr>
      <w:r>
        <w:rPr>
          <w:rtl/>
        </w:rPr>
        <w:t>תקוני הזוהר עם פירוש הגר"א</w:t>
      </w:r>
    </w:p>
    <w:p w:rsidR="003841DB" w:rsidRDefault="003841DB" w:rsidP="00602EF1">
      <w:pPr>
        <w:pStyle w:val="1"/>
        <w:rPr>
          <w:sz w:val="39"/>
          <w:szCs w:val="39"/>
          <w:rtl/>
        </w:rPr>
      </w:pPr>
      <w:bookmarkStart w:id="217" w:name="_Toc228091301"/>
      <w:bookmarkStart w:id="218" w:name="_Toc231637940"/>
      <w:r>
        <w:rPr>
          <w:rtl/>
        </w:rPr>
        <w:t>תקונא עשרין ותרין</w:t>
      </w:r>
      <w:bookmarkEnd w:id="217"/>
      <w:bookmarkEnd w:id="218"/>
    </w:p>
    <w:p w:rsidR="003841DB" w:rsidRDefault="003841DB" w:rsidP="00B17EA9">
      <w:pPr>
        <w:pStyle w:val="aa"/>
        <w:rPr>
          <w:rtl/>
        </w:rPr>
      </w:pPr>
      <w:bookmarkStart w:id="219" w:name="_Toc228095683"/>
      <w:bookmarkStart w:id="220" w:name="_Toc231638121"/>
      <w:r>
        <w:rPr>
          <w:rtl/>
        </w:rPr>
        <w:t>[תיקוני זוהר - דף סא ע''ב, סב ע''א]</w:t>
      </w:r>
      <w:bookmarkEnd w:id="219"/>
      <w:bookmarkEnd w:id="220"/>
    </w:p>
    <w:p w:rsidR="003841DB" w:rsidRDefault="003841DB" w:rsidP="00B17EA9">
      <w:pPr>
        <w:pStyle w:val="NormalWeb"/>
        <w:rPr>
          <w:rtl/>
        </w:rPr>
      </w:pPr>
      <w:r>
        <w:rPr>
          <w:sz w:val="20"/>
          <w:szCs w:val="23"/>
          <w:rtl/>
        </w:rPr>
        <w:t xml:space="preserve">(דף סא ע''ב) </w:t>
      </w:r>
      <w:r>
        <w:rPr>
          <w:rtl/>
        </w:rPr>
        <w:t xml:space="preserve">בְּרֵאשִׁית בָּרָא אלהי''ם, </w:t>
      </w:r>
      <w:r>
        <w:rPr>
          <w:sz w:val="20"/>
          <w:szCs w:val="23"/>
          <w:rtl/>
        </w:rPr>
        <w:t>(ס"א בראשית)</w:t>
      </w:r>
      <w:r>
        <w:rPr>
          <w:rtl/>
        </w:rPr>
        <w:t xml:space="preserve"> </w:t>
      </w:r>
      <w:r>
        <w:rPr>
          <w:rStyle w:val="a7"/>
          <w:rtl/>
        </w:rPr>
        <w:footnoteReference w:id="3252"/>
      </w:r>
      <w:r>
        <w:rPr>
          <w:rtl/>
        </w:rPr>
        <w:t xml:space="preserve">חַד אִיהוּ דְלָא אִתְגַּלְיָיא, וּבָרָא תְּרֵין. </w:t>
      </w:r>
      <w:r>
        <w:rPr>
          <w:rStyle w:val="a7"/>
          <w:rtl/>
        </w:rPr>
        <w:footnoteReference w:id="3253"/>
      </w:r>
      <w:r>
        <w:rPr>
          <w:rtl/>
        </w:rPr>
        <w:t xml:space="preserve">תְּרֵין אִינוּן בּ', וְאִינוּן תְּרֵין עָלְמִין סְתִימִין, </w:t>
      </w:r>
      <w:r>
        <w:rPr>
          <w:rStyle w:val="a7"/>
          <w:rtl/>
        </w:rPr>
        <w:footnoteReference w:id="3254"/>
      </w:r>
      <w:r>
        <w:rPr>
          <w:rtl/>
        </w:rPr>
        <w:t xml:space="preserve">וּבַמֶּה בְרָא לוֹן בִּנְקוּדָא חֲדָא סְתִימָא, </w:t>
      </w:r>
      <w:r>
        <w:rPr>
          <w:rStyle w:val="a7"/>
          <w:rtl/>
        </w:rPr>
        <w:footnoteReference w:id="3255"/>
      </w:r>
      <w:r>
        <w:rPr>
          <w:rtl/>
        </w:rPr>
        <w:t xml:space="preserve">רֵאשִׁית אִתְקְרֵי, וַעֲלָהּ אִתְּמַר </w:t>
      </w:r>
      <w:r>
        <w:rPr>
          <w:sz w:val="20"/>
          <w:szCs w:val="23"/>
          <w:rtl/>
        </w:rPr>
        <w:t>(תהלים קד כד)</w:t>
      </w:r>
      <w:r>
        <w:rPr>
          <w:rtl/>
        </w:rPr>
        <w:t xml:space="preserve"> כֻּלָּם בְּחָכְמָה עָשִׂיתָ, </w:t>
      </w:r>
      <w:r>
        <w:rPr>
          <w:rStyle w:val="a7"/>
          <w:rtl/>
        </w:rPr>
        <w:footnoteReference w:id="3256"/>
      </w:r>
      <w:r>
        <w:rPr>
          <w:rtl/>
        </w:rPr>
        <w:t xml:space="preserve">וּתְרֵין עָלְמִין סְתִימִין לָא הֲווֹ אִתְגַּלְיָין, עַד דְּעָבִיד לוֹן תְּרֵין לְבוּשִׁין, וּמַאי נִינְהוּ אֵת הַשָּׁמַיִם </w:t>
      </w:r>
      <w:r>
        <w:rPr>
          <w:sz w:val="20"/>
          <w:szCs w:val="23"/>
          <w:rtl/>
        </w:rPr>
        <w:t xml:space="preserve">(דף סב ע''א) </w:t>
      </w:r>
      <w:r>
        <w:rPr>
          <w:rtl/>
        </w:rPr>
        <w:t xml:space="preserve">וְאֵת הָאָרֶץ, אֵת הַשָּׁמַיִם </w:t>
      </w:r>
      <w:r>
        <w:rPr>
          <w:rStyle w:val="a7"/>
          <w:rtl/>
        </w:rPr>
        <w:footnoteReference w:id="3257"/>
      </w:r>
      <w:r>
        <w:rPr>
          <w:rtl/>
        </w:rPr>
        <w:t xml:space="preserve">לְבוּשָׁא לְעָלְמָא עִלָּאָה </w:t>
      </w:r>
      <w:r>
        <w:rPr>
          <w:rStyle w:val="a7"/>
          <w:rtl/>
        </w:rPr>
        <w:footnoteReference w:id="3258"/>
      </w:r>
      <w:r>
        <w:rPr>
          <w:rtl/>
        </w:rPr>
        <w:t xml:space="preserve">דְאִתְבְּרִי בִּנְקוּדָה עִלָּאָה, וְאֵת הָאָרֶץ לְבוּשָׁא לְעָלְמָא תַּתָּאָה דְאִתְבְּרִי בֵּאלֹהִי''ם דְּאִיהִי אִימָּא עִלָּאָה. י' רֵאשִׁית אִתְקְרִי </w:t>
      </w:r>
      <w:r>
        <w:rPr>
          <w:rStyle w:val="a7"/>
          <w:rtl/>
        </w:rPr>
        <w:footnoteReference w:id="3259"/>
      </w:r>
      <w:r>
        <w:rPr>
          <w:rtl/>
        </w:rPr>
        <w:t xml:space="preserve">וְאִיהוּ </w:t>
      </w:r>
      <w:r>
        <w:rPr>
          <w:rStyle w:val="a7"/>
          <w:rtl/>
        </w:rPr>
        <w:footnoteReference w:id="3260"/>
      </w:r>
      <w:r>
        <w:rPr>
          <w:rtl/>
        </w:rPr>
        <w:t xml:space="preserve">אַבָּא דְכֹלָּא, ה' אלהי''ם וְאִיהִי אִמָּא דְכֹלָּא אֵם כָּל חָי, </w:t>
      </w:r>
      <w:r>
        <w:rPr>
          <w:rStyle w:val="a7"/>
          <w:rtl/>
        </w:rPr>
        <w:footnoteReference w:id="3261"/>
      </w:r>
      <w:r>
        <w:rPr>
          <w:rtl/>
        </w:rPr>
        <w:t xml:space="preserve">וְחָכְמָה דְאִיהוּ אַבָּא לָא אִשְׁתְּמוֹדָע אֶלָּא בְּבִינָה דְאִיהִי אלהי''ם, </w:t>
      </w:r>
      <w:r>
        <w:rPr>
          <w:rStyle w:val="a7"/>
          <w:rtl/>
        </w:rPr>
        <w:footnoteReference w:id="3262"/>
      </w:r>
      <w:r>
        <w:rPr>
          <w:rtl/>
        </w:rPr>
        <w:t>וְתַמָּן י''ה אַבָּא וְאִימָּא כַּחֲדָא, תְּרֵין עָלְמִין סְתִימִין, ו''ה אִינוּן תְּרֵין בְּנִין, וְאִינוּן עָלְמָא דֵין וְעָלְמָא דְאָתֵי, ו' עָלְמָא דְאָתֵי דְאִיהוּ עָלְמָא אֲרִיכָא, ה' עָלְמָא דֵין דְּלַאו אִיהוּ אֲרִיךְ.</w:t>
      </w:r>
    </w:p>
    <w:p w:rsidR="003841DB" w:rsidRDefault="003841DB" w:rsidP="00B17EA9">
      <w:pPr>
        <w:pStyle w:val="NormalWeb"/>
        <w:rPr>
          <w:rtl/>
        </w:rPr>
      </w:pPr>
      <w:r>
        <w:rPr>
          <w:rStyle w:val="a7"/>
          <w:rtl/>
        </w:rPr>
        <w:footnoteReference w:id="3263"/>
      </w:r>
      <w:r>
        <w:rPr>
          <w:rtl/>
        </w:rPr>
        <w:t xml:space="preserve">בּ' תְּרֵין הֵיכָלִין לִתְרֵין אַתְוָון דְּאִינוּן י''ה, וַעֲלֵיהּ אִתְּמַר </w:t>
      </w:r>
      <w:r>
        <w:rPr>
          <w:sz w:val="20"/>
          <w:szCs w:val="23"/>
          <w:rtl/>
        </w:rPr>
        <w:t>(איוב כח יג)</w:t>
      </w:r>
      <w:r>
        <w:rPr>
          <w:rtl/>
        </w:rPr>
        <w:t xml:space="preserve"> אלהי''ם הֵבִין דַּרְכָּה וְהוּא יָדַע אֶת מְקוֹמָהּ, וּמַאי נִיהוּ בּ' הֵיכָלִין אִלֵּין, אֶלָּא חַד אִיהוּ אהי''ה, וְתִנְיָינָא אדנ''י, וְתַרְוַיְיהוּ אִינוּן כִּנּוּיִין לִתְרֵין אַתְוָון י''ה אַבָּא וְאִימָּא, </w:t>
      </w:r>
      <w:r>
        <w:rPr>
          <w:rStyle w:val="a7"/>
          <w:rtl/>
        </w:rPr>
        <w:footnoteReference w:id="3264"/>
      </w:r>
      <w:r>
        <w:rPr>
          <w:rtl/>
        </w:rPr>
        <w:t xml:space="preserve">וְהָכִי סְלִיק חוּשְׁבַּן אהי''ה אדנ''י </w:t>
      </w:r>
      <w:r>
        <w:rPr>
          <w:sz w:val="20"/>
          <w:szCs w:val="23"/>
          <w:rtl/>
        </w:rPr>
        <w:t>(ס''א וחושבן אלהי''ם)</w:t>
      </w:r>
      <w:r>
        <w:rPr>
          <w:rtl/>
        </w:rPr>
        <w:t xml:space="preserve"> לְחוּשְׁבַּן כִּנּוּ''י, </w:t>
      </w:r>
      <w:r>
        <w:rPr>
          <w:rStyle w:val="a7"/>
          <w:rtl/>
        </w:rPr>
        <w:footnoteReference w:id="3265"/>
      </w:r>
      <w:r>
        <w:rPr>
          <w:rtl/>
        </w:rPr>
        <w:t xml:space="preserve">וּבָהּ גְּנִיזִין אַבָּא וְאִימָּא, וְדָא אִיהוּ הַנִּסְתָּרוֹת לַיהו''ה אלהינ''ו </w:t>
      </w:r>
      <w:r>
        <w:rPr>
          <w:sz w:val="20"/>
          <w:szCs w:val="23"/>
          <w:rtl/>
        </w:rPr>
        <w:t>(דברים כט כח)</w:t>
      </w:r>
      <w:r>
        <w:rPr>
          <w:rtl/>
        </w:rPr>
        <w:t xml:space="preserve"> י''ה, וְדָא אִינוּן סְתִירִין וּגְנִיזִין, </w:t>
      </w:r>
      <w:r>
        <w:rPr>
          <w:rStyle w:val="a7"/>
          <w:rtl/>
        </w:rPr>
        <w:footnoteReference w:id="3266"/>
      </w:r>
      <w:r>
        <w:rPr>
          <w:rtl/>
        </w:rPr>
        <w:t xml:space="preserve">וְאִינוּן סִתְרֵי דְאוֹרַיְיתָא מַמָּשׁ, וּבְגִין דְּאִינוּן סְתִירִין, צָרִיךְ דְּלָא לְגַלָּאָה לוֹן, וְדָא אִיהוּ רָזָא דְעֶרְיָין, דְּאִתְּמַר בְּהוֹן </w:t>
      </w:r>
      <w:r>
        <w:rPr>
          <w:sz w:val="20"/>
          <w:szCs w:val="23"/>
          <w:rtl/>
        </w:rPr>
        <w:t>(ויקרא יח ז)</w:t>
      </w:r>
      <w:r>
        <w:rPr>
          <w:rtl/>
        </w:rPr>
        <w:t xml:space="preserve"> עֶרְוַת אָבִיךָ וְעֶרְוַת אִמְּךָ לֹא תְגַלֵּה, לֹא תְגַלֵּה וַדַּאי מִן כִּסּוּיָא דִלְהוֹן.</w:t>
      </w:r>
    </w:p>
    <w:p w:rsidR="003841DB" w:rsidRDefault="003841DB" w:rsidP="00B17EA9">
      <w:pPr>
        <w:pStyle w:val="NormalWeb"/>
        <w:rPr>
          <w:rtl/>
        </w:rPr>
      </w:pPr>
      <w:r>
        <w:rPr>
          <w:rStyle w:val="a7"/>
          <w:rtl/>
        </w:rPr>
        <w:footnoteReference w:id="3267"/>
      </w:r>
      <w:r>
        <w:rPr>
          <w:rtl/>
        </w:rPr>
        <w:t xml:space="preserve">קָם בּוֹצִינָא קַדִּישָׁא פָּתַח וְאָמַר, סָבָא סָבָא נְחֵית הָכָא, דְּהָא שְׁכִינְתָּא קַדִּישָׁא קָא נְטִירַת לָךְ וּלְחַבְרָךְ, בְּאוֹמָאָה עֲלַיְיכוּ לָא תִּתְעַכְּבוּן הָתָם לְנַחֲתָא הָכָא אַתּוּן, וְהָכִי אוֹמִינָא לְכָל אִינוּן מָארֵי מְתִיבְתָּא </w:t>
      </w:r>
      <w:r>
        <w:rPr>
          <w:rStyle w:val="a7"/>
          <w:rtl/>
        </w:rPr>
        <w:footnoteReference w:id="3268"/>
      </w:r>
      <w:r>
        <w:rPr>
          <w:rtl/>
        </w:rPr>
        <w:t>עִלָּאָה וְתַתָּאָה, דִיְהוֹן כֻּלְּהוֹן נָחֲתִין עִמְּכוֹן, וְכֵן אֲנָא אוֹמִינָא לְאִינוּן מַלְאָכִין וַחֲיָילִין קַדִּישִׁין דִּי מְמַנָּן לְנַטְרָא לְכוּ, וְלַאו לִיקָרָא דִידִי עֲבִידְנָא וְלַאו לִיקָרָא דְאַבָּא וְאִמָּא, אֶלָּא לִיקָרָא דִשְׁכִינְתָּא.</w:t>
      </w:r>
    </w:p>
    <w:p w:rsidR="003841DB" w:rsidRDefault="003841DB" w:rsidP="00B17EA9">
      <w:pPr>
        <w:pStyle w:val="NormalWeb"/>
        <w:rPr>
          <w:rtl/>
        </w:rPr>
      </w:pPr>
      <w:r>
        <w:rPr>
          <w:rtl/>
        </w:rPr>
        <w:t xml:space="preserve">מִיָּד קָלָא אִתְעַר בְּעַנְפֵי אִלָּנִין דְּגִנְּתָא דְעִדֶן, </w:t>
      </w:r>
      <w:r>
        <w:rPr>
          <w:rStyle w:val="a7"/>
          <w:rtl/>
        </w:rPr>
        <w:footnoteReference w:id="3269"/>
      </w:r>
      <w:r>
        <w:rPr>
          <w:rtl/>
        </w:rPr>
        <w:t xml:space="preserve">עִלָּאִין נָחְתוּ, </w:t>
      </w:r>
      <w:r>
        <w:rPr>
          <w:sz w:val="20"/>
          <w:szCs w:val="23"/>
          <w:rtl/>
        </w:rPr>
        <w:t>(מלאכין)</w:t>
      </w:r>
      <w:r>
        <w:rPr>
          <w:szCs w:val="23"/>
          <w:rtl/>
        </w:rPr>
        <w:t xml:space="preserve"> </w:t>
      </w:r>
      <w:r>
        <w:rPr>
          <w:sz w:val="20"/>
          <w:szCs w:val="23"/>
          <w:rtl/>
        </w:rPr>
        <w:t>(נ''א תתאין)</w:t>
      </w:r>
      <w:r>
        <w:rPr>
          <w:rtl/>
        </w:rPr>
        <w:t xml:space="preserve"> אִתְכַּנְשׁוּ לְנַחֲתָא, בְּאִלֵּין מָארֵי מְתִיבְתָּא עִלָּאָה וְתַתָּאָה, דְּהָא רְשׁוּתָא אִתְיַיהִיב לְכוּ מִלְּעִילָא, מִיָּד כֻּלְּהוּ אִתְפַּשְׁטוּ מִדִּיּוֹקְנֵיהוֹן, וְאִתְלַבְּשׁוּ בְּאַוִּירִין דְּהַאי עָלְמָא דְּאִיהוּ כִּנּוּי וּסְתִירָה לְאַתְוָון קַדִּישִׁין.</w:t>
      </w:r>
    </w:p>
    <w:p w:rsidR="003841DB" w:rsidRDefault="003841DB" w:rsidP="00B17EA9">
      <w:pPr>
        <w:pStyle w:val="NormalWeb"/>
        <w:rPr>
          <w:rtl/>
        </w:rPr>
      </w:pPr>
      <w:r>
        <w:rPr>
          <w:rtl/>
        </w:rPr>
        <w:t xml:space="preserve">אַדְהָכִי הָא אֵלִיָּהוּ קָא אַקְדִּים לְתַקְנָא לוֹן מוֹתְבַיְיהוּ, </w:t>
      </w:r>
      <w:r>
        <w:rPr>
          <w:rStyle w:val="a7"/>
          <w:rtl/>
        </w:rPr>
        <w:footnoteReference w:id="3270"/>
      </w:r>
      <w:r>
        <w:rPr>
          <w:rtl/>
        </w:rPr>
        <w:t xml:space="preserve">פָּתַח וְאָמַר רַבִּי רַבִּי בּוֹצִינָא קַדִּישָׁא, </w:t>
      </w:r>
      <w:r>
        <w:rPr>
          <w:rStyle w:val="a7"/>
          <w:rtl/>
        </w:rPr>
        <w:footnoteReference w:id="3271"/>
      </w:r>
      <w:r>
        <w:rPr>
          <w:rtl/>
        </w:rPr>
        <w:t xml:space="preserve">דְפוּמָא דִילָךְ אִיהוּ מְמַלֵּל רַבְרְבָן בְּאוֹרַיְיתָא, מִנֵּיהּ מִזְדַּעְזְעִין עִלָּאִין וְתַתָּאִין, </w:t>
      </w:r>
      <w:r>
        <w:rPr>
          <w:rStyle w:val="a7"/>
          <w:rtl/>
        </w:rPr>
        <w:footnoteReference w:id="3272"/>
      </w:r>
      <w:r>
        <w:rPr>
          <w:rtl/>
        </w:rPr>
        <w:t xml:space="preserve">וּפוּמָא דִילָךְ </w:t>
      </w:r>
      <w:r>
        <w:rPr>
          <w:rStyle w:val="a7"/>
          <w:rtl/>
        </w:rPr>
        <w:footnoteReference w:id="3273"/>
      </w:r>
      <w:r>
        <w:rPr>
          <w:rtl/>
        </w:rPr>
        <w:t xml:space="preserve">אִתְּמַר בָּהּ </w:t>
      </w:r>
      <w:r>
        <w:rPr>
          <w:sz w:val="20"/>
          <w:szCs w:val="23"/>
          <w:rtl/>
        </w:rPr>
        <w:t>(שמות יט יח)</w:t>
      </w:r>
      <w:r>
        <w:rPr>
          <w:rtl/>
        </w:rPr>
        <w:t xml:space="preserve"> וְהַר סִינַי עָשַׁן כֻּלּוֹ וכו', בְּגִין </w:t>
      </w:r>
      <w:r>
        <w:rPr>
          <w:rStyle w:val="a7"/>
          <w:rtl/>
        </w:rPr>
        <w:footnoteReference w:id="3274"/>
      </w:r>
      <w:r>
        <w:rPr>
          <w:rtl/>
        </w:rPr>
        <w:t xml:space="preserve">דְּאָת י' </w:t>
      </w:r>
      <w:r>
        <w:rPr>
          <w:rStyle w:val="a7"/>
          <w:rtl/>
        </w:rPr>
        <w:footnoteReference w:id="3275"/>
      </w:r>
      <w:r>
        <w:rPr>
          <w:rtl/>
        </w:rPr>
        <w:t xml:space="preserve">שַׁרְיָא בְּמוֹחָא דִילָךְ, ה' בְּלִבָּךְ דְּאִיהִי בִּינָה, </w:t>
      </w:r>
      <w:r>
        <w:rPr>
          <w:rStyle w:val="a7"/>
          <w:rtl/>
        </w:rPr>
        <w:footnoteReference w:id="3276"/>
      </w:r>
      <w:r>
        <w:rPr>
          <w:rtl/>
        </w:rPr>
        <w:t xml:space="preserve">וּבָהּ לֵב מֵבִין, ו' בְּפוּמָא דִילָךְ, וּמִנֵּיהּ וְכָל הָעָם רוֹאִים אֶת הַקּוֹלוֹת </w:t>
      </w:r>
      <w:r>
        <w:rPr>
          <w:sz w:val="20"/>
          <w:szCs w:val="23"/>
          <w:rtl/>
        </w:rPr>
        <w:t>(שם כ יח)</w:t>
      </w:r>
      <w:r>
        <w:rPr>
          <w:rtl/>
        </w:rPr>
        <w:t xml:space="preserve">, דְּאִיהוּ </w:t>
      </w:r>
      <w:r>
        <w:rPr>
          <w:rStyle w:val="a7"/>
          <w:rtl/>
        </w:rPr>
        <w:footnoteReference w:id="3277"/>
      </w:r>
      <w:r>
        <w:rPr>
          <w:rtl/>
        </w:rPr>
        <w:t xml:space="preserve">בְּאִינוּן הֲבָלִים דְּנָפְקִין מִפּוּמָךְ, דַּעֲלַיְיהוּ אִתְּמַר </w:t>
      </w:r>
      <w:r>
        <w:rPr>
          <w:sz w:val="20"/>
          <w:szCs w:val="23"/>
          <w:rtl/>
        </w:rPr>
        <w:t>(תהלים כט ז)</w:t>
      </w:r>
      <w:r>
        <w:rPr>
          <w:rtl/>
        </w:rPr>
        <w:t xml:space="preserve"> קוֹל יהו''ה חוֹצֵב לַהֲבוֹת אֵשׁ.</w:t>
      </w:r>
    </w:p>
    <w:p w:rsidR="003841DB" w:rsidRDefault="003841DB" w:rsidP="00B17EA9">
      <w:pPr>
        <w:pStyle w:val="NormalWeb"/>
        <w:rPr>
          <w:rtl/>
        </w:rPr>
      </w:pPr>
      <w:r>
        <w:rPr>
          <w:rStyle w:val="a7"/>
          <w:rtl/>
        </w:rPr>
        <w:footnoteReference w:id="3278"/>
      </w:r>
      <w:r>
        <w:rPr>
          <w:rtl/>
        </w:rPr>
        <w:t xml:space="preserve">שִׁית עִזְקָאן אִינוּן בַּקָּנֶה, דִבְהוֹן סָלִיק ו', וְאִינוּן ו' דַּרְגִּין לְכָרְסַיָּיא, ה' בְּלִבָּא </w:t>
      </w:r>
      <w:r>
        <w:rPr>
          <w:rStyle w:val="a7"/>
          <w:rtl/>
        </w:rPr>
        <w:footnoteReference w:id="3279"/>
      </w:r>
      <w:r>
        <w:rPr>
          <w:rtl/>
        </w:rPr>
        <w:t xml:space="preserve">אִיהִי הֲבַ''ל ה' ל''ב, דְּוַדַּאי אִיהִי ה' בְּלִבָּא, ו' </w:t>
      </w:r>
      <w:r>
        <w:rPr>
          <w:sz w:val="20"/>
          <w:szCs w:val="23"/>
          <w:rtl/>
        </w:rPr>
        <w:t>(קול)</w:t>
      </w:r>
      <w:r>
        <w:rPr>
          <w:rtl/>
        </w:rPr>
        <w:t xml:space="preserve"> בְּקוֹל דְּנָפִיק מִנֵּיהּ, וְהַאי אִיהוּ קוֹל דְּנָפַק מֵהֲבַל.</w:t>
      </w:r>
    </w:p>
    <w:p w:rsidR="003841DB" w:rsidRDefault="003841DB" w:rsidP="00B17EA9">
      <w:pPr>
        <w:pStyle w:val="aa"/>
        <w:rPr>
          <w:rtl/>
        </w:rPr>
      </w:pPr>
      <w:r>
        <w:rPr>
          <w:rtl/>
        </w:rPr>
        <w:t xml:space="preserve">[תיקוני זוהר - דף סב ע''ב] </w:t>
      </w:r>
    </w:p>
    <w:p w:rsidR="003841DB" w:rsidRDefault="003841DB" w:rsidP="00B17EA9">
      <w:pPr>
        <w:pStyle w:val="NormalWeb"/>
        <w:rPr>
          <w:rtl/>
        </w:rPr>
      </w:pPr>
      <w:r>
        <w:rPr>
          <w:rtl/>
        </w:rPr>
        <w:t xml:space="preserve">וּתְרֵין בָּתִּין אִית בְּלִבָּא, חַד אַפִּיק הֲבַל, וְחַד אַפִּיק הֲבַל וְאִינוּן ה' עִלָּאָה ה' תַּתָּאָה, בִּתְרֵי בָּתֵּי לִבָּא, </w:t>
      </w:r>
      <w:r>
        <w:rPr>
          <w:rStyle w:val="a7"/>
          <w:rtl/>
        </w:rPr>
        <w:footnoteReference w:id="3280"/>
      </w:r>
      <w:r>
        <w:rPr>
          <w:rtl/>
        </w:rPr>
        <w:t xml:space="preserve">דְאִנּוּן לָקֳבֵל בַּיִת רִאשׁוֹן וְשֵׁנִי, </w:t>
      </w:r>
      <w:r>
        <w:rPr>
          <w:rStyle w:val="a7"/>
          <w:rtl/>
        </w:rPr>
        <w:footnoteReference w:id="3281"/>
      </w:r>
      <w:r>
        <w:rPr>
          <w:rtl/>
        </w:rPr>
        <w:t xml:space="preserve">ו' קוֹל דְּנָפִיק מִתַּרְוַיְיהוּ, </w:t>
      </w:r>
      <w:r>
        <w:rPr>
          <w:rStyle w:val="a7"/>
          <w:rtl/>
        </w:rPr>
        <w:footnoteReference w:id="3282"/>
      </w:r>
      <w:r>
        <w:rPr>
          <w:rtl/>
        </w:rPr>
        <w:t xml:space="preserve">י' דִּבּוּר דְּשַׁרְיָא בְּפוּמָא, </w:t>
      </w:r>
      <w:r>
        <w:rPr>
          <w:rStyle w:val="a7"/>
          <w:rtl/>
        </w:rPr>
        <w:footnoteReference w:id="3283"/>
      </w:r>
      <w:r>
        <w:rPr>
          <w:rtl/>
        </w:rPr>
        <w:t xml:space="preserve">וַעֲלֵיהּ אִתְּמַר </w:t>
      </w:r>
      <w:r>
        <w:rPr>
          <w:sz w:val="20"/>
          <w:szCs w:val="23"/>
          <w:rtl/>
        </w:rPr>
        <w:t>(תהלים לג ו)</w:t>
      </w:r>
      <w:r>
        <w:rPr>
          <w:rtl/>
        </w:rPr>
        <w:t xml:space="preserve"> בִּדְבַר יהו''ה שָׁמַיִם נַעֲשׂוּ, </w:t>
      </w:r>
      <w:r>
        <w:rPr>
          <w:rStyle w:val="a7"/>
          <w:rtl/>
        </w:rPr>
        <w:footnoteReference w:id="3284"/>
      </w:r>
      <w:r>
        <w:rPr>
          <w:rtl/>
        </w:rPr>
        <w:t xml:space="preserve">וְאִיהוּ דִבּוּר חַד דִּכְלִיל עֲשַׂר אֲמִירָן, </w:t>
      </w:r>
      <w:r>
        <w:rPr>
          <w:rStyle w:val="a7"/>
          <w:rtl/>
        </w:rPr>
        <w:footnoteReference w:id="3285"/>
      </w:r>
      <w:r>
        <w:rPr>
          <w:rtl/>
        </w:rPr>
        <w:t xml:space="preserve">וְרָזָא דְמִלָּה אַחַת דִּבֶּר אלהי''ם שְׁתַּיִם זוּ שָׁמָעְתִּי </w:t>
      </w:r>
      <w:r>
        <w:rPr>
          <w:sz w:val="20"/>
          <w:szCs w:val="23"/>
          <w:rtl/>
        </w:rPr>
        <w:t>(שם סב יב)</w:t>
      </w:r>
      <w:r>
        <w:rPr>
          <w:rtl/>
        </w:rPr>
        <w:t xml:space="preserve">, </w:t>
      </w:r>
      <w:r>
        <w:rPr>
          <w:rStyle w:val="a7"/>
          <w:rtl/>
        </w:rPr>
        <w:footnoteReference w:id="3286"/>
      </w:r>
      <w:r>
        <w:rPr>
          <w:rtl/>
        </w:rPr>
        <w:t xml:space="preserve">לְאַחֲזָאָה בָּהּ דַּעֲשַׂר דִּבְּרָן בְּדִבּוּר חַד אִתְאֲמָרוּ, שְׁתַּיִם זוּ אִלֵּין אָנֹכִי וְלֹא יִהְיֶה לְךָ, </w:t>
      </w:r>
      <w:r>
        <w:rPr>
          <w:rStyle w:val="a7"/>
          <w:rtl/>
        </w:rPr>
        <w:footnoteReference w:id="3287"/>
      </w:r>
      <w:r>
        <w:rPr>
          <w:rtl/>
        </w:rPr>
        <w:t xml:space="preserve">וְאִיהוּ אֶחָד חַד בֵּינַיְיהוּ, </w:t>
      </w:r>
      <w:r>
        <w:rPr>
          <w:rStyle w:val="a7"/>
          <w:rtl/>
        </w:rPr>
        <w:footnoteReference w:id="3288"/>
      </w:r>
      <w:r>
        <w:rPr>
          <w:rtl/>
        </w:rPr>
        <w:t xml:space="preserve">וְדָא אִיהוּ דְאַמְרָן דִּבְתַרְוַיְיהוּ תַלְיָין פִּקּוּדִין דַּעֲשֵׂה וְלֹא תַעֲשֶׂה, וְקוּדְשָׁא בְּרִיךְ הוּא מִתַּרְוַיְיהוּ מַלִּיל </w:t>
      </w:r>
      <w:r>
        <w:rPr>
          <w:rStyle w:val="a7"/>
          <w:rtl/>
        </w:rPr>
        <w:footnoteReference w:id="3289"/>
      </w:r>
      <w:r>
        <w:rPr>
          <w:rtl/>
        </w:rPr>
        <w:t xml:space="preserve">לְמֵיהַב יְקָרָא לְאוֹרַיְיתָא, דְּהָא אִיהוּ בְּדִבּוּרָא חַד אָמַר כֹּלָּא, וְלָמָה אָמַר שְׁתַּיִם זוּ שָׁמָעְתִּי, ז''וּ אֶחָ''ד, הֲוִי בְּחוּשְׁבַּן, דִּתְרֵי תוֹרוֹת הֲווֹ, וְקוּדְשָׁא בְּרִיךְ הוּא חַד בֵּינַיְיהוּ וּשְׁמֵיהּ חָד, </w:t>
      </w:r>
      <w:r>
        <w:rPr>
          <w:rStyle w:val="a7"/>
          <w:rtl/>
        </w:rPr>
        <w:footnoteReference w:id="3290"/>
      </w:r>
      <w:r>
        <w:rPr>
          <w:rtl/>
        </w:rPr>
        <w:t xml:space="preserve">וּמִתְּרֵין דִּבּוּרִין נָפַק קָלָא </w:t>
      </w:r>
      <w:r>
        <w:rPr>
          <w:sz w:val="20"/>
          <w:szCs w:val="23"/>
          <w:rtl/>
        </w:rPr>
        <w:t xml:space="preserve">(דף סב ע''ב) </w:t>
      </w:r>
      <w:r>
        <w:rPr>
          <w:rStyle w:val="a7"/>
          <w:rtl/>
        </w:rPr>
        <w:footnoteReference w:id="3291"/>
      </w:r>
      <w:r>
        <w:rPr>
          <w:rtl/>
        </w:rPr>
        <w:t>וְאִתְפַּלֵּג לְשַׁבְעִין קָלִין, לָקֳבֵל שַׁבְעִין אַנְפִּין, וְקָטַל בְּהוֹן שַׁבְעִין אוּמִין עַל דְּלָא קַבִּילוּ אוֹרַיְיתָא, וּבִתְרֵין דִּבּוּרִין קָטִיל לִתְרֵין אוּמִין, דְּאִינוּן עִשָׂו וְיִשְׁמָעִאל דְּלָא בָּעוּ לְקַבְּלָא אוֹרַיְיתָא.</w:t>
      </w:r>
    </w:p>
    <w:p w:rsidR="003841DB" w:rsidRDefault="003841DB" w:rsidP="00B17EA9">
      <w:pPr>
        <w:pStyle w:val="NormalWeb"/>
        <w:rPr>
          <w:rtl/>
        </w:rPr>
      </w:pPr>
      <w:r>
        <w:rPr>
          <w:rStyle w:val="a7"/>
          <w:rtl/>
        </w:rPr>
        <w:footnoteReference w:id="3292"/>
      </w:r>
      <w:r>
        <w:rPr>
          <w:rtl/>
        </w:rPr>
        <w:t xml:space="preserve">דְּהָא קוּדְשָׁא בְּרִיךְ הוּא חַד אִיהוּ, וְאִיהוּ לָא הֲוָה מְמַלֵּל בְּאִלֵּין קָלִין וְדִבּוּרִין דְּאָנֹכִי, אֶלָּא לְאַחְזָאָה דִשְׁמֵיהּ וִיקָרֵיהּ הֲוָה בְאוֹרַיְיתָא, </w:t>
      </w:r>
      <w:r>
        <w:rPr>
          <w:rStyle w:val="a7"/>
          <w:rtl/>
        </w:rPr>
        <w:footnoteReference w:id="3293"/>
      </w:r>
      <w:r>
        <w:rPr>
          <w:rtl/>
        </w:rPr>
        <w:t xml:space="preserve">וּבְגִין דָּא קוּדְשָׁא בְּרִיךְ הוּא מַלִּיל מִינָהּ </w:t>
      </w:r>
      <w:r>
        <w:rPr>
          <w:sz w:val="20"/>
          <w:szCs w:val="23"/>
          <w:rtl/>
        </w:rPr>
        <w:t>(נ''א בדינא)</w:t>
      </w:r>
      <w:r>
        <w:rPr>
          <w:rtl/>
        </w:rPr>
        <w:t xml:space="preserve">, בְּגִין דְּיִתְזַעְזַעוּן כָּל אוּמִין דְּעָלְמָא מֵאִלֵּין דְּמִשְׁתַּדְלִין בָּהּ, וּבְגִין דָּא אָמַר קוּדְשָׁא בְּרִיךְ הוּא לְמֹשֶׁה </w:t>
      </w:r>
      <w:r>
        <w:rPr>
          <w:sz w:val="20"/>
          <w:szCs w:val="23"/>
          <w:rtl/>
        </w:rPr>
        <w:t>(שמות ג טו)</w:t>
      </w:r>
      <w:r>
        <w:rPr>
          <w:rtl/>
        </w:rPr>
        <w:t xml:space="preserve"> זֶה שְּׁמִי לְעֹלָם וְזֶה זִכְרִי לְדוֹר דּוֹר, שְׁמִי עִם י''ה שְׁסָ''ה פִּקּוּדִין דְּלֹא תַעֲשֶׂה, זִכְרִי עִם ו''ה רְמַ''ח פִּקּוּדִין דַּעֲשֵׂה, לְאַחְזָאָה </w:t>
      </w:r>
      <w:r>
        <w:rPr>
          <w:rStyle w:val="a7"/>
          <w:rtl/>
        </w:rPr>
        <w:footnoteReference w:id="3294"/>
      </w:r>
      <w:r>
        <w:rPr>
          <w:rtl/>
        </w:rPr>
        <w:t xml:space="preserve">דְאוֹרַיְיתָא בִשְׁמָא דְקוּדְשָׁא בְּרִיךְ הוּא אִתְבְּרִיאַת, וְעַל שְׁמֵיהּ אִתְקְרִיאַת, </w:t>
      </w:r>
      <w:r>
        <w:rPr>
          <w:rStyle w:val="a7"/>
          <w:rtl/>
        </w:rPr>
        <w:footnoteReference w:id="3295"/>
      </w:r>
      <w:r>
        <w:rPr>
          <w:rtl/>
        </w:rPr>
        <w:t xml:space="preserve">הֲדָא הוּא דִכְתִיב </w:t>
      </w:r>
      <w:r>
        <w:rPr>
          <w:sz w:val="20"/>
          <w:szCs w:val="23"/>
          <w:rtl/>
        </w:rPr>
        <w:t>(ישעיהו מג ז)</w:t>
      </w:r>
      <w:r>
        <w:rPr>
          <w:rtl/>
        </w:rPr>
        <w:t xml:space="preserve"> כָּל הַנִּקְרָא בִּשְׁמִי וכו', וּבָהּ שַׁרְיָיא קוּדְשָׁא בְּרִיךְ הוּא, </w:t>
      </w:r>
      <w:r>
        <w:rPr>
          <w:rStyle w:val="a7"/>
          <w:rtl/>
        </w:rPr>
        <w:footnoteReference w:id="3296"/>
      </w:r>
      <w:r>
        <w:rPr>
          <w:rtl/>
        </w:rPr>
        <w:t>וּמִינָהּ מַלִּיל בְּסִינַי.</w:t>
      </w:r>
    </w:p>
    <w:p w:rsidR="003841DB" w:rsidRDefault="003841DB" w:rsidP="00B17EA9">
      <w:pPr>
        <w:pStyle w:val="NormalWeb"/>
        <w:rPr>
          <w:rtl/>
        </w:rPr>
      </w:pPr>
      <w:r>
        <w:rPr>
          <w:rStyle w:val="a7"/>
          <w:rtl/>
        </w:rPr>
        <w:footnoteReference w:id="3297"/>
      </w:r>
      <w:r>
        <w:rPr>
          <w:rtl/>
        </w:rPr>
        <w:t xml:space="preserve">וְאִית אוֹרַיְיתָא עִלָּאָה דְלָא אִתְקְרֵי בָּהּ בְּרִיאָה אֶלָּא אֲצִילוּתָא דִילֵיהּ, וְהִיא וְהוּא כֹּלָּא חָד, וְכָל בַּר נַשׁ דְּאִשְׁתַּדַּל בְּאוֹרַיְיתָא שְׁמֵיהּ דְּקוּדְשָׁא בְּרִיךְ הוּא תַּמָּן, כָּל שֶׁכֵּן וְכָל שֶׁכֵּן בְּבוֹצִינָא קַדִּישָׁא, </w:t>
      </w:r>
      <w:r>
        <w:rPr>
          <w:rStyle w:val="a7"/>
          <w:rtl/>
        </w:rPr>
        <w:footnoteReference w:id="3298"/>
      </w:r>
      <w:r>
        <w:rPr>
          <w:rtl/>
        </w:rPr>
        <w:t xml:space="preserve">וּבוֹצִינָא קַדִּישָׁא וַדַּאי פִּימָךְ אִיהִי סִינַי, </w:t>
      </w:r>
      <w:r>
        <w:rPr>
          <w:rStyle w:val="a7"/>
          <w:rtl/>
        </w:rPr>
        <w:footnoteReference w:id="3299"/>
      </w:r>
      <w:r>
        <w:rPr>
          <w:rtl/>
        </w:rPr>
        <w:t xml:space="preserve">שֶׁבַע הֲבָלִים דְּנָפְקִין מִפּוּמָךְ שְׁכִינְתָּא שַׁרְיָא עֲלַיְיהוּ, דְאִיהִי בַּת שֶׁבַע, דְּאִינוּן שֶׁבַע שְׁמָהָן דִּשְׁמָא מְפָרַשׁ, דְּאִיהוּ שְׁמָא דְאַרְבְּעִין וּתְרֵין אַתְוָון, </w:t>
      </w:r>
      <w:r>
        <w:rPr>
          <w:rStyle w:val="a7"/>
          <w:rtl/>
        </w:rPr>
        <w:footnoteReference w:id="3300"/>
      </w:r>
      <w:r>
        <w:rPr>
          <w:rtl/>
        </w:rPr>
        <w:t xml:space="preserve">דְּאִיהִי וַדַּאי </w:t>
      </w:r>
      <w:r>
        <w:rPr>
          <w:rStyle w:val="a7"/>
          <w:rtl/>
        </w:rPr>
        <w:footnoteReference w:id="3301"/>
      </w:r>
      <w:r>
        <w:rPr>
          <w:rtl/>
        </w:rPr>
        <w:t xml:space="preserve">בֵּיהּ סָלְקָא לְשֶׁבַע, דְּאִיהִי ה', ה' עִלָּאָה, </w:t>
      </w:r>
      <w:r>
        <w:rPr>
          <w:rStyle w:val="a7"/>
          <w:rtl/>
        </w:rPr>
        <w:footnoteReference w:id="3302"/>
      </w:r>
      <w:r>
        <w:rPr>
          <w:rtl/>
        </w:rPr>
        <w:t xml:space="preserve">וּמִנָּהּ סָלִיק קוֹל דְּאִיהוּ עַמּוּדָא דְאֶמְצָעִיתָא, וְאִסְתַּלַּק לְשַׁבְעִין קָלִין, </w:t>
      </w:r>
      <w:r>
        <w:rPr>
          <w:rStyle w:val="a7"/>
          <w:rtl/>
        </w:rPr>
        <w:footnoteReference w:id="3303"/>
      </w:r>
      <w:r>
        <w:rPr>
          <w:rtl/>
        </w:rPr>
        <w:t xml:space="preserve">דְּאִיהוּ סְלִיק לְאַוִּירָא דַכְיָא, אַוִּירָא דְאֶרֶץ יִשְׂרָאֵל דְּאִיהִי מַחְכִּים, מִסִּטְרָא דְחָכְמָה דְאִיהִי י', </w:t>
      </w:r>
      <w:r>
        <w:rPr>
          <w:rStyle w:val="a7"/>
          <w:rtl/>
        </w:rPr>
        <w:footnoteReference w:id="3304"/>
      </w:r>
      <w:r>
        <w:rPr>
          <w:rtl/>
        </w:rPr>
        <w:t xml:space="preserve">וּבָהּ סְלִיק ו' לְעֶשֶׂר ו' זִמְנִין, וּב' הֵהִי''ן אִינוּן ה' הֲבַל מִלְּגָאו ה' הֲבַל מִלְּבָר, וְתַרְוַיְיהוּ אִינוּן בְּלִבָּא וּבְפוּמָא, אִינוּן עֲשַׂר דִּבְּרָן דְּקוּדְשָׁא בְּרִיךְ הוּא, </w:t>
      </w:r>
      <w:r>
        <w:rPr>
          <w:rStyle w:val="a7"/>
          <w:rtl/>
        </w:rPr>
        <w:footnoteReference w:id="3305"/>
      </w:r>
      <w:r>
        <w:rPr>
          <w:rtl/>
        </w:rPr>
        <w:t>וּבְהוֹן אִינוּן לִבָּא וּפוּמָא שָׁוִין, וּמָאן דְּאִתְעַסַּק בְּאוֹרַיְיתָא כְּדֵין צָרִיךְ דִּיְהֵא פוּמָא וְלִבָּא שָׁוִין, וְלַאו לְמַגָּנָא אוּקְמוּהוּ מָארֵי מַתְנִיתִין, כָּל מִי שֶׁאֵין תּוֹכוֹ כְּבַרוֹ אַל יִכָּנֵס לְבֵית הַמֶּדְרָשׁ.</w:t>
      </w:r>
    </w:p>
    <w:p w:rsidR="003841DB" w:rsidRDefault="003841DB" w:rsidP="00B17EA9">
      <w:pPr>
        <w:pStyle w:val="NormalWeb"/>
        <w:rPr>
          <w:sz w:val="20"/>
          <w:szCs w:val="23"/>
          <w:rtl/>
        </w:rPr>
      </w:pPr>
      <w:r>
        <w:rPr>
          <w:rStyle w:val="a7"/>
          <w:rtl/>
        </w:rPr>
        <w:footnoteReference w:id="3306"/>
      </w:r>
      <w:r>
        <w:rPr>
          <w:rtl/>
        </w:rPr>
        <w:t xml:space="preserve">תְּרֵין הֵהִי''ן וַדַּאי אִינוּן תְּרֵין דִּבּוּרִין, דְּאִתְּמַר בְּהוֹן </w:t>
      </w:r>
      <w:r>
        <w:rPr>
          <w:sz w:val="20"/>
          <w:szCs w:val="23"/>
          <w:rtl/>
        </w:rPr>
        <w:t>(תהלים סב יב)</w:t>
      </w:r>
      <w:r>
        <w:rPr>
          <w:rtl/>
        </w:rPr>
        <w:t xml:space="preserve"> שְׁתַּיִם זוּ שָׁמָעְתִּי, </w:t>
      </w:r>
      <w:r>
        <w:rPr>
          <w:rStyle w:val="a7"/>
          <w:rtl/>
        </w:rPr>
        <w:footnoteReference w:id="3307"/>
      </w:r>
      <w:r>
        <w:rPr>
          <w:rtl/>
        </w:rPr>
        <w:t xml:space="preserve">ו' קָלָא דְנָפִיק מִנַּיְיהוּ, </w:t>
      </w:r>
      <w:r>
        <w:rPr>
          <w:rStyle w:val="a7"/>
          <w:rtl/>
        </w:rPr>
        <w:footnoteReference w:id="3308"/>
      </w:r>
      <w:r>
        <w:rPr>
          <w:rtl/>
        </w:rPr>
        <w:t xml:space="preserve">וַעֲלֵיהּ אִתְּמַר </w:t>
      </w:r>
      <w:r>
        <w:rPr>
          <w:sz w:val="20"/>
          <w:szCs w:val="23"/>
          <w:rtl/>
        </w:rPr>
        <w:t>(דברים ד יב)</w:t>
      </w:r>
      <w:r>
        <w:rPr>
          <w:rtl/>
        </w:rPr>
        <w:t xml:space="preserve"> קוֹל דְּבָרִים אַתֶּם שֹׁמְעִים, וְהַאי קוֹל נָפִיק מִתְּרֵין דִּבּוּרִין דְּאִיהוּ ה''ה, דִּכְלִילָן עֲשַׂר דִּבְּרָן, ה' בְּלוּחָא חֲדָא, וַהֲווֹ מְסַדְּרִין לְגַבַּיְיהוּ </w:t>
      </w:r>
      <w:r>
        <w:rPr>
          <w:sz w:val="20"/>
          <w:szCs w:val="23"/>
          <w:rtl/>
        </w:rPr>
        <w:t>(דברים כט ט)</w:t>
      </w:r>
      <w:r>
        <w:rPr>
          <w:rtl/>
        </w:rPr>
        <w:t xml:space="preserve"> רָאשֵׁיכֶם שִׁבְטֵיכֶם זִקְנֵיכֶם וְשׁוֹטְרֵיכֶם כֹּל אִישׁ יִשְׂרָאֵל, הָא חָמֵשׁ בְּלוּחָא קַדְמָאָה, בְּלוּחָא תִנְיָינָא הֲווֹ מְסַדְּרִין לְגַבַּיְיהוּ חָמֵשׁ תִּקּוּנִין אָחֳרָנִין, דְּאִינוּן טַפְּכֶם נְשֵׁיכֶם וְגֵרְךָ מֵחֹטֵב עִצֶיךָ עַד שֹׁאֵב מֵימֶיךָ, דָּא אִינוּן ה', הָא תְּרֵין דִּבּוּרִין דִּכְלִילָן בְּהוֹן עֶשֶׂר, וְקָלָא דַהֲוָה נָפִיק מִנַּיְיהוּ הֲוָה כְלִיל לוֹן. </w:t>
      </w:r>
      <w:r>
        <w:rPr>
          <w:sz w:val="20"/>
          <w:szCs w:val="23"/>
          <w:rtl/>
        </w:rPr>
        <w:t>(על פי ביהגר"א הושמט הקטע ודא ו' עד לע"ב שמהן)</w:t>
      </w:r>
    </w:p>
    <w:p w:rsidR="003841DB" w:rsidRDefault="003841DB" w:rsidP="00B17EA9">
      <w:pPr>
        <w:pStyle w:val="NormalWeb"/>
        <w:rPr>
          <w:rtl/>
        </w:rPr>
      </w:pPr>
      <w:r>
        <w:rPr>
          <w:rtl/>
        </w:rPr>
        <w:t xml:space="preserve">ה' ה' תְּרֵין דִּבּוּרִין וּבְהוֹן עֶשֶׂר הָא תְּרֵיסַר, ו' הוּא סְלִיק בְּאָת י', ו' זִמְנִין י' דְּאִינוּן שִׁתִּין הָא ע''ב, וְאִי תֵּימָא דִבְאוֹרַיְיתָא מַלִּיל וְלָא יַתִּיר, לָא אִשְׁתַּכַּח אֲתַר לְעִילָא וְתַתָּא דְלָא מַלִּיל מִנֵּיהּ, אֲפִילוּ בְּמַלְאָכִין, דְּלָא אִשְׁתַּכַּח דֶּאלֹ''ה אָחֳרָא אִית בְּעָלְמָא, וּמַלִּיל בַּכָּרְסַיָּיא, הֲדָא הוּא דִכְתִיב אָנֹכִי, וְהָכִי סְלִיק אָנֹכִ''י לְחֻשְׁבַּן כִּסֵּ''א, וּלְבָתַר מַלִּיל בְּמַלְאָכִין, הֲדָא הוּא דִכְתִיב </w:t>
      </w:r>
      <w:r>
        <w:rPr>
          <w:sz w:val="20"/>
          <w:szCs w:val="23"/>
          <w:rtl/>
        </w:rPr>
        <w:t>(שמות כ יח)</w:t>
      </w:r>
      <w:r>
        <w:rPr>
          <w:rtl/>
        </w:rPr>
        <w:t xml:space="preserve"> וְכָל הָעָם רֹאִים אֶת הַקּוֹלֹת, דַּעֲלַיְיהוּ אִתְּמַר </w:t>
      </w:r>
      <w:r>
        <w:rPr>
          <w:sz w:val="20"/>
          <w:szCs w:val="23"/>
          <w:rtl/>
        </w:rPr>
        <w:t>(קהלת י כ)</w:t>
      </w:r>
      <w:r>
        <w:rPr>
          <w:rtl/>
        </w:rPr>
        <w:t xml:space="preserve"> כִּי עוֹף הַשָּׁמַיִם יוֹלִיךְ אֶת הַקּוֹל כו'.</w:t>
      </w:r>
    </w:p>
    <w:p w:rsidR="003841DB" w:rsidRDefault="003841DB" w:rsidP="00B17EA9">
      <w:pPr>
        <w:pStyle w:val="aa"/>
        <w:rPr>
          <w:rtl/>
        </w:rPr>
      </w:pPr>
      <w:r>
        <w:rPr>
          <w:rtl/>
        </w:rPr>
        <w:t xml:space="preserve">[תיקוני זוהר - דף סג ע''א] </w:t>
      </w:r>
    </w:p>
    <w:p w:rsidR="003841DB" w:rsidRDefault="003841DB" w:rsidP="00B17EA9">
      <w:pPr>
        <w:pStyle w:val="NormalWeb"/>
        <w:rPr>
          <w:rtl/>
        </w:rPr>
      </w:pPr>
      <w:r>
        <w:rPr>
          <w:rtl/>
        </w:rPr>
        <w:t xml:space="preserve">בְּגִין דְּכַד קוּדְשָׁא בְּרִיךְ הוּא בָּעָא לְמַלְּלָא בְמַלְאָכַיָּא נָחַת שְׁמֵיהּ עֲלַיְיהוּ, כְּגַוְונָא דָא יהו''ה, </w:t>
      </w:r>
      <w:r>
        <w:rPr>
          <w:rStyle w:val="a7"/>
          <w:rtl/>
        </w:rPr>
        <w:footnoteReference w:id="3309"/>
      </w:r>
      <w:r>
        <w:rPr>
          <w:rtl/>
        </w:rPr>
        <w:t xml:space="preserve">י' בְּחַיָּה חֲדָא דְאִיהִי אַרְיֵ''ה, וּבֵיהּ אִתְּמַר </w:t>
      </w:r>
      <w:r>
        <w:rPr>
          <w:sz w:val="20"/>
          <w:szCs w:val="23"/>
          <w:rtl/>
        </w:rPr>
        <w:t>(עמוס ג ח)</w:t>
      </w:r>
      <w:r>
        <w:rPr>
          <w:rtl/>
        </w:rPr>
        <w:t xml:space="preserve"> אַרְיֵה שָׁאָג מִי לֹא יִירָא, וּבְאָן אֲתַר י' בְּרֵישָׁא ה' עַל גַּדְפוֹי ו' בְּפוּמֵיהּ ה' בִּזְנָבֵיהּ, וּבְגִינָהּ אִתְּמַר הֱוִי זָנָב לַאֲרָיוֹת וכו', וְדָא הוּא וּפְנֵי אַרְיֵה אֶל הַיָּמִין לְאַרְבַּעְתָּם </w:t>
      </w:r>
      <w:r>
        <w:rPr>
          <w:sz w:val="20"/>
          <w:szCs w:val="23"/>
          <w:rtl/>
        </w:rPr>
        <w:t>(יחזקאל א י)</w:t>
      </w:r>
      <w:r>
        <w:rPr>
          <w:rtl/>
        </w:rPr>
        <w:t xml:space="preserve">, וּלְבָתַר הֲוָה נָחִית בְּחַיָּה דִשְׁמָהּ שׁוֹר, כְּגַוְונָא דָא הוה''י, ה' בְּרֵישֵׁיהּ ו' בְּפוּמוֹי ה' </w:t>
      </w:r>
      <w:r>
        <w:rPr>
          <w:sz w:val="20"/>
          <w:szCs w:val="23"/>
          <w:rtl/>
        </w:rPr>
        <w:t xml:space="preserve">(דף סג ע''א) </w:t>
      </w:r>
      <w:r>
        <w:rPr>
          <w:rtl/>
        </w:rPr>
        <w:t xml:space="preserve">בְּגַדְפוֹי י' בִּזְנָבֵיהּ, וְדָא אִיהוּ וּפְנֵי שׁוֹר מֵהַשְּׂמֹאל, וּלְבָתַר הֲוָה נָחִית עַל חַיָּה שֶׁשְּׁמָהּ נֶשֶׁר, כְּגַוְונָא דָא והי''ה, ו' בְּרֵישֵׁיהּ ה' בְּפוּמֵיהּ י' בְּגַדְפוֹי ה' עַל זְנָבֵיהּ, וְדָא אִיהוּ וּפְנֵי נֶשֶׁר לְאַרְבַּעְתָּם, </w:t>
      </w:r>
      <w:r>
        <w:rPr>
          <w:rStyle w:val="a7"/>
          <w:rtl/>
        </w:rPr>
        <w:footnoteReference w:id="3310"/>
      </w:r>
      <w:r>
        <w:rPr>
          <w:rtl/>
        </w:rPr>
        <w:t xml:space="preserve">וְאִינוּן תְּרֵי עֲשַׂר אַנְפִּין, </w:t>
      </w:r>
      <w:r>
        <w:rPr>
          <w:rStyle w:val="a7"/>
          <w:rtl/>
        </w:rPr>
        <w:footnoteReference w:id="3311"/>
      </w:r>
      <w:r>
        <w:rPr>
          <w:rtl/>
        </w:rPr>
        <w:t xml:space="preserve">לְכָל חַד שִׁית, סָלְקִין לְע''ב, וְדָא אִיהוּ וְכָל הָעָם רוֹאִים אֶת הַקּוֹלוֹת </w:t>
      </w:r>
      <w:r>
        <w:rPr>
          <w:sz w:val="20"/>
          <w:szCs w:val="23"/>
          <w:rtl/>
        </w:rPr>
        <w:t>(שמות כ יח)</w:t>
      </w:r>
      <w:r>
        <w:rPr>
          <w:rtl/>
        </w:rPr>
        <w:t>.</w:t>
      </w:r>
    </w:p>
    <w:p w:rsidR="003841DB" w:rsidRDefault="003841DB" w:rsidP="00B17EA9">
      <w:pPr>
        <w:pStyle w:val="NormalWeb"/>
        <w:rPr>
          <w:rtl/>
        </w:rPr>
      </w:pPr>
      <w:r>
        <w:rPr>
          <w:rtl/>
        </w:rPr>
        <w:t xml:space="preserve">וְאָדָם רָכִיב עַל גַּבַּיְיהוּ דָא מטטרו''ן, </w:t>
      </w:r>
      <w:r>
        <w:rPr>
          <w:rStyle w:val="a7"/>
          <w:rtl/>
        </w:rPr>
        <w:footnoteReference w:id="3312"/>
      </w:r>
      <w:r>
        <w:rPr>
          <w:rtl/>
        </w:rPr>
        <w:t xml:space="preserve">דְּאִיהוּ כְּלִיל שְׁמָא דְאַרְבְּעִין וּתְרֵין אַתְוָון, וְאִינוּן </w:t>
      </w:r>
      <w:r>
        <w:rPr>
          <w:sz w:val="20"/>
          <w:szCs w:val="23"/>
          <w:rtl/>
        </w:rPr>
        <w:t>(שית אתוון, ולכל את סלקין שית)</w:t>
      </w:r>
      <w:r>
        <w:rPr>
          <w:rtl/>
        </w:rPr>
        <w:t xml:space="preserve">, ז' תֵּיבִין וּבְכָל תֵּיבָה שִׁית אַתְוָון וְסָלְקִין לְמ''ב, וְדָא אִיהוּ שְׂרָפִים עוֹמְדִים מִמַּעַל לוֹ, שֵׁשׁ כְּנָפַיִם שֵׁשׁ כְּנָפַיִם לְאֶחָד, בִּשְׁתַּיִם יְכַסֶּה פָנָיו וּבִשְׁתַּיִם יְכַסֶּה רַגְלָיו וּבִשְׁתַּיִם יְעוֹפֵף </w:t>
      </w:r>
      <w:r>
        <w:rPr>
          <w:sz w:val="20"/>
          <w:szCs w:val="23"/>
          <w:rtl/>
        </w:rPr>
        <w:t>(ישעיהו ו ב)</w:t>
      </w:r>
      <w:r>
        <w:rPr>
          <w:rtl/>
        </w:rPr>
        <w:t>.</w:t>
      </w:r>
    </w:p>
    <w:p w:rsidR="003841DB" w:rsidRDefault="003841DB" w:rsidP="00B17EA9">
      <w:pPr>
        <w:pStyle w:val="NormalWeb"/>
        <w:rPr>
          <w:rtl/>
        </w:rPr>
      </w:pPr>
      <w:r>
        <w:rPr>
          <w:rStyle w:val="a7"/>
          <w:rtl/>
        </w:rPr>
        <w:footnoteReference w:id="3313"/>
      </w:r>
      <w:r>
        <w:rPr>
          <w:rtl/>
        </w:rPr>
        <w:t xml:space="preserve">דִּכְמָה דְאִיהוּ שְׁמָא דְקוּדְשָׁא בְּרִיךְ הוּא דְמ''ב וְע''ב לְעִילָא, כַּךְ אִיהוּ שְׁמָא דְמ''ב וְע''ב לְתַתָּא, הֲדָא הוּא דִכְתִיב </w:t>
      </w:r>
      <w:r>
        <w:rPr>
          <w:sz w:val="20"/>
          <w:szCs w:val="23"/>
          <w:rtl/>
        </w:rPr>
        <w:t>(תהלים מח יא)</w:t>
      </w:r>
      <w:r>
        <w:rPr>
          <w:rtl/>
        </w:rPr>
        <w:t xml:space="preserve"> כְּשִׁמְךָ אלהי''ם כֵּן תְּהִלָּתֶךָ עַל קַצְוִי אֶרֶץ, וְדָא אִיהוּ וְכָל הָעָם רוֹאִים אֶת הַקּוֹלוֹת, וְאִינוּן הֲווֹ מַלְאָכִין, דְּכָל חַד הֲוָה אִתְעֲבִיד קוֹל וּפָרַח בְּאַוִּירָא, וְכָל חַד מִיִּשְׂרָאֵל דַּהֲוָה אָמַר נַעֲשֶׂה וְנִשְׁמָע הֲוָה שַׁרְיָא בְּפוּמֵיהּ, וַהֲוָה אוֹלִיף לֵיהּ אוֹרַיְיתָא כֻּלָּהּ.</w:t>
      </w:r>
    </w:p>
    <w:p w:rsidR="003841DB" w:rsidRDefault="003841DB" w:rsidP="00B17EA9">
      <w:pPr>
        <w:pStyle w:val="NormalWeb"/>
        <w:rPr>
          <w:rtl/>
        </w:rPr>
      </w:pPr>
      <w:r>
        <w:rPr>
          <w:rtl/>
        </w:rPr>
        <w:t xml:space="preserve">וּלְבָתַר מַלִּיל עִמְּהוֹן מִן שְׁמַיָּא וְאַרְעָא, הֲדָא הוּא דִכְתִיב </w:t>
      </w:r>
      <w:r>
        <w:rPr>
          <w:sz w:val="20"/>
          <w:szCs w:val="23"/>
          <w:rtl/>
        </w:rPr>
        <w:t>(דברים ד לו)</w:t>
      </w:r>
      <w:r>
        <w:rPr>
          <w:rtl/>
        </w:rPr>
        <w:t xml:space="preserve"> מִן הַשָּׁמַיִם הִשְׁמִיעֲךָ אֶת קוֹלוֹ לְיַסְּרֶךָּ, וְעַל הָאָרֶץ הֶרְאֲךָ אֶת אִשּׁוֹ הַגְּדוֹלָה וכו', בְּהַהוּא זִמְנָא דְאָמְרוּ יִשְׂרָאֵל נַעֲשֶׂה וְנִשְׁמָע </w:t>
      </w:r>
      <w:r>
        <w:rPr>
          <w:rStyle w:val="a7"/>
          <w:rtl/>
        </w:rPr>
        <w:footnoteReference w:id="3314"/>
      </w:r>
      <w:r>
        <w:rPr>
          <w:rtl/>
        </w:rPr>
        <w:t xml:space="preserve">מִיָּד יִ שְׂמְחוּ הַ שָּׁמַיִם וְ תָגֵל הָ אָרֶץ </w:t>
      </w:r>
      <w:r>
        <w:rPr>
          <w:sz w:val="20"/>
          <w:szCs w:val="23"/>
          <w:rtl/>
        </w:rPr>
        <w:t>(ד''ה א טז)</w:t>
      </w:r>
      <w:r>
        <w:rPr>
          <w:rtl/>
        </w:rPr>
        <w:t xml:space="preserve">, לְבָתַר הֲוָה מְמַלֵּל עִמְּהוֹן מֵאַרְבַּע סִטְרִין, וַהֲווֹ מִסְתַּכְּלִין לְגַבֵּי מִזְרָח וַהֲווֹ שָׁמְעִין יָת קָלָא, וּלְגַבֵּי מַעֲרָב וְדָרוֹם וְצָפוֹן הֲווֹ שָׁמְעִין יָת קָלָא, לְאַחְזָאָה דְמִכָּל אֲתַר מַלִּיל עִמְּהוֹן, וְלָא הֲוָה אֲתַר לְעִילָא וְתַתָּא דְלָא מַלִּיל עִמְּהוֹן, לְאַחְזָאָה דִמְלֹא כָל הָאָרֶץ כְּבוֹדוֹ, דְּאִיהוּ סָבִיל עִלָּאִין וְתַתָּאִין, וְאִיהוּ סָמִיךְ עִילָא וְתַתָּא וְכָרְסַיָּא יְקָרָא, וּמַלְאָכִין וְנִשְׁמָתִין, אִיהוּ </w:t>
      </w:r>
      <w:r>
        <w:rPr>
          <w:rStyle w:val="a7"/>
          <w:rtl/>
        </w:rPr>
        <w:footnoteReference w:id="3315"/>
      </w:r>
      <w:r>
        <w:rPr>
          <w:rtl/>
        </w:rPr>
        <w:t>סָבִיל כֹּלָּא, וְקָשִׁיר כֹּלָּא, וּמְיַחֵד כֹּלָּא, וְלֵית מָאן דְּסָמִיךְ לֵיהּ.</w:t>
      </w:r>
    </w:p>
    <w:p w:rsidR="003841DB" w:rsidRDefault="003841DB" w:rsidP="00B17EA9">
      <w:pPr>
        <w:pStyle w:val="NormalWeb"/>
        <w:rPr>
          <w:rtl/>
        </w:rPr>
      </w:pPr>
      <w:r>
        <w:rPr>
          <w:rStyle w:val="a7"/>
          <w:rtl/>
        </w:rPr>
        <w:footnoteReference w:id="3316"/>
      </w:r>
      <w:r>
        <w:rPr>
          <w:rtl/>
        </w:rPr>
        <w:t xml:space="preserve">וְאִיהוּ אִתְקְרֵי בְּכָל שְׁמָהָן, לְאִשְׁתְּמוֹדְעָא תּוּקְפֵיהּ בְּכָל שְׁמָא וּשְׁמָא, מֵהַהוּא דַרְגָּא וּמְמַנָּא דְשַׁרְיָא עֲלֵיהּ, וְלֵיהּ לֵית שְׁמָא יְדִיעָא, </w:t>
      </w:r>
      <w:r>
        <w:rPr>
          <w:rStyle w:val="a7"/>
          <w:rtl/>
        </w:rPr>
        <w:footnoteReference w:id="3317"/>
      </w:r>
      <w:r>
        <w:rPr>
          <w:rtl/>
        </w:rPr>
        <w:t xml:space="preserve">וְאִיהוּ אִתְקְרֵי חַד בְּחוּשְׁבָּן כַּד שַׁרְיָא בְדַרְגָּא דְאִינוּן </w:t>
      </w:r>
      <w:r>
        <w:rPr>
          <w:sz w:val="20"/>
          <w:szCs w:val="23"/>
          <w:rtl/>
        </w:rPr>
        <w:t>(אחרנין)</w:t>
      </w:r>
      <w:r>
        <w:rPr>
          <w:szCs w:val="23"/>
          <w:rtl/>
        </w:rPr>
        <w:t xml:space="preserve"> </w:t>
      </w:r>
      <w:r>
        <w:rPr>
          <w:sz w:val="20"/>
          <w:szCs w:val="23"/>
          <w:rtl/>
        </w:rPr>
        <w:t>(נ''א אחדין)</w:t>
      </w:r>
      <w:r>
        <w:rPr>
          <w:rtl/>
        </w:rPr>
        <w:t xml:space="preserve"> מִשְּׁאָר דַּרְגִּין, וְאִיהוּ לֵית לֵיהּ חוּשְׁבָּן, כַּד שַׁרְיָא עַל כָּל עָלְמִין </w:t>
      </w:r>
      <w:r>
        <w:rPr>
          <w:sz w:val="20"/>
          <w:szCs w:val="23"/>
          <w:rtl/>
        </w:rPr>
        <w:t>(ס''א עלאין)</w:t>
      </w:r>
      <w:r>
        <w:rPr>
          <w:rtl/>
        </w:rPr>
        <w:t xml:space="preserve"> וְעַל כָּל מְמַנָּא דִלְהוֹן, אִתְקְרֵי עַל שְׁמֵיהּ, לְאַחְזָאָה לְכָל חַד מִיִּשְׂרָאֵל מֵאֲתַר דְּקָרָאן לֵיהּ לְפוּם צָרְכַיְיהוּ, כְּמָה דְאוּקְמוּהוּ הָרוֹצֶה לְהַעֲשִׁיר יַצְפִּין לְהַחְכִּים יַדְרִים.</w:t>
      </w:r>
    </w:p>
    <w:p w:rsidR="003841DB" w:rsidRDefault="003841DB" w:rsidP="00B17EA9">
      <w:pPr>
        <w:pStyle w:val="NormalWeb"/>
        <w:rPr>
          <w:rtl/>
        </w:rPr>
      </w:pPr>
      <w:r>
        <w:rPr>
          <w:rtl/>
        </w:rPr>
        <w:t>קָם בּוֹצִינָא קַדִּישָׁא וְכָל מָארֵי מְתִיבְתָּאן, וְאִשְׁתַּטְחוּ קַמֵּי סָבָא, וּבְרִיכוּ לֵיהּ, אָמַר בּוֹצִינָא קַדִּישָׁא וַדַּאי הַאי סָבָא מֵאֲתַר דְּעַתִּיק יוֹמִין קָא אָתֵי, וְתַמָּן אִתְרַבֵּי, זַכָּאָה חוּלְקָנָא דְזָכֵינָא לְמִשְׁמַע מִלִּין עַתִּיקִין, מֵאֲתַר דְּעַתִּיק יוֹמִין, זַכָּאָה חוּלְקָנָא דְזָכֵינָא לְהַאי.</w:t>
      </w:r>
    </w:p>
    <w:p w:rsidR="003841DB" w:rsidRDefault="003841DB" w:rsidP="00B17EA9">
      <w:pPr>
        <w:pStyle w:val="NormalWeb"/>
        <w:rPr>
          <w:rtl/>
        </w:rPr>
      </w:pPr>
    </w:p>
    <w:p w:rsidR="003841DB" w:rsidRDefault="003841DB" w:rsidP="00B17EA9">
      <w:pPr>
        <w:pStyle w:val="NormalWeb"/>
        <w:rPr>
          <w:rtl/>
        </w:rPr>
      </w:pPr>
      <w:r>
        <w:rPr>
          <w:rStyle w:val="a7"/>
          <w:rtl/>
        </w:rPr>
        <w:footnoteReference w:id="3318"/>
      </w:r>
      <w:r>
        <w:rPr>
          <w:rtl/>
        </w:rPr>
        <w:t xml:space="preserve">קָם רַבִּי שִׁמְעוֹן פָּתַח וְאָמַר, בְּרֵאשִׁי''ת בְּרִי''ת אֵ''שׁ, דְּאִיהוּ אוֹת וּרְשִׁימוּ דְּעִלָּאִין וְתַתָּאִין בֵּיהּ קַיְימִין, </w:t>
      </w:r>
      <w:r>
        <w:rPr>
          <w:rStyle w:val="a7"/>
          <w:rtl/>
        </w:rPr>
        <w:footnoteReference w:id="3319"/>
      </w:r>
      <w:r>
        <w:rPr>
          <w:rtl/>
        </w:rPr>
        <w:t xml:space="preserve">אִיהוּ אוֹת דְּצָבָא דִלְעִילָא, וְאִיהוּ אוֹת דְּצָבָא דִלְתַתָּא, דִבְהוֹן אִתְקְרִי קוּדְשָׁא בְּרִיךְ הוּא יהו''ה צבאו''ת, </w:t>
      </w:r>
      <w:r>
        <w:rPr>
          <w:rStyle w:val="a7"/>
          <w:rtl/>
        </w:rPr>
        <w:footnoteReference w:id="3320"/>
      </w:r>
      <w:r>
        <w:rPr>
          <w:rtl/>
        </w:rPr>
        <w:t xml:space="preserve">אִיהוּ אוֹת וּבְרִית דְּבֵיהּ קַיְימִין שְׁמַיָּא וְאַרְעָא, כְּמָה דְאַתְּ אָמַר </w:t>
      </w:r>
      <w:r>
        <w:rPr>
          <w:sz w:val="20"/>
          <w:szCs w:val="23"/>
          <w:rtl/>
        </w:rPr>
        <w:t>(ירמיה לג כה)</w:t>
      </w:r>
      <w:r>
        <w:rPr>
          <w:rtl/>
        </w:rPr>
        <w:t xml:space="preserve"> אִם לֹא בְרִיתִי יוֹמָם וָלָיְלָה חוּקוֹת שָׁמַיִם וָאָרֶץ לֹא שָׁמְתִּי, </w:t>
      </w:r>
      <w:r>
        <w:rPr>
          <w:rStyle w:val="a7"/>
          <w:rtl/>
        </w:rPr>
        <w:footnoteReference w:id="3321"/>
      </w:r>
      <w:r>
        <w:rPr>
          <w:rtl/>
        </w:rPr>
        <w:t>אִיהוּ אוֹת וַדַּאי, דְּאִיהוּ רְשִׁימוּ דְחוֹתָמָא דְמַלְכָּא.</w:t>
      </w:r>
    </w:p>
    <w:p w:rsidR="003841DB" w:rsidRDefault="003841DB" w:rsidP="00B17EA9">
      <w:pPr>
        <w:pStyle w:val="aa"/>
        <w:rPr>
          <w:rtl/>
        </w:rPr>
      </w:pPr>
      <w:r>
        <w:rPr>
          <w:rtl/>
        </w:rPr>
        <w:t xml:space="preserve">[תיקוני זוהר - דף סג ע''ב] </w:t>
      </w:r>
    </w:p>
    <w:p w:rsidR="003841DB" w:rsidRDefault="003841DB" w:rsidP="00B17EA9">
      <w:pPr>
        <w:pStyle w:val="NormalWeb"/>
        <w:rPr>
          <w:rtl/>
        </w:rPr>
      </w:pPr>
      <w:r>
        <w:rPr>
          <w:rtl/>
        </w:rPr>
        <w:t xml:space="preserve">אַדְהָכִי הָא סָבָא קָא נָחִית לְגַבֵּיהּ כְּמִלְּקַדְמִין פָּתַח וְאָמַר רַבִּי רַבִּי </w:t>
      </w:r>
      <w:r>
        <w:rPr>
          <w:sz w:val="20"/>
          <w:szCs w:val="23"/>
          <w:rtl/>
        </w:rPr>
        <w:t>(י')</w:t>
      </w:r>
      <w:r>
        <w:rPr>
          <w:rtl/>
        </w:rPr>
        <w:t xml:space="preserve"> בְּרִית אִיהוּ וַדַּאי צַדִּיק חַ''י עָלְמִין, דְּאִיהוּ י' זְעִירָא מִסִּטְרָא דְחָכְמָה דִלְעִילָא, דְּכַד נָחֲתָא י' לְגַבֵּיהּ, אַף עַל גַּב דִּבְאַתְרֵיהּ י' עִלָּאָה אִתְקְרֵי, כַּד נָחִית לְגַבֵּי צַדִּיק י' זְעִירָא אִתְקְרֵי, וְאָת ו' אַף עַל גַּב דְּאִיהוּ ו' עִלָּאָה בְּאַתְרֵיהּ בְּעַמּוּדָא דְאֶמְצָעִיתָא, כַּד נָחִית לְגַבֵּי צַדִּיק לְאִתְחַבְּרָא בְּה', ו' זְעִירָא אִתְקְרִי, וְה' עִלָּאָה כַד נָחֲתָא לְגַבֵּי צַדִּיק, ה' זְעִירָא אִתְקְרִיאַת, אַלְפָא בֵּיתָא דְאַתְוָון זְעִירָן בֵּיהּ אִינוּן, וְאַף עַל גַּב </w:t>
      </w:r>
      <w:r>
        <w:rPr>
          <w:sz w:val="20"/>
          <w:szCs w:val="23"/>
          <w:rtl/>
        </w:rPr>
        <w:t xml:space="preserve">(דף סג ע''ב) </w:t>
      </w:r>
      <w:r>
        <w:rPr>
          <w:rtl/>
        </w:rPr>
        <w:t xml:space="preserve">דְּאַתְוָון דִּשְׁמָא קַדִּישָׁא בֵיהּ כְּלִילָן, סְתִימִין אִינוּן בֵּיהּ, וּבְגִינֵיהּ אִתְּמַר </w:t>
      </w:r>
      <w:r>
        <w:rPr>
          <w:sz w:val="20"/>
          <w:szCs w:val="23"/>
          <w:rtl/>
        </w:rPr>
        <w:t>(תהלים כה יד)</w:t>
      </w:r>
      <w:r>
        <w:rPr>
          <w:rtl/>
        </w:rPr>
        <w:t xml:space="preserve"> </w:t>
      </w:r>
      <w:r>
        <w:rPr>
          <w:rStyle w:val="a7"/>
          <w:rtl/>
        </w:rPr>
        <w:footnoteReference w:id="3322"/>
      </w:r>
      <w:r>
        <w:rPr>
          <w:rtl/>
        </w:rPr>
        <w:t xml:space="preserve">סוֹד יהו''ה לִירֵיאָיו וּבְרִיתוֹ לְהוֹדִיעָם, וְאִי סְתִימִין אִינוּן בֵּיהּ, בְּמַאי אִשְׁתְּמוֹדְעָאן, בִּשְׁכִינְתָּא, </w:t>
      </w:r>
      <w:r>
        <w:rPr>
          <w:rStyle w:val="a7"/>
          <w:rtl/>
        </w:rPr>
        <w:footnoteReference w:id="3323"/>
      </w:r>
      <w:r>
        <w:rPr>
          <w:rtl/>
        </w:rPr>
        <w:t xml:space="preserve">דְּאִיהִי אַסְפַּקְלַרְיָאָה דְנַהֲרָא כַּד נָחִית יהו''ה לְגַבֵּי צַדִּיק לְנַהֲרָא בָּהּ וַדַּאי, וּמִנָּהּ אִשְׁתְּמוֹדְעָן, הֲדָא הוּא דִכְתִיב </w:t>
      </w:r>
      <w:r>
        <w:rPr>
          <w:sz w:val="20"/>
          <w:szCs w:val="23"/>
          <w:rtl/>
        </w:rPr>
        <w:t>(ירמיה ט כב)</w:t>
      </w:r>
      <w:r>
        <w:rPr>
          <w:rtl/>
        </w:rPr>
        <w:t xml:space="preserve"> כֹּה אָמַר יהו''ה אַל יִתְהַלֵּל חָכָם בְּחָכְמָתוֹ, אִי אִיהוּ תַמָּן אִתְקְרִיאַת אַסְפַּקְלַרְיָאָה דְנַהֲרָא, </w:t>
      </w:r>
      <w:r>
        <w:rPr>
          <w:rStyle w:val="a7"/>
          <w:rtl/>
        </w:rPr>
        <w:footnoteReference w:id="3324"/>
      </w:r>
      <w:r>
        <w:rPr>
          <w:rtl/>
        </w:rPr>
        <w:t xml:space="preserve">וּבְהַהוּא זִמְנָא כִּי אִם בְּזֹאת </w:t>
      </w:r>
      <w:r>
        <w:rPr>
          <w:rStyle w:val="a7"/>
          <w:rtl/>
        </w:rPr>
        <w:footnoteReference w:id="3325"/>
      </w:r>
      <w:r>
        <w:rPr>
          <w:rtl/>
        </w:rPr>
        <w:t xml:space="preserve">יִ תְהַלֵּל הַ מִּתְהַלֵּל הַ שְׂכֵּל וְ יָדוֹעַ </w:t>
      </w:r>
      <w:r>
        <w:rPr>
          <w:sz w:val="20"/>
          <w:szCs w:val="23"/>
          <w:rtl/>
        </w:rPr>
        <w:t>(שם כג)</w:t>
      </w:r>
      <w:r>
        <w:rPr>
          <w:rtl/>
        </w:rPr>
        <w:t xml:space="preserve">, וְאִם יִסְתַּלַּק מִצַּדִּיק וְאִשְׁתָּאַר אִיהוּ </w:t>
      </w:r>
      <w:r>
        <w:rPr>
          <w:rStyle w:val="a7"/>
          <w:rtl/>
        </w:rPr>
        <w:footnoteReference w:id="3326"/>
      </w:r>
      <w:r>
        <w:rPr>
          <w:rtl/>
        </w:rPr>
        <w:t>חָרֵב וְיָבֵשׁ, מִיָּד אִתְקְרִיאַת אַסְפַּקְלַרְיָאָה דְלָא נַהֲרָא, בְּהַהוּא זִמְנָא אַל יִתְהַלֵּל חָכָם בְּחָכְמָתוֹ.</w:t>
      </w:r>
    </w:p>
    <w:p w:rsidR="003841DB" w:rsidRDefault="003841DB" w:rsidP="00B17EA9">
      <w:pPr>
        <w:pStyle w:val="NormalWeb"/>
        <w:rPr>
          <w:rtl/>
        </w:rPr>
      </w:pPr>
      <w:r>
        <w:rPr>
          <w:rtl/>
        </w:rPr>
        <w:t xml:space="preserve">וּמָאן גְּרִים לְאַנְהָרָא לָהּ, וּלְאִשְׁתְּמוֹדְעָא בָהּ לְקוּדְשָׁא בְּרִיךְ הוּא, מָאן דְּנַטִּיר בְּרִית, וְרָזָא דְמִלָּה זֶה הַשַּׁעַר לַיהו''ה צַדִּיקִים יָבֹאוּ בוֹ </w:t>
      </w:r>
      <w:r>
        <w:rPr>
          <w:sz w:val="20"/>
          <w:szCs w:val="23"/>
          <w:rtl/>
        </w:rPr>
        <w:t>(תהלים קיח כ)</w:t>
      </w:r>
      <w:r>
        <w:rPr>
          <w:rtl/>
        </w:rPr>
        <w:t xml:space="preserve">, דָּא אִיהִי תַרְעָא דְצַדִּיקַיָּיא, וְאִית לוֹן רְשׁוּ לְאַעָלָא תַמָּן, וְדָא אִיהוּ מָאן </w:t>
      </w:r>
      <w:r>
        <w:rPr>
          <w:rStyle w:val="a7"/>
          <w:rtl/>
        </w:rPr>
        <w:footnoteReference w:id="3327"/>
      </w:r>
      <w:r>
        <w:rPr>
          <w:rtl/>
        </w:rPr>
        <w:t xml:space="preserve">דְּאִיהוּ צַדִּיק, וּבֵיהּ יהו''ה, אִיהוּ זָכֵי בִשְׁכִינְתָּא וְיָרִית לָהּ, וְסָלִיק בָּהּ לְמַלְכָּא דְאִיהוּ עַמּוּדָא דְאֶמְצָעִיתָא, דְּאִיהוּ מֶלֶךְ, וְאִיהִי מַלְכוּת דִּילֵיהּ, וְרָזָא דְמִלָּה וְעַמֵּךְ כֻּלָּם צַדִּיקִים לְעוֹלָם יִרְשׁוּ אָרֶץ </w:t>
      </w:r>
      <w:r>
        <w:rPr>
          <w:sz w:val="20"/>
          <w:szCs w:val="23"/>
          <w:rtl/>
        </w:rPr>
        <w:t>(ישעיה ס כא)</w:t>
      </w:r>
      <w:r>
        <w:rPr>
          <w:rtl/>
        </w:rPr>
        <w:t xml:space="preserve">, וְדָא אִיהוּ שְׁכִינְתָּא דְאִתְּמַר בָּהּ </w:t>
      </w:r>
      <w:r>
        <w:rPr>
          <w:sz w:val="20"/>
          <w:szCs w:val="23"/>
          <w:rtl/>
        </w:rPr>
        <w:t>(שם סו א)</w:t>
      </w:r>
      <w:r>
        <w:rPr>
          <w:rtl/>
        </w:rPr>
        <w:t xml:space="preserve"> וְהָאָרֶץ הֲדוֹם רַגְלָי.</w:t>
      </w:r>
    </w:p>
    <w:p w:rsidR="003841DB" w:rsidRDefault="003841DB" w:rsidP="00B17EA9">
      <w:pPr>
        <w:pStyle w:val="NormalWeb"/>
        <w:rPr>
          <w:rtl/>
        </w:rPr>
      </w:pPr>
      <w:r>
        <w:rPr>
          <w:rtl/>
        </w:rPr>
        <w:t xml:space="preserve">וּשְׁכִינְתָּא אִיהִי צִיּוּרָא דְעִלָּאִין וְתַתָּאִין, כָּל דִּיּוֹקְנִין דִּסְפִירָן וְכָל שְׁמָהָן דִּלְהוֹן בָּהּ אִינוּן מְצוּיָירִים, וּבָהּ אִינוּן גְּלִיפִין נִשְׁמָתִין וּמַלְאָכִין וְחֵיוָון קַדִּישִׁין, וּבָהּ גְּלִיפִין מַה דְּאִתְּמַר בְּהוֹן </w:t>
      </w:r>
      <w:r>
        <w:rPr>
          <w:sz w:val="20"/>
          <w:szCs w:val="23"/>
          <w:rtl/>
        </w:rPr>
        <w:t>(יחזקאל א י)</w:t>
      </w:r>
      <w:r>
        <w:rPr>
          <w:rtl/>
        </w:rPr>
        <w:t xml:space="preserve"> וּדְמוּת פְּנֵיהֶם פְּנֵי אָדָם וכו'.</w:t>
      </w:r>
    </w:p>
    <w:p w:rsidR="003841DB" w:rsidRDefault="003841DB" w:rsidP="00B17EA9">
      <w:pPr>
        <w:pStyle w:val="NormalWeb"/>
        <w:rPr>
          <w:rtl/>
        </w:rPr>
      </w:pPr>
      <w:r>
        <w:rPr>
          <w:rtl/>
        </w:rPr>
        <w:t>קָם רַבִּי שִׁמְעוֹן וְאָמַר, סָבָא סָבָא, וְהָא שְׁכִינְתָּא אִיהִי יִחוּדָא דְקוּדְשָׁא בְּרִיךְ הוּא, אֵיךְ גְּלִיפִין בָּהּ דִּיּוֹקְנִין דִּלְתַתָּא דְלַאו אִינוּן מְצִיאוּתָהּ, אָמַר לֵיהּ רַבִּי, לְמַלְכָּא דְאִיהוּ יָתִיב בְּהֵיכָלֵיהּ, וְכַמָּה בְּנֵי נָשָׁא עָאלִין לְמֶחְזְיֵיהּ, מִנְּהוֹן מִסְתַּכְּלִין בִּלְבוּשׁוֹי, וּמִנְּהוֹן בְּגוּפוֹי, וּמִנְּהוֹן מִסְתַּכְּלִין בְּעוֹבָדוֹי, וּבְוַדַּאי בִּלְבוּשִׁין לָא אִשְׁתְּמוֹדָע מַאן נִיהוּ מַלְכָּא, דִּלְבוּשִׁין אִיהוּ מִשְׁתַּנֵּי בְּהוֹן לְכַמָּה שִׁנּוּיָין, וּלְבוּשִׁין דְּאִיהוּ לָבוּשׁ בְּצַפְרָא לָא לָבִישׁ בְּרַמְשָׁא, וּלְבוּשִׁין דְּלָבִישׁ יוֹמָא חֲדָא לָא לָבִישׁ יוֹמָא תִנְיָנָא, וְהָכִי בְּכָל יוֹמָא וְיַרְחָא וְשַׁתָּא וְשַׁבַּתָּא וְיֹמִין טָבִין אִשְׁתַּנֵּי בִּלְבוּשִׁין.</w:t>
      </w:r>
    </w:p>
    <w:p w:rsidR="003841DB" w:rsidRDefault="003841DB" w:rsidP="00B17EA9">
      <w:pPr>
        <w:pStyle w:val="NormalWeb"/>
        <w:rPr>
          <w:rtl/>
        </w:rPr>
      </w:pPr>
      <w:r>
        <w:rPr>
          <w:rtl/>
        </w:rPr>
        <w:t xml:space="preserve">כְּגַוְונָא דָא שְׁכִינְתָּא כַּמָּה לְבוּשִׁין אִית לָהּ, דְּמִנְּהוֹן בָּרָא קוּדְשָׁא בְּרִיךְ הוּא כָּרְסַיָּין </w:t>
      </w:r>
      <w:r>
        <w:rPr>
          <w:sz w:val="20"/>
          <w:szCs w:val="23"/>
          <w:rtl/>
        </w:rPr>
        <w:t>(נ''א כרסיא)</w:t>
      </w:r>
      <w:r>
        <w:rPr>
          <w:rtl/>
        </w:rPr>
        <w:t xml:space="preserve">, וּמַלְאָכִין וְחֵיוָון וּשְׂרָפִים, וּשְׁמַיָּא וְאַרְעָא, וְכָל מַה דְּבָרָא בְהוֹן, וְכָל בִּרְיָין דְּבָרָא מֵאִלֵּין לְבוּשִׁין דִּילָהּ, רָשִׁים לוֹן כֻּלְּהוּ וְגָלִיף לוֹן בִּלְבוּשָׁהָא, בְּגִין לְאִסְתַּכְּלָא מִינָהּ בְּכָל בִּרְיָין לְרַחֲמָא עֲלַיְיהוּ, וְרָזָא דְמִלָּה וּרְאִיתִיהָ לִזְכּוֹר בְּרִית עוֹלָם </w:t>
      </w:r>
      <w:r>
        <w:rPr>
          <w:sz w:val="20"/>
          <w:szCs w:val="23"/>
          <w:rtl/>
        </w:rPr>
        <w:t>(בראשית ט טז)</w:t>
      </w:r>
      <w:r>
        <w:rPr>
          <w:rtl/>
        </w:rPr>
        <w:t xml:space="preserve">, וּרְאִיתִיהָ בְּאִלֵּין לְבוּשִׁין דְּאִינוּן נְהִירִין בְּכָל </w:t>
      </w:r>
      <w:r>
        <w:rPr>
          <w:sz w:val="20"/>
          <w:szCs w:val="23"/>
          <w:rtl/>
        </w:rPr>
        <w:t>(בריין)</w:t>
      </w:r>
      <w:r>
        <w:rPr>
          <w:rtl/>
        </w:rPr>
        <w:t xml:space="preserve"> זִמְנִין דְּיִשְׂרָאֵל נַהֲרִין לוֹן בְּעוֹבָדִין טָבִין, וּבְגִינַיְיהוּ קוּדְשָׁא בְּרִיךְ הוּא רָחִים עֲלַיְיהוּ.</w:t>
      </w:r>
    </w:p>
    <w:p w:rsidR="003841DB" w:rsidRDefault="003841DB" w:rsidP="00B17EA9">
      <w:pPr>
        <w:pStyle w:val="NormalWeb"/>
        <w:rPr>
          <w:rtl/>
        </w:rPr>
      </w:pPr>
      <w:r>
        <w:rPr>
          <w:rtl/>
        </w:rPr>
        <w:t xml:space="preserve">וְאִי עָבְדִין עוֹבְדִין בִּישִׁין, אִיהִי אִתְלַבְּשַׁת לְבוּשִׁין אָחֳרָנִין אוּכְמִין, דִּבְהוֹן רְשִׁימִין כָּל אִינוּן מָארֵי דְּדִינִין </w:t>
      </w:r>
      <w:r>
        <w:rPr>
          <w:rStyle w:val="a7"/>
          <w:rtl/>
        </w:rPr>
        <w:footnoteReference w:id="3328"/>
      </w:r>
      <w:r>
        <w:rPr>
          <w:rtl/>
        </w:rPr>
        <w:t xml:space="preserve">דְּאִתְקְרִיאוּ לֵילוֹת, לְמֵידָן בְּהוּ לְעָלְמָא, וּבְהַהוּא זִמְנָא אִיהִי אָמְרַת </w:t>
      </w:r>
      <w:r>
        <w:rPr>
          <w:sz w:val="20"/>
          <w:szCs w:val="23"/>
          <w:rtl/>
        </w:rPr>
        <w:t>(שיר א ו)</w:t>
      </w:r>
      <w:r>
        <w:rPr>
          <w:rtl/>
        </w:rPr>
        <w:t xml:space="preserve"> אַל תִּרְאוּנִי שֶׁאֲנִי שְׁחַרְחֹרֶת, וּבְגִין דָּא אִלֵּין מִסִּטְרָא דִלְבוּשִׁין אִינוּן גְּלִיפִין בָּהּ, עִלָּאִין דְּאִינוּן מַלְכִין וְשַׁלְטִין עַל תַּתָּאִין, וּמַלְאָכִין </w:t>
      </w:r>
      <w:r>
        <w:rPr>
          <w:sz w:val="20"/>
          <w:szCs w:val="23"/>
          <w:rtl/>
        </w:rPr>
        <w:t>(נ''א ומלכין)</w:t>
      </w:r>
      <w:r>
        <w:rPr>
          <w:rtl/>
        </w:rPr>
        <w:t xml:space="preserve"> אִתְקְרִיאוּ מִסִּטְרָא דְמַלְכוּת, וּמִסִּטְרָא דְגוּפָא אִתְקְרֵי חֶסֶד דְּרוֹעָא יְמִינָא, גְּבוּרָה דְרוֹעָא שְׂמָאלָא, גּוּפָא עַמּוּדָא דְאֶמְצָעִיתָא, נֶצַח וְהוֹד תְּרֵין שׁוֹקִין, צַדִּיק אוֹת בְּרִית, וְהָא אוּקְמוּהָ.</w:t>
      </w:r>
    </w:p>
    <w:p w:rsidR="003841DB" w:rsidRDefault="003841DB" w:rsidP="00B17EA9">
      <w:pPr>
        <w:pStyle w:val="aa"/>
        <w:rPr>
          <w:rtl/>
        </w:rPr>
      </w:pPr>
      <w:r>
        <w:rPr>
          <w:rtl/>
        </w:rPr>
        <w:t xml:space="preserve">[תיקוני זוהר - דף סד ע''א] </w:t>
      </w:r>
    </w:p>
    <w:p w:rsidR="003841DB" w:rsidRDefault="003841DB" w:rsidP="00B17EA9">
      <w:pPr>
        <w:pStyle w:val="NormalWeb"/>
        <w:rPr>
          <w:rtl/>
        </w:rPr>
      </w:pPr>
      <w:r>
        <w:rPr>
          <w:rtl/>
        </w:rPr>
        <w:t xml:space="preserve">וְאִיהִי צִיּוּרָא דְכֻלְּהוּ, וּמִלְּגָאו מִינָהּ דְּאִיהוּ תִּקּוּנָא דְגוּפָא נָהִיר קוּדְשָׁא בְּרִיךְ הוּא דְאִיהוּ יהו''ה, כְּנִשְׁמָתָא בְּגוּפָא, </w:t>
      </w:r>
      <w:r>
        <w:rPr>
          <w:rStyle w:val="a7"/>
          <w:rtl/>
        </w:rPr>
        <w:footnoteReference w:id="3329"/>
      </w:r>
      <w:r>
        <w:rPr>
          <w:rtl/>
        </w:rPr>
        <w:t xml:space="preserve">לְגוֹ מִכֹּלָּא הַהוּא דַאֲחִיד כֹּלָּא וְקָשִׁיר כֹּלָּא, דְלָא אִתְרְמִיז בְּשׁוּם רְמִיזוּ, </w:t>
      </w:r>
      <w:r>
        <w:rPr>
          <w:rStyle w:val="a7"/>
          <w:rtl/>
        </w:rPr>
        <w:footnoteReference w:id="3330"/>
      </w:r>
      <w:r>
        <w:rPr>
          <w:rtl/>
        </w:rPr>
        <w:t xml:space="preserve">וְכֹלָּא אִתְרְמִיז בִּשְׁכִינְתָּא, דְאִתְלַבִּישַׁת בִּלְבוּשִׁין דִּבְהוֹן מְצוּיָּירִין כָּל בִּרְיָין, אִיהִי אִתְקְרִיאַת בְּכָל שְׁמָהָן, וְאִיהִי דְמוּת אַרְבַּע חֵיוָון בִּלְבוּשָׁהָא, דִּבְכָל חַד וְחַד רָשִׁים אַרְבַּע אַתְוָון, </w:t>
      </w:r>
      <w:r>
        <w:rPr>
          <w:sz w:val="20"/>
          <w:szCs w:val="23"/>
          <w:rtl/>
        </w:rPr>
        <w:t xml:space="preserve">(דף סד ע''א) </w:t>
      </w:r>
      <w:r>
        <w:rPr>
          <w:rtl/>
        </w:rPr>
        <w:t xml:space="preserve">וּדְמוּת אָדָם לָהֵנָה, דָא רְשִׁימוּ דַעֲשַׂר אַתְוָון, דְּאִינוּן יו''ד ה''א וא''ו ה''א, דְסָלִיק לְחוּשְׁבָּן אָדָם, דְּמוּת אָדָם וַדַּאי דָּא שְׁכִינְתָּא דְאִיהִי דִיּוֹקְנֵיהּ </w:t>
      </w:r>
      <w:r>
        <w:rPr>
          <w:sz w:val="20"/>
          <w:szCs w:val="23"/>
          <w:rtl/>
        </w:rPr>
        <w:t>(נ''א דיוקנא דאדם)</w:t>
      </w:r>
      <w:r>
        <w:rPr>
          <w:szCs w:val="23"/>
          <w:rtl/>
        </w:rPr>
        <w:t xml:space="preserve"> </w:t>
      </w:r>
      <w:r>
        <w:rPr>
          <w:rStyle w:val="Char"/>
          <w:rtl/>
        </w:rPr>
        <w:t>וַעֲלָהּ אִתְּמַר</w:t>
      </w:r>
      <w:r>
        <w:rPr>
          <w:szCs w:val="23"/>
          <w:rtl/>
        </w:rPr>
        <w:t xml:space="preserve"> </w:t>
      </w:r>
      <w:r>
        <w:rPr>
          <w:sz w:val="20"/>
          <w:szCs w:val="23"/>
          <w:rtl/>
        </w:rPr>
        <w:t>(במדבר יב ח)</w:t>
      </w:r>
      <w:r>
        <w:rPr>
          <w:rtl/>
        </w:rPr>
        <w:t xml:space="preserve"> וּתְמוּנַת יהו''ה יַבִּיט, </w:t>
      </w:r>
      <w:r>
        <w:rPr>
          <w:rStyle w:val="a7"/>
          <w:rtl/>
        </w:rPr>
        <w:footnoteReference w:id="3331"/>
      </w:r>
      <w:r>
        <w:rPr>
          <w:rtl/>
        </w:rPr>
        <w:t xml:space="preserve">וְהַאי מִסִּטְרָא דִלְבוּשָׁא, אֲבָל מִסִּטְרָא דְגוּפָא אִיהִי יִחוּדָא דְעַמּוּדָא דְאֶמְצָעִיתָא, אִיהוּ </w:t>
      </w:r>
      <w:r>
        <w:rPr>
          <w:sz w:val="20"/>
          <w:szCs w:val="23"/>
          <w:rtl/>
        </w:rPr>
        <w:t>(נ''א איהי)</w:t>
      </w:r>
      <w:r>
        <w:rPr>
          <w:rtl/>
        </w:rPr>
        <w:t xml:space="preserve"> חוֹתָמָא מִסִּטְרָא דְגוּפָא, וּבְגִין דְּאִיהוּ חוֹתָמָא, אָמְרַת שְׁכִינְתָּא לְגַבֵּי יהו''ה דְּאִיהוּ מִלְּגָאו, </w:t>
      </w:r>
      <w:r>
        <w:rPr>
          <w:sz w:val="20"/>
          <w:szCs w:val="23"/>
          <w:rtl/>
        </w:rPr>
        <w:t>(שיר ח ו)</w:t>
      </w:r>
      <w:r>
        <w:rPr>
          <w:rtl/>
        </w:rPr>
        <w:t xml:space="preserve"> שִׂימֵנִי כַחוֹתָם עַל לִבֶּךָ, דְּאַף עַל גַּב דְּאַנְתְּ תִּסְתַּלֵּק מִנִּי בְּגָלוּתָא, </w:t>
      </w:r>
      <w:r>
        <w:rPr>
          <w:rStyle w:val="a7"/>
          <w:rtl/>
        </w:rPr>
        <w:footnoteReference w:id="3332"/>
      </w:r>
      <w:r>
        <w:rPr>
          <w:rtl/>
        </w:rPr>
        <w:t>חוֹתָמָא דִילָךְ אִשְׁתָּאַר עִמִּי, וְלָא אִתְעַדֵּי מִנִּי לְעָלַם.</w:t>
      </w:r>
    </w:p>
    <w:p w:rsidR="003841DB" w:rsidRDefault="003841DB" w:rsidP="00B17EA9">
      <w:pPr>
        <w:pStyle w:val="NormalWeb"/>
        <w:rPr>
          <w:rtl/>
        </w:rPr>
      </w:pPr>
      <w:r>
        <w:rPr>
          <w:rtl/>
        </w:rPr>
        <w:t xml:space="preserve">קָם רַבִּי שִׁמְעוֹן וְאָמַר, סָבָא סָבָא, אֵימָא לָךְ קְרָא דְאוֹלִיפְנָא כְּגַוְונָא דָא שִׂימֵנִי כַחוֹתָם עַל לִבֶּךָ, </w:t>
      </w:r>
      <w:r>
        <w:rPr>
          <w:rStyle w:val="a7"/>
          <w:rtl/>
        </w:rPr>
        <w:footnoteReference w:id="3333"/>
      </w:r>
      <w:r>
        <w:rPr>
          <w:rtl/>
        </w:rPr>
        <w:t xml:space="preserve">שִׂימֵנִי חוֹתָם לָא כְּתִיב אֶלָּא כַחוֹתָם, אָמְרַת שְׁכִינְתָּא רִבּוֹן עָלְמִין, שִׂימֵנִי כַחוֹתָם, כְּהַהִיא רְשִׁימוּ דְחוֹתָמָא דִילָךְ, דְּאַף עַל גַּב דְּחוֹתָמָא אִשְׁתָּאַר בִּידָךְ, רְשִׁימוּ דִילֵיהּ בְּפִתְקָא אִיהוּ, וּמֵהַהוּא רְשִׁימוּ מִזְדַעְזַעִין עִלָּאִין וְתַתָּאִין, כְּגַוְונָא דְמַלְכָּא דְאִיהוּ בִּשְׂרָא וּדְמָא, מַאי דְּרָשִׁים בְּפִתְקָא, רְשִׁימוּ דִילֵיהּ דְּחוֹתָמָא בִּידֵיהּ הוּא, וְאַף עַל גַּב דְּחוֹתָמָא בִּידֵיהּ אִשְׁתָּאַר, הָכִי דְחִילִין מֵרְשִׁימוּ דְחוֹתָמָא, כְּאִלּוּ הֲוָה מַלְכָּא, </w:t>
      </w:r>
      <w:r>
        <w:rPr>
          <w:rStyle w:val="a7"/>
          <w:rtl/>
        </w:rPr>
        <w:footnoteReference w:id="3334"/>
      </w:r>
      <w:r>
        <w:rPr>
          <w:rtl/>
        </w:rPr>
        <w:t>עַל אַחַת כַּמָּה וְכַמָּה אִי הֲוָה חוֹתָמָא.</w:t>
      </w:r>
    </w:p>
    <w:p w:rsidR="003841DB" w:rsidRDefault="003841DB" w:rsidP="00B17EA9">
      <w:pPr>
        <w:pStyle w:val="NormalWeb"/>
        <w:rPr>
          <w:rtl/>
        </w:rPr>
      </w:pPr>
      <w:r>
        <w:rPr>
          <w:rtl/>
        </w:rPr>
        <w:t xml:space="preserve">שִׂימֵנִי כַחוֹתָם עַל לִבֶּךָ, וְכִי מָאן חָמָא </w:t>
      </w:r>
      <w:r>
        <w:rPr>
          <w:sz w:val="20"/>
          <w:szCs w:val="23"/>
          <w:rtl/>
        </w:rPr>
        <w:t>(נ''א שוי)</w:t>
      </w:r>
      <w:r>
        <w:rPr>
          <w:rtl/>
        </w:rPr>
        <w:t xml:space="preserve"> חוֹתָמָא עַל לִבָּא, </w:t>
      </w:r>
      <w:r>
        <w:rPr>
          <w:rStyle w:val="a7"/>
          <w:rtl/>
        </w:rPr>
        <w:footnoteReference w:id="3335"/>
      </w:r>
      <w:r>
        <w:rPr>
          <w:rtl/>
        </w:rPr>
        <w:t xml:space="preserve">אֶלָּא אִלֵּין תְּפִלִּין, דְּאִינוּן רְצוּעִין דִּלְהוֹן תַּלְיָין עַל לִבָּא, וְאִלֵּין תְּפִלִּין דְּרֵישָׁא, וּתְפִלָּה דְיָד דְּאִיהוּ בִּשְׂמָאלָא לָקֳבֵל לִבָּא, </w:t>
      </w:r>
      <w:r>
        <w:rPr>
          <w:rStyle w:val="a7"/>
          <w:rtl/>
        </w:rPr>
        <w:footnoteReference w:id="3336"/>
      </w:r>
      <w:r>
        <w:rPr>
          <w:rtl/>
        </w:rPr>
        <w:t xml:space="preserve">וְדָא אִיהוּ כַחוֹתָם עַל לִבֶּךָ, וְכַּחוֹתָם עַל זְרוֹעֶךָ, תְּפִלָּה דְיָד, </w:t>
      </w:r>
      <w:r>
        <w:rPr>
          <w:rStyle w:val="a7"/>
          <w:rtl/>
        </w:rPr>
        <w:footnoteReference w:id="3337"/>
      </w:r>
      <w:r>
        <w:rPr>
          <w:rtl/>
        </w:rPr>
        <w:t xml:space="preserve">דְּאִינוּן רְשִׁימוּ דִשְׁמָא קַדִּישָׁא, דְאִיהוּ י' קַדֶּשׁ לִי כָּל בְּכוֹר, ה' וְהָיָה כִּי יְבִיאֲךָ, ו' שְׁמַע יִשְׂרָאֵל, ה' וְהָיָה אִם שָׁמוֹעַ, וּמֵהַהוּא רְשִׁימוּ מִזְדַעְזַעִין אוּמִין דְּעָלְמָא, הֲדָא הוּא דִכְתִיב </w:t>
      </w:r>
      <w:r>
        <w:rPr>
          <w:sz w:val="20"/>
          <w:szCs w:val="23"/>
          <w:rtl/>
        </w:rPr>
        <w:t>(דברים כח י)</w:t>
      </w:r>
      <w:r>
        <w:rPr>
          <w:rtl/>
        </w:rPr>
        <w:t xml:space="preserve"> וְרָאוּ כָּל עַמֵּי הָאָרֶץ כִּי שֵׁם יהו''ה נִקְרָא עָלֶיךָ וְיָרְאוּ מִמֶּךָּ, וְהָכִי אוּקְמוּהוּ שֵׁם יהו''ה אִלֵּין תְּפִלִּין דְּרֵישָׁא.</w:t>
      </w:r>
    </w:p>
    <w:p w:rsidR="003841DB" w:rsidRDefault="003841DB" w:rsidP="00B17EA9">
      <w:pPr>
        <w:pStyle w:val="NormalWeb"/>
        <w:rPr>
          <w:rtl/>
        </w:rPr>
      </w:pPr>
      <w:r>
        <w:rPr>
          <w:rtl/>
        </w:rPr>
        <w:t xml:space="preserve">שִׂימֵנִי כַחוֹתָם דָּא אוֹת בְּרִית מִילָה, וְאוֹת דְּיֹמִין טָבִין, דְּאִיהוּ רְשִׁימוּ דִשְׁמָא קַדִּישָׁא, כְּגַוְונָא דָא </w:t>
      </w:r>
      <w:r>
        <w:rPr>
          <w:sz w:val="20"/>
          <w:szCs w:val="23"/>
          <w:rtl/>
        </w:rPr>
        <w:t>(שם ל יב)</w:t>
      </w:r>
      <w:r>
        <w:rPr>
          <w:rtl/>
        </w:rPr>
        <w:t xml:space="preserve">, מִ י יַ עֲלֶה לָּ נוּ הַ שָּׁמַיְמָה, רֵישֵׁי אַתְוָון </w:t>
      </w:r>
      <w:r>
        <w:rPr>
          <w:sz w:val="20"/>
          <w:szCs w:val="23"/>
          <w:rtl/>
        </w:rPr>
        <w:t>(נ''א תיבין)</w:t>
      </w:r>
      <w:r>
        <w:rPr>
          <w:rtl/>
        </w:rPr>
        <w:t xml:space="preserve"> מִילָה, וְסוֹפִי אַתְוָון יהו''ה, מָאן דְּנָטִיר הַאי רְשִׁימוּ, כְּאִלּוּ נָטִיר שְׁמָא קַדִּישָׁא, וּמָאן דִּמְשַׁקֵּר בְּהַאי רְשִׁימוּ, כְּאִלּוּ מְשַׁקֵּר בִּשְׁמָא קַדִּישָׁא, דְּהַאי אִתְקְרֵי </w:t>
      </w:r>
      <w:r>
        <w:rPr>
          <w:rStyle w:val="a7"/>
          <w:rtl/>
        </w:rPr>
        <w:footnoteReference w:id="3338"/>
      </w:r>
      <w:r>
        <w:rPr>
          <w:rtl/>
        </w:rPr>
        <w:t>חוֹתָמָא דְגוּשְׁפַּנְקָא דְמַלְכָּא.</w:t>
      </w:r>
    </w:p>
    <w:p w:rsidR="003841DB" w:rsidRDefault="003841DB" w:rsidP="00B17EA9">
      <w:pPr>
        <w:pStyle w:val="NormalWeb"/>
        <w:rPr>
          <w:rtl/>
        </w:rPr>
      </w:pPr>
      <w:r>
        <w:rPr>
          <w:rtl/>
        </w:rPr>
        <w:t xml:space="preserve">דְּכָל בַּר נַשׁ דְּנָטִיר הַאי רְשִׁימוּ לְתַתָּא, דְאִיהוּ אוֹת בְּרִית, אוֹת שַׁבָּת, אוֹת תְּפִלִּין, אוֹת דְּיֹמִין טָבִין, אִיהוּ רָשִׁים וְחָקִיק לְעִילָא, וְנָהִיר לְעִילָא, וּמִנֵּיהּ מִזְדַעְזַעִין עִלָּאִין וְתַתָּאִין, כְּמָה דְאַתְּ אָמַר </w:t>
      </w:r>
      <w:r>
        <w:rPr>
          <w:sz w:val="20"/>
          <w:szCs w:val="23"/>
          <w:rtl/>
        </w:rPr>
        <w:t>(שם כח י)</w:t>
      </w:r>
      <w:r>
        <w:rPr>
          <w:rtl/>
        </w:rPr>
        <w:t xml:space="preserve"> וְרָאוּ כָּל עַמֵּי הָאָרֶץ כִּי שֵׁם יהו''ה נִקְרָא עָלֶיךָ שֵׁם יהו''ה וַדַּאי, דָּא הַהוּא רְשִׁימוּ דְאוֹת בְּרִית מִילָה, וְאוֹת דִּתְּפִלִּין, וְאוֹת דְּשַׁבָּת וְיֹמִין טָבִין, וּמָאן דִּמְשַׁקֵּר לְתַתָּא בֵּיהּ, אִתְעַבַּר </w:t>
      </w:r>
      <w:r>
        <w:rPr>
          <w:rStyle w:val="a7"/>
          <w:rtl/>
        </w:rPr>
        <w:footnoteReference w:id="3339"/>
      </w:r>
      <w:r>
        <w:rPr>
          <w:rtl/>
        </w:rPr>
        <w:t>גְּלִיפוּ דִילֵיהּ מִלְּעִילָא, בְּהַהוּא זִמְנָא שָׁלְטִין עֲלֵיהּ כָּל מְקַטְרְגִין עִלָּאִין וְתַתָּאִין.</w:t>
      </w:r>
    </w:p>
    <w:p w:rsidR="003841DB" w:rsidRDefault="003841DB" w:rsidP="00B17EA9">
      <w:pPr>
        <w:pStyle w:val="NormalWeb"/>
        <w:rPr>
          <w:rtl/>
        </w:rPr>
      </w:pPr>
      <w:r>
        <w:rPr>
          <w:rtl/>
        </w:rPr>
        <w:t xml:space="preserve">שִׂימֵנִי </w:t>
      </w:r>
      <w:r>
        <w:rPr>
          <w:rStyle w:val="a7"/>
          <w:rtl/>
        </w:rPr>
        <w:footnoteReference w:id="3340"/>
      </w:r>
      <w:r>
        <w:rPr>
          <w:rtl/>
        </w:rPr>
        <w:t xml:space="preserve">כַחוֹתָם דָּא נִשְׁמָתָא, דְּאִיהוּ רְשִׁימוּ דִילָהּ גְּלִיפָא לְעִילָא, כְּמָה דְאוּקְמוּהוּ בְּיַעֲקֹב, דִּיּוֹקְנוֹ שֶׁל יַעֲקֹב חֲקוּקָה בְּכִסֵּא הַכָּבוֹד, דְּכָל נִשְׁמָתִין דְּאִינוּן גְּזִירִין מִתַּמָּן, גְּלִיפוּ דִּלְהוֹן אִיהוּ חָקוּק לְעִילָא, וּרְשִׁימוּ דִלְהוֹן לְתַתָּא, וְהַהוּא גְלִיפוּ דִלְעִילָא אִיהוּ חוֹתָם, וּרְשִׁימוּ דִלְתַתָּא רְשִׁימוּ דְחוֹתָם, וּמִיָּד דִּרְשִׁימוּ דִגְלִיפוּ דְנִשְׁמָתָא אִיהוּ לְעִילָא, וּרְשִׁימוּ דִילָהּ לְתַתָּא, אִתְּמַר בָּהּ </w:t>
      </w:r>
      <w:r>
        <w:rPr>
          <w:sz w:val="20"/>
          <w:szCs w:val="23"/>
          <w:rtl/>
        </w:rPr>
        <w:t>(בראשית כח יב)</w:t>
      </w:r>
      <w:r>
        <w:rPr>
          <w:rtl/>
        </w:rPr>
        <w:t xml:space="preserve"> וְהִנֵּה מַלְאֲכֵי אלהי''ם עוֹלִים וְיֹרְדִים בּוֹ, סָלְקִין לְעִילָא וּמִסְתַּכְּלִין בְּדִיּוֹקְנָא דְנִשְׁמָתָא דְנַהֲרָא בְּהַהוּא גְלִיפוּ וּמִזְדַעְזַעִין מִנֵּיהּ, נָחֲתִין לְתַתָּא וּמִסְתַּכְּלִין בִּרְשִׁימוּ דְהַהוּא דִיּוֹקְנָא דִלְתַתָּא, וְחָזָאן דְּלָא אִשְׁתַּנֵּי מִדִּיּוֹקְנָא דִלְעִילָא וְדָחֲלִין מִנֵּיהּ.</w:t>
      </w:r>
    </w:p>
    <w:p w:rsidR="003841DB" w:rsidRDefault="003841DB" w:rsidP="00B17EA9">
      <w:pPr>
        <w:pStyle w:val="aa"/>
        <w:rPr>
          <w:rtl/>
        </w:rPr>
      </w:pPr>
      <w:r>
        <w:rPr>
          <w:rtl/>
        </w:rPr>
        <w:t xml:space="preserve">[תיקוני זוהר - דף סד ע''ב] </w:t>
      </w:r>
    </w:p>
    <w:p w:rsidR="003841DB" w:rsidRDefault="003841DB" w:rsidP="00B17EA9">
      <w:pPr>
        <w:pStyle w:val="NormalWeb"/>
        <w:rPr>
          <w:rtl/>
        </w:rPr>
      </w:pPr>
      <w:r>
        <w:rPr>
          <w:rStyle w:val="a7"/>
          <w:rtl/>
        </w:rPr>
        <w:footnoteReference w:id="3341"/>
      </w:r>
      <w:r>
        <w:rPr>
          <w:rtl/>
        </w:rPr>
        <w:t xml:space="preserve">שִׂימֵנִי כַחוֹתָם דָּא צְלוֹתָא, דְבָהּ אִיהוּ חָקִיק וְרָשִׁים חַ''י עָלְמִין, בְּתַמְנֵי סְרֵי בִּרְכָאָן דִּצְלוֹתָא, וְדָא אִיהוּ רְשִׁימוּ דְחוֹתָמָא </w:t>
      </w:r>
      <w:r>
        <w:rPr>
          <w:rStyle w:val="a7"/>
          <w:rtl/>
        </w:rPr>
        <w:footnoteReference w:id="3342"/>
      </w:r>
      <w:r>
        <w:rPr>
          <w:rtl/>
        </w:rPr>
        <w:t xml:space="preserve">בְּפִתְקָא, דְּאִיהִי צְלוֹתָא, גְלִיפוּ דְאַתְוָון דְּחוֹתָמָא דָא צַדִּיק חַ''י </w:t>
      </w:r>
      <w:r>
        <w:rPr>
          <w:sz w:val="20"/>
          <w:szCs w:val="23"/>
          <w:rtl/>
        </w:rPr>
        <w:t xml:space="preserve">(דף סד ע''ב) </w:t>
      </w:r>
      <w:r>
        <w:rPr>
          <w:rtl/>
        </w:rPr>
        <w:t xml:space="preserve">עָלְמִין, חוֹתָמָא דָא עַמּוּדָא דְאֶמְצָעִיתָא, דְאִיהִי קְרִיאַת שְׁמַע, </w:t>
      </w:r>
      <w:r>
        <w:rPr>
          <w:rStyle w:val="a7"/>
          <w:rtl/>
        </w:rPr>
        <w:footnoteReference w:id="3343"/>
      </w:r>
      <w:r>
        <w:rPr>
          <w:rtl/>
        </w:rPr>
        <w:t xml:space="preserve">וְהִנֵּה מַלְאֲכֵי אלהי''ם עוֹלִים, בְּזִמְנָא דְאִיהוּ זוֹקֵף בְּשֵׁם סָלְקִין עִמֵּיהּ. בְּזִמְנָא דְאִיהוּ מָאִיךְ וְכוֹרֵעַ בְּבָרוּךְ נָחֲתִין עִמֵּיהּ, וַדָּאי אִיהוּ וְהִנֵּה מַלְאֲכֵי אלהי''ם עֹלִים וְיֹרְדִים בּוֹ, מַלְאֲכֵי אלהי''ם עֹלִים, בְּזִמְנָא דְאִיהוּ קָאִים בְּדִינָא קַיְימִין כֻּלְּהוּ וּמוֹלִיפִין עֲלֵיהּ זְכוּת, וְיוֹרְדִים בְּזִמְנָא דְנְצַח בְּדִינָא וְנָחִית לְתַתָּא, כֻּלְּהוּ נָחֲתִין עִמֵּיהּ, כְּמָה דְאוּקְמוּהוּ בְיַעֲקֹב </w:t>
      </w:r>
      <w:r>
        <w:rPr>
          <w:sz w:val="20"/>
          <w:szCs w:val="23"/>
          <w:rtl/>
        </w:rPr>
        <w:t>(בראשית כו ד)</w:t>
      </w:r>
      <w:r>
        <w:rPr>
          <w:rtl/>
        </w:rPr>
        <w:t xml:space="preserve"> אָנֹכִי אֵרֵד עִמְּךָ מִצְרַיְמָה וְאָנֹכִי אַעַלְךָ גַם עָלֹה.</w:t>
      </w:r>
    </w:p>
    <w:p w:rsidR="003841DB" w:rsidRDefault="003841DB" w:rsidP="00B17EA9">
      <w:pPr>
        <w:pStyle w:val="NormalWeb"/>
        <w:rPr>
          <w:rtl/>
        </w:rPr>
      </w:pPr>
      <w:r>
        <w:rPr>
          <w:rStyle w:val="a7"/>
          <w:rtl/>
        </w:rPr>
        <w:footnoteReference w:id="3344"/>
      </w:r>
      <w:r>
        <w:rPr>
          <w:rtl/>
        </w:rPr>
        <w:t xml:space="preserve">שִׂימֵנִי כַחוֹתָם דָּא נִשְׁמָתָא דְאִיהִי חֲקוּקָה בְּכוּרְסַיָּיא, בְּזִמְנָא דְאִיהִי אִתְעָרָא לְתַתָּא בִּצְלוֹתָא, כָּרְסַיָּיא אִתְעַר לְעִילָא, כַחוֹתָם עַל לִבֶּך </w:t>
      </w:r>
      <w:r>
        <w:rPr>
          <w:rStyle w:val="a7"/>
          <w:rtl/>
        </w:rPr>
        <w:footnoteReference w:id="3345"/>
      </w:r>
      <w:r>
        <w:rPr>
          <w:rtl/>
        </w:rPr>
        <w:t xml:space="preserve">דָּא רוּחַ, דְּאִיהוּ צִיּוּרָא דְאַתְוָון דחֲקִיקָא בְּמַלְאָכַיָּא, בְּזִמְנָא דְאִיהִי אִתְעָרָא לְתַתָּא בִצְלוֹתָא, מַלְאָכַיָּא אִתְעָרוּן עִמֵּיהּ לְעִילָא, עַל זְרוֹעֶךָ דָּא נַפְשָׁא, דְאִיהִי חֲקִיקָא בְּאַרְבַּע סִטְרִין דְּעָלְמָא, בְּזִמְנָא דְאִתְעָרָא אִיהִי בִּצְלוֹתָא לְתַתָּא, </w:t>
      </w:r>
      <w:r>
        <w:rPr>
          <w:rStyle w:val="a7"/>
          <w:rtl/>
        </w:rPr>
        <w:footnoteReference w:id="3346"/>
      </w:r>
      <w:r>
        <w:rPr>
          <w:rtl/>
        </w:rPr>
        <w:t>אַרְבַּע סִטְרִין דְּעָלְמָא מִתְעָרִין עִמָּהּ.</w:t>
      </w:r>
    </w:p>
    <w:p w:rsidR="003841DB" w:rsidRDefault="003841DB" w:rsidP="00B17EA9">
      <w:pPr>
        <w:pStyle w:val="NormalWeb"/>
        <w:rPr>
          <w:rtl/>
        </w:rPr>
      </w:pPr>
      <w:r>
        <w:rPr>
          <w:rtl/>
        </w:rPr>
        <w:t xml:space="preserve">נְשָׁמָה אִיהִי חוֹתָמָא, רוּחָא צִיּוּרָא דְאַתְוָון דְּאִנּוּן חֲקוּקִין בְּחוֹתָמָא, נַפְשָׁא רְשִׁימוּ דְאַתְוָון בְּחוֹתָמָא, דְאִינוּן רְשִׁימִין בְּצִיּוּרִין דְּבַר נַשׁ, כִּרְשִׁימוּ דְחוֹתָמָא בְּפִתְקָא, וּבְהַהוּא רִשׁוּמָא דְנַפְשָׁא אִשְׁתְּמוֹדָע פַּרְצוּפָא בְּגוּפָא דְבַר נַשׁ, מֵאָן אֲתַר אִיהוּ, וּבְגִין דָּא אוּקְמוּהוּ, בְּהַאי חוֹתָמָא כַּמָּה רְשִׁימִין אִית בֵּיהּ, אַרְבַּע, רְשִׁימוּ דְאַרְיֵה תַּמָּן, רְשִׁימוּ דְשׁוֹר תַּמָּן, רְשִׁימוּ דְנֶשֶׁר תַּמָּן, רְשִׁימוּ דִדְמוּת אָדָם תַּמָּן, </w:t>
      </w:r>
      <w:r>
        <w:rPr>
          <w:rStyle w:val="a7"/>
          <w:rtl/>
        </w:rPr>
        <w:footnoteReference w:id="3347"/>
      </w:r>
      <w:r>
        <w:rPr>
          <w:rtl/>
        </w:rPr>
        <w:t xml:space="preserve">וּמָאן אִיהוּ דְרָשִׁים לוֹן בְּחוֹתָמָא, יהו''ה אֱמֶת, </w:t>
      </w:r>
      <w:r>
        <w:rPr>
          <w:rStyle w:val="a7"/>
          <w:rtl/>
        </w:rPr>
        <w:footnoteReference w:id="3348"/>
      </w:r>
      <w:r>
        <w:rPr>
          <w:rtl/>
        </w:rPr>
        <w:t>דִּבְהַאי אַרְבַּע רְשִׁימִין אִינוּן כָּל בִּרְיָין דְּעָלְמָא.</w:t>
      </w:r>
    </w:p>
    <w:p w:rsidR="003841DB" w:rsidRDefault="003841DB" w:rsidP="00B17EA9">
      <w:pPr>
        <w:pStyle w:val="NormalWeb"/>
        <w:rPr>
          <w:rtl/>
        </w:rPr>
      </w:pPr>
      <w:r>
        <w:rPr>
          <w:rStyle w:val="a7"/>
          <w:rtl/>
        </w:rPr>
        <w:footnoteReference w:id="3349"/>
      </w:r>
      <w:r>
        <w:rPr>
          <w:rtl/>
        </w:rPr>
        <w:t xml:space="preserve">אֲבָל אוּמִין דְּעָלְמָא דְשַׁקְרוּ בֵיהּ, לַאו אִינוּן רְשִׁימִין בֵּיהּ, אֶלָּא בְחוֹתָמָא דְשִׁקְרָא, וְאִיהוּ נָחָשׁ דְּמַלֵּיל שִׁקְרָא עַל קוּדְשָׁא בְּרִיךְ הוּא, וּבְגִינֵיהּ אִתְּמַר בְּאֹרַח מַתְלָא, שִׁקְרָא לֵית לָהּ רַגְלִין, וְכַךְ חִוְיָא לֵית לֵיהּ רַגְלִין, עַל גְּחֹנְךָ תֵלֵךְ, וְעָתִיד קוּדְשָׁא בְּרִיךְ הוּא לְמַחָאָה שִׁקְרָא מֵעָלְמָא, כְּמָה דְאַתְּ אָמַר </w:t>
      </w:r>
      <w:r>
        <w:rPr>
          <w:sz w:val="20"/>
          <w:szCs w:val="23"/>
          <w:rtl/>
        </w:rPr>
        <w:t>(ישעיה כה ח)</w:t>
      </w:r>
      <w:r>
        <w:rPr>
          <w:rtl/>
        </w:rPr>
        <w:t xml:space="preserve"> וּמָחָה יהו''ה אלהי''ם דִּמְעָה </w:t>
      </w:r>
      <w:r>
        <w:rPr>
          <w:rStyle w:val="a7"/>
          <w:rtl/>
        </w:rPr>
        <w:footnoteReference w:id="3350"/>
      </w:r>
      <w:r>
        <w:rPr>
          <w:rtl/>
        </w:rPr>
        <w:t xml:space="preserve">מֵעַל כָּל פָּנִים וכו', דְּוַדַּאי הַאי חִוְיָא אִיהוּ מַלְאַךְ הַמָּוְת דְּקָטִיל לִבְנֵי נָשָׁא, </w:t>
      </w:r>
      <w:r>
        <w:rPr>
          <w:rStyle w:val="a7"/>
          <w:rtl/>
        </w:rPr>
        <w:footnoteReference w:id="3351"/>
      </w:r>
      <w:r>
        <w:rPr>
          <w:rtl/>
        </w:rPr>
        <w:t xml:space="preserve">וְגָרִים דִּמְעָה, דְּאִיהוּ אֵל אַחֵר, וּבְמַאי קָטִיל בְּסַם הַמָּוְת דִּילֵיהּ, </w:t>
      </w:r>
      <w:r>
        <w:rPr>
          <w:rStyle w:val="a7"/>
          <w:rtl/>
        </w:rPr>
        <w:footnoteReference w:id="3352"/>
      </w:r>
      <w:r>
        <w:rPr>
          <w:rtl/>
        </w:rPr>
        <w:t>דְּאִיהִי גֵיהִנָּם, וְדָא אִיהוּ סמא''ל.</w:t>
      </w:r>
    </w:p>
    <w:p w:rsidR="003841DB" w:rsidRDefault="003841DB" w:rsidP="00B17EA9">
      <w:pPr>
        <w:pStyle w:val="NormalWeb"/>
        <w:rPr>
          <w:rtl/>
        </w:rPr>
      </w:pPr>
      <w:r>
        <w:rPr>
          <w:rtl/>
        </w:rPr>
        <w:t xml:space="preserve">וּבְאִלֵּין פַּרְצוּפִין דְּחִוְויָין, אִתְגַּלְיָיא אִיהוּ לִבְנֵי נָשָׁא בְּאֹרַח שִׁקְרָא לְפַתָּאָה לוֹן, </w:t>
      </w:r>
      <w:r>
        <w:rPr>
          <w:rStyle w:val="a7"/>
          <w:rtl/>
        </w:rPr>
        <w:footnoteReference w:id="3353"/>
      </w:r>
      <w:r>
        <w:rPr>
          <w:rtl/>
        </w:rPr>
        <w:t xml:space="preserve">וְרָזָא דְמִלָּה </w:t>
      </w:r>
      <w:r>
        <w:rPr>
          <w:sz w:val="20"/>
          <w:szCs w:val="23"/>
          <w:rtl/>
        </w:rPr>
        <w:t>(תהלים קכז א)</w:t>
      </w:r>
      <w:r>
        <w:rPr>
          <w:rtl/>
        </w:rPr>
        <w:t xml:space="preserve"> אִם יהו''ה לֹא יִבְנֶה בַיִת שָׁוְא עָמְלוּ בוֹנָיו בּוֹ, וְלֵית לוֹן קִיּוּמָא, </w:t>
      </w:r>
      <w:r>
        <w:rPr>
          <w:rStyle w:val="a7"/>
          <w:rtl/>
        </w:rPr>
        <w:footnoteReference w:id="3354"/>
      </w:r>
      <w:r>
        <w:rPr>
          <w:rtl/>
        </w:rPr>
        <w:t xml:space="preserve">אֲבָל צִיּוּרִין דְּחַיוָן אִינוּן רְשִׁימִין בִּשְׁמָא דְקוּדְשָׁא בְּרִיךְ הוּא, בְּהַאי רְשִׁימוּ דִמְזוּזָה, דְּאִיהוּ </w:t>
      </w:r>
      <w:r>
        <w:rPr>
          <w:rStyle w:val="a7"/>
          <w:rtl/>
        </w:rPr>
        <w:footnoteReference w:id="3355"/>
      </w:r>
      <w:r>
        <w:rPr>
          <w:rtl/>
        </w:rPr>
        <w:t xml:space="preserve">שד''י מִלְּבָר יהו''ה מִלְּגָאו, </w:t>
      </w:r>
      <w:r>
        <w:rPr>
          <w:rStyle w:val="a7"/>
          <w:rtl/>
        </w:rPr>
        <w:footnoteReference w:id="3356"/>
      </w:r>
      <w:r>
        <w:rPr>
          <w:rtl/>
        </w:rPr>
        <w:t xml:space="preserve">וְהַאי אִיהוּ רְשִׁימוּ דִבְרִית מִילָה, שד''י מִלְּבָר יהו''ה מִלְּגָאו, שד''י הָא אוּקְמוּהָא ש תְּלַת אֲבָהָן, דְּאִינוּן תְּרֵין דְּרוֹעִין וְגוּפָא, אִלֵּין אִינוּן תְּלַת עַנְפִין דְּש', </w:t>
      </w:r>
      <w:r>
        <w:rPr>
          <w:rStyle w:val="a7"/>
          <w:rtl/>
        </w:rPr>
        <w:footnoteReference w:id="3357"/>
      </w:r>
      <w:r>
        <w:rPr>
          <w:rtl/>
        </w:rPr>
        <w:t xml:space="preserve">ד שְׁכִינְתָּא, </w:t>
      </w:r>
      <w:r>
        <w:rPr>
          <w:rStyle w:val="a7"/>
          <w:rtl/>
        </w:rPr>
        <w:footnoteReference w:id="3358"/>
      </w:r>
      <w:r>
        <w:rPr>
          <w:rtl/>
        </w:rPr>
        <w:t xml:space="preserve">י צַדִּיק אוֹת בְּרִית מִילָה, וְעַל הַאי שד''י אִתְּמַר </w:t>
      </w:r>
      <w:r>
        <w:rPr>
          <w:sz w:val="20"/>
          <w:szCs w:val="23"/>
          <w:rtl/>
        </w:rPr>
        <w:t>(שמות ו ג)</w:t>
      </w:r>
      <w:r>
        <w:rPr>
          <w:rtl/>
        </w:rPr>
        <w:t xml:space="preserve"> וָאֵרָא אֶל אַבְרָהָם אֶל יִצְחָק וְאֶל יַעֲקֹב בְּאֵ''ל שׁד''י, </w:t>
      </w:r>
      <w:r>
        <w:rPr>
          <w:rStyle w:val="a7"/>
          <w:rtl/>
        </w:rPr>
        <w:footnoteReference w:id="3359"/>
      </w:r>
      <w:r>
        <w:rPr>
          <w:rtl/>
        </w:rPr>
        <w:t xml:space="preserve">בְּהַאי שד''י, דְּאִיהוּ מִלְּבָר בִּמְזוּזָה, אֲבָל וּשְׁמִי יהו''ה דְּאִיהוּ מִלְּגָאו בַּמְּזוּזָה, דְאִיהִי תַרְעָא דְקוּדְשָׁא בְּרִיךְ הוּא, דְאִתְּמַר בָּהּ </w:t>
      </w:r>
      <w:r>
        <w:rPr>
          <w:sz w:val="20"/>
          <w:szCs w:val="23"/>
          <w:rtl/>
        </w:rPr>
        <w:t>(תהלים קיח כ)</w:t>
      </w:r>
      <w:r>
        <w:rPr>
          <w:szCs w:val="23"/>
          <w:rtl/>
        </w:rPr>
        <w:t xml:space="preserve"> </w:t>
      </w:r>
      <w:r>
        <w:rPr>
          <w:rStyle w:val="Char"/>
          <w:rtl/>
        </w:rPr>
        <w:t>זֶה הַשַּׁעַר לַיהו''ה,</w:t>
      </w:r>
      <w:r>
        <w:rPr>
          <w:szCs w:val="23"/>
          <w:rtl/>
        </w:rPr>
        <w:t xml:space="preserve"> </w:t>
      </w:r>
      <w:r>
        <w:rPr>
          <w:sz w:val="20"/>
          <w:szCs w:val="23"/>
          <w:rtl/>
        </w:rPr>
        <w:t>(שמות ו ג)</w:t>
      </w:r>
      <w:r>
        <w:rPr>
          <w:szCs w:val="23"/>
          <w:rtl/>
        </w:rPr>
        <w:t xml:space="preserve"> </w:t>
      </w:r>
      <w:r>
        <w:rPr>
          <w:rStyle w:val="Char"/>
          <w:rtl/>
        </w:rPr>
        <w:t xml:space="preserve">לֹא נוֹדַעְתִּי לָהֶם, </w:t>
      </w:r>
      <w:r>
        <w:rPr>
          <w:sz w:val="20"/>
          <w:szCs w:val="23"/>
          <w:rtl/>
        </w:rPr>
        <w:t>(דברים ו ח)</w:t>
      </w:r>
      <w:r>
        <w:rPr>
          <w:rtl/>
        </w:rPr>
        <w:t>.</w:t>
      </w:r>
    </w:p>
    <w:p w:rsidR="003841DB" w:rsidRDefault="003841DB" w:rsidP="00B17EA9">
      <w:pPr>
        <w:pStyle w:val="NormalWeb"/>
        <w:rPr>
          <w:rtl/>
        </w:rPr>
      </w:pPr>
      <w:r>
        <w:rPr>
          <w:rStyle w:val="a7"/>
          <w:rtl/>
        </w:rPr>
        <w:footnoteReference w:id="3360"/>
      </w:r>
      <w:r>
        <w:rPr>
          <w:rtl/>
        </w:rPr>
        <w:t xml:space="preserve">וּכְתַבְתָּם עַל מְזְזוֹת בֵּיתֶךָ וּבִשְׁעָרֶיךָ, אִלֵּין תְּרֵין סַמְכֵי קְשׁוֹט, זָז מָוְת מִן בֵּיתָא דְאִיהִי שְׁכִינְתָּא, וְלָא אִתְקַרִיב לְגַבָּהּ, הֲדָא הוּא דִכְתִיב </w:t>
      </w:r>
      <w:r>
        <w:rPr>
          <w:sz w:val="20"/>
          <w:szCs w:val="23"/>
          <w:rtl/>
        </w:rPr>
        <w:t>(במדבר א יח)</w:t>
      </w:r>
      <w:r>
        <w:rPr>
          <w:rtl/>
        </w:rPr>
        <w:t xml:space="preserve"> וְהַזָּר הַקָּרֵב יוּמָת, וְאַתְוָון דִּמְזְזוֹ''ת אִינוּן מַמָּשׁ זָ''ז מָוְ''ת, </w:t>
      </w:r>
      <w:r>
        <w:rPr>
          <w:rStyle w:val="a7"/>
          <w:rtl/>
        </w:rPr>
        <w:footnoteReference w:id="3361"/>
      </w:r>
      <w:r>
        <w:rPr>
          <w:rtl/>
        </w:rPr>
        <w:t xml:space="preserve">וּבְגִין דָּא מָאן דְּנָטִיר בְּרִית מִילָה דְאִיהוּ חוֹתָמָא דִילֵיהּ, זָז מָוְת מִנֵּיהּ, </w:t>
      </w:r>
      <w:r>
        <w:rPr>
          <w:rStyle w:val="a7"/>
          <w:rtl/>
        </w:rPr>
        <w:footnoteReference w:id="3362"/>
      </w:r>
      <w:r>
        <w:rPr>
          <w:rtl/>
        </w:rPr>
        <w:t>דְּאִיהוּ שָׂטָן, יֵצֶר הָרָע, רָע, טָמֵא, צְפוֹנִי, מַלְאַךְ הַמָּוְת, וְלָא יִתְקַרִיב לְגַבֵּיהּ, וְלָא יְמוּת עַל יְדֵיהּ.</w:t>
      </w:r>
    </w:p>
    <w:p w:rsidR="003841DB" w:rsidRDefault="003841DB" w:rsidP="00B17EA9">
      <w:pPr>
        <w:pStyle w:val="aa"/>
        <w:rPr>
          <w:rtl/>
        </w:rPr>
      </w:pPr>
      <w:r>
        <w:rPr>
          <w:rtl/>
        </w:rPr>
        <w:t xml:space="preserve">[תיקוני זוהר - דף סה ע''א] </w:t>
      </w:r>
    </w:p>
    <w:p w:rsidR="003841DB" w:rsidRDefault="003841DB" w:rsidP="00B17EA9">
      <w:pPr>
        <w:pStyle w:val="NormalWeb"/>
        <w:rPr>
          <w:rtl/>
        </w:rPr>
      </w:pPr>
      <w:r>
        <w:rPr>
          <w:rtl/>
        </w:rPr>
        <w:t xml:space="preserve">וּמָאן דִּמְשַׁקֵּר בִּבְרִית מִילָה, הוּא מְשַׁקֵּר בְּחוֹתָמָא דְמַלְכָּא, דְּאִיהוּ רָשִׁים בֵּיהּ שד''י מִלְּבָר יהו''ה מִלְּגָאו, מְנָא לָן מֵהַאי קְרָא מַשְׁמַע </w:t>
      </w:r>
      <w:r>
        <w:rPr>
          <w:sz w:val="20"/>
          <w:szCs w:val="23"/>
          <w:rtl/>
        </w:rPr>
        <w:t>(דברים ל יב)</w:t>
      </w:r>
      <w:r>
        <w:rPr>
          <w:rtl/>
        </w:rPr>
        <w:t xml:space="preserve"> מִ''י יַעֲלֶ''ה לָּנ''וּ הַשָּׁמַיְמָ''ה, </w:t>
      </w:r>
      <w:r>
        <w:rPr>
          <w:sz w:val="20"/>
          <w:szCs w:val="23"/>
          <w:rtl/>
        </w:rPr>
        <w:t xml:space="preserve">(דף סה ע''א) </w:t>
      </w:r>
      <w:r>
        <w:rPr>
          <w:rtl/>
        </w:rPr>
        <w:t xml:space="preserve">רֵישֵׁי תֵּיבוֹת מִילָ''ה, סוֹפֵי תֵּיבוֹת יהו''ה, וּבְוַדַּאי מָאן דִּמְשַׁקֵּר בִּבְרִית מִילָה, אִסְתַּלַּק מִנֵּיהּ יהו''ה ושד''י, וְשַׁרְיָא עֲלֵיהּ שָׂטָן </w:t>
      </w:r>
      <w:r>
        <w:rPr>
          <w:rStyle w:val="a7"/>
          <w:rtl/>
        </w:rPr>
        <w:footnoteReference w:id="3363"/>
      </w:r>
      <w:r>
        <w:rPr>
          <w:rtl/>
        </w:rPr>
        <w:t xml:space="preserve">דְּאִיהוּ אֵל אַחֵר, </w:t>
      </w:r>
      <w:r>
        <w:rPr>
          <w:rStyle w:val="a7"/>
          <w:rtl/>
        </w:rPr>
        <w:footnoteReference w:id="3364"/>
      </w:r>
      <w:r>
        <w:rPr>
          <w:rtl/>
        </w:rPr>
        <w:t xml:space="preserve">חִוְיָא שַׁרְיָא בַּאֲתַר דְּיהו''ה מִלְּגָאו, וְסַם מָוְת שַׁרְיָא בַּאֲתַר דְּשד''י מִלְּבָר, וְדָא אִיהוּ דְאָמַר קְרָא </w:t>
      </w:r>
      <w:r>
        <w:rPr>
          <w:sz w:val="20"/>
          <w:szCs w:val="23"/>
          <w:rtl/>
        </w:rPr>
        <w:t>(במדבר יט כ)</w:t>
      </w:r>
      <w:r>
        <w:rPr>
          <w:rtl/>
        </w:rPr>
        <w:t xml:space="preserve"> </w:t>
      </w:r>
      <w:r>
        <w:rPr>
          <w:rStyle w:val="a7"/>
          <w:rtl/>
        </w:rPr>
        <w:footnoteReference w:id="3365"/>
      </w:r>
      <w:r>
        <w:rPr>
          <w:rtl/>
        </w:rPr>
        <w:t xml:space="preserve">אֶת מִקְדַּשׁ יהו''ה טִמֵּא וכו', אִם לָא תָב בִּתְיוּבְתָּא, </w:t>
      </w:r>
      <w:r>
        <w:rPr>
          <w:rStyle w:val="a7"/>
          <w:rtl/>
        </w:rPr>
        <w:footnoteReference w:id="3366"/>
      </w:r>
      <w:r>
        <w:rPr>
          <w:rtl/>
        </w:rPr>
        <w:t xml:space="preserve">וְסָבִיל כַּמָּה יִסּוּרִין לְאַעֲבָרָא הַהוּא חִוְיָא מִתַּמָּן, וּלְסַם הַמָּוְת דִּילֵיהּ, דְּאִיהִי צָרַעַת מַמְאֶרֶת, בְּכַמָּה מַרְעִין וּמַכְתָּשִׁין, </w:t>
      </w:r>
      <w:r>
        <w:rPr>
          <w:rStyle w:val="a7"/>
          <w:rtl/>
        </w:rPr>
        <w:footnoteReference w:id="3367"/>
      </w:r>
      <w:r>
        <w:rPr>
          <w:rtl/>
        </w:rPr>
        <w:t xml:space="preserve">עַד דְּלָא אִשְׁתָּאַר בֵּיהּ בִּשְׂרָא דְאִיהִי עַפְרָא, וְרָזָא דְמִלָּה </w:t>
      </w:r>
      <w:r>
        <w:rPr>
          <w:sz w:val="20"/>
          <w:szCs w:val="23"/>
          <w:rtl/>
        </w:rPr>
        <w:t>(ויקרא יד מב)</w:t>
      </w:r>
      <w:r>
        <w:rPr>
          <w:rtl/>
        </w:rPr>
        <w:t xml:space="preserve"> </w:t>
      </w:r>
      <w:r>
        <w:rPr>
          <w:rStyle w:val="a7"/>
          <w:rtl/>
        </w:rPr>
        <w:footnoteReference w:id="3368"/>
      </w:r>
      <w:r>
        <w:rPr>
          <w:rtl/>
        </w:rPr>
        <w:t xml:space="preserve">וְעָפָר אַחֵר יִקַּח וְטָח אֶת הַבָּיִת, בְּגִין דְּנָחָשׁ עָפָר לַחְמוֹ, עַד דְּיִתְפַּרְנֵס מֵהַהוּא בִּשְׂרָא לָא יָזוּז מִנֵּיהּ, וְעָנִי חָשׁוּב כַּמֵּת, מַה מִּיתָה אַנְפּוֹי מִשְׁתַּנְּיָין, כְּגַוְונָא דָא עָנִי אַנְפּוֹי מִשְׁתַּנְּיָן, וְהָא אוּקְמוּהוּ </w:t>
      </w:r>
      <w:r>
        <w:rPr>
          <w:sz w:val="20"/>
          <w:szCs w:val="23"/>
          <w:rtl/>
        </w:rPr>
        <w:t>(תהלים יב ט)</w:t>
      </w:r>
      <w:r>
        <w:rPr>
          <w:rtl/>
        </w:rPr>
        <w:t xml:space="preserve"> כְּרוּם זְלּוּת לִבְנֵי אָדָם, מַאי כְּרוּם זְלּוּת, אֶלָּא מָאן דְּאִצְטְרִיךְ לְבִרְיָיתָא אַנְפּוֹי מִשְׁתַּנְּיָין כַּכְּרוּם, </w:t>
      </w:r>
      <w:r>
        <w:rPr>
          <w:rStyle w:val="a7"/>
          <w:rtl/>
        </w:rPr>
        <w:footnoteReference w:id="3369"/>
      </w:r>
      <w:r>
        <w:rPr>
          <w:rtl/>
        </w:rPr>
        <w:t>וְכַמָּה נִשּׁוּכִין דְּיִסּוּרִין נָשִׁיךְ לֵיהּ הַהוּא חִוְיָא.</w:t>
      </w:r>
    </w:p>
    <w:p w:rsidR="003841DB" w:rsidRDefault="003841DB" w:rsidP="00B17EA9">
      <w:pPr>
        <w:pStyle w:val="NormalWeb"/>
        <w:rPr>
          <w:rtl/>
        </w:rPr>
      </w:pPr>
      <w:r>
        <w:rPr>
          <w:rtl/>
        </w:rPr>
        <w:t xml:space="preserve">וְלָא עוֹד אֶלָּא דְעָנִי חָשִׁיב כַּמְּצוֹרָע, מַה מְּצוֹרָע </w:t>
      </w:r>
      <w:r>
        <w:rPr>
          <w:sz w:val="20"/>
          <w:szCs w:val="23"/>
          <w:rtl/>
        </w:rPr>
        <w:t>(ויקרא יג מה)</w:t>
      </w:r>
      <w:r>
        <w:rPr>
          <w:rtl/>
        </w:rPr>
        <w:t xml:space="preserve"> וְרֹאשׁוֹ יִהְיֶה פָרוּעַ וכו', כַּךְ עָנִי, מַה מְּצוֹרָע </w:t>
      </w:r>
      <w:r>
        <w:rPr>
          <w:rStyle w:val="a7"/>
          <w:rtl/>
        </w:rPr>
        <w:footnoteReference w:id="3370"/>
      </w:r>
      <w:r>
        <w:rPr>
          <w:rtl/>
        </w:rPr>
        <w:t xml:space="preserve">מִחוּץ לַמַּחֲנֶה מוֹשָׁבוֹ וגו', כַּךְ עָנִי עָרוֹם וְיָחֵף, וַעֲנִיּוּתָא אִיהִי לְיִשְׂרָאֵל בַּאֲתַר דְּצָרַעְתָּא, </w:t>
      </w:r>
      <w:r>
        <w:rPr>
          <w:rStyle w:val="a7"/>
          <w:rtl/>
        </w:rPr>
        <w:footnoteReference w:id="3371"/>
      </w:r>
      <w:r>
        <w:rPr>
          <w:rtl/>
        </w:rPr>
        <w:t xml:space="preserve">וְאַרְבַּע דִּיּוֹקְנִין אִינוּן </w:t>
      </w:r>
      <w:r>
        <w:rPr>
          <w:sz w:val="20"/>
          <w:szCs w:val="23"/>
          <w:rtl/>
        </w:rPr>
        <w:t>(ס''א גוונין)</w:t>
      </w:r>
      <w:r>
        <w:rPr>
          <w:rtl/>
        </w:rPr>
        <w:t>, כְּאַרְבַּע גַּוָּונִין דְּצָרַעַת, וְאִינוּן נֶגַע לָבָן אֲדַמְדָּם יְרַקְרַק בַּהֶרֶת שְׁחוֹרָה, הָא אַרְבַּע, וְכֻלְּהוּ אִית לוֹן אַתְרִין יְדִיעָאן בְּגוּפָא, וּמִנְּהוֹן אַתְיָין לִבְנֵי נָשָׁא כַּמָּה מַרְעִין, לָבָן וַאֲדַמְדָּם חֵלֶב טָמֵא וְכָבֵד, יְרַקְרַק מָרָה, בַּהֶרֶת שְׁחוֹרָה טְחוֹל, וּמִנְּהוֹן נְבִעִין אַרְבַּע מִינֵי מַרְעִין, וְאִינוּן מָרָה חִוָּורָא, מָרָה סוּמָקָא, מָרָה יְרוֹקָא, מָרָה אוּכָּמָא.</w:t>
      </w:r>
    </w:p>
    <w:p w:rsidR="003841DB" w:rsidRDefault="003841DB" w:rsidP="00B17EA9">
      <w:pPr>
        <w:pStyle w:val="NormalWeb"/>
        <w:rPr>
          <w:rtl/>
        </w:rPr>
      </w:pPr>
      <w:r>
        <w:rPr>
          <w:rtl/>
        </w:rPr>
        <w:t xml:space="preserve">וְאִם תָּב בִּתְיוּבְתָּא, נָחִית עֲלֵיהּ סַם חַיִּים דְּאִיהִי שְׁכִינְתָּא, וְאִתְּמַר בָּהּ </w:t>
      </w:r>
      <w:r>
        <w:rPr>
          <w:sz w:val="20"/>
          <w:szCs w:val="23"/>
          <w:rtl/>
        </w:rPr>
        <w:t>(ישעיה ו י)</w:t>
      </w:r>
      <w:r>
        <w:rPr>
          <w:rtl/>
        </w:rPr>
        <w:t xml:space="preserve"> </w:t>
      </w:r>
      <w:r>
        <w:rPr>
          <w:rStyle w:val="a7"/>
          <w:rtl/>
        </w:rPr>
        <w:footnoteReference w:id="3372"/>
      </w:r>
      <w:r>
        <w:rPr>
          <w:rtl/>
        </w:rPr>
        <w:t xml:space="preserve">וָשָׁב וְרָפָא לוֹ </w:t>
      </w:r>
      <w:r>
        <w:rPr>
          <w:rStyle w:val="a7"/>
          <w:rtl/>
        </w:rPr>
        <w:footnoteReference w:id="3373"/>
      </w:r>
      <w:r>
        <w:rPr>
          <w:rtl/>
        </w:rPr>
        <w:t xml:space="preserve">מֵאִלֵּין מִינֵי מַרְעִין, וּמְחַיֶּה לֵיהּ מִמִּיתָה דַעֲנִיּוּתָא, כְּמָה דְאַתְּ אָמַר </w:t>
      </w:r>
      <w:r>
        <w:rPr>
          <w:sz w:val="20"/>
          <w:szCs w:val="23"/>
          <w:rtl/>
        </w:rPr>
        <w:t>(יחזקאל יא לב)</w:t>
      </w:r>
      <w:r>
        <w:rPr>
          <w:rtl/>
        </w:rPr>
        <w:t xml:space="preserve"> וְהָשִׁיבוּ וִחְיוּ, דְּיִשְׂרָאֵל בְּזִמְנָא דְאִינוּן עֲנִיִּים קְרוּיִים מֵתִים, וּבְגִינַיְיהוּ אִתְּמַר שׁוּבוּ וִחְיוּ, </w:t>
      </w:r>
      <w:r>
        <w:rPr>
          <w:rStyle w:val="a7"/>
          <w:rtl/>
        </w:rPr>
        <w:footnoteReference w:id="3374"/>
      </w:r>
      <w:r>
        <w:rPr>
          <w:rtl/>
        </w:rPr>
        <w:t xml:space="preserve">וְלֵית עֲנִיּוּתָא כַּעֲנִיּוּתָא דְאוֹרַיְיתָא, דְּמָאן דְּלָא אִית בֵּיהּ אוֹרַיְיתָא אִתְקְרֵי מֵת, אַסְוָותָא דִילֵיהּ מַאי הוּא לְהַהוּא עָלְמָא, אוֹרַיְיתָא, דְאִתְּמַר בֵּיהּ </w:t>
      </w:r>
      <w:r>
        <w:rPr>
          <w:sz w:val="20"/>
          <w:szCs w:val="23"/>
          <w:rtl/>
        </w:rPr>
        <w:t>(משלי ג יח)</w:t>
      </w:r>
      <w:r>
        <w:rPr>
          <w:rtl/>
        </w:rPr>
        <w:t xml:space="preserve"> עִץ חַיִּים הִיא וְגוֹמֵר, וְאִיהִי אַסְוָותָא לְכָל מַרְעִין, כְּמָה דְאַתְּ אָמַר </w:t>
      </w:r>
      <w:r>
        <w:rPr>
          <w:sz w:val="20"/>
          <w:szCs w:val="23"/>
          <w:rtl/>
        </w:rPr>
        <w:t>(שם ח)</w:t>
      </w:r>
      <w:r>
        <w:rPr>
          <w:rtl/>
        </w:rPr>
        <w:t xml:space="preserve"> רִפְאוּת תְּהִי לְשָׁרֶךָ וכו'.</w:t>
      </w:r>
    </w:p>
    <w:p w:rsidR="003841DB" w:rsidRDefault="003841DB" w:rsidP="00B17EA9">
      <w:pPr>
        <w:pStyle w:val="NormalWeb"/>
        <w:rPr>
          <w:rtl/>
        </w:rPr>
      </w:pPr>
      <w:r>
        <w:rPr>
          <w:rStyle w:val="a7"/>
          <w:rtl/>
        </w:rPr>
        <w:footnoteReference w:id="3375"/>
      </w:r>
      <w:r>
        <w:rPr>
          <w:rtl/>
        </w:rPr>
        <w:t xml:space="preserve">שִׂימֵנִי כַחוֹתָם </w:t>
      </w:r>
      <w:r>
        <w:rPr>
          <w:sz w:val="20"/>
          <w:szCs w:val="23"/>
          <w:rtl/>
        </w:rPr>
        <w:t>(שיר ח ו)</w:t>
      </w:r>
      <w:r>
        <w:rPr>
          <w:rtl/>
        </w:rPr>
        <w:t xml:space="preserve">, דָּא אוֹת שַׁבָּת וְיוֹם טוֹב, דְּאִיהוּ שָׁקִיל לִבְרִית מִילָה, מַאי חוֹתָם בְּהַאי אֲתַר, כְּגַוְונָא [דָא] שַׁבָּ''ת, ש' לָקֳבֵל שִׁי''ן דְּשֵׁם שד''י, כְּלִילָא מִתְּלַת חֵיוָון עִלָּאִין, מִתְּלַת אֲבָהָן, </w:t>
      </w:r>
      <w:r>
        <w:rPr>
          <w:rStyle w:val="a7"/>
          <w:rtl/>
        </w:rPr>
        <w:footnoteReference w:id="3376"/>
      </w:r>
      <w:r>
        <w:rPr>
          <w:rtl/>
        </w:rPr>
        <w:t xml:space="preserve">בַּת דָּא ד', דְּאִיהִי רְבִיעָאָה לַאֲבָהָן, וּרְבִיעָאָה לִתְלַת חֵיוָון, וְאִיהִי דְמוּת אָדָם, </w:t>
      </w:r>
      <w:r>
        <w:rPr>
          <w:rStyle w:val="a7"/>
          <w:rtl/>
        </w:rPr>
        <w:footnoteReference w:id="3377"/>
      </w:r>
      <w:r>
        <w:rPr>
          <w:rtl/>
        </w:rPr>
        <w:t xml:space="preserve">וְלַאו אָדָם, הֲדָא הוּא דִכְתִיב </w:t>
      </w:r>
      <w:r>
        <w:rPr>
          <w:sz w:val="20"/>
          <w:szCs w:val="23"/>
          <w:rtl/>
        </w:rPr>
        <w:t>(יחזקאל א י)</w:t>
      </w:r>
      <w:r>
        <w:rPr>
          <w:rtl/>
        </w:rPr>
        <w:t xml:space="preserve"> וּדְמוּת פְּנֵיהֶם פְּנֵי אָדָם, אֶלָּא מַאי אָדָם יו''ד ה''א וא''ו ה''א, י' דְּשד''י לָקֳבֵל אוֹת דְּשַׁבָּת וְיוֹמִין טָבִין, י' בֵּיהּ אִתְרְמִיזוּ עֲשַׂר סְפִירָן, אוֹת שַׁבָּת בֵּיהּ שד''י, יהו''ה הוּא רְשׁוּת הַיָּחִיד רָחְבּוֹ אַרְבָּעָה וְגָבְהוֹ עֲשָׂרָה יו''ד ה''א וא''ו ה''א.</w:t>
      </w:r>
    </w:p>
    <w:p w:rsidR="003841DB" w:rsidRDefault="003841DB" w:rsidP="00B17EA9">
      <w:pPr>
        <w:pStyle w:val="NormalWeb"/>
        <w:rPr>
          <w:rtl/>
        </w:rPr>
      </w:pPr>
      <w:r>
        <w:rPr>
          <w:rStyle w:val="a7"/>
          <w:rtl/>
        </w:rPr>
        <w:footnoteReference w:id="3378"/>
      </w:r>
      <w:r>
        <w:rPr>
          <w:rtl/>
        </w:rPr>
        <w:t xml:space="preserve">הַאי רְשִׁימוּ אִיהוּ לִבְרָא דְמַלְכָּא, אֲבָל לְעַבְדָּא דְמַלְכָּא רְשִׁימוּ דִילֵיהּ שד''י, מִסִּטְרָא דְהַהוּא דְאִתְּמַר בֵּיהּ </w:t>
      </w:r>
      <w:r>
        <w:rPr>
          <w:sz w:val="20"/>
          <w:szCs w:val="23"/>
          <w:rtl/>
        </w:rPr>
        <w:t>(ישעיה מג ז)</w:t>
      </w:r>
      <w:r>
        <w:rPr>
          <w:rtl/>
        </w:rPr>
        <w:t xml:space="preserve"> </w:t>
      </w:r>
      <w:r>
        <w:rPr>
          <w:rStyle w:val="a7"/>
          <w:rtl/>
        </w:rPr>
        <w:footnoteReference w:id="3379"/>
      </w:r>
      <w:r>
        <w:rPr>
          <w:rtl/>
        </w:rPr>
        <w:t xml:space="preserve">כֹּל הַנִּקְרָא בִשְׁמִי וכו', וּמַאי נִיהוּ מטטרו''ן, דְּסָלִיק לְחֻשְׁבַּן שד''י, </w:t>
      </w:r>
      <w:r>
        <w:rPr>
          <w:rStyle w:val="a7"/>
          <w:rtl/>
        </w:rPr>
        <w:footnoteReference w:id="3380"/>
      </w:r>
      <w:r>
        <w:rPr>
          <w:rtl/>
        </w:rPr>
        <w:t>וְאִיהוּ אָדָם זְעִירָא בְדִיּוֹקְנָא דִלְעִילָא, וְדָא אִיהוּ אִם כַּבָּנִים אִם כַּעֲבָדִים וכו'.</w:t>
      </w:r>
    </w:p>
    <w:p w:rsidR="003841DB" w:rsidRDefault="003841DB" w:rsidP="00B17EA9">
      <w:pPr>
        <w:pStyle w:val="NormalWeb"/>
        <w:rPr>
          <w:rtl/>
        </w:rPr>
      </w:pPr>
      <w:r>
        <w:rPr>
          <w:rtl/>
        </w:rPr>
        <w:t xml:space="preserve">מָאן דְּאִיהוּ רְשִׁימוּ דְאַרְיֵה בְּחוֹתָמָא דִילֵיהּ אִיהוּ חִוָּור בְּאַנְפּוֹי, מָאן דְּאִיהוּ בְּחוֹתָמָא דְשׁוֹר אִיהוּ סוּמָקָא בְּאַנְפּוֹי, מָאן דְּאִיהוּ בְּחוֹתָמָא דְנֶשֶׁר אִיהוּ יְרוֹקָא בְּאַנְפּוֹי, מָאן דְּאִיהוּ בְּחוֹתָמָא דִדְמוּת אָדָם אִיהוּ אוּכָּם בְּאַנְפּוֹי, כְּגַוְונָא דְאוֹרַיְיתָא </w:t>
      </w:r>
      <w:r>
        <w:rPr>
          <w:rStyle w:val="a7"/>
          <w:rtl/>
        </w:rPr>
        <w:footnoteReference w:id="3381"/>
      </w:r>
      <w:r>
        <w:rPr>
          <w:rtl/>
        </w:rPr>
        <w:t xml:space="preserve">דְאִתְּמַר </w:t>
      </w:r>
      <w:r>
        <w:rPr>
          <w:sz w:val="20"/>
          <w:szCs w:val="23"/>
          <w:rtl/>
        </w:rPr>
        <w:t>(שיר א ה)</w:t>
      </w:r>
      <w:r>
        <w:rPr>
          <w:rtl/>
        </w:rPr>
        <w:t xml:space="preserve"> שְׁחוֹרָה אֲנִי וְנָאוָה.</w:t>
      </w:r>
    </w:p>
    <w:p w:rsidR="003841DB" w:rsidRDefault="003841DB" w:rsidP="00B17EA9">
      <w:pPr>
        <w:pStyle w:val="aa"/>
        <w:rPr>
          <w:rtl/>
        </w:rPr>
      </w:pPr>
      <w:r>
        <w:rPr>
          <w:rtl/>
        </w:rPr>
        <w:t xml:space="preserve">[תיקוני זוהר - דף סה ע''ב] </w:t>
      </w:r>
    </w:p>
    <w:p w:rsidR="003841DB" w:rsidRDefault="003841DB" w:rsidP="00B17EA9">
      <w:pPr>
        <w:pStyle w:val="NormalWeb"/>
        <w:rPr>
          <w:rtl/>
        </w:rPr>
      </w:pPr>
      <w:r>
        <w:rPr>
          <w:rStyle w:val="a7"/>
          <w:rtl/>
        </w:rPr>
        <w:footnoteReference w:id="3382"/>
      </w:r>
      <w:r>
        <w:rPr>
          <w:rtl/>
        </w:rPr>
        <w:t xml:space="preserve">שִׂימֵנִי כַחוֹתָם, דָּא אוֹרַיְיתָא, דְאִתְּמַר בָּהּ </w:t>
      </w:r>
      <w:r>
        <w:rPr>
          <w:sz w:val="20"/>
          <w:szCs w:val="23"/>
          <w:rtl/>
        </w:rPr>
        <w:t>(מלאכי ב ו)</w:t>
      </w:r>
      <w:r>
        <w:rPr>
          <w:rtl/>
        </w:rPr>
        <w:t xml:space="preserve"> תּוֹרַת אֱמֶת הָיְתָה בְּפִיהוּ, וְאִיהִי כְלִילָא מֵעֲשַׂר אֲמִירָן דְּאִנּוּן י', וּמֵעֲשַׂר דִּבְּרָן דְּאִינוּן ה''ה, ו' כְּלִיל שִׁית סִפִרֵי תּוֹרָה, וְאִיהוּ כְּלִיל שִׁית </w:t>
      </w:r>
      <w:r>
        <w:rPr>
          <w:sz w:val="20"/>
          <w:szCs w:val="23"/>
          <w:rtl/>
        </w:rPr>
        <w:t xml:space="preserve">(דף סה ע''ב) </w:t>
      </w:r>
      <w:r>
        <w:rPr>
          <w:rtl/>
        </w:rPr>
        <w:t xml:space="preserve">יְמֵי בְרֵאשִׁית, וְאִיהוּ ו' זִמְנִין טוב. עַל לִבֶּךָ דָּא ל''ב אלהי''ם בְּחוּשְׁבַּן ל''ב, </w:t>
      </w:r>
      <w:r>
        <w:rPr>
          <w:rStyle w:val="a7"/>
          <w:rtl/>
        </w:rPr>
        <w:footnoteReference w:id="3383"/>
      </w:r>
      <w:r>
        <w:rPr>
          <w:rtl/>
        </w:rPr>
        <w:t xml:space="preserve">דְּתַלְיָין מִן יו"ד, וּבָהּ אִשְׁתַּלִּים </w:t>
      </w:r>
      <w:r>
        <w:rPr>
          <w:sz w:val="20"/>
          <w:szCs w:val="23"/>
          <w:rtl/>
        </w:rPr>
        <w:t>(נ''א ו')</w:t>
      </w:r>
      <w:r>
        <w:rPr>
          <w:rtl/>
        </w:rPr>
        <w:t xml:space="preserve"> שְׁמָא דְאַרְבְּעִין וּתְרֵין אַתְוָון, דִּבְהוֹן אִתְבְּרִיאוּ שְׁמַיָּא וְאַרְעָא וְכָל מַה דְּאִית בְּהוֹן, וְדָא אִיהוּ רָזָא כִּי </w:t>
      </w:r>
      <w:r>
        <w:rPr>
          <w:rStyle w:val="a7"/>
          <w:rtl/>
        </w:rPr>
        <w:footnoteReference w:id="3384"/>
      </w:r>
      <w:r>
        <w:rPr>
          <w:rtl/>
        </w:rPr>
        <w:t xml:space="preserve">יוֹם נָקָם בְּלִבִּי </w:t>
      </w:r>
      <w:r>
        <w:rPr>
          <w:sz w:val="20"/>
          <w:szCs w:val="23"/>
          <w:rtl/>
        </w:rPr>
        <w:t>(ישעיה סג ד)</w:t>
      </w:r>
      <w:r>
        <w:rPr>
          <w:rtl/>
        </w:rPr>
        <w:t xml:space="preserve">, לִבִּ''י סְלִיק מ''ב, וַיְכֻלּ''וּ ע''ב שְׁמָהָן דִּשְׁמָא מְפָרַשׁ, וַעֲלֵיהּ אִתְּמַר </w:t>
      </w:r>
      <w:r>
        <w:rPr>
          <w:rStyle w:val="a7"/>
          <w:rtl/>
        </w:rPr>
        <w:footnoteReference w:id="3385"/>
      </w:r>
      <w:r>
        <w:rPr>
          <w:rtl/>
        </w:rPr>
        <w:t xml:space="preserve">לְלִבִּי גִלִּיתִי, וּלְאֵבָרַי דְּאִנּוּן רְמַ''ח פִּקּוּדִין דְּאוֹרַיְיתָא לֹא גִלִּיתִי, </w:t>
      </w:r>
      <w:r>
        <w:rPr>
          <w:rStyle w:val="a7"/>
          <w:rtl/>
        </w:rPr>
        <w:footnoteReference w:id="3386"/>
      </w:r>
      <w:r>
        <w:rPr>
          <w:rtl/>
        </w:rPr>
        <w:t xml:space="preserve">וּבְהַאי וַיְכֻלּוּ </w:t>
      </w:r>
      <w:r>
        <w:rPr>
          <w:sz w:val="20"/>
          <w:szCs w:val="23"/>
          <w:rtl/>
        </w:rPr>
        <w:t>(ה' בששי דאיהו בו', ודא איהי ויהי ערב ויהי בקר יום הששי, דהאי)</w:t>
      </w:r>
      <w:r>
        <w:rPr>
          <w:rtl/>
        </w:rPr>
        <w:t xml:space="preserve"> ה' דְהַשִּׁשִּׁי אִיהוּ מַלְכוּת שְׁבִיעָאָה, וְאִיהִי אִתְקְרִיאַת ע''ב, </w:t>
      </w:r>
      <w:r>
        <w:rPr>
          <w:rStyle w:val="a7"/>
          <w:rtl/>
        </w:rPr>
        <w:footnoteReference w:id="3387"/>
      </w:r>
      <w:r>
        <w:rPr>
          <w:rtl/>
        </w:rPr>
        <w:t xml:space="preserve">וּבָהּ רְכִיב ו' לְמִפְרַק לְיִשְׂרָאֵל, הֲדָא הוּא דִכְתִיב </w:t>
      </w:r>
      <w:r>
        <w:rPr>
          <w:sz w:val="20"/>
          <w:szCs w:val="23"/>
          <w:rtl/>
        </w:rPr>
        <w:t>(ישעיה יט א)</w:t>
      </w:r>
      <w:r>
        <w:rPr>
          <w:rtl/>
        </w:rPr>
        <w:t xml:space="preserve"> הִנֵּה יהו''ה רוֹכֵב עַל עָ''ב קַל, </w:t>
      </w:r>
      <w:r>
        <w:rPr>
          <w:rStyle w:val="a7"/>
          <w:rtl/>
        </w:rPr>
        <w:footnoteReference w:id="3388"/>
      </w:r>
      <w:r>
        <w:rPr>
          <w:rtl/>
        </w:rPr>
        <w:t xml:space="preserve">בְּגִין דְּאִיהִי כְּלָלָא דִתְלַת אֲבָהָן, דְּתַלְיָין מִנְּהוֹן ע''ב שְׁמָהָן, וְאִתְכְּלִילָן בָּהּ, וְלָקֳבֵל תְּלַת אֲבָהָן אִתְּמַר בְּוַיְכֻלּוּ תְּלַת זִמְנִין שְׁבִיעִי, וְדָא אִיהִי רָזָא דְשַׁבָּ''ת, בַּ''ת ש, דְּאִינוּן וַיִּסַּע וַיָּבֹא וַיֵּט דְּאִתְכְּלִילָן בְּבַ''ת, </w:t>
      </w:r>
      <w:r>
        <w:rPr>
          <w:rStyle w:val="a7"/>
          <w:rtl/>
        </w:rPr>
        <w:footnoteReference w:id="3389"/>
      </w:r>
      <w:r>
        <w:rPr>
          <w:rtl/>
        </w:rPr>
        <w:t xml:space="preserve">בְּהַהִיא זִמְנָא חָלָה זְכוּת אֲבָהָן, </w:t>
      </w:r>
      <w:r>
        <w:rPr>
          <w:rStyle w:val="a7"/>
          <w:rtl/>
        </w:rPr>
        <w:footnoteReference w:id="3390"/>
      </w:r>
      <w:r>
        <w:rPr>
          <w:rtl/>
        </w:rPr>
        <w:t xml:space="preserve">דְּמִיּוֹמָא דְאִתְחֲרִיב בֵּי מַקְדְּשָׁא עָלְמָא אִתְקְרִי תֹהוּ וָבֹהוּ, מִתַּמָּן וְאֵילֵךְ אִתְקַיַּים קְרָא </w:t>
      </w:r>
      <w:r>
        <w:rPr>
          <w:sz w:val="20"/>
          <w:szCs w:val="23"/>
          <w:rtl/>
        </w:rPr>
        <w:t>(תהלים פט ג)</w:t>
      </w:r>
      <w:r>
        <w:rPr>
          <w:rtl/>
        </w:rPr>
        <w:t xml:space="preserve"> אָמַרְתִּי עוֹלָם חֶסֶד יִבָּנֶה, חֶסֶ''ד סְלִיק לְחוּשְׁבַּן ע''ב שְׁמָהָן.</w:t>
      </w:r>
    </w:p>
    <w:p w:rsidR="003841DB" w:rsidRDefault="003841DB" w:rsidP="00B17EA9">
      <w:pPr>
        <w:pStyle w:val="NormalWeb"/>
        <w:rPr>
          <w:rtl/>
        </w:rPr>
      </w:pPr>
      <w:r>
        <w:rPr>
          <w:rStyle w:val="a7"/>
          <w:rtl/>
        </w:rPr>
        <w:footnoteReference w:id="3391"/>
      </w:r>
      <w:r>
        <w:rPr>
          <w:rtl/>
        </w:rPr>
        <w:t xml:space="preserve">וְה' דָא רָזָא דְאִתְקַשַּׁר שְׁבִיעִי בְּיוֹמָא קַדְמָאָה, </w:t>
      </w:r>
      <w:r>
        <w:rPr>
          <w:rStyle w:val="a7"/>
          <w:rtl/>
        </w:rPr>
        <w:footnoteReference w:id="3392"/>
      </w:r>
      <w:r>
        <w:rPr>
          <w:rtl/>
        </w:rPr>
        <w:t xml:space="preserve">וּמָאן שְׁבִיעִי דָּא צַדִּיק אוֹת דְּשַׁבָּת וְיוֹמִין טָבִין, </w:t>
      </w:r>
      <w:r>
        <w:rPr>
          <w:rStyle w:val="a7"/>
          <w:rtl/>
        </w:rPr>
        <w:footnoteReference w:id="3393"/>
      </w:r>
      <w:r>
        <w:rPr>
          <w:rtl/>
        </w:rPr>
        <w:t xml:space="preserve">וְרָזָא דְמִלָּה חַי יהו''ה שִׁכְבִי עַד הַבֹּקֶר </w:t>
      </w:r>
      <w:r>
        <w:rPr>
          <w:sz w:val="20"/>
          <w:szCs w:val="23"/>
          <w:rtl/>
        </w:rPr>
        <w:t>(רות ג יג)</w:t>
      </w:r>
      <w:r>
        <w:rPr>
          <w:rtl/>
        </w:rPr>
        <w:t xml:space="preserve">, וְדָא בֹּקֶר דְּאַבְרָהָם, הַהוּא דְאִתְּמַר בֵּיהּ </w:t>
      </w:r>
      <w:r>
        <w:rPr>
          <w:sz w:val="20"/>
          <w:szCs w:val="23"/>
          <w:rtl/>
        </w:rPr>
        <w:t>(בראשית יט כז)</w:t>
      </w:r>
      <w:r>
        <w:rPr>
          <w:rtl/>
        </w:rPr>
        <w:t xml:space="preserve"> וַיַּשְׁכֵּם אַבְרָהָם בַּבֹּקֶר, וְאִיהוּ חֶסֶד דִּילֵיהּ, בְּגִין דִּבְהַאי חֶסֶד אִתְתַּקַּן כָּרְסַיָּיא </w:t>
      </w:r>
      <w:r>
        <w:rPr>
          <w:rStyle w:val="a7"/>
          <w:rtl/>
        </w:rPr>
        <w:footnoteReference w:id="3394"/>
      </w:r>
      <w:r>
        <w:rPr>
          <w:rtl/>
        </w:rPr>
        <w:t xml:space="preserve">דְאִיהִי נְפִילָה, הֲדָא הוּא דִכְתִיב </w:t>
      </w:r>
      <w:r>
        <w:rPr>
          <w:sz w:val="20"/>
          <w:szCs w:val="23"/>
          <w:rtl/>
        </w:rPr>
        <w:t>(ישעיה טז ה)</w:t>
      </w:r>
      <w:r>
        <w:rPr>
          <w:rtl/>
        </w:rPr>
        <w:t xml:space="preserve"> וְהוּכַן בַּחֶסֶד כִּסֵּא, </w:t>
      </w:r>
      <w:r>
        <w:rPr>
          <w:rStyle w:val="a7"/>
          <w:rtl/>
        </w:rPr>
        <w:footnoteReference w:id="3395"/>
      </w:r>
      <w:r>
        <w:rPr>
          <w:rtl/>
        </w:rPr>
        <w:t xml:space="preserve">וּבֵיהּ תָּקוּם, וְרָזָא דְמִלָּה וּבְחֶסֶד עוֹלָם רִחַמְתִּיךְ </w:t>
      </w:r>
      <w:r>
        <w:rPr>
          <w:sz w:val="20"/>
          <w:szCs w:val="23"/>
          <w:rtl/>
        </w:rPr>
        <w:t>(שם נד ח)</w:t>
      </w:r>
      <w:r>
        <w:rPr>
          <w:rtl/>
        </w:rPr>
        <w:t xml:space="preserve">, וְכָל סְפִירָן מִתְקַשְּׁרִין בִּימִינָא, </w:t>
      </w:r>
      <w:r>
        <w:rPr>
          <w:rStyle w:val="a7"/>
          <w:rtl/>
        </w:rPr>
        <w:footnoteReference w:id="3396"/>
      </w:r>
      <w:r>
        <w:rPr>
          <w:rtl/>
        </w:rPr>
        <w:t xml:space="preserve">בְּגִין דַּעֲלֵיהּ אִתְּמַר </w:t>
      </w:r>
      <w:r>
        <w:rPr>
          <w:sz w:val="20"/>
          <w:szCs w:val="23"/>
          <w:rtl/>
        </w:rPr>
        <w:t>(דברים לג ב)</w:t>
      </w:r>
      <w:r>
        <w:rPr>
          <w:rtl/>
        </w:rPr>
        <w:t xml:space="preserve"> מִימִינוֹ אֵשׁ דָּת לָמוֹ, מִימִינָא אִתְיַיהִיב אוֹרַיְיתָא, </w:t>
      </w:r>
      <w:r>
        <w:rPr>
          <w:rStyle w:val="a7"/>
          <w:rtl/>
        </w:rPr>
        <w:footnoteReference w:id="3397"/>
      </w:r>
      <w:r>
        <w:rPr>
          <w:rtl/>
        </w:rPr>
        <w:t xml:space="preserve">בְּגִין דָּא מוֹלִיךְ לִימִין מֹשֶׁה זְרוֹעַ תִּפְאַרְתּוֹ, </w:t>
      </w:r>
      <w:r>
        <w:rPr>
          <w:rStyle w:val="a7"/>
          <w:rtl/>
        </w:rPr>
        <w:footnoteReference w:id="3398"/>
      </w:r>
      <w:r>
        <w:rPr>
          <w:rtl/>
        </w:rPr>
        <w:t xml:space="preserve">וּבוֹקֵעַ מַיִם </w:t>
      </w:r>
      <w:r>
        <w:rPr>
          <w:sz w:val="20"/>
          <w:szCs w:val="23"/>
          <w:rtl/>
        </w:rPr>
        <w:t>(ישעיהו סג יב)</w:t>
      </w:r>
      <w:r>
        <w:rPr>
          <w:rtl/>
        </w:rPr>
        <w:t xml:space="preserve"> דְּאוֹרַיְיתָא מִתַּמָּן, מִה' דְאַבְרָהָם, </w:t>
      </w:r>
      <w:r>
        <w:rPr>
          <w:rStyle w:val="a7"/>
          <w:rtl/>
        </w:rPr>
        <w:footnoteReference w:id="3399"/>
      </w:r>
      <w:r>
        <w:rPr>
          <w:rtl/>
        </w:rPr>
        <w:t xml:space="preserve">לְמֶהֱוִי לֵיהּ בָּהּ שֵׁם עוֹלָם, וּבָהּ אִשְׁתַּלִּים ה' דְמֹשֶׁה, דְּאִיהִי בְמַשְׁכּוֹנָא לְגַבֵּיהּ דְאַבְרָהָם בְּמֹשֶׁה, דְאַיְיתֵי אוֹרַיְיתָא, עַד דְּיִפְרוֹק לִבְנוֹי, </w:t>
      </w:r>
      <w:r>
        <w:rPr>
          <w:rStyle w:val="a7"/>
          <w:rtl/>
        </w:rPr>
        <w:footnoteReference w:id="3400"/>
      </w:r>
      <w:r>
        <w:rPr>
          <w:rtl/>
        </w:rPr>
        <w:t xml:space="preserve">וְרָזָא דְמִלָּה כִּימֵי צֵאתְךָ מֵאֶרֶץ מִצְרָיִם אַרְאֶנּוּ נִפְלָאוֹת </w:t>
      </w:r>
      <w:r>
        <w:rPr>
          <w:sz w:val="20"/>
          <w:szCs w:val="23"/>
          <w:rtl/>
        </w:rPr>
        <w:t>(מיכה ז טו)</w:t>
      </w:r>
      <w:r>
        <w:rPr>
          <w:rtl/>
        </w:rPr>
        <w:t>.</w:t>
      </w:r>
    </w:p>
    <w:p w:rsidR="003841DB" w:rsidRDefault="003841DB" w:rsidP="00B17EA9">
      <w:pPr>
        <w:pStyle w:val="NormalWeb"/>
        <w:rPr>
          <w:rtl/>
        </w:rPr>
      </w:pPr>
      <w:r>
        <w:rPr>
          <w:rStyle w:val="a7"/>
          <w:rtl/>
        </w:rPr>
        <w:footnoteReference w:id="3401"/>
      </w:r>
      <w:r>
        <w:rPr>
          <w:rtl/>
        </w:rPr>
        <w:t xml:space="preserve">וְרָזָא דְפוּרְקָנָא בְּהַאי חוֹתָמָא אִיהוּ, דַּעֲלֵיהּ אִתְּמַר </w:t>
      </w:r>
      <w:r>
        <w:rPr>
          <w:sz w:val="20"/>
          <w:szCs w:val="23"/>
          <w:rtl/>
        </w:rPr>
        <w:t>(ישעיהו נה יב)</w:t>
      </w:r>
      <w:r>
        <w:rPr>
          <w:rtl/>
        </w:rPr>
        <w:t xml:space="preserve"> כִּי בְשִׂמְחָה תֵצֵאוּ וּבְשָׁלוֹם תּוּבָלוּן, כִּי בְּשִׂמְחָה, </w:t>
      </w:r>
      <w:r>
        <w:rPr>
          <w:rStyle w:val="a7"/>
          <w:rtl/>
        </w:rPr>
        <w:footnoteReference w:id="3402"/>
      </w:r>
      <w:r>
        <w:rPr>
          <w:rtl/>
        </w:rPr>
        <w:t xml:space="preserve">י'בְּשִׂמְחָה סָלִיק לְחוּשְׁבַּן אָדֶ''ן דְּאִיהוּ אדנ''י, אֲרוֹן הַבְּרִית אָדוֹן כָּל הָאָרֶץ אִתְקְרֵי, בַּר מֵאָת ש' דְּאִיהוּ תְּלַת מֵאָה, כ' בְּשִׂמְחָה אִיהִי בְּחֹכְמָה, </w:t>
      </w:r>
      <w:r>
        <w:rPr>
          <w:rStyle w:val="a7"/>
          <w:rtl/>
        </w:rPr>
        <w:footnoteReference w:id="3403"/>
      </w:r>
      <w:r>
        <w:rPr>
          <w:rtl/>
        </w:rPr>
        <w:t xml:space="preserve">דְאִיהִי אַתְוָון מַחֲשָׁבָה, וְאִינוּן תְּלַת אֲבָהָן דְּאִתְחַבְּרוּ בָהּ, וְאַתְוָון בְּשִׂמְחָ''ה אִיהִי מַחֲשָׁבָ''ה, </w:t>
      </w:r>
      <w:r>
        <w:rPr>
          <w:rStyle w:val="a7"/>
          <w:rtl/>
        </w:rPr>
        <w:footnoteReference w:id="3404"/>
      </w:r>
      <w:r>
        <w:rPr>
          <w:rtl/>
        </w:rPr>
        <w:t xml:space="preserve">ש תְּלַת אֲבָהָן בְּחַמָּה ה''ן, וְאִיהִי שְׁכִינְתָּא דְלֵית לָהּ יִחוּדָא אֶלָּא בְמִינָהּ, כְּמָה דְאַתְוָותָא דְה''ן, וְאִתְעֲבִידוּ עֲשָׂרָה וְאִתְעֲבִידוּ מֵאָה, כְּמָה דִשְׁכִינְתָּא כְּלִילָא כֻּלְּהוּ עֲשָׂרָה וְכֻלְּהוּ מֵאָה, וְהַיְינוּ דִכְתִיב </w:t>
      </w:r>
      <w:r>
        <w:rPr>
          <w:sz w:val="20"/>
          <w:szCs w:val="23"/>
          <w:rtl/>
        </w:rPr>
        <w:t>(דברים י יד)</w:t>
      </w:r>
      <w:r>
        <w:rPr>
          <w:rtl/>
        </w:rPr>
        <w:t xml:space="preserve"> הֵן לַיהו''ה אלהי''ך הַשָּׁמַיִם וּשְׁמֵי הַשָּׁמַיִם, וְרָזָא דְמִלָּה הֵן אדנ''י.</w:t>
      </w:r>
    </w:p>
    <w:p w:rsidR="003841DB" w:rsidRDefault="003841DB" w:rsidP="00B17EA9">
      <w:pPr>
        <w:pStyle w:val="NormalWeb"/>
        <w:rPr>
          <w:rtl/>
        </w:rPr>
      </w:pPr>
      <w:r>
        <w:rPr>
          <w:rtl/>
        </w:rPr>
        <w:t xml:space="preserve">וּבְשָׁלוֹם תּוּבָלוּן </w:t>
      </w:r>
      <w:r>
        <w:rPr>
          <w:sz w:val="20"/>
          <w:szCs w:val="23"/>
          <w:rtl/>
        </w:rPr>
        <w:t>(ישעיהו נה יב)</w:t>
      </w:r>
      <w:r>
        <w:rPr>
          <w:rtl/>
        </w:rPr>
        <w:t xml:space="preserve">, ש תְּלַת אֲבָהָן, ו''ו תְּרֵין מְשִׁיחִין, מ' ל''ב דְּוּבְשָׁלוֹ''ם סְלִיק ע''ב, </w:t>
      </w:r>
      <w:r>
        <w:rPr>
          <w:rStyle w:val="a7"/>
          <w:rtl/>
        </w:rPr>
        <w:footnoteReference w:id="3405"/>
      </w:r>
      <w:r>
        <w:rPr>
          <w:rtl/>
        </w:rPr>
        <w:t xml:space="preserve">וְדָא אִיהוּ דְאִתְּמַר </w:t>
      </w:r>
      <w:r>
        <w:rPr>
          <w:sz w:val="20"/>
          <w:szCs w:val="23"/>
          <w:rtl/>
        </w:rPr>
        <w:t>(בראשית כח כא)</w:t>
      </w:r>
      <w:r>
        <w:rPr>
          <w:rtl/>
        </w:rPr>
        <w:t xml:space="preserve"> וְשַׁבְתִּי בְשָׁלוֹם אֶל בֵּית אָבִי, </w:t>
      </w:r>
      <w:r>
        <w:rPr>
          <w:rStyle w:val="a7"/>
          <w:rtl/>
        </w:rPr>
        <w:footnoteReference w:id="3406"/>
      </w:r>
      <w:r>
        <w:rPr>
          <w:rtl/>
        </w:rPr>
        <w:t xml:space="preserve">שִׂמְחָה אִיהוּ דְאִתְּמַר בֵּיהּ </w:t>
      </w:r>
      <w:r>
        <w:rPr>
          <w:sz w:val="20"/>
          <w:szCs w:val="23"/>
          <w:rtl/>
        </w:rPr>
        <w:t>(קהלת ט ז)</w:t>
      </w:r>
      <w:r>
        <w:rPr>
          <w:rtl/>
        </w:rPr>
        <w:t xml:space="preserve"> לֵךְ אֱכוֹל בְּשִׂמְחָה לַחְמֶךָ וּשְׁתֵה בְלֶב טוֹב יֵינֶךָ, דָּא יַיִן הַמְשׁוּמָר בַּעֲנָבָיו, וַעֲלֵיהּ אִתְּמַר </w:t>
      </w:r>
      <w:r>
        <w:rPr>
          <w:sz w:val="20"/>
          <w:szCs w:val="23"/>
          <w:rtl/>
        </w:rPr>
        <w:t>(תהלים כה יד)</w:t>
      </w:r>
      <w:r>
        <w:rPr>
          <w:rtl/>
        </w:rPr>
        <w:t xml:space="preserve"> סוֹד יהו''ה לִירֵיאָיו, יַיִן טוֹב דָּא צַדִּיק, דְּאִתְּמַר בֵּיהּ </w:t>
      </w:r>
      <w:r>
        <w:rPr>
          <w:sz w:val="20"/>
          <w:szCs w:val="23"/>
          <w:rtl/>
        </w:rPr>
        <w:t>(ישעיה נז א)</w:t>
      </w:r>
      <w:r>
        <w:rPr>
          <w:rtl/>
        </w:rPr>
        <w:t xml:space="preserve"> הַצַּדִּיק אָבָד, וּמַאי אָבָד אָבַד הַהוּא נְבִיעוּ, </w:t>
      </w:r>
      <w:r>
        <w:rPr>
          <w:rStyle w:val="a7"/>
          <w:rtl/>
        </w:rPr>
        <w:footnoteReference w:id="3407"/>
      </w:r>
      <w:r>
        <w:rPr>
          <w:rtl/>
        </w:rPr>
        <w:t>וְאִשְׁתָּאַר נֶחרַב וְיָבֵשׁ בְּבַיִת רִאשׁוֹן וְשֵׁנִי.</w:t>
      </w:r>
    </w:p>
    <w:p w:rsidR="003841DB" w:rsidRDefault="003841DB" w:rsidP="00B17EA9">
      <w:pPr>
        <w:pStyle w:val="NormalWeb"/>
        <w:rPr>
          <w:rtl/>
        </w:rPr>
      </w:pPr>
      <w:r>
        <w:rPr>
          <w:rStyle w:val="a7"/>
          <w:rtl/>
        </w:rPr>
        <w:footnoteReference w:id="3408"/>
      </w:r>
      <w:r>
        <w:rPr>
          <w:rtl/>
        </w:rPr>
        <w:t xml:space="preserve">קָם סָבָא וְאָמַר אדנ''י בְּמַחֲשָׁבָה סָלְקָא, וְלַאו בְּחֻשְׁבַּן, </w:t>
      </w:r>
      <w:r>
        <w:rPr>
          <w:rStyle w:val="a7"/>
          <w:rtl/>
        </w:rPr>
        <w:footnoteReference w:id="3409"/>
      </w:r>
      <w:r>
        <w:rPr>
          <w:rtl/>
        </w:rPr>
        <w:t xml:space="preserve">וַעֲלֵיהּ אִתְּמַר </w:t>
      </w:r>
      <w:r>
        <w:rPr>
          <w:sz w:val="20"/>
          <w:szCs w:val="23"/>
          <w:rtl/>
        </w:rPr>
        <w:t>(זכריה ב יז)</w:t>
      </w:r>
      <w:r>
        <w:rPr>
          <w:rtl/>
        </w:rPr>
        <w:t xml:space="preserve"> הַ''ס כָּל בָּשָׂר מִפְּנֵי יהו''ה כִּי נֵעוֹר מִמְּעוֹן קָדְשׁוֹ, </w:t>
      </w:r>
      <w:r>
        <w:rPr>
          <w:rStyle w:val="a7"/>
          <w:rtl/>
        </w:rPr>
        <w:footnoteReference w:id="3410"/>
      </w:r>
      <w:r>
        <w:rPr>
          <w:rtl/>
        </w:rPr>
        <w:t xml:space="preserve">יִתְעַר בֵּיהּ כְּמָה דְאִתְעַר מִשִּׁנְתֵיהּ וְחָזַר לְשִׁנְתֵיהּ, עַד דְּיִתְעַר יהו''ה דְּאִיהוּ רַחֲמֵי, לְקַיְימָא בֵּיהּ וּבְרַחֲמִים גְּדוֹלִים אֲקַבְּצֵךְ </w:t>
      </w:r>
      <w:r>
        <w:rPr>
          <w:sz w:val="20"/>
          <w:szCs w:val="23"/>
          <w:rtl/>
        </w:rPr>
        <w:t>(ישעיה נד ז)</w:t>
      </w:r>
      <w:r>
        <w:rPr>
          <w:rtl/>
        </w:rPr>
        <w:t xml:space="preserve">, גְּדוֹלִים אִתְקְרִיאַת מִסִּטְרָא דְהָאֵ''ל הַגָּדוֹל דְּאִיהוּ חֶסֶד, וּשְׁכִינְתָּא בֵּיהּ סָלְקָא לְאִתְקְרֵי גְדוֹלָה, וּבֵיהּ וַדַּאי רָזָא דְפוּרְקָנָא, כְּגַוְונָא דָא יו''ד ה''א וא''ו ה''א יהו''ה, וָא''ו בֵּיהּ רָזָא דְפוּרְקָנָא, דְאִיהוּ רָשִׁים בִּשְׁמָא דְע''ב, דְּאִינוּן וָה''וּ אֲנִ''י וָה''וּ רֵישֵׁי תֵּיבִין וָא''ו, תְּלַת עֲשַׂר </w:t>
      </w:r>
      <w:r>
        <w:rPr>
          <w:rStyle w:val="a7"/>
          <w:rtl/>
        </w:rPr>
        <w:footnoteReference w:id="3411"/>
      </w:r>
      <w:r>
        <w:rPr>
          <w:rtl/>
        </w:rPr>
        <w:t>מְכִילָן דְאוֹרַיְיתָא, דְאִתְיְיהִיבַת מִימִינָא.</w:t>
      </w:r>
    </w:p>
    <w:p w:rsidR="003841DB" w:rsidRDefault="003841DB" w:rsidP="00B17EA9">
      <w:pPr>
        <w:pStyle w:val="aa"/>
        <w:rPr>
          <w:rtl/>
        </w:rPr>
      </w:pPr>
      <w:r>
        <w:rPr>
          <w:rtl/>
        </w:rPr>
        <w:t xml:space="preserve">[תיקוני זוהר - דף סו ע''א] </w:t>
      </w:r>
    </w:p>
    <w:p w:rsidR="003841DB" w:rsidRDefault="003841DB" w:rsidP="00B17EA9">
      <w:pPr>
        <w:pStyle w:val="NormalWeb"/>
        <w:rPr>
          <w:rtl/>
        </w:rPr>
      </w:pPr>
      <w:r>
        <w:rPr>
          <w:rtl/>
        </w:rPr>
        <w:t xml:space="preserve">אִשְׁתָּאַר יו''ד ה''א ה''א דְסָלִיק לְחֻשְׁבַּן ל''ב, וְאִיהוּ ב' מִן בְּרֵאשִׁית </w:t>
      </w:r>
      <w:r>
        <w:rPr>
          <w:sz w:val="20"/>
          <w:szCs w:val="23"/>
          <w:rtl/>
        </w:rPr>
        <w:t xml:space="preserve">(דף סו ע''א) </w:t>
      </w:r>
      <w:r>
        <w:rPr>
          <w:rtl/>
        </w:rPr>
        <w:t xml:space="preserve">ל' לְעִינֵי כָּל יִשְׂרָאֵל, </w:t>
      </w:r>
      <w:r>
        <w:rPr>
          <w:rStyle w:val="a7"/>
          <w:rtl/>
        </w:rPr>
        <w:footnoteReference w:id="3412"/>
      </w:r>
      <w:r>
        <w:rPr>
          <w:rtl/>
        </w:rPr>
        <w:t xml:space="preserve">וְעוֹד אִיהוּ ל''ב אלהי''ם דְּעוֹבָדָא דִבְּרֵאשִׁית, דַּעֲלֵיהּ אִתְּמַר </w:t>
      </w:r>
      <w:r>
        <w:rPr>
          <w:sz w:val="20"/>
          <w:szCs w:val="23"/>
          <w:rtl/>
        </w:rPr>
        <w:t>(ישעיהו סג ד)</w:t>
      </w:r>
      <w:r>
        <w:rPr>
          <w:rtl/>
        </w:rPr>
        <w:t xml:space="preserve"> כִּי יוֹם נָקָם בְּלִבִּי וּשְׁנַת גְּאוּלַי בָּאָה, וּשְׁמָא דְע''ב אִיהוּ וַיְכֻלּ''וּ, בֵּיהּ אִשְׁתַּלִּים רָזָא דְפוּרְקָנָא, </w:t>
      </w:r>
      <w:r>
        <w:rPr>
          <w:rStyle w:val="a7"/>
          <w:rtl/>
        </w:rPr>
        <w:footnoteReference w:id="3413"/>
      </w:r>
      <w:r>
        <w:rPr>
          <w:rtl/>
        </w:rPr>
        <w:t xml:space="preserve">וַעֲלֵיהּ אִתְּמַר לְלִבִּ''י גִלִּיתִי דְאִיהוּ חוּשְׁבַּן וַיְכֻלּ''וּ, </w:t>
      </w:r>
      <w:r>
        <w:rPr>
          <w:rStyle w:val="a7"/>
          <w:rtl/>
        </w:rPr>
        <w:footnoteReference w:id="3414"/>
      </w:r>
      <w:r>
        <w:rPr>
          <w:rtl/>
        </w:rPr>
        <w:t xml:space="preserve">וּבֵיהּ אִתְקַיַּים קְרָא </w:t>
      </w:r>
      <w:r>
        <w:rPr>
          <w:sz w:val="20"/>
          <w:szCs w:val="23"/>
          <w:rtl/>
        </w:rPr>
        <w:t>(תהלים פט ג)</w:t>
      </w:r>
      <w:r>
        <w:rPr>
          <w:rtl/>
        </w:rPr>
        <w:t xml:space="preserve"> אָמַרְתִּי עוֹלָם חֶסֶד יִבָּנֶה, </w:t>
      </w:r>
      <w:r>
        <w:rPr>
          <w:rStyle w:val="a7"/>
          <w:rtl/>
        </w:rPr>
        <w:footnoteReference w:id="3415"/>
      </w:r>
      <w:r>
        <w:rPr>
          <w:rtl/>
        </w:rPr>
        <w:t xml:space="preserve">וּכְמָה דְנָפְקוּ מִמִּצְרַיִם </w:t>
      </w:r>
      <w:r>
        <w:rPr>
          <w:rStyle w:val="a7"/>
          <w:rtl/>
        </w:rPr>
        <w:footnoteReference w:id="3416"/>
      </w:r>
      <w:r>
        <w:rPr>
          <w:rtl/>
        </w:rPr>
        <w:t xml:space="preserve">בְּרָזָא דְע''ב שְׁמָהָן, כַּךְ יִפְקוּן בְּהוֹן כַּד יִפְרְקוּן בְּבַתְרַיְיתָא, בְּהַהוּא זִמְנָא חֶסֶד יהו''ה מָלְאָה הָאָרֶץ </w:t>
      </w:r>
      <w:r>
        <w:rPr>
          <w:sz w:val="20"/>
          <w:szCs w:val="23"/>
          <w:rtl/>
        </w:rPr>
        <w:t>(שם לג ה)</w:t>
      </w:r>
      <w:r>
        <w:rPr>
          <w:szCs w:val="23"/>
          <w:rtl/>
        </w:rPr>
        <w:t xml:space="preserve">, </w:t>
      </w:r>
      <w:r>
        <w:rPr>
          <w:rStyle w:val="Char"/>
          <w:rtl/>
        </w:rPr>
        <w:t>וַעֲלֵיהּ אִתְּמַר</w:t>
      </w:r>
      <w:r>
        <w:rPr>
          <w:szCs w:val="23"/>
          <w:rtl/>
        </w:rPr>
        <w:t xml:space="preserve"> </w:t>
      </w:r>
      <w:r>
        <w:rPr>
          <w:sz w:val="20"/>
          <w:szCs w:val="23"/>
          <w:rtl/>
        </w:rPr>
        <w:t>(ישעיהו נד ח)</w:t>
      </w:r>
      <w:r>
        <w:rPr>
          <w:rtl/>
        </w:rPr>
        <w:t xml:space="preserve"> וְחַסְדִּי מֵאִתֵּךְ לֹא יָמוּשׁ, וּבְחֶסֶד עוֹלָם רִחַמְתִּיךְ, וּבְגִין דָּא שַׁבַּח דָּוִד לְקוּדְשָׁא בְּרִיךְ הוּא בְּגָלוּתָא דְאִיהִי שְׁאוֹל בְּהַאי חֶסֶד, כְּמָה דְאַתְּ אָמַר </w:t>
      </w:r>
      <w:r>
        <w:rPr>
          <w:sz w:val="20"/>
          <w:szCs w:val="23"/>
          <w:rtl/>
        </w:rPr>
        <w:t>(תהלים פו יג)</w:t>
      </w:r>
      <w:r>
        <w:rPr>
          <w:rtl/>
        </w:rPr>
        <w:t xml:space="preserve"> כִּי חַסְדְּךָ גָּדוֹל עָלָי וְהִצַּלְתָּ נַפְשִׁי מִשְּׁאוֹל תַּחְתִּיָּה.</w:t>
      </w:r>
    </w:p>
    <w:p w:rsidR="003841DB" w:rsidRDefault="003841DB" w:rsidP="00B17EA9">
      <w:pPr>
        <w:pStyle w:val="NormalWeb"/>
        <w:rPr>
          <w:rtl/>
        </w:rPr>
      </w:pPr>
      <w:r>
        <w:rPr>
          <w:rtl/>
        </w:rPr>
        <w:t xml:space="preserve">וְאִי אוּמִין דְּעָלְמָא דָחֲקִין לְהוּ לְיִשְׂרָאֵל יוֹתֵר מִדַּאי, קוּדְשָׁא בְּרִיךְ הוּא חָס עַל ד' מִן חֶסֶד דְּאִיהִי דָּלֵ''ת בְּגָלוּתָא, וְאִתְקַיַּים קְרָא בֵיהּ </w:t>
      </w:r>
      <w:r>
        <w:rPr>
          <w:sz w:val="20"/>
          <w:szCs w:val="23"/>
          <w:rtl/>
        </w:rPr>
        <w:t>(ישעיה סו ז)</w:t>
      </w:r>
      <w:r>
        <w:rPr>
          <w:rtl/>
        </w:rPr>
        <w:t xml:space="preserve"> בְּטֶרֶם תָּחִיל יָלָדָה, וְשַׁבְעִין תֵּיבִין דְּמִזְמוֹר יַעַנְךָ יהו''ה בְּיוֹם צָרָה </w:t>
      </w:r>
      <w:r>
        <w:rPr>
          <w:sz w:val="20"/>
          <w:szCs w:val="23"/>
          <w:rtl/>
        </w:rPr>
        <w:t>(תהלים כ ב)</w:t>
      </w:r>
      <w:r>
        <w:rPr>
          <w:rtl/>
        </w:rPr>
        <w:t xml:space="preserve"> אִינוּן לָקֳבֵל שִׁבְעִים צִירִין, דְּאִינוּן צִירִים וַחֲבָלִים דִּשְׁכִינְתָּא עִלָּאָה וְתַתָּאָה, </w:t>
      </w:r>
      <w:r>
        <w:rPr>
          <w:rStyle w:val="a7"/>
          <w:rtl/>
        </w:rPr>
        <w:footnoteReference w:id="3417"/>
      </w:r>
      <w:r>
        <w:rPr>
          <w:rtl/>
        </w:rPr>
        <w:t xml:space="preserve">דְּאִינוּן ב' </w:t>
      </w:r>
      <w:r>
        <w:rPr>
          <w:rStyle w:val="a7"/>
          <w:rtl/>
        </w:rPr>
        <w:footnoteReference w:id="3418"/>
      </w:r>
      <w:r>
        <w:rPr>
          <w:rtl/>
        </w:rPr>
        <w:t xml:space="preserve">בֵּיהּ אִתְקְרִיאָן פַּלְטְרִין גְּדוֹלִים, </w:t>
      </w:r>
      <w:r>
        <w:rPr>
          <w:rStyle w:val="a7"/>
          <w:rtl/>
        </w:rPr>
        <w:footnoteReference w:id="3419"/>
      </w:r>
      <w:r>
        <w:rPr>
          <w:rtl/>
        </w:rPr>
        <w:t xml:space="preserve">הֲדָא הוּא דִכְתִיב </w:t>
      </w:r>
      <w:r>
        <w:rPr>
          <w:sz w:val="20"/>
          <w:szCs w:val="23"/>
          <w:rtl/>
        </w:rPr>
        <w:t>(תהלים קיא ב)</w:t>
      </w:r>
      <w:r>
        <w:rPr>
          <w:rtl/>
        </w:rPr>
        <w:t xml:space="preserve"> גְּדֹלִים מַעֲשֵׂי יהו''ה, וְקוּדְשָׁא בְּרִיךְ הוּא בֵּיהּ אִתְקְרִי גָּדוֹל, כְּמָה דְאַתְּ אָמַר </w:t>
      </w:r>
      <w:r>
        <w:rPr>
          <w:sz w:val="20"/>
          <w:szCs w:val="23"/>
          <w:rtl/>
        </w:rPr>
        <w:t>(שם קמז ה)</w:t>
      </w:r>
      <w:r>
        <w:rPr>
          <w:rtl/>
        </w:rPr>
        <w:t xml:space="preserve"> גָּדוֹל אֲדוֹנֵינוּ וְרַב כֹּחַ, וּבֵיהּ סָלְקִין יִשְׂרָאֵל לִגְדוּלָה, </w:t>
      </w:r>
      <w:r>
        <w:rPr>
          <w:rStyle w:val="a7"/>
          <w:rtl/>
        </w:rPr>
        <w:footnoteReference w:id="3420"/>
      </w:r>
      <w:r>
        <w:rPr>
          <w:rtl/>
        </w:rPr>
        <w:t xml:space="preserve">וּשְׁכִינְתָּא דְבָהּ אִתְּמַר </w:t>
      </w:r>
      <w:r>
        <w:rPr>
          <w:sz w:val="20"/>
          <w:szCs w:val="23"/>
          <w:rtl/>
        </w:rPr>
        <w:t>(שמות לג כא)</w:t>
      </w:r>
      <w:r>
        <w:rPr>
          <w:rtl/>
        </w:rPr>
        <w:t xml:space="preserve"> הִנֵּה מָקוֹם אִתִּי, בְּהַהוּא זִמְנָא אִתְקַיַּים בָּהּ קְרָא </w:t>
      </w:r>
      <w:r>
        <w:rPr>
          <w:sz w:val="20"/>
          <w:szCs w:val="23"/>
          <w:rtl/>
        </w:rPr>
        <w:t>(תהלים לד ד)</w:t>
      </w:r>
      <w:r>
        <w:rPr>
          <w:szCs w:val="23"/>
          <w:rtl/>
        </w:rPr>
        <w:t xml:space="preserve"> </w:t>
      </w:r>
      <w:r>
        <w:rPr>
          <w:rStyle w:val="Char"/>
          <w:rtl/>
        </w:rPr>
        <w:t>גַּדְּלוּ לַיהו''ה אִתִּי, וּבָהּ</w:t>
      </w:r>
      <w:r>
        <w:rPr>
          <w:szCs w:val="23"/>
          <w:rtl/>
        </w:rPr>
        <w:t xml:space="preserve"> </w:t>
      </w:r>
      <w:r>
        <w:rPr>
          <w:sz w:val="20"/>
          <w:szCs w:val="23"/>
          <w:rtl/>
        </w:rPr>
        <w:t>(נ''א וביה)</w:t>
      </w:r>
      <w:r>
        <w:rPr>
          <w:rtl/>
        </w:rPr>
        <w:t xml:space="preserve"> אִתְּמַר בְּקוּדְשָׁא בְּרִיךְ הוּא בְּהַהוּא זִמְנָא כִּי גָדוֹל אַתָּה וְגוֹמֵר </w:t>
      </w:r>
      <w:r>
        <w:rPr>
          <w:sz w:val="20"/>
          <w:szCs w:val="23"/>
          <w:rtl/>
        </w:rPr>
        <w:t>(שם פו י)</w:t>
      </w:r>
      <w:r>
        <w:rPr>
          <w:rtl/>
        </w:rPr>
        <w:t xml:space="preserve">, וּבֵיהּ עוֹשֶׂה גְדוֹלוֹת עַד אֵין חֵקֶר </w:t>
      </w:r>
      <w:r>
        <w:rPr>
          <w:sz w:val="20"/>
          <w:szCs w:val="23"/>
          <w:rtl/>
        </w:rPr>
        <w:t>(איוב ט י)</w:t>
      </w:r>
      <w:r>
        <w:rPr>
          <w:rtl/>
        </w:rPr>
        <w:t xml:space="preserve">, וְדָא אִיהוּ חֶסֶ''ד, </w:t>
      </w:r>
      <w:r>
        <w:rPr>
          <w:rStyle w:val="a7"/>
          <w:rtl/>
        </w:rPr>
        <w:footnoteReference w:id="3421"/>
      </w:r>
      <w:r>
        <w:rPr>
          <w:rtl/>
        </w:rPr>
        <w:t xml:space="preserve">בֵּיהּ וַיְכֻלּוּ, ה' בְּהַשִּׁשִּׁי , בְּגִין דְּבֵיהּ ה' דְאַבְרָהָם אָזִיל ו' לְגַבָּהּ, מִיָּד יִתְעַר י''ה לִקְרָבָא, הֲדָא הוּא דִכְתִיב </w:t>
      </w:r>
      <w:r>
        <w:rPr>
          <w:sz w:val="20"/>
          <w:szCs w:val="23"/>
          <w:rtl/>
        </w:rPr>
        <w:t>(שמות יז טז)</w:t>
      </w:r>
      <w:r>
        <w:rPr>
          <w:rtl/>
        </w:rPr>
        <w:t xml:space="preserve"> כִּי יָד עַל כֵּס י''ה, </w:t>
      </w:r>
      <w:r>
        <w:rPr>
          <w:rStyle w:val="a7"/>
          <w:rtl/>
        </w:rPr>
        <w:footnoteReference w:id="3422"/>
      </w:r>
      <w:r>
        <w:rPr>
          <w:rtl/>
        </w:rPr>
        <w:t xml:space="preserve">וְשִׁשִּׁי אִיהִי אֶלֶף שְׁתִיתָאָה, יְסוֹד, בֵּיהּ אִתְכְּלִילוּ וְאִתְיַיחֲדוּ שִׁית סְפִירָן, יוֹם הַשִּׁשִּׁי, הֲדָא הוּא דִכְתִיב </w:t>
      </w:r>
      <w:r>
        <w:rPr>
          <w:sz w:val="20"/>
          <w:szCs w:val="23"/>
          <w:rtl/>
        </w:rPr>
        <w:t>(בראשית ב א)</w:t>
      </w:r>
      <w:r>
        <w:rPr>
          <w:rtl/>
        </w:rPr>
        <w:t xml:space="preserve"> וַיְכֻלּוּ הַשָּׁמַיִם וְהָאָרֶץ, דָּא קוּדְשָׁא בְּרִיךְ הוּא וּשְׁכִינְתָּא, דְאִינוּן ו''ה, דַּעֲלֵיהּ אִתְּמַר </w:t>
      </w:r>
      <w:r>
        <w:rPr>
          <w:sz w:val="20"/>
          <w:szCs w:val="23"/>
          <w:rtl/>
        </w:rPr>
        <w:t>(ד''ה א כט יא)</w:t>
      </w:r>
      <w:r>
        <w:rPr>
          <w:rtl/>
        </w:rPr>
        <w:t xml:space="preserve"> כִּי כֹל בַּשָּׁמַיִם וּבָאָרֶץ, וְתַרְגּוּמוֹ דַאֲחִיד בִּשְׁמַיָּא וּבְאַרְעָא, </w:t>
      </w:r>
      <w:r>
        <w:rPr>
          <w:rStyle w:val="a7"/>
          <w:rtl/>
        </w:rPr>
        <w:footnoteReference w:id="3423"/>
      </w:r>
      <w:r>
        <w:rPr>
          <w:rtl/>
        </w:rPr>
        <w:t xml:space="preserve">וְדָא אִיהוּ כֹ''ל, וַעֲלֵיהּ אִתְּמַר </w:t>
      </w:r>
      <w:r>
        <w:rPr>
          <w:sz w:val="20"/>
          <w:szCs w:val="23"/>
          <w:rtl/>
        </w:rPr>
        <w:t>(בראשית ב א)</w:t>
      </w:r>
      <w:r>
        <w:rPr>
          <w:rtl/>
        </w:rPr>
        <w:t xml:space="preserve"> וְכָל צְבָאָם, מַאי צְבָאָם תְּרֵי סַמְכֵי קְשׁוֹט.</w:t>
      </w:r>
    </w:p>
    <w:p w:rsidR="003841DB" w:rsidRDefault="003841DB" w:rsidP="00B17EA9">
      <w:pPr>
        <w:pStyle w:val="NormalWeb"/>
        <w:rPr>
          <w:rtl/>
        </w:rPr>
      </w:pPr>
      <w:r>
        <w:rPr>
          <w:rStyle w:val="a7"/>
          <w:rtl/>
        </w:rPr>
        <w:footnoteReference w:id="3424"/>
      </w:r>
      <w:r>
        <w:rPr>
          <w:rtl/>
        </w:rPr>
        <w:t xml:space="preserve">וּבֵיהּ אִתְקְרִיאוּ תְּלַת אֲבָהָן שְׁבִיעִיּוֹת, כְּמָה דְאַתְּ אָמַר </w:t>
      </w:r>
      <w:r>
        <w:rPr>
          <w:sz w:val="20"/>
          <w:szCs w:val="23"/>
          <w:rtl/>
        </w:rPr>
        <w:t>(שם)</w:t>
      </w:r>
      <w:r>
        <w:rPr>
          <w:rtl/>
        </w:rPr>
        <w:t xml:space="preserve"> וַיְכַל אלהי''ם בַּיּוֹם הַשְּׁבִיעִי, וַיִּשְׁבּוֹת בַּיּוֹם הַשְּׁבִיעִי, וַיְבָרֶךְ אלהי''ם אֶת יוֹם הַשְּׁבִיעִי, </w:t>
      </w:r>
      <w:r>
        <w:rPr>
          <w:rStyle w:val="a7"/>
          <w:rtl/>
        </w:rPr>
        <w:footnoteReference w:id="3425"/>
      </w:r>
      <w:r>
        <w:rPr>
          <w:rtl/>
        </w:rPr>
        <w:t xml:space="preserve">וַיְבָרֶךְ מִסִּטְרָא דִבְרָכָה, וַיְקַדֵּשׁ אוֹתוֹ מִסִּטְרָא דִקְדוּשָׁה, וַיִּשְׁבּוֹת </w:t>
      </w:r>
      <w:r>
        <w:rPr>
          <w:rStyle w:val="a7"/>
          <w:rtl/>
        </w:rPr>
        <w:footnoteReference w:id="3426"/>
      </w:r>
      <w:r>
        <w:rPr>
          <w:rtl/>
        </w:rPr>
        <w:t xml:space="preserve">מִסִּטְרָא דְיִחוּד, </w:t>
      </w:r>
      <w:r>
        <w:rPr>
          <w:rStyle w:val="a7"/>
          <w:rtl/>
        </w:rPr>
        <w:footnoteReference w:id="3427"/>
      </w:r>
      <w:r>
        <w:rPr>
          <w:rtl/>
        </w:rPr>
        <w:t xml:space="preserve">וְדָא אִיהוּ וַיְכֻלּוּ, דְאִתְכְּלִילוּ בֵּיהּ תְּלַת אֲבָהָן, דְּאִינוּן בְּרָזָא דִשְׁמָא דְע''ב, </w:t>
      </w:r>
      <w:r>
        <w:rPr>
          <w:rStyle w:val="a7"/>
          <w:rtl/>
        </w:rPr>
        <w:footnoteReference w:id="3428"/>
      </w:r>
      <w:r>
        <w:rPr>
          <w:rtl/>
        </w:rPr>
        <w:t xml:space="preserve">כְּגַוְונָא דָא גְּדוּלָה אִתְקְרִי חֶסֶד, דְאִיהוּ כְּלָלָא דְע"ב תֵּיבִין, </w:t>
      </w:r>
      <w:r>
        <w:rPr>
          <w:rStyle w:val="a7"/>
          <w:rtl/>
        </w:rPr>
        <w:footnoteReference w:id="3429"/>
      </w:r>
      <w:r>
        <w:rPr>
          <w:rtl/>
        </w:rPr>
        <w:t xml:space="preserve">גְּבוּרָ''ה כְּלָלָא דְרי''ו אַתְוָון דְּאִית בִּשְׁמָא דְע''ב, </w:t>
      </w:r>
      <w:r>
        <w:rPr>
          <w:rStyle w:val="a7"/>
          <w:rtl/>
        </w:rPr>
        <w:footnoteReference w:id="3430"/>
      </w:r>
      <w:r>
        <w:rPr>
          <w:rtl/>
        </w:rPr>
        <w:t xml:space="preserve">עַמּוּדָא דְאֶמְצָעִיתָא דְאִיהוּ ו' כְּלִיל כֹּלָּא, וְדָא אִיהוּ רָזָא </w:t>
      </w:r>
      <w:r>
        <w:rPr>
          <w:sz w:val="20"/>
          <w:szCs w:val="23"/>
          <w:rtl/>
        </w:rPr>
        <w:t>(שמות לד ו)</w:t>
      </w:r>
      <w:r>
        <w:rPr>
          <w:rtl/>
        </w:rPr>
        <w:t xml:space="preserve"> וַיַּעֲבֹר יהו''ה עַל פָּנָיו, ע''ב רי''ו יהו''ה, עַל פָּנָיו מַאי פָּנָיו, אַנְפּוֹי דָּא וָא''ו י''ג מְכִילָן דְּרַחֲמֵי, דְאִתְּמַר בְּהוֹן </w:t>
      </w:r>
      <w:r>
        <w:rPr>
          <w:sz w:val="20"/>
          <w:szCs w:val="23"/>
          <w:rtl/>
        </w:rPr>
        <w:t>(ישעיהו נד ז)</w:t>
      </w:r>
      <w:r>
        <w:rPr>
          <w:rtl/>
        </w:rPr>
        <w:t xml:space="preserve"> וּבְרַחֲמִים גְּדוֹלִים אֲקַבְּצֵךְ, גְּדוֹלִים וַדַּאי מִסִּטְרָא דְחֶסֶד, דְּאִיהוּ הָאֵ''ל הַגָּדוֹל.</w:t>
      </w:r>
    </w:p>
    <w:p w:rsidR="003841DB" w:rsidRDefault="003841DB" w:rsidP="00B17EA9">
      <w:pPr>
        <w:pStyle w:val="NormalWeb"/>
        <w:rPr>
          <w:rtl/>
        </w:rPr>
      </w:pPr>
      <w:r>
        <w:rPr>
          <w:rStyle w:val="a7"/>
          <w:rtl/>
        </w:rPr>
        <w:footnoteReference w:id="3431"/>
      </w:r>
      <w:r>
        <w:rPr>
          <w:rtl/>
        </w:rPr>
        <w:t xml:space="preserve">וְכֹלָּא אִתְכְּלִיל בַּשְּׁבִיעִית דְּאִיהִי מַלְכוּת, </w:t>
      </w:r>
      <w:r>
        <w:rPr>
          <w:rStyle w:val="a7"/>
          <w:rtl/>
        </w:rPr>
        <w:footnoteReference w:id="3432"/>
      </w:r>
      <w:r>
        <w:rPr>
          <w:rtl/>
        </w:rPr>
        <w:t xml:space="preserve">הַ שְׁבִיעִי ה' וַדַּאי בְּכָל שְׁבִיעִיּוֹת כְּלִילָא, וְאִיהִי ה' דְיוֹם הַשִּׁשִּׁי, </w:t>
      </w:r>
      <w:r>
        <w:rPr>
          <w:rStyle w:val="a7"/>
          <w:rtl/>
        </w:rPr>
        <w:footnoteReference w:id="3433"/>
      </w:r>
      <w:r>
        <w:rPr>
          <w:rtl/>
        </w:rPr>
        <w:t xml:space="preserve">הַשִּׁשִּׁי דָּא צַדִּיק, יוֹם עֲלֵיהּ אִתְּמַר </w:t>
      </w:r>
      <w:r>
        <w:rPr>
          <w:sz w:val="20"/>
          <w:szCs w:val="23"/>
          <w:rtl/>
        </w:rPr>
        <w:t>(זכריה יד ט)</w:t>
      </w:r>
      <w:r>
        <w:rPr>
          <w:rtl/>
        </w:rPr>
        <w:t xml:space="preserve"> וְהָיָה יהו''ה לְמֶלֶךְ עַל כָּל הָאָרֶץ וְגוֹמֵר, אִיהוּ יוֹם הַשִּׁשִּׁי, וְיוֹם הַשְּׁבִיעִי יוֹם דְּכֻלְּהוּ יוֹמִין, וַעֲלֵיהּ אִתְּמַר </w:t>
      </w:r>
      <w:r>
        <w:rPr>
          <w:sz w:val="20"/>
          <w:szCs w:val="23"/>
          <w:rtl/>
        </w:rPr>
        <w:t>(רות ג יג)</w:t>
      </w:r>
      <w:r>
        <w:rPr>
          <w:rtl/>
        </w:rPr>
        <w:t xml:space="preserve"> שִׁכְבִי עַד הַבֹּקֶר, וְדָא הוּא בֹּקֶר דְּאַבְרָהָם, דִּכְתִיב </w:t>
      </w:r>
      <w:r>
        <w:rPr>
          <w:sz w:val="20"/>
          <w:szCs w:val="23"/>
          <w:rtl/>
        </w:rPr>
        <w:t>(בראשית יט כז)</w:t>
      </w:r>
      <w:r>
        <w:rPr>
          <w:rtl/>
        </w:rPr>
        <w:t xml:space="preserve"> וַיַּשְׁכֵּם אַבְרָהָם בַּבֹּקֶר, וַיַּשְׁכֵּם לְפוּרְקָנָא, וּבֵיהּ הַבֹּקֶר אוֹר, דְּאִתְּמַר בֵּיהּ </w:t>
      </w:r>
      <w:r>
        <w:rPr>
          <w:sz w:val="20"/>
          <w:szCs w:val="23"/>
          <w:rtl/>
        </w:rPr>
        <w:t>(משלי ו כג)</w:t>
      </w:r>
      <w:r>
        <w:rPr>
          <w:rtl/>
        </w:rPr>
        <w:t xml:space="preserve"> וְתוֹרָה אוֹר, וְהַאי אִיהוּ אוֹר דְּאִתְּמַר בֵּיהּ </w:t>
      </w:r>
      <w:r>
        <w:rPr>
          <w:sz w:val="20"/>
          <w:szCs w:val="23"/>
          <w:rtl/>
        </w:rPr>
        <w:t>(שמות י כג)</w:t>
      </w:r>
      <w:r>
        <w:rPr>
          <w:rtl/>
        </w:rPr>
        <w:t xml:space="preserve"> וּלְכָל בְּנֵי יִשְׂרָאֵל הָיָה אוֹר, וְאִיהוּ פֶּסַח דְּרוֹעָא יְמִינָא, וּבֵיהּ עֲתִידִין לִיגָאֵל.</w:t>
      </w:r>
    </w:p>
    <w:p w:rsidR="003841DB" w:rsidRDefault="003841DB" w:rsidP="00B17EA9">
      <w:pPr>
        <w:pStyle w:val="aa"/>
        <w:rPr>
          <w:rtl/>
        </w:rPr>
      </w:pPr>
      <w:r>
        <w:rPr>
          <w:rtl/>
        </w:rPr>
        <w:t xml:space="preserve">[תיקוני זוהר - דף סו ע''ב] </w:t>
      </w:r>
    </w:p>
    <w:p w:rsidR="003841DB" w:rsidRDefault="003841DB" w:rsidP="00B17EA9">
      <w:pPr>
        <w:pStyle w:val="NormalWeb"/>
        <w:rPr>
          <w:rtl/>
        </w:rPr>
      </w:pPr>
      <w:r>
        <w:rPr>
          <w:rStyle w:val="a7"/>
          <w:rtl/>
        </w:rPr>
        <w:footnoteReference w:id="3434"/>
      </w:r>
      <w:r>
        <w:rPr>
          <w:rtl/>
        </w:rPr>
        <w:t xml:space="preserve">דָּבָר אַחֵר שִׂימֵנִי כַחוֹתָם עַל לִבֶּךָ </w:t>
      </w:r>
      <w:r>
        <w:rPr>
          <w:sz w:val="20"/>
          <w:szCs w:val="23"/>
          <w:rtl/>
        </w:rPr>
        <w:t>(שיר ח ו)</w:t>
      </w:r>
      <w:r>
        <w:rPr>
          <w:rtl/>
        </w:rPr>
        <w:t xml:space="preserve">, הַאי קְרָא עַל שְׁכִינְתָּא אִתְּמַר דְּאִיהִי בְגָלוּתָא, </w:t>
      </w:r>
      <w:r>
        <w:rPr>
          <w:rStyle w:val="a7"/>
          <w:rtl/>
        </w:rPr>
        <w:footnoteReference w:id="3435"/>
      </w:r>
      <w:r>
        <w:rPr>
          <w:rtl/>
        </w:rPr>
        <w:t xml:space="preserve">חוֹתָם לָא כְּתִיב, אֶלָּא כַחוֹתָם, כְּהַהוּא חוֹתָם דְּגוּשְׁפַּנְקָא </w:t>
      </w:r>
      <w:r>
        <w:rPr>
          <w:rStyle w:val="a7"/>
          <w:rtl/>
        </w:rPr>
        <w:footnoteReference w:id="3436"/>
      </w:r>
      <w:r>
        <w:rPr>
          <w:rtl/>
        </w:rPr>
        <w:t xml:space="preserve">דְאִיהִי חוֹתָם אֱמֶת, </w:t>
      </w:r>
      <w:r>
        <w:rPr>
          <w:rStyle w:val="a7"/>
          <w:rtl/>
        </w:rPr>
        <w:footnoteReference w:id="3437"/>
      </w:r>
      <w:r>
        <w:rPr>
          <w:rtl/>
        </w:rPr>
        <w:t xml:space="preserve">וּבָהּ </w:t>
      </w:r>
      <w:r>
        <w:rPr>
          <w:sz w:val="20"/>
          <w:szCs w:val="23"/>
          <w:rtl/>
        </w:rPr>
        <w:t>(נ''א ודא)</w:t>
      </w:r>
      <w:r>
        <w:rPr>
          <w:rtl/>
        </w:rPr>
        <w:t xml:space="preserve"> חָתְמֵנוּ </w:t>
      </w:r>
      <w:r>
        <w:rPr>
          <w:rStyle w:val="a7"/>
          <w:rtl/>
        </w:rPr>
        <w:footnoteReference w:id="3438"/>
      </w:r>
      <w:r>
        <w:rPr>
          <w:rtl/>
        </w:rPr>
        <w:t xml:space="preserve">לְחַיִּים, וּמַאי נִיהוּ הַאי חוֹתָם דְּבָהּ חַיִּים, </w:t>
      </w:r>
      <w:r>
        <w:rPr>
          <w:rStyle w:val="a7"/>
          <w:rtl/>
        </w:rPr>
        <w:footnoteReference w:id="3439"/>
      </w:r>
      <w:r>
        <w:rPr>
          <w:rtl/>
        </w:rPr>
        <w:t xml:space="preserve">אֶלָּא דָא עִץ הַחַיִּים, </w:t>
      </w:r>
      <w:r>
        <w:rPr>
          <w:rStyle w:val="a7"/>
          <w:rtl/>
        </w:rPr>
        <w:footnoteReference w:id="3440"/>
      </w:r>
      <w:r>
        <w:rPr>
          <w:rtl/>
        </w:rPr>
        <w:t xml:space="preserve">דְּבֵיהּ בָּנֵי חַיֵּי וּמְזוֹנֵי </w:t>
      </w:r>
      <w:r>
        <w:rPr>
          <w:sz w:val="20"/>
          <w:szCs w:val="23"/>
          <w:rtl/>
        </w:rPr>
        <w:t xml:space="preserve">(דף סו ע''ב) </w:t>
      </w:r>
      <w:r>
        <w:rPr>
          <w:rtl/>
        </w:rPr>
        <w:t xml:space="preserve">נָפְקִין, </w:t>
      </w:r>
      <w:r>
        <w:rPr>
          <w:rStyle w:val="a7"/>
          <w:rtl/>
        </w:rPr>
        <w:footnoteReference w:id="3441"/>
      </w:r>
      <w:r>
        <w:rPr>
          <w:rtl/>
        </w:rPr>
        <w:t xml:space="preserve">עִץ וַדַּאי הַהוּא דְאִתְּמַר בֵּיהּ עִץ הַחַיִּים מַהֲלַךְ חָמֵשׁ מֵאוֹת שָׁנָה, </w:t>
      </w:r>
      <w:r>
        <w:rPr>
          <w:rStyle w:val="a7"/>
          <w:rtl/>
        </w:rPr>
        <w:footnoteReference w:id="3442"/>
      </w:r>
      <w:r>
        <w:rPr>
          <w:rtl/>
        </w:rPr>
        <w:t xml:space="preserve">וְהַאי </w:t>
      </w:r>
      <w:r>
        <w:rPr>
          <w:rStyle w:val="a7"/>
          <w:rtl/>
        </w:rPr>
        <w:footnoteReference w:id="3443"/>
      </w:r>
      <w:r>
        <w:rPr>
          <w:rtl/>
        </w:rPr>
        <w:t xml:space="preserve">עִץ אִיהוּ ו', </w:t>
      </w:r>
      <w:r>
        <w:rPr>
          <w:rStyle w:val="a7"/>
          <w:rtl/>
        </w:rPr>
        <w:footnoteReference w:id="3444"/>
      </w:r>
      <w:r>
        <w:rPr>
          <w:rtl/>
        </w:rPr>
        <w:t xml:space="preserve">מַהֲלַךְ חָמֵשׁ מֵאוֹת שְׁנִין דָּא ה', הַחַיִּים אִינוּן אַבָּא וְאִימָּא דְאִינוּן י''ה, י' אִיהוּ חָכְמָה, וּמְנָלָן דְּאִתְקְרֵי חַיִּים, כְּמָה דְאַתְּ אָמַר </w:t>
      </w:r>
      <w:r>
        <w:rPr>
          <w:sz w:val="20"/>
          <w:szCs w:val="23"/>
          <w:rtl/>
        </w:rPr>
        <w:t>(קהלת ז יב)</w:t>
      </w:r>
      <w:r>
        <w:rPr>
          <w:rtl/>
        </w:rPr>
        <w:t xml:space="preserve"> וְהַחָכְמָה תְּחַיֶּה בְעָלֶיהָ, </w:t>
      </w:r>
      <w:r>
        <w:rPr>
          <w:rStyle w:val="a7"/>
          <w:rtl/>
        </w:rPr>
        <w:footnoteReference w:id="3445"/>
      </w:r>
      <w:r>
        <w:rPr>
          <w:rtl/>
        </w:rPr>
        <w:t xml:space="preserve">ה' בֵּיהּ אִימָּא עִלָּאָה, מְנָא לָן דְּאִתְקְרֵי חַיִּים, כְּמָה דְאַתְּ אָמַר </w:t>
      </w:r>
      <w:r>
        <w:rPr>
          <w:sz w:val="20"/>
          <w:szCs w:val="23"/>
          <w:rtl/>
        </w:rPr>
        <w:t>(משלי ג יא)</w:t>
      </w:r>
      <w:r>
        <w:rPr>
          <w:rtl/>
        </w:rPr>
        <w:t xml:space="preserve"> עִץ חַיִּים הִיא וַדַּאי, וְתַרְוַיְיהוּ </w:t>
      </w:r>
      <w:r>
        <w:rPr>
          <w:sz w:val="20"/>
          <w:szCs w:val="23"/>
          <w:rtl/>
        </w:rPr>
        <w:t>(שם ד כב)</w:t>
      </w:r>
      <w:r>
        <w:rPr>
          <w:rtl/>
        </w:rPr>
        <w:t xml:space="preserve"> כִּי חַיִּים הֵם לְמוֹצְאֵיהֶם.</w:t>
      </w:r>
    </w:p>
    <w:p w:rsidR="003841DB" w:rsidRDefault="003841DB" w:rsidP="00B17EA9">
      <w:pPr>
        <w:pStyle w:val="NormalWeb"/>
        <w:rPr>
          <w:rtl/>
        </w:rPr>
      </w:pPr>
      <w:r>
        <w:rPr>
          <w:rStyle w:val="a7"/>
          <w:rtl/>
        </w:rPr>
        <w:footnoteReference w:id="3446"/>
      </w:r>
      <w:r>
        <w:rPr>
          <w:rtl/>
        </w:rPr>
        <w:t xml:space="preserve">וּשְׁכִינְתָּא תַּתָּאָה אִיהוּ רִישּׁוּמָא בְּהַאי חוֹתָמָא דְאִיהוּ חוֹתָם אֱמֶת, וְכָל צִיּוּרִין דְּהַאי חוֹתָמָא אִינוּן רְשִׁימִין בָּהּ, לְאִשְׁתְּמוֹדְעָא דְאִיהִי צִיּוּרָא דְעַמּוּדָא דְאֶמְצָעִיתָא, דְאִיהוּ אֱמֶת, </w:t>
      </w:r>
      <w:r>
        <w:rPr>
          <w:rStyle w:val="a7"/>
          <w:rtl/>
        </w:rPr>
        <w:footnoteReference w:id="3447"/>
      </w:r>
      <w:r>
        <w:rPr>
          <w:rtl/>
        </w:rPr>
        <w:t xml:space="preserve">אָדָם אִיהוּ חוֹתָם דִּילֵיהּ, </w:t>
      </w:r>
      <w:r>
        <w:rPr>
          <w:rStyle w:val="a7"/>
          <w:rtl/>
        </w:rPr>
        <w:footnoteReference w:id="3448"/>
      </w:r>
      <w:r>
        <w:rPr>
          <w:rtl/>
        </w:rPr>
        <w:t xml:space="preserve">וְאִיהוּ יו''ד ה''א וא''ו ה''א, אִיהוּ חָתִים בֵּיהּ לְחַיִּים, </w:t>
      </w:r>
      <w:r>
        <w:rPr>
          <w:rStyle w:val="a7"/>
          <w:rtl/>
        </w:rPr>
        <w:footnoteReference w:id="3449"/>
      </w:r>
      <w:r>
        <w:rPr>
          <w:rtl/>
        </w:rPr>
        <w:t xml:space="preserve">וּמִנֵּיהּ יָרְתִין בְּנֵי יִשְׂרָאֵל בָּנֵי חַיֵּי וּמְזוֹנֵי, חַיֵּי מִסִּטְרָא דְאַבָּא וְאִימָּא דְאִינוּן י''ה, בָּנֵי מִסִּטְרָא </w:t>
      </w:r>
      <w:r>
        <w:rPr>
          <w:rStyle w:val="Char"/>
          <w:rtl/>
        </w:rPr>
        <w:t>דְעַמּוּדָא דְאֶמְצָעִיתָא, דְ</w:t>
      </w:r>
      <w:r>
        <w:rPr>
          <w:rtl/>
        </w:rPr>
        <w:t>אִתְקְרִי בְּנִי בְכֹרִי יִשְׂרָאֵל, וְאִיהוּ ו', ו</w:t>
      </w:r>
      <w:r>
        <w:rPr>
          <w:rStyle w:val="Char"/>
          <w:rtl/>
        </w:rPr>
        <w:t>ְעַל</w:t>
      </w:r>
      <w:r>
        <w:rPr>
          <w:szCs w:val="23"/>
          <w:rtl/>
        </w:rPr>
        <w:t xml:space="preserve"> </w:t>
      </w:r>
      <w:r>
        <w:rPr>
          <w:sz w:val="20"/>
          <w:szCs w:val="23"/>
          <w:rtl/>
        </w:rPr>
        <w:t>(נ''א ועל)</w:t>
      </w:r>
      <w:r>
        <w:rPr>
          <w:rtl/>
        </w:rPr>
        <w:t xml:space="preserve"> שְׁמֵיהּ אִתְקְרִיאוּ יִשְׂרָאֵל לְתַתָּא בְּנוֹי דְּקוּדְשָׁא בְּרִיךְ הוּא, כְּמָה דְאַתְּ אָמַר </w:t>
      </w:r>
      <w:r>
        <w:rPr>
          <w:sz w:val="20"/>
          <w:szCs w:val="23"/>
          <w:rtl/>
        </w:rPr>
        <w:t>(דברים יד א)</w:t>
      </w:r>
      <w:r>
        <w:rPr>
          <w:rtl/>
        </w:rPr>
        <w:t xml:space="preserve"> בָּנִים אַתֶּם לַיהו''ה אלהיכ''ם, מְזוֹנֵי מִסִּטְרָא דְה' דְאִיהִי הַמּוֹצִיא לֶחֶם מִן הָאָרֶץ, וּבְזִמְנָא דְיָרְתִין מִנֵּיהּ אִלֵּין תְּלַת </w:t>
      </w:r>
      <w:r>
        <w:rPr>
          <w:sz w:val="20"/>
          <w:szCs w:val="23"/>
          <w:rtl/>
        </w:rPr>
        <w:t>(נ''א תרין)</w:t>
      </w:r>
      <w:r>
        <w:rPr>
          <w:rtl/>
        </w:rPr>
        <w:t xml:space="preserve"> דַּרְגִּין דִּכְלִילָן בִּשְׁמֵיהּ, בָּנֵי חַיֵּי וּמְזוֹנֵי, אִתְּמַר בְּהוֹן </w:t>
      </w:r>
      <w:r>
        <w:rPr>
          <w:sz w:val="20"/>
          <w:szCs w:val="23"/>
          <w:rtl/>
        </w:rPr>
        <w:t>(ירמיה ב כא)</w:t>
      </w:r>
      <w:r>
        <w:rPr>
          <w:rtl/>
        </w:rPr>
        <w:t xml:space="preserve"> וְאָנֹכִי נְטַעֲתִּיך </w:t>
      </w:r>
      <w:r>
        <w:rPr>
          <w:rStyle w:val="a7"/>
          <w:rtl/>
        </w:rPr>
        <w:footnoteReference w:id="3450"/>
      </w:r>
      <w:r>
        <w:rPr>
          <w:rtl/>
        </w:rPr>
        <w:t>שׂוֹרֵק כֻּלֹה זֶרַע אֶמֶת.</w:t>
      </w:r>
    </w:p>
    <w:p w:rsidR="003841DB" w:rsidRDefault="003841DB" w:rsidP="00B17EA9">
      <w:pPr>
        <w:pStyle w:val="NormalWeb"/>
        <w:rPr>
          <w:rtl/>
        </w:rPr>
      </w:pPr>
      <w:r>
        <w:rPr>
          <w:sz w:val="20"/>
          <w:szCs w:val="23"/>
          <w:rtl/>
        </w:rPr>
        <w:t xml:space="preserve"> (שיר ח ו)</w:t>
      </w:r>
      <w:r>
        <w:rPr>
          <w:rtl/>
        </w:rPr>
        <w:t xml:space="preserve"> כִּי עַזָּה כַמָּוְת אַהֲבָה, </w:t>
      </w:r>
      <w:r>
        <w:rPr>
          <w:rStyle w:val="a7"/>
          <w:rtl/>
        </w:rPr>
        <w:footnoteReference w:id="3451"/>
      </w:r>
      <w:r>
        <w:rPr>
          <w:rtl/>
        </w:rPr>
        <w:t xml:space="preserve">תַּקִּיפָא אִיהִי מִמִּיתָה אַפְרָשׁוּתָא דְקוּדְשָׁא בְּרִיךְ הוּא מִבְּנוֹי, </w:t>
      </w:r>
      <w:r>
        <w:rPr>
          <w:rStyle w:val="a7"/>
          <w:rtl/>
        </w:rPr>
        <w:footnoteReference w:id="3452"/>
      </w:r>
      <w:r>
        <w:rPr>
          <w:rtl/>
        </w:rPr>
        <w:t xml:space="preserve">וּמְנָלָן דְּאַפְרָשׁוּתָא אִית בֵּין קוּדְשָׁא בְּרִיךְ הוּא וּבְנוֹי, הָכָא אוֹכַח, </w:t>
      </w:r>
      <w:r>
        <w:rPr>
          <w:sz w:val="20"/>
          <w:szCs w:val="23"/>
          <w:rtl/>
        </w:rPr>
        <w:t>(ישעיה נט ב)</w:t>
      </w:r>
      <w:r>
        <w:rPr>
          <w:rtl/>
        </w:rPr>
        <w:t xml:space="preserve"> כִּי אִם עֲוֹנוֹתֵיכֶם הָיוּ מַבְדִּילִים וכו', וְעַזָּה אִיהִי מִמִּיתָה, וַעֲלָהּ אִתְּמַר </w:t>
      </w:r>
      <w:r>
        <w:rPr>
          <w:sz w:val="20"/>
          <w:szCs w:val="23"/>
          <w:rtl/>
        </w:rPr>
        <w:t>(רות א יז)</w:t>
      </w:r>
      <w:r>
        <w:rPr>
          <w:rtl/>
        </w:rPr>
        <w:t xml:space="preserve"> כִּי הַמָּוְת יַפְרִיד בֵּינִי וּבֵינֵךְ. </w:t>
      </w:r>
      <w:r>
        <w:rPr>
          <w:rStyle w:val="a7"/>
          <w:rtl/>
        </w:rPr>
        <w:footnoteReference w:id="3453"/>
      </w:r>
      <w:r>
        <w:rPr>
          <w:rtl/>
        </w:rPr>
        <w:t xml:space="preserve">וּבְזִמְנָא דְיִשְׂרָאֵל מְקַיְּימִין פִּקּוּדַיָּא דְאוֹרַיְיתָא בִּרְחִימוּ, קָשָׁה כִשְׁאוֹל קִנְאָה </w:t>
      </w:r>
      <w:r>
        <w:rPr>
          <w:sz w:val="20"/>
          <w:szCs w:val="23"/>
          <w:rtl/>
        </w:rPr>
        <w:t>(שיר ח ו)</w:t>
      </w:r>
      <w:r>
        <w:rPr>
          <w:rtl/>
        </w:rPr>
        <w:t xml:space="preserve">, דִמְקַנֵּא קוּדְשָׁא בְּרִיךְ הוּא עֲלֵיהוֹן. </w:t>
      </w:r>
      <w:r>
        <w:rPr>
          <w:sz w:val="20"/>
          <w:szCs w:val="23"/>
          <w:rtl/>
        </w:rPr>
        <w:t>(עַל סמא''ל וְעַל נוּקְבֵיהּ, דְּאִינוּן גָּרְמִין לְבַר נַשׁ מִיתָה בְּחוֹבַיְיהוּ, וְגָרְמִין לוֹן לְמֶחטֵי, וּבְגִין דָּא עָתִיד קוּדְשָׁא בְּרִיךְ הוּא לְנַטְלָא נוּקְמָא מִנַּיְיהוּ, וּלְאַעֲבָרָא לוֹן מִן עָלְמָא, דְסמא''ל וְנוּקְבָא דִילֵיהּ אִיהִי)</w:t>
      </w:r>
      <w:r>
        <w:rPr>
          <w:rtl/>
        </w:rPr>
        <w:t xml:space="preserve"> הַאי מִיתָה (דְ)אִיהִי לִילִי''ת מַלְאַךְ הַמָּוְת, וְהַהִיא שְׁאוֹל אִיהוּ יֵצֶר הָרָע, דְּנוּקְבָא אִיהִי עִם דְּכוּרָא, וּדְכוּרָא עִם נוּקְבָא, </w:t>
      </w:r>
      <w:r>
        <w:rPr>
          <w:rStyle w:val="a7"/>
          <w:rtl/>
        </w:rPr>
        <w:footnoteReference w:id="3454"/>
      </w:r>
      <w:r>
        <w:rPr>
          <w:rtl/>
        </w:rPr>
        <w:t xml:space="preserve">וְהַאי מְנָלָן, קְרָא אוֹכַח דִּכְתִיב </w:t>
      </w:r>
      <w:r>
        <w:rPr>
          <w:sz w:val="20"/>
          <w:szCs w:val="23"/>
          <w:rtl/>
        </w:rPr>
        <w:t>(בראשית ג יז)</w:t>
      </w:r>
      <w:r>
        <w:rPr>
          <w:rtl/>
        </w:rPr>
        <w:t xml:space="preserve"> בְּעִצָּבוֹן תֹּאכֲלֶנָּה, אָדָם חָאב בְּנוּקְבָא אִתְיַיהִיב לֵיהּ יֵצֶר הָרָע נוּקְבָא, חַוָּה חָבַת בִּדְכוּרָא אִתְיַיהִיב לָהּ יֵצֶר הָרָע מִדְּכוּרָא, וַעֲלָהּ אִתְּמַר </w:t>
      </w:r>
      <w:r>
        <w:rPr>
          <w:sz w:val="20"/>
          <w:szCs w:val="23"/>
          <w:rtl/>
        </w:rPr>
        <w:t>(שם טז)</w:t>
      </w:r>
      <w:r>
        <w:rPr>
          <w:rtl/>
        </w:rPr>
        <w:t xml:space="preserve"> בְּעֶצֶב תֵּלְדִי בָנִים, וְדָא אִיהוּ כִּי עַזָּה כַמָּוְת אַהֲבָה וכו' </w:t>
      </w:r>
      <w:r>
        <w:rPr>
          <w:sz w:val="20"/>
          <w:szCs w:val="23"/>
          <w:rtl/>
        </w:rPr>
        <w:t>(שיר ח ו)</w:t>
      </w:r>
      <w:r>
        <w:rPr>
          <w:rtl/>
        </w:rPr>
        <w:t>.</w:t>
      </w:r>
    </w:p>
    <w:p w:rsidR="003841DB" w:rsidRDefault="003841DB" w:rsidP="00B17EA9">
      <w:pPr>
        <w:pStyle w:val="NormalWeb"/>
        <w:rPr>
          <w:rtl/>
        </w:rPr>
      </w:pPr>
      <w:r>
        <w:rPr>
          <w:rStyle w:val="a7"/>
          <w:rtl/>
        </w:rPr>
        <w:footnoteReference w:id="3455"/>
      </w:r>
      <w:r>
        <w:rPr>
          <w:rtl/>
        </w:rPr>
        <w:t xml:space="preserve">וְעוֹד כִּי עַזָּה כַמָּוְת אַהֲבָה, אִם יִשְׂרָאֵל יִתְעַרוּן לָהּ לְהַאי אַהֲבָה קֳדָם זִמְנָא, צְרִיכִין לְאַתְעָרָא לָהּ כִּדְקָא יָאוּת, וְאִי לַאו לָא יִתְעַרוּן לָהּ, הֲדָא הוּא דִכְתִיב </w:t>
      </w:r>
      <w:r>
        <w:rPr>
          <w:sz w:val="20"/>
          <w:szCs w:val="23"/>
          <w:rtl/>
        </w:rPr>
        <w:t>(שיר השירים ג ה)</w:t>
      </w:r>
      <w:r>
        <w:rPr>
          <w:rtl/>
        </w:rPr>
        <w:t xml:space="preserve"> הִשְׁבַּעְתִּי אֶתְכֶם בְּנוֹת יְרוּשָׁלַם בִּצבאו''ת אוֹ בְּאַיְלוֹת הַשָּׂדֶה וְגוֹמֵר, דְּאוֹמָאָה אִיהִי דְלָא שַׁרְיָא עַל כָּרְסַיָּיא עַד דְּנָטִיל נוּקְמָא מֵעֲמָלֵק, דְּחִלֵּל תְּרֵין אַתְוָון דְּאִינוּן י''ה, </w:t>
      </w:r>
      <w:r>
        <w:rPr>
          <w:rStyle w:val="a7"/>
          <w:rtl/>
        </w:rPr>
        <w:footnoteReference w:id="3456"/>
      </w:r>
      <w:r>
        <w:rPr>
          <w:rtl/>
        </w:rPr>
        <w:t xml:space="preserve">דְּנָפִיק מִן מִילָ''ה מָ''ל י''ה, וּבְגִין דָּא </w:t>
      </w:r>
      <w:r>
        <w:rPr>
          <w:sz w:val="20"/>
          <w:szCs w:val="23"/>
          <w:rtl/>
        </w:rPr>
        <w:t>(שמות יז טז)</w:t>
      </w:r>
      <w:r>
        <w:rPr>
          <w:rtl/>
        </w:rPr>
        <w:t xml:space="preserve"> כִּי יָד עַל כֵּס י''ה וָדָאי.</w:t>
      </w:r>
    </w:p>
    <w:p w:rsidR="003841DB" w:rsidRDefault="003841DB" w:rsidP="00B17EA9">
      <w:pPr>
        <w:pStyle w:val="NormalWeb"/>
        <w:rPr>
          <w:rtl/>
        </w:rPr>
      </w:pPr>
      <w:r>
        <w:rPr>
          <w:rtl/>
        </w:rPr>
        <w:t xml:space="preserve">וְכַד מָטָא זִמְנָא לְנַקְמָא מִנֵּיהּ, </w:t>
      </w:r>
      <w:r>
        <w:rPr>
          <w:rStyle w:val="a7"/>
          <w:rtl/>
        </w:rPr>
        <w:footnoteReference w:id="3457"/>
      </w:r>
      <w:r>
        <w:rPr>
          <w:rtl/>
        </w:rPr>
        <w:t xml:space="preserve">וְשַׁלְהוֹבִין דְּאֶשָּׁא נָפְקִין מֵהַאי י''ה, כְּמָה דְאַתְּ אָמַר </w:t>
      </w:r>
      <w:r>
        <w:rPr>
          <w:sz w:val="20"/>
          <w:szCs w:val="23"/>
          <w:rtl/>
        </w:rPr>
        <w:t>(שיר ח ו)</w:t>
      </w:r>
      <w:r>
        <w:rPr>
          <w:rtl/>
        </w:rPr>
        <w:t xml:space="preserve"> רְשָׁפֶיהָ רִשְׁפֵּי אֵשׁ שַׁלְהֶבֶת י''ה, וְאִינוּן שַׁלְהוֹבִין דְּאִישׁ וְאִשָּׁה, דְּתַמָּן אֵ''שׁ אֵ''שׁ, וְתַמָּן י''ה, אִישׁ כְּמָה דְאַתְּ אָמַר </w:t>
      </w:r>
      <w:r>
        <w:rPr>
          <w:sz w:val="20"/>
          <w:szCs w:val="23"/>
          <w:rtl/>
        </w:rPr>
        <w:t>(שמות טו ג)</w:t>
      </w:r>
      <w:r>
        <w:rPr>
          <w:rtl/>
        </w:rPr>
        <w:t xml:space="preserve"> יהו''ה </w:t>
      </w:r>
      <w:r>
        <w:rPr>
          <w:rStyle w:val="a7"/>
          <w:rtl/>
        </w:rPr>
        <w:footnoteReference w:id="3458"/>
      </w:r>
      <w:r>
        <w:rPr>
          <w:rtl/>
        </w:rPr>
        <w:t xml:space="preserve">אִישׁ מִלְחָמָה, דְנָטִיל נוּקְמִין מִפַּרְעֹה וּמֵעַמֵּיהּ, </w:t>
      </w:r>
      <w:r>
        <w:rPr>
          <w:rStyle w:val="a7"/>
          <w:rtl/>
        </w:rPr>
        <w:footnoteReference w:id="3459"/>
      </w:r>
      <w:r>
        <w:rPr>
          <w:rtl/>
        </w:rPr>
        <w:t xml:space="preserve">אִשָּׁה דָא שְׁכִינְתָּא דְאִתְּמַר בָּהּ </w:t>
      </w:r>
      <w:r>
        <w:rPr>
          <w:sz w:val="20"/>
          <w:szCs w:val="23"/>
          <w:rtl/>
        </w:rPr>
        <w:t>(משלי יח כב)</w:t>
      </w:r>
      <w:r>
        <w:rPr>
          <w:rtl/>
        </w:rPr>
        <w:t xml:space="preserve"> מָצָא אִשָּׁה מָצָא טוֹב וְגוֹמֵר.</w:t>
      </w:r>
    </w:p>
    <w:p w:rsidR="003841DB" w:rsidRDefault="003841DB" w:rsidP="00B17EA9">
      <w:pPr>
        <w:pStyle w:val="NormalWeb"/>
        <w:rPr>
          <w:rtl/>
        </w:rPr>
      </w:pPr>
      <w:r>
        <w:rPr>
          <w:rtl/>
        </w:rPr>
        <w:t xml:space="preserve">דָּבָר אַחֵר שִׂימֵנִי כַחוֹתָם, כֹּ''חַ תָּ''ם, כֹּ''חַ דָּא שְׁכִינְתָּא עִלָּאָה, </w:t>
      </w:r>
      <w:r>
        <w:rPr>
          <w:rStyle w:val="a7"/>
          <w:rtl/>
        </w:rPr>
        <w:footnoteReference w:id="3460"/>
      </w:r>
      <w:r>
        <w:rPr>
          <w:rtl/>
        </w:rPr>
        <w:t xml:space="preserve">כֹּ''חַ מָ''ה מִן חָכְמָה, וַעֲלָהּ אִתְּמַר </w:t>
      </w:r>
      <w:r>
        <w:rPr>
          <w:sz w:val="20"/>
          <w:szCs w:val="23"/>
          <w:rtl/>
        </w:rPr>
        <w:t>(במדבר יד יז)</w:t>
      </w:r>
      <w:r>
        <w:rPr>
          <w:rtl/>
        </w:rPr>
        <w:t xml:space="preserve"> וְעַתָּה יִגְדַּל נָא כֹּחַ אדנ''י, תָּ''ם דָּא יִשְׂרָאֵל דִּלְעִילָא, דְעַל שְׁמֵיהּ אִתְקְרִי יַעֲקֹב תָּם, כְּמָה דְאַתְּ אָמַר </w:t>
      </w:r>
      <w:r>
        <w:rPr>
          <w:sz w:val="20"/>
          <w:szCs w:val="23"/>
          <w:rtl/>
        </w:rPr>
        <w:t>(בראשית כה כז)</w:t>
      </w:r>
      <w:r>
        <w:rPr>
          <w:rtl/>
        </w:rPr>
        <w:t xml:space="preserve"> וְיַעֲקֹב אִישׁ תָּם, וּבְגִין דְּאִיהוּ דִיּוֹקְנָא דְחוֹתָם אֱמֶת דִּלְעִילָא, אִתְּמַר בֵּיהּ </w:t>
      </w:r>
      <w:r>
        <w:rPr>
          <w:sz w:val="20"/>
          <w:szCs w:val="23"/>
          <w:rtl/>
        </w:rPr>
        <w:t>(מיכה ז כ)</w:t>
      </w:r>
      <w:r>
        <w:rPr>
          <w:rtl/>
        </w:rPr>
        <w:t xml:space="preserve"> </w:t>
      </w:r>
      <w:r>
        <w:rPr>
          <w:rStyle w:val="a7"/>
          <w:rtl/>
        </w:rPr>
        <w:footnoteReference w:id="3461"/>
      </w:r>
      <w:r>
        <w:rPr>
          <w:rtl/>
        </w:rPr>
        <w:t xml:space="preserve">תִּתֵּן אֱמֶת לְיַעֲקֹב, וּמָאן דְּאִשְׁתַּדַּל בְּאוֹרַיְיתָא דְאִתְקְרֵי תּוֹרַת אֱמֶת, דִּיּוֹקְנֵיהּ חֲקִיקָא לְעִילָא בְּהַהוּא חוֹתָם אֱמֶת, וּמָאן דִּמְשַׁקֵּר בָּהּ כְּאִלּוּ אַפִּיל אוֹרַיְיתָא לְתַתָּא, הֲדָא הוּא דִכְתִיב </w:t>
      </w:r>
      <w:r>
        <w:rPr>
          <w:sz w:val="20"/>
          <w:szCs w:val="23"/>
          <w:rtl/>
        </w:rPr>
        <w:t>(דניאל ח יב)</w:t>
      </w:r>
      <w:r>
        <w:rPr>
          <w:rtl/>
        </w:rPr>
        <w:t xml:space="preserve"> וְתַשְׁלֵךְ אֱמֶת אַרְצָה, וּבְהַהוּא זִמְנָא נָפִיל דִּיּוֹקְנֵיהּ וְחוֹתָמֵיהּ לְתַתָּא, וְנָפִיל מַזָּלֵיהּ, וְאִסְתַּלַּק הַהוּא כֹּחַ מִנֵּיהּ, בְּהַהוּא זִמְנָא סמא''ל וְחֵילֵיהּ </w:t>
      </w:r>
      <w:r>
        <w:rPr>
          <w:rStyle w:val="a7"/>
          <w:rtl/>
        </w:rPr>
        <w:footnoteReference w:id="3462"/>
      </w:r>
      <w:r>
        <w:rPr>
          <w:rtl/>
        </w:rPr>
        <w:t xml:space="preserve">דְּאִינוּן חֵיוָון וּבְעִירָן וְעוֹפִין מְסָאֲבִין רָדְפִין אַבַּתְרֵיהּ, הֲדָא הוּא דִכְתִיב </w:t>
      </w:r>
      <w:r>
        <w:rPr>
          <w:sz w:val="20"/>
          <w:szCs w:val="23"/>
          <w:rtl/>
        </w:rPr>
        <w:t>(איכה א ו)</w:t>
      </w:r>
      <w:r>
        <w:rPr>
          <w:rtl/>
        </w:rPr>
        <w:t xml:space="preserve"> וַיֵּלְכוּ בְלֹא כֹחַ לִפְנֵי רוֹדֵף.</w:t>
      </w:r>
    </w:p>
    <w:p w:rsidR="003841DB" w:rsidRDefault="003841DB" w:rsidP="00B17EA9">
      <w:pPr>
        <w:pStyle w:val="aa"/>
        <w:rPr>
          <w:rtl/>
        </w:rPr>
      </w:pPr>
      <w:r>
        <w:rPr>
          <w:rtl/>
        </w:rPr>
        <w:t xml:space="preserve">[תיקוני זוהר - דף סז ע''א] </w:t>
      </w:r>
    </w:p>
    <w:p w:rsidR="003841DB" w:rsidRDefault="003841DB" w:rsidP="00B17EA9">
      <w:pPr>
        <w:pStyle w:val="NormalWeb"/>
        <w:rPr>
          <w:rtl/>
        </w:rPr>
      </w:pPr>
      <w:r>
        <w:rPr>
          <w:rStyle w:val="a7"/>
          <w:rtl/>
        </w:rPr>
        <w:footnoteReference w:id="3463"/>
      </w:r>
      <w:r>
        <w:rPr>
          <w:rtl/>
        </w:rPr>
        <w:t xml:space="preserve">אִם תָּב בִּתְיוּבְתָּא תָּב הַהוּא כֹּחַ לְגַבֵּיהּ דְּאִיהִי </w:t>
      </w:r>
      <w:r>
        <w:rPr>
          <w:sz w:val="20"/>
          <w:szCs w:val="23"/>
          <w:rtl/>
        </w:rPr>
        <w:t xml:space="preserve">(דף סז ע''א) </w:t>
      </w:r>
      <w:r>
        <w:rPr>
          <w:rtl/>
        </w:rPr>
        <w:t xml:space="preserve">שְׁכִינְתָּא עִלָּאָה, </w:t>
      </w:r>
      <w:r>
        <w:rPr>
          <w:rStyle w:val="a7"/>
          <w:rtl/>
        </w:rPr>
        <w:footnoteReference w:id="3464"/>
      </w:r>
      <w:r>
        <w:rPr>
          <w:rtl/>
        </w:rPr>
        <w:t xml:space="preserve">בְּהַהוּא זִמְנָא אִתְקַיַּים בֵּיהּ </w:t>
      </w:r>
      <w:r>
        <w:rPr>
          <w:sz w:val="20"/>
          <w:szCs w:val="23"/>
          <w:rtl/>
        </w:rPr>
        <w:t>(ישעיה מג ד)</w:t>
      </w:r>
      <w:r>
        <w:rPr>
          <w:rtl/>
        </w:rPr>
        <w:t xml:space="preserve"> וְאֶתֵּן אָדָם תַּחְתֶּיךָ וּלְאֻמִּים תַּחַת נַפְשֶׁךָ, מַאי אָדָם הָא אוּקְמוּהוּ אַל תִּקְרֵי אָדָם אֶלָּא אֱדוֹם, וּלְאוּמִּים וּלְאֹם מִלְאוֹם יֶאֱמָץ </w:t>
      </w:r>
      <w:r>
        <w:rPr>
          <w:sz w:val="20"/>
          <w:szCs w:val="23"/>
          <w:rtl/>
        </w:rPr>
        <w:t>(בראשית כה כג)</w:t>
      </w:r>
      <w:r>
        <w:rPr>
          <w:rtl/>
        </w:rPr>
        <w:t xml:space="preserve">, </w:t>
      </w:r>
      <w:r>
        <w:rPr>
          <w:rStyle w:val="a7"/>
          <w:rtl/>
        </w:rPr>
        <w:footnoteReference w:id="3465"/>
      </w:r>
      <w:r>
        <w:rPr>
          <w:rtl/>
        </w:rPr>
        <w:t xml:space="preserve">בְּהַהוּא זִמְנָא אוּמָה דְיִשְׂרָאֵל יִתְקְפוּן </w:t>
      </w:r>
      <w:r>
        <w:rPr>
          <w:sz w:val="20"/>
          <w:szCs w:val="23"/>
          <w:rtl/>
        </w:rPr>
        <w:t>(נ''א יתגברון)</w:t>
      </w:r>
      <w:r>
        <w:rPr>
          <w:rtl/>
        </w:rPr>
        <w:t xml:space="preserve"> עַל אוּמָה דְעִשָׂו, בְּחֵילָא דְהַאי כֹּחַ </w:t>
      </w:r>
      <w:r>
        <w:rPr>
          <w:rStyle w:val="a7"/>
          <w:rtl/>
        </w:rPr>
        <w:footnoteReference w:id="3466"/>
      </w:r>
      <w:r>
        <w:rPr>
          <w:rtl/>
        </w:rPr>
        <w:t>דְּאִתְלַבַּשׁ בְּשֶׁבַע תֵּיבִין דְּעוֹבָדָא דִבְּרֵאשִׁית, כ''ח אַתְוָון שְׁכִינְתָּא עִלָּאָה, שֶׁבַע תֵּיבִין כְּלִילָן בִּשְׁכִינְתָּא תַּתָּאָה.</w:t>
      </w:r>
    </w:p>
    <w:p w:rsidR="003841DB" w:rsidRDefault="003841DB" w:rsidP="00B17EA9">
      <w:pPr>
        <w:pStyle w:val="NormalWeb"/>
        <w:rPr>
          <w:rtl/>
        </w:rPr>
      </w:pPr>
      <w:r>
        <w:rPr>
          <w:rStyle w:val="a7"/>
          <w:rtl/>
        </w:rPr>
        <w:footnoteReference w:id="3467"/>
      </w:r>
      <w:r>
        <w:rPr>
          <w:rtl/>
        </w:rPr>
        <w:t xml:space="preserve">וְהַאי כֹּ''חַ אִיהוּ רָזָא דְכ''ח פִּרְקִין דְּעֶשֶׂר אֶצְבָּעוֹת, דִּבְהוֹן וְהָיָה כַּאֲשֶׁר יָרִים מֹשֶׁה יָדוֹ וְגָבַר יִשְׂרָאֵל </w:t>
      </w:r>
      <w:r>
        <w:rPr>
          <w:sz w:val="20"/>
          <w:szCs w:val="23"/>
          <w:rtl/>
        </w:rPr>
        <w:t>(שמות יז יא)</w:t>
      </w:r>
      <w:r>
        <w:rPr>
          <w:rtl/>
        </w:rPr>
        <w:t xml:space="preserve">, וּבְגִין דָּא אוּקְמוּהוּ זִכְרוֹנָם לִבְרָכָה לְמִי נוֹשְׂאִים כַּפַּיִם לְרוּם הַשָּׁמַיִם, </w:t>
      </w:r>
      <w:r>
        <w:rPr>
          <w:rStyle w:val="a7"/>
          <w:rtl/>
        </w:rPr>
        <w:footnoteReference w:id="3468"/>
      </w:r>
      <w:r>
        <w:rPr>
          <w:rtl/>
        </w:rPr>
        <w:t xml:space="preserve">דְּצָרִיךְ הַאי כֹּחַ לְסַלְקָא לֵיהּ לְגַבֵּי חָכְמָה, וְדָא אִיהוּ רוּם שָׁמַיִם, וְאִיהוּ יו''ד ה''א וא''ו ה''א דְשָׁארֵי בְּעֶשֶׂר אֶצְבְּעָן, עַל הַאי כֹּחַ, וְאִיהוּ חָכְמָה כֹּ''חַ מָ''ה, וְהַאי כֹּחַ עֲלֵיהּ אִתְּמַר </w:t>
      </w:r>
      <w:r>
        <w:rPr>
          <w:sz w:val="20"/>
          <w:szCs w:val="23"/>
          <w:rtl/>
        </w:rPr>
        <w:t>(דניאל א ד)</w:t>
      </w:r>
      <w:r>
        <w:rPr>
          <w:rtl/>
        </w:rPr>
        <w:t xml:space="preserve"> </w:t>
      </w:r>
      <w:r>
        <w:rPr>
          <w:rStyle w:val="a7"/>
          <w:rtl/>
        </w:rPr>
        <w:footnoteReference w:id="3469"/>
      </w:r>
      <w:r>
        <w:rPr>
          <w:rtl/>
        </w:rPr>
        <w:t xml:space="preserve">וַאֲשֶׁר כֹּחַ בָּהֶם לַעֲמוֹד בְּהֵיכַל הַמֶּלֶךְ, לַעֲמוֹד בִּצְלוֹתָא דַעֲמִידָה, בְּהֵיכַל הַמֶּלֶךְ סְתָם דָּא אדנ''י דְּסָלִיק לְחוּשְׁבַּן הֵיכָ''ל, </w:t>
      </w:r>
      <w:r>
        <w:rPr>
          <w:rStyle w:val="a7"/>
          <w:rtl/>
        </w:rPr>
        <w:footnoteReference w:id="3470"/>
      </w:r>
      <w:r>
        <w:rPr>
          <w:rtl/>
        </w:rPr>
        <w:t xml:space="preserve">וְהַאי כֹּ''חַ אִיהוּ רָזָא </w:t>
      </w:r>
      <w:r>
        <w:rPr>
          <w:sz w:val="20"/>
          <w:szCs w:val="23"/>
          <w:rtl/>
        </w:rPr>
        <w:t>(דברים ו ד)</w:t>
      </w:r>
      <w:r>
        <w:rPr>
          <w:szCs w:val="23"/>
          <w:rtl/>
        </w:rPr>
        <w:t xml:space="preserve"> </w:t>
      </w:r>
      <w:r>
        <w:rPr>
          <w:rStyle w:val="Char"/>
          <w:rtl/>
        </w:rPr>
        <w:t>דְיהו''ה אלהינ''ו</w:t>
      </w:r>
      <w:r>
        <w:rPr>
          <w:rtl/>
        </w:rPr>
        <w:t xml:space="preserve"> יהו''ה, כוז''ו במוכס''ז כוז''ו, </w:t>
      </w:r>
      <w:r>
        <w:rPr>
          <w:rStyle w:val="a7"/>
          <w:rtl/>
        </w:rPr>
        <w:footnoteReference w:id="3471"/>
      </w:r>
      <w:r>
        <w:rPr>
          <w:rtl/>
        </w:rPr>
        <w:t xml:space="preserve">וַעֲלֵיהּ אִתְּמַר כָּל הָעוֹנֶה אָמֵן יְהֵא שְׁמֵיהּ רַבָּא מְבָרַךְ בְּכָל כֹּחוֹ, </w:t>
      </w:r>
      <w:r>
        <w:rPr>
          <w:rStyle w:val="a7"/>
          <w:rtl/>
        </w:rPr>
        <w:footnoteReference w:id="3472"/>
      </w:r>
      <w:r>
        <w:rPr>
          <w:rtl/>
        </w:rPr>
        <w:t xml:space="preserve">וְאִיהוּ כֹחַ דְּאִתְלַבַּשׁ בִּתְרֵין דְּרוֹעִין דְּאִינוּן חֶסֶד וּגְבוּרָה, וְצָרִיךְ לְסַלְקָא לֵיהּ לְגַבֵּי י' דְּאִיהוּ רוּם שָׁמַיִם, </w:t>
      </w:r>
      <w:r>
        <w:rPr>
          <w:rStyle w:val="a7"/>
          <w:rtl/>
        </w:rPr>
        <w:footnoteReference w:id="3473"/>
      </w:r>
      <w:r>
        <w:rPr>
          <w:rtl/>
        </w:rPr>
        <w:t xml:space="preserve">וּלְנַחְתָא לֵיהּ לְגַבֵּי ו' דְאִיהוּ שָׁמַיִם, דַּעֲלֵיהּ אִתְּמַר </w:t>
      </w:r>
      <w:r>
        <w:rPr>
          <w:sz w:val="20"/>
          <w:szCs w:val="23"/>
          <w:rtl/>
        </w:rPr>
        <w:t>(מלכים א א לב)</w:t>
      </w:r>
      <w:r>
        <w:rPr>
          <w:rtl/>
        </w:rPr>
        <w:t xml:space="preserve"> וְאַתָּה תִּשְׁמַע הַשָּׁמַיִם, כַּד נָחֲתָא לֵיהּ לְגַבֵּי עַמּוּדָא דְאֶמְצָעִיתָא, לְמִפְרַק בָּהּ לְיִשְׂרָאֵל בְּנוֹי, </w:t>
      </w:r>
      <w:r>
        <w:rPr>
          <w:rStyle w:val="a7"/>
          <w:rtl/>
        </w:rPr>
        <w:footnoteReference w:id="3474"/>
      </w:r>
      <w:r>
        <w:rPr>
          <w:rtl/>
        </w:rPr>
        <w:t>וְכַד סָלִיק לָהּ לְגַבֵּי רוּם הַשָּׁמַיִם דְּאִיהִי י', לְמֵיטַל נוּקְמָא מֵעֲמָלֵק.</w:t>
      </w:r>
    </w:p>
    <w:p w:rsidR="003841DB" w:rsidRDefault="003841DB" w:rsidP="00B17EA9">
      <w:pPr>
        <w:pStyle w:val="NormalWeb"/>
        <w:rPr>
          <w:rtl/>
        </w:rPr>
      </w:pPr>
      <w:r>
        <w:rPr>
          <w:rtl/>
        </w:rPr>
        <w:t xml:space="preserve">וְדָא אִיהוּ וְהָיָה כַּאֲשֶׁר יָרִים מֹשֶׁה יָד''וֹ </w:t>
      </w:r>
      <w:r>
        <w:rPr>
          <w:sz w:val="20"/>
          <w:szCs w:val="23"/>
          <w:rtl/>
        </w:rPr>
        <w:t>(שמות יז יא)</w:t>
      </w:r>
      <w:r>
        <w:rPr>
          <w:rtl/>
        </w:rPr>
        <w:t xml:space="preserve">, וְאִיהוּ יַד ו', </w:t>
      </w:r>
      <w:r>
        <w:rPr>
          <w:rStyle w:val="a7"/>
          <w:rtl/>
        </w:rPr>
        <w:footnoteReference w:id="3475"/>
      </w:r>
      <w:r>
        <w:rPr>
          <w:rtl/>
        </w:rPr>
        <w:t xml:space="preserve">וְאִיהוּ יוּ''ד, וְאִיהוּ י''ה, </w:t>
      </w:r>
      <w:r>
        <w:rPr>
          <w:rStyle w:val="a7"/>
          <w:rtl/>
        </w:rPr>
        <w:footnoteReference w:id="3476"/>
      </w:r>
      <w:r>
        <w:rPr>
          <w:rtl/>
        </w:rPr>
        <w:t xml:space="preserve">וּלְבָתַר נָחִית הַאי כֹּ''חַ לְגַבֵּי וָא''ו, דְּאִיהוּ י''ג מְכִילָן דְּרַחֲמֵי, לְמִפְרַק לִבְנוֹי דְּיִשְׂרָאֵל, </w:t>
      </w:r>
      <w:r>
        <w:rPr>
          <w:rStyle w:val="a7"/>
          <w:rtl/>
        </w:rPr>
        <w:footnoteReference w:id="3477"/>
      </w:r>
      <w:r>
        <w:rPr>
          <w:rtl/>
        </w:rPr>
        <w:t xml:space="preserve">כְּמָה דְאַתְּ אָמַר </w:t>
      </w:r>
      <w:r>
        <w:rPr>
          <w:sz w:val="20"/>
          <w:szCs w:val="23"/>
          <w:rtl/>
        </w:rPr>
        <w:t>(ישעיה נד ז)</w:t>
      </w:r>
      <w:r>
        <w:rPr>
          <w:rtl/>
        </w:rPr>
        <w:t xml:space="preserve"> וּבְרַחֲמִים גְּדוֹלִים אֲקַבְּצֵךְ, וְכ''ח </w:t>
      </w:r>
      <w:r>
        <w:rPr>
          <w:rStyle w:val="a7"/>
          <w:rtl/>
        </w:rPr>
        <w:footnoteReference w:id="3478"/>
      </w:r>
      <w:r>
        <w:rPr>
          <w:rtl/>
        </w:rPr>
        <w:t xml:space="preserve">בְּהַאי וָא''ו אִשְׁתַּלִּים וְאִתְעֲבִיד אֵ''ם, </w:t>
      </w:r>
      <w:r>
        <w:rPr>
          <w:rStyle w:val="a7"/>
          <w:rtl/>
        </w:rPr>
        <w:footnoteReference w:id="3479"/>
      </w:r>
      <w:r>
        <w:rPr>
          <w:rtl/>
        </w:rPr>
        <w:t xml:space="preserve">בְּהַהוּא זִמְנָא </w:t>
      </w:r>
      <w:r>
        <w:rPr>
          <w:sz w:val="20"/>
          <w:szCs w:val="23"/>
          <w:rtl/>
        </w:rPr>
        <w:t>(בראשית ג כ)</w:t>
      </w:r>
      <w:r>
        <w:rPr>
          <w:rtl/>
        </w:rPr>
        <w:t xml:space="preserve"> כִּי הִיא הָיְתָה אֵ''ם כָּל חָ''י, וְדָא חַ''י עָלְמִין, דְּבָהּ אִתְמַלֵּי וְאִשְׁתַּלִּים בְּחַ''י בִּרְכָאָן דִּצְלוֹתָא.</w:t>
      </w:r>
    </w:p>
    <w:p w:rsidR="003841DB" w:rsidRDefault="003841DB" w:rsidP="00B17EA9">
      <w:pPr>
        <w:pStyle w:val="NormalWeb"/>
        <w:rPr>
          <w:rtl/>
        </w:rPr>
      </w:pPr>
      <w:r>
        <w:rPr>
          <w:rStyle w:val="a7"/>
          <w:rtl/>
        </w:rPr>
        <w:footnoteReference w:id="3480"/>
      </w:r>
      <w:r>
        <w:rPr>
          <w:rtl/>
        </w:rPr>
        <w:t xml:space="preserve">הֵ''א הֵ''א תַּלְיָין מִן תְּרֵין ה''ה, דְּאִינוּן הֵ''א הֵ''א בְּחוּשְׁבָּנָא י''ב, </w:t>
      </w:r>
      <w:r>
        <w:rPr>
          <w:rStyle w:val="a7"/>
          <w:rtl/>
        </w:rPr>
        <w:footnoteReference w:id="3481"/>
      </w:r>
      <w:r>
        <w:rPr>
          <w:rtl/>
        </w:rPr>
        <w:t xml:space="preserve">וּמִנַּיְיהוּ תַּלְיָין אַתְוָון כְּפוּלִים, וְאִינוּן תַּלְיָין מִן תְּרֵין ה''ה פְּשׁוּטוֹת, וּבְהוֹן סָלְקִין לְחוּשְׁבַּן יָ''ד, וְדָא אִיהִי כִּי יָ''ד עַל כֵּס י''הּ </w:t>
      </w:r>
      <w:r>
        <w:rPr>
          <w:sz w:val="20"/>
          <w:szCs w:val="23"/>
          <w:rtl/>
        </w:rPr>
        <w:t>(שמות יז טז)</w:t>
      </w:r>
      <w:r>
        <w:rPr>
          <w:rtl/>
        </w:rPr>
        <w:t xml:space="preserve">, וְכֵן וָא''ו י''ג מְכִילִין דְּתַלְיָין מִן ו''ו פְּשׁוּטָה, וּבָהּ אִשְׁתַּלִּים י''ד, וְדָא אִיהוּ יָד לְיָד לֹא יִנָּקֶה רָע </w:t>
      </w:r>
      <w:r>
        <w:rPr>
          <w:sz w:val="20"/>
          <w:szCs w:val="23"/>
          <w:rtl/>
        </w:rPr>
        <w:t>(משלי יא כא)</w:t>
      </w:r>
      <w:r>
        <w:rPr>
          <w:rtl/>
        </w:rPr>
        <w:t xml:space="preserve">, </w:t>
      </w:r>
      <w:r>
        <w:rPr>
          <w:rStyle w:val="a7"/>
          <w:rtl/>
        </w:rPr>
        <w:footnoteReference w:id="3482"/>
      </w:r>
      <w:r>
        <w:rPr>
          <w:rtl/>
        </w:rPr>
        <w:t xml:space="preserve">דָּא עֲמָלֵק, </w:t>
      </w:r>
      <w:r>
        <w:rPr>
          <w:rStyle w:val="a7"/>
          <w:rtl/>
        </w:rPr>
        <w:footnoteReference w:id="3483"/>
      </w:r>
      <w:r>
        <w:rPr>
          <w:rtl/>
        </w:rPr>
        <w:t xml:space="preserve">לְעִילָא וְתַתָּא נָטִיל נוּקְמָא מִינֵיהּ, נָטִיל נוּקְמָא לְעִילָא בְּיָ''ד, וּלְתַתָּא בְּיָ''ד, </w:t>
      </w:r>
      <w:r>
        <w:rPr>
          <w:rStyle w:val="a7"/>
          <w:rtl/>
        </w:rPr>
        <w:footnoteReference w:id="3484"/>
      </w:r>
      <w:r>
        <w:rPr>
          <w:rtl/>
        </w:rPr>
        <w:t xml:space="preserve">וְדָא אִיהוּ הִנֵּה יַ''ד יהו''ה הוֹיָה </w:t>
      </w:r>
      <w:r>
        <w:rPr>
          <w:sz w:val="20"/>
          <w:szCs w:val="23"/>
          <w:rtl/>
        </w:rPr>
        <w:t>(שמות ט ג)</w:t>
      </w:r>
      <w:r>
        <w:rPr>
          <w:szCs w:val="23"/>
          <w:rtl/>
        </w:rPr>
        <w:t xml:space="preserve">, </w:t>
      </w:r>
      <w:r>
        <w:rPr>
          <w:rStyle w:val="Char"/>
          <w:rtl/>
        </w:rPr>
        <w:t>וא"ו י' הֵ''א</w:t>
      </w:r>
      <w:r>
        <w:rPr>
          <w:szCs w:val="23"/>
          <w:rtl/>
        </w:rPr>
        <w:t xml:space="preserve"> </w:t>
      </w:r>
      <w:r>
        <w:rPr>
          <w:rStyle w:val="Char"/>
          <w:rtl/>
        </w:rPr>
        <w:t xml:space="preserve">הֵ''א </w:t>
      </w:r>
      <w:r>
        <w:rPr>
          <w:rtl/>
        </w:rPr>
        <w:t xml:space="preserve">ה''ה </w:t>
      </w:r>
      <w:r>
        <w:rPr>
          <w:rStyle w:val="a7"/>
          <w:rtl/>
        </w:rPr>
        <w:footnoteReference w:id="3485"/>
      </w:r>
      <w:r>
        <w:rPr>
          <w:rtl/>
        </w:rPr>
        <w:t>אִינוּן כ''ח, יוּ''ד כ' וְתַלְיָין מִן יו"ד פְּשׁוּטָה הֲרֵי כ''א, כְּחוּשְׁבַּן אהי''ה, וְסָלִיק כֹּלָּא מ''ט אַנְפִּין דְּאוֹרַיְיתָא, כְּגַוְונָא דָא כֹּ''חַ דְּאִיהוּ תְמַנְיָא וְעֶשְׂרִין, אהי''ה דְּאִיהוּ כ''א, הֲרֵי מ''ט, וְכֹלָּא יו''ד ה''א וא''ו ה''א, יהו''ה, יו''ד ה''א וא''ו ה''א מ''ה, יהו''ה ד', סָלִיק מ''ט.</w:t>
      </w:r>
    </w:p>
    <w:p w:rsidR="003841DB" w:rsidRDefault="003841DB" w:rsidP="00B17EA9">
      <w:pPr>
        <w:pStyle w:val="NormalWeb"/>
        <w:rPr>
          <w:rtl/>
        </w:rPr>
      </w:pPr>
      <w:r>
        <w:rPr>
          <w:rStyle w:val="a7"/>
          <w:rtl/>
        </w:rPr>
        <w:footnoteReference w:id="3486"/>
      </w:r>
      <w:r>
        <w:rPr>
          <w:rtl/>
        </w:rPr>
        <w:t xml:space="preserve">לְבוּשָׁא דְיוּ''ד חֶסֶד, לְבוּשָׁא דְהֵ''א גְבוּרָה, לְבוּשָׁא דְוָא''ו תִּפְאֶרֶת, לְבוּשָׁא דְהֵ''א מַלְכוּת, נֶצַח קִשּׁוּרָא דִילֵיהּ חֶסֶד, הֲדָא הוּא דִכְתִיב </w:t>
      </w:r>
      <w:r>
        <w:rPr>
          <w:sz w:val="20"/>
          <w:szCs w:val="23"/>
          <w:rtl/>
        </w:rPr>
        <w:t>(תהלים טז יא)</w:t>
      </w:r>
      <w:r>
        <w:rPr>
          <w:rtl/>
        </w:rPr>
        <w:t xml:space="preserve"> נְעִימוֹת בִּימִינְךָ נֶצַח, הוֹד קִשּׁוּרָא דִילֵיהּ גְּבוּרָה, צַדִּיק קִשּׁוּרָא דִילֵיהּ עַמּוּדָא דְאֶמְצָעִיתָא, דְּגוּף וּבְרִית חַשְׁבִינָן חָד, </w:t>
      </w:r>
      <w:r>
        <w:rPr>
          <w:rStyle w:val="a7"/>
          <w:rtl/>
        </w:rPr>
        <w:footnoteReference w:id="3487"/>
      </w:r>
      <w:r>
        <w:rPr>
          <w:rtl/>
        </w:rPr>
        <w:t>מַלְכוּת שְׁלִימוּ דִלְהוֹן, אִיהִי שְׁלִימוּ דְעִלָּאִין וְתַתָּאִין.</w:t>
      </w:r>
    </w:p>
    <w:p w:rsidR="003841DB" w:rsidRDefault="003841DB" w:rsidP="00B17EA9">
      <w:pPr>
        <w:pStyle w:val="NormalWeb"/>
        <w:rPr>
          <w:rtl/>
        </w:rPr>
      </w:pPr>
      <w:r>
        <w:rPr>
          <w:rStyle w:val="a7"/>
          <w:rtl/>
        </w:rPr>
        <w:footnoteReference w:id="3488"/>
      </w:r>
      <w:r>
        <w:rPr>
          <w:rtl/>
        </w:rPr>
        <w:t xml:space="preserve">כֶּתֶר עֶלְיוֹן דָּא אִיהוּ שְׁלִימוּ דְחַמְשִׁין שַׁעֲרֵי בִינָה, וְדָא אִיהוּ דְלָא אִתְיַיהִיב לְמֹשֶׁה, דַעֲלֵיהּ אִתְּמַר </w:t>
      </w:r>
      <w:r>
        <w:rPr>
          <w:sz w:val="20"/>
          <w:szCs w:val="23"/>
          <w:rtl/>
        </w:rPr>
        <w:t>(איוב כא ז)</w:t>
      </w:r>
      <w:r>
        <w:rPr>
          <w:rtl/>
        </w:rPr>
        <w:t xml:space="preserve"> נָתִיב לֹא יְדָעוֹ עָיִט, וַעֲלֵיהּ אָמְרוּ זִכְרוֹנָם לִבְרָכָה בְּמוּפְלָא מִמָּךְ אַל תִּדְרוֹשׁ וכו', בְּגִין דְּאִיהוּ </w:t>
      </w:r>
      <w:r>
        <w:rPr>
          <w:rStyle w:val="a7"/>
          <w:rtl/>
        </w:rPr>
        <w:footnoteReference w:id="3489"/>
      </w:r>
      <w:r>
        <w:rPr>
          <w:rtl/>
        </w:rPr>
        <w:t xml:space="preserve">מָקוֹר דְּלֵית לֵיהּ סוֹף, וּבִמְקוֹרָא דְלֵית לֵיהּ סוֹף מָאן יְכִיל לְאַשָּׂגָא וּלְאַשְׁכָּחָא לֵיהּ </w:t>
      </w:r>
      <w:r>
        <w:rPr>
          <w:sz w:val="20"/>
          <w:szCs w:val="23"/>
          <w:rtl/>
        </w:rPr>
        <w:t>(סיפא)</w:t>
      </w:r>
      <w:r>
        <w:rPr>
          <w:rtl/>
        </w:rPr>
        <w:t>.</w:t>
      </w:r>
    </w:p>
    <w:p w:rsidR="003841DB" w:rsidRDefault="003841DB" w:rsidP="00B17EA9">
      <w:pPr>
        <w:pStyle w:val="aa"/>
        <w:rPr>
          <w:rtl/>
        </w:rPr>
      </w:pPr>
      <w:r>
        <w:rPr>
          <w:rtl/>
        </w:rPr>
        <w:t xml:space="preserve">[תיקוני זוהר - דף סז ע''ב] </w:t>
      </w:r>
    </w:p>
    <w:p w:rsidR="003841DB" w:rsidRDefault="003841DB" w:rsidP="00B17EA9">
      <w:pPr>
        <w:pStyle w:val="NormalWeb"/>
        <w:rPr>
          <w:rtl/>
        </w:rPr>
      </w:pPr>
      <w:r>
        <w:rPr>
          <w:rtl/>
        </w:rPr>
        <w:t xml:space="preserve">קָם סָבָא וְשָׁאִיל וְאַמַּאי אִתְקַשַּׁר נֶצַח עִם חֶסֶד כְּמָה דְאוּקִימְנָא נְעִימוֹת בִּימִינְךָ נֶצַח </w:t>
      </w:r>
      <w:r>
        <w:rPr>
          <w:sz w:val="20"/>
          <w:szCs w:val="23"/>
          <w:rtl/>
        </w:rPr>
        <w:t>(תהלים טז יא)</w:t>
      </w:r>
      <w:r>
        <w:rPr>
          <w:rtl/>
        </w:rPr>
        <w:t xml:space="preserve">, וְכֵן הוֹד עִם גְּבוּרָה, </w:t>
      </w:r>
      <w:r>
        <w:rPr>
          <w:rStyle w:val="a7"/>
          <w:rtl/>
        </w:rPr>
        <w:footnoteReference w:id="3490"/>
      </w:r>
      <w:r>
        <w:rPr>
          <w:rtl/>
        </w:rPr>
        <w:t xml:space="preserve">אֶלָּא בְּגִין דִּדְרוֹעָא יְמִינָא לָא אִית בֵּיהּ אֶלָּא תְּלַת פִּרְקִין, וְכֵן בִּשְׂמָאלָא, וּבְגִין דָּא אִתְקַשַּׁר שׁוֹקָא יְמִינָא דְאִית בָּהּ תְּלַת פִּרְקִין עִם דְּרוֹעָא יְמִינָא לְשַׁרְיָא בֵּיהּ הֵ''א, </w:t>
      </w:r>
      <w:r>
        <w:rPr>
          <w:sz w:val="20"/>
          <w:szCs w:val="23"/>
          <w:rtl/>
        </w:rPr>
        <w:t>(דף סז ע''ב)</w:t>
      </w:r>
      <w:r>
        <w:rPr>
          <w:rtl/>
        </w:rPr>
        <w:t xml:space="preserve"> וְכֵן דְּרוֹעָא שְׂמָאלָא עִם שׁוֹקָא שְׂמָאלָא לְשַׁרְיָא בֵּיהּ הֵ''א, </w:t>
      </w:r>
      <w:r>
        <w:rPr>
          <w:rStyle w:val="a7"/>
          <w:rtl/>
        </w:rPr>
        <w:footnoteReference w:id="3491"/>
      </w:r>
      <w:r>
        <w:rPr>
          <w:rtl/>
        </w:rPr>
        <w:t xml:space="preserve">וְכֵן גּוּף וּבְרִית אִינוּן ו' ו', וְשַׁרְיָא בְהוֹן א דְּאִיהִי אִימָּא, וְאִתְעֲבִידוּ י''ג וָא''ו. </w:t>
      </w:r>
      <w:r>
        <w:rPr>
          <w:rStyle w:val="a7"/>
          <w:rtl/>
        </w:rPr>
        <w:footnoteReference w:id="3492"/>
      </w:r>
      <w:r>
        <w:rPr>
          <w:rtl/>
        </w:rPr>
        <w:t xml:space="preserve">יוּ''ד שַׁרְיָין בְּעֶשֶׂר אֶצְבְּעָאן דִּידַיִן וּבְעֶשֶׂר אֶצְבְּעָאן דְּרַגְלִין, </w:t>
      </w:r>
      <w:r>
        <w:rPr>
          <w:rStyle w:val="a7"/>
          <w:rtl/>
        </w:rPr>
        <w:footnoteReference w:id="3493"/>
      </w:r>
      <w:r>
        <w:rPr>
          <w:rtl/>
        </w:rPr>
        <w:t>מִשׁוּם דְּאַתְחַלְתָּא דִשְׁמָא קַדִּישָׁא מֵחָכְמָה שַׁרְיָא דְאִיהִי בְאֶצְבְּעָן.</w:t>
      </w:r>
    </w:p>
    <w:p w:rsidR="003841DB" w:rsidRDefault="003841DB" w:rsidP="00B17EA9">
      <w:pPr>
        <w:pStyle w:val="NormalWeb"/>
        <w:rPr>
          <w:rtl/>
        </w:rPr>
      </w:pPr>
      <w:r>
        <w:rPr>
          <w:rStyle w:val="a7"/>
          <w:rtl/>
        </w:rPr>
        <w:footnoteReference w:id="3494"/>
      </w:r>
      <w:r>
        <w:rPr>
          <w:rtl/>
        </w:rPr>
        <w:t xml:space="preserve">כֶּתֶר עִלָּאָה שַׁרְיָא בְרֵישָׁא דְבַר נַשׁ, דְּתַמָּן מַחֲשָׁבָה סְתִימָאָה, וּכְמָה דְמַחֲשָׁבָה אִיהִי סְתִימָא, כַּךְ אִיהוּ סָתִים, אֵין סוֹף אִתְקְרֵי מִלְּגָאו, כֶּתֶר עִלָּאָה מִלְּבָר, כִּתְרָא דְרֵישָׁא עִלָּאָה, </w:t>
      </w:r>
      <w:r>
        <w:rPr>
          <w:rStyle w:val="a7"/>
          <w:rtl/>
        </w:rPr>
        <w:footnoteReference w:id="3495"/>
      </w:r>
      <w:r>
        <w:rPr>
          <w:rtl/>
        </w:rPr>
        <w:t xml:space="preserve">אַרְבַּע יְסוֹדִין דְּגוּפָא בְּהוֹן שַׁרְיָא יהו''ה, </w:t>
      </w:r>
      <w:r>
        <w:rPr>
          <w:rStyle w:val="a7"/>
          <w:rtl/>
        </w:rPr>
        <w:footnoteReference w:id="3496"/>
      </w:r>
      <w:r>
        <w:rPr>
          <w:rtl/>
        </w:rPr>
        <w:t xml:space="preserve">וְדָא אִיהוּ כֹּל הַנִּקְרָא בִשְׁמִי וְלִכְבוֹדִי בְּרָאתִיו יְצַרְתִּיו אַף עֲשִׂיתִיו </w:t>
      </w:r>
      <w:r>
        <w:rPr>
          <w:sz w:val="20"/>
          <w:szCs w:val="23"/>
          <w:rtl/>
        </w:rPr>
        <w:t>(ישעיה מג ז)</w:t>
      </w:r>
      <w:r>
        <w:rPr>
          <w:rtl/>
        </w:rPr>
        <w:t xml:space="preserve">, בְּרָאתִיו דָּא נִשְׁמָתָא קַדִּישָׁא דְאִיהִי עוֹלָם הַמַּחֲשָׁבָה, יְצַרְתִּיו דָּא רוּחַ מְמַלְּלָא דְמִינֵיהּ חֵיוָון </w:t>
      </w:r>
      <w:r>
        <w:rPr>
          <w:sz w:val="20"/>
          <w:szCs w:val="23"/>
          <w:rtl/>
        </w:rPr>
        <w:t>(נ''א חיין)</w:t>
      </w:r>
      <w:r>
        <w:rPr>
          <w:rtl/>
        </w:rPr>
        <w:t xml:space="preserve"> </w:t>
      </w:r>
      <w:r>
        <w:rPr>
          <w:rStyle w:val="a7"/>
          <w:rtl/>
        </w:rPr>
        <w:footnoteReference w:id="3497"/>
      </w:r>
      <w:r>
        <w:rPr>
          <w:rtl/>
        </w:rPr>
        <w:t xml:space="preserve">מְמַלְּלִין, עֲשִׂיתִיו דָּא נֶפֶשׁ דְּתַמָּן עֲשִׂיָּיה, דְשַׁרְיָא בְּרַמַ''ח </w:t>
      </w:r>
      <w:r>
        <w:rPr>
          <w:rStyle w:val="a7"/>
          <w:rtl/>
        </w:rPr>
        <w:footnoteReference w:id="3498"/>
      </w:r>
      <w:r>
        <w:rPr>
          <w:rtl/>
        </w:rPr>
        <w:t>פִּקּוּדִין.</w:t>
      </w:r>
    </w:p>
    <w:p w:rsidR="003841DB" w:rsidRDefault="003841DB" w:rsidP="003841DB">
      <w:pPr>
        <w:pStyle w:val="a8"/>
        <w:spacing w:before="0" w:after="40"/>
        <w:rPr>
          <w:rtl/>
        </w:rPr>
      </w:pPr>
      <w:bookmarkStart w:id="221" w:name="_Toc228091304"/>
      <w:bookmarkStart w:id="222" w:name="_Toc231637943"/>
    </w:p>
    <w:p w:rsidR="003841DB" w:rsidRDefault="003841DB" w:rsidP="00602EF1">
      <w:pPr>
        <w:pStyle w:val="1"/>
        <w:rPr>
          <w:u w:val="single"/>
          <w:rtl/>
        </w:rPr>
      </w:pPr>
      <w:r>
        <w:rPr>
          <w:rtl/>
        </w:rPr>
        <w:t>תקונא עשרין וחמשא</w:t>
      </w:r>
      <w:bookmarkEnd w:id="221"/>
      <w:bookmarkEnd w:id="222"/>
    </w:p>
    <w:p w:rsidR="003841DB" w:rsidRDefault="003841DB" w:rsidP="00B17EA9">
      <w:pPr>
        <w:pStyle w:val="aa"/>
        <w:rPr>
          <w:rtl/>
        </w:rPr>
      </w:pPr>
      <w:r>
        <w:rPr>
          <w:rtl/>
        </w:rPr>
        <w:t xml:space="preserve">[תיקוני זוהר - דף סט ע''א] </w:t>
      </w:r>
    </w:p>
    <w:p w:rsidR="003841DB" w:rsidRDefault="003841DB" w:rsidP="00B17EA9">
      <w:pPr>
        <w:pStyle w:val="NormalWeb"/>
        <w:rPr>
          <w:rtl/>
        </w:rPr>
      </w:pPr>
      <w:r>
        <w:rPr>
          <w:rStyle w:val="a7"/>
          <w:rtl/>
        </w:rPr>
        <w:footnoteReference w:id="3499"/>
      </w:r>
      <w:r>
        <w:rPr>
          <w:rtl/>
        </w:rPr>
        <w:t xml:space="preserve">בְּרֵאשִׁית דָּא אוֹרַיְיתָא, הֲדָא הוּא דִכְתִיב </w:t>
      </w:r>
      <w:r>
        <w:rPr>
          <w:sz w:val="20"/>
          <w:szCs w:val="23"/>
          <w:rtl/>
        </w:rPr>
        <w:t>(משלי ח כב)</w:t>
      </w:r>
      <w:r>
        <w:rPr>
          <w:rtl/>
        </w:rPr>
        <w:t xml:space="preserve"> יהו''ה קָנָנִי רֵאשִׁית דַּרְכּוֹ קֶדֶם מִפְעָלָיו מֵאָז, מֵהַהוּא אֲתַר דְּאִתְּמַר בֵּיהּ </w:t>
      </w:r>
      <w:r>
        <w:rPr>
          <w:sz w:val="20"/>
          <w:szCs w:val="23"/>
          <w:rtl/>
        </w:rPr>
        <w:t>(תהלים צג ב)</w:t>
      </w:r>
      <w:r>
        <w:rPr>
          <w:rtl/>
        </w:rPr>
        <w:t xml:space="preserve"> נָכוֹן כִּסְאֲךָ מֵאָז, וְאוֹרַיְיתָא </w:t>
      </w:r>
      <w:r>
        <w:rPr>
          <w:rStyle w:val="a7"/>
          <w:rtl/>
        </w:rPr>
        <w:footnoteReference w:id="3500"/>
      </w:r>
      <w:r>
        <w:rPr>
          <w:rtl/>
        </w:rPr>
        <w:t xml:space="preserve">תְּרֵין פִּקּוּדִין אִית בָּהּ, חַד וְהָגִיתָ בּוֹ יוֹמָם וָלַיְלָה </w:t>
      </w:r>
      <w:r>
        <w:rPr>
          <w:sz w:val="20"/>
          <w:szCs w:val="23"/>
          <w:rtl/>
        </w:rPr>
        <w:t>(יהושע א ח)</w:t>
      </w:r>
      <w:r>
        <w:rPr>
          <w:rtl/>
        </w:rPr>
        <w:t xml:space="preserve">, תִּנְיָינָא לְמֶהֱוֵי לְמַלְכָּא סֵפֶר תּוֹרָה, דְאָזִיל עִמֵּיהּ בְּכָל אֲתַר, הֲדָא הוּא דִכְתִיב </w:t>
      </w:r>
      <w:r>
        <w:rPr>
          <w:sz w:val="20"/>
          <w:szCs w:val="23"/>
          <w:rtl/>
        </w:rPr>
        <w:t>(דברים יז יט)</w:t>
      </w:r>
      <w:r>
        <w:rPr>
          <w:rtl/>
        </w:rPr>
        <w:t xml:space="preserve"> וְהָיְתָה עִמּוֹ וְקָרָא בוֹ כָּל יְמֵי חַיָּיו, סֵפֶר תּוֹרָה אַמַּאי לַמֶּלֶךְ, בְּגִין דְּאִיהוּ לַאו אִיהוּ מַלְכָּא אֶלָּא מִסִּטְרָא דְמַלְכוּת, וְצָרִיךְ לְמֶהֱוִי לֵיהּ עִמֵּהּ בְּכָל אֲתַר סֵפֶר תּוֹרָה דְאִיהוּ עַמּוּדָא דְאֶמְצָעִיתָא, לְאִתְקַשְׁרָא בֵיהּ קוּדְשָׁא בְּרִיךְ הוּא עִם שְׁכִינְתֵּיהּ, וְסֵפֶר תּוֹרָה הִיא </w:t>
      </w:r>
      <w:r>
        <w:rPr>
          <w:rStyle w:val="a7"/>
          <w:rtl/>
        </w:rPr>
        <w:footnoteReference w:id="3501"/>
      </w:r>
      <w:r>
        <w:rPr>
          <w:rtl/>
        </w:rPr>
        <w:t xml:space="preserve">דַרְגָּא דְיַעֲקֹב, דְּאִתְּמַר בֵּיהּ </w:t>
      </w:r>
      <w:r>
        <w:rPr>
          <w:sz w:val="20"/>
          <w:szCs w:val="23"/>
          <w:rtl/>
        </w:rPr>
        <w:t>(בראשית כה כז)</w:t>
      </w:r>
      <w:r>
        <w:rPr>
          <w:rtl/>
        </w:rPr>
        <w:t xml:space="preserve"> וְיַעֲקֹב </w:t>
      </w:r>
      <w:r>
        <w:rPr>
          <w:rStyle w:val="a7"/>
          <w:rtl/>
        </w:rPr>
        <w:footnoteReference w:id="3502"/>
      </w:r>
      <w:r>
        <w:rPr>
          <w:rtl/>
        </w:rPr>
        <w:t xml:space="preserve">אִישׁ תָּם, וְסֵפֶר תּוֹרָה כַּךְ צָרִיךְ לְמֶהֱוִי תָּם בְּלָא פְּסוֹלֶת, וְאִם סֵפֶר תּוֹרָה אִיהוּ חָסֵר בַּאֲתַר דְּמָלֵא, </w:t>
      </w:r>
      <w:r>
        <w:rPr>
          <w:sz w:val="20"/>
          <w:szCs w:val="23"/>
          <w:rtl/>
        </w:rPr>
        <w:t xml:space="preserve">(דף סט ע''א) </w:t>
      </w:r>
      <w:r>
        <w:rPr>
          <w:rtl/>
        </w:rPr>
        <w:t>אוֹ מָלֵא בַּאֲתַר דְּחָסֵר, אוֹ אוֹת חַד חַסִּיר, אוֹ יַתִּיר, אוֹ חֲלִיף, סֵפֶר תּוֹרָה פָּסוּל, לַאו אִיהוּ כְּדִיּוֹקְנָא דְסֵפֶר תּוֹרָה דִלְעִילָא.</w:t>
      </w:r>
    </w:p>
    <w:p w:rsidR="003841DB" w:rsidRDefault="003841DB" w:rsidP="002E20BC">
      <w:pPr>
        <w:pStyle w:val="NormalWeb"/>
        <w:rPr>
          <w:b w:val="0"/>
          <w:bCs w:val="0"/>
          <w:rtl/>
        </w:rPr>
      </w:pPr>
      <w:r>
        <w:rPr>
          <w:rtl/>
        </w:rPr>
        <w:t xml:space="preserve">כְּגַוְונָא דָא אִינוּן חָמֵשׁ כַּנְפֵי רֵיאָה, כְּגַוְונָא דַחֲמִשָּׁה חוּמְשֵׁי תוֹרָה, וּוַרְדָּא </w:t>
      </w:r>
      <w:r>
        <w:rPr>
          <w:rStyle w:val="a7"/>
          <w:rtl/>
        </w:rPr>
        <w:footnoteReference w:id="3503"/>
      </w:r>
      <w:r>
        <w:rPr>
          <w:rtl/>
        </w:rPr>
        <w:t xml:space="preserve">כְּגַוְונָא דְזֶה סֵפֶר </w:t>
      </w:r>
      <w:r>
        <w:rPr>
          <w:szCs w:val="23"/>
          <w:rtl/>
        </w:rPr>
        <w:t>(בראשית ה א)</w:t>
      </w:r>
      <w:r>
        <w:rPr>
          <w:rtl/>
        </w:rPr>
        <w:t xml:space="preserve"> דְּאִיהוּ </w:t>
      </w:r>
      <w:r>
        <w:rPr>
          <w:rStyle w:val="a7"/>
          <w:rtl/>
        </w:rPr>
        <w:footnoteReference w:id="3504"/>
      </w:r>
      <w:r>
        <w:rPr>
          <w:rtl/>
        </w:rPr>
        <w:t xml:space="preserve">סֵפֶר יְשָׁרִים, אִי אוּנֵי חַסִּיר אוֹ יַתִּיר אוֹ חֲלִיף, אִיהוּ אִמְרָא פָּסוּל, וּמָאן דְּעָבַר עֲלַיְיהוּ כְּאִלּוּ עָבַר עַל אוֹרַיְיתָא וַחֲמִשָּׁה חוּמְשֵׁי דִילָהּ, דַּחֲמִשָּׁה כַנְפֵי רֵיאָה וּוַרְדָּא אִינוּן שִׁית, דָּא ו', כָּל מָאן דְּעָבַר </w:t>
      </w:r>
      <w:r>
        <w:rPr>
          <w:szCs w:val="23"/>
          <w:rtl/>
        </w:rPr>
        <w:t>(על דא, כאלו עבר על דא)</w:t>
      </w:r>
      <w:r>
        <w:rPr>
          <w:rtl/>
        </w:rPr>
        <w:t xml:space="preserve"> חֲמִשָּׁה דְבָרִים הַמַּפְסִידִין אֶת הַשְּׁחִיטָה, </w:t>
      </w:r>
      <w:r>
        <w:rPr>
          <w:rStyle w:val="a7"/>
          <w:rtl/>
        </w:rPr>
        <w:footnoteReference w:id="3505"/>
      </w:r>
      <w:r>
        <w:rPr>
          <w:szCs w:val="23"/>
          <w:rtl/>
        </w:rPr>
        <w:t>(כל מאן דאעבר עלייהו)</w:t>
      </w:r>
      <w:r>
        <w:rPr>
          <w:rtl/>
        </w:rPr>
        <w:t xml:space="preserve"> כְּאִלּוּ אַעֲבַר בְּה' מִן יהו''ה, כַּנְפֵי רֵיאָה צָרִיךְ דְּלָא יְהֵא בְּהוֹן סִרְכוֹת, </w:t>
      </w:r>
      <w:r>
        <w:rPr>
          <w:rStyle w:val="a7"/>
          <w:rtl/>
        </w:rPr>
        <w:footnoteReference w:id="3506"/>
      </w:r>
      <w:r>
        <w:rPr>
          <w:rtl/>
        </w:rPr>
        <w:t xml:space="preserve">תַּמְנֵי סְרֵי סִרְכוֹת אִינוּן, מָאן דְּאַעֲבַר עֲלַיְיהוּ כְּאִלּוּ אַעֲבַר בְּרִית דְּאִיהוּ חַ''י עָלְמִין, וְסִירְכָא אִיהוּ סַם הַמָּוְת, סַם דְּאֵל אַחֵר, דְּאִיהוּ סמא''ל, עֲלָהּ אִתְּמַר </w:t>
      </w:r>
      <w:r>
        <w:rPr>
          <w:szCs w:val="23"/>
          <w:rtl/>
        </w:rPr>
        <w:t>(משלי ה ה)</w:t>
      </w:r>
      <w:r>
        <w:rPr>
          <w:rtl/>
        </w:rPr>
        <w:t xml:space="preserve"> </w:t>
      </w:r>
      <w:r>
        <w:rPr>
          <w:rStyle w:val="a7"/>
          <w:rtl/>
        </w:rPr>
        <w:footnoteReference w:id="3507"/>
      </w:r>
      <w:r>
        <w:rPr>
          <w:rtl/>
        </w:rPr>
        <w:t xml:space="preserve">רַגְלֶיהָ יוֹרְדוֹת מָוְת, בְּכָל אֲתַר דְּאִסְתַּרִיךְ קְטִילַת, וְכַנְפֵי רֵיאָה אִינוּן כַּנְפֵי חֵיוָון, וּצְרִיכִין לְמֶהֱוֵי פְּרוּדוֹת מִלְמָעְלָה, הֲדָא הוּא דִכְתִיב </w:t>
      </w:r>
      <w:r>
        <w:rPr>
          <w:szCs w:val="23"/>
          <w:rtl/>
        </w:rPr>
        <w:t>(יחזקאל א יא)</w:t>
      </w:r>
      <w:r>
        <w:rPr>
          <w:rtl/>
        </w:rPr>
        <w:t xml:space="preserve"> וּפְנֵיהֶם וְכַנְפֵיהֶם פְּרוּדוֹת מִלְמָעְלָה, </w:t>
      </w:r>
      <w:r>
        <w:rPr>
          <w:rStyle w:val="a7"/>
          <w:rtl/>
        </w:rPr>
        <w:footnoteReference w:id="3508"/>
      </w:r>
      <w:r>
        <w:rPr>
          <w:rtl/>
        </w:rPr>
        <w:t xml:space="preserve">אִם אִינוּן בְּחִבּוּר טְרֵיפָה, וּתְרֵי אוּמוֹת אִינוּן בְּרֵיאָה, וּבְהוֹן שִׁית גַּדְפִין, חָמֵשׁ אוּנוֹת וּוַרְדָּא, וַעֲלַיְיהוּ נֶאֱמַר </w:t>
      </w:r>
      <w:r>
        <w:rPr>
          <w:szCs w:val="23"/>
          <w:rtl/>
        </w:rPr>
        <w:t>(ישעיהו ו ב)</w:t>
      </w:r>
      <w:r>
        <w:rPr>
          <w:rtl/>
        </w:rPr>
        <w:t xml:space="preserve"> </w:t>
      </w:r>
      <w:r>
        <w:rPr>
          <w:rStyle w:val="a7"/>
          <w:rtl/>
        </w:rPr>
        <w:footnoteReference w:id="3509"/>
      </w:r>
      <w:r>
        <w:rPr>
          <w:rtl/>
        </w:rPr>
        <w:t xml:space="preserve">שְׂרָפִים עוֹמְדִים מִמַּעַל לוֹ שֵׁשׁ כְּנָפַיִם שֵׁשׁ כְּנָפַיִם לְאֶחָד, </w:t>
      </w:r>
      <w:r>
        <w:rPr>
          <w:rStyle w:val="a7"/>
          <w:rtl/>
        </w:rPr>
        <w:footnoteReference w:id="3510"/>
      </w:r>
      <w:r>
        <w:rPr>
          <w:rtl/>
        </w:rPr>
        <w:t>שִׁיתָּא אִינוּן מִסִּטְרָא דְאָת ו', דְּאִיהוּ סֵפֶר תּוֹרָה.</w:t>
      </w:r>
    </w:p>
    <w:p w:rsidR="003841DB" w:rsidRDefault="003841DB" w:rsidP="00F261A4">
      <w:pPr>
        <w:pStyle w:val="NormalWeb"/>
        <w:rPr>
          <w:rtl/>
        </w:rPr>
      </w:pPr>
      <w:r>
        <w:rPr>
          <w:rtl/>
        </w:rPr>
        <w:t xml:space="preserve">אֲרוֹנָא דְסֵפֶר תּוֹרָה </w:t>
      </w:r>
      <w:r>
        <w:rPr>
          <w:rStyle w:val="a7"/>
          <w:rtl/>
        </w:rPr>
        <w:footnoteReference w:id="3511"/>
      </w:r>
      <w:r>
        <w:rPr>
          <w:rtl/>
        </w:rPr>
        <w:t xml:space="preserve">דָא לִבָּא, </w:t>
      </w:r>
      <w:r>
        <w:rPr>
          <w:rStyle w:val="a7"/>
          <w:rtl/>
        </w:rPr>
        <w:footnoteReference w:id="3512"/>
      </w:r>
      <w:r>
        <w:rPr>
          <w:rtl/>
        </w:rPr>
        <w:t xml:space="preserve">וְאִיהוּ נוּר דָּלֵיק, וְאִי לָא כַּנְפֵי רֵיאָה דְאִינוּן נָשְׁבִין עֲלֵיהּ, הֲוָה לִבָּא אוֹקִיד כָּל גּוּפָא, וְהַהוּא נוּרָא דְאִיהוּ בְּעַרְקִין דִּדְמָא, </w:t>
      </w:r>
      <w:r>
        <w:rPr>
          <w:rStyle w:val="a7"/>
          <w:rtl/>
        </w:rPr>
        <w:footnoteReference w:id="3513"/>
      </w:r>
      <w:r>
        <w:rPr>
          <w:rtl/>
        </w:rPr>
        <w:t xml:space="preserve">רוּחָא נָשִׁיב אַבַּתְרֵיהּ בְּעַרְקִין דְּלִבָּא, וְכֻלְּהוּ מִתְנַהֲגִין אַבַּתְרֵיהּ, וְדָא הוּא דִכְתִיב </w:t>
      </w:r>
      <w:r>
        <w:rPr>
          <w:sz w:val="20"/>
          <w:szCs w:val="23"/>
          <w:rtl/>
        </w:rPr>
        <w:t>(יחזקאל א יב)</w:t>
      </w:r>
      <w:r>
        <w:rPr>
          <w:szCs w:val="23"/>
          <w:rtl/>
        </w:rPr>
        <w:t xml:space="preserve"> </w:t>
      </w:r>
      <w:r>
        <w:rPr>
          <w:rStyle w:val="a7"/>
          <w:szCs w:val="23"/>
          <w:rtl/>
        </w:rPr>
        <w:footnoteReference w:id="3514"/>
      </w:r>
      <w:r w:rsidRPr="00F261A4">
        <w:rPr>
          <w:rtl/>
        </w:rPr>
        <w:t>אֶל אֲשֶׁר יִהְיֶה שָׁמָּה הָרוּחַ</w:t>
      </w:r>
      <w:r>
        <w:rPr>
          <w:szCs w:val="23"/>
          <w:rtl/>
        </w:rPr>
        <w:t xml:space="preserve"> </w:t>
      </w:r>
      <w:r>
        <w:rPr>
          <w:rtl/>
        </w:rPr>
        <w:t xml:space="preserve">לָלֶכֶת יֵלֵכוּ וְגוֹמֵר, </w:t>
      </w:r>
      <w:r>
        <w:rPr>
          <w:rStyle w:val="a7"/>
          <w:rtl/>
        </w:rPr>
        <w:footnoteReference w:id="3515"/>
      </w:r>
      <w:r>
        <w:rPr>
          <w:rtl/>
        </w:rPr>
        <w:t xml:space="preserve">וְלִבָּא כַּד סָלִיק מִנֵּיהּ </w:t>
      </w:r>
      <w:r>
        <w:rPr>
          <w:rStyle w:val="a7"/>
          <w:rtl/>
        </w:rPr>
        <w:footnoteReference w:id="3516"/>
      </w:r>
      <w:r>
        <w:rPr>
          <w:rtl/>
        </w:rPr>
        <w:t xml:space="preserve">רוּחָא דְּאִיהוּ ו' </w:t>
      </w:r>
      <w:r w:rsidR="00F261A4" w:rsidRPr="00510565">
        <w:rPr>
          <w:rtl/>
        </w:rPr>
        <w:t xml:space="preserve">וְאִתְפָּרַשׁ </w:t>
      </w:r>
      <w:r>
        <w:rPr>
          <w:rtl/>
        </w:rPr>
        <w:t xml:space="preserve">מִן נַפְשָׁא דְּאִיהִי ד' עַל דְּמָא, נוּר דָּלֵיק, אִתְּמַר בְּנַפְשָׁא </w:t>
      </w:r>
      <w:r>
        <w:rPr>
          <w:sz w:val="20"/>
          <w:szCs w:val="23"/>
          <w:rtl/>
        </w:rPr>
        <w:t>(שיר ה ב)</w:t>
      </w:r>
      <w:r>
        <w:rPr>
          <w:rtl/>
        </w:rPr>
        <w:t xml:space="preserve">, אֲנִי יְשֵׁינָה, וְכַד יֵיתֵי רוּחָא לְגַבֵּיהּ אִתְּמַר וְלִבִּי עִר, וְדָא אִיהוּ </w:t>
      </w:r>
      <w:r>
        <w:rPr>
          <w:sz w:val="20"/>
          <w:szCs w:val="23"/>
          <w:rtl/>
        </w:rPr>
        <w:t>(ישעיהו כו ט)</w:t>
      </w:r>
      <w:r>
        <w:rPr>
          <w:rtl/>
        </w:rPr>
        <w:t xml:space="preserve"> נַפְשִׁי אִוִּיתִיךָ בַּלַּיְלָה, אַף רוּחִי בְקִרְבִּי אֲשַׁחֲרֶךָּ, וְכַד יֵיתֵי רוּחָא לְגַבֵּי לִבָּא דְתַמָּן נַפְשָׁא, אִתְּמַר בֵּיהּ </w:t>
      </w:r>
      <w:r>
        <w:rPr>
          <w:sz w:val="20"/>
          <w:szCs w:val="23"/>
          <w:rtl/>
        </w:rPr>
        <w:t>(שיר ה ב)</w:t>
      </w:r>
      <w:r>
        <w:rPr>
          <w:rtl/>
        </w:rPr>
        <w:t xml:space="preserve"> קוֹל דּוֹדִי דוֹפֵק, דָּפִיק לְתַרְעָא דְלִבָּא שִׁית דְּפִיקִין, לְאִשְׁתְּמוֹדָע דְּאִיהוּ ו' דְּיֵיתֵי לְגַבֵּי ד' דְּאִיהִי נֶפֶשׁ, </w:t>
      </w:r>
      <w:r>
        <w:rPr>
          <w:rStyle w:val="a7"/>
          <w:rtl/>
        </w:rPr>
        <w:footnoteReference w:id="3517"/>
      </w:r>
      <w:r>
        <w:rPr>
          <w:rtl/>
        </w:rPr>
        <w:t xml:space="preserve">וּבָהּ אִינוּן עֲשָׂרָה, </w:t>
      </w:r>
      <w:r>
        <w:rPr>
          <w:rStyle w:val="a7"/>
          <w:rtl/>
        </w:rPr>
        <w:footnoteReference w:id="3518"/>
      </w:r>
      <w:r>
        <w:rPr>
          <w:rtl/>
        </w:rPr>
        <w:t xml:space="preserve">וְכֻלְּהוּ בְּפִיּוּסָא, </w:t>
      </w:r>
      <w:r>
        <w:rPr>
          <w:rStyle w:val="a7"/>
          <w:rtl/>
        </w:rPr>
        <w:footnoteReference w:id="3519"/>
      </w:r>
      <w:r>
        <w:rPr>
          <w:rtl/>
        </w:rPr>
        <w:t xml:space="preserve">הֲדָא הוּא דִכְתִיב </w:t>
      </w:r>
      <w:r>
        <w:rPr>
          <w:sz w:val="20"/>
          <w:szCs w:val="23"/>
          <w:rtl/>
        </w:rPr>
        <w:t>(שם ה ב)</w:t>
      </w:r>
      <w:r>
        <w:rPr>
          <w:rtl/>
        </w:rPr>
        <w:t xml:space="preserve"> פִּתְחִי לִי אֲחוֹתִי רַעְיָתִי יוֹנָתִי תַמָּתִי שֶׁרֹאשִׁי נִמְלָא טָל.</w:t>
      </w:r>
    </w:p>
    <w:p w:rsidR="003841DB" w:rsidRDefault="003841DB" w:rsidP="00B17EA9">
      <w:pPr>
        <w:pStyle w:val="NormalWeb"/>
        <w:rPr>
          <w:rtl/>
        </w:rPr>
      </w:pPr>
      <w:r>
        <w:rPr>
          <w:rtl/>
        </w:rPr>
        <w:t xml:space="preserve">וּבְתִקּוּנָא תַּמְנֵי סְרֵי, </w:t>
      </w:r>
      <w:r>
        <w:rPr>
          <w:sz w:val="20"/>
          <w:szCs w:val="23"/>
          <w:rtl/>
        </w:rPr>
        <w:t>(נ''א ובתקונא דא שית אתוון)</w:t>
      </w:r>
      <w:r>
        <w:rPr>
          <w:rtl/>
        </w:rPr>
        <w:t xml:space="preserve">, דְּאִיהוּ בָּרָ''א שִׁי''ת, אִינוּן רְמִיזִין כְּגַוְונָא דָא, פִּתְחִי לִי </w:t>
      </w:r>
      <w:r>
        <w:rPr>
          <w:rStyle w:val="a7"/>
          <w:rtl/>
        </w:rPr>
        <w:footnoteReference w:id="3520"/>
      </w:r>
      <w:r>
        <w:rPr>
          <w:rtl/>
        </w:rPr>
        <w:t xml:space="preserve">בְּאָת ב' דְּאִיהִי תַּרְעָא, אֲחוֹתִי בְּאָת א', רַעְיָתִי בְּאָת ר', יוֹנָתִי בְּאָת י', תַמָּתִי בְּאָת ת', שֶׁרֹאשִׁי בְּאָת ש' נִמְלָא טָל, </w:t>
      </w:r>
      <w:r>
        <w:rPr>
          <w:rStyle w:val="a7"/>
          <w:rtl/>
        </w:rPr>
        <w:footnoteReference w:id="3521"/>
      </w:r>
      <w:r>
        <w:rPr>
          <w:rtl/>
        </w:rPr>
        <w:t xml:space="preserve">יוּ''ד נְקוּדָה דְאָת ב', </w:t>
      </w:r>
      <w:r>
        <w:rPr>
          <w:rStyle w:val="a7"/>
          <w:rtl/>
        </w:rPr>
        <w:footnoteReference w:id="3522"/>
      </w:r>
      <w:r>
        <w:rPr>
          <w:rtl/>
        </w:rPr>
        <w:t xml:space="preserve">קֶּוֵצּוֹתָי אִלֵּין שִׁית סִטְרִין, וְאִינוּן דְּפִיקִין בְּמוֹלִיךְ וּמֵבִיא לְמָאן דְּאַרְבַּע סִטְרִין דִּילֵיהּ, וּמַעֲלֶה וּמוֹרִיד לְמָאן דִּשְׁמַיָּא וְאַרְעָא דִילֵיהּ, וְשִׁית סִטְרִין אִינוּן שִׁית סְפִירָן, וּדְפִיקוּ סָלִיק וְנָחִית בְּהוּ, </w:t>
      </w:r>
      <w:r>
        <w:rPr>
          <w:rStyle w:val="a7"/>
          <w:rtl/>
        </w:rPr>
        <w:footnoteReference w:id="3523"/>
      </w:r>
      <w:r>
        <w:rPr>
          <w:rtl/>
        </w:rPr>
        <w:t xml:space="preserve">בַּאֲרִיכוּ דְחֶסֶד כְּגַוְונָא דָא תְּקִיעוֹת, בִּתְּבִירוּ דִגְבוּרָה דְאִינוּן שְׁבָרִים, בִּמְהִירוּ דְעַמּוּדָא דְאֶמְצָעִיתָא דְאִיהוּ תְּרוּעָה, </w:t>
      </w:r>
      <w:r>
        <w:rPr>
          <w:rStyle w:val="a7"/>
          <w:rtl/>
        </w:rPr>
        <w:footnoteReference w:id="3524"/>
      </w:r>
      <w:r>
        <w:rPr>
          <w:rtl/>
        </w:rPr>
        <w:t>בְּחֶסֶד גְּבוּרָה תִּפְאֶרֶת סָלְקִין, בְּנֶצַח וְהוֹד יְסוֹד נָחֲתִין.</w:t>
      </w:r>
    </w:p>
    <w:p w:rsidR="003841DB" w:rsidRDefault="003841DB" w:rsidP="00B17EA9">
      <w:pPr>
        <w:pStyle w:val="NormalWeb"/>
        <w:rPr>
          <w:rtl/>
        </w:rPr>
      </w:pPr>
      <w:r>
        <w:rPr>
          <w:rtl/>
        </w:rPr>
        <w:t xml:space="preserve">וְכֻלְּהוּ דָפְקִין לְגַבֵּי שְׁכִינְתָּא דְאִיהִי סֻלָּם, דְּבֵיהּ שִׁית דַּרְגִּין, וְדָא לִבָּא, וּבֵיהּ מַלְאֲכֵי אלהי''ם סָלְקִין וְנָחֲתִין, דְּאִינוּן דְּפִיקִין דְּרוּחָא, </w:t>
      </w:r>
      <w:r>
        <w:rPr>
          <w:rStyle w:val="a7"/>
          <w:rtl/>
        </w:rPr>
        <w:footnoteReference w:id="3525"/>
      </w:r>
      <w:r>
        <w:rPr>
          <w:rtl/>
        </w:rPr>
        <w:t xml:space="preserve">וְאִינוּן שִׁית סָלְקִין לְעֶשֶׂר, </w:t>
      </w:r>
      <w:r>
        <w:rPr>
          <w:rStyle w:val="a7"/>
          <w:rtl/>
        </w:rPr>
        <w:footnoteReference w:id="3526"/>
      </w:r>
      <w:r>
        <w:rPr>
          <w:rtl/>
        </w:rPr>
        <w:t xml:space="preserve">וְדָא י', וְאִינוּן קַשְׁרַ''ק קְשַׁ''ק קְרַ''ק, </w:t>
      </w:r>
      <w:r>
        <w:rPr>
          <w:rStyle w:val="a7"/>
          <w:rtl/>
        </w:rPr>
        <w:footnoteReference w:id="3527"/>
      </w:r>
      <w:r>
        <w:rPr>
          <w:rtl/>
        </w:rPr>
        <w:t xml:space="preserve">עַד דְּאִתְכְּלִילוּ </w:t>
      </w:r>
      <w:r>
        <w:rPr>
          <w:rStyle w:val="a7"/>
          <w:rtl/>
        </w:rPr>
        <w:footnoteReference w:id="3528"/>
      </w:r>
      <w:r>
        <w:rPr>
          <w:rtl/>
        </w:rPr>
        <w:t xml:space="preserve">בַּעֲשָׂרָה זִכְרוֹנוֹת וּבְעֶשֶׂר מַלְכִיּוֹת וּבְעֶשֶׂר שׁוֹפָרוֹת, תְּלָתִין סָלְקִין מִתַּתָּא לְעִילָא, וּתְלָתִין נָחְתִין מֵעִילָא לְתַתָּא, וְסָלְקִין כֻּלְּהוּ לְשִׁתִּין, </w:t>
      </w:r>
      <w:r>
        <w:rPr>
          <w:rStyle w:val="a7"/>
          <w:rtl/>
        </w:rPr>
        <w:footnoteReference w:id="3529"/>
      </w:r>
      <w:r>
        <w:rPr>
          <w:rtl/>
        </w:rPr>
        <w:t xml:space="preserve">שִׁית זִמְנִין עֶשֶׂר, </w:t>
      </w:r>
      <w:r>
        <w:rPr>
          <w:rStyle w:val="a7"/>
          <w:rtl/>
        </w:rPr>
        <w:footnoteReference w:id="3530"/>
      </w:r>
      <w:r>
        <w:rPr>
          <w:rtl/>
        </w:rPr>
        <w:t>כַּד סָלִיק דְּפִיקוּ בִתְּקִיפוּ דִגְבוּרָה בִּגְבִירוּ אִיהוּ דִינָא תַּקִּיפָא, כַּד סָלִיק דְּפִיקוּ וְאִתְאָרַךְ, מַרְעָא אִתְאָרַךְ דְּהָא מַטֶּה כְּלַפֵּי חֶסֶד.</w:t>
      </w:r>
    </w:p>
    <w:p w:rsidR="003841DB" w:rsidRDefault="003841DB" w:rsidP="00B17EA9">
      <w:pPr>
        <w:pStyle w:val="aa"/>
        <w:rPr>
          <w:rtl/>
        </w:rPr>
      </w:pPr>
      <w:r>
        <w:rPr>
          <w:rtl/>
        </w:rPr>
        <w:t xml:space="preserve">[תיקוני זוהר - דף סט ע''ב] </w:t>
      </w:r>
    </w:p>
    <w:p w:rsidR="003841DB" w:rsidRDefault="003841DB" w:rsidP="00B17EA9">
      <w:pPr>
        <w:pStyle w:val="NormalWeb"/>
        <w:rPr>
          <w:rtl/>
        </w:rPr>
      </w:pPr>
      <w:r>
        <w:rPr>
          <w:rStyle w:val="a7"/>
          <w:rtl/>
        </w:rPr>
        <w:footnoteReference w:id="3531"/>
      </w:r>
      <w:r>
        <w:rPr>
          <w:rtl/>
        </w:rPr>
        <w:t xml:space="preserve">קָם סָבָא מֵאִינוּן מָארֵי מְתִיבְתָּא, וְאָמַר בּוֹצִינָא קַדִּישָׁא, הָא סִמָּנִין אִלֵּין אִינוּן דְּמַרְעָא </w:t>
      </w:r>
      <w:r>
        <w:rPr>
          <w:sz w:val="20"/>
          <w:szCs w:val="23"/>
          <w:rtl/>
        </w:rPr>
        <w:t xml:space="preserve">(דף סט ע''ב) </w:t>
      </w:r>
      <w:r>
        <w:rPr>
          <w:rtl/>
        </w:rPr>
        <w:t xml:space="preserve">בְגָלוּתָא, כַּד דְּפִיקוּ אִתְקַצַּר וְגָלוּתָא אִתְקַצַּר, הָא מַטֶּה כְּלַפֵּי גְבוּרָה בֵּי דִינָא רַבְרְבָא, וּמוֹתָנָא קָא אַחֲזֵי לְמָשִׁיחַ וּשְׁבָטִין, וּבְגִין דָּא אוֹמִיאַת הַהִיא חוֹלָה בְּגָלוּתָא לְיִשְׂרָאֵל </w:t>
      </w:r>
      <w:r>
        <w:rPr>
          <w:sz w:val="20"/>
          <w:szCs w:val="23"/>
          <w:rtl/>
        </w:rPr>
        <w:t>(שם ב ז)</w:t>
      </w:r>
      <w:r>
        <w:rPr>
          <w:rtl/>
        </w:rPr>
        <w:t>, אִם תָּעִירוּ וְאִם תְּעוֹרְרוּ, דְּלָא יְהֵא בִמְהִירוּ, אֶלָּא עַד שֶׁתֶּחְפָּץ.</w:t>
      </w:r>
    </w:p>
    <w:p w:rsidR="003841DB" w:rsidRDefault="003841DB" w:rsidP="00B17EA9">
      <w:pPr>
        <w:pStyle w:val="NormalWeb"/>
        <w:rPr>
          <w:rtl/>
        </w:rPr>
      </w:pPr>
      <w:r>
        <w:rPr>
          <w:rtl/>
        </w:rPr>
        <w:t xml:space="preserve">וְאִם דְּפִיקוּ אִתְאָרַךְ, הָא מַטֶּה כְּלַפֵּי חֶסֶד, </w:t>
      </w:r>
      <w:r>
        <w:rPr>
          <w:rStyle w:val="a7"/>
          <w:rtl/>
        </w:rPr>
        <w:footnoteReference w:id="3532"/>
      </w:r>
      <w:r>
        <w:rPr>
          <w:rtl/>
        </w:rPr>
        <w:t xml:space="preserve">וְעַל דָּא מַרְעָה בְגָלוּתָא אִתְאָרַךְ, וְאִי דְפִיקוּ אִיהוּ לָא אֲרִיךְ וְלָא קְצִר, הָא אִתְעַר רַחֲמֵי לְגַבֵּי חוֹלֶה בְגָלוּתָא דְאִיהִי לִבָּא, וּלְגַבֵּי עַרְקִין דִּילָהּ דְּאִינוּן בְּנָהָא יִשְׂרָאֵל, וְדָא אִיהוּ עַמּוּדָא דְאֶמְצָעִיתָא, עֲלֵיהּ אִתְּמַר </w:t>
      </w:r>
      <w:r>
        <w:rPr>
          <w:sz w:val="20"/>
          <w:szCs w:val="23"/>
          <w:rtl/>
        </w:rPr>
        <w:t>(ישעיהו נד ז)</w:t>
      </w:r>
      <w:r>
        <w:rPr>
          <w:rtl/>
        </w:rPr>
        <w:t xml:space="preserve"> וּבְרַחֲמִים גְּדוֹלִים אֲקַבְּצֵךְ.</w:t>
      </w:r>
    </w:p>
    <w:p w:rsidR="003841DB" w:rsidRDefault="003841DB" w:rsidP="00B17EA9">
      <w:pPr>
        <w:pStyle w:val="NormalWeb"/>
        <w:rPr>
          <w:rtl/>
        </w:rPr>
      </w:pPr>
      <w:r>
        <w:rPr>
          <w:rStyle w:val="a7"/>
          <w:rtl/>
        </w:rPr>
        <w:footnoteReference w:id="3533"/>
      </w:r>
      <w:r>
        <w:rPr>
          <w:rtl/>
        </w:rPr>
        <w:t xml:space="preserve">וְעוֹד כַּד דְּפִיקוּ אִיהוּ בִּתְרוּעָה בִּמְהִירוּ, דוֹחֲקָא בָּתַר דּוֹחֲקָא, יֵיתֵי פּוּרְקָנָא, </w:t>
      </w:r>
      <w:r>
        <w:rPr>
          <w:rStyle w:val="a7"/>
          <w:rtl/>
        </w:rPr>
        <w:footnoteReference w:id="3534"/>
      </w:r>
      <w:r>
        <w:rPr>
          <w:rtl/>
        </w:rPr>
        <w:t xml:space="preserve">וְעוֹד הַהִיא חוֹלָה דְאִיהוּ לִבָּא, כַּד רוּחָא לָא נָשִׁיב לְגַבָּהּ, דְּאִתְּמַר בֵּיהּ </w:t>
      </w:r>
      <w:r w:rsidR="007E03EF">
        <w:rPr>
          <w:rFonts w:hint="cs"/>
          <w:sz w:val="20"/>
          <w:szCs w:val="23"/>
          <w:rtl/>
        </w:rPr>
        <w:t>9</w:t>
      </w:r>
      <w:r>
        <w:rPr>
          <w:sz w:val="20"/>
          <w:szCs w:val="23"/>
          <w:rtl/>
        </w:rPr>
        <w:t>(בראשית א ב)</w:t>
      </w:r>
      <w:r>
        <w:rPr>
          <w:rtl/>
        </w:rPr>
        <w:t xml:space="preserve"> וְרוּחַ אלהי''ם מְרַחֶפֶת עַל פְּנֵי הַמָּיִם, אִיהִי לָא דְפִיקַת בְּעַרְקִין דִּילָהּ, וְכֻלְּהוּ חֲשִׁיבִין בְּגָלוּתָא כַּמֵּתִים, וְאִתְּמַר בְּהוּ </w:t>
      </w:r>
      <w:r>
        <w:rPr>
          <w:sz w:val="20"/>
          <w:szCs w:val="23"/>
          <w:rtl/>
        </w:rPr>
        <w:t>(איכה ג ו)</w:t>
      </w:r>
      <w:r>
        <w:rPr>
          <w:rtl/>
        </w:rPr>
        <w:t xml:space="preserve"> בְּמַחֲשַׁכִּים הוֹשִׁיבַנִי כְּמֵתֵי עוֹלָם, וּבְגִין דָּא בְגָלוּתָא אֲנִי יְשֵׁנָה, וְאִיהִי חוֹלָה בְגָלוּתָא, וְכַמָּה אַסְיָין תַּלְמִידֵי חֲכָמִים קָא מִשְׁתַּדְלָן לְגַבָּהּ, בְּכַמָּה בוּסְמִין וְרֵיחִין דְּשׁוֹשַׁנִּים תַּפּוּחִים וְאֱגוֹזִים וְרִמּוֹנִים, </w:t>
      </w:r>
      <w:r>
        <w:rPr>
          <w:rStyle w:val="a7"/>
          <w:rtl/>
        </w:rPr>
        <w:footnoteReference w:id="3535"/>
      </w:r>
      <w:r>
        <w:rPr>
          <w:rtl/>
        </w:rPr>
        <w:t xml:space="preserve">וְלָא אִתְחַזְרַת רוּחָא לְגַבָּהּ בְּהוֹן בְּגָלוּתָא בְּמַרְעָא דִילָהּ, וְלָא דְפִיקוּ אִתְחַזְרַת לְגַבָּהּ, עַד דְּיֵיתֵי רַעְיָא מְהֵימְנָא רְחִימוּ דִילָהּ, דְּאִתְּמַר בֵּיהּ </w:t>
      </w:r>
      <w:r>
        <w:rPr>
          <w:sz w:val="20"/>
          <w:szCs w:val="23"/>
          <w:rtl/>
        </w:rPr>
        <w:t>(שיר ב טז)</w:t>
      </w:r>
      <w:r>
        <w:rPr>
          <w:rtl/>
        </w:rPr>
        <w:t xml:space="preserve"> הָרוֹעֶה </w:t>
      </w:r>
      <w:r>
        <w:rPr>
          <w:rStyle w:val="a7"/>
          <w:rtl/>
        </w:rPr>
        <w:footnoteReference w:id="3536"/>
      </w:r>
      <w:r>
        <w:rPr>
          <w:rtl/>
        </w:rPr>
        <w:t xml:space="preserve">בַּשּׁוֹשַׁנִּים, </w:t>
      </w:r>
      <w:r>
        <w:rPr>
          <w:rStyle w:val="a7"/>
          <w:rtl/>
        </w:rPr>
        <w:footnoteReference w:id="3537"/>
      </w:r>
      <w:r>
        <w:rPr>
          <w:rtl/>
        </w:rPr>
        <w:t xml:space="preserve">וְאַיְיתֵי לָהּ תַּפּוּחַ, </w:t>
      </w:r>
      <w:r>
        <w:rPr>
          <w:rStyle w:val="a7"/>
          <w:rtl/>
        </w:rPr>
        <w:footnoteReference w:id="3538"/>
      </w:r>
      <w:r>
        <w:rPr>
          <w:rtl/>
        </w:rPr>
        <w:t xml:space="preserve">וְשַׁוִּי לְחוֹטָמָא, </w:t>
      </w:r>
      <w:r>
        <w:rPr>
          <w:rStyle w:val="a7"/>
          <w:rtl/>
        </w:rPr>
        <w:footnoteReference w:id="3539"/>
      </w:r>
      <w:r>
        <w:rPr>
          <w:rtl/>
        </w:rPr>
        <w:t xml:space="preserve">וְאַרְחָא בֵיהּ, וְאִשְׁתְּמוֹדְעַת לְגַבֵּיהּ, הֲדָא הוּא דִכְתִיב </w:t>
      </w:r>
      <w:r>
        <w:rPr>
          <w:sz w:val="20"/>
          <w:szCs w:val="23"/>
          <w:rtl/>
        </w:rPr>
        <w:t>(איכה א טז)</w:t>
      </w:r>
      <w:r>
        <w:rPr>
          <w:rtl/>
        </w:rPr>
        <w:t xml:space="preserve"> מְנַחֵם מֵשִׁיב נַפְשִׁי, מִיָּד חָזְרַת רוּחָא וּדְפִיקוּ לְגַבָּהּ.</w:t>
      </w:r>
    </w:p>
    <w:p w:rsidR="003841DB" w:rsidRDefault="003841DB" w:rsidP="00B17EA9">
      <w:pPr>
        <w:pStyle w:val="NormalWeb"/>
        <w:rPr>
          <w:rtl/>
        </w:rPr>
      </w:pPr>
      <w:r>
        <w:rPr>
          <w:rtl/>
        </w:rPr>
        <w:t xml:space="preserve">בְּהַהוּא זִמְנָא שַׁבַחַת לֵיהּ </w:t>
      </w:r>
      <w:r>
        <w:rPr>
          <w:sz w:val="20"/>
          <w:szCs w:val="23"/>
          <w:rtl/>
        </w:rPr>
        <w:t>(שיר ב ג)</w:t>
      </w:r>
      <w:r>
        <w:rPr>
          <w:rtl/>
        </w:rPr>
        <w:t xml:space="preserve"> כְּתַפּוּחַ בַּעֲצֵי הַיַּעַר </w:t>
      </w:r>
      <w:r>
        <w:rPr>
          <w:rStyle w:val="a7"/>
          <w:rtl/>
        </w:rPr>
        <w:footnoteReference w:id="3540"/>
      </w:r>
      <w:r>
        <w:rPr>
          <w:rtl/>
        </w:rPr>
        <w:t xml:space="preserve">כֵּן דּוֹדִי בֵּין הַבָּנִים וכו', וּלְבָתַר יֵעוּל לְגִנְּתָא וְאַפִּיק </w:t>
      </w:r>
      <w:r>
        <w:rPr>
          <w:rStyle w:val="a7"/>
          <w:rtl/>
        </w:rPr>
        <w:footnoteReference w:id="3541"/>
      </w:r>
      <w:r>
        <w:rPr>
          <w:rtl/>
        </w:rPr>
        <w:t xml:space="preserve">מִתַּמָּן רִמּוֹנִים, וְיָהִיב לָהּ מֵעֲסִיס רִמּוֹנִים, </w:t>
      </w:r>
      <w:r>
        <w:rPr>
          <w:rStyle w:val="a7"/>
          <w:rtl/>
        </w:rPr>
        <w:footnoteReference w:id="3542"/>
      </w:r>
      <w:r>
        <w:rPr>
          <w:rtl/>
        </w:rPr>
        <w:t xml:space="preserve">וְלָקִיט אֱגוֹז וְתַבַּר קְלִיפִין, וְיָהִיב לָהּ מוֹחָא מִלְּגָאו, וְאִיהִי אָכְלָה, וְשָׁתִית מֵעֲסִיס הָרִמּוֹנִים, וְאִתְּסִיאַת, וְדָא הוּא דְאָמַר קְרָא </w:t>
      </w:r>
      <w:r>
        <w:rPr>
          <w:sz w:val="20"/>
          <w:szCs w:val="23"/>
          <w:rtl/>
        </w:rPr>
        <w:t>(שיר ו יא)</w:t>
      </w:r>
      <w:r>
        <w:rPr>
          <w:rtl/>
        </w:rPr>
        <w:t xml:space="preserve"> </w:t>
      </w:r>
      <w:r>
        <w:rPr>
          <w:rStyle w:val="a7"/>
          <w:rtl/>
        </w:rPr>
        <w:footnoteReference w:id="3543"/>
      </w:r>
      <w:r>
        <w:rPr>
          <w:rtl/>
        </w:rPr>
        <w:t xml:space="preserve">אֶל גִּנַּת אֱגוֹז יָרַדְתִּי, אַדְהָכִי הָא נִשְׁרָא קָא אַתְיָא, הַנֶּשֶׁר הַגָּדוֹל בַּעַל הַכְּנָפַיִם, וִיהִיבַת </w:t>
      </w:r>
      <w:r>
        <w:rPr>
          <w:rStyle w:val="a7"/>
          <w:rtl/>
        </w:rPr>
        <w:footnoteReference w:id="3544"/>
      </w:r>
      <w:r>
        <w:rPr>
          <w:rtl/>
        </w:rPr>
        <w:t xml:space="preserve">תְּלַת קָלִין, וּסְלִיקַת לְטוּרִין, אָמַר רַבִּי שִׁמְעוֹן לְחַבְרוֹי בְּוַדַּאי רַעֲוָא אִשְׁתַּכַּח לְעִילָא, וְרַחֲמִים אִשְׁתַּכְּחוּ לְגַבֵּי שְׁכִינְתָּא וְיִשְׂרָאֵל בְּגָלוּתָא, דְּוַדַּאי תְּלַת חֵיוָון אִינוּן בְּמֶרְכַּבְתָּא, אַרְיֵה שׁוֹר נֶשֶׁר, וּבְכֻלְּהוּ לֵית רַחֲמִים כַּנִּשְׁרָא, וּבְגִין דָּא אָמַר לְיִשְׂרָאֵל וָאֶשָּׂא אֶתְכֶם עַל כַּנְפֵי נְשָׁרִים וָאָבִיא אֶתְכֶם אֵלָי </w:t>
      </w:r>
      <w:r>
        <w:rPr>
          <w:sz w:val="20"/>
          <w:szCs w:val="23"/>
          <w:rtl/>
        </w:rPr>
        <w:t>(שמות יט ד)</w:t>
      </w:r>
      <w:r>
        <w:rPr>
          <w:rtl/>
        </w:rPr>
        <w:t>, אַדְהָכִי הָא נִשְׁרָא קָא אַתְיָא לְגַבַּיְיהוּ זִמְנָא אָחֳרָא, וּבָטְשַׁת בְּגַדְפָהָא עֲלַנַא דְנַסְלִיק הַתָםּ, וְרָמַת קָלִין וְסָלִיק לְטוּרָא, אָמַר רַבִּי שִׁמְעוֹן בְּוַדַּאי אִיהִי דְקָא בָטְשַׁת בְּגַדְפָהָא עֲלָנָא וְסָלִיק הָתָם, אָמְרוּ לֵיהּ סְלִיק וְהָא אֲנָן אַבַּתְרָךְ, סְלִיקוּ כֻּלְּהוּ אַבַּתְרֵיהּ לְטוּרָא, וְאִיהִי סְלִיקַת לְעִילָא, עַד דְּלָא אִתְחֲזִיאַת.</w:t>
      </w:r>
    </w:p>
    <w:p w:rsidR="003841DB" w:rsidRDefault="003841DB" w:rsidP="00B17EA9">
      <w:pPr>
        <w:pStyle w:val="NormalWeb"/>
        <w:rPr>
          <w:rtl/>
        </w:rPr>
      </w:pPr>
      <w:r>
        <w:rPr>
          <w:rStyle w:val="a7"/>
          <w:rtl/>
        </w:rPr>
        <w:footnoteReference w:id="3545"/>
      </w:r>
      <w:r>
        <w:rPr>
          <w:rtl/>
        </w:rPr>
        <w:t xml:space="preserve">לְפוּם שַׁעְתָּא הָא נִשְׁרָא קָא אַתְיָא, וּתְרֵין שׁוֹשַׁנִּים בְּפוּמָהָא, וְזָרִיק לוֹן עַל </w:t>
      </w:r>
      <w:r>
        <w:rPr>
          <w:sz w:val="20"/>
          <w:szCs w:val="23"/>
          <w:rtl/>
        </w:rPr>
        <w:t>(ידהא)</w:t>
      </w:r>
      <w:r>
        <w:rPr>
          <w:szCs w:val="23"/>
          <w:rtl/>
        </w:rPr>
        <w:t xml:space="preserve"> </w:t>
      </w:r>
      <w:r>
        <w:rPr>
          <w:rStyle w:val="Char"/>
          <w:rtl/>
        </w:rPr>
        <w:t>רֵישַׁיְיהוּ</w:t>
      </w:r>
      <w:r>
        <w:rPr>
          <w:szCs w:val="23"/>
          <w:rtl/>
        </w:rPr>
        <w:t xml:space="preserve"> </w:t>
      </w:r>
      <w:r>
        <w:rPr>
          <w:sz w:val="20"/>
          <w:szCs w:val="23"/>
          <w:rtl/>
        </w:rPr>
        <w:t>(נ''א על ידוי)</w:t>
      </w:r>
      <w:r>
        <w:rPr>
          <w:rtl/>
        </w:rPr>
        <w:t xml:space="preserve"> מִיָּד חָדָא רַבִּי שִׁמְעוֹן חֶדְוָה סַגִּיא, אָמַר לוֹן חַבְרַיָּא בְּוַדַּאי חֶדְוָה אִזְדַּמְנַת לְגַבֵּי שְׁכִינְתָּא דְאִיהִי חוֹלָה, דְּהָא אִם שׁוֹשַׁנָּה חֲדָא יְהִיב בֵּינָנָא לָא הֲוָה אַסְוָותָא, בְּגִין דְּשׁוֹשַׁנִּים אִינוּן רְמִיזִין לָקֳבֵל בַּיִת רִאשׁוֹן וְשֵׁנִי, דְּאוֹמֵי קוּדְשָׁא בְּרִיךְ הוּא דְלָא יֵעוּל דָּא בְּלָא דָא, וּבְגִין דִּזְרִיקַת תְּרֵין, רְמִיזַת דָּא תְּרֵי שׁוֹשַׁנִּים, כְּעַן אִיהִי אַסְוָותָא שְׁלֵימָתָא, וּכְדֵין צָרִיךְ לְמִפְתַּח עֲלַיְיהוּ כְּמָה דַהֲוִינָן. </w:t>
      </w:r>
      <w:r>
        <w:rPr>
          <w:sz w:val="20"/>
          <w:szCs w:val="23"/>
          <w:rtl/>
        </w:rPr>
        <w:t>(ע"פ הגר"א רתל"ב זה ותיקון כ"ו הם תיקון אחד ומסיים בזמנא דיהא פורקנא כו').</w:t>
      </w:r>
    </w:p>
    <w:p w:rsidR="003841DB" w:rsidRDefault="003841DB" w:rsidP="003841DB">
      <w:pPr>
        <w:pStyle w:val="a8"/>
        <w:spacing w:before="0" w:after="40"/>
        <w:rPr>
          <w:rtl/>
        </w:rPr>
      </w:pPr>
      <w:bookmarkStart w:id="223" w:name="_Toc228091305"/>
      <w:bookmarkStart w:id="224" w:name="_Toc231637944"/>
    </w:p>
    <w:p w:rsidR="003841DB" w:rsidRDefault="003841DB" w:rsidP="00602EF1">
      <w:pPr>
        <w:pStyle w:val="1"/>
        <w:rPr>
          <w:u w:val="single"/>
          <w:rtl/>
        </w:rPr>
      </w:pPr>
      <w:r>
        <w:rPr>
          <w:rtl/>
        </w:rPr>
        <w:t>תקונא עשרין ושית</w:t>
      </w:r>
      <w:bookmarkEnd w:id="223"/>
      <w:bookmarkEnd w:id="224"/>
    </w:p>
    <w:p w:rsidR="003841DB" w:rsidRDefault="003841DB" w:rsidP="00B17EA9">
      <w:pPr>
        <w:pStyle w:val="aa"/>
        <w:rPr>
          <w:rtl/>
        </w:rPr>
      </w:pPr>
      <w:r>
        <w:rPr>
          <w:rtl/>
        </w:rPr>
        <w:t xml:space="preserve">[תיקוני זוהר - דף ע ע''א] </w:t>
      </w:r>
    </w:p>
    <w:p w:rsidR="003841DB" w:rsidRDefault="003841DB" w:rsidP="00B17EA9">
      <w:pPr>
        <w:pStyle w:val="NormalWeb"/>
        <w:rPr>
          <w:rtl/>
        </w:rPr>
      </w:pPr>
      <w:r>
        <w:rPr>
          <w:rStyle w:val="a7"/>
          <w:rFonts w:cs="Arial"/>
          <w:rtl/>
        </w:rPr>
        <w:footnoteReference w:id="3546"/>
      </w:r>
      <w:r>
        <w:rPr>
          <w:rtl/>
        </w:rPr>
        <w:t xml:space="preserve">פָּתַח רַבִּי שִׁמְעוֹן וְאָמַר אֲנִי לְדוֹדִי וְדוֹדִי לִי הָרוֹעֶה בַּשּׁוֹשַׁנִּים </w:t>
      </w:r>
      <w:r>
        <w:rPr>
          <w:sz w:val="20"/>
          <w:szCs w:val="23"/>
          <w:rtl/>
        </w:rPr>
        <w:t>(שיר ו ג)</w:t>
      </w:r>
      <w:r>
        <w:rPr>
          <w:rtl/>
        </w:rPr>
        <w:t xml:space="preserve">, מַאי שׁוֹשַׁנִּים אֶלָּא שׁוֹשַׁנָּה עִלָּאָה שְׁכִינְתָּא עִלָּאָה, וְאִיהִי קְרִיאַת שְׁמַע דְּשַׁחֲרִית, וְשׁוֹשַׁנָּה תִּנְיָינָא קְרִיאַת שְׁמַע דְּעַרְבִית שְׁכִינְתָּא תַּתָּאָה, דָא לִימִינָא, וְדָא לִשְׂמָאלָא, הָרוֹעֶה בַּשּׁוֹשַׁנִּים דָּא עַמּוּדָא דְאֶמְצָעִיתָא, וְשׁוֹשַׁנָּה עִלָּאָה דִקְרִיאַת שְׁמַע דְּשַׁחֲרִית, דְּאִיהוּ בֹּקֶר יְמִינָא דְאַבְרָהָם, אִית לֵיהּ חָמֵשׁ טַרְפִין, וְאִינוּן שְׁמַע יִשְׂרָאֵל יהו''ה אלהינ''ו יהו''ה </w:t>
      </w:r>
      <w:r>
        <w:rPr>
          <w:sz w:val="20"/>
          <w:szCs w:val="23"/>
          <w:rtl/>
        </w:rPr>
        <w:t>(דברים ו ד)</w:t>
      </w:r>
      <w:r>
        <w:rPr>
          <w:rtl/>
        </w:rPr>
        <w:t xml:space="preserve">, </w:t>
      </w:r>
      <w:r>
        <w:rPr>
          <w:rStyle w:val="a7"/>
          <w:rtl/>
        </w:rPr>
        <w:footnoteReference w:id="3547"/>
      </w:r>
      <w:r>
        <w:rPr>
          <w:rtl/>
        </w:rPr>
        <w:t xml:space="preserve">וּתְלַת עֲשַׂר עַלִּין מִלְּגָו אֶחָ''ד, שִׁית סוּמְקֵי, וְשִׁית חִוְורֵי, וְשׁוֹשַׁנָּה דְּאִתְכְּלִילַת בְּהוֹן הָא תְּלַת עֶשֶׂר כְּחוּשְׁבַּן </w:t>
      </w:r>
      <w:r>
        <w:rPr>
          <w:sz w:val="20"/>
          <w:szCs w:val="23"/>
          <w:rtl/>
        </w:rPr>
        <w:t xml:space="preserve">(דף ע ע''א) </w:t>
      </w:r>
      <w:r>
        <w:rPr>
          <w:rtl/>
        </w:rPr>
        <w:t xml:space="preserve">אֶחָ''ד, וְכֵן שׁוֹשַׁנָּה בָּהּ כ''ה גַרְעִינִין כְּתַפּוּחַ דִּילָהּ, כְּחֻשְׁבַּן כ''ה אַתְוָון דְּיִחוּדָא, וְכֵן בַּשּׁוֹשַׁנָּה תִּנְיָינָא כ''ה גַרְעִינִין, וְסָלְקִין כֻּלְּהוּ לַחֲמִשִּׁים, </w:t>
      </w:r>
      <w:r>
        <w:rPr>
          <w:sz w:val="20"/>
          <w:szCs w:val="23"/>
          <w:rtl/>
        </w:rPr>
        <w:t>(בכל הדפוסים מתחיל כאן תיקון כ"ו)</w:t>
      </w:r>
      <w:r>
        <w:rPr>
          <w:rtl/>
        </w:rPr>
        <w:t xml:space="preserve"> </w:t>
      </w:r>
      <w:r>
        <w:rPr>
          <w:rStyle w:val="a7"/>
          <w:rtl/>
        </w:rPr>
        <w:footnoteReference w:id="3548"/>
      </w:r>
      <w:r>
        <w:rPr>
          <w:rtl/>
        </w:rPr>
        <w:t xml:space="preserve">וְדָּא ב' דִבְרֵאשִׁית וְחַד שׁוֹשַׁנָּה חָמֵשׁ עַלִּין דִּילָהּ רֵאשִׁי''ת, בְּרֵאשִׁית לְחֻשְׁבָּן זְעִיר דַּחֲנוֹךְ תְּלַת עֲשַׂר, וְאִיהִי שׁוֹשַׁנָּה בֵּין הַחוֹחִים, חוֹחִים דִּילָהּ תְּלַת עֲשַׂר תֵּיבִין מִן אלהי''ם וְעַד אלהי''ם, וְאִלֵּין אִינוּן. אֵת הַשָּׁמַיִם וְאֵת הָאָרֶץ וְהָאָרֶץ הָיְתָה תֹהוּ וָבֹהוּ וְחֹשֶׁךְ עַל פְּנֵי תְהוֹם וְרוּחַ אלהי''ם </w:t>
      </w:r>
      <w:r>
        <w:rPr>
          <w:sz w:val="20"/>
          <w:szCs w:val="23"/>
          <w:rtl/>
        </w:rPr>
        <w:t>(בראשית א א)</w:t>
      </w:r>
      <w:r>
        <w:rPr>
          <w:rtl/>
        </w:rPr>
        <w:t>, חָמֵשׁ חוֹחִים אָחֳרָנִין, מְרַחֶפֶת עַל פְּנֵי הַמָּיִם וַיֹּאמֶר. מַאי אִיהִי בֵּין הַחוֹחִים, אֶלָּא מִדְּחָרַב בֵּי מַקְדְּשָׁא וְהָאָרֶץ הָיְתָה תֹהוּ וָבֹהוּ, וְנָפְלַת שׁוֹשַׁנָּה בֵּין הַחוֹחִים.</w:t>
      </w:r>
    </w:p>
    <w:p w:rsidR="003841DB" w:rsidRDefault="003841DB" w:rsidP="00B17EA9">
      <w:pPr>
        <w:pStyle w:val="NormalWeb"/>
        <w:rPr>
          <w:rtl/>
        </w:rPr>
      </w:pPr>
      <w:r>
        <w:rPr>
          <w:rtl/>
        </w:rPr>
        <w:t>(ע"פ הגר"א רתל"ב כאן צ"ל תל"ח)</w:t>
      </w:r>
    </w:p>
    <w:p w:rsidR="003841DB" w:rsidRDefault="003841DB" w:rsidP="00B17EA9">
      <w:pPr>
        <w:pStyle w:val="NormalWeb"/>
        <w:rPr>
          <w:rtl/>
        </w:rPr>
      </w:pPr>
      <w:r>
        <w:rPr>
          <w:rStyle w:val="a7"/>
          <w:rtl/>
        </w:rPr>
        <w:footnoteReference w:id="3549"/>
      </w:r>
      <w:r>
        <w:rPr>
          <w:rtl/>
        </w:rPr>
        <w:t xml:space="preserve">כַּד יֵיתֵי פוּרְקָנָא </w:t>
      </w:r>
      <w:r>
        <w:rPr>
          <w:rStyle w:val="a7"/>
          <w:rtl/>
        </w:rPr>
        <w:footnoteReference w:id="3550"/>
      </w:r>
      <w:r>
        <w:rPr>
          <w:rtl/>
        </w:rPr>
        <w:t xml:space="preserve">תִהְיֶה כַּשּׁוֹשַׁנָּה דְשַׁחֲרִית, </w:t>
      </w:r>
      <w:r>
        <w:rPr>
          <w:rStyle w:val="a7"/>
          <w:rtl/>
        </w:rPr>
        <w:footnoteReference w:id="3551"/>
      </w:r>
      <w:r>
        <w:rPr>
          <w:rtl/>
        </w:rPr>
        <w:t xml:space="preserve">דְּאִתְּמַר בָּהּ </w:t>
      </w:r>
      <w:r>
        <w:rPr>
          <w:sz w:val="20"/>
          <w:szCs w:val="23"/>
          <w:rtl/>
        </w:rPr>
        <w:t>(בראשית מד ג)</w:t>
      </w:r>
      <w:r>
        <w:rPr>
          <w:szCs w:val="23"/>
          <w:rtl/>
        </w:rPr>
        <w:t xml:space="preserve"> </w:t>
      </w:r>
      <w:r>
        <w:rPr>
          <w:rStyle w:val="Char"/>
          <w:rtl/>
        </w:rPr>
        <w:t>הַבֹּקֶר אוֹר</w:t>
      </w:r>
      <w:r>
        <w:rPr>
          <w:szCs w:val="23"/>
          <w:rtl/>
        </w:rPr>
        <w:t xml:space="preserve"> </w:t>
      </w:r>
      <w:r>
        <w:rPr>
          <w:rStyle w:val="a7"/>
          <w:szCs w:val="23"/>
          <w:rtl/>
        </w:rPr>
        <w:footnoteReference w:id="3552"/>
      </w:r>
      <w:r>
        <w:rPr>
          <w:sz w:val="20"/>
          <w:szCs w:val="23"/>
          <w:rtl/>
        </w:rPr>
        <w:t>(והאנשים שלחו)</w:t>
      </w:r>
      <w:r>
        <w:rPr>
          <w:rtl/>
        </w:rPr>
        <w:t xml:space="preserve">, וְאִינוּן חָמֵשׁ אוֹר חָמֵשׁ עַלִּין דְּשׁוֹשַׁנָּה עִלָּאָה, חַד וַיֹּאמֶר אלהי''ם יְהִי אוֹר, תִּנְיָינָא וַיְהִי אוֹר, תְּלַת וַיַּרְא אלהי''ם אֶת הָאוֹר, אַרְבַּע וַיַּבְדֵּל אלהי''ם בֵּין הָאוֹר, חָמֵשׁ וַיִּקְרָא אלהי''ם לָאוֹר יוֹם, תְּלַת עֲשַׂר עַלִּין מִלְּגָו, וַיְהִי עֶרֶב וַיְהִי בֹקֶר יוֹם אֶחָד, אֶחָד אֶחָד בִּתְרֵין שׁוֹשַׁנִּים, דָּא יהו''ה, עֲלֵיהּ אִתְּמַר </w:t>
      </w:r>
      <w:r>
        <w:rPr>
          <w:sz w:val="20"/>
          <w:szCs w:val="23"/>
          <w:rtl/>
        </w:rPr>
        <w:t>(זכריה יד ט)</w:t>
      </w:r>
      <w:r>
        <w:rPr>
          <w:rtl/>
        </w:rPr>
        <w:t xml:space="preserve"> בַּיּוֹם הַהוּא יִהְיֶה יהו''ה אֶחָד וּשְׁמוֹ אֶחָד, </w:t>
      </w:r>
      <w:r>
        <w:rPr>
          <w:rStyle w:val="a7"/>
          <w:rtl/>
        </w:rPr>
        <w:footnoteReference w:id="3553"/>
      </w:r>
      <w:r>
        <w:rPr>
          <w:rtl/>
        </w:rPr>
        <w:t xml:space="preserve">וְאִיהוּ עַמּוּדָא דְאֶמְצָעִיתָא הָרוֹעֶה בַשּׁוֹשַׁנִּים, וְחוּשְׁבָּנֵיהּ אֶחָ''ד, שׁוֹשַׁנָּה תַּתָּאָה בָּהּ דְּחִילוּ וְאִיהוּ יִרְאָה, שׁוֹשַׁנָּה עִלָּאָה רְחִימוּ דְאַהֲבָה, </w:t>
      </w:r>
      <w:r>
        <w:rPr>
          <w:rStyle w:val="a7"/>
          <w:rtl/>
        </w:rPr>
        <w:footnoteReference w:id="3554"/>
      </w:r>
      <w:r>
        <w:rPr>
          <w:rtl/>
        </w:rPr>
        <w:t xml:space="preserve">וּבָהּ אִתְּמַר </w:t>
      </w:r>
      <w:r>
        <w:rPr>
          <w:sz w:val="20"/>
          <w:szCs w:val="23"/>
          <w:rtl/>
        </w:rPr>
        <w:t>(שיר ג ה)</w:t>
      </w:r>
      <w:r>
        <w:rPr>
          <w:rtl/>
        </w:rPr>
        <w:t xml:space="preserve"> אִם תָּעִירוּ וְאִם תְּעוֹרְרוּ אֶת הָאַהֲבָה עַד שֶׁתֶּחְפָּץ.</w:t>
      </w:r>
    </w:p>
    <w:p w:rsidR="003841DB" w:rsidRDefault="003841DB" w:rsidP="00B17EA9">
      <w:pPr>
        <w:pStyle w:val="NormalWeb"/>
        <w:rPr>
          <w:rtl/>
        </w:rPr>
      </w:pPr>
      <w:r>
        <w:rPr>
          <w:rStyle w:val="a7"/>
          <w:rtl/>
        </w:rPr>
        <w:footnoteReference w:id="3555"/>
      </w:r>
      <w:r>
        <w:rPr>
          <w:rtl/>
        </w:rPr>
        <w:t xml:space="preserve">בַּמֶּה יֵתוּן לְאַתְעָרָא לָהּ בִּימִינָא, וְאִיהִי לָא רְעִית בְּהוּ, עַד דְּיֵיתֵי רַעְיָא מְהֵימְנָא, דְאִתְּמַר בֵּיהּ </w:t>
      </w:r>
      <w:r>
        <w:rPr>
          <w:sz w:val="20"/>
          <w:szCs w:val="23"/>
          <w:rtl/>
        </w:rPr>
        <w:t>(בראשית א ב)</w:t>
      </w:r>
      <w:r>
        <w:rPr>
          <w:rtl/>
        </w:rPr>
        <w:t xml:space="preserve"> וְרוּחַ אלהי''ם מְרַחֶפֶת, דְּאִיהוּ רוּחַ דְּמָשִׁיחַ, דְּאִתְּמַר בֵּיהּ </w:t>
      </w:r>
      <w:r>
        <w:rPr>
          <w:sz w:val="20"/>
          <w:szCs w:val="23"/>
          <w:rtl/>
        </w:rPr>
        <w:t>(ישעיה יא ב)</w:t>
      </w:r>
      <w:r>
        <w:rPr>
          <w:rtl/>
        </w:rPr>
        <w:t xml:space="preserve"> וְנָחָה עָלָיו רוּחַ יהו''ה, </w:t>
      </w:r>
      <w:r>
        <w:rPr>
          <w:rStyle w:val="a7"/>
          <w:rtl/>
        </w:rPr>
        <w:footnoteReference w:id="3556"/>
      </w:r>
      <w:r>
        <w:rPr>
          <w:rtl/>
        </w:rPr>
        <w:t xml:space="preserve">בְּרוּחָא דָא אָרְחַת הַהִיא חוֹלָה </w:t>
      </w:r>
      <w:r>
        <w:rPr>
          <w:rStyle w:val="a7"/>
          <w:rtl/>
        </w:rPr>
        <w:footnoteReference w:id="3557"/>
      </w:r>
      <w:r>
        <w:rPr>
          <w:rtl/>
        </w:rPr>
        <w:t xml:space="preserve">וְאִתְּסִיאַת, וּבְגִין דָּא הִשְׁבַּעְתִּי אֶתְכֶם בְּנוֹת יְרוּשָׁלַם בִּצבאו''ת אוֹ בְּאַיְלוֹת הַשָּׂדֶה אִם תָּעִירוּ וְאִם תְּעוֹרְרוּ אֶת הָאַהֲבָה עַד שֶׁתֶּחְפָּץ </w:t>
      </w:r>
      <w:r>
        <w:rPr>
          <w:sz w:val="20"/>
          <w:szCs w:val="23"/>
          <w:rtl/>
        </w:rPr>
        <w:t>(שיר ג ה)</w:t>
      </w:r>
      <w:r>
        <w:rPr>
          <w:rtl/>
        </w:rPr>
        <w:t xml:space="preserve">, וְאִיהוּ אָרַח רֵיחַ </w:t>
      </w:r>
      <w:r>
        <w:rPr>
          <w:rStyle w:val="a7"/>
          <w:rtl/>
        </w:rPr>
        <w:footnoteReference w:id="3558"/>
      </w:r>
      <w:r>
        <w:rPr>
          <w:rtl/>
        </w:rPr>
        <w:t xml:space="preserve">בִּתְרֵין תַּפּוּחִין </w:t>
      </w:r>
      <w:r>
        <w:rPr>
          <w:sz w:val="20"/>
          <w:szCs w:val="23"/>
          <w:rtl/>
        </w:rPr>
        <w:t>(נ''א ואיהו ריח דתרין תפוחין)</w:t>
      </w:r>
      <w:r>
        <w:rPr>
          <w:szCs w:val="23"/>
          <w:rtl/>
        </w:rPr>
        <w:t xml:space="preserve">, </w:t>
      </w:r>
      <w:r>
        <w:rPr>
          <w:rStyle w:val="Char"/>
          <w:rtl/>
        </w:rPr>
        <w:t>דְּאִתְּמַר</w:t>
      </w:r>
      <w:r>
        <w:rPr>
          <w:szCs w:val="23"/>
          <w:rtl/>
        </w:rPr>
        <w:t xml:space="preserve"> </w:t>
      </w:r>
      <w:r>
        <w:rPr>
          <w:sz w:val="20"/>
          <w:szCs w:val="23"/>
          <w:rtl/>
        </w:rPr>
        <w:t>(ביה)</w:t>
      </w:r>
      <w:r>
        <w:rPr>
          <w:szCs w:val="23"/>
          <w:rtl/>
        </w:rPr>
        <w:t xml:space="preserve"> </w:t>
      </w:r>
      <w:r>
        <w:rPr>
          <w:rStyle w:val="Char"/>
          <w:rtl/>
        </w:rPr>
        <w:t>בְּהוּ</w:t>
      </w:r>
      <w:r>
        <w:rPr>
          <w:szCs w:val="23"/>
          <w:rtl/>
        </w:rPr>
        <w:t xml:space="preserve"> </w:t>
      </w:r>
      <w:r>
        <w:rPr>
          <w:sz w:val="20"/>
          <w:szCs w:val="23"/>
          <w:rtl/>
        </w:rPr>
        <w:t>(שם ז ט)</w:t>
      </w:r>
      <w:r>
        <w:rPr>
          <w:rtl/>
        </w:rPr>
        <w:t xml:space="preserve"> </w:t>
      </w:r>
      <w:r>
        <w:rPr>
          <w:rStyle w:val="a7"/>
          <w:rtl/>
        </w:rPr>
        <w:footnoteReference w:id="3559"/>
      </w:r>
      <w:r>
        <w:rPr>
          <w:rtl/>
        </w:rPr>
        <w:t xml:space="preserve">וְרֵיחַ אַפֵּךְ כַּתַּפּוּחִים, </w:t>
      </w:r>
      <w:r>
        <w:rPr>
          <w:rStyle w:val="a7"/>
          <w:rtl/>
        </w:rPr>
        <w:footnoteReference w:id="3560"/>
      </w:r>
      <w:r>
        <w:rPr>
          <w:rtl/>
        </w:rPr>
        <w:t xml:space="preserve">וּמַאי נִינְהוּ תְּרֵי סַמְכֵי קְשׁוֹט </w:t>
      </w:r>
      <w:r>
        <w:rPr>
          <w:rStyle w:val="a7"/>
          <w:rtl/>
        </w:rPr>
        <w:footnoteReference w:id="3561"/>
      </w:r>
      <w:r>
        <w:rPr>
          <w:rtl/>
        </w:rPr>
        <w:t xml:space="preserve">וְאִינוּן תְּרֵי רִמּוֹנִים, אֱגוֹז דָּא צַדִּיק גִּנַּת אֱגוֹז דָּא שְׁכִינְתָּא, וְדָא אִיהוּ דְאָמַר שְׁלֹמֹה </w:t>
      </w:r>
      <w:r>
        <w:rPr>
          <w:sz w:val="20"/>
          <w:szCs w:val="23"/>
          <w:rtl/>
        </w:rPr>
        <w:t>(שם ו יא)</w:t>
      </w:r>
      <w:r>
        <w:rPr>
          <w:rtl/>
        </w:rPr>
        <w:t xml:space="preserve"> אֶל גִּנַּת אֱגוֹז יָרַדְתִּי.</w:t>
      </w:r>
    </w:p>
    <w:p w:rsidR="003841DB" w:rsidRDefault="003841DB" w:rsidP="00B17EA9">
      <w:pPr>
        <w:pStyle w:val="NormalWeb"/>
        <w:rPr>
          <w:rtl/>
        </w:rPr>
      </w:pPr>
      <w:r>
        <w:rPr>
          <w:rStyle w:val="a7"/>
          <w:rtl/>
        </w:rPr>
        <w:footnoteReference w:id="3562"/>
      </w:r>
      <w:r>
        <w:rPr>
          <w:rtl/>
        </w:rPr>
        <w:t xml:space="preserve">גִּנַּ''ת ג' גִּימַטְרִיָּאוֹת </w:t>
      </w:r>
      <w:r>
        <w:rPr>
          <w:sz w:val="20"/>
          <w:szCs w:val="23"/>
          <w:rtl/>
        </w:rPr>
        <w:t>(אדנ''י ביהו''ה)</w:t>
      </w:r>
      <w:r>
        <w:rPr>
          <w:rtl/>
        </w:rPr>
        <w:t xml:space="preserve">, דְּאִינוּן </w:t>
      </w:r>
      <w:r>
        <w:rPr>
          <w:rStyle w:val="a7"/>
          <w:rtl/>
        </w:rPr>
        <w:footnoteReference w:id="3563"/>
      </w:r>
      <w:r>
        <w:rPr>
          <w:rtl/>
        </w:rPr>
        <w:t xml:space="preserve">פַּרְפְּרָאוֹת לַחָכְמָה, נ' נוֹטְרִיקוּן, ת' תְּמוּרָה, גִּימַטְרִיָּאוֹת דָּא אדנ''י יהו''ה, סָלִיק בְּחֻשְׁבַּן אָמֵ''ן, אהי''ה אדנ''י סָלִיק </w:t>
      </w:r>
      <w:r>
        <w:rPr>
          <w:rStyle w:val="a7"/>
          <w:rtl/>
        </w:rPr>
        <w:footnoteReference w:id="3564"/>
      </w:r>
      <w:r>
        <w:rPr>
          <w:rtl/>
        </w:rPr>
        <w:t xml:space="preserve">בְּחוּשְׁבַּן פ''ו אלהי''ם, דְּאִיהוּ כִּנּוּ''י, </w:t>
      </w:r>
      <w:r>
        <w:rPr>
          <w:rStyle w:val="a7"/>
          <w:rtl/>
        </w:rPr>
        <w:footnoteReference w:id="3565"/>
      </w:r>
      <w:r>
        <w:rPr>
          <w:rtl/>
        </w:rPr>
        <w:t xml:space="preserve">בְּגִּימַטְרִיָּא מֵ''ם הֵ''א, יו''ד ה''א וא''ו ה''א בְּגִימַטְרִיָּא מ''ה, וְדָא אִיהוּ עֶשֶׂר סְפִירוֹת בְּלִימָ''ה, וְאִיהוּ מֵעִיד עַל יִחוּדָא קַדִּישָׁא, וּבְגִין דָּא מָ''ה אֲעִידֵךְ </w:t>
      </w:r>
      <w:r>
        <w:rPr>
          <w:sz w:val="20"/>
          <w:szCs w:val="23"/>
          <w:rtl/>
        </w:rPr>
        <w:t>(איכה ב יג)</w:t>
      </w:r>
      <w:r>
        <w:rPr>
          <w:rtl/>
        </w:rPr>
        <w:t>.</w:t>
      </w:r>
    </w:p>
    <w:p w:rsidR="003841DB" w:rsidRDefault="003841DB" w:rsidP="00B17EA9">
      <w:pPr>
        <w:pStyle w:val="NormalWeb"/>
        <w:rPr>
          <w:rtl/>
        </w:rPr>
      </w:pPr>
      <w:r>
        <w:rPr>
          <w:rtl/>
        </w:rPr>
        <w:t>דָּבָר אַחֵר א''ב ג''ד ה''ו ז''ח ט''י בְּגִימַטְרִיָּא שְׁכִינָ''ה, כְּגַוְונָא דָא, א' זִמְנָא חֲדָא, ב' תְּרֵי זִמְנִין, ג' תְּלַת זִמְנִין, ד' אַרְבָּעָה זִמְנִין, ה' חָמֵשׁ זִמְנִין, ו' שִׁית זִמְנִין, ז' שִׁבְעָה זִמְנִין, ח' תְּמַנְיָא זִמְנִין, ט' תִּשְׁעָה זִמְנִין, י' עֶשֶׂר זִמְנִין, כֻּלְּהוּ סָלְקִין לְחוּשְׁבַּן שְׁכִינָ''ה. וְרָזָא דְחוּשְׁבָּנָא, לְקַיְימָא דְלֵית שְׁכִינָה נָחֲתָא פָּחוּת מֵעֲשָׂרָה, וְלָא סָלְקָא לְמַעְלָה מֵעֶשֶׂר.</w:t>
      </w:r>
    </w:p>
    <w:p w:rsidR="003841DB" w:rsidRDefault="003841DB" w:rsidP="00B17EA9">
      <w:pPr>
        <w:pStyle w:val="aa"/>
        <w:rPr>
          <w:rtl/>
        </w:rPr>
      </w:pPr>
      <w:r>
        <w:rPr>
          <w:rtl/>
        </w:rPr>
        <w:t xml:space="preserve">[תיקוני זוהר - דף ע ע''ב] </w:t>
      </w:r>
    </w:p>
    <w:p w:rsidR="003841DB" w:rsidRDefault="003841DB" w:rsidP="00B17EA9">
      <w:pPr>
        <w:pStyle w:val="NormalWeb"/>
        <w:rPr>
          <w:rtl/>
        </w:rPr>
      </w:pPr>
      <w:r>
        <w:rPr>
          <w:rtl/>
        </w:rPr>
        <w:t xml:space="preserve">וְעוֹד קוּדְשָׁא בְּרִיךְ הוּא הוּא אַתְרֵיהּ דְּעָלְמָא, וּמַלְאָכִין לָא יָדְעִין וְשָׁאֲלִין אַיֵּה מְקוֹם כְּבוֹדוֹ לְהַעֲרִיצוֹ וְאַשְׁכַּחִינָן לֵיהּ בְּגִימָטְרִיָא מָקוֹם נוֹטְרִיקוּ''ן כְּגַוְונָא דָא, י' עֶשֶׂר זִמְנִין מֵאָה, ה' חָמֵשׁ זִמְנִין עֶשְׂרִין וְחָמֵשׁ, ו' שִׁית זִמְנִין תְּלָתִין וְשִׁית, ה' חָמֵשׁ זִמְנִין עֶשְׂרִין וְחָמֵשׁ, בְּגִימַטְרִיָּא מָקוֹם, וַעֲלֵיהּ אָמְרוּ </w:t>
      </w:r>
      <w:r>
        <w:rPr>
          <w:sz w:val="20"/>
          <w:szCs w:val="23"/>
          <w:rtl/>
        </w:rPr>
        <w:t xml:space="preserve">(דף ע ע''ב) </w:t>
      </w:r>
      <w:r>
        <w:rPr>
          <w:rtl/>
        </w:rPr>
        <w:t xml:space="preserve">מַלְאָכַיָּא בָּרוּךְ כְּבוֹד יהו''ה מִמְּקוֹמוֹ </w:t>
      </w:r>
      <w:r>
        <w:rPr>
          <w:sz w:val="20"/>
          <w:szCs w:val="23"/>
          <w:rtl/>
        </w:rPr>
        <w:t>(יחזקאל ג יב)</w:t>
      </w:r>
      <w:r>
        <w:rPr>
          <w:rtl/>
        </w:rPr>
        <w:t xml:space="preserve">, </w:t>
      </w:r>
      <w:r>
        <w:rPr>
          <w:rStyle w:val="a7"/>
          <w:rtl/>
        </w:rPr>
        <w:footnoteReference w:id="3566"/>
      </w:r>
      <w:r>
        <w:rPr>
          <w:rtl/>
        </w:rPr>
        <w:t xml:space="preserve">אִית אָחֳרָנִין בְּגִימַטְרִיָּאוֹת דְּלֵית לוֹן חוּשְׁבָּן, בְּגִין דְּאִינוּן פַּרְפְּרָאוֹת לַחָכְמָה דְלֵית לָהּ סוֹף, תְּמוּרוֹת אִלֵּין אַלְפָא בֵּיתוֹת כְּגוֹן כוז''ו במוכס''ז כוז''ו, דְאִינוּן תְּמוּרוֹת </w:t>
      </w:r>
      <w:r>
        <w:rPr>
          <w:sz w:val="20"/>
          <w:szCs w:val="23"/>
          <w:rtl/>
        </w:rPr>
        <w:t>(דברים ו ד)</w:t>
      </w:r>
      <w:r>
        <w:rPr>
          <w:rtl/>
        </w:rPr>
        <w:t xml:space="preserve"> יהו''ה אלהינ''ו יהו''ה, וְאִית תְּמוּרוֹת אָחֳרָנִין מִכַּמָּה מִינִין.</w:t>
      </w:r>
    </w:p>
    <w:p w:rsidR="003841DB" w:rsidRDefault="003841DB" w:rsidP="00B17EA9">
      <w:pPr>
        <w:pStyle w:val="NormalWeb"/>
        <w:rPr>
          <w:rtl/>
        </w:rPr>
      </w:pPr>
      <w:r>
        <w:rPr>
          <w:rtl/>
        </w:rPr>
        <w:t xml:space="preserve">אָמַר רַבִּי אֶלְעָזָר וְהָא כְתִיב </w:t>
      </w:r>
      <w:r>
        <w:rPr>
          <w:sz w:val="20"/>
          <w:szCs w:val="23"/>
          <w:rtl/>
        </w:rPr>
        <w:t>(מלאכי ג ו)</w:t>
      </w:r>
      <w:r>
        <w:rPr>
          <w:rtl/>
        </w:rPr>
        <w:t xml:space="preserve"> אֲנִי יהו''ה לֹא שָׁנִיתִי, אָמַר לֵיהּ בְּרִי, וַוי לִבְנֵי עָלְמָא דְאִינוּן אֲטִימִין לִבָּא, דְּחָשְׁבִין דְּיָדְעִין וְלָא יָדְעִין, וַדַּאי אֲנִי אִיהִי שְׁכִינְתָּא, הֲדָא הוּא דִכְתִיב </w:t>
      </w:r>
      <w:r>
        <w:rPr>
          <w:sz w:val="20"/>
          <w:szCs w:val="23"/>
          <w:rtl/>
        </w:rPr>
        <w:t>(ויקרא כו כא)</w:t>
      </w:r>
      <w:r>
        <w:rPr>
          <w:rtl/>
        </w:rPr>
        <w:t xml:space="preserve"> וְיִסַּרְתִּי אֶתְכֶם אַף אָנִי, אִיהִי לָא אִשְׁתַּנִּי וְלָא אִיהִי תְמוּרָה מִינֵיהּ בְּאָחֳרָא, </w:t>
      </w:r>
      <w:r>
        <w:rPr>
          <w:rStyle w:val="a7"/>
          <w:rtl/>
        </w:rPr>
        <w:footnoteReference w:id="3567"/>
      </w:r>
      <w:r>
        <w:rPr>
          <w:rtl/>
        </w:rPr>
        <w:t xml:space="preserve">וְאִיהוּ לָא אִשְׁתַּנִּי וְלָא אִסְתַּתַּר מִינָהּ, </w:t>
      </w:r>
      <w:r>
        <w:rPr>
          <w:rStyle w:val="a7"/>
          <w:rtl/>
        </w:rPr>
        <w:footnoteReference w:id="3568"/>
      </w:r>
      <w:r>
        <w:rPr>
          <w:rtl/>
        </w:rPr>
        <w:t xml:space="preserve">אֲבָל לְגַבֵּי חַיָּיבַיָּא אִשְׁתַּנִּי קוּדְשָׁא בְּרִיךְ הוּא וְאִסְתַּתַּר מִנַּיְיהוּ, הֲדָא הוּא דִכְתִיב </w:t>
      </w:r>
      <w:r>
        <w:rPr>
          <w:sz w:val="20"/>
          <w:szCs w:val="23"/>
          <w:rtl/>
        </w:rPr>
        <w:t>(דברים לב כ)</w:t>
      </w:r>
      <w:r>
        <w:rPr>
          <w:rtl/>
        </w:rPr>
        <w:t xml:space="preserve"> אַסְתִּירָה פָנַי מֵהֶם אֶרְאֶה מָה אַחֲרִיתָם, וְאַמַּאי בְּגִין כִּי דוֹר תַּהְפּוּכוֹת הֵמָּה בָּנִים לֹא אֵמוּן בָּם.</w:t>
      </w:r>
    </w:p>
    <w:p w:rsidR="003841DB" w:rsidRDefault="003841DB" w:rsidP="00B17EA9">
      <w:pPr>
        <w:pStyle w:val="NormalWeb"/>
        <w:rPr>
          <w:rtl/>
        </w:rPr>
      </w:pPr>
      <w:r>
        <w:rPr>
          <w:rtl/>
        </w:rPr>
        <w:t xml:space="preserve">מִיָּד קָמוּ כֻּלְּהוּ חַבְרַיָּא דְשָׁמְעוּ מִלִּין אִלֵּין, וְנָשְׁקוּ לֵיהּ עַל רֵישֵׁיהּ, וְאָמְרוּ אִלּוּ לָא אָתֵינָא לְעָלְמָא אֶלָּא לְמִשְׁמַע דָּא דַיֵּינוּ, </w:t>
      </w:r>
      <w:r>
        <w:rPr>
          <w:rStyle w:val="a7"/>
          <w:rtl/>
        </w:rPr>
        <w:footnoteReference w:id="3569"/>
      </w:r>
      <w:r>
        <w:rPr>
          <w:rtl/>
        </w:rPr>
        <w:t xml:space="preserve">דְּוַדַּאי קוּדְשָׁא בְּרִיךְ הוּא וּשְׁכִינְתֵּיהּ לָא אִשְׁתַּנִּי דָא מִן דָּא, אֲבָל לְגַבֵּי אָחֳרָנִין אִשְׁתַּנִּי וְאִסְתַּתַּר, בְּכַמָּה לְבוּשִׁין, וּבְכַמָּה כִּסּוּיִין, וּבְכַמָּה קְלִיפִין, וּבְגִין דָּא אָמַר שְׁלֹמֹה עָלָיו הַשָּׁלוֹם </w:t>
      </w:r>
      <w:r>
        <w:rPr>
          <w:sz w:val="20"/>
          <w:szCs w:val="23"/>
          <w:rtl/>
        </w:rPr>
        <w:t>(שיר ו יא)</w:t>
      </w:r>
      <w:r>
        <w:rPr>
          <w:rtl/>
        </w:rPr>
        <w:t xml:space="preserve"> אֶל גִּנַּת אֱגוֹז יָרַדְתִּי, דְאִיהוּ הֲוָה יָדַע בִּקְלִיפִין כֻּלְּהוּ, וּבְגִין דָּא לָא שְׁבִיק אֲפִילוּ מִינֵי דְכִשּׁוּף דְּלָא יָדַע, בְּגִין דְּיָדַע </w:t>
      </w:r>
      <w:r>
        <w:rPr>
          <w:sz w:val="20"/>
          <w:szCs w:val="23"/>
          <w:rtl/>
        </w:rPr>
        <w:t>(נ''א למנדע)</w:t>
      </w:r>
      <w:r>
        <w:rPr>
          <w:rtl/>
        </w:rPr>
        <w:t xml:space="preserve"> בִּקְלִיפִין. </w:t>
      </w:r>
      <w:r>
        <w:rPr>
          <w:rStyle w:val="a7"/>
          <w:rtl/>
        </w:rPr>
        <w:footnoteReference w:id="3570"/>
      </w:r>
      <w:r>
        <w:rPr>
          <w:rtl/>
        </w:rPr>
        <w:t xml:space="preserve">וְרַעְיָא מְהֵימְנָא אִיהוּ (תַבַּר) יְתַבַּר כָּל קְלִיפִין, (וְנָפִיק) וְיָפִיק מִתַּמָּן מוֹחָא דְאִיהוּ יהו''ה </w:t>
      </w:r>
      <w:r>
        <w:rPr>
          <w:rStyle w:val="a7"/>
          <w:rtl/>
        </w:rPr>
        <w:footnoteReference w:id="3571"/>
      </w:r>
      <w:r>
        <w:rPr>
          <w:rtl/>
        </w:rPr>
        <w:t xml:space="preserve">לְאַרְבַּע סִטְרֵי דֶאֱגוֹזָא, </w:t>
      </w:r>
      <w:r>
        <w:rPr>
          <w:sz w:val="20"/>
          <w:szCs w:val="23"/>
          <w:rtl/>
        </w:rPr>
        <w:t>(דאינון תהו ובהו וחשך ותהום)</w:t>
      </w:r>
      <w:r>
        <w:rPr>
          <w:rtl/>
        </w:rPr>
        <w:t xml:space="preserve">, וּמְפַרְנֵס מִנֵּיהּ לְהַהִיא חוֹלָה דְּאִיהִי אדנ''י, דִּבְאִלֵּין קְלִיפִין דִּי בֶאֱגוֹז דְּאִינוּן תֹּהוּ וָבֹהוּ וְחֹשֶׁךְ וּתְהוֹם אָמַר </w:t>
      </w:r>
      <w:r>
        <w:rPr>
          <w:sz w:val="20"/>
          <w:szCs w:val="23"/>
          <w:rtl/>
        </w:rPr>
        <w:t>(דברים לב כ)</w:t>
      </w:r>
      <w:r>
        <w:rPr>
          <w:rtl/>
        </w:rPr>
        <w:t xml:space="preserve"> אַסְתִּירָה פָנַי מֵהֶם, </w:t>
      </w:r>
      <w:r>
        <w:rPr>
          <w:rStyle w:val="a7"/>
          <w:rtl/>
        </w:rPr>
        <w:footnoteReference w:id="3572"/>
      </w:r>
      <w:r>
        <w:rPr>
          <w:rtl/>
        </w:rPr>
        <w:t xml:space="preserve">וְאִית שִׁנּוּיִין אוֹחֳרָנִין לְטַב לְכָל חַד </w:t>
      </w:r>
      <w:r>
        <w:rPr>
          <w:rStyle w:val="a7"/>
          <w:rtl/>
        </w:rPr>
        <w:footnoteReference w:id="3573"/>
      </w:r>
      <w:r>
        <w:rPr>
          <w:rtl/>
        </w:rPr>
        <w:t>כְּפוּם עוֹבָדֵיהּ.</w:t>
      </w:r>
      <w:r>
        <w:rPr>
          <w:sz w:val="20"/>
          <w:szCs w:val="23"/>
          <w:rtl/>
        </w:rPr>
        <w:t xml:space="preserve"> </w:t>
      </w:r>
      <w:r>
        <w:rPr>
          <w:rStyle w:val="a7"/>
          <w:sz w:val="20"/>
          <w:szCs w:val="23"/>
          <w:rtl/>
        </w:rPr>
        <w:footnoteReference w:id="3574"/>
      </w:r>
      <w:r>
        <w:rPr>
          <w:rtl/>
        </w:rPr>
        <w:t xml:space="preserve">זִמְנִין אִתְגַּלְיָא לוֹן בִּדְמוּת אַרְיֵה, הֲדָא הוּא דִכְתִיב </w:t>
      </w:r>
      <w:r>
        <w:rPr>
          <w:sz w:val="20"/>
          <w:szCs w:val="23"/>
          <w:rtl/>
        </w:rPr>
        <w:t>(עמוס ג ח)</w:t>
      </w:r>
      <w:r>
        <w:rPr>
          <w:rtl/>
        </w:rPr>
        <w:t xml:space="preserve"> אַרְיֵה שָׁאָג מִי לֹא יִירָא, זִמְנִין בְּדִיּוֹקְנָא דְשׁוֹר, הֲדָא הוּא דִכְתִיב </w:t>
      </w:r>
      <w:r>
        <w:rPr>
          <w:sz w:val="20"/>
          <w:szCs w:val="23"/>
          <w:rtl/>
        </w:rPr>
        <w:t>(דברים לג יז)</w:t>
      </w:r>
      <w:r>
        <w:rPr>
          <w:rtl/>
        </w:rPr>
        <w:t xml:space="preserve"> בְּכוֹר שׁוֹרוֹ הָדָר לוֹ וְקַרְנֵי רְאֵם קַרְנָיו, וְזִמְנִין בְּדִיּוֹקְנָא דְּנֶשֶׁר, הֲדָא הוּא דִכְתִיב </w:t>
      </w:r>
      <w:r>
        <w:rPr>
          <w:sz w:val="20"/>
          <w:szCs w:val="23"/>
          <w:rtl/>
        </w:rPr>
        <w:t>(שם לב יא)</w:t>
      </w:r>
      <w:r>
        <w:rPr>
          <w:rtl/>
        </w:rPr>
        <w:t xml:space="preserve"> כְּנֶשֶׁר יָעִיר קִנּוֹ, וְזִמְנִין בְּדִיּוֹקְנָא </w:t>
      </w:r>
      <w:r>
        <w:rPr>
          <w:rStyle w:val="a7"/>
          <w:rtl/>
        </w:rPr>
        <w:footnoteReference w:id="3575"/>
      </w:r>
      <w:r>
        <w:rPr>
          <w:rtl/>
        </w:rPr>
        <w:t xml:space="preserve">דְאָדָם סָבָא בְּסִינַי, וזִמְנִין בְּאָדָם בָּחוּר כְּמָה דְּאִתְדַּמְיָא לְאִלֵּין דְּאָמְרֵי זֶה אֵלִי וְאַנְוִהוּ </w:t>
      </w:r>
      <w:r>
        <w:rPr>
          <w:sz w:val="20"/>
          <w:szCs w:val="23"/>
          <w:rtl/>
        </w:rPr>
        <w:t>(שמות טו ב)</w:t>
      </w:r>
      <w:r>
        <w:rPr>
          <w:rtl/>
        </w:rPr>
        <w:t xml:space="preserve">, אִתְדַּמְיָין לוֹן בִּדְמוּת בָּחוּר, </w:t>
      </w:r>
      <w:r>
        <w:rPr>
          <w:rStyle w:val="a7"/>
          <w:rtl/>
        </w:rPr>
        <w:footnoteReference w:id="3576"/>
      </w:r>
      <w:r>
        <w:rPr>
          <w:rtl/>
        </w:rPr>
        <w:t xml:space="preserve">וְאִתְּמַר בְּהוּ </w:t>
      </w:r>
      <w:r>
        <w:rPr>
          <w:sz w:val="20"/>
          <w:szCs w:val="23"/>
          <w:rtl/>
        </w:rPr>
        <w:t>(נ''א ביה)</w:t>
      </w:r>
      <w:r>
        <w:rPr>
          <w:szCs w:val="23"/>
          <w:rtl/>
        </w:rPr>
        <w:t xml:space="preserve"> </w:t>
      </w:r>
      <w:r>
        <w:rPr>
          <w:sz w:val="20"/>
          <w:szCs w:val="23"/>
          <w:rtl/>
        </w:rPr>
        <w:t>(דברים לב יג)</w:t>
      </w:r>
      <w:r>
        <w:rPr>
          <w:rtl/>
        </w:rPr>
        <w:t xml:space="preserve"> וַיֵּנִיקֵהוּ דְבַשׁ מִסֶּלַע וְשֶׁמֶן מֵחַלְמִישׁ צוּר, </w:t>
      </w:r>
      <w:r>
        <w:rPr>
          <w:rStyle w:val="a7"/>
          <w:rtl/>
        </w:rPr>
        <w:footnoteReference w:id="3577"/>
      </w:r>
      <w:r>
        <w:rPr>
          <w:rtl/>
        </w:rPr>
        <w:t>אֲבָל לְאִלֵּין דְּתַלְיָין מִנֵּיהּ וּמִשְּׁכִינְתֵּיהּ לָא אִשְׁתַּנֵּי לְעוֹלָם.</w:t>
      </w:r>
    </w:p>
    <w:p w:rsidR="003841DB" w:rsidRDefault="003841DB" w:rsidP="00B17EA9">
      <w:pPr>
        <w:pStyle w:val="NormalWeb"/>
        <w:rPr>
          <w:rtl/>
        </w:rPr>
      </w:pPr>
      <w:r>
        <w:rPr>
          <w:rStyle w:val="a7"/>
          <w:rtl/>
        </w:rPr>
        <w:footnoteReference w:id="3578"/>
      </w:r>
      <w:r>
        <w:rPr>
          <w:rtl/>
        </w:rPr>
        <w:t xml:space="preserve">וְאִינוּן תְּמוּרוֹת אִינוּן רָזָא דְיִבּוּם, דְּאִתְּמַר בָּהּ בַּיְבָמָה </w:t>
      </w:r>
      <w:r>
        <w:rPr>
          <w:sz w:val="20"/>
          <w:szCs w:val="23"/>
          <w:rtl/>
        </w:rPr>
        <w:t>(רות ד ז)</w:t>
      </w:r>
      <w:r>
        <w:rPr>
          <w:rtl/>
        </w:rPr>
        <w:t xml:space="preserve"> עַל הַגְאוּלָה וְעַל הַתְּמוּרָה, לְקַיֵּים כָּל דָּבָר שָׁלַף אִישׁ נַעֲלוֹ וְנָתַן לְרֵעִהוּ, בְּהַהוּא נַעַל דְּנָתַן לְרֵעִהוּ אִית תְּמוּרָה וְשִׁנּוּי רָצוֹן, </w:t>
      </w:r>
      <w:r>
        <w:rPr>
          <w:rStyle w:val="a7"/>
          <w:rtl/>
        </w:rPr>
        <w:footnoteReference w:id="3579"/>
      </w:r>
      <w:r>
        <w:rPr>
          <w:rtl/>
        </w:rPr>
        <w:t xml:space="preserve">וְתַמָּן צָרִיךְ </w:t>
      </w:r>
      <w:r>
        <w:rPr>
          <w:rStyle w:val="a7"/>
          <w:rtl/>
        </w:rPr>
        <w:footnoteReference w:id="3580"/>
      </w:r>
      <w:r>
        <w:rPr>
          <w:rtl/>
        </w:rPr>
        <w:t>שִׁנּוּי מָקוֹם וְשִׁנּוּי הַשֵּׁם וְשִׁנּוּי מַעֲשֶׂה לְקַיֵּים כָּל דָּבָר.</w:t>
      </w:r>
    </w:p>
    <w:p w:rsidR="003841DB" w:rsidRDefault="003841DB" w:rsidP="00B17EA9">
      <w:pPr>
        <w:pStyle w:val="NormalWeb"/>
        <w:rPr>
          <w:rtl/>
        </w:rPr>
      </w:pPr>
      <w:r>
        <w:rPr>
          <w:rtl/>
        </w:rPr>
        <w:t xml:space="preserve">נַעַל אִיהוּ גוּפָא, וְאַמַּאי בַּחֲלִיצַת נַעַל דְּנָתַן לְרֵעִהוּ אִית תְּמוּרָה וְשִׁנּוּי, </w:t>
      </w:r>
      <w:r>
        <w:rPr>
          <w:rStyle w:val="a7"/>
          <w:rtl/>
        </w:rPr>
        <w:footnoteReference w:id="3581"/>
      </w:r>
      <w:r>
        <w:rPr>
          <w:rtl/>
        </w:rPr>
        <w:t xml:space="preserve">אָמַר סָבָא חֲדָא, רַבִּי רַבִּי, לָא תֵימָא הָכִי, אֶלָּא אַמַּאי חֲלִיצָה בַּנַּעַל, אֶלָּא אִיהוּ קְלִיפָה לְאִתְטַמְרָא בָּהּ לְאִשְׁתֵּזָבָא מִנֵּיהּ, וְלָא אִשְׁתְּמוֹדָע לְגַבֵּי מְקַטְרְגִין דִּילֵיהּ, וּבַחֲלִיצָה דְּנַעַל </w:t>
      </w:r>
      <w:r>
        <w:rPr>
          <w:rStyle w:val="a7"/>
          <w:rtl/>
        </w:rPr>
        <w:footnoteReference w:id="3582"/>
      </w:r>
      <w:r>
        <w:rPr>
          <w:rtl/>
        </w:rPr>
        <w:t xml:space="preserve">חָלַץ לֵיהּ י''ה, וּבְגִין דָּא שָׁלַף אִישׁ נַעֲלוֹ וְנָתַן לְרֵעִהוּ, </w:t>
      </w:r>
      <w:r>
        <w:rPr>
          <w:rStyle w:val="a7"/>
          <w:rtl/>
        </w:rPr>
        <w:footnoteReference w:id="3583"/>
      </w:r>
      <w:r>
        <w:rPr>
          <w:rtl/>
        </w:rPr>
        <w:t>נַעַל ו', גַּן נָעוּל, דְּאִיהוּ בֶּן י''ה, לְאַעָלָא בֵּין ו''ה, וְדָא אִיהוּ חָלַץ י''ה.</w:t>
      </w:r>
    </w:p>
    <w:p w:rsidR="003841DB" w:rsidRDefault="003841DB" w:rsidP="00B17EA9">
      <w:pPr>
        <w:pStyle w:val="NormalWeb"/>
        <w:rPr>
          <w:rtl/>
        </w:rPr>
      </w:pPr>
      <w:r>
        <w:rPr>
          <w:rtl/>
        </w:rPr>
        <w:t xml:space="preserve">וּמֹשֶׁה אִתְּמַר בֵּיהּ </w:t>
      </w:r>
      <w:r>
        <w:rPr>
          <w:sz w:val="20"/>
          <w:szCs w:val="23"/>
          <w:rtl/>
        </w:rPr>
        <w:t>(שמות ג ה)</w:t>
      </w:r>
      <w:r>
        <w:rPr>
          <w:rtl/>
        </w:rPr>
        <w:t xml:space="preserve"> שַׁל נְעָלֶיךָ מֵעַל רַגְלֶיךָ, דָּא בְּהִפּוּכָא דְאָחֳרָנִין, דְּלָא צָרִיךְ לְאִתְחַזְיָא קֳדָם שְׁכִינְתָּא בִּקְלִיפָה, וְרָזָא דְמִלָּה כִּי אֵין לָבֹא אֶל שַׁעַר הַמֶּלֶךְ בִּלְבוּשׁ שָׂק </w:t>
      </w:r>
      <w:r>
        <w:rPr>
          <w:sz w:val="20"/>
          <w:szCs w:val="23"/>
          <w:rtl/>
        </w:rPr>
        <w:t>(אסתר ד ב)</w:t>
      </w:r>
      <w:r>
        <w:rPr>
          <w:rtl/>
        </w:rPr>
        <w:t xml:space="preserve">, וּלְגַבֵּי אֲבָהָן לָא אִתְחַזְיָא אֶלָּא בַּנְּעָלִים, הֲדָא הוּא דִכְתִיב </w:t>
      </w:r>
      <w:r>
        <w:rPr>
          <w:sz w:val="20"/>
          <w:szCs w:val="23"/>
          <w:rtl/>
        </w:rPr>
        <w:t>(שיר ז ב)</w:t>
      </w:r>
      <w:r>
        <w:rPr>
          <w:rtl/>
        </w:rPr>
        <w:t xml:space="preserve"> </w:t>
      </w:r>
      <w:r>
        <w:rPr>
          <w:rStyle w:val="a7"/>
          <w:rtl/>
        </w:rPr>
        <w:footnoteReference w:id="3584"/>
      </w:r>
      <w:r>
        <w:rPr>
          <w:rtl/>
        </w:rPr>
        <w:t xml:space="preserve">מַה יָּפוּ פְעָמַיִךְ בַּנְּעָלִים בַּת נָדִיב, אֲבָל לְגַבֵּי מֹשֶׁה בְּלָא כִּסּוּיָא כְּלָל, וְרָזָא דְמִלָּה וָאֵרָא אֶל אַבְרָהָם אֶל יִצְחָק וְאֶל יַעֲקֹב בְּאֵ''ל שׁד''י, וּשְׁמִי יהו''ה לֹא נוֹדַעְתִּי לָהֶם </w:t>
      </w:r>
      <w:r>
        <w:rPr>
          <w:sz w:val="20"/>
          <w:szCs w:val="23"/>
          <w:rtl/>
        </w:rPr>
        <w:t>(שמות ו ג)</w:t>
      </w:r>
      <w:r>
        <w:rPr>
          <w:szCs w:val="23"/>
          <w:rtl/>
        </w:rPr>
        <w:t xml:space="preserve">, </w:t>
      </w:r>
      <w:r>
        <w:rPr>
          <w:rStyle w:val="Char"/>
          <w:rtl/>
        </w:rPr>
        <w:t>וּמֹשֶׁה אִתְּמַר בֵּיהּ</w:t>
      </w:r>
      <w:r>
        <w:rPr>
          <w:szCs w:val="23"/>
          <w:rtl/>
        </w:rPr>
        <w:t xml:space="preserve"> </w:t>
      </w:r>
      <w:r>
        <w:rPr>
          <w:sz w:val="20"/>
          <w:szCs w:val="23"/>
          <w:rtl/>
        </w:rPr>
        <w:t>(שם ג יג)</w:t>
      </w:r>
      <w:r>
        <w:rPr>
          <w:rtl/>
        </w:rPr>
        <w:t xml:space="preserve"> וְאָמְרוּ לִ''י מַ''ה שְּׁמ''וֹ מָ''ה אוֹמַר אֲלֵיהֶם.</w:t>
      </w:r>
    </w:p>
    <w:p w:rsidR="003841DB" w:rsidRDefault="003841DB" w:rsidP="00B17EA9">
      <w:pPr>
        <w:pStyle w:val="aa"/>
        <w:rPr>
          <w:rtl/>
        </w:rPr>
      </w:pPr>
      <w:r>
        <w:rPr>
          <w:rtl/>
        </w:rPr>
        <w:t xml:space="preserve">[תיקוני זוהר - דף עא ע''א] </w:t>
      </w:r>
    </w:p>
    <w:p w:rsidR="003841DB" w:rsidRDefault="003841DB" w:rsidP="00B17EA9">
      <w:pPr>
        <w:pStyle w:val="NormalWeb"/>
        <w:rPr>
          <w:rtl/>
        </w:rPr>
      </w:pPr>
      <w:r>
        <w:rPr>
          <w:rtl/>
        </w:rPr>
        <w:t xml:space="preserve">וְעוֹד אַמַּאי צָרִיךְ חֲלִיצָה בַּנַּעַל מְאִשָּׁה, בְּגִין דְּמָאן דְּיָמוּת בְּלָא בַּר </w:t>
      </w:r>
      <w:r>
        <w:rPr>
          <w:rStyle w:val="a7"/>
          <w:rtl/>
        </w:rPr>
        <w:footnoteReference w:id="3585"/>
      </w:r>
      <w:r>
        <w:rPr>
          <w:rtl/>
        </w:rPr>
        <w:t xml:space="preserve">אִיהוּ קָשִּׁיר בְּרַגְלֵיהּ דְּיָבָם, וְרָזָא דְמִלָּה הוּא יְשׁוּפְךָ רֹאשׁ וְאַתָּה תְּשׁוּפֶנוּ עָקֵב </w:t>
      </w:r>
      <w:r>
        <w:rPr>
          <w:sz w:val="20"/>
          <w:szCs w:val="23"/>
          <w:rtl/>
        </w:rPr>
        <w:t>(בראשית ג יד)</w:t>
      </w:r>
      <w:r>
        <w:rPr>
          <w:rtl/>
        </w:rPr>
        <w:t xml:space="preserve">, </w:t>
      </w:r>
      <w:r>
        <w:rPr>
          <w:sz w:val="20"/>
          <w:szCs w:val="23"/>
          <w:rtl/>
        </w:rPr>
        <w:t xml:space="preserve">(דף עא ע''א) </w:t>
      </w:r>
      <w:r>
        <w:rPr>
          <w:rStyle w:val="a7"/>
          <w:rtl/>
        </w:rPr>
        <w:footnoteReference w:id="3586"/>
      </w:r>
      <w:r>
        <w:rPr>
          <w:rtl/>
        </w:rPr>
        <w:t>וּבְגִין דְּלָא יָמִית לֵיהּ חִוְיָא דְּאִיהוּ כָּרוּךְ עַל עֲקֵבוֹ, צָרִיךְ לַחֲלוֹץ לְגַבֵּי נַעַל מְאִתְּתָא, וְאִתְפַּטַּר הַהוּא חִוְיָא מִנֵּיהּ.</w:t>
      </w:r>
    </w:p>
    <w:p w:rsidR="003841DB" w:rsidRDefault="003841DB" w:rsidP="00B17EA9">
      <w:pPr>
        <w:pStyle w:val="NormalWeb"/>
        <w:rPr>
          <w:rtl/>
        </w:rPr>
      </w:pPr>
      <w:r>
        <w:rPr>
          <w:rtl/>
        </w:rPr>
        <w:t xml:space="preserve">וְכֹלָּא עַל הַהִיא טִפָּה דְּאִיהִי י' דְפָרַח מִן יַעֲקֹב לְאַתְרֵיהּ, וְיַעֲקֹב בְּגִין דָּא קָנָה מִנֵּיהּ בְּכֵרוּתָא, לְאַחְזָרָא י' לְאַתְרֵיהּ, דְּאִיהִי טִפָּה בּוּכְרָא, דְּבָהּ חָאב אָדָם, וּפָרַח מִנֵּיהּ </w:t>
      </w:r>
      <w:r>
        <w:rPr>
          <w:rStyle w:val="a7"/>
          <w:rtl/>
        </w:rPr>
        <w:footnoteReference w:id="3587"/>
      </w:r>
      <w:r>
        <w:rPr>
          <w:rtl/>
        </w:rPr>
        <w:t xml:space="preserve">וְאִשְׁתָּאַר יָחִיד בְּלָא עִזֶר, </w:t>
      </w:r>
      <w:r>
        <w:rPr>
          <w:rStyle w:val="a7"/>
          <w:rtl/>
        </w:rPr>
        <w:footnoteReference w:id="3588"/>
      </w:r>
      <w:r>
        <w:rPr>
          <w:rtl/>
        </w:rPr>
        <w:t xml:space="preserve">וּבְגִין דָּא אָמַר </w:t>
      </w:r>
      <w:r>
        <w:rPr>
          <w:sz w:val="20"/>
          <w:szCs w:val="23"/>
          <w:rtl/>
        </w:rPr>
        <w:t>(תהלים מט ו)</w:t>
      </w:r>
      <w:r>
        <w:rPr>
          <w:rtl/>
        </w:rPr>
        <w:t xml:space="preserve"> לָמָּה אִירָא בִּימֵי רָע עֲוֹן עֲקֵבַי יְסוּבֵּנִי, וּבְגִין דָּא אַיְתִי לֵיהּ קוּדְשָׁא בְּרִיךְ הוּא תְּלַת זִמְנִין לְאָדָם קַדְמָאָה בְּגִלְגּוּלָא, הֲדָא הוּא דִכְתִיב </w:t>
      </w:r>
      <w:r>
        <w:rPr>
          <w:sz w:val="20"/>
          <w:szCs w:val="23"/>
          <w:rtl/>
        </w:rPr>
        <w:t>(איוב לג כט)</w:t>
      </w:r>
      <w:r>
        <w:rPr>
          <w:rtl/>
        </w:rPr>
        <w:t xml:space="preserve"> הֶן כָּל אֵלֶּה יִפְעַל אֵ''ל פַּעֲמַיִם שָׁלֹשׁ עִם גָּבֶר, וְדָא אִיהוּ שִׁנּוּי מָקוֹם וְשִׁנּוּי הַשֵּׁם וְשִׁנּוּי מַעֲשֶׂה.</w:t>
      </w:r>
    </w:p>
    <w:p w:rsidR="003841DB" w:rsidRDefault="003841DB" w:rsidP="00B17EA9">
      <w:pPr>
        <w:pStyle w:val="NormalWeb"/>
        <w:rPr>
          <w:rtl/>
        </w:rPr>
      </w:pPr>
      <w:r>
        <w:rPr>
          <w:rtl/>
        </w:rPr>
        <w:t xml:space="preserve">וְעַל הַהִיא טִפָּה אִתְּמַר בָּהּ </w:t>
      </w:r>
      <w:r>
        <w:rPr>
          <w:sz w:val="20"/>
          <w:szCs w:val="23"/>
          <w:rtl/>
        </w:rPr>
        <w:t>(שיר ז ב)</w:t>
      </w:r>
      <w:r>
        <w:rPr>
          <w:rtl/>
        </w:rPr>
        <w:t xml:space="preserve"> מַה יָּפוּ פְעָמַיִךְ בַּנְּעָלִים בַּת נָדִיב, וְאִתְדַּבְּקַת בְּיַעֲקֹב, וְאַפִּיקַת מִנֵּיהּ י''ב שִׁבְטִין, הֲדָא הוּא דִכְתִיב </w:t>
      </w:r>
      <w:r>
        <w:rPr>
          <w:sz w:val="20"/>
          <w:szCs w:val="23"/>
          <w:rtl/>
        </w:rPr>
        <w:t>(תהלים קכב ד)</w:t>
      </w:r>
      <w:r>
        <w:rPr>
          <w:rtl/>
        </w:rPr>
        <w:t xml:space="preserve"> שִׁבְטֵי י''הּ עִדוּת לְיִשְׂרָאֵל, </w:t>
      </w:r>
      <w:r>
        <w:rPr>
          <w:rStyle w:val="a7"/>
          <w:rtl/>
        </w:rPr>
        <w:footnoteReference w:id="3589"/>
      </w:r>
      <w:r>
        <w:rPr>
          <w:rtl/>
        </w:rPr>
        <w:t xml:space="preserve">דְּאִתְּמַר בֵּיהּ יִשְׂרָאֵל עָלָה בִּמַחִשָׁבָה, וּבְהַהוּא זִמְנָא רָוַוח יַעֲקֹב מַה דְּאָבִיד דְאִיהוּ י' מִיַּעֲקֹב, הֲדָא הוּא דִכְתִיב </w:t>
      </w:r>
      <w:r>
        <w:rPr>
          <w:sz w:val="20"/>
          <w:szCs w:val="23"/>
          <w:rtl/>
        </w:rPr>
        <w:t>(בראשית לב כט)</w:t>
      </w:r>
      <w:r>
        <w:rPr>
          <w:rtl/>
        </w:rPr>
        <w:t xml:space="preserve"> לֹא יַעֲקֹב יֵאָמֵר עוֹד שִׁמְךָ כִּי אִם יִשְׂרָאֵל.</w:t>
      </w:r>
    </w:p>
    <w:p w:rsidR="003841DB" w:rsidRDefault="003841DB" w:rsidP="00B17EA9">
      <w:pPr>
        <w:pStyle w:val="NormalWeb"/>
        <w:rPr>
          <w:rtl/>
        </w:rPr>
      </w:pPr>
      <w:r>
        <w:rPr>
          <w:rStyle w:val="a7"/>
          <w:rtl/>
        </w:rPr>
        <w:footnoteReference w:id="3590"/>
      </w:r>
      <w:r>
        <w:rPr>
          <w:rtl/>
        </w:rPr>
        <w:t xml:space="preserve">בְּאַבְרָהָם שֵׁזִיב מִסַּם הַמָוְת, חוֹבָא דְאָדָם, גֵּיהִנָּם, נָחָשׁ, אֵשֶׁת זְנוּנִים דְּאִתְּמַר בֵּיהּ </w:t>
      </w:r>
      <w:r>
        <w:rPr>
          <w:sz w:val="20"/>
          <w:szCs w:val="23"/>
          <w:rtl/>
        </w:rPr>
        <w:t>(שמות כ יד)</w:t>
      </w:r>
      <w:r>
        <w:rPr>
          <w:rtl/>
        </w:rPr>
        <w:t xml:space="preserve"> לֹא תִנְאָף. </w:t>
      </w:r>
      <w:r>
        <w:rPr>
          <w:rStyle w:val="a7"/>
          <w:rtl/>
        </w:rPr>
        <w:footnoteReference w:id="3591"/>
      </w:r>
      <w:r>
        <w:rPr>
          <w:rtl/>
        </w:rPr>
        <w:t xml:space="preserve">בְּיִצְחָק שֵׁזִיב מֵאֵל אַחֵר דְּאִתְּמַר בֵּיהּ </w:t>
      </w:r>
      <w:r>
        <w:rPr>
          <w:sz w:val="20"/>
          <w:szCs w:val="23"/>
          <w:rtl/>
        </w:rPr>
        <w:t>(שם יג)</w:t>
      </w:r>
      <w:r>
        <w:rPr>
          <w:rtl/>
        </w:rPr>
        <w:t xml:space="preserve"> לֹא תִרְצַח. בְּיַעֲקֹב אַשְׁכַּח אֲתַר לְיַנְקָא </w:t>
      </w:r>
      <w:r>
        <w:rPr>
          <w:sz w:val="20"/>
          <w:szCs w:val="23"/>
          <w:rtl/>
        </w:rPr>
        <w:t>(נ''א לנקאה)</w:t>
      </w:r>
      <w:r>
        <w:rPr>
          <w:rtl/>
        </w:rPr>
        <w:t xml:space="preserve"> בְּנוֹי, וְדָא שִׁנּוּי מָקוֹם, וְלֵית חַד מִנַּיְהוּ דְּלָא אִתְכְּלִיל בִּתְלָתָא, לְקַיְימָא הֶן כָּל אֵלֶּה יִפְעַל אֵ''ל פַּעֲמַיִם שָׁלוֹשׁ עִם גָּבֶר </w:t>
      </w:r>
      <w:r>
        <w:rPr>
          <w:sz w:val="20"/>
          <w:szCs w:val="23"/>
          <w:rtl/>
        </w:rPr>
        <w:t>(איוב לג כט)</w:t>
      </w:r>
      <w:r>
        <w:rPr>
          <w:rtl/>
        </w:rPr>
        <w:t>.</w:t>
      </w:r>
    </w:p>
    <w:p w:rsidR="003841DB" w:rsidRDefault="003841DB" w:rsidP="00B17EA9">
      <w:pPr>
        <w:pStyle w:val="NormalWeb"/>
        <w:rPr>
          <w:rtl/>
        </w:rPr>
      </w:pPr>
      <w:r>
        <w:rPr>
          <w:rtl/>
        </w:rPr>
        <w:t xml:space="preserve">קָם סָבָא וְאָמַר רַבִּי רַבִּי בְּמַאי אוּקִימְתָּא סוֹד יִבּוּם וַחֲלִיצָה, דְּהָא בְּרִירָא דְמִלָּה שְׁמַעְנָא, אָמַר לֵיהּ מַה דִּשְׁמַעְתְּ אֵימָא, אָמַר וַדַּאי בְּרָזָא דְיִבּוּם אַשְׁכַּח אַתְרָא הַהִיא נִשְׁמָתָא עַרְטִילָאָה, הֲדָא הוּא דִכְתִיב </w:t>
      </w:r>
      <w:r>
        <w:rPr>
          <w:sz w:val="20"/>
          <w:szCs w:val="23"/>
          <w:rtl/>
        </w:rPr>
        <w:t>(תהלים פד ד)</w:t>
      </w:r>
      <w:r>
        <w:rPr>
          <w:rtl/>
        </w:rPr>
        <w:t xml:space="preserve"> גַּם צִפּוֹר מָצְאָה בַיִת, וְדָא נֶפֶשׁ דְּאַתְיָא בְּגִלְגּוּל זִמְנָא קַדְמָאָה, וּדְרוֹר קֵן לָהּ </w:t>
      </w:r>
      <w:r>
        <w:rPr>
          <w:sz w:val="20"/>
          <w:szCs w:val="23"/>
          <w:rtl/>
        </w:rPr>
        <w:t>(שם)</w:t>
      </w:r>
      <w:r>
        <w:rPr>
          <w:rtl/>
        </w:rPr>
        <w:t xml:space="preserve"> דָּא נִשְׁמָתָא דְּאַתְיָא בְגִלְגּוּלָא זִמְנָא תִנְיָינָא, אֲשֶׁר שָׁתָה </w:t>
      </w:r>
      <w:r>
        <w:rPr>
          <w:rStyle w:val="a7"/>
          <w:rtl/>
        </w:rPr>
        <w:footnoteReference w:id="3592"/>
      </w:r>
      <w:r>
        <w:rPr>
          <w:rtl/>
        </w:rPr>
        <w:t xml:space="preserve">אֶפְרוֹחֶיהָ </w:t>
      </w:r>
      <w:r>
        <w:rPr>
          <w:sz w:val="20"/>
          <w:szCs w:val="23"/>
          <w:rtl/>
        </w:rPr>
        <w:t>(שם)</w:t>
      </w:r>
      <w:r>
        <w:rPr>
          <w:rtl/>
        </w:rPr>
        <w:t xml:space="preserve"> דָּא רוּחָא דְאַתְיָא בְגִלְגּוּלָא זִמְנָא תְּלִיתָאָה, וּמִינָהּ נָפְקִין אֶפְרוֹחִין דְּאִינוּן בְּנִין, וּבְרָזָא דְיִבּוּם כֻּלְּהוּ תְּלַת נָחֲתִין בְּבַת אַחַת, הֲדָא הוּא דִכְתִיב </w:t>
      </w:r>
      <w:r>
        <w:rPr>
          <w:sz w:val="20"/>
          <w:szCs w:val="23"/>
          <w:rtl/>
        </w:rPr>
        <w:t>(איוב לד יד)</w:t>
      </w:r>
      <w:r>
        <w:rPr>
          <w:rtl/>
        </w:rPr>
        <w:t xml:space="preserve"> אִם יָשִׂים אֵלָיו לִבּוֹ רוּחוֹ וְנִשְׁמָתוֹ אֵלָיו יֶאֱסוֹף, </w:t>
      </w:r>
      <w:r>
        <w:rPr>
          <w:rStyle w:val="a7"/>
          <w:rtl/>
        </w:rPr>
        <w:footnoteReference w:id="3593"/>
      </w:r>
      <w:r>
        <w:rPr>
          <w:rtl/>
        </w:rPr>
        <w:t xml:space="preserve">לִבּוֹ דְתַמָּן נֶפֶשׁ, רוּחַ בְּכַנְפֵי רֵיאָה, נִשְׁמָתָא בְמוֹחָא, וְכֻלְּהוּ חַד בְּקִשׁוּרָא חֲדָא, אֲבָל חֲלִיצָה אִיהִי שֵׁזְבַת הַהִיא נִשְׁמָתָא וְרוּחָא וְנַפְשָׁא דְּאִינוּן קְטִירִין בִּתְלַת קִשּׁוּרִין דְּחִוְיָא, וְרָזָא דְּמִלָּה נַפְשֵׁנוּ כְּצִפּוֹר נִמְלְטָה מִפַּח יוֹקְשִׁים הַפַּח נִשְׁבַּר וַאֲנַחְנוּ נִמְלָטְנוּ </w:t>
      </w:r>
      <w:r>
        <w:rPr>
          <w:sz w:val="20"/>
          <w:szCs w:val="23"/>
          <w:rtl/>
        </w:rPr>
        <w:t>(תהלים קכד ז)</w:t>
      </w:r>
      <w:r>
        <w:rPr>
          <w:rtl/>
        </w:rPr>
        <w:t xml:space="preserve">, קָם רַבִּי שִׁמְעוֹן כְּדֵי לְנַשְׁקָא לֵיהּ, פָּרַח מִיָּד וְלָא אִתְחֲזִי. </w:t>
      </w:r>
      <w:r>
        <w:rPr>
          <w:sz w:val="20"/>
          <w:szCs w:val="23"/>
          <w:rtl/>
        </w:rPr>
        <w:t>(תקון כ''ז וכ"ח נדפסו בהקדמה כי שם ביתם)</w:t>
      </w:r>
    </w:p>
    <w:p w:rsidR="003841DB" w:rsidRDefault="003841DB" w:rsidP="003841DB">
      <w:pPr>
        <w:pStyle w:val="a8"/>
        <w:spacing w:before="0" w:after="40"/>
        <w:rPr>
          <w:rtl/>
        </w:rPr>
      </w:pPr>
      <w:bookmarkStart w:id="225" w:name="_Toc228091306"/>
      <w:bookmarkStart w:id="226" w:name="_Toc231637945"/>
    </w:p>
    <w:p w:rsidR="003841DB" w:rsidRDefault="003841DB" w:rsidP="00602EF1">
      <w:pPr>
        <w:pStyle w:val="1"/>
        <w:rPr>
          <w:u w:val="single"/>
          <w:rtl/>
        </w:rPr>
      </w:pPr>
      <w:r>
        <w:rPr>
          <w:rtl/>
        </w:rPr>
        <w:t xml:space="preserve">תקונא עשרין </w:t>
      </w:r>
      <w:bookmarkEnd w:id="225"/>
      <w:bookmarkEnd w:id="226"/>
      <w:r>
        <w:rPr>
          <w:rtl/>
        </w:rPr>
        <w:t>ותשע</w:t>
      </w:r>
    </w:p>
    <w:p w:rsidR="003841DB" w:rsidRDefault="003841DB" w:rsidP="00B17EA9">
      <w:pPr>
        <w:pStyle w:val="aa"/>
        <w:rPr>
          <w:rtl/>
        </w:rPr>
      </w:pPr>
      <w:r>
        <w:rPr>
          <w:rtl/>
        </w:rPr>
        <w:t xml:space="preserve">[תיקוני זוהר - דף עה ע''ב] </w:t>
      </w:r>
    </w:p>
    <w:p w:rsidR="003841DB" w:rsidRDefault="003841DB" w:rsidP="003841DB">
      <w:pPr>
        <w:spacing w:after="40" w:line="360" w:lineRule="atLeast"/>
        <w:ind w:left="144" w:right="144" w:firstLine="288"/>
        <w:jc w:val="both"/>
        <w:rPr>
          <w:rFonts w:ascii="Arial"/>
          <w:b/>
          <w:bCs/>
          <w:sz w:val="29"/>
          <w:szCs w:val="29"/>
          <w:rtl/>
        </w:rPr>
      </w:pPr>
      <w:r>
        <w:rPr>
          <w:rFonts w:ascii="Arial"/>
          <w:b/>
          <w:szCs w:val="23"/>
          <w:rtl/>
        </w:rPr>
        <w:t xml:space="preserve">(דף </w:t>
      </w:r>
      <w:r>
        <w:rPr>
          <w:b/>
          <w:szCs w:val="23"/>
          <w:rtl/>
        </w:rPr>
        <w:t>עה</w:t>
      </w:r>
      <w:r>
        <w:rPr>
          <w:rFonts w:ascii="Arial"/>
          <w:b/>
          <w:szCs w:val="23"/>
          <w:rtl/>
        </w:rPr>
        <w:t xml:space="preserve"> ע''ב) </w:t>
      </w:r>
      <w:r>
        <w:rPr>
          <w:rStyle w:val="a7"/>
          <w:rFonts w:ascii="Arial"/>
          <w:b/>
          <w:bCs/>
          <w:sz w:val="29"/>
          <w:szCs w:val="29"/>
          <w:rtl/>
        </w:rPr>
        <w:footnoteReference w:id="3594"/>
      </w:r>
      <w:r>
        <w:rPr>
          <w:rFonts w:ascii="Arial"/>
          <w:b/>
          <w:bCs/>
          <w:sz w:val="29"/>
          <w:szCs w:val="29"/>
          <w:rtl/>
        </w:rPr>
        <w:t xml:space="preserve">בְּרֵאשִׁית בֵּיהּ תְּלַת פִּקּוּדִין, חַד יִרְאַת יהו''ה כְּגַוְונָא דָא בְּרֵאשִׁי''ת יְרָ''א בֹּשֶׁ''ת וְהָא אוּקְמוּהוּ, תִּנְיָינָא בְּרִית כְּגַוְונָא דָא בְּרֵאשִׁי''ת </w:t>
      </w:r>
      <w:r>
        <w:rPr>
          <w:rStyle w:val="a7"/>
          <w:rFonts w:ascii="Arial"/>
          <w:b/>
          <w:bCs/>
          <w:sz w:val="29"/>
          <w:szCs w:val="29"/>
          <w:rtl/>
        </w:rPr>
        <w:footnoteReference w:id="3595"/>
      </w:r>
      <w:r>
        <w:rPr>
          <w:rFonts w:ascii="Arial"/>
          <w:b/>
          <w:bCs/>
          <w:sz w:val="29"/>
          <w:szCs w:val="29"/>
          <w:rtl/>
        </w:rPr>
        <w:t xml:space="preserve">בְּרִי''ת אֵ''שׁ, תְּלִיתָאָה שַׁבָּת כְּגַוְונָא דָא </w:t>
      </w:r>
      <w:r>
        <w:rPr>
          <w:rStyle w:val="a7"/>
          <w:rFonts w:ascii="Arial"/>
          <w:b/>
          <w:bCs/>
          <w:sz w:val="29"/>
          <w:szCs w:val="29"/>
          <w:rtl/>
        </w:rPr>
        <w:footnoteReference w:id="3596"/>
      </w:r>
      <w:r>
        <w:rPr>
          <w:rFonts w:ascii="Arial"/>
          <w:b/>
          <w:bCs/>
          <w:sz w:val="29"/>
          <w:szCs w:val="29"/>
          <w:rtl/>
        </w:rPr>
        <w:t>שַׁבָּ''ת יָרֵ''א.</w:t>
      </w:r>
    </w:p>
    <w:p w:rsidR="003841DB" w:rsidRDefault="003841DB" w:rsidP="003841DB">
      <w:pPr>
        <w:spacing w:after="40" w:line="360" w:lineRule="atLeast"/>
        <w:ind w:left="144" w:right="144" w:firstLine="288"/>
        <w:jc w:val="both"/>
        <w:rPr>
          <w:rFonts w:ascii="Arial"/>
          <w:b/>
          <w:bCs/>
          <w:sz w:val="29"/>
          <w:szCs w:val="29"/>
          <w:rtl/>
        </w:rPr>
      </w:pPr>
      <w:r>
        <w:rPr>
          <w:rStyle w:val="a7"/>
          <w:rFonts w:ascii="Arial"/>
          <w:b/>
          <w:bCs/>
          <w:sz w:val="29"/>
          <w:szCs w:val="29"/>
          <w:rtl/>
        </w:rPr>
        <w:footnoteReference w:id="3597"/>
      </w:r>
      <w:r>
        <w:rPr>
          <w:rFonts w:ascii="Arial"/>
          <w:b/>
          <w:bCs/>
          <w:sz w:val="29"/>
          <w:szCs w:val="29"/>
          <w:rtl/>
        </w:rPr>
        <w:t xml:space="preserve">פִּקּוּדָא קַדְמָאָה יִרְאַת יהו''ה, עֲלֵיהּ אִתְּמַר </w:t>
      </w:r>
      <w:r>
        <w:rPr>
          <w:rFonts w:ascii="Arial"/>
          <w:b/>
          <w:szCs w:val="23"/>
          <w:rtl/>
        </w:rPr>
        <w:t>(ישעיה לג ו)</w:t>
      </w:r>
      <w:r>
        <w:rPr>
          <w:rFonts w:ascii="Arial"/>
          <w:b/>
          <w:bCs/>
          <w:sz w:val="29"/>
          <w:szCs w:val="29"/>
          <w:rtl/>
        </w:rPr>
        <w:t xml:space="preserve"> יִרְאַת יהו''ה הִיא אוֹצָרוֹ, וְעוֹד אִתְּמַר בָּהּ </w:t>
      </w:r>
      <w:r>
        <w:rPr>
          <w:rFonts w:ascii="Arial"/>
          <w:b/>
          <w:szCs w:val="23"/>
          <w:rtl/>
        </w:rPr>
        <w:t>(משלי א ז)</w:t>
      </w:r>
      <w:r>
        <w:rPr>
          <w:rFonts w:ascii="Arial"/>
          <w:b/>
          <w:bCs/>
          <w:sz w:val="29"/>
          <w:szCs w:val="29"/>
          <w:rtl/>
        </w:rPr>
        <w:t xml:space="preserve"> יִרְאַת יהו''ה רֵאשִׁית דָּעַת, רֵאשִׁית חָכְמָה יִרְאַת יהו''ה </w:t>
      </w:r>
      <w:r>
        <w:rPr>
          <w:rFonts w:ascii="Arial"/>
          <w:b/>
          <w:szCs w:val="23"/>
          <w:rtl/>
        </w:rPr>
        <w:t>(תהלים קיא י)</w:t>
      </w:r>
      <w:r>
        <w:rPr>
          <w:rFonts w:ascii="Arial"/>
          <w:b/>
          <w:bCs/>
          <w:sz w:val="29"/>
          <w:szCs w:val="29"/>
          <w:rtl/>
        </w:rPr>
        <w:t xml:space="preserve">, וּבְוַדַּאי מָאן דְּלֵית בֵּיהּ דְּחִילוּ דְאִיהוּ אוֹצָר, לֵית תַּמָּן חָכְמָה, אוֹצָרָא דְהַאי חָכְמָה אִיהִי ב', וּבְתִקּוּנָא אָחֳרָא בְּרֵאשִׁית בּ' רֵאשִׁית, נְקוּדָה בְּהֵכָלֵיהּ, עֲלֵיהּ אִתְּמַר </w:t>
      </w:r>
      <w:r>
        <w:rPr>
          <w:rFonts w:ascii="Arial"/>
          <w:b/>
          <w:szCs w:val="23"/>
          <w:rtl/>
        </w:rPr>
        <w:t>(שיר ד יב)</w:t>
      </w:r>
      <w:r>
        <w:rPr>
          <w:rFonts w:ascii="Arial"/>
          <w:b/>
          <w:bCs/>
          <w:sz w:val="29"/>
          <w:szCs w:val="29"/>
          <w:rtl/>
        </w:rPr>
        <w:t xml:space="preserve"> גַּן נָעוּל אֲחוֹתִי כַלָּה גַּל נָעוּל מַעְיָן חָתוּם, </w:t>
      </w:r>
      <w:r>
        <w:rPr>
          <w:rStyle w:val="a7"/>
          <w:rFonts w:ascii="Arial"/>
          <w:b/>
          <w:bCs/>
          <w:sz w:val="29"/>
          <w:szCs w:val="29"/>
          <w:rtl/>
        </w:rPr>
        <w:footnoteReference w:id="3598"/>
      </w:r>
      <w:r>
        <w:rPr>
          <w:rFonts w:ascii="Arial"/>
          <w:b/>
          <w:bCs/>
          <w:sz w:val="29"/>
          <w:szCs w:val="29"/>
          <w:rtl/>
        </w:rPr>
        <w:t xml:space="preserve">גַּן אִיהוּ אוֹרַיְיתָא דְבִכְתָב, דְּאִיהוּ גַּ''ן סְדָרִים דְּאוֹרַיְיתָא, גַּל אִיהוּ אוֹרַיְיתָא דִבְעַל פֶּה, וְתַרְוַיְהוּ ב' מִבְּרֵאשִׁית, </w:t>
      </w:r>
      <w:r>
        <w:rPr>
          <w:rStyle w:val="a7"/>
          <w:rFonts w:ascii="Arial"/>
          <w:b/>
          <w:bCs/>
          <w:sz w:val="29"/>
          <w:szCs w:val="29"/>
          <w:rtl/>
        </w:rPr>
        <w:footnoteReference w:id="3599"/>
      </w:r>
      <w:r>
        <w:rPr>
          <w:rFonts w:ascii="Arial"/>
          <w:b/>
          <w:bCs/>
          <w:sz w:val="29"/>
          <w:szCs w:val="29"/>
          <w:rtl/>
        </w:rPr>
        <w:t>מַעְיָן חָתוּם דָּא רֵאשִׁית נְקוּדָה בְהֵיכָלֵיהּ.</w:t>
      </w:r>
    </w:p>
    <w:p w:rsidR="003841DB" w:rsidRDefault="003841DB" w:rsidP="003841DB">
      <w:pPr>
        <w:spacing w:after="40" w:line="360" w:lineRule="atLeast"/>
        <w:ind w:left="144" w:right="144" w:firstLine="288"/>
        <w:jc w:val="both"/>
        <w:rPr>
          <w:rFonts w:ascii="Arial"/>
          <w:b/>
          <w:bCs/>
          <w:sz w:val="29"/>
          <w:szCs w:val="29"/>
          <w:rtl/>
        </w:rPr>
      </w:pPr>
      <w:r>
        <w:rPr>
          <w:rFonts w:ascii="Arial"/>
          <w:b/>
          <w:bCs/>
          <w:sz w:val="29"/>
          <w:szCs w:val="29"/>
          <w:rtl/>
        </w:rPr>
        <w:t xml:space="preserve">וּבְמַאי אִיהוּ חָתוּם, בְּאַת ו', וְאִתְעֲבִידַת ב' עִם חֲתִימוּ דְו' ם, מַה דַּהֲוָה ב' אִתְעֲבִידַת ם, יַיִן סָתוּם וְחָתוּם, יֵינָא דְאוֹרַיְיתָא סָתִים וְחָתִים דְּלָא יֵעוּל נוּכְרָאָה תַּמָּן, </w:t>
      </w:r>
      <w:r>
        <w:rPr>
          <w:rStyle w:val="a7"/>
          <w:rFonts w:ascii="Arial"/>
          <w:b/>
          <w:bCs/>
          <w:sz w:val="29"/>
          <w:szCs w:val="29"/>
          <w:rtl/>
        </w:rPr>
        <w:footnoteReference w:id="3600"/>
      </w:r>
      <w:r>
        <w:rPr>
          <w:rFonts w:ascii="Arial"/>
          <w:b/>
          <w:bCs/>
          <w:sz w:val="29"/>
          <w:szCs w:val="29"/>
          <w:rtl/>
        </w:rPr>
        <w:t xml:space="preserve">וְדָא יַיִן הַמְּשׁוּמָּר בַּעֲנָבָיו מִשֵּׁשֶׁת יְמֵי בְרֵאשִׁית, וְלַאו לְמַגָּנָא תַקִּינוּ מָארֵי מַתְנִיתִין, חֲתִימַת יַיִן דְּלָא יִתְנַסֵּךְ וְיִתְעָרֵב בְּסִטְרָא אָחֳרָא, וְעַל הַאי יַיִן אִתְּמַר </w:t>
      </w:r>
      <w:r>
        <w:rPr>
          <w:rFonts w:ascii="Arial"/>
          <w:b/>
          <w:szCs w:val="23"/>
          <w:rtl/>
        </w:rPr>
        <w:t>(תהלים קמז יב)</w:t>
      </w:r>
      <w:r>
        <w:rPr>
          <w:rFonts w:ascii="Arial"/>
          <w:b/>
          <w:bCs/>
          <w:sz w:val="29"/>
          <w:szCs w:val="29"/>
          <w:rtl/>
        </w:rPr>
        <w:t xml:space="preserve"> לֹא עָשָׂה כֵן לְכָל גּוֹי וּמִשְׁפָּטִים בַּל יְדָעוּם, כֵּ''ן וַדַּאי יַיִ''ן שַׁבְעִין אַנְפִּין דְּאוֹרַיְיתָא, וַעֲלַיְיהוּ אִתְּמַר </w:t>
      </w:r>
      <w:r>
        <w:rPr>
          <w:rFonts w:ascii="Arial"/>
          <w:b/>
          <w:szCs w:val="23"/>
          <w:rtl/>
        </w:rPr>
        <w:t>(שם כה יד)</w:t>
      </w:r>
      <w:r>
        <w:rPr>
          <w:rFonts w:ascii="Arial"/>
          <w:b/>
          <w:bCs/>
          <w:sz w:val="29"/>
          <w:szCs w:val="29"/>
          <w:rtl/>
        </w:rPr>
        <w:t xml:space="preserve"> </w:t>
      </w:r>
      <w:r>
        <w:rPr>
          <w:rStyle w:val="a7"/>
          <w:rFonts w:ascii="Arial"/>
          <w:b/>
          <w:bCs/>
          <w:sz w:val="29"/>
          <w:szCs w:val="29"/>
          <w:rtl/>
        </w:rPr>
        <w:footnoteReference w:id="3601"/>
      </w:r>
      <w:r>
        <w:rPr>
          <w:rFonts w:ascii="Arial"/>
          <w:b/>
          <w:bCs/>
          <w:sz w:val="29"/>
          <w:szCs w:val="29"/>
          <w:rtl/>
        </w:rPr>
        <w:t>סוֹד יהו''ה לִירֵיאָיו.</w:t>
      </w:r>
    </w:p>
    <w:p w:rsidR="003841DB" w:rsidRDefault="003841DB" w:rsidP="00B17EA9">
      <w:pPr>
        <w:pStyle w:val="aa"/>
        <w:rPr>
          <w:rtl/>
        </w:rPr>
      </w:pPr>
      <w:r>
        <w:rPr>
          <w:rtl/>
        </w:rPr>
        <w:t xml:space="preserve">[תיקוני זוהר - דף עו ע''א] </w:t>
      </w:r>
    </w:p>
    <w:p w:rsidR="003841DB" w:rsidRDefault="003841DB" w:rsidP="003841DB">
      <w:pPr>
        <w:spacing w:after="40" w:line="360" w:lineRule="atLeast"/>
        <w:ind w:left="144" w:right="144" w:firstLine="288"/>
        <w:jc w:val="both"/>
        <w:rPr>
          <w:rFonts w:ascii="Arial"/>
          <w:b/>
          <w:bCs/>
          <w:sz w:val="29"/>
          <w:szCs w:val="29"/>
          <w:rtl/>
        </w:rPr>
      </w:pPr>
      <w:r>
        <w:rPr>
          <w:rStyle w:val="a7"/>
          <w:rFonts w:ascii="Arial"/>
          <w:b/>
          <w:bCs/>
          <w:sz w:val="29"/>
          <w:szCs w:val="29"/>
          <w:rtl/>
        </w:rPr>
        <w:footnoteReference w:id="3602"/>
      </w:r>
      <w:r>
        <w:rPr>
          <w:rFonts w:ascii="Arial"/>
          <w:b/>
          <w:bCs/>
          <w:sz w:val="29"/>
          <w:szCs w:val="29"/>
          <w:rtl/>
        </w:rPr>
        <w:t xml:space="preserve">קַנְקַן דְּהַאי יַיִ''ן דָּא לִבָּא דְבַר נַשׁ, </w:t>
      </w:r>
      <w:r>
        <w:rPr>
          <w:rStyle w:val="a7"/>
          <w:rFonts w:ascii="Arial"/>
          <w:b/>
          <w:bCs/>
          <w:sz w:val="29"/>
          <w:szCs w:val="29"/>
          <w:rtl/>
        </w:rPr>
        <w:footnoteReference w:id="3603"/>
      </w:r>
      <w:r>
        <w:rPr>
          <w:rFonts w:ascii="Arial"/>
          <w:b/>
          <w:bCs/>
          <w:sz w:val="29"/>
          <w:szCs w:val="29"/>
          <w:rtl/>
        </w:rPr>
        <w:t xml:space="preserve">אִם הוּא קַנְקַנָּא חַדְתָּא וְאִתְנַסַּךְ </w:t>
      </w:r>
      <w:r>
        <w:rPr>
          <w:rStyle w:val="a7"/>
          <w:rFonts w:ascii="Arial"/>
          <w:b/>
          <w:bCs/>
          <w:sz w:val="29"/>
          <w:szCs w:val="29"/>
          <w:rtl/>
        </w:rPr>
        <w:footnoteReference w:id="3604"/>
      </w:r>
      <w:r>
        <w:rPr>
          <w:rFonts w:ascii="Arial"/>
          <w:b/>
          <w:bCs/>
          <w:sz w:val="29"/>
          <w:szCs w:val="29"/>
          <w:rtl/>
        </w:rPr>
        <w:t xml:space="preserve">בְּיַיִן נֶסֶךְ דְּאִיהוּ יִצְרָא בִישָׁא, צָרִיךְ תְּלָתָא זִמְנִין הֲדָחָה, </w:t>
      </w:r>
      <w:r>
        <w:rPr>
          <w:rStyle w:val="a7"/>
          <w:rFonts w:ascii="Arial"/>
          <w:b/>
          <w:bCs/>
          <w:sz w:val="29"/>
          <w:szCs w:val="29"/>
          <w:rtl/>
        </w:rPr>
        <w:footnoteReference w:id="3605"/>
      </w:r>
      <w:r>
        <w:rPr>
          <w:rFonts w:ascii="Arial"/>
          <w:b/>
          <w:bCs/>
          <w:sz w:val="29"/>
          <w:szCs w:val="29"/>
          <w:rtl/>
        </w:rPr>
        <w:t xml:space="preserve">וְהֶן כָּל אֵלֶּה יִפְעַל אֵ''ל פַּעֲמַיִם שָׁלֹשׁ עִם גָּבֶר </w:t>
      </w:r>
      <w:r>
        <w:rPr>
          <w:rFonts w:ascii="Arial"/>
          <w:b/>
          <w:szCs w:val="23"/>
          <w:rtl/>
        </w:rPr>
        <w:t>(איוב לג כט)</w:t>
      </w:r>
      <w:r>
        <w:rPr>
          <w:rFonts w:ascii="Arial"/>
          <w:b/>
          <w:bCs/>
          <w:sz w:val="29"/>
          <w:szCs w:val="29"/>
          <w:rtl/>
        </w:rPr>
        <w:t xml:space="preserve">, </w:t>
      </w:r>
      <w:r>
        <w:rPr>
          <w:rStyle w:val="a7"/>
          <w:rFonts w:ascii="Arial"/>
          <w:b/>
          <w:bCs/>
          <w:sz w:val="29"/>
          <w:szCs w:val="29"/>
          <w:rtl/>
        </w:rPr>
        <w:footnoteReference w:id="3606"/>
      </w:r>
      <w:r>
        <w:rPr>
          <w:rFonts w:ascii="Arial"/>
          <w:b/>
          <w:bCs/>
          <w:sz w:val="29"/>
          <w:szCs w:val="29"/>
          <w:rtl/>
        </w:rPr>
        <w:t xml:space="preserve">וְלַאו לְמַגָּנָא תַּקִּינוּ בְּכוֹס דִּבְּרָכָה אוּף הָכִי הֲדָחָה וּשְׁטִיפָה, הֲדָחָה מִבִּפְנִים שְׁטִיפָה מִבַּחוּץ, לְמֶהֱוֵי תּוֹכוֹ כְּבַרוֹ, וְרָזָא דְמִלָּה וְטִהֲרוֹ וְקִדְּשׁוֹ </w:t>
      </w:r>
      <w:r>
        <w:rPr>
          <w:rFonts w:ascii="Arial"/>
          <w:b/>
          <w:szCs w:val="23"/>
          <w:rtl/>
        </w:rPr>
        <w:t>(ויקרא טז יט)</w:t>
      </w:r>
      <w:r>
        <w:rPr>
          <w:rFonts w:ascii="Arial"/>
          <w:b/>
          <w:bCs/>
          <w:sz w:val="29"/>
          <w:szCs w:val="29"/>
          <w:rtl/>
        </w:rPr>
        <w:t xml:space="preserve">, וְכַד אִיהוּ קַנְקַן דְּאִיהוּ לִבָּא דַּכְיָא מִלְּגָאו וּמִלְּבָר, </w:t>
      </w:r>
      <w:r>
        <w:rPr>
          <w:rStyle w:val="a7"/>
          <w:rFonts w:ascii="Arial"/>
          <w:b/>
          <w:bCs/>
          <w:sz w:val="29"/>
          <w:szCs w:val="29"/>
          <w:rtl/>
        </w:rPr>
        <w:footnoteReference w:id="3607"/>
      </w:r>
      <w:r>
        <w:rPr>
          <w:rFonts w:ascii="Arial"/>
          <w:b/>
          <w:bCs/>
          <w:sz w:val="29"/>
          <w:szCs w:val="29"/>
          <w:rtl/>
        </w:rPr>
        <w:t xml:space="preserve">שַׁרְיָא תַמָּן חָכְמָה, דְּאִתְּמַר בָּהּ </w:t>
      </w:r>
      <w:r>
        <w:rPr>
          <w:rFonts w:ascii="Arial"/>
          <w:b/>
          <w:szCs w:val="23"/>
          <w:rtl/>
        </w:rPr>
        <w:t>(משלי ח כב)</w:t>
      </w:r>
      <w:r>
        <w:rPr>
          <w:rFonts w:ascii="Arial"/>
          <w:b/>
          <w:bCs/>
          <w:sz w:val="29"/>
          <w:szCs w:val="29"/>
          <w:rtl/>
        </w:rPr>
        <w:t xml:space="preserve"> </w:t>
      </w:r>
      <w:r>
        <w:rPr>
          <w:rStyle w:val="a7"/>
          <w:rFonts w:ascii="Arial"/>
          <w:b/>
          <w:bCs/>
          <w:sz w:val="29"/>
          <w:szCs w:val="29"/>
          <w:rtl/>
        </w:rPr>
        <w:footnoteReference w:id="3608"/>
      </w:r>
      <w:r>
        <w:rPr>
          <w:rFonts w:ascii="Arial"/>
          <w:b/>
          <w:bCs/>
          <w:sz w:val="29"/>
          <w:szCs w:val="29"/>
          <w:rtl/>
        </w:rPr>
        <w:t xml:space="preserve">יהו''ה קָנָנִי רֵאשִׁית דַּרְכּוֹ </w:t>
      </w:r>
      <w:r>
        <w:rPr>
          <w:rStyle w:val="a7"/>
          <w:rFonts w:ascii="Arial"/>
          <w:b/>
          <w:bCs/>
          <w:sz w:val="29"/>
          <w:szCs w:val="29"/>
          <w:rtl/>
        </w:rPr>
        <w:footnoteReference w:id="3609"/>
      </w:r>
      <w:r>
        <w:rPr>
          <w:rFonts w:ascii="Arial"/>
          <w:b/>
          <w:bCs/>
          <w:sz w:val="29"/>
          <w:szCs w:val="29"/>
          <w:rtl/>
        </w:rPr>
        <w:t xml:space="preserve">קָנָנִי אִיהוּ קַנְקַן וַדַּאי, וְאִם הַאי קַנְקַן אִיהוּ </w:t>
      </w:r>
      <w:r>
        <w:rPr>
          <w:rFonts w:ascii="Arial"/>
          <w:b/>
          <w:szCs w:val="23"/>
          <w:rtl/>
        </w:rPr>
        <w:t xml:space="preserve">(דף </w:t>
      </w:r>
      <w:r>
        <w:rPr>
          <w:b/>
          <w:szCs w:val="23"/>
          <w:rtl/>
        </w:rPr>
        <w:t>עו</w:t>
      </w:r>
      <w:r>
        <w:rPr>
          <w:rFonts w:ascii="Arial"/>
          <w:b/>
          <w:szCs w:val="23"/>
          <w:rtl/>
        </w:rPr>
        <w:t xml:space="preserve"> ע''</w:t>
      </w:r>
      <w:r>
        <w:rPr>
          <w:b/>
          <w:szCs w:val="23"/>
          <w:rtl/>
        </w:rPr>
        <w:t>א</w:t>
      </w:r>
      <w:r>
        <w:rPr>
          <w:rFonts w:ascii="Arial"/>
          <w:b/>
          <w:szCs w:val="23"/>
          <w:rtl/>
        </w:rPr>
        <w:t xml:space="preserve">) </w:t>
      </w:r>
      <w:r>
        <w:rPr>
          <w:rFonts w:ascii="Arial"/>
          <w:b/>
          <w:bCs/>
          <w:sz w:val="29"/>
          <w:szCs w:val="29"/>
          <w:rtl/>
        </w:rPr>
        <w:t xml:space="preserve">דַכְיָא, אִתְּמַר בֵּיהּ </w:t>
      </w:r>
      <w:r>
        <w:rPr>
          <w:rStyle w:val="a7"/>
          <w:rFonts w:ascii="Arial"/>
          <w:b/>
          <w:bCs/>
          <w:sz w:val="29"/>
          <w:szCs w:val="29"/>
          <w:rtl/>
        </w:rPr>
        <w:footnoteReference w:id="3610"/>
      </w:r>
      <w:r>
        <w:rPr>
          <w:rFonts w:ascii="Arial"/>
          <w:b/>
          <w:bCs/>
          <w:sz w:val="29"/>
          <w:szCs w:val="29"/>
          <w:rtl/>
        </w:rPr>
        <w:t xml:space="preserve">וְנַקֵּה, וְאִם לַאו לֹא יְנַקֵּה </w:t>
      </w:r>
      <w:r>
        <w:rPr>
          <w:rStyle w:val="a7"/>
          <w:rFonts w:ascii="Arial"/>
          <w:b/>
          <w:bCs/>
          <w:sz w:val="29"/>
          <w:szCs w:val="29"/>
          <w:rtl/>
        </w:rPr>
        <w:footnoteReference w:id="3611"/>
      </w:r>
      <w:r>
        <w:rPr>
          <w:rFonts w:ascii="Arial"/>
          <w:b/>
          <w:bCs/>
          <w:sz w:val="29"/>
          <w:szCs w:val="29"/>
          <w:rtl/>
        </w:rPr>
        <w:t xml:space="preserve">כָּל הַנּוֹגֵעַ בָּהּ </w:t>
      </w:r>
      <w:r>
        <w:rPr>
          <w:rFonts w:ascii="Arial"/>
          <w:b/>
          <w:szCs w:val="23"/>
          <w:rtl/>
        </w:rPr>
        <w:t>(שם ו כט)</w:t>
      </w:r>
      <w:r>
        <w:rPr>
          <w:rFonts w:ascii="Arial"/>
          <w:b/>
          <w:bCs/>
          <w:sz w:val="29"/>
          <w:szCs w:val="29"/>
          <w:rtl/>
        </w:rPr>
        <w:t>.</w:t>
      </w:r>
    </w:p>
    <w:p w:rsidR="003841DB" w:rsidRDefault="003841DB" w:rsidP="003841DB">
      <w:pPr>
        <w:spacing w:after="40" w:line="360" w:lineRule="atLeast"/>
        <w:ind w:left="144" w:right="144" w:firstLine="288"/>
        <w:jc w:val="both"/>
        <w:rPr>
          <w:rFonts w:ascii="Arial"/>
          <w:b/>
          <w:bCs/>
          <w:sz w:val="29"/>
          <w:szCs w:val="29"/>
          <w:rtl/>
        </w:rPr>
      </w:pPr>
      <w:r>
        <w:rPr>
          <w:rFonts w:ascii="Arial"/>
          <w:b/>
          <w:bCs/>
          <w:sz w:val="29"/>
          <w:szCs w:val="29"/>
          <w:rtl/>
        </w:rPr>
        <w:t xml:space="preserve">וְקַנְקַן דְּבַר נַשׁ דָּא אִתְּתָא, </w:t>
      </w:r>
      <w:r>
        <w:rPr>
          <w:rStyle w:val="a7"/>
          <w:rFonts w:ascii="Arial"/>
          <w:b/>
          <w:bCs/>
          <w:sz w:val="29"/>
          <w:szCs w:val="29"/>
          <w:rtl/>
        </w:rPr>
        <w:footnoteReference w:id="3612"/>
      </w:r>
      <w:r>
        <w:rPr>
          <w:rFonts w:ascii="Arial"/>
          <w:b/>
          <w:bCs/>
          <w:sz w:val="29"/>
          <w:szCs w:val="29"/>
          <w:rtl/>
        </w:rPr>
        <w:t xml:space="preserve">וְאִיהוּ כּוֹס, לְהָכִי צְרִיכָה שְׁטִיפָה וַהֲדָחָה, </w:t>
      </w:r>
      <w:r>
        <w:rPr>
          <w:rStyle w:val="a7"/>
          <w:rFonts w:ascii="Arial"/>
          <w:b/>
          <w:bCs/>
          <w:sz w:val="29"/>
          <w:szCs w:val="29"/>
          <w:rtl/>
        </w:rPr>
        <w:footnoteReference w:id="3613"/>
      </w:r>
      <w:r>
        <w:rPr>
          <w:rFonts w:ascii="Arial"/>
          <w:b/>
          <w:bCs/>
          <w:sz w:val="29"/>
          <w:szCs w:val="29"/>
          <w:rtl/>
        </w:rPr>
        <w:t xml:space="preserve">אָז הִיא כוֹס דִּבְרָכָה, וַעֲלָהּ אִתְּמַר </w:t>
      </w:r>
      <w:r>
        <w:rPr>
          <w:rFonts w:ascii="Arial"/>
          <w:b/>
          <w:szCs w:val="23"/>
          <w:rtl/>
        </w:rPr>
        <w:t>(יחזקאל מד ל)</w:t>
      </w:r>
      <w:r>
        <w:rPr>
          <w:rFonts w:ascii="Arial"/>
          <w:b/>
          <w:bCs/>
          <w:sz w:val="29"/>
          <w:szCs w:val="29"/>
          <w:rtl/>
        </w:rPr>
        <w:t xml:space="preserve"> לְהָנִיחַ בְּרָכָה אֶל בֵּיתֶךָ, וְאִם לַאו אִתְקְרִיאַת כּוֹס הַתַּרְעִלָה, וְיַיִן דִּילָהּ עֲלֵיהּ אִתְּמַר </w:t>
      </w:r>
      <w:r>
        <w:rPr>
          <w:rFonts w:ascii="Arial"/>
          <w:b/>
          <w:szCs w:val="23"/>
          <w:rtl/>
        </w:rPr>
        <w:t>(משלי לא ו)</w:t>
      </w:r>
      <w:r>
        <w:rPr>
          <w:rFonts w:ascii="Arial"/>
          <w:b/>
          <w:bCs/>
          <w:sz w:val="29"/>
          <w:szCs w:val="29"/>
          <w:rtl/>
        </w:rPr>
        <w:t xml:space="preserve"> תְּנוּ שֵׁכָר לְאוֹבֵד וְיַיִן לְמָרֵי נָפֶשׁ וכו', שָׁדַיִם דִּילָהּ אִינוּן אַשְׁכּוֹלוֹת מְרוֹרוֹת, </w:t>
      </w:r>
      <w:r>
        <w:rPr>
          <w:rStyle w:val="a7"/>
          <w:rFonts w:ascii="Arial"/>
          <w:b/>
          <w:bCs/>
          <w:sz w:val="29"/>
          <w:szCs w:val="29"/>
          <w:rtl/>
        </w:rPr>
        <w:footnoteReference w:id="3614"/>
      </w:r>
      <w:r>
        <w:rPr>
          <w:rFonts w:ascii="Arial"/>
          <w:b/>
          <w:bCs/>
          <w:sz w:val="29"/>
          <w:szCs w:val="29"/>
          <w:rtl/>
        </w:rPr>
        <w:t xml:space="preserve">אֲבָל יַיִן דְּכוֹס דִּבְרָכָה עֲלֵיהּ אִתְּמַר </w:t>
      </w:r>
      <w:r>
        <w:rPr>
          <w:rFonts w:ascii="Arial"/>
          <w:b/>
          <w:szCs w:val="23"/>
          <w:rtl/>
        </w:rPr>
        <w:t>(תהלים קד טו)</w:t>
      </w:r>
      <w:r>
        <w:rPr>
          <w:rFonts w:ascii="Arial"/>
          <w:b/>
          <w:bCs/>
          <w:sz w:val="29"/>
          <w:szCs w:val="29"/>
          <w:rtl/>
        </w:rPr>
        <w:t xml:space="preserve"> וְיַיִן יְשַׂמַּח לְבַב אֱנוֹשׁ דְּתַמָּן פִּקּוּדֵי יהו''ה יְשָׁרִים מְשַׂמְּחֵי לֵב </w:t>
      </w:r>
      <w:r>
        <w:rPr>
          <w:rFonts w:ascii="Arial"/>
          <w:b/>
          <w:szCs w:val="23"/>
          <w:rtl/>
        </w:rPr>
        <w:t>(שם יט טו)</w:t>
      </w:r>
      <w:r>
        <w:rPr>
          <w:rFonts w:ascii="Arial"/>
          <w:b/>
          <w:bCs/>
          <w:sz w:val="29"/>
          <w:szCs w:val="29"/>
          <w:rtl/>
        </w:rPr>
        <w:t>, דְּאִינוּן אֶשְׁכּוֹלוֹת דִּילָהּ.</w:t>
      </w:r>
    </w:p>
    <w:p w:rsidR="003841DB" w:rsidRDefault="003841DB" w:rsidP="00B17EA9">
      <w:pPr>
        <w:pStyle w:val="NormalWeb"/>
        <w:rPr>
          <w:rtl/>
        </w:rPr>
      </w:pPr>
    </w:p>
    <w:p w:rsidR="003841DB" w:rsidRDefault="003841DB" w:rsidP="00B17EA9">
      <w:pPr>
        <w:pStyle w:val="aa"/>
        <w:rPr>
          <w:rtl/>
        </w:rPr>
      </w:pPr>
      <w:bookmarkStart w:id="227" w:name="_Toc228091302"/>
      <w:bookmarkStart w:id="228" w:name="_Toc231637941"/>
      <w:r>
        <w:rPr>
          <w:rtl/>
        </w:rPr>
        <w:t>(ספרים אחרים: אלו השני תיקונים [כ"ג וכ"ד], הם בספר כתב יד אחר תיקון י"ז, ואח"כ מתחיל תיקון י"ח)</w:t>
      </w:r>
    </w:p>
    <w:p w:rsidR="003841DB" w:rsidRDefault="003841DB" w:rsidP="00B17EA9">
      <w:pPr>
        <w:pStyle w:val="aa"/>
        <w:rPr>
          <w:rtl/>
        </w:rPr>
      </w:pPr>
      <w:r>
        <w:rPr>
          <w:rtl/>
        </w:rPr>
        <w:t xml:space="preserve">[תיקוני זוהר - המשך דף סז ע''ב] </w:t>
      </w:r>
    </w:p>
    <w:bookmarkEnd w:id="227"/>
    <w:bookmarkEnd w:id="228"/>
    <w:p w:rsidR="003841DB" w:rsidRDefault="003841DB" w:rsidP="00B17EA9">
      <w:pPr>
        <w:pStyle w:val="NormalWeb"/>
        <w:rPr>
          <w:rtl/>
        </w:rPr>
      </w:pPr>
      <w:r>
        <w:rPr>
          <w:rStyle w:val="a7"/>
          <w:sz w:val="20"/>
          <w:szCs w:val="23"/>
          <w:rtl/>
        </w:rPr>
        <w:footnoteReference w:id="3615"/>
      </w:r>
      <w:r>
        <w:rPr>
          <w:rtl/>
        </w:rPr>
        <w:t xml:space="preserve">בְּרֵאשִׁית </w:t>
      </w:r>
      <w:r>
        <w:rPr>
          <w:rStyle w:val="a7"/>
          <w:rtl/>
        </w:rPr>
        <w:footnoteReference w:id="3616"/>
      </w:r>
      <w:r>
        <w:rPr>
          <w:rtl/>
        </w:rPr>
        <w:t xml:space="preserve">בְּרִי''ת אֵ''שׁ, </w:t>
      </w:r>
      <w:r>
        <w:rPr>
          <w:rStyle w:val="a7"/>
          <w:rtl/>
        </w:rPr>
        <w:footnoteReference w:id="3617"/>
      </w:r>
      <w:r>
        <w:rPr>
          <w:rtl/>
        </w:rPr>
        <w:t xml:space="preserve">וְאִיהוּ נִשְׁמַת כָּל חַי, וְדָּא צַדִּיק חַי עוֹלָמִים דְמִנֵיה פַרְחִין נִשְׁמְתִין דְצַדִּיקַיָא, כָּל אִתְקְרֵי, קִשּׁוּרָא דְכָל אֵבָרִין דְּגוּפָא, </w:t>
      </w:r>
      <w:r>
        <w:rPr>
          <w:rStyle w:val="a7"/>
          <w:rtl/>
        </w:rPr>
        <w:footnoteReference w:id="3618"/>
      </w:r>
      <w:r>
        <w:rPr>
          <w:rtl/>
        </w:rPr>
        <w:t xml:space="preserve">ח' דְּאִיהוּ תְמַנְיָא יוֹמִין, אִינוּן שִׁעוּרָא דְשַׁבָּת, דְּאִיהוּ תְּרֵין אַלְפִין אַמִּין לְכָל סְטַר, לְנַטְרָא בְּהוֹן אוֹת שַׁבָּת, כְּגַוְונָא דָא אִינוּן תְּמַנְיָא יוֹמִין תְּחוּם לְקַבָּלָא בְּהוֹן אוֹת בְּרִית, וּלְנַטְרָא לֵיהּ בְּהוֹן, דְּלָא אִתְעֲבִיד בְּאוֹת בְּרִית </w:t>
      </w:r>
      <w:r>
        <w:rPr>
          <w:rStyle w:val="a7"/>
          <w:rtl/>
        </w:rPr>
        <w:footnoteReference w:id="3619"/>
      </w:r>
      <w:r>
        <w:rPr>
          <w:rtl/>
        </w:rPr>
        <w:t>חִלּוּל.</w:t>
      </w:r>
    </w:p>
    <w:p w:rsidR="003841DB" w:rsidRDefault="003841DB" w:rsidP="00B17EA9">
      <w:pPr>
        <w:pStyle w:val="NormalWeb"/>
        <w:rPr>
          <w:rtl/>
        </w:rPr>
      </w:pPr>
      <w:r>
        <w:rPr>
          <w:rtl/>
        </w:rPr>
        <w:t xml:space="preserve">אָמַר רַבִּי אֶלְעָזָר אַבָּא יוֹמָא חַד הֲוִינָא אָזְלֵי אֲנָא וְרַבִּי יוֹסֵי, </w:t>
      </w:r>
      <w:r>
        <w:rPr>
          <w:rStyle w:val="a7"/>
          <w:rtl/>
        </w:rPr>
        <w:footnoteReference w:id="3620"/>
      </w:r>
      <w:r>
        <w:rPr>
          <w:rtl/>
        </w:rPr>
        <w:t xml:space="preserve">וַאֲתָא בְּרֵיהּ דְּרַב הַמְנוּנָא סָבָא מֵהַהוּא עָלְמָא, בְּדִיּוֹקְנָא דְהַאי עָלְמָא וְאִזְדַּמַּן לָן בְּאָרְחָא כְּגַוְונָא דִמְחַמֵּר </w:t>
      </w:r>
      <w:r>
        <w:rPr>
          <w:rStyle w:val="a7"/>
          <w:rtl/>
        </w:rPr>
        <w:footnoteReference w:id="3621"/>
      </w:r>
      <w:r>
        <w:rPr>
          <w:rtl/>
        </w:rPr>
        <w:t xml:space="preserve">בָּתַר חַמָּרִין, וְשָׁאִיל לָנָא מַאי אֶת שַׁבְּתוֹתַי תִּשְׁמוֹרוּ וּמִקְדָּשִׁי תִּירָאוּ </w:t>
      </w:r>
      <w:r>
        <w:rPr>
          <w:sz w:val="20"/>
          <w:szCs w:val="23"/>
          <w:rtl/>
        </w:rPr>
        <w:t>(ויקרא יט ג)</w:t>
      </w:r>
      <w:r>
        <w:rPr>
          <w:rtl/>
        </w:rPr>
        <w:t xml:space="preserve">, </w:t>
      </w:r>
      <w:r>
        <w:rPr>
          <w:rStyle w:val="a7"/>
          <w:rtl/>
        </w:rPr>
        <w:footnoteReference w:id="3622"/>
      </w:r>
      <w:r>
        <w:rPr>
          <w:rtl/>
        </w:rPr>
        <w:t xml:space="preserve">וְאָמַר אִיהוּ מִילִין שַׁפִּירִין, אֲבָל עִם כָּל דָּא בָּעִינָא לְמִשְׁמַע מִפּוּמָךְ, אָמַר לֵיהּ בְּרִי בְּוַדַּאי בְּרִית אִיהוּ שָׁקִיל לְשַׁבָּת, וּבְגִין דָּא </w:t>
      </w:r>
      <w:r>
        <w:rPr>
          <w:sz w:val="20"/>
          <w:szCs w:val="23"/>
          <w:rtl/>
        </w:rPr>
        <w:t>(בראשית ירא שבת וכו')</w:t>
      </w:r>
      <w:r>
        <w:rPr>
          <w:rtl/>
        </w:rPr>
        <w:t>.</w:t>
      </w:r>
    </w:p>
    <w:p w:rsidR="003841DB" w:rsidRDefault="003841DB" w:rsidP="00602EF1">
      <w:pPr>
        <w:pStyle w:val="1"/>
        <w:rPr>
          <w:rtl/>
        </w:rPr>
      </w:pPr>
      <w:bookmarkStart w:id="229" w:name="_Toc228091303"/>
      <w:bookmarkStart w:id="230" w:name="_Toc231637942"/>
      <w:r>
        <w:rPr>
          <w:rtl/>
        </w:rPr>
        <w:t>(ספרים אחרים: תקונא עשרין וארבע</w:t>
      </w:r>
      <w:bookmarkEnd w:id="229"/>
      <w:bookmarkEnd w:id="230"/>
      <w:r>
        <w:rPr>
          <w:rtl/>
        </w:rPr>
        <w:t>)</w:t>
      </w:r>
    </w:p>
    <w:p w:rsidR="003841DB" w:rsidRDefault="003841DB" w:rsidP="003841DB">
      <w:pPr>
        <w:spacing w:after="40" w:line="360" w:lineRule="atLeast"/>
        <w:ind w:left="144" w:right="144" w:firstLine="288"/>
        <w:jc w:val="both"/>
        <w:rPr>
          <w:rFonts w:ascii="Arial"/>
          <w:b/>
          <w:bCs/>
          <w:sz w:val="29"/>
          <w:szCs w:val="29"/>
          <w:rtl/>
        </w:rPr>
      </w:pPr>
      <w:r>
        <w:rPr>
          <w:rStyle w:val="a7"/>
          <w:rFonts w:ascii="Arial"/>
          <w:b/>
          <w:bCs/>
          <w:sz w:val="29"/>
          <w:szCs w:val="29"/>
          <w:rtl/>
        </w:rPr>
        <w:footnoteReference w:id="3623"/>
      </w:r>
      <w:r>
        <w:rPr>
          <w:rFonts w:ascii="Arial"/>
          <w:b/>
          <w:bCs/>
          <w:sz w:val="29"/>
          <w:szCs w:val="29"/>
          <w:rtl/>
        </w:rPr>
        <w:t xml:space="preserve">בְּרֵאשִׁית יָרֵ''א שַׁבָּ''ת, וּמָה תְּהֵא דָחִיל, יָרֵ''א בְּרִי''ת, כְּמָה דְצָרִיךְ נְטִירוּ דִבְּרִית, דְּלָא יֵעוּל לֵיהּ בִּרְשׁוּ נוּכְרָאָה, כְּגַוְונָא דָא צָרִיךְ בַּר נַשׁ נְטִירוּ דְשַׁבָּת, דְּלָא לְאַפָּקָא מֵרְשׁוּת הַיָּחִיד וְיֵעוּל בִּרְשׁוּת הָרַבִּים, רְשׁוּת הַיָּחִיד אִיהִי שְׁכִינְתָּא, רָחְבּוֹ ד' וְאִינוּן יהו''ה, וְגָבְהוֹ עֲשָׂרָה יו''ד ה''א וא''ו ה''א, רְשׁוּת הָרַבִּים נָחָשׁ אֵשֶׁת זְנוּנִים, סַם דְּאֵל אַחֵר דְּאִיהוּ סמא''ל, </w:t>
      </w:r>
      <w:r>
        <w:rPr>
          <w:rStyle w:val="a7"/>
          <w:rFonts w:ascii="Arial"/>
          <w:b/>
          <w:bCs/>
          <w:sz w:val="29"/>
          <w:szCs w:val="29"/>
          <w:rtl/>
        </w:rPr>
        <w:footnoteReference w:id="3624"/>
      </w:r>
      <w:r>
        <w:rPr>
          <w:rFonts w:ascii="Arial"/>
          <w:b/>
          <w:bCs/>
          <w:sz w:val="29"/>
          <w:szCs w:val="29"/>
          <w:rtl/>
        </w:rPr>
        <w:t xml:space="preserve">וְאִיהוּ כְּלָלָא דְשַׁבְעִין אוּמִין, </w:t>
      </w:r>
      <w:r>
        <w:rPr>
          <w:rStyle w:val="a7"/>
          <w:rFonts w:ascii="Arial"/>
          <w:b/>
          <w:bCs/>
          <w:sz w:val="29"/>
          <w:szCs w:val="29"/>
          <w:rtl/>
        </w:rPr>
        <w:footnoteReference w:id="3625"/>
      </w:r>
      <w:r>
        <w:rPr>
          <w:rFonts w:ascii="Arial"/>
          <w:b/>
          <w:bCs/>
          <w:sz w:val="29"/>
          <w:szCs w:val="29"/>
          <w:rtl/>
        </w:rPr>
        <w:t xml:space="preserve">וְאִיהִי חֲלָלָה זוֹנָה, וּבַעְלָהּ חִלּוּל שַׁבָּת אִיהוּ, וּבְגִין דָּא מָאן דְּאַפִּיק מֵרְשׁוּת הַיָּחִיד לִרְשׁוּת הָרַבִּים </w:t>
      </w:r>
      <w:r>
        <w:rPr>
          <w:rStyle w:val="a7"/>
          <w:rFonts w:ascii="Arial"/>
          <w:b/>
          <w:bCs/>
          <w:sz w:val="29"/>
          <w:szCs w:val="29"/>
          <w:rtl/>
        </w:rPr>
        <w:footnoteReference w:id="3626"/>
      </w:r>
      <w:r>
        <w:rPr>
          <w:rFonts w:ascii="Arial"/>
          <w:b/>
          <w:bCs/>
          <w:sz w:val="29"/>
          <w:szCs w:val="29"/>
          <w:rtl/>
        </w:rPr>
        <w:t>חַיָּיב מִיתָה.</w:t>
      </w:r>
    </w:p>
    <w:p w:rsidR="003841DB" w:rsidRDefault="003841DB" w:rsidP="00B17EA9">
      <w:pPr>
        <w:pStyle w:val="aa"/>
        <w:rPr>
          <w:rtl/>
        </w:rPr>
      </w:pPr>
      <w:r>
        <w:rPr>
          <w:rtl/>
        </w:rPr>
        <w:t xml:space="preserve">[תיקוני זוהר - דף סח ע''א] </w:t>
      </w:r>
    </w:p>
    <w:p w:rsidR="003841DB" w:rsidRDefault="003841DB" w:rsidP="003841DB">
      <w:pPr>
        <w:spacing w:after="40" w:line="360" w:lineRule="atLeast"/>
        <w:ind w:left="144" w:right="144" w:firstLine="288"/>
        <w:jc w:val="both"/>
        <w:rPr>
          <w:rFonts w:ascii="Arial"/>
          <w:b/>
          <w:bCs/>
          <w:sz w:val="29"/>
          <w:szCs w:val="29"/>
          <w:rtl/>
        </w:rPr>
      </w:pPr>
      <w:r>
        <w:rPr>
          <w:rFonts w:ascii="Arial"/>
          <w:b/>
          <w:bCs/>
          <w:sz w:val="29"/>
          <w:szCs w:val="29"/>
          <w:rtl/>
        </w:rPr>
        <w:t xml:space="preserve">עִרוּב אִיהוּ עַמּוּדָא דְאֶמְצָעִיתָא, וּבֵיהּ מְטַלְטְלִין מִבַּיִת לְבַיִת, דְּאִנּוּן שְׁכִינָה עִלָּאָה וְתַתָּאָה, </w:t>
      </w:r>
      <w:r>
        <w:rPr>
          <w:rStyle w:val="a7"/>
          <w:rFonts w:ascii="Arial"/>
          <w:b/>
          <w:bCs/>
          <w:sz w:val="29"/>
          <w:szCs w:val="29"/>
          <w:rtl/>
        </w:rPr>
        <w:footnoteReference w:id="3627"/>
      </w:r>
      <w:r>
        <w:rPr>
          <w:rFonts w:ascii="Arial"/>
          <w:b/>
          <w:bCs/>
          <w:sz w:val="29"/>
          <w:szCs w:val="29"/>
          <w:rtl/>
        </w:rPr>
        <w:t xml:space="preserve">וַעֲלַיְיהוּ אִתְּמַר </w:t>
      </w:r>
      <w:r>
        <w:rPr>
          <w:rFonts w:ascii="Arial"/>
          <w:b/>
          <w:szCs w:val="23"/>
          <w:rtl/>
        </w:rPr>
        <w:t>(ויקרא יט ל, כו ב)</w:t>
      </w:r>
      <w:r>
        <w:rPr>
          <w:rFonts w:ascii="Arial"/>
          <w:b/>
          <w:bCs/>
          <w:sz w:val="29"/>
          <w:szCs w:val="29"/>
          <w:rtl/>
        </w:rPr>
        <w:t xml:space="preserve"> אֶת שַׁבְּתוֹתַי תִּשְׁמוֹרוּ וּמִקְדָּשִׁי תִּירָאוּ, דָא מִקְדָּשׁ יו''ד, אוֹת שַׁבָּת </w:t>
      </w:r>
      <w:r>
        <w:rPr>
          <w:rFonts w:ascii="Arial"/>
          <w:b/>
          <w:szCs w:val="23"/>
          <w:rtl/>
        </w:rPr>
        <w:t>(דא ברית)</w:t>
      </w:r>
      <w:r>
        <w:rPr>
          <w:rFonts w:ascii="Arial"/>
          <w:b/>
          <w:bCs/>
          <w:sz w:val="29"/>
          <w:szCs w:val="29"/>
          <w:rtl/>
        </w:rPr>
        <w:t xml:space="preserve"> דְּצָרִיךְ לְנַטְרָא לֵיהּ </w:t>
      </w:r>
      <w:r>
        <w:rPr>
          <w:rStyle w:val="a7"/>
          <w:rFonts w:ascii="Arial"/>
          <w:b/>
          <w:bCs/>
          <w:sz w:val="29"/>
          <w:szCs w:val="29"/>
          <w:rtl/>
        </w:rPr>
        <w:footnoteReference w:id="3628"/>
      </w:r>
      <w:r>
        <w:rPr>
          <w:rFonts w:ascii="Arial"/>
          <w:b/>
          <w:bCs/>
          <w:sz w:val="29"/>
          <w:szCs w:val="29"/>
          <w:rtl/>
        </w:rPr>
        <w:t xml:space="preserve">בְּבַת זוּגֵיהּ, דְּאִיהִי קְדוּשָׁה דִילֵיהּ, </w:t>
      </w:r>
      <w:r>
        <w:rPr>
          <w:rStyle w:val="a7"/>
          <w:rFonts w:ascii="Arial"/>
          <w:b/>
          <w:bCs/>
          <w:sz w:val="29"/>
          <w:szCs w:val="29"/>
          <w:rtl/>
        </w:rPr>
        <w:footnoteReference w:id="3629"/>
      </w:r>
      <w:r>
        <w:rPr>
          <w:rFonts w:ascii="Arial"/>
          <w:b/>
          <w:bCs/>
          <w:sz w:val="29"/>
          <w:szCs w:val="29"/>
          <w:rtl/>
        </w:rPr>
        <w:t xml:space="preserve">בְּרָכָה דִילֵיהּ, דַּעֲלָהּ אִתְּמַר </w:t>
      </w:r>
      <w:r>
        <w:rPr>
          <w:rFonts w:ascii="Arial"/>
          <w:b/>
          <w:szCs w:val="23"/>
          <w:rtl/>
        </w:rPr>
        <w:t>(בראשית ב ג)</w:t>
      </w:r>
      <w:r>
        <w:rPr>
          <w:rFonts w:ascii="Arial"/>
          <w:b/>
          <w:bCs/>
          <w:sz w:val="29"/>
          <w:szCs w:val="29"/>
          <w:rtl/>
        </w:rPr>
        <w:t xml:space="preserve"> וַיְבָרֶךְ אלהי''ם אֶת יוֹם הַשְּׁבִיעִי וַיְקַדֵּשׁ אוֹתוֹ, וַיְבָרֶךְ דָּא </w:t>
      </w:r>
      <w:r>
        <w:rPr>
          <w:rFonts w:ascii="Arial"/>
          <w:b/>
          <w:szCs w:val="23"/>
          <w:rtl/>
        </w:rPr>
        <w:t xml:space="preserve">(דף </w:t>
      </w:r>
      <w:r>
        <w:rPr>
          <w:b/>
          <w:szCs w:val="23"/>
          <w:rtl/>
        </w:rPr>
        <w:t>סח</w:t>
      </w:r>
      <w:r>
        <w:rPr>
          <w:rFonts w:ascii="Arial"/>
          <w:b/>
          <w:szCs w:val="23"/>
          <w:rtl/>
        </w:rPr>
        <w:t xml:space="preserve"> ע''</w:t>
      </w:r>
      <w:r>
        <w:rPr>
          <w:b/>
          <w:szCs w:val="23"/>
          <w:rtl/>
        </w:rPr>
        <w:t>א</w:t>
      </w:r>
      <w:r>
        <w:rPr>
          <w:rFonts w:ascii="Arial"/>
          <w:b/>
          <w:szCs w:val="23"/>
          <w:rtl/>
        </w:rPr>
        <w:t xml:space="preserve">) </w:t>
      </w:r>
      <w:r>
        <w:rPr>
          <w:rFonts w:ascii="Arial"/>
          <w:b/>
          <w:bCs/>
          <w:sz w:val="29"/>
          <w:szCs w:val="29"/>
          <w:rtl/>
        </w:rPr>
        <w:t xml:space="preserve">בְּרָכָה, וַיְקַדֵּשׁ דָּא קְדוּשָׁה, </w:t>
      </w:r>
      <w:r>
        <w:rPr>
          <w:rStyle w:val="a7"/>
          <w:rFonts w:ascii="Arial"/>
          <w:b/>
          <w:bCs/>
          <w:sz w:val="29"/>
          <w:szCs w:val="29"/>
          <w:rtl/>
        </w:rPr>
        <w:footnoteReference w:id="3630"/>
      </w:r>
      <w:r>
        <w:rPr>
          <w:rFonts w:ascii="Arial"/>
          <w:b/>
          <w:bCs/>
          <w:sz w:val="29"/>
          <w:szCs w:val="29"/>
          <w:rtl/>
        </w:rPr>
        <w:t>וּלְגַבֵּי תַּרְוַיְיהוּ הֲווֹ נָפְקֵי קַדְמָאֵי לָקֳדָמוּת כַּלָּה, וַהֲווֹ אָמְרֵי תְּרֵי זִמְנֵי בֹּאִי כַלָּה בֹּאִי כַלָּה.</w:t>
      </w:r>
    </w:p>
    <w:p w:rsidR="003841DB" w:rsidRDefault="003841DB" w:rsidP="003841DB">
      <w:pPr>
        <w:spacing w:after="40" w:line="360" w:lineRule="atLeast"/>
        <w:ind w:left="144" w:right="144" w:firstLine="288"/>
        <w:jc w:val="both"/>
        <w:rPr>
          <w:rFonts w:ascii="Arial"/>
          <w:b/>
          <w:bCs/>
          <w:sz w:val="29"/>
          <w:szCs w:val="29"/>
          <w:rtl/>
        </w:rPr>
      </w:pPr>
      <w:r>
        <w:rPr>
          <w:rFonts w:ascii="Arial"/>
          <w:b/>
          <w:bCs/>
          <w:sz w:val="29"/>
          <w:szCs w:val="29"/>
          <w:rtl/>
        </w:rPr>
        <w:t xml:space="preserve">וְעוֹד מִקְדָּשִׁי בְּאָת יוּ''ד, בְּגִין דְּלֵית קְדוּשָׁה פָּחוּת מֵעֲשָׂרָה, </w:t>
      </w:r>
      <w:r>
        <w:rPr>
          <w:rStyle w:val="a7"/>
          <w:rFonts w:ascii="Arial"/>
          <w:b/>
          <w:bCs/>
          <w:sz w:val="29"/>
          <w:szCs w:val="29"/>
          <w:rtl/>
        </w:rPr>
        <w:footnoteReference w:id="3631"/>
      </w:r>
      <w:r>
        <w:rPr>
          <w:rFonts w:ascii="Arial"/>
          <w:b/>
          <w:bCs/>
          <w:sz w:val="29"/>
          <w:szCs w:val="29"/>
          <w:rtl/>
        </w:rPr>
        <w:t xml:space="preserve">וְצָרִיךְ לְבָרְכָא לוֹן וּלְקַדֵּשׁ לוֹן בְּקִדּוּשׁ עַל הַיַּיִן, בְּשַׁבְעִין תֵּיבִין </w:t>
      </w:r>
      <w:r>
        <w:rPr>
          <w:rStyle w:val="a7"/>
          <w:rFonts w:ascii="Arial"/>
          <w:b/>
          <w:bCs/>
          <w:sz w:val="29"/>
          <w:szCs w:val="29"/>
          <w:rtl/>
        </w:rPr>
        <w:footnoteReference w:id="3632"/>
      </w:r>
      <w:r>
        <w:rPr>
          <w:rFonts w:ascii="Arial"/>
          <w:b/>
          <w:bCs/>
          <w:sz w:val="29"/>
          <w:szCs w:val="29"/>
          <w:rtl/>
        </w:rPr>
        <w:t xml:space="preserve">דְּקִדּוּשׁ, וְוַיְכֻלּ''וּ </w:t>
      </w:r>
      <w:r>
        <w:rPr>
          <w:rStyle w:val="a7"/>
          <w:rFonts w:ascii="Arial"/>
          <w:b/>
          <w:bCs/>
          <w:sz w:val="29"/>
          <w:szCs w:val="29"/>
          <w:rtl/>
        </w:rPr>
        <w:footnoteReference w:id="3633"/>
      </w:r>
      <w:r>
        <w:rPr>
          <w:rFonts w:ascii="Arial"/>
          <w:b/>
          <w:bCs/>
          <w:sz w:val="29"/>
          <w:szCs w:val="29"/>
          <w:rtl/>
        </w:rPr>
        <w:t xml:space="preserve">כְּחוּשְׁבַּן (בַּ)יַּיִ''ן, וְצָרִיךְ לְמֵימַר סַבְרִי מָרָנָן, וְאִינוּן דְּאָמְרִין וְעָנוּ לְחַיֵּי, בְּגִין דְּאִתְקַשְּׁרוּ בְּאִילָנָא דְחַיֵּי, וְלָא בְּאִילָנָא דְמוֹתָא, דְאִיהוּ גֶפֶן דְּחָב בֵּיהּ אָדָם קַדְמָאָה, דְּחַד אָמַר חִטָּה הָיָה, וְחַד אָמַר גֶּפֶן, </w:t>
      </w:r>
      <w:r>
        <w:rPr>
          <w:rStyle w:val="a7"/>
          <w:rFonts w:ascii="Arial"/>
          <w:b/>
          <w:bCs/>
          <w:sz w:val="29"/>
          <w:szCs w:val="29"/>
          <w:rtl/>
        </w:rPr>
        <w:footnoteReference w:id="3634"/>
      </w:r>
      <w:r>
        <w:rPr>
          <w:rFonts w:ascii="Arial"/>
          <w:b/>
          <w:bCs/>
          <w:sz w:val="29"/>
          <w:szCs w:val="29"/>
          <w:rtl/>
        </w:rPr>
        <w:t>וְכֹלָּא קְשׁוֹט.</w:t>
      </w:r>
    </w:p>
    <w:p w:rsidR="003841DB" w:rsidRDefault="003841DB" w:rsidP="00B17EA9">
      <w:pPr>
        <w:pStyle w:val="NormalWeb"/>
        <w:rPr>
          <w:rtl/>
        </w:rPr>
      </w:pPr>
      <w:r>
        <w:rPr>
          <w:rtl/>
        </w:rPr>
        <w:t xml:space="preserve">שֶׁבַע מִינִין אִינוּן </w:t>
      </w:r>
      <w:r>
        <w:rPr>
          <w:rStyle w:val="a7"/>
          <w:rtl/>
        </w:rPr>
        <w:footnoteReference w:id="3635"/>
      </w:r>
      <w:r>
        <w:rPr>
          <w:rtl/>
        </w:rPr>
        <w:t xml:space="preserve">חִטָּה וּשְׂעוֹרָה גֶפֶן וּתְאֵנָה וְרִמּוֹן זֵית שֶׁמֶן וּדְבָשׁ, חִטָּה וּשְׂעוֹרָה וְהָא אִתְּמַר, וְצָרִיךְ לְאַחֲזָרָא עֲלַיְיהוּ, חִטָּה הָא אִתְּמַר, שְׂעוֹרָ''ה דְאַפִּיק ה' מִשִּׁעוּר דִּילָהּ, גֶּפֶן סָחֲטָה עֲנָבִים בִּרְשׁוּ אָחֳרָא, וְעָבַד יַיִן נֶסֶךְ, וְאִתְעֲבִיד אִילָנָא דְטוֹב וָרָע, </w:t>
      </w:r>
      <w:r>
        <w:rPr>
          <w:rStyle w:val="a7"/>
          <w:rtl/>
        </w:rPr>
        <w:footnoteReference w:id="3636"/>
      </w:r>
      <w:r>
        <w:rPr>
          <w:rtl/>
        </w:rPr>
        <w:t xml:space="preserve">תְּאֵנָה לָקִיט תְּאֵינֵי קֳדָם זִמְנַיְיהוּ קֳדָם דְּאִתְבַּשְׁלוּ, כַּךְ לָקִיט הוּא מֵעָלְמָא קוֹדֶם זִמְנֵיהּ, וְדָא אִיהוּ רָזָא מָאן דְּגָרִים דִּי יְמוּתוּן בְּנוֹי קֳדָם זִמְנַיְיהוּ, הֲדָא הוּא דִכְתִיב </w:t>
      </w:r>
      <w:r>
        <w:rPr>
          <w:sz w:val="20"/>
          <w:szCs w:val="23"/>
          <w:rtl/>
        </w:rPr>
        <w:t>(קהלת ה ה)</w:t>
      </w:r>
      <w:r>
        <w:rPr>
          <w:rtl/>
        </w:rPr>
        <w:t xml:space="preserve"> לָמָּה יִקְצוֹף הָאלהי''ם עַל קוֹלֶךָ וְחִבֵּל אֶת מַעֲשֵׂה יָדֶיךָ, וְרָזָא דְמִלָּה </w:t>
      </w:r>
      <w:r>
        <w:rPr>
          <w:sz w:val="20"/>
          <w:szCs w:val="23"/>
          <w:rtl/>
        </w:rPr>
        <w:t>(ירמיהו ב ל)</w:t>
      </w:r>
      <w:r>
        <w:rPr>
          <w:rtl/>
        </w:rPr>
        <w:t xml:space="preserve"> לַשָּׁוְא הִכֵּיתִי אֶת בְּנֵיכֶם וְגוֹמֵר, וּבְגִין דָּא </w:t>
      </w:r>
      <w:r>
        <w:rPr>
          <w:sz w:val="20"/>
          <w:szCs w:val="23"/>
          <w:rtl/>
        </w:rPr>
        <w:t>(שמות כ ז)</w:t>
      </w:r>
      <w:r>
        <w:rPr>
          <w:rtl/>
        </w:rPr>
        <w:t xml:space="preserve"> לֹא תִשָּׂא אֶת שֵׁם יהו''ה אלהי''ך לַשָּׁוְא. </w:t>
      </w:r>
      <w:r>
        <w:rPr>
          <w:rStyle w:val="a7"/>
          <w:rtl/>
        </w:rPr>
        <w:footnoteReference w:id="3637"/>
      </w:r>
      <w:r>
        <w:rPr>
          <w:rtl/>
        </w:rPr>
        <w:t xml:space="preserve">רִמּוֹן, אַחֵר בֵּיהּ חָב, אֲבָל רַבִּי מֵאִיר </w:t>
      </w:r>
      <w:r>
        <w:rPr>
          <w:rStyle w:val="a7"/>
          <w:rtl/>
        </w:rPr>
        <w:footnoteReference w:id="3638"/>
      </w:r>
      <w:r>
        <w:rPr>
          <w:rtl/>
        </w:rPr>
        <w:t xml:space="preserve">תּוֹכוֹ אָכַל קְלִיפָתוֹ זָרַק, </w:t>
      </w:r>
      <w:r>
        <w:rPr>
          <w:rStyle w:val="a7"/>
          <w:rtl/>
        </w:rPr>
        <w:footnoteReference w:id="3639"/>
      </w:r>
      <w:r>
        <w:rPr>
          <w:rtl/>
        </w:rPr>
        <w:t xml:space="preserve">דִּקְלִיפִין אִינוּן אוּמוֹת הָעוֹלָם, יִשְׂרָאֵל מוֹחָא בֵּינַיְיהוּ, </w:t>
      </w:r>
      <w:r>
        <w:rPr>
          <w:rStyle w:val="a7"/>
          <w:rtl/>
        </w:rPr>
        <w:footnoteReference w:id="3640"/>
      </w:r>
      <w:r>
        <w:rPr>
          <w:rtl/>
        </w:rPr>
        <w:t xml:space="preserve">כֵּן כְּגַוְונָא דָא שְׁכִינְתָּא אִיהִי פַּרְדֵּס בְּגָלוּתָא, וְאִיהִי מוֹחָא מִלְּגָו, </w:t>
      </w:r>
      <w:r>
        <w:rPr>
          <w:rStyle w:val="a7"/>
          <w:rtl/>
        </w:rPr>
        <w:footnoteReference w:id="3641"/>
      </w:r>
      <w:r>
        <w:rPr>
          <w:rtl/>
        </w:rPr>
        <w:t xml:space="preserve">אֱגוֹז קָרִינָן לֵיהּ, כְּמָה דְאָמַר שְׁלֹמֹה מַלְכָּא, אֶל גִּנַּת אֱגוֹז יָרַדְתִּי </w:t>
      </w:r>
      <w:r>
        <w:rPr>
          <w:sz w:val="20"/>
          <w:szCs w:val="23"/>
          <w:rtl/>
        </w:rPr>
        <w:t>(שיר ו יא)</w:t>
      </w:r>
      <w:r>
        <w:rPr>
          <w:rtl/>
        </w:rPr>
        <w:t xml:space="preserve">, וְאִיהִי שְׁכִינְתָּא </w:t>
      </w:r>
      <w:r>
        <w:rPr>
          <w:rStyle w:val="a7"/>
          <w:rtl/>
        </w:rPr>
        <w:footnoteReference w:id="3642"/>
      </w:r>
      <w:r>
        <w:rPr>
          <w:rtl/>
        </w:rPr>
        <w:t xml:space="preserve">אִיבָּא מִלְּגָאו, הֲדָא הוּא דִכְתִיב </w:t>
      </w:r>
      <w:r>
        <w:rPr>
          <w:sz w:val="20"/>
          <w:szCs w:val="23"/>
          <w:rtl/>
        </w:rPr>
        <w:t>(תהלים מה יד)</w:t>
      </w:r>
      <w:r>
        <w:rPr>
          <w:rtl/>
        </w:rPr>
        <w:t xml:space="preserve"> כָּל כְּבוּדָּה בַת מֶלֶךְ פְּנִימָה מִמִּשְׁבְּצוֹת זָהָב לְבוּשָׁהּ, וּקְלִיפִין הֵן כַּמָּה רְשׁוּיוֹת נוּכְרָאִין, וּבְשַׁבָּת מִכֹּלָּא אִתְפַּשְּׁטַת, וְאִתְלַבְּשַׁת בִּלְבוּשִׁין שַׁפִּירָאן, וְכֵן צְרִיכִין יִשְׂרָאֵל לְתַתָּא, לְאִתְחַדְּשָׁא בְשַׁבָּת בִּלְבוּשִׁין שַׁפִּירָאן, וְכֵן לְאַטְעָמָא בְשַׁבָּת מִכָּל מַאֲכָלִין טָבִין, בְּגִין לְקַשְׁרָא וּלְאַרְקָא בִּרְכָאָן לְגַבָּהּ מִכָּל סְפִירָן, וּלְמֶהֱוֵי אִשְׁתַּקְיָא מִכֻּלְּהוּ.</w:t>
      </w:r>
    </w:p>
    <w:p w:rsidR="003841DB" w:rsidRDefault="003841DB" w:rsidP="00B17EA9">
      <w:pPr>
        <w:pStyle w:val="NormalWeb"/>
        <w:rPr>
          <w:rtl/>
        </w:rPr>
      </w:pPr>
      <w:r>
        <w:rPr>
          <w:rtl/>
        </w:rPr>
        <w:t xml:space="preserve">וְצָרִיךְ לְקַיְימָא </w:t>
      </w:r>
      <w:r>
        <w:rPr>
          <w:rStyle w:val="a7"/>
          <w:rtl/>
        </w:rPr>
        <w:footnoteReference w:id="3643"/>
      </w:r>
      <w:r>
        <w:rPr>
          <w:rtl/>
        </w:rPr>
        <w:t xml:space="preserve">בָּהּ עֹנֶג, דְּאִיהוּ צַדִּיק דְּנָפִיק מֵעִדֶן, דְּאִיהִי בִּינָה עָלְמָא דְאָתֵי, לְהַשְׁקוֹת אֶת הַגָּן דָּא שְׁכִינְתָּא תַּתָּאָה, </w:t>
      </w:r>
      <w:r>
        <w:rPr>
          <w:rStyle w:val="a7"/>
          <w:rtl/>
        </w:rPr>
        <w:footnoteReference w:id="3644"/>
      </w:r>
      <w:r>
        <w:rPr>
          <w:rtl/>
        </w:rPr>
        <w:t xml:space="preserve">וְנַהֲרָא אִיהוּ ו' דְּנָפִיק מִן י''ה, וְאָזִיל חֲמֵשׁ מֵאָה שְׁנִין, דְּאִינוּן חָמֵשׁ סְפִירָאן, וּמָטֵי לַצַּדִּיק, לְאַשְׁקָאָה מִנֵּיהּ גִּנְתָא דְאִיהִי ה', </w:t>
      </w:r>
      <w:r>
        <w:rPr>
          <w:rStyle w:val="a7"/>
          <w:rtl/>
        </w:rPr>
        <w:footnoteReference w:id="3645"/>
      </w:r>
      <w:r>
        <w:rPr>
          <w:rtl/>
        </w:rPr>
        <w:t xml:space="preserve">וְעַל כֵּן יַעֲזָב אִישׁ אֶת אָבִיו וְאֶת אִמּוֹ וְדָבַק בְּאִשְׁתּוֹ וְגוֹמֵר </w:t>
      </w:r>
      <w:r>
        <w:rPr>
          <w:sz w:val="20"/>
          <w:szCs w:val="23"/>
          <w:rtl/>
        </w:rPr>
        <w:t>(בראשית ב כב)</w:t>
      </w:r>
      <w:r>
        <w:rPr>
          <w:rtl/>
        </w:rPr>
        <w:t>.</w:t>
      </w:r>
    </w:p>
    <w:p w:rsidR="003841DB" w:rsidRDefault="003841DB" w:rsidP="00B17EA9">
      <w:pPr>
        <w:pStyle w:val="NormalWeb"/>
        <w:rPr>
          <w:rtl/>
        </w:rPr>
      </w:pPr>
      <w:r>
        <w:rPr>
          <w:rStyle w:val="a7"/>
          <w:rtl/>
        </w:rPr>
        <w:footnoteReference w:id="3646"/>
      </w:r>
      <w:r>
        <w:rPr>
          <w:rtl/>
        </w:rPr>
        <w:t xml:space="preserve">וְכֵן בְּרִית מִילָה אִיהִי כְּגַוְונָא דֶאֱגוֹז, צָרִיךְ לְתַבְּרָא קְלִיפִין דְּעָרְלָה וּפְרִיעָה, וּלְאַעֲבָרָא לוֹן מִתַּמָּן, וּלְאִתְגַּלְיָיא מוֹחָא מִלְּגָו, וְדָא אוֹת בְּרִית, וְדָא עִץ חַיִּים, אֲבָל בְּרִית דְּאִיהוּ בְּעָרְלָתֵיהּ וְלָא אִית בֵּיהּ פְּרִיעָה, </w:t>
      </w:r>
      <w:r>
        <w:rPr>
          <w:rStyle w:val="a7"/>
          <w:rtl/>
        </w:rPr>
        <w:footnoteReference w:id="3647"/>
      </w:r>
      <w:r>
        <w:rPr>
          <w:rtl/>
        </w:rPr>
        <w:t xml:space="preserve">עֲלֵיהּ אִתְּמַר </w:t>
      </w:r>
      <w:r>
        <w:rPr>
          <w:sz w:val="20"/>
          <w:szCs w:val="23"/>
          <w:rtl/>
        </w:rPr>
        <w:t>(שם יז)</w:t>
      </w:r>
      <w:r>
        <w:rPr>
          <w:rtl/>
        </w:rPr>
        <w:t xml:space="preserve"> וּמֵעִץ הַדַּעַת טוֹב וָרָע לֹא תֹאכַל מִמֶּנּוּ, כִּי בְּיוֹם אֲכָלְךָ מִמֶּנּוּ מוֹת תָּמוּת, מוֹת בָּעוֹלָם הַזֶּה, תָּמוּת בָּעוֹלָם הַבָּא.</w:t>
      </w:r>
    </w:p>
    <w:p w:rsidR="003841DB" w:rsidRDefault="003841DB" w:rsidP="00B17EA9">
      <w:pPr>
        <w:pStyle w:val="NormalWeb"/>
        <w:rPr>
          <w:rtl/>
        </w:rPr>
      </w:pPr>
      <w:r>
        <w:rPr>
          <w:rStyle w:val="a7"/>
          <w:rtl/>
        </w:rPr>
        <w:footnoteReference w:id="3648"/>
      </w:r>
      <w:r>
        <w:rPr>
          <w:rtl/>
        </w:rPr>
        <w:t xml:space="preserve">וְעוֹד לִבָּא הוּא אֶגוֹז, וּמָאן דְּתַבַּר קְלִיפָה דִילֵיהּ דְּאִיהוּ יֵצֶר הָרָע, עֲלֵיהּ אִתְּמַר </w:t>
      </w:r>
      <w:r>
        <w:rPr>
          <w:sz w:val="20"/>
          <w:szCs w:val="23"/>
          <w:rtl/>
        </w:rPr>
        <w:t>(תהלים נא יט)</w:t>
      </w:r>
      <w:r>
        <w:rPr>
          <w:rtl/>
        </w:rPr>
        <w:t xml:space="preserve"> לֵב נִשְׁבָּר וְנִדְכֶּה אלהי''ם לֹא תִבְזֶה וְגַסּוּת לִבָּא דְהוּא שְׁלִים בִּקְלִיפִין דִּילֵיהּ וְלָא אִתְּבַר, עֲלֵיהּ אִתְּמַר </w:t>
      </w:r>
      <w:r>
        <w:rPr>
          <w:sz w:val="20"/>
          <w:szCs w:val="23"/>
          <w:rtl/>
        </w:rPr>
        <w:t>(משלי טז ה)</w:t>
      </w:r>
      <w:r>
        <w:rPr>
          <w:rtl/>
        </w:rPr>
        <w:t xml:space="preserve"> תּוֹעֲבַת יהו''ה כָּל גְּבַהּ לֵב, וּשְׁכִינְתָּא לָא שַׁרְיָא עֲלֵיהּ, וּמִסִּטְרָא דִקְלִיפִין אִתְקְרִיאוּ בְנֵי נָשָׁא עַרְלֵי לֵב.</w:t>
      </w:r>
    </w:p>
    <w:p w:rsidR="003841DB" w:rsidRDefault="003841DB" w:rsidP="00B17EA9">
      <w:pPr>
        <w:pStyle w:val="NormalWeb"/>
        <w:rPr>
          <w:rtl/>
        </w:rPr>
      </w:pPr>
      <w:r>
        <w:rPr>
          <w:rStyle w:val="a7"/>
          <w:rtl/>
        </w:rPr>
        <w:footnoteReference w:id="3649"/>
      </w:r>
      <w:r>
        <w:rPr>
          <w:rtl/>
        </w:rPr>
        <w:t xml:space="preserve">וּבְשַׁבָּת גֵּיהִנָּם לָא שָׁלְטָא בְעָלְמָא, וְלָא מְמַנָּן דִּילֵיהּ, בְּגִין דָּא מַנִּי לְיִשְׂרָאֵל לֹא תְבַעֲרוּ אֵשׁ בְּכֹל מוֹשְׁבוֹתֵיכֶם בְּיוֹם הַשַּׁבָּת </w:t>
      </w:r>
      <w:r>
        <w:rPr>
          <w:sz w:val="20"/>
          <w:szCs w:val="23"/>
          <w:rtl/>
        </w:rPr>
        <w:t>(שמות לה ג)</w:t>
      </w:r>
      <w:r>
        <w:rPr>
          <w:rtl/>
        </w:rPr>
        <w:t xml:space="preserve">, וְאִי בַּר נַשׁ אוֹקִיד בְּשַׁבָּת, אָמַר קוּדְשָׁא בְּרִיךְ הוּא, אֲנָא הֲוִיתִי מְכַבֶּה לְנוּרָא דְלָא אוֹקִיד, וְאַתּוּן מוֹקְדִין לֵיהּ, אַתּוּן תִּתּוֹקְדוּן בְּגֵיהִנָּם, בְּגִין דָּא לֹא תְבַעֲרוּ אֵשׁ בְּכֹל מוֹשְׁבוֹתֵיכֶם, וַאֲפִילוּ בְגוּפָא, וּמַאי נִיהוּ </w:t>
      </w:r>
      <w:r>
        <w:rPr>
          <w:rStyle w:val="a7"/>
          <w:rtl/>
        </w:rPr>
        <w:footnoteReference w:id="3650"/>
      </w:r>
      <w:r>
        <w:rPr>
          <w:rtl/>
        </w:rPr>
        <w:t xml:space="preserve">גֵיהִנָּם בְּגוּפָא, </w:t>
      </w:r>
      <w:r>
        <w:rPr>
          <w:rStyle w:val="a7"/>
          <w:rtl/>
        </w:rPr>
        <w:footnoteReference w:id="3651"/>
      </w:r>
      <w:r>
        <w:rPr>
          <w:rtl/>
        </w:rPr>
        <w:t xml:space="preserve">כָּבֵד דְּבֵיהּ מָרָה דְאִיהוּ גֵיהִנָּם, סַם הַמָּוְת סַם דְּאֵל אַחֵר, חַרְבָּא דְמַלְאַךְ הַמָּוְת, וַעֲלֵיהּ אִתְּמַר </w:t>
      </w:r>
      <w:r>
        <w:rPr>
          <w:sz w:val="20"/>
          <w:szCs w:val="23"/>
          <w:rtl/>
        </w:rPr>
        <w:t>(משלי ה ד)</w:t>
      </w:r>
      <w:r>
        <w:rPr>
          <w:rtl/>
        </w:rPr>
        <w:t xml:space="preserve"> וְאַחֲרִיתָהּ מָרָה כַלַּעֲנָה, חַדָּה כְּחֶרֶב פִּיּוֹת.</w:t>
      </w:r>
    </w:p>
    <w:p w:rsidR="003841DB" w:rsidRDefault="003841DB" w:rsidP="00B17EA9">
      <w:pPr>
        <w:pStyle w:val="aa"/>
        <w:rPr>
          <w:rtl/>
        </w:rPr>
      </w:pPr>
      <w:r>
        <w:rPr>
          <w:rtl/>
        </w:rPr>
        <w:t xml:space="preserve">[תיקוני זוהר - דף סח ע''ב] </w:t>
      </w:r>
    </w:p>
    <w:p w:rsidR="003841DB" w:rsidRDefault="003841DB" w:rsidP="00B17EA9">
      <w:pPr>
        <w:pStyle w:val="NormalWeb"/>
        <w:rPr>
          <w:rtl/>
        </w:rPr>
      </w:pPr>
      <w:r>
        <w:rPr>
          <w:rtl/>
        </w:rPr>
        <w:t xml:space="preserve">וְצָרִיךְ דְּלָא יַתְעַר </w:t>
      </w:r>
      <w:r>
        <w:rPr>
          <w:sz w:val="20"/>
          <w:szCs w:val="23"/>
          <w:rtl/>
        </w:rPr>
        <w:t>(נ''א לאתערא)</w:t>
      </w:r>
      <w:r>
        <w:rPr>
          <w:rtl/>
        </w:rPr>
        <w:t xml:space="preserve"> עֲצִיבוּ וּקְטָטָה מִסִּטְרָא דִטְחוֹל, אֶלָּא </w:t>
      </w:r>
      <w:r>
        <w:rPr>
          <w:rStyle w:val="a7"/>
          <w:rtl/>
        </w:rPr>
        <w:footnoteReference w:id="3652"/>
      </w:r>
      <w:r>
        <w:rPr>
          <w:rtl/>
        </w:rPr>
        <w:t xml:space="preserve">דִתְהֵא לֵב נָטִיר מִכֻּלְּהוּ, דְאִיהוּ </w:t>
      </w:r>
      <w:r>
        <w:rPr>
          <w:sz w:val="20"/>
          <w:szCs w:val="23"/>
          <w:rtl/>
        </w:rPr>
        <w:t xml:space="preserve">(דף סח ע''ב) </w:t>
      </w:r>
      <w:r>
        <w:rPr>
          <w:rtl/>
        </w:rPr>
        <w:t xml:space="preserve">שַׁבָּת שָׁמוֹר, וּמוֹחָא זָכוֹר, </w:t>
      </w:r>
      <w:r>
        <w:rPr>
          <w:rStyle w:val="a7"/>
          <w:rtl/>
        </w:rPr>
        <w:footnoteReference w:id="3653"/>
      </w:r>
      <w:r>
        <w:rPr>
          <w:rtl/>
        </w:rPr>
        <w:t>וְצָרִיךְ לְקַבָּלָא אוֹשְׁפִּיזִין דְּאִינוּן מַלְאָכִין, עוּלֵימָן דִּנְשָׁמָה יְתֵירָה דְאִיהִי שְׁכִינְתָּא עִלָּאָה, וְנֶפֶשׁ יְתֵירָה דְאִיהִי שְׁכִינְתָּא תַּתָּאָה, וְאוֹשְׁפִּיזִין דְּנָחֲתִין עִמָּהּ.</w:t>
      </w:r>
    </w:p>
    <w:p w:rsidR="003841DB" w:rsidRDefault="003841DB" w:rsidP="00B17EA9">
      <w:pPr>
        <w:pStyle w:val="NormalWeb"/>
        <w:rPr>
          <w:rtl/>
        </w:rPr>
      </w:pPr>
      <w:r>
        <w:rPr>
          <w:rStyle w:val="a7"/>
          <w:rtl/>
        </w:rPr>
        <w:footnoteReference w:id="3654"/>
      </w:r>
      <w:r>
        <w:rPr>
          <w:rtl/>
        </w:rPr>
        <w:t>וְצָרִיךְ אִתְּתָא לְתַקְנָא שְׁרַגָּא בְּלֵיל שַׁבָּת לִימִינָא, וְאִתְחֲשִׁיב לָהּ כְּאִלּוּ תִּקְנָהּ מְנַרְתָּא בְדָרוֹם, וּפָתוֹרָא בְצָפוֹן, וַעֲלַיְיהוּ אִתְּמַר הָרוֹצֶה לְהַחְכִּים יַדְרִים, הָרוֹצֶה לְהַעֲשִׁיר יַצְפִּין, וְאִינוּן שְׁכִינְתָּא עִלָּאָה וְתַתָּאָה, שְׁכִינְתָּא עִלָּאָה מְנַרְתָּא לְדָרוֹם, צְרִיכָא לְאַתְקָנָא לָהּ, בְּגִין דְּתַמָּן חָכְמָה, וּבְגִין דָּא הָרוֹצֶה לְהַחְכִּים יַדְרִים.</w:t>
      </w:r>
    </w:p>
    <w:p w:rsidR="003841DB" w:rsidRDefault="003841DB" w:rsidP="00B17EA9">
      <w:pPr>
        <w:pStyle w:val="NormalWeb"/>
        <w:rPr>
          <w:rtl/>
        </w:rPr>
      </w:pPr>
      <w:r>
        <w:rPr>
          <w:rtl/>
        </w:rPr>
        <w:t xml:space="preserve">וּבְהַהוּא בֵיתָא דְאַשְׁכְּחִין דִּירָה דָא מְתַקְּנָא בְהַאי סִדּוּרָא, מְנַרְתָּא בְדָרוֹם וְשֻׁלְחָן בְּצָפוֹן וּמִטָּה בֵּין צָפוֹן לְדָרוֹם, אָמְרִין אִלֵּין מַלְאָכִין דְּקָא נָחֲתִין עִם שְׁכִינְתָּא דְאִיהִי נְשָׁמָה יְתֵירָה, </w:t>
      </w:r>
      <w:r>
        <w:rPr>
          <w:rStyle w:val="a7"/>
          <w:rtl/>
        </w:rPr>
        <w:footnoteReference w:id="3655"/>
      </w:r>
      <w:r>
        <w:rPr>
          <w:rtl/>
        </w:rPr>
        <w:t>לֵית דִּין אֲתַר הֶדְיוֹט דְּעַם הָאָרֶץ, אֱלָהֵין אֲתַר דְּרַעֲוָא בֵיהּ מִן קֳדָם יהו''ה.</w:t>
      </w:r>
    </w:p>
    <w:p w:rsidR="003841DB" w:rsidRDefault="003841DB" w:rsidP="00B17EA9">
      <w:pPr>
        <w:pStyle w:val="NormalWeb"/>
        <w:rPr>
          <w:rtl/>
        </w:rPr>
      </w:pPr>
      <w:r>
        <w:rPr>
          <w:rtl/>
        </w:rPr>
        <w:t xml:space="preserve">פָּתוֹרָא צְרִיכָא לְתַקְנָא לָהּ לְגַבֵּי צָפוֹן, וּפָתוֹרָא אִיהִי שְׁכִינְתָּא תַּתָּאָה, דְאִתְּמַר בָּהּ </w:t>
      </w:r>
      <w:r>
        <w:rPr>
          <w:sz w:val="20"/>
          <w:szCs w:val="23"/>
          <w:rtl/>
        </w:rPr>
        <w:t>(תהלים מה ד)</w:t>
      </w:r>
      <w:r>
        <w:rPr>
          <w:rtl/>
        </w:rPr>
        <w:t xml:space="preserve"> כָּל כְּבוּדָּה בַת מֶלֶךְ פְּנִימָה מִמִּשְׁבְּצוֹת זָהָב לְבוּשָׁהּ, מַאי זָהָב דָּא גְבוּרָה, דְאִתְּמַר בָּהּ </w:t>
      </w:r>
      <w:r>
        <w:rPr>
          <w:sz w:val="20"/>
          <w:szCs w:val="23"/>
          <w:rtl/>
        </w:rPr>
        <w:t>(איוב לז כב)</w:t>
      </w:r>
      <w:r>
        <w:rPr>
          <w:rtl/>
        </w:rPr>
        <w:t xml:space="preserve"> מִצָּפוֹן זָהָב יֶאֱתֶה, מִמִּשְׁבְּצוֹת זָהָב תְּרֵי סַמְכֵי קְשׁוֹט, </w:t>
      </w:r>
      <w:r>
        <w:rPr>
          <w:rStyle w:val="a7"/>
          <w:rtl/>
        </w:rPr>
        <w:footnoteReference w:id="3656"/>
      </w:r>
      <w:r>
        <w:rPr>
          <w:rtl/>
        </w:rPr>
        <w:t xml:space="preserve">מִטָּה לְמַעֲרָב בֵּין צָפוֹן לַדָּרוֹם, לְתַקְנָא לֵיהּ לְגַבֵּי עַמּוּדָא דְאֶמְצָעִיתָא, דְאִתְּמַר בֵּיהּ </w:t>
      </w:r>
      <w:r>
        <w:rPr>
          <w:sz w:val="20"/>
          <w:szCs w:val="23"/>
          <w:rtl/>
        </w:rPr>
        <w:t>(שמות ד כב)</w:t>
      </w:r>
      <w:r>
        <w:rPr>
          <w:rtl/>
        </w:rPr>
        <w:t xml:space="preserve"> בְּנִי בְכוֹרִי יִשְׂרָאֵל, וּבְבֵיתָא דְלַאו אִינוּן מִתְתַּקְנִין אִלֵּין תִּקּוּנִין בְּלֵיל שַׁבָּת, אוּשְׁפִּיזִין אָמְרִין לַאו אִיהִי דָא דִירָה דְיִשְׂרָאֵל, דְּאִתְּמַר בָּהּ </w:t>
      </w:r>
      <w:r>
        <w:rPr>
          <w:sz w:val="20"/>
          <w:szCs w:val="23"/>
          <w:rtl/>
        </w:rPr>
        <w:t>(שם לא טז)</w:t>
      </w:r>
      <w:r>
        <w:rPr>
          <w:szCs w:val="23"/>
          <w:rtl/>
        </w:rPr>
        <w:t xml:space="preserve"> </w:t>
      </w:r>
      <w:r>
        <w:rPr>
          <w:rStyle w:val="Char"/>
          <w:rtl/>
        </w:rPr>
        <w:t>וְשָׁמְרוּ בְנֵי יִשְׂרָאֵל אֶת</w:t>
      </w:r>
      <w:r>
        <w:rPr>
          <w:szCs w:val="23"/>
          <w:rtl/>
        </w:rPr>
        <w:t xml:space="preserve"> </w:t>
      </w:r>
      <w:r>
        <w:rPr>
          <w:rtl/>
        </w:rPr>
        <w:t xml:space="preserve">הַשַּׁבָּת, לַעֲשׂוֹת אֶת הַשַּׁבָּת, לְדוֹרוֹתָם, לְדֹרֹתָם כְּתִיב חָסֵר, מִלָּשׁוֹן דִּירָה, וְכָל אִלֵּין תִּקּוּנִין צְרִיכִין לְתַקְנָא בְּלֵיל שַׁבָּת </w:t>
      </w:r>
      <w:r>
        <w:rPr>
          <w:rStyle w:val="a7"/>
          <w:rtl/>
        </w:rPr>
        <w:footnoteReference w:id="3657"/>
      </w:r>
      <w:r>
        <w:rPr>
          <w:rtl/>
        </w:rPr>
        <w:t>דְּאִיהִי מַמָּשׁ אוֹת בְּרִית מִילָה.</w:t>
      </w:r>
    </w:p>
    <w:p w:rsidR="003841DB" w:rsidRDefault="003841DB" w:rsidP="00B17EA9">
      <w:pPr>
        <w:pStyle w:val="NormalWeb"/>
        <w:rPr>
          <w:rtl/>
        </w:rPr>
      </w:pPr>
      <w:r>
        <w:rPr>
          <w:rtl/>
        </w:rPr>
        <w:t xml:space="preserve">אָמַר רַבִּי אֶלְעָזָר, וְכִי בְּרִית מִילָה לְכָל בְּנֵי נָשָׁא אִיהוּ שָׁוָה, </w:t>
      </w:r>
      <w:r>
        <w:rPr>
          <w:rStyle w:val="a7"/>
          <w:rtl/>
        </w:rPr>
        <w:footnoteReference w:id="3658"/>
      </w:r>
      <w:r>
        <w:rPr>
          <w:rtl/>
        </w:rPr>
        <w:t xml:space="preserve">אָמַר לֵיהּ, לָא, דִּבְּרִית מִילָה לְחַיָּיבַיָּא, עַפְרָא דְתַקִּין בְּמָנָא </w:t>
      </w:r>
      <w:r>
        <w:rPr>
          <w:rStyle w:val="a7"/>
          <w:rtl/>
        </w:rPr>
        <w:footnoteReference w:id="3659"/>
      </w:r>
      <w:r>
        <w:rPr>
          <w:rtl/>
        </w:rPr>
        <w:t xml:space="preserve">אִיהוּ מְזוֹנָא לְחִוְיָא, דְאַפְרִישׁ מִנֵּיהּ, הֲדָא הוּא דִכְתִיב </w:t>
      </w:r>
      <w:r>
        <w:rPr>
          <w:sz w:val="20"/>
          <w:szCs w:val="23"/>
          <w:rtl/>
        </w:rPr>
        <w:t>(ישעיהו סה כה)</w:t>
      </w:r>
      <w:r>
        <w:rPr>
          <w:rtl/>
        </w:rPr>
        <w:t xml:space="preserve"> וְנָחָשׁ עָפָר לַחְמוֹ, וְדַם בְּרִית אִיהוּ מְזוֹנָא לְסמא''ל דְּאִיהוּ רוֹצֵחַ, דְּאַפְרִישׁ מִנֵּיהּ, וְרָזָא דְמִלָּה אִם רָעִב שׂוֹנַאֲךָ הַאֲכִילֵהוּ </w:t>
      </w:r>
      <w:r>
        <w:rPr>
          <w:rStyle w:val="a7"/>
          <w:rtl/>
        </w:rPr>
        <w:footnoteReference w:id="3660"/>
      </w:r>
      <w:r>
        <w:rPr>
          <w:rtl/>
        </w:rPr>
        <w:t xml:space="preserve">לָחֶם וְאִם צָמֵא הַשְׁקֵהוּ מָיִם </w:t>
      </w:r>
      <w:r>
        <w:rPr>
          <w:sz w:val="20"/>
          <w:szCs w:val="23"/>
          <w:rtl/>
        </w:rPr>
        <w:t>(משלי כה כא)</w:t>
      </w:r>
      <w:r>
        <w:rPr>
          <w:rtl/>
        </w:rPr>
        <w:t>.</w:t>
      </w:r>
    </w:p>
    <w:p w:rsidR="003841DB" w:rsidRDefault="003841DB" w:rsidP="00D12F04">
      <w:pPr>
        <w:pStyle w:val="NormalWeb"/>
        <w:rPr>
          <w:rtl/>
        </w:rPr>
      </w:pPr>
      <w:r>
        <w:rPr>
          <w:rtl/>
        </w:rPr>
        <w:t xml:space="preserve">לְבֵינוּנִיִּים אִתְחֲשִׁיב בְּרִית מִילָה אַעַבְרוּ דִדְמָא וּבִשְׂרָא כְּקָרְבָּנָא, הֲדָא הוּא דִכְתִיב </w:t>
      </w:r>
      <w:r>
        <w:rPr>
          <w:sz w:val="20"/>
          <w:szCs w:val="23"/>
          <w:rtl/>
        </w:rPr>
        <w:t>(שמות כ כד)</w:t>
      </w:r>
      <w:r>
        <w:rPr>
          <w:rtl/>
        </w:rPr>
        <w:t xml:space="preserve"> </w:t>
      </w:r>
      <w:r>
        <w:rPr>
          <w:rStyle w:val="a7"/>
          <w:rtl/>
        </w:rPr>
        <w:footnoteReference w:id="3661"/>
      </w:r>
      <w:r>
        <w:rPr>
          <w:rtl/>
        </w:rPr>
        <w:t xml:space="preserve">וְזָבַחְתָּ עָלָיו אֶת עוֹלוֹתֶיךָ וְאֶת שְׁלָמֶיךָ, לְצַדִּיקַיָּא וַדַּאי </w:t>
      </w:r>
      <w:r>
        <w:rPr>
          <w:rStyle w:val="a7"/>
          <w:rtl/>
        </w:rPr>
        <w:footnoteReference w:id="3662"/>
      </w:r>
      <w:r>
        <w:rPr>
          <w:rtl/>
        </w:rPr>
        <w:t xml:space="preserve">בַּאֲתַר דְּמִילָה וּפְרִיעָה שַׁרְיָא יהו''ה, וְדָא אִיהוּ וּמִבְּשָׂרִי אֶחזֶה אֱלוֹ''הַ </w:t>
      </w:r>
      <w:r>
        <w:rPr>
          <w:sz w:val="20"/>
          <w:szCs w:val="23"/>
          <w:rtl/>
        </w:rPr>
        <w:t>(איוב יט כב)</w:t>
      </w:r>
      <w:r>
        <w:rPr>
          <w:szCs w:val="23"/>
          <w:rtl/>
        </w:rPr>
        <w:t xml:space="preserve">, </w:t>
      </w:r>
      <w:r>
        <w:rPr>
          <w:rStyle w:val="a7"/>
          <w:szCs w:val="23"/>
          <w:rtl/>
        </w:rPr>
        <w:footnoteReference w:id="3663"/>
      </w:r>
      <w:r>
        <w:rPr>
          <w:rStyle w:val="Char"/>
          <w:rtl/>
        </w:rPr>
        <w:t>וַעֲלַיְיהוּ אִתְּמַר</w:t>
      </w:r>
      <w:r>
        <w:rPr>
          <w:szCs w:val="23"/>
          <w:rtl/>
        </w:rPr>
        <w:t xml:space="preserve"> </w:t>
      </w:r>
      <w:r>
        <w:rPr>
          <w:sz w:val="20"/>
          <w:szCs w:val="23"/>
          <w:rtl/>
        </w:rPr>
        <w:t>(יחזקאל טז ו)</w:t>
      </w:r>
      <w:r>
        <w:rPr>
          <w:rtl/>
        </w:rPr>
        <w:t xml:space="preserve"> וָאֹמַר לָךְ בְּדָמַיִךְ חֲיִי לַצַּדִּיקַיָּא, וּכְתִיב </w:t>
      </w:r>
      <w:r>
        <w:rPr>
          <w:sz w:val="20"/>
          <w:szCs w:val="23"/>
          <w:rtl/>
        </w:rPr>
        <w:t>(זכריה ט יא),</w:t>
      </w:r>
      <w:r w:rsidR="00D12F04" w:rsidRPr="00D12F04">
        <w:rPr>
          <w:rtl/>
        </w:rPr>
        <w:t xml:space="preserve"> </w:t>
      </w:r>
      <w:r w:rsidR="00D12F04" w:rsidRPr="00D12F04">
        <w:rPr>
          <w:sz w:val="20"/>
          <w:szCs w:val="23"/>
          <w:rtl/>
        </w:rPr>
        <w:t xml:space="preserve">גַּם </w:t>
      </w:r>
      <w:r>
        <w:rPr>
          <w:sz w:val="20"/>
          <w:szCs w:val="23"/>
          <w:rtl/>
        </w:rPr>
        <w:t xml:space="preserve"> </w:t>
      </w:r>
      <w:r w:rsidR="00D12F04" w:rsidRPr="00D12F04">
        <w:rPr>
          <w:rtl/>
        </w:rPr>
        <w:t>אַתְּ בְּדַם בְּרִיתֵךְ שִׁלַּחְתִּי אֲסִירַיִךְ מִבּוֹר</w:t>
      </w:r>
      <w:r>
        <w:rPr>
          <w:rtl/>
        </w:rPr>
        <w:t xml:space="preserve">, </w:t>
      </w:r>
      <w:r w:rsidR="00D12F04">
        <w:rPr>
          <w:rtl/>
        </w:rPr>
        <w:t>דְּאִי</w:t>
      </w:r>
      <w:r>
        <w:rPr>
          <w:rtl/>
        </w:rPr>
        <w:t>הוּ גֵיה</w:t>
      </w:r>
      <w:r w:rsidR="00D12F04">
        <w:rPr>
          <w:rtl/>
        </w:rPr>
        <w:t>ִ</w:t>
      </w:r>
      <w:r>
        <w:rPr>
          <w:rtl/>
        </w:rPr>
        <w:t>נֹם.</w:t>
      </w:r>
    </w:p>
    <w:p w:rsidR="003841DB" w:rsidRDefault="00D12F04" w:rsidP="00602EF1">
      <w:pPr>
        <w:pStyle w:val="1"/>
        <w:rPr>
          <w:rtl/>
        </w:rPr>
      </w:pPr>
      <w:bookmarkStart w:id="231" w:name="_Toc228091307"/>
      <w:bookmarkStart w:id="232" w:name="_Toc231637946"/>
      <w:r>
        <w:rPr>
          <w:rtl/>
        </w:rPr>
        <w:t xml:space="preserve"> </w:t>
      </w:r>
      <w:r w:rsidR="003841DB">
        <w:rPr>
          <w:rtl/>
        </w:rPr>
        <w:t xml:space="preserve">(ספרים אחרים: תקונא </w:t>
      </w:r>
      <w:bookmarkEnd w:id="231"/>
      <w:bookmarkEnd w:id="232"/>
      <w:r w:rsidR="003841DB">
        <w:rPr>
          <w:rtl/>
        </w:rPr>
        <w:t>קדמאה שבסוף התיקונים)</w:t>
      </w:r>
    </w:p>
    <w:p w:rsidR="003841DB" w:rsidRDefault="003841DB" w:rsidP="00B17EA9">
      <w:pPr>
        <w:pStyle w:val="aa"/>
        <w:rPr>
          <w:rtl/>
        </w:rPr>
      </w:pPr>
      <w:r>
        <w:rPr>
          <w:rtl/>
        </w:rPr>
        <w:t>[תיקוני זוהר - דף קלז ע''א]</w:t>
      </w:r>
    </w:p>
    <w:p w:rsidR="003841DB" w:rsidRDefault="003841DB" w:rsidP="00B17EA9">
      <w:pPr>
        <w:pStyle w:val="NormalWeb"/>
        <w:rPr>
          <w:rtl/>
        </w:rPr>
      </w:pPr>
      <w:r>
        <w:rPr>
          <w:rtl/>
        </w:rPr>
        <w:t xml:space="preserve">בְּרֵאשִׁית בָּרָא אלהי''ם, בּ' </w:t>
      </w:r>
      <w:r>
        <w:rPr>
          <w:rStyle w:val="a7"/>
          <w:rtl/>
        </w:rPr>
        <w:footnoteReference w:id="3664"/>
      </w:r>
      <w:r>
        <w:rPr>
          <w:rtl/>
        </w:rPr>
        <w:t xml:space="preserve">נְקוּדָה בְּהֵיכָלֵיהּ, עֲלֵיהּ אִתְּמַר </w:t>
      </w:r>
      <w:r>
        <w:rPr>
          <w:sz w:val="20"/>
          <w:szCs w:val="23"/>
          <w:rtl/>
        </w:rPr>
        <w:t>(שיר ד יב)</w:t>
      </w:r>
      <w:r>
        <w:rPr>
          <w:rtl/>
        </w:rPr>
        <w:t xml:space="preserve"> גַּן נָעוּל אֲחוֹתִי כַלָּה גַּל נָעוּל מַעְיָן חָתוּם, מָאן מַעְיָן חָתוּם דָּא נְקוּדָה, מָאן נִיהוּ נָעוּל</w:t>
      </w:r>
      <w:r>
        <w:rPr>
          <w:sz w:val="20"/>
          <w:szCs w:val="23"/>
          <w:rtl/>
        </w:rPr>
        <w:t xml:space="preserve"> </w:t>
      </w:r>
      <w:r>
        <w:rPr>
          <w:rtl/>
        </w:rPr>
        <w:t xml:space="preserve">דִּילָהּ, </w:t>
      </w:r>
      <w:r>
        <w:rPr>
          <w:rStyle w:val="a7"/>
          <w:rtl/>
        </w:rPr>
        <w:footnoteReference w:id="3665"/>
      </w:r>
      <w:r>
        <w:rPr>
          <w:rtl/>
        </w:rPr>
        <w:t xml:space="preserve">דָּא ו' דְּסָתִים לְהֵיכָלָא וּבָהּ אִתְעֲבִיד ם סְתִימָא, אִיהִי ם רַבְּתָא מִלְּםַרְבֵּה הַמִּשְׂרָה </w:t>
      </w:r>
      <w:r>
        <w:rPr>
          <w:sz w:val="20"/>
          <w:szCs w:val="23"/>
          <w:rtl/>
        </w:rPr>
        <w:t>(ישעיה ט ו)</w:t>
      </w:r>
      <w:r>
        <w:rPr>
          <w:szCs w:val="23"/>
          <w:rtl/>
        </w:rPr>
        <w:t xml:space="preserve">, </w:t>
      </w:r>
      <w:r>
        <w:rPr>
          <w:rStyle w:val="a7"/>
          <w:szCs w:val="23"/>
          <w:rtl/>
        </w:rPr>
        <w:footnoteReference w:id="3666"/>
      </w:r>
      <w:r>
        <w:rPr>
          <w:rStyle w:val="Char"/>
          <w:rtl/>
        </w:rPr>
        <w:t>וְהַאי נְקוּדָה עֲלָהּ אִתְּמַר</w:t>
      </w:r>
      <w:r>
        <w:rPr>
          <w:szCs w:val="23"/>
          <w:rtl/>
        </w:rPr>
        <w:t xml:space="preserve"> </w:t>
      </w:r>
      <w:r>
        <w:rPr>
          <w:sz w:val="20"/>
          <w:szCs w:val="23"/>
          <w:rtl/>
        </w:rPr>
        <w:t>(איוב כח כא)</w:t>
      </w:r>
      <w:r>
        <w:rPr>
          <w:rtl/>
        </w:rPr>
        <w:t xml:space="preserve"> וְנֶעֶלְמָה מֵעִינֵי כָל חָי וּמֵעוֹף הַשָּׁמַיִם נִסְתָּרָה, </w:t>
      </w:r>
      <w:r>
        <w:rPr>
          <w:rStyle w:val="a7"/>
          <w:rtl/>
        </w:rPr>
        <w:footnoteReference w:id="3667"/>
      </w:r>
      <w:r>
        <w:rPr>
          <w:rtl/>
        </w:rPr>
        <w:t xml:space="preserve">וְהַאי נְקוּדָה מִסִּטְרָא דִיְמִינָא אִתְקְרִיאַת אַהֲבָה, וּמִסִּטְרָא דִשְׂמָאלָא אִתְקְרִיאַת יִרְאָה, וּמִסִּטְרָא דְעַמּוּדָא דְאֶמְצָעִיתָא אִתְקְרִיאַת תּוֹרָה, </w:t>
      </w:r>
      <w:r>
        <w:rPr>
          <w:rStyle w:val="a7"/>
          <w:rtl/>
        </w:rPr>
        <w:footnoteReference w:id="3668"/>
      </w:r>
      <w:r>
        <w:rPr>
          <w:rtl/>
        </w:rPr>
        <w:t xml:space="preserve">וְאִיהִי מִצְוָה, דְּעַמּוּדָא דְאֶמְצָעִיתָא כְּלִיל תַּרְוַיְיהוּ, בְּגִין דְּאִיהוּ ו' כְּלִיל י''ה דְּאִינוּן לִימִינָא וּשְׂמָאלָא, וְאִיהוּ ו' בְּאֶמְצָעִיתָא כְּלִיל תַּרְוַיְיהוּ, וּשְׁכִינְתָּא תַּתָּאָה מִצְוָה כְּלִילָא מֵאַרְבַּע אַתְוָון, אִיהִי אִתְקְרִיאַת י' מִסִּטְרָא דְחָכְמָה, ה' מִסִּטְרָא דְאִימָּא עִלָּאָה, וְאִתְקְרִיאַת תּוֹרָה מִסִּטְרָא דְעַמּוּדָא דְאֶמְצָעִיתָא, הֲדָא הוּא דִכְתִיב </w:t>
      </w:r>
      <w:r>
        <w:rPr>
          <w:sz w:val="20"/>
          <w:szCs w:val="23"/>
          <w:rtl/>
        </w:rPr>
        <w:t>(משלי ח כב)</w:t>
      </w:r>
      <w:r>
        <w:rPr>
          <w:rtl/>
        </w:rPr>
        <w:t xml:space="preserve"> יהו''ה קָנָנִי רֵאשִׁית דַּרְכּוֹ, </w:t>
      </w:r>
      <w:r>
        <w:rPr>
          <w:rStyle w:val="a7"/>
          <w:rtl/>
        </w:rPr>
        <w:footnoteReference w:id="3669"/>
      </w:r>
      <w:r>
        <w:rPr>
          <w:rtl/>
        </w:rPr>
        <w:t xml:space="preserve">דַּרְכּוֹ דֶּרֶךְ ו', קָנָנִי </w:t>
      </w:r>
      <w:r>
        <w:rPr>
          <w:rStyle w:val="a7"/>
          <w:rtl/>
        </w:rPr>
        <w:footnoteReference w:id="3670"/>
      </w:r>
      <w:r>
        <w:rPr>
          <w:rtl/>
        </w:rPr>
        <w:t xml:space="preserve">דְּאִיהִי קֵן דִּילֵיה, וּבְגִין דְּאִיהִי כְלִילָא מִכֻּלְּהוּ אַרְבַּע אִתְקְרִיאַת מִצְוָה, מ''ץ בְּאוֹתִיּוֹת אַ''תּ בַּ''שׁ אִיהוּ י''ה, י''ם ה''ץ, </w:t>
      </w:r>
      <w:r>
        <w:rPr>
          <w:rStyle w:val="a7"/>
          <w:rtl/>
        </w:rPr>
        <w:footnoteReference w:id="3671"/>
      </w:r>
      <w:r>
        <w:rPr>
          <w:rtl/>
        </w:rPr>
        <w:t xml:space="preserve">וּבָהּ כְּלִילָן פִּקּוּדִין דַּעֲשֵׂה וְלֹא תַעֲשֶׂה, פִּקּוּדִין דְּלֹא תַעֲשֶׂה מִסִּטְרָא דְּדִין דְּאִיהוּ אלהי''ם דְּתַמָּן י''ה, וַעֲלָהּ אִתְּמַר </w:t>
      </w:r>
      <w:r>
        <w:rPr>
          <w:sz w:val="20"/>
          <w:szCs w:val="23"/>
          <w:rtl/>
        </w:rPr>
        <w:t>(שמות ג טו)</w:t>
      </w:r>
      <w:r>
        <w:rPr>
          <w:rtl/>
        </w:rPr>
        <w:t xml:space="preserve"> זֶה שְּׁמִ''י וְהָא אוּקְמוּהוּ, פִּקּוּדִין דַּעֲשֵׂה מִסִּטְרָא דִיְמִינָא דְאִיהוּ רַחֲמֵי דִּכְלִילָן בְּאַבְרָהָם, וַעֲלַיְיהוּ אִתְּמַר </w:t>
      </w:r>
      <w:r>
        <w:rPr>
          <w:sz w:val="20"/>
          <w:szCs w:val="23"/>
          <w:rtl/>
        </w:rPr>
        <w:t>(חבקוק ג ב)</w:t>
      </w:r>
      <w:r>
        <w:rPr>
          <w:rtl/>
        </w:rPr>
        <w:t xml:space="preserve"> בְּרוֹגֶז רַחֵם תִּזְכּוֹר</w:t>
      </w:r>
    </w:p>
    <w:p w:rsidR="003841DB" w:rsidRDefault="003841DB" w:rsidP="00B17EA9">
      <w:pPr>
        <w:pStyle w:val="NormalWeb"/>
        <w:rPr>
          <w:rtl/>
        </w:rPr>
      </w:pPr>
      <w:r>
        <w:rPr>
          <w:rtl/>
        </w:rPr>
        <w:t xml:space="preserve">קָם סָבָא חַד מִבָּתַר טוּלָא </w:t>
      </w:r>
      <w:r>
        <w:rPr>
          <w:sz w:val="20"/>
          <w:szCs w:val="23"/>
          <w:rtl/>
        </w:rPr>
        <w:t>(כותלא)</w:t>
      </w:r>
      <w:r>
        <w:rPr>
          <w:rtl/>
        </w:rPr>
        <w:t xml:space="preserve">, וְאָמַר רַבִּי רַבִּי בּוֹצִינָא קַדִּישָׁא, </w:t>
      </w:r>
      <w:r>
        <w:rPr>
          <w:rStyle w:val="a7"/>
          <w:rtl/>
        </w:rPr>
        <w:footnoteReference w:id="3672"/>
      </w:r>
      <w:r>
        <w:rPr>
          <w:rtl/>
        </w:rPr>
        <w:t xml:space="preserve">קוּם אַדְלֵיק שְׁרַגָּא דְאִיהִי מִצְוָה, שְׁכִינְתָּא קַדִּישָׁא, דַּעֲלָהּ אִתְּמַר </w:t>
      </w:r>
      <w:r>
        <w:rPr>
          <w:sz w:val="20"/>
          <w:szCs w:val="23"/>
          <w:rtl/>
        </w:rPr>
        <w:t>(ויקרא ו ו)</w:t>
      </w:r>
      <w:r>
        <w:rPr>
          <w:rtl/>
        </w:rPr>
        <w:t xml:space="preserve"> אֵשׁ תָּמִיד תּוּקַד עַל הַמִּזְבֵּחַ לֹא תִכְבֶּה, וַעֲלָהּ אִתְּמַר </w:t>
      </w:r>
      <w:r>
        <w:rPr>
          <w:sz w:val="20"/>
          <w:szCs w:val="23"/>
          <w:rtl/>
        </w:rPr>
        <w:t>(שמות כז כ)</w:t>
      </w:r>
      <w:r>
        <w:rPr>
          <w:rtl/>
        </w:rPr>
        <w:t xml:space="preserve"> לְהַעֲלֹת נֵר תָּמִיד, נֵר יהו''ה אִתְקְרִיאַת וַדַּאי, </w:t>
      </w:r>
      <w:r>
        <w:rPr>
          <w:rStyle w:val="a7"/>
          <w:rtl/>
        </w:rPr>
        <w:footnoteReference w:id="3673"/>
      </w:r>
      <w:r>
        <w:rPr>
          <w:rtl/>
        </w:rPr>
        <w:t>אוֹר דְּנָהִיר בַּהּ נִשְׁמַת אָדָם, קוּם אַדְלֵיק בָּהּ.</w:t>
      </w:r>
    </w:p>
    <w:p w:rsidR="003841DB" w:rsidRDefault="003841DB" w:rsidP="00B17EA9">
      <w:pPr>
        <w:pStyle w:val="NormalWeb"/>
        <w:rPr>
          <w:rtl/>
        </w:rPr>
      </w:pPr>
      <w:r>
        <w:rPr>
          <w:rtl/>
        </w:rPr>
        <w:t xml:space="preserve">קָם רַבִּי שִׁמְעוֹן עַל רַגְלוֹי וְיָתִיב רִגְעָא חֲדָא וְאָמַר, רִבּוֹן עָלְמִין דְּאַנְתְּ אִיהוּ מָארֵי מַלְכִין וְגָלֵי רָזִין, יְהֵא רַעֲוָא דִילָךְ לְסַדְרָא מִלִּין בְּפִימָאִי, לְקַיְימָא בִּי הַאי קְרָא </w:t>
      </w:r>
      <w:r>
        <w:rPr>
          <w:sz w:val="20"/>
          <w:szCs w:val="23"/>
          <w:rtl/>
        </w:rPr>
        <w:t>(שם ד יב)</w:t>
      </w:r>
      <w:r>
        <w:rPr>
          <w:rtl/>
        </w:rPr>
        <w:t xml:space="preserve"> וְאָנֹכִי אֶהְיֶה עִם פִּיךָ, דְּלָא אֵעוּל בְּכִסּוּפָא קֳדָמָךְ, פָּתַח וְאָמַר.</w:t>
      </w:r>
    </w:p>
    <w:p w:rsidR="003841DB" w:rsidRDefault="003841DB" w:rsidP="00602EF1">
      <w:pPr>
        <w:pStyle w:val="1"/>
        <w:rPr>
          <w:u w:val="single"/>
          <w:rtl/>
        </w:rPr>
      </w:pPr>
      <w:bookmarkStart w:id="233" w:name="_Toc228091308"/>
      <w:bookmarkStart w:id="234" w:name="_Toc231637947"/>
      <w:r>
        <w:rPr>
          <w:rtl/>
        </w:rPr>
        <w:t>תקונא תלתין</w:t>
      </w:r>
      <w:bookmarkEnd w:id="233"/>
      <w:bookmarkEnd w:id="234"/>
    </w:p>
    <w:p w:rsidR="003841DB" w:rsidRDefault="003841DB" w:rsidP="00B17EA9">
      <w:pPr>
        <w:pStyle w:val="aa"/>
        <w:rPr>
          <w:rtl/>
        </w:rPr>
      </w:pPr>
      <w:r>
        <w:rPr>
          <w:rtl/>
        </w:rPr>
        <w:t>[תיקוני זוהר - המשך דף עו ע''א]</w:t>
      </w:r>
    </w:p>
    <w:p w:rsidR="003841DB" w:rsidRDefault="003841DB" w:rsidP="0092031D">
      <w:pPr>
        <w:pStyle w:val="NormalWeb"/>
        <w:rPr>
          <w:rtl/>
        </w:rPr>
      </w:pPr>
      <w:r>
        <w:rPr>
          <w:rtl/>
        </w:rPr>
        <w:t xml:space="preserve">בְּרֵאשִׁית מָאן רֵאשִׁית דָּא חָכְמָה, דָּא נְקוּדָה דִלְגַאו, דְּאִתְּמַר בָּהּ </w:t>
      </w:r>
      <w:r>
        <w:rPr>
          <w:szCs w:val="23"/>
          <w:rtl/>
        </w:rPr>
        <w:t>(תהלים מה יד)</w:t>
      </w:r>
      <w:r>
        <w:rPr>
          <w:rtl/>
        </w:rPr>
        <w:t xml:space="preserve"> כָּל כְּבוּדָּה בַת מֶלֶךְ פְּנִימָה, </w:t>
      </w:r>
      <w:r>
        <w:rPr>
          <w:rStyle w:val="a7"/>
          <w:szCs w:val="29"/>
          <w:rtl/>
        </w:rPr>
        <w:footnoteReference w:id="3674"/>
      </w:r>
      <w:r>
        <w:rPr>
          <w:rtl/>
        </w:rPr>
        <w:t xml:space="preserve">וְדָא יִרְאָה דְּאִיהִי פִּקּוּדָא קַדְמָאָה, וַעֲלָהּ אִתְּמַר </w:t>
      </w:r>
      <w:r>
        <w:rPr>
          <w:szCs w:val="23"/>
          <w:rtl/>
        </w:rPr>
        <w:t>(משלי א ז)</w:t>
      </w:r>
      <w:r>
        <w:rPr>
          <w:rtl/>
        </w:rPr>
        <w:t xml:space="preserve"> יִרְאַת יהו''ה רֵאשִׁית דָּעַת, </w:t>
      </w:r>
      <w:r>
        <w:rPr>
          <w:rStyle w:val="a7"/>
          <w:szCs w:val="29"/>
          <w:rtl/>
        </w:rPr>
        <w:footnoteReference w:id="3675"/>
      </w:r>
      <w:r>
        <w:rPr>
          <w:rtl/>
        </w:rPr>
        <w:t xml:space="preserve">וְאִיהִי רְמִיזָא בְמִלַּת בְּרֵאשִׁית, </w:t>
      </w:r>
      <w:r>
        <w:rPr>
          <w:rStyle w:val="a7"/>
          <w:szCs w:val="29"/>
          <w:rtl/>
        </w:rPr>
        <w:footnoteReference w:id="3676"/>
      </w:r>
      <w:r>
        <w:rPr>
          <w:rtl/>
        </w:rPr>
        <w:t xml:space="preserve">וְאִית יִרְאָה רָעָה רְצוּעָה לְאַלְקָאָה לְחַיָּיבַיָּא, וְהַאי נְקוּדָה אִיהִי אוֹת שַׁבָּת וְיוֹמִין טָבִין </w:t>
      </w:r>
      <w:r>
        <w:rPr>
          <w:rStyle w:val="a7"/>
          <w:szCs w:val="29"/>
          <w:rtl/>
        </w:rPr>
        <w:footnoteReference w:id="3677"/>
      </w:r>
      <w:r>
        <w:rPr>
          <w:rtl/>
        </w:rPr>
        <w:t xml:space="preserve">וְאוֹת דִּתְּפִלִּין וְאוֹת דִּבְּרִית מִילָה, </w:t>
      </w:r>
      <w:r>
        <w:rPr>
          <w:rStyle w:val="a7"/>
          <w:szCs w:val="29"/>
          <w:rtl/>
        </w:rPr>
        <w:footnoteReference w:id="3678"/>
      </w:r>
      <w:r>
        <w:rPr>
          <w:rtl/>
        </w:rPr>
        <w:t xml:space="preserve">הַהִיא רְצוּעָה אִיהִי יִרְאָה רָעָה אִיהִי עָרְלָה, זַכָּאָה אִיהוּ מָאן דְּאַעֲבַר לָהּ מִנֵּיהּ, דְּלֵית לָהּ רְשׁוּ לִרְצוּעָה לְאַלְקָאָה לֵיהּ, וְהַאי נְקוּדָה עֲלָהּ אִתְּמַר </w:t>
      </w:r>
      <w:r>
        <w:rPr>
          <w:szCs w:val="23"/>
          <w:rtl/>
        </w:rPr>
        <w:t>(שמת לא יד)</w:t>
      </w:r>
      <w:r>
        <w:rPr>
          <w:rtl/>
        </w:rPr>
        <w:t xml:space="preserve"> מְחַלֲלֶיהָ מוֹת יוּמָת, מַאי מְחַלֲלֶיהָ אֶלָּא מָאן דְּאַעִיל רְשׁוּ נוּכְרָאָה בְּחָלָל דִּילָהּ דְּאִיהִי רְשׁוּת הַיָּחִיד, דַּעֲלָהּ אִתְּמַר </w:t>
      </w:r>
      <w:r>
        <w:rPr>
          <w:szCs w:val="23"/>
          <w:rtl/>
        </w:rPr>
        <w:t>(במדבר יט כ)</w:t>
      </w:r>
      <w:r>
        <w:rPr>
          <w:rtl/>
        </w:rPr>
        <w:t xml:space="preserve"> וְנִכְרְתָה הַנֶּפֶשׁ הַהִיא מִתּוֹךְ הַקָּהָל כִּי אֶת מִקְדַּשׁ יהו''ה טִמֵּא.</w:t>
      </w:r>
    </w:p>
    <w:p w:rsidR="003841DB" w:rsidRDefault="003841DB" w:rsidP="0092031D">
      <w:pPr>
        <w:pStyle w:val="NormalWeb"/>
        <w:rPr>
          <w:rtl/>
        </w:rPr>
      </w:pPr>
      <w:r>
        <w:rPr>
          <w:rtl/>
        </w:rPr>
        <w:t xml:space="preserve">וְכֹלָּא אִתְרְמִיז בְּהַאי תֵּיבָה יִרְאַ''ת בְּרִי''ת שַׁבָּ''ת, כְּגַוְונָא דָא יִרְאַ''ת בְּרֵאשִׁי''ת, בְּרִי''ת בְּרֵאשִׁי''ת, שַׁבָּ''ת בְּרֵאשִׁי''ת, וְהַאי נְקוּדָה אִיהִי רֵאשִׁית, יהו''ה קָנָנִי רֵאשִׁית דַּרְכּוֹ </w:t>
      </w:r>
      <w:r>
        <w:rPr>
          <w:szCs w:val="23"/>
          <w:rtl/>
        </w:rPr>
        <w:t>(משלי א כב)</w:t>
      </w:r>
      <w:r>
        <w:rPr>
          <w:rtl/>
        </w:rPr>
        <w:t xml:space="preserve">, </w:t>
      </w:r>
      <w:r>
        <w:rPr>
          <w:rStyle w:val="a7"/>
          <w:szCs w:val="29"/>
          <w:rtl/>
        </w:rPr>
        <w:footnoteReference w:id="3679"/>
      </w:r>
      <w:r>
        <w:rPr>
          <w:rtl/>
        </w:rPr>
        <w:t>כְּגַוְונָא דָא בְּרֵאשִׁית, כֹּלָּא אִיהִי נְקוּדָה חֲדָא, אִיהִי רֵאשִׁית, וְאִיהִי אוֹת בְּרִית, וְאִיהִי אוֹת שַׁבָּת, וְאִיהִי יִרְאַת יהו''ה.</w:t>
      </w:r>
    </w:p>
    <w:p w:rsidR="003841DB" w:rsidRDefault="003841DB" w:rsidP="0092031D">
      <w:pPr>
        <w:pStyle w:val="NormalWeb"/>
        <w:rPr>
          <w:rtl/>
        </w:rPr>
      </w:pPr>
      <w:r>
        <w:rPr>
          <w:rtl/>
        </w:rPr>
        <w:t xml:space="preserve">מָאן חָלָל דִּילָהּ בּ, ו' אִיהוּ בַּעְלָהּ, </w:t>
      </w:r>
      <w:r>
        <w:rPr>
          <w:rStyle w:val="a7"/>
          <w:szCs w:val="29"/>
          <w:rtl/>
        </w:rPr>
        <w:footnoteReference w:id="3680"/>
      </w:r>
      <w:r>
        <w:rPr>
          <w:rtl/>
        </w:rPr>
        <w:t xml:space="preserve">בֵּיהּ אִיהִי נְטִירָא וּסְתִימָא בְּגָלוּתָא, הֲדָא הוּא דִכְתִיב </w:t>
      </w:r>
      <w:r>
        <w:rPr>
          <w:szCs w:val="23"/>
          <w:rtl/>
        </w:rPr>
        <w:t>(יחזקאל מז א)</w:t>
      </w:r>
      <w:r>
        <w:rPr>
          <w:rtl/>
        </w:rPr>
        <w:t xml:space="preserve"> יִהְיֶה סָגוּר שֵׁשֶׁת יְמֵי הַמַּעֲשֶׂה, כְּגַוְונָא דָא ם סְתִימָא, וְהָא אִתְּמַר, וּנְקוּדָה אִיהִי שְׁבִיעָאָה תַּגָּא עַל רֵישֵׁיהּ, תַּגָּא דְסֵפֶר תּוֹרָה, עֲטָרָה עַל בְּרִית, ז' דְּאִיהִי יוֹם שְׁבִיעִי יוֹם הַשַּׁבָּת, שְׁבִיעִי וַדַּאי, וַעֲלֵיהּ אִתְּמַר וּבְיוֹם הַשַּׁבָּת יִפָּתֵחַ, אֲבָל בְּיוֹמִין דְּחוֹל גַּן נָעוּל אֲחוֹתִי כַלָּה </w:t>
      </w:r>
      <w:r>
        <w:rPr>
          <w:szCs w:val="23"/>
          <w:rtl/>
        </w:rPr>
        <w:t>(שיר ד יב)</w:t>
      </w:r>
      <w:r>
        <w:rPr>
          <w:rtl/>
        </w:rPr>
        <w:t xml:space="preserve"> אִתְקְרִיאַת סְתִימָא בְאוֹת ו'.</w:t>
      </w:r>
    </w:p>
    <w:p w:rsidR="003841DB" w:rsidRDefault="003841DB" w:rsidP="00B17EA9">
      <w:pPr>
        <w:pStyle w:val="NormalWeb"/>
        <w:rPr>
          <w:rtl/>
        </w:rPr>
      </w:pPr>
      <w:r>
        <w:rPr>
          <w:rStyle w:val="a7"/>
          <w:rtl/>
        </w:rPr>
        <w:footnoteReference w:id="3681"/>
      </w:r>
      <w:r>
        <w:rPr>
          <w:rtl/>
        </w:rPr>
        <w:t xml:space="preserve">וְהַאי עָרְלָה וּפְרִיעָה אִינוּן כַּמּוֹץ וְתֶבֶן דְּחִטָּה, בְּיוֹמִין דְּחוֹל אִתְקְרִיאַת הֵ''א, דְאִיהוּ הֶבֶ''ל לַהַ''ב הַמִּזְבֵּחַ, לְאַדְלָקָא מוֹץ וְתֶבֶן, וְאִשְׁתְּאָרַת אִיהִי סֹלֶת נְקִיָּה, אֲבָל בְּיוֹמִין דְּשַׁבָּת וְיוֹמִין טָבִין אִתְקְרִיאַת י' עֲטָרָה עַל כֹּלָּא, וּבֵיתָא, </w:t>
      </w:r>
      <w:r>
        <w:rPr>
          <w:sz w:val="20"/>
          <w:szCs w:val="23"/>
          <w:rtl/>
        </w:rPr>
        <w:t>(נ''א וכסא)</w:t>
      </w:r>
      <w:r>
        <w:rPr>
          <w:rtl/>
        </w:rPr>
        <w:t xml:space="preserve"> דִּילָהּ, ל''ב אלהי''ם דְּעוֹבָדָא דִבְּרֵאשִׁית, </w:t>
      </w:r>
      <w:r>
        <w:rPr>
          <w:rStyle w:val="a7"/>
          <w:rtl/>
        </w:rPr>
        <w:footnoteReference w:id="3682"/>
      </w:r>
      <w:r>
        <w:rPr>
          <w:rtl/>
        </w:rPr>
        <w:t xml:space="preserve">וְאִיהִי ב' כְּלִילָא מֵעֲשַׂר אֲמִירָן בְּכָל סִטְרָא, </w:t>
      </w:r>
      <w:r>
        <w:rPr>
          <w:rStyle w:val="a7"/>
          <w:rtl/>
        </w:rPr>
        <w:footnoteReference w:id="3683"/>
      </w:r>
      <w:r>
        <w:rPr>
          <w:rtl/>
        </w:rPr>
        <w:t>הַאי י' אִתְקְרִיאַת יִרְאָה, בֵין בְּשַׁבָּת בֵּין בִּבְרִית מִילָה בֵין בִּדְחִילוּ וְהָכִי בְכָל פִּקּוּדָא.</w:t>
      </w:r>
    </w:p>
    <w:p w:rsidR="003841DB" w:rsidRDefault="003841DB" w:rsidP="00B17EA9">
      <w:pPr>
        <w:pStyle w:val="NormalWeb"/>
        <w:rPr>
          <w:rtl/>
        </w:rPr>
      </w:pPr>
      <w:r>
        <w:rPr>
          <w:rStyle w:val="a7"/>
          <w:rtl/>
        </w:rPr>
        <w:footnoteReference w:id="3684"/>
      </w:r>
      <w:r>
        <w:rPr>
          <w:rtl/>
        </w:rPr>
        <w:t xml:space="preserve">אלהי''ם דָּא </w:t>
      </w:r>
      <w:r>
        <w:rPr>
          <w:u w:val="single"/>
          <w:rtl/>
        </w:rPr>
        <w:t>נָתִיב קַדְמָאָה</w:t>
      </w:r>
      <w:r>
        <w:rPr>
          <w:rtl/>
        </w:rPr>
        <w:t xml:space="preserve">, עֲלֵיהּ אִתְּמַר </w:t>
      </w:r>
      <w:r>
        <w:rPr>
          <w:sz w:val="20"/>
          <w:szCs w:val="23"/>
          <w:rtl/>
        </w:rPr>
        <w:t>(איוב כח ז)</w:t>
      </w:r>
      <w:r>
        <w:rPr>
          <w:rtl/>
        </w:rPr>
        <w:t xml:space="preserve"> נָתִיב לֹא יְדָעוֹ </w:t>
      </w:r>
      <w:r>
        <w:rPr>
          <w:rStyle w:val="a7"/>
          <w:rtl/>
        </w:rPr>
        <w:footnoteReference w:id="3685"/>
      </w:r>
      <w:r>
        <w:rPr>
          <w:rtl/>
        </w:rPr>
        <w:t xml:space="preserve">עָיִט וְלֹא שְׁזָפַתּוּ עִין אַיָּה, מַאי עִין אַיָּה, אֶלָּא מֵאִינוּן מַלְאָכִין דְּאָמְרִין אַיֵּה מְקוֹם כְּבוֹדוֹ לְהַעֲרִיצוֹ, </w:t>
      </w:r>
      <w:r>
        <w:rPr>
          <w:rStyle w:val="a7"/>
          <w:rtl/>
        </w:rPr>
        <w:footnoteReference w:id="3686"/>
      </w:r>
      <w:r>
        <w:rPr>
          <w:rtl/>
        </w:rPr>
        <w:t>כַּד אִיהִי בְּהַאי נָתִיב לֵית לוֹן יְדִיעָה בָּהּ, דְּאִיהִי סְתִירָא מֵחֵיוָן דְּמֶרְכַּבְתָּא.</w:t>
      </w:r>
    </w:p>
    <w:p w:rsidR="003841DB" w:rsidRDefault="003841DB" w:rsidP="00B17EA9">
      <w:pPr>
        <w:pStyle w:val="aa"/>
        <w:rPr>
          <w:rtl/>
        </w:rPr>
      </w:pPr>
      <w:r>
        <w:rPr>
          <w:rtl/>
        </w:rPr>
        <w:t xml:space="preserve">[תיקוני זוהר - דף עו ע''ב] </w:t>
      </w:r>
    </w:p>
    <w:p w:rsidR="003841DB" w:rsidRDefault="003841DB" w:rsidP="00B17EA9">
      <w:pPr>
        <w:pStyle w:val="NormalWeb"/>
        <w:rPr>
          <w:rtl/>
        </w:rPr>
      </w:pPr>
      <w:r>
        <w:rPr>
          <w:rStyle w:val="a7"/>
          <w:rtl/>
        </w:rPr>
        <w:footnoteReference w:id="3687"/>
      </w:r>
      <w:r>
        <w:rPr>
          <w:rtl/>
        </w:rPr>
        <w:t xml:space="preserve">וְהָאָרֶץ הָיְתָה תֹהוּ וָבֹהוּ </w:t>
      </w:r>
      <w:r>
        <w:rPr>
          <w:sz w:val="20"/>
          <w:szCs w:val="23"/>
          <w:rtl/>
        </w:rPr>
        <w:t>(בראשית א ב)</w:t>
      </w:r>
      <w:r>
        <w:rPr>
          <w:rtl/>
        </w:rPr>
        <w:t xml:space="preserve">, </w:t>
      </w:r>
      <w:r>
        <w:rPr>
          <w:rStyle w:val="a7"/>
          <w:rtl/>
        </w:rPr>
        <w:footnoteReference w:id="3688"/>
      </w:r>
      <w:r>
        <w:rPr>
          <w:rtl/>
        </w:rPr>
        <w:t xml:space="preserve">מַאי וְהָאָרֶץ הָיְתָה תֹהוּ וָבֹהוּ, אֶלָּא מָאן דְּאַפִּיק מֵרְשׁוּת הַיָּחִיד לִרְשׁוּת הָרַבִּים גָּרִים לִשְׁכִינְתָּא, לְמֶהֱוֵי תֹהוּ וָבֹהוּ חֹשֶׁךְ וּתְהוֹם, דְּאִתְלַבְּשַׁת בְּאִינוּן קְלִיפִין, </w:t>
      </w:r>
      <w:r>
        <w:rPr>
          <w:rStyle w:val="a7"/>
          <w:rtl/>
        </w:rPr>
        <w:footnoteReference w:id="3689"/>
      </w:r>
      <w:r>
        <w:rPr>
          <w:rtl/>
        </w:rPr>
        <w:t xml:space="preserve">דְּאִינוּן אַרְבַּע גָּלִיּוֹת, וְלָא עוֹד אֶלָּא </w:t>
      </w:r>
      <w:r>
        <w:rPr>
          <w:sz w:val="20"/>
          <w:szCs w:val="23"/>
          <w:rtl/>
        </w:rPr>
        <w:t xml:space="preserve">(דף עו ע''ב) </w:t>
      </w:r>
      <w:r>
        <w:rPr>
          <w:rtl/>
        </w:rPr>
        <w:t xml:space="preserve">דְגָרִים לָהּ לְמֶהֱוִי יַבָּשָׁה תֹהוּ, </w:t>
      </w:r>
      <w:r>
        <w:rPr>
          <w:rStyle w:val="a7"/>
          <w:rtl/>
        </w:rPr>
        <w:footnoteReference w:id="3690"/>
      </w:r>
      <w:r>
        <w:rPr>
          <w:rtl/>
        </w:rPr>
        <w:t>דְּאִסְתַּלְּקַת נְקוּדָה מֵחָלָל דִּילָהּ דְּאִיהִי ב', וְאִשְׁתְּאָרַת יְבֵישָׁה.</w:t>
      </w:r>
    </w:p>
    <w:p w:rsidR="003841DB" w:rsidRDefault="003841DB" w:rsidP="00B17EA9">
      <w:pPr>
        <w:pStyle w:val="NormalWeb"/>
        <w:rPr>
          <w:rtl/>
        </w:rPr>
      </w:pPr>
      <w:r>
        <w:rPr>
          <w:rStyle w:val="a7"/>
          <w:rtl/>
        </w:rPr>
        <w:footnoteReference w:id="3691"/>
      </w:r>
      <w:r>
        <w:rPr>
          <w:u w:val="single"/>
          <w:rtl/>
        </w:rPr>
        <w:t>נָתִיב תִּנְיָינָא</w:t>
      </w:r>
      <w:r>
        <w:rPr>
          <w:rtl/>
        </w:rPr>
        <w:t xml:space="preserve">, וְרוּחַ אלהי''ם מְרַחֶפֶת עַל פְּנֵי הַמָּיִם </w:t>
      </w:r>
      <w:r>
        <w:rPr>
          <w:sz w:val="20"/>
          <w:szCs w:val="23"/>
          <w:rtl/>
        </w:rPr>
        <w:t>(שם)</w:t>
      </w:r>
      <w:r>
        <w:rPr>
          <w:rtl/>
        </w:rPr>
        <w:t xml:space="preserve">, מַאי וְרוּחַ, אֶלָּא בְּוַדַּאי בְּזִמְנָא דִשְׁכִינְתָּא נָחֲתַת בְּגָלוּתָא, הַאי רוּחַ נָשִׁיב עַל אִינוּן דְּמִתְעַסְּקֵי בְּאוֹרַיְיתָא, בְּגִין שְׁכִינְתָּא דְאִשְׁתַּכְּחַת בֵּינַיְיהוּ, </w:t>
      </w:r>
      <w:r>
        <w:rPr>
          <w:rStyle w:val="a7"/>
          <w:rtl/>
        </w:rPr>
        <w:footnoteReference w:id="3692"/>
      </w:r>
      <w:r>
        <w:rPr>
          <w:rtl/>
        </w:rPr>
        <w:t xml:space="preserve">וְהַאי רוּחַ אִתְעֲבִיד קָלָא, וְיֵימָא הָכִי </w:t>
      </w:r>
      <w:r>
        <w:rPr>
          <w:rStyle w:val="a7"/>
          <w:rtl/>
        </w:rPr>
        <w:footnoteReference w:id="3693"/>
      </w:r>
      <w:r>
        <w:rPr>
          <w:rtl/>
        </w:rPr>
        <w:t xml:space="preserve">אִינוּן דְּמִיכִין </w:t>
      </w:r>
      <w:r>
        <w:rPr>
          <w:rStyle w:val="a7"/>
          <w:rtl/>
        </w:rPr>
        <w:footnoteReference w:id="3694"/>
      </w:r>
      <w:r>
        <w:rPr>
          <w:rtl/>
        </w:rPr>
        <w:t xml:space="preserve">דְּשִׁינְתָא בְּחוֹרֵיהוֹן, סְתִימִין עַיְינִין אֲטִימִין דְּלִבָּא, קוּמוּ וְאִתְעָרוּ </w:t>
      </w:r>
      <w:r>
        <w:rPr>
          <w:rStyle w:val="a7"/>
          <w:rtl/>
        </w:rPr>
        <w:footnoteReference w:id="3695"/>
      </w:r>
      <w:r>
        <w:rPr>
          <w:rtl/>
        </w:rPr>
        <w:t xml:space="preserve">לְגַבֵּי שְׁכִינְתָּא, </w:t>
      </w:r>
      <w:r>
        <w:rPr>
          <w:rStyle w:val="a7"/>
          <w:rtl/>
        </w:rPr>
        <w:footnoteReference w:id="3696"/>
      </w:r>
      <w:r>
        <w:rPr>
          <w:rtl/>
        </w:rPr>
        <w:t>דְּאִית לְכוֹן לִבָּא בְּלָא סֻכְלְתָנוּ לְמִנְדַּע בָּהּ, וְאִיהוּ בֵּינַיְכוּ.</w:t>
      </w:r>
    </w:p>
    <w:p w:rsidR="003841DB" w:rsidRDefault="003841DB" w:rsidP="00B17EA9">
      <w:pPr>
        <w:pStyle w:val="NormalWeb"/>
        <w:rPr>
          <w:rtl/>
        </w:rPr>
      </w:pPr>
      <w:r>
        <w:rPr>
          <w:rtl/>
        </w:rPr>
        <w:t xml:space="preserve">וְרָזָא דְמִלָּה קוֹל אוֹמֵר קְרָא </w:t>
      </w:r>
      <w:r>
        <w:rPr>
          <w:sz w:val="20"/>
          <w:szCs w:val="23"/>
          <w:rtl/>
        </w:rPr>
        <w:t>(ישעיה מ ו)</w:t>
      </w:r>
      <w:r>
        <w:rPr>
          <w:rtl/>
        </w:rPr>
        <w:t xml:space="preserve">, </w:t>
      </w:r>
      <w:r>
        <w:rPr>
          <w:rStyle w:val="a7"/>
          <w:rtl/>
        </w:rPr>
        <w:footnoteReference w:id="3697"/>
      </w:r>
      <w:r>
        <w:rPr>
          <w:rtl/>
        </w:rPr>
        <w:t xml:space="preserve">כְּגוֹן קְרָא נָא הֲיֵשׁ עוֹנֶךָּ וְאֶל מִי מִקְּדוֹשִׁים תִּפְנֶה </w:t>
      </w:r>
      <w:r>
        <w:rPr>
          <w:sz w:val="20"/>
          <w:szCs w:val="23"/>
          <w:rtl/>
        </w:rPr>
        <w:t>(איוב ח א)</w:t>
      </w:r>
      <w:r>
        <w:rPr>
          <w:rtl/>
        </w:rPr>
        <w:t xml:space="preserve">, וְהִיא אָמְרַת מָה אֶקְרָא, כָּל הַבָּשָׂר חָצִיר, </w:t>
      </w:r>
      <w:r>
        <w:rPr>
          <w:rStyle w:val="a7"/>
          <w:rtl/>
        </w:rPr>
        <w:footnoteReference w:id="3698"/>
      </w:r>
      <w:r>
        <w:rPr>
          <w:rtl/>
        </w:rPr>
        <w:t xml:space="preserve">כֹּלָּא אִינוּן כִּבְעִירָן דְּאָכְלִין חָצִיר, וְכָל חַסְדּוֹ כְּצִיץ הַשָּׂדֶה </w:t>
      </w:r>
      <w:r>
        <w:rPr>
          <w:sz w:val="20"/>
          <w:szCs w:val="23"/>
          <w:rtl/>
        </w:rPr>
        <w:t>(שם)</w:t>
      </w:r>
      <w:r>
        <w:rPr>
          <w:rtl/>
        </w:rPr>
        <w:t xml:space="preserve">, </w:t>
      </w:r>
      <w:r>
        <w:rPr>
          <w:rStyle w:val="a7"/>
          <w:rtl/>
        </w:rPr>
        <w:footnoteReference w:id="3699"/>
      </w:r>
      <w:r>
        <w:rPr>
          <w:rtl/>
        </w:rPr>
        <w:t xml:space="preserve">כָּל חֶסֶד דְּעָבְדִין לְגַרְמַיְיהוּ עָבְדִין, וַאֲפִילוּ כָּל אִינוּן דְּמִשְׁתַּדְּלִין בְּאוֹרַיְיתָא, כָּל חֶסֶד דְּעָבְדִין לְגַרְמַיְיהוּ עָבְדִין, </w:t>
      </w:r>
      <w:r>
        <w:rPr>
          <w:rStyle w:val="a7"/>
          <w:rtl/>
        </w:rPr>
        <w:footnoteReference w:id="3700"/>
      </w:r>
      <w:r>
        <w:rPr>
          <w:rtl/>
        </w:rPr>
        <w:t xml:space="preserve">בְּהַהוּא זִמְנָא וַיִּזְכּוֹר כִּי בָשָׂר הֵמָּה רוּחַ הוֹלֵךְ וְלֹא יָשׁוּב </w:t>
      </w:r>
      <w:r>
        <w:rPr>
          <w:sz w:val="20"/>
          <w:szCs w:val="23"/>
          <w:rtl/>
        </w:rPr>
        <w:t>(תהלים עח לט)</w:t>
      </w:r>
      <w:r>
        <w:rPr>
          <w:rtl/>
        </w:rPr>
        <w:t xml:space="preserve"> לְעָלְמָא, </w:t>
      </w:r>
      <w:r>
        <w:rPr>
          <w:rStyle w:val="a7"/>
          <w:rtl/>
        </w:rPr>
        <w:footnoteReference w:id="3701"/>
      </w:r>
      <w:r>
        <w:rPr>
          <w:rtl/>
        </w:rPr>
        <w:t xml:space="preserve">וְדָא אִיהוּ רוּחָא דְמָשִׁיחַ, וַי לוֹן מָאן דְּגָרְמִין דְּיֵזִיל לֵיהּ מִן עָלְמָא וְלָא יְתוּב לְעָלְמָא, </w:t>
      </w:r>
      <w:r>
        <w:rPr>
          <w:rStyle w:val="a7"/>
          <w:rtl/>
        </w:rPr>
        <w:footnoteReference w:id="3702"/>
      </w:r>
      <w:r>
        <w:rPr>
          <w:rtl/>
        </w:rPr>
        <w:t xml:space="preserve">דְּאִלֵּין אִינוּן דְּעָבְדִין לְאוֹרַיְיתָא יַבָּשָׁה, וְלָא בָעָאן לְאִשְׁתַּדְלָא בְחָכְמָה דְקַבָּלָה, דְגָרְמִין דְּאִסְתַּלַּק נְבִיעוּ דְחָכְמָה דְאִיהִי י' מִינָהּ, וְאִשְׁתְּאָרַת ב' יְבֵישָׁה, </w:t>
      </w:r>
      <w:r>
        <w:rPr>
          <w:rStyle w:val="a7"/>
          <w:rtl/>
        </w:rPr>
        <w:footnoteReference w:id="3703"/>
      </w:r>
      <w:r>
        <w:rPr>
          <w:rtl/>
        </w:rPr>
        <w:t xml:space="preserve">וַי לוֹן דְּגָרְמִין עֲנִיּוּתָא וְחַרְבָּא וּבִיזָה וְהֶרֶג וְאַבְּדָן בְּעָלְמָא, </w:t>
      </w:r>
      <w:r>
        <w:rPr>
          <w:rStyle w:val="a7"/>
          <w:rtl/>
        </w:rPr>
        <w:footnoteReference w:id="3704"/>
      </w:r>
      <w:r>
        <w:rPr>
          <w:rtl/>
        </w:rPr>
        <w:t xml:space="preserve">וְהַאי רוּחַ דְּאִסְתַּלַּק אִיהוּ רוּחַ דְמָּשִׁיחַ כְּמָה דְאִתְּמַר, וְאִיהוּ רוּחַ הַקֹּדֶשׁ, </w:t>
      </w:r>
      <w:r>
        <w:rPr>
          <w:rStyle w:val="a7"/>
          <w:rtl/>
        </w:rPr>
        <w:footnoteReference w:id="3705"/>
      </w:r>
      <w:r>
        <w:rPr>
          <w:rtl/>
        </w:rPr>
        <w:t xml:space="preserve">וְאִיהוּ </w:t>
      </w:r>
      <w:r>
        <w:rPr>
          <w:rStyle w:val="a7"/>
          <w:rtl/>
        </w:rPr>
        <w:footnoteReference w:id="3706"/>
      </w:r>
      <w:r>
        <w:rPr>
          <w:rtl/>
        </w:rPr>
        <w:t xml:space="preserve">רוּחַ חָכְמָה וּבִינָה רוּחַ עִצָה וּגְבוּרָה רוּחַ דַּעַת וְיִרְאַת יהו''ה </w:t>
      </w:r>
      <w:r>
        <w:rPr>
          <w:sz w:val="20"/>
          <w:szCs w:val="23"/>
          <w:rtl/>
        </w:rPr>
        <w:t>(ישעיה יא ב)</w:t>
      </w:r>
      <w:r>
        <w:rPr>
          <w:rtl/>
        </w:rPr>
        <w:t>.</w:t>
      </w:r>
    </w:p>
    <w:p w:rsidR="003841DB" w:rsidRDefault="003841DB" w:rsidP="00B17EA9">
      <w:pPr>
        <w:pStyle w:val="NormalWeb"/>
        <w:rPr>
          <w:rtl/>
        </w:rPr>
      </w:pPr>
      <w:r>
        <w:rPr>
          <w:rStyle w:val="a7"/>
          <w:rtl/>
        </w:rPr>
        <w:footnoteReference w:id="3707"/>
      </w:r>
      <w:r>
        <w:rPr>
          <w:u w:val="single"/>
          <w:rtl/>
        </w:rPr>
        <w:t xml:space="preserve">פִּקּוּדָא </w:t>
      </w:r>
      <w:r>
        <w:rPr>
          <w:rStyle w:val="a7"/>
          <w:u w:val="single"/>
          <w:rtl/>
        </w:rPr>
        <w:footnoteReference w:id="3708"/>
      </w:r>
      <w:r>
        <w:rPr>
          <w:u w:val="single"/>
          <w:rtl/>
        </w:rPr>
        <w:t>תִּנְיָינָא</w:t>
      </w:r>
      <w:r>
        <w:rPr>
          <w:rtl/>
        </w:rPr>
        <w:t xml:space="preserve"> וַיֹּאמֶר אלהי''ם יְהִי אוֹר וַיְהִי אוֹר </w:t>
      </w:r>
      <w:r>
        <w:rPr>
          <w:sz w:val="20"/>
          <w:szCs w:val="23"/>
          <w:rtl/>
        </w:rPr>
        <w:t>(בראשית א ג)</w:t>
      </w:r>
      <w:r>
        <w:rPr>
          <w:rtl/>
        </w:rPr>
        <w:t xml:space="preserve">, וְדָא אַהֲבָה דְאִיהוּ אַהֲבַת חֶסֶד, הֲדָא הוּא דִכְתִיב </w:t>
      </w:r>
      <w:r>
        <w:rPr>
          <w:sz w:val="20"/>
          <w:szCs w:val="23"/>
          <w:rtl/>
        </w:rPr>
        <w:t>(ירמיה לא ב)</w:t>
      </w:r>
      <w:r>
        <w:rPr>
          <w:rtl/>
        </w:rPr>
        <w:t xml:space="preserve"> וְאַהֲבַת עוֹלָם אֲהַבְתִּיךְ עַל כֵּן מְשַׁכְתִּיךְ חָסֶד, </w:t>
      </w:r>
      <w:r>
        <w:rPr>
          <w:rStyle w:val="a7"/>
          <w:rtl/>
        </w:rPr>
        <w:footnoteReference w:id="3709"/>
      </w:r>
      <w:r>
        <w:rPr>
          <w:rtl/>
        </w:rPr>
        <w:t xml:space="preserve">וַעֲלָהּ אִתְּמַר </w:t>
      </w:r>
      <w:r>
        <w:rPr>
          <w:sz w:val="20"/>
          <w:szCs w:val="23"/>
          <w:rtl/>
        </w:rPr>
        <w:t>(שיר ב ז)</w:t>
      </w:r>
      <w:r>
        <w:rPr>
          <w:rtl/>
        </w:rPr>
        <w:t xml:space="preserve"> אִם תָּעִירוּ וְאִם תְּעוֹרְרוּ אֶת הָאַהֲבָה עַד שֶׁתֶּחְפָּץ, יִרְאָה אִתְקְרִיאַת מִסִּטְרָא דִשְׂמָאלָא, וְאַהֲבָה אִתְקְרִיאַת מִסִּטְרָא דִימִינָא.</w:t>
      </w:r>
    </w:p>
    <w:p w:rsidR="003841DB" w:rsidRDefault="003841DB" w:rsidP="00B17EA9">
      <w:pPr>
        <w:pStyle w:val="NormalWeb"/>
        <w:rPr>
          <w:rtl/>
        </w:rPr>
      </w:pPr>
      <w:r>
        <w:rPr>
          <w:rtl/>
        </w:rPr>
        <w:t xml:space="preserve">אִית יִרְאָה וְאִית יִרְאָה, אִית אַהֲבָה וְאִית אַהֲבָה, יִרְאָה דְּדָחִיל בַּר נַשׁ לְקוּדְשָׁא בְּרִיךְ הוּא בְּגִין דְּלָא נָחִית מִנִּכְסוֹי, אוֹ בְּגִין דְּלָא יְמוּתוּן בְּנוֹי בְּחַיּיוֹי, אִשְׁתַּכַּח דְּאִם הֲוָה נָחִית מִנִּכְסוֹי אוֹ אִם יְמוּתוּן בְּנוֹי בְּחַיּיוֹי דְּלָא הֲוָה דָחִיל לֵיהּ, </w:t>
      </w:r>
      <w:r>
        <w:rPr>
          <w:rStyle w:val="a7"/>
          <w:rtl/>
        </w:rPr>
        <w:footnoteReference w:id="3710"/>
      </w:r>
      <w:r>
        <w:rPr>
          <w:rtl/>
        </w:rPr>
        <w:t xml:space="preserve">וּבְגִין דָּא הֲוָה רָחִים לֵיהּ, </w:t>
      </w:r>
      <w:r>
        <w:rPr>
          <w:rStyle w:val="a7"/>
          <w:rtl/>
        </w:rPr>
        <w:footnoteReference w:id="3711"/>
      </w:r>
      <w:r>
        <w:rPr>
          <w:rtl/>
        </w:rPr>
        <w:t>הַאי יִרְאָה וְאַהֲבָה לָא שַׁוִּי לְיִרְאַת יהו''ה וּלְאַהֲבָה דִילֵיהּ לְעִקָּרָא, אֲבָל רְחִימוּ וּדְחִילוּ עִיקָרָא דִילֵיהּ בֵּין טַב וּבֵין בִּישׁ, וּבְגִין דָּא אִתְקְרִיאַת הַאי יִרְאָה וְאַהֲבָה עַל מְנָת לְקַבֵּל פְּרָס.</w:t>
      </w:r>
    </w:p>
    <w:p w:rsidR="003841DB" w:rsidRDefault="003841DB" w:rsidP="00B17EA9">
      <w:pPr>
        <w:pStyle w:val="NormalWeb"/>
        <w:rPr>
          <w:rtl/>
        </w:rPr>
      </w:pPr>
      <w:r>
        <w:rPr>
          <w:rStyle w:val="a7"/>
          <w:rtl/>
        </w:rPr>
        <w:footnoteReference w:id="3712"/>
      </w:r>
      <w:r>
        <w:rPr>
          <w:rtl/>
        </w:rPr>
        <w:t xml:space="preserve">וּבְגִין דָּא אָמַר קוּדְשָׁא בְּרִיךְ הוּא </w:t>
      </w:r>
      <w:r>
        <w:rPr>
          <w:sz w:val="20"/>
          <w:szCs w:val="23"/>
          <w:rtl/>
        </w:rPr>
        <w:t>(שם)</w:t>
      </w:r>
      <w:r>
        <w:rPr>
          <w:rtl/>
        </w:rPr>
        <w:t xml:space="preserve">, הִשְׁבַּעְתִּי אֶתְכֶם בְּנוֹת יְרוּשָׁלַם בִּצבאו''ת אוֹ בְּאַיְלוֹת הַשָּׂדֶה, אִם תָּעִירוּ וְאִם תְּעוֹרְרוּ אֶת הָאַהֲבָה עַד שֶׁתֶּחְפָּץ, דְאִיהוּ רְחִימוּ </w:t>
      </w:r>
      <w:r>
        <w:rPr>
          <w:sz w:val="20"/>
          <w:szCs w:val="23"/>
          <w:rtl/>
        </w:rPr>
        <w:t>(נ''א דאיהי רחמי)</w:t>
      </w:r>
      <w:r>
        <w:rPr>
          <w:szCs w:val="23"/>
          <w:rtl/>
        </w:rPr>
        <w:t xml:space="preserve"> </w:t>
      </w:r>
      <w:r>
        <w:rPr>
          <w:rStyle w:val="Char"/>
          <w:rtl/>
        </w:rPr>
        <w:t>בְּלַאו פְּרָס,</w:t>
      </w:r>
      <w:r>
        <w:rPr>
          <w:szCs w:val="23"/>
          <w:rtl/>
        </w:rPr>
        <w:t xml:space="preserve"> </w:t>
      </w:r>
      <w:r>
        <w:rPr>
          <w:rtl/>
        </w:rPr>
        <w:t xml:space="preserve">עַד דְאִיהוּ </w:t>
      </w:r>
      <w:r>
        <w:rPr>
          <w:rStyle w:val="Char"/>
          <w:rtl/>
        </w:rPr>
        <w:t>י</w:t>
      </w:r>
      <w:r>
        <w:rPr>
          <w:rtl/>
        </w:rPr>
        <w:t>ַ</w:t>
      </w:r>
      <w:r>
        <w:rPr>
          <w:rStyle w:val="Char"/>
          <w:rtl/>
        </w:rPr>
        <w:t>ח</w:t>
      </w:r>
      <w:r>
        <w:rPr>
          <w:rtl/>
        </w:rPr>
        <w:t>ֲ</w:t>
      </w:r>
      <w:r>
        <w:rPr>
          <w:rStyle w:val="Char"/>
          <w:rtl/>
        </w:rPr>
        <w:t>פ</w:t>
      </w:r>
      <w:r>
        <w:rPr>
          <w:rtl/>
        </w:rPr>
        <w:t>ֹ</w:t>
      </w:r>
      <w:r>
        <w:rPr>
          <w:rStyle w:val="Char"/>
          <w:rtl/>
        </w:rPr>
        <w:t>ּץ</w:t>
      </w:r>
      <w:r>
        <w:rPr>
          <w:rStyle w:val="Char"/>
          <w:bCs/>
          <w:rtl/>
        </w:rPr>
        <w:t>,</w:t>
      </w:r>
      <w:r>
        <w:rPr>
          <w:rtl/>
        </w:rPr>
        <w:t xml:space="preserve"> וְלָא עַל מְנָת לְקַבֵּל פְּרָס, דְּיִרְאָה וְאַהֲבָה עַל מְנָת לְקַבֵּל פְּרָס</w:t>
      </w:r>
      <w:r>
        <w:rPr>
          <w:sz w:val="20"/>
          <w:szCs w:val="23"/>
          <w:rtl/>
        </w:rPr>
        <w:t xml:space="preserve"> </w:t>
      </w:r>
      <w:r>
        <w:rPr>
          <w:rStyle w:val="a7"/>
          <w:sz w:val="20"/>
          <w:szCs w:val="23"/>
          <w:rtl/>
        </w:rPr>
        <w:footnoteReference w:id="3713"/>
      </w:r>
      <w:r>
        <w:rPr>
          <w:rtl/>
        </w:rPr>
        <w:t xml:space="preserve">אִיהִי שִׁפְחָה וְעֶבֶד, וְתַחַת שָׁלֹשׁ רָגְזָה אֶרֶץ וְגוֹמֵר </w:t>
      </w:r>
      <w:r>
        <w:rPr>
          <w:sz w:val="20"/>
          <w:szCs w:val="23"/>
          <w:rtl/>
        </w:rPr>
        <w:t>(משלי ל לא)</w:t>
      </w:r>
      <w:r>
        <w:rPr>
          <w:rtl/>
        </w:rPr>
        <w:t xml:space="preserve"> תַּחַת עֶבֶד כִּי יִמְלוֹךְ, וְשִׁפְחָה כִּי תִירַשׁ גְּבִירְתָּהּ.</w:t>
      </w:r>
    </w:p>
    <w:p w:rsidR="003841DB" w:rsidRDefault="003841DB" w:rsidP="00B17EA9">
      <w:pPr>
        <w:pStyle w:val="NormalWeb"/>
        <w:rPr>
          <w:rtl/>
        </w:rPr>
      </w:pPr>
      <w:r>
        <w:rPr>
          <w:rStyle w:val="a7"/>
          <w:rtl/>
        </w:rPr>
        <w:footnoteReference w:id="3714"/>
      </w:r>
      <w:r>
        <w:rPr>
          <w:rtl/>
        </w:rPr>
        <w:t xml:space="preserve">אלהי''ם דָּא מִן וַיֹּאמֶר אלהי''ם יְהִי אוֹר, אִיהוּ </w:t>
      </w:r>
      <w:r>
        <w:rPr>
          <w:u w:val="single"/>
          <w:rtl/>
        </w:rPr>
        <w:t>נָתִיב תְּלִיתָאָה</w:t>
      </w:r>
      <w:r>
        <w:rPr>
          <w:rtl/>
        </w:rPr>
        <w:t xml:space="preserve">, </w:t>
      </w:r>
      <w:r>
        <w:rPr>
          <w:rStyle w:val="a7"/>
          <w:rtl/>
        </w:rPr>
        <w:footnoteReference w:id="3715"/>
      </w:r>
      <w:r>
        <w:rPr>
          <w:rtl/>
        </w:rPr>
        <w:t xml:space="preserve">יְהִי אוֹר י''ה אַוִּי''ר, אוֹ''ר י', וְכַד הַאי נְקוּדָה אִתְעַטְּפַת </w:t>
      </w:r>
      <w:r>
        <w:rPr>
          <w:sz w:val="20"/>
          <w:szCs w:val="23"/>
          <w:rtl/>
        </w:rPr>
        <w:t>(נ''א אתפשטת)</w:t>
      </w:r>
      <w:r>
        <w:rPr>
          <w:rtl/>
        </w:rPr>
        <w:t xml:space="preserve"> בְּהַאי אוֹר וְאִתְעֲבִידַת אַוִּיר, מֵהָכָא אִתְמַשְׁכוּ כָּל הַהֲוַיּוֹת.</w:t>
      </w:r>
    </w:p>
    <w:p w:rsidR="003841DB" w:rsidRDefault="003841DB" w:rsidP="00B17EA9">
      <w:pPr>
        <w:pStyle w:val="aa"/>
        <w:rPr>
          <w:rtl/>
        </w:rPr>
      </w:pPr>
      <w:r>
        <w:rPr>
          <w:rtl/>
        </w:rPr>
        <w:t xml:space="preserve">[תיקוני זוהר - דף עז ע''א] </w:t>
      </w:r>
    </w:p>
    <w:p w:rsidR="003841DB" w:rsidRDefault="003841DB" w:rsidP="00B17EA9">
      <w:pPr>
        <w:pStyle w:val="NormalWeb"/>
        <w:rPr>
          <w:sz w:val="20"/>
          <w:szCs w:val="23"/>
          <w:rtl/>
        </w:rPr>
      </w:pPr>
      <w:r>
        <w:rPr>
          <w:rtl/>
        </w:rPr>
        <w:t xml:space="preserve">קָם סָבָא חַד פָּתַח וְאָמַר, יְהִי אוֹר וַיְהִי אוֹר, יְהִי אוֹר דָּא יְמִינָא, וַיְהִי אוֹר דָּא שְׂמָאלָא, דִּבְכָל אֲתַר וַיְהִי אִיהוּ לָשׁוֹן צַעַר, וּבְגִין דָּא וַיְהִי הַיּוֹם דְּדָא אִיהוּ רֹאשׁ הַשָּׁנָה דְאִיהוּ שְׂמָאלָא, דְאִיהוּ דָן דִּינָא דְכָל עָלְמָא, וּבְגִינָהּ אִתְּמַר </w:t>
      </w:r>
      <w:r>
        <w:rPr>
          <w:sz w:val="20"/>
          <w:szCs w:val="23"/>
          <w:rtl/>
        </w:rPr>
        <w:t>(בראשית א ג)</w:t>
      </w:r>
      <w:r>
        <w:rPr>
          <w:rtl/>
        </w:rPr>
        <w:t xml:space="preserve"> וַיְהִי אוֹר, וַיַּרְא אלהי''ם אֶת הָאוֹר כִּי טוֹב, דָּא עַמּוּדָא דְאֶמְצָעִיתָא </w:t>
      </w:r>
      <w:r>
        <w:rPr>
          <w:rStyle w:val="a7"/>
          <w:rtl/>
        </w:rPr>
        <w:footnoteReference w:id="3716"/>
      </w:r>
      <w:r>
        <w:rPr>
          <w:rtl/>
        </w:rPr>
        <w:t xml:space="preserve">דְאִיהוּ טוֹב, </w:t>
      </w:r>
      <w:r>
        <w:rPr>
          <w:rStyle w:val="a7"/>
          <w:rtl/>
        </w:rPr>
        <w:footnoteReference w:id="3717"/>
      </w:r>
      <w:r>
        <w:rPr>
          <w:rtl/>
        </w:rPr>
        <w:t xml:space="preserve">וַיַּבְדֵּל אלהי''ם בֵּין הָאוֹר וּבֵין הַחֹשֶׁךְ </w:t>
      </w:r>
      <w:r>
        <w:rPr>
          <w:sz w:val="20"/>
          <w:szCs w:val="23"/>
          <w:rtl/>
        </w:rPr>
        <w:t>(שם)</w:t>
      </w:r>
      <w:r>
        <w:rPr>
          <w:rtl/>
        </w:rPr>
        <w:t xml:space="preserve">, בֵּין הָאוֹר דָּא אַהֲרֹן כַּהֲנָא, וּבֵין הַחֹשֶׁךְ דָּא קֹרַח, אָמַר מֹשֶׁה לִי אִתְחֲזֵי לְאַפְרָשָׁא מַחֲלֹקֶת, דַּאֲנָא אִיהוּ דִיּוֹקְנָא דְּטוֹב דִּלְעִילָא, חָזָא דְאִתְדַּבַּק קֹרַח בַּחֲשׁוֹכָא דְסִטְרָא אָחֳרָא, וְאַכְחִישׁ עוֹבָדָא דִבְּרֵאשִׁית, דְּלָא בָעָא </w:t>
      </w:r>
      <w:r>
        <w:rPr>
          <w:sz w:val="20"/>
          <w:szCs w:val="23"/>
          <w:rtl/>
        </w:rPr>
        <w:t xml:space="preserve">(דף עז ע''א) </w:t>
      </w:r>
      <w:r>
        <w:rPr>
          <w:rtl/>
        </w:rPr>
        <w:t xml:space="preserve">לְאִתְדַּבְּקָא בִשְׂמָאלָא דְאִיהוּ לֵוִי, אָמַר הִבָּדְלוּ מִתּוֹךְ הָעִדָה הַזֹּאת </w:t>
      </w:r>
      <w:r>
        <w:rPr>
          <w:sz w:val="20"/>
          <w:szCs w:val="23"/>
          <w:rtl/>
        </w:rPr>
        <w:t xml:space="preserve">(במדבר טז כא), </w:t>
      </w:r>
      <w:r>
        <w:rPr>
          <w:rtl/>
        </w:rPr>
        <w:t xml:space="preserve">וְרָזָא דְמִלָּה וַיַּבְדֵל אלהי''ם בֵּין הָאוֹר וּבֵין הַחֹשֶׁךְ </w:t>
      </w:r>
      <w:r>
        <w:rPr>
          <w:sz w:val="20"/>
          <w:szCs w:val="23"/>
          <w:rtl/>
        </w:rPr>
        <w:t>(בראשית א ד).</w:t>
      </w:r>
    </w:p>
    <w:p w:rsidR="003841DB" w:rsidRDefault="003841DB" w:rsidP="00B17EA9">
      <w:pPr>
        <w:pStyle w:val="NormalWeb"/>
        <w:rPr>
          <w:rtl/>
        </w:rPr>
      </w:pPr>
      <w:r>
        <w:rPr>
          <w:rStyle w:val="a7"/>
          <w:rtl/>
        </w:rPr>
        <w:footnoteReference w:id="3718"/>
      </w:r>
      <w:r>
        <w:rPr>
          <w:rtl/>
        </w:rPr>
        <w:t xml:space="preserve">וַיִּקְרָא אלהי''ם לָאוֹר יוֹם וְלַחֹשֶׁךְ קָרָא לָיְלָה </w:t>
      </w:r>
      <w:r>
        <w:rPr>
          <w:sz w:val="20"/>
          <w:szCs w:val="23"/>
          <w:rtl/>
        </w:rPr>
        <w:t>(שם ה)</w:t>
      </w:r>
      <w:r>
        <w:rPr>
          <w:rtl/>
        </w:rPr>
        <w:t xml:space="preserve">, כַּהֲנָא דְהוּא אוֹר, דְּאִתְּמַר וַיַּבְדֵּל אלהי''ם בֵּין הָאוֹר, אִתְקַשַּׁר בֵּיהּ שׁוֹקָא יְמִינָא דְּאִתְּמַר בֵּיהּ </w:t>
      </w:r>
      <w:r>
        <w:rPr>
          <w:sz w:val="20"/>
          <w:szCs w:val="23"/>
          <w:rtl/>
        </w:rPr>
        <w:t>(תהלים טז יא)</w:t>
      </w:r>
      <w:r>
        <w:rPr>
          <w:rtl/>
        </w:rPr>
        <w:t xml:space="preserve"> נְעִימוֹת בִּימִינְךָ נֶצַח, וּכְמָה דְנֶצַח אִתְקַשַּׁר בִּימִינָא, הָכִי הוֹד אִתְקַשַּׁר בִּשְׂמָאלָא, </w:t>
      </w:r>
      <w:r>
        <w:rPr>
          <w:rStyle w:val="a7"/>
          <w:rtl/>
        </w:rPr>
        <w:footnoteReference w:id="3719"/>
      </w:r>
      <w:r>
        <w:rPr>
          <w:rtl/>
        </w:rPr>
        <w:t>וַיְהִי עֶרֶב וַיְהִי בֹקֶר יוֹם אֶחָד, עֶרֶב דָּא עֶרֶב דְּיִצְחָק, בֹּקֶר דָּא בֹקֶר דְּאַבְרָהָם, יוֹם אֶחָד עַמּוּדָא דְאֶמְצָעִיתָא וְצַדִּיק דְּחַשְׁבִינָן חַד, וְלֵית יוֹם בְּלָא לַיְלָה דְאִיהִי שְׁכִינְתָּא.</w:t>
      </w:r>
    </w:p>
    <w:p w:rsidR="003841DB" w:rsidRDefault="003841DB" w:rsidP="00B17EA9">
      <w:pPr>
        <w:pStyle w:val="NormalWeb"/>
        <w:rPr>
          <w:rtl/>
        </w:rPr>
      </w:pPr>
      <w:r>
        <w:rPr>
          <w:rStyle w:val="a7"/>
          <w:rtl/>
        </w:rPr>
        <w:footnoteReference w:id="3720"/>
      </w:r>
      <w:r>
        <w:rPr>
          <w:rtl/>
        </w:rPr>
        <w:t xml:space="preserve">אַדְהָכִי הָא </w:t>
      </w:r>
      <w:r>
        <w:rPr>
          <w:u w:val="single"/>
          <w:rtl/>
        </w:rPr>
        <w:t>קָלָא</w:t>
      </w:r>
      <w:r>
        <w:rPr>
          <w:rtl/>
        </w:rPr>
        <w:t xml:space="preserve"> </w:t>
      </w:r>
      <w:r>
        <w:rPr>
          <w:rStyle w:val="a7"/>
          <w:rtl/>
        </w:rPr>
        <w:footnoteReference w:id="3721"/>
      </w:r>
      <w:r>
        <w:rPr>
          <w:rtl/>
        </w:rPr>
        <w:t>סָלִיק וּמִתְפּוֹצֵץ בְּרוּמֵי רְקִיעִין, וַהֲוָה אָמַר, מַשִּׁרְיָין קַדִּישָׁאן דִּמְתִיבְתָּא דִרְקִיעָא דִלְעִילָא וְתַתָּא, אִזְדַּרְזוּ וְאִתַּקְנוּ לְקַדְמוּת מַטְרוֹנִיתָא, דְקָא אַתְיָא לְמֵיעָאל קֳדָם מַלְכָּא, בְּכַמָּה קִשּׁוּטִין דְּפִקּוּדִין דַּעֲשֵׂה, קוּמוּ מַשִּׁרְיָין לְקַדְמוּתָהּ.</w:t>
      </w:r>
    </w:p>
    <w:p w:rsidR="003841DB" w:rsidRDefault="003841DB" w:rsidP="00B17EA9">
      <w:pPr>
        <w:pStyle w:val="NormalWeb"/>
        <w:rPr>
          <w:rtl/>
        </w:rPr>
      </w:pPr>
      <w:r>
        <w:rPr>
          <w:rtl/>
        </w:rPr>
        <w:t xml:space="preserve">אַדְהָכִי הָא </w:t>
      </w:r>
      <w:r>
        <w:rPr>
          <w:u w:val="single"/>
          <w:rtl/>
        </w:rPr>
        <w:t>קָלָא תִנְיָנָא</w:t>
      </w:r>
      <w:r>
        <w:rPr>
          <w:rtl/>
        </w:rPr>
        <w:t xml:space="preserve"> הֲוָה מִתְעָרָא לְגַבֵּי מָארֵי מַפְתְּחָן, הָא שְׁכִינְתָּא קָא אַתְיָא לְמֵיעָאל לְהֵיכָלָא דִילָהּ, אדנ''י שְׂפָתַי תִּפְתָּח.</w:t>
      </w:r>
    </w:p>
    <w:p w:rsidR="003841DB" w:rsidRDefault="003841DB" w:rsidP="00B17EA9">
      <w:pPr>
        <w:pStyle w:val="NormalWeb"/>
        <w:rPr>
          <w:rtl/>
        </w:rPr>
      </w:pPr>
      <w:r>
        <w:rPr>
          <w:rStyle w:val="a7"/>
          <w:rtl/>
        </w:rPr>
        <w:footnoteReference w:id="3722"/>
      </w:r>
      <w:r>
        <w:rPr>
          <w:rtl/>
        </w:rPr>
        <w:t xml:space="preserve">בְּהַהוּא זִמְנָא </w:t>
      </w:r>
      <w:r>
        <w:rPr>
          <w:rStyle w:val="a7"/>
          <w:rtl/>
        </w:rPr>
        <w:footnoteReference w:id="3723"/>
      </w:r>
      <w:r>
        <w:rPr>
          <w:rtl/>
        </w:rPr>
        <w:t xml:space="preserve">מַטְרוֹנִיתָא עִלָּאָה קָא נָחֲתַת לְגַבָּהּ, לְקַבְּלָא לָהּ בְּפִקּוּדָא קַדְמָאָה, </w:t>
      </w:r>
      <w:r>
        <w:rPr>
          <w:rStyle w:val="a7"/>
          <w:rtl/>
        </w:rPr>
        <w:footnoteReference w:id="3724"/>
      </w:r>
      <w:r>
        <w:rPr>
          <w:rtl/>
        </w:rPr>
        <w:t xml:space="preserve">בְּכַמָּה קָלִין וְשׁוֹפָרוֹת, וְסָלְקִין תַּרְוַיְיהוּ לְגַבֵּי מַלְכָּא, וְכֻלְּהוּ הֲווֹ שָׁאֲלִין </w:t>
      </w:r>
      <w:r>
        <w:rPr>
          <w:sz w:val="20"/>
          <w:szCs w:val="23"/>
          <w:rtl/>
        </w:rPr>
        <w:t>(שיר ה ה)</w:t>
      </w:r>
      <w:r>
        <w:rPr>
          <w:rtl/>
        </w:rPr>
        <w:t xml:space="preserve"> מִי זֹאת עוֹלָה מִן הַמִּדְבָּר, מִ''י דְאִיהִי אִימָּא עִלָּאָה, בְזֹא''ת עוֹלָה, וְכַד סְלִיקַת לְעִילָא אִתְעֲבִידַת כִּסֵּא לְמַלְכָּא עִלָּאָה, </w:t>
      </w:r>
      <w:r>
        <w:rPr>
          <w:rStyle w:val="a7"/>
          <w:rtl/>
        </w:rPr>
        <w:footnoteReference w:id="3725"/>
      </w:r>
      <w:r>
        <w:rPr>
          <w:rtl/>
        </w:rPr>
        <w:t xml:space="preserve">וּבָהּ פָּתַח אָנֹכִ''י, דְהָכִי סְלִיק לְחֻשְׁבַּן כִּסֵּ''א, וְכַד אִתְחַבְּרוּ תַּרְוַיְיהוּ אִתְּמַר בְּהוּ </w:t>
      </w:r>
      <w:r>
        <w:rPr>
          <w:sz w:val="20"/>
          <w:szCs w:val="23"/>
          <w:rtl/>
        </w:rPr>
        <w:t>(שמות כ ב)</w:t>
      </w:r>
      <w:r>
        <w:rPr>
          <w:rtl/>
        </w:rPr>
        <w:t xml:space="preserve"> אָנֹכִי יהו''ה אלהי''ך אֲשֶׁר הוֹצֵאתִיךָ מֵאֶרֶץ מִצְרַיִם.</w:t>
      </w:r>
    </w:p>
    <w:p w:rsidR="003841DB" w:rsidRDefault="003841DB" w:rsidP="00B17EA9">
      <w:pPr>
        <w:pStyle w:val="NormalWeb"/>
        <w:rPr>
          <w:rtl/>
        </w:rPr>
      </w:pPr>
      <w:r>
        <w:rPr>
          <w:rStyle w:val="a7"/>
          <w:rtl/>
        </w:rPr>
        <w:footnoteReference w:id="3726"/>
      </w:r>
      <w:r>
        <w:rPr>
          <w:rtl/>
        </w:rPr>
        <w:t xml:space="preserve">אֲשֶׁר אִיהוּ רְמִיז בְּמִלַּת בְּרֵאשִׁית, אֲשֶׁר דָּא אִימָּא, דְאִיהִי אֲשֶׁר אֶהְיֶ''ה, אֲשֶׁר קִדְּשָׁנוּ בְּמִצְוֹתָיו, אֲשֶׁר קִדֵּשׁ יְדִיד מִבֶּטֶן, דְּאִיהִי בֶּטֶן דְּאִתְּמַר בֵּיהּ </w:t>
      </w:r>
      <w:r>
        <w:rPr>
          <w:sz w:val="20"/>
          <w:szCs w:val="23"/>
          <w:rtl/>
        </w:rPr>
        <w:t>(איוב לט כט)</w:t>
      </w:r>
      <w:r>
        <w:rPr>
          <w:rtl/>
        </w:rPr>
        <w:t xml:space="preserve"> מִבֶּטֶן מִי יָצָא הַקָּרַח, הַקֶּרַח הַנּוֹרָא </w:t>
      </w:r>
      <w:r>
        <w:rPr>
          <w:sz w:val="20"/>
          <w:szCs w:val="23"/>
          <w:rtl/>
        </w:rPr>
        <w:t>(יחזקאל א כב)</w:t>
      </w:r>
      <w:r>
        <w:rPr>
          <w:rtl/>
        </w:rPr>
        <w:t xml:space="preserve">, מַאי נוֹרָא דָא עַמּוּדָא דְאֶמְצָעִיתָא, </w:t>
      </w:r>
      <w:r>
        <w:rPr>
          <w:rStyle w:val="a7"/>
          <w:rtl/>
        </w:rPr>
        <w:footnoteReference w:id="3727"/>
      </w:r>
      <w:r>
        <w:rPr>
          <w:rtl/>
        </w:rPr>
        <w:t xml:space="preserve">מַאי קִדֵּשׁ יְדִיד, יְדִיד דָּא צַדִּיק, אֲשֶׁר דְּאִיהִי אִימָּא עִלָּאָה, </w:t>
      </w:r>
      <w:r>
        <w:rPr>
          <w:rStyle w:val="a7"/>
          <w:rtl/>
        </w:rPr>
        <w:footnoteReference w:id="3728"/>
      </w:r>
      <w:r>
        <w:rPr>
          <w:rtl/>
        </w:rPr>
        <w:t xml:space="preserve">קִדְּשָׁנוּ בְּצַדִּיק, וְצִוָּנוּ בְּעַמּוּדָא דְאֶמְצָעִיתָא, עַל כָּל פִּקּוּדָא וּפִקּוּדָא, בְּגִין דְּחַד אִיהוּ מְצֻוְּה וְחַד עוֹשֶׂה, חַד מְצֻוְּה עַל הַמִּצְוָה דְאִיהִי שְׁכִינְתָּא, מִצְוַת יהו''ה בָּרָה מְאִירַת עִינָיִם </w:t>
      </w:r>
      <w:r>
        <w:rPr>
          <w:sz w:val="20"/>
          <w:szCs w:val="23"/>
          <w:rtl/>
        </w:rPr>
        <w:t>(תהלים יט ט)</w:t>
      </w:r>
      <w:r>
        <w:rPr>
          <w:rtl/>
        </w:rPr>
        <w:t>, וְחַד עוֹשֶׂה עֲשִׂיָּיתָהּ דְּאִיהוּ מַעֲשֶׂה דְפִקּוּדָא, דְּהָכִי אוּקְמוּהוּ מָארֵי מַתְנִיתִין גָּדוֹל הַמְּצוּוְה וְעוֹשֶׂה מִמִּי שֶׁאֵינוֹ מְצוּוְה וְעוֹשֶׂה</w:t>
      </w:r>
    </w:p>
    <w:p w:rsidR="003841DB" w:rsidRDefault="003841DB" w:rsidP="00A13282">
      <w:pPr>
        <w:pStyle w:val="NormalWeb"/>
        <w:rPr>
          <w:rtl/>
        </w:rPr>
      </w:pPr>
      <w:r>
        <w:rPr>
          <w:rtl/>
        </w:rPr>
        <w:t xml:space="preserve">וְעוֹד מְצוּוְה דָא עַמּוּדָא דְאֶמְצָעִיתָא, דְאִיהוּ מְצוּוְה מִסִּטְרָא דְאַבָּא </w:t>
      </w:r>
      <w:r>
        <w:rPr>
          <w:rStyle w:val="a7"/>
          <w:rtl/>
        </w:rPr>
        <w:footnoteReference w:id="3729"/>
      </w:r>
      <w:r>
        <w:rPr>
          <w:rtl/>
        </w:rPr>
        <w:t xml:space="preserve">דְאִיהוּ רֹאשׁ, </w:t>
      </w:r>
      <w:r>
        <w:rPr>
          <w:rStyle w:val="a7"/>
          <w:rtl/>
        </w:rPr>
        <w:footnoteReference w:id="3730"/>
      </w:r>
      <w:r>
        <w:rPr>
          <w:rtl/>
        </w:rPr>
        <w:t xml:space="preserve">וּמִסִּטְרָא דְאִימָּא אֲשֶׁר קִדְּשָׁנוּ, וְהָכִי צַדִּיק מְצוּוְה וְעוֹשֶׂה מִתַּרְוַיְיהוּ, וּבְגִין דָּא אִתְּמַר עַל תַּרְוַיְיהוּ אֲשֶׁר קִדְּשָׁנוּ, אִמָּא קִדְּשָׁנוּ וְאַבָּא צִוָּנוּ, </w:t>
      </w:r>
      <w:r>
        <w:rPr>
          <w:rStyle w:val="a7"/>
          <w:rtl/>
        </w:rPr>
        <w:footnoteReference w:id="3731"/>
      </w:r>
      <w:r>
        <w:rPr>
          <w:rtl/>
        </w:rPr>
        <w:t xml:space="preserve">עַל מָאן עַל שְׁכִינְתָּא תַּתָּאָה, דְאִיהִי פֶּטֶר כָּל רֶחֶם, פְּתִיחוּ דְרֶחֶם, דְּאִיהוּ רְמַ''ח פִּקּוּדִין, אִיהִי מִצְוַת יהו''ה </w:t>
      </w:r>
      <w:r>
        <w:rPr>
          <w:rStyle w:val="a7"/>
          <w:rtl/>
        </w:rPr>
        <w:footnoteReference w:id="3732"/>
      </w:r>
      <w:r>
        <w:rPr>
          <w:rtl/>
        </w:rPr>
        <w:t xml:space="preserve">בְּכָל אֵבֶר וְאֵבֶר דְּמַלְכָּא, אִיהִי מִצְוָה, </w:t>
      </w:r>
      <w:r>
        <w:rPr>
          <w:rStyle w:val="a7"/>
          <w:rtl/>
        </w:rPr>
        <w:footnoteReference w:id="3733"/>
      </w:r>
      <w:r>
        <w:rPr>
          <w:rtl/>
        </w:rPr>
        <w:t xml:space="preserve">וְעוֹד אֲשֶׁר קִדְּשָׁנוּ וְצִוָּנוּ מִסִּטְרָא דְאַבָּא </w:t>
      </w:r>
      <w:r w:rsidRPr="00A13282">
        <w:rPr>
          <w:rtl/>
        </w:rPr>
        <w:t>וְאִימָּא</w:t>
      </w:r>
      <w:r>
        <w:rPr>
          <w:rStyle w:val="Char"/>
          <w:rtl/>
        </w:rPr>
        <w:t xml:space="preserve">, </w:t>
      </w:r>
      <w:r>
        <w:rPr>
          <w:rStyle w:val="a7"/>
          <w:rtl/>
        </w:rPr>
        <w:footnoteReference w:id="3734"/>
      </w:r>
      <w:r w:rsidRPr="00A13282">
        <w:rPr>
          <w:b w:val="0"/>
          <w:bCs w:val="0"/>
          <w:rtl/>
        </w:rPr>
        <w:t>הֲדָא הוּא דִכְתִיב</w:t>
      </w:r>
      <w:r>
        <w:rPr>
          <w:szCs w:val="23"/>
          <w:rtl/>
        </w:rPr>
        <w:t xml:space="preserve"> </w:t>
      </w:r>
      <w:r>
        <w:rPr>
          <w:sz w:val="20"/>
          <w:szCs w:val="23"/>
          <w:rtl/>
        </w:rPr>
        <w:t>(בראשית א ג)</w:t>
      </w:r>
      <w:r>
        <w:rPr>
          <w:rtl/>
        </w:rPr>
        <w:t xml:space="preserve"> וַיֹּאמֶר אלהי''ם יְהִי אוֹר וַיְהִי אוֹר, וַיֹּאמֶר מִסִּטְרָא דְאַבָּא דְאִיהוּ י', יְהִי מִסִּטְרָא דְאִימָּא דְאִיהִי ה', חַד אֲמִירָה וְחַד הֲוַיָּה, </w:t>
      </w:r>
      <w:r>
        <w:rPr>
          <w:rStyle w:val="a7"/>
          <w:rtl/>
        </w:rPr>
        <w:footnoteReference w:id="3735"/>
      </w:r>
      <w:r>
        <w:rPr>
          <w:rtl/>
        </w:rPr>
        <w:t>עֲשִׂיָּהּ דְּתַרְוַיְיהוּ וַיְהִי אוֹר.</w:t>
      </w:r>
    </w:p>
    <w:p w:rsidR="003841DB" w:rsidRDefault="003841DB" w:rsidP="00B17EA9">
      <w:pPr>
        <w:pStyle w:val="NormalWeb"/>
        <w:rPr>
          <w:rtl/>
        </w:rPr>
      </w:pPr>
      <w:r>
        <w:rPr>
          <w:rtl/>
        </w:rPr>
        <w:t xml:space="preserve">וְעוֹד אֲשֶׁר </w:t>
      </w:r>
      <w:r>
        <w:rPr>
          <w:rStyle w:val="a7"/>
          <w:rtl/>
        </w:rPr>
        <w:footnoteReference w:id="3736"/>
      </w:r>
      <w:r>
        <w:rPr>
          <w:rtl/>
        </w:rPr>
        <w:t xml:space="preserve">עַל שֵׁם בְּאָשְׁרִי כִּי אִשְּׁרוּנִי בָּנוֹת </w:t>
      </w:r>
      <w:r>
        <w:rPr>
          <w:sz w:val="20"/>
          <w:szCs w:val="23"/>
          <w:rtl/>
        </w:rPr>
        <w:t>(בראשית ל יג)</w:t>
      </w:r>
      <w:r>
        <w:rPr>
          <w:rtl/>
        </w:rPr>
        <w:t xml:space="preserve">, אֲשֶׁר הוֹצֵאתִיךָ מֵאֶרֶץ מִצְרַיִם </w:t>
      </w:r>
      <w:r>
        <w:rPr>
          <w:sz w:val="20"/>
          <w:szCs w:val="23"/>
          <w:rtl/>
        </w:rPr>
        <w:t>(שמות כ ב)</w:t>
      </w:r>
      <w:r>
        <w:rPr>
          <w:rtl/>
        </w:rPr>
        <w:t xml:space="preserve">, </w:t>
      </w:r>
      <w:r>
        <w:rPr>
          <w:rStyle w:val="a7"/>
          <w:rtl/>
        </w:rPr>
        <w:footnoteReference w:id="3737"/>
      </w:r>
      <w:r>
        <w:rPr>
          <w:rtl/>
        </w:rPr>
        <w:t>וְכִי עֶבֶד דְּאִיהוּ בְּבֵי אֲסִירֵי דְמַלְכָּא, וְאַבְטַח לֵיהּ מַלְכָּא לְאַפָּקָא לֵיהּ מִבֵּי אֲסִירֵי, אִית לֵיהּ לְמַלְכָּא לְשַׁבְּחָא גַרְמֵיהּ, אֲשֶׁר הוֹצֵאתִיךָ מֵאֶרֶץ מִצְרַיִם כַּמָּה זִמְנִין, אֶלָּא חַמְשִׁין זִמְנִין אַדְכִּיר בְּאוֹרַיְיתָא יְצִיאַת מִצְרַיִם, לָקֳבֵל חַמְשִׁין תַּרְעִין דְּבִינָה, לְאִשְׁתְּמוֹדְעָא לוֹן מֵאָן אֲתַר אַפִּיק לוֹן מִן גָּלוּתָא.</w:t>
      </w:r>
    </w:p>
    <w:p w:rsidR="003841DB" w:rsidRDefault="003841DB" w:rsidP="00B17EA9">
      <w:pPr>
        <w:pStyle w:val="aa"/>
        <w:rPr>
          <w:rtl/>
        </w:rPr>
      </w:pPr>
      <w:r>
        <w:rPr>
          <w:rtl/>
        </w:rPr>
        <w:t xml:space="preserve">[תיקוני זוהר - דף עז ע''ב] </w:t>
      </w:r>
    </w:p>
    <w:p w:rsidR="003841DB" w:rsidRDefault="003841DB" w:rsidP="00B17EA9">
      <w:pPr>
        <w:pStyle w:val="NormalWeb"/>
        <w:rPr>
          <w:rtl/>
        </w:rPr>
      </w:pPr>
      <w:r>
        <w:rPr>
          <w:sz w:val="20"/>
          <w:szCs w:val="23"/>
          <w:rtl/>
        </w:rPr>
        <w:t xml:space="preserve">(דף עז ע''ב) </w:t>
      </w:r>
      <w:r>
        <w:rPr>
          <w:rtl/>
        </w:rPr>
        <w:t xml:space="preserve">וְכַד נָחֲתַת לְגַבַּיְיהוּ נָחֲתַת לְמִפְרַק לוֹן בְּכַמָּה קָלִין וּבְרָקִין, הֲדָא הוּא דִכְתִיב </w:t>
      </w:r>
      <w:r>
        <w:rPr>
          <w:sz w:val="20"/>
          <w:szCs w:val="23"/>
          <w:rtl/>
        </w:rPr>
        <w:t>(שמות יט טז)</w:t>
      </w:r>
      <w:r>
        <w:rPr>
          <w:rtl/>
        </w:rPr>
        <w:t xml:space="preserve"> וַיְהִי בַיּוֹם הַשְּׁלִישִׁי בִּהְיוֹת הַבֹּקֶר וַיְהִי קוֹלוֹת וּבְרָקִים וְגוֹמֵר, וַעֲלַיְיהוּ </w:t>
      </w:r>
      <w:r>
        <w:rPr>
          <w:sz w:val="20"/>
          <w:szCs w:val="23"/>
          <w:rtl/>
        </w:rPr>
        <w:t xml:space="preserve">(דף עז ע''ב) </w:t>
      </w:r>
      <w:r>
        <w:rPr>
          <w:rtl/>
        </w:rPr>
        <w:t xml:space="preserve">אִתְּמַר </w:t>
      </w:r>
      <w:r>
        <w:rPr>
          <w:sz w:val="20"/>
          <w:szCs w:val="23"/>
          <w:rtl/>
        </w:rPr>
        <w:t>(שם כ יח)</w:t>
      </w:r>
      <w:r>
        <w:rPr>
          <w:rtl/>
        </w:rPr>
        <w:t xml:space="preserve"> וְכָל הָעָם רֹאִים אֶת הַקּוֹלֹת, אֶת דָּא שְׁכִינְתָּא תַּתָּאָה, דַהֲוַת סָלְקָא בְּכָל קָלָא וְקָלָא </w:t>
      </w:r>
      <w:r>
        <w:rPr>
          <w:rStyle w:val="a7"/>
          <w:rtl/>
        </w:rPr>
        <w:footnoteReference w:id="3738"/>
      </w:r>
      <w:r>
        <w:rPr>
          <w:rtl/>
        </w:rPr>
        <w:t xml:space="preserve">מֵאִינוּן שֶׁבַע קָלִין, וְאִיהִי הֲוַת בַּת קוֹל דְּכָל חַד וְחַד, (ס"א </w:t>
      </w:r>
      <w:r>
        <w:rPr>
          <w:rStyle w:val="a7"/>
          <w:rtl/>
        </w:rPr>
        <w:footnoteReference w:id="3739"/>
      </w:r>
      <w:r>
        <w:rPr>
          <w:rtl/>
        </w:rPr>
        <w:t xml:space="preserve">קוֹל </w:t>
      </w:r>
      <w:r>
        <w:rPr>
          <w:rStyle w:val="a7"/>
          <w:rtl/>
        </w:rPr>
        <w:footnoteReference w:id="3740"/>
      </w:r>
      <w:r>
        <w:rPr>
          <w:rtl/>
        </w:rPr>
        <w:t xml:space="preserve">דְּבָרִים אַתֶּם שֹׁמְעִים </w:t>
      </w:r>
      <w:r>
        <w:rPr>
          <w:sz w:val="20"/>
          <w:szCs w:val="23"/>
          <w:rtl/>
        </w:rPr>
        <w:t>(דברים ד יב)</w:t>
      </w:r>
      <w:r>
        <w:rPr>
          <w:rtl/>
        </w:rPr>
        <w:t xml:space="preserve">, דָּא קָלָא עִלָּאָה כְּלִילָא מִתְּלַת קָלִין עִלָּאִין, דְּאִינוּן תְּלַת סְפִירָן עִלָּאִין, וְעַל אִימָּא עִלָּאָה אִתְּמַר </w:t>
      </w:r>
      <w:r>
        <w:rPr>
          <w:sz w:val="20"/>
          <w:szCs w:val="23"/>
          <w:rtl/>
        </w:rPr>
        <w:t>(שם)</w:t>
      </w:r>
      <w:r>
        <w:rPr>
          <w:rtl/>
        </w:rPr>
        <w:t xml:space="preserve"> וּתְמוּנָה אֵינְכֶם רוֹאִים זוּלָתִי קוֹל) קָלָא עִלָּאָה כְּלִילָא מִתְּלַת קָלִין עִלָּאִין, דְּאִינוּן תְּלַת סְפִירָן עִלָּאִין, וַעֲלַיְיהוּ אִתְּמַר </w:t>
      </w:r>
      <w:r>
        <w:rPr>
          <w:sz w:val="20"/>
          <w:szCs w:val="23"/>
          <w:rtl/>
        </w:rPr>
        <w:t>(דברים ד יב)</w:t>
      </w:r>
      <w:r>
        <w:rPr>
          <w:rtl/>
        </w:rPr>
        <w:t xml:space="preserve"> קוֹל דְּבָרִים אַתֶּם שֹׁמְעִים וּתְמוּנָה אֵינְכֶם רוֹאִים זוּלָתִי קוֹל, אֲבָל בַּת קוֹל עֲלָהּ אִתְּמַר וְכָל הָעָם רוֹאִים אֶת הַקּוֹלֹת, אֶת, אֶת וַדַּאי, דְּאִתְּמַר בָּהּ </w:t>
      </w:r>
      <w:r>
        <w:rPr>
          <w:sz w:val="20"/>
          <w:szCs w:val="23"/>
          <w:rtl/>
        </w:rPr>
        <w:t>(במדבר יב ח)</w:t>
      </w:r>
      <w:r>
        <w:rPr>
          <w:rtl/>
        </w:rPr>
        <w:t xml:space="preserve"> וּתְמוּנַת יהו''ה יַבִּיט, קוֹלוֹת אִינוּן מִסִּטְרָא דְעַמּוּדָא דְאֶמְצָעִיתָא, אִיהוּ קוֹל הַשּׁוֹפָר שְׁבִיעָאָה בְּאִימָּא עִלָּאָה, וּלְתַתָּא שִׁית קָלִין.</w:t>
      </w:r>
    </w:p>
    <w:p w:rsidR="003841DB" w:rsidRDefault="003841DB" w:rsidP="00B17EA9">
      <w:pPr>
        <w:pStyle w:val="NormalWeb"/>
        <w:rPr>
          <w:rtl/>
        </w:rPr>
      </w:pPr>
      <w:r>
        <w:rPr>
          <w:rStyle w:val="a7"/>
          <w:rtl/>
        </w:rPr>
        <w:footnoteReference w:id="3741"/>
      </w:r>
      <w:r>
        <w:rPr>
          <w:rtl/>
        </w:rPr>
        <w:t xml:space="preserve">בְּרָקִים מִסִּטְרָא דְּצַדִּיק, דְּאִתְּמַר בֵּיהּ </w:t>
      </w:r>
      <w:r>
        <w:rPr>
          <w:sz w:val="20"/>
          <w:szCs w:val="23"/>
          <w:rtl/>
        </w:rPr>
        <w:t>(זכריה ט יד)</w:t>
      </w:r>
      <w:r>
        <w:rPr>
          <w:rtl/>
        </w:rPr>
        <w:t xml:space="preserve"> וְיָצָא </w:t>
      </w:r>
      <w:r>
        <w:rPr>
          <w:rStyle w:val="a7"/>
          <w:rtl/>
        </w:rPr>
        <w:footnoteReference w:id="3742"/>
      </w:r>
      <w:r>
        <w:rPr>
          <w:rtl/>
        </w:rPr>
        <w:t xml:space="preserve">כַבָּרָק חִצּוֹ, עָנָן דָּא שְׁכִינְתָּא כְּלִילָא מִשִּׁבְעָה עֲנָנֵי כָּבוֹד, דְּבָהּ מִתְכַּסִּין קָלִין וּבְרָקִין, וּמִסִּטְרָא דִימִינָא אִתְקְרִיאַת עֲנָנָא, וּמִסִּטְרָא דִשְׂמָאלָא עֲרָפֶל, </w:t>
      </w:r>
      <w:r>
        <w:rPr>
          <w:rStyle w:val="a7"/>
          <w:rtl/>
        </w:rPr>
        <w:footnoteReference w:id="3743"/>
      </w:r>
      <w:r>
        <w:rPr>
          <w:rtl/>
        </w:rPr>
        <w:t xml:space="preserve">הֲדָא הוּא דִכְתִיב </w:t>
      </w:r>
      <w:r>
        <w:rPr>
          <w:sz w:val="20"/>
          <w:szCs w:val="23"/>
          <w:rtl/>
        </w:rPr>
        <w:t>(שמות כ כא)</w:t>
      </w:r>
      <w:r>
        <w:rPr>
          <w:rtl/>
        </w:rPr>
        <w:t xml:space="preserve"> וּמֹשֶׁה נִגַּשׁ אֶל הָעֲרָפֶל אֲשֶׁר שָׁם הָאלהי''ם. וְעוֹד אָנֹכִי דָא שְׁכִינְתָּא תַּתָּאָה, וְרָזָא דְמִלָּה אָנֹכִי אָנֹכִי הוּא מְנַחֶמְכֶם </w:t>
      </w:r>
      <w:r>
        <w:rPr>
          <w:sz w:val="20"/>
          <w:szCs w:val="23"/>
          <w:rtl/>
        </w:rPr>
        <w:t>(ישעיה נא יב)</w:t>
      </w:r>
      <w:r>
        <w:rPr>
          <w:rtl/>
        </w:rPr>
        <w:t xml:space="preserve">, אִימָּא עִלָּאָה אָנֹכִי לְעִילָא, אָנֹכִי אִימָּא תַּתָּאָה לְתַתָּא וְעַל תַּרְוַיְיהוּ אִתְּמַר </w:t>
      </w:r>
      <w:r>
        <w:rPr>
          <w:sz w:val="20"/>
          <w:szCs w:val="23"/>
          <w:rtl/>
        </w:rPr>
        <w:t>(דברים לב לט)</w:t>
      </w:r>
      <w:r>
        <w:rPr>
          <w:rtl/>
        </w:rPr>
        <w:t xml:space="preserve"> רְאוּ עַתָּה כִּי אֲנִי אֲנִי הוּא, </w:t>
      </w:r>
      <w:r>
        <w:rPr>
          <w:rStyle w:val="a7"/>
          <w:rtl/>
        </w:rPr>
        <w:footnoteReference w:id="3744"/>
      </w:r>
      <w:r>
        <w:rPr>
          <w:rtl/>
        </w:rPr>
        <w:t xml:space="preserve">כְּשִׁמְךָ אלהי''ם כֵּן תְּהִלָּתֶךָ עַל קַצְוִי אֶרֶץ </w:t>
      </w:r>
      <w:r>
        <w:rPr>
          <w:sz w:val="20"/>
          <w:szCs w:val="23"/>
          <w:rtl/>
        </w:rPr>
        <w:t>(תהלים מח כא)</w:t>
      </w:r>
      <w:r>
        <w:rPr>
          <w:rtl/>
        </w:rPr>
        <w:t>.</w:t>
      </w:r>
    </w:p>
    <w:p w:rsidR="003841DB" w:rsidRDefault="003841DB" w:rsidP="00B17EA9">
      <w:pPr>
        <w:pStyle w:val="NormalWeb"/>
        <w:rPr>
          <w:rtl/>
        </w:rPr>
      </w:pPr>
      <w:r>
        <w:rPr>
          <w:rtl/>
        </w:rPr>
        <w:t xml:space="preserve">הָא הָכָא פִּקּוּדָא קַדְמָאָה, </w:t>
      </w:r>
      <w:r>
        <w:rPr>
          <w:rStyle w:val="a7"/>
          <w:rtl/>
        </w:rPr>
        <w:footnoteReference w:id="3745"/>
      </w:r>
      <w:r>
        <w:rPr>
          <w:rtl/>
        </w:rPr>
        <w:t xml:space="preserve">וְלֵית פִּקּוּדָא דְלָא אִתְיְיהִיב בִּדְחִילוּ וּרְחִימוּ דְאִיהוּ ב', וְדָא ב' </w:t>
      </w:r>
      <w:r>
        <w:rPr>
          <w:rStyle w:val="a7"/>
          <w:rtl/>
        </w:rPr>
        <w:footnoteReference w:id="3746"/>
      </w:r>
      <w:r>
        <w:rPr>
          <w:rtl/>
        </w:rPr>
        <w:t xml:space="preserve">מִן בְּרֵאשִׁית, דְּחִילוּ וּרְחִימוּ, וְאִינוּן ב' עִלָּאָה ב' תַּתָּאָה, ב' עִלָּאָה הָא אִתְּמַר דְּאִיהוּ דְחִילוּ וּרְחִימוּ, ב' בַּתְרָאָה </w:t>
      </w:r>
      <w:r>
        <w:rPr>
          <w:sz w:val="20"/>
          <w:szCs w:val="23"/>
          <w:rtl/>
        </w:rPr>
        <w:t>(נ''א תתאה)</w:t>
      </w:r>
      <w:r>
        <w:rPr>
          <w:rtl/>
        </w:rPr>
        <w:t xml:space="preserve"> תּוֹרָה וּמִצְוָה, וְאִיהִי ב' מִבָּרָ''א, בְּהִפּוּךְ אַתְוָון אֵבֶ''ר, </w:t>
      </w:r>
      <w:r>
        <w:rPr>
          <w:rStyle w:val="a7"/>
          <w:rtl/>
        </w:rPr>
        <w:footnoteReference w:id="3747"/>
      </w:r>
      <w:r>
        <w:rPr>
          <w:rtl/>
        </w:rPr>
        <w:t xml:space="preserve">אִיהִי מִצְוָה בְכָל </w:t>
      </w:r>
      <w:r>
        <w:rPr>
          <w:sz w:val="20"/>
          <w:szCs w:val="23"/>
          <w:rtl/>
        </w:rPr>
        <w:t>(נ''א דכל)</w:t>
      </w:r>
      <w:r>
        <w:rPr>
          <w:rtl/>
        </w:rPr>
        <w:t xml:space="preserve"> אֵבֶר וְאֵבֶר, פִּקּוּדָא קַדְמָאָה אִיהוּ אָנֹכִי יהו''ה אלהי''ך </w:t>
      </w:r>
      <w:r>
        <w:rPr>
          <w:sz w:val="20"/>
          <w:szCs w:val="23"/>
          <w:rtl/>
        </w:rPr>
        <w:t>(שמות כ ב)</w:t>
      </w:r>
      <w:r>
        <w:rPr>
          <w:rtl/>
        </w:rPr>
        <w:t xml:space="preserve">, וְאִיהוּ ב', דְחִילוּ וּרְחִימוּ, </w:t>
      </w:r>
      <w:r>
        <w:rPr>
          <w:rStyle w:val="a7"/>
          <w:rtl/>
        </w:rPr>
        <w:footnoteReference w:id="3748"/>
      </w:r>
      <w:r>
        <w:rPr>
          <w:rtl/>
        </w:rPr>
        <w:t xml:space="preserve">אִישׁ אִמּוֹ וְאָבִיו תִּירָאוּ </w:t>
      </w:r>
      <w:r>
        <w:rPr>
          <w:sz w:val="20"/>
          <w:szCs w:val="23"/>
          <w:rtl/>
        </w:rPr>
        <w:t>(ויקרא יט ג)</w:t>
      </w:r>
      <w:r>
        <w:rPr>
          <w:rtl/>
        </w:rPr>
        <w:t xml:space="preserve"> מִסִּטְרָא דִדְחִילוּ, כַּבֵּד אֶת אָבִיךָ וְאֶת אִמֶּךָ </w:t>
      </w:r>
      <w:r>
        <w:rPr>
          <w:sz w:val="20"/>
          <w:szCs w:val="23"/>
          <w:rtl/>
        </w:rPr>
        <w:t>(שמות כ יב)</w:t>
      </w:r>
      <w:r>
        <w:rPr>
          <w:rtl/>
        </w:rPr>
        <w:t xml:space="preserve"> מִסִּטְרָא דִרְחִימוּ, </w:t>
      </w:r>
      <w:r>
        <w:rPr>
          <w:rStyle w:val="a7"/>
          <w:rtl/>
        </w:rPr>
        <w:footnoteReference w:id="3749"/>
      </w:r>
      <w:r>
        <w:rPr>
          <w:rtl/>
        </w:rPr>
        <w:t>וְתַרְוַיְיהוּ אִינוּן זָכוֹר וְשָׁמוֹר.</w:t>
      </w:r>
    </w:p>
    <w:p w:rsidR="003841DB" w:rsidRDefault="003841DB" w:rsidP="00B17EA9">
      <w:pPr>
        <w:pStyle w:val="NormalWeb"/>
        <w:rPr>
          <w:rtl/>
        </w:rPr>
      </w:pPr>
      <w:r>
        <w:rPr>
          <w:rtl/>
        </w:rPr>
        <w:t xml:space="preserve">תְּפִלִּין דְּרֹאשׁ וּתְפִלִּין דְּיָד, אַבָּא תְּפִלִּין דְּרֵישָׁא </w:t>
      </w:r>
      <w:r>
        <w:rPr>
          <w:sz w:val="20"/>
          <w:szCs w:val="23"/>
          <w:rtl/>
        </w:rPr>
        <w:t>(נ''א על רישא)</w:t>
      </w:r>
      <w:r>
        <w:rPr>
          <w:szCs w:val="23"/>
          <w:rtl/>
        </w:rPr>
        <w:t xml:space="preserve"> </w:t>
      </w:r>
      <w:r>
        <w:rPr>
          <w:rStyle w:val="a7"/>
          <w:szCs w:val="23"/>
          <w:rtl/>
        </w:rPr>
        <w:footnoteReference w:id="3750"/>
      </w:r>
      <w:r>
        <w:rPr>
          <w:rStyle w:val="Char"/>
          <w:rtl/>
        </w:rPr>
        <w:t>דְּאִיהוּ רֹאשׁ דְּבָרְךָ אֱמֶת</w:t>
      </w:r>
      <w:r>
        <w:rPr>
          <w:szCs w:val="23"/>
          <w:rtl/>
        </w:rPr>
        <w:t xml:space="preserve"> </w:t>
      </w:r>
      <w:r>
        <w:rPr>
          <w:sz w:val="20"/>
          <w:szCs w:val="23"/>
          <w:rtl/>
        </w:rPr>
        <w:t>(תהלים קיט קס)</w:t>
      </w:r>
      <w:r>
        <w:rPr>
          <w:rtl/>
        </w:rPr>
        <w:t xml:space="preserve"> עַמּוּדָא דְּאֶמְצָעִיתָא, אִימָּא תְפִלִּין </w:t>
      </w:r>
      <w:r>
        <w:rPr>
          <w:rStyle w:val="a7"/>
          <w:rtl/>
        </w:rPr>
        <w:footnoteReference w:id="3751"/>
      </w:r>
      <w:r>
        <w:rPr>
          <w:rtl/>
        </w:rPr>
        <w:t>דְּיָד דְאִיהִי שְׁכִינְתָּא תַּתָּאָה, אַבָּא וְאִימָּא תְּפִלִּין דְּמָארֵי עָלְמָא, קוּדְשָׁא בְּרִיךְ הוּא וּשְׁכִינְתֵּיהּ דְּאִינוּן בְּרָא וּבְרַתָּא אִינוּן תְּפִלִּין דִּילָן.</w:t>
      </w:r>
    </w:p>
    <w:p w:rsidR="003841DB" w:rsidRDefault="003841DB" w:rsidP="00B17EA9">
      <w:pPr>
        <w:pStyle w:val="NormalWeb"/>
        <w:rPr>
          <w:sz w:val="20"/>
          <w:szCs w:val="23"/>
          <w:rtl/>
        </w:rPr>
      </w:pPr>
      <w:r>
        <w:rPr>
          <w:rStyle w:val="a7"/>
          <w:rtl/>
        </w:rPr>
        <w:footnoteReference w:id="3752"/>
      </w:r>
      <w:r>
        <w:rPr>
          <w:rtl/>
        </w:rPr>
        <w:t xml:space="preserve">וְעוֹד </w:t>
      </w:r>
      <w:r>
        <w:rPr>
          <w:u w:val="single"/>
          <w:rtl/>
        </w:rPr>
        <w:t>נָתִי''ב תְּלִיתָאָ''ה</w:t>
      </w:r>
      <w:r>
        <w:rPr>
          <w:rtl/>
        </w:rPr>
        <w:t xml:space="preserve">, בֵּיהּ </w:t>
      </w:r>
      <w:r>
        <w:rPr>
          <w:u w:val="single"/>
          <w:rtl/>
        </w:rPr>
        <w:t>פִּקּוּדָא תְּלִיתָאָה</w:t>
      </w:r>
      <w:r>
        <w:rPr>
          <w:rtl/>
        </w:rPr>
        <w:t xml:space="preserve"> דְאִיהוּ נְבוּאָ''ה, הֲדָא הוּא דִכְתִיב </w:t>
      </w:r>
      <w:r>
        <w:rPr>
          <w:sz w:val="20"/>
          <w:szCs w:val="23"/>
          <w:rtl/>
        </w:rPr>
        <w:t>(בראשית א ג)</w:t>
      </w:r>
      <w:r>
        <w:rPr>
          <w:rtl/>
        </w:rPr>
        <w:t xml:space="preserve"> וַיֹּאמֶר אלהי''ם יְהִי אוֹר וַיְהִי אוֹר, חָמֵשׁ אוֹר אִינוּן, </w:t>
      </w:r>
      <w:r>
        <w:rPr>
          <w:rStyle w:val="a7"/>
          <w:rtl/>
        </w:rPr>
        <w:footnoteReference w:id="3753"/>
      </w:r>
      <w:r>
        <w:rPr>
          <w:rtl/>
        </w:rPr>
        <w:t xml:space="preserve">וַעֲלַיְיהוּ אִתְּמַר </w:t>
      </w:r>
      <w:r>
        <w:rPr>
          <w:sz w:val="20"/>
          <w:szCs w:val="23"/>
          <w:rtl/>
        </w:rPr>
        <w:t>(יחזקאל א א)</w:t>
      </w:r>
      <w:r>
        <w:rPr>
          <w:rtl/>
        </w:rPr>
        <w:t xml:space="preserve"> נִפְתְּחוּ הַשָּׁמַיִם וָאֶרְאֶה מַרְאוֹת אלהי''ם, </w:t>
      </w:r>
      <w:r>
        <w:rPr>
          <w:rStyle w:val="a7"/>
          <w:rtl/>
        </w:rPr>
        <w:footnoteReference w:id="3754"/>
      </w:r>
      <w:r>
        <w:rPr>
          <w:rtl/>
        </w:rPr>
        <w:t xml:space="preserve">אִימָּא עִלָּאָה מַרְאֶה סְתִימָא דְלֵית בָּהּ דִּמְיוֹן, אִימָּא תַּתָּאָה מַרְאֶה בְאִתְגַּלְיָיא דְאִית בָּהּ דִּמְיוֹן, וַעֲלָה אִתְּמַר </w:t>
      </w:r>
      <w:r>
        <w:rPr>
          <w:sz w:val="20"/>
          <w:szCs w:val="23"/>
          <w:rtl/>
        </w:rPr>
        <w:t>(הושע יב יא)</w:t>
      </w:r>
      <w:r>
        <w:rPr>
          <w:rtl/>
        </w:rPr>
        <w:t xml:space="preserve"> </w:t>
      </w:r>
      <w:r>
        <w:rPr>
          <w:rStyle w:val="a7"/>
          <w:rtl/>
        </w:rPr>
        <w:footnoteReference w:id="3755"/>
      </w:r>
      <w:r>
        <w:rPr>
          <w:rtl/>
        </w:rPr>
        <w:t xml:space="preserve">וּבְיַד הַנְּבִיאִים אֲדַמֶּה, אֲדַמֶּה אִיהִי דִמְיוֹן לְכָל נְבִיאַיָּא, וּלְכָל חַד כְּפוּם חֵילֵיהּ, וּבְגִין דְּאִיהִי שְׁלִטָּא עַל כָּל מֶרְכָּבוֹת דִּלְתַתָּא, וְעַל כָּל כֹּכְבַיָּא וּמַזָּלֵי, וְאִלָּנִין וּדְשָׁאִין, וְעַל כָּל עוֹפֵי שְׁמַיָּא וְחֵיוָן וְאַרְעָא, וְנוּנֵי יַמָּא, בְּגִין דָּא אִתְקְרִיאַת בִּשְׁמָא דְכֻלְּהוּ, מִסִּטְרָא דְחֵיוָון אִתְקְרִיאַת </w:t>
      </w:r>
      <w:r>
        <w:rPr>
          <w:rStyle w:val="a7"/>
          <w:rtl/>
        </w:rPr>
        <w:footnoteReference w:id="3756"/>
      </w:r>
      <w:r>
        <w:rPr>
          <w:rtl/>
        </w:rPr>
        <w:t xml:space="preserve">חַיָּה, וּמִסִּטְרָא דְעוֹפִין </w:t>
      </w:r>
      <w:r>
        <w:rPr>
          <w:rStyle w:val="a7"/>
          <w:rtl/>
        </w:rPr>
        <w:footnoteReference w:id="3757"/>
      </w:r>
      <w:r>
        <w:rPr>
          <w:rtl/>
        </w:rPr>
        <w:t xml:space="preserve">נֶשֶׁר יוֹנָה צִפּוֹר, וּמִסִּטְרָא דְנוּנִין הַדָּג, </w:t>
      </w:r>
      <w:r>
        <w:rPr>
          <w:rStyle w:val="a7"/>
          <w:rtl/>
        </w:rPr>
        <w:footnoteReference w:id="3758"/>
      </w:r>
      <w:r>
        <w:rPr>
          <w:rtl/>
        </w:rPr>
        <w:t xml:space="preserve">סִטְרָא </w:t>
      </w:r>
      <w:r>
        <w:rPr>
          <w:sz w:val="20"/>
          <w:szCs w:val="23"/>
          <w:rtl/>
        </w:rPr>
        <w:t>(נ''א שפחה)</w:t>
      </w:r>
      <w:r>
        <w:rPr>
          <w:rtl/>
        </w:rPr>
        <w:t xml:space="preserve"> בִּישָׁא בְּהִפּוּכָא דָּגָה, </w:t>
      </w:r>
      <w:r>
        <w:rPr>
          <w:rStyle w:val="a7"/>
          <w:rtl/>
        </w:rPr>
        <w:footnoteReference w:id="3759"/>
      </w:r>
      <w:r>
        <w:rPr>
          <w:rtl/>
        </w:rPr>
        <w:t>וּמִסִּטְרָא דְעִשְׂבִּין אִתְקְרִיאַת שְׁכִינְתָּא שׁוֹשַׁנָּה.</w:t>
      </w:r>
    </w:p>
    <w:p w:rsidR="003841DB" w:rsidRDefault="003841DB" w:rsidP="00B17EA9">
      <w:pPr>
        <w:pStyle w:val="aa"/>
        <w:rPr>
          <w:rFonts w:cs="Guttman Frank"/>
          <w:sz w:val="20"/>
          <w:szCs w:val="23"/>
          <w:rtl/>
        </w:rPr>
      </w:pPr>
      <w:r>
        <w:rPr>
          <w:rtl/>
        </w:rPr>
        <w:t xml:space="preserve">[תיקוני זוהר - דף עח ע''א] </w:t>
      </w:r>
    </w:p>
    <w:p w:rsidR="003841DB" w:rsidRDefault="003841DB" w:rsidP="00B17EA9">
      <w:pPr>
        <w:pStyle w:val="NormalWeb"/>
        <w:rPr>
          <w:rtl/>
        </w:rPr>
      </w:pPr>
      <w:r>
        <w:rPr>
          <w:rStyle w:val="a7"/>
          <w:rtl/>
        </w:rPr>
        <w:footnoteReference w:id="3760"/>
      </w:r>
      <w:r>
        <w:rPr>
          <w:rtl/>
        </w:rPr>
        <w:t xml:space="preserve">אַדְהָכִי הָא </w:t>
      </w:r>
      <w:r>
        <w:rPr>
          <w:u w:val="single"/>
          <w:rtl/>
        </w:rPr>
        <w:t>קָלָא</w:t>
      </w:r>
      <w:r>
        <w:rPr>
          <w:rtl/>
        </w:rPr>
        <w:t xml:space="preserve"> אִשְׁתַּמַּע בְּרוּמֵי רְקִיעִין, מָארֵי דְאוֹצָרִין </w:t>
      </w:r>
      <w:r>
        <w:rPr>
          <w:rStyle w:val="a7"/>
          <w:rtl/>
        </w:rPr>
        <w:footnoteReference w:id="3761"/>
      </w:r>
      <w:r>
        <w:rPr>
          <w:rtl/>
        </w:rPr>
        <w:t xml:space="preserve">מָארֵי דְהֵיכָלִין, אַפְתַּחוּ הֵיכָלִין הָא </w:t>
      </w:r>
      <w:r>
        <w:rPr>
          <w:sz w:val="20"/>
          <w:szCs w:val="23"/>
          <w:rtl/>
        </w:rPr>
        <w:t xml:space="preserve">(דף עח ע''א) </w:t>
      </w:r>
      <w:r>
        <w:rPr>
          <w:rtl/>
        </w:rPr>
        <w:t xml:space="preserve">מַטְרוֹנִיתָא קָא בַעְיָא לְאַעָלָא בְהֵיכָלֵיהּ, בְּהַהוּא זִמְנָא </w:t>
      </w:r>
      <w:r>
        <w:rPr>
          <w:rStyle w:val="a7"/>
          <w:rtl/>
        </w:rPr>
        <w:footnoteReference w:id="3762"/>
      </w:r>
      <w:r>
        <w:rPr>
          <w:rtl/>
        </w:rPr>
        <w:t xml:space="preserve">אדנ''י שְׂפָתַי תִּפְתָּח, הֵיכָלָא </w:t>
      </w:r>
      <w:r>
        <w:rPr>
          <w:rStyle w:val="a7"/>
          <w:rtl/>
        </w:rPr>
        <w:footnoteReference w:id="3763"/>
      </w:r>
      <w:r>
        <w:rPr>
          <w:rtl/>
        </w:rPr>
        <w:t xml:space="preserve">כְּלִילָא מִשִּׁבְעָה הֵיכָלִין, בְּהַהוּא זִמְנָא כַּמָּה נְבִיאִים סָלְקִין עִמָּהּ וּמִתְכַּנְסִים עִמָּהּ, דְּאִית נְבִיאִים וְאִית נְבִיאִים, </w:t>
      </w:r>
      <w:r>
        <w:rPr>
          <w:rStyle w:val="a7"/>
          <w:rtl/>
        </w:rPr>
        <w:footnoteReference w:id="3764"/>
      </w:r>
      <w:r>
        <w:rPr>
          <w:rtl/>
        </w:rPr>
        <w:t>אִית נְבִיאִים דְּאִינוּן מָארֵי דְבֵיתָא דְמַטְרוֹנִיתָא, וְאִית נְבִיאִים דְּאִינוּן מָארֵי דְבֵיתָא דְמַלְכָּא, אִלֵּין מֵאַסְפַּקְלַרְיָאָ דְנַהֲרָא וְאִלֵּין מֵאַסְפַּקְלַרְיָא דְלָא נַהֲרָא, נְבִיאִים דְאַסְפַּקְלַרְיָא דְנַהֲרָא אִינוּן מִסִּטְרָא דְיהו''ה, וּנְבִיאִים דְּאַסְפַּקְלַרְיָא דְלָא נַהֲרָא אִינוּן מִסִּטְרָא דְאדנ''י, וְאִינוּן שְׁקִילִין לְאוֹרַיְיתָא דְבִכְתָב וְאוֹרַיְיתָא דִבְעַל פֶּה, נְבִיאִים מִסִּטְרָא דְאדנ''י מִסִּטְרָא דְיִרְאָה, וּנְבִיאִים דְּאִינוּן מִסִּטְרָא דְיהוָֹ''ה אִינוּן מִסִּטְרָא דְאַהֲבָה.</w:t>
      </w:r>
    </w:p>
    <w:p w:rsidR="003841DB" w:rsidRDefault="003841DB" w:rsidP="00B17EA9">
      <w:pPr>
        <w:pStyle w:val="NormalWeb"/>
        <w:rPr>
          <w:rtl/>
        </w:rPr>
      </w:pPr>
      <w:r>
        <w:rPr>
          <w:rtl/>
        </w:rPr>
        <w:t xml:space="preserve">בְּהַהוּא זִמְנָא </w:t>
      </w:r>
      <w:r>
        <w:rPr>
          <w:rStyle w:val="a7"/>
          <w:rtl/>
        </w:rPr>
        <w:footnoteReference w:id="3765"/>
      </w:r>
      <w:r>
        <w:rPr>
          <w:rtl/>
        </w:rPr>
        <w:t xml:space="preserve">כַּמָּה מָארֵי תַּרְעִין מִזְדַּעְזְעִין וּמִזְדַּמְנִין לְהֵיכָלָא, </w:t>
      </w:r>
      <w:r>
        <w:rPr>
          <w:rStyle w:val="a7"/>
          <w:rtl/>
        </w:rPr>
        <w:footnoteReference w:id="3766"/>
      </w:r>
      <w:r>
        <w:rPr>
          <w:rtl/>
        </w:rPr>
        <w:t xml:space="preserve">וְכַמָּה מָארֵי חוֹתָמוֹת, וְכַמָּה מָארֵי שְׁאֵלְתִּין, וְכַמָּה מָארֵי תְשׁוּבוֹת, דִּבְהוֹן נָבִיא שׁוֹאֵל וּמֵשִׁיב, וְכַמָּה מָארֵי עֲתִידוֹת, מַה דַּהֲוָה וּמַה דְּעָתִיד לְמֶהֱוִי, וְכַמָּה מָארֵי דְעַיְינִין </w:t>
      </w:r>
      <w:r>
        <w:rPr>
          <w:rStyle w:val="a7"/>
          <w:rtl/>
        </w:rPr>
        <w:footnoteReference w:id="3767"/>
      </w:r>
      <w:r>
        <w:rPr>
          <w:rtl/>
        </w:rPr>
        <w:t xml:space="preserve">דְּאִינוּן מַרְאוֹת וְחוֹזִין דִּנְבִיאִים, וְכַמָּה מָארֵי דְאוּדְנִין דְּאִינוּן מָארֵי דְגַדְפִין, דְּאִתְּמַר בְּהוֹן </w:t>
      </w:r>
      <w:r>
        <w:rPr>
          <w:sz w:val="20"/>
          <w:szCs w:val="23"/>
          <w:rtl/>
        </w:rPr>
        <w:t>(יחזקאל א כד)</w:t>
      </w:r>
      <w:r>
        <w:rPr>
          <w:rtl/>
        </w:rPr>
        <w:t xml:space="preserve"> וָאֶשְׁמַע אֶת קוֹל כַּנְפֵיהֶם, וְכַמָּה מָארֵי דְחוֹטָמָא דְתַמָּן רֵיחַ, דְּאִתְּמַר בְּהוֹן </w:t>
      </w:r>
      <w:r>
        <w:rPr>
          <w:sz w:val="20"/>
          <w:szCs w:val="23"/>
          <w:rtl/>
        </w:rPr>
        <w:t>(ויקרא א יג)</w:t>
      </w:r>
      <w:r>
        <w:rPr>
          <w:rtl/>
        </w:rPr>
        <w:t xml:space="preserve"> אִשֵּׁה רֵיחַ נִיחֹחַ, וְכַמָּה מָארֵי דְאַנְפִּין דְּאִתְּמַר בְּהוֹן </w:t>
      </w:r>
      <w:r>
        <w:rPr>
          <w:sz w:val="20"/>
          <w:szCs w:val="23"/>
          <w:rtl/>
        </w:rPr>
        <w:t>(יחזקאל א ו)</w:t>
      </w:r>
      <w:r>
        <w:rPr>
          <w:rtl/>
        </w:rPr>
        <w:t xml:space="preserve"> וְאַרְבָּעָה פָנִים לְאֶחָת, וְכַמָּה מָארֵי דְקָלִין וּמָארֵי דְּדִבּוּרִין, וּמָארֵי דַהֲבָלִים דְּאִינוּן לַהֲבוֹת אֵשׁ, הֲדָא הוּא דִכְתִיב </w:t>
      </w:r>
      <w:r>
        <w:rPr>
          <w:sz w:val="20"/>
          <w:szCs w:val="23"/>
          <w:rtl/>
        </w:rPr>
        <w:t>(תהלים כט ז)</w:t>
      </w:r>
      <w:r>
        <w:rPr>
          <w:rtl/>
        </w:rPr>
        <w:t xml:space="preserve"> קוֹל יהו''ה חֹצֵב לַהֲבוֹת אֵשׁ, וְכַמָּה מָארֵי דִיָדִין, דְּאִתְּמַר בְּהוֹן </w:t>
      </w:r>
      <w:r>
        <w:rPr>
          <w:sz w:val="20"/>
          <w:szCs w:val="23"/>
          <w:rtl/>
        </w:rPr>
        <w:t>(יחזקאל א ח)</w:t>
      </w:r>
      <w:r>
        <w:rPr>
          <w:rtl/>
        </w:rPr>
        <w:t xml:space="preserve"> וִידֵי אָדָם מִתַּחַת כַּנְפֵיהֶם, וְכַמָּה </w:t>
      </w:r>
      <w:r>
        <w:rPr>
          <w:rStyle w:val="a7"/>
          <w:rtl/>
        </w:rPr>
        <w:footnoteReference w:id="3768"/>
      </w:r>
      <w:r>
        <w:rPr>
          <w:rtl/>
        </w:rPr>
        <w:t xml:space="preserve">מָארֵי דְקוֹמָה וְאִינוּן שִׁעוּר קוֹמָה דְכָרְסַיָּיא, וְכַמָּה מָארֵי דְאוֹת בְּרִית דְּאִתְּמַר בְּהוֹן </w:t>
      </w:r>
      <w:r>
        <w:rPr>
          <w:sz w:val="20"/>
          <w:szCs w:val="23"/>
          <w:rtl/>
        </w:rPr>
        <w:t>(שמות ג יב)</w:t>
      </w:r>
      <w:r>
        <w:rPr>
          <w:rtl/>
        </w:rPr>
        <w:t xml:space="preserve"> וְזֶה לְּךָ הָאוֹת, וְכַמָּה מָארֵי דְרַגְלִין דְּאִתְּמַר בְּהוֹן </w:t>
      </w:r>
      <w:r>
        <w:rPr>
          <w:sz w:val="20"/>
          <w:szCs w:val="23"/>
          <w:rtl/>
        </w:rPr>
        <w:t>(יחזקאל א יד)</w:t>
      </w:r>
      <w:r>
        <w:rPr>
          <w:rtl/>
        </w:rPr>
        <w:t xml:space="preserve"> וְהַחַיּוֹת רָצוֹא וָשׁוֹב.</w:t>
      </w:r>
    </w:p>
    <w:p w:rsidR="003841DB" w:rsidRDefault="003841DB" w:rsidP="00B17EA9">
      <w:pPr>
        <w:pStyle w:val="NormalWeb"/>
        <w:rPr>
          <w:rtl/>
        </w:rPr>
      </w:pPr>
      <w:r>
        <w:rPr>
          <w:rtl/>
        </w:rPr>
        <w:t xml:space="preserve">כָּל תִּקּוּנִין דִּנְבִיאַיָּא מִלְּבָר </w:t>
      </w:r>
      <w:r>
        <w:rPr>
          <w:sz w:val="20"/>
          <w:szCs w:val="23"/>
          <w:rtl/>
        </w:rPr>
        <w:t>(נ''א מלגאו)</w:t>
      </w:r>
      <w:r>
        <w:rPr>
          <w:rtl/>
        </w:rPr>
        <w:t xml:space="preserve"> בְּגוּפָא, בְּאֵבָרִים דְּגוּפָא, מָארֵי דְחָכְמָה אִינוּן מִלְּגָאו בְּמוֹחָא, וּבְגִין דָּא חָכָם עָדִיף מִנָּבִיא, וּמִמּוֹחָא תַלְיָין ל''ב נְתִיבוֹת, </w:t>
      </w:r>
      <w:r>
        <w:rPr>
          <w:rStyle w:val="a7"/>
          <w:rtl/>
        </w:rPr>
        <w:footnoteReference w:id="3769"/>
      </w:r>
      <w:r>
        <w:rPr>
          <w:rtl/>
        </w:rPr>
        <w:t>וְדָא ל''ב דְּאִתְּמַר לֵב מֵבִין.</w:t>
      </w:r>
    </w:p>
    <w:p w:rsidR="003841DB" w:rsidRDefault="003841DB" w:rsidP="00B17EA9">
      <w:pPr>
        <w:pStyle w:val="NormalWeb"/>
        <w:rPr>
          <w:rtl/>
        </w:rPr>
      </w:pPr>
      <w:r>
        <w:rPr>
          <w:rtl/>
        </w:rPr>
        <w:t xml:space="preserve">הָכָא </w:t>
      </w:r>
      <w:r>
        <w:rPr>
          <w:u w:val="single"/>
          <w:rtl/>
        </w:rPr>
        <w:t>נָתִיב רְבִיעָאָה</w:t>
      </w:r>
      <w:r>
        <w:rPr>
          <w:rtl/>
        </w:rPr>
        <w:t xml:space="preserve">, וַיַּרְא אלהי''ם אֶת הָאוֹר כִּי טוֹב </w:t>
      </w:r>
      <w:r>
        <w:rPr>
          <w:sz w:val="20"/>
          <w:szCs w:val="23"/>
          <w:rtl/>
        </w:rPr>
        <w:t>(בראשית א ד),</w:t>
      </w:r>
      <w:r>
        <w:rPr>
          <w:rtl/>
        </w:rPr>
        <w:t xml:space="preserve"> וְאִלֵּין מָארֵי קַבָּלָה, דְּמָארֵי מִקְרָא אִינוּן פְּתִילָה, וּמָארֵי מִשְׁנָה זַיִת, וּמָארֵי תַלְמוּד דְּאִיהוּ קַבָּלָה לְמֹשֶׁה מִסִּינַי, (ס"א </w:t>
      </w:r>
      <w:r>
        <w:rPr>
          <w:rStyle w:val="a7"/>
          <w:rtl/>
        </w:rPr>
        <w:footnoteReference w:id="3770"/>
      </w:r>
      <w:r>
        <w:rPr>
          <w:rtl/>
        </w:rPr>
        <w:t>נֵר) אוֹר.</w:t>
      </w:r>
    </w:p>
    <w:p w:rsidR="003841DB" w:rsidRDefault="003841DB" w:rsidP="00B17EA9">
      <w:pPr>
        <w:pStyle w:val="NormalWeb"/>
        <w:rPr>
          <w:rtl/>
        </w:rPr>
      </w:pPr>
      <w:r>
        <w:rPr>
          <w:u w:val="single"/>
          <w:rtl/>
        </w:rPr>
        <w:t>נָתִיב חֲמִשָּׁאָה</w:t>
      </w:r>
      <w:r>
        <w:rPr>
          <w:rtl/>
        </w:rPr>
        <w:t xml:space="preserve">, </w:t>
      </w:r>
      <w:r>
        <w:rPr>
          <w:rStyle w:val="a7"/>
          <w:rtl/>
        </w:rPr>
        <w:footnoteReference w:id="3771"/>
      </w:r>
      <w:r>
        <w:rPr>
          <w:rtl/>
        </w:rPr>
        <w:t xml:space="preserve">וַיַּבְדֵּל אלהי''ם בֵּין הָאוֹר וּבֵין הַחֹשֶׁךְ </w:t>
      </w:r>
      <w:r>
        <w:rPr>
          <w:sz w:val="20"/>
          <w:szCs w:val="23"/>
          <w:rtl/>
        </w:rPr>
        <w:t>(בראשית א ד)</w:t>
      </w:r>
      <w:r>
        <w:rPr>
          <w:rtl/>
        </w:rPr>
        <w:t>, מַאי הַבְדָּלָה הָכָא בִּנְבוּאָה, אֶלָּא כַמָּה נְבִיאֵי שִׁקְרָא אִינוּן מִסִּטְרָא דְחֹשֶׁךְ, דְּאָזְלִין בְּאַוִּירָא לְאַטְעָאָה בְּנֵי נָשָׁא, בְּהַהוּא זִמְנָא דִיְהֵא קוּדְשָׁא בְּרִיךְ הוּא בִּשְׁכִינְתֵּיהּ, וַיַּבְדֵּל אלהי''ם בֵּין הָאוֹר וּבֵין הַחֹשֶׁךְ.</w:t>
      </w:r>
    </w:p>
    <w:p w:rsidR="003841DB" w:rsidRDefault="003841DB" w:rsidP="00B17EA9">
      <w:pPr>
        <w:pStyle w:val="NormalWeb"/>
        <w:rPr>
          <w:rtl/>
        </w:rPr>
      </w:pPr>
      <w:r>
        <w:rPr>
          <w:u w:val="single"/>
          <w:rtl/>
        </w:rPr>
        <w:t>נָתִיב שְׁתִיתָאָה</w:t>
      </w:r>
      <w:r>
        <w:rPr>
          <w:rtl/>
        </w:rPr>
        <w:t xml:space="preserve"> וַיִּקְרָא אלהי''ם לָאוֹר יוֹם </w:t>
      </w:r>
      <w:r>
        <w:rPr>
          <w:sz w:val="20"/>
          <w:szCs w:val="23"/>
          <w:rtl/>
        </w:rPr>
        <w:t>(שם ה)</w:t>
      </w:r>
      <w:r>
        <w:rPr>
          <w:rtl/>
        </w:rPr>
        <w:t xml:space="preserve">, אוֹר וְחֹשֶׁךְ, דְּכַר וְנוּקְבָא אִינוּן, הֲדָא הוּא דִכְתִיב </w:t>
      </w:r>
      <w:r>
        <w:rPr>
          <w:sz w:val="20"/>
          <w:szCs w:val="23"/>
          <w:rtl/>
        </w:rPr>
        <w:t>(שם ה)</w:t>
      </w:r>
      <w:r>
        <w:rPr>
          <w:rtl/>
        </w:rPr>
        <w:t xml:space="preserve"> לָאוֹר יוֹם וְלַחֹשֶׁךְ קָרָא לָיְלָה, וְאִית חֹשֶׁךְ מִסִּטְרָא דְּדַכְיוּ וְלַיְלָה מִסִּטְרָא דְּדַכְיוּ, הֲדָא הוּא דִכְתִיב </w:t>
      </w:r>
      <w:r>
        <w:rPr>
          <w:sz w:val="20"/>
          <w:szCs w:val="23"/>
          <w:rtl/>
        </w:rPr>
        <w:t>(תהלים קלט יב)</w:t>
      </w:r>
      <w:r>
        <w:rPr>
          <w:rtl/>
        </w:rPr>
        <w:t xml:space="preserve"> גַּם חֹשֶׁךְ לֹא יַחֲשִׁיךְ מִמֶּךָּ וְלַיְלָה כַּיּוֹם יָאִיר כַּחֲשֵׁכָה כָּאוֹרָה, וְחֹשֶׁךְ אִיהִי נוּקְבָא דִמְקַבֵּל מִנְּהוֹרָא דְאִיהוּ אוֹר דְּכַר, כְּגַוְונָא דְסִיהֲרָא דִמְקַבְּלַת מִן שִׁמְשָׁא, וְתַרְוַיְיהוּ אִינוּן אַסְפַּקְלַרְיָאָה דְנַהֲרָא וְאַסְפַּקְלַרְיָאָה דְלָא נַהֲרָא, וְאִית חֹשֶׁךְ דְּסִטְרָא אָחֳרָא דְאִית בָּהּ הַבְדָּלָה וְלַאו חִבּוּרָא, וְהַהוּא אוֹר אִיהוּ כְמוֹחָא בֶאֱגוֹזָא.</w:t>
      </w:r>
    </w:p>
    <w:p w:rsidR="003841DB" w:rsidRDefault="003841DB" w:rsidP="00B17EA9">
      <w:pPr>
        <w:pStyle w:val="NormalWeb"/>
        <w:rPr>
          <w:rtl/>
        </w:rPr>
      </w:pPr>
      <w:r>
        <w:rPr>
          <w:rStyle w:val="a7"/>
          <w:rtl/>
        </w:rPr>
        <w:footnoteReference w:id="3772"/>
      </w:r>
      <w:r>
        <w:rPr>
          <w:u w:val="single"/>
          <w:rtl/>
        </w:rPr>
        <w:t>פִּקּוּדָא רְבִיעָאָה</w:t>
      </w:r>
      <w:r>
        <w:rPr>
          <w:rtl/>
        </w:rPr>
        <w:t xml:space="preserve"> לְאִתְעַסְקָא בְּאוֹרַיְיתָא דִבְעַל פֶּה, וּלְאַפְרָשָׁא בָהּ </w:t>
      </w:r>
      <w:r>
        <w:rPr>
          <w:rStyle w:val="a7"/>
          <w:rtl/>
        </w:rPr>
        <w:footnoteReference w:id="3773"/>
      </w:r>
      <w:r>
        <w:rPr>
          <w:rtl/>
        </w:rPr>
        <w:t xml:space="preserve">בְּשִׁית דַּרְגִּין, בְּאִסּוּר וְהֶתֵּר טוּמְאָה וְטַהֲרָה כָּשֵׁר וּפָסוּל, הֲדָא הוּא דִכְתִיב </w:t>
      </w:r>
      <w:r>
        <w:rPr>
          <w:sz w:val="20"/>
          <w:szCs w:val="23"/>
          <w:rtl/>
        </w:rPr>
        <w:t>(שם ו)</w:t>
      </w:r>
      <w:r>
        <w:rPr>
          <w:rtl/>
        </w:rPr>
        <w:t xml:space="preserve"> וַיֹּאמֶר אלהי''ם יְהִי רָקִיעַ בְּתוֹךְ הַמָּיִם, וִיהִי מַבְדִּיל בֵּין מַיִם לָמָיִם, בֵּין מַיִם דְּדַכְיוּ דְטַהֲרָה הֶתֵּר כָּשֵׁר, וּבֵין מַיִם דִּמְסָאֲבוּ דְאִינוּן אִסּוּר טָמֵא פָּסוּל, דְּאִינוּן מֵי בּוֹרוֹת נִשְׁבָּרִים מַיִם סְרוּחִים מַיִם מְטוּנָפִין, </w:t>
      </w:r>
      <w:r>
        <w:rPr>
          <w:rStyle w:val="a7"/>
          <w:rtl/>
        </w:rPr>
        <w:footnoteReference w:id="3774"/>
      </w:r>
      <w:r>
        <w:rPr>
          <w:rtl/>
        </w:rPr>
        <w:t xml:space="preserve">וַעֲלַיְיהוּ אִתְּמַר </w:t>
      </w:r>
      <w:r>
        <w:rPr>
          <w:sz w:val="20"/>
          <w:szCs w:val="23"/>
          <w:rtl/>
        </w:rPr>
        <w:t>(שמות כ ג)</w:t>
      </w:r>
      <w:r>
        <w:rPr>
          <w:rtl/>
        </w:rPr>
        <w:t xml:space="preserve"> לֹא יִהְיֶה לְךָ אֱלֹהִים אֲחֵרִים עַל פָּנָי, וְהַאי רָקִיעַ דְּאַפְרִישׁ בֵּינַיְיהוּ דָא רָקִיעַ דְּעַל רֵישֵׁי חֵיוָון, (ס"א וְדָא מטטרו''ן) </w:t>
      </w:r>
      <w:r>
        <w:rPr>
          <w:rStyle w:val="a7"/>
          <w:rtl/>
        </w:rPr>
        <w:footnoteReference w:id="3775"/>
      </w:r>
      <w:r>
        <w:rPr>
          <w:rtl/>
        </w:rPr>
        <w:t xml:space="preserve">דְּמִסִטְרֵיה אִתְּמַר </w:t>
      </w:r>
      <w:r>
        <w:rPr>
          <w:sz w:val="20"/>
          <w:szCs w:val="23"/>
          <w:rtl/>
        </w:rPr>
        <w:t>(יחזקאל א כב)</w:t>
      </w:r>
      <w:r>
        <w:rPr>
          <w:szCs w:val="23"/>
          <w:rtl/>
        </w:rPr>
        <w:t xml:space="preserve"> </w:t>
      </w:r>
      <w:r w:rsidRPr="00A13282">
        <w:rPr>
          <w:b w:val="0"/>
          <w:bCs w:val="0"/>
          <w:rtl/>
        </w:rPr>
        <w:t>וּדְמוּת עַל רָאשֵׁי</w:t>
      </w:r>
      <w:r>
        <w:rPr>
          <w:szCs w:val="23"/>
          <w:rtl/>
        </w:rPr>
        <w:t xml:space="preserve"> </w:t>
      </w:r>
      <w:r>
        <w:rPr>
          <w:rtl/>
        </w:rPr>
        <w:t>הַחַיָּה רָקִיעַ.</w:t>
      </w:r>
    </w:p>
    <w:p w:rsidR="003841DB" w:rsidRDefault="003841DB" w:rsidP="00A13282">
      <w:pPr>
        <w:pStyle w:val="NormalWeb"/>
        <w:rPr>
          <w:rtl/>
        </w:rPr>
      </w:pPr>
      <w:r>
        <w:rPr>
          <w:rtl/>
        </w:rPr>
        <w:t xml:space="preserve">וְדָא </w:t>
      </w:r>
      <w:r>
        <w:rPr>
          <w:u w:val="single"/>
          <w:rtl/>
        </w:rPr>
        <w:t>נָתִיב שְׁבִיעָאָה</w:t>
      </w:r>
      <w:r>
        <w:rPr>
          <w:rtl/>
        </w:rPr>
        <w:t xml:space="preserve">. </w:t>
      </w:r>
      <w:r>
        <w:rPr>
          <w:rStyle w:val="a7"/>
          <w:rtl/>
        </w:rPr>
        <w:footnoteReference w:id="3776"/>
      </w:r>
      <w:r>
        <w:rPr>
          <w:rtl/>
        </w:rPr>
        <w:t xml:space="preserve">וְאִית רָקִיעַ לְעִילָא מֵרָקִיעַ, וְדָא צַדִּיק דְּאַפְרִישׁ בֵּין מַיִּין נוּקְבִין לְמַיִּין דְּכוּרִין, לְאִשְׁתְּמוֹדְעָא בֵּיהּ, וַעֲלֵיהּ אִתְּמַר </w:t>
      </w:r>
      <w:r>
        <w:rPr>
          <w:sz w:val="20"/>
          <w:szCs w:val="23"/>
          <w:rtl/>
        </w:rPr>
        <w:t>(שם)</w:t>
      </w:r>
      <w:r>
        <w:rPr>
          <w:rtl/>
        </w:rPr>
        <w:t xml:space="preserve"> וַיַּעַשׂ אלהי''ם אֶת הָרָקִיעַ, וַיַּבְדֵּל בֵּין הַמַּיִם אֲשֶׁר מִתַּחַת לָרָקִיעַ וּבֵין הַמַּיִם אֲשֶׁר מֵעַל לָרָקִיעַ, וְדָא </w:t>
      </w:r>
      <w:r>
        <w:rPr>
          <w:u w:val="single"/>
          <w:rtl/>
        </w:rPr>
        <w:t xml:space="preserve">נָתִיב </w:t>
      </w:r>
      <w:r w:rsidR="00A13282">
        <w:rPr>
          <w:u w:val="single"/>
          <w:rtl/>
        </w:rPr>
        <w:t>תְּמִינָאָה</w:t>
      </w:r>
      <w:r w:rsidR="00A13282">
        <w:rPr>
          <w:rtl/>
        </w:rPr>
        <w:t xml:space="preserve"> </w:t>
      </w:r>
      <w:r>
        <w:rPr>
          <w:rtl/>
        </w:rPr>
        <w:t>צַדִּיק.</w:t>
      </w:r>
    </w:p>
    <w:p w:rsidR="003841DB" w:rsidRDefault="003841DB" w:rsidP="00B17EA9">
      <w:pPr>
        <w:pStyle w:val="aa"/>
        <w:rPr>
          <w:rFonts w:cs="Guttman Frank"/>
          <w:sz w:val="20"/>
          <w:szCs w:val="23"/>
          <w:rtl/>
        </w:rPr>
      </w:pPr>
      <w:r>
        <w:rPr>
          <w:rtl/>
        </w:rPr>
        <w:t xml:space="preserve">[תיקוני זוהר - דף עח ע''ב] </w:t>
      </w:r>
    </w:p>
    <w:p w:rsidR="003841DB" w:rsidRDefault="003841DB" w:rsidP="00A13282">
      <w:pPr>
        <w:pStyle w:val="NormalWeb"/>
        <w:rPr>
          <w:rtl/>
        </w:rPr>
      </w:pPr>
      <w:r>
        <w:rPr>
          <w:u w:val="single"/>
          <w:rtl/>
        </w:rPr>
        <w:t>נָתִיב תְּ</w:t>
      </w:r>
      <w:r w:rsidR="00A13282">
        <w:rPr>
          <w:rFonts w:hint="cs"/>
          <w:u w:val="single"/>
          <w:rtl/>
        </w:rPr>
        <w:t>ש</w:t>
      </w:r>
      <w:r w:rsidR="00A13282">
        <w:rPr>
          <w:rtl/>
        </w:rPr>
        <w:t>ׁ</w:t>
      </w:r>
      <w:r>
        <w:rPr>
          <w:u w:val="single"/>
          <w:rtl/>
        </w:rPr>
        <w:t>ִי</w:t>
      </w:r>
      <w:r w:rsidR="00A13282">
        <w:rPr>
          <w:rFonts w:hint="cs"/>
          <w:u w:val="single"/>
          <w:rtl/>
        </w:rPr>
        <w:t>ע</w:t>
      </w:r>
      <w:r>
        <w:rPr>
          <w:u w:val="single"/>
          <w:rtl/>
        </w:rPr>
        <w:t>ָאָה</w:t>
      </w:r>
      <w:r>
        <w:rPr>
          <w:rtl/>
        </w:rPr>
        <w:t xml:space="preserve"> וַיִּקְרָא אלהי''ם לָרָקִיעַ שָׁמָיִם </w:t>
      </w:r>
      <w:r>
        <w:rPr>
          <w:sz w:val="20"/>
          <w:szCs w:val="23"/>
          <w:rtl/>
        </w:rPr>
        <w:t>(שם)</w:t>
      </w:r>
      <w:r>
        <w:rPr>
          <w:rtl/>
        </w:rPr>
        <w:t xml:space="preserve">, וַיִּקְרָא אלהי''ם דָּא אִימָּא עִלָּאָה, לָרָקִיעַ דָּא עַמּוּדָא דְאֶמְצָעִיתָא דְאִיהוּ בֵּין יְמִינָא </w:t>
      </w:r>
      <w:r>
        <w:rPr>
          <w:sz w:val="20"/>
          <w:szCs w:val="23"/>
          <w:rtl/>
        </w:rPr>
        <w:t xml:space="preserve">(דף עח ע''ב) </w:t>
      </w:r>
      <w:r>
        <w:rPr>
          <w:rtl/>
        </w:rPr>
        <w:t xml:space="preserve">וּשְׂמָאלָא וּכְלִיל תַּרְוַיְיהוּ, </w:t>
      </w:r>
      <w:r>
        <w:rPr>
          <w:rStyle w:val="a7"/>
          <w:rtl/>
        </w:rPr>
        <w:footnoteReference w:id="3777"/>
      </w:r>
      <w:r>
        <w:rPr>
          <w:rtl/>
        </w:rPr>
        <w:t xml:space="preserve">הֲדָא הוּא דִכְתִיב </w:t>
      </w:r>
      <w:r>
        <w:rPr>
          <w:sz w:val="20"/>
          <w:szCs w:val="23"/>
          <w:rtl/>
        </w:rPr>
        <w:t>(שם)</w:t>
      </w:r>
      <w:r>
        <w:rPr>
          <w:rtl/>
        </w:rPr>
        <w:t xml:space="preserve"> וַיְהִי עֶרֶב וַיְהִי בֹקֶר, וְאִינוּן עֶרֶב דְּיִצְחָק וּבֹקֶר דְּאַבְרָהָם.</w:t>
      </w:r>
    </w:p>
    <w:p w:rsidR="003841DB" w:rsidRDefault="003841DB" w:rsidP="00B17EA9">
      <w:pPr>
        <w:pStyle w:val="aa"/>
        <w:rPr>
          <w:rtl/>
        </w:rPr>
      </w:pPr>
      <w:r>
        <w:rPr>
          <w:rtl/>
        </w:rPr>
        <w:t>[ע"פ הכתוב בתשלום ליקוטי הגר"א, כאן צ"ל תיקון ל"ב, ותיקון ל"א לא שייך]</w:t>
      </w:r>
    </w:p>
    <w:p w:rsidR="00B17EA9" w:rsidRDefault="00B17EA9" w:rsidP="00B17EA9">
      <w:pPr>
        <w:pStyle w:val="1"/>
        <w:rPr>
          <w:rtl/>
        </w:rPr>
      </w:pPr>
      <w:bookmarkStart w:id="235" w:name="_Toc228091309"/>
      <w:bookmarkStart w:id="236" w:name="_Toc231637948"/>
      <w:r>
        <w:rPr>
          <w:rtl/>
        </w:rPr>
        <w:t>תקונא תלתין וחד</w:t>
      </w:r>
      <w:bookmarkEnd w:id="235"/>
      <w:bookmarkEnd w:id="236"/>
    </w:p>
    <w:p w:rsidR="00B17EA9" w:rsidRDefault="00B17EA9" w:rsidP="00B6704B">
      <w:pPr>
        <w:pStyle w:val="NormalWeb"/>
        <w:rPr>
          <w:b w:val="0"/>
          <w:bCs w:val="0"/>
          <w:szCs w:val="29"/>
          <w:rtl/>
        </w:rPr>
      </w:pPr>
      <w:r>
        <w:rPr>
          <w:rStyle w:val="a7"/>
          <w:szCs w:val="29"/>
          <w:rtl/>
        </w:rPr>
        <w:footnoteReference w:id="3778"/>
      </w:r>
      <w:r>
        <w:rPr>
          <w:szCs w:val="29"/>
          <w:rtl/>
        </w:rPr>
        <w:t xml:space="preserve">בְּרֵאשִׁית בָּרָ''א שְׁתֵּ''י, וַעֲלַיְיהוּ אִתְּמַר </w:t>
      </w:r>
      <w:r>
        <w:rPr>
          <w:szCs w:val="23"/>
          <w:rtl/>
        </w:rPr>
        <w:t>(רות א יט)</w:t>
      </w:r>
      <w:r>
        <w:rPr>
          <w:szCs w:val="29"/>
          <w:rtl/>
        </w:rPr>
        <w:t xml:space="preserve"> וַתֵּלַכְנָה שְׁתֵּיהֶם וְגוֹמֵר, וְאִינוּן תְּרֵי תּוֹרוֹת אוֹרַיְיתָא דְבִכְתָב וְאוֹרַיְיתָא דִּבְעַל פֶּה, וְעוֹד תְּרֵי לוּחוֹת אָזְלוּ לְטוּרָא דְסִינַי, מִיָּד וַתֵּהֹם כָּל הָעִיר עֲלֵיהֶן </w:t>
      </w:r>
      <w:r>
        <w:rPr>
          <w:szCs w:val="23"/>
          <w:rtl/>
        </w:rPr>
        <w:t>(שם)</w:t>
      </w:r>
      <w:r>
        <w:rPr>
          <w:szCs w:val="29"/>
          <w:rtl/>
        </w:rPr>
        <w:t xml:space="preserve"> אִזְדַעְזַע כָּל עָלְמָא, הֲדָא הוּא דִכְתִיב </w:t>
      </w:r>
      <w:r>
        <w:rPr>
          <w:szCs w:val="23"/>
          <w:rtl/>
        </w:rPr>
        <w:t>(שמות כ יח)</w:t>
      </w:r>
      <w:r>
        <w:rPr>
          <w:szCs w:val="29"/>
          <w:rtl/>
        </w:rPr>
        <w:t xml:space="preserve"> וְכָל הָעָם רֹאִים אֶת הַקֹּלֹת וכו' וַיַּרְא הָעָם וַיָּנוּעוּ, וְאָמְרוּ הֲזֹאת נָעֳמִי, דָּא אִיהוּ נְעִימוּ דְאוֹרַיְיתָא, מִיָּד אִתְּמַר </w:t>
      </w:r>
      <w:r>
        <w:rPr>
          <w:szCs w:val="23"/>
          <w:rtl/>
        </w:rPr>
        <w:t>(שם לב יט)</w:t>
      </w:r>
      <w:r>
        <w:rPr>
          <w:szCs w:val="29"/>
          <w:rtl/>
        </w:rPr>
        <w:t xml:space="preserve"> וַיְשַׁבֵּר אוֹתָם תַּחַת הָהָר, פָּרְחַת אוֹרַיְיתָא מִתַּמָּן, וְאָמְרַת </w:t>
      </w:r>
      <w:r>
        <w:rPr>
          <w:szCs w:val="23"/>
          <w:rtl/>
        </w:rPr>
        <w:t>(רות א כא)</w:t>
      </w:r>
      <w:r>
        <w:rPr>
          <w:szCs w:val="29"/>
          <w:rtl/>
        </w:rPr>
        <w:t xml:space="preserve"> אֲנִי מְלֵאָה הָלַכְתִּי לְטוּרָא דְסִינַי, וּכְעַן וְרֵיקָם הֱשִׁיבַנִי יהו''ה, </w:t>
      </w:r>
      <w:r w:rsidRPr="00B6704B">
        <w:rPr>
          <w:rtl/>
        </w:rPr>
        <w:t>מְלֵיאָ''ה</w:t>
      </w:r>
      <w:r>
        <w:rPr>
          <w:szCs w:val="29"/>
          <w:rtl/>
        </w:rPr>
        <w:t xml:space="preserve"> מָלֵ''א י''ה, וּכְעַן פָּרַח מִנִּי מָלֵ''א י''ה </w:t>
      </w:r>
      <w:r>
        <w:rPr>
          <w:rStyle w:val="a7"/>
          <w:szCs w:val="29"/>
          <w:rtl/>
        </w:rPr>
        <w:footnoteReference w:id="3779"/>
      </w:r>
      <w:r>
        <w:rPr>
          <w:szCs w:val="29"/>
          <w:rtl/>
        </w:rPr>
        <w:t xml:space="preserve">דְּאִיהוּ יה''ו, וְאִשְׁתְּאָרַת ה' יְחִידָה אִלֵּ''ם, נֶאֱלַמְתִּי דוּמִיָּ''ה </w:t>
      </w:r>
      <w:r>
        <w:rPr>
          <w:szCs w:val="23"/>
          <w:rtl/>
        </w:rPr>
        <w:t>(תהלים לט ג)</w:t>
      </w:r>
      <w:r>
        <w:rPr>
          <w:szCs w:val="29"/>
          <w:rtl/>
        </w:rPr>
        <w:t>, דוֹ''ם י''ה, הֶחשֵׁתִי מִטּוֹב דְאִיהוּ ו'.</w:t>
      </w:r>
    </w:p>
    <w:p w:rsidR="00B17EA9" w:rsidRDefault="00B17EA9" w:rsidP="00B6704B">
      <w:pPr>
        <w:pStyle w:val="NormalWeb"/>
        <w:rPr>
          <w:b w:val="0"/>
          <w:bCs w:val="0"/>
          <w:szCs w:val="29"/>
          <w:rtl/>
        </w:rPr>
      </w:pPr>
      <w:r w:rsidRPr="00B6704B">
        <w:rPr>
          <w:rtl/>
        </w:rPr>
        <w:t>דָּבָר</w:t>
      </w:r>
      <w:r>
        <w:rPr>
          <w:szCs w:val="29"/>
          <w:rtl/>
        </w:rPr>
        <w:t xml:space="preserve"> אַחֵר וַתֵּלַכְנָה שְׁתֵּיהֶן גּוּף וְנֶפֶשׁ, לְאָן אֲתַר אָזְלִי, לְבֵי קִבְרָא, גּוּף אִתְדַּן וְאִתְרַקַּב, נֶפֶשׁ אִתְּמַר בָּהּ </w:t>
      </w:r>
      <w:r>
        <w:rPr>
          <w:szCs w:val="23"/>
          <w:rtl/>
        </w:rPr>
        <w:t>(רות ג ז)</w:t>
      </w:r>
      <w:r>
        <w:rPr>
          <w:szCs w:val="29"/>
          <w:rtl/>
        </w:rPr>
        <w:t xml:space="preserve"> </w:t>
      </w:r>
      <w:r>
        <w:rPr>
          <w:rStyle w:val="a7"/>
          <w:szCs w:val="29"/>
          <w:rtl/>
        </w:rPr>
        <w:footnoteReference w:id="3780"/>
      </w:r>
      <w:r>
        <w:rPr>
          <w:szCs w:val="29"/>
          <w:rtl/>
        </w:rPr>
        <w:t>וַתְּגַל מַרְגְּלוֹתָיו וַתִּשְׁכָּב.</w:t>
      </w:r>
    </w:p>
    <w:p w:rsidR="00B17EA9" w:rsidRDefault="00B17EA9" w:rsidP="00B6704B">
      <w:pPr>
        <w:pStyle w:val="NormalWeb"/>
        <w:rPr>
          <w:b w:val="0"/>
          <w:bCs w:val="0"/>
          <w:szCs w:val="29"/>
          <w:rtl/>
        </w:rPr>
      </w:pPr>
      <w:r>
        <w:rPr>
          <w:szCs w:val="29"/>
          <w:rtl/>
        </w:rPr>
        <w:t xml:space="preserve">קָם סָבָא חַד וְאָמַר, בּוֹצִינָא קַדִּישָׁא </w:t>
      </w:r>
      <w:r>
        <w:rPr>
          <w:rStyle w:val="a7"/>
          <w:szCs w:val="29"/>
          <w:rtl/>
        </w:rPr>
        <w:footnoteReference w:id="3781"/>
      </w:r>
      <w:r>
        <w:rPr>
          <w:szCs w:val="29"/>
          <w:rtl/>
        </w:rPr>
        <w:t xml:space="preserve">חֲזוֹר בָּךְ, עָרְפָּה אִיהִי גוּף, רוּת אִיהִי נֶפֶשׁ, </w:t>
      </w:r>
      <w:r w:rsidRPr="00B6704B">
        <w:rPr>
          <w:rtl/>
        </w:rPr>
        <w:t>שׁוּתָּפוּ</w:t>
      </w:r>
      <w:r>
        <w:rPr>
          <w:szCs w:val="29"/>
          <w:rtl/>
        </w:rPr>
        <w:t xml:space="preserve"> דִילָהּ </w:t>
      </w:r>
      <w:r>
        <w:rPr>
          <w:rStyle w:val="a7"/>
          <w:szCs w:val="29"/>
          <w:rtl/>
        </w:rPr>
        <w:footnoteReference w:id="3782"/>
      </w:r>
      <w:r>
        <w:rPr>
          <w:szCs w:val="29"/>
          <w:rtl/>
        </w:rPr>
        <w:t xml:space="preserve">נָעֳמִי נִשְׁמַת חַיִּים, מַחְלוֹן רוּחָא, גּוּפָא דְאִיהִי עָרְפָּה </w:t>
      </w:r>
      <w:r>
        <w:rPr>
          <w:rStyle w:val="a7"/>
          <w:szCs w:val="29"/>
          <w:rtl/>
        </w:rPr>
        <w:footnoteReference w:id="3783"/>
      </w:r>
      <w:r>
        <w:rPr>
          <w:szCs w:val="29"/>
          <w:rtl/>
        </w:rPr>
        <w:t xml:space="preserve">חָזְרָה עוֹרֶף לְגַבֵּי נְשָׁמָה </w:t>
      </w:r>
      <w:r>
        <w:rPr>
          <w:szCs w:val="23"/>
          <w:rtl/>
        </w:rPr>
        <w:t>(נ''א שכינתא)</w:t>
      </w:r>
      <w:r>
        <w:rPr>
          <w:szCs w:val="29"/>
          <w:rtl/>
        </w:rPr>
        <w:t xml:space="preserve">, נֶפֶשׁ אִתְדַּבַּק בָּהּ בְּנִשְׁמָתָא, הֲדָא הוּא דִכְתִיב </w:t>
      </w:r>
      <w:r>
        <w:rPr>
          <w:szCs w:val="23"/>
          <w:rtl/>
        </w:rPr>
        <w:t>(רות א טז)</w:t>
      </w:r>
      <w:r>
        <w:rPr>
          <w:szCs w:val="29"/>
          <w:rtl/>
        </w:rPr>
        <w:t xml:space="preserve"> בַּאֲשֶׁר תֵּלְכִי אֵלֵךְ </w:t>
      </w:r>
      <w:r>
        <w:rPr>
          <w:rStyle w:val="a7"/>
          <w:szCs w:val="29"/>
          <w:rtl/>
        </w:rPr>
        <w:footnoteReference w:id="3784"/>
      </w:r>
      <w:r>
        <w:rPr>
          <w:szCs w:val="29"/>
          <w:rtl/>
        </w:rPr>
        <w:t>בְּפִקּוּדִין דַּעֲשֵׂה, וּבַאֲשֶׁר תָּלִינִי אָלִין בְּפִקּוּדִין דְּלֹא תַעֲשֶׂה.</w:t>
      </w:r>
    </w:p>
    <w:p w:rsidR="00B17EA9" w:rsidRDefault="00B17EA9" w:rsidP="00B6704B">
      <w:pPr>
        <w:pStyle w:val="NormalWeb"/>
        <w:rPr>
          <w:b w:val="0"/>
          <w:bCs w:val="0"/>
          <w:szCs w:val="29"/>
          <w:rtl/>
        </w:rPr>
      </w:pPr>
      <w:r>
        <w:rPr>
          <w:rStyle w:val="a7"/>
          <w:szCs w:val="29"/>
          <w:rtl/>
        </w:rPr>
        <w:footnoteReference w:id="3785"/>
      </w:r>
      <w:r>
        <w:rPr>
          <w:szCs w:val="29"/>
          <w:rtl/>
        </w:rPr>
        <w:t xml:space="preserve">דָּבָר אַחֵר בַּאֲשֶׁר תֵּלְכִי אֵלֵךְ בְּגָלוּתָא, דְּאִתְּמַר בָּהּ </w:t>
      </w:r>
      <w:r>
        <w:rPr>
          <w:szCs w:val="23"/>
          <w:rtl/>
        </w:rPr>
        <w:t>(ישעיה נ א)</w:t>
      </w:r>
      <w:r>
        <w:rPr>
          <w:szCs w:val="29"/>
          <w:rtl/>
        </w:rPr>
        <w:t xml:space="preserve"> וּבְפִשְׁעִיכֶם שֻׁלְּחָה אִמְּכֶם, וּבַאֲשֶׁר תָּלִינִי אָלִין בְּמִשְׁכָּבָא דִילָךְ בְּגָלוּתָא, הֲדָא הוּא דִכְתִיב </w:t>
      </w:r>
      <w:r>
        <w:rPr>
          <w:szCs w:val="23"/>
          <w:rtl/>
        </w:rPr>
        <w:t>(שיר ג א)</w:t>
      </w:r>
      <w:r>
        <w:rPr>
          <w:szCs w:val="29"/>
          <w:rtl/>
        </w:rPr>
        <w:t xml:space="preserve"> עַל מִשְׁכָּבִי בַּלֵּילוֹת, </w:t>
      </w:r>
      <w:r>
        <w:rPr>
          <w:rStyle w:val="a7"/>
          <w:szCs w:val="29"/>
          <w:rtl/>
        </w:rPr>
        <w:footnoteReference w:id="3786"/>
      </w:r>
      <w:r>
        <w:rPr>
          <w:szCs w:val="29"/>
          <w:rtl/>
        </w:rPr>
        <w:t xml:space="preserve">עַמֵּךְ עַמִּי אִלֵּין יִשְׂרָאֵל, וִאלהי''ך אלה''י דָּא קוּדְשָׁא בְּרִיךְ הוּא, </w:t>
      </w:r>
      <w:r w:rsidRPr="00B6704B">
        <w:rPr>
          <w:rtl/>
        </w:rPr>
        <w:t>אֱלִימֶלֶךְ</w:t>
      </w:r>
      <w:r>
        <w:rPr>
          <w:szCs w:val="29"/>
          <w:rtl/>
        </w:rPr>
        <w:t xml:space="preserve"> דָּא י', נָעֳמִי דָּא ה', מַחְלוֹן ו', רוּת בָּהּ אִתְדַּבְּקַת ה' וְאִתְעֲבִידַת תּוֹרָה, וַעֲלָהּ אִתְּמַר </w:t>
      </w:r>
      <w:r>
        <w:rPr>
          <w:szCs w:val="23"/>
          <w:rtl/>
        </w:rPr>
        <w:t>(שיר ב יב)</w:t>
      </w:r>
      <w:r>
        <w:rPr>
          <w:szCs w:val="29"/>
          <w:rtl/>
        </w:rPr>
        <w:t xml:space="preserve"> </w:t>
      </w:r>
      <w:r>
        <w:rPr>
          <w:rStyle w:val="a7"/>
          <w:szCs w:val="29"/>
          <w:rtl/>
        </w:rPr>
        <w:footnoteReference w:id="3787"/>
      </w:r>
      <w:r>
        <w:rPr>
          <w:szCs w:val="29"/>
          <w:rtl/>
        </w:rPr>
        <w:t>וְקוֹל הַתּוֹר נִשְׁמַע בְּאַרְצֵנוּ.</w:t>
      </w:r>
    </w:p>
    <w:p w:rsidR="00B17EA9" w:rsidRDefault="00B17EA9" w:rsidP="00B6704B">
      <w:pPr>
        <w:pStyle w:val="NormalWeb"/>
        <w:rPr>
          <w:b w:val="0"/>
          <w:bCs w:val="0"/>
          <w:szCs w:val="29"/>
          <w:rtl/>
        </w:rPr>
      </w:pPr>
      <w:r>
        <w:rPr>
          <w:rStyle w:val="a7"/>
          <w:szCs w:val="29"/>
          <w:rtl/>
        </w:rPr>
        <w:footnoteReference w:id="3788"/>
      </w:r>
      <w:r>
        <w:rPr>
          <w:szCs w:val="29"/>
          <w:rtl/>
        </w:rPr>
        <w:t xml:space="preserve">עָרְפָּה אִימָּא דְעִרֶב רַב, דְּאִתְּמַר בְּהוֹן </w:t>
      </w:r>
      <w:r>
        <w:rPr>
          <w:szCs w:val="23"/>
          <w:rtl/>
        </w:rPr>
        <w:t>(שמות לד ט)</w:t>
      </w:r>
      <w:r>
        <w:rPr>
          <w:szCs w:val="29"/>
          <w:rtl/>
        </w:rPr>
        <w:t xml:space="preserve"> </w:t>
      </w:r>
      <w:r>
        <w:rPr>
          <w:rStyle w:val="a7"/>
          <w:szCs w:val="29"/>
          <w:rtl/>
        </w:rPr>
        <w:footnoteReference w:id="3789"/>
      </w:r>
      <w:r>
        <w:rPr>
          <w:szCs w:val="29"/>
          <w:rtl/>
        </w:rPr>
        <w:t xml:space="preserve">כִּי עַם קְשֵׁה עוֹרֶף הוּא, דְּחָזְרַת </w:t>
      </w:r>
      <w:r w:rsidRPr="00B6704B">
        <w:rPr>
          <w:rtl/>
        </w:rPr>
        <w:t>לְסָרְחָנָה</w:t>
      </w:r>
      <w:r>
        <w:rPr>
          <w:szCs w:val="29"/>
          <w:rtl/>
        </w:rPr>
        <w:t xml:space="preserve">, </w:t>
      </w:r>
      <w:r>
        <w:rPr>
          <w:rStyle w:val="a7"/>
          <w:szCs w:val="29"/>
          <w:rtl/>
        </w:rPr>
        <w:footnoteReference w:id="3790"/>
      </w:r>
      <w:r>
        <w:rPr>
          <w:szCs w:val="29"/>
          <w:rtl/>
        </w:rPr>
        <w:t xml:space="preserve">וְחָזְרַת עֹרֶף לְגַבֵּי חֲמוֹתָהּ, </w:t>
      </w:r>
      <w:r>
        <w:rPr>
          <w:rStyle w:val="a7"/>
          <w:szCs w:val="29"/>
          <w:rtl/>
        </w:rPr>
        <w:footnoteReference w:id="3791"/>
      </w:r>
      <w:r>
        <w:rPr>
          <w:szCs w:val="29"/>
          <w:rtl/>
        </w:rPr>
        <w:t xml:space="preserve">כִּלְיוֹן בַּעְלָהּ דְּעָרְפָּה, יֵצֶר הָרָע דְאַתְיָא כְּלָיָיה מִנֵּיהּ לְעָלְמָא, וְאִיהוּ כִּלְיוֹן, </w:t>
      </w:r>
      <w:r>
        <w:rPr>
          <w:rStyle w:val="a7"/>
          <w:szCs w:val="29"/>
          <w:rtl/>
        </w:rPr>
        <w:footnoteReference w:id="3792"/>
      </w:r>
      <w:r>
        <w:rPr>
          <w:szCs w:val="29"/>
          <w:rtl/>
        </w:rPr>
        <w:t>וְאִתְּתֵיהּ לִילִית כְּלָיָיה.</w:t>
      </w:r>
    </w:p>
    <w:p w:rsidR="00B17EA9" w:rsidRDefault="00B17EA9" w:rsidP="00B6704B">
      <w:pPr>
        <w:pStyle w:val="NormalWeb"/>
        <w:rPr>
          <w:b w:val="0"/>
          <w:bCs w:val="0"/>
          <w:szCs w:val="29"/>
          <w:rtl/>
        </w:rPr>
      </w:pPr>
      <w:r>
        <w:rPr>
          <w:rStyle w:val="a7"/>
          <w:szCs w:val="29"/>
          <w:rtl/>
        </w:rPr>
        <w:footnoteReference w:id="3793"/>
      </w:r>
      <w:r>
        <w:rPr>
          <w:szCs w:val="29"/>
          <w:rtl/>
        </w:rPr>
        <w:t xml:space="preserve">נְשָׁמָה וְנֶפֶשׁ כַּד בַּר נַשׁ אִיהוּ מְחוּיָיב בְּחוֹבִין וּמִתְגַּבְּרִין עַל אֵבָרִים, נִשְׁמַת חַיִּים אִסְתַּלְּקַת מִן גּוּפָא, וְנֶפֶשׁ אִשְׁתְּאָרַת תַּמָּן, וְאִתְּמַר בָּהּ </w:t>
      </w:r>
      <w:r>
        <w:rPr>
          <w:szCs w:val="23"/>
          <w:rtl/>
        </w:rPr>
        <w:t>(רות ג ז)</w:t>
      </w:r>
      <w:r>
        <w:rPr>
          <w:szCs w:val="29"/>
          <w:rtl/>
        </w:rPr>
        <w:t xml:space="preserve"> </w:t>
      </w:r>
      <w:r>
        <w:rPr>
          <w:rStyle w:val="a7"/>
          <w:szCs w:val="29"/>
          <w:rtl/>
        </w:rPr>
        <w:footnoteReference w:id="3794"/>
      </w:r>
      <w:r>
        <w:rPr>
          <w:szCs w:val="29"/>
          <w:rtl/>
        </w:rPr>
        <w:t xml:space="preserve">וַתְּגַל מַרְגְּלוֹתָיו, לְגַבֵּי מָאן לְגַבֵּי צַדִּיק וְדָא בְרִית מִילָה, דְאִיהוּ בּוֹעַז בּ''וֹ עַ''ז תַּקִּיף עַל יִצְרֵיהּ, וַיָּמָד שֵׁשׁ שְׂעוֹרִים </w:t>
      </w:r>
      <w:r w:rsidRPr="00B6704B">
        <w:rPr>
          <w:rtl/>
        </w:rPr>
        <w:t>וַיָּשֶׁת</w:t>
      </w:r>
      <w:r>
        <w:rPr>
          <w:szCs w:val="29"/>
          <w:rtl/>
        </w:rPr>
        <w:t xml:space="preserve"> עָלֶיהָ </w:t>
      </w:r>
      <w:r>
        <w:rPr>
          <w:szCs w:val="23"/>
          <w:rtl/>
        </w:rPr>
        <w:t xml:space="preserve">(שם טז), </w:t>
      </w:r>
      <w:r>
        <w:rPr>
          <w:rStyle w:val="Char"/>
          <w:rtl/>
        </w:rPr>
        <w:t>שׁוֹקָיו עַמּוּדֵי שֵׁשׁ</w:t>
      </w:r>
      <w:r>
        <w:rPr>
          <w:szCs w:val="23"/>
          <w:rtl/>
        </w:rPr>
        <w:t xml:space="preserve"> (שיר ה טז)</w:t>
      </w:r>
      <w:r>
        <w:rPr>
          <w:szCs w:val="29"/>
          <w:rtl/>
        </w:rPr>
        <w:t xml:space="preserve">, שַׁוִּאיַת לוֹן עֲלָהָא לְאַגָּנָא עֲלָהּ, וְאוּקְמוּהָ </w:t>
      </w:r>
      <w:r>
        <w:rPr>
          <w:rStyle w:val="a7"/>
          <w:szCs w:val="29"/>
          <w:rtl/>
        </w:rPr>
        <w:footnoteReference w:id="3795"/>
      </w:r>
      <w:r>
        <w:rPr>
          <w:szCs w:val="29"/>
          <w:rtl/>
        </w:rPr>
        <w:t xml:space="preserve">וַתֵּלַכְנָה שְׁתֵּיהֶם בִּשְׁכִינְתָּא עִלָּאָה וְתַתָּאָה, וַעֲלַיְיהוּ אִתְּמַר </w:t>
      </w:r>
      <w:r>
        <w:rPr>
          <w:szCs w:val="23"/>
          <w:rtl/>
        </w:rPr>
        <w:t>(רות ד יז)</w:t>
      </w:r>
      <w:r>
        <w:rPr>
          <w:szCs w:val="29"/>
          <w:rtl/>
        </w:rPr>
        <w:t xml:space="preserve"> וַתִּקְרֶאנָה </w:t>
      </w:r>
      <w:r>
        <w:rPr>
          <w:rStyle w:val="a7"/>
          <w:szCs w:val="29"/>
          <w:rtl/>
        </w:rPr>
        <w:footnoteReference w:id="3796"/>
      </w:r>
      <w:r>
        <w:rPr>
          <w:szCs w:val="29"/>
          <w:rtl/>
        </w:rPr>
        <w:t xml:space="preserve">לוֹ הַשְּׁכֵנוֹת שֵׁם, לֵאמֹר יֻלַּד בֵּן לְנָעֳמִי, דָא עַמּוּדָא דְאֶמְצָעִיתָא דְאִתְּמַר בֵּיהּ </w:t>
      </w:r>
      <w:r>
        <w:rPr>
          <w:szCs w:val="23"/>
          <w:rtl/>
        </w:rPr>
        <w:t>(שמות ד כב)</w:t>
      </w:r>
      <w:r>
        <w:rPr>
          <w:szCs w:val="29"/>
          <w:rtl/>
        </w:rPr>
        <w:t xml:space="preserve"> בְּנִי בְכֹרִי יִשְׂרָאֵל, כַּד חָאבוּ יִשְׂרָאֵל וְגָרְמוּ לְאִסְתַּלְקָא שְׁכִינְתָּא עִלָאָהּ </w:t>
      </w:r>
      <w:r>
        <w:rPr>
          <w:rStyle w:val="a7"/>
          <w:szCs w:val="29"/>
          <w:rtl/>
        </w:rPr>
        <w:footnoteReference w:id="3797"/>
      </w:r>
      <w:r>
        <w:rPr>
          <w:szCs w:val="29"/>
          <w:rtl/>
        </w:rPr>
        <w:t xml:space="preserve">אִתְּמַר בִּשְׁכִינְתָּא תַּתָּאָה וַתְּגַל מַרְגְּלוֹתָיו </w:t>
      </w:r>
      <w:r>
        <w:rPr>
          <w:szCs w:val="23"/>
          <w:rtl/>
        </w:rPr>
        <w:t>(רות ג ז)</w:t>
      </w:r>
      <w:r>
        <w:rPr>
          <w:szCs w:val="29"/>
          <w:rtl/>
        </w:rPr>
        <w:t>.</w:t>
      </w:r>
    </w:p>
    <w:p w:rsidR="00B17EA9" w:rsidRDefault="00B17EA9" w:rsidP="00B17EA9">
      <w:pPr>
        <w:spacing w:after="40" w:line="360" w:lineRule="atLeast"/>
        <w:ind w:left="144" w:right="144" w:firstLine="288"/>
        <w:jc w:val="both"/>
        <w:rPr>
          <w:rFonts w:ascii="Arial"/>
          <w:b/>
          <w:szCs w:val="23"/>
          <w:rtl/>
        </w:rPr>
      </w:pPr>
      <w:r>
        <w:rPr>
          <w:rtl/>
        </w:rPr>
        <w:t xml:space="preserve">[תיקוני זוהר - דף עט ע''א] </w:t>
      </w:r>
    </w:p>
    <w:p w:rsidR="00B17EA9" w:rsidRDefault="00B17EA9" w:rsidP="00B17EA9">
      <w:pPr>
        <w:pStyle w:val="NormalWeb"/>
        <w:rPr>
          <w:rtl/>
        </w:rPr>
      </w:pPr>
      <w:r>
        <w:rPr>
          <w:rtl/>
        </w:rPr>
        <w:t xml:space="preserve">דָּבָר אַחֵר וַתֵּלַכְנָה שְׁתֵּיהֶם, אִיהוּ </w:t>
      </w:r>
      <w:r>
        <w:rPr>
          <w:rStyle w:val="a7"/>
          <w:b w:val="0"/>
          <w:bCs w:val="0"/>
          <w:rtl/>
        </w:rPr>
        <w:footnoteReference w:id="3798"/>
      </w:r>
      <w:r>
        <w:rPr>
          <w:rtl/>
        </w:rPr>
        <w:t xml:space="preserve">מְמַלֵּל עַל גוּפָא וְנַפְשָׁא, וּמֵרְחִימוּ דְגוּפָא </w:t>
      </w:r>
      <w:r>
        <w:rPr>
          <w:rStyle w:val="a7"/>
          <w:b w:val="0"/>
          <w:bCs w:val="0"/>
          <w:rtl/>
        </w:rPr>
        <w:footnoteReference w:id="3799"/>
      </w:r>
      <w:r>
        <w:rPr>
          <w:rtl/>
        </w:rPr>
        <w:t xml:space="preserve">כַּד אִיהוּ בַּעַל תְּשׁוּבָה, יֵימָא נַפְשָׁא לְגַבָּהּ בַּאֲשֶׁר תָּמוּתִי אָמוּת וְשָׁם אֶקָּבֵר </w:t>
      </w:r>
      <w:r>
        <w:rPr>
          <w:sz w:val="20"/>
          <w:szCs w:val="23"/>
          <w:rtl/>
        </w:rPr>
        <w:t>(שם א יז)</w:t>
      </w:r>
      <w:r>
        <w:rPr>
          <w:rtl/>
        </w:rPr>
        <w:t xml:space="preserve">, וְלָא תָזוּז נַפְשָׁא בְקִבְרָא מִנֵּיהּ, </w:t>
      </w:r>
      <w:r>
        <w:rPr>
          <w:rStyle w:val="a7"/>
          <w:b w:val="0"/>
          <w:bCs w:val="0"/>
          <w:rtl/>
        </w:rPr>
        <w:footnoteReference w:id="3800"/>
      </w:r>
      <w:r>
        <w:rPr>
          <w:rtl/>
        </w:rPr>
        <w:t xml:space="preserve">וַעֲלָהּ אִתְּמַר </w:t>
      </w:r>
      <w:r>
        <w:rPr>
          <w:sz w:val="20"/>
          <w:szCs w:val="23"/>
          <w:rtl/>
        </w:rPr>
        <w:t>(משלי ו כב)</w:t>
      </w:r>
      <w:r>
        <w:rPr>
          <w:szCs w:val="23"/>
          <w:rtl/>
        </w:rPr>
        <w:t xml:space="preserve"> </w:t>
      </w:r>
      <w:r>
        <w:rPr>
          <w:rStyle w:val="Char"/>
          <w:rtl/>
        </w:rPr>
        <w:t>בְּהִתְהַלֶּכְךָ</w:t>
      </w:r>
      <w:r>
        <w:rPr>
          <w:szCs w:val="23"/>
          <w:rtl/>
        </w:rPr>
        <w:t xml:space="preserve"> </w:t>
      </w:r>
      <w:r>
        <w:rPr>
          <w:rtl/>
        </w:rPr>
        <w:t xml:space="preserve">תַּנְחֶה אוֹתָךְ בְּעָלְמָא דֵין, בְּשָׁכְבְּךָ תִּשְׁמוֹר עָלֶיךָ בְּקִבְרָא, וַהֲקִיצוֹתָ לִתְחִיַּית הַמֵּתִים </w:t>
      </w:r>
      <w:r>
        <w:rPr>
          <w:sz w:val="20"/>
          <w:szCs w:val="23"/>
          <w:rtl/>
        </w:rPr>
        <w:t>(נ''א לעולם הבא)</w:t>
      </w:r>
      <w:r>
        <w:rPr>
          <w:rtl/>
        </w:rPr>
        <w:t xml:space="preserve"> הִיא תְשִׂיחֶךָ, </w:t>
      </w:r>
      <w:r>
        <w:rPr>
          <w:rStyle w:val="a7"/>
          <w:b w:val="0"/>
          <w:bCs w:val="0"/>
          <w:rtl/>
        </w:rPr>
        <w:footnoteReference w:id="3801"/>
      </w:r>
      <w:r>
        <w:rPr>
          <w:rtl/>
        </w:rPr>
        <w:t xml:space="preserve">דָּא נַפְשָׁא לְגַבֵּי גוּפָא, וּבוֹצִינָא קַדִּישָׁא אִם </w:t>
      </w:r>
      <w:r>
        <w:rPr>
          <w:rFonts w:hAnsi="Times New Roman"/>
          <w:sz w:val="20"/>
          <w:szCs w:val="23"/>
          <w:rtl/>
        </w:rPr>
        <w:t>(דף עט ע''א)</w:t>
      </w:r>
      <w:r>
        <w:rPr>
          <w:sz w:val="20"/>
          <w:szCs w:val="23"/>
          <w:rtl/>
        </w:rPr>
        <w:t xml:space="preserve"> </w:t>
      </w:r>
      <w:r>
        <w:rPr>
          <w:rtl/>
        </w:rPr>
        <w:t xml:space="preserve">גּוּפָא </w:t>
      </w:r>
      <w:r>
        <w:rPr>
          <w:rStyle w:val="a7"/>
          <w:b w:val="0"/>
          <w:bCs w:val="0"/>
          <w:rtl/>
        </w:rPr>
        <w:footnoteReference w:id="3802"/>
      </w:r>
      <w:r>
        <w:rPr>
          <w:rtl/>
        </w:rPr>
        <w:t>לָא חָזַר בִּתְיוּבְתָּא, וְחָזַר עוֹרֶף לְגַבֵּי תְּיוּבְתָּא, נֶפֶשׁ אִתְפָּרַשׁ מִנֵּיהּ וְאִתְקְרֵי עָרְפָּ''ה, וְגוּפָא דָא אִתְאֲבִיד מִתְּרֵין עָלְמִין.</w:t>
      </w:r>
    </w:p>
    <w:p w:rsidR="00B17EA9" w:rsidRDefault="00B17EA9" w:rsidP="00B17EA9">
      <w:pPr>
        <w:pStyle w:val="NormalWeb"/>
        <w:rPr>
          <w:rtl/>
        </w:rPr>
      </w:pPr>
      <w:r>
        <w:rPr>
          <w:rtl/>
        </w:rPr>
        <w:t>אָמַר לֵיהּ סָבָא סָבָא, וְהָא כַּמָּה קִבְרִין לְמַגָּנָא, וְהָא אִם גּוּפָא אִתְאֲבִיד עַל מַה תָּקוּם נַפְשָׁא לִתְחִיַּית הַמֵּתִים, דְּהָא וַדַּאי גּוּפָא אִתְאֲבִיד, וְאִתְּמַר דְּאִתְאֲבִיד מִתְּרֵין עָלְמִין, וְהָא נָחִית לִנְשִׁיָּיה דְתַמָּן אִתְנַשֵּׁי לְדָרֵי דָרִין, אִם כֵּן כַּמָּה קִבְרִין לְמַגָּנָא.</w:t>
      </w:r>
    </w:p>
    <w:p w:rsidR="00B17EA9" w:rsidRDefault="00B17EA9" w:rsidP="00B17EA9">
      <w:pPr>
        <w:pStyle w:val="NormalWeb"/>
        <w:rPr>
          <w:rtl/>
        </w:rPr>
      </w:pPr>
      <w:r>
        <w:rPr>
          <w:rtl/>
        </w:rPr>
        <w:t xml:space="preserve">אֶלָּא וַדַּאי קוּדְשָׁא בְּרִיךְ הוּא לָא יְשֵׁצֵי עוֹבְדֵי יְדוֹי, </w:t>
      </w:r>
      <w:r>
        <w:rPr>
          <w:rStyle w:val="a7"/>
          <w:b w:val="0"/>
          <w:bCs w:val="0"/>
          <w:rtl/>
        </w:rPr>
        <w:footnoteReference w:id="3803"/>
      </w:r>
      <w:r>
        <w:rPr>
          <w:rtl/>
        </w:rPr>
        <w:t xml:space="preserve">דְּוַדַּאי עָלְמָא דֵין וְעָלְמָא דְאָתֵי דְּאִינוּן שְׁמַיָּא וְאַרְעָא דְּקוּדְשָׁא בְּרִיךְ הוּא אִינוּן, וַעֲלַיְיהוּ אָמַר דָוִד </w:t>
      </w:r>
      <w:r>
        <w:rPr>
          <w:sz w:val="20"/>
          <w:szCs w:val="23"/>
          <w:rtl/>
        </w:rPr>
        <w:t>(תהלים קטו טז)</w:t>
      </w:r>
      <w:r>
        <w:rPr>
          <w:rtl/>
        </w:rPr>
        <w:t xml:space="preserve"> הַשָּׁמַיִם שָׁמַיִם לַיהו''ה, אַרְעָא אֶתְהַלֵּךְ לִפְנֵי יהו''ה בְּאַרְצוֹת הַחַיִּים </w:t>
      </w:r>
      <w:r>
        <w:rPr>
          <w:sz w:val="20"/>
          <w:szCs w:val="23"/>
          <w:rtl/>
        </w:rPr>
        <w:t>(שם קטז ט)</w:t>
      </w:r>
      <w:r>
        <w:rPr>
          <w:rtl/>
        </w:rPr>
        <w:t xml:space="preserve">, עֲלַיְיהוּ אִתְּמַר עָלְמָא דֵין וְעָלְמָא דְאָתֵי בִּשְׁמָא דְיהו''ה, </w:t>
      </w:r>
      <w:r>
        <w:rPr>
          <w:rStyle w:val="a7"/>
          <w:b w:val="0"/>
          <w:bCs w:val="0"/>
          <w:rtl/>
        </w:rPr>
        <w:footnoteReference w:id="3804"/>
      </w:r>
      <w:r>
        <w:rPr>
          <w:rtl/>
        </w:rPr>
        <w:t xml:space="preserve">הֲדָא הוּא דִכְתִיב </w:t>
      </w:r>
      <w:r>
        <w:rPr>
          <w:sz w:val="20"/>
          <w:szCs w:val="23"/>
          <w:rtl/>
        </w:rPr>
        <w:t>(שם צו יא)</w:t>
      </w:r>
      <w:r>
        <w:rPr>
          <w:rtl/>
        </w:rPr>
        <w:t xml:space="preserve"> יִ שְׂמְחוּ הַ שָּׁמַיִם וְ תָגֵל הָ אָרֶץ, אֵימָתַי בְּזִמְנָא דְאִתְּמַר לְגַבֵּי שָׁמַיִם וְהָאָרֶץ דְסמא''ל וְנָחָשׁ, כִּי שָׁמַיִם כֶּעָשָׁן נִמְלָחוּ וְהָאָרֶץ כַּבֶּגֶד תִּבְלֶה </w:t>
      </w:r>
      <w:r>
        <w:rPr>
          <w:sz w:val="20"/>
          <w:szCs w:val="23"/>
          <w:rtl/>
        </w:rPr>
        <w:t>(ישעיה נא ו)</w:t>
      </w:r>
      <w:r>
        <w:rPr>
          <w:rtl/>
        </w:rPr>
        <w:t xml:space="preserve">, </w:t>
      </w:r>
      <w:r>
        <w:rPr>
          <w:rStyle w:val="a7"/>
          <w:b w:val="0"/>
          <w:bCs w:val="0"/>
          <w:rtl/>
        </w:rPr>
        <w:footnoteReference w:id="3805"/>
      </w:r>
      <w:r>
        <w:rPr>
          <w:rtl/>
        </w:rPr>
        <w:t xml:space="preserve">וּלְבָתַר דְּיִמְחֵי לוֹן וִישֵׁצֵי לְאִלֵּין מְמַנָּן דַּעֲלַיְיהוּ, מִיָּד יְחַדֵּשׁ לוֹן קוּדְשָׁא בְּרִיךְ הוּא לִשְׁמַיָּא וְאַרְעָא, דְיִתְמַחוּן בְּגִין אִלֵּין מְמַנָּן בִּישִׁין, הֲדָא הוּא דִכְתִיב </w:t>
      </w:r>
      <w:r>
        <w:rPr>
          <w:sz w:val="20"/>
          <w:szCs w:val="23"/>
          <w:rtl/>
        </w:rPr>
        <w:t>(שם סו כב)</w:t>
      </w:r>
      <w:r>
        <w:rPr>
          <w:rtl/>
        </w:rPr>
        <w:t xml:space="preserve"> כִּי כַאֲשֶׁר הַשָּׁמַיִם הַחֲדָשִׁים וְהָאָרֶץ הַחֲדָשָׁה אֲשֶׁר אֲנִי עֹשֶׂה וְגוֹמֵר, וְכֹלָּא בְּגִין דְּלָא יִשְׁתֵּצוּן עוֹבְדֵי יְדוֹי, דְּאִינוּן נִשְׁמָתִין וְגוּפִין דְּאִתְאֲבִידוּ מִתְּרֵין עָלְמִין, </w:t>
      </w:r>
      <w:r>
        <w:rPr>
          <w:rStyle w:val="a7"/>
          <w:b w:val="0"/>
          <w:bCs w:val="0"/>
          <w:rtl/>
        </w:rPr>
        <w:footnoteReference w:id="3806"/>
      </w:r>
      <w:r>
        <w:rPr>
          <w:rtl/>
        </w:rPr>
        <w:t>וְאִלֵּין עֲתִירִין דִּבְגָלוּתָא, בְּגִין דְּהַאי עָלְמָא אִיהוּ דִלְהוֹן.</w:t>
      </w:r>
    </w:p>
    <w:p w:rsidR="00B17EA9" w:rsidRDefault="00B17EA9" w:rsidP="00B17EA9">
      <w:pPr>
        <w:pStyle w:val="NormalWeb"/>
        <w:rPr>
          <w:rtl/>
        </w:rPr>
      </w:pPr>
      <w:r>
        <w:rPr>
          <w:rtl/>
        </w:rPr>
        <w:t xml:space="preserve">אֲבָל מִסְכְּנֵי דְאִינוּן צַדִּיקַיָּא, טוּבָא דִלְהוֹן לְאִינוּן עָלְמִין טָבִין, דִּי בְהוֹן אִתְבְּרִיאוּ תְּרֵי תּוֹרוֹת אוֹרַיְיתָא דְּבִכְתָב וְאוֹרַיְיתָא דִבְעַל פֶּה, דְאַגְרָא דִלְהוֹן תַּמָּן וּבְגִין דִּלְתַתָּא דְאֶרֶץ הַחַיִּים, תַּמָּן גּוּפִין לְנִשְׁמָתִין קַדִּישִׁין דְּאִתְבְּרִיאוּ בִּשְׁמָא דַיהו''ה, </w:t>
      </w:r>
      <w:r>
        <w:rPr>
          <w:rStyle w:val="a7"/>
          <w:b w:val="0"/>
          <w:bCs w:val="0"/>
          <w:rtl/>
        </w:rPr>
        <w:footnoteReference w:id="3807"/>
      </w:r>
      <w:r>
        <w:rPr>
          <w:rtl/>
        </w:rPr>
        <w:t xml:space="preserve">וְגוּפָא דְמֹשֶׁה דְאִתְּמַר בֵּיהּ </w:t>
      </w:r>
      <w:r>
        <w:rPr>
          <w:sz w:val="20"/>
          <w:szCs w:val="23"/>
          <w:rtl/>
        </w:rPr>
        <w:t>(דברים לד ז)</w:t>
      </w:r>
      <w:r>
        <w:rPr>
          <w:rtl/>
        </w:rPr>
        <w:t xml:space="preserve"> לֹא כָהֲתָה עִינוֹ וְלֹא נָס לֵחֹה מִתַּמָּן הֲוָה, וּבְגִינֵיהּ הֲוָה אִיהוּ בָעָא רַחֲמֵי דְלָא יְמוּת וְיִפּוּק מִנֵּיהּ, </w:t>
      </w:r>
      <w:r>
        <w:rPr>
          <w:rStyle w:val="a7"/>
          <w:b w:val="0"/>
          <w:bCs w:val="0"/>
          <w:rtl/>
        </w:rPr>
        <w:footnoteReference w:id="3808"/>
      </w:r>
      <w:r>
        <w:rPr>
          <w:rtl/>
        </w:rPr>
        <w:t xml:space="preserve">וְלָא עַל גּוּפָא דְּהַאי עָלְמָא דְאִתְקְרֵי סַנְדָּל לְגַבֵּיהּ, דַּעֲלֵיהּ אִתְּמַר לֵיהּ </w:t>
      </w:r>
      <w:r>
        <w:rPr>
          <w:sz w:val="20"/>
          <w:szCs w:val="23"/>
          <w:rtl/>
        </w:rPr>
        <w:t>(שמות ג ה)</w:t>
      </w:r>
      <w:r>
        <w:rPr>
          <w:rtl/>
        </w:rPr>
        <w:t xml:space="preserve"> שַׁל נְעָלֶיךָ מֵעַל רַגְלֶיךָ.</w:t>
      </w:r>
    </w:p>
    <w:p w:rsidR="00B17EA9" w:rsidRDefault="00B17EA9" w:rsidP="00B17EA9">
      <w:pPr>
        <w:pStyle w:val="NormalWeb"/>
        <w:rPr>
          <w:rtl/>
        </w:rPr>
      </w:pPr>
      <w:r>
        <w:rPr>
          <w:rStyle w:val="a7"/>
          <w:b w:val="0"/>
          <w:bCs w:val="0"/>
          <w:rtl/>
        </w:rPr>
        <w:footnoteReference w:id="3809"/>
      </w:r>
      <w:r>
        <w:rPr>
          <w:rtl/>
        </w:rPr>
        <w:t xml:space="preserve">וְאָדָם וְחֵיוָן וּבְעִירָן וְעוֹפִין דְּתַמָּן אִינוּן עוֹבָדָא דִבְּרֵאשִׁית, וְאִינוּן בְּדִיּוֹקְנָא עִלָּאָה דְּאִלֵּין דְּאִתְּמַר בְּהוֹן בְּמֶרְכַּבְתָּא </w:t>
      </w:r>
      <w:r>
        <w:rPr>
          <w:sz w:val="20"/>
          <w:szCs w:val="23"/>
          <w:rtl/>
        </w:rPr>
        <w:t>(יחזקאל א י)</w:t>
      </w:r>
      <w:r>
        <w:rPr>
          <w:rtl/>
        </w:rPr>
        <w:t xml:space="preserve"> וּדְמוּת פְּנֵיהֶם פְּנֵי אָדָם וְגוֹמֵר, דְּאִינוּן בְּעִירִין עִלָּאִין </w:t>
      </w:r>
      <w:r>
        <w:rPr>
          <w:rStyle w:val="a7"/>
          <w:b w:val="0"/>
          <w:bCs w:val="0"/>
          <w:rtl/>
        </w:rPr>
        <w:footnoteReference w:id="3810"/>
      </w:r>
      <w:r>
        <w:rPr>
          <w:rtl/>
        </w:rPr>
        <w:t xml:space="preserve">עֲלַיְיהוּ אִתְּמַר </w:t>
      </w:r>
      <w:r>
        <w:rPr>
          <w:sz w:val="20"/>
          <w:szCs w:val="23"/>
          <w:rtl/>
        </w:rPr>
        <w:t>(ישעיה סד ג)</w:t>
      </w:r>
      <w:r>
        <w:rPr>
          <w:rtl/>
        </w:rPr>
        <w:t xml:space="preserve"> יַעֲשֶׂה לִמְחַכֵּה לוֹ, וְתַמָּן עִץ חַיִּים דְּמָאן דְּאָכִיל מִנֵּיהּ אִתְּמַר בֵּיהּ </w:t>
      </w:r>
      <w:r>
        <w:rPr>
          <w:sz w:val="20"/>
          <w:szCs w:val="23"/>
          <w:rtl/>
        </w:rPr>
        <w:t>(בראשית ג יב)</w:t>
      </w:r>
      <w:r>
        <w:rPr>
          <w:rtl/>
        </w:rPr>
        <w:t xml:space="preserve"> וְאָכַל וָחַי לְעוֹלָם.</w:t>
      </w:r>
    </w:p>
    <w:p w:rsidR="00B17EA9" w:rsidRDefault="00B17EA9" w:rsidP="00B17EA9">
      <w:pPr>
        <w:pStyle w:val="NormalWeb"/>
        <w:rPr>
          <w:rtl/>
        </w:rPr>
      </w:pPr>
      <w:r>
        <w:rPr>
          <w:rtl/>
        </w:rPr>
        <w:t xml:space="preserve">וְתַמָּן כָּרְסְיָין דִּי דַּהֲבָא וְכַסְפָּא וְאַבְנִין יַקִּירִין, וְעַרְשִׂין דְּכַסְפָּא וְדַהֲבָא, וְרַמַ''ח פִּקּוּדִין דְּמַנִּי לוֹן מֹשֶׁה לְיִשְׂרָאֵל בְּהַאי עָלְמָא, </w:t>
      </w:r>
      <w:r>
        <w:rPr>
          <w:rStyle w:val="a7"/>
          <w:b w:val="0"/>
          <w:bCs w:val="0"/>
          <w:rtl/>
        </w:rPr>
        <w:footnoteReference w:id="3811"/>
      </w:r>
      <w:r>
        <w:rPr>
          <w:rtl/>
        </w:rPr>
        <w:t xml:space="preserve">לְדַכָּאָה רְמַ''ח אֵבָרִים דְהַהוּא גוּפָא, וְגוּפָא דְהַאי עָלְמָא שְׁפֵלָא אִיהוּ סַנְדָּל לְנִשְׁמָתָא, דְּאִתְטַנַּף </w:t>
      </w:r>
      <w:r>
        <w:rPr>
          <w:sz w:val="20"/>
          <w:szCs w:val="23"/>
          <w:rtl/>
        </w:rPr>
        <w:t>(נ''א ואתטנפת)</w:t>
      </w:r>
      <w:r>
        <w:rPr>
          <w:rtl/>
        </w:rPr>
        <w:t xml:space="preserve"> בְּזוּהֲמָא דְהַאי עָלְמָא. </w:t>
      </w:r>
    </w:p>
    <w:p w:rsidR="00B17EA9" w:rsidRDefault="00B17EA9" w:rsidP="00B17EA9">
      <w:pPr>
        <w:pStyle w:val="NormalWeb"/>
        <w:rPr>
          <w:rtl/>
        </w:rPr>
      </w:pPr>
    </w:p>
    <w:p w:rsidR="00B17EA9" w:rsidRDefault="00B17EA9" w:rsidP="00B17EA9">
      <w:pPr>
        <w:pStyle w:val="1"/>
        <w:rPr>
          <w:rtl/>
        </w:rPr>
      </w:pPr>
      <w:bookmarkStart w:id="237" w:name="_Toc228091310"/>
      <w:bookmarkStart w:id="238" w:name="_Toc231637949"/>
      <w:r>
        <w:rPr>
          <w:rtl/>
        </w:rPr>
        <w:t>תקונא תלתין ותרין</w:t>
      </w:r>
      <w:bookmarkEnd w:id="237"/>
      <w:bookmarkEnd w:id="238"/>
    </w:p>
    <w:p w:rsidR="00B17EA9" w:rsidRDefault="00B17EA9" w:rsidP="00B17EA9">
      <w:pPr>
        <w:pStyle w:val="NormalWeb"/>
        <w:rPr>
          <w:rtl/>
        </w:rPr>
      </w:pPr>
      <w:r>
        <w:rPr>
          <w:rStyle w:val="a7"/>
          <w:b w:val="0"/>
          <w:bCs w:val="0"/>
          <w:rtl/>
        </w:rPr>
        <w:footnoteReference w:id="3812"/>
      </w:r>
      <w:r>
        <w:rPr>
          <w:rtl/>
        </w:rPr>
        <w:t xml:space="preserve">הָא </w:t>
      </w:r>
      <w:r>
        <w:rPr>
          <w:rStyle w:val="a7"/>
          <w:b w:val="0"/>
          <w:bCs w:val="0"/>
          <w:rtl/>
        </w:rPr>
        <w:footnoteReference w:id="3813"/>
      </w:r>
      <w:r>
        <w:rPr>
          <w:rtl/>
        </w:rPr>
        <w:t xml:space="preserve">הָכָא עֶשְׂרִים וּתְמַנְיָא זִמְנִין דְּאִתְפַּרַשׁ בְּרֵאשִׁית, וַעֲשַׂר אֲמִירָן, וּתְלָתִין וּתְרֵין שְׁבִילִין - הָא שַׁבְעִין, וְצָרִיךְ לְפָרְשָׁא לוֹן. </w:t>
      </w:r>
    </w:p>
    <w:p w:rsidR="00B17EA9" w:rsidRDefault="00B17EA9" w:rsidP="00C62482">
      <w:pPr>
        <w:pStyle w:val="NormalWeb"/>
        <w:rPr>
          <w:rtl/>
        </w:rPr>
      </w:pPr>
      <w:r>
        <w:rPr>
          <w:rStyle w:val="a7"/>
          <w:rtl/>
        </w:rPr>
        <w:footnoteReference w:id="3814"/>
      </w:r>
      <w:r>
        <w:rPr>
          <w:rtl/>
        </w:rPr>
        <w:t xml:space="preserve">פָּתַח וְאָמַר בְּרֵאשִׁית </w:t>
      </w:r>
      <w:r>
        <w:rPr>
          <w:rStyle w:val="a7"/>
          <w:rtl/>
        </w:rPr>
        <w:footnoteReference w:id="3815"/>
      </w:r>
      <w:r>
        <w:rPr>
          <w:rtl/>
        </w:rPr>
        <w:t xml:space="preserve">מַאֲמַר קַדְמָאָה לְכֹלָּא, וְאִיהוּ כְּלִיל תְּרֵין דִּבּוּרִין אָנֹכִי וְלֹא יִהְיֶה לְךָ </w:t>
      </w:r>
      <w:r>
        <w:rPr>
          <w:szCs w:val="23"/>
          <w:rtl/>
        </w:rPr>
        <w:t>(שמות כ ב)</w:t>
      </w:r>
      <w:r>
        <w:rPr>
          <w:rtl/>
        </w:rPr>
        <w:t xml:space="preserve"> דְאִתְּמְרוּ בְּדִבּוּרָא חֲדָא, </w:t>
      </w:r>
      <w:r>
        <w:rPr>
          <w:rStyle w:val="a7"/>
          <w:rtl/>
        </w:rPr>
        <w:footnoteReference w:id="3816"/>
      </w:r>
      <w:r>
        <w:rPr>
          <w:rtl/>
        </w:rPr>
        <w:t>וְתַרְוַיְיהוּ ב', א' אָנֹכִי, ב' לֹא יִהְיֶה לְךָ, וְכֹלָּא אָת חָד, וְאִיהִי ב' מִבְּרֵאשִׁית.</w:t>
      </w:r>
    </w:p>
    <w:p w:rsidR="00B17EA9" w:rsidRDefault="00B17EA9" w:rsidP="00B17EA9">
      <w:pPr>
        <w:spacing w:after="40" w:line="360" w:lineRule="atLeast"/>
        <w:ind w:left="144" w:right="144" w:firstLine="288"/>
        <w:jc w:val="both"/>
        <w:rPr>
          <w:rFonts w:ascii="Arial"/>
          <w:b/>
          <w:szCs w:val="23"/>
          <w:rtl/>
        </w:rPr>
      </w:pPr>
      <w:r>
        <w:rPr>
          <w:rtl/>
        </w:rPr>
        <w:t xml:space="preserve">[תיקוני זוהר - דף עט ע''ב] </w:t>
      </w:r>
    </w:p>
    <w:p w:rsidR="00B17EA9" w:rsidRDefault="00B17EA9" w:rsidP="00B17EA9">
      <w:pPr>
        <w:pStyle w:val="NormalWeb"/>
        <w:rPr>
          <w:rtl/>
        </w:rPr>
      </w:pPr>
      <w:r>
        <w:rPr>
          <w:rStyle w:val="a7"/>
          <w:b w:val="0"/>
          <w:bCs w:val="0"/>
          <w:rtl/>
        </w:rPr>
        <w:footnoteReference w:id="3817"/>
      </w:r>
      <w:r>
        <w:rPr>
          <w:rtl/>
        </w:rPr>
        <w:t xml:space="preserve">אָמַר רַבִּי אֶלְעָזָר, וְכִי מָאן דְּאִית לֵיהּ עַבְדָּא וְאַפִּיק לֵיהּ לְחֵירוּ מִשִּׁעְבּוּדֵיהּ, אִית לֵיהּ לְרִבּוֹנֵיהּ לְשַׁבְּחָא גַרְמֵיהּ בְּמַפְּקָנוּתָא לְחֵירוּ לְעַבְדֵּיהּ, וְכִי קוּדְשָׁא בְּרִיךְ הוּא דְּאָמַר לְאַבְרָהָם </w:t>
      </w:r>
      <w:r>
        <w:rPr>
          <w:sz w:val="20"/>
          <w:szCs w:val="23"/>
          <w:rtl/>
        </w:rPr>
        <w:t>(בראשית טו יג)</w:t>
      </w:r>
      <w:r>
        <w:rPr>
          <w:rtl/>
        </w:rPr>
        <w:t xml:space="preserve"> כִּי גֵר יִהְיֶה זַרְעֲךָ וכו' אִית לְשַׁבְּחָא גַרְמֵיהּ כַּמָּה זִמְנִין אֲשֶׁר הוֹצֵאתִיךָ מֵאֶרֶץ מִצְרַיִם </w:t>
      </w:r>
      <w:r>
        <w:rPr>
          <w:sz w:val="20"/>
          <w:szCs w:val="23"/>
          <w:rtl/>
        </w:rPr>
        <w:t>(שמות כ ג)</w:t>
      </w:r>
      <w:r>
        <w:rPr>
          <w:rtl/>
        </w:rPr>
        <w:t xml:space="preserve">, אָמַר לֵיהּ </w:t>
      </w:r>
      <w:r>
        <w:rPr>
          <w:sz w:val="20"/>
          <w:szCs w:val="23"/>
          <w:rtl/>
        </w:rPr>
        <w:t xml:space="preserve">(דף עט ע''ב) </w:t>
      </w:r>
      <w:r>
        <w:rPr>
          <w:rtl/>
        </w:rPr>
        <w:t xml:space="preserve">רַבִּי שִׁמְעוֹן הָכִי הוּא וַדַּאי, אֲבָל הָכָא לָא מְשַׁבַּח קוּדְשָׁא בְּרִיךְ הוּא גַרְמֵיהּ דְּאַפִּיק לוֹן מִן גָלוּתָא, </w:t>
      </w:r>
      <w:r>
        <w:rPr>
          <w:rStyle w:val="a7"/>
          <w:b w:val="0"/>
          <w:bCs w:val="0"/>
          <w:rtl/>
        </w:rPr>
        <w:footnoteReference w:id="3818"/>
      </w:r>
      <w:r>
        <w:rPr>
          <w:rtl/>
        </w:rPr>
        <w:t xml:space="preserve">אֶלָּא חַמְשִׁין זִמְנִין אַדְכִּיר בְּאוֹרַיְיתָא יְצִיאַת מִצְרַיִם, לְאִשְׁתְּמוֹדְעָא בְּדַרְגָּא דְאַפִּיק לוֹן דְּאִיהוּ יוֹבְלָא, דְאִתְּמַר בֵּיהּ </w:t>
      </w:r>
      <w:r>
        <w:rPr>
          <w:sz w:val="20"/>
          <w:szCs w:val="23"/>
          <w:rtl/>
        </w:rPr>
        <w:t>(ויקרא כה יא)</w:t>
      </w:r>
      <w:r>
        <w:rPr>
          <w:rtl/>
        </w:rPr>
        <w:t xml:space="preserve"> יוֹבֵל הִיא </w:t>
      </w:r>
      <w:r>
        <w:rPr>
          <w:rStyle w:val="a7"/>
          <w:b w:val="0"/>
          <w:bCs w:val="0"/>
          <w:rtl/>
        </w:rPr>
        <w:footnoteReference w:id="3819"/>
      </w:r>
      <w:r>
        <w:rPr>
          <w:rtl/>
        </w:rPr>
        <w:t>שְׁנַת הַחֲמִשִּׁים שָׁנָה, וְאִינוּן חַמְשִׁין תַּרְעִין דְּבִינָה דְּאִתְמַסְרוּ לְמֹשֶׁה בְּסִינַי בַּר חַד דְּלָא אִתְמַסַּר לֵיהּ, וּבְגִין דָּא אַדְכִּיר חַמְשִׁין זִמְנִין בְּאוֹרַיְיתָא יְצִיאַת מִצְרָיִם. אָמַר הָא וַדַּאי אִתְיַשֵּׁב דַעְתָּאִי.</w:t>
      </w:r>
    </w:p>
    <w:p w:rsidR="00B17EA9" w:rsidRDefault="00B17EA9" w:rsidP="00B17EA9">
      <w:pPr>
        <w:pStyle w:val="NormalWeb"/>
        <w:rPr>
          <w:rtl/>
        </w:rPr>
      </w:pPr>
      <w:r>
        <w:rPr>
          <w:rtl/>
        </w:rPr>
        <w:t xml:space="preserve">מָאן אֱלֹהִים אֲחֵרִים, </w:t>
      </w:r>
      <w:r>
        <w:rPr>
          <w:rStyle w:val="a7"/>
          <w:b w:val="0"/>
          <w:bCs w:val="0"/>
          <w:rtl/>
        </w:rPr>
        <w:footnoteReference w:id="3820"/>
      </w:r>
      <w:r>
        <w:rPr>
          <w:rtl/>
        </w:rPr>
        <w:t xml:space="preserve">אִלֵּין מְמַנָּן דְּשַׁבְעִין אוּמִין דְּפַלְחֵי כּוֹכְבַיָא, וְסמא''ל וְנָחָ''שׁ הָא ע''ב, בְּגִין דָּא יְהִיב קוּדְשָׁא בְּרִיךְ הוּא אוֹרַיְיתָא מִימִינָא דְאִיהִי חֶסֶד וּמִשְּׂמָאלָא דְאִיהִי גְבוּרָה, וְאִית בָּהּ שַׁבְעִין אַנְפִּין לְשֵׁזָבָא מִשַּׁבְעִין אוּמִין, </w:t>
      </w:r>
      <w:r>
        <w:rPr>
          <w:rStyle w:val="a7"/>
          <w:b w:val="0"/>
          <w:bCs w:val="0"/>
          <w:rtl/>
        </w:rPr>
        <w:footnoteReference w:id="3821"/>
      </w:r>
      <w:r>
        <w:rPr>
          <w:rtl/>
        </w:rPr>
        <w:t xml:space="preserve">וְאוֹרַיְיתָא אִתְיְיהִיבַת מִמַּיָּא וְאֶשָּׁא דְאִינוּן תְּרֵין, לְשֵׁזָבָא לְיִשְׂרָאֵל מִסמא''ל וְנָחָשׁ דְּאִינוּן מִמַּיָּא וְאֶשָּׁא, </w:t>
      </w:r>
      <w:r>
        <w:rPr>
          <w:rStyle w:val="a7"/>
          <w:b w:val="0"/>
          <w:bCs w:val="0"/>
          <w:rtl/>
        </w:rPr>
        <w:footnoteReference w:id="3822"/>
      </w:r>
      <w:r>
        <w:rPr>
          <w:rtl/>
        </w:rPr>
        <w:t xml:space="preserve">וּבְגִינַיְיהוּ אִתְּמַר </w:t>
      </w:r>
      <w:r>
        <w:rPr>
          <w:sz w:val="20"/>
          <w:szCs w:val="23"/>
          <w:rtl/>
        </w:rPr>
        <w:t>(שמות כ ג)</w:t>
      </w:r>
      <w:r>
        <w:rPr>
          <w:rtl/>
        </w:rPr>
        <w:t xml:space="preserve"> לֹא יִהְיֶה לְךָ אֱלֹהִים אֲחֵרִים עַל פָּנָי, וְלָקֳבֵל שַׁבְעִין אוּמִין שַׁבְעִין נֶפֶשׁ, </w:t>
      </w:r>
      <w:r>
        <w:rPr>
          <w:rStyle w:val="a7"/>
          <w:b w:val="0"/>
          <w:bCs w:val="0"/>
          <w:rtl/>
        </w:rPr>
        <w:footnoteReference w:id="3823"/>
      </w:r>
      <w:r>
        <w:rPr>
          <w:rtl/>
        </w:rPr>
        <w:t xml:space="preserve">וּמָאן דְּעָבַר עַל שַׁבְעִין אַנְפִּין דְּאוֹרַיְיתָא דְּאִתְּמַר לֹא יִהְיֶה לְךָ אֱלֹהִים אֲחֵרִים עַל פָּנָי, שָׁלְטִין שַׁבְעִין מְמַנָּן וְאוּמִין דְּיֵצֶר הָרָע </w:t>
      </w:r>
      <w:r>
        <w:rPr>
          <w:rStyle w:val="a7"/>
          <w:b w:val="0"/>
          <w:bCs w:val="0"/>
          <w:rtl/>
        </w:rPr>
        <w:footnoteReference w:id="3824"/>
      </w:r>
      <w:r>
        <w:rPr>
          <w:rtl/>
        </w:rPr>
        <w:t>עַל שַׁבְעִין נֶפֶשׁ.</w:t>
      </w:r>
    </w:p>
    <w:p w:rsidR="00B17EA9" w:rsidRDefault="00B17EA9" w:rsidP="00B17EA9">
      <w:pPr>
        <w:pStyle w:val="NormalWeb"/>
        <w:rPr>
          <w:rtl/>
        </w:rPr>
      </w:pPr>
      <w:r>
        <w:rPr>
          <w:rStyle w:val="a7"/>
          <w:b w:val="0"/>
          <w:bCs w:val="0"/>
          <w:rtl/>
        </w:rPr>
        <w:footnoteReference w:id="3825"/>
      </w:r>
      <w:r>
        <w:rPr>
          <w:rtl/>
        </w:rPr>
        <w:t xml:space="preserve">וְכַמָּה </w:t>
      </w:r>
      <w:r>
        <w:rPr>
          <w:rStyle w:val="a7"/>
          <w:b w:val="0"/>
          <w:bCs w:val="0"/>
          <w:rtl/>
        </w:rPr>
        <w:footnoteReference w:id="3826"/>
      </w:r>
      <w:r>
        <w:rPr>
          <w:rtl/>
        </w:rPr>
        <w:t xml:space="preserve">גִלְגּוּלִין יֵתוּן לְבַר נַשׁ עַל חוֹבִין אִלֵּין, וְאִם לָא חָזַר בַּר נַשׁ בִּתְיוּבְתָּא בְּאִלֵּין גִּלְגּוּלִין, הַהוּא גוּפָא נָחִית בַּאֲבַדּוֹן, גִּלְגּוּלָא קַדְמָאָה אִצְטַבַּע בְּגַוָּון חִוָּור, וְרָכִיב נַפְשָׁא בְסוּסְיָא חִוְורָא דְאִיהוּ גוּפָא, אִם חָזַר בִּתְיוּבְתָּא אִתְּמַר בֵּיהּ </w:t>
      </w:r>
      <w:r>
        <w:rPr>
          <w:sz w:val="20"/>
          <w:szCs w:val="23"/>
          <w:rtl/>
        </w:rPr>
        <w:t>(ישעיה א יח)</w:t>
      </w:r>
      <w:r>
        <w:rPr>
          <w:rtl/>
        </w:rPr>
        <w:t xml:space="preserve"> אִם יִהְיוּ חֲטָאֵיכֶם כַּשָּׁנִים כַּשֶּׁלֶג יַלְבִּינוּ, וְאִם לַאו יֵתֵי בְגִלְגּוּלָא תִּנְיָינָא, וְרָכִיב בְּסוּסְיָא סוּמְקָא, וְאִם חָזַר בִּתְיוּבְתָּא אִתְּמַר בְּחוֹבָא דִילֵיהּ </w:t>
      </w:r>
      <w:r>
        <w:rPr>
          <w:sz w:val="20"/>
          <w:szCs w:val="23"/>
          <w:rtl/>
        </w:rPr>
        <w:t>(שם)</w:t>
      </w:r>
      <w:r>
        <w:rPr>
          <w:rtl/>
        </w:rPr>
        <w:t xml:space="preserve"> אִם יַאְדִּימוּ כַתּוֹלָע כַּצֶּמֶר יִהְיוּ, וְאִם לָא, אִתְחַזַּר אִתְגַּלְגַּל בְּגִלְגּוּלָא תְּלִיתָאָה, וְרָכִיב בְּסוּסְיָא יְרוֹקָא וְדָא גּוּפָא.</w:t>
      </w:r>
    </w:p>
    <w:p w:rsidR="00B17EA9" w:rsidRDefault="00B17EA9" w:rsidP="00B17EA9">
      <w:pPr>
        <w:pStyle w:val="NormalWeb"/>
        <w:rPr>
          <w:rtl/>
        </w:rPr>
      </w:pPr>
      <w:r>
        <w:rPr>
          <w:rStyle w:val="a7"/>
          <w:b w:val="0"/>
          <w:bCs w:val="0"/>
          <w:rtl/>
        </w:rPr>
        <w:footnoteReference w:id="3827"/>
      </w:r>
      <w:r>
        <w:rPr>
          <w:rtl/>
        </w:rPr>
        <w:t xml:space="preserve">וְאִינוּן מַזָּל אַרְיֵה מַזָּל שׁוֹר מַזָּל נֶשֶׁר, דַּעֲלַיְיהוּ אִתְּמַר </w:t>
      </w:r>
      <w:r>
        <w:rPr>
          <w:sz w:val="20"/>
          <w:szCs w:val="23"/>
          <w:rtl/>
        </w:rPr>
        <w:t>(איוב לג כט)</w:t>
      </w:r>
      <w:r>
        <w:rPr>
          <w:rtl/>
        </w:rPr>
        <w:t xml:space="preserve"> הֶן כָּל אֵלֶּה יִפְעַל אֵ''ל פַּעֲמַיִם שָׁלֹשׁ עִם גָּבֶר, וְאִם שְׁלָשׁ אֵלֶּה לֹא יַעֲשֶׂה לָהּ </w:t>
      </w:r>
      <w:r>
        <w:rPr>
          <w:sz w:val="20"/>
          <w:szCs w:val="23"/>
          <w:rtl/>
        </w:rPr>
        <w:t>(שמות כא יא)</w:t>
      </w:r>
      <w:r>
        <w:rPr>
          <w:rtl/>
        </w:rPr>
        <w:t xml:space="preserve"> לְנַפְשָׁא בִּתְלַת גִּלְגּוּלִין, דְּעָבִיד לָהּ שְׁאֵר כְּסוּת וְעוֹנָה, וְיָצְאָה חִנָּם </w:t>
      </w:r>
      <w:r>
        <w:rPr>
          <w:rStyle w:val="a7"/>
          <w:b w:val="0"/>
          <w:bCs w:val="0"/>
          <w:rtl/>
        </w:rPr>
        <w:footnoteReference w:id="3828"/>
      </w:r>
      <w:r>
        <w:rPr>
          <w:rtl/>
        </w:rPr>
        <w:t xml:space="preserve">אֵין כָּסֶף </w:t>
      </w:r>
      <w:r>
        <w:rPr>
          <w:sz w:val="20"/>
          <w:szCs w:val="23"/>
          <w:rtl/>
        </w:rPr>
        <w:t>(שם)</w:t>
      </w:r>
      <w:r>
        <w:rPr>
          <w:rtl/>
        </w:rPr>
        <w:t xml:space="preserve">, וְעַל שְׁלֹשָׁה פִּשְׁעִי יִשְׂרָאֵל וְעַל אַרְבָּעָה לֹא אֲשִׁיבֶנּוּ </w:t>
      </w:r>
      <w:r>
        <w:rPr>
          <w:sz w:val="20"/>
          <w:szCs w:val="23"/>
          <w:rtl/>
        </w:rPr>
        <w:t>(עמוס ב א)</w:t>
      </w:r>
      <w:r>
        <w:rPr>
          <w:rtl/>
        </w:rPr>
        <w:t xml:space="preserve">, וְעַל אַרְבָּעָה דְאִיהוּ מַזָּל אָדָם לֹא אֲשִׁיבֶנּוּ, </w:t>
      </w:r>
      <w:r>
        <w:rPr>
          <w:rStyle w:val="a7"/>
          <w:b w:val="0"/>
          <w:bCs w:val="0"/>
          <w:rtl/>
        </w:rPr>
        <w:footnoteReference w:id="3829"/>
      </w:r>
      <w:r>
        <w:rPr>
          <w:rtl/>
        </w:rPr>
        <w:t>דְּלָא יְקַלְקְל לְצַדִּיקַיָּא.</w:t>
      </w:r>
    </w:p>
    <w:p w:rsidR="00B17EA9" w:rsidRDefault="00B17EA9" w:rsidP="00B17EA9">
      <w:pPr>
        <w:pStyle w:val="NormalWeb"/>
        <w:rPr>
          <w:rtl/>
        </w:rPr>
      </w:pPr>
      <w:r>
        <w:rPr>
          <w:rtl/>
        </w:rPr>
        <w:t xml:space="preserve">וְעֹשֶׂה חֶסֶד לַאֲלָפִים </w:t>
      </w:r>
      <w:r>
        <w:rPr>
          <w:sz w:val="20"/>
          <w:szCs w:val="23"/>
          <w:rtl/>
        </w:rPr>
        <w:t>(שמות כ ה)</w:t>
      </w:r>
      <w:r>
        <w:rPr>
          <w:rtl/>
        </w:rPr>
        <w:t xml:space="preserve">, </w:t>
      </w:r>
      <w:r>
        <w:rPr>
          <w:rStyle w:val="a7"/>
          <w:b w:val="0"/>
          <w:bCs w:val="0"/>
          <w:rtl/>
        </w:rPr>
        <w:footnoteReference w:id="3830"/>
      </w:r>
      <w:r>
        <w:rPr>
          <w:rtl/>
        </w:rPr>
        <w:t xml:space="preserve">אֲלָפִים וַדַּאי, תְּלַת גִּלְגּוּלִין בְּהוֹן אִיהוּ רָוַוח תְּלַת אַלְפִּין </w:t>
      </w:r>
      <w:r>
        <w:rPr>
          <w:rStyle w:val="a7"/>
          <w:b w:val="0"/>
          <w:bCs w:val="0"/>
          <w:rtl/>
        </w:rPr>
        <w:footnoteReference w:id="3831"/>
      </w:r>
      <w:r>
        <w:rPr>
          <w:rtl/>
        </w:rPr>
        <w:t xml:space="preserve">דְּאִינוּן עָלְמִין דִּכְסוּפִין, </w:t>
      </w:r>
      <w:r>
        <w:rPr>
          <w:rStyle w:val="a7"/>
          <w:b w:val="0"/>
          <w:bCs w:val="0"/>
          <w:rtl/>
        </w:rPr>
        <w:footnoteReference w:id="3832"/>
      </w:r>
      <w:r>
        <w:rPr>
          <w:rtl/>
        </w:rPr>
        <w:t xml:space="preserve">וּלְמָאן לְאֹהֲבָיו וּלְשֹׁמְרֵי מִצְוֹתָיו </w:t>
      </w:r>
      <w:r>
        <w:rPr>
          <w:sz w:val="20"/>
          <w:szCs w:val="23"/>
          <w:rtl/>
        </w:rPr>
        <w:t>(שם ו)</w:t>
      </w:r>
      <w:r>
        <w:rPr>
          <w:rtl/>
        </w:rPr>
        <w:t xml:space="preserve">, לְחַיָּיבַיָּא דְּאִינְהוּ לָא יַחְזְרוּן בִּתְיוּבְתָּא </w:t>
      </w:r>
      <w:r>
        <w:rPr>
          <w:rStyle w:val="a7"/>
          <w:b w:val="0"/>
          <w:bCs w:val="0"/>
          <w:rtl/>
        </w:rPr>
        <w:footnoteReference w:id="3833"/>
      </w:r>
      <w:r>
        <w:rPr>
          <w:rtl/>
        </w:rPr>
        <w:t xml:space="preserve">בִּתְלַת גִּלְגּוּלִין אִלֵּין, אִתְּמַר בְּהוֹן </w:t>
      </w:r>
      <w:r>
        <w:rPr>
          <w:sz w:val="20"/>
          <w:szCs w:val="23"/>
          <w:rtl/>
        </w:rPr>
        <w:t>(ויקרא כג לא)</w:t>
      </w:r>
      <w:r>
        <w:rPr>
          <w:rtl/>
        </w:rPr>
        <w:t xml:space="preserve"> </w:t>
      </w:r>
      <w:r>
        <w:rPr>
          <w:rStyle w:val="a7"/>
          <w:b w:val="0"/>
          <w:bCs w:val="0"/>
          <w:rtl/>
        </w:rPr>
        <w:footnoteReference w:id="3834"/>
      </w:r>
      <w:r>
        <w:rPr>
          <w:rtl/>
        </w:rPr>
        <w:t>וְהַאֲבַדְתִּי אֶת הַנֶּפֶשׁ הַהִיא מִקֶּרֶב עַמָּהּ, אָמַר רַבִּי אִם כֵּן אָנָה נָחִית, אֶלָּא שֶׁבַע אַרְעִין אִינוּן, וְסָלְקִין לְשַׁבְעִין לָקֳבֵל שִׁבְעִים נֶפֶשׁ, וְשֶׁבַע אַרְעִין אִינוּן אֶרֶץ אֲדָמָה אַרְקָא גֵּיא צִיָּה נְשִׁיָּה תֵּבֵל, וְאִינוּן שֶׁבַע מְדוֹרִין דְּגֵיהִנָּם, הַהִיא נַפְשָׁא דְלָא חָזְרָה בִּתְיוּבְתָּא בְּאִלֵּין תְּלַת, נָחִית לָהּ קוּדְשָׁא בְּרִיךְ הוּא בְּמָדוֹרִין דְּגֵיהִנָּם אִלֵּין, וְתַמָּן אִתְנַשֵּׁי לְדָרֵי דָרִין.</w:t>
      </w:r>
    </w:p>
    <w:p w:rsidR="00B17EA9" w:rsidRDefault="00B17EA9" w:rsidP="00B17EA9">
      <w:pPr>
        <w:pStyle w:val="NormalWeb"/>
        <w:rPr>
          <w:rtl/>
        </w:rPr>
      </w:pPr>
      <w:r>
        <w:rPr>
          <w:rtl/>
        </w:rPr>
        <w:t xml:space="preserve">וְאִם הוּא צַדִּיק אִתְּמַר בֵּיהּ </w:t>
      </w:r>
      <w:r>
        <w:rPr>
          <w:sz w:val="20"/>
          <w:szCs w:val="23"/>
          <w:rtl/>
        </w:rPr>
        <w:t>(משלי כד טז)</w:t>
      </w:r>
      <w:r>
        <w:rPr>
          <w:rtl/>
        </w:rPr>
        <w:t xml:space="preserve"> כִּי שֶׁבַע יִפּוֹל צַדִּיק וָקָם, אָמַר לֵיהּ רַבִּי אֶלְעָזָר, וְאִם הוּא צַדִּיק אַמַּאי נָחִית תַּמָּן, </w:t>
      </w:r>
      <w:r>
        <w:rPr>
          <w:rStyle w:val="a7"/>
          <w:b w:val="0"/>
          <w:bCs w:val="0"/>
          <w:rtl/>
        </w:rPr>
        <w:footnoteReference w:id="3835"/>
      </w:r>
      <w:r>
        <w:rPr>
          <w:rtl/>
        </w:rPr>
        <w:t xml:space="preserve">אֶלָּא בְּגִין לְאַפָּקָא </w:t>
      </w:r>
      <w:r>
        <w:rPr>
          <w:rStyle w:val="a7"/>
          <w:b w:val="0"/>
          <w:bCs w:val="0"/>
          <w:rtl/>
        </w:rPr>
        <w:footnoteReference w:id="3836"/>
      </w:r>
      <w:r>
        <w:rPr>
          <w:rtl/>
        </w:rPr>
        <w:t>מִתַּמָּן כָּל נַפְשָׁא וְנַפְשָׁא מֵאִלֵּין דְּהִרְהֲרוּ בִתְיוּבְתָּא וּמֵתוּ בְקַצְרוּת שְׁנִין, וְאִיהוּ טָרַח בְּגִינֵיהּ, דָּא אִיהוּ מַאֲמַר קַדְמָאָה דְאִיהוּ בְרֵאשִׁית.</w:t>
      </w:r>
    </w:p>
    <w:p w:rsidR="00B17EA9" w:rsidRDefault="00B17EA9" w:rsidP="00B17EA9">
      <w:pPr>
        <w:pStyle w:val="a8"/>
        <w:spacing w:before="0" w:after="40"/>
        <w:rPr>
          <w:rtl/>
        </w:rPr>
      </w:pPr>
      <w:bookmarkStart w:id="239" w:name="_Toc228091311"/>
      <w:bookmarkStart w:id="240" w:name="_Toc231637950"/>
    </w:p>
    <w:p w:rsidR="00B17EA9" w:rsidRDefault="00B17EA9" w:rsidP="00B17EA9">
      <w:pPr>
        <w:pStyle w:val="1"/>
        <w:rPr>
          <w:sz w:val="39"/>
          <w:szCs w:val="39"/>
          <w:rtl/>
        </w:rPr>
      </w:pPr>
      <w:r>
        <w:rPr>
          <w:rtl/>
        </w:rPr>
        <w:t>תקונא תלתין ותלת</w:t>
      </w:r>
      <w:bookmarkEnd w:id="239"/>
      <w:bookmarkEnd w:id="240"/>
    </w:p>
    <w:p w:rsidR="00B17EA9" w:rsidRDefault="00B17EA9" w:rsidP="00B17EA9">
      <w:pPr>
        <w:spacing w:after="40" w:line="360" w:lineRule="atLeast"/>
        <w:ind w:left="144" w:right="144" w:firstLine="288"/>
        <w:jc w:val="both"/>
        <w:rPr>
          <w:rFonts w:ascii="Arial"/>
          <w:b/>
          <w:szCs w:val="23"/>
          <w:rtl/>
        </w:rPr>
      </w:pPr>
      <w:r>
        <w:rPr>
          <w:rtl/>
        </w:rPr>
        <w:t xml:space="preserve">[תיקוני זוהר - דף פ ע''א] </w:t>
      </w:r>
    </w:p>
    <w:p w:rsidR="00B17EA9" w:rsidRDefault="00B17EA9" w:rsidP="00B17EA9">
      <w:pPr>
        <w:pStyle w:val="NormalWeb"/>
        <w:rPr>
          <w:rtl/>
        </w:rPr>
      </w:pPr>
      <w:r>
        <w:rPr>
          <w:rStyle w:val="a7"/>
          <w:b w:val="0"/>
          <w:bCs w:val="0"/>
          <w:rtl/>
        </w:rPr>
        <w:footnoteReference w:id="3837"/>
      </w:r>
      <w:r>
        <w:rPr>
          <w:rtl/>
        </w:rPr>
        <w:t xml:space="preserve">בְּרֵאשִׁית דָּא פִּקוּדָא קַדְמָאָה, דְאִתְרְמִיז בְּל''ב שְׁבִילִין, דְּאִינוּן ל''ב אלהי''ם דְּעוֹבָדָא דִבְּרֵאשִׁית, כ''ב אַתְוָון </w:t>
      </w:r>
      <w:r>
        <w:rPr>
          <w:rStyle w:val="a7"/>
          <w:b w:val="0"/>
          <w:bCs w:val="0"/>
          <w:rtl/>
        </w:rPr>
        <w:footnoteReference w:id="3838"/>
      </w:r>
      <w:r>
        <w:rPr>
          <w:rtl/>
        </w:rPr>
        <w:t xml:space="preserve">וַעֲשַׂר אֲמִירָן דְּאִתְכְּלִילָן בְּהוּ, תִּקּוּנָא קַדְמָאָה יִרְאָה, וַעֲלָהּ אִתְּמַר </w:t>
      </w:r>
      <w:r>
        <w:rPr>
          <w:sz w:val="20"/>
          <w:szCs w:val="23"/>
          <w:rtl/>
        </w:rPr>
        <w:t>(תהלים קיא י)</w:t>
      </w:r>
      <w:r>
        <w:rPr>
          <w:rtl/>
        </w:rPr>
        <w:t xml:space="preserve"> רֵאשִׁית חָכְמָה יִרְאַת יהו''ה, </w:t>
      </w:r>
      <w:r>
        <w:rPr>
          <w:rStyle w:val="a7"/>
          <w:b w:val="0"/>
          <w:bCs w:val="0"/>
          <w:rtl/>
        </w:rPr>
        <w:footnoteReference w:id="3839"/>
      </w:r>
      <w:r>
        <w:rPr>
          <w:rtl/>
        </w:rPr>
        <w:t xml:space="preserve">דְאִית דְּחִילוּ וְאִית דְּחִילוּ, יִרְאַת יהו''ה דָא שְׁכִינְתָּא מַלְכוּת קַדִּישָׁא, </w:t>
      </w:r>
      <w:r>
        <w:rPr>
          <w:rStyle w:val="a7"/>
          <w:b w:val="0"/>
          <w:bCs w:val="0"/>
          <w:rtl/>
        </w:rPr>
        <w:footnoteReference w:id="3840"/>
      </w:r>
      <w:r>
        <w:rPr>
          <w:rtl/>
        </w:rPr>
        <w:t xml:space="preserve">יִרְאָה רָעָה דָּא רְצוּעָה לְאַלְקָאָה לְחַיָּיבַיָּא, </w:t>
      </w:r>
      <w:r>
        <w:rPr>
          <w:sz w:val="20"/>
          <w:szCs w:val="23"/>
          <w:rtl/>
        </w:rPr>
        <w:t xml:space="preserve">(דף פ ע''א) </w:t>
      </w:r>
      <w:r>
        <w:rPr>
          <w:rtl/>
        </w:rPr>
        <w:t>וּמַאי נִיהוּ סַם הַמָּוְת דְּסמא''ל, נוּקְבָא דִילֵיהּ, יִרְאַת יהו''ה אִיהִי אַגְרָא לְמָאן דְּנָטִיר פִּקּוּדִין דְּלֹא תַעֲשֶׂה, יִרְאָה רָעָה אִיהִי רְצוּעָה לְאַלְקָאָה לְמָאן דְּאַעֲבַר עֲלַיְיהוּ.</w:t>
      </w:r>
    </w:p>
    <w:p w:rsidR="00B17EA9" w:rsidRDefault="00B17EA9" w:rsidP="00B17EA9">
      <w:pPr>
        <w:pStyle w:val="NormalWeb"/>
        <w:rPr>
          <w:rtl/>
        </w:rPr>
      </w:pPr>
      <w:r>
        <w:rPr>
          <w:rStyle w:val="a7"/>
          <w:b w:val="0"/>
          <w:bCs w:val="0"/>
          <w:rtl/>
        </w:rPr>
        <w:footnoteReference w:id="3841"/>
      </w:r>
      <w:r>
        <w:rPr>
          <w:rtl/>
        </w:rPr>
        <w:t>קָם רַבִּי שִׁמְעוֹן וְאָמַר אֶלְעָזָר בְּרִי, אִית מָאן דְּדָחִיל לְקוּדְשָׁא בְּרִיךְ הוּא בְּגִין דְּיֵיחוּן בְּנוֹי וְיִסְגֵּי עוּתְרֵיהּ בְּהַאי עָלְמָא, וְאִי חָסֵר מֵהַאי לָא דָחִיל לֵיהּ, הַאי לָא שַׁוִּי לֵיהּ יִרְאַת יהו''ה לְעִקָּרָא, אֲבָל מָאן דְּדָחִיל לְקוּדְשָׁא בְּרִיךְ הוּא בֵּין בְּטִיבוּ בֵּין בְּעָאקוּ, הָא דָא שַׁוִּי יִרְאַת יהו''ה בֵּיהּ לְעִקָּרָא, דִּתְלַת דַּרְגִּין אִינוּן דְּיִרְאָה, אִית יִרְאָה בֵּין בְּטִיבוּ בֵּין בְּעָאקוּ, וְאִית יִרְאָה דְּדָחִיל לְקוּדְשָׁא בְּרִיךְ הוּא בְּטִיבוּ וְלָא בְּעָאקוּ, וְאִית יִרְאָה דְּלָא שַׁוִּי לָהּ עֲלֵיהּ לְעִקָּרָא בֵּין לְטִיבוּ בֵּין לְעָאקוּ, צַדִּיק גָמוּר שַׁוִּי לָהּ עֲלֵיהּ לְעִקָּרָא בֵּין לְטִיבוּ בֵּין לְדִינָא, בֵּינוּנִי שַׁוִּי לֵיהּ עֲלֵיהּ לְטִיבוּ וְלָא לְדִינָא, רָשָׁע גָּמוּר לָא שַׁוִּי לֵיהּ עִקָּרָא לָא בְּטִיבוּ וְלָא בְּדִינָא.</w:t>
      </w:r>
    </w:p>
    <w:p w:rsidR="00B17EA9" w:rsidRDefault="00B17EA9" w:rsidP="00B17EA9">
      <w:pPr>
        <w:pStyle w:val="NormalWeb"/>
        <w:rPr>
          <w:rtl/>
        </w:rPr>
      </w:pPr>
      <w:r>
        <w:rPr>
          <w:rtl/>
        </w:rPr>
        <w:t xml:space="preserve">וּשְׁכִינְתָּא אַמַּאי אִתְקְרִיאַת יִרְאָה, דְּהָא הִיא מִסִּטְרָא דְעַמּוּדָא דְאֶמְצָעִיתָא אִתְנְטִילַת, אֶלָּא כְּמָה דְּעַמּוּדָא דְאֶמְצָעִיתָא נָטִיל מֵרַחֲמֵי וְדִינָא דְאִינוּן יְמִינָא וּשְׂמָאלָא, הָכִי אִיהִי נָטְלָא מִתַּרְוַיְיהוּ, מִסִּטְרָא דִשְׂמָאלָא דָּא אִתְקְרִיאַת יִרְאָה פַּחַד יִצְחָק, דְּמִסִּטְרָא דִימִינָא אַהֲבָ''ה אִתְקְרֵי, </w:t>
      </w:r>
      <w:r>
        <w:rPr>
          <w:rStyle w:val="a7"/>
          <w:b w:val="0"/>
          <w:bCs w:val="0"/>
          <w:rtl/>
        </w:rPr>
        <w:footnoteReference w:id="3842"/>
      </w:r>
      <w:r>
        <w:rPr>
          <w:rtl/>
        </w:rPr>
        <w:t xml:space="preserve">וְדָא פִּקּוּדָא תִנְיָנָא דְאִתְּמַר בָּהּ </w:t>
      </w:r>
      <w:r>
        <w:rPr>
          <w:sz w:val="20"/>
          <w:szCs w:val="23"/>
          <w:rtl/>
        </w:rPr>
        <w:t>(ירמיה לא ב)</w:t>
      </w:r>
      <w:r>
        <w:rPr>
          <w:rtl/>
        </w:rPr>
        <w:t xml:space="preserve"> וְאַהֲבַת עוֹלָם אֲהַבְתִּיךְ עַל כֵּן מְשַׁכְתִּיךְ חָסֶד.</w:t>
      </w:r>
    </w:p>
    <w:p w:rsidR="00B17EA9" w:rsidRDefault="00B17EA9" w:rsidP="00B17EA9">
      <w:pPr>
        <w:pStyle w:val="NormalWeb"/>
        <w:rPr>
          <w:rtl/>
        </w:rPr>
      </w:pPr>
      <w:r>
        <w:rPr>
          <w:rtl/>
        </w:rPr>
        <w:t xml:space="preserve">וּמִתְּרֵין סִטְרִין אִלֵּין אִתְקְרֵי עַמּוּדָא דְאֶמְצָעִיתָא אוֹר </w:t>
      </w:r>
      <w:r>
        <w:rPr>
          <w:rStyle w:val="a7"/>
          <w:b w:val="0"/>
          <w:bCs w:val="0"/>
          <w:rtl/>
        </w:rPr>
        <w:footnoteReference w:id="3843"/>
      </w:r>
      <w:r>
        <w:rPr>
          <w:rtl/>
        </w:rPr>
        <w:t xml:space="preserve">וְנֵר, וּשְׁכִינְתָּא אוֹרָה, אֲבוּקָה. אוֹרָה, לַיְּהוּדִים הָיְתָה אוֹרָה </w:t>
      </w:r>
      <w:r>
        <w:rPr>
          <w:sz w:val="20"/>
          <w:szCs w:val="23"/>
          <w:rtl/>
        </w:rPr>
        <w:t>(אסתר ה טז)</w:t>
      </w:r>
      <w:r>
        <w:rPr>
          <w:rtl/>
        </w:rPr>
        <w:t xml:space="preserve">, אֲבוּקָה, הָכִי אוּקְמוּהוּ מָארֵי מַתְנִיתִין </w:t>
      </w:r>
      <w:r>
        <w:rPr>
          <w:rStyle w:val="a7"/>
          <w:b w:val="0"/>
          <w:bCs w:val="0"/>
          <w:rtl/>
        </w:rPr>
        <w:footnoteReference w:id="3844"/>
      </w:r>
      <w:r>
        <w:rPr>
          <w:rtl/>
        </w:rPr>
        <w:t xml:space="preserve">דְּצַדִּיקִים קַיְימִין קַמֵּי שְׁכִינְתָּא כְּנֵר לִפְנֵי הָאֲבוּקָה. מִסִּטְרָא דִימִינָא יהו''ה, וּמִסִּטְרָא דִשְׂמָאלָא אדנ''י דְּתַמָּן דִּין, </w:t>
      </w:r>
      <w:r>
        <w:rPr>
          <w:rStyle w:val="a7"/>
          <w:b w:val="0"/>
          <w:bCs w:val="0"/>
          <w:rtl/>
        </w:rPr>
        <w:footnoteReference w:id="3845"/>
      </w:r>
      <w:r>
        <w:rPr>
          <w:rtl/>
        </w:rPr>
        <w:t xml:space="preserve">וּבְגִין דָּא בְּיוֹמָא קַדְמָאָה וַיֹּאמֶר אלהי''ם יְהִי אוֹר </w:t>
      </w:r>
      <w:r>
        <w:rPr>
          <w:sz w:val="20"/>
          <w:szCs w:val="23"/>
          <w:rtl/>
        </w:rPr>
        <w:t>(בראשית א ג)</w:t>
      </w:r>
      <w:r>
        <w:rPr>
          <w:rtl/>
        </w:rPr>
        <w:t xml:space="preserve">, </w:t>
      </w:r>
      <w:r>
        <w:rPr>
          <w:rStyle w:val="a7"/>
          <w:b w:val="0"/>
          <w:bCs w:val="0"/>
          <w:rtl/>
        </w:rPr>
        <w:footnoteReference w:id="3846"/>
      </w:r>
      <w:r>
        <w:rPr>
          <w:rtl/>
        </w:rPr>
        <w:t xml:space="preserve">בְּגִין דְּחָמֵשׁ אוֹר אִינוּן בְּיוֹמָא קַדְמָאָה, וְאִינוּן ה' עִלָּאָה וּמִתַּמָּן נַהֲרִין, </w:t>
      </w:r>
      <w:r>
        <w:rPr>
          <w:rStyle w:val="a7"/>
          <w:b w:val="0"/>
          <w:bCs w:val="0"/>
          <w:rtl/>
        </w:rPr>
        <w:footnoteReference w:id="3847"/>
      </w:r>
      <w:r>
        <w:rPr>
          <w:rtl/>
        </w:rPr>
        <w:t xml:space="preserve">י' בִּשְׂמָאלָא </w:t>
      </w:r>
      <w:r>
        <w:rPr>
          <w:rStyle w:val="a7"/>
          <w:b w:val="0"/>
          <w:bCs w:val="0"/>
          <w:rtl/>
        </w:rPr>
        <w:footnoteReference w:id="3848"/>
      </w:r>
      <w:r>
        <w:rPr>
          <w:rtl/>
        </w:rPr>
        <w:t xml:space="preserve">וְדָא נֵר, </w:t>
      </w:r>
      <w:r>
        <w:rPr>
          <w:rStyle w:val="a7"/>
          <w:b w:val="0"/>
          <w:bCs w:val="0"/>
          <w:rtl/>
        </w:rPr>
        <w:footnoteReference w:id="3849"/>
      </w:r>
      <w:r>
        <w:rPr>
          <w:rtl/>
        </w:rPr>
        <w:t xml:space="preserve">וְדָא ה''י מִן אלהי''ם ה' לִימִינָא י' לִשְׂמָאלָא, </w:t>
      </w:r>
      <w:r>
        <w:rPr>
          <w:rStyle w:val="a7"/>
          <w:b w:val="0"/>
          <w:bCs w:val="0"/>
          <w:rtl/>
        </w:rPr>
        <w:footnoteReference w:id="3850"/>
      </w:r>
      <w:r>
        <w:rPr>
          <w:rtl/>
        </w:rPr>
        <w:t xml:space="preserve">ו' מל''א מִתַּרְוַיְיהוּ עַמוּדָא דְּאֶמְצָעִיתָא, </w:t>
      </w:r>
      <w:r>
        <w:rPr>
          <w:rStyle w:val="a7"/>
          <w:b w:val="0"/>
          <w:bCs w:val="0"/>
          <w:rtl/>
        </w:rPr>
        <w:footnoteReference w:id="3851"/>
      </w:r>
      <w:r>
        <w:rPr>
          <w:rtl/>
        </w:rPr>
        <w:t xml:space="preserve">בֶּן י''ה, וְדָא אִיהוּ רַזַא אלהי''ם מל''א ה''י, </w:t>
      </w:r>
      <w:r>
        <w:rPr>
          <w:rStyle w:val="a7"/>
          <w:b w:val="0"/>
          <w:bCs w:val="0"/>
          <w:rtl/>
        </w:rPr>
        <w:footnoteReference w:id="3852"/>
      </w:r>
      <w:r>
        <w:rPr>
          <w:rtl/>
        </w:rPr>
        <w:t xml:space="preserve">דָּא פְּקוּדָא קַדְמָאָה. ה' דָּא ה' אַתְוַון דְאלקים וְרַזַא דְּמִלָה אלהי''ם (דָּא) מליא''ה בְּהִפּוּך אַתְוַון, </w:t>
      </w:r>
      <w:r>
        <w:rPr>
          <w:rStyle w:val="a7"/>
          <w:b w:val="0"/>
          <w:bCs w:val="0"/>
          <w:rtl/>
        </w:rPr>
        <w:footnoteReference w:id="3853"/>
      </w:r>
      <w:r>
        <w:rPr>
          <w:rtl/>
        </w:rPr>
        <w:t xml:space="preserve">וְדָא ה' זְעִירָא דְּאִיהִי מלְיָא מִתְּלַת אַתְוַון, וְאִתְעַבִידַת הוי''ה לְעֵילַא </w:t>
      </w:r>
      <w:r>
        <w:rPr>
          <w:rStyle w:val="a7"/>
          <w:b w:val="0"/>
          <w:bCs w:val="0"/>
          <w:rtl/>
        </w:rPr>
        <w:footnoteReference w:id="3854"/>
      </w:r>
      <w:r>
        <w:rPr>
          <w:rtl/>
        </w:rPr>
        <w:t xml:space="preserve">אִיהִי ההו"י, </w:t>
      </w:r>
      <w:r>
        <w:rPr>
          <w:rStyle w:val="a7"/>
          <w:b w:val="0"/>
          <w:bCs w:val="0"/>
          <w:rtl/>
        </w:rPr>
        <w:footnoteReference w:id="3855"/>
      </w:r>
      <w:r>
        <w:rPr>
          <w:rtl/>
        </w:rPr>
        <w:t xml:space="preserve">וּבַה מַתְחִילִין אַתְוַון דְּאוֹרַיְיתָא ה''ו וּלְבַתַּר ט''י, וְאַנַה אִשְׁתְכַח ה' בַּתְרָאָה, אֶלָא ד' הַוַת לְמהֵוֵי ה', </w:t>
      </w:r>
      <w:r>
        <w:rPr>
          <w:rStyle w:val="a7"/>
          <w:b w:val="0"/>
          <w:bCs w:val="0"/>
          <w:rtl/>
        </w:rPr>
        <w:footnoteReference w:id="3856"/>
      </w:r>
      <w:r>
        <w:rPr>
          <w:rtl/>
        </w:rPr>
        <w:t xml:space="preserve">אֶלַא מַאן גָּרַם דְּפָרַח מִינָּה ו' דְּאִיהוּ יֶרֶך דִּילַה, </w:t>
      </w:r>
      <w:r>
        <w:rPr>
          <w:rStyle w:val="a7"/>
          <w:b w:val="0"/>
          <w:bCs w:val="0"/>
          <w:rtl/>
        </w:rPr>
        <w:footnoteReference w:id="3857"/>
      </w:r>
      <w:r>
        <w:rPr>
          <w:rtl/>
        </w:rPr>
        <w:t xml:space="preserve">שֶׁנֶאמַר נְתָנַני שׁוֹמְמָה </w:t>
      </w:r>
      <w:r>
        <w:rPr>
          <w:rStyle w:val="a7"/>
          <w:b w:val="0"/>
          <w:bCs w:val="0"/>
          <w:rtl/>
        </w:rPr>
        <w:footnoteReference w:id="3858"/>
      </w:r>
      <w:r>
        <w:rPr>
          <w:rtl/>
        </w:rPr>
        <w:t xml:space="preserve">כֹּל הַיּוֹם דָּוָה </w:t>
      </w:r>
      <w:r>
        <w:rPr>
          <w:sz w:val="20"/>
          <w:szCs w:val="23"/>
          <w:rtl/>
        </w:rPr>
        <w:t>(איכה א יג)</w:t>
      </w:r>
      <w:r>
        <w:rPr>
          <w:rtl/>
        </w:rPr>
        <w:t xml:space="preserve">, דָּא הוֹד דְּאִיהוּ יֶרֶך דִּילַה דְּאִתְחַזְרַת אִיהוּ דָּוָה בְּאֶלֶף חַמִשָׁאָה, בְּגִין דְּפָרַח מִנֵּיה יֶרֶך, </w:t>
      </w:r>
      <w:r>
        <w:rPr>
          <w:rStyle w:val="a7"/>
          <w:b w:val="0"/>
          <w:bCs w:val="0"/>
          <w:rtl/>
        </w:rPr>
        <w:footnoteReference w:id="3859"/>
      </w:r>
      <w:r>
        <w:rPr>
          <w:rtl/>
        </w:rPr>
        <w:t xml:space="preserve">דְּעַלֵיה אִתְּמַר </w:t>
      </w:r>
      <w:r>
        <w:rPr>
          <w:sz w:val="20"/>
          <w:szCs w:val="23"/>
          <w:rtl/>
        </w:rPr>
        <w:t>(בראשית לב כג)</w:t>
      </w:r>
      <w:r>
        <w:rPr>
          <w:rtl/>
        </w:rPr>
        <w:t xml:space="preserve"> וַתֵּקַע כַּף יֶרֶך יַעֲקֹב, </w:t>
      </w:r>
      <w:r>
        <w:rPr>
          <w:rStyle w:val="a7"/>
          <w:b w:val="0"/>
          <w:bCs w:val="0"/>
          <w:rtl/>
        </w:rPr>
        <w:footnoteReference w:id="3860"/>
      </w:r>
      <w:r>
        <w:rPr>
          <w:rtl/>
        </w:rPr>
        <w:t xml:space="preserve">אִשְׁתְמוֹדַע דְּמִימִינָא קָא מַתְחַלְת לְמִמְנֵי אַתּ ד' עַד נֶצַח, וְהוֹד אִיהוּ יֶרֶך שְׁלִימוּ דּילַה, </w:t>
      </w:r>
      <w:r>
        <w:rPr>
          <w:rStyle w:val="a7"/>
          <w:b w:val="0"/>
          <w:bCs w:val="0"/>
          <w:rtl/>
        </w:rPr>
        <w:footnoteReference w:id="3861"/>
      </w:r>
      <w:r>
        <w:rPr>
          <w:rtl/>
        </w:rPr>
        <w:t xml:space="preserve">וְדָא אִיהוּ דְּאִתְיְהִיב לְמֹשֶׁה, </w:t>
      </w:r>
      <w:r>
        <w:rPr>
          <w:rStyle w:val="a7"/>
          <w:b w:val="0"/>
          <w:bCs w:val="0"/>
          <w:rtl/>
        </w:rPr>
        <w:footnoteReference w:id="3862"/>
      </w:r>
      <w:r>
        <w:rPr>
          <w:rtl/>
        </w:rPr>
        <w:t xml:space="preserve">דְּאוֹקְמוּהָ וְנִתַּן הוֹד לְמֹשֶׁה שֶנֶאמַר </w:t>
      </w:r>
      <w:r>
        <w:rPr>
          <w:sz w:val="20"/>
          <w:szCs w:val="23"/>
          <w:rtl/>
        </w:rPr>
        <w:t>(במדבר כז כ)</w:t>
      </w:r>
      <w:r>
        <w:rPr>
          <w:rtl/>
        </w:rPr>
        <w:t xml:space="preserve"> וְנָתַּתָּה מְהוֹדְךָ עָלָיו. </w:t>
      </w:r>
    </w:p>
    <w:p w:rsidR="00B17EA9" w:rsidRDefault="00B17EA9" w:rsidP="00B17EA9">
      <w:pPr>
        <w:pStyle w:val="NormalWeb"/>
        <w:rPr>
          <w:rtl/>
        </w:rPr>
      </w:pPr>
    </w:p>
    <w:p w:rsidR="00B17EA9" w:rsidRDefault="00B17EA9" w:rsidP="00B17EA9">
      <w:pPr>
        <w:pStyle w:val="NormalWeb"/>
        <w:rPr>
          <w:rtl/>
        </w:rPr>
      </w:pPr>
      <w:r>
        <w:rPr>
          <w:rtl/>
        </w:rPr>
        <w:t>(ע"פ דברי הגר"א ריש תיקון ל"ב כאן צ"ל תל"ז ע"פ והארץ כו' והוא הכל תיקון אחד. כמו כן תיקון ל"ד עבר לקמן אחר תיקון נ"ו ולפני תיקון נ"ז)</w:t>
      </w:r>
    </w:p>
    <w:p w:rsidR="00B17EA9" w:rsidRDefault="00B17EA9" w:rsidP="00B17EA9">
      <w:pPr>
        <w:pStyle w:val="NormalWeb"/>
        <w:rPr>
          <w:rtl/>
        </w:rPr>
      </w:pPr>
      <w:r>
        <w:rPr>
          <w:rtl/>
        </w:rPr>
        <w:t>(ע"פ הגהת הגר"א בסוף תיקון מ"א, תיקונים ל"ה ל"ו משולבים בתוך תיקון מ"א. אמנם להלן בתחילת תיקון ל"ז ביאר הגר"א שהוא תיקון אחד עם הקודם, ובריש תיקון ל"ב בסדר התיקונים ביאר הגר"א שתיקון ל"ו צ"ל בין ל"ח ל"ט, והשם יתברך יזכנו).</w:t>
      </w:r>
    </w:p>
    <w:p w:rsidR="00B17EA9" w:rsidRDefault="00B17EA9" w:rsidP="00B17EA9">
      <w:pPr>
        <w:pStyle w:val="NormalWeb"/>
        <w:rPr>
          <w:rtl/>
        </w:rPr>
      </w:pPr>
      <w:r>
        <w:rPr>
          <w:rtl/>
        </w:rPr>
        <w:t>אחרי תיקון ל"ו כתוב: נוסחא אחרת, כאן שייך תיקון א' שבסוף התיקונים (אצלנו הוא לעיל בסוף תיקון כ"ט).</w:t>
      </w:r>
    </w:p>
    <w:p w:rsidR="00B17EA9" w:rsidRDefault="00B17EA9" w:rsidP="00602EF1">
      <w:pPr>
        <w:pStyle w:val="1"/>
        <w:rPr>
          <w:u w:val="single"/>
          <w:rtl/>
        </w:rPr>
      </w:pPr>
      <w:bookmarkStart w:id="241" w:name="_Toc228091315"/>
      <w:bookmarkStart w:id="242" w:name="_Toc231637954"/>
      <w:r>
        <w:rPr>
          <w:rtl/>
        </w:rPr>
        <w:t xml:space="preserve"> (תקונא שבע ותלתין</w:t>
      </w:r>
      <w:bookmarkEnd w:id="241"/>
      <w:bookmarkEnd w:id="242"/>
      <w:r>
        <w:rPr>
          <w:rtl/>
        </w:rPr>
        <w:t>)</w:t>
      </w:r>
    </w:p>
    <w:p w:rsidR="00B17EA9" w:rsidRDefault="00B17EA9" w:rsidP="00B17EA9">
      <w:pPr>
        <w:spacing w:after="40" w:line="360" w:lineRule="atLeast"/>
        <w:ind w:left="144" w:right="144" w:firstLine="288"/>
        <w:jc w:val="both"/>
        <w:rPr>
          <w:rFonts w:ascii="Arial"/>
          <w:b/>
          <w:bCs/>
          <w:sz w:val="29"/>
          <w:szCs w:val="29"/>
          <w:rtl/>
        </w:rPr>
      </w:pPr>
      <w:r>
        <w:rPr>
          <w:rStyle w:val="a7"/>
          <w:rFonts w:ascii="Arial"/>
          <w:b/>
          <w:bCs/>
          <w:sz w:val="29"/>
          <w:szCs w:val="29"/>
          <w:rtl/>
        </w:rPr>
        <w:footnoteReference w:id="3863"/>
      </w:r>
      <w:r>
        <w:rPr>
          <w:rFonts w:ascii="Arial"/>
          <w:b/>
          <w:bCs/>
          <w:sz w:val="29"/>
          <w:szCs w:val="29"/>
          <w:rtl/>
        </w:rPr>
        <w:t xml:space="preserve">בְּרֵאשִׁית אִיהוּ בְּרִי''ת, וַדַּאי </w:t>
      </w:r>
      <w:r>
        <w:rPr>
          <w:rStyle w:val="a7"/>
          <w:rFonts w:ascii="Arial"/>
          <w:b/>
          <w:bCs/>
          <w:sz w:val="29"/>
          <w:szCs w:val="29"/>
          <w:rtl/>
        </w:rPr>
        <w:footnoteReference w:id="3864"/>
      </w:r>
      <w:r>
        <w:rPr>
          <w:rFonts w:ascii="Arial"/>
          <w:b/>
          <w:bCs/>
          <w:sz w:val="29"/>
          <w:szCs w:val="29"/>
          <w:rtl/>
        </w:rPr>
        <w:t xml:space="preserve">כַּד אִיהוּ בִּלְבוּשִׁין דְּאִלֵּין קְלִיפִין דְּאִינוּן עָרְלָה וּפְרִיעָה, צָרִיךְ תַּמָּן דְּחִילוּ, </w:t>
      </w:r>
      <w:r>
        <w:rPr>
          <w:rStyle w:val="a7"/>
          <w:rFonts w:ascii="Arial"/>
          <w:b/>
          <w:bCs/>
          <w:sz w:val="29"/>
          <w:szCs w:val="29"/>
          <w:rtl/>
        </w:rPr>
        <w:footnoteReference w:id="3865"/>
      </w:r>
      <w:r>
        <w:rPr>
          <w:rFonts w:ascii="Arial"/>
          <w:b/>
          <w:bCs/>
          <w:sz w:val="29"/>
          <w:szCs w:val="29"/>
          <w:rtl/>
        </w:rPr>
        <w:t xml:space="preserve">וַעֲלַיְיהוּ אִתְּמַר </w:t>
      </w:r>
      <w:r>
        <w:rPr>
          <w:rFonts w:ascii="Arial"/>
          <w:b/>
          <w:szCs w:val="23"/>
          <w:rtl/>
        </w:rPr>
        <w:t>(שמות כ ג)</w:t>
      </w:r>
      <w:r>
        <w:rPr>
          <w:rFonts w:ascii="Arial"/>
          <w:b/>
          <w:bCs/>
          <w:sz w:val="29"/>
          <w:szCs w:val="29"/>
          <w:rtl/>
        </w:rPr>
        <w:t xml:space="preserve"> לֹא יִהְיֶה לְךָ אֱלֹהִים אֲחֵרִים עַל פָּנָי, </w:t>
      </w:r>
      <w:r>
        <w:rPr>
          <w:rStyle w:val="a7"/>
          <w:rFonts w:ascii="Arial"/>
          <w:b/>
          <w:bCs/>
          <w:sz w:val="29"/>
          <w:szCs w:val="29"/>
          <w:rtl/>
        </w:rPr>
        <w:footnoteReference w:id="3866"/>
      </w:r>
      <w:r>
        <w:rPr>
          <w:rFonts w:ascii="Arial"/>
          <w:b/>
          <w:bCs/>
          <w:sz w:val="29"/>
          <w:szCs w:val="29"/>
          <w:rtl/>
        </w:rPr>
        <w:t xml:space="preserve">וְהַאי אוֹת לָא יָרְתִין לֵיהּ אֶלָּא יִשְׂרָאֵל, דְּלֵית אוֹת בְּרִית עַד דְּעָבְרִין מִנַּיְיהוּ אִלֵּין קְלִיפִין, </w:t>
      </w:r>
      <w:r>
        <w:rPr>
          <w:rStyle w:val="a7"/>
          <w:rFonts w:ascii="Arial"/>
          <w:b/>
          <w:bCs/>
          <w:sz w:val="29"/>
          <w:szCs w:val="29"/>
          <w:rtl/>
        </w:rPr>
        <w:footnoteReference w:id="3867"/>
      </w:r>
      <w:r>
        <w:rPr>
          <w:rFonts w:ascii="Arial"/>
          <w:b/>
          <w:bCs/>
          <w:sz w:val="29"/>
          <w:szCs w:val="29"/>
          <w:rtl/>
        </w:rPr>
        <w:t>דְּאִינוּן עָרְלָה וּפְרִיעָה בְּאַטִּיפוּ דִדְמָא.</w:t>
      </w:r>
    </w:p>
    <w:p w:rsidR="00B17EA9" w:rsidRDefault="00B17EA9" w:rsidP="00B17EA9">
      <w:pPr>
        <w:spacing w:after="40" w:line="360" w:lineRule="atLeast"/>
        <w:ind w:left="144" w:right="144" w:firstLine="288"/>
        <w:jc w:val="both"/>
        <w:rPr>
          <w:rFonts w:ascii="Arial"/>
          <w:b/>
          <w:bCs/>
          <w:sz w:val="29"/>
          <w:szCs w:val="29"/>
          <w:rtl/>
        </w:rPr>
      </w:pPr>
      <w:r>
        <w:rPr>
          <w:rStyle w:val="a7"/>
          <w:rFonts w:ascii="Arial"/>
          <w:b/>
          <w:bCs/>
          <w:sz w:val="29"/>
          <w:szCs w:val="29"/>
          <w:rtl/>
        </w:rPr>
        <w:footnoteReference w:id="3868"/>
      </w:r>
      <w:r>
        <w:rPr>
          <w:rFonts w:ascii="Arial"/>
          <w:b/>
          <w:bCs/>
          <w:sz w:val="29"/>
          <w:szCs w:val="29"/>
          <w:rtl/>
        </w:rPr>
        <w:t xml:space="preserve">תְּלַת קְלִיפִין אִינוּן בְּעָרְלָה לָקֳבֵל תְּלַת קְלִיפִין דֶּאֱגוֹזָא, וַעֲלַיְיהוּ אִתְּמַר </w:t>
      </w:r>
      <w:r>
        <w:rPr>
          <w:rFonts w:ascii="Arial"/>
          <w:b/>
          <w:szCs w:val="23"/>
          <w:rtl/>
        </w:rPr>
        <w:t>(בראשית א ב)</w:t>
      </w:r>
      <w:r>
        <w:rPr>
          <w:rFonts w:ascii="Arial"/>
          <w:b/>
          <w:bCs/>
          <w:sz w:val="29"/>
          <w:szCs w:val="29"/>
          <w:rtl/>
        </w:rPr>
        <w:t xml:space="preserve"> וְהָאָרֶץ הָיְתָה תֹהוּ וָבֹהוּ וְחֹשֶׁךְ, </w:t>
      </w:r>
      <w:r>
        <w:rPr>
          <w:rStyle w:val="a7"/>
          <w:rFonts w:ascii="Arial"/>
          <w:b/>
          <w:bCs/>
          <w:sz w:val="29"/>
          <w:szCs w:val="29"/>
          <w:rtl/>
        </w:rPr>
        <w:footnoteReference w:id="3869"/>
      </w:r>
      <w:r>
        <w:rPr>
          <w:rFonts w:ascii="Arial"/>
          <w:b/>
          <w:bCs/>
          <w:sz w:val="29"/>
          <w:szCs w:val="29"/>
          <w:rtl/>
        </w:rPr>
        <w:t xml:space="preserve">תֹּהוּ קַו יָרוֹק קְלִיפָה קַדְמָאָה, בֹּהוּ קְלִיפָה תִנְיָינָא, חֹשֶׁךְ קְלִיפָה תְּלִיתָאָה, וּתְלַת אִלֵּין דָּא עַל גַּב דָּא, </w:t>
      </w:r>
      <w:r>
        <w:rPr>
          <w:rStyle w:val="a7"/>
          <w:rFonts w:ascii="Arial"/>
          <w:b/>
          <w:bCs/>
          <w:sz w:val="29"/>
          <w:szCs w:val="29"/>
          <w:rtl/>
        </w:rPr>
        <w:footnoteReference w:id="3870"/>
      </w:r>
      <w:r>
        <w:rPr>
          <w:rFonts w:ascii="Arial"/>
          <w:b/>
          <w:bCs/>
          <w:sz w:val="29"/>
          <w:szCs w:val="29"/>
          <w:rtl/>
        </w:rPr>
        <w:t xml:space="preserve">לָקֳבֵל תְּלַת גַּוָּונִין דְּעִינָא, דְאִתְּמַר בְּהוֹן </w:t>
      </w:r>
      <w:r>
        <w:rPr>
          <w:rFonts w:ascii="Arial"/>
          <w:b/>
          <w:szCs w:val="23"/>
          <w:rtl/>
        </w:rPr>
        <w:t>(במדבר טו לט)</w:t>
      </w:r>
      <w:r>
        <w:rPr>
          <w:rFonts w:ascii="Arial"/>
          <w:b/>
          <w:bCs/>
          <w:sz w:val="29"/>
          <w:szCs w:val="29"/>
          <w:rtl/>
        </w:rPr>
        <w:t xml:space="preserve"> וְלֹא תָתוּרוּ אַחֲרֵי לְבַבְכֶם וְאַחֲרֵי עִינֵיכֶם וכו', לְקִבְלַיְיהוּ תְּלַת גַּוָּונִין דְּקֶשֶׁת, דִּבְהוֹן נִקְרָא בַּת עָיִן דְּאִיהִי נְקוּדָה אוֹת בְּרִית, עֲלָהּ אִתְּמַר </w:t>
      </w:r>
      <w:r>
        <w:rPr>
          <w:rFonts w:ascii="Arial"/>
          <w:b/>
          <w:szCs w:val="23"/>
          <w:rtl/>
        </w:rPr>
        <w:t>(בראשית ט טז)</w:t>
      </w:r>
      <w:r>
        <w:rPr>
          <w:rFonts w:ascii="Arial"/>
          <w:b/>
          <w:bCs/>
          <w:sz w:val="29"/>
          <w:szCs w:val="29"/>
          <w:rtl/>
        </w:rPr>
        <w:t xml:space="preserve"> וּרְאִיתִיהָ לִזְכּוֹר בְּרִית עוֹלָם, וַעֲלַיְיהוּ אִתְּמַר תְּלַת זִמְנִין כָּל גּוֹיִם וכו' כִּי אֲמִילַם </w:t>
      </w:r>
      <w:r>
        <w:rPr>
          <w:rFonts w:ascii="Arial"/>
          <w:b/>
          <w:szCs w:val="23"/>
          <w:rtl/>
        </w:rPr>
        <w:t>(תהלים קיח יט)</w:t>
      </w:r>
      <w:r>
        <w:rPr>
          <w:rFonts w:ascii="Arial"/>
          <w:b/>
          <w:bCs/>
          <w:sz w:val="29"/>
          <w:szCs w:val="29"/>
          <w:rtl/>
        </w:rPr>
        <w:t xml:space="preserve">, וְאֵימָתַי יַעֲבוֹר קוּדְשָׁא בְּרִיךְ הוּא הַנֵּי קְלִיפִין מֵעָלְמָא וַיִּזְכּוֹר בְּרִית עוֹלָם, בְּזִמְנָא דְפוּרְקָנָא, הֲדָא הוּא דִכְתִיב </w:t>
      </w:r>
      <w:r>
        <w:rPr>
          <w:rFonts w:ascii="Arial"/>
          <w:b/>
          <w:szCs w:val="23"/>
          <w:rtl/>
        </w:rPr>
        <w:t>(ישעיה ל כ)</w:t>
      </w:r>
      <w:r>
        <w:rPr>
          <w:rFonts w:ascii="Arial"/>
          <w:b/>
          <w:bCs/>
          <w:sz w:val="29"/>
          <w:szCs w:val="29"/>
          <w:rtl/>
        </w:rPr>
        <w:t xml:space="preserve"> וְלֹא יִכָּנֵף עוֹד מוֹרֶיךָ, </w:t>
      </w:r>
      <w:r>
        <w:rPr>
          <w:rStyle w:val="a7"/>
          <w:rFonts w:ascii="Arial"/>
          <w:b/>
          <w:bCs/>
          <w:sz w:val="29"/>
          <w:szCs w:val="29"/>
          <w:rtl/>
        </w:rPr>
        <w:footnoteReference w:id="3871"/>
      </w:r>
      <w:r>
        <w:rPr>
          <w:rFonts w:ascii="Arial"/>
          <w:b/>
          <w:bCs/>
          <w:sz w:val="29"/>
          <w:szCs w:val="29"/>
          <w:rtl/>
        </w:rPr>
        <w:t xml:space="preserve">אֵימָתַי לְבָתַר דְּמִתְעַבְּרִין תְּלַת קְלִיפִין בִּישִׁין מִינָהּ, וּבְזִמְנָא דְאִיהִי מִתְלַבְּשָׁא בְּאִלֵּין קְלִיפִין אִיהִי אָמְרַת </w:t>
      </w:r>
      <w:r>
        <w:rPr>
          <w:rStyle w:val="a7"/>
          <w:rFonts w:ascii="Arial"/>
          <w:b/>
          <w:bCs/>
          <w:sz w:val="29"/>
          <w:szCs w:val="29"/>
          <w:rtl/>
        </w:rPr>
        <w:footnoteReference w:id="3872"/>
      </w:r>
      <w:r>
        <w:rPr>
          <w:rFonts w:ascii="Arial"/>
          <w:b/>
          <w:bCs/>
          <w:sz w:val="29"/>
          <w:szCs w:val="29"/>
          <w:rtl/>
        </w:rPr>
        <w:t xml:space="preserve">אַל תִּרְאוּנִי שֶׁאֲנִי שְׁחַרְחֹרֶת </w:t>
      </w:r>
      <w:r>
        <w:rPr>
          <w:rFonts w:ascii="Arial"/>
          <w:b/>
          <w:szCs w:val="23"/>
          <w:rtl/>
        </w:rPr>
        <w:t>(שיר א ו)</w:t>
      </w:r>
      <w:r>
        <w:rPr>
          <w:rFonts w:ascii="Arial"/>
          <w:b/>
          <w:bCs/>
          <w:sz w:val="29"/>
          <w:szCs w:val="29"/>
          <w:rtl/>
        </w:rPr>
        <w:t xml:space="preserve">, דִּבְאִלֵּין קְלִיפִין אִיהִי מִתְחַלֶּלֶת, </w:t>
      </w:r>
      <w:r>
        <w:rPr>
          <w:rStyle w:val="a7"/>
          <w:rFonts w:ascii="Arial"/>
          <w:b/>
          <w:bCs/>
          <w:sz w:val="29"/>
          <w:szCs w:val="29"/>
          <w:rtl/>
        </w:rPr>
        <w:footnoteReference w:id="3873"/>
      </w:r>
      <w:r>
        <w:rPr>
          <w:rFonts w:ascii="Arial"/>
          <w:b/>
          <w:bCs/>
          <w:sz w:val="29"/>
          <w:szCs w:val="29"/>
          <w:rtl/>
        </w:rPr>
        <w:t xml:space="preserve">וּבְגִין דָּא מְחַלְלֶיהָ מוֹת יוּמָת </w:t>
      </w:r>
      <w:r>
        <w:rPr>
          <w:rFonts w:ascii="Arial"/>
          <w:b/>
          <w:szCs w:val="23"/>
          <w:rtl/>
        </w:rPr>
        <w:t>(שמות לא יד)</w:t>
      </w:r>
      <w:r>
        <w:rPr>
          <w:rFonts w:ascii="Arial"/>
          <w:b/>
          <w:bCs/>
          <w:sz w:val="29"/>
          <w:szCs w:val="29"/>
          <w:rtl/>
        </w:rPr>
        <w:t>.</w:t>
      </w:r>
    </w:p>
    <w:p w:rsidR="00B17EA9" w:rsidRDefault="00B17EA9" w:rsidP="00B17EA9">
      <w:pPr>
        <w:spacing w:after="40" w:line="360" w:lineRule="atLeast"/>
        <w:ind w:left="144" w:right="144" w:firstLine="288"/>
        <w:jc w:val="both"/>
        <w:rPr>
          <w:rFonts w:ascii="Arial"/>
          <w:b/>
          <w:bCs/>
          <w:sz w:val="29"/>
          <w:szCs w:val="29"/>
          <w:rtl/>
        </w:rPr>
      </w:pPr>
      <w:r>
        <w:rPr>
          <w:rStyle w:val="a7"/>
          <w:rFonts w:ascii="Arial"/>
          <w:b/>
          <w:bCs/>
          <w:sz w:val="29"/>
          <w:szCs w:val="29"/>
          <w:rtl/>
        </w:rPr>
        <w:footnoteReference w:id="3874"/>
      </w:r>
      <w:r>
        <w:rPr>
          <w:rFonts w:ascii="Arial"/>
          <w:b/>
          <w:bCs/>
          <w:sz w:val="29"/>
          <w:szCs w:val="29"/>
          <w:rtl/>
        </w:rPr>
        <w:t xml:space="preserve">תְּהוֹ''ם אִיהוּ הַמָּוְ''ת, לְגַבֵּיהּ צָרִיךְ פְּרִיעָה בְּאַטִּיפוּ דִדְמָא, וְעַד דְּאִתְפַּרַע הַאי פְּרִיעָה אִיהִי לָא אִתְגַּלְיָיא בְּעָלְמָא, וְלָא יְהֵא אוֹת בְּעָלְמָא, וְרָזָא דְמִלָּה כַּד אִתְעַבַּר מִינָהּ עָרְלָה וּפְרִיעָה רוֹמִי וְקוּשְׁטַאנְדִינָא, מִיָּד אִתְגַּלְיָיא אוֹת בְּעָלְמָא, </w:t>
      </w:r>
      <w:r>
        <w:rPr>
          <w:rStyle w:val="a7"/>
          <w:rFonts w:ascii="Arial"/>
          <w:b/>
          <w:bCs/>
          <w:sz w:val="29"/>
          <w:szCs w:val="29"/>
          <w:rtl/>
        </w:rPr>
        <w:footnoteReference w:id="3875"/>
      </w:r>
      <w:r>
        <w:rPr>
          <w:rFonts w:ascii="Arial"/>
          <w:b/>
          <w:bCs/>
          <w:sz w:val="29"/>
          <w:szCs w:val="29"/>
          <w:rtl/>
        </w:rPr>
        <w:t xml:space="preserve">לְהַהוּא דְאִתְּמַר בֵּיהּ </w:t>
      </w:r>
      <w:r>
        <w:rPr>
          <w:rFonts w:ascii="Arial"/>
          <w:b/>
          <w:szCs w:val="23"/>
          <w:rtl/>
        </w:rPr>
        <w:t>(שם ג יב)</w:t>
      </w:r>
      <w:r>
        <w:rPr>
          <w:rFonts w:ascii="Arial"/>
          <w:b/>
          <w:bCs/>
          <w:sz w:val="29"/>
          <w:szCs w:val="29"/>
          <w:rtl/>
        </w:rPr>
        <w:t xml:space="preserve"> וְזֶה לְּךָ הָאוֹת כִּי אָנֹכִי שְׁלַחְתִּיךָ, לְקַיְימָא בֵּיהּ קְרָא </w:t>
      </w:r>
      <w:r>
        <w:rPr>
          <w:rFonts w:ascii="Arial"/>
          <w:b/>
          <w:szCs w:val="23"/>
          <w:rtl/>
        </w:rPr>
        <w:t>(מיכה ז טו)</w:t>
      </w:r>
      <w:r>
        <w:rPr>
          <w:rFonts w:ascii="Arial"/>
          <w:b/>
          <w:bCs/>
          <w:sz w:val="29"/>
          <w:szCs w:val="29"/>
          <w:rtl/>
        </w:rPr>
        <w:t xml:space="preserve"> כִּימֵי צֵאתְךָ מֵאֶרֶץ מִצְרָיִם אַרְאֶנּוּ נִפְלָאוֹת.</w:t>
      </w:r>
    </w:p>
    <w:p w:rsidR="00B17EA9" w:rsidRDefault="00B17EA9" w:rsidP="00B17EA9">
      <w:pPr>
        <w:spacing w:after="40" w:line="360" w:lineRule="atLeast"/>
        <w:ind w:left="144" w:right="144" w:firstLine="288"/>
        <w:jc w:val="both"/>
        <w:rPr>
          <w:rFonts w:ascii="Arial"/>
          <w:b/>
          <w:szCs w:val="23"/>
          <w:rtl/>
        </w:rPr>
      </w:pPr>
      <w:r>
        <w:rPr>
          <w:rtl/>
        </w:rPr>
        <w:t xml:space="preserve">[תיקוני זוהר - דף פא ע''ב] </w:t>
      </w:r>
    </w:p>
    <w:p w:rsidR="00B17EA9" w:rsidRDefault="00B17EA9" w:rsidP="00B17EA9">
      <w:pPr>
        <w:spacing w:after="40" w:line="360" w:lineRule="atLeast"/>
        <w:ind w:left="144" w:right="144" w:firstLine="288"/>
        <w:jc w:val="both"/>
        <w:rPr>
          <w:rFonts w:ascii="Arial"/>
          <w:b/>
          <w:bCs/>
          <w:sz w:val="29"/>
          <w:szCs w:val="29"/>
          <w:rtl/>
        </w:rPr>
      </w:pPr>
      <w:r>
        <w:rPr>
          <w:rFonts w:ascii="Arial"/>
          <w:b/>
          <w:bCs/>
          <w:sz w:val="29"/>
          <w:szCs w:val="29"/>
          <w:rtl/>
        </w:rPr>
        <w:t xml:space="preserve">וּבְגִין דָּא אֶלְעָזָר בְּרִי לָא תִצְפֵּי לְרַגְלָא דִמְשִׁיחָא עַד דְּתֶחְזֵי קֶשֶׁת בְּגַוְּונוֹי נְהִירִין, אוֹ עַד דְּאִתְגַּלְיָיא אוֹת בְּעָלְמָא, </w:t>
      </w:r>
      <w:r>
        <w:rPr>
          <w:rStyle w:val="a7"/>
          <w:rFonts w:ascii="Arial"/>
          <w:b/>
          <w:bCs/>
          <w:sz w:val="29"/>
          <w:szCs w:val="29"/>
          <w:rtl/>
        </w:rPr>
        <w:footnoteReference w:id="3876"/>
      </w:r>
      <w:r>
        <w:rPr>
          <w:rFonts w:ascii="Arial"/>
          <w:b/>
          <w:bCs/>
          <w:sz w:val="29"/>
          <w:szCs w:val="29"/>
          <w:rtl/>
        </w:rPr>
        <w:t xml:space="preserve">מַאי אוֹת. אֶלָּא דָּרַךְ כֹּכָב מִיַּעֲקֹב </w:t>
      </w:r>
      <w:r>
        <w:rPr>
          <w:rFonts w:ascii="Arial"/>
          <w:b/>
          <w:szCs w:val="23"/>
          <w:rtl/>
        </w:rPr>
        <w:t>(במדבר כד יז)</w:t>
      </w:r>
      <w:r>
        <w:rPr>
          <w:rFonts w:ascii="Arial"/>
          <w:b/>
          <w:bCs/>
          <w:sz w:val="29"/>
          <w:szCs w:val="29"/>
          <w:rtl/>
        </w:rPr>
        <w:t xml:space="preserve">, דָּא אָת י' </w:t>
      </w:r>
      <w:r>
        <w:rPr>
          <w:rStyle w:val="a7"/>
          <w:rFonts w:ascii="Arial"/>
          <w:b/>
          <w:bCs/>
          <w:sz w:val="29"/>
          <w:szCs w:val="29"/>
          <w:rtl/>
        </w:rPr>
        <w:footnoteReference w:id="3877"/>
      </w:r>
      <w:r>
        <w:rPr>
          <w:rFonts w:ascii="Arial"/>
          <w:b/>
          <w:bCs/>
          <w:sz w:val="29"/>
          <w:szCs w:val="29"/>
          <w:rtl/>
        </w:rPr>
        <w:t xml:space="preserve">אוֹת בְּרִית, וּמִיָּד וְקָם שֵׁבֶט </w:t>
      </w:r>
      <w:r>
        <w:rPr>
          <w:rFonts w:ascii="Arial"/>
          <w:b/>
          <w:szCs w:val="23"/>
          <w:rtl/>
        </w:rPr>
        <w:t xml:space="preserve">(דף פא ע''ב) </w:t>
      </w:r>
      <w:r>
        <w:rPr>
          <w:rFonts w:ascii="Arial"/>
          <w:b/>
          <w:bCs/>
          <w:sz w:val="29"/>
          <w:szCs w:val="29"/>
          <w:rtl/>
        </w:rPr>
        <w:t xml:space="preserve">מִיִּשְׂרָאֵל לְגַבָּהּ, הַהוּא דְאִתְּמַר בֵּיהּ </w:t>
      </w:r>
      <w:r>
        <w:rPr>
          <w:rFonts w:ascii="Arial"/>
          <w:b/>
          <w:szCs w:val="23"/>
          <w:rtl/>
        </w:rPr>
        <w:t>(דברים לג ה)</w:t>
      </w:r>
      <w:r>
        <w:rPr>
          <w:rFonts w:ascii="Arial"/>
          <w:b/>
          <w:sz w:val="29"/>
          <w:szCs w:val="23"/>
          <w:rtl/>
        </w:rPr>
        <w:t xml:space="preserve"> </w:t>
      </w:r>
      <w:r>
        <w:rPr>
          <w:rStyle w:val="a7"/>
          <w:rFonts w:ascii="Arial"/>
          <w:b/>
          <w:sz w:val="29"/>
          <w:szCs w:val="23"/>
          <w:rtl/>
        </w:rPr>
        <w:footnoteReference w:id="3878"/>
      </w:r>
      <w:r>
        <w:rPr>
          <w:rStyle w:val="Char"/>
          <w:rtl/>
        </w:rPr>
        <w:t>וַיְהִי בִישֻׁרוּן מֶלֶךְ</w:t>
      </w:r>
      <w:r>
        <w:rPr>
          <w:rFonts w:ascii="Arial"/>
          <w:b/>
          <w:sz w:val="29"/>
          <w:szCs w:val="23"/>
          <w:rtl/>
        </w:rPr>
        <w:t xml:space="preserve"> </w:t>
      </w:r>
      <w:r>
        <w:rPr>
          <w:rFonts w:ascii="Arial"/>
          <w:b/>
          <w:szCs w:val="23"/>
          <w:rtl/>
        </w:rPr>
        <w:t>(חסר)</w:t>
      </w:r>
      <w:r>
        <w:rPr>
          <w:rFonts w:ascii="Arial"/>
          <w:b/>
          <w:bCs/>
          <w:sz w:val="29"/>
          <w:szCs w:val="29"/>
          <w:rtl/>
        </w:rPr>
        <w:t>,</w:t>
      </w:r>
    </w:p>
    <w:p w:rsidR="00B17EA9" w:rsidRDefault="00B17EA9" w:rsidP="00B17EA9">
      <w:pPr>
        <w:pStyle w:val="NormalWeb"/>
        <w:rPr>
          <w:rtl/>
        </w:rPr>
      </w:pPr>
      <w:r>
        <w:rPr>
          <w:rtl/>
        </w:rPr>
        <w:t xml:space="preserve">תָּא חֲזִי יוֹמָא חֲדָא שְׁאִילְנָא לְאֵלִיָּהוּ, עָרְלָה אַמַּאי שַׁוִּינָן בְּמָאנָא בְּעַפְרָא, אָמַר לִי שְׁמַעְנָא בִּמְתִיבְתָּא, </w:t>
      </w:r>
      <w:r>
        <w:rPr>
          <w:rStyle w:val="a7"/>
          <w:b w:val="0"/>
          <w:bCs w:val="0"/>
          <w:rtl/>
        </w:rPr>
        <w:footnoteReference w:id="3879"/>
      </w:r>
      <w:r>
        <w:rPr>
          <w:rtl/>
        </w:rPr>
        <w:t xml:space="preserve">דְּעָרְלָה אִיהוּ נָחָשׁ, וְכֵיוָן דְּאַעְבְּרִינָן לֵיהּ מֵאַתְרֵיהּ צָרִיךְ לְמֵיהַב לֵיהּ מְזוֹנֵיהּ, הֲדָא הוּא דִכְתִיב </w:t>
      </w:r>
      <w:r>
        <w:rPr>
          <w:sz w:val="20"/>
          <w:szCs w:val="23"/>
          <w:rtl/>
        </w:rPr>
        <w:t>(ישעיה סה לה)</w:t>
      </w:r>
      <w:r>
        <w:rPr>
          <w:rtl/>
        </w:rPr>
        <w:t xml:space="preserve"> וְנָחָשׁ עָפָר לַחְמוֹ, וּבְוַדַּאי בְּרִי בְּדָא אִשְׁתֵּזִיב בַּר נַשׁ </w:t>
      </w:r>
      <w:r>
        <w:rPr>
          <w:rStyle w:val="a7"/>
          <w:b w:val="0"/>
          <w:bCs w:val="0"/>
          <w:rtl/>
        </w:rPr>
        <w:footnoteReference w:id="3880"/>
      </w:r>
      <w:r>
        <w:rPr>
          <w:rtl/>
        </w:rPr>
        <w:t xml:space="preserve">מִדִּינָא דְחִבּוּט הַקֶּבֶר, </w:t>
      </w:r>
      <w:r>
        <w:rPr>
          <w:rStyle w:val="a7"/>
          <w:b w:val="0"/>
          <w:bCs w:val="0"/>
          <w:rtl/>
        </w:rPr>
        <w:footnoteReference w:id="3881"/>
      </w:r>
      <w:r>
        <w:rPr>
          <w:rtl/>
        </w:rPr>
        <w:t>וּדְמָא דְאַטִּיפִין מִפְּרִיעָה לְמֵיהַב מְזוֹנָא לְהַהוּא כַּלְבָּא דְאִיהוּ רוֹצֵחַ, וּבְדָא אִשְׁתֵּזִיב בַּר נַשׁ מֵחַרְבָּא דְמַלְאַךְ הַמָּוְת.</w:t>
      </w:r>
    </w:p>
    <w:p w:rsidR="00B17EA9" w:rsidRDefault="00B17EA9" w:rsidP="00B17EA9">
      <w:pPr>
        <w:pStyle w:val="NormalWeb"/>
        <w:rPr>
          <w:rtl/>
        </w:rPr>
      </w:pPr>
      <w:r>
        <w:rPr>
          <w:rtl/>
        </w:rPr>
        <w:t xml:space="preserve">וְעַל דָּא אָמַר אָדָם קַדְמָאָה קַמֵּי קוּדְשָׁא בְּרִיךְ הוּא, מִי מַצִּיל בָּנַי מֵחֶרֶב הַמִּתְהַפֶּכֶת, אָמַר לֵיהּ חַרְבָּא דְמִילָה, כְּמָה דְאַתְּ אָמַר </w:t>
      </w:r>
      <w:r>
        <w:rPr>
          <w:sz w:val="20"/>
          <w:szCs w:val="23"/>
          <w:rtl/>
        </w:rPr>
        <w:t>(יהושע ח ב)</w:t>
      </w:r>
      <w:r>
        <w:rPr>
          <w:rtl/>
        </w:rPr>
        <w:t xml:space="preserve"> עֲשֵׂה לְךָ חַרְבוֹת צוּרִים, וְחַרְבָּא דְקוּדְשָׁא בְּרִיךְ הוּא י''ו פִּיפִיּוֹת, לָקֳבֵל מִילָה וּפְרִיעָה וּמְצִיצָה וְי''ג בְּרִיתוֹת שֶׁנִּכְרְתוּ עָלֶיהָ, וְכֵן אוֹרַיְיתָא שֵׁזִיב לְבַר נַשׁ מִי''ו פִּיּוֹת דְּחַרְבָּא, כְּמָה דְאָמַר שְׁלֹמֹה </w:t>
      </w:r>
      <w:r>
        <w:rPr>
          <w:sz w:val="20"/>
          <w:szCs w:val="23"/>
          <w:rtl/>
        </w:rPr>
        <w:t>(משלי ג יב)</w:t>
      </w:r>
      <w:r>
        <w:rPr>
          <w:rtl/>
        </w:rPr>
        <w:t xml:space="preserve"> עִץ חַיִּים הִי''א דְסָלִיק לְי''ו.</w:t>
      </w:r>
    </w:p>
    <w:p w:rsidR="00B17EA9" w:rsidRDefault="00B17EA9" w:rsidP="00B17EA9">
      <w:pPr>
        <w:pStyle w:val="NormalWeb"/>
        <w:rPr>
          <w:rtl/>
        </w:rPr>
      </w:pPr>
      <w:r>
        <w:rPr>
          <w:rtl/>
        </w:rPr>
        <w:t xml:space="preserve">וְלָקֳבֵל אִלֵּין תְּרֵין אָמְרַת אוֹרַיְיתָא לֹא תִרְצַח וְלֹא תִנְאָף </w:t>
      </w:r>
      <w:r>
        <w:rPr>
          <w:sz w:val="20"/>
          <w:szCs w:val="23"/>
          <w:rtl/>
        </w:rPr>
        <w:t>(שמות כ יג יד)</w:t>
      </w:r>
      <w:r>
        <w:rPr>
          <w:rtl/>
        </w:rPr>
        <w:t xml:space="preserve">, לֹא תִנְאָף לָקֳבֵל נָחָשׁ אֵשֶׁת זְנוּנִים, לֹא תִרְצַח לָקֳבֵל סמא''ל, וְאָמַר דָּוִד עֲלֵיהּ </w:t>
      </w:r>
      <w:r>
        <w:rPr>
          <w:sz w:val="20"/>
          <w:szCs w:val="23"/>
          <w:rtl/>
        </w:rPr>
        <w:t>(תהלים כב כא)</w:t>
      </w:r>
      <w:r>
        <w:rPr>
          <w:rtl/>
        </w:rPr>
        <w:t xml:space="preserve"> הַצִּילָה מֵחֶרֶב נַפְשִׁי מִיַּד כֶּלֶב יְחִידָתִי, </w:t>
      </w:r>
      <w:r>
        <w:rPr>
          <w:rStyle w:val="a7"/>
          <w:b w:val="0"/>
          <w:bCs w:val="0"/>
          <w:rtl/>
        </w:rPr>
        <w:footnoteReference w:id="3882"/>
      </w:r>
      <w:r>
        <w:rPr>
          <w:rtl/>
        </w:rPr>
        <w:t xml:space="preserve">תְּלַת קְלִיפִין דְּעָרְלָה אִינוּן מַשְׁחִי''ת אַ''ף וְחֵימָ''ה, לָקֳבֵל פְּרִיעָה אִיהוּ עָוֹן, וְהַיְינוּ דְתַקִּינוּ בִצְלוֹתָא לְגַבַּיְיהוּ, </w:t>
      </w:r>
      <w:r>
        <w:rPr>
          <w:sz w:val="20"/>
          <w:szCs w:val="23"/>
          <w:rtl/>
        </w:rPr>
        <w:t>(שם עח לח)</w:t>
      </w:r>
      <w:r>
        <w:rPr>
          <w:rtl/>
        </w:rPr>
        <w:t xml:space="preserve"> וְהוּא רַחוּם יְכַפֵּר עָוֹן דָּא עָוֹן, וְלֹא יַשְׁחִית דָּא מַשְׁחִית, וְהִרְבָּה לְהָשִׁיב אַפּוֹ דָא אַף, וְלֹא יָעִיר כָּל חֲמָתוֹ דָא חֵמָה, וּמָאן דְּאַעִיל אוֹת בְּרִית בִּרְשׁוּ נוּכְרָאָה אִלֵּין אַרְבָּעָה שָׁלְטִין עֲלֵיהּ, </w:t>
      </w:r>
      <w:r>
        <w:rPr>
          <w:rStyle w:val="a7"/>
          <w:b w:val="0"/>
          <w:bCs w:val="0"/>
          <w:rtl/>
        </w:rPr>
        <w:footnoteReference w:id="3883"/>
      </w:r>
      <w:r>
        <w:rPr>
          <w:rtl/>
        </w:rPr>
        <w:t xml:space="preserve">הֲדָא הוּא דִכְתִיב </w:t>
      </w:r>
      <w:r>
        <w:rPr>
          <w:sz w:val="20"/>
          <w:szCs w:val="23"/>
          <w:rtl/>
        </w:rPr>
        <w:t>(בראשית ז יט)</w:t>
      </w:r>
      <w:r>
        <w:rPr>
          <w:rtl/>
        </w:rPr>
        <w:t xml:space="preserve"> וְהַמַּיִם גָּבְרוּ מְאֹד מְאֹד עַל הָאָרֶץ, עַל הָאָרֶץ דָּא גוּפָא דִילֵיהּ, וְאַרְבַּע זִמְנִין אִתְּמַר בְּפַרְשַׁת נֹחַ </w:t>
      </w:r>
      <w:r>
        <w:rPr>
          <w:sz w:val="20"/>
          <w:szCs w:val="23"/>
          <w:rtl/>
        </w:rPr>
        <w:t>(שם יח)</w:t>
      </w:r>
      <w:r>
        <w:rPr>
          <w:rtl/>
        </w:rPr>
        <w:t xml:space="preserve"> וַיִּגְבְּרוּ הַמַּיִם, גָּבְרוּ, לְקִבְלַיְיהוּ, וְהָא אוּקְמוּהוּ.</w:t>
      </w:r>
    </w:p>
    <w:p w:rsidR="00B17EA9" w:rsidRDefault="00B17EA9" w:rsidP="00B17EA9">
      <w:pPr>
        <w:pStyle w:val="NormalWeb"/>
        <w:rPr>
          <w:rtl/>
        </w:rPr>
      </w:pPr>
      <w:r>
        <w:rPr>
          <w:rStyle w:val="a7"/>
          <w:b w:val="0"/>
          <w:bCs w:val="0"/>
          <w:rtl/>
        </w:rPr>
        <w:footnoteReference w:id="3884"/>
      </w:r>
      <w:r>
        <w:rPr>
          <w:rtl/>
        </w:rPr>
        <w:t xml:space="preserve">עָרְלָה וּפְרִיעָה שְׁמַעְנָא דְאִינוּן רוֹמִי רַבְּתָא וְרוֹמִי זְעִירְתָא, בְּזִמְנָא דְמִתְעַבְּרִין מֵעָלְמָא אִתְגַּלְיָא אוֹת הַבְּרִית, </w:t>
      </w:r>
      <w:r>
        <w:rPr>
          <w:rStyle w:val="a7"/>
          <w:b w:val="0"/>
          <w:bCs w:val="0"/>
          <w:rtl/>
        </w:rPr>
        <w:footnoteReference w:id="3885"/>
      </w:r>
      <w:r>
        <w:rPr>
          <w:rtl/>
        </w:rPr>
        <w:t xml:space="preserve">דְּאִיהוּ בַת עַיִן צִיּוֹן דְּאִיהִי נְקוּדַת עָלְמָא, דִּבְזִמְנָא דְאִלֵּין קְלִיפִין שָׁלְטִין בְּעָלְמָא אִתְחַזַּר עָלְמָא לְתֹהוּ וָבֹהוּ, הֲדָא הוּא דִכְתִיב </w:t>
      </w:r>
      <w:r>
        <w:rPr>
          <w:sz w:val="20"/>
          <w:szCs w:val="23"/>
          <w:rtl/>
        </w:rPr>
        <w:t>(בראשית א ב)</w:t>
      </w:r>
      <w:r>
        <w:rPr>
          <w:rtl/>
        </w:rPr>
        <w:t xml:space="preserve"> וְהָאָרֶץ הָיְתָה תֹהוּ וָבֹהוּ, בְּזִמְנָא דְיֵתֵי פוּרְקָנָא מִיָּד וַיֹּאמֶר אלהי''ם יְהִי אוֹר וַיְהִי אוֹר </w:t>
      </w:r>
      <w:r>
        <w:rPr>
          <w:sz w:val="20"/>
          <w:szCs w:val="23"/>
          <w:rtl/>
        </w:rPr>
        <w:t>(שם ג)</w:t>
      </w:r>
      <w:r>
        <w:rPr>
          <w:szCs w:val="23"/>
          <w:rtl/>
        </w:rPr>
        <w:t xml:space="preserve"> </w:t>
      </w:r>
      <w:r>
        <w:rPr>
          <w:rStyle w:val="a7"/>
          <w:b w:val="0"/>
          <w:szCs w:val="23"/>
          <w:rtl/>
        </w:rPr>
        <w:footnoteReference w:id="3886"/>
      </w:r>
      <w:r>
        <w:rPr>
          <w:rStyle w:val="Char"/>
          <w:rtl/>
        </w:rPr>
        <w:t>הָיָה אוֹר לָא כְּתִיב אֶלָּא יְהִי</w:t>
      </w:r>
      <w:r>
        <w:rPr>
          <w:szCs w:val="23"/>
          <w:rtl/>
        </w:rPr>
        <w:t xml:space="preserve"> </w:t>
      </w:r>
      <w:r>
        <w:rPr>
          <w:sz w:val="20"/>
          <w:szCs w:val="23"/>
          <w:rtl/>
        </w:rPr>
        <w:t>(ויהי אור)</w:t>
      </w:r>
      <w:r>
        <w:rPr>
          <w:rtl/>
        </w:rPr>
        <w:t xml:space="preserve"> אוֹר, וַיְהִי עֶרֶב וַיְהִי בֹקֶר יוֹם אֶחָד </w:t>
      </w:r>
      <w:r>
        <w:rPr>
          <w:sz w:val="20"/>
          <w:szCs w:val="23"/>
          <w:rtl/>
        </w:rPr>
        <w:t>(שם ה)</w:t>
      </w:r>
      <w:r>
        <w:rPr>
          <w:rtl/>
        </w:rPr>
        <w:t xml:space="preserve">, </w:t>
      </w:r>
      <w:r>
        <w:rPr>
          <w:rStyle w:val="a7"/>
          <w:b w:val="0"/>
          <w:bCs w:val="0"/>
          <w:rtl/>
        </w:rPr>
        <w:footnoteReference w:id="3887"/>
      </w:r>
      <w:r>
        <w:rPr>
          <w:rtl/>
        </w:rPr>
        <w:t xml:space="preserve">בַּיּוֹם הַהוּא יִהְיֶה יהו''ה אֶחָד וּשְׁמוֹ אֶחָד </w:t>
      </w:r>
      <w:r>
        <w:rPr>
          <w:sz w:val="20"/>
          <w:szCs w:val="23"/>
          <w:rtl/>
        </w:rPr>
        <w:t>(זכריה יד ט)</w:t>
      </w:r>
      <w:r>
        <w:rPr>
          <w:rtl/>
        </w:rPr>
        <w:t xml:space="preserve">. </w:t>
      </w:r>
      <w:r>
        <w:rPr>
          <w:sz w:val="20"/>
          <w:szCs w:val="23"/>
          <w:rtl/>
        </w:rPr>
        <w:t>(ע"פ הגר"א רתל"ב כאן צ"ל תכ"ה).</w:t>
      </w:r>
    </w:p>
    <w:p w:rsidR="00B17EA9" w:rsidRDefault="00B17EA9" w:rsidP="00B17EA9">
      <w:pPr>
        <w:pStyle w:val="a8"/>
        <w:spacing w:before="0" w:after="40"/>
        <w:rPr>
          <w:rtl/>
        </w:rPr>
      </w:pPr>
      <w:bookmarkStart w:id="243" w:name="_Toc228091316"/>
      <w:bookmarkStart w:id="244" w:name="_Toc231637955"/>
    </w:p>
    <w:p w:rsidR="00B17EA9" w:rsidRDefault="00B17EA9" w:rsidP="00602EF1">
      <w:pPr>
        <w:pStyle w:val="1"/>
        <w:rPr>
          <w:u w:val="single"/>
          <w:rtl/>
        </w:rPr>
      </w:pPr>
      <w:r>
        <w:rPr>
          <w:rtl/>
        </w:rPr>
        <w:t>תקונא תמניא ותלתין</w:t>
      </w:r>
      <w:bookmarkEnd w:id="243"/>
      <w:bookmarkEnd w:id="244"/>
    </w:p>
    <w:p w:rsidR="00B17EA9" w:rsidRDefault="00B17EA9" w:rsidP="00B17EA9">
      <w:pPr>
        <w:spacing w:after="40" w:line="360" w:lineRule="atLeast"/>
        <w:ind w:left="144" w:right="144" w:firstLine="288"/>
        <w:jc w:val="both"/>
        <w:rPr>
          <w:rFonts w:ascii="Arial"/>
          <w:b/>
          <w:bCs/>
          <w:sz w:val="29"/>
          <w:szCs w:val="29"/>
          <w:rtl/>
        </w:rPr>
      </w:pPr>
      <w:r>
        <w:rPr>
          <w:rStyle w:val="a7"/>
          <w:rFonts w:ascii="Arial"/>
          <w:b/>
          <w:bCs/>
          <w:sz w:val="29"/>
          <w:szCs w:val="29"/>
          <w:rtl/>
        </w:rPr>
        <w:footnoteReference w:id="3888"/>
      </w:r>
      <w:r>
        <w:rPr>
          <w:rFonts w:ascii="Arial"/>
          <w:b/>
          <w:bCs/>
          <w:sz w:val="29"/>
          <w:szCs w:val="29"/>
          <w:rtl/>
        </w:rPr>
        <w:t xml:space="preserve">בְּרֵאשִׁית בָּרָא אלהי''ם, </w:t>
      </w:r>
      <w:r>
        <w:rPr>
          <w:rStyle w:val="a7"/>
          <w:rFonts w:ascii="Arial"/>
          <w:b/>
          <w:bCs/>
          <w:sz w:val="29"/>
          <w:szCs w:val="29"/>
          <w:rtl/>
        </w:rPr>
        <w:footnoteReference w:id="3889"/>
      </w:r>
      <w:r>
        <w:rPr>
          <w:rFonts w:ascii="Arial"/>
          <w:b/>
          <w:bCs/>
          <w:sz w:val="29"/>
          <w:szCs w:val="29"/>
          <w:rtl/>
        </w:rPr>
        <w:t xml:space="preserve">פָּתַח וְאָמַר כְּשׁוֹשַׁנָּה בֵּין הַחוֹחִים וכו' </w:t>
      </w:r>
      <w:r>
        <w:rPr>
          <w:rFonts w:ascii="Arial"/>
          <w:b/>
          <w:szCs w:val="23"/>
          <w:rtl/>
        </w:rPr>
        <w:t>(שיר ב ב)</w:t>
      </w:r>
      <w:r>
        <w:rPr>
          <w:rFonts w:ascii="Arial"/>
          <w:b/>
          <w:bCs/>
          <w:sz w:val="29"/>
          <w:szCs w:val="29"/>
          <w:rtl/>
        </w:rPr>
        <w:t xml:space="preserve">, שׁוֹשַׁנָּה אִית בָּהּ חָמֵשׁ עַלִּין מִלְּגָו וְחָמֵשׁ עַלִּין מִלְּבָר, וְאִינוּן ה''ה, שַׁרְבִיט דִּילָהּ ו', תַּפּוּחַ דִּילָהּ י', וְכֹלָּא אלהי''ם, חָמֵשׁ אַתְוָון דִּילֵיהּ ה' חָמֵשׁ עַלִּין מִלְּבָר, ה' חָמֵשׁ עַלִּין מִלְּגָאו, י' תַּפּוּחַ, </w:t>
      </w:r>
      <w:r>
        <w:rPr>
          <w:rStyle w:val="a7"/>
          <w:rFonts w:ascii="Arial"/>
          <w:b/>
          <w:bCs/>
          <w:sz w:val="29"/>
          <w:szCs w:val="29"/>
          <w:rtl/>
        </w:rPr>
        <w:footnoteReference w:id="3890"/>
      </w:r>
      <w:r>
        <w:rPr>
          <w:rFonts w:ascii="Arial"/>
          <w:b/>
          <w:bCs/>
          <w:sz w:val="29"/>
          <w:szCs w:val="29"/>
          <w:rtl/>
        </w:rPr>
        <w:t>ו' מָלֵ''א שַׁרְבִיט.</w:t>
      </w:r>
    </w:p>
    <w:p w:rsidR="00B17EA9" w:rsidRDefault="00B17EA9" w:rsidP="00B17EA9">
      <w:pPr>
        <w:spacing w:after="40" w:line="360" w:lineRule="atLeast"/>
        <w:ind w:left="144" w:right="144" w:firstLine="288"/>
        <w:jc w:val="both"/>
        <w:rPr>
          <w:rFonts w:ascii="Arial"/>
          <w:b/>
          <w:bCs/>
          <w:sz w:val="29"/>
          <w:szCs w:val="29"/>
          <w:rtl/>
        </w:rPr>
      </w:pPr>
      <w:r>
        <w:rPr>
          <w:rStyle w:val="a7"/>
          <w:rFonts w:ascii="Arial"/>
          <w:b/>
          <w:bCs/>
          <w:sz w:val="29"/>
          <w:szCs w:val="29"/>
          <w:rtl/>
        </w:rPr>
        <w:footnoteReference w:id="3891"/>
      </w:r>
      <w:r>
        <w:rPr>
          <w:rFonts w:ascii="Arial"/>
          <w:b/>
          <w:bCs/>
          <w:sz w:val="29"/>
          <w:szCs w:val="29"/>
          <w:rtl/>
        </w:rPr>
        <w:t xml:space="preserve">בְּזִמְנָא דְהַאי שׁוֹשַׁנָּה אִיהִי בְּגָלוּתָא אִיהִי אַטוּמָא, </w:t>
      </w:r>
      <w:r>
        <w:rPr>
          <w:rStyle w:val="a7"/>
          <w:rFonts w:ascii="Arial"/>
          <w:b/>
          <w:bCs/>
          <w:sz w:val="29"/>
          <w:szCs w:val="29"/>
          <w:rtl/>
        </w:rPr>
        <w:footnoteReference w:id="3892"/>
      </w:r>
      <w:r>
        <w:rPr>
          <w:rFonts w:ascii="Arial"/>
          <w:b/>
          <w:bCs/>
          <w:sz w:val="29"/>
          <w:szCs w:val="29"/>
          <w:rtl/>
        </w:rPr>
        <w:t xml:space="preserve">בְּזִמְנָא דִיְהֵא פּוּרְקָנָא בְּעָלְמָא אִתְפַּתְּחַת בְּחָמֵשׁ אוֹר, הֲדָא הוּא דִכְתִיב </w:t>
      </w:r>
      <w:r>
        <w:rPr>
          <w:rFonts w:ascii="Arial"/>
          <w:b/>
          <w:szCs w:val="23"/>
          <w:rtl/>
        </w:rPr>
        <w:t>(בראשית א ג)</w:t>
      </w:r>
      <w:r>
        <w:rPr>
          <w:rFonts w:ascii="Arial"/>
          <w:b/>
          <w:bCs/>
          <w:sz w:val="29"/>
          <w:szCs w:val="29"/>
          <w:rtl/>
        </w:rPr>
        <w:t xml:space="preserve"> וַיֹּאמֶר אלהי''ם </w:t>
      </w:r>
      <w:r>
        <w:rPr>
          <w:rStyle w:val="a7"/>
          <w:rFonts w:ascii="Arial"/>
          <w:b/>
          <w:bCs/>
          <w:sz w:val="29"/>
          <w:szCs w:val="29"/>
          <w:rtl/>
        </w:rPr>
        <w:footnoteReference w:id="3893"/>
      </w:r>
      <w:r>
        <w:rPr>
          <w:rFonts w:ascii="Arial"/>
          <w:b/>
          <w:bCs/>
          <w:sz w:val="29"/>
          <w:szCs w:val="29"/>
          <w:rtl/>
        </w:rPr>
        <w:t xml:space="preserve">יְהִי אוֹר, וּבְהַהוּא זִמְנָא דְאִתְפַּתְּחַת אִתְלַבְּשַׁת בְּכַמָּה לְבוּשִׁין דִּנְהוֹרִין דְּאוֹרַיְיתָא, </w:t>
      </w:r>
      <w:r>
        <w:rPr>
          <w:rStyle w:val="a7"/>
          <w:rFonts w:ascii="Arial"/>
          <w:b/>
          <w:bCs/>
          <w:sz w:val="29"/>
          <w:szCs w:val="29"/>
          <w:rtl/>
        </w:rPr>
        <w:footnoteReference w:id="3894"/>
      </w:r>
      <w:r>
        <w:rPr>
          <w:rFonts w:ascii="Arial"/>
          <w:b/>
          <w:bCs/>
          <w:sz w:val="29"/>
          <w:szCs w:val="29"/>
          <w:rtl/>
        </w:rPr>
        <w:t xml:space="preserve">וְאִתְקַשְּׁטַת בְּכַמָּה פְּקּוּדִין דַּעֲשֵׂה, וְאִתְקַשְּׁטַת בְּקִשּׁוּטָהָא, </w:t>
      </w:r>
      <w:r>
        <w:rPr>
          <w:rStyle w:val="a7"/>
          <w:rFonts w:ascii="Arial"/>
          <w:b/>
          <w:bCs/>
          <w:sz w:val="29"/>
          <w:szCs w:val="29"/>
          <w:rtl/>
        </w:rPr>
        <w:footnoteReference w:id="3895"/>
      </w:r>
      <w:r>
        <w:rPr>
          <w:rStyle w:val="a7"/>
          <w:rFonts w:ascii="Arial"/>
          <w:b/>
          <w:bCs/>
          <w:sz w:val="29"/>
          <w:szCs w:val="29"/>
          <w:rtl/>
        </w:rPr>
        <w:footnoteReference w:id="3896"/>
      </w:r>
      <w:r>
        <w:rPr>
          <w:rFonts w:ascii="Arial"/>
          <w:b/>
          <w:bCs/>
          <w:sz w:val="29"/>
          <w:szCs w:val="29"/>
          <w:rtl/>
        </w:rPr>
        <w:t xml:space="preserve">בְּאַרְבָּעָה בִּגְדֵי לָבָן דְּאִינוּן יהו''ה, וּבְאַרְבָּעָה בִּגְדֵי זָהָב דְּאִינוּן אדנ''י, בְּאַרְבַּע בָּתֵּי דִתְּפִלִּין דְּיָד, וּבְאַרְבַּע בָּתֵּי דִתְּפִלִּין דְּרֵישָׁא, דְּאִינוּן לְקִבְלַיְיהוּ, </w:t>
      </w:r>
      <w:r>
        <w:rPr>
          <w:rStyle w:val="a7"/>
          <w:rFonts w:ascii="Arial"/>
          <w:b/>
          <w:bCs/>
          <w:sz w:val="29"/>
          <w:szCs w:val="29"/>
          <w:rtl/>
        </w:rPr>
        <w:footnoteReference w:id="3897"/>
      </w:r>
      <w:r>
        <w:rPr>
          <w:rFonts w:ascii="Arial"/>
          <w:b/>
          <w:bCs/>
          <w:sz w:val="29"/>
          <w:szCs w:val="29"/>
          <w:rtl/>
        </w:rPr>
        <w:t xml:space="preserve">אַרְבַּע לְבוּשִׁין דְּכֹהֵן הֶדְיוֹט אִינוּן לָקֳבֵל אַרְבַּע כַּנְפוֹת כְּסוּתְךָ אֲשֶׁר תְּכַסֶּה בָּהּ </w:t>
      </w:r>
      <w:r>
        <w:rPr>
          <w:rFonts w:ascii="Arial"/>
          <w:b/>
          <w:szCs w:val="23"/>
          <w:rtl/>
        </w:rPr>
        <w:t>(דברים כב יב)</w:t>
      </w:r>
      <w:r>
        <w:rPr>
          <w:rFonts w:ascii="Arial"/>
          <w:b/>
          <w:bCs/>
          <w:sz w:val="29"/>
          <w:szCs w:val="29"/>
          <w:rtl/>
        </w:rPr>
        <w:t>.</w:t>
      </w:r>
    </w:p>
    <w:p w:rsidR="00B17EA9" w:rsidRDefault="00B17EA9" w:rsidP="00B17EA9">
      <w:pPr>
        <w:spacing w:after="40" w:line="360" w:lineRule="atLeast"/>
        <w:ind w:left="144" w:right="144" w:firstLine="288"/>
        <w:jc w:val="both"/>
        <w:rPr>
          <w:rFonts w:ascii="Arial"/>
          <w:b/>
          <w:szCs w:val="23"/>
          <w:rtl/>
        </w:rPr>
      </w:pPr>
      <w:r>
        <w:rPr>
          <w:rtl/>
        </w:rPr>
        <w:t xml:space="preserve">[תיקוני זוהר - דף פב ע''א] </w:t>
      </w:r>
    </w:p>
    <w:p w:rsidR="00B17EA9" w:rsidRDefault="00B17EA9" w:rsidP="00B17EA9">
      <w:pPr>
        <w:pStyle w:val="NormalWeb"/>
        <w:rPr>
          <w:rtl/>
        </w:rPr>
      </w:pPr>
      <w:r>
        <w:rPr>
          <w:rtl/>
        </w:rPr>
        <w:t xml:space="preserve">וְכַד אִתְתַּקְנַת בְּאִלֵּין לְבוּשִׁין, </w:t>
      </w:r>
      <w:r>
        <w:rPr>
          <w:rStyle w:val="a7"/>
          <w:b w:val="0"/>
          <w:bCs w:val="0"/>
          <w:rtl/>
        </w:rPr>
        <w:footnoteReference w:id="3898"/>
      </w:r>
      <w:r>
        <w:rPr>
          <w:rtl/>
        </w:rPr>
        <w:t xml:space="preserve">מִיָּד אִתְפַּתַּח הֵיכָלָא לְגַבָּהּ, הֲדָא הוּא דִכְתִיב </w:t>
      </w:r>
      <w:r>
        <w:rPr>
          <w:sz w:val="20"/>
          <w:szCs w:val="23"/>
          <w:rtl/>
        </w:rPr>
        <w:t>(תהלים נא יז)</w:t>
      </w:r>
      <w:r>
        <w:rPr>
          <w:rtl/>
        </w:rPr>
        <w:t xml:space="preserve"> אדנ''י שְׂפָתַי תִּפְתָּח, </w:t>
      </w:r>
      <w:r>
        <w:rPr>
          <w:rStyle w:val="a7"/>
          <w:b w:val="0"/>
          <w:bCs w:val="0"/>
          <w:rtl/>
        </w:rPr>
        <w:footnoteReference w:id="3899"/>
      </w:r>
      <w:r>
        <w:rPr>
          <w:rtl/>
        </w:rPr>
        <w:t xml:space="preserve">וּלְקֲבֵל נְעִימוּ דְּרִמּוֹנִים וְזַגִין דִּלְבוּשָׁא דִילָהּ, כַּד אָמְרִין יִשְׂרָאֵל קְרִיאַת שְׁמַע, אִתְּמַר בְּחֵיוָון </w:t>
      </w:r>
      <w:r>
        <w:rPr>
          <w:sz w:val="20"/>
          <w:szCs w:val="23"/>
          <w:rtl/>
        </w:rPr>
        <w:t>(יחזקאל א כד)</w:t>
      </w:r>
      <w:r>
        <w:rPr>
          <w:rtl/>
        </w:rPr>
        <w:t xml:space="preserve"> וָאֶשְׁמַע אֶת קוֹל כַּנְפֵיהֶם, </w:t>
      </w:r>
      <w:r>
        <w:rPr>
          <w:rStyle w:val="a7"/>
          <w:b w:val="0"/>
          <w:bCs w:val="0"/>
          <w:rtl/>
        </w:rPr>
        <w:footnoteReference w:id="3900"/>
      </w:r>
      <w:r>
        <w:rPr>
          <w:rtl/>
        </w:rPr>
        <w:t xml:space="preserve">מַה כְּתִיב בָּהּ </w:t>
      </w:r>
      <w:r>
        <w:rPr>
          <w:sz w:val="20"/>
          <w:szCs w:val="23"/>
          <w:rtl/>
        </w:rPr>
        <w:t>(במדבר ז פט)</w:t>
      </w:r>
      <w:r>
        <w:rPr>
          <w:rtl/>
        </w:rPr>
        <w:t xml:space="preserve"> וַיִּשְׁמַע אֶת הַקּוֹל מִדַּבֵּר אֵלָיו, קָלָא אִשְׁתַּמַּע לְגַבָּהּ </w:t>
      </w:r>
      <w:r>
        <w:rPr>
          <w:rStyle w:val="a7"/>
          <w:b w:val="0"/>
          <w:bCs w:val="0"/>
          <w:rtl/>
        </w:rPr>
        <w:footnoteReference w:id="3901"/>
      </w:r>
      <w:r>
        <w:rPr>
          <w:rtl/>
        </w:rPr>
        <w:t xml:space="preserve">מִבֵּין תְּרֵין כְּרוּבַיָּא </w:t>
      </w:r>
      <w:r>
        <w:rPr>
          <w:rStyle w:val="a7"/>
          <w:b w:val="0"/>
          <w:bCs w:val="0"/>
          <w:rtl/>
        </w:rPr>
        <w:footnoteReference w:id="3902"/>
      </w:r>
      <w:r>
        <w:rPr>
          <w:rtl/>
        </w:rPr>
        <w:t xml:space="preserve">דְאִינוּן דּוּ פַּרְצוּפִין, וְכַד מִתְיַחֲדָא דִבּוּר בְּקָלָא </w:t>
      </w:r>
      <w:r>
        <w:rPr>
          <w:sz w:val="20"/>
          <w:szCs w:val="23"/>
          <w:rtl/>
        </w:rPr>
        <w:t xml:space="preserve">(דף פב ע''א) </w:t>
      </w:r>
      <w:r>
        <w:rPr>
          <w:rtl/>
        </w:rPr>
        <w:t xml:space="preserve">אִתְעֲבִידוּ קוֹל דְּמָמָה דַקָּה, וְדָא צְלוֹתָא בַחֲשַׁאי, </w:t>
      </w:r>
      <w:r>
        <w:rPr>
          <w:rStyle w:val="a7"/>
          <w:b w:val="0"/>
          <w:bCs w:val="0"/>
          <w:rtl/>
        </w:rPr>
        <w:footnoteReference w:id="3903"/>
      </w:r>
      <w:r>
        <w:rPr>
          <w:rtl/>
        </w:rPr>
        <w:t xml:space="preserve">וּבְהַהוּא זִמְנָא מָאן דְּבָעִי לְמִשְׁאַל שְׁאֶלְתּוֹי יִשְׁאַל, דִּבְהַהִיא זִמְנָא יְהֵא עִת רָצוֹן, דְּהָא תְּרֵין שְׁמָהָן כַּחֲדָא יאהדונה''י, </w:t>
      </w:r>
      <w:r>
        <w:rPr>
          <w:rStyle w:val="a7"/>
          <w:b w:val="0"/>
          <w:bCs w:val="0"/>
          <w:rtl/>
        </w:rPr>
        <w:footnoteReference w:id="3904"/>
      </w:r>
      <w:r>
        <w:rPr>
          <w:rtl/>
        </w:rPr>
        <w:t xml:space="preserve">אָז תִּקְרָא וַיהו''ה יַעֲנֶה </w:t>
      </w:r>
      <w:r>
        <w:rPr>
          <w:sz w:val="20"/>
          <w:szCs w:val="23"/>
          <w:rtl/>
        </w:rPr>
        <w:t>(ישעיה נח ט)</w:t>
      </w:r>
      <w:r>
        <w:rPr>
          <w:rtl/>
        </w:rPr>
        <w:t xml:space="preserve">, מִיָּד אָ''ז יאהדונה''י, תְּרֵין שְׁמָהָן וּתְמַנְיָא אַתְוָון דִּבְהוֹן הָא עֶשֶׂר, </w:t>
      </w:r>
      <w:r>
        <w:rPr>
          <w:sz w:val="20"/>
          <w:szCs w:val="23"/>
          <w:rtl/>
        </w:rPr>
        <w:t>(ודא רזא ארור אשר לא יקים את דברי התורה הזאת וכו' (דברים כז כו), דא חבורא דחתן וכלה כי אז אהפוך אל עמים שפה ברורה וכו' (צפניה ג ט), ודא רזא ואמר כל העם אמ''ן)</w:t>
      </w:r>
      <w:r>
        <w:rPr>
          <w:szCs w:val="23"/>
          <w:rtl/>
        </w:rPr>
        <w:t xml:space="preserve"> </w:t>
      </w:r>
      <w:r>
        <w:rPr>
          <w:sz w:val="20"/>
          <w:szCs w:val="23"/>
          <w:rtl/>
        </w:rPr>
        <w:t>(דברים כז כו)</w:t>
      </w:r>
      <w:r>
        <w:rPr>
          <w:rtl/>
        </w:rPr>
        <w:t>.</w:t>
      </w:r>
    </w:p>
    <w:p w:rsidR="00B17EA9" w:rsidRDefault="00B17EA9" w:rsidP="00B17EA9">
      <w:pPr>
        <w:pStyle w:val="NormalWeb"/>
        <w:rPr>
          <w:rtl/>
        </w:rPr>
      </w:pPr>
      <w:r>
        <w:rPr>
          <w:rStyle w:val="a7"/>
          <w:b w:val="0"/>
          <w:bCs w:val="0"/>
          <w:rtl/>
        </w:rPr>
        <w:footnoteReference w:id="3905"/>
      </w:r>
      <w:r>
        <w:rPr>
          <w:rtl/>
        </w:rPr>
        <w:t xml:space="preserve">וְעַד דְּיִפְקוּן יִשְׂרָאֵל מִן גָּלוּתָא לָא יְהוֹן בְּזִוּוּגָא חֲדָא, וּבְזִמְנָא דְיִפְקוּן יִשְׂרָאֵל מִן גָּלוּתָא יִתְחַבְּרוּן כַּחֲדָא, בְּהַהוּא זִמְנָא אָ''ז יָשִׁיר מֹשֶׁה </w:t>
      </w:r>
      <w:r>
        <w:rPr>
          <w:sz w:val="20"/>
          <w:szCs w:val="23"/>
          <w:rtl/>
        </w:rPr>
        <w:t>(שמות טו א)</w:t>
      </w:r>
      <w:r>
        <w:rPr>
          <w:rtl/>
        </w:rPr>
        <w:t xml:space="preserve">, </w:t>
      </w:r>
      <w:r>
        <w:rPr>
          <w:rStyle w:val="a7"/>
          <w:b w:val="0"/>
          <w:bCs w:val="0"/>
          <w:rtl/>
        </w:rPr>
        <w:footnoteReference w:id="3906"/>
      </w:r>
      <w:r>
        <w:rPr>
          <w:rtl/>
        </w:rPr>
        <w:t xml:space="preserve">וּמִיָּד וַיֹּאמֶר אלהי''ם יְהִי אוֹר דְּאִיהוּ מַפְּקָנוּ דְגָלוּתָא, </w:t>
      </w:r>
      <w:r>
        <w:rPr>
          <w:rStyle w:val="a7"/>
          <w:b w:val="0"/>
          <w:bCs w:val="0"/>
          <w:rtl/>
        </w:rPr>
        <w:footnoteReference w:id="3907"/>
      </w:r>
      <w:r>
        <w:rPr>
          <w:rtl/>
        </w:rPr>
        <w:t xml:space="preserve">בְּהַהוּא זִמְנָא דְמַטְרוֹנִיתָא בָעַאת לְאַעָלָא בְהֵיכָלָא דִילָהּ, קָלָא סָלִיק בְּרוּמֵי רְקִיעִין וְיֵימָא הָכִי, </w:t>
      </w:r>
      <w:r>
        <w:rPr>
          <w:rStyle w:val="a7"/>
          <w:b w:val="0"/>
          <w:bCs w:val="0"/>
          <w:rtl/>
        </w:rPr>
        <w:footnoteReference w:id="3908"/>
      </w:r>
      <w:r>
        <w:rPr>
          <w:rtl/>
        </w:rPr>
        <w:t xml:space="preserve">מַשִּׁרְיָין סַגִּיאִין דִּמְתִיבְתָּא עִלָּאָה וְתַתָּאָה דְנִשְׁמָתִין קַדִּישִׁין, אִתְתַּקְנוּ לְקַדְמוּת מַטְרוֹנִיתָא דְקָא אַתְיָא לְאִתְתַּקְנָא, לְמִפְרַק בְּנָהָא מִן גָּלוּתָא, בְּהַהוּא זִמְנָא כַּמָּה </w:t>
      </w:r>
      <w:r>
        <w:rPr>
          <w:rStyle w:val="a7"/>
          <w:b w:val="0"/>
          <w:bCs w:val="0"/>
          <w:rtl/>
        </w:rPr>
        <w:footnoteReference w:id="3909"/>
      </w:r>
      <w:r>
        <w:rPr>
          <w:rtl/>
        </w:rPr>
        <w:t xml:space="preserve">מָארֵי שׁוֹפָרוֹת </w:t>
      </w:r>
      <w:r>
        <w:rPr>
          <w:rStyle w:val="a7"/>
          <w:b w:val="0"/>
          <w:bCs w:val="0"/>
          <w:rtl/>
        </w:rPr>
        <w:footnoteReference w:id="3910"/>
      </w:r>
      <w:r>
        <w:rPr>
          <w:rtl/>
        </w:rPr>
        <w:t xml:space="preserve">וּמָארֵי דְקָלִין </w:t>
      </w:r>
      <w:r>
        <w:rPr>
          <w:rStyle w:val="a7"/>
          <w:b w:val="0"/>
          <w:bCs w:val="0"/>
          <w:rtl/>
        </w:rPr>
        <w:footnoteReference w:id="3911"/>
      </w:r>
      <w:r>
        <w:rPr>
          <w:rtl/>
        </w:rPr>
        <w:t xml:space="preserve">וּמָארֵי דִבְּרָקִים, דְּאִתְּמַר בְּהוֹן </w:t>
      </w:r>
      <w:r>
        <w:rPr>
          <w:sz w:val="20"/>
          <w:szCs w:val="23"/>
          <w:rtl/>
        </w:rPr>
        <w:t>(שמות יט טז)</w:t>
      </w:r>
      <w:r>
        <w:rPr>
          <w:rtl/>
        </w:rPr>
        <w:t xml:space="preserve"> וַיְהִי קוֹלוֹת וּבְרָקִים </w:t>
      </w:r>
      <w:r>
        <w:rPr>
          <w:rStyle w:val="a7"/>
          <w:b w:val="0"/>
          <w:bCs w:val="0"/>
          <w:rtl/>
        </w:rPr>
        <w:footnoteReference w:id="3912"/>
      </w:r>
      <w:r>
        <w:rPr>
          <w:rtl/>
        </w:rPr>
        <w:t xml:space="preserve">וְעָנָן כָּבֵד עַל הָהָר וְקוֹל שׁוֹפָר חָזָק מְאֹד וכו', מֹשֶׁה יְדַבֵּר וְהָאלהי''ם יַעֲנֶנּוּ בְקוֹל, </w:t>
      </w:r>
      <w:r>
        <w:rPr>
          <w:rStyle w:val="a7"/>
          <w:b w:val="0"/>
          <w:bCs w:val="0"/>
          <w:rtl/>
        </w:rPr>
        <w:footnoteReference w:id="3913"/>
      </w:r>
      <w:r>
        <w:rPr>
          <w:rtl/>
        </w:rPr>
        <w:t xml:space="preserve">בְּהַהוּא זִמְנָא מֹשֶׁה יְמַלֵּל בִּשְׁכִינְתָּא, הֲדָא הוּא דִכְתִיב </w:t>
      </w:r>
      <w:r>
        <w:rPr>
          <w:sz w:val="20"/>
          <w:szCs w:val="23"/>
          <w:rtl/>
        </w:rPr>
        <w:t>(במדבר יב ח)</w:t>
      </w:r>
      <w:r>
        <w:rPr>
          <w:rtl/>
        </w:rPr>
        <w:t xml:space="preserve"> פֶּה אֶל פֶּה אֲדַבֶּר בּוֹ, וְהָאלהי''ם דְּאִיהִי אִימָּא עִלָּאָה, יַעֲנֶנּוּ בְקוֹל דְּאִיהוּ עַמּוּדָא דְאֶמְצָעִיתָא, וְהָא אוּקְמוּהוּ מָארֵי מַתְנִיתִין </w:t>
      </w:r>
      <w:r>
        <w:rPr>
          <w:rStyle w:val="a7"/>
          <w:b w:val="0"/>
          <w:bCs w:val="0"/>
          <w:rtl/>
        </w:rPr>
        <w:footnoteReference w:id="3914"/>
      </w:r>
      <w:r>
        <w:rPr>
          <w:rtl/>
        </w:rPr>
        <w:t>בְּקוֹלוֹ שֶׁל מֹשֶׁה.</w:t>
      </w:r>
    </w:p>
    <w:p w:rsidR="00B17EA9" w:rsidRDefault="00B17EA9" w:rsidP="00B17EA9">
      <w:pPr>
        <w:pStyle w:val="NormalWeb"/>
        <w:rPr>
          <w:rtl/>
        </w:rPr>
      </w:pPr>
      <w:r>
        <w:rPr>
          <w:rStyle w:val="a7"/>
          <w:b w:val="0"/>
          <w:bCs w:val="0"/>
          <w:rtl/>
        </w:rPr>
        <w:footnoteReference w:id="3915"/>
      </w:r>
      <w:r>
        <w:rPr>
          <w:rtl/>
        </w:rPr>
        <w:t xml:space="preserve">וּבְהַהוּא זִמְנָא שְׁכִינְתָּא עִלָּאָה וְתַתָּאָה סָלְקִין דָּא עַל גַּב דָּא, כְּגַוְונָא דְאִתְּמַר בְּטוּרָא דְסִינַי, דְּאִתְּמַר תַּמָּן </w:t>
      </w:r>
      <w:r>
        <w:rPr>
          <w:sz w:val="20"/>
          <w:szCs w:val="23"/>
          <w:rtl/>
        </w:rPr>
        <w:t>(שיר ג ו)</w:t>
      </w:r>
      <w:r>
        <w:rPr>
          <w:rtl/>
        </w:rPr>
        <w:t xml:space="preserve"> מִי זֹאת עוֹלָה מִן הַמִּדְבָּר, מִי בְזֹאת עוֹלָה, מִ''י אִימָּא עִלָּאָה דְבָהּ פָּתַח קוּדְשָׁא בְּרִיךְ הוּא בְטוּרָא דְסִינַי אָנֹכִ''י.</w:t>
      </w:r>
    </w:p>
    <w:p w:rsidR="00B17EA9" w:rsidRDefault="00B17EA9" w:rsidP="00B17EA9">
      <w:pPr>
        <w:pStyle w:val="NormalWeb"/>
        <w:rPr>
          <w:rtl/>
        </w:rPr>
      </w:pPr>
      <w:r>
        <w:rPr>
          <w:rtl/>
        </w:rPr>
        <w:t xml:space="preserve">קָם סָבָא חֲדָא מִבָּתַר טוּלָא דְרַבִּי שִׁמְעוֹן וְאָמַר רַבִּי רַבִּי, הָא חֲזֵינָא דְאִתְּמַר </w:t>
      </w:r>
      <w:r>
        <w:rPr>
          <w:sz w:val="20"/>
          <w:szCs w:val="23"/>
          <w:rtl/>
        </w:rPr>
        <w:t>(דברים ד לו)</w:t>
      </w:r>
      <w:r>
        <w:rPr>
          <w:rtl/>
        </w:rPr>
        <w:t xml:space="preserve"> מִן הַשָּׁמַיִם הִשְׁמִיעֲךָ אֶת קוֹלוֹ לְיַסְּרֶךָּ וכו', וּבַאֲתַר אָחֳרָא שְׁמַעְנָא דְמַלִּיל עִם יִשְׂרָאֵל מִסִּטְרָא דְמַלְאָכַיָּא, דְהָכִי אוּקְמוּהוּ דְכָל דִּבּוּר וְדִבּוּר דְּנָפִיק מִפּוּמוֹי אִתְעֲבִיד מַלְאָךְ, וְדָא אִיהוּ וְכָל הָעָם רֹאִים אֶת הַקּוֹלֹת וְאֶת הַלַּפִּידִים </w:t>
      </w:r>
      <w:r>
        <w:rPr>
          <w:sz w:val="20"/>
          <w:szCs w:val="23"/>
          <w:rtl/>
        </w:rPr>
        <w:t>(שמות כ יח)</w:t>
      </w:r>
      <w:r>
        <w:rPr>
          <w:szCs w:val="23"/>
          <w:rtl/>
        </w:rPr>
        <w:t xml:space="preserve">, </w:t>
      </w:r>
      <w:r>
        <w:rPr>
          <w:rStyle w:val="Char"/>
          <w:rtl/>
        </w:rPr>
        <w:t>וּבַאֲתַר אָחֳרָא אָמַר קְרָא</w:t>
      </w:r>
      <w:r>
        <w:rPr>
          <w:szCs w:val="23"/>
          <w:rtl/>
        </w:rPr>
        <w:t xml:space="preserve"> </w:t>
      </w:r>
      <w:r>
        <w:rPr>
          <w:sz w:val="20"/>
          <w:szCs w:val="23"/>
          <w:rtl/>
        </w:rPr>
        <w:t>(תהלים סב יב)</w:t>
      </w:r>
      <w:r>
        <w:rPr>
          <w:rtl/>
        </w:rPr>
        <w:t xml:space="preserve"> אַחַת דִּבֶּר אלהי''ם שְׁתַּיִם זוּ שָׁמָעְתִּי, מַאי הַאי.</w:t>
      </w:r>
    </w:p>
    <w:p w:rsidR="00B17EA9" w:rsidRDefault="00B17EA9" w:rsidP="00B17EA9">
      <w:pPr>
        <w:pStyle w:val="NormalWeb"/>
        <w:rPr>
          <w:rtl/>
        </w:rPr>
      </w:pPr>
      <w:r>
        <w:rPr>
          <w:rtl/>
        </w:rPr>
        <w:t xml:space="preserve">אָמַר רַבִּי שִׁמְעוֹן סָבָא סָבָא, שְׁמַעְנָא </w:t>
      </w:r>
      <w:r>
        <w:rPr>
          <w:rStyle w:val="a7"/>
          <w:b w:val="0"/>
          <w:bCs w:val="0"/>
          <w:rtl/>
        </w:rPr>
        <w:footnoteReference w:id="3916"/>
      </w:r>
      <w:r>
        <w:rPr>
          <w:rtl/>
        </w:rPr>
        <w:t xml:space="preserve">דְבַר נַשׁ יְהִיב בֵּיהּ קוּדְשָׁא בְּרִיךְ הוּא תְּלַת קְטִירִין, נִשְׁמָתָא וְרוּחָא וְנַפְשָׁא, נִשְׁמָתָא מִכּוּרְסַיָּא יְקָרָא, תַּמָּן נְחִיתַת שְׁכִינְתָּא עִלָּאָה כְּלִילָא מִתְּלַת סְפִירָן עִלָּאִין, וַעֲלַיְיהוּ אִתְּמַר אַחַת דִּבֶּר אלהי''ם שְׁתַּיִם זוּ שָׁמָעְתִּי, אַחַת וּשְׁתַּיִם הָא תְּלַת סְפִירָן עִלָּאִין, דְּאִתְּמַר בְּהוֹן אַחַת, אַחַת וְאַחַת, תְּלַת אֲחָדִין, וְדָא אִיהוּ אַחַת דִּבֶּר אלהי''ם שְׁתַּיִם זוּ שָׁמָעְתִּי, </w:t>
      </w:r>
      <w:r>
        <w:rPr>
          <w:rStyle w:val="a7"/>
          <w:b w:val="0"/>
          <w:bCs w:val="0"/>
          <w:rtl/>
        </w:rPr>
        <w:footnoteReference w:id="3917"/>
      </w:r>
      <w:r>
        <w:rPr>
          <w:rtl/>
        </w:rPr>
        <w:t>ז''וּ בֵּיהּ עָבִיד לוֹן אֶחָ''ד.</w:t>
      </w:r>
    </w:p>
    <w:p w:rsidR="00B17EA9" w:rsidRDefault="00B17EA9" w:rsidP="00B17EA9">
      <w:pPr>
        <w:pStyle w:val="NormalWeb"/>
        <w:rPr>
          <w:sz w:val="20"/>
          <w:szCs w:val="23"/>
          <w:rtl/>
        </w:rPr>
      </w:pPr>
      <w:r>
        <w:rPr>
          <w:rtl/>
        </w:rPr>
        <w:t xml:space="preserve">וּלְבָתַר מַלִּיל עִמֵּיהּ מֵרוּחָא דְאִיהוּ מטטרו''ן, כְּלִיל כָּל צְבָא הַשָּׁמַיִם דִּלְתַתָּא, בְּגִין דְּאִתְלַבַּשׁ בֵּיהּ וְרָכִיב בֵּיהּ עַמּוּדָא דְאֶמְצָעִיתָא כְלִיל שִׁית סְפִירָן, וּבְגִין דָּא בְכָל דִּבּוּר וְדִבּוּר דְּנָפַק מִנֵּיהּ הֲוָה נָפִיק מִנֵּיהּ מַלְאָךְ, וְדָא אִיהוּ וְכָל הָעָם רוֹאִים אֶת הַקּוֹלֹת. לְבָתַר נָחִית שְׁכִינְתָּא תַּתָּאָה עֲשִׂירִית בְּאוֹפַן, דְּאִיהוּ נֶפֶשׁ דְּבַר נַשׁ מִתַּמָּן, וְאִתְּמַר בֵּיהּ </w:t>
      </w:r>
      <w:r>
        <w:rPr>
          <w:sz w:val="20"/>
          <w:szCs w:val="23"/>
          <w:rtl/>
        </w:rPr>
        <w:t>(דברים ד לו)</w:t>
      </w:r>
      <w:r>
        <w:rPr>
          <w:rtl/>
        </w:rPr>
        <w:t xml:space="preserve"> וְעַל הָאָרֶץ הֶרְאֲךָ אֶת אִשּׁוֹ הַגְּדוֹלָה בְּגִין דַּעֲלֵיהּ אִתְּמַר </w:t>
      </w:r>
      <w:r>
        <w:rPr>
          <w:sz w:val="20"/>
          <w:szCs w:val="23"/>
          <w:rtl/>
        </w:rPr>
        <w:t>(יחזקאל א טו)</w:t>
      </w:r>
      <w:r>
        <w:rPr>
          <w:rtl/>
        </w:rPr>
        <w:t xml:space="preserve"> וְהִנֵּה אוֹפַן אֶחָד בָּאָרֶץ, בְּגִין דְּיִשְׁתַּמַּע קָלֵיהּ וְדִבּוּרֵיהּ מִן כָּרְסַיָּא וּמַלְאָכַיָּיא וּשְׁמַיָּא וְאַרְעָא, דְיִשְׁתְּמוֹדְעוּן לֵיהּ בְּכֹלָּא עִילָא וְתַתָּא, כְּנִשְׁמָתָא דְשָׁלְטָנוּתָהּ בְּכָל גּוּפָא אֲפִילוּ בְאֵבֶר זְעִירָא וְלֵית אֵבֶר פָּנוּי מִינָהּ. </w:t>
      </w:r>
      <w:r>
        <w:rPr>
          <w:sz w:val="20"/>
          <w:szCs w:val="23"/>
          <w:rtl/>
        </w:rPr>
        <w:t>(ע"פ הגר"א רתל"ב כאן צ"ל מ"ש בהקדה ט' ב' בפיקודא במלת בראשית דאיהי אהבה, והוא מאמר ב')</w:t>
      </w:r>
    </w:p>
    <w:p w:rsidR="00B17EA9" w:rsidRDefault="00B17EA9" w:rsidP="00B17EA9">
      <w:pPr>
        <w:pStyle w:val="NormalWeb"/>
        <w:rPr>
          <w:rtl/>
        </w:rPr>
      </w:pPr>
    </w:p>
    <w:p w:rsidR="00B17EA9" w:rsidRDefault="00B17EA9" w:rsidP="00602EF1">
      <w:pPr>
        <w:pStyle w:val="1"/>
        <w:rPr>
          <w:sz w:val="39"/>
          <w:szCs w:val="39"/>
          <w:rtl/>
        </w:rPr>
      </w:pPr>
      <w:bookmarkStart w:id="245" w:name="_Toc228091317"/>
      <w:bookmarkStart w:id="246" w:name="_Toc231637956"/>
      <w:r>
        <w:rPr>
          <w:rtl/>
        </w:rPr>
        <w:t>תקונא תשע ותלתין</w:t>
      </w:r>
      <w:bookmarkEnd w:id="245"/>
      <w:bookmarkEnd w:id="246"/>
    </w:p>
    <w:p w:rsidR="00B17EA9" w:rsidRDefault="00B17EA9" w:rsidP="00B17EA9">
      <w:pPr>
        <w:spacing w:after="40" w:line="360" w:lineRule="atLeast"/>
        <w:ind w:left="144" w:right="144" w:firstLine="288"/>
        <w:jc w:val="both"/>
        <w:rPr>
          <w:rtl/>
        </w:rPr>
      </w:pPr>
      <w:r>
        <w:rPr>
          <w:rtl/>
        </w:rPr>
        <w:t xml:space="preserve">[תיקוני זוהר - דף פב ע''ב] </w:t>
      </w:r>
    </w:p>
    <w:p w:rsidR="00B17EA9" w:rsidRDefault="00B17EA9" w:rsidP="00B17EA9">
      <w:pPr>
        <w:pStyle w:val="NormalWeb"/>
        <w:rPr>
          <w:rtl/>
        </w:rPr>
      </w:pPr>
      <w:r>
        <w:rPr>
          <w:sz w:val="20"/>
          <w:szCs w:val="23"/>
          <w:rtl/>
        </w:rPr>
        <w:t xml:space="preserve">(דף פב ע''ב) </w:t>
      </w:r>
      <w:r>
        <w:rPr>
          <w:rStyle w:val="a7"/>
          <w:b w:val="0"/>
          <w:bCs w:val="0"/>
          <w:rtl/>
        </w:rPr>
        <w:footnoteReference w:id="3918"/>
      </w:r>
      <w:r>
        <w:rPr>
          <w:rtl/>
        </w:rPr>
        <w:t xml:space="preserve">בְּרֵאשִׁית תַּמָּן אֲשֶׁ''ר דְּאִתְּמַר בֵּיהּ </w:t>
      </w:r>
      <w:r>
        <w:rPr>
          <w:sz w:val="20"/>
          <w:szCs w:val="23"/>
          <w:rtl/>
        </w:rPr>
        <w:t>(שמות כ ב)</w:t>
      </w:r>
      <w:r>
        <w:rPr>
          <w:rtl/>
        </w:rPr>
        <w:t xml:space="preserve"> אֲשֶׁר הוֹצֵאתִיךָ וכו', אֶהְיֶה אֲשֶׁר אֶהְיֶה, אָשֵׁר בְּאָשְׁרִי כִּי אִשְּׁרוּנִי בָּנוֹת </w:t>
      </w:r>
      <w:r>
        <w:rPr>
          <w:sz w:val="20"/>
          <w:szCs w:val="23"/>
          <w:rtl/>
        </w:rPr>
        <w:t>(בראשית ל יג)</w:t>
      </w:r>
      <w:r>
        <w:rPr>
          <w:rtl/>
        </w:rPr>
        <w:t xml:space="preserve">, וְדָא אִימָּא עִלָּאָה, אֲשֶׁר קִדְּשָׁנוּ בְּמִצְוֹתָיו וְצִוָּנוּ, עַל כָּל פִּקּוּדָא וּפִקּוּדָא, דְּאִינוּן פֶּטֶר כָּל רֶחֶם דְּאִינוּן רְמַ''ח, דְּכֻלְּהוּ קְטִירִין בְּצַדִּיק דְּאִיהוּ כֹּל דְּאִיהוּ אוֹת בְּרִית, </w:t>
      </w:r>
      <w:r>
        <w:rPr>
          <w:rStyle w:val="a7"/>
          <w:b w:val="0"/>
          <w:bCs w:val="0"/>
          <w:rtl/>
        </w:rPr>
        <w:footnoteReference w:id="3919"/>
      </w:r>
      <w:r>
        <w:rPr>
          <w:rtl/>
        </w:rPr>
        <w:t xml:space="preserve">דְּאַפְתַּח </w:t>
      </w:r>
      <w:r>
        <w:rPr>
          <w:sz w:val="20"/>
          <w:szCs w:val="23"/>
          <w:rtl/>
        </w:rPr>
        <w:t>(פטר כל)</w:t>
      </w:r>
      <w:r>
        <w:rPr>
          <w:rtl/>
        </w:rPr>
        <w:t xml:space="preserve"> רֶחֶם דְּאִינוּן רְמַ''ח פִּקּוּדִין דַּעֲשֵׂה, וַעֲלֵיהּ אִתְּמַר אֲשֶׁר קִדֵּשׁ יְדִיד מִבֶּטֶן, וְדָא אִימָּא דְאִתְּמַר בָּהּ </w:t>
      </w:r>
      <w:r>
        <w:rPr>
          <w:sz w:val="20"/>
          <w:szCs w:val="23"/>
          <w:rtl/>
        </w:rPr>
        <w:t>(איוב לח כט)</w:t>
      </w:r>
      <w:r>
        <w:rPr>
          <w:rtl/>
        </w:rPr>
        <w:t xml:space="preserve"> מִבֶּטֶן מִי יָצָא הַקָּרַח, </w:t>
      </w:r>
      <w:r>
        <w:rPr>
          <w:sz w:val="20"/>
          <w:szCs w:val="23"/>
          <w:rtl/>
        </w:rPr>
        <w:t>(ודא איהו הקרח הנורא)</w:t>
      </w:r>
      <w:r>
        <w:rPr>
          <w:szCs w:val="23"/>
          <w:rtl/>
        </w:rPr>
        <w:t xml:space="preserve"> </w:t>
      </w:r>
      <w:r>
        <w:rPr>
          <w:sz w:val="20"/>
          <w:szCs w:val="23"/>
          <w:rtl/>
        </w:rPr>
        <w:t>(יחזקאל א כב)</w:t>
      </w:r>
      <w:r>
        <w:rPr>
          <w:rtl/>
        </w:rPr>
        <w:t xml:space="preserve">, אֲשֶׁר דְּאִיהִי אִימָּא עִלָּאָה, קִדְּשָׁנוּ בְּמִצְוֹתָיו בְּצַדִּיק, דְּאִיהוּ קִדֵּשׁ יְדִיד מִבֶּטֶן, </w:t>
      </w:r>
      <w:r>
        <w:rPr>
          <w:rStyle w:val="a7"/>
          <w:b w:val="0"/>
          <w:bCs w:val="0"/>
          <w:rtl/>
        </w:rPr>
        <w:footnoteReference w:id="3920"/>
      </w:r>
      <w:r>
        <w:rPr>
          <w:rtl/>
        </w:rPr>
        <w:t xml:space="preserve">וְצִוָּנוּ בֵּיה, בְּגִין דְּאִיהוּ מְצוּוְה וְעוֹשֶׂה, וְעוֹד אֲשֶׁר קִדְּשָׁנוּ דָא עַמּוּדָא דְאֶמְצָעִיתָא, דְאִתְּמַר בֵּיהּ </w:t>
      </w:r>
      <w:r>
        <w:rPr>
          <w:sz w:val="20"/>
          <w:szCs w:val="23"/>
          <w:rtl/>
        </w:rPr>
        <w:t>(ירמיה ב ג)</w:t>
      </w:r>
      <w:r>
        <w:rPr>
          <w:rtl/>
        </w:rPr>
        <w:t xml:space="preserve"> קֹדֶשׁ יִשְׂרָאֵל לַיהו''ה, וְצִוָּנוּ דְאִיהוּ הָכִי מְצוּוְה וְעוֹשֶׂה, וְעוֹד קִדְּשָׁנוּ מִסִּטְרָא דִשְׂמָאלָא, דְאִתְּמַר בֵּיהּ וְקִדַּשְׁתָּ אֶת הַלְוִיִּם, </w:t>
      </w:r>
      <w:r>
        <w:rPr>
          <w:rStyle w:val="a7"/>
          <w:b w:val="0"/>
          <w:bCs w:val="0"/>
          <w:rtl/>
        </w:rPr>
        <w:footnoteReference w:id="3921"/>
      </w:r>
      <w:r>
        <w:rPr>
          <w:rtl/>
        </w:rPr>
        <w:t xml:space="preserve">וְלֵית קְדוּשָׁה פָּחוּת מֵעֲשָׂרָה, </w:t>
      </w:r>
      <w:r>
        <w:rPr>
          <w:rStyle w:val="a7"/>
          <w:b w:val="0"/>
          <w:bCs w:val="0"/>
          <w:rtl/>
        </w:rPr>
        <w:footnoteReference w:id="3922"/>
      </w:r>
      <w:r>
        <w:rPr>
          <w:rtl/>
        </w:rPr>
        <w:t xml:space="preserve">וְאִלֵּין עֲשָׂרָה מַאֲמָרוֹת, </w:t>
      </w:r>
      <w:r>
        <w:rPr>
          <w:sz w:val="20"/>
          <w:szCs w:val="23"/>
          <w:rtl/>
        </w:rPr>
        <w:t>(דאיהי קדש לי כל בכור (שמות יג ב) דאיהו כתר עלאה וחכמה דאיהי ישראל עלה במחשבה)</w:t>
      </w:r>
      <w:r>
        <w:rPr>
          <w:rtl/>
        </w:rPr>
        <w:t xml:space="preserve"> דְּאִתְּמַר בְּהוֹן </w:t>
      </w:r>
      <w:r>
        <w:rPr>
          <w:sz w:val="20"/>
          <w:szCs w:val="23"/>
          <w:rtl/>
        </w:rPr>
        <w:t>(בראשית א ג)</w:t>
      </w:r>
      <w:r>
        <w:rPr>
          <w:rtl/>
        </w:rPr>
        <w:t xml:space="preserve"> וַיֹּאמֶר אלהי''ם יְהִי אוֹר.</w:t>
      </w:r>
    </w:p>
    <w:p w:rsidR="00B17EA9" w:rsidRDefault="00B17EA9" w:rsidP="00B17EA9">
      <w:pPr>
        <w:pStyle w:val="NormalWeb"/>
        <w:rPr>
          <w:rtl/>
        </w:rPr>
      </w:pPr>
      <w:r>
        <w:rPr>
          <w:rtl/>
        </w:rPr>
        <w:t xml:space="preserve">וְצִוָּנוּ עַל, מִסִּטְרָא דִימִינָא דְאִתְּמַר בֵּיהּ </w:t>
      </w:r>
      <w:r>
        <w:rPr>
          <w:sz w:val="20"/>
          <w:szCs w:val="23"/>
          <w:rtl/>
        </w:rPr>
        <w:t>(שמואל ב כג א)</w:t>
      </w:r>
      <w:r>
        <w:rPr>
          <w:rtl/>
        </w:rPr>
        <w:t xml:space="preserve"> </w:t>
      </w:r>
      <w:r>
        <w:rPr>
          <w:rStyle w:val="a7"/>
          <w:b w:val="0"/>
          <w:bCs w:val="0"/>
          <w:rtl/>
        </w:rPr>
        <w:footnoteReference w:id="3923"/>
      </w:r>
      <w:r>
        <w:rPr>
          <w:rtl/>
        </w:rPr>
        <w:t xml:space="preserve">הוּקַם עָל, </w:t>
      </w:r>
      <w:r>
        <w:rPr>
          <w:rStyle w:val="a7"/>
          <w:b w:val="0"/>
          <w:bCs w:val="0"/>
          <w:rtl/>
        </w:rPr>
        <w:footnoteReference w:id="3924"/>
      </w:r>
      <w:r>
        <w:rPr>
          <w:rtl/>
        </w:rPr>
        <w:t xml:space="preserve">דְּתַמָּן כָּל בִּרְכָאָן לִימִינָא, </w:t>
      </w:r>
      <w:r>
        <w:rPr>
          <w:rStyle w:val="a7"/>
          <w:b w:val="0"/>
          <w:bCs w:val="0"/>
          <w:rtl/>
        </w:rPr>
        <w:footnoteReference w:id="3925"/>
      </w:r>
      <w:r>
        <w:rPr>
          <w:rtl/>
        </w:rPr>
        <w:t xml:space="preserve">דְאִינוּן מֵאָה בִּרְכָאָן כְּחוּשְׁבַּן עַ''ל, דְּאָת י' בְּק' אִסְתַּלִּיק לְמֵאָה, דְּאִיהִי </w:t>
      </w:r>
      <w:r>
        <w:rPr>
          <w:rStyle w:val="a7"/>
          <w:b w:val="0"/>
          <w:bCs w:val="0"/>
          <w:rtl/>
        </w:rPr>
        <w:footnoteReference w:id="3926"/>
      </w:r>
      <w:r>
        <w:rPr>
          <w:rtl/>
        </w:rPr>
        <w:t xml:space="preserve">קָרְבָּנָא דְכֹלָּא, מִסִּטְרָא דְאַבָּא רֹאשׁ, מִסִּטְרָא דְאִימָּא אֲשֶׁר, מִסִּטְרָא דְאַבָּא מְצוּוְה, וּמִסִּטְרָא דְאִימָּא עוֹשֶׂה, </w:t>
      </w:r>
      <w:r>
        <w:rPr>
          <w:rStyle w:val="a7"/>
          <w:b w:val="0"/>
          <w:bCs w:val="0"/>
          <w:rtl/>
        </w:rPr>
        <w:footnoteReference w:id="3927"/>
      </w:r>
      <w:r>
        <w:rPr>
          <w:rtl/>
        </w:rPr>
        <w:t xml:space="preserve">וּמְצוּוְה דָא עִץ פְּרִי, וְעוֹשֶׂה דָא עוֹשֶׂה פְּרִי, </w:t>
      </w:r>
      <w:r>
        <w:rPr>
          <w:rStyle w:val="a7"/>
          <w:b w:val="0"/>
          <w:bCs w:val="0"/>
          <w:rtl/>
        </w:rPr>
        <w:footnoteReference w:id="3928"/>
      </w:r>
      <w:r>
        <w:rPr>
          <w:rtl/>
        </w:rPr>
        <w:t xml:space="preserve">וְאִינוּן גּוּף וּבְרִית </w:t>
      </w:r>
      <w:r>
        <w:rPr>
          <w:rStyle w:val="a7"/>
          <w:b w:val="0"/>
          <w:bCs w:val="0"/>
          <w:rtl/>
        </w:rPr>
        <w:footnoteReference w:id="3929"/>
      </w:r>
      <w:r>
        <w:rPr>
          <w:rtl/>
        </w:rPr>
        <w:t xml:space="preserve">דְּחַשְׁבִינָן חָד, עֲלַיְיהוּ אִתְּמַר </w:t>
      </w:r>
      <w:r>
        <w:rPr>
          <w:sz w:val="20"/>
          <w:szCs w:val="23"/>
          <w:rtl/>
        </w:rPr>
        <w:t>(שמות כח ז)</w:t>
      </w:r>
      <w:r>
        <w:rPr>
          <w:rtl/>
        </w:rPr>
        <w:t xml:space="preserve"> </w:t>
      </w:r>
      <w:r>
        <w:rPr>
          <w:rStyle w:val="a7"/>
          <w:b w:val="0"/>
          <w:bCs w:val="0"/>
          <w:rtl/>
        </w:rPr>
        <w:footnoteReference w:id="3930"/>
      </w:r>
      <w:r>
        <w:rPr>
          <w:rtl/>
        </w:rPr>
        <w:t xml:space="preserve">שְׁתֵּי כְתֵפֹת חֹבְרֹת, </w:t>
      </w:r>
      <w:r>
        <w:rPr>
          <w:rStyle w:val="a7"/>
          <w:b w:val="0"/>
          <w:bCs w:val="0"/>
          <w:rtl/>
        </w:rPr>
        <w:footnoteReference w:id="3931"/>
      </w:r>
      <w:r>
        <w:rPr>
          <w:rtl/>
        </w:rPr>
        <w:t>כְּמָה דְאִינוּן חוֹבְרוֹת, הָכִי שְׁכִינְתָּא עִלָּאָה וְתַתָּאָה חוֹבְרוֹת אִשָּׁה אֶל אֲחוֹתָהּ.</w:t>
      </w:r>
    </w:p>
    <w:p w:rsidR="00B17EA9" w:rsidRDefault="00B17EA9" w:rsidP="00B17EA9">
      <w:pPr>
        <w:pStyle w:val="NormalWeb"/>
        <w:rPr>
          <w:rtl/>
        </w:rPr>
      </w:pPr>
      <w:r>
        <w:rPr>
          <w:rStyle w:val="a7"/>
          <w:b w:val="0"/>
          <w:bCs w:val="0"/>
          <w:rtl/>
        </w:rPr>
        <w:footnoteReference w:id="3932"/>
      </w:r>
      <w:r>
        <w:rPr>
          <w:rtl/>
        </w:rPr>
        <w:t xml:space="preserve">(וְ)עוֹד אֲשֶׁר קִדְּשָׁנוּ בְּמִצְוֹתָיו וְצִוָּנוּ, וְלָא אָמַר קִדַּשְׁתָּנוּ וְצִוִּיתָנוּ, אֲשֶׁר אִיהוּ </w:t>
      </w:r>
      <w:r>
        <w:rPr>
          <w:rStyle w:val="a7"/>
          <w:b w:val="0"/>
          <w:bCs w:val="0"/>
          <w:rtl/>
        </w:rPr>
        <w:footnoteReference w:id="3933"/>
      </w:r>
      <w:r>
        <w:rPr>
          <w:rtl/>
        </w:rPr>
        <w:t xml:space="preserve">אֲשֶׁר אהי''ה וַדַּאי, וְדָא כֶּתֶר עִלָּאָה, </w:t>
      </w:r>
      <w:r>
        <w:rPr>
          <w:rStyle w:val="a7"/>
          <w:b w:val="0"/>
          <w:bCs w:val="0"/>
          <w:rtl/>
        </w:rPr>
        <w:footnoteReference w:id="3934"/>
      </w:r>
      <w:r>
        <w:rPr>
          <w:rtl/>
        </w:rPr>
        <w:t xml:space="preserve">מִסִּטְרָא דְּנוּקְבָא אִתְקְרֵי אֲשֶׁר, וּמִסִּטְרָא דִדְכוּרָא אִתְקְרֵי רֹאשׁ, רֵישָׁא דְכָל רֵישִׁין, </w:t>
      </w:r>
      <w:r>
        <w:rPr>
          <w:rStyle w:val="a7"/>
          <w:b w:val="0"/>
          <w:bCs w:val="0"/>
          <w:rtl/>
        </w:rPr>
        <w:footnoteReference w:id="3935"/>
      </w:r>
      <w:r>
        <w:rPr>
          <w:rtl/>
        </w:rPr>
        <w:t xml:space="preserve">וְצִוָּנוּ דָא אַבָּא </w:t>
      </w:r>
      <w:r>
        <w:rPr>
          <w:sz w:val="20"/>
          <w:szCs w:val="23"/>
          <w:rtl/>
        </w:rPr>
        <w:t>(סבא)</w:t>
      </w:r>
      <w:r>
        <w:rPr>
          <w:rtl/>
        </w:rPr>
        <w:t xml:space="preserve">, דְּאִתְּמַר בֵּיהּ וַיֹּאמֶר אלהי''ם יְהִי אוֹר, </w:t>
      </w:r>
      <w:r>
        <w:rPr>
          <w:rStyle w:val="a7"/>
          <w:b w:val="0"/>
          <w:bCs w:val="0"/>
          <w:rtl/>
        </w:rPr>
        <w:footnoteReference w:id="3936"/>
      </w:r>
      <w:r>
        <w:rPr>
          <w:rtl/>
        </w:rPr>
        <w:t xml:space="preserve">קִדְּשָׁנוּ דָּא אִימָּא, דְאִתְּמַר בָּהּ וַיְהִי אוֹר, וְלֵית הֲוַיָּה אֶלָּא עַל יְדֵי עֲשִׂיָּה, </w:t>
      </w:r>
      <w:r>
        <w:rPr>
          <w:rStyle w:val="a7"/>
          <w:b w:val="0"/>
          <w:bCs w:val="0"/>
          <w:rtl/>
        </w:rPr>
        <w:footnoteReference w:id="3937"/>
      </w:r>
      <w:r>
        <w:rPr>
          <w:rtl/>
        </w:rPr>
        <w:t xml:space="preserve">וְתַרְוַיְיהוּ לִימִינָא וּשְׂמָאלָא, </w:t>
      </w:r>
      <w:r>
        <w:rPr>
          <w:rStyle w:val="a7"/>
          <w:b w:val="0"/>
          <w:bCs w:val="0"/>
          <w:rtl/>
        </w:rPr>
        <w:footnoteReference w:id="3938"/>
      </w:r>
      <w:r>
        <w:rPr>
          <w:rtl/>
        </w:rPr>
        <w:t xml:space="preserve">וּמָאן מְצוּוְה וְעוֹשֶׂה עַל הַמִּצְוָה דְאִיהִי שְׁכִינְתָּא, דָּא עַמּוּדָא דְאֶמְצָעִיתָא, וְהָכִי צַדִּיק בְּצַלְמֵיהּ וְכִדְמוּתֵיהּ, </w:t>
      </w:r>
      <w:r>
        <w:rPr>
          <w:rStyle w:val="a7"/>
          <w:b w:val="0"/>
          <w:bCs w:val="0"/>
          <w:rtl/>
        </w:rPr>
        <w:footnoteReference w:id="3939"/>
      </w:r>
      <w:r>
        <w:rPr>
          <w:rtl/>
        </w:rPr>
        <w:t xml:space="preserve">וְעַל שְׁמֵיהּ אִתְקְרִיאוּ יִשְׂרָאֵל בְּנִי בְּכוֹרִי יִשְׂרָאֵל, וְעַל שֵׁם צַדִּיק אִתְקְרוּן צַדִּיקִים, הֲדָא הוּא דִכְתִיב </w:t>
      </w:r>
      <w:r>
        <w:rPr>
          <w:sz w:val="20"/>
          <w:szCs w:val="23"/>
          <w:rtl/>
        </w:rPr>
        <w:t>(ישעיה ס כא)</w:t>
      </w:r>
      <w:r>
        <w:rPr>
          <w:rtl/>
        </w:rPr>
        <w:t xml:space="preserve"> וְעַמֵּךְ כֻּלָּם צַדִּיקִים לְעוֹלָם יִרְשׁוּ אָרֶץ.</w:t>
      </w:r>
    </w:p>
    <w:p w:rsidR="00B17EA9" w:rsidRDefault="00B17EA9" w:rsidP="00B17EA9">
      <w:pPr>
        <w:pStyle w:val="NormalWeb"/>
        <w:rPr>
          <w:rtl/>
        </w:rPr>
      </w:pPr>
      <w:r>
        <w:rPr>
          <w:rStyle w:val="a7"/>
          <w:b w:val="0"/>
          <w:bCs w:val="0"/>
          <w:rtl/>
        </w:rPr>
        <w:footnoteReference w:id="3940"/>
      </w:r>
      <w:r>
        <w:rPr>
          <w:rtl/>
        </w:rPr>
        <w:t xml:space="preserve">וְעוֹד אָנֹכִי יהו''ה אלהי''ך אֲשֶׁר הוֹצֵאתִיךָ מֵאֶרֶץ מִצְרַיִם </w:t>
      </w:r>
      <w:r>
        <w:rPr>
          <w:sz w:val="20"/>
          <w:szCs w:val="23"/>
          <w:rtl/>
        </w:rPr>
        <w:t>(שמות כ ב)</w:t>
      </w:r>
      <w:r>
        <w:rPr>
          <w:rtl/>
        </w:rPr>
        <w:t xml:space="preserve">, אָמַר רַבִּי אֶלְעָזָר אַבָּא וְכִי מָאן דְּאִיהוּ תְּחוֹת שִׁעְבּוּדָא דְרִבּוֹנֵיהּ, וְרִבּוֹנֵיהּ אַבְטַח לֵיהּ לְאַפָּקָא לֵיהּ לְחֵירוּ וְאַפִּיק לֵיהּ, אִית לֵיהּ לְשַׁבְּחָא גַרְמֵיהּ דְּאַפֵּיק לֵיהּ מִגּוֹ שִׁעְבּוּדָא, וְהָא קוּדְשָׁא בְּרִיךְ הוּא אָמַר לְאַבְרָהָם </w:t>
      </w:r>
      <w:r>
        <w:rPr>
          <w:sz w:val="20"/>
          <w:szCs w:val="23"/>
          <w:rtl/>
        </w:rPr>
        <w:t>(בראשית טו יג)</w:t>
      </w:r>
      <w:r>
        <w:rPr>
          <w:rtl/>
        </w:rPr>
        <w:t xml:space="preserve"> כִּי גֵר יִהְיֶה זַרְעֲךָ בְּאֶרֶץ לֹא לָהֶם, וְהָא אִיהוּ אַבְטַח לְאַפָּקָא לִבְנוֹי מִגָּלוּתָא, הֲדָא הוּא דִכְתִיב </w:t>
      </w:r>
      <w:r>
        <w:rPr>
          <w:sz w:val="20"/>
          <w:szCs w:val="23"/>
          <w:rtl/>
        </w:rPr>
        <w:t>(שם יד)</w:t>
      </w:r>
      <w:r>
        <w:rPr>
          <w:rtl/>
        </w:rPr>
        <w:t xml:space="preserve"> וְאַחֲרֵי כֵן יֵצְאוּ בִּרְכוּשׁ גָּדוֹל, וְאִיהוּ מְשַׁבַּח גַּרְמֵיהּ כַּמָּה זִמְנִין אֲשֶׁר הוֹצֵאתִיךָ מֵאֶרֶץ מִצְרַיִם.</w:t>
      </w:r>
    </w:p>
    <w:p w:rsidR="00B17EA9" w:rsidRDefault="00B17EA9" w:rsidP="00B17EA9">
      <w:pPr>
        <w:pStyle w:val="NormalWeb"/>
        <w:rPr>
          <w:rtl/>
        </w:rPr>
      </w:pPr>
      <w:r>
        <w:rPr>
          <w:rtl/>
        </w:rPr>
        <w:t>אָמַר לֵיהּ בְּרִי שַׁפִּיר קָאֲמַרְתְּ אֲבָל לַאו אִיהוּ דָא לְשַׁבְּחָא גַרְמֵיהּ, אֶלָּא כָּל סְפִירָה וּסְפִירָה אִתְקְרִיאַת רֹאשׁ לַחֲבֶרְתָּהּ, וּבְגִין לְאִשְׁתְּמוֹדְעָא לוֹן מֵאָן אֲתַר אַפִּיק לוֹן מִגּוֹ שִׁעְבּוּדָא, פָּתַח בְּאָנֹכִי, וְאַדְכִּיר בֵּיהּ אֲשֶׁר הוֹצֵאתִיךָ מֵאֶרֶץ מִצְרַיִם וְגוֹמֵר, חַמְשִׁין זִמְנִין לָקֳבֵל חַמְשִׁין תַּרְעִין דְּבִינָה.</w:t>
      </w:r>
    </w:p>
    <w:p w:rsidR="00B17EA9" w:rsidRDefault="00B17EA9" w:rsidP="00B17EA9">
      <w:pPr>
        <w:spacing w:after="40" w:line="360" w:lineRule="atLeast"/>
        <w:ind w:left="144" w:right="144" w:firstLine="288"/>
        <w:jc w:val="both"/>
        <w:rPr>
          <w:rFonts w:ascii="Arial"/>
          <w:b/>
          <w:szCs w:val="23"/>
          <w:rtl/>
        </w:rPr>
      </w:pPr>
      <w:r>
        <w:rPr>
          <w:rtl/>
        </w:rPr>
        <w:t xml:space="preserve">[תיקוני זוהר - דף פג ע''א] </w:t>
      </w:r>
    </w:p>
    <w:p w:rsidR="00B17EA9" w:rsidRDefault="00B17EA9" w:rsidP="00B17EA9">
      <w:pPr>
        <w:pStyle w:val="NormalWeb"/>
        <w:rPr>
          <w:rtl/>
        </w:rPr>
      </w:pPr>
      <w:r>
        <w:rPr>
          <w:rtl/>
        </w:rPr>
        <w:t xml:space="preserve">וְעוֹד אֲשֶׁר קִדְּשָׁנוּ, אָמַר רַבִּי אֶלְעָזָר אַבָּא, הָא אִם </w:t>
      </w:r>
      <w:r>
        <w:rPr>
          <w:rFonts w:hAnsi="Times New Roman"/>
          <w:sz w:val="20"/>
          <w:szCs w:val="23"/>
          <w:rtl/>
        </w:rPr>
        <w:t>(דף פג ע''א)</w:t>
      </w:r>
      <w:r>
        <w:rPr>
          <w:sz w:val="20"/>
          <w:szCs w:val="23"/>
          <w:rtl/>
        </w:rPr>
        <w:t xml:space="preserve"> </w:t>
      </w:r>
      <w:r>
        <w:rPr>
          <w:rtl/>
        </w:rPr>
        <w:t xml:space="preserve">עַמּוּדָא דְאֶמְצָעִיתָא אִיהוּ מְצוּוְה וְעוֹשֶׂה, הֲוָה לֵיהּ לְמֵימַר בְּגִינֵיהּ אֲשֶׁר קִדְּשָׁנִי וְצִוָּנִי, מַאי אֲשֶׁר קִדְּשָׁנוּ וְצִוָּנוּ, אָמַר לֵיהּ וַדַּאי שַׁפִּיר קָאֲמַרְתְּ, בְּוַדַּאי עַל עַמּוּדָא דְאֶמְצָעִיתָא וְצַדִּיק אִתְּמַר עַל תַּרְוַיְיהוּ אֲשֶׁר קִדְּשָׁנוּ בְּמִצְוֹתָיו וְצִוָּנוּ, </w:t>
      </w:r>
      <w:r>
        <w:rPr>
          <w:rStyle w:val="a7"/>
          <w:b w:val="0"/>
          <w:bCs w:val="0"/>
          <w:rtl/>
        </w:rPr>
        <w:footnoteReference w:id="3941"/>
      </w:r>
      <w:r>
        <w:rPr>
          <w:rtl/>
        </w:rPr>
        <w:t xml:space="preserve">אֲשֶׁר וַדַּאי דְאִיהִי אֲשֶׁר אהי''ה אִימָּא עִלָּאָה, מַנִּי לוֹן עַל שְׁכִינְתָּא </w:t>
      </w:r>
      <w:r>
        <w:rPr>
          <w:rStyle w:val="a7"/>
          <w:b w:val="0"/>
          <w:bCs w:val="0"/>
          <w:rtl/>
        </w:rPr>
        <w:footnoteReference w:id="3942"/>
      </w:r>
      <w:r>
        <w:rPr>
          <w:rtl/>
        </w:rPr>
        <w:t xml:space="preserve">דְאִיהִי מִצְוָה, לְכָל חַד מִנַּיְיהוּ, </w:t>
      </w:r>
      <w:r>
        <w:rPr>
          <w:rStyle w:val="a7"/>
          <w:b w:val="0"/>
          <w:bCs w:val="0"/>
          <w:rtl/>
        </w:rPr>
        <w:footnoteReference w:id="3943"/>
      </w:r>
      <w:r>
        <w:rPr>
          <w:rtl/>
        </w:rPr>
        <w:t xml:space="preserve">וְאִינוּן לְעִילָא תְּרֵין כְּעַנְפִין דְּאִילָנָא דְאִתְפָּרְשׁוּ לִימִינָא וְלִשְׂמָאלָא, וּלְתַתָּא אִתְעֲבִידוּ </w:t>
      </w:r>
      <w:r>
        <w:rPr>
          <w:rStyle w:val="a7"/>
          <w:b w:val="0"/>
          <w:bCs w:val="0"/>
          <w:rtl/>
        </w:rPr>
        <w:footnoteReference w:id="3944"/>
      </w:r>
      <w:r>
        <w:rPr>
          <w:rtl/>
        </w:rPr>
        <w:t xml:space="preserve">בָּהּ אֲגוּדָה חֲדָא, וּבְגִין דָּא אִינוּן לְעִילָא תְּרֵין, וּלְתַתָּא חָד, דְּיִחוּדָא לָא אִית בְּכָל עַנְפִין דְּאִילָנָא אֶלָּא בָהּ, דְּאִיהִי אֲגַד דְּכֻלְּהוּ, אִיהִי אֲגוּדָה דְכָל אֵבֶר וְאֵבֶר, </w:t>
      </w:r>
      <w:r>
        <w:rPr>
          <w:rStyle w:val="a7"/>
          <w:b w:val="0"/>
          <w:bCs w:val="0"/>
          <w:rtl/>
        </w:rPr>
        <w:footnoteReference w:id="3945"/>
      </w:r>
      <w:r>
        <w:rPr>
          <w:rtl/>
        </w:rPr>
        <w:t>וּבָהּ אִתְעֲבִידוּ כֻּלְּהוּ חָד.</w:t>
      </w:r>
    </w:p>
    <w:p w:rsidR="00B17EA9" w:rsidRDefault="00B17EA9" w:rsidP="00B17EA9">
      <w:pPr>
        <w:pStyle w:val="NormalWeb"/>
        <w:rPr>
          <w:rtl/>
        </w:rPr>
      </w:pPr>
      <w:r>
        <w:rPr>
          <w:rStyle w:val="a7"/>
          <w:b w:val="0"/>
          <w:bCs w:val="0"/>
          <w:rtl/>
        </w:rPr>
        <w:footnoteReference w:id="3946"/>
      </w:r>
      <w:r>
        <w:rPr>
          <w:rtl/>
        </w:rPr>
        <w:t xml:space="preserve">וְעוֹד וַיֹּאמֶר אלהי''ם יְהִי אוֹר </w:t>
      </w:r>
      <w:r>
        <w:rPr>
          <w:rStyle w:val="a7"/>
          <w:b w:val="0"/>
          <w:bCs w:val="0"/>
          <w:rtl/>
        </w:rPr>
        <w:footnoteReference w:id="3947"/>
      </w:r>
      <w:r>
        <w:rPr>
          <w:rtl/>
        </w:rPr>
        <w:t xml:space="preserve">דָּא נְבוּאָה בַּמַּרְאָה, דְאִתְּמַר בָּהּ </w:t>
      </w:r>
      <w:r>
        <w:rPr>
          <w:sz w:val="20"/>
          <w:szCs w:val="23"/>
          <w:rtl/>
        </w:rPr>
        <w:t>(במדבר יב ו)</w:t>
      </w:r>
      <w:r>
        <w:rPr>
          <w:rtl/>
        </w:rPr>
        <w:t xml:space="preserve"> בַּמַּרְאָה אֵלָיו אֶתְוַדָּע, </w:t>
      </w:r>
      <w:r>
        <w:rPr>
          <w:rStyle w:val="a7"/>
          <w:b w:val="0"/>
          <w:bCs w:val="0"/>
          <w:rtl/>
        </w:rPr>
        <w:footnoteReference w:id="3948"/>
      </w:r>
      <w:r>
        <w:rPr>
          <w:rtl/>
        </w:rPr>
        <w:t xml:space="preserve">וְאִיהִי חָזוֹן דִּנְבִיאַיָּא, </w:t>
      </w:r>
      <w:r>
        <w:rPr>
          <w:rStyle w:val="a7"/>
          <w:b w:val="0"/>
          <w:bCs w:val="0"/>
          <w:rtl/>
        </w:rPr>
        <w:footnoteReference w:id="3949"/>
      </w:r>
      <w:r>
        <w:rPr>
          <w:rtl/>
        </w:rPr>
        <w:t xml:space="preserve">אִיהִי חָזוֹן וְקוּדְשָׁא בְּרִיךְ הוּא חוֹזֶה, </w:t>
      </w:r>
      <w:r>
        <w:rPr>
          <w:rStyle w:val="a7"/>
          <w:b w:val="0"/>
          <w:bCs w:val="0"/>
          <w:rtl/>
        </w:rPr>
        <w:footnoteReference w:id="3950"/>
      </w:r>
      <w:r>
        <w:rPr>
          <w:rtl/>
        </w:rPr>
        <w:t xml:space="preserve">דְּאִיהוּ יהו''ה אדנ''י, דְהָכִי סָלִיק חָזֹן חָסֵר ו' חָמֵשׁ וְשִׁתִּין כְּחֻשְׁבַּן אדנ''י </w:t>
      </w:r>
      <w:r>
        <w:rPr>
          <w:rFonts w:hAnsi="Times New Roman"/>
          <w:sz w:val="20"/>
          <w:szCs w:val="23"/>
          <w:rtl/>
        </w:rPr>
        <w:t>(בִּנְבוּאָ''ה ס''ו, ס''ה כְּחֻשְׁבַּן אדנ''י, וְתֵיבָה הָא ס''ו)</w:t>
      </w:r>
      <w:r>
        <w:rPr>
          <w:rtl/>
        </w:rPr>
        <w:t xml:space="preserve"> וּבְמַאי הִיא חָזוֹן בְּאָת ו', בֵּיהּ אִתְעֲבִידַת אַסְפַּקְלַרְיָאָה דְנַהֲרָא </w:t>
      </w:r>
      <w:r>
        <w:rPr>
          <w:rStyle w:val="a7"/>
          <w:b w:val="0"/>
          <w:bCs w:val="0"/>
          <w:rtl/>
        </w:rPr>
        <w:footnoteReference w:id="3951"/>
      </w:r>
      <w:r>
        <w:rPr>
          <w:rtl/>
        </w:rPr>
        <w:t>אָדוֹן דִּילָהּ.</w:t>
      </w:r>
    </w:p>
    <w:p w:rsidR="00B17EA9" w:rsidRDefault="00B17EA9" w:rsidP="00B17EA9">
      <w:pPr>
        <w:pStyle w:val="NormalWeb"/>
        <w:rPr>
          <w:rtl/>
        </w:rPr>
      </w:pPr>
    </w:p>
    <w:p w:rsidR="00B17EA9" w:rsidRDefault="00B17EA9" w:rsidP="00602EF1">
      <w:pPr>
        <w:pStyle w:val="1"/>
        <w:rPr>
          <w:u w:val="single"/>
          <w:rtl/>
        </w:rPr>
      </w:pPr>
      <w:bookmarkStart w:id="247" w:name="_Toc228091318"/>
      <w:bookmarkStart w:id="248" w:name="_Toc231637957"/>
      <w:r>
        <w:rPr>
          <w:rtl/>
        </w:rPr>
        <w:t>תקונא ארבעין</w:t>
      </w:r>
      <w:bookmarkEnd w:id="247"/>
      <w:bookmarkEnd w:id="248"/>
    </w:p>
    <w:p w:rsidR="00B17EA9" w:rsidRDefault="00B17EA9" w:rsidP="00B17EA9">
      <w:pPr>
        <w:spacing w:after="40" w:line="360" w:lineRule="atLeast"/>
        <w:ind w:left="144" w:right="144" w:firstLine="288"/>
        <w:jc w:val="both"/>
        <w:rPr>
          <w:rFonts w:ascii="Arial"/>
          <w:b/>
          <w:bCs/>
          <w:sz w:val="29"/>
          <w:szCs w:val="29"/>
          <w:rtl/>
        </w:rPr>
      </w:pPr>
      <w:r>
        <w:rPr>
          <w:rStyle w:val="a7"/>
          <w:rFonts w:ascii="Arial"/>
          <w:b/>
          <w:bCs/>
          <w:sz w:val="29"/>
          <w:szCs w:val="29"/>
          <w:rtl/>
        </w:rPr>
        <w:footnoteReference w:id="3952"/>
      </w:r>
      <w:r>
        <w:rPr>
          <w:rFonts w:ascii="Arial"/>
          <w:b/>
          <w:bCs/>
          <w:sz w:val="29"/>
          <w:szCs w:val="29"/>
          <w:rtl/>
        </w:rPr>
        <w:t xml:space="preserve">בְּרֵאשִׁית, שִׁמְעִי בַת וּרְאִי וְהַטִּי אָזְנֵךְ וְגוֹמֵר </w:t>
      </w:r>
      <w:r>
        <w:rPr>
          <w:rFonts w:ascii="Arial"/>
          <w:b/>
          <w:szCs w:val="23"/>
          <w:rtl/>
        </w:rPr>
        <w:t>(תהלים מה יא)</w:t>
      </w:r>
      <w:r>
        <w:rPr>
          <w:rFonts w:ascii="Arial"/>
          <w:b/>
          <w:bCs/>
          <w:sz w:val="29"/>
          <w:szCs w:val="29"/>
          <w:rtl/>
        </w:rPr>
        <w:t xml:space="preserve">, בְּרֵאשִׁית </w:t>
      </w:r>
      <w:r>
        <w:rPr>
          <w:rStyle w:val="a7"/>
          <w:rFonts w:ascii="Arial"/>
          <w:b/>
          <w:bCs/>
          <w:sz w:val="29"/>
          <w:szCs w:val="29"/>
          <w:rtl/>
        </w:rPr>
        <w:footnoteReference w:id="3953"/>
      </w:r>
      <w:r>
        <w:rPr>
          <w:rFonts w:ascii="Arial"/>
          <w:b/>
          <w:bCs/>
          <w:sz w:val="29"/>
          <w:szCs w:val="29"/>
          <w:rtl/>
        </w:rPr>
        <w:t xml:space="preserve">תַּמָּן שִׁמְעִ''י, תַּמָּן בַּ''ת, תַּמָּן רְאִ''י, שִׁמְעִ''י ש' מִן בְּרֵאשִׁית, </w:t>
      </w:r>
      <w:r>
        <w:rPr>
          <w:rStyle w:val="a7"/>
          <w:rFonts w:ascii="Arial"/>
          <w:b/>
          <w:bCs/>
          <w:sz w:val="29"/>
          <w:szCs w:val="29"/>
          <w:rtl/>
        </w:rPr>
        <w:footnoteReference w:id="3954"/>
      </w:r>
      <w:r>
        <w:rPr>
          <w:rFonts w:ascii="Arial"/>
          <w:b/>
          <w:bCs/>
          <w:sz w:val="29"/>
          <w:szCs w:val="29"/>
          <w:rtl/>
        </w:rPr>
        <w:t xml:space="preserve">בַּ''ת תַּמָּן אִשְׁתְּמוֹדָע בְּרֵישָׁא וְסוֹפָא דְתֵיבָה, רְאִ''י תַּמָּן אִשְׁתְּמוֹדָע בְּאֶמְצָעִיתָא, כְּגַוְונָא דָא בְּרֵ''אשִׁי''ת, וְכַד תְּהֵא בְּחִבּוּרָא עִמֵּיהּ כְּגַוְונָא דָא יאהדונה''י, אִיהוּ אָמַר לְגַבָּהּ וְשִׁכְחִי עַמֵּךְ וּבֵית אָבִיךְ </w:t>
      </w:r>
      <w:r>
        <w:rPr>
          <w:rFonts w:ascii="Arial"/>
          <w:b/>
          <w:szCs w:val="23"/>
          <w:rtl/>
        </w:rPr>
        <w:t>(שם)</w:t>
      </w:r>
      <w:r>
        <w:rPr>
          <w:rFonts w:ascii="Arial"/>
          <w:b/>
          <w:bCs/>
          <w:sz w:val="29"/>
          <w:szCs w:val="29"/>
          <w:rtl/>
        </w:rPr>
        <w:t xml:space="preserve">, </w:t>
      </w:r>
      <w:r>
        <w:rPr>
          <w:rStyle w:val="a7"/>
          <w:rFonts w:ascii="Arial"/>
          <w:b/>
          <w:bCs/>
          <w:sz w:val="29"/>
          <w:szCs w:val="29"/>
          <w:rtl/>
        </w:rPr>
        <w:footnoteReference w:id="3955"/>
      </w:r>
      <w:r>
        <w:rPr>
          <w:rFonts w:ascii="Arial"/>
          <w:b/>
          <w:bCs/>
          <w:sz w:val="29"/>
          <w:szCs w:val="29"/>
          <w:rtl/>
        </w:rPr>
        <w:t xml:space="preserve">דְּעַל </w:t>
      </w:r>
      <w:r>
        <w:rPr>
          <w:rStyle w:val="a7"/>
          <w:rFonts w:ascii="Arial"/>
          <w:b/>
          <w:bCs/>
          <w:sz w:val="29"/>
          <w:szCs w:val="29"/>
          <w:rtl/>
        </w:rPr>
        <w:footnoteReference w:id="3956"/>
      </w:r>
      <w:r>
        <w:rPr>
          <w:rFonts w:ascii="Arial"/>
          <w:b/>
          <w:bCs/>
          <w:sz w:val="29"/>
          <w:szCs w:val="29"/>
          <w:rtl/>
        </w:rPr>
        <w:t xml:space="preserve">כֵּן יַעֲזָב אִישׁ אֶת אָבִיו וְאֶת אִמּוֹ וְדָבַק בְּאִשְׁתּוֹ וְהָיוּ לְבָשָׂר אֶחָד </w:t>
      </w:r>
      <w:r>
        <w:rPr>
          <w:rFonts w:ascii="Arial"/>
          <w:b/>
          <w:szCs w:val="23"/>
          <w:rtl/>
        </w:rPr>
        <w:t>(בראשית ב כד)</w:t>
      </w:r>
      <w:r>
        <w:rPr>
          <w:rFonts w:ascii="Arial"/>
          <w:b/>
          <w:bCs/>
          <w:sz w:val="29"/>
          <w:szCs w:val="29"/>
          <w:rtl/>
        </w:rPr>
        <w:t xml:space="preserve">, כִּי הוּא אֲדוֹנַיִךְ </w:t>
      </w:r>
      <w:r>
        <w:rPr>
          <w:rStyle w:val="a7"/>
          <w:rFonts w:ascii="Arial"/>
          <w:b/>
          <w:bCs/>
          <w:sz w:val="29"/>
          <w:szCs w:val="29"/>
          <w:rtl/>
        </w:rPr>
        <w:footnoteReference w:id="3957"/>
      </w:r>
      <w:r>
        <w:rPr>
          <w:rFonts w:ascii="Arial"/>
          <w:b/>
          <w:bCs/>
          <w:sz w:val="29"/>
          <w:szCs w:val="29"/>
          <w:rtl/>
        </w:rPr>
        <w:t xml:space="preserve">וְהִשְׁתַּחֲוִי לוֹ </w:t>
      </w:r>
      <w:r>
        <w:rPr>
          <w:rFonts w:ascii="Arial"/>
          <w:b/>
          <w:szCs w:val="23"/>
          <w:rtl/>
        </w:rPr>
        <w:t>(תהלים מה יב)</w:t>
      </w:r>
      <w:r>
        <w:rPr>
          <w:rFonts w:ascii="Arial"/>
          <w:b/>
          <w:bCs/>
          <w:sz w:val="29"/>
          <w:szCs w:val="29"/>
          <w:rtl/>
        </w:rPr>
        <w:t xml:space="preserve">, </w:t>
      </w:r>
      <w:r>
        <w:rPr>
          <w:rStyle w:val="a7"/>
          <w:rFonts w:ascii="Arial"/>
          <w:b/>
          <w:bCs/>
          <w:sz w:val="29"/>
          <w:szCs w:val="29"/>
          <w:rtl/>
        </w:rPr>
        <w:footnoteReference w:id="3958"/>
      </w:r>
      <w:r>
        <w:rPr>
          <w:rFonts w:ascii="Arial"/>
          <w:b/>
          <w:bCs/>
          <w:sz w:val="29"/>
          <w:szCs w:val="29"/>
          <w:rtl/>
        </w:rPr>
        <w:t>אֲדוֹן כָּל הָאָרֶץ וַדַּאי.</w:t>
      </w:r>
    </w:p>
    <w:p w:rsidR="00B17EA9" w:rsidRDefault="00B17EA9" w:rsidP="00B17EA9">
      <w:pPr>
        <w:spacing w:after="40" w:line="360" w:lineRule="atLeast"/>
        <w:ind w:left="144" w:right="144" w:firstLine="288"/>
        <w:jc w:val="both"/>
        <w:rPr>
          <w:rFonts w:ascii="Arial"/>
          <w:b/>
          <w:bCs/>
          <w:sz w:val="29"/>
          <w:szCs w:val="29"/>
          <w:rtl/>
        </w:rPr>
      </w:pPr>
      <w:r>
        <w:rPr>
          <w:rStyle w:val="a7"/>
          <w:rFonts w:ascii="Arial"/>
          <w:b/>
          <w:bCs/>
          <w:sz w:val="29"/>
          <w:szCs w:val="29"/>
          <w:rtl/>
        </w:rPr>
        <w:footnoteReference w:id="3959"/>
      </w:r>
      <w:r>
        <w:rPr>
          <w:rFonts w:ascii="Arial"/>
          <w:b/>
          <w:bCs/>
          <w:sz w:val="29"/>
          <w:szCs w:val="29"/>
          <w:rtl/>
        </w:rPr>
        <w:t>וּבְגִין דָּא מִסִּטְרָא דְיהו''ה אִתְקְרִיאַת אַסְפַּקְלַרְיָאָה דְנַהֲרָא, וְכַד אִיהִי אדנ''י בְּלָא בַעְלָהּ אִתְקְרִיאַת אַסְפַּקְלַרְיָאָה דְלָא נַהֲרָא, וּנְבִיאַיָּא מִסִּטְרָא דְיהו''ה אִינוּן מֵאַסְפַּקְלַרְיָאָה דְנַהֲרָא, וּנְבִיאַיָּא מִסִּטְרָא דְאדנ''י אִינוּן מֵאַסְפַּקְלַרְיָאָה דְּלָא נַהֲרָא, דְאִלֵּין מִתְנַבְּאִין רַחֲמֵי, וְאִלֵּין מִתְנַבְּאִין דִּינָא, דִּנְבוּאָה אִיהִי שְׁקִילָא לְאוֹרַיְיתָא דְבִכְתָב וּלְאוֹרַיְיתָא דִבְעַל פֶּה.</w:t>
      </w:r>
    </w:p>
    <w:p w:rsidR="00B17EA9" w:rsidRDefault="00B17EA9" w:rsidP="00B17EA9">
      <w:pPr>
        <w:spacing w:after="40" w:line="360" w:lineRule="atLeast"/>
        <w:ind w:left="144" w:right="144" w:firstLine="288"/>
        <w:jc w:val="both"/>
        <w:rPr>
          <w:rFonts w:ascii="Arial"/>
          <w:b/>
          <w:bCs/>
          <w:sz w:val="29"/>
          <w:szCs w:val="29"/>
          <w:rtl/>
        </w:rPr>
      </w:pPr>
      <w:r>
        <w:rPr>
          <w:rFonts w:ascii="Arial"/>
          <w:b/>
          <w:bCs/>
          <w:sz w:val="29"/>
          <w:szCs w:val="29"/>
          <w:rtl/>
        </w:rPr>
        <w:t xml:space="preserve">וּבְהַהוּא זִמְנָא דְמִתְפַּתְּחִין הֵיכָלִין דִּנְבוּאָה, כַּמָּה מָארֵי דַעֲתִידוֹת יִתְעָרוּן בְּעָלְמָא, הֲדָא הוּא דִכְתִיב </w:t>
      </w:r>
      <w:r>
        <w:rPr>
          <w:rFonts w:ascii="Arial"/>
          <w:b/>
          <w:szCs w:val="23"/>
          <w:rtl/>
        </w:rPr>
        <w:t>(יואל ג א)</w:t>
      </w:r>
      <w:r>
        <w:rPr>
          <w:rFonts w:ascii="Arial"/>
          <w:b/>
          <w:bCs/>
          <w:sz w:val="29"/>
          <w:szCs w:val="29"/>
          <w:rtl/>
        </w:rPr>
        <w:t xml:space="preserve"> וְנִבְּאוּ בְּנֵיכֶם וּבְנוֹתֵיכֶם וכו', </w:t>
      </w:r>
      <w:r>
        <w:rPr>
          <w:rStyle w:val="a7"/>
          <w:rFonts w:ascii="Arial"/>
          <w:b/>
          <w:bCs/>
          <w:sz w:val="29"/>
          <w:szCs w:val="29"/>
          <w:rtl/>
        </w:rPr>
        <w:footnoteReference w:id="3960"/>
      </w:r>
      <w:r>
        <w:rPr>
          <w:rFonts w:ascii="Arial"/>
          <w:b/>
          <w:bCs/>
          <w:sz w:val="29"/>
          <w:szCs w:val="29"/>
          <w:rtl/>
        </w:rPr>
        <w:t xml:space="preserve">מָארֵי דַעֲתִידוֹת, מִמַּה דַּהֲווֹ וַעֲתִידִין לְמֶהֱוִי, מִמַּה דַּהֲווֹ מִסִּטְרָא דְמַחֲשָׁבָה </w:t>
      </w:r>
      <w:r>
        <w:rPr>
          <w:rStyle w:val="a7"/>
          <w:rFonts w:ascii="Arial"/>
          <w:b/>
          <w:bCs/>
          <w:sz w:val="29"/>
          <w:szCs w:val="29"/>
          <w:rtl/>
        </w:rPr>
        <w:footnoteReference w:id="3961"/>
      </w:r>
      <w:r>
        <w:rPr>
          <w:rFonts w:ascii="Arial"/>
          <w:b/>
          <w:bCs/>
          <w:sz w:val="29"/>
          <w:szCs w:val="29"/>
          <w:rtl/>
        </w:rPr>
        <w:t xml:space="preserve">דְאִתְּמַר בָּהּ יִשְׂרָאֵל עָלָה בְּמַחֲשָׁבָה, וּמַה דְּעָתִיד לְמֶהֱוֵי מִסִּטְרָא דְאִימָּא עִלָּאָה, </w:t>
      </w:r>
      <w:r>
        <w:rPr>
          <w:rStyle w:val="a7"/>
          <w:rFonts w:ascii="Arial"/>
          <w:b/>
          <w:bCs/>
          <w:sz w:val="29"/>
          <w:szCs w:val="29"/>
          <w:rtl/>
        </w:rPr>
        <w:footnoteReference w:id="3962"/>
      </w:r>
      <w:r>
        <w:rPr>
          <w:rFonts w:ascii="Arial"/>
          <w:b/>
          <w:bCs/>
          <w:sz w:val="29"/>
          <w:szCs w:val="29"/>
          <w:rtl/>
        </w:rPr>
        <w:t xml:space="preserve">וְרָזָא דְמִלָּה </w:t>
      </w:r>
      <w:r>
        <w:rPr>
          <w:rFonts w:ascii="Arial"/>
          <w:b/>
          <w:szCs w:val="23"/>
          <w:rtl/>
        </w:rPr>
        <w:t>(קהלת ג טו)</w:t>
      </w:r>
      <w:r>
        <w:rPr>
          <w:rFonts w:ascii="Arial"/>
          <w:b/>
          <w:bCs/>
          <w:sz w:val="29"/>
          <w:szCs w:val="29"/>
          <w:rtl/>
        </w:rPr>
        <w:t xml:space="preserve"> מַה שֶּׁהָיָה כְּבָר הוּא, וַאֲשֶׁר לִהְיוֹת כְּבָר הָיָה.</w:t>
      </w:r>
    </w:p>
    <w:p w:rsidR="00B17EA9" w:rsidRDefault="00B17EA9" w:rsidP="00B17EA9">
      <w:pPr>
        <w:spacing w:after="40" w:line="360" w:lineRule="atLeast"/>
        <w:ind w:left="144" w:right="144" w:firstLine="288"/>
        <w:jc w:val="both"/>
        <w:rPr>
          <w:rFonts w:ascii="Arial"/>
          <w:b/>
          <w:bCs/>
          <w:sz w:val="29"/>
          <w:szCs w:val="29"/>
          <w:rtl/>
        </w:rPr>
      </w:pPr>
      <w:r>
        <w:rPr>
          <w:rFonts w:ascii="Arial"/>
          <w:b/>
          <w:bCs/>
          <w:sz w:val="29"/>
          <w:szCs w:val="29"/>
          <w:rtl/>
        </w:rPr>
        <w:t xml:space="preserve">וְכַמָּה מָארֵי דְעַיְינִין דְּאִינוּן </w:t>
      </w:r>
      <w:r>
        <w:rPr>
          <w:rStyle w:val="a7"/>
          <w:rFonts w:ascii="Arial"/>
          <w:b/>
          <w:bCs/>
          <w:sz w:val="29"/>
          <w:szCs w:val="29"/>
          <w:rtl/>
        </w:rPr>
        <w:footnoteReference w:id="3963"/>
      </w:r>
      <w:r>
        <w:rPr>
          <w:rFonts w:ascii="Arial"/>
          <w:b/>
          <w:bCs/>
          <w:sz w:val="29"/>
          <w:szCs w:val="29"/>
          <w:rtl/>
        </w:rPr>
        <w:t xml:space="preserve">חוֹזִים וּנְבִיאַיָּא יִתְעָרוּן בְּעָלְמָא דְאִינוּן עִינֵי יהו''ה, וְכַמָּה </w:t>
      </w:r>
      <w:r>
        <w:rPr>
          <w:rStyle w:val="a7"/>
          <w:rFonts w:ascii="Arial"/>
          <w:b/>
          <w:bCs/>
          <w:sz w:val="29"/>
          <w:szCs w:val="29"/>
          <w:rtl/>
        </w:rPr>
        <w:footnoteReference w:id="3964"/>
      </w:r>
      <w:r>
        <w:rPr>
          <w:rFonts w:ascii="Arial"/>
          <w:b/>
          <w:bCs/>
          <w:sz w:val="29"/>
          <w:szCs w:val="29"/>
          <w:rtl/>
        </w:rPr>
        <w:t xml:space="preserve">מָארֵי דְאוּדְנִין דְּתַמָּן שְׁמִיעָה דְאִתְּמַר בְּהוֹן </w:t>
      </w:r>
      <w:r>
        <w:rPr>
          <w:rFonts w:ascii="Arial"/>
          <w:b/>
          <w:szCs w:val="23"/>
          <w:rtl/>
        </w:rPr>
        <w:t>(יחזקאל א כד)</w:t>
      </w:r>
      <w:r>
        <w:rPr>
          <w:rFonts w:ascii="Arial"/>
          <w:b/>
          <w:bCs/>
          <w:sz w:val="29"/>
          <w:szCs w:val="29"/>
          <w:rtl/>
        </w:rPr>
        <w:t xml:space="preserve"> וָאֶשְׁמַע </w:t>
      </w:r>
      <w:r>
        <w:rPr>
          <w:rStyle w:val="a7"/>
          <w:rFonts w:ascii="Arial"/>
          <w:b/>
          <w:bCs/>
          <w:sz w:val="29"/>
          <w:szCs w:val="29"/>
          <w:rtl/>
        </w:rPr>
        <w:footnoteReference w:id="3965"/>
      </w:r>
      <w:r>
        <w:rPr>
          <w:rFonts w:ascii="Arial"/>
          <w:b/>
          <w:bCs/>
          <w:sz w:val="29"/>
          <w:szCs w:val="29"/>
          <w:rtl/>
        </w:rPr>
        <w:t xml:space="preserve">אֶת קוֹל כַּנְפֵיהֶם, </w:t>
      </w:r>
      <w:r>
        <w:rPr>
          <w:rStyle w:val="a7"/>
          <w:rFonts w:ascii="Arial"/>
          <w:b/>
          <w:bCs/>
          <w:sz w:val="29"/>
          <w:szCs w:val="29"/>
          <w:rtl/>
        </w:rPr>
        <w:footnoteReference w:id="3966"/>
      </w:r>
      <w:r>
        <w:rPr>
          <w:rFonts w:ascii="Arial"/>
          <w:b/>
          <w:bCs/>
          <w:sz w:val="29"/>
          <w:szCs w:val="29"/>
          <w:rtl/>
        </w:rPr>
        <w:t xml:space="preserve">וּמָארֵי דְאַנְפִּין דְּאִתְּמַר בְּהוֹן </w:t>
      </w:r>
      <w:r>
        <w:rPr>
          <w:rFonts w:ascii="Arial"/>
          <w:b/>
          <w:szCs w:val="23"/>
          <w:rtl/>
        </w:rPr>
        <w:t>(שם ו)</w:t>
      </w:r>
      <w:r>
        <w:rPr>
          <w:rFonts w:ascii="Arial"/>
          <w:b/>
          <w:bCs/>
          <w:sz w:val="29"/>
          <w:szCs w:val="29"/>
          <w:rtl/>
        </w:rPr>
        <w:t xml:space="preserve"> וְאַרְבָּעָה פָנִים וְגוֹמֵר, </w:t>
      </w:r>
      <w:r>
        <w:rPr>
          <w:rStyle w:val="a7"/>
          <w:rFonts w:ascii="Arial"/>
          <w:b/>
          <w:bCs/>
          <w:sz w:val="29"/>
          <w:szCs w:val="29"/>
          <w:rtl/>
        </w:rPr>
        <w:footnoteReference w:id="3967"/>
      </w:r>
      <w:r>
        <w:rPr>
          <w:rFonts w:ascii="Arial"/>
          <w:b/>
          <w:bCs/>
          <w:sz w:val="29"/>
          <w:szCs w:val="29"/>
          <w:rtl/>
        </w:rPr>
        <w:t xml:space="preserve">וּמָארֵי דְקָלִין, וּמָארֵי דְּדִבּוּרִין, </w:t>
      </w:r>
      <w:r>
        <w:rPr>
          <w:rStyle w:val="a7"/>
          <w:rFonts w:ascii="Arial"/>
          <w:b/>
          <w:bCs/>
          <w:sz w:val="29"/>
          <w:szCs w:val="29"/>
          <w:rtl/>
        </w:rPr>
        <w:footnoteReference w:id="3968"/>
      </w:r>
      <w:r>
        <w:rPr>
          <w:rFonts w:ascii="Arial"/>
          <w:b/>
          <w:bCs/>
          <w:sz w:val="29"/>
          <w:szCs w:val="29"/>
          <w:rtl/>
        </w:rPr>
        <w:t xml:space="preserve">וּמָארֵי דְרוּחָא דְקוּדְשָׁא, וּמָארֵי דִיְדִין </w:t>
      </w:r>
      <w:r>
        <w:rPr>
          <w:rStyle w:val="a7"/>
          <w:rFonts w:ascii="Arial"/>
          <w:b/>
          <w:bCs/>
          <w:sz w:val="29"/>
          <w:szCs w:val="29"/>
          <w:rtl/>
        </w:rPr>
        <w:footnoteReference w:id="3969"/>
      </w:r>
      <w:r>
        <w:rPr>
          <w:rFonts w:ascii="Arial"/>
          <w:b/>
          <w:bCs/>
          <w:sz w:val="29"/>
          <w:szCs w:val="29"/>
          <w:rtl/>
        </w:rPr>
        <w:t xml:space="preserve">דְּאִתְּמַר בְּהוֹן </w:t>
      </w:r>
      <w:r>
        <w:rPr>
          <w:rFonts w:ascii="Arial"/>
          <w:b/>
          <w:szCs w:val="23"/>
          <w:rtl/>
        </w:rPr>
        <w:t>(שם ח)</w:t>
      </w:r>
      <w:r>
        <w:rPr>
          <w:rFonts w:ascii="Arial"/>
          <w:b/>
          <w:bCs/>
          <w:sz w:val="29"/>
          <w:szCs w:val="29"/>
          <w:rtl/>
        </w:rPr>
        <w:t xml:space="preserve"> וִידֵי אָדָם וְגוֹמֵר, </w:t>
      </w:r>
      <w:r>
        <w:rPr>
          <w:rStyle w:val="a7"/>
          <w:rFonts w:ascii="Arial"/>
          <w:b/>
          <w:bCs/>
          <w:sz w:val="29"/>
          <w:szCs w:val="29"/>
          <w:rtl/>
        </w:rPr>
        <w:footnoteReference w:id="3970"/>
      </w:r>
      <w:r>
        <w:rPr>
          <w:rFonts w:ascii="Arial"/>
          <w:b/>
          <w:bCs/>
          <w:sz w:val="29"/>
          <w:szCs w:val="29"/>
          <w:rtl/>
        </w:rPr>
        <w:t xml:space="preserve">וּמָארֵי דְקוֹמָה, </w:t>
      </w:r>
      <w:r>
        <w:rPr>
          <w:rStyle w:val="a7"/>
          <w:rFonts w:ascii="Arial"/>
          <w:b/>
          <w:bCs/>
          <w:sz w:val="29"/>
          <w:szCs w:val="29"/>
          <w:rtl/>
        </w:rPr>
        <w:footnoteReference w:id="3971"/>
      </w:r>
      <w:r>
        <w:rPr>
          <w:rFonts w:ascii="Arial"/>
          <w:b/>
          <w:bCs/>
          <w:sz w:val="29"/>
          <w:szCs w:val="29"/>
          <w:rtl/>
        </w:rPr>
        <w:t xml:space="preserve">וּמָארֵי דְאוֹת, </w:t>
      </w:r>
      <w:r>
        <w:rPr>
          <w:rStyle w:val="a7"/>
          <w:rFonts w:ascii="Arial"/>
          <w:b/>
          <w:bCs/>
          <w:sz w:val="29"/>
          <w:szCs w:val="29"/>
          <w:rtl/>
        </w:rPr>
        <w:footnoteReference w:id="3972"/>
      </w:r>
      <w:r>
        <w:rPr>
          <w:rFonts w:ascii="Arial"/>
          <w:b/>
          <w:bCs/>
          <w:sz w:val="29"/>
          <w:szCs w:val="29"/>
          <w:rtl/>
        </w:rPr>
        <w:t xml:space="preserve">וּמָארֵי דְרַגְלִין דְּאִתְּמַר בְּהוֹן </w:t>
      </w:r>
      <w:r>
        <w:rPr>
          <w:rFonts w:ascii="Arial"/>
          <w:b/>
          <w:szCs w:val="23"/>
          <w:rtl/>
        </w:rPr>
        <w:t>(שם יד)</w:t>
      </w:r>
      <w:r>
        <w:rPr>
          <w:rFonts w:ascii="Arial"/>
          <w:b/>
          <w:bCs/>
          <w:sz w:val="29"/>
          <w:szCs w:val="29"/>
          <w:rtl/>
        </w:rPr>
        <w:t xml:space="preserve"> וְהַחַיּוֹת רָצוֹא וָשׁוֹב, </w:t>
      </w:r>
      <w:r>
        <w:rPr>
          <w:rStyle w:val="a7"/>
          <w:rFonts w:ascii="Arial"/>
          <w:b/>
          <w:bCs/>
          <w:sz w:val="29"/>
          <w:szCs w:val="29"/>
          <w:rtl/>
        </w:rPr>
        <w:footnoteReference w:id="3973"/>
      </w:r>
      <w:r>
        <w:rPr>
          <w:rFonts w:ascii="Arial"/>
          <w:b/>
          <w:bCs/>
          <w:sz w:val="29"/>
          <w:szCs w:val="29"/>
          <w:rtl/>
        </w:rPr>
        <w:t xml:space="preserve">בְּהַהוּא זִמְנָא וַיַּבְדֵּל אלהי''ם בֵּין הָאוֹר וּבֵין הַחֹשֶׁךְ </w:t>
      </w:r>
      <w:r>
        <w:rPr>
          <w:rFonts w:ascii="Arial"/>
          <w:b/>
          <w:szCs w:val="23"/>
          <w:rtl/>
        </w:rPr>
        <w:t>(בראשית א ד)</w:t>
      </w:r>
      <w:r>
        <w:rPr>
          <w:rFonts w:ascii="Arial"/>
          <w:b/>
          <w:bCs/>
          <w:sz w:val="29"/>
          <w:szCs w:val="29"/>
          <w:rtl/>
        </w:rPr>
        <w:t xml:space="preserve">, אִלֵּין אִינוּן נְבִיאֵי דְשִׁקְרָא, דְאִתְּמַר בְּהוֹן </w:t>
      </w:r>
      <w:r>
        <w:rPr>
          <w:rFonts w:ascii="Arial"/>
          <w:b/>
          <w:szCs w:val="23"/>
          <w:rtl/>
        </w:rPr>
        <w:t>(שמות ז יא)</w:t>
      </w:r>
      <w:r>
        <w:rPr>
          <w:rFonts w:ascii="Arial"/>
          <w:b/>
          <w:bCs/>
          <w:sz w:val="29"/>
          <w:szCs w:val="29"/>
          <w:rtl/>
        </w:rPr>
        <w:t xml:space="preserve"> וַיַּעֲשׂוּ גַּם הֵם חַרְטוּמֵי מִצְרַיִם וְגוֹמֵר, דְּאַפְרִישׁ לוֹן קוּדְשָׁא בְּרִיךְ הוּא מִנְּבִיאֵי קְשׁוֹט.</w:t>
      </w:r>
    </w:p>
    <w:p w:rsidR="00B17EA9" w:rsidRDefault="00B17EA9" w:rsidP="00B17EA9">
      <w:pPr>
        <w:spacing w:after="40" w:line="360" w:lineRule="atLeast"/>
        <w:ind w:left="144" w:right="144" w:firstLine="288"/>
        <w:jc w:val="both"/>
        <w:rPr>
          <w:rFonts w:ascii="Arial"/>
          <w:b/>
          <w:szCs w:val="23"/>
          <w:rtl/>
        </w:rPr>
      </w:pPr>
      <w:r>
        <w:rPr>
          <w:rtl/>
        </w:rPr>
        <w:t xml:space="preserve">[תיקוני זוהר - דף פג ע''ב] </w:t>
      </w:r>
    </w:p>
    <w:p w:rsidR="00B17EA9" w:rsidRDefault="00B17EA9" w:rsidP="00B17EA9">
      <w:pPr>
        <w:spacing w:after="40" w:line="360" w:lineRule="atLeast"/>
        <w:ind w:left="144" w:right="144" w:firstLine="288"/>
        <w:jc w:val="both"/>
        <w:rPr>
          <w:rFonts w:ascii="Arial"/>
          <w:b/>
          <w:bCs/>
          <w:sz w:val="29"/>
          <w:szCs w:val="29"/>
          <w:rtl/>
        </w:rPr>
      </w:pPr>
      <w:r>
        <w:rPr>
          <w:rStyle w:val="a7"/>
          <w:rFonts w:ascii="Arial"/>
          <w:b/>
          <w:bCs/>
          <w:sz w:val="29"/>
          <w:szCs w:val="29"/>
          <w:rtl/>
        </w:rPr>
        <w:footnoteReference w:id="3974"/>
      </w:r>
      <w:r>
        <w:rPr>
          <w:rFonts w:ascii="Arial"/>
          <w:b/>
          <w:bCs/>
          <w:sz w:val="29"/>
          <w:szCs w:val="29"/>
          <w:rtl/>
        </w:rPr>
        <w:t xml:space="preserve">וַיֹּאמֶר אלהי''ם יְהִי רָקִיעַ בְּתוֹךְ הַמָּיִם וִיהִי מַבְדִּיל בֵּין מַיִם לָמָיִם </w:t>
      </w:r>
      <w:r>
        <w:rPr>
          <w:rFonts w:ascii="Arial"/>
          <w:b/>
          <w:szCs w:val="23"/>
          <w:rtl/>
        </w:rPr>
        <w:t>(בראשית א ז)</w:t>
      </w:r>
      <w:r>
        <w:rPr>
          <w:rFonts w:ascii="Arial"/>
          <w:b/>
          <w:bCs/>
          <w:sz w:val="29"/>
          <w:szCs w:val="29"/>
          <w:rtl/>
        </w:rPr>
        <w:t xml:space="preserve">, </w:t>
      </w:r>
      <w:r>
        <w:rPr>
          <w:rStyle w:val="a7"/>
          <w:rFonts w:ascii="Arial"/>
          <w:b/>
          <w:bCs/>
          <w:sz w:val="29"/>
          <w:szCs w:val="29"/>
          <w:rtl/>
        </w:rPr>
        <w:footnoteReference w:id="3975"/>
      </w:r>
      <w:r>
        <w:rPr>
          <w:rFonts w:ascii="Arial"/>
          <w:b/>
          <w:bCs/>
          <w:sz w:val="29"/>
          <w:szCs w:val="29"/>
          <w:rtl/>
        </w:rPr>
        <w:t xml:space="preserve">הָכָא רָזָא לְאִתְעַסְקָא בְאוֹרַיְיתָא דִבְעַל פֶּה, וּלְאַפְרָשָׁא בֵּין אִסּוּר וְהֶתֵּר, דְּאִינוּן מַיִּין </w:t>
      </w:r>
      <w:r>
        <w:rPr>
          <w:rFonts w:ascii="Arial"/>
          <w:b/>
          <w:szCs w:val="23"/>
          <w:rtl/>
        </w:rPr>
        <w:t xml:space="preserve">(דף פג ע''ב) </w:t>
      </w:r>
      <w:r>
        <w:rPr>
          <w:rFonts w:ascii="Arial"/>
          <w:b/>
          <w:bCs/>
          <w:sz w:val="29"/>
          <w:szCs w:val="29"/>
          <w:rtl/>
        </w:rPr>
        <w:t xml:space="preserve">מְתִיקָן, וּמַיִּין מְרִירָן מִסִּטְרָא דִשְׂמָאלָא, וְלֹא יָכְלוּ לִשְׁתּוֹת מַיִם מִמָּרָה כִּי מָרִים הֵם </w:t>
      </w:r>
      <w:r>
        <w:rPr>
          <w:rFonts w:ascii="Arial"/>
          <w:b/>
          <w:szCs w:val="23"/>
          <w:rtl/>
        </w:rPr>
        <w:t>(שמות טו כג)</w:t>
      </w:r>
      <w:r>
        <w:rPr>
          <w:rFonts w:ascii="Arial"/>
          <w:b/>
          <w:bCs/>
          <w:sz w:val="29"/>
          <w:szCs w:val="29"/>
          <w:rtl/>
        </w:rPr>
        <w:t xml:space="preserve">, וּמִסִּטְרָא דִימִינָא וַיִּמְתְּקוּ הַמָּיִם </w:t>
      </w:r>
      <w:r>
        <w:rPr>
          <w:rFonts w:ascii="Arial"/>
          <w:b/>
          <w:szCs w:val="23"/>
          <w:rtl/>
        </w:rPr>
        <w:t>(שם כה)</w:t>
      </w:r>
      <w:r>
        <w:rPr>
          <w:rFonts w:ascii="Arial"/>
          <w:b/>
          <w:bCs/>
          <w:sz w:val="29"/>
          <w:szCs w:val="29"/>
          <w:rtl/>
        </w:rPr>
        <w:t xml:space="preserve">, וְאִינוּן כְּגַוְונָא דְּדָם טָהוֹר וְדַם נִדָּה דְצָרִיךְ לְאַפְרָשָׁא בֵּינַיְיהוּ, בְּגִין דְּהַהוּא זוּהֲמָא דְהִטִּיל נָחָשׁ בְּחַוָּה גָרִים לְעָרְבָא מַיִּין דְּדַכְיוּ עִם מַיִּין דִּמְסָאֲבוּ, וּבְגִין דָּא תַּקִּינוּ תַּקָּנָה דָא לְחוֹבָה לְאַפְרָשָׁא בֵּינַיְיהוּ, וְהַהוּא דְאַפְרִישׁ בֵּינַיְיהוּ דָּא רָקִיעַ דְּעַל רָאשֵׁי חֵיוָון, דְּאִתְּמַר בֵּיהּ </w:t>
      </w:r>
      <w:r>
        <w:rPr>
          <w:rFonts w:ascii="Arial"/>
          <w:b/>
          <w:szCs w:val="23"/>
          <w:rtl/>
        </w:rPr>
        <w:t>(יחזקאל א כב)</w:t>
      </w:r>
      <w:r>
        <w:rPr>
          <w:rFonts w:ascii="Arial"/>
          <w:b/>
          <w:bCs/>
          <w:sz w:val="29"/>
          <w:szCs w:val="29"/>
          <w:rtl/>
        </w:rPr>
        <w:t xml:space="preserve"> וּדְמוּת עַל רָאשֵׁי הַחַיָּה רָקִיעַ דָּא מטטרו''ן.</w:t>
      </w:r>
    </w:p>
    <w:p w:rsidR="00B17EA9" w:rsidRDefault="00B17EA9" w:rsidP="00B17EA9">
      <w:pPr>
        <w:spacing w:after="40" w:line="360" w:lineRule="atLeast"/>
        <w:ind w:left="144" w:right="144" w:firstLine="288"/>
        <w:jc w:val="both"/>
        <w:rPr>
          <w:rFonts w:ascii="Arial"/>
          <w:b/>
          <w:bCs/>
          <w:sz w:val="29"/>
          <w:szCs w:val="29"/>
          <w:rtl/>
        </w:rPr>
      </w:pPr>
      <w:r>
        <w:rPr>
          <w:rFonts w:ascii="Arial"/>
          <w:b/>
          <w:bCs/>
          <w:sz w:val="29"/>
          <w:szCs w:val="29"/>
          <w:rtl/>
        </w:rPr>
        <w:t xml:space="preserve">וַיַּעַשׂ אלהי''ם אֶת הָרָקִיעַ וַיַּבְדֵּל וכו' </w:t>
      </w:r>
      <w:r>
        <w:rPr>
          <w:rFonts w:ascii="Arial"/>
          <w:b/>
          <w:szCs w:val="23"/>
          <w:rtl/>
        </w:rPr>
        <w:t>(בראשית א ז)</w:t>
      </w:r>
      <w:r>
        <w:rPr>
          <w:rFonts w:ascii="Arial"/>
          <w:b/>
          <w:bCs/>
          <w:sz w:val="29"/>
          <w:szCs w:val="29"/>
          <w:rtl/>
        </w:rPr>
        <w:t xml:space="preserve">, הָכָא לֵית מַיָּא מִסִּטְרָא דִמְסָאֲבוּ, אֶלָּא מַיִּין מִסִּטְרָא דִשְׂמָאלָא הֲווֹ בָּעָאן לְאִתְגַּבְּרָא, וּמַיִּין מִסִּטְרָא דִימִינָא הֲווֹ בָּעָאן לְאִסְתַּלְקָא עֲלַיְיהוּ, עַד דְּאִלֵּין אָמְרִין אֲנַן בָּעִינָן לְמֶהֱוִי קֳדָם מַלְכָּא, וְאִלֵּין אָמְרִין אֲנַן בָּעִינָן לְמֶהֱוִי קֳדָם מַלְכָּא, עַד דְּאָתָא עַמּוּדָא דְאֶמְצָעִיתָא וְאַעִיל שְׁלָם בֵּינַיְיהוּ, וְקָשִׁיר לוֹן וְאִתְעֲבִיד שֶׁקֶל </w:t>
      </w:r>
      <w:r>
        <w:rPr>
          <w:rFonts w:ascii="Arial"/>
          <w:b/>
          <w:szCs w:val="23"/>
          <w:rtl/>
        </w:rPr>
        <w:t>(נ''א שלום)</w:t>
      </w:r>
      <w:r>
        <w:rPr>
          <w:rFonts w:ascii="Arial"/>
          <w:b/>
          <w:bCs/>
          <w:sz w:val="29"/>
          <w:szCs w:val="29"/>
          <w:rtl/>
        </w:rPr>
        <w:t xml:space="preserve"> בֵּינַיְיהוּ, וְדָא מַחֲלוֹקֶת </w:t>
      </w:r>
      <w:r>
        <w:rPr>
          <w:rStyle w:val="a7"/>
          <w:rFonts w:ascii="Arial"/>
          <w:b/>
          <w:bCs/>
          <w:sz w:val="29"/>
          <w:szCs w:val="29"/>
          <w:rtl/>
        </w:rPr>
        <w:footnoteReference w:id="3976"/>
      </w:r>
      <w:r>
        <w:rPr>
          <w:rFonts w:ascii="Arial"/>
          <w:b/>
          <w:bCs/>
          <w:sz w:val="29"/>
          <w:szCs w:val="29"/>
          <w:rtl/>
        </w:rPr>
        <w:t>לְשֵׁם שָׁמַיִם, כְּגוֹן לֵאָה וְרָחֵל, דְּדָא בָעָא לְאִתְחַבְּרָא בְּבַעְלָהּ, וְדָא בָעָא לְאִתְחַבְּרָא בְּבַעְלָהּ, וְנָטִיל לוֹן יַעֲקֹב וְקָשִׁיר לוֹן בֵּיהּ לְתַרְוַיְיהוּ, בְּגִין דַּהֲוָה קָא מַחֲשֶׁבֶת לֵאָה בְּלִבָּהּ אִם יַעֲקֹב נָטִיל לַאֲחָתִי נָטִיל לִי עִשָׂו חַיָּיבָא, וְהָכִי קָא חֲשִׁיבַת רָחֵל כְּגַוְונָא דָא, בְּגִין דָּא קוּדְשָׁא בְּרִיךְ הוּא יְהִיב לוֹן לְיַעֲקֹב תַּרְוַיְיהוּ, וְשֵׁזִיב לוֹן מֵהַהוּא חַיָּיבָא, וְאִתְחַבְּרוּ בְצַדִּיקָא.</w:t>
      </w:r>
    </w:p>
    <w:p w:rsidR="00B17EA9" w:rsidRDefault="00B17EA9" w:rsidP="00B17EA9">
      <w:pPr>
        <w:spacing w:after="40" w:line="360" w:lineRule="atLeast"/>
        <w:ind w:left="144" w:right="144" w:firstLine="288"/>
        <w:jc w:val="both"/>
        <w:rPr>
          <w:rFonts w:ascii="Arial"/>
          <w:b/>
          <w:szCs w:val="23"/>
          <w:rtl/>
        </w:rPr>
      </w:pPr>
      <w:r>
        <w:rPr>
          <w:rtl/>
        </w:rPr>
        <w:t xml:space="preserve">[תיקוני זוהר - דף קא ע''א] </w:t>
      </w:r>
    </w:p>
    <w:p w:rsidR="00B17EA9" w:rsidRDefault="00B17EA9" w:rsidP="00B17EA9">
      <w:pPr>
        <w:spacing w:after="40" w:line="360" w:lineRule="atLeast"/>
        <w:ind w:left="144" w:right="144" w:firstLine="288"/>
        <w:jc w:val="both"/>
        <w:rPr>
          <w:rFonts w:ascii="Arial"/>
          <w:b/>
          <w:bCs/>
          <w:sz w:val="29"/>
          <w:szCs w:val="29"/>
          <w:rtl/>
        </w:rPr>
      </w:pPr>
      <w:r>
        <w:rPr>
          <w:rFonts w:ascii="Arial"/>
          <w:b/>
          <w:szCs w:val="23"/>
          <w:rtl/>
        </w:rPr>
        <w:t xml:space="preserve">(דף קא ע''א) </w:t>
      </w:r>
      <w:r>
        <w:rPr>
          <w:rFonts w:ascii="Arial"/>
          <w:b/>
          <w:bCs/>
          <w:sz w:val="29"/>
          <w:szCs w:val="29"/>
          <w:rtl/>
        </w:rPr>
        <w:t xml:space="preserve">אָמַר רַבִּי אֶלְעָזָר אַבָּא, יוֹמָא חֲדָא הֲוִינָן בְּבֵי מֶדְרָשָׁא, וְשָׁאִילוּ חַבְרַיָּא מַאי נִיהוּ דְאָמַר רַבִּי עֲקִיבָא לְתַלְמִידוֹי כְּשֶׁתַּגִּיעוּ לְאַבְנֵי שַׁיִשׁ טָהוֹר אַל תֹּאמְרוּ מַיִם מַיִם שֶׁמָּא תְּסַכְּנוּ עַצְמְכֶם, שֶׁנֶּאֱמַר </w:t>
      </w:r>
      <w:r>
        <w:rPr>
          <w:rFonts w:ascii="Arial"/>
          <w:b/>
          <w:szCs w:val="23"/>
          <w:rtl/>
        </w:rPr>
        <w:t>(תהלים קא ז)</w:t>
      </w:r>
      <w:r>
        <w:rPr>
          <w:rFonts w:ascii="Arial"/>
          <w:b/>
          <w:bCs/>
          <w:sz w:val="29"/>
          <w:szCs w:val="29"/>
          <w:rtl/>
        </w:rPr>
        <w:t xml:space="preserve"> דּוֹבֵר שְׁקָרִים לֹא יִכּוֹן לְנֶגֶד עִינָי, </w:t>
      </w:r>
      <w:r>
        <w:rPr>
          <w:rFonts w:ascii="Arial"/>
          <w:b/>
          <w:szCs w:val="23"/>
          <w:rtl/>
        </w:rPr>
        <w:t xml:space="preserve">(נ''א קם סבא דסבין עתיקא דעתיקין, ואמר רבי רבי מאי ניהו דאמר רבי עקיבא לתלמידוי כשתגיעו לאבני שיש טהור אל תאמרו מים מים שמא תסכנו בעצמכם, הדא הוא דכתיב דובר שקרים לא יכון לנגד עיני, והא כתיב (בראשית א ו) יהי רקיע בתוך המים ויהי מבדיל בין מים למים, ועוד מים עליונים ומים תחתונים אית תמן, למה אמר אל תאמרו מים מים, אמר ליה בוצינא קדישא, סבא דסבין לך יאות לגלאה רזא דא, דלית חבריא יכלין לקיימא ביה על בורייה, אמר ליה סבא דסבין, רבי רבי בוצינא קדישא, בודאי אבני שיש טהור אינון י' י', דאינון חד יו''ד עלאה מן א, ותנינא יו''ד תתאה מינה, והכא לית טומאה אלא אבני שיש טהור, ולית הפרשה בין מים למים, דכלא יחודא חדא, דאלין אינון מסטרא דאילנא דחיי דאיהו </w:t>
      </w:r>
      <w:r>
        <w:rPr>
          <w:rFonts w:ascii="Arial"/>
          <w:sz w:val="29"/>
          <w:szCs w:val="29"/>
          <w:rtl/>
        </w:rPr>
        <w:t>ו</w:t>
      </w:r>
      <w:r>
        <w:rPr>
          <w:rFonts w:ascii="Arial"/>
          <w:b/>
          <w:szCs w:val="23"/>
          <w:rtl/>
        </w:rPr>
        <w:t xml:space="preserve"> באמצעיתא ד </w:t>
      </w:r>
      <w:r>
        <w:rPr>
          <w:rFonts w:ascii="Arial"/>
          <w:sz w:val="29"/>
          <w:szCs w:val="29"/>
          <w:rtl/>
        </w:rPr>
        <w:t>א</w:t>
      </w:r>
      <w:r>
        <w:rPr>
          <w:rFonts w:ascii="Arial"/>
          <w:b/>
          <w:szCs w:val="23"/>
          <w:rtl/>
        </w:rPr>
        <w:t>, דאתמר ביה (שם ג) ולקח גם מעץ החיים ואכל וחי לעולם, אבל אילנא דעץ הדעת לתתא)</w:t>
      </w:r>
      <w:r>
        <w:rPr>
          <w:rFonts w:ascii="Arial"/>
          <w:b/>
          <w:bCs/>
          <w:sz w:val="29"/>
          <w:szCs w:val="29"/>
          <w:rtl/>
        </w:rPr>
        <w:t xml:space="preserve">. </w:t>
      </w:r>
      <w:r>
        <w:rPr>
          <w:rStyle w:val="a7"/>
          <w:rFonts w:ascii="Arial"/>
          <w:b/>
          <w:bCs/>
          <w:sz w:val="29"/>
          <w:szCs w:val="29"/>
          <w:rtl/>
        </w:rPr>
        <w:footnoteReference w:id="3977"/>
      </w:r>
      <w:r>
        <w:rPr>
          <w:rFonts w:ascii="Arial"/>
          <w:b/>
          <w:bCs/>
          <w:sz w:val="29"/>
          <w:szCs w:val="29"/>
          <w:rtl/>
        </w:rPr>
        <w:t xml:space="preserve">אַדְהָכִי הָא סָבָא דְסָבִין עַתִּיקָא דְעַתִּיקִין קָא נָחִית וְאָמַר לוֹן, רַבָּנָן בְּמַאי עַסְקִיתּוּ, אָמְרוּ לֵיהּ וַדַּאי בְּהַאי דְאָמַר רַבִּי עֲקִיבָא לְתַלְמִידוֹי כְּשֶׁתַּגִּיעוּ לְאַבְנֵי שַׁיִשׁ טָהוֹר אַל תֹּאמְרוּ מַיִם מַיִם, וְאָמַר לוֹן וַדַּאי רָזָא עִלָּאָה אִית הָכָא, וְהָא אוּקְמוּהָ בִּמְתִיבְתָּא עִלָּאָה, וּבְגִין דְּלָא תִטְעוּן נְחִיתְנָא לְכוֹן, בְּגִין דְּיִתְגַּלֵּי רָזָא דָא בֵּינַיְיכוּ דְאִיהוּ רָזָא עִלָּאָה טְמִירָא מִבְּנֵי נָשָׁא </w:t>
      </w:r>
      <w:r>
        <w:rPr>
          <w:rFonts w:ascii="Arial"/>
          <w:b/>
          <w:szCs w:val="23"/>
          <w:rtl/>
        </w:rPr>
        <w:t>(נ''א דרא)</w:t>
      </w:r>
      <w:r>
        <w:rPr>
          <w:rFonts w:ascii="Arial"/>
          <w:b/>
          <w:bCs/>
          <w:sz w:val="29"/>
          <w:szCs w:val="29"/>
          <w:rtl/>
        </w:rPr>
        <w:t>.</w:t>
      </w:r>
    </w:p>
    <w:p w:rsidR="00B17EA9" w:rsidRDefault="00B17EA9" w:rsidP="00B17EA9">
      <w:pPr>
        <w:spacing w:after="40" w:line="360" w:lineRule="atLeast"/>
        <w:ind w:left="144" w:right="144" w:firstLine="288"/>
        <w:jc w:val="both"/>
        <w:rPr>
          <w:rFonts w:ascii="Arial"/>
          <w:b/>
          <w:bCs/>
          <w:sz w:val="29"/>
          <w:szCs w:val="29"/>
          <w:rtl/>
        </w:rPr>
      </w:pPr>
      <w:r>
        <w:rPr>
          <w:rFonts w:ascii="Arial"/>
          <w:b/>
          <w:bCs/>
          <w:sz w:val="29"/>
          <w:szCs w:val="29"/>
          <w:rtl/>
        </w:rPr>
        <w:t xml:space="preserve">בְּוַדַּאי אַבְנֵי שַׁיִשׁ טָהוֹר </w:t>
      </w:r>
      <w:r>
        <w:rPr>
          <w:rStyle w:val="a7"/>
          <w:rFonts w:ascii="Arial"/>
          <w:b/>
          <w:bCs/>
          <w:sz w:val="29"/>
          <w:szCs w:val="29"/>
          <w:rtl/>
        </w:rPr>
        <w:footnoteReference w:id="3978"/>
      </w:r>
      <w:r>
        <w:rPr>
          <w:rFonts w:ascii="Arial"/>
          <w:b/>
          <w:bCs/>
          <w:sz w:val="29"/>
          <w:szCs w:val="29"/>
          <w:rtl/>
        </w:rPr>
        <w:t xml:space="preserve">אִינוּן י' י', דְּמִנְּהוֹן מַיִּין דַּכְיָין נָפְקִין, וְאִינוּן רְמִיזִין בְּאָת א רֵישָׁא וְסוֹפָא י' י', </w:t>
      </w:r>
      <w:r>
        <w:rPr>
          <w:rStyle w:val="a7"/>
          <w:rFonts w:ascii="Arial"/>
          <w:b/>
          <w:bCs/>
          <w:sz w:val="29"/>
          <w:szCs w:val="29"/>
          <w:rtl/>
        </w:rPr>
        <w:footnoteReference w:id="3979"/>
      </w:r>
      <w:r>
        <w:rPr>
          <w:rFonts w:ascii="Arial"/>
          <w:b/>
          <w:bCs/>
          <w:sz w:val="29"/>
          <w:szCs w:val="29"/>
          <w:rtl/>
        </w:rPr>
        <w:t xml:space="preserve">ו' דְּאִיהוּ נָטוּי בֵּינַיְיהוּ אִיהוּ </w:t>
      </w:r>
      <w:r>
        <w:rPr>
          <w:rStyle w:val="a7"/>
          <w:rFonts w:ascii="Arial"/>
          <w:b/>
          <w:bCs/>
          <w:sz w:val="29"/>
          <w:szCs w:val="29"/>
          <w:rtl/>
        </w:rPr>
        <w:footnoteReference w:id="3980"/>
      </w:r>
      <w:r>
        <w:rPr>
          <w:rFonts w:ascii="Arial"/>
          <w:b/>
          <w:bCs/>
          <w:sz w:val="29"/>
          <w:szCs w:val="29"/>
          <w:rtl/>
        </w:rPr>
        <w:t>עִץ חַיִּים, מָאן דְּאָכַל מִנֵּיהּ וָחַי לְעוֹלָם.</w:t>
      </w:r>
    </w:p>
    <w:p w:rsidR="00B17EA9" w:rsidRDefault="00B17EA9" w:rsidP="00B17EA9">
      <w:pPr>
        <w:spacing w:after="40" w:line="360" w:lineRule="atLeast"/>
        <w:ind w:left="144" w:right="144" w:firstLine="288"/>
        <w:jc w:val="both"/>
        <w:rPr>
          <w:rFonts w:ascii="Arial"/>
          <w:b/>
          <w:bCs/>
          <w:sz w:val="29"/>
          <w:szCs w:val="29"/>
          <w:rtl/>
        </w:rPr>
      </w:pPr>
      <w:r>
        <w:rPr>
          <w:rStyle w:val="a7"/>
          <w:rFonts w:ascii="Arial"/>
          <w:b/>
          <w:bCs/>
          <w:sz w:val="29"/>
          <w:szCs w:val="29"/>
          <w:rtl/>
        </w:rPr>
        <w:footnoteReference w:id="3981"/>
      </w:r>
      <w:r>
        <w:rPr>
          <w:rFonts w:ascii="Arial"/>
          <w:b/>
          <w:bCs/>
          <w:sz w:val="29"/>
          <w:szCs w:val="29"/>
          <w:rtl/>
        </w:rPr>
        <w:t xml:space="preserve">וְאִלֵּין תְּרֵין יוּדִי''ן אִינוּן רְמִיזִין בְּוַיִּיצֶר, וְאִינוּן תְּרֵין יְצִירוֹת יְצִירָה דְעִלָּאִין וִיצִירָה דְתַתָּאִין, </w:t>
      </w:r>
      <w:r>
        <w:rPr>
          <w:rStyle w:val="a7"/>
          <w:rFonts w:ascii="Arial"/>
          <w:b/>
          <w:bCs/>
          <w:sz w:val="29"/>
          <w:szCs w:val="29"/>
          <w:rtl/>
        </w:rPr>
        <w:footnoteReference w:id="3982"/>
      </w:r>
      <w:r>
        <w:rPr>
          <w:rFonts w:ascii="Arial"/>
          <w:b/>
          <w:bCs/>
          <w:sz w:val="29"/>
          <w:szCs w:val="29"/>
          <w:rtl/>
        </w:rPr>
        <w:t xml:space="preserve">וְאִינוּן חָכְמָה בְּרֹאשׁ וְחָכְמָה בְּסוֹף, תַּעֲלוּמוֹת חָכְמָה, וַדַּאי </w:t>
      </w:r>
      <w:r>
        <w:rPr>
          <w:rStyle w:val="a7"/>
          <w:rFonts w:ascii="Arial"/>
          <w:b/>
          <w:bCs/>
          <w:sz w:val="29"/>
          <w:szCs w:val="29"/>
          <w:rtl/>
        </w:rPr>
        <w:footnoteReference w:id="3983"/>
      </w:r>
      <w:r>
        <w:rPr>
          <w:rFonts w:ascii="Arial"/>
          <w:b/>
          <w:bCs/>
          <w:sz w:val="29"/>
          <w:szCs w:val="29"/>
          <w:rtl/>
        </w:rPr>
        <w:t>אִינוּן תַּעֲלוּמוֹת מֵחָכְמָה עִלָּאָה דְּאִיהוּ כֶּתֶר עִלָּאָה.</w:t>
      </w:r>
    </w:p>
    <w:p w:rsidR="00B17EA9" w:rsidRDefault="00B17EA9" w:rsidP="00B17EA9">
      <w:pPr>
        <w:spacing w:after="40" w:line="360" w:lineRule="atLeast"/>
        <w:ind w:left="144" w:right="144" w:firstLine="288"/>
        <w:jc w:val="both"/>
        <w:rPr>
          <w:rFonts w:ascii="Arial"/>
          <w:b/>
          <w:bCs/>
          <w:sz w:val="29"/>
          <w:szCs w:val="29"/>
          <w:rtl/>
        </w:rPr>
      </w:pPr>
      <w:r>
        <w:rPr>
          <w:rStyle w:val="a7"/>
          <w:rFonts w:ascii="Arial"/>
          <w:b/>
          <w:bCs/>
          <w:sz w:val="29"/>
          <w:szCs w:val="29"/>
          <w:rtl/>
        </w:rPr>
        <w:footnoteReference w:id="3984"/>
      </w:r>
      <w:r>
        <w:rPr>
          <w:rFonts w:ascii="Arial"/>
          <w:b/>
          <w:bCs/>
          <w:sz w:val="29"/>
          <w:szCs w:val="29"/>
          <w:rtl/>
        </w:rPr>
        <w:t xml:space="preserve">וְאִינוּן לָקֳבֵל תְּרֵין עַיְינִין, דִּבְהוֹן תְּרֵין דִּמְעִין נָחֲתִין בְּיַמָּא רַבָּא וְאַמַּאי נָחְתוּ, בְּגִין דְּאוֹרַיְיתָא מִתְּרֵין לוּחִין אִלֵּין הֲוָה מֹשֶׁה נָחִית לוֹן לְיִשְׂרָאֵל, וְלָא זָכוּ וְאִתְּבַרוּ וְנָפְלוּ, וְדָא גְרִים אִבּוּדָא דְּבַיִת רִאשׁוֹן וּבַיִת שֵׁנִי, וְאַמַּאי נָפְלוּ, </w:t>
      </w:r>
      <w:r>
        <w:rPr>
          <w:rStyle w:val="a7"/>
          <w:rFonts w:ascii="Arial"/>
          <w:b/>
          <w:bCs/>
          <w:sz w:val="29"/>
          <w:szCs w:val="29"/>
          <w:rtl/>
        </w:rPr>
        <w:footnoteReference w:id="3985"/>
      </w:r>
      <w:r>
        <w:rPr>
          <w:rFonts w:ascii="Arial"/>
          <w:b/>
          <w:bCs/>
          <w:sz w:val="29"/>
          <w:szCs w:val="29"/>
          <w:rtl/>
        </w:rPr>
        <w:t>בְּגִין דְּפָרַח ו' מִינַיְיהוּ דְאִיהוּ ו' מִן וַיִּיצֶר.</w:t>
      </w:r>
    </w:p>
    <w:p w:rsidR="00B17EA9" w:rsidRDefault="00B17EA9" w:rsidP="00B17EA9">
      <w:pPr>
        <w:spacing w:after="40" w:line="360" w:lineRule="atLeast"/>
        <w:ind w:left="144" w:right="144" w:firstLine="288"/>
        <w:jc w:val="both"/>
        <w:rPr>
          <w:rFonts w:ascii="Arial"/>
          <w:b/>
          <w:szCs w:val="23"/>
          <w:rtl/>
        </w:rPr>
      </w:pPr>
      <w:r>
        <w:rPr>
          <w:rtl/>
        </w:rPr>
        <w:t xml:space="preserve">[תיקוני זוהר - דף קא ע''ב] </w:t>
      </w:r>
    </w:p>
    <w:p w:rsidR="00B17EA9" w:rsidRDefault="00B17EA9" w:rsidP="00B17EA9">
      <w:pPr>
        <w:pStyle w:val="NormalWeb"/>
        <w:rPr>
          <w:rtl/>
        </w:rPr>
      </w:pPr>
      <w:r>
        <w:rPr>
          <w:rStyle w:val="a7"/>
          <w:b w:val="0"/>
          <w:bCs w:val="0"/>
          <w:rtl/>
        </w:rPr>
        <w:footnoteReference w:id="3986"/>
      </w:r>
      <w:r>
        <w:rPr>
          <w:rtl/>
        </w:rPr>
        <w:t xml:space="preserve">וִיָהִיב לוֹן אָחֳרָנִין מִסִּטְרָא דְעִץ הַדַּעַת טוֹב וָרָע, דְּמִתַּמָּן אִתְיְיהִיבַת אוֹרַיְיתָא בְּאִסּוּר וְהֶתֵּר, מִימִינָא חַיֵּי וּמִשְּׂמָאלָא מִיתָה, וּבְגִין דָּא אָמַר רַבִּי עֲקִיבָא לְתַלְמִידוֹי כְּשֶׁתַּגִּיעוּ לְאַבְנֵי שַׁיִשׁ טָהוֹר </w:t>
      </w:r>
      <w:r>
        <w:rPr>
          <w:rStyle w:val="a7"/>
          <w:b w:val="0"/>
          <w:bCs w:val="0"/>
          <w:rtl/>
        </w:rPr>
        <w:footnoteReference w:id="3987"/>
      </w:r>
      <w:r>
        <w:rPr>
          <w:rtl/>
        </w:rPr>
        <w:t xml:space="preserve">אַל תֹּאמְרוּ מַיִם מַיִם, וְלָא תֶהֱוָון שְׁקִילִין אַבְנֵי שַׁיִשׁ טָהוֹר לַאֲבָנִים אָחֳרָנִין, דְּאִינוּן חַיֵּי וּמִיתָה, </w:t>
      </w:r>
      <w:r>
        <w:rPr>
          <w:rStyle w:val="a7"/>
          <w:b w:val="0"/>
          <w:bCs w:val="0"/>
          <w:rtl/>
        </w:rPr>
        <w:footnoteReference w:id="3988"/>
      </w:r>
      <w:r>
        <w:rPr>
          <w:rtl/>
        </w:rPr>
        <w:t xml:space="preserve">דְתַמָן לֵב חָכָם לִימִינוֹ </w:t>
      </w:r>
      <w:r>
        <w:rPr>
          <w:sz w:val="20"/>
          <w:szCs w:val="23"/>
          <w:rtl/>
        </w:rPr>
        <w:t>(קהלת י ב)</w:t>
      </w:r>
      <w:r>
        <w:rPr>
          <w:szCs w:val="23"/>
          <w:rtl/>
        </w:rPr>
        <w:t xml:space="preserve"> </w:t>
      </w:r>
      <w:r>
        <w:rPr>
          <w:rStyle w:val="Char"/>
          <w:rtl/>
        </w:rPr>
        <w:t>דְבַר נַשׁ, וְלֵב כְּסִיל לִשְׂמֹאלוֹ</w:t>
      </w:r>
      <w:r>
        <w:rPr>
          <w:szCs w:val="23"/>
          <w:rtl/>
        </w:rPr>
        <w:t xml:space="preserve"> </w:t>
      </w:r>
      <w:r>
        <w:rPr>
          <w:sz w:val="20"/>
          <w:szCs w:val="23"/>
          <w:rtl/>
        </w:rPr>
        <w:t>(שם)</w:t>
      </w:r>
      <w:r>
        <w:rPr>
          <w:rtl/>
        </w:rPr>
        <w:t xml:space="preserve">, </w:t>
      </w:r>
      <w:r>
        <w:rPr>
          <w:rStyle w:val="a7"/>
          <w:b w:val="0"/>
          <w:bCs w:val="0"/>
          <w:rtl/>
        </w:rPr>
        <w:footnoteReference w:id="3989"/>
      </w:r>
      <w:r>
        <w:rPr>
          <w:rtl/>
        </w:rPr>
        <w:t xml:space="preserve">וְלָא עוֹד אֶלָּא אַתֶּם תְּסַכְּנוּ עַצְמְכֶם, בְּגִין דְּאִלֵּין אַבְנִין דְּעִץ הַדַּעַת טוֹב וָרָע אִינוּן בְּפִרוּדָא, וְאִלֵּין אַבְנֵי שַׁיִשׁ טָהוֹר אִינוּן בְּיִחוּדָא בְּלָא פִּרוּדָא כְּלָל, </w:t>
      </w:r>
      <w:r>
        <w:rPr>
          <w:rStyle w:val="a7"/>
          <w:b w:val="0"/>
          <w:bCs w:val="0"/>
          <w:rtl/>
        </w:rPr>
        <w:footnoteReference w:id="3990"/>
      </w:r>
      <w:r>
        <w:rPr>
          <w:rtl/>
        </w:rPr>
        <w:t xml:space="preserve">וְאִם תֹּאמְרוּ דְהָא אִסְתַּלַּק עִץ הַחַיִּים מִנַּיְיהוּ וְנָפְלוּ וְאִית פִּרוּדָא בֵּינַיְיהוּ, דּוֹבֵר שְׁקָרִים לֹא יִכּוֹן </w:t>
      </w:r>
      <w:r>
        <w:rPr>
          <w:sz w:val="20"/>
          <w:szCs w:val="23"/>
          <w:rtl/>
        </w:rPr>
        <w:t xml:space="preserve">(דף קא ע''ב) </w:t>
      </w:r>
      <w:r>
        <w:rPr>
          <w:rtl/>
        </w:rPr>
        <w:t xml:space="preserve">לְנֶגֶד עִינָי </w:t>
      </w:r>
      <w:r>
        <w:rPr>
          <w:sz w:val="20"/>
          <w:szCs w:val="23"/>
          <w:rtl/>
        </w:rPr>
        <w:t>(תהלים קא ז)</w:t>
      </w:r>
      <w:r>
        <w:rPr>
          <w:rtl/>
        </w:rPr>
        <w:t xml:space="preserve">, דְּהָא לֵית תַּמָּן פִּרוּדָא לְעִילָא, וְאִלֵּין דְּאִתְּבַרוּ מֵאִינוּן </w:t>
      </w:r>
      <w:r>
        <w:rPr>
          <w:sz w:val="20"/>
          <w:szCs w:val="23"/>
          <w:rtl/>
        </w:rPr>
        <w:t>(מאנין)</w:t>
      </w:r>
      <w:r>
        <w:rPr>
          <w:rtl/>
        </w:rPr>
        <w:t xml:space="preserve"> הֲווֹ, אָתוּ לְנַשְׁקָא לֵיהּ פָּרַח וְאִסְתַּלַּק מִנַּיְיהוּ. </w:t>
      </w:r>
    </w:p>
    <w:p w:rsidR="00B17EA9" w:rsidRDefault="00B17EA9" w:rsidP="00B17EA9">
      <w:pPr>
        <w:spacing w:after="40" w:line="360" w:lineRule="atLeast"/>
        <w:ind w:left="144" w:right="144" w:firstLine="288"/>
        <w:jc w:val="both"/>
        <w:rPr>
          <w:rFonts w:ascii="Arial"/>
          <w:b/>
          <w:szCs w:val="23"/>
          <w:rtl/>
        </w:rPr>
      </w:pPr>
      <w:r>
        <w:rPr>
          <w:rtl/>
        </w:rPr>
        <w:t xml:space="preserve">[תיקוני זוהר - דף פג ע"ב] </w:t>
      </w:r>
    </w:p>
    <w:p w:rsidR="00B17EA9" w:rsidRDefault="00B17EA9" w:rsidP="00B17EA9">
      <w:pPr>
        <w:pStyle w:val="NormalWeb"/>
        <w:rPr>
          <w:rtl/>
        </w:rPr>
      </w:pPr>
      <w:r>
        <w:rPr>
          <w:sz w:val="20"/>
          <w:szCs w:val="23"/>
          <w:rtl/>
        </w:rPr>
        <w:t xml:space="preserve">(דף פג ע''ב) </w:t>
      </w:r>
      <w:r>
        <w:rPr>
          <w:rStyle w:val="a7"/>
          <w:b w:val="0"/>
          <w:bCs w:val="0"/>
          <w:rtl/>
        </w:rPr>
        <w:footnoteReference w:id="3991"/>
      </w:r>
      <w:r>
        <w:rPr>
          <w:rtl/>
        </w:rPr>
        <w:t xml:space="preserve">אָמַר רַבִּי יִצְחָק כָּל אִינוּן מֵתִים דְּאַרְעָא דְיִשְׂרָאֵל, יִחְיוּן וִיקוּמוּן בְּקַדְמֵיתָא לְעִידָּן דִּיְחֵי קוּדְשָׁא בְּרִיךְ הוּא מֵיתַיָּא, בְּגִין דְּקוּדְשָׁא בְּרִיךְ הוּא יַתְעַר עֲלַיְיהוּ, הֲדָא הוּא דִכְתִיב </w:t>
      </w:r>
      <w:r>
        <w:rPr>
          <w:sz w:val="20"/>
          <w:szCs w:val="23"/>
          <w:rtl/>
        </w:rPr>
        <w:t>(ישעיה כו יט)</w:t>
      </w:r>
      <w:r>
        <w:rPr>
          <w:rtl/>
        </w:rPr>
        <w:t xml:space="preserve"> יִחְיוּ מֵתֶיךָ נְבֵלָתִי יְקוּמוּן, </w:t>
      </w:r>
      <w:r>
        <w:rPr>
          <w:rStyle w:val="a7"/>
          <w:b w:val="0"/>
          <w:bCs w:val="0"/>
          <w:rtl/>
        </w:rPr>
        <w:footnoteReference w:id="3992"/>
      </w:r>
      <w:r>
        <w:rPr>
          <w:rtl/>
        </w:rPr>
        <w:t>יִחְיוּ מֵתֶיךָ אִלֵין אִינוּן דְּאַרְעָא דְיִשְׂרָאֵל, נְבֵלָתִי יְקוּמוּן אִלֵּין אִינוּן דִּבְאַרְעָא נוּכְרָאָה, דְלָא כְתִיב בְּהוּ תְּחִיָּה אֶלָּא קִימָה, דְּהָא רוּחָא דְחַיֵּי לָא תִּשְׁרֵי עֲלַיְהוּ אֶלָּא בְאַרְעָא דְיִשְׂרָאֵל, וּבְגִין כַּךְ כְּתִיב בְּהוּ יִחְיוּ, נְבֵלָתִי יְקוּמוּן אִלֵּין דִּלְבָר, יִתְבְּרֵי גוּפָא דִלְהוֹן וִיקוּמוּן גּוּפָא בְּלָא רוּחָא, וּלְבָתַר יִתְגַּלְגְּלוּן מִתְּחוֹת עַפְרָא עַד דְּמָטוּ לְאַרְעָא דְיִשְׂרָאֵל, וְתַמָּן יְקַבְּלוּן נִשְׁמָתָא וְלָא בִּרְשׁוּ אָחֳרָא, בְּגִין דְּיִתְקַיְימוּן בְּעָלְמָא כִּדְקָא חָזֵי.</w:t>
      </w:r>
    </w:p>
    <w:p w:rsidR="00B17EA9" w:rsidRDefault="00B17EA9" w:rsidP="00B17EA9">
      <w:pPr>
        <w:pStyle w:val="NormalWeb"/>
        <w:rPr>
          <w:rtl/>
        </w:rPr>
      </w:pPr>
      <w:r>
        <w:rPr>
          <w:rtl/>
        </w:rPr>
        <w:t xml:space="preserve">אָמַר רַבִּי אֶלְעָזָר, תָּא חֲזִי, בְּשַׁעְתָּא דְזָמִין קוּדְשָׁא בְּרִיךְ הוּא לְאַחָיָיא מֵיתַיָּא, כָּל אִינוּן נִשְׁמָתִין דְּיִתְעָרוּן, כֻּלְּהוֹן יְקוּמוּן בְּהַהוּא דִיּוֹקְנָא מַמָּשׁ דַּהֲווֹ בְּהַאי עָלְמָא, וְנָחִית לוֹן קוּדְשָׁא בְּרִיךְ הוּא וְקָרָא לוֹן בִּשְׁמָהָן, הֲדָא הוּא דִכְתִיב </w:t>
      </w:r>
      <w:r>
        <w:rPr>
          <w:sz w:val="20"/>
          <w:szCs w:val="23"/>
          <w:rtl/>
        </w:rPr>
        <w:t>(ישעיה מ כו)</w:t>
      </w:r>
      <w:r>
        <w:rPr>
          <w:rtl/>
        </w:rPr>
        <w:t xml:space="preserve"> לְכֻלָּם בְּשֵׁם יִקְרָא, וְכָל נִשְׁמָתָא תֵּיעוּל לְדוּכְתָּהָא, וִיקוּמוּן בְּקִיּוּמָא בְּעָלְמָא כְּדְקָא חַזִי, וּכְדֵין יְהֵא עָלְמָא שְׁלִים, וְעַל הַהוּא זִמְנָא כְּתִיב </w:t>
      </w:r>
      <w:r>
        <w:rPr>
          <w:sz w:val="20"/>
          <w:szCs w:val="23"/>
          <w:rtl/>
        </w:rPr>
        <w:t>(שם כה ח)</w:t>
      </w:r>
      <w:r>
        <w:rPr>
          <w:rtl/>
        </w:rPr>
        <w:t xml:space="preserve"> וְחֶרְפַּת עַמּוֹ יָסִיר, דָּא יֵצֶר הָרָע דְּאַחְשִׁיךְ אַפֵּי דְבַר נַשׁ וְשַׁלִּיט בֵּיהּ.</w:t>
      </w:r>
    </w:p>
    <w:p w:rsidR="00B17EA9" w:rsidRDefault="00B17EA9" w:rsidP="00B17EA9">
      <w:pPr>
        <w:pStyle w:val="NormalWeb"/>
        <w:rPr>
          <w:rtl/>
        </w:rPr>
      </w:pPr>
      <w:r>
        <w:rPr>
          <w:rtl/>
        </w:rPr>
        <w:t xml:space="preserve">אָמַר רַבִּי חִזְקִיָּה, אִי תֵּימָא דְכָל גּוּפִין דְּעָלְמָא יְקוּמוּן וְיִתְעָרוּן מֵעַפְרָא, אִינוּן גּוּפִין דְּאִתְנַטְעוּ בְּנִשְׁמָתָא חֲדָא מַה תְּהֵא מִנַּיְיהוּ, </w:t>
      </w:r>
      <w:r>
        <w:rPr>
          <w:rStyle w:val="a7"/>
          <w:b w:val="0"/>
          <w:bCs w:val="0"/>
          <w:rtl/>
        </w:rPr>
        <w:footnoteReference w:id="3993"/>
      </w:r>
      <w:r>
        <w:rPr>
          <w:rtl/>
        </w:rPr>
        <w:t xml:space="preserve">אָמַר רַבִּי יוֹסֵי אִינוּן גּוּפִין דְּלָא זָכוּ וְלָא אַצְלָחוּ הֲרֵי אִינוּן כְּלָא הֲווֹ, כְּמָה דַהֲווֹ עִץ יָבֵשׁ בְּהַאי עָלְמָא, הָכִי נַמִּי בְּהַהוּא זִמְנָא, וְגוּפָא בַתְרָאָה יְקוּם, הַהוּא דְאִתְנַטַּע וְאַצְלַח וְנָטַע שָׁרָשׁוֹי כִּדְקָא יָאוּת, וְעַל הַהוּא גוּפָא בַתְרָאָה כְּתִיב </w:t>
      </w:r>
      <w:r>
        <w:rPr>
          <w:sz w:val="20"/>
          <w:szCs w:val="23"/>
          <w:rtl/>
        </w:rPr>
        <w:t>(תהלים א ג)</w:t>
      </w:r>
      <w:r>
        <w:rPr>
          <w:rtl/>
        </w:rPr>
        <w:t xml:space="preserve"> וְהָיָה כְּעִץ שָׁתוּל עַל פַּלְגֵי מָיִם, דְּעָבַד אִבִּין וְנָטַע שָׁרָשִׁין וְאַצְלַח כִּדְקָא יָאוּת, וְעַל הַהוּא גוּפָא קַדְמָאָה כְּתִיב </w:t>
      </w:r>
      <w:r>
        <w:rPr>
          <w:sz w:val="20"/>
          <w:szCs w:val="23"/>
          <w:rtl/>
        </w:rPr>
        <w:t>(ירמיה יז ו)</w:t>
      </w:r>
      <w:r>
        <w:rPr>
          <w:rtl/>
        </w:rPr>
        <w:t xml:space="preserve"> וְהָיָה כְּעַרְעָר בָּעֲרָבָה וְלֹא יִרְאֶה כִּי יָבֹא טוֹב, כִּי יָבֹא טוֹב דָּא תְּחִיַּית הַמֵּתִים.</w:t>
      </w:r>
    </w:p>
    <w:p w:rsidR="00B17EA9" w:rsidRDefault="00B17EA9" w:rsidP="00B17EA9">
      <w:pPr>
        <w:pStyle w:val="NormalWeb"/>
        <w:rPr>
          <w:rtl/>
        </w:rPr>
      </w:pPr>
      <w:r>
        <w:rPr>
          <w:rtl/>
        </w:rPr>
        <w:t xml:space="preserve">וְאִתְנְהִיר הַהוּא נְהוֹרָא דְזַמִּין לְאַנְהָרָא לְצַדִּיקַיָּא, דַהֲוָה קַמֵּיהּ גָּנִיז מִיּוֹמָא דְאִתְבְּרִי עָלְמָא, </w:t>
      </w:r>
      <w:r>
        <w:rPr>
          <w:rStyle w:val="a7"/>
          <w:b w:val="0"/>
          <w:bCs w:val="0"/>
          <w:rtl/>
        </w:rPr>
        <w:footnoteReference w:id="3994"/>
      </w:r>
      <w:r>
        <w:rPr>
          <w:rtl/>
        </w:rPr>
        <w:t xml:space="preserve">הֲדָא הוּא דִכְתִיב </w:t>
      </w:r>
      <w:r>
        <w:rPr>
          <w:sz w:val="20"/>
          <w:szCs w:val="23"/>
          <w:rtl/>
        </w:rPr>
        <w:t>(בראשית א ד)</w:t>
      </w:r>
      <w:r>
        <w:rPr>
          <w:rtl/>
        </w:rPr>
        <w:t xml:space="preserve"> וַיַּרְא אלהי''ם אֶת הָאוֹר כִּי טוֹב, בֵּיהּ זָמִין קוּדְשָׁא בְּרִיךְ הוּא לְאַחָיָא מֵיתַיָּא, </w:t>
      </w:r>
      <w:r>
        <w:rPr>
          <w:rStyle w:val="a7"/>
          <w:b w:val="0"/>
          <w:bCs w:val="0"/>
          <w:rtl/>
        </w:rPr>
        <w:footnoteReference w:id="3995"/>
      </w:r>
      <w:r>
        <w:rPr>
          <w:rtl/>
        </w:rPr>
        <w:t xml:space="preserve">הֲדָא הוּא דִכְתִיב </w:t>
      </w:r>
      <w:r>
        <w:rPr>
          <w:sz w:val="20"/>
          <w:szCs w:val="23"/>
          <w:rtl/>
        </w:rPr>
        <w:t>(מלאכי ג כ)</w:t>
      </w:r>
      <w:r>
        <w:rPr>
          <w:rtl/>
        </w:rPr>
        <w:t xml:space="preserve"> וְזָרְחָה לָכֶם יִרְאֵי שְׁמִי שֶׁמֶשׁ צְדָקָה וּמַרְפֵּא, וּכְדֵין יִתְגַּבַּר טוֹב בְּעָלְמָא, וְהַהוּא דְאִתְקְרֵי רָע יִתְעֲבַר מֵעָלְמָא, </w:t>
      </w:r>
      <w:r>
        <w:rPr>
          <w:rStyle w:val="a7"/>
          <w:b w:val="0"/>
          <w:bCs w:val="0"/>
          <w:rtl/>
        </w:rPr>
        <w:footnoteReference w:id="3996"/>
      </w:r>
      <w:r>
        <w:rPr>
          <w:rtl/>
        </w:rPr>
        <w:t>וּכְדֵין אִינוּן גּוּפִין קַדְמָאִין לִיהווּ כְלָא הֲווֹ.</w:t>
      </w:r>
    </w:p>
    <w:p w:rsidR="00B17EA9" w:rsidRDefault="00B17EA9" w:rsidP="00B17EA9">
      <w:pPr>
        <w:spacing w:after="40" w:line="360" w:lineRule="atLeast"/>
        <w:ind w:left="144" w:right="144" w:firstLine="288"/>
        <w:jc w:val="both"/>
        <w:rPr>
          <w:rFonts w:ascii="Arial"/>
          <w:b/>
          <w:szCs w:val="23"/>
          <w:rtl/>
        </w:rPr>
      </w:pPr>
      <w:r>
        <w:rPr>
          <w:rtl/>
        </w:rPr>
        <w:t xml:space="preserve">[תיקוני זוהר - דף פד ע''א] </w:t>
      </w:r>
    </w:p>
    <w:p w:rsidR="00B17EA9" w:rsidRDefault="00B17EA9" w:rsidP="00B17EA9">
      <w:pPr>
        <w:pStyle w:val="NormalWeb"/>
        <w:rPr>
          <w:rtl/>
        </w:rPr>
      </w:pPr>
      <w:r>
        <w:rPr>
          <w:rtl/>
        </w:rPr>
        <w:t xml:space="preserve">אָמַר רַבִּי יִצְחָק זָמִין קוּדְשָׁא בְּרִיךְ הוּא לְאַרָקָא עַל אִינוּן גּוּפִין רוּחִין, אִי זָכוּ בְּהוּ </w:t>
      </w:r>
      <w:r>
        <w:rPr>
          <w:sz w:val="20"/>
          <w:szCs w:val="23"/>
          <w:rtl/>
        </w:rPr>
        <w:t xml:space="preserve">(דף פד ע''א) </w:t>
      </w:r>
      <w:r>
        <w:rPr>
          <w:rtl/>
        </w:rPr>
        <w:t xml:space="preserve">יְקוּמוּן לְעָלְמָא כִּדְקָא יָאוּת, וְאִם לַאו יְהוֹן קִטְמָא תְּחוֹת רַגְלֵיהוֹן דְּצַדִּיקַיָּא, הֲדָא הוּא דִכְתִיב </w:t>
      </w:r>
      <w:r>
        <w:rPr>
          <w:sz w:val="20"/>
          <w:szCs w:val="23"/>
          <w:rtl/>
        </w:rPr>
        <w:t>(דניאל יב ב)</w:t>
      </w:r>
      <w:r>
        <w:rPr>
          <w:rtl/>
        </w:rPr>
        <w:t xml:space="preserve"> וְרַבִּים מִיְּשֵׁנֵי אַדְמַת עָפָר יָקִיצוּ וְגוֹמֵר.</w:t>
      </w:r>
    </w:p>
    <w:p w:rsidR="00B17EA9" w:rsidRDefault="00B17EA9" w:rsidP="00B17EA9">
      <w:pPr>
        <w:pStyle w:val="NormalWeb"/>
        <w:rPr>
          <w:rtl/>
        </w:rPr>
      </w:pPr>
      <w:r>
        <w:rPr>
          <w:rtl/>
        </w:rPr>
        <w:t xml:space="preserve">אָמַר רַבִּי אֶלְעָזָר וְהַאי מָאן דְּאִסְתַּלַּק מֵעָלְמָא עַד לָא מָטוּן יוֹמוֹי לְעֶשְׂרִין שְׁנִין, מֵאָן אֲתַר אִתְעֲנַשׁ, בְּגִין </w:t>
      </w:r>
      <w:r>
        <w:rPr>
          <w:sz w:val="20"/>
          <w:szCs w:val="23"/>
          <w:rtl/>
        </w:rPr>
        <w:t>(דהוי מתליסר שנין ולעילא)</w:t>
      </w:r>
      <w:r>
        <w:rPr>
          <w:rtl/>
        </w:rPr>
        <w:t xml:space="preserve"> דְּהָא מִתְּלֵיסַר וּלְתַתָּא לַאו בַּר עָנְשָׁא הוּא אֶלָּא בְּחֶטְאָה דַאֲבוֹי, אֲבָל מִתְּלֵיסַר וּלְעִילָא מַהוּ, אָמַר לֵיהּ, קוּדְשָׁא בְּרִיךְ הוּא חָס עֲלֵיהּ דְּלִימוּת זַכָּאָה, וְיָהִיב לֵיהּ אֲגַר טַב בְּהַהוּא עָלְמָא, וְלָא יָמוּת חַיָּיב דְּיִתְעֲנַשׁ בְּהַהוּא עָלְמָא, וְהָא אוּקְמוּהָ.</w:t>
      </w:r>
    </w:p>
    <w:p w:rsidR="00B17EA9" w:rsidRDefault="00B17EA9" w:rsidP="00B17EA9">
      <w:pPr>
        <w:pStyle w:val="NormalWeb"/>
        <w:rPr>
          <w:rtl/>
        </w:rPr>
      </w:pPr>
      <w:r>
        <w:rPr>
          <w:rtl/>
        </w:rPr>
        <w:t xml:space="preserve">אָמַר לֵיהּ אִי חַיָּיבָא הוּא וְלָא מָטוּן יוֹמוֹי לְעֶשְׂרִין שְׁנִין מַהוּ, כֵּיוָן דְּאִסְתַּלַּק מֵעָלְמָא בְּמַאי הוּא עוֹנְשֵׁיהּ, אָמַר לֵיהּ בְּדָא אִתְקַיַּים וְיֵשׁ נִסְפֶּה בְּלֹא מִשְׁפָּט </w:t>
      </w:r>
      <w:r>
        <w:rPr>
          <w:sz w:val="20"/>
          <w:szCs w:val="23"/>
          <w:rtl/>
        </w:rPr>
        <w:t>(משלי יג כג)</w:t>
      </w:r>
      <w:r>
        <w:rPr>
          <w:rtl/>
        </w:rPr>
        <w:t xml:space="preserve">, דְּכַד עָנְשָׁא נָחִית לְעָלְמָא אִיהוּ דְאַעְרַע בְּהַהוּא מְחַבְּלָא אִתְעֲנַשׁ, דְּלָא אַשְׁגַּחוּ עֲלֵיהּ מִלְּעִילָא, וַעֲלֵיהּ כְּתִיב </w:t>
      </w:r>
      <w:r>
        <w:rPr>
          <w:sz w:val="20"/>
          <w:szCs w:val="23"/>
          <w:rtl/>
        </w:rPr>
        <w:t>(משלי ה כב)</w:t>
      </w:r>
      <w:r>
        <w:rPr>
          <w:rtl/>
        </w:rPr>
        <w:t xml:space="preserve"> עֲוֹנוֹתָיו יִלְכְּדוּנוֹ אֶת הָרָשָׁע, אֶת לְאַסְגָּאָה מָאן דְּלָא מָטוּן יוֹמוֹי לְאִתְעַנְשָׁא, עֲוֹנוֹתָיו יִלְכְּדוּנוֹ </w:t>
      </w:r>
      <w:r>
        <w:rPr>
          <w:rStyle w:val="a7"/>
          <w:b w:val="0"/>
          <w:bCs w:val="0"/>
          <w:rtl/>
        </w:rPr>
        <w:footnoteReference w:id="3997"/>
      </w:r>
      <w:r>
        <w:rPr>
          <w:rtl/>
        </w:rPr>
        <w:t xml:space="preserve">וְלָא בֵּי דִינָא דִלְעִילָא, וּבְחַבְלֵי חַטָּאתוֹ יִתָּמֵךְ </w:t>
      </w:r>
      <w:r>
        <w:rPr>
          <w:sz w:val="20"/>
          <w:szCs w:val="23"/>
          <w:rtl/>
        </w:rPr>
        <w:t>(שם)</w:t>
      </w:r>
      <w:r>
        <w:rPr>
          <w:rtl/>
        </w:rPr>
        <w:t xml:space="preserve"> </w:t>
      </w:r>
      <w:r>
        <w:rPr>
          <w:rStyle w:val="a7"/>
          <w:b w:val="0"/>
          <w:bCs w:val="0"/>
          <w:rtl/>
        </w:rPr>
        <w:footnoteReference w:id="3998"/>
      </w:r>
      <w:r>
        <w:rPr>
          <w:rtl/>
        </w:rPr>
        <w:t>וְלָא בֵּי דִינָא דִלְתַתָּא.</w:t>
      </w:r>
    </w:p>
    <w:p w:rsidR="00B17EA9" w:rsidRDefault="00B17EA9" w:rsidP="00B17EA9">
      <w:pPr>
        <w:pStyle w:val="NormalWeb"/>
        <w:rPr>
          <w:rtl/>
        </w:rPr>
      </w:pPr>
    </w:p>
    <w:p w:rsidR="00B17EA9" w:rsidRDefault="00B17EA9" w:rsidP="00602EF1">
      <w:pPr>
        <w:pStyle w:val="1"/>
        <w:rPr>
          <w:sz w:val="39"/>
          <w:szCs w:val="39"/>
          <w:rtl/>
        </w:rPr>
      </w:pPr>
      <w:bookmarkStart w:id="249" w:name="_Toc228091319"/>
      <w:bookmarkStart w:id="250" w:name="_Toc231637958"/>
      <w:r>
        <w:rPr>
          <w:rtl/>
        </w:rPr>
        <w:t>תקונא חד וארבעין</w:t>
      </w:r>
      <w:bookmarkEnd w:id="249"/>
      <w:bookmarkEnd w:id="250"/>
    </w:p>
    <w:p w:rsidR="00B17EA9" w:rsidRDefault="00B17EA9" w:rsidP="00B17EA9">
      <w:pPr>
        <w:pStyle w:val="NormalWeb"/>
        <w:rPr>
          <w:rtl/>
        </w:rPr>
      </w:pPr>
      <w:r>
        <w:rPr>
          <w:rStyle w:val="a7"/>
          <w:b w:val="0"/>
          <w:bCs w:val="0"/>
          <w:rtl/>
        </w:rPr>
        <w:footnoteReference w:id="3999"/>
      </w:r>
      <w:r>
        <w:rPr>
          <w:rtl/>
        </w:rPr>
        <w:t xml:space="preserve">בְּרֵאשִׁית תַּמָּן תִּשְׁרִ''י, וְדָא דְרוֹעָא תִּנְיָינָא יוֹם תִּנְיָינָא, </w:t>
      </w:r>
      <w:r>
        <w:rPr>
          <w:rStyle w:val="a7"/>
          <w:b w:val="0"/>
          <w:bCs w:val="0"/>
          <w:rtl/>
        </w:rPr>
        <w:footnoteReference w:id="4000"/>
      </w:r>
      <w:r>
        <w:rPr>
          <w:rtl/>
        </w:rPr>
        <w:t xml:space="preserve">יָשֶׁ''ת חֹשֶׁךְ סִתְרוֹ </w:t>
      </w:r>
      <w:r>
        <w:rPr>
          <w:sz w:val="20"/>
          <w:szCs w:val="23"/>
          <w:rtl/>
        </w:rPr>
        <w:t>(תהלים יח יב)</w:t>
      </w:r>
      <w:r>
        <w:rPr>
          <w:szCs w:val="23"/>
          <w:rtl/>
        </w:rPr>
        <w:t xml:space="preserve">. </w:t>
      </w:r>
      <w:r>
        <w:rPr>
          <w:rtl/>
        </w:rPr>
        <w:t xml:space="preserve">אִשְׁתָּאַר ר' אִיהִי רֹא''שׁ הַשָּׁנָה </w:t>
      </w:r>
      <w:r>
        <w:rPr>
          <w:rStyle w:val="a7"/>
          <w:b w:val="0"/>
          <w:bCs w:val="0"/>
          <w:rtl/>
        </w:rPr>
        <w:footnoteReference w:id="4001"/>
      </w:r>
      <w:r>
        <w:rPr>
          <w:rtl/>
        </w:rPr>
        <w:t xml:space="preserve">וְתַמָּן הַבְדָּלָה בֵּין טוֹב לְרָע, וּבְרֹאשׁ הַשָּׁנָה מַלְכָּא אִיהוּ דִין, </w:t>
      </w:r>
      <w:r>
        <w:rPr>
          <w:rStyle w:val="a7"/>
          <w:b w:val="0"/>
          <w:bCs w:val="0"/>
          <w:rtl/>
        </w:rPr>
        <w:footnoteReference w:id="4002"/>
      </w:r>
      <w:r>
        <w:rPr>
          <w:rtl/>
        </w:rPr>
        <w:t xml:space="preserve">וְכָל סְפִירָן אִתְקְרִיאוּ דִּינִין וּמִשְׁפָּטִין מִסִּטְרֵיהּ, </w:t>
      </w:r>
      <w:r>
        <w:rPr>
          <w:rStyle w:val="a7"/>
          <w:b w:val="0"/>
          <w:bCs w:val="0"/>
          <w:rtl/>
        </w:rPr>
        <w:footnoteReference w:id="4003"/>
      </w:r>
      <w:r>
        <w:rPr>
          <w:rtl/>
        </w:rPr>
        <w:t xml:space="preserve">וְכָל צְבָא הַשָּׁמַיִם קַיְימִין עֲלֵיהּ מִימִינֵיהּ וּמִשְּׂמָאלֵיהּ, אִלֵּין מַיְמִינִין לְכַף זְכוּת, וְאִלֵּין מַשְׂמְאִילִין לְכַף חוֹבָה, וְכַד יִשְׂרָאֵל יִתְעָרוּן בְּשׁוֹפָרוֹת, וְסָלְקִין תַּמָּן לִשְׁכִינְתָּא דְאִיהִי תְּרוּעַת מֶלֶךְ בַּעֲשָׂרָה שׁוֹפָרוֹת, בְּגִין דְּאִיהִי לָא סָלְקָא פָּחוּת מֵעֲשָׂרָה, בְּהַהוּא זִמְנָא וִיהִי מַבְדִּיל בֵּין מַיִם לָמָיִם </w:t>
      </w:r>
      <w:r>
        <w:rPr>
          <w:sz w:val="20"/>
          <w:szCs w:val="23"/>
          <w:rtl/>
        </w:rPr>
        <w:t>(בראשית א ו)</w:t>
      </w:r>
      <w:r>
        <w:rPr>
          <w:rtl/>
        </w:rPr>
        <w:t xml:space="preserve">, אַפְרִישׁ קוּדְשָׁא בְּרִיךְ הוּא בֵּין אִלֵּין דְּמַיְמִינִים לְכַף זְכוּת, וּבֵין אִלֵּין דְּמַשְׂמְאִילִים לְכַף חוֹבָה, וְאִתְּמַר </w:t>
      </w:r>
      <w:r>
        <w:rPr>
          <w:sz w:val="20"/>
          <w:szCs w:val="23"/>
          <w:rtl/>
        </w:rPr>
        <w:t>(במדבר יז כב)</w:t>
      </w:r>
      <w:r>
        <w:rPr>
          <w:rtl/>
        </w:rPr>
        <w:t xml:space="preserve"> הִבָּדְלוּ מִתּוֹךְ הָעִדָה הַזֹּאת וַאֲכַלֶּה אוֹתָם כְּרָגַע, </w:t>
      </w:r>
      <w:r>
        <w:rPr>
          <w:rStyle w:val="a7"/>
          <w:b w:val="0"/>
          <w:bCs w:val="0"/>
          <w:rtl/>
        </w:rPr>
        <w:footnoteReference w:id="4004"/>
      </w:r>
      <w:r>
        <w:rPr>
          <w:rtl/>
        </w:rPr>
        <w:t>וְעַל הַאי תִּשְׁרִי אִתְּמַר בְּתִשְׁרִי נִבְרָא הָעוֹלָם.</w:t>
      </w:r>
    </w:p>
    <w:p w:rsidR="00B17EA9" w:rsidRDefault="00B17EA9" w:rsidP="00B17EA9">
      <w:pPr>
        <w:spacing w:after="40" w:line="360" w:lineRule="atLeast"/>
        <w:ind w:left="144" w:right="144" w:firstLine="288"/>
        <w:jc w:val="both"/>
        <w:rPr>
          <w:rtl/>
        </w:rPr>
      </w:pPr>
      <w:r>
        <w:rPr>
          <w:rtl/>
        </w:rPr>
        <w:t xml:space="preserve">[תיקוני זוהר - המשך דף פ ע''ב]   </w:t>
      </w:r>
      <w:r>
        <w:rPr>
          <w:b/>
          <w:bCs/>
          <w:rtl/>
        </w:rPr>
        <w:t>(ס"א תיקונא תלתין וחמשא)</w:t>
      </w:r>
    </w:p>
    <w:p w:rsidR="00B17EA9" w:rsidRDefault="00B17EA9" w:rsidP="00B17EA9">
      <w:pPr>
        <w:spacing w:after="40" w:line="360" w:lineRule="atLeast"/>
        <w:ind w:left="144" w:right="144" w:firstLine="288"/>
        <w:jc w:val="both"/>
        <w:rPr>
          <w:rFonts w:ascii="Arial"/>
          <w:b/>
          <w:szCs w:val="23"/>
          <w:rtl/>
        </w:rPr>
      </w:pPr>
      <w:r>
        <w:rPr>
          <w:rFonts w:ascii="Arial"/>
          <w:b/>
          <w:bCs/>
          <w:sz w:val="29"/>
          <w:szCs w:val="29"/>
          <w:rtl/>
        </w:rPr>
        <w:t xml:space="preserve">בְּרֵאשִׁית, בְּתִשְׁרִ''י אִתְבְּרֵי עָלְמָא, חָסֵר א' לְמֶהֱוִי בְּרֵאשִׁית, דָּא אָדָם דְּאִתְבְּרֵי בְּתִשְׁרִי, וּבְגִין דַּעֲתִידָה אַרְעָא לְאִתְלַטְיָא בְּגִינֵיהּ, דָּא הוּא אֲרוּרָה הָאֲדָמָה בַּעֲבוּרֶךָ </w:t>
      </w:r>
      <w:r>
        <w:rPr>
          <w:rFonts w:ascii="Arial"/>
          <w:b/>
          <w:szCs w:val="23"/>
          <w:rtl/>
        </w:rPr>
        <w:t>(בראשית ג יז)</w:t>
      </w:r>
      <w:r>
        <w:rPr>
          <w:rFonts w:ascii="Arial"/>
          <w:b/>
          <w:bCs/>
          <w:sz w:val="29"/>
          <w:szCs w:val="29"/>
          <w:rtl/>
        </w:rPr>
        <w:t xml:space="preserve">, אִסְתַּלַּק מִן תִּשְׁרִי, </w:t>
      </w:r>
      <w:r>
        <w:rPr>
          <w:rStyle w:val="a7"/>
          <w:rFonts w:ascii="Arial"/>
          <w:b/>
          <w:bCs/>
          <w:sz w:val="29"/>
          <w:szCs w:val="29"/>
          <w:rtl/>
        </w:rPr>
        <w:footnoteReference w:id="4005"/>
      </w:r>
      <w:r>
        <w:rPr>
          <w:rFonts w:ascii="Arial"/>
          <w:b/>
          <w:bCs/>
          <w:sz w:val="29"/>
          <w:szCs w:val="29"/>
          <w:rtl/>
        </w:rPr>
        <w:t xml:space="preserve">וּפָתַח בְּבּ' דְּאִיהִי בְּרָכָה לְאִתְבָּרְכָא אַרְעָא, וּלְאַפָּקָא לָהּ מִן לְוָטַיָּא, וְלָא עוֹד אֶלָּא בְּגִין דְּתִשְׁרִי אִיהוּ דִּין, </w:t>
      </w:r>
      <w:r>
        <w:rPr>
          <w:rStyle w:val="a7"/>
          <w:rFonts w:ascii="Arial"/>
          <w:b/>
          <w:bCs/>
          <w:sz w:val="29"/>
          <w:szCs w:val="29"/>
          <w:rtl/>
        </w:rPr>
        <w:footnoteReference w:id="4006"/>
      </w:r>
      <w:r>
        <w:rPr>
          <w:rFonts w:ascii="Arial"/>
          <w:b/>
          <w:bCs/>
          <w:sz w:val="29"/>
          <w:szCs w:val="29"/>
          <w:rtl/>
        </w:rPr>
        <w:t xml:space="preserve">לָא אִדְכַּר תַּמָּן א' בְּתִשְׁרִי, דְּלָא יִתָּכֵן לְאַדְּכְּרָא בָּה זִמְנָא אָחֳרָא, הֲדָא הוּא דִכְתִיב </w:t>
      </w:r>
      <w:r>
        <w:rPr>
          <w:rFonts w:ascii="Arial"/>
          <w:b/>
          <w:szCs w:val="23"/>
          <w:rtl/>
        </w:rPr>
        <w:t>(משלי כ כז)</w:t>
      </w:r>
      <w:r>
        <w:rPr>
          <w:rFonts w:ascii="Arial"/>
          <w:b/>
          <w:sz w:val="29"/>
          <w:szCs w:val="23"/>
          <w:rtl/>
        </w:rPr>
        <w:t xml:space="preserve"> </w:t>
      </w:r>
      <w:r>
        <w:rPr>
          <w:rStyle w:val="Char"/>
          <w:rtl/>
        </w:rPr>
        <w:t>נֵר יהו''ה נִשְׁמַת אָדָם.</w:t>
      </w:r>
      <w:r>
        <w:rPr>
          <w:rFonts w:ascii="Arial"/>
          <w:b/>
          <w:sz w:val="29"/>
          <w:szCs w:val="23"/>
          <w:rtl/>
        </w:rPr>
        <w:t xml:space="preserve"> </w:t>
      </w:r>
      <w:r>
        <w:rPr>
          <w:rFonts w:ascii="Arial"/>
          <w:b/>
          <w:szCs w:val="23"/>
          <w:rtl/>
        </w:rPr>
        <w:t>(כך מצאתי)</w:t>
      </w:r>
    </w:p>
    <w:p w:rsidR="00B17EA9" w:rsidRDefault="00B17EA9" w:rsidP="00B17EA9">
      <w:pPr>
        <w:spacing w:after="40" w:line="360" w:lineRule="atLeast"/>
        <w:ind w:left="144" w:right="144" w:firstLine="288"/>
        <w:jc w:val="both"/>
        <w:rPr>
          <w:rFonts w:ascii="Arial"/>
          <w:b/>
          <w:szCs w:val="23"/>
          <w:rtl/>
        </w:rPr>
      </w:pPr>
      <w:r>
        <w:rPr>
          <w:rtl/>
        </w:rPr>
        <w:t xml:space="preserve">[תיקוני זוהר - המשך דף פד ע''א] </w:t>
      </w:r>
    </w:p>
    <w:p w:rsidR="00B17EA9" w:rsidRDefault="00B17EA9" w:rsidP="00B17EA9">
      <w:pPr>
        <w:pStyle w:val="NormalWeb"/>
        <w:rPr>
          <w:rtl/>
        </w:rPr>
      </w:pPr>
      <w:r>
        <w:rPr>
          <w:rStyle w:val="a7"/>
          <w:b w:val="0"/>
          <w:bCs w:val="0"/>
          <w:rtl/>
        </w:rPr>
        <w:footnoteReference w:id="4007"/>
      </w:r>
      <w:r>
        <w:rPr>
          <w:rtl/>
        </w:rPr>
        <w:t xml:space="preserve">וְתַמָּן שַׁבָּת תִּנְיָינָא מֵאִלֵּין שֶׁבַע שַׁבָּתוֹת, </w:t>
      </w:r>
      <w:r>
        <w:rPr>
          <w:sz w:val="20"/>
          <w:szCs w:val="23"/>
          <w:rtl/>
        </w:rPr>
        <w:t>(נ''א ותמן בת שית בת מאלין שית)</w:t>
      </w:r>
      <w:r>
        <w:rPr>
          <w:rtl/>
        </w:rPr>
        <w:t xml:space="preserve">, וַחֲמִשָּׁה רְקִיעִין, וּשְׁתִיתָאָה שָׁמַיִם, אִינוּן לָקֳבֵל שִׁית יוֹמֵי בְּרֵאשִׁית, וּבְכֻלְּהוּ אָמַר טוֹב, בַּר מִיּוֹמָא תִּנְיָינָא, בְּגִין </w:t>
      </w:r>
      <w:r>
        <w:rPr>
          <w:rStyle w:val="a7"/>
          <w:b w:val="0"/>
          <w:bCs w:val="0"/>
          <w:rtl/>
        </w:rPr>
        <w:footnoteReference w:id="4008"/>
      </w:r>
      <w:r>
        <w:rPr>
          <w:rtl/>
        </w:rPr>
        <w:t xml:space="preserve">דְּלֵית בְּתִשְׁרִי א' לְאַשְׁלָמָא בְּרֵאשִׁית, בְּגִין דְּאִסְתַּלַּק בְּחוֹבָה דְאָדָם, וּבְגִין דָּא צָפוֹן אִיהוּ פָּגִים, וּבְגִין דָּא מִצָּפוֹן תִּפָּתַח הָרָעָה </w:t>
      </w:r>
      <w:r>
        <w:rPr>
          <w:sz w:val="20"/>
          <w:szCs w:val="23"/>
          <w:rtl/>
        </w:rPr>
        <w:t>(ירמיה א יד)</w:t>
      </w:r>
      <w:r>
        <w:rPr>
          <w:rtl/>
        </w:rPr>
        <w:t>, עַד דְּאִשְׁתַּלִּים.</w:t>
      </w:r>
    </w:p>
    <w:p w:rsidR="00B17EA9" w:rsidRDefault="00B17EA9" w:rsidP="00B17EA9">
      <w:pPr>
        <w:spacing w:after="40" w:line="360" w:lineRule="atLeast"/>
        <w:ind w:left="144" w:right="144" w:firstLine="288"/>
        <w:jc w:val="both"/>
        <w:rPr>
          <w:rFonts w:ascii="Arial"/>
          <w:b/>
          <w:szCs w:val="23"/>
          <w:rtl/>
        </w:rPr>
      </w:pPr>
      <w:r>
        <w:rPr>
          <w:rtl/>
        </w:rPr>
        <w:t xml:space="preserve">[תיקוני זוהר - המשך דף פ ע''ב]        </w:t>
      </w:r>
      <w:r>
        <w:rPr>
          <w:b/>
          <w:bCs/>
          <w:rtl/>
        </w:rPr>
        <w:t>(ס"א תיקונא תלתין ושיתא)</w:t>
      </w:r>
    </w:p>
    <w:p w:rsidR="00B17EA9" w:rsidRDefault="00B17EA9" w:rsidP="00B17EA9">
      <w:pPr>
        <w:spacing w:after="40" w:line="360" w:lineRule="atLeast"/>
        <w:ind w:left="144" w:right="144" w:firstLine="288"/>
        <w:jc w:val="both"/>
        <w:rPr>
          <w:rFonts w:ascii="Arial"/>
          <w:b/>
          <w:bCs/>
          <w:sz w:val="29"/>
          <w:szCs w:val="29"/>
          <w:rtl/>
        </w:rPr>
      </w:pPr>
      <w:r>
        <w:rPr>
          <w:rStyle w:val="a7"/>
          <w:rFonts w:ascii="Arial"/>
          <w:b/>
          <w:bCs/>
          <w:sz w:val="29"/>
          <w:szCs w:val="29"/>
          <w:rtl/>
        </w:rPr>
        <w:footnoteReference w:id="4009"/>
      </w:r>
      <w:r>
        <w:rPr>
          <w:rFonts w:ascii="Arial"/>
          <w:b/>
          <w:bCs/>
          <w:sz w:val="29"/>
          <w:szCs w:val="29"/>
          <w:rtl/>
        </w:rPr>
        <w:t xml:space="preserve">בְּרֵאשִׁית, דָּא אִיהוּ שַׁבָּת בְּרֵאשִׁית, </w:t>
      </w:r>
      <w:r>
        <w:rPr>
          <w:rStyle w:val="a7"/>
          <w:rFonts w:ascii="Arial"/>
          <w:b/>
          <w:bCs/>
          <w:sz w:val="29"/>
          <w:szCs w:val="29"/>
          <w:rtl/>
        </w:rPr>
        <w:footnoteReference w:id="4010"/>
      </w:r>
      <w:r>
        <w:rPr>
          <w:rFonts w:ascii="Arial"/>
          <w:b/>
          <w:bCs/>
          <w:sz w:val="29"/>
          <w:szCs w:val="29"/>
          <w:rtl/>
        </w:rPr>
        <w:t xml:space="preserve">דְּהָא שֶׁבַע שַׁבָּתוֹת אִינוּן, וּלְכָל חַד אִית לֵיהּ שִׁית יְמֵי הַמַּעֲשֶׂה, וְכָל יוֹמָא דְקוּדְשָׁא בְּרִיךְ הוּא הוּא אֶלֶף שָׁנִים, הֲדָא הוּא דִכְתִיב </w:t>
      </w:r>
      <w:r>
        <w:rPr>
          <w:rFonts w:ascii="Arial"/>
          <w:b/>
          <w:szCs w:val="23"/>
          <w:rtl/>
        </w:rPr>
        <w:t>(תהלים צ ד)</w:t>
      </w:r>
      <w:r>
        <w:rPr>
          <w:rFonts w:ascii="Arial"/>
          <w:b/>
          <w:bCs/>
          <w:sz w:val="29"/>
          <w:szCs w:val="29"/>
          <w:rtl/>
        </w:rPr>
        <w:t xml:space="preserve"> כִּי אֶלֶף שָׁנִים בְּעִינֶיךָ וכו', </w:t>
      </w:r>
      <w:r>
        <w:rPr>
          <w:rStyle w:val="a7"/>
          <w:rFonts w:ascii="Arial"/>
          <w:b/>
          <w:bCs/>
          <w:sz w:val="29"/>
          <w:szCs w:val="29"/>
          <w:rtl/>
        </w:rPr>
        <w:footnoteReference w:id="4011"/>
      </w:r>
      <w:r>
        <w:rPr>
          <w:rFonts w:ascii="Arial"/>
          <w:b/>
          <w:bCs/>
          <w:sz w:val="29"/>
          <w:szCs w:val="29"/>
          <w:rtl/>
        </w:rPr>
        <w:t>וְשַׁבָּת בְּרֵאשִׁית שִׁית יוֹמִין דִּילֵיהּ אִינוּן שְׁנֵי אֲלָפִים תֹּהוּ, שְׁנֵי אֲלָפִים תּוֹרָה, שְׁנֵי אֲלָפִים יְמוֹת הַמָּשִׁיחַ.</w:t>
      </w:r>
    </w:p>
    <w:p w:rsidR="00B17EA9" w:rsidRDefault="00B17EA9" w:rsidP="00B17EA9">
      <w:pPr>
        <w:spacing w:after="40" w:line="360" w:lineRule="atLeast"/>
        <w:ind w:left="144" w:right="144" w:firstLine="288"/>
        <w:jc w:val="both"/>
        <w:rPr>
          <w:rFonts w:ascii="Arial"/>
          <w:b/>
          <w:bCs/>
          <w:sz w:val="29"/>
          <w:szCs w:val="29"/>
          <w:rtl/>
        </w:rPr>
      </w:pPr>
      <w:r>
        <w:rPr>
          <w:rStyle w:val="a7"/>
          <w:rFonts w:ascii="Arial"/>
          <w:b/>
          <w:bCs/>
          <w:sz w:val="29"/>
          <w:szCs w:val="29"/>
          <w:rtl/>
        </w:rPr>
        <w:footnoteReference w:id="4012"/>
      </w:r>
      <w:r>
        <w:rPr>
          <w:rFonts w:ascii="Arial"/>
          <w:b/>
          <w:bCs/>
          <w:sz w:val="29"/>
          <w:szCs w:val="29"/>
          <w:rtl/>
        </w:rPr>
        <w:t xml:space="preserve">שְׁנֵי אֲלָפִים תֹּהוּ וְהָאָרֶץ הָיְתָה תֹהוּ, </w:t>
      </w:r>
      <w:r>
        <w:rPr>
          <w:rStyle w:val="a7"/>
          <w:rFonts w:ascii="Arial"/>
          <w:b/>
          <w:bCs/>
          <w:sz w:val="29"/>
          <w:szCs w:val="29"/>
          <w:rtl/>
        </w:rPr>
        <w:footnoteReference w:id="4013"/>
      </w:r>
      <w:r>
        <w:rPr>
          <w:rFonts w:ascii="Arial"/>
          <w:b/>
          <w:bCs/>
          <w:sz w:val="29"/>
          <w:szCs w:val="29"/>
          <w:rtl/>
        </w:rPr>
        <w:t xml:space="preserve">שְׁנֵי אֲלָפִים תּוֹרָה וְרוּחַ אלהי''ם מְרַחֶפֶת עַל פְּנֵי הַמָּיִם </w:t>
      </w:r>
      <w:r>
        <w:rPr>
          <w:rFonts w:ascii="Arial"/>
          <w:b/>
          <w:szCs w:val="23"/>
          <w:rtl/>
        </w:rPr>
        <w:t>(בראשית א ב)</w:t>
      </w:r>
      <w:r>
        <w:rPr>
          <w:rFonts w:ascii="Arial"/>
          <w:b/>
          <w:bCs/>
          <w:sz w:val="29"/>
          <w:szCs w:val="29"/>
          <w:rtl/>
        </w:rPr>
        <w:t xml:space="preserve">, וְלֵית מַיִם אֶלָּא אוֹרַיְיתָא, פְּנֵי הַמָּיִם תְּרֵין אַנְפִּין דִּילָהּ, דְּאִינוּן מִצְוֹת עֲשֵׂה וּמִצְוֹת לֹא תַעֲשֶׂה, חִוָּור וְסוּמַק, יְמִינָא וּשְׂמָאלָא, וְאִלֵּין אִינוּן שְׁנֵי אֲלָפִים תּוֹרָה, </w:t>
      </w:r>
      <w:r>
        <w:rPr>
          <w:rStyle w:val="a7"/>
          <w:rFonts w:ascii="Arial"/>
          <w:b/>
          <w:bCs/>
          <w:sz w:val="29"/>
          <w:szCs w:val="29"/>
          <w:rtl/>
        </w:rPr>
        <w:footnoteReference w:id="4014"/>
      </w:r>
      <w:r>
        <w:rPr>
          <w:rFonts w:ascii="Arial"/>
          <w:b/>
          <w:bCs/>
          <w:sz w:val="29"/>
          <w:szCs w:val="29"/>
          <w:rtl/>
        </w:rPr>
        <w:t xml:space="preserve">שְׁנֵי אֲלָפִים יְמוֹת הַמָּשִׁיחַ, וַיֹּאמֶר אלהי''ם יְהִי אוֹר וַיְהִי אוֹר </w:t>
      </w:r>
      <w:r>
        <w:rPr>
          <w:rFonts w:ascii="Arial"/>
          <w:b/>
          <w:szCs w:val="23"/>
          <w:rtl/>
        </w:rPr>
        <w:t>(שם ג)</w:t>
      </w:r>
      <w:r>
        <w:rPr>
          <w:rFonts w:ascii="Arial"/>
          <w:b/>
          <w:sz w:val="29"/>
          <w:szCs w:val="23"/>
          <w:rtl/>
        </w:rPr>
        <w:t xml:space="preserve">, </w:t>
      </w:r>
      <w:r>
        <w:rPr>
          <w:rStyle w:val="Char"/>
          <w:rtl/>
        </w:rPr>
        <w:t>עֲלַיְיהוּ אִתְּמַר</w:t>
      </w:r>
      <w:r>
        <w:rPr>
          <w:rFonts w:ascii="Arial"/>
          <w:b/>
          <w:sz w:val="29"/>
          <w:szCs w:val="23"/>
          <w:rtl/>
        </w:rPr>
        <w:t xml:space="preserve"> </w:t>
      </w:r>
      <w:r>
        <w:rPr>
          <w:rFonts w:ascii="Arial"/>
          <w:b/>
          <w:szCs w:val="23"/>
          <w:rtl/>
        </w:rPr>
        <w:t>(ישעיה כד טו)</w:t>
      </w:r>
      <w:r>
        <w:rPr>
          <w:rFonts w:ascii="Arial"/>
          <w:b/>
          <w:bCs/>
          <w:sz w:val="29"/>
          <w:szCs w:val="29"/>
          <w:rtl/>
        </w:rPr>
        <w:t xml:space="preserve"> עַל כֵּן </w:t>
      </w:r>
      <w:r>
        <w:rPr>
          <w:rStyle w:val="a7"/>
          <w:rFonts w:ascii="Arial"/>
          <w:b/>
          <w:bCs/>
          <w:sz w:val="29"/>
          <w:szCs w:val="29"/>
          <w:rtl/>
        </w:rPr>
        <w:footnoteReference w:id="4015"/>
      </w:r>
      <w:r>
        <w:rPr>
          <w:rFonts w:ascii="Arial"/>
          <w:b/>
          <w:bCs/>
          <w:sz w:val="29"/>
          <w:szCs w:val="29"/>
          <w:rtl/>
        </w:rPr>
        <w:t xml:space="preserve">בָּאוּרִים כַּבְּדוּ יהו''ה, עַל כֵּן וַדַּאי </w:t>
      </w:r>
      <w:r>
        <w:rPr>
          <w:rStyle w:val="a7"/>
          <w:rFonts w:ascii="Arial"/>
          <w:b/>
          <w:bCs/>
          <w:sz w:val="29"/>
          <w:szCs w:val="29"/>
          <w:rtl/>
        </w:rPr>
        <w:footnoteReference w:id="4016"/>
      </w:r>
      <w:r>
        <w:rPr>
          <w:rFonts w:ascii="Arial"/>
          <w:b/>
          <w:bCs/>
          <w:sz w:val="29"/>
          <w:szCs w:val="29"/>
          <w:rtl/>
        </w:rPr>
        <w:t xml:space="preserve">דְּאִתְּמַר בֵּיהּ וַיְהִי כֵּ''ן, וְאִינוּן שַׁבְעִין, וְעַל תְּרֵין מְאוֹרוֹת אִלֵּין אִתְּמַר </w:t>
      </w:r>
      <w:r>
        <w:rPr>
          <w:rStyle w:val="a7"/>
          <w:rFonts w:ascii="Arial"/>
          <w:b/>
          <w:bCs/>
          <w:sz w:val="29"/>
          <w:szCs w:val="29"/>
          <w:rtl/>
        </w:rPr>
        <w:footnoteReference w:id="4017"/>
      </w:r>
      <w:r>
        <w:rPr>
          <w:rFonts w:ascii="Arial"/>
          <w:b/>
          <w:bCs/>
          <w:sz w:val="29"/>
          <w:szCs w:val="29"/>
          <w:rtl/>
        </w:rPr>
        <w:t xml:space="preserve">דּוּ פַּרְצוּפִין דְּכַר וְנוּקְבָא, </w:t>
      </w:r>
      <w:r>
        <w:rPr>
          <w:rStyle w:val="a7"/>
          <w:rFonts w:ascii="Arial"/>
          <w:b/>
          <w:bCs/>
          <w:sz w:val="29"/>
          <w:szCs w:val="29"/>
          <w:rtl/>
        </w:rPr>
        <w:footnoteReference w:id="4018"/>
      </w:r>
      <w:r>
        <w:rPr>
          <w:rFonts w:ascii="Arial"/>
          <w:b/>
          <w:bCs/>
          <w:sz w:val="29"/>
          <w:szCs w:val="29"/>
          <w:rtl/>
        </w:rPr>
        <w:t xml:space="preserve">יְהִי אוֹר דָּא פֶּסַח, אוֹר לְאַרְבָּעָה עָשָׂר, וַיְהִי אוֹר רֹאשׁ הַשָּׁנָה, </w:t>
      </w:r>
      <w:r>
        <w:rPr>
          <w:rStyle w:val="a7"/>
          <w:rFonts w:ascii="Arial"/>
          <w:b/>
          <w:bCs/>
          <w:sz w:val="29"/>
          <w:szCs w:val="29"/>
          <w:rtl/>
        </w:rPr>
        <w:footnoteReference w:id="4019"/>
      </w:r>
      <w:r>
        <w:rPr>
          <w:rFonts w:ascii="Arial"/>
          <w:b/>
          <w:bCs/>
          <w:sz w:val="29"/>
          <w:szCs w:val="29"/>
          <w:rtl/>
        </w:rPr>
        <w:t xml:space="preserve">דְּאִתְּמַר בֵּיהּ וַיְהִי הַיּוֹם, הָכָא וַיְהִי וְהָתָם וַיְהִי, </w:t>
      </w:r>
      <w:r>
        <w:rPr>
          <w:rStyle w:val="a7"/>
          <w:rFonts w:ascii="Arial"/>
          <w:b/>
          <w:bCs/>
          <w:sz w:val="29"/>
          <w:szCs w:val="29"/>
          <w:rtl/>
        </w:rPr>
        <w:footnoteReference w:id="4020"/>
      </w:r>
      <w:r>
        <w:rPr>
          <w:rFonts w:ascii="Arial"/>
          <w:b/>
          <w:bCs/>
          <w:sz w:val="29"/>
          <w:szCs w:val="29"/>
          <w:rtl/>
        </w:rPr>
        <w:t>וּבְכָל אֲתַר וַיְהִי לִישָׁנָא דְצַעֲרָא.</w:t>
      </w:r>
    </w:p>
    <w:p w:rsidR="00B17EA9" w:rsidRDefault="00B17EA9" w:rsidP="00B17EA9">
      <w:pPr>
        <w:spacing w:after="40" w:line="360" w:lineRule="atLeast"/>
        <w:ind w:left="144" w:right="144" w:firstLine="288"/>
        <w:jc w:val="both"/>
        <w:rPr>
          <w:rFonts w:ascii="Arial"/>
          <w:b/>
          <w:szCs w:val="23"/>
          <w:rtl/>
        </w:rPr>
      </w:pPr>
      <w:r>
        <w:rPr>
          <w:rtl/>
        </w:rPr>
        <w:t xml:space="preserve">[תיקוני זוהר - דף פא ע''א] </w:t>
      </w:r>
    </w:p>
    <w:p w:rsidR="00B17EA9" w:rsidRDefault="00B17EA9" w:rsidP="00B17EA9">
      <w:pPr>
        <w:pStyle w:val="NormalWeb"/>
        <w:rPr>
          <w:rtl/>
        </w:rPr>
      </w:pPr>
      <w:r>
        <w:rPr>
          <w:rtl/>
        </w:rPr>
        <w:t xml:space="preserve">שַׁבָּת </w:t>
      </w:r>
      <w:r>
        <w:rPr>
          <w:rStyle w:val="a7"/>
          <w:b w:val="0"/>
          <w:bCs w:val="0"/>
          <w:rtl/>
        </w:rPr>
        <w:footnoteReference w:id="4021"/>
      </w:r>
      <w:r>
        <w:rPr>
          <w:rtl/>
        </w:rPr>
        <w:t xml:space="preserve">בְּרֵאשִׁית נְקוּדָה </w:t>
      </w:r>
      <w:r>
        <w:rPr>
          <w:rStyle w:val="a7"/>
          <w:b w:val="0"/>
          <w:bCs w:val="0"/>
          <w:rtl/>
        </w:rPr>
        <w:footnoteReference w:id="4022"/>
      </w:r>
      <w:r>
        <w:rPr>
          <w:rtl/>
        </w:rPr>
        <w:t xml:space="preserve">בְחָלָל דִּילָהּ, דְּאִיהִי שַׁבָּת בְּרִית, אִיהִי שַׁבָּת חִלֵּל, חִלֵּל לְמָאן, לְהַהִיא נְקוּדָה, מְחַלְלֶיהָ מוֹת יוּמָת </w:t>
      </w:r>
      <w:r>
        <w:rPr>
          <w:sz w:val="20"/>
          <w:szCs w:val="23"/>
          <w:rtl/>
        </w:rPr>
        <w:t>(שמות לא יד)</w:t>
      </w:r>
      <w:r>
        <w:rPr>
          <w:rtl/>
        </w:rPr>
        <w:t xml:space="preserve">, </w:t>
      </w:r>
      <w:r>
        <w:rPr>
          <w:sz w:val="20"/>
          <w:szCs w:val="23"/>
          <w:rtl/>
        </w:rPr>
        <w:t xml:space="preserve">(דף פא ע''א) </w:t>
      </w:r>
      <w:r>
        <w:rPr>
          <w:rtl/>
        </w:rPr>
        <w:t xml:space="preserve">לְמָאן דְּעָאל נוּכְרָאָה בֶּחָלָל דִּילָהּ, דְּאִיהִי רְשׁוּת הָרַבִּים </w:t>
      </w:r>
      <w:r>
        <w:rPr>
          <w:rStyle w:val="a7"/>
          <w:b w:val="0"/>
          <w:bCs w:val="0"/>
          <w:rtl/>
        </w:rPr>
        <w:footnoteReference w:id="4023"/>
      </w:r>
      <w:r>
        <w:rPr>
          <w:rtl/>
        </w:rPr>
        <w:t xml:space="preserve">יַיִן נֶסֶךְ זוֹנָה, </w:t>
      </w:r>
      <w:r>
        <w:rPr>
          <w:rStyle w:val="a7"/>
          <w:b w:val="0"/>
          <w:bCs w:val="0"/>
          <w:rtl/>
        </w:rPr>
        <w:footnoteReference w:id="4024"/>
      </w:r>
      <w:r>
        <w:rPr>
          <w:rtl/>
        </w:rPr>
        <w:t xml:space="preserve">וּבְגִין דָּא הָכָא צָרִיךְ דְּחִילוּ, וְדָא אִיהוּ בְּרֵאשִׁית יָרֵ''א שַׁבָּ''ת, הֲדָא הוּא דִכְתִיב </w:t>
      </w:r>
      <w:r>
        <w:rPr>
          <w:sz w:val="20"/>
          <w:szCs w:val="23"/>
          <w:rtl/>
        </w:rPr>
        <w:t>(ויקרא יט ל)</w:t>
      </w:r>
      <w:r>
        <w:rPr>
          <w:rtl/>
        </w:rPr>
        <w:t xml:space="preserve"> </w:t>
      </w:r>
      <w:r>
        <w:rPr>
          <w:rStyle w:val="a7"/>
          <w:b w:val="0"/>
          <w:bCs w:val="0"/>
          <w:rtl/>
        </w:rPr>
        <w:footnoteReference w:id="4025"/>
      </w:r>
      <w:r>
        <w:rPr>
          <w:rtl/>
        </w:rPr>
        <w:t xml:space="preserve">אֶת שַׁבְּתוֹתַי תִּשְׁמוֹרוּ וּמִקְדָשִי תִּירָאוּ, וּמָאן דְּעָאל רְשׁוּ נוּכְרָאָה בֶחָלָל דִּילָהּ, דְּאִיהִי רְשׁוּת הָרַבִּים יַיִן נֶסֶךְ זוֹנָה, עֲלֵיהּ אִתְּמַר </w:t>
      </w:r>
      <w:r>
        <w:rPr>
          <w:sz w:val="20"/>
          <w:szCs w:val="23"/>
          <w:rtl/>
        </w:rPr>
        <w:t>(במדבר יט יג)</w:t>
      </w:r>
      <w:r>
        <w:rPr>
          <w:rtl/>
        </w:rPr>
        <w:t xml:space="preserve"> אֶת מִקְדַּשׁ יהו''ה טִמֵּא וְנִכְרְתָה וכו', וְהַאי נְקוּדָה אִיהִי אוֹת דְּשַׁבָּת אוֹת דְּיֹמִין טָבִין אוֹת דִּתְּפִלִּין אוֹת דִּבְרִית מִילָה, עֲטָרָה דִּבְרִית, </w:t>
      </w:r>
      <w:r>
        <w:rPr>
          <w:rStyle w:val="a7"/>
          <w:b w:val="0"/>
          <w:bCs w:val="0"/>
          <w:rtl/>
        </w:rPr>
        <w:footnoteReference w:id="4026"/>
      </w:r>
      <w:r>
        <w:rPr>
          <w:rtl/>
        </w:rPr>
        <w:t xml:space="preserve">תַּגָּא דְסֵפֶר תּוֹרָה קָרִינָן לֵיהּ, </w:t>
      </w:r>
      <w:r>
        <w:rPr>
          <w:rStyle w:val="a7"/>
          <w:b w:val="0"/>
          <w:bCs w:val="0"/>
          <w:rtl/>
        </w:rPr>
        <w:footnoteReference w:id="4027"/>
      </w:r>
      <w:r>
        <w:rPr>
          <w:rtl/>
        </w:rPr>
        <w:t xml:space="preserve">כִּתְרָא בְרֵישׁ כָּל צַדִּיק, נְקוּדָה </w:t>
      </w:r>
      <w:r>
        <w:rPr>
          <w:rStyle w:val="a7"/>
          <w:b w:val="0"/>
          <w:bCs w:val="0"/>
          <w:rtl/>
        </w:rPr>
        <w:footnoteReference w:id="4028"/>
      </w:r>
      <w:r>
        <w:rPr>
          <w:rtl/>
        </w:rPr>
        <w:t>דַּעֲלָהּ אִתְּמַר אָדָם וְחַוָּה דַהֲווֹ ד"וּ פַרְצוּפִים, (ס"א וַעֲלָהּ אָמְרָה סִיהֲרָא) אִי אֶפְשַׁר לִשְׁנֵי מְלָכִים שֶׁיִּשְׁתַּמְשׁוּ בְּכֶתֶר אֶחָד.</w:t>
      </w:r>
    </w:p>
    <w:p w:rsidR="00B17EA9" w:rsidRDefault="00B17EA9" w:rsidP="00B17EA9">
      <w:pPr>
        <w:pStyle w:val="NormalWeb"/>
        <w:rPr>
          <w:rtl/>
        </w:rPr>
      </w:pPr>
      <w:r>
        <w:rPr>
          <w:rtl/>
        </w:rPr>
        <w:t xml:space="preserve">רָזָא דָא לְחַכִּימֵי לִבָּא אִתְמַסַּר, ד"וּ אִיהִי ה, כִּתְרָא (ס"א אִיהוּ ה' בַּתְרָאָה) דְּתַרְוַיְיהוּ י', וּבָהּ אִתְעֲבִידוּ חַד, </w:t>
      </w:r>
      <w:r>
        <w:rPr>
          <w:rStyle w:val="a7"/>
          <w:b w:val="0"/>
          <w:bCs w:val="0"/>
          <w:rtl/>
        </w:rPr>
        <w:footnoteReference w:id="4029"/>
      </w:r>
      <w:r>
        <w:rPr>
          <w:rtl/>
        </w:rPr>
        <w:t xml:space="preserve">וְהַאי נְקוּדָה אִיהִי סְתִימָא וַחֲתוּמָה בְּשִׁית יוֹמִין דְּחוֹל, הֲדָא הוּא דִכְתִיב </w:t>
      </w:r>
      <w:r>
        <w:rPr>
          <w:sz w:val="20"/>
          <w:szCs w:val="23"/>
          <w:rtl/>
        </w:rPr>
        <w:t>(יחזקאל מו א)</w:t>
      </w:r>
      <w:r>
        <w:rPr>
          <w:rtl/>
        </w:rPr>
        <w:t xml:space="preserve"> יִהְיֶה סָגוּר שֵׁשֶׁת יְמֵי הַמַּעֲשֶׂה בְּמַאי בְּאָת ו', </w:t>
      </w:r>
      <w:r>
        <w:rPr>
          <w:sz w:val="20"/>
          <w:szCs w:val="23"/>
          <w:rtl/>
        </w:rPr>
        <w:t>(ב')</w:t>
      </w:r>
      <w:r>
        <w:rPr>
          <w:rtl/>
        </w:rPr>
        <w:t xml:space="preserve"> סְתִים בְּאָת ו' בְּו' יוֹמֵי דְחוֹל, וּבְיוֹמָא שְׁבִיעָאָה אִתְפַּתְּחַת לְקַבָּלָא לְבַעְלָהּ, וּבְגִין דָּא זִוּוּגָא דְתַלְמִידֵי חֲכָמִים מִשַּׁבָּת לְשַׁבָּת, וְיָרְתִין נִשְׁמָתִין קַדִּישִׁין חַדְתִּין לִבְנַיְיהוּ.</w:t>
      </w:r>
    </w:p>
    <w:p w:rsidR="00B17EA9" w:rsidRDefault="00B17EA9" w:rsidP="00B17EA9">
      <w:pPr>
        <w:pStyle w:val="NormalWeb"/>
        <w:rPr>
          <w:rtl/>
        </w:rPr>
      </w:pPr>
      <w:r>
        <w:rPr>
          <w:rtl/>
        </w:rPr>
        <w:t xml:space="preserve">וּבְגִין דָּא אִיהִי נְקוּדָה אִתְקְרִיאַת בְּתוּלָה וְאִישׁ לֹא יְדָעָהּ </w:t>
      </w:r>
      <w:r>
        <w:rPr>
          <w:sz w:val="20"/>
          <w:szCs w:val="23"/>
          <w:rtl/>
        </w:rPr>
        <w:t>(בראשית כד טז)</w:t>
      </w:r>
      <w:r>
        <w:rPr>
          <w:szCs w:val="23"/>
          <w:rtl/>
        </w:rPr>
        <w:t xml:space="preserve">, </w:t>
      </w:r>
      <w:r>
        <w:rPr>
          <w:rStyle w:val="Char"/>
          <w:rtl/>
        </w:rPr>
        <w:t>כַּד אִיהִי גַל</w:t>
      </w:r>
      <w:r>
        <w:rPr>
          <w:szCs w:val="23"/>
          <w:rtl/>
        </w:rPr>
        <w:t xml:space="preserve"> </w:t>
      </w:r>
      <w:r>
        <w:rPr>
          <w:sz w:val="20"/>
          <w:szCs w:val="23"/>
          <w:rtl/>
        </w:rPr>
        <w:t>(נ''א גן)</w:t>
      </w:r>
      <w:r>
        <w:rPr>
          <w:szCs w:val="23"/>
          <w:rtl/>
        </w:rPr>
        <w:t xml:space="preserve"> </w:t>
      </w:r>
      <w:r>
        <w:rPr>
          <w:rStyle w:val="Char"/>
          <w:rtl/>
        </w:rPr>
        <w:t>נָעוּל מַעְיָן חָתוּם</w:t>
      </w:r>
      <w:r>
        <w:rPr>
          <w:szCs w:val="23"/>
          <w:rtl/>
        </w:rPr>
        <w:t xml:space="preserve"> </w:t>
      </w:r>
      <w:r>
        <w:rPr>
          <w:sz w:val="20"/>
          <w:szCs w:val="23"/>
          <w:rtl/>
        </w:rPr>
        <w:t>(שיר ד יב)</w:t>
      </w:r>
      <w:r>
        <w:rPr>
          <w:rtl/>
        </w:rPr>
        <w:t xml:space="preserve">, עַד דְּאִתְפַּתְּחַת לְבַעְלָהּ, וְכַד אִיהִי סְתִימָא אִתְקְרִיאַת יִרְאָה, בְּכָל ו' יוֹמֵי דְחוֹל דְּאִיהִי סְגִירָא וּנְטִירָא, </w:t>
      </w:r>
      <w:r>
        <w:rPr>
          <w:rStyle w:val="a7"/>
          <w:b w:val="0"/>
          <w:bCs w:val="0"/>
          <w:rtl/>
        </w:rPr>
        <w:footnoteReference w:id="4030"/>
      </w:r>
      <w:r>
        <w:rPr>
          <w:rtl/>
        </w:rPr>
        <w:t xml:space="preserve">בַּעֲשַׂר אֲמִירָן וְל''ב אלהי''ם דְּאִינוּן מ''ב אַתְוָון דִּגְבוּרָה, דְתַמָּן בִּינָה, בְשַׁבָּת וַיְכֻלּוּ הַשָּׁמַיִם, וַיְכֻלּ''וּ חֶסֶ''ד דִּימִינָא כְּלִיל ע''ב שְׁמָהָן, דְּתַמָּן חָכְמָה, כְּמָה דְּאַמְרָן הָרוֹצֶה לְהַחְכִּים יַדְרִים, דְּחִילוּ בְּשִׁית יוֹמִין דְּחוֹל אִישׁ אִמּוֹ וְאָבִיו תִּירָאוּ </w:t>
      </w:r>
      <w:r>
        <w:rPr>
          <w:sz w:val="20"/>
          <w:szCs w:val="23"/>
          <w:rtl/>
        </w:rPr>
        <w:t>(ויקרא יט ג)</w:t>
      </w:r>
      <w:r>
        <w:rPr>
          <w:rtl/>
        </w:rPr>
        <w:t xml:space="preserve">, רְחִימוּ בְשַׁבָּת כַּבֵּד אֶת אָבִיךָ וְאֶת אִמֶּךָ </w:t>
      </w:r>
      <w:r>
        <w:rPr>
          <w:sz w:val="20"/>
          <w:szCs w:val="23"/>
          <w:rtl/>
        </w:rPr>
        <w:t>(שמות כ יב)</w:t>
      </w:r>
      <w:r>
        <w:rPr>
          <w:rtl/>
        </w:rPr>
        <w:t xml:space="preserve">, כַּד אִתְפַּתְּחַת לְגַבֵּי בַּעְלָהּ אִתְקְרִיאַת אַהֲבָה, </w:t>
      </w:r>
      <w:r>
        <w:rPr>
          <w:rStyle w:val="a7"/>
          <w:b w:val="0"/>
          <w:bCs w:val="0"/>
          <w:rtl/>
        </w:rPr>
        <w:footnoteReference w:id="4031"/>
      </w:r>
      <w:r>
        <w:rPr>
          <w:rtl/>
        </w:rPr>
        <w:t>וּמִדְּחִילוּ וּרְחִימוּ אִתְיְיהִיבוּ פִּקּוּדִין דַּעֲשֵׂה וְלֹא תַעֲשֶׂה.</w:t>
      </w:r>
    </w:p>
    <w:p w:rsidR="00B17EA9" w:rsidRDefault="00B17EA9" w:rsidP="00B17EA9">
      <w:pPr>
        <w:pStyle w:val="NormalWeb"/>
        <w:rPr>
          <w:rtl/>
        </w:rPr>
      </w:pPr>
      <w:r>
        <w:rPr>
          <w:rtl/>
        </w:rPr>
        <w:t>(ע"פ בהגר"א רתל"ב כאן צ"ל תל"ט ות"מ)</w:t>
      </w:r>
    </w:p>
    <w:p w:rsidR="00B17EA9" w:rsidRDefault="00B17EA9" w:rsidP="00B17EA9">
      <w:pPr>
        <w:spacing w:after="40" w:line="360" w:lineRule="atLeast"/>
        <w:ind w:left="144" w:right="144" w:firstLine="288"/>
        <w:jc w:val="both"/>
        <w:rPr>
          <w:rFonts w:ascii="Arial"/>
          <w:b/>
          <w:szCs w:val="23"/>
          <w:rtl/>
        </w:rPr>
      </w:pPr>
      <w:r>
        <w:rPr>
          <w:rtl/>
        </w:rPr>
        <w:t xml:space="preserve">[תיקוני זוהר - המשך דף פד ע''א] </w:t>
      </w:r>
    </w:p>
    <w:p w:rsidR="00B17EA9" w:rsidRDefault="00B17EA9" w:rsidP="00B17EA9">
      <w:pPr>
        <w:pStyle w:val="NormalWeb"/>
        <w:rPr>
          <w:rtl/>
        </w:rPr>
      </w:pPr>
      <w:r>
        <w:rPr>
          <w:rStyle w:val="a7"/>
          <w:b w:val="0"/>
          <w:bCs w:val="0"/>
          <w:rtl/>
        </w:rPr>
        <w:footnoteReference w:id="4032"/>
      </w:r>
      <w:r>
        <w:rPr>
          <w:rtl/>
        </w:rPr>
        <w:t>וּכְמָה דְאַבְרָהָם דְּאִיהוּ יְמִינָא יוֹמָא קַדְמָאָה בֵּיהּ כְּלִילָן וְתַלְיָין מָאתָן וְאַרְבְּעִין וּתְמַנְיָא פִּקּוּדִין דַּעֲשֵׂה, הָכִי נַמִּי מִיִּצְחָק דְּאִיהוּ כְּגַוְונָא דְיוֹמָא תִנְיָינָא תַלְיָין בֵּיהּ שְׁסָ''ה מִצְוֹת לֹא תַעֲשֶׂה, יוֹמָא תְּלִיתָאָה בֵּיהּ כְּלִיל כֹּלָּא, מִנֵּיהּ תַּלְיָין פִּקּוּדִין דַּעֲשֵׂה וְלֹא תַעֲשֶׂה, כְּעִנְבִין בְּאַתְכְּלָא.</w:t>
      </w:r>
    </w:p>
    <w:p w:rsidR="00B17EA9" w:rsidRDefault="00B17EA9" w:rsidP="00B17EA9">
      <w:pPr>
        <w:pStyle w:val="a8"/>
        <w:spacing w:before="0" w:after="40"/>
        <w:rPr>
          <w:rtl/>
        </w:rPr>
      </w:pPr>
      <w:bookmarkStart w:id="251" w:name="_Toc228091320"/>
      <w:bookmarkStart w:id="252" w:name="_Toc231637959"/>
    </w:p>
    <w:p w:rsidR="00B17EA9" w:rsidRDefault="00B17EA9" w:rsidP="00602EF1">
      <w:pPr>
        <w:pStyle w:val="1"/>
        <w:rPr>
          <w:u w:val="single"/>
          <w:rtl/>
        </w:rPr>
      </w:pPr>
      <w:r>
        <w:rPr>
          <w:rtl/>
        </w:rPr>
        <w:t>תקונא ארבעין ותרין</w:t>
      </w:r>
      <w:bookmarkEnd w:id="251"/>
      <w:bookmarkEnd w:id="252"/>
    </w:p>
    <w:p w:rsidR="00B17EA9" w:rsidRDefault="00B17EA9" w:rsidP="00B17EA9">
      <w:pPr>
        <w:spacing w:after="40" w:line="360" w:lineRule="atLeast"/>
        <w:ind w:left="144" w:right="144" w:firstLine="288"/>
        <w:jc w:val="both"/>
        <w:rPr>
          <w:rFonts w:ascii="Arial"/>
          <w:b/>
          <w:szCs w:val="23"/>
          <w:rtl/>
        </w:rPr>
      </w:pPr>
      <w:r>
        <w:rPr>
          <w:rtl/>
        </w:rPr>
        <w:t xml:space="preserve">[תיקוני זוהר - דף פד ע''ב] </w:t>
      </w:r>
    </w:p>
    <w:p w:rsidR="00B17EA9" w:rsidRDefault="00B17EA9" w:rsidP="00B17EA9">
      <w:pPr>
        <w:spacing w:after="40" w:line="360" w:lineRule="atLeast"/>
        <w:ind w:left="144" w:right="144" w:firstLine="288"/>
        <w:jc w:val="both"/>
        <w:rPr>
          <w:rFonts w:ascii="Arial"/>
          <w:b/>
          <w:bCs/>
          <w:sz w:val="29"/>
          <w:szCs w:val="29"/>
          <w:rtl/>
        </w:rPr>
      </w:pPr>
      <w:r>
        <w:rPr>
          <w:rStyle w:val="a7"/>
          <w:rFonts w:ascii="Arial"/>
          <w:b/>
          <w:bCs/>
          <w:sz w:val="29"/>
          <w:szCs w:val="29"/>
          <w:rtl/>
        </w:rPr>
        <w:footnoteReference w:id="4033"/>
      </w:r>
      <w:r>
        <w:rPr>
          <w:rFonts w:ascii="Arial"/>
          <w:b/>
          <w:bCs/>
          <w:sz w:val="29"/>
          <w:szCs w:val="29"/>
          <w:rtl/>
        </w:rPr>
        <w:t xml:space="preserve">בְּרֵאשִׁית תַּמָּן אִישׁ, דְּאִתְּמַר בֵּיהּ </w:t>
      </w:r>
      <w:r>
        <w:rPr>
          <w:rFonts w:ascii="Arial"/>
          <w:b/>
          <w:szCs w:val="23"/>
          <w:rtl/>
        </w:rPr>
        <w:t>(בראשית כה כז)</w:t>
      </w:r>
      <w:r>
        <w:rPr>
          <w:rFonts w:ascii="Arial"/>
          <w:b/>
          <w:bCs/>
          <w:sz w:val="29"/>
          <w:szCs w:val="29"/>
          <w:rtl/>
        </w:rPr>
        <w:t xml:space="preserve"> וְיַעֲקֹב אִישׁ תָּם, וְדָא יוֹמָא תְּלִיתָאָה, </w:t>
      </w:r>
      <w:r>
        <w:rPr>
          <w:rStyle w:val="a7"/>
          <w:rFonts w:ascii="Arial"/>
          <w:b/>
          <w:bCs/>
          <w:sz w:val="29"/>
          <w:szCs w:val="29"/>
          <w:rtl/>
        </w:rPr>
        <w:footnoteReference w:id="4034"/>
      </w:r>
      <w:r>
        <w:rPr>
          <w:rFonts w:ascii="Arial"/>
          <w:b/>
          <w:bCs/>
          <w:sz w:val="29"/>
          <w:szCs w:val="29"/>
          <w:rtl/>
        </w:rPr>
        <w:t xml:space="preserve">דְּהָא תְּלַת אוּמָנִין הֲווֹ עַד הָכָא, יוֹמָא קַדְמָאָה וְיוֹמָא תִנְיָינָא </w:t>
      </w:r>
      <w:r>
        <w:rPr>
          <w:rFonts w:ascii="Arial"/>
          <w:b/>
          <w:szCs w:val="23"/>
          <w:rtl/>
        </w:rPr>
        <w:t xml:space="preserve">(דף פד ע''ב) </w:t>
      </w:r>
      <w:r>
        <w:rPr>
          <w:rFonts w:ascii="Arial"/>
          <w:b/>
          <w:bCs/>
          <w:sz w:val="29"/>
          <w:szCs w:val="29"/>
          <w:rtl/>
        </w:rPr>
        <w:t xml:space="preserve">וְיוֹמָא תְּלִיתָאָה, </w:t>
      </w:r>
      <w:r>
        <w:rPr>
          <w:rStyle w:val="a7"/>
          <w:rFonts w:ascii="Arial"/>
          <w:b/>
          <w:bCs/>
          <w:sz w:val="29"/>
          <w:szCs w:val="29"/>
          <w:rtl/>
        </w:rPr>
        <w:footnoteReference w:id="4035"/>
      </w:r>
      <w:r>
        <w:rPr>
          <w:rFonts w:ascii="Arial"/>
          <w:b/>
          <w:bCs/>
          <w:sz w:val="29"/>
          <w:szCs w:val="29"/>
          <w:rtl/>
        </w:rPr>
        <w:t>כָּל חַד אַפִּיק אוּמָנוּתֵיהּ.</w:t>
      </w:r>
    </w:p>
    <w:p w:rsidR="00B17EA9" w:rsidRDefault="00B17EA9" w:rsidP="00B17EA9">
      <w:pPr>
        <w:spacing w:after="40" w:line="360" w:lineRule="atLeast"/>
        <w:ind w:left="144" w:right="144" w:firstLine="288"/>
        <w:jc w:val="both"/>
        <w:rPr>
          <w:rFonts w:ascii="Arial"/>
          <w:b/>
          <w:bCs/>
          <w:sz w:val="29"/>
          <w:szCs w:val="29"/>
          <w:rtl/>
        </w:rPr>
      </w:pPr>
      <w:r>
        <w:rPr>
          <w:rFonts w:ascii="Arial"/>
          <w:b/>
          <w:bCs/>
          <w:sz w:val="29"/>
          <w:szCs w:val="29"/>
          <w:rtl/>
        </w:rPr>
        <w:t xml:space="preserve">והַהוּא </w:t>
      </w:r>
      <w:r>
        <w:rPr>
          <w:rStyle w:val="a7"/>
          <w:rFonts w:ascii="Arial"/>
          <w:b/>
          <w:bCs/>
          <w:sz w:val="29"/>
          <w:szCs w:val="29"/>
          <w:rtl/>
        </w:rPr>
        <w:footnoteReference w:id="4036"/>
      </w:r>
      <w:r>
        <w:rPr>
          <w:rFonts w:ascii="Arial"/>
          <w:b/>
          <w:bCs/>
          <w:sz w:val="29"/>
          <w:szCs w:val="29"/>
          <w:rtl/>
        </w:rPr>
        <w:t xml:space="preserve">אָמוֹן מוּפְלָא וּמְכוּסֶה </w:t>
      </w:r>
      <w:r>
        <w:rPr>
          <w:rStyle w:val="a7"/>
          <w:rFonts w:ascii="Arial"/>
          <w:b/>
          <w:bCs/>
          <w:sz w:val="29"/>
          <w:szCs w:val="29"/>
          <w:rtl/>
        </w:rPr>
        <w:footnoteReference w:id="4037"/>
      </w:r>
      <w:r>
        <w:rPr>
          <w:rFonts w:ascii="Arial"/>
          <w:b/>
          <w:bCs/>
          <w:sz w:val="29"/>
          <w:szCs w:val="29"/>
          <w:rtl/>
        </w:rPr>
        <w:t xml:space="preserve">דְאִיהוּ אַיִ''ן, </w:t>
      </w:r>
      <w:r>
        <w:rPr>
          <w:rStyle w:val="a7"/>
          <w:rFonts w:ascii="Arial"/>
          <w:b/>
          <w:bCs/>
          <w:sz w:val="29"/>
          <w:szCs w:val="29"/>
          <w:rtl/>
        </w:rPr>
        <w:footnoteReference w:id="4038"/>
      </w:r>
      <w:r>
        <w:rPr>
          <w:rFonts w:ascii="Arial"/>
          <w:b/>
          <w:bCs/>
          <w:sz w:val="29"/>
          <w:szCs w:val="29"/>
          <w:rtl/>
        </w:rPr>
        <w:t xml:space="preserve">כְּלִיל תְּלַת סְפִירָן </w:t>
      </w:r>
      <w:r>
        <w:rPr>
          <w:rStyle w:val="a7"/>
          <w:rFonts w:ascii="Arial"/>
          <w:b/>
          <w:bCs/>
          <w:sz w:val="29"/>
          <w:szCs w:val="29"/>
          <w:rtl/>
        </w:rPr>
        <w:footnoteReference w:id="4039"/>
      </w:r>
      <w:r>
        <w:rPr>
          <w:rFonts w:ascii="Arial"/>
          <w:b/>
          <w:bCs/>
          <w:sz w:val="29"/>
          <w:szCs w:val="29"/>
          <w:rtl/>
        </w:rPr>
        <w:t xml:space="preserve">א' כֶּתֶר </w:t>
      </w:r>
      <w:r>
        <w:rPr>
          <w:rStyle w:val="a7"/>
          <w:rFonts w:ascii="Arial"/>
          <w:b/>
          <w:bCs/>
          <w:sz w:val="29"/>
          <w:szCs w:val="29"/>
          <w:rtl/>
        </w:rPr>
        <w:footnoteReference w:id="4040"/>
      </w:r>
      <w:r>
        <w:rPr>
          <w:rFonts w:ascii="Arial"/>
          <w:b/>
          <w:bCs/>
          <w:sz w:val="29"/>
          <w:szCs w:val="29"/>
          <w:rtl/>
        </w:rPr>
        <w:t xml:space="preserve">י' חָכְמָה </w:t>
      </w:r>
      <w:r>
        <w:rPr>
          <w:rStyle w:val="a7"/>
          <w:rFonts w:ascii="Arial"/>
          <w:b/>
          <w:bCs/>
          <w:sz w:val="29"/>
          <w:szCs w:val="29"/>
          <w:rtl/>
        </w:rPr>
        <w:footnoteReference w:id="4041"/>
      </w:r>
      <w:r>
        <w:rPr>
          <w:rFonts w:ascii="Arial"/>
          <w:b/>
          <w:bCs/>
          <w:sz w:val="29"/>
          <w:szCs w:val="29"/>
          <w:rtl/>
        </w:rPr>
        <w:t xml:space="preserve">ן' בִּינָה, אָמַר לְכָל אֶחָד מִתְּלַת יוֹמִין דְּיַפִּיק אוּמָנוּתֵיהּ, אָמַר לְיוֹמָא קַדְמָאָה יְהִי אוֹר מִיָּד אַפִּיק אוּמָנוּתֵיהּ וְעָבִיד לֵיהּ, הֲדָא הוּא דִכְתִיב </w:t>
      </w:r>
      <w:r>
        <w:rPr>
          <w:rFonts w:ascii="Arial"/>
          <w:b/>
          <w:szCs w:val="23"/>
          <w:rtl/>
        </w:rPr>
        <w:t>(שם א ג)</w:t>
      </w:r>
      <w:r>
        <w:rPr>
          <w:rFonts w:ascii="Arial"/>
          <w:b/>
          <w:bCs/>
          <w:sz w:val="29"/>
          <w:szCs w:val="29"/>
          <w:rtl/>
        </w:rPr>
        <w:t xml:space="preserve"> וַיְהִי אוֹר, וְהָא אוּקְמוּהוּ דְלֵית הֲוַיָּה אֶלָּא עַל יְדֵי עֲשִׂיָּה, </w:t>
      </w:r>
      <w:r>
        <w:rPr>
          <w:rStyle w:val="a7"/>
          <w:rFonts w:ascii="Arial"/>
          <w:b/>
          <w:bCs/>
          <w:sz w:val="29"/>
          <w:szCs w:val="29"/>
          <w:rtl/>
        </w:rPr>
        <w:footnoteReference w:id="4042"/>
      </w:r>
      <w:r>
        <w:rPr>
          <w:rFonts w:ascii="Arial"/>
          <w:b/>
          <w:bCs/>
          <w:sz w:val="29"/>
          <w:szCs w:val="29"/>
          <w:rtl/>
        </w:rPr>
        <w:t xml:space="preserve">א' מִן אַיִ''ן דַּהֲוָה פָרַח בְּאַוִּיר אַפִּיק אוֹר, י' אַפִּיק רָקִיעַ, ן' מִן אַיִן אַפִּיק יַבָּשָׁה, הֲדָא הוּא דִכְתִיב </w:t>
      </w:r>
      <w:r>
        <w:rPr>
          <w:rFonts w:ascii="Arial"/>
          <w:b/>
          <w:szCs w:val="23"/>
          <w:rtl/>
        </w:rPr>
        <w:t>(שם)</w:t>
      </w:r>
      <w:r>
        <w:rPr>
          <w:rFonts w:ascii="Arial"/>
          <w:b/>
          <w:bCs/>
          <w:sz w:val="29"/>
          <w:szCs w:val="29"/>
          <w:rtl/>
        </w:rPr>
        <w:t xml:space="preserve"> וַיֹּאמֶר אלהי''ם יִקָּווּ הַמַּיִם מִתַּחַת הַשָּׁמַיִם אֶל מָקוֹם אֶחָד וְתֵרָאֶה הַיַּבָּשָׁה, וַיֹּאמֶר אלהי''ם יִקָּווּ הַמַּיִם, הָכָא כַּמָּה פִּקּוּדִין, </w:t>
      </w:r>
      <w:r>
        <w:rPr>
          <w:rStyle w:val="a7"/>
          <w:rFonts w:ascii="Arial"/>
          <w:b/>
          <w:bCs/>
          <w:sz w:val="29"/>
          <w:szCs w:val="29"/>
          <w:rtl/>
        </w:rPr>
        <w:footnoteReference w:id="4043"/>
      </w:r>
      <w:r>
        <w:rPr>
          <w:rFonts w:ascii="Arial"/>
          <w:b/>
          <w:bCs/>
          <w:sz w:val="29"/>
          <w:szCs w:val="29"/>
          <w:rtl/>
        </w:rPr>
        <w:t xml:space="preserve">פִּקּוּדָא דְיִחוּדָא וּפִקּוּדָא דְפִרְיָה וְרִבְיָה, </w:t>
      </w:r>
      <w:r>
        <w:rPr>
          <w:rStyle w:val="a7"/>
          <w:rFonts w:ascii="Arial"/>
          <w:b/>
          <w:bCs/>
          <w:sz w:val="29"/>
          <w:szCs w:val="29"/>
          <w:rtl/>
        </w:rPr>
        <w:footnoteReference w:id="4044"/>
      </w:r>
      <w:r>
        <w:rPr>
          <w:rFonts w:ascii="Arial"/>
          <w:b/>
          <w:bCs/>
          <w:sz w:val="29"/>
          <w:szCs w:val="29"/>
          <w:rtl/>
        </w:rPr>
        <w:t xml:space="preserve">פִּקּוּדָא דְיִחוּדָא דְאִיהוּ יִקָּווּ הַמַּיִם, מִתְכַּנְשִׁין יִחוּדָא דְכָל סְפִירָא וּסְפִירָא </w:t>
      </w:r>
      <w:r>
        <w:rPr>
          <w:rStyle w:val="a7"/>
          <w:rFonts w:ascii="Arial"/>
          <w:b/>
          <w:bCs/>
          <w:sz w:val="29"/>
          <w:szCs w:val="29"/>
          <w:rtl/>
        </w:rPr>
        <w:footnoteReference w:id="4045"/>
      </w:r>
      <w:r>
        <w:rPr>
          <w:rFonts w:ascii="Arial"/>
          <w:b/>
          <w:bCs/>
          <w:sz w:val="29"/>
          <w:szCs w:val="29"/>
          <w:rtl/>
        </w:rPr>
        <w:t xml:space="preserve">לַאֲתַר חַד דְּאִיהוּ כְנִישׁוּ דְכֹלָּא, אֶל מָקוֹם אֶחָד, </w:t>
      </w:r>
      <w:r>
        <w:rPr>
          <w:rFonts w:ascii="Arial"/>
          <w:b/>
          <w:szCs w:val="23"/>
          <w:rtl/>
        </w:rPr>
        <w:t>(ירמיהו יז יג)</w:t>
      </w:r>
      <w:r>
        <w:rPr>
          <w:rFonts w:ascii="Arial"/>
          <w:b/>
          <w:bCs/>
          <w:sz w:val="29"/>
          <w:szCs w:val="29"/>
          <w:rtl/>
        </w:rPr>
        <w:t xml:space="preserve"> </w:t>
      </w:r>
      <w:r>
        <w:rPr>
          <w:rStyle w:val="a7"/>
          <w:rFonts w:ascii="Arial"/>
          <w:b/>
          <w:bCs/>
          <w:sz w:val="29"/>
          <w:szCs w:val="29"/>
          <w:rtl/>
        </w:rPr>
        <w:footnoteReference w:id="4046"/>
      </w:r>
      <w:r>
        <w:rPr>
          <w:rFonts w:ascii="Arial"/>
          <w:b/>
          <w:bCs/>
          <w:sz w:val="29"/>
          <w:szCs w:val="29"/>
          <w:rtl/>
        </w:rPr>
        <w:t>דְּאִיהוּ מִקְוִה יִשְׂרָאֵל יהו''ה.</w:t>
      </w:r>
    </w:p>
    <w:p w:rsidR="00B17EA9" w:rsidRDefault="00B17EA9" w:rsidP="00B17EA9">
      <w:pPr>
        <w:pStyle w:val="NormalWeb"/>
        <w:rPr>
          <w:sz w:val="20"/>
          <w:szCs w:val="23"/>
          <w:rtl/>
        </w:rPr>
      </w:pPr>
      <w:r>
        <w:rPr>
          <w:rtl/>
        </w:rPr>
        <w:t xml:space="preserve">יוֹמָא תְּלִיתָאָה שְׁמַע יִשְׂרָאֵל יהו''ה אלהינ''ו יהו''ה אֶחָד </w:t>
      </w:r>
      <w:r>
        <w:rPr>
          <w:sz w:val="20"/>
          <w:szCs w:val="23"/>
          <w:rtl/>
        </w:rPr>
        <w:t>(דברים ו ד)</w:t>
      </w:r>
      <w:r>
        <w:rPr>
          <w:rtl/>
        </w:rPr>
        <w:t xml:space="preserve">, וְאִיהוּ יהו''ה מָקוֹם אִתְקְרֵי, </w:t>
      </w:r>
      <w:r>
        <w:rPr>
          <w:rStyle w:val="a7"/>
          <w:b w:val="0"/>
          <w:bCs w:val="0"/>
          <w:rtl/>
        </w:rPr>
        <w:footnoteReference w:id="4047"/>
      </w:r>
      <w:r>
        <w:rPr>
          <w:rtl/>
        </w:rPr>
        <w:t xml:space="preserve">וְהָא אוּקְמוּהָ מָארֵי מַתְנִיתִין, דְּקוּדְשָׁא בְּרִיךְ הוּא אִתְקְרֵי מְקוֹמוֹ שֶׁל עוֹלָם וְאֵין הָעוֹלָם מְקוֹמוֹ, כְּגַוְונָא דָא י' עֶשֶׂר זִמְנִין אִיהוּ ק' מִן מָקוֹם, ה''ה חָמֵשׁ זִמְנִין כָּל חַד וְחַד סָלְקָן כ''ה כ''ה, כְּחוּשְׁבַּן אַתְוָון דְּיִחוּדָא תְּרֵין זִמְנִין דִּמְיַחֲדִין שְׁמַע יִשְׂרָאֵל דְּאִינוּן שִׁית תֵּיבִין, דִּבְהוֹן כ''ה כ''ה אַתְוָון, </w:t>
      </w:r>
      <w:r>
        <w:rPr>
          <w:rStyle w:val="a7"/>
          <w:b w:val="0"/>
          <w:bCs w:val="0"/>
          <w:rtl/>
        </w:rPr>
        <w:footnoteReference w:id="4048"/>
      </w:r>
      <w:r>
        <w:rPr>
          <w:rtl/>
        </w:rPr>
        <w:t xml:space="preserve">וּמַאי ק', מְאָה בִּרְכָאָן דְּחַיָּיב בַּר נַשׁ לְבָרְכָא לְקוּדְשָׁא בְּרִיךְ הוּא בְּכָל יוֹמָא, אִשְׁתָּאַר ו', שִׁית זִמְנִין שִׁית סָלְקִין תְּלָתִין וְשִׁית, </w:t>
      </w:r>
      <w:r>
        <w:rPr>
          <w:rStyle w:val="a7"/>
          <w:b w:val="0"/>
          <w:bCs w:val="0"/>
          <w:rtl/>
        </w:rPr>
        <w:footnoteReference w:id="4049"/>
      </w:r>
      <w:r>
        <w:rPr>
          <w:rtl/>
        </w:rPr>
        <w:t xml:space="preserve">כְּחוּשְׁבַּן גַּדְפִין דִּשְׂרָפִים דְּאִתְּמַר בְּהוֹן </w:t>
      </w:r>
      <w:r>
        <w:rPr>
          <w:sz w:val="20"/>
          <w:szCs w:val="23"/>
          <w:rtl/>
        </w:rPr>
        <w:t>(ישעיהו ו ב)</w:t>
      </w:r>
      <w:r>
        <w:rPr>
          <w:rtl/>
        </w:rPr>
        <w:t xml:space="preserve"> שְׂרָפִים עוֹמְדִים מִמַּעַל ל''וֹ, וְאִלֵּין גַּדְפִין תַּלְיָין מִן ו' דְּאִיהוּ שִׁית תֵּיבִין דְּיִחוּדָא, וּבָהּ סָלְקִין אַרְבְּעִין וּתְרֵין אַתְוָון, דִּבְהוֹן אִתְבְּרִיאוּ שְׁמַיָּא וְאַרְעָא, תִּשְׁכַּח מָקוֹ''ם דְּסָלִיק יהו''ה בְּחֻשְׁבָּנָא כְּגַוְונָא דָא, י' ק', ה''ה כ''ה כ''ה, ו' ל''ו, סָלִיק כֹּלָּא קפ''ו כְּחוּשְׁבַּן מָקוֹ''ם.</w:t>
      </w:r>
    </w:p>
    <w:p w:rsidR="00B17EA9" w:rsidRDefault="00B17EA9" w:rsidP="00B17EA9">
      <w:pPr>
        <w:pStyle w:val="NormalWeb"/>
        <w:rPr>
          <w:rtl/>
        </w:rPr>
      </w:pPr>
      <w:r>
        <w:rPr>
          <w:rStyle w:val="a7"/>
          <w:b w:val="0"/>
          <w:bCs w:val="0"/>
          <w:rtl/>
        </w:rPr>
        <w:footnoteReference w:id="4050"/>
      </w:r>
      <w:r>
        <w:rPr>
          <w:rtl/>
        </w:rPr>
        <w:t>בְּהַאי שְׁמָא דְאִיהוּ יהו''ה צָרִיךְ לְאִתְכַּנְשָׁא דַרְגִּין דְּיִחוּדָא, וּלְאַכְלָלָא בֵּיהּ עֶשֶׂר סְפִירָן כְּגַוְונָא דָא, יו''ד ה''א וא''ו ה''א, דְאִינוּן עֶשֶׂר סְפִירוֹת בְּלִימָה.</w:t>
      </w:r>
    </w:p>
    <w:p w:rsidR="00B17EA9" w:rsidRDefault="00B17EA9" w:rsidP="00B17EA9">
      <w:pPr>
        <w:pStyle w:val="NormalWeb"/>
        <w:rPr>
          <w:rtl/>
        </w:rPr>
      </w:pPr>
      <w:r>
        <w:rPr>
          <w:rStyle w:val="a7"/>
          <w:b w:val="0"/>
          <w:bCs w:val="0"/>
          <w:rtl/>
        </w:rPr>
        <w:footnoteReference w:id="4051"/>
      </w:r>
      <w:r>
        <w:rPr>
          <w:rtl/>
        </w:rPr>
        <w:t>לַאו סְפִירָה דְלֵית תַּמָּן יהו''ה, יו''ד ה''א וא''ו ה''א, וְהָכִי צָרִיךְ לְאִתְכַּנְשָׁא כֹּלָּא בֵיהּ בְּכָל אֲתַר, דְּכָל שְׁמָהָן אִינוּן כִּנּוּיִין לֵיהּ.</w:t>
      </w:r>
    </w:p>
    <w:p w:rsidR="00B17EA9" w:rsidRDefault="00B17EA9" w:rsidP="00B17EA9">
      <w:pPr>
        <w:pStyle w:val="NormalWeb"/>
        <w:rPr>
          <w:rtl/>
        </w:rPr>
      </w:pPr>
      <w:r>
        <w:rPr>
          <w:rtl/>
        </w:rPr>
        <w:t xml:space="preserve">יהו''ה מָקוֹם לְיו''ד ה''א וא''ו ה''א דְאִיהוּ סָתִים וְנֶעְלָם, </w:t>
      </w:r>
      <w:r>
        <w:rPr>
          <w:rStyle w:val="a7"/>
          <w:b w:val="0"/>
          <w:bCs w:val="0"/>
          <w:rtl/>
        </w:rPr>
        <w:footnoteReference w:id="4052"/>
      </w:r>
      <w:r>
        <w:rPr>
          <w:rtl/>
        </w:rPr>
        <w:t xml:space="preserve">וּבְגִין דָּא אִתְקְרֵי עוֹלָם עֶלֶם, דְּצָרִיךְ לְאַעְלָמָא לֵיהּ מִכּוּלֵי עָלְמָא, </w:t>
      </w:r>
      <w:r>
        <w:rPr>
          <w:rStyle w:val="a7"/>
          <w:b w:val="0"/>
          <w:bCs w:val="0"/>
          <w:rtl/>
        </w:rPr>
        <w:footnoteReference w:id="4053"/>
      </w:r>
      <w:r>
        <w:rPr>
          <w:rtl/>
        </w:rPr>
        <w:t xml:space="preserve">דְּאִיהוּ עֹלָם, וּשְׁכִינְתָּא נֶעֱלָמָה, </w:t>
      </w:r>
      <w:r>
        <w:rPr>
          <w:rStyle w:val="a7"/>
          <w:b w:val="0"/>
          <w:bCs w:val="0"/>
          <w:rtl/>
        </w:rPr>
        <w:footnoteReference w:id="4054"/>
      </w:r>
      <w:r>
        <w:rPr>
          <w:rtl/>
        </w:rPr>
        <w:t xml:space="preserve">הֲדָא הוּא דִכְתִיב </w:t>
      </w:r>
      <w:r>
        <w:rPr>
          <w:sz w:val="20"/>
          <w:szCs w:val="23"/>
          <w:rtl/>
        </w:rPr>
        <w:t>(איוב כח כא)</w:t>
      </w:r>
      <w:r>
        <w:rPr>
          <w:rtl/>
        </w:rPr>
        <w:t xml:space="preserve"> וְנֶעֶלְמָה מֵעִינֵי כָל חָי.</w:t>
      </w:r>
    </w:p>
    <w:p w:rsidR="00B17EA9" w:rsidRDefault="00B17EA9" w:rsidP="00B17EA9">
      <w:pPr>
        <w:pStyle w:val="NormalWeb"/>
        <w:rPr>
          <w:rtl/>
        </w:rPr>
      </w:pPr>
      <w:r>
        <w:rPr>
          <w:rtl/>
        </w:rPr>
        <w:t xml:space="preserve">וּשְׁכִינְתֵּיהּ אִיהִי יהו''ה אִיהִי כְּלִילָא מֵאַרְבַּע אַתְוָון, וְלָא אִתְקְרֵי אִיהוּ מָקוֹם אֶלָּא בָּהּ, מָקוֹם אֶחָד וַדַּאי, </w:t>
      </w:r>
      <w:r>
        <w:rPr>
          <w:rStyle w:val="a7"/>
          <w:b w:val="0"/>
          <w:bCs w:val="0"/>
          <w:rtl/>
        </w:rPr>
        <w:footnoteReference w:id="4055"/>
      </w:r>
      <w:r>
        <w:rPr>
          <w:rtl/>
        </w:rPr>
        <w:t xml:space="preserve">אִיהוּ לָא אִתְקְרֵי אָדָם </w:t>
      </w:r>
      <w:r>
        <w:rPr>
          <w:sz w:val="20"/>
          <w:szCs w:val="23"/>
          <w:rtl/>
        </w:rPr>
        <w:t>(נ''א אחד)</w:t>
      </w:r>
      <w:r>
        <w:rPr>
          <w:rtl/>
        </w:rPr>
        <w:t xml:space="preserve"> אֶלָּא בָהּ, כְּגַוְונָא דְאָדָם דִּלְתַתָּא דְבָרָא בְדִיּוֹקְנֵיהּ, דְּאִתְּמַר בֵּיהּ </w:t>
      </w:r>
      <w:r>
        <w:rPr>
          <w:sz w:val="20"/>
          <w:szCs w:val="23"/>
          <w:rtl/>
        </w:rPr>
        <w:t>(בראשית ה ב)</w:t>
      </w:r>
      <w:r>
        <w:rPr>
          <w:rtl/>
        </w:rPr>
        <w:t xml:space="preserve"> זָכָר וּנְקֵבָה בְּרָאָם וַיְבָרֶךְ אֹתָם וַיִּקְרָא אֶת שְׁמָם אָדָם.</w:t>
      </w:r>
    </w:p>
    <w:p w:rsidR="00B17EA9" w:rsidRDefault="00B17EA9" w:rsidP="00B17EA9">
      <w:pPr>
        <w:pStyle w:val="NormalWeb"/>
        <w:rPr>
          <w:rtl/>
        </w:rPr>
      </w:pPr>
      <w:r>
        <w:rPr>
          <w:rStyle w:val="a7"/>
          <w:b w:val="0"/>
          <w:bCs w:val="0"/>
          <w:rtl/>
        </w:rPr>
        <w:footnoteReference w:id="4056"/>
      </w:r>
      <w:r>
        <w:rPr>
          <w:rtl/>
        </w:rPr>
        <w:t xml:space="preserve">וְעוֹד כִּי אֶחָד קְרָאתִיו </w:t>
      </w:r>
      <w:r>
        <w:rPr>
          <w:sz w:val="20"/>
          <w:szCs w:val="23"/>
          <w:rtl/>
        </w:rPr>
        <w:t>(ישעיה נא ב)</w:t>
      </w:r>
      <w:r>
        <w:rPr>
          <w:rtl/>
        </w:rPr>
        <w:t xml:space="preserve">, כְּגַוְונָא דְעֶשֶׂר סְפִירוֹת, דְּאִינוּן א' כֶּתֶר עִלָּאָה, ח' תְּמַנְיָא סְפִירָן מֵחָכְמָה עַד צַדִּיק, ד' מַלְכוּתָא קַדִּישָׁא, עֲלָהּ אִתְּמַר </w:t>
      </w:r>
      <w:r>
        <w:rPr>
          <w:sz w:val="20"/>
          <w:szCs w:val="23"/>
          <w:rtl/>
        </w:rPr>
        <w:t>(דברים יז כ)</w:t>
      </w:r>
      <w:r>
        <w:rPr>
          <w:rtl/>
        </w:rPr>
        <w:t xml:space="preserve"> </w:t>
      </w:r>
      <w:r>
        <w:rPr>
          <w:rStyle w:val="a7"/>
          <w:b w:val="0"/>
          <w:bCs w:val="0"/>
          <w:rtl/>
        </w:rPr>
        <w:footnoteReference w:id="4057"/>
      </w:r>
      <w:r>
        <w:rPr>
          <w:rtl/>
        </w:rPr>
        <w:t xml:space="preserve">לְמַעַן יַאֲרִיךְ יָמִים עַל מַמְלַכְתּוֹ, וְאִם חַס וְשָׁלוֹם פָּחִית בַּר נַשׁ מֵעֶשֶׂר לְיַחֲדָא בָּהּ, </w:t>
      </w:r>
      <w:r>
        <w:rPr>
          <w:rStyle w:val="a7"/>
          <w:b w:val="0"/>
          <w:bCs w:val="0"/>
          <w:rtl/>
        </w:rPr>
        <w:footnoteReference w:id="4058"/>
      </w:r>
      <w:r>
        <w:rPr>
          <w:rtl/>
        </w:rPr>
        <w:t xml:space="preserve">אִסְתַּלַּק קוֹצָא מִן ד' מִן אֶחָד </w:t>
      </w:r>
      <w:r>
        <w:rPr>
          <w:rStyle w:val="a7"/>
          <w:b w:val="0"/>
          <w:bCs w:val="0"/>
          <w:rtl/>
        </w:rPr>
        <w:footnoteReference w:id="4059"/>
      </w:r>
      <w:r>
        <w:rPr>
          <w:rtl/>
        </w:rPr>
        <w:t xml:space="preserve">וְאִשְׁתְּאָרַת יַבָּשָׁה, </w:t>
      </w:r>
      <w:r>
        <w:rPr>
          <w:rStyle w:val="a7"/>
          <w:b w:val="0"/>
          <w:bCs w:val="0"/>
          <w:rtl/>
        </w:rPr>
        <w:footnoteReference w:id="4060"/>
      </w:r>
      <w:r>
        <w:rPr>
          <w:rtl/>
        </w:rPr>
        <w:t xml:space="preserve">וְרָזָא דְמִלָּה </w:t>
      </w:r>
      <w:r>
        <w:rPr>
          <w:sz w:val="20"/>
          <w:szCs w:val="23"/>
          <w:rtl/>
        </w:rPr>
        <w:t>(בראשית א ט)</w:t>
      </w:r>
      <w:r>
        <w:rPr>
          <w:rtl/>
        </w:rPr>
        <w:t xml:space="preserve"> יִקָּווּ הַמַּיִם מִתַּחַת הַשָּׁמַיִם, דְּאִיהִי תַּחַת הַשָּׁמַיִם דְּאִיהוּ קוּדְשָׁא בְּרִיךְ הוּא, דְּאִתְּמַר בֵּיהּ </w:t>
      </w:r>
      <w:r>
        <w:rPr>
          <w:sz w:val="20"/>
          <w:szCs w:val="23"/>
          <w:rtl/>
        </w:rPr>
        <w:t>(מלכים א ב לב)</w:t>
      </w:r>
      <w:r>
        <w:rPr>
          <w:rtl/>
        </w:rPr>
        <w:t xml:space="preserve"> וְאַתָּה תִּשְׁמַע הַשָּׁמַיִם, דְּנוּקְבָא אִיהִי תְּחוֹת בַּעְלָהּ.</w:t>
      </w:r>
    </w:p>
    <w:p w:rsidR="00B17EA9" w:rsidRDefault="00B17EA9" w:rsidP="00B17EA9">
      <w:pPr>
        <w:pStyle w:val="NormalWeb"/>
        <w:rPr>
          <w:rtl/>
        </w:rPr>
      </w:pPr>
      <w:r>
        <w:rPr>
          <w:rStyle w:val="a7"/>
          <w:b w:val="0"/>
          <w:bCs w:val="0"/>
          <w:rtl/>
        </w:rPr>
        <w:footnoteReference w:id="4061"/>
      </w:r>
      <w:r>
        <w:rPr>
          <w:rtl/>
        </w:rPr>
        <w:t xml:space="preserve">וְהָכִי כָּל מָאן דְּפָגִים אוֹת בְּרִית, בְּהַהִיא טִפָּה דְאִיהִי יִחוּדָא, וְזָרִיק לָהּ בַּאֲתַר אָחֳרָא, גָרִים לָהּ לְמֶהֱוִי </w:t>
      </w:r>
      <w:r>
        <w:rPr>
          <w:rStyle w:val="a7"/>
          <w:b w:val="0"/>
          <w:bCs w:val="0"/>
          <w:rtl/>
        </w:rPr>
        <w:footnoteReference w:id="4062"/>
      </w:r>
      <w:r>
        <w:rPr>
          <w:rtl/>
        </w:rPr>
        <w:t xml:space="preserve">יַבָּשָׁה מִסִּטְרֵיהּ, דְּאִסְתַּלַּק נְבִיעוּ וְיִחוּדָא מִינָהּ, וְאִשְׁתְּאָרַת אִיהִי יַבָּשָׁה, וְדָא גָרִים חָרְבַּן עָלְמָא, וּמִיָּד אִתְּמַר </w:t>
      </w:r>
      <w:r>
        <w:rPr>
          <w:sz w:val="20"/>
          <w:szCs w:val="23"/>
          <w:rtl/>
        </w:rPr>
        <w:t>(ישעיה יט ה)</w:t>
      </w:r>
      <w:r>
        <w:rPr>
          <w:rtl/>
        </w:rPr>
        <w:t xml:space="preserve"> וְנָהָר יֶחֱרַב וְיָבֵשׁ, דְּאִיהוּ נָהָר דְּנָפִיק מֵעִדֶן, </w:t>
      </w:r>
      <w:r>
        <w:rPr>
          <w:rStyle w:val="a7"/>
          <w:b w:val="0"/>
          <w:bCs w:val="0"/>
          <w:rtl/>
        </w:rPr>
        <w:footnoteReference w:id="4063"/>
      </w:r>
      <w:r>
        <w:rPr>
          <w:rtl/>
        </w:rPr>
        <w:t>דְּאַשְׁקֵי לֵיהּ לְגַן דְּאִיהִי אוֹרַיְיתָא שֶׁבְּעַל פֶּה, דְאִיהִי מִתְשַׁקְיָא מֵאוֹרַיְיתָא דְבִכְתָב, דִּכְלִילָא גַ''ן סְדָרִים דְּאוֹרַיְיתָא.</w:t>
      </w:r>
    </w:p>
    <w:p w:rsidR="00B17EA9" w:rsidRDefault="00B17EA9" w:rsidP="00602EF1">
      <w:pPr>
        <w:pStyle w:val="1"/>
        <w:rPr>
          <w:u w:val="single"/>
          <w:rtl/>
        </w:rPr>
      </w:pPr>
      <w:bookmarkStart w:id="253" w:name="_Toc228091321"/>
      <w:bookmarkStart w:id="254" w:name="_Toc231637960"/>
      <w:r>
        <w:rPr>
          <w:rtl/>
        </w:rPr>
        <w:t>תקונא ארבעין ותלת</w:t>
      </w:r>
      <w:bookmarkEnd w:id="253"/>
      <w:bookmarkEnd w:id="254"/>
    </w:p>
    <w:p w:rsidR="00B17EA9" w:rsidRPr="00B36739" w:rsidRDefault="00B17EA9" w:rsidP="00B36739">
      <w:pPr>
        <w:pStyle w:val="2"/>
        <w:rPr>
          <w:rtl/>
        </w:rPr>
      </w:pPr>
      <w:r w:rsidRPr="00B36739">
        <w:rPr>
          <w:rtl/>
        </w:rPr>
        <w:t xml:space="preserve">[תיקוני זוהר - דף פה ע''א] </w:t>
      </w:r>
    </w:p>
    <w:p w:rsidR="00B17EA9" w:rsidRPr="00B36739" w:rsidRDefault="00B17EA9" w:rsidP="00B36739">
      <w:pPr>
        <w:pStyle w:val="NormalWeb"/>
        <w:rPr>
          <w:rtl/>
        </w:rPr>
      </w:pPr>
      <w:r w:rsidRPr="00B36739">
        <w:rPr>
          <w:rStyle w:val="20"/>
          <w:rtl/>
        </w:rPr>
        <w:t>(דף פה ע''א)</w:t>
      </w:r>
      <w:r>
        <w:rPr>
          <w:szCs w:val="23"/>
          <w:rtl/>
        </w:rPr>
        <w:t xml:space="preserve"> </w:t>
      </w:r>
      <w:r>
        <w:rPr>
          <w:rStyle w:val="a7"/>
          <w:szCs w:val="29"/>
          <w:rtl/>
        </w:rPr>
        <w:footnoteReference w:id="4064"/>
      </w:r>
      <w:r w:rsidRPr="00B36739">
        <w:rPr>
          <w:rtl/>
        </w:rPr>
        <w:t>בְּרֵאשִׁית תַּמָּן אֲתַ''ר יָבֵ''שׁ, וְדָא אִיהוּ וְנָהָר יֶחרַב וְיָבֵשׁ (שם ה), בְּהַהוּא זִמְנָא דְאִיהוּ יָבֵשׁ וְאִיהִי יַבָּשָׁה, צָוְוחִין בְּנִין לְתַתָּא בְּיִחוּדָא וְאָמְרִין שְׁמַע יִשְׂרָאֵל,</w:t>
      </w:r>
      <w:r>
        <w:rPr>
          <w:szCs w:val="29"/>
          <w:rtl/>
        </w:rPr>
        <w:t xml:space="preserve"> </w:t>
      </w:r>
      <w:r>
        <w:rPr>
          <w:rStyle w:val="a7"/>
          <w:szCs w:val="29"/>
          <w:rtl/>
        </w:rPr>
        <w:footnoteReference w:id="4065"/>
      </w:r>
      <w:r w:rsidRPr="00B36739">
        <w:rPr>
          <w:rtl/>
        </w:rPr>
        <w:t>וְאֵין קוֹל וְאֵין עוֹנֶה (מלכים א יח כו), הֲדָא הוּא דִכְתִיב (משלי א כח) אָז יִקְרָאוּנְנִי וְלֹא אֶעֱנֶה.</w:t>
      </w:r>
    </w:p>
    <w:p w:rsidR="00B17EA9" w:rsidRPr="00B36739" w:rsidRDefault="00B17EA9" w:rsidP="00B36739">
      <w:pPr>
        <w:pStyle w:val="NormalWeb"/>
        <w:rPr>
          <w:rtl/>
        </w:rPr>
      </w:pPr>
      <w:r>
        <w:rPr>
          <w:rStyle w:val="a7"/>
          <w:szCs w:val="29"/>
          <w:rtl/>
        </w:rPr>
        <w:footnoteReference w:id="4066"/>
      </w:r>
      <w:r w:rsidRPr="00B36739">
        <w:rPr>
          <w:rtl/>
        </w:rPr>
        <w:t>וְהָכִי מָאן דְּגָרִים דְּאִסְתַּלַּק קַבָּלָה וְחָכְמָתָא מֵאוֹרַיְיתָא דִבְעַל פֶּה וּמֵאוֹרַיְיתָא דְבִכְתָב, וְלָא מִשְׁתַּדֵל בְּהוֹן, וְאָמַר דְּלָא אִית אֶלָּא פְּשָׁט בְּאוֹרַיְיתָא וּבְתַלְמוּדָא, בְּוַדַּאי כְּאִלּוּ הוּא יְסַלֵּק נְבִיעוּ מֵהַהוּא נָהָר וּמֵהַהוּא גָן, וַוי לֵיהּ טַב לֵיהּ דְּלָא אִתְבְּרִי בְּעָלְמָא וְלָא יוֹלִיף הַהִיא אוֹרַיְיתָא דְבִכְתָב וְאוֹרַיְיתָא דִבְעַל פֶּה, דְּאִתְחַשַּׁב לֵיהּ כְּאִלּוּ אַחְזַר עָלְמָא לְתֹהוּ וָבֹהוּ, וְגָרִים עֲנִיּוּתָא בְּעָלְמָא וְאוֹרֶךְ גָּלוּתָא.</w:t>
      </w:r>
    </w:p>
    <w:p w:rsidR="00B17EA9" w:rsidRDefault="00B17EA9" w:rsidP="00B17EA9">
      <w:pPr>
        <w:pStyle w:val="NormalWeb"/>
        <w:rPr>
          <w:rtl/>
        </w:rPr>
      </w:pPr>
      <w:r>
        <w:rPr>
          <w:rtl/>
        </w:rPr>
        <w:t xml:space="preserve">וַיֹּאמֶר אלהי''ם תַּדְשֵׁא הָאָרֶץ דֶּשֶׁא וכו' </w:t>
      </w:r>
      <w:r>
        <w:rPr>
          <w:sz w:val="20"/>
          <w:szCs w:val="23"/>
          <w:rtl/>
        </w:rPr>
        <w:t>(בראשית א יא)</w:t>
      </w:r>
      <w:r>
        <w:rPr>
          <w:rtl/>
        </w:rPr>
        <w:t xml:space="preserve">, אָמַר רַבִּי אֶלְעָזָר אַבָּא וְהָא קָרָא לֵיהּ יַבָּשָׁה, </w:t>
      </w:r>
      <w:r w:rsidRPr="00282BBA">
        <w:rPr>
          <w:rStyle w:val="a7"/>
          <w:szCs w:val="29"/>
          <w:rtl/>
        </w:rPr>
        <w:footnoteReference w:id="4067"/>
      </w:r>
      <w:r>
        <w:rPr>
          <w:rtl/>
        </w:rPr>
        <w:t xml:space="preserve">מֵאָן תַּדְשֵׁא הָאָרֶץ, אָמַר לֵיהּ בְּרִי הָכִי אוֹלִיף תְּיוּבְתָּא לְכָל בְּנֵי עָלְמָא, דְּאִם בַּר נַשׁ יַחֲזוֹר בִּתְיוּבְתָּא, נָחִית לָהּ נְבִיעוּ דְאִסְתַּלַּק, וּמַה דַּהֲוָה יַבָּשָׁה קָרָא לָהּ אֶרֶץ, </w:t>
      </w:r>
      <w:r w:rsidRPr="00282BBA">
        <w:rPr>
          <w:rStyle w:val="a7"/>
          <w:szCs w:val="29"/>
          <w:rtl/>
        </w:rPr>
        <w:footnoteReference w:id="4068"/>
      </w:r>
      <w:r>
        <w:rPr>
          <w:rtl/>
        </w:rPr>
        <w:t xml:space="preserve">וְנָהָר דַּהֲוָה חָרֵב וְיָבֵשׁ קָרָא לֵיהּ מִקְוִה הַמַּיִם וְיַמִּים, הֲדָא הוּא דִכְתִיב </w:t>
      </w:r>
      <w:r>
        <w:rPr>
          <w:sz w:val="20"/>
          <w:szCs w:val="23"/>
          <w:rtl/>
        </w:rPr>
        <w:t>(שם י)</w:t>
      </w:r>
      <w:r>
        <w:rPr>
          <w:rtl/>
        </w:rPr>
        <w:t xml:space="preserve"> וַיִּקְרָא אלהי''ם לַיַּבָּשָׁה אֶרֶץ וּלְמִקְוִה הַמַּיִם קָרָא יַמִּים, </w:t>
      </w:r>
      <w:r w:rsidRPr="00282BBA">
        <w:rPr>
          <w:rStyle w:val="a7"/>
          <w:szCs w:val="29"/>
          <w:rtl/>
        </w:rPr>
        <w:footnoteReference w:id="4069"/>
      </w:r>
      <w:r>
        <w:rPr>
          <w:rtl/>
        </w:rPr>
        <w:t xml:space="preserve">בְּהַהוּא זִמְנָא דְאִתְקְרֵי אֶרֶץ מַה כְּתִיב בֵּיהּ </w:t>
      </w:r>
      <w:r>
        <w:rPr>
          <w:sz w:val="20"/>
          <w:szCs w:val="23"/>
          <w:rtl/>
        </w:rPr>
        <w:t>(שם יא)</w:t>
      </w:r>
      <w:r>
        <w:rPr>
          <w:rtl/>
        </w:rPr>
        <w:t xml:space="preserve"> וַיֹּאמֶר אלהי''ם תַּדְשֵׁא הָאָרֶץ, לְאַפָּקָא זַרְעִין וְאִיבִּין דְּאִינוּן נִשְׁמָתִין כָּל חַד לִזְנַיְהוּ, אִלֵּין נִשְׁמָתִין דְּאִתְגַּזְרוּ מִכּוּרְסֵי יְקָרֵיהּ, וְאִלֵּין רוּחִין דְּאִתְגַּזְרוּ מִמַּלְאָכִים, וְאִלֵּין נַפְשִׁין דְּאִתְגַּזְרוּ מֵאוֹפַנִּים, כָּל חַד אַפִּיק לִזְנַיְיהוּ לְכָל חַד כִּדְקָא יָאוּת, עִץ פְּרִי דָא תַּלְמִיד חָכָם, עוֹשֶׂה פְּרִי דָא בַת זוּגֵיהּ, לְכָל חַד כִּדְקָא יָאוּת, </w:t>
      </w:r>
      <w:r>
        <w:rPr>
          <w:sz w:val="20"/>
          <w:szCs w:val="23"/>
          <w:rtl/>
        </w:rPr>
        <w:t>(כל חד אפיק לזנוי)</w:t>
      </w:r>
      <w:r>
        <w:rPr>
          <w:rtl/>
        </w:rPr>
        <w:t>.</w:t>
      </w:r>
    </w:p>
    <w:p w:rsidR="00B17EA9" w:rsidRDefault="00B17EA9" w:rsidP="00B17EA9">
      <w:pPr>
        <w:pStyle w:val="NormalWeb"/>
        <w:rPr>
          <w:rtl/>
        </w:rPr>
      </w:pPr>
      <w:r>
        <w:rPr>
          <w:rtl/>
        </w:rPr>
        <w:t xml:space="preserve">וְעוֹד עִץ פְּרִי דָא עַמּוּדָא דְאֶמְצָעִיתָא, עוֹשֶׂה פְּרִי דָא צַדִּיק, אֲשֶׁר זַרְעוֹ בוֹ עַל הָאָרֶץ דָּא שְׁכִינְתָּא, דְכָל זַרְעִין אִתְכְּלִילָן בָּהּ, </w:t>
      </w:r>
      <w:r w:rsidRPr="00282BBA">
        <w:rPr>
          <w:rStyle w:val="a7"/>
          <w:szCs w:val="29"/>
          <w:rtl/>
        </w:rPr>
        <w:footnoteReference w:id="4070"/>
      </w:r>
      <w:r>
        <w:rPr>
          <w:rtl/>
        </w:rPr>
        <w:t xml:space="preserve">וְהָכָא פִּקּוּדָא דְפִרְיָה וְרִבְיָה לְמֶעֱבַד אִבִּין וְזַרְעִין, הֲדָא הוּא דִכְתִיב </w:t>
      </w:r>
      <w:r>
        <w:rPr>
          <w:sz w:val="20"/>
          <w:szCs w:val="23"/>
          <w:rtl/>
        </w:rPr>
        <w:t>(ישעיה מה יח)</w:t>
      </w:r>
      <w:r>
        <w:rPr>
          <w:rtl/>
        </w:rPr>
        <w:t xml:space="preserve"> </w:t>
      </w:r>
      <w:r w:rsidRPr="00282BBA">
        <w:rPr>
          <w:rStyle w:val="a7"/>
          <w:szCs w:val="29"/>
          <w:rtl/>
        </w:rPr>
        <w:footnoteReference w:id="4071"/>
      </w:r>
      <w:r>
        <w:rPr>
          <w:rtl/>
        </w:rPr>
        <w:t xml:space="preserve">לֹא תֹהוּ בְרָאָהּ לָשֶׁבֶת יְצָרָהּ, וּמָאן דְּאִתְבַּטַּל מִפִּרְיָה וְרִבְיָה, כְּאִלּוּ אַחְזַר לְהַהִיא אֶרֶץ יַבָּשָׁה, וּמָנַע בִּרְכָאָן מִינָהּ, </w:t>
      </w:r>
      <w:r w:rsidRPr="00282BBA">
        <w:rPr>
          <w:rStyle w:val="a7"/>
          <w:szCs w:val="29"/>
          <w:rtl/>
        </w:rPr>
        <w:footnoteReference w:id="4072"/>
      </w:r>
      <w:r>
        <w:rPr>
          <w:rtl/>
        </w:rPr>
        <w:t>כָּל חַד לְפוּם דַּרְגֵּיהּ, מָאן דְּפָגִים לְתַתָּא פָגִים לְעִילָא, לַאֲתַר דְּאִתְגַּזַּר נִשְׁמָתֵיהּ.</w:t>
      </w:r>
    </w:p>
    <w:p w:rsidR="00B17EA9" w:rsidRDefault="00B17EA9" w:rsidP="00602EF1">
      <w:pPr>
        <w:pStyle w:val="1"/>
        <w:rPr>
          <w:u w:val="single"/>
          <w:rtl/>
        </w:rPr>
      </w:pPr>
      <w:bookmarkStart w:id="255" w:name="_Toc228091322"/>
      <w:bookmarkStart w:id="256" w:name="_Toc231637961"/>
      <w:r>
        <w:rPr>
          <w:rtl/>
        </w:rPr>
        <w:t>תקונא ארבעין וארבע</w:t>
      </w:r>
      <w:bookmarkEnd w:id="255"/>
      <w:bookmarkEnd w:id="256"/>
    </w:p>
    <w:p w:rsidR="00B17EA9" w:rsidRDefault="00B17EA9" w:rsidP="00282BBA">
      <w:pPr>
        <w:pStyle w:val="NormalWeb"/>
        <w:rPr>
          <w:b w:val="0"/>
          <w:bCs w:val="0"/>
          <w:szCs w:val="29"/>
          <w:rtl/>
        </w:rPr>
      </w:pPr>
      <w:r>
        <w:rPr>
          <w:rStyle w:val="a7"/>
          <w:szCs w:val="29"/>
          <w:rtl/>
        </w:rPr>
        <w:footnoteReference w:id="4073"/>
      </w:r>
      <w:r>
        <w:rPr>
          <w:szCs w:val="29"/>
          <w:rtl/>
        </w:rPr>
        <w:t xml:space="preserve">בְּרֵאשִׁית, תַּמָּן אֹרֹ"ת תַּמָּן אֵ''שׁ, וַעֲלַיְיהוּ אִתְּמַר </w:t>
      </w:r>
      <w:r>
        <w:rPr>
          <w:szCs w:val="23"/>
          <w:rtl/>
        </w:rPr>
        <w:t>(בראשית א יד)</w:t>
      </w:r>
      <w:r>
        <w:rPr>
          <w:szCs w:val="29"/>
          <w:rtl/>
        </w:rPr>
        <w:t xml:space="preserve"> וַיֹּאמֶר אלהי''ם יְהִי מְאֹרֹת בִּרְקִיעַ </w:t>
      </w:r>
      <w:r w:rsidRPr="00282BBA">
        <w:rPr>
          <w:rtl/>
        </w:rPr>
        <w:t>הַשָּׁמַיִם</w:t>
      </w:r>
      <w:r>
        <w:rPr>
          <w:szCs w:val="29"/>
          <w:rtl/>
        </w:rPr>
        <w:t xml:space="preserve">, מְאֹרֹת כְּתִיב חָסֵר דָּא אוֹרַיְיתָא דְבִכְתָב, תַּמָּן אֵ''שׁ דָּא אוֹרַיְיתָא דִבְעַל פֶּה, דְאִתְּמַר בְּהוֹן </w:t>
      </w:r>
      <w:r>
        <w:rPr>
          <w:szCs w:val="23"/>
          <w:rtl/>
        </w:rPr>
        <w:t>(משלי ו כג)</w:t>
      </w:r>
      <w:r>
        <w:rPr>
          <w:szCs w:val="29"/>
          <w:rtl/>
        </w:rPr>
        <w:t xml:space="preserve"> כִּי נֵר מִצְוָה וְתוֹרָה אוֹר, וַעֲלַיְיהוּ אִתְּמַר </w:t>
      </w:r>
      <w:r>
        <w:rPr>
          <w:szCs w:val="23"/>
          <w:rtl/>
        </w:rPr>
        <w:t>(בראשית א טז)</w:t>
      </w:r>
      <w:r>
        <w:rPr>
          <w:szCs w:val="29"/>
          <w:rtl/>
        </w:rPr>
        <w:t xml:space="preserve"> אֶת הַמָּאוֹר הַגָּדוֹל לְמֶמְשֶׁלֶת הַיּוֹם וְאֶת הַמָּאוֹר הַקָּטֹן לְמֶמְשֶׁלֶת הַלַּיְלָה.</w:t>
      </w:r>
    </w:p>
    <w:p w:rsidR="00B17EA9" w:rsidRDefault="00B17EA9" w:rsidP="00B17EA9">
      <w:pPr>
        <w:spacing w:after="40" w:line="360" w:lineRule="atLeast"/>
        <w:ind w:left="144" w:right="144" w:firstLine="288"/>
        <w:jc w:val="both"/>
        <w:rPr>
          <w:rFonts w:ascii="Arial"/>
          <w:b/>
          <w:szCs w:val="23"/>
          <w:rtl/>
        </w:rPr>
      </w:pPr>
      <w:r>
        <w:rPr>
          <w:rtl/>
        </w:rPr>
        <w:t xml:space="preserve">[תיקוני זוהר - דף פה ע''ב] </w:t>
      </w:r>
    </w:p>
    <w:p w:rsidR="00B17EA9" w:rsidRDefault="00B17EA9" w:rsidP="00282BBA">
      <w:pPr>
        <w:pStyle w:val="NormalWeb"/>
        <w:rPr>
          <w:b w:val="0"/>
          <w:bCs w:val="0"/>
          <w:szCs w:val="29"/>
          <w:rtl/>
        </w:rPr>
      </w:pPr>
      <w:r>
        <w:rPr>
          <w:rStyle w:val="a7"/>
          <w:szCs w:val="29"/>
          <w:rtl/>
        </w:rPr>
        <w:footnoteReference w:id="4074"/>
      </w:r>
      <w:r>
        <w:rPr>
          <w:szCs w:val="29"/>
          <w:rtl/>
        </w:rPr>
        <w:t xml:space="preserve">הָכָא פִּקּוּדָא </w:t>
      </w:r>
      <w:r w:rsidRPr="00282BBA">
        <w:rPr>
          <w:rtl/>
        </w:rPr>
        <w:t>לְמֶעֱבַד</w:t>
      </w:r>
      <w:r>
        <w:rPr>
          <w:szCs w:val="29"/>
          <w:rtl/>
        </w:rPr>
        <w:t xml:space="preserve"> צְדָקָה, אֶת הַמָּאוֹר הַגָּדוֹל רָזָא דַעֲתִירִין, וְאֶת הַמָּאוֹר הַקָּטֹן רָזָא דְמִסְכְּנִין, וּכְמָה דְסִיהֲרָא לווְֹה מִן שִׁמְשָׁא, וְלָא אִית לָהּ נְהוֹרָא אֶלָּא מִמַּה דְּיָהִיב לָהּ שִׁמְשָׁא, </w:t>
      </w:r>
      <w:r>
        <w:rPr>
          <w:rStyle w:val="a7"/>
          <w:szCs w:val="29"/>
          <w:rtl/>
        </w:rPr>
        <w:footnoteReference w:id="4075"/>
      </w:r>
      <w:r>
        <w:rPr>
          <w:szCs w:val="29"/>
          <w:rtl/>
        </w:rPr>
        <w:t xml:space="preserve">הָכִי שְׁכִינְתָּא אָמְרַת לְווּ עָלַי וַאֲנִי פּוֹרֵעַ, דְּהָכִי צָרִיךְ בַּר נַשׁ לְמֶהֱוִי מַלְוְה לְמִסְכְּנָא, וּכְגַוְונָא דָא לווִֹין כֹּכְבַיָּא וּמַזָּלֵי דָא מִן דָּא, וּמַלְאָכַיָּא דָא מִן דָּא, וְרָזָא דְמִלָּה וּמְקַבְּלִין דֵּין מִן דֵּין, הָכִי לווְֹה שְׁכִינְתָּא דְאִיהִי סִיהֲרָא קַדִּישָׁא מִקּוּדְשָׁא בְּרִיךְ הוּא, </w:t>
      </w:r>
      <w:r>
        <w:rPr>
          <w:szCs w:val="23"/>
          <w:rtl/>
        </w:rPr>
        <w:t xml:space="preserve">(דף פה ע''ב) </w:t>
      </w:r>
      <w:r>
        <w:rPr>
          <w:szCs w:val="29"/>
          <w:rtl/>
        </w:rPr>
        <w:t xml:space="preserve">וּמְקַבֶּלֶת מִנֵּיהּ, דְּאִתְּמַר בֵּיהּ </w:t>
      </w:r>
      <w:r>
        <w:rPr>
          <w:szCs w:val="23"/>
          <w:rtl/>
        </w:rPr>
        <w:t>(תהלים פד יב)</w:t>
      </w:r>
      <w:r>
        <w:rPr>
          <w:szCs w:val="29"/>
          <w:rtl/>
        </w:rPr>
        <w:t xml:space="preserve"> </w:t>
      </w:r>
      <w:r>
        <w:rPr>
          <w:rStyle w:val="a7"/>
          <w:szCs w:val="29"/>
          <w:rtl/>
        </w:rPr>
        <w:footnoteReference w:id="4076"/>
      </w:r>
      <w:r>
        <w:rPr>
          <w:szCs w:val="29"/>
          <w:rtl/>
        </w:rPr>
        <w:t xml:space="preserve">כִּי שֶׁמֶשׁ וּמָגֵן יהו''ה אלהי''ם, וְהָכִי הֲוָה מְקַבֵּל יְהוֹשֻׁעַ מִן מֹשֶׁה, כְּמָה דְאוּקְמוּהוּ פְּנֵי מֹשֶׁה כִּפְנֵי חַמָּה וּפְנֵי יְהוֹשֻׁעַ כִּפְנֵי לְבָנָה, וְהָכִי הֲווֹ כָל נְבִיאַיָּיא קֳדָם מֹשֶׁה </w:t>
      </w:r>
      <w:r>
        <w:rPr>
          <w:rStyle w:val="a7"/>
          <w:szCs w:val="29"/>
          <w:rtl/>
        </w:rPr>
        <w:footnoteReference w:id="4077"/>
      </w:r>
      <w:r>
        <w:rPr>
          <w:szCs w:val="29"/>
          <w:rtl/>
        </w:rPr>
        <w:t>כְּגוֹן סִיהֲרָא וְכֹכְבַיָּא קֳדָם שִׁמְשָׁא, דְלָא אִית לוֹן נְהוֹרָא אֶלָּא מִשִּׁמְשָׁא.</w:t>
      </w:r>
    </w:p>
    <w:p w:rsidR="00B17EA9" w:rsidRDefault="00B17EA9" w:rsidP="00602EF1">
      <w:pPr>
        <w:pStyle w:val="1"/>
        <w:rPr>
          <w:u w:val="single"/>
          <w:rtl/>
        </w:rPr>
      </w:pPr>
      <w:bookmarkStart w:id="257" w:name="_Toc228091323"/>
      <w:bookmarkStart w:id="258" w:name="_Toc231637962"/>
      <w:r>
        <w:rPr>
          <w:rtl/>
        </w:rPr>
        <w:t>תקונא ארבעין וחמשא</w:t>
      </w:r>
      <w:bookmarkEnd w:id="257"/>
      <w:bookmarkEnd w:id="258"/>
    </w:p>
    <w:p w:rsidR="00B17EA9" w:rsidRDefault="00B17EA9" w:rsidP="00282BBA">
      <w:pPr>
        <w:pStyle w:val="NormalWeb"/>
        <w:rPr>
          <w:b w:val="0"/>
          <w:bCs w:val="0"/>
          <w:szCs w:val="29"/>
          <w:rtl/>
        </w:rPr>
      </w:pPr>
      <w:r>
        <w:rPr>
          <w:rStyle w:val="a7"/>
          <w:szCs w:val="29"/>
          <w:rtl/>
        </w:rPr>
        <w:footnoteReference w:id="4078"/>
      </w:r>
      <w:r>
        <w:rPr>
          <w:szCs w:val="29"/>
          <w:rtl/>
        </w:rPr>
        <w:t xml:space="preserve">בְּרֵאשִׁית בָּרָא </w:t>
      </w:r>
      <w:r w:rsidRPr="00282BBA">
        <w:rPr>
          <w:rtl/>
        </w:rPr>
        <w:t>אלהי''ם</w:t>
      </w:r>
      <w:r>
        <w:rPr>
          <w:szCs w:val="29"/>
          <w:rtl/>
        </w:rPr>
        <w:t xml:space="preserve">, אֵ''ל הַיָּ''ם, יַמָּא דְאוֹרַיְיתָא, וַעֲלֵיהּ אִתְּמַר </w:t>
      </w:r>
      <w:r>
        <w:rPr>
          <w:szCs w:val="23"/>
          <w:rtl/>
        </w:rPr>
        <w:t>(בראשית א כ)</w:t>
      </w:r>
      <w:r>
        <w:rPr>
          <w:szCs w:val="29"/>
          <w:rtl/>
        </w:rPr>
        <w:t xml:space="preserve"> וַיֹּאמֶר אלהי''ם יִשְׁרְצוּ הַמַּיִם שֶׁרֶץ נֶפֶשׁ חַיָּה וְעוֹף יְעוֹפֵף עַל הָאָרֶץ, הָכָא פִּקּוּדָא לְמִלְעִי בְּאוֹרַיְיתָא, דְאִתְּמַר בָּהּ </w:t>
      </w:r>
      <w:r>
        <w:rPr>
          <w:szCs w:val="23"/>
          <w:rtl/>
        </w:rPr>
        <w:t>(ישעיה נה א)</w:t>
      </w:r>
      <w:r>
        <w:rPr>
          <w:szCs w:val="29"/>
          <w:rtl/>
        </w:rPr>
        <w:t xml:space="preserve"> הוֹי כָּל צָמֵא לְכוּ לַמַּיִם, וְאִלֵּין דְּעָסְקִין בְּאוֹרַיְיתָא יָרְתִין נֶפֶשׁ חַיָּה מִשְּׁכִינְתָּא, </w:t>
      </w:r>
      <w:r>
        <w:rPr>
          <w:rStyle w:val="a7"/>
          <w:szCs w:val="29"/>
          <w:rtl/>
        </w:rPr>
        <w:footnoteReference w:id="4079"/>
      </w:r>
      <w:r>
        <w:rPr>
          <w:szCs w:val="29"/>
          <w:rtl/>
        </w:rPr>
        <w:t xml:space="preserve">הֲדָא הוּא דִכְתִיב יִשְׁרְצוּ הַמַּיִם שֶׁרֶץ נֶפֶשׁ חַיָּה, </w:t>
      </w:r>
      <w:r>
        <w:rPr>
          <w:rStyle w:val="a7"/>
          <w:szCs w:val="29"/>
          <w:rtl/>
        </w:rPr>
        <w:footnoteReference w:id="4080"/>
      </w:r>
      <w:r>
        <w:rPr>
          <w:szCs w:val="29"/>
          <w:rtl/>
        </w:rPr>
        <w:t xml:space="preserve">וְעוֹף יְעוֹפֵף דָּא רוּחַ דְּאִתְּמַר בֵּיהּ </w:t>
      </w:r>
      <w:r>
        <w:rPr>
          <w:szCs w:val="23"/>
          <w:rtl/>
        </w:rPr>
        <w:t>(קהלת י כ)</w:t>
      </w:r>
      <w:r>
        <w:rPr>
          <w:szCs w:val="29"/>
          <w:rtl/>
        </w:rPr>
        <w:t xml:space="preserve"> כִּי עוֹף הַשָּׁמַיִם יוֹלִיךְ אֶת הַקּוֹל וּבַעַל כְּנָפַיִם יַגִּיד דָּבָר, וְהַאי אִיהוּ יהו''ה עַמּוּדָא דְאֶמְצָעִיתָא, לְקִבְלֵיהּ מטטרו''ן דִּשְׁמֵיהּ כְּשֵׁם רַבֵּיהּ, </w:t>
      </w:r>
      <w:r>
        <w:rPr>
          <w:rStyle w:val="a7"/>
          <w:szCs w:val="29"/>
          <w:rtl/>
        </w:rPr>
        <w:footnoteReference w:id="4081"/>
      </w:r>
      <w:r>
        <w:rPr>
          <w:szCs w:val="29"/>
          <w:rtl/>
        </w:rPr>
        <w:t xml:space="preserve">י' רֵישָׁא דְעוֹפָא, ו' גּוּפָא דִילֵיהּ, ה''ה תְּרֵי גַדְפוֹי </w:t>
      </w:r>
      <w:r>
        <w:rPr>
          <w:rStyle w:val="a7"/>
          <w:szCs w:val="29"/>
          <w:rtl/>
        </w:rPr>
        <w:footnoteReference w:id="4082"/>
      </w:r>
      <w:r>
        <w:rPr>
          <w:szCs w:val="29"/>
          <w:rtl/>
        </w:rPr>
        <w:t xml:space="preserve">דִבְהוֹן פָּרַח לְעִילָא וְנָחִית לְתַתָּא, </w:t>
      </w:r>
      <w:r>
        <w:rPr>
          <w:rStyle w:val="a7"/>
          <w:szCs w:val="29"/>
          <w:rtl/>
        </w:rPr>
        <w:footnoteReference w:id="4083"/>
      </w:r>
      <w:r>
        <w:rPr>
          <w:szCs w:val="29"/>
          <w:rtl/>
        </w:rPr>
        <w:t xml:space="preserve">וְאִלֵּין תְּרֵין גַּדְפִין אִינוּן </w:t>
      </w:r>
      <w:r>
        <w:rPr>
          <w:rStyle w:val="a7"/>
          <w:szCs w:val="29"/>
          <w:rtl/>
        </w:rPr>
        <w:footnoteReference w:id="4084"/>
      </w:r>
      <w:r>
        <w:rPr>
          <w:szCs w:val="29"/>
          <w:rtl/>
        </w:rPr>
        <w:t xml:space="preserve">תְּרֵין הֲבָלִים ה''ה, דִבְהוֹן אִתְּמַר </w:t>
      </w:r>
      <w:r>
        <w:rPr>
          <w:szCs w:val="23"/>
          <w:rtl/>
        </w:rPr>
        <w:t>(יחזקאל א יד)</w:t>
      </w:r>
      <w:r>
        <w:rPr>
          <w:szCs w:val="29"/>
          <w:rtl/>
        </w:rPr>
        <w:t xml:space="preserve"> וְהַחַיּוֹת </w:t>
      </w:r>
      <w:r>
        <w:rPr>
          <w:rStyle w:val="a7"/>
          <w:szCs w:val="29"/>
          <w:rtl/>
        </w:rPr>
        <w:footnoteReference w:id="4085"/>
      </w:r>
      <w:r>
        <w:rPr>
          <w:szCs w:val="29"/>
          <w:rtl/>
        </w:rPr>
        <w:t>רָצוֹא וָשׁוֹב, בְּדַגֵשׁ וְרָפֵה דְּאִינוּן י''ו, הֶבֶל סָלִיק בְּוא"ו הֶבֶל נָחִית בְּיו"ד, כְּהֶבֶל דְּנָפִיק מִפּוּמָא.</w:t>
      </w:r>
    </w:p>
    <w:p w:rsidR="00B17EA9" w:rsidRDefault="00B17EA9" w:rsidP="00282BBA">
      <w:pPr>
        <w:pStyle w:val="NormalWeb"/>
        <w:rPr>
          <w:b w:val="0"/>
          <w:bCs w:val="0"/>
          <w:szCs w:val="29"/>
          <w:rtl/>
        </w:rPr>
      </w:pPr>
      <w:r w:rsidRPr="00282BBA">
        <w:rPr>
          <w:rtl/>
        </w:rPr>
        <w:t>וּבְזִמְנָא</w:t>
      </w:r>
      <w:r>
        <w:rPr>
          <w:szCs w:val="29"/>
          <w:rtl/>
        </w:rPr>
        <w:t xml:space="preserve"> דְמִסְתַּכְּלִין בִּשְׁכִינְתָּא דְאִיהִי תְּחוּם יַמָּא חָזְרִין לְאַתְרַיְיהוּ, </w:t>
      </w:r>
      <w:r>
        <w:rPr>
          <w:rStyle w:val="a7"/>
          <w:szCs w:val="29"/>
          <w:rtl/>
        </w:rPr>
        <w:footnoteReference w:id="4086"/>
      </w:r>
      <w:r>
        <w:rPr>
          <w:szCs w:val="29"/>
          <w:rtl/>
        </w:rPr>
        <w:t xml:space="preserve">תָּא חֲזִי י' אִיהִי אֲמִירָה וְדִבּוּר וּקְרִיאָה, ו' קוֹל, ה''ה הֶבֶל נָחִית בְּדִבּוּר, הֶבֶל סָלִיק בְּקוֹל, </w:t>
      </w:r>
      <w:r>
        <w:rPr>
          <w:rStyle w:val="a7"/>
          <w:szCs w:val="29"/>
          <w:rtl/>
        </w:rPr>
        <w:footnoteReference w:id="4087"/>
      </w:r>
      <w:r>
        <w:rPr>
          <w:szCs w:val="29"/>
          <w:rtl/>
        </w:rPr>
        <w:t xml:space="preserve">קוֹל סָלִיק, דִּבּוּר נָחִית, </w:t>
      </w:r>
      <w:r>
        <w:rPr>
          <w:rStyle w:val="a7"/>
          <w:szCs w:val="29"/>
          <w:rtl/>
        </w:rPr>
        <w:footnoteReference w:id="4088"/>
      </w:r>
      <w:r>
        <w:rPr>
          <w:szCs w:val="29"/>
          <w:rtl/>
        </w:rPr>
        <w:t xml:space="preserve">וְכַד אִיהוּ סָלִיק וְנָחִית מַלְאֲכֵי אלהי''ם סָלְקִין וְנָחֲתִין בֵּיהּ, דְּאִינוּן מַשִּׁרְיָין וַחֲיָלִין דִּילֵיהּ, </w:t>
      </w:r>
      <w:r>
        <w:rPr>
          <w:rStyle w:val="a7"/>
          <w:szCs w:val="29"/>
          <w:rtl/>
        </w:rPr>
        <w:footnoteReference w:id="4089"/>
      </w:r>
      <w:r>
        <w:rPr>
          <w:szCs w:val="29"/>
          <w:rtl/>
        </w:rPr>
        <w:t xml:space="preserve">וְדָא אִיהוּ רָזָא מִי עָלָה שָׁמַיִם וַיֵּרַד </w:t>
      </w:r>
      <w:r>
        <w:rPr>
          <w:szCs w:val="23"/>
          <w:rtl/>
        </w:rPr>
        <w:t>(משלי ל ד)</w:t>
      </w:r>
      <w:r>
        <w:rPr>
          <w:szCs w:val="29"/>
          <w:rtl/>
        </w:rPr>
        <w:t xml:space="preserve">, </w:t>
      </w:r>
      <w:r>
        <w:rPr>
          <w:rStyle w:val="a7"/>
          <w:szCs w:val="29"/>
          <w:rtl/>
        </w:rPr>
        <w:footnoteReference w:id="4090"/>
      </w:r>
      <w:r>
        <w:rPr>
          <w:szCs w:val="29"/>
          <w:rtl/>
        </w:rPr>
        <w:t xml:space="preserve">זַכָּאָה אִיהוּ מָאן דְּסָלִיק צְלוֹתִין בֵּיהּ, </w:t>
      </w:r>
      <w:r>
        <w:rPr>
          <w:rStyle w:val="a7"/>
          <w:szCs w:val="29"/>
          <w:rtl/>
        </w:rPr>
        <w:footnoteReference w:id="4091"/>
      </w:r>
      <w:r>
        <w:rPr>
          <w:szCs w:val="29"/>
          <w:rtl/>
        </w:rPr>
        <w:t>דְּהָא צְלוֹתָא אִיהִי סֻלָּם, דְּבָהּ מַלְאֲכֵי אלהי''ם סָלְקִין וְנָחֲתִין לָהּ.</w:t>
      </w:r>
    </w:p>
    <w:p w:rsidR="00B17EA9" w:rsidRDefault="00B17EA9" w:rsidP="00B17EA9">
      <w:pPr>
        <w:pStyle w:val="NormalWeb"/>
        <w:rPr>
          <w:rtl/>
        </w:rPr>
      </w:pPr>
      <w:r>
        <w:rPr>
          <w:rStyle w:val="a7"/>
          <w:b w:val="0"/>
          <w:bCs w:val="0"/>
          <w:rtl/>
        </w:rPr>
        <w:footnoteReference w:id="4092"/>
      </w:r>
      <w:r>
        <w:rPr>
          <w:rtl/>
        </w:rPr>
        <w:t xml:space="preserve">אִית לְמָאן דְּסָלְקִין לָהּ לְעִילָא, וְאִית לְמָאן דְּנָחֲתִין לָהּ לְתַתָּא, כַּד סָלְקִין לָהּ לְעִילָא סָלְקִין לָהּ בְּזַכְוָון, וְכַד נָחְתַת נָחְתַת בְּזַכְוָון, הַאי לְצַדִּיק גָּמוּר סְלִיקַת מִנֵּיהּ בְּזַכְוָון וּנְחִיתַת בֵּיהּ בְּזַכְוָון, לְבֵינוּנִי דְזַכְוָון דִּילֵיהּ שְׁקִילִין לְחוֹבִין, אִיהִי תַּלְיָא בְאַוִּירָא, אִם חוֹבִין מִתְרַבִּין עַל זַכְוָון </w:t>
      </w:r>
      <w:r>
        <w:rPr>
          <w:sz w:val="20"/>
          <w:szCs w:val="23"/>
          <w:rtl/>
        </w:rPr>
        <w:t>(כחוט השערה)</w:t>
      </w:r>
      <w:r>
        <w:rPr>
          <w:rtl/>
        </w:rPr>
        <w:t>, אִיהִי סָלְקָא לֵיהּ בְּחוֹבִין וְנָחְתָא לֵיהּ בְּזַכְוָון, וְנָטִיל בָּהּ אַגְרֵיהּ בְּהַאי עָלְמָא, לָרָשָׁע גָּמוּר דְּלֵית לֵיהּ זְכוּ בְעָלְמָא לָא לְעִילָא וְלָא לְתַתָּא, סָלְקָא מִנֵּיהּ בְּחוֹבִין וְנָחִית עֲלֵיהּ בְּחוֹבִין.</w:t>
      </w:r>
    </w:p>
    <w:p w:rsidR="00B17EA9" w:rsidRDefault="00B17EA9" w:rsidP="00282BBA">
      <w:pPr>
        <w:pStyle w:val="NormalWeb"/>
        <w:rPr>
          <w:b w:val="0"/>
          <w:bCs w:val="0"/>
          <w:szCs w:val="29"/>
          <w:rtl/>
        </w:rPr>
      </w:pPr>
      <w:r>
        <w:rPr>
          <w:rStyle w:val="a7"/>
          <w:szCs w:val="29"/>
          <w:rtl/>
        </w:rPr>
        <w:footnoteReference w:id="4093"/>
      </w:r>
      <w:r>
        <w:rPr>
          <w:szCs w:val="29"/>
          <w:rtl/>
        </w:rPr>
        <w:t xml:space="preserve">הָא </w:t>
      </w:r>
      <w:r w:rsidRPr="00282BBA">
        <w:rPr>
          <w:rtl/>
        </w:rPr>
        <w:t>הָכָא</w:t>
      </w:r>
      <w:r>
        <w:rPr>
          <w:szCs w:val="29"/>
          <w:rtl/>
        </w:rPr>
        <w:t xml:space="preserve"> כִּי עוֹף הַשָּׁמַיִם יוֹלִיךְ אֶת הַקּוֹל </w:t>
      </w:r>
      <w:r>
        <w:rPr>
          <w:szCs w:val="23"/>
          <w:rtl/>
        </w:rPr>
        <w:t>(קהלת י כ)</w:t>
      </w:r>
      <w:r>
        <w:rPr>
          <w:szCs w:val="29"/>
          <w:rtl/>
        </w:rPr>
        <w:t xml:space="preserve">, דְּאִתְּמַר בֵּיהּ וְעוֹף יְעוֹפֵף, כְּגוֹן מוּעָף בִּיעָף </w:t>
      </w:r>
      <w:r>
        <w:rPr>
          <w:szCs w:val="23"/>
          <w:rtl/>
        </w:rPr>
        <w:t>(דניאל ט כא)</w:t>
      </w:r>
      <w:r>
        <w:rPr>
          <w:szCs w:val="29"/>
          <w:rtl/>
        </w:rPr>
        <w:t xml:space="preserve">, </w:t>
      </w:r>
      <w:r>
        <w:rPr>
          <w:rStyle w:val="a7"/>
          <w:szCs w:val="29"/>
          <w:rtl/>
        </w:rPr>
        <w:footnoteReference w:id="4094"/>
      </w:r>
      <w:r>
        <w:rPr>
          <w:szCs w:val="29"/>
          <w:rtl/>
        </w:rPr>
        <w:t xml:space="preserve">עַל פְּנֵי רְקִיעַ הַשָּׁמָיִם דָּא נְשָׁמָה, </w:t>
      </w:r>
      <w:r>
        <w:rPr>
          <w:rStyle w:val="a7"/>
          <w:szCs w:val="29"/>
          <w:rtl/>
        </w:rPr>
        <w:footnoteReference w:id="4095"/>
      </w:r>
      <w:r>
        <w:rPr>
          <w:szCs w:val="29"/>
          <w:rtl/>
        </w:rPr>
        <w:t>דְּאִלֵּין דְּזַכָּאָן בְּאוֹרַיְיתָא אִתְּמַר בְּהוֹן יִשְׁרְצוּ הַמַּיִם שֶׁרֶץ נֶפֶשׁ חַיָּה וְגוֹמֵר, דְּיָרְתִין נִשְׁמָתִין מֵאוֹרַיְיתָא, לְאָחֳרָנִין כָּל חַד לִזְנוֹי כְּפוּם עוֹבָדוֹי,</w:t>
      </w:r>
      <w:r>
        <w:rPr>
          <w:szCs w:val="23"/>
          <w:rtl/>
        </w:rPr>
        <w:t xml:space="preserve"> (ס"א תיקון ארבעין ושית)</w:t>
      </w:r>
      <w:r>
        <w:rPr>
          <w:szCs w:val="29"/>
          <w:rtl/>
        </w:rPr>
        <w:t xml:space="preserve"> וְדָּא בְּרֵאשִׁית בָּרָא שִׁית, וְאִינוּן שִׁית גַּדְפִין דְּחַיָּה, דְאִתְּמַר בָּהּ </w:t>
      </w:r>
      <w:r>
        <w:rPr>
          <w:szCs w:val="23"/>
          <w:rtl/>
        </w:rPr>
        <w:t>(שם כ)</w:t>
      </w:r>
      <w:r>
        <w:rPr>
          <w:szCs w:val="29"/>
          <w:rtl/>
        </w:rPr>
        <w:t xml:space="preserve"> וְעוֹף יְעוֹפֵף עַל הָאָרֶץ עַל פְּנֵי רְקִיעַ הַשָּׁמָיִם, אִינוּן שִׁית סְפִירָן דְּכָלִיל הַאי עוֹף דְּאִיהוּ עַמּוּדָא דְאֶמְצָעִיתָא, אִית מָאן דְּיָרִית רוּחָא דְקוּדְשָׁא בְאֹרַח אֲצִילוּת מֵהַאי עוֹף, וְאִית מָאן דְּיָרִית רוּחָא מֵהַהוּא עוֹף דְּאִיהוּ נַעַר, שְׁמֵיהּ כְּשֵׁם רַבֵּיהּ, וְאִית מָאן דְּיָרִית רוּחָא מִלְּתַתָּא דְאַרְעָא, כְּמָה דְאָמַר קֹהֶלֶת </w:t>
      </w:r>
      <w:r>
        <w:rPr>
          <w:szCs w:val="23"/>
          <w:rtl/>
        </w:rPr>
        <w:t>(קהלת ג כא)</w:t>
      </w:r>
      <w:r>
        <w:rPr>
          <w:szCs w:val="29"/>
          <w:rtl/>
        </w:rPr>
        <w:t xml:space="preserve"> מִי יוֹדֵעַ רוּחַ בְּנֵי הָאָדָם הָעֹלָה הִיא לְמָעְלָה, וְרוּחַ הַבְּהֵמָה הַיֹּרֶדֶת הִיא לְמַטָּה לָאָרֶץ, בְּהֵמָה אֵלּוּ עַמֵּי הָאָרֶץ דְּעוֹבָדֵהוֹן כִּבְעִירָן, עֲלַיְיהוּ כְּתִיב </w:t>
      </w:r>
      <w:r>
        <w:rPr>
          <w:szCs w:val="23"/>
          <w:rtl/>
        </w:rPr>
        <w:t>(בראשית א כד)</w:t>
      </w:r>
      <w:r>
        <w:rPr>
          <w:szCs w:val="29"/>
          <w:rtl/>
        </w:rPr>
        <w:t xml:space="preserve"> תּוֹצֵא הָאָרֶץ נֶפֶשׁ חַיָּה לְמִינָהּ, הֲדָא הוּא דִכְתִיב בְּיוֹמָא שְׁתִיתָאָה </w:t>
      </w:r>
      <w:r>
        <w:rPr>
          <w:szCs w:val="23"/>
          <w:rtl/>
        </w:rPr>
        <w:t>(שם)</w:t>
      </w:r>
      <w:r>
        <w:rPr>
          <w:szCs w:val="29"/>
          <w:rtl/>
        </w:rPr>
        <w:t xml:space="preserve"> וַיֹּאמֶר אלהי''ם תּוֹצֵא הָאָרֶץ נֶפֶשׁ חַיָּה לְמִינָהּ בְּהֵמָה וָרֶמֶשׂ וְגוֹמֵר.</w:t>
      </w:r>
    </w:p>
    <w:p w:rsidR="00B17EA9" w:rsidRDefault="00B17EA9" w:rsidP="00602EF1">
      <w:pPr>
        <w:pStyle w:val="1"/>
        <w:rPr>
          <w:sz w:val="39"/>
          <w:szCs w:val="39"/>
          <w:rtl/>
        </w:rPr>
      </w:pPr>
      <w:bookmarkStart w:id="259" w:name="_Toc228091325"/>
      <w:bookmarkStart w:id="260" w:name="_Toc231637964"/>
      <w:r>
        <w:rPr>
          <w:rtl/>
        </w:rPr>
        <w:t>תקונא שבע וארבעין</w:t>
      </w:r>
      <w:bookmarkEnd w:id="259"/>
      <w:bookmarkEnd w:id="260"/>
    </w:p>
    <w:p w:rsidR="00B17EA9" w:rsidRDefault="00B17EA9" w:rsidP="00B17EA9">
      <w:pPr>
        <w:spacing w:after="40" w:line="360" w:lineRule="atLeast"/>
        <w:ind w:left="144" w:right="144" w:firstLine="288"/>
        <w:jc w:val="both"/>
        <w:rPr>
          <w:rFonts w:ascii="Arial"/>
          <w:b/>
          <w:szCs w:val="23"/>
          <w:rtl/>
        </w:rPr>
      </w:pPr>
      <w:bookmarkStart w:id="261" w:name="_Toc228095706"/>
      <w:bookmarkStart w:id="262" w:name="_Toc231638144"/>
      <w:r>
        <w:rPr>
          <w:rtl/>
        </w:rPr>
        <w:t>[תיקוני זוהר - דף פו ע''א]</w:t>
      </w:r>
      <w:bookmarkEnd w:id="261"/>
      <w:bookmarkEnd w:id="262"/>
      <w:r>
        <w:rPr>
          <w:rtl/>
        </w:rPr>
        <w:t xml:space="preserve"> </w:t>
      </w:r>
    </w:p>
    <w:p w:rsidR="00B17EA9" w:rsidRDefault="00B17EA9" w:rsidP="00B17EA9">
      <w:pPr>
        <w:pStyle w:val="NormalWeb"/>
        <w:rPr>
          <w:rtl/>
        </w:rPr>
      </w:pPr>
      <w:r>
        <w:rPr>
          <w:rtl/>
        </w:rPr>
        <w:t xml:space="preserve">בְּרֵאשִׁית בָּרָא שִׁית, וְדָא יוֹמָא שְׁתִיתָאָה, דְאִתְּמַר בֵּיהּ </w:t>
      </w:r>
      <w:r>
        <w:rPr>
          <w:sz w:val="20"/>
          <w:szCs w:val="23"/>
          <w:rtl/>
        </w:rPr>
        <w:t>(בראשית א לא)</w:t>
      </w:r>
      <w:r>
        <w:rPr>
          <w:rtl/>
        </w:rPr>
        <w:t xml:space="preserve"> וַיְהִי עֶרֶב וַיְהִי בֹקֶר </w:t>
      </w:r>
      <w:r>
        <w:rPr>
          <w:rStyle w:val="a7"/>
          <w:b w:val="0"/>
          <w:bCs w:val="0"/>
          <w:rtl/>
        </w:rPr>
        <w:footnoteReference w:id="4096"/>
      </w:r>
      <w:r>
        <w:rPr>
          <w:rtl/>
        </w:rPr>
        <w:t xml:space="preserve">יוֹם הַשִּׁשִּׁי, הָכָא תְּלַת אוּמָנִין תִּנְיָינִין, אוּמָן חַד אַפִּיק נְהוֹרִין בְּיוֹמָא רְבִיעָאָה, דַּהֲווֹ תַלְיָין בְּיוֹמָא קַדְמָאָה דְאִתְּמַר בֵּיהּ אוֹר, אוּמָנָא תִנְיָינָא אַפִּיק רִיחֲשָׁא מִמַּיָּא, הֲדָא הוּא דִכְתִיב </w:t>
      </w:r>
      <w:r>
        <w:rPr>
          <w:sz w:val="20"/>
          <w:szCs w:val="23"/>
          <w:rtl/>
        </w:rPr>
        <w:t>(שם כ)</w:t>
      </w:r>
      <w:r>
        <w:rPr>
          <w:rtl/>
        </w:rPr>
        <w:t xml:space="preserve"> יִשְׁרְצוּ הַמַּיִם, וְדָא הֲוָה תַלְיָא בְּיוֹמָא תִנְיָינָא, </w:t>
      </w:r>
      <w:r>
        <w:rPr>
          <w:rStyle w:val="a7"/>
          <w:b w:val="0"/>
          <w:bCs w:val="0"/>
          <w:rtl/>
        </w:rPr>
        <w:footnoteReference w:id="4097"/>
      </w:r>
      <w:r>
        <w:rPr>
          <w:rtl/>
        </w:rPr>
        <w:t xml:space="preserve">דְאִתְּמַר בֵּיהּ מַיִם, הֲדָא הוּא דִכְתִיב </w:t>
      </w:r>
      <w:r>
        <w:rPr>
          <w:sz w:val="20"/>
          <w:szCs w:val="23"/>
          <w:rtl/>
        </w:rPr>
        <w:t>(שם ו)</w:t>
      </w:r>
      <w:r>
        <w:rPr>
          <w:rtl/>
        </w:rPr>
        <w:t xml:space="preserve"> יְהִי רָקִיעַ בְּתוֹךְ הַמָּיִם, הָכָא מַיָּא וְהָכָא מַיָּא, אוּמָנָא תְּלִיתָאָה </w:t>
      </w:r>
      <w:r>
        <w:rPr>
          <w:sz w:val="20"/>
          <w:szCs w:val="23"/>
          <w:rtl/>
        </w:rPr>
        <w:t>(אפיק עשבין וזרעין)</w:t>
      </w:r>
      <w:r>
        <w:rPr>
          <w:rtl/>
        </w:rPr>
        <w:t xml:space="preserve"> לָקֳבֵל יוֹמָא תְּלִיתָאָה, </w:t>
      </w:r>
      <w:r>
        <w:rPr>
          <w:rStyle w:val="a7"/>
          <w:b w:val="0"/>
          <w:bCs w:val="0"/>
          <w:rtl/>
        </w:rPr>
        <w:footnoteReference w:id="4098"/>
      </w:r>
      <w:r>
        <w:rPr>
          <w:rtl/>
        </w:rPr>
        <w:t xml:space="preserve">דְאִתְּמַר בֵּיהּ </w:t>
      </w:r>
      <w:r>
        <w:rPr>
          <w:sz w:val="20"/>
          <w:szCs w:val="23"/>
          <w:rtl/>
        </w:rPr>
        <w:t>(שם יא)</w:t>
      </w:r>
      <w:r>
        <w:rPr>
          <w:rtl/>
        </w:rPr>
        <w:t xml:space="preserve"> תַּדְשֵׁא הָאָרֶץ דֶּשֶׁא עִשֶׂב מַזְרִיעַ זֶרַע לְמִינֵהוּ, וְאִתְּמַר בְּיוֹמָא שְׁתִיתָאָה </w:t>
      </w:r>
      <w:r>
        <w:rPr>
          <w:sz w:val="20"/>
          <w:szCs w:val="23"/>
          <w:rtl/>
        </w:rPr>
        <w:t>(שם כח)</w:t>
      </w:r>
      <w:r>
        <w:rPr>
          <w:rtl/>
        </w:rPr>
        <w:t xml:space="preserve"> פְּרוּ וּרְבוּ </w:t>
      </w:r>
      <w:r>
        <w:rPr>
          <w:rStyle w:val="a7"/>
          <w:b w:val="0"/>
          <w:bCs w:val="0"/>
          <w:rtl/>
        </w:rPr>
        <w:footnoteReference w:id="4099"/>
      </w:r>
      <w:r>
        <w:rPr>
          <w:rtl/>
        </w:rPr>
        <w:t xml:space="preserve">וּמִלְאוּ אֶת הָאָרֶץ, מַאי וּמִלְאוּ אֶת הָאָרֶץ אֶלָּא הַהִיא דַהֲוַת יַבָּשָׁה בְּיוֹמָא תְּלִיתָאָה, אִתְּמַר הָכָא וּמִלְאוּ אֶת הָאָרֶץ, </w:t>
      </w:r>
      <w:r>
        <w:rPr>
          <w:rStyle w:val="a7"/>
          <w:b w:val="0"/>
          <w:bCs w:val="0"/>
          <w:rtl/>
        </w:rPr>
        <w:footnoteReference w:id="4100"/>
      </w:r>
      <w:r>
        <w:rPr>
          <w:rtl/>
        </w:rPr>
        <w:t xml:space="preserve">הֲדָא הוּא דִכְתִיב </w:t>
      </w:r>
      <w:r>
        <w:rPr>
          <w:sz w:val="20"/>
          <w:szCs w:val="23"/>
          <w:rtl/>
        </w:rPr>
        <w:t>(ישעיהו ו ג)</w:t>
      </w:r>
      <w:r>
        <w:rPr>
          <w:szCs w:val="23"/>
          <w:rtl/>
        </w:rPr>
        <w:t xml:space="preserve"> </w:t>
      </w:r>
      <w:r>
        <w:rPr>
          <w:rStyle w:val="Char"/>
          <w:rtl/>
        </w:rPr>
        <w:t>מְלֹא כָל הָאָרֶץ</w:t>
      </w:r>
      <w:r>
        <w:rPr>
          <w:szCs w:val="23"/>
          <w:rtl/>
        </w:rPr>
        <w:t xml:space="preserve"> </w:t>
      </w:r>
      <w:r>
        <w:rPr>
          <w:rtl/>
        </w:rPr>
        <w:t xml:space="preserve">כְּבוֹדוֹ, וְדָא בָּרוּךְ שֵׁם כְּבוֹד מַלְכוּתוֹ לְעוֹלָם וָעֶד, קָדוֹשׁ קָדוֹשׁ קָדוֹשׁ יהו''ה צבאו''ת </w:t>
      </w:r>
      <w:r>
        <w:rPr>
          <w:sz w:val="20"/>
          <w:szCs w:val="23"/>
          <w:rtl/>
        </w:rPr>
        <w:t>(ישעיהו ו ג)</w:t>
      </w:r>
      <w:r>
        <w:rPr>
          <w:rtl/>
        </w:rPr>
        <w:t xml:space="preserve">, לָקֳבֵל יִקָּווּ הַמַּיִם מִתַּחַת הַשָּׁמַיִם אֶל מָקוֹם אֶחָד </w:t>
      </w:r>
      <w:r>
        <w:rPr>
          <w:sz w:val="20"/>
          <w:szCs w:val="23"/>
          <w:rtl/>
        </w:rPr>
        <w:t>(בראשית א ט)</w:t>
      </w:r>
      <w:r>
        <w:rPr>
          <w:rtl/>
        </w:rPr>
        <w:t xml:space="preserve"> וְתֵרָאֶה הַיַּבָּשָׁה, לָקֳבֵל מְלֹא כָל הָאָרֶץ כְּבוֹדוֹ. </w:t>
      </w:r>
      <w:r>
        <w:rPr>
          <w:rStyle w:val="a7"/>
          <w:b w:val="0"/>
          <w:bCs w:val="0"/>
          <w:rtl/>
        </w:rPr>
        <w:footnoteReference w:id="4101"/>
      </w:r>
      <w:r>
        <w:rPr>
          <w:rtl/>
        </w:rPr>
        <w:t xml:space="preserve">בְּיוֹמָא שְׁתִיתָאָה אִתַּקְנוּ שִׁית דַּרְגִּין דְּכָרְסַיָּיא, וּבֵיהּ אִתְבְּרִי אָדָם בְּצַלְמוֹ, דְאִיהוּ מוּכָן לָשֶׁבֶת עַל הַכִּסֵּא, הֲדָא הוּא דִכְתִיב </w:t>
      </w:r>
      <w:r>
        <w:rPr>
          <w:sz w:val="20"/>
          <w:szCs w:val="23"/>
          <w:rtl/>
        </w:rPr>
        <w:t>(שם כז)</w:t>
      </w:r>
      <w:r>
        <w:rPr>
          <w:rtl/>
        </w:rPr>
        <w:t xml:space="preserve"> וַיִּבְרָא אלהי''ם אֶת הָאָדָם בְּצַלְמוֹ, וְהָכָא תְּרֵין פִּקּוּדִין, חַד נַעֲשֶׂה אָדָם בְּצַלְמֵנוּ כִּדְמוּתֵנוּ </w:t>
      </w:r>
      <w:r>
        <w:rPr>
          <w:sz w:val="20"/>
          <w:szCs w:val="23"/>
          <w:rtl/>
        </w:rPr>
        <w:t>(שם כו)</w:t>
      </w:r>
      <w:r>
        <w:rPr>
          <w:rtl/>
        </w:rPr>
        <w:t>, וְתִנְיָינָא וַיִּבְרָא אלהי''ם אֶת הָאָדָם בְּצַלְמוֹ.</w:t>
      </w:r>
    </w:p>
    <w:p w:rsidR="00B17EA9" w:rsidRDefault="00B17EA9" w:rsidP="00B17EA9">
      <w:pPr>
        <w:pStyle w:val="NormalWeb"/>
        <w:rPr>
          <w:rtl/>
        </w:rPr>
      </w:pPr>
      <w:r>
        <w:rPr>
          <w:rtl/>
        </w:rPr>
        <w:t xml:space="preserve">נַעֲשֶׂה אָדָם, דָּא פִּקּוּדָא </w:t>
      </w:r>
      <w:r>
        <w:rPr>
          <w:rStyle w:val="a7"/>
          <w:b w:val="0"/>
          <w:bCs w:val="0"/>
          <w:rtl/>
        </w:rPr>
        <w:footnoteReference w:id="4102"/>
      </w:r>
      <w:r>
        <w:rPr>
          <w:rtl/>
        </w:rPr>
        <w:t xml:space="preserve">לְמִגְזַר יָת גִּיּוֹרָא, לְמֶהֱוִי </w:t>
      </w:r>
      <w:r>
        <w:rPr>
          <w:rStyle w:val="a7"/>
          <w:b w:val="0"/>
          <w:bCs w:val="0"/>
          <w:rtl/>
        </w:rPr>
        <w:footnoteReference w:id="4103"/>
      </w:r>
      <w:r>
        <w:rPr>
          <w:rtl/>
        </w:rPr>
        <w:t xml:space="preserve">בְּצַלְמֵנוּ </w:t>
      </w:r>
      <w:r>
        <w:rPr>
          <w:rStyle w:val="a7"/>
          <w:b w:val="0"/>
          <w:bCs w:val="0"/>
          <w:rtl/>
        </w:rPr>
        <w:footnoteReference w:id="4104"/>
      </w:r>
      <w:r>
        <w:rPr>
          <w:rtl/>
        </w:rPr>
        <w:t xml:space="preserve">בִּגְזִירוּ דְעָרְלָה, כִּדְמוּתֵנוּ בִּפְרִיעָה, וְאִם נָטִיר אוֹת בְּרִית בְּתַרְוַיְיהוּ אִיהוּ בְּצַלְמֵנוּ כִּדְמוּתֵנוּ וְאִם לַאו לַאו, </w:t>
      </w:r>
      <w:r>
        <w:rPr>
          <w:rStyle w:val="a7"/>
          <w:b w:val="0"/>
          <w:bCs w:val="0"/>
          <w:rtl/>
        </w:rPr>
        <w:footnoteReference w:id="4105"/>
      </w:r>
      <w:r>
        <w:rPr>
          <w:rtl/>
        </w:rPr>
        <w:t xml:space="preserve">וְאִי מְקַיֵּים זָכוֹר וְשָׁמוֹר בְּשַׁבָּת אִיהוּ בְּצַלְמֵנוּ כִּדְמוּתֵנוּ וְאִם לַאו לַאו, וְלָא אִית לֵיהּ חוּלָקָא בְזַרְעָא דְיִשְׂרָאֵל, וְאִם מְיַחֵד לְקוּדְשָׁא בְּרִיךְ הוּא תְּרֵין זִמְנִין בְּכָל יוֹמָא בִּקְרִיאַת שְׁמַע בִּימָמָא וּבְלֵילְיָא אִיהוּ בְּצַלְמֵנוּ כִּדְמוּתֵנוּ וְאִם לַאו לַאו, וְאִם הוּא מָנַח תְּפִלִּין דְּיָד וּתְפִלִּין דְּרֵישָׁא בְכָל יוֹמָא דְאִינוּן לָקֳבֵל זָכוֹר וְשָׁמוֹר אִיהוּ בְּצַלְמֵנוּ כִּדְמוּתֵנוּ וְאִם לַאו לַאו, וְאִי אִיהוּ מְקַיֵּים </w:t>
      </w:r>
      <w:r>
        <w:rPr>
          <w:rStyle w:val="a7"/>
          <w:b w:val="0"/>
          <w:bCs w:val="0"/>
          <w:rtl/>
        </w:rPr>
        <w:footnoteReference w:id="4106"/>
      </w:r>
      <w:r>
        <w:rPr>
          <w:rtl/>
        </w:rPr>
        <w:t>יִבּוּם וַחֲלִיצָה אִיהוּ בְּצַלְמֵנוּ כִּדְמוּתֵנוּ וְאִי לַאו לַאו, וְכֹלָּא בִּרְחִימוּ וּדְחִילוּ דְקוּדְשָׁא בְּרִיךְ הוּא.</w:t>
      </w:r>
    </w:p>
    <w:p w:rsidR="00B17EA9" w:rsidRDefault="00B17EA9" w:rsidP="00B17EA9">
      <w:pPr>
        <w:spacing w:after="40" w:line="360" w:lineRule="atLeast"/>
        <w:ind w:left="144" w:right="144" w:firstLine="288"/>
        <w:jc w:val="both"/>
        <w:rPr>
          <w:rFonts w:ascii="Arial"/>
          <w:b/>
          <w:szCs w:val="23"/>
          <w:rtl/>
        </w:rPr>
      </w:pPr>
      <w:r>
        <w:rPr>
          <w:rtl/>
        </w:rPr>
        <w:t xml:space="preserve">[תיקוני זוהר - דף פו ע''ב] </w:t>
      </w:r>
    </w:p>
    <w:p w:rsidR="00B17EA9" w:rsidRDefault="00B17EA9" w:rsidP="00B17EA9">
      <w:pPr>
        <w:pStyle w:val="NormalWeb"/>
        <w:rPr>
          <w:rtl/>
        </w:rPr>
      </w:pPr>
      <w:r>
        <w:rPr>
          <w:rtl/>
        </w:rPr>
        <w:t xml:space="preserve">וְעוֹד נַעֲשֶׂה אָדָם בְּצַלְמֵנוּ כִּדְמוּתֵנוּ, (לְ)מָאן אָמַר דָּא </w:t>
      </w:r>
      <w:r>
        <w:rPr>
          <w:sz w:val="20"/>
          <w:szCs w:val="23"/>
          <w:rtl/>
        </w:rPr>
        <w:t>(לעילא)</w:t>
      </w:r>
      <w:r>
        <w:rPr>
          <w:rtl/>
        </w:rPr>
        <w:t xml:space="preserve">, לְאִינוּן מַלְאָכַיָּא דִמְבָרְכִין וּמְקַדְּשִׁין לְקוּדְשָׁא בְּרִיךְ הוּא לְעִילָא בְכָל יוֹמָא בְּבָּרוּךְ וְקָדוֹשׁ קָדוֹשׁ קָדוֹשׁ, הֲדָא הוּא דִכְתִיב </w:t>
      </w:r>
      <w:r>
        <w:rPr>
          <w:sz w:val="20"/>
          <w:szCs w:val="23"/>
          <w:rtl/>
        </w:rPr>
        <w:t>(ישעיה ו ג)</w:t>
      </w:r>
      <w:r>
        <w:rPr>
          <w:rtl/>
        </w:rPr>
        <w:t xml:space="preserve"> וְקָרָא זֶה אֶל זֶה וְאָמַר קָדוֹשׁ קָדוֹשׁ קָדוֹשׁ, </w:t>
      </w:r>
      <w:r>
        <w:rPr>
          <w:rStyle w:val="a7"/>
          <w:b w:val="0"/>
          <w:bCs w:val="0"/>
          <w:rtl/>
        </w:rPr>
        <w:footnoteReference w:id="4107"/>
      </w:r>
      <w:r>
        <w:rPr>
          <w:rtl/>
        </w:rPr>
        <w:t xml:space="preserve">וַאֲנַן לְקִבְלֵיהוֹן מְקַדְּשִׁין לֵיהּ בְּקָדוֹשׁ קָדוֹשׁ קָדוֹשׁ, וּמְבָרְכִין </w:t>
      </w:r>
      <w:r>
        <w:rPr>
          <w:sz w:val="20"/>
          <w:szCs w:val="23"/>
          <w:rtl/>
        </w:rPr>
        <w:t xml:space="preserve">(דף פו ע''ב) </w:t>
      </w:r>
      <w:r>
        <w:rPr>
          <w:rtl/>
        </w:rPr>
        <w:t>לֵיהּ בָּרוּךְ כְּבוֹד יהו''ה מִמְּקוֹמוֹ.</w:t>
      </w:r>
    </w:p>
    <w:p w:rsidR="00B17EA9" w:rsidRDefault="00B17EA9" w:rsidP="00B17EA9">
      <w:pPr>
        <w:pStyle w:val="NormalWeb"/>
        <w:rPr>
          <w:rtl/>
        </w:rPr>
      </w:pPr>
      <w:r>
        <w:rPr>
          <w:rtl/>
        </w:rPr>
        <w:t xml:space="preserve">וְאִינוּן אָמְרִין עַל יִשְׂרָאֵל נַעֲשֶׂה אָדָם בְּצַלְמֵנוּ כִּדְמוּתֵנוּ </w:t>
      </w:r>
      <w:r>
        <w:rPr>
          <w:sz w:val="20"/>
          <w:szCs w:val="23"/>
          <w:rtl/>
        </w:rPr>
        <w:t>(בראשית א כו)</w:t>
      </w:r>
      <w:r>
        <w:rPr>
          <w:rtl/>
        </w:rPr>
        <w:t xml:space="preserve"> בְּצַלְמֵנוּ דִמְקַדְשִׁין לְקִבְ''ה </w:t>
      </w:r>
      <w:r>
        <w:rPr>
          <w:rStyle w:val="a7"/>
          <w:b w:val="0"/>
          <w:bCs w:val="0"/>
          <w:rtl/>
        </w:rPr>
        <w:footnoteReference w:id="4108"/>
      </w:r>
      <w:r>
        <w:rPr>
          <w:rtl/>
        </w:rPr>
        <w:t xml:space="preserve">כְּמָה דִאוֹקְימִנָא, כִדֻמוּתֵנוּ לְעוּמָתָם מְשַׁבְּחִים וְאוֹמְרִים בָּרוּךְ כְּבוֹד יהו''ה מִמְּקוֹמוֹ, וְעוֹד לְעִילָא נַעֲשֶׂה אָדָם, הָכָא אִתְכְּלִילוּ כָּל סְפִירָן, דְּאִינוּן יו''ד ה''א וא''ו ה''א דְאִינוּן עֶשֶׂר, וְסָלְקִין לְחוּשְׁבַּן אָדָם, </w:t>
      </w:r>
      <w:r>
        <w:rPr>
          <w:rStyle w:val="a7"/>
          <w:b w:val="0"/>
          <w:bCs w:val="0"/>
          <w:rtl/>
        </w:rPr>
        <w:footnoteReference w:id="4109"/>
      </w:r>
      <w:r>
        <w:rPr>
          <w:rtl/>
        </w:rPr>
        <w:t xml:space="preserve">וְאָמְרוּ בְּגִין יִשְׂרָאֵל לְתַתָּא נַעֲשֶׂה אָדָם בְּצַלְמֵנוּ כִּדְמוּתֵנוּ, וְיִרְדּוּ בִדְגַת הַיָּם </w:t>
      </w:r>
      <w:r>
        <w:rPr>
          <w:sz w:val="20"/>
          <w:szCs w:val="23"/>
          <w:rtl/>
        </w:rPr>
        <w:t>(שם)</w:t>
      </w:r>
      <w:r>
        <w:rPr>
          <w:rtl/>
        </w:rPr>
        <w:t xml:space="preserve"> אִלֵּין תַּלְמִידֵי חֲכָמִים דְּמִתְרַבִּין </w:t>
      </w:r>
      <w:r>
        <w:rPr>
          <w:rStyle w:val="a7"/>
          <w:b w:val="0"/>
          <w:bCs w:val="0"/>
          <w:rtl/>
        </w:rPr>
        <w:footnoteReference w:id="4110"/>
      </w:r>
      <w:r>
        <w:rPr>
          <w:rtl/>
        </w:rPr>
        <w:t xml:space="preserve">בְּיַמָּא דְאוֹרַיְיתָא, דְיָרְתִין מִתַּמָּן נֶפֶשׁ חַיָּה, וּבְעוֹף הַשָּׁמַיִם אִלֵּין מָארֵי דְזַכְוָון, דְּבִזְכוּתְהוֹן </w:t>
      </w:r>
      <w:r>
        <w:rPr>
          <w:sz w:val="20"/>
          <w:szCs w:val="23"/>
          <w:rtl/>
        </w:rPr>
        <w:t>(דזכותהון)</w:t>
      </w:r>
      <w:r>
        <w:rPr>
          <w:rtl/>
        </w:rPr>
        <w:t xml:space="preserve"> פָּרְחִין לְעִילָא וְיָרְתִין מִתַּמָּן רוּחָא, דְאִיהוּ </w:t>
      </w:r>
      <w:r>
        <w:rPr>
          <w:rStyle w:val="a7"/>
          <w:b w:val="0"/>
          <w:bCs w:val="0"/>
          <w:rtl/>
        </w:rPr>
        <w:footnoteReference w:id="4111"/>
      </w:r>
      <w:r>
        <w:rPr>
          <w:rtl/>
        </w:rPr>
        <w:t xml:space="preserve">עוֹף יְעוֹפֵף </w:t>
      </w:r>
      <w:r>
        <w:rPr>
          <w:rStyle w:val="a7"/>
          <w:b w:val="0"/>
          <w:bCs w:val="0"/>
          <w:rtl/>
        </w:rPr>
        <w:footnoteReference w:id="4112"/>
      </w:r>
      <w:r>
        <w:rPr>
          <w:rtl/>
        </w:rPr>
        <w:t xml:space="preserve">בְּגַדְפִין דְּפִקּוּדִין דַּעֲשֵׂה, וּבַבְּהֵמָה אִלֵּין עַמֵּי הָאָרֶץ דְּאִתְּמַר בְּהוֹן </w:t>
      </w:r>
      <w:r>
        <w:rPr>
          <w:sz w:val="20"/>
          <w:szCs w:val="23"/>
          <w:rtl/>
        </w:rPr>
        <w:t>(במדבר יד ט)</w:t>
      </w:r>
      <w:r>
        <w:rPr>
          <w:rtl/>
        </w:rPr>
        <w:t xml:space="preserve"> אַל תִּירְאוּ אֶת עַם הָאָרֶץ </w:t>
      </w:r>
      <w:r>
        <w:rPr>
          <w:rStyle w:val="a7"/>
          <w:b w:val="0"/>
          <w:bCs w:val="0"/>
          <w:rtl/>
        </w:rPr>
        <w:footnoteReference w:id="4113"/>
      </w:r>
      <w:r>
        <w:rPr>
          <w:rtl/>
        </w:rPr>
        <w:t>כִּי לַחְמֵנוּ הֵם.</w:t>
      </w:r>
    </w:p>
    <w:p w:rsidR="00B17EA9" w:rsidRDefault="00B17EA9" w:rsidP="00B17EA9">
      <w:pPr>
        <w:pStyle w:val="NormalWeb"/>
        <w:rPr>
          <w:rtl/>
        </w:rPr>
      </w:pPr>
      <w:r>
        <w:rPr>
          <w:rtl/>
        </w:rPr>
        <w:t xml:space="preserve">וְעוֹד נַעֲשֶׂה אָדָם, שְׁכִינְתָּא תַּתָּאָה נְטִילַת עִצָה מִקּוּדְשָׁא בְּרִיךְ הוּא, דְאִתְּמַר בֵּיהּ </w:t>
      </w:r>
      <w:r>
        <w:rPr>
          <w:sz w:val="20"/>
          <w:szCs w:val="23"/>
          <w:rtl/>
        </w:rPr>
        <w:t>(ישעיה מד יג)</w:t>
      </w:r>
      <w:r>
        <w:rPr>
          <w:rtl/>
        </w:rPr>
        <w:t xml:space="preserve"> כְּתִפְאֶרֶת אָדָם לָשֶׁבֶת בָּיִת, </w:t>
      </w:r>
      <w:r>
        <w:rPr>
          <w:rStyle w:val="a7"/>
          <w:b w:val="0"/>
          <w:bCs w:val="0"/>
          <w:rtl/>
        </w:rPr>
        <w:footnoteReference w:id="4114"/>
      </w:r>
      <w:r>
        <w:rPr>
          <w:rtl/>
        </w:rPr>
        <w:t xml:space="preserve">דְּעַמּוּדָא דְאֶמְצָעִיתָא וּשְׁכִינְתָּא עֲלַיְיהוּ אִתְּמַר </w:t>
      </w:r>
      <w:r>
        <w:rPr>
          <w:sz w:val="20"/>
          <w:szCs w:val="23"/>
          <w:rtl/>
        </w:rPr>
        <w:t>(בראשית ה ב)</w:t>
      </w:r>
      <w:r>
        <w:rPr>
          <w:rtl/>
        </w:rPr>
        <w:t xml:space="preserve"> זָכָר וּנְקֵבָה בְּרָאָם, וְאִתְקְרִיאוּ אָדָם, וּכְגַוְונָא דִילֵיהּ אָמַר לְתַתָּא בָּאָדָם וְחַוָּה, זָכָר וּנְקֵבָה בְּרָאָם וַיִּקְרָא אֶת שְׁמָם אָדָם, וּכְמָה דְקוּדְשָׁא בְּרִיךְ הוּא וּשְׁכִינְתֵּיהּ אִתְקְרֵי אֶחָד, הָכִי קָרָא לוֹן אֶחָד לְאָדָם וּלְאִתְּתֵיהּ, הֲדָא הוּא דִכְתִיב </w:t>
      </w:r>
      <w:r>
        <w:rPr>
          <w:sz w:val="20"/>
          <w:szCs w:val="23"/>
          <w:rtl/>
        </w:rPr>
        <w:t>(ישעיה נא ב)</w:t>
      </w:r>
      <w:r>
        <w:rPr>
          <w:rtl/>
        </w:rPr>
        <w:t xml:space="preserve"> </w:t>
      </w:r>
      <w:r>
        <w:rPr>
          <w:rStyle w:val="a7"/>
          <w:b w:val="0"/>
          <w:bCs w:val="0"/>
          <w:rtl/>
        </w:rPr>
        <w:footnoteReference w:id="4115"/>
      </w:r>
      <w:r>
        <w:rPr>
          <w:rtl/>
        </w:rPr>
        <w:t>כִּי אֶחָד קְרָאתִיו, דְּתִפְאֶרֶת אִיהוּ א''ח כְּלִיל תֵּשַׁע סְפִירָן, מַלְכוּת ד' עֲשִׁירִית לֵיהּ, כְּלִילָא מֵעֶשֶׂר דְּאִינוּן יו''ד ה''א וא''ו ה''א, וְאִיהִי ד' כְּלִילָא מֵאַרְבַּע אַתְוָון דְּאִינוּן יהו''ה, קוֹצָא דְאָת ד' מוֹרֶה עַל עֶשֶׂר, וְד' עַל אַרְבָּעָה, דְּהָכִי רְשׁוּת הַיָּחִיד רָחְבּוֹ אַרְבָּעָה וְגָבְהוֹ עֲשָׂרָה וְהָא אוּקְמוּהָ.</w:t>
      </w:r>
    </w:p>
    <w:p w:rsidR="00B17EA9" w:rsidRDefault="00B17EA9" w:rsidP="00B17EA9">
      <w:pPr>
        <w:pStyle w:val="NormalWeb"/>
        <w:rPr>
          <w:rtl/>
        </w:rPr>
      </w:pPr>
      <w:r>
        <w:rPr>
          <w:rStyle w:val="a7"/>
          <w:b w:val="0"/>
          <w:bCs w:val="0"/>
          <w:rtl/>
        </w:rPr>
        <w:footnoteReference w:id="4116"/>
      </w:r>
      <w:r>
        <w:rPr>
          <w:rtl/>
        </w:rPr>
        <w:t xml:space="preserve">וַיִּבְרָא אלהי''ם אֶת הָאָדָם בְּצַלְמוֹ בְּצֶלֶם אלהי''ם בָּרָא אוֹתוֹ </w:t>
      </w:r>
      <w:r>
        <w:rPr>
          <w:sz w:val="20"/>
          <w:szCs w:val="23"/>
          <w:rtl/>
        </w:rPr>
        <w:t>(בראשית ה ב)</w:t>
      </w:r>
      <w:r>
        <w:rPr>
          <w:rtl/>
        </w:rPr>
        <w:t xml:space="preserve">, הָכָא </w:t>
      </w:r>
      <w:r>
        <w:rPr>
          <w:rStyle w:val="a7"/>
          <w:b w:val="0"/>
          <w:bCs w:val="0"/>
          <w:rtl/>
        </w:rPr>
        <w:footnoteReference w:id="4117"/>
      </w:r>
      <w:r>
        <w:rPr>
          <w:rtl/>
        </w:rPr>
        <w:t xml:space="preserve">פִקּוּדָא דִּתְּפִלִּין, תָּא חֲזִי כָּל מָאן דְּאַנַּח תְּפִלִּין עַל רֵישֵׁיהּ וְעַל דְּרוֹעִיהּ, קָלָא סָלִיק בְּכָל יוֹמָא </w:t>
      </w:r>
      <w:r>
        <w:rPr>
          <w:rStyle w:val="a7"/>
          <w:b w:val="0"/>
          <w:bCs w:val="0"/>
          <w:rtl/>
        </w:rPr>
        <w:footnoteReference w:id="4118"/>
      </w:r>
      <w:r>
        <w:rPr>
          <w:rtl/>
        </w:rPr>
        <w:t xml:space="preserve">לְכָל חֵיוָון מֶרְכָּבוֹת, וְאוֹפַנִּים וּשְׂרָפִים וּמַלְאָכִים דִּמְמַנָּן עַל צְלוֹתִין, הָבוּ יְקָר לְדִיּוֹקְנָא דְמַלְכָּא דְאִיהוּ מָאן דְּאַנַּח תְּפִלִּין, דַּעֲלֵיהּ אִתְּמַר </w:t>
      </w:r>
      <w:r>
        <w:rPr>
          <w:sz w:val="20"/>
          <w:szCs w:val="23"/>
          <w:rtl/>
        </w:rPr>
        <w:t>(שם)</w:t>
      </w:r>
      <w:r>
        <w:rPr>
          <w:rtl/>
        </w:rPr>
        <w:t xml:space="preserve"> וַיִּבְרָא אלהי''ם אֶת הָאָדָם בְּצַלְמוֹ בְּצֶלֶם אלהי''ם בָּרָא אוֹתוֹ. בְּצַלְמוֹ בִּתְּפִלִּין דְּרֵישָׁא, כְּגַוְונָא דִתְּפִלִּין דְּמָארֵי עָלְמָא, דְאִינוּן שְׁכִינְתָּא עִלָּאָה תְּפִלִּין עַל רֵישָׁא </w:t>
      </w:r>
      <w:r>
        <w:rPr>
          <w:sz w:val="20"/>
          <w:szCs w:val="23"/>
          <w:rtl/>
        </w:rPr>
        <w:t>(דאיהו)</w:t>
      </w:r>
      <w:r>
        <w:rPr>
          <w:rtl/>
        </w:rPr>
        <w:t xml:space="preserve"> דְעַמּוּדָא דְאֶמְצָעִיתָא, דְאִיהִי כְּלָלָא דִתְלַת סְפִירָן קַדְמָאִין, וְעַמּוּדָא דְאֶמְצָעִיתָא כְּלִיל שִׁית סְפִירָן, וְאִימָּא עִלָּאָה תְּפִלִּין עַל רֵישֵׁיהּ, אִיהוּ תְּפִלִּין דְּאַנַּח קוּדְשָׁא בְּרִיךְ הוּא בְּכָל יוֹמָא, בְּצֶלֶם אלהי''ם תְּפִלִּין דְּיָד, דָּא שְׁכִינְתָּא תַּתָּאָה </w:t>
      </w:r>
      <w:r>
        <w:rPr>
          <w:rStyle w:val="a7"/>
          <w:b w:val="0"/>
          <w:bCs w:val="0"/>
          <w:rtl/>
        </w:rPr>
        <w:footnoteReference w:id="4119"/>
      </w:r>
      <w:r>
        <w:rPr>
          <w:rtl/>
        </w:rPr>
        <w:t xml:space="preserve">דְאִיהִי קְשִׁירָא לֵיהּ, וַעֲלָהּ אִתְּמַר </w:t>
      </w:r>
      <w:r>
        <w:rPr>
          <w:sz w:val="20"/>
          <w:szCs w:val="23"/>
          <w:rtl/>
        </w:rPr>
        <w:t>(בראשית מד ל)</w:t>
      </w:r>
      <w:r>
        <w:rPr>
          <w:rtl/>
        </w:rPr>
        <w:t xml:space="preserve"> וְנַפְשׁוֹ קְשׁוּרָה בְנַפְשׁוֹ, תַּרְוַיְהוּ בְּיִחוּדָא חֲדָא בְקִשּׁוּרָא חֲדָא, רְצוּעָה כְּרִיכָא בְאֶצְבָּעָא שְׂמָאלָא דָא קִדּוּשִׁין דִּילָהּ, דְּאִיהִי טַבַּעַת כְּרִיכָא בְּאֶצְבָּעָא דִילָהּ, וּבָהּ אִיהִי קְשִׁירָא עִמֵּיהּ וְאִיהוּ עִמָּהּ, הָא קְדוּשָׁ(ה).</w:t>
      </w:r>
    </w:p>
    <w:p w:rsidR="00B17EA9" w:rsidRDefault="00B17EA9" w:rsidP="00B17EA9">
      <w:pPr>
        <w:pStyle w:val="NormalWeb"/>
        <w:rPr>
          <w:rtl/>
        </w:rPr>
      </w:pPr>
      <w:r>
        <w:rPr>
          <w:rtl/>
        </w:rPr>
        <w:t xml:space="preserve">בְּרָכָה הִיא כְּלָלָא דְשֶׁבַע סְפִירָן, וְאִינוּן שֶׁבַע בִּרְכָאָן דְּחָתָן, </w:t>
      </w:r>
      <w:r>
        <w:rPr>
          <w:rStyle w:val="a7"/>
          <w:b w:val="0"/>
          <w:bCs w:val="0"/>
          <w:rtl/>
        </w:rPr>
        <w:footnoteReference w:id="4120"/>
      </w:r>
      <w:r>
        <w:rPr>
          <w:rtl/>
        </w:rPr>
        <w:t xml:space="preserve">דְּאִינוּן ז' יוֹם הַשְּׁבִיעִי צַדִּיק, עֲלֵיהּ אִתְּמַר </w:t>
      </w:r>
      <w:r>
        <w:rPr>
          <w:sz w:val="20"/>
          <w:szCs w:val="23"/>
          <w:rtl/>
        </w:rPr>
        <w:t>(משלי י ו)</w:t>
      </w:r>
      <w:r>
        <w:rPr>
          <w:rtl/>
        </w:rPr>
        <w:t xml:space="preserve"> וּבְרָכוֹת לְרֹאשׁ צַדִּיק, דְּיָרִית מֵאִימָּא עִלָּאָה, וְאָת י' עַל רֵישֵׁיהּ אִיהוּ חָכְמָה י', בָּהּ אִתְעֲבִיד ז', שֶׁבַע בִּרְכָאָן דְּיָרִית חָתָן וְכַלָּה, וּכְלִילָן בְּצַדִּיק יוֹם הַשְּׁבִיעִי, דְּבֵיהּ מִתְיַחֲדִין חָתָן וְכַלָּה, דְאִיהוּ יאהדונה''י, וְהָא אוּקְמוּהוּ כִּי כֹל בַּשָּׁמַיִם וּבָאָרֶץ </w:t>
      </w:r>
      <w:r>
        <w:rPr>
          <w:sz w:val="20"/>
          <w:szCs w:val="23"/>
          <w:rtl/>
        </w:rPr>
        <w:t>(ד''ה א כט יא)</w:t>
      </w:r>
      <w:r>
        <w:rPr>
          <w:rtl/>
        </w:rPr>
        <w:t xml:space="preserve"> וְתַרְגּוּם דַּאֲחִיד בִּשְׁמַיָּא וּבְאַרְעָא, וְאִיהוּ אוֹת בְּרִית, דְּלֵית יִחוּדָא לְחָתָן וְכַלָּה בַּר מִנֵּיהּ.</w:t>
      </w:r>
    </w:p>
    <w:p w:rsidR="00B17EA9" w:rsidRDefault="00B17EA9" w:rsidP="00B17EA9">
      <w:pPr>
        <w:spacing w:after="40" w:line="360" w:lineRule="atLeast"/>
        <w:ind w:left="144" w:right="144" w:firstLine="288"/>
        <w:jc w:val="both"/>
        <w:rPr>
          <w:rFonts w:ascii="Arial"/>
          <w:b/>
          <w:szCs w:val="23"/>
          <w:rtl/>
        </w:rPr>
      </w:pPr>
      <w:r>
        <w:rPr>
          <w:rtl/>
        </w:rPr>
        <w:t xml:space="preserve">[תיקוני זוהר - דף פז ע''א] </w:t>
      </w:r>
    </w:p>
    <w:p w:rsidR="00B17EA9" w:rsidRDefault="00B17EA9" w:rsidP="00B17EA9">
      <w:pPr>
        <w:pStyle w:val="NormalWeb"/>
        <w:rPr>
          <w:rtl/>
        </w:rPr>
      </w:pPr>
      <w:r>
        <w:rPr>
          <w:rStyle w:val="a7"/>
          <w:b w:val="0"/>
          <w:bCs w:val="0"/>
          <w:rtl/>
        </w:rPr>
        <w:footnoteReference w:id="4121"/>
      </w:r>
      <w:r>
        <w:rPr>
          <w:rtl/>
        </w:rPr>
        <w:t xml:space="preserve">וַיְכֻלּוּ הַשָּׁמַיִם וְהָאָרֶץ וְכָל צְבָאָם </w:t>
      </w:r>
      <w:r>
        <w:rPr>
          <w:sz w:val="20"/>
          <w:szCs w:val="23"/>
          <w:rtl/>
        </w:rPr>
        <w:t>(בראשית ב א)</w:t>
      </w:r>
      <w:r>
        <w:rPr>
          <w:rtl/>
        </w:rPr>
        <w:t xml:space="preserve">, וַיְכֻלּוּ בַצַּדִּיק אִתְכְּלִילָן כָּל אֵבָרִין וְכָל סְפִירָן, כָּל אֵבָרִין דְּאִינוּן פִּקּוּדִין דַּעֲשֵׂה, דְבֵיהּ אֲשֶׁר קִדְּשָׁנוּ בְּמִצְוֹתָיו וְצִוָּנוּ </w:t>
      </w:r>
      <w:r>
        <w:rPr>
          <w:rStyle w:val="a7"/>
          <w:b w:val="0"/>
          <w:bCs w:val="0"/>
          <w:rtl/>
        </w:rPr>
        <w:footnoteReference w:id="4122"/>
      </w:r>
      <w:r>
        <w:rPr>
          <w:rtl/>
        </w:rPr>
        <w:t xml:space="preserve">לְמֶעֱבַד כָּל פִּקּוּדִין, </w:t>
      </w:r>
      <w:r>
        <w:rPr>
          <w:rStyle w:val="a7"/>
          <w:b w:val="0"/>
          <w:bCs w:val="0"/>
          <w:rtl/>
        </w:rPr>
        <w:footnoteReference w:id="4123"/>
      </w:r>
      <w:r>
        <w:rPr>
          <w:rtl/>
        </w:rPr>
        <w:t xml:space="preserve">דְּאִיהוּ כָּ''ל כְּלִיל כֹּלָּא וְאִיהוּ כֹלָּא וּמִנֵּיהּ תָּלוּי כֹּלָּא, וּבֵיהּ אִתְעֲבִידוּ כְּלָל וּפְרָט וּכְלָל, </w:t>
      </w:r>
      <w:r>
        <w:rPr>
          <w:rStyle w:val="a7"/>
          <w:b w:val="0"/>
          <w:bCs w:val="0"/>
          <w:rtl/>
        </w:rPr>
        <w:footnoteReference w:id="4124"/>
      </w:r>
      <w:r>
        <w:rPr>
          <w:rtl/>
        </w:rPr>
        <w:t xml:space="preserve">עַמּוּדָא דְאִיהוּ סָבִיל שְׁמַיָּא וְאַרְעָא עֲלֵיהּ, וּבְגִין דָּא וַיְכֻלּוּ כְּלִיל שְׁמַיָּא וְאַרְעָא, </w:t>
      </w:r>
      <w:r>
        <w:rPr>
          <w:rStyle w:val="a7"/>
          <w:b w:val="0"/>
          <w:bCs w:val="0"/>
          <w:rtl/>
        </w:rPr>
        <w:footnoteReference w:id="4125"/>
      </w:r>
      <w:r>
        <w:rPr>
          <w:rtl/>
        </w:rPr>
        <w:t xml:space="preserve">שָׁמַיִם אֵשׁ וּמַיִם וְדָא שְׂמָאלָא וִימִינָא, שָׁמַיִם עַמּוּדָא דְאֶמְצָעִיתָא </w:t>
      </w:r>
      <w:r>
        <w:rPr>
          <w:sz w:val="20"/>
          <w:szCs w:val="23"/>
          <w:rtl/>
        </w:rPr>
        <w:t xml:space="preserve">(דף פז ע''א) </w:t>
      </w:r>
      <w:r>
        <w:rPr>
          <w:rtl/>
        </w:rPr>
        <w:t xml:space="preserve">כְּלִיל תַּרְוַיְיהוּ, הָאָרֶץ שְׁכִינְתָּא תַּתָּאָה, וְכָל צְבָאָם נֶצַח וָהוֹד </w:t>
      </w:r>
      <w:r>
        <w:rPr>
          <w:rStyle w:val="a7"/>
          <w:b w:val="0"/>
          <w:bCs w:val="0"/>
          <w:rtl/>
        </w:rPr>
        <w:footnoteReference w:id="4126"/>
      </w:r>
      <w:r>
        <w:rPr>
          <w:rtl/>
        </w:rPr>
        <w:t xml:space="preserve">דְּאִינוּן צְבָא הַשָּׁמַיִם וְהָאָרֶץ, </w:t>
      </w:r>
      <w:r>
        <w:rPr>
          <w:rStyle w:val="a7"/>
          <w:b w:val="0"/>
          <w:bCs w:val="0"/>
          <w:rtl/>
        </w:rPr>
        <w:footnoteReference w:id="4127"/>
      </w:r>
      <w:r>
        <w:rPr>
          <w:rtl/>
        </w:rPr>
        <w:t xml:space="preserve">בְּגִין דְּאִיהוּ כְּלִיל שֶׁבַע סְפִירָן דְּשַׁבַּח דָּוִד בְּהוֹן לְקוּדְשָׁא בְּרִיךְ הוּא הֲדָא הוּא, דִכְתִיב </w:t>
      </w:r>
      <w:r>
        <w:rPr>
          <w:sz w:val="20"/>
          <w:szCs w:val="23"/>
          <w:rtl/>
        </w:rPr>
        <w:t>(ד''ה א כט יא)</w:t>
      </w:r>
      <w:r>
        <w:rPr>
          <w:rtl/>
        </w:rPr>
        <w:t xml:space="preserve"> לְךָ יהו''ה הַגְּדוּלָה וְהַגְּבוּרָה וְגוֹמֵר, בְּגִין דָּא אִתְקְרֵי יוֹם הַשְּׁבִיעִי כְּלָל שֶׁבַע, </w:t>
      </w:r>
      <w:r>
        <w:rPr>
          <w:rStyle w:val="a7"/>
          <w:b w:val="0"/>
          <w:bCs w:val="0"/>
          <w:rtl/>
        </w:rPr>
        <w:footnoteReference w:id="4128"/>
      </w:r>
      <w:r>
        <w:rPr>
          <w:rtl/>
        </w:rPr>
        <w:t>וְסָלְקִין לְשַׁבְעִין דְּחֻשְׁבַּן תֵּיבִין דְּקִדּוּשׁ וּוַיְכֻלּוּ.</w:t>
      </w:r>
    </w:p>
    <w:p w:rsidR="00B17EA9" w:rsidRDefault="00B17EA9" w:rsidP="00B17EA9">
      <w:pPr>
        <w:pStyle w:val="NormalWeb"/>
        <w:rPr>
          <w:rtl/>
        </w:rPr>
      </w:pPr>
      <w:r>
        <w:rPr>
          <w:rtl/>
        </w:rPr>
        <w:t xml:space="preserve">וַיְכַל אלהי''ם בַּיּוֹם הַשְּׁבִיעִי </w:t>
      </w:r>
      <w:r>
        <w:rPr>
          <w:sz w:val="20"/>
          <w:szCs w:val="23"/>
          <w:rtl/>
        </w:rPr>
        <w:t>(בראשית ב ב)</w:t>
      </w:r>
      <w:r>
        <w:rPr>
          <w:rtl/>
        </w:rPr>
        <w:t xml:space="preserve">, דָא אִימָּא עִלָּאָה דְאִיהִי אלהי''ם </w:t>
      </w:r>
      <w:r>
        <w:rPr>
          <w:rStyle w:val="a7"/>
          <w:b w:val="0"/>
          <w:bCs w:val="0"/>
          <w:rtl/>
        </w:rPr>
        <w:footnoteReference w:id="4129"/>
      </w:r>
      <w:r>
        <w:rPr>
          <w:rtl/>
        </w:rPr>
        <w:t xml:space="preserve">בָּתַר דְּכָלִיל בֵּיהּ שֶׁבַע סְפִירָן, אִתְקְרִיאוּ עַל שְׁמֵיהּ כֻּלְּהוּ שַׁבָּתוֹת שֶׁבַע שַׁבָּתוֹת, לְבָתַר כְּלִיל בֵּיהּ תְּלַת סְפִירָן עִלָּאִין דְּכָלִיל בְּאִימָּא עִלָּאָה, וְקָרָא לוֹן שְׁבִיעִי שְׁבִיעִי שְׁבִיעִי עַל שְׁמֵיהּ, הֲדָא הוּא דִכְתִיב </w:t>
      </w:r>
      <w:r>
        <w:rPr>
          <w:sz w:val="20"/>
          <w:szCs w:val="23"/>
          <w:rtl/>
        </w:rPr>
        <w:t>(שם)</w:t>
      </w:r>
      <w:r>
        <w:rPr>
          <w:rtl/>
        </w:rPr>
        <w:t xml:space="preserve"> וַיְכַל אלהי''ם בַּיּוֹם הַשְּׁבִיעִי הָא חַד דְּכָלִיל בֵּיהּ, וַיִּשְׁבּוֹת בַּיּוֹם הַשְּׁבִיעִי דָא תִנְיָינָא, וַיְבָרֶךְ אלהי''ם אֶת יוֹם הַשְּׁבִיעִי הָא תְּלַת לְאִתְכַּלְלָא בְעֶשֶׂר סְפִירָן, </w:t>
      </w:r>
      <w:r>
        <w:rPr>
          <w:rStyle w:val="a7"/>
          <w:b w:val="0"/>
          <w:bCs w:val="0"/>
          <w:rtl/>
        </w:rPr>
        <w:footnoteReference w:id="4130"/>
      </w:r>
      <w:r>
        <w:rPr>
          <w:rtl/>
        </w:rPr>
        <w:t>דְּלֵית סְפִירָה דְלָא אִתְכְּלִילַת בְּעֶשֶׂר, כָּל חֲדָא בְמֶמְשָׁלָה דִּילָהּ, אֲבָל מֶמְשָׁלָה דְצַדִּיק יוֹם הַשְּׁבִיעִי בֵּיהּ אִתְקְרִיאוּ כָּל סְפִירָן שְׁבִיעִיּוֹת, שַׁבְעִין תֵּיבִין אִינוּן בְּקִדּוּשׁ וּוַיְכֻלּוּ, וְזָכוֹר וְשָׁמוֹר הָא שַׁבְעִין וּתְרֵין כְּחֻשְׁבַּן וַיְכֻלּוּ.</w:t>
      </w:r>
    </w:p>
    <w:p w:rsidR="00B17EA9" w:rsidRDefault="00B17EA9" w:rsidP="00B17EA9">
      <w:pPr>
        <w:pStyle w:val="NormalWeb"/>
        <w:rPr>
          <w:rtl/>
        </w:rPr>
      </w:pPr>
      <w:r>
        <w:rPr>
          <w:rtl/>
        </w:rPr>
        <w:t>ושבת צריך לתקנא כו' (עבר לקמן לסוף תיקון מ"ח)</w:t>
      </w:r>
    </w:p>
    <w:p w:rsidR="00B17EA9" w:rsidRDefault="00B17EA9" w:rsidP="00602EF1">
      <w:pPr>
        <w:pStyle w:val="1"/>
        <w:rPr>
          <w:u w:val="single"/>
          <w:rtl/>
        </w:rPr>
      </w:pPr>
      <w:bookmarkStart w:id="263" w:name="_Toc228091326"/>
      <w:bookmarkStart w:id="264" w:name="_Toc231637965"/>
      <w:r>
        <w:rPr>
          <w:rtl/>
        </w:rPr>
        <w:t>תקונא תמניא וארבעין</w:t>
      </w:r>
      <w:bookmarkEnd w:id="263"/>
      <w:bookmarkEnd w:id="264"/>
    </w:p>
    <w:p w:rsidR="00B17EA9" w:rsidRDefault="00B17EA9" w:rsidP="00B17EA9">
      <w:pPr>
        <w:spacing w:after="40" w:line="360" w:lineRule="atLeast"/>
        <w:ind w:left="144" w:right="144" w:firstLine="288"/>
        <w:jc w:val="both"/>
        <w:rPr>
          <w:rFonts w:ascii="Arial"/>
          <w:b/>
          <w:szCs w:val="23"/>
          <w:rtl/>
        </w:rPr>
      </w:pPr>
      <w:r>
        <w:rPr>
          <w:rtl/>
        </w:rPr>
        <w:t xml:space="preserve">[תיקוני זוהר - דף פח ע''א] </w:t>
      </w:r>
    </w:p>
    <w:p w:rsidR="00B17EA9" w:rsidRDefault="00B17EA9" w:rsidP="005C70D5">
      <w:pPr>
        <w:pStyle w:val="NormalWeb"/>
        <w:rPr>
          <w:rtl/>
        </w:rPr>
      </w:pPr>
      <w:r>
        <w:rPr>
          <w:rStyle w:val="a7"/>
          <w:rtl/>
        </w:rPr>
        <w:footnoteReference w:id="4131"/>
      </w:r>
      <w:r>
        <w:rPr>
          <w:rtl/>
        </w:rPr>
        <w:t xml:space="preserve">בְּרֵאשִׁית תַּמָּן תְּרֵ''י תַּמָּן שַׁבָּ''ת, וְאִינוּן תְּרֵי שַׁבָּתוֹת, עֲלַיְיהוּ אִתְּמַר </w:t>
      </w:r>
      <w:r>
        <w:rPr>
          <w:szCs w:val="23"/>
          <w:rtl/>
        </w:rPr>
        <w:t>(שמות לא טז)</w:t>
      </w:r>
      <w:r>
        <w:rPr>
          <w:rtl/>
        </w:rPr>
        <w:t xml:space="preserve"> וְשָׁמְרוּ בְנֵי יִשְׂרָאֵל אֶת הַשַּׁבָּת לַעֲשׂוֹת אֶת הַשַּׁבָּת וְגוֹמֵר, </w:t>
      </w:r>
      <w:r>
        <w:rPr>
          <w:szCs w:val="23"/>
          <w:rtl/>
        </w:rPr>
        <w:t xml:space="preserve">(דף פח ע''א) </w:t>
      </w:r>
      <w:r>
        <w:rPr>
          <w:rtl/>
        </w:rPr>
        <w:t xml:space="preserve">תְּרֵין זִמְנִין אַדְכִּיר הָכָא שַׁבָּת, לָקֳבֵל שְׁכִינְתָּא עִלָּאָה וְתַתָּאָה, לְדֹרֹתָם מַאי לְדֹרֹתָם, אֶלָּא זַכָּאָה אִיהוּ מָאן דְּעָבִיד לוֹן דִּירָה, דְּשַׁבָּת דְּאִיהוּ לִבָּא, דְּלֹא יִתְקְרַב תַּמַן עֲצִיבוּ דִּטְחוֹל וְכַעַס דְמָרָה דְּאִיהוּ נוּרָא דְגֵיהִנַם, וְעֲלֵיה אִתְמַר </w:t>
      </w:r>
      <w:r>
        <w:rPr>
          <w:szCs w:val="23"/>
          <w:rtl/>
        </w:rPr>
        <w:t>(שמות לה ג)</w:t>
      </w:r>
      <w:r>
        <w:rPr>
          <w:rtl/>
        </w:rPr>
        <w:t xml:space="preserve"> לֹא תְבַעֲרוּ אֵש וגו', (נ"א דְּעָבִיד לוֹן דִּירָה בְּשַׁבָּת) </w:t>
      </w:r>
      <w:r>
        <w:rPr>
          <w:rStyle w:val="a7"/>
          <w:rtl/>
        </w:rPr>
        <w:footnoteReference w:id="4132"/>
      </w:r>
      <w:r>
        <w:rPr>
          <w:rtl/>
        </w:rPr>
        <w:t xml:space="preserve">בִּתְרֵי בָתֵּי לִבָּא, וְאִתְפְּנֵי מִתַּמָּן יֵצֶר הָרָע </w:t>
      </w:r>
      <w:r>
        <w:rPr>
          <w:rStyle w:val="a7"/>
          <w:rtl/>
        </w:rPr>
        <w:footnoteReference w:id="4133"/>
      </w:r>
      <w:r>
        <w:rPr>
          <w:rtl/>
        </w:rPr>
        <w:t xml:space="preserve">דְּאִיהוּ חִלּוּל שַׁבָּת, </w:t>
      </w:r>
      <w:r>
        <w:rPr>
          <w:rStyle w:val="a7"/>
          <w:rtl/>
        </w:rPr>
        <w:footnoteReference w:id="4134"/>
      </w:r>
      <w:r>
        <w:rPr>
          <w:rtl/>
        </w:rPr>
        <w:t>בְּרִית עוֹלָם דָּא צַדִּיק, דְּשַׁרְיָין תַּרְוַיְיהוּ עֲלֵיהּ, חַד לְאַמְלָאָה לֵיהּ וְחַד לְאִתְמַלְיָא מִינֵיהּ.</w:t>
      </w:r>
    </w:p>
    <w:p w:rsidR="00B17EA9" w:rsidRDefault="00B17EA9" w:rsidP="005C70D5">
      <w:pPr>
        <w:pStyle w:val="NormalWeb"/>
        <w:rPr>
          <w:rtl/>
        </w:rPr>
      </w:pPr>
      <w:r>
        <w:rPr>
          <w:rtl/>
        </w:rPr>
        <w:t xml:space="preserve">בְּנֵי יִשְׂרָאֵל </w:t>
      </w:r>
      <w:r>
        <w:rPr>
          <w:rStyle w:val="a7"/>
          <w:rtl/>
        </w:rPr>
        <w:footnoteReference w:id="4135"/>
      </w:r>
      <w:r>
        <w:rPr>
          <w:rtl/>
        </w:rPr>
        <w:t xml:space="preserve">אִינוּן תְּרֵין כֻּלְיָין נֶצַח וָהוֹד, בְּנוֹי </w:t>
      </w:r>
      <w:r>
        <w:rPr>
          <w:rStyle w:val="a7"/>
          <w:rtl/>
        </w:rPr>
        <w:footnoteReference w:id="4136"/>
      </w:r>
      <w:r>
        <w:rPr>
          <w:rtl/>
        </w:rPr>
        <w:t xml:space="preserve">דְּיִשְׂרָאֵל סָבָא, וּבַיוֹם הַשְׁבִיעִי דָא עַמּוּדָא דְאֶמְצָעִיתָא כְּלִיל תְּלַת אֲבָהָן, תְּלַת שְׁבִיעִי שְׁבִיעִי שְׁבִיעִי, עֹנֶג שַׁבָּת, וְנָ''הָר יוֹצֵא מֵעִדֶ''ן לְהַשְׁקוֹת אֶת הַגָּ''ן </w:t>
      </w:r>
      <w:r>
        <w:rPr>
          <w:szCs w:val="23"/>
          <w:rtl/>
        </w:rPr>
        <w:t>(בראשית ב י)</w:t>
      </w:r>
      <w:r>
        <w:rPr>
          <w:rtl/>
        </w:rPr>
        <w:t xml:space="preserve">, וְנָהָר </w:t>
      </w:r>
      <w:r>
        <w:rPr>
          <w:rStyle w:val="a7"/>
          <w:rtl/>
        </w:rPr>
        <w:footnoteReference w:id="4137"/>
      </w:r>
      <w:r>
        <w:rPr>
          <w:rtl/>
        </w:rPr>
        <w:t xml:space="preserve">אִית נָהָר וְאִית נָהָר, אִית נָהָר דְּאִתְקְרֵי נָהָר פְּלָגָיו, וְאִית נָהָר דְּאִתְקְרֵי נַחַל קְדוּמִים, עִדֶן עִלָּאָה עֲלֵיהּ אִתְּמַר </w:t>
      </w:r>
      <w:r>
        <w:rPr>
          <w:szCs w:val="23"/>
          <w:rtl/>
        </w:rPr>
        <w:t>(ישעיה סד ג)</w:t>
      </w:r>
      <w:r>
        <w:rPr>
          <w:rtl/>
        </w:rPr>
        <w:t xml:space="preserve"> עַיִן לֹא רָאֲתָה אלהי''ם זוּלָתֶךָ, </w:t>
      </w:r>
      <w:r>
        <w:rPr>
          <w:rStyle w:val="a7"/>
          <w:rtl/>
        </w:rPr>
        <w:footnoteReference w:id="4138"/>
      </w:r>
      <w:r>
        <w:rPr>
          <w:rtl/>
        </w:rPr>
        <w:t>הַאי נָהָר אִיהוּ ו', דְּנָפִיק מֵעִדֶן עִלָּאָה דְאִיהוּ א', וְאַעֲבַר בֵּין אַבָּא וְאִימָּא, וְאָזִיל חֲמֵשׁ מֵאוֹת שָׁנָה, וּמָטֵי עַד צַדִּיק שְׁבִיעִי, וּמִתַּמָּן אַשְׁקֵי לְגִנְּתָא דְאִיהִי שְׁכִינְתָּא תַּתָּאָה.</w:t>
      </w:r>
    </w:p>
    <w:p w:rsidR="00B17EA9" w:rsidRDefault="00B17EA9" w:rsidP="005C70D5">
      <w:pPr>
        <w:pStyle w:val="NormalWeb"/>
        <w:rPr>
          <w:szCs w:val="23"/>
          <w:rtl/>
        </w:rPr>
      </w:pPr>
      <w:r>
        <w:rPr>
          <w:rtl/>
        </w:rPr>
        <w:t xml:space="preserve">זַכָּאָה אִיהוּ מָאן דְּנָטִיר דִּירָה לְשַׁבָּת דְּאִיהוּ לִבָּא, דְלָא אִתְקְרִיב תַּמָּן </w:t>
      </w:r>
      <w:r>
        <w:rPr>
          <w:rStyle w:val="a7"/>
          <w:rtl/>
        </w:rPr>
        <w:footnoteReference w:id="4139"/>
      </w:r>
      <w:r>
        <w:rPr>
          <w:rtl/>
        </w:rPr>
        <w:t xml:space="preserve">עֲצִיבוּ דִטְחוֹל, וְכַעַס דְּמָרָה דְאִיהוּ נוּרָא דְגֵיהִנָּם, דַּעֲלָהּ אִתְּמַר </w:t>
      </w:r>
      <w:r>
        <w:rPr>
          <w:szCs w:val="23"/>
          <w:rtl/>
        </w:rPr>
        <w:t>(שמות לה ג)</w:t>
      </w:r>
      <w:r>
        <w:rPr>
          <w:rtl/>
        </w:rPr>
        <w:t xml:space="preserve"> לֹא תְבַעֲרוּ אֵשׁ </w:t>
      </w:r>
      <w:r>
        <w:rPr>
          <w:rStyle w:val="a7"/>
          <w:rtl/>
        </w:rPr>
        <w:footnoteReference w:id="4140"/>
      </w:r>
      <w:r>
        <w:rPr>
          <w:rtl/>
        </w:rPr>
        <w:t xml:space="preserve">בְּכֹל מוֹשְׁבוֹתֵיכֶם בְּיוֹם הַשַּׁבָּת, וְהָכִי הוּא וַדַּאי </w:t>
      </w:r>
      <w:r>
        <w:rPr>
          <w:rStyle w:val="a7"/>
          <w:rtl/>
        </w:rPr>
        <w:footnoteReference w:id="4141"/>
      </w:r>
      <w:r>
        <w:rPr>
          <w:rtl/>
        </w:rPr>
        <w:t xml:space="preserve">דְּכָל מָאן דְּכָעִיס כְּאִלּוּ אוֹקִיד נוּרָא דְגֵיהִנָּם. </w:t>
      </w:r>
      <w:r>
        <w:rPr>
          <w:szCs w:val="23"/>
          <w:rtl/>
        </w:rPr>
        <w:t>(הקטע שהיה כאן ארבעים מלאכות כו', עבר לסוף תיקון מח, אחרי נפש יתירה חס ושלום)</w:t>
      </w:r>
    </w:p>
    <w:p w:rsidR="00B17EA9" w:rsidRDefault="00B17EA9" w:rsidP="00B17EA9">
      <w:pPr>
        <w:pStyle w:val="NormalWeb"/>
        <w:rPr>
          <w:rtl/>
        </w:rPr>
      </w:pPr>
      <w:r>
        <w:rPr>
          <w:rStyle w:val="a7"/>
          <w:b w:val="0"/>
          <w:bCs w:val="0"/>
          <w:rtl/>
        </w:rPr>
        <w:footnoteReference w:id="4142"/>
      </w:r>
      <w:r>
        <w:rPr>
          <w:rtl/>
        </w:rPr>
        <w:t xml:space="preserve">יְצִיאוֹת הַשַּׁבָּת שְׁתַּיִם. אִינוּן עֲקִירָה וְהַנָּחָה, דְעָבִיד לוֹן בְּבַת אַחַת, מָאן דְּאַעֲקַר חֵפֶץ מֵאַתְרֵיהּ וְאַנַּח לֵיהּ לְבַר מֵאַתְרֵיהּ וּמֵרְשׁוּתֵיהּ, כְּאִלּוּ אַעֲקַר אִילָנָא דְחַיֵּי דְּאִיהוּ אוֹת בְּרִית, וְאַנַּח לֵיהּ בִּרְשׁוּ נוּכְרָאָה, מָאן דְּעָבִיד דָּא גְרִים דְּאַעֲקַר נִשְׁמָתֵיהּ מֵרְשׁוּת דִּילָהּ, וְאַנַּח לָהּ בִּרְשׁוּ אָחֳרָא </w:t>
      </w:r>
      <w:r>
        <w:rPr>
          <w:rStyle w:val="a7"/>
          <w:b w:val="0"/>
          <w:bCs w:val="0"/>
          <w:rtl/>
        </w:rPr>
        <w:footnoteReference w:id="4143"/>
      </w:r>
      <w:r>
        <w:rPr>
          <w:rtl/>
        </w:rPr>
        <w:t xml:space="preserve">דְאִיהִי מָרָה וּטְחוֹל, וְדָא גָרַם לְיִשְׂרָאֵל דְּאִתְעַקְרוּ מֵאַרְעָא דְיִשְׂרָאֵל, וְאִתְגַּלִּיאוּ בְּאַרְעָא נוּכְרָאָה דְאִיהִי רְשׁוּת הָרַבִּים, וְהָכִי אִיהוּ מָאן דְּאַעִיל אוֹת בְּרִית קֹדֶשׁ דִּילֵיהּ בִּרְשׁוּ נוּכְרָאָה, שַׁבְּתַא''י אִיהוּ טְחוֹל חַמָּ''ה, אִתְּתָא בִּישָׁא מָרָה, </w:t>
      </w:r>
      <w:r>
        <w:rPr>
          <w:rStyle w:val="a7"/>
          <w:b w:val="0"/>
          <w:bCs w:val="0"/>
          <w:rtl/>
        </w:rPr>
        <w:footnoteReference w:id="4144"/>
      </w:r>
      <w:r>
        <w:rPr>
          <w:rtl/>
        </w:rPr>
        <w:t xml:space="preserve">שַׁבְּתַא''י עֲלֵיהּ אִתְּמַר </w:t>
      </w:r>
      <w:r>
        <w:rPr>
          <w:sz w:val="20"/>
          <w:szCs w:val="23"/>
          <w:rtl/>
        </w:rPr>
        <w:t>(בראשית לז כד)</w:t>
      </w:r>
      <w:r>
        <w:rPr>
          <w:rtl/>
        </w:rPr>
        <w:t xml:space="preserve"> וְהַבּוֹר רֵק אֵין בּוֹ מָיִם, מַיִם אֵין בּוֹ אֲבָל נְחָשִׁים וְעַקְרַבִּים יֶשׁ בּוֹ, וְאִיהוּ רָעָב וְצִמָּאוֹן וְקִינָה וְהֶסְפֵּד וַחֲשׁוֹכָא וְקִבְלָא, וְאִיהִי גָלוּתָא לְיִשְׂרָאֵל. וּצְרִיכִין יִשְׂרָאֵל לְמֶעֱבַד לָהּ שִׁנּוּי בְּכֹלָּא וְהָא אוּקְמוּהָ, וְאִיהוּ דִבּוּר דְּחוֹל דְּאִיהוּ אָסוּר בְּשַׁבָּת, וְכַד לָא אַשְׁכַּחַת אֲתַר לְשַׁרְיָא תַּמָּן, אִיהִי בָרְחַת, </w:t>
      </w:r>
      <w:r>
        <w:rPr>
          <w:rStyle w:val="a7"/>
          <w:b w:val="0"/>
          <w:bCs w:val="0"/>
          <w:rtl/>
        </w:rPr>
        <w:footnoteReference w:id="4145"/>
      </w:r>
      <w:r>
        <w:rPr>
          <w:rtl/>
        </w:rPr>
        <w:t xml:space="preserve">כְּגַוְונָא דְשִׁפְחָה דְאַבְרָהָם דְּאִתְּמַר בָּהּ </w:t>
      </w:r>
      <w:r>
        <w:rPr>
          <w:sz w:val="20"/>
          <w:szCs w:val="23"/>
          <w:rtl/>
        </w:rPr>
        <w:t>(בראשית טז ח)</w:t>
      </w:r>
      <w:r>
        <w:rPr>
          <w:rtl/>
        </w:rPr>
        <w:t xml:space="preserve"> מִפְּנֵי שָׂרַי גְּבִרְתִּי אָנֹכִי בֹּרַחַת.</w:t>
      </w:r>
    </w:p>
    <w:p w:rsidR="00B17EA9" w:rsidRDefault="00B17EA9" w:rsidP="00B17EA9">
      <w:pPr>
        <w:pStyle w:val="NormalWeb"/>
        <w:rPr>
          <w:rFonts w:ascii="Times New Roman" w:hAnsi="Times New Roman"/>
          <w:rtl/>
        </w:rPr>
      </w:pPr>
      <w:r>
        <w:rPr>
          <w:rtl/>
        </w:rPr>
        <w:t xml:space="preserve">טְחוֹל עֲלָהּ אִתְּמַר </w:t>
      </w:r>
      <w:r>
        <w:rPr>
          <w:sz w:val="20"/>
          <w:szCs w:val="23"/>
          <w:rtl/>
        </w:rPr>
        <w:t>(שמות ג ה)</w:t>
      </w:r>
      <w:r>
        <w:rPr>
          <w:rtl/>
        </w:rPr>
        <w:t xml:space="preserve"> שַׁל נְעָלֶיךָ מֵעַל רַגְלֶיךָ, </w:t>
      </w:r>
      <w:r>
        <w:rPr>
          <w:rStyle w:val="a7"/>
          <w:b w:val="0"/>
          <w:bCs w:val="0"/>
          <w:rtl/>
        </w:rPr>
        <w:footnoteReference w:id="4146"/>
      </w:r>
      <w:r>
        <w:rPr>
          <w:rtl/>
        </w:rPr>
        <w:t xml:space="preserve">נַעַל מְטוּנָף דְּטִפָּה סְרוּחָה, כִּי הַמָּקוֹם אֲשֶׁר אַתָּה עוֹמֵד עָלָיו אַדְמַת קֹדֶשׁ הוּא, דָא שַׁבָּת, </w:t>
      </w:r>
      <w:r>
        <w:rPr>
          <w:rStyle w:val="a7"/>
          <w:b w:val="0"/>
          <w:bCs w:val="0"/>
          <w:rtl/>
        </w:rPr>
        <w:footnoteReference w:id="4147"/>
      </w:r>
      <w:r>
        <w:rPr>
          <w:rtl/>
        </w:rPr>
        <w:t xml:space="preserve">וַעֲלֵיהּ אָמְרַת שְׁכִינְתָּא פָּשַׁטְתִּי אֶת כֻּתָּנְתִּי אֵיכָכָה אֶלְבָּשֶׁנָּה, רָחַצְתִּי אֶת רַגְלַי אֵיכָכָה אֲטַנְּפֵם </w:t>
      </w:r>
      <w:r>
        <w:rPr>
          <w:sz w:val="20"/>
          <w:szCs w:val="23"/>
          <w:rtl/>
        </w:rPr>
        <w:t>(שיר ה ג)</w:t>
      </w:r>
      <w:r>
        <w:rPr>
          <w:rtl/>
        </w:rPr>
        <w:t>, וּבְגִין דָּא צָרִיךְ בַּר נַשׁ בְּשַׁבָּת לְשַׁנּוּיֵי בִּלְבוּשִׁין בִּשְׁרַגָּא בְּמַאֲכָלִין, וְצָרִיךְ לְמֶהֱוִי מוֹסִיף מֵחוֹל עַל הַקֹּדֶשׁ, וְכָל הַמּוֹסִיף מוֹסִיפִין לֵיהּ נֶפֶשׁ יְתֵירָה בְּשַׁבָּת, וְכָל הַגּוֹרֵעַ גּוֹרְעִין לֵיהּ הַהִיא נֶפֶשׁ יְתֵירָה חַס וְשָׁלוֹם.</w:t>
      </w:r>
      <w:r>
        <w:rPr>
          <w:sz w:val="20"/>
          <w:szCs w:val="23"/>
          <w:rtl/>
        </w:rPr>
        <w:t xml:space="preserve"> </w:t>
      </w:r>
      <w:r>
        <w:rPr>
          <w:rFonts w:ascii="Times New Roman" w:hAnsi="Times New Roman"/>
          <w:rtl/>
        </w:rPr>
        <w:t>(הקטע דלקמן היה לעיל בעמוד זה)</w:t>
      </w:r>
    </w:p>
    <w:p w:rsidR="00B17EA9" w:rsidRDefault="00B17EA9" w:rsidP="00EE6BF9">
      <w:pPr>
        <w:pStyle w:val="NormalWeb"/>
        <w:rPr>
          <w:b w:val="0"/>
          <w:bCs w:val="0"/>
          <w:szCs w:val="29"/>
          <w:rtl/>
        </w:rPr>
      </w:pPr>
      <w:r w:rsidRPr="00EE6BF9">
        <w:rPr>
          <w:rtl/>
        </w:rPr>
        <w:t>אַרְבָּעִים מְלָאכוֹת חָסֵר חַד אִינוּן לָקֳבֵל אַרְבָּעִים מַלְקִיּוֹת חָסֵר חַד בְּשַׁבָּת,</w:t>
      </w:r>
      <w:r>
        <w:rPr>
          <w:szCs w:val="29"/>
          <w:rtl/>
        </w:rPr>
        <w:t xml:space="preserve"> </w:t>
      </w:r>
      <w:r>
        <w:rPr>
          <w:rStyle w:val="a7"/>
          <w:szCs w:val="29"/>
          <w:rtl/>
        </w:rPr>
        <w:footnoteReference w:id="4148"/>
      </w:r>
      <w:r w:rsidRPr="00EE6BF9">
        <w:rPr>
          <w:rtl/>
        </w:rPr>
        <w:t>וְאִינוּן עֲשָׂרָה דְלָקָה אָדָם וַעֲשָׂרָה לְחַוָּה וַעֲשָׂרָה לְנָחָשׁ וְתִשְׁעָה לְאַרְעָא, וּבְגִין דָּא אָמְרוּ מָארֵי מַתְנִיתִין אֵין לוֹקִין בְּשַׁבָּת, דְּאִלֵּין מְלָאכוֹת אִינוּן חֲשִׁיבִין לְיִשְׂרָאֵל לָקֳבֵל מַלְקִיּוֹת.</w:t>
      </w:r>
      <w:r>
        <w:rPr>
          <w:szCs w:val="29"/>
          <w:rtl/>
        </w:rPr>
        <w:t xml:space="preserve"> </w:t>
      </w:r>
      <w:r>
        <w:rPr>
          <w:rtl/>
        </w:rPr>
        <w:t>(עד כאן היה לעיל בעמוד זה)</w:t>
      </w:r>
    </w:p>
    <w:p w:rsidR="00B17EA9" w:rsidRDefault="00B17EA9" w:rsidP="00B17EA9">
      <w:pPr>
        <w:spacing w:after="40" w:line="360" w:lineRule="atLeast"/>
        <w:ind w:left="144" w:right="144" w:firstLine="288"/>
        <w:jc w:val="both"/>
        <w:rPr>
          <w:rFonts w:ascii="Arial"/>
          <w:b/>
          <w:szCs w:val="23"/>
          <w:rtl/>
        </w:rPr>
      </w:pPr>
      <w:r>
        <w:rPr>
          <w:rtl/>
        </w:rPr>
        <w:t>[תיקוני זוהר - המשך דף פז ע''א]      (הקטע מכאן עד סוף תיקון מח, היה לעיל בתיקון מז)</w:t>
      </w:r>
    </w:p>
    <w:p w:rsidR="00B17EA9" w:rsidRDefault="00B17EA9" w:rsidP="00B17EA9">
      <w:pPr>
        <w:pStyle w:val="NormalWeb"/>
        <w:rPr>
          <w:rtl/>
        </w:rPr>
      </w:pPr>
      <w:bookmarkStart w:id="265" w:name="_Toc228091327"/>
      <w:bookmarkStart w:id="266" w:name="_Toc231637966"/>
      <w:r>
        <w:rPr>
          <w:rStyle w:val="a7"/>
          <w:b w:val="0"/>
          <w:bCs w:val="0"/>
          <w:rtl/>
        </w:rPr>
        <w:footnoteReference w:id="4149"/>
      </w:r>
      <w:r>
        <w:rPr>
          <w:rtl/>
        </w:rPr>
        <w:t xml:space="preserve">וְשַׁבָּת צָרִיךְ לְתַקְנָא בֵּיהּ פָּתוֹרָא בְּאַרְבַּע רַגְלִין, </w:t>
      </w:r>
      <w:r>
        <w:rPr>
          <w:rStyle w:val="a7"/>
          <w:b w:val="0"/>
          <w:bCs w:val="0"/>
          <w:rtl/>
        </w:rPr>
        <w:footnoteReference w:id="4150"/>
      </w:r>
      <w:r>
        <w:rPr>
          <w:rtl/>
        </w:rPr>
        <w:t xml:space="preserve">כְּגַוְונָא דְפָתוֹרָא דִלְעִילָא דְאִתְּמַר בֵּיהּ </w:t>
      </w:r>
      <w:r>
        <w:rPr>
          <w:sz w:val="20"/>
          <w:szCs w:val="23"/>
          <w:rtl/>
        </w:rPr>
        <w:t>(יחזקאל מא כב)</w:t>
      </w:r>
      <w:r>
        <w:rPr>
          <w:rtl/>
        </w:rPr>
        <w:t xml:space="preserve"> זֶה הַשֻּׁלְחָן אֲשֶׁר לִפְנֵי יהו''ה, </w:t>
      </w:r>
      <w:r>
        <w:rPr>
          <w:rStyle w:val="a7"/>
          <w:b w:val="0"/>
          <w:bCs w:val="0"/>
          <w:rtl/>
        </w:rPr>
        <w:footnoteReference w:id="4151"/>
      </w:r>
      <w:r>
        <w:rPr>
          <w:rtl/>
        </w:rPr>
        <w:t xml:space="preserve">וַעֲלָהּ אִתְּמַר </w:t>
      </w:r>
      <w:r>
        <w:rPr>
          <w:sz w:val="20"/>
          <w:szCs w:val="23"/>
          <w:rtl/>
        </w:rPr>
        <w:t>(תהלים כג ה)</w:t>
      </w:r>
      <w:r>
        <w:rPr>
          <w:rtl/>
        </w:rPr>
        <w:t xml:space="preserve"> תַּעֲרוֹךְ לְפָנַי שֻׁלְחָן, פָּתוֹרָא דְקוּדְשָׁא בְּרִיךְ הוּא </w:t>
      </w:r>
      <w:r>
        <w:rPr>
          <w:rStyle w:val="a7"/>
          <w:b w:val="0"/>
          <w:bCs w:val="0"/>
          <w:rtl/>
        </w:rPr>
        <w:footnoteReference w:id="4152"/>
      </w:r>
      <w:r>
        <w:rPr>
          <w:rtl/>
        </w:rPr>
        <w:t>דָא שְׁכִינְתָּא, אִיהִי מִסִּטְרָא דְצָפוֹן דְּאִיהוּ גְבוּרָה, וּבְגִין דָּא תַּקִּינוּ מָארֵי מַתְנִיתִין שֻׁלְחָן בַּצָּפוֹן, וְנֵר דָּלִיק לִימִינָא כְּגַוְונָא דִלְעִילָא, דְאִתְּמַר בֵּיהּ מְנוֹרָה בַּדָּרוֹם, מִטָּה בְּאֶמְצָעִיתָא מִסִּטְרָא דְעַמּוּדָא דְאֶמְצָעִיתָא.</w:t>
      </w:r>
    </w:p>
    <w:p w:rsidR="00B17EA9" w:rsidRDefault="00B17EA9" w:rsidP="00B17EA9">
      <w:pPr>
        <w:pStyle w:val="NormalWeb"/>
        <w:rPr>
          <w:rtl/>
        </w:rPr>
      </w:pPr>
      <w:r>
        <w:rPr>
          <w:rtl/>
        </w:rPr>
        <w:t xml:space="preserve">תָּא חֲזִי שְׁכִינְתָּא אִתְקְרִיאַת פָּתוֹרָא מִסִּטְרָא דִשְׂמָאלָא, וּמְנַרְתָּא מִסִּטְרָא דִימִינָא, וּמִטָּה מְמוּצַעַת מִסִּטְרָא דְעַמּוּדָא דְאֶמְצָעִיתָא, וּבְגִין דָּא זִוּוּגָא דִּילֵיהּ בְּאֶמְצָעִיתָא בֵּין צָפוֹן לַדָּרוֹם, וְהָא אוּקְמוּהָ רַבָּנָן כָּל הַנּוֹתֵן מִטָּתוֹ בֵּין צָפוֹן לְדָרוֹם הַוְיָין לֵיהּ בָּנִים זְכָרִים וכו', </w:t>
      </w:r>
      <w:r>
        <w:rPr>
          <w:rStyle w:val="a7"/>
          <w:b w:val="0"/>
          <w:bCs w:val="0"/>
          <w:rtl/>
        </w:rPr>
        <w:footnoteReference w:id="4153"/>
      </w:r>
      <w:r>
        <w:rPr>
          <w:rtl/>
        </w:rPr>
        <w:t xml:space="preserve">פָּתוֹרָא אִיהִי סְמִיכָא עַל אַרְבָּעָה סָמְכִין, דְּאִיהִי כְּגַוְונָא דְגוּפָא דְסָמְכִין לֵיהּ דְּרוֹעִין וְשׁוֹקִין דְּאִינוּן אַרְבַּע, </w:t>
      </w:r>
      <w:r>
        <w:rPr>
          <w:rStyle w:val="a7"/>
          <w:b w:val="0"/>
          <w:bCs w:val="0"/>
          <w:rtl/>
        </w:rPr>
        <w:footnoteReference w:id="4154"/>
      </w:r>
      <w:r>
        <w:rPr>
          <w:rtl/>
        </w:rPr>
        <w:t xml:space="preserve">וְצָרִיךְ שִׁית נַהֲמִין מֵהַאי סִטְרָא וְשִׁית נַהֲמִין מֵהַאי סִטְרָא. וְרָזָא דְמִלָּה זֶה הַשֻּׁלְחָן אֲשֶׁר לִפְנֵי יהו''ה </w:t>
      </w:r>
      <w:r>
        <w:rPr>
          <w:sz w:val="20"/>
          <w:szCs w:val="23"/>
          <w:rtl/>
        </w:rPr>
        <w:t>(יחזקאל מא כב)</w:t>
      </w:r>
      <w:r>
        <w:rPr>
          <w:rtl/>
        </w:rPr>
        <w:t xml:space="preserve">, זֶ''ה בְּחֻשְׁבַּן ו' ו', דְּאִינוּן שִׁית פִּרְקִין דִּתְרֵין דְּרוֹעִין וְשִׁית פִּרְקִין דִּתְרֵין שׁוֹקִין, דְּהָא שְׁכִינְתָּא אִתְעֲבִידַת גּוּפָא לְמַלְכָּא בְּכָל תִּקּוּנָא דִילָהּ, וּבְאִלֵּין תְּרֵין עֲשַׂר פִּרְקִין דְּנוּקְבָא, וּתְרֵין עֲשַׂר פִּרְקִין דִּדְכוּרָא, מַלְאָכַיָּא אָמְרֵי וְקָרָא זֶה אֶל זֶה וְאָמַר קָדוֹשׁ קָדוֹשׁ קָדוֹשׁ וְגוֹמֵר, </w:t>
      </w:r>
      <w:r>
        <w:rPr>
          <w:rStyle w:val="a7"/>
          <w:b w:val="0"/>
          <w:bCs w:val="0"/>
          <w:rtl/>
        </w:rPr>
        <w:footnoteReference w:id="4155"/>
      </w:r>
      <w:r>
        <w:rPr>
          <w:rtl/>
        </w:rPr>
        <w:t>זֶ''ה עִם קוּדְשָׁא בְּרִיךְ הוּא אֶחָ''ד, זֶ''ה עִם שְׁכִינְתָּא אֶחָ''ד, וְכֹלָּא יהו''ה אֶחָד, מְיַחֵד תַּרְוַיְיהוּ, וְלָקֳבֵל זֶה אֶל זֶה אָמַר דָּוִד עֶשְׂרִים וְאַרְבַּע רְנָנוֹת, וְאִינוּן לָקֳבֵל עֶשְׂרִין וְאַרְבַּע סִפְרֵי אוֹרַיְיתָא.</w:t>
      </w:r>
    </w:p>
    <w:p w:rsidR="00B17EA9" w:rsidRDefault="00B17EA9" w:rsidP="00B17EA9">
      <w:pPr>
        <w:pStyle w:val="NormalWeb"/>
        <w:rPr>
          <w:rtl/>
        </w:rPr>
      </w:pPr>
      <w:r>
        <w:rPr>
          <w:rtl/>
        </w:rPr>
        <w:t xml:space="preserve">זֶה אִיהוּ לָקֳבֵל אַרְבַּע אַנְפִּין לְכָל חַיָּה לִתְלַת חֵיוָון, זֶה תִּנְיָינָא לָקֳבֵל אַרְבַּע גַּדְפִין לְכָל חֵיוָא לִתְלַת חֵיוָון, וְדָא אִיהוּ רָזָא דְמִלָּה וְאַרְבָּעָה פָנִים לְאֶחָת וְאַרְבָּעָה כְּנָפַיִם לְאַחַת לָהֶם </w:t>
      </w:r>
      <w:r>
        <w:rPr>
          <w:sz w:val="20"/>
          <w:szCs w:val="23"/>
          <w:rtl/>
        </w:rPr>
        <w:t>(יחזקאל א ו)</w:t>
      </w:r>
      <w:r>
        <w:rPr>
          <w:rtl/>
        </w:rPr>
        <w:t xml:space="preserve">, דְּכֻלְּהוּ פָרְחִין בְּפָתוֹרָא קֳדָם יהו''ה בְּכַמָּה רְנָנוֹת, </w:t>
      </w:r>
      <w:r>
        <w:rPr>
          <w:rStyle w:val="a7"/>
          <w:b w:val="0"/>
          <w:bCs w:val="0"/>
          <w:rtl/>
        </w:rPr>
        <w:footnoteReference w:id="4156"/>
      </w:r>
      <w:r>
        <w:rPr>
          <w:rtl/>
        </w:rPr>
        <w:t xml:space="preserve">וְצָרִיךְ לְחַבְּרָא לְהַאי פָּתוֹרָא אוֹרַיְיתָא דְאִיהוּ קוּדְשָׁא בְּרִיךְ הוּא, </w:t>
      </w:r>
      <w:r>
        <w:rPr>
          <w:rStyle w:val="a7"/>
          <w:b w:val="0"/>
          <w:bCs w:val="0"/>
          <w:rtl/>
        </w:rPr>
        <w:footnoteReference w:id="4157"/>
      </w:r>
      <w:r>
        <w:rPr>
          <w:rtl/>
        </w:rPr>
        <w:t xml:space="preserve">וּבְגִין דָּא אוּקְמוּהוּ מָארֵי מַתְנִיתִין, </w:t>
      </w:r>
      <w:r>
        <w:rPr>
          <w:rStyle w:val="a7"/>
          <w:b w:val="0"/>
          <w:bCs w:val="0"/>
          <w:rtl/>
        </w:rPr>
        <w:footnoteReference w:id="4158"/>
      </w:r>
      <w:r>
        <w:rPr>
          <w:rtl/>
        </w:rPr>
        <w:t xml:space="preserve">שְׁנַיִם שֶׁאוֹכְלִין עַל שֻׁלְחָן אֶחָד וכו', וְאִם הוּא חַד אוֹרֵחַ וְחַד בַּעַל הַבַּיִת, בַּעַל הַבַּיִת בּוֹצֵעַ וְאוֹרֵחַ מְבָרֵךְ, </w:t>
      </w:r>
      <w:r>
        <w:rPr>
          <w:rStyle w:val="a7"/>
          <w:b w:val="0"/>
          <w:bCs w:val="0"/>
          <w:rtl/>
        </w:rPr>
        <w:footnoteReference w:id="4159"/>
      </w:r>
      <w:r>
        <w:rPr>
          <w:rtl/>
        </w:rPr>
        <w:t xml:space="preserve">בַּעַל הַבַּיִת בּוֹצֵעַ דָּא עַמּוּדָא דְאֶמְצָעִיתָא לְעִילָא, וְאוֹרֵחַ מְבָרֵךְ דָּא צַדִּיק דְּאִתְּמַר בֵּיהּ </w:t>
      </w:r>
      <w:r>
        <w:rPr>
          <w:sz w:val="20"/>
          <w:szCs w:val="23"/>
          <w:rtl/>
        </w:rPr>
        <w:t>(משלי ד יח)</w:t>
      </w:r>
      <w:r>
        <w:rPr>
          <w:rtl/>
        </w:rPr>
        <w:t xml:space="preserve"> וְאֹרַח צַדִּיקִים כְּאוֹר נֹגַהּ וְגוֹמֵר, וְצַדִּיק אִיהוּ בְּשַׁבָּת כְּאוֹרֵחַ דְּאָתֵי וְאָזִיל בְּכָל שַׁבָּת וְשַׁבָּת.</w:t>
      </w:r>
    </w:p>
    <w:p w:rsidR="00B17EA9" w:rsidRDefault="00B17EA9" w:rsidP="00B17EA9">
      <w:pPr>
        <w:spacing w:after="40" w:line="360" w:lineRule="atLeast"/>
        <w:ind w:left="144" w:right="144" w:firstLine="288"/>
        <w:jc w:val="both"/>
        <w:rPr>
          <w:rFonts w:ascii="Arial"/>
          <w:b/>
          <w:szCs w:val="23"/>
          <w:rtl/>
        </w:rPr>
      </w:pPr>
      <w:r>
        <w:rPr>
          <w:rtl/>
        </w:rPr>
        <w:t xml:space="preserve">[תיקוני זוהר - דף פז ע''ב] </w:t>
      </w:r>
    </w:p>
    <w:p w:rsidR="00B17EA9" w:rsidRDefault="00B17EA9" w:rsidP="00B17EA9">
      <w:pPr>
        <w:pStyle w:val="NormalWeb"/>
        <w:rPr>
          <w:rtl/>
        </w:rPr>
      </w:pPr>
      <w:r>
        <w:rPr>
          <w:rtl/>
        </w:rPr>
        <w:t xml:space="preserve">שַׁבָּת שְׁכִינְתָּא, בַּעַל הַבַּיִת דִּילָהּ עַמּוּדָא דְאֶמְצָעִיתָא, וְאִיהוּ בוֹצֵעַ וּפָרִיס פְּרוּסָא דְנַהֲמָא דְּאִיהִי טִפָּה, וְיָהִיב </w:t>
      </w:r>
      <w:r>
        <w:rPr>
          <w:rStyle w:val="a7"/>
          <w:b w:val="0"/>
          <w:bCs w:val="0"/>
          <w:rtl/>
        </w:rPr>
        <w:footnoteReference w:id="4160"/>
      </w:r>
      <w:r>
        <w:rPr>
          <w:rtl/>
        </w:rPr>
        <w:t xml:space="preserve">לְאוֹרֵחַ דְּאִיהוּ צַדִּיק וְעָנִי, </w:t>
      </w:r>
      <w:r>
        <w:rPr>
          <w:rStyle w:val="a7"/>
          <w:b w:val="0"/>
          <w:bCs w:val="0"/>
          <w:rtl/>
        </w:rPr>
        <w:footnoteReference w:id="4161"/>
      </w:r>
      <w:r>
        <w:rPr>
          <w:rtl/>
        </w:rPr>
        <w:t xml:space="preserve">וְאוֹרֵחַ מְבָרֵךְ לְבַעַל הַבַּיִת בַּכֹּל מִכֹּל כֹּל דְּאִינוּן תְּלַת אֲבָהָן, </w:t>
      </w:r>
      <w:r>
        <w:rPr>
          <w:rStyle w:val="a7"/>
          <w:b w:val="0"/>
          <w:bCs w:val="0"/>
          <w:rtl/>
        </w:rPr>
        <w:footnoteReference w:id="4162"/>
      </w:r>
      <w:r>
        <w:rPr>
          <w:rtl/>
        </w:rPr>
        <w:t xml:space="preserve">בְּבִרְכָן דְּאִתְבָּרְכוּ אִינוּן, </w:t>
      </w:r>
      <w:r>
        <w:rPr>
          <w:sz w:val="20"/>
          <w:szCs w:val="23"/>
          <w:rtl/>
        </w:rPr>
        <w:t xml:space="preserve">(דף פז ע''ב) </w:t>
      </w:r>
      <w:r>
        <w:rPr>
          <w:rStyle w:val="a7"/>
          <w:b w:val="0"/>
          <w:bCs w:val="0"/>
          <w:rtl/>
        </w:rPr>
        <w:footnoteReference w:id="4163"/>
      </w:r>
      <w:r>
        <w:rPr>
          <w:rtl/>
        </w:rPr>
        <w:t xml:space="preserve">תֵּשַׁע בִרְכָאָן עַל יְדֵי דְצַדִּיק נָחֲתִין לְעַמּוּדָא דְאֶמְצָעִיתָא, הֲדָא הוּא דִכְתִיב </w:t>
      </w:r>
      <w:r>
        <w:rPr>
          <w:sz w:val="20"/>
          <w:szCs w:val="23"/>
          <w:rtl/>
        </w:rPr>
        <w:t>(משלי י ו)</w:t>
      </w:r>
      <w:r>
        <w:rPr>
          <w:rtl/>
        </w:rPr>
        <w:t xml:space="preserve"> וּבְרָכוֹת לְרֹאשׁ צַדִּיק, מָאן רֹאשׁ צַדִּיק דָּא עַמּוּדָא דְאֶמְצָעִיתָא, </w:t>
      </w:r>
      <w:r>
        <w:rPr>
          <w:rStyle w:val="a7"/>
          <w:b w:val="0"/>
          <w:bCs w:val="0"/>
          <w:rtl/>
        </w:rPr>
        <w:footnoteReference w:id="4164"/>
      </w:r>
      <w:r>
        <w:rPr>
          <w:rtl/>
        </w:rPr>
        <w:t>תֵּשַׁע בִּרְכָאָן אִינוּן מֵעִילָא לְתַתָּא מִכֶּתֶר עַד צַדִּיק, וְתֵשַׁע אִינוּן מִתַּתָּא לְעִילָא מִצַּדִּיק עַד כֶּתֶר עִלָּאָה, וְכֻלְּהוּ סָלְקִין חַ''י, וְכַלָה כְלִילָא מִנַּיְיהוּ.</w:t>
      </w:r>
    </w:p>
    <w:p w:rsidR="00B17EA9" w:rsidRDefault="00B17EA9" w:rsidP="00B17EA9">
      <w:pPr>
        <w:pStyle w:val="NormalWeb"/>
        <w:rPr>
          <w:rtl/>
        </w:rPr>
      </w:pPr>
      <w:r>
        <w:rPr>
          <w:rtl/>
        </w:rPr>
        <w:t xml:space="preserve">תְּפִלָּה </w:t>
      </w:r>
      <w:r>
        <w:rPr>
          <w:rStyle w:val="a7"/>
          <w:b w:val="0"/>
          <w:bCs w:val="0"/>
          <w:rtl/>
        </w:rPr>
        <w:footnoteReference w:id="4165"/>
      </w:r>
      <w:r>
        <w:rPr>
          <w:rtl/>
        </w:rPr>
        <w:t xml:space="preserve">לְמֹשֶׁה תְּפִלָּה לְדָוִד, בֵּית הַכְּנֶסֶת אִיהוּ כִּנּוּסְיָא דְכֻלְּהוּ בִרְכָאָן, תְּפִלָּה אִיהִי </w:t>
      </w:r>
      <w:r>
        <w:rPr>
          <w:rStyle w:val="a7"/>
          <w:b w:val="0"/>
          <w:bCs w:val="0"/>
          <w:rtl/>
        </w:rPr>
        <w:footnoteReference w:id="4166"/>
      </w:r>
      <w:r>
        <w:rPr>
          <w:rtl/>
        </w:rPr>
        <w:t xml:space="preserve">בְּגִין דְּאִיהִי סוּס לְקוּדְשָׁא בְּרִיךְ הוּא, וְאִיהִי אִתְעֲבִידַת טְפֵלָה לְרוֹכֵב, דְהָכִי אוּקְמוּהוּ מָארֵי מַתְנִיתִין אֵין הָרוֹכֵב טָפֵל לַסּוּס אֶלָּא הַסּוּס טְפֵלָה לָרוֹכֵב, </w:t>
      </w:r>
      <w:r>
        <w:rPr>
          <w:rStyle w:val="a7"/>
          <w:b w:val="0"/>
          <w:bCs w:val="0"/>
          <w:rtl/>
        </w:rPr>
        <w:footnoteReference w:id="4167"/>
      </w:r>
      <w:r>
        <w:rPr>
          <w:rtl/>
        </w:rPr>
        <w:t xml:space="preserve">אִית טָפֵל בְּט' וְאִית תָּפֵל בְּת', כְּגוֹן הֲיֵאָכֵל תָּפֵל מִבְּלִי מֶלַח </w:t>
      </w:r>
      <w:r>
        <w:rPr>
          <w:sz w:val="20"/>
          <w:szCs w:val="23"/>
          <w:rtl/>
        </w:rPr>
        <w:t>(איוב ו ו)</w:t>
      </w:r>
      <w:r>
        <w:rPr>
          <w:rtl/>
        </w:rPr>
        <w:t>, וְהַאי תְּפִלָּה הָכִי אִיהִי בְּת'.</w:t>
      </w:r>
    </w:p>
    <w:p w:rsidR="00B17EA9" w:rsidRDefault="00B17EA9" w:rsidP="00B17EA9">
      <w:pPr>
        <w:pStyle w:val="NormalWeb"/>
        <w:rPr>
          <w:rtl/>
        </w:rPr>
      </w:pPr>
      <w:r>
        <w:rPr>
          <w:rStyle w:val="a7"/>
          <w:b w:val="0"/>
          <w:bCs w:val="0"/>
          <w:rtl/>
        </w:rPr>
        <w:footnoteReference w:id="4168"/>
      </w:r>
      <w:r>
        <w:rPr>
          <w:rtl/>
        </w:rPr>
        <w:t xml:space="preserve">וְאִיהִי כּוֹס דְּיַיִן, דְּאִיהוּ יַיִ''ן חוּשְׁבַּן סוֹ''ד מִן יְסוֹד, </w:t>
      </w:r>
      <w:r>
        <w:rPr>
          <w:rStyle w:val="a7"/>
          <w:b w:val="0"/>
          <w:bCs w:val="0"/>
          <w:rtl/>
        </w:rPr>
        <w:footnoteReference w:id="4169"/>
      </w:r>
      <w:r>
        <w:rPr>
          <w:rtl/>
        </w:rPr>
        <w:t xml:space="preserve">וְצָרִיךְ בֵּיהּ עֲשָׂרָה דְבָרִים כְּמָה דְאוּקְמוּהוּ מָארֵי מַתְנִיתִין, </w:t>
      </w:r>
      <w:r>
        <w:rPr>
          <w:rStyle w:val="a7"/>
          <w:b w:val="0"/>
          <w:bCs w:val="0"/>
          <w:rtl/>
        </w:rPr>
        <w:footnoteReference w:id="4170"/>
      </w:r>
      <w:r>
        <w:rPr>
          <w:rtl/>
        </w:rPr>
        <w:t xml:space="preserve">וְאִינוּן כְּחֻשְׁבַּן י' מִן יְסוֹד, וְאִינוּן עִטּוּר וְעִטּוּף הֲדָחָה וּשְׁטִיפָה חַ''י וּמָלֵא, מְקַבְּלוֹ בִּתְרֵי יְדוֹי וְנוֹתְנוֹ בְּיָמִין, וְיָהֵיב עִינוֹי בֵּיהּ, וּמְסַלְּקוֹ מִן הַקַּרְקַע טֶפַח, וּמְשַׁגְּרֵיהּ בְּמַתָּנָה לְאַנְשֵׁי בֵיתֵיהּ, עִטּוּר מִסִּטְרָא דַעֲטָרָה דִבְּרִית מִילָה, </w:t>
      </w:r>
      <w:r>
        <w:rPr>
          <w:rStyle w:val="a7"/>
          <w:b w:val="0"/>
          <w:bCs w:val="0"/>
          <w:rtl/>
        </w:rPr>
        <w:footnoteReference w:id="4171"/>
      </w:r>
      <w:r>
        <w:rPr>
          <w:rtl/>
        </w:rPr>
        <w:t xml:space="preserve">עִטּוּף עוֹטֶה אוֹר כַּשַּׁלְמָה </w:t>
      </w:r>
      <w:r>
        <w:rPr>
          <w:sz w:val="20"/>
          <w:szCs w:val="23"/>
          <w:rtl/>
        </w:rPr>
        <w:t>(תהלים קד ב)</w:t>
      </w:r>
      <w:r>
        <w:rPr>
          <w:rtl/>
        </w:rPr>
        <w:t xml:space="preserve">, </w:t>
      </w:r>
      <w:r>
        <w:rPr>
          <w:rStyle w:val="a7"/>
          <w:b w:val="0"/>
          <w:bCs w:val="0"/>
          <w:rtl/>
        </w:rPr>
        <w:footnoteReference w:id="4172"/>
      </w:r>
      <w:r>
        <w:rPr>
          <w:rtl/>
        </w:rPr>
        <w:t xml:space="preserve">וְאִם הוּא עָנִי דְלֵית בֵּיהּ אֶלָּא רְבִיעִית לוֹג דְּאִיהִי שִׁעוּרָא דְאָת ד', אִתְּמַר </w:t>
      </w:r>
      <w:r>
        <w:rPr>
          <w:sz w:val="20"/>
          <w:szCs w:val="23"/>
          <w:rtl/>
        </w:rPr>
        <w:t>(שם קב א)</w:t>
      </w:r>
      <w:r>
        <w:rPr>
          <w:rtl/>
        </w:rPr>
        <w:t xml:space="preserve"> תְּפִלָּה לְעָנִי כִי יַעֲטוֹף, הֲדָחָה וּשְׁטִיפָה, הֲדָחָה מִלְּגָאו וּשְׁטִיפָה מִלְּבָר, וְרָזָא דְמִלָּה וְטִהֲרוֹ וְקִדְּשׁוֹ </w:t>
      </w:r>
      <w:r>
        <w:rPr>
          <w:sz w:val="20"/>
          <w:szCs w:val="23"/>
          <w:rtl/>
        </w:rPr>
        <w:t>(ויקרא טז יט)</w:t>
      </w:r>
      <w:r>
        <w:rPr>
          <w:rtl/>
        </w:rPr>
        <w:t>.</w:t>
      </w:r>
    </w:p>
    <w:p w:rsidR="00B17EA9" w:rsidRDefault="00B17EA9" w:rsidP="00B17EA9">
      <w:pPr>
        <w:pStyle w:val="NormalWeb"/>
        <w:rPr>
          <w:rtl/>
        </w:rPr>
      </w:pPr>
      <w:r>
        <w:rPr>
          <w:rStyle w:val="a7"/>
          <w:b w:val="0"/>
          <w:bCs w:val="0"/>
          <w:rtl/>
        </w:rPr>
        <w:footnoteReference w:id="4173"/>
      </w:r>
      <w:r>
        <w:rPr>
          <w:rtl/>
        </w:rPr>
        <w:t xml:space="preserve">קָם סָבָא חֲדָא מִבָּתַר טוּלָא דְרַבִּי שִׁמְעוֹן בֶּן יוֹחָאי, וְאָמַר רַבִּי רַבִּי שַׁפִּיר קָאֲמַרְתְּ, אֲבָל הַאי כּוֹס צָרִיךְ לְסַלְקָא לֵיהּ בְּדַרְגּוֹי, עִטּוּר מִסִּטְרָא דַעֲטָרָה דְאִיהִי כֶתֶר עֶלְיוֹן עַל רֵישָׁא דְצַדִּיק, עִטּוּף כְּגוֹן עוֹטֶה אוֹר כַּשַּׂלְמָה, מַאי עוֹטֶה </w:t>
      </w:r>
      <w:r>
        <w:rPr>
          <w:rStyle w:val="a7"/>
          <w:b w:val="0"/>
          <w:bCs w:val="0"/>
          <w:rtl/>
        </w:rPr>
        <w:footnoteReference w:id="4174"/>
      </w:r>
      <w:r>
        <w:rPr>
          <w:rtl/>
        </w:rPr>
        <w:t xml:space="preserve">דָא י' דְּאִתְעַטַּף בְּאוֹר וְאִתְעֲבִיד אַוִּיר, וְהַאי דְּאִתְעַטַּף אִיהוּ חָכְמָה, הֲדָחָה וּשְׁטִיפָה דְאִיהוּ וְטִהֲרוֹ וְקִדְּשׁוֹ, </w:t>
      </w:r>
      <w:r>
        <w:rPr>
          <w:rStyle w:val="a7"/>
          <w:b w:val="0"/>
          <w:bCs w:val="0"/>
          <w:rtl/>
        </w:rPr>
        <w:footnoteReference w:id="4175"/>
      </w:r>
      <w:r>
        <w:rPr>
          <w:rtl/>
        </w:rPr>
        <w:t xml:space="preserve">טַהֲרָה מִסִּטְרָא דְכַהֲנָא, דְאִתְּמַר בְּכַהֲנָא טָבַל וְעָלָה אִתְדַּכֵּי לְמֵיכַל בִּתְרוּמָה, וְקִדְּשׁוֹ מִסִּטְרָא דִשְׂמָאלָא, הֲדָא הוּא דִכְתִיב וְקִדַּשְׁתָּ אֶת הַלְוִיִּם, חַ''י מִסִּטְרָא דְצַדִּיק חַ''י עָלְמִין כְּלִיל חַ''י בִּרְכָאָן דִּצְלוֹתָא, </w:t>
      </w:r>
      <w:r>
        <w:rPr>
          <w:rStyle w:val="a7"/>
          <w:b w:val="0"/>
          <w:bCs w:val="0"/>
          <w:rtl/>
        </w:rPr>
        <w:footnoteReference w:id="4176"/>
      </w:r>
      <w:r>
        <w:rPr>
          <w:rtl/>
        </w:rPr>
        <w:t xml:space="preserve">וּמָלֵא מִסִּטְרָא דְעַמּוּדָא דְאֶמְצָעִיתָא, </w:t>
      </w:r>
      <w:r>
        <w:rPr>
          <w:rStyle w:val="a7"/>
          <w:b w:val="0"/>
          <w:bCs w:val="0"/>
          <w:rtl/>
        </w:rPr>
        <w:footnoteReference w:id="4177"/>
      </w:r>
      <w:r>
        <w:rPr>
          <w:rtl/>
        </w:rPr>
        <w:t xml:space="preserve">וּמְקַבְּלוֹ בִּשְׁתֵּי יָדָיו וְנוֹתְנוֹ בְּיָמִין, דָּא הַהוּא דְאִתְּמַר בֵּיהּ </w:t>
      </w:r>
      <w:r>
        <w:rPr>
          <w:sz w:val="20"/>
          <w:szCs w:val="23"/>
          <w:rtl/>
        </w:rPr>
        <w:t>(דברים לג ב)</w:t>
      </w:r>
      <w:r>
        <w:rPr>
          <w:rtl/>
        </w:rPr>
        <w:t xml:space="preserve"> מִימִינוֹ אֵשׁ דָּת לָמוֹ, כִּי יְמִינְךָ פְּשׁוּטָה לְקַבֵּל שָׁבִים, וְאִיהוּ יְמִינְךָ יהו''ה </w:t>
      </w:r>
      <w:r>
        <w:rPr>
          <w:rStyle w:val="Char"/>
          <w:rtl/>
        </w:rPr>
        <w:t xml:space="preserve">נֶאְדָּרִי בַּכֹּחַ </w:t>
      </w:r>
      <w:r>
        <w:rPr>
          <w:sz w:val="20"/>
          <w:szCs w:val="23"/>
          <w:rtl/>
        </w:rPr>
        <w:t>(שמות טו ו)</w:t>
      </w:r>
      <w:r>
        <w:rPr>
          <w:rtl/>
        </w:rPr>
        <w:t xml:space="preserve">, </w:t>
      </w:r>
      <w:r>
        <w:rPr>
          <w:rStyle w:val="a7"/>
          <w:b w:val="0"/>
          <w:bCs w:val="0"/>
          <w:rtl/>
        </w:rPr>
        <w:footnoteReference w:id="4178"/>
      </w:r>
      <w:r>
        <w:rPr>
          <w:rtl/>
        </w:rPr>
        <w:t xml:space="preserve">תְּרֵין יְדַיִן אִינוּן ה''ה, חַד שְׂמָאלָא וְחַד יְמִינָא, וּבְגִין דָּא צָרִיךְ לְאִתְיַיהֲבָא בְּחָמֵשׁ אֶצְבְּעָאן, </w:t>
      </w:r>
      <w:r>
        <w:rPr>
          <w:rStyle w:val="a7"/>
          <w:b w:val="0"/>
          <w:bCs w:val="0"/>
          <w:rtl/>
        </w:rPr>
        <w:footnoteReference w:id="4179"/>
      </w:r>
      <w:r>
        <w:rPr>
          <w:rtl/>
        </w:rPr>
        <w:t xml:space="preserve">מִשּׁוּם כּוֹס יְשׁוּעוֹת אֶשָּׂא </w:t>
      </w:r>
      <w:r>
        <w:rPr>
          <w:sz w:val="20"/>
          <w:szCs w:val="23"/>
          <w:rtl/>
        </w:rPr>
        <w:t>(תהלים קיז יג)</w:t>
      </w:r>
      <w:r>
        <w:rPr>
          <w:rtl/>
        </w:rPr>
        <w:t xml:space="preserve">, וְנוֹתֵן עִינָיו בּוֹ, עֲלַיְיהוּ אִתְּמַר </w:t>
      </w:r>
      <w:r>
        <w:rPr>
          <w:sz w:val="20"/>
          <w:szCs w:val="23"/>
          <w:rtl/>
        </w:rPr>
        <w:t>(שם קמה טו)</w:t>
      </w:r>
      <w:r>
        <w:rPr>
          <w:rtl/>
        </w:rPr>
        <w:t xml:space="preserve"> עִינֵי כֹל אֵלֶיךָ יְשַׂבֵּרוּ, וְאִינוּן תְּרֵי סַמְכֵי קְשׁוֹט דְּאִינוּן י' י', דְּאִינוּן בַּת עִינָא יְמִינָא וּבַת עִינָא שְׂמָאלָא, </w:t>
      </w:r>
      <w:r>
        <w:rPr>
          <w:rStyle w:val="a7"/>
          <w:b w:val="0"/>
          <w:bCs w:val="0"/>
          <w:rtl/>
        </w:rPr>
        <w:footnoteReference w:id="4180"/>
      </w:r>
      <w:r>
        <w:rPr>
          <w:rtl/>
        </w:rPr>
        <w:t xml:space="preserve">וּבֵינַיְיהוּ ו' זְעִירָא זְעִיר אַנְפִּין, דְּאִיהוּ שׁוֹקָיו עַמּוּדֵי שֵׁשׁ </w:t>
      </w:r>
      <w:r>
        <w:rPr>
          <w:sz w:val="20"/>
          <w:szCs w:val="23"/>
          <w:rtl/>
        </w:rPr>
        <w:t>(שיר ה טו)</w:t>
      </w:r>
      <w:r>
        <w:rPr>
          <w:rtl/>
        </w:rPr>
        <w:t>.</w:t>
      </w:r>
    </w:p>
    <w:p w:rsidR="00B17EA9" w:rsidRDefault="00B17EA9" w:rsidP="00B17EA9">
      <w:pPr>
        <w:pStyle w:val="NormalWeb"/>
        <w:rPr>
          <w:rtl/>
        </w:rPr>
      </w:pPr>
      <w:r>
        <w:rPr>
          <w:rStyle w:val="a7"/>
          <w:b w:val="0"/>
          <w:bCs w:val="0"/>
          <w:rtl/>
        </w:rPr>
        <w:footnoteReference w:id="4181"/>
      </w:r>
      <w:r>
        <w:rPr>
          <w:rtl/>
        </w:rPr>
        <w:t xml:space="preserve">וּמְסַלְּקוֹ מִן הַקַּרְקַע טֶפַח מִסִּטְרָא דְי' זְעִירָא חָכְמַת שְׁלֹמֹה, וּמְשַׁגְּרוֹ בְּמַתָּנָה לְאַנְשֵׁי בֵּיתוֹ דָא אִימָּא עִלָּאָה, </w:t>
      </w:r>
      <w:r>
        <w:rPr>
          <w:rStyle w:val="a7"/>
          <w:b w:val="0"/>
          <w:bCs w:val="0"/>
          <w:rtl/>
        </w:rPr>
        <w:footnoteReference w:id="4182"/>
      </w:r>
      <w:r>
        <w:rPr>
          <w:rtl/>
        </w:rPr>
        <w:t xml:space="preserve">דְאִתְּמַר בָּהּ יִשְׂמַח מֹשֶׁה בְּמַתְּנַת חֶלְקוֹ, </w:t>
      </w:r>
      <w:r>
        <w:rPr>
          <w:rStyle w:val="a7"/>
          <w:b w:val="0"/>
          <w:bCs w:val="0"/>
          <w:rtl/>
        </w:rPr>
        <w:footnoteReference w:id="4183"/>
      </w:r>
      <w:r>
        <w:rPr>
          <w:rtl/>
        </w:rPr>
        <w:t xml:space="preserve">וּבְגָלוּתָא לֵית לָן אֶלָּא אַרְבָּעָה, חַ''י מָ''לֵא שְׁ''טִיפָה הֲ''דָחָה, </w:t>
      </w:r>
      <w:r>
        <w:rPr>
          <w:rStyle w:val="a7"/>
          <w:b w:val="0"/>
          <w:bCs w:val="0"/>
          <w:rtl/>
        </w:rPr>
        <w:footnoteReference w:id="4184"/>
      </w:r>
      <w:r>
        <w:rPr>
          <w:rtl/>
        </w:rPr>
        <w:t xml:space="preserve">וְסִימָנִיךְ חֲמִשָּׁה, וְאִינוּן מִסִּטְרָא דְאָת ה' דְּאִיהִי רְבִיעִית לְחֻשְׁבָּנָא, וְאִיהִי דָלֵ''ת עֲנִיָּה, בְּגִין דְּאִסְתַּלַּק מִינָהּ ו' דְּאִיהוּ שִׁית דַּרְגִּין, </w:t>
      </w:r>
      <w:r>
        <w:rPr>
          <w:rStyle w:val="a7"/>
          <w:b w:val="0"/>
          <w:bCs w:val="0"/>
          <w:rtl/>
        </w:rPr>
        <w:footnoteReference w:id="4185"/>
      </w:r>
      <w:r>
        <w:rPr>
          <w:rtl/>
        </w:rPr>
        <w:t>הַכּוֹס אִיהוּ בְּרָזָא דְיאהדונה''י דְאִיהוּ כ''ו ה''ס, כּוֹס בְּחֻשְׁבָּנָא אלהי''ם.</w:t>
      </w:r>
    </w:p>
    <w:p w:rsidR="00B17EA9" w:rsidRDefault="00B17EA9" w:rsidP="00602EF1">
      <w:pPr>
        <w:pStyle w:val="1"/>
        <w:rPr>
          <w:u w:val="single"/>
          <w:rtl/>
        </w:rPr>
      </w:pPr>
      <w:r>
        <w:rPr>
          <w:rtl/>
        </w:rPr>
        <w:t>תקונא תשע וארבעין</w:t>
      </w:r>
      <w:bookmarkEnd w:id="265"/>
      <w:bookmarkEnd w:id="266"/>
    </w:p>
    <w:p w:rsidR="00B17EA9" w:rsidRDefault="00B17EA9" w:rsidP="00B17EA9">
      <w:pPr>
        <w:spacing w:after="40" w:line="360" w:lineRule="atLeast"/>
        <w:ind w:left="144" w:right="144" w:firstLine="288"/>
        <w:jc w:val="both"/>
        <w:rPr>
          <w:rFonts w:ascii="Arial"/>
          <w:b/>
          <w:szCs w:val="23"/>
          <w:rtl/>
        </w:rPr>
      </w:pPr>
      <w:r>
        <w:rPr>
          <w:rtl/>
        </w:rPr>
        <w:t xml:space="preserve">[תיקוני זוהר - המשך דף פח ע''א, דף פח ע''ב] </w:t>
      </w:r>
    </w:p>
    <w:p w:rsidR="00B17EA9" w:rsidRDefault="00B17EA9" w:rsidP="005C70D5">
      <w:pPr>
        <w:pStyle w:val="NormalWeb"/>
        <w:rPr>
          <w:rtl/>
        </w:rPr>
      </w:pPr>
      <w:r>
        <w:rPr>
          <w:rStyle w:val="a7"/>
          <w:rtl/>
        </w:rPr>
        <w:footnoteReference w:id="4186"/>
      </w:r>
      <w:r>
        <w:rPr>
          <w:rtl/>
        </w:rPr>
        <w:t xml:space="preserve">בְּרֵאשִׁית בָּרָא אלהי''ם. שְׂאוּ מָרוֹם עִינֵיכֶם וּרְאוּ מִי בָרָא אֵלֶּה </w:t>
      </w:r>
      <w:r>
        <w:rPr>
          <w:szCs w:val="23"/>
          <w:rtl/>
        </w:rPr>
        <w:t>(ישעיה מ לו)</w:t>
      </w:r>
      <w:r>
        <w:rPr>
          <w:rtl/>
        </w:rPr>
        <w:t xml:space="preserve">, מִי אֵלֶּה, הוּא אלהי''ם, מִי בָּרָא לְאֵלֶּה, שְׂ"אוּ מָ"רוֹם עִ"ינֵיכֶם דָּא </w:t>
      </w:r>
      <w:r>
        <w:rPr>
          <w:szCs w:val="23"/>
          <w:rtl/>
        </w:rPr>
        <w:t xml:space="preserve">(דף פח ע''ב) </w:t>
      </w:r>
      <w:r>
        <w:rPr>
          <w:rtl/>
        </w:rPr>
        <w:t xml:space="preserve">קְרִיאַת שְׁמַ''ע, רָאשֵׁי תֵּיבִין שְׁמַע דִּמְיַחֲדִין יִשְׂרָאֵל לְקוּדְשָׁא בְּרִיךְ הוּא פַּעֲמַיִם, וְתִשְׁכְּחוּ תַּמָּן מִ''י דְּאִיהוּ כְלָלָא דְחַמְשִׁין אַתְוָון, </w:t>
      </w:r>
      <w:r>
        <w:rPr>
          <w:rStyle w:val="a7"/>
          <w:rtl/>
        </w:rPr>
        <w:footnoteReference w:id="4187"/>
      </w:r>
      <w:r>
        <w:rPr>
          <w:rtl/>
        </w:rPr>
        <w:t xml:space="preserve">וּבְמַאי צָרִיךְ לְיַחֲדָא לֵיהּ בְּשַׁחֲרִין, בְּהַהוּא דְאִתְּמַר בֵּיהּ </w:t>
      </w:r>
      <w:r>
        <w:rPr>
          <w:szCs w:val="23"/>
          <w:rtl/>
        </w:rPr>
        <w:t>(חבקוק ג י)</w:t>
      </w:r>
      <w:r>
        <w:rPr>
          <w:rtl/>
        </w:rPr>
        <w:t xml:space="preserve"> רוֹם יָדֵיהוּ נָשָׂא, דְאִיהוּ מָרוֹם, בְּגִין דְּאִיהוּ מְרוֹמִים יִשְׁכּוֹן. וּרְא''וּ דְתַמָּן אוֹ''ר, וְדָא אוֹר הַכֹּכָבִים, דִּבְהוֹן שְׁכִינְתָּא נָפְקַת הֲדָא הוּא דִכְתִיב </w:t>
      </w:r>
      <w:r>
        <w:rPr>
          <w:szCs w:val="23"/>
          <w:rtl/>
        </w:rPr>
        <w:t>(ישעיה מ כו)</w:t>
      </w:r>
      <w:r>
        <w:rPr>
          <w:rtl/>
        </w:rPr>
        <w:t xml:space="preserve"> הַמּוֹצִיא בְמִסְפָּר צְבָאָם, וּבְגִין דָּא קְרִיאַת שְׁמַע בְּלֵילְיָא, כְּמָה דְאוּקְמוּהָ מָארֵי מַתְנִיתִין בִּיצִיאַת הַכֹּכָבִים, </w:t>
      </w:r>
      <w:r>
        <w:rPr>
          <w:rStyle w:val="a7"/>
          <w:rtl/>
        </w:rPr>
        <w:footnoteReference w:id="4188"/>
      </w:r>
      <w:r>
        <w:rPr>
          <w:rtl/>
        </w:rPr>
        <w:t xml:space="preserve">עֶרֶב וָבֹקֶר צְרִיכִין לְיַחֲדָא לָהּ עִם מַלְכָּא, בְגִין דְּבָעֶרֶב הִיא בָאָה עִמֵּיהּ, וּבַבֹּקֶר הִיא שָׁבָה לְגַבֵּיהּ </w:t>
      </w:r>
      <w:r>
        <w:rPr>
          <w:szCs w:val="23"/>
          <w:rtl/>
        </w:rPr>
        <w:t>(אסתר ב יד)</w:t>
      </w:r>
      <w:r>
        <w:rPr>
          <w:rtl/>
        </w:rPr>
        <w:t>, וְדָא עֶרֶב דְּיִצְחָק וּבֹקֶר דְּאַבְרָהָם, דְּתַמָּן בַּעְלָהּ בֵּינַיְיהוּ יִשְׂרָאֵל.</w:t>
      </w:r>
    </w:p>
    <w:p w:rsidR="00B17EA9" w:rsidRDefault="00B17EA9" w:rsidP="005C70D5">
      <w:pPr>
        <w:pStyle w:val="NormalWeb"/>
        <w:rPr>
          <w:rtl/>
        </w:rPr>
      </w:pPr>
      <w:r>
        <w:rPr>
          <w:rStyle w:val="a7"/>
          <w:rtl/>
        </w:rPr>
        <w:footnoteReference w:id="4189"/>
      </w:r>
      <w:r>
        <w:rPr>
          <w:rtl/>
        </w:rPr>
        <w:t xml:space="preserve">וְעוֹד הַמּוֹצִיא, דָא הַמּוֹצִיא לֶחֶם מִן הָאָרֶץ, בְּגִינָהּ אִתְּמַר </w:t>
      </w:r>
      <w:r>
        <w:rPr>
          <w:szCs w:val="23"/>
          <w:rtl/>
        </w:rPr>
        <w:t>(ישעיה לג טז)</w:t>
      </w:r>
      <w:r>
        <w:rPr>
          <w:rtl/>
        </w:rPr>
        <w:t xml:space="preserve"> לַחְמוֹ נִתָּן וכו', וְעוֹד הַמּוֹצִיא בְמִסְפָּר צְבָאָם, אִלֵּין </w:t>
      </w:r>
      <w:r>
        <w:rPr>
          <w:rStyle w:val="a7"/>
          <w:rtl/>
        </w:rPr>
        <w:footnoteReference w:id="4190"/>
      </w:r>
      <w:r>
        <w:rPr>
          <w:rtl/>
        </w:rPr>
        <w:t xml:space="preserve">רְמַ''ח תֵּיבִין דִּקְרִיאַת שְׁמַע, </w:t>
      </w:r>
      <w:r>
        <w:rPr>
          <w:rStyle w:val="a7"/>
          <w:rtl/>
        </w:rPr>
        <w:footnoteReference w:id="4191"/>
      </w:r>
      <w:r>
        <w:rPr>
          <w:rtl/>
        </w:rPr>
        <w:t xml:space="preserve">לְכֻלָּם בְּשֵׁם יִקְרָא </w:t>
      </w:r>
      <w:r>
        <w:rPr>
          <w:szCs w:val="23"/>
          <w:rtl/>
        </w:rPr>
        <w:t>(ישעיה מ כו)</w:t>
      </w:r>
      <w:r>
        <w:rPr>
          <w:rtl/>
        </w:rPr>
        <w:t xml:space="preserve">, הֲדָא הוּא דִכְתִיב </w:t>
      </w:r>
      <w:r>
        <w:rPr>
          <w:szCs w:val="23"/>
          <w:rtl/>
        </w:rPr>
        <w:t>(בראשית ב כ)</w:t>
      </w:r>
      <w:r>
        <w:rPr>
          <w:rtl/>
        </w:rPr>
        <w:t xml:space="preserve"> וַיִּקְרָא הָאָדָם שֵׁמוֹת וְגוֹמֵר, דָּא הַהוּא דְאִתְּמַר בֵּיהּ </w:t>
      </w:r>
      <w:r>
        <w:rPr>
          <w:szCs w:val="23"/>
          <w:rtl/>
        </w:rPr>
        <w:t>(ישעיה מד יג)</w:t>
      </w:r>
      <w:r>
        <w:rPr>
          <w:rtl/>
        </w:rPr>
        <w:t xml:space="preserve"> כְּתִפְאֶרֶת אָדָם לָשֶׁבֶת בָּיִת, דְּקָרָא שְׁמָהָן לְכָל חַיּוֹת הַקּוֹדֶשׁ וּלְכָל שְׂרָפִים וְאוֹפַנִּים וּצְבָא דִלְעִילָא, לְכָל חַד קָרָא לֵיהּ בְּשֵׁם יְדִיעַ וּבְדַרְגָּא יְדִיעָא, </w:t>
      </w:r>
      <w:r>
        <w:rPr>
          <w:rStyle w:val="a7"/>
          <w:rtl/>
        </w:rPr>
        <w:footnoteReference w:id="4192"/>
      </w:r>
      <w:r>
        <w:rPr>
          <w:rtl/>
        </w:rPr>
        <w:t xml:space="preserve">לְאִשְׁתְּמוֹדָע לְכָל חַד מֵאֲתַר דְּאִתְנְטִיל, </w:t>
      </w:r>
      <w:r>
        <w:rPr>
          <w:rStyle w:val="a7"/>
          <w:rtl/>
        </w:rPr>
        <w:footnoteReference w:id="4193"/>
      </w:r>
      <w:r>
        <w:rPr>
          <w:rtl/>
        </w:rPr>
        <w:t xml:space="preserve">כְּגַוְּונֵי דְנַחֲלֵי יַמָּא דְאִתְחַזְרוּ לַאֲתַר דְּאִתְנְטִילוּ בִּשְׁלִיחוּתָא, הֲדָא הוּא דִכְתִיב </w:t>
      </w:r>
      <w:r>
        <w:rPr>
          <w:szCs w:val="23"/>
          <w:rtl/>
        </w:rPr>
        <w:t>(קהלת א ז)</w:t>
      </w:r>
      <w:r>
        <w:rPr>
          <w:rtl/>
        </w:rPr>
        <w:t xml:space="preserve"> כָּל הַנְּחָלִים הוֹלְכִים אֶל הַיָּם וְגוֹמֵר, אֶל מְקוֹם שֶׁהַנְּחָלִים הוֹלְכִים שָׁם הֵם שָׁבִים לָלָכֶת, מֵאֲתַר דְּאָזְלִין תַּמָּן חָזְרִין בִּשְׁלִיחוּתָא.</w:t>
      </w:r>
    </w:p>
    <w:p w:rsidR="00B17EA9" w:rsidRDefault="00B17EA9" w:rsidP="005C70D5">
      <w:pPr>
        <w:pStyle w:val="NormalWeb"/>
        <w:rPr>
          <w:rtl/>
        </w:rPr>
      </w:pPr>
      <w:r>
        <w:rPr>
          <w:rStyle w:val="a7"/>
          <w:rtl/>
        </w:rPr>
        <w:footnoteReference w:id="4194"/>
      </w:r>
      <w:r>
        <w:rPr>
          <w:rtl/>
        </w:rPr>
        <w:t xml:space="preserve">מֵרוֹב אוֹנִים </w:t>
      </w:r>
      <w:r>
        <w:rPr>
          <w:szCs w:val="23"/>
          <w:rtl/>
        </w:rPr>
        <w:t>(ישעיה מ כו)</w:t>
      </w:r>
      <w:r>
        <w:rPr>
          <w:rtl/>
        </w:rPr>
        <w:t xml:space="preserve"> דָּא כֶתֶר עִלָּאָה, </w:t>
      </w:r>
      <w:r>
        <w:rPr>
          <w:rStyle w:val="a7"/>
          <w:rtl/>
        </w:rPr>
        <w:footnoteReference w:id="4195"/>
      </w:r>
      <w:r>
        <w:rPr>
          <w:rtl/>
        </w:rPr>
        <w:t xml:space="preserve">וְאַמִּיץ כֹּחַ דָּא חָכְמָה, מַאי כֹּחַ דִּילֵיהּ אִימָּא עִלָּאָה, אִישׁ לֹא נֶעְדָּר אִיהוּ כְלָלָא דִתְלַת סְפִירָן, מַאי אִישׁ, יהו''ה אִישׁ מִלְחָמָה יהו''ה שְׁמוֹ </w:t>
      </w:r>
      <w:r>
        <w:rPr>
          <w:szCs w:val="23"/>
          <w:rtl/>
        </w:rPr>
        <w:t>(שמות טו ג)</w:t>
      </w:r>
      <w:r>
        <w:rPr>
          <w:rtl/>
        </w:rPr>
        <w:t xml:space="preserve">, אִישׁ א' כֶּתֶר עִלָּאָה י' חָכְמָה </w:t>
      </w:r>
      <w:r>
        <w:rPr>
          <w:rStyle w:val="a7"/>
          <w:rtl/>
        </w:rPr>
        <w:footnoteReference w:id="4196"/>
      </w:r>
      <w:r>
        <w:rPr>
          <w:rtl/>
        </w:rPr>
        <w:t xml:space="preserve">ש' שָׁרָשָׁא דְאִילָנָא דְאִיהִי אִימָּא עִלָּאָה תְּשׁוּבָה וַדַּאי, </w:t>
      </w:r>
      <w:r>
        <w:rPr>
          <w:rStyle w:val="a7"/>
          <w:rtl/>
        </w:rPr>
        <w:footnoteReference w:id="4197"/>
      </w:r>
      <w:r>
        <w:rPr>
          <w:rtl/>
        </w:rPr>
        <w:t>וְעוֹד מֵרוֹב אוֹנִים דָּא עַמּוּדָא דְאֶמְצָעִיתָא, אוֹנִים דִּילֵיהּ נֶצַח וָהוֹד, וְאַמִּיץ כֹּחַ דָּא צַדִּיק, אִישׁ לֹא נֶעְדָּר יהו''ה אִישׁ מִלְחָמָה, וְהָא אִתְּמַר.</w:t>
      </w:r>
    </w:p>
    <w:p w:rsidR="00B17EA9" w:rsidRDefault="00B17EA9" w:rsidP="00B17EA9">
      <w:pPr>
        <w:pStyle w:val="NormalWeb"/>
        <w:rPr>
          <w:rtl/>
        </w:rPr>
      </w:pPr>
      <w:r>
        <w:rPr>
          <w:rStyle w:val="a7"/>
          <w:b w:val="0"/>
          <w:bCs w:val="0"/>
          <w:rtl/>
        </w:rPr>
        <w:footnoteReference w:id="4198"/>
      </w:r>
      <w:r>
        <w:rPr>
          <w:rtl/>
        </w:rPr>
        <w:t xml:space="preserve">קָם סָבָא בָתַר טוּלָא דְרַבִּי שִׁמְעוֹן, וְאָמַר רַבִּי רַבִּי, הַאי קְרָא הָכִי שְׁמַעְנָא לֵיהּ, שְׂאוּ מָרוֹם עִינֵיכֶם, שְׂאוּ כְּמוֹ שְׂאוּ יְדֵיכֶם קֹדֶשׁ </w:t>
      </w:r>
      <w:r>
        <w:rPr>
          <w:sz w:val="20"/>
          <w:szCs w:val="23"/>
          <w:rtl/>
        </w:rPr>
        <w:t>(תהלים קלד ב)</w:t>
      </w:r>
      <w:r>
        <w:rPr>
          <w:rtl/>
        </w:rPr>
        <w:t xml:space="preserve">, וְדָא קֹדֶשׁ יִשְׂרָאֵל לַיהו''ה רֵאשִׁית </w:t>
      </w:r>
      <w:r>
        <w:rPr>
          <w:sz w:val="20"/>
          <w:szCs w:val="23"/>
          <w:rtl/>
        </w:rPr>
        <w:t>(ירמיה ב ג)</w:t>
      </w:r>
      <w:r>
        <w:rPr>
          <w:rtl/>
        </w:rPr>
        <w:t xml:space="preserve">, מָרוֹם דִּילֵיהּ כֶּתֶר עִלָּאָה, מִי אִימָּא עִלָּאָה דְבָרָא עָלְמָא בְּאֵלֶּה, מָאן אֵלֶּה, אֵלֶּה רָאשֵׁי בֵית אֲבוֹתָם </w:t>
      </w:r>
      <w:r>
        <w:rPr>
          <w:sz w:val="20"/>
          <w:szCs w:val="23"/>
          <w:rtl/>
        </w:rPr>
        <w:t>(שמות ו יד)</w:t>
      </w:r>
      <w:r>
        <w:rPr>
          <w:rtl/>
        </w:rPr>
        <w:t xml:space="preserve">, וְאִינוּן תְּלַת אֲבָהָן, הַמּוֹצִיא בְמִסְפָּר צְבָאָם </w:t>
      </w:r>
      <w:r>
        <w:rPr>
          <w:sz w:val="20"/>
          <w:szCs w:val="23"/>
          <w:rtl/>
        </w:rPr>
        <w:t>(ישעיה מ כו)</w:t>
      </w:r>
      <w:r>
        <w:rPr>
          <w:rtl/>
        </w:rPr>
        <w:t xml:space="preserve"> אִלֵּין צְבָא הַשָּׁמַיִם דְּאִינוּן נֶצַח וָהוֹד, מַאי מִסְפָּר דִּלְהוֹן, אֶלָּא מִסְפָּר וְחֶשְׁבּוֹן דְּכֹלָּא דָא שְׁכִינְתָּא עִלָּאָה, לְכֻלָּם בְּשֵׁם יִקְרָא </w:t>
      </w:r>
      <w:r>
        <w:rPr>
          <w:sz w:val="20"/>
          <w:szCs w:val="23"/>
          <w:rtl/>
        </w:rPr>
        <w:t>(שם)</w:t>
      </w:r>
      <w:r>
        <w:rPr>
          <w:rtl/>
        </w:rPr>
        <w:t xml:space="preserve"> דָא שְׁכִינְתָּא תַּתָּאָה, דְאִתְּמַר לְמֹשֶׁה בְּגִינָהּ </w:t>
      </w:r>
      <w:r>
        <w:rPr>
          <w:sz w:val="20"/>
          <w:szCs w:val="23"/>
          <w:rtl/>
        </w:rPr>
        <w:t>(שמות לג יז)</w:t>
      </w:r>
      <w:r>
        <w:rPr>
          <w:szCs w:val="23"/>
          <w:rtl/>
        </w:rPr>
        <w:t xml:space="preserve"> </w:t>
      </w:r>
      <w:r>
        <w:rPr>
          <w:rStyle w:val="Char"/>
          <w:rtl/>
        </w:rPr>
        <w:t>וָאֵדָעֲךָ</w:t>
      </w:r>
      <w:r>
        <w:rPr>
          <w:szCs w:val="23"/>
          <w:rtl/>
        </w:rPr>
        <w:t xml:space="preserve"> </w:t>
      </w:r>
      <w:r>
        <w:rPr>
          <w:rStyle w:val="Char"/>
          <w:rtl/>
        </w:rPr>
        <w:t xml:space="preserve">בְּשֵׁם, </w:t>
      </w:r>
      <w:r>
        <w:rPr>
          <w:rStyle w:val="a7"/>
          <w:b w:val="0"/>
          <w:bCs w:val="0"/>
          <w:rtl/>
        </w:rPr>
        <w:footnoteReference w:id="4199"/>
      </w:r>
      <w:r>
        <w:rPr>
          <w:rStyle w:val="Char"/>
          <w:rtl/>
        </w:rPr>
        <w:t>מֵרוֹב אוֹנִים</w:t>
      </w:r>
      <w:r>
        <w:rPr>
          <w:szCs w:val="23"/>
          <w:rtl/>
        </w:rPr>
        <w:t xml:space="preserve"> </w:t>
      </w:r>
      <w:r>
        <w:rPr>
          <w:sz w:val="20"/>
          <w:szCs w:val="23"/>
          <w:rtl/>
        </w:rPr>
        <w:t>(ישעיה מ כו)</w:t>
      </w:r>
      <w:r>
        <w:rPr>
          <w:szCs w:val="23"/>
          <w:rtl/>
        </w:rPr>
        <w:t xml:space="preserve">, </w:t>
      </w:r>
      <w:r>
        <w:rPr>
          <w:rStyle w:val="Char"/>
          <w:rtl/>
        </w:rPr>
        <w:t>הַהוּא דְאִתְּמַר בֵּיהּ</w:t>
      </w:r>
      <w:r>
        <w:rPr>
          <w:szCs w:val="23"/>
          <w:rtl/>
        </w:rPr>
        <w:t xml:space="preserve"> </w:t>
      </w:r>
      <w:r>
        <w:rPr>
          <w:sz w:val="20"/>
          <w:szCs w:val="23"/>
          <w:rtl/>
        </w:rPr>
        <w:t>(בראשית מח טז)</w:t>
      </w:r>
      <w:r>
        <w:rPr>
          <w:rtl/>
        </w:rPr>
        <w:t xml:space="preserve"> וְיִדְגּוּ לָרוֹב בְּקֶרֶב הָאָרֶץ וְדָא צַדִּיק, </w:t>
      </w:r>
      <w:r>
        <w:rPr>
          <w:rStyle w:val="a7"/>
          <w:b w:val="0"/>
          <w:bCs w:val="0"/>
          <w:rtl/>
        </w:rPr>
        <w:footnoteReference w:id="4200"/>
      </w:r>
      <w:r>
        <w:rPr>
          <w:rtl/>
        </w:rPr>
        <w:t xml:space="preserve">וְאִיהוּ אַמִּיץ כֹּחַ אִישׁ צַדִּיק, </w:t>
      </w:r>
      <w:r>
        <w:rPr>
          <w:rStyle w:val="a7"/>
          <w:b w:val="0"/>
          <w:bCs w:val="0"/>
          <w:rtl/>
        </w:rPr>
        <w:footnoteReference w:id="4201"/>
      </w:r>
      <w:r>
        <w:rPr>
          <w:rtl/>
        </w:rPr>
        <w:t xml:space="preserve">כֹּחַ דִּילֵיהּ אִיהִי כֹּחַ דְּעוֹבָדָא דִבְּרֵאשִׁית, דְּאִתְּמַר בָּהּ </w:t>
      </w:r>
      <w:r>
        <w:rPr>
          <w:sz w:val="20"/>
          <w:szCs w:val="23"/>
          <w:rtl/>
        </w:rPr>
        <w:t>(במדבר יד יז)</w:t>
      </w:r>
      <w:r>
        <w:rPr>
          <w:rtl/>
        </w:rPr>
        <w:t xml:space="preserve"> וְעַתָּה יִגְדַּל נָא כֹּחַ אדנ''י, </w:t>
      </w:r>
      <w:r>
        <w:rPr>
          <w:rStyle w:val="a7"/>
          <w:b w:val="0"/>
          <w:bCs w:val="0"/>
          <w:rtl/>
        </w:rPr>
        <w:footnoteReference w:id="4202"/>
      </w:r>
      <w:r>
        <w:rPr>
          <w:rtl/>
        </w:rPr>
        <w:t>לֹא נֶעְדָּר מִשְּׁכִינְתָּא לְעָלַם, וְהַאי וְהַאי כֹּלָּא קְשׁוֹט, שַׁבְעִין אַנְפִּין לְאוֹרַיְיתָא.</w:t>
      </w:r>
    </w:p>
    <w:p w:rsidR="00B17EA9" w:rsidRDefault="00B17EA9" w:rsidP="00B17EA9">
      <w:pPr>
        <w:pStyle w:val="NormalWeb"/>
        <w:rPr>
          <w:rtl/>
        </w:rPr>
      </w:pPr>
      <w:r>
        <w:rPr>
          <w:rStyle w:val="a7"/>
          <w:b w:val="0"/>
          <w:bCs w:val="0"/>
          <w:rtl/>
        </w:rPr>
        <w:footnoteReference w:id="4203"/>
      </w:r>
      <w:r>
        <w:rPr>
          <w:rtl/>
        </w:rPr>
        <w:t xml:space="preserve">אָמַר לֵיהּ סָבָא סָבָא, מֵרוֹב אוֹנִים וְאַמִּיץ כֹּחַ תַּמָּן אָדָם קַדְמָאָה, תַּמָּן אַבְרָהָם יִצְחָק וְיַעֲקֹב, תַּמָּן מֹשֶׁה וְאַהֲרֹן, תַּמָּן דָּוִד וּשְׁלֹמֹה, וּתְרֵין עֲשַׂר שִׁבְטִין, וְכָל נִשְׁמָתִין דְּשִׁתִּין רִבּוֹא דְיִשְׂרָאֵל, וּדְכָל דָּרִין עִלָּאִין וְתַתָּאִין, דְּאִתְּמַר בְּהוֹן </w:t>
      </w:r>
      <w:r>
        <w:rPr>
          <w:sz w:val="20"/>
          <w:szCs w:val="23"/>
          <w:rtl/>
        </w:rPr>
        <w:t>(דברים כט יד)</w:t>
      </w:r>
      <w:r>
        <w:rPr>
          <w:rtl/>
        </w:rPr>
        <w:t xml:space="preserve"> כִּי אֶת אֲשֶׁר יֶשְׁנוֹ פֹּה עִמָּנוּ עוֹמֵד הַיּוֹם וְגוֹמֵר, כֻּלְּהוּ תַּמָּן, אִישׁ לֹא נֶעְדָּר לֹא חָסֵר מִנַּיְיהוּ חַד מֵחֻשְׁבָּנָא, כְּגַוְונָא דִצְבָא הַשָּׁמַיִם.</w:t>
      </w:r>
    </w:p>
    <w:p w:rsidR="00B17EA9" w:rsidRDefault="00B17EA9" w:rsidP="00B17EA9">
      <w:pPr>
        <w:pStyle w:val="NormalWeb"/>
        <w:rPr>
          <w:rtl/>
        </w:rPr>
      </w:pPr>
      <w:r>
        <w:rPr>
          <w:rStyle w:val="a7"/>
          <w:b w:val="0"/>
          <w:bCs w:val="0"/>
          <w:rtl/>
        </w:rPr>
        <w:footnoteReference w:id="4204"/>
      </w:r>
      <w:r>
        <w:rPr>
          <w:rtl/>
        </w:rPr>
        <w:t xml:space="preserve">וְעוֹד מֵרוֹב אוֹנִים דָּא כַהֲנָא, דְאִתְּמַר בֵּיהּ </w:t>
      </w:r>
      <w:r>
        <w:rPr>
          <w:rStyle w:val="a7"/>
          <w:b w:val="0"/>
          <w:bCs w:val="0"/>
          <w:rtl/>
        </w:rPr>
        <w:footnoteReference w:id="4205"/>
      </w:r>
      <w:r>
        <w:rPr>
          <w:rtl/>
        </w:rPr>
        <w:t xml:space="preserve">כֹּהֵן אוֹן, </w:t>
      </w:r>
      <w:r>
        <w:rPr>
          <w:rStyle w:val="a7"/>
          <w:b w:val="0"/>
          <w:bCs w:val="0"/>
          <w:rtl/>
        </w:rPr>
        <w:footnoteReference w:id="4206"/>
      </w:r>
      <w:r>
        <w:rPr>
          <w:rtl/>
        </w:rPr>
        <w:t xml:space="preserve">וְאַמִּיץ כֹּחַ דָּא אלהי''ם דְּאִיהִי אִימָּא עִלָּאָה, דְאִתְלַבְּשַׁת בִּגְבוּרָה וּבָרָא עָלְמָא בְּמִדַּת הַדִּין, וּבְגִין דָּא אִיהוּ גִבּוֹר אַמִּיץ כֹּחַ, </w:t>
      </w:r>
      <w:r>
        <w:rPr>
          <w:rStyle w:val="a7"/>
          <w:b w:val="0"/>
          <w:bCs w:val="0"/>
          <w:rtl/>
        </w:rPr>
        <w:footnoteReference w:id="4207"/>
      </w:r>
      <w:r>
        <w:rPr>
          <w:rtl/>
        </w:rPr>
        <w:t xml:space="preserve">אִישׁ לֹא נֶעְדָּר דָּא יַעֲקֹב, דְּאִתְּמַר בֵּיהּ </w:t>
      </w:r>
      <w:r>
        <w:rPr>
          <w:sz w:val="20"/>
          <w:szCs w:val="23"/>
          <w:rtl/>
        </w:rPr>
        <w:t>(בראשית כה כז)</w:t>
      </w:r>
      <w:r>
        <w:rPr>
          <w:rtl/>
        </w:rPr>
        <w:t xml:space="preserve"> וְיַעֲקֹב אִישׁ תָּם, מַה דְּאִתְּמַר בִּתְלַת אִלֵּין, אִתְּמַר בִּתְלַת עִלָּאִין, וְאִתְּמַר בִּתְלַת תַּתָּאִין, מִסְפָּר דְּכֻלְּהוּ שְׁכִינְתָּא אִיהִי מִסְפַּר הַיָּמִים.</w:t>
      </w:r>
    </w:p>
    <w:p w:rsidR="00B17EA9" w:rsidRDefault="00B17EA9" w:rsidP="00B17EA9">
      <w:pPr>
        <w:spacing w:after="40" w:line="360" w:lineRule="atLeast"/>
        <w:ind w:left="144" w:right="144" w:firstLine="288"/>
        <w:jc w:val="both"/>
        <w:rPr>
          <w:rFonts w:ascii="Arial"/>
          <w:b/>
          <w:szCs w:val="23"/>
          <w:rtl/>
        </w:rPr>
      </w:pPr>
      <w:r>
        <w:rPr>
          <w:rtl/>
        </w:rPr>
        <w:t>[תיקוני זוהר - דף פט ע''א]            (ס"א תיקונא חמשין)</w:t>
      </w:r>
    </w:p>
    <w:p w:rsidR="00B17EA9" w:rsidRDefault="00B17EA9" w:rsidP="00703268">
      <w:pPr>
        <w:pStyle w:val="NormalWeb"/>
        <w:rPr>
          <w:rtl/>
        </w:rPr>
      </w:pPr>
      <w:r>
        <w:rPr>
          <w:szCs w:val="23"/>
          <w:rtl/>
        </w:rPr>
        <w:t>(דף פט ע''א) (בראשית ברא אלקים)</w:t>
      </w:r>
      <w:r>
        <w:rPr>
          <w:rStyle w:val="a7"/>
          <w:szCs w:val="29"/>
          <w:rtl/>
        </w:rPr>
        <w:footnoteReference w:id="4208"/>
      </w:r>
      <w:r>
        <w:rPr>
          <w:rtl/>
        </w:rPr>
        <w:t xml:space="preserve">פָּתַח רַבִּי שִׁמְעוֹן וְאָמַר, שְׂאוּ מָרוֹם עִינֵיכֶם וּרְאוּ מִי בָרָא אֵלֶּה </w:t>
      </w:r>
      <w:r>
        <w:rPr>
          <w:szCs w:val="23"/>
          <w:rtl/>
        </w:rPr>
        <w:t>(בראשית כה כז)</w:t>
      </w:r>
      <w:r>
        <w:rPr>
          <w:rtl/>
        </w:rPr>
        <w:t xml:space="preserve">, רָאשֵׁי תֵּיבִין שְׂ"אוּ מָ"רוֹם עִ"ינֵיכֶם, שַׁ"חֲרִית מִ"נְחָה עַ"רְבִית, תְּלַת צְלוֹתִין, עֲלַיְיהוּ אִתְּמַר </w:t>
      </w:r>
      <w:r>
        <w:rPr>
          <w:szCs w:val="23"/>
          <w:rtl/>
        </w:rPr>
        <w:t>(איוב לג כט)</w:t>
      </w:r>
      <w:r>
        <w:rPr>
          <w:rtl/>
        </w:rPr>
        <w:t xml:space="preserve"> </w:t>
      </w:r>
      <w:r>
        <w:rPr>
          <w:rStyle w:val="a7"/>
          <w:szCs w:val="29"/>
          <w:rtl/>
        </w:rPr>
        <w:footnoteReference w:id="4209"/>
      </w:r>
      <w:r>
        <w:rPr>
          <w:rtl/>
        </w:rPr>
        <w:t xml:space="preserve">הֶן כָּל אֵלֶּה יִפְעַל אֵ''ל פַּעֲמַיִם שָׁלֹשׁ עִם גָּבֶר, </w:t>
      </w:r>
      <w:r>
        <w:rPr>
          <w:rStyle w:val="a7"/>
          <w:szCs w:val="29"/>
          <w:rtl/>
        </w:rPr>
        <w:footnoteReference w:id="4210"/>
      </w:r>
      <w:r>
        <w:rPr>
          <w:rtl/>
        </w:rPr>
        <w:t xml:space="preserve">בְּגִין דְּאִינוּן מֶרְכָּבָה דִתְלַת אֲבָהָן, </w:t>
      </w:r>
      <w:r>
        <w:rPr>
          <w:rStyle w:val="a7"/>
          <w:szCs w:val="29"/>
          <w:rtl/>
        </w:rPr>
        <w:footnoteReference w:id="4211"/>
      </w:r>
      <w:r>
        <w:rPr>
          <w:rtl/>
        </w:rPr>
        <w:t xml:space="preserve">וַעֲלַיְיהוּ אִתְּמַר </w:t>
      </w:r>
      <w:r>
        <w:rPr>
          <w:szCs w:val="23"/>
          <w:rtl/>
        </w:rPr>
        <w:t>(בראשית ב ד)</w:t>
      </w:r>
      <w:r>
        <w:rPr>
          <w:rtl/>
        </w:rPr>
        <w:t xml:space="preserve"> אֵלֶּה תוֹלְדוֹת הַשָּׁמַיִם וְהָאָרֶץ בְּהִבָּרְאָם, אֵלֶּה פִּסֵּל אֶת הָרִאשׁוֹנִים, אֵלֶּה וַדַּאי פָּסִיל לְקַדְמָאִין דְּאָמְרוּ </w:t>
      </w:r>
      <w:r>
        <w:rPr>
          <w:szCs w:val="23"/>
          <w:rtl/>
        </w:rPr>
        <w:t>(שמות לב ד)</w:t>
      </w:r>
      <w:r>
        <w:rPr>
          <w:rtl/>
        </w:rPr>
        <w:t xml:space="preserve"> אֵלֶּה אלהי''ך יִשְׂרָאֵל, דְּאִנּוּן תּוֹלָדִין דְּתֹהוּ, דְאִתְרְמִיז בְּרָאשֵׁי תֵּיבִין תּ"וֹלְדוֹת הַ"שָּׁמַיִם וְ"הָאָרֶץ תֹּה''וּ, </w:t>
      </w:r>
      <w:r>
        <w:rPr>
          <w:rStyle w:val="a7"/>
          <w:szCs w:val="29"/>
          <w:rtl/>
        </w:rPr>
        <w:footnoteReference w:id="4212"/>
      </w:r>
      <w:r>
        <w:rPr>
          <w:rtl/>
        </w:rPr>
        <w:t xml:space="preserve">וְאִינוּן חָמֵשׁ מִינִין דְּאִתְּמַר בְּהוֹן בְּה' בָּרְאָם, </w:t>
      </w:r>
      <w:r>
        <w:rPr>
          <w:rStyle w:val="a7"/>
          <w:szCs w:val="29"/>
          <w:rtl/>
        </w:rPr>
        <w:footnoteReference w:id="4213"/>
      </w:r>
      <w:r>
        <w:rPr>
          <w:rtl/>
        </w:rPr>
        <w:t xml:space="preserve">וְאִינוּן </w:t>
      </w:r>
      <w:r>
        <w:rPr>
          <w:rStyle w:val="a7"/>
          <w:szCs w:val="29"/>
          <w:rtl/>
        </w:rPr>
        <w:footnoteReference w:id="4214"/>
      </w:r>
      <w:r>
        <w:rPr>
          <w:rtl/>
        </w:rPr>
        <w:t xml:space="preserve">עֲמָלֵקִים גִּבּוֹרִים נְפִילִים עֲנָקִים רְפָאִים, </w:t>
      </w:r>
      <w:r>
        <w:rPr>
          <w:rStyle w:val="a7"/>
          <w:szCs w:val="29"/>
          <w:rtl/>
        </w:rPr>
        <w:footnoteReference w:id="4215"/>
      </w:r>
      <w:r>
        <w:rPr>
          <w:rtl/>
        </w:rPr>
        <w:t xml:space="preserve">וּבְגִין דָּא טָרְחַת ה' בְּגִינַיְיהוּ, בְּגִין דִּבְה' בְּרָאָם, ה' דְאַבְרָהָם, </w:t>
      </w:r>
      <w:r>
        <w:rPr>
          <w:rStyle w:val="a7"/>
          <w:szCs w:val="29"/>
          <w:rtl/>
        </w:rPr>
        <w:footnoteReference w:id="4216"/>
      </w:r>
      <w:r>
        <w:rPr>
          <w:rtl/>
        </w:rPr>
        <w:t xml:space="preserve">וַעֲלָהּ אִתְּמַר </w:t>
      </w:r>
      <w:r>
        <w:rPr>
          <w:szCs w:val="23"/>
          <w:rtl/>
        </w:rPr>
        <w:t>(ישעיה מה יח)</w:t>
      </w:r>
      <w:r>
        <w:rPr>
          <w:rtl/>
        </w:rPr>
        <w:t xml:space="preserve"> לֹא תֹהוּ בְרָאָהּ לְמֵיתַב בֵּינַיְיהוּ, לָשֶׁבֶת יְצָרָהּ לְמֶעֱבַד יִשּׁוּבָא מִנַּיְיהוּ.</w:t>
      </w:r>
    </w:p>
    <w:p w:rsidR="00B17EA9" w:rsidRDefault="00B17EA9" w:rsidP="00703268">
      <w:pPr>
        <w:pStyle w:val="NormalWeb"/>
        <w:rPr>
          <w:rtl/>
        </w:rPr>
      </w:pPr>
      <w:r>
        <w:rPr>
          <w:rtl/>
        </w:rPr>
        <w:t xml:space="preserve">וּבְגִין הַאי ה', אֵלֶּה דְאִינוּן תְּלַת אֲבָהָן תַּקִּינוּ תְלַת צְלוֹתִין, לְנַחְתָא בְּהוֹן לְקוּדְשָׁא בְּרִיךְ הוּא, לְסַלְקָא לִשְׁכִינְתָּא בְּהוֹן דְּאִיהִי ה' זְעִירָא, דְּעַמּוּדָא דְאֶמְצָעִיתָא אִיהוּ גוּפָא, וּתְרֵין דְּרוֹעִין דִּילֵיהּ יְמִינָא וּשְׂמָאלָא, </w:t>
      </w:r>
      <w:r>
        <w:rPr>
          <w:rStyle w:val="a7"/>
          <w:szCs w:val="29"/>
          <w:rtl/>
        </w:rPr>
        <w:footnoteReference w:id="4217"/>
      </w:r>
      <w:r>
        <w:rPr>
          <w:rtl/>
        </w:rPr>
        <w:t xml:space="preserve">דִּבְהוֹן אֲחִיד בָּהּ, וְעַל גּוּפָא אִסְתַּלְּקַת, </w:t>
      </w:r>
      <w:r>
        <w:rPr>
          <w:rStyle w:val="a7"/>
          <w:szCs w:val="29"/>
          <w:rtl/>
        </w:rPr>
        <w:footnoteReference w:id="4218"/>
      </w:r>
      <w:r>
        <w:rPr>
          <w:rtl/>
        </w:rPr>
        <w:t xml:space="preserve">וּמָאן סָלִיק לָהּ עַל גּוּפָא מִ''י אִימָּא עִלָּאָה, מִי בָרָא אֵלֶּה, </w:t>
      </w:r>
      <w:r>
        <w:rPr>
          <w:rStyle w:val="a7"/>
          <w:szCs w:val="29"/>
          <w:rtl/>
        </w:rPr>
        <w:footnoteReference w:id="4219"/>
      </w:r>
      <w:r>
        <w:rPr>
          <w:rtl/>
        </w:rPr>
        <w:t xml:space="preserve">וְכַד סָלְקַת סָלְקִין עִמָּהּ כָּל צְבָא דִלְעִילָא, הֲדָא הוּא דִכְתִיב </w:t>
      </w:r>
      <w:r>
        <w:rPr>
          <w:szCs w:val="23"/>
          <w:rtl/>
        </w:rPr>
        <w:t>(שם מ כו)</w:t>
      </w:r>
      <w:r>
        <w:rPr>
          <w:rtl/>
        </w:rPr>
        <w:t xml:space="preserve"> הַמּוֹצִיא בְמִסְפָּר צְבָאָם, </w:t>
      </w:r>
      <w:r>
        <w:rPr>
          <w:rStyle w:val="a7"/>
          <w:szCs w:val="29"/>
          <w:rtl/>
        </w:rPr>
        <w:footnoteReference w:id="4220"/>
      </w:r>
      <w:r>
        <w:rPr>
          <w:rtl/>
        </w:rPr>
        <w:t xml:space="preserve">וְכָל יִשְׂרָאֵל </w:t>
      </w:r>
      <w:r>
        <w:rPr>
          <w:rStyle w:val="a7"/>
          <w:szCs w:val="29"/>
          <w:rtl/>
        </w:rPr>
        <w:footnoteReference w:id="4221"/>
      </w:r>
      <w:r>
        <w:rPr>
          <w:rtl/>
        </w:rPr>
        <w:t xml:space="preserve">דְּאִינוּן שִׁתִּין רִבּוֹא מִתְיַחֲסִין בַּצָּבָא דִלְעִילָא, </w:t>
      </w:r>
      <w:r>
        <w:rPr>
          <w:rStyle w:val="a7"/>
          <w:szCs w:val="29"/>
          <w:rtl/>
        </w:rPr>
        <w:footnoteReference w:id="4222"/>
      </w:r>
      <w:r>
        <w:rPr>
          <w:rtl/>
        </w:rPr>
        <w:t>לְכֻלָּם בְּשֵׁם יִקְרָא, כֻּלְּהוּ אִתְקְרִיאוּ עַל שֵׁם צְבָא דִלְעִילָא, אִישׁ לֹא נֶעְדָּר מֵחוּשְׁבָּנָא.</w:t>
      </w:r>
    </w:p>
    <w:p w:rsidR="00B17EA9" w:rsidRDefault="00B17EA9" w:rsidP="005C70D5">
      <w:pPr>
        <w:pStyle w:val="NormalWeb"/>
        <w:rPr>
          <w:rtl/>
        </w:rPr>
      </w:pPr>
      <w:r>
        <w:rPr>
          <w:rStyle w:val="a7"/>
          <w:rtl/>
        </w:rPr>
        <w:footnoteReference w:id="4223"/>
      </w:r>
      <w:r>
        <w:rPr>
          <w:rtl/>
        </w:rPr>
        <w:t xml:space="preserve">וּשְׁכִינְתָּא בְגָלוּתָא </w:t>
      </w:r>
      <w:r>
        <w:rPr>
          <w:rStyle w:val="a7"/>
          <w:rtl/>
        </w:rPr>
        <w:footnoteReference w:id="4224"/>
      </w:r>
      <w:r>
        <w:rPr>
          <w:rtl/>
        </w:rPr>
        <w:t xml:space="preserve">בְזִמְנָא דְאִיהוּ מְרַחֲקָא בַעְלָהּ מִינָהּ, </w:t>
      </w:r>
      <w:r>
        <w:rPr>
          <w:rStyle w:val="a7"/>
          <w:rtl/>
        </w:rPr>
        <w:footnoteReference w:id="4225"/>
      </w:r>
      <w:r>
        <w:rPr>
          <w:rtl/>
        </w:rPr>
        <w:t xml:space="preserve">לְזִמְנִין אִתְפַּרְנֶסֶת עַל יְדֵי שְׁלִיחַ, </w:t>
      </w:r>
      <w:r>
        <w:rPr>
          <w:rStyle w:val="a7"/>
          <w:rtl/>
        </w:rPr>
        <w:footnoteReference w:id="4226"/>
      </w:r>
      <w:r>
        <w:rPr>
          <w:rtl/>
        </w:rPr>
        <w:t xml:space="preserve">לְזִמְנִין עַל יְדֵי אֲבָהָן, לְזִמְנִין עַל יְדֵי אִימָּא, לְזִמְנִין עַל יְדֵי אַבָּא, לְזִמְנִין עַל יְדֵי בְּנִין, לְזִמְנִין עַל יְדֵי דְצַדִּיק, וְכֹלָּא יָהֵיב </w:t>
      </w:r>
      <w:r>
        <w:rPr>
          <w:rStyle w:val="a7"/>
          <w:rtl/>
        </w:rPr>
        <w:footnoteReference w:id="4227"/>
      </w:r>
      <w:r>
        <w:rPr>
          <w:rtl/>
        </w:rPr>
        <w:t xml:space="preserve">בַּעְלָהּ דְּאִיהוּ ו', אִיהוּ בֵּין אַבָּא וְאִימָּא בֶּן י''ה, וְכַד אִיהוּ בֵּין אַבָּא וְאִימָּא, נָחִית לָהּ פַּרְנָסָהָא עַל יְדֵי אַבָּא וְאִימָּא, וְכַד נָחִית בֵּין תְּרֵין דְּרוֹעִין דְּאִית בְּהוֹן שִׁית פִּרְקִין, נָחִית לָהּ פַּרְנָסָה בִּתְרֵין דְּרוֹעִין, </w:t>
      </w:r>
      <w:r>
        <w:rPr>
          <w:rStyle w:val="a7"/>
          <w:rtl/>
        </w:rPr>
        <w:footnoteReference w:id="4228"/>
      </w:r>
      <w:r>
        <w:rPr>
          <w:rtl/>
        </w:rPr>
        <w:t xml:space="preserve">וְכַד נָחִית בְּגוּפָא דְאִיהוּ יַעֲקֹב, נָחִית לָהּ מְזוֹנָא עַל יְדֵיהּ, וְכַד נָחִית בִּתְרֵין שׁוֹקִין דְּאִינוּן </w:t>
      </w:r>
      <w:r>
        <w:rPr>
          <w:szCs w:val="23"/>
          <w:rtl/>
        </w:rPr>
        <w:t>(שיר ה טו)</w:t>
      </w:r>
      <w:r>
        <w:rPr>
          <w:rtl/>
        </w:rPr>
        <w:t xml:space="preserve"> שׁוֹקָיו עַמּוּדֵי שֵׁשׁ דְּאִית בְּהוֹן ו' פִּרְקִין, נָחִית לָהּ מְזוֹנָא עַל יְדַיְהוּ, וְכַד נָחִית בְּצַדִּיק נָחִית לָהּ מְזוֹנָא עַל יְדֵיהּ, </w:t>
      </w:r>
      <w:r>
        <w:rPr>
          <w:rStyle w:val="a7"/>
          <w:rtl/>
        </w:rPr>
        <w:footnoteReference w:id="4229"/>
      </w:r>
      <w:r>
        <w:rPr>
          <w:rtl/>
        </w:rPr>
        <w:t xml:space="preserve">וְכַד נָחִית בָּהּ דְּאִתְחַבַּר ו' בְּה', לָא צָרִיךְ לְנַחְתָא מְזוֹנָא לָהּ עַל יְדֵי שְׁלִיחָא בְעָלְמָא, אֶלָּא עַל יְדֵיהּ, </w:t>
      </w:r>
      <w:r>
        <w:rPr>
          <w:rStyle w:val="a7"/>
          <w:rtl/>
        </w:rPr>
        <w:footnoteReference w:id="4230"/>
      </w:r>
      <w:r>
        <w:rPr>
          <w:rtl/>
        </w:rPr>
        <w:t xml:space="preserve">וְכַד (נָפִיק בָּהּ) אִסְתַּלַּק עַד אֵין סוֹף דְּאִיהוּ א', </w:t>
      </w:r>
      <w:r>
        <w:rPr>
          <w:rStyle w:val="a7"/>
          <w:rtl/>
        </w:rPr>
        <w:footnoteReference w:id="4231"/>
      </w:r>
      <w:r>
        <w:rPr>
          <w:rtl/>
        </w:rPr>
        <w:t xml:space="preserve">מְזוֹנָא דִילָהּ לַאו בִּזְכוּתָא תַלְיָא מִלְתָא, וְלָא חַיֵּי דְּאִינוּן אַבָּא וְאִימָּא, וְלָא בָּנֵי דְאִינּוּן נֶצַח וְהוֹד, אֶלָּא בְמַזָּלָא תַלְיָא מִלְתָא, </w:t>
      </w:r>
      <w:r>
        <w:rPr>
          <w:rStyle w:val="a7"/>
          <w:rtl/>
        </w:rPr>
        <w:footnoteReference w:id="4232"/>
      </w:r>
      <w:r>
        <w:rPr>
          <w:rtl/>
        </w:rPr>
        <w:t>וְכַד נָחִית קוּדְשָׁא בְּרִיךְ הוּא לְדַיְירָא עִמָּהּ, אִתְּמַר בָּהּ וּבִבְנָהָא אֵין מַזָּל לְיִשְׂרָאֵל, וְכַד נְחִיתַת מֵאַתְרָהָא אִתְּמַר דְּקוּדְשָׁא בְּרִיךְ הוּא רָכִיב עַל כְּרוּ''ב דְּאִיהוּ מטטרו''ן וְאִיהוּ בָּרוּ''ךְ, וּמִתְפַּרְנֶסֶת עַל יְדֵיהּ, דְּאִיהוּ עֶבֶד עוֹלָם עֶבֶד דִּילָהּ, וּבְהַהוּא זִמְנָא אִיהִי אִתְפַּרְנֶסָת עַל יְדֵי שָׁלִיחַ, וְכָל דָּא כְּפוּם עוֹבָדֵיהוֹן דְּיִשְׂרָאֵל הָכִי אִתְפַּרְנֶסָת.</w:t>
      </w:r>
    </w:p>
    <w:p w:rsidR="00B17EA9" w:rsidRDefault="00B17EA9" w:rsidP="00703268">
      <w:pPr>
        <w:pStyle w:val="NormalWeb"/>
        <w:rPr>
          <w:rtl/>
        </w:rPr>
      </w:pPr>
      <w:r>
        <w:rPr>
          <w:rtl/>
        </w:rPr>
        <w:t xml:space="preserve">זַכָּאָה אִיהוּ מָאן דְּסָלִיק לָהּ לְאַתְרָהּ, וּלְקוּדְשָׁא בְּרִיךְ הוּא לְאַתְרֵיהּ, דְּאִתְּמַר בֵּיהּ </w:t>
      </w:r>
      <w:r>
        <w:rPr>
          <w:szCs w:val="23"/>
          <w:rtl/>
        </w:rPr>
        <w:t>(ישעיה יט א)</w:t>
      </w:r>
      <w:r>
        <w:rPr>
          <w:rtl/>
        </w:rPr>
        <w:t xml:space="preserve"> </w:t>
      </w:r>
      <w:r>
        <w:rPr>
          <w:szCs w:val="23"/>
          <w:rtl/>
        </w:rPr>
        <w:t>(הנה יהו''ה רוכב על עב קל)</w:t>
      </w:r>
      <w:r>
        <w:rPr>
          <w:rtl/>
        </w:rPr>
        <w:t xml:space="preserve">, הִנֵּה יהו''ה יוֹצֵא מִמְּקוֹמוֹ </w:t>
      </w:r>
      <w:r>
        <w:rPr>
          <w:szCs w:val="23"/>
          <w:rtl/>
        </w:rPr>
        <w:t>(שם כו כא)</w:t>
      </w:r>
      <w:r>
        <w:rPr>
          <w:rtl/>
        </w:rPr>
        <w:t xml:space="preserve">, אָמַר לֵיהּ רַבִּי אֶלְעָזָר אַבָּא, וְכִי יָכוֹל בַּר נַשׁ לְאַחְזָרָא לְקוּדְשָׁא בְּרִיךְ הוּא לְאַתְרֵיהּ, אָמַר לֵיהּ אִין, כְּמָה דְאַשְׁכַּחְנָא בְּדָוִד דְּאָמַר </w:t>
      </w:r>
      <w:r>
        <w:rPr>
          <w:szCs w:val="23"/>
          <w:rtl/>
        </w:rPr>
        <w:t>(תהלים קלב ד)</w:t>
      </w:r>
      <w:r>
        <w:rPr>
          <w:rtl/>
        </w:rPr>
        <w:t xml:space="preserve"> אִם אֶתֵּן שְׁנָת לְעִינָי לְעַפְעַפַּי תְּנוּמָה עַד אֶמְצָא מָקוֹם לַיהו''ה כו', בְּהַהוּא זִמְנָא דְבַר נַשׁ אַחְזַר לֵיהּ לְאַתְרֵיהּ, מַה כְּתִיב בֵּיהּ מִמְּקוֹמוֹ יִפֶן בְּרַחֲמָיו לְעַמּוֹ, וּבְמַאי חָזְרִין לֵיהּ לְאַתְרֵיהּ, אֶלָּא </w:t>
      </w:r>
      <w:r>
        <w:rPr>
          <w:rStyle w:val="a7"/>
          <w:szCs w:val="29"/>
          <w:rtl/>
        </w:rPr>
        <w:footnoteReference w:id="4233"/>
      </w:r>
      <w:r>
        <w:rPr>
          <w:rtl/>
        </w:rPr>
        <w:t xml:space="preserve">בִשְׁלִימוּ דְתִקּוּנָא דְתַקִּינוּ בִצְלוֹתָא, וְאוֹכַח דְּבָתַר דְּאָמַר מִמְּקוֹמוֹ יִפֶן בְּרַחֲמָיו לְעַמּוֹ, אָמַר הַמְיַחֲדִים אֶת שְׁמוֹ עֶרֶב וָבֹקֶר תָּמִיד בְּכָל יוֹם אוֹמְרִים פַּעֲמַיִם, וְאִינוּן ה''ה, דְּצָרִיךְ לְאַחְזָרָא י' לְגַבֵּי ה' דְּאִיהוּ מָקוֹם דִּלְעִילָא, וּלְאַחְזָרָא ו' לְגַבֵּי ה' דְּאִיהִי מָקוֹם דִּלְתַתָּא, בְּגִין דְּקוּדְשָׁא בְּרִיךְ הוּא אוֹמֵי דְלָא יַחֲזִיר לְה' דִּלְעִילָא, עַד דְּיַחֲזִיר לְה' דִּלְתַתָּא, וְרָזָא דְמִלָּה לֹא אָבֹא בְּעִיר וְגוֹמֵר </w:t>
      </w:r>
      <w:r>
        <w:rPr>
          <w:szCs w:val="23"/>
          <w:rtl/>
        </w:rPr>
        <w:t>(הושע יא ט)</w:t>
      </w:r>
      <w:r>
        <w:rPr>
          <w:rtl/>
        </w:rPr>
        <w:t xml:space="preserve"> וְהָא אוּקְמוּהָ.</w:t>
      </w:r>
    </w:p>
    <w:p w:rsidR="00602EF1" w:rsidRDefault="00602EF1" w:rsidP="00602EF1">
      <w:pPr>
        <w:pStyle w:val="1"/>
        <w:rPr>
          <w:u w:val="single"/>
          <w:rtl/>
        </w:rPr>
      </w:pPr>
      <w:bookmarkStart w:id="267" w:name="_Toc228091329"/>
      <w:bookmarkStart w:id="268" w:name="_Toc231637968"/>
      <w:r>
        <w:rPr>
          <w:rtl/>
        </w:rPr>
        <w:t>תקונא חד וחמשין</w:t>
      </w:r>
      <w:bookmarkEnd w:id="267"/>
      <w:bookmarkEnd w:id="268"/>
    </w:p>
    <w:p w:rsidR="00602EF1" w:rsidRDefault="00602EF1" w:rsidP="00703268">
      <w:pPr>
        <w:pStyle w:val="NormalWeb"/>
        <w:rPr>
          <w:rtl/>
        </w:rPr>
      </w:pPr>
      <w:r>
        <w:rPr>
          <w:rStyle w:val="a7"/>
          <w:szCs w:val="29"/>
          <w:rtl/>
        </w:rPr>
        <w:footnoteReference w:id="4234"/>
      </w:r>
      <w:r>
        <w:rPr>
          <w:rtl/>
        </w:rPr>
        <w:t xml:space="preserve">בְּרֵאשִׁית בָּרָא אלהי''ם אֶת הַשָּׁמַיִם וְאֶת הָאָרֶץ, מַאי אֶת, אֶלָּא הָכִי אוּקְמוּהָ קַדְמָאִין, כָּל אֶתִין לְרִבּוּיָא, וְדָא אֶ''ת, אוֹרַיְיתָא כְלִילָא מֵא' וְעַד ת', דְּבָהּ אִתְבְּרִיאוּ שְׁמַיָּא וְאַרְעָא, </w:t>
      </w:r>
      <w:r>
        <w:rPr>
          <w:rStyle w:val="a7"/>
          <w:szCs w:val="29"/>
          <w:rtl/>
        </w:rPr>
        <w:footnoteReference w:id="4235"/>
      </w:r>
      <w:r>
        <w:rPr>
          <w:rtl/>
        </w:rPr>
        <w:t xml:space="preserve">וְעוֹד אֶת הַשָּׁמַיִם, שָׁמַיִם דָּא קוּדְשָׁא בְּרִיךְ הוּא, הֲדָא הוּא דִכְתִיב </w:t>
      </w:r>
      <w:r>
        <w:rPr>
          <w:szCs w:val="23"/>
          <w:rtl/>
        </w:rPr>
        <w:t>(מלכים א ח)</w:t>
      </w:r>
      <w:r>
        <w:rPr>
          <w:rtl/>
        </w:rPr>
        <w:t xml:space="preserve"> וְאַתָּה תִּשְׁמַע הַשָּׁמַיִם, וְאֶת בַּת זוּגֵיהּ עִמֵּיהּ, וְאֶת דָּא צַדִּיק וּבַת זוּגֵיהּ, </w:t>
      </w:r>
      <w:r>
        <w:rPr>
          <w:rStyle w:val="a7"/>
          <w:szCs w:val="29"/>
          <w:rtl/>
        </w:rPr>
        <w:footnoteReference w:id="4236"/>
      </w:r>
      <w:r>
        <w:rPr>
          <w:rtl/>
        </w:rPr>
        <w:t xml:space="preserve">הָאָרֶץ מָאנָא דְכֻלְּהוּ לְאַפָּקָא בָּהּ זַרְעִין וְאִבִּין, וְרָזָא דְמִלָּה וְכָל שִׂיחַ הַשָּׂדֶה טֶרֶם יִהְיֶה בָאָרֶץ וְגוֹמֵר </w:t>
      </w:r>
      <w:r>
        <w:rPr>
          <w:szCs w:val="23"/>
          <w:rtl/>
        </w:rPr>
        <w:t>(בראשית ב ה)</w:t>
      </w:r>
      <w:r>
        <w:rPr>
          <w:rtl/>
        </w:rPr>
        <w:t>.</w:t>
      </w:r>
    </w:p>
    <w:p w:rsidR="00602EF1" w:rsidRDefault="00602EF1" w:rsidP="00703268">
      <w:pPr>
        <w:pStyle w:val="NormalWeb"/>
        <w:rPr>
          <w:rtl/>
        </w:rPr>
      </w:pPr>
      <w:r>
        <w:rPr>
          <w:rtl/>
        </w:rPr>
        <w:t xml:space="preserve">אָמַר רַבִּי שִׁמְעוֹן, בְּרִי, רָזָא עִלָּאָה הָכָא, אַף עַל גַּב דְּכֹלָּא אִתְבְּרִי וְאִתַּקַּן בִּשְׁמָא דְיהו''ה, דְּאִינוּן אֶת הַשָּׁמַיִם וְאֶת הָאָרֶץ, </w:t>
      </w:r>
      <w:r>
        <w:rPr>
          <w:rStyle w:val="a7"/>
          <w:szCs w:val="29"/>
          <w:rtl/>
        </w:rPr>
        <w:footnoteReference w:id="4237"/>
      </w:r>
      <w:r>
        <w:rPr>
          <w:rtl/>
        </w:rPr>
        <w:t xml:space="preserve">וְרָזָא דְמִלָּה י''ה בַּשָּׁמַיִם ו''ה בָּאָרֶץ, הֲדָא הוּא דִכְתִיב </w:t>
      </w:r>
      <w:r>
        <w:rPr>
          <w:szCs w:val="23"/>
          <w:rtl/>
        </w:rPr>
        <w:t>(תהלים צו יא)</w:t>
      </w:r>
      <w:r>
        <w:rPr>
          <w:rtl/>
        </w:rPr>
        <w:t xml:space="preserve"> יִ'שְׂמְחוּ הַ'שָּׁמַיִם וְ'תָגֵל הָ'אָרֶץ, </w:t>
      </w:r>
      <w:r>
        <w:rPr>
          <w:rStyle w:val="a7"/>
          <w:szCs w:val="29"/>
          <w:rtl/>
        </w:rPr>
        <w:footnoteReference w:id="4238"/>
      </w:r>
      <w:r>
        <w:rPr>
          <w:rtl/>
        </w:rPr>
        <w:t>עִם כָּל דָּא דְכֹלָּא אִתַּקַּן בְּד' אַתְוָון, לָא נָחִית נְבִיעוּ מִלְּעִילָא עַל זַרְעִין וְאִיבִּין דְּאִינוּן שִׂיחַ הַשָּׂדֶה דְאִיהוּ צַדִּיק, וְעִשֶׂב הַשָּׂדֶה דְאִיהוּ עַמּוּדָא דְאֶמְצָעִיתָא, וְלָמָּה בְּגִין דְּאָדָם אַיִן, דְּאִיהוּ יו''ד ה''א וא''ו ה''א לַעֲבוֹד אֶת הָאֲדָמָה.</w:t>
      </w:r>
    </w:p>
    <w:p w:rsidR="00602EF1" w:rsidRDefault="00602EF1" w:rsidP="00703268">
      <w:pPr>
        <w:pStyle w:val="NormalWeb"/>
        <w:rPr>
          <w:rtl/>
        </w:rPr>
      </w:pPr>
      <w:r>
        <w:rPr>
          <w:rtl/>
        </w:rPr>
        <w:t xml:space="preserve">אָמַר לֵיהּ רַבִּי אֶלְעָזָר אַבָּא, שִׂיחַ מְנָא לָן דְּאִיהוּ צַדִּיק, </w:t>
      </w:r>
      <w:r>
        <w:rPr>
          <w:rStyle w:val="a7"/>
          <w:szCs w:val="29"/>
          <w:rtl/>
        </w:rPr>
        <w:footnoteReference w:id="4239"/>
      </w:r>
      <w:r>
        <w:rPr>
          <w:rtl/>
        </w:rPr>
        <w:t>אָמַר לֵיהּ בְּרִי בֵּיהּ תִּשְׁכַּח חַ''י ש', אִיהוּ כְּלִיל תְּלַת עֶדְרֵי צֹאן, דְּאִינוּן שָׁרָשָׁא דְאִילָנָא, וְדָא חַי עָלְמִין, דְּאִיהוּ אוֹת בַּצָּבָא דִילֵיהּ, צבאו''ת אִיהוּ עִמְּהוֹן, כְּלִיל תְּלַת דַּרְגִּין לָקֳבֵל תְּלַת עַנְפִין דְּש'.</w:t>
      </w:r>
    </w:p>
    <w:p w:rsidR="00602EF1" w:rsidRDefault="00602EF1" w:rsidP="00602EF1">
      <w:pPr>
        <w:pStyle w:val="NormalWeb"/>
        <w:rPr>
          <w:b w:val="0"/>
          <w:bCs w:val="0"/>
          <w:rtl/>
        </w:rPr>
      </w:pPr>
      <w:r>
        <w:rPr>
          <w:b w:val="0"/>
          <w:bCs w:val="0"/>
          <w:rtl/>
        </w:rPr>
        <w:t xml:space="preserve">וְהָא ש' דִּתְלַת אֲבָהָן אִינוּן, אֶלָּא ש' עִלָּאָה עַנְפֵי אִילָנָא, ש' תַּתָּאָה שָׁרְשֵׁי אִילָנָא, וּבְגִין דָּא וְכָל שִׂיחַ דָּא צַדִּיק, וְכָל עִשֶׂב ע''ב ש' דָּא יַעֲקֹב כְּלִיל תְּלַת אֲבָהָן, דְּאִינוּן עַנְפֵי אִילָנָא, וְסָלְקִין לְשַׁבְעִין וּתְרֵין שְׁמָהָן דְּוַיִּסַע וַיָּבֹא וַיֵּט, </w:t>
      </w:r>
      <w:r>
        <w:rPr>
          <w:rStyle w:val="a7"/>
          <w:b w:val="0"/>
          <w:bCs w:val="0"/>
          <w:rtl/>
        </w:rPr>
        <w:footnoteReference w:id="4240"/>
      </w:r>
      <w:r>
        <w:rPr>
          <w:b w:val="0"/>
          <w:bCs w:val="0"/>
          <w:rtl/>
        </w:rPr>
        <w:t xml:space="preserve">דִּבְהַאי שְׁמָא אִתְבְּרִיאוּ עִשְׂבִּין וְאִילָנִין </w:t>
      </w:r>
      <w:r>
        <w:rPr>
          <w:rStyle w:val="a7"/>
          <w:b w:val="0"/>
          <w:bCs w:val="0"/>
          <w:rtl/>
        </w:rPr>
        <w:footnoteReference w:id="4241"/>
      </w:r>
      <w:r>
        <w:rPr>
          <w:b w:val="0"/>
          <w:bCs w:val="0"/>
          <w:rtl/>
        </w:rPr>
        <w:t xml:space="preserve">דְּאִינוּן נִשְׁמָתִין דְּצַדִּיקַיָּא, </w:t>
      </w:r>
      <w:r>
        <w:rPr>
          <w:rStyle w:val="a7"/>
          <w:b w:val="0"/>
          <w:bCs w:val="0"/>
          <w:rtl/>
        </w:rPr>
        <w:footnoteReference w:id="4242"/>
      </w:r>
      <w:r>
        <w:rPr>
          <w:b w:val="0"/>
          <w:bCs w:val="0"/>
          <w:rtl/>
        </w:rPr>
        <w:t xml:space="preserve">וְהַאי עִשֶׂב עֲלֵיהּ אִתְּמַר </w:t>
      </w:r>
      <w:r>
        <w:rPr>
          <w:b w:val="0"/>
          <w:sz w:val="20"/>
          <w:szCs w:val="23"/>
          <w:rtl/>
        </w:rPr>
        <w:t>(תהלים קד יד)</w:t>
      </w:r>
      <w:r>
        <w:rPr>
          <w:b w:val="0"/>
          <w:bCs w:val="0"/>
          <w:rtl/>
        </w:rPr>
        <w:t xml:space="preserve"> וְעִשֶׂב לַעֲבוֹדַת הָאָדָם לְהוֹצִיא לֶחֶם מִן הָאָרֶץ, לֶחֶם אַבִּירִים אָכַל אִישׁ </w:t>
      </w:r>
      <w:r>
        <w:rPr>
          <w:b w:val="0"/>
          <w:sz w:val="20"/>
          <w:szCs w:val="23"/>
          <w:rtl/>
        </w:rPr>
        <w:t>(שם עח כו)</w:t>
      </w:r>
      <w:r>
        <w:rPr>
          <w:b w:val="0"/>
          <w:szCs w:val="23"/>
          <w:rtl/>
        </w:rPr>
        <w:t xml:space="preserve">, </w:t>
      </w:r>
      <w:r>
        <w:rPr>
          <w:rStyle w:val="Char"/>
          <w:rtl/>
        </w:rPr>
        <w:t>וְאִיהוּ נַהֲמָא דְאוֹרַיְיתָא.</w:t>
      </w:r>
      <w:r>
        <w:rPr>
          <w:b w:val="0"/>
          <w:szCs w:val="23"/>
          <w:rtl/>
        </w:rPr>
        <w:t xml:space="preserve"> </w:t>
      </w:r>
      <w:r>
        <w:rPr>
          <w:rStyle w:val="Char"/>
          <w:rtl/>
        </w:rPr>
        <w:t>דְאִתְּמַר בֵּיהּ</w:t>
      </w:r>
      <w:r>
        <w:rPr>
          <w:b w:val="0"/>
          <w:szCs w:val="23"/>
          <w:rtl/>
        </w:rPr>
        <w:t xml:space="preserve"> </w:t>
      </w:r>
      <w:r>
        <w:rPr>
          <w:b w:val="0"/>
          <w:sz w:val="20"/>
          <w:szCs w:val="23"/>
          <w:rtl/>
        </w:rPr>
        <w:t>(קהלת ט ז)</w:t>
      </w:r>
      <w:r>
        <w:rPr>
          <w:b w:val="0"/>
          <w:bCs w:val="0"/>
          <w:rtl/>
        </w:rPr>
        <w:t xml:space="preserve"> לֵךְ אֱכוֹל בְּשִׂמְחָה לַחְמֶךָ, וְאִיהוּ לַעֲבוֹדַת הָאָדָם, ה' דְּאָדָם </w:t>
      </w:r>
      <w:r>
        <w:rPr>
          <w:rStyle w:val="a7"/>
          <w:b w:val="0"/>
          <w:bCs w:val="0"/>
          <w:rtl/>
        </w:rPr>
        <w:footnoteReference w:id="4243"/>
      </w:r>
      <w:r>
        <w:rPr>
          <w:b w:val="0"/>
          <w:bCs w:val="0"/>
          <w:rtl/>
        </w:rPr>
        <w:t xml:space="preserve">דְּאִתְּמַר בָּהּ הַמּוֹצִיא לֶחֶם מִן הָאָרֶץ, מַאי לַעֲבוֹדַת הָאָדָם, לֵית עֲבוֹדָה הָכָא אֶלָּא צְלוֹתָא, דְּאִיהִי פּוּלְחָנָא דִשְׁכִינְתָּא, עֲבוֹדַת יהו''ה וַדַּאי, וַעֲלָהּ אִתְּמַר </w:t>
      </w:r>
      <w:r>
        <w:rPr>
          <w:b w:val="0"/>
          <w:sz w:val="20"/>
          <w:szCs w:val="23"/>
          <w:rtl/>
        </w:rPr>
        <w:t>(תהלים קד כג)</w:t>
      </w:r>
      <w:r>
        <w:rPr>
          <w:b w:val="0"/>
          <w:bCs w:val="0"/>
          <w:rtl/>
        </w:rPr>
        <w:t xml:space="preserve"> יֵצֵא אָדָם לְפָעֳלוֹ וְלַעֲבוֹדָתוֹ עֲדֵי עָרֶב, </w:t>
      </w:r>
      <w:r>
        <w:rPr>
          <w:rStyle w:val="a7"/>
          <w:b w:val="0"/>
          <w:bCs w:val="0"/>
          <w:rtl/>
        </w:rPr>
        <w:footnoteReference w:id="4244"/>
      </w:r>
      <w:r>
        <w:rPr>
          <w:b w:val="0"/>
          <w:bCs w:val="0"/>
          <w:rtl/>
        </w:rPr>
        <w:t xml:space="preserve">יֵצֵא אָדָם לְפָעֳלוֹ דָּא צְלוֹתָא דְשַׁחֲרִית, וְלַעֲבוֹדָתוֹ עֲדֵי עָרֶב דָּא צְלוֹתָא דְמִנְחָה, דְאִתְּמַר בָּהּ </w:t>
      </w:r>
      <w:r>
        <w:rPr>
          <w:b w:val="0"/>
          <w:sz w:val="20"/>
          <w:szCs w:val="23"/>
          <w:rtl/>
        </w:rPr>
        <w:t>(בראשית כד סג)</w:t>
      </w:r>
      <w:r>
        <w:rPr>
          <w:b w:val="0"/>
          <w:bCs w:val="0"/>
          <w:rtl/>
        </w:rPr>
        <w:t xml:space="preserve"> וַיֵּצֵא יִצְחָק לָשׂוּחַ בַּשָּׁדֶה לִפְנוֹת עָרֶב.</w:t>
      </w:r>
    </w:p>
    <w:p w:rsidR="00602EF1" w:rsidRDefault="00602EF1" w:rsidP="00602EF1">
      <w:pPr>
        <w:pStyle w:val="1"/>
        <w:rPr>
          <w:u w:val="single"/>
          <w:rtl/>
        </w:rPr>
      </w:pPr>
      <w:bookmarkStart w:id="269" w:name="_Toc228091330"/>
      <w:bookmarkStart w:id="270" w:name="_Toc231637969"/>
      <w:r>
        <w:rPr>
          <w:rtl/>
        </w:rPr>
        <w:t>תקונא תרין וחמשין</w:t>
      </w:r>
      <w:bookmarkEnd w:id="269"/>
      <w:bookmarkEnd w:id="270"/>
    </w:p>
    <w:p w:rsidR="00602EF1" w:rsidRDefault="00602EF1" w:rsidP="00602EF1">
      <w:pPr>
        <w:pStyle w:val="aa"/>
        <w:spacing w:after="40"/>
        <w:rPr>
          <w:rtl/>
        </w:rPr>
      </w:pPr>
      <w:r>
        <w:rPr>
          <w:rtl/>
        </w:rPr>
        <w:t xml:space="preserve">[תיקוני זוהר - דף צ ע''א] </w:t>
      </w:r>
    </w:p>
    <w:p w:rsidR="00602EF1" w:rsidRDefault="00602EF1" w:rsidP="005C70D5">
      <w:pPr>
        <w:pStyle w:val="NormalWeb"/>
        <w:rPr>
          <w:rtl/>
        </w:rPr>
      </w:pPr>
      <w:r>
        <w:rPr>
          <w:rStyle w:val="a7"/>
          <w:rtl/>
        </w:rPr>
        <w:footnoteReference w:id="4245"/>
      </w:r>
      <w:r>
        <w:rPr>
          <w:rtl/>
        </w:rPr>
        <w:t xml:space="preserve">בְּרֵאשִׁית בָּרָא אלהי''ם. אלהי''ם, חָמֵשׁ אַתְוָון </w:t>
      </w:r>
      <w:r>
        <w:rPr>
          <w:rStyle w:val="a7"/>
          <w:rtl/>
        </w:rPr>
        <w:footnoteReference w:id="4246"/>
      </w:r>
      <w:r>
        <w:rPr>
          <w:rtl/>
        </w:rPr>
        <w:t xml:space="preserve">כְּחוּשְׁבַּן ה', </w:t>
      </w:r>
      <w:r>
        <w:rPr>
          <w:rStyle w:val="a7"/>
          <w:rtl/>
        </w:rPr>
        <w:footnoteReference w:id="4247"/>
      </w:r>
      <w:r>
        <w:rPr>
          <w:rtl/>
        </w:rPr>
        <w:t xml:space="preserve">א''ד מִן אדנ''י הָכִי סְלִיק לְחָמֵשׁ, </w:t>
      </w:r>
      <w:r>
        <w:rPr>
          <w:rStyle w:val="a7"/>
          <w:rtl/>
        </w:rPr>
        <w:footnoteReference w:id="4248"/>
      </w:r>
      <w:r>
        <w:rPr>
          <w:rtl/>
        </w:rPr>
        <w:t xml:space="preserve">וְרָזָא דְמִלָּה </w:t>
      </w:r>
      <w:r>
        <w:rPr>
          <w:rStyle w:val="a7"/>
          <w:rtl/>
        </w:rPr>
        <w:footnoteReference w:id="4249"/>
      </w:r>
      <w:r>
        <w:rPr>
          <w:rtl/>
        </w:rPr>
        <w:t xml:space="preserve">וְאֵד יַעֲלֶה מִן הָאָרֶץ וְהִשְׁקָה אֶת כָּל פְּנֵי </w:t>
      </w:r>
      <w:r>
        <w:rPr>
          <w:szCs w:val="23"/>
          <w:rtl/>
        </w:rPr>
        <w:t xml:space="preserve">(דף צ ע''א) </w:t>
      </w:r>
      <w:r>
        <w:rPr>
          <w:rtl/>
        </w:rPr>
        <w:t xml:space="preserve">הָאֲדָמָה </w:t>
      </w:r>
      <w:r>
        <w:rPr>
          <w:szCs w:val="23"/>
          <w:rtl/>
        </w:rPr>
        <w:t>(בראשית ב ו)</w:t>
      </w:r>
      <w:r>
        <w:rPr>
          <w:rtl/>
        </w:rPr>
        <w:t xml:space="preserve">, תָּא חֲזִי אִתְעָרוּתָא צְרִיכָא מִתַּתָּא לְעִילָא, וּלְבָתַר וְהִשְׁקָה אֶת כָּל פְּנֵי הָאֲדָמָה, וְהִשְׁקָה ו' אִיהוּ שַׁקְיוּ מֵעִילָא לְתַתָּא, דְאִיהוּ נַחַל קְדוּמִים דְּאִתְמַשַּׁךְ מִן מוֹחָא, וְהָכִי צָרִיךְ לְאַתְעָרָא אִתְעָרוּתָא בְקַדְמֵיתָא מֵאִתְּתָא, וְרָזָא דְמִלָּה אִשָּׁה כִּי תַזְרִיעַ </w:t>
      </w:r>
      <w:r>
        <w:rPr>
          <w:szCs w:val="23"/>
          <w:rtl/>
        </w:rPr>
        <w:t>(ויקרא יב ב)</w:t>
      </w:r>
      <w:r>
        <w:rPr>
          <w:rtl/>
        </w:rPr>
        <w:t xml:space="preserve"> וּמִיָּד וְיָלְדָה זָכָר, </w:t>
      </w:r>
      <w:r>
        <w:rPr>
          <w:rStyle w:val="a7"/>
          <w:rtl/>
        </w:rPr>
        <w:footnoteReference w:id="4250"/>
      </w:r>
      <w:r>
        <w:rPr>
          <w:rtl/>
        </w:rPr>
        <w:t xml:space="preserve">נוּקְבָא אדנ''י, דְּכַר יהו''ה, כַּד אַקְדִּימַת בְּרַתָּא שַׁלִּיט דְּכוּרָא וְאִתְעֲבִיד יאהדונה''י, וְרָזָא דְמִלָּה יֱהֹוִ''ה אדנ''י חֵילִי </w:t>
      </w:r>
      <w:r>
        <w:rPr>
          <w:szCs w:val="23"/>
          <w:rtl/>
        </w:rPr>
        <w:t>(חבקוק ג יט)</w:t>
      </w:r>
      <w:r>
        <w:rPr>
          <w:rtl/>
        </w:rPr>
        <w:t>,</w:t>
      </w:r>
      <w:r>
        <w:rPr>
          <w:szCs w:val="23"/>
          <w:rtl/>
        </w:rPr>
        <w:t xml:space="preserve"> </w:t>
      </w:r>
      <w:r>
        <w:rPr>
          <w:rStyle w:val="a7"/>
          <w:szCs w:val="23"/>
          <w:rtl/>
        </w:rPr>
        <w:footnoteReference w:id="4251"/>
      </w:r>
      <w:r>
        <w:rPr>
          <w:rtl/>
        </w:rPr>
        <w:t>ו</w:t>
      </w:r>
      <w:r>
        <w:rPr>
          <w:rStyle w:val="Char"/>
          <w:rtl/>
        </w:rPr>
        <w:t>ַ</w:t>
      </w:r>
      <w:r>
        <w:rPr>
          <w:rtl/>
        </w:rPr>
        <w:t>י</w:t>
      </w:r>
      <w:r>
        <w:rPr>
          <w:rStyle w:val="Char"/>
          <w:rtl/>
        </w:rPr>
        <w:t>ּ</w:t>
      </w:r>
      <w:r>
        <w:rPr>
          <w:rtl/>
        </w:rPr>
        <w:t>ָשֶׂם ר</w:t>
      </w:r>
      <w:r>
        <w:rPr>
          <w:rStyle w:val="Char"/>
          <w:rtl/>
        </w:rPr>
        <w:t>ַ</w:t>
      </w:r>
      <w:r>
        <w:rPr>
          <w:rtl/>
        </w:rPr>
        <w:t>גְל</w:t>
      </w:r>
      <w:r>
        <w:rPr>
          <w:rStyle w:val="Char"/>
          <w:rtl/>
        </w:rPr>
        <w:t>ַ</w:t>
      </w:r>
      <w:r>
        <w:rPr>
          <w:rtl/>
        </w:rPr>
        <w:t>י כ</w:t>
      </w:r>
      <w:r>
        <w:rPr>
          <w:rStyle w:val="Char"/>
          <w:rtl/>
        </w:rPr>
        <w:t>ּ</w:t>
      </w:r>
      <w:r>
        <w:rPr>
          <w:rtl/>
        </w:rPr>
        <w:t>ָאֲי</w:t>
      </w:r>
      <w:r>
        <w:rPr>
          <w:rStyle w:val="Char"/>
          <w:rtl/>
        </w:rPr>
        <w:t>ּ</w:t>
      </w:r>
      <w:r>
        <w:rPr>
          <w:rtl/>
        </w:rPr>
        <w:t xml:space="preserve">ָלוֹת </w:t>
      </w:r>
      <w:r>
        <w:rPr>
          <w:szCs w:val="23"/>
          <w:rtl/>
        </w:rPr>
        <w:t xml:space="preserve">(שם) </w:t>
      </w:r>
      <w:r>
        <w:rPr>
          <w:rStyle w:val="Char"/>
          <w:rtl/>
        </w:rPr>
        <w:t xml:space="preserve">אִלֵּין </w:t>
      </w:r>
      <w:r>
        <w:rPr>
          <w:rtl/>
        </w:rPr>
        <w:t xml:space="preserve">אַמָּה וּתְרֵין שׁוֹקִין, </w:t>
      </w:r>
      <w:r>
        <w:rPr>
          <w:rStyle w:val="a7"/>
          <w:rtl/>
        </w:rPr>
        <w:footnoteReference w:id="4252"/>
      </w:r>
      <w:r>
        <w:rPr>
          <w:rStyle w:val="Char"/>
          <w:rtl/>
        </w:rPr>
        <w:t>וְעַל בָּמוֹתַי יַדְרִיכֵנִי</w:t>
      </w:r>
      <w:r>
        <w:rPr>
          <w:szCs w:val="23"/>
          <w:rtl/>
        </w:rPr>
        <w:t xml:space="preserve"> (שם) </w:t>
      </w:r>
      <w:r>
        <w:rPr>
          <w:rStyle w:val="Char"/>
          <w:rtl/>
        </w:rPr>
        <w:t>אִלֵּין אֲבָהָן, לַמְנַצֵּחַ בִּנְגִינוֹתָי</w:t>
      </w:r>
      <w:r>
        <w:rPr>
          <w:szCs w:val="23"/>
          <w:rtl/>
        </w:rPr>
        <w:t xml:space="preserve"> (שם)</w:t>
      </w:r>
      <w:r>
        <w:rPr>
          <w:rtl/>
        </w:rPr>
        <w:t xml:space="preserve"> </w:t>
      </w:r>
      <w:r>
        <w:rPr>
          <w:rStyle w:val="Char"/>
          <w:rtl/>
        </w:rPr>
        <w:t xml:space="preserve">אִלֵּין </w:t>
      </w:r>
      <w:r>
        <w:rPr>
          <w:rtl/>
        </w:rPr>
        <w:t xml:space="preserve">כֶּתֶר וְאַבָּא וְאִמָּא, מַאי חֵילִי תּוּקְפָא דְכֹלָּא מִלְּעִילָא, חֵילִי </w:t>
      </w:r>
      <w:r>
        <w:rPr>
          <w:rStyle w:val="a7"/>
          <w:rtl/>
        </w:rPr>
        <w:footnoteReference w:id="4253"/>
      </w:r>
      <w:r>
        <w:rPr>
          <w:rtl/>
        </w:rPr>
        <w:t>חֵיל י' וְדָא אַבָּא, תּוּקְפָא דִילֵיהּ נְבִיעוּ דְלֵית לֵיהּ סוֹף.</w:t>
      </w:r>
    </w:p>
    <w:p w:rsidR="00602EF1" w:rsidRDefault="00602EF1" w:rsidP="005C70D5">
      <w:pPr>
        <w:pStyle w:val="NormalWeb"/>
        <w:rPr>
          <w:rtl/>
        </w:rPr>
      </w:pPr>
      <w:r>
        <w:rPr>
          <w:rStyle w:val="a7"/>
          <w:rtl/>
        </w:rPr>
        <w:footnoteReference w:id="4254"/>
      </w:r>
      <w:r>
        <w:rPr>
          <w:rtl/>
        </w:rPr>
        <w:t xml:space="preserve">אָמַר רַבִּי אֶלְעָזָר אַבָּא וְהָא אוּקְמוּהוּ מָארֵי מַתְנִיתִין, דְּעַד אַרְבְּעִין יוֹמִין יָכִיל לְאַחֲזָרָא נוּקְבָא דְכוּרָא, וְאִתְהַפַּךְ מִדִּינָא לְרַחֲמֵי, </w:t>
      </w:r>
      <w:r>
        <w:rPr>
          <w:rStyle w:val="a7"/>
          <w:rtl/>
        </w:rPr>
        <w:footnoteReference w:id="4255"/>
      </w:r>
      <w:r>
        <w:rPr>
          <w:rtl/>
        </w:rPr>
        <w:t xml:space="preserve">אָמַר לֵיה הָא אוּקְמוּהָא, בְּגִין דְּעַד כְּעַן לֵית תַּמָּן דִּיּוֹקְנָא דְאִתְּמַר בֵּיהּ </w:t>
      </w:r>
      <w:r>
        <w:rPr>
          <w:szCs w:val="23"/>
          <w:rtl/>
        </w:rPr>
        <w:t>(בראשית ב ז)</w:t>
      </w:r>
      <w:r>
        <w:rPr>
          <w:rtl/>
        </w:rPr>
        <w:t xml:space="preserve"> וַיִּיצֶר, וְאַמַּאי נָטִיל שִׁעוּרָא בְּמ', בְּגִין דְּאִיהִי שִׁעוּרָא דִנְקוּדָה דְאִיהִי י', טִפָּה </w:t>
      </w:r>
      <w:r>
        <w:rPr>
          <w:szCs w:val="23"/>
          <w:rtl/>
        </w:rPr>
        <w:t>(שעורא)</w:t>
      </w:r>
      <w:r>
        <w:rPr>
          <w:rtl/>
        </w:rPr>
        <w:t xml:space="preserve"> דְּבָהּ אִתְעֲבִיד יָ''ם מִ''י וַדַּאי, </w:t>
      </w:r>
      <w:r>
        <w:rPr>
          <w:rStyle w:val="a7"/>
          <w:rtl/>
        </w:rPr>
        <w:footnoteReference w:id="4256"/>
      </w:r>
      <w:r>
        <w:rPr>
          <w:rtl/>
        </w:rPr>
        <w:t xml:space="preserve">נַחַל קְדוּמִים דָּא ו' דְּאִתְמַשַּׁךְ מִן י' </w:t>
      </w:r>
      <w:r>
        <w:rPr>
          <w:szCs w:val="23"/>
          <w:rtl/>
        </w:rPr>
        <w:t>(ס''א ים)</w:t>
      </w:r>
      <w:r>
        <w:rPr>
          <w:rtl/>
        </w:rPr>
        <w:t xml:space="preserve">, וְהִשְׁקָה אֶת כָּל פְּנֵי הָאֲדָמָה, מַאי פְּנֵי הָאֲדָמָה, אֶלָּא אִלֵּין אַנְפִּין דְּאִינוּן סוּמָק וְחִוָּור וְיָרוֹק וְאוּכָּם, </w:t>
      </w:r>
      <w:r>
        <w:rPr>
          <w:rStyle w:val="a7"/>
          <w:rtl/>
        </w:rPr>
        <w:footnoteReference w:id="4257"/>
      </w:r>
      <w:r>
        <w:rPr>
          <w:rtl/>
        </w:rPr>
        <w:t xml:space="preserve">בְּאִלֵּין גַּוָּונִין נְהִירָא הַהִיא מַבּוּעָא, דְּגַוָּונִין אִינוּן מֵהַאי יַבָּשָׁה, נְבִיעוּ נְהוֹרָא דִילָהּ </w:t>
      </w:r>
      <w:r>
        <w:rPr>
          <w:szCs w:val="23"/>
          <w:rtl/>
        </w:rPr>
        <w:t>(ס''א דחילא)</w:t>
      </w:r>
      <w:r>
        <w:rPr>
          <w:rtl/>
        </w:rPr>
        <w:t xml:space="preserve">, </w:t>
      </w:r>
      <w:r>
        <w:rPr>
          <w:rStyle w:val="a7"/>
          <w:rtl/>
        </w:rPr>
        <w:footnoteReference w:id="4258"/>
      </w:r>
      <w:r>
        <w:rPr>
          <w:rtl/>
        </w:rPr>
        <w:t>דְּהָכִי אִיהוּ נְבִיעוּ לְאַרְעָא כְּנִשְׁמָתָא לְגוּפָא, כְּמָה דְאִילָנָא לָא מִתְרַבֵּי אֶלָּא בְמַיָּא, הָכִי יִשְׂרָאֵל דְּאִינוּן עַנְפִין דְּאִילָנָא לָא מִתְרַבִּין אֶלָּא בִנְבִיעוּ דְאוֹרַיְיתָא.</w:t>
      </w:r>
    </w:p>
    <w:p w:rsidR="00602EF1" w:rsidRDefault="00602EF1" w:rsidP="005F01B5">
      <w:pPr>
        <w:pStyle w:val="NormalWeb"/>
        <w:rPr>
          <w:rtl/>
        </w:rPr>
      </w:pPr>
      <w:r>
        <w:rPr>
          <w:rtl/>
        </w:rPr>
        <w:t xml:space="preserve">וְרָזָא דְמִלָּה מַעְיַן גַּנִּים בְּאֵר מַיִם חַיִּים וְנוֹזְלִים מִן לְבָנוֹן </w:t>
      </w:r>
      <w:r>
        <w:rPr>
          <w:szCs w:val="23"/>
          <w:rtl/>
        </w:rPr>
        <w:t>(שיר ד טו)</w:t>
      </w:r>
      <w:r>
        <w:rPr>
          <w:rtl/>
        </w:rPr>
        <w:t xml:space="preserve">, מַעְיַן דָּא חָכְמָה </w:t>
      </w:r>
      <w:r>
        <w:rPr>
          <w:rStyle w:val="a7"/>
          <w:szCs w:val="29"/>
          <w:rtl/>
        </w:rPr>
        <w:footnoteReference w:id="4259"/>
      </w:r>
      <w:r>
        <w:rPr>
          <w:rtl/>
        </w:rPr>
        <w:t xml:space="preserve">כֶּתֶר אִיהוּ אָמוֹן מוּפְלָא, דְבָעָא לְנַטְעָא אִילָנִין </w:t>
      </w:r>
      <w:r>
        <w:rPr>
          <w:rStyle w:val="a7"/>
          <w:szCs w:val="29"/>
          <w:rtl/>
        </w:rPr>
        <w:footnoteReference w:id="4260"/>
      </w:r>
      <w:r>
        <w:rPr>
          <w:rtl/>
        </w:rPr>
        <w:t xml:space="preserve">בְּגִנְּתָא, אִסְתַּכַּל בְּכָל גִּנְתָא וְלָא אַשְׁכַּח תַּמָּן מַבּוּעָא דְמַיָּא, מֶה עָבַד, אָמַר אַפִּיק מַעְיָן, וּלְבָתַר אֶטַּע גַּן, וְאִתְרַבֵּי אִילָנָא, וּבְגִין דָּא מַעְיַן גַּנִּים, בְּקַדְמֵיתָא אַדְכִּיר מַעְיַן וּלְבָתַר גַּנִּים, וְדָּא גַ''ן סְדָרִים דְּאוֹרַיְיתָא, </w:t>
      </w:r>
      <w:r>
        <w:rPr>
          <w:rStyle w:val="a7"/>
          <w:szCs w:val="29"/>
          <w:rtl/>
        </w:rPr>
        <w:footnoteReference w:id="4261"/>
      </w:r>
      <w:r>
        <w:rPr>
          <w:rtl/>
        </w:rPr>
        <w:t xml:space="preserve">וּכְמָה דְאִית גַּן לְתַתָּא הָכִי אִית גַּ''ן לְעִילָא, </w:t>
      </w:r>
      <w:r>
        <w:rPr>
          <w:rStyle w:val="a7"/>
          <w:szCs w:val="29"/>
          <w:rtl/>
        </w:rPr>
        <w:footnoteReference w:id="4262"/>
      </w:r>
      <w:r>
        <w:rPr>
          <w:rtl/>
        </w:rPr>
        <w:t xml:space="preserve">וְהַאי מַעְיָן אִיהוּ בְּמוֹחָא, </w:t>
      </w:r>
      <w:r>
        <w:rPr>
          <w:rStyle w:val="a7"/>
          <w:szCs w:val="29"/>
          <w:rtl/>
        </w:rPr>
        <w:footnoteReference w:id="4263"/>
      </w:r>
      <w:r>
        <w:rPr>
          <w:rtl/>
        </w:rPr>
        <w:t xml:space="preserve">אִילָנָא גוּפָא, </w:t>
      </w:r>
      <w:r>
        <w:rPr>
          <w:rStyle w:val="a7"/>
          <w:szCs w:val="29"/>
          <w:rtl/>
        </w:rPr>
        <w:footnoteReference w:id="4264"/>
      </w:r>
      <w:r>
        <w:rPr>
          <w:rtl/>
        </w:rPr>
        <w:t xml:space="preserve">עַנְפִין דִּילֵיהּ דְּרוֹעִין וְרַגְלִין, </w:t>
      </w:r>
      <w:r>
        <w:rPr>
          <w:rStyle w:val="a7"/>
          <w:szCs w:val="29"/>
          <w:rtl/>
        </w:rPr>
        <w:footnoteReference w:id="4265"/>
      </w:r>
      <w:r>
        <w:rPr>
          <w:rtl/>
        </w:rPr>
        <w:t xml:space="preserve">וְנוֹזְלִים מִן לְבָנוֹן דָּא לְבָנָה </w:t>
      </w:r>
      <w:r>
        <w:rPr>
          <w:rStyle w:val="a7"/>
          <w:szCs w:val="29"/>
          <w:rtl/>
        </w:rPr>
        <w:footnoteReference w:id="4266"/>
      </w:r>
      <w:r>
        <w:rPr>
          <w:rtl/>
        </w:rPr>
        <w:t xml:space="preserve">דְאִיהִי דָלֵ''ת דַּלָּה בְּגָלוּתָא, וַעֲלָהּ אִתְּמַר </w:t>
      </w:r>
      <w:r>
        <w:rPr>
          <w:szCs w:val="23"/>
          <w:rtl/>
        </w:rPr>
        <w:t>(במדבר כד ז)</w:t>
      </w:r>
      <w:r>
        <w:rPr>
          <w:rtl/>
        </w:rPr>
        <w:t xml:space="preserve"> יִזַּל מַיִם מִדָּלְיָו.</w:t>
      </w:r>
    </w:p>
    <w:p w:rsidR="00602EF1" w:rsidRDefault="00602EF1" w:rsidP="005F01B5">
      <w:pPr>
        <w:pStyle w:val="NormalWeb"/>
        <w:rPr>
          <w:rtl/>
        </w:rPr>
      </w:pPr>
      <w:r>
        <w:rPr>
          <w:rtl/>
        </w:rPr>
        <w:t xml:space="preserve">וַי לוֹן לִבְנֵי נָשָׁא דְלָא מִשְׁתַּדְלִין בְּאוֹרַיְיתָא, </w:t>
      </w:r>
      <w:r>
        <w:rPr>
          <w:rStyle w:val="a7"/>
          <w:szCs w:val="29"/>
          <w:rtl/>
        </w:rPr>
        <w:footnoteReference w:id="4267"/>
      </w:r>
      <w:r>
        <w:rPr>
          <w:rtl/>
        </w:rPr>
        <w:t xml:space="preserve">דְאִתְקְרִיאוּ עִצִים יְבֵשִׁים דְּאִינוּן עֲתִידִין לְאִתּוֹקְדָא בְּנוּרָא דְגֵיהִנָּם, וְלַאו לְמַגָּנָא אָמְרוּ מָארֵי מַתְנִיתִין </w:t>
      </w:r>
      <w:r>
        <w:rPr>
          <w:rStyle w:val="a7"/>
          <w:szCs w:val="29"/>
          <w:rtl/>
        </w:rPr>
        <w:footnoteReference w:id="4268"/>
      </w:r>
      <w:r>
        <w:rPr>
          <w:rtl/>
        </w:rPr>
        <w:t xml:space="preserve">דְּאִינוּן עֲמֵלִין וְיָרְתִין גֵּיהִנָּם, </w:t>
      </w:r>
      <w:r>
        <w:rPr>
          <w:rStyle w:val="a7"/>
          <w:szCs w:val="29"/>
          <w:rtl/>
        </w:rPr>
        <w:footnoteReference w:id="4269"/>
      </w:r>
      <w:r>
        <w:rPr>
          <w:rtl/>
        </w:rPr>
        <w:t xml:space="preserve">וְאַף עַל גַּב דְּמִתְרַבֵּי אִילָנָא דְאִיהוּ גוּפָא דְאוֹרַיְיתָא, וְלֵית לֵיהּ אִיבָּא דְאִינוּן פִּקּוּדִין דַּעֲשֵׂה, מַה כְּתִיב בֵּיהּ </w:t>
      </w:r>
      <w:r>
        <w:rPr>
          <w:szCs w:val="23"/>
          <w:rtl/>
        </w:rPr>
        <w:t>(דברים פ כ)</w:t>
      </w:r>
      <w:r>
        <w:rPr>
          <w:rtl/>
        </w:rPr>
        <w:t xml:space="preserve"> רַק עִץ אֲשֶׁר תֵּדַע כִּי לֹא עִץ מַאֲכָל הוּא אוֹתוֹ תַשְׁחִית וְכָרָתָּ, וּבְגִין דָּא אָמְרוּ מָארֵי מַתְנִיתִין דְּלֵית מֶדְרָשָׁא עִקָּר אֶלָּא הַמַּעֲשֶׂה אִיהוּ עִקָּר.</w:t>
      </w:r>
    </w:p>
    <w:p w:rsidR="00602EF1" w:rsidRDefault="00602EF1" w:rsidP="00602EF1">
      <w:pPr>
        <w:pStyle w:val="1"/>
        <w:rPr>
          <w:sz w:val="39"/>
          <w:szCs w:val="39"/>
          <w:rtl/>
        </w:rPr>
      </w:pPr>
      <w:bookmarkStart w:id="271" w:name="_Toc228091331"/>
      <w:bookmarkStart w:id="272" w:name="_Toc231637970"/>
      <w:r>
        <w:rPr>
          <w:rtl/>
        </w:rPr>
        <w:t>תקונא חמשין ותלת</w:t>
      </w:r>
      <w:bookmarkEnd w:id="271"/>
      <w:bookmarkEnd w:id="272"/>
    </w:p>
    <w:p w:rsidR="00602EF1" w:rsidRDefault="00602EF1" w:rsidP="005F01B5">
      <w:pPr>
        <w:pStyle w:val="2"/>
        <w:rPr>
          <w:rtl/>
        </w:rPr>
      </w:pPr>
      <w:r>
        <w:rPr>
          <w:rtl/>
        </w:rPr>
        <w:t xml:space="preserve">[תיקוני זוהר - דף צ ע''ב] </w:t>
      </w:r>
    </w:p>
    <w:p w:rsidR="00602EF1" w:rsidRDefault="00602EF1" w:rsidP="005F01B5">
      <w:pPr>
        <w:pStyle w:val="NormalWeb"/>
        <w:rPr>
          <w:rtl/>
        </w:rPr>
      </w:pPr>
      <w:r>
        <w:rPr>
          <w:rStyle w:val="a7"/>
          <w:b w:val="0"/>
          <w:sz w:val="20"/>
          <w:szCs w:val="23"/>
          <w:rtl/>
        </w:rPr>
        <w:footnoteReference w:id="4270"/>
      </w:r>
      <w:r>
        <w:rPr>
          <w:rtl/>
        </w:rPr>
        <w:t xml:space="preserve">בְּרֵאשִׁית בָּרָא אלהי''ם </w:t>
      </w:r>
      <w:r>
        <w:rPr>
          <w:rStyle w:val="a7"/>
          <w:b w:val="0"/>
          <w:bCs w:val="0"/>
          <w:rtl/>
        </w:rPr>
        <w:footnoteReference w:id="4271"/>
      </w:r>
      <w:r>
        <w:rPr>
          <w:rtl/>
        </w:rPr>
        <w:t xml:space="preserve">תַּמָּן בַּ''ת, תַּמָּן אֵ''ם דְּהוּא אֵ''ם מֵאלהי''ם, וְאִינוּן גַּן עִלָּאָה גַן תַּתָּאָה. פָּתַח רַבִּי </w:t>
      </w:r>
      <w:r w:rsidRPr="005F01B5">
        <w:rPr>
          <w:rtl/>
        </w:rPr>
        <w:t>שִׁמְעוֹן</w:t>
      </w:r>
      <w:r>
        <w:rPr>
          <w:rtl/>
        </w:rPr>
        <w:t xml:space="preserve"> וְאָמַר </w:t>
      </w:r>
      <w:r>
        <w:rPr>
          <w:sz w:val="20"/>
          <w:szCs w:val="23"/>
          <w:rtl/>
        </w:rPr>
        <w:t>(בראשית ב ל)</w:t>
      </w:r>
      <w:r>
        <w:rPr>
          <w:rtl/>
        </w:rPr>
        <w:t xml:space="preserve">, וַיִּטַּע יהו''ה אלהי''ם גַּן בְּעִדֶן מִקֶּדֶם וַיָּשֶׂם שָׁם אֶת הָאָדָם אֲשֶׁר יָצָר, וַיִּטַּע יהו''ה אלהי''ם גַּן דָּא שְׁכִינְתָּא, </w:t>
      </w:r>
      <w:r>
        <w:rPr>
          <w:rStyle w:val="a7"/>
          <w:b w:val="0"/>
          <w:bCs w:val="0"/>
          <w:rtl/>
        </w:rPr>
        <w:footnoteReference w:id="4272"/>
      </w:r>
      <w:r>
        <w:rPr>
          <w:rtl/>
        </w:rPr>
        <w:t xml:space="preserve">בְּעִדֶן דָּא אִימָּא עִלָּאָה, </w:t>
      </w:r>
      <w:r>
        <w:rPr>
          <w:rStyle w:val="a7"/>
          <w:b w:val="0"/>
          <w:bCs w:val="0"/>
          <w:rtl/>
        </w:rPr>
        <w:footnoteReference w:id="4273"/>
      </w:r>
      <w:r>
        <w:rPr>
          <w:rtl/>
        </w:rPr>
        <w:t xml:space="preserve">מִקֶּדֶם אַבָּא עִלָּאָה, </w:t>
      </w:r>
      <w:r>
        <w:rPr>
          <w:rStyle w:val="a7"/>
          <w:b w:val="0"/>
          <w:bCs w:val="0"/>
          <w:rtl/>
        </w:rPr>
        <w:footnoteReference w:id="4274"/>
      </w:r>
      <w:r>
        <w:rPr>
          <w:rtl/>
        </w:rPr>
        <w:t xml:space="preserve">וַיָּשֶׂם שָׁם אֶת הָאָדָם אֲשֶׁר יָצָר דָּא עַמּוּדָא דְאֶמְצָעִיתָא, וַעֲלֵיהּ אִתְּמַר </w:t>
      </w:r>
      <w:r>
        <w:rPr>
          <w:sz w:val="20"/>
          <w:szCs w:val="23"/>
          <w:rtl/>
        </w:rPr>
        <w:t>(שם ב ז)</w:t>
      </w:r>
      <w:r>
        <w:rPr>
          <w:rtl/>
        </w:rPr>
        <w:t xml:space="preserve"> וַיִּיצֶר יהו''ה אֱלֹהִי''ם אֶת הָאָדָם עָפָר מִן הָאֲדָמָה וַיִּפַּח בְּאַפָּיו </w:t>
      </w:r>
      <w:r>
        <w:rPr>
          <w:sz w:val="20"/>
          <w:szCs w:val="23"/>
          <w:rtl/>
        </w:rPr>
        <w:t xml:space="preserve">(דף צ ע''ב) </w:t>
      </w:r>
      <w:r>
        <w:rPr>
          <w:rtl/>
        </w:rPr>
        <w:t xml:space="preserve">נִשְׁמַת חַיִּים וְגוֹמֵר, וַיִּיצֶר צִיֵּיר לֵיהּ בִּתְרֵין עָלְמִין בְּעָלְמָא דֵין וּבְעָלְמָא דְאָתֵי, וַיִּפַּח בְּאַפָּיו נִשְׁמַת חַיִּים דָּא נִשְׁמַת כָּל חַי, וַיְהִי הָאָדָם דָּא רוּחָא דְחַיֵּי, לְנֶפֶשׁ חַיָּה דָּא שְׁכִינְתָּא תַּתָּאָה. וְעוֹד וַיִּטַּע יהו''ה אלהי''ם גַּן דָּא אוֹרַיְיתָא דְבִכְתָב, </w:t>
      </w:r>
      <w:r>
        <w:rPr>
          <w:rStyle w:val="a7"/>
          <w:b w:val="0"/>
          <w:bCs w:val="0"/>
          <w:rtl/>
        </w:rPr>
        <w:footnoteReference w:id="4275"/>
      </w:r>
      <w:r>
        <w:rPr>
          <w:rtl/>
        </w:rPr>
        <w:t xml:space="preserve">עִדֶן דָּא עִדּוּנָא דְאוֹרַיְיתָא, וְשַׁוִּי תַמָּן אֶת הָאָדָם דִּבְּרִיאָה, וּמַה כְּתִיב בֵּיהּ </w:t>
      </w:r>
      <w:r>
        <w:rPr>
          <w:sz w:val="20"/>
          <w:szCs w:val="23"/>
          <w:rtl/>
        </w:rPr>
        <w:t>(ישעיה יז יא)</w:t>
      </w:r>
      <w:r>
        <w:rPr>
          <w:rtl/>
        </w:rPr>
        <w:t xml:space="preserve"> בְּיוֹם נִטְעִךְ תְּשַׂגְשֵׂגִי.</w:t>
      </w:r>
    </w:p>
    <w:p w:rsidR="00602EF1" w:rsidRDefault="00602EF1" w:rsidP="005F01B5">
      <w:pPr>
        <w:pStyle w:val="NormalWeb"/>
        <w:rPr>
          <w:rtl/>
        </w:rPr>
      </w:pPr>
      <w:r>
        <w:rPr>
          <w:rStyle w:val="a7"/>
          <w:b w:val="0"/>
          <w:bCs w:val="0"/>
          <w:rtl/>
        </w:rPr>
        <w:footnoteReference w:id="4276"/>
      </w:r>
      <w:r>
        <w:rPr>
          <w:rtl/>
        </w:rPr>
        <w:t xml:space="preserve">וַיַּצְמַח יהו''ה </w:t>
      </w:r>
      <w:r w:rsidRPr="005F01B5">
        <w:rPr>
          <w:rtl/>
        </w:rPr>
        <w:t>אלהי''ם</w:t>
      </w:r>
      <w:r>
        <w:rPr>
          <w:rtl/>
        </w:rPr>
        <w:t xml:space="preserve"> וכו' </w:t>
      </w:r>
      <w:r>
        <w:rPr>
          <w:sz w:val="20"/>
          <w:szCs w:val="23"/>
          <w:rtl/>
        </w:rPr>
        <w:t>(בראשית ב ט)</w:t>
      </w:r>
      <w:r>
        <w:rPr>
          <w:rtl/>
        </w:rPr>
        <w:t xml:space="preserve">, יהו''ה אלהי''ם אַבָּא וְאִימָּא, כָּל עִץ נֶחְמָד לְמַרְאֶה </w:t>
      </w:r>
      <w:r>
        <w:rPr>
          <w:sz w:val="20"/>
          <w:szCs w:val="23"/>
          <w:rtl/>
        </w:rPr>
        <w:t>(שם)</w:t>
      </w:r>
      <w:r>
        <w:rPr>
          <w:rtl/>
        </w:rPr>
        <w:t xml:space="preserve"> דָא עַמּוּדָא דְאֶמְצָעִיתָא, </w:t>
      </w:r>
      <w:r>
        <w:rPr>
          <w:rStyle w:val="a7"/>
          <w:b w:val="0"/>
          <w:bCs w:val="0"/>
          <w:rtl/>
        </w:rPr>
        <w:footnoteReference w:id="4277"/>
      </w:r>
      <w:r>
        <w:rPr>
          <w:rtl/>
        </w:rPr>
        <w:t xml:space="preserve">דְכָל גַּוָּונִין שַׁפִּירִין בֵּיהּ אִתְחַזְיָין, וּבְגִין דָּא נֶחְמָד לְמַרְאֶה, תִּפְאֶרֶת שַׁפִּירוּ דְכָל גַּוָּונִין, </w:t>
      </w:r>
      <w:r>
        <w:rPr>
          <w:rStyle w:val="a7"/>
          <w:b w:val="0"/>
          <w:bCs w:val="0"/>
          <w:rtl/>
        </w:rPr>
        <w:footnoteReference w:id="4278"/>
      </w:r>
      <w:r>
        <w:rPr>
          <w:rtl/>
        </w:rPr>
        <w:t>וְטוֹב לְמַאֲכָל דָּא צַדִּיק.</w:t>
      </w:r>
    </w:p>
    <w:p w:rsidR="00602EF1" w:rsidRDefault="00602EF1" w:rsidP="005F01B5">
      <w:pPr>
        <w:pStyle w:val="NormalWeb"/>
        <w:rPr>
          <w:rtl/>
        </w:rPr>
      </w:pPr>
      <w:r>
        <w:rPr>
          <w:rStyle w:val="a7"/>
          <w:b w:val="0"/>
          <w:bCs w:val="0"/>
          <w:rtl/>
        </w:rPr>
        <w:footnoteReference w:id="4279"/>
      </w:r>
      <w:r>
        <w:rPr>
          <w:rtl/>
        </w:rPr>
        <w:t xml:space="preserve">אָמַר לֵיהּ רַבִּי יְהוּדָה, וְהָא כָּל עִץ כְּתִיב, אִי הֲוָה אָמַר עִץ שַׁפִּיר, אֲבָל כָּל עִץ כְּתִיב, אָמַר לֵיהּ וַדַּאי הָכִי הוּא, דִבְכָל אֲתַר. כָּ''ל צַדִּיק אִיהוּ, אֲבָל כֹּלָּא חַד, כָּל דָּא צַדִּיק, עִץ דָּא עַמּוּדָא דְאֶמְצָעִיתָא, דְּגוּף וּבְרִית חַשְׁבֵינָן חַד, אֲבָל בְּהַאי קְרָא כָּל עִץ נֶחְמָד לְמַרְאֶה וְטוֹב לְמַאֲכָל דָּא צַדִּיק, לְמַרְאֶה דָא שְׁכִינְתָּא </w:t>
      </w:r>
      <w:r>
        <w:rPr>
          <w:rStyle w:val="a7"/>
          <w:b w:val="0"/>
          <w:bCs w:val="0"/>
          <w:rtl/>
        </w:rPr>
        <w:footnoteReference w:id="4280"/>
      </w:r>
      <w:r>
        <w:rPr>
          <w:rtl/>
        </w:rPr>
        <w:t xml:space="preserve">דְאִתְּמַר בָּהּ </w:t>
      </w:r>
      <w:r>
        <w:rPr>
          <w:sz w:val="20"/>
          <w:szCs w:val="23"/>
          <w:rtl/>
        </w:rPr>
        <w:t>(במדבר יב ו)</w:t>
      </w:r>
      <w:r>
        <w:rPr>
          <w:rtl/>
        </w:rPr>
        <w:t xml:space="preserve"> בַּמַּרְאָה אֵלָיו אֶתְוַדָּע, </w:t>
      </w:r>
      <w:r>
        <w:rPr>
          <w:rStyle w:val="a7"/>
          <w:b w:val="0"/>
          <w:bCs w:val="0"/>
          <w:rtl/>
        </w:rPr>
        <w:footnoteReference w:id="4281"/>
      </w:r>
      <w:r>
        <w:rPr>
          <w:rtl/>
        </w:rPr>
        <w:t xml:space="preserve">וְעִץ הַחַיִּים דָּא עַמּוּדָא דְאֶמְצָעִיתָא, דְאִיהוּ עִץ הַחַיִּים </w:t>
      </w:r>
      <w:r w:rsidRPr="005F01B5">
        <w:rPr>
          <w:rtl/>
        </w:rPr>
        <w:t>דִּלְעִילָא</w:t>
      </w:r>
      <w:r>
        <w:rPr>
          <w:rtl/>
        </w:rPr>
        <w:t xml:space="preserve"> דְאִתְּמַר בָּהּ </w:t>
      </w:r>
      <w:r>
        <w:rPr>
          <w:sz w:val="20"/>
          <w:szCs w:val="23"/>
          <w:rtl/>
        </w:rPr>
        <w:t>(קהלת ז יב)</w:t>
      </w:r>
      <w:r>
        <w:rPr>
          <w:rtl/>
        </w:rPr>
        <w:t xml:space="preserve"> הַחָכְמָה תְּחַיֶּה בְעָלֶיהָ.</w:t>
      </w:r>
    </w:p>
    <w:p w:rsidR="00602EF1" w:rsidRDefault="00602EF1" w:rsidP="005F01B5">
      <w:pPr>
        <w:pStyle w:val="NormalWeb"/>
        <w:rPr>
          <w:rtl/>
        </w:rPr>
      </w:pPr>
      <w:r>
        <w:rPr>
          <w:rStyle w:val="a7"/>
          <w:b w:val="0"/>
          <w:bCs w:val="0"/>
          <w:rtl/>
        </w:rPr>
        <w:footnoteReference w:id="4282"/>
      </w:r>
      <w:r>
        <w:rPr>
          <w:rtl/>
        </w:rPr>
        <w:t xml:space="preserve">אָמַר לֵיהּ </w:t>
      </w:r>
      <w:r w:rsidRPr="005F01B5">
        <w:rPr>
          <w:rtl/>
        </w:rPr>
        <w:t>הָא</w:t>
      </w:r>
      <w:r>
        <w:rPr>
          <w:rtl/>
        </w:rPr>
        <w:t xml:space="preserve"> שְׁכִינְתָּא תַּתָּאָה אִיהִי גַן, דְּתַמָּן עִץ הַחַיִּים נָטוּעַ, כְּמָה דְאִתְּמַר </w:t>
      </w:r>
      <w:r>
        <w:rPr>
          <w:sz w:val="20"/>
          <w:szCs w:val="23"/>
          <w:rtl/>
        </w:rPr>
        <w:t>(בראשית ב ט)</w:t>
      </w:r>
      <w:r>
        <w:rPr>
          <w:rtl/>
        </w:rPr>
        <w:t xml:space="preserve"> וְעִץ הַחַיִּים בְּתוֹךְ הַגָּן, מַאי מִן הָאֲדָמָה, </w:t>
      </w:r>
      <w:r>
        <w:rPr>
          <w:rStyle w:val="a7"/>
          <w:b w:val="0"/>
          <w:bCs w:val="0"/>
          <w:rtl/>
        </w:rPr>
        <w:footnoteReference w:id="4283"/>
      </w:r>
      <w:r>
        <w:rPr>
          <w:rtl/>
        </w:rPr>
        <w:t xml:space="preserve">אָמַר לֵיהּ דָא שְׁכִינְתָּא עִלָּאָה, דְמִינָהּ אִתְנַטַּע כָּל עִץ דְּאִיהוּ צַדִּיק, כָּ''ל אִיהוּ מִסִּטְרָא דְמִ''י, דְהָכִי סְלִיק </w:t>
      </w:r>
      <w:r>
        <w:rPr>
          <w:rStyle w:val="a7"/>
          <w:b w:val="0"/>
          <w:bCs w:val="0"/>
          <w:rtl/>
        </w:rPr>
        <w:footnoteReference w:id="4284"/>
      </w:r>
      <w:r>
        <w:rPr>
          <w:rtl/>
        </w:rPr>
        <w:t xml:space="preserve">לְחֻשְׁבַּן כָּ''ל מִ''י, וּבְגִינָהּ אִתְּמַר </w:t>
      </w:r>
      <w:r>
        <w:rPr>
          <w:sz w:val="20"/>
          <w:szCs w:val="23"/>
          <w:rtl/>
        </w:rPr>
        <w:t>(איוב לח כט)</w:t>
      </w:r>
      <w:r>
        <w:rPr>
          <w:rtl/>
        </w:rPr>
        <w:t xml:space="preserve"> מִבֶּטֶן מִי יָצָא הַקָּרַח וְגוֹמֵר, דְּאִיהוּ הַקֶּרַח הַנּוֹרָא.</w:t>
      </w:r>
    </w:p>
    <w:p w:rsidR="00602EF1" w:rsidRDefault="00602EF1" w:rsidP="005F01B5">
      <w:pPr>
        <w:pStyle w:val="NormalWeb"/>
        <w:rPr>
          <w:rtl/>
        </w:rPr>
      </w:pPr>
      <w:r>
        <w:rPr>
          <w:rStyle w:val="a7"/>
          <w:b w:val="0"/>
          <w:bCs w:val="0"/>
          <w:rtl/>
        </w:rPr>
        <w:footnoteReference w:id="4285"/>
      </w:r>
      <w:r>
        <w:rPr>
          <w:rtl/>
        </w:rPr>
        <w:t xml:space="preserve">וְעִץ הַדַּעַת טוֹב וָרָע אִיהוּ לְתַתָּא, עִץ הַדַּעַת טוֹב דָּא מטטרו''ן, וָרָע דָּא סמא''ל </w:t>
      </w:r>
      <w:r>
        <w:rPr>
          <w:rStyle w:val="a7"/>
          <w:b w:val="0"/>
          <w:bCs w:val="0"/>
          <w:rtl/>
        </w:rPr>
        <w:footnoteReference w:id="4286"/>
      </w:r>
      <w:r>
        <w:rPr>
          <w:rtl/>
        </w:rPr>
        <w:t xml:space="preserve">וּבְגִין דָּא וְעִץ הַדַּעַת דְאִיהוּ (אָתֵי) מֵאֲתַר אָחֳרָא, עִץ הַדַּעַת טוֹב וָרָע, </w:t>
      </w:r>
      <w:r>
        <w:rPr>
          <w:rStyle w:val="a7"/>
          <w:b w:val="0"/>
          <w:bCs w:val="0"/>
          <w:rtl/>
        </w:rPr>
        <w:footnoteReference w:id="4287"/>
      </w:r>
      <w:r>
        <w:rPr>
          <w:rtl/>
        </w:rPr>
        <w:t xml:space="preserve">וְעוֹד וַיַּצְמַח יהו''ה אלהי''ם מִן הָאֲדָמָה כָּל עִץ, דָּא אִיהוּ צֶמַח </w:t>
      </w:r>
      <w:r w:rsidRPr="005F01B5">
        <w:rPr>
          <w:rtl/>
        </w:rPr>
        <w:t>צַדִּיק</w:t>
      </w:r>
      <w:r>
        <w:rPr>
          <w:rtl/>
        </w:rPr>
        <w:t xml:space="preserve"> </w:t>
      </w:r>
      <w:r>
        <w:rPr>
          <w:sz w:val="20"/>
          <w:szCs w:val="23"/>
          <w:rtl/>
        </w:rPr>
        <w:t>(ירמיה כג ה)</w:t>
      </w:r>
      <w:r>
        <w:rPr>
          <w:szCs w:val="23"/>
          <w:rtl/>
        </w:rPr>
        <w:t xml:space="preserve"> </w:t>
      </w:r>
      <w:r w:rsidRPr="005F01B5">
        <w:rPr>
          <w:rtl/>
        </w:rPr>
        <w:t>וּמִתַּחְתָּיו יִצְמָח</w:t>
      </w:r>
      <w:r>
        <w:rPr>
          <w:szCs w:val="23"/>
          <w:rtl/>
        </w:rPr>
        <w:t xml:space="preserve"> </w:t>
      </w:r>
      <w:r>
        <w:rPr>
          <w:sz w:val="20"/>
          <w:szCs w:val="23"/>
          <w:rtl/>
        </w:rPr>
        <w:t>(זכריה ו יב)</w:t>
      </w:r>
      <w:r>
        <w:rPr>
          <w:rtl/>
        </w:rPr>
        <w:t xml:space="preserve">, תָּא חֲזִי כָּל מָאן דְּנָטִיר בְּרִית, הַהוּא בַר דְּיָהֵיב לֵיהּ קוּדְשָׁא בְּרִיךְ הוּא, עֲלֵיהּ אִתְּמַר </w:t>
      </w:r>
      <w:r>
        <w:rPr>
          <w:sz w:val="20"/>
          <w:szCs w:val="23"/>
          <w:rtl/>
        </w:rPr>
        <w:t>(בראשית ב ט)</w:t>
      </w:r>
      <w:r>
        <w:rPr>
          <w:rtl/>
        </w:rPr>
        <w:t xml:space="preserve"> וַיַּצְמַח יהו''ה אלהי''ם כָּל עִץ נֶחְמָד לְמַרְאֶה </w:t>
      </w:r>
      <w:r>
        <w:rPr>
          <w:rStyle w:val="a7"/>
          <w:b w:val="0"/>
          <w:bCs w:val="0"/>
          <w:rtl/>
        </w:rPr>
        <w:footnoteReference w:id="4288"/>
      </w:r>
      <w:r>
        <w:rPr>
          <w:rtl/>
        </w:rPr>
        <w:t xml:space="preserve">בְּרָזִין דְּאוֹרַיְיתָא, וְטוֹב לְמַאֲכָל בְּפִקּוּדִין דְּאוֹרַיְיתָא, אֲבָל בְּרָא אָחֳרָא דְלָא אִתְעֲבִיד בִּדְחִילוּ וּרְחִימוּ דְקוּדְשָׁא בְּרִיךְ הוּא, מַה כְּתִיב בֵּיהּ </w:t>
      </w:r>
      <w:r>
        <w:rPr>
          <w:sz w:val="20"/>
          <w:szCs w:val="23"/>
          <w:rtl/>
        </w:rPr>
        <w:t>(שם)</w:t>
      </w:r>
      <w:r>
        <w:rPr>
          <w:rtl/>
        </w:rPr>
        <w:t xml:space="preserve"> וְעִץ הַדַּעַת טוֹב וָרָע, וְדָא עִרְבוּבְיָא דְטוֹב וָרָע, מְעוּרָב מִמַּצָּה וּשְׂאוֹר.</w:t>
      </w:r>
    </w:p>
    <w:p w:rsidR="00602EF1" w:rsidRDefault="00602EF1" w:rsidP="005F01B5">
      <w:pPr>
        <w:pStyle w:val="NormalWeb"/>
        <w:rPr>
          <w:rtl/>
        </w:rPr>
      </w:pPr>
      <w:r>
        <w:rPr>
          <w:rStyle w:val="a7"/>
          <w:b w:val="0"/>
          <w:bCs w:val="0"/>
          <w:rtl/>
        </w:rPr>
        <w:footnoteReference w:id="4289"/>
      </w:r>
      <w:r>
        <w:rPr>
          <w:rtl/>
        </w:rPr>
        <w:t xml:space="preserve">וּבְגִין דָּא מַנִּי קוּדְשָׁא בְּרִיךְ הוּא לְיִשְׂרָאֵל לְנַטְרָא גַרְמֵיהּ בְּפִרְיָה וְרִבְיָה, הָדָא הוּא דִכְתִיב </w:t>
      </w:r>
      <w:r>
        <w:rPr>
          <w:sz w:val="20"/>
          <w:szCs w:val="23"/>
          <w:rtl/>
        </w:rPr>
        <w:t>(שם יז)</w:t>
      </w:r>
      <w:r>
        <w:rPr>
          <w:rtl/>
        </w:rPr>
        <w:t xml:space="preserve"> וּמֵעִץ הַדַּעַת טוֹב וָרָע לֹא תֹאכַל מִמֶּנּוּ, טוֹב מִסִּטְרָא דְדַם טָהוֹר, </w:t>
      </w:r>
      <w:r>
        <w:rPr>
          <w:rStyle w:val="a7"/>
          <w:b w:val="0"/>
          <w:bCs w:val="0"/>
          <w:rtl/>
        </w:rPr>
        <w:footnoteReference w:id="4290"/>
      </w:r>
      <w:r>
        <w:rPr>
          <w:rtl/>
        </w:rPr>
        <w:t xml:space="preserve">וָרָע מִסִּטְרָא דְדַם נִדּוֹת, דְּהָאי בַּר גָּרים אִבּוּדָא דִתְרֵין </w:t>
      </w:r>
      <w:r w:rsidRPr="005F01B5">
        <w:rPr>
          <w:rtl/>
        </w:rPr>
        <w:t>עָלְמִין</w:t>
      </w:r>
      <w:r>
        <w:rPr>
          <w:rtl/>
        </w:rPr>
        <w:t xml:space="preserve">, הֲדָא הוּא דִכְתִיב </w:t>
      </w:r>
      <w:r>
        <w:rPr>
          <w:sz w:val="20"/>
          <w:szCs w:val="23"/>
          <w:rtl/>
        </w:rPr>
        <w:t>(שם)</w:t>
      </w:r>
      <w:r>
        <w:rPr>
          <w:rtl/>
        </w:rPr>
        <w:t xml:space="preserve"> כִּי בְּיוֹם אֲכָלְךָ מִמֶּנּוּ מוֹת תָּמוּת, מוֹת בְּעָלְמָא דֵין, תָּמוּת בְּעָלְמָא דְאָתֵי.</w:t>
      </w:r>
    </w:p>
    <w:p w:rsidR="00602EF1" w:rsidRDefault="00602EF1" w:rsidP="00602EF1">
      <w:pPr>
        <w:pStyle w:val="1"/>
        <w:rPr>
          <w:u w:val="single"/>
          <w:rtl/>
        </w:rPr>
      </w:pPr>
      <w:bookmarkStart w:id="273" w:name="_Toc228091332"/>
      <w:bookmarkStart w:id="274" w:name="_Toc231637971"/>
      <w:r>
        <w:rPr>
          <w:rtl/>
        </w:rPr>
        <w:t>תקונא חמשין וארבע</w:t>
      </w:r>
      <w:bookmarkEnd w:id="273"/>
      <w:bookmarkEnd w:id="274"/>
    </w:p>
    <w:p w:rsidR="00602EF1" w:rsidRDefault="00602EF1" w:rsidP="005F01B5">
      <w:pPr>
        <w:pStyle w:val="NormalWeb"/>
        <w:rPr>
          <w:rtl/>
        </w:rPr>
      </w:pPr>
      <w:r>
        <w:rPr>
          <w:rStyle w:val="a7"/>
          <w:szCs w:val="29"/>
          <w:rtl/>
        </w:rPr>
        <w:footnoteReference w:id="4291"/>
      </w:r>
      <w:r>
        <w:rPr>
          <w:rtl/>
        </w:rPr>
        <w:t xml:space="preserve">בְּרֵאשִׁית בָּרָא אלהי''ם, אֶת הַשָּׁמַיִם עִץ הַחַיִּים, וְאֶת הָאָרֶץ כָּל עִץ נֶחְמָד לְמַרְאֶה, </w:t>
      </w:r>
      <w:r>
        <w:rPr>
          <w:rStyle w:val="a7"/>
          <w:szCs w:val="29"/>
          <w:rtl/>
        </w:rPr>
        <w:footnoteReference w:id="4292"/>
      </w:r>
      <w:r>
        <w:rPr>
          <w:rtl/>
        </w:rPr>
        <w:t xml:space="preserve">וְהָאָרֶץ הָיְתָה תֹהוּ וָבֹהוּ דָּא עִץ הַדַּעַת טוֹב וָרָע, וְדָא רָזָא </w:t>
      </w:r>
      <w:r>
        <w:rPr>
          <w:rStyle w:val="a7"/>
          <w:szCs w:val="29"/>
          <w:rtl/>
        </w:rPr>
        <w:footnoteReference w:id="4293"/>
      </w:r>
      <w:r>
        <w:rPr>
          <w:rtl/>
        </w:rPr>
        <w:t xml:space="preserve">תֹהוּ עֹמֶק רָע, בֹּהוּ עֹמֶק טוֹב, וְדָא עִץ הַדַּעַת טוֹב וָרָע, </w:t>
      </w:r>
      <w:r>
        <w:rPr>
          <w:rStyle w:val="a7"/>
          <w:szCs w:val="29"/>
          <w:rtl/>
        </w:rPr>
        <w:footnoteReference w:id="4294"/>
      </w:r>
      <w:r>
        <w:rPr>
          <w:rtl/>
        </w:rPr>
        <w:t xml:space="preserve">כִּי שָׁם בָּלַל יהו''ה שְׂפַת כָּל הָאָרֶץ </w:t>
      </w:r>
      <w:r>
        <w:rPr>
          <w:szCs w:val="23"/>
          <w:rtl/>
        </w:rPr>
        <w:t>(שם יא ט)</w:t>
      </w:r>
      <w:r>
        <w:rPr>
          <w:rtl/>
        </w:rPr>
        <w:t xml:space="preserve">, </w:t>
      </w:r>
      <w:r>
        <w:rPr>
          <w:rStyle w:val="a7"/>
          <w:szCs w:val="29"/>
          <w:rtl/>
        </w:rPr>
        <w:footnoteReference w:id="4295"/>
      </w:r>
      <w:r>
        <w:rPr>
          <w:rtl/>
        </w:rPr>
        <w:t>וּמֵהָכָא נָפַק כָּל עִרְבוּבְיָא דְטוֹב וָרָע, דְּאִיהוּ רָזָא דְצַדִּיק וְרַע לוֹ רָשָׁע וְטוֹב לוֹ.</w:t>
      </w:r>
    </w:p>
    <w:p w:rsidR="00602EF1" w:rsidRDefault="00602EF1" w:rsidP="005F01B5">
      <w:pPr>
        <w:pStyle w:val="2"/>
        <w:rPr>
          <w:rtl/>
        </w:rPr>
      </w:pPr>
      <w:r>
        <w:rPr>
          <w:rtl/>
        </w:rPr>
        <w:t xml:space="preserve">[תיקוני זוהר - דף צא ע''א] </w:t>
      </w:r>
    </w:p>
    <w:p w:rsidR="00602EF1" w:rsidRDefault="00602EF1" w:rsidP="005F01B5">
      <w:pPr>
        <w:pStyle w:val="NormalWeb"/>
        <w:rPr>
          <w:rtl/>
        </w:rPr>
      </w:pPr>
      <w:r>
        <w:rPr>
          <w:rStyle w:val="a7"/>
          <w:b w:val="0"/>
          <w:sz w:val="20"/>
          <w:szCs w:val="23"/>
          <w:rtl/>
        </w:rPr>
        <w:footnoteReference w:id="4296"/>
      </w:r>
      <w:r>
        <w:rPr>
          <w:rtl/>
        </w:rPr>
        <w:t xml:space="preserve">בְּרֵאשִׁית בָּרָא </w:t>
      </w:r>
      <w:r>
        <w:rPr>
          <w:rStyle w:val="a7"/>
          <w:b w:val="0"/>
          <w:bCs w:val="0"/>
          <w:rtl/>
        </w:rPr>
        <w:footnoteReference w:id="4297"/>
      </w:r>
      <w:r>
        <w:rPr>
          <w:rtl/>
        </w:rPr>
        <w:t xml:space="preserve">בַּיִ''ת רֹא''שׁ, וְאִינוּן אַבָּא וְאִימָּא, בָּרָא תַּרְגּוּם </w:t>
      </w:r>
      <w:r>
        <w:rPr>
          <w:rStyle w:val="a7"/>
          <w:b w:val="0"/>
          <w:bCs w:val="0"/>
          <w:rtl/>
        </w:rPr>
        <w:footnoteReference w:id="4298"/>
      </w:r>
      <w:r>
        <w:rPr>
          <w:rtl/>
        </w:rPr>
        <w:t xml:space="preserve">בְּרָא. אִיהוּ עַמּוּדָא דְאֶמְצָעִיתָא, וַעֲלֵיהּ אִתְּמַר </w:t>
      </w:r>
      <w:r>
        <w:rPr>
          <w:sz w:val="20"/>
          <w:szCs w:val="23"/>
          <w:rtl/>
        </w:rPr>
        <w:t>(בראשית ב י)</w:t>
      </w:r>
      <w:r>
        <w:rPr>
          <w:rtl/>
        </w:rPr>
        <w:t xml:space="preserve"> וְנָהָר </w:t>
      </w:r>
      <w:r w:rsidRPr="005F01B5">
        <w:rPr>
          <w:rtl/>
        </w:rPr>
        <w:t>יוֹצֵא</w:t>
      </w:r>
      <w:r>
        <w:rPr>
          <w:rtl/>
        </w:rPr>
        <w:t xml:space="preserve"> מֵעֶדֶן, </w:t>
      </w:r>
      <w:r>
        <w:rPr>
          <w:rStyle w:val="a7"/>
          <w:b w:val="0"/>
          <w:bCs w:val="0"/>
          <w:rtl/>
        </w:rPr>
        <w:footnoteReference w:id="4299"/>
      </w:r>
      <w:r>
        <w:rPr>
          <w:rtl/>
        </w:rPr>
        <w:t xml:space="preserve">אִית עֶדֶן וְאִית עֶדֶן, הֲדָא הוּא דִכְתִיב </w:t>
      </w:r>
      <w:r>
        <w:rPr>
          <w:sz w:val="20"/>
          <w:szCs w:val="23"/>
          <w:rtl/>
        </w:rPr>
        <w:t>(תהלים לו ט)</w:t>
      </w:r>
      <w:r>
        <w:rPr>
          <w:rtl/>
        </w:rPr>
        <w:t xml:space="preserve"> וְנַחַל עֲדָנֶיךָ </w:t>
      </w:r>
      <w:r w:rsidRPr="005F01B5">
        <w:rPr>
          <w:rStyle w:val="20"/>
          <w:rtl/>
        </w:rPr>
        <w:t>(דף צא ע''א)</w:t>
      </w:r>
      <w:r>
        <w:rPr>
          <w:sz w:val="20"/>
          <w:szCs w:val="23"/>
          <w:rtl/>
        </w:rPr>
        <w:t xml:space="preserve"> </w:t>
      </w:r>
      <w:r>
        <w:rPr>
          <w:rtl/>
        </w:rPr>
        <w:t xml:space="preserve">תַשְׁקֵם, עֲדָנֶיךָ וַדַּאי, דָּא עֶדֶן עִלָּאָה כֶּתֶר עִלָּאָה, עֶדֶן דִּלְתַתָּא דָא י', וְאִית עֶדֶן דִּלְתַתָּא וְדָא אִימָּא עִלָּאָה </w:t>
      </w:r>
      <w:r>
        <w:rPr>
          <w:sz w:val="20"/>
          <w:szCs w:val="23"/>
          <w:rtl/>
        </w:rPr>
        <w:t>(ס"א דְאִיהִי ד')</w:t>
      </w:r>
      <w:r>
        <w:rPr>
          <w:rtl/>
        </w:rPr>
        <w:t xml:space="preserve"> </w:t>
      </w:r>
      <w:r>
        <w:rPr>
          <w:rStyle w:val="a7"/>
          <w:b w:val="0"/>
          <w:bCs w:val="0"/>
          <w:rtl/>
        </w:rPr>
        <w:footnoteReference w:id="4300"/>
      </w:r>
      <w:r>
        <w:rPr>
          <w:rtl/>
        </w:rPr>
        <w:t xml:space="preserve">אִיהִי עֶדֶן לְגַבֵּי נָהָר דִּלְתַתָּא מִינָהּ, </w:t>
      </w:r>
      <w:r>
        <w:rPr>
          <w:rStyle w:val="a7"/>
          <w:b w:val="0"/>
          <w:bCs w:val="0"/>
          <w:rtl/>
        </w:rPr>
        <w:footnoteReference w:id="4301"/>
      </w:r>
      <w:r>
        <w:rPr>
          <w:rtl/>
        </w:rPr>
        <w:t>הֲדָא הוּא דִכְתִיב וְנָהָר יוֹצֵא מֵעֶדֶן לְהַשְׁקוֹת אֶת הַגָּן.</w:t>
      </w:r>
    </w:p>
    <w:p w:rsidR="00602EF1" w:rsidRDefault="00602EF1" w:rsidP="005F01B5">
      <w:pPr>
        <w:pStyle w:val="NormalWeb"/>
        <w:rPr>
          <w:rtl/>
        </w:rPr>
      </w:pPr>
      <w:r>
        <w:rPr>
          <w:rtl/>
        </w:rPr>
        <w:t xml:space="preserve">תָּא חֲזִי כַּמָּה נְהָרוֹת אִינוּן מְשַׁנְּיָין דָּא מִן דָּא, אִית נָהָר וְאִית נָהָר, </w:t>
      </w:r>
      <w:r>
        <w:rPr>
          <w:rStyle w:val="a7"/>
          <w:b w:val="0"/>
          <w:bCs w:val="0"/>
          <w:rtl/>
        </w:rPr>
        <w:footnoteReference w:id="4302"/>
      </w:r>
      <w:r>
        <w:rPr>
          <w:rtl/>
        </w:rPr>
        <w:t xml:space="preserve">אִית נָהָר מִנְּהוֹרָא דִלְעִילָא דְאִתְקְרֵי נַהֲרָא דְמַיָּא </w:t>
      </w:r>
      <w:r w:rsidRPr="005F01B5">
        <w:rPr>
          <w:rtl/>
        </w:rPr>
        <w:t>דְאוֹרַיְיתָא</w:t>
      </w:r>
      <w:r>
        <w:rPr>
          <w:rtl/>
        </w:rPr>
        <w:t xml:space="preserve">, דְאִתְּמַר בָּהּ </w:t>
      </w:r>
      <w:r>
        <w:rPr>
          <w:sz w:val="20"/>
          <w:szCs w:val="23"/>
          <w:rtl/>
        </w:rPr>
        <w:t>(משלי יג יד)</w:t>
      </w:r>
      <w:r>
        <w:rPr>
          <w:rtl/>
        </w:rPr>
        <w:t xml:space="preserve"> תּוֹרַת חָכָם מְקוֹר חַיִּים, וְאִית נָהָר דְּאִתְקְרֵי נָהָר פְּלָגָיו, דְּכַמָּה פַּלְגִין עֲמִיקִין תַּלְיָין מִנֵּיהּ, דְּאִתְּמַר בְּהוֹן </w:t>
      </w:r>
      <w:r>
        <w:rPr>
          <w:sz w:val="20"/>
          <w:szCs w:val="23"/>
          <w:rtl/>
        </w:rPr>
        <w:t>(שם כא א)</w:t>
      </w:r>
      <w:r>
        <w:rPr>
          <w:rtl/>
        </w:rPr>
        <w:t xml:space="preserve"> פַּלְגֵי מַיִם לֶב מֶלֶךְ וְגוֹמֵר, </w:t>
      </w:r>
      <w:r>
        <w:rPr>
          <w:rStyle w:val="a7"/>
          <w:b w:val="0"/>
          <w:bCs w:val="0"/>
          <w:rtl/>
        </w:rPr>
        <w:footnoteReference w:id="4303"/>
      </w:r>
      <w:r>
        <w:rPr>
          <w:rtl/>
        </w:rPr>
        <w:t xml:space="preserve">וְאִית נָהָר דְּאִתְקְרֵי נְהַר דִּינוּר מִסִּטְרָא דִשְׂמָאלָא, דְאִתְּמַר בֵּיהּ </w:t>
      </w:r>
      <w:r>
        <w:rPr>
          <w:sz w:val="20"/>
          <w:szCs w:val="23"/>
          <w:rtl/>
        </w:rPr>
        <w:t>(דניאל ז י)</w:t>
      </w:r>
      <w:r>
        <w:rPr>
          <w:rtl/>
        </w:rPr>
        <w:t xml:space="preserve"> נְהַר דִּינוּר נָגֵיד וְנָפֵיק מִן וְגוֹמֵר, וְאִית נָהָר דְּאִתְקְרֵי נַחַל קְדוּמִים, דְּאִתְמַשַּׁךְ מֵעִלָּאִין, וּמִנֵּיהּ תַּלְיָין </w:t>
      </w:r>
      <w:r>
        <w:rPr>
          <w:rStyle w:val="a7"/>
          <w:b w:val="0"/>
          <w:bCs w:val="0"/>
          <w:rtl/>
        </w:rPr>
        <w:footnoteReference w:id="4304"/>
      </w:r>
      <w:r>
        <w:rPr>
          <w:rtl/>
        </w:rPr>
        <w:t xml:space="preserve">שִׁשָׁה נְהָרוֹת, דְּאִתְּמַר בְּהוֹן </w:t>
      </w:r>
      <w:r>
        <w:rPr>
          <w:sz w:val="20"/>
          <w:szCs w:val="23"/>
          <w:rtl/>
        </w:rPr>
        <w:t>(תהלים צג ג)</w:t>
      </w:r>
      <w:r>
        <w:rPr>
          <w:rtl/>
        </w:rPr>
        <w:t xml:space="preserve"> נָשְׂאוּ נְהָרוֹת ה' נָשְׂאוּ נְהָרוֹת קוֹלָם, וְנָהָר בְּכָל אֲתַר אִיהוּ ו', מִסִּטְרָא דְאַבָּא וְאִימָּא אִתְקְרֵי נַחַל קְדוּמִים, וּמִסִּטְרָא דְעִדֶן עִלָּאָה אִתְּמַר בֵּיהּ </w:t>
      </w:r>
      <w:r>
        <w:rPr>
          <w:sz w:val="20"/>
          <w:szCs w:val="23"/>
          <w:rtl/>
        </w:rPr>
        <w:t>(תהלים לו ט)</w:t>
      </w:r>
      <w:r>
        <w:rPr>
          <w:rtl/>
        </w:rPr>
        <w:t xml:space="preserve"> וְנַחַל עֲדָנֶיךָ תַשְׁקֵם.</w:t>
      </w:r>
    </w:p>
    <w:p w:rsidR="00602EF1" w:rsidRDefault="00602EF1" w:rsidP="005F01B5">
      <w:pPr>
        <w:pStyle w:val="NormalWeb"/>
        <w:rPr>
          <w:rtl/>
        </w:rPr>
      </w:pPr>
      <w:r>
        <w:rPr>
          <w:rtl/>
        </w:rPr>
        <w:t xml:space="preserve">וּמִסִּטְרָא דִימִינָא אִתְקְרֵי נָהָר פְּלָגָיו, וּמִסִּטְרָא דִשְׂמָאלָא אִתְקְרֵי נְהַר דִּינוּר, </w:t>
      </w:r>
      <w:r>
        <w:rPr>
          <w:rStyle w:val="a7"/>
          <w:b w:val="0"/>
          <w:bCs w:val="0"/>
          <w:rtl/>
        </w:rPr>
        <w:footnoteReference w:id="4305"/>
      </w:r>
      <w:r>
        <w:rPr>
          <w:rtl/>
        </w:rPr>
        <w:t xml:space="preserve">וּמִנֵּיהּ תַּלְיָין שִׁתִּין עַנְפִין דְּנוּרָא דְאִתְקְרִיאוּ שִׁשִּׁים גִּבּוֹרִים, וְאִינוּן שִׁתִּין פּוּלְסִין דְּנוּרָא דְמַחְיוּהָ לְמטטרו''ן, </w:t>
      </w:r>
      <w:r>
        <w:rPr>
          <w:rStyle w:val="a7"/>
          <w:b w:val="0"/>
          <w:bCs w:val="0"/>
          <w:rtl/>
        </w:rPr>
        <w:footnoteReference w:id="4306"/>
      </w:r>
      <w:r>
        <w:rPr>
          <w:rtl/>
        </w:rPr>
        <w:t xml:space="preserve">וּמִסִּטְרָא דִימִינָא וּשְׂמָאלָא אִתְּמַר בְּכָל נְחָלִין דְּתַלְיָין מִנַּיְיהוּ, </w:t>
      </w:r>
      <w:r>
        <w:rPr>
          <w:sz w:val="20"/>
          <w:szCs w:val="23"/>
          <w:rtl/>
        </w:rPr>
        <w:t>(איוב כ יז)</w:t>
      </w:r>
      <w:r>
        <w:rPr>
          <w:rtl/>
        </w:rPr>
        <w:t xml:space="preserve"> נַהֲרֵי נַחֲלֵי דְּבַשׁ וְחֶמְאָה.</w:t>
      </w:r>
    </w:p>
    <w:p w:rsidR="00602EF1" w:rsidRDefault="00602EF1" w:rsidP="005F01B5">
      <w:pPr>
        <w:pStyle w:val="NormalWeb"/>
        <w:rPr>
          <w:sz w:val="20"/>
          <w:szCs w:val="23"/>
          <w:rtl/>
        </w:rPr>
      </w:pPr>
      <w:r>
        <w:rPr>
          <w:rStyle w:val="a7"/>
          <w:b w:val="0"/>
          <w:bCs w:val="0"/>
          <w:rtl/>
        </w:rPr>
        <w:footnoteReference w:id="4307"/>
      </w:r>
      <w:r>
        <w:rPr>
          <w:rtl/>
        </w:rPr>
        <w:t xml:space="preserve">וְנַחַל עֲדָנֶיךָ </w:t>
      </w:r>
      <w:r w:rsidRPr="005F01B5">
        <w:rPr>
          <w:rtl/>
        </w:rPr>
        <w:t>דָּא</w:t>
      </w:r>
      <w:r>
        <w:rPr>
          <w:rtl/>
        </w:rPr>
        <w:t xml:space="preserve"> נָהָר דְּנָפִיק מֵעִדֶן, דְּאִתְּמַר בֵּיהּ </w:t>
      </w:r>
      <w:r>
        <w:rPr>
          <w:sz w:val="20"/>
          <w:szCs w:val="23"/>
          <w:rtl/>
        </w:rPr>
        <w:t>(בראשית ב י)</w:t>
      </w:r>
      <w:r>
        <w:rPr>
          <w:rtl/>
        </w:rPr>
        <w:t xml:space="preserve"> וְנָהָר יוֹצֵא מֵעִדֶן, וְהַאי אִיהוּ עִדֶן דְּעַיִן לֹא רָאָתָה אלהי''ם וגו' </w:t>
      </w:r>
      <w:r>
        <w:rPr>
          <w:sz w:val="20"/>
          <w:szCs w:val="23"/>
          <w:rtl/>
        </w:rPr>
        <w:t>(ישעיה סד ג)</w:t>
      </w:r>
      <w:r>
        <w:rPr>
          <w:rtl/>
        </w:rPr>
        <w:t xml:space="preserve">, סָתִים וְגָנִיז, דְּאִיהוּ כֶתֶר עִלָּאָה </w:t>
      </w:r>
      <w:r>
        <w:rPr>
          <w:szCs w:val="36"/>
          <w:rtl/>
        </w:rPr>
        <w:t>א</w:t>
      </w:r>
      <w:r>
        <w:rPr>
          <w:rtl/>
        </w:rPr>
        <w:t xml:space="preserve">, וּמִשָּׁם יִפָּרֵד וְהָיָה לְאַרְבָּעָה רָאשִׁים </w:t>
      </w:r>
      <w:r>
        <w:rPr>
          <w:sz w:val="20"/>
          <w:szCs w:val="23"/>
          <w:rtl/>
        </w:rPr>
        <w:t>(א דאיהו ד' אתוון דשם בן ד')</w:t>
      </w:r>
      <w:r>
        <w:rPr>
          <w:rtl/>
        </w:rPr>
        <w:t xml:space="preserve">, רָאשִׁים </w:t>
      </w:r>
      <w:r>
        <w:rPr>
          <w:sz w:val="20"/>
          <w:szCs w:val="23"/>
          <w:rtl/>
        </w:rPr>
        <w:t>(אִלֵּין)</w:t>
      </w:r>
      <w:r>
        <w:rPr>
          <w:rtl/>
        </w:rPr>
        <w:t xml:space="preserve"> יהו''ה דְּאִינוּן אַבָּא וְאִימָּא בְרָא וּבְרַתָּא. תָּא חֲזִי קַרְקַפְתָּא דְּאַלֶף כְּגַוְונָא דָא </w:t>
      </w:r>
      <w:r>
        <w:rPr>
          <w:sz w:val="20"/>
          <w:szCs w:val="23"/>
          <w:rtl/>
        </w:rPr>
        <w:t>(בדפוסים מצוייר כאן ציור האלף שחקוק בו אות י' ביוד העליון של אלף, וה' ה' בראש וסוף של ו' של האלף, ואות ו' ביו"ד התחתון של האלף. ובנ"א מצויייר האלף ג"כ כנ"ל במילוי אותיות יו"ד ה"א וא"ו ה"א)</w:t>
      </w:r>
      <w:r>
        <w:rPr>
          <w:rtl/>
        </w:rPr>
        <w:t xml:space="preserve"> </w:t>
      </w:r>
      <w:r>
        <w:rPr>
          <w:szCs w:val="36"/>
          <w:rtl/>
        </w:rPr>
        <w:t>א</w:t>
      </w:r>
      <w:r>
        <w:rPr>
          <w:rtl/>
        </w:rPr>
        <w:t xml:space="preserve"> </w:t>
      </w:r>
      <w:r>
        <w:rPr>
          <w:rFonts w:hAnsi="Arial" w:cs="Arial"/>
          <w:spacing w:val="-140"/>
          <w:position w:val="24"/>
          <w:rtl/>
        </w:rPr>
        <w:t>י</w:t>
      </w:r>
      <w:r>
        <w:rPr>
          <w:rFonts w:hAnsi="Arial" w:cs="Arial"/>
          <w:spacing w:val="-140"/>
          <w:position w:val="-24"/>
          <w:rtl/>
        </w:rPr>
        <w:t>ו</w:t>
      </w:r>
      <w:r>
        <w:rPr>
          <w:rtl/>
        </w:rPr>
        <w:t xml:space="preserve"> </w:t>
      </w:r>
      <w:r>
        <w:rPr>
          <w:rFonts w:hAnsi="Arial"/>
          <w:position w:val="-12"/>
          <w:rtl/>
        </w:rPr>
        <w:t>\</w:t>
      </w:r>
      <w:r>
        <w:rPr>
          <w:rFonts w:hAnsi="Arial"/>
          <w:position w:val="8"/>
          <w:rtl/>
        </w:rPr>
        <w:t>\</w:t>
      </w:r>
      <w:r>
        <w:rPr>
          <w:rtl/>
        </w:rPr>
        <w:t xml:space="preserve">  </w:t>
      </w:r>
      <w:r>
        <w:rPr>
          <w:rFonts w:hAnsi="Arial"/>
          <w:spacing w:val="-102"/>
          <w:position w:val="24"/>
          <w:rtl/>
        </w:rPr>
        <w:t>ה</w:t>
      </w:r>
      <w:r>
        <w:rPr>
          <w:rFonts w:hAnsi="Arial"/>
          <w:spacing w:val="-102"/>
          <w:position w:val="-24"/>
          <w:rtl/>
        </w:rPr>
        <w:t>ה</w:t>
      </w:r>
      <w:r>
        <w:rPr>
          <w:rtl/>
        </w:rPr>
        <w:t xml:space="preserve">, אַרְבַּע סִטְרִין דִּילֵיהּ בְּהוֹן הֲוָה הוּא וּשְׁמֵיהּ חַד, </w:t>
      </w:r>
      <w:r>
        <w:rPr>
          <w:sz w:val="20"/>
          <w:szCs w:val="23"/>
          <w:rtl/>
        </w:rPr>
        <w:t>(דברים ד לה)</w:t>
      </w:r>
      <w:r>
        <w:rPr>
          <w:rtl/>
        </w:rPr>
        <w:t xml:space="preserve"> אֵין עוֹד מִלְבַדוֹ בְּלָא פִּרוּד וּבְלָא שִׁתּוּף כְּלָל. </w:t>
      </w:r>
      <w:r>
        <w:rPr>
          <w:sz w:val="20"/>
          <w:szCs w:val="23"/>
          <w:rtl/>
        </w:rPr>
        <w:t xml:space="preserve">(ס"א וְעוֹד וְנָהָר דָּא ו', יוֹצֵא מֵעִדֶן דָּא י', וּמִשָּׁם יִפָּרֵד וְהָיָה לְאַרְבָּעָה רָאשִׁים דָּא ד') (אלין ארבע אתוון). </w:t>
      </w:r>
    </w:p>
    <w:p w:rsidR="00602EF1" w:rsidRDefault="00602EF1" w:rsidP="005F01B5">
      <w:pPr>
        <w:pStyle w:val="NormalWeb"/>
        <w:rPr>
          <w:rtl/>
        </w:rPr>
      </w:pPr>
      <w:r>
        <w:rPr>
          <w:rtl/>
        </w:rPr>
        <w:t xml:space="preserve">וְעוֹד וְנָהָר יוֹצֵא </w:t>
      </w:r>
      <w:r w:rsidRPr="005F01B5">
        <w:rPr>
          <w:rtl/>
        </w:rPr>
        <w:t>מֵעִדֶן</w:t>
      </w:r>
      <w:r>
        <w:rPr>
          <w:rtl/>
        </w:rPr>
        <w:t xml:space="preserve"> דָּא אִימָּא עִלָּאָה </w:t>
      </w:r>
      <w:r>
        <w:rPr>
          <w:rStyle w:val="a7"/>
          <w:b w:val="0"/>
          <w:bCs w:val="0"/>
          <w:rtl/>
        </w:rPr>
        <w:footnoteReference w:id="4308"/>
      </w:r>
      <w:r>
        <w:rPr>
          <w:rtl/>
        </w:rPr>
        <w:t xml:space="preserve">דְאִיהִי א' תִּנְיָינָא, כְּמָה דְאוּקְמוּהוּ מָארֵי מַתְנִיתִין מַאי אַלֶּ''ף אַלֵּף בִּינָה, </w:t>
      </w:r>
      <w:r>
        <w:rPr>
          <w:rStyle w:val="a7"/>
          <w:b w:val="0"/>
          <w:bCs w:val="0"/>
          <w:rtl/>
        </w:rPr>
        <w:footnoteReference w:id="4309"/>
      </w:r>
      <w:r>
        <w:rPr>
          <w:rtl/>
        </w:rPr>
        <w:t xml:space="preserve">וּלְאָן אִתְמַשַּׁךְ בְּגוּפָא, וּמִשָּׁם יִפָּרֵד וְהָיָה לְאַרְבָּעָה רָאשִׁים אִלֵּין תְּרֵין דְּרוֹעִין וּתְרֵין שׁוֹקִין, מָאן גַּן דְּאִתְשַׁקְיָיא מִנֵּיהּ לְתַתָּא דָא שְׁכִינְתָּא, דִתְרֵין גַּנִּין אִינוּן חַד לְעִילָא וְחַד לְתַתָּא, הֲדָא הוּא דִכְתִיב </w:t>
      </w:r>
      <w:r>
        <w:rPr>
          <w:sz w:val="20"/>
          <w:szCs w:val="23"/>
          <w:rtl/>
        </w:rPr>
        <w:t>(שיר ח יג)</w:t>
      </w:r>
      <w:r>
        <w:rPr>
          <w:rtl/>
        </w:rPr>
        <w:t xml:space="preserve"> הַיּוֹשֶׁבֶת בַּגַּנִּים וְהָא אוּקְמוּהָ.</w:t>
      </w:r>
    </w:p>
    <w:p w:rsidR="00602EF1" w:rsidRDefault="00602EF1" w:rsidP="005F01B5">
      <w:pPr>
        <w:pStyle w:val="NormalWeb"/>
        <w:rPr>
          <w:rtl/>
        </w:rPr>
      </w:pPr>
      <w:r>
        <w:rPr>
          <w:rtl/>
        </w:rPr>
        <w:t xml:space="preserve">וְאִית נָהָר לְתַתָּא דְּאִיהוּ מטטרו''ן, דְּאִתְפָּרַשׁ לְאַרְבַּע סִטְרִין דְּאִינוּן מִיכָאֵ''ל גַּבְרִיאֵ''ל נוּרִיאֵ''ל רְפָאֵ''ל, שֵׁם הָאֶחָד פִּישׁוֹן הוּא הַסֹּבֵב אֵת כָּל אֶרֶץ הַחֲוִילָה אֲשֶׁר שָׁם הַזָּהָב </w:t>
      </w:r>
      <w:r>
        <w:rPr>
          <w:sz w:val="20"/>
          <w:szCs w:val="23"/>
          <w:rtl/>
        </w:rPr>
        <w:t>(בראשית ב יא)</w:t>
      </w:r>
      <w:r>
        <w:rPr>
          <w:rtl/>
        </w:rPr>
        <w:t xml:space="preserve">, וְזָהָב אִיהוּ לַצָּפוֹן, הֲדָא הוּא דִכְתִיב </w:t>
      </w:r>
      <w:r>
        <w:rPr>
          <w:sz w:val="20"/>
          <w:szCs w:val="23"/>
          <w:rtl/>
        </w:rPr>
        <w:t>(איוב לז כב)</w:t>
      </w:r>
      <w:r>
        <w:rPr>
          <w:rtl/>
        </w:rPr>
        <w:t xml:space="preserve"> מִצָּפוֹן זָהָב יֶאֱתָה, </w:t>
      </w:r>
      <w:r>
        <w:rPr>
          <w:rStyle w:val="a7"/>
          <w:b w:val="0"/>
          <w:bCs w:val="0"/>
          <w:rtl/>
        </w:rPr>
        <w:footnoteReference w:id="4310"/>
      </w:r>
      <w:r>
        <w:rPr>
          <w:rtl/>
        </w:rPr>
        <w:t xml:space="preserve">וְרָזָא דְמִלָּה הוֹלֵךְ אֶל דָּרוֹם וְסוֹבֵב אֶל צָפוֹן </w:t>
      </w:r>
      <w:r>
        <w:rPr>
          <w:sz w:val="20"/>
          <w:szCs w:val="23"/>
          <w:rtl/>
        </w:rPr>
        <w:t>(קהלת א ו),</w:t>
      </w:r>
      <w:r>
        <w:rPr>
          <w:rtl/>
        </w:rPr>
        <w:t xml:space="preserve"> דָּא גִּיחוֹן וּפִישׁוֹן </w:t>
      </w:r>
      <w:r w:rsidRPr="005F01B5">
        <w:rPr>
          <w:rtl/>
        </w:rPr>
        <w:t>דְּתַמָּן</w:t>
      </w:r>
      <w:r>
        <w:rPr>
          <w:rtl/>
        </w:rPr>
        <w:t xml:space="preserve"> מִיכָאֵ''ל וְגַבְרִיאֵ''ל, סוֹבֵב סוֹבֵב לִתְרֵין סִטְרִין דְּאִינוּן מִזְרָח וּמַעֲרָב, דְּאִינוּן חִדֶּקֶל וּפְרָת, דְּתַמָּן אוּרִיאֵ''ל רְפָאֵ''ל.</w:t>
      </w:r>
    </w:p>
    <w:p w:rsidR="00602EF1" w:rsidRDefault="00602EF1" w:rsidP="005F01B5">
      <w:pPr>
        <w:pStyle w:val="2"/>
        <w:rPr>
          <w:rtl/>
        </w:rPr>
      </w:pPr>
      <w:r>
        <w:rPr>
          <w:rtl/>
        </w:rPr>
        <w:t xml:space="preserve">[תיקוני זוהר - דף צא ע''ב] </w:t>
      </w:r>
    </w:p>
    <w:p w:rsidR="00602EF1" w:rsidRDefault="00602EF1" w:rsidP="005F01B5">
      <w:pPr>
        <w:pStyle w:val="NormalWeb"/>
        <w:rPr>
          <w:rtl/>
        </w:rPr>
      </w:pPr>
      <w:r>
        <w:rPr>
          <w:rtl/>
        </w:rPr>
        <w:t xml:space="preserve">פִּישׁוֹן לָקֳבֵל </w:t>
      </w:r>
      <w:r w:rsidRPr="005F01B5">
        <w:rPr>
          <w:rtl/>
        </w:rPr>
        <w:t>אוֹרַיְיתָא</w:t>
      </w:r>
      <w:r>
        <w:rPr>
          <w:rtl/>
        </w:rPr>
        <w:t xml:space="preserve"> דִבְעַל פֶּה, וּמִתַּמָּן פִּישׁוֹן, פִּי שׁוֹנֶה הֲלָכוֹת, גִּ''יחוֹ''ן </w:t>
      </w:r>
      <w:r>
        <w:rPr>
          <w:rStyle w:val="a7"/>
          <w:b w:val="0"/>
          <w:bCs w:val="0"/>
          <w:rtl/>
        </w:rPr>
        <w:footnoteReference w:id="4311"/>
      </w:r>
      <w:r>
        <w:rPr>
          <w:rtl/>
        </w:rPr>
        <w:t xml:space="preserve">ג' גּ''וֹמֵל חֶסֶד, </w:t>
      </w:r>
      <w:r>
        <w:rPr>
          <w:rStyle w:val="a7"/>
          <w:b w:val="0"/>
          <w:bCs w:val="0"/>
          <w:rtl/>
        </w:rPr>
        <w:footnoteReference w:id="4312"/>
      </w:r>
      <w:r>
        <w:rPr>
          <w:rtl/>
        </w:rPr>
        <w:t xml:space="preserve">וְתַמָּן חֵיוָון </w:t>
      </w:r>
      <w:r>
        <w:rPr>
          <w:rStyle w:val="a7"/>
          <w:b w:val="0"/>
          <w:bCs w:val="0"/>
          <w:rtl/>
        </w:rPr>
        <w:footnoteReference w:id="4313"/>
      </w:r>
      <w:r>
        <w:rPr>
          <w:rtl/>
        </w:rPr>
        <w:t xml:space="preserve">דְּאִתְקְרִיאוּ חַיּוֹת הַקֹּדֶשׁ מִסִּטְרָא דְאַרְיֵה </w:t>
      </w:r>
      <w:r>
        <w:rPr>
          <w:rStyle w:val="a7"/>
          <w:b w:val="0"/>
          <w:bCs w:val="0"/>
          <w:rtl/>
        </w:rPr>
        <w:footnoteReference w:id="4314"/>
      </w:r>
      <w:r>
        <w:rPr>
          <w:rtl/>
        </w:rPr>
        <w:t xml:space="preserve">מִסִּטְרָא דִימִינָא, מִסִּטְרָא דִשְׂמָאלָא נָחָשׁ, דְּאִתְּמַר בֵּיהּ </w:t>
      </w:r>
      <w:r>
        <w:rPr>
          <w:sz w:val="20"/>
          <w:szCs w:val="23"/>
          <w:rtl/>
        </w:rPr>
        <w:t>(ויקרא יא מב)</w:t>
      </w:r>
      <w:r>
        <w:rPr>
          <w:rtl/>
        </w:rPr>
        <w:t xml:space="preserve"> כָּל הוֹלֵךְ עַל גָּחוֹן, לְאַעֲנָשָׁא בֵיהּ </w:t>
      </w:r>
      <w:r>
        <w:rPr>
          <w:rStyle w:val="a7"/>
          <w:b w:val="0"/>
          <w:bCs w:val="0"/>
          <w:rtl/>
        </w:rPr>
        <w:footnoteReference w:id="4315"/>
      </w:r>
      <w:r>
        <w:rPr>
          <w:rtl/>
        </w:rPr>
        <w:t xml:space="preserve">לְמָאן דְּאַעֲבַר עַל אוֹרַיְיתָא דְאִתְיְהִיבַת מִימִינָא, </w:t>
      </w:r>
      <w:r>
        <w:rPr>
          <w:rStyle w:val="a7"/>
          <w:b w:val="0"/>
          <w:bCs w:val="0"/>
          <w:rtl/>
        </w:rPr>
        <w:footnoteReference w:id="4316"/>
      </w:r>
      <w:r>
        <w:rPr>
          <w:rtl/>
        </w:rPr>
        <w:t xml:space="preserve">פִּישׁוֹן תַּמָּן שְׁפִיפוֹן, לְאַעֲנָשָׁא לְמָאן דְּאַעֲבַר עַל אוֹרַיְיתָא דִבְעַל פֶּה, </w:t>
      </w:r>
      <w:r>
        <w:rPr>
          <w:rStyle w:val="a7"/>
          <w:b w:val="0"/>
          <w:bCs w:val="0"/>
          <w:rtl/>
        </w:rPr>
        <w:footnoteReference w:id="4317"/>
      </w:r>
      <w:r>
        <w:rPr>
          <w:rtl/>
        </w:rPr>
        <w:t xml:space="preserve">וּבְגִין דָּא פִּישׁוֹן פִּי שׁוֹנֶה הֲלָכוֹת, גִּיחוֹן גַּי חוֹן הַהוּא דְאִתְּמַר בֵּיהּ </w:t>
      </w:r>
      <w:r>
        <w:rPr>
          <w:sz w:val="20"/>
          <w:szCs w:val="23"/>
          <w:rtl/>
        </w:rPr>
        <w:t>(דברים לד ו)</w:t>
      </w:r>
      <w:r>
        <w:rPr>
          <w:rtl/>
        </w:rPr>
        <w:t xml:space="preserve"> וַיִּקְבּוֹר אוֹתוֹ בַגַיְא תַּמָּן שַׁרְיָא לְסִטְרָא דְימִינָא. </w:t>
      </w:r>
      <w:r>
        <w:rPr>
          <w:rStyle w:val="a7"/>
          <w:b w:val="0"/>
          <w:bCs w:val="0"/>
          <w:rtl/>
        </w:rPr>
        <w:footnoteReference w:id="4318"/>
      </w:r>
      <w:r>
        <w:rPr>
          <w:rtl/>
        </w:rPr>
        <w:t xml:space="preserve">חִדֶּקֶל חַ''ד קַ''ל, דָּא חֲרִיפָא בְּלִישָׁנֵיהּ, חַד מִסִּטְרָא דִשְׂמָאלָא, וְקַל מִסִּטְרָא דִימִינָא, לְאוֹלָפָא תַּרְוַיְיהוּ, חַ''ד בְּשִׁנַּיִם, וְקַ''ל בְּשִׂפְוָון. פְּרַת כַּלִיל כּלְהוּ, הַאי פְּרִיָה וּרְבִיָה, עלֵיה אִתְּמַר </w:t>
      </w:r>
      <w:r>
        <w:rPr>
          <w:sz w:val="20"/>
          <w:szCs w:val="23"/>
          <w:rtl/>
        </w:rPr>
        <w:t>(תהלים סח יד)</w:t>
      </w:r>
      <w:r>
        <w:rPr>
          <w:rtl/>
        </w:rPr>
        <w:t xml:space="preserve"> אִם תִּשְׁכְּבוּן בֵּין </w:t>
      </w:r>
      <w:r w:rsidRPr="003C0900">
        <w:rPr>
          <w:rStyle w:val="20"/>
          <w:rtl/>
        </w:rPr>
        <w:t>(דף צא ע''ב)</w:t>
      </w:r>
      <w:r>
        <w:rPr>
          <w:sz w:val="20"/>
          <w:szCs w:val="23"/>
          <w:rtl/>
        </w:rPr>
        <w:t xml:space="preserve"> </w:t>
      </w:r>
      <w:r>
        <w:rPr>
          <w:rtl/>
        </w:rPr>
        <w:t xml:space="preserve">שְׁפַתָּיִם, אֵם וַדַאי, לְמֶעבַד תַּמָן פְּרִיָה וּרְבִיָה. </w:t>
      </w:r>
    </w:p>
    <w:p w:rsidR="00602EF1" w:rsidRDefault="00602EF1" w:rsidP="005F01B5">
      <w:pPr>
        <w:pStyle w:val="NormalWeb"/>
        <w:rPr>
          <w:rtl/>
        </w:rPr>
      </w:pPr>
      <w:r>
        <w:rPr>
          <w:rtl/>
        </w:rPr>
        <w:t xml:space="preserve">וּבְאִלֵין אַרְבָּעָה, </w:t>
      </w:r>
      <w:r w:rsidRPr="005F01B5">
        <w:rPr>
          <w:rtl/>
        </w:rPr>
        <w:t>אַרְבָּעָה</w:t>
      </w:r>
      <w:r>
        <w:rPr>
          <w:rtl/>
        </w:rPr>
        <w:t xml:space="preserve"> עַאלוּ </w:t>
      </w:r>
      <w:r>
        <w:rPr>
          <w:rStyle w:val="a7"/>
          <w:b w:val="0"/>
          <w:bCs w:val="0"/>
          <w:rtl/>
        </w:rPr>
        <w:footnoteReference w:id="4319"/>
      </w:r>
      <w:r>
        <w:rPr>
          <w:rtl/>
        </w:rPr>
        <w:t xml:space="preserve">לַפַּרְדֵס, אִלֵין דְעַאלוּ בִּקְלִיפִּין, חַד הִצִיץ וָמֵת חַד הִצִיץ וְנִפְגַע וְחַד אִשְׁתְמַד (נ"א נְפַק לְתַרְבּות רָעָה) רְבִיעָאָה דְעַאל בְּמוֹחָא דְאֶגוֹזָא עַאל בִּשְׁלַם וּנְפִיק בִּשְׁלַם. הַאי דְּאִתְמַר בֵּיה הִצִיץ וְנִפְגַע עַאל בְּעֹנֶג וְלא עַאל בֵּיה כִּדְקַא יָאוּת, </w:t>
      </w:r>
      <w:r>
        <w:rPr>
          <w:rStyle w:val="a7"/>
          <w:b w:val="0"/>
          <w:bCs w:val="0"/>
          <w:rtl/>
        </w:rPr>
        <w:footnoteReference w:id="4320"/>
      </w:r>
      <w:r>
        <w:rPr>
          <w:rtl/>
        </w:rPr>
        <w:t xml:space="preserve">אִתְהַפִך לֵיה לְנֶגַע, וְדָא נָהָר דְּיוצֵא מֵעֶדֶן דְאִיהוּ סִימָן ענ"ג, עֶדֶ"ן נָהָ"ר גַ"ן. </w:t>
      </w:r>
      <w:r>
        <w:rPr>
          <w:rStyle w:val="a7"/>
          <w:b w:val="0"/>
          <w:bCs w:val="0"/>
          <w:rtl/>
        </w:rPr>
        <w:footnoteReference w:id="4321"/>
      </w:r>
      <w:r>
        <w:rPr>
          <w:rtl/>
        </w:rPr>
        <w:t xml:space="preserve">הַכַא אִיסוּר וְהֵיתֵּר טוּמְאָה טַהרָה כָּשֶׁר וּפָסוּל. </w:t>
      </w:r>
    </w:p>
    <w:p w:rsidR="003C0900" w:rsidRDefault="003C0900" w:rsidP="003C0900">
      <w:pPr>
        <w:pStyle w:val="2"/>
        <w:jc w:val="right"/>
        <w:rPr>
          <w:rtl/>
        </w:rPr>
      </w:pPr>
      <w:r>
        <w:rPr>
          <w:rFonts w:hint="cs"/>
          <w:rtl/>
        </w:rPr>
        <w:t>[וילנא דף קא ע"ב]</w:t>
      </w:r>
    </w:p>
    <w:p w:rsidR="00602EF1" w:rsidRDefault="00602EF1" w:rsidP="005F01B5">
      <w:pPr>
        <w:pStyle w:val="NormalWeb"/>
        <w:rPr>
          <w:rtl/>
        </w:rPr>
      </w:pPr>
      <w:r>
        <w:rPr>
          <w:rStyle w:val="a7"/>
          <w:b w:val="0"/>
          <w:bCs w:val="0"/>
          <w:rtl/>
        </w:rPr>
        <w:footnoteReference w:id="4322"/>
      </w:r>
      <w:r>
        <w:rPr>
          <w:rtl/>
        </w:rPr>
        <w:t xml:space="preserve">(בראשית ב) </w:t>
      </w:r>
      <w:r w:rsidRPr="005F01B5">
        <w:rPr>
          <w:rtl/>
        </w:rPr>
        <w:t>וַיִקַח</w:t>
      </w:r>
      <w:r>
        <w:rPr>
          <w:rtl/>
        </w:rPr>
        <w:t xml:space="preserve"> ה' אֶלֹקִים אֶת הָאָדָם וַיְנִיחֵהוּ בְּגַן עֶדֶן לְעָבְדָה וּלְשָׁמְרָה. תָּא חזִי, קב"ה אוֹלִיף לְאָדָם אוֹרַיְיתָא, הַדָא הוּא דִכְתִיב (איוב כח) אָז רָאָה וַיְסַפְּרָה הֵכִינָה וְגַם חֲקַרָה וַיֹאמֶר לָאָדָם, וְדָא אִיהוּ וַיְנִיחֵהוּ בְּגַן עֶדֶן דָּא </w:t>
      </w:r>
      <w:r>
        <w:rPr>
          <w:rStyle w:val="a7"/>
          <w:b w:val="0"/>
          <w:bCs w:val="0"/>
          <w:rtl/>
        </w:rPr>
        <w:footnoteReference w:id="4323"/>
      </w:r>
      <w:r>
        <w:rPr>
          <w:rtl/>
        </w:rPr>
        <w:t xml:space="preserve">גַן דְּאורַיְיתָא, לְעָבְדָה בִּפְקוּדִין דְּאוֹרַיְיתָא דַּעֲשֶׂה </w:t>
      </w:r>
      <w:r>
        <w:rPr>
          <w:rStyle w:val="a7"/>
          <w:b w:val="0"/>
          <w:bCs w:val="0"/>
          <w:rtl/>
        </w:rPr>
        <w:footnoteReference w:id="4324"/>
      </w:r>
      <w:r>
        <w:rPr>
          <w:rtl/>
        </w:rPr>
        <w:t xml:space="preserve">דְּאִיהוּ זָכוֹר דְּכַר, וּלְשָׁמְרָה בִּפְקוּדִין דְּלֹא תַעֲשֶׂה דְּאִיהוּ שָׁמוֹר נוּקְבָא, </w:t>
      </w:r>
      <w:r>
        <w:rPr>
          <w:rStyle w:val="a7"/>
          <w:b w:val="0"/>
          <w:bCs w:val="0"/>
          <w:rtl/>
        </w:rPr>
        <w:footnoteReference w:id="4325"/>
      </w:r>
      <w:r>
        <w:rPr>
          <w:rtl/>
        </w:rPr>
        <w:t xml:space="preserve">אֶת הָאָדָם דְּהַוֶה בִּדְיוֹקְנָא דְּאוֹרַיְיתָא, דְא"ת לְרַבּוֹת </w:t>
      </w:r>
      <w:r w:rsidR="003C0900" w:rsidRPr="003C0900">
        <w:rPr>
          <w:rStyle w:val="20"/>
          <w:rFonts w:hint="cs"/>
          <w:rtl/>
        </w:rPr>
        <w:t>(וילנא קא ע"ב)</w:t>
      </w:r>
      <w:r w:rsidR="003C0900">
        <w:rPr>
          <w:rFonts w:hint="cs"/>
          <w:rtl/>
        </w:rPr>
        <w:t xml:space="preserve"> </w:t>
      </w:r>
      <w:r>
        <w:rPr>
          <w:rtl/>
        </w:rPr>
        <w:t xml:space="preserve">אוֹרַיְיתָא דְאִתְיְהִיבַת לָאָדָם מְא' וְעַד ת' </w:t>
      </w:r>
      <w:r>
        <w:rPr>
          <w:rStyle w:val="a7"/>
          <w:b w:val="0"/>
          <w:bCs w:val="0"/>
          <w:rtl/>
        </w:rPr>
        <w:footnoteReference w:id="4326"/>
      </w:r>
      <w:r>
        <w:rPr>
          <w:rtl/>
        </w:rPr>
        <w:t xml:space="preserve">דְאִתְיְהִיבַת מִיְמִנָא וּמִשְּׂמָאלָא, דְתַמָּן פִּקּוּדִין דַּעֲשֵׂה וְלֹא תַעֲשֶׂה, פִּקּוּדִין דַּעֲשֵׂה מִימִינָא </w:t>
      </w:r>
      <w:r>
        <w:rPr>
          <w:rStyle w:val="a7"/>
          <w:b w:val="0"/>
          <w:bCs w:val="0"/>
          <w:rtl/>
        </w:rPr>
        <w:footnoteReference w:id="4327"/>
      </w:r>
      <w:r>
        <w:rPr>
          <w:rtl/>
        </w:rPr>
        <w:t xml:space="preserve">לָקֳבֵל ו''ה זִכְרִ''י </w:t>
      </w:r>
      <w:r>
        <w:rPr>
          <w:rStyle w:val="a7"/>
          <w:b w:val="0"/>
          <w:bCs w:val="0"/>
          <w:rtl/>
        </w:rPr>
        <w:footnoteReference w:id="4328"/>
      </w:r>
      <w:r>
        <w:rPr>
          <w:rtl/>
        </w:rPr>
        <w:t xml:space="preserve">וְדָא זִכְרוֹנוֹת, פִּקּוּדִין דְּלֹא תַעֲשֶׂה מִשְּׂמָאלָא </w:t>
      </w:r>
      <w:r>
        <w:rPr>
          <w:rStyle w:val="a7"/>
          <w:b w:val="0"/>
          <w:bCs w:val="0"/>
          <w:rtl/>
        </w:rPr>
        <w:footnoteReference w:id="4329"/>
      </w:r>
      <w:r>
        <w:rPr>
          <w:rtl/>
        </w:rPr>
        <w:t xml:space="preserve">לָקֳבֵל י''ה שְׁמִ''י, </w:t>
      </w:r>
      <w:r>
        <w:rPr>
          <w:rStyle w:val="a7"/>
          <w:b w:val="0"/>
          <w:bCs w:val="0"/>
          <w:rtl/>
        </w:rPr>
        <w:footnoteReference w:id="4330"/>
      </w:r>
      <w:r>
        <w:rPr>
          <w:rtl/>
        </w:rPr>
        <w:t xml:space="preserve">עַמּוּדָא דְאֶמְצָעִיתָא כְּלִיל תַּרְוַיְיהוּ יהו''ה שְׁמֵיהּ, </w:t>
      </w:r>
      <w:r>
        <w:rPr>
          <w:rStyle w:val="a7"/>
          <w:b w:val="0"/>
          <w:bCs w:val="0"/>
          <w:rtl/>
        </w:rPr>
        <w:footnoteReference w:id="4331"/>
      </w:r>
      <w:r>
        <w:rPr>
          <w:rtl/>
        </w:rPr>
        <w:t xml:space="preserve">וְאִיהוּ קוֹל הַשּׁוֹפָר מִסִּטְרָא דְאִימָּא עִלָּאָה דְאִיהִי שׁוֹפָר, </w:t>
      </w:r>
      <w:r>
        <w:rPr>
          <w:rStyle w:val="a7"/>
          <w:b w:val="0"/>
          <w:bCs w:val="0"/>
          <w:rtl/>
        </w:rPr>
        <w:footnoteReference w:id="4332"/>
      </w:r>
      <w:r>
        <w:rPr>
          <w:rtl/>
        </w:rPr>
        <w:t xml:space="preserve">תְּקִיעָה אִיהִי מִסִּטְרָא דִימִינָא, וּשְׁבָרִים מִסִּטְרָא דִשְׂמָאלָא, </w:t>
      </w:r>
      <w:r>
        <w:rPr>
          <w:rStyle w:val="a7"/>
          <w:b w:val="0"/>
          <w:bCs w:val="0"/>
          <w:rtl/>
        </w:rPr>
        <w:footnoteReference w:id="4333"/>
      </w:r>
      <w:r>
        <w:rPr>
          <w:rtl/>
        </w:rPr>
        <w:t>תְּרוּעָה מִסִּטְרָא דְתַרְוַיְיהוּ.</w:t>
      </w:r>
    </w:p>
    <w:p w:rsidR="00602EF1" w:rsidRDefault="00602EF1" w:rsidP="00602EF1">
      <w:pPr>
        <w:pStyle w:val="NormalWeb"/>
        <w:rPr>
          <w:b w:val="0"/>
          <w:bCs w:val="0"/>
          <w:rtl/>
        </w:rPr>
      </w:pPr>
    </w:p>
    <w:p w:rsidR="00602EF1" w:rsidRDefault="00602EF1" w:rsidP="00602EF1">
      <w:pPr>
        <w:pStyle w:val="1"/>
        <w:rPr>
          <w:u w:val="single"/>
          <w:rtl/>
        </w:rPr>
      </w:pPr>
      <w:r>
        <w:rPr>
          <w:rtl/>
        </w:rPr>
        <w:t>תקונא חמשין וחמש</w:t>
      </w:r>
    </w:p>
    <w:p w:rsidR="00602EF1" w:rsidRDefault="00602EF1" w:rsidP="005F01B5">
      <w:pPr>
        <w:pStyle w:val="NormalWeb"/>
        <w:rPr>
          <w:rtl/>
        </w:rPr>
      </w:pPr>
      <w:r>
        <w:rPr>
          <w:rStyle w:val="a7"/>
          <w:b w:val="0"/>
          <w:bCs w:val="0"/>
          <w:rtl/>
        </w:rPr>
        <w:footnoteReference w:id="4334"/>
      </w:r>
      <w:r>
        <w:rPr>
          <w:rtl/>
        </w:rPr>
        <w:t xml:space="preserve">בְּרֵאשִׁית </w:t>
      </w:r>
      <w:r>
        <w:rPr>
          <w:rStyle w:val="a7"/>
          <w:b w:val="0"/>
          <w:bCs w:val="0"/>
          <w:rtl/>
        </w:rPr>
        <w:footnoteReference w:id="4335"/>
      </w:r>
      <w:r>
        <w:rPr>
          <w:rtl/>
        </w:rPr>
        <w:t xml:space="preserve">בָּרָא אלהי''ם, הַאי אלהי''ם אִיהִי אִימָּא עִלָּאָה, דִּרְכִיבַת וּסְלִיקַת בִּתְרוּעָה </w:t>
      </w:r>
      <w:r>
        <w:rPr>
          <w:sz w:val="20"/>
          <w:szCs w:val="23"/>
          <w:rtl/>
        </w:rPr>
        <w:t>(דאיהי ראש השנה הדא הוא דכתיב (תהלים מז ו) עלה אלהי''ם בתרועה)</w:t>
      </w:r>
      <w:r>
        <w:rPr>
          <w:rtl/>
        </w:rPr>
        <w:t xml:space="preserve">, </w:t>
      </w:r>
      <w:r>
        <w:rPr>
          <w:rStyle w:val="a7"/>
          <w:b w:val="0"/>
          <w:bCs w:val="0"/>
          <w:rtl/>
        </w:rPr>
        <w:footnoteReference w:id="4336"/>
      </w:r>
      <w:r>
        <w:rPr>
          <w:rtl/>
        </w:rPr>
        <w:t xml:space="preserve">דְּאִיהִי יַעֲקֹב דְּאִתְּמַר בֵּיהּ </w:t>
      </w:r>
      <w:r>
        <w:rPr>
          <w:sz w:val="20"/>
          <w:szCs w:val="23"/>
          <w:rtl/>
        </w:rPr>
        <w:t>(במדבר כג כא)</w:t>
      </w:r>
      <w:r>
        <w:rPr>
          <w:rtl/>
        </w:rPr>
        <w:t xml:space="preserve"> לֹא הִבִּיט אָוֶן בְּיַעֲקֹב וְלֹא רָאָה </w:t>
      </w:r>
      <w:r w:rsidRPr="005F01B5">
        <w:rPr>
          <w:rtl/>
        </w:rPr>
        <w:t>עָמָל</w:t>
      </w:r>
      <w:r>
        <w:rPr>
          <w:rtl/>
        </w:rPr>
        <w:t xml:space="preserve"> בְּיִשְׂרָאֵל יהו''ה אֱלֹהָי''ו עִמּוֹ וּתְרוּעַת מֶלֶךְ בּוֹ, וְאִתְּמַר בֵּיהּ עָלָה אלהי''ם בִּתְרוּעָה, </w:t>
      </w:r>
      <w:r>
        <w:rPr>
          <w:rStyle w:val="a7"/>
          <w:b w:val="0"/>
          <w:bCs w:val="0"/>
          <w:rtl/>
        </w:rPr>
        <w:footnoteReference w:id="4337"/>
      </w:r>
      <w:r>
        <w:rPr>
          <w:rtl/>
        </w:rPr>
        <w:t xml:space="preserve">יהו''ה בְּקוֹל שׁוֹפָר סָלִיק. </w:t>
      </w:r>
      <w:r>
        <w:rPr>
          <w:sz w:val="20"/>
          <w:szCs w:val="23"/>
          <w:rtl/>
        </w:rPr>
        <w:t>(הפסקא דלקמן מוגהת ע"פ בהגר"א)</w:t>
      </w:r>
    </w:p>
    <w:p w:rsidR="00602EF1" w:rsidRDefault="00602EF1" w:rsidP="005F01B5">
      <w:pPr>
        <w:pStyle w:val="NormalWeb"/>
        <w:rPr>
          <w:rtl/>
        </w:rPr>
      </w:pPr>
      <w:r>
        <w:rPr>
          <w:rStyle w:val="a7"/>
          <w:b w:val="0"/>
          <w:bCs w:val="0"/>
          <w:rtl/>
        </w:rPr>
        <w:footnoteReference w:id="4338"/>
      </w:r>
      <w:r>
        <w:rPr>
          <w:rtl/>
        </w:rPr>
        <w:t xml:space="preserve">וְאוּקְמוּהוּ </w:t>
      </w:r>
      <w:r w:rsidRPr="005F01B5">
        <w:rPr>
          <w:rtl/>
        </w:rPr>
        <w:t>מָארֵי</w:t>
      </w:r>
      <w:r>
        <w:rPr>
          <w:rtl/>
        </w:rPr>
        <w:t xml:space="preserve"> מַתְנִיתִין, דְּלֵית פּוֹחֲתִין בֵּיהּ מֵעֲשָׂרָה מַלְכִיּוֹת וּמֵעֲשָׂרָה זִכְרוֹנוֹת וּמֵעֲשָׂרָה שׁוֹפָרוֹת, דָּא יו''ד ה''י וא''ו ה''י, </w:t>
      </w:r>
      <w:r>
        <w:rPr>
          <w:rStyle w:val="a7"/>
          <w:b w:val="0"/>
          <w:bCs w:val="0"/>
          <w:rtl/>
        </w:rPr>
        <w:footnoteReference w:id="4339"/>
      </w:r>
      <w:r>
        <w:rPr>
          <w:rtl/>
        </w:rPr>
        <w:t xml:space="preserve">מַלְכִיּוֹת - וְתִמְלוֹךְ אַתָּה (הוּא) </w:t>
      </w:r>
      <w:r>
        <w:rPr>
          <w:rStyle w:val="a7"/>
          <w:b w:val="0"/>
          <w:bCs w:val="0"/>
          <w:rtl/>
        </w:rPr>
        <w:footnoteReference w:id="4340"/>
      </w:r>
      <w:r>
        <w:rPr>
          <w:rtl/>
        </w:rPr>
        <w:t xml:space="preserve">יהו''ה אלהינ''ו, </w:t>
      </w:r>
      <w:r>
        <w:rPr>
          <w:rStyle w:val="a7"/>
          <w:b w:val="0"/>
          <w:bCs w:val="0"/>
          <w:rtl/>
        </w:rPr>
        <w:footnoteReference w:id="4341"/>
      </w:r>
      <w:r>
        <w:rPr>
          <w:rtl/>
        </w:rPr>
        <w:t xml:space="preserve">זִכְרוֹנוֹת - אַתָּה זוֹכֵר, זָכְרֵנוּ לְחַיִּים, </w:t>
      </w:r>
      <w:r>
        <w:rPr>
          <w:rStyle w:val="a7"/>
          <w:b w:val="0"/>
          <w:bCs w:val="0"/>
          <w:rtl/>
        </w:rPr>
        <w:footnoteReference w:id="4342"/>
      </w:r>
      <w:r>
        <w:rPr>
          <w:rtl/>
        </w:rPr>
        <w:t xml:space="preserve">שׁוֹפָרוֹת - תְּקַע בְּשׁוֹפָר גָּדוֹל, </w:t>
      </w:r>
      <w:r>
        <w:rPr>
          <w:rStyle w:val="a7"/>
          <w:b w:val="0"/>
          <w:bCs w:val="0"/>
          <w:rtl/>
        </w:rPr>
        <w:footnoteReference w:id="4343"/>
      </w:r>
      <w:r>
        <w:rPr>
          <w:rtl/>
        </w:rPr>
        <w:t xml:space="preserve">תִּקְעוּ בַחֹדֶשׁ שׁוֹפָר </w:t>
      </w:r>
      <w:r>
        <w:rPr>
          <w:sz w:val="20"/>
          <w:szCs w:val="23"/>
          <w:rtl/>
        </w:rPr>
        <w:t>(תהלים פא ד)</w:t>
      </w:r>
      <w:r>
        <w:rPr>
          <w:rtl/>
        </w:rPr>
        <w:t xml:space="preserve"> דָּא יַרְחָא דְסִיהֲרָא אִתְכַּסְיָיא, </w:t>
      </w:r>
      <w:r>
        <w:rPr>
          <w:rStyle w:val="a7"/>
          <w:b w:val="0"/>
          <w:bCs w:val="0"/>
          <w:rtl/>
        </w:rPr>
        <w:footnoteReference w:id="4344"/>
      </w:r>
      <w:r>
        <w:rPr>
          <w:rtl/>
        </w:rPr>
        <w:t xml:space="preserve">מַלְכִיּוֹת מִסִּטְרָא דְמַלְכוּת דְּאִיהוּ זֶה שְּׁמִי </w:t>
      </w:r>
      <w:r>
        <w:rPr>
          <w:sz w:val="20"/>
          <w:szCs w:val="23"/>
          <w:rtl/>
        </w:rPr>
        <w:t>(שמות ג טו)</w:t>
      </w:r>
      <w:r>
        <w:rPr>
          <w:rtl/>
        </w:rPr>
        <w:t xml:space="preserve">, דְתַמָּן קוּדְשָׁא בְּרִיךְ הוּא אִשְׁתְּמוֹדָע לְמֶלֶךְ עַל כָּל הָאָרֶץ, וּבָהּ אִיהוּ הַמֶּלֶךְ הַקָּדוֹשׁ הַמֶּלֶךְ הַמִּשְׁפָּט מִסִּטְרָא דִשְׂמָאלָא, </w:t>
      </w:r>
      <w:r>
        <w:rPr>
          <w:sz w:val="20"/>
          <w:szCs w:val="23"/>
          <w:rtl/>
        </w:rPr>
        <w:t>(תהלים מז ח)</w:t>
      </w:r>
      <w:r>
        <w:rPr>
          <w:rtl/>
        </w:rPr>
        <w:t xml:space="preserve"> כִּי מֶלֶךְ כָּל הָאָרֶץ אלהי''ם, </w:t>
      </w:r>
      <w:r>
        <w:rPr>
          <w:rStyle w:val="a7"/>
          <w:b w:val="0"/>
          <w:bCs w:val="0"/>
          <w:rtl/>
        </w:rPr>
        <w:footnoteReference w:id="4345"/>
      </w:r>
      <w:r>
        <w:rPr>
          <w:rtl/>
        </w:rPr>
        <w:t xml:space="preserve">וְדָא לִבָּא לִשְׂמָאלָא מַלְכוּיוֹת, זִכְרוֹנוֹת זָכוֹר לַזָּכָר וְדָא מוֹחָא לִימִינָא וְתַמָּן זִכְרוֹנוֹת, </w:t>
      </w:r>
      <w:r>
        <w:rPr>
          <w:rStyle w:val="a7"/>
          <w:b w:val="0"/>
          <w:bCs w:val="0"/>
          <w:rtl/>
        </w:rPr>
        <w:footnoteReference w:id="4346"/>
      </w:r>
      <w:r>
        <w:rPr>
          <w:rtl/>
        </w:rPr>
        <w:t xml:space="preserve">שׁוֹפָרוֹת דָּא קָנֶה דְאִיהוּ שׁוֹפָר, וּמִתַּמָּן נָפִיק קוֹל הַשּׁוֹפָר דְּאִיהוּ עַמּוּדָא דְאֶמְצָעִיתָא, </w:t>
      </w:r>
      <w:r>
        <w:rPr>
          <w:rStyle w:val="a7"/>
          <w:b w:val="0"/>
          <w:bCs w:val="0"/>
          <w:rtl/>
        </w:rPr>
        <w:footnoteReference w:id="4347"/>
      </w:r>
      <w:r>
        <w:rPr>
          <w:rtl/>
        </w:rPr>
        <w:t>וְאִיהוּ יהו''ה, בְּמוֹחָא בְּלִבָּא בְגוּפָא.</w:t>
      </w:r>
    </w:p>
    <w:p w:rsidR="00602EF1" w:rsidRDefault="00602EF1" w:rsidP="00602EF1">
      <w:pPr>
        <w:pStyle w:val="NormalWeb"/>
        <w:rPr>
          <w:rtl/>
        </w:rPr>
      </w:pPr>
      <w:r>
        <w:rPr>
          <w:rtl/>
        </w:rPr>
        <w:t xml:space="preserve">(וְעוֹד תִּקְעוּ בַחֹדֶשׁ שׁוֹפָר בַּכֶּסֶה לְיוֹם חַגֵּנוּ, מַאי בַּכֶּסֶה דָא שְׁכִינְתָּא תַּתָּאָה, וּבָהּ כָּתְבֵנוּ לְחַיִּים, דְּאִיהִי כְּתִיבָה מִסִּטְרָא דִימִינָא וּמִסִּטְרָא דִשְׂמָאלָא, וּבְגִין דְּאִתְאַחַד בֵּיהּ אַדְכִּיר תְּרֵין זִמְנִין כְּתִיבָה </w:t>
      </w:r>
      <w:r>
        <w:rPr>
          <w:sz w:val="20"/>
          <w:szCs w:val="23"/>
          <w:rtl/>
        </w:rPr>
        <w:t>(נ''א דאיהו יד עלאה יד תתאה)</w:t>
      </w:r>
      <w:r>
        <w:rPr>
          <w:rtl/>
        </w:rPr>
        <w:t xml:space="preserve">, </w:t>
      </w:r>
      <w:r>
        <w:rPr>
          <w:sz w:val="20"/>
          <w:szCs w:val="23"/>
          <w:rtl/>
        </w:rPr>
        <w:t>(נ''א אמא תתאה מסטרא דשמאלא איהי)</w:t>
      </w:r>
      <w:r>
        <w:rPr>
          <w:rtl/>
        </w:rPr>
        <w:t xml:space="preserve"> בַּכֶּסֶה בְּהַהוּא דְאִתְּמַר בֵּיהּ בַּמְּכוּסֶה מִמָּךְ אַל תַּחְקוֹר)</w:t>
      </w:r>
    </w:p>
    <w:p w:rsidR="00602EF1" w:rsidRDefault="00602EF1" w:rsidP="005F01B5">
      <w:pPr>
        <w:pStyle w:val="2"/>
        <w:rPr>
          <w:rtl/>
        </w:rPr>
      </w:pPr>
      <w:r>
        <w:rPr>
          <w:rtl/>
        </w:rPr>
        <w:t xml:space="preserve">[תיקוני זוהר - דף צב ע''א] </w:t>
      </w:r>
    </w:p>
    <w:p w:rsidR="00602EF1" w:rsidRDefault="00602EF1" w:rsidP="005F01B5">
      <w:pPr>
        <w:pStyle w:val="NormalWeb"/>
        <w:rPr>
          <w:rtl/>
        </w:rPr>
      </w:pPr>
      <w:r>
        <w:rPr>
          <w:rStyle w:val="a7"/>
          <w:b w:val="0"/>
          <w:bCs w:val="0"/>
          <w:rtl/>
        </w:rPr>
        <w:footnoteReference w:id="4348"/>
      </w:r>
      <w:r>
        <w:rPr>
          <w:rtl/>
        </w:rPr>
        <w:t xml:space="preserve">כָּתְבֵנוּ לְחַיִּים אִיהוּ בִּקְּרָא דָא </w:t>
      </w:r>
      <w:r>
        <w:rPr>
          <w:sz w:val="20"/>
          <w:szCs w:val="23"/>
          <w:rtl/>
        </w:rPr>
        <w:t>(שמות לב)</w:t>
      </w:r>
      <w:r>
        <w:rPr>
          <w:rtl/>
        </w:rPr>
        <w:t xml:space="preserve"> וְהַלֻּחוֹת מַעֲשֵׂה אלהי''ם הֵמָּה וְהַמִּכְתָּב מִכְתַּב אלהי''ם הוּא חָרוּת עַל הַלֻּחֹת </w:t>
      </w:r>
      <w:r>
        <w:rPr>
          <w:sz w:val="20"/>
          <w:szCs w:val="23"/>
          <w:rtl/>
        </w:rPr>
        <w:t>(שמות לב טז)</w:t>
      </w:r>
      <w:r>
        <w:rPr>
          <w:rtl/>
        </w:rPr>
        <w:t xml:space="preserve"> (מַאי חָרוּת דָּא אימא עלאה ה', דְּאִתְּמַר בָּהּ </w:t>
      </w:r>
      <w:r>
        <w:rPr>
          <w:sz w:val="20"/>
          <w:szCs w:val="23"/>
          <w:rtl/>
        </w:rPr>
        <w:t>(ויקרא כה י)</w:t>
      </w:r>
      <w:r>
        <w:rPr>
          <w:rtl/>
        </w:rPr>
        <w:t xml:space="preserve"> וּקְרָאתֶם דְּרוֹר בָּאָרֶץ, דְּרוֹר אִיהִי חֵרוּת) וְ''הַלֻּחוֹת אִינוּן ו''ה בְּרָא וּבְרַתָּא, וְאִינוּן מַעֲשֵׂה אלהי''ם דְּאִיהִי אִימָּא עִלָּאָה, </w:t>
      </w:r>
      <w:r>
        <w:rPr>
          <w:rStyle w:val="a7"/>
          <w:b w:val="0"/>
          <w:bCs w:val="0"/>
          <w:rtl/>
        </w:rPr>
        <w:footnoteReference w:id="4349"/>
      </w:r>
      <w:r>
        <w:rPr>
          <w:rtl/>
        </w:rPr>
        <w:t xml:space="preserve">מַעֲשֶׂה אִיהוּ בִּתְרֵין יְדִין </w:t>
      </w:r>
      <w:r w:rsidRPr="005F01B5">
        <w:rPr>
          <w:rtl/>
        </w:rPr>
        <w:t>דְּתַמָּן</w:t>
      </w:r>
      <w:r>
        <w:rPr>
          <w:rtl/>
        </w:rPr>
        <w:t xml:space="preserve"> עֲשִׂיָּה, וּמִכְתַּב אלהי''ם בִּתְרֵין יְדַיִן </w:t>
      </w:r>
      <w:r>
        <w:rPr>
          <w:rStyle w:val="a7"/>
          <w:b w:val="0"/>
          <w:sz w:val="20"/>
          <w:szCs w:val="23"/>
          <w:rtl/>
        </w:rPr>
        <w:footnoteReference w:id="4350"/>
      </w:r>
      <w:r>
        <w:rPr>
          <w:rtl/>
        </w:rPr>
        <w:t xml:space="preserve">דְּתַמָּן כְּתִיבָה, וְאִיהִי חָרוּת עַל הַלֻּחֹת, </w:t>
      </w:r>
      <w:r>
        <w:rPr>
          <w:rStyle w:val="a7"/>
          <w:b w:val="0"/>
          <w:bCs w:val="0"/>
          <w:rtl/>
        </w:rPr>
        <w:footnoteReference w:id="4351"/>
      </w:r>
      <w:r>
        <w:rPr>
          <w:rtl/>
        </w:rPr>
        <w:t xml:space="preserve">יָד כּוֹתֶבֶת וְיָד חוֹתֶמֶת, וְאִינוּן - חַד יָד הַגְּדוֹלָה דְאִתְּמַר בָּהּ </w:t>
      </w:r>
      <w:r>
        <w:rPr>
          <w:sz w:val="20"/>
          <w:szCs w:val="23"/>
          <w:rtl/>
        </w:rPr>
        <w:t>(שמות יד לא)</w:t>
      </w:r>
      <w:r>
        <w:rPr>
          <w:rtl/>
        </w:rPr>
        <w:t xml:space="preserve"> וַיַּרְא </w:t>
      </w:r>
      <w:r w:rsidRPr="005F01B5">
        <w:rPr>
          <w:rStyle w:val="20"/>
          <w:rtl/>
        </w:rPr>
        <w:t>(דף צב ע''א)</w:t>
      </w:r>
      <w:r>
        <w:rPr>
          <w:sz w:val="20"/>
          <w:szCs w:val="23"/>
          <w:rtl/>
        </w:rPr>
        <w:t xml:space="preserve"> </w:t>
      </w:r>
      <w:r>
        <w:rPr>
          <w:rtl/>
        </w:rPr>
        <w:t xml:space="preserve">יִשְׂרָאֵל אֶת הַיָּד הַגְּדוֹלָה, וְתִנְיָינָא יָד הַחֲזָקָה הֲדָא הוּא דִכְתִיב </w:t>
      </w:r>
      <w:r>
        <w:rPr>
          <w:sz w:val="20"/>
          <w:szCs w:val="23"/>
          <w:rtl/>
        </w:rPr>
        <w:t>(דברים ד לד)</w:t>
      </w:r>
      <w:r>
        <w:rPr>
          <w:rtl/>
        </w:rPr>
        <w:t xml:space="preserve"> וּבְיָד חֲזָקָה וכו', </w:t>
      </w:r>
      <w:r>
        <w:rPr>
          <w:rStyle w:val="a7"/>
          <w:b w:val="0"/>
          <w:bCs w:val="0"/>
          <w:rtl/>
        </w:rPr>
        <w:footnoteReference w:id="4352"/>
      </w:r>
      <w:r>
        <w:rPr>
          <w:rtl/>
        </w:rPr>
        <w:t xml:space="preserve">וְרָזָא דְמִלָּה יהו''ה אלהינ''ו יהו''ה - יָ''ד הַגְּדוֹלָה, כוז''ו במוכס''ז כוז''ו - יָ''ד הַחֲזָקָה, וְכֹלָּא כ''ח פִּרְקִין, דְּאִתְּמַר בְּהוֹן </w:t>
      </w:r>
      <w:r>
        <w:rPr>
          <w:sz w:val="20"/>
          <w:szCs w:val="23"/>
          <w:rtl/>
        </w:rPr>
        <w:t>(במדבר יד יז)</w:t>
      </w:r>
      <w:r>
        <w:rPr>
          <w:rtl/>
        </w:rPr>
        <w:t xml:space="preserve"> וְעַתָּה יִגְדַּל נָא כֹּחַ אדנ''י, וְדָא כֹּחַ מַעֲשָׂיו הִגִּיד לְעַמּוֹ </w:t>
      </w:r>
      <w:r>
        <w:rPr>
          <w:sz w:val="20"/>
          <w:szCs w:val="23"/>
          <w:rtl/>
        </w:rPr>
        <w:t>(תהלים קיא ו)</w:t>
      </w:r>
      <w:r>
        <w:rPr>
          <w:rtl/>
        </w:rPr>
        <w:t>, כֹּחַ מַעֲשֵׂה בְּרֵאשִׁית.</w:t>
      </w:r>
    </w:p>
    <w:p w:rsidR="00602EF1" w:rsidRDefault="00602EF1" w:rsidP="005F01B5">
      <w:pPr>
        <w:pStyle w:val="NormalWeb"/>
        <w:rPr>
          <w:rtl/>
        </w:rPr>
      </w:pPr>
      <w:r>
        <w:rPr>
          <w:rtl/>
        </w:rPr>
        <w:t xml:space="preserve">וְעוֹד אִית יָ''ד </w:t>
      </w:r>
      <w:r w:rsidRPr="005F01B5">
        <w:rPr>
          <w:rtl/>
        </w:rPr>
        <w:t>דְּאִתְקְרֵי</w:t>
      </w:r>
      <w:r>
        <w:rPr>
          <w:rtl/>
        </w:rPr>
        <w:t xml:space="preserve"> יָד רָמָה, וְדָא יהו''ה יו''ד ה''א וא''ו ה''א, וְאִיהוּ יָד תִּנְיָינָא אהי''ה אל''ף ה''א יו''ד ה''א, וְדָא כ''ח, בְּזִמְנָא דְחָאבוּ יִשְׂרָאֵל אִסְתַּלַּק הַאי כֹּחַ מִנַּיְיהוּ וְאִתְּמַר בְּהוֹן </w:t>
      </w:r>
      <w:r>
        <w:rPr>
          <w:sz w:val="20"/>
          <w:szCs w:val="23"/>
          <w:rtl/>
        </w:rPr>
        <w:t>(איכה א ו)</w:t>
      </w:r>
      <w:r>
        <w:rPr>
          <w:rtl/>
        </w:rPr>
        <w:t xml:space="preserve"> וַיֵּלְכוּ בְלֹא כֹחַ לִפְנֵי רוֹדֵף, </w:t>
      </w:r>
      <w:r>
        <w:rPr>
          <w:rStyle w:val="a7"/>
          <w:b w:val="0"/>
          <w:bCs w:val="0"/>
          <w:rtl/>
        </w:rPr>
        <w:footnoteReference w:id="4353"/>
      </w:r>
      <w:r>
        <w:rPr>
          <w:rtl/>
        </w:rPr>
        <w:t>תְּרֵין יְדַיִן כּוֹתְבוֹת מִימִינָא וּמִשְּׂמָאלָא, (ס"א אֲבָל) חָרוּת עַל הַלּוּחוֹת עַמּוּדָא דְאֶמְצָעִיתָא.</w:t>
      </w:r>
    </w:p>
    <w:p w:rsidR="00602EF1" w:rsidRDefault="00602EF1" w:rsidP="005F01B5">
      <w:pPr>
        <w:pStyle w:val="NormalWeb"/>
        <w:rPr>
          <w:rtl/>
        </w:rPr>
      </w:pPr>
      <w:r>
        <w:rPr>
          <w:rtl/>
        </w:rPr>
        <w:t xml:space="preserve">(ס"א וּבְמַלְאָכִים כתב''יאל מְמַנָּא עַל הַכְּתִיבָה, חתמי''אל עַל הַחֲתִימָה) כתבי''אל כְּתָ''ב אֵלִ''י, </w:t>
      </w:r>
      <w:r>
        <w:rPr>
          <w:rStyle w:val="a7"/>
          <w:b w:val="0"/>
          <w:bCs w:val="0"/>
          <w:rtl/>
        </w:rPr>
        <w:footnoteReference w:id="4354"/>
      </w:r>
      <w:r>
        <w:rPr>
          <w:rtl/>
        </w:rPr>
        <w:t xml:space="preserve">אֵלִ''י </w:t>
      </w:r>
      <w:r>
        <w:rPr>
          <w:rStyle w:val="a7"/>
          <w:b w:val="0"/>
          <w:bCs w:val="0"/>
          <w:rtl/>
        </w:rPr>
        <w:footnoteReference w:id="4355"/>
      </w:r>
      <w:r>
        <w:rPr>
          <w:rtl/>
        </w:rPr>
        <w:t xml:space="preserve">אִיהוּ אֵ''ם בְּחוּשְׁבָּן, </w:t>
      </w:r>
      <w:r w:rsidRPr="005F01B5">
        <w:rPr>
          <w:rtl/>
        </w:rPr>
        <w:t>זֶה</w:t>
      </w:r>
      <w:r>
        <w:rPr>
          <w:rtl/>
        </w:rPr>
        <w:t xml:space="preserve"> אֵלִי וְאַנְוִהוּ </w:t>
      </w:r>
      <w:r>
        <w:rPr>
          <w:sz w:val="20"/>
          <w:szCs w:val="23"/>
          <w:rtl/>
        </w:rPr>
        <w:t>(שמות טו ב)</w:t>
      </w:r>
      <w:r>
        <w:rPr>
          <w:rtl/>
        </w:rPr>
        <w:t xml:space="preserve">, </w:t>
      </w:r>
      <w:r>
        <w:rPr>
          <w:rStyle w:val="a7"/>
          <w:b w:val="0"/>
          <w:bCs w:val="0"/>
          <w:rtl/>
        </w:rPr>
        <w:footnoteReference w:id="4356"/>
      </w:r>
      <w:r>
        <w:rPr>
          <w:rtl/>
        </w:rPr>
        <w:t xml:space="preserve">כְּתָב - כ' כֶּתֶר, ת' תּוֹרָה, ב' בְּרָכָה, וְכֹלָּא אִימָּא עִלָּאָה, אִיהִי כֶּתֶר בְּרֹאשׁ כָּל צַדִּיק, </w:t>
      </w:r>
      <w:r>
        <w:rPr>
          <w:rStyle w:val="a7"/>
          <w:b w:val="0"/>
          <w:bCs w:val="0"/>
          <w:rtl/>
        </w:rPr>
        <w:footnoteReference w:id="4357"/>
      </w:r>
      <w:r>
        <w:rPr>
          <w:rtl/>
        </w:rPr>
        <w:t xml:space="preserve">וְאִיהִי תּוֹרַת יהו''ה תְּמִימָה </w:t>
      </w:r>
      <w:r>
        <w:rPr>
          <w:sz w:val="20"/>
          <w:szCs w:val="23"/>
          <w:rtl/>
        </w:rPr>
        <w:t>(תהלים יט ח)</w:t>
      </w:r>
      <w:r>
        <w:rPr>
          <w:rtl/>
        </w:rPr>
        <w:t xml:space="preserve">, </w:t>
      </w:r>
      <w:r>
        <w:rPr>
          <w:rStyle w:val="a7"/>
          <w:b w:val="0"/>
          <w:bCs w:val="0"/>
          <w:rtl/>
        </w:rPr>
        <w:footnoteReference w:id="4358"/>
      </w:r>
      <w:r>
        <w:rPr>
          <w:rtl/>
        </w:rPr>
        <w:t xml:space="preserve">וְאִיהִי בִּרְכַּת יהו''ה הִיא תַּעֲשִׁיר </w:t>
      </w:r>
      <w:r>
        <w:rPr>
          <w:sz w:val="20"/>
          <w:szCs w:val="23"/>
          <w:rtl/>
        </w:rPr>
        <w:t>(משלי י כב)</w:t>
      </w:r>
      <w:r w:rsidR="005F01B5">
        <w:rPr>
          <w:rFonts w:hint="cs"/>
          <w:rtl/>
        </w:rPr>
        <w:t>.</w:t>
      </w:r>
      <w:r>
        <w:rPr>
          <w:rtl/>
        </w:rPr>
        <w:t xml:space="preserve"> חתמי''אל מִסִּטְרָא דְחָכְמָה, </w:t>
      </w:r>
      <w:r>
        <w:rPr>
          <w:rStyle w:val="a7"/>
          <w:b w:val="0"/>
          <w:bCs w:val="0"/>
          <w:rtl/>
        </w:rPr>
        <w:footnoteReference w:id="4359"/>
      </w:r>
      <w:r>
        <w:rPr>
          <w:rtl/>
        </w:rPr>
        <w:t xml:space="preserve">וְתַרְוַיְיהוּ חַיִּים, חָכְמָה דִכְתִיב </w:t>
      </w:r>
      <w:r>
        <w:rPr>
          <w:sz w:val="20"/>
          <w:szCs w:val="23"/>
          <w:rtl/>
        </w:rPr>
        <w:t>(קהלת ז יב)</w:t>
      </w:r>
      <w:r>
        <w:rPr>
          <w:rtl/>
        </w:rPr>
        <w:t xml:space="preserve"> הַחָכְמָה תְּחַיֶּה בְעָלֶיהָ, אִימָּא עִלָּאָה </w:t>
      </w:r>
      <w:r>
        <w:rPr>
          <w:rStyle w:val="a7"/>
          <w:b w:val="0"/>
          <w:bCs w:val="0"/>
          <w:rtl/>
        </w:rPr>
        <w:footnoteReference w:id="4360"/>
      </w:r>
      <w:r>
        <w:rPr>
          <w:rtl/>
        </w:rPr>
        <w:t xml:space="preserve">עֵץ חַיִּים הִיא לַמַּחֲזִיקִים בָּהּ </w:t>
      </w:r>
      <w:r>
        <w:rPr>
          <w:sz w:val="20"/>
          <w:szCs w:val="23"/>
          <w:rtl/>
        </w:rPr>
        <w:t>(משלי ג יח)</w:t>
      </w:r>
      <w:r>
        <w:rPr>
          <w:rtl/>
        </w:rPr>
        <w:t>, וְתַרְוַיְיהוּ לִימִינָא וּשְׂמָאלָא.</w:t>
      </w:r>
    </w:p>
    <w:p w:rsidR="00602EF1" w:rsidRDefault="00602EF1" w:rsidP="005F01B5">
      <w:pPr>
        <w:pStyle w:val="NormalWeb"/>
        <w:rPr>
          <w:rtl/>
        </w:rPr>
      </w:pPr>
      <w:r>
        <w:rPr>
          <w:rStyle w:val="a7"/>
          <w:b w:val="0"/>
          <w:bCs w:val="0"/>
          <w:rtl/>
        </w:rPr>
        <w:footnoteReference w:id="4361"/>
      </w:r>
      <w:r>
        <w:rPr>
          <w:rtl/>
        </w:rPr>
        <w:t xml:space="preserve">תְּלַת אֶצְבָּעִין </w:t>
      </w:r>
      <w:r w:rsidRPr="005F01B5">
        <w:rPr>
          <w:rtl/>
        </w:rPr>
        <w:t>מִתְיַיחֲדִין</w:t>
      </w:r>
      <w:r>
        <w:rPr>
          <w:rtl/>
        </w:rPr>
        <w:t xml:space="preserve"> בְּקוֹלְמוֹס לַכְּתִיבָה, </w:t>
      </w:r>
      <w:r>
        <w:rPr>
          <w:rStyle w:val="a7"/>
          <w:b w:val="0"/>
          <w:bCs w:val="0"/>
          <w:rtl/>
        </w:rPr>
        <w:footnoteReference w:id="4362"/>
      </w:r>
      <w:r>
        <w:rPr>
          <w:rtl/>
        </w:rPr>
        <w:t xml:space="preserve">וַעֲלַיְיהוּ אָמַר בֶּן זוֹמָא, אֵין בֵּין מַיִם הָעֶלְיוֹנִים לְמַיִם הַתַּחְתּוֹנִים, אֶלָּא כְשָׁלֹשׁ אֶצְבָּעוֹת, וּתְרֵין אֶצְבְּעָאן אִינוּן דְּסָמְכִין לוֹן, </w:t>
      </w:r>
      <w:r>
        <w:rPr>
          <w:rStyle w:val="a7"/>
          <w:b w:val="0"/>
          <w:bCs w:val="0"/>
          <w:rtl/>
        </w:rPr>
        <w:footnoteReference w:id="4363"/>
      </w:r>
      <w:r>
        <w:rPr>
          <w:rtl/>
        </w:rPr>
        <w:t xml:space="preserve">וְאִינוּן כִּתְרֵי גְלִימֵי דִסְחִיפֵי אַהֲדָדֵי, חסדיא''ל מִסִּטְרָא דְחֶסֶד, גַּבְרִיאֵ''ל מִסִּטְרָא דִגְבוּרָה, אוּרִיאֵ''ל מִסִּטְרָא דְעַמּוּדָא דְאֶמְצָעִיתָא, אוּרִיאֵ''ל אִיהוּ רזי''אל, וַעֲלֵיהּ אִתְּמַר </w:t>
      </w:r>
      <w:r>
        <w:rPr>
          <w:sz w:val="20"/>
          <w:szCs w:val="23"/>
          <w:rtl/>
        </w:rPr>
        <w:t>(שמות ג טו)</w:t>
      </w:r>
      <w:r>
        <w:rPr>
          <w:rtl/>
        </w:rPr>
        <w:t xml:space="preserve"> וְזֶה זִכְרִ''י, זִכְרִ''י עִם ו''ה רְמַ''ח, וְדָא רזיא''ל, שְׁמִי עִם י''ה שְׁסָ''ה, ש'מעיא''ל מ'טטרו''ן י'הוא''ל, רָאשֵׁי תֵּיבִין שְׁמִי, בְּכָל סִטְרָא אֵלִי אִיהוּ מִסִּטְרָא דְאֵם, וְאִינוּן אֵלִ''י א' כֶּתֶר י' חָכְמָה ל' אִימָּא עִלָּאָה, </w:t>
      </w:r>
      <w:r>
        <w:rPr>
          <w:rStyle w:val="a7"/>
          <w:b w:val="0"/>
          <w:bCs w:val="0"/>
          <w:rtl/>
        </w:rPr>
        <w:footnoteReference w:id="4364"/>
      </w:r>
      <w:r>
        <w:rPr>
          <w:rtl/>
        </w:rPr>
        <w:t xml:space="preserve">דְאִיהִי מִגְדַּל עוֹז שֵׁם יהו''ה </w:t>
      </w:r>
      <w:r>
        <w:rPr>
          <w:sz w:val="20"/>
          <w:szCs w:val="23"/>
          <w:rtl/>
        </w:rPr>
        <w:t>(משלי יח י)</w:t>
      </w:r>
      <w:r>
        <w:rPr>
          <w:rtl/>
        </w:rPr>
        <w:t xml:space="preserve">. </w:t>
      </w:r>
    </w:p>
    <w:p w:rsidR="00602EF1" w:rsidRDefault="00602EF1" w:rsidP="005F01B5">
      <w:pPr>
        <w:pStyle w:val="NormalWeb"/>
        <w:rPr>
          <w:rtl/>
        </w:rPr>
      </w:pPr>
      <w:r>
        <w:rPr>
          <w:rStyle w:val="a7"/>
          <w:b w:val="0"/>
          <w:bCs w:val="0"/>
          <w:rtl/>
        </w:rPr>
        <w:footnoteReference w:id="4365"/>
      </w:r>
      <w:r>
        <w:rPr>
          <w:rtl/>
        </w:rPr>
        <w:t xml:space="preserve">וְעוֹד וְהַמִּכְתָּב </w:t>
      </w:r>
      <w:r w:rsidRPr="005F01B5">
        <w:rPr>
          <w:rtl/>
        </w:rPr>
        <w:t>מִכְתַּב</w:t>
      </w:r>
      <w:r>
        <w:rPr>
          <w:rtl/>
        </w:rPr>
        <w:t xml:space="preserve"> אלהי''ם </w:t>
      </w:r>
      <w:r>
        <w:rPr>
          <w:sz w:val="20"/>
          <w:szCs w:val="23"/>
          <w:rtl/>
        </w:rPr>
        <w:t>(שמות לב טז)</w:t>
      </w:r>
      <w:r>
        <w:rPr>
          <w:rtl/>
        </w:rPr>
        <w:t xml:space="preserve">, תְּרֵין יְדַיִן כּוֹתְבוֹת מִימִינָא וּמִשְּׂמָאלָא, חָרוּת עַל הַלּוּחוֹת עַמּוּדָא דְאֶמְצָעִיתָא. </w:t>
      </w:r>
      <w:r>
        <w:rPr>
          <w:rStyle w:val="a7"/>
          <w:b w:val="0"/>
          <w:bCs w:val="0"/>
          <w:rtl/>
        </w:rPr>
        <w:footnoteReference w:id="4366"/>
      </w:r>
      <w:r>
        <w:rPr>
          <w:rtl/>
        </w:rPr>
        <w:t xml:space="preserve">כַּמָּה מַלְאָכַיָּא סַפְרַיָּא אִית לְעֵילָא דְכָתְבִין זַכְוָון דְּיִשְׂרָאֵל, </w:t>
      </w:r>
      <w:r>
        <w:rPr>
          <w:rStyle w:val="a7"/>
          <w:b w:val="0"/>
          <w:bCs w:val="0"/>
          <w:rtl/>
        </w:rPr>
        <w:footnoteReference w:id="4367"/>
      </w:r>
      <w:r>
        <w:rPr>
          <w:rtl/>
        </w:rPr>
        <w:t xml:space="preserve">וְכַמָּה מַלְאָכַיָּא דְחוֹתָמָא דְמַלְכָּא בִּידֵיהוֹן דְּחָתְמִין זַכְוָון דְּיִשְׂרָאֵל, וְכַמָּה מַלְאָכַיָּא אִינוּן שָׁקְלִין קַלִּין וַחֲמוּרִין דְּאוֹרַיְיתָא, הֲדָא הוּא דִכְתִיב </w:t>
      </w:r>
      <w:r>
        <w:rPr>
          <w:sz w:val="20"/>
          <w:szCs w:val="23"/>
          <w:rtl/>
        </w:rPr>
        <w:t>(ישעיה לג יח)</w:t>
      </w:r>
      <w:r>
        <w:rPr>
          <w:rtl/>
        </w:rPr>
        <w:t xml:space="preserve"> אַיֵּה סוֹפֵר אַיֵּה שׁוֹקֵל, </w:t>
      </w:r>
      <w:r>
        <w:rPr>
          <w:rStyle w:val="a7"/>
          <w:b w:val="0"/>
          <w:bCs w:val="0"/>
          <w:rtl/>
        </w:rPr>
        <w:footnoteReference w:id="4368"/>
      </w:r>
      <w:r>
        <w:rPr>
          <w:rtl/>
        </w:rPr>
        <w:t xml:space="preserve">וְכַד אִיהוּ חָתִים בְּטַבַּעַת הַמֶּלֶךְ דְּאִיהוּ י' אֵין לְהָשִׁיב, חוֹתָם אִיהוּ ו' חוֹתָם אֶמֶת, יָד כּוֹתֵב וְיָד חוֹתֵם ה' תַּתָּאָה כּוֹתֵב ה' עִלָּאָה חוֹתֵם, דְּאִינוּן ה' אֶצְבְּעָאן דְּיָד יְמִינָא וְה' אֶצְבְּעָאן דְּיָד שְׂמָאלָא, </w:t>
      </w:r>
      <w:r>
        <w:rPr>
          <w:rStyle w:val="a7"/>
          <w:b w:val="0"/>
          <w:bCs w:val="0"/>
          <w:rtl/>
        </w:rPr>
        <w:footnoteReference w:id="4369"/>
      </w:r>
      <w:r>
        <w:rPr>
          <w:rtl/>
        </w:rPr>
        <w:t>ה' תַּתָּאָה כּוֹתֵב בְּאָת ו' דְּאִיהוּ קוֹלְמוֹס, קָנֶה דִדְרוֹעָא ה' עִלָּאָה חוֹתָם בְּאָת י' דְּאִיהוּ כַּף הַיָּד.</w:t>
      </w:r>
    </w:p>
    <w:p w:rsidR="00602EF1" w:rsidRDefault="00602EF1" w:rsidP="005F01B5">
      <w:pPr>
        <w:pStyle w:val="NormalWeb"/>
        <w:rPr>
          <w:rtl/>
        </w:rPr>
      </w:pPr>
      <w:r>
        <w:rPr>
          <w:rStyle w:val="a7"/>
          <w:b w:val="0"/>
          <w:bCs w:val="0"/>
          <w:rtl/>
        </w:rPr>
        <w:footnoteReference w:id="4370"/>
      </w:r>
      <w:r>
        <w:rPr>
          <w:rtl/>
        </w:rPr>
        <w:t xml:space="preserve">וּנְקוּדָה דְשֵׁם </w:t>
      </w:r>
      <w:r w:rsidRPr="005F01B5">
        <w:rPr>
          <w:rtl/>
        </w:rPr>
        <w:t>הַכּוֹתֵב</w:t>
      </w:r>
      <w:r>
        <w:rPr>
          <w:rtl/>
        </w:rPr>
        <w:t xml:space="preserve"> - וְ'הַמִּכְתָּב מִ'כְתַּב אֱ'להי''ם הוּ'א דָא יְהִוֱהוּ, שֵׁ''ם הַדּוֹרֵ''שׁ - יְ'הו''ה אֱ'להי''ם נָ'תַן לִ'י לְשׁוֹן לִמּוּדִים לָדַעַת לָעוּת אֶת יָעִף דָּבָר וְדָא יְהֱוָהִ, שֵׁ''ם הַדּוֹרֵ''שׁ אִיהוּ צַדִּיק, עֲלֵיהּ אִתְּמַר </w:t>
      </w:r>
      <w:r>
        <w:rPr>
          <w:sz w:val="20"/>
          <w:szCs w:val="23"/>
          <w:rtl/>
        </w:rPr>
        <w:t>(ישעיה נ ד)</w:t>
      </w:r>
      <w:r>
        <w:rPr>
          <w:rtl/>
        </w:rPr>
        <w:t xml:space="preserve"> יהו''ה אלהי''ם נָתַן לִי לְשׁוֹן לִמּוּדִים, וְדָא ז',</w:t>
      </w:r>
      <w:r>
        <w:rPr>
          <w:szCs w:val="23"/>
          <w:rtl/>
        </w:rPr>
        <w:t xml:space="preserve"> </w:t>
      </w:r>
      <w:r>
        <w:rPr>
          <w:rStyle w:val="Char"/>
          <w:rtl/>
        </w:rPr>
        <w:t xml:space="preserve">י"ו </w:t>
      </w:r>
      <w:r w:rsidRPr="005F01B5">
        <w:rPr>
          <w:rtl/>
        </w:rPr>
        <w:t>זְעִירָא, לָדַעַת לָעוּת אֶת יָעִף דָּבָר</w:t>
      </w:r>
      <w:r>
        <w:rPr>
          <w:szCs w:val="23"/>
          <w:rtl/>
        </w:rPr>
        <w:t xml:space="preserve"> </w:t>
      </w:r>
      <w:r>
        <w:rPr>
          <w:sz w:val="20"/>
          <w:szCs w:val="23"/>
          <w:rtl/>
        </w:rPr>
        <w:t>(שם)</w:t>
      </w:r>
      <w:r>
        <w:rPr>
          <w:rtl/>
        </w:rPr>
        <w:t xml:space="preserve">, אִינוּן ה''ה דִּבְהוֹן וְעוֹף יְעוֹפֵף עַל הָאָרֶץ </w:t>
      </w:r>
      <w:r>
        <w:rPr>
          <w:sz w:val="20"/>
          <w:szCs w:val="23"/>
          <w:rtl/>
        </w:rPr>
        <w:t>(בראשית א כ)</w:t>
      </w:r>
      <w:r>
        <w:rPr>
          <w:rtl/>
        </w:rPr>
        <w:t xml:space="preserve">, יְדִיעַת קוּדְשָׁא בְּרִיךְ הוּא בִּשְׁכִינְתֵּיהּ בְּהַאי נְקוּדָה - יִ'תְהַלֵּל הַ'מִּתְהַלֵּל הַ'שְׂכֵּל וְ'יָדוֹעַ </w:t>
      </w:r>
      <w:r>
        <w:rPr>
          <w:sz w:val="20"/>
          <w:szCs w:val="23"/>
          <w:rtl/>
        </w:rPr>
        <w:t>(ירמיה ט כג)</w:t>
      </w:r>
      <w:r>
        <w:rPr>
          <w:rtl/>
        </w:rPr>
        <w:t>, וְדָא יִהַהַוְ.</w:t>
      </w:r>
    </w:p>
    <w:p w:rsidR="00602EF1" w:rsidRDefault="00602EF1" w:rsidP="005F01B5">
      <w:pPr>
        <w:pStyle w:val="2"/>
        <w:rPr>
          <w:rtl/>
        </w:rPr>
      </w:pPr>
      <w:r>
        <w:rPr>
          <w:rtl/>
        </w:rPr>
        <w:t xml:space="preserve">[תיקוני זוהר - דף צב ע''ב] </w:t>
      </w:r>
    </w:p>
    <w:p w:rsidR="00602EF1" w:rsidRDefault="00602EF1" w:rsidP="005F01B5">
      <w:pPr>
        <w:pStyle w:val="NormalWeb"/>
        <w:rPr>
          <w:rtl/>
        </w:rPr>
      </w:pPr>
      <w:r>
        <w:rPr>
          <w:rtl/>
        </w:rPr>
        <w:t xml:space="preserve">כָּל אִלֵּין נְקוּדִין צָרִיךְ לְנַקְדָא לוֹן מִקְּרָאִין דְּאוֹרַיְיתָא, כְּמָה דְאִינוּן כְּתִיבִין בְּאֹרַח קְשׁוֹט, וְכָל הֲוַיָּ''ה אִית לָהּ מְשַׁמְּשָׁא </w:t>
      </w:r>
      <w:r>
        <w:rPr>
          <w:rStyle w:val="a7"/>
          <w:b w:val="0"/>
          <w:bCs w:val="0"/>
          <w:rtl/>
        </w:rPr>
        <w:footnoteReference w:id="4371"/>
      </w:r>
      <w:r>
        <w:rPr>
          <w:rtl/>
        </w:rPr>
        <w:t xml:space="preserve">דְרָכִיב עֲלֵיהּ, וְאִיהִי מֶרְכָּבָה לֵיהּ, וְהַהִיא הֲוַיָּ''ה אִית לָהּ מַנְהִיגָא דְשַׁלִּיט עֲלֵיהּ, כְּגוֹן דְּכוּרָא עַל נוּקְבָא, וְלֵית רְשׁוּ לְנוּקְבָא וְלָא לִשְׁלוּחָא דִילָהּ לְמֶעֱבַד מִדָּעַם בְּלָא רְשׁוּת בַּעְלָהּ, דְּכָל מָאן דִּמְקַבֵּל אִיהִי נוּקְבָא, מֵאֲתַר דְּאִיהוּ מְקַבֵּל, וְרָזָא דְמִלָּה </w:t>
      </w:r>
      <w:r>
        <w:rPr>
          <w:sz w:val="20"/>
          <w:szCs w:val="23"/>
          <w:rtl/>
        </w:rPr>
        <w:t>(קהלת ה ז)</w:t>
      </w:r>
      <w:r>
        <w:rPr>
          <w:rtl/>
        </w:rPr>
        <w:t xml:space="preserve"> כִּי גָבוֹהַּ מֵעַל גָּבוֹהַּ שׁוֹמֵר, וּכְגַוְונָא דָא שְׁלִיחָא לְעִילָא מטטרו''ן, וְכַמָּה מְמַנָּן דִּתְּחוֹת יְדֵיהּ דְּאִינוּן שְׁלִיחָן דִּשְׁכִינְתָּא, וּשְׁכִינְתָּא אִיהִי נוּקְבָא, לֵית לָהּ רְשׁוּ לְאַזְלָא לְשׁוּם </w:t>
      </w:r>
      <w:r w:rsidRPr="005F01B5">
        <w:rPr>
          <w:rStyle w:val="20"/>
          <w:rtl/>
        </w:rPr>
        <w:t>(דף צב ע''ב)</w:t>
      </w:r>
      <w:r>
        <w:rPr>
          <w:sz w:val="20"/>
          <w:szCs w:val="23"/>
          <w:rtl/>
        </w:rPr>
        <w:t xml:space="preserve"> </w:t>
      </w:r>
      <w:r>
        <w:rPr>
          <w:rtl/>
        </w:rPr>
        <w:t xml:space="preserve">אֲתַר בְּלָא רְשׁוּ בַּעְלָהּ, וְרָזָא דְמִלָּה וְיִקְחוּ לִי תְּרוּמָה </w:t>
      </w:r>
      <w:r>
        <w:rPr>
          <w:sz w:val="20"/>
          <w:szCs w:val="23"/>
          <w:rtl/>
        </w:rPr>
        <w:t>(שמות כה ב)</w:t>
      </w:r>
      <w:r>
        <w:rPr>
          <w:rtl/>
        </w:rPr>
        <w:t>, אִם אַתּוּן בְּעִיתוּן דְּשַׁרְיָא שְׁכִנְתִּי בֵינֵיכוֹן, וְיִקְחוּ לִי, נְסִיבוּ מִנִּי רְשׁוּ בְּקַדְמֵיתָא לְאִתְגַּלְיָא.</w:t>
      </w:r>
    </w:p>
    <w:p w:rsidR="00602EF1" w:rsidRDefault="00602EF1" w:rsidP="00602EF1">
      <w:pPr>
        <w:pStyle w:val="1"/>
        <w:rPr>
          <w:u w:val="single"/>
          <w:rtl/>
        </w:rPr>
      </w:pPr>
      <w:bookmarkStart w:id="275" w:name="_Toc228091334"/>
      <w:bookmarkStart w:id="276" w:name="_Toc231637973"/>
      <w:r>
        <w:rPr>
          <w:rtl/>
        </w:rPr>
        <w:t>תקונא חמשין ושתא</w:t>
      </w:r>
      <w:bookmarkEnd w:id="275"/>
      <w:bookmarkEnd w:id="276"/>
    </w:p>
    <w:p w:rsidR="00602EF1" w:rsidRDefault="00602EF1" w:rsidP="005F01B5">
      <w:pPr>
        <w:pStyle w:val="NormalWeb"/>
        <w:rPr>
          <w:rtl/>
        </w:rPr>
      </w:pPr>
      <w:r>
        <w:rPr>
          <w:rStyle w:val="a7"/>
          <w:szCs w:val="29"/>
          <w:rtl/>
        </w:rPr>
        <w:footnoteReference w:id="4372"/>
      </w:r>
      <w:r>
        <w:rPr>
          <w:rtl/>
        </w:rPr>
        <w:t xml:space="preserve">בְּרֵאשִׁית בָּרָא אלהי''ם, אלהי''ם הָא אוּקְמוּהָ תַּמָּן דְּחִילוּ מִסִּטְרָא דְאָת ה' </w:t>
      </w:r>
      <w:r>
        <w:rPr>
          <w:szCs w:val="23"/>
          <w:rtl/>
        </w:rPr>
        <w:t>(נ''א ה''י)</w:t>
      </w:r>
      <w:r>
        <w:rPr>
          <w:rtl/>
        </w:rPr>
        <w:t xml:space="preserve">, דְּאִיהִי לִשְׂמָאלָא, דְּאַף עַל גַּב דְּאָת י' אִיהוּ רַחֲמֵי, בַּאֲתַר דְּשַׁלְטָא ה' עֲלָהּ נוּקְבָא אִתְקְרִיאַת, כְּגַוְונָא דָא ה''י, וְרָזָא דָא אִתְגַּלְיָיא בְּיו''ד ה''י וא''ו ה''י </w:t>
      </w:r>
      <w:r>
        <w:rPr>
          <w:szCs w:val="23"/>
          <w:rtl/>
        </w:rPr>
        <w:t>(ס''א ביו''ד ה''א וא''ו ה''א)</w:t>
      </w:r>
      <w:r>
        <w:rPr>
          <w:rtl/>
        </w:rPr>
        <w:t xml:space="preserve"> דְּלֵית בִּרְיָה בְלָא דְכַר וְנוּקְבָא, דִּתְרֵין שׁוּתָּפִין אִינוּן בִּבְרָא וּבְרַתָּא, אַבָּא וְאִימָּא, חַד יָהֵיב טִפָּה דְכוּרָא וְחַד נוּקְבָא, וְכַד שַׁלִּיט דְּכוּרָא עַל נוּקְבָא אִיהוּ דְכַר, וְכַד שַׁלִּיט נוּקְבָא עַל דְּכוּרָא אִיהוּ נוּקְבָא, וְהָא אוּקְמוּהוּ בְּרָזָא דְאִשָּׁה כִּי תַזְרִיעַ וְיָלְדָה זָכָר </w:t>
      </w:r>
      <w:r>
        <w:rPr>
          <w:szCs w:val="23"/>
          <w:rtl/>
        </w:rPr>
        <w:t>(ויקרא יב ב)</w:t>
      </w:r>
      <w:r>
        <w:rPr>
          <w:rtl/>
        </w:rPr>
        <w:t>.</w:t>
      </w:r>
    </w:p>
    <w:p w:rsidR="00602EF1" w:rsidRDefault="00602EF1" w:rsidP="005F01B5">
      <w:pPr>
        <w:pStyle w:val="NormalWeb"/>
        <w:rPr>
          <w:szCs w:val="23"/>
          <w:rtl/>
        </w:rPr>
      </w:pPr>
      <w:r>
        <w:rPr>
          <w:rStyle w:val="a7"/>
          <w:szCs w:val="29"/>
          <w:rtl/>
        </w:rPr>
        <w:footnoteReference w:id="4373"/>
      </w:r>
      <w:r>
        <w:rPr>
          <w:rtl/>
        </w:rPr>
        <w:t xml:space="preserve">וְרָזָא עִלָּאָה הָכָא, לְזִמְנִין אִזְדַּרִיקוּ תְּרֵין טִפִּין, לְזִמְנִין תְּלַת, לְזִמְנִין אַרְבַּע, לְזִמְנִין ה', לְזִמְנִין ו', לְזִמְנִין ז', </w:t>
      </w:r>
      <w:r>
        <w:rPr>
          <w:rStyle w:val="a7"/>
          <w:szCs w:val="29"/>
          <w:rtl/>
        </w:rPr>
        <w:footnoteReference w:id="4374"/>
      </w:r>
      <w:r>
        <w:rPr>
          <w:rtl/>
        </w:rPr>
        <w:t xml:space="preserve">וְדָא רָזָא דִסְלִיקוּ לְמִטָּה תְּרֵין וְנָחְתוּ שִׁבְעָה, תְּרֵין טִפִּין אִינוּן </w:t>
      </w:r>
      <w:r>
        <w:rPr>
          <w:rStyle w:val="a7"/>
          <w:szCs w:val="29"/>
          <w:rtl/>
        </w:rPr>
        <w:footnoteReference w:id="4375"/>
      </w:r>
      <w:r>
        <w:rPr>
          <w:rtl/>
        </w:rPr>
        <w:t xml:space="preserve">לְזִמְנִין צֵרִ''י וּלְזִמְנִין שְׁבָ''א, תְּלַת לְזִמְנִין אִינוּן סֶגוֹ''ל וּלְזִמְנִין שׁוּרֵ''ק, לְזִמְנִין שֶׁבַע </w:t>
      </w:r>
      <w:r>
        <w:rPr>
          <w:rStyle w:val="a7"/>
          <w:szCs w:val="29"/>
          <w:rtl/>
        </w:rPr>
        <w:footnoteReference w:id="4376"/>
      </w:r>
      <w:r>
        <w:rPr>
          <w:rtl/>
        </w:rPr>
        <w:t xml:space="preserve">כְּגַוְונָא דָא ז' מִן זֶרַע, וּתְלַת טִפִּין צְרִיכִין נְטִירוּ מִן כָּבֵ''ד מָרָ''ה וּטְחוֹ''ל , דְאִתְּמַר בְּהוֹן </w:t>
      </w:r>
      <w:r>
        <w:rPr>
          <w:szCs w:val="23"/>
          <w:rtl/>
        </w:rPr>
        <w:t>(בראשית ב טז)</w:t>
      </w:r>
      <w:r>
        <w:rPr>
          <w:rtl/>
        </w:rPr>
        <w:t xml:space="preserve"> וַיְצַו יהו''ה אלהי''ם עַל הָאָדָם, וְאוּקְמוּהוּ לֵית צַו אֶלָּא עֲבוֹדָה זָרָה, וְדָא כָבֵד, דְּאִתְּמַר בָּהּ כָּל הַכּוֹעִס כְּאִלּוּ עוֹבֵד עֲבוֹדָה זָרָה, וּבְגִין דָּא לָא צָרִיךְ לְאַרָקָא טִפִּין אֶלָּא בִרְחִימוּ, וְלָא בְכַעְסָא וּבִקְטָטָה, </w:t>
      </w:r>
      <w:r>
        <w:rPr>
          <w:rStyle w:val="a7"/>
          <w:szCs w:val="29"/>
          <w:rtl/>
        </w:rPr>
        <w:footnoteReference w:id="4377"/>
      </w:r>
      <w:r>
        <w:rPr>
          <w:rtl/>
        </w:rPr>
        <w:t xml:space="preserve">וְכַד זָרִיק בַּר נַשׁ אִלֵּין תְּלַת טִפִּין בִּרְחִימוּ </w:t>
      </w:r>
      <w:r>
        <w:rPr>
          <w:rStyle w:val="a7"/>
          <w:szCs w:val="29"/>
          <w:rtl/>
        </w:rPr>
        <w:footnoteReference w:id="4378"/>
      </w:r>
      <w:r>
        <w:rPr>
          <w:rtl/>
        </w:rPr>
        <w:t xml:space="preserve">אִתְקְרִיאוּ סֶגוֹלְתָּ''א, וְרָזָא דְמִלָּה זַרְקָ''א מַקַּ''ף שׁוֹפָר הוֹלֵךְ סֶגוֹלְ''תָּא. עַל הָאָדָם דָּא שְׁפִיכוּת דָּמִים, הֲדָא הוּא דִכְתִיב </w:t>
      </w:r>
      <w:r>
        <w:rPr>
          <w:szCs w:val="23"/>
          <w:rtl/>
        </w:rPr>
        <w:t>(שם ט ו)</w:t>
      </w:r>
      <w:r>
        <w:rPr>
          <w:rtl/>
        </w:rPr>
        <w:t xml:space="preserve"> בָּאָדָם דָּמוֹ יִשָּׁפֵךְ, </w:t>
      </w:r>
      <w:r>
        <w:rPr>
          <w:rStyle w:val="a7"/>
          <w:szCs w:val="29"/>
          <w:rtl/>
        </w:rPr>
        <w:footnoteReference w:id="4379"/>
      </w:r>
      <w:r>
        <w:rPr>
          <w:rtl/>
        </w:rPr>
        <w:t xml:space="preserve">דָּא אִתְעָרוּתָא דְטִפָּה דְנוּקְבָא דְאִיהִי מִלֵּיחָה סוּמָקָא, וְאִי אִיהִי סֶגוֹ''ל נְקוּדָה לְתַתָּא אִיהִי נוּקְבָא, נְקוּדָה דִלְעִילָא דְכַר, וְכַד זָרִיק לָהּ בְּמָרָ''ה דְאִיהִי גֵיהִנָּם קְטִילַת </w:t>
      </w:r>
      <w:r>
        <w:rPr>
          <w:szCs w:val="23"/>
          <w:rtl/>
        </w:rPr>
        <w:t>(לה).</w:t>
      </w:r>
    </w:p>
    <w:p w:rsidR="00602EF1" w:rsidRDefault="00602EF1" w:rsidP="005F01B5">
      <w:pPr>
        <w:pStyle w:val="NormalWeb"/>
        <w:rPr>
          <w:rtl/>
        </w:rPr>
      </w:pPr>
      <w:r>
        <w:rPr>
          <w:rStyle w:val="Char"/>
          <w:rtl/>
        </w:rPr>
        <w:t>לֵאמֹר</w:t>
      </w:r>
      <w:r>
        <w:rPr>
          <w:szCs w:val="23"/>
          <w:rtl/>
        </w:rPr>
        <w:t xml:space="preserve"> (בראשית ב טז)</w:t>
      </w:r>
      <w:r>
        <w:rPr>
          <w:rtl/>
        </w:rPr>
        <w:t xml:space="preserve"> דָּא גִלּוּי עֲרָיוֹת, וְדָא טְחוֹ''ל, מָאן דְּזָרִיק טִפָּה בְּאִתְּתֵיהּ בַּעֲצִיבוּ וּבִקְטָטָה, אִתְגְּלִיאַת בֵּיהּ עֶרְיָיתָא, וּבְגִין דָּא עֶרְוַת אָבִיךָ וְעֶרְוַת אִמְּךָ לֹא תְגַלֵּה </w:t>
      </w:r>
      <w:r>
        <w:rPr>
          <w:szCs w:val="23"/>
          <w:rtl/>
        </w:rPr>
        <w:t>(ויקרא יח ז)</w:t>
      </w:r>
      <w:r>
        <w:rPr>
          <w:rtl/>
        </w:rPr>
        <w:t xml:space="preserve">, אִיהִי טְחוֹל לִילִית, מָרָה אוּכְמָא, עֶרְוָה (דְכֹלָּא) </w:t>
      </w:r>
      <w:r>
        <w:rPr>
          <w:szCs w:val="23"/>
          <w:rtl/>
        </w:rPr>
        <w:t>(נ''א דכלה)</w:t>
      </w:r>
      <w:r>
        <w:rPr>
          <w:rtl/>
        </w:rPr>
        <w:t>.</w:t>
      </w:r>
    </w:p>
    <w:p w:rsidR="00602EF1" w:rsidRDefault="00602EF1" w:rsidP="005F01B5">
      <w:pPr>
        <w:pStyle w:val="NormalWeb"/>
        <w:rPr>
          <w:rtl/>
        </w:rPr>
      </w:pPr>
      <w:r>
        <w:rPr>
          <w:rStyle w:val="a7"/>
          <w:szCs w:val="29"/>
          <w:rtl/>
        </w:rPr>
        <w:footnoteReference w:id="4380"/>
      </w:r>
      <w:r>
        <w:rPr>
          <w:rtl/>
        </w:rPr>
        <w:t xml:space="preserve">אָמַר רַבִּי אֶלְעָזָר, אַבָּא, שִׁעוּרָא דַעֲרָיוֹת אִינוּן בַּאֲתַר יְדִיעַ אוֹ לָא, אָמַר לֵיהּ בְּרִי, יהו''ה אִיהוּ י' אָב ה' אֵם ו' בֵּן ה' בַּת, ה''ה אִינוּן אִשָּׁה וּבִתָּהּ כַּלָּה וַחֲמוֹתָהּ, </w:t>
      </w:r>
      <w:r>
        <w:rPr>
          <w:rStyle w:val="a7"/>
          <w:szCs w:val="29"/>
          <w:rtl/>
        </w:rPr>
        <w:footnoteReference w:id="4381"/>
      </w:r>
      <w:r>
        <w:rPr>
          <w:rtl/>
        </w:rPr>
        <w:t xml:space="preserve">כְּפוּם עַנְפִין דְּאִילָנָא הָכִי אִתְקְרִיאוּ, עַנְפִין דְּאִילָנָא מִתְפָּרְשִׁין לְעִילָא בְּאִילָנָא, כְּמָה דְאוּקְמוּהוּ </w:t>
      </w:r>
      <w:r>
        <w:rPr>
          <w:rStyle w:val="a7"/>
          <w:szCs w:val="29"/>
          <w:rtl/>
        </w:rPr>
        <w:footnoteReference w:id="4382"/>
      </w:r>
      <w:r>
        <w:rPr>
          <w:rtl/>
        </w:rPr>
        <w:t xml:space="preserve">וּפְנֵיהֶם וְכַנְפֵיהֶם פְּרוּדוֹת מִלְמָעְלָה, וַעֲלֵיהֶן אִתְּמַר </w:t>
      </w:r>
      <w:r>
        <w:rPr>
          <w:szCs w:val="23"/>
          <w:rtl/>
        </w:rPr>
        <w:t>(דברים כג א)</w:t>
      </w:r>
      <w:r>
        <w:rPr>
          <w:rtl/>
        </w:rPr>
        <w:t xml:space="preserve"> וְלֹא יְגַלֶּה כְּנַף אָבִיו, וְאִינוּן מִתְיַחֲדִין לְתַתָּא.</w:t>
      </w:r>
    </w:p>
    <w:p w:rsidR="00602EF1" w:rsidRDefault="00602EF1" w:rsidP="005F01B5">
      <w:pPr>
        <w:pStyle w:val="2"/>
        <w:rPr>
          <w:rtl/>
        </w:rPr>
      </w:pPr>
      <w:r>
        <w:rPr>
          <w:rtl/>
        </w:rPr>
        <w:t xml:space="preserve">[תיקוני זוהר - דף צג ע''א] </w:t>
      </w:r>
    </w:p>
    <w:p w:rsidR="00602EF1" w:rsidRDefault="00602EF1" w:rsidP="005F01B5">
      <w:pPr>
        <w:pStyle w:val="NormalWeb"/>
        <w:rPr>
          <w:rtl/>
        </w:rPr>
      </w:pPr>
      <w:r>
        <w:rPr>
          <w:rtl/>
        </w:rPr>
        <w:t xml:space="preserve">כְּגוֹן לוּלָב דְּאִיהוּ אֲגוּדָה חֲדָא לְתַתָּא בְכָל אִלֵּין מִינִין דַּהֲדַס וַעֲרָבָה, דְאִינוּן תְּלַת הֲדַסִּין, וּתְרֵין עֲרָבוֹת, וְאִיהוּ בְּפִרוּדָא לְעִילָא, דְּעַנְפִין מִתְפָּרְדִין לִימִינָא וּשְׂמָאלָא, וּבְגִין דָּא נִפְרְצוּ עַלָּיו פָּסוּל, </w:t>
      </w:r>
      <w:r>
        <w:rPr>
          <w:rStyle w:val="a7"/>
          <w:szCs w:val="29"/>
          <w:rtl/>
        </w:rPr>
        <w:footnoteReference w:id="4383"/>
      </w:r>
      <w:r>
        <w:rPr>
          <w:rtl/>
        </w:rPr>
        <w:t xml:space="preserve">נִפְרְדוּ עַלָּיו כָּשֵׁר, וְהַאי פֶּרֶץ אִיהוּ פָּרוּץ בְּעֶרְוָה דְאִיהוּ בֵין עַנְפָא וְעַנְפָא, וּבְגִין דָּא אִתְּמַר תַּמָּן </w:t>
      </w:r>
      <w:r>
        <w:rPr>
          <w:szCs w:val="23"/>
          <w:rtl/>
        </w:rPr>
        <w:t>(ויקרא יח ז)</w:t>
      </w:r>
      <w:r>
        <w:rPr>
          <w:rtl/>
        </w:rPr>
        <w:t xml:space="preserve"> לֹא תִקְרְבוּ לְגַלּוֹת עֶרְוָה, לַאו צָרִיךְ לְקָרְבָא אַתְוָון דְּאִינוּן יהו''ה בַּאֲתַר דְּעֶרְוָה, וְרָזָא דְעֶרְוָה אִתְרְמִיז בִּתְרֵין </w:t>
      </w:r>
      <w:r>
        <w:rPr>
          <w:szCs w:val="23"/>
          <w:rtl/>
        </w:rPr>
        <w:t>(בהדי)</w:t>
      </w:r>
      <w:r>
        <w:rPr>
          <w:rtl/>
        </w:rPr>
        <w:t xml:space="preserve"> אַתְוָון עִ''ר וָ''ה, עִ''ר - רַ''ע בְּעִינֵי יהו''ה </w:t>
      </w:r>
      <w:r>
        <w:rPr>
          <w:szCs w:val="23"/>
          <w:rtl/>
        </w:rPr>
        <w:t xml:space="preserve">(בראשית לח ז), </w:t>
      </w:r>
      <w:r>
        <w:rPr>
          <w:rStyle w:val="Char"/>
          <w:rtl/>
        </w:rPr>
        <w:t>וְאִלֵּין עַנְפִין</w:t>
      </w:r>
      <w:r>
        <w:rPr>
          <w:szCs w:val="23"/>
          <w:rtl/>
        </w:rPr>
        <w:t xml:space="preserve"> (לא)</w:t>
      </w:r>
      <w:r>
        <w:rPr>
          <w:rtl/>
        </w:rPr>
        <w:t xml:space="preserve"> אִתְפָּרְשׁוּ דִיְהֵא עֶרְוָה בֵּינַיְיהוּ, לַאו אִיהוּ אֶלָּא בַּר מֵאַתְרֵיהּ דְּקוּדְשָׁא בְּרִיךְ הוּא דְאִיהוּ אדנ''י, הֲדָא הוּא דִכְתִיב </w:t>
      </w:r>
      <w:r>
        <w:rPr>
          <w:szCs w:val="23"/>
          <w:rtl/>
        </w:rPr>
        <w:t>(תהלים ה ה)</w:t>
      </w:r>
      <w:r>
        <w:rPr>
          <w:rtl/>
        </w:rPr>
        <w:t xml:space="preserve"> לֹא יְגוּרְךָ רָע, דְּבִסְפִירָן תִּשְׁכַּח אָב וָאֵם וּבֵן כַּחֲדָא, בְּבִינָ''ה בֶּ''ן י''ה, וְלֵית תַּמָּן עֶרְוָה, וְתִשְׁכַּח </w:t>
      </w:r>
      <w:r w:rsidRPr="005F01B5">
        <w:rPr>
          <w:rStyle w:val="20"/>
          <w:rtl/>
        </w:rPr>
        <w:t>(דף צג ע''א)</w:t>
      </w:r>
      <w:r>
        <w:rPr>
          <w:szCs w:val="23"/>
          <w:rtl/>
        </w:rPr>
        <w:t xml:space="preserve"> </w:t>
      </w:r>
      <w:r>
        <w:rPr>
          <w:rtl/>
        </w:rPr>
        <w:t>לוֹן לְתַתָּא אָח וְאָחוֹת תַּרְוַיְיהוּ בְּיִחוּדָא, אָח אִיהוּ עַמּוּדָא דְאֶמְצָעִיתָא ד' אָחוֹת דִּילֵיהּ, וְתַרְוַיְיהוּ אִינוּן חַד בְּלָא פִרוּדָא, אַף עַל גַּב דְּצַדִּיק אִיהוּ יִחוּדָא דְכֻלְּהוּ.</w:t>
      </w:r>
    </w:p>
    <w:p w:rsidR="00602EF1" w:rsidRDefault="00602EF1" w:rsidP="005F01B5">
      <w:pPr>
        <w:pStyle w:val="NormalWeb"/>
        <w:rPr>
          <w:rtl/>
        </w:rPr>
      </w:pPr>
      <w:r>
        <w:rPr>
          <w:rtl/>
        </w:rPr>
        <w:t xml:space="preserve">אַדְהָכִי הָא אֵלִיָּהוּ קָא אִזְדַּמַּן לֵיהּ לְרַבִּי שִׁמְעוֹן, וְאָמַר לֵיהּ רַבִּי רַבִּי, שִׁעוּרָא דְעֶרְיָין הָכִי אִיהוּ וַדַּאי, בְּכָל סְפִירָן לֵית יִחוּדָא חַד בַּחֲבֶרְתָּה כְּגַוְונָא דִדְכַר וְנוּקְבָא אֶלָּא בַּצַּדִּיק, דְּיִחוּדָא דְתַרְוַיְיהוּ לַאו אִיהוּ בְּכָל אֵבָרִין דִּלְהוֹן אֶלָּא בִּבְרִית מִילָה, בִּשְׁאָר אֵבָרִין קוּרְבָא דְאַחֲוָה אִית תַּמָּן וְלַאו דְּיִחוּדָא, וְדָא אִיהוּ רָזָא דְאִילָנָא דְעַנְפּוֹי מִתְפָּרְשִׁין לְעִילָא בְכָל סִטְרָא, וְרָזָא דְמִלָּה וַתֵּשֶׁב בְּאֵיתָן קַשְׁתּוֹ </w:t>
      </w:r>
      <w:r>
        <w:rPr>
          <w:rStyle w:val="a7"/>
          <w:szCs w:val="29"/>
          <w:rtl/>
        </w:rPr>
        <w:footnoteReference w:id="4384"/>
      </w:r>
      <w:r>
        <w:rPr>
          <w:rtl/>
        </w:rPr>
        <w:t xml:space="preserve">וַיָּפוֹזּוּ זְרוֹעִי יָדָיו </w:t>
      </w:r>
      <w:r>
        <w:rPr>
          <w:szCs w:val="23"/>
          <w:rtl/>
        </w:rPr>
        <w:t>(בראשית מט כד)</w:t>
      </w:r>
      <w:r>
        <w:rPr>
          <w:rtl/>
        </w:rPr>
        <w:t>, אֲבָל לְתַתָּא כֻּלְּהוּ אֲגוּדָה אַחַת יִחוּדָא חָדָא, וּבְגִין דָּא לְתַתָּא בַּצַּדִּיק צָרִיךְ לְקָרְבָא אַתְוָון דְּיהו''ה עִם שְׁכִינְתֵּיהּ, דְּאִיהִי קוּרְבָא דִילָהּ קָרְבָּן לַיהו''ה.</w:t>
      </w:r>
    </w:p>
    <w:p w:rsidR="00602EF1" w:rsidRDefault="00602EF1" w:rsidP="005F01B5">
      <w:pPr>
        <w:pStyle w:val="NormalWeb"/>
        <w:rPr>
          <w:rtl/>
        </w:rPr>
      </w:pPr>
      <w:r>
        <w:rPr>
          <w:rtl/>
        </w:rPr>
        <w:t xml:space="preserve">וְהָכִי שְׁכִינְתָּא עִלָּאָה עִם חָכְמָה צָרִיךְ לְקָרְבָא לוֹן בַּצַּדִּיק, וְכָל עַנְפִין תַּמָּן מִתְיַחֲדִין וּמִתְקַשְּׁרִין וּמְשַׁלְּבִין, וּמְקַבְּלִין דָּא מִן דָּא, וְכֹלָּא עַל יְדָא דְצַדִּיק, וּבְלָא צַדִּיק לֵית קוּרְבָא דְיִחוּדָא, אֶלָּא אַחֲוָה, </w:t>
      </w:r>
      <w:r>
        <w:rPr>
          <w:rStyle w:val="a7"/>
          <w:szCs w:val="29"/>
          <w:rtl/>
        </w:rPr>
        <w:footnoteReference w:id="4385"/>
      </w:r>
      <w:r>
        <w:rPr>
          <w:rtl/>
        </w:rPr>
        <w:t xml:space="preserve">וּבְגִין דָּא חֶסֶד תַּמָּן אִתְקְרֵי בְּו"ה, ו' אָח (וְ)ה' אָחוֹת, אָח ו"ת, אָחוֹת מִסִּטְרָא דִימִינָא, וּבְהַאי אֲתַר אִתְּמַר </w:t>
      </w:r>
      <w:r>
        <w:rPr>
          <w:szCs w:val="23"/>
          <w:rtl/>
        </w:rPr>
        <w:t>(ויקרא כ יז)</w:t>
      </w:r>
      <w:r>
        <w:rPr>
          <w:rtl/>
        </w:rPr>
        <w:t xml:space="preserve"> וְאִישׁ אֲשֶׁר יִקַּח אֶת אֲחוֹתוֹ בַּת אָבִיו אוֹ בַת אִמּוֹ וְגוֹמֵר חֶסֶד הוּא, וְעִם כָּל דָּא דְחֶסֶד הוּא וְנִכְרְתוּ לְעִינֵי בְּנֵי עַמָּם, מָאן דִּמְחַבֵּר אַתְוָון בַּאֲתַר דְּפִרוּדָא כְּאִלּוּ אַפְרִישׁ בֵּינַיְיהוּ, וּבְגִין דָּא וְנִכְרְתוּ מִדָּה לָקֳבֵל מִדָּה.</w:t>
      </w:r>
    </w:p>
    <w:p w:rsidR="00602EF1" w:rsidRDefault="00602EF1" w:rsidP="005F01B5">
      <w:pPr>
        <w:pStyle w:val="NormalWeb"/>
        <w:rPr>
          <w:rtl/>
        </w:rPr>
      </w:pPr>
      <w:r>
        <w:rPr>
          <w:rtl/>
        </w:rPr>
        <w:t xml:space="preserve">וְהָכִי י''ה בִּימִינָא אִינוּן בְּאַחֲוָה, וְלֵית יִחוּדָא אֶלָּא עַל יְדֵי דְצַדִּיק, וּבְגִין דָּא בְּהַאי אֲתַר לָא תִקְרְבוּ לְגַלּוֹת עֶרְוָה </w:t>
      </w:r>
      <w:r>
        <w:rPr>
          <w:szCs w:val="23"/>
          <w:rtl/>
        </w:rPr>
        <w:t>(שם יח ו)</w:t>
      </w:r>
      <w:r>
        <w:rPr>
          <w:rtl/>
        </w:rPr>
        <w:t xml:space="preserve">, </w:t>
      </w:r>
      <w:r>
        <w:rPr>
          <w:rStyle w:val="a7"/>
          <w:szCs w:val="29"/>
          <w:rtl/>
        </w:rPr>
        <w:footnoteReference w:id="4386"/>
      </w:r>
      <w:r>
        <w:rPr>
          <w:rtl/>
        </w:rPr>
        <w:t xml:space="preserve">וְהָכִי בְּשׁוֹקָא יְמִינָא וּשְׂמָאלָא תַּמָּן אֱלֹהִים אֲחֵרִים, וְלָא צָרִיךְ לְקָרְבָא תַּמָּן אַתְוָון, בְּזִמְנָא דֶאֱלֹהִים אֲחֵרִים תַּמָּן דְּאִינוּן מִסִּטְרָא דַעֲבוֹדָה זָרָה, וְרָזָא דְמִלָּה וַיַּקְרִיבוּ לִפְנֵי יהו''ה אֵשׁ זָרָה </w:t>
      </w:r>
      <w:r>
        <w:rPr>
          <w:szCs w:val="23"/>
          <w:rtl/>
        </w:rPr>
        <w:t>(שם י א)</w:t>
      </w:r>
      <w:r>
        <w:rPr>
          <w:rtl/>
        </w:rPr>
        <w:t>.</w:t>
      </w:r>
    </w:p>
    <w:p w:rsidR="00602EF1" w:rsidRDefault="00602EF1" w:rsidP="005F01B5">
      <w:pPr>
        <w:pStyle w:val="NormalWeb"/>
        <w:rPr>
          <w:rtl/>
        </w:rPr>
      </w:pPr>
      <w:r>
        <w:rPr>
          <w:rtl/>
        </w:rPr>
        <w:t xml:space="preserve">וְכָל אִינוּן עֶרְיָין אִינוּן סמא''ל וְנָחָשׁ, דְּתָבְעִין לְמֶעֱבַד דִּינִין וּמְגַלִּין לוֹן קֳדָם יהו''ה, וּבְגִין דָּא אִתְקְרִיאוּ עֲרָיוֹת, </w:t>
      </w:r>
      <w:r>
        <w:rPr>
          <w:rStyle w:val="a7"/>
          <w:szCs w:val="29"/>
          <w:rtl/>
        </w:rPr>
        <w:footnoteReference w:id="4387"/>
      </w:r>
      <w:r>
        <w:rPr>
          <w:rtl/>
        </w:rPr>
        <w:t xml:space="preserve">וְדָא אִיהוּ רָזָא וְסוֹד אַחֵר אַל תְּגָל </w:t>
      </w:r>
      <w:r>
        <w:rPr>
          <w:szCs w:val="23"/>
          <w:rtl/>
        </w:rPr>
        <w:t>(משלי כה ט)</w:t>
      </w:r>
      <w:r>
        <w:rPr>
          <w:rtl/>
        </w:rPr>
        <w:t xml:space="preserve">, דְּדָא גְרִים גָּלוּת וְאִתְגְּלֵי בֵּין עַמְמַיָּא, מָאן דְּגָלֵי עֶרְיָתֵיהּ תַּמָּן הָכִי אִיהוּ אִתְגְּלֵי בֵּין עֶרְיָין דְּאִינוּן אֱלֹהִים אֲחֵרִים, וּמָאן דִּמְכַסֵּי עֲלַיְיהוּ הָכִי אִיהוּ אִתְכַּסֵּי בֵּינַיְיהוּ, וּבְגִין דָּא וְלֹא יְגַלֶּה כְּנַף אָבִיו, דָּא שְׁכִינְתָּא דְגָלַת בֵּין עַמְמַיָּא בְּגִין חוֹבָא דָא, כְּמָה דְאַתְּ אָמַר </w:t>
      </w:r>
      <w:r>
        <w:rPr>
          <w:szCs w:val="23"/>
          <w:rtl/>
        </w:rPr>
        <w:t>(ישעיה נ א)</w:t>
      </w:r>
      <w:r>
        <w:rPr>
          <w:rtl/>
        </w:rPr>
        <w:t xml:space="preserve"> וּבְפִשְׁעִיכֶם שֻׁלְּחָה אִמְּכֶם.</w:t>
      </w:r>
    </w:p>
    <w:p w:rsidR="00602EF1" w:rsidRDefault="00602EF1" w:rsidP="005F01B5">
      <w:pPr>
        <w:pStyle w:val="NormalWeb"/>
        <w:rPr>
          <w:rtl/>
        </w:rPr>
      </w:pPr>
      <w:r>
        <w:rPr>
          <w:rStyle w:val="a7"/>
          <w:szCs w:val="29"/>
          <w:rtl/>
        </w:rPr>
        <w:footnoteReference w:id="4388"/>
      </w:r>
      <w:r>
        <w:rPr>
          <w:rtl/>
        </w:rPr>
        <w:t xml:space="preserve">וְאַרְבַּע זִמְנִין גָּלַת שְׁכִינְתָּא בְּגָלוּתָא, בְּגִין דְּאַעִילוּ עֶרְוָה בֵּין אַרְבַּע אַתְוָון, וְאַף עַל גַּב דְּאִתְּמַר כָּל אִלֵּין עֶרְיָין בִּסְפִירָן וּבִשְׁמָא דְיהוָֹ''ה, לַאו בְּאַתְרֵיהּ דִּלְעִילָא, אֶלָּא כַּד שְׁכִינְתָּא גָלַת, כָּל סְפִירָן נָחֲתוּ עִמָּהּ, וְלֵית פִּרוּדָא בָהּ וּבֵין עֲשַׂר סְפִירָן, וְכַד נָחְתוּ אִתְלַבְּשׁוּ </w:t>
      </w:r>
      <w:r>
        <w:rPr>
          <w:rStyle w:val="a7"/>
          <w:szCs w:val="29"/>
          <w:rtl/>
        </w:rPr>
        <w:footnoteReference w:id="4389"/>
      </w:r>
      <w:r>
        <w:rPr>
          <w:rtl/>
        </w:rPr>
        <w:t>בְשִׁית יוֹמִין דְחוֹל שִׁית עַנְפִין, חֶסֶד בְּיוֹמָא קַדְמָאָה, גְּבוּרָה בְּיוֹמָא תִנְיָינָא, עַמּוּדָא דְאֶמְצָעִיתָא בְּיוֹמָא תְּלִיתָאָה, תְּלַת סְפִירָן תִּנְיָינִין בִּתְלַת יוֹמִין אָחֳרָנִין, דְּאִינוּן רְבִיעָאָה חֲמִשָּׁאָה וּשְׁתִיתָאָה.</w:t>
      </w:r>
    </w:p>
    <w:p w:rsidR="00602EF1" w:rsidRDefault="00602EF1" w:rsidP="005F01B5">
      <w:pPr>
        <w:pStyle w:val="NormalWeb"/>
        <w:rPr>
          <w:rtl/>
        </w:rPr>
      </w:pPr>
      <w:r>
        <w:rPr>
          <w:rtl/>
        </w:rPr>
        <w:t xml:space="preserve">וַעֲשַׂר אֲמִירָן דָּא י' אַבָּא, חָמֵשׁ אוֹר דָּא ה' אִימָּא, שִׁית זִמְנִין טוֹב ו' דְּאִית בְּשִׁית יוֹמֵי דְחוֹל, ה' דְּהַשִּׁשִּׁי ה' דְיהו''ה, </w:t>
      </w:r>
      <w:r>
        <w:rPr>
          <w:rStyle w:val="a7"/>
          <w:szCs w:val="29"/>
          <w:rtl/>
        </w:rPr>
        <w:footnoteReference w:id="4390"/>
      </w:r>
      <w:r>
        <w:rPr>
          <w:rtl/>
        </w:rPr>
        <w:t>רֹא''שׁ דִּבְּרֵאשִׁי''ת דָּא כֶתֶר רֵישָׁא דְכָל רֵישִׁין.</w:t>
      </w:r>
    </w:p>
    <w:p w:rsidR="00602EF1" w:rsidRDefault="00602EF1" w:rsidP="005F01B5">
      <w:pPr>
        <w:pStyle w:val="2"/>
        <w:rPr>
          <w:rtl/>
        </w:rPr>
      </w:pPr>
      <w:r>
        <w:rPr>
          <w:rtl/>
        </w:rPr>
        <w:t xml:space="preserve">[תיקוני זוהר - דף צג ע''ב] </w:t>
      </w:r>
    </w:p>
    <w:p w:rsidR="00602EF1" w:rsidRDefault="00602EF1" w:rsidP="005F01B5">
      <w:pPr>
        <w:pStyle w:val="NormalWeb"/>
        <w:rPr>
          <w:rtl/>
        </w:rPr>
      </w:pPr>
      <w:r>
        <w:rPr>
          <w:rtl/>
        </w:rPr>
        <w:t xml:space="preserve">וְאַמַּאי אִית פִּרוּדָא, </w:t>
      </w:r>
      <w:r>
        <w:rPr>
          <w:rStyle w:val="a7"/>
          <w:b w:val="0"/>
          <w:bCs w:val="0"/>
          <w:rtl/>
        </w:rPr>
        <w:footnoteReference w:id="4391"/>
      </w:r>
      <w:r>
        <w:rPr>
          <w:rtl/>
        </w:rPr>
        <w:t xml:space="preserve">בְגִין </w:t>
      </w:r>
      <w:r w:rsidRPr="005F01B5">
        <w:rPr>
          <w:rtl/>
        </w:rPr>
        <w:t>דְּלֵית</w:t>
      </w:r>
      <w:r>
        <w:rPr>
          <w:rtl/>
        </w:rPr>
        <w:t xml:space="preserve"> צַדִּיק אוֹת בְּרִית תַּמָּן, וְרָזָא דְמִלָּה אֵין אָדָם צַדִּיק בָּאָרֶץ דְּאִיהוּ אוֹת בְּרִית תַּמָּן, וּבְשַׁבָּת דְּאִיהוּ יוֹמָא שְׁבִיעָאָה תַּמָּן קְרִיבוּ וְיִחוּדָא דִשְׁמָא דְיהו''ה וְכָל סְפִירָן, וּבְגִין דָּא תַלְמִידֵי חֲכָמִים זִוּוּגַיְיהוּ מִלֵּילֵי שַׁבָּת לְלֵילֵי שַׁבָּת, הַאי עֶרְיָין אִינוּן וַדַּאי לְתַתָּא, אֲבָל לְעִילָא </w:t>
      </w:r>
      <w:r>
        <w:rPr>
          <w:rStyle w:val="Char"/>
          <w:rtl/>
        </w:rPr>
        <w:t>אִתְּמַר</w:t>
      </w:r>
      <w:r>
        <w:rPr>
          <w:szCs w:val="23"/>
          <w:rtl/>
        </w:rPr>
        <w:t xml:space="preserve"> </w:t>
      </w:r>
      <w:r>
        <w:rPr>
          <w:sz w:val="20"/>
          <w:szCs w:val="23"/>
          <w:rtl/>
        </w:rPr>
        <w:t>(תהלים ה ה)</w:t>
      </w:r>
      <w:r>
        <w:rPr>
          <w:rtl/>
        </w:rPr>
        <w:t xml:space="preserve"> לֹא יְגוּרְךָ רָע, וְצַדִּיק דְּקָרִיב לְאִתְּתֵיהּ בְּיוֹמִין דְּחוֹלָא, הַהוּא בֵּן דְּעָבִיד </w:t>
      </w:r>
      <w:r>
        <w:rPr>
          <w:rStyle w:val="a7"/>
          <w:b w:val="0"/>
          <w:bCs w:val="0"/>
          <w:rtl/>
        </w:rPr>
        <w:footnoteReference w:id="4392"/>
      </w:r>
      <w:r>
        <w:rPr>
          <w:rtl/>
        </w:rPr>
        <w:t xml:space="preserve">עֲלֵיהּ אִתְּמַר צַדִּיק וְרַע לוֹ, דְּגָרִים דְּאִתְעֲבִיד קֹדֶשׁ חוֹל דְּאִיהוּ יוֹם הַשְּׁבִיעִי, וּבְהַהוּא זִמְנָא אִיהוּ רָזָא דְצַדִּיק וְרַע לוֹ רָשָׁע </w:t>
      </w:r>
      <w:r>
        <w:rPr>
          <w:sz w:val="20"/>
          <w:szCs w:val="23"/>
          <w:rtl/>
        </w:rPr>
        <w:t xml:space="preserve">(דף צג ע''ב) </w:t>
      </w:r>
      <w:r>
        <w:rPr>
          <w:rtl/>
        </w:rPr>
        <w:t xml:space="preserve">וְטוֹב לוֹ, אֲבָל לְעִילָא לֵית עֶרְוָה וְקִצּוּץ וּפִרוּד וּפִרוּץ, וּבְגִין דָּא לְעִילָא אִית יִחוּדָא בְּאָח וְאָחוֹת, וּבְבֵן וּבְבַת, בְּאֵם עִם בֵּן, אִם כֵּן (לֵית לָךְ לִידְמֶה לְיוֹצְרָךְ) </w:t>
      </w:r>
      <w:r>
        <w:rPr>
          <w:rStyle w:val="a7"/>
          <w:b w:val="0"/>
          <w:bCs w:val="0"/>
          <w:rtl/>
        </w:rPr>
        <w:footnoteReference w:id="4393"/>
      </w:r>
      <w:r>
        <w:rPr>
          <w:rtl/>
        </w:rPr>
        <w:t xml:space="preserve">דְּאַנְתְּ הֲוִית גְּרִים דְּלָא תְהֵא בְּדִיּוֹקְנָא דִילֵיהּ לְעִילָא, כְּמָה דְאַתְּ אָמַר </w:t>
      </w:r>
      <w:r>
        <w:rPr>
          <w:sz w:val="20"/>
          <w:szCs w:val="23"/>
          <w:rtl/>
        </w:rPr>
        <w:t>(ישעיה נט ב)</w:t>
      </w:r>
      <w:r>
        <w:rPr>
          <w:rtl/>
        </w:rPr>
        <w:t xml:space="preserve"> כִּי אִם עֲוֹנוֹתֵיכֶם הָיוּ מַבְדִּילִים בֵּינֵיכֶם לְבֵין אלהיכ''ם.</w:t>
      </w:r>
    </w:p>
    <w:p w:rsidR="00602EF1" w:rsidRDefault="00602EF1" w:rsidP="005F01B5">
      <w:pPr>
        <w:pStyle w:val="NormalWeb"/>
        <w:rPr>
          <w:rtl/>
        </w:rPr>
      </w:pPr>
      <w:r>
        <w:rPr>
          <w:rtl/>
        </w:rPr>
        <w:t xml:space="preserve">וְתָא חֲזִי בְּשַׁעְתָּא דְבָעָא קוּדְשָׁא בְּרִיךְ הוּא לְמִבְרֵי אָדָם, הָכִי הֲוָה בָּעִי לְמֶעֱבַד לֵיהּ כְּגַוְונָא דְּדִיּוֹקְנָא דִילֵיהּ, בְּלָא עֶרְוָה וּבְלָא פֶרֶץ וּפִירוּד, כְּמָה דְאַתְּ אָמַר </w:t>
      </w:r>
      <w:r>
        <w:rPr>
          <w:sz w:val="20"/>
          <w:szCs w:val="23"/>
          <w:rtl/>
        </w:rPr>
        <w:t>(בראשית א כו)</w:t>
      </w:r>
      <w:r>
        <w:rPr>
          <w:rtl/>
        </w:rPr>
        <w:t xml:space="preserve"> נַעֲשֶׂה אָדָם בְּצַלְמֵנוּ כִּדְמוּתֵנוּ, לְמֶהֱוִי כָּל סְפִירָן כְּלִילָן בֵּיהּ, בְּלָא פִרוּד וְקִצּוּץ, וּלְאִתְיַחֲדָא בֵּן עִם בַּת דְּאִינוּן אַחִים, דַּעֲלַיְיהוּ אִתְּמַר אַחִים תְּאוֹמִים, הֲדָא הוּא דִכְתִיב </w:t>
      </w:r>
      <w:r>
        <w:rPr>
          <w:sz w:val="20"/>
          <w:szCs w:val="23"/>
          <w:rtl/>
        </w:rPr>
        <w:t>(שמות כו כד)</w:t>
      </w:r>
      <w:r>
        <w:rPr>
          <w:rtl/>
        </w:rPr>
        <w:t xml:space="preserve"> וְיִהְיוּ תוֹאֲמִים מִלְּמַטָּה וְיַחְדָּיו יִהְיוּ תַמִּים עַל רֹאשׁוֹ, בְּאָן אֲתַר, אֶל הַטַּבַּעַת </w:t>
      </w:r>
      <w:r>
        <w:rPr>
          <w:sz w:val="20"/>
          <w:szCs w:val="23"/>
          <w:rtl/>
        </w:rPr>
        <w:t>(שם)</w:t>
      </w:r>
      <w:r>
        <w:rPr>
          <w:rtl/>
        </w:rPr>
        <w:t xml:space="preserve">, דָּא טַבַּעַת דְּאוֹת בְּרִית מִילָה, דְאִיהוּ שִׁיעוּר לְכָל עֶרְיָין לְתַתָּא, וְשִׁעוּר דְּיִחוּדָא לְעִילָא, וּלְעִילָא אִתְּמַר בֵּיהּ </w:t>
      </w:r>
      <w:r>
        <w:rPr>
          <w:sz w:val="20"/>
          <w:szCs w:val="23"/>
          <w:rtl/>
        </w:rPr>
        <w:t>(בראשית ג כב)</w:t>
      </w:r>
      <w:r>
        <w:rPr>
          <w:rtl/>
        </w:rPr>
        <w:t xml:space="preserve"> וְלָקַח גַּם מֵעִץ הַחַיִּים וְאָכַל וָחַי לְעוֹלָם, אֲבָל לְתַתָּא אִתְּמַר בֵּיהּ וּמֵעִץ הַדַּעַת טוֹב וָרָע לֹא תֹאכַל מִמֶּנּוּ, לָא תְעָרֵב בְּיִחוּדָא טוֹב עִם רָע, וְאִם לַאו </w:t>
      </w:r>
      <w:r>
        <w:rPr>
          <w:sz w:val="20"/>
          <w:szCs w:val="23"/>
          <w:rtl/>
        </w:rPr>
        <w:t>(שם ב יז)</w:t>
      </w:r>
      <w:r>
        <w:rPr>
          <w:rtl/>
        </w:rPr>
        <w:t xml:space="preserve"> מוֹת תָּמוּת, אִתְּמַר הָכָא מוֹת תָּמוּת </w:t>
      </w:r>
      <w:r>
        <w:rPr>
          <w:rStyle w:val="a7"/>
          <w:b w:val="0"/>
          <w:bCs w:val="0"/>
          <w:rtl/>
        </w:rPr>
        <w:footnoteReference w:id="4394"/>
      </w:r>
      <w:r>
        <w:rPr>
          <w:rtl/>
        </w:rPr>
        <w:t xml:space="preserve">וְאִתְּמַר בְּשַׁבָּת </w:t>
      </w:r>
      <w:r>
        <w:rPr>
          <w:sz w:val="20"/>
          <w:szCs w:val="23"/>
          <w:rtl/>
        </w:rPr>
        <w:t>(שמות לא יד)</w:t>
      </w:r>
      <w:r>
        <w:rPr>
          <w:rtl/>
        </w:rPr>
        <w:t xml:space="preserve"> מְחַלְלֶיהָ מוֹת יוּמָת.</w:t>
      </w:r>
    </w:p>
    <w:p w:rsidR="00602EF1" w:rsidRDefault="00602EF1" w:rsidP="005F01B5">
      <w:pPr>
        <w:pStyle w:val="NormalWeb"/>
        <w:rPr>
          <w:rtl/>
        </w:rPr>
      </w:pPr>
      <w:r>
        <w:rPr>
          <w:rtl/>
        </w:rPr>
        <w:t xml:space="preserve">וְאָדָם וַדַּאי אִתְעֲבִיד בְּדִיּוֹקְנָא דִלְעִילָא, וְעָבַד תַּמָּן פִּרוּדָא, וְאִתְפָּרֵישׁ מִתַּמָּן, אָמַר לֵיהּ רַבִּי אֶלְעָזָר אַבָּא אֵיךְ אִתְעֲבִיד בְּדִיּוֹקְנָא דִלְעִילָא, דְּהָא שְׁמַעְנָא כַמָּה דֵעוֹת תַּמָּן, אָמַר לֵיהּ בְּרִי, כַּד אִתְעֲבִיד, כֻּלְּהוּ סְפִירָן אִתְכְּלִילוּ בְּדִיּוֹקְנָא דְנִשְׁמָתֵיהּ, וְנִשְׁמָתֵיהּ הֲוָה מֶרְכָּבָה לוֹן, דַּעֲלָהּ אִתְּמַר </w:t>
      </w:r>
      <w:r>
        <w:rPr>
          <w:sz w:val="20"/>
          <w:szCs w:val="23"/>
          <w:rtl/>
        </w:rPr>
        <w:t>(בראשית א כז)</w:t>
      </w:r>
      <w:r>
        <w:rPr>
          <w:rtl/>
        </w:rPr>
        <w:t xml:space="preserve"> וַיִּבְרָא אלהי''ם אֶת הָאָדָם בְּצַלְמוֹ, כְּגַוְונָא דְעֶשֶׂר סְפִירוֹת בְּלִימָה, וְכֻלְּהוּ גַוָּונִין דִּנְהוֹרִין הֲווֹ נָהֲרִין בְּנִשְׁמָתֵיהּ, </w:t>
      </w:r>
      <w:r>
        <w:rPr>
          <w:rStyle w:val="a7"/>
          <w:b w:val="0"/>
          <w:bCs w:val="0"/>
          <w:rtl/>
        </w:rPr>
        <w:footnoteReference w:id="4395"/>
      </w:r>
      <w:r>
        <w:rPr>
          <w:rtl/>
        </w:rPr>
        <w:t xml:space="preserve">וַהֲווֹ </w:t>
      </w:r>
      <w:r w:rsidRPr="005F01B5">
        <w:rPr>
          <w:rtl/>
        </w:rPr>
        <w:t>נְהִירִין</w:t>
      </w:r>
      <w:r>
        <w:rPr>
          <w:rtl/>
        </w:rPr>
        <w:t xml:space="preserve"> עַל אַנְפּוֹי, וּמִנֵּיהּ הֲווֹ מִזְדַעְזְעִין עִלָּאִין וְתַתָּאִין, וַהֲווֹ סָגְדִין לֵיהּ בְּגִין אִלֵּין נְהוֹרִין דַּהֲווֹ נְהִירִין בֵּיהּ כְּגַוְונָא דִּלְעִילָא עַד דַּהֲוָה אָמַר אִיהוּ בּוֹאוּ נִשְׁתַּחֲוְה וְנִכְרָעָה נִבְרְכָה לִפְנֵי יהו''ה עוֹשֵׂנוּ </w:t>
      </w:r>
      <w:r>
        <w:rPr>
          <w:sz w:val="20"/>
          <w:szCs w:val="23"/>
          <w:rtl/>
        </w:rPr>
        <w:t>(תהלים צה ו)</w:t>
      </w:r>
      <w:r>
        <w:rPr>
          <w:rtl/>
        </w:rPr>
        <w:t xml:space="preserve">, </w:t>
      </w:r>
      <w:r>
        <w:rPr>
          <w:rStyle w:val="a7"/>
          <w:b w:val="0"/>
          <w:bCs w:val="0"/>
          <w:rtl/>
        </w:rPr>
        <w:footnoteReference w:id="4396"/>
      </w:r>
      <w:r>
        <w:rPr>
          <w:rtl/>
        </w:rPr>
        <w:t>וּבְהַהוּא זִמְנָא הֲוָה אִיהוּ שַׁלִּיט עַל כָּל הֲמוֹנֵי עִילָא וְתַתָּא.</w:t>
      </w:r>
    </w:p>
    <w:p w:rsidR="00602EF1" w:rsidRDefault="00602EF1" w:rsidP="005F01B5">
      <w:pPr>
        <w:pStyle w:val="NormalWeb"/>
        <w:rPr>
          <w:rtl/>
        </w:rPr>
      </w:pPr>
      <w:r>
        <w:rPr>
          <w:rStyle w:val="a7"/>
          <w:b w:val="0"/>
          <w:bCs w:val="0"/>
          <w:rtl/>
        </w:rPr>
        <w:footnoteReference w:id="4397"/>
      </w:r>
      <w:r>
        <w:rPr>
          <w:rtl/>
        </w:rPr>
        <w:t xml:space="preserve">גַּוָּון אוּכָּם דְּעִינָא וְשַׂעֲרוֹי אוּכְמִין וְכָל גַּוָּונִין אוּכְמִין שַׁפִּירִין, אִתְיְיהִיבָן בֵּיהּ מִסִּטְרָא דְאִימָּא, חִוְורוּ דְעִינָא וְחִוְורוּ דְאַנְפִּין וְחִוְורוּ דְמוֹחָא וְחִוְורוּ דְגָרְמִין, אִתְיְיהִיבַת בֵּיהּ מִסִּטְרָא דְאַבָּא, דְּהָכִי אוּקְמוּהוּ מָארֵי מַתְנִיתִין, דְּלוֹבֶן שֶׁבְּעַיִן וּמוֹחָא וַעֲצָמוֹת אִתְיְיהִיבוּ מֵאַבָּא, וְאוּכְמוּ דְעִינָא וְשַׂעֲרָא אִתְיְיהִיבוּ מֵאִימָּא, וְחִוְורוּ וְאוּכְמוּ תַּרְוַיְיהוּ אִשְׁתַּכְּחוּ </w:t>
      </w:r>
      <w:r w:rsidRPr="005F01B5">
        <w:rPr>
          <w:rtl/>
        </w:rPr>
        <w:t>מִכִּתְרָא</w:t>
      </w:r>
      <w:r>
        <w:rPr>
          <w:rtl/>
        </w:rPr>
        <w:t xml:space="preserve"> עִלָּאָה, </w:t>
      </w:r>
      <w:r>
        <w:rPr>
          <w:rStyle w:val="a7"/>
          <w:b w:val="0"/>
          <w:bCs w:val="0"/>
          <w:rtl/>
        </w:rPr>
        <w:footnoteReference w:id="4398"/>
      </w:r>
      <w:r>
        <w:rPr>
          <w:rtl/>
        </w:rPr>
        <w:t xml:space="preserve">אוּכְמוּ מִלְּבָר וְחִוְורוּ מִלְּגָו, וַעֲלֵיהּ אִתְּמַר </w:t>
      </w:r>
      <w:r>
        <w:rPr>
          <w:sz w:val="20"/>
          <w:szCs w:val="23"/>
          <w:rtl/>
        </w:rPr>
        <w:t>(איוב לז כא)</w:t>
      </w:r>
      <w:r>
        <w:rPr>
          <w:rtl/>
        </w:rPr>
        <w:t xml:space="preserve"> וְעַתָּה לֹא רָאוּ אוֹר בָּהִיר הוּא בַּשְּׁחָקִים, וְכָתוּב אַחֵר אוֹמֵר </w:t>
      </w:r>
      <w:r>
        <w:rPr>
          <w:sz w:val="20"/>
          <w:szCs w:val="23"/>
          <w:rtl/>
        </w:rPr>
        <w:t>(תהלים יח יב)</w:t>
      </w:r>
      <w:r>
        <w:rPr>
          <w:rtl/>
        </w:rPr>
        <w:t xml:space="preserve"> יָשֶׁת חֹשֶׁךְ סִתְרוֹ.</w:t>
      </w:r>
    </w:p>
    <w:p w:rsidR="00602EF1" w:rsidRDefault="00602EF1" w:rsidP="005F01B5">
      <w:pPr>
        <w:pStyle w:val="2"/>
        <w:rPr>
          <w:rtl/>
        </w:rPr>
      </w:pPr>
      <w:r>
        <w:rPr>
          <w:rtl/>
        </w:rPr>
        <w:t xml:space="preserve">[תיקוני זוהר - דף צד ע''א] </w:t>
      </w:r>
    </w:p>
    <w:p w:rsidR="00602EF1" w:rsidRDefault="00602EF1" w:rsidP="005F01B5">
      <w:pPr>
        <w:pStyle w:val="NormalWeb"/>
        <w:rPr>
          <w:rtl/>
        </w:rPr>
      </w:pPr>
      <w:r>
        <w:rPr>
          <w:rtl/>
        </w:rPr>
        <w:t xml:space="preserve">וְהָא אוּקְמוּהוּ </w:t>
      </w:r>
      <w:r w:rsidRPr="005F01B5">
        <w:rPr>
          <w:rtl/>
        </w:rPr>
        <w:t>חַבְרַיָּא</w:t>
      </w:r>
      <w:r>
        <w:rPr>
          <w:rtl/>
        </w:rPr>
        <w:t xml:space="preserve">, אוּכְמוּ נוּקְבָא לְחִוְורוּ, וְאוֹרַיְיתָא מִתַּמָּן אִיהִי חִוְורוּ מִלְּגָאו אוּכְמוּ מִלְּבָר, וּלְעִילָא אַבָּא וְאִימָּא אָמְרוּ עַל עַמּוּדָא דְאֶמְצָעִיתָא וּשְׁכִינְתֵּיהּ נַעֲשֶׂה אָדָם בְּצַלְמֵנוּ כִּדְמוּתֵנוּ </w:t>
      </w:r>
      <w:r>
        <w:rPr>
          <w:sz w:val="20"/>
          <w:szCs w:val="23"/>
          <w:rtl/>
        </w:rPr>
        <w:t>(בראשית א כו)</w:t>
      </w:r>
      <w:r>
        <w:rPr>
          <w:rtl/>
        </w:rPr>
        <w:t xml:space="preserve">, עַמּוּדָא דְאֶמְצָעִיתָא בְחִוְורוּ, וּשְׁכִינְתָּא בְאוּכְמוּ, הֲדָא הוּא דִכְתִיב </w:t>
      </w:r>
      <w:r>
        <w:rPr>
          <w:sz w:val="20"/>
          <w:szCs w:val="23"/>
          <w:rtl/>
        </w:rPr>
        <w:t>(שיר א ה)</w:t>
      </w:r>
      <w:r>
        <w:rPr>
          <w:rtl/>
        </w:rPr>
        <w:t xml:space="preserve"> שְׁחוֹרָה אֲנִי וְנָאוָה, </w:t>
      </w:r>
      <w:r>
        <w:rPr>
          <w:rStyle w:val="a7"/>
          <w:b w:val="0"/>
          <w:bCs w:val="0"/>
          <w:rtl/>
        </w:rPr>
        <w:footnoteReference w:id="4399"/>
      </w:r>
      <w:r>
        <w:rPr>
          <w:rtl/>
        </w:rPr>
        <w:t xml:space="preserve">וְתָא חֲזִי אִימָּא עִלָּאָה הֲוַת אוּכְמָא קֳדָם הַהוּא נְהוֹרָא דִלְגָאו מִינָהּ, </w:t>
      </w:r>
      <w:r>
        <w:rPr>
          <w:rStyle w:val="a7"/>
          <w:b w:val="0"/>
          <w:bCs w:val="0"/>
          <w:rtl/>
        </w:rPr>
        <w:footnoteReference w:id="4400"/>
      </w:r>
      <w:r>
        <w:rPr>
          <w:rtl/>
        </w:rPr>
        <w:t xml:space="preserve">אֲבָל כַּד נָחְתָא לְתַתָּא אִתְחֲזִיַית </w:t>
      </w:r>
      <w:r>
        <w:rPr>
          <w:rStyle w:val="a7"/>
          <w:b w:val="0"/>
          <w:bCs w:val="0"/>
          <w:rtl/>
        </w:rPr>
        <w:footnoteReference w:id="4401"/>
      </w:r>
      <w:r>
        <w:rPr>
          <w:rtl/>
        </w:rPr>
        <w:t xml:space="preserve">גַּוְונָהָא בְחָמֵשׁ סְפִירָן, דְּאִינוּן ה' עַנְפִין דְּאִילָנָא, דְּרוֹעָא יְמִינָא וּשְׂמָאלָא וְגוּף וּתְרֵין שׁוֹקִין, צַדִּיק נָטִיל כָּל גַּוָּונִין, וְהָכִי שְׁכִינְתָּא תַּתָּאָה אִתְחֲזִיַית בְּחָמֵשׁ גַּוָּונִין מִתַּתָּא לְעִילָא, הֲדָא הוּא דִכְתִיב </w:t>
      </w:r>
      <w:r>
        <w:rPr>
          <w:sz w:val="20"/>
          <w:szCs w:val="23"/>
          <w:rtl/>
        </w:rPr>
        <w:t>(בראשית ט טז)</w:t>
      </w:r>
      <w:r>
        <w:rPr>
          <w:rtl/>
        </w:rPr>
        <w:t xml:space="preserve"> וּרְאִיתִיהָ לִזְכּוֹר בְּרִית עוֹלָם, וּרְאִיתִיהָ בְגַוָּונִין נְהִירִין, וְאִלֵּין גַּוָּונִין </w:t>
      </w:r>
      <w:r>
        <w:rPr>
          <w:rStyle w:val="a7"/>
          <w:b w:val="0"/>
          <w:bCs w:val="0"/>
          <w:rtl/>
        </w:rPr>
        <w:footnoteReference w:id="4402"/>
      </w:r>
      <w:r>
        <w:rPr>
          <w:rtl/>
        </w:rPr>
        <w:t xml:space="preserve">דְּחָמֵשׁ סְפִירָן, וַעֲלַיְיהוּ אִתְּמַר </w:t>
      </w:r>
      <w:r>
        <w:rPr>
          <w:sz w:val="20"/>
          <w:szCs w:val="23"/>
          <w:rtl/>
        </w:rPr>
        <w:t>(שמות כה ד)</w:t>
      </w:r>
      <w:r>
        <w:rPr>
          <w:rtl/>
        </w:rPr>
        <w:t xml:space="preserve"> וּתְכֵלֶת וְאַרְגָּמָן וְתוֹלַעַת שָׁנִי וְשֵׁשׁ וְעִזִּים, וּכְמָה דְּאִתְכְּלִילָן כָּל גַּוָּונִין מֵעִילָא לְתַתָּא בַּצַּדִּיק, הָכִי אִתְכְּלִילָן כָּל גַּוָּונִין מִתַּתָּא לְעִילָא </w:t>
      </w:r>
      <w:r>
        <w:rPr>
          <w:sz w:val="20"/>
          <w:szCs w:val="23"/>
          <w:rtl/>
        </w:rPr>
        <w:t xml:space="preserve">(דף צד ע''א) </w:t>
      </w:r>
      <w:r>
        <w:rPr>
          <w:rtl/>
        </w:rPr>
        <w:t xml:space="preserve">בְּעַמּוּדָא דְאֶמְצָעִיתָא. </w:t>
      </w:r>
    </w:p>
    <w:p w:rsidR="00602EF1" w:rsidRDefault="00602EF1" w:rsidP="005F01B5">
      <w:pPr>
        <w:pStyle w:val="NormalWeb"/>
        <w:rPr>
          <w:rtl/>
        </w:rPr>
      </w:pPr>
      <w:r>
        <w:rPr>
          <w:rStyle w:val="a7"/>
          <w:b w:val="0"/>
          <w:bCs w:val="0"/>
          <w:rtl/>
        </w:rPr>
        <w:footnoteReference w:id="4403"/>
      </w:r>
      <w:r>
        <w:rPr>
          <w:rtl/>
        </w:rPr>
        <w:t xml:space="preserve">תָּא חֲזִי אַרְבַּע עַנְפִין רַבְרְבִין הֲווֹ בְאִילָנָא, וְאִינוּן הֲווֹ תְרֵין דְּרוֹעִין וּתְרֵין שׁוֹקִין, וְכֻלְּהוּ בְשִׁעוּרָא דְאָת ו' עִלָּאָה, וּבְכָל אַמָּה ה' עַנְפִין זְעִירִין דְּאִינוּן זֶרֶת, דְּאִתְּמַר בֵּיהּ </w:t>
      </w:r>
      <w:r>
        <w:rPr>
          <w:sz w:val="20"/>
          <w:szCs w:val="23"/>
          <w:rtl/>
        </w:rPr>
        <w:t>(ישעיה מ ב)</w:t>
      </w:r>
      <w:r>
        <w:rPr>
          <w:rtl/>
        </w:rPr>
        <w:t xml:space="preserve"> וְשָׁמַיִם בַּזֶּרֶת תִּכֵּן, וְאִינוּן שִׁעוּרָא דְה', וְעַל ה' עַנְפִין הֲוָה י' דְּאִיהוּ כַּף הַיָּד, וְדָא אִיבָּא דְאִילָנָא, וְכַמָּה שִׁרְטוּטִין מְרַקְּמָן בְּכַף דְּיָד, דְּאִינוּן גַּוָּונִין </w:t>
      </w:r>
      <w:r w:rsidRPr="005F01B5">
        <w:rPr>
          <w:rtl/>
        </w:rPr>
        <w:t>שַׁפִּירִין</w:t>
      </w:r>
      <w:r>
        <w:rPr>
          <w:rtl/>
        </w:rPr>
        <w:t xml:space="preserve"> דְּאִיבָּא, </w:t>
      </w:r>
      <w:r>
        <w:rPr>
          <w:rStyle w:val="a7"/>
          <w:b w:val="0"/>
          <w:bCs w:val="0"/>
          <w:rtl/>
        </w:rPr>
        <w:footnoteReference w:id="4404"/>
      </w:r>
      <w:r>
        <w:rPr>
          <w:rtl/>
        </w:rPr>
        <w:t xml:space="preserve">דִּבְהוֹן אִתְפַּתְּחַת שׁוֹשַׁנָּה דְאִתְעֲבִידַת מִינָהּ אִיבָּא, </w:t>
      </w:r>
      <w:r>
        <w:rPr>
          <w:rStyle w:val="a7"/>
          <w:b w:val="0"/>
          <w:bCs w:val="0"/>
          <w:rtl/>
        </w:rPr>
        <w:footnoteReference w:id="4405"/>
      </w:r>
      <w:r>
        <w:rPr>
          <w:rtl/>
        </w:rPr>
        <w:t xml:space="preserve">וְאִינוּן כַּפְתּוֹר וָפֶרַח, </w:t>
      </w:r>
      <w:r>
        <w:rPr>
          <w:rStyle w:val="a7"/>
          <w:b w:val="0"/>
          <w:bCs w:val="0"/>
          <w:rtl/>
        </w:rPr>
        <w:footnoteReference w:id="4406"/>
      </w:r>
      <w:r>
        <w:rPr>
          <w:rtl/>
        </w:rPr>
        <w:t>שִׁשָׁה קָּנִים יּוֹצְאִים מִן הַמְּנוֹרָה, וְאִלֵּין תְּלַת גָּרְמִין בִּדְרוֹעָא יְמִינָא, וּתְלַת בִּדְרוֹעָא שְׂמָאלָא, מְנַרְתָּא גוּפָא דְאֶמְצָעִיתָא.</w:t>
      </w:r>
    </w:p>
    <w:p w:rsidR="00602EF1" w:rsidRDefault="00602EF1" w:rsidP="005F01B5">
      <w:pPr>
        <w:pStyle w:val="NormalWeb"/>
        <w:rPr>
          <w:rtl/>
        </w:rPr>
      </w:pPr>
      <w:r>
        <w:rPr>
          <w:rtl/>
        </w:rPr>
        <w:t xml:space="preserve">בְּרִי בְכָל אִלֵּין תִּקּוּנִין בָּרָא לְאָדָם וּבַת זוּגֵיהּ, </w:t>
      </w:r>
      <w:r>
        <w:rPr>
          <w:sz w:val="20"/>
          <w:szCs w:val="23"/>
          <w:rtl/>
        </w:rPr>
        <w:t>(ואי)</w:t>
      </w:r>
      <w:r>
        <w:rPr>
          <w:rtl/>
        </w:rPr>
        <w:t xml:space="preserve"> </w:t>
      </w:r>
      <w:r>
        <w:rPr>
          <w:rStyle w:val="a7"/>
          <w:b w:val="0"/>
          <w:bCs w:val="0"/>
          <w:rtl/>
        </w:rPr>
        <w:footnoteReference w:id="4407"/>
      </w:r>
      <w:r>
        <w:rPr>
          <w:rtl/>
        </w:rPr>
        <w:t xml:space="preserve">וְאִיהוּ עָבַד פִּרוּדָא לְעִילָא בֵּין קוּדְשָׁא בְּרִיךְ הוּא וּשְׁכִינְתֵּיהּ, דְּגָרִים לְסַלְקָא שְׁכִינְתא מִקּוּדְשָׁא בְּרִיךְ הוּא, הָכִי קוּדְשָׁא בְּרִיךְ הוּא </w:t>
      </w:r>
      <w:r>
        <w:rPr>
          <w:rStyle w:val="a7"/>
          <w:b w:val="0"/>
          <w:bCs w:val="0"/>
          <w:rtl/>
        </w:rPr>
        <w:footnoteReference w:id="4408"/>
      </w:r>
      <w:r>
        <w:rPr>
          <w:rtl/>
        </w:rPr>
        <w:t xml:space="preserve">סָלִיק מִנֵּיהּ בַּת זוּגֵיהּ, וְאִסְתַּלַּק קוּדְשָׁא בְּרִיךְ הוּא מִנֵּיהּ, דְּבַאֲתַר דְּלָא שַׁרְיָא שְׁכִינְתָּא תַמָּן, קוּדְשָׁא בְּרִיךְ הוּא לָא שַׁרְיָא תַמָּן, וּמְנָלָן </w:t>
      </w:r>
      <w:r w:rsidRPr="005F01B5">
        <w:rPr>
          <w:rtl/>
        </w:rPr>
        <w:t>דְּאִסְתַּלִּיק</w:t>
      </w:r>
      <w:r>
        <w:rPr>
          <w:rtl/>
        </w:rPr>
        <w:t xml:space="preserve"> בַּת זוּגֵיהּ מִנֵּיהּ, </w:t>
      </w:r>
      <w:r>
        <w:rPr>
          <w:rStyle w:val="a7"/>
          <w:b w:val="0"/>
          <w:bCs w:val="0"/>
          <w:rtl/>
        </w:rPr>
        <w:footnoteReference w:id="4409"/>
      </w:r>
      <w:r>
        <w:rPr>
          <w:rtl/>
        </w:rPr>
        <w:t xml:space="preserve">כְּמָה דְאַתְּ אָמַר </w:t>
      </w:r>
      <w:r>
        <w:rPr>
          <w:sz w:val="20"/>
          <w:szCs w:val="23"/>
          <w:rtl/>
        </w:rPr>
        <w:t>(בראשית ב יח)</w:t>
      </w:r>
      <w:r>
        <w:rPr>
          <w:rtl/>
        </w:rPr>
        <w:t xml:space="preserve"> וַיֹּאמֶר יהו''ה לֹא טוֹב היוֹת הָאָדָם לְבַדּוֹ, </w:t>
      </w:r>
      <w:r>
        <w:rPr>
          <w:rStyle w:val="a7"/>
          <w:b w:val="0"/>
          <w:bCs w:val="0"/>
          <w:rtl/>
        </w:rPr>
        <w:footnoteReference w:id="4410"/>
      </w:r>
      <w:r>
        <w:rPr>
          <w:rtl/>
        </w:rPr>
        <w:t xml:space="preserve">וְדָא גָרִים לְיַעֲקֹב דְּאִתְּמַר בֵּיהּ </w:t>
      </w:r>
      <w:r>
        <w:rPr>
          <w:sz w:val="20"/>
          <w:szCs w:val="23"/>
          <w:rtl/>
        </w:rPr>
        <w:t>(שם לב כה)</w:t>
      </w:r>
      <w:r>
        <w:rPr>
          <w:rtl/>
        </w:rPr>
        <w:t xml:space="preserve"> וַיִּוָּתֵר יַעֲקֹב לְבַדּוֹ, וּבְהַהוּא זִמְנָא נָצַח לֵיהּ סמא''ל, וַיִּגַּע בְּכַף יְרֵיכוֹ </w:t>
      </w:r>
      <w:r>
        <w:rPr>
          <w:sz w:val="20"/>
          <w:szCs w:val="23"/>
          <w:rtl/>
        </w:rPr>
        <w:t>(שם כו)</w:t>
      </w:r>
      <w:r>
        <w:rPr>
          <w:rtl/>
        </w:rPr>
        <w:t xml:space="preserve">, </w:t>
      </w:r>
      <w:r>
        <w:rPr>
          <w:rStyle w:val="a7"/>
          <w:b w:val="0"/>
          <w:bCs w:val="0"/>
          <w:rtl/>
        </w:rPr>
        <w:footnoteReference w:id="4411"/>
      </w:r>
      <w:r>
        <w:rPr>
          <w:rtl/>
        </w:rPr>
        <w:t xml:space="preserve">בְּאָן אֲתַר פָּרַח בְּגִיד הַנָּשֶׁה, דְּפָרַח י' מִגִּיד הַנָּשֶׁה דְאִיהִי י' דְּיַעֲקֹב, וְאִשְׁתָּאַר אִיהוּ עָקֵב, דְאִיהוּ דָשׁ בְּעָקֵב, וְדָא רָזָא וְיָדוֹ אוֹחֶזֶת בַּעֲקֵב עִשָׂו </w:t>
      </w:r>
      <w:r>
        <w:rPr>
          <w:sz w:val="20"/>
          <w:szCs w:val="23"/>
          <w:rtl/>
        </w:rPr>
        <w:t>(שם כה כו)</w:t>
      </w:r>
      <w:r>
        <w:rPr>
          <w:rtl/>
        </w:rPr>
        <w:t xml:space="preserve"> </w:t>
      </w:r>
      <w:r>
        <w:rPr>
          <w:sz w:val="20"/>
          <w:szCs w:val="23"/>
          <w:rtl/>
        </w:rPr>
        <w:t>(דאיהו דש בעקב בגלותא ובעולא דמלכותא דשבעין אומין דהוא לזנב ולא לראש)</w:t>
      </w:r>
      <w:r>
        <w:rPr>
          <w:rtl/>
        </w:rPr>
        <w:t>.</w:t>
      </w:r>
    </w:p>
    <w:p w:rsidR="00602EF1" w:rsidRDefault="00602EF1" w:rsidP="005F01B5">
      <w:pPr>
        <w:pStyle w:val="NormalWeb"/>
        <w:rPr>
          <w:rtl/>
        </w:rPr>
      </w:pPr>
      <w:r>
        <w:rPr>
          <w:rStyle w:val="a7"/>
          <w:b w:val="0"/>
          <w:bCs w:val="0"/>
          <w:rtl/>
        </w:rPr>
        <w:footnoteReference w:id="4412"/>
      </w:r>
      <w:r>
        <w:rPr>
          <w:rtl/>
        </w:rPr>
        <w:t xml:space="preserve">כְּמָה דְגָרִים אָדָם דִּשְׁכִינְתָּא אִתְפָּרְשַׁת מִקּוּדְשָׁא בְּרִיךְ הוּא, כְּמָה דְאַתְּ אָמַר </w:t>
      </w:r>
      <w:r>
        <w:rPr>
          <w:sz w:val="20"/>
          <w:szCs w:val="23"/>
          <w:rtl/>
        </w:rPr>
        <w:t>(ישעיה נ א)</w:t>
      </w:r>
      <w:r>
        <w:rPr>
          <w:rtl/>
        </w:rPr>
        <w:t xml:space="preserve"> וּבְפִשְׁעִיכֶם שֻׁלְּחָה אִמְּכֶם, וְאִשְׁתָּאַר קוּדְשָׁא בְּרִיךְ הוּא יְחִידָאי בְּלָא מַטְרוֹנִיתָא, הֲדָא הוּא דִכְתִיב </w:t>
      </w:r>
      <w:r>
        <w:rPr>
          <w:sz w:val="20"/>
          <w:szCs w:val="23"/>
          <w:rtl/>
        </w:rPr>
        <w:t>(ישעיה נז א)</w:t>
      </w:r>
      <w:r>
        <w:rPr>
          <w:rtl/>
        </w:rPr>
        <w:t xml:space="preserve"> הַצַּדִּיק אָבָד, מַאי אָבָד, אָבַד לְמַטְרוֹנִיתָא, וּבְגִין דָּא לֹא טוֹב היוֹת אָדָם לְבַדּוֹ </w:t>
      </w:r>
      <w:r>
        <w:rPr>
          <w:sz w:val="20"/>
          <w:szCs w:val="23"/>
          <w:rtl/>
        </w:rPr>
        <w:t>(בראשית ב יח)</w:t>
      </w:r>
      <w:r>
        <w:rPr>
          <w:szCs w:val="23"/>
          <w:rtl/>
        </w:rPr>
        <w:t xml:space="preserve"> </w:t>
      </w:r>
      <w:r>
        <w:rPr>
          <w:rStyle w:val="Char"/>
          <w:rtl/>
        </w:rPr>
        <w:t>אֱעֶשֶׂה לּוֹ עִזֶר כְּנֶגְדּוֹ</w:t>
      </w:r>
      <w:r>
        <w:rPr>
          <w:szCs w:val="23"/>
          <w:rtl/>
        </w:rPr>
        <w:t xml:space="preserve"> </w:t>
      </w:r>
      <w:r>
        <w:rPr>
          <w:sz w:val="20"/>
          <w:szCs w:val="23"/>
          <w:rtl/>
        </w:rPr>
        <w:t>(שם)</w:t>
      </w:r>
      <w:r>
        <w:rPr>
          <w:rtl/>
        </w:rPr>
        <w:t xml:space="preserve">, דָא אָחֳרָא, דְלֵית אִיהִי בַת זוּגֵיהּ, מִסִּטְרָא דְעִץ הַדַּעַת טוֹב וָרָע, בְּאִסּוּר וְהֶיתֵּר טוּמְאָה וְטַהֲרָה כָּשֵׁר וּפָסוּל דַּם טָהוֹר וְדַם נִדָּה, וּבְגִין דָּא אוּקְמוּהוּ זָכָה נַעֲשֶׂה לּוֹ עִזֶר, לֹא זָכָה כְּנֶגְדּוֹ, דְּאִסְתַּלַּק מִנֵּיהּ אִתְּתָא דְאִיהִי עִץ הַחַיִּים, דְּאִתְּמַר בָּהּ </w:t>
      </w:r>
      <w:r>
        <w:rPr>
          <w:sz w:val="20"/>
          <w:szCs w:val="23"/>
          <w:rtl/>
        </w:rPr>
        <w:t>(משלי ג יה)</w:t>
      </w:r>
      <w:r>
        <w:rPr>
          <w:rtl/>
        </w:rPr>
        <w:t xml:space="preserve"> עִץ חַיִּים הִיא לַמַּחֲזִיקִים בָּהּ, רְאֵה חַיִּים עִם אִשָּׁה אֲשֶׁר אָהַבְתָּ </w:t>
      </w:r>
      <w:r>
        <w:rPr>
          <w:sz w:val="20"/>
          <w:szCs w:val="23"/>
          <w:rtl/>
        </w:rPr>
        <w:t>(קהלת ט ט)</w:t>
      </w:r>
      <w:r>
        <w:rPr>
          <w:szCs w:val="23"/>
          <w:rtl/>
        </w:rPr>
        <w:t xml:space="preserve">, </w:t>
      </w:r>
      <w:r>
        <w:rPr>
          <w:rStyle w:val="Char"/>
          <w:rtl/>
        </w:rPr>
        <w:t>דַּעֲלָהּ אִתְּמַר</w:t>
      </w:r>
      <w:r>
        <w:rPr>
          <w:szCs w:val="23"/>
          <w:rtl/>
        </w:rPr>
        <w:t xml:space="preserve"> </w:t>
      </w:r>
      <w:r>
        <w:rPr>
          <w:sz w:val="20"/>
          <w:szCs w:val="23"/>
          <w:rtl/>
        </w:rPr>
        <w:t>(בראשית ג כב)</w:t>
      </w:r>
      <w:r>
        <w:rPr>
          <w:rtl/>
        </w:rPr>
        <w:t xml:space="preserve"> וְלָקַח גַּם מֵעִץ הַחַיִּים וְאָכַל וָחַי לְעוֹלָם, דְּאִיהוּ הֲוָה חָרוּת עַל הַלּוּחוֹת, חֵירוּ מִמַּלְאַךְ הַמָּוְת, חֵירוּ מִשִּׁעְבּוּד מַלְכִיּוֹת, </w:t>
      </w:r>
      <w:r>
        <w:rPr>
          <w:rStyle w:val="a7"/>
          <w:b w:val="0"/>
          <w:bCs w:val="0"/>
          <w:rtl/>
        </w:rPr>
        <w:footnoteReference w:id="4413"/>
      </w:r>
      <w:r>
        <w:rPr>
          <w:rtl/>
        </w:rPr>
        <w:t xml:space="preserve">חֵירוּ מִכָּל מַרְעִין בִּישִׁין, מֵעֲנִיּוּתָא וְטִפְּשׁוּתָא וְצַעֲרָא וְדוֹחֲקָא וְכַפְנָא, וַעֲלָהּ אִתְּמַר </w:t>
      </w:r>
      <w:r>
        <w:rPr>
          <w:sz w:val="20"/>
          <w:szCs w:val="23"/>
          <w:rtl/>
        </w:rPr>
        <w:t>(דברים ח ט)</w:t>
      </w:r>
      <w:r>
        <w:rPr>
          <w:rtl/>
        </w:rPr>
        <w:t xml:space="preserve"> אֶרֶץ אֲשֶׁר לֹא בְמִסְכֵּנוּת תֹּאכַל בָּהּ לֶחֶם וכו'.</w:t>
      </w:r>
    </w:p>
    <w:p w:rsidR="00602EF1" w:rsidRDefault="00602EF1" w:rsidP="005F01B5">
      <w:pPr>
        <w:pStyle w:val="NormalWeb"/>
        <w:rPr>
          <w:rtl/>
        </w:rPr>
      </w:pPr>
      <w:r>
        <w:rPr>
          <w:rtl/>
        </w:rPr>
        <w:t xml:space="preserve">אִסְתַּלַּק מִינֵיהּ, וְאִתְיַיהִב לֵיהּ אָחֳרָא </w:t>
      </w:r>
      <w:r>
        <w:rPr>
          <w:rStyle w:val="a7"/>
          <w:b w:val="0"/>
          <w:bCs w:val="0"/>
          <w:rtl/>
        </w:rPr>
        <w:footnoteReference w:id="4414"/>
      </w:r>
      <w:r>
        <w:rPr>
          <w:rtl/>
        </w:rPr>
        <w:t xml:space="preserve">מִסִּטְרָא דְסִיהֲרָא, דְאִתְּמַר בָּהּ </w:t>
      </w:r>
      <w:r>
        <w:rPr>
          <w:sz w:val="20"/>
          <w:szCs w:val="23"/>
          <w:rtl/>
        </w:rPr>
        <w:t>(קהלת ג ב)</w:t>
      </w:r>
      <w:r>
        <w:rPr>
          <w:rtl/>
        </w:rPr>
        <w:t xml:space="preserve"> עִת לָלֶדֶת וְעִת לָמוּת וכו', דְּאִיהִי פַלְגוּ דִילָהּ חַיִּים עוּתְרָא, וּפַלְגוּ דִילָהּ מָוְת עֲנִיּוּתָא, כְּגַוְונָא דְלִבָּא דְאִתְּמַר בֵּיהּ </w:t>
      </w:r>
      <w:r>
        <w:rPr>
          <w:sz w:val="20"/>
          <w:szCs w:val="23"/>
          <w:rtl/>
        </w:rPr>
        <w:t>(שם י ב)</w:t>
      </w:r>
      <w:r>
        <w:rPr>
          <w:rtl/>
        </w:rPr>
        <w:t xml:space="preserve"> לֵב חָכָם לִימִינוֹ </w:t>
      </w:r>
      <w:r w:rsidRPr="005F01B5">
        <w:rPr>
          <w:rtl/>
        </w:rPr>
        <w:t>וְלֵב</w:t>
      </w:r>
      <w:r>
        <w:rPr>
          <w:rtl/>
        </w:rPr>
        <w:t xml:space="preserve"> כְּסִיל לִשְׂמֹאלוֹ, תְּרֵין בְּשׁוּתָּפוּ, וּבְגִין דָּא אִם זָכָה עִזֶר בְּמִלּוּיָא דְסִיהֲרָא, וְאִם לָא זָכָה כְּנֶגְדּוֹ בְּחֶסְרוֹנָה דְסִיהֲרָא. וְדָא לִילִי''ת דְּאִיהִי </w:t>
      </w:r>
      <w:r>
        <w:rPr>
          <w:rStyle w:val="a7"/>
          <w:b w:val="0"/>
          <w:bCs w:val="0"/>
          <w:rtl/>
        </w:rPr>
        <w:footnoteReference w:id="4415"/>
      </w:r>
      <w:r>
        <w:rPr>
          <w:rtl/>
        </w:rPr>
        <w:t xml:space="preserve">עֲרָיוֹת מִסִּטְרָא דְי''ה, עִ''ר יָ''ה תֵעוֹר קַשְׁתֶּךָ </w:t>
      </w:r>
      <w:r>
        <w:rPr>
          <w:sz w:val="20"/>
          <w:szCs w:val="23"/>
          <w:rtl/>
        </w:rPr>
        <w:t>(חבקוק ג ט)</w:t>
      </w:r>
      <w:r>
        <w:rPr>
          <w:rtl/>
        </w:rPr>
        <w:t xml:space="preserve">, עֲרָיוֹת מִסִּטְרָא דְו''ה לֹא תִקְרְבוּ לְגַלּוֹת עִ''ר וָ''ה </w:t>
      </w:r>
      <w:r>
        <w:rPr>
          <w:sz w:val="20"/>
          <w:szCs w:val="23"/>
          <w:rtl/>
        </w:rPr>
        <w:t>(ויקרא יח ו)</w:t>
      </w:r>
      <w:r>
        <w:rPr>
          <w:rtl/>
        </w:rPr>
        <w:t xml:space="preserve">, </w:t>
      </w:r>
      <w:r>
        <w:rPr>
          <w:rStyle w:val="a7"/>
          <w:b w:val="0"/>
          <w:bCs w:val="0"/>
          <w:rtl/>
        </w:rPr>
        <w:footnoteReference w:id="4416"/>
      </w:r>
      <w:r>
        <w:rPr>
          <w:rtl/>
        </w:rPr>
        <w:t xml:space="preserve">עֶרְוַת אִשָּׁה וּבִתָּהּ </w:t>
      </w:r>
      <w:r>
        <w:rPr>
          <w:sz w:val="20"/>
          <w:szCs w:val="23"/>
          <w:rtl/>
        </w:rPr>
        <w:t>(שם יז)</w:t>
      </w:r>
      <w:r>
        <w:rPr>
          <w:szCs w:val="23"/>
          <w:rtl/>
        </w:rPr>
        <w:t xml:space="preserve"> </w:t>
      </w:r>
      <w:r>
        <w:rPr>
          <w:rStyle w:val="Char"/>
          <w:rtl/>
        </w:rPr>
        <w:t>אִינוּן ה''ה, עֶרְוַת כַּלָּתְךָ</w:t>
      </w:r>
      <w:r>
        <w:rPr>
          <w:szCs w:val="23"/>
          <w:rtl/>
        </w:rPr>
        <w:t xml:space="preserve"> </w:t>
      </w:r>
      <w:r>
        <w:rPr>
          <w:sz w:val="20"/>
          <w:szCs w:val="23"/>
          <w:rtl/>
        </w:rPr>
        <w:t>(שם טו)</w:t>
      </w:r>
      <w:r>
        <w:rPr>
          <w:rtl/>
        </w:rPr>
        <w:t xml:space="preserve"> דָּא י' זְעִירָא דְאדנ''י, דְּאִיהִי כַּלָּה הָאֲמוּרָה בְּשִׁיר הַשִּׁירִים. תָּא חֲזִי שְׁכִינְתָּא תַּתָּאָה אִתְקְרִיאַת בִּתָּהּ מִסִּטְרָא דְאִימָּא עִלָּאָה, כַּלָּה מִסִּטְרָא דְכָּ''ל כָּ''ל ה', אָחוֹת מִסִּטְרָא דְעַמּוּדָא דְאֶמְצָעִיתָא, שְׁאֵר בְּשָׂרוֹ </w:t>
      </w:r>
      <w:r>
        <w:rPr>
          <w:sz w:val="20"/>
          <w:szCs w:val="23"/>
          <w:rtl/>
        </w:rPr>
        <w:t>(שם ו)</w:t>
      </w:r>
      <w:r>
        <w:rPr>
          <w:szCs w:val="23"/>
          <w:rtl/>
        </w:rPr>
        <w:t xml:space="preserve"> </w:t>
      </w:r>
      <w:r>
        <w:rPr>
          <w:rStyle w:val="Char"/>
          <w:rtl/>
        </w:rPr>
        <w:t>מִסִּטְרָא דְהַהוּא דְאִתְּמַר בֵּיהּ</w:t>
      </w:r>
      <w:r>
        <w:rPr>
          <w:szCs w:val="23"/>
          <w:rtl/>
        </w:rPr>
        <w:t xml:space="preserve"> </w:t>
      </w:r>
      <w:r>
        <w:rPr>
          <w:sz w:val="20"/>
          <w:szCs w:val="23"/>
          <w:rtl/>
        </w:rPr>
        <w:t>(בראשית ו ג)</w:t>
      </w:r>
      <w:r>
        <w:rPr>
          <w:rtl/>
        </w:rPr>
        <w:t xml:space="preserve"> בְּשַׁגַּם הוּא בָשָׂר, מִסִּטְרָא דְּדַרְגֵּיהּ.</w:t>
      </w:r>
    </w:p>
    <w:p w:rsidR="00602EF1" w:rsidRDefault="00602EF1" w:rsidP="00602EF1">
      <w:pPr>
        <w:pStyle w:val="1"/>
        <w:rPr>
          <w:rtl/>
        </w:rPr>
      </w:pPr>
      <w:bookmarkStart w:id="277" w:name="_Toc228091312"/>
      <w:bookmarkStart w:id="278" w:name="_Toc231637951"/>
      <w:r>
        <w:rPr>
          <w:szCs w:val="32"/>
          <w:rtl/>
        </w:rPr>
        <w:t>(תקונא תלתין וארבע</w:t>
      </w:r>
      <w:bookmarkEnd w:id="277"/>
      <w:bookmarkEnd w:id="278"/>
      <w:r>
        <w:rPr>
          <w:szCs w:val="32"/>
          <w:rtl/>
        </w:rPr>
        <w:t xml:space="preserve">) </w:t>
      </w:r>
      <w:r>
        <w:rPr>
          <w:rtl/>
        </w:rPr>
        <w:t>[תיקון זה הועבר לכאן ע"פ דברי הגר"א ריש תיקון ל"ב]</w:t>
      </w:r>
    </w:p>
    <w:p w:rsidR="00602EF1" w:rsidRDefault="00602EF1" w:rsidP="00602EF1">
      <w:pPr>
        <w:spacing w:after="40" w:line="360" w:lineRule="atLeast"/>
        <w:ind w:left="144" w:right="144" w:firstLine="288"/>
        <w:jc w:val="both"/>
        <w:rPr>
          <w:rFonts w:ascii="Arial"/>
          <w:b/>
          <w:szCs w:val="23"/>
          <w:rtl/>
        </w:rPr>
      </w:pPr>
      <w:r>
        <w:rPr>
          <w:rtl/>
        </w:rPr>
        <w:t xml:space="preserve">[תיקוני זוהר - דף פ ע''ב] </w:t>
      </w:r>
    </w:p>
    <w:p w:rsidR="00602EF1" w:rsidRDefault="00602EF1" w:rsidP="005F01B5">
      <w:pPr>
        <w:pStyle w:val="NormalWeb"/>
        <w:rPr>
          <w:rtl/>
        </w:rPr>
      </w:pPr>
      <w:r>
        <w:rPr>
          <w:rStyle w:val="a7"/>
          <w:b w:val="0"/>
          <w:bCs w:val="0"/>
          <w:rtl/>
        </w:rPr>
        <w:footnoteReference w:id="4417"/>
      </w:r>
      <w:r>
        <w:rPr>
          <w:rtl/>
        </w:rPr>
        <w:t xml:space="preserve">בְּרֵאשִׁית, ב' נוּקְבָא </w:t>
      </w:r>
      <w:r w:rsidRPr="005F01B5">
        <w:rPr>
          <w:rtl/>
        </w:rPr>
        <w:t>פְּתִיחָא</w:t>
      </w:r>
      <w:r>
        <w:rPr>
          <w:rtl/>
        </w:rPr>
        <w:t xml:space="preserve"> לְקַבָּלָא </w:t>
      </w:r>
      <w:r>
        <w:rPr>
          <w:sz w:val="20"/>
          <w:szCs w:val="23"/>
          <w:rtl/>
        </w:rPr>
        <w:t>(ס"א</w:t>
      </w:r>
      <w:r>
        <w:rPr>
          <w:rtl/>
        </w:rPr>
        <w:t xml:space="preserve"> </w:t>
      </w:r>
      <w:r>
        <w:rPr>
          <w:sz w:val="20"/>
          <w:szCs w:val="23"/>
          <w:rtl/>
        </w:rPr>
        <w:t>מִימִינָא)</w:t>
      </w:r>
      <w:r>
        <w:rPr>
          <w:rtl/>
        </w:rPr>
        <w:t xml:space="preserve"> לְהַהוּא </w:t>
      </w:r>
      <w:r>
        <w:rPr>
          <w:sz w:val="20"/>
          <w:szCs w:val="23"/>
          <w:rtl/>
        </w:rPr>
        <w:t>(נ''א מההוא)</w:t>
      </w:r>
      <w:r>
        <w:rPr>
          <w:rtl/>
        </w:rPr>
        <w:t xml:space="preserve"> דְּגָמִיל חֶסֶד עִמָּהּ, וּלְמַאן לְיַמִינָא</w:t>
      </w:r>
      <w:r>
        <w:rPr>
          <w:sz w:val="20"/>
          <w:szCs w:val="23"/>
          <w:rtl/>
        </w:rPr>
        <w:t xml:space="preserve"> (ס"א וְאַמַּאי)</w:t>
      </w:r>
      <w:r>
        <w:rPr>
          <w:rtl/>
        </w:rPr>
        <w:t xml:space="preserve"> דְּאָת י' עַל רֵישֵׁיהּ כְּגַוְונָא דָא ג', וּבְגִין דָּא הָרוֹצֶה לְהַחְכִּים יַדְרִים, אִם כֵּן אַמַּאי ג' אָחוֹר לְב', אֶלָּא רָזָא דְּמִלָּה </w:t>
      </w:r>
      <w:r>
        <w:rPr>
          <w:rStyle w:val="a7"/>
          <w:b w:val="0"/>
          <w:bCs w:val="0"/>
          <w:rtl/>
        </w:rPr>
        <w:footnoteReference w:id="4418"/>
      </w:r>
      <w:r>
        <w:rPr>
          <w:rtl/>
        </w:rPr>
        <w:t xml:space="preserve">וְאִישׁ אֲשֶׁר יִקַּח אֶת אֲחֹתוֹ בַּת אָבִיו אוֹ בַת אִמּוֹ וְרָאָה אֶת עֶרְוָתָהּ וְהִיא תִרְאֶה אֶת עֶרְוָתוֹ חֶסֶד הוּא </w:t>
      </w:r>
      <w:r>
        <w:rPr>
          <w:sz w:val="20"/>
          <w:szCs w:val="23"/>
          <w:rtl/>
        </w:rPr>
        <w:t>(ויקרא כ יז)</w:t>
      </w:r>
      <w:r>
        <w:rPr>
          <w:rtl/>
        </w:rPr>
        <w:t xml:space="preserve">, ב' חָזְרַת אַנְפּוֹי מִא', ג' אַחְזַרַת אַנְפּוֹי מִב', ד' חָזְרַת אַנְפּוֹי מִג', ה' חָזְרַת אַנְפּוֹי מִד', כָּל אַתְוָון חָזְרִין אַנְפִּין דָּא </w:t>
      </w:r>
      <w:r>
        <w:rPr>
          <w:sz w:val="20"/>
          <w:szCs w:val="23"/>
          <w:rtl/>
        </w:rPr>
        <w:t xml:space="preserve">(דף פ ע''ב) </w:t>
      </w:r>
      <w:r>
        <w:rPr>
          <w:rtl/>
        </w:rPr>
        <w:t xml:space="preserve">מִן דָּא, וְלַאו אִינוּן אַנְפִּין בְּאַנְפִּין, וְרָזָא דְמִלָּה וְרָאִיתָ אֶת אֲחֹרָי וכו' </w:t>
      </w:r>
      <w:r>
        <w:rPr>
          <w:sz w:val="20"/>
          <w:szCs w:val="23"/>
          <w:rtl/>
        </w:rPr>
        <w:t>(שמות לג כג)</w:t>
      </w:r>
      <w:r>
        <w:rPr>
          <w:rtl/>
        </w:rPr>
        <w:t xml:space="preserve">, וְאַמַּאי חָזְרִין אַנְפִּין דָּא מִן דָּא, בְּגִין עֶרְיָין דְּאִינוּן לְקִבְלַיְיהוּ, א' לְקִבְלֵיהּ אָרוּר דְּאִיהוּ עֶרְוָה, וַעֲלֵיהּ אִתְּמַר </w:t>
      </w:r>
      <w:r>
        <w:rPr>
          <w:sz w:val="20"/>
          <w:szCs w:val="23"/>
          <w:rtl/>
        </w:rPr>
        <w:t>(דברים כז כב)</w:t>
      </w:r>
      <w:r>
        <w:rPr>
          <w:rtl/>
        </w:rPr>
        <w:t xml:space="preserve"> אָרוּר שֹׁכֵב עִם אֲחֹתוֹ, דְּאִלֵּין עֶרְיָין כָּל חַד שָׁכִיב עִם אִמֵּיהּ </w:t>
      </w:r>
      <w:r>
        <w:rPr>
          <w:sz w:val="20"/>
          <w:szCs w:val="23"/>
          <w:rtl/>
        </w:rPr>
        <w:t>(ס"א וְעִם אֲחָתֵיהּ)</w:t>
      </w:r>
      <w:r>
        <w:rPr>
          <w:rtl/>
        </w:rPr>
        <w:t xml:space="preserve"> וְעִם בְּרַתֵּיהּ, וְחָזְרִין אַנְפִּין לְגַבַּיְיהוּ, דְלֵית לוֹן בֹּשֶׁת פָּנִים, אֲבָל אַתְוָון קַדִּישִׁין חָזְרִין אַנְפַּיְיהוּ </w:t>
      </w:r>
      <w:r>
        <w:rPr>
          <w:rStyle w:val="a7"/>
          <w:b w:val="0"/>
          <w:bCs w:val="0"/>
          <w:rtl/>
        </w:rPr>
        <w:footnoteReference w:id="4419"/>
      </w:r>
      <w:r>
        <w:rPr>
          <w:rtl/>
        </w:rPr>
        <w:t xml:space="preserve">בְּבֹשֶׁת בַּעֲנָוָה, וּבְגִינָם אִתְּמַר </w:t>
      </w:r>
      <w:r>
        <w:rPr>
          <w:sz w:val="20"/>
          <w:szCs w:val="23"/>
          <w:rtl/>
        </w:rPr>
        <w:t>(חבקוק ג ט)</w:t>
      </w:r>
      <w:r>
        <w:rPr>
          <w:rtl/>
        </w:rPr>
        <w:t xml:space="preserve"> עֶרְיָה תֵעוֹר, </w:t>
      </w:r>
      <w:r>
        <w:rPr>
          <w:sz w:val="20"/>
          <w:szCs w:val="23"/>
          <w:rtl/>
        </w:rPr>
        <w:t>(ויקרא יט יד)</w:t>
      </w:r>
      <w:r>
        <w:rPr>
          <w:rtl/>
        </w:rPr>
        <w:t xml:space="preserve"> וְלִפְנֵי עִוִּר לֹא תִתֵּן מִכְשׁוֹל, עִוֵּר דְאִיהוּ ע"ר ו', וְרָזָא דְמִלָּה עָרוּם רָאָה רָעָה וְנִסְתָּר </w:t>
      </w:r>
      <w:r>
        <w:rPr>
          <w:sz w:val="20"/>
          <w:szCs w:val="23"/>
          <w:rtl/>
        </w:rPr>
        <w:t>(משלי כב ג)</w:t>
      </w:r>
      <w:r>
        <w:rPr>
          <w:rtl/>
        </w:rPr>
        <w:t>.</w:t>
      </w:r>
    </w:p>
    <w:p w:rsidR="00602EF1" w:rsidRDefault="00602EF1" w:rsidP="005F01B5">
      <w:pPr>
        <w:pStyle w:val="NormalWeb"/>
        <w:rPr>
          <w:rtl/>
        </w:rPr>
      </w:pPr>
      <w:r>
        <w:rPr>
          <w:rtl/>
        </w:rPr>
        <w:t xml:space="preserve">וּלְבָתַר דְּמִתְפַּשְּׁטִין מִנַּיְיהוּ מִתְיַחֲדִין כֻּלְּהוּ וְלָא יִתְבֹּשָׁשׁוּ, וּמִתְיַחֲדִין </w:t>
      </w:r>
      <w:r>
        <w:rPr>
          <w:rStyle w:val="a7"/>
          <w:b w:val="0"/>
          <w:bCs w:val="0"/>
          <w:rtl/>
        </w:rPr>
        <w:footnoteReference w:id="4420"/>
      </w:r>
      <w:r>
        <w:rPr>
          <w:rtl/>
        </w:rPr>
        <w:t xml:space="preserve">אַבָּא עִם אִימָּא, אָח עִם אֲחָתֵיהּ, כְּעַן דְּעֶרְוָה </w:t>
      </w:r>
      <w:r w:rsidRPr="005F01B5">
        <w:rPr>
          <w:rtl/>
        </w:rPr>
        <w:t>בֵּינַיְיהוּ</w:t>
      </w:r>
      <w:r>
        <w:rPr>
          <w:rtl/>
        </w:rPr>
        <w:t xml:space="preserve"> אִית פִּרוּדָא בְּאַתְוָון דְּאִינוּן יהו''ה, הֲדָא הוּא דִכְתִיב </w:t>
      </w:r>
      <w:r>
        <w:rPr>
          <w:sz w:val="20"/>
          <w:szCs w:val="23"/>
          <w:rtl/>
        </w:rPr>
        <w:t>(רות א יז)</w:t>
      </w:r>
      <w:r>
        <w:rPr>
          <w:szCs w:val="23"/>
          <w:rtl/>
        </w:rPr>
        <w:t xml:space="preserve"> </w:t>
      </w:r>
      <w:r>
        <w:rPr>
          <w:rStyle w:val="Char"/>
          <w:rtl/>
        </w:rPr>
        <w:t>כִּי הַמָּוְת יַפְרִיד</w:t>
      </w:r>
      <w:r>
        <w:rPr>
          <w:szCs w:val="23"/>
          <w:rtl/>
        </w:rPr>
        <w:t xml:space="preserve"> </w:t>
      </w:r>
      <w:r>
        <w:rPr>
          <w:sz w:val="20"/>
          <w:szCs w:val="23"/>
          <w:rtl/>
        </w:rPr>
        <w:t>(בין אחים)</w:t>
      </w:r>
      <w:r>
        <w:rPr>
          <w:rtl/>
        </w:rPr>
        <w:t xml:space="preserve"> בֵּינִי וּבֵינֵךָ, לְבָתַר דְּאִתְעַבַּר עֲרָיוֹת מִנַּיְיהוּ, יְהֵא יהו''ה אֶחָד וּשְׁמוֹ אֶחָד, וְרָזָא דְאֶחָד אָח ד', </w:t>
      </w:r>
      <w:r>
        <w:rPr>
          <w:rStyle w:val="a7"/>
          <w:b w:val="0"/>
          <w:bCs w:val="0"/>
          <w:rtl/>
        </w:rPr>
        <w:footnoteReference w:id="4421"/>
      </w:r>
      <w:r>
        <w:rPr>
          <w:rtl/>
        </w:rPr>
        <w:t xml:space="preserve">עֶרְוָה דְתַרְוַיְיהוּ אַחֵר, בְּזִמְנָא דְאִסְתַּלַּק קוֹצָא מִן ד' מִן אֶחָד אִשְׁתָּאַר אַחֵר, וַעֲלֵיהּ אִתְּמַר </w:t>
      </w:r>
      <w:r>
        <w:rPr>
          <w:sz w:val="20"/>
          <w:szCs w:val="23"/>
          <w:rtl/>
        </w:rPr>
        <w:t>(משלי כה ט)</w:t>
      </w:r>
      <w:r>
        <w:rPr>
          <w:rtl/>
        </w:rPr>
        <w:t xml:space="preserve"> </w:t>
      </w:r>
      <w:r>
        <w:rPr>
          <w:rStyle w:val="a7"/>
          <w:b w:val="0"/>
          <w:bCs w:val="0"/>
          <w:rtl/>
        </w:rPr>
        <w:footnoteReference w:id="4422"/>
      </w:r>
      <w:r>
        <w:rPr>
          <w:rtl/>
        </w:rPr>
        <w:t>וְסוֹד אַחֵר אַל תְּגָל.</w:t>
      </w:r>
    </w:p>
    <w:p w:rsidR="00602EF1" w:rsidRDefault="00602EF1" w:rsidP="00602EF1">
      <w:pPr>
        <w:pStyle w:val="1"/>
        <w:rPr>
          <w:sz w:val="39"/>
          <w:szCs w:val="39"/>
          <w:rtl/>
        </w:rPr>
      </w:pPr>
      <w:bookmarkStart w:id="279" w:name="_Toc228091335"/>
      <w:bookmarkStart w:id="280" w:name="_Toc231637974"/>
      <w:r>
        <w:rPr>
          <w:rtl/>
        </w:rPr>
        <w:t>תקונא שבע וחמשין</w:t>
      </w:r>
      <w:bookmarkEnd w:id="279"/>
      <w:bookmarkEnd w:id="280"/>
    </w:p>
    <w:p w:rsidR="00602EF1" w:rsidRDefault="00602EF1" w:rsidP="005F01B5">
      <w:pPr>
        <w:pStyle w:val="2"/>
        <w:rPr>
          <w:rtl/>
        </w:rPr>
      </w:pPr>
      <w:r>
        <w:rPr>
          <w:rtl/>
        </w:rPr>
        <w:t xml:space="preserve">[תיקוני זוהר - דף צד ע''ב] </w:t>
      </w:r>
    </w:p>
    <w:p w:rsidR="00602EF1" w:rsidRDefault="00602EF1" w:rsidP="005F01B5">
      <w:pPr>
        <w:pStyle w:val="NormalWeb"/>
        <w:rPr>
          <w:rtl/>
        </w:rPr>
      </w:pPr>
      <w:r w:rsidRPr="005F01B5">
        <w:rPr>
          <w:rStyle w:val="20"/>
          <w:rtl/>
        </w:rPr>
        <w:t>(דף צד ע''ב)</w:t>
      </w:r>
      <w:r>
        <w:rPr>
          <w:sz w:val="20"/>
          <w:szCs w:val="23"/>
          <w:rtl/>
        </w:rPr>
        <w:t xml:space="preserve"> </w:t>
      </w:r>
      <w:r>
        <w:rPr>
          <w:rStyle w:val="a7"/>
          <w:b w:val="0"/>
          <w:sz w:val="20"/>
          <w:szCs w:val="23"/>
          <w:rtl/>
        </w:rPr>
        <w:footnoteReference w:id="4423"/>
      </w:r>
      <w:r>
        <w:rPr>
          <w:rtl/>
        </w:rPr>
        <w:t xml:space="preserve">בְּרֵאשִׁית תְּרֵי שְׁבָ''א, </w:t>
      </w:r>
      <w:r>
        <w:rPr>
          <w:rStyle w:val="a7"/>
          <w:b w:val="0"/>
          <w:bCs w:val="0"/>
          <w:rtl/>
        </w:rPr>
        <w:footnoteReference w:id="4424"/>
      </w:r>
      <w:r>
        <w:rPr>
          <w:rtl/>
        </w:rPr>
        <w:t xml:space="preserve">וְאִינוּן תְּרֵין נְקוּדִין תְּרֵי יְצִירוֹת, דְּאִתְּמַר בְּהוֹן </w:t>
      </w:r>
      <w:r>
        <w:rPr>
          <w:sz w:val="20"/>
          <w:szCs w:val="23"/>
          <w:rtl/>
        </w:rPr>
        <w:t>(בראשית ב יט)</w:t>
      </w:r>
      <w:r>
        <w:rPr>
          <w:rtl/>
        </w:rPr>
        <w:t xml:space="preserve"> וַיִּיצֶר יהו''ה אלהי''ם מִן </w:t>
      </w:r>
      <w:r w:rsidRPr="005F01B5">
        <w:rPr>
          <w:rtl/>
        </w:rPr>
        <w:t>הָאֲדָמָה</w:t>
      </w:r>
      <w:r>
        <w:rPr>
          <w:rtl/>
        </w:rPr>
        <w:t xml:space="preserve"> כָּל חַיַּת הַשָּׂדֶה וְאֵת כָּל עוֹף הַשָּׁמַיִם, וַיָּבֵא אֶל הָאָדָם לִרְאוֹת מַה יִּקְרָא לוֹ וכו'. </w:t>
      </w:r>
      <w:r>
        <w:rPr>
          <w:rStyle w:val="a7"/>
          <w:b w:val="0"/>
          <w:bCs w:val="0"/>
          <w:rtl/>
        </w:rPr>
        <w:footnoteReference w:id="4425"/>
      </w:r>
      <w:r>
        <w:rPr>
          <w:rtl/>
        </w:rPr>
        <w:t xml:space="preserve">תָּא חֲזִי כַּמָּה נִשְׁמָתִין וְכַמָּה צִיּוּרִין צִיֵּיר קוּדְשָׁא בְּרִיךְ הוּא בְּדִיּוֹקְנָא דְמֶרְכָּבוֹת דִּלְעִילָא, דְאִינוּן חַיּוֹת הַקֹּדֶשׁ, דְּיָרְתִין בְּנֵי נָשָׁא נִשְׁמָתִין מִנַּיְיהוּ, וְאַיְיתֵי קוּדְשָׁא בְּרִיךְ הוּא לְאָדָם בְּגִלְגוּלָא עַל כֻּלְּהוּ, לִרְאוֹת מַה יִּקְרָא לוֹ, וְלָא אַשְׁכַּח עִזֶר בְּהוֹן, הֲדָא הוּא דִכְתִיב </w:t>
      </w:r>
      <w:r>
        <w:rPr>
          <w:sz w:val="20"/>
          <w:szCs w:val="23"/>
          <w:rtl/>
        </w:rPr>
        <w:t>(שם יח)</w:t>
      </w:r>
      <w:r>
        <w:rPr>
          <w:rtl/>
        </w:rPr>
        <w:t xml:space="preserve"> וּלְאָדָם לֹא מָצָא עִזֶר כְּנֶגְדּוֹ, וְאִיהוּ קָרָא לוֹן לְכָל חַד שְׁמָהָן כְּפוּם חֵילָא דִלְעִילָא, דְּאִתְּמַר בְּהוֹן </w:t>
      </w:r>
      <w:r>
        <w:rPr>
          <w:sz w:val="20"/>
          <w:szCs w:val="23"/>
          <w:rtl/>
        </w:rPr>
        <w:t>(ישעיה מ כו)</w:t>
      </w:r>
      <w:r>
        <w:rPr>
          <w:rtl/>
        </w:rPr>
        <w:t xml:space="preserve"> הַמּוֹצִיא בְמִסְפָּר צְבָאָם לְכֻלָּם בְּשֵׁם יִקְרָא, לְכָל חַיָּה וּמַלְאָךְ וְאוֹפַן קָרָא לוֹן בְּשֵׁם יָדוּעַ, לְכָל חַד עַל מַתְכּוּנְתּוֹ בַּעֲבוֹדָתוֹ וּבְמִשְׁמַרְתּוֹ.</w:t>
      </w:r>
    </w:p>
    <w:p w:rsidR="00602EF1" w:rsidRDefault="00602EF1" w:rsidP="005F01B5">
      <w:pPr>
        <w:pStyle w:val="NormalWeb"/>
        <w:rPr>
          <w:rtl/>
        </w:rPr>
      </w:pPr>
      <w:r>
        <w:rPr>
          <w:rtl/>
        </w:rPr>
        <w:t xml:space="preserve">תָּא חֲזִי אָדָם הֲוָה יָדַע כָּל מַלְאָךְ וְאוֹפַן וְחַיָּה וְשָׂרָף, כָּל חַד דַּהֲוָה מְמַנָּא עַל שְׁלִיחוּתֵיהּ, וַהֲוָה יָדַע כָּל שְׁמָא דְכָל חַד דַּהֲוָה כְּפוּם שְׁלִיחוּתֵיהּ, וְהָכִי הֲוָה קָרֵי לֵיהּ, דְּהָכִי אַשְׁכַּחְנָא בְּסֵפֶר רזיא''ל דְּאִתְיְהֵיב לְאָדָם קַדְמָאָה, דְמטטרו''ן קָרָא לֵיהּ קוּדְשָׁא בְּרִיךְ הוּא שְׁמָהָן סַגִּיאִין, לְזִמְנִין אִתְקְרֵי מיטטו''ר </w:t>
      </w:r>
      <w:r>
        <w:rPr>
          <w:sz w:val="20"/>
          <w:szCs w:val="23"/>
          <w:rtl/>
        </w:rPr>
        <w:t>(מי''מטור)</w:t>
      </w:r>
      <w:r>
        <w:rPr>
          <w:rtl/>
        </w:rPr>
        <w:t xml:space="preserve"> בְּזִמְנָא דִמְמַנָּא עַל מִטְרָא וּלְזִמְנִין אִתְקְרֵי פתחו''ן סגרו''ן </w:t>
      </w:r>
      <w:r>
        <w:rPr>
          <w:sz w:val="20"/>
          <w:szCs w:val="23"/>
          <w:rtl/>
        </w:rPr>
        <w:t>(אטימו''ן)</w:t>
      </w:r>
      <w:r>
        <w:rPr>
          <w:szCs w:val="23"/>
          <w:rtl/>
        </w:rPr>
        <w:t xml:space="preserve"> </w:t>
      </w:r>
      <w:r>
        <w:rPr>
          <w:sz w:val="20"/>
          <w:szCs w:val="23"/>
          <w:rtl/>
        </w:rPr>
        <w:t>(נ''א אטמון)</w:t>
      </w:r>
      <w:r>
        <w:rPr>
          <w:rtl/>
        </w:rPr>
        <w:t xml:space="preserve">, אטמו''ן בְּזִמְנָא דְאִיהוּ אוֹטֵם חוֹבִין דְּיִשְׂרָאֵל, סגרו''ן </w:t>
      </w:r>
      <w:r w:rsidRPr="005F01B5">
        <w:rPr>
          <w:rtl/>
        </w:rPr>
        <w:t>בְּזִמְנָא</w:t>
      </w:r>
      <w:r>
        <w:rPr>
          <w:rtl/>
        </w:rPr>
        <w:t xml:space="preserve"> דְסָגַר תַּרְעִין דִּצְלוֹתָא, פתחו''ן בְּזִמְנָא דְפָתַח תַּרְעָא דִצְלוֹתָא, </w:t>
      </w:r>
      <w:r>
        <w:rPr>
          <w:sz w:val="20"/>
          <w:szCs w:val="23"/>
          <w:rtl/>
        </w:rPr>
        <w:t>(פסקו''ן)</w:t>
      </w:r>
      <w:r>
        <w:rPr>
          <w:szCs w:val="23"/>
          <w:rtl/>
        </w:rPr>
        <w:t xml:space="preserve"> </w:t>
      </w:r>
      <w:r>
        <w:rPr>
          <w:sz w:val="20"/>
          <w:szCs w:val="23"/>
          <w:rtl/>
        </w:rPr>
        <w:t>(נ''א פיסקו''ן)</w:t>
      </w:r>
      <w:r>
        <w:rPr>
          <w:rtl/>
        </w:rPr>
        <w:t xml:space="preserve"> בְּזִמְנָא דְפוֹסֵק הֲלָכוֹת דְּמַתְנִיתִין בִּמְתִיבְתָּא תַּתָּאָה, וְהָכִי כָּל שְׁמָהָן כְּפוּם שְׁלִיחוּתֵיהּ, וְהָכִי כָּל מַלְאָךְ אִשְׁתַּנִּי שְׁמֵיהּ כְּפוּם שְׁלִיחוּתֵיהּ, הֲדָא הוּא דִכְתִיב </w:t>
      </w:r>
      <w:r>
        <w:rPr>
          <w:sz w:val="20"/>
          <w:szCs w:val="23"/>
          <w:rtl/>
        </w:rPr>
        <w:t>(שופטים יג יח)</w:t>
      </w:r>
      <w:r>
        <w:rPr>
          <w:rtl/>
        </w:rPr>
        <w:t xml:space="preserve"> לָמָּה זֶּה תִּשְׁאַל לִשְׁמִי וְהוּא פֶּלִאי, וּכְפוּם נִיסָא דְעָבְדִין הָכִי אִיהוּ שְׁמַיְיהוּ.</w:t>
      </w:r>
    </w:p>
    <w:p w:rsidR="00602EF1" w:rsidRDefault="00602EF1" w:rsidP="005F01B5">
      <w:pPr>
        <w:pStyle w:val="NormalWeb"/>
        <w:rPr>
          <w:rtl/>
        </w:rPr>
      </w:pPr>
      <w:r>
        <w:rPr>
          <w:rtl/>
        </w:rPr>
        <w:t xml:space="preserve">וּלְכָל שְׁלִיחוּתָא וּשְׁלִיחוּתָא דִלְהוֹן אִית רִגְעָא וְשַׁעְתָּא יְדִיעָא, </w:t>
      </w:r>
      <w:r>
        <w:rPr>
          <w:rStyle w:val="a7"/>
          <w:b w:val="0"/>
          <w:bCs w:val="0"/>
          <w:rtl/>
        </w:rPr>
        <w:footnoteReference w:id="4426"/>
      </w:r>
      <w:r>
        <w:rPr>
          <w:rtl/>
        </w:rPr>
        <w:t xml:space="preserve">וּמַזָּל יְדִיעַ, וְיוֹם יְדִיעַ, וְכֹכָב יְדִיעַ, וְתַמָּן אִשְׁתַּנִּי, הַאי מַלְאָךְ אִתְקְרֵי בַּשִּׁשִּׁים רִבּוֹא שְׁמָהָן דְּמַלְאָכַיָּא, הוּא אִתְקְרֵי חסדיא''ל בְּזִמְנָא דְעָבִיד חֶסֶד עִם עָלְמָא, גַּבְרִיאֵ''ל בְּזִמְנָא דְעָבִיד גְּבוּרָה בְעָלְמָא, סתוריא''ל </w:t>
      </w:r>
      <w:r>
        <w:rPr>
          <w:rStyle w:val="a7"/>
          <w:b w:val="0"/>
          <w:bCs w:val="0"/>
          <w:rtl/>
        </w:rPr>
        <w:footnoteReference w:id="4427"/>
      </w:r>
      <w:r>
        <w:rPr>
          <w:rtl/>
        </w:rPr>
        <w:t xml:space="preserve">בְּזִמְנָא דְסָתִיר בְּנֵי עָלְמָא בְגַדְפוֹי מֵאִלֵּין מַלְאֲכֵי חַבָּלָה, הֲדָא הוּא דִכְתִיב </w:t>
      </w:r>
      <w:r>
        <w:rPr>
          <w:sz w:val="20"/>
          <w:szCs w:val="23"/>
          <w:rtl/>
        </w:rPr>
        <w:t>(תהלים צא ד)</w:t>
      </w:r>
      <w:r>
        <w:rPr>
          <w:rtl/>
        </w:rPr>
        <w:t xml:space="preserve"> וְתַחַת כְּנָפָיו תֶּחְסֶּה צִנָּה, וְאִתְקְרֵי חתמיא''ל בְּזִמְנָא דְחָתִים זַכְוָון וְחוֹבִין עַל </w:t>
      </w:r>
      <w:r w:rsidRPr="005F01B5">
        <w:rPr>
          <w:rtl/>
        </w:rPr>
        <w:t>בְּנֵי</w:t>
      </w:r>
      <w:r>
        <w:rPr>
          <w:rtl/>
        </w:rPr>
        <w:t xml:space="preserve"> עָלְמָא, כתביא''ל בְּזִמְנָא דְכָתַב חוֹבִין וְזַכְוָון.</w:t>
      </w:r>
    </w:p>
    <w:p w:rsidR="00602EF1" w:rsidRDefault="00602EF1" w:rsidP="005F01B5">
      <w:pPr>
        <w:pStyle w:val="NormalWeb"/>
        <w:rPr>
          <w:rtl/>
        </w:rPr>
      </w:pPr>
      <w:r>
        <w:rPr>
          <w:rtl/>
        </w:rPr>
        <w:t xml:space="preserve">וְכָל מַלְאָכָא כְּפוּם שְׁמֵיהּ אִית לֵיהּ קְרָא בְאוֹרַיְיתָא, כתביא''ל עַל שֵׁם </w:t>
      </w:r>
      <w:r>
        <w:rPr>
          <w:sz w:val="20"/>
          <w:szCs w:val="23"/>
          <w:rtl/>
        </w:rPr>
        <w:t>(שמות לב טז)</w:t>
      </w:r>
      <w:r>
        <w:rPr>
          <w:rtl/>
        </w:rPr>
        <w:t xml:space="preserve"> וְהַמִּכְתָּב מִכְתַּב אלהי''ם הוּא וְגוֹמֵר. </w:t>
      </w:r>
      <w:r>
        <w:rPr>
          <w:rStyle w:val="a7"/>
          <w:b w:val="0"/>
          <w:bCs w:val="0"/>
          <w:rtl/>
        </w:rPr>
        <w:footnoteReference w:id="4428"/>
      </w:r>
      <w:r>
        <w:rPr>
          <w:rtl/>
        </w:rPr>
        <w:t xml:space="preserve">זכריא''ל, זָכְרֵנוּ לְחַיִּים, וְעַל שֵׁם זוֹכֵר בְּרִית אָבוֹת, וְאִשְׁתַּרְשָׁא בְּזָכוֹר, שמריא''ל בְּשָׁמוֹר, </w:t>
      </w:r>
      <w:r w:rsidRPr="005F01B5">
        <w:rPr>
          <w:rtl/>
        </w:rPr>
        <w:t>חסדיא''ל</w:t>
      </w:r>
      <w:r>
        <w:rPr>
          <w:rtl/>
        </w:rPr>
        <w:t xml:space="preserve"> בְּחֶסֶד, גַּבְרִיאֵ''ל בִּגְבוּרָה, צדקיא''ל בְּצֶדֶק, רְפָאֵ''ל </w:t>
      </w:r>
      <w:r>
        <w:rPr>
          <w:sz w:val="20"/>
          <w:szCs w:val="23"/>
          <w:rtl/>
        </w:rPr>
        <w:t>(ברפואה, יתוא''ל)</w:t>
      </w:r>
      <w:r>
        <w:rPr>
          <w:rtl/>
        </w:rPr>
        <w:t xml:space="preserve"> בְּתִפְאֶרֶת, מלכיא''ל בַּמַּלְכוּת, לֵית מַלְאָךְ דְּלֵית לֵיהּ עִקָּרָא וִיסוֹדָא בִסְפִירָן, וְכָל סְפִירָה אִית לָהּ </w:t>
      </w:r>
      <w:r>
        <w:rPr>
          <w:rStyle w:val="a7"/>
          <w:b w:val="0"/>
          <w:bCs w:val="0"/>
          <w:rtl/>
        </w:rPr>
        <w:footnoteReference w:id="4429"/>
      </w:r>
      <w:r>
        <w:rPr>
          <w:rtl/>
        </w:rPr>
        <w:t xml:space="preserve">שֵׁם יְדִיעַ </w:t>
      </w:r>
      <w:r>
        <w:rPr>
          <w:rStyle w:val="a7"/>
          <w:b w:val="0"/>
          <w:bCs w:val="0"/>
          <w:rtl/>
        </w:rPr>
        <w:footnoteReference w:id="4430"/>
      </w:r>
      <w:r>
        <w:rPr>
          <w:rtl/>
        </w:rPr>
        <w:t xml:space="preserve">וַהֲוַיָּ''ה יְדִיעָה, </w:t>
      </w:r>
      <w:r>
        <w:rPr>
          <w:rStyle w:val="a7"/>
          <w:b w:val="0"/>
          <w:bCs w:val="0"/>
          <w:rtl/>
        </w:rPr>
        <w:footnoteReference w:id="4431"/>
      </w:r>
      <w:r>
        <w:rPr>
          <w:rtl/>
        </w:rPr>
        <w:t>וְכָל שְׁמָהָן תַּמָּן אִית לוֹן עִקָּרָא וִיסוֹדָא.</w:t>
      </w:r>
    </w:p>
    <w:p w:rsidR="00602EF1" w:rsidRDefault="00602EF1" w:rsidP="005F01B5">
      <w:pPr>
        <w:pStyle w:val="2"/>
        <w:rPr>
          <w:rtl/>
        </w:rPr>
      </w:pPr>
      <w:r>
        <w:rPr>
          <w:rtl/>
        </w:rPr>
        <w:t xml:space="preserve">[תיקוני זוהר - דף צה ע''א] </w:t>
      </w:r>
    </w:p>
    <w:p w:rsidR="00602EF1" w:rsidRDefault="00602EF1" w:rsidP="00602EF1">
      <w:pPr>
        <w:pStyle w:val="NormalWeb"/>
        <w:rPr>
          <w:b w:val="0"/>
          <w:bCs w:val="0"/>
          <w:rtl/>
        </w:rPr>
      </w:pPr>
      <w:r>
        <w:rPr>
          <w:b w:val="0"/>
          <w:bCs w:val="0"/>
          <w:rtl/>
        </w:rPr>
        <w:t xml:space="preserve">וְכָל מַלְאָכַיָּא דְסוּסֵיהוֹן סוּסֵי אֶשָּׁא, וּמֶרְכָּבוֹתֵיהֶן אֶשָּׁא וְקַשְׁתּוֹתֵיהוֹן אֶשָּׁא וְרוֹמְחֵיהוֹן אֶשָּׁא, וְכָל מָאנֵי קְרָבָא דִלְהוֹן אֶשָּׁא, יְסוֹדֵיהוֹן בִּגְבוּרָה, וּמַלְאֲכֵי חַבָּלָה דְאִנּוּן אֶשָּׁא, יְסוֹדָא דִלְהוֹן בְּגֵיהִנָּם, וְאִית מַלְאָכַיָּא דְאִתְּמַר בְּהוֹן </w:t>
      </w:r>
      <w:r>
        <w:rPr>
          <w:b w:val="0"/>
          <w:sz w:val="20"/>
          <w:szCs w:val="23"/>
          <w:rtl/>
        </w:rPr>
        <w:t>(תהלים קד ד)</w:t>
      </w:r>
      <w:r>
        <w:rPr>
          <w:b w:val="0"/>
          <w:bCs w:val="0"/>
          <w:rtl/>
        </w:rPr>
        <w:t xml:space="preserve"> עוֹשֶׂה מַלְאָכָיו רוּחוֹת, יְסוֹדָא דִלְהוֹן בְּעַמּוּדָא דְאֶמְצָעִיתָא, וְאִית מַלְאָכַיָּא דְאִינוּן מִמַּיָּא דִרְקִיעָא, דְאִתְּמַר בְּהוֹן </w:t>
      </w:r>
      <w:r>
        <w:rPr>
          <w:b w:val="0"/>
          <w:sz w:val="20"/>
          <w:szCs w:val="23"/>
          <w:rtl/>
        </w:rPr>
        <w:t>(שם קמח ד)</w:t>
      </w:r>
      <w:r>
        <w:rPr>
          <w:b w:val="0"/>
          <w:bCs w:val="0"/>
          <w:rtl/>
        </w:rPr>
        <w:t xml:space="preserve"> וְהַמַּיִם אֲשֶׁר מֵעַל הַשָּׁמָיִם, מִסִּטְרָא דִימִינָא, כֻּלְּהוֹן עִקָּרֵיהוֹן לְעִילָא, וְלֵית מַלְאָכָא דְלָא אִשְׁתַּכַּח בֵּיהּ שֵׁם יהו''ה, </w:t>
      </w:r>
      <w:r>
        <w:rPr>
          <w:rStyle w:val="a7"/>
          <w:b w:val="0"/>
          <w:bCs w:val="0"/>
          <w:rtl/>
        </w:rPr>
        <w:footnoteReference w:id="4432"/>
      </w:r>
      <w:r>
        <w:rPr>
          <w:b w:val="0"/>
          <w:bCs w:val="0"/>
          <w:rtl/>
        </w:rPr>
        <w:t xml:space="preserve">דְּאִשְׁתַּכַּח </w:t>
      </w:r>
      <w:r>
        <w:rPr>
          <w:b w:val="0"/>
          <w:sz w:val="20"/>
          <w:szCs w:val="23"/>
          <w:rtl/>
        </w:rPr>
        <w:t xml:space="preserve">(דף צה ע''א) </w:t>
      </w:r>
      <w:r>
        <w:rPr>
          <w:b w:val="0"/>
          <w:bCs w:val="0"/>
          <w:rtl/>
        </w:rPr>
        <w:t>בְּכָל אֲתַר, כְּגַוְונָא דְנִשְׁמָתָא דְאִשְׁתַּכְּחַת בְּכָל אֵבֶר וְאֵבֶר, וּבְגִין דָּא אִית לְבַר נַשׁ לְאַמְלָכָא יהו''ה בְּכָל סְפִירָן, וּבְכָל כָּרְסַיָּין, וּבְכָל מַלְאָכִין, וּבְכָל אֵבֶר וְאֵבֶר דְּבַר נַשׁ, דְּלֵית אֲתַר פָּנוּי מִנֵּיהּ לָא בְּעִלָּאִין וְלָא בְתַתָּאִין, יהו''ה לָא אִתְקְרֵי בְּיִחוּדָא דְאַרְבַּע אַתְוָון אֶלָּא בְּעִלַּת הָעִלּוֹת דִּמְיַחֵד לוֹן, וּבְגִין דְּאִיהוּ מְיַחֵד אַרְבַּע אַתְוָון, בֵּיהּ אִתְקְרִיאוּ יהו''ה בְּיִחוּדָא חֲדָא יהו''ה אֶחָד וּשְׁמוֹ אֶחָד, וּבְגִין דָּא שַׁוִּי אֱמוּנָה דְיִשְׂרָאֵל בְּאַרְבַּע אַתְוָון אִלֵּין, וְכָל שְׁמָהָן שַׁוִּי כִּנּוּיִין לִשְׁמָא דָא, לֵית שְׁמָא עַד אֵין סוֹף וְעַד אֵין תַּכְלִית רַבְרְבָא וְשָׁלְטָנָא מִן דָּא, לְעִילָא עַד אֵין סוֹף, וּלְתַתָּא עַד אֵין תַּכְלִית, וְכָל חֲיָילִין וּמַשִּׁרְיָין מִנֵּיהּ דַּחֲלִין וּמִזְדַּעְזְעִין.</w:t>
      </w:r>
    </w:p>
    <w:p w:rsidR="00602EF1" w:rsidRDefault="00602EF1" w:rsidP="00602EF1">
      <w:pPr>
        <w:pStyle w:val="a8"/>
        <w:spacing w:before="0" w:after="40"/>
        <w:rPr>
          <w:rtl/>
        </w:rPr>
      </w:pPr>
      <w:bookmarkStart w:id="281" w:name="_Toc228091336"/>
      <w:bookmarkStart w:id="282" w:name="_Toc231637975"/>
    </w:p>
    <w:p w:rsidR="00602EF1" w:rsidRDefault="00602EF1" w:rsidP="00602EF1">
      <w:pPr>
        <w:pStyle w:val="1"/>
        <w:rPr>
          <w:u w:val="single"/>
          <w:rtl/>
        </w:rPr>
      </w:pPr>
      <w:r>
        <w:rPr>
          <w:rtl/>
        </w:rPr>
        <w:t>תקונא תמניא וחמשין</w:t>
      </w:r>
      <w:bookmarkEnd w:id="281"/>
      <w:bookmarkEnd w:id="282"/>
    </w:p>
    <w:p w:rsidR="00602EF1" w:rsidRDefault="00602EF1" w:rsidP="00602EF1">
      <w:pPr>
        <w:spacing w:after="40" w:line="360" w:lineRule="atLeast"/>
        <w:ind w:left="144" w:right="144" w:firstLine="288"/>
        <w:jc w:val="both"/>
        <w:rPr>
          <w:rFonts w:ascii="Arial"/>
          <w:b/>
          <w:bCs/>
          <w:sz w:val="29"/>
          <w:szCs w:val="29"/>
          <w:rtl/>
        </w:rPr>
      </w:pPr>
      <w:r>
        <w:rPr>
          <w:rStyle w:val="a7"/>
          <w:rFonts w:ascii="Arial"/>
          <w:b/>
          <w:bCs/>
          <w:sz w:val="29"/>
          <w:szCs w:val="29"/>
          <w:rtl/>
        </w:rPr>
        <w:footnoteReference w:id="4433"/>
      </w:r>
      <w:r>
        <w:rPr>
          <w:rFonts w:ascii="Arial"/>
          <w:b/>
          <w:bCs/>
          <w:sz w:val="29"/>
          <w:szCs w:val="29"/>
          <w:rtl/>
        </w:rPr>
        <w:t xml:space="preserve">בְּרֵאשִׁית בָּרָא אלהי''ם </w:t>
      </w:r>
      <w:r>
        <w:rPr>
          <w:rFonts w:ascii="Arial"/>
          <w:b/>
          <w:szCs w:val="23"/>
          <w:rtl/>
        </w:rPr>
        <w:t>(איהי)</w:t>
      </w:r>
      <w:r>
        <w:rPr>
          <w:rFonts w:ascii="Arial"/>
          <w:b/>
          <w:bCs/>
          <w:sz w:val="29"/>
          <w:szCs w:val="29"/>
          <w:rtl/>
        </w:rPr>
        <w:t xml:space="preserve"> אֶת, בַּת יְחִידָה אִיהִי בַּת מֶלֶךְ פְּנִימָה, </w:t>
      </w:r>
      <w:r>
        <w:rPr>
          <w:rFonts w:ascii="Arial"/>
          <w:b/>
          <w:szCs w:val="23"/>
          <w:rtl/>
        </w:rPr>
        <w:t>(איהי)</w:t>
      </w:r>
      <w:r>
        <w:rPr>
          <w:rFonts w:ascii="Arial"/>
          <w:b/>
          <w:sz w:val="29"/>
          <w:szCs w:val="23"/>
          <w:rtl/>
        </w:rPr>
        <w:t xml:space="preserve"> </w:t>
      </w:r>
      <w:r>
        <w:rPr>
          <w:rStyle w:val="Char"/>
          <w:rtl/>
        </w:rPr>
        <w:t>אֶת אֲמָתָא דִילָהּ, וַעֲלָהּ אִתְּמַר</w:t>
      </w:r>
      <w:r>
        <w:rPr>
          <w:rFonts w:ascii="Arial"/>
          <w:b/>
          <w:sz w:val="29"/>
          <w:szCs w:val="23"/>
          <w:rtl/>
        </w:rPr>
        <w:t xml:space="preserve"> </w:t>
      </w:r>
      <w:r>
        <w:rPr>
          <w:rFonts w:ascii="Arial"/>
          <w:b/>
          <w:szCs w:val="23"/>
          <w:rtl/>
        </w:rPr>
        <w:t>(בראשית ב כא)</w:t>
      </w:r>
      <w:r>
        <w:rPr>
          <w:rFonts w:ascii="Arial"/>
          <w:b/>
          <w:bCs/>
          <w:sz w:val="29"/>
          <w:szCs w:val="29"/>
          <w:rtl/>
        </w:rPr>
        <w:t xml:space="preserve"> וַיַּפֵּל יהו''ה אלהי''ם תַּרְדֵּמָה עַל הָאָדָם וַיִּישָׁן וכו', מַאי וַיִּסְגּוֹר, פָּתַח רַבִּי שִׁמְעוֹן וְאָמַר, וִירִיחוֹ סוֹגֶרֶת וּמְסוּגֶרֶת </w:t>
      </w:r>
      <w:r>
        <w:rPr>
          <w:rFonts w:ascii="Arial"/>
          <w:b/>
          <w:szCs w:val="23"/>
          <w:rtl/>
        </w:rPr>
        <w:t>(יהושע ו טו)</w:t>
      </w:r>
      <w:r>
        <w:rPr>
          <w:rFonts w:ascii="Arial"/>
          <w:b/>
          <w:bCs/>
          <w:sz w:val="29"/>
          <w:szCs w:val="29"/>
          <w:rtl/>
        </w:rPr>
        <w:t>, מַאי וִירִיחוֹ, דָא אִיהִי יָרֵחַ דְּאִיהִי גוּפָא דִילָהּ, אֲמָתָא מִבְּרַתָּא דְמַלְכָּא, דְאִיהִי נְקוּדָה דִילָהּ, סוֹגֶרֶת וּמְסוּגֶרֶת מִלְּגָאו, כְּגַוְונָא דָא כּ.</w:t>
      </w:r>
    </w:p>
    <w:p w:rsidR="00602EF1" w:rsidRDefault="00602EF1" w:rsidP="00602EF1">
      <w:pPr>
        <w:spacing w:after="40" w:line="360" w:lineRule="atLeast"/>
        <w:ind w:left="144" w:right="144" w:firstLine="288"/>
        <w:jc w:val="both"/>
        <w:rPr>
          <w:rFonts w:ascii="Arial"/>
          <w:b/>
          <w:bCs/>
          <w:sz w:val="29"/>
          <w:szCs w:val="29"/>
          <w:rtl/>
        </w:rPr>
      </w:pPr>
      <w:r>
        <w:rPr>
          <w:rFonts w:ascii="Arial"/>
          <w:b/>
          <w:bCs/>
          <w:sz w:val="29"/>
          <w:szCs w:val="29"/>
          <w:rtl/>
        </w:rPr>
        <w:t xml:space="preserve">וּבְגִינָהּ אִתְּמַר </w:t>
      </w:r>
      <w:r>
        <w:rPr>
          <w:rFonts w:ascii="Arial"/>
          <w:b/>
          <w:szCs w:val="23"/>
          <w:rtl/>
        </w:rPr>
        <w:t>(שמות כה כז)</w:t>
      </w:r>
      <w:r>
        <w:rPr>
          <w:rFonts w:ascii="Arial"/>
          <w:b/>
          <w:bCs/>
          <w:sz w:val="29"/>
          <w:szCs w:val="29"/>
          <w:rtl/>
        </w:rPr>
        <w:t xml:space="preserve"> לְעֻמַּת הַמִּסְגֶּרֶת תִּהְיֶינָה הַטַּבָּעוֹת וְגוֹמֵר, מַאי הַטַּבָּעוֹת אִלֵּין תְּרֵין אוּדְנִין דְּלִבָּא דְאִינוּן עֲגוּלִין כַּטַּבָּעוֹת, וְלִבָּא אִיהוּ לִשְׂמָאלָא, הָכִי פָּתוֹרָא צָרִיךְ לִשְׂמָאלָא, שֻׁלְחָן בַּצָּפוֹן, </w:t>
      </w:r>
      <w:r>
        <w:rPr>
          <w:rStyle w:val="a7"/>
          <w:rFonts w:ascii="Arial"/>
          <w:b/>
          <w:bCs/>
          <w:sz w:val="29"/>
          <w:szCs w:val="29"/>
          <w:rtl/>
        </w:rPr>
        <w:footnoteReference w:id="4434"/>
      </w:r>
      <w:r>
        <w:rPr>
          <w:rFonts w:ascii="Arial"/>
          <w:b/>
          <w:bCs/>
          <w:sz w:val="29"/>
          <w:szCs w:val="29"/>
          <w:rtl/>
        </w:rPr>
        <w:t xml:space="preserve">וּבְגִין דִּא שְׁמִיעָה תַּלְיָא בְלִבָּא, וְאוּקְמוּהוּ מָארֵי מַתְנִיתִין הַלֵּב שׁוֹמֵעַ, לְבָתִּים לְבַדִּים </w:t>
      </w:r>
      <w:r>
        <w:rPr>
          <w:rFonts w:ascii="Arial"/>
          <w:b/>
          <w:szCs w:val="23"/>
          <w:rtl/>
        </w:rPr>
        <w:t>(שם)</w:t>
      </w:r>
      <w:r>
        <w:rPr>
          <w:rFonts w:ascii="Arial"/>
          <w:b/>
          <w:bCs/>
          <w:sz w:val="29"/>
          <w:szCs w:val="29"/>
          <w:rtl/>
        </w:rPr>
        <w:t xml:space="preserve">, מַאי לְבָתִּים אִינוּן תְּרֵי בָתֵּי לִבָּא, </w:t>
      </w:r>
      <w:r>
        <w:rPr>
          <w:rStyle w:val="a7"/>
          <w:rFonts w:ascii="Arial"/>
          <w:b/>
          <w:bCs/>
          <w:sz w:val="29"/>
          <w:szCs w:val="29"/>
          <w:rtl/>
        </w:rPr>
        <w:footnoteReference w:id="4435"/>
      </w:r>
      <w:r>
        <w:rPr>
          <w:rFonts w:ascii="Arial"/>
          <w:b/>
          <w:bCs/>
          <w:sz w:val="29"/>
          <w:szCs w:val="29"/>
          <w:rtl/>
        </w:rPr>
        <w:t xml:space="preserve">מַאי לְבַדִּים אִינוּן תְּרֵין כֻּלְיָין, תַּרְוַיְיהוּ לְבָר, עֲלַיְיהוּ אִתְּמַר </w:t>
      </w:r>
      <w:r>
        <w:rPr>
          <w:rFonts w:ascii="Arial"/>
          <w:b/>
          <w:szCs w:val="23"/>
          <w:rtl/>
        </w:rPr>
        <w:t>(שם כו כד)</w:t>
      </w:r>
      <w:r>
        <w:rPr>
          <w:rFonts w:ascii="Arial"/>
          <w:b/>
          <w:bCs/>
          <w:sz w:val="29"/>
          <w:szCs w:val="29"/>
          <w:rtl/>
        </w:rPr>
        <w:t xml:space="preserve"> וְהָיוּ תוֹאֲמִים מִלְּמַטָּה, תְּרֵי כַּנְפֵי רֵיאָה, וְיַחְדָּיו יִהְיוּ תַמִּים עַל רֹאשׁוֹ.</w:t>
      </w:r>
    </w:p>
    <w:p w:rsidR="00602EF1" w:rsidRDefault="00602EF1" w:rsidP="00602EF1">
      <w:pPr>
        <w:spacing w:after="40" w:line="360" w:lineRule="atLeast"/>
        <w:ind w:left="144" w:right="144" w:firstLine="288"/>
        <w:jc w:val="both"/>
        <w:rPr>
          <w:rFonts w:ascii="Arial"/>
          <w:b/>
          <w:bCs/>
          <w:sz w:val="29"/>
          <w:szCs w:val="29"/>
          <w:rtl/>
        </w:rPr>
      </w:pPr>
      <w:r>
        <w:rPr>
          <w:rStyle w:val="a7"/>
          <w:rFonts w:ascii="Arial"/>
          <w:b/>
          <w:bCs/>
          <w:sz w:val="29"/>
          <w:szCs w:val="29"/>
          <w:rtl/>
        </w:rPr>
        <w:footnoteReference w:id="4436"/>
      </w:r>
      <w:r>
        <w:rPr>
          <w:rFonts w:ascii="Arial"/>
          <w:b/>
          <w:bCs/>
          <w:sz w:val="29"/>
          <w:szCs w:val="29"/>
          <w:rtl/>
        </w:rPr>
        <w:t xml:space="preserve">תָּא חֲזִי, אִתְּמַר בְּהַאי צֵלָע </w:t>
      </w:r>
      <w:r>
        <w:rPr>
          <w:rFonts w:ascii="Arial"/>
          <w:b/>
          <w:szCs w:val="23"/>
          <w:rtl/>
        </w:rPr>
        <w:t>(בראשית ב כב)</w:t>
      </w:r>
      <w:r>
        <w:rPr>
          <w:rFonts w:ascii="Arial"/>
          <w:b/>
          <w:bCs/>
          <w:sz w:val="29"/>
          <w:szCs w:val="29"/>
          <w:rtl/>
        </w:rPr>
        <w:t xml:space="preserve"> וַיִּקַּח, וּלְבָתַר וַיִּבֶן יהו''ה אלהי''ם אֶת הַצֵּלָע, מַאי וַיִּבֶן, אֶלָּא </w:t>
      </w:r>
      <w:r>
        <w:rPr>
          <w:rFonts w:ascii="Arial"/>
          <w:b/>
          <w:szCs w:val="23"/>
          <w:rtl/>
        </w:rPr>
        <w:t>(מלכים א ח יג)</w:t>
      </w:r>
      <w:r>
        <w:rPr>
          <w:rFonts w:ascii="Arial"/>
          <w:b/>
          <w:bCs/>
          <w:sz w:val="29"/>
          <w:szCs w:val="29"/>
          <w:rtl/>
        </w:rPr>
        <w:t xml:space="preserve"> בָּנֹה בָנִיתִי בֵּית זְבוּל לָךְ וְגוֹמֵר, וְהַבַּיִת בְּהִבָּנוֹתוֹ אֶבֶן שְׁלֵמָה מַסָּע נִבְנָה, תְּרֵי בָּתֵּי לִבָּא אִינוּן תְּרֵי בִּנְיָנִין דְּהַאי קְרָא, הֲדָא הוּא דִכְתִיב </w:t>
      </w:r>
      <w:r>
        <w:rPr>
          <w:rFonts w:ascii="Arial"/>
          <w:b/>
          <w:szCs w:val="23"/>
          <w:rtl/>
        </w:rPr>
        <w:t>(שם ו ז)</w:t>
      </w:r>
      <w:r>
        <w:rPr>
          <w:rFonts w:ascii="Arial"/>
          <w:b/>
          <w:bCs/>
          <w:sz w:val="29"/>
          <w:szCs w:val="29"/>
          <w:rtl/>
        </w:rPr>
        <w:t xml:space="preserve"> וְהַבַּיִת בְּהִבָּנוֹתוֹ דָּא בַּיִת רִאשׁוֹן, אֶבֶן שְׁלֵמָה מַסָּע נִבְנָה דָּא בַּיִת שֵׁנִי, </w:t>
      </w:r>
      <w:r>
        <w:rPr>
          <w:rStyle w:val="a7"/>
          <w:rFonts w:ascii="Arial"/>
          <w:b/>
          <w:bCs/>
          <w:sz w:val="29"/>
          <w:szCs w:val="29"/>
          <w:rtl/>
        </w:rPr>
        <w:footnoteReference w:id="4437"/>
      </w:r>
      <w:r>
        <w:rPr>
          <w:rFonts w:ascii="Arial"/>
          <w:b/>
          <w:bCs/>
          <w:sz w:val="29"/>
          <w:szCs w:val="29"/>
          <w:rtl/>
        </w:rPr>
        <w:t>וּלְקִבְלַיְיהוּ אָמַר בָּנֹה בָּנִיתִי תְּרֵין בִּנְיָנִין, חַד אִתְקְרִיאַת בִּנְיָינָא דְאִימָּא עִלָּאָה, וְתִנְיָינָא בִּנְיָינָא דְאִימָּא תַתָּאָה.</w:t>
      </w:r>
    </w:p>
    <w:p w:rsidR="00602EF1" w:rsidRDefault="00602EF1" w:rsidP="00602EF1">
      <w:pPr>
        <w:spacing w:after="40" w:line="360" w:lineRule="atLeast"/>
        <w:ind w:left="144" w:right="144" w:firstLine="288"/>
        <w:jc w:val="both"/>
        <w:rPr>
          <w:rFonts w:ascii="Arial"/>
          <w:b/>
          <w:bCs/>
          <w:sz w:val="29"/>
          <w:szCs w:val="29"/>
          <w:rtl/>
        </w:rPr>
      </w:pPr>
      <w:r>
        <w:rPr>
          <w:rStyle w:val="a7"/>
          <w:rFonts w:ascii="Arial"/>
          <w:b/>
          <w:bCs/>
          <w:sz w:val="29"/>
          <w:szCs w:val="29"/>
          <w:rtl/>
        </w:rPr>
        <w:footnoteReference w:id="4438"/>
      </w:r>
      <w:r>
        <w:rPr>
          <w:rFonts w:ascii="Arial"/>
          <w:b/>
          <w:bCs/>
          <w:sz w:val="29"/>
          <w:szCs w:val="29"/>
          <w:rtl/>
        </w:rPr>
        <w:t xml:space="preserve">וְעוֹד וַיִּבֶן, לִישָׁנָא וְאִבָּנֶה גַם אָנֹכִי מִמֶּנָּה </w:t>
      </w:r>
      <w:r>
        <w:rPr>
          <w:rFonts w:ascii="Arial"/>
          <w:b/>
          <w:szCs w:val="23"/>
          <w:rtl/>
        </w:rPr>
        <w:t>(בראשית ל ג)</w:t>
      </w:r>
      <w:r>
        <w:rPr>
          <w:rFonts w:ascii="Arial"/>
          <w:b/>
          <w:bCs/>
          <w:sz w:val="29"/>
          <w:szCs w:val="29"/>
          <w:rtl/>
        </w:rPr>
        <w:t xml:space="preserve">, בִּנְיָינָא דְיִבּוּם, </w:t>
      </w:r>
      <w:r>
        <w:rPr>
          <w:rStyle w:val="a7"/>
          <w:rFonts w:ascii="Arial"/>
          <w:b/>
          <w:bCs/>
          <w:sz w:val="29"/>
          <w:szCs w:val="29"/>
          <w:rtl/>
        </w:rPr>
        <w:footnoteReference w:id="4439"/>
      </w:r>
      <w:r>
        <w:rPr>
          <w:rFonts w:ascii="Arial"/>
          <w:b/>
          <w:bCs/>
          <w:sz w:val="29"/>
          <w:szCs w:val="29"/>
          <w:rtl/>
        </w:rPr>
        <w:t xml:space="preserve">וּכְמָה דְהַאי נְקוּדָה אִיהִי סוֹגֶרֶת וּמְסוּגֶרֶת, הָכִי צְרִיכָה בְּרַתָּא דְאִיהִי בְּתוּלָה, לְמֵיהֱוִי סְגוּרָה וּמְסוּגֶרֶת בְּבֵית אָבִיהָ, </w:t>
      </w:r>
      <w:r>
        <w:rPr>
          <w:rFonts w:ascii="Arial"/>
          <w:b/>
          <w:szCs w:val="23"/>
          <w:rtl/>
        </w:rPr>
        <w:t>(שם כד)</w:t>
      </w:r>
      <w:r>
        <w:rPr>
          <w:rFonts w:ascii="Arial"/>
          <w:b/>
          <w:sz w:val="29"/>
          <w:szCs w:val="23"/>
          <w:rtl/>
        </w:rPr>
        <w:t xml:space="preserve"> </w:t>
      </w:r>
      <w:r>
        <w:rPr>
          <w:rStyle w:val="Char"/>
          <w:rtl/>
        </w:rPr>
        <w:t>בְּתוּלָה וְאִישׁ לֹא יְדָעָהּ</w:t>
      </w:r>
      <w:r>
        <w:rPr>
          <w:rFonts w:ascii="Arial"/>
          <w:b/>
          <w:sz w:val="29"/>
          <w:szCs w:val="23"/>
          <w:rtl/>
        </w:rPr>
        <w:t xml:space="preserve"> </w:t>
      </w:r>
      <w:r>
        <w:rPr>
          <w:rFonts w:ascii="Arial"/>
          <w:b/>
          <w:szCs w:val="23"/>
          <w:rtl/>
        </w:rPr>
        <w:t>(שם כד טז)</w:t>
      </w:r>
      <w:r>
        <w:rPr>
          <w:rFonts w:ascii="Arial"/>
          <w:b/>
          <w:bCs/>
          <w:sz w:val="29"/>
          <w:szCs w:val="29"/>
          <w:rtl/>
        </w:rPr>
        <w:t xml:space="preserve">, וַתֵּרֶד הָעַיְנָה </w:t>
      </w:r>
      <w:r>
        <w:rPr>
          <w:rStyle w:val="a7"/>
          <w:rFonts w:ascii="Arial"/>
          <w:b/>
          <w:bCs/>
          <w:sz w:val="29"/>
          <w:szCs w:val="29"/>
          <w:rtl/>
        </w:rPr>
        <w:footnoteReference w:id="4440"/>
      </w:r>
      <w:r>
        <w:rPr>
          <w:rFonts w:ascii="Arial"/>
          <w:b/>
          <w:bCs/>
          <w:sz w:val="29"/>
          <w:szCs w:val="29"/>
          <w:rtl/>
        </w:rPr>
        <w:t xml:space="preserve">דָּא בַּת עִינָא, </w:t>
      </w:r>
      <w:r>
        <w:rPr>
          <w:rStyle w:val="a7"/>
          <w:rFonts w:ascii="Arial"/>
          <w:b/>
          <w:bCs/>
          <w:sz w:val="29"/>
          <w:szCs w:val="29"/>
          <w:rtl/>
        </w:rPr>
        <w:footnoteReference w:id="4441"/>
      </w:r>
      <w:r>
        <w:rPr>
          <w:rFonts w:ascii="Arial"/>
          <w:b/>
          <w:bCs/>
          <w:sz w:val="29"/>
          <w:szCs w:val="29"/>
          <w:rtl/>
        </w:rPr>
        <w:t xml:space="preserve">סוֹגֶרֶת וּמְסוּגֶרֶת בְּעִינָא, וּתְלַת גַּוָּונִין סַחֲרִין לָהּ, </w:t>
      </w:r>
      <w:r>
        <w:rPr>
          <w:rStyle w:val="a7"/>
          <w:rFonts w:ascii="Arial"/>
          <w:b/>
          <w:bCs/>
          <w:sz w:val="29"/>
          <w:szCs w:val="29"/>
          <w:rtl/>
        </w:rPr>
        <w:footnoteReference w:id="4442"/>
      </w:r>
      <w:r>
        <w:rPr>
          <w:rFonts w:ascii="Arial"/>
          <w:b/>
          <w:bCs/>
          <w:sz w:val="29"/>
          <w:szCs w:val="29"/>
          <w:rtl/>
        </w:rPr>
        <w:t xml:space="preserve">וַעֲלַיְיהוּ אִתְּמַר </w:t>
      </w:r>
      <w:r>
        <w:rPr>
          <w:rFonts w:ascii="Arial"/>
          <w:b/>
          <w:szCs w:val="23"/>
          <w:rtl/>
        </w:rPr>
        <w:t>(איוב לג כד)</w:t>
      </w:r>
      <w:r>
        <w:rPr>
          <w:rFonts w:ascii="Arial"/>
          <w:b/>
          <w:bCs/>
          <w:sz w:val="29"/>
          <w:szCs w:val="29"/>
          <w:rtl/>
        </w:rPr>
        <w:t xml:space="preserve"> הֶן כָּל אֵלֶּה יִפְעַל אֵ''ל פַּעֲמַיִם שָׁלֹשׁ עִם גָּבֶר. וְכַד נָחִית לוֹן מֹשֶׁה אוֹרַיְיתָא לְיִשְׂרָאֵל מִינָהּ, אָמַר הֱיוּ נְכוֹנִים לִשְׁלֹשֶׁת יָמִים אַל תִּגְּשׁוּ אֶל אִשָּׁה </w:t>
      </w:r>
      <w:r>
        <w:rPr>
          <w:rFonts w:ascii="Arial"/>
          <w:b/>
          <w:szCs w:val="23"/>
          <w:rtl/>
        </w:rPr>
        <w:t>(שמות יט טו)</w:t>
      </w:r>
      <w:r>
        <w:rPr>
          <w:rFonts w:ascii="Arial"/>
          <w:b/>
          <w:bCs/>
          <w:sz w:val="29"/>
          <w:szCs w:val="29"/>
          <w:rtl/>
        </w:rPr>
        <w:t xml:space="preserve">, שְׁלֹשֶׁת יָמִים לָקֳבֵל תְּלַת גַּוָּונִין דְּעִינָא, וְאִיהִי טְמִירָא וּסְתִירָא בְּהוֹן, </w:t>
      </w:r>
      <w:r>
        <w:rPr>
          <w:rStyle w:val="a7"/>
          <w:rFonts w:ascii="Arial"/>
          <w:b/>
          <w:bCs/>
          <w:sz w:val="29"/>
          <w:szCs w:val="29"/>
          <w:rtl/>
        </w:rPr>
        <w:footnoteReference w:id="4443"/>
      </w:r>
      <w:r>
        <w:rPr>
          <w:rFonts w:ascii="Arial"/>
          <w:b/>
          <w:bCs/>
          <w:sz w:val="29"/>
          <w:szCs w:val="29"/>
          <w:rtl/>
        </w:rPr>
        <w:t>וְאִישׁ לֹא יְדָעָהּ בְּהוֹן, עַד דְּאִתְפַּשְׁטַת מִנַּיְיהוּ.</w:t>
      </w:r>
    </w:p>
    <w:p w:rsidR="00602EF1" w:rsidRDefault="00602EF1" w:rsidP="00602EF1">
      <w:pPr>
        <w:pStyle w:val="aa"/>
        <w:spacing w:after="40"/>
        <w:rPr>
          <w:rtl/>
        </w:rPr>
      </w:pPr>
      <w:r>
        <w:rPr>
          <w:rtl/>
        </w:rPr>
        <w:t xml:space="preserve">[תיקוני זוהר - דף צה ע''ב] </w:t>
      </w:r>
    </w:p>
    <w:p w:rsidR="00602EF1" w:rsidRDefault="00602EF1" w:rsidP="00602EF1">
      <w:pPr>
        <w:spacing w:after="40" w:line="360" w:lineRule="atLeast"/>
        <w:ind w:left="144" w:right="144" w:firstLine="288"/>
        <w:jc w:val="both"/>
        <w:rPr>
          <w:rFonts w:ascii="Arial"/>
          <w:b/>
          <w:bCs/>
          <w:sz w:val="29"/>
          <w:szCs w:val="29"/>
          <w:rtl/>
        </w:rPr>
      </w:pPr>
      <w:r>
        <w:rPr>
          <w:rStyle w:val="a7"/>
          <w:rFonts w:ascii="Arial"/>
          <w:b/>
          <w:bCs/>
          <w:sz w:val="29"/>
          <w:szCs w:val="29"/>
          <w:rtl/>
        </w:rPr>
        <w:footnoteReference w:id="4444"/>
      </w:r>
      <w:r>
        <w:rPr>
          <w:rFonts w:ascii="Arial"/>
          <w:b/>
          <w:bCs/>
          <w:sz w:val="29"/>
          <w:szCs w:val="29"/>
          <w:rtl/>
        </w:rPr>
        <w:t xml:space="preserve">וּבְהַהוּא זִמְנָא דְאִתְפַּשְׁטַת מֵאִלֵּין לְבוּשִׁין, אִתְיַחֲדַת עִם בַּעְלָהּ בְּקִרוּב בִּשְׂרָא, </w:t>
      </w:r>
      <w:r>
        <w:rPr>
          <w:rStyle w:val="a7"/>
          <w:rFonts w:ascii="Arial"/>
          <w:b/>
          <w:bCs/>
          <w:sz w:val="29"/>
          <w:szCs w:val="29"/>
          <w:rtl/>
        </w:rPr>
        <w:footnoteReference w:id="4445"/>
      </w:r>
      <w:r>
        <w:rPr>
          <w:rFonts w:ascii="Arial"/>
          <w:b/>
          <w:bCs/>
          <w:sz w:val="29"/>
          <w:szCs w:val="29"/>
          <w:rtl/>
        </w:rPr>
        <w:t xml:space="preserve">הֲדָא הוּא דִכְתִיב </w:t>
      </w:r>
      <w:r>
        <w:rPr>
          <w:rFonts w:ascii="Arial"/>
          <w:b/>
          <w:szCs w:val="23"/>
          <w:rtl/>
        </w:rPr>
        <w:t>(בראשית ב כג)</w:t>
      </w:r>
      <w:r>
        <w:rPr>
          <w:rFonts w:ascii="Arial"/>
          <w:b/>
          <w:bCs/>
          <w:sz w:val="29"/>
          <w:szCs w:val="29"/>
          <w:rtl/>
        </w:rPr>
        <w:t xml:space="preserve"> עֶצֶם מֵעֲצָמַי וּבָשָׂר מִבְּשָׂרִי לְזֹאת יִקָּרֵא אִשָּׁה כִּי מֵאִישׁ לוּקֳחָה זֹּאת, עַל כֵּן יַעֲזָב אִישׁ אֶת אָבִיו וְאֶת </w:t>
      </w:r>
      <w:r>
        <w:rPr>
          <w:b/>
          <w:szCs w:val="23"/>
          <w:rtl/>
        </w:rPr>
        <w:t xml:space="preserve">(דף צה ע''ב) </w:t>
      </w:r>
      <w:r>
        <w:rPr>
          <w:rFonts w:ascii="Arial"/>
          <w:b/>
          <w:bCs/>
          <w:sz w:val="29"/>
          <w:szCs w:val="29"/>
          <w:rtl/>
        </w:rPr>
        <w:t xml:space="preserve">אִמּוֹ וְדָבַק בְּאִשְׁתּוֹ וְהָיוּ לְבָשָׂר אֶחָד, דְּכַךְ דַּרְכָּא לְאִתְיַחֲדָא דְכַר וְנוּקְבָא בְּקִרוּב בָּשָׂר, וְדָא דִבּוּקָא </w:t>
      </w:r>
      <w:r>
        <w:rPr>
          <w:rFonts w:ascii="Arial"/>
          <w:b/>
          <w:szCs w:val="23"/>
          <w:rtl/>
        </w:rPr>
        <w:t>(נ''א קורבא)</w:t>
      </w:r>
      <w:r>
        <w:rPr>
          <w:rFonts w:ascii="Arial"/>
          <w:b/>
          <w:bCs/>
          <w:sz w:val="29"/>
          <w:szCs w:val="29"/>
          <w:rtl/>
        </w:rPr>
        <w:t xml:space="preserve"> דְּיִחוּדָא דִלְעִילָא, דְלָא יְהֵא דָבָר חוֹצֵץ, וּבְגִין דָּא אוּקְמוּהוּ מָארֵי מַתְנִיתִין, דְּכַד בַּר נַשׁ מְצַלֵּי וּמְיַיחֵד קוּדְשָׁא בְּרִיךְ הוּא בִּשְׁכִינְתֵּיהּ דְּלָא יְהֵא דָבָר חוֹצֵץ בֵּינוֹ לְבֵין הַקִּיר, שְׁכִינְתֵּיהּ </w:t>
      </w:r>
      <w:r>
        <w:rPr>
          <w:rFonts w:ascii="Arial"/>
          <w:b/>
          <w:szCs w:val="23"/>
          <w:rtl/>
        </w:rPr>
        <w:t>(קרקוריה דקיר קירות הלב)</w:t>
      </w:r>
      <w:r>
        <w:rPr>
          <w:rFonts w:ascii="Arial"/>
          <w:b/>
          <w:bCs/>
          <w:sz w:val="29"/>
          <w:szCs w:val="29"/>
          <w:rtl/>
        </w:rPr>
        <w:t xml:space="preserve">, דְּלָא יַעֲבִיד פִּרוּד וְקִצּוּץ בֵּין קוּדְשָׁא בְּרִיךְ הוּא וּשְׁכִינְתֵּיהּ, וְרָזָא דְמִלָּה וַיִּהְיוּ שְׁנֵיהֶם עֲרוּמִים הָאָדָם וְאִשְׁתּוֹ </w:t>
      </w:r>
      <w:r>
        <w:rPr>
          <w:rFonts w:ascii="Arial"/>
          <w:b/>
          <w:szCs w:val="23"/>
          <w:rtl/>
        </w:rPr>
        <w:t>(שם כה)</w:t>
      </w:r>
      <w:r>
        <w:rPr>
          <w:rFonts w:ascii="Arial"/>
          <w:b/>
          <w:bCs/>
          <w:sz w:val="29"/>
          <w:szCs w:val="29"/>
          <w:rtl/>
        </w:rPr>
        <w:t xml:space="preserve">, עֲרוּמִים בְּקִרוּב בִּשְׂרָא בְּלָא לְבוּשָׁא כְּלָל, </w:t>
      </w:r>
      <w:r>
        <w:rPr>
          <w:rStyle w:val="a7"/>
          <w:rFonts w:ascii="Arial"/>
          <w:b/>
          <w:bCs/>
          <w:sz w:val="29"/>
          <w:szCs w:val="29"/>
          <w:rtl/>
        </w:rPr>
        <w:footnoteReference w:id="4446"/>
      </w:r>
      <w:r>
        <w:rPr>
          <w:rFonts w:ascii="Arial"/>
          <w:b/>
          <w:bCs/>
          <w:sz w:val="29"/>
          <w:szCs w:val="29"/>
          <w:rtl/>
        </w:rPr>
        <w:t xml:space="preserve">וּבְהַהוּא זִמְנָא דְקוּדְשָׁא בְּרִיךְ הוּא וּשְׁכִינְתֵּיהּ כַּחֲדָא בְּלָא לְבוּשָׁא כְּלָל, אִתְּמַר בֵּיהּ </w:t>
      </w:r>
      <w:r>
        <w:rPr>
          <w:rFonts w:ascii="Arial"/>
          <w:b/>
          <w:szCs w:val="23"/>
          <w:rtl/>
        </w:rPr>
        <w:t>(ישעיה ל כ)</w:t>
      </w:r>
      <w:r>
        <w:rPr>
          <w:rFonts w:ascii="Arial"/>
          <w:b/>
          <w:bCs/>
          <w:sz w:val="29"/>
          <w:szCs w:val="29"/>
          <w:rtl/>
        </w:rPr>
        <w:t xml:space="preserve"> וְלֹא יִכָּנֵף עוֹד מוֹרֶיךָ, וְהָיוּ עִינֶיךָ רוֹאוֹת אֶת מוֹרֶיךָ.</w:t>
      </w:r>
    </w:p>
    <w:p w:rsidR="00602EF1" w:rsidRDefault="00602EF1" w:rsidP="00602EF1">
      <w:pPr>
        <w:pStyle w:val="NormalWeb"/>
        <w:rPr>
          <w:b w:val="0"/>
          <w:bCs w:val="0"/>
          <w:rtl/>
        </w:rPr>
      </w:pPr>
      <w:r>
        <w:rPr>
          <w:rStyle w:val="a7"/>
          <w:b w:val="0"/>
          <w:bCs w:val="0"/>
          <w:rtl/>
        </w:rPr>
        <w:footnoteReference w:id="4447"/>
      </w:r>
      <w:r>
        <w:rPr>
          <w:b w:val="0"/>
          <w:bCs w:val="0"/>
          <w:rtl/>
        </w:rPr>
        <w:t xml:space="preserve">אָמַר לֵיהּ רַבִּי אֶלְעָזָר, אַבָּא, מַאי סִיּוּמָא דִקְרָא </w:t>
      </w:r>
      <w:r>
        <w:rPr>
          <w:b w:val="0"/>
          <w:sz w:val="20"/>
          <w:szCs w:val="23"/>
          <w:rtl/>
        </w:rPr>
        <w:t>(בראשית ב כה)</w:t>
      </w:r>
      <w:r>
        <w:rPr>
          <w:b w:val="0"/>
          <w:szCs w:val="23"/>
          <w:rtl/>
        </w:rPr>
        <w:t xml:space="preserve"> </w:t>
      </w:r>
      <w:r>
        <w:rPr>
          <w:rStyle w:val="Char"/>
          <w:rtl/>
        </w:rPr>
        <w:t>וְלֹא</w:t>
      </w:r>
      <w:r>
        <w:rPr>
          <w:b w:val="0"/>
          <w:szCs w:val="23"/>
          <w:rtl/>
        </w:rPr>
        <w:t xml:space="preserve"> </w:t>
      </w:r>
      <w:r>
        <w:rPr>
          <w:b w:val="0"/>
          <w:bCs w:val="0"/>
          <w:rtl/>
        </w:rPr>
        <w:t xml:space="preserve">יִתְבּוֹשָׁשׁוּ, אָמַר לֵיהּ בְּרִי בַּאֲתַר דְּאִית עֶרְוָה אִית בֹּשֶׁת, וְדָא אִיהוּ יָרֵא בֹּשֶׁת, </w:t>
      </w:r>
      <w:r>
        <w:rPr>
          <w:rStyle w:val="a7"/>
          <w:b w:val="0"/>
          <w:bCs w:val="0"/>
          <w:rtl/>
        </w:rPr>
        <w:footnoteReference w:id="4448"/>
      </w:r>
      <w:r>
        <w:rPr>
          <w:b w:val="0"/>
          <w:bCs w:val="0"/>
          <w:rtl/>
        </w:rPr>
        <w:t xml:space="preserve">וּמָאן דְּלֵית לֵיהּ בֹּשֶׁת בְּוַדַּאי לָא עָמְדוּ רַגְלֵי אֲבָהָתוֹי עַל טוּרָא דְסִינַי, וּבֹשֶׁת אִיהוּ </w:t>
      </w:r>
      <w:r>
        <w:rPr>
          <w:rStyle w:val="a7"/>
          <w:b w:val="0"/>
          <w:bCs w:val="0"/>
          <w:rtl/>
        </w:rPr>
        <w:footnoteReference w:id="4449"/>
      </w:r>
      <w:r>
        <w:rPr>
          <w:b w:val="0"/>
          <w:bCs w:val="0"/>
          <w:rtl/>
        </w:rPr>
        <w:t xml:space="preserve">בִּתְלַת גַּוָּונִין חִוָּור וְסוּמַק וְיָרוֹק בְּאַנְפִּין, דְּאִתְּמַר בְּהוֹן </w:t>
      </w:r>
      <w:r>
        <w:rPr>
          <w:b w:val="0"/>
          <w:sz w:val="20"/>
          <w:szCs w:val="23"/>
          <w:rtl/>
        </w:rPr>
        <w:t>(ישעיה כט כב)</w:t>
      </w:r>
      <w:r>
        <w:rPr>
          <w:b w:val="0"/>
          <w:bCs w:val="0"/>
          <w:rtl/>
        </w:rPr>
        <w:t xml:space="preserve"> לֹא עַתָּה יֵבוֹשׁ יַעֲקֹב בְּגַוָּון סוּמַק וְיָרוֹק, וְלֹא עַתָּה פָּנָיו יֶחוָורוּ </w:t>
      </w:r>
      <w:r>
        <w:rPr>
          <w:b w:val="0"/>
          <w:sz w:val="20"/>
          <w:szCs w:val="23"/>
          <w:rtl/>
        </w:rPr>
        <w:t>(שם)</w:t>
      </w:r>
      <w:r>
        <w:rPr>
          <w:b w:val="0"/>
          <w:bCs w:val="0"/>
          <w:rtl/>
        </w:rPr>
        <w:t xml:space="preserve"> בְּגַוָּון חִוָּור, וְאִלֵּין תְּלַת גַּוָּונִין דְּאִית בְּהוֹן בֹּשֶׁת אִלֵּין אִינוּן תְּלַת גַּוָּונִין דִּתְלַת קְלִיפִין דֶּאֱגוֹזָא, דְּאִינוּן עֶרְיָין דִּבְהוֹן אִתְלַבְּשַׁת קֶשֶׁת וְאִתְחַזְיָיא בְּהוֹן.</w:t>
      </w:r>
    </w:p>
    <w:p w:rsidR="00602EF1" w:rsidRDefault="00602EF1" w:rsidP="00602EF1">
      <w:pPr>
        <w:pStyle w:val="NormalWeb"/>
        <w:rPr>
          <w:b w:val="0"/>
          <w:bCs w:val="0"/>
          <w:rtl/>
        </w:rPr>
      </w:pPr>
      <w:r>
        <w:rPr>
          <w:b w:val="0"/>
          <w:bCs w:val="0"/>
          <w:rtl/>
        </w:rPr>
        <w:t xml:space="preserve">וּבְגִין דְּאִינוּן עֲרָיוֹת תְּלַת קְלִיפִין, אִתְּמַר בְּהוֹן אֵין דּוֹרְשִׁין בַּעֲרָיוֹת בִּשְׁלֹשָׁה, וַאֲסִיר לְאִסְתַּכְּלָא בְּהוֹן, </w:t>
      </w:r>
      <w:r>
        <w:rPr>
          <w:rStyle w:val="a7"/>
          <w:b w:val="0"/>
          <w:bCs w:val="0"/>
          <w:rtl/>
        </w:rPr>
        <w:footnoteReference w:id="4450"/>
      </w:r>
      <w:r>
        <w:rPr>
          <w:b w:val="0"/>
          <w:bCs w:val="0"/>
          <w:rtl/>
        </w:rPr>
        <w:t xml:space="preserve">וּבְגִין דָּא אֲסִיר לְעַמָּא קַדִּישָׁא לְאִסְתַּכְּלָא בְּגַוָּונִין דְּקֶשֶׁת, וְדָא רָזָא דְעָרְלָה דְאִית לָהּ תְּלַת קְלִיפִין, דְּצָרִיךְ לְאַעֲבָרָא לוֹן מֵאוֹת בְּרִית קֹדֶשׁ, וּמִיָּד וּרְאִיתִיהָ לִזְכּוֹר בְּרִית עוֹלָם </w:t>
      </w:r>
      <w:r>
        <w:rPr>
          <w:b w:val="0"/>
          <w:sz w:val="20"/>
          <w:szCs w:val="23"/>
          <w:rtl/>
        </w:rPr>
        <w:t>(בראשית ט טז)</w:t>
      </w:r>
      <w:r>
        <w:rPr>
          <w:b w:val="0"/>
          <w:bCs w:val="0"/>
          <w:rtl/>
        </w:rPr>
        <w:t xml:space="preserve">, וְעַל אִלֵּין תְּלַת קְלִיפִין אִתְּמַר </w:t>
      </w:r>
      <w:r>
        <w:rPr>
          <w:b w:val="0"/>
          <w:sz w:val="20"/>
          <w:szCs w:val="23"/>
          <w:rtl/>
        </w:rPr>
        <w:t>(שמות ג ה)</w:t>
      </w:r>
      <w:r>
        <w:rPr>
          <w:b w:val="0"/>
          <w:bCs w:val="0"/>
          <w:rtl/>
        </w:rPr>
        <w:t xml:space="preserve"> שַׁל נְעָלֶיךָ מֵעַל רַגְלֶיךָ, וּמִיָּד וּרְאִיתִיהָ, וּבְזִמְנָא דְמֹשֶׁה הֲוָה מִתְלַבֵּשׁ בְּהוֹן, מַה כְּתִיב בֵּיהּ </w:t>
      </w:r>
      <w:r>
        <w:rPr>
          <w:b w:val="0"/>
          <w:sz w:val="20"/>
          <w:szCs w:val="23"/>
          <w:rtl/>
        </w:rPr>
        <w:t>(שם)</w:t>
      </w:r>
      <w:r>
        <w:rPr>
          <w:b w:val="0"/>
          <w:bCs w:val="0"/>
          <w:rtl/>
        </w:rPr>
        <w:t xml:space="preserve"> אַל תִּקְרַב הֲלוֹם, מִיָּד דְּאִתְפַּשַּׁט מִנַּיְיהוּ אִתְקַרִיב תַּמָּן.</w:t>
      </w:r>
    </w:p>
    <w:p w:rsidR="00602EF1" w:rsidRDefault="00602EF1" w:rsidP="00602EF1">
      <w:pPr>
        <w:pStyle w:val="NormalWeb"/>
        <w:rPr>
          <w:b w:val="0"/>
          <w:bCs w:val="0"/>
          <w:rtl/>
        </w:rPr>
      </w:pPr>
      <w:r>
        <w:rPr>
          <w:rStyle w:val="a7"/>
          <w:b w:val="0"/>
          <w:bCs w:val="0"/>
          <w:rtl/>
        </w:rPr>
        <w:footnoteReference w:id="4451"/>
      </w:r>
      <w:r>
        <w:rPr>
          <w:b w:val="0"/>
          <w:bCs w:val="0"/>
          <w:rtl/>
        </w:rPr>
        <w:t xml:space="preserve">וְדָא רָזָא דְקָרְבָּנָא, דַהֲוָה נָחִית אֶשָּׁא לְאַדְלָקָא אִלֵּין תְּלַת קְלִיפִין, </w:t>
      </w:r>
      <w:r>
        <w:rPr>
          <w:rStyle w:val="a7"/>
          <w:b w:val="0"/>
          <w:bCs w:val="0"/>
          <w:rtl/>
        </w:rPr>
        <w:footnoteReference w:id="4452"/>
      </w:r>
      <w:r>
        <w:rPr>
          <w:b w:val="0"/>
          <w:bCs w:val="0"/>
          <w:rtl/>
        </w:rPr>
        <w:t xml:space="preserve">הֲדָא הוּא דִכְתִיב </w:t>
      </w:r>
      <w:r>
        <w:rPr>
          <w:b w:val="0"/>
          <w:sz w:val="20"/>
          <w:szCs w:val="23"/>
          <w:rtl/>
        </w:rPr>
        <w:t>(ויקרא ו ב)</w:t>
      </w:r>
      <w:r>
        <w:rPr>
          <w:b w:val="0"/>
          <w:bCs w:val="0"/>
          <w:rtl/>
        </w:rPr>
        <w:t xml:space="preserve"> זֹאת תּוֹרַת הָעוֹלָה הִיא הָעוֹלָה עַל מוֹקְדָה וְגוֹמֵר, הָא תְּלַת גַּוָּונִין דְּאֶשָּׁא, דַהֲווֹ נָחֲתִין בִּתְלַת צְלוֹתִין לְאַדְלָקָא וּלְאוֹקָדָא אִלֵּין קְלִיפִין, </w:t>
      </w:r>
      <w:r>
        <w:rPr>
          <w:rStyle w:val="a7"/>
          <w:b w:val="0"/>
          <w:bCs w:val="0"/>
          <w:rtl/>
        </w:rPr>
        <w:footnoteReference w:id="4453"/>
      </w:r>
      <w:r>
        <w:rPr>
          <w:b w:val="0"/>
          <w:bCs w:val="0"/>
          <w:rtl/>
        </w:rPr>
        <w:t xml:space="preserve">וּבְהַהוּא זִמְנָא הֲוָה קוּדְשָׁא בְּרִיךְ הוּא מִתְקָרֵב בִּשְׁכִינְתֵּיהּ, וַהֲווֹ מִתְקָרְבִין אַתְוָון דִּילֵיהּ י' בְּה' ו' בְּה', וּבְזִמְנָא דַהֲווֹ מִתְלַבְּשִׁין בְּאִלֵּין קְלִיפִין, אִתְּמַר בְּהוֹן </w:t>
      </w:r>
      <w:r>
        <w:rPr>
          <w:b w:val="0"/>
          <w:sz w:val="20"/>
          <w:szCs w:val="23"/>
          <w:rtl/>
        </w:rPr>
        <w:t>(שם ינ ו)</w:t>
      </w:r>
      <w:r>
        <w:rPr>
          <w:b w:val="0"/>
          <w:bCs w:val="0"/>
          <w:rtl/>
        </w:rPr>
        <w:t xml:space="preserve"> לֹא תִקְרְבוּ לְגַלּוֹת עֶרְוָה, וְלָא צָרִיךְ לְקָרְבָא אַתְוָון י' בְּה' ו' בְּה'.</w:t>
      </w:r>
    </w:p>
    <w:p w:rsidR="00602EF1" w:rsidRDefault="00602EF1" w:rsidP="00602EF1">
      <w:pPr>
        <w:pStyle w:val="NormalWeb"/>
        <w:rPr>
          <w:b w:val="0"/>
          <w:bCs w:val="0"/>
          <w:rtl/>
        </w:rPr>
      </w:pPr>
      <w:r>
        <w:rPr>
          <w:b w:val="0"/>
          <w:bCs w:val="0"/>
          <w:rtl/>
        </w:rPr>
        <w:t xml:space="preserve">וּבְגִין דָּא תַּקִּינוּ תְּלַת צְלוֹתִין בְּכָל יוֹמָא, לְאַעֲבָרָא תְּלַת קְלִיפִין אִלֵּין דְּעָרְלָה מֵאוֹת בְּרִית דְּאִיהִי שְׁכִינְתָּא, וּבְדָא שַׁרְיָא בִּתְלַת גַּוָּונִין נְהִירִין, </w:t>
      </w:r>
      <w:r>
        <w:rPr>
          <w:rStyle w:val="a7"/>
          <w:b w:val="0"/>
          <w:bCs w:val="0"/>
          <w:rtl/>
        </w:rPr>
        <w:footnoteReference w:id="4454"/>
      </w:r>
      <w:r>
        <w:rPr>
          <w:b w:val="0"/>
          <w:bCs w:val="0"/>
          <w:rtl/>
        </w:rPr>
        <w:t xml:space="preserve">דְּאִינוּן כֹּהֲנִים לְוִיִּים וְיִשְׂרָאֵל, דַּעֲלַיְיהוּ אִתְּמַר </w:t>
      </w:r>
      <w:r>
        <w:rPr>
          <w:b w:val="0"/>
          <w:sz w:val="20"/>
          <w:szCs w:val="23"/>
          <w:rtl/>
        </w:rPr>
        <w:t>(שיר ז ב)</w:t>
      </w:r>
      <w:r>
        <w:rPr>
          <w:b w:val="0"/>
          <w:bCs w:val="0"/>
          <w:rtl/>
        </w:rPr>
        <w:t xml:space="preserve"> מַה יָּפוּ פְעָמַיִךְ בַּנְּעָלִים בַּת נָדִיב, </w:t>
      </w:r>
      <w:r>
        <w:rPr>
          <w:rStyle w:val="a7"/>
          <w:b w:val="0"/>
          <w:bCs w:val="0"/>
          <w:rtl/>
        </w:rPr>
        <w:footnoteReference w:id="4455"/>
      </w:r>
      <w:r>
        <w:rPr>
          <w:b w:val="0"/>
          <w:bCs w:val="0"/>
          <w:rtl/>
        </w:rPr>
        <w:t xml:space="preserve">וְאִינוּן נְעִילַת חַגִּין וּזְמַנִּין וּמוֹעֲדִין, דַּעֲלַיְיהוּ אִתְּמַר </w:t>
      </w:r>
      <w:r>
        <w:rPr>
          <w:b w:val="0"/>
          <w:sz w:val="20"/>
          <w:szCs w:val="23"/>
          <w:rtl/>
        </w:rPr>
        <w:t>(שמות כג יד)</w:t>
      </w:r>
      <w:r>
        <w:rPr>
          <w:b w:val="0"/>
          <w:bCs w:val="0"/>
          <w:rtl/>
        </w:rPr>
        <w:t xml:space="preserve"> שָׁלֹשׁ רְגָלִים תָּחֹג לִי בַּשָּׁנָה, </w:t>
      </w:r>
      <w:r>
        <w:rPr>
          <w:rStyle w:val="a7"/>
          <w:b w:val="0"/>
          <w:bCs w:val="0"/>
          <w:rtl/>
        </w:rPr>
        <w:footnoteReference w:id="4456"/>
      </w:r>
      <w:r>
        <w:rPr>
          <w:b w:val="0"/>
          <w:bCs w:val="0"/>
          <w:rtl/>
        </w:rPr>
        <w:t xml:space="preserve">תְּלַת קְלִיפִין עֲלַיְיהוּ אִתְּמַר </w:t>
      </w:r>
      <w:r>
        <w:rPr>
          <w:b w:val="0"/>
          <w:sz w:val="20"/>
          <w:szCs w:val="23"/>
          <w:rtl/>
        </w:rPr>
        <w:t>(בראשית ג כא)</w:t>
      </w:r>
      <w:r>
        <w:rPr>
          <w:b w:val="0"/>
          <w:bCs w:val="0"/>
          <w:rtl/>
        </w:rPr>
        <w:t xml:space="preserve"> וַיַּעֲשׂ יהו''ה אלהי''ם לְאָדָם וּלְאִשְׁתּוֹ כָּתְנוֹת עוֹר וַיַּלְבִּישֵׁם, בְּקַדְמֵיתָא כָּתְנוֹת אוֹר, וּלְבָתַר דְּחָאבוּ כָּתְנוֹת עוֹר, מֵעוֹר דְּאִיהוּ מִשְׁכָא דְחִוְיָא, </w:t>
      </w:r>
      <w:r>
        <w:rPr>
          <w:rStyle w:val="a7"/>
          <w:b w:val="0"/>
          <w:bCs w:val="0"/>
          <w:rtl/>
        </w:rPr>
        <w:footnoteReference w:id="4457"/>
      </w:r>
      <w:r>
        <w:rPr>
          <w:b w:val="0"/>
          <w:bCs w:val="0"/>
          <w:rtl/>
        </w:rPr>
        <w:t xml:space="preserve">וּלְשַׁבְעִין שְׁנִין אִתְפַּשַּׁט הַהוּא </w:t>
      </w:r>
      <w:r>
        <w:rPr>
          <w:b w:val="0"/>
          <w:sz w:val="20"/>
          <w:szCs w:val="23"/>
          <w:rtl/>
        </w:rPr>
        <w:t>(חויא)</w:t>
      </w:r>
      <w:r>
        <w:rPr>
          <w:b w:val="0"/>
          <w:szCs w:val="23"/>
          <w:rtl/>
        </w:rPr>
        <w:t xml:space="preserve"> </w:t>
      </w:r>
      <w:r>
        <w:rPr>
          <w:b w:val="0"/>
          <w:sz w:val="20"/>
          <w:szCs w:val="23"/>
          <w:rtl/>
        </w:rPr>
        <w:t>(נ''א משכא)</w:t>
      </w:r>
      <w:r>
        <w:rPr>
          <w:b w:val="0"/>
          <w:bCs w:val="0"/>
          <w:rtl/>
        </w:rPr>
        <w:t xml:space="preserve"> מִנֵּיהּ.</w:t>
      </w:r>
    </w:p>
    <w:p w:rsidR="00602EF1" w:rsidRDefault="00602EF1" w:rsidP="00602EF1">
      <w:pPr>
        <w:pStyle w:val="NormalWeb"/>
        <w:rPr>
          <w:b w:val="0"/>
          <w:bCs w:val="0"/>
          <w:rtl/>
        </w:rPr>
      </w:pPr>
      <w:r>
        <w:rPr>
          <w:rStyle w:val="a7"/>
          <w:b w:val="0"/>
          <w:bCs w:val="0"/>
          <w:rtl/>
        </w:rPr>
        <w:footnoteReference w:id="4458"/>
      </w:r>
      <w:r>
        <w:rPr>
          <w:b w:val="0"/>
          <w:bCs w:val="0"/>
          <w:rtl/>
        </w:rPr>
        <w:t xml:space="preserve">דִּתְלַת גַּוָּונִין דִּלְבוּשִׁין דִּשְׁכִינְתָּא אִינוּן תְּלַת וָוִי''ן דְּוַיִּסַּע וַיָּבֹא וַיֵּט, בְּזִמְנָא דְמִתְעַבְּרִין כָּתְנוֹת עוֹר דְּחִוְיָא, נַהֲרִין תְּלַת גַּוָּונִין דִּנְהוֹרָא דִשְׁכִינְתָּא, </w:t>
      </w:r>
      <w:r>
        <w:rPr>
          <w:rStyle w:val="a7"/>
          <w:b w:val="0"/>
          <w:bCs w:val="0"/>
          <w:rtl/>
        </w:rPr>
        <w:footnoteReference w:id="4459"/>
      </w:r>
      <w:r>
        <w:rPr>
          <w:b w:val="0"/>
          <w:bCs w:val="0"/>
          <w:rtl/>
        </w:rPr>
        <w:t xml:space="preserve">וּמִיָּד וּרְאִיתִיהָ לִזְכּוֹר בְּרִית עוֹלָם, </w:t>
      </w:r>
      <w:r>
        <w:rPr>
          <w:rStyle w:val="a7"/>
          <w:b w:val="0"/>
          <w:bCs w:val="0"/>
          <w:rtl/>
        </w:rPr>
        <w:footnoteReference w:id="4460"/>
      </w:r>
      <w:r>
        <w:rPr>
          <w:b w:val="0"/>
          <w:bCs w:val="0"/>
          <w:rtl/>
        </w:rPr>
        <w:t xml:space="preserve">וְאִינוּן תְּלַת וָוִי''ן אִינוּן תְּלַת גַּגִּין דְּאָת ב, </w:t>
      </w:r>
      <w:r>
        <w:rPr>
          <w:rStyle w:val="a7"/>
          <w:b w:val="0"/>
          <w:bCs w:val="0"/>
          <w:rtl/>
        </w:rPr>
        <w:footnoteReference w:id="4461"/>
      </w:r>
      <w:r>
        <w:rPr>
          <w:b w:val="0"/>
          <w:bCs w:val="0"/>
          <w:rtl/>
        </w:rPr>
        <w:t xml:space="preserve">חַד לִשְׁמַיָּא וְחַד לְאַרְעָא וְחַד לְיַמָּא, </w:t>
      </w:r>
      <w:r>
        <w:rPr>
          <w:rStyle w:val="a7"/>
          <w:b w:val="0"/>
          <w:bCs w:val="0"/>
          <w:rtl/>
        </w:rPr>
        <w:footnoteReference w:id="4462"/>
      </w:r>
      <w:r>
        <w:rPr>
          <w:b w:val="0"/>
          <w:bCs w:val="0"/>
          <w:rtl/>
        </w:rPr>
        <w:t xml:space="preserve">וּמֵהַאי ב' תַּלְיָין שִׁבְעִין גַּוָּונִין, </w:t>
      </w:r>
      <w:r>
        <w:rPr>
          <w:rStyle w:val="a7"/>
          <w:b w:val="0"/>
          <w:bCs w:val="0"/>
          <w:rtl/>
        </w:rPr>
        <w:footnoteReference w:id="4463"/>
      </w:r>
      <w:r>
        <w:rPr>
          <w:b w:val="0"/>
          <w:bCs w:val="0"/>
          <w:rtl/>
        </w:rPr>
        <w:t xml:space="preserve">וְאִינוּן שִׁבְעִין וּתְרֵין, </w:t>
      </w:r>
      <w:r>
        <w:rPr>
          <w:rStyle w:val="a7"/>
          <w:b w:val="0"/>
          <w:bCs w:val="0"/>
          <w:rtl/>
        </w:rPr>
        <w:footnoteReference w:id="4464"/>
      </w:r>
      <w:r>
        <w:rPr>
          <w:b w:val="0"/>
          <w:bCs w:val="0"/>
          <w:rtl/>
        </w:rPr>
        <w:t xml:space="preserve">דַּעֲלַיְיהוּ אִתְּמַר </w:t>
      </w:r>
      <w:r>
        <w:rPr>
          <w:b w:val="0"/>
          <w:sz w:val="20"/>
          <w:szCs w:val="23"/>
          <w:rtl/>
        </w:rPr>
        <w:t>(ישעיה יט א)</w:t>
      </w:r>
      <w:r>
        <w:rPr>
          <w:b w:val="0"/>
          <w:bCs w:val="0"/>
          <w:rtl/>
        </w:rPr>
        <w:t xml:space="preserve"> הִנֵּה יהו''ה רוֹכֵב עַל עָב קַל וּבָא מִצְרַיִם, עַל עָ''ב בְּשַׁבְעִין וּתְרֵין גַּוָּונִין נְהִירִין, וּמִיָּד </w:t>
      </w:r>
      <w:r>
        <w:rPr>
          <w:b w:val="0"/>
          <w:sz w:val="20"/>
          <w:szCs w:val="23"/>
          <w:rtl/>
        </w:rPr>
        <w:t>(שם)</w:t>
      </w:r>
      <w:r>
        <w:rPr>
          <w:b w:val="0"/>
          <w:bCs w:val="0"/>
          <w:rtl/>
        </w:rPr>
        <w:t xml:space="preserve"> וְנָעוּ אֱלִילֵי מִצְרַיִם מִפָּנָיו.</w:t>
      </w:r>
    </w:p>
    <w:p w:rsidR="00602EF1" w:rsidRDefault="00602EF1" w:rsidP="00602EF1">
      <w:pPr>
        <w:pStyle w:val="aa"/>
        <w:spacing w:after="40"/>
        <w:rPr>
          <w:rtl/>
        </w:rPr>
      </w:pPr>
      <w:r>
        <w:rPr>
          <w:rtl/>
        </w:rPr>
        <w:t xml:space="preserve">[תיקוני זוהר - דף צו ע''א] </w:t>
      </w:r>
    </w:p>
    <w:p w:rsidR="00602EF1" w:rsidRDefault="00602EF1" w:rsidP="00602EF1">
      <w:pPr>
        <w:pStyle w:val="NormalWeb"/>
        <w:rPr>
          <w:b w:val="0"/>
          <w:bCs w:val="0"/>
          <w:rtl/>
        </w:rPr>
      </w:pPr>
      <w:r>
        <w:rPr>
          <w:rStyle w:val="a7"/>
          <w:b w:val="0"/>
          <w:bCs w:val="0"/>
          <w:rtl/>
        </w:rPr>
        <w:footnoteReference w:id="4465"/>
      </w:r>
      <w:r>
        <w:rPr>
          <w:b w:val="0"/>
          <w:bCs w:val="0"/>
          <w:rtl/>
        </w:rPr>
        <w:t xml:space="preserve">וְאִינוּן תְּלַת גַּוָּונִין רְמִיזִין בְּה', ה' תְּלַת גַּגִּין דִּילָהּ אִינוּן לְבוּשִׁין נְהִירִין דִּבְּרַתָּא דְמַלְכָּא, </w:t>
      </w:r>
      <w:r>
        <w:rPr>
          <w:rStyle w:val="a7"/>
          <w:b w:val="0"/>
          <w:bCs w:val="0"/>
          <w:rtl/>
        </w:rPr>
        <w:footnoteReference w:id="4466"/>
      </w:r>
      <w:r>
        <w:rPr>
          <w:b w:val="0"/>
          <w:bCs w:val="0"/>
          <w:rtl/>
        </w:rPr>
        <w:t xml:space="preserve">דְּאִיהִי י' בַּת עַיִן, </w:t>
      </w:r>
      <w:r>
        <w:rPr>
          <w:rStyle w:val="a7"/>
          <w:b w:val="0"/>
          <w:bCs w:val="0"/>
          <w:rtl/>
        </w:rPr>
        <w:footnoteReference w:id="4467"/>
      </w:r>
      <w:r>
        <w:rPr>
          <w:b w:val="0"/>
          <w:bCs w:val="0"/>
          <w:rtl/>
        </w:rPr>
        <w:t xml:space="preserve">וְאִיהִי חָמֵשׁ אַלְפִין שְׁנִין דִּבְּרִיאַת עָלְמָא, וְאִיהִי ה' זְעִירָא דְאַבְרָהָם </w:t>
      </w:r>
      <w:r>
        <w:rPr>
          <w:b w:val="0"/>
          <w:sz w:val="20"/>
          <w:szCs w:val="23"/>
          <w:rtl/>
        </w:rPr>
        <w:t xml:space="preserve">(דף צו ע''א) </w:t>
      </w:r>
      <w:r>
        <w:rPr>
          <w:b w:val="0"/>
          <w:bCs w:val="0"/>
          <w:rtl/>
        </w:rPr>
        <w:t xml:space="preserve">דְּדַרְגֵּיהּ חֶסֶ''ד, דְּסָלִיק לְשַׁבְעִין וּתְרֵין, ה' י' מִן אלהי''ם. ה''י מִן יו''ד ה''א וא''ו ה''א. </w:t>
      </w:r>
      <w:r>
        <w:rPr>
          <w:b w:val="0"/>
          <w:sz w:val="20"/>
          <w:szCs w:val="23"/>
          <w:rtl/>
        </w:rPr>
        <w:t>(נ''א יו''ד ה''י וא''ו ה''י)</w:t>
      </w:r>
      <w:r>
        <w:rPr>
          <w:b w:val="0"/>
          <w:bCs w:val="0"/>
          <w:rtl/>
        </w:rPr>
        <w:t>. ה' לְבוּשָׁא דְכַסִּי עַל י'.</w:t>
      </w:r>
    </w:p>
    <w:p w:rsidR="00602EF1" w:rsidRDefault="00602EF1" w:rsidP="00602EF1">
      <w:pPr>
        <w:pStyle w:val="1"/>
        <w:rPr>
          <w:u w:val="single"/>
          <w:rtl/>
        </w:rPr>
      </w:pPr>
      <w:bookmarkStart w:id="283" w:name="_Toc228091337"/>
      <w:bookmarkStart w:id="284" w:name="_Toc231637976"/>
      <w:r>
        <w:rPr>
          <w:rtl/>
        </w:rPr>
        <w:t>תקונא תשעה וחמשין</w:t>
      </w:r>
      <w:bookmarkEnd w:id="283"/>
      <w:bookmarkEnd w:id="284"/>
    </w:p>
    <w:p w:rsidR="00602EF1" w:rsidRDefault="00602EF1" w:rsidP="00602EF1">
      <w:pPr>
        <w:spacing w:after="40" w:line="360" w:lineRule="atLeast"/>
        <w:ind w:left="144" w:right="144" w:firstLine="288"/>
        <w:jc w:val="both"/>
        <w:rPr>
          <w:rFonts w:ascii="Arial"/>
          <w:b/>
          <w:bCs/>
          <w:sz w:val="29"/>
          <w:szCs w:val="29"/>
          <w:rtl/>
        </w:rPr>
      </w:pPr>
      <w:r>
        <w:rPr>
          <w:rStyle w:val="a7"/>
          <w:rFonts w:ascii="Arial"/>
          <w:b/>
          <w:bCs/>
          <w:sz w:val="29"/>
          <w:szCs w:val="29"/>
          <w:rtl/>
        </w:rPr>
        <w:footnoteReference w:id="4468"/>
      </w:r>
      <w:r>
        <w:rPr>
          <w:rFonts w:ascii="Arial"/>
          <w:b/>
          <w:bCs/>
          <w:sz w:val="29"/>
          <w:szCs w:val="29"/>
          <w:rtl/>
        </w:rPr>
        <w:t xml:space="preserve">בְּרֵאשִׁית, כִּי בָאֵשׁ יהו''ה נִשְׁפָּט </w:t>
      </w:r>
      <w:r>
        <w:rPr>
          <w:rFonts w:ascii="Arial"/>
          <w:b/>
          <w:szCs w:val="23"/>
          <w:rtl/>
        </w:rPr>
        <w:t>(ישעיהו סו טז)</w:t>
      </w:r>
      <w:r>
        <w:rPr>
          <w:rFonts w:ascii="Arial"/>
          <w:b/>
          <w:bCs/>
          <w:sz w:val="29"/>
          <w:szCs w:val="29"/>
          <w:rtl/>
        </w:rPr>
        <w:t xml:space="preserve">, דְּאִינוּן </w:t>
      </w:r>
      <w:r>
        <w:rPr>
          <w:rStyle w:val="a7"/>
          <w:rFonts w:ascii="Arial"/>
          <w:b/>
          <w:bCs/>
          <w:sz w:val="29"/>
          <w:szCs w:val="29"/>
          <w:rtl/>
        </w:rPr>
        <w:footnoteReference w:id="4469"/>
      </w:r>
      <w:r>
        <w:rPr>
          <w:rFonts w:ascii="Arial"/>
          <w:b/>
          <w:bCs/>
          <w:sz w:val="29"/>
          <w:szCs w:val="29"/>
          <w:rtl/>
        </w:rPr>
        <w:t xml:space="preserve">כָּתְנוֹת עוֹר </w:t>
      </w:r>
      <w:r>
        <w:rPr>
          <w:rStyle w:val="a7"/>
          <w:rFonts w:ascii="Arial"/>
          <w:b/>
          <w:bCs/>
          <w:sz w:val="29"/>
          <w:szCs w:val="29"/>
          <w:rtl/>
        </w:rPr>
        <w:footnoteReference w:id="4470"/>
      </w:r>
      <w:r>
        <w:rPr>
          <w:rFonts w:ascii="Arial"/>
          <w:b/>
          <w:bCs/>
          <w:sz w:val="29"/>
          <w:szCs w:val="29"/>
          <w:rtl/>
        </w:rPr>
        <w:t xml:space="preserve">דְּצָרִיךְ בְּהוֹן הַבְדָּלָה, כַּד אָמְרִין יִשְׂרָאֵל בּוֹרֵא מְאוֹרֵי הָאֵשׁ, וְאָמְרִין הַמַּבְדִּיל בֵּין אוֹר לְחֹשֶׁךְ. חֹשֶׁךְ אוּכַם, כָּתְנוֹת עוֹר דִּילֵיהּ אוּכְמִין, כְּמָה דְּאִתְּמַר בְּהוֹן </w:t>
      </w:r>
      <w:r>
        <w:rPr>
          <w:rFonts w:ascii="Arial"/>
          <w:b/>
          <w:szCs w:val="23"/>
          <w:rtl/>
        </w:rPr>
        <w:t>(שיר א ה)</w:t>
      </w:r>
      <w:r>
        <w:rPr>
          <w:rFonts w:ascii="Arial"/>
          <w:b/>
          <w:bCs/>
          <w:sz w:val="29"/>
          <w:szCs w:val="29"/>
          <w:rtl/>
        </w:rPr>
        <w:t xml:space="preserve"> שְׁחוֹרָה אֲנִי וְנָאוָה</w:t>
      </w:r>
      <w:r>
        <w:rPr>
          <w:rStyle w:val="Char"/>
          <w:rtl/>
        </w:rPr>
        <w:t>,</w:t>
      </w:r>
      <w:r>
        <w:rPr>
          <w:rFonts w:ascii="Arial"/>
          <w:b/>
          <w:sz w:val="29"/>
          <w:szCs w:val="23"/>
          <w:rtl/>
        </w:rPr>
        <w:t xml:space="preserve"> </w:t>
      </w:r>
      <w:r>
        <w:rPr>
          <w:rFonts w:ascii="Arial"/>
          <w:b/>
          <w:szCs w:val="23"/>
          <w:rtl/>
        </w:rPr>
        <w:t>(בראשית ג א)</w:t>
      </w:r>
      <w:r>
        <w:rPr>
          <w:rFonts w:ascii="Arial"/>
          <w:b/>
          <w:bCs/>
          <w:sz w:val="29"/>
          <w:szCs w:val="29"/>
          <w:rtl/>
        </w:rPr>
        <w:t xml:space="preserve"> וְהַנָּחָשׁ הָיָה </w:t>
      </w:r>
      <w:r>
        <w:rPr>
          <w:rStyle w:val="a7"/>
          <w:rFonts w:ascii="Arial"/>
          <w:b/>
          <w:bCs/>
          <w:sz w:val="29"/>
          <w:szCs w:val="29"/>
          <w:rtl/>
        </w:rPr>
        <w:footnoteReference w:id="4471"/>
      </w:r>
      <w:r>
        <w:rPr>
          <w:rFonts w:ascii="Arial"/>
          <w:b/>
          <w:bCs/>
          <w:sz w:val="29"/>
          <w:szCs w:val="29"/>
          <w:rtl/>
        </w:rPr>
        <w:t xml:space="preserve">עָרוּם מִנַּיְיהוּ, </w:t>
      </w:r>
      <w:r>
        <w:rPr>
          <w:rStyle w:val="a7"/>
          <w:rFonts w:ascii="Arial"/>
          <w:b/>
          <w:bCs/>
          <w:sz w:val="29"/>
          <w:szCs w:val="29"/>
          <w:rtl/>
        </w:rPr>
        <w:footnoteReference w:id="4472"/>
      </w:r>
      <w:r>
        <w:rPr>
          <w:rFonts w:ascii="Arial"/>
          <w:b/>
          <w:bCs/>
          <w:sz w:val="29"/>
          <w:szCs w:val="29"/>
          <w:rtl/>
        </w:rPr>
        <w:t xml:space="preserve">דִּלְכָל חַיָּה בָרָא לְבוּשִׁין, וּלְכָל בִּרְיָין דְּאִתְבְּרִיאוּ בְּשִׁית יוֹמֵי בְּרֵאשִׁית, וְאִשְׁתָּאֲרוּ גוּפִין דְּמַזִּיקִין לְמֶעֱבַד וְלָא עָבִיד לוֹן, </w:t>
      </w:r>
      <w:r>
        <w:rPr>
          <w:rStyle w:val="a7"/>
          <w:rFonts w:ascii="Arial"/>
          <w:b/>
          <w:bCs/>
          <w:sz w:val="29"/>
          <w:szCs w:val="29"/>
          <w:rtl/>
        </w:rPr>
        <w:footnoteReference w:id="4473"/>
      </w:r>
      <w:r>
        <w:rPr>
          <w:rFonts w:ascii="Arial"/>
          <w:b/>
          <w:bCs/>
          <w:sz w:val="29"/>
          <w:szCs w:val="29"/>
          <w:rtl/>
        </w:rPr>
        <w:t xml:space="preserve">בְּגִין דַּהֲוָה עֶרֶב שַׁבָּת, וְדָא אִיהוּ </w:t>
      </w:r>
      <w:r>
        <w:rPr>
          <w:rFonts w:ascii="Arial"/>
          <w:b/>
          <w:szCs w:val="23"/>
          <w:rtl/>
        </w:rPr>
        <w:t>(בראשית ב ג)</w:t>
      </w:r>
      <w:r>
        <w:rPr>
          <w:rFonts w:ascii="Arial"/>
          <w:b/>
          <w:bCs/>
          <w:sz w:val="29"/>
          <w:szCs w:val="29"/>
          <w:rtl/>
        </w:rPr>
        <w:t xml:space="preserve"> אֲשֶׁר בָּרָא אלהי''ם לַעֲשׂוֹת, וּבְגִין דָּא וְהַנָּחָשׁ הָיָה עָרוּם מִכָּל חַיַּת הַשָּׂדֶה אֲשֶׁר עָשָׂה יהו''ה אלהי''ם </w:t>
      </w:r>
      <w:r>
        <w:rPr>
          <w:rFonts w:ascii="Arial"/>
          <w:b/>
          <w:szCs w:val="23"/>
          <w:rtl/>
        </w:rPr>
        <w:t>(בראשית ג א)</w:t>
      </w:r>
      <w:r>
        <w:rPr>
          <w:rFonts w:ascii="Arial"/>
          <w:b/>
          <w:bCs/>
          <w:sz w:val="29"/>
          <w:szCs w:val="29"/>
          <w:rtl/>
        </w:rPr>
        <w:t>, דִּלְכֻלְּהוּ עָבַד לְבוּשִׁין, וְלֵיהּ לָא עָבַד, בְּגִין דַּהֲווֹ מַזִּיקִין דְּעָלְמָא.</w:t>
      </w:r>
    </w:p>
    <w:p w:rsidR="00602EF1" w:rsidRDefault="00602EF1" w:rsidP="00602EF1">
      <w:pPr>
        <w:spacing w:after="40" w:line="360" w:lineRule="atLeast"/>
        <w:ind w:left="144" w:right="144" w:firstLine="288"/>
        <w:jc w:val="both"/>
        <w:rPr>
          <w:rFonts w:ascii="Arial"/>
          <w:b/>
          <w:bCs/>
          <w:sz w:val="29"/>
          <w:szCs w:val="29"/>
          <w:rtl/>
        </w:rPr>
      </w:pPr>
      <w:r>
        <w:rPr>
          <w:rFonts w:ascii="Arial"/>
          <w:b/>
          <w:bCs/>
          <w:sz w:val="29"/>
          <w:szCs w:val="29"/>
          <w:rtl/>
        </w:rPr>
        <w:t xml:space="preserve">וְאַמַּאי לָא עָבִיד לוֹן, בְּגִין דַּהֲוָה לֵיהּ לְמִבְרֵי לְאָדָם עֶרֶב שַׁבָּת, וּבְגִינֵיהּ לָא בָּרָא לוֹן, וּבְגִין דָּא עָאל קִנְאָה בְּלִבֵּיהּ דְּחִוְיָא עִם אָדָם, בְּגִין דְּאִשְׁתָּאַר עָרוּם בְּגִינֵיהּ בְּלָא לְבוּשִׁין, </w:t>
      </w:r>
      <w:r>
        <w:rPr>
          <w:rStyle w:val="a7"/>
          <w:rFonts w:ascii="Arial"/>
          <w:b/>
          <w:bCs/>
          <w:sz w:val="29"/>
          <w:szCs w:val="29"/>
          <w:rtl/>
        </w:rPr>
        <w:footnoteReference w:id="4474"/>
      </w:r>
      <w:r>
        <w:rPr>
          <w:rFonts w:ascii="Arial"/>
          <w:b/>
          <w:bCs/>
          <w:sz w:val="29"/>
          <w:szCs w:val="29"/>
          <w:rtl/>
        </w:rPr>
        <w:t xml:space="preserve">וְאִיהוּ גָרַם לְבָתַר דְּאִתְפַּשַּׁט אָדָם מִלְּבוּשׁוֹי, וְיָרִית לוֹן נִמְרוֹד וְעִשָׂו, דַּהֲוָה עִשָׂו דִּיּוֹקְנֵיהּ דְּחִוְיָא, וּבְגִין דָּא וְהַנָּחָשׁ הָיָה עָרוּם, עָרוּם לְבִישׁ, דְּגָרַם בְּעָרְמָה דִילֵיהּ נוּקְבָא בִישָׁא סַם הַמָּוְת מִיתָה לְאָדָם וּלְאִתְּתֵיהּ, וְעָרְמָה דִּילֵיהּ הֲוָה </w:t>
      </w:r>
      <w:r>
        <w:rPr>
          <w:rStyle w:val="a7"/>
          <w:rFonts w:ascii="Arial"/>
          <w:b/>
          <w:bCs/>
          <w:sz w:val="29"/>
          <w:szCs w:val="29"/>
          <w:rtl/>
        </w:rPr>
        <w:footnoteReference w:id="4475"/>
      </w:r>
      <w:r>
        <w:rPr>
          <w:rFonts w:ascii="Arial"/>
          <w:b/>
          <w:bCs/>
          <w:sz w:val="29"/>
          <w:szCs w:val="29"/>
          <w:rtl/>
        </w:rPr>
        <w:t xml:space="preserve">דְפַתִּי לְחַוָּה, בְּגִין דְּדַעְתָּן שֶׁל נָשִׁים קַלָּה, וּמַה אָמַר לָהּ </w:t>
      </w:r>
      <w:r>
        <w:rPr>
          <w:rFonts w:ascii="Arial"/>
          <w:b/>
          <w:szCs w:val="23"/>
          <w:rtl/>
        </w:rPr>
        <w:t>(שם)</w:t>
      </w:r>
      <w:r>
        <w:rPr>
          <w:rFonts w:ascii="Arial"/>
          <w:b/>
          <w:bCs/>
          <w:sz w:val="29"/>
          <w:szCs w:val="29"/>
          <w:rtl/>
        </w:rPr>
        <w:t xml:space="preserve"> וַיֹּאמֶר הַנָּחָשׁ אֶל הָאִשָּׁה אַף כִּי אָמַר אלהי''ם לֹא תֹאכְלוּ מִכֹּל עִץ הַגָּן, וְקוּדְשָׁא בְּרִיךְ הוּא לָא אָמַר, אֶלָּא מִכֹּל עִץ הַגָּן אָכֹל תֹּאכֵל, דְּאִיהוּ לָא מַנִּי לֵיהּ דְּלָא לְמֵיכַל אֶלָּא מֵעִץ הַדַּעַת טוֹב וָרָע, דְּאִיהוּ עִרְבוּבְיָא דְטוֹב וָרָע, אִילָנָא דְשִׁקְרָא, </w:t>
      </w:r>
      <w:r>
        <w:rPr>
          <w:rStyle w:val="a7"/>
          <w:rFonts w:ascii="Arial"/>
          <w:b/>
          <w:bCs/>
          <w:sz w:val="29"/>
          <w:szCs w:val="29"/>
          <w:rtl/>
        </w:rPr>
        <w:footnoteReference w:id="4476"/>
      </w:r>
      <w:r>
        <w:rPr>
          <w:rFonts w:ascii="Arial"/>
          <w:b/>
          <w:bCs/>
          <w:sz w:val="29"/>
          <w:szCs w:val="29"/>
          <w:rtl/>
        </w:rPr>
        <w:t>חַד בְּלֵב וְחַד בַּפֶּה, לִבֵּיהּ מָלֵי שִׁקְרָא, וּפַתִּי בְּפוּמֵיהּ בְּמִלִּין דִּקְשׁוֹט.</w:t>
      </w:r>
    </w:p>
    <w:p w:rsidR="00602EF1" w:rsidRDefault="00602EF1" w:rsidP="00602EF1">
      <w:pPr>
        <w:spacing w:after="40" w:line="360" w:lineRule="atLeast"/>
        <w:ind w:left="144" w:right="144" w:firstLine="288"/>
        <w:jc w:val="both"/>
        <w:rPr>
          <w:rFonts w:ascii="Arial"/>
          <w:b/>
          <w:bCs/>
          <w:sz w:val="29"/>
          <w:szCs w:val="29"/>
          <w:rtl/>
        </w:rPr>
      </w:pPr>
      <w:r>
        <w:rPr>
          <w:rFonts w:ascii="Arial"/>
          <w:b/>
          <w:bCs/>
          <w:sz w:val="29"/>
          <w:szCs w:val="29"/>
          <w:rtl/>
        </w:rPr>
        <w:t xml:space="preserve">וְחִוְיָא בִּישָׁא </w:t>
      </w:r>
      <w:r>
        <w:rPr>
          <w:rStyle w:val="a7"/>
          <w:rFonts w:ascii="Arial"/>
          <w:b/>
          <w:bCs/>
          <w:sz w:val="29"/>
          <w:szCs w:val="29"/>
          <w:rtl/>
        </w:rPr>
        <w:footnoteReference w:id="4477"/>
      </w:r>
      <w:r>
        <w:rPr>
          <w:rFonts w:ascii="Arial"/>
          <w:b/>
          <w:bCs/>
          <w:sz w:val="29"/>
          <w:szCs w:val="29"/>
          <w:rtl/>
        </w:rPr>
        <w:t xml:space="preserve">אַעֲבַר הָכָא עַל לֹא תַעֲנֶה בְרֵעֲךָ עִד שָׁקֶר </w:t>
      </w:r>
      <w:r>
        <w:rPr>
          <w:rFonts w:ascii="Arial"/>
          <w:b/>
          <w:szCs w:val="23"/>
          <w:rtl/>
        </w:rPr>
        <w:t>(שמות כ יג)</w:t>
      </w:r>
      <w:r>
        <w:rPr>
          <w:rFonts w:ascii="Arial"/>
          <w:b/>
          <w:bCs/>
          <w:sz w:val="29"/>
          <w:szCs w:val="29"/>
          <w:rtl/>
        </w:rPr>
        <w:t xml:space="preserve">, וְעַל לֹא תִרְצַח, וְעַל לֹא תִנְאָף, וְעַל לֹא תִגְנוֹב, וְלֹא תִשָּׂא אֶת שֵׁם יהו''ה אלהי''ך לַשָּׁוְא, עַל לֹא תַעֲנֶה בְרֵעֲךָ דְּסָהִיד שִׁקְרָא דְאָמַר </w:t>
      </w:r>
      <w:r>
        <w:rPr>
          <w:rFonts w:ascii="Arial"/>
          <w:b/>
          <w:szCs w:val="23"/>
          <w:rtl/>
        </w:rPr>
        <w:t>(אף כי אמר אלהי''ם לא תאכלו מכל עץ הגן ועל לא תגנוב דגנב דעת חוה כגוונא דא דאמר אף כי אמר אלהי''ם וגומר)</w:t>
      </w:r>
      <w:r>
        <w:rPr>
          <w:rFonts w:ascii="Arial"/>
          <w:b/>
          <w:bCs/>
          <w:sz w:val="29"/>
          <w:szCs w:val="29"/>
          <w:rtl/>
        </w:rPr>
        <w:t xml:space="preserve"> כִּי יוֹדֵעַ אלהי''ם כִּי בְּיוֹם אֲכָלְכֶם מִמֶּנּוּ וְנִפְקְחוּ עִינֵיכֶם וִהְיִיתֶם כֵּאלֹהִי''ם יוֹדְעִי טוֹב וָרָע </w:t>
      </w:r>
      <w:r>
        <w:rPr>
          <w:rFonts w:ascii="Arial"/>
          <w:b/>
          <w:szCs w:val="23"/>
          <w:rtl/>
        </w:rPr>
        <w:t>(בראשית ג ה)</w:t>
      </w:r>
      <w:r>
        <w:rPr>
          <w:rFonts w:ascii="Arial"/>
          <w:b/>
          <w:bCs/>
          <w:sz w:val="29"/>
          <w:szCs w:val="29"/>
          <w:rtl/>
        </w:rPr>
        <w:t>, בְּגִין דְּלָא תֶהֱוָון בְּדִיּוֹקְנֵיהּ, וְעָבַר עַל לֹא תִנְאָף, דְּהִטִּיל זוּהֲמָא בְּחַוָּה, וְעָבַר עַל לֹא תִרְצַח, דְּקָטַל לְאָדָם וּלְחַוָּה, דְּהָכִי אָרְחָא דְיִצְרָא בִישָׁא מְפַתֵּי לִבְנֵי נָשָׁא, וּלְבָתַר סָלִיק וְאַלְשִׁין לֵיהּ, וְנָטִיל רְשׁוּ וְנָחִית וְנָטִיל נְשָׁמָה.</w:t>
      </w:r>
    </w:p>
    <w:p w:rsidR="00602EF1" w:rsidRDefault="00602EF1" w:rsidP="00602EF1">
      <w:pPr>
        <w:pStyle w:val="a8"/>
        <w:spacing w:before="0" w:after="40"/>
        <w:rPr>
          <w:rtl/>
        </w:rPr>
      </w:pPr>
      <w:bookmarkStart w:id="285" w:name="_Toc228091338"/>
      <w:bookmarkStart w:id="286" w:name="_Toc231637977"/>
    </w:p>
    <w:p w:rsidR="00602EF1" w:rsidRDefault="00602EF1" w:rsidP="00602EF1">
      <w:pPr>
        <w:pStyle w:val="1"/>
        <w:rPr>
          <w:u w:val="single"/>
          <w:rtl/>
        </w:rPr>
      </w:pPr>
      <w:r>
        <w:rPr>
          <w:rtl/>
        </w:rPr>
        <w:t>תקונא שתין</w:t>
      </w:r>
      <w:bookmarkEnd w:id="285"/>
      <w:bookmarkEnd w:id="286"/>
    </w:p>
    <w:p w:rsidR="00602EF1" w:rsidRDefault="00602EF1" w:rsidP="00602EF1">
      <w:pPr>
        <w:pStyle w:val="aa"/>
        <w:spacing w:after="40"/>
        <w:rPr>
          <w:rtl/>
        </w:rPr>
      </w:pPr>
      <w:r>
        <w:rPr>
          <w:rtl/>
        </w:rPr>
        <w:t xml:space="preserve">[תיקוני זוהר - דף צו ע''ב] </w:t>
      </w:r>
    </w:p>
    <w:p w:rsidR="00602EF1" w:rsidRDefault="00602EF1" w:rsidP="00602EF1">
      <w:pPr>
        <w:spacing w:after="40" w:line="360" w:lineRule="atLeast"/>
        <w:ind w:left="144" w:right="144" w:firstLine="288"/>
        <w:jc w:val="both"/>
        <w:rPr>
          <w:rFonts w:ascii="Arial"/>
          <w:b/>
          <w:bCs/>
          <w:sz w:val="29"/>
          <w:szCs w:val="29"/>
          <w:rtl/>
        </w:rPr>
      </w:pPr>
      <w:r>
        <w:rPr>
          <w:rStyle w:val="a7"/>
          <w:rFonts w:ascii="Arial"/>
          <w:b/>
          <w:bCs/>
          <w:sz w:val="29"/>
          <w:szCs w:val="29"/>
          <w:rtl/>
        </w:rPr>
        <w:footnoteReference w:id="4478"/>
      </w:r>
      <w:r>
        <w:rPr>
          <w:rFonts w:ascii="Arial"/>
          <w:b/>
          <w:bCs/>
          <w:sz w:val="29"/>
          <w:szCs w:val="29"/>
          <w:rtl/>
        </w:rPr>
        <w:t xml:space="preserve">בְּרֵאשִׁית דָּא בְּרִי''ת, </w:t>
      </w:r>
      <w:r>
        <w:rPr>
          <w:rStyle w:val="a7"/>
          <w:rFonts w:ascii="Arial"/>
          <w:b/>
          <w:bCs/>
          <w:sz w:val="29"/>
          <w:szCs w:val="29"/>
          <w:rtl/>
        </w:rPr>
        <w:footnoteReference w:id="4479"/>
      </w:r>
      <w:r>
        <w:rPr>
          <w:rFonts w:ascii="Arial"/>
          <w:b/>
          <w:bCs/>
          <w:sz w:val="29"/>
          <w:szCs w:val="29"/>
          <w:rtl/>
        </w:rPr>
        <w:t xml:space="preserve">דְּאִתְּמַר בֵּיהּ עִץ הַחַיִּים, וְהָא אוּקְמוּהָ, וּבְהִפּוּכָא תְבִי''ר, דְּגָרַם תְּבִירוּ לְאָדָם הָרִאשׁוֹן, </w:t>
      </w:r>
      <w:r>
        <w:rPr>
          <w:rStyle w:val="a7"/>
          <w:rFonts w:ascii="Arial"/>
          <w:b/>
          <w:bCs/>
          <w:sz w:val="29"/>
          <w:szCs w:val="29"/>
          <w:rtl/>
        </w:rPr>
        <w:footnoteReference w:id="4480"/>
      </w:r>
      <w:r>
        <w:rPr>
          <w:rFonts w:ascii="Arial"/>
          <w:b/>
          <w:bCs/>
          <w:sz w:val="29"/>
          <w:szCs w:val="29"/>
          <w:rtl/>
        </w:rPr>
        <w:t xml:space="preserve">וְדָא עִץ הַדַּעַת טוֹב וָרָע, טוֹב אִיהוּ </w:t>
      </w:r>
      <w:r>
        <w:rPr>
          <w:b/>
          <w:szCs w:val="23"/>
          <w:rtl/>
        </w:rPr>
        <w:t xml:space="preserve">(דף צו ע''ב) </w:t>
      </w:r>
      <w:r>
        <w:rPr>
          <w:rFonts w:ascii="Arial"/>
          <w:b/>
          <w:bCs/>
          <w:sz w:val="29"/>
          <w:szCs w:val="29"/>
          <w:rtl/>
        </w:rPr>
        <w:t xml:space="preserve">אִילָנָא, הַהוּא דִכְתִיב </w:t>
      </w:r>
      <w:r>
        <w:rPr>
          <w:rFonts w:ascii="Arial"/>
          <w:b/>
          <w:szCs w:val="23"/>
          <w:rtl/>
        </w:rPr>
        <w:t>(בראשית ג ו)</w:t>
      </w:r>
      <w:r>
        <w:rPr>
          <w:rFonts w:ascii="Arial"/>
          <w:b/>
          <w:bCs/>
          <w:sz w:val="29"/>
          <w:szCs w:val="29"/>
          <w:rtl/>
        </w:rPr>
        <w:t xml:space="preserve"> וַתֵּרֶא הָאִשָּׁה כִּי טוֹב הָעִץ לְמַאֲכָל וְכִי תַאֲוָה הוּא לָעִינַיִם, וְאִיבָּא דִילֵיהּ רָע, כְּפוּם חֵיזוּ דִּילָהּ הָכִי הֲוָה </w:t>
      </w:r>
      <w:r>
        <w:rPr>
          <w:rFonts w:ascii="Arial"/>
          <w:b/>
          <w:szCs w:val="23"/>
          <w:rtl/>
        </w:rPr>
        <w:t>(נ''א איהו)</w:t>
      </w:r>
      <w:r>
        <w:rPr>
          <w:rFonts w:ascii="Arial"/>
          <w:b/>
          <w:bCs/>
          <w:sz w:val="29"/>
          <w:szCs w:val="29"/>
          <w:rtl/>
        </w:rPr>
        <w:t xml:space="preserve"> אִתְחַזְיָא לָהּ מִלְּבָר, </w:t>
      </w:r>
      <w:r>
        <w:rPr>
          <w:rStyle w:val="a7"/>
          <w:rFonts w:ascii="Arial"/>
          <w:b/>
          <w:bCs/>
          <w:sz w:val="29"/>
          <w:szCs w:val="29"/>
          <w:rtl/>
        </w:rPr>
        <w:footnoteReference w:id="4481"/>
      </w:r>
      <w:r>
        <w:rPr>
          <w:rFonts w:ascii="Arial"/>
          <w:b/>
          <w:bCs/>
          <w:sz w:val="29"/>
          <w:szCs w:val="29"/>
          <w:rtl/>
        </w:rPr>
        <w:t xml:space="preserve">כְּגַוְונָא דְפוּמָא מִלִּין שַׁפִּירִין מִלְּבָר, וְלִבָּא מַלְיָיא טִנּוּפִין מִלְּגָאו, וְדָא לָא הֲוַת יָדְעָא דְסַם הַמָּוְת הֲוָה מִלְּגָאו דְאִיבָּא, </w:t>
      </w:r>
      <w:r>
        <w:rPr>
          <w:rStyle w:val="a7"/>
          <w:rFonts w:ascii="Arial"/>
          <w:b/>
          <w:bCs/>
          <w:sz w:val="29"/>
          <w:szCs w:val="29"/>
          <w:rtl/>
        </w:rPr>
        <w:footnoteReference w:id="4482"/>
      </w:r>
      <w:r>
        <w:rPr>
          <w:rFonts w:ascii="Arial"/>
          <w:b/>
          <w:bCs/>
          <w:sz w:val="29"/>
          <w:szCs w:val="29"/>
          <w:rtl/>
        </w:rPr>
        <w:t xml:space="preserve">הֲדָא הוּא דִכְתִיב וַ''תִּקַּח מִ''פִּרְיוֹ וַ''תֹּאכַל, וַתִּתֵּן גַּם לְאִישָׁהּ וְגוֹמֵר </w:t>
      </w:r>
      <w:r>
        <w:rPr>
          <w:rFonts w:ascii="Arial"/>
          <w:b/>
          <w:szCs w:val="23"/>
          <w:rtl/>
        </w:rPr>
        <w:t>(שם)</w:t>
      </w:r>
      <w:r>
        <w:rPr>
          <w:rFonts w:ascii="Arial"/>
          <w:b/>
          <w:bCs/>
          <w:sz w:val="29"/>
          <w:szCs w:val="29"/>
          <w:rtl/>
        </w:rPr>
        <w:t xml:space="preserve">, הֲרֵי אִיבָּא דְאִילָנָא דְתַמָּן מָוְ''ת </w:t>
      </w:r>
      <w:r>
        <w:rPr>
          <w:rFonts w:ascii="Arial"/>
          <w:b/>
          <w:szCs w:val="23"/>
          <w:rtl/>
        </w:rPr>
        <w:t>(מלגאו גרם לה דאכלה)</w:t>
      </w:r>
      <w:r>
        <w:rPr>
          <w:rFonts w:ascii="Arial"/>
          <w:b/>
          <w:bCs/>
          <w:sz w:val="29"/>
          <w:szCs w:val="29"/>
          <w:rtl/>
        </w:rPr>
        <w:t>.</w:t>
      </w:r>
    </w:p>
    <w:p w:rsidR="00602EF1" w:rsidRDefault="00602EF1" w:rsidP="00602EF1">
      <w:pPr>
        <w:pStyle w:val="NormalWeb"/>
        <w:rPr>
          <w:b w:val="0"/>
          <w:bCs w:val="0"/>
          <w:rtl/>
        </w:rPr>
      </w:pPr>
      <w:r>
        <w:rPr>
          <w:rStyle w:val="a7"/>
          <w:b w:val="0"/>
          <w:bCs w:val="0"/>
          <w:rtl/>
        </w:rPr>
        <w:footnoteReference w:id="4483"/>
      </w:r>
      <w:r>
        <w:rPr>
          <w:b w:val="0"/>
          <w:bCs w:val="0"/>
          <w:rtl/>
        </w:rPr>
        <w:t xml:space="preserve">וְאִית קְלִיפִין דְּאִיבָּא דְּאִינוּן תֹּהוּ וָבֹהוּ וְחֹשֶׁךְ וּתְהוֹם, דִּקְלִיפִין אִלֵּין אִינוּן רָע, מוֹחָא מִלְּגָאו טוֹב, אִילָנָא דְחַיֵּי קְלִיפִין דִּילֵיהּ שַׁפִּירִין וּמוֹחָא דִילֵיהּ שַׁפִּיר, וְדָא אִיהוּ עָפְיֵיהּ שַׁפִּיר וְאִנְבֵּיהּ שַׂגִּיא </w:t>
      </w:r>
      <w:r>
        <w:rPr>
          <w:b w:val="0"/>
          <w:sz w:val="20"/>
          <w:szCs w:val="23"/>
          <w:rtl/>
        </w:rPr>
        <w:t>(דניאל ד ט)</w:t>
      </w:r>
      <w:r>
        <w:rPr>
          <w:b w:val="0"/>
          <w:bCs w:val="0"/>
          <w:rtl/>
        </w:rPr>
        <w:t xml:space="preserve">, וְאִית אִילָנָא דְכוּלֵיהּ בִּישׁ, מוֹחָא וּקְלִיפָה כֻלְּהוּ מְרִירָן, וּמַיִּין דִּלְהוֹן מְרִירָן, הֲדָא הוּא דִכְתִיב </w:t>
      </w:r>
      <w:r>
        <w:rPr>
          <w:b w:val="0"/>
          <w:sz w:val="20"/>
          <w:szCs w:val="23"/>
          <w:rtl/>
        </w:rPr>
        <w:t>(שמות טו כג)</w:t>
      </w:r>
      <w:r>
        <w:rPr>
          <w:b w:val="0"/>
          <w:bCs w:val="0"/>
          <w:rtl/>
        </w:rPr>
        <w:t xml:space="preserve"> וַיָּבֹאוּ מָרָתָה וְלֹא יָכְלוּ לִשְׁתּוֹת מַיִם מִמָּרָה כִּי מָרִים הֵם וְגוֹמֵר, וַיּוֹרֵהוּ יהו''ה עִץ וְגוֹמֵר, וּבֵיהּ וַיִּמְתְּקוּ הַמָּיִם, עִץ מָתוֹק דְּמִנֵּיהּ נָפְקִין עַנְפִין וְשָׁרָשִׁין, דְּאִתְּמַר בְּהוֹן </w:t>
      </w:r>
      <w:r>
        <w:rPr>
          <w:b w:val="0"/>
          <w:sz w:val="20"/>
          <w:szCs w:val="23"/>
          <w:rtl/>
        </w:rPr>
        <w:t>(תהלים יט יא)</w:t>
      </w:r>
      <w:r>
        <w:rPr>
          <w:b w:val="0"/>
          <w:szCs w:val="23"/>
          <w:rtl/>
        </w:rPr>
        <w:t xml:space="preserve"> </w:t>
      </w:r>
      <w:r>
        <w:rPr>
          <w:rStyle w:val="Char"/>
          <w:rtl/>
        </w:rPr>
        <w:t>וּמְתוּקִים מִדְּבַשׁ וְנֹפֶת</w:t>
      </w:r>
      <w:r>
        <w:rPr>
          <w:b w:val="0"/>
          <w:szCs w:val="23"/>
          <w:rtl/>
        </w:rPr>
        <w:t xml:space="preserve"> </w:t>
      </w:r>
      <w:r>
        <w:rPr>
          <w:b w:val="0"/>
          <w:bCs w:val="0"/>
          <w:rtl/>
        </w:rPr>
        <w:t xml:space="preserve">צוּפִים, וּבְגִין דָּא אִית עִץ דְּעַנְפִין דִּילֵיהּ מְתִיקָן, וְעִץ דְּעַנְפִין דִּילֵיהּ מְרִירָן, וְאִית מַיִּין מְתִיקָן וּמַיִּין מְרִירָן, דְּדָא לָקֳבֵל דָּא עָבַד קוּדְשָׁא בְּרִיךְ הוּא, </w:t>
      </w:r>
      <w:r>
        <w:rPr>
          <w:rStyle w:val="a7"/>
          <w:b w:val="0"/>
          <w:bCs w:val="0"/>
          <w:rtl/>
        </w:rPr>
        <w:footnoteReference w:id="4484"/>
      </w:r>
      <w:r>
        <w:rPr>
          <w:b w:val="0"/>
          <w:bCs w:val="0"/>
          <w:rtl/>
        </w:rPr>
        <w:t xml:space="preserve">וְאִית דְּאִיהוּ פַּלְגוּ דִילֵיהּ מְתִיקָא וּפַלְגוּ דִילֵיהּ מְרִירָא, וְדָא עִץ הַדַּעַת טוֹב וָרָע, כְּגַוְונָא דְכַסְפָּא מְעוּרָב בְּעוֹפָרֶת, וְאִית אִילָנָא דִקְלִיפִין דִּילֵיהּ בִּישִׁין מִלְּבָר וּמוֹחָא מְתִיקָא מִלְּגָאו, הָכִי תִשְׁכַּח בַּר נַשׁ בִּישׁ בְּמִלֵּי פוּמוֹי </w:t>
      </w:r>
      <w:r>
        <w:rPr>
          <w:b w:val="0"/>
          <w:sz w:val="20"/>
          <w:szCs w:val="23"/>
          <w:rtl/>
        </w:rPr>
        <w:t>(נ''א ובפומוי מפיק ביש מלבר)</w:t>
      </w:r>
      <w:r>
        <w:rPr>
          <w:b w:val="0"/>
          <w:bCs w:val="0"/>
          <w:rtl/>
        </w:rPr>
        <w:t xml:space="preserve"> וְטַב בְּלִבֵּיהּ מִלְּגָאו, וְאִית מִפִּימוֹי טַב וְלִבֵּיהּ בִּישׁ, הַאי אִיהוּ עִץ הַדַּעַת טוֹב וָרָע, הָכָא מְקַנֵּן נָחָשׁ רַמַּאי.</w:t>
      </w:r>
    </w:p>
    <w:p w:rsidR="00602EF1" w:rsidRDefault="00602EF1" w:rsidP="00602EF1">
      <w:pPr>
        <w:pStyle w:val="NormalWeb"/>
        <w:rPr>
          <w:b w:val="0"/>
          <w:bCs w:val="0"/>
          <w:rtl/>
        </w:rPr>
      </w:pPr>
      <w:r>
        <w:rPr>
          <w:b w:val="0"/>
          <w:bCs w:val="0"/>
          <w:rtl/>
        </w:rPr>
        <w:t xml:space="preserve">הָכִי אִיהוּ בַּר נַשׁ דְּתִשְׁכַּח לֵיהּ גּוּפֵיהּ שַׁפִּיר, וְסִימָנִין דִּילֵיהּ כֻּלְּהוּ שַׁפִּירָן, וְנִשְׁמָתֵיהּ נֶפֶשׁ חַיָּיבָא מִלְּגָאו, וְתִשְׁכַּח בַּר נַשׁ גּוּפֵיהּ בִּישׁ בְּכָל סִימָנִין דִּילֵיהּ, וְנִשְׁמָתֵיהּ מִלְּגָאו שַׁפִּירָא, </w:t>
      </w:r>
      <w:r>
        <w:rPr>
          <w:rStyle w:val="a7"/>
          <w:b w:val="0"/>
          <w:bCs w:val="0"/>
          <w:rtl/>
        </w:rPr>
        <w:footnoteReference w:id="4485"/>
      </w:r>
      <w:r>
        <w:rPr>
          <w:b w:val="0"/>
          <w:bCs w:val="0"/>
          <w:rtl/>
        </w:rPr>
        <w:t xml:space="preserve">דָא אִיהוּ צַדִּיק וְרַע לוֹ, אֲבָל מָאן דְּאִיהוּ טַב מִלְּבָר וְרַע מִלְּגָאו, אִיהוּ רָשָׁע וְטוֹב לוֹ, בְּגִין דְּלָא יְהֵא לֵיהּ חוּלָקָא בְעָלְמָא דְאָתֵי, טוֹב מִלְּבָר וּמִלְּגָאו צַדִּיק וְטוֹב לוֹ, בִּישׁ מִלְּגָאו וּמִלְּבָר רָשָׁע וְרַע לוֹ, </w:t>
      </w:r>
      <w:r>
        <w:rPr>
          <w:rStyle w:val="a7"/>
          <w:b w:val="0"/>
          <w:bCs w:val="0"/>
          <w:rtl/>
        </w:rPr>
        <w:footnoteReference w:id="4486"/>
      </w:r>
      <w:r>
        <w:rPr>
          <w:b w:val="0"/>
          <w:bCs w:val="0"/>
          <w:rtl/>
        </w:rPr>
        <w:t>וְהָא אוּקְמוּהָ.</w:t>
      </w:r>
    </w:p>
    <w:p w:rsidR="00602EF1" w:rsidRDefault="00602EF1" w:rsidP="00602EF1">
      <w:pPr>
        <w:pStyle w:val="NormalWeb"/>
        <w:rPr>
          <w:b w:val="0"/>
          <w:bCs w:val="0"/>
          <w:rtl/>
        </w:rPr>
      </w:pPr>
      <w:r>
        <w:rPr>
          <w:b w:val="0"/>
          <w:bCs w:val="0"/>
          <w:rtl/>
        </w:rPr>
        <w:t xml:space="preserve">טַב מִלְּגָאו וּלְבוּשָׁא דִילֵיהּ בִּישׁ, דָּא אִיהוּ </w:t>
      </w:r>
      <w:r>
        <w:rPr>
          <w:rStyle w:val="a7"/>
          <w:b w:val="0"/>
          <w:bCs w:val="0"/>
          <w:rtl/>
        </w:rPr>
        <w:footnoteReference w:id="4487"/>
      </w:r>
      <w:r>
        <w:rPr>
          <w:b w:val="0"/>
          <w:bCs w:val="0"/>
          <w:rtl/>
        </w:rPr>
        <w:t xml:space="preserve">עָנִי וְרוֹכֵב עַל חֲמוֹר </w:t>
      </w:r>
      <w:r>
        <w:rPr>
          <w:b w:val="0"/>
          <w:sz w:val="20"/>
          <w:szCs w:val="23"/>
          <w:rtl/>
        </w:rPr>
        <w:t>(זכריה ט ט)</w:t>
      </w:r>
      <w:r>
        <w:rPr>
          <w:b w:val="0"/>
          <w:bCs w:val="0"/>
          <w:rtl/>
        </w:rPr>
        <w:t xml:space="preserve">, רַע מִלְּגָאו וּלְבוּשָׁא דִילֵיהּ שַׁפִּיר מִלְּבָר, עַל הַאי אִתְּמַר </w:t>
      </w:r>
      <w:r>
        <w:rPr>
          <w:b w:val="0"/>
          <w:sz w:val="20"/>
          <w:szCs w:val="23"/>
          <w:rtl/>
        </w:rPr>
        <w:t>(קהלת י ז)</w:t>
      </w:r>
      <w:r>
        <w:rPr>
          <w:b w:val="0"/>
          <w:bCs w:val="0"/>
          <w:rtl/>
        </w:rPr>
        <w:t xml:space="preserve"> רָאִיתִי עֲבָדִים עַל סוּסִים, וְכֹלָּא אִשְׁתְּמוֹדָע בְּעוֹבָדוֹי דְבַר נַשׁ, מָאן דְּאִיהוּ מִלְּגָאו, </w:t>
      </w:r>
      <w:r>
        <w:rPr>
          <w:rStyle w:val="a7"/>
          <w:b w:val="0"/>
          <w:bCs w:val="0"/>
          <w:rtl/>
        </w:rPr>
        <w:footnoteReference w:id="4488"/>
      </w:r>
      <w:r>
        <w:rPr>
          <w:b w:val="0"/>
          <w:bCs w:val="0"/>
          <w:rtl/>
        </w:rPr>
        <w:t xml:space="preserve">וְלַאו לְמַגָּנָא אוּקְמוּ קַדְמָאִין לֹא הַמֶּדְרָשׁ הוּא הָעִקָּר אֶלָּא הַמַּעֲשֶׂה הוּא הָעִקָּר, דְּשַׁטְיָין מִסְתַּכְּלִין בְּגוּפָא דְאִיהוּ לְבוּשָׁא, הֲדָא הוּא דִכְתִיב </w:t>
      </w:r>
      <w:r>
        <w:rPr>
          <w:b w:val="0"/>
          <w:sz w:val="20"/>
          <w:szCs w:val="23"/>
          <w:rtl/>
        </w:rPr>
        <w:t>(איוב י יא)</w:t>
      </w:r>
      <w:r>
        <w:rPr>
          <w:b w:val="0"/>
          <w:bCs w:val="0"/>
          <w:rtl/>
        </w:rPr>
        <w:t xml:space="preserve"> עוֹר וּבָשָׂר תַּלְבִּישֵׁנִי, וְצַדִּיקַיָּא בְעוֹבָדִין טָבִין.</w:t>
      </w:r>
    </w:p>
    <w:p w:rsidR="00602EF1" w:rsidRDefault="00602EF1" w:rsidP="00602EF1">
      <w:pPr>
        <w:pStyle w:val="NormalWeb"/>
        <w:rPr>
          <w:b w:val="0"/>
          <w:bCs w:val="0"/>
          <w:rtl/>
        </w:rPr>
      </w:pPr>
      <w:r>
        <w:rPr>
          <w:rStyle w:val="a7"/>
          <w:b w:val="0"/>
          <w:bCs w:val="0"/>
          <w:rtl/>
        </w:rPr>
        <w:footnoteReference w:id="4489"/>
      </w:r>
      <w:r>
        <w:rPr>
          <w:b w:val="0"/>
          <w:bCs w:val="0"/>
          <w:rtl/>
        </w:rPr>
        <w:t xml:space="preserve">וְעוֹד </w:t>
      </w:r>
      <w:r>
        <w:rPr>
          <w:b w:val="0"/>
          <w:sz w:val="20"/>
          <w:szCs w:val="23"/>
          <w:rtl/>
        </w:rPr>
        <w:t>(שמות טו כה)</w:t>
      </w:r>
      <w:r>
        <w:rPr>
          <w:b w:val="0"/>
          <w:bCs w:val="0"/>
          <w:rtl/>
        </w:rPr>
        <w:t xml:space="preserve"> וַיּוֹרֵהוּ יהו''ה עִץ, דָּא מַטֶּה דְמֹשֶׁה, דַהֲוָה מִתְהַפֵּךְ מִמַּטֶּה לְנָחָשׁ וּמִנָּחָשׁ לְמַטֶּה, </w:t>
      </w:r>
      <w:r>
        <w:rPr>
          <w:rStyle w:val="a7"/>
          <w:b w:val="0"/>
          <w:bCs w:val="0"/>
          <w:rtl/>
        </w:rPr>
        <w:footnoteReference w:id="4490"/>
      </w:r>
      <w:r>
        <w:rPr>
          <w:b w:val="0"/>
          <w:bCs w:val="0"/>
          <w:rtl/>
        </w:rPr>
        <w:t xml:space="preserve">כְּגוֹן לַהַט הַחֶרֶב הַמִּתְהַפֶּכֶת </w:t>
      </w:r>
      <w:r>
        <w:rPr>
          <w:b w:val="0"/>
          <w:sz w:val="20"/>
          <w:szCs w:val="23"/>
          <w:rtl/>
        </w:rPr>
        <w:t>(בראשית ג כד)</w:t>
      </w:r>
      <w:r>
        <w:rPr>
          <w:b w:val="0"/>
          <w:bCs w:val="0"/>
          <w:rtl/>
        </w:rPr>
        <w:t>, וְדָא מטטרו''ן, דְּבֵיהּ הֲוָה מִשְׁתַּמֵּשׁ מֹשֶׁה רַבֵּינוּ, כְּגַוְונָא דְעַמּוּדָא דְאֶמְצָעִיתָא דְהוּא מִשְׁתַּמֵּשׁ בֵּיהּ, וַהֲוָה מַנְהִיג תַּתָּאִין בֵּיהּ, אוּף הָכִי מֹשֶׁה דַהֲוָה כְּגַוְונָא דִילֵיהּ, הֲוָה מִשְׁתַּמֵּשׁ בְּמַטֶּה, וְאַמַּאי אִתְקְרֵי מטטרו''ן מַטֶּה, דִלְזִמְנִין מַטֶּה כְּלַפֵּי זְכוּ לַצַּדִּיקַיָּא, וּלְזִמְנִין מַטֶּה כְּלַפֵּי חוֹבָא לְרַשִּׁיעַיָּא, וּבְגִין דָּא אִתְהַפַּךְ מִמַּטֶּה לְנָחָשׁ לְרַשִּׁיעַיָּא לְאַלְקָאָה לוֹן בֵּיהּ, וּמִנָּחָשׁ לַמַּטֶּה לַצַּדִּיקַיָּא לְמֵיהַב לוֹן בֵּיהּ אַגְרָא.</w:t>
      </w:r>
    </w:p>
    <w:p w:rsidR="00602EF1" w:rsidRDefault="00602EF1" w:rsidP="00602EF1">
      <w:pPr>
        <w:pStyle w:val="NormalWeb"/>
        <w:rPr>
          <w:b w:val="0"/>
          <w:bCs w:val="0"/>
          <w:rtl/>
        </w:rPr>
      </w:pPr>
      <w:r>
        <w:rPr>
          <w:b w:val="0"/>
          <w:bCs w:val="0"/>
          <w:rtl/>
        </w:rPr>
        <w:t xml:space="preserve">דְּהָכִי אִיהוּ עַל הַאי מַלְאָכָא קוּדְשָׁא בְּרִיךְ הוּא, כְּגַוְונָא דְנִשְׁמָתָא דְרָכִיב עַל גּוּפָא, וְצַדִּיק בְּהַאי אֲתַר אִתְּמַר בֵּיהּ </w:t>
      </w:r>
      <w:r>
        <w:rPr>
          <w:b w:val="0"/>
          <w:sz w:val="20"/>
          <w:szCs w:val="23"/>
          <w:rtl/>
        </w:rPr>
        <w:t>(שמואל ב כג)</w:t>
      </w:r>
      <w:r>
        <w:rPr>
          <w:b w:val="0"/>
          <w:bCs w:val="0"/>
          <w:rtl/>
        </w:rPr>
        <w:t xml:space="preserve"> צַדִּיק מוֹשֵׁל יִרְאַת אלהי''ם, בְּגִין דְּאִיהוּ מְהַפֵּךְ דִּינָא לְרַחֲמֵי, וּבְהַאי אֲתַר צָרִיךְ </w:t>
      </w:r>
      <w:r>
        <w:rPr>
          <w:rStyle w:val="a7"/>
          <w:b w:val="0"/>
          <w:bCs w:val="0"/>
          <w:rtl/>
        </w:rPr>
        <w:footnoteReference w:id="4491"/>
      </w:r>
      <w:r>
        <w:rPr>
          <w:b w:val="0"/>
          <w:bCs w:val="0"/>
          <w:rtl/>
        </w:rPr>
        <w:t xml:space="preserve">שִׁנּוּי מַעֲשֶׂה, בְּגִין דְּיִתְהַפַּךְ מִדִּינָא לְרַחֲמֵי, וְשִׁנּוּי הַשֵּׁם וְשִׁנּוּי מָקוֹם, וְקוּדְשָׁא בְּרִיךְ הוּא דְאִיהוּ מִלְּגָאו, אִתְּמַר בֵּיהּ </w:t>
      </w:r>
      <w:r>
        <w:rPr>
          <w:b w:val="0"/>
          <w:sz w:val="20"/>
          <w:szCs w:val="23"/>
          <w:rtl/>
        </w:rPr>
        <w:t>(מלאכי ג ו)</w:t>
      </w:r>
      <w:r>
        <w:rPr>
          <w:b w:val="0"/>
          <w:bCs w:val="0"/>
          <w:rtl/>
        </w:rPr>
        <w:t xml:space="preserve"> אֲנִי יהו''ה לֹא שָׁנִיתִי, דְּאִיהוּ רַחוּם וְחַנּוּן, לֵית בֵּיהּ דִּינָא כְלָל וְלָא שִׁנּוּיִין.</w:t>
      </w:r>
    </w:p>
    <w:p w:rsidR="00602EF1" w:rsidRDefault="00602EF1" w:rsidP="00602EF1">
      <w:pPr>
        <w:pStyle w:val="aa"/>
        <w:spacing w:after="40"/>
        <w:rPr>
          <w:rtl/>
        </w:rPr>
      </w:pPr>
      <w:r>
        <w:rPr>
          <w:rtl/>
        </w:rPr>
        <w:t xml:space="preserve">[תיקוני זוהר - דף צז ע''א] </w:t>
      </w:r>
    </w:p>
    <w:p w:rsidR="00602EF1" w:rsidRDefault="00602EF1" w:rsidP="00602EF1">
      <w:pPr>
        <w:pStyle w:val="NormalWeb"/>
        <w:rPr>
          <w:b w:val="0"/>
          <w:bCs w:val="0"/>
          <w:rtl/>
        </w:rPr>
      </w:pPr>
      <w:r>
        <w:rPr>
          <w:b w:val="0"/>
          <w:bCs w:val="0"/>
          <w:rtl/>
        </w:rPr>
        <w:t xml:space="preserve">וְכַד בַּר נַשׁ שַׁלִּיט עַל יִצְרֵיהּ, נֶהְפַּךְ נָחָשׁ </w:t>
      </w:r>
      <w:r>
        <w:rPr>
          <w:b w:val="0"/>
          <w:sz w:val="20"/>
          <w:szCs w:val="23"/>
          <w:rtl/>
        </w:rPr>
        <w:t xml:space="preserve">(דף צז ע''א) </w:t>
      </w:r>
      <w:r>
        <w:rPr>
          <w:b w:val="0"/>
          <w:bCs w:val="0"/>
          <w:rtl/>
        </w:rPr>
        <w:t xml:space="preserve">לַמַּטֶּה, וְאִם יִצְרֵיהּ שַׁלִּיט עֲלֵיהּ, נֶהְפַּךְ מִמַּטֶּה לְנָחָשׁ, </w:t>
      </w:r>
      <w:r>
        <w:rPr>
          <w:rStyle w:val="a7"/>
          <w:b w:val="0"/>
          <w:bCs w:val="0"/>
          <w:rtl/>
        </w:rPr>
        <w:footnoteReference w:id="4492"/>
      </w:r>
      <w:r>
        <w:rPr>
          <w:b w:val="0"/>
          <w:bCs w:val="0"/>
          <w:rtl/>
        </w:rPr>
        <w:t xml:space="preserve">וּמִיָּד וַיָּנָס מֹשֶׁה מִפָּנָיו </w:t>
      </w:r>
      <w:r>
        <w:rPr>
          <w:b w:val="0"/>
          <w:sz w:val="20"/>
          <w:szCs w:val="23"/>
          <w:rtl/>
        </w:rPr>
        <w:t>(שמות ד ג)</w:t>
      </w:r>
      <w:r>
        <w:rPr>
          <w:b w:val="0"/>
          <w:bCs w:val="0"/>
          <w:rtl/>
        </w:rPr>
        <w:t xml:space="preserve">, מַאי וַיָּנָס, אֶלָּא הָכִא רְמִיז שִׁנּוּי מָקוֹם, דְּבָרַח מֵאַתְרֵיהּ וּמִקַּמֵּיהּ, וְדָא אִיהוּ רָזָא וַתִּפָּקַחְנָה עִינֵי שְׁנֵיהֶם </w:t>
      </w:r>
      <w:r>
        <w:rPr>
          <w:b w:val="0"/>
          <w:sz w:val="20"/>
          <w:szCs w:val="23"/>
          <w:rtl/>
        </w:rPr>
        <w:t>(בראשית ג י)</w:t>
      </w:r>
      <w:r>
        <w:rPr>
          <w:b w:val="0"/>
          <w:bCs w:val="0"/>
          <w:rtl/>
        </w:rPr>
        <w:t xml:space="preserve">, וּבְמַאי אִתְפַּקְחוּ, לְמִנְדַּע טוֹב וָרָע, </w:t>
      </w:r>
      <w:r>
        <w:rPr>
          <w:rStyle w:val="a7"/>
          <w:b w:val="0"/>
          <w:bCs w:val="0"/>
          <w:rtl/>
        </w:rPr>
        <w:footnoteReference w:id="4493"/>
      </w:r>
      <w:r>
        <w:rPr>
          <w:b w:val="0"/>
          <w:bCs w:val="0"/>
          <w:rtl/>
        </w:rPr>
        <w:t>דְּאִיהוּ מַטֶּה כְלִיל מִתַּרְוַיְיהוּ, כַּד אִתְהַפַּךְ מִנָּחָשׁ לַמַּטֶּה אִתְּמַר בֵּיהּ צַדִּיק וְטוֹב לוֹ, וְכַד אִתְהַפַּךְ מִמַּטֶּה לְנָחָשׁ אִתְּמַר בֵּיהּ רָשָׁע וְטוֹב לוֹ.</w:t>
      </w:r>
    </w:p>
    <w:p w:rsidR="00602EF1" w:rsidRDefault="00602EF1" w:rsidP="00602EF1">
      <w:pPr>
        <w:pStyle w:val="a8"/>
        <w:spacing w:before="0" w:after="40"/>
        <w:rPr>
          <w:rtl/>
        </w:rPr>
      </w:pPr>
      <w:bookmarkStart w:id="287" w:name="_Toc228091339"/>
      <w:bookmarkStart w:id="288" w:name="_Toc231637978"/>
    </w:p>
    <w:p w:rsidR="00602EF1" w:rsidRDefault="00602EF1" w:rsidP="00602EF1">
      <w:pPr>
        <w:pStyle w:val="1"/>
        <w:rPr>
          <w:sz w:val="39"/>
          <w:szCs w:val="39"/>
          <w:rtl/>
        </w:rPr>
      </w:pPr>
      <w:r>
        <w:rPr>
          <w:rtl/>
        </w:rPr>
        <w:t>תקונא חד ושתין</w:t>
      </w:r>
      <w:bookmarkEnd w:id="287"/>
      <w:bookmarkEnd w:id="288"/>
    </w:p>
    <w:p w:rsidR="00602EF1" w:rsidRDefault="00602EF1" w:rsidP="00602EF1">
      <w:pPr>
        <w:pStyle w:val="NormalWeb"/>
        <w:rPr>
          <w:b w:val="0"/>
          <w:bCs w:val="0"/>
          <w:rtl/>
        </w:rPr>
      </w:pPr>
      <w:r>
        <w:rPr>
          <w:rStyle w:val="a7"/>
          <w:b w:val="0"/>
          <w:bCs w:val="0"/>
          <w:rtl/>
        </w:rPr>
        <w:footnoteReference w:id="4494"/>
      </w:r>
      <w:r>
        <w:rPr>
          <w:b w:val="0"/>
          <w:bCs w:val="0"/>
          <w:rtl/>
        </w:rPr>
        <w:t xml:space="preserve">בְּרֵאשִׁית דָּא מַחֲשָׁבָה, אלהי''ם דָּא אִימָּא עִלָּאָה </w:t>
      </w:r>
      <w:r>
        <w:rPr>
          <w:rStyle w:val="a7"/>
          <w:b w:val="0"/>
          <w:bCs w:val="0"/>
          <w:rtl/>
        </w:rPr>
        <w:footnoteReference w:id="4495"/>
      </w:r>
      <w:r>
        <w:rPr>
          <w:b w:val="0"/>
          <w:bCs w:val="0"/>
          <w:rtl/>
        </w:rPr>
        <w:t xml:space="preserve">עוֹבָדָא, דְתַרְוַיְיהוּ דְחִילוּ וּרְחִימוּ, אֶת הַשָּׁמַיִם דָּא קָלָא, וְאֶת הָאָרֶץ דָּא דִבּוּרָא, וּבְכֹלָּא חָאבוּ אָדָם וְחַוָּה, אַפְרִישׁוּ בֵּין אַבָּא וְאִימָּא דְאִינוּן מַחֲשָׁבָה וְעוֹבָדָא, וּבֵין קוֹל וְדִבּוּר דְּאִינוּן בְּרָא וּבְרַתָּא, וּבְגִין דָּא וַיִּשְׁמְעוּ אֶת קוֹל יהו''ה אלהי''ם מִתְהַלֵּךְ בַּגָּן לְרוּחַ הַיּוֹם </w:t>
      </w:r>
      <w:r>
        <w:rPr>
          <w:b w:val="0"/>
          <w:sz w:val="20"/>
          <w:szCs w:val="23"/>
          <w:rtl/>
        </w:rPr>
        <w:t>(בראשית ג ח)</w:t>
      </w:r>
      <w:r>
        <w:rPr>
          <w:b w:val="0"/>
          <w:szCs w:val="23"/>
          <w:rtl/>
        </w:rPr>
        <w:t xml:space="preserve">, </w:t>
      </w:r>
      <w:r>
        <w:rPr>
          <w:rStyle w:val="Char"/>
          <w:rtl/>
        </w:rPr>
        <w:t>אֶ''ת קוֹ''ל דָּא</w:t>
      </w:r>
      <w:r>
        <w:rPr>
          <w:b w:val="0"/>
          <w:szCs w:val="23"/>
          <w:rtl/>
        </w:rPr>
        <w:t xml:space="preserve"> </w:t>
      </w:r>
      <w:r>
        <w:rPr>
          <w:b w:val="0"/>
          <w:bCs w:val="0"/>
          <w:rtl/>
        </w:rPr>
        <w:t xml:space="preserve">עַמּוּדָא דְאֶמְצָעִיתָא, וּשְׁכִינְתָּא עִמֵּיהּ, יהו''ה אלהי''ם אַבָּא וְאִימָּא, וְאִינוּן אַרְבַּע אַתְוָון יהו''ה, י' אַבָּא ה' אִימָּא ו' בְּרָא ה' בְּרַתָּא, דְּאִינוּן מַחֲשָׁבָה וּמַעֲשֶׂה קָלָא וְדִבּוּרָא, </w:t>
      </w:r>
      <w:r>
        <w:rPr>
          <w:b w:val="0"/>
          <w:sz w:val="20"/>
          <w:szCs w:val="23"/>
          <w:rtl/>
        </w:rPr>
        <w:t>(ורזא דמלה מחשבה מצטרפא למעשה ודא רזא יו''ד דהיא י' וקלא ודבור דאיהו שמים וארץ וכל צבאם)</w:t>
      </w:r>
      <w:r>
        <w:rPr>
          <w:b w:val="0"/>
          <w:bCs w:val="0"/>
          <w:rtl/>
        </w:rPr>
        <w:t xml:space="preserve">, קוֹל דַּהֲוָה אָזִיל בַּגָּן דָּא עַמּוּדָא דְאֶמְצָעִיתָא, שָׁמַע קָלֵיהּ דַּהֲוָה אָזִיל בְּגִנְּתָא בְּעַנְפֵי אִילָנָא, </w:t>
      </w:r>
      <w:r>
        <w:rPr>
          <w:rStyle w:val="a7"/>
          <w:b w:val="0"/>
          <w:bCs w:val="0"/>
          <w:rtl/>
        </w:rPr>
        <w:footnoteReference w:id="4496"/>
      </w:r>
      <w:r>
        <w:rPr>
          <w:b w:val="0"/>
          <w:bCs w:val="0"/>
          <w:rtl/>
        </w:rPr>
        <w:t xml:space="preserve">מֵהַהוּא אִילָנָא דְחָאב בֵּיהּ אָדָם קַדְמָאָה, דַּהֲוָה אָמַר אִילָנָא לְסמא''ל חַיָּיבָא נָחָשׁ הַקַּדְמוֹנִי, רָשָׁע אַל תִּגַּע בִּי, וּבְאָן אֲתַר הֲוָה אָזִיל קָלָא </w:t>
      </w:r>
      <w:r>
        <w:rPr>
          <w:rStyle w:val="a7"/>
          <w:b w:val="0"/>
          <w:bCs w:val="0"/>
          <w:rtl/>
        </w:rPr>
        <w:footnoteReference w:id="4497"/>
      </w:r>
      <w:r>
        <w:rPr>
          <w:b w:val="0"/>
          <w:bCs w:val="0"/>
          <w:rtl/>
        </w:rPr>
        <w:t xml:space="preserve">בְּגִנְּתָא דְאִיהִי אדנ''י דִינָ''א, </w:t>
      </w:r>
      <w:r>
        <w:rPr>
          <w:rStyle w:val="a7"/>
          <w:b w:val="0"/>
          <w:bCs w:val="0"/>
          <w:rtl/>
        </w:rPr>
        <w:footnoteReference w:id="4498"/>
      </w:r>
      <w:r>
        <w:rPr>
          <w:b w:val="0"/>
          <w:bCs w:val="0"/>
          <w:rtl/>
        </w:rPr>
        <w:t xml:space="preserve">לְסִטְרָא דִשְׂמָאלָא, דְּאִתְּמַר בֵּיהּ </w:t>
      </w:r>
      <w:r>
        <w:rPr>
          <w:b w:val="0"/>
          <w:sz w:val="20"/>
          <w:szCs w:val="23"/>
          <w:rtl/>
        </w:rPr>
        <w:t>(איוב א ו)</w:t>
      </w:r>
      <w:r>
        <w:rPr>
          <w:b w:val="0"/>
          <w:bCs w:val="0"/>
          <w:rtl/>
        </w:rPr>
        <w:t xml:space="preserve"> וַיְהִי הַיּוֹם וַיָּבֹאוּ בְּנֵי הָאלהי''ם לְהִתְיַצֵּב עַל יהו''ה, וְדָא אִיהוּ לְרוּחַ הַיּוֹם, וּמַה הֲווֹ אָמְרִין בְּנֵי הָאלהי''ם, אֶלָּא אָתוּ לְהִתְיַצֵּב עַל מֵימְרָא דַיהו''ה, דְּכַד אָמַר קוּדְשָׁא בְּרִיךְ הוּא </w:t>
      </w:r>
      <w:r>
        <w:rPr>
          <w:b w:val="0"/>
          <w:sz w:val="20"/>
          <w:szCs w:val="23"/>
          <w:rtl/>
        </w:rPr>
        <w:t>(בראשית א כו)</w:t>
      </w:r>
      <w:r>
        <w:rPr>
          <w:b w:val="0"/>
          <w:bCs w:val="0"/>
          <w:rtl/>
        </w:rPr>
        <w:t xml:space="preserve"> נַעֲשֶׂה אָדָם בְּצַלְמֵנוּ כִּדְמוּתֵנוּ, אָמְרוּ אִינוּן מָה אָדָם וַתֵּדָעִהוּ </w:t>
      </w:r>
      <w:r>
        <w:rPr>
          <w:b w:val="0"/>
          <w:sz w:val="20"/>
          <w:szCs w:val="23"/>
          <w:rtl/>
        </w:rPr>
        <w:t>(תהלים קמד ג)</w:t>
      </w:r>
      <w:r>
        <w:rPr>
          <w:b w:val="0"/>
          <w:szCs w:val="23"/>
          <w:rtl/>
        </w:rPr>
        <w:t xml:space="preserve">, </w:t>
      </w:r>
      <w:r>
        <w:rPr>
          <w:b w:val="0"/>
          <w:sz w:val="20"/>
          <w:szCs w:val="23"/>
          <w:rtl/>
        </w:rPr>
        <w:t>(ס''א אמרו אינון מה אנוש כי תזכרנו וגומר)</w:t>
      </w:r>
      <w:r>
        <w:rPr>
          <w:b w:val="0"/>
          <w:szCs w:val="23"/>
          <w:rtl/>
        </w:rPr>
        <w:t xml:space="preserve"> </w:t>
      </w:r>
      <w:r>
        <w:rPr>
          <w:b w:val="0"/>
          <w:sz w:val="20"/>
          <w:szCs w:val="23"/>
          <w:rtl/>
        </w:rPr>
        <w:t>(שם ח ה)</w:t>
      </w:r>
      <w:r>
        <w:rPr>
          <w:b w:val="0"/>
          <w:bCs w:val="0"/>
          <w:rtl/>
        </w:rPr>
        <w:t>.</w:t>
      </w:r>
    </w:p>
    <w:p w:rsidR="00602EF1" w:rsidRDefault="00602EF1" w:rsidP="00602EF1">
      <w:pPr>
        <w:pStyle w:val="NormalWeb"/>
        <w:rPr>
          <w:b w:val="0"/>
          <w:bCs w:val="0"/>
          <w:rtl/>
        </w:rPr>
      </w:pPr>
      <w:r>
        <w:rPr>
          <w:rStyle w:val="a7"/>
          <w:b w:val="0"/>
          <w:bCs w:val="0"/>
          <w:rtl/>
        </w:rPr>
        <w:footnoteReference w:id="4499"/>
      </w:r>
      <w:r>
        <w:rPr>
          <w:b w:val="0"/>
          <w:bCs w:val="0"/>
          <w:rtl/>
        </w:rPr>
        <w:t xml:space="preserve">וְעוֹד וַיִּשְׁמְעוּ אֶת קוֹל יהו''ה אלהי''ם, הַהוּא קָלָא הֲוָה בְּגִנְּתָא דְאִיהִי שְׁכִינְתָּא, דְתַמָּן עִץ הַחַיִּים נָטוּעַ, </w:t>
      </w:r>
      <w:r>
        <w:rPr>
          <w:rStyle w:val="a7"/>
          <w:b w:val="0"/>
          <w:bCs w:val="0"/>
          <w:rtl/>
        </w:rPr>
        <w:footnoteReference w:id="4500"/>
      </w:r>
      <w:r>
        <w:rPr>
          <w:b w:val="0"/>
          <w:bCs w:val="0"/>
          <w:rtl/>
        </w:rPr>
        <w:t xml:space="preserve">דְּחַוָּה גָרְמַת דְּאִתְעַקַּר אִילָנָא מִגִּנְתָא, וְאָדָם גָּרִים בְּמַחֲשַׁבְתָּא דִילֵיהּ דְּאִסְתַּלִּיק נְבִיעוּ דְאִילָנָא, דַהֲוָה נָחִית לְגִנְּתָא, וְאִשְׁתְּאָרַת יַבָּשָׁה, יהו''ה דָּא אִילָנָא, ה''ה עַנְפּוֹי וְשָׁרְשׁוֹי, ו' גּוּפָא דְאִילָנָא, י' אִיבָּא דִילֵיהּ, </w:t>
      </w:r>
      <w:r>
        <w:rPr>
          <w:rStyle w:val="a7"/>
          <w:b w:val="0"/>
          <w:bCs w:val="0"/>
          <w:rtl/>
        </w:rPr>
        <w:footnoteReference w:id="4501"/>
      </w:r>
      <w:r>
        <w:rPr>
          <w:b w:val="0"/>
          <w:bCs w:val="0"/>
          <w:rtl/>
        </w:rPr>
        <w:t xml:space="preserve">נְבִיעוּ דִילֵיהּ כְּגַוְונָא דָא יהו''ה אֶחָד וּשְׁמוֹ אֶחָד, </w:t>
      </w:r>
      <w:r>
        <w:rPr>
          <w:rStyle w:val="a7"/>
          <w:b w:val="0"/>
          <w:bCs w:val="0"/>
          <w:rtl/>
        </w:rPr>
        <w:footnoteReference w:id="4502"/>
      </w:r>
      <w:r>
        <w:rPr>
          <w:b w:val="0"/>
          <w:bCs w:val="0"/>
          <w:rtl/>
        </w:rPr>
        <w:t xml:space="preserve">וּמְנָלָן דְּאִתְקְרֵי נְבִיעוּ אֶחָד, כְּמָה דְאִתְּמַר </w:t>
      </w:r>
      <w:r>
        <w:rPr>
          <w:b w:val="0"/>
          <w:sz w:val="20"/>
          <w:szCs w:val="23"/>
          <w:rtl/>
        </w:rPr>
        <w:t>(בראשית א ט)</w:t>
      </w:r>
      <w:r>
        <w:rPr>
          <w:b w:val="0"/>
          <w:bCs w:val="0"/>
          <w:rtl/>
        </w:rPr>
        <w:t xml:space="preserve"> יִקָּווּ הַמַּיִם מִתַּחַת הַשָּׁמַיִם אֶל מָקוֹם אֶחָד וְתֵרָאֶה הַיַּבָּשָׁה אדנ''י.</w:t>
      </w:r>
    </w:p>
    <w:p w:rsidR="00602EF1" w:rsidRDefault="00602EF1" w:rsidP="00602EF1">
      <w:pPr>
        <w:pStyle w:val="aa"/>
        <w:spacing w:after="40"/>
        <w:rPr>
          <w:rtl/>
        </w:rPr>
      </w:pPr>
      <w:r>
        <w:rPr>
          <w:rtl/>
        </w:rPr>
        <w:t xml:space="preserve">[תיקוני זוהר - דף צז ע''ב] </w:t>
      </w:r>
    </w:p>
    <w:p w:rsidR="00602EF1" w:rsidRDefault="00602EF1" w:rsidP="00602EF1">
      <w:pPr>
        <w:pStyle w:val="NormalWeb"/>
        <w:rPr>
          <w:b w:val="0"/>
          <w:bCs w:val="0"/>
          <w:rtl/>
        </w:rPr>
      </w:pPr>
      <w:r>
        <w:rPr>
          <w:b w:val="0"/>
          <w:bCs w:val="0"/>
          <w:rtl/>
        </w:rPr>
        <w:t xml:space="preserve">וּבְגִין דָּא וַיִּתְחַבֵּא הָאָדָם וְאִשְׁתּוֹ מִפְּנֵי יהו''ה אלהי''ם </w:t>
      </w:r>
      <w:r>
        <w:rPr>
          <w:b w:val="0"/>
          <w:sz w:val="20"/>
          <w:szCs w:val="23"/>
          <w:rtl/>
        </w:rPr>
        <w:t>(שם ג ח)</w:t>
      </w:r>
      <w:r>
        <w:rPr>
          <w:b w:val="0"/>
          <w:bCs w:val="0"/>
          <w:rtl/>
        </w:rPr>
        <w:t xml:space="preserve">, וְכִי יָכִיל בַּר נַשׁ לְאִתְכַּסְיָא מִנֵּיהּ, וְהָא כְּתִיב </w:t>
      </w:r>
      <w:r>
        <w:rPr>
          <w:b w:val="0"/>
          <w:sz w:val="20"/>
          <w:szCs w:val="23"/>
          <w:rtl/>
        </w:rPr>
        <w:t>(ירמיה כג כד)</w:t>
      </w:r>
      <w:r>
        <w:rPr>
          <w:b w:val="0"/>
          <w:bCs w:val="0"/>
          <w:rtl/>
        </w:rPr>
        <w:t xml:space="preserve"> אִם יִסָּתֵר אִישׁ בַּמִּסְתָּרִים וַאֲנִי לֹא אֶרְאֶנּוּ נְאֻם יהו''ה, אֶלָּא כָּסּוּ פָנָיו חֲרֻלִּים </w:t>
      </w:r>
      <w:r>
        <w:rPr>
          <w:b w:val="0"/>
          <w:sz w:val="20"/>
          <w:szCs w:val="23"/>
          <w:rtl/>
        </w:rPr>
        <w:t>(משלי כד לא)</w:t>
      </w:r>
      <w:r>
        <w:rPr>
          <w:b w:val="0"/>
          <w:bCs w:val="0"/>
          <w:rtl/>
        </w:rPr>
        <w:t xml:space="preserve">, אִתְכַּסִּיאוּ אַנְפּוֹי מִבֹּשֶׁת, דְּאִתְפַּקְחוּ עִינַיְיהוּ וְחָזוּ מַה דְּעָבְדוּ לְעִילָא, דְגָרִימוּ לְאַעְקָרָא אִילָנָא מֵאַתְרֵיהּ, וּנְבִיעוּ לְסַלְקָא מִתַּמָּן, וְדָא אִיהוּ וַיִּתְחַבֵּא הָאָדָם וְגוֹמֵר, </w:t>
      </w:r>
      <w:r>
        <w:rPr>
          <w:rStyle w:val="a7"/>
          <w:b w:val="0"/>
          <w:bCs w:val="0"/>
          <w:rtl/>
        </w:rPr>
        <w:footnoteReference w:id="4503"/>
      </w:r>
      <w:r>
        <w:rPr>
          <w:b w:val="0"/>
          <w:bCs w:val="0"/>
          <w:rtl/>
        </w:rPr>
        <w:t xml:space="preserve">תַּמָּן אִתְכַּסִּיאוּ אַנְפּוֹהִי, מִן בֹּשֶׁת, דְּתַמָּן חָאבוּ, בַּמֶּה דַהֲוָה בְּתוֹךְ עִץ הַגָּן, תַּמָּן אִתְכַּסִּיאוּ אַנְפּוֹהִי, </w:t>
      </w:r>
      <w:r>
        <w:rPr>
          <w:rStyle w:val="a7"/>
          <w:b w:val="0"/>
          <w:bCs w:val="0"/>
          <w:rtl/>
        </w:rPr>
        <w:footnoteReference w:id="4504"/>
      </w:r>
      <w:r>
        <w:rPr>
          <w:b w:val="0"/>
          <w:bCs w:val="0"/>
          <w:rtl/>
        </w:rPr>
        <w:t xml:space="preserve">אִית מָאן דְּאָמַר בְּתוֹךְ עִץ דָּא צַדִּיק, וּבַאֲתַר דָּא וַיַּסְתֵּר מֹשֶׁה פָּנָיו </w:t>
      </w:r>
      <w:r>
        <w:rPr>
          <w:b w:val="0"/>
          <w:sz w:val="20"/>
          <w:szCs w:val="23"/>
          <w:rtl/>
        </w:rPr>
        <w:t>(שמות ג ו)</w:t>
      </w:r>
      <w:r>
        <w:rPr>
          <w:b w:val="0"/>
          <w:bCs w:val="0"/>
          <w:rtl/>
        </w:rPr>
        <w:t xml:space="preserve">, דְּאִדְכַּר מַה דְּאִירַע לֵיהּ בְּקַדְמֵיתָא, אַדְכִּיר חוֹבֵיהּ וְאִתְכַּסֵּי מִבֹּשֶׁת, וּבְגִין דָּא זָכָה וּתְמוּנַת יהו''ה יַבִּיט </w:t>
      </w:r>
      <w:r>
        <w:rPr>
          <w:b w:val="0"/>
          <w:sz w:val="20"/>
          <w:szCs w:val="23"/>
          <w:rtl/>
        </w:rPr>
        <w:t>(במדבר יב ה)</w:t>
      </w:r>
      <w:r>
        <w:rPr>
          <w:b w:val="0"/>
          <w:bCs w:val="0"/>
          <w:rtl/>
        </w:rPr>
        <w:t xml:space="preserve">, וְדָא י' דְּאִיהוּ חָכְמָה תַּתָּאָה, וְאִיהוּ אִיבָּא דְאִילָנָא, דַהֲוָה בְּרֵישׁ צַדִּיק, ו' גּוּפָא דִבְּרִית, ה''ה דָּא אֲתַר דְּעָרְלָה וּפְרִיעָה, </w:t>
      </w:r>
      <w:r>
        <w:rPr>
          <w:b w:val="0"/>
          <w:sz w:val="20"/>
          <w:szCs w:val="23"/>
          <w:rtl/>
        </w:rPr>
        <w:t xml:space="preserve">(דף צז ע''ב) </w:t>
      </w:r>
      <w:r>
        <w:rPr>
          <w:b w:val="0"/>
          <w:bCs w:val="0"/>
          <w:rtl/>
        </w:rPr>
        <w:t xml:space="preserve">אַרְבַּע אַתְוָון הֲווֹ עַל צַדִּיק דְּאִיהוּ עִץ פְּרִי, אִיהוּ גְרִים דְּאִסְתַּלְקוּ מִנֵּיהּ, וְאִתְעַקַּר אִיהוּ מִגִּנְתָא, הָכִי אַעְקַר קוּדְשָׁא בְּרִיךְ הוּא לְאָדָם מִגּוּפֵיהּ, וְתָרִיךְ לֵיהּ מִגִּנְתֵיהּ, כְּמָה דְאַתְּ אָמַר </w:t>
      </w:r>
      <w:r>
        <w:rPr>
          <w:b w:val="0"/>
          <w:sz w:val="20"/>
          <w:szCs w:val="23"/>
          <w:rtl/>
        </w:rPr>
        <w:t>(בראשית ג כד)</w:t>
      </w:r>
      <w:r>
        <w:rPr>
          <w:b w:val="0"/>
          <w:bCs w:val="0"/>
          <w:rtl/>
        </w:rPr>
        <w:t xml:space="preserve"> וַיְגָרֶשׁ אֶת הָאָדָם.</w:t>
      </w:r>
    </w:p>
    <w:p w:rsidR="00602EF1" w:rsidRDefault="00602EF1" w:rsidP="00602EF1">
      <w:pPr>
        <w:pStyle w:val="a8"/>
        <w:spacing w:before="0" w:after="40"/>
        <w:rPr>
          <w:rtl/>
        </w:rPr>
      </w:pPr>
      <w:bookmarkStart w:id="289" w:name="_Toc228091340"/>
      <w:bookmarkStart w:id="290" w:name="_Toc231637979"/>
    </w:p>
    <w:p w:rsidR="00602EF1" w:rsidRDefault="00602EF1" w:rsidP="00602EF1">
      <w:pPr>
        <w:pStyle w:val="1"/>
        <w:rPr>
          <w:sz w:val="39"/>
          <w:szCs w:val="39"/>
          <w:rtl/>
        </w:rPr>
      </w:pPr>
      <w:r>
        <w:rPr>
          <w:rtl/>
        </w:rPr>
        <w:t>תקונא שתין ותרין</w:t>
      </w:r>
      <w:bookmarkEnd w:id="289"/>
      <w:bookmarkEnd w:id="290"/>
    </w:p>
    <w:p w:rsidR="00602EF1" w:rsidRDefault="00602EF1" w:rsidP="00602EF1">
      <w:pPr>
        <w:pStyle w:val="NormalWeb"/>
        <w:rPr>
          <w:b w:val="0"/>
          <w:bCs w:val="0"/>
          <w:rtl/>
        </w:rPr>
      </w:pPr>
      <w:r>
        <w:rPr>
          <w:rStyle w:val="a7"/>
          <w:b w:val="0"/>
          <w:bCs w:val="0"/>
          <w:rtl/>
        </w:rPr>
        <w:footnoteReference w:id="4505"/>
      </w:r>
      <w:r>
        <w:rPr>
          <w:b w:val="0"/>
          <w:bCs w:val="0"/>
          <w:rtl/>
        </w:rPr>
        <w:t xml:space="preserve">בְּרֵאשִׁית תַּמָּן בַּ''ת, תַּמָּן א''י </w:t>
      </w:r>
      <w:r>
        <w:rPr>
          <w:b w:val="0"/>
          <w:sz w:val="20"/>
          <w:szCs w:val="23"/>
          <w:rtl/>
        </w:rPr>
        <w:t>(נ''א תמן אשרי)</w:t>
      </w:r>
      <w:r>
        <w:rPr>
          <w:b w:val="0"/>
          <w:bCs w:val="0"/>
          <w:rtl/>
        </w:rPr>
        <w:t xml:space="preserve">, בְּהַהוּא זִמְנָא אִסְתַּלַּק קוּדְשָׁא בְּרִיךְ הוּא מִשְּׁכִינְתֵּיהּ, וְאִשְׁתְּאָרַת בַּת יְחִידָה, הֲדָא הוּא דִכְתִיב </w:t>
      </w:r>
      <w:r>
        <w:rPr>
          <w:b w:val="0"/>
          <w:sz w:val="20"/>
          <w:szCs w:val="23"/>
          <w:rtl/>
        </w:rPr>
        <w:t>(איכה א א)</w:t>
      </w:r>
      <w:r>
        <w:rPr>
          <w:b w:val="0"/>
          <w:bCs w:val="0"/>
          <w:rtl/>
        </w:rPr>
        <w:t xml:space="preserve"> אֵיכָה יָשְׁבָה בָדָד, וְרָזָא דְמִלָּה וַיִּקְרָא יהו''ה אלהי''ם אֶל הָאָדָם וַיֹּאמֶר לוֹ אַיֶּכָּה </w:t>
      </w:r>
      <w:r>
        <w:rPr>
          <w:b w:val="0"/>
          <w:sz w:val="20"/>
          <w:szCs w:val="23"/>
          <w:rtl/>
        </w:rPr>
        <w:t>(בראשית ג ט)</w:t>
      </w:r>
      <w:r>
        <w:rPr>
          <w:b w:val="0"/>
          <w:bCs w:val="0"/>
          <w:rtl/>
        </w:rPr>
        <w:t xml:space="preserve">, אַיֵּה כֹּ''ה, אָמַר לֵיהּ, אַף עַל גַּב דְּגָרְמַת כּוּלֵי הַאי, וְעָבְדַת פִּרוּדָא בְּאַתְוָון </w:t>
      </w:r>
      <w:r>
        <w:rPr>
          <w:rStyle w:val="a7"/>
          <w:b w:val="0"/>
          <w:bCs w:val="0"/>
          <w:rtl/>
        </w:rPr>
        <w:footnoteReference w:id="4506"/>
      </w:r>
      <w:r>
        <w:rPr>
          <w:b w:val="0"/>
          <w:bCs w:val="0"/>
          <w:rtl/>
        </w:rPr>
        <w:t xml:space="preserve">דְּאִסְתַּלַּק יו"ד מִן ה', ו' מִן ה', וְאִשְׁתְּאָרַת שְׁכִינְתָּא לְעִילָא יְחִידָאָה, וּשְׁכִינְתָּא לְתַתָּא יְחִידָאָה, בְּגִין דָּא וַיֹּאמֶר לוֹ אַיֶּכָּה, אַיֵּ''ה כֹּ''ה. וַיֹּאמֶר אֶת קוֹלְךָ שָׁמַעְתִּי בַּגָּן, וָאִירָא כִּי עִירוֹם אָנֹכִי וָאֵחָבֵא, רָזָא דְמִלָּה, עָרוּם רָאָה רָעָה וְנִסְתָּר </w:t>
      </w:r>
      <w:r>
        <w:rPr>
          <w:b w:val="0"/>
          <w:sz w:val="20"/>
          <w:szCs w:val="23"/>
          <w:rtl/>
        </w:rPr>
        <w:t>(משלי כג ב)</w:t>
      </w:r>
      <w:r>
        <w:rPr>
          <w:b w:val="0"/>
          <w:bCs w:val="0"/>
          <w:rtl/>
        </w:rPr>
        <w:t xml:space="preserve">, בְּגִין דָּא וָאִירָא כִּי עִירוֹם אָנֹכִי וָאֵחָבֵא, (ס"א וּבְמַאי סְתִירָה דְבַר נַשׁ, אֶלָּא תָּא חֲזִי בְּזִמְנָא דְאִית רְשׁוּ לִמְחַבְּלָא לְחַבֵּל, אִתְּמַר בֵּיהּ </w:t>
      </w:r>
      <w:r>
        <w:rPr>
          <w:b w:val="0"/>
          <w:bCs w:val="0"/>
          <w:sz w:val="20"/>
          <w:rtl/>
        </w:rPr>
        <w:t>(שמות כב ה)</w:t>
      </w:r>
      <w:r>
        <w:rPr>
          <w:b w:val="0"/>
          <w:bCs w:val="0"/>
          <w:rtl/>
        </w:rPr>
        <w:t xml:space="preserve"> כִּי תֵצֵא אֵשׁ וּמָצְאָה קוֹצִים וכו', וּבְהַהוּא זִמְנָא וְהָיָה כַצַּדִּיק כָּרָשָׁע </w:t>
      </w:r>
      <w:r>
        <w:rPr>
          <w:b w:val="0"/>
          <w:bCs w:val="0"/>
          <w:sz w:val="20"/>
          <w:rtl/>
        </w:rPr>
        <w:t>(בראשית יח כה)</w:t>
      </w:r>
      <w:r>
        <w:rPr>
          <w:b w:val="0"/>
          <w:bCs w:val="0"/>
          <w:rtl/>
        </w:rPr>
        <w:t xml:space="preserve">, וּבְגִין דָּא אִית לֵיהּ לְבַר נַשׁ בְּהַהוּא זִמְנָא לְאִתְטַמְרָא וּלְאִתְכַּסְיָיא, דְלָא יִשְׁתַּכַּח בֵּינַיְיהוּ, דִבְהַהוּא זִמְנָא יֵשׁ נִסְפֶּה בְּלֹא מִשְׁפָּט, וּבְגִין דָּא </w:t>
      </w:r>
      <w:r>
        <w:rPr>
          <w:b w:val="0"/>
          <w:bCs w:val="0"/>
          <w:sz w:val="20"/>
          <w:rtl/>
        </w:rPr>
        <w:t>(שם)</w:t>
      </w:r>
      <w:r>
        <w:rPr>
          <w:b w:val="0"/>
          <w:bCs w:val="0"/>
          <w:rtl/>
        </w:rPr>
        <w:t xml:space="preserve"> וָאִירָא כִּי עִירוֹם אָנֹכִי וָאֵחָבֵא) </w:t>
      </w:r>
      <w:r>
        <w:rPr>
          <w:rStyle w:val="a7"/>
          <w:b w:val="0"/>
          <w:bCs w:val="0"/>
          <w:rtl/>
        </w:rPr>
        <w:footnoteReference w:id="4507"/>
      </w:r>
      <w:r>
        <w:rPr>
          <w:b w:val="0"/>
          <w:bCs w:val="0"/>
          <w:rtl/>
        </w:rPr>
        <w:t xml:space="preserve">וּבְמַאי נִסְתָּר בַּר נַשׁ מֵאִלֵּין דִּינִים וְקַטְרוּגִין דְּלָא שָׁלְטִין עֲלֵיהּ, בִּתְיוּבְתָּא, הֲדָא הוּא דִכְתִיב </w:t>
      </w:r>
      <w:r>
        <w:rPr>
          <w:b w:val="0"/>
          <w:sz w:val="20"/>
          <w:szCs w:val="23"/>
          <w:rtl/>
        </w:rPr>
        <w:t>(תהלים צא א)</w:t>
      </w:r>
      <w:r>
        <w:rPr>
          <w:b w:val="0"/>
          <w:bCs w:val="0"/>
          <w:rtl/>
        </w:rPr>
        <w:t xml:space="preserve"> יוֹשֵׁב בְּסֵתֶר עֶלְיוֹן, דָּא אִימָּא דְאִיהִי סֵתֶר, עֶלְיוֹן מִנָּהּ דָּא חָכְמָה, </w:t>
      </w:r>
      <w:r>
        <w:rPr>
          <w:rStyle w:val="a7"/>
          <w:b w:val="0"/>
          <w:bCs w:val="0"/>
          <w:rtl/>
        </w:rPr>
        <w:footnoteReference w:id="4508"/>
      </w:r>
      <w:r>
        <w:rPr>
          <w:b w:val="0"/>
          <w:bCs w:val="0"/>
          <w:rtl/>
        </w:rPr>
        <w:t xml:space="preserve">דְלָא אִשְׁתְּמוֹדָע אֶלָּא בְּה, בְּצֵל שד''י יִתְלוֹנָן </w:t>
      </w:r>
      <w:r>
        <w:rPr>
          <w:b w:val="0"/>
          <w:sz w:val="20"/>
          <w:szCs w:val="23"/>
          <w:rtl/>
        </w:rPr>
        <w:t>(שם)</w:t>
      </w:r>
      <w:r>
        <w:rPr>
          <w:b w:val="0"/>
          <w:szCs w:val="23"/>
          <w:rtl/>
        </w:rPr>
        <w:t xml:space="preserve"> </w:t>
      </w:r>
      <w:r>
        <w:rPr>
          <w:rStyle w:val="Char"/>
          <w:rtl/>
        </w:rPr>
        <w:t>דָּא אִימָּא תַּתָּאָה,</w:t>
      </w:r>
      <w:r>
        <w:rPr>
          <w:b w:val="0"/>
          <w:szCs w:val="23"/>
          <w:rtl/>
        </w:rPr>
        <w:t xml:space="preserve"> </w:t>
      </w:r>
      <w:r>
        <w:rPr>
          <w:b w:val="0"/>
          <w:sz w:val="20"/>
          <w:szCs w:val="23"/>
          <w:rtl/>
        </w:rPr>
        <w:t>(נ''א עלאה)</w:t>
      </w:r>
      <w:r>
        <w:rPr>
          <w:b w:val="0"/>
          <w:bCs w:val="0"/>
          <w:rtl/>
        </w:rPr>
        <w:t xml:space="preserve"> צֵל דְּשד''י דְּאִיהוּ אוֹת בְּרִית קֹדֶשׁ, דְּאִתְּמַר בֵּיהּ </w:t>
      </w:r>
      <w:r>
        <w:rPr>
          <w:b w:val="0"/>
          <w:sz w:val="20"/>
          <w:szCs w:val="23"/>
          <w:rtl/>
        </w:rPr>
        <w:t>(שם לט ז)</w:t>
      </w:r>
      <w:r>
        <w:rPr>
          <w:b w:val="0"/>
          <w:bCs w:val="0"/>
          <w:rtl/>
        </w:rPr>
        <w:t xml:space="preserve"> </w:t>
      </w:r>
      <w:r>
        <w:rPr>
          <w:rStyle w:val="a7"/>
          <w:b w:val="0"/>
          <w:bCs w:val="0"/>
          <w:rtl/>
        </w:rPr>
        <w:footnoteReference w:id="4509"/>
      </w:r>
      <w:r>
        <w:rPr>
          <w:b w:val="0"/>
          <w:bCs w:val="0"/>
          <w:rtl/>
        </w:rPr>
        <w:t xml:space="preserve">אַךְ בְּצֶלֶם יִתְהַלֶּךְ אִישׁ, וְדָא שְׁכִינְתָּא תַּתָּאָה, </w:t>
      </w:r>
      <w:r>
        <w:rPr>
          <w:rStyle w:val="a7"/>
          <w:b w:val="0"/>
          <w:bCs w:val="0"/>
          <w:rtl/>
        </w:rPr>
        <w:footnoteReference w:id="4510"/>
      </w:r>
      <w:r>
        <w:rPr>
          <w:b w:val="0"/>
          <w:bCs w:val="0"/>
          <w:rtl/>
        </w:rPr>
        <w:t xml:space="preserve">דְאִיהִי צַלְמוֹ דְקוּדְשָׁא בְּרִיךְ הוּא, וַעֲלֵיהּ אִתְּמַר </w:t>
      </w:r>
      <w:r>
        <w:rPr>
          <w:b w:val="0"/>
          <w:sz w:val="20"/>
          <w:szCs w:val="23"/>
          <w:rtl/>
        </w:rPr>
        <w:t>(בראשית א כז)</w:t>
      </w:r>
      <w:r>
        <w:rPr>
          <w:b w:val="0"/>
          <w:bCs w:val="0"/>
          <w:rtl/>
        </w:rPr>
        <w:t xml:space="preserve"> </w:t>
      </w:r>
      <w:r>
        <w:rPr>
          <w:rStyle w:val="a7"/>
          <w:b w:val="0"/>
          <w:bCs w:val="0"/>
          <w:rtl/>
        </w:rPr>
        <w:footnoteReference w:id="4511"/>
      </w:r>
      <w:r>
        <w:rPr>
          <w:b w:val="0"/>
          <w:bCs w:val="0"/>
          <w:rtl/>
        </w:rPr>
        <w:t xml:space="preserve">וַיִּבְרָא אלהי''ם אֶת הָאָדָם בְּצַלְמוֹ, בְּצַלְמוֹ מַמָּשׁ דָּא שְׁכִינְתָּא, צַלְמוֹ דְקוּדְשָׁא בְּרִיךְ הוּא, </w:t>
      </w:r>
      <w:r>
        <w:rPr>
          <w:rStyle w:val="a7"/>
          <w:b w:val="0"/>
          <w:bCs w:val="0"/>
          <w:rtl/>
        </w:rPr>
        <w:footnoteReference w:id="4512"/>
      </w:r>
      <w:r>
        <w:rPr>
          <w:b w:val="0"/>
          <w:bCs w:val="0"/>
          <w:rtl/>
        </w:rPr>
        <w:t xml:space="preserve">בְּמִדָּה דִילֵיהּ בְּשִׁעוּר דִּילֵיהּ דְּלָא אוֹסִיף וְלָא גָרַע, מַאי הָאָדָם דָּא שְׁכִינְתָּא, </w:t>
      </w:r>
      <w:r>
        <w:rPr>
          <w:b w:val="0"/>
          <w:sz w:val="20"/>
          <w:szCs w:val="23"/>
          <w:rtl/>
        </w:rPr>
        <w:t>(נ''א דא עמודא דאמצעיתא)</w:t>
      </w:r>
      <w:r>
        <w:rPr>
          <w:b w:val="0"/>
          <w:bCs w:val="0"/>
          <w:rtl/>
        </w:rPr>
        <w:t>.</w:t>
      </w:r>
    </w:p>
    <w:p w:rsidR="00602EF1" w:rsidRDefault="00602EF1" w:rsidP="00602EF1">
      <w:pPr>
        <w:pStyle w:val="NormalWeb"/>
        <w:rPr>
          <w:b w:val="0"/>
          <w:bCs w:val="0"/>
          <w:rtl/>
        </w:rPr>
      </w:pPr>
      <w:r>
        <w:rPr>
          <w:b w:val="0"/>
          <w:bCs w:val="0"/>
          <w:rtl/>
        </w:rPr>
        <w:t xml:space="preserve">אָמַר רַבִּי אֶלְעָזָר וְהָא בִשְׁכִינְתָּא לָא כְתִיב בָּהּ בְּרִיאָה אֶלָּא אֲצִילוּת, </w:t>
      </w:r>
      <w:r>
        <w:rPr>
          <w:rStyle w:val="a7"/>
          <w:b w:val="0"/>
          <w:bCs w:val="0"/>
          <w:rtl/>
        </w:rPr>
        <w:footnoteReference w:id="4513"/>
      </w:r>
      <w:r>
        <w:rPr>
          <w:b w:val="0"/>
          <w:bCs w:val="0"/>
          <w:rtl/>
        </w:rPr>
        <w:t xml:space="preserve">וְעוֹד דַּהֲוָה לֵיהּ לְמֵימַר וַיִּבְרָא יהו''ה אֶת הָאָדָם, מַאי אלהי''ם אֶלָּא שְׁכִינְתָּא אִתְקְרֵי אלהי''ם, וְעַל הַהִיא נִשְׁמָתָא דְאִתְיְהִיבַת בְּבַר נַשׁ אִתְּמַר וַיִּבְרָא אלהי''ם אֶת הָאָדָם בְּצַלְמוֹ, בְּדִיּוֹקְנָא דִשְׁכִינְתָּא, וְעַל הַהִיא נִשְׁמָתָא אִתְּמַר אַךְ בְּצֶלֶם יִתְהַלֶּךְ אִישׁ, </w:t>
      </w:r>
      <w:r>
        <w:rPr>
          <w:rStyle w:val="a7"/>
          <w:b w:val="0"/>
          <w:bCs w:val="0"/>
          <w:rtl/>
        </w:rPr>
        <w:footnoteReference w:id="4514"/>
      </w:r>
      <w:r>
        <w:rPr>
          <w:b w:val="0"/>
          <w:bCs w:val="0"/>
          <w:rtl/>
        </w:rPr>
        <w:t xml:space="preserve">דְּהָא בְזִמְנָא דְאִסְתַּלִּיק מִבַּר נַשׁ נִשְׁמָתָא לָא יָכִיל לְאִתְנַעֲנָעָא. אָמַר לֵיהּ, בְּרִיךְ בְּרִי לְעַתִּיק יוֹמִין, וּבְרִי כָּל מָאן דְּפָגִים הַאי דִּיּוֹקְנָא, כְּאִלּוּ מְמַעִט אֶת הַדְּמוּת, וּשְׁכִינְתָּא לָא שַׁרְיָא תַמָּן, וּבְהַהוּא זִמְנָא שָׁלְטִין עֲלֵיהּ כָּל מְקַטְרְגִין מִסִּטְרָא דְהַהוּא פְּגִימוּ, וְרָזָא דְמִלָּה </w:t>
      </w:r>
      <w:r>
        <w:rPr>
          <w:b w:val="0"/>
          <w:sz w:val="20"/>
          <w:szCs w:val="23"/>
          <w:rtl/>
        </w:rPr>
        <w:t>(דברים לא יז)</w:t>
      </w:r>
      <w:r>
        <w:rPr>
          <w:b w:val="0"/>
          <w:bCs w:val="0"/>
          <w:rtl/>
        </w:rPr>
        <w:t xml:space="preserve"> עַל כִּי אֵין אלה''י בְּקִרְבִּי מְצָאוּנִי הָרָעוֹת הָאֵלֶּה, הָרָעוֹת מְצָאוּנִי בְּגִין דְּאִסְתַּלַּק שְׁכִינְתָּא מִנִּי דְאִיהִי אלה''י.</w:t>
      </w:r>
    </w:p>
    <w:p w:rsidR="00602EF1" w:rsidRDefault="00602EF1" w:rsidP="00602EF1">
      <w:pPr>
        <w:pStyle w:val="a8"/>
        <w:spacing w:before="0" w:after="40"/>
        <w:rPr>
          <w:rtl/>
        </w:rPr>
      </w:pPr>
      <w:bookmarkStart w:id="291" w:name="_Toc228091341"/>
      <w:bookmarkStart w:id="292" w:name="_Toc231637980"/>
    </w:p>
    <w:p w:rsidR="00602EF1" w:rsidRDefault="00602EF1" w:rsidP="00602EF1">
      <w:pPr>
        <w:pStyle w:val="1"/>
        <w:rPr>
          <w:u w:val="single"/>
          <w:rtl/>
        </w:rPr>
      </w:pPr>
      <w:r>
        <w:rPr>
          <w:rtl/>
        </w:rPr>
        <w:t>תקונא שתין ותלת</w:t>
      </w:r>
      <w:bookmarkEnd w:id="291"/>
      <w:bookmarkEnd w:id="292"/>
    </w:p>
    <w:p w:rsidR="00602EF1" w:rsidRDefault="00602EF1" w:rsidP="00602EF1">
      <w:pPr>
        <w:spacing w:after="40" w:line="360" w:lineRule="atLeast"/>
        <w:ind w:left="144" w:right="144" w:firstLine="288"/>
        <w:jc w:val="both"/>
        <w:rPr>
          <w:rFonts w:ascii="Arial"/>
          <w:b/>
          <w:bCs/>
          <w:sz w:val="29"/>
          <w:szCs w:val="29"/>
          <w:rtl/>
        </w:rPr>
      </w:pPr>
      <w:r>
        <w:rPr>
          <w:rStyle w:val="a7"/>
          <w:rFonts w:ascii="Arial"/>
          <w:b/>
          <w:bCs/>
          <w:sz w:val="29"/>
          <w:szCs w:val="29"/>
          <w:rtl/>
        </w:rPr>
        <w:footnoteReference w:id="4515"/>
      </w:r>
      <w:r>
        <w:rPr>
          <w:rFonts w:ascii="Arial"/>
          <w:b/>
          <w:bCs/>
          <w:sz w:val="29"/>
          <w:szCs w:val="29"/>
          <w:rtl/>
        </w:rPr>
        <w:t xml:space="preserve">בְּרֵאשִׁית בָּרָא אלהי''ם, מַאי אלהי''ם מִי אֵלֶּה, </w:t>
      </w:r>
      <w:r>
        <w:rPr>
          <w:rStyle w:val="a7"/>
          <w:rFonts w:ascii="Arial"/>
          <w:b/>
          <w:bCs/>
          <w:sz w:val="29"/>
          <w:szCs w:val="29"/>
          <w:rtl/>
        </w:rPr>
        <w:footnoteReference w:id="4516"/>
      </w:r>
      <w:r>
        <w:rPr>
          <w:rFonts w:ascii="Arial"/>
          <w:b/>
          <w:bCs/>
          <w:sz w:val="29"/>
          <w:szCs w:val="29"/>
          <w:rtl/>
        </w:rPr>
        <w:t xml:space="preserve">וְעַל הַאי מִי אִתְּמַר </w:t>
      </w:r>
      <w:r>
        <w:rPr>
          <w:rFonts w:ascii="Arial"/>
          <w:b/>
          <w:szCs w:val="23"/>
          <w:rtl/>
        </w:rPr>
        <w:t>(בראשית ג יא)</w:t>
      </w:r>
      <w:r>
        <w:rPr>
          <w:rFonts w:ascii="Arial"/>
          <w:b/>
          <w:bCs/>
          <w:sz w:val="29"/>
          <w:szCs w:val="29"/>
          <w:rtl/>
        </w:rPr>
        <w:t xml:space="preserve"> מִי הִגִּיד לְךָ כִּי עִירוֹם אָתָּה וְגוֹמֵר, אֲשֶׁר צִוִּיתִיךָ </w:t>
      </w:r>
      <w:r>
        <w:rPr>
          <w:rFonts w:ascii="Arial"/>
          <w:b/>
          <w:szCs w:val="23"/>
          <w:rtl/>
        </w:rPr>
        <w:t>(שם)</w:t>
      </w:r>
      <w:r>
        <w:rPr>
          <w:rFonts w:ascii="Arial"/>
          <w:b/>
          <w:bCs/>
          <w:sz w:val="29"/>
          <w:szCs w:val="29"/>
          <w:rtl/>
        </w:rPr>
        <w:t xml:space="preserve">, הַהִיא דְאִתְּמַר בָּהּ אֲשֶׁר קִדְּשָׁנוּ בְּמִצְוֹתָיו, וְהַהִיא דְאִתְּמַר בָּהּ </w:t>
      </w:r>
      <w:r>
        <w:rPr>
          <w:rFonts w:ascii="Arial"/>
          <w:b/>
          <w:szCs w:val="23"/>
          <w:rtl/>
        </w:rPr>
        <w:t>(תהלים א א)</w:t>
      </w:r>
      <w:r>
        <w:rPr>
          <w:rFonts w:ascii="Arial"/>
          <w:b/>
          <w:bCs/>
          <w:sz w:val="29"/>
          <w:szCs w:val="29"/>
          <w:rtl/>
        </w:rPr>
        <w:t xml:space="preserve"> אַשְׁרֵי הָאִישׁ אֲשֶׁר לֹא הָלַךְ בַּעֲצַת רְשָׁעִים, </w:t>
      </w:r>
      <w:r>
        <w:rPr>
          <w:rStyle w:val="a7"/>
          <w:rFonts w:ascii="Arial"/>
          <w:b/>
          <w:bCs/>
          <w:sz w:val="29"/>
          <w:szCs w:val="29"/>
          <w:rtl/>
        </w:rPr>
        <w:footnoteReference w:id="4517"/>
      </w:r>
      <w:r>
        <w:rPr>
          <w:rFonts w:ascii="Arial"/>
          <w:b/>
          <w:bCs/>
          <w:sz w:val="29"/>
          <w:szCs w:val="29"/>
          <w:rtl/>
        </w:rPr>
        <w:t xml:space="preserve">דְּהִיא רְשׁוּת הָרַבִּים אֵשֶׁת זְנוּנִים, מַאי רְשָׁעִים דָּא סמא''ל וְנָחָשׁ, הַהִיא דְאָמַר עֲלָהּ פַּרְעֹה </w:t>
      </w:r>
      <w:r>
        <w:rPr>
          <w:rFonts w:ascii="Arial"/>
          <w:b/>
          <w:szCs w:val="23"/>
          <w:rtl/>
        </w:rPr>
        <w:t>(שמות ה ב)</w:t>
      </w:r>
      <w:r>
        <w:rPr>
          <w:rFonts w:ascii="Arial"/>
          <w:b/>
          <w:bCs/>
          <w:sz w:val="29"/>
          <w:szCs w:val="29"/>
          <w:rtl/>
        </w:rPr>
        <w:t xml:space="preserve"> מִי יהו''ה אֲשֶׁר אֶשְׁמַע בְּקוֹלוֹ, אֲשֶׁר דְּאִתְּמַר בֵּיהּ </w:t>
      </w:r>
      <w:r>
        <w:rPr>
          <w:rFonts w:ascii="Arial"/>
          <w:b/>
          <w:szCs w:val="23"/>
          <w:rtl/>
        </w:rPr>
        <w:t>(שם ב ב)</w:t>
      </w:r>
      <w:r>
        <w:rPr>
          <w:rFonts w:ascii="Arial"/>
          <w:b/>
          <w:bCs/>
          <w:sz w:val="29"/>
          <w:szCs w:val="29"/>
          <w:rtl/>
        </w:rPr>
        <w:t xml:space="preserve"> אֲשֶׁר הוֹצֵאתִיךָ מֵאֶרֶץ מִצְרַיִם, מִי וַדַּאי, דְּאִיהִי תְיוּבְתָּא, </w:t>
      </w:r>
      <w:r>
        <w:rPr>
          <w:rStyle w:val="a7"/>
          <w:rFonts w:ascii="Arial"/>
          <w:b/>
          <w:bCs/>
          <w:sz w:val="29"/>
          <w:szCs w:val="29"/>
          <w:rtl/>
        </w:rPr>
        <w:footnoteReference w:id="4518"/>
      </w:r>
      <w:r>
        <w:rPr>
          <w:rFonts w:ascii="Arial"/>
          <w:b/>
          <w:bCs/>
          <w:sz w:val="29"/>
          <w:szCs w:val="29"/>
          <w:rtl/>
        </w:rPr>
        <w:t xml:space="preserve">אַסְוָותָא לְכָל מַרְעִין וּמַכְתְּשִׁין, הֲדָא הוּא דִכְתִיב </w:t>
      </w:r>
      <w:r>
        <w:rPr>
          <w:rFonts w:ascii="Arial"/>
          <w:b/>
          <w:szCs w:val="23"/>
          <w:rtl/>
        </w:rPr>
        <w:t>(איכה ב י)</w:t>
      </w:r>
      <w:r>
        <w:rPr>
          <w:rFonts w:ascii="Arial"/>
          <w:b/>
          <w:sz w:val="29"/>
          <w:szCs w:val="23"/>
          <w:rtl/>
        </w:rPr>
        <w:t xml:space="preserve"> </w:t>
      </w:r>
      <w:r>
        <w:rPr>
          <w:rStyle w:val="Char"/>
          <w:rtl/>
        </w:rPr>
        <w:t>מִי יִרְפָּא לָךְ, וַעֲלָהּ אִתְּמַר</w:t>
      </w:r>
      <w:r>
        <w:rPr>
          <w:rFonts w:ascii="Arial"/>
          <w:b/>
          <w:sz w:val="29"/>
          <w:szCs w:val="23"/>
          <w:rtl/>
        </w:rPr>
        <w:t xml:space="preserve"> </w:t>
      </w:r>
      <w:r>
        <w:rPr>
          <w:rFonts w:ascii="Arial"/>
          <w:b/>
          <w:szCs w:val="23"/>
          <w:rtl/>
        </w:rPr>
        <w:t>(ישעיה ו י)</w:t>
      </w:r>
      <w:r>
        <w:rPr>
          <w:rFonts w:ascii="Arial"/>
          <w:b/>
          <w:bCs/>
          <w:sz w:val="29"/>
          <w:szCs w:val="29"/>
          <w:rtl/>
        </w:rPr>
        <w:t xml:space="preserve"> וָשָׁב וְרָפָא לוֹ, </w:t>
      </w:r>
      <w:r>
        <w:rPr>
          <w:rStyle w:val="a7"/>
          <w:rFonts w:ascii="Arial"/>
          <w:b/>
          <w:bCs/>
          <w:sz w:val="29"/>
          <w:szCs w:val="29"/>
          <w:rtl/>
        </w:rPr>
        <w:footnoteReference w:id="4519"/>
      </w:r>
      <w:r>
        <w:rPr>
          <w:rFonts w:ascii="Arial"/>
          <w:b/>
          <w:bCs/>
          <w:sz w:val="29"/>
          <w:szCs w:val="29"/>
          <w:rtl/>
        </w:rPr>
        <w:t xml:space="preserve">רִפְאוּת תְּהִי לְשָׁרֶךָ </w:t>
      </w:r>
      <w:r>
        <w:rPr>
          <w:rFonts w:ascii="Arial"/>
          <w:b/>
          <w:szCs w:val="23"/>
          <w:rtl/>
        </w:rPr>
        <w:t>(משלי ג ח)</w:t>
      </w:r>
      <w:r>
        <w:rPr>
          <w:rFonts w:ascii="Arial"/>
          <w:b/>
          <w:bCs/>
          <w:sz w:val="29"/>
          <w:szCs w:val="29"/>
          <w:rtl/>
        </w:rPr>
        <w:t xml:space="preserve">, זַכָּאָה אִיהוּ מָאן דְּקָרִיב לָהּ לְגַבֵּי בַּעְלָהּ, </w:t>
      </w:r>
      <w:r>
        <w:rPr>
          <w:rStyle w:val="a7"/>
          <w:rFonts w:ascii="Arial"/>
          <w:b/>
          <w:bCs/>
          <w:sz w:val="29"/>
          <w:szCs w:val="29"/>
          <w:rtl/>
        </w:rPr>
        <w:footnoteReference w:id="4520"/>
      </w:r>
      <w:r>
        <w:rPr>
          <w:rFonts w:ascii="Arial"/>
          <w:b/>
          <w:bCs/>
          <w:sz w:val="29"/>
          <w:szCs w:val="29"/>
          <w:rtl/>
        </w:rPr>
        <w:t xml:space="preserve">דְּדָא אִיהוּ רָזָא דִתְיוּבְתָּא, דְיַחֲזִיר וְיֵיתוּב הַהוּא דַרְגָּא דְרָחִיק לֵיהּ מֵאַתְרֵיהּ, וְיַחֲזִיר לָהּ לְאַתְרָהּ, וִיקָרֵב לָהּ תַּמָּן, דִבְהַהוּא זִמְנָא דִשְׁכִינְתָּא מְרַחֲקָא מִבַּעְלָהּ, אִתְּמַר בְּבַר נַשׁ </w:t>
      </w:r>
      <w:r>
        <w:rPr>
          <w:rFonts w:ascii="Arial"/>
          <w:b/>
          <w:szCs w:val="23"/>
          <w:rtl/>
        </w:rPr>
        <w:t>(דברים כח כ)</w:t>
      </w:r>
      <w:r>
        <w:rPr>
          <w:rFonts w:ascii="Arial"/>
          <w:b/>
          <w:bCs/>
          <w:sz w:val="29"/>
          <w:szCs w:val="29"/>
          <w:rtl/>
        </w:rPr>
        <w:t xml:space="preserve"> וְהָיוּ חַיֶּיךָ תְּלוּאִים לְךָ מִנֶּגֶד, חַיֶּיךָ אִתְקְרִיאַת, הֲדָא הוּא דִכְתִיב </w:t>
      </w:r>
      <w:r>
        <w:rPr>
          <w:rFonts w:ascii="Arial"/>
          <w:b/>
          <w:szCs w:val="23"/>
          <w:rtl/>
        </w:rPr>
        <w:t>(בראשית ב ז)</w:t>
      </w:r>
      <w:r>
        <w:rPr>
          <w:rFonts w:ascii="Arial"/>
          <w:b/>
          <w:bCs/>
          <w:sz w:val="29"/>
          <w:szCs w:val="29"/>
          <w:rtl/>
        </w:rPr>
        <w:t xml:space="preserve"> וַיִּפַּח בְּאַפָּיו נִשְׁמַת חַיִּים, וּבְזִמְנָא דְּקָרִיב לָהּ לְגַבֵּי בַּעְלָהּ, מִיַד </w:t>
      </w:r>
      <w:r>
        <w:rPr>
          <w:rStyle w:val="Char"/>
          <w:rtl/>
        </w:rPr>
        <w:t>קָרוֹב יהו''ה לְכָל קוֹרְאָיו כו'</w:t>
      </w:r>
      <w:r>
        <w:rPr>
          <w:rFonts w:ascii="Arial"/>
          <w:b/>
          <w:sz w:val="29"/>
          <w:szCs w:val="23"/>
          <w:rtl/>
        </w:rPr>
        <w:t xml:space="preserve"> </w:t>
      </w:r>
      <w:r>
        <w:rPr>
          <w:rFonts w:ascii="Arial"/>
          <w:b/>
          <w:szCs w:val="23"/>
          <w:rtl/>
        </w:rPr>
        <w:t>(תהלים קמה יח)</w:t>
      </w:r>
      <w:r>
        <w:rPr>
          <w:rFonts w:ascii="Arial"/>
          <w:b/>
          <w:bCs/>
          <w:sz w:val="29"/>
          <w:szCs w:val="29"/>
          <w:rtl/>
        </w:rPr>
        <w:t>, דְּמָאן דְּקָרָא לֵיהּ בְּשִׁקְרָא רָחוֹק הוּא מִנֵּיהּ.</w:t>
      </w:r>
    </w:p>
    <w:p w:rsidR="00602EF1" w:rsidRDefault="00602EF1" w:rsidP="00602EF1">
      <w:pPr>
        <w:pStyle w:val="aa"/>
        <w:spacing w:after="40"/>
        <w:rPr>
          <w:rtl/>
        </w:rPr>
      </w:pPr>
      <w:r>
        <w:rPr>
          <w:rtl/>
        </w:rPr>
        <w:t xml:space="preserve">[תיקוני זוהר - דף צח ע''א] </w:t>
      </w:r>
    </w:p>
    <w:p w:rsidR="00602EF1" w:rsidRDefault="00602EF1" w:rsidP="00602EF1">
      <w:pPr>
        <w:pStyle w:val="NormalWeb"/>
        <w:rPr>
          <w:b w:val="0"/>
          <w:sz w:val="20"/>
          <w:szCs w:val="23"/>
          <w:rtl/>
        </w:rPr>
      </w:pPr>
      <w:r>
        <w:rPr>
          <w:rStyle w:val="a7"/>
          <w:b w:val="0"/>
          <w:bCs w:val="0"/>
          <w:rtl/>
        </w:rPr>
        <w:footnoteReference w:id="4521"/>
      </w:r>
      <w:r>
        <w:rPr>
          <w:b w:val="0"/>
          <w:bCs w:val="0"/>
          <w:rtl/>
        </w:rPr>
        <w:t xml:space="preserve">אֱמֶת, עִשּׂוּרָא דִילֵיהּ יו''ד ה''א וא''ו ה''א, דְּאִיהוּ עִישׂוּר דְּאַרְבַּע מֵאָה וְאַרְבְּעִין וְחַד, הָא רָזָא דְחַמְשָׁא וְאַרְבְּעִין, מ''ה, בְּזִמְנָא דְיִשְׂרָאֵל מְשַׁקְּרִין בְּתוֹרַת אֱמֶת, בְאוֹמָאָה דְשִׁקְרָא, אִתְּמַר בֵּיהּ </w:t>
      </w:r>
      <w:r>
        <w:rPr>
          <w:b w:val="0"/>
          <w:sz w:val="20"/>
          <w:szCs w:val="23"/>
          <w:rtl/>
        </w:rPr>
        <w:t>(דניאל ח יב)</w:t>
      </w:r>
      <w:r>
        <w:rPr>
          <w:b w:val="0"/>
          <w:bCs w:val="0"/>
          <w:rtl/>
        </w:rPr>
        <w:t xml:space="preserve"> וְתַשְׁלֵךְ אֱמֶת אַרְצָה, מַאי אַרְצָה דָּא שְׁכִינְתָּא, וּבְזִמְנָא דְיִשְׂרָאֵל מְקַיְימִין תּוֹרַת אֱמֶת בְאוֹמָאָה דִקְשׁוֹט, אִתְּמַר בֵּיהּ </w:t>
      </w:r>
      <w:r>
        <w:rPr>
          <w:b w:val="0"/>
          <w:sz w:val="20"/>
          <w:szCs w:val="23"/>
          <w:rtl/>
        </w:rPr>
        <w:t>(תהלים פה יב)</w:t>
      </w:r>
      <w:r>
        <w:rPr>
          <w:b w:val="0"/>
          <w:bCs w:val="0"/>
          <w:rtl/>
        </w:rPr>
        <w:t xml:space="preserve"> אֱמֶת מֵאֶרֶץ תִּצְמָח, וּבְגָלוּתָא אִתְּמַר </w:t>
      </w:r>
      <w:r>
        <w:rPr>
          <w:b w:val="0"/>
          <w:sz w:val="20"/>
          <w:szCs w:val="23"/>
          <w:rtl/>
        </w:rPr>
        <w:t>(ישעיה נט טו)</w:t>
      </w:r>
      <w:r>
        <w:rPr>
          <w:b w:val="0"/>
          <w:bCs w:val="0"/>
          <w:rtl/>
        </w:rPr>
        <w:t xml:space="preserve"> וַתְּהִי הָאֱמֶת נֶעְדֶּרֶת, וְשִׁקְרָא שָׁלְטָא בְעָלְמָא, וּבְזִמְנָא דְאִתַּתְּקֵן אֱמֶת וְאִסְתְּלַק לְאַתְרֵיה, אִתְמְחִי שִׁקְרָא מְעַלְמָא, הַדַא הוּא דִכְתִיב </w:t>
      </w:r>
      <w:r>
        <w:rPr>
          <w:b w:val="0"/>
          <w:sz w:val="20"/>
          <w:szCs w:val="23"/>
          <w:rtl/>
        </w:rPr>
        <w:t>(משלי יב יט)</w:t>
      </w:r>
      <w:r>
        <w:rPr>
          <w:b w:val="0"/>
          <w:bCs w:val="0"/>
          <w:rtl/>
        </w:rPr>
        <w:t xml:space="preserve"> שְפַת אֱמֶת תִּכּוֹן לָעַד, כּוֹנַנְתָּ לֹא כְתִיב אֶלָא תִכּוֹן לָעַד </w:t>
      </w:r>
      <w:r>
        <w:rPr>
          <w:b w:val="0"/>
          <w:sz w:val="20"/>
          <w:szCs w:val="23"/>
          <w:rtl/>
        </w:rPr>
        <w:t>(אמת),</w:t>
      </w:r>
      <w:r>
        <w:rPr>
          <w:b w:val="0"/>
          <w:bCs w:val="0"/>
          <w:rtl/>
        </w:rPr>
        <w:t xml:space="preserve"> וְעַד אַרְגִיעָה לְשׁוֹן שָׁקֶר </w:t>
      </w:r>
      <w:r>
        <w:rPr>
          <w:b w:val="0"/>
          <w:sz w:val="20"/>
          <w:szCs w:val="23"/>
          <w:rtl/>
        </w:rPr>
        <w:t>(שם),</w:t>
      </w:r>
      <w:r>
        <w:rPr>
          <w:b w:val="0"/>
          <w:bCs w:val="0"/>
          <w:rtl/>
        </w:rPr>
        <w:t xml:space="preserve"> מַאי אֱמֶת עמוּדָא דְאֶמְצָעִיתָא, שְכִינְתָּא דִילֵיה תּוֹרַת אֱמֶת הָיְתָה בְּפִיהוּ </w:t>
      </w:r>
      <w:r>
        <w:rPr>
          <w:b w:val="0"/>
          <w:sz w:val="20"/>
          <w:szCs w:val="23"/>
          <w:rtl/>
        </w:rPr>
        <w:t>(מלאכי ב ו)</w:t>
      </w:r>
      <w:r>
        <w:rPr>
          <w:b w:val="0"/>
          <w:bCs w:val="0"/>
          <w:rtl/>
        </w:rPr>
        <w:t>.</w:t>
      </w:r>
    </w:p>
    <w:p w:rsidR="00602EF1" w:rsidRDefault="00602EF1" w:rsidP="00602EF1">
      <w:pPr>
        <w:pStyle w:val="NormalWeb"/>
        <w:rPr>
          <w:b w:val="0"/>
          <w:bCs w:val="0"/>
          <w:rtl/>
        </w:rPr>
      </w:pPr>
      <w:r>
        <w:rPr>
          <w:b w:val="0"/>
          <w:bCs w:val="0"/>
          <w:rtl/>
        </w:rPr>
        <w:t xml:space="preserve">אֱמֶת, א' בְּרֵישָׁא דְאַלְפָא בֵּיתָא, מ' </w:t>
      </w:r>
      <w:r>
        <w:rPr>
          <w:b w:val="0"/>
          <w:sz w:val="20"/>
          <w:szCs w:val="23"/>
          <w:rtl/>
        </w:rPr>
        <w:t xml:space="preserve">(דף צח ע''א) </w:t>
      </w:r>
      <w:r>
        <w:rPr>
          <w:b w:val="0"/>
          <w:bCs w:val="0"/>
          <w:rtl/>
        </w:rPr>
        <w:t xml:space="preserve">בְּאֶמְצָעִיתָא, ת' בְּסוֹפֵיהּ, </w:t>
      </w:r>
      <w:r>
        <w:rPr>
          <w:b w:val="0"/>
          <w:sz w:val="20"/>
          <w:szCs w:val="23"/>
          <w:rtl/>
        </w:rPr>
        <w:t>(נ''א ד' אתוון)</w:t>
      </w:r>
      <w:r>
        <w:rPr>
          <w:b w:val="0"/>
          <w:bCs w:val="0"/>
          <w:rtl/>
        </w:rPr>
        <w:t xml:space="preserve"> וּמָאן מְשַׁקֵר דָּא סמא''ל, בְּזִמְנָא דֶאֱמֶת שָׁלְטָא אִתְעֲבַר שִׁקְרָא מֵעָלְמָא. </w:t>
      </w:r>
      <w:r>
        <w:rPr>
          <w:rStyle w:val="a7"/>
          <w:b w:val="0"/>
          <w:bCs w:val="0"/>
          <w:rtl/>
        </w:rPr>
        <w:footnoteReference w:id="4522"/>
      </w:r>
      <w:r>
        <w:rPr>
          <w:b w:val="0"/>
          <w:bCs w:val="0"/>
          <w:rtl/>
        </w:rPr>
        <w:t xml:space="preserve">אֱמֶת אִיהוּ בְּסוֹף תֵּיבִין, </w:t>
      </w:r>
      <w:r>
        <w:rPr>
          <w:rStyle w:val="a7"/>
          <w:b w:val="0"/>
          <w:bCs w:val="0"/>
          <w:rtl/>
        </w:rPr>
        <w:footnoteReference w:id="4523"/>
      </w:r>
      <w:r>
        <w:rPr>
          <w:b w:val="0"/>
          <w:bCs w:val="0"/>
          <w:rtl/>
        </w:rPr>
        <w:t xml:space="preserve">וְאִינוּן בָּרָ"א אֱלֹהִי"ם לַעֲשׂוֹ"ת, בָּרָ"א אֱלֹהִי"ם אֶ"ת, בֵּיהּ בָּרָא עָלְמָא, וַעֲלֵיהּ אִתְקְרֵי וְקַיְימָא כָל עָלְמָא, וְכָל מָאן </w:t>
      </w:r>
      <w:r>
        <w:rPr>
          <w:rStyle w:val="a7"/>
          <w:b w:val="0"/>
          <w:bCs w:val="0"/>
          <w:rtl/>
        </w:rPr>
        <w:footnoteReference w:id="4524"/>
      </w:r>
      <w:r>
        <w:rPr>
          <w:b w:val="0"/>
          <w:bCs w:val="0"/>
          <w:rtl/>
        </w:rPr>
        <w:t xml:space="preserve">דְּאוֹמֵי בְּשִׁקְרָא כְּאִלּוּ וְתַשְׁלֵךְ אֱמֶת אַרְצָה </w:t>
      </w:r>
      <w:r>
        <w:rPr>
          <w:b w:val="0"/>
          <w:sz w:val="20"/>
          <w:szCs w:val="23"/>
          <w:rtl/>
        </w:rPr>
        <w:t>(דניאל ח יב)</w:t>
      </w:r>
      <w:r>
        <w:rPr>
          <w:b w:val="0"/>
          <w:bCs w:val="0"/>
          <w:rtl/>
        </w:rPr>
        <w:t xml:space="preserve">, וְשִׁקְרָא שָׁלְטָא כַּבְיָכוֹל בַּאֲתַר </w:t>
      </w:r>
      <w:r>
        <w:rPr>
          <w:b w:val="0"/>
          <w:sz w:val="20"/>
          <w:szCs w:val="23"/>
          <w:rtl/>
        </w:rPr>
        <w:t>(נ''א אתרך מאתר)</w:t>
      </w:r>
      <w:r>
        <w:rPr>
          <w:b w:val="0"/>
          <w:bCs w:val="0"/>
          <w:rtl/>
        </w:rPr>
        <w:t xml:space="preserve"> דִּילֵיהּ דְּאִיהוּ יְרוּשָׁלַיִם, וְדָא גְרִים דְּאִתְחָרַב בֵּיתָא, וְאִתְחַזַּר עָלְמָא לְתֹהוּ וָבֹהוּ, דְּהָכִי אוּקְמוּהוּ חָרַב בַּיִת רִאשׁוֹן וְהָאָרֶץ הָיְתָה תֹהוּ, חָרַב בַּיִת שֵׁנִי וְחֹשֶׁךְ עַל פְּנֵי תְהוֹם, </w:t>
      </w:r>
      <w:r>
        <w:rPr>
          <w:rStyle w:val="a7"/>
          <w:b w:val="0"/>
          <w:bCs w:val="0"/>
          <w:rtl/>
        </w:rPr>
        <w:footnoteReference w:id="4525"/>
      </w:r>
      <w:r>
        <w:rPr>
          <w:b w:val="0"/>
          <w:bCs w:val="0"/>
          <w:rtl/>
        </w:rPr>
        <w:t xml:space="preserve">דֶּאֱמֶת הוּא סָבִיל עִלָּאִין וְתַתָּאִין, וּבְזִמְנָא דְאִתְעֲבִיד שִׁקְרָא יִתְהָרֵס הַבִּנְיָן, הֲדָא הוּא דִכְתִיב </w:t>
      </w:r>
      <w:r>
        <w:rPr>
          <w:b w:val="0"/>
          <w:sz w:val="20"/>
          <w:szCs w:val="23"/>
          <w:rtl/>
        </w:rPr>
        <w:t>(עמוס ה ב)</w:t>
      </w:r>
      <w:r>
        <w:rPr>
          <w:b w:val="0"/>
          <w:bCs w:val="0"/>
          <w:rtl/>
        </w:rPr>
        <w:t xml:space="preserve"> </w:t>
      </w:r>
      <w:r>
        <w:rPr>
          <w:rStyle w:val="a7"/>
          <w:b w:val="0"/>
          <w:bCs w:val="0"/>
          <w:rtl/>
        </w:rPr>
        <w:footnoteReference w:id="4526"/>
      </w:r>
      <w:r>
        <w:rPr>
          <w:b w:val="0"/>
          <w:bCs w:val="0"/>
          <w:rtl/>
        </w:rPr>
        <w:t xml:space="preserve">נָפְלָה לֹא תוֹסִיף קוּם, נָפְלָה עֲטֶרֶת רֹאשֵׁנוּ </w:t>
      </w:r>
      <w:r>
        <w:rPr>
          <w:b w:val="0"/>
          <w:sz w:val="20"/>
          <w:szCs w:val="23"/>
          <w:rtl/>
        </w:rPr>
        <w:t>(איכה ה טז)</w:t>
      </w:r>
      <w:r>
        <w:rPr>
          <w:b w:val="0"/>
          <w:bCs w:val="0"/>
          <w:rtl/>
        </w:rPr>
        <w:t xml:space="preserve">, דְּאִינוּן ה' עִלָּאָה ה' תַּתָּאָה, </w:t>
      </w:r>
      <w:r>
        <w:rPr>
          <w:rStyle w:val="a7"/>
          <w:b w:val="0"/>
          <w:bCs w:val="0"/>
          <w:rtl/>
        </w:rPr>
        <w:footnoteReference w:id="4527"/>
      </w:r>
      <w:r>
        <w:rPr>
          <w:b w:val="0"/>
          <w:bCs w:val="0"/>
          <w:rtl/>
        </w:rPr>
        <w:t xml:space="preserve">ו' עַמּוּדָא דְאֶמְצָעִיתָא סָבִיל תַּרְוַיְיהוּ, </w:t>
      </w:r>
      <w:r>
        <w:rPr>
          <w:rStyle w:val="a7"/>
          <w:b w:val="0"/>
          <w:bCs w:val="0"/>
          <w:rtl/>
        </w:rPr>
        <w:footnoteReference w:id="4528"/>
      </w:r>
      <w:r>
        <w:rPr>
          <w:b w:val="0"/>
          <w:bCs w:val="0"/>
          <w:rtl/>
        </w:rPr>
        <w:t xml:space="preserve">יְסוֹדָא דְכֹלָּא י', דָּא בְרִית, כָּל מָאן דִּמְשַׁקֵּר וְעָבַר בֵּיהּ, כְּאִלּוּ אַעְקַר כֹּלָּא וְאַפִּיל לֵיהּ, וְהַאי י' הִיא אֶבֶן הַשְּׁתִיָּה דְמִינָהּ הוּשְׁתַת עָלְמָא, וַעֲלֵיהּ אִתְּמַר </w:t>
      </w:r>
      <w:r>
        <w:rPr>
          <w:b w:val="0"/>
          <w:sz w:val="20"/>
          <w:szCs w:val="23"/>
          <w:rtl/>
        </w:rPr>
        <w:t>(תהלים קיח כב)</w:t>
      </w:r>
      <w:r>
        <w:rPr>
          <w:b w:val="0"/>
          <w:bCs w:val="0"/>
          <w:rtl/>
        </w:rPr>
        <w:t xml:space="preserve"> אֶבֶן מָאֲסוּ הַבּוֹנִים וכו', וְאִיהִי יְסוֹדָא דְכֹלָּא, וַעֲלָהּ אִתְבְּנֵי, וַוי לֵיהּ לְמָאן דְּחָאב בְּאוֹת שַׁבָּת וּבְאוֹת תְּפִלִּין וּבְאוֹת יוֹמִין טָבִין וּבְאוֹת בְּרִית מִילָה, כְּאִלּוּ אַעְקַר לֵיהּ מֵאַתְרֵיהּ, וְאַהֲדַר עָלְמָא לְתֹהוּ וָבֹהוּ. </w:t>
      </w:r>
    </w:p>
    <w:p w:rsidR="00602EF1" w:rsidRDefault="00602EF1" w:rsidP="00602EF1">
      <w:pPr>
        <w:pStyle w:val="NormalWeb"/>
        <w:rPr>
          <w:b w:val="0"/>
          <w:bCs w:val="0"/>
          <w:rtl/>
        </w:rPr>
      </w:pPr>
      <w:r>
        <w:rPr>
          <w:b w:val="0"/>
          <w:bCs w:val="0"/>
          <w:rtl/>
        </w:rPr>
        <w:t xml:space="preserve">אָמַר רַבִּי אֶלְעָזָר אַבָּא וְהָא י' לְעִילָא אִיהִי, אַמַּאי אִיהִי לְתַתָּא הָכָא, אָמַר לֵיהּ בְּרִי, דָא רָזָא עִלָּאָה, </w:t>
      </w:r>
      <w:r>
        <w:rPr>
          <w:rStyle w:val="a7"/>
          <w:b w:val="0"/>
          <w:bCs w:val="0"/>
          <w:rtl/>
        </w:rPr>
        <w:footnoteReference w:id="4529"/>
      </w:r>
      <w:r>
        <w:rPr>
          <w:b w:val="0"/>
          <w:bCs w:val="0"/>
          <w:rtl/>
        </w:rPr>
        <w:t xml:space="preserve">מֵאַרְבַּע אַתְוָון תַּלְיָין אַרְבַּע שְׁמָהָן, מִן י' יהו''ה, מִן ה' הוי''ה </w:t>
      </w:r>
      <w:r>
        <w:rPr>
          <w:b w:val="0"/>
          <w:sz w:val="20"/>
          <w:szCs w:val="23"/>
          <w:rtl/>
        </w:rPr>
        <w:t>(נ''א הוי''ה)</w:t>
      </w:r>
      <w:r>
        <w:rPr>
          <w:b w:val="0"/>
          <w:bCs w:val="0"/>
          <w:rtl/>
        </w:rPr>
        <w:t xml:space="preserve">, מִן ו' והי''ה, מִן ה' הוה''י </w:t>
      </w:r>
      <w:r>
        <w:rPr>
          <w:b w:val="0"/>
          <w:sz w:val="20"/>
          <w:szCs w:val="23"/>
          <w:rtl/>
        </w:rPr>
        <w:t>(נ''א והי''ה הוה''י)</w:t>
      </w:r>
      <w:r>
        <w:rPr>
          <w:b w:val="0"/>
          <w:bCs w:val="0"/>
          <w:rtl/>
        </w:rPr>
        <w:t xml:space="preserve">, עֲלַיְיהוּ אִתְּמַר וַדַּאי וְרָאִיתָ אֶת אֲחוֹרָי, </w:t>
      </w:r>
      <w:r>
        <w:rPr>
          <w:b w:val="0"/>
          <w:sz w:val="20"/>
          <w:szCs w:val="23"/>
          <w:rtl/>
        </w:rPr>
        <w:t>(ופני לא יראו)</w:t>
      </w:r>
      <w:r>
        <w:rPr>
          <w:b w:val="0"/>
          <w:szCs w:val="23"/>
          <w:rtl/>
        </w:rPr>
        <w:t xml:space="preserve"> </w:t>
      </w:r>
      <w:r>
        <w:rPr>
          <w:b w:val="0"/>
          <w:sz w:val="20"/>
          <w:szCs w:val="23"/>
          <w:rtl/>
        </w:rPr>
        <w:t>(שמות לג כג)</w:t>
      </w:r>
      <w:r>
        <w:rPr>
          <w:b w:val="0"/>
          <w:bCs w:val="0"/>
          <w:rtl/>
        </w:rPr>
        <w:t xml:space="preserve">, </w:t>
      </w:r>
      <w:r>
        <w:rPr>
          <w:rStyle w:val="a7"/>
          <w:b w:val="0"/>
          <w:bCs w:val="0"/>
          <w:rtl/>
        </w:rPr>
        <w:footnoteReference w:id="4530"/>
      </w:r>
      <w:r>
        <w:rPr>
          <w:b w:val="0"/>
          <w:bCs w:val="0"/>
          <w:rtl/>
        </w:rPr>
        <w:t>וּמִסִּטְרָא דַאֲחוֹרַיִם אִיהִי י' לְתַתָּא, וּמִסִּטְרָא דְפָנִים אִיהִי י' לְעִילָא, וְדָא אִיהוּ רָזָא דְאִתְהַפַּךְ שְׁמָא מִדִּינָא לְרַחֲמֵי וּמֵרַחֲמֵי לְדִינָא, כַּד אִתְהַפַּךְ לְדִינָא אִיהוּ הוה''י י' לְתַתָּא, דְּאִתְּמַר בֵּיהּ אֶבֶן מָאֲסוּ הַבּוֹנִים, מָאֲסוּ יִסּוּרִין דִּילָהּ, וְאִלֵּין דַּחֲבִיבִין יִסּוּרִין אִתְהַפַּךְ לוֹן מִדִּינָא לְרַחֲמֵי יהו''ה, וּבְהַהוּא זִמְנָא אֶבֶן מָאֲסוּ וכו', מַה דַּהֲוַת י' לְתַתָּא אִתְחַזְרַת לְעִילָא, וּמִסִּטְרָא דְוהי''ה אִיהִי י' בְּאֶמְצַע, בְּהַהוּא זִמְנָא אִשְׁתַּטַּח לְגַבֵּיהּ, וְאָמַר זַכָּאָה חוּלָקֵי דְזָכִינָא לְהַאי, דְּדָא עִיקָרָא וִיסוֹדָא דְכֹלָּא.</w:t>
      </w:r>
    </w:p>
    <w:p w:rsidR="00602EF1" w:rsidRDefault="00602EF1" w:rsidP="00602EF1">
      <w:pPr>
        <w:pStyle w:val="a8"/>
        <w:spacing w:before="0" w:after="40"/>
        <w:rPr>
          <w:rtl/>
        </w:rPr>
      </w:pPr>
      <w:bookmarkStart w:id="293" w:name="_Toc228091342"/>
      <w:bookmarkStart w:id="294" w:name="_Toc231637981"/>
    </w:p>
    <w:p w:rsidR="00602EF1" w:rsidRDefault="00602EF1" w:rsidP="00602EF1">
      <w:pPr>
        <w:pStyle w:val="1"/>
        <w:rPr>
          <w:u w:val="single"/>
          <w:rtl/>
        </w:rPr>
      </w:pPr>
      <w:r>
        <w:rPr>
          <w:rtl/>
        </w:rPr>
        <w:t>תקונא שתין וארבע</w:t>
      </w:r>
      <w:bookmarkEnd w:id="293"/>
      <w:bookmarkEnd w:id="294"/>
    </w:p>
    <w:p w:rsidR="00602EF1" w:rsidRDefault="00602EF1" w:rsidP="00602EF1">
      <w:pPr>
        <w:pStyle w:val="aa"/>
        <w:spacing w:after="40"/>
        <w:rPr>
          <w:rtl/>
        </w:rPr>
      </w:pPr>
      <w:r>
        <w:rPr>
          <w:rtl/>
        </w:rPr>
        <w:t xml:space="preserve">[תיקוני זוהר - דף צח ע''ב] </w:t>
      </w:r>
    </w:p>
    <w:p w:rsidR="00602EF1" w:rsidRDefault="00602EF1" w:rsidP="00602EF1">
      <w:pPr>
        <w:spacing w:after="40" w:line="360" w:lineRule="atLeast"/>
        <w:ind w:left="144" w:right="144" w:firstLine="288"/>
        <w:jc w:val="both"/>
        <w:rPr>
          <w:rFonts w:ascii="Arial"/>
          <w:b/>
          <w:bCs/>
          <w:sz w:val="29"/>
          <w:szCs w:val="29"/>
          <w:rtl/>
        </w:rPr>
      </w:pPr>
      <w:r>
        <w:rPr>
          <w:rStyle w:val="a7"/>
          <w:rFonts w:ascii="Arial"/>
          <w:b/>
          <w:bCs/>
          <w:sz w:val="29"/>
          <w:szCs w:val="29"/>
          <w:rtl/>
        </w:rPr>
        <w:footnoteReference w:id="4531"/>
      </w:r>
      <w:r>
        <w:rPr>
          <w:rFonts w:ascii="Arial"/>
          <w:b/>
          <w:bCs/>
          <w:sz w:val="29"/>
          <w:szCs w:val="29"/>
          <w:rtl/>
        </w:rPr>
        <w:t xml:space="preserve">בְּרֵאשִׁית בָּרָא אלהי''ם, תַּמָּן אִישׁ תַּמָּן אִשָּׁה עִם ה' דֶאלהי''ם, וַעֲלַיְיהוּ אִתְּמַר </w:t>
      </w:r>
      <w:r>
        <w:rPr>
          <w:rFonts w:ascii="Arial"/>
          <w:b/>
          <w:szCs w:val="23"/>
          <w:rtl/>
        </w:rPr>
        <w:t>(שיר ב ה)</w:t>
      </w:r>
      <w:r>
        <w:rPr>
          <w:rFonts w:ascii="Arial"/>
          <w:b/>
          <w:bCs/>
          <w:sz w:val="29"/>
          <w:szCs w:val="29"/>
          <w:rtl/>
        </w:rPr>
        <w:t xml:space="preserve"> סַמְּכוּנִי בָּאֲשִׁישׁוֹת, בְּאִישׁ וְאִשָּׁה, </w:t>
      </w:r>
      <w:r>
        <w:rPr>
          <w:rStyle w:val="a7"/>
          <w:rFonts w:ascii="Arial"/>
          <w:b/>
          <w:bCs/>
          <w:sz w:val="29"/>
          <w:szCs w:val="29"/>
          <w:rtl/>
        </w:rPr>
        <w:footnoteReference w:id="4532"/>
      </w:r>
      <w:r>
        <w:rPr>
          <w:rFonts w:ascii="Arial"/>
          <w:b/>
          <w:bCs/>
          <w:sz w:val="29"/>
          <w:szCs w:val="29"/>
          <w:rtl/>
        </w:rPr>
        <w:t xml:space="preserve">וּמָאן גָּרִים דָּא, בְּגִין דְּאִתְפַּשְׁטוּ מִכָּתְנוֹת אוֹר אָדָם וְחַוָּה, וּבְגִין דָּא סַמְּכוּנִי בָּאֲשִׁישׁוֹת, כָּתְנוֹת עוֹר אִינוּן לָקֳבֵל וְעוֹרוֹת אֵילִים מְאָדָּמִים וכו' </w:t>
      </w:r>
      <w:r>
        <w:rPr>
          <w:rFonts w:ascii="Arial"/>
          <w:b/>
          <w:szCs w:val="23"/>
          <w:rtl/>
        </w:rPr>
        <w:t>(שמות כה ה)</w:t>
      </w:r>
      <w:r>
        <w:rPr>
          <w:rFonts w:ascii="Arial"/>
          <w:b/>
          <w:sz w:val="29"/>
          <w:szCs w:val="23"/>
          <w:rtl/>
        </w:rPr>
        <w:t xml:space="preserve">, </w:t>
      </w:r>
      <w:r>
        <w:rPr>
          <w:rFonts w:ascii="Arial"/>
          <w:b/>
          <w:bCs/>
          <w:sz w:val="29"/>
          <w:szCs w:val="29"/>
          <w:rtl/>
        </w:rPr>
        <w:t xml:space="preserve">וּמָאן </w:t>
      </w:r>
      <w:r>
        <w:rPr>
          <w:rStyle w:val="Char"/>
          <w:rtl/>
        </w:rPr>
        <w:t xml:space="preserve">גָּרִים, </w:t>
      </w:r>
      <w:r>
        <w:rPr>
          <w:rFonts w:ascii="Arial"/>
          <w:b/>
          <w:bCs/>
          <w:sz w:val="29"/>
          <w:szCs w:val="29"/>
          <w:rtl/>
        </w:rPr>
        <w:t xml:space="preserve">אִתְּתָא, כְּמָה דְאַתְּ אָמַר </w:t>
      </w:r>
      <w:r>
        <w:rPr>
          <w:rFonts w:ascii="Arial"/>
          <w:b/>
          <w:szCs w:val="23"/>
          <w:rtl/>
        </w:rPr>
        <w:t>(בראשית ג ב)</w:t>
      </w:r>
      <w:r>
        <w:rPr>
          <w:rFonts w:ascii="Arial"/>
          <w:b/>
          <w:bCs/>
          <w:sz w:val="29"/>
          <w:szCs w:val="29"/>
          <w:rtl/>
        </w:rPr>
        <w:t xml:space="preserve"> וַיֹּאמֶר הָאָדָם הָאִשָּׁה אֲשֶׁר נָתַתָּ עִמָּדִי וְגוֹמֵר, וּבְגִין דָּא אָמַר קוּדְשָׁא בְּרִיךְ הוּא לְאִתְּתָא מֶה עָבְדַת, כְּמָה דְאַתְּ אָמַר </w:t>
      </w:r>
      <w:r>
        <w:rPr>
          <w:rFonts w:ascii="Arial"/>
          <w:b/>
          <w:szCs w:val="23"/>
          <w:rtl/>
        </w:rPr>
        <w:t>(שם יג)</w:t>
      </w:r>
      <w:r>
        <w:rPr>
          <w:rFonts w:ascii="Arial"/>
          <w:b/>
          <w:bCs/>
          <w:sz w:val="29"/>
          <w:szCs w:val="29"/>
          <w:rtl/>
        </w:rPr>
        <w:t xml:space="preserve"> וַיֹּאמֶר יהו''ה אלהי''ם אֶל הָאִשָּׁה מַה זֹּאת עָשִׂית, </w:t>
      </w:r>
      <w:r>
        <w:rPr>
          <w:rStyle w:val="a7"/>
          <w:rFonts w:ascii="Arial"/>
          <w:b/>
          <w:bCs/>
          <w:sz w:val="29"/>
          <w:szCs w:val="29"/>
          <w:rtl/>
        </w:rPr>
        <w:footnoteReference w:id="4533"/>
      </w:r>
      <w:r>
        <w:rPr>
          <w:rFonts w:ascii="Arial"/>
          <w:b/>
          <w:bCs/>
          <w:sz w:val="29"/>
          <w:szCs w:val="29"/>
          <w:rtl/>
        </w:rPr>
        <w:t xml:space="preserve">כָּל חוֹבָה דְעָבְדַת לִשְׁכִינְתָּא דְאִיהִי זֹאת עָבְדַת, וּבְגִין דָּא מַה זֹּאת עָשִׂית, דְּאִיהִי </w:t>
      </w:r>
      <w:r>
        <w:rPr>
          <w:rStyle w:val="a7"/>
          <w:rFonts w:ascii="Arial"/>
          <w:b/>
          <w:bCs/>
          <w:sz w:val="29"/>
          <w:szCs w:val="29"/>
          <w:rtl/>
        </w:rPr>
        <w:footnoteReference w:id="4534"/>
      </w:r>
      <w:r>
        <w:rPr>
          <w:rFonts w:ascii="Arial"/>
          <w:b/>
          <w:bCs/>
          <w:sz w:val="29"/>
          <w:szCs w:val="29"/>
          <w:rtl/>
        </w:rPr>
        <w:t xml:space="preserve">מַה שְּׁמוֹ, </w:t>
      </w:r>
      <w:r>
        <w:rPr>
          <w:rStyle w:val="a7"/>
          <w:rFonts w:ascii="Arial"/>
          <w:b/>
          <w:bCs/>
          <w:sz w:val="29"/>
          <w:szCs w:val="29"/>
          <w:rtl/>
        </w:rPr>
        <w:footnoteReference w:id="4535"/>
      </w:r>
      <w:r>
        <w:rPr>
          <w:rFonts w:ascii="Arial"/>
          <w:b/>
          <w:bCs/>
          <w:sz w:val="29"/>
          <w:szCs w:val="29"/>
          <w:rtl/>
        </w:rPr>
        <w:t xml:space="preserve">מַה זֹּאת וַדַּאי, </w:t>
      </w:r>
      <w:r>
        <w:rPr>
          <w:b/>
          <w:szCs w:val="23"/>
          <w:rtl/>
        </w:rPr>
        <w:t xml:space="preserve">(דף צח ע''ב) </w:t>
      </w:r>
      <w:r>
        <w:rPr>
          <w:rFonts w:ascii="Arial"/>
          <w:b/>
          <w:bCs/>
          <w:sz w:val="29"/>
          <w:szCs w:val="29"/>
          <w:rtl/>
        </w:rPr>
        <w:t xml:space="preserve">מָה יהו''ה אלהי''ך שׁוֹאֵל מֵעִמָּךְ כִּי אִם לְיִרְאָה </w:t>
      </w:r>
      <w:r>
        <w:rPr>
          <w:rFonts w:ascii="Arial"/>
          <w:b/>
          <w:szCs w:val="23"/>
          <w:rtl/>
        </w:rPr>
        <w:t>(דברים י יב)</w:t>
      </w:r>
      <w:r>
        <w:rPr>
          <w:rFonts w:ascii="Arial"/>
          <w:b/>
          <w:bCs/>
          <w:sz w:val="29"/>
          <w:szCs w:val="29"/>
          <w:rtl/>
        </w:rPr>
        <w:t xml:space="preserve">, </w:t>
      </w:r>
      <w:r>
        <w:rPr>
          <w:rStyle w:val="a7"/>
          <w:rFonts w:ascii="Arial"/>
          <w:b/>
          <w:bCs/>
          <w:sz w:val="29"/>
          <w:szCs w:val="29"/>
          <w:rtl/>
        </w:rPr>
        <w:footnoteReference w:id="4536"/>
      </w:r>
      <w:r>
        <w:rPr>
          <w:rFonts w:ascii="Arial"/>
          <w:b/>
          <w:bCs/>
          <w:sz w:val="29"/>
          <w:szCs w:val="29"/>
          <w:rtl/>
        </w:rPr>
        <w:t xml:space="preserve">וְאַל תִּקְרֵי אִם אֶלָּא אֵם, הֲדָא הוּא דִכְתִיב </w:t>
      </w:r>
      <w:r>
        <w:rPr>
          <w:rFonts w:ascii="Arial"/>
          <w:b/>
          <w:szCs w:val="23"/>
          <w:rtl/>
        </w:rPr>
        <w:t>(ויקרא יט ג)</w:t>
      </w:r>
      <w:r>
        <w:rPr>
          <w:rFonts w:ascii="Arial"/>
          <w:b/>
          <w:bCs/>
          <w:sz w:val="29"/>
          <w:szCs w:val="29"/>
          <w:rtl/>
        </w:rPr>
        <w:t xml:space="preserve"> אִישׁ אִמוֹ וְאָבִיו תִּירָאוּ דְּאִיהוּ י''ה </w:t>
      </w:r>
      <w:r>
        <w:rPr>
          <w:rStyle w:val="a7"/>
          <w:rFonts w:ascii="Arial"/>
          <w:b/>
          <w:bCs/>
          <w:sz w:val="29"/>
          <w:szCs w:val="29"/>
          <w:rtl/>
        </w:rPr>
        <w:footnoteReference w:id="4537"/>
      </w:r>
      <w:r>
        <w:rPr>
          <w:rFonts w:ascii="Arial"/>
          <w:b/>
          <w:bCs/>
          <w:sz w:val="29"/>
          <w:szCs w:val="29"/>
          <w:rtl/>
        </w:rPr>
        <w:t xml:space="preserve">אבָּא וְאִימָא עִלָאָה, וְאַנְתְּ לָא דְחֵילְתְּ מֵאִימָּא עִלָּאָה, לְזֹאת עָבְדַת כָּל דָּא וַדַּאי, דְאִתְּמָר בָּה </w:t>
      </w:r>
      <w:r>
        <w:rPr>
          <w:rFonts w:ascii="Arial"/>
          <w:b/>
          <w:szCs w:val="23"/>
          <w:rtl/>
        </w:rPr>
        <w:t>(בראשית ט יב)</w:t>
      </w:r>
      <w:r>
        <w:rPr>
          <w:rFonts w:ascii="Arial"/>
          <w:b/>
          <w:bCs/>
          <w:sz w:val="29"/>
          <w:szCs w:val="29"/>
          <w:rtl/>
        </w:rPr>
        <w:t xml:space="preserve"> </w:t>
      </w:r>
      <w:r>
        <w:rPr>
          <w:rStyle w:val="a7"/>
          <w:rFonts w:ascii="Arial"/>
          <w:b/>
          <w:bCs/>
          <w:sz w:val="29"/>
          <w:szCs w:val="29"/>
          <w:rtl/>
        </w:rPr>
        <w:footnoteReference w:id="4538"/>
      </w:r>
      <w:r>
        <w:rPr>
          <w:rFonts w:ascii="Arial"/>
          <w:b/>
          <w:bCs/>
          <w:sz w:val="29"/>
          <w:szCs w:val="29"/>
          <w:rtl/>
        </w:rPr>
        <w:t>זֹאת אוֹת הַבְּרִית.</w:t>
      </w:r>
    </w:p>
    <w:p w:rsidR="00602EF1" w:rsidRDefault="00602EF1" w:rsidP="00602EF1">
      <w:pPr>
        <w:pStyle w:val="NormalWeb"/>
        <w:rPr>
          <w:b w:val="0"/>
          <w:bCs w:val="0"/>
          <w:rtl/>
        </w:rPr>
      </w:pPr>
      <w:r>
        <w:rPr>
          <w:b w:val="0"/>
          <w:bCs w:val="0"/>
          <w:rtl/>
        </w:rPr>
        <w:t xml:space="preserve">דְּאָדָם וְאִתְּתֵיהּ אִתְבְּרִיאוּ בְּדִיּוֹקְנָא דְקוּדְשָׁא בְּרִיךְ הוּא וּשְׁכִינְתֵּיהּ, וּבְגִין דָּא חוֹבָא דְאָדָם הֲוָה תַלְיָא בְּעַמּוּדָא דְאֶמְצָעִיתָא, וְחוֹבָה דְחַוָּה בִּשְׁכִינְתָּא, וּבְגִין דָּא מַה זֹּאת עָשִׂית, לְזֹאת עָשִׂית וַדַּאי, </w:t>
      </w:r>
      <w:r>
        <w:rPr>
          <w:rStyle w:val="a7"/>
          <w:b w:val="0"/>
          <w:bCs w:val="0"/>
          <w:rtl/>
        </w:rPr>
        <w:footnoteReference w:id="4539"/>
      </w:r>
      <w:r>
        <w:rPr>
          <w:b w:val="0"/>
          <w:bCs w:val="0"/>
          <w:rtl/>
        </w:rPr>
        <w:t xml:space="preserve">וְחוֹבָא דָא גָרַם דְּנָחְתַת שְׁכִינְתָּא בְגָלוּתָא, </w:t>
      </w:r>
      <w:r>
        <w:rPr>
          <w:rStyle w:val="a7"/>
          <w:b w:val="0"/>
          <w:bCs w:val="0"/>
          <w:rtl/>
        </w:rPr>
        <w:footnoteReference w:id="4540"/>
      </w:r>
      <w:r>
        <w:rPr>
          <w:b w:val="0"/>
          <w:bCs w:val="0"/>
          <w:rtl/>
        </w:rPr>
        <w:t xml:space="preserve">דַהֲווֹ יִשְׂרָאֵל עָבְדִין מַעֲשֵׂה אֲבוֹתֵיהֶם, וּבְגִין דָּא אָמַר </w:t>
      </w:r>
      <w:r>
        <w:rPr>
          <w:b w:val="0"/>
          <w:sz w:val="20"/>
          <w:szCs w:val="23"/>
          <w:rtl/>
        </w:rPr>
        <w:t>(ויקרא כו מד)</w:t>
      </w:r>
      <w:r>
        <w:rPr>
          <w:b w:val="0"/>
          <w:bCs w:val="0"/>
          <w:rtl/>
        </w:rPr>
        <w:t xml:space="preserve"> וְאַף גַּם זֹאת בִּהְיוֹתָם בְּאֶרֶץ אֹיְבֵיהֶם לֹא מְאַסְתִּים וְלֹא גְעַלְתִּים וכו', וּבָהּ אָמַר דָּוִד </w:t>
      </w:r>
      <w:r>
        <w:rPr>
          <w:b w:val="0"/>
          <w:sz w:val="20"/>
          <w:szCs w:val="23"/>
          <w:rtl/>
        </w:rPr>
        <w:t>(תהלים כז ג)</w:t>
      </w:r>
      <w:r>
        <w:rPr>
          <w:b w:val="0"/>
          <w:bCs w:val="0"/>
          <w:rtl/>
        </w:rPr>
        <w:t xml:space="preserve"> אִם תַּחֲנֶה עָלַי מַחֲנֶה לֹא יִירָא לִבִּי וְגוֹמֵר, בְּזֹאת אֲנִי בוֹטֵחַ וְגוֹמֵר, </w:t>
      </w:r>
      <w:r>
        <w:rPr>
          <w:rStyle w:val="a7"/>
          <w:b w:val="0"/>
          <w:bCs w:val="0"/>
          <w:rtl/>
        </w:rPr>
        <w:footnoteReference w:id="4541"/>
      </w:r>
      <w:r>
        <w:rPr>
          <w:b w:val="0"/>
          <w:bCs w:val="0"/>
          <w:rtl/>
        </w:rPr>
        <w:t xml:space="preserve">דָּא אִתְּמַר בְּמִלְחֶמֶת גּוֹג וּמָגוֹג, וּמָאן גָּרִים לְמֶהֱוִי אִיהוּ נָטִיר בָּהּ, בְּגִין דַּעֲלֵיהּ אִתְּמַר </w:t>
      </w:r>
      <w:r>
        <w:rPr>
          <w:b w:val="0"/>
          <w:sz w:val="20"/>
          <w:szCs w:val="23"/>
          <w:rtl/>
        </w:rPr>
        <w:t>(שם קלב ד)</w:t>
      </w:r>
      <w:r>
        <w:rPr>
          <w:b w:val="0"/>
          <w:bCs w:val="0"/>
          <w:rtl/>
        </w:rPr>
        <w:t xml:space="preserve"> אִם אֶתֵּן שְׁנָת לְעִינָי לְעַפְעַפַּי תְּנוּמָה עַד אֶמְצָא מָקוֹם לַיהו''ה וְגוֹמֵר.</w:t>
      </w:r>
    </w:p>
    <w:p w:rsidR="00602EF1" w:rsidRDefault="00602EF1" w:rsidP="00602EF1">
      <w:pPr>
        <w:pStyle w:val="NormalWeb"/>
        <w:rPr>
          <w:b w:val="0"/>
          <w:bCs w:val="0"/>
          <w:rtl/>
        </w:rPr>
      </w:pPr>
      <w:r>
        <w:rPr>
          <w:b w:val="0"/>
          <w:bCs w:val="0"/>
          <w:rtl/>
        </w:rPr>
        <w:t xml:space="preserve">וְהַאי אִיהִי חָכְמַת שְׁלֹמֹה, וַעֲלָהּ אִתְּמַר </w:t>
      </w:r>
      <w:r>
        <w:rPr>
          <w:b w:val="0"/>
          <w:sz w:val="20"/>
          <w:szCs w:val="23"/>
          <w:rtl/>
        </w:rPr>
        <w:t>(קהלת ט טז)</w:t>
      </w:r>
      <w:r>
        <w:rPr>
          <w:b w:val="0"/>
          <w:bCs w:val="0"/>
          <w:rtl/>
        </w:rPr>
        <w:t xml:space="preserve"> </w:t>
      </w:r>
      <w:r>
        <w:rPr>
          <w:rStyle w:val="a7"/>
          <w:b w:val="0"/>
          <w:bCs w:val="0"/>
          <w:rtl/>
        </w:rPr>
        <w:footnoteReference w:id="4542"/>
      </w:r>
      <w:r>
        <w:rPr>
          <w:b w:val="0"/>
          <w:bCs w:val="0"/>
          <w:rtl/>
        </w:rPr>
        <w:t xml:space="preserve">וְחָכְמַת הַמִּסְכֵּן בְּזוּיָה, וַעֲלָהּ אִתְּמַר </w:t>
      </w:r>
      <w:r>
        <w:rPr>
          <w:b w:val="0"/>
          <w:sz w:val="20"/>
          <w:szCs w:val="23"/>
          <w:rtl/>
        </w:rPr>
        <w:t>(שמואל א ב ל)</w:t>
      </w:r>
      <w:r>
        <w:rPr>
          <w:b w:val="0"/>
          <w:bCs w:val="0"/>
          <w:rtl/>
        </w:rPr>
        <w:t xml:space="preserve"> כִּי מְכַבְּדַי אֲכַבֵּד וּבוֹזַי יֵקָלּוּ, כַּד נָחִית שְׁלֹמֹה מִמַּלְכוּתֵיהּ הֲוָה חָכְמָה דִילֵיהּ בְּזוּיָה בְּעִינֵי שַׁטְיָין, וְכַד אִסְתַּלַּק בְּמַלְכוּתֵיהּ אִתְּמַר בֵּיהּ </w:t>
      </w:r>
      <w:r>
        <w:rPr>
          <w:b w:val="0"/>
          <w:sz w:val="20"/>
          <w:szCs w:val="23"/>
          <w:rtl/>
        </w:rPr>
        <w:t>(מלכים א ה י)</w:t>
      </w:r>
      <w:r>
        <w:rPr>
          <w:b w:val="0"/>
          <w:bCs w:val="0"/>
          <w:rtl/>
        </w:rPr>
        <w:t xml:space="preserve"> וַתֵּרֶב חָכְמַת שְׁלֹמֹה, דְאִתְרַבִּיאַת עַד דִּמְטָאת לְהַאי אֲתַר דְּאִתְנְטִילַת מִתַּמָּן, לַאֲתַר דְּחָכְמָה עִלָּאָה, </w:t>
      </w:r>
      <w:r>
        <w:rPr>
          <w:rStyle w:val="a7"/>
          <w:b w:val="0"/>
          <w:bCs w:val="0"/>
          <w:rtl/>
        </w:rPr>
        <w:footnoteReference w:id="4543"/>
      </w:r>
      <w:r>
        <w:rPr>
          <w:b w:val="0"/>
          <w:bCs w:val="0"/>
          <w:rtl/>
        </w:rPr>
        <w:t xml:space="preserve">דְאִיהִי חָכְמָה בְּרֵישָׁא, וְאִיהִי חָכְמָה בַסּוֹף, וְאִיהִי תּוֹרָה בְּאֶמְצָעִיתָא, בְּעַמּוּדָא דְאֶמְצָעִיתָא תּוֹרַת אֱמֶת, לְעִילָא תּוֹרַת חָכָם, לְתַתָּא חָכְמַת שְׁלֹמֹה, וּבְגִין דָּא </w:t>
      </w:r>
      <w:r>
        <w:rPr>
          <w:rStyle w:val="a7"/>
          <w:b w:val="0"/>
          <w:bCs w:val="0"/>
          <w:rtl/>
        </w:rPr>
        <w:footnoteReference w:id="4544"/>
      </w:r>
      <w:r>
        <w:rPr>
          <w:b w:val="0"/>
          <w:bCs w:val="0"/>
          <w:rtl/>
        </w:rPr>
        <w:t xml:space="preserve">מִסִּטְרָא דִשְׁלֹמֹה אִתְּמַר וְחָכְמַת הַמִּסְכֵּן בְּזוּיָה, דִּנְחִיתַת בֵּיהּ, וּסְלִיקַת בֵּיהּ, כְּמָה דְאִתְּמַר בֵּיהּ וַתֵּרֶב חָכְמַת שְׁלֹמֹה מֵחָכְמַת כָּל בְּנֵי קֶדֶם. אבל בְּחַיָּיבַיָּא מַה כְּתִיב בְּהוּ, </w:t>
      </w:r>
      <w:r>
        <w:rPr>
          <w:b w:val="0"/>
          <w:sz w:val="20"/>
          <w:szCs w:val="23"/>
          <w:rtl/>
        </w:rPr>
        <w:t>(איכה א יד)</w:t>
      </w:r>
      <w:r>
        <w:rPr>
          <w:b w:val="0"/>
          <w:bCs w:val="0"/>
          <w:rtl/>
        </w:rPr>
        <w:t xml:space="preserve"> נְתָנַנִי יהו''ה בִּידֵי לֹא אוּכַל קוּם, </w:t>
      </w:r>
      <w:r>
        <w:rPr>
          <w:b w:val="0"/>
          <w:sz w:val="20"/>
          <w:szCs w:val="23"/>
          <w:rtl/>
        </w:rPr>
        <w:t>(עמוס ה')</w:t>
      </w:r>
      <w:r>
        <w:rPr>
          <w:b w:val="0"/>
          <w:szCs w:val="23"/>
          <w:rtl/>
        </w:rPr>
        <w:t xml:space="preserve"> </w:t>
      </w:r>
      <w:r>
        <w:rPr>
          <w:rStyle w:val="Char"/>
          <w:rtl/>
        </w:rPr>
        <w:t>נָפְלָה וְלֹא תוֹסִיף קוּם</w:t>
      </w:r>
      <w:r>
        <w:rPr>
          <w:b w:val="0"/>
          <w:szCs w:val="23"/>
          <w:rtl/>
        </w:rPr>
        <w:t xml:space="preserve"> </w:t>
      </w:r>
      <w:r>
        <w:rPr>
          <w:b w:val="0"/>
          <w:sz w:val="20"/>
          <w:szCs w:val="23"/>
          <w:rtl/>
        </w:rPr>
        <w:t>(עמוס ה ב)</w:t>
      </w:r>
      <w:r>
        <w:rPr>
          <w:b w:val="0"/>
          <w:bCs w:val="0"/>
          <w:rtl/>
        </w:rPr>
        <w:t xml:space="preserve">, וְאַף עַל פִּי דְלֵית לָהּ רְשׁוּ לְמֵיקַם מִגַּרְמָהּ, קוּדְשָׁא בְּרִיךְ הוּא יוֹקִים לָהּ, כְּמָה דְאַתְּ אָמַר </w:t>
      </w:r>
      <w:r>
        <w:rPr>
          <w:b w:val="0"/>
          <w:sz w:val="20"/>
          <w:szCs w:val="23"/>
          <w:rtl/>
        </w:rPr>
        <w:t>(שם ט יא)</w:t>
      </w:r>
      <w:r>
        <w:rPr>
          <w:b w:val="0"/>
          <w:bCs w:val="0"/>
          <w:rtl/>
        </w:rPr>
        <w:t xml:space="preserve"> בַּיּוֹם הַהוּא אָקִים אֶת סֻכַּת דָּוִד הַנֹּפֶלֶת, </w:t>
      </w:r>
      <w:r>
        <w:rPr>
          <w:rStyle w:val="a7"/>
          <w:b w:val="0"/>
          <w:bCs w:val="0"/>
          <w:rtl/>
        </w:rPr>
        <w:footnoteReference w:id="4545"/>
      </w:r>
      <w:r>
        <w:rPr>
          <w:b w:val="0"/>
          <w:bCs w:val="0"/>
          <w:rtl/>
        </w:rPr>
        <w:t xml:space="preserve">וּמָאן גָּרִים דְּנָחְתַת לָהּ מֵאַתְרָהּ דָּא נָחָשׁ, כְּמָה דְאַתְּ אָמַר </w:t>
      </w:r>
      <w:r>
        <w:rPr>
          <w:b w:val="0"/>
          <w:sz w:val="20"/>
          <w:szCs w:val="23"/>
          <w:rtl/>
        </w:rPr>
        <w:t>(בראשית ג יד)</w:t>
      </w:r>
      <w:r>
        <w:rPr>
          <w:b w:val="0"/>
          <w:bCs w:val="0"/>
          <w:rtl/>
        </w:rPr>
        <w:t xml:space="preserve"> וַיֹּאמֶר יהו''ה אלהי''ם אֶל הַנָּחָשׁ כִּי עָשִׂיתָ זֹּאת, דְּאִיהִי שְׁכִינְתָּא, דְּגָרְמַת דְּאִשְׁתַּכְּחַת יַבָּשָׁה וְנָפְלַת מֵאַתְרָהּ, אָרוּר אַתָּה מִכָּל הַבְּהֵמָה וְגוֹמֵר </w:t>
      </w:r>
      <w:r>
        <w:rPr>
          <w:b w:val="0"/>
          <w:sz w:val="20"/>
          <w:szCs w:val="23"/>
          <w:rtl/>
        </w:rPr>
        <w:t>(שם)</w:t>
      </w:r>
      <w:r>
        <w:rPr>
          <w:b w:val="0"/>
          <w:bCs w:val="0"/>
          <w:rtl/>
        </w:rPr>
        <w:t xml:space="preserve">, לַיִיט לֵיהּ דְּלָא יְהֵא לֵיהּ מַלְכִין וְשַׁלִּיטִין עַל מַה דְּסָמִיךְ, דְּאִינוּן רַגְלוֹי וִידוֹי דְּקָצִיץ לוֹן, </w:t>
      </w:r>
      <w:r>
        <w:rPr>
          <w:rStyle w:val="a7"/>
          <w:b w:val="0"/>
          <w:bCs w:val="0"/>
          <w:rtl/>
        </w:rPr>
        <w:footnoteReference w:id="4546"/>
      </w:r>
      <w:r>
        <w:rPr>
          <w:b w:val="0"/>
          <w:bCs w:val="0"/>
          <w:rtl/>
        </w:rPr>
        <w:t xml:space="preserve">כְּמָה דְאִיהוּ גְרִים קִצּוּץ וּפִרוּד לְעִילָא, וּבְגִין דָּא עַל גְּחוֹנְךָ תֵלֵךְ וְעָפָר תֹּאכַל כֹּל יְמֵי חַיֶּיךָ </w:t>
      </w:r>
      <w:r>
        <w:rPr>
          <w:b w:val="0"/>
          <w:sz w:val="20"/>
          <w:szCs w:val="23"/>
          <w:rtl/>
        </w:rPr>
        <w:t>(שם)</w:t>
      </w:r>
      <w:r>
        <w:rPr>
          <w:b w:val="0"/>
          <w:szCs w:val="23"/>
          <w:rtl/>
        </w:rPr>
        <w:t xml:space="preserve">, </w:t>
      </w:r>
      <w:r>
        <w:rPr>
          <w:rStyle w:val="a7"/>
          <w:b w:val="0"/>
          <w:szCs w:val="23"/>
          <w:rtl/>
        </w:rPr>
        <w:footnoteReference w:id="4547"/>
      </w:r>
      <w:r>
        <w:rPr>
          <w:rStyle w:val="Char"/>
          <w:rtl/>
        </w:rPr>
        <w:t xml:space="preserve">וְדָא </w:t>
      </w:r>
      <w:r>
        <w:rPr>
          <w:rStyle w:val="Char"/>
          <w:b/>
          <w:bCs/>
          <w:rtl/>
        </w:rPr>
        <w:t>(אִיהוּ)</w:t>
      </w:r>
      <w:r>
        <w:rPr>
          <w:rStyle w:val="Char"/>
          <w:rtl/>
        </w:rPr>
        <w:t xml:space="preserve"> דְאָמַר יִצְחָק לְעִשָׂו</w:t>
      </w:r>
      <w:r>
        <w:rPr>
          <w:b w:val="0"/>
          <w:szCs w:val="23"/>
          <w:rtl/>
        </w:rPr>
        <w:t xml:space="preserve"> </w:t>
      </w:r>
      <w:r>
        <w:rPr>
          <w:b w:val="0"/>
          <w:sz w:val="20"/>
          <w:szCs w:val="23"/>
          <w:rtl/>
        </w:rPr>
        <w:t>(שם כז לט)</w:t>
      </w:r>
      <w:r>
        <w:rPr>
          <w:b w:val="0"/>
          <w:bCs w:val="0"/>
          <w:rtl/>
        </w:rPr>
        <w:t xml:space="preserve"> מִשְׁמַנֵּי הָאָרֶץ יִהְיֶה מוֹשָׁבֶךָ.</w:t>
      </w:r>
    </w:p>
    <w:p w:rsidR="00602EF1" w:rsidRDefault="00602EF1" w:rsidP="00602EF1">
      <w:pPr>
        <w:pStyle w:val="aa"/>
        <w:spacing w:after="40"/>
        <w:rPr>
          <w:rtl/>
        </w:rPr>
      </w:pPr>
      <w:r>
        <w:rPr>
          <w:rtl/>
        </w:rPr>
        <w:t xml:space="preserve">[תיקוני זוהר - דף צט ע''א] </w:t>
      </w:r>
    </w:p>
    <w:p w:rsidR="00602EF1" w:rsidRDefault="00602EF1" w:rsidP="00602EF1">
      <w:pPr>
        <w:pStyle w:val="NormalWeb"/>
        <w:rPr>
          <w:b w:val="0"/>
          <w:bCs w:val="0"/>
          <w:rtl/>
        </w:rPr>
      </w:pPr>
      <w:r>
        <w:rPr>
          <w:b w:val="0"/>
          <w:bCs w:val="0"/>
          <w:rtl/>
        </w:rPr>
        <w:t xml:space="preserve">עֶשֶׂר לְוָטַיָּא לַיִיט לְחִוְיָא, בְּגִין דְּגָרִים דְּאִתְפַּרַשׁ שְׁכִינְתָּא דְאִיהִי עֲשִׂירָאָה מִבַּעְלָהּ, וְעֶשֶׂר לְאָדָם, וְעֶשֶׂר לְחַוָּה, וְתִשְׁעָה לְאַרְעָא, דְחָבַאת לַצַּדִּיק דְּאִיהוּ תְשִׁיעָאָה, כֻּלְּהוּ חָאבוּ לַעֲשִׂירָאָה, וְאַרְעָא לַצַּדִּיק, וּמִמַּאי </w:t>
      </w:r>
      <w:r>
        <w:rPr>
          <w:b w:val="0"/>
          <w:sz w:val="20"/>
          <w:szCs w:val="23"/>
          <w:rtl/>
        </w:rPr>
        <w:t>(נ''א ואמאי)</w:t>
      </w:r>
      <w:r>
        <w:rPr>
          <w:b w:val="0"/>
          <w:bCs w:val="0"/>
          <w:rtl/>
        </w:rPr>
        <w:t xml:space="preserve"> דְחָאבַת, דְּהָא בַּעֲבוּרֶךָ אָמַר לְאָדָם, וּבְגִין אָדָם לַיִּיט לְאַרְעָא דְּאִתְנְטִיל מִינָהּ, הֲדָא הוּא דִכְתִיב </w:t>
      </w:r>
      <w:r>
        <w:rPr>
          <w:b w:val="0"/>
          <w:sz w:val="20"/>
          <w:szCs w:val="23"/>
          <w:rtl/>
        </w:rPr>
        <w:t>(שם ב ז)</w:t>
      </w:r>
      <w:r>
        <w:rPr>
          <w:b w:val="0"/>
          <w:bCs w:val="0"/>
          <w:rtl/>
        </w:rPr>
        <w:t xml:space="preserve"> וַיִּיצֶר יהו''ה אלהי''ם אֶת הָאָדָם עָפָר מִן הָאֲדָמָה, אֶלָּא בְּגִין דְּאִתְּמַר בָּהּ </w:t>
      </w:r>
      <w:r>
        <w:rPr>
          <w:b w:val="0"/>
          <w:sz w:val="20"/>
          <w:szCs w:val="23"/>
          <w:rtl/>
        </w:rPr>
        <w:t>(שם ט)</w:t>
      </w:r>
      <w:r>
        <w:rPr>
          <w:b w:val="0"/>
          <w:bCs w:val="0"/>
          <w:rtl/>
        </w:rPr>
        <w:t xml:space="preserve"> וַיַּצְמַח יהו''ה אלהי''ם מִן הָאֲדָמָה כָּל עִץ נֶחְמָד לְמַרְאֶה וְטוֹב לְמַאֲכָל וְעִץ הַחַיִּים בְּתוֹךְ הַגָּן וְעִץ הַדַּעַת טוֹב וָרָע, וַהֲוָה לֵיהּ רְשׁוּ לְמִמְחָא בִידָא דְאָדָם דְּלָא יֵכוּל מֵאִילָנָא דְמוֹתָא, וְלָא מָחַאת, בְּגִין דָּא אָמַר בַּעֲבוּרֶךָ. אָמַר לֵיהּ רַבִּי אֶלְעָזָר, וְכִי אִית דַּעַת בְּאַרְעָא לְכוּלֵי הַאי, אָמַר לֵיהּ אִין, הֲדָא הוּא דִכְתִיב </w:t>
      </w:r>
      <w:r>
        <w:rPr>
          <w:b w:val="0"/>
          <w:sz w:val="20"/>
          <w:szCs w:val="23"/>
          <w:rtl/>
        </w:rPr>
        <w:t>(משלי ג יט)</w:t>
      </w:r>
      <w:r>
        <w:rPr>
          <w:b w:val="0"/>
          <w:bCs w:val="0"/>
          <w:rtl/>
        </w:rPr>
        <w:t xml:space="preserve"> יהו''ה בְּחָכְמָה יָסַד אָרֶץ, אָמַר לֵיהּ וְהָא בְּחָכְמָה עִלָּאָה וּבְאַרְעָא דְקוּדְשָׁא בְּרִיךְ הוּא אִתְּמַר הַאי קְרָא, אָמַר לֵיהּ בְּרִי, דָא לָקֳבֵל דָּא עָבַד קוּדְשָׁא בְּרִיךְ הוּא, אִית חָכְמָה וְאִית חָכְמָה, אִית אַרְעָא וְאִית אַרְעָא, אִם כֵּן מַה חָבַאת אַרְעָא לַצַּדִּיק דְּלָקְתָה תִּשְׁעָה, אָמַר לֵיהּ בְּגִין דְּעִץ הַדַּעַת טוֹב וָרָע אִיהוּ כְּגַוְונָא דִּבְרִית, אוֹת </w:t>
      </w:r>
      <w:r>
        <w:rPr>
          <w:b w:val="0"/>
          <w:sz w:val="20"/>
          <w:szCs w:val="23"/>
          <w:rtl/>
        </w:rPr>
        <w:t xml:space="preserve">(דף צט ע''א) </w:t>
      </w:r>
      <w:r>
        <w:rPr>
          <w:b w:val="0"/>
          <w:bCs w:val="0"/>
          <w:rtl/>
        </w:rPr>
        <w:t xml:space="preserve">בְּרִית מִלְּגָאו - טוֹב, עָרְלָה - רָע, דָּא מִלְּגָאו וְדָא מִלְּבָר, וּבְגִין דְּחוֹבָא דְעִץ הַדַּעַת גָּרִים פִּרוּדָא בֵּין צַדִּיק וּשְׁכִינְתָּא, בְּגִין דָּא לָקַאת אַרְעָא תִּשְׁעָה, וְאִינוּן דְּחָאבוּ בִּשְׁכִינְתָּא דְאִיהִי עֲשִׂירִית לָקוּ עֶשֶׂר עֶשֶׂר. </w:t>
      </w:r>
    </w:p>
    <w:p w:rsidR="00602EF1" w:rsidRDefault="00602EF1" w:rsidP="00602EF1">
      <w:pPr>
        <w:pStyle w:val="NormalWeb"/>
        <w:rPr>
          <w:b w:val="0"/>
          <w:bCs w:val="0"/>
          <w:rtl/>
        </w:rPr>
      </w:pPr>
      <w:r>
        <w:rPr>
          <w:rStyle w:val="a7"/>
          <w:b w:val="0"/>
          <w:bCs w:val="0"/>
          <w:rtl/>
        </w:rPr>
        <w:footnoteReference w:id="4548"/>
      </w:r>
      <w:r>
        <w:rPr>
          <w:b w:val="0"/>
          <w:bCs w:val="0"/>
          <w:rtl/>
        </w:rPr>
        <w:t xml:space="preserve">וְתָא חֲזִי שִׁבְעָה אַרְעִין אִינוּן אֶרֶץ אֲדָמָה אַרְקָא גֵּיא נְשִׁיָּה </w:t>
      </w:r>
      <w:r>
        <w:rPr>
          <w:rStyle w:val="a7"/>
          <w:b w:val="0"/>
          <w:bCs w:val="0"/>
          <w:rtl/>
        </w:rPr>
        <w:footnoteReference w:id="4549"/>
      </w:r>
      <w:r>
        <w:rPr>
          <w:b w:val="0"/>
          <w:bCs w:val="0"/>
          <w:rtl/>
        </w:rPr>
        <w:t xml:space="preserve">צִיָּה תֵּבֵל, וְאָדָם חָאב </w:t>
      </w:r>
      <w:r>
        <w:rPr>
          <w:rStyle w:val="Char"/>
          <w:rtl/>
        </w:rPr>
        <w:t>בְּבַת שֶׁבַע, וְאִתְּמַר בֵּיהּ</w:t>
      </w:r>
      <w:r>
        <w:rPr>
          <w:b w:val="0"/>
          <w:szCs w:val="23"/>
          <w:rtl/>
        </w:rPr>
        <w:t xml:space="preserve"> </w:t>
      </w:r>
      <w:r>
        <w:rPr>
          <w:b w:val="0"/>
          <w:sz w:val="20"/>
          <w:szCs w:val="23"/>
          <w:rtl/>
        </w:rPr>
        <w:t>(משלי כד טז)</w:t>
      </w:r>
      <w:r>
        <w:rPr>
          <w:b w:val="0"/>
          <w:bCs w:val="0"/>
          <w:rtl/>
        </w:rPr>
        <w:t xml:space="preserve"> כִּי שֶׁבַע יִפּוֹל צַדִּיק, הִרְהֵר תְּיוּבְתָּא וְאִתְּמַר בֵּיהּ </w:t>
      </w:r>
      <w:r>
        <w:rPr>
          <w:b w:val="0"/>
          <w:sz w:val="20"/>
          <w:szCs w:val="23"/>
          <w:rtl/>
        </w:rPr>
        <w:t>(שם)</w:t>
      </w:r>
      <w:r>
        <w:rPr>
          <w:b w:val="0"/>
          <w:bCs w:val="0"/>
          <w:rtl/>
        </w:rPr>
        <w:t xml:space="preserve"> וָקָם, וַהֲוָה סָלִיק, וְכַד נָחִית תַּמָּן הֲוָה עָבִיד עוֹבָדִין וְתוֹלָדִין בְּכָל אַרְעָא וְאַרְעָא, מִנְּהוֹן הֲווֹ צָמְחִין וּמִנְהוֹן לָא הֲווֹ צָמְחִין, וְאִית תַּמָּן בִּרְיָין מִנְּהוֹן בִּתְרֵין רֵישִׁין וְאִית מִנְּהוֹן </w:t>
      </w:r>
      <w:r>
        <w:rPr>
          <w:rStyle w:val="a7"/>
          <w:b w:val="0"/>
          <w:bCs w:val="0"/>
          <w:rtl/>
        </w:rPr>
        <w:footnoteReference w:id="4550"/>
      </w:r>
      <w:r>
        <w:rPr>
          <w:b w:val="0"/>
          <w:bCs w:val="0"/>
          <w:rtl/>
        </w:rPr>
        <w:t xml:space="preserve">בִּתְלַת עַד שֶׁבַע, וְאִית תַּמָּן אֲתַר דְּנַהֲרָא שִׁמְשָׁא וְסִיהֲרָא וְכֹכְבַיָּא וּמַזָּלֵי, </w:t>
      </w:r>
      <w:r>
        <w:rPr>
          <w:rStyle w:val="a7"/>
          <w:b w:val="0"/>
          <w:bCs w:val="0"/>
          <w:rtl/>
        </w:rPr>
        <w:footnoteReference w:id="4551"/>
      </w:r>
      <w:r>
        <w:rPr>
          <w:b w:val="0"/>
          <w:bCs w:val="0"/>
          <w:rtl/>
        </w:rPr>
        <w:t>וְאִית אֲתַר דְּלֵית בֵּיהּ נְהוֹרָא כְּלָל אֶלָּא חֲשׁוֹכָא וְקִבְלָא.</w:t>
      </w:r>
    </w:p>
    <w:p w:rsidR="00602EF1" w:rsidRDefault="00602EF1" w:rsidP="00602EF1">
      <w:pPr>
        <w:pStyle w:val="NormalWeb"/>
        <w:rPr>
          <w:b w:val="0"/>
          <w:bCs w:val="0"/>
          <w:rtl/>
        </w:rPr>
      </w:pPr>
      <w:r>
        <w:rPr>
          <w:b w:val="0"/>
          <w:bCs w:val="0"/>
          <w:rtl/>
        </w:rPr>
        <w:t xml:space="preserve">הָכִי אִינוּן אִלֵּין דְּנָחֲתִין </w:t>
      </w:r>
      <w:r>
        <w:rPr>
          <w:rStyle w:val="a7"/>
          <w:b w:val="0"/>
          <w:bCs w:val="0"/>
          <w:rtl/>
        </w:rPr>
        <w:footnoteReference w:id="4552"/>
      </w:r>
      <w:r>
        <w:rPr>
          <w:b w:val="0"/>
          <w:bCs w:val="0"/>
          <w:rtl/>
        </w:rPr>
        <w:t xml:space="preserve">לְשִׁבְעָה מִינֵי עֲנִיּוּתָא, אִית מִנְּהוֹן דְּלֵית לוֹן נְהוֹרָא כְּלָל, דְּכָל יוֹמֵיהוֹן אִינוּן בַּעֲנִיּוּתָא, וְאִית מִנְּהוֹן דְּאִית לְהוֹן נְהוֹרָא כָּל יוֹמֵיהוֹן וְאִינוּן בְּעוּתְרָא, וְאִית מִנְּהוֹן דִּלְזִמְנִין אִית לוֹן נְהוֹרָא וּלְזִמְנִין חֲשׁוֹכָא, אִלֵּין אִינוּן דְּאִתְיַילִּידוּ בְּאֶמְצָעִיתָא דְסִיהֲרָא בֵינוּנִיִּים, לְזִמְנִין אִית לוֹן עוּתְרָא וְסָלְקִין, וּלְזִמְנִין עֲנִיּוּתָא וְנָחֲתִין, וְאִית אָחֳרָנִין דְּעָבְדִין תּוֹלָדִין וּמַצְלִיחִין, וְאִית מִנְּהוֹן דְּלָא מַצְלִיחִין, וְאִית מִנְּהוֹן דְּמַצְלִיחִין </w:t>
      </w:r>
      <w:r>
        <w:rPr>
          <w:b w:val="0"/>
          <w:sz w:val="20"/>
          <w:szCs w:val="23"/>
          <w:rtl/>
        </w:rPr>
        <w:t>(נ''א צמחין)</w:t>
      </w:r>
      <w:r>
        <w:rPr>
          <w:b w:val="0"/>
          <w:bCs w:val="0"/>
          <w:rtl/>
        </w:rPr>
        <w:t xml:space="preserve"> עַד פַּלְגוּ יוֹמֵיהוֹן וּמַיְיתִין בְּקַצְרוּת יוֹמִין, אִלֵּין דְּאִתְיְלִידוּ בְּמִלּוּיָיא דְסִיהֲרָא אִינוּן צָמְחִין וְחַיִּין וּמַשְׁלִימִין כָּל יוֹמֵיהוֹן, וְאִינוּן דְּאִתְיְלִידוּ בְּחֶסְרוֹנָא דְסִיהֲרָא לָא צָמְחִין וּמַיְיתִין מִיָּד, וְאִינוּן דְּאִתְיְלִידוּ בְּאֶמְצָעִיתָא דְסִיהֲרָא מִתְקַצְּרִין בְּפַלְגוּת יוֹמֵיהוֹן.</w:t>
      </w:r>
    </w:p>
    <w:p w:rsidR="00602EF1" w:rsidRDefault="00602EF1" w:rsidP="00602EF1">
      <w:pPr>
        <w:pStyle w:val="NormalWeb"/>
        <w:rPr>
          <w:b w:val="0"/>
          <w:bCs w:val="0"/>
          <w:rtl/>
        </w:rPr>
      </w:pPr>
      <w:r>
        <w:rPr>
          <w:rStyle w:val="a7"/>
          <w:b w:val="0"/>
          <w:bCs w:val="0"/>
          <w:rtl/>
        </w:rPr>
        <w:footnoteReference w:id="4553"/>
      </w:r>
      <w:r>
        <w:rPr>
          <w:b w:val="0"/>
          <w:bCs w:val="0"/>
          <w:rtl/>
        </w:rPr>
        <w:t xml:space="preserve">וְאִית אַרְעִין דְּאִתְּמַר בְּהוֹן </w:t>
      </w:r>
      <w:r>
        <w:rPr>
          <w:b w:val="0"/>
          <w:sz w:val="20"/>
          <w:szCs w:val="23"/>
          <w:rtl/>
        </w:rPr>
        <w:t>(בראשית לז כד)</w:t>
      </w:r>
      <w:r>
        <w:rPr>
          <w:b w:val="0"/>
          <w:bCs w:val="0"/>
          <w:rtl/>
        </w:rPr>
        <w:t xml:space="preserve"> וְהַבּוֹר רֵק אֵין בּוֹ מָיִם, מַיִם אֵין בּוֹ אֲבָל נְחָשִׁים וְעַקְרַבִּים אִית בֵּיהּ, אוּף הָכִי אִית בִּרְיָין דְּאִינוּן עַמֵּי הָאָרֶץ, דְּבָתֵּיהוֹן מַלְיָין מַלְאֲכֵי חַבָּלָה, דְאִינוּן נְחָשִׁים וְעַקְרַבִּים וְנָשְׁכִין לוֹן בְּכַמָּה נִשּׁוּכִין דְּיִסּוּרִין, דְּאִינוּן גָּרְמוּ קֳדָם דְּיֵיתוּן לְעָלְמָא, </w:t>
      </w:r>
      <w:r>
        <w:rPr>
          <w:b w:val="0"/>
          <w:sz w:val="20"/>
          <w:szCs w:val="23"/>
          <w:rtl/>
        </w:rPr>
        <w:t>(בגין דייתו)</w:t>
      </w:r>
      <w:r>
        <w:rPr>
          <w:b w:val="0"/>
          <w:bCs w:val="0"/>
          <w:rtl/>
        </w:rPr>
        <w:t xml:space="preserve"> בְּגִלְגוּלָא בְּאִלֵּין גּוּפִים וּבְאִלֵּין בָּתִּים, וְכַד נָשְׁכִין לוֹן אִינוּן נְחָשִׁים וְעַקְרַבִּים בְּכַמָּה יִסּוּרִין אִינוּן צָוְוחִין וַוי וַוי, וְאִית לוֹן קְטָטָה לְכֻלְּהוּ בְּבֵיתָא, </w:t>
      </w:r>
      <w:r>
        <w:rPr>
          <w:rStyle w:val="a7"/>
          <w:b w:val="0"/>
          <w:bCs w:val="0"/>
          <w:rtl/>
        </w:rPr>
        <w:footnoteReference w:id="4554"/>
      </w:r>
      <w:r>
        <w:rPr>
          <w:b w:val="0"/>
          <w:bCs w:val="0"/>
          <w:rtl/>
        </w:rPr>
        <w:t xml:space="preserve">וְצָוְוחִין בְּאִלֵּין מָארֵי דְגֵיהִנָּם דְּנִדּוֹנִין בּוֹ, </w:t>
      </w:r>
      <w:r>
        <w:rPr>
          <w:rStyle w:val="a7"/>
          <w:b w:val="0"/>
          <w:bCs w:val="0"/>
          <w:rtl/>
        </w:rPr>
        <w:footnoteReference w:id="4555"/>
      </w:r>
      <w:r>
        <w:rPr>
          <w:b w:val="0"/>
          <w:bCs w:val="0"/>
          <w:rtl/>
        </w:rPr>
        <w:t>וְאִית אָחֳרָנִין דְּכָל יוֹמֵיהוֹן בְּחֶדְוָה וּבְשַׁלְוָה בְּלָא עֲצִיבוּ כְּלָל, מִכָּל מַה דְּאִתְרַבֵּי בְשִׁבְעָה אַרְעִין, וְאִתְדַנּוּ בְשִׁבְעָה מְדוֹרֵי גֵיהִנָּם, אִית בִּבְנֵי נָשָׁא כְּגַוְונָא דָא, וְחַכִּימֵי דְרָזִין אִלֵּין לוֹן אִתְמַסַּר לְמִנְדַּע.</w:t>
      </w:r>
    </w:p>
    <w:p w:rsidR="00602EF1" w:rsidRDefault="00602EF1" w:rsidP="00602EF1">
      <w:pPr>
        <w:pStyle w:val="a8"/>
        <w:spacing w:before="0" w:after="40"/>
        <w:rPr>
          <w:rtl/>
        </w:rPr>
      </w:pPr>
      <w:bookmarkStart w:id="295" w:name="_Toc228091343"/>
      <w:bookmarkStart w:id="296" w:name="_Toc231637982"/>
    </w:p>
    <w:p w:rsidR="00602EF1" w:rsidRDefault="00602EF1" w:rsidP="00602EF1">
      <w:pPr>
        <w:pStyle w:val="1"/>
        <w:rPr>
          <w:u w:val="single"/>
          <w:rtl/>
        </w:rPr>
      </w:pPr>
      <w:r>
        <w:rPr>
          <w:rtl/>
        </w:rPr>
        <w:t>תקונא שתין וחמש</w:t>
      </w:r>
      <w:bookmarkEnd w:id="295"/>
      <w:bookmarkEnd w:id="296"/>
    </w:p>
    <w:p w:rsidR="00602EF1" w:rsidRDefault="00602EF1" w:rsidP="00602EF1">
      <w:pPr>
        <w:spacing w:after="40" w:line="360" w:lineRule="atLeast"/>
        <w:ind w:left="144" w:right="144" w:firstLine="288"/>
        <w:jc w:val="both"/>
        <w:rPr>
          <w:rFonts w:ascii="Arial"/>
          <w:b/>
          <w:bCs/>
          <w:sz w:val="29"/>
          <w:szCs w:val="29"/>
          <w:rtl/>
        </w:rPr>
      </w:pPr>
      <w:r>
        <w:rPr>
          <w:rStyle w:val="a7"/>
          <w:rFonts w:ascii="Arial"/>
          <w:b/>
          <w:bCs/>
          <w:sz w:val="29"/>
          <w:szCs w:val="29"/>
          <w:rtl/>
        </w:rPr>
        <w:footnoteReference w:id="4556"/>
      </w:r>
      <w:r>
        <w:rPr>
          <w:rFonts w:ascii="Arial"/>
          <w:b/>
          <w:bCs/>
          <w:sz w:val="29"/>
          <w:szCs w:val="29"/>
          <w:rtl/>
        </w:rPr>
        <w:t xml:space="preserve">בְּרֵאשִׁית בָּ'רָ'א אֱ'לֹהִי'ם, רֵישֵׁי תֵיבִין וסוֹפֵי תֵיבִין א''ב וא''ם </w:t>
      </w:r>
      <w:r>
        <w:rPr>
          <w:rStyle w:val="a7"/>
          <w:rFonts w:ascii="Arial"/>
          <w:b/>
          <w:bCs/>
          <w:sz w:val="29"/>
          <w:szCs w:val="29"/>
          <w:rtl/>
        </w:rPr>
        <w:footnoteReference w:id="4557"/>
      </w:r>
      <w:r>
        <w:rPr>
          <w:rFonts w:ascii="Arial"/>
          <w:b/>
          <w:bCs/>
          <w:sz w:val="29"/>
          <w:szCs w:val="29"/>
          <w:rtl/>
        </w:rPr>
        <w:t xml:space="preserve">דְאִינוּן י''ה, תַּמָּן אֵם, וְרָזָא דְמִלָּה </w:t>
      </w:r>
      <w:r>
        <w:rPr>
          <w:rFonts w:ascii="Arial"/>
          <w:b/>
          <w:szCs w:val="23"/>
          <w:rtl/>
        </w:rPr>
        <w:t>(שם ג ב)</w:t>
      </w:r>
      <w:r>
        <w:rPr>
          <w:rFonts w:ascii="Arial"/>
          <w:b/>
          <w:bCs/>
          <w:sz w:val="29"/>
          <w:szCs w:val="29"/>
          <w:rtl/>
        </w:rPr>
        <w:t xml:space="preserve"> וַיִּקְרָא הָאָדָם שֵׁם אִשְׁתּוֹ חַוָּה כִּי הִיא הָיְתָה אֵם כָּל חָי, כְּגַוְונָא דְהַהִיא דְאִתְּמַר בָּהּ </w:t>
      </w:r>
      <w:r>
        <w:rPr>
          <w:rFonts w:ascii="Arial"/>
          <w:b/>
          <w:szCs w:val="23"/>
          <w:rtl/>
        </w:rPr>
        <w:t>(משלי ב ג)</w:t>
      </w:r>
      <w:r>
        <w:rPr>
          <w:rFonts w:ascii="Arial"/>
          <w:b/>
          <w:bCs/>
          <w:sz w:val="29"/>
          <w:szCs w:val="29"/>
          <w:rtl/>
        </w:rPr>
        <w:t xml:space="preserve"> כִּי אִם לַבִּינָה תִקְרָא, הַאי אֵם כָּל חָי </w:t>
      </w:r>
      <w:r>
        <w:rPr>
          <w:rStyle w:val="a7"/>
          <w:rFonts w:ascii="Arial"/>
          <w:b/>
          <w:bCs/>
          <w:sz w:val="29"/>
          <w:szCs w:val="29"/>
          <w:rtl/>
        </w:rPr>
        <w:footnoteReference w:id="4558"/>
      </w:r>
      <w:r>
        <w:rPr>
          <w:rFonts w:ascii="Arial"/>
          <w:b/>
          <w:bCs/>
          <w:sz w:val="29"/>
          <w:szCs w:val="29"/>
          <w:rtl/>
        </w:rPr>
        <w:t xml:space="preserve">לַאו אִיהִי כְאִתְּתָא קַדְמָאָה, דְאִתְּמַר בָּהּ </w:t>
      </w:r>
      <w:r>
        <w:rPr>
          <w:rFonts w:ascii="Arial"/>
          <w:b/>
          <w:szCs w:val="23"/>
          <w:rtl/>
        </w:rPr>
        <w:t>(בראשית ג יב)</w:t>
      </w:r>
      <w:r>
        <w:rPr>
          <w:rFonts w:ascii="Arial"/>
          <w:b/>
          <w:bCs/>
          <w:sz w:val="29"/>
          <w:szCs w:val="29"/>
          <w:rtl/>
        </w:rPr>
        <w:t xml:space="preserve"> הָאִשָּׁה אֲשֶׁר נָתַתָּ עִמָּדִי, דְגָרְמַת מִיתָה לְכָל עָלְמָא, דְּהָא </w:t>
      </w:r>
      <w:r>
        <w:rPr>
          <w:rStyle w:val="a7"/>
          <w:rFonts w:ascii="Arial"/>
          <w:b/>
          <w:bCs/>
          <w:sz w:val="29"/>
          <w:szCs w:val="29"/>
          <w:rtl/>
        </w:rPr>
        <w:footnoteReference w:id="4559"/>
      </w:r>
      <w:r>
        <w:rPr>
          <w:rFonts w:ascii="Arial"/>
          <w:b/>
          <w:bCs/>
          <w:sz w:val="29"/>
          <w:szCs w:val="29"/>
          <w:rtl/>
        </w:rPr>
        <w:t xml:space="preserve">אֵם כָּל חָי כְּתִיב בָּהּ, דְּאִתְּמַר בָּהּ </w:t>
      </w:r>
      <w:r>
        <w:rPr>
          <w:rFonts w:ascii="Arial"/>
          <w:b/>
          <w:szCs w:val="23"/>
          <w:rtl/>
        </w:rPr>
        <w:t>(קהלת ט ט)</w:t>
      </w:r>
      <w:r>
        <w:rPr>
          <w:rFonts w:ascii="Arial"/>
          <w:b/>
          <w:bCs/>
          <w:sz w:val="29"/>
          <w:szCs w:val="29"/>
          <w:rtl/>
        </w:rPr>
        <w:t xml:space="preserve"> רְאֵה חַיִּים עִם אִשָּׁה אֲשֶׁר אָהָבְתָּ.</w:t>
      </w:r>
    </w:p>
    <w:p w:rsidR="00602EF1" w:rsidRDefault="00602EF1" w:rsidP="00602EF1">
      <w:pPr>
        <w:pStyle w:val="aa"/>
        <w:spacing w:after="40"/>
        <w:rPr>
          <w:rtl/>
        </w:rPr>
      </w:pPr>
      <w:r>
        <w:rPr>
          <w:rtl/>
        </w:rPr>
        <w:t xml:space="preserve">[תיקוני זוהר - דף צט ע''ב] </w:t>
      </w:r>
    </w:p>
    <w:p w:rsidR="00602EF1" w:rsidRDefault="00602EF1" w:rsidP="00602EF1">
      <w:pPr>
        <w:spacing w:after="40" w:line="360" w:lineRule="atLeast"/>
        <w:ind w:left="144" w:right="144" w:firstLine="288"/>
        <w:jc w:val="both"/>
        <w:rPr>
          <w:rFonts w:ascii="Arial"/>
          <w:b/>
          <w:bCs/>
          <w:sz w:val="29"/>
          <w:szCs w:val="29"/>
          <w:rtl/>
        </w:rPr>
      </w:pPr>
      <w:r>
        <w:rPr>
          <w:rStyle w:val="a7"/>
          <w:rFonts w:ascii="Arial"/>
          <w:b/>
          <w:bCs/>
          <w:sz w:val="29"/>
          <w:szCs w:val="29"/>
          <w:rtl/>
        </w:rPr>
        <w:footnoteReference w:id="4560"/>
      </w:r>
      <w:r>
        <w:rPr>
          <w:rFonts w:ascii="Arial"/>
          <w:b/>
          <w:bCs/>
          <w:sz w:val="29"/>
          <w:szCs w:val="29"/>
          <w:rtl/>
        </w:rPr>
        <w:t xml:space="preserve">אָמַר לֵיהּ רַבִּי אֶלְעָזָר, וְכִי תְרֵין נְשִׁין הֲווֹ לֵיהּ, </w:t>
      </w:r>
      <w:r>
        <w:rPr>
          <w:rStyle w:val="a7"/>
          <w:rFonts w:ascii="Arial"/>
          <w:b/>
          <w:bCs/>
          <w:sz w:val="29"/>
          <w:szCs w:val="29"/>
          <w:rtl/>
        </w:rPr>
        <w:footnoteReference w:id="4561"/>
      </w:r>
      <w:r>
        <w:rPr>
          <w:rFonts w:ascii="Arial"/>
          <w:b/>
          <w:bCs/>
          <w:sz w:val="29"/>
          <w:szCs w:val="29"/>
          <w:rtl/>
        </w:rPr>
        <w:t xml:space="preserve">אָמַר לֵיהּ אִין, חַד יֵצֶר הַטּוֹב וְחַד יֵצֶר הָרָע, </w:t>
      </w:r>
      <w:r>
        <w:rPr>
          <w:rStyle w:val="a7"/>
          <w:rFonts w:ascii="Arial"/>
          <w:b/>
          <w:bCs/>
          <w:sz w:val="29"/>
          <w:szCs w:val="29"/>
          <w:rtl/>
        </w:rPr>
        <w:footnoteReference w:id="4562"/>
      </w:r>
      <w:r>
        <w:rPr>
          <w:rFonts w:ascii="Arial"/>
          <w:b/>
          <w:bCs/>
          <w:sz w:val="29"/>
          <w:szCs w:val="29"/>
          <w:rtl/>
        </w:rPr>
        <w:t xml:space="preserve">חֲדָא מִסִּטְרָא דְעֶצֶם תַּקִּיפָא דִינָא קַשְׁיָא, וַחֲדָא מִסִּטְרָא דְבִשְׂרָא, מִתַּמָּן אִינוּן רַכִּיכֵי לִבָּא, וְאִינוּן דְּגַרְמָא אִינוּן קְשֵׁי </w:t>
      </w:r>
      <w:r>
        <w:rPr>
          <w:b/>
          <w:szCs w:val="23"/>
          <w:rtl/>
        </w:rPr>
        <w:t xml:space="preserve">(דף צט ע''ב) </w:t>
      </w:r>
      <w:r>
        <w:rPr>
          <w:rFonts w:ascii="Arial"/>
          <w:b/>
          <w:bCs/>
          <w:sz w:val="29"/>
          <w:szCs w:val="29"/>
          <w:rtl/>
        </w:rPr>
        <w:t xml:space="preserve">קְדָל, </w:t>
      </w:r>
      <w:r>
        <w:rPr>
          <w:rStyle w:val="a7"/>
          <w:rFonts w:ascii="Arial"/>
          <w:b/>
          <w:bCs/>
          <w:sz w:val="29"/>
          <w:szCs w:val="29"/>
          <w:rtl/>
        </w:rPr>
        <w:footnoteReference w:id="4563"/>
      </w:r>
      <w:r>
        <w:rPr>
          <w:rFonts w:ascii="Arial"/>
          <w:b/>
          <w:bCs/>
          <w:sz w:val="29"/>
          <w:szCs w:val="29"/>
          <w:rtl/>
        </w:rPr>
        <w:t xml:space="preserve">וְעַל אִתְּתָא דְאִתְנְטִילַת מִגַּרְמָא אָמַר בֶּן סִירָא, גַרְמָא דְנָפִיל בְּחוּלָקָךְ טַב אוֹ בִישׁ גַּרְרֵיהּ, </w:t>
      </w:r>
      <w:r>
        <w:rPr>
          <w:rStyle w:val="a7"/>
          <w:rFonts w:ascii="Arial"/>
          <w:b/>
          <w:bCs/>
          <w:sz w:val="29"/>
          <w:szCs w:val="29"/>
          <w:rtl/>
        </w:rPr>
        <w:footnoteReference w:id="4564"/>
      </w:r>
      <w:r>
        <w:rPr>
          <w:rFonts w:ascii="Arial"/>
          <w:b/>
          <w:bCs/>
          <w:sz w:val="29"/>
          <w:szCs w:val="29"/>
          <w:rtl/>
        </w:rPr>
        <w:t>וְעַל אִתְּתָא דְגַרְמָא אָמַר אָדָם הָאִשָּׁה אֲשֶׁר נָתַתָּ עִמָּדִי, לָא קְרָא לָהּ אִתְּתֵיהּ, כְּגַוְונָא דְחַוָּה דְאִתְּמַר בָּהּ וַיִּקְרָא הָאָדָם שֵׁם אִשְׁתּוֹ חַוָּה, דְּאָחֳרָא שִׁפְחָה הֲוַת דְּמִסִּטְרָא דְעִץ הַדַּעַת טוֹב וָרָע, חֲדָא רַע וַחֲדָא טוֹב, וּמִסִּטְרָא דְעִץ הַחַיִּים תַּרְוַיְיהוּ חַיִּים.</w:t>
      </w:r>
    </w:p>
    <w:p w:rsidR="00602EF1" w:rsidRDefault="00602EF1" w:rsidP="00602EF1">
      <w:pPr>
        <w:pStyle w:val="NormalWeb"/>
        <w:rPr>
          <w:b w:val="0"/>
          <w:sz w:val="20"/>
          <w:szCs w:val="23"/>
          <w:rtl/>
        </w:rPr>
      </w:pPr>
      <w:r>
        <w:rPr>
          <w:b w:val="0"/>
          <w:bCs w:val="0"/>
          <w:rtl/>
        </w:rPr>
        <w:t xml:space="preserve">וּבְסִתְרֵי תּוֹרָה </w:t>
      </w:r>
      <w:r>
        <w:rPr>
          <w:rStyle w:val="a7"/>
          <w:b w:val="0"/>
          <w:bCs w:val="0"/>
          <w:rtl/>
        </w:rPr>
        <w:footnoteReference w:id="4565"/>
      </w:r>
      <w:r>
        <w:rPr>
          <w:b w:val="0"/>
          <w:bCs w:val="0"/>
          <w:rtl/>
        </w:rPr>
        <w:t xml:space="preserve">חַוָּה, ח' ו''ה, ח' חָכְמָה כֹּ''חַ מָ''ה, </w:t>
      </w:r>
      <w:r>
        <w:rPr>
          <w:rStyle w:val="a7"/>
          <w:b w:val="0"/>
          <w:bCs w:val="0"/>
          <w:rtl/>
        </w:rPr>
        <w:footnoteReference w:id="4566"/>
      </w:r>
      <w:r>
        <w:rPr>
          <w:b w:val="0"/>
          <w:bCs w:val="0"/>
          <w:rtl/>
        </w:rPr>
        <w:t xml:space="preserve">כְּלָלָא דִשְׁמָא קַדִּישָׁא, </w:t>
      </w:r>
      <w:r>
        <w:rPr>
          <w:rStyle w:val="a7"/>
          <w:b w:val="0"/>
          <w:bCs w:val="0"/>
          <w:rtl/>
        </w:rPr>
        <w:footnoteReference w:id="4567"/>
      </w:r>
      <w:r>
        <w:rPr>
          <w:b w:val="0"/>
          <w:bCs w:val="0"/>
          <w:rtl/>
        </w:rPr>
        <w:t xml:space="preserve">ח' אִיהִי כְגַוְונָא דְאִימָּא עִלָּאָה דְאִיהִי תְמִינָאָה לְעֶשֶׂר סְפִירָן מִתַּתָּא לְעִילָא, וְחָכְמָה בָּהּ אִשְׁתְּמוֹדָע, וַעֲלָהּ אִתְּמַר </w:t>
      </w:r>
      <w:r>
        <w:rPr>
          <w:b w:val="0"/>
          <w:sz w:val="20"/>
          <w:szCs w:val="23"/>
          <w:rtl/>
        </w:rPr>
        <w:t>(משלי ג ג)</w:t>
      </w:r>
      <w:r>
        <w:rPr>
          <w:b w:val="0"/>
          <w:bCs w:val="0"/>
          <w:rtl/>
        </w:rPr>
        <w:t xml:space="preserve"> עִץ חַיִּים הִיא לַמַּחֲזִיקִים בָּהּ, וּמִסִּטְרָא דִילָהּ וַיִּפַּח בְּאַפָּיו נִשְׁמַת חַיִּים </w:t>
      </w:r>
      <w:r>
        <w:rPr>
          <w:b w:val="0"/>
          <w:sz w:val="20"/>
          <w:szCs w:val="23"/>
          <w:rtl/>
        </w:rPr>
        <w:t>(בראשית ב ז)</w:t>
      </w:r>
      <w:r>
        <w:rPr>
          <w:b w:val="0"/>
          <w:szCs w:val="23"/>
          <w:rtl/>
        </w:rPr>
        <w:t xml:space="preserve">, </w:t>
      </w:r>
      <w:r>
        <w:rPr>
          <w:rStyle w:val="a7"/>
          <w:b w:val="0"/>
          <w:szCs w:val="23"/>
          <w:rtl/>
        </w:rPr>
        <w:footnoteReference w:id="4568"/>
      </w:r>
      <w:r>
        <w:rPr>
          <w:rStyle w:val="Char"/>
          <w:rtl/>
        </w:rPr>
        <w:t>וַעֲלָהּ אִתְּמַר</w:t>
      </w:r>
      <w:r>
        <w:rPr>
          <w:b w:val="0"/>
          <w:szCs w:val="23"/>
          <w:rtl/>
        </w:rPr>
        <w:t xml:space="preserve"> </w:t>
      </w:r>
      <w:r>
        <w:rPr>
          <w:b w:val="0"/>
          <w:sz w:val="20"/>
          <w:szCs w:val="23"/>
          <w:rtl/>
        </w:rPr>
        <w:t>(שם כג)</w:t>
      </w:r>
      <w:r>
        <w:rPr>
          <w:b w:val="0"/>
          <w:bCs w:val="0"/>
          <w:rtl/>
        </w:rPr>
        <w:t xml:space="preserve"> לְזֹאת יִקָּרֵא אִשָּׁה כִּי מֵאִישׁ לֻקֳחָה זֹּאת, וְלָא אָחֳרָא דְאִתְנְטִילַת מִגַּרְמָא, דְגַרִימַת לֵיהּ מִיתָה, </w:t>
      </w:r>
      <w:r>
        <w:rPr>
          <w:rStyle w:val="a7"/>
          <w:b w:val="0"/>
          <w:bCs w:val="0"/>
          <w:rtl/>
        </w:rPr>
        <w:footnoteReference w:id="4569"/>
      </w:r>
      <w:r>
        <w:rPr>
          <w:b w:val="0"/>
          <w:bCs w:val="0"/>
          <w:rtl/>
        </w:rPr>
        <w:t xml:space="preserve">דְהָא שִׁפְחָה גָרְמַת וַיֵּדְעוּ כִּי עִירֻמִּם הֵם </w:t>
      </w:r>
      <w:r>
        <w:rPr>
          <w:b w:val="0"/>
          <w:sz w:val="20"/>
          <w:szCs w:val="23"/>
          <w:rtl/>
        </w:rPr>
        <w:t>(שם ג ז)</w:t>
      </w:r>
      <w:r>
        <w:rPr>
          <w:b w:val="0"/>
          <w:szCs w:val="23"/>
          <w:rtl/>
        </w:rPr>
        <w:t xml:space="preserve">, </w:t>
      </w:r>
      <w:r>
        <w:rPr>
          <w:rStyle w:val="Char"/>
          <w:rtl/>
        </w:rPr>
        <w:t xml:space="preserve">וּבְגִין דָּא </w:t>
      </w:r>
      <w:r>
        <w:rPr>
          <w:b w:val="0"/>
          <w:sz w:val="20"/>
          <w:szCs w:val="23"/>
          <w:rtl/>
        </w:rPr>
        <w:t>(שם כא)</w:t>
      </w:r>
      <w:r>
        <w:rPr>
          <w:b w:val="0"/>
          <w:bCs w:val="0"/>
          <w:rtl/>
        </w:rPr>
        <w:t xml:space="preserve"> וַיַּעַשׂ יהו''ה אלהי''ם לְאָדָם וּלְאִשְׁתּוֹ כָּתְנוֹת עוֹר וַיַּלְבִּישֵׁם.</w:t>
      </w:r>
    </w:p>
    <w:p w:rsidR="00602EF1" w:rsidRDefault="00602EF1" w:rsidP="00602EF1">
      <w:pPr>
        <w:pStyle w:val="NormalWeb"/>
        <w:rPr>
          <w:b w:val="0"/>
          <w:bCs w:val="0"/>
          <w:rtl/>
        </w:rPr>
      </w:pPr>
      <w:r>
        <w:rPr>
          <w:b w:val="0"/>
          <w:bCs w:val="0"/>
          <w:rtl/>
        </w:rPr>
        <w:t xml:space="preserve">אָמַר לֵיהּ רַבִּי אֶלְעָזָר אַמַּאי אָמַר, בְּגִינָהּ כִּי מֵאִישׁ לֻקֳחָה זֹּאת </w:t>
      </w:r>
      <w:r>
        <w:rPr>
          <w:b w:val="0"/>
          <w:sz w:val="20"/>
          <w:szCs w:val="23"/>
          <w:rtl/>
        </w:rPr>
        <w:t>(בראשית ב כג)</w:t>
      </w:r>
      <w:r>
        <w:rPr>
          <w:b w:val="0"/>
          <w:bCs w:val="0"/>
          <w:rtl/>
        </w:rPr>
        <w:t xml:space="preserve">, כִּי מֵאָדָם הֲוָה לֵיהּ לְמֵימַר, אַמַּאי מֵאִישׁ, אֶלָּא מֵאִישׁ תַּמָּן אֵ''ם וְתַמָּן יֵ''שׁ, תַּמָּן יֵ''שׁ הֲדָא הוּא דִכְתִיב </w:t>
      </w:r>
      <w:r>
        <w:rPr>
          <w:b w:val="0"/>
          <w:sz w:val="20"/>
          <w:szCs w:val="23"/>
          <w:rtl/>
        </w:rPr>
        <w:t>(משלי ח כא)</w:t>
      </w:r>
      <w:r>
        <w:rPr>
          <w:b w:val="0"/>
          <w:bCs w:val="0"/>
          <w:rtl/>
        </w:rPr>
        <w:t xml:space="preserve"> לְהַנְחִיל אֹהֲבַי יֵשׁ, תַּמָּן אֵם כִּי אִם לַבִּינָה תִקְרָא </w:t>
      </w:r>
      <w:r>
        <w:rPr>
          <w:b w:val="0"/>
          <w:sz w:val="20"/>
          <w:szCs w:val="23"/>
          <w:rtl/>
        </w:rPr>
        <w:t>(שם ב ג)</w:t>
      </w:r>
      <w:r>
        <w:rPr>
          <w:b w:val="0"/>
          <w:bCs w:val="0"/>
          <w:rtl/>
        </w:rPr>
        <w:t xml:space="preserve">, וְאִינוּן אַבָּא וְאִימָּא חָכְמָה וּבִינָה, </w:t>
      </w:r>
      <w:r>
        <w:rPr>
          <w:rStyle w:val="a7"/>
          <w:b w:val="0"/>
          <w:bCs w:val="0"/>
          <w:rtl/>
        </w:rPr>
        <w:footnoteReference w:id="4570"/>
      </w:r>
      <w:r>
        <w:rPr>
          <w:b w:val="0"/>
          <w:bCs w:val="0"/>
          <w:rtl/>
        </w:rPr>
        <w:t>דְמִתַּמָּן אִתְנְטִילַת, וּבְגִין דָּא כִּי מֵאִישׁ לֻקֳחָה זֹּאת.</w:t>
      </w:r>
    </w:p>
    <w:p w:rsidR="00602EF1" w:rsidRDefault="00602EF1" w:rsidP="00602EF1">
      <w:pPr>
        <w:pStyle w:val="NormalWeb"/>
        <w:rPr>
          <w:b w:val="0"/>
          <w:bCs w:val="0"/>
          <w:rtl/>
        </w:rPr>
      </w:pPr>
      <w:r>
        <w:rPr>
          <w:b w:val="0"/>
          <w:bCs w:val="0"/>
          <w:rtl/>
        </w:rPr>
        <w:t xml:space="preserve">וְאִית לֵיהּ אָחֳרָא דְאִתְקְרִיאַת בַּת זוּגֵיהּ, הֲדָא הוּא דִכְתִיב </w:t>
      </w:r>
      <w:r>
        <w:rPr>
          <w:b w:val="0"/>
          <w:sz w:val="20"/>
          <w:szCs w:val="23"/>
          <w:rtl/>
        </w:rPr>
        <w:t>(בראשית ה ב)</w:t>
      </w:r>
      <w:r>
        <w:rPr>
          <w:b w:val="0"/>
          <w:bCs w:val="0"/>
          <w:rtl/>
        </w:rPr>
        <w:t xml:space="preserve"> זָכָר וּנְקֵבָה בְּרָאָם וַיְבָרֶךְ אֹתָם וַיִּקְרָא אֶת שְׁמָם אָדָם. תָּא חֲזִי אָדָם הָרִאשׁוֹן בְּדִיּוֹקְנָא דְיהו''ה אִתְבְּרִי, וּבְדִיּוֹקְנָא דְעֶשֶׂר סְפִירָאן דְּאִינוּן יו''ד ה''א וא''ו ה''א, מִסִּטְרָא דְיהו''ה, מִסִּטְרָא דְיו"ד אִתְקְרֵי אִישׁ, וּמִסִּטְרָא דְה' עִלָּאָה אֵם כָּל חָי, וּמִסִּטְרָא דְו''ה אִשָּׁה, וּמִסִּטְרָא דְיו''ד ה''א וא''ו ה''א חַוָּה אִתְקְרִיאַת אָדָם, </w:t>
      </w:r>
      <w:r>
        <w:rPr>
          <w:rStyle w:val="a7"/>
          <w:b w:val="0"/>
          <w:bCs w:val="0"/>
          <w:rtl/>
        </w:rPr>
        <w:footnoteReference w:id="4571"/>
      </w:r>
      <w:r>
        <w:rPr>
          <w:b w:val="0"/>
          <w:bCs w:val="0"/>
          <w:rtl/>
        </w:rPr>
        <w:t xml:space="preserve">וּבְכָל מַה דַּהֲוָה בְדִיּוֹקְנֵיהּ לָקָה. </w:t>
      </w:r>
    </w:p>
    <w:p w:rsidR="00602EF1" w:rsidRDefault="00602EF1" w:rsidP="00602EF1">
      <w:pPr>
        <w:pStyle w:val="a8"/>
        <w:spacing w:before="0" w:after="40"/>
        <w:rPr>
          <w:rtl/>
        </w:rPr>
      </w:pPr>
      <w:bookmarkStart w:id="297" w:name="_Toc228091344"/>
      <w:bookmarkStart w:id="298" w:name="_Toc231637983"/>
    </w:p>
    <w:p w:rsidR="00602EF1" w:rsidRDefault="00602EF1" w:rsidP="00602EF1">
      <w:pPr>
        <w:pStyle w:val="1"/>
        <w:rPr>
          <w:u w:val="single"/>
          <w:rtl/>
        </w:rPr>
      </w:pPr>
      <w:r>
        <w:rPr>
          <w:rtl/>
        </w:rPr>
        <w:t>תקונא שתין ושתא</w:t>
      </w:r>
      <w:bookmarkEnd w:id="297"/>
      <w:bookmarkEnd w:id="298"/>
    </w:p>
    <w:p w:rsidR="00602EF1" w:rsidRDefault="00602EF1" w:rsidP="00602EF1">
      <w:pPr>
        <w:spacing w:after="40" w:line="360" w:lineRule="atLeast"/>
        <w:ind w:left="144" w:right="144" w:firstLine="288"/>
        <w:jc w:val="both"/>
        <w:rPr>
          <w:rFonts w:ascii="Arial"/>
          <w:b/>
          <w:bCs/>
          <w:sz w:val="29"/>
          <w:szCs w:val="29"/>
          <w:rtl/>
        </w:rPr>
      </w:pPr>
      <w:r>
        <w:rPr>
          <w:rStyle w:val="a7"/>
          <w:rFonts w:ascii="Arial"/>
          <w:b/>
          <w:bCs/>
          <w:sz w:val="29"/>
          <w:szCs w:val="29"/>
          <w:rtl/>
        </w:rPr>
        <w:footnoteReference w:id="4572"/>
      </w:r>
      <w:r>
        <w:rPr>
          <w:rFonts w:ascii="Arial"/>
          <w:b/>
          <w:bCs/>
          <w:sz w:val="29"/>
          <w:szCs w:val="29"/>
          <w:rtl/>
        </w:rPr>
        <w:t xml:space="preserve">בְּרֵאשִׁית בָּרָא שִׁית, דָּא אָדָם דְּכָלִיל שִׁית, וְאִינוּן תְּרֵין שְׁפָחוֹת מִסִּטְרָא דְאִילָנָא דְטוֹב וָרָע עֶצֶם וּבָשָׂר, אִישׁ וְאִשָּׁה דְּאִתְּמַר בָּהּ </w:t>
      </w:r>
      <w:r>
        <w:rPr>
          <w:rFonts w:ascii="Arial"/>
          <w:b/>
          <w:szCs w:val="23"/>
          <w:rtl/>
        </w:rPr>
        <w:t>(בראשית ב כג)</w:t>
      </w:r>
      <w:r>
        <w:rPr>
          <w:rFonts w:ascii="Arial"/>
          <w:b/>
          <w:bCs/>
          <w:sz w:val="29"/>
          <w:szCs w:val="29"/>
          <w:rtl/>
        </w:rPr>
        <w:t xml:space="preserve"> כִּי מֵאִישׁ לֻקֳחָה זֹּאת, הָא אַרְבַּע, אָדָם זָכָר וּנְקֵבָה, הֲדָא הוּא דִכְתִיב זָכָר וּנְקֵבָה בְּרָאָם וְגוֹמֵר, הָא שִׁית, וּבְגִין דָּא </w:t>
      </w:r>
      <w:r>
        <w:rPr>
          <w:rFonts w:ascii="Arial"/>
          <w:b/>
          <w:szCs w:val="23"/>
          <w:rtl/>
        </w:rPr>
        <w:t>(שם ג כב)</w:t>
      </w:r>
      <w:r>
        <w:rPr>
          <w:rFonts w:ascii="Arial"/>
          <w:b/>
          <w:bCs/>
          <w:sz w:val="29"/>
          <w:szCs w:val="29"/>
          <w:rtl/>
        </w:rPr>
        <w:t xml:space="preserve"> וַיֹּאמֶר יהו''ה אלהי''ם הֵן הָאָדָם הָיָה כְּאַחַד מִמֶּנּוּ לָדַעַת טוֹב וָרָע וְגוֹמֵר, וְאוּקְמוּהוּ קַדְמָאִין כְּאַחַד מִמַּלְאֲכֵי הַשָּׁרֵת.</w:t>
      </w:r>
    </w:p>
    <w:p w:rsidR="00602EF1" w:rsidRDefault="00602EF1" w:rsidP="00602EF1">
      <w:pPr>
        <w:pStyle w:val="aa"/>
        <w:spacing w:after="40"/>
        <w:rPr>
          <w:rtl/>
        </w:rPr>
      </w:pPr>
      <w:r>
        <w:rPr>
          <w:rtl/>
        </w:rPr>
        <w:t xml:space="preserve">[תיקוני זוהר - דף ק ע''א] </w:t>
      </w:r>
    </w:p>
    <w:p w:rsidR="00602EF1" w:rsidRDefault="00602EF1" w:rsidP="00602EF1">
      <w:pPr>
        <w:spacing w:after="40" w:line="360" w:lineRule="atLeast"/>
        <w:ind w:left="144" w:right="144" w:firstLine="288"/>
        <w:jc w:val="both"/>
        <w:rPr>
          <w:rFonts w:ascii="Arial"/>
          <w:b/>
          <w:bCs/>
          <w:sz w:val="29"/>
          <w:szCs w:val="29"/>
          <w:rtl/>
        </w:rPr>
      </w:pPr>
      <w:r>
        <w:rPr>
          <w:rFonts w:ascii="Arial"/>
          <w:b/>
          <w:bCs/>
          <w:sz w:val="29"/>
          <w:szCs w:val="29"/>
          <w:rtl/>
        </w:rPr>
        <w:t xml:space="preserve">אַדְהָכִי הָא אֵלִיָּהוּ אִזְדַּמַּן לְגַבֵּיהּ וְאָמַר רַבִּי כְּאַחַד מֵהֶם הֲוָה לֵיהּ לְמֵימַר אִם עַל מַלְאֲכֵי הַשָּׁרֵת הֲוָה אָמַר, מַאי כְּאַחַד מִמֶּנּוּ, וְעוֹד הֵן אָדָם הֲוָה לֵיהּ לְמֵימַר, </w:t>
      </w:r>
      <w:r>
        <w:rPr>
          <w:rStyle w:val="a7"/>
          <w:rFonts w:ascii="Arial"/>
          <w:b/>
          <w:bCs/>
          <w:sz w:val="29"/>
          <w:szCs w:val="29"/>
          <w:rtl/>
        </w:rPr>
        <w:footnoteReference w:id="4573"/>
      </w:r>
      <w:r>
        <w:rPr>
          <w:rFonts w:ascii="Arial"/>
          <w:b/>
          <w:bCs/>
          <w:sz w:val="29"/>
          <w:szCs w:val="29"/>
          <w:rtl/>
        </w:rPr>
        <w:t>מַאי הָאָדָם בְּתוֹסֶפֶת ה"א, אֶלָּא ה"א דְּהָאָדָם הָיָה כְּאַחַד מִמֶּנּוּ, כְּחַד מֵאַרְבַּע אַתְוָון, יהו''ה דְּבֵּיהּ, דְא</w:t>
      </w:r>
      <w:r>
        <w:rPr>
          <w:rStyle w:val="Char"/>
          <w:rtl/>
        </w:rPr>
        <w:t>ִ</w:t>
      </w:r>
      <w:r>
        <w:rPr>
          <w:rFonts w:ascii="Arial"/>
          <w:b/>
          <w:bCs/>
          <w:sz w:val="29"/>
          <w:szCs w:val="29"/>
          <w:rtl/>
        </w:rPr>
        <w:t>יה</w:t>
      </w:r>
      <w:r>
        <w:rPr>
          <w:rStyle w:val="Char"/>
          <w:rtl/>
        </w:rPr>
        <w:t>ִ</w:t>
      </w:r>
      <w:r>
        <w:rPr>
          <w:rFonts w:ascii="Arial"/>
          <w:b/>
          <w:bCs/>
          <w:sz w:val="29"/>
          <w:szCs w:val="29"/>
          <w:rtl/>
        </w:rPr>
        <w:t>י ה"א דְא</w:t>
      </w:r>
      <w:r>
        <w:rPr>
          <w:rStyle w:val="Char"/>
          <w:rtl/>
        </w:rPr>
        <w:t>ִ</w:t>
      </w:r>
      <w:r>
        <w:rPr>
          <w:rFonts w:ascii="Arial"/>
          <w:b/>
          <w:bCs/>
          <w:sz w:val="29"/>
          <w:szCs w:val="29"/>
          <w:rtl/>
        </w:rPr>
        <w:t>שְׁתְּא</w:t>
      </w:r>
      <w:r>
        <w:rPr>
          <w:rStyle w:val="Char"/>
          <w:rtl/>
        </w:rPr>
        <w:t>ַ</w:t>
      </w:r>
      <w:r>
        <w:rPr>
          <w:rFonts w:ascii="Arial"/>
          <w:b/>
          <w:bCs/>
          <w:sz w:val="29"/>
          <w:szCs w:val="29"/>
          <w:rtl/>
        </w:rPr>
        <w:t>ר</w:t>
      </w:r>
      <w:r>
        <w:rPr>
          <w:rStyle w:val="Char"/>
          <w:rtl/>
        </w:rPr>
        <w:t>ַ</w:t>
      </w:r>
      <w:r>
        <w:rPr>
          <w:rFonts w:ascii="Arial"/>
          <w:b/>
          <w:bCs/>
          <w:sz w:val="29"/>
          <w:szCs w:val="29"/>
          <w:rtl/>
        </w:rPr>
        <w:t xml:space="preserve">ת יְחִידָא בֵּיהּ, וְעַתָּה פֶּן יִשְׁלַח יָדוֹ </w:t>
      </w:r>
      <w:r>
        <w:rPr>
          <w:rFonts w:ascii="Arial"/>
          <w:b/>
          <w:szCs w:val="23"/>
          <w:rtl/>
        </w:rPr>
        <w:t>(שם)</w:t>
      </w:r>
      <w:r>
        <w:rPr>
          <w:rFonts w:ascii="Arial"/>
          <w:b/>
          <w:sz w:val="29"/>
          <w:szCs w:val="23"/>
          <w:rtl/>
        </w:rPr>
        <w:t xml:space="preserve"> </w:t>
      </w:r>
      <w:r>
        <w:rPr>
          <w:rStyle w:val="Char"/>
          <w:rtl/>
        </w:rPr>
        <w:t>דָא יו"ד,</w:t>
      </w:r>
      <w:r>
        <w:rPr>
          <w:rFonts w:ascii="Arial"/>
          <w:b/>
          <w:sz w:val="29"/>
          <w:szCs w:val="23"/>
          <w:rtl/>
        </w:rPr>
        <w:t xml:space="preserve"> </w:t>
      </w:r>
      <w:r>
        <w:rPr>
          <w:rStyle w:val="Char"/>
          <w:rtl/>
        </w:rPr>
        <w:t>וְלָקַח גַּם מֵעֵץ הַחַיִּים</w:t>
      </w:r>
      <w:r>
        <w:rPr>
          <w:rFonts w:ascii="Arial"/>
          <w:b/>
          <w:sz w:val="29"/>
          <w:szCs w:val="23"/>
          <w:rtl/>
        </w:rPr>
        <w:t xml:space="preserve"> </w:t>
      </w:r>
      <w:r>
        <w:rPr>
          <w:rFonts w:ascii="Arial"/>
          <w:b/>
          <w:szCs w:val="23"/>
          <w:rtl/>
        </w:rPr>
        <w:t>(שם)</w:t>
      </w:r>
      <w:r>
        <w:rPr>
          <w:rFonts w:ascii="Arial"/>
          <w:b/>
          <w:sz w:val="29"/>
          <w:szCs w:val="23"/>
          <w:rtl/>
        </w:rPr>
        <w:t xml:space="preserve"> </w:t>
      </w:r>
      <w:r>
        <w:rPr>
          <w:rStyle w:val="Char"/>
          <w:rtl/>
        </w:rPr>
        <w:t>דָּא ה"א,</w:t>
      </w:r>
      <w:r>
        <w:rPr>
          <w:rFonts w:ascii="Arial"/>
          <w:b/>
          <w:sz w:val="29"/>
          <w:szCs w:val="23"/>
          <w:rtl/>
        </w:rPr>
        <w:t xml:space="preserve"> </w:t>
      </w:r>
      <w:r>
        <w:rPr>
          <w:rStyle w:val="Char"/>
          <w:rtl/>
        </w:rPr>
        <w:t>וְאָכַל וָחַי לְעוֹלָם</w:t>
      </w:r>
      <w:r>
        <w:rPr>
          <w:rFonts w:ascii="Arial"/>
          <w:b/>
          <w:sz w:val="29"/>
          <w:szCs w:val="23"/>
          <w:rtl/>
        </w:rPr>
        <w:t xml:space="preserve"> </w:t>
      </w:r>
      <w:r>
        <w:rPr>
          <w:rFonts w:ascii="Arial"/>
          <w:b/>
          <w:szCs w:val="23"/>
          <w:rtl/>
        </w:rPr>
        <w:t>(שם)</w:t>
      </w:r>
      <w:r>
        <w:rPr>
          <w:rFonts w:ascii="Arial"/>
          <w:b/>
          <w:bCs/>
          <w:sz w:val="29"/>
          <w:szCs w:val="29"/>
          <w:rtl/>
        </w:rPr>
        <w:t xml:space="preserve"> דָּא וא"ו, חַ"י וַדַּאי, כַּד ה"א הֲוַת בֵּיהּ, עָאלַת בֵּין טוֹב לָרָע, הֲדָא הוּא דִכְתִיב </w:t>
      </w:r>
      <w:r>
        <w:rPr>
          <w:rFonts w:ascii="Arial"/>
          <w:b/>
          <w:szCs w:val="23"/>
          <w:rtl/>
        </w:rPr>
        <w:t>(שם ב ז)</w:t>
      </w:r>
      <w:r>
        <w:rPr>
          <w:rFonts w:ascii="Arial"/>
          <w:b/>
          <w:bCs/>
          <w:sz w:val="29"/>
          <w:szCs w:val="29"/>
          <w:rtl/>
        </w:rPr>
        <w:t xml:space="preserve"> וַיִּיצֶר יהו''ה אלהי''ם אֶת הָאָדָם, תְּרֵין יְצִירוֹת טוֹב וָרָע, וְאִתְּמַר בְּהוֹן </w:t>
      </w:r>
      <w:r>
        <w:rPr>
          <w:rFonts w:ascii="Arial"/>
          <w:b/>
          <w:szCs w:val="23"/>
          <w:rtl/>
        </w:rPr>
        <w:t>(שם)</w:t>
      </w:r>
      <w:r>
        <w:rPr>
          <w:rFonts w:ascii="Arial"/>
          <w:b/>
          <w:bCs/>
          <w:sz w:val="29"/>
          <w:szCs w:val="29"/>
          <w:rtl/>
        </w:rPr>
        <w:t xml:space="preserve"> ו</w:t>
      </w:r>
      <w:r>
        <w:rPr>
          <w:rStyle w:val="Char"/>
          <w:rtl/>
        </w:rPr>
        <w:t>ַ</w:t>
      </w:r>
      <w:r>
        <w:rPr>
          <w:rFonts w:ascii="Arial"/>
          <w:b/>
          <w:bCs/>
          <w:sz w:val="29"/>
          <w:szCs w:val="29"/>
          <w:rtl/>
        </w:rPr>
        <w:t>י</w:t>
      </w:r>
      <w:r>
        <w:rPr>
          <w:rStyle w:val="Char"/>
          <w:rtl/>
        </w:rPr>
        <w:t>ִ</w:t>
      </w:r>
      <w:r>
        <w:rPr>
          <w:rFonts w:ascii="Arial"/>
          <w:b/>
          <w:bCs/>
          <w:sz w:val="29"/>
          <w:szCs w:val="29"/>
          <w:rtl/>
        </w:rPr>
        <w:t>פּ</w:t>
      </w:r>
      <w:r>
        <w:rPr>
          <w:rStyle w:val="Char"/>
          <w:rtl/>
        </w:rPr>
        <w:t>ַ</w:t>
      </w:r>
      <w:r>
        <w:rPr>
          <w:rFonts w:ascii="Arial"/>
          <w:b/>
          <w:bCs/>
          <w:sz w:val="29"/>
          <w:szCs w:val="29"/>
          <w:rtl/>
        </w:rPr>
        <w:t>ח בְּאֲפּ</w:t>
      </w:r>
      <w:r>
        <w:rPr>
          <w:rStyle w:val="Char"/>
          <w:rtl/>
        </w:rPr>
        <w:t>ָ</w:t>
      </w:r>
      <w:r>
        <w:rPr>
          <w:rFonts w:ascii="Arial"/>
          <w:b/>
          <w:bCs/>
          <w:sz w:val="29"/>
          <w:szCs w:val="29"/>
          <w:rtl/>
        </w:rPr>
        <w:t>יו נ</w:t>
      </w:r>
      <w:r>
        <w:rPr>
          <w:rStyle w:val="Char"/>
          <w:rtl/>
        </w:rPr>
        <w:t>ִ</w:t>
      </w:r>
      <w:r>
        <w:rPr>
          <w:rFonts w:ascii="Arial"/>
          <w:b/>
          <w:bCs/>
          <w:sz w:val="29"/>
          <w:szCs w:val="29"/>
          <w:rtl/>
        </w:rPr>
        <w:t>שְׁמ</w:t>
      </w:r>
      <w:r>
        <w:rPr>
          <w:rStyle w:val="Char"/>
          <w:rtl/>
        </w:rPr>
        <w:t>ַ</w:t>
      </w:r>
      <w:r>
        <w:rPr>
          <w:rFonts w:ascii="Arial"/>
          <w:b/>
          <w:bCs/>
          <w:sz w:val="29"/>
          <w:szCs w:val="29"/>
          <w:rtl/>
        </w:rPr>
        <w:t>ת ח</w:t>
      </w:r>
      <w:r>
        <w:rPr>
          <w:rStyle w:val="Char"/>
          <w:rtl/>
        </w:rPr>
        <w:t>ַ</w:t>
      </w:r>
      <w:r>
        <w:rPr>
          <w:rFonts w:ascii="Arial"/>
          <w:b/>
          <w:bCs/>
          <w:sz w:val="29"/>
          <w:szCs w:val="29"/>
          <w:rtl/>
        </w:rPr>
        <w:t>יּ</w:t>
      </w:r>
      <w:r>
        <w:rPr>
          <w:rStyle w:val="Char"/>
          <w:rtl/>
        </w:rPr>
        <w:t>ִ</w:t>
      </w:r>
      <w:r>
        <w:rPr>
          <w:rFonts w:ascii="Arial"/>
          <w:b/>
          <w:bCs/>
          <w:sz w:val="29"/>
          <w:szCs w:val="29"/>
          <w:rtl/>
        </w:rPr>
        <w:t>ים, וְד</w:t>
      </w:r>
      <w:r>
        <w:rPr>
          <w:rStyle w:val="Char"/>
          <w:rtl/>
        </w:rPr>
        <w:t>ָ</w:t>
      </w:r>
      <w:r>
        <w:rPr>
          <w:rFonts w:ascii="Arial"/>
          <w:b/>
          <w:bCs/>
          <w:sz w:val="29"/>
          <w:szCs w:val="29"/>
          <w:rtl/>
        </w:rPr>
        <w:t>א ה"א, ל</w:t>
      </w:r>
      <w:r>
        <w:rPr>
          <w:rStyle w:val="Char"/>
          <w:rtl/>
        </w:rPr>
        <w:t>ָ</w:t>
      </w:r>
      <w:r>
        <w:rPr>
          <w:rFonts w:ascii="Arial"/>
          <w:b/>
          <w:bCs/>
          <w:sz w:val="29"/>
          <w:szCs w:val="29"/>
          <w:rtl/>
        </w:rPr>
        <w:t>ד</w:t>
      </w:r>
      <w:r>
        <w:rPr>
          <w:rStyle w:val="Char"/>
          <w:rtl/>
        </w:rPr>
        <w:t>ַ</w:t>
      </w:r>
      <w:r>
        <w:rPr>
          <w:rFonts w:ascii="Arial"/>
          <w:b/>
          <w:bCs/>
          <w:sz w:val="29"/>
          <w:szCs w:val="29"/>
          <w:rtl/>
        </w:rPr>
        <w:t>ע</w:t>
      </w:r>
      <w:r>
        <w:rPr>
          <w:rStyle w:val="Char"/>
          <w:rtl/>
        </w:rPr>
        <w:t>ַ</w:t>
      </w:r>
      <w:r>
        <w:rPr>
          <w:rFonts w:ascii="Arial"/>
          <w:b/>
          <w:bCs/>
          <w:sz w:val="29"/>
          <w:szCs w:val="29"/>
          <w:rtl/>
        </w:rPr>
        <w:t>ת טוֹב וָרָע, לְמִנְדַּע מַה דַּהֲווֹ גָרְמִין לְמֶעֱבַד, וּבְגִין דָּא עָאלַת בֵּינַיְיהוּ, בּ</w:t>
      </w:r>
      <w:r>
        <w:rPr>
          <w:rStyle w:val="Char"/>
          <w:rtl/>
        </w:rPr>
        <w:t>ָ</w:t>
      </w:r>
      <w:r>
        <w:rPr>
          <w:rFonts w:ascii="Arial"/>
          <w:b/>
          <w:bCs/>
          <w:sz w:val="29"/>
          <w:szCs w:val="29"/>
          <w:rtl/>
        </w:rPr>
        <w:t>ת</w:t>
      </w:r>
      <w:r>
        <w:rPr>
          <w:rStyle w:val="Char"/>
          <w:rtl/>
        </w:rPr>
        <w:t>ַ</w:t>
      </w:r>
      <w:r>
        <w:rPr>
          <w:rFonts w:ascii="Arial"/>
          <w:b/>
          <w:bCs/>
          <w:sz w:val="29"/>
          <w:szCs w:val="29"/>
          <w:rtl/>
        </w:rPr>
        <w:t>ר דְח</w:t>
      </w:r>
      <w:r>
        <w:rPr>
          <w:rStyle w:val="Char"/>
          <w:rtl/>
        </w:rPr>
        <w:t>ַ</w:t>
      </w:r>
      <w:r>
        <w:rPr>
          <w:rFonts w:ascii="Arial"/>
          <w:b/>
          <w:bCs/>
          <w:sz w:val="29"/>
          <w:szCs w:val="29"/>
          <w:rtl/>
        </w:rPr>
        <w:t>אב א</w:t>
      </w:r>
      <w:r>
        <w:rPr>
          <w:rStyle w:val="Char"/>
          <w:rtl/>
        </w:rPr>
        <w:t>ָ</w:t>
      </w:r>
      <w:r>
        <w:rPr>
          <w:rFonts w:ascii="Arial"/>
          <w:b/>
          <w:bCs/>
          <w:sz w:val="29"/>
          <w:szCs w:val="29"/>
          <w:rtl/>
        </w:rPr>
        <w:t>ד</w:t>
      </w:r>
      <w:r>
        <w:rPr>
          <w:rStyle w:val="Char"/>
          <w:rtl/>
        </w:rPr>
        <w:t>ָ</w:t>
      </w:r>
      <w:r>
        <w:rPr>
          <w:rFonts w:ascii="Arial"/>
          <w:b/>
          <w:bCs/>
          <w:sz w:val="29"/>
          <w:szCs w:val="29"/>
          <w:rtl/>
        </w:rPr>
        <w:t>ם ד</w:t>
      </w:r>
      <w:r>
        <w:rPr>
          <w:rStyle w:val="Char"/>
          <w:rtl/>
        </w:rPr>
        <w:t>ִ</w:t>
      </w:r>
      <w:r>
        <w:rPr>
          <w:rFonts w:ascii="Arial"/>
          <w:b/>
          <w:bCs/>
          <w:sz w:val="29"/>
          <w:szCs w:val="29"/>
          <w:rtl/>
        </w:rPr>
        <w:t>יְצ</w:t>
      </w:r>
      <w:r>
        <w:rPr>
          <w:rStyle w:val="Char"/>
          <w:rtl/>
        </w:rPr>
        <w:t>ִ</w:t>
      </w:r>
      <w:r>
        <w:rPr>
          <w:rFonts w:ascii="Arial"/>
          <w:b/>
          <w:bCs/>
          <w:sz w:val="29"/>
          <w:szCs w:val="29"/>
          <w:rtl/>
        </w:rPr>
        <w:t>יר</w:t>
      </w:r>
      <w:r>
        <w:rPr>
          <w:rStyle w:val="Char"/>
          <w:rtl/>
        </w:rPr>
        <w:t>ָ</w:t>
      </w:r>
      <w:r>
        <w:rPr>
          <w:rFonts w:ascii="Arial"/>
          <w:b/>
          <w:bCs/>
          <w:sz w:val="29"/>
          <w:szCs w:val="29"/>
          <w:rtl/>
        </w:rPr>
        <w:t>ה א</w:t>
      </w:r>
      <w:r>
        <w:rPr>
          <w:rStyle w:val="Char"/>
          <w:rtl/>
        </w:rPr>
        <w:t>ִ</w:t>
      </w:r>
      <w:r>
        <w:rPr>
          <w:rFonts w:ascii="Arial"/>
          <w:b/>
          <w:bCs/>
          <w:sz w:val="29"/>
          <w:szCs w:val="29"/>
          <w:rtl/>
        </w:rPr>
        <w:t>תְפְּר</w:t>
      </w:r>
      <w:r>
        <w:rPr>
          <w:rStyle w:val="Char"/>
          <w:rtl/>
        </w:rPr>
        <w:t>ָ</w:t>
      </w:r>
      <w:r>
        <w:rPr>
          <w:rFonts w:ascii="Arial"/>
          <w:b/>
          <w:bCs/>
          <w:sz w:val="29"/>
          <w:szCs w:val="29"/>
          <w:rtl/>
        </w:rPr>
        <w:t>ש</w:t>
      </w:r>
      <w:r>
        <w:rPr>
          <w:rStyle w:val="Char"/>
          <w:rtl/>
        </w:rPr>
        <w:t>ַ</w:t>
      </w:r>
      <w:r>
        <w:rPr>
          <w:rFonts w:ascii="Arial"/>
          <w:b/>
          <w:bCs/>
          <w:sz w:val="29"/>
          <w:szCs w:val="29"/>
          <w:rtl/>
        </w:rPr>
        <w:t>ת ה' ע</w:t>
      </w:r>
      <w:r>
        <w:rPr>
          <w:rStyle w:val="Char"/>
          <w:rtl/>
        </w:rPr>
        <w:t>ִ</w:t>
      </w:r>
      <w:r>
        <w:rPr>
          <w:rFonts w:ascii="Arial"/>
          <w:b/>
          <w:bCs/>
          <w:sz w:val="29"/>
          <w:szCs w:val="29"/>
          <w:rtl/>
        </w:rPr>
        <w:t>ל</w:t>
      </w:r>
      <w:r>
        <w:rPr>
          <w:rStyle w:val="Char"/>
          <w:rtl/>
        </w:rPr>
        <w:t>ָ</w:t>
      </w:r>
      <w:r>
        <w:rPr>
          <w:rFonts w:ascii="Arial"/>
          <w:b/>
          <w:bCs/>
          <w:sz w:val="29"/>
          <w:szCs w:val="29"/>
          <w:rtl/>
        </w:rPr>
        <w:t>א</w:t>
      </w:r>
      <w:r>
        <w:rPr>
          <w:rStyle w:val="Char"/>
          <w:rtl/>
        </w:rPr>
        <w:t>ָ</w:t>
      </w:r>
      <w:r>
        <w:rPr>
          <w:rFonts w:ascii="Arial"/>
          <w:b/>
          <w:bCs/>
          <w:sz w:val="29"/>
          <w:szCs w:val="29"/>
          <w:rtl/>
        </w:rPr>
        <w:t>ה וְא</w:t>
      </w:r>
      <w:r>
        <w:rPr>
          <w:rStyle w:val="Char"/>
          <w:rtl/>
        </w:rPr>
        <w:t>ִ</w:t>
      </w:r>
      <w:r>
        <w:rPr>
          <w:rFonts w:ascii="Arial"/>
          <w:b/>
          <w:bCs/>
          <w:sz w:val="29"/>
          <w:szCs w:val="29"/>
          <w:rtl/>
        </w:rPr>
        <w:t>סְתּ</w:t>
      </w:r>
      <w:r>
        <w:rPr>
          <w:rStyle w:val="Char"/>
          <w:rtl/>
        </w:rPr>
        <w:t>ַ</w:t>
      </w:r>
      <w:r>
        <w:rPr>
          <w:rFonts w:ascii="Arial"/>
          <w:b/>
          <w:bCs/>
          <w:sz w:val="29"/>
          <w:szCs w:val="29"/>
          <w:rtl/>
        </w:rPr>
        <w:t>לְק</w:t>
      </w:r>
      <w:r>
        <w:rPr>
          <w:rStyle w:val="Char"/>
          <w:rtl/>
        </w:rPr>
        <w:t>ַ</w:t>
      </w:r>
      <w:r>
        <w:rPr>
          <w:rFonts w:ascii="Arial"/>
          <w:b/>
          <w:bCs/>
          <w:sz w:val="29"/>
          <w:szCs w:val="29"/>
          <w:rtl/>
        </w:rPr>
        <w:t>ת מ</w:t>
      </w:r>
      <w:r>
        <w:rPr>
          <w:rStyle w:val="Char"/>
          <w:rtl/>
        </w:rPr>
        <w:t>ִ</w:t>
      </w:r>
      <w:r>
        <w:rPr>
          <w:rFonts w:ascii="Arial"/>
          <w:b/>
          <w:bCs/>
          <w:sz w:val="29"/>
          <w:szCs w:val="29"/>
          <w:rtl/>
        </w:rPr>
        <w:t xml:space="preserve">נֵּיה, וּבְגִין דְּלָא אִתְחַזְרַת לְגַבֵּיהּ, הֲדָא הוּא דִכְתִיב </w:t>
      </w:r>
      <w:r>
        <w:rPr>
          <w:rFonts w:ascii="Arial"/>
          <w:b/>
          <w:szCs w:val="23"/>
          <w:rtl/>
        </w:rPr>
        <w:t>(שם ג כב)</w:t>
      </w:r>
      <w:r>
        <w:rPr>
          <w:rFonts w:ascii="Arial"/>
          <w:b/>
          <w:bCs/>
          <w:sz w:val="29"/>
          <w:szCs w:val="29"/>
          <w:rtl/>
        </w:rPr>
        <w:t xml:space="preserve"> וְלָקַח גַּם מֵעֵץ הַחַיִּים וְאָכַל וָחַי לְעוֹלָם, כְּתִיב בֵּיהּ וַיְשַׁלְּחֵהוּ יהו''ה אלהי''ם מִגַּן עִדֶן </w:t>
      </w:r>
      <w:r>
        <w:rPr>
          <w:rFonts w:ascii="Arial"/>
          <w:b/>
          <w:szCs w:val="23"/>
          <w:rtl/>
        </w:rPr>
        <w:t>(שם ג כג)</w:t>
      </w:r>
      <w:r>
        <w:rPr>
          <w:rFonts w:ascii="Arial"/>
          <w:b/>
          <w:bCs/>
          <w:sz w:val="29"/>
          <w:szCs w:val="29"/>
          <w:rtl/>
        </w:rPr>
        <w:t xml:space="preserve"> לַעֲבוֹד אֶת הָאֲדָמָה אֲשֶׁר לֻקַּח מִשָּׁם, הַהוּא דְאִתְּמַר בֵּיהּ </w:t>
      </w:r>
      <w:r>
        <w:rPr>
          <w:rFonts w:ascii="Arial"/>
          <w:b/>
          <w:szCs w:val="23"/>
          <w:rtl/>
        </w:rPr>
        <w:t>(שם ב ז)</w:t>
      </w:r>
      <w:r>
        <w:rPr>
          <w:rFonts w:ascii="Arial"/>
          <w:b/>
          <w:bCs/>
          <w:sz w:val="29"/>
          <w:szCs w:val="29"/>
          <w:rtl/>
        </w:rPr>
        <w:t xml:space="preserve"> וַיִּיצֶר יהו''ה אלהי''ם אֶת הָאָדָם עָפָר מִן הָאֲדָמָה דְּלָא הֲוָה כְדַאי לְמֶהֱוֵי בְגִנְּתָא דְאוֹרַיְיתָא, כֵּיוָן דְּלָא נָטִיר בָּהּ עֵץ הַדַּעַת טוֹב וָרָע בְּאִסּוּר וְהֶתֵּר, וְעָבַר </w:t>
      </w:r>
      <w:r>
        <w:rPr>
          <w:b/>
          <w:szCs w:val="23"/>
          <w:rtl/>
        </w:rPr>
        <w:t xml:space="preserve">(דף ק ע''א) </w:t>
      </w:r>
      <w:r>
        <w:rPr>
          <w:rFonts w:ascii="Arial"/>
          <w:b/>
          <w:bCs/>
          <w:sz w:val="29"/>
          <w:szCs w:val="29"/>
          <w:rtl/>
        </w:rPr>
        <w:t xml:space="preserve">עַל מֵימְרָא דְמָארֵיהּ, דְּאִם הֲוָה נָטִיר דְּלָא עָבַר עַל מֵימְרָא דְמָארֵיהּ, וְלָקַח גַּם מֵעֵץ הַחַיִּים </w:t>
      </w:r>
      <w:r>
        <w:rPr>
          <w:rStyle w:val="a7"/>
          <w:rFonts w:ascii="Arial"/>
          <w:b/>
          <w:bCs/>
          <w:sz w:val="29"/>
          <w:szCs w:val="29"/>
          <w:rtl/>
        </w:rPr>
        <w:footnoteReference w:id="4574"/>
      </w:r>
      <w:r>
        <w:rPr>
          <w:rFonts w:ascii="Arial"/>
          <w:b/>
          <w:bCs/>
          <w:sz w:val="29"/>
          <w:szCs w:val="29"/>
          <w:rtl/>
        </w:rPr>
        <w:t xml:space="preserve">דְּאִתְּמַר בָּהּ </w:t>
      </w:r>
      <w:r>
        <w:rPr>
          <w:rFonts w:ascii="Arial"/>
          <w:b/>
          <w:szCs w:val="23"/>
          <w:rtl/>
        </w:rPr>
        <w:t>(משלי יג יד)</w:t>
      </w:r>
      <w:r>
        <w:rPr>
          <w:rFonts w:ascii="Arial"/>
          <w:b/>
          <w:bCs/>
          <w:sz w:val="29"/>
          <w:szCs w:val="29"/>
          <w:rtl/>
        </w:rPr>
        <w:t xml:space="preserve"> תּוֹרַת חָכָם מְקוֹר חַיִּים לָסוּר מִמּוֹקְשֵׁי מָוְת, עֵץ חַיִּים הִיא לַמַּחֲזִיקִים בָּהּ </w:t>
      </w:r>
      <w:r>
        <w:rPr>
          <w:rFonts w:ascii="Arial"/>
          <w:b/>
          <w:szCs w:val="23"/>
          <w:rtl/>
        </w:rPr>
        <w:t>(שם ג יח)</w:t>
      </w:r>
      <w:r>
        <w:rPr>
          <w:rFonts w:ascii="Arial"/>
          <w:b/>
          <w:bCs/>
          <w:sz w:val="29"/>
          <w:szCs w:val="29"/>
          <w:rtl/>
        </w:rPr>
        <w:t xml:space="preserve">, </w:t>
      </w:r>
      <w:r>
        <w:rPr>
          <w:rStyle w:val="a7"/>
          <w:rFonts w:ascii="Arial"/>
          <w:b/>
          <w:bCs/>
          <w:sz w:val="29"/>
          <w:szCs w:val="29"/>
          <w:rtl/>
        </w:rPr>
        <w:footnoteReference w:id="4575"/>
      </w:r>
      <w:r>
        <w:rPr>
          <w:rFonts w:ascii="Arial"/>
          <w:b/>
          <w:bCs/>
          <w:sz w:val="29"/>
          <w:szCs w:val="29"/>
          <w:rtl/>
        </w:rPr>
        <w:t>וְדָא אִיהוּ וְלָקַח גַּם מֵעֵץ הַחַיִּים וְאָכַל וָחַי לְעוֹלָם.</w:t>
      </w:r>
    </w:p>
    <w:p w:rsidR="00602EF1" w:rsidRDefault="00602EF1" w:rsidP="00602EF1">
      <w:pPr>
        <w:spacing w:after="40" w:line="360" w:lineRule="atLeast"/>
        <w:ind w:left="144" w:right="144" w:firstLine="288"/>
        <w:jc w:val="both"/>
        <w:rPr>
          <w:rFonts w:ascii="Arial"/>
          <w:b/>
          <w:bCs/>
          <w:sz w:val="29"/>
          <w:szCs w:val="29"/>
          <w:rtl/>
        </w:rPr>
      </w:pPr>
      <w:r>
        <w:rPr>
          <w:rStyle w:val="a7"/>
          <w:rFonts w:ascii="Arial"/>
          <w:b/>
          <w:bCs/>
          <w:sz w:val="29"/>
          <w:szCs w:val="29"/>
          <w:rtl/>
        </w:rPr>
        <w:footnoteReference w:id="4576"/>
      </w:r>
      <w:r>
        <w:rPr>
          <w:rFonts w:ascii="Arial"/>
          <w:b/>
          <w:bCs/>
          <w:sz w:val="29"/>
          <w:szCs w:val="29"/>
          <w:rtl/>
        </w:rPr>
        <w:t xml:space="preserve">וְעוֹד הֵן הָאָדָם הָיָה כְּאַחַד מִמֶּנּוּ, אָמְרוּ מַלְאָכִין קַדִּישִׁין בְּגִין לְמֶהֱוִי אִיהוּ כְּאַחַד מִינָנָא כְּמָא דְאָמַר חִוְיָא </w:t>
      </w:r>
      <w:r>
        <w:rPr>
          <w:rFonts w:ascii="Arial"/>
          <w:b/>
          <w:szCs w:val="23"/>
          <w:rtl/>
        </w:rPr>
        <w:t>(בראשית ג ה)</w:t>
      </w:r>
      <w:r>
        <w:rPr>
          <w:rFonts w:ascii="Arial"/>
          <w:b/>
          <w:bCs/>
          <w:sz w:val="29"/>
          <w:szCs w:val="29"/>
          <w:rtl/>
        </w:rPr>
        <w:t xml:space="preserve"> וִהְיִיתֶם כֵּאלֹהִי''ם יוֹדְעִי טוֹב וָרָע, וְדָא אִיהוּ לָדַעַת טוֹב וָרָע, דָּא גְרִים לֵיהּ מוֹתָא, דְּאִם זָכָה לְמֵיכַל מֵאִילָנָא דְחַיֵּי דְאִיהוּ עִץ חַיִּים הִיא לַמַּחֲזִיקִים בָּהּ, מַה כְּתִיב בָּהּ וְלָקַח גַּם מֵעִץ הַחַיִּים וְגוֹמֵר, גַּם לְרַבּוֹת נוּקְבָא, אִיבָּא דְאִילָנָא, פְּרִי צַדִּיק.</w:t>
      </w:r>
    </w:p>
    <w:p w:rsidR="00602EF1" w:rsidRDefault="00602EF1" w:rsidP="00602EF1">
      <w:pPr>
        <w:pStyle w:val="NormalWeb"/>
        <w:rPr>
          <w:b w:val="0"/>
          <w:bCs w:val="0"/>
          <w:rtl/>
        </w:rPr>
      </w:pPr>
      <w:r>
        <w:rPr>
          <w:b w:val="0"/>
          <w:bCs w:val="0"/>
          <w:rtl/>
        </w:rPr>
        <w:t xml:space="preserve">אָמַר רַבִּי שִׁמְעוֹן וַוי לוֹן לְאִינוּן דְּמַנִּיחִין לְאִשְׁתַּדְלָא בְּאוֹרַיְיתָא דְאִתְּמַר בָּהּ וְלָקַח גַּם מֵעִץ הַחַיִּים, וּבְפִקּוּדִין דִּילָהּ דְּאִינוּן אִיבָּא דְאִילָנָא דְאִתְּמַר בֵּיהּ וְאָכַל וָחַי לְעוֹלָם, וְאָזְלִין בָּתַר אִלֵּין דִּמְפַתֵּי לוֹן מִסִּטְרָא דְנָחָשׁ הַקַּדְמוֹנִי, דְאָמְרֵי לוֹן הִשְׁתַּדְלוּן בְּמַלְאָכַיָּא דִמְמַנָּן עַל כֹּכְבַיָּא וְשִׁמְשָׁא וְסִיהֲרָא, וְעַל אִלֵּין דִּמְמַנָּן עַל רוּחִין וְשֵׁדִין, לְמֶהֱוִי כֵאלֹהִי''ם יוֹדְעִי טוֹב וָרָע, וַעֲלַיְיהוּ </w:t>
      </w:r>
      <w:r>
        <w:rPr>
          <w:rStyle w:val="Char"/>
          <w:rtl/>
        </w:rPr>
        <w:t>אִתְּמַר,</w:t>
      </w:r>
      <w:r>
        <w:rPr>
          <w:b w:val="0"/>
          <w:szCs w:val="23"/>
          <w:rtl/>
        </w:rPr>
        <w:t xml:space="preserve"> </w:t>
      </w:r>
      <w:r>
        <w:rPr>
          <w:b w:val="0"/>
          <w:sz w:val="20"/>
          <w:szCs w:val="23"/>
          <w:rtl/>
        </w:rPr>
        <w:t>(עיין מלכים ב כג ה, וירמיה מד כה, ועיין בהגר"א כאן)</w:t>
      </w:r>
      <w:r>
        <w:rPr>
          <w:b w:val="0"/>
          <w:bCs w:val="0"/>
          <w:rtl/>
        </w:rPr>
        <w:t xml:space="preserve">, כֹּה אָמַר יהו''ה לַמְזַבְּחִים וְלַמְקַטְּרִים לַכֹּכָבִים וְלַמַּזָּלוֹת וְלַשֶּׁמֶשׁ וְלַיָּרֵחַ וּלְכָל צְבָא הַשָּׁמַיִם אֲשֶׁר לֹא צִוִּיתִי, וְדָא אִיהוּ דְמַנִּי קוּדְשָׁא בְּרִיךְ הוּא לְאָדָם וּמֵעִץ הַדַּעַת טוֹב וָרָע לֹא תֹאכַל מִמֶּנּוּ וְגוֹמֵר, וּבִלְעָם חַיָּיבָא בְהַאי הֲוָה מִשְׁתַּדֵּל, וְדוֹר אֱנוֹשׁ וְדוֹר הַמַּבּוּל וְדוֹר הַפְלָגָה, וְקוּדְשָׁא בְּרִיךְ הוּא אַעְקַר לוֹן מֵעָלְמָא דֵין וּמֵעָלְמָא דְאָתֵי, וְדָא אִיהוּ </w:t>
      </w:r>
      <w:r>
        <w:rPr>
          <w:b w:val="0"/>
          <w:sz w:val="20"/>
          <w:szCs w:val="23"/>
          <w:rtl/>
        </w:rPr>
        <w:t>(בראשית ב יז)</w:t>
      </w:r>
      <w:r>
        <w:rPr>
          <w:b w:val="0"/>
          <w:bCs w:val="0"/>
          <w:rtl/>
        </w:rPr>
        <w:t xml:space="preserve"> כִּי בְּיוֹם אֲכָלְךָ מִמֶּנּוּ מוֹת תָּמוּת, מוֹת בְּעָלְמָא דֵין וְתָמוּת בְּעָלְמָא דְאָתֵי, וְחוֹבָא דָא גָרִים חָרְבָּן בֵּי מַקְדְּשָׁא וְגָלוּת יִשְׂרָאֵל בֵּין אוּמִין דְּעָלְמָא וְאִתְקְטִילוּ מִנַּיְיהוּ.</w:t>
      </w:r>
    </w:p>
    <w:p w:rsidR="00602EF1" w:rsidRDefault="00602EF1" w:rsidP="00602EF1">
      <w:pPr>
        <w:pStyle w:val="NormalWeb"/>
        <w:rPr>
          <w:b w:val="0"/>
          <w:bCs w:val="0"/>
          <w:rtl/>
        </w:rPr>
      </w:pPr>
      <w:r>
        <w:rPr>
          <w:b w:val="0"/>
          <w:bCs w:val="0"/>
          <w:rtl/>
        </w:rPr>
        <w:t xml:space="preserve">דְּכָל חַד הֲוָה מְזַבַּח וּמְקַטֵּר, וַהֲווֹ נָחְתִין חֲיָילִין דִּלְעִילָא, וְכַד הֲוָה נָבִיא מְיַסֵּר לוֹן, מַה כְּתִיב בְּהוֹן </w:t>
      </w:r>
      <w:r>
        <w:rPr>
          <w:b w:val="0"/>
          <w:sz w:val="20"/>
          <w:szCs w:val="23"/>
          <w:rtl/>
        </w:rPr>
        <w:t>(עי, ירמיה מד ה)</w:t>
      </w:r>
      <w:r>
        <w:rPr>
          <w:b w:val="0"/>
          <w:bCs w:val="0"/>
          <w:rtl/>
        </w:rPr>
        <w:t xml:space="preserve"> </w:t>
      </w:r>
      <w:r>
        <w:rPr>
          <w:rStyle w:val="a7"/>
          <w:b w:val="0"/>
          <w:bCs w:val="0"/>
          <w:rtl/>
        </w:rPr>
        <w:footnoteReference w:id="4577"/>
      </w:r>
      <w:r>
        <w:rPr>
          <w:b w:val="0"/>
          <w:bCs w:val="0"/>
          <w:rtl/>
        </w:rPr>
        <w:t xml:space="preserve">וְלֹא שָׁמְעוּ לְקוֹל נָבִיא וְחוֹזֶה, וּבַמֶּה הֲוָה מְיַסֵּר לוֹן נָבִיא, הֲוָה אוֹמֵר לְהוֹן דִּיְהוֹן חָזְרִין בִּתְיוּבְתָּא, וְאִי לַאו וְעָצַר אֶת הַשָּׁמַיִם וְלֹא יִהְיֶה מָטָר וְהָאֲדָמָה לֹא תִתֵּן אֶת יְבוּלָהּ </w:t>
      </w:r>
      <w:r>
        <w:rPr>
          <w:b w:val="0"/>
          <w:sz w:val="20"/>
          <w:szCs w:val="23"/>
          <w:rtl/>
        </w:rPr>
        <w:t>(דברים יא יז)</w:t>
      </w:r>
      <w:r>
        <w:rPr>
          <w:b w:val="0"/>
          <w:bCs w:val="0"/>
          <w:rtl/>
        </w:rPr>
        <w:t xml:space="preserve">, וְאִינוּן הֲווֹ מְזַלְזְלִין בֵּיהּ, וַהֲווֹ אָמְרִין אֲנַן אוֹמִינָן לְאִלֵּין דִּמְמַנָּן עַל מִטְרָא, וְכָפִינָן לְהוֹן לְנַחְתָא מִטְרָא, וְקוּדְשָׁא בְּרִיךְ הוּא אַחֲלִיף לְהוֹן לִמְמַנָּן בִּשְׁלִיחוּתַיְיהוּ בְּגִינַיְיהוּ, וְקָטִיל לוֹן וְחָרִיב בֵּי מַקְדְּשָׁא בְגִינַיְיהוּ, וְגָלוּ יִשְׂרָאֵל בֵּין אוּמִין דְּעָלְמָא, וְדָא אִיהוּ חוֹבָא דְאָדָם דְּגָרַם לֵיהּ חִוְיָא מִיתָה לֵיהּ וּלְאִתְּתֵיהּ, דְּפַתֵּי לוֹן בְּהַהוּא אִילָנָא, הֲדָא הוּא דִכְתִיב </w:t>
      </w:r>
      <w:r>
        <w:rPr>
          <w:b w:val="0"/>
          <w:sz w:val="20"/>
          <w:szCs w:val="23"/>
          <w:rtl/>
        </w:rPr>
        <w:t>(בראשית ג ה)</w:t>
      </w:r>
      <w:r>
        <w:rPr>
          <w:b w:val="0"/>
          <w:bCs w:val="0"/>
          <w:rtl/>
        </w:rPr>
        <w:t xml:space="preserve"> כִּי יוֹדֵעַ אלהי''ם וגומר.</w:t>
      </w:r>
    </w:p>
    <w:p w:rsidR="00602EF1" w:rsidRDefault="00602EF1" w:rsidP="00602EF1">
      <w:pPr>
        <w:pStyle w:val="NormalWeb"/>
        <w:rPr>
          <w:b w:val="0"/>
          <w:bCs w:val="0"/>
          <w:rtl/>
        </w:rPr>
      </w:pPr>
      <w:r>
        <w:rPr>
          <w:b w:val="0"/>
          <w:bCs w:val="0"/>
          <w:rtl/>
        </w:rPr>
        <w:t xml:space="preserve">אָמַר רַבִּי אֶלְעָזָר בַּמֶּה הֲווֹ נָחֲתִין אִלֵּין חֲיָילִין, </w:t>
      </w:r>
      <w:r>
        <w:rPr>
          <w:rStyle w:val="a7"/>
          <w:b w:val="0"/>
          <w:bCs w:val="0"/>
          <w:rtl/>
        </w:rPr>
        <w:footnoteReference w:id="4578"/>
      </w:r>
      <w:r>
        <w:rPr>
          <w:b w:val="0"/>
          <w:bCs w:val="0"/>
          <w:rtl/>
        </w:rPr>
        <w:t xml:space="preserve">אָמַר לֵיהּ בְּרִי מָה אַתְּ חָשִׁיב דַּהֲווֹ נָחֲתִין, וַדַּאי הָא רָזָא דְאִילָנָא דְעִץ הַדַּעַת טוֹב וָרָע, דְּלָא עָתִיד קוּדְשָׁא בְּרִיךְ הוּא לְגַלְיָיא לֵיהּ מְפוּרְסָם לְעָלְמָא אֶלָּא בֵּינֵי חַבְרַיָּא, עַד דְּיֵיתֵי דָרָא דְמַלְכָּא מְשִׁיחָא, אָמַר לֵיהּ כֵּיוָן דְּאִיהוּ אִתְגַּלְיָא בֵּינֵי חַבְרַיָּא מַאי נִיהוּ, אָמַר לֵיהּ בְּנִי, מִמַּרְאֵה מָתְנָיו וּלְמָעְלָה הֲוָה טוֹב, מִמַּרְאֵה מָתְנָיו וּלְמַטָּה הֲוָה רָע, נְבוּכַדְנֶצַּר הֲוָה יָדַע בֵּיהּ, וְהָכִי עָבִיד צַלְמָא דִילֵיהּ, וּבֵיהּ אִשְׁתְּמוֹדָע אִילָנָא דְטוֹב וָרָע, הֲדָא הוּא דִכְתִיב </w:t>
      </w:r>
      <w:r>
        <w:rPr>
          <w:b w:val="0"/>
          <w:sz w:val="20"/>
          <w:szCs w:val="23"/>
          <w:rtl/>
        </w:rPr>
        <w:t>(דניאל ב לב)</w:t>
      </w:r>
      <w:r>
        <w:rPr>
          <w:b w:val="0"/>
          <w:bCs w:val="0"/>
          <w:rtl/>
        </w:rPr>
        <w:t xml:space="preserve"> רֵישֵׁיהּ דִּי דְהַב טָב, חֲדוֹהִי וּדְרָעוֹהִי דִי כְסָף, עַד הָכָא הֲוָה מִסִּטְרָא דְטוֹב, וּבְגִין דָּא אָמַר דִּי דְהַב טָב, מִמַּרְאֵה מָתְנָיו וּלְמַטָּה רַע, הֲדָא הוּא דִכְתִיב </w:t>
      </w:r>
      <w:r>
        <w:rPr>
          <w:b w:val="0"/>
          <w:sz w:val="20"/>
          <w:szCs w:val="23"/>
          <w:rtl/>
        </w:rPr>
        <w:t>(שם)</w:t>
      </w:r>
      <w:r>
        <w:rPr>
          <w:b w:val="0"/>
          <w:bCs w:val="0"/>
          <w:rtl/>
        </w:rPr>
        <w:t xml:space="preserve"> מֵעוֹהִי וְיַרְכָתֵיהּ דִּי נְחַשׁ מִסִּטְרָא דְנָחָשׁ הַקַּדְמוֹנִי.</w:t>
      </w:r>
    </w:p>
    <w:p w:rsidR="00602EF1" w:rsidRDefault="00602EF1" w:rsidP="00602EF1">
      <w:pPr>
        <w:pStyle w:val="aa"/>
        <w:spacing w:after="40"/>
        <w:rPr>
          <w:rtl/>
        </w:rPr>
      </w:pPr>
      <w:r>
        <w:rPr>
          <w:rtl/>
        </w:rPr>
        <w:t xml:space="preserve">[תיקוני זוהר - דף ק ע''ב] </w:t>
      </w:r>
    </w:p>
    <w:p w:rsidR="00602EF1" w:rsidRDefault="00602EF1" w:rsidP="00602EF1">
      <w:pPr>
        <w:pStyle w:val="NormalWeb"/>
        <w:rPr>
          <w:b w:val="0"/>
          <w:bCs w:val="0"/>
          <w:rtl/>
        </w:rPr>
      </w:pPr>
      <w:r>
        <w:rPr>
          <w:b w:val="0"/>
          <w:bCs w:val="0"/>
          <w:rtl/>
        </w:rPr>
        <w:t xml:space="preserve">וּמֵהַאי אִילָנָא נָחֲתִין נִשְׁמָתִין דְּעִרֶב רַב דְּאִינוּן דְּעִרְבוּבְיָא דְטוֹב וָרָע, וְכַמָּה נִימִין תַּלְיָין מֵהַאי אִילָנָא דְאִינוּן צְבָא הַשָּׁמַיִם, דִּי מְמַנָּן עַל כֹּכְבַיָּא וּמַזָּלֵי, וְכֻלְּהוּ מְעוּרָבִין טוֹב וָרָע, וַהֲווֹ עַנְפִין תַּלְיָין מֵהַאי סִטְרָא וּמֵהַאי </w:t>
      </w:r>
      <w:r>
        <w:rPr>
          <w:b w:val="0"/>
          <w:sz w:val="20"/>
          <w:szCs w:val="23"/>
          <w:rtl/>
        </w:rPr>
        <w:t xml:space="preserve">(דף ק ע''ב) </w:t>
      </w:r>
      <w:r>
        <w:rPr>
          <w:b w:val="0"/>
          <w:bCs w:val="0"/>
          <w:rtl/>
        </w:rPr>
        <w:t xml:space="preserve">סִטְרָא, אִלֵּין מְמִיתִין וְאִלֵּין מְחַיִּין, אִלֵּין שֵׁדִים מִסִּטְרָא דִשְׂמָאלָא, וְאִלֵּין מַלְאָכִים מִסִּטְרָא דִימִינָא, וַהֲווֹ יָדְעִין כָּל גַּוָּונִין דְּעַנְפִין דְּאִילָנָא דְאִינוּן מַזָּלוֹת וְכֹכָבִים, וַהֲווֹ לָקְטִין עִשְׂבִּין כְּגַוְונָא דְאִלֵּין גַּוָּונִין, וַהֲווֹ עָבְדִין דִּיּוֹקְנִין כְּפוּם הַהוּא מַזָּל דַּהֲווֹ בָּעָאן לְנַחְתָא לֵיהּ, </w:t>
      </w:r>
      <w:r>
        <w:rPr>
          <w:rStyle w:val="a7"/>
          <w:b w:val="0"/>
          <w:bCs w:val="0"/>
          <w:rtl/>
        </w:rPr>
        <w:footnoteReference w:id="4579"/>
      </w:r>
      <w:r>
        <w:rPr>
          <w:b w:val="0"/>
          <w:bCs w:val="0"/>
          <w:rtl/>
        </w:rPr>
        <w:t xml:space="preserve">כְּגוֹן טָלֶה אוֹ שׁוֹר אוֹ בְּתוּלָה אוֹ תְאוֹמִים דְּאִיהוּ צוּרַת אָדָם דּוּ פַּרְצוּפִין, דְּאִיהִי דִיּוֹקְנָא דְנוּקְבָא, אוֹ סַרְטָן אוֹ אַרְיֵה אוֹ מֹאזְנַיִם אוֹ עַקְרָב אוֹ קֶשֶׁת אוֹ גְדִי אוֹ דְלִי אוֹ דָגִים, וַהֲווֹ מְקַטְּרִין לוֹן בְּאִלֵּין עִשְׂבִּין בְּכָל גַּוָּון, לְכָל חַד כְּפוּם גַּוָּון דִּילֵיהּ לְעִילָא, וְהָכִי הֲווֹ עָבְדִין דִּיּוֹקְנִין דְּצוּרַת חַמָּה וּלְבָנָה </w:t>
      </w:r>
      <w:r>
        <w:rPr>
          <w:rStyle w:val="a7"/>
          <w:b w:val="0"/>
          <w:bCs w:val="0"/>
          <w:rtl/>
        </w:rPr>
        <w:footnoteReference w:id="4580"/>
      </w:r>
      <w:r>
        <w:rPr>
          <w:b w:val="0"/>
          <w:bCs w:val="0"/>
          <w:rtl/>
        </w:rPr>
        <w:t>וְשִׁבְעָה כֹּכְבֵי לֶכֶת, וַהֲווֹ מְקַטְּרִין לְכָל צוּרָה דַהֲווֹ בָּעָאן לְנַחְתָא לְעָלְמָא, וּבְגִין דָּא אִתְּמַר עֲלַיְיהוּ כֹּה אָמַר יהו''ה לַמְקַטְּרִים וְלַמְזַבְּחִים לַכֹּכָבִים וְלַמַּזָּלוֹת וְלַשֶּׁמֶשׁ אוֹ לַיָּרֵחַ אוֹ לְכָל צְבָא הַשָּׁמַיִם אֲשֶׁר לֹא צִוִּיתִי.</w:t>
      </w:r>
    </w:p>
    <w:p w:rsidR="00602EF1" w:rsidRDefault="00602EF1" w:rsidP="00602EF1">
      <w:pPr>
        <w:pStyle w:val="NormalWeb"/>
        <w:rPr>
          <w:b w:val="0"/>
          <w:bCs w:val="0"/>
          <w:rtl/>
        </w:rPr>
      </w:pPr>
      <w:r>
        <w:rPr>
          <w:b w:val="0"/>
          <w:bCs w:val="0"/>
          <w:rtl/>
        </w:rPr>
        <w:t xml:space="preserve">אָמַר לֵיהּ מַאי לַמְזַבְּחִים, אָמַר לֵיהּ לְכָל דִּיּוֹקְנָא הֲווֹ עָבְדִין, דְּנָטְלִין בְּעִירָן אוֹ עוֹפִין כְּפוּם הַהוּא מַזָּל, וַהֲווֹ דָבְחִין עֲלַיְיהוּ, וְדָא אִיהוּ לַמְזַבְּחִים, וַהֲווֹ נָחֲתִין לוֹן וּמְמַלְּלִין עִמְּהוֹן וַהֲווֹ עָבְדֵי רְעוּתֵהוֹן, וְהַווּ סָגְדִין לוֹן וְהֵמָנִין בְּהוֹן, אָמַר לֵיהּ בְּמַאי הֲווֹ נָחֲתִין לוֹן, אָמַר לֵיהּ בְּרִי הֲווֹ יָדְעִין כָּל שְׁמָהָן דִּשְׁמָא מְפָרַשׁ, וַהֲווֹ מַשְׁבִּיעִין לוֹן, וּלְבָתַר עָאלִין שְׁמָא מְפָרַשׁ בְּפוּמֵיהוֹן דְאִלֵין דִּיּוֹקְנִין וַהֲווֹ מְמַלְלָן, </w:t>
      </w:r>
      <w:r>
        <w:rPr>
          <w:rStyle w:val="a7"/>
          <w:b w:val="0"/>
          <w:bCs w:val="0"/>
          <w:rtl/>
        </w:rPr>
        <w:footnoteReference w:id="4581"/>
      </w:r>
      <w:r>
        <w:rPr>
          <w:b w:val="0"/>
          <w:bCs w:val="0"/>
          <w:rtl/>
        </w:rPr>
        <w:t xml:space="preserve">וְדָא אִיהוּ רָזָא דִקְרָא </w:t>
      </w:r>
      <w:r>
        <w:rPr>
          <w:b w:val="0"/>
          <w:sz w:val="20"/>
          <w:szCs w:val="23"/>
          <w:rtl/>
        </w:rPr>
        <w:t>(ירמיה נא מד)</w:t>
      </w:r>
      <w:r>
        <w:rPr>
          <w:b w:val="0"/>
          <w:bCs w:val="0"/>
          <w:rtl/>
        </w:rPr>
        <w:t xml:space="preserve"> וְהוֹצֵאתִי אֶת בִּלְעוֹ מִפִּיו, נָפַל שְׁמָא מְפָרַשׁ וּמִיָּד נָפְלַת צַלְמָא עַל אַנְפּוֹהִי, אָמַר לֵיהּ רַבִּי אֶלְעָזָר וְכִי אֵיךְ הֲוָה שְׁמָא דְקוּדְשָׁא בְּרִיךְ הוּא מַלִּיל בְּהוֹן, אָמַר לֵיהּ בְּרִי </w:t>
      </w:r>
      <w:r>
        <w:rPr>
          <w:rStyle w:val="a7"/>
          <w:b w:val="0"/>
          <w:bCs w:val="0"/>
          <w:rtl/>
        </w:rPr>
        <w:footnoteReference w:id="4582"/>
      </w:r>
      <w:r>
        <w:rPr>
          <w:b w:val="0"/>
          <w:bCs w:val="0"/>
          <w:rtl/>
        </w:rPr>
        <w:t xml:space="preserve">עַל הַאי אִתְּמַר </w:t>
      </w:r>
      <w:r>
        <w:rPr>
          <w:b w:val="0"/>
          <w:sz w:val="20"/>
          <w:szCs w:val="23"/>
          <w:rtl/>
        </w:rPr>
        <w:t>(שמות כ ז)</w:t>
      </w:r>
      <w:r>
        <w:rPr>
          <w:b w:val="0"/>
          <w:bCs w:val="0"/>
          <w:rtl/>
        </w:rPr>
        <w:t xml:space="preserve"> לֹא תִשָּׂא אֶת שֵׁם יהו''ה אלהי''ך לַשָּׁוְא כִּי לֹא יְנַקֶּה וכו', אָמַר לֵיהּ וְכִי יָכִיל בַּר נַשׁ לְאוֹלִיף שְׁמָא דְקוּדְשָׁא בְּרִיךְ הוּא לְמַגָּנָא, אָמַר לֵיהּ אִין.</w:t>
      </w:r>
    </w:p>
    <w:p w:rsidR="00602EF1" w:rsidRDefault="00602EF1" w:rsidP="00602EF1">
      <w:pPr>
        <w:pStyle w:val="NormalWeb"/>
        <w:rPr>
          <w:b w:val="0"/>
          <w:bCs w:val="0"/>
          <w:rtl/>
        </w:rPr>
      </w:pPr>
      <w:r>
        <w:rPr>
          <w:b w:val="0"/>
          <w:bCs w:val="0"/>
          <w:rtl/>
        </w:rPr>
        <w:t xml:space="preserve">וּכְגַוְונָא דָא מָאן דְּנָפִיק מֵרְשׁוּת הַיָּחִיד וְאַעִיל בִּרְשׁוּת הָרַבִּים, אוֹ דְאַפִּיק זֶרַע מִנֵּיהּ מֵאוֹת בְּרִית קֹדֶשׁ </w:t>
      </w:r>
      <w:r>
        <w:rPr>
          <w:rStyle w:val="a7"/>
          <w:b w:val="0"/>
          <w:bCs w:val="0"/>
          <w:rtl/>
        </w:rPr>
        <w:footnoteReference w:id="4583"/>
      </w:r>
      <w:r>
        <w:rPr>
          <w:b w:val="0"/>
          <w:bCs w:val="0"/>
          <w:rtl/>
        </w:rPr>
        <w:t xml:space="preserve">וְאַעִיל בִּרְשׁוּת נוּכְרָאָה, כְּאִלּוּ הַאי נָטַע אִילָנָא דְטוֹב וָרָע, וּבְגִין הַאי בַּר </w:t>
      </w:r>
      <w:r>
        <w:rPr>
          <w:rStyle w:val="a7"/>
          <w:b w:val="0"/>
          <w:bCs w:val="0"/>
          <w:rtl/>
        </w:rPr>
        <w:footnoteReference w:id="4584"/>
      </w:r>
      <w:r>
        <w:rPr>
          <w:b w:val="0"/>
          <w:bCs w:val="0"/>
          <w:rtl/>
        </w:rPr>
        <w:t xml:space="preserve">דְּנָטַע בְּזוֹנָה אוֹ שִׁפְחָה אוֹ גוֹיָה אוֹ נִדָּה, אִתְּמַר </w:t>
      </w:r>
      <w:r>
        <w:rPr>
          <w:b w:val="0"/>
          <w:sz w:val="20"/>
          <w:szCs w:val="23"/>
          <w:rtl/>
        </w:rPr>
        <w:t>(שם ד)</w:t>
      </w:r>
      <w:r>
        <w:rPr>
          <w:b w:val="0"/>
          <w:bCs w:val="0"/>
          <w:rtl/>
        </w:rPr>
        <w:t xml:space="preserve"> לֹא תַעֲשֶׂה לְּךָ פֶסֶל, וְעַל בְּרַתָּא דְאִתְעֲבִידַת בְּגַוָּונָא דָא אִתְקְרִיאַת מַסֵּכָה, </w:t>
      </w:r>
      <w:r>
        <w:rPr>
          <w:rStyle w:val="a7"/>
          <w:b w:val="0"/>
          <w:bCs w:val="0"/>
          <w:rtl/>
        </w:rPr>
        <w:footnoteReference w:id="4585"/>
      </w:r>
      <w:r>
        <w:rPr>
          <w:b w:val="0"/>
          <w:bCs w:val="0"/>
          <w:rtl/>
        </w:rPr>
        <w:t xml:space="preserve">וַעֲלַיְיהוּ אִתְּמַר </w:t>
      </w:r>
      <w:r>
        <w:rPr>
          <w:b w:val="0"/>
          <w:sz w:val="20"/>
          <w:szCs w:val="23"/>
          <w:rtl/>
        </w:rPr>
        <w:t>(דברים כז טו)</w:t>
      </w:r>
      <w:r>
        <w:rPr>
          <w:b w:val="0"/>
          <w:bCs w:val="0"/>
          <w:rtl/>
        </w:rPr>
        <w:t xml:space="preserve"> אָרוּר הָאִישׁ אֲשֶׁר יַעֲשֶׂה פֶסֶל וּמַסֵּכָה וְגוֹמֵר, וְשָׂם בַּסָּתֶר, </w:t>
      </w:r>
      <w:r>
        <w:rPr>
          <w:rStyle w:val="a7"/>
          <w:b w:val="0"/>
          <w:bCs w:val="0"/>
          <w:rtl/>
        </w:rPr>
        <w:footnoteReference w:id="4586"/>
      </w:r>
      <w:r>
        <w:rPr>
          <w:b w:val="0"/>
          <w:bCs w:val="0"/>
          <w:rtl/>
        </w:rPr>
        <w:t xml:space="preserve">מַאי בַּסָּתֶר בְּסִתְרוֹ דְעָלְמָא, וּבְגִין דָּא אָמַר קוּדְשָׁא בְּרִיךְ הוּא </w:t>
      </w:r>
      <w:r>
        <w:rPr>
          <w:b w:val="0"/>
          <w:sz w:val="20"/>
          <w:szCs w:val="23"/>
          <w:rtl/>
        </w:rPr>
        <w:t>(שמות כ כג)</w:t>
      </w:r>
      <w:r>
        <w:rPr>
          <w:b w:val="0"/>
          <w:szCs w:val="23"/>
          <w:rtl/>
        </w:rPr>
        <w:t xml:space="preserve"> </w:t>
      </w:r>
      <w:r>
        <w:rPr>
          <w:rStyle w:val="Char"/>
          <w:rtl/>
        </w:rPr>
        <w:t>לֹא תַעֲשׂוּן</w:t>
      </w:r>
      <w:r>
        <w:rPr>
          <w:b w:val="0"/>
          <w:szCs w:val="23"/>
          <w:rtl/>
        </w:rPr>
        <w:t xml:space="preserve"> </w:t>
      </w:r>
      <w:r>
        <w:rPr>
          <w:b w:val="0"/>
          <w:sz w:val="20"/>
          <w:szCs w:val="23"/>
          <w:rtl/>
        </w:rPr>
        <w:t>(אתי)</w:t>
      </w:r>
      <w:r>
        <w:rPr>
          <w:b w:val="0"/>
          <w:bCs w:val="0"/>
          <w:rtl/>
        </w:rPr>
        <w:t xml:space="preserve"> אֱלֹהֵי כֶסֶף וִאלֹהֵי זָהָב, וְהָכִי אוּקְמוּהוּ חַבְרַיָּא לֹא תַעֲשׂוּן אִתִּי כִדְמוּת שַׁמָּשַׁי שֶׁמְּשַׁמְּשִׁין אוֹתִי </w:t>
      </w:r>
      <w:r>
        <w:rPr>
          <w:b w:val="0"/>
          <w:sz w:val="20"/>
          <w:szCs w:val="23"/>
          <w:rtl/>
        </w:rPr>
        <w:t>(נ''א לפני)</w:t>
      </w:r>
      <w:r>
        <w:rPr>
          <w:b w:val="0"/>
          <w:bCs w:val="0"/>
          <w:rtl/>
        </w:rPr>
        <w:t xml:space="preserve"> בַּמָּרוֹם, לְצַיְירָא בַסֵּתֶר דִּילִי שׁוּם צִיּוּר אוֹ דִמְיוֹן, דְּכָל מָאן דְּצִיֵּיר לְעִיל לְקוּדְשָׁא בְּרִיךְ הוּא, בַּסָּתֶר </w:t>
      </w:r>
      <w:r>
        <w:rPr>
          <w:b w:val="0"/>
          <w:sz w:val="20"/>
          <w:szCs w:val="23"/>
          <w:rtl/>
        </w:rPr>
        <w:t>(דאיהי שכינתיה, כלילא מעשר ספיראן)</w:t>
      </w:r>
      <w:r>
        <w:rPr>
          <w:b w:val="0"/>
          <w:bCs w:val="0"/>
          <w:rtl/>
        </w:rPr>
        <w:t xml:space="preserve">, שׁוּם צִיּוּר וְצֶלֶם וּדְמוּת כְּגַוְונָא דִמְצַיְירִין בְּשַׁמָּשִׁין דִּילֵיהּ, נִשְׁמָתֵיהּ אִתְלַבְּשַׁת בְּהַהוּא צַלְמָא, כַּד נָפְקַת מֵהַאי עָלְמָא, קָלָא נָפְקַת לְגַבָּהּ לְצַלְמָא תּוֹקְדוּן בְּנוּרָא, וּבְגִין דָּא אָמַר קוּדְשָׁא בְּרִיךְ הוּא </w:t>
      </w:r>
      <w:r>
        <w:rPr>
          <w:b w:val="0"/>
          <w:sz w:val="20"/>
          <w:szCs w:val="23"/>
          <w:rtl/>
        </w:rPr>
        <w:t>(ישעיה מ כה)</w:t>
      </w:r>
      <w:r>
        <w:rPr>
          <w:b w:val="0"/>
          <w:bCs w:val="0"/>
          <w:rtl/>
        </w:rPr>
        <w:t xml:space="preserve"> וְאֶל מִי תְדַמְּיוּנִי וְאֶשְׁוְה יֹאמַר קָדוֹשׁ, וְאֶל מִי תְּדַמְּיוּן אֵ''ל וּמַה דְּמוּת תַּעַרְכוּ לוֹ </w:t>
      </w:r>
      <w:r>
        <w:rPr>
          <w:b w:val="0"/>
          <w:sz w:val="20"/>
          <w:szCs w:val="23"/>
          <w:rtl/>
        </w:rPr>
        <w:t>(שם יח)</w:t>
      </w:r>
      <w:r>
        <w:rPr>
          <w:b w:val="0"/>
          <w:bCs w:val="0"/>
          <w:rtl/>
        </w:rPr>
        <w:t>.</w:t>
      </w:r>
    </w:p>
    <w:p w:rsidR="00602EF1" w:rsidRDefault="00602EF1" w:rsidP="00602EF1">
      <w:pPr>
        <w:pStyle w:val="NormalWeb"/>
        <w:rPr>
          <w:b w:val="0"/>
          <w:bCs w:val="0"/>
          <w:rtl/>
        </w:rPr>
      </w:pPr>
      <w:r>
        <w:rPr>
          <w:rStyle w:val="a7"/>
          <w:b w:val="0"/>
          <w:bCs w:val="0"/>
          <w:rtl/>
        </w:rPr>
        <w:footnoteReference w:id="4587"/>
      </w:r>
      <w:r>
        <w:rPr>
          <w:b w:val="0"/>
          <w:bCs w:val="0"/>
          <w:rtl/>
        </w:rPr>
        <w:t xml:space="preserve">וּבְרִי וַדַּאי כָּל מָאן דְּנָפִיק מֵרְשׁוּת הָרַבִּים וְאַעִיל בִּרְשׁוּת הַיָּחִיד אוֹ מֵרְשׁוּת הַיָּחִיד וְאַעִיל בִּרְשׁוּת הָרַבִּים, כְּאִלּוּ עָרַב שְׁמָא דְקוּדְשָׁא בְּרִיךְ הוּא בַּעֲבוֹדָה זָרָה, וְעָבִיד אִילָנָא דְטוֹב וָרָע, וְדָא הוּא רָזָא דַהֲוָה נָפִיק בְּלָעוֹ מִפִּיו, דְּבֵיהּ הֲוָה אָמַר צַלְמָא דִנְבוּכַדְנֶצַּר אָנֹכִי יהו''ה אלהי''ך, וּבְגִין דָּא לֹא תִשָּׂא אֶת שֵׁם יהו''ה אלהי''ך לַשָּׁוְא, וְעָתִיד הַקָּדוֹשׁ בָּרוּךְ הוּא לְאַעְקָרָא הַאי אִילָנָא מֵעָלְמָא וּלְאוֹקָדָא לֵיהּ בְּגֵיהִנָּם, הֲדָא הוּא דִכְתִיב </w:t>
      </w:r>
      <w:r>
        <w:rPr>
          <w:b w:val="0"/>
          <w:sz w:val="20"/>
          <w:szCs w:val="23"/>
          <w:rtl/>
        </w:rPr>
        <w:t>(שם א לא)</w:t>
      </w:r>
      <w:r>
        <w:rPr>
          <w:b w:val="0"/>
          <w:bCs w:val="0"/>
          <w:rtl/>
        </w:rPr>
        <w:t xml:space="preserve"> וְהָיָה הֶחָסֹן לִנְעֹרֶת וְגוֹמֵר.</w:t>
      </w:r>
    </w:p>
    <w:p w:rsidR="00602EF1" w:rsidRDefault="00602EF1" w:rsidP="00602EF1">
      <w:pPr>
        <w:pStyle w:val="NormalWeb"/>
        <w:rPr>
          <w:b w:val="0"/>
          <w:bCs w:val="0"/>
          <w:rtl/>
        </w:rPr>
      </w:pPr>
      <w:r>
        <w:rPr>
          <w:b w:val="0"/>
          <w:bCs w:val="0"/>
          <w:rtl/>
        </w:rPr>
        <w:t xml:space="preserve">אָמַר לֵיהּ רַבִּי אֶלְעָזָר, אִם כֵּן אֲסִיר לְעַמָּא לְאִשְׁתַּמְּשָׁא בְּשׁוּם מַלְאָךְ וְלָא בִשְׁמָא בְעָלְמָא בָתַר דְּאִית עִרְבוּבְיָא, אָמַר לֵיהּ בְּרִי לַאו הָכִי, דְהָא אָמַר קוּדְשָׁא בְּרִיךְ הוּא לְאָדָם </w:t>
      </w:r>
      <w:r>
        <w:rPr>
          <w:b w:val="0"/>
          <w:sz w:val="20"/>
          <w:szCs w:val="23"/>
          <w:rtl/>
        </w:rPr>
        <w:t>(בראשית ב טז)</w:t>
      </w:r>
      <w:r>
        <w:rPr>
          <w:b w:val="0"/>
          <w:bCs w:val="0"/>
          <w:rtl/>
        </w:rPr>
        <w:t xml:space="preserve"> מִכֹּל עִץ הַגָּן אָכוֹל תֹּאכֵל, מֵעִץ הַדַּעַת טוֹב וָרָע לֹא תֹאכַל, אָמַר רַבִּי אֶלְעָזָר הַאי הֲוָה קֳדָם דְּחָאב, בָּתַר דְּחָב וְנָחִית מֵאַתְרֵיהּ וְאִתְעָרַב בְּאִילָנָא דְטוֹב וָרָע, אָמַר לֵיהּ וַדַּאי הָכִי הוּא, </w:t>
      </w:r>
      <w:r>
        <w:rPr>
          <w:rStyle w:val="a7"/>
          <w:b w:val="0"/>
          <w:bCs w:val="0"/>
          <w:rtl/>
        </w:rPr>
        <w:footnoteReference w:id="4588"/>
      </w:r>
      <w:r>
        <w:rPr>
          <w:b w:val="0"/>
          <w:bCs w:val="0"/>
          <w:rtl/>
        </w:rPr>
        <w:t>וּבְזִמְנָא דְיִשְׂרָאֵל אִינוּן בְּגָלוּתָא, כְּאִלּוּ הֲווֹ מְעוּרָבִין בְּאִילָנָא דְטוֹב וָרָע, וּבְגִין דָּא אוּקְמוּהוּ קַדְמָאִין, יִשְׂרָאֵל בְּגָלוּתָא עוֹבְדִין עֲבוֹדָה זָרָה בְּטַהֲרָה הֵם.</w:t>
      </w:r>
    </w:p>
    <w:p w:rsidR="00602EF1" w:rsidRDefault="00602EF1" w:rsidP="00602EF1">
      <w:pPr>
        <w:pStyle w:val="aa"/>
        <w:spacing w:after="40"/>
        <w:rPr>
          <w:rtl/>
        </w:rPr>
      </w:pPr>
      <w:r>
        <w:rPr>
          <w:rtl/>
        </w:rPr>
        <w:t xml:space="preserve">[תיקוני זוהר - דף קא ע''א] </w:t>
      </w:r>
    </w:p>
    <w:p w:rsidR="00602EF1" w:rsidRDefault="00602EF1" w:rsidP="00602EF1">
      <w:pPr>
        <w:pStyle w:val="NormalWeb"/>
        <w:rPr>
          <w:b w:val="0"/>
          <w:bCs w:val="0"/>
          <w:rtl/>
        </w:rPr>
      </w:pPr>
      <w:r>
        <w:rPr>
          <w:rStyle w:val="a7"/>
          <w:b w:val="0"/>
          <w:bCs w:val="0"/>
          <w:rtl/>
        </w:rPr>
        <w:footnoteReference w:id="4589"/>
      </w:r>
      <w:r>
        <w:rPr>
          <w:b w:val="0"/>
          <w:bCs w:val="0"/>
          <w:rtl/>
        </w:rPr>
        <w:t xml:space="preserve">אֲבָל אִלֵּין דְּיָדְעִין אִילָנָא דְקוּדְשָׁא בְּרִיךְ הוּא דְאִיהוּ עִץ הַחַיִּים, נָטוּעַ בְּגַן דִּילֵיהּ דְּאִיהִי </w:t>
      </w:r>
      <w:r>
        <w:rPr>
          <w:b w:val="0"/>
          <w:sz w:val="20"/>
          <w:szCs w:val="23"/>
          <w:rtl/>
        </w:rPr>
        <w:t xml:space="preserve">(דף קא ע''א) </w:t>
      </w:r>
      <w:r>
        <w:rPr>
          <w:b w:val="0"/>
          <w:bCs w:val="0"/>
          <w:rtl/>
        </w:rPr>
        <w:t xml:space="preserve">שְׁכִינְתָּא דִילֵיהּ, דְּאִתְּמַר בָּהּ </w:t>
      </w:r>
      <w:r>
        <w:rPr>
          <w:b w:val="0"/>
          <w:sz w:val="20"/>
          <w:szCs w:val="23"/>
          <w:rtl/>
        </w:rPr>
        <w:t>(תהלים ה ה)</w:t>
      </w:r>
      <w:r>
        <w:rPr>
          <w:b w:val="0"/>
          <w:bCs w:val="0"/>
          <w:rtl/>
        </w:rPr>
        <w:t xml:space="preserve"> לֹא יְגוּרְךָ רָע, יָכְלִין לְנַחְתָא חֵילָא מִתַּמָּן לְגַבֵּי שְׁכִינְתֵּיהּ בְּלָא עִרְבוּבְיָא כְלָל, בְּכָל פִּקּוּדָא וּפִקּוּדָא, אִיהוּ עִץ פְּרִי עוֹשֶׂה פְּרִי לְמִינוֹ </w:t>
      </w:r>
      <w:r>
        <w:rPr>
          <w:b w:val="0"/>
          <w:sz w:val="20"/>
          <w:szCs w:val="23"/>
          <w:rtl/>
        </w:rPr>
        <w:t>(בראשית יא א)</w:t>
      </w:r>
      <w:r>
        <w:rPr>
          <w:b w:val="0"/>
          <w:bCs w:val="0"/>
          <w:rtl/>
        </w:rPr>
        <w:t xml:space="preserve">, נָטוּעַ בְּגַן בְּלָא עִרְבוּבְיָא כְּלָל, וּבְגִין דָּא אָמַר לְמִינוֹ, אֲבָל עִץ הַדַּעַת טוֹב וָרָע לָא אִתְּמַר בֵּיהּ לְמִינוֹ, אֲבָל מְעוּרָב מִין דְּלָא בְמִינֵיהּ, וּבְגִינֵיהּ אִתְּמַר </w:t>
      </w:r>
      <w:r>
        <w:rPr>
          <w:b w:val="0"/>
          <w:sz w:val="20"/>
          <w:szCs w:val="23"/>
          <w:rtl/>
        </w:rPr>
        <w:t>(ויקרא יט יט)</w:t>
      </w:r>
      <w:r>
        <w:rPr>
          <w:b w:val="0"/>
          <w:bCs w:val="0"/>
          <w:rtl/>
        </w:rPr>
        <w:t xml:space="preserve"> שָׂדְךָ לֹא תִזְרַע כִּלְאָיִם וכו', שַׁעַטְנֵז לֹא יַעֲלֶה עָלֶיךָ.</w:t>
      </w:r>
    </w:p>
    <w:p w:rsidR="00602EF1" w:rsidRDefault="00602EF1" w:rsidP="00602EF1">
      <w:pPr>
        <w:pStyle w:val="NormalWeb"/>
        <w:rPr>
          <w:b w:val="0"/>
          <w:bCs w:val="0"/>
          <w:rtl/>
        </w:rPr>
      </w:pPr>
      <w:r>
        <w:rPr>
          <w:rStyle w:val="a7"/>
          <w:b w:val="0"/>
          <w:bCs w:val="0"/>
          <w:rtl/>
        </w:rPr>
        <w:footnoteReference w:id="4590"/>
      </w:r>
      <w:r>
        <w:rPr>
          <w:b w:val="0"/>
          <w:bCs w:val="0"/>
          <w:rtl/>
        </w:rPr>
        <w:t xml:space="preserve">זַכָּאָה אִיהוּ מָאן דְּסָלִיק אֱמוּנָה דְקוּדְשָׁא בְּרִיךְ הוּא דְאִיהִי שְׁכִינְתֵּיהּ כְּלִילָא מֵעֶשֶׂר אֲמִירָן, בְּמַחֲשַׁבְתָּא חֲדָא בִּרְעוּתָא חֲדָא בְּלָא עִרְבוּבְיָא כְּלָל, דְּכָל סְפִירָה וּסְפִירָה נְטוּעָה בֵּיהּ, וְאִיהִי גַן דְּכֻלְּהוּ סְפִירָן בָּהּ אִינוּן חָד, וְכָל חַד עָבִיד בָּהּ פְּרִי לְמִינוֹ, אִיהִי מִין דְּכָל חַד וְחַד לָא נָפִיק מִנֵּיהּ זַרְעִין לְבָר, הָכִי צָרִיךְ בַּר נַשׁ דְּלָא אַפִּיק זַרְעָא לְבָר מִבַּת זוּגֵיהּ, דְּאִיהִי מִין דִּילֵיהּ יִחוּדָא דִילֵיהּ, וּבְהַהוּא זִמְנָא דְצָרִיךְ בַּר נַשׁ לְיַחֲדָא לְקוּדְשָׁא בְּרִיךְ הוּא בִּשְׁכִינְתֵּיהּ, צָרִיךְ לְהַפְשִׁיט מִנֵּיהּ כָּל מַחֲשָׁבִין דְּאִינוּן קְלִיפִין, דְּאִתְּמַר בְּהוֹן </w:t>
      </w:r>
      <w:r>
        <w:rPr>
          <w:b w:val="0"/>
          <w:sz w:val="20"/>
          <w:szCs w:val="23"/>
          <w:rtl/>
        </w:rPr>
        <w:t>(משלי יט כא)</w:t>
      </w:r>
      <w:r>
        <w:rPr>
          <w:b w:val="0"/>
          <w:bCs w:val="0"/>
          <w:rtl/>
        </w:rPr>
        <w:t xml:space="preserve"> רַבּוֹת מַחֲשָׁבוֹת בְּלֶב אִישׁ, וּלְסַלְקָא שְׁכִינְתֵּיהּ לְגַבֵּיהּ בְּמַחֲשַׁבְתָּא חֲדָא, הֲדָא הוּא דִכְתִיב </w:t>
      </w:r>
      <w:r>
        <w:rPr>
          <w:b w:val="0"/>
          <w:sz w:val="20"/>
          <w:szCs w:val="23"/>
          <w:rtl/>
        </w:rPr>
        <w:t>(שם)</w:t>
      </w:r>
      <w:r>
        <w:rPr>
          <w:b w:val="0"/>
          <w:bCs w:val="0"/>
          <w:rtl/>
        </w:rPr>
        <w:t xml:space="preserve"> וַעֲצַת יהו''ה הִיא תָקוּם, כְּגַוְונָא דְבַר נַשׁ דְּמִתְיַחֵד בְּבַת זוּגֵיהּ, וְאִתְפַּשַּׁט מִלְּבוּשׁוֹי לְמֶהֱוִי עִמָּה חַד, הֲדָא הוּא דִכְתִיב </w:t>
      </w:r>
      <w:r>
        <w:rPr>
          <w:b w:val="0"/>
          <w:sz w:val="20"/>
          <w:szCs w:val="23"/>
          <w:rtl/>
        </w:rPr>
        <w:t>(בראשית ב כא)</w:t>
      </w:r>
      <w:r>
        <w:rPr>
          <w:b w:val="0"/>
          <w:bCs w:val="0"/>
          <w:rtl/>
        </w:rPr>
        <w:t xml:space="preserve"> וְהָיוּ לְבָשָׂר אֶחָד, הָכִי צָרִיךְ לְאַפְשָׁטָא מִנֵּיהּ כָּל מַחֲשָׁבִין אָחֳרָנִין, בְּזִמְנָא דִמְיַחֵד לְקוּדְשָׁא בְּרִיךְ הוּא בְּכָל יוֹמָא תְּרֵין זִמְנִין, שְׁמַע יִשְׂרָאֵל יהו''ה אלהינ''ו יהו''ה אֶחָד.</w:t>
      </w:r>
    </w:p>
    <w:p w:rsidR="00602EF1" w:rsidRDefault="00602EF1" w:rsidP="00602EF1">
      <w:pPr>
        <w:pStyle w:val="a8"/>
        <w:spacing w:before="0" w:after="40"/>
        <w:rPr>
          <w:rtl/>
        </w:rPr>
      </w:pPr>
      <w:bookmarkStart w:id="299" w:name="_Toc228091345"/>
      <w:bookmarkStart w:id="300" w:name="_Toc231637984"/>
    </w:p>
    <w:p w:rsidR="00602EF1" w:rsidRDefault="00602EF1" w:rsidP="00602EF1">
      <w:pPr>
        <w:pStyle w:val="1"/>
        <w:rPr>
          <w:sz w:val="39"/>
          <w:szCs w:val="39"/>
          <w:rtl/>
        </w:rPr>
      </w:pPr>
      <w:r>
        <w:rPr>
          <w:rtl/>
        </w:rPr>
        <w:t>תקונא שתין ושבע</w:t>
      </w:r>
      <w:bookmarkEnd w:id="299"/>
      <w:bookmarkEnd w:id="300"/>
    </w:p>
    <w:p w:rsidR="00602EF1" w:rsidRDefault="00602EF1" w:rsidP="00602EF1">
      <w:pPr>
        <w:pStyle w:val="aa"/>
        <w:spacing w:after="40"/>
        <w:rPr>
          <w:rtl/>
        </w:rPr>
      </w:pPr>
      <w:r>
        <w:rPr>
          <w:rtl/>
        </w:rPr>
        <w:t xml:space="preserve">[תיקוני זוהר - דף קא ע''ב] </w:t>
      </w:r>
    </w:p>
    <w:p w:rsidR="00602EF1" w:rsidRDefault="00602EF1" w:rsidP="00602EF1">
      <w:pPr>
        <w:pStyle w:val="NormalWeb"/>
        <w:rPr>
          <w:b w:val="0"/>
          <w:bCs w:val="0"/>
          <w:rtl/>
        </w:rPr>
      </w:pPr>
      <w:r>
        <w:rPr>
          <w:b w:val="0"/>
          <w:sz w:val="20"/>
          <w:szCs w:val="23"/>
          <w:rtl/>
        </w:rPr>
        <w:t xml:space="preserve">(דף קא ע''ב) </w:t>
      </w:r>
      <w:r>
        <w:rPr>
          <w:rStyle w:val="a7"/>
          <w:b w:val="0"/>
          <w:sz w:val="20"/>
          <w:szCs w:val="23"/>
          <w:rtl/>
        </w:rPr>
        <w:footnoteReference w:id="4591"/>
      </w:r>
      <w:r>
        <w:rPr>
          <w:b w:val="0"/>
          <w:bCs w:val="0"/>
          <w:rtl/>
        </w:rPr>
        <w:t xml:space="preserve">בְּרֵאשִׁית בָּרָא אלהי''ם דָּא מטטרו''ן, </w:t>
      </w:r>
      <w:r>
        <w:rPr>
          <w:rStyle w:val="a7"/>
          <w:b w:val="0"/>
          <w:bCs w:val="0"/>
          <w:rtl/>
        </w:rPr>
        <w:footnoteReference w:id="4592"/>
      </w:r>
      <w:r>
        <w:rPr>
          <w:b w:val="0"/>
          <w:bCs w:val="0"/>
          <w:rtl/>
        </w:rPr>
        <w:t xml:space="preserve">דְּבָרָא לֵיהּ קוּדְשָׁא בְּרִיךְ הוּא קַדְמוֹן וְרֵאשִׁית </w:t>
      </w:r>
      <w:r>
        <w:rPr>
          <w:rStyle w:val="a7"/>
          <w:b w:val="0"/>
          <w:bCs w:val="0"/>
          <w:rtl/>
        </w:rPr>
        <w:footnoteReference w:id="4593"/>
      </w:r>
      <w:r>
        <w:rPr>
          <w:b w:val="0"/>
          <w:bCs w:val="0"/>
          <w:rtl/>
        </w:rPr>
        <w:t xml:space="preserve">לְכָל צְבָא הַשָּׁמַיִם דִּלְתַתָּא, </w:t>
      </w:r>
      <w:r>
        <w:rPr>
          <w:rStyle w:val="a7"/>
          <w:b w:val="0"/>
          <w:bCs w:val="0"/>
          <w:rtl/>
        </w:rPr>
        <w:footnoteReference w:id="4594"/>
      </w:r>
      <w:r>
        <w:rPr>
          <w:b w:val="0"/>
          <w:bCs w:val="0"/>
          <w:rtl/>
        </w:rPr>
        <w:t xml:space="preserve">וְדָא אִיהוּ אָדָם הַקָּטֹן, דְּקוּדְשָׁא בְּרִיךְ הוּא עָבַד לֵיהּ בְּדִיּוֹקְנָא וְצִיּוּרָא דִלְעִילָא בְּלָא עִרְבוּבְיָא, וַעֲלֵיהּ אִתְּמַר </w:t>
      </w:r>
      <w:r>
        <w:rPr>
          <w:b w:val="0"/>
          <w:sz w:val="20"/>
          <w:szCs w:val="23"/>
          <w:rtl/>
        </w:rPr>
        <w:t>(בראשית א כד)</w:t>
      </w:r>
      <w:r>
        <w:rPr>
          <w:b w:val="0"/>
          <w:bCs w:val="0"/>
          <w:rtl/>
        </w:rPr>
        <w:t xml:space="preserve"> תּוֹצֵא הָאָרֶץ נֶפֶשׁ חַיָּה לְמִינָהּ, </w:t>
      </w:r>
      <w:r>
        <w:rPr>
          <w:rStyle w:val="a7"/>
          <w:b w:val="0"/>
          <w:bCs w:val="0"/>
          <w:rtl/>
        </w:rPr>
        <w:footnoteReference w:id="4595"/>
      </w:r>
      <w:r>
        <w:rPr>
          <w:b w:val="0"/>
          <w:bCs w:val="0"/>
          <w:rtl/>
        </w:rPr>
        <w:t xml:space="preserve">וְאִיהוּ עִץ פְּרִי עוֹשֶׂה פְּרִי לְמִינוֹ </w:t>
      </w:r>
      <w:r>
        <w:rPr>
          <w:b w:val="0"/>
          <w:sz w:val="20"/>
          <w:szCs w:val="23"/>
          <w:rtl/>
        </w:rPr>
        <w:t>(שם יא ז)</w:t>
      </w:r>
      <w:r>
        <w:rPr>
          <w:b w:val="0"/>
          <w:bCs w:val="0"/>
          <w:rtl/>
        </w:rPr>
        <w:t xml:space="preserve">, כְּגַוְונָא דִלְעִילָא </w:t>
      </w:r>
      <w:r>
        <w:rPr>
          <w:rStyle w:val="a7"/>
          <w:b w:val="0"/>
          <w:bCs w:val="0"/>
          <w:rtl/>
        </w:rPr>
        <w:footnoteReference w:id="4596"/>
      </w:r>
      <w:r>
        <w:rPr>
          <w:b w:val="0"/>
          <w:bCs w:val="0"/>
          <w:rtl/>
        </w:rPr>
        <w:t>וַי מָאן דְּעָבִיד עִרְבוּבְיָא לְעִילָא וּלְתַתָּא, דְּהַאי אִיהוּ אִילָנָא דְעִרְבוּבְיָא, עִרְבוּבְיָא מֵאִילָנָא דְמוֹתָא, בְּגִין דָּא אִתְקְרֵי מַטֶּה, דְּאִתְהַפַּךְ לְנָחָשׁ לְאַלְקָאָה בֵּיהּ לְחַיָּבַיָּא, וּמָאן אִיהוּ דְאַפִּיךְ לֵיהּ קוּדְשָׁא בְּרִיךְ הוּא דְּשַׁלִּיט עֲלֵיהּ וְהָא אוּקְמוּהָ.</w:t>
      </w:r>
    </w:p>
    <w:p w:rsidR="00602EF1" w:rsidRDefault="00602EF1" w:rsidP="00602EF1">
      <w:pPr>
        <w:pStyle w:val="NormalWeb"/>
        <w:rPr>
          <w:b w:val="0"/>
          <w:bCs w:val="0"/>
          <w:rtl/>
        </w:rPr>
      </w:pPr>
      <w:r>
        <w:rPr>
          <w:b w:val="0"/>
          <w:bCs w:val="0"/>
          <w:rtl/>
        </w:rPr>
        <w:t xml:space="preserve">אָמַר לֵיהּ רַבִּי אֶלְעָזָר אַבָּא, כֵּיוָן דְּקוּדְשָׁא בְּרִיךְ הוּא הֲוָה יָדַע דְּאִילָנָא דָא הֲוָה עָתִיד לְגָרְמָא מִיתָה לְאָדָם </w:t>
      </w:r>
      <w:r>
        <w:rPr>
          <w:b w:val="0"/>
          <w:sz w:val="20"/>
          <w:szCs w:val="23"/>
          <w:rtl/>
        </w:rPr>
        <w:t>(ולכל בריין דעתידין למהוי אבתריה)</w:t>
      </w:r>
      <w:r>
        <w:rPr>
          <w:b w:val="0"/>
          <w:bCs w:val="0"/>
          <w:rtl/>
        </w:rPr>
        <w:t xml:space="preserve"> אַמַּאי בָּרָא לֵיהּ לְאָדָם דְּעָתִיד לְמֶחטֵי קַמֵּיהּ, </w:t>
      </w:r>
      <w:r>
        <w:rPr>
          <w:rStyle w:val="a7"/>
          <w:b w:val="0"/>
          <w:bCs w:val="0"/>
          <w:rtl/>
        </w:rPr>
        <w:footnoteReference w:id="4597"/>
      </w:r>
      <w:r>
        <w:rPr>
          <w:b w:val="0"/>
          <w:bCs w:val="0"/>
          <w:rtl/>
        </w:rPr>
        <w:t xml:space="preserve">אָמַר לֵיהּ בְּרִי דִּיּוֹקְנָא דִלְעִילָא לָא הֲוָה שְׁלִים עַד דְּבָרָא לְאָדָם, דְּהָכִי הֲוָה אָדָם דִּלְעִילָא </w:t>
      </w:r>
      <w:r>
        <w:rPr>
          <w:b w:val="0"/>
          <w:sz w:val="20"/>
          <w:szCs w:val="23"/>
          <w:rtl/>
        </w:rPr>
        <w:t>(כ''י לגבי אדם דלתתא)</w:t>
      </w:r>
      <w:r>
        <w:rPr>
          <w:b w:val="0"/>
          <w:bCs w:val="0"/>
          <w:rtl/>
        </w:rPr>
        <w:t xml:space="preserve">, כְּגַוְונָא דְנִשְׁמָתָא לְגַבֵּי גוּפָא, וּכְמָה דְלָא אִית עוֹבָדָא לְנִשְׁמָתָא בְלָא גוּפָא, הָכִי הֲוָה צָרִיךְ לְמֶעֱבַד דִּיּוֹקְנָא לְתַתָּא לְאַפָּקָא בֵּיהּ עוֹבָדָא, וְכֹלָּא כְּגַוְונָא </w:t>
      </w:r>
      <w:r>
        <w:rPr>
          <w:b w:val="0"/>
          <w:sz w:val="20"/>
          <w:szCs w:val="23"/>
          <w:rtl/>
        </w:rPr>
        <w:t>(כעובדא)</w:t>
      </w:r>
      <w:r>
        <w:rPr>
          <w:b w:val="0"/>
          <w:bCs w:val="0"/>
          <w:rtl/>
        </w:rPr>
        <w:t xml:space="preserve"> דִלְעִילָא, אָדָ''ם אִיהוּ לְחֻשְׁבַּן זְעִיר דַּחֲנוֹ''ךְ תֵּשַׁע נְקוּדִין, פְּעוּלָה דִילֵיהּ שְׁכִינְתָּא כְּלִילָא בְּכָל </w:t>
      </w:r>
      <w:r>
        <w:rPr>
          <w:b w:val="0"/>
          <w:sz w:val="20"/>
          <w:szCs w:val="23"/>
          <w:rtl/>
        </w:rPr>
        <w:t>(מכל)</w:t>
      </w:r>
      <w:r>
        <w:rPr>
          <w:b w:val="0"/>
          <w:bCs w:val="0"/>
          <w:rtl/>
        </w:rPr>
        <w:t xml:space="preserve"> אַתְוָון דְּאוֹרַיְיתָא, וְכֹלָּא כְּגַוְונָא דִלְעִילָא.</w:t>
      </w:r>
    </w:p>
    <w:p w:rsidR="00602EF1" w:rsidRDefault="00602EF1" w:rsidP="00602EF1">
      <w:pPr>
        <w:pStyle w:val="NormalWeb"/>
        <w:rPr>
          <w:b w:val="0"/>
          <w:bCs w:val="0"/>
          <w:rtl/>
        </w:rPr>
      </w:pPr>
      <w:r>
        <w:rPr>
          <w:b w:val="0"/>
          <w:bCs w:val="0"/>
          <w:rtl/>
        </w:rPr>
        <w:t xml:space="preserve">אָדָם דִּלְעִילָא לָא הֲוָה שְׁלִים בְּלָא נוּקְבָא, הֲדָא הוּא דִכְתִיב </w:t>
      </w:r>
      <w:r>
        <w:rPr>
          <w:b w:val="0"/>
          <w:sz w:val="20"/>
          <w:szCs w:val="23"/>
          <w:rtl/>
        </w:rPr>
        <w:t>(שם ה ב)</w:t>
      </w:r>
      <w:r>
        <w:rPr>
          <w:b w:val="0"/>
          <w:bCs w:val="0"/>
          <w:rtl/>
        </w:rPr>
        <w:t xml:space="preserve"> זָכָר וּנְקֵבָה בְּרָאָם וַיִּקְרָא אֶת שְׁמָם אָדָם, אָדָם דְּכַר, וְאָדָם נוּקְבָא, וְכַד אִתְבְּרִי אָדָם דִּלְתַתָּא דְאִיהוּ נוּקְבָא, הֲדָא הוּא דִכְתִיב </w:t>
      </w:r>
      <w:r>
        <w:rPr>
          <w:b w:val="0"/>
          <w:sz w:val="20"/>
          <w:szCs w:val="23"/>
          <w:rtl/>
        </w:rPr>
        <w:t>(שם א כז)</w:t>
      </w:r>
      <w:r>
        <w:rPr>
          <w:b w:val="0"/>
          <w:bCs w:val="0"/>
          <w:rtl/>
        </w:rPr>
        <w:t xml:space="preserve"> וַיִּבְרָא אלהי''ם אֶת הָאָדָם בְּצַלְמוֹ, אִשְׁתַּלִּים דִּיּוֹקְנָא דִלְעִילָא, וְדָא אִיהוּ רָזָא כִּי לֹא הִמְטִיר יהו''ה אלהי''ם וכו' </w:t>
      </w:r>
      <w:r>
        <w:rPr>
          <w:b w:val="0"/>
          <w:sz w:val="20"/>
          <w:szCs w:val="23"/>
          <w:rtl/>
        </w:rPr>
        <w:t>(שם ב ה)</w:t>
      </w:r>
      <w:r>
        <w:rPr>
          <w:b w:val="0"/>
          <w:bCs w:val="0"/>
          <w:rtl/>
        </w:rPr>
        <w:t xml:space="preserve">, וְאַמַּאי בְּגִין דְּאָדָם אַיִן, וּבְגִין דָּא מוּכְרַח הֲוָה אָדָם לְמִבְרֵי לֵיהּ, לְאִשְׁתַּלִּים בֵּיהּ דִּיּוֹקְנָא דִלְעִילָא, וְנוּקְבָא בְּהַאי אָדָם בָּהּ הֲוָה חָד, הֲדָא הוּא דִכְתִיב </w:t>
      </w:r>
      <w:r>
        <w:rPr>
          <w:b w:val="0"/>
          <w:sz w:val="20"/>
          <w:szCs w:val="23"/>
          <w:rtl/>
        </w:rPr>
        <w:t>(ישעיה נא ב)</w:t>
      </w:r>
      <w:r>
        <w:rPr>
          <w:b w:val="0"/>
          <w:bCs w:val="0"/>
          <w:rtl/>
        </w:rPr>
        <w:t xml:space="preserve"> כִּי אֶחָד קְרָאתִיו וְגוֹמֵר, וְדָא רָזָא דְנִשְׁמָתָא.</w:t>
      </w:r>
    </w:p>
    <w:p w:rsidR="00602EF1" w:rsidRDefault="00602EF1" w:rsidP="00602EF1">
      <w:pPr>
        <w:pStyle w:val="NormalWeb"/>
        <w:rPr>
          <w:b w:val="0"/>
          <w:bCs w:val="0"/>
          <w:rtl/>
        </w:rPr>
      </w:pPr>
      <w:r>
        <w:rPr>
          <w:b w:val="0"/>
          <w:bCs w:val="0"/>
          <w:rtl/>
        </w:rPr>
        <w:t xml:space="preserve">לְבָתַר אָמַר </w:t>
      </w:r>
      <w:r>
        <w:rPr>
          <w:b w:val="0"/>
          <w:sz w:val="20"/>
          <w:szCs w:val="23"/>
          <w:rtl/>
        </w:rPr>
        <w:t>(בראשית ב יח)</w:t>
      </w:r>
      <w:r>
        <w:rPr>
          <w:b w:val="0"/>
          <w:bCs w:val="0"/>
          <w:rtl/>
        </w:rPr>
        <w:t xml:space="preserve"> לֹא טוֹב הֱיוֹת הָאָדָם לְבַדּוֹ אֶעֱשֶׂה לּוֹ עִזֶר כְּנֶגְדּוֹ, דָּא גוּפָא דְּאִיהוּ עֶבֶד שִׁפְחָה כְּלִיל מִטּוֹב וָרָע, בְּגִין לְמֶהֱוֵי לֵיהּ אַגְרָא וְעוּנְשָׁא, וּבְגִינָהּ אָמַר </w:t>
      </w:r>
      <w:r>
        <w:rPr>
          <w:b w:val="0"/>
          <w:sz w:val="20"/>
          <w:szCs w:val="23"/>
          <w:rtl/>
        </w:rPr>
        <w:t>(דברים ל ו)</w:t>
      </w:r>
      <w:r>
        <w:rPr>
          <w:b w:val="0"/>
          <w:bCs w:val="0"/>
          <w:rtl/>
        </w:rPr>
        <w:t xml:space="preserve"> רְאֵה נָתַתִּי לְפָנֶיךָ הַיּוֹם אֶת הַחַיִּים וְאֶת הַטּוֹב אֶת הַמָּוְת וְאֶת הָרָע, וְאָמַר לֵיהּ וּבָחַרְתָּ בַּחַיִּים, דְּאִם לָא יַהֲבָה בִּידֵיהּ, לָא הֲוָה לֵיהּ אַגְרָא וְעוּנְשָׁא, וַהֲוָה כִּבְעִירָא, וְעִם כָּל דָּא אַחֲזֵי קוּדְשָׁא בְּרִיךְ הוּא לֵיהּ, כָּל מַה דְּאִירַע לֵיהּ, אִם הֲוָה מַטֶּה כְּלַפֵּי חֶסֶד דְּהוּא כְלַפֵּי זְכוּ, אוֹ אִם הֲוָה מַטֶּה בָּהּ כְּלַפֵּי חוֹבָא, דְּאִי קוּדְשָׁא בְּרִיךְ הוּא בָּעָא בְמִיתָתֵיהּ לָא הֲוָה אַחֲזֵי לֵיהּ תְּרֵין אוֹרְחִין דִּילֵיהּ, </w:t>
      </w:r>
      <w:r>
        <w:rPr>
          <w:rStyle w:val="a7"/>
          <w:b w:val="0"/>
          <w:bCs w:val="0"/>
          <w:rtl/>
        </w:rPr>
        <w:footnoteReference w:id="4598"/>
      </w:r>
      <w:r>
        <w:rPr>
          <w:b w:val="0"/>
          <w:bCs w:val="0"/>
          <w:rtl/>
        </w:rPr>
        <w:t>דְּאִינוּן מָוְת וְחַיִּים בְּיַד לָשׁוֹן.</w:t>
      </w:r>
    </w:p>
    <w:p w:rsidR="00602EF1" w:rsidRDefault="00602EF1" w:rsidP="00602EF1">
      <w:pPr>
        <w:pStyle w:val="NormalWeb"/>
        <w:rPr>
          <w:b w:val="0"/>
          <w:bCs w:val="0"/>
          <w:rtl/>
        </w:rPr>
      </w:pPr>
      <w:r>
        <w:rPr>
          <w:b w:val="0"/>
          <w:bCs w:val="0"/>
          <w:rtl/>
        </w:rPr>
        <w:t xml:space="preserve">וְאַחֲזֵי לֵיהּ דְּלָא הֲוָה מְעָרֵב טוֹב בְּרָע, דְּאַפְרִישׁ לוֹן קוּדְשָׁא בְּרִיךְ הוּא, כְּמָה דְאַתְּ אָמַר </w:t>
      </w:r>
      <w:r>
        <w:rPr>
          <w:b w:val="0"/>
          <w:sz w:val="20"/>
          <w:szCs w:val="23"/>
          <w:rtl/>
        </w:rPr>
        <w:t>(בראשית א ד)</w:t>
      </w:r>
      <w:r>
        <w:rPr>
          <w:b w:val="0"/>
          <w:bCs w:val="0"/>
          <w:rtl/>
        </w:rPr>
        <w:t xml:space="preserve"> וַיַּבְדֵּל אלהי''ם בֵּין הָאוֹר וּבֵין הַחֹשֶׁךְ, וְרָזָא דְמִלָּה וְהִבְדִּילָה הַפָּרֹכֶת לָכֶם </w:t>
      </w:r>
      <w:r>
        <w:rPr>
          <w:b w:val="0"/>
          <w:sz w:val="20"/>
          <w:szCs w:val="23"/>
          <w:rtl/>
        </w:rPr>
        <w:t>(שמות כו לג)</w:t>
      </w:r>
      <w:r>
        <w:rPr>
          <w:b w:val="0"/>
          <w:bCs w:val="0"/>
          <w:rtl/>
        </w:rPr>
        <w:t xml:space="preserve">, וְהָכִי עָבַד קוּדְשָׁא בְּרִיךְ הוּא </w:t>
      </w:r>
      <w:r>
        <w:rPr>
          <w:rStyle w:val="a7"/>
          <w:b w:val="0"/>
          <w:bCs w:val="0"/>
          <w:rtl/>
        </w:rPr>
        <w:footnoteReference w:id="4599"/>
      </w:r>
      <w:r>
        <w:rPr>
          <w:b w:val="0"/>
          <w:bCs w:val="0"/>
          <w:rtl/>
        </w:rPr>
        <w:t xml:space="preserve">בְּגוּפָא דְבַר נַשׁ טַרְפְּשָׁא, דְאַפְרִישׁ בֵּין דַּרְגִּין דְּאִילָנָא דְטוֹב, וּבֵין דַּרְגִּין דְּאִילָנָא דְרָע, </w:t>
      </w:r>
      <w:r>
        <w:rPr>
          <w:rStyle w:val="a7"/>
          <w:b w:val="0"/>
          <w:bCs w:val="0"/>
          <w:rtl/>
        </w:rPr>
        <w:footnoteReference w:id="4600"/>
      </w:r>
      <w:r>
        <w:rPr>
          <w:b w:val="0"/>
          <w:bCs w:val="0"/>
          <w:rtl/>
        </w:rPr>
        <w:t xml:space="preserve">וּמַנִּי לוֹן דְּלָא לְעָרְבָא טוֹב עִם רָע, כְּמָה דְאַתְּ אָמַר </w:t>
      </w:r>
      <w:r>
        <w:rPr>
          <w:b w:val="0"/>
          <w:sz w:val="20"/>
          <w:szCs w:val="23"/>
          <w:rtl/>
        </w:rPr>
        <w:t>(בראשית ב יז)</w:t>
      </w:r>
      <w:r>
        <w:rPr>
          <w:b w:val="0"/>
          <w:bCs w:val="0"/>
          <w:rtl/>
        </w:rPr>
        <w:t xml:space="preserve"> וּמֵעִץ הַדַּעַת טוֹב וָרָע לֹא תֹאכַל מִמֶּנּוּ, קוּדְשָׁא בְּרִיךְ הוּא מַנִּי לֵיהּ לְאִסְתַּמְרָא מִנֵּיהּ, </w:t>
      </w:r>
      <w:r>
        <w:rPr>
          <w:rStyle w:val="a7"/>
          <w:b w:val="0"/>
          <w:bCs w:val="0"/>
          <w:rtl/>
        </w:rPr>
        <w:footnoteReference w:id="4601"/>
      </w:r>
      <w:r>
        <w:rPr>
          <w:b w:val="0"/>
          <w:bCs w:val="0"/>
          <w:rtl/>
        </w:rPr>
        <w:t xml:space="preserve">וּלְבָתַר אָמַר אִיהוּ </w:t>
      </w:r>
      <w:r>
        <w:rPr>
          <w:b w:val="0"/>
          <w:sz w:val="20"/>
          <w:szCs w:val="23"/>
          <w:rtl/>
        </w:rPr>
        <w:t>(שם ג יב)</w:t>
      </w:r>
      <w:r>
        <w:rPr>
          <w:b w:val="0"/>
          <w:bCs w:val="0"/>
          <w:rtl/>
        </w:rPr>
        <w:t xml:space="preserve"> הָאִשָּׁה אֲשֶׁר נָתַתָּ עִמָּדִי וְגוֹמֵר.</w:t>
      </w:r>
    </w:p>
    <w:p w:rsidR="00602EF1" w:rsidRDefault="00602EF1" w:rsidP="00602EF1">
      <w:pPr>
        <w:pStyle w:val="aa"/>
        <w:spacing w:after="40"/>
        <w:rPr>
          <w:rtl/>
        </w:rPr>
      </w:pPr>
      <w:r>
        <w:rPr>
          <w:rtl/>
        </w:rPr>
        <w:t xml:space="preserve">[תיקוני זוהר - דף קב ע''א] </w:t>
      </w:r>
    </w:p>
    <w:p w:rsidR="00602EF1" w:rsidRDefault="00602EF1" w:rsidP="00602EF1">
      <w:pPr>
        <w:pStyle w:val="NormalWeb"/>
        <w:rPr>
          <w:b w:val="0"/>
          <w:bCs w:val="0"/>
          <w:rtl/>
        </w:rPr>
      </w:pPr>
      <w:r>
        <w:rPr>
          <w:rStyle w:val="a7"/>
          <w:b w:val="0"/>
          <w:bCs w:val="0"/>
          <w:rtl/>
        </w:rPr>
        <w:footnoteReference w:id="4602"/>
      </w:r>
      <w:r>
        <w:rPr>
          <w:b w:val="0"/>
          <w:bCs w:val="0"/>
          <w:rtl/>
        </w:rPr>
        <w:t xml:space="preserve">אַדְהָכִי הָא סָבָא חַד אִזְדַּמַּן לֵיהּ, וְאָמַר רַבִּי רַבִּי, הָא חֲזֵינָא קְרָא דְּאָמַר בְּאוֹרַיְיתָא </w:t>
      </w:r>
      <w:r>
        <w:rPr>
          <w:b w:val="0"/>
          <w:sz w:val="20"/>
          <w:szCs w:val="23"/>
          <w:rtl/>
        </w:rPr>
        <w:t>(במדבר יט יד)</w:t>
      </w:r>
      <w:r>
        <w:rPr>
          <w:b w:val="0"/>
          <w:bCs w:val="0"/>
          <w:rtl/>
        </w:rPr>
        <w:t xml:space="preserve"> אָדָם כִּי יָמוּת בְּאֹהֶל, וְהָא אוֹרַיְיתָא קֳדָם דְּאִתְבְּרִי עָלְמָא הֲוַת, וַחֲזֵינָא דְעָלְמָא אַקְדִּים לְאָדָם, דְּכָל עָלְמָא וְצָרְכוֹי אִתְבְּרִיאוּ קֳדָם דְּאִתְבְּרִי אָדָם, אִי הָכִי מַאי תַּקַּנְתָּא אִית הָכָא, </w:t>
      </w:r>
      <w:r>
        <w:rPr>
          <w:rStyle w:val="a7"/>
          <w:b w:val="0"/>
          <w:bCs w:val="0"/>
          <w:rtl/>
        </w:rPr>
        <w:footnoteReference w:id="4603"/>
      </w:r>
      <w:r>
        <w:rPr>
          <w:b w:val="0"/>
          <w:bCs w:val="0"/>
          <w:rtl/>
        </w:rPr>
        <w:t xml:space="preserve">אָמַר לֵיהּ סָבָא וְהָא כְּתִיב דְּנִשְׁמָתִין דְּצַדִּיקַיָּיא אִתְבְּרִיאוּ קֳדָם דְּאִתְבְּרִי עָלְמָא, כְּמָה דְאַתְּ אָמַר </w:t>
      </w:r>
      <w:r>
        <w:rPr>
          <w:b w:val="0"/>
          <w:sz w:val="20"/>
          <w:szCs w:val="23"/>
          <w:rtl/>
        </w:rPr>
        <w:t>(בראשית א א)</w:t>
      </w:r>
      <w:r>
        <w:rPr>
          <w:b w:val="0"/>
          <w:bCs w:val="0"/>
          <w:rtl/>
        </w:rPr>
        <w:t xml:space="preserve"> בְּרֵאשִׁית בָּרָא אלהי''ם </w:t>
      </w:r>
      <w:r>
        <w:rPr>
          <w:rStyle w:val="a7"/>
          <w:b w:val="0"/>
          <w:bCs w:val="0"/>
          <w:rtl/>
        </w:rPr>
        <w:footnoteReference w:id="4604"/>
      </w:r>
      <w:r>
        <w:rPr>
          <w:b w:val="0"/>
          <w:bCs w:val="0"/>
          <w:rtl/>
        </w:rPr>
        <w:t xml:space="preserve">וְלֵית רֵאשִׁית אֶלָּא נְשָׁמָה, דְאִתְּמַר בֵּיהּ </w:t>
      </w:r>
      <w:r>
        <w:rPr>
          <w:b w:val="0"/>
          <w:sz w:val="20"/>
          <w:szCs w:val="23"/>
          <w:rtl/>
        </w:rPr>
        <w:t>(משלי כ כז)</w:t>
      </w:r>
      <w:r>
        <w:rPr>
          <w:b w:val="0"/>
          <w:bCs w:val="0"/>
          <w:rtl/>
        </w:rPr>
        <w:t xml:space="preserve"> נֵר יהו''ה נִשְׁמַת אָדָם, אִיהִי נִשְׁמָתָא דְאָדָם דִּלְעִילָא, אֶלָּא אִית אָדָם וְאִית אָדָם, אִית אָדָם דְּאִיהוּ אָדָם דְּנִשְׁמָתָא, וְאִית אָדָם דְּגוּפָא, דְּאִתְּמַר בֵּיהּ </w:t>
      </w:r>
      <w:r>
        <w:rPr>
          <w:b w:val="0"/>
          <w:sz w:val="20"/>
          <w:szCs w:val="23"/>
          <w:rtl/>
        </w:rPr>
        <w:t>(תהלים קמד ד)</w:t>
      </w:r>
      <w:r>
        <w:rPr>
          <w:b w:val="0"/>
          <w:bCs w:val="0"/>
          <w:rtl/>
        </w:rPr>
        <w:t xml:space="preserve"> אָדָם לַהֶבֶל דָּמָה, וַעֲלֵיהּ אִתְּמַר </w:t>
      </w:r>
      <w:r>
        <w:rPr>
          <w:b w:val="0"/>
          <w:sz w:val="20"/>
          <w:szCs w:val="23"/>
          <w:rtl/>
        </w:rPr>
        <w:t>(במדבר יט יד)</w:t>
      </w:r>
      <w:r>
        <w:rPr>
          <w:b w:val="0"/>
          <w:bCs w:val="0"/>
          <w:rtl/>
        </w:rPr>
        <w:t xml:space="preserve"> אָדָם כִּי יָמוּת בְּאֹהֶל, וַעֲלֵיהּ אִתְּמַר </w:t>
      </w:r>
      <w:r>
        <w:rPr>
          <w:b w:val="0"/>
          <w:sz w:val="20"/>
          <w:szCs w:val="23"/>
          <w:rtl/>
        </w:rPr>
        <w:t>(ירמיה יז ה)</w:t>
      </w:r>
      <w:r>
        <w:rPr>
          <w:b w:val="0"/>
          <w:szCs w:val="23"/>
          <w:rtl/>
        </w:rPr>
        <w:t xml:space="preserve"> </w:t>
      </w:r>
      <w:r>
        <w:rPr>
          <w:rStyle w:val="Char"/>
          <w:rtl/>
        </w:rPr>
        <w:t xml:space="preserve">אָרוּר הַגֶּבֶר </w:t>
      </w:r>
      <w:r>
        <w:rPr>
          <w:rStyle w:val="a7"/>
          <w:b w:val="0"/>
          <w:bCs w:val="0"/>
          <w:rtl/>
        </w:rPr>
        <w:footnoteReference w:id="4605"/>
      </w:r>
      <w:r>
        <w:rPr>
          <w:rStyle w:val="Char"/>
          <w:rtl/>
        </w:rPr>
        <w:t>אֲשֶׁר יִבְטַח</w:t>
      </w:r>
      <w:r>
        <w:rPr>
          <w:b w:val="0"/>
          <w:szCs w:val="23"/>
          <w:rtl/>
        </w:rPr>
        <w:t xml:space="preserve"> </w:t>
      </w:r>
      <w:r>
        <w:rPr>
          <w:b w:val="0"/>
          <w:bCs w:val="0"/>
          <w:rtl/>
        </w:rPr>
        <w:t xml:space="preserve">בָּאָדָם וְשָׂם בָּשָׂר זְרוֹעוֹ, וְדָא סמא''ל אָדָם בְּלִיַּעַל אִישׁ אָוְן, </w:t>
      </w:r>
      <w:r>
        <w:rPr>
          <w:rStyle w:val="a7"/>
          <w:b w:val="0"/>
          <w:bCs w:val="0"/>
          <w:rtl/>
        </w:rPr>
        <w:footnoteReference w:id="4606"/>
      </w:r>
      <w:r>
        <w:rPr>
          <w:b w:val="0"/>
          <w:bCs w:val="0"/>
          <w:rtl/>
        </w:rPr>
        <w:t xml:space="preserve">וְאִית לֵיהּ תְּרֵין נוּקְבִין בִּישִׁין, וַעֲלַיְיהוּ אִתְּמַר </w:t>
      </w:r>
      <w:r>
        <w:rPr>
          <w:b w:val="0"/>
          <w:sz w:val="20"/>
          <w:szCs w:val="23"/>
          <w:rtl/>
        </w:rPr>
        <w:t>(ויקרא כא יא)</w:t>
      </w:r>
      <w:r>
        <w:rPr>
          <w:b w:val="0"/>
          <w:bCs w:val="0"/>
          <w:rtl/>
        </w:rPr>
        <w:t xml:space="preserve"> עַל כָּל נַפְשׁוֹת מֵת לֹא יָבֹא, לְאָבִיו וּלְאִמּוֹ לֹא יִטַּמָּא, </w:t>
      </w:r>
      <w:r>
        <w:rPr>
          <w:rStyle w:val="a7"/>
          <w:b w:val="0"/>
          <w:bCs w:val="0"/>
          <w:rtl/>
        </w:rPr>
        <w:footnoteReference w:id="4607"/>
      </w:r>
      <w:r>
        <w:rPr>
          <w:b w:val="0"/>
          <w:bCs w:val="0"/>
          <w:rtl/>
        </w:rPr>
        <w:t xml:space="preserve">וְלֵית אָבִיו אֶלָּא קוּדְשָׁא בְּרִיךְ הוּא, וְלֵית אִמּוֹ אֶלָּא שְׁכִינְתָּא, וְכִי לָא אִתְּמַר בְּקוּדְשָׁא בְּרִיךְ הוּא וּבִשְׁכִינְתֵּיהּ </w:t>
      </w:r>
      <w:r>
        <w:rPr>
          <w:b w:val="0"/>
          <w:sz w:val="20"/>
          <w:szCs w:val="23"/>
          <w:rtl/>
        </w:rPr>
        <w:t>(ירמיה כג כט)</w:t>
      </w:r>
      <w:r>
        <w:rPr>
          <w:b w:val="0"/>
          <w:bCs w:val="0"/>
          <w:rtl/>
        </w:rPr>
        <w:t xml:space="preserve"> הֲלֹא כֹה דְבָרִי כָּאֵשׁ נְאֻם יהו''ה, מָה אֵשׁ אֵינוֹ מְקַבֵּל טֻמְאָה הָכִי אִיהוּ לָא מְקַבֵּל טֻמְאָה, אָמַר לֵיהּ וְהָא כְּתִיב </w:t>
      </w:r>
      <w:r>
        <w:rPr>
          <w:b w:val="0"/>
          <w:sz w:val="20"/>
          <w:szCs w:val="23"/>
          <w:rtl/>
        </w:rPr>
        <w:t>(במדבר יט כ)</w:t>
      </w:r>
      <w:r>
        <w:rPr>
          <w:b w:val="0"/>
          <w:bCs w:val="0"/>
          <w:rtl/>
        </w:rPr>
        <w:t xml:space="preserve"> אֶת מִקְדַּשׁ יהו''ה טִמֵּא וְדָא שְׁכִינְתֵּיהּ, [אֶלָּא] </w:t>
      </w:r>
      <w:r>
        <w:rPr>
          <w:rtl/>
        </w:rPr>
        <w:t>(ס"א אָמַר לֵיהּ)</w:t>
      </w:r>
      <w:r>
        <w:rPr>
          <w:b w:val="0"/>
          <w:bCs w:val="0"/>
          <w:rtl/>
        </w:rPr>
        <w:t xml:space="preserve"> וַדַּאי דְּקוּדְשָׁא בְּרִיךְ הוּא וּשְׁכִינְתֵּיהּ לָא מְקַבֵּל טוּמְאָה, אֲבָל כָּל מָאן דְּסָאִיב אֲתַר דְּאִיהִי שַׁרְיָא בֵּיהּ, אִתְחֲשִׁיב לֵיהּ כְּאִלּוּ עָבִיד לֵיהּ, וּבְגִין דָּא לְאָבִיו וּלְאִמּוֹ לֹא יִטַּמָּא, וְלֵית אָבִיו אֶלָּא קוּדְשָׁא בְּרִיךְ הוּא, וְלֵית אִמּוֹ אֶלָּא שְׁכִינְתָּא, וְדָא אִיהוּ רָזָא </w:t>
      </w:r>
      <w:r>
        <w:rPr>
          <w:rStyle w:val="a7"/>
          <w:b w:val="0"/>
          <w:bCs w:val="0"/>
          <w:rtl/>
        </w:rPr>
        <w:footnoteReference w:id="4608"/>
      </w:r>
      <w:r>
        <w:rPr>
          <w:b w:val="0"/>
          <w:bCs w:val="0"/>
          <w:rtl/>
        </w:rPr>
        <w:t xml:space="preserve">מָאן דְּאַעִיל מֵרְשׁוּת הָרַבִּים לִרְשׁוּת הַיָּחִיד, וּבְגִין דָּא אָמַר </w:t>
      </w:r>
      <w:r>
        <w:rPr>
          <w:b w:val="0"/>
          <w:sz w:val="20"/>
          <w:szCs w:val="23"/>
          <w:rtl/>
        </w:rPr>
        <w:t>(ויקרא כב לב)</w:t>
      </w:r>
      <w:r>
        <w:rPr>
          <w:b w:val="0"/>
          <w:bCs w:val="0"/>
          <w:rtl/>
        </w:rPr>
        <w:t xml:space="preserve"> וְלֹא תְחַלְּלוּ אֶת שֵׁם קָדְשִׁי, </w:t>
      </w:r>
      <w:r>
        <w:rPr>
          <w:rStyle w:val="a7"/>
          <w:b w:val="0"/>
          <w:bCs w:val="0"/>
          <w:rtl/>
        </w:rPr>
        <w:footnoteReference w:id="4609"/>
      </w:r>
      <w:r>
        <w:rPr>
          <w:b w:val="0"/>
          <w:bCs w:val="0"/>
          <w:rtl/>
        </w:rPr>
        <w:t xml:space="preserve">וְדָא אדנ''י, דְּאִיהוּ רְשׁוּת הַיָּחִיד דְּאִיהוּ יהו''ה </w:t>
      </w:r>
      <w:r>
        <w:rPr>
          <w:rStyle w:val="a7"/>
          <w:b w:val="0"/>
          <w:bCs w:val="0"/>
          <w:rtl/>
        </w:rPr>
        <w:footnoteReference w:id="4610"/>
      </w:r>
      <w:r>
        <w:rPr>
          <w:b w:val="0"/>
          <w:bCs w:val="0"/>
          <w:rtl/>
        </w:rPr>
        <w:t xml:space="preserve">יְחִידוֹ דְעָלְמָא, וְדָא אִיהוּ אָדָם דְּנִשְׁמְתָא. </w:t>
      </w:r>
      <w:r>
        <w:rPr>
          <w:b w:val="0"/>
          <w:sz w:val="20"/>
          <w:szCs w:val="23"/>
          <w:rtl/>
        </w:rPr>
        <w:t>(ובגין דא לאביו ולאמו לא יטמא, ודא איהו רזא מאן דאעיל מרשות הרבים לרשות היחיד, ובגין דא אמר)</w:t>
      </w:r>
      <w:r>
        <w:rPr>
          <w:b w:val="0"/>
          <w:bCs w:val="0"/>
          <w:rtl/>
        </w:rPr>
        <w:t xml:space="preserve"> </w:t>
      </w:r>
      <w:r>
        <w:rPr>
          <w:b w:val="0"/>
          <w:sz w:val="20"/>
          <w:szCs w:val="23"/>
          <w:rtl/>
        </w:rPr>
        <w:t>(במדבר יט יד)</w:t>
      </w:r>
      <w:r>
        <w:rPr>
          <w:b w:val="0"/>
          <w:bCs w:val="0"/>
          <w:rtl/>
        </w:rPr>
        <w:t xml:space="preserve"> אָדָם כִּי יָמוּת בְּאֹהֶל, דָּא אָדָם בְּלִיַּעַל, וּמִסִּטְרָא דָא </w:t>
      </w:r>
      <w:r>
        <w:rPr>
          <w:b w:val="0"/>
          <w:sz w:val="20"/>
          <w:szCs w:val="23"/>
          <w:rtl/>
        </w:rPr>
        <w:t xml:space="preserve">(דף קב ע''א) </w:t>
      </w:r>
      <w:r>
        <w:rPr>
          <w:b w:val="0"/>
          <w:bCs w:val="0"/>
          <w:rtl/>
        </w:rPr>
        <w:t xml:space="preserve">בַּר נַשׁ רָשָׁע </w:t>
      </w:r>
      <w:r>
        <w:rPr>
          <w:rStyle w:val="a7"/>
          <w:b w:val="0"/>
          <w:bCs w:val="0"/>
          <w:rtl/>
        </w:rPr>
        <w:footnoteReference w:id="4611"/>
      </w:r>
      <w:r>
        <w:rPr>
          <w:b w:val="0"/>
          <w:bCs w:val="0"/>
          <w:rtl/>
        </w:rPr>
        <w:t>קָרוּי מֵת מֵעִיקָרָא מִקַּמֵּי דְאִתְבְּרִי עָלְמָא, אֲבָל לָא אִתְּמַר עַל אָדָם דְּאִיהוּ מִסִּטְרָא דְקוּדְשָׁא, וְכַמָּה טִפְּשִׁין אִינוּן בְּעָלְמָא דְאָמְרִין הָא קוּדְשָׁא בְּרִיךְ הוּא גָזַר עַל בַּר נַשׁ דְּיָמוּת, הֲדָא הוּא דִכְתִיב אָדָם כִּי יָמוּת, וְאֵיךְ אָמְרִין דְּלָא יְהֵא מִיתָה מִינֵיהּ, וַי לוֹן דְּטַב לוֹן דְּלָא אִתְבְּרִיאוּ בְעָלְמָא, דְאִלֵּין אִינוּן דְּשַׁוְיָן לוֹן, שַׁוְיָן לְאָדָם דְּאִתְקְרֵי יִשְׂרָאֵל וּלְאָדָם בְּלִיַּעַל, וְאָמְרִין כְּאָדָם טוֹב כַּחוֹטֵא כּוּלְהוֹן שָׁוִין, יִהְיוּ כְמוֹץ לִפְנֵי רוּחַ אִלֵּין חַיָּיבַיָּא דְאָמְרֵי הָכִי, וּמַלְאַךְ יהו''ה דּוֹחֶה מִנַּיְיהוּ.</w:t>
      </w:r>
    </w:p>
    <w:p w:rsidR="00602EF1" w:rsidRDefault="00602EF1" w:rsidP="00602EF1">
      <w:pPr>
        <w:pStyle w:val="NormalWeb"/>
        <w:rPr>
          <w:b w:val="0"/>
          <w:bCs w:val="0"/>
          <w:rtl/>
        </w:rPr>
      </w:pPr>
      <w:r>
        <w:rPr>
          <w:b w:val="0"/>
          <w:bCs w:val="0"/>
          <w:rtl/>
        </w:rPr>
        <w:t xml:space="preserve">דְּאִית אָדָם דְּאִיהוּ יִשְׂרָאֵל, וְאִית אָדָם דְּאִיהוּ מַלְאָךְ וְדָא מטטרו''ן, וְאִית אָדָם בְּדִיּוֹקְנָא דְקוּדְשָׁא בְּרִיךְ הוּא דְאִיהוּ אֲצִילוּתֵיהּ, וְדָא יו''ד ה''א וא''ו ה''א, וְלֵית לֵיהּ בְּרִיאָה וִיצִירָה וַעֲשִׂיָּה אֶלָּא אֲצִילוּתָא, וּבַאֲתַר דָּא לֵית חֵטְא וְלָא מָוְת, הֲדָא הוּא דִכְתִיב </w:t>
      </w:r>
      <w:r>
        <w:rPr>
          <w:b w:val="0"/>
          <w:sz w:val="20"/>
          <w:szCs w:val="23"/>
          <w:rtl/>
        </w:rPr>
        <w:t>(תהלים ה ה)</w:t>
      </w:r>
      <w:r>
        <w:rPr>
          <w:b w:val="0"/>
          <w:bCs w:val="0"/>
          <w:rtl/>
        </w:rPr>
        <w:t xml:space="preserve"> לֹא יְגוּרְךָ רָע, וְעַל הַאי אָדָם בְּלִיַּעַל מַנִּי קוּדְשָׁא בְּרִיךְ הוּא דְלָא לְמֵיכַל מִנֵּיהּ, </w:t>
      </w:r>
      <w:r>
        <w:rPr>
          <w:rStyle w:val="a7"/>
          <w:b w:val="0"/>
          <w:bCs w:val="0"/>
          <w:rtl/>
        </w:rPr>
        <w:footnoteReference w:id="4612"/>
      </w:r>
      <w:r>
        <w:rPr>
          <w:b w:val="0"/>
          <w:bCs w:val="0"/>
          <w:rtl/>
        </w:rPr>
        <w:t xml:space="preserve">וּדְלָא לְעָרְבָא לֵיהּ עִם טוֹב, דְּהַאי אִיהוּ כְּמָאן דְּעָרֵיב כַּסְפָּא עִם עוֹפָרֶת, וְדָא גָרִים בִּלְבּוּלָא בְּפַמַּלְיָא דִלְעִילָא, וְעָרַב חֲשׁוֹכָא בִנְהוֹרָא מַה דְּאַפְרִישׁ קוּדְשָׁא בְּרִיךְ הוּא, כְּמָה דְאַתְּ אָמַר </w:t>
      </w:r>
      <w:r>
        <w:rPr>
          <w:b w:val="0"/>
          <w:sz w:val="20"/>
          <w:szCs w:val="23"/>
          <w:rtl/>
        </w:rPr>
        <w:t>(בראשית א ד)</w:t>
      </w:r>
      <w:r>
        <w:rPr>
          <w:b w:val="0"/>
          <w:bCs w:val="0"/>
          <w:rtl/>
        </w:rPr>
        <w:t xml:space="preserve"> וַיַּבְדֵּל אלהי''ם בֵּין הָאוֹר וּבֵין הַחֹשֶׁךְ.</w:t>
      </w:r>
    </w:p>
    <w:p w:rsidR="00602EF1" w:rsidRDefault="00602EF1" w:rsidP="00602EF1">
      <w:pPr>
        <w:pStyle w:val="NormalWeb"/>
        <w:rPr>
          <w:b w:val="0"/>
          <w:bCs w:val="0"/>
          <w:rtl/>
        </w:rPr>
      </w:pPr>
      <w:r>
        <w:rPr>
          <w:rStyle w:val="a7"/>
          <w:b w:val="0"/>
          <w:bCs w:val="0"/>
          <w:rtl/>
        </w:rPr>
        <w:footnoteReference w:id="4613"/>
      </w:r>
      <w:r>
        <w:rPr>
          <w:b w:val="0"/>
          <w:bCs w:val="0"/>
          <w:rtl/>
        </w:rPr>
        <w:t xml:space="preserve">וְלָא עוֹד אֶלָּא מָאן דְּאַעִיל זַרְעִיהּ בַּנִּדָּה אוֹ שִׁפְחָה אוֹ גוֹיָה אוֹ זוֹנָה, כְּאִלּוּ מְעָרֵב מַה דְּאַפְרִישׁ קוּדְשָׁא בְּרִיךְ הוּא, דִכְתִיב </w:t>
      </w:r>
      <w:r>
        <w:rPr>
          <w:b w:val="0"/>
          <w:sz w:val="20"/>
          <w:szCs w:val="23"/>
          <w:rtl/>
        </w:rPr>
        <w:t>(שם ו)</w:t>
      </w:r>
      <w:r>
        <w:rPr>
          <w:b w:val="0"/>
          <w:bCs w:val="0"/>
          <w:rtl/>
        </w:rPr>
        <w:t xml:space="preserve"> וִיהִי מַבְדִּיל בֵּין מַיִם לָמָיִם, דְּאִינוּן מֵי נִדָּה לְמֵי דַכְיָא, </w:t>
      </w:r>
      <w:r>
        <w:rPr>
          <w:rStyle w:val="a7"/>
          <w:b w:val="0"/>
          <w:bCs w:val="0"/>
          <w:rtl/>
        </w:rPr>
        <w:footnoteReference w:id="4614"/>
      </w:r>
      <w:r>
        <w:rPr>
          <w:b w:val="0"/>
          <w:bCs w:val="0"/>
          <w:rtl/>
        </w:rPr>
        <w:t xml:space="preserve">דְּדָא אָסוּר וְדָא מוּתָּר, וְדָא כָּשֵׁר וְדָא פָסוּל, דָּא טוּמְאָה וְדָא טַהֲרָה, אִלֵּין אִינוּן שִׁית סִדְרִין דְּאִתְיְהִיבַת בְּהוֹן </w:t>
      </w:r>
      <w:r>
        <w:rPr>
          <w:rStyle w:val="a7"/>
          <w:b w:val="0"/>
          <w:bCs w:val="0"/>
          <w:rtl/>
        </w:rPr>
        <w:footnoteReference w:id="4615"/>
      </w:r>
      <w:r>
        <w:rPr>
          <w:b w:val="0"/>
          <w:bCs w:val="0"/>
          <w:rtl/>
        </w:rPr>
        <w:t>מִשְׁנָה</w:t>
      </w:r>
      <w:r>
        <w:rPr>
          <w:b w:val="0"/>
          <w:szCs w:val="23"/>
          <w:rtl/>
        </w:rPr>
        <w:t xml:space="preserve"> </w:t>
      </w:r>
      <w:r>
        <w:rPr>
          <w:b w:val="0"/>
          <w:sz w:val="20"/>
          <w:szCs w:val="23"/>
          <w:rtl/>
        </w:rPr>
        <w:t>(ס''א למשה)</w:t>
      </w:r>
      <w:r>
        <w:rPr>
          <w:b w:val="0"/>
          <w:bCs w:val="0"/>
          <w:rtl/>
        </w:rPr>
        <w:t>, לְאַפְרָשָׁא בֵּין טוֹב לָרָע, דְּעָרַב לוֹן אָדָם וְדָרִין דְּאָתוּ אַבַּתְרֵיהּ.</w:t>
      </w:r>
    </w:p>
    <w:p w:rsidR="00602EF1" w:rsidRDefault="00602EF1" w:rsidP="00602EF1">
      <w:pPr>
        <w:pStyle w:val="1"/>
        <w:rPr>
          <w:u w:val="single"/>
          <w:rtl/>
        </w:rPr>
      </w:pPr>
      <w:bookmarkStart w:id="301" w:name="_Toc228091346"/>
      <w:bookmarkStart w:id="302" w:name="_Toc231637985"/>
      <w:r>
        <w:rPr>
          <w:rtl/>
        </w:rPr>
        <w:t>תקונא תמניא ושתין</w:t>
      </w:r>
      <w:bookmarkEnd w:id="301"/>
      <w:bookmarkEnd w:id="302"/>
    </w:p>
    <w:p w:rsidR="00602EF1" w:rsidRPr="00DA6712" w:rsidRDefault="00602EF1" w:rsidP="00DA6712">
      <w:pPr>
        <w:pStyle w:val="NormalWeb"/>
        <w:rPr>
          <w:b w:val="0"/>
          <w:bCs w:val="0"/>
          <w:sz w:val="24"/>
          <w:rtl/>
        </w:rPr>
      </w:pPr>
      <w:r w:rsidRPr="00DA6712">
        <w:rPr>
          <w:rStyle w:val="a7"/>
          <w:b w:val="0"/>
          <w:bCs w:val="0"/>
          <w:sz w:val="24"/>
          <w:rtl/>
        </w:rPr>
        <w:footnoteReference w:id="4616"/>
      </w:r>
      <w:r w:rsidRPr="00DA6712">
        <w:rPr>
          <w:b w:val="0"/>
          <w:bCs w:val="0"/>
          <w:sz w:val="24"/>
          <w:rtl/>
        </w:rPr>
        <w:t xml:space="preserve">בְּרֵאשִׁית בָּרָא אלהי''ם, </w:t>
      </w:r>
      <w:r w:rsidRPr="00DA6712">
        <w:rPr>
          <w:b w:val="0"/>
          <w:bCs w:val="0"/>
          <w:sz w:val="24"/>
          <w:szCs w:val="20"/>
          <w:rtl/>
        </w:rPr>
        <w:t>מַאי</w:t>
      </w:r>
      <w:r w:rsidRPr="00DA6712">
        <w:rPr>
          <w:b w:val="0"/>
          <w:bCs w:val="0"/>
          <w:sz w:val="24"/>
          <w:rtl/>
        </w:rPr>
        <w:t xml:space="preserve"> אלהי''ם, לַהַט הַחֶרֶב הַמִּתְהַפֶּכֶת לִשְׁמוֹר אֶת דֶּרֶךְ עִץ הַחַיִּים </w:t>
      </w:r>
      <w:r w:rsidRPr="00DA6712">
        <w:rPr>
          <w:b w:val="0"/>
          <w:bCs w:val="0"/>
          <w:sz w:val="24"/>
          <w:szCs w:val="20"/>
          <w:rtl/>
        </w:rPr>
        <w:t>(בראשית ג כד)</w:t>
      </w:r>
      <w:r w:rsidRPr="00DA6712">
        <w:rPr>
          <w:b w:val="0"/>
          <w:bCs w:val="0"/>
          <w:sz w:val="24"/>
          <w:rtl/>
        </w:rPr>
        <w:t xml:space="preserve">, מַטֵּה הָאלהי''ם וַדַּאי, וְדָא מטטרו''ן, וְהָא אוּקִימְנָא לֵיהּ דְּאִתְהַפַּךְ מִדִּינָא לְרַחֲמֵי, </w:t>
      </w:r>
      <w:r w:rsidRPr="00DA6712">
        <w:rPr>
          <w:rStyle w:val="a7"/>
          <w:b w:val="0"/>
          <w:bCs w:val="0"/>
          <w:sz w:val="24"/>
          <w:rtl/>
        </w:rPr>
        <w:footnoteReference w:id="4617"/>
      </w:r>
      <w:r w:rsidRPr="00DA6712">
        <w:rPr>
          <w:b w:val="0"/>
          <w:bCs w:val="0"/>
          <w:sz w:val="24"/>
          <w:rtl/>
        </w:rPr>
        <w:t xml:space="preserve">וּבֵיהּ אִשְׁתַּנִּיּוּ </w:t>
      </w:r>
      <w:r w:rsidRPr="00DA6712">
        <w:rPr>
          <w:b w:val="0"/>
          <w:bCs w:val="0"/>
          <w:sz w:val="24"/>
          <w:szCs w:val="20"/>
          <w:rtl/>
        </w:rPr>
        <w:t>(נ''א אשתכחו)</w:t>
      </w:r>
      <w:r w:rsidRPr="00DA6712">
        <w:rPr>
          <w:b w:val="0"/>
          <w:bCs w:val="0"/>
          <w:sz w:val="24"/>
          <w:rtl/>
        </w:rPr>
        <w:t xml:space="preserve"> כָּל דִּיּוֹקְנִין דְּלָא דָמוּ דָא לְדָא, כַּד אִתְהַפַּךְ מִימִינָא לִשְׂמָאלָא אַחֲזֵי פַּרְצוּפָא דְשׁוֹר, וְכַד אִתְהַפַּךְ מִשְּׂמָאלָא לִימִינָא אַחֲזֵי פַּרְצוּפָא דְאַרְיֵה, וְכַד אִתְהַפַּךְ מִתַּרְוַיְיהוּ לְמַעֲרָב אַחְזִיר אַנְפּוֹי וְאִתְהַפַּךְ לְנֶשֶׁר </w:t>
      </w:r>
      <w:r w:rsidRPr="00DA6712">
        <w:rPr>
          <w:b w:val="0"/>
          <w:bCs w:val="0"/>
          <w:sz w:val="24"/>
          <w:szCs w:val="20"/>
          <w:rtl/>
        </w:rPr>
        <w:t>(נ''א לאדם)</w:t>
      </w:r>
      <w:r w:rsidRPr="00DA6712">
        <w:rPr>
          <w:b w:val="0"/>
          <w:bCs w:val="0"/>
          <w:sz w:val="24"/>
          <w:rtl/>
        </w:rPr>
        <w:t xml:space="preserve">, וְכַד אִתְהַפַּךְ מִתַּרְוַיְיהוּ לְמִזְרָח דְּאִיהוּ בְּאֶמְצָעִיתָא אִתְהַפַּךְ לְאָדָם </w:t>
      </w:r>
      <w:r w:rsidRPr="00DA6712">
        <w:rPr>
          <w:b w:val="0"/>
          <w:bCs w:val="0"/>
          <w:sz w:val="24"/>
          <w:szCs w:val="20"/>
          <w:rtl/>
        </w:rPr>
        <w:t>(נ''א לנשר)</w:t>
      </w:r>
      <w:r w:rsidRPr="00DA6712">
        <w:rPr>
          <w:b w:val="0"/>
          <w:bCs w:val="0"/>
          <w:sz w:val="24"/>
          <w:rtl/>
        </w:rPr>
        <w:t>, מִלְּמַטָּה לְנֶשֶׁר, לֵית דִּיּוֹקְנָא בְעָלְמָא דְּלָא אִשְׁתְּמוֹדָע בֵּיהּ.</w:t>
      </w:r>
    </w:p>
    <w:p w:rsidR="00602EF1" w:rsidRDefault="00602EF1" w:rsidP="00DA6712">
      <w:pPr>
        <w:pStyle w:val="NormalWeb"/>
        <w:rPr>
          <w:szCs w:val="23"/>
          <w:rtl/>
        </w:rPr>
      </w:pPr>
      <w:r>
        <w:rPr>
          <w:rtl/>
        </w:rPr>
        <w:t xml:space="preserve">תְּרֵין עֲשַׂר מַזָּלוֹת אִתְחַזְיָין בֵּיהּ, וְכָל דִּיּוֹקְנִין דְּמַלְאָכַיָּיא וְדִיּוֹקְנִין דְּנִשְׁמָתִין וְדִיּוֹקְנִין דְּכָל מַה דְּאִתְבְּרִי בִּשְׁמַיָּא וּבְאַרְעָא, </w:t>
      </w:r>
      <w:r>
        <w:rPr>
          <w:szCs w:val="23"/>
          <w:rtl/>
        </w:rPr>
        <w:t>(לאו איהו דיוקנא דאדם שלים בכל תקונין, אלא אם כלא הוה)</w:t>
      </w:r>
      <w:r>
        <w:rPr>
          <w:rtl/>
        </w:rPr>
        <w:t xml:space="preserve"> </w:t>
      </w:r>
      <w:r>
        <w:rPr>
          <w:rStyle w:val="a7"/>
          <w:szCs w:val="29"/>
          <w:rtl/>
        </w:rPr>
        <w:footnoteReference w:id="4618"/>
      </w:r>
      <w:r>
        <w:rPr>
          <w:rtl/>
        </w:rPr>
        <w:t xml:space="preserve">הוּא כְּלִיל בִּשְׁמַיָּא וְאַרְעָא וְשִׁמְשָׁא וְסִיהֲרָא וְכֹכְבַיָּא וּמַזָּלַיָּא וְכָרְסַיָּא וּמַלְאָכַיָּא וְגַן עִדֶן וְגֵיהִנָּם, </w:t>
      </w:r>
      <w:r>
        <w:rPr>
          <w:rStyle w:val="a7"/>
          <w:szCs w:val="29"/>
          <w:rtl/>
        </w:rPr>
        <w:footnoteReference w:id="4619"/>
      </w:r>
      <w:r>
        <w:rPr>
          <w:rtl/>
        </w:rPr>
        <w:t xml:space="preserve">מִסִּטְרָא דְתַרְוַיְיהוּ אִתְיְהִיב יֵצֶר הַטּוֹב וְיֵצֶר הָרָע, גַּן עִדֶן - מָצָא אִשָּׁה מָצָא טוֹב </w:t>
      </w:r>
      <w:r>
        <w:rPr>
          <w:szCs w:val="23"/>
          <w:rtl/>
        </w:rPr>
        <w:t>(משלי יח כב)</w:t>
      </w:r>
      <w:r>
        <w:rPr>
          <w:rtl/>
        </w:rPr>
        <w:t xml:space="preserve">, גֵּיהִנָּם - וּמוֹצֶא אֲנִי מַר מִמָּוְת אֶת הָאִשָּׁה </w:t>
      </w:r>
      <w:r>
        <w:rPr>
          <w:szCs w:val="23"/>
          <w:rtl/>
        </w:rPr>
        <w:t>(קהלת ז כו)</w:t>
      </w:r>
      <w:r>
        <w:rPr>
          <w:rtl/>
        </w:rPr>
        <w:t xml:space="preserve">, וְתַרְוַיְיהוּ בְּלִבָּא, לֵב חָכָם לִימִינוֹ וְלֵב כְּסִיל לִשְׂמֹאלוֹ </w:t>
      </w:r>
      <w:r>
        <w:rPr>
          <w:szCs w:val="23"/>
          <w:rtl/>
        </w:rPr>
        <w:t>(שם י ב).</w:t>
      </w:r>
    </w:p>
    <w:p w:rsidR="0020255E" w:rsidRDefault="0020255E" w:rsidP="00DA6712">
      <w:pPr>
        <w:pStyle w:val="1"/>
        <w:rPr>
          <w:rtl/>
        </w:rPr>
      </w:pPr>
      <w:bookmarkStart w:id="303" w:name="_Toc228091347"/>
      <w:bookmarkStart w:id="304" w:name="_Toc231637986"/>
      <w:r>
        <w:rPr>
          <w:rtl/>
        </w:rPr>
        <w:t>תקונא שתין ותשעה</w:t>
      </w:r>
      <w:bookmarkEnd w:id="303"/>
      <w:bookmarkEnd w:id="304"/>
    </w:p>
    <w:p w:rsidR="0020255E" w:rsidRDefault="0020255E" w:rsidP="0020255E">
      <w:pPr>
        <w:pStyle w:val="NormalWeb"/>
        <w:rPr>
          <w:b w:val="0"/>
          <w:bCs w:val="0"/>
          <w:rtl/>
        </w:rPr>
      </w:pPr>
      <w:r>
        <w:rPr>
          <w:rStyle w:val="a7"/>
          <w:b w:val="0"/>
          <w:sz w:val="20"/>
          <w:szCs w:val="23"/>
          <w:rtl/>
        </w:rPr>
        <w:footnoteReference w:id="4620"/>
      </w:r>
      <w:r>
        <w:rPr>
          <w:b w:val="0"/>
          <w:bCs w:val="0"/>
          <w:rtl/>
        </w:rPr>
        <w:t xml:space="preserve">בְּרֵאשִׁית ב' תְּרֵין חָכְמָה וּתְבוּנָה </w:t>
      </w:r>
      <w:r w:rsidRPr="00DA6712">
        <w:rPr>
          <w:b w:val="0"/>
          <w:bCs w:val="0"/>
          <w:rtl/>
        </w:rPr>
        <w:t>(ובינה)</w:t>
      </w:r>
      <w:r>
        <w:rPr>
          <w:b w:val="0"/>
          <w:bCs w:val="0"/>
          <w:rtl/>
        </w:rPr>
        <w:t xml:space="preserve">, תְּלִיתָאָה יִרְאַת יהו''ה רֵאשִׁית דָּעַת </w:t>
      </w:r>
      <w:r w:rsidRPr="00DA6712">
        <w:rPr>
          <w:b w:val="0"/>
          <w:bCs w:val="0"/>
          <w:rtl/>
        </w:rPr>
        <w:t xml:space="preserve">(משלי א ז). </w:t>
      </w:r>
      <w:r w:rsidRPr="00DA6712">
        <w:rPr>
          <w:b w:val="0"/>
          <w:bCs w:val="0"/>
          <w:rtl/>
        </w:rPr>
        <w:footnoteReference w:id="4621"/>
      </w:r>
      <w:r w:rsidRPr="00DA6712">
        <w:rPr>
          <w:b w:val="0"/>
          <w:bCs w:val="0"/>
          <w:rtl/>
        </w:rPr>
        <w:t>וּבְהַאי דַּעַת אִתְּמַר (בראשית ד א)</w:t>
      </w:r>
      <w:r>
        <w:rPr>
          <w:b w:val="0"/>
          <w:bCs w:val="0"/>
          <w:rtl/>
        </w:rPr>
        <w:t xml:space="preserve"> וְהָאָדָם יָדַע אֶת חַוָּה אִשְׁתּוֹ, דְּלֵית זִוּוּג אֶלָּא בְדַעַת </w:t>
      </w:r>
      <w:r>
        <w:rPr>
          <w:rStyle w:val="a7"/>
          <w:b w:val="0"/>
          <w:bCs w:val="0"/>
          <w:rtl/>
        </w:rPr>
        <w:footnoteReference w:id="4622"/>
      </w:r>
      <w:r>
        <w:rPr>
          <w:b w:val="0"/>
          <w:bCs w:val="0"/>
          <w:rtl/>
        </w:rPr>
        <w:t xml:space="preserve">דְּאִיהוּ עַמּוּדָא דְאֶמְצָעִיתָא, יִחוּדָא דְאַבָּא וְאִימָּא, וּכְמוֹ דְעַמּוּדָא דְאֶמְצָעִיתָא יִחוּדָא דְאַבָּא וְאִימָּא הָכִי אִיהוּ לְתַתָּא צַדִּיק יִחוּדָא דְעַמּוּדָא דְאֶמְצָעִיתָא וּשְׁכִינְתָּא דִלְתַתָּא, וְגוּף וּבְרִית עֲלַיְיהוּ אִתְּמַר </w:t>
      </w:r>
      <w:r w:rsidRPr="00DA6712">
        <w:rPr>
          <w:b w:val="0"/>
          <w:bCs w:val="0"/>
          <w:rtl/>
        </w:rPr>
        <w:t>(שמואל א ב ג)</w:t>
      </w:r>
      <w:r>
        <w:rPr>
          <w:b w:val="0"/>
          <w:bCs w:val="0"/>
          <w:rtl/>
        </w:rPr>
        <w:t xml:space="preserve"> כִּי אֵ''ל דֵּעוֹת יהו''ה וְגוֹמֵר, </w:t>
      </w:r>
      <w:r>
        <w:rPr>
          <w:rStyle w:val="a7"/>
          <w:b w:val="0"/>
          <w:bCs w:val="0"/>
          <w:rtl/>
        </w:rPr>
        <w:footnoteReference w:id="4623"/>
      </w:r>
      <w:r>
        <w:rPr>
          <w:b w:val="0"/>
          <w:bCs w:val="0"/>
          <w:rtl/>
        </w:rPr>
        <w:t xml:space="preserve">וְתַרְוַיְיהוּ עֵדוּת, </w:t>
      </w:r>
      <w:r>
        <w:rPr>
          <w:rStyle w:val="a7"/>
          <w:b w:val="0"/>
          <w:bCs w:val="0"/>
          <w:rtl/>
        </w:rPr>
        <w:footnoteReference w:id="4624"/>
      </w:r>
      <w:r>
        <w:rPr>
          <w:b w:val="0"/>
          <w:bCs w:val="0"/>
          <w:rtl/>
        </w:rPr>
        <w:t>דְּלֵית עֵדוּת פָּחוּת מִתְּרֵין.</w:t>
      </w:r>
    </w:p>
    <w:p w:rsidR="0020255E" w:rsidRPr="00C16EB5" w:rsidRDefault="0020255E" w:rsidP="0020255E">
      <w:pPr>
        <w:pStyle w:val="aa"/>
        <w:spacing w:after="40"/>
        <w:rPr>
          <w:b w:val="0"/>
          <w:bCs w:val="0"/>
          <w:rtl/>
        </w:rPr>
      </w:pPr>
      <w:bookmarkStart w:id="305" w:name="_Toc228095748"/>
      <w:bookmarkStart w:id="306" w:name="_Toc231638186"/>
      <w:r w:rsidRPr="00C16EB5">
        <w:rPr>
          <w:b w:val="0"/>
          <w:bCs w:val="0"/>
          <w:rtl/>
        </w:rPr>
        <w:t>[תיקוני זוהר - דף קב ע''ב]</w:t>
      </w:r>
      <w:bookmarkEnd w:id="305"/>
      <w:bookmarkEnd w:id="306"/>
    </w:p>
    <w:p w:rsidR="0020255E" w:rsidRDefault="0020255E" w:rsidP="0020255E">
      <w:pPr>
        <w:pStyle w:val="NormalWeb"/>
        <w:rPr>
          <w:b w:val="0"/>
          <w:bCs w:val="0"/>
          <w:rtl/>
        </w:rPr>
      </w:pPr>
      <w:r>
        <w:rPr>
          <w:b w:val="0"/>
          <w:bCs w:val="0"/>
          <w:rtl/>
        </w:rPr>
        <w:t xml:space="preserve">וְהַאי </w:t>
      </w:r>
      <w:r>
        <w:rPr>
          <w:b w:val="0"/>
          <w:sz w:val="20"/>
          <w:szCs w:val="23"/>
          <w:rtl/>
        </w:rPr>
        <w:t xml:space="preserve">(דף קב ע''ב) </w:t>
      </w:r>
      <w:r>
        <w:rPr>
          <w:b w:val="0"/>
          <w:bCs w:val="0"/>
          <w:rtl/>
        </w:rPr>
        <w:t xml:space="preserve">בֵּן אִיהוּ יִחוּד דְּאַבָּא וְאִימָּא, </w:t>
      </w:r>
      <w:r>
        <w:rPr>
          <w:rStyle w:val="a7"/>
          <w:b w:val="0"/>
          <w:bCs w:val="0"/>
          <w:rtl/>
        </w:rPr>
        <w:footnoteReference w:id="4625"/>
      </w:r>
      <w:r>
        <w:rPr>
          <w:b w:val="0"/>
          <w:bCs w:val="0"/>
          <w:rtl/>
        </w:rPr>
        <w:t xml:space="preserve">אִיהוּ עַמּוּד סָבִיל כֹּלָּא, כְּגַוְונָא דִשְׁמַיָּא וְאַרְעָא דְאִתְּמַר בְּהוֹן דְּעָלְמָא עַל חַד סַמְכָא קַיְימָא, כְּמָה דְאַתְּ אָמַר </w:t>
      </w:r>
      <w:r>
        <w:rPr>
          <w:b w:val="0"/>
          <w:sz w:val="20"/>
          <w:szCs w:val="23"/>
          <w:rtl/>
        </w:rPr>
        <w:t>(משלי י כה)</w:t>
      </w:r>
      <w:r>
        <w:rPr>
          <w:b w:val="0"/>
          <w:bCs w:val="0"/>
          <w:rtl/>
        </w:rPr>
        <w:t xml:space="preserve"> וְצַדִּיק יְסוֹד עוֹלָם, הָכִי אַבָּא וְאִימָּא סָמְכִין עַל עַמּוּדָא דְאֶמְצָעִיתָא, </w:t>
      </w:r>
      <w:r>
        <w:rPr>
          <w:rStyle w:val="a7"/>
          <w:b w:val="0"/>
          <w:bCs w:val="0"/>
          <w:rtl/>
        </w:rPr>
        <w:footnoteReference w:id="4626"/>
      </w:r>
      <w:r>
        <w:rPr>
          <w:b w:val="0"/>
          <w:bCs w:val="0"/>
          <w:rtl/>
        </w:rPr>
        <w:t xml:space="preserve">וְאִיהוּ יִחוּד בֵּין אֵם וּבַת כְּגַוְונָא דָא הו''ה, </w:t>
      </w:r>
      <w:r>
        <w:rPr>
          <w:rStyle w:val="a7"/>
          <w:b w:val="0"/>
          <w:bCs w:val="0"/>
          <w:rtl/>
        </w:rPr>
        <w:footnoteReference w:id="4627"/>
      </w:r>
      <w:r>
        <w:rPr>
          <w:b w:val="0"/>
          <w:bCs w:val="0"/>
          <w:rtl/>
        </w:rPr>
        <w:t xml:space="preserve">וּבֵיהּ אִתְעֲבִידוּ ה''ה אֶחָד, אֶחָד - י''ג, י''ג הָכָא וְי''ג הָכָא, </w:t>
      </w:r>
      <w:r>
        <w:rPr>
          <w:rStyle w:val="a7"/>
          <w:b w:val="0"/>
          <w:bCs w:val="0"/>
          <w:rtl/>
        </w:rPr>
        <w:footnoteReference w:id="4628"/>
      </w:r>
      <w:r>
        <w:rPr>
          <w:b w:val="0"/>
          <w:bCs w:val="0"/>
          <w:rtl/>
        </w:rPr>
        <w:t xml:space="preserve">וְאִיהוּ ו' יִחוּד דִּתְרֵי אֲחָיוֹת, כְּגַוְונָא דָא וַיִּיצֶר י"י </w:t>
      </w:r>
      <w:r>
        <w:rPr>
          <w:rtl/>
        </w:rPr>
        <w:t>(ס"א יהו''ה)</w:t>
      </w:r>
      <w:r>
        <w:rPr>
          <w:b w:val="0"/>
          <w:bCs w:val="0"/>
          <w:rtl/>
        </w:rPr>
        <w:t xml:space="preserve">, דָּא רָזָא דְא', י' לְעֵילָא י' לְתַתָּא ו' בְּאֶמְצָעִיתָא, יִחוּדָא דְתַרְוַיְיהוּ </w:t>
      </w:r>
      <w:r>
        <w:rPr>
          <w:rStyle w:val="a7"/>
          <w:b w:val="0"/>
          <w:bCs w:val="0"/>
          <w:rtl/>
        </w:rPr>
        <w:footnoteReference w:id="4629"/>
      </w:r>
      <w:r>
        <w:rPr>
          <w:b w:val="0"/>
          <w:bCs w:val="0"/>
          <w:rtl/>
        </w:rPr>
        <w:t xml:space="preserve">כַּלָּה וַחֲמוֹתָהּ, </w:t>
      </w:r>
      <w:r>
        <w:rPr>
          <w:b w:val="0"/>
          <w:sz w:val="20"/>
          <w:szCs w:val="23"/>
          <w:rtl/>
        </w:rPr>
        <w:t>(ה' מן אלהי''ם ו')</w:t>
      </w:r>
      <w:r>
        <w:rPr>
          <w:b w:val="0"/>
          <w:szCs w:val="23"/>
          <w:rtl/>
        </w:rPr>
        <w:t xml:space="preserve"> </w:t>
      </w:r>
      <w:r>
        <w:rPr>
          <w:b w:val="0"/>
          <w:sz w:val="20"/>
          <w:szCs w:val="23"/>
          <w:rtl/>
        </w:rPr>
        <w:t>(נ''א ה''י מן אלהי''ם ו' מלא)</w:t>
      </w:r>
      <w:r>
        <w:rPr>
          <w:b w:val="0"/>
          <w:bCs w:val="0"/>
          <w:rtl/>
        </w:rPr>
        <w:t xml:space="preserve">, כְּלָלָא דְתַרְוַיְיהוּ ה''ה אִמָּא וּבְרַתָּא, ו' בֵּין תַּרְוַיְהוּ, לְעֵילָא לֵית עֶרְוָה, וּבַאֲתַר דָּא אָמַר לֹא תִּדְמֶה לְיוֹצְרֶיךָ לְתַתָּא, בַּר מֵאַתְרֵיהּ אָמַר </w:t>
      </w:r>
      <w:r>
        <w:rPr>
          <w:b w:val="0"/>
          <w:sz w:val="20"/>
          <w:szCs w:val="23"/>
          <w:rtl/>
        </w:rPr>
        <w:t>(ויקרא יח ו)</w:t>
      </w:r>
      <w:r>
        <w:rPr>
          <w:b w:val="0"/>
          <w:bCs w:val="0"/>
          <w:rtl/>
        </w:rPr>
        <w:t xml:space="preserve"> לֹא תִקְרְבוּ לְגַלּוֹת, </w:t>
      </w:r>
      <w:r>
        <w:rPr>
          <w:rStyle w:val="a7"/>
          <w:b w:val="0"/>
          <w:bCs w:val="0"/>
          <w:rtl/>
        </w:rPr>
        <w:footnoteReference w:id="4630"/>
      </w:r>
      <w:r>
        <w:rPr>
          <w:b w:val="0"/>
          <w:bCs w:val="0"/>
          <w:rtl/>
        </w:rPr>
        <w:t xml:space="preserve">וְהָא אוּקִימְנָא לְעֵיל. וְעוֹד אַשְׁכַּחְנָא רָזָא עִלָּאָה, עֶרְוָ''ה עִ''ר ו''ה, כַּד ו' בֵּין עִר דְּאִיהוּ רַע אִתְעֲבִיד עוֹר, הֲדָא הוּא דִכְתִיב </w:t>
      </w:r>
      <w:r>
        <w:rPr>
          <w:b w:val="0"/>
          <w:sz w:val="20"/>
          <w:szCs w:val="23"/>
          <w:rtl/>
        </w:rPr>
        <w:t>(בראשית ג כא)</w:t>
      </w:r>
      <w:r>
        <w:rPr>
          <w:b w:val="0"/>
          <w:bCs w:val="0"/>
          <w:rtl/>
        </w:rPr>
        <w:t xml:space="preserve"> וַיַּעַשׂ יהו''ה אלהי''ם לְאָדָם וּלְאִשְׁתּוֹ כָּתְנוֹת עוֹר וַיַּלְבִּישֵׁם, וַעֲלַיְיהוּ אִתְּמַר </w:t>
      </w:r>
      <w:r>
        <w:rPr>
          <w:b w:val="0"/>
          <w:sz w:val="20"/>
          <w:szCs w:val="23"/>
          <w:rtl/>
        </w:rPr>
        <w:t>(ויקרא יט יד)</w:t>
      </w:r>
      <w:r>
        <w:rPr>
          <w:b w:val="0"/>
          <w:bCs w:val="0"/>
          <w:rtl/>
        </w:rPr>
        <w:t xml:space="preserve"> וְלִפְנֵי עִוֵּר לֹא תִתֵּן מִכְשׁוֹל דְּאִיהוּ רַע מִן עִוֵּר.</w:t>
      </w:r>
    </w:p>
    <w:p w:rsidR="0020255E" w:rsidRDefault="0020255E" w:rsidP="0020255E">
      <w:pPr>
        <w:pStyle w:val="NormalWeb"/>
        <w:rPr>
          <w:b w:val="0"/>
          <w:bCs w:val="0"/>
          <w:rtl/>
        </w:rPr>
      </w:pPr>
      <w:r>
        <w:rPr>
          <w:rStyle w:val="a7"/>
          <w:b w:val="0"/>
          <w:bCs w:val="0"/>
          <w:rtl/>
        </w:rPr>
        <w:footnoteReference w:id="4631"/>
      </w:r>
      <w:r>
        <w:rPr>
          <w:b w:val="0"/>
          <w:bCs w:val="0"/>
          <w:rtl/>
        </w:rPr>
        <w:t xml:space="preserve">אִיהוּ עֶרְוָה דְאַפְרִישׁ בֵּין ו''ה דְּאִינוּן אָח וְאָחוֹת, כַּד אִתְלַבַּשׁ אִילָנָא דְחַיֵּי בְּאִילָנָא דְטוֹב וָרָע, הֲדָא הוּא דִכְתִיב </w:t>
      </w:r>
      <w:r>
        <w:rPr>
          <w:b w:val="0"/>
          <w:sz w:val="20"/>
          <w:szCs w:val="23"/>
          <w:rtl/>
        </w:rPr>
        <w:t>(בראשית ב ט)</w:t>
      </w:r>
      <w:r>
        <w:rPr>
          <w:b w:val="0"/>
          <w:bCs w:val="0"/>
          <w:rtl/>
        </w:rPr>
        <w:t xml:space="preserve"> וְעִץ הַחַיִּים בְּתוֹךְ הַגָּן, וְעִץ הַדַּעַת טוֹב וָרָע, בְּזִמְנָא דְאִיהִי </w:t>
      </w:r>
      <w:r>
        <w:rPr>
          <w:b w:val="0"/>
          <w:sz w:val="20"/>
          <w:szCs w:val="23"/>
          <w:rtl/>
        </w:rPr>
        <w:t>(ס''א דהאי)</w:t>
      </w:r>
      <w:r>
        <w:rPr>
          <w:b w:val="0"/>
          <w:bCs w:val="0"/>
          <w:rtl/>
        </w:rPr>
        <w:t xml:space="preserve"> עִר בֵּין בְּרָא וּבְרַתָּא לֹא תִקְרְבוּ לְגַלּוֹת עֶרְוָה, לֹא תִקְרְבוּ ו' לְה' דְּלָא אִתְגַּלְיָא רַע בֵּינַיְיהוּ דְאִיהוּ אַחֵר, </w:t>
      </w:r>
      <w:r>
        <w:rPr>
          <w:rStyle w:val="a7"/>
          <w:b w:val="0"/>
          <w:bCs w:val="0"/>
          <w:rtl/>
        </w:rPr>
        <w:footnoteReference w:id="4632"/>
      </w:r>
      <w:r>
        <w:rPr>
          <w:b w:val="0"/>
          <w:bCs w:val="0"/>
          <w:rtl/>
        </w:rPr>
        <w:t xml:space="preserve">דַּעֲלֵיהּ אִתְּמַר </w:t>
      </w:r>
      <w:r>
        <w:rPr>
          <w:b w:val="0"/>
          <w:sz w:val="20"/>
          <w:szCs w:val="23"/>
          <w:rtl/>
        </w:rPr>
        <w:t>(משלי כה ט)</w:t>
      </w:r>
      <w:r>
        <w:rPr>
          <w:b w:val="0"/>
          <w:bCs w:val="0"/>
          <w:rtl/>
        </w:rPr>
        <w:t xml:space="preserve"> וְסוֹד אַחֵר אַל תְּגַל, עֶרְיָ''ה תֵעוֹר קַשְׁתֶּךָ </w:t>
      </w:r>
      <w:r>
        <w:rPr>
          <w:b w:val="0"/>
          <w:sz w:val="20"/>
          <w:szCs w:val="23"/>
          <w:rtl/>
        </w:rPr>
        <w:t>(חבקוק ג ט)</w:t>
      </w:r>
      <w:r>
        <w:rPr>
          <w:b w:val="0"/>
          <w:bCs w:val="0"/>
          <w:rtl/>
        </w:rPr>
        <w:t>, עִר יה, רַע בְּזִמְנָא דְאִיהוּ בֵּין י''ה, הַהוּא רַע לָא תִקְרַב י' בְּה'.</w:t>
      </w:r>
    </w:p>
    <w:p w:rsidR="0020255E" w:rsidRDefault="0020255E" w:rsidP="0020255E">
      <w:pPr>
        <w:pStyle w:val="NormalWeb"/>
        <w:rPr>
          <w:b w:val="0"/>
          <w:bCs w:val="0"/>
          <w:rtl/>
        </w:rPr>
      </w:pPr>
      <w:r>
        <w:rPr>
          <w:b w:val="0"/>
          <w:bCs w:val="0"/>
          <w:rtl/>
        </w:rPr>
        <w:t xml:space="preserve">וְהַאי אִיהוּ קְלִיפָה דְעָרְלָה, עִ''ר מִן עָרְלָה רָ''ע, אָדָם בְּהַאי חָאב, </w:t>
      </w:r>
      <w:r>
        <w:rPr>
          <w:rStyle w:val="a7"/>
          <w:b w:val="0"/>
          <w:bCs w:val="0"/>
          <w:rtl/>
        </w:rPr>
        <w:footnoteReference w:id="4633"/>
      </w:r>
      <w:r>
        <w:rPr>
          <w:b w:val="0"/>
          <w:bCs w:val="0"/>
          <w:rtl/>
        </w:rPr>
        <w:t xml:space="preserve">כְּמָה דְאוּקְמוּהָ מָארֵי מַתְנִיתִין אָדָם הָרִאשׁוֹן מוֹשֵׁךְ בְּעָרְלָתוֹ הֲוָה, וְדָא גָרִים עֶרְיָין בְּעָלְמָא, וּבְגִין דָּא עֶרְיָה תֵעוֹר קַשְׁתֶּךָ, </w:t>
      </w:r>
      <w:r>
        <w:rPr>
          <w:rStyle w:val="a7"/>
          <w:b w:val="0"/>
          <w:bCs w:val="0"/>
          <w:rtl/>
        </w:rPr>
        <w:footnoteReference w:id="4634"/>
      </w:r>
      <w:r>
        <w:rPr>
          <w:b w:val="0"/>
          <w:bCs w:val="0"/>
          <w:rtl/>
        </w:rPr>
        <w:t xml:space="preserve">תֵעוֹר אִיהוּ עֶרְוַת בְּהִפּוּךְ אַתְוָון, בְּאָן אֲתַר קַשְׁתֶּךְ דְּאִיהוּ קֶשֶׁת הַבְּרִית, דַּעֲלֵיהּ אִתְּמַר </w:t>
      </w:r>
      <w:r>
        <w:rPr>
          <w:b w:val="0"/>
          <w:sz w:val="20"/>
          <w:szCs w:val="23"/>
          <w:rtl/>
        </w:rPr>
        <w:t>(בראשית לה טז)</w:t>
      </w:r>
      <w:r>
        <w:rPr>
          <w:b w:val="0"/>
          <w:bCs w:val="0"/>
          <w:rtl/>
        </w:rPr>
        <w:t xml:space="preserve"> וַתֵּלֶד רָחֵל וַתְּקַשׁ בְּלִדְתָּהּ, </w:t>
      </w:r>
      <w:r>
        <w:rPr>
          <w:rStyle w:val="a7"/>
          <w:b w:val="0"/>
          <w:bCs w:val="0"/>
          <w:rtl/>
        </w:rPr>
        <w:footnoteReference w:id="4635"/>
      </w:r>
      <w:r>
        <w:rPr>
          <w:b w:val="0"/>
          <w:bCs w:val="0"/>
          <w:rtl/>
        </w:rPr>
        <w:t xml:space="preserve">תְּקַ''שׁ אִיהוּ קֶשֶׁ''ת, </w:t>
      </w:r>
      <w:r>
        <w:rPr>
          <w:rStyle w:val="a7"/>
          <w:b w:val="0"/>
          <w:bCs w:val="0"/>
          <w:rtl/>
        </w:rPr>
        <w:footnoteReference w:id="4636"/>
      </w:r>
      <w:r>
        <w:rPr>
          <w:b w:val="0"/>
          <w:bCs w:val="0"/>
          <w:rtl/>
        </w:rPr>
        <w:t>וְרָזָא דְּמִל</w:t>
      </w:r>
      <w:r>
        <w:rPr>
          <w:rStyle w:val="Char"/>
          <w:rtl/>
        </w:rPr>
        <w:t>ָ</w:t>
      </w:r>
      <w:r>
        <w:rPr>
          <w:b w:val="0"/>
          <w:bCs w:val="0"/>
          <w:rtl/>
        </w:rPr>
        <w:t>ה בְּעֶצֶב תֵּלְדִי בּ</w:t>
      </w:r>
      <w:r>
        <w:rPr>
          <w:rStyle w:val="Char"/>
          <w:rtl/>
        </w:rPr>
        <w:t>ָ</w:t>
      </w:r>
      <w:r>
        <w:rPr>
          <w:b w:val="0"/>
          <w:bCs w:val="0"/>
          <w:rtl/>
        </w:rPr>
        <w:t>נִים,</w:t>
      </w:r>
      <w:r>
        <w:rPr>
          <w:b w:val="0"/>
          <w:szCs w:val="23"/>
          <w:rtl/>
        </w:rPr>
        <w:t xml:space="preserve"> </w:t>
      </w:r>
      <w:r>
        <w:rPr>
          <w:b w:val="0"/>
          <w:sz w:val="20"/>
          <w:szCs w:val="23"/>
          <w:rtl/>
        </w:rPr>
        <w:t>(שם ג טז)</w:t>
      </w:r>
      <w:r>
        <w:rPr>
          <w:b w:val="0"/>
          <w:szCs w:val="23"/>
          <w:rtl/>
        </w:rPr>
        <w:t xml:space="preserve"> </w:t>
      </w:r>
      <w:r>
        <w:rPr>
          <w:rStyle w:val="Char"/>
          <w:rtl/>
        </w:rPr>
        <w:t xml:space="preserve">וּמִתַּמָּן אָמְרָה חַנָּה </w:t>
      </w:r>
      <w:r>
        <w:rPr>
          <w:b w:val="0"/>
          <w:sz w:val="20"/>
          <w:szCs w:val="23"/>
          <w:rtl/>
        </w:rPr>
        <w:t>(שמואל א א טו)</w:t>
      </w:r>
      <w:r>
        <w:rPr>
          <w:b w:val="0"/>
          <w:bCs w:val="0"/>
          <w:rtl/>
        </w:rPr>
        <w:t xml:space="preserve"> אִשָּׁה קְשַׁ''ת רוּחַ אָנֹכִי.</w:t>
      </w:r>
    </w:p>
    <w:p w:rsidR="0020255E" w:rsidRDefault="0020255E" w:rsidP="0020255E">
      <w:pPr>
        <w:pStyle w:val="NormalWeb"/>
        <w:rPr>
          <w:b w:val="0"/>
          <w:szCs w:val="23"/>
          <w:rtl/>
        </w:rPr>
      </w:pPr>
      <w:r>
        <w:rPr>
          <w:b w:val="0"/>
          <w:bCs w:val="0"/>
          <w:rtl/>
        </w:rPr>
        <w:t xml:space="preserve">וְדָא רָזָא אֶת קַשְׁתִּי נָתַתִּי בֶּעָנָן, וְאוּקְמוּהוּ חַבְרַיָּא מִלָּה דְאַקִּישׁ לִי, מוֹקֵשׁ כְּתִיב בֵּיהּ, דְּבֵיהּ הֲוָה מוֹקֵשׁ לְאָדָם קַדְמָאָה, כְּמָה דְאוּקְמוּהוּ אָדָם הָרִאשׁוֹן </w:t>
      </w:r>
      <w:r>
        <w:rPr>
          <w:rStyle w:val="a7"/>
          <w:b w:val="0"/>
          <w:bCs w:val="0"/>
          <w:rtl/>
        </w:rPr>
        <w:footnoteReference w:id="4637"/>
      </w:r>
      <w:r>
        <w:rPr>
          <w:b w:val="0"/>
          <w:bCs w:val="0"/>
          <w:rtl/>
        </w:rPr>
        <w:t xml:space="preserve">מוֹשֵׁךְ בְּעָרְלָתוֹ הֲוָה, וְאִם נָטִיר לֵיהּ אִיהוּ בְּהֵקֵשׁ אֵלַי, בְּשׁוּתָּפוֹ עִמִּי, בְדִיּוֹקְנָא דִילִי, עֲלֵיה אִתְּמַר </w:t>
      </w:r>
      <w:r>
        <w:rPr>
          <w:b w:val="0"/>
          <w:sz w:val="20"/>
          <w:szCs w:val="23"/>
          <w:rtl/>
        </w:rPr>
        <w:t>(שם א כז)</w:t>
      </w:r>
      <w:r>
        <w:rPr>
          <w:b w:val="0"/>
          <w:bCs w:val="0"/>
          <w:rtl/>
        </w:rPr>
        <w:t xml:space="preserve"> וַיִּבְרָא אלהי''ם אֶת הָאָדָם בְּצַלְמוֹ, בְּגִין דְּמָאן דְּנָטִיר בְּרִית זָכָה לְמַלְכוּת, הֲרֵי אִיהוּ בְהֵקֵשׁ לִי בְּשׁוּתָּפוֹ עִמִּי, </w:t>
      </w:r>
      <w:r>
        <w:rPr>
          <w:rStyle w:val="a7"/>
          <w:b w:val="0"/>
          <w:bCs w:val="0"/>
          <w:rtl/>
        </w:rPr>
        <w:footnoteReference w:id="4638"/>
      </w:r>
      <w:r>
        <w:rPr>
          <w:b w:val="0"/>
          <w:bCs w:val="0"/>
          <w:rtl/>
        </w:rPr>
        <w:t xml:space="preserve">וְאִם לָא נָטִיר לֵיהּ אִתְחַזַּר קַ''שׁ, קָשֶׁה לֵיהּ קָשֶׁה לְאָת ה', וְעַל הַאי קַשׁ אִתְּמַר </w:t>
      </w:r>
      <w:r>
        <w:rPr>
          <w:b w:val="0"/>
          <w:sz w:val="20"/>
          <w:szCs w:val="23"/>
          <w:rtl/>
        </w:rPr>
        <w:t>(עובדיה א יח)</w:t>
      </w:r>
      <w:r>
        <w:rPr>
          <w:b w:val="0"/>
          <w:bCs w:val="0"/>
          <w:rtl/>
        </w:rPr>
        <w:t xml:space="preserve"> וּבֵית עִשָׂו לְקַשׁ, וְאִיהוּ לְקַ''שׁ בְּהִפּוּךְ אַתְוָון שֶׁקֶ''ל, וְאִיהוּ שֶׁקֶל לַצַּדִּיקִים דְּנָטְרִין בְּרִית שֶׁקֶל הַקֹּדֶשׁ, וַוי לְמָאן דְּלָא נָטִיר לֵיהּ, וְזַכָּאָה אִיהוּ מָאן דְּנָטִיר לֵיהּ, וּמָאן דְּנָטִיר בְּרִית הַאי </w:t>
      </w:r>
      <w:r>
        <w:rPr>
          <w:rStyle w:val="a7"/>
          <w:b w:val="0"/>
          <w:bCs w:val="0"/>
          <w:rtl/>
        </w:rPr>
        <w:footnoteReference w:id="4639"/>
      </w:r>
      <w:r>
        <w:rPr>
          <w:b w:val="0"/>
          <w:bCs w:val="0"/>
          <w:rtl/>
        </w:rPr>
        <w:t>אִיהוּ עִד עֲלֵיהּ ע' מִן שְׁמַע ד' מִן אֶחָד, וְאִי לָא נָטִיר בְּרִית פָּרַח מִנֵּיהּ קוֹצָא מִן ד' מִן אֶחָד וְאִשְׁתָּאַר אַחֵר, (עֵד - עֵר).</w:t>
      </w:r>
      <w:r>
        <w:rPr>
          <w:b w:val="0"/>
          <w:szCs w:val="23"/>
          <w:rtl/>
        </w:rPr>
        <w:t xml:space="preserve"> [</w:t>
      </w:r>
      <w:r>
        <w:rPr>
          <w:b w:val="0"/>
          <w:sz w:val="20"/>
          <w:szCs w:val="23"/>
          <w:rtl/>
        </w:rPr>
        <w:t>ע' תז"ח פ"ד א']</w:t>
      </w:r>
    </w:p>
    <w:p w:rsidR="0020255E" w:rsidRDefault="0020255E" w:rsidP="0020255E">
      <w:pPr>
        <w:pStyle w:val="NormalWeb"/>
        <w:rPr>
          <w:b w:val="0"/>
          <w:bCs w:val="0"/>
          <w:rtl/>
        </w:rPr>
      </w:pPr>
      <w:r>
        <w:rPr>
          <w:rStyle w:val="Char"/>
          <w:rtl/>
        </w:rPr>
        <w:t xml:space="preserve">וְהָאָדָם יָדַע וכו' </w:t>
      </w:r>
      <w:r>
        <w:rPr>
          <w:b w:val="0"/>
          <w:sz w:val="20"/>
          <w:szCs w:val="23"/>
          <w:rtl/>
        </w:rPr>
        <w:t>(בראשית ד ד)</w:t>
      </w:r>
      <w:r>
        <w:rPr>
          <w:b w:val="0"/>
          <w:bCs w:val="0"/>
          <w:rtl/>
        </w:rPr>
        <w:t xml:space="preserve">, קָם סָבָא פָּתַח וְאָמַר רַבִּי רַבִּי וְעַד הָכָא לָא הֲוָה יָדַע אָדָם לְאִנְתְּתֵיהּ, </w:t>
      </w:r>
      <w:r>
        <w:rPr>
          <w:rStyle w:val="a7"/>
          <w:b w:val="0"/>
          <w:bCs w:val="0"/>
          <w:rtl/>
        </w:rPr>
        <w:footnoteReference w:id="4640"/>
      </w:r>
      <w:r>
        <w:rPr>
          <w:b w:val="0"/>
          <w:bCs w:val="0"/>
          <w:rtl/>
        </w:rPr>
        <w:t xml:space="preserve">אֶלָּא בְּזִמְנָא דְחָאב אִסְתַּלַּק שְׁכִינְתָּא מֵאַתְרֵיהּ, וְהָכִי אוּקְמוּהוּ מָארֵי מַתְנִיתִין, דִּבְּזִמְנָא דְלֵית שְׁכִינְתָּא בְּאַתְרָהּ אָסוּר בְּתַשְׁמִישׁ הַמִּטָּה, בְּגִין דַּעֲלָהּ אִתְּמַר </w:t>
      </w:r>
      <w:r>
        <w:rPr>
          <w:b w:val="0"/>
          <w:sz w:val="20"/>
          <w:szCs w:val="23"/>
          <w:rtl/>
        </w:rPr>
        <w:t>(שם מז לא)</w:t>
      </w:r>
      <w:r>
        <w:rPr>
          <w:b w:val="0"/>
          <w:szCs w:val="23"/>
          <w:rtl/>
        </w:rPr>
        <w:t xml:space="preserve"> </w:t>
      </w:r>
      <w:r>
        <w:rPr>
          <w:rStyle w:val="Char"/>
          <w:rtl/>
        </w:rPr>
        <w:t>וַיִּשְׁתַּחוּ יִשְׂרָאֵל עַל</w:t>
      </w:r>
      <w:r>
        <w:rPr>
          <w:b w:val="0"/>
          <w:szCs w:val="23"/>
          <w:rtl/>
        </w:rPr>
        <w:t xml:space="preserve"> </w:t>
      </w:r>
      <w:r>
        <w:rPr>
          <w:b w:val="0"/>
          <w:bCs w:val="0"/>
          <w:rtl/>
        </w:rPr>
        <w:t xml:space="preserve">רֹאשׁ הַמִּטָּה, וּמֵאָן אֲתַר אִסְתַּלְקַת מִימִינָא וּמִשְּׂמָאלָא דְתַמָּן הֲוָה, וְדָא הוּא רָזָא דְעִיבּוּר </w:t>
      </w:r>
      <w:r>
        <w:rPr>
          <w:b w:val="0"/>
          <w:sz w:val="20"/>
          <w:szCs w:val="23"/>
          <w:rtl/>
        </w:rPr>
        <w:t>(ס''א ויעבו''ר)</w:t>
      </w:r>
      <w:r>
        <w:rPr>
          <w:b w:val="0"/>
          <w:bCs w:val="0"/>
          <w:rtl/>
        </w:rPr>
        <w:t xml:space="preserve"> ע''ב רי''ו, חֶסֶד גְּבוּרָה, וְלָא לְמַגָּנָא אוּקְמוּהוּ מָארֵי מַתְנִיתִין, הַנּוֹתֵן מִטָּתוֹ בֵּין צָפוֹן לַדָּרוֹם הַוְיָין לֵיהּ בָּנִים זְכָרִים, וְאִיהוּ גָרִים דְּאִסְתַּלַּק הַהִיא מִטָּה מִתַּמָּן, הָכִי אִסְתַּלִּיק אִיהוּ מִתַּשְׁמִישׁ הַמִּטָּה, וּבָתַר דְּקַבִּיל עוֹנְשֵׁיהּ אִתְחַזַּר מִטָּה לְאַתְרָהָא, בְּהַהוּא זִמְנָא וְהָאָדָם יָדַע אֶת חַוָּה אִשְׁתּוֹ.</w:t>
      </w:r>
    </w:p>
    <w:p w:rsidR="0020255E" w:rsidRDefault="0020255E" w:rsidP="0020255E">
      <w:pPr>
        <w:pStyle w:val="aa"/>
        <w:spacing w:after="40"/>
        <w:rPr>
          <w:rtl/>
        </w:rPr>
      </w:pPr>
      <w:bookmarkStart w:id="307" w:name="_Toc228095749"/>
      <w:bookmarkStart w:id="308" w:name="_Toc231638187"/>
      <w:r>
        <w:rPr>
          <w:rtl/>
        </w:rPr>
        <w:t>[תיקוני זוהר - דף קג ע"א]</w:t>
      </w:r>
      <w:bookmarkEnd w:id="307"/>
      <w:bookmarkEnd w:id="308"/>
    </w:p>
    <w:p w:rsidR="0020255E" w:rsidRDefault="0020255E" w:rsidP="0020255E">
      <w:pPr>
        <w:pStyle w:val="NormalWeb"/>
        <w:rPr>
          <w:b w:val="0"/>
          <w:bCs w:val="0"/>
          <w:rtl/>
        </w:rPr>
      </w:pPr>
      <w:r>
        <w:rPr>
          <w:b w:val="0"/>
          <w:sz w:val="20"/>
          <w:szCs w:val="23"/>
          <w:rtl/>
        </w:rPr>
        <w:t xml:space="preserve"> (דף קג ע"א) </w:t>
      </w:r>
      <w:r>
        <w:rPr>
          <w:rStyle w:val="a7"/>
          <w:b w:val="0"/>
          <w:sz w:val="20"/>
          <w:szCs w:val="23"/>
          <w:rtl/>
        </w:rPr>
        <w:footnoteReference w:id="4641"/>
      </w:r>
      <w:r>
        <w:rPr>
          <w:b w:val="0"/>
          <w:bCs w:val="0"/>
          <w:rtl/>
        </w:rPr>
        <w:t xml:space="preserve">וְעוֹד וְהָאָדָם יָדַע אֶת חַוָּה אִשְׁתּוֹ, אִית יְדִיעָה לְטַב וְאִית יְדִיעָה לְבִישׁ, כְּגוֹן </w:t>
      </w:r>
      <w:r>
        <w:rPr>
          <w:b w:val="0"/>
          <w:sz w:val="20"/>
          <w:szCs w:val="23"/>
          <w:rtl/>
        </w:rPr>
        <w:t>(שם ג ז)</w:t>
      </w:r>
      <w:r>
        <w:rPr>
          <w:b w:val="0"/>
          <w:bCs w:val="0"/>
          <w:rtl/>
        </w:rPr>
        <w:t xml:space="preserve"> וַיֵּדְעוּ כִּי עִרוּמִים הֵם, וּכְגוֹן וְאַתְּ </w:t>
      </w:r>
      <w:r>
        <w:rPr>
          <w:rStyle w:val="a7"/>
          <w:b w:val="0"/>
          <w:bCs w:val="0"/>
          <w:rtl/>
        </w:rPr>
        <w:footnoteReference w:id="4642"/>
      </w:r>
      <w:r>
        <w:rPr>
          <w:b w:val="0"/>
          <w:bCs w:val="0"/>
          <w:rtl/>
        </w:rPr>
        <w:t xml:space="preserve">עִרוֹם וְעֶרְיָה </w:t>
      </w:r>
      <w:r>
        <w:rPr>
          <w:b w:val="0"/>
          <w:sz w:val="20"/>
          <w:szCs w:val="23"/>
          <w:rtl/>
        </w:rPr>
        <w:t>(יחזקאל טז ז)</w:t>
      </w:r>
      <w:r>
        <w:rPr>
          <w:b w:val="0"/>
          <w:bCs w:val="0"/>
          <w:rtl/>
        </w:rPr>
        <w:t>, עִרוֹם מֵאוֹרַיְיתָא דְבִכְתָב, וְעֶרְיָה מֵאוֹרַיְיתָא דִבְעַל פֶּה.</w:t>
      </w:r>
    </w:p>
    <w:p w:rsidR="0020255E" w:rsidRDefault="0020255E" w:rsidP="0020255E">
      <w:pPr>
        <w:pStyle w:val="NormalWeb"/>
        <w:rPr>
          <w:b w:val="0"/>
          <w:bCs w:val="0"/>
          <w:rtl/>
        </w:rPr>
      </w:pPr>
      <w:r>
        <w:rPr>
          <w:b w:val="0"/>
          <w:bCs w:val="0"/>
          <w:rtl/>
        </w:rPr>
        <w:t xml:space="preserve">וְעוֹד וְהָאָדָם יָדַע, כְּגוֹן </w:t>
      </w:r>
      <w:r>
        <w:rPr>
          <w:b w:val="0"/>
          <w:sz w:val="20"/>
          <w:szCs w:val="23"/>
          <w:rtl/>
        </w:rPr>
        <w:t>(אסתר ד א)</w:t>
      </w:r>
      <w:r>
        <w:rPr>
          <w:b w:val="0"/>
          <w:bCs w:val="0"/>
          <w:rtl/>
        </w:rPr>
        <w:t xml:space="preserve"> וּמָרְדֳּכַי יָדַע אֶת כָּל אֲשֶׁר נַעֲשָׂה, הָכִי אָדָם יָדַע דְּגָרִים אַפְרָשׁוּתָא בֵּין קוּדְשָׁא בְּרִיךְ הוּא וּבֵין שְׁכִינְתֵּיהּ, דְּאָדָם חָאב בְּמַחֲשָׁבָה, וְחַוָּה חָאבַת בְּמַעֲשֶׂה, בְּהַהוּא אֲתַר דְּאִתְּמַר בֵּיהּ יִשְׂרָאֵל עָלָה בְּמַחֲשָׁבָה, בְּהַהוּא אֲתַר דְּאִתְנַטִּל נִשְׁמָתֵיהּ </w:t>
      </w:r>
      <w:r>
        <w:rPr>
          <w:rStyle w:val="a7"/>
          <w:b w:val="0"/>
          <w:bCs w:val="0"/>
          <w:rtl/>
        </w:rPr>
        <w:footnoteReference w:id="4643"/>
      </w:r>
      <w:r>
        <w:rPr>
          <w:b w:val="0"/>
          <w:bCs w:val="0"/>
          <w:rtl/>
        </w:rPr>
        <w:t xml:space="preserve">בְּאֹרַח אֲצִילוּת תַּמָּן חָאב, וְחַוָּה בְּמַעֲשֶׂה דִילֵיהּ, דְּאִיהִי כֹּחַ דִּילֵיהּ כ''ח אַתְוָון דְּמַעֲשֵׂה בְּרֵאשִׁית, </w:t>
      </w:r>
      <w:r>
        <w:rPr>
          <w:rStyle w:val="a7"/>
          <w:b w:val="0"/>
          <w:bCs w:val="0"/>
          <w:rtl/>
        </w:rPr>
        <w:footnoteReference w:id="4644"/>
      </w:r>
      <w:r>
        <w:rPr>
          <w:b w:val="0"/>
          <w:bCs w:val="0"/>
          <w:rtl/>
        </w:rPr>
        <w:t>וְכֹלָּא חָכְמָ''ה כֹּ''חַ מָ''ה.</w:t>
      </w:r>
    </w:p>
    <w:p w:rsidR="0020255E" w:rsidRDefault="0020255E" w:rsidP="0020255E">
      <w:pPr>
        <w:pStyle w:val="NormalWeb"/>
        <w:rPr>
          <w:b w:val="0"/>
          <w:bCs w:val="0"/>
          <w:rtl/>
        </w:rPr>
      </w:pPr>
      <w:r>
        <w:rPr>
          <w:rStyle w:val="a7"/>
          <w:b w:val="0"/>
          <w:bCs w:val="0"/>
          <w:rtl/>
        </w:rPr>
        <w:footnoteReference w:id="4645"/>
      </w:r>
      <w:r>
        <w:rPr>
          <w:b w:val="0"/>
          <w:bCs w:val="0"/>
          <w:rtl/>
        </w:rPr>
        <w:t xml:space="preserve">וְעוֹד וְהָאָדָם יָדַע, יָדַע חוֹבָא דִילֵיהּ בְּמַאי בְּקַיִן, כְּמָה דְאַתְּ אָמַר </w:t>
      </w:r>
      <w:r>
        <w:rPr>
          <w:b w:val="0"/>
          <w:sz w:val="20"/>
          <w:szCs w:val="23"/>
          <w:rtl/>
        </w:rPr>
        <w:t>(בראשית ד א)</w:t>
      </w:r>
      <w:r>
        <w:rPr>
          <w:b w:val="0"/>
          <w:bCs w:val="0"/>
          <w:rtl/>
        </w:rPr>
        <w:t xml:space="preserve"> וַתַּהַר וַתֵּלֶד אֶת קַיִן, בְּגִין דַּעֲלֵיהּ אִתְּמַר </w:t>
      </w:r>
      <w:r>
        <w:rPr>
          <w:b w:val="0"/>
          <w:sz w:val="20"/>
          <w:szCs w:val="23"/>
          <w:rtl/>
        </w:rPr>
        <w:t>(ישעיה יד כט)</w:t>
      </w:r>
      <w:r>
        <w:rPr>
          <w:b w:val="0"/>
          <w:bCs w:val="0"/>
          <w:rtl/>
        </w:rPr>
        <w:t xml:space="preserve"> כִּי מִשֹּׁרֶשׁ נָחָשׁ יֵצֵא צֶפַע, דְּאִיהוּ זוּהֲמָא דְאַטִּיל נָחָשׁ בְּחַוָּה, וַהֲוָה יָדַע זוּהֲמָא דִילֵיהּ דְּאִתְפַּשַּׁט עַד קֵנִי חוֹתֵן מֹשֶׁה, וְכַד חָמָא גִלְגוּלָא וּתְיוּבְתָּא דִילֵיהּ תַּמָּן, אָמְרָה </w:t>
      </w:r>
      <w:r>
        <w:rPr>
          <w:b w:val="0"/>
          <w:sz w:val="20"/>
          <w:szCs w:val="23"/>
          <w:rtl/>
        </w:rPr>
        <w:t>(בראשית ד א)</w:t>
      </w:r>
      <w:r>
        <w:rPr>
          <w:b w:val="0"/>
          <w:bCs w:val="0"/>
          <w:rtl/>
        </w:rPr>
        <w:t xml:space="preserve"> קָנִיתִי אִישׁ אֶת יהו''ה, כְּעַן יְדַעְנָא לֵיהּ דְּקָנִיתִי לֵיהּ בְּקֵנִי חוֹתֵן מֹשֶׁה, וְרַוַוחְנָא לֵיהּ תַּמָּן, וּבְגִין דָּא אִתְּמַר קָנִיתִי אִישׁ אֶת יהו''ה, וְדָא אִיהוּ רָזָא </w:t>
      </w:r>
      <w:r>
        <w:rPr>
          <w:b w:val="0"/>
          <w:sz w:val="20"/>
          <w:szCs w:val="23"/>
          <w:rtl/>
        </w:rPr>
        <w:t>(קהלת ח י)</w:t>
      </w:r>
      <w:r>
        <w:rPr>
          <w:b w:val="0"/>
          <w:bCs w:val="0"/>
          <w:rtl/>
        </w:rPr>
        <w:t xml:space="preserve"> </w:t>
      </w:r>
      <w:r>
        <w:rPr>
          <w:rStyle w:val="a7"/>
          <w:b w:val="0"/>
          <w:bCs w:val="0"/>
          <w:rtl/>
        </w:rPr>
        <w:footnoteReference w:id="4646"/>
      </w:r>
      <w:r>
        <w:rPr>
          <w:b w:val="0"/>
          <w:bCs w:val="0"/>
          <w:rtl/>
        </w:rPr>
        <w:t>וּבְכֵן רָאִיתִי רְשָׁעִים קְבוּרִים וָבָאוּ וכו'.</w:t>
      </w:r>
    </w:p>
    <w:p w:rsidR="0020255E" w:rsidRDefault="0020255E" w:rsidP="0020255E">
      <w:pPr>
        <w:pStyle w:val="NormalWeb"/>
        <w:rPr>
          <w:b w:val="0"/>
          <w:bCs w:val="0"/>
          <w:rtl/>
        </w:rPr>
      </w:pPr>
      <w:r>
        <w:rPr>
          <w:b w:val="0"/>
          <w:bCs w:val="0"/>
          <w:rtl/>
        </w:rPr>
        <w:t xml:space="preserve">אָמַר לֵיהּ רַבִּי שִׁמְעוֹן, סָבָא סָבָא, וְאַמַּאי טָרַח קוּדְשָׁא בְּרִיךְ הוּא בְּהוֹן, לְאַיְיתָאָה לוֹן בְּגִלְגּוּלָא, אָמַר לֵיהּ בְּגִין יְקָרָא דְצַדִּיקַיָּא לְאַעֲבָרָא חוֹבָא </w:t>
      </w:r>
      <w:r>
        <w:rPr>
          <w:rtl/>
        </w:rPr>
        <w:t>(ס"א מִבְּנַיְיהוּ)</w:t>
      </w:r>
      <w:r>
        <w:rPr>
          <w:b w:val="0"/>
          <w:bCs w:val="0"/>
          <w:rtl/>
        </w:rPr>
        <w:t xml:space="preserve"> מִבֵּינַיְיהוּ, דְּעַד דְּקַיִן תָּב בִּתְיוּבְתָּא פְּגִימוּ דְאָדָם לָא אִשְׁתַּלִּים, וּבְגִין דָּא לִיקָרָא דִילֵיהּ טָרַח קוּדְשָׁא בְּרִיךְ הוּא בְּקַיִן, וְהָכִי בְכָל רַשִּׁיעַיָּיא דְאִינוּן בְּנֵי צַדִּיקַיָּא.</w:t>
      </w:r>
    </w:p>
    <w:p w:rsidR="0020255E" w:rsidRDefault="0020255E" w:rsidP="0020255E">
      <w:pPr>
        <w:pStyle w:val="NormalWeb"/>
        <w:rPr>
          <w:b w:val="0"/>
          <w:bCs w:val="0"/>
          <w:rtl/>
        </w:rPr>
      </w:pPr>
      <w:r>
        <w:rPr>
          <w:b w:val="0"/>
          <w:bCs w:val="0"/>
          <w:rtl/>
        </w:rPr>
        <w:t xml:space="preserve">אָמַר לֵיהּ מַאי אִיהוּ זוּהֲמָא דְאַטִּיל נָחָשׁ בְּחַוָּה, אָמַר לֵיהּ דָּא לִילִי''ת </w:t>
      </w:r>
      <w:r>
        <w:rPr>
          <w:rStyle w:val="a7"/>
          <w:b w:val="0"/>
          <w:bCs w:val="0"/>
          <w:rtl/>
        </w:rPr>
        <w:footnoteReference w:id="4647"/>
      </w:r>
      <w:r>
        <w:rPr>
          <w:b w:val="0"/>
          <w:bCs w:val="0"/>
          <w:rtl/>
        </w:rPr>
        <w:t xml:space="preserve">טִפָּה סְרוּחָה אִיהוּ זוּהֲמָא, וְאִיהִי שְׂאוֹר שֶׁבְּעִיסָה דְאִתְּמַר עֲלָהּ מִי מְעַכֵּב שְׂאוֹר שֶׁבְּעִיסָה, וְאִיהוּ אִיבָּא דְסמא''ל, דְּאִתְּמַר בֵּיהּ </w:t>
      </w:r>
      <w:r>
        <w:rPr>
          <w:b w:val="0"/>
          <w:sz w:val="20"/>
          <w:szCs w:val="23"/>
          <w:rtl/>
        </w:rPr>
        <w:t>(בראשית ג ו)</w:t>
      </w:r>
      <w:r>
        <w:rPr>
          <w:b w:val="0"/>
          <w:bCs w:val="0"/>
          <w:rtl/>
        </w:rPr>
        <w:t xml:space="preserve"> וַתִּקַּח מִפִּרְיוֹ וַתֹּאכַל, דָּא מָוְ''ת דְּאִתְּמַר עֲלָה </w:t>
      </w:r>
      <w:r>
        <w:rPr>
          <w:b w:val="0"/>
          <w:sz w:val="20"/>
          <w:szCs w:val="23"/>
          <w:rtl/>
        </w:rPr>
        <w:t>(משלי ה ה)</w:t>
      </w:r>
      <w:r>
        <w:rPr>
          <w:b w:val="0"/>
          <w:bCs w:val="0"/>
          <w:rtl/>
        </w:rPr>
        <w:t xml:space="preserve"> רַגְלֶיהָ יוֹרְדוֹת מָוְת, וְאִיהִי טִפָּה בִּישָׁא זוּהֲמָא דְאֵל אַחֵר, סַם מָוְת זוּהֲמָא וְעָרְלָה דְאִילָנָא דְמוֹתָא, וּבְגִינָהּ אוּקְמוּהָ מָארֵי מַתְנִיתִין אָדָם מוֹשֵׁךְ בְּעָרְלָתוֹ הֲוָה.</w:t>
      </w:r>
    </w:p>
    <w:p w:rsidR="0020255E" w:rsidRDefault="0020255E" w:rsidP="0020255E">
      <w:pPr>
        <w:pStyle w:val="NormalWeb"/>
        <w:rPr>
          <w:b w:val="0"/>
          <w:bCs w:val="0"/>
          <w:rtl/>
        </w:rPr>
      </w:pPr>
      <w:r>
        <w:rPr>
          <w:b w:val="0"/>
          <w:sz w:val="20"/>
          <w:szCs w:val="23"/>
          <w:rtl/>
        </w:rPr>
        <w:t>(בראשית ד ב)</w:t>
      </w:r>
      <w:r>
        <w:rPr>
          <w:b w:val="0"/>
          <w:bCs w:val="0"/>
          <w:rtl/>
        </w:rPr>
        <w:t xml:space="preserve"> </w:t>
      </w:r>
      <w:r>
        <w:rPr>
          <w:rStyle w:val="a7"/>
          <w:b w:val="0"/>
          <w:bCs w:val="0"/>
          <w:rtl/>
        </w:rPr>
        <w:footnoteReference w:id="4648"/>
      </w:r>
      <w:r>
        <w:rPr>
          <w:b w:val="0"/>
          <w:bCs w:val="0"/>
          <w:rtl/>
        </w:rPr>
        <w:t xml:space="preserve">וַתּוֹסֶף לָלֶדֶת אֶת אָחִיו אֶת הָבֶל, </w:t>
      </w:r>
      <w:r>
        <w:rPr>
          <w:rStyle w:val="a7"/>
          <w:b w:val="0"/>
          <w:bCs w:val="0"/>
          <w:rtl/>
        </w:rPr>
        <w:footnoteReference w:id="4649"/>
      </w:r>
      <w:r>
        <w:rPr>
          <w:b w:val="0"/>
          <w:bCs w:val="0"/>
          <w:rtl/>
        </w:rPr>
        <w:t xml:space="preserve">פָּתַח וְאָמַר </w:t>
      </w:r>
      <w:r>
        <w:rPr>
          <w:b w:val="0"/>
          <w:sz w:val="20"/>
          <w:szCs w:val="23"/>
          <w:rtl/>
        </w:rPr>
        <w:t>(תהלים קד כט)</w:t>
      </w:r>
      <w:r>
        <w:rPr>
          <w:b w:val="0"/>
          <w:bCs w:val="0"/>
          <w:rtl/>
        </w:rPr>
        <w:t xml:space="preserve"> תּוֹסֵף רוּחָם יִגְוָעוּן וְאֶל עֲפָרָם יְשׁוּבוּן, הָכָא רָמִיז גִּלְגּוּלָא דְצַדִּיקַיָּא, </w:t>
      </w:r>
      <w:r>
        <w:rPr>
          <w:rStyle w:val="a7"/>
          <w:b w:val="0"/>
          <w:bCs w:val="0"/>
          <w:rtl/>
        </w:rPr>
        <w:footnoteReference w:id="4650"/>
      </w:r>
      <w:r>
        <w:rPr>
          <w:b w:val="0"/>
          <w:bCs w:val="0"/>
          <w:rtl/>
        </w:rPr>
        <w:t xml:space="preserve">וְאַחֲזֵי לָהּ קוּדְשָׁא בְּרִיךְ הוּא </w:t>
      </w:r>
      <w:r>
        <w:rPr>
          <w:rStyle w:val="a7"/>
          <w:b w:val="0"/>
          <w:bCs w:val="0"/>
          <w:rtl/>
        </w:rPr>
        <w:footnoteReference w:id="4651"/>
      </w:r>
      <w:r>
        <w:rPr>
          <w:b w:val="0"/>
          <w:bCs w:val="0"/>
          <w:rtl/>
        </w:rPr>
        <w:t xml:space="preserve">גִלְגּוּלָא דִילֵיהּ בְּכָל דָּרָא וְדָרָא, אֵיךְ הֲוָה אָזִיל מִצַּדִּיק לַצַּדִּיק, </w:t>
      </w:r>
      <w:r>
        <w:rPr>
          <w:rStyle w:val="a7"/>
          <w:b w:val="0"/>
          <w:bCs w:val="0"/>
          <w:rtl/>
        </w:rPr>
        <w:footnoteReference w:id="4652"/>
      </w:r>
      <w:r>
        <w:rPr>
          <w:b w:val="0"/>
          <w:bCs w:val="0"/>
          <w:rtl/>
        </w:rPr>
        <w:t xml:space="preserve">עַד שִׁתִּין רִבּוֹא, עַד דְּמָטֵי לְהַהוּא דְאִתְּמַר בֵּיהּ </w:t>
      </w:r>
      <w:r>
        <w:rPr>
          <w:b w:val="0"/>
          <w:sz w:val="20"/>
          <w:szCs w:val="23"/>
          <w:rtl/>
        </w:rPr>
        <w:t>(בראשית ו ג)</w:t>
      </w:r>
      <w:r>
        <w:rPr>
          <w:b w:val="0"/>
          <w:bCs w:val="0"/>
          <w:rtl/>
        </w:rPr>
        <w:t xml:space="preserve"> בְּשַׁגַּם הוּא בָשָׂר, בְּשַׁגַּם זֶה הֶבֶל, וְאוּקְמוּהָ קַדְמָאֵי בְּשַׁגַּם דָּא מֹשֶׁה, וּמִיָּד דְּחָמָאָה דַעֲתִידָה אוֹרַיְיתָא לְאִתְיַיהֲבָא עַל יְדֵיהּ, אוֹסֵיפַת בְּגִינֵיהּ כַּמָּה קָרְבָּנִין לְקוּדְשָׁא בְּרִיךְ הוּא, וְכַמָּה צְלוֹתִין וּבָעוּתִין, וְדָא אִיהוּ וַתּוֹסֶף לָלֶדֶת.</w:t>
      </w:r>
    </w:p>
    <w:p w:rsidR="0020255E" w:rsidRDefault="0020255E" w:rsidP="0020255E">
      <w:pPr>
        <w:pStyle w:val="NormalWeb"/>
        <w:rPr>
          <w:b w:val="0"/>
          <w:bCs w:val="0"/>
          <w:rtl/>
        </w:rPr>
      </w:pPr>
      <w:r>
        <w:rPr>
          <w:b w:val="0"/>
          <w:bCs w:val="0"/>
          <w:rtl/>
        </w:rPr>
        <w:t xml:space="preserve">וּבְגִין דָּא אִתְּמַר בֵּיהּ </w:t>
      </w:r>
      <w:r>
        <w:rPr>
          <w:b w:val="0"/>
          <w:sz w:val="20"/>
          <w:szCs w:val="23"/>
          <w:rtl/>
        </w:rPr>
        <w:t>(קהלת א ד)</w:t>
      </w:r>
      <w:r>
        <w:rPr>
          <w:b w:val="0"/>
          <w:bCs w:val="0"/>
          <w:rtl/>
        </w:rPr>
        <w:t xml:space="preserve"> דּוֹר הוֹלֵךְ וְדוֹר בָּא, וְלֵית דּוֹר פָּחוּת מִשִּׁשִּׁים רִבּוֹא, </w:t>
      </w:r>
      <w:r>
        <w:rPr>
          <w:rStyle w:val="a7"/>
          <w:b w:val="0"/>
          <w:bCs w:val="0"/>
          <w:rtl/>
        </w:rPr>
        <w:footnoteReference w:id="4653"/>
      </w:r>
      <w:r>
        <w:rPr>
          <w:b w:val="0"/>
          <w:bCs w:val="0"/>
          <w:rtl/>
        </w:rPr>
        <w:t xml:space="preserve">וּלְעִילָא דּוֹר הוֹלֵךְ דָּא ו', דְּסָלִיק לְשִׁתִּין רִבּוֹא בְּשִׁית סְפִירָן. </w:t>
      </w:r>
      <w:r>
        <w:rPr>
          <w:b w:val="0"/>
          <w:sz w:val="20"/>
          <w:szCs w:val="23"/>
          <w:rtl/>
        </w:rPr>
        <w:t>(שם)</w:t>
      </w:r>
      <w:r>
        <w:rPr>
          <w:b w:val="0"/>
          <w:bCs w:val="0"/>
          <w:rtl/>
        </w:rPr>
        <w:t xml:space="preserve"> וְהָאָרֶץ לְעוֹלָם עוֹמָדֶת דָּא שְׁכִינְתָּא, דְאִיהִי עוֹמָדֶת לֵיהּ, </w:t>
      </w:r>
      <w:r>
        <w:rPr>
          <w:rStyle w:val="a7"/>
          <w:b w:val="0"/>
          <w:bCs w:val="0"/>
          <w:rtl/>
        </w:rPr>
        <w:footnoteReference w:id="4654"/>
      </w:r>
      <w:r>
        <w:rPr>
          <w:b w:val="0"/>
          <w:bCs w:val="0"/>
          <w:rtl/>
        </w:rPr>
        <w:t xml:space="preserve">וְאִיהִי שַׁעְתָּא דְקַיְימָא לֵיהּ, </w:t>
      </w:r>
      <w:r>
        <w:rPr>
          <w:rStyle w:val="a7"/>
          <w:b w:val="0"/>
          <w:bCs w:val="0"/>
          <w:rtl/>
        </w:rPr>
        <w:footnoteReference w:id="4655"/>
      </w:r>
      <w:r>
        <w:rPr>
          <w:b w:val="0"/>
          <w:bCs w:val="0"/>
          <w:rtl/>
        </w:rPr>
        <w:t xml:space="preserve">וּבְגִינָהּ אִתְּמַר לֵית מַזָּל יוֹמָא גָרִים אֶלָּא מַזָּל שַׁעְתָּא גָרִים, </w:t>
      </w:r>
      <w:r>
        <w:rPr>
          <w:rStyle w:val="a7"/>
          <w:b w:val="0"/>
          <w:bCs w:val="0"/>
          <w:rtl/>
        </w:rPr>
        <w:footnoteReference w:id="4656"/>
      </w:r>
      <w:r>
        <w:rPr>
          <w:b w:val="0"/>
          <w:bCs w:val="0"/>
          <w:rtl/>
        </w:rPr>
        <w:t xml:space="preserve">וְלֵית לְכָל בַּר נַשׁ קַיְימָא שַׁעְתָּא, דְּהָא אִית בַּר נַשׁ צַדִּיק דְּלָא קַיְימָא לֵיהּ שַׁעְתָּא, דְּלָא קַיְימָא שַׁעְתָּא אֶלָּא לְבַעְלָהּ, וְהַאי שַׁעְתָּא מִינָהּ בָּנֵי חַיֵּי וּמְזוֹנֵי לְבַר נַשׁ, וּבְגִין דָּא אוּקְמוּהָ מָארֵי מַתְנִיתִין בָּנֵי חַיֵּי וּמְזוֹנֵי לַאו בִּזְכוּתָא תַלְיָא מִלְתָא אֶלָּא בְּמַזָּלָא תַלְיָא מִלְתָא, </w:t>
      </w:r>
      <w:r>
        <w:rPr>
          <w:rStyle w:val="a7"/>
          <w:b w:val="0"/>
          <w:bCs w:val="0"/>
          <w:rtl/>
        </w:rPr>
        <w:footnoteReference w:id="4657"/>
      </w:r>
      <w:r>
        <w:rPr>
          <w:b w:val="0"/>
          <w:bCs w:val="0"/>
          <w:rtl/>
        </w:rPr>
        <w:t xml:space="preserve">מַאי מַזָּלָא דִילָהּ בַּעְלָהּ, </w:t>
      </w:r>
      <w:r>
        <w:rPr>
          <w:rStyle w:val="a7"/>
          <w:b w:val="0"/>
          <w:bCs w:val="0"/>
          <w:rtl/>
        </w:rPr>
        <w:footnoteReference w:id="4658"/>
      </w:r>
      <w:r>
        <w:rPr>
          <w:b w:val="0"/>
          <w:bCs w:val="0"/>
          <w:rtl/>
        </w:rPr>
        <w:t xml:space="preserve">וּלְבַעְלָהּ לֵית מַזָּל, כְּמָה דְאוּקִימְנָא אֵין מַזָּל לְיִשְׂרָאֵל, </w:t>
      </w:r>
      <w:r>
        <w:rPr>
          <w:rStyle w:val="a7"/>
          <w:b w:val="0"/>
          <w:bCs w:val="0"/>
          <w:rtl/>
        </w:rPr>
        <w:footnoteReference w:id="4659"/>
      </w:r>
      <w:r>
        <w:rPr>
          <w:b w:val="0"/>
          <w:bCs w:val="0"/>
          <w:rtl/>
        </w:rPr>
        <w:t>וְאַף עַל גַּב דְּכֹלָּא תַּלְיָא בְּמַזָּלָא אֲפִילוּ סֵפֶר תּוֹרָה שֶׁבְּהֵיכָל, הֵיכָל, שְׁכִינְתָּא תַּתָּאָה, סֵפֶר תּוֹרָה, צַדִּיק.</w:t>
      </w:r>
    </w:p>
    <w:p w:rsidR="0020255E" w:rsidRDefault="0020255E" w:rsidP="0020255E">
      <w:pPr>
        <w:pStyle w:val="aa"/>
        <w:spacing w:after="40"/>
        <w:rPr>
          <w:rtl/>
        </w:rPr>
      </w:pPr>
      <w:r>
        <w:rPr>
          <w:rtl/>
        </w:rPr>
        <w:t xml:space="preserve">[תיקוני זוהר - דף קג ע''ב] </w:t>
      </w:r>
    </w:p>
    <w:p w:rsidR="0020255E" w:rsidRDefault="0020255E" w:rsidP="0020255E">
      <w:pPr>
        <w:pStyle w:val="NormalWeb"/>
        <w:rPr>
          <w:b w:val="0"/>
          <w:bCs w:val="0"/>
          <w:rtl/>
        </w:rPr>
      </w:pPr>
      <w:r>
        <w:rPr>
          <w:rStyle w:val="a7"/>
          <w:b w:val="0"/>
          <w:bCs w:val="0"/>
          <w:rtl/>
        </w:rPr>
        <w:footnoteReference w:id="4660"/>
      </w:r>
      <w:r>
        <w:rPr>
          <w:b w:val="0"/>
          <w:bCs w:val="0"/>
          <w:rtl/>
        </w:rPr>
        <w:t xml:space="preserve">וּתְרֵיסַר מַזָּלוֹת אִינוּן, וְאִינוּן ו''ו, דְּאִשְׁתַּכְּחוּ מְאָת א', וְדָא רָזָא דְוא''ו, וְא' תַּמָּן ו' עִלָּאָה, דְּאִיהוּ מַזָּלָא עִלָּאָה דְסָלִיק בְּמַחֲשָׁבָה, וְכַד סָלִיק בְּמַחֲשָׁבָה אִתְּמַר יִשְׂרָאֵל עָלָה בְּמַחֲשָׁבָה, דְאִיהִי י' דְּעַל רֵישָׁא דְא', וּבְגִין דָּא לֵית מַזָּל </w:t>
      </w:r>
      <w:r>
        <w:rPr>
          <w:b w:val="0"/>
          <w:sz w:val="20"/>
          <w:szCs w:val="23"/>
          <w:rtl/>
        </w:rPr>
        <w:t xml:space="preserve">(דף קג ע''ב) </w:t>
      </w:r>
      <w:r>
        <w:rPr>
          <w:b w:val="0"/>
          <w:bCs w:val="0"/>
          <w:rtl/>
        </w:rPr>
        <w:t xml:space="preserve">לְיִשְׂרָאֵל, דְּהָא בְּמַחֲשָׁבָה סָלִיק, וְכָל מַזָּלָא אִיהוּ מְמַנָּא עַל שַׁעְתָּא, וּתְרֵין עֲשַׂר מַזָּלוֹת, דְּאִינוּן ו"ו, דִּי מְמַנָּן עַל תְּרֵיסַר שַׁעְתֵּי, </w:t>
      </w:r>
      <w:r>
        <w:rPr>
          <w:rStyle w:val="a7"/>
          <w:b w:val="0"/>
          <w:bCs w:val="0"/>
          <w:rtl/>
        </w:rPr>
        <w:footnoteReference w:id="4661"/>
      </w:r>
      <w:r>
        <w:rPr>
          <w:b w:val="0"/>
          <w:bCs w:val="0"/>
          <w:rtl/>
        </w:rPr>
        <w:t>דְאִינוּן הֵ''א הֵ''א, זַכָּאָה אִיהוּ מָאן דְּקַיְימָא לֵיהּ שַׁעְתָּא, דְּאִיהוּ גִלְגּוּל דְּכֻלְּהוּ, דָא י' דְּאִיהוּ גַלְגַּל, וְעִם ו' אִתְעֲבִיד גִּלְגּוּל, גַּלְגַּל אִיהוּ אַתְרֵיה בְּשִׁתִּין וְשִׁית, וְרָזָא דְּמִלָה</w:t>
      </w:r>
      <w:r>
        <w:rPr>
          <w:b w:val="0"/>
          <w:sz w:val="20"/>
          <w:szCs w:val="23"/>
          <w:rtl/>
        </w:rPr>
        <w:t xml:space="preserve"> (בראשית מו כו,כז עיי"ש)</w:t>
      </w:r>
      <w:r>
        <w:rPr>
          <w:b w:val="0"/>
          <w:bCs w:val="0"/>
          <w:rtl/>
        </w:rPr>
        <w:t xml:space="preserve"> כָּל הַנֶּפֶשׁ הַבָּאָה לְבֵית יַעֲקֹב מִצְרַיְמָה שִׁשִּׁים וָשֵׁשׁ, לְאַתְעָרוּתָא דְעַמּוּדָא דְאֶמְצָעִיתָא שִׁשִּׁים, לְאַתְעָרוּתָא דְצַדִּיק וָשֵׁשׁ, וְכֹלָּא אִתְרְמִיז בְּצַדִּיק </w:t>
      </w:r>
      <w:r>
        <w:rPr>
          <w:rStyle w:val="a7"/>
          <w:b w:val="0"/>
          <w:bCs w:val="0"/>
          <w:rtl/>
        </w:rPr>
        <w:footnoteReference w:id="4662"/>
      </w:r>
      <w:r>
        <w:rPr>
          <w:b w:val="0"/>
          <w:bCs w:val="0"/>
          <w:rtl/>
        </w:rPr>
        <w:t xml:space="preserve">דבי' גִּלְגּוּל, יְסוֹד תַּמָּן יוּ''ד, דְּאִתְגַּלְגַּל בֵּיהּ וְנָח בֵּיהּ מִכָּל גִּלְגּוּלִין דְּאִתְגַּלְגַּל, וּבְגִין דָּא </w:t>
      </w:r>
      <w:r>
        <w:rPr>
          <w:b w:val="0"/>
          <w:sz w:val="20"/>
          <w:szCs w:val="23"/>
          <w:rtl/>
        </w:rPr>
        <w:t>(שם ב ב)</w:t>
      </w:r>
      <w:r>
        <w:rPr>
          <w:b w:val="0"/>
          <w:bCs w:val="0"/>
          <w:rtl/>
        </w:rPr>
        <w:t xml:space="preserve"> וַיְכַל אלהי''ם בַּיּוֹם הַשְּׁבִיעִי מְלַאכְתּוֹ אֲשֶׁר עָשָׂה, </w:t>
      </w:r>
      <w:r>
        <w:rPr>
          <w:rStyle w:val="a7"/>
          <w:b w:val="0"/>
          <w:bCs w:val="0"/>
          <w:rtl/>
        </w:rPr>
        <w:footnoteReference w:id="4663"/>
      </w:r>
      <w:r>
        <w:rPr>
          <w:b w:val="0"/>
          <w:bCs w:val="0"/>
          <w:rtl/>
        </w:rPr>
        <w:t>וְאוֹת ו' דְּגִלְגּוּל סָלִיק לְשִׁתִּין רִבּוֹא, דִּבְצַדִּיק אִינוּן שִׁית, וּבְעַמּוּדָא דְאֶמְצָעִיתָא סָלִיק לְשִׁתִּין, וּבְכֶתֶר עִלָּאָה דְאִיהוּ א סָלִיק לְשִׁתִּין רִבּוֹא, דְּגִלְגּוּל אִיהוּ בִּיְסוֹד, וְתַמָּן י' דְּמִתְגַּלְגַּל בֵּיהּ וְשַׁרְיָא עֲלֵיהּ וְנָח בֵּיהּ מֵהַהוּא טִרְחָא דְגַלְגְּלוֹי דְטָרַח בְּשִׁית יוֹמֵי, דְּסָלְקִין לְשִׁית בְּאָת ו', וּלְשִׁתִּין בְּי' שִׁית זִמְנִין עֶשֶׂר, וּלְשִׁית אַלְפִין בְּאַלֶּף, וּלְשִׁתִּין רִבּוֹא בְכֶתֶר עִלָּאָה, וְדָא אִיהוּ דּוֹר הוֹלֵךְ וְדוֹר בָּא וְהָאָרֶץ לְעוֹלָם עוֹמָדֶת.</w:t>
      </w:r>
    </w:p>
    <w:p w:rsidR="0020255E" w:rsidRDefault="0020255E" w:rsidP="0020255E">
      <w:pPr>
        <w:pStyle w:val="NormalWeb"/>
        <w:rPr>
          <w:b w:val="0"/>
          <w:bCs w:val="0"/>
          <w:rtl/>
        </w:rPr>
      </w:pPr>
      <w:r>
        <w:rPr>
          <w:rStyle w:val="a7"/>
          <w:b w:val="0"/>
          <w:bCs w:val="0"/>
          <w:rtl/>
        </w:rPr>
        <w:footnoteReference w:id="4664"/>
      </w:r>
      <w:r>
        <w:rPr>
          <w:b w:val="0"/>
          <w:bCs w:val="0"/>
          <w:rtl/>
        </w:rPr>
        <w:t xml:space="preserve">וּבְכָל זִמְנָא דְאָתֵי וְאָזִיל שַׁעְתָּא קַיְימָא לֵיהּ, הֲדָא הוּא דִכְתִיב וְהָאָרֶץ לְעוֹלָם עוֹמָדֶת, </w:t>
      </w:r>
      <w:r>
        <w:rPr>
          <w:b w:val="0"/>
          <w:sz w:val="20"/>
          <w:szCs w:val="23"/>
          <w:rtl/>
        </w:rPr>
        <w:t>[בדפוס אמסטרדם ומנטובה הוא נכתב בצידו בספרים אחרים]</w:t>
      </w:r>
      <w:r>
        <w:rPr>
          <w:b w:val="0"/>
          <w:bCs w:val="0"/>
          <w:rtl/>
        </w:rPr>
        <w:t xml:space="preserve"> </w:t>
      </w:r>
      <w:r>
        <w:rPr>
          <w:rtl/>
        </w:rPr>
        <w:t xml:space="preserve">דִּלְהַאי בַּת זוּגֵיהּ קַיְימָא לֵיהּ בְּכָל אֲתַר וּבְכָל גִּלְגּוּלָא וּבְכָל שַׁעְתָּא, אַף עַל גַּב דְּאָזִיל וְאָתֵי בְכַמָּה גִלְגּוּלִין, הַאי אִיהוּ צַדִּיק וְטוֹב לוֹ, וּלְמָאן דְּשַׁעְתָּא דִילֵיהּ לָא קַיְימָא לֵיהּ אֶלָּא שַׁעְתָּא אָחֳרָא דְלַאו בַּת זוּגֵיהּ קַיְימָא לֵיהּ, וְהַאי אִיהוּ צַדִּיק וְרַע לוֹ, כְּמָה דְאוּקְמוּהָ מָארֵי מַתְנִיתִין </w:t>
      </w:r>
      <w:r>
        <w:rPr>
          <w:rStyle w:val="a7"/>
          <w:rtl/>
        </w:rPr>
        <w:footnoteReference w:id="4665"/>
      </w:r>
      <w:r>
        <w:rPr>
          <w:rtl/>
        </w:rPr>
        <w:t>כָּל מִי שֶׁדּוֹחֵק אֶת הַשָּׁעָה הַשָּׁעָה דוֹחֲקָתוֹ.</w:t>
      </w:r>
    </w:p>
    <w:p w:rsidR="0020255E" w:rsidRDefault="0020255E" w:rsidP="0020255E">
      <w:pPr>
        <w:pStyle w:val="NormalWeb"/>
        <w:rPr>
          <w:rtl/>
        </w:rPr>
      </w:pPr>
      <w:r>
        <w:rPr>
          <w:rtl/>
        </w:rPr>
        <w:t xml:space="preserve">אָמַר לֵיהּ רַבִּי אֶלְעָזָר, וְהָא ר' פְּדָת צַדִּיק גָּמוּר הֲוָה, וְאַמַּאי לָא נָפַל בְּשַׁעְתָּא דִילֵיהּ דְּאִיהִי בַּת זוּגֵיהּ בֶּן גִּילוֹ, אָמַר לֵיהּ בְּרִי אִית גִּלְגּוּלָא דִמְחַיֵּיב לֵיהּ דְּנָפִיל בְּמַזָּלֵיהּ דְּאִיהוּ בֶּן גִּילוֹ, דְאִתְּמַר בֵּיהּ </w:t>
      </w:r>
      <w:r>
        <w:rPr>
          <w:sz w:val="20"/>
          <w:szCs w:val="23"/>
          <w:rtl/>
        </w:rPr>
        <w:t>(דברים ח ט)</w:t>
      </w:r>
      <w:r>
        <w:rPr>
          <w:rtl/>
        </w:rPr>
        <w:t xml:space="preserve"> אֶרֶץ אֲשֶׁר לֹא בְמִסְכֵּנוּת תֹּאכַל בָּהּ לֶחֶם, דְּאִיהִי שַׁעְתָּא דִמְזוֹנֵי וְשַׁעְתָּא דְחַיֵּי וּבָנֵי, וְאִית גִּלְגּוּלָא דִמְחַיֵּיב לֵיהּ דְּלָא נָפִיל בְּשַׁעְתָּא דִמְזוֹנֵי דְאִיהִי בַת גִּילוֹ, אַף עַל גַּב דְּעָבִיד כַּמָּה זַכְוָון בְּעָלְמָא, וּבְגִין דָּא אוּקְמוּהָ מָארֵי מַתְנִיתִין בָּנֵי חַיֵּי וּמְזוֹנֵי לַאו בִּזְכוּתָא תַלְיָא מִלְתָא אֶלָּא בְמַזָּלָא תַלְיָא מִלְתָא, דְּגִלְגּוּלָא גָרִים לֵיהּ כְּאִלּוּ בְּמַזָּלָא תַלְיָא מִלְתָא.</w:t>
      </w:r>
    </w:p>
    <w:p w:rsidR="0020255E" w:rsidRDefault="0020255E" w:rsidP="0020255E">
      <w:pPr>
        <w:pStyle w:val="NormalWeb"/>
        <w:rPr>
          <w:rtl/>
        </w:rPr>
      </w:pPr>
      <w:r>
        <w:rPr>
          <w:rtl/>
        </w:rPr>
        <w:t>וּמַה דְּאָמַר אִי בָּעִית דְּאַחֲרִיב לְעָלְמָא וְהָדַר אִבְרֵיהּ וְאֶפְשַׁר דִּנְפַלְתְּ בְּשַׁעְתָּא דִמְזוֹנֵי, הָכִי שְׁמַעְנָא בְּוַדַּאי דְּכָל צַדִּיק וְצַדִּיק יֵשׁ לוֹ עוֹלָם בִּפְנֵי עַצְמוֹ, דָא גוּפָא דְבַר נַשׁ דְּאִתְקְרֵי עוֹלָם קָטָן, וּבְגִין כַּךְ אִתְּמַר אִי בָּעִית דְּאַחֲרִיב לְעָלְמָא, וְאַיְיתֵי לֵיהּ בְּגִלְגּוּלָא אָחֳרָא, וְאוּלַי דִּנְפַלְתְּ בְּשַׁעְתָּא דִמְזוֹנֵי.</w:t>
      </w:r>
    </w:p>
    <w:p w:rsidR="0020255E" w:rsidRDefault="0020255E" w:rsidP="0020255E">
      <w:pPr>
        <w:pStyle w:val="aa"/>
        <w:spacing w:after="40"/>
        <w:rPr>
          <w:rtl/>
        </w:rPr>
      </w:pPr>
      <w:r>
        <w:rPr>
          <w:rtl/>
        </w:rPr>
        <w:t xml:space="preserve">[תיקוני זוהר - הגהה דף קד ע''א] </w:t>
      </w:r>
    </w:p>
    <w:p w:rsidR="0020255E" w:rsidRDefault="0020255E" w:rsidP="0020255E">
      <w:pPr>
        <w:pStyle w:val="NormalWeb"/>
        <w:rPr>
          <w:rtl/>
        </w:rPr>
      </w:pPr>
      <w:r>
        <w:rPr>
          <w:rtl/>
        </w:rPr>
        <w:t xml:space="preserve">אַדְהָכִי הָא סָבָא דְסָבִין עַתִּיקָא דְעַתִּיקִין קָא נָחִית לְגַבֵּיהּ, </w:t>
      </w:r>
      <w:r>
        <w:rPr>
          <w:sz w:val="20"/>
          <w:szCs w:val="23"/>
          <w:rtl/>
        </w:rPr>
        <w:t xml:space="preserve">(הגהה דף קד ע''א) </w:t>
      </w:r>
      <w:r>
        <w:rPr>
          <w:rtl/>
        </w:rPr>
        <w:t xml:space="preserve">וְאָמַר </w:t>
      </w:r>
      <w:r>
        <w:rPr>
          <w:rStyle w:val="a7"/>
          <w:rtl/>
        </w:rPr>
        <w:footnoteReference w:id="4666"/>
      </w:r>
      <w:r>
        <w:rPr>
          <w:rtl/>
        </w:rPr>
        <w:t xml:space="preserve">עוֹלָם דְּכָל צַדִּיק דָּא שְׁכִינְתָּא, </w:t>
      </w:r>
      <w:r>
        <w:rPr>
          <w:rStyle w:val="a7"/>
          <w:rtl/>
        </w:rPr>
        <w:footnoteReference w:id="4667"/>
      </w:r>
      <w:r>
        <w:rPr>
          <w:rtl/>
        </w:rPr>
        <w:t xml:space="preserve">כַּד אִסְתַּלַּק מִינָהּ עַמּוּדָא דְאֶמְצָעִיתָא אִשְׁתְּאָרַת חֲרֵיבָה, וּבְגִינָהּ אִתְּמַר תִּבְעִי דְאַחֲרִיב עָלְמָא, </w:t>
      </w:r>
      <w:r>
        <w:rPr>
          <w:rStyle w:val="a7"/>
          <w:rtl/>
        </w:rPr>
        <w:footnoteReference w:id="4668"/>
      </w:r>
      <w:r>
        <w:rPr>
          <w:rtl/>
        </w:rPr>
        <w:t xml:space="preserve">דְּכָל סְפִירָה וּסְפִירָה אִתְקְרִיאַת גַּלְגַּל, וְעִם ו' אִיהוּ גִלְגּוּל, וְשִׁית סְפִירָן בְּאַת ו' סָלְקִין לְשִׁתִּין רִבּוֹא, וְדָא אִיהוּ דּוֹר הוֹלֵךְ וְדוֹר בָּא, וְלֵית דּוֹר פָּחוּת מִשִּׁתִּין רִבּוֹא, וְהָאָרֶץ לְעוֹלָם עוֹמָדֶת דָּא שְׁכִינְתָּא. </w:t>
      </w:r>
      <w:r>
        <w:rPr>
          <w:rStyle w:val="a7"/>
          <w:rtl/>
        </w:rPr>
        <w:footnoteReference w:id="4669"/>
      </w:r>
      <w:r>
        <w:rPr>
          <w:rtl/>
        </w:rPr>
        <w:t xml:space="preserve">דְאִיהִי אִתְקְרִיאַת אוּלַי, </w:t>
      </w:r>
      <w:r>
        <w:rPr>
          <w:rStyle w:val="a7"/>
          <w:rtl/>
        </w:rPr>
        <w:footnoteReference w:id="4670"/>
      </w:r>
      <w:r>
        <w:rPr>
          <w:rtl/>
        </w:rPr>
        <w:t xml:space="preserve">וַעֲלָהּ אִתְּמַר וְאוּלַי דְּזָכֵית לְשַׁעְתָּא דִמְזוֹנֵי, וַעֲלָהּ אִתְּמַר </w:t>
      </w:r>
      <w:r>
        <w:rPr>
          <w:sz w:val="20"/>
          <w:szCs w:val="23"/>
          <w:rtl/>
        </w:rPr>
        <w:t>(דניאל ח ב)</w:t>
      </w:r>
      <w:r>
        <w:rPr>
          <w:rtl/>
        </w:rPr>
        <w:t xml:space="preserve"> עַל אוּבַל אוּלָי, </w:t>
      </w:r>
      <w:r>
        <w:rPr>
          <w:rStyle w:val="a7"/>
          <w:rtl/>
        </w:rPr>
        <w:footnoteReference w:id="4671"/>
      </w:r>
      <w:r>
        <w:rPr>
          <w:rtl/>
        </w:rPr>
        <w:t xml:space="preserve">דִּכְבָר אִתְחַיַּיב קֳדָם דְּיֵיתֵי לְעָלְמָא דְאִיהִי שְׁכִינְתָּא תַּתָּאָה, וְהָא אִתְחַיַּיב בִּסְפִירָה דְאִיהִי לְעִילָא מִנֵּיהּ, עַד דְּאִתְתַּקַּן לְהַהוּא אֲתַר דְּאִתְנְטִיל בַּר נַשׁ נִשְׁמָתֵיהּ, לֵית לֵיהּ תַּקָּנָה בִּשְׁכִינְתָּא תַּתָּאָה, דְאִיהִי שַׁעְתָּא דְכֻלְּהוּ, וּבְגִין דָּא שַׁעְתָּא לָא קַיְימָא לֵיהּ, </w:t>
      </w:r>
      <w:r>
        <w:rPr>
          <w:rStyle w:val="a7"/>
          <w:rtl/>
        </w:rPr>
        <w:footnoteReference w:id="4672"/>
      </w:r>
      <w:r>
        <w:rPr>
          <w:rtl/>
        </w:rPr>
        <w:t xml:space="preserve">וְאִם תַּלְיָא בְּמַזָּלָא עִלָּאָה אֲפִילוּ דְיַעֲבִיד כַּמָּה זַכְוָון לַאו בִּזְכוּתָא תַלְיָא מִלְתָא, דְהָא מְחוּיָיב אִיהוּ מִלְּעִילָא, </w:t>
      </w:r>
      <w:r>
        <w:rPr>
          <w:rStyle w:val="a7"/>
          <w:rtl/>
        </w:rPr>
        <w:footnoteReference w:id="4673"/>
      </w:r>
      <w:r>
        <w:rPr>
          <w:rtl/>
        </w:rPr>
        <w:t xml:space="preserve">וְהָכָא </w:t>
      </w:r>
      <w:r>
        <w:rPr>
          <w:rStyle w:val="a7"/>
          <w:rtl/>
        </w:rPr>
        <w:footnoteReference w:id="4674"/>
      </w:r>
      <w:r>
        <w:rPr>
          <w:rtl/>
        </w:rPr>
        <w:t xml:space="preserve">גִּלְגּוּלָא דְתַלְיָא בִּשְׁכִינְתָּא דְאִיהוּ בְּמִינֵיהּ, וקַיְימָא לֵיהּ שַׁעְתָּא תַּמָּן וְאִיהִי בַּת זוּגֵיהּ, דְּאִתְגַּלְגַּל עִמֵּיהּ, וְאִם לָא, לָא קַיְימָא לֵיהּ, וְדָא אִם אַחֶרֶת יִקַּח לוֹ </w:t>
      </w:r>
      <w:r>
        <w:rPr>
          <w:sz w:val="20"/>
          <w:szCs w:val="23"/>
          <w:rtl/>
        </w:rPr>
        <w:t>(שמות כא ו)</w:t>
      </w:r>
      <w:r>
        <w:rPr>
          <w:rtl/>
        </w:rPr>
        <w:t xml:space="preserve">, אִם הַהוּא רוּחָא יֵיתֵי בְּגוּפָא אָחֳרָא, דְלַאו אִיהוּ מִינֵיהּ, מַה כְּתִיב בֵּיהּ, שְׁאֵרָהּ כְּסוּתָהּ וְעוֹנָתָהּ לֹא יִגְרָע, שְׁאֵרָהּ דָּא גִלְגּוּלָא קַדְמָאָה, שְׁאֵר בְּשָׂרוֹ, כְּסוּתָהּ כִּי הִיא כְסוּתֹה לְבַדָּהּ הִיא שִׂמְלָתוֹ לְעוֹרוֹ </w:t>
      </w:r>
      <w:r>
        <w:rPr>
          <w:sz w:val="20"/>
          <w:szCs w:val="23"/>
          <w:rtl/>
        </w:rPr>
        <w:t>(שם כב כו)</w:t>
      </w:r>
      <w:r>
        <w:rPr>
          <w:rtl/>
        </w:rPr>
        <w:t xml:space="preserve"> דָא גִלְגּוּלָא תִנְיָינָא, וְעוֹנָתָהּ אָדָם יִחוּדָא דִילֵיהּ דְּאִיהוּ גִלְגּוּלָא תְּלִיתָאָה.</w:t>
      </w:r>
    </w:p>
    <w:p w:rsidR="0020255E" w:rsidRDefault="0020255E" w:rsidP="0020255E">
      <w:pPr>
        <w:pStyle w:val="NormalWeb"/>
        <w:rPr>
          <w:rtl/>
        </w:rPr>
      </w:pPr>
      <w:r>
        <w:rPr>
          <w:rtl/>
        </w:rPr>
        <w:t xml:space="preserve">אָמַר רַבִּי שִׁמְעוֹן סָבָא סָבָא פְּתַח מִלִּין יַתִּיר דְּהָא סְתִימִין מִלִּין דִּילָךְ, אָמַר לֵיהּ הַהוּא סָבָא, שְׁאֵרָהּ דָּא מְזוֹנָא מִסִּטְרָא דִימִינָא דְמִתַּמָּן כָּל מְזוֹנָא קָא אַתְיָא, </w:t>
      </w:r>
      <w:r>
        <w:rPr>
          <w:rStyle w:val="a7"/>
          <w:rtl/>
        </w:rPr>
        <w:footnoteReference w:id="4675"/>
      </w:r>
      <w:r>
        <w:rPr>
          <w:rtl/>
        </w:rPr>
        <w:t xml:space="preserve">הֲדָא הוּא דִכְתִיב </w:t>
      </w:r>
      <w:r>
        <w:rPr>
          <w:sz w:val="20"/>
          <w:szCs w:val="23"/>
          <w:rtl/>
        </w:rPr>
        <w:t>(תהלים קמה טז)</w:t>
      </w:r>
      <w:r>
        <w:rPr>
          <w:rtl/>
        </w:rPr>
        <w:t xml:space="preserve"> פּוֹתֵחַ אֶת יָדֶיךָ וּמַשְׂבִּיעַ לְכָל חַי רָצוֹן.</w:t>
      </w:r>
    </w:p>
    <w:p w:rsidR="0020255E" w:rsidRDefault="0020255E" w:rsidP="0020255E">
      <w:pPr>
        <w:pStyle w:val="aa"/>
        <w:spacing w:after="40"/>
        <w:rPr>
          <w:rtl/>
        </w:rPr>
      </w:pPr>
      <w:r>
        <w:rPr>
          <w:rtl/>
        </w:rPr>
        <w:t xml:space="preserve">[תיקוני זוהר - הגהה דף קד ע''ב] </w:t>
      </w:r>
    </w:p>
    <w:p w:rsidR="0020255E" w:rsidRDefault="0020255E" w:rsidP="0020255E">
      <w:pPr>
        <w:pStyle w:val="NormalWeb"/>
        <w:rPr>
          <w:rtl/>
        </w:rPr>
      </w:pPr>
      <w:r>
        <w:rPr>
          <w:rtl/>
        </w:rPr>
        <w:t xml:space="preserve">כְּסוּתָהּ מִסִּטְרָא דִשְׂמָאלָא </w:t>
      </w:r>
      <w:r>
        <w:rPr>
          <w:rStyle w:val="a7"/>
          <w:rtl/>
        </w:rPr>
        <w:footnoteReference w:id="4676"/>
      </w:r>
      <w:r>
        <w:rPr>
          <w:rtl/>
        </w:rPr>
        <w:t xml:space="preserve">דְאִיהוּ כְּסוּת עִינַיִם, דְּמִתַּמָּן עֶרְיָין לִשְׂמָאלָא, בְּגִין דְּסִטְרָא שְׂמָאלָא תַמָּן פְּגִימוּ, הֲדָא הוּא דִכְתִיב </w:t>
      </w:r>
      <w:r>
        <w:rPr>
          <w:sz w:val="20"/>
          <w:szCs w:val="23"/>
          <w:rtl/>
        </w:rPr>
        <w:t>(ירמיה א יד)</w:t>
      </w:r>
      <w:r>
        <w:rPr>
          <w:rtl/>
        </w:rPr>
        <w:t xml:space="preserve"> מִצָּפוֹן תִּפָּתַח הָרָעָה, וּבְגִין דָּא אִתְּמַר בְּיִצְחָק </w:t>
      </w:r>
      <w:r>
        <w:rPr>
          <w:sz w:val="20"/>
          <w:szCs w:val="23"/>
          <w:rtl/>
        </w:rPr>
        <w:t>(בראשית כז א)</w:t>
      </w:r>
      <w:r>
        <w:rPr>
          <w:rtl/>
        </w:rPr>
        <w:t xml:space="preserve"> וַיְהִי כִּי זָקֵן יִצְחָק וַתִּכְהֶיןָ עִינָיו מֵרְאוֹת, וְתַמָּן צָרִיךְ כִּסּוּיָיא, וּמֹשֶׁה בְּהַהוּא אִתְּמַר בֵּיהּ </w:t>
      </w:r>
      <w:r>
        <w:rPr>
          <w:sz w:val="20"/>
          <w:szCs w:val="23"/>
          <w:rtl/>
        </w:rPr>
        <w:t>(שמות ג ו)</w:t>
      </w:r>
      <w:r>
        <w:rPr>
          <w:rtl/>
        </w:rPr>
        <w:t xml:space="preserve"> וַיַּסְתֵּר מֹשֶׁה פָּנָיו כִּי יָרֵא מֵהַבִּיט אֶל הָאלהי''ם, וּבְגִין דָּא צִיצִית </w:t>
      </w:r>
      <w:r>
        <w:rPr>
          <w:sz w:val="20"/>
          <w:szCs w:val="23"/>
          <w:rtl/>
        </w:rPr>
        <w:t xml:space="preserve">(הגהה דף קד ע''ב) </w:t>
      </w:r>
      <w:r>
        <w:rPr>
          <w:rtl/>
        </w:rPr>
        <w:t xml:space="preserve">וּתְפִילִּין אִינוּן כִּסּוּיָא דִילָהּ, הֲדָא הוּא דִכְתִיב כִּי הִיא כְסוּתֹה לְבַדָּהּ הִיא שִׂמְלָתוֹ לְעוֹרוֹ, </w:t>
      </w:r>
      <w:r>
        <w:rPr>
          <w:sz w:val="20"/>
          <w:szCs w:val="23"/>
          <w:rtl/>
        </w:rPr>
        <w:t>(ובעור דתפילין, כסותה לבדה היא שמלתו לעורו)</w:t>
      </w:r>
      <w:r>
        <w:rPr>
          <w:rtl/>
        </w:rPr>
        <w:t xml:space="preserve">, בְּעוֹר דִּתְּפִלִּין, כְּסֻתָהּ עַל אַרְבַּע כַּנְפוֹת כְּסוּתְךָ אֲשֶׁר תְּכַסֶּה בָּהּ </w:t>
      </w:r>
      <w:r>
        <w:rPr>
          <w:sz w:val="20"/>
          <w:szCs w:val="23"/>
          <w:rtl/>
        </w:rPr>
        <w:t>(דברים כב יב)</w:t>
      </w:r>
      <w:r>
        <w:rPr>
          <w:rtl/>
        </w:rPr>
        <w:t>.</w:t>
      </w:r>
    </w:p>
    <w:p w:rsidR="0020255E" w:rsidRDefault="0020255E" w:rsidP="0020255E">
      <w:pPr>
        <w:pStyle w:val="NormalWeb"/>
        <w:rPr>
          <w:rtl/>
        </w:rPr>
      </w:pPr>
      <w:r>
        <w:rPr>
          <w:rtl/>
        </w:rPr>
        <w:t xml:space="preserve">וְעוֹנָתָהּ מִסִּטְרָא דְעַמּוּדָא דְאֶמְצָעִיתָא דְאִיהוּ יִשְׂרָאֵל שְׁמַע יִשְׂרָאֵל, לְתַמָּן יִחוּדָא דִילָהּ, הֲדָא הוּא דִכְתִיב </w:t>
      </w:r>
      <w:r>
        <w:rPr>
          <w:sz w:val="20"/>
          <w:szCs w:val="23"/>
          <w:rtl/>
        </w:rPr>
        <w:t>(שמות כא יא)</w:t>
      </w:r>
      <w:r>
        <w:rPr>
          <w:rtl/>
        </w:rPr>
        <w:t xml:space="preserve"> וְאִם שְׁלָשׁ אֵלֶּה לֹא יַעֲשֶׂה לָהּ וְיָצְאָה חִנָּם אֵין כָּסֶף, דְּהֶן כָּל אֵלֶּה יִפְעַל אֵ''ל פַּעֲמַיִם שָׁלֹשׁ עִם גָּבֶר </w:t>
      </w:r>
      <w:r>
        <w:rPr>
          <w:sz w:val="20"/>
          <w:szCs w:val="23"/>
          <w:rtl/>
        </w:rPr>
        <w:t>(איוב לג כט)</w:t>
      </w:r>
      <w:r>
        <w:rPr>
          <w:rtl/>
        </w:rPr>
        <w:t>.</w:t>
      </w:r>
    </w:p>
    <w:p w:rsidR="0020255E" w:rsidRDefault="0020255E" w:rsidP="0020255E">
      <w:pPr>
        <w:pStyle w:val="NormalWeb"/>
        <w:rPr>
          <w:rtl/>
        </w:rPr>
      </w:pPr>
      <w:r>
        <w:rPr>
          <w:rStyle w:val="a7"/>
          <w:rtl/>
        </w:rPr>
        <w:footnoteReference w:id="4677"/>
      </w:r>
      <w:r>
        <w:rPr>
          <w:rtl/>
        </w:rPr>
        <w:t xml:space="preserve">אַבָּא דְאִיהוּ חָכְמָה בְּאִלֵּין תְּלַת נָחִית בְּגִלְגּוּל, וְהָא כְּתִיב בְּאָדָם וְחַוָּה דְסָלְקִין בְּמִטָּה שְׁנַיִם </w:t>
      </w:r>
      <w:r>
        <w:rPr>
          <w:rStyle w:val="a7"/>
          <w:rtl/>
        </w:rPr>
        <w:footnoteReference w:id="4678"/>
      </w:r>
      <w:r>
        <w:rPr>
          <w:rtl/>
        </w:rPr>
        <w:t xml:space="preserve">וְיָרְדוּ שֶׁבַע, אָמַר, וַדַּאי הָכִי אִיהוּ דְּאִינוּן אָדָם וְחַוָּה, קַיִן וּתְאוּמָתוֹ, הֶבֶל וּתְרֵין תְּאוֹמוֹתָיו, (וְקַיִן בְּגִין דַּהֲווֹ לְהֶבֶל תְּרֵין תְּאוּמוֹת וְלֵיהּ לָא הֲוָה אֶלָּא חַד, קַנִּי לְהֶבֶל) וְדָא גָרִים לֵיהּ כִּי שֶׁבַע יִפּוֹל צַדִּיק וָקָם </w:t>
      </w:r>
      <w:r>
        <w:rPr>
          <w:sz w:val="20"/>
          <w:szCs w:val="23"/>
          <w:rtl/>
        </w:rPr>
        <w:t>(משלי כד טז)</w:t>
      </w:r>
      <w:r>
        <w:rPr>
          <w:rtl/>
        </w:rPr>
        <w:t>, דְּחָב בִּשְׁכִינְתָּא דְאִיהוּ בַּת שֶׁבַע, וּבְגִין דָּא נָפַל בְּשֶׁבַע, דְּאִתְּתָא גָרִים לֵיהּ מִיתָה, וְדָא יְרִידָה דִילֵיהּ דִּנְחִיתַת שְׁכִינְתָּא תַּתָּאָה מֵאַתְרָהָא. וְגָרִים אָדָם דְּאִסְתַּלַּק נְבִיעוּ מִשְּׁכִינְתָּא תַּתָּאָה וּמִשֶּׁבַע דַּרְגִּין דִּילָהּ.</w:t>
      </w:r>
    </w:p>
    <w:p w:rsidR="0020255E" w:rsidRDefault="0020255E" w:rsidP="0020255E">
      <w:pPr>
        <w:pStyle w:val="NormalWeb"/>
        <w:rPr>
          <w:rtl/>
        </w:rPr>
      </w:pPr>
      <w:r>
        <w:rPr>
          <w:rtl/>
        </w:rPr>
        <w:t xml:space="preserve">וּלְבָתַר דְּאִשְׁתַּרַשׁ בָּהּ </w:t>
      </w:r>
      <w:r>
        <w:rPr>
          <w:sz w:val="20"/>
          <w:szCs w:val="23"/>
          <w:rtl/>
        </w:rPr>
        <w:t>(נ''א דאשתמש בהאי)</w:t>
      </w:r>
      <w:r>
        <w:rPr>
          <w:rtl/>
        </w:rPr>
        <w:t xml:space="preserve"> אִילָנָא, וְנָחִית תַּמָּן נְבִיעוּ לְמֶעֱבַד אִיבָּא דְאִיהוּ פִּרְיָה וְרִבְיָה, (דָא גָרִים אָדָם דְּאִתְבְּרֵי בְּדִיּוֹקְנֵיהּ, דְּאִסְתַּלַּק נְבִיעוּ מִשְּׁכִינְתָּא תַּתָּאָה וּמִשֶּׁבַע דַּרְגִּין דִּילָהּ, לְבָתַר דִּנְחִיתוּ תַּמָּן), כֹּלָּא סָלִיק לְאַתְרֵיהּ, וְדָא (וְרָזָא) אִיהוּ וְקָם.</w:t>
      </w:r>
    </w:p>
    <w:p w:rsidR="0020255E" w:rsidRDefault="0020255E" w:rsidP="0020255E">
      <w:pPr>
        <w:pStyle w:val="aa"/>
        <w:spacing w:after="40"/>
        <w:rPr>
          <w:rtl/>
        </w:rPr>
      </w:pPr>
      <w:r>
        <w:rPr>
          <w:rtl/>
        </w:rPr>
        <w:t xml:space="preserve">[תיקוני זוהר - נ"א דף קג ע''ב, נ"א דף קד ע''א] </w:t>
      </w:r>
    </w:p>
    <w:p w:rsidR="0020255E" w:rsidRDefault="0020255E" w:rsidP="0020255E">
      <w:pPr>
        <w:pStyle w:val="NormalWeb"/>
        <w:rPr>
          <w:rStyle w:val="Char0"/>
          <w:sz w:val="24"/>
          <w:rtl/>
        </w:rPr>
      </w:pPr>
      <w:r>
        <w:rPr>
          <w:rtl/>
        </w:rPr>
        <w:t>וּמַאי הֲוָה נְבִיעוּ דְאִסְתַּלַּק מִנֵּיהּ, ו' דְּאִסְתַּלַּק עַד אֵין סוֹף דְּאִיהוּ מַזָּלָא עִלָּאָה, דְנָחִית לֵיהּ ו' דְּאִיהוּ אַבָּא לְאַתְרֵיהּ, וּלְבָתַר סָלִיק אַבָּא כָּל בְּרֵיהּ לְאַתְרֵיהּ.</w:t>
      </w:r>
      <w:r>
        <w:rPr>
          <w:b w:val="0"/>
          <w:bCs w:val="0"/>
          <w:rtl/>
        </w:rPr>
        <w:t xml:space="preserve"> </w:t>
      </w:r>
      <w:r>
        <w:rPr>
          <w:rStyle w:val="Char0"/>
          <w:sz w:val="24"/>
          <w:rtl/>
        </w:rPr>
        <w:t>(נ''א דנחית לון דאיהו אבא לבריה, ולבתר סליק אבא מבריה לאתריה) (כל זה מיותר) (</w:t>
      </w:r>
      <w:r>
        <w:rPr>
          <w:b w:val="0"/>
          <w:sz w:val="20"/>
          <w:szCs w:val="23"/>
          <w:rtl/>
        </w:rPr>
        <w:t xml:space="preserve">(נ"א דף קג ע''ב) </w:t>
      </w:r>
      <w:r>
        <w:rPr>
          <w:rStyle w:val="a7"/>
          <w:b w:val="0"/>
          <w:rtl/>
        </w:rPr>
        <w:footnoteReference w:id="4679"/>
      </w:r>
      <w:r>
        <w:rPr>
          <w:rStyle w:val="Char0"/>
          <w:sz w:val="24"/>
          <w:rtl/>
        </w:rPr>
        <w:t>דאיהו שעתא דקיימא ליה. זכאה איהו מאן דקיימא ליה ולא דחיקא ליה שעתא כמה דאוקמוה כל הדוחק את השעה שעה דוחקתו והא רבי פדת דדחיקא ליה שעתא אמר ליה קודשא בריך הוא אי בעית דאחריב עלמא ואפשר דנפלת בשעתא דמזוני אמר ליה בוצינא קדישא כולי האי אמאי אמר ליה דא רזא רברבא שמענא דבר נש דאתי בגלגולא ואתחייב למאריה קדם דייתי לעלמא אף על גב דיעביד כמה זכוון לאו בזכותיה תליא מלתא דהא מזליה גרים ליה ומה דאמר אי בעית דאחריב לעלמא ואפשר דנפלת בשעתא דמזוני בודאי הכי שמענא דכל צדיקא וצדיקא אית ליה עולם בפני עצמו ודא גופא דבר נש דאתקרי עולם קטן ובגין דא אמר אי בעית דאחרביה לעלמא ואייתי ליה בגופא אחרא ואפשר דנפלת בשעתא דמזוני אמר ליה והא כתיב (שמות כא י) אם אחרת יקח לו שארה כסותה ועונתה לא יגרע והן כל אלה יפעל א''ל וכו' ואם שלש אלה לא יעשה לה ויצאה חנם אין כסף (שם). אמר ליה ודאי אתגלי הכא רזא עלאה כמה דאוקמוהו מארי מתניתין אשתו כגופו דמיא (</w:t>
      </w:r>
      <w:r>
        <w:rPr>
          <w:b w:val="0"/>
          <w:sz w:val="20"/>
          <w:szCs w:val="23"/>
          <w:rtl/>
        </w:rPr>
        <w:t xml:space="preserve">נ"א דף קד ע''א) </w:t>
      </w:r>
      <w:r>
        <w:rPr>
          <w:rStyle w:val="Char0"/>
          <w:sz w:val="24"/>
          <w:rtl/>
        </w:rPr>
        <w:t>ואשתכח דאיהי חיים דיליה הדא הוא דכתיב (קהלת ט ט) ראה חיים עם אשה אשר אהבת עץ חיים היא למחזיקים בה (משלי ג יח), ואיהי פרנסה דיליה הדא הוא דכתיב (דברים ח ט) ארץ אשר לא במסכנות תאכל בה לחם וכו' ומינה בני חיי ומזוני עד כאן נ"א).</w:t>
      </w:r>
    </w:p>
    <w:p w:rsidR="0020255E" w:rsidRDefault="0020255E" w:rsidP="0020255E">
      <w:pPr>
        <w:pStyle w:val="aa"/>
        <w:spacing w:after="40"/>
        <w:rPr>
          <w:rtl/>
        </w:rPr>
      </w:pPr>
      <w:r>
        <w:rPr>
          <w:rtl/>
        </w:rPr>
        <w:t xml:space="preserve">[תיקוני זוהר - המשך דף קד ע''א] </w:t>
      </w:r>
    </w:p>
    <w:p w:rsidR="0020255E" w:rsidRDefault="0020255E" w:rsidP="0020255E">
      <w:pPr>
        <w:pStyle w:val="NormalWeb"/>
        <w:rPr>
          <w:b w:val="0"/>
          <w:bCs w:val="0"/>
          <w:rtl/>
        </w:rPr>
      </w:pPr>
      <w:r>
        <w:rPr>
          <w:rStyle w:val="a7"/>
          <w:b w:val="0"/>
          <w:bCs w:val="0"/>
          <w:rtl/>
        </w:rPr>
        <w:footnoteReference w:id="4680"/>
      </w:r>
      <w:r>
        <w:rPr>
          <w:b w:val="0"/>
          <w:bCs w:val="0"/>
          <w:rtl/>
        </w:rPr>
        <w:t xml:space="preserve">וְלָקֳבֵל אִלֵּין גִּלְגּוּלִין שִׁנּוּי מָקוֹם וְשִׁנּוּי הַשֵּׁם וְשִׁנּוּי מַעֲשֶׂה, שִׁנּוּי מָקוֹם כְּגַוְונָא דְקוּדְשָׁא בְּרִיךְ הוּא, דְאִתְּמַר בֵּיהּ </w:t>
      </w:r>
      <w:r>
        <w:rPr>
          <w:b w:val="0"/>
          <w:sz w:val="20"/>
          <w:szCs w:val="23"/>
          <w:rtl/>
        </w:rPr>
        <w:t>(ישעיה כו כא)</w:t>
      </w:r>
      <w:r>
        <w:rPr>
          <w:b w:val="0"/>
          <w:bCs w:val="0"/>
          <w:rtl/>
        </w:rPr>
        <w:t xml:space="preserve"> הִנֵּה יהו''ה יוֹצֵא מִמְּקוֹמוֹ, </w:t>
      </w:r>
      <w:r>
        <w:rPr>
          <w:rStyle w:val="a7"/>
          <w:b w:val="0"/>
          <w:bCs w:val="0"/>
          <w:rtl/>
        </w:rPr>
        <w:footnoteReference w:id="4681"/>
      </w:r>
      <w:r>
        <w:rPr>
          <w:b w:val="0"/>
          <w:bCs w:val="0"/>
          <w:rtl/>
        </w:rPr>
        <w:t xml:space="preserve">וְכַד נָפִיק אִשְׁתַּנִּי מִדִּינָא לְרַחֲמֵי וּמֵרַחֲמֵי לְדִינָא, כְּמָה דְאוּקְמוּהוּ מָארֵי מַתְנִיתִין לֹא כְשֶׁאֲנִי נִכְתָּב אֲנִי נִקְרָא, בָּעוֹלָם הַבָּא דְאִיהוּ אַתְרֵיהּ נִכְתָּב בְּיהו''ה וְנִקְרָא בְּיהו''ה, בָּעוֹלָם הַזֶּה נִכְתָּב בְּיהו''ה וְנִקְרָא בְּאדנ''י, דָּא שִׁנּוּי מָקוֹם לְבָר מֵאַתְרֵיהּ, דְּאִיהוּ עָלְמָא דְאָתֵי, עָלְמָא דְאָתֵי לֵית בֵּיהּ שִׁנּוּיָא, הֲדָא הוּא דִכְתִיב </w:t>
      </w:r>
      <w:r>
        <w:rPr>
          <w:b w:val="0"/>
          <w:sz w:val="20"/>
          <w:szCs w:val="23"/>
          <w:rtl/>
        </w:rPr>
        <w:t>(מלאכי ג ו)</w:t>
      </w:r>
      <w:r>
        <w:rPr>
          <w:b w:val="0"/>
          <w:bCs w:val="0"/>
          <w:rtl/>
        </w:rPr>
        <w:t xml:space="preserve"> אֲנִי יהו''ה לֹא שָׁנִיתִי, נִכְתָּב בְּשֵׁם יהו''ה וְנִקְרָא בְשֵׁם יהו''ה, אִתְקְרֵי יהו''ה רַחֲמֵי, לְבָר מֵאַתְרֵיהּ אִשְׁתַּנִּי וְאִתְקְרֵי אדנ''י וְאִתְקְרֵי דִין, וְדָא רָזָא עוֹמֵד מִכִּסֵּא רַחֲמִים וְיוֹשֵׁב עַל כִּסֵּא דִין.</w:t>
      </w:r>
    </w:p>
    <w:p w:rsidR="0020255E" w:rsidRDefault="0020255E" w:rsidP="0020255E">
      <w:pPr>
        <w:pStyle w:val="NormalWeb"/>
        <w:rPr>
          <w:b w:val="0"/>
          <w:bCs w:val="0"/>
          <w:rtl/>
        </w:rPr>
      </w:pPr>
      <w:r>
        <w:rPr>
          <w:rStyle w:val="a7"/>
          <w:b w:val="0"/>
          <w:bCs w:val="0"/>
          <w:rtl/>
        </w:rPr>
        <w:footnoteReference w:id="4682"/>
      </w:r>
      <w:r>
        <w:rPr>
          <w:b w:val="0"/>
          <w:bCs w:val="0"/>
          <w:rtl/>
        </w:rPr>
        <w:t xml:space="preserve">שִׁנּוּי הַשֵּׁם דָּא מצפ''ץ, דְּאִיהוּ בְּאַ''תְּ בַּ''שׁ יהו''ה, </w:t>
      </w:r>
      <w:r>
        <w:rPr>
          <w:rStyle w:val="a7"/>
          <w:b w:val="0"/>
          <w:bCs w:val="0"/>
          <w:rtl/>
        </w:rPr>
        <w:footnoteReference w:id="4683"/>
      </w:r>
      <w:r>
        <w:rPr>
          <w:b w:val="0"/>
          <w:bCs w:val="0"/>
          <w:rtl/>
        </w:rPr>
        <w:t xml:space="preserve">שִׁנּוּי מַעֲשֶׂה דָא שַׁבָּת, דְּצָרִיךְ כָּל עוֹבֲדוֹהִי כִּלְאַחַר יָד, וְרַזַא דְמִלָה </w:t>
      </w:r>
      <w:r>
        <w:rPr>
          <w:b w:val="0"/>
          <w:sz w:val="20"/>
          <w:szCs w:val="23"/>
          <w:rtl/>
        </w:rPr>
        <w:t>(חסר כאן ותמצאנו בתיקוני זוהר חדש פ"ד ד')</w:t>
      </w:r>
      <w:r>
        <w:rPr>
          <w:b w:val="0"/>
          <w:bCs w:val="0"/>
          <w:rtl/>
        </w:rPr>
        <w:t xml:space="preserve"> וְרָאִיתָ אֶת אָחוֹרַי. וְעוֹד הֵשִׁיב אָחוֹר יְמִינוֹ וְגוֹ' דְּאִיהִי אִתְקְרִיאַת יַד יְמִינֵיה, יַד ה' וַדַאי. וּבְגִין דָּא כִּלְאַחַר יַד אִיהוּ שִׁנוּי מַעֲשֶׂה בְּשַׁבָּת. וְלַאו לְמַגְנָא אוּקְמוּהוּ מַארֵי מַתְנִיתִין תַּעֲלָא בְּעִדָּנֵיהּ סָגִיד לֵיהּ וְאָמְרוּ מִי שְׁהַשָׁעָה מְשַׂחֶקֶת לוֹ אַל תִּתְגַרֶה בּוֹ, </w:t>
      </w:r>
      <w:r>
        <w:rPr>
          <w:rStyle w:val="a7"/>
          <w:b w:val="0"/>
          <w:bCs w:val="0"/>
          <w:rtl/>
        </w:rPr>
        <w:footnoteReference w:id="4684"/>
      </w:r>
      <w:r>
        <w:rPr>
          <w:b w:val="0"/>
          <w:bCs w:val="0"/>
          <w:rtl/>
        </w:rPr>
        <w:t>דְּהַא דָא אַזִיל בְּגִלְגוּלָא עַד דְּאַעֲרַע בְּשַׁעֲתָא דְּאִתְבְּרִי בָּה מִשֵׁשֶׁת יְמֵי בְרֵאשִׁית, כְּדְאָמַר קֹהֶלֶת לַכֹּל זְמַן וְעֵת לְכֹל חֶפֶץ וְגוֹ'. כ"ח זִמְנִין אַדְכַּר קֹהֶלֶת הַכַא עֵת.</w:t>
      </w:r>
    </w:p>
    <w:p w:rsidR="0020255E" w:rsidRDefault="0020255E" w:rsidP="0020255E">
      <w:pPr>
        <w:pStyle w:val="NormalWeb"/>
        <w:rPr>
          <w:rtl/>
        </w:rPr>
      </w:pPr>
      <w:r>
        <w:rPr>
          <w:rtl/>
        </w:rPr>
        <w:t xml:space="preserve">(נ"א כֹּל דְּאִיהוּ צַדִּיק, אַחַר יָד דְּאִיהִי שְׁכִינְתָּא, דָא שִׁנּוּי מַעֲשֶׂה, וּבְזִמְנָא דְאִיהוּ כִּלְאַחַר יָד לֵית תַּמָּן סְגִידוּ, דְאִתְּמַר בֵּיהּ כָּל הַכּוֹרֵעַ כּוֹרֵעַ בְּבָרוּךְ, תַּעֲלָא בְעִידָּנֵיהּ סָגִיד לֵיהּ, דִּבְזִמְנָא דְאִיהוּ כִלְאַחַר יָד אִתְעֲבִיד זָנָב, וְעִם כָּל דָּא דְאָמַר תַּעֲלָא בְעִדָּנֵיהּ סָגִיד לֵיהּ בְּאַתְרֵיהּ, אֲבָל חוּץ מֵאַתְרֵיהּ הֱוִי זָנָב לַאֲרָיוֹת וְאַל תְּהִי רֹאשׁ לַשּׁוּעָלִים דְּהָא צַדִּיק גָּמוּר אַף עַל גַּב דְּנָחִית מִדַּרְגֵּיהּ וְאִתְעֲבִיד זָנָב לַאֲרָיוֹת, עֲלֵיהּ אִתְּמַר </w:t>
      </w:r>
      <w:r>
        <w:rPr>
          <w:sz w:val="20"/>
          <w:szCs w:val="23"/>
          <w:rtl/>
        </w:rPr>
        <w:t>(תהלים לז כה)</w:t>
      </w:r>
      <w:r>
        <w:rPr>
          <w:rtl/>
        </w:rPr>
        <w:t xml:space="preserve"> לֹא רָאִיתִי צַדִּיק נֶעֱזָב, מַאי זָנָב דִּילֵיהּ הַהִיא קוֹצָא דְאָת ד' מִן אֶחָ''ד דְּאִיהִי י' זְעִירָא שְׁכִינְתָּא תַּתָּאָה, עֲלֵיהּ אִתְּמַר </w:t>
      </w:r>
      <w:r>
        <w:rPr>
          <w:sz w:val="20"/>
          <w:szCs w:val="23"/>
          <w:rtl/>
        </w:rPr>
        <w:t>(משלי כד טז)</w:t>
      </w:r>
      <w:r>
        <w:rPr>
          <w:rtl/>
        </w:rPr>
        <w:t xml:space="preserve"> כִּי שֶׁבַע יִפּוֹל צַדִּיק וָקָם.</w:t>
      </w:r>
    </w:p>
    <w:p w:rsidR="0020255E" w:rsidRDefault="0020255E" w:rsidP="0020255E">
      <w:pPr>
        <w:pStyle w:val="NormalWeb"/>
        <w:rPr>
          <w:rtl/>
        </w:rPr>
      </w:pPr>
      <w:r>
        <w:rPr>
          <w:rtl/>
        </w:rPr>
        <w:t xml:space="preserve">תָּא חֲזִי גִלְגּוּל דְּאָת ו' אִיהוּ דְנָפִיק בְּשַׁעְתֵּיהּ, דַּעֲלֵיהּ אִתְּמַר מַזָּל שָׁעָה גוֹרֵם, כְּמָה דְאוּקְמוּהָ אֵין מַזָּל יוֹם גּוֹרֵם אֶלָּא מַזָּל שָׁעָה גוֹרֵם, בְּאַבְרָהָם מַה כְּתִיב בֵּיהּ כַּד אַתְיָא בְגִלְגּוּלָא, </w:t>
      </w:r>
      <w:r>
        <w:rPr>
          <w:sz w:val="20"/>
          <w:szCs w:val="23"/>
          <w:rtl/>
        </w:rPr>
        <w:t>(בראשית יט כז)</w:t>
      </w:r>
      <w:r>
        <w:rPr>
          <w:rtl/>
        </w:rPr>
        <w:t xml:space="preserve"> וַיַּשְׁכֵּם אַבְרָהָם בַּבֹּקֶר אֶל הַמָּקוֹם, וּבְגִין לְאַקְדָּמָא לָהּ יִצְחָק מַה כְּתִיב בֵּיהּ בְּגִלְגּוּלָא, </w:t>
      </w:r>
      <w:r>
        <w:rPr>
          <w:sz w:val="20"/>
          <w:szCs w:val="23"/>
          <w:rtl/>
        </w:rPr>
        <w:t>(שם כד סג)</w:t>
      </w:r>
      <w:r>
        <w:rPr>
          <w:rtl/>
        </w:rPr>
        <w:t xml:space="preserve"> וַיֵּצֵא יִצְחָק לָשׂוּחַ בַּשָּׂדֶה לִפְנוֹת עָרֶב, נָפַק לְגַבָּהּ לְחַקְלָא, בְּגִין דְּאִתְּמַר בֵּיהּ </w:t>
      </w:r>
      <w:r>
        <w:rPr>
          <w:sz w:val="20"/>
          <w:szCs w:val="23"/>
          <w:rtl/>
        </w:rPr>
        <w:t>(ירמיה ט ט)</w:t>
      </w:r>
      <w:r>
        <w:rPr>
          <w:rtl/>
        </w:rPr>
        <w:t xml:space="preserve"> מִי יִתְּנֵנִי בַמִּדְבָּר מְלוֹן אוֹרְחִים, חַד אַקְדִּים לְפַשְׁפְּשָׁא בָּהּ בְּצַפְרָא, וְתִנְיָנָא לְפַשְׁפְּשָׁא בָּהּ בְּרַמְשָׁא, יַעֲקֹב מַה כְּתִיב בֵּיהּ </w:t>
      </w:r>
      <w:r>
        <w:rPr>
          <w:sz w:val="20"/>
          <w:szCs w:val="23"/>
          <w:rtl/>
        </w:rPr>
        <w:t>(בראשית כה יא)</w:t>
      </w:r>
      <w:r>
        <w:rPr>
          <w:rtl/>
        </w:rPr>
        <w:t xml:space="preserve"> וַיִּפְגַּע בַּמָּקוֹם, פָּגַע בָּהּ, זַכָּאָה אִיהוּ מָאן דְּפָגַע כְּגוֹן יַעֲקֹב, דַּעֲלֵיהּ אִתְּמַר </w:t>
      </w:r>
      <w:r>
        <w:rPr>
          <w:sz w:val="20"/>
          <w:szCs w:val="23"/>
          <w:rtl/>
        </w:rPr>
        <w:t>(שם)</w:t>
      </w:r>
      <w:r>
        <w:rPr>
          <w:rtl/>
        </w:rPr>
        <w:t xml:space="preserve"> וַיָּלֶן שָׁם, וְהַהוּא לִינָה הוּא לְוָיָה, מִיָּד דְּאַעֲרַע בָּהּ </w:t>
      </w:r>
      <w:r>
        <w:rPr>
          <w:sz w:val="20"/>
          <w:szCs w:val="23"/>
          <w:rtl/>
        </w:rPr>
        <w:t>(שם לב ב)</w:t>
      </w:r>
      <w:r>
        <w:rPr>
          <w:rtl/>
        </w:rPr>
        <w:t xml:space="preserve"> וַיִּפְגְּעוּ בוֹ מַלְאֲכֵי אלהי''ם, וְעִם כָּל דָּא דְפָגַע בָּהּ הֲוָה נָטִיר לָהּ, וְלָא אִתְאַחַד עִמָּהּ עַד דְּאָתָא בַּעְלָהּ, וְדָא אִיהוּ </w:t>
      </w:r>
      <w:r>
        <w:rPr>
          <w:sz w:val="20"/>
          <w:szCs w:val="23"/>
          <w:rtl/>
        </w:rPr>
        <w:t>(שם כח יא)</w:t>
      </w:r>
      <w:r>
        <w:rPr>
          <w:rtl/>
        </w:rPr>
        <w:t xml:space="preserve"> וַיָּלֶן שָׁם כִּי בָא הַשֶּׁמֶשׁ, דִּבְגִינֵיהּ </w:t>
      </w:r>
      <w:r>
        <w:rPr>
          <w:sz w:val="20"/>
          <w:szCs w:val="23"/>
          <w:rtl/>
        </w:rPr>
        <w:t>(שם לב לב)</w:t>
      </w:r>
      <w:r>
        <w:rPr>
          <w:rtl/>
        </w:rPr>
        <w:t xml:space="preserve"> וַיִּזְרַח לוֹ הַשֶּׁמֶשׁ, דְּאִיהוּ מֹשֶׁה דְאָתָא בֵיהּ בְּגִלְגּוּלָא רוּחֵיהּ דְּמֹשֶׁה, וּבְגִין דָּא יַעֲקֹב וּמֹשֶׁה הֲווֹ קַיְימֵי בְּדַרְגָּא חֲדָא בְּעַמּוּדָא דְאֶמְצָעִיתָא, אֲבָל דָּא בְגוּפָא וְדָא בְנִשְׁמָתָא, וּבְגִין דָּא לֵית שַׁעְתָּא קַיְימָא לְכָל בַּר נַשׁ דְּאִיהִי שְׁכִינְתָּא בְלָא בַּעְלָהּ.</w:t>
      </w:r>
    </w:p>
    <w:p w:rsidR="0020255E" w:rsidRDefault="0020255E" w:rsidP="0020255E">
      <w:pPr>
        <w:pStyle w:val="NormalWeb"/>
        <w:rPr>
          <w:rtl/>
        </w:rPr>
      </w:pPr>
      <w:r>
        <w:rPr>
          <w:rtl/>
        </w:rPr>
        <w:t>וּבְגִין דָּא כַּד דְּחִיקַת לֵיהּ שַׁעְתָּא לְרַבִּי פְּדָת, וְאָמַר אִי בָּעִית דְּאַחְרְבֵיהּ לְעָלְמָא וְאֶפְשַׁר דִּנְפַלְתְּ בְּשַׁעְתָּא דִמְזוֹנֵי, וְאוּלַי דִּנְפַלְתְּ מַאי וְאוּלַי, אֶלָּא וְאוּלַי אִי בָּעִי קוּדְשָׁא בְּרִיךְ הוּא דִנְפַלְתְּ בְּשַׁעְתָּא דִמְזוֹנֵי, דְהָא אִתְּתֵיהּ עָבִיד, וְאוּלַי אִי בָּעִי בַּעְלָהּ דַּהֲוִי קַיְימָא מַה דְּאִיהִי עֲבִידַת בְּלָא רְשׁוּתָא דְבַעְלָהּ.</w:t>
      </w:r>
    </w:p>
    <w:p w:rsidR="0020255E" w:rsidRDefault="0020255E" w:rsidP="0020255E">
      <w:pPr>
        <w:pStyle w:val="NormalWeb"/>
        <w:rPr>
          <w:rtl/>
        </w:rPr>
      </w:pPr>
      <w:r>
        <w:rPr>
          <w:rtl/>
        </w:rPr>
        <w:t xml:space="preserve">וּכְגַוְונָא דָא לֵית שַׁעְתָּא קַיְימָא דְאִיהִי שְׁכִינְתָּא לְהַהוּא בַר נַשׁ, אֶלָּא אִם יֵיתֵי בְגִלְגּוּלָא בְהַהוּא בַר נַשׁ דְּהַהִיא שַׁעְתָּא, וְרָזָא דְמִלָּה </w:t>
      </w:r>
      <w:r>
        <w:rPr>
          <w:sz w:val="20"/>
          <w:szCs w:val="23"/>
          <w:rtl/>
        </w:rPr>
        <w:t>(ויקרא טז ג)</w:t>
      </w:r>
      <w:r>
        <w:rPr>
          <w:rtl/>
        </w:rPr>
        <w:t xml:space="preserve"> בְּזֹאת יָבֹא אַהֲרֹן אֶל הַקֹּדֶשׁ, וּבְלָא בַעְלָהּ אִתְּמַר </w:t>
      </w:r>
      <w:r>
        <w:rPr>
          <w:sz w:val="20"/>
          <w:szCs w:val="23"/>
          <w:rtl/>
        </w:rPr>
        <w:t>(שם ב)</w:t>
      </w:r>
      <w:r>
        <w:rPr>
          <w:szCs w:val="23"/>
          <w:rtl/>
        </w:rPr>
        <w:t xml:space="preserve"> </w:t>
      </w:r>
      <w:r>
        <w:rPr>
          <w:rStyle w:val="Char"/>
          <w:rtl/>
        </w:rPr>
        <w:t>וְאַל יָבֹא בְכָל עִת אֶל הַקֹּדֶשׁ</w:t>
      </w:r>
      <w:r>
        <w:rPr>
          <w:szCs w:val="23"/>
          <w:rtl/>
        </w:rPr>
        <w:t xml:space="preserve"> </w:t>
      </w:r>
      <w:r>
        <w:rPr>
          <w:sz w:val="20"/>
          <w:szCs w:val="23"/>
          <w:rtl/>
        </w:rPr>
        <w:t>(במדבר א נא)</w:t>
      </w:r>
      <w:r>
        <w:rPr>
          <w:rtl/>
        </w:rPr>
        <w:t>, וְהַזָּר הַקָּרֵב יוּמָת, וְלֵית מִיתָה אֶלָּא עֲנִיּוּתָא, וְהַאי זָר לַאו בְּזָר אָחֳרָא דְמוּם זָר, אֶלָּא זָר מִבַּעְלָהּ.</w:t>
      </w:r>
    </w:p>
    <w:p w:rsidR="0020255E" w:rsidRDefault="0020255E" w:rsidP="00714AEC">
      <w:pPr>
        <w:pStyle w:val="NormalWeb"/>
        <w:rPr>
          <w:rtl/>
        </w:rPr>
      </w:pPr>
      <w:r>
        <w:rPr>
          <w:rtl/>
        </w:rPr>
        <w:t xml:space="preserve">זַכָּאָה מָאן דְּאִיעֲרַע בְּשַׁעְתָּא דְאִתְבְּרִי מִשִּׁית יְמֵי בְּרֵאשִׁית, דְּכָל נִשְׁמָתָא אִית לָהּ עִת וּזְמַן בְּגִלְגּוּלָא, כְּמָה דְאָמַר קֹהֶלֶת </w:t>
      </w:r>
      <w:r>
        <w:rPr>
          <w:sz w:val="20"/>
          <w:szCs w:val="23"/>
          <w:rtl/>
        </w:rPr>
        <w:t>(קהלת ג א)</w:t>
      </w:r>
      <w:r>
        <w:rPr>
          <w:rtl/>
        </w:rPr>
        <w:t xml:space="preserve"> לַכֹּל זְמָן וְעִת לְכָל חֵפֶץ תַּחַת הַשָּׁמָיִם, וְדָא שְׁכִינְתָּא תַּתָּאָה דְאִיהִי זְמַן וְעִדָּן לְכָל סְפִירָה וּסְפִירָה, וּלְכָל גִּלְגּוּלָא וְגִלְגּוּלָא, וְאִיהִי עִדָּן וְעִדָּנִין וּפְלַג עִידָּן, עִידָן דְּכָל עִדָּנִין שַׁפִּיר, מַאי וּפְלַג עִידָּן, אֶלָּא כְּגוֹן פְּלַג הַמִּנְחָה, בִּשְׂמָאלָא אִתְפַּלְגַּת לְדִינָא, וּבִימִינָא לְרַחֲמֵי, בְעַמּוּדָא דְאֶמְצָעִיתָא אִשְׁתַּלִּימַת, וְכַד אִתְפְּלִיגַת בִּימִינָא וּשְׂמָאלָא אִתְּמַר בָּהּ לְאֶסְתֵּר </w:t>
      </w:r>
      <w:r>
        <w:rPr>
          <w:sz w:val="20"/>
          <w:szCs w:val="23"/>
          <w:rtl/>
        </w:rPr>
        <w:t>(אסתר ה ג)</w:t>
      </w:r>
      <w:r>
        <w:rPr>
          <w:rtl/>
        </w:rPr>
        <w:t xml:space="preserve"> מַה בַּקָּשָׁתֵךְ עַד חֲצִי הַמַּלְכוּת וְתֵעָשׂ, וְאִיהוּ כ''ח יהו''ה, פַּלְגּוּ דִילָהּ יַד יָמִין, וּפַלְגּוּ דִילָהּ יַד שְׂמֹאל, וְלָקֳבֵל תַּרְוַיְיהוּ אִדְכַּר קֹהֶלֶת בָּהּ כ''ח זִמְנִין עִת)</w:t>
      </w:r>
    </w:p>
    <w:p w:rsidR="0020255E" w:rsidRDefault="0020255E" w:rsidP="0020255E">
      <w:pPr>
        <w:pStyle w:val="aa"/>
        <w:spacing w:after="40"/>
        <w:rPr>
          <w:rtl/>
        </w:rPr>
      </w:pPr>
      <w:r>
        <w:rPr>
          <w:rtl/>
        </w:rPr>
        <w:t xml:space="preserve">[תיקוני זוהר - דף קד ע''ב] </w:t>
      </w:r>
    </w:p>
    <w:p w:rsidR="0020255E" w:rsidRDefault="0020255E" w:rsidP="0020255E">
      <w:pPr>
        <w:pStyle w:val="NormalWeb"/>
        <w:rPr>
          <w:b w:val="0"/>
          <w:bCs w:val="0"/>
          <w:rtl/>
        </w:rPr>
      </w:pPr>
      <w:r>
        <w:rPr>
          <w:rStyle w:val="Char"/>
          <w:rtl/>
        </w:rPr>
        <w:t>הֲדָא הוּא דִכְתִיב</w:t>
      </w:r>
      <w:r>
        <w:rPr>
          <w:b w:val="0"/>
          <w:szCs w:val="23"/>
          <w:rtl/>
        </w:rPr>
        <w:t xml:space="preserve"> </w:t>
      </w:r>
      <w:r>
        <w:rPr>
          <w:b w:val="0"/>
          <w:sz w:val="20"/>
          <w:szCs w:val="23"/>
          <w:rtl/>
        </w:rPr>
        <w:t>(קהלת ג ב)</w:t>
      </w:r>
      <w:r>
        <w:rPr>
          <w:b w:val="0"/>
          <w:bCs w:val="0"/>
          <w:rtl/>
        </w:rPr>
        <w:t xml:space="preserve"> עִת לָלֶדֶת וְעִת לָמוּת עִת לָטַעַת וכו', וְאִינוּן י''ד י''ד </w:t>
      </w:r>
      <w:r>
        <w:rPr>
          <w:rtl/>
        </w:rPr>
        <w:t>(אלו י"ד במילוי דסיהרא)</w:t>
      </w:r>
      <w:r>
        <w:rPr>
          <w:b w:val="0"/>
          <w:bCs w:val="0"/>
          <w:rtl/>
        </w:rPr>
        <w:t xml:space="preserve">, יַד יְמִינָא רַחֲמֵי, לָלֶדֶת לָטַעַת לִרְפּוֹא לִבְנוֹת לִשְׂחוֹק לִרְקוֹד כְּנוֹס אֲבָנִים לַחֲבוֹק לְבַקֵּשׁ לִשְׁמוֹר לִתְפּוֹר לְדַבֵּר לֶאֱהוֹב שָׁלוֹם. יַד שְׂמָאלָא דִינָא לְמִדַּן, לָמוּת </w:t>
      </w:r>
      <w:r>
        <w:rPr>
          <w:b w:val="0"/>
          <w:sz w:val="20"/>
          <w:szCs w:val="23"/>
          <w:rtl/>
        </w:rPr>
        <w:t xml:space="preserve">(דף קד ע''ב) </w:t>
      </w:r>
      <w:r>
        <w:rPr>
          <w:b w:val="0"/>
          <w:bCs w:val="0"/>
          <w:rtl/>
        </w:rPr>
        <w:t xml:space="preserve">לַעֲקוֹר לַהֲרוֹג לִפְרוֹץ לִבְכּוֹת סְפוֹד לְהַשְׁלִיךְ אֲבָנִים לִרְחוֹק לְאַבֵּד לְהַשְׁלִיךְ לִקְרוֹעַ לַחֲשׁוֹת לִשְׂנוֹא מִלְחָמָה, יַד יְמִינָא אִיהִי פְּשׁוּטָה לְקַבֵּל שָׁבִים, דִּכְתִיב </w:t>
      </w:r>
      <w:r>
        <w:rPr>
          <w:b w:val="0"/>
          <w:sz w:val="20"/>
          <w:szCs w:val="23"/>
          <w:rtl/>
        </w:rPr>
        <w:t>(שמות יד ח)</w:t>
      </w:r>
      <w:r>
        <w:rPr>
          <w:b w:val="0"/>
          <w:bCs w:val="0"/>
          <w:rtl/>
        </w:rPr>
        <w:t xml:space="preserve"> וּבְנֵי יִשְׂרָאֵל יוֹצְאִים בְּיָד רָמָה, </w:t>
      </w:r>
      <w:r>
        <w:rPr>
          <w:b w:val="0"/>
          <w:sz w:val="20"/>
          <w:szCs w:val="23"/>
          <w:rtl/>
        </w:rPr>
        <w:t>(שם טו ו)</w:t>
      </w:r>
      <w:r>
        <w:rPr>
          <w:b w:val="0"/>
          <w:bCs w:val="0"/>
          <w:rtl/>
        </w:rPr>
        <w:t xml:space="preserve"> יְמִינְךָ יהו''ה נֶאְדָּרִי בַּכֹּחַ, יַד יְמִינָא רַחֲמֵי. יַד שְׂמָאלָא דִינָא, דִכְתִיב </w:t>
      </w:r>
      <w:r>
        <w:rPr>
          <w:b w:val="0"/>
          <w:sz w:val="20"/>
          <w:szCs w:val="23"/>
          <w:rtl/>
        </w:rPr>
        <w:t>(שם ט ג)</w:t>
      </w:r>
      <w:r>
        <w:rPr>
          <w:b w:val="0"/>
          <w:szCs w:val="23"/>
          <w:rtl/>
        </w:rPr>
        <w:t xml:space="preserve"> </w:t>
      </w:r>
      <w:r>
        <w:rPr>
          <w:rStyle w:val="Char"/>
          <w:rtl/>
        </w:rPr>
        <w:t>הִנֵּה יַד יהו''ה הוֹיָה,</w:t>
      </w:r>
      <w:r>
        <w:rPr>
          <w:b w:val="0"/>
          <w:szCs w:val="23"/>
          <w:rtl/>
        </w:rPr>
        <w:t xml:space="preserve"> </w:t>
      </w:r>
      <w:r>
        <w:rPr>
          <w:b w:val="0"/>
          <w:sz w:val="20"/>
          <w:szCs w:val="23"/>
          <w:rtl/>
        </w:rPr>
        <w:t>(דברים ב טו)</w:t>
      </w:r>
      <w:r>
        <w:rPr>
          <w:b w:val="0"/>
          <w:bCs w:val="0"/>
          <w:rtl/>
        </w:rPr>
        <w:t xml:space="preserve"> יַד יהו''ה הָיְתָה בָּם לְהֻמָּם.</w:t>
      </w:r>
    </w:p>
    <w:p w:rsidR="0020255E" w:rsidRDefault="0020255E" w:rsidP="0020255E">
      <w:pPr>
        <w:pStyle w:val="NormalWeb"/>
        <w:rPr>
          <w:b w:val="0"/>
          <w:bCs w:val="0"/>
          <w:rtl/>
        </w:rPr>
      </w:pPr>
      <w:r>
        <w:rPr>
          <w:rStyle w:val="a7"/>
          <w:b w:val="0"/>
          <w:bCs w:val="0"/>
          <w:rtl/>
        </w:rPr>
        <w:footnoteReference w:id="4685"/>
      </w:r>
      <w:r>
        <w:rPr>
          <w:b w:val="0"/>
          <w:bCs w:val="0"/>
          <w:rtl/>
        </w:rPr>
        <w:t xml:space="preserve">וּבְגִין דָּא אִית עִת רָצוֹן וְאִתְּמַר בָּהּ </w:t>
      </w:r>
      <w:r>
        <w:rPr>
          <w:b w:val="0"/>
          <w:sz w:val="20"/>
          <w:szCs w:val="23"/>
          <w:rtl/>
        </w:rPr>
        <w:t>(ויקרא טז ג)</w:t>
      </w:r>
      <w:r>
        <w:rPr>
          <w:b w:val="0"/>
          <w:bCs w:val="0"/>
          <w:rtl/>
        </w:rPr>
        <w:t xml:space="preserve"> בְּזֹאת יָבֹא אַהֲרֹן אֶל הַקֹּדֶשׁ, וְאִית עִת דְּדִינָא דְאִתְּמַר בָּהּ </w:t>
      </w:r>
      <w:r>
        <w:rPr>
          <w:b w:val="0"/>
          <w:sz w:val="20"/>
          <w:szCs w:val="23"/>
          <w:rtl/>
        </w:rPr>
        <w:t>(שם ב)</w:t>
      </w:r>
      <w:r>
        <w:rPr>
          <w:b w:val="0"/>
          <w:bCs w:val="0"/>
          <w:rtl/>
        </w:rPr>
        <w:t xml:space="preserve"> וְאַל יָבֹא בְכָל עִת אֶל הַקֹּדֶשׁ, וּבְגִין דָּא אִינוּן כ''ח יוֹמֵי דְסִיהֲרָא, י''ד יוֹמִין אִיהִי שְׁלֵימָתָא, וְי''ד חֲסֵרָה, וּמָאן דְּאִתְיַילִּיד בְּיוֹמֵי שְׁלֵימוּתָא אִיהוּ שְׁלִים בַּבְּנִין בְּחַיֵּי וּבְעוּתְרָא בִּמְזוֹנֵי בְּחֶדְוָה בְּשַׁלְוָה בְּבִנְיָנָא, בְכָל י''ד עִתּוֹת טָב. וּמָאן דְּאִתְיַילִּיד בְּזִמְנָא דְאִיהִי חֲסֵרָה, בְּכָל י''ד יוֹמִין אִלֵּין אִיהוּ חָסֵר בְּכֻלְּהוּ, אִיהוּ עַנְיָא מִסְכֵּנָא בְּלָא מְזוֹנֵי וּבְלָא חַיֵּי. וּמָאן דְּאִתְיַילִּיד בְּאֶמְצָעִיתָא יְהֵא בֵינוּנִי.</w:t>
      </w:r>
    </w:p>
    <w:p w:rsidR="0020255E" w:rsidRDefault="0020255E" w:rsidP="0020255E">
      <w:pPr>
        <w:pStyle w:val="NormalWeb"/>
        <w:rPr>
          <w:b w:val="0"/>
          <w:bCs w:val="0"/>
          <w:rtl/>
        </w:rPr>
      </w:pPr>
      <w:r>
        <w:rPr>
          <w:b w:val="0"/>
          <w:bCs w:val="0"/>
          <w:rtl/>
        </w:rPr>
        <w:t xml:space="preserve">וְכָל דָּא מָאן גָּרִים דְּאִתְיַילִּיד בְּרֵישָׁא אוֹ בְסוֹפָא אוֹ בְּאֶמְצָעִיתָא, דָּא גִלְגּוּל דִּילֵיהּ דִּמְחַיֵּב לֵיהּ, </w:t>
      </w:r>
      <w:r>
        <w:rPr>
          <w:b w:val="0"/>
          <w:sz w:val="20"/>
          <w:szCs w:val="23"/>
          <w:rtl/>
        </w:rPr>
        <w:t>(ומאן גרם דא דאתייליד תמן בגין דמזליה גרים דאתחייב מלעילא)</w:t>
      </w:r>
      <w:r>
        <w:rPr>
          <w:b w:val="0"/>
          <w:bCs w:val="0"/>
          <w:rtl/>
        </w:rPr>
        <w:t xml:space="preserve"> קֳדָם דְּאַתְיָיא לְעָלְמָא, וּבְגִין דָּא אָמַר לְרַבִּי פְּדָת דְּאִי בָעִי דְאַחֲרִיב לְעָלְמָא וכו', </w:t>
      </w:r>
      <w:r>
        <w:rPr>
          <w:b w:val="0"/>
          <w:sz w:val="20"/>
          <w:szCs w:val="23"/>
          <w:rtl/>
        </w:rPr>
        <w:t>(ומאן דאתייליד בחסרונא דסיהרא בכל י''ד יומין איהו חסר דמזליה גרים ולהאי בר נש קשין לו מזונותיו כקריעת ים סוף)</w:t>
      </w:r>
      <w:r>
        <w:rPr>
          <w:b w:val="0"/>
          <w:bCs w:val="0"/>
          <w:rtl/>
        </w:rPr>
        <w:t xml:space="preserve">, </w:t>
      </w:r>
      <w:r>
        <w:rPr>
          <w:b w:val="0"/>
          <w:sz w:val="20"/>
          <w:szCs w:val="23"/>
          <w:rtl/>
        </w:rPr>
        <w:t>(נ''א אפשר דנפלת בשעתא דמזונא, דלהאי בר נש דאתייליד בי''ד שמאלא קשין מזונותיו כקריעת ים סוף, דמזונא דנשמתא אורייתא, מזונא דגופא נהמא, בין בהאי ובין בהאי קשין מזונותיו)</w:t>
      </w:r>
      <w:r>
        <w:rPr>
          <w:b w:val="0"/>
          <w:bCs w:val="0"/>
          <w:rtl/>
        </w:rPr>
        <w:t xml:space="preserve">, </w:t>
      </w:r>
      <w:r>
        <w:rPr>
          <w:rStyle w:val="a7"/>
          <w:b w:val="0"/>
          <w:bCs w:val="0"/>
          <w:rtl/>
        </w:rPr>
        <w:footnoteReference w:id="4686"/>
      </w:r>
      <w:r>
        <w:rPr>
          <w:b w:val="0"/>
          <w:bCs w:val="0"/>
          <w:rtl/>
        </w:rPr>
        <w:t>בְּגִין דְּאִינוּן מִסִּטְרָא דְּדִינָא דְאִתְבְּרֵי בְדִינָא דְאִיהוּ אדנ''י, וּמָאן דְּאִתְבְּרִי בְּרַחֲמֵי דְאִיהוּ יהו''ה, לַאו אִינוּן קָשִׁין מְזוֹנוֹתָיו, וּמְזוֹנָא דְנִשְׁמָתָא אוֹרַיְיתָא, מְזוֹנָא דְגוּפָא נַהֲמָא מֵחֲמֵשֶׁת הַמִּינִין.</w:t>
      </w:r>
    </w:p>
    <w:p w:rsidR="0020255E" w:rsidRDefault="0020255E" w:rsidP="0020255E">
      <w:pPr>
        <w:pStyle w:val="NormalWeb"/>
        <w:rPr>
          <w:b w:val="0"/>
          <w:bCs w:val="0"/>
          <w:rtl/>
        </w:rPr>
      </w:pPr>
      <w:r>
        <w:rPr>
          <w:b w:val="0"/>
          <w:bCs w:val="0"/>
          <w:rtl/>
        </w:rPr>
        <w:t xml:space="preserve">וּמָאן דְּאִיהוּ מִסִּטְרָא דְאָדָם דְּאִיהוּ יו''ד ה''א וא''ו ה''א, אִתְּמַר בֵּיהּ </w:t>
      </w:r>
      <w:r>
        <w:rPr>
          <w:b w:val="0"/>
          <w:sz w:val="20"/>
          <w:szCs w:val="23"/>
          <w:rtl/>
        </w:rPr>
        <w:t>(בראשית א כו)</w:t>
      </w:r>
      <w:r>
        <w:rPr>
          <w:b w:val="0"/>
          <w:bCs w:val="0"/>
          <w:rtl/>
        </w:rPr>
        <w:t xml:space="preserve"> וְיִרְדּוּ בִדְגַת הַיָּם וכו', בְּכֹלָּא שַׁלִּיט כְּמָה דְאִתְבְּרִי בִּשְׁמַיָּא וּבְאַרְעָא וּבְיַמָּא, וַעֲלֵיהּ אִתְּמַר </w:t>
      </w:r>
      <w:r>
        <w:rPr>
          <w:b w:val="0"/>
          <w:sz w:val="20"/>
          <w:szCs w:val="23"/>
          <w:rtl/>
        </w:rPr>
        <w:t>(קהלת ג טו)</w:t>
      </w:r>
      <w:r>
        <w:rPr>
          <w:b w:val="0"/>
          <w:bCs w:val="0"/>
          <w:rtl/>
        </w:rPr>
        <w:t xml:space="preserve"> </w:t>
      </w:r>
      <w:r>
        <w:rPr>
          <w:rStyle w:val="a7"/>
          <w:b w:val="0"/>
          <w:bCs w:val="0"/>
          <w:rtl/>
        </w:rPr>
        <w:footnoteReference w:id="4687"/>
      </w:r>
      <w:r>
        <w:rPr>
          <w:b w:val="0"/>
          <w:bCs w:val="0"/>
          <w:rtl/>
        </w:rPr>
        <w:t xml:space="preserve">מַה שֶּׁהָיָה כְּבָר הוּא, מַה שֶּׁהָיָה קֳדָם דְּיֵיתֵי לְהַאי עָלְמָא, כְּמָה דְאַתְּ אָמַר </w:t>
      </w:r>
      <w:r>
        <w:rPr>
          <w:b w:val="0"/>
          <w:sz w:val="20"/>
          <w:szCs w:val="23"/>
          <w:rtl/>
        </w:rPr>
        <w:t>(שם א ט)</w:t>
      </w:r>
      <w:r>
        <w:rPr>
          <w:b w:val="0"/>
          <w:bCs w:val="0"/>
          <w:rtl/>
        </w:rPr>
        <w:t xml:space="preserve"> אֵין כָּל חָדָשׁ תַּחַת הַשָּׁמֶשׁ, </w:t>
      </w:r>
      <w:r>
        <w:rPr>
          <w:rStyle w:val="a7"/>
          <w:b w:val="0"/>
          <w:bCs w:val="0"/>
          <w:rtl/>
        </w:rPr>
        <w:footnoteReference w:id="4688"/>
      </w:r>
      <w:r>
        <w:rPr>
          <w:b w:val="0"/>
          <w:bCs w:val="0"/>
          <w:rtl/>
        </w:rPr>
        <w:t xml:space="preserve">כְּבָר הוּא מְחוּיָיב לְמֶהֱוִי בְּהַאי עָלְמָא, כְּמָה דְאַתְּ אָמַר </w:t>
      </w:r>
      <w:r>
        <w:rPr>
          <w:b w:val="0"/>
          <w:sz w:val="20"/>
          <w:szCs w:val="23"/>
          <w:rtl/>
        </w:rPr>
        <w:t>(ירמיה א ה)</w:t>
      </w:r>
      <w:r>
        <w:rPr>
          <w:b w:val="0"/>
          <w:bCs w:val="0"/>
          <w:rtl/>
        </w:rPr>
        <w:t xml:space="preserve"> בְּטֶרֶם אֶצָּרְךָ בַבֶּטֶן יְדַעְתִּיךָ, וַאֲשֶׁר לִהְיוֹת כְּבָר הָיָה </w:t>
      </w:r>
      <w:r>
        <w:rPr>
          <w:b w:val="0"/>
          <w:sz w:val="20"/>
          <w:szCs w:val="23"/>
          <w:rtl/>
        </w:rPr>
        <w:t>(קהלת ג טו)</w:t>
      </w:r>
      <w:r>
        <w:rPr>
          <w:b w:val="0"/>
          <w:bCs w:val="0"/>
          <w:rtl/>
        </w:rPr>
        <w:t>, וַאֲשֶׁר אִיהוּ לְמֶיהֱוִי בְּהַאי עָלְמָא, כְּבָר הוּא מְחוּיָיב לְמֶיהֱוִי קֳדָם דְּיֵיתֵי לְעָלְמָא הָכָא בְגִלְגּוּלָא.</w:t>
      </w:r>
    </w:p>
    <w:p w:rsidR="0020255E" w:rsidRDefault="0020255E" w:rsidP="0020255E">
      <w:pPr>
        <w:pStyle w:val="aa"/>
        <w:spacing w:after="40"/>
        <w:rPr>
          <w:rtl/>
        </w:rPr>
      </w:pPr>
      <w:r>
        <w:rPr>
          <w:rtl/>
        </w:rPr>
        <w:t xml:space="preserve">[תיקוני זוהר - דף קה ע''א] </w:t>
      </w:r>
    </w:p>
    <w:p w:rsidR="0020255E" w:rsidRDefault="0020255E" w:rsidP="0020255E">
      <w:pPr>
        <w:pStyle w:val="NormalWeb"/>
        <w:rPr>
          <w:b w:val="0"/>
          <w:bCs w:val="0"/>
          <w:rtl/>
        </w:rPr>
      </w:pPr>
      <w:r>
        <w:rPr>
          <w:b w:val="0"/>
          <w:bCs w:val="0"/>
          <w:rtl/>
        </w:rPr>
        <w:t xml:space="preserve">וְהָאלהי''ם יְבַקֵּשׁ אֶת נִרְדָּף </w:t>
      </w:r>
      <w:r>
        <w:rPr>
          <w:b w:val="0"/>
          <w:sz w:val="20"/>
          <w:szCs w:val="23"/>
          <w:rtl/>
        </w:rPr>
        <w:t>(שם)</w:t>
      </w:r>
      <w:r>
        <w:rPr>
          <w:b w:val="0"/>
          <w:bCs w:val="0"/>
          <w:rtl/>
        </w:rPr>
        <w:t xml:space="preserve">, זֶה הֶבֶל דְּאִיהוּ נִרְדָף מִקַּיִן, וְקָם קַיִן וְקָטַל לֵיהּ, הֲדָא הוּא דִכְתִיב </w:t>
      </w:r>
      <w:r>
        <w:rPr>
          <w:b w:val="0"/>
          <w:sz w:val="20"/>
          <w:szCs w:val="23"/>
          <w:rtl/>
        </w:rPr>
        <w:t>(בראשית ד ח)</w:t>
      </w:r>
      <w:r>
        <w:rPr>
          <w:b w:val="0"/>
          <w:bCs w:val="0"/>
          <w:rtl/>
        </w:rPr>
        <w:t xml:space="preserve"> וַיָּקָם קַיִן אֶל הֶבֶל אָחִיו וַיַּהַרְגֵהוּ, </w:t>
      </w:r>
      <w:r>
        <w:rPr>
          <w:b w:val="0"/>
          <w:sz w:val="20"/>
          <w:szCs w:val="23"/>
          <w:rtl/>
        </w:rPr>
        <w:t xml:space="preserve">(דף קה ע''א) </w:t>
      </w:r>
      <w:r>
        <w:rPr>
          <w:rStyle w:val="a7"/>
          <w:b w:val="0"/>
          <w:bCs w:val="0"/>
          <w:rtl/>
        </w:rPr>
        <w:footnoteReference w:id="4689"/>
      </w:r>
      <w:r>
        <w:rPr>
          <w:b w:val="0"/>
          <w:bCs w:val="0"/>
          <w:rtl/>
        </w:rPr>
        <w:t xml:space="preserve">וַיָּקָם וַדַּאי, דַּהֲוָה הֶבֶל עֲלֵיהּ, וְקָם קַיִן וַיַּהַרְגֵהוּ, קַיִן אִתְקְרֵי עַל שֵׁם דְּקַנִּי עַל אֲחוּהָ, בְּגִין דְּחָזָא יְקָרֵיהּ וְתוּקְפֵיהּ לְעִילָא, דְּקָרְבָּנֵיהּ אִסְתַּלַּק לַאֲתַר דְּעַתִּיק יוֹמִין, דְּאִתְּמַר בֵּיהּ </w:t>
      </w:r>
      <w:r>
        <w:rPr>
          <w:b w:val="0"/>
          <w:sz w:val="20"/>
          <w:szCs w:val="23"/>
          <w:rtl/>
        </w:rPr>
        <w:t>(דניאל ז ט)</w:t>
      </w:r>
      <w:r>
        <w:rPr>
          <w:b w:val="0"/>
          <w:bCs w:val="0"/>
          <w:rtl/>
        </w:rPr>
        <w:t xml:space="preserve"> וְעַתִּיק יוֹמִין יְתִיב וכו', וְקָרְבָּנֵיהּ הֲוָה מִבְּכוֹרוֹת צֹאנוֹ, וְאִתְקַבַּל לֵיהּ בְּרַעֲוָא.</w:t>
      </w:r>
    </w:p>
    <w:p w:rsidR="0020255E" w:rsidRDefault="0020255E" w:rsidP="0020255E">
      <w:pPr>
        <w:pStyle w:val="NormalWeb"/>
        <w:rPr>
          <w:b w:val="0"/>
          <w:bCs w:val="0"/>
          <w:rtl/>
        </w:rPr>
      </w:pPr>
      <w:r>
        <w:rPr>
          <w:b w:val="0"/>
          <w:bCs w:val="0"/>
          <w:rtl/>
        </w:rPr>
        <w:t xml:space="preserve">אָמַר לֵיהּ, אִם כֵּן דְּקָרְבָּנָא דִילֵיהּ אִתְקַבַּל, אַמַּאי אִתְיַיהִיב חֵילָא לְקַיִן לְמִקְטְלֵיהּ, </w:t>
      </w:r>
      <w:r>
        <w:rPr>
          <w:b w:val="0"/>
          <w:sz w:val="20"/>
          <w:szCs w:val="23"/>
          <w:rtl/>
        </w:rPr>
        <w:t>(בגין דא יש הבל אשר נעשה על הארץ וגומר (קהלת ח יד) אמאי)</w:t>
      </w:r>
      <w:r>
        <w:rPr>
          <w:b w:val="0"/>
          <w:bCs w:val="0"/>
          <w:rtl/>
        </w:rPr>
        <w:t xml:space="preserve">, אָמַר לֵיהּ הָכָא וַדַּאי רָזָא עִלָּאָה, דְּאִיהוּ הֲוָה דַרְגָּא דְעִץ הַדַּעַת טוֹב וָרָע דְּחָאב בֵּיהּ, וּבַמֶּה דְחָאב בֵּיהּ קַבִּיל עָנְשֵׁיהּ בְּהַאי עָלְמָא, וּבְהַהוּא קָרְבָּנָא דְאִתְקַבִּיל מִנֵּיהּ אִשְׁתֵּזִיב מֵעָנְשָׁא דְהַהוּא עָלְמָא, דִתְרֵי עָנְשֵׁי הֲוָה מְחוּיָיב חַד לְעִילָא וְחַד לְתַתָּא, הֲדָא הוּא דִכְתִיב </w:t>
      </w:r>
      <w:r>
        <w:rPr>
          <w:b w:val="0"/>
          <w:sz w:val="20"/>
          <w:szCs w:val="23"/>
          <w:rtl/>
        </w:rPr>
        <w:t>(בראשית ב יז)</w:t>
      </w:r>
      <w:r>
        <w:rPr>
          <w:b w:val="0"/>
          <w:bCs w:val="0"/>
          <w:rtl/>
        </w:rPr>
        <w:t xml:space="preserve"> </w:t>
      </w:r>
      <w:r>
        <w:rPr>
          <w:rStyle w:val="a7"/>
          <w:b w:val="0"/>
          <w:bCs w:val="0"/>
          <w:rtl/>
        </w:rPr>
        <w:footnoteReference w:id="4690"/>
      </w:r>
      <w:r>
        <w:rPr>
          <w:b w:val="0"/>
          <w:bCs w:val="0"/>
          <w:rtl/>
        </w:rPr>
        <w:t>כִּי בְּיוֹם אֲכָלְךָ מִמֶּנּוּ מוֹת תָּמוּת. אָמַר לֵיהּ, וְהָא אָדָם הֲוָה דְחָאב בְּהַאי אִילָנָא, אָמַר לֵיהּ עוֹבָדָא דַאֲבוּהָ הֲוָה לֵיהּ וּמֵת, אָמַר לֵיהּ כִּי בְיוֹם אֲכָלְךָ מִמֶּנּוּ כְּתִיב, אָמַר לֵיהּ בְּהַהוּא יוֹם הִצִּיץ וּמֵת.</w:t>
      </w:r>
    </w:p>
    <w:p w:rsidR="0020255E" w:rsidRDefault="0020255E" w:rsidP="0020255E">
      <w:pPr>
        <w:pStyle w:val="NormalWeb"/>
        <w:rPr>
          <w:b w:val="0"/>
          <w:bCs w:val="0"/>
          <w:rtl/>
        </w:rPr>
      </w:pPr>
      <w:r>
        <w:rPr>
          <w:b w:val="0"/>
          <w:bCs w:val="0"/>
          <w:rtl/>
        </w:rPr>
        <w:t xml:space="preserve">אָמַר רַבִּי שִׁמְעוֹן בְּגִין דָּא כְּתִיב </w:t>
      </w:r>
      <w:r>
        <w:rPr>
          <w:b w:val="0"/>
          <w:sz w:val="20"/>
          <w:szCs w:val="23"/>
          <w:rtl/>
        </w:rPr>
        <w:t>(קהלת ח יד)</w:t>
      </w:r>
      <w:r>
        <w:rPr>
          <w:b w:val="0"/>
          <w:bCs w:val="0"/>
          <w:rtl/>
        </w:rPr>
        <w:t xml:space="preserve"> יֶשׁ הֶבֶל אֲשֶׁר נַעֲשָׂה עַל הָאָרֶץ אֲשֶׁר יֵשׁ צַדִּיקִים שֶׁמַּגִּיעַ אֲלֵיהֶם </w:t>
      </w:r>
      <w:r>
        <w:rPr>
          <w:rStyle w:val="a7"/>
          <w:b w:val="0"/>
          <w:bCs w:val="0"/>
          <w:rtl/>
        </w:rPr>
        <w:footnoteReference w:id="4691"/>
      </w:r>
      <w:r>
        <w:rPr>
          <w:b w:val="0"/>
          <w:bCs w:val="0"/>
          <w:rtl/>
        </w:rPr>
        <w:t xml:space="preserve">כְּמַעֲשֵׂה הָרְשָׁעִים, וְהָכָא אִתְרְמִיז צַדִּיק וְרַע לוֹ רָשָׁע וְטוֹב לוֹ, צַדִּיק וְרַע לוֹ הָכָא אִתְרְמִיז, יֵשׁ צַדִּיקִים שֶׁמַּגִּיעַ אֲלֵיהֶם כְּמַעֲשֵׂה הָרְשָׁעִים, וְדָא רָזָא דְצַדִּיק דְּאַעְרַע לֵיהּ כְּמַעֲשֵׂה הָרְשָׁעִים, לַאו דְּאִיהוּ רָשָׁע וְלַאו בֶּן רָשָׁע אֶלָּא כְּמַעֲשֵׂה הָרְשָׁעִים דְּחָב בְּעוֹבָדָא דְחַיָּיבַיָּא, דְאִינוּן סמא''ל וְנָחָשׁ, אִירַע לֵיהּ עוֹבָדָא דִלְהוֹן, וְהַאי אִיהוּ רָזָא פּוֹקֵד עֲוֹן אָבוֹת עַל בָּנִים </w:t>
      </w:r>
      <w:r>
        <w:rPr>
          <w:b w:val="0"/>
          <w:sz w:val="20"/>
          <w:szCs w:val="23"/>
          <w:rtl/>
        </w:rPr>
        <w:t>(שמות כ ה)</w:t>
      </w:r>
      <w:r>
        <w:rPr>
          <w:b w:val="0"/>
          <w:bCs w:val="0"/>
          <w:rtl/>
        </w:rPr>
        <w:t xml:space="preserve">, בְּגִין דְּמַעֲשֵׂה אֲבוֹתֵיהֶם בִּידֵיהֶם, דָּא גְרִים לְהֶבֶל מִיתָה, וּמֵת בְּלָא בֵן, </w:t>
      </w:r>
      <w:r>
        <w:rPr>
          <w:rStyle w:val="a7"/>
          <w:b w:val="0"/>
          <w:bCs w:val="0"/>
          <w:rtl/>
        </w:rPr>
        <w:footnoteReference w:id="4692"/>
      </w:r>
      <w:r>
        <w:rPr>
          <w:b w:val="0"/>
          <w:bCs w:val="0"/>
          <w:rtl/>
        </w:rPr>
        <w:t xml:space="preserve">וּבְגִין דָּא אָזִיל בְּגִלְגּוּלָא, שִׁי''ן דְּמֹשֶׁה אִיהוּ שֵׁ''ת מִתַּמָּן רָוַוח שִׁי''ן </w:t>
      </w:r>
      <w:r>
        <w:rPr>
          <w:b w:val="0"/>
          <w:sz w:val="20"/>
          <w:szCs w:val="23"/>
          <w:rtl/>
        </w:rPr>
        <w:t>(ס''א ש''ת)</w:t>
      </w:r>
      <w:r>
        <w:rPr>
          <w:b w:val="0"/>
          <w:szCs w:val="23"/>
          <w:rtl/>
        </w:rPr>
        <w:t xml:space="preserve">, </w:t>
      </w:r>
      <w:r>
        <w:rPr>
          <w:rStyle w:val="Char"/>
          <w:rtl/>
        </w:rPr>
        <w:t>הֲדָא הוּא דִכְתִיב</w:t>
      </w:r>
      <w:r>
        <w:rPr>
          <w:b w:val="0"/>
          <w:szCs w:val="23"/>
          <w:rtl/>
        </w:rPr>
        <w:t xml:space="preserve"> </w:t>
      </w:r>
      <w:r>
        <w:rPr>
          <w:b w:val="0"/>
          <w:sz w:val="20"/>
          <w:szCs w:val="23"/>
          <w:rtl/>
        </w:rPr>
        <w:t>(בראשית ד כה)</w:t>
      </w:r>
      <w:r>
        <w:rPr>
          <w:b w:val="0"/>
          <w:bCs w:val="0"/>
          <w:rtl/>
        </w:rPr>
        <w:t xml:space="preserve"> כִּי שָׁת לִי אלהי''ם זֶרַע אַחֵר תַּחַת הֶבֶל כִּי הֲרָגוֹ קָיִן, תַּחַת הֶבֶל וַדַּאי, </w:t>
      </w:r>
      <w:r>
        <w:rPr>
          <w:rStyle w:val="a7"/>
          <w:b w:val="0"/>
          <w:bCs w:val="0"/>
          <w:rtl/>
        </w:rPr>
        <w:footnoteReference w:id="4693"/>
      </w:r>
      <w:r>
        <w:rPr>
          <w:b w:val="0"/>
          <w:bCs w:val="0"/>
          <w:rtl/>
        </w:rPr>
        <w:t xml:space="preserve">דְּהֶבֶל רָכִיב עֲלֵיהּ, וְאִתְעֲבִיד שֵׁת הַרְכָּבָה לֵיהּ, </w:t>
      </w:r>
      <w:r>
        <w:rPr>
          <w:rStyle w:val="a7"/>
          <w:b w:val="0"/>
          <w:bCs w:val="0"/>
          <w:rtl/>
        </w:rPr>
        <w:footnoteReference w:id="4694"/>
      </w:r>
      <w:r>
        <w:rPr>
          <w:b w:val="0"/>
          <w:bCs w:val="0"/>
          <w:rtl/>
        </w:rPr>
        <w:t>וְאִיהִי סִיּוּמָא דְאַלְפָא בֵּיתָא, וּבְגִין דָּא תַּחַת הֶבֶל.</w:t>
      </w:r>
    </w:p>
    <w:p w:rsidR="0020255E" w:rsidRDefault="0020255E" w:rsidP="0020255E">
      <w:pPr>
        <w:pStyle w:val="NormalWeb"/>
        <w:rPr>
          <w:b w:val="0"/>
          <w:bCs w:val="0"/>
          <w:rtl/>
        </w:rPr>
      </w:pPr>
      <w:r>
        <w:rPr>
          <w:rStyle w:val="a7"/>
          <w:b w:val="0"/>
          <w:bCs w:val="0"/>
          <w:rtl/>
        </w:rPr>
        <w:footnoteReference w:id="4695"/>
      </w:r>
      <w:r>
        <w:rPr>
          <w:b w:val="0"/>
          <w:bCs w:val="0"/>
          <w:rtl/>
        </w:rPr>
        <w:t xml:space="preserve">הֶבֶל, הַלֵּב, וְאִיהִי ה' מִמֹּשֶׁה, וְהַלֵּב אִיהוּ לִשְׂמָאלָא דְאִיהוּ אלהי''ם, הַלֵּב מֵבִין, וְאִיהוּ סָתִיר בִּנְיָינָא וְנָפְלַת בְּגִינֵיהּ, וּבְגִין דָּא וַיַּסְתֵּר מֹשֶׁה פָּנָיו כִּי יָרֵא מֵהַבִּיט אֶל הָאלהי''ם </w:t>
      </w:r>
      <w:r>
        <w:rPr>
          <w:b w:val="0"/>
          <w:sz w:val="20"/>
          <w:szCs w:val="23"/>
          <w:rtl/>
        </w:rPr>
        <w:t>(שמות ג ו)</w:t>
      </w:r>
      <w:r>
        <w:rPr>
          <w:b w:val="0"/>
          <w:bCs w:val="0"/>
          <w:rtl/>
        </w:rPr>
        <w:t xml:space="preserve">, בְּגִין דְּתַמָּן הַוָּה דְחָב בֵּאלֹהִי''ם, דְּאִיהוּ אלהי''ם דְּעוֹבָדָא דִבְּרֵאשִׁית, וְדָא אִיהוּ דְחָב בְּמַעֲשֶׂה, לַבַּת אֵשׁ בְּרַתָּא דְמַלְכָּא דְחָב בֵּיהּ, וְאִתְבַּיַּישׁ כַּסִּי לֵיהּ בְּדִילֵיהּ </w:t>
      </w:r>
      <w:r>
        <w:rPr>
          <w:b w:val="0"/>
          <w:sz w:val="20"/>
          <w:szCs w:val="23"/>
          <w:rtl/>
        </w:rPr>
        <w:t>(ס''א בחיליה)</w:t>
      </w:r>
      <w:r>
        <w:rPr>
          <w:b w:val="0"/>
          <w:bCs w:val="0"/>
          <w:rtl/>
        </w:rPr>
        <w:t xml:space="preserve"> בְּשֵׁת, וּמַה דַהֲוָה שֵׁת אִתְחַבֵּר עִמֵּיהּ ב' וְאִתְעֲבִיד בֹּשֶׁת, וְדָא אִיהוּ יְרָ''א בֹּשֶׁ''ת, וְעוֹד שֵׁת בְּאַ''תְּ בַּ''שׁ אִינוּן אָב, שֵׁ''ת לְבָתַר דְּזָכָה בְּאָת יוּ''ד, בְּרֵא שִׁית, </w:t>
      </w:r>
      <w:r>
        <w:rPr>
          <w:rStyle w:val="a7"/>
          <w:b w:val="0"/>
          <w:bCs w:val="0"/>
          <w:rtl/>
        </w:rPr>
        <w:footnoteReference w:id="4696"/>
      </w:r>
      <w:r>
        <w:rPr>
          <w:b w:val="0"/>
          <w:bCs w:val="0"/>
          <w:rtl/>
        </w:rPr>
        <w:t xml:space="preserve">וְאִיהִי יוּ''ד דְּאִתְּמַר בֵּיהּ </w:t>
      </w:r>
      <w:r>
        <w:rPr>
          <w:b w:val="0"/>
          <w:sz w:val="20"/>
          <w:szCs w:val="23"/>
          <w:rtl/>
        </w:rPr>
        <w:t>(משלי ח כה)</w:t>
      </w:r>
      <w:r>
        <w:rPr>
          <w:b w:val="0"/>
          <w:bCs w:val="0"/>
          <w:rtl/>
        </w:rPr>
        <w:t xml:space="preserve"> יהו''ה קָנָנִי רֵאשִׁית דַּרְכּוֹ, </w:t>
      </w:r>
      <w:r>
        <w:rPr>
          <w:rStyle w:val="a7"/>
          <w:b w:val="0"/>
          <w:bCs w:val="0"/>
          <w:rtl/>
        </w:rPr>
        <w:footnoteReference w:id="4697"/>
      </w:r>
      <w:r>
        <w:rPr>
          <w:b w:val="0"/>
          <w:bCs w:val="0"/>
          <w:rtl/>
        </w:rPr>
        <w:t>דְּאִיהִי עֲשָׂרָה דוֹרוֹת, וְתָב לָהּ לְאַתְרָהּ, אִתְקְרִי בְּרֵאשִׁית, וּמִתַּמָּן זָכָה לְאוֹרַיְיתָא דְאִתְיְיהִיבַת עַל יְדֵיהּ.</w:t>
      </w:r>
    </w:p>
    <w:p w:rsidR="0020255E" w:rsidRDefault="0020255E" w:rsidP="0020255E">
      <w:pPr>
        <w:pStyle w:val="NormalWeb"/>
        <w:rPr>
          <w:b w:val="0"/>
          <w:bCs w:val="0"/>
          <w:rtl/>
        </w:rPr>
      </w:pPr>
      <w:r>
        <w:rPr>
          <w:rStyle w:val="a7"/>
          <w:b w:val="0"/>
          <w:bCs w:val="0"/>
          <w:rtl/>
        </w:rPr>
        <w:footnoteReference w:id="4698"/>
      </w:r>
      <w:r>
        <w:rPr>
          <w:b w:val="0"/>
          <w:bCs w:val="0"/>
          <w:rtl/>
        </w:rPr>
        <w:t xml:space="preserve">וְהַאי י' אִיהִי מִיַּעֲקֹב וְי' מִיִּשְׂרָאֵל, י' מֵאדנ''י י' מִיהו''ה, שִׁי''ן מִמֹּשֶׁה אִיהִי מִשֵּׁת תַּמָּן רָוַוח לָהּ, וְכַד אָזַל לְשֵׁם רָוַוח תַּמָּן תְּרֵין אַתְוָון שֵׁ''ם, וְכַד אָזַל עֲשָׂרָה דוֹרוֹת עַד אַבְרָהָם תַּמָּן רָוַוח ה' דִּילֵיהּ, וְאִתְקְרִי מֹשֶׁ''ה, </w:t>
      </w:r>
      <w:r>
        <w:rPr>
          <w:rStyle w:val="a7"/>
          <w:b w:val="0"/>
          <w:bCs w:val="0"/>
          <w:rtl/>
        </w:rPr>
        <w:footnoteReference w:id="4699"/>
      </w:r>
      <w:r>
        <w:rPr>
          <w:b w:val="0"/>
          <w:bCs w:val="0"/>
          <w:rtl/>
        </w:rPr>
        <w:t xml:space="preserve">וְרָזָא דְמִלָּה מוֹלִיךְ לִימִין מֹשֶׁה זְרוֹעַ תִּפְאַרְתּוֹ בּוֹקֵעַ מַיִם מִפְּנֵיהֶם לַעֲשׂוֹת לוֹ שֵׁם עוֹלָם </w:t>
      </w:r>
      <w:r>
        <w:rPr>
          <w:b w:val="0"/>
          <w:sz w:val="20"/>
          <w:szCs w:val="23"/>
          <w:rtl/>
        </w:rPr>
        <w:t>(ישעיה סג יב)</w:t>
      </w:r>
      <w:r>
        <w:rPr>
          <w:b w:val="0"/>
          <w:bCs w:val="0"/>
          <w:rtl/>
        </w:rPr>
        <w:t xml:space="preserve">, וּבָהּ אַפִּיק לִבְנוֹי מִגָּלוּתָא, וּבָהּ מָחָא לְמִצְרָאֵי, הֲדָא הוּא דִכְתִיב </w:t>
      </w:r>
      <w:r>
        <w:rPr>
          <w:b w:val="0"/>
          <w:sz w:val="20"/>
          <w:szCs w:val="23"/>
          <w:rtl/>
        </w:rPr>
        <w:t>(שמות ט ג)</w:t>
      </w:r>
      <w:r>
        <w:rPr>
          <w:b w:val="0"/>
          <w:bCs w:val="0"/>
          <w:rtl/>
        </w:rPr>
        <w:t xml:space="preserve"> הִנֵּה יַד יהו''ה הוֹיָה, ה' חָמֵשׁ אֶצְבָּעִין, וּבָהּ בָּקַע יַמָּא, וְדָא אִיהוּ בּוֹקֵעַ מַיִם מִפְּנֵיהֶם, </w:t>
      </w:r>
      <w:r>
        <w:rPr>
          <w:rStyle w:val="a7"/>
          <w:b w:val="0"/>
          <w:bCs w:val="0"/>
          <w:rtl/>
        </w:rPr>
        <w:footnoteReference w:id="4700"/>
      </w:r>
      <w:r>
        <w:rPr>
          <w:b w:val="0"/>
          <w:bCs w:val="0"/>
          <w:rtl/>
        </w:rPr>
        <w:t xml:space="preserve">וּבָהּ עָתִיד לְמֶהֱוִי בוֹקֵעַ יַמָּא דְאוֹרַיְיתָא מִימִינָא, </w:t>
      </w:r>
      <w:r>
        <w:rPr>
          <w:rStyle w:val="a7"/>
          <w:b w:val="0"/>
          <w:bCs w:val="0"/>
          <w:rtl/>
        </w:rPr>
        <w:footnoteReference w:id="4701"/>
      </w:r>
      <w:r>
        <w:rPr>
          <w:b w:val="0"/>
          <w:bCs w:val="0"/>
          <w:rtl/>
        </w:rPr>
        <w:t>הַהוּא זִמְנָא מַה דַּהֲוָה לִשְׂמָאלָא בְּלִבָּא הֲוָה הֶבֶל דְּאִיהוּ הַלֵּב, הֶבֶל אִסְתַּלַּק לִימִינָא, וּמִתַּמָּן סָלִיק לְמוֹחָא דְּאִיהוּ חָכְמָה, דְּהָא לִבָּא אִיהוּ אִימָּא עִלָּאָה, עֲלָהּ אִתְּמַר הַלֵּב מֵבִין, וּלְבָתַר נָחִית עַל אַרְעָא לְנַחְתָא אוֹרַיְיתָא עַל אַרְעָא.</w:t>
      </w:r>
    </w:p>
    <w:p w:rsidR="0020255E" w:rsidRDefault="0020255E" w:rsidP="0020255E">
      <w:pPr>
        <w:pStyle w:val="aa"/>
        <w:spacing w:after="40"/>
        <w:rPr>
          <w:rtl/>
        </w:rPr>
      </w:pPr>
      <w:r>
        <w:rPr>
          <w:rtl/>
        </w:rPr>
        <w:t xml:space="preserve">[תיקוני זוהר - דף קה ע''ב] </w:t>
      </w:r>
    </w:p>
    <w:p w:rsidR="0020255E" w:rsidRDefault="0020255E" w:rsidP="0020255E">
      <w:pPr>
        <w:pStyle w:val="NormalWeb"/>
        <w:rPr>
          <w:b w:val="0"/>
          <w:sz w:val="20"/>
          <w:szCs w:val="23"/>
          <w:rtl/>
        </w:rPr>
      </w:pPr>
      <w:r>
        <w:rPr>
          <w:b w:val="0"/>
          <w:bCs w:val="0"/>
          <w:rtl/>
        </w:rPr>
        <w:t xml:space="preserve">וּבְגִין דָּא </w:t>
      </w:r>
      <w:r>
        <w:rPr>
          <w:b w:val="0"/>
          <w:sz w:val="20"/>
          <w:szCs w:val="23"/>
          <w:rtl/>
        </w:rPr>
        <w:t xml:space="preserve">(קהלת ח יד) </w:t>
      </w:r>
      <w:r>
        <w:rPr>
          <w:b w:val="0"/>
          <w:bCs w:val="0"/>
          <w:rtl/>
        </w:rPr>
        <w:t xml:space="preserve">יֶשׁ הֶבֶל אֲשֶׁר נַעֲשָׂה עַל הָאָרֶץ אֲשֶׁר יֵשׁ צַדִּיקִים אֲשֶׁר מַגִּיעַ אֲלֵיהֶם כְּמַעֲשֵׂה הָרְשָׁעִים, דָּא אָדָם וְהֶבֶל, דְּדָא חָב בְּמַחֲשָׁבָה וּבְעוֹבָדָא, וְדָא חָאב בְּמַחֲשָׁבָה וּבְעוֹבָדָא, בְּמַחֲשָׁבָה אִיהִי י', עֲלֵיהּ אִתְּמַר </w:t>
      </w:r>
      <w:r>
        <w:rPr>
          <w:b w:val="0"/>
          <w:sz w:val="20"/>
          <w:szCs w:val="23"/>
          <w:rtl/>
        </w:rPr>
        <w:t>(במדבר יד כב)</w:t>
      </w:r>
      <w:r>
        <w:rPr>
          <w:b w:val="0"/>
          <w:bCs w:val="0"/>
          <w:rtl/>
        </w:rPr>
        <w:t xml:space="preserve"> וַיְנַסּוּ אוֹתִי זֶה עֶשֶׂר פְּעָמִים, </w:t>
      </w:r>
      <w:r>
        <w:rPr>
          <w:rStyle w:val="a7"/>
          <w:b w:val="0"/>
          <w:bCs w:val="0"/>
          <w:rtl/>
        </w:rPr>
        <w:footnoteReference w:id="4702"/>
      </w:r>
      <w:r>
        <w:rPr>
          <w:b w:val="0"/>
          <w:bCs w:val="0"/>
          <w:rtl/>
        </w:rPr>
        <w:t xml:space="preserve">וּבְגִין דָּא כַּד אָתָא </w:t>
      </w:r>
      <w:r>
        <w:rPr>
          <w:b w:val="0"/>
          <w:sz w:val="20"/>
          <w:szCs w:val="23"/>
          <w:rtl/>
        </w:rPr>
        <w:t xml:space="preserve">(דף קה ע''ב) </w:t>
      </w:r>
      <w:r>
        <w:rPr>
          <w:b w:val="0"/>
          <w:bCs w:val="0"/>
          <w:rtl/>
        </w:rPr>
        <w:t xml:space="preserve">אָדָם בְּגִלְגּוּל בְּאַבְרָהָם, אִתְנַסִּי בֵּיהּ בְּעֶשֶׂר נִסְיוֹנִין, וּבְגִין דְּחָאב בְּמַעֲשֶׂה כַּד אִתְגַּלְגַּל בְּיִצְחָק נִתְנַסָּה בְּמַעֲשֶׂה, בְּאַבְרָהָם נִתְנַסָּה בְּמַחֲשָׁבָה, וּבְיִצְחָק בְּמַעֲשֶׂה, יַעֲקֹב כְּלִיל תַּרְוַיְיהוּ, מִסִּטְרָא דְיִצְחָק קָרָא לֵיהּ יַעֲקֹב, מִסִּטְרָא דְאַבְרָהָם דְּתַמָּן מַחֲשָׁבָה קְרָא לֵיהּ יִשְׂרָאֵל, </w:t>
      </w:r>
      <w:r>
        <w:rPr>
          <w:b w:val="0"/>
          <w:sz w:val="20"/>
          <w:szCs w:val="23"/>
          <w:rtl/>
        </w:rPr>
        <w:t xml:space="preserve">(נ"א דְּאַבָּא אִתְגַּלְגַּל בְּאַבְרָהָם דְּאִיהוּ לִימִינָא, וְאִמָּא בְיִצְחָק דְּאִיהוּ לִשְׂמָאלָא, יַעֲקֹב בְּגִין דְּאִיהוּ כְּלִיל תַּרְוַיְהוּ אַבָּא וְאִמָּא, אִתְּמַר בֵּיהּ יִשְׂרָאֵל עָלָה בְּמַחֲשָׁבָה בְּכֶתֶר עֶלְיוֹן דְּאִיהוּ מַחֲשָׁבָה סְתִימָא, וְכַד אָתָא אָדָם אִצְטַרַף בְּאַבְרָהָם, וְאִתְפַּשְׁטוּ שָׁרְשׁוֹי בְּאַרְעָא, וְרָזָא דְמִלָּה (משלי יז) </w:t>
      </w:r>
      <w:r>
        <w:rPr>
          <w:sz w:val="20"/>
          <w:szCs w:val="23"/>
          <w:rtl/>
        </w:rPr>
        <w:t>מַצְרֵף לַכֶּסֶף וְכוּר לַזָּהָב</w:t>
      </w:r>
      <w:r>
        <w:rPr>
          <w:b w:val="0"/>
          <w:sz w:val="20"/>
          <w:szCs w:val="23"/>
          <w:rtl/>
        </w:rPr>
        <w:t xml:space="preserve"> (משלי יז ג), מַצְרֵף לַכֶּסֶף דָּא אַבְרָהָם, וְכוּר לַזָּהָב </w:t>
      </w:r>
      <w:r>
        <w:rPr>
          <w:sz w:val="20"/>
          <w:szCs w:val="23"/>
          <w:rtl/>
        </w:rPr>
        <w:t>דָּא יִצְחָק, וּבוֹחֵן לִבּוֹת</w:t>
      </w:r>
      <w:r>
        <w:rPr>
          <w:bCs w:val="0"/>
          <w:sz w:val="20"/>
          <w:szCs w:val="23"/>
          <w:rtl/>
        </w:rPr>
        <w:t xml:space="preserve"> </w:t>
      </w:r>
      <w:r>
        <w:rPr>
          <w:sz w:val="20"/>
          <w:szCs w:val="23"/>
          <w:rtl/>
        </w:rPr>
        <w:t xml:space="preserve">יהו''ה </w:t>
      </w:r>
      <w:r>
        <w:rPr>
          <w:b w:val="0"/>
          <w:sz w:val="20"/>
          <w:szCs w:val="23"/>
          <w:rtl/>
        </w:rPr>
        <w:t>(שם) דָּא יַעֲקֹב, לֵית סְפִירָה דְלָא אִתְגַּלְגַּל אָדָם עִלָּאָה, דְאִיהוּ יו''ד ה''א וא''ו ה''א, כֹּ''חַ מָ''ה חָכְמָה וַדַּאי, בְּגִין לְצָרְפָא וּלְלַבְּנָא לְאָדָם דְּבָרָא בְדִיּוֹקְנֵיהּ לְתַתָּא, וְאָצִיל בֵּיהּ אֲצִילוּתֵיהּ, וְכָל טָרְחָא דִלְעִילָא לָא הֲוָה בְּאָדָם אֶלָּא בְגִין אֲצִילוּת דְּאָדָם דִּלְעִילָא, דְּדָא בְּדָא תַּלְיָא. ובג"ד כו')</w:t>
      </w:r>
    </w:p>
    <w:p w:rsidR="0020255E" w:rsidRDefault="0020255E" w:rsidP="0020255E">
      <w:pPr>
        <w:pStyle w:val="NormalWeb"/>
        <w:rPr>
          <w:b w:val="0"/>
          <w:bCs w:val="0"/>
          <w:rtl/>
        </w:rPr>
      </w:pPr>
      <w:r>
        <w:rPr>
          <w:b w:val="0"/>
          <w:bCs w:val="0"/>
          <w:rtl/>
        </w:rPr>
        <w:t xml:space="preserve">וּבְגִין דָּא יִשְׂרָאֵל עָלָה בְּמַחֲשָׁבָה, </w:t>
      </w:r>
      <w:r>
        <w:rPr>
          <w:rStyle w:val="a7"/>
          <w:b w:val="0"/>
          <w:bCs w:val="0"/>
          <w:rtl/>
        </w:rPr>
        <w:footnoteReference w:id="4703"/>
      </w:r>
      <w:r>
        <w:rPr>
          <w:b w:val="0"/>
          <w:bCs w:val="0"/>
          <w:rtl/>
        </w:rPr>
        <w:t xml:space="preserve">אָמַר לֵיהּ מִנַלַן דְּאַבְרָהָם תַּמַן בְּמַחֲשָׁבָה, אָמַר לֵיהּ לַאו לְמַגְנַא תְּקִינוּ מַארֵי מַתְנִיתִין הַרוֹצֶה לְהַחְכִּים יַדְרִים דְּאִיהִי חָכְמָה וְאִיהִי מַחֲשָׁבָה, בְּאַבְרָהָם אִתְּלַבן אָדָם, וּבְיִצְחָק אִצְטְרִף, וְרָזָא דְמִלָּה </w:t>
      </w:r>
      <w:r>
        <w:rPr>
          <w:b w:val="0"/>
          <w:sz w:val="20"/>
          <w:szCs w:val="23"/>
          <w:rtl/>
        </w:rPr>
        <w:t>(משלי יז)</w:t>
      </w:r>
      <w:r>
        <w:rPr>
          <w:b w:val="0"/>
          <w:bCs w:val="0"/>
          <w:rtl/>
        </w:rPr>
        <w:t xml:space="preserve"> מַצְרֵף לַכֶּסֶף וְכוּר לַזָּהָב </w:t>
      </w:r>
      <w:r>
        <w:rPr>
          <w:b w:val="0"/>
          <w:sz w:val="20"/>
          <w:szCs w:val="23"/>
          <w:rtl/>
        </w:rPr>
        <w:t>(משלי יז ג)</w:t>
      </w:r>
      <w:r>
        <w:rPr>
          <w:b w:val="0"/>
          <w:bCs w:val="0"/>
          <w:rtl/>
        </w:rPr>
        <w:t xml:space="preserve">, מַצְרֵף לַכֶּסֶף דָּא אַבְרָהָם, וְכוּר לַזָּהָב דָּא יִצְחָק, וּבוֹחֵן לִבּוֹת יהו''ה </w:t>
      </w:r>
      <w:r>
        <w:rPr>
          <w:b w:val="0"/>
          <w:sz w:val="20"/>
          <w:szCs w:val="23"/>
          <w:rtl/>
        </w:rPr>
        <w:t>(שם)</w:t>
      </w:r>
      <w:r>
        <w:rPr>
          <w:b w:val="0"/>
          <w:bCs w:val="0"/>
          <w:rtl/>
        </w:rPr>
        <w:t xml:space="preserve"> דָּא יַעֲקֹב, וְהֶן כָּל אֵלֶּה יִפְעַל אֵ''ל פַּעֲמַיִם שָׁלֹשׁ עִם גָּבֶר </w:t>
      </w:r>
      <w:r>
        <w:rPr>
          <w:b w:val="0"/>
          <w:sz w:val="20"/>
          <w:szCs w:val="23"/>
          <w:rtl/>
        </w:rPr>
        <w:t>(איוב לג כט)</w:t>
      </w:r>
      <w:r>
        <w:rPr>
          <w:b w:val="0"/>
          <w:bCs w:val="0"/>
          <w:rtl/>
        </w:rPr>
        <w:t>, אָמַר לֵיה אִם כֵּן מַאי וְיָשׁוּב לִימֵי עֲלוּמָיו.</w:t>
      </w:r>
    </w:p>
    <w:p w:rsidR="0020255E" w:rsidRDefault="0020255E" w:rsidP="0020255E">
      <w:pPr>
        <w:pStyle w:val="NormalWeb"/>
        <w:rPr>
          <w:b w:val="0"/>
          <w:bCs w:val="0"/>
          <w:rtl/>
        </w:rPr>
      </w:pPr>
      <w:r>
        <w:rPr>
          <w:rStyle w:val="a7"/>
          <w:b w:val="0"/>
          <w:bCs w:val="0"/>
          <w:rtl/>
        </w:rPr>
        <w:footnoteReference w:id="4704"/>
      </w:r>
      <w:r>
        <w:rPr>
          <w:b w:val="0"/>
          <w:bCs w:val="0"/>
          <w:rtl/>
        </w:rPr>
        <w:t xml:space="preserve">אָמַר לֵיהּ לְאִילָנָא דַהֲוָה קַשִּׁישׁ יוֹמִין וְאִתְיַיבְּשׁוּ עַנְפִין דִּילֵיהּ, קַצִּיצוּ לֵיהּ וְאַצְמַח בְּשָׁרְשׁוֹי, דְּקָמוּ מִנֵּיהּ עַנְפִין חַדְתִּין כְּקַדְמֵיתָא, כְּגַוְונָא דַהֲוָה בְּעוּלֵמוֹי, וְדָא אִיהוּ וְיָשׁוּב לִימֵי עֲלוּמָיו, וְדָא הֲוָה חֶלְמָא דְחָזָא נְבוּכַדְנֶצַּר בְּחֶלְמֵיהּ, אִילָנָא רְבָא וּתְקִיף </w:t>
      </w:r>
      <w:r>
        <w:rPr>
          <w:b w:val="0"/>
          <w:sz w:val="20"/>
          <w:szCs w:val="23"/>
          <w:rtl/>
        </w:rPr>
        <w:t>(דניאל ד ט)</w:t>
      </w:r>
      <w:r>
        <w:rPr>
          <w:b w:val="0"/>
          <w:szCs w:val="23"/>
          <w:rtl/>
        </w:rPr>
        <w:t xml:space="preserve">, </w:t>
      </w:r>
      <w:r>
        <w:rPr>
          <w:rStyle w:val="Char"/>
          <w:rtl/>
        </w:rPr>
        <w:t>וּבַסּוֹף חֶלְמֵיהּ הֲוָה אָמַר</w:t>
      </w:r>
      <w:r>
        <w:rPr>
          <w:b w:val="0"/>
          <w:szCs w:val="23"/>
          <w:rtl/>
        </w:rPr>
        <w:t xml:space="preserve"> </w:t>
      </w:r>
      <w:r>
        <w:rPr>
          <w:b w:val="0"/>
          <w:sz w:val="20"/>
          <w:szCs w:val="23"/>
          <w:rtl/>
        </w:rPr>
        <w:t>(שם יא)</w:t>
      </w:r>
      <w:r>
        <w:rPr>
          <w:b w:val="0"/>
          <w:bCs w:val="0"/>
          <w:rtl/>
        </w:rPr>
        <w:t xml:space="preserve"> גֹּדּוּ אִילָנָא וְקַצִּיצוּ עַנְפוֹהִי, וּלְבָתַר אָמַר </w:t>
      </w:r>
      <w:r>
        <w:rPr>
          <w:b w:val="0"/>
          <w:sz w:val="20"/>
          <w:szCs w:val="23"/>
          <w:rtl/>
        </w:rPr>
        <w:t>(שם יב)</w:t>
      </w:r>
      <w:r>
        <w:rPr>
          <w:b w:val="0"/>
          <w:bCs w:val="0"/>
          <w:rtl/>
        </w:rPr>
        <w:t xml:space="preserve"> בְּרַם עִקַּר שָׁרְשׁוֹהִי בְּאַרְעָא שְׁבוּקוּ, וְלֵית אִילָן הָכָא אֶלָּא אָדָם עִלָּאָה, דְאִתְּמַר בֵּיהּ </w:t>
      </w:r>
      <w:r>
        <w:rPr>
          <w:b w:val="0"/>
          <w:sz w:val="20"/>
          <w:szCs w:val="23"/>
          <w:rtl/>
        </w:rPr>
        <w:t>(דברים כ יט)</w:t>
      </w:r>
      <w:r>
        <w:rPr>
          <w:b w:val="0"/>
          <w:bCs w:val="0"/>
          <w:rtl/>
        </w:rPr>
        <w:t xml:space="preserve"> כִּי הָאָדָם עִץ הַשָּׂדֶה, וְהַאי אִילָנָא קוּדְשָׁא בְּרִיךְ הוּא אַנְטַע לֵיהּ </w:t>
      </w:r>
    </w:p>
    <w:p w:rsidR="0020255E" w:rsidRDefault="0020255E" w:rsidP="0020255E">
      <w:pPr>
        <w:pStyle w:val="NormalWeb"/>
        <w:rPr>
          <w:b w:val="0"/>
          <w:bCs w:val="0"/>
          <w:rtl/>
        </w:rPr>
      </w:pPr>
      <w:r>
        <w:rPr>
          <w:b w:val="0"/>
          <w:sz w:val="20"/>
          <w:szCs w:val="23"/>
          <w:rtl/>
        </w:rPr>
        <w:t>הובא מאחרי הפסקה הבאה המסתיימת במלה בשרא.</w:t>
      </w:r>
      <w:r>
        <w:rPr>
          <w:b w:val="0"/>
          <w:bCs w:val="0"/>
          <w:rtl/>
        </w:rPr>
        <w:t xml:space="preserve"> </w:t>
      </w:r>
      <w:r>
        <w:rPr>
          <w:rtl/>
        </w:rPr>
        <w:t xml:space="preserve">(ס"א וְאַרְכִּיב לֵיהּ עַד אֶלֶף דּוֹר, כְּגַוְונָא דִשְׁכִינְתָּא דְאִיהִי סְלִיקַת לְאֶלֶף דּוֹר בַּעֲשַׂר סְפִירָן, דִּבְהוֹן סְלִיקָא עֲשַׂר זִמְנִין מְאָה, עַד דִּסְלִיקַת בְּהוֹן לְאֶלֶף דּוֹר, וּמִיָּד דְּאַצְלַח אִילָנָא בְאַרְעָא נָחִית אִילָנָא מִלְּעִילָא, שָׁרְשׁוֹי בְּאַרְעָא דְאִיהִי שְׁכִינְתָּא, וְאִתְרַבִּיאוּ תַּמָּן עַנְפּוֹי עַד אֵין סוֹף, וְאִתְפַּשְׁטוּ בָּהּ שָׁרְשׁוֹי עַד אֵין תַּכְלִית, בְּהַהוּא זִמְנָא אִתְרַבִּי אִילָנָא כְּמִלְּקַדְמִין, הֲדָא הוּא דִכְתִיב רְבָא אִילָנָא וּתְקִיף וְרוּמֵיהּ מָטֵי לִשְׁמַיָּא, וַחֲזוֹתֵיהּ לְסוֹף כָּל אַרְעָא, וּמִנֵּיהּ יִתְּזִן כָּל בִּשְׂרָא, כָּל בְּנֵי אָדָם דִּלְתַתָּא, בְּהַהוּא זִמְנָא אִתְרַבִּי אִילָנָא כְּמִלְּקַדְמִין, הֲדָא הוּא דִכְתִיב רְבָא אִילָנָא וּתְקִיף וכו', חֵיוַת בָּרָא אִלֵּין חַיּוֹת הַקֹּדֶשׁ, צִפֲּרֵי שְׁמַיָּא אִלֵּין נִשְׁמָתִין, וּמִנֵּיהּ יִתְּזִן כָּל בִּשְׂרָא לְתַתָּא. דִּבְזִמְנָא דְחָב אָדָם וַהֲוָה מְקַצֵּץ בַּנְּטִיעוֹת, כַּבְיָכוֹל כְּאִלּוּ אַעְקַר חֵיוָן וּמַלְאָכִים וּשְׂרָפִים וְאוֹפַנִּים מֵאַתְרֵיהוֹן, וְלָא הֲוָה מָאן דִּמְקַבֵּל צְלוֹתִין, דְּאִתְּמַר בְּהוֹן </w:t>
      </w:r>
      <w:r>
        <w:rPr>
          <w:sz w:val="20"/>
          <w:szCs w:val="23"/>
          <w:rtl/>
        </w:rPr>
        <w:t>(קהלת י כ)</w:t>
      </w:r>
      <w:r>
        <w:rPr>
          <w:rtl/>
        </w:rPr>
        <w:t xml:space="preserve"> כִּי עוֹף הַשָּׁמַיִם יוֹלִיךְ אֶת הַקּוֹל, וּבַעַל הַכְּנָפַיִם יַגִּיד דָּבָר, מַאי יַגִּיד דָּבָר, בִּצְלוֹתִין וְזַכְוָון דְּיִשְׂרָאֵל. אָמַר לֵיהּ רַבִּי אֶלְעָזָר, בְּוַדַּאי עִלָּאִין וְתַתָּאִין הֲווֹ תַּלְיָין בְּאָדָם קַדְמָאָה, וְלַאו לְמַגָּנָא אוּקְמוּהָ קדמאין מָארֵי מַתְנִיתִין, לְעוֹלָם כו')</w:t>
      </w:r>
    </w:p>
    <w:p w:rsidR="0020255E" w:rsidRDefault="0020255E" w:rsidP="0020255E">
      <w:pPr>
        <w:pStyle w:val="aa"/>
        <w:spacing w:after="40"/>
        <w:rPr>
          <w:rtl/>
        </w:rPr>
      </w:pPr>
      <w:bookmarkStart w:id="309" w:name="_Toc228095756"/>
      <w:bookmarkStart w:id="310" w:name="_Toc231638194"/>
      <w:r>
        <w:rPr>
          <w:rtl/>
        </w:rPr>
        <w:t xml:space="preserve">[תיקוני זוהר - דף קו ע''א] </w:t>
      </w:r>
    </w:p>
    <w:p w:rsidR="0020255E" w:rsidRDefault="0020255E" w:rsidP="0020255E">
      <w:pPr>
        <w:pStyle w:val="NormalWeb"/>
        <w:rPr>
          <w:b w:val="0"/>
          <w:bCs w:val="0"/>
          <w:rtl/>
        </w:rPr>
      </w:pPr>
      <w:r>
        <w:rPr>
          <w:b w:val="0"/>
          <w:bCs w:val="0"/>
          <w:rtl/>
        </w:rPr>
        <w:t xml:space="preserve">בְּכַמָּה דָרִין וְלָא אַצְלַח עַד דְּנָטַע לֵיהּ בְּאַרְעָא דְיִשְׂרָאֵל, וְאַרְכִּיב לֵיהּ בִּתְלַת אֲבָהָן וְאַצְלַח תַּמָּן, וּבְגִין דָּא הֶן כָּל אֵלֶּה יִפְעַל אֵ''ל פַּעֲמַיִם שָׁלֹשׁ עִם גָּבֶר, מִיָּד דְּאַצְלַח תַּמָּן וַאֲחִיד תַּמָּן, אִתְפַּשְׁטוּ שָׁרְשׁוֹי עַל אַרְעָא דְאִיהִי שְׁכִינְתָּא, </w:t>
      </w:r>
      <w:r>
        <w:rPr>
          <w:rStyle w:val="a7"/>
          <w:b w:val="0"/>
          <w:bCs w:val="0"/>
          <w:rtl/>
        </w:rPr>
        <w:footnoteReference w:id="4705"/>
      </w:r>
      <w:r>
        <w:rPr>
          <w:b w:val="0"/>
          <w:bCs w:val="0"/>
          <w:rtl/>
        </w:rPr>
        <w:t xml:space="preserve">וְאִסְתַּלְקוּ עַנְפּוֹי בְּכָל רְקִיעִין, וּבְכָל מַרְכְבִין דְּנִשְׁמָתִין וּמַלְאָכַיָּא וְחֵיוָון וּשְׂרָפִים וְאוֹפַנִּים, עַד דְּאִתְחַזַּר כְּקַדְמֵיתָא </w:t>
      </w:r>
      <w:r>
        <w:rPr>
          <w:b w:val="0"/>
          <w:sz w:val="20"/>
          <w:szCs w:val="23"/>
          <w:rtl/>
        </w:rPr>
        <w:t>(ס''א עד אין סוף)</w:t>
      </w:r>
      <w:r>
        <w:rPr>
          <w:b w:val="0"/>
          <w:bCs w:val="0"/>
          <w:rtl/>
        </w:rPr>
        <w:t xml:space="preserve">, וְהָא אוּקְמוּהָ עֵץ הַחַיִּים מַהֲלֵךְ ת''ק שָׁנָה, </w:t>
      </w:r>
      <w:r>
        <w:rPr>
          <w:b w:val="0"/>
          <w:sz w:val="20"/>
          <w:szCs w:val="23"/>
          <w:rtl/>
        </w:rPr>
        <w:t>(דניאל ד ט)</w:t>
      </w:r>
      <w:r>
        <w:rPr>
          <w:b w:val="0"/>
          <w:bCs w:val="0"/>
          <w:rtl/>
        </w:rPr>
        <w:t xml:space="preserve"> רְבָא אִילָנָא וּתְקִיף וְרוּמֵיהּ יִמְטֵי לִשְׁמַיָּא, וַחֲזוֹתֵיהּ לְסוֹף כָּל אַרְעָא, תְּחוֹתוֹהִי תַּטְלֵל כָּל חֵיוַת בָּרָא, וּבְעַנְפוֹי יְדוּרוֹן צִפֲּרֵי שְׁמַיָּא, דְאִינוּן נִשְׁמָתִין קַדִּישִׁין, וּמִנֵּיהּ יִתְּזִן כָּל </w:t>
      </w:r>
      <w:r>
        <w:rPr>
          <w:b w:val="0"/>
          <w:sz w:val="20"/>
          <w:szCs w:val="23"/>
          <w:rtl/>
        </w:rPr>
        <w:t xml:space="preserve">(דף קו ע''א) </w:t>
      </w:r>
      <w:r>
        <w:rPr>
          <w:b w:val="0"/>
          <w:bCs w:val="0"/>
          <w:rtl/>
        </w:rPr>
        <w:t>בִּשְׂרָא.</w:t>
      </w:r>
    </w:p>
    <w:bookmarkEnd w:id="309"/>
    <w:bookmarkEnd w:id="310"/>
    <w:p w:rsidR="0020255E" w:rsidRDefault="0020255E" w:rsidP="0020255E">
      <w:pPr>
        <w:pStyle w:val="NormalWeb"/>
        <w:rPr>
          <w:b w:val="0"/>
          <w:bCs w:val="0"/>
          <w:rtl/>
        </w:rPr>
      </w:pPr>
      <w:r>
        <w:rPr>
          <w:b w:val="0"/>
          <w:bCs w:val="0"/>
          <w:rtl/>
        </w:rPr>
        <w:t xml:space="preserve">וְלַאו לְמַגָּנָא אוּקְמוּהָ לְעוֹלָם יִרְאֶה הָאָדָם עַל עַצְמוֹ כְּאִלּוּ כָּל הָעוֹלָם תָּלוּי עָלָיו, </w:t>
      </w:r>
      <w:r>
        <w:rPr>
          <w:rStyle w:val="a7"/>
          <w:b w:val="0"/>
          <w:bCs w:val="0"/>
          <w:rtl/>
        </w:rPr>
        <w:footnoteReference w:id="4706"/>
      </w:r>
      <w:r>
        <w:rPr>
          <w:b w:val="0"/>
          <w:bCs w:val="0"/>
          <w:rtl/>
        </w:rPr>
        <w:t xml:space="preserve">אֲבָל בַּר נַשׁ דְּטָרַח עֲלֵיהּ קוּדְשָׁא בְּרִיךְ הוּא בְגִלְגּוּלָא וְלָא אַצְלַח בְּאַתְרֵיהּ, אַעְקַר לֵיהּ מֵאַתְרֵיהּ וְשַׁוִּי לֵיהּ בַּאֲתַר אָחֳרָא, וְשַׁנִּי לֵיהּ אֲתַר, וְרָזָא דְמִלָּה וְעָפָר אַחֵר יִקַּח וְטָח אֶת הַבָּיִת </w:t>
      </w:r>
      <w:r>
        <w:rPr>
          <w:b w:val="0"/>
          <w:sz w:val="20"/>
          <w:szCs w:val="23"/>
          <w:rtl/>
        </w:rPr>
        <w:t>(ויקרא יד מה)</w:t>
      </w:r>
      <w:r>
        <w:rPr>
          <w:b w:val="0"/>
          <w:bCs w:val="0"/>
          <w:rtl/>
        </w:rPr>
        <w:t xml:space="preserve">, וְדָא שִׁנּוּי מָקוֹם, </w:t>
      </w:r>
      <w:r>
        <w:rPr>
          <w:b w:val="0"/>
          <w:sz w:val="20"/>
          <w:szCs w:val="23"/>
          <w:rtl/>
        </w:rPr>
        <w:t>(כאן חסר והוא בתיקוני זוהר חדש פ"ה ע"א)</w:t>
      </w:r>
      <w:r>
        <w:rPr>
          <w:b w:val="0"/>
          <w:bCs w:val="0"/>
          <w:rtl/>
        </w:rPr>
        <w:t xml:space="preserve"> אִם אַצְלַח מוּטָב, וְאִם לָא אַצְלַח אַעְקַר לֵיהּ מִתַּמָּן וְאַרְכִּיב לֵיהּ בַּאֲתַר אָחֳרָא, וְשַׁנִּי שְׁמֵיהּ וְדָא שִׁנּוּי הַשֵּׁם, אִם אַצְלַח מוּטָב וְאִי לָא אַצְלַח אַעְקַר לֵיהּ מִתַּמָּן, </w:t>
      </w:r>
      <w:r>
        <w:rPr>
          <w:rStyle w:val="a7"/>
          <w:b w:val="0"/>
          <w:bCs w:val="0"/>
          <w:rtl/>
        </w:rPr>
        <w:footnoteReference w:id="4707"/>
      </w:r>
      <w:r>
        <w:rPr>
          <w:b w:val="0"/>
          <w:bCs w:val="0"/>
          <w:rtl/>
        </w:rPr>
        <w:t xml:space="preserve">וְדָא וְנָתַץ אֶת הַבַּיִת אֶת אֲבָנָיו וְאֶת עִצָיו </w:t>
      </w:r>
      <w:r>
        <w:rPr>
          <w:b w:val="0"/>
          <w:sz w:val="20"/>
          <w:szCs w:val="23"/>
          <w:rtl/>
        </w:rPr>
        <w:t>(שם מח ז)</w:t>
      </w:r>
      <w:r>
        <w:rPr>
          <w:b w:val="0"/>
          <w:bCs w:val="0"/>
          <w:rtl/>
        </w:rPr>
        <w:t xml:space="preserve">, וְנָטַע לֵיהּ בַּאֲתַר אָחֳרָא, וְשַׁנִּי עוֹבָדוֹי מִכָּל מַה דַּהֲוָה בְּקַדְמֵיתָא, וּמִכָּל צִיּוּרִין דִּילֵיהּ, מְשַׁנֶּה פָנָיו וַתְּשַׁלְּחֵהוּ </w:t>
      </w:r>
      <w:r>
        <w:rPr>
          <w:b w:val="0"/>
          <w:sz w:val="20"/>
          <w:szCs w:val="23"/>
          <w:rtl/>
        </w:rPr>
        <w:t>(איוב יד כ)</w:t>
      </w:r>
      <w:r>
        <w:rPr>
          <w:b w:val="0"/>
          <w:bCs w:val="0"/>
          <w:rtl/>
        </w:rPr>
        <w:t xml:space="preserve">, וְדָא שִׁנּוּי מַעֲשֶׂה, </w:t>
      </w:r>
      <w:r>
        <w:rPr>
          <w:rStyle w:val="a7"/>
          <w:b w:val="0"/>
          <w:bCs w:val="0"/>
          <w:rtl/>
        </w:rPr>
        <w:footnoteReference w:id="4708"/>
      </w:r>
      <w:r>
        <w:rPr>
          <w:b w:val="0"/>
          <w:bCs w:val="0"/>
          <w:rtl/>
        </w:rPr>
        <w:t xml:space="preserve">קַרְקַע דְּנָטַע לֵיהּ תַּמָּן וְאַצְלַח וּמִתְפַּשֵּׁט עַנְפּוֹי וְשָׁרְשׁוֹי דָּא שְׁכִינְתָּא, וְעַד כַּמָּה, עַד אֶלֶף דּוֹר, כְּמָה דְאַתְּ אָמַר </w:t>
      </w:r>
      <w:r>
        <w:rPr>
          <w:b w:val="0"/>
          <w:sz w:val="20"/>
          <w:szCs w:val="23"/>
          <w:rtl/>
        </w:rPr>
        <w:t>(תהלים קה ח)</w:t>
      </w:r>
      <w:r>
        <w:rPr>
          <w:b w:val="0"/>
          <w:bCs w:val="0"/>
          <w:rtl/>
        </w:rPr>
        <w:t xml:space="preserve"> דָּבָר צִוָּה לְאֶלֶף דּוֹר, וַעֲלֵיהּ אִתְּמַר </w:t>
      </w:r>
      <w:r>
        <w:rPr>
          <w:b w:val="0"/>
          <w:sz w:val="20"/>
          <w:szCs w:val="23"/>
          <w:rtl/>
        </w:rPr>
        <w:t>(שיר ח יב)</w:t>
      </w:r>
      <w:r>
        <w:rPr>
          <w:b w:val="0"/>
          <w:bCs w:val="0"/>
          <w:rtl/>
        </w:rPr>
        <w:t xml:space="preserve"> הָאֶלֶף לְךָ שְׁלֹמֹה, וְאִינוּן אֶלֶף עָלְמִין, דְּנָטַע לֵיהּ עַד דְּאַצְלַח וְאַרְכִּיב לֵיהּ תַּמָּן, וְרָזָא דְמִלָּה וְעֹשֶׂה חֶסֶד לַאֲלָפִים </w:t>
      </w:r>
      <w:r>
        <w:rPr>
          <w:b w:val="0"/>
          <w:sz w:val="20"/>
          <w:szCs w:val="23"/>
          <w:rtl/>
        </w:rPr>
        <w:t>(שמות כ ו)</w:t>
      </w:r>
      <w:r>
        <w:rPr>
          <w:b w:val="0"/>
          <w:bCs w:val="0"/>
          <w:rtl/>
        </w:rPr>
        <w:t xml:space="preserve">, לְמָאן לְאֹהֲבָיו, וּלְשֹׁמְרֵי מִצְוֹתָיו לְאֶלֶף דּוֹר </w:t>
      </w:r>
      <w:r>
        <w:rPr>
          <w:b w:val="0"/>
          <w:sz w:val="20"/>
          <w:szCs w:val="23"/>
          <w:rtl/>
        </w:rPr>
        <w:t>(דברים ו ט)</w:t>
      </w:r>
      <w:r>
        <w:rPr>
          <w:b w:val="0"/>
          <w:bCs w:val="0"/>
          <w:rtl/>
        </w:rPr>
        <w:t>.</w:t>
      </w:r>
    </w:p>
    <w:p w:rsidR="0020255E" w:rsidRDefault="0020255E" w:rsidP="0020255E">
      <w:pPr>
        <w:pStyle w:val="NormalWeb"/>
        <w:rPr>
          <w:b w:val="0"/>
          <w:bCs w:val="0"/>
          <w:rtl/>
        </w:rPr>
      </w:pPr>
      <w:r>
        <w:rPr>
          <w:b w:val="0"/>
          <w:bCs w:val="0"/>
          <w:rtl/>
        </w:rPr>
        <w:t xml:space="preserve">אָמַר לֵיהּ, וּלְרַשִּׁיעַיָּא מַאי, דְּהָא כְּתִיב </w:t>
      </w:r>
      <w:r>
        <w:rPr>
          <w:b w:val="0"/>
          <w:sz w:val="20"/>
          <w:szCs w:val="23"/>
          <w:rtl/>
        </w:rPr>
        <w:t>(קהלת א י)</w:t>
      </w:r>
      <w:r>
        <w:rPr>
          <w:b w:val="0"/>
          <w:bCs w:val="0"/>
          <w:rtl/>
        </w:rPr>
        <w:t xml:space="preserve"> וּבְכֵן רָאִיתִי רְשָׁעִים קְבוּרִים וָבָאוּ וכו', מַה תֵּימָא בְּהוֹן, אָמַר לֵיהּ שְׁמַעְנָא בְהוֹן רָזָא יִפּוֹל מִצִּדְּךָ אֶלֶף וְגוֹמֵר </w:t>
      </w:r>
      <w:r>
        <w:rPr>
          <w:b w:val="0"/>
          <w:sz w:val="20"/>
          <w:szCs w:val="23"/>
          <w:rtl/>
        </w:rPr>
        <w:t>(תהלים צא ז)</w:t>
      </w:r>
      <w:r>
        <w:rPr>
          <w:b w:val="0"/>
          <w:bCs w:val="0"/>
          <w:rtl/>
        </w:rPr>
        <w:t xml:space="preserve">, הָכִי אָמְרוּ לִי בִרְמִיזָא, אָמַר לֵיהּ אִי הָכִי מַאי אֲשֶׁר קוּמְטוּ בְלֹא עִת וְגוֹמֵר </w:t>
      </w:r>
      <w:r>
        <w:rPr>
          <w:b w:val="0"/>
          <w:sz w:val="20"/>
          <w:szCs w:val="23"/>
          <w:rtl/>
        </w:rPr>
        <w:t>(איוב כב טז)</w:t>
      </w:r>
      <w:r>
        <w:rPr>
          <w:b w:val="0"/>
          <w:bCs w:val="0"/>
          <w:rtl/>
        </w:rPr>
        <w:t xml:space="preserve">, אָמַר לֵיהּ אִלֵּין תְּשַׁע מֵאָה וְשִׁבְעִים וְאַרְבָּעָה דָרִין דְּאִתְקַמְטוּ וְאִסְתַּלְקוּ קֳדָם זִמְנַיְיהוּ, וְדָא אִיהוּ אֲשֶׁר קוּמְטוּ בְלֹא עִת, דְּאִסְתַּלְקוּ קֳדָם זִמְנַיְיהוּ, וְזָרִיק לוֹן קוּדְשָׁא בְּרִיךְ הוּא עַל כָּל דָּרָא וְדָרָא, דָא אִיהוּ נָהָר יוּצַק יְסוֹדָם </w:t>
      </w:r>
      <w:r>
        <w:rPr>
          <w:b w:val="0"/>
          <w:sz w:val="20"/>
          <w:szCs w:val="23"/>
          <w:rtl/>
        </w:rPr>
        <w:t>(שם)</w:t>
      </w:r>
      <w:r>
        <w:rPr>
          <w:b w:val="0"/>
          <w:bCs w:val="0"/>
          <w:rtl/>
        </w:rPr>
        <w:t xml:space="preserve">, וְדָא הוּא רָזָא, דְאֵין בֶּן דָּוִד בָּא עַד שֶׁיִּכְלוּ כָּל הַנְּשָׁמוֹת שֶׁבַּגּוּף, וּכְדֵין חַדְתִּין עֲתִידִין לְמֵיתֵי, אַדְהָכִי אִסְתַּלַּק סָבָא, אָמַר רַבִּי שִׁמְעוֹן לְחַבְרַיָּא, חַבְרַיָּיא, </w:t>
      </w:r>
      <w:r>
        <w:rPr>
          <w:rStyle w:val="a7"/>
          <w:b w:val="0"/>
          <w:bCs w:val="0"/>
          <w:rtl/>
        </w:rPr>
        <w:footnoteReference w:id="4709"/>
      </w:r>
      <w:r>
        <w:rPr>
          <w:b w:val="0"/>
          <w:bCs w:val="0"/>
          <w:rtl/>
        </w:rPr>
        <w:t>וַדַּאי הַאי סָבָא דְסָבִין אָדָם עִלָּאָה, זַכָּאָה דָרָא דְהַאי רָזָא אִתְגַּלְיָיא בֵּיהּ.</w:t>
      </w:r>
    </w:p>
    <w:p w:rsidR="0020255E" w:rsidRDefault="0020255E" w:rsidP="0020255E">
      <w:pPr>
        <w:pStyle w:val="NormalWeb"/>
        <w:rPr>
          <w:b w:val="0"/>
          <w:bCs w:val="0"/>
          <w:rtl/>
        </w:rPr>
      </w:pPr>
      <w:r>
        <w:rPr>
          <w:b w:val="0"/>
          <w:sz w:val="20"/>
          <w:szCs w:val="23"/>
          <w:rtl/>
        </w:rPr>
        <w:t>(נוסח אחר וזה לשונו והוא מכתב יד)</w:t>
      </w:r>
    </w:p>
    <w:p w:rsidR="0020255E" w:rsidRDefault="0020255E" w:rsidP="0020255E">
      <w:pPr>
        <w:pStyle w:val="NormalWeb"/>
        <w:rPr>
          <w:rFonts w:cs="FrankRuehl"/>
          <w:b w:val="0"/>
          <w:bCs w:val="0"/>
          <w:rtl/>
        </w:rPr>
      </w:pPr>
      <w:r>
        <w:rPr>
          <w:rFonts w:cs="FrankRuehl"/>
          <w:b w:val="0"/>
          <w:bCs w:val="0"/>
          <w:rtl/>
        </w:rPr>
        <w:t xml:space="preserve">עוּבְדָא הֲוָה, דְחַד בַּר נַשׁ חִגֵּר בְּלָא רַגְלִין, אַשְׁכַּח לִתְרֵין חַכִּימִין דְּלָא הַוִי בְּכָל דָּרָא חַכִּימִין כַּוָּותַיְיהוּ, אַעֲרַע בְּהוּ הַהוּא חִגֵּר, אָמַר לוֹן שְׁלָמָא עֲלַיְיכוּ רַבָּנָן, </w:t>
      </w:r>
      <w:r>
        <w:rPr>
          <w:rFonts w:cs="FrankRuehl"/>
          <w:b w:val="0"/>
          <w:sz w:val="20"/>
          <w:szCs w:val="23"/>
          <w:rtl/>
        </w:rPr>
        <w:t>(שמענא עלייכו דאתון חכימי דרא)</w:t>
      </w:r>
      <w:r>
        <w:rPr>
          <w:rFonts w:cs="FrankRuehl"/>
          <w:b w:val="0"/>
          <w:bCs w:val="0"/>
          <w:rtl/>
        </w:rPr>
        <w:t>, אָנָה אַתּוּן אָזְלִין, אָמְרוּ לֵיהּ לְדוּךְ פְּלַן, וְעֶרֶב שַׁבָּת הֲוָה, אָמַר לוֹן אַף עַל גַּב דְּאַתּוּן רְכִיבִין בִּבְעִירִין דִּרָהֲטֵי סַגִּי וַאֲנָא חִגֵּר בְּלָא רַגְלִין, אִי אַתּוּן בְּעִיתוּ אֲנָא אֲקַדֵּם לְכוּ לְתַקָּנָא לְכוּ שַׁבַּתָּא, תְּוַוהוּ אָמְרוּ לֵיהּ וְהַלֹא אַתְּ חִגֵּר וְאֵיךְ אַתְּ יָכִיל לְאַקְדָּמָא לִבְעִירָן דִּרָהֲטֵי טוּבָא, אָמַר לוֹן שְׁמָא דְמ''ב אַתְוָון וְדָלִיג לוֹן ת''ק פַּרְסֵי בְּרִגְעָא חֲדָא.</w:t>
      </w:r>
    </w:p>
    <w:p w:rsidR="0020255E" w:rsidRDefault="0020255E" w:rsidP="0020255E">
      <w:pPr>
        <w:pStyle w:val="aa"/>
        <w:spacing w:after="40"/>
        <w:rPr>
          <w:rtl/>
        </w:rPr>
      </w:pPr>
      <w:r>
        <w:rPr>
          <w:rtl/>
        </w:rPr>
        <w:t xml:space="preserve">[תיקוני זוהר - בנ"א דף קו ע''ב] </w:t>
      </w:r>
    </w:p>
    <w:p w:rsidR="0020255E" w:rsidRDefault="0020255E" w:rsidP="0020255E">
      <w:pPr>
        <w:pStyle w:val="NormalWeb"/>
        <w:rPr>
          <w:rFonts w:cs="FrankRuehl"/>
          <w:b w:val="0"/>
          <w:bCs w:val="0"/>
          <w:rtl/>
        </w:rPr>
      </w:pPr>
      <w:r>
        <w:rPr>
          <w:rFonts w:cs="FrankRuehl"/>
          <w:b w:val="0"/>
          <w:bCs w:val="0"/>
          <w:rtl/>
        </w:rPr>
        <w:t xml:space="preserve">אַשְׁכְּחוּ גַרְמַיְיהוּ לְפוּם מְעַרְתָּא חֲדָא, וּפְתוֹרָא לִשְׂמָאלָא, בְּכָל מַעֲדַנֵּי עָלְמָא עֲלָהָא, וּמְנַרְתָּא לְדָרוֹם בְּשִׁבְעָה נֵרִין עֲלָהָא, וּמִטָה דְכַסְפָּא וְדַהֲבָא וְאַבְנִין יַקִּירִין לְמַעֲרָב בֵּין צָפוֹן לְדָרוֹם, וְכָרְסַיָּיא לְמִזְרָח, וּתְלַת מְאָה תַלְמִידִין עַל הַהוּא פְתוֹרָא, בָּתַר דְאָכְלוּ כֻלְּהוּ וְאִינוּן חַכִּימֵי עִמְּהוֹן, קָם הַהוּא חִגֵּר וּפָשַׁט גַּרְמֵיהּ מֵהַהוּא גוּפָא בְּלָא רַגְלִין, וְאִתְלַבֵּשׁ בְּגוּפָא דְאַנְפּוֹי זְהִירִין כְּזוֹהֲרָא דְאִתְּמַר בֵּיהּ </w:t>
      </w:r>
      <w:r>
        <w:rPr>
          <w:b w:val="0"/>
          <w:sz w:val="20"/>
          <w:szCs w:val="23"/>
          <w:rtl/>
        </w:rPr>
        <w:t>(דניאל יב ג)</w:t>
      </w:r>
      <w:r>
        <w:rPr>
          <w:rFonts w:cs="FrankRuehl"/>
          <w:b w:val="0"/>
          <w:bCs w:val="0"/>
          <w:rtl/>
        </w:rPr>
        <w:t xml:space="preserve"> וְהַמַּשְׂכִּילִים יַזְהִירוּ וכו', וְאַנְפֵּי תַלְמִידוֹי נְהִירִין כְּכֹכָבִים לְעוֹלָם וָעֶד, וַהֲווֹ פָּתְחִין סִפְרָא דְקֹהֶלֶת, וְקָרְיָין בֵּיהּ </w:t>
      </w:r>
      <w:r>
        <w:rPr>
          <w:b w:val="0"/>
          <w:sz w:val="20"/>
          <w:szCs w:val="23"/>
          <w:rtl/>
        </w:rPr>
        <w:t>(קהלת א ב)</w:t>
      </w:r>
      <w:r>
        <w:rPr>
          <w:rFonts w:cs="FrankRuehl"/>
          <w:b w:val="0"/>
          <w:bCs w:val="0"/>
          <w:rtl/>
        </w:rPr>
        <w:t xml:space="preserve"> הֲבֵל הֲבָלִים אָמַר קֹהֶלֶת כו', וַהֲווֹ חָזְרִין כַּמָּה זִמְנִין, אָמְרוּ לֵיהּ אִינוּן חַכִּימֵי דָרָא וְכִי שְׁלֹמֹה לָא עָבַד קְרָא אָחֳרָא בְּקֹהֶלֶת, עָל לְהוּ הַהוּא דְאִתְחֲזֵי חִגֵּר בְּאָרְחָא, לְשִׁבְעָה הֵיכָלִין מִכַּסְפָּא וְדַהֲבָא וְאַבְנִין יַקִּירִין, וּבְהֵיכָלָא שִׁבְעָה כָּרְסַיָּין דְּאַרְבַּע חֵיוָון, וְיוֹנָה תַמָּן דְּכַסְפָּא וַעֲטָרָה דְּדַהֲבָא עַל רֵישָׁה, וְכָתוּב בָּהּ כָּל מָאן דְּלָא יָדַע בְּאִלֵּין הֲבָלִים עֲלֵיהּ כְּתִיב (במדבר א נא) וְהַזָּר הַקָּרֵב יוּמָת, אִינוּן חַכִּימֵי דָרָא מִיָּד דְּחָזוּ הָכִי דַהֲוָה כְתִיב בְּהַהִיא עֲטָרָה חָזְרוּ לַאֲחוֹרָא. אָמַר לוֹן הַהוּא דְאִתְחֲזֵי עֲלַיְיהוּ כְּחִגֵּר, וְכִי עֲלַיְיכוּ אִתְּמַר דְּאַתּוּן חַכִּימֵי דָרָא, </w:t>
      </w:r>
      <w:r>
        <w:rPr>
          <w:b w:val="0"/>
          <w:sz w:val="20"/>
          <w:szCs w:val="23"/>
          <w:rtl/>
        </w:rPr>
        <w:t xml:space="preserve">(בנ"א דף קו ע''ב) </w:t>
      </w:r>
      <w:r>
        <w:rPr>
          <w:rStyle w:val="a7"/>
          <w:b w:val="0"/>
          <w:bCs w:val="0"/>
          <w:rtl/>
        </w:rPr>
        <w:footnoteReference w:id="4710"/>
      </w:r>
      <w:r>
        <w:rPr>
          <w:rFonts w:cs="FrankRuehl"/>
          <w:b w:val="0"/>
          <w:bCs w:val="0"/>
          <w:rtl/>
        </w:rPr>
        <w:t xml:space="preserve">לֵית אַתּוּן אֶלָּא טִפְּשֵׁי דָרָא, וְלָא חֲזֵיתוּן בְּכָל לְמוֹדַיְיכוּ כִּי בִי חָשַׁק </w:t>
      </w:r>
      <w:r>
        <w:rPr>
          <w:b w:val="0"/>
          <w:sz w:val="20"/>
          <w:szCs w:val="23"/>
          <w:rtl/>
        </w:rPr>
        <w:t>(תהלים צא יד)</w:t>
      </w:r>
      <w:r>
        <w:rPr>
          <w:rFonts w:cs="FrankRuehl"/>
          <w:b w:val="0"/>
          <w:bCs w:val="0"/>
          <w:rtl/>
        </w:rPr>
        <w:t xml:space="preserve"> עַד אוֹרֶךְ יָמִים אַשְׂבִּיעֵהוּ לְעָלְמָא דְכֹלָּא אֲרִיךְ, אִלֵּין הֲבָלִים דְּקֹהֶלֶת אִינוּן בְּרָזָא דְשֶׁבַע שְׁמָהָן, דִּבְהוּ מ''ב אַתְוָון, לָקֳבֵל שִׁבְעָה יוֹמֵי בְרֵאשִׁית דְּאִית בְּהוּ עֲשַׂר אֲמִירָן וְל''ב אלהי''ם וְאִינוּן מ''ב, </w:t>
      </w:r>
      <w:r>
        <w:rPr>
          <w:rStyle w:val="a7"/>
          <w:b w:val="0"/>
          <w:bCs w:val="0"/>
          <w:rtl/>
        </w:rPr>
        <w:footnoteReference w:id="4711"/>
      </w:r>
      <w:r>
        <w:rPr>
          <w:rFonts w:cs="FrankRuehl"/>
          <w:b w:val="0"/>
          <w:bCs w:val="0"/>
          <w:rtl/>
        </w:rPr>
        <w:t xml:space="preserve">וַעֲלַיְיהוּ לֵב דְּאִתְּמַר בְּהוּ אלהי הָאלהי''ם, וְהַיְינוּ </w:t>
      </w:r>
      <w:r>
        <w:rPr>
          <w:b w:val="0"/>
          <w:sz w:val="20"/>
          <w:szCs w:val="23"/>
          <w:rtl/>
        </w:rPr>
        <w:t>(קהלת ה ז)</w:t>
      </w:r>
      <w:r>
        <w:rPr>
          <w:rFonts w:cs="FrankRuehl"/>
          <w:b w:val="0"/>
          <w:bCs w:val="0"/>
          <w:rtl/>
        </w:rPr>
        <w:t xml:space="preserve"> וּגְבוֹהִים עֲלֵיהֶם, אִלֵּין שֶׁבַע תֵּיבִין אבגית''ץ, עֲלַיְיהוּ אִתְּמַר </w:t>
      </w:r>
      <w:r>
        <w:rPr>
          <w:b w:val="0"/>
          <w:sz w:val="20"/>
          <w:szCs w:val="23"/>
          <w:rtl/>
        </w:rPr>
        <w:t>(ישעיה ו ב)</w:t>
      </w:r>
      <w:r>
        <w:rPr>
          <w:rFonts w:cs="FrankRuehl"/>
          <w:b w:val="0"/>
          <w:bCs w:val="0"/>
          <w:rtl/>
        </w:rPr>
        <w:t xml:space="preserve"> שְׂרָפִים וְגוֹמֵר.</w:t>
      </w:r>
      <w:r>
        <w:rPr>
          <w:b w:val="0"/>
          <w:bCs w:val="0"/>
          <w:rtl/>
        </w:rPr>
        <w:t xml:space="preserve"> </w:t>
      </w:r>
      <w:r>
        <w:rPr>
          <w:rFonts w:cs="FrankRuehl"/>
          <w:b w:val="0"/>
          <w:bCs w:val="0"/>
          <w:rtl/>
        </w:rPr>
        <w:t xml:space="preserve">וְהַאי שְׁמָא אִיהוּ סְגוּלְתָּא דִילֵיהּ לְכַסָּאָה דְנִשְׁמָתָא כַּד סְלִיקַת לְעֵילָא בְּכָל לֵילְיָא, לְאִסְהַדָּא עַל עוֹבְדִין טָבִין דְּבַר נַשׁ, מִמַּלְאֲכֵי חַבָּלָה וּמִכָּל מַזִּיקִין וְרוּחִין וְלִילִין וְשֵׁדִין, וּבְהוֹן פָּרְחַת לְעֵילָא, </w:t>
      </w:r>
      <w:r>
        <w:rPr>
          <w:rStyle w:val="a7"/>
          <w:b w:val="0"/>
          <w:bCs w:val="0"/>
          <w:rtl/>
        </w:rPr>
        <w:footnoteReference w:id="4712"/>
      </w:r>
      <w:r>
        <w:rPr>
          <w:rFonts w:cs="FrankRuehl"/>
          <w:b w:val="0"/>
          <w:bCs w:val="0"/>
          <w:rtl/>
        </w:rPr>
        <w:t>בִּתְרֵין אַתְוָון מִכָּל שֵׁם תְּכַסֶּה אַנְפָּהָא מִנְּהוֹן, וּבִתְרֵין אַתְוָון תְּכַסֶּה רַגְלָהָא, וּבִתְרֵין אַתְוָון פָּרְחַת לְעֵילָא, וְאוּף הָכִי לְרוּחָא, וְאוּף הָכִי לְנַפְשָׁא, וְאִית שֵׁם בֵּן מ''ב בְּצוּרַת חוֹתָמָא דְשַׁעֲוָה נִכְתַּב, וְאִית שֵׁם מ''ב בְּצִיּוּר דִּיּוֹקְנָא דְמַלְכָּא, חָקִיק עַל חוֹתָמָא, וְאִית שֵׁם מ''ב דְּאִיהוּ דִיּוֹקְנֵיהּ מַמָּשׁ, שֵׁם מ''ב דְּאִיהוּ דִיּוֹקְנֵיהּ אִיהוּ יהו''ה, יו''ד ה''א וא''ו ה''א, יו''ד וא''ו דל''ת, ה''א אל''ף, וא''ו אל''ף וא''ו, ה''א אל''ף, שֵׁם מ''ב דְּאִיהוּ חוֹתָמָא, אִיהוּ אהי''ה אֲשֶׁר אהי''ה, צִיּוּר מ''ב בְּשַׁעֲוָה דָא אבגית''ץ.</w:t>
      </w:r>
    </w:p>
    <w:p w:rsidR="0020255E" w:rsidRDefault="0020255E" w:rsidP="0020255E">
      <w:pPr>
        <w:pStyle w:val="NormalWeb"/>
        <w:rPr>
          <w:rFonts w:cs="FrankRuehl"/>
          <w:b w:val="0"/>
          <w:bCs w:val="0"/>
          <w:rtl/>
        </w:rPr>
      </w:pPr>
      <w:r>
        <w:rPr>
          <w:rFonts w:cs="FrankRuehl"/>
          <w:b w:val="0"/>
          <w:bCs w:val="0"/>
          <w:rtl/>
        </w:rPr>
        <w:t xml:space="preserve">וְרַשִּׁיעַיָּא נִשְׁמָתְהוֹן דְּשֵׁדִין וּמִמַּזִּיקִין וְלָא פוֹעֲלִין בְּהוֹן אֶלָּא כִישׁוּף וְעוֹבְדֵי שֵׁדִין כַּוָּתַיְיהוּ, בְּגִין דְּרַשִּׁיעַיָּא כָּל שְׁמָהָן וְכָל הֲוַיָּי''ן דְּקוּדְשָׁא בְּרִיךְ הוּא וְכָל מַלְאָכִים שֹׂנְאִין לוֹן, וּבְגִין כַּךְ לָא מוֹעִיל לָא קָמִיעַ וְלָא שְׁמָהָן קַדִּישִׁין וְלָא מַלְאָכַיָּא, דְלָא תָּפִיס אֶלָּא מִין בְּמִינוֹ, וּבְגִין דָּא </w:t>
      </w:r>
      <w:r>
        <w:rPr>
          <w:b w:val="0"/>
          <w:sz w:val="20"/>
          <w:szCs w:val="23"/>
          <w:rtl/>
        </w:rPr>
        <w:t>(דברים כב ט)</w:t>
      </w:r>
      <w:r>
        <w:rPr>
          <w:rFonts w:cs="FrankRuehl"/>
          <w:b w:val="0"/>
          <w:bCs w:val="0"/>
          <w:rtl/>
        </w:rPr>
        <w:t xml:space="preserve"> לֹא תִזְרַע כַּרְמְךָ כִּלְאָיִם, דְּאִתְּמַר בְּהוֹן </w:t>
      </w:r>
      <w:r>
        <w:rPr>
          <w:b w:val="0"/>
          <w:sz w:val="20"/>
          <w:szCs w:val="23"/>
          <w:rtl/>
        </w:rPr>
        <w:t>(ישעיה ה ז)</w:t>
      </w:r>
      <w:r>
        <w:rPr>
          <w:rFonts w:cs="FrankRuehl"/>
          <w:b w:val="0"/>
          <w:bCs w:val="0"/>
          <w:rtl/>
        </w:rPr>
        <w:t xml:space="preserve"> </w:t>
      </w:r>
      <w:r>
        <w:rPr>
          <w:rStyle w:val="a7"/>
          <w:b w:val="0"/>
          <w:bCs w:val="0"/>
          <w:rtl/>
        </w:rPr>
        <w:footnoteReference w:id="4713"/>
      </w:r>
      <w:r>
        <w:rPr>
          <w:rFonts w:cs="FrankRuehl"/>
          <w:b w:val="0"/>
          <w:bCs w:val="0"/>
          <w:rtl/>
        </w:rPr>
        <w:t xml:space="preserve">כִּי כֶרֶם יהו''ה צְבָאוֹ''ת וְגוֹמֵר, צְבָאוֹ''ת </w:t>
      </w:r>
      <w:r>
        <w:rPr>
          <w:rStyle w:val="a7"/>
          <w:b w:val="0"/>
          <w:bCs w:val="0"/>
          <w:rtl/>
        </w:rPr>
        <w:footnoteReference w:id="4714"/>
      </w:r>
      <w:r>
        <w:rPr>
          <w:rFonts w:cs="FrankRuehl"/>
          <w:b w:val="0"/>
          <w:bCs w:val="0"/>
          <w:rtl/>
        </w:rPr>
        <w:t xml:space="preserve">דִילֵיהּ דְיהו''ה, וְעֲלַיְיהוּ אִתְּמַר </w:t>
      </w:r>
      <w:r>
        <w:rPr>
          <w:b w:val="0"/>
          <w:sz w:val="20"/>
          <w:szCs w:val="23"/>
          <w:rtl/>
        </w:rPr>
        <w:t>(דברים י טו)</w:t>
      </w:r>
      <w:r>
        <w:rPr>
          <w:rFonts w:cs="FrankRuehl"/>
          <w:b w:val="0"/>
          <w:bCs w:val="0"/>
          <w:rtl/>
        </w:rPr>
        <w:t xml:space="preserve"> רַק בַּאֲבוֹתֶיךָ חָשַׁ''ק, חוֹלֵ''ם שְׁבָ''א קָמֵ''ץ, וְאִינוּן זְרַע אַבְרָהָם יִצְחָק וְיַעֲקֹב, דַּרְגָּא דִלְהוֹן חֶסֶד כַּהֲנָא רַבָּא, גְבוּרָה לֵוִי, יִשְׂרָאֵל עַמּוּדָא דְאֶמְצָעִיתָא, בְּגִין דְּחוֹלֵ''ם כֶּתֶר עַל תִּפְאֶרֶת, קָמֵץ חָכְמָה עַל חֶסֶד, וּבֵיהּ הָרוֹצֶה לְהַחְכִּים יַדְרִים, </w:t>
      </w:r>
      <w:r>
        <w:rPr>
          <w:rStyle w:val="a7"/>
          <w:b w:val="0"/>
          <w:bCs w:val="0"/>
          <w:rtl/>
        </w:rPr>
        <w:footnoteReference w:id="4715"/>
      </w:r>
      <w:r>
        <w:rPr>
          <w:rFonts w:cs="FrankRuehl"/>
          <w:b w:val="0"/>
          <w:bCs w:val="0"/>
          <w:rtl/>
        </w:rPr>
        <w:t>וּבְחָכְמָה אַשְׁרֵי הַמְחַכֶּה לִתְחִיַּית הַמֵּתִים, חָכְמָה מְחַכֶּ''ה, קָמוּ כֻלְּהוּ וְאִשְׁתַּטְחוּ קַמֵּיהּ וכו'.</w:t>
      </w:r>
    </w:p>
    <w:p w:rsidR="0020255E" w:rsidRDefault="0020255E" w:rsidP="0020255E">
      <w:pPr>
        <w:pStyle w:val="NormalWeb"/>
        <w:rPr>
          <w:b w:val="0"/>
          <w:bCs w:val="0"/>
          <w:rtl/>
        </w:rPr>
      </w:pPr>
      <w:r>
        <w:rPr>
          <w:b w:val="0"/>
          <w:bCs w:val="0"/>
          <w:rtl/>
        </w:rPr>
        <w:t xml:space="preserve">פָּתַח כְּמִלְּקַדְמִין וְאָמַר, </w:t>
      </w:r>
      <w:r>
        <w:rPr>
          <w:b w:val="0"/>
          <w:sz w:val="20"/>
          <w:szCs w:val="23"/>
          <w:rtl/>
        </w:rPr>
        <w:t>(קהלת ח יד)</w:t>
      </w:r>
      <w:r>
        <w:rPr>
          <w:b w:val="0"/>
          <w:bCs w:val="0"/>
          <w:rtl/>
        </w:rPr>
        <w:t xml:space="preserve"> יֵשׁ הֶבֶל אֲשֶׁר נַעֲשָׂה עַל הָאָרֶץ וכו', תָּא חֲזִי שְׁמַענָא דְעוּבְדָא הֲוָה בְּחַד בַּר נַשׁ מֵאִינוּן בַּעֲלֵי קַבִּין, דַּהֲוָה אָזִיל בְּאָרְחָא, אַעְרַע בִּתְּרֵין חַכִּימִין מָארֵי דְּדָרָא מָארֵי דְחָכְמָתָא דְאוֹרַיְיתָא, אָמַר לוֹן שְׁלָמָא עֲלַיְיכוּ רַבָּנָן, שְׁמַעְנָא עֲלַיְיכוּ דְאַתּוּן חַכִּימֵי דָרָא, לְאָן אֲתַר אֲזֵילְתּוּן, אָמְרוּ לֵיהּ לְדוּךְ פְּלַן וְעֶרֶב שַׁבָּת הֲוָה, אָמַר לוֹן אֲנָא אֲזֵילְנָא תַמָּן </w:t>
      </w:r>
      <w:r>
        <w:rPr>
          <w:b w:val="0"/>
          <w:sz w:val="20"/>
          <w:szCs w:val="23"/>
          <w:rtl/>
        </w:rPr>
        <w:t>(איזיל)</w:t>
      </w:r>
      <w:r>
        <w:rPr>
          <w:b w:val="0"/>
          <w:bCs w:val="0"/>
          <w:rtl/>
        </w:rPr>
        <w:t xml:space="preserve"> וְאַתְקֵין לְכוּ אֲתַר בֵּי מוֹתְבַיְכוּ, אִי אַתּוּן בְּעִיתוּן, אָמְרוּ לֵיהּ וְהָא אֲנַן בְּסוּסְוָון וְאַנְתְּ בְּלָא רַגְלִין, אֵיךְ יִתָּכֵן לְמֶהֱוֵי הַאי, אָמַר לוֹן אַף עַל גַּב דְּאַתּוּן רְכִיבִין בִּבְעִירֵי דִרְהִיטֵי סַגִּי, וַאֲנָא חִגֵּר בְּלָא רַגְלִין, אִי אַתּוּן בְּעִיתוּ אֲנָא אֲקַדֵּם לְתַקָּנָא לְכוּ שַׁבַּתָּא, תְּוָוהוּ, אַדְהָכִי אַחְזַרוּ רֵישַׁיְיהוּ לְגַבֵּיהּ וְחָמוּ לֵיהּ דַּהֲוָה רְהִיט כְּשַׁרְבִיטָא דְכֹכָבָא, עָבַד לוֹן קְפִיצָה וְאַשְׁכְּחוּ גַרְמַיְיהוּ לְפוּם מְעַרְתָּא כְּהֶרֶף עַיִן </w:t>
      </w:r>
      <w:r>
        <w:rPr>
          <w:b w:val="0"/>
          <w:sz w:val="20"/>
          <w:szCs w:val="23"/>
          <w:rtl/>
        </w:rPr>
        <w:t>(ס''א, אמר לון שמא דמ''ב אתוון, דליג לון חמש מאה פרסי ברגעא חדא, אשכחו כו')</w:t>
      </w:r>
      <w:r>
        <w:rPr>
          <w:b w:val="0"/>
          <w:bCs w:val="0"/>
          <w:rtl/>
        </w:rPr>
        <w:t>.</w:t>
      </w:r>
    </w:p>
    <w:p w:rsidR="0020255E" w:rsidRDefault="0020255E" w:rsidP="0020255E">
      <w:pPr>
        <w:pStyle w:val="NormalWeb"/>
        <w:rPr>
          <w:b w:val="0"/>
          <w:bCs w:val="0"/>
          <w:rtl/>
        </w:rPr>
      </w:pPr>
      <w:r>
        <w:rPr>
          <w:b w:val="0"/>
          <w:bCs w:val="0"/>
          <w:rtl/>
        </w:rPr>
        <w:t>אָמַר לוֹן רַבָּנָן עוּלוּ, עָאלוּ אַבַּתְרֵיהּ מְעַרְתָּא גוֹ מְעַרְתָּא, עַד דְּעָאלוּ לְחַד פַּרְדֵּסָא</w:t>
      </w:r>
    </w:p>
    <w:p w:rsidR="0020255E" w:rsidRDefault="0020255E" w:rsidP="0020255E">
      <w:pPr>
        <w:pStyle w:val="aa"/>
        <w:spacing w:after="40"/>
        <w:rPr>
          <w:rtl/>
        </w:rPr>
      </w:pPr>
      <w:r>
        <w:rPr>
          <w:rtl/>
        </w:rPr>
        <w:t xml:space="preserve">[תיקוני זוהר - דף קו ע''ב] </w:t>
      </w:r>
    </w:p>
    <w:p w:rsidR="0020255E" w:rsidRDefault="0020255E" w:rsidP="0020255E">
      <w:pPr>
        <w:pStyle w:val="NormalWeb"/>
        <w:rPr>
          <w:b w:val="0"/>
          <w:bCs w:val="0"/>
          <w:rtl/>
        </w:rPr>
      </w:pPr>
      <w:r>
        <w:rPr>
          <w:b w:val="0"/>
          <w:bCs w:val="0"/>
          <w:rtl/>
        </w:rPr>
        <w:t xml:space="preserve">וַהֲוָה תַּמָּן הַהוּא בַּעַל קַבִּין מִתְפַּשֵּׁט מֵהַהוּא גוּפָא, וַהֲוָה מִתְלַבֵּשׁ בְּגוּפָא אָחֳרָא דְּאַנְפּוֹי הֲווֹ נַהֲרִין כְּשִׁמְשָׁא, וַהֲוָה יָתִיב עַל כָּרְסַיָּיא דְמַלְכוּתָא, וּתְלַת מְאָה תַלְמִידוֹי </w:t>
      </w:r>
      <w:r>
        <w:rPr>
          <w:b w:val="0"/>
          <w:sz w:val="20"/>
          <w:szCs w:val="23"/>
          <w:rtl/>
        </w:rPr>
        <w:t xml:space="preserve">(דף קו ע''ב) </w:t>
      </w:r>
      <w:r>
        <w:rPr>
          <w:b w:val="0"/>
          <w:bCs w:val="0"/>
          <w:rtl/>
        </w:rPr>
        <w:t xml:space="preserve">תְּחוֹת כָּרְסַיָּיא לְרַגְלוֹי, וַהֲווֹ קָרָאן </w:t>
      </w:r>
      <w:r>
        <w:rPr>
          <w:b w:val="0"/>
          <w:sz w:val="20"/>
          <w:szCs w:val="23"/>
          <w:rtl/>
        </w:rPr>
        <w:t>(קהלת א ב)</w:t>
      </w:r>
      <w:r>
        <w:rPr>
          <w:b w:val="0"/>
          <w:bCs w:val="0"/>
          <w:rtl/>
        </w:rPr>
        <w:t xml:space="preserve"> הֲבֵל הֲבָלִים אָמַר קֹהֶלֶת, וַהֲווֹ קָרָאן הַאי קְרָא זִמְנִין בְּלָא חוּשְׁבָּנָא, אָמְרוּ לוֹן אִינוּן חַכִּימִין מָארֵי דְּדָרָא, מַאי הַאי, וְכִי לֵית קְרָא אָחֳרָא בְּסֵפֶר קֹהֶלֶת, מִיָּד קָם הַהוּא מָארֵי קַבִּין דַּהֲוָה יָתִיב עַל כָּרְסַיָּיא, וַאֲחִיד בִּידֵיהוֹן, וְאַעִיל לוֹן </w:t>
      </w:r>
      <w:r>
        <w:rPr>
          <w:rStyle w:val="a7"/>
          <w:b w:val="0"/>
          <w:bCs w:val="0"/>
          <w:rtl/>
        </w:rPr>
        <w:footnoteReference w:id="4716"/>
      </w:r>
      <w:r>
        <w:rPr>
          <w:b w:val="0"/>
          <w:bCs w:val="0"/>
          <w:rtl/>
        </w:rPr>
        <w:t xml:space="preserve">לְשִׁבְעָה הֵיכָלִין, וּבְכָל הֵיכָלָא וְהֵיכָלָא הֲוָה כְּתִיב הֲבֵל הֲבָלִים, וּבְהֵיכָלָא שְׁבִיעָאָה הֲוָה </w:t>
      </w:r>
      <w:r>
        <w:rPr>
          <w:rStyle w:val="a7"/>
          <w:b w:val="0"/>
          <w:bCs w:val="0"/>
          <w:rtl/>
        </w:rPr>
        <w:footnoteReference w:id="4717"/>
      </w:r>
      <w:r>
        <w:rPr>
          <w:b w:val="0"/>
          <w:bCs w:val="0"/>
          <w:rtl/>
        </w:rPr>
        <w:t xml:space="preserve">נִשְׁרָא וַעֲטָרָה בְּפוּמָהָא, וּדְמוּת יוֹנָה בְּהַהִיא עֲטָרָה, וַהֲוָה כְּתִיב בַּעֲטָרָה כָּל מָאן דְּלָא יָדַע בְּאִלֵּין הֲבָלִים וּבְרָזָא דִלְהוֹן, עֲלֵיהּ אִתְּמַר </w:t>
      </w:r>
      <w:r>
        <w:rPr>
          <w:b w:val="0"/>
          <w:sz w:val="20"/>
          <w:szCs w:val="23"/>
          <w:rtl/>
        </w:rPr>
        <w:t>(במדבר א נא)</w:t>
      </w:r>
      <w:r>
        <w:rPr>
          <w:b w:val="0"/>
          <w:bCs w:val="0"/>
          <w:rtl/>
        </w:rPr>
        <w:t xml:space="preserve"> וְהַזָּר הַקָּרֵב יוּמָת, מִיָּד אִתְחַזְרוּ אִינוּן לַאֲחוֹרָא, אָמַר לוֹן הַהוּא בַּעַל קַבִּין אַתּוּן חַכִּימִין מָארֵי דְּדָרָא, דַאֲזָלִית אַבַּתְרַיְיכוּ עַד כְּעַן לְמִנְדַּע יָת חָכְמָתַיְיכוּ, וּבְוַדַּאי לַאו אַתּוּן חַכִּימִין, דְּוַדַּאי בְּהַאי קְרָא עֲבִידְנָא כָּל בִּנְיָנָא דָא, </w:t>
      </w:r>
      <w:r>
        <w:rPr>
          <w:rStyle w:val="a7"/>
          <w:b w:val="0"/>
          <w:bCs w:val="0"/>
          <w:rtl/>
        </w:rPr>
        <w:footnoteReference w:id="4718"/>
      </w:r>
      <w:r>
        <w:rPr>
          <w:b w:val="0"/>
          <w:bCs w:val="0"/>
          <w:rtl/>
        </w:rPr>
        <w:t xml:space="preserve">וּבֵיהּ הֲוִינָא טָס עָלְמָא בְטִיסָה חֲדָא, וּבְזִמְנָא בִתְּרֵין, וּבְזִמְנָא בִתְּלַת, וּבְזִמְנָא בְאַרְבַּע, וּבְזִמְנָא בְחַמְשָׁא, וּבְזִמְנָא בְשִׁית, וּבְזִמְנָא בְשֶׁבַע, </w:t>
      </w:r>
      <w:r>
        <w:rPr>
          <w:rStyle w:val="a7"/>
          <w:b w:val="0"/>
          <w:bCs w:val="0"/>
          <w:rtl/>
        </w:rPr>
        <w:footnoteReference w:id="4719"/>
      </w:r>
      <w:r>
        <w:rPr>
          <w:b w:val="0"/>
          <w:bCs w:val="0"/>
          <w:rtl/>
        </w:rPr>
        <w:t xml:space="preserve">וַאֲנַן בְּהַאי אַרְעָא כֻלְּהוּ אַזְלֵינַן בַּעֲלֵי קַבִּין, </w:t>
      </w:r>
      <w:r>
        <w:rPr>
          <w:rStyle w:val="a7"/>
          <w:b w:val="0"/>
          <w:bCs w:val="0"/>
          <w:rtl/>
        </w:rPr>
        <w:footnoteReference w:id="4720"/>
      </w:r>
      <w:r>
        <w:rPr>
          <w:b w:val="0"/>
          <w:bCs w:val="0"/>
          <w:rtl/>
        </w:rPr>
        <w:t>וְהַאי קְרָא יְרִיתְנָא מֵאַבָּא, וְאַבָּא מֵאֲבוֹי, עַד דָּרָא כֻלְּהוּ, יְהַב לוֹן מָמוֹנָא סַגִּיא וְשַׁוִּי לוֹן בְּאַתְרַיְיהוּ כְּהֶרֶף עַיִן, וּבְגִין דָּא יֶשׁ הֶבֶל אֲשֶׁר נַעֲשָׂה עַל הָאָרֶץ.</w:t>
      </w:r>
    </w:p>
    <w:p w:rsidR="0020255E" w:rsidRDefault="0020255E" w:rsidP="0020255E">
      <w:pPr>
        <w:pStyle w:val="NormalWeb"/>
        <w:rPr>
          <w:b w:val="0"/>
          <w:bCs w:val="0"/>
          <w:rtl/>
        </w:rPr>
      </w:pPr>
      <w:r>
        <w:rPr>
          <w:b w:val="0"/>
          <w:bCs w:val="0"/>
          <w:rtl/>
        </w:rPr>
        <w:t xml:space="preserve">אָמְרוּ לֵיהּ חַבְרַיָּיא רַבִּי אֵימָא לָן שׁוּם רְמִיזָא בְּהַאי קְרָא, דְלָא אִתְכַּסְיָּא חָכְמָתָא דָא מִן חַבְרַיָּיא, אָמַר לוֹן רַבָּנָן בְּוַדַּאי רָזָא עִלָּאָה אִית תַּמָּן, אֲבָל אֵימָא לְכוּ בִרְמִיזָא, שֶׁבַע הֲבָלִים אִינוּן, </w:t>
      </w:r>
      <w:r>
        <w:rPr>
          <w:rtl/>
        </w:rPr>
        <w:t>(וְזַכָּאָה מָאן דְּלָא נָטִיל לְאַגְרָיְיהוּ בְּהַאי עָלְמָא,)</w:t>
      </w:r>
      <w:r>
        <w:rPr>
          <w:b w:val="0"/>
          <w:bCs w:val="0"/>
          <w:rtl/>
        </w:rPr>
        <w:t xml:space="preserve"> וְאִינוּן דִּכְלִילָן בְּבַת שֶׁבַע, וְאִינוּן בְּהַאי קְרָא, הֲבֵל חַד, הֲבָלִים תְּרֵין הָא תְּלַת, הֲבֵל הֲבָלִים תְּלַת הֲרֵי שִׁית, הַכֹּל הָבֶל הָא שֶׁבַע, וּלְקִבְלַיְיהוּ שֶׁבַע שְׁמָהָן אבגית''ץ וכו', אֵלּוּ שֶׁבַע הֲבָלִים אִינוּן כְּפוּלִים, לָקֳבֵל שֶׁבַע שְׁרַגִּין דִּמְנַרְתָּא, כְּפוּלִים, דְּאִתְּמַר בְּהוֹן </w:t>
      </w:r>
      <w:r>
        <w:rPr>
          <w:b w:val="0"/>
          <w:sz w:val="20"/>
          <w:szCs w:val="23"/>
          <w:rtl/>
        </w:rPr>
        <w:t>(זכריה ד ב)</w:t>
      </w:r>
      <w:r>
        <w:rPr>
          <w:b w:val="0"/>
          <w:szCs w:val="23"/>
          <w:rtl/>
        </w:rPr>
        <w:t xml:space="preserve"> </w:t>
      </w:r>
      <w:r>
        <w:rPr>
          <w:rStyle w:val="Char"/>
          <w:rtl/>
        </w:rPr>
        <w:t>שִׁבְעָה וְשִׁבְעָה מוּצָקוֹת,</w:t>
      </w:r>
      <w:r>
        <w:rPr>
          <w:b w:val="0"/>
          <w:szCs w:val="23"/>
          <w:rtl/>
        </w:rPr>
        <w:t xml:space="preserve"> (</w:t>
      </w:r>
      <w:r>
        <w:rPr>
          <w:rStyle w:val="a7"/>
          <w:rtl/>
        </w:rPr>
        <w:footnoteReference w:id="4721"/>
      </w:r>
      <w:r>
        <w:rPr>
          <w:rtl/>
        </w:rPr>
        <w:t xml:space="preserve">וְאִינוּן שֶׁבַע הֲוַיּוֹת, </w:t>
      </w:r>
      <w:r>
        <w:rPr>
          <w:rStyle w:val="a7"/>
          <w:rtl/>
        </w:rPr>
        <w:footnoteReference w:id="4722"/>
      </w:r>
      <w:r>
        <w:rPr>
          <w:rtl/>
        </w:rPr>
        <w:t xml:space="preserve">דְאִתְּמַר בְּהוֹן בַּאֲמִירָה יְהִי אוֹר, וַהֲוִי מִיָּד, וּלְבוּשִׁין דְּאִינוּן שֶׁבַע הֲוַיּוֹת אִינוּן שֶׁבַע שְׁמָהָן אבגית''ץ וְחַבְרוֹי, </w:t>
      </w:r>
      <w:r>
        <w:rPr>
          <w:rStyle w:val="a7"/>
          <w:rtl/>
        </w:rPr>
        <w:footnoteReference w:id="4723"/>
      </w:r>
      <w:r>
        <w:rPr>
          <w:rtl/>
        </w:rPr>
        <w:t xml:space="preserve">הֶבֶל אִיהוּ לַהַב, הֲבָלִים לֶהָבִים, וַעֲלַיְיהוּ אִתְּמַר </w:t>
      </w:r>
      <w:r>
        <w:rPr>
          <w:sz w:val="20"/>
          <w:szCs w:val="23"/>
          <w:rtl/>
        </w:rPr>
        <w:t>(תהלים כט ז)</w:t>
      </w:r>
      <w:r>
        <w:rPr>
          <w:rtl/>
        </w:rPr>
        <w:t xml:space="preserve"> קוֹל יהו''ה חוֹצֵב לַהֲבוֹת אֵשׁ, וּמָאן דְּיָדַע בְּאִלֵּין הֲבָלִים, כַּד אַפִּיק לוֹן מִפּוּמוֹי וּמִלִּבֵּיהּ </w:t>
      </w:r>
      <w:r>
        <w:rPr>
          <w:rStyle w:val="a7"/>
          <w:rtl/>
        </w:rPr>
        <w:footnoteReference w:id="4724"/>
      </w:r>
      <w:r>
        <w:rPr>
          <w:rtl/>
        </w:rPr>
        <w:t xml:space="preserve">יָדַע לְכַוְונָא בִשְׁכִינְתָּא עִלָּאָה, דְכָל הֲבָלִים מִינָה תַּלְיָין, וּמִתְלַבְּשָׁן בִּשְׁכִינְתָּא תַּתָּאָה, </w:t>
      </w:r>
      <w:r>
        <w:rPr>
          <w:rStyle w:val="a7"/>
          <w:rtl/>
        </w:rPr>
        <w:footnoteReference w:id="4725"/>
      </w:r>
      <w:r>
        <w:rPr>
          <w:rtl/>
        </w:rPr>
        <w:t xml:space="preserve">דִכְלִיל שֶׁבַע שְׁמָהָן אבגית''ץ וְחַבְרוֹי, דְּאִינוּן אַתְוָון דִּבְּהוֹן אִתְבְּרִיאוּ שְׁמַיָּא וְאַרְעָא, דְּאִלֵּין תַּלְיָין בַּאֲמִירָה וְאִלֵּין בַּעֲשִׂיָּה, בְּרָזָא דְאוֹמֵר וְעוֹשֶׂה מִיָּד, וְאִלֵּין שֶׁבַע הֲבָלִים אִינוּן כְּפוּלִים, לָקֳבֵל שֶׁבַע שְׁרַגִּין דִּמְנַרְתָּא, כְּפוּלִים, </w:t>
      </w:r>
      <w:r>
        <w:rPr>
          <w:rStyle w:val="a7"/>
          <w:rtl/>
        </w:rPr>
        <w:footnoteReference w:id="4726"/>
      </w:r>
      <w:r>
        <w:rPr>
          <w:rtl/>
        </w:rPr>
        <w:t xml:space="preserve">דְּאִתְּמַר בְּהוּ </w:t>
      </w:r>
      <w:r>
        <w:rPr>
          <w:sz w:val="20"/>
          <w:szCs w:val="23"/>
          <w:rtl/>
        </w:rPr>
        <w:t>(זכריה ד ב)</w:t>
      </w:r>
      <w:r>
        <w:rPr>
          <w:rtl/>
        </w:rPr>
        <w:t xml:space="preserve"> שִׁבְעָה וְשִׁבְעָה מוּצָקוֹת לַנֵּרוֹת וְגוֹ', </w:t>
      </w:r>
      <w:r>
        <w:rPr>
          <w:sz w:val="20"/>
          <w:szCs w:val="23"/>
          <w:rtl/>
        </w:rPr>
        <w:t>אלין באמירה ואלין בעשיה)</w:t>
      </w:r>
      <w:r>
        <w:rPr>
          <w:b w:val="0"/>
          <w:sz w:val="20"/>
          <w:szCs w:val="23"/>
          <w:rtl/>
        </w:rPr>
        <w:t xml:space="preserve"> </w:t>
      </w:r>
      <w:r>
        <w:rPr>
          <w:b w:val="0"/>
          <w:bCs w:val="0"/>
          <w:rtl/>
        </w:rPr>
        <w:t xml:space="preserve">וְאִינוּן י''ה יו''ד ה''א, ו''ה וא''ו ה''א אִלֵין אִינוּן </w:t>
      </w:r>
      <w:r>
        <w:rPr>
          <w:rStyle w:val="Char"/>
          <w:rtl/>
        </w:rPr>
        <w:t>שִׁבְעָה וְשִׁבְעָה מוּצָקוֹת</w:t>
      </w:r>
      <w:r>
        <w:rPr>
          <w:b w:val="0"/>
          <w:bCs w:val="0"/>
          <w:rtl/>
        </w:rPr>
        <w:t xml:space="preserve">). </w:t>
      </w:r>
      <w:r>
        <w:rPr>
          <w:b w:val="0"/>
          <w:sz w:val="20"/>
          <w:szCs w:val="23"/>
          <w:rtl/>
        </w:rPr>
        <w:t>[כאן שייך הס"א לנרות אשר על ראשה ואינון כו' שלקמן] (א.ה. זו הערת המדפיס, אבל סותר את ביאור הגר"א לקמן ק"ז ע"ב בסוף ההגהה, שאם כן, היכן צריך להיות הפיסקה זכאה עמא כו' עד למשמע דא די)</w:t>
      </w:r>
    </w:p>
    <w:p w:rsidR="0020255E" w:rsidRDefault="0020255E" w:rsidP="0020255E">
      <w:pPr>
        <w:pStyle w:val="NormalWeb"/>
        <w:rPr>
          <w:b w:val="0"/>
          <w:bCs w:val="0"/>
          <w:rtl/>
        </w:rPr>
      </w:pPr>
      <w:r>
        <w:rPr>
          <w:rStyle w:val="a7"/>
          <w:b w:val="0"/>
          <w:bCs w:val="0"/>
          <w:rtl/>
        </w:rPr>
        <w:footnoteReference w:id="4727"/>
      </w:r>
      <w:r>
        <w:rPr>
          <w:b w:val="0"/>
          <w:bCs w:val="0"/>
          <w:rtl/>
        </w:rPr>
        <w:t xml:space="preserve">זַכָּאָה עַמָּא דְיָדְעִין לְסַלְקָא צְלוֹתִין בַּאֲמִירָה וְעוֹבָדָא, וַעֲלֵיהּ אִתְּמַר </w:t>
      </w:r>
      <w:r>
        <w:rPr>
          <w:b w:val="0"/>
          <w:sz w:val="20"/>
          <w:szCs w:val="23"/>
          <w:rtl/>
        </w:rPr>
        <w:t>(ישעיה נא טז)</w:t>
      </w:r>
      <w:r>
        <w:rPr>
          <w:b w:val="0"/>
          <w:bCs w:val="0"/>
          <w:rtl/>
        </w:rPr>
        <w:t xml:space="preserve"> וָאָשִׂים דְּבָרַי בְּפִיךָ וכו', וְהָא אוּקְמוּה אַל תִּקְרֵי עַמִּי, אֶלָּא עִמִּי בְּשׁוּתָּפוּ, כְּמָה דְאִתְּמַר בֵּיהּ </w:t>
      </w:r>
      <w:r>
        <w:rPr>
          <w:b w:val="0"/>
          <w:sz w:val="20"/>
          <w:szCs w:val="23"/>
          <w:rtl/>
        </w:rPr>
        <w:t>(תהלים לג ו)</w:t>
      </w:r>
      <w:r>
        <w:rPr>
          <w:b w:val="0"/>
          <w:bCs w:val="0"/>
          <w:rtl/>
        </w:rPr>
        <w:t xml:space="preserve"> בִּדְבַר יהו''ה שָׁמַיִם נַעֲשׂוּ כו', הָכִי אַנְתְּ בְּשׁוּתָּפוּ עִמִּי, דִּבְמִלּוּלָךְ אִתְעֲבִידוּ שְׁמַיָּא וְאַרְעָא.</w:t>
      </w:r>
    </w:p>
    <w:p w:rsidR="0020255E" w:rsidRDefault="0020255E" w:rsidP="0020255E">
      <w:pPr>
        <w:pStyle w:val="aa"/>
        <w:spacing w:after="40"/>
        <w:rPr>
          <w:rtl/>
        </w:rPr>
      </w:pPr>
      <w:r>
        <w:rPr>
          <w:rtl/>
        </w:rPr>
        <w:t xml:space="preserve">[תיקוני זוהר - דף קז ע''א] </w:t>
      </w:r>
    </w:p>
    <w:p w:rsidR="0020255E" w:rsidRDefault="0020255E" w:rsidP="0020255E">
      <w:pPr>
        <w:pStyle w:val="NormalWeb"/>
        <w:rPr>
          <w:b w:val="0"/>
          <w:bCs w:val="0"/>
          <w:rtl/>
        </w:rPr>
      </w:pPr>
      <w:r>
        <w:rPr>
          <w:rStyle w:val="a7"/>
          <w:b w:val="0"/>
          <w:bCs w:val="0"/>
          <w:rtl/>
        </w:rPr>
        <w:footnoteReference w:id="4728"/>
      </w:r>
      <w:r>
        <w:rPr>
          <w:b w:val="0"/>
          <w:bCs w:val="0"/>
          <w:rtl/>
        </w:rPr>
        <w:t xml:space="preserve">וְעוֹד, הֲבֵל, ה' לֵב, ה' אִתְפַּלֵּג לְד''וּ פַּרְצוּפִין, דּ''וּ, ד' אַרְבַּע רַגְלִין דְּכָרְסַיָּיא, ו', </w:t>
      </w:r>
      <w:r>
        <w:rPr>
          <w:b w:val="0"/>
          <w:sz w:val="20"/>
          <w:szCs w:val="23"/>
          <w:rtl/>
        </w:rPr>
        <w:t>(מלכים א י יט)</w:t>
      </w:r>
      <w:r>
        <w:rPr>
          <w:b w:val="0"/>
          <w:bCs w:val="0"/>
          <w:rtl/>
        </w:rPr>
        <w:t xml:space="preserve"> שֵׁשׁ מַעֲלוֹת לַכִּסֵּא, זַכָּאָה אִיהוּ מָאן דְּיָרִית נִשְׁמָתָא מִכָּרְסַיָּיא יַקִּירָא, כְּלִילָא מֵעֲשַׂר תִּקּוּנִין אִלֵּין, </w:t>
      </w:r>
      <w:r>
        <w:rPr>
          <w:rStyle w:val="a7"/>
          <w:b w:val="0"/>
          <w:bCs w:val="0"/>
          <w:rtl/>
        </w:rPr>
        <w:footnoteReference w:id="4729"/>
      </w:r>
      <w:r>
        <w:rPr>
          <w:b w:val="0"/>
          <w:bCs w:val="0"/>
          <w:rtl/>
        </w:rPr>
        <w:t xml:space="preserve">וְעָבִיד לָהּ כָּרְסַיָּיא לַיהו''ה, דִּשְׁמָא דְיהו''ה דְּאִיהוּ בְאֹרַח אֲצִילוּת, לְתַקְנָא לֵיהּ כּוּרְסַיָּיא </w:t>
      </w:r>
      <w:r>
        <w:rPr>
          <w:b w:val="0"/>
          <w:sz w:val="20"/>
          <w:szCs w:val="23"/>
          <w:rtl/>
        </w:rPr>
        <w:t xml:space="preserve">(דף קז ע''א) </w:t>
      </w:r>
      <w:r>
        <w:rPr>
          <w:b w:val="0"/>
          <w:bCs w:val="0"/>
          <w:rtl/>
        </w:rPr>
        <w:t xml:space="preserve">בַּר נַשׁ לְנִשְׁמָתֵיהּ, דְּהָכִי אוּקְמוּהוּ קַדְמָאִין, כָּל הַנְּשָׁמוֹת גְּזוּרוֹת מִכִּסֵּא הַכָּבוֹד, וְתַמָּן שַׁרְיָא שְׁכִינְתָּא עִלָּאָה, וְלֵית ה' בְּלָא י', וּבְגִין דָא </w:t>
      </w:r>
      <w:r>
        <w:rPr>
          <w:b w:val="0"/>
          <w:sz w:val="20"/>
          <w:szCs w:val="23"/>
          <w:rtl/>
        </w:rPr>
        <w:t>(שמות יז טז)</w:t>
      </w:r>
      <w:r>
        <w:rPr>
          <w:b w:val="0"/>
          <w:bCs w:val="0"/>
          <w:rtl/>
        </w:rPr>
        <w:t xml:space="preserve"> כִּי יָד עַל כֵּס י''ה.</w:t>
      </w:r>
    </w:p>
    <w:p w:rsidR="0020255E" w:rsidRDefault="0020255E" w:rsidP="0020255E">
      <w:pPr>
        <w:pStyle w:val="NormalWeb"/>
        <w:rPr>
          <w:b w:val="0"/>
          <w:bCs w:val="0"/>
          <w:rtl/>
        </w:rPr>
      </w:pPr>
      <w:r>
        <w:rPr>
          <w:b w:val="0"/>
          <w:bCs w:val="0"/>
          <w:rtl/>
        </w:rPr>
        <w:t xml:space="preserve">וא"ו שַׁרְיָא בְּמטטרו''ן, וְדָא אִיהוּ רוּחַ הַשִּׂכְלִי דְּאִיהוּ באֲצִּילוּת, </w:t>
      </w:r>
      <w:r>
        <w:rPr>
          <w:rStyle w:val="a7"/>
          <w:b w:val="0"/>
          <w:bCs w:val="0"/>
          <w:rtl/>
        </w:rPr>
        <w:footnoteReference w:id="4730"/>
      </w:r>
      <w:r>
        <w:rPr>
          <w:b w:val="0"/>
          <w:bCs w:val="0"/>
          <w:rtl/>
        </w:rPr>
        <w:t xml:space="preserve">ה"א שַׁרְיָא בְּאוֹפַן, וְדָא נֶפֶשׁ הַשִּׂכְלִית בְּאֹרַח אֲצִּילוּתָא, דְּאִית נְשָׁמָה וְרוּחַ וְנֶפֶשׁ שִׂכְלִית וְלָא בְאֹרַח אֲצִּילוּת, אֶלָּא אִתְּמַר בְּהוֹן גְּזוּרוֹת, וְאִינוּן כִּסֵּא וּמַלְאַךְ וְאוֹפָן, זַכָּאִין אִינוּן יִשְׂרָאֵל דְּסָלְקִין הֲבָלִים דִּצְּלוֹתִין בְּהוֹן, לְגַבֵּי אַתְוָון דְּקוּדְשָׁא בְּרִיךְ הוּא וּשְׁכִינְתָּא עִלָּאָה וְתַתָּאָה, וּבְגִין דָא </w:t>
      </w:r>
      <w:r>
        <w:rPr>
          <w:b w:val="0"/>
          <w:sz w:val="20"/>
          <w:szCs w:val="23"/>
          <w:rtl/>
        </w:rPr>
        <w:t>(קהלת ה יד)</w:t>
      </w:r>
      <w:r>
        <w:rPr>
          <w:b w:val="0"/>
          <w:bCs w:val="0"/>
          <w:rtl/>
        </w:rPr>
        <w:t xml:space="preserve"> יֶשׁ הֶבֶל אֲשֶׁר נַעֲשָׂה עַל הָאָרֶץ, וְיֵשׁ הֶבֶל דְּרַשִּׁיעַיָּא, דְאִינוּן הֲבָלִים דְּשִׁקְרָא, וְנָטְלִין לוֹן מַלְאֲכֵי חַבָּלָה, וְנָטְעִין בְּהוֹן רְקִיעִין וְאַרְעִין דְּשִׁקְרָא, וַעֲלַיְיהוּ אִתְּמַר </w:t>
      </w:r>
      <w:r>
        <w:rPr>
          <w:b w:val="0"/>
          <w:sz w:val="20"/>
          <w:szCs w:val="23"/>
          <w:rtl/>
        </w:rPr>
        <w:t>(ירמיה י טו)</w:t>
      </w:r>
      <w:r>
        <w:rPr>
          <w:b w:val="0"/>
          <w:szCs w:val="23"/>
          <w:rtl/>
        </w:rPr>
        <w:t xml:space="preserve"> </w:t>
      </w:r>
      <w:r>
        <w:rPr>
          <w:rStyle w:val="Char"/>
          <w:rtl/>
        </w:rPr>
        <w:t>הֶבֶל הֵמָּה מַעֲשֵׂה תַּעְתּוּעִים,</w:t>
      </w:r>
      <w:r>
        <w:rPr>
          <w:b w:val="0"/>
          <w:szCs w:val="23"/>
          <w:rtl/>
        </w:rPr>
        <w:t xml:space="preserve"> </w:t>
      </w:r>
      <w:r>
        <w:rPr>
          <w:b w:val="0"/>
          <w:sz w:val="20"/>
          <w:szCs w:val="23"/>
          <w:rtl/>
        </w:rPr>
        <w:t>(כאן חסר)</w:t>
      </w:r>
      <w:r>
        <w:rPr>
          <w:b w:val="0"/>
          <w:bCs w:val="0"/>
          <w:rtl/>
        </w:rPr>
        <w:t>, קָמוּ כֻלְּהוּ וְאִשְׁתַּטְחוּ קַמֵּיהּ, וְאָמְרוּ אִלּוּ לָא אַתֵינָא לְעָלְמָא, אֶלָּא לְמִשְׁמַע דָּא דַי.</w:t>
      </w:r>
    </w:p>
    <w:p w:rsidR="0020255E" w:rsidRDefault="0020255E" w:rsidP="0020255E">
      <w:pPr>
        <w:pStyle w:val="aa"/>
        <w:spacing w:after="40"/>
        <w:rPr>
          <w:rtl/>
        </w:rPr>
      </w:pPr>
      <w:r>
        <w:rPr>
          <w:rtl/>
        </w:rPr>
        <w:t xml:space="preserve">[תיקוני זוהר - הגהה דף קו ע''ב, הגהה דף קז ע''א] </w:t>
      </w:r>
    </w:p>
    <w:p w:rsidR="0020255E" w:rsidRDefault="0020255E" w:rsidP="0020255E">
      <w:pPr>
        <w:pStyle w:val="NormalWeb"/>
        <w:rPr>
          <w:rtl/>
        </w:rPr>
      </w:pPr>
      <w:r>
        <w:rPr>
          <w:rtl/>
        </w:rPr>
        <w:t>(</w:t>
      </w:r>
      <w:r>
        <w:rPr>
          <w:sz w:val="20"/>
          <w:szCs w:val="23"/>
          <w:rtl/>
        </w:rPr>
        <w:t>(הגהה דף קו ע''ב) הגה"ה (זכריה ד)</w:t>
      </w:r>
      <w:r>
        <w:rPr>
          <w:rtl/>
        </w:rPr>
        <w:t xml:space="preserve"> לַנֵּרוֹת אֲשֶׁר עַל רֹאשָׁהּ, וְאִינוּן י''ה יו''ד ה''א, ו''ה וא''ו ה''א, וְאִינוּן שֶׁבַע כְּפוּלוֹת בג''ד כפר''ת לְבוּשִׁין לוֹן, וְכֻלְּהוּ סָלְקִין מִלִּבָּא לְפוּמָא, שֶׁבַע הֲבָלִים סָלְקִין, שֶׁבַע נָחֲתִין לְאַשְׁקָאָה לוֹן, וּבְגִין דָּא </w:t>
      </w:r>
      <w:r>
        <w:rPr>
          <w:sz w:val="20"/>
          <w:szCs w:val="23"/>
          <w:rtl/>
        </w:rPr>
        <w:t>(זכריה ד)</w:t>
      </w:r>
      <w:r>
        <w:rPr>
          <w:rtl/>
        </w:rPr>
        <w:t xml:space="preserve"> </w:t>
      </w:r>
      <w:r>
        <w:rPr>
          <w:rStyle w:val="a7"/>
          <w:rtl/>
        </w:rPr>
        <w:footnoteReference w:id="4731"/>
      </w:r>
      <w:r>
        <w:rPr>
          <w:rtl/>
        </w:rPr>
        <w:t xml:space="preserve">שִׁבְעָה וְשִׁבְעָה מוּצָקוֹת, תְּלַת אִינוּן גְּנִיזִין לְעִילָא, דִּלְבוּשִׁין דִּלְהוֹן אֶמֶ''שׁ, דְּאִינוּן אֵשׁ מַיִם רוּחַ, הָא אִינוּן עֲשַׂר דְּסָלְקִין מִלֵב וְאִינוּן לְקִבְלַיְיהוּ עֲשַׂר אֲמִירָן, וְל''ב אלהי''ם דִּבְּרֵאשִׁית, הָא מ''ב, </w:t>
      </w:r>
      <w:r>
        <w:rPr>
          <w:rStyle w:val="a7"/>
          <w:rtl/>
        </w:rPr>
        <w:footnoteReference w:id="4732"/>
      </w:r>
      <w:r>
        <w:rPr>
          <w:rtl/>
        </w:rPr>
        <w:t xml:space="preserve">מִלִּבָּא נָפִיק אֶשָּׁא, מִכַּנְפֵי רֵיאָה רוּחָא, מִמּוֹחָא מַיָּא, וְרוּחָא אֲחִיד בְּמַיָּא וְאֶשָּׁא וְאִתְעֲבִיד קוֹל, </w:t>
      </w:r>
      <w:r>
        <w:rPr>
          <w:rStyle w:val="a7"/>
          <w:rtl/>
        </w:rPr>
        <w:footnoteReference w:id="4733"/>
      </w:r>
      <w:r>
        <w:rPr>
          <w:rtl/>
        </w:rPr>
        <w:t xml:space="preserve">כַּד אֲחִיד בְּמַיָּא </w:t>
      </w:r>
      <w:r>
        <w:rPr>
          <w:sz w:val="20"/>
          <w:szCs w:val="23"/>
          <w:rtl/>
        </w:rPr>
        <w:t xml:space="preserve">(הגהה דף קז ע''א) </w:t>
      </w:r>
      <w:r>
        <w:rPr>
          <w:rtl/>
        </w:rPr>
        <w:t xml:space="preserve">אִתְּמַר בֵּיהּ </w:t>
      </w:r>
      <w:r>
        <w:rPr>
          <w:sz w:val="20"/>
          <w:szCs w:val="23"/>
          <w:rtl/>
        </w:rPr>
        <w:t>(תהלים כט ג)</w:t>
      </w:r>
      <w:r>
        <w:rPr>
          <w:rtl/>
        </w:rPr>
        <w:t xml:space="preserve"> קוֹל יהו''ה עַל הַמָּיִם, כַּד אֲחִיד בְּאֶשָּׁא אִתְּמַר בֵּיהּ </w:t>
      </w:r>
      <w:r>
        <w:rPr>
          <w:sz w:val="20"/>
          <w:szCs w:val="23"/>
          <w:rtl/>
        </w:rPr>
        <w:t>(שם)</w:t>
      </w:r>
      <w:r>
        <w:rPr>
          <w:rtl/>
        </w:rPr>
        <w:t xml:space="preserve"> קוֹל יהו''ה חֹצֵב לַהֲבוֹת אֵשׁ, כַּד אֲחִיד בְּרוּחָא אִיהוּ </w:t>
      </w:r>
      <w:r>
        <w:rPr>
          <w:sz w:val="20"/>
          <w:szCs w:val="23"/>
          <w:rtl/>
        </w:rPr>
        <w:t>(מ''א יט יא)</w:t>
      </w:r>
      <w:r>
        <w:rPr>
          <w:rtl/>
        </w:rPr>
        <w:t xml:space="preserve"> רוּחַ חָזָק מְפָרֵק הָרִים וּמְשַׁבֵּר סְלָעִים, וַעֲלֵיהּ אִתְּמַר קוֹל יהו''ה שׁוֹבֵר אֲרָזִים.</w:t>
      </w:r>
    </w:p>
    <w:p w:rsidR="0020255E" w:rsidRDefault="0020255E" w:rsidP="0020255E">
      <w:pPr>
        <w:pStyle w:val="NormalWeb"/>
        <w:rPr>
          <w:rtl/>
        </w:rPr>
      </w:pPr>
      <w:r>
        <w:rPr>
          <w:rtl/>
        </w:rPr>
        <w:t xml:space="preserve">וּתְלַת נְקוּדִין אִינוּן לָקֳבֵל אֱמֶ''שׁ, וְאִינוּן חָשַׁ''ק, הֲדָא הוּא דִכְתִיב </w:t>
      </w:r>
      <w:r>
        <w:rPr>
          <w:sz w:val="20"/>
          <w:szCs w:val="23"/>
          <w:rtl/>
        </w:rPr>
        <w:t>(דברים י טו)</w:t>
      </w:r>
      <w:r>
        <w:rPr>
          <w:rtl/>
        </w:rPr>
        <w:t xml:space="preserve"> רַק בַּאֲבֹתֶיךָ חָשַׁק יהו''ה, וְאִינוּן חֹלֵ''ם שְׁבָ''א קָמֵ''ץ, קָמֵ''ץ לִימִינָא קוֹל יהו''ה עַל הַמָּיִם, </w:t>
      </w:r>
      <w:r>
        <w:rPr>
          <w:rStyle w:val="a7"/>
          <w:rtl/>
        </w:rPr>
        <w:footnoteReference w:id="4734"/>
      </w:r>
      <w:r>
        <w:rPr>
          <w:rtl/>
        </w:rPr>
        <w:t xml:space="preserve">וְכַד רוּחָא אֲחִיד בֵּיהּ דְּאִיהוּ חֹלֵ''ם, אִתְּמַר בֵּיהּ </w:t>
      </w:r>
      <w:r>
        <w:rPr>
          <w:sz w:val="20"/>
          <w:szCs w:val="23"/>
          <w:rtl/>
        </w:rPr>
        <w:t>(בראשית א ב)</w:t>
      </w:r>
      <w:r>
        <w:rPr>
          <w:rtl/>
        </w:rPr>
        <w:t xml:space="preserve"> וְרוּחַ אלהי''ם מְרַחֶפֶת עַל פְּנֵי הַמָּיִם, שְׁבָ''א אִיהוּ בָּאֵשׁ, וְכַד אֲחִיד בֵּיהּ רוּחַ, אִיהוּ רוּחַ חָזָק מְפָרֵק הָרִים וּמְשַׁבֵּר סְלָעִים, מִסִּטְרָא דִגְבוּרָה דְאִיהוּ תַּקִּיף, </w:t>
      </w:r>
      <w:r>
        <w:rPr>
          <w:rStyle w:val="a7"/>
          <w:rtl/>
        </w:rPr>
        <w:footnoteReference w:id="4735"/>
      </w:r>
      <w:r>
        <w:rPr>
          <w:rtl/>
        </w:rPr>
        <w:t xml:space="preserve">כַּד אֲחִיד בֵּיהּ רוּחָא דְאִיהוּ חֹלֵ''ם בֵּין קָמֵ''ץ שְׁבָ''א דְאִינוּן מַיָּא וְאֶשָּׁא, דְּאִינוּן תְּרֵין דְּרוֹעִין, דְּאִית בְּהוֹן יַד יָמִין יַד שְׂמֹאל דְּאִינוּן כ''ח פִּרְקִין, אִתְּמַר בְּהוּ קוֹל יהו''ה בַּכֹּחַ, </w:t>
      </w:r>
      <w:r>
        <w:rPr>
          <w:rStyle w:val="a7"/>
          <w:rtl/>
        </w:rPr>
        <w:footnoteReference w:id="4736"/>
      </w:r>
      <w:r>
        <w:rPr>
          <w:rtl/>
        </w:rPr>
        <w:t xml:space="preserve">כַּד הַאי רוּחָא אֲחִיד בְּעַמּוּדָא דְאֶמְצָעִיתָא, אִתְּמַר בֵּיהּ קוֹל יהו''ה בֶּהָדָר, כַּד אֲחִיד בִּתְרֵין שׁוֹקִין דְּאִינוּן צֵרִ''י, אִתְּמַר בְּהוֹן קוֹל יהו''ה יְחוֹלֵל אַיָּלוֹת, </w:t>
      </w:r>
      <w:r>
        <w:rPr>
          <w:rStyle w:val="a7"/>
          <w:rtl/>
        </w:rPr>
        <w:footnoteReference w:id="4737"/>
      </w:r>
      <w:r>
        <w:rPr>
          <w:rtl/>
        </w:rPr>
        <w:t xml:space="preserve">דְּאִינוּן תְּרֵי עוּזְלֵי דְאַיָּילָתָא, תְּרֵין אַחִים </w:t>
      </w:r>
      <w:r>
        <w:rPr>
          <w:sz w:val="20"/>
          <w:szCs w:val="23"/>
          <w:rtl/>
        </w:rPr>
        <w:t>(איוב מא ט)</w:t>
      </w:r>
      <w:r>
        <w:rPr>
          <w:rtl/>
        </w:rPr>
        <w:t xml:space="preserve"> אִישׁ בְּאָחִיהוּ יְדוּבָּקוּ.</w:t>
      </w:r>
    </w:p>
    <w:p w:rsidR="0020255E" w:rsidRDefault="0020255E" w:rsidP="0020255E">
      <w:pPr>
        <w:pStyle w:val="NormalWeb"/>
        <w:rPr>
          <w:rtl/>
        </w:rPr>
      </w:pPr>
      <w:r>
        <w:rPr>
          <w:rtl/>
        </w:rPr>
        <w:t xml:space="preserve">וְהָכָא רָזָא דְיִבּוּם, דְּאִם יִפּוֹל אָחִיו הָא תִּנְיָינָא דְיוֹקִים לֵיהּ, וְרָזָא דְמִלָּה </w:t>
      </w:r>
      <w:r>
        <w:rPr>
          <w:sz w:val="20"/>
          <w:szCs w:val="23"/>
          <w:rtl/>
        </w:rPr>
        <w:t>(איכה א יג)</w:t>
      </w:r>
      <w:r>
        <w:rPr>
          <w:rtl/>
        </w:rPr>
        <w:t xml:space="preserve"> נְתָנַנִי שׁוֹמֵמָה כָּל הַיּוֹם דָּוָ''ה, וְדָא הוֹ''ד, דְּאִתְּמַר בֵּיהּ </w:t>
      </w:r>
      <w:r>
        <w:rPr>
          <w:sz w:val="20"/>
          <w:szCs w:val="23"/>
          <w:rtl/>
        </w:rPr>
        <w:t>(בראשית לב לג)</w:t>
      </w:r>
      <w:r>
        <w:rPr>
          <w:rtl/>
        </w:rPr>
        <w:t xml:space="preserve"> כִּי נָגַע בְּכַף יֶרֶךְ יַעֲקֹב, בְּכַף דִּילֵיהּ, שְׁכִינְתָּא דָוָה אִיהִי בְגָלוּתָא, בְּגִין דְּפָרַח מִנֵּיהּ יֶרֶךְ דְּאִיהוּ ו' מִן ה', וְאִשְׁתְּאָרַת אִיהִי ד' דִּילָהּ </w:t>
      </w:r>
      <w:r>
        <w:rPr>
          <w:sz w:val="20"/>
          <w:szCs w:val="23"/>
          <w:rtl/>
        </w:rPr>
        <w:t>(דלה)</w:t>
      </w:r>
      <w:r>
        <w:rPr>
          <w:rtl/>
        </w:rPr>
        <w:t xml:space="preserve">, </w:t>
      </w:r>
      <w:r>
        <w:rPr>
          <w:rStyle w:val="a7"/>
          <w:rtl/>
        </w:rPr>
        <w:footnoteReference w:id="4738"/>
      </w:r>
      <w:r>
        <w:rPr>
          <w:rtl/>
        </w:rPr>
        <w:t>קוֹל יהו''ה יָחִיל מִדְבָּר דָּא חִירֵ''ק וְדָא צַדִּיק, כַּד רוּחַ אֲחִיד בֵּיהּ אִיהוּ יָחִיל מִדְבָּר, שֶׁבַע קָלִין לָקֳבֵל שֶׁבַע שְׁמָהָן אבגית''ץ כו'.</w:t>
      </w:r>
    </w:p>
    <w:p w:rsidR="0020255E" w:rsidRDefault="0020255E" w:rsidP="0020255E">
      <w:pPr>
        <w:pStyle w:val="NormalWeb"/>
        <w:rPr>
          <w:rtl/>
        </w:rPr>
      </w:pPr>
      <w:r>
        <w:rPr>
          <w:rStyle w:val="a7"/>
          <w:rtl/>
        </w:rPr>
        <w:footnoteReference w:id="4739"/>
      </w:r>
      <w:r>
        <w:rPr>
          <w:rtl/>
        </w:rPr>
        <w:t xml:space="preserve">רוּחַ סָלִיק בְּאַוִּיר דְּאִיהוּ כֶּתֶר עִלָּאָה אַוִּיר קַדְמוֹן, אֵשׁ סָלִיק לְגַבֵּי ה' דְּאִיהוּ אִימָּא וְאִתְעֲבִיד אִשָּׁה, מַיִם סָלִיק לְגַבֵּי י' וְאִתְעֲבִיד יַמִּים, וְדָא חָכְמָה, </w:t>
      </w:r>
      <w:r>
        <w:rPr>
          <w:rStyle w:val="a7"/>
          <w:rtl/>
        </w:rPr>
        <w:footnoteReference w:id="4740"/>
      </w:r>
      <w:r>
        <w:rPr>
          <w:rtl/>
        </w:rPr>
        <w:t xml:space="preserve">וְהָכִי נָחֲתִין לְגַבֵּי נֶצַח וְהוֹד יְסוֹד, מַלְכוּת מָאנָא דְכֻלְּהוּ, וְאִיהִי עָפָר כְּלִילָא מִכֻּלְּהוּ, </w:t>
      </w:r>
      <w:r>
        <w:rPr>
          <w:rStyle w:val="a7"/>
          <w:rtl/>
        </w:rPr>
        <w:footnoteReference w:id="4741"/>
      </w:r>
      <w:r>
        <w:rPr>
          <w:rtl/>
        </w:rPr>
        <w:t xml:space="preserve">וְאִיהִי כְלָלָא דְכָל אַתְוָון דְּאִינוּן מָאנָא לִנְקוּדִין, </w:t>
      </w:r>
      <w:r>
        <w:rPr>
          <w:rStyle w:val="a7"/>
          <w:rtl/>
        </w:rPr>
        <w:footnoteReference w:id="4742"/>
      </w:r>
      <w:r>
        <w:rPr>
          <w:rtl/>
        </w:rPr>
        <w:t xml:space="preserve">וְעַל אִלֵּין שֶׁבַע קָלִין אִתְּמַר </w:t>
      </w:r>
      <w:r>
        <w:rPr>
          <w:sz w:val="20"/>
          <w:szCs w:val="23"/>
          <w:rtl/>
        </w:rPr>
        <w:t>(שמות כ יח)</w:t>
      </w:r>
      <w:r>
        <w:rPr>
          <w:rtl/>
        </w:rPr>
        <w:t xml:space="preserve"> וְכָל הָעָם רֹאִים אֶת הַקּוֹלֹת, וְעַל תְּלַת גְּנִיזִין אָמַר </w:t>
      </w:r>
      <w:r>
        <w:rPr>
          <w:sz w:val="20"/>
          <w:szCs w:val="23"/>
          <w:rtl/>
        </w:rPr>
        <w:t>(דברים ד יב)</w:t>
      </w:r>
      <w:r>
        <w:rPr>
          <w:rtl/>
        </w:rPr>
        <w:t xml:space="preserve"> קוֹל דְּבָרִים אַתֶּם שׁוֹמְעִים, בַּת קוֹל דְּכֻלְּהוּ שְׁכִינְתָּא תַּתָּאָה.</w:t>
      </w:r>
    </w:p>
    <w:p w:rsidR="0020255E" w:rsidRDefault="0020255E" w:rsidP="0020255E">
      <w:pPr>
        <w:pStyle w:val="NormalWeb"/>
        <w:rPr>
          <w:rtl/>
        </w:rPr>
      </w:pPr>
      <w:r>
        <w:rPr>
          <w:rStyle w:val="a7"/>
          <w:rtl/>
        </w:rPr>
        <w:footnoteReference w:id="4743"/>
      </w:r>
      <w:r>
        <w:rPr>
          <w:rtl/>
        </w:rPr>
        <w:t xml:space="preserve">תָּא חֲזִי תְּלַת נְקוּדִין אִינוּן, חִירֵק חֹלֵם שֻׁרֵק, חֹלֵם, קוֹצָא דְי' לְעִילָא אִיהוּ חֹלֵם, קוֹצָא דְאָת י' לְתַתָּא אִיהִי חִירֵק, גוֹ אֶמְצָעִיתָא אִיהוּ שׁוּרֵק, כַּד אִינוּן תְּלַת כַּחֲדָא, </w:t>
      </w:r>
      <w:r>
        <w:rPr>
          <w:rStyle w:val="a7"/>
          <w:rtl/>
        </w:rPr>
        <w:footnoteReference w:id="4744"/>
      </w:r>
      <w:r>
        <w:rPr>
          <w:rtl/>
        </w:rPr>
        <w:t>אִינוּן סֶגוֹלְתָּא וְאִינוּן שַׁלְשֶׁלֶת וְאִינוּן שֻׁרֵ''ק וְאִינוּן סֶגוֹ''ל.</w:t>
      </w:r>
    </w:p>
    <w:p w:rsidR="0020255E" w:rsidRDefault="0020255E" w:rsidP="005C70D5">
      <w:pPr>
        <w:pStyle w:val="NormalWeb"/>
        <w:rPr>
          <w:rtl/>
        </w:rPr>
      </w:pPr>
      <w:r>
        <w:rPr>
          <w:rtl/>
        </w:rPr>
        <w:t>כֶּתֶר עַל חָכְמָה וּבִינָה אִיהוּ סֶגוֹלְתָּ''א חֹלֵ''ם עַל צֵרִ''י, סֶגוֹ''ל אִיהוּ נְקוּדָה תְּחוֹת צֵרִ''י, חֶסֶד גְּבוּרָה, תִּפְאֶרֶת לְתַתָּא, נֶצַח הוֹד יְסוֹד בְּאֶמְצָעִיתָא אִיהוּ שֻׁרֵק, וְהָכִי כַד תִּפְאֶרֶת בְּאֶמְצָעִיתָא אִיהוּ שַׁלְשֶׁלֶת, שְׁבָ''א אִיהוּ תְּרֵין נְקוּדִין, כַּד אִתְגַּבַּר מַיָּא עַל אֶשָּׁא אוֹ אֶשָּׁא עַל מַיָּא, אוֹ כַּד אִינוּן יְסוֹד עַל מַלְכוּת, כָּל סְפִירָה דָא עַל גַּבֵּי דָא בְּכָל אֲתַר אִיהוּ שְׁבָ''א, וְרָזָא דְמִלָּה, אֶת הַמָּאוֹר הַגָּדוֹל וְאֶת הַמָּאוֹר הַקָּטֹן, כַּד אִינוּן שָׁוִין הֲווּ צֵרִ''י, אֶת שְׁנֵי הַמְּאוֹרוֹת הַגְּדוֹלִים.</w:t>
      </w:r>
    </w:p>
    <w:p w:rsidR="0020255E" w:rsidRDefault="0020255E" w:rsidP="003C0900">
      <w:pPr>
        <w:pStyle w:val="2"/>
        <w:rPr>
          <w:rtl/>
        </w:rPr>
      </w:pPr>
      <w:r>
        <w:rPr>
          <w:rtl/>
        </w:rPr>
        <w:t xml:space="preserve">[תיקוני זוהר - הגהה דף קז ע''ב] </w:t>
      </w:r>
    </w:p>
    <w:p w:rsidR="0020255E" w:rsidRDefault="0020255E" w:rsidP="0020255E">
      <w:pPr>
        <w:pStyle w:val="NormalWeb"/>
        <w:rPr>
          <w:rtl/>
        </w:rPr>
      </w:pPr>
      <w:r>
        <w:rPr>
          <w:rStyle w:val="a7"/>
          <w:rtl/>
        </w:rPr>
        <w:footnoteReference w:id="4745"/>
      </w:r>
      <w:r>
        <w:rPr>
          <w:rtl/>
        </w:rPr>
        <w:t xml:space="preserve">נְקוּדִין אִינוּן דִּבּוּר, אַתְוָון אִינוּן הֲבֵל הֲבָלִים, דְּתַלְיָין מִן ה''ה, וְאִינוּן אַתְוָון רַבְרְבָן וְאַתְוָון זְעִירָן, טַעֲמִים אִינוּן קַלִין, וְאַתְוָון וּנְקוּדִין כְלִילִין בְּהוּ, אַתְוָון מִן ה"ה, נְקוּדִין מִן י', טַעֲמֵי מִן ו', </w:t>
      </w:r>
      <w:r>
        <w:rPr>
          <w:rStyle w:val="a7"/>
          <w:rtl/>
        </w:rPr>
        <w:footnoteReference w:id="4746"/>
      </w:r>
      <w:r>
        <w:rPr>
          <w:rtl/>
        </w:rPr>
        <w:t xml:space="preserve">נְקוּדִין מִתְלַבְּשָׁן בְּמַיָּא בִימִינָא, דְאִתְּמַר בֵּיהּ הָרוֹצֶה </w:t>
      </w:r>
      <w:r w:rsidRPr="003C0900">
        <w:rPr>
          <w:rStyle w:val="20"/>
          <w:rtl/>
        </w:rPr>
        <w:t>(הגהה דף קז ע''ב)</w:t>
      </w:r>
      <w:r>
        <w:rPr>
          <w:sz w:val="20"/>
          <w:szCs w:val="23"/>
          <w:rtl/>
        </w:rPr>
        <w:t xml:space="preserve"> </w:t>
      </w:r>
      <w:r>
        <w:rPr>
          <w:rtl/>
        </w:rPr>
        <w:t xml:space="preserve">לְהַחְכִּים יַדְרִים, אַתְוָון מִתְלַבְּשִׁין בְּאֶשָּׁא בִּשְׂמָאלָא, וַעֲלַיְיהוּ אִתְּמַר קוֹל יהו''ה חֹצֵב לַהֲבוֹת אֵשׁ דְּאִינוּן הֲבָלִים, טַעֲמֵי מִתְלַבְּשָׁן בְּאַוִּירָא בְאֶמְצָעִיתָא, וְטַעֲמֵי אִינוּן מִסִּטְרָא דְכֶתֶר, וּנְקוּדִין מִסִּטְרָא דְחָכְמָה, וְאַתְוָון מִסִּטְרָא דְבִינָה, </w:t>
      </w:r>
      <w:r>
        <w:rPr>
          <w:sz w:val="20"/>
          <w:szCs w:val="23"/>
          <w:rtl/>
        </w:rPr>
        <w:t>(דבגינה)</w:t>
      </w:r>
      <w:r>
        <w:rPr>
          <w:rtl/>
        </w:rPr>
        <w:t xml:space="preserve"> וּמִתְלַבְּשִׁין בְּמַיָּא אֶשָּׁא וְרוּחָא, דְּאִינוּן חֶסֶד גְּבוּרָה תִּפְאֶרֶת, וְהָכִי מִתְלַבְּשִׁין בְּנֶצַח הוֹד יְסוֹד. מַלְכוּת מָאנָא דְכֻלְּהוּ, כְלִילָא מִכֻּלְּהוּ, </w:t>
      </w:r>
      <w:r>
        <w:rPr>
          <w:rStyle w:val="a7"/>
          <w:rtl/>
        </w:rPr>
        <w:footnoteReference w:id="4747"/>
      </w:r>
      <w:r>
        <w:rPr>
          <w:rtl/>
        </w:rPr>
        <w:t xml:space="preserve">אִיהִי פֶּה דְמִינָהּ הֲבָלִים נָפְקִין וְקָלִין וְדִבּוּרִין כֻּלְּהוּ אִתְכְּלִילָן וְאִיהִי לֵב דְּכֻלְּהוּ בָהּ אִתְכְּלִילָן, וּמִינָהּ נָפְקִין דְּפִיקוּ דְרוּחָא לְכָל עַרְקִין דְרוּחָא, </w:t>
      </w:r>
      <w:r>
        <w:rPr>
          <w:rStyle w:val="a7"/>
          <w:rtl/>
        </w:rPr>
        <w:footnoteReference w:id="4748"/>
      </w:r>
      <w:r>
        <w:rPr>
          <w:rtl/>
        </w:rPr>
        <w:t xml:space="preserve">כַּד רוּחָא דָפִיק בְּמַיָּא דְאִיהוּ לִימִינָא, אִתְּמַר בֵּיהּ </w:t>
      </w:r>
      <w:r>
        <w:rPr>
          <w:sz w:val="20"/>
          <w:szCs w:val="23"/>
          <w:rtl/>
        </w:rPr>
        <w:t>(שיר ה ב)</w:t>
      </w:r>
      <w:r>
        <w:rPr>
          <w:rtl/>
        </w:rPr>
        <w:t xml:space="preserve"> קוֹל דּוֹדִי דוֹפֵק פִּתְחִי לִי אֲחוֹתִי, </w:t>
      </w:r>
      <w:r>
        <w:rPr>
          <w:rStyle w:val="a7"/>
          <w:rtl/>
        </w:rPr>
        <w:footnoteReference w:id="4749"/>
      </w:r>
      <w:r>
        <w:rPr>
          <w:rtl/>
        </w:rPr>
        <w:t xml:space="preserve">לְהַהִיא דְאִתְּמַר בָּהּ </w:t>
      </w:r>
      <w:r>
        <w:rPr>
          <w:sz w:val="20"/>
          <w:szCs w:val="23"/>
          <w:rtl/>
        </w:rPr>
        <w:t>(משלי ז ד)</w:t>
      </w:r>
      <w:r>
        <w:rPr>
          <w:rtl/>
        </w:rPr>
        <w:t xml:space="preserve"> אֱמוֹר לַחָכְמָה אֲחוֹתִי אָתְּ, וְכַד דָּפִיק לִשְׂמָאלָא דְאִיהִי אֶשָּׁא, אִתְּמַר בָּהּ רַעְיָתִי, דְּבֵיהּ אִתּוֹקַד בְּכַמָּה רְשָׁפִי''ם דְּאִינוּן שְׂרָפִי''ם, דְּאִתְּמַר בְּהוֹן </w:t>
      </w:r>
      <w:r>
        <w:rPr>
          <w:sz w:val="20"/>
          <w:szCs w:val="23"/>
          <w:rtl/>
        </w:rPr>
        <w:t>(שיר ח ו)</w:t>
      </w:r>
      <w:r>
        <w:rPr>
          <w:rtl/>
        </w:rPr>
        <w:t xml:space="preserve"> רְשָׁפֶיהָ רִשְׁפֵּי אֵשׁ שַׁלְהֶבֶת יָ''הּ.</w:t>
      </w:r>
    </w:p>
    <w:p w:rsidR="001336CC" w:rsidRDefault="001336CC" w:rsidP="001336CC">
      <w:pPr>
        <w:pStyle w:val="2"/>
        <w:jc w:val="right"/>
        <w:rPr>
          <w:rtl/>
        </w:rPr>
      </w:pPr>
      <w:r>
        <w:rPr>
          <w:rFonts w:hint="cs"/>
          <w:rtl/>
        </w:rPr>
        <w:t>[וילנא קכב ע"א]</w:t>
      </w:r>
    </w:p>
    <w:p w:rsidR="0020255E" w:rsidRDefault="0020255E" w:rsidP="0020255E">
      <w:pPr>
        <w:pStyle w:val="NormalWeb"/>
        <w:rPr>
          <w:rtl/>
        </w:rPr>
      </w:pPr>
      <w:r>
        <w:rPr>
          <w:rtl/>
        </w:rPr>
        <w:t xml:space="preserve">מִסִּטְרָא דְעַמּוּדָא דְאֶמְצָעִיתָא יוֹנָתִי תַמָּתִי, בְּגִין דְּאִיהִי דַרְגָּא דְיַעֲקֹב דְּאִתְּמַר בֵּיהּ </w:t>
      </w:r>
      <w:r>
        <w:rPr>
          <w:sz w:val="20"/>
          <w:szCs w:val="23"/>
          <w:rtl/>
        </w:rPr>
        <w:t>(בראשית כה כז)</w:t>
      </w:r>
      <w:r>
        <w:rPr>
          <w:rtl/>
        </w:rPr>
        <w:t xml:space="preserve"> וְיַעֲקֹב אִישׁ תָּם, וּדְפִיקוּ דִילֵיהּ תַּמָּן בְּמִשְׁקָל, לָא סָלִיק וְלָא נָחִית, דִּי בְמַיָּא נָחִית לְגַבֵּי צַדִּיק נְבִיעוּ לְגַבֵּיהּ בַּאֲרִיכוּ, </w:t>
      </w:r>
      <w:r>
        <w:rPr>
          <w:rStyle w:val="a7"/>
          <w:rtl/>
        </w:rPr>
        <w:footnoteReference w:id="4750"/>
      </w:r>
      <w:r>
        <w:rPr>
          <w:rtl/>
        </w:rPr>
        <w:t xml:space="preserve">וְסָלִיק בֵּיהּ בַּאֲרִיכוּ דִתְּקִיעָה, בְּאֶשָּׁא אִיהוּ דְפִיקוּ </w:t>
      </w:r>
      <w:r>
        <w:rPr>
          <w:rStyle w:val="a7"/>
          <w:rtl/>
        </w:rPr>
        <w:footnoteReference w:id="4751"/>
      </w:r>
      <w:r>
        <w:rPr>
          <w:rtl/>
        </w:rPr>
        <w:t xml:space="preserve">בִשְׁבָרִים בִּתְּבִירוּ, </w:t>
      </w:r>
      <w:r>
        <w:rPr>
          <w:rStyle w:val="a7"/>
          <w:rtl/>
        </w:rPr>
        <w:footnoteReference w:id="4752"/>
      </w:r>
      <w:r>
        <w:rPr>
          <w:rtl/>
        </w:rPr>
        <w:t xml:space="preserve">וּבְעַמּוּדָא דְאֶמְצָעִיתָא נָחִית </w:t>
      </w:r>
      <w:r>
        <w:rPr>
          <w:sz w:val="20"/>
          <w:szCs w:val="23"/>
          <w:rtl/>
        </w:rPr>
        <w:t>(נ''א אחיד)</w:t>
      </w:r>
      <w:r>
        <w:rPr>
          <w:rtl/>
        </w:rPr>
        <w:t xml:space="preserve"> בְּתַרְוַיְיהוּ </w:t>
      </w:r>
      <w:r>
        <w:rPr>
          <w:rStyle w:val="a7"/>
          <w:rtl/>
        </w:rPr>
        <w:footnoteReference w:id="4753"/>
      </w:r>
      <w:r>
        <w:rPr>
          <w:rtl/>
        </w:rPr>
        <w:t xml:space="preserve">שַׁלְשֶׁלֶ''ת, בֵּינוּנִי וְדָא תְרוּעָה, </w:t>
      </w:r>
      <w:r>
        <w:rPr>
          <w:rStyle w:val="a7"/>
          <w:rtl/>
        </w:rPr>
        <w:footnoteReference w:id="4754"/>
      </w:r>
      <w:r>
        <w:rPr>
          <w:rtl/>
        </w:rPr>
        <w:t xml:space="preserve">קוֹל דְּמָמָה דַקָּה לְגַבֵּי שְׁכִינְתָּא תַּתָּאָה, הַהוּא דְפִיקוּ בְּגִין דְּהֵבִיאוּ לָהּ בַּחֲשַׁאי, וְהִיא יוֹנָתִי, וְכַד שְׁכִינְתָּא אִיהִי בְגָלוּתָא אִתְּמַר בָּהּ </w:t>
      </w:r>
      <w:r>
        <w:rPr>
          <w:sz w:val="20"/>
          <w:szCs w:val="23"/>
          <w:rtl/>
        </w:rPr>
        <w:t>(שיר ה ב)</w:t>
      </w:r>
      <w:r>
        <w:rPr>
          <w:rtl/>
        </w:rPr>
        <w:t xml:space="preserve"> אֲנִי יְשֵׁנָה וְלִבִּי עִר, כַּד אִיהִי יְשֵׁנָה לֵית בָּהּ דְּפִיקוּ, בְּגִין דְּקוּדְשָׁא בְּרִיךְ הוּא דְאִיהוּ קוֹל דְּפִיקוּ דִילָהּ </w:t>
      </w:r>
      <w:r w:rsidR="001336CC" w:rsidRPr="001336CC">
        <w:rPr>
          <w:rStyle w:val="20"/>
          <w:rFonts w:hint="cs"/>
          <w:rtl/>
        </w:rPr>
        <w:t>(וילנא קכב ע"א)</w:t>
      </w:r>
      <w:r w:rsidR="001336CC">
        <w:rPr>
          <w:rFonts w:hint="cs"/>
          <w:rtl/>
        </w:rPr>
        <w:t xml:space="preserve"> </w:t>
      </w:r>
      <w:r>
        <w:rPr>
          <w:rtl/>
        </w:rPr>
        <w:t xml:space="preserve">אִתְרַחַק מִינָהּ, הֲדָא הוּא דִכְתִיב </w:t>
      </w:r>
      <w:r>
        <w:rPr>
          <w:sz w:val="20"/>
          <w:szCs w:val="23"/>
          <w:rtl/>
        </w:rPr>
        <w:t>(תהלים לט ג)</w:t>
      </w:r>
      <w:r>
        <w:rPr>
          <w:rtl/>
        </w:rPr>
        <w:t xml:space="preserve"> נֶאֱלַמְתִּי דוּמִיָּה הֶחֱשֵׁתִי מִטּוֹב, </w:t>
      </w:r>
      <w:r>
        <w:rPr>
          <w:rStyle w:val="a7"/>
          <w:rtl/>
        </w:rPr>
        <w:footnoteReference w:id="4755"/>
      </w:r>
      <w:r>
        <w:rPr>
          <w:rtl/>
        </w:rPr>
        <w:t xml:space="preserve">לָמָּה נֶאֱלַמְתִּי, מִי''ה דְּאִיהוּ דוּמִיָּה דְאִתְרַמִּיז בֵּאלֹהִי''ם, דְּאִיהוּ ל''ב אלהי''ם דְּמַעֲשֵׂה בְרֵאשִׁית, </w:t>
      </w:r>
      <w:r>
        <w:rPr>
          <w:rStyle w:val="a7"/>
          <w:rtl/>
        </w:rPr>
        <w:footnoteReference w:id="4756"/>
      </w:r>
      <w:r>
        <w:rPr>
          <w:rtl/>
        </w:rPr>
        <w:t xml:space="preserve">דְּדָפִיק רוּחָא דְקוּדְשָׁא דְאִתְּמַר בֵּיהּ </w:t>
      </w:r>
      <w:r>
        <w:rPr>
          <w:sz w:val="20"/>
          <w:szCs w:val="23"/>
          <w:rtl/>
        </w:rPr>
        <w:t>(בראשית א ב)</w:t>
      </w:r>
      <w:r>
        <w:rPr>
          <w:rtl/>
        </w:rPr>
        <w:t xml:space="preserve"> וְרוּחַ אלהי''ם, בְּגִין דְּהֶחֱשֵׁתִי מִטּוֹב דְּאִיהוּ קוֹל </w:t>
      </w:r>
      <w:r>
        <w:rPr>
          <w:sz w:val="20"/>
          <w:szCs w:val="23"/>
          <w:rtl/>
        </w:rPr>
        <w:t>עד כאן ההגה"ה</w:t>
      </w:r>
      <w:r>
        <w:rPr>
          <w:rtl/>
        </w:rPr>
        <w:t>).</w:t>
      </w:r>
    </w:p>
    <w:p w:rsidR="0020255E" w:rsidRDefault="0020255E" w:rsidP="003C0900">
      <w:pPr>
        <w:pStyle w:val="2"/>
        <w:rPr>
          <w:rtl/>
        </w:rPr>
      </w:pPr>
      <w:r>
        <w:rPr>
          <w:rtl/>
        </w:rPr>
        <w:t>[תיקוני זוהר - דף לד ע''ב]</w:t>
      </w:r>
    </w:p>
    <w:p w:rsidR="0020255E" w:rsidRDefault="0020255E" w:rsidP="003C0900">
      <w:pPr>
        <w:pStyle w:val="NormalWeb"/>
        <w:rPr>
          <w:rtl/>
        </w:rPr>
      </w:pPr>
      <w:r w:rsidRPr="001336CC">
        <w:rPr>
          <w:rStyle w:val="20"/>
          <w:rtl/>
        </w:rPr>
        <w:t xml:space="preserve"> (לד ע"ב)</w:t>
      </w:r>
      <w:r>
        <w:rPr>
          <w:rtl/>
        </w:rPr>
        <w:t xml:space="preserve"> בְּהַהוּא זִמְנָא אִשְׁתְּאָרַת בַּת יְחִידָה בְלָא קוֹל, וּבְגִין דָּא לֵית בַּת קוֹל בְּגָלוּתָא, וּבְגִין דְּלֵית בַּת קוֹל בְּגָלוּתָא הֵבִיאוּ לָהּ בַּחֲשַׁאי, וּבְגִין דָּא צְלוֹתָא אִיהִי בַחֲשַׁאי, </w:t>
      </w:r>
      <w:r>
        <w:rPr>
          <w:rStyle w:val="a7"/>
          <w:b w:val="0"/>
          <w:bCs w:val="0"/>
          <w:rtl/>
        </w:rPr>
        <w:footnoteReference w:id="4757"/>
      </w:r>
      <w:r>
        <w:rPr>
          <w:rtl/>
        </w:rPr>
        <w:t>אַף עַל גַּב דְּרָזִין סַגִּיאִין אִית הָכָא, שַׁבְעִין אַנְפִּין אִית לְאוֹרַיְיתָא.</w:t>
      </w:r>
    </w:p>
    <w:p w:rsidR="0020255E" w:rsidRDefault="0020255E" w:rsidP="003C0900">
      <w:pPr>
        <w:pStyle w:val="NormalWeb"/>
        <w:rPr>
          <w:rtl/>
        </w:rPr>
      </w:pPr>
      <w:r>
        <w:rPr>
          <w:rtl/>
        </w:rPr>
        <w:t xml:space="preserve">וּבְהַהוּא זִמְנָא לֵית לָהּ דְּפִיקוּ </w:t>
      </w:r>
      <w:r>
        <w:rPr>
          <w:rStyle w:val="a7"/>
          <w:b w:val="0"/>
          <w:bCs w:val="0"/>
          <w:rtl/>
        </w:rPr>
        <w:footnoteReference w:id="4758"/>
      </w:r>
      <w:r>
        <w:rPr>
          <w:rtl/>
        </w:rPr>
        <w:t xml:space="preserve">דְאִיהוּ כְגַוְונָא דִנְקוּדֵי דִמְנַקְּדִין בִּדְפִיקוּ דְאֶצְבְּעָאן דְּאִינוּן עֲשַׂר, דִּבְהוֹן מְנַקְּדִין בִּדְפִיקוּ דְרוּחָא, </w:t>
      </w:r>
      <w:r w:rsidRPr="003C0900">
        <w:rPr>
          <w:rtl/>
        </w:rPr>
        <w:t>וְאִינוּן</w:t>
      </w:r>
      <w:r>
        <w:rPr>
          <w:rtl/>
        </w:rPr>
        <w:t xml:space="preserve"> מְנַקְּדִין בְּנִימִין דְּכִנּוֹר דְּדָוִד, דְּפִיקוּ אִיהוּ כְּגַוְונָא דְקָלָא דְסָלִיק בְּנִגּוּנָא, לָקֳבֵל עֲשָׂרָה דְפִיקִין </w:t>
      </w:r>
      <w:r>
        <w:rPr>
          <w:rStyle w:val="a7"/>
          <w:b w:val="0"/>
          <w:bCs w:val="0"/>
          <w:rtl/>
        </w:rPr>
        <w:footnoteReference w:id="4759"/>
      </w:r>
      <w:r>
        <w:rPr>
          <w:rtl/>
        </w:rPr>
        <w:t xml:space="preserve">דְּאִסְתַּכַּל אַסְיָא בִדְפִיקוּ, עָבַד דָּוִד עֲשָׂרָה מִינֵי נִגּוּנִים בַּתִּלִּים, אַרְבָּעָה אִינוּן </w:t>
      </w:r>
      <w:r>
        <w:rPr>
          <w:sz w:val="20"/>
          <w:szCs w:val="23"/>
          <w:rtl/>
        </w:rPr>
        <w:t>(שיר ה ב)</w:t>
      </w:r>
      <w:r>
        <w:rPr>
          <w:rtl/>
        </w:rPr>
        <w:t xml:space="preserve"> אֲחוֹתִי רַעְיָתִי יוֹנָתִי תַמָּתִי לָקֳבֵל יהו''ה, עֲשָׂרָה דְפִיקִין לָקֳבֵל יוד הא ואו הא, דְּפִיקוּ נָפִיק מֵאֻדְנָא שְׂמָאלָא דְלִבָּא, </w:t>
      </w:r>
      <w:r>
        <w:rPr>
          <w:rStyle w:val="a7"/>
          <w:b w:val="0"/>
          <w:bCs w:val="0"/>
          <w:rtl/>
        </w:rPr>
        <w:footnoteReference w:id="4760"/>
      </w:r>
      <w:r>
        <w:rPr>
          <w:rtl/>
        </w:rPr>
        <w:t xml:space="preserve">וְדָא הוּא רוּחַ צְפוֹנִי דַהֲוָה מְנַשֵּׁב בְּכִנּוֹר דְּדָוִד דַּהֲוָה מְנַגֵּן מֵאֵלָיו, וְכָל עַרְקִין וּוָרִידֵי גוּפָא דְאִינוּן דָּפְקִין, מִלִּבָּא אִינוּן </w:t>
      </w:r>
      <w:r>
        <w:rPr>
          <w:sz w:val="20"/>
          <w:szCs w:val="23"/>
          <w:rtl/>
        </w:rPr>
        <w:t>(נ''א הוה)</w:t>
      </w:r>
      <w:r>
        <w:rPr>
          <w:szCs w:val="23"/>
          <w:rtl/>
        </w:rPr>
        <w:t xml:space="preserve"> </w:t>
      </w:r>
      <w:r w:rsidRPr="003C0900">
        <w:rPr>
          <w:rtl/>
        </w:rPr>
        <w:t>דָּפְקִין, וְרָזָא דְמִלָּה</w:t>
      </w:r>
      <w:r>
        <w:rPr>
          <w:szCs w:val="23"/>
          <w:rtl/>
        </w:rPr>
        <w:t xml:space="preserve"> </w:t>
      </w:r>
      <w:r>
        <w:rPr>
          <w:sz w:val="20"/>
          <w:szCs w:val="23"/>
          <w:rtl/>
        </w:rPr>
        <w:t>(יחזקאל א יב)</w:t>
      </w:r>
      <w:r>
        <w:rPr>
          <w:rtl/>
        </w:rPr>
        <w:t xml:space="preserve"> אֶל אֲשֶׁר יִהְיֶה שָּׁמָּה הָרוּחַ לָלֶכֶת יֵלֵכוּ.</w:t>
      </w:r>
    </w:p>
    <w:p w:rsidR="0020255E" w:rsidRDefault="0020255E" w:rsidP="003C0900">
      <w:pPr>
        <w:pStyle w:val="2"/>
        <w:rPr>
          <w:rtl/>
        </w:rPr>
      </w:pPr>
      <w:bookmarkStart w:id="311" w:name="_Toc228095761"/>
      <w:bookmarkStart w:id="312" w:name="_Toc231638199"/>
      <w:r>
        <w:rPr>
          <w:rtl/>
        </w:rPr>
        <w:t>[תיקוני זוהר - דף לה ע''א]</w:t>
      </w:r>
      <w:bookmarkEnd w:id="311"/>
      <w:bookmarkEnd w:id="312"/>
    </w:p>
    <w:p w:rsidR="0020255E" w:rsidRDefault="0020255E" w:rsidP="003C0900">
      <w:pPr>
        <w:pStyle w:val="NormalWeb"/>
        <w:rPr>
          <w:rtl/>
        </w:rPr>
      </w:pPr>
      <w:r>
        <w:rPr>
          <w:rtl/>
        </w:rPr>
        <w:t xml:space="preserve">כָּבֵד הוּא סמא''ל </w:t>
      </w:r>
      <w:r w:rsidRPr="003C0900">
        <w:rPr>
          <w:rStyle w:val="20"/>
          <w:rtl/>
        </w:rPr>
        <w:t>(לה ע"א)</w:t>
      </w:r>
      <w:r>
        <w:rPr>
          <w:rtl/>
        </w:rPr>
        <w:t xml:space="preserve"> הוּא עִשָׂו, דְּלֵית בֵּיהּ רוּחָא דְקוּדְשָׁא, </w:t>
      </w:r>
      <w:r>
        <w:rPr>
          <w:rStyle w:val="a7"/>
          <w:b w:val="0"/>
          <w:bCs w:val="0"/>
          <w:rtl/>
        </w:rPr>
        <w:footnoteReference w:id="4761"/>
      </w:r>
      <w:r>
        <w:rPr>
          <w:rtl/>
        </w:rPr>
        <w:t xml:space="preserve">לָא דָפְקִין עַרְקִין דִּילֵיהּ, וּבְגִין דָּא לָא שַׁרְיָא שְׁכִינְתָּא בְּאוּמִין </w:t>
      </w:r>
      <w:r w:rsidRPr="003C0900">
        <w:rPr>
          <w:rtl/>
        </w:rPr>
        <w:t>פַּלְחֵי</w:t>
      </w:r>
      <w:r>
        <w:rPr>
          <w:rtl/>
        </w:rPr>
        <w:t xml:space="preserve"> כּוֹכְבַיָא דְּעָלְמָא, וּבְגָלוּתָא דְאִסְתַּלַּק רוּח דְקוּדְשָׁא, דְאִתְּמַר בֵּיהּ </w:t>
      </w:r>
      <w:r>
        <w:rPr>
          <w:sz w:val="20"/>
          <w:szCs w:val="23"/>
          <w:rtl/>
        </w:rPr>
        <w:t>(ישעיה יא ב)</w:t>
      </w:r>
      <w:r>
        <w:rPr>
          <w:rtl/>
        </w:rPr>
        <w:t xml:space="preserve"> וְנָחָה עָלָיו רוּחַ יהו''ה וגו', לֵית דְּפִיקוּ בְלִבָּא דְאִיהִי שְׁכִינְתָּא, וּבְגִין דָּא אִתְּמַר בָּהּ </w:t>
      </w:r>
      <w:r>
        <w:rPr>
          <w:sz w:val="20"/>
          <w:szCs w:val="23"/>
          <w:rtl/>
        </w:rPr>
        <w:t>(שיר ה ב)</w:t>
      </w:r>
      <w:r>
        <w:rPr>
          <w:rtl/>
        </w:rPr>
        <w:t xml:space="preserve"> אֲנִי יְשֵׁנָה וְלִבִּי עִר, וְלֵית בַּת קוֹל בְּפוּמָא </w:t>
      </w:r>
      <w:r>
        <w:rPr>
          <w:sz w:val="20"/>
          <w:szCs w:val="23"/>
          <w:rtl/>
        </w:rPr>
        <w:t>(דהוה סלקא)</w:t>
      </w:r>
      <w:r>
        <w:rPr>
          <w:szCs w:val="23"/>
          <w:rtl/>
        </w:rPr>
        <w:t xml:space="preserve">, </w:t>
      </w:r>
      <w:r>
        <w:rPr>
          <w:sz w:val="20"/>
          <w:szCs w:val="23"/>
          <w:rtl/>
        </w:rPr>
        <w:t>(נ''א דבה סליק)</w:t>
      </w:r>
      <w:r>
        <w:rPr>
          <w:rtl/>
        </w:rPr>
        <w:t xml:space="preserve"> קָלָא בְרוּחָא בַּתְּקִיעָה בַּאֲרִיכוּ, וּבַשְּׁבָרִים בִּתְּבִירוּ, וּבַתְּרוּעָה שַׁלְשֶׁלֶ''ת קָלָא בֵּינוּנִית לָא בַאֲרִיכוּ וְלָא בִקְצִירוּ, </w:t>
      </w:r>
      <w:r>
        <w:rPr>
          <w:rStyle w:val="a7"/>
          <w:b w:val="0"/>
          <w:bCs w:val="0"/>
          <w:rtl/>
        </w:rPr>
        <w:footnoteReference w:id="4762"/>
      </w:r>
      <w:r>
        <w:rPr>
          <w:rtl/>
        </w:rPr>
        <w:t xml:space="preserve">בַּת קוֹל אִיהִי קוֹל דְּמָמָה דַקָּה זְעִירָא, קָלָא נְמוּכָה בַחֲשַׁאי, דְּהָא קוֹל בְּאִשָּׁה עֶרְוָה. </w:t>
      </w:r>
      <w:r>
        <w:rPr>
          <w:rStyle w:val="a7"/>
          <w:b w:val="0"/>
          <w:bCs w:val="0"/>
          <w:rtl/>
        </w:rPr>
        <w:footnoteReference w:id="4763"/>
      </w:r>
      <w:r>
        <w:rPr>
          <w:rtl/>
        </w:rPr>
        <w:t xml:space="preserve">וְכַד יֵיתֵי מְשִׁיחָא נָחִית רוּחָא דְקוּדְשָׁא עֲלֵיהּ, וּמִיָּד אִיהִי אָמְרַת קוֹל דּוֹדִי דוֹפֵק, דְּפִיקוּ סָלִיק וְנָחִית, </w:t>
      </w:r>
      <w:r>
        <w:rPr>
          <w:rStyle w:val="a7"/>
          <w:b w:val="0"/>
          <w:bCs w:val="0"/>
          <w:rtl/>
        </w:rPr>
        <w:footnoteReference w:id="4764"/>
      </w:r>
      <w:r>
        <w:rPr>
          <w:rtl/>
        </w:rPr>
        <w:t>סָלִיק ה' תַּתָּאָה לְגַבֵּי י', וְנָחִית ה' עִלָּאָה לְגַבֵּי ו', דְּאִיהוּ קָרְבָּן לַיהו''ה, קָרְבָּן עוֹלֶה וְיוֹרֵד.</w:t>
      </w:r>
    </w:p>
    <w:p w:rsidR="0020255E" w:rsidRDefault="0020255E" w:rsidP="001336CC">
      <w:pPr>
        <w:pStyle w:val="NormalWeb"/>
        <w:rPr>
          <w:rtl/>
        </w:rPr>
      </w:pPr>
      <w:r>
        <w:rPr>
          <w:rtl/>
        </w:rPr>
        <w:t xml:space="preserve">וְרָזָא דְמִלָּה </w:t>
      </w:r>
      <w:r>
        <w:rPr>
          <w:sz w:val="20"/>
          <w:szCs w:val="23"/>
          <w:rtl/>
        </w:rPr>
        <w:t>(משלי ג יט)</w:t>
      </w:r>
      <w:r>
        <w:rPr>
          <w:rtl/>
        </w:rPr>
        <w:t xml:space="preserve"> יהו''ה </w:t>
      </w:r>
      <w:r w:rsidRPr="001336CC">
        <w:rPr>
          <w:rtl/>
        </w:rPr>
        <w:t>בְּחָכְמָה</w:t>
      </w:r>
      <w:r>
        <w:rPr>
          <w:rtl/>
        </w:rPr>
        <w:t xml:space="preserve"> יָסַד אָרֶץ כּוֹנֵן שָׁמַיִם בִּתְבוּנָה, בְּאַבָּא דְאִיהוּ י' יָסַד בְּרַתָּא דְאִיהִי ה' זְעִירָא, דַּעֲלָהּ אִתְּמַר </w:t>
      </w:r>
      <w:r>
        <w:rPr>
          <w:sz w:val="20"/>
          <w:szCs w:val="23"/>
          <w:rtl/>
        </w:rPr>
        <w:t>(בראשית לז יא)</w:t>
      </w:r>
      <w:r>
        <w:rPr>
          <w:rtl/>
        </w:rPr>
        <w:t xml:space="preserve"> </w:t>
      </w:r>
      <w:r>
        <w:rPr>
          <w:rStyle w:val="a7"/>
          <w:b w:val="0"/>
          <w:bCs w:val="0"/>
          <w:rtl/>
        </w:rPr>
        <w:footnoteReference w:id="4765"/>
      </w:r>
      <w:r>
        <w:rPr>
          <w:rtl/>
        </w:rPr>
        <w:t xml:space="preserve">וְאָבִיו שָׁמַר אֶת הַדָּבָר, בְּאִימָּא דְאִיהִי ה' עִלָּאָה כּוֹנֵן שָׁמַיִם דְּאִיהוּ ו', </w:t>
      </w:r>
      <w:r>
        <w:rPr>
          <w:rStyle w:val="a7"/>
          <w:b w:val="0"/>
          <w:bCs w:val="0"/>
          <w:rtl/>
        </w:rPr>
        <w:footnoteReference w:id="4766"/>
      </w:r>
      <w:r>
        <w:rPr>
          <w:rtl/>
        </w:rPr>
        <w:t xml:space="preserve">וְאִיהוּ בֶן י''ה, וְכַד יְהוֹן מִתְקָרְבִין אַתְוָון אָב עִם אֵם בֵּן עִם בַּת כָּל חַד בְּבַת זוּגֵיהּ, ה' עִלָּאָה </w:t>
      </w:r>
      <w:r>
        <w:rPr>
          <w:sz w:val="20"/>
          <w:szCs w:val="23"/>
          <w:rtl/>
        </w:rPr>
        <w:t>(סליק)</w:t>
      </w:r>
      <w:r>
        <w:rPr>
          <w:szCs w:val="23"/>
          <w:rtl/>
        </w:rPr>
        <w:t xml:space="preserve"> </w:t>
      </w:r>
      <w:r w:rsidRPr="001336CC">
        <w:rPr>
          <w:rtl/>
        </w:rPr>
        <w:t>לְגַבֵּי י', ה'</w:t>
      </w:r>
      <w:r>
        <w:rPr>
          <w:szCs w:val="23"/>
          <w:rtl/>
        </w:rPr>
        <w:t xml:space="preserve"> </w:t>
      </w:r>
      <w:r>
        <w:rPr>
          <w:sz w:val="20"/>
          <w:szCs w:val="23"/>
          <w:rtl/>
        </w:rPr>
        <w:t>(תתאה)</w:t>
      </w:r>
      <w:r>
        <w:rPr>
          <w:rtl/>
        </w:rPr>
        <w:t xml:space="preserve"> נָחִית לְגַבֵּי ו', </w:t>
      </w:r>
      <w:r>
        <w:rPr>
          <w:rStyle w:val="a7"/>
          <w:b w:val="0"/>
          <w:bCs w:val="0"/>
          <w:rtl/>
        </w:rPr>
        <w:footnoteReference w:id="4767"/>
      </w:r>
      <w:r>
        <w:rPr>
          <w:rtl/>
        </w:rPr>
        <w:t xml:space="preserve">הַאי אִיהוּ קָרְבָּן עוֹלֶה וְיוֹרֵד, בְּהַהוּא זִמְנָא </w:t>
      </w:r>
      <w:r>
        <w:rPr>
          <w:sz w:val="20"/>
          <w:szCs w:val="23"/>
          <w:rtl/>
        </w:rPr>
        <w:t>(יחזקאל לז ז)</w:t>
      </w:r>
      <w:r>
        <w:rPr>
          <w:rtl/>
        </w:rPr>
        <w:t xml:space="preserve"> וַתִּקְרְבוּ עֲצָמוֹת עֶצֶם אֶל עַצְמוֹ, וְרָזָא דְמִלָּה </w:t>
      </w:r>
      <w:r>
        <w:rPr>
          <w:sz w:val="20"/>
          <w:szCs w:val="23"/>
          <w:rtl/>
        </w:rPr>
        <w:t>(בראשית ב כג)</w:t>
      </w:r>
      <w:r>
        <w:rPr>
          <w:rtl/>
        </w:rPr>
        <w:t xml:space="preserve"> עֶצֶם מֵעֲצָמַי וּבָשָׂר מִבְּשָׂרִי, עֶצֶם מֵעֲצָמַי דָא י' עִם ה', וּבָשָׂר מִבְּשָׂרִי דָא ו' עִם ה', </w:t>
      </w:r>
      <w:r>
        <w:rPr>
          <w:sz w:val="20"/>
          <w:szCs w:val="23"/>
          <w:rtl/>
        </w:rPr>
        <w:t>(שם כד)</w:t>
      </w:r>
      <w:r>
        <w:rPr>
          <w:rtl/>
        </w:rPr>
        <w:t xml:space="preserve"> </w:t>
      </w:r>
      <w:r>
        <w:rPr>
          <w:rStyle w:val="a7"/>
          <w:b w:val="0"/>
          <w:bCs w:val="0"/>
          <w:rtl/>
        </w:rPr>
        <w:footnoteReference w:id="4768"/>
      </w:r>
      <w:r>
        <w:rPr>
          <w:rtl/>
        </w:rPr>
        <w:t>וְעַל כֵּן יַעֲזָב אִישׁ אֶת אָבִיו וְאֶת אִמּוֹ וְגוֹמֵר.</w:t>
      </w:r>
    </w:p>
    <w:p w:rsidR="0020255E" w:rsidRDefault="0020255E" w:rsidP="001336CC">
      <w:pPr>
        <w:pStyle w:val="NormalWeb"/>
        <w:rPr>
          <w:rtl/>
        </w:rPr>
      </w:pPr>
      <w:r>
        <w:rPr>
          <w:rtl/>
        </w:rPr>
        <w:t xml:space="preserve">וְכַד סָלִיק ה' לְגַבֵּי י' אִתְּמַר בָּהּ </w:t>
      </w:r>
      <w:r>
        <w:rPr>
          <w:sz w:val="20"/>
          <w:szCs w:val="23"/>
          <w:rtl/>
        </w:rPr>
        <w:t>(ויקרא ו ב)</w:t>
      </w:r>
      <w:r>
        <w:rPr>
          <w:rtl/>
        </w:rPr>
        <w:t xml:space="preserve"> זֹאת תּוֹרַת הָעוֹלָה הִיא הָעוֹלָה, </w:t>
      </w:r>
      <w:r>
        <w:rPr>
          <w:rStyle w:val="a7"/>
          <w:b w:val="0"/>
          <w:bCs w:val="0"/>
          <w:rtl/>
        </w:rPr>
        <w:footnoteReference w:id="4769"/>
      </w:r>
      <w:r>
        <w:rPr>
          <w:rtl/>
        </w:rPr>
        <w:t xml:space="preserve">דְּהָא </w:t>
      </w:r>
      <w:r>
        <w:rPr>
          <w:sz w:val="20"/>
          <w:szCs w:val="23"/>
          <w:rtl/>
        </w:rPr>
        <w:t>(דהוה)</w:t>
      </w:r>
      <w:r>
        <w:rPr>
          <w:rtl/>
        </w:rPr>
        <w:t xml:space="preserve"> סְלִיקַת לְגַבֵּי אַבָּא, </w:t>
      </w:r>
      <w:r>
        <w:rPr>
          <w:rStyle w:val="a7"/>
          <w:b w:val="0"/>
          <w:bCs w:val="0"/>
          <w:rtl/>
        </w:rPr>
        <w:footnoteReference w:id="4770"/>
      </w:r>
      <w:r>
        <w:rPr>
          <w:rtl/>
        </w:rPr>
        <w:t xml:space="preserve">וְכַד נְחִיתַת אִמָא לְגַבֵּי בְּרָא אִתְּמַר בָּהּ </w:t>
      </w:r>
      <w:r>
        <w:rPr>
          <w:sz w:val="20"/>
          <w:szCs w:val="23"/>
          <w:rtl/>
        </w:rPr>
        <w:t>(שם ה)</w:t>
      </w:r>
      <w:r>
        <w:rPr>
          <w:rtl/>
        </w:rPr>
        <w:t xml:space="preserve"> וְאֵשׁ הַמִּזְבֵּחַ תּוּקַד בּוֹ, אִתּוֹקַד בֵּיהּ בְּשַׁלְהוֹבִין דִּרְחִימוּ, וְהָכִי כַד נָחִית ו' </w:t>
      </w:r>
      <w:r w:rsidRPr="001336CC">
        <w:rPr>
          <w:rtl/>
        </w:rPr>
        <w:t>לְגַבֵּי</w:t>
      </w:r>
      <w:r>
        <w:rPr>
          <w:rtl/>
        </w:rPr>
        <w:t xml:space="preserve"> ה' דִילֵיהּ, וְי' סָלִיק לְגַבֵּי ה' דִילֵיהּ, </w:t>
      </w:r>
      <w:r>
        <w:rPr>
          <w:rStyle w:val="a7"/>
          <w:b w:val="0"/>
          <w:bCs w:val="0"/>
          <w:rtl/>
        </w:rPr>
        <w:footnoteReference w:id="4771"/>
      </w:r>
      <w:r>
        <w:rPr>
          <w:rtl/>
        </w:rPr>
        <w:t xml:space="preserve">בְּהַהוּא זִמְנָא </w:t>
      </w:r>
      <w:r>
        <w:rPr>
          <w:sz w:val="20"/>
          <w:szCs w:val="23"/>
          <w:rtl/>
        </w:rPr>
        <w:t>(בראשית כח יב)</w:t>
      </w:r>
      <w:r>
        <w:rPr>
          <w:rtl/>
        </w:rPr>
        <w:t xml:space="preserve"> וְהִנֵּה מַלְאֲכֵי אלהי''ם עוֹלִים וְיוֹרְדִים בּוֹ, כָּל אִלֵּין דְּפִיקִין דִּשְׁאָר עַרְקִין, וְהָכִי אוּקְמוּהוּ סָלְקִין תְּרֵין וְנָחֲתִין תְּרֵין, סָלְקִין תְּרֵי י''ה דָּא לְגַבֵּי דָא, וְנָחֲתִין תְּרֵי ו''ה דָּא לְגַבֵּי דָא.</w:t>
      </w:r>
    </w:p>
    <w:p w:rsidR="0020255E" w:rsidRDefault="0020255E" w:rsidP="001336CC">
      <w:pPr>
        <w:pStyle w:val="NormalWeb"/>
        <w:rPr>
          <w:rtl/>
        </w:rPr>
      </w:pPr>
      <w:r>
        <w:rPr>
          <w:rStyle w:val="a7"/>
          <w:b w:val="0"/>
          <w:bCs w:val="0"/>
          <w:rtl/>
        </w:rPr>
        <w:footnoteReference w:id="4772"/>
      </w:r>
      <w:r>
        <w:rPr>
          <w:rtl/>
        </w:rPr>
        <w:t xml:space="preserve">וְעוֹד סָלְקִין תְּרֵי רוּחָא וְאֶשָּׁא, דְאִינוּן קָלִין וְסָלְקִין בִּדְפִיקוּ, וְנָחֲתִין תְּרֵי מַיָּא וְעַפְרָא, דְאִינוּן כְּבֵדִין בִּדְפִיקוּ, וְאִינוּן מִיכָאֵ''ל </w:t>
      </w:r>
      <w:r w:rsidRPr="001336CC">
        <w:rPr>
          <w:rtl/>
        </w:rPr>
        <w:t>גַּבְרִיאֵ''ל</w:t>
      </w:r>
      <w:r>
        <w:rPr>
          <w:rtl/>
        </w:rPr>
        <w:t xml:space="preserve"> נוּרִיאֵ''ל רְפָאֵ''ל, מִיכָאֵ''ל מַיָּא, גַּבְרִיאֵ''ל אֶשָּׁא, נוּרִיאֵ''ל רוּחָא, רְפָאֵ''ל עַפְרָא, </w:t>
      </w:r>
      <w:r>
        <w:rPr>
          <w:rStyle w:val="a7"/>
          <w:b w:val="0"/>
          <w:bCs w:val="0"/>
          <w:rtl/>
        </w:rPr>
        <w:footnoteReference w:id="4773"/>
      </w:r>
      <w:r>
        <w:rPr>
          <w:rtl/>
        </w:rPr>
        <w:t>ה''ה, הֲבַל סָלִיק הֲבַל נָחִית, הֲבַל סָלִיק דָּא ה' עִלָּאָה דְסָלִיק בְּקָלָא דְּאִיהוּ וא"ו, וַהֲבַל נָחִית דָּא ה' תַּתָּאָה דְנָחִית לְגַבֵּי יו"ד דְּאִיהוּ עֲשַׂר אֲמִירָן, וְעָבַד דִּבּוּר.</w:t>
      </w:r>
    </w:p>
    <w:p w:rsidR="0020255E" w:rsidRDefault="0020255E" w:rsidP="001336CC">
      <w:pPr>
        <w:pStyle w:val="NormalWeb"/>
        <w:rPr>
          <w:rtl/>
        </w:rPr>
      </w:pPr>
      <w:r>
        <w:rPr>
          <w:rtl/>
        </w:rPr>
        <w:t xml:space="preserve">קְרִיבוּ דְכָל הֲבָלִים וְקָלָא וְדִבּוּרָא אִיהוּ פֶ''ה, דְאִיהוּ בְּחוּשְׁבַּן מִילָ''ה, כְּלִיל כֹּלָּא, </w:t>
      </w:r>
      <w:r>
        <w:rPr>
          <w:rStyle w:val="a7"/>
          <w:b w:val="0"/>
          <w:bCs w:val="0"/>
          <w:rtl/>
        </w:rPr>
        <w:footnoteReference w:id="4774"/>
      </w:r>
      <w:r>
        <w:rPr>
          <w:rtl/>
        </w:rPr>
        <w:t xml:space="preserve">אִיהוּ קְרִיבוּ דְאדנ''י בְּעַמּוּדָא דְאֶמְצָעִיתָא קָרְבָּן לַיהו''ה, וְדָא שְׁכִינְתָּא תַּתָּאָה, וְאִיהִי </w:t>
      </w:r>
      <w:r>
        <w:rPr>
          <w:sz w:val="20"/>
          <w:szCs w:val="23"/>
          <w:rtl/>
        </w:rPr>
        <w:t>(ואיהו)</w:t>
      </w:r>
      <w:r>
        <w:rPr>
          <w:rtl/>
        </w:rPr>
        <w:t xml:space="preserve"> יִחוּדָא דְאַתְוָון יהו''ה בַּצַּדִּיק, דְּאִיהוּ אוֹת בְּרִית, וְזַכָּאָה </w:t>
      </w:r>
      <w:r w:rsidRPr="001336CC">
        <w:rPr>
          <w:rtl/>
        </w:rPr>
        <w:t>אִיהוּ</w:t>
      </w:r>
      <w:r>
        <w:rPr>
          <w:rtl/>
        </w:rPr>
        <w:t xml:space="preserve"> מָאן דְּקָרִיב אַתְוָון אִלֵּין בִּצְלוֹתִין, דְּאִיהִי קָרְבָּנָא דְקוּדְשָׁא בְּרִיךְ הוּא, שְׁכִינְתָּא דִילֵיהּ, בְּפוּמוֹי, (וְ)זַכָּאָה אִיהוּ מָאן דִּמְיַחֵד לוֹן בִּקְרִיאַת שְׁמַע, דִּקְרִיבוּ דִלְהוֹן וַדַּאי בְּעַמּוּדָא דְאֶמְצָעִיתָא, יִחוּדָא דִלְהוֹן בַּצַּדִּיק, וּמָאן אִיהוּ דִמְיַחֵד כֹּלָּא וּמְקָרֵב כֹּלָּא - עִלַּת הָעִלּוֹת.</w:t>
      </w:r>
    </w:p>
    <w:p w:rsidR="0020255E" w:rsidRDefault="0020255E" w:rsidP="001336CC">
      <w:pPr>
        <w:pStyle w:val="2"/>
        <w:rPr>
          <w:rtl/>
        </w:rPr>
      </w:pPr>
      <w:bookmarkStart w:id="313" w:name="_Toc228095762"/>
      <w:bookmarkStart w:id="314" w:name="_Toc231638200"/>
      <w:r>
        <w:rPr>
          <w:rtl/>
        </w:rPr>
        <w:t>[תיקוני זוהר - דף לה ע''ב]</w:t>
      </w:r>
      <w:bookmarkEnd w:id="313"/>
      <w:bookmarkEnd w:id="314"/>
    </w:p>
    <w:p w:rsidR="0020255E" w:rsidRDefault="0020255E" w:rsidP="0020255E">
      <w:pPr>
        <w:pStyle w:val="NormalWeb"/>
        <w:rPr>
          <w:b w:val="0"/>
          <w:bCs w:val="0"/>
          <w:rtl/>
        </w:rPr>
      </w:pPr>
      <w:r>
        <w:rPr>
          <w:rStyle w:val="a7"/>
          <w:b w:val="0"/>
          <w:bCs w:val="0"/>
          <w:rtl/>
        </w:rPr>
        <w:footnoteReference w:id="4775"/>
      </w:r>
      <w:r>
        <w:rPr>
          <w:b w:val="0"/>
          <w:bCs w:val="0"/>
          <w:rtl/>
        </w:rPr>
        <w:t xml:space="preserve">אַדְהָכִי הָא סָבָא קָא אִזְדַּמַּן לֵיהּ דַּהֲוָה נָהִיר עָלְמִין רַבִּי פִּנְחָס בֶּן יָאִיר שְׁמֵיהּ, וְאָמַר רַבִּי רַבִּי, וַדַּאי קְרִיבוּ דְאַרְבַּע אַתְוָון וְיִחוּדָא דִלְהוֹן בְּעַמּוּדָא דְאֶמְצָעִיתָא, וּקְרִיבוּ וְיִחוּדָא דִלְהוֹן הָכִי הוּא בַּצַּדִּיק, וּבִתְּרֵין דַּרְגִּין מְיַחֲדִין לוֹן יִשְׂרָאֵל, בִּקְרִיאַת שְׁמַע דְּעַרְבִית וְשַׁחֲרִית, וּמְקָרְבִין לוֹן בִּצְלוֹתָא דְשַׁחֲרִית וְעַרְבִית, וְדָא קָרְבָּן עוֹלֶה וְיוֹרֵד, ה' עוֹלֶה בְּעַמּוּדָא דְאֶמְצָעִיתָא, ו' יוֹרֵד בַּצַּדִּיק, </w:t>
      </w:r>
      <w:r>
        <w:rPr>
          <w:rStyle w:val="a7"/>
          <w:b w:val="0"/>
          <w:bCs w:val="0"/>
          <w:rtl/>
        </w:rPr>
        <w:footnoteReference w:id="4776"/>
      </w:r>
      <w:r>
        <w:rPr>
          <w:b w:val="0"/>
          <w:bCs w:val="0"/>
          <w:rtl/>
        </w:rPr>
        <w:t xml:space="preserve">אַף עַל גַּב דְּכֹלָּא קְשׁוֹט, עוֹלֶה וְיוֹרֵד ה' בְּאָת י', ה' בְּאָת ו', מִיָּד </w:t>
      </w:r>
      <w:r>
        <w:rPr>
          <w:b w:val="0"/>
          <w:sz w:val="20"/>
          <w:szCs w:val="23"/>
          <w:rtl/>
        </w:rPr>
        <w:t xml:space="preserve">(דף לה ע''ב) </w:t>
      </w:r>
      <w:r>
        <w:rPr>
          <w:b w:val="0"/>
          <w:bCs w:val="0"/>
          <w:rtl/>
        </w:rPr>
        <w:t>דְּאָמַר מִלִּין אִלֵּין פָּרַח.</w:t>
      </w:r>
    </w:p>
    <w:p w:rsidR="0020255E" w:rsidRDefault="0020255E" w:rsidP="0020255E">
      <w:pPr>
        <w:pStyle w:val="NormalWeb"/>
        <w:rPr>
          <w:b w:val="0"/>
          <w:bCs w:val="0"/>
          <w:rtl/>
        </w:rPr>
      </w:pPr>
      <w:r>
        <w:rPr>
          <w:b w:val="0"/>
          <w:bCs w:val="0"/>
          <w:rtl/>
        </w:rPr>
        <w:t xml:space="preserve">אָמַר רַבִּי שִׁמְעוֹן לְחַבְרַיָּא, זַכָּאָה חוּלְקָנָא דְעִלָּאִין וְתַתָּאִין אִינוּן בְּאַסְכָּמוּתָא לְסַיֵּיעַ לָן, הַאי אִיהוּ דְאוּקְמוּהוּ מָארֵי מַתְנִיתִין דְּבַר נַשׁ דְּאִשְׁתַּדַּל בְּפוּלְחָנָא דְמָארֵיהּ דְּכָל בִּרְיָין דְּעָלְמָא אִינוּן בְּסַיְעַתָּא דִילֵיהּ, כְּמָה דְאוּקְמוּהָ כָּל הָעוֹלָם כֻּלּוֹ לֹא נִבְרָא אֶלָּא לְצַוּוֹת לָזֶה, </w:t>
      </w:r>
      <w:r>
        <w:rPr>
          <w:rStyle w:val="a7"/>
          <w:b w:val="0"/>
          <w:bCs w:val="0"/>
          <w:rtl/>
        </w:rPr>
        <w:footnoteReference w:id="4777"/>
      </w:r>
      <w:r>
        <w:rPr>
          <w:b w:val="0"/>
          <w:bCs w:val="0"/>
          <w:rtl/>
        </w:rPr>
        <w:t xml:space="preserve">וַאֲפִילוּ שְׂרָפִים וְחַיּוֹת וְאוֹפַנִּים לָא אִתְבְּרִיאוּ אֶלָּא לְסַיַּיעְתֵּיהּ, וְכַד בַּר נַשׁ אַפִּיק הֲבָלִים וְדִבּוּרִים בִּצְלוֹתֵיהּ, כַּמָּה עוֹפִין פָּתְחִין גַּדְפַיְיהוּ וּפִימַיְיהוּ לְקַבְּלָא לוֹן, הֲדָא הוּא דִכְתִיב </w:t>
      </w:r>
      <w:r>
        <w:rPr>
          <w:b w:val="0"/>
          <w:sz w:val="20"/>
          <w:szCs w:val="23"/>
          <w:rtl/>
        </w:rPr>
        <w:t>(קהלת י)</w:t>
      </w:r>
      <w:r>
        <w:rPr>
          <w:b w:val="0"/>
          <w:bCs w:val="0"/>
          <w:rtl/>
        </w:rPr>
        <w:t xml:space="preserve"> כִּי עוֹף הַשָּׁמַיִם יוֹלִיךְ אֶת הַקּוֹל וּבַעַל כְּנָפַיִם יַגֵּיד דָּבָר, </w:t>
      </w:r>
      <w:r>
        <w:rPr>
          <w:rStyle w:val="a7"/>
          <w:b w:val="0"/>
          <w:bCs w:val="0"/>
          <w:rtl/>
        </w:rPr>
        <w:footnoteReference w:id="4778"/>
      </w:r>
      <w:r>
        <w:rPr>
          <w:b w:val="0"/>
          <w:bCs w:val="0"/>
          <w:rtl/>
        </w:rPr>
        <w:t xml:space="preserve">וְנָטִיל קוּדְשָׁא בְּרִיךְ הוּא אִלֵּין מִלִּין וּבָנֵי בְּהוֹן עָלְמִין, דְּאִתְּמַר בְּהוֹן </w:t>
      </w:r>
      <w:r>
        <w:rPr>
          <w:b w:val="0"/>
          <w:sz w:val="20"/>
          <w:szCs w:val="23"/>
          <w:rtl/>
        </w:rPr>
        <w:t>(ישעיה סו כב)</w:t>
      </w:r>
      <w:r>
        <w:rPr>
          <w:b w:val="0"/>
          <w:bCs w:val="0"/>
          <w:rtl/>
        </w:rPr>
        <w:t xml:space="preserve"> כִּי כַאֲשֶׁר הַשָּׁמַיִם הַחֲדָשִׁים וְהָאָרֶץ הַחֲדָשָׁה אֲשֶׁר אֲנִי עֹשֶׂה, וְרָזָא דְמִלָּה </w:t>
      </w:r>
      <w:r>
        <w:rPr>
          <w:b w:val="0"/>
          <w:sz w:val="20"/>
          <w:szCs w:val="23"/>
          <w:rtl/>
        </w:rPr>
        <w:t>(שם נא טז)</w:t>
      </w:r>
      <w:r>
        <w:rPr>
          <w:b w:val="0"/>
          <w:bCs w:val="0"/>
          <w:rtl/>
        </w:rPr>
        <w:t xml:space="preserve"> וָאָשִׂים דְּבָרַי בְּפִיךָ וּבְצֵל יָדִי כִּסִּיתִיךָ, לִנְטֹעַ שָׁמַיִם וְלִיסֹד אָרֶץ וְלֵאמֹר לְצִיּוֹן עַמִּי אָתָּה. אַל תִּקְרֵי עַמִּי </w:t>
      </w:r>
      <w:r>
        <w:rPr>
          <w:rStyle w:val="a7"/>
          <w:b w:val="0"/>
          <w:bCs w:val="0"/>
          <w:rtl/>
        </w:rPr>
        <w:footnoteReference w:id="4779"/>
      </w:r>
      <w:r>
        <w:rPr>
          <w:b w:val="0"/>
          <w:bCs w:val="0"/>
          <w:rtl/>
        </w:rPr>
        <w:t>אֶלָּא עִמִּי בְּשׁוּתָּפוּ.</w:t>
      </w:r>
    </w:p>
    <w:p w:rsidR="0020255E" w:rsidRDefault="0020255E" w:rsidP="0020255E">
      <w:pPr>
        <w:pStyle w:val="aa"/>
        <w:spacing w:after="40"/>
        <w:rPr>
          <w:rtl/>
        </w:rPr>
      </w:pPr>
      <w:r>
        <w:rPr>
          <w:rtl/>
        </w:rPr>
        <w:t>[תיקוני זוהר - דף לג ע''ב, לד ע"א]</w:t>
      </w:r>
    </w:p>
    <w:p w:rsidR="0020255E" w:rsidRDefault="0020255E" w:rsidP="0020255E">
      <w:pPr>
        <w:pStyle w:val="NormalWeb"/>
        <w:rPr>
          <w:b w:val="0"/>
          <w:bCs w:val="0"/>
          <w:rtl/>
        </w:rPr>
      </w:pPr>
      <w:r>
        <w:rPr>
          <w:b w:val="0"/>
          <w:bCs w:val="0"/>
          <w:rtl/>
        </w:rPr>
        <w:t xml:space="preserve">אַדְהָכִי הָא סָבָא קָא נָחִית פָּתַח וְאָמַר </w:t>
      </w:r>
      <w:r>
        <w:rPr>
          <w:b w:val="0"/>
          <w:sz w:val="20"/>
          <w:szCs w:val="23"/>
          <w:rtl/>
        </w:rPr>
        <w:t>(שיר ה ב)</w:t>
      </w:r>
      <w:r>
        <w:rPr>
          <w:b w:val="0"/>
          <w:bCs w:val="0"/>
          <w:rtl/>
        </w:rPr>
        <w:t xml:space="preserve"> אֲנִי יְשֵׁנָה וְלִבִּי עִר, </w:t>
      </w:r>
      <w:r>
        <w:rPr>
          <w:b w:val="0"/>
          <w:sz w:val="20"/>
          <w:szCs w:val="23"/>
          <w:rtl/>
        </w:rPr>
        <w:t xml:space="preserve">(דף לג ע''ב) </w:t>
      </w:r>
      <w:r>
        <w:rPr>
          <w:b w:val="0"/>
          <w:bCs w:val="0"/>
          <w:rtl/>
        </w:rPr>
        <w:t xml:space="preserve">אֲנִי יְשֵׁנָה מֵרְחִימָאי דְּאִתְרַחַק מִנִּי, וְלִבִּי עִר כַּד אַתְיָא לְגַבָּי, לְכַלָּה דַהֲוַת נְשׂוּאָה לְחָתָן, וְאִתְרַחַק מִינָהּ, נָפְלַת בְּבֵי מַרְעָא, וְאִתְכַּנְשׁוּ כָל אַסְיָין לְגַבָּהּ, וְלָא הֲווֹ יָכְלִין לְמִנְדַּע מַרְעָא דִילָהּ, אַסְיָא קַרְטְנָא הֲוָה תַמָּן דַּהֲוָה אִשְׁתְּמוֹדָע בִּדְפִיקוּ, בַּעֲשָׂרָה מִינֵי דְפִיקִין דְּבָעִי לְאִסְתַּכְּלָא בְּהוֹן אַסְיָא, לָקֳבֵל עֲשַׂר אֶצְבְּעָאן, וְלָא הֲווֹ אִשְׁתְּמוֹדְעָאן בְּמַרְעָא דִילָהּ אֶלָּא הוּא, דְכַמָּה מַשְׁקִין וְרֵיחִין טָבִין מִתַּפּוּחִין, דְּאִתְּמַר בְּהוֹן </w:t>
      </w:r>
      <w:r>
        <w:rPr>
          <w:b w:val="0"/>
          <w:sz w:val="20"/>
          <w:szCs w:val="23"/>
          <w:rtl/>
        </w:rPr>
        <w:t>(שם ז ט)</w:t>
      </w:r>
      <w:r>
        <w:rPr>
          <w:b w:val="0"/>
          <w:bCs w:val="0"/>
          <w:rtl/>
        </w:rPr>
        <w:t xml:space="preserve"> וְרֵיחַ אַפֵּךְ כַּתַּפּוּחִים, וְכַמָּה מַשְׁקִין מֵעֲסִיס רִמּוֹנִים הֲווֹ מַשְׁקִין לָהּ אַסְיָין אָחֳרָנִין, וְלָא הֲווֹ מְהַנְּיָין לָהּ, עַד דְּאָתָא </w:t>
      </w:r>
      <w:r>
        <w:rPr>
          <w:b w:val="0"/>
          <w:sz w:val="20"/>
          <w:szCs w:val="23"/>
          <w:rtl/>
        </w:rPr>
        <w:t>(דהאי)</w:t>
      </w:r>
      <w:r>
        <w:rPr>
          <w:b w:val="0"/>
          <w:bCs w:val="0"/>
          <w:rtl/>
        </w:rPr>
        <w:t xml:space="preserve"> אַסְיָא קַרְטְנָא אִסְתַּכַּל בִּדְפִיקוּ דִילָהּ, וְאִיהִי אִשְׁתְּמוֹדְעָא בְאַסְיָא, וְאָמְרַת </w:t>
      </w:r>
      <w:r>
        <w:rPr>
          <w:b w:val="0"/>
          <w:sz w:val="20"/>
          <w:szCs w:val="23"/>
          <w:rtl/>
        </w:rPr>
        <w:t>(שם ה ב)</w:t>
      </w:r>
      <w:r>
        <w:rPr>
          <w:b w:val="0"/>
          <w:bCs w:val="0"/>
          <w:rtl/>
        </w:rPr>
        <w:t xml:space="preserve"> קוֹל דּוֹדִי דוֹפֵק, וְאִיהוּ אָמַר פִּתְחִי לִי, פִּתְחִי לְאָת י' דְּאִיהִי עֲשָׂרָה מִינֵי דְפִיקוּ, קוֹל דּוֹדִי דוֹפֵק </w:t>
      </w:r>
      <w:r>
        <w:rPr>
          <w:rStyle w:val="a7"/>
          <w:b w:val="0"/>
          <w:bCs w:val="0"/>
          <w:rtl/>
        </w:rPr>
        <w:footnoteReference w:id="4780"/>
      </w:r>
      <w:r>
        <w:rPr>
          <w:b w:val="0"/>
          <w:bCs w:val="0"/>
          <w:rtl/>
        </w:rPr>
        <w:t xml:space="preserve">דָּא ו' דָּפִיק לְתַרְעָא, בְּשִׁית </w:t>
      </w:r>
      <w:r>
        <w:rPr>
          <w:b w:val="0"/>
          <w:sz w:val="20"/>
          <w:szCs w:val="23"/>
          <w:rtl/>
        </w:rPr>
        <w:t>(דפיקין)</w:t>
      </w:r>
      <w:r>
        <w:rPr>
          <w:b w:val="0"/>
          <w:szCs w:val="23"/>
          <w:rtl/>
        </w:rPr>
        <w:t xml:space="preserve"> </w:t>
      </w:r>
      <w:r>
        <w:rPr>
          <w:rStyle w:val="Char"/>
          <w:rtl/>
        </w:rPr>
        <w:t xml:space="preserve">פִּרְקִין דִּדְרוֹעִין, </w:t>
      </w:r>
      <w:r>
        <w:rPr>
          <w:b w:val="0"/>
          <w:sz w:val="20"/>
          <w:szCs w:val="23"/>
          <w:rtl/>
        </w:rPr>
        <w:t>(דף לד ע"א)</w:t>
      </w:r>
      <w:r>
        <w:rPr>
          <w:rStyle w:val="Char"/>
          <w:rtl/>
        </w:rPr>
        <w:t xml:space="preserve"> </w:t>
      </w:r>
      <w:r>
        <w:rPr>
          <w:rStyle w:val="a7"/>
          <w:b w:val="0"/>
          <w:bCs w:val="0"/>
          <w:rtl/>
        </w:rPr>
        <w:footnoteReference w:id="4781"/>
      </w:r>
      <w:r>
        <w:rPr>
          <w:rStyle w:val="Char"/>
          <w:rtl/>
        </w:rPr>
        <w:t>וְרָזָא דְמִלָּה</w:t>
      </w:r>
      <w:r>
        <w:rPr>
          <w:b w:val="0"/>
          <w:szCs w:val="23"/>
          <w:rtl/>
        </w:rPr>
        <w:t xml:space="preserve"> </w:t>
      </w:r>
      <w:r>
        <w:rPr>
          <w:b w:val="0"/>
          <w:sz w:val="20"/>
          <w:szCs w:val="23"/>
          <w:rtl/>
        </w:rPr>
        <w:t>(שם יד)</w:t>
      </w:r>
      <w:r>
        <w:rPr>
          <w:b w:val="0"/>
          <w:bCs w:val="0"/>
          <w:rtl/>
        </w:rPr>
        <w:t xml:space="preserve"> יָדָיו גְּלִילֵי זָהָב מְמוּלָּאִים בַּתַּרְשִׁישׁ, בִּתְרֵ''י שֵׁ''שׁ, בִּתְרֵין דְּרוֹעִין שִׁית פִּרְקִין, וְכֻלְּהוּ רְמִיזִין בְּמִלַּת בְּרֵאשִׁית </w:t>
      </w:r>
      <w:r>
        <w:rPr>
          <w:rStyle w:val="a7"/>
          <w:b w:val="0"/>
          <w:bCs w:val="0"/>
          <w:rtl/>
        </w:rPr>
        <w:footnoteReference w:id="4782"/>
      </w:r>
      <w:r>
        <w:rPr>
          <w:b w:val="0"/>
          <w:bCs w:val="0"/>
          <w:rtl/>
        </w:rPr>
        <w:t>דְּאִיהוּ בָּרָ''א שִׁי''ת.</w:t>
      </w:r>
    </w:p>
    <w:p w:rsidR="0020255E" w:rsidRDefault="0020255E" w:rsidP="0020255E">
      <w:pPr>
        <w:pStyle w:val="NormalWeb"/>
        <w:rPr>
          <w:b w:val="0"/>
          <w:bCs w:val="0"/>
          <w:rtl/>
        </w:rPr>
      </w:pPr>
      <w:r>
        <w:rPr>
          <w:rStyle w:val="a7"/>
          <w:b w:val="0"/>
          <w:bCs w:val="0"/>
          <w:rtl/>
        </w:rPr>
        <w:footnoteReference w:id="4783"/>
      </w:r>
      <w:r>
        <w:rPr>
          <w:b w:val="0"/>
          <w:bCs w:val="0"/>
          <w:rtl/>
        </w:rPr>
        <w:t xml:space="preserve">וַעֲלַיְהוּ אִתְּמַר פִּתְחִי לִי בְּאָת ב', </w:t>
      </w:r>
      <w:r>
        <w:rPr>
          <w:b w:val="0"/>
          <w:sz w:val="20"/>
          <w:szCs w:val="23"/>
          <w:rtl/>
        </w:rPr>
        <w:t>(תהלים קיח יט)</w:t>
      </w:r>
      <w:r>
        <w:rPr>
          <w:b w:val="0"/>
          <w:szCs w:val="23"/>
          <w:rtl/>
        </w:rPr>
        <w:t xml:space="preserve"> </w:t>
      </w:r>
      <w:r>
        <w:rPr>
          <w:rStyle w:val="a7"/>
          <w:b w:val="0"/>
          <w:rtl/>
        </w:rPr>
        <w:footnoteReference w:id="4784"/>
      </w:r>
      <w:r>
        <w:rPr>
          <w:rStyle w:val="Char"/>
          <w:rtl/>
        </w:rPr>
        <w:t>פִּתְחוּ לִי שַׁעֲרֵי צֶדֶק,</w:t>
      </w:r>
      <w:r>
        <w:rPr>
          <w:b w:val="0"/>
          <w:szCs w:val="23"/>
          <w:rtl/>
        </w:rPr>
        <w:t xml:space="preserve"> </w:t>
      </w:r>
      <w:r>
        <w:rPr>
          <w:b w:val="0"/>
          <w:sz w:val="20"/>
          <w:szCs w:val="23"/>
          <w:rtl/>
        </w:rPr>
        <w:t>(שם כד ז)</w:t>
      </w:r>
      <w:r>
        <w:rPr>
          <w:b w:val="0"/>
          <w:bCs w:val="0"/>
          <w:rtl/>
        </w:rPr>
        <w:t xml:space="preserve"> שְׂאוּ שְׁעָרִים רָאשֵׁיכֶם וְהִנָּשְׂאוּ פִּתְחֵי עוֹלָם וְיָבֹא מֶלֶךְ הַכָּבוֹד, וּבְגִין דָּא פִּתְחִי לִי בְּאָת ב', </w:t>
      </w:r>
      <w:r>
        <w:rPr>
          <w:b w:val="0"/>
          <w:sz w:val="20"/>
          <w:szCs w:val="23"/>
          <w:rtl/>
        </w:rPr>
        <w:t>(שם קיח כ)</w:t>
      </w:r>
      <w:r>
        <w:rPr>
          <w:b w:val="0"/>
          <w:bCs w:val="0"/>
          <w:rtl/>
        </w:rPr>
        <w:t xml:space="preserve"> זֶה הַשַּׁעַר לַיהו''ה, וְדָא אָת ב' מִן בְּרֵאשִׁית, אֲחוֹתִי בְּאָת א' מִן בְּרֵאשִׁית, רַעְיָתִי בְּאָת ר' מִן בְּרֵאשִׁית, יוֹנָתִי בְּאָת י' מִבְּרֵאשִׁית, תַמָּתִי בְּאָת ת' מִן בְּרֵאשִׁית, שֶׁרֹאשִׁי בְּאָת ש' מִן בְּרֵאשִׁית, דְסָלִיק </w:t>
      </w:r>
      <w:r>
        <w:rPr>
          <w:rStyle w:val="a7"/>
          <w:b w:val="0"/>
          <w:bCs w:val="0"/>
          <w:rtl/>
        </w:rPr>
        <w:footnoteReference w:id="4785"/>
      </w:r>
      <w:r>
        <w:rPr>
          <w:b w:val="0"/>
          <w:bCs w:val="0"/>
          <w:rtl/>
        </w:rPr>
        <w:t xml:space="preserve">נִמְלָא טָל, רָזָא דְמִלָּה יהו''ה אח''ד דְסָלִיק לְחֻשְׁבָּן ט''ל, </w:t>
      </w:r>
      <w:r>
        <w:rPr>
          <w:rStyle w:val="a7"/>
          <w:b w:val="0"/>
          <w:bCs w:val="0"/>
          <w:rtl/>
        </w:rPr>
        <w:footnoteReference w:id="4786"/>
      </w:r>
      <w:r>
        <w:rPr>
          <w:b w:val="0"/>
          <w:bCs w:val="0"/>
          <w:rtl/>
        </w:rPr>
        <w:t>דָּבָר אַחֵר נִמְלָא טָ''ל בֵּאלֹהִי''ם, וּבֵיהּ אִיהִי מְלֵיאָ''ה, בְּאָן אֲתַר בְּיוֹמָא שְׁבִיעָאָה דְּאִיהוּ שְׁתִיתָאָה, וְעַל רֵישֵׁיהּ י' עֲטָרָה כְלִילָא מֵעֲשָׂרָה, י' אִיהִי טִפָּה דְאִתְמַשְׁכַת מִן מוֹחָא לְגַבֵּי ה' אֲפִיקֵי מָיִם, ו' רוּחָא דְנָפִיק מֵאֹזֶן שְׂמָאלָא, רוּחַ צְפוֹנִית דַהֲוָה נָפִיק מֵאֹזֶן שְׂמָאלָא דְלִבָּא, וַהֲוָה מְנַשֵּׁב בְּכִנּוֹר דְּדָוִד וַהֲוָה מְנַגֵּן מֵאֵלָיו, וַעֲלֵיהּ אִתְּמַר קוֹל דּוֹדִי דוֹפֵק, דִּבְקַדְמֵיתָא אָמְרַת ה' זְעִירָא אֲנִי יְשֵׁנָה מִן י''ה, עַד דְּאִתְעַר ו' לְגַבִּי דְאִיהוּ רוּחַ, וּמִיָּד קוֹל דּוֹדִי דוֹפֵק בְּשִׁית אַתְוָון מִן בְּרֵאשִׁית, דְּאִינוּן לָקֳבֵל שִׁית תֵּיבִין דְּיִחוּדָא, וְאִינוּן לָקֳבֵל שִׁית יוֹמֵי בְּרֵאשִׁית.</w:t>
      </w:r>
    </w:p>
    <w:p w:rsidR="0020255E" w:rsidRDefault="0020255E" w:rsidP="0020255E">
      <w:pPr>
        <w:pStyle w:val="NormalWeb"/>
        <w:rPr>
          <w:b w:val="0"/>
          <w:bCs w:val="0"/>
          <w:rtl/>
        </w:rPr>
      </w:pPr>
      <w:r>
        <w:rPr>
          <w:rStyle w:val="a7"/>
          <w:b w:val="0"/>
          <w:bCs w:val="0"/>
          <w:rtl/>
        </w:rPr>
        <w:footnoteReference w:id="4787"/>
      </w:r>
      <w:r>
        <w:rPr>
          <w:b w:val="0"/>
          <w:bCs w:val="0"/>
          <w:rtl/>
        </w:rPr>
        <w:t xml:space="preserve">וְעוֹד פִּתְחִי לִי בְּיוֹמָא קַדְמָאָה דְאִיהִי יְמִינָא, דַעֲלֵיהּ אִתְּמַר </w:t>
      </w:r>
      <w:r>
        <w:rPr>
          <w:b w:val="0"/>
          <w:sz w:val="20"/>
          <w:szCs w:val="23"/>
          <w:rtl/>
        </w:rPr>
        <w:t>(שם קמה טז)</w:t>
      </w:r>
      <w:r>
        <w:rPr>
          <w:b w:val="0"/>
          <w:bCs w:val="0"/>
          <w:rtl/>
        </w:rPr>
        <w:t xml:space="preserve"> פּוֹתֵחַ אֶת יָדֶיךָ וּמַשְׂבִּיעַ לְכָל חַי רָצוֹן, יָדֶיךָ יוּדֶיךָ, דָּא י' דְּאִיהוּ לִימִינָא, </w:t>
      </w:r>
      <w:r>
        <w:rPr>
          <w:rStyle w:val="a7"/>
          <w:b w:val="0"/>
          <w:bCs w:val="0"/>
          <w:rtl/>
        </w:rPr>
        <w:footnoteReference w:id="4788"/>
      </w:r>
      <w:r>
        <w:rPr>
          <w:b w:val="0"/>
          <w:bCs w:val="0"/>
          <w:rtl/>
        </w:rPr>
        <w:t xml:space="preserve">אֲחוֹתִי בְּיוֹמָא תִּנְיָינָא דְתַמָּן ה', </w:t>
      </w:r>
      <w:r>
        <w:rPr>
          <w:rStyle w:val="a7"/>
          <w:b w:val="0"/>
          <w:bCs w:val="0"/>
          <w:rtl/>
        </w:rPr>
        <w:footnoteReference w:id="4789"/>
      </w:r>
      <w:r>
        <w:rPr>
          <w:b w:val="0"/>
          <w:bCs w:val="0"/>
          <w:rtl/>
        </w:rPr>
        <w:t xml:space="preserve">יוֹנָתִי בְּיוֹמָא תְּלִיתָאָה דְתַמָּן ו', </w:t>
      </w:r>
      <w:r>
        <w:rPr>
          <w:rStyle w:val="a7"/>
          <w:b w:val="0"/>
          <w:bCs w:val="0"/>
          <w:rtl/>
        </w:rPr>
        <w:footnoteReference w:id="4790"/>
      </w:r>
      <w:r>
        <w:rPr>
          <w:b w:val="0"/>
          <w:bCs w:val="0"/>
          <w:rtl/>
        </w:rPr>
        <w:t xml:space="preserve">שֶׁרֹאשִׁי נִמְלָא טָל בְּיוֹמָא רְבִיעָאָה </w:t>
      </w:r>
      <w:r>
        <w:rPr>
          <w:b w:val="0"/>
          <w:sz w:val="20"/>
          <w:szCs w:val="23"/>
          <w:rtl/>
        </w:rPr>
        <w:t>(נ''א תליתאה)</w:t>
      </w:r>
      <w:r>
        <w:rPr>
          <w:b w:val="0"/>
          <w:bCs w:val="0"/>
          <w:rtl/>
        </w:rPr>
        <w:t>, דְּאִיהוּ כְּלָלָא דְיו''ד ה''א וא''ו דְּאִיהוּ חוּשְׁבַּן טָ''ל, וְדָא אִיהוּ גוּפָא וּבְרִית דְּחַשְׁבֵינָן חַד בְּחֻשְׁבָּן, דְּאִיהוּ וָא''ו דְּסָלִיק אֶחָ''ד, ו' עִלָּאָה עַמּוּדָא דְאֶמְצָעִיתָא, ו' תַּתָּאָה צַדִּיק, א' אַחֲזֵי עַל תַּרְוַיְיהוּ דְאִינוּן חָד.</w:t>
      </w:r>
    </w:p>
    <w:p w:rsidR="0020255E" w:rsidRDefault="0020255E" w:rsidP="0020255E">
      <w:pPr>
        <w:pStyle w:val="NormalWeb"/>
        <w:rPr>
          <w:b w:val="0"/>
          <w:bCs w:val="0"/>
          <w:rtl/>
        </w:rPr>
      </w:pPr>
      <w:r>
        <w:rPr>
          <w:rStyle w:val="a7"/>
          <w:b w:val="0"/>
          <w:bCs w:val="0"/>
          <w:rtl/>
        </w:rPr>
        <w:footnoteReference w:id="4791"/>
      </w:r>
      <w:r>
        <w:rPr>
          <w:b w:val="0"/>
          <w:bCs w:val="0"/>
          <w:rtl/>
        </w:rPr>
        <w:t xml:space="preserve">קֶּוֵצּוֹתָיו אִלֵּין שִׁית קְצָווֹת דְּאִינוּן ה''א, שִׁית פִּרְקִין דִּכְלִילָן בִּתְרֵין שׁוֹקִין, דְּאִינוּן יוֹם חֲמִישִׁי וְיוֹם שִׁשִּׁי, דְעַלֵייהוּ אִתְּמַר </w:t>
      </w:r>
      <w:r>
        <w:rPr>
          <w:b w:val="0"/>
          <w:sz w:val="20"/>
          <w:szCs w:val="23"/>
          <w:rtl/>
        </w:rPr>
        <w:t>(שיר ח טו)</w:t>
      </w:r>
      <w:r>
        <w:rPr>
          <w:b w:val="0"/>
          <w:bCs w:val="0"/>
          <w:rtl/>
        </w:rPr>
        <w:t xml:space="preserve"> שׁוֹקָיו עַמּוּדֵי שֵׁשׁ, רְסִיסֵי לָיְלָה דָּא שְׁכִינְתָּא תַּתָּאָה כְּלִילָא מִיו''ד ה''א וא''ו ה''א, </w:t>
      </w:r>
      <w:r>
        <w:rPr>
          <w:rStyle w:val="a7"/>
          <w:b w:val="0"/>
          <w:bCs w:val="0"/>
          <w:rtl/>
        </w:rPr>
        <w:footnoteReference w:id="4792"/>
      </w:r>
      <w:r>
        <w:rPr>
          <w:b w:val="0"/>
          <w:bCs w:val="0"/>
          <w:rtl/>
        </w:rPr>
        <w:t xml:space="preserve">דְּאִתְקְרִיאַת לַיְלָה, דְּאִיהִי לֵיל שַׁבָּת לֵיל שִׁמּוּרִים, דְּאִיהִי וַדַּאי לַיהו''ה, בְּהוֹצִיאוֹ אוֹתָם מֵאֶרֶץ מִצְרָיִם. </w:t>
      </w:r>
      <w:r>
        <w:rPr>
          <w:rStyle w:val="a7"/>
          <w:b w:val="0"/>
          <w:bCs w:val="0"/>
          <w:rtl/>
        </w:rPr>
        <w:footnoteReference w:id="4793"/>
      </w:r>
      <w:r>
        <w:rPr>
          <w:b w:val="0"/>
          <w:bCs w:val="0"/>
          <w:rtl/>
        </w:rPr>
        <w:t xml:space="preserve">וְעוֹד אֲנִי יְשֵׁנָה בְּמִשְׁנָה, </w:t>
      </w:r>
      <w:r>
        <w:rPr>
          <w:rStyle w:val="a7"/>
          <w:b w:val="0"/>
          <w:bCs w:val="0"/>
          <w:rtl/>
        </w:rPr>
        <w:footnoteReference w:id="4794"/>
      </w:r>
      <w:r>
        <w:rPr>
          <w:b w:val="0"/>
          <w:bCs w:val="0"/>
          <w:rtl/>
        </w:rPr>
        <w:t xml:space="preserve">וְלִבִּי עִר בְּאוֹרַיְיתָא, </w:t>
      </w:r>
      <w:r>
        <w:rPr>
          <w:rStyle w:val="a7"/>
          <w:b w:val="0"/>
          <w:bCs w:val="0"/>
          <w:rtl/>
        </w:rPr>
        <w:footnoteReference w:id="4795"/>
      </w:r>
      <w:r>
        <w:rPr>
          <w:b w:val="0"/>
          <w:bCs w:val="0"/>
          <w:rtl/>
        </w:rPr>
        <w:t xml:space="preserve">דְאִתְּמַר בָּהּ </w:t>
      </w:r>
      <w:r>
        <w:rPr>
          <w:b w:val="0"/>
          <w:sz w:val="20"/>
          <w:szCs w:val="23"/>
          <w:rtl/>
        </w:rPr>
        <w:t>(שם ב יג)</w:t>
      </w:r>
      <w:r>
        <w:rPr>
          <w:b w:val="0"/>
          <w:bCs w:val="0"/>
          <w:rtl/>
        </w:rPr>
        <w:t xml:space="preserve"> הַתְּאֵנָה חָנְטָה פַגֶּיהָ, דְּאִינוּן תַּלְמִידֵי חֲכָמִים בְּל''ב נְתִיבוֹת פְּלִיאוֹת חָכְמָה, בְּל''ב אלהי''ם דְּעוֹבָדָא דִבְּרֵאשִׁית, בְּל''ב דְּאִיהוּ ב' מִן בְּרֵאשִׁית ל' מִן לְעִינֵי כָּל יִשְׂרָאֵל, </w:t>
      </w:r>
      <w:r>
        <w:rPr>
          <w:b w:val="0"/>
          <w:sz w:val="20"/>
          <w:szCs w:val="23"/>
          <w:rtl/>
        </w:rPr>
        <w:t>(שיר ב יג)</w:t>
      </w:r>
      <w:r>
        <w:rPr>
          <w:b w:val="0"/>
          <w:bCs w:val="0"/>
          <w:rtl/>
        </w:rPr>
        <w:t xml:space="preserve"> וְהַגְּפָנִים סְמָדַר נָתְנוּ רֵיחַ אִלֵּין בַּעֲלֵי מִצְוֹת, </w:t>
      </w:r>
      <w:r>
        <w:rPr>
          <w:rStyle w:val="a7"/>
          <w:b w:val="0"/>
          <w:bCs w:val="0"/>
          <w:rtl/>
        </w:rPr>
        <w:footnoteReference w:id="4796"/>
      </w:r>
      <w:r>
        <w:rPr>
          <w:b w:val="0"/>
          <w:bCs w:val="0"/>
          <w:rtl/>
        </w:rPr>
        <w:t xml:space="preserve">קוּמִי לָךְ רַעְיָתִי יָפָתִי וּלְכִי לָךְ קוּמִי לָךְ בְּאוֹרַיְיתָא דְבִכְתָב, יָפָתִי </w:t>
      </w:r>
      <w:r>
        <w:rPr>
          <w:rStyle w:val="a7"/>
          <w:b w:val="0"/>
          <w:bCs w:val="0"/>
          <w:rtl/>
        </w:rPr>
        <w:footnoteReference w:id="4797"/>
      </w:r>
      <w:r>
        <w:rPr>
          <w:b w:val="0"/>
          <w:bCs w:val="0"/>
          <w:rtl/>
        </w:rPr>
        <w:t xml:space="preserve">וּלְכִי לָךְ בַּהֲלָכָה אוֹרַיְיתָא דִבְעַל פֶּה, </w:t>
      </w:r>
      <w:r>
        <w:rPr>
          <w:rStyle w:val="a7"/>
          <w:b w:val="0"/>
          <w:bCs w:val="0"/>
          <w:rtl/>
        </w:rPr>
        <w:footnoteReference w:id="4798"/>
      </w:r>
      <w:r>
        <w:rPr>
          <w:b w:val="0"/>
          <w:bCs w:val="0"/>
          <w:rtl/>
        </w:rPr>
        <w:t xml:space="preserve">וְעוֹד אֲנִי יְשֵׁנָה בִתְלַת מֵאָה וְשִׁתִּין וְחָמֵשׁ פִּקּוּדִין דְּלָא תַעֲשֶׂה, כְּחוּשְׁבַּן אַתְוָון יְשֵׁנָ''ה, </w:t>
      </w:r>
      <w:r>
        <w:rPr>
          <w:rStyle w:val="a7"/>
          <w:b w:val="0"/>
          <w:bCs w:val="0"/>
          <w:rtl/>
        </w:rPr>
        <w:footnoteReference w:id="4799"/>
      </w:r>
      <w:r>
        <w:rPr>
          <w:b w:val="0"/>
          <w:bCs w:val="0"/>
          <w:rtl/>
        </w:rPr>
        <w:t xml:space="preserve">וְלִבִּי עִר בְּרַמַ''ח פִּקּוּדִין דַּעֲשֵׂה כְּחֻשְׁבַּן וְלִבִּ''י וְר' מֵעִר, מַאי ע' מִן עִר דְּאִיהוּ בְתוֹסֶפֶת, דָּא עַמּוּדָא דְאֶמְצָעִיתָא, דְאִתְּמַר בֵּיהּ </w:t>
      </w:r>
      <w:r>
        <w:rPr>
          <w:b w:val="0"/>
          <w:sz w:val="20"/>
          <w:szCs w:val="23"/>
          <w:rtl/>
        </w:rPr>
        <w:t>(דברים לג כח)</w:t>
      </w:r>
      <w:r>
        <w:rPr>
          <w:b w:val="0"/>
          <w:bCs w:val="0"/>
          <w:rtl/>
        </w:rPr>
        <w:t xml:space="preserve"> עִין יַעֲקֹב, דְּאִיהוּ עַמּוּדָא דְאֶמְצָעִיתָא דִכְלִיל פִּקּוּדִין דַּעֲשֵׂה וְלֹא תַעֲשֶׂה, דְאִתְיְהִיבוּ מִימִינָא וּמִשְּׂמָאלָא בֵיהּ כְּלִילָן.</w:t>
      </w:r>
    </w:p>
    <w:p w:rsidR="0020255E" w:rsidRDefault="0020255E" w:rsidP="0020255E">
      <w:pPr>
        <w:pStyle w:val="NormalWeb"/>
        <w:rPr>
          <w:b w:val="0"/>
          <w:bCs w:val="0"/>
          <w:rtl/>
        </w:rPr>
      </w:pPr>
      <w:r>
        <w:rPr>
          <w:b w:val="0"/>
          <w:bCs w:val="0"/>
          <w:rtl/>
        </w:rPr>
        <w:t>קוֹל דּוֹדִי דוֹפֵק דָּא עַמּוּדָא דְאֶמְצָעִיתָא, דְּאִיהוּ תוֹרָ''ה כְּלִיל תרי''א, דְאִתְיַהִיב מִתְּרֵין דְּרוֹעִין דְּתַמָּן אַבָּא וְאִימָּא דְאִינוּן י''ה, וּבְהוֹן אִשְׁתַּלִּים תּוֹרָ''ה דְאִיהוּ ו' כְּלִיל תַּרְיַ''ג, ה' תַּתָּאָה אוֹרַיְיתָא דִבְעַל פֶּה כְּלִילָא מִכֻּלְּהוּ אַתְוָון, וּבָהּ אִשְׁתַּלִּים יהו''ה.</w:t>
      </w:r>
    </w:p>
    <w:p w:rsidR="0020255E" w:rsidRDefault="0020255E" w:rsidP="0020255E">
      <w:pPr>
        <w:pStyle w:val="aa"/>
        <w:spacing w:after="40"/>
        <w:rPr>
          <w:rtl/>
        </w:rPr>
      </w:pPr>
      <w:bookmarkStart w:id="315" w:name="_Toc228095764"/>
      <w:bookmarkStart w:id="316" w:name="_Toc231638202"/>
      <w:r>
        <w:rPr>
          <w:rtl/>
        </w:rPr>
        <w:t>[תיקוני זוהר - דף לג ע''ב]</w:t>
      </w:r>
      <w:bookmarkEnd w:id="315"/>
      <w:bookmarkEnd w:id="316"/>
    </w:p>
    <w:p w:rsidR="0020255E" w:rsidRDefault="0020255E" w:rsidP="0020255E">
      <w:pPr>
        <w:pStyle w:val="NormalWeb"/>
        <w:rPr>
          <w:b w:val="0"/>
          <w:bCs w:val="0"/>
          <w:rtl/>
        </w:rPr>
      </w:pPr>
      <w:r>
        <w:rPr>
          <w:b w:val="0"/>
          <w:bCs w:val="0"/>
          <w:rtl/>
        </w:rPr>
        <w:t xml:space="preserve"> </w:t>
      </w:r>
      <w:r>
        <w:rPr>
          <w:b w:val="0"/>
          <w:sz w:val="20"/>
          <w:szCs w:val="23"/>
          <w:rtl/>
        </w:rPr>
        <w:t xml:space="preserve">(דף לג ע''ב) </w:t>
      </w:r>
      <w:r>
        <w:rPr>
          <w:rStyle w:val="a7"/>
          <w:b w:val="0"/>
          <w:bCs w:val="0"/>
          <w:rtl/>
        </w:rPr>
        <w:footnoteReference w:id="4800"/>
      </w:r>
      <w:r>
        <w:rPr>
          <w:b w:val="0"/>
          <w:bCs w:val="0"/>
          <w:rtl/>
        </w:rPr>
        <w:t xml:space="preserve">וְעוֹד אֲנִי יְשֵׁנָה, שְׁנִיָּה וַדַּאי לַחָכְמָה דְאִיהִי י', כַּד אִתְרַחַק מִינִי רְחִימָאי דְאִיהוּ ו', וְרָזָא דְמִלָּא </w:t>
      </w:r>
      <w:r>
        <w:rPr>
          <w:b w:val="0"/>
          <w:sz w:val="20"/>
          <w:szCs w:val="23"/>
          <w:rtl/>
        </w:rPr>
        <w:t>(משלי ג יט)</w:t>
      </w:r>
      <w:r>
        <w:rPr>
          <w:b w:val="0"/>
          <w:bCs w:val="0"/>
          <w:rtl/>
        </w:rPr>
        <w:t xml:space="preserve"> יהו''ה בְּחָכְמָה יָסַד אָרֶץ כּוֹנֵן שָׁמַיִם בִּתְבוּנָה, בְּחָכְמָה דְאִיהוּ אַבָּא י', יָסַד בְּרַתָּא דְאִיהִי אָרֶץ, ה' זְעִירָא הָאָרֶץ וַדַּאי, כּוֹנֵן שָׁמַיִם דָּא ו', בִּתְבוּנָה דָּא אִימָּא עִלָּאָה, דְּבִינָה אִתְקְרִיאַת לְעִילָא כַּד אִיהִי עִם בַּעְלָהּ, תְּבוּנָה אִתְקְרִיאַת לְתַתָּא </w:t>
      </w:r>
      <w:r>
        <w:rPr>
          <w:rStyle w:val="a7"/>
          <w:b w:val="0"/>
          <w:bCs w:val="0"/>
          <w:rtl/>
        </w:rPr>
        <w:footnoteReference w:id="4801"/>
      </w:r>
      <w:r>
        <w:rPr>
          <w:b w:val="0"/>
          <w:bCs w:val="0"/>
          <w:rtl/>
        </w:rPr>
        <w:t>כַּד אִיהוּ עִם ו', דְּאִיהוּ בֶּן ו' ת' תִּפְאֶרֶת (אִשְׁתְּאָרַת) וְאִיהִי ה' עִמֵּיהּ בְּהַהוּא זִמְנָא דְאָת ו' אִיהוּ עִם אִימָּא, וְאִיהוּ מְרַחַק מִינָהּ, אִתְּמַר בָּהּ אֲנִי יְשֵׁנָה וְאִיהִי שְׁנִיָּה לַחָכְמָה.</w:t>
      </w:r>
    </w:p>
    <w:p w:rsidR="0020255E" w:rsidRDefault="0020255E" w:rsidP="0020255E">
      <w:pPr>
        <w:pStyle w:val="aa"/>
        <w:spacing w:after="40"/>
        <w:rPr>
          <w:rtl/>
        </w:rPr>
      </w:pPr>
      <w:r>
        <w:rPr>
          <w:rtl/>
        </w:rPr>
        <w:t>[תיקוני זוהר - דף לד ע''א, לד ע"ב]</w:t>
      </w:r>
    </w:p>
    <w:p w:rsidR="0020255E" w:rsidRDefault="0020255E" w:rsidP="0020255E">
      <w:pPr>
        <w:pStyle w:val="NormalWeb"/>
        <w:rPr>
          <w:b w:val="0"/>
          <w:bCs w:val="0"/>
          <w:rtl/>
        </w:rPr>
      </w:pPr>
      <w:r>
        <w:rPr>
          <w:b w:val="0"/>
          <w:sz w:val="20"/>
          <w:szCs w:val="23"/>
          <w:rtl/>
        </w:rPr>
        <w:t xml:space="preserve">(דף לד ע''א) </w:t>
      </w:r>
      <w:r>
        <w:rPr>
          <w:b w:val="0"/>
          <w:bCs w:val="0"/>
          <w:rtl/>
        </w:rPr>
        <w:t xml:space="preserve">וּבְזִמְנָא דְיֵיתֵי פּוּרְקָנָא, דְפִיקוּ סָלִיק וְנָחִית כְּגַוְונָא דְקָרְבָּן עוֹלֶה וְיוֹרֵד, סָלִיק ה' עִלָּאָה לְגַבֵּי י', וְנָחִית ה' תַּתָּאָה לְגַבֵּי ו', וּמַה דַּהֲוָה יהה''ו, אִתְחַזַּר יהו''ה, אַבָּא עִם אִימָּא, בְּרָא עִם בְּרַתָּא, </w:t>
      </w:r>
      <w:r>
        <w:rPr>
          <w:rStyle w:val="a7"/>
          <w:b w:val="0"/>
          <w:bCs w:val="0"/>
          <w:rtl/>
        </w:rPr>
        <w:footnoteReference w:id="4802"/>
      </w:r>
      <w:r>
        <w:rPr>
          <w:b w:val="0"/>
          <w:bCs w:val="0"/>
          <w:rtl/>
        </w:rPr>
        <w:t xml:space="preserve">וּבְגִין דָּא אָמַר נְבִיאָה </w:t>
      </w:r>
      <w:r>
        <w:rPr>
          <w:b w:val="0"/>
          <w:sz w:val="20"/>
          <w:szCs w:val="23"/>
          <w:rtl/>
        </w:rPr>
        <w:t>(ירמיה ט כב)</w:t>
      </w:r>
      <w:r>
        <w:rPr>
          <w:b w:val="0"/>
          <w:bCs w:val="0"/>
          <w:rtl/>
        </w:rPr>
        <w:t xml:space="preserve"> כֹּה אָמַר יהו''ה אַל יִתְהַלֵּל חָכָם בְּחָכְמָתוֹ, דְּאִיהוּ לִימִינָא בְזִמְנָא דְקוּדְשָׁא בְּרִיךְ הוּא מְרַחֲקָא מִשְּׁכִינְתֵּיהּ, וְאַל יִתְהַלֵּל הַגִּבּוֹר בִּגְבוּרָתוֹ, </w:t>
      </w:r>
      <w:r>
        <w:rPr>
          <w:rStyle w:val="a7"/>
          <w:b w:val="0"/>
          <w:bCs w:val="0"/>
          <w:rtl/>
        </w:rPr>
        <w:footnoteReference w:id="4803"/>
      </w:r>
      <w:r>
        <w:rPr>
          <w:b w:val="0"/>
          <w:bCs w:val="0"/>
          <w:rtl/>
        </w:rPr>
        <w:t xml:space="preserve">דְּתַמָּן גְּבוּרָה בַּצָּפוֹן וְתַמָּן עוּתְרָא, </w:t>
      </w:r>
      <w:r>
        <w:rPr>
          <w:b w:val="0"/>
          <w:sz w:val="20"/>
          <w:szCs w:val="23"/>
          <w:rtl/>
        </w:rPr>
        <w:t xml:space="preserve">(דף לד ע''ב) </w:t>
      </w:r>
      <w:r>
        <w:rPr>
          <w:b w:val="0"/>
          <w:bCs w:val="0"/>
          <w:rtl/>
        </w:rPr>
        <w:t xml:space="preserve">הֲדָא הוּא דִכְתִיב </w:t>
      </w:r>
      <w:r>
        <w:rPr>
          <w:b w:val="0"/>
          <w:sz w:val="20"/>
          <w:szCs w:val="23"/>
          <w:rtl/>
        </w:rPr>
        <w:t>(איוב לז כב)</w:t>
      </w:r>
      <w:r>
        <w:rPr>
          <w:b w:val="0"/>
          <w:bCs w:val="0"/>
          <w:rtl/>
        </w:rPr>
        <w:t xml:space="preserve"> מִצָּפוֹן זָהָב יֶאֱתֶה, וּבְגִין דָּא וְאַל יִתְהַלֵּל עָשִׁיר בְּעָשְׁרוֹ, תַּמָּן לַצָּפוֹן, בְּזִמְנָא דְאָת ו' מְרַחֲקָא מֵה' דִּילֵיהּ, </w:t>
      </w:r>
      <w:r>
        <w:rPr>
          <w:b w:val="0"/>
          <w:sz w:val="20"/>
          <w:szCs w:val="23"/>
          <w:rtl/>
        </w:rPr>
        <w:t>(ירמיהו ט כג)</w:t>
      </w:r>
      <w:r>
        <w:rPr>
          <w:b w:val="0"/>
          <w:bCs w:val="0"/>
          <w:rtl/>
        </w:rPr>
        <w:t xml:space="preserve"> כִּי אִם בְּזֹאת יִתְהַלֵּל הַמִּתְהַלֵּל הַשְׂכֵּל וְיָדוֹעַ אוֹתִי כִּי אֲנִי יהו''ה וְגוֹמֵר, כַּד יְהֵא יהו''ה כִּדְקָא יָאוּת כָּל אוֹת בַּחֲבֵרְתָּהּ, </w:t>
      </w:r>
      <w:r>
        <w:rPr>
          <w:rStyle w:val="a7"/>
          <w:b w:val="0"/>
          <w:bCs w:val="0"/>
          <w:rtl/>
        </w:rPr>
        <w:footnoteReference w:id="4804"/>
      </w:r>
      <w:r>
        <w:rPr>
          <w:b w:val="0"/>
          <w:bCs w:val="0"/>
          <w:rtl/>
        </w:rPr>
        <w:t xml:space="preserve">הֲדָא הוּא דִכְתִיב </w:t>
      </w:r>
      <w:r>
        <w:rPr>
          <w:b w:val="0"/>
          <w:sz w:val="20"/>
          <w:szCs w:val="23"/>
          <w:rtl/>
        </w:rPr>
        <w:t>(בראשית ב כג)</w:t>
      </w:r>
      <w:r>
        <w:rPr>
          <w:b w:val="0"/>
          <w:bCs w:val="0"/>
          <w:rtl/>
        </w:rPr>
        <w:t xml:space="preserve"> עֶצֶם מֵעֲצָמַי וּבָשָׂר מִבְּשָׂרִי לְזֹאת יִקָּרֵא אִשָּׁה כִּי מֵאִישׁ לֻקֳחָה זֹּאת. </w:t>
      </w:r>
      <w:r>
        <w:rPr>
          <w:rStyle w:val="a7"/>
          <w:b w:val="0"/>
          <w:bCs w:val="0"/>
          <w:rtl/>
        </w:rPr>
        <w:footnoteReference w:id="4805"/>
      </w:r>
      <w:r>
        <w:rPr>
          <w:b w:val="0"/>
          <w:bCs w:val="0"/>
          <w:rtl/>
        </w:rPr>
        <w:t xml:space="preserve">עַל כֵּן יַעֲזָב אִישׁ אֶת אָבִיו וְאֶת אִמּוֹ, דָּא חָכְמָה אָבִיו, וּבִינָה אִמָּא, הֲדָא הוּא דִכְתִיב </w:t>
      </w:r>
      <w:r>
        <w:rPr>
          <w:b w:val="0"/>
          <w:sz w:val="20"/>
          <w:szCs w:val="23"/>
          <w:rtl/>
        </w:rPr>
        <w:t>(משלי ב ג)</w:t>
      </w:r>
      <w:r>
        <w:rPr>
          <w:b w:val="0"/>
          <w:bCs w:val="0"/>
          <w:rtl/>
        </w:rPr>
        <w:t xml:space="preserve"> כִּי אִם לַבִּינָה תִקְרָא, </w:t>
      </w:r>
      <w:r>
        <w:rPr>
          <w:rStyle w:val="a7"/>
          <w:b w:val="0"/>
          <w:bCs w:val="0"/>
          <w:rtl/>
        </w:rPr>
        <w:footnoteReference w:id="4806"/>
      </w:r>
      <w:r>
        <w:rPr>
          <w:b w:val="0"/>
          <w:bCs w:val="0"/>
          <w:rtl/>
        </w:rPr>
        <w:t xml:space="preserve">וְדָבַק בְּאִשְׁתּוֹ דָּא ו' דְּאִתְדַּבַּק בְּאִתְּתֵיהּ דְּאִיהִי ה', וְהָיוּ לְבָשָׂר אֶחָד, וְדָא אִיהוּ קָרְבָּן עוֹלֶה וְיוֹרֵד, קָרְבָּן קְרִיבוּ דְאַתְוָון דְּמִתְקָרְבִין י' עִם ה' ו' עִם ה', וּבְגִין דָּא קָרְבָּן לַיהו''ה, דְּאִתְקְרִיבַת אִתְּתָא לְבַעְלָהּ, הֲדָא הוּא דִכְתִיב </w:t>
      </w:r>
      <w:r>
        <w:rPr>
          <w:b w:val="0"/>
          <w:sz w:val="20"/>
          <w:szCs w:val="23"/>
          <w:rtl/>
        </w:rPr>
        <w:t>(ויקרא א ב)</w:t>
      </w:r>
      <w:r>
        <w:rPr>
          <w:b w:val="0"/>
          <w:bCs w:val="0"/>
          <w:rtl/>
        </w:rPr>
        <w:t xml:space="preserve"> אָדָם כִּי יַקְרִיב מִכֶּם קָרְבָּן לַיהו''ה, מַאי אָדָם דָּא יו''ד ה''א וא''ו ה''א, דְּאִיהוּ קְרִיבוּ דְאַתְוָון, וּמָאן קָרִיב לְגַבֵּי אַתְוָון, דָּא עִלַּת עַל כָּל הָעִלּוֹת. בְּהַהוּא זִמְנָא דְפִיקוּ נָחִית וְסָלִיק מֵאַרְבַּע דְּפִיקִין לְעֶשֶׂר, דְּפִיקוּ בְאַרְבַּע אַתְוָון, </w:t>
      </w:r>
      <w:r>
        <w:rPr>
          <w:rStyle w:val="a7"/>
          <w:b w:val="0"/>
          <w:bCs w:val="0"/>
          <w:rtl/>
        </w:rPr>
        <w:footnoteReference w:id="4807"/>
      </w:r>
      <w:r>
        <w:rPr>
          <w:b w:val="0"/>
          <w:bCs w:val="0"/>
          <w:rtl/>
        </w:rPr>
        <w:t xml:space="preserve">סָלִיק בְּאֶשָּׁא וְרוּחָא, וְנָחִית בְּמַיָּא וְעַפְרָא, וְרָזָא דְמִלָּה </w:t>
      </w:r>
      <w:r>
        <w:rPr>
          <w:b w:val="0"/>
          <w:sz w:val="20"/>
          <w:szCs w:val="23"/>
          <w:rtl/>
        </w:rPr>
        <w:t>(בראשית כח יב)</w:t>
      </w:r>
      <w:r>
        <w:rPr>
          <w:b w:val="0"/>
          <w:bCs w:val="0"/>
          <w:rtl/>
        </w:rPr>
        <w:t xml:space="preserve"> וְהִנֵּה מַלְאֲכֵי אלהי''ם עוֹלִים וְיוֹרְדִים בּוֹ, עוֹלִים תְּרֵי וְיוֹרְדִים תְּרֵי, </w:t>
      </w:r>
      <w:r>
        <w:rPr>
          <w:rStyle w:val="a7"/>
          <w:b w:val="0"/>
          <w:bCs w:val="0"/>
          <w:rtl/>
        </w:rPr>
        <w:footnoteReference w:id="4808"/>
      </w:r>
      <w:r>
        <w:rPr>
          <w:b w:val="0"/>
          <w:bCs w:val="0"/>
          <w:rtl/>
        </w:rPr>
        <w:t xml:space="preserve">וְאִינוּן מַיִם קָמֵ''ץ, שְׁבָ''א אֵשׁ, חֹלֵ''ם רוּחַ, שׁוּרֵ''ק עָפָר מָאנָא דְכֻלְּהוּ, דְּאִיהוּ כְּחֻשְׁבַּן אֶרֶ''ץ לְחוּשְׁבַּן זְעִיר דַּחֲנוֹךְ, קָמֵץ י''ד, פַּתָח כ', צֵרִי י''ב, שְׁבָא ו', סֶגוֹל ח''י, חֹלֵם ט''ו, </w:t>
      </w:r>
      <w:r>
        <w:rPr>
          <w:rStyle w:val="a7"/>
          <w:b w:val="0"/>
          <w:bCs w:val="0"/>
          <w:rtl/>
        </w:rPr>
        <w:footnoteReference w:id="4809"/>
      </w:r>
      <w:r>
        <w:rPr>
          <w:b w:val="0"/>
          <w:bCs w:val="0"/>
          <w:rtl/>
        </w:rPr>
        <w:t>חִרֵק י''א, חִירֵק בְּי' י''ב, שֻׁרֵק ו', שׁוּרֵק עִם ו' י''ב, ושׁוּרֻק דָּא אִיהוּ אֶרֶץ לְחֻשְׁבַּן זְעִיר, וְהַאי אִיהוּ חֻשְׁבַּן לְכָל נְקוּדִין לְחֻשְׁבַּן זְעִיר.</w:t>
      </w:r>
    </w:p>
    <w:p w:rsidR="0020255E" w:rsidRDefault="0020255E" w:rsidP="0020255E">
      <w:pPr>
        <w:pStyle w:val="NormalWeb"/>
        <w:rPr>
          <w:b w:val="0"/>
          <w:bCs w:val="0"/>
          <w:rtl/>
        </w:rPr>
      </w:pPr>
      <w:r>
        <w:rPr>
          <w:b w:val="0"/>
          <w:bCs w:val="0"/>
          <w:rtl/>
        </w:rPr>
        <w:t>קָמֵ''ץ דְּאִיהוּ מַיִם י', בֵּיהּ סָלִיק ה' דְאִיהִי שְׁבָ''א אֵשׁ, וְאִינוּן י''ה בִּימִינָא, דְּתַמָּן יו"ד דְּאִיהוּ חָכְמָה, כְּמָה דְאוּקְמוּהוּ הָרוֹצֶה לְהַחְכִּים יַדְרִים.</w:t>
      </w:r>
    </w:p>
    <w:p w:rsidR="0020255E" w:rsidRDefault="0020255E" w:rsidP="0020255E">
      <w:pPr>
        <w:pStyle w:val="NormalWeb"/>
        <w:rPr>
          <w:b w:val="0"/>
          <w:bCs w:val="0"/>
          <w:rtl/>
        </w:rPr>
      </w:pPr>
      <w:r>
        <w:rPr>
          <w:b w:val="0"/>
          <w:bCs w:val="0"/>
          <w:rtl/>
        </w:rPr>
        <w:t xml:space="preserve">ה' דאִיהִי עִם אַבָּא, וְאִיהִי אֶרֶץ, נָחִית לִשְׂמָאלָא דְתַמָּן רוּחָא דְאִיהוּ חֹלֵ''ם, דְּאִיהוּ רוּחַ דְּנַשִּׁיב בְּאֹזֶן שְׂמָאלָא דְלִבָּא, וְאִינוּן ו''ה בִּשְׂמָאלָא לָקֳבֵל לִבָּא, בְּהַהוּא זִמְנָא </w:t>
      </w:r>
      <w:r>
        <w:rPr>
          <w:b w:val="0"/>
          <w:sz w:val="20"/>
          <w:szCs w:val="23"/>
          <w:rtl/>
        </w:rPr>
        <w:t>(יחזקאל א כ)</w:t>
      </w:r>
      <w:r>
        <w:rPr>
          <w:b w:val="0"/>
          <w:bCs w:val="0"/>
          <w:rtl/>
        </w:rPr>
        <w:t xml:space="preserve"> אֶל אֲשֶׁר יִהְיֶה שָּׁמָּה הָרוּחַ לָלֶכֶת יֵלֵכוּ.</w:t>
      </w:r>
    </w:p>
    <w:p w:rsidR="0020255E" w:rsidRDefault="0020255E" w:rsidP="0020255E">
      <w:pPr>
        <w:pStyle w:val="aa"/>
        <w:spacing w:after="40"/>
        <w:rPr>
          <w:rtl/>
        </w:rPr>
      </w:pPr>
      <w:r>
        <w:rPr>
          <w:rtl/>
        </w:rPr>
        <w:t xml:space="preserve">[תיקוני זוהר - דף קטו ע''ב] </w:t>
      </w:r>
    </w:p>
    <w:p w:rsidR="0020255E" w:rsidRDefault="0020255E" w:rsidP="0020255E">
      <w:pPr>
        <w:pStyle w:val="NormalWeb"/>
        <w:rPr>
          <w:b w:val="0"/>
          <w:bCs w:val="0"/>
          <w:rtl/>
        </w:rPr>
      </w:pPr>
      <w:r>
        <w:rPr>
          <w:b w:val="0"/>
          <w:bCs w:val="0"/>
          <w:rtl/>
        </w:rPr>
        <w:t xml:space="preserve">כָּל נְבִיאַיָּא מִתְנַהֲגִין אַבַּתְרֵיהּ, כְּעַרְקִין דְּלִבָּא דְמִתְנַהֲגִין כֻּלְּהוּ בָּתַר רוּחָא דְלִבָּא, וּמַאי נִיהוּ שָׁמָּ''ה דָּא מֹשֶׁ''ה, דְאִתְּמַר בֵּיהּ </w:t>
      </w:r>
      <w:r>
        <w:rPr>
          <w:b w:val="0"/>
          <w:sz w:val="20"/>
          <w:szCs w:val="23"/>
          <w:rtl/>
        </w:rPr>
        <w:t>(קהלת א ו)</w:t>
      </w:r>
      <w:r>
        <w:rPr>
          <w:b w:val="0"/>
          <w:bCs w:val="0"/>
          <w:rtl/>
        </w:rPr>
        <w:t xml:space="preserve"> הוֹלֵךְ אֶל דָּרוֹם וְסוֹבֵב אֶל צָפוֹן, וּלְבָתַר דְּסָלְקִין תְּרֵין וְנָחֲתִין תְּרֵין, סָלְקִין </w:t>
      </w:r>
      <w:r>
        <w:rPr>
          <w:b w:val="0"/>
          <w:sz w:val="20"/>
          <w:szCs w:val="23"/>
          <w:rtl/>
        </w:rPr>
        <w:t>(ארבע)</w:t>
      </w:r>
      <w:r>
        <w:rPr>
          <w:b w:val="0"/>
          <w:bCs w:val="0"/>
          <w:rtl/>
        </w:rPr>
        <w:t xml:space="preserve"> דְּפִיקִין לַעֲשָׂרָה, כְּגַוְונָא דָא יוד הא ואו הא, בְּאָת י' סָלִיק ה', וּבְאָת וא"ו ה"א תִּנְיָינָא, ומָאן סָלִיק בְּקַדְמֵיתָא [ה' סָלִיק לְגַבֵּי יו"ד בְּקַדְמֵיתָא וּלְבָתַר סָלִיק ה' עַל] </w:t>
      </w:r>
      <w:r>
        <w:rPr>
          <w:b w:val="0"/>
          <w:sz w:val="20"/>
          <w:szCs w:val="23"/>
          <w:rtl/>
        </w:rPr>
        <w:t>(דף קטו ע''ב)</w:t>
      </w:r>
      <w:r>
        <w:rPr>
          <w:b w:val="0"/>
          <w:bCs w:val="0"/>
          <w:rtl/>
        </w:rPr>
        <w:t xml:space="preserve"> ו' עַיֵיל בְּקַדְמֵיתָא לְגַבֵּי ה', וּלְבָתַר עַיֵיל יו"ד לְגַבֵּי ה' עִלָּאָה, דְהָכִי אוּקְמוּהָ מָארֵי מַתְנִיתִין, לֹא אָבֹא בִירוּשָׁלַיִם שֶׁל מַעְלָה עַד וכו', לָא יֵיעוּל י' בְּה' עִלָּאָה דְאִיהִי יְרוּשָׁלֵם עִילָאָה, עַד דְּיֵיעוּל ו' בְּה' דְאִיהוּ יְרוּשָׁלֵם תַּתָּאָה.</w:t>
      </w:r>
    </w:p>
    <w:p w:rsidR="0020255E" w:rsidRDefault="0020255E" w:rsidP="0020255E">
      <w:pPr>
        <w:pStyle w:val="aa"/>
        <w:spacing w:after="40"/>
        <w:rPr>
          <w:rtl/>
        </w:rPr>
      </w:pPr>
      <w:r>
        <w:rPr>
          <w:rtl/>
        </w:rPr>
        <w:t>[תיקוני זוהר - דף לג ע''ב]</w:t>
      </w:r>
    </w:p>
    <w:p w:rsidR="0020255E" w:rsidRDefault="0020255E" w:rsidP="0020255E">
      <w:pPr>
        <w:pStyle w:val="NormalWeb"/>
        <w:rPr>
          <w:b w:val="0"/>
          <w:bCs w:val="0"/>
          <w:rtl/>
        </w:rPr>
      </w:pPr>
      <w:r>
        <w:rPr>
          <w:b w:val="0"/>
          <w:bCs w:val="0"/>
          <w:rtl/>
        </w:rPr>
        <w:t>וְעוֹד, אֲנִי יְשֵׁנָה, בְּגַלוּתָא, דְלֹא דָּפִיק בָּהּ. וּבְהַהוּא זִמְנָא דְייתִי בַּעלָה קוֹל דּוֹדִי דוֹפֵק דְּאִיהוּ ו', רְחִימוּ דִילָה, רוּחַ צְפוֹנִית אִתְקְרִי דִּנְשִׁיב לְגַבָּה בְּכִנוֹר דָּוִד. וְרוּחַ דְּרוֹמִית מִסִּטְרָא דִיְמִינָא וְרוּחַ אלֹקִים מְרַחֶפֶת עַל פְּני הַמָּים דְּאִינוּן מָיִם מִסִּטְרָא דְחֶסֶד דְּתַּמָן חָכְמָה.</w:t>
      </w:r>
    </w:p>
    <w:p w:rsidR="0020255E" w:rsidRDefault="0020255E" w:rsidP="0020255E">
      <w:pPr>
        <w:pStyle w:val="NormalWeb"/>
        <w:rPr>
          <w:b w:val="0"/>
          <w:bCs w:val="0"/>
          <w:rtl/>
        </w:rPr>
      </w:pPr>
      <w:r>
        <w:rPr>
          <w:rStyle w:val="a7"/>
          <w:b w:val="0"/>
          <w:bCs w:val="0"/>
          <w:rtl/>
        </w:rPr>
        <w:footnoteReference w:id="4810"/>
      </w:r>
      <w:r>
        <w:rPr>
          <w:b w:val="0"/>
          <w:bCs w:val="0"/>
          <w:rtl/>
        </w:rPr>
        <w:t xml:space="preserve">אַדְהָכִי הָא סָבָא דְסָבִין קָא נָחִית, וְאָמַר רַבִּי רַבִּי, הָא כַּלָּה אִיהִי בְּבֵי מַרְעָא מֵרְחִימָהָא, צָרִיךְ לְאַתְעָרָא בִדְפִיקוּ דִילָהּ יַתִּיר, דְּהָא קוֹל דּוֹדִי דּוֹפֵק, קוֹל רְחִימָהָא, דָּפִיק לְגַבָּהּ בִּתְּקִיפוּ סַגִּי לְאַרְבַּע סִטְרִין, הֲדָא הוּא דִכְתִיב כֹּה </w:t>
      </w:r>
      <w:r>
        <w:rPr>
          <w:b w:val="0"/>
          <w:sz w:val="20"/>
          <w:szCs w:val="23"/>
          <w:rtl/>
        </w:rPr>
        <w:t>(יחזקאל לז ט)</w:t>
      </w:r>
      <w:r>
        <w:rPr>
          <w:b w:val="0"/>
          <w:bCs w:val="0"/>
          <w:rtl/>
        </w:rPr>
        <w:t xml:space="preserve"> אָמַר יהו''ה מֵאַרְבַּע רוּחוֹת בֹּאִי הָרוּחַ, מִסִּטְרָא דְאַוִּיר קַדְמָאָה דְאִיהוּ קַדְמוֹן עַל כֹּלָּא, דְפִיקוּ דְרוּחָא אִיהוּ לַח, מִסִּטְרָא דְחָכְמָה אִיהוּ קַר, מִסִּטְרָא דְאִימָּא אִיהוּ בְחַמִּימוּ סַגִּי, </w:t>
      </w:r>
      <w:r>
        <w:rPr>
          <w:rStyle w:val="a7"/>
          <w:b w:val="0"/>
          <w:bCs w:val="0"/>
          <w:rtl/>
        </w:rPr>
        <w:footnoteReference w:id="4811"/>
      </w:r>
      <w:r>
        <w:rPr>
          <w:b w:val="0"/>
          <w:bCs w:val="0"/>
          <w:rtl/>
        </w:rPr>
        <w:t xml:space="preserve">בְּגִין דְּאַוִּיר קַדְמָאָה נָטִיל בְּעַמּוּדָא דְאֶמְצָעִיתָא וְנָטִיל בַּצַּדִּיק, וְחָכְמָה דְאִיהוּ קַר נָטִיל בַּחֶסֶד וְנֶצַח, וְאִימָּא דְאִיהִי חַמִּימָא נְטִילַת בִּגְבוּרָה וָהוֹד, וּמִסִּטְרָא דִשְׁכִינְתָּא תַּתָּאָה אִיהִי יָבֵשׁ, דְּאִיהִי אֶרֶץ, דְּאִתְּמַר בָּהּ </w:t>
      </w:r>
      <w:r>
        <w:rPr>
          <w:b w:val="0"/>
          <w:sz w:val="20"/>
          <w:szCs w:val="23"/>
          <w:rtl/>
        </w:rPr>
        <w:t>(בראשית א י)</w:t>
      </w:r>
      <w:r>
        <w:rPr>
          <w:b w:val="0"/>
          <w:bCs w:val="0"/>
          <w:rtl/>
        </w:rPr>
        <w:t xml:space="preserve"> וַיִּקְרָא אלהי''ם לַיַּבָּשָׁה אֶרֶץ, וְהָא אִינוּן אַרְבַּע וְסָלְקִין לַעֲשַׂר, כְּגַוְונָא דְאַרְבַּע אַתְוָון דְּאִינוּן יהו''ה, דְּסָלְקִין לַעֲשַׂר יוד הא ואו הא.</w:t>
      </w:r>
    </w:p>
    <w:p w:rsidR="0020255E" w:rsidRDefault="0020255E" w:rsidP="0020255E">
      <w:pPr>
        <w:pStyle w:val="aa"/>
        <w:spacing w:after="40"/>
        <w:rPr>
          <w:rtl/>
        </w:rPr>
      </w:pPr>
      <w:r>
        <w:rPr>
          <w:rtl/>
        </w:rPr>
        <w:t xml:space="preserve">[תיקוני זוהר - דף קיו ע''א] </w:t>
      </w:r>
    </w:p>
    <w:p w:rsidR="0020255E" w:rsidRDefault="0020255E" w:rsidP="0020255E">
      <w:pPr>
        <w:pStyle w:val="NormalWeb"/>
        <w:rPr>
          <w:b w:val="0"/>
          <w:bCs w:val="0"/>
          <w:rtl/>
        </w:rPr>
      </w:pPr>
      <w:r>
        <w:rPr>
          <w:rStyle w:val="a7"/>
          <w:b w:val="0"/>
          <w:bCs w:val="0"/>
          <w:rtl/>
        </w:rPr>
        <w:footnoteReference w:id="4812"/>
      </w:r>
      <w:r>
        <w:rPr>
          <w:b w:val="0"/>
          <w:bCs w:val="0"/>
          <w:rtl/>
        </w:rPr>
        <w:t xml:space="preserve">וּלְתַתָּא מִיכָאֵ''ל גַּבְרִיאֵ''ל נוֹרִיאֵ''ל רְפָאֵ''ל, אִינוּן לְבוּשִׁין לְאַרְבַּע רוּחִין, </w:t>
      </w:r>
      <w:r>
        <w:rPr>
          <w:rStyle w:val="a7"/>
          <w:b w:val="0"/>
          <w:bCs w:val="0"/>
          <w:rtl/>
        </w:rPr>
        <w:footnoteReference w:id="4813"/>
      </w:r>
      <w:r>
        <w:rPr>
          <w:b w:val="0"/>
          <w:bCs w:val="0"/>
          <w:rtl/>
        </w:rPr>
        <w:t xml:space="preserve">דְּאִתְּמַר בְּהוּ </w:t>
      </w:r>
      <w:r>
        <w:rPr>
          <w:b w:val="0"/>
          <w:sz w:val="20"/>
          <w:szCs w:val="23"/>
          <w:rtl/>
        </w:rPr>
        <w:t>(ישעיה יא ב)</w:t>
      </w:r>
      <w:r>
        <w:rPr>
          <w:b w:val="0"/>
          <w:bCs w:val="0"/>
          <w:rtl/>
        </w:rPr>
        <w:t xml:space="preserve"> רוּחַ יהו''ה, רוּחַ חָכְמָה וּבִינָה, רוּחַ עִצָה וּגְבוּרָה, רוּחַ דַּעַת וְיִרְאַת יהו''ה, </w:t>
      </w:r>
      <w:r>
        <w:rPr>
          <w:rStyle w:val="a7"/>
          <w:b w:val="0"/>
          <w:bCs w:val="0"/>
          <w:rtl/>
        </w:rPr>
        <w:footnoteReference w:id="4814"/>
      </w:r>
      <w:r>
        <w:rPr>
          <w:b w:val="0"/>
          <w:bCs w:val="0"/>
          <w:rtl/>
        </w:rPr>
        <w:t xml:space="preserve">רוּחַ יהו''ה דָּא </w:t>
      </w:r>
      <w:r>
        <w:rPr>
          <w:b w:val="0"/>
          <w:sz w:val="20"/>
          <w:szCs w:val="23"/>
          <w:rtl/>
        </w:rPr>
        <w:t xml:space="preserve">(דף קיו ע''א) </w:t>
      </w:r>
      <w:r>
        <w:rPr>
          <w:b w:val="0"/>
          <w:bCs w:val="0"/>
          <w:rtl/>
        </w:rPr>
        <w:t xml:space="preserve">אַוִּיר קַדְמָאָה, רוּחַ חָכְמָה וּבִינָה תְּרֵין סְפִירָן אַבַּתְרֵיהּ, </w:t>
      </w:r>
      <w:r>
        <w:rPr>
          <w:rStyle w:val="a7"/>
          <w:b w:val="0"/>
          <w:bCs w:val="0"/>
          <w:rtl/>
        </w:rPr>
        <w:footnoteReference w:id="4815"/>
      </w:r>
      <w:r>
        <w:rPr>
          <w:b w:val="0"/>
          <w:bCs w:val="0"/>
          <w:rtl/>
        </w:rPr>
        <w:t xml:space="preserve">רוּחַ עִצָה וּגְבוּרָה יְמִינָא וּשְׂמָאלָא, </w:t>
      </w:r>
      <w:r>
        <w:rPr>
          <w:rStyle w:val="a7"/>
          <w:b w:val="0"/>
          <w:bCs w:val="0"/>
          <w:rtl/>
        </w:rPr>
        <w:footnoteReference w:id="4816"/>
      </w:r>
      <w:r>
        <w:rPr>
          <w:b w:val="0"/>
          <w:bCs w:val="0"/>
          <w:rtl/>
        </w:rPr>
        <w:t>רוּחַ דַּעַת וְיִרְאַת יהו''ה דָּא עַמּוּדָא דְאֶמְצָעִיתָא וּמַלְכוּת.</w:t>
      </w:r>
    </w:p>
    <w:p w:rsidR="0020255E" w:rsidRDefault="0020255E" w:rsidP="0020255E">
      <w:pPr>
        <w:pStyle w:val="NormalWeb"/>
        <w:rPr>
          <w:b w:val="0"/>
          <w:bCs w:val="0"/>
          <w:rtl/>
        </w:rPr>
      </w:pPr>
      <w:r>
        <w:rPr>
          <w:b w:val="0"/>
          <w:sz w:val="20"/>
          <w:szCs w:val="23"/>
          <w:rtl/>
        </w:rPr>
        <w:t>(ישעיהו יא ג)</w:t>
      </w:r>
      <w:r>
        <w:rPr>
          <w:b w:val="0"/>
          <w:bCs w:val="0"/>
          <w:rtl/>
        </w:rPr>
        <w:t xml:space="preserve"> וַהֲרִיחוֹ בְּיִרְאַת יהו''ה דָּא רֵיחַ נִיחֹחַ, וּמַאי רֵיחַ נִיחֹחַ דָּא צַדִּיק, דְּבֵיהּ נְיָיחָא, דְנֹחַ אִישׁ צַדִּיק, אִשֶּׁה לַיהוָֹה דָּא נֶצַח וָהוֹד, עֲלַיְיהוּ אִתְּמַר </w:t>
      </w:r>
      <w:r>
        <w:rPr>
          <w:b w:val="0"/>
          <w:sz w:val="20"/>
          <w:szCs w:val="23"/>
          <w:rtl/>
        </w:rPr>
        <w:t>(במדבר כח ב)</w:t>
      </w:r>
      <w:r>
        <w:rPr>
          <w:b w:val="0"/>
          <w:bCs w:val="0"/>
          <w:rtl/>
        </w:rPr>
        <w:t xml:space="preserve"> אֶת קָרְבָּנִי לַחְמִי לְאִשַּׁי, אִשֵּׁי יהו''ה אִתְקְרִיאוּ, עֲלַיְיהוּ אִתְּמַר </w:t>
      </w:r>
      <w:r>
        <w:rPr>
          <w:b w:val="0"/>
          <w:sz w:val="20"/>
          <w:szCs w:val="23"/>
          <w:rtl/>
        </w:rPr>
        <w:t>(שיר ב ה)</w:t>
      </w:r>
      <w:r>
        <w:rPr>
          <w:b w:val="0"/>
          <w:szCs w:val="23"/>
          <w:rtl/>
        </w:rPr>
        <w:t xml:space="preserve"> </w:t>
      </w:r>
      <w:r>
        <w:rPr>
          <w:rStyle w:val="Char"/>
          <w:rtl/>
        </w:rPr>
        <w:t>סַמְּכוּנִי בָּאֲשִׁישׁוֹת,</w:t>
      </w:r>
      <w:r>
        <w:rPr>
          <w:b w:val="0"/>
          <w:szCs w:val="23"/>
          <w:rtl/>
        </w:rPr>
        <w:t xml:space="preserve"> </w:t>
      </w:r>
      <w:r>
        <w:rPr>
          <w:b w:val="0"/>
          <w:sz w:val="20"/>
          <w:szCs w:val="23"/>
          <w:rtl/>
        </w:rPr>
        <w:t>(ישעיה כד טו)</w:t>
      </w:r>
      <w:r>
        <w:rPr>
          <w:b w:val="0"/>
          <w:szCs w:val="23"/>
          <w:rtl/>
        </w:rPr>
        <w:t xml:space="preserve"> </w:t>
      </w:r>
      <w:r>
        <w:rPr>
          <w:rStyle w:val="Char"/>
          <w:rtl/>
        </w:rPr>
        <w:t>עַל כֵּן בָּאוּרִים כַּבְּדוּ יהו''ה,</w:t>
      </w:r>
      <w:r>
        <w:rPr>
          <w:b w:val="0"/>
          <w:szCs w:val="23"/>
          <w:rtl/>
        </w:rPr>
        <w:t xml:space="preserve"> </w:t>
      </w:r>
      <w:r>
        <w:rPr>
          <w:b w:val="0"/>
          <w:sz w:val="20"/>
          <w:szCs w:val="23"/>
          <w:rtl/>
        </w:rPr>
        <w:t>(שיר ז ט)</w:t>
      </w:r>
      <w:r>
        <w:rPr>
          <w:b w:val="0"/>
          <w:szCs w:val="23"/>
          <w:rtl/>
        </w:rPr>
        <w:t xml:space="preserve"> </w:t>
      </w:r>
      <w:r>
        <w:rPr>
          <w:rStyle w:val="Char"/>
          <w:rtl/>
        </w:rPr>
        <w:t>וְרֵיחַ אַפֵּךְ כַּתַּפּוּחִים,</w:t>
      </w:r>
      <w:r>
        <w:rPr>
          <w:b w:val="0"/>
          <w:szCs w:val="23"/>
          <w:rtl/>
        </w:rPr>
        <w:t xml:space="preserve"> </w:t>
      </w:r>
      <w:r>
        <w:rPr>
          <w:b w:val="0"/>
          <w:sz w:val="20"/>
          <w:szCs w:val="23"/>
          <w:rtl/>
        </w:rPr>
        <w:t>(משלי כה יא)</w:t>
      </w:r>
      <w:r>
        <w:rPr>
          <w:b w:val="0"/>
          <w:bCs w:val="0"/>
          <w:rtl/>
        </w:rPr>
        <w:t xml:space="preserve"> תַּפּוּחֵי זָהָב בְּמַשְׂכִּיּוֹת כָּסֶף, </w:t>
      </w:r>
      <w:r>
        <w:rPr>
          <w:rStyle w:val="a7"/>
          <w:b w:val="0"/>
          <w:bCs w:val="0"/>
          <w:rtl/>
        </w:rPr>
        <w:footnoteReference w:id="4817"/>
      </w:r>
      <w:r>
        <w:rPr>
          <w:b w:val="0"/>
          <w:bCs w:val="0"/>
          <w:rtl/>
        </w:rPr>
        <w:t xml:space="preserve">וְאִינוּן תְּרֵי אוֹפַנֵּי הַמֶּרְכָּבָה, דִּתְלַת דַּרְגִּין אִינוּן, שְׂרָפִים וְחַיּוֹת וְאוֹפַנֵּי קֹדֶשׁ, </w:t>
      </w:r>
      <w:r>
        <w:rPr>
          <w:rStyle w:val="a7"/>
          <w:b w:val="0"/>
          <w:bCs w:val="0"/>
          <w:rtl/>
        </w:rPr>
        <w:footnoteReference w:id="4818"/>
      </w:r>
      <w:r>
        <w:rPr>
          <w:b w:val="0"/>
          <w:bCs w:val="0"/>
          <w:rtl/>
        </w:rPr>
        <w:t xml:space="preserve">שְׂרָפִים תְּרֵין דְּרוֹעִין יְמִינָא וּשְׂמָאלָא, חַיּוֹת גּוּפָא וּבְרִית, אוֹפַנִּים תְּרֵין שׁוֹקִין, מֶרְכָּבָה דְכֻלְּהוּ שְׁכִינָה, </w:t>
      </w:r>
      <w:r>
        <w:rPr>
          <w:rStyle w:val="a7"/>
          <w:b w:val="0"/>
          <w:bCs w:val="0"/>
          <w:rtl/>
        </w:rPr>
        <w:footnoteReference w:id="4819"/>
      </w:r>
      <w:r>
        <w:rPr>
          <w:b w:val="0"/>
          <w:bCs w:val="0"/>
          <w:rtl/>
        </w:rPr>
        <w:t xml:space="preserve">בְּגִין דְּאִינוּן שִׁית תִּיקוּנִין מִסִּטְרָא דְאָת ו', דְּאִיהוּ רוּחָא קַדִּישָׁא </w:t>
      </w:r>
      <w:r>
        <w:rPr>
          <w:b w:val="0"/>
          <w:sz w:val="20"/>
          <w:szCs w:val="23"/>
          <w:rtl/>
        </w:rPr>
        <w:t>(נ''א דקודשא ברוך הוא)</w:t>
      </w:r>
      <w:r>
        <w:rPr>
          <w:b w:val="0"/>
          <w:bCs w:val="0"/>
          <w:rtl/>
        </w:rPr>
        <w:t>, דְּדָפִיק וּמְנַשֵּׁיב בְּכֻלְּהוּ.</w:t>
      </w:r>
    </w:p>
    <w:p w:rsidR="0020255E" w:rsidRDefault="0020255E" w:rsidP="0020255E">
      <w:pPr>
        <w:pStyle w:val="NormalWeb"/>
        <w:rPr>
          <w:b w:val="0"/>
          <w:bCs w:val="0"/>
          <w:rtl/>
        </w:rPr>
      </w:pPr>
      <w:r>
        <w:rPr>
          <w:b w:val="0"/>
          <w:bCs w:val="0"/>
          <w:rtl/>
        </w:rPr>
        <w:t xml:space="preserve">מַלְכוּת מֶרְכָּבָה דִילָהּ כְּלִילָא מֵאַרְבַּע רוּחִין, וְדָא אִיהוּ רָזָא דוּ פַרְצוּפִין, דְּאִינוּן עֲשָׂרָה דְפִיקִין, דְּאִינוּן ה' דְנָפִיק מִלִּבָּא, דְאִיהוּ הֲבַל ה' ל''ב, ד' אַרְבַּע מַחֲנוֹת, ד' חַיּוֹת לַכִּסֵּא, ו' שִׁית דַּרְגִּין, דְּאִינוּן שֵׁשׁ מַעֲלוֹת לַכִּסֵּא, דְּמִתַּמָּן כָּל נִשְׁמָתִין בְּאֹרַח אֲצִילוּת, וְלַאו אִיהוּ הַאי כָּרְסַיָּיא בְּאֹרַח בְּרִיאָה, אֶלָּא בְאֹרַח אֲצִילוּת, דִּשְׁכִינְתָּא עִלָּאָה אִיהִי כִּסֵּא כָבוֹד מָרוֹם מֵרִאשׁוֹן </w:t>
      </w:r>
      <w:r>
        <w:rPr>
          <w:b w:val="0"/>
          <w:sz w:val="20"/>
          <w:szCs w:val="23"/>
          <w:rtl/>
        </w:rPr>
        <w:t>(ירמיה יז יב)</w:t>
      </w:r>
      <w:r>
        <w:rPr>
          <w:b w:val="0"/>
          <w:bCs w:val="0"/>
          <w:rtl/>
        </w:rPr>
        <w:t xml:space="preserve"> דְּאִיהִי מַלְכוּת.</w:t>
      </w:r>
    </w:p>
    <w:p w:rsidR="0020255E" w:rsidRDefault="0020255E" w:rsidP="0020255E">
      <w:pPr>
        <w:pStyle w:val="NormalWeb"/>
        <w:rPr>
          <w:b w:val="0"/>
          <w:bCs w:val="0"/>
          <w:rtl/>
        </w:rPr>
      </w:pPr>
      <w:r>
        <w:rPr>
          <w:rStyle w:val="a7"/>
          <w:b w:val="0"/>
          <w:bCs w:val="0"/>
          <w:rtl/>
        </w:rPr>
        <w:footnoteReference w:id="4820"/>
      </w:r>
      <w:r>
        <w:rPr>
          <w:b w:val="0"/>
          <w:bCs w:val="0"/>
          <w:rtl/>
        </w:rPr>
        <w:t xml:space="preserve">וּבְהוֹן ה"ה, ו' אִתְלַבַּשׁ בְּשִׁית סְפִירָן, דְּאִינוּן שֵׁשׁ מַעֲלוֹת לַכִּסֵּא, י' אִתְלַבַּשׁ בְּחָכְמָה וְסָלִיק לַעֲשָׂרָה, דְאִינוּן עֶשֶׂר גַּלְגַּלִּים דְּכָרְסַיָּיא, א לְעִילָא דְמוּת כְּמַרְאֵה אָדָם עָלָיו מִלְמָעְלָה, וְדָא אַוִּיר קַדְמוֹן, </w:t>
      </w:r>
      <w:r>
        <w:rPr>
          <w:rStyle w:val="a7"/>
          <w:b w:val="0"/>
          <w:bCs w:val="0"/>
          <w:rtl/>
        </w:rPr>
        <w:footnoteReference w:id="4821"/>
      </w:r>
      <w:r>
        <w:rPr>
          <w:b w:val="0"/>
          <w:bCs w:val="0"/>
          <w:rtl/>
        </w:rPr>
        <w:t xml:space="preserve">ה' זְעִירָא אִיהִי לִימִינָא, וְחָכְמָה לִימִינָא </w:t>
      </w:r>
      <w:r>
        <w:rPr>
          <w:rStyle w:val="a7"/>
          <w:b w:val="0"/>
          <w:bCs w:val="0"/>
          <w:rtl/>
        </w:rPr>
        <w:footnoteReference w:id="4822"/>
      </w:r>
      <w:r>
        <w:rPr>
          <w:b w:val="0"/>
          <w:bCs w:val="0"/>
          <w:rtl/>
        </w:rPr>
        <w:t xml:space="preserve">נָטִיר לָהּ, וּבְהַאי אֲתַר יהו''ה בְּחָכְמָה יָסַד אָרֶץ, </w:t>
      </w:r>
      <w:r>
        <w:rPr>
          <w:b w:val="0"/>
          <w:sz w:val="20"/>
          <w:szCs w:val="23"/>
          <w:rtl/>
        </w:rPr>
        <w:t>(משלי ג יט)</w:t>
      </w:r>
      <w:r>
        <w:rPr>
          <w:b w:val="0"/>
          <w:bCs w:val="0"/>
          <w:rtl/>
        </w:rPr>
        <w:t xml:space="preserve"> ה' לִשְׂמָאלָא </w:t>
      </w:r>
      <w:r>
        <w:rPr>
          <w:rStyle w:val="a7"/>
          <w:b w:val="0"/>
          <w:bCs w:val="0"/>
          <w:rtl/>
        </w:rPr>
        <w:footnoteReference w:id="4823"/>
      </w:r>
      <w:r>
        <w:rPr>
          <w:b w:val="0"/>
          <w:bCs w:val="0"/>
          <w:rtl/>
        </w:rPr>
        <w:t>אֵשׁ עַל לִבָּא, ו' רוּחָא דְנָשִׁיב לְגַבָּהּ, וּבָעִי רַחֲמֵי מִינָהּ דְּלָא אוֹקִידַת עָלְמָא, בְּגִין דְּגָרְמֵי לָהּ דְּאִתְרַחֲקָא מִבַּעְלָהּ, וּמַאֲרִיךְ רוּגְזָהָא.</w:t>
      </w:r>
    </w:p>
    <w:p w:rsidR="0020255E" w:rsidRDefault="0020255E" w:rsidP="0020255E">
      <w:pPr>
        <w:pStyle w:val="NormalWeb"/>
        <w:rPr>
          <w:b w:val="0"/>
          <w:bCs w:val="0"/>
          <w:rtl/>
        </w:rPr>
      </w:pPr>
      <w:r>
        <w:rPr>
          <w:b w:val="0"/>
          <w:bCs w:val="0"/>
          <w:rtl/>
        </w:rPr>
        <w:t xml:space="preserve">וּלְזִמְנִין דְּיֵיתֵי פּוּרְקָנָא, אִתְּמַר לְגַבֵּי ו' דְּאִיהוּ דַרְגָּא דְמֹשֶׁה, מוֹלִיךְ לִימִין מֹשֶׁה </w:t>
      </w:r>
      <w:r>
        <w:rPr>
          <w:b w:val="0"/>
          <w:sz w:val="20"/>
          <w:szCs w:val="23"/>
          <w:rtl/>
        </w:rPr>
        <w:t>(ישעיה סג יב)</w:t>
      </w:r>
      <w:r>
        <w:rPr>
          <w:b w:val="0"/>
          <w:bCs w:val="0"/>
          <w:rtl/>
        </w:rPr>
        <w:t xml:space="preserve">, לְסַמְכָא ה' דִּילֵיהּ בִּימִינָא, וְדָא אִיהוּ חַי יהו''ה שִׁכְבִי עַד הַבֹּקֶר, בֹּקֶר דְּאַבְרָהָם, י' אָזִיל לִשְׂמָאלָא וְזַקִּיף לְה' דִּילֵיהּ, וְדָא אִיהוּ קָרְבָּן עוֹלֶה וְיוֹרֵד, </w:t>
      </w:r>
      <w:r>
        <w:rPr>
          <w:rStyle w:val="a7"/>
          <w:b w:val="0"/>
          <w:bCs w:val="0"/>
          <w:rtl/>
        </w:rPr>
        <w:footnoteReference w:id="4824"/>
      </w:r>
      <w:r>
        <w:rPr>
          <w:b w:val="0"/>
          <w:bCs w:val="0"/>
          <w:rtl/>
        </w:rPr>
        <w:t>וְרָזָא דְמִלָּה, יַעֲקֹב בְּהַאי אֲתַר שִׂכֵּל אֶת יָדָיו, וּלְחַכִּימָא בִרְמִיזָא.</w:t>
      </w:r>
    </w:p>
    <w:p w:rsidR="0020255E" w:rsidRDefault="0020255E" w:rsidP="0020255E">
      <w:pPr>
        <w:pStyle w:val="NormalWeb"/>
        <w:rPr>
          <w:b w:val="0"/>
          <w:bCs w:val="0"/>
          <w:rtl/>
        </w:rPr>
      </w:pPr>
      <w:r>
        <w:rPr>
          <w:rStyle w:val="a7"/>
          <w:b w:val="0"/>
          <w:bCs w:val="0"/>
          <w:rtl/>
        </w:rPr>
        <w:footnoteReference w:id="4825"/>
      </w:r>
      <w:r>
        <w:rPr>
          <w:b w:val="0"/>
          <w:bCs w:val="0"/>
          <w:rtl/>
        </w:rPr>
        <w:t xml:space="preserve">אִתְחַזַּר ו''ה לִימִינָא דְאִינוּן זָכוֹר, וְדָא אִיהוּ זֶה שְּׁמִי וְזֶה זִכְרִי </w:t>
      </w:r>
      <w:r>
        <w:rPr>
          <w:b w:val="0"/>
          <w:sz w:val="20"/>
          <w:szCs w:val="23"/>
          <w:rtl/>
        </w:rPr>
        <w:t>(שמות ג טו)</w:t>
      </w:r>
      <w:r>
        <w:rPr>
          <w:b w:val="0"/>
          <w:bCs w:val="0"/>
          <w:rtl/>
        </w:rPr>
        <w:t xml:space="preserve"> י''ה עִם שְׁמִ''י שְׁסָ''ה לִשְׂמָאלָא, ו''ה עִם זִכְרִ''י רְמַ''ח לִימִינָא, בַּפֶּסַח יְהוֹן ו''ה לִימִינָא, בְּרֹאשׁ הַשָּׁנָה י''ה לִשְׂמָאלָא, שָׁבוּעוֹת אֲחִיד בְּתַרְוַיְיהוּ וְדָא עַמּוּדָא דְאֶמְצָעִיתָא, הֲדָא הוּא דִכְתִיב </w:t>
      </w:r>
      <w:r>
        <w:rPr>
          <w:b w:val="0"/>
          <w:sz w:val="20"/>
          <w:szCs w:val="23"/>
          <w:rtl/>
        </w:rPr>
        <w:t>(בראשית כט כז)</w:t>
      </w:r>
      <w:r>
        <w:rPr>
          <w:b w:val="0"/>
          <w:bCs w:val="0"/>
          <w:rtl/>
        </w:rPr>
        <w:t xml:space="preserve"> מַלֵּא שְׁבוּעַ זֹאת וְנִתְּנָה לְךָ גַּם אֶת זֹאת, בֵּיהּ אִשְׁתַּלִּים יהו''ה, וְעִם כָּל דָּא לָא יְהֵא שָׁלֵם אֶלָּא בְּבַת זוּגֵיהּ דְּאִיהִי אדנ''י, וּבְאָן אֲתַר בְּסוּכָּה, דְאִיהוּ כ''ו ה''ס דְּאִיהִי יאהדונה''י, וְרָזָא דְמִלָּה וַיָּבֹא יַעֲקֹב שָׁלֵם </w:t>
      </w:r>
      <w:r>
        <w:rPr>
          <w:b w:val="0"/>
          <w:sz w:val="20"/>
          <w:szCs w:val="23"/>
          <w:rtl/>
        </w:rPr>
        <w:t>(שם לג יח)</w:t>
      </w:r>
      <w:r>
        <w:rPr>
          <w:b w:val="0"/>
          <w:bCs w:val="0"/>
          <w:rtl/>
        </w:rPr>
        <w:t xml:space="preserve"> בְּיהוָֹ''ה, מִיָּד וַיִּבֶן לוֹ בָּיִת דָּא סוּכָּה, כְּמָה דְאַתְּ אָמַר </w:t>
      </w:r>
      <w:r>
        <w:rPr>
          <w:b w:val="0"/>
          <w:sz w:val="20"/>
          <w:szCs w:val="23"/>
          <w:rtl/>
        </w:rPr>
        <w:t>(שם יז)</w:t>
      </w:r>
      <w:r>
        <w:rPr>
          <w:b w:val="0"/>
          <w:bCs w:val="0"/>
          <w:rtl/>
        </w:rPr>
        <w:t xml:space="preserve"> וְיַעֲקֹב נָסַע סֻכֹּתָה וַיִּבֶן לוֹ בָּיִת.</w:t>
      </w:r>
    </w:p>
    <w:p w:rsidR="0020255E" w:rsidRDefault="0020255E" w:rsidP="0020255E">
      <w:pPr>
        <w:pStyle w:val="NormalWeb"/>
        <w:rPr>
          <w:b w:val="0"/>
          <w:bCs w:val="0"/>
          <w:rtl/>
        </w:rPr>
      </w:pPr>
      <w:r>
        <w:rPr>
          <w:b w:val="0"/>
          <w:bCs w:val="0"/>
          <w:rtl/>
        </w:rPr>
        <w:t>בְּהַהוּא זִמְנָא, מַה דַּהֲוָה אֲנִי יְשֵׁנָה בְגָלוּתָא, דְאִסְתַּלַּק דְּפִיקוּ דִילָהּ שְׁלִימוּ דִילָהּ, בְּהַהוּא זִמְנָא אִתְּמַר בִּשְׁכִינְתָּא וְלִבִּי עִר, לְאִתְעֲרוּתָא דְפוּרְקָנָא, וּבְהַהוּא זִמְנָא נַשִּׁיב רוּחָא דְקוּדְשָׁא בָהּ, דִּבְזִמְנָא דְרוּחָא דְקוּדְשָׁא לָא נַשִּׁיב רוּחַ סְעָרָה נַשִּׁיב, בְּאוּדְנָא שְׂמָאלָא דְלִבָּא, וְיָכִיל לְמִטְעִי עָלְמָא</w:t>
      </w:r>
    </w:p>
    <w:p w:rsidR="0020255E" w:rsidRDefault="0020255E" w:rsidP="0020255E">
      <w:pPr>
        <w:pStyle w:val="aa"/>
        <w:spacing w:after="40"/>
        <w:rPr>
          <w:rtl/>
        </w:rPr>
      </w:pPr>
      <w:r>
        <w:rPr>
          <w:rtl/>
        </w:rPr>
        <w:t xml:space="preserve">[תיקוני זוהר - דף קיו ע''ב] </w:t>
      </w:r>
    </w:p>
    <w:p w:rsidR="0020255E" w:rsidRDefault="0020255E" w:rsidP="0020255E">
      <w:pPr>
        <w:pStyle w:val="NormalWeb"/>
        <w:rPr>
          <w:b w:val="0"/>
          <w:bCs w:val="0"/>
          <w:rtl/>
        </w:rPr>
      </w:pPr>
      <w:r>
        <w:rPr>
          <w:b w:val="0"/>
          <w:bCs w:val="0"/>
          <w:rtl/>
        </w:rPr>
        <w:t xml:space="preserve">וְהַאי אִיהוּ דְאִתְּמַר בֵּיהּ </w:t>
      </w:r>
      <w:r>
        <w:rPr>
          <w:b w:val="0"/>
          <w:sz w:val="20"/>
          <w:szCs w:val="23"/>
          <w:rtl/>
        </w:rPr>
        <w:t>(יחזקאל א ד)</w:t>
      </w:r>
      <w:r>
        <w:rPr>
          <w:b w:val="0"/>
          <w:bCs w:val="0"/>
          <w:rtl/>
        </w:rPr>
        <w:t xml:space="preserve"> וְהִנֵּה רוּחַ סְעָרָה </w:t>
      </w:r>
      <w:r>
        <w:rPr>
          <w:rStyle w:val="a7"/>
          <w:b w:val="0"/>
          <w:bCs w:val="0"/>
          <w:rtl/>
        </w:rPr>
        <w:footnoteReference w:id="4826"/>
      </w:r>
      <w:r>
        <w:rPr>
          <w:b w:val="0"/>
          <w:bCs w:val="0"/>
          <w:rtl/>
        </w:rPr>
        <w:t xml:space="preserve">בָּאָה מִן הַצָּפוֹן, דְּסָעִיר גּוּפֵיהּ דְּבַר נַשׁ, דְּאִתְּמַר בֵּיהּ </w:t>
      </w:r>
      <w:r>
        <w:rPr>
          <w:b w:val="0"/>
          <w:sz w:val="20"/>
          <w:szCs w:val="23"/>
          <w:rtl/>
        </w:rPr>
        <w:t>(ירמיה א יד)</w:t>
      </w:r>
      <w:r>
        <w:rPr>
          <w:b w:val="0"/>
          <w:bCs w:val="0"/>
          <w:rtl/>
        </w:rPr>
        <w:t xml:space="preserve"> מִצָּפוֹן תִּפָּתַח הָרָעָה, וּבְהַהוּא זִמְנָא שָׁלְטִין בְּעָלְמָא כָּל רוּחִין וְשֵׁדִין וּמַזִּיקִין בִּישִׁין דִּמְחַבְּלִין עָלְמָא דְאִינוּן מַלְאֲכֵי חַבָּלָה, וְדָא דְפִיקוּ דְמַרְעָא דְסָלִיק בְּאֶשָּׁא דְגֵיהִנָּם דְאִיהִי מָרָה, וּמְחַמֵּם לְגוּפֵיהּ דְּבַר נַשׁ, וּבֵיהּ וַיְמָרַרוּ אֶת חַיֵּיהֶם </w:t>
      </w:r>
      <w:r>
        <w:rPr>
          <w:b w:val="0"/>
          <w:sz w:val="20"/>
          <w:szCs w:val="23"/>
          <w:rtl/>
        </w:rPr>
        <w:t>(שמות א יד)</w:t>
      </w:r>
      <w:r>
        <w:rPr>
          <w:b w:val="0"/>
          <w:bCs w:val="0"/>
          <w:rtl/>
        </w:rPr>
        <w:t xml:space="preserve"> דְּאֵבָרִין דְּאִינוּן יִשְׂרָאֵל, </w:t>
      </w:r>
      <w:r>
        <w:rPr>
          <w:rStyle w:val="a7"/>
          <w:b w:val="0"/>
          <w:bCs w:val="0"/>
          <w:rtl/>
        </w:rPr>
        <w:footnoteReference w:id="4827"/>
      </w:r>
      <w:r>
        <w:rPr>
          <w:b w:val="0"/>
          <w:bCs w:val="0"/>
          <w:rtl/>
        </w:rPr>
        <w:t xml:space="preserve">בַּעֲבוֹדָה קָשָׁה דָּא דְפִיקוּ דְעַרְקִין דְמָרָה דְאִיהִי כְּבֵדָה עַל בַּר נַשׁ, בְּחֹמֶר וּבִלְבֵנִים דָּא הוּא לֵיחָא חִוְורָא דְמִינָהּ יֵתוּן לֵיהּ כַּמָּה מַרְעִין בִּישִׁין, דְּאִינוּן מַיִּם הַזֵּדוֹנִים </w:t>
      </w:r>
      <w:r>
        <w:rPr>
          <w:b w:val="0"/>
          <w:sz w:val="20"/>
          <w:szCs w:val="23"/>
          <w:rtl/>
        </w:rPr>
        <w:t xml:space="preserve">(דף קיו ע''ב) </w:t>
      </w:r>
      <w:r>
        <w:rPr>
          <w:b w:val="0"/>
          <w:bCs w:val="0"/>
          <w:rtl/>
        </w:rPr>
        <w:t>דְּמִתְגַּבְּרִין עַל אֵבָרִין דִּילֵיהּ.</w:t>
      </w:r>
    </w:p>
    <w:p w:rsidR="0020255E" w:rsidRDefault="0020255E" w:rsidP="0020255E">
      <w:pPr>
        <w:pStyle w:val="NormalWeb"/>
        <w:rPr>
          <w:b w:val="0"/>
          <w:bCs w:val="0"/>
          <w:rtl/>
        </w:rPr>
      </w:pPr>
      <w:r>
        <w:rPr>
          <w:b w:val="0"/>
          <w:bCs w:val="0"/>
          <w:rtl/>
        </w:rPr>
        <w:t xml:space="preserve">וּבְכָל עֲבוֹדָה בַּשָּׂדֶה דָּא דְפִיקוּ דִדְמָא, דְאִתְּמַר בֵּיהּ </w:t>
      </w:r>
      <w:r>
        <w:rPr>
          <w:b w:val="0"/>
          <w:sz w:val="20"/>
          <w:szCs w:val="23"/>
          <w:rtl/>
        </w:rPr>
        <w:t>(בראשית כה כז)</w:t>
      </w:r>
      <w:r>
        <w:rPr>
          <w:b w:val="0"/>
          <w:bCs w:val="0"/>
          <w:rtl/>
        </w:rPr>
        <w:t xml:space="preserve"> אִישׁ יוֹדֵעַ צַיִד אִישׁ שָׂדֶה, וּמַאי נִיהוּ דְפִיקוּ דִדְמָא רוּחַ סְעָרָה, דְאִתְגַּבַּר בֵּיהּ דְּמָא דְעַרְקִין דְּכָבֵד, דְּאִיהוּ עִשָׂו הוּא אֱדוֹם </w:t>
      </w:r>
      <w:r>
        <w:rPr>
          <w:b w:val="0"/>
          <w:sz w:val="20"/>
          <w:szCs w:val="23"/>
          <w:rtl/>
        </w:rPr>
        <w:t>(שם לו א)</w:t>
      </w:r>
      <w:r>
        <w:rPr>
          <w:b w:val="0"/>
          <w:bCs w:val="0"/>
          <w:rtl/>
        </w:rPr>
        <w:t xml:space="preserve">, דְּעַרְקִין דִּילֵיהּ כִּי רַגְלֵיהֶם לָרַע יָרוּצוּ וִימַהֲרוּ לִשְׁפּוֹךְ דָּם </w:t>
      </w:r>
      <w:r>
        <w:rPr>
          <w:b w:val="0"/>
          <w:sz w:val="20"/>
          <w:szCs w:val="23"/>
          <w:rtl/>
        </w:rPr>
        <w:t>(משלי א טז)</w:t>
      </w:r>
      <w:r>
        <w:rPr>
          <w:b w:val="0"/>
          <w:szCs w:val="23"/>
          <w:rtl/>
        </w:rPr>
        <w:t xml:space="preserve">, </w:t>
      </w:r>
      <w:r>
        <w:rPr>
          <w:rStyle w:val="Char"/>
          <w:rtl/>
        </w:rPr>
        <w:t>אֲשֶׁר עָבְדוּ בָהֶם בְּפָרֶךְ</w:t>
      </w:r>
      <w:r>
        <w:rPr>
          <w:b w:val="0"/>
          <w:szCs w:val="23"/>
          <w:rtl/>
        </w:rPr>
        <w:t xml:space="preserve"> </w:t>
      </w:r>
      <w:r>
        <w:rPr>
          <w:b w:val="0"/>
          <w:sz w:val="20"/>
          <w:szCs w:val="23"/>
          <w:rtl/>
        </w:rPr>
        <w:t>(שמות א יד)</w:t>
      </w:r>
      <w:r>
        <w:rPr>
          <w:b w:val="0"/>
          <w:bCs w:val="0"/>
          <w:rtl/>
        </w:rPr>
        <w:t>, דְּפִיקוּ בְמָרָה אוּכְמָא, דְאִיהוּ יָבֵשׁ בְּרֵיקַנְיָא, וּבְגִין דָּא אִתְּמַר בֵּיהּ בְּפָרֶךְ.</w:t>
      </w:r>
    </w:p>
    <w:p w:rsidR="0020255E" w:rsidRDefault="0020255E" w:rsidP="0020255E">
      <w:pPr>
        <w:pStyle w:val="NormalWeb"/>
        <w:rPr>
          <w:b w:val="0"/>
          <w:bCs w:val="0"/>
          <w:rtl/>
        </w:rPr>
      </w:pPr>
      <w:r>
        <w:rPr>
          <w:b w:val="0"/>
          <w:bCs w:val="0"/>
          <w:rtl/>
        </w:rPr>
        <w:t xml:space="preserve">וְכַד אִתְעֲבַר רוּחַ סְעָרָה, כְּמָה דְאַתְּ אָמַר </w:t>
      </w:r>
      <w:r>
        <w:rPr>
          <w:b w:val="0"/>
          <w:sz w:val="20"/>
          <w:szCs w:val="23"/>
          <w:rtl/>
        </w:rPr>
        <w:t>(זכריה יג ב)</w:t>
      </w:r>
      <w:r>
        <w:rPr>
          <w:b w:val="0"/>
          <w:bCs w:val="0"/>
          <w:rtl/>
        </w:rPr>
        <w:t xml:space="preserve"> וְאֶת רוּחַ הַטּוּמְאָה אַעֲבִיר מִן הָאָרֶץ, אִתְעַר דְּפִיקוּ בְהַהוּא רוּחָא, עֲלֵיהּ אִתְּמַר </w:t>
      </w:r>
      <w:r>
        <w:rPr>
          <w:b w:val="0"/>
          <w:sz w:val="20"/>
          <w:szCs w:val="23"/>
          <w:rtl/>
        </w:rPr>
        <w:t>(תהלים לג ו)</w:t>
      </w:r>
      <w:r>
        <w:rPr>
          <w:b w:val="0"/>
          <w:bCs w:val="0"/>
          <w:rtl/>
        </w:rPr>
        <w:t xml:space="preserve"> בִּדְבַר יהו''ה שָׁמַיִם נַעֲשׂוּ וּבְרוּחַ פִּיו כָּל צְבָאָם, בְּהַהוּא זִמְנָא הֲבָלִים דִּצְלוֹתִין סָלְקִין בֵּיהּ בְּרוּחָא דְקוּדְשָׁא לְגַבֵּי עִילָא, וְיִתְעָרוּ לְגַבַּיְיהוּ הֲבָלִים עִלָּאִין, דְּאִתְּמַר בְּהוּ </w:t>
      </w:r>
      <w:r>
        <w:rPr>
          <w:b w:val="0"/>
          <w:sz w:val="20"/>
          <w:szCs w:val="23"/>
          <w:rtl/>
        </w:rPr>
        <w:t>(דברים ח ג)</w:t>
      </w:r>
      <w:r>
        <w:rPr>
          <w:b w:val="0"/>
          <w:bCs w:val="0"/>
          <w:rtl/>
        </w:rPr>
        <w:t xml:space="preserve"> כִּי לֹא עַל הַלֶּחֶם לְבַדּוֹ יִחְיֶה הָאָדָם כו', דְאִיהוּ הֲבַל דְּלִבָּא דִשְׁכִינְתָּא קַדִּישָׁא, לַהַב הַמִּזְבֵּחַ, וּמִיָּד דִּסְלִיקַת בַּהֲבָלִים דְּפוּמַיְיהוּ דְיִשְׂרָאֵל בִּצְלוֹתִין, קוּדְשָׁא בְּרִיךְ הוּא שָׁאִיל בְּגִינָהּ מִי זֹאת עוֹלָה מִן הַמִּדְבָּר </w:t>
      </w:r>
      <w:r>
        <w:rPr>
          <w:b w:val="0"/>
          <w:sz w:val="20"/>
          <w:szCs w:val="23"/>
          <w:rtl/>
        </w:rPr>
        <w:t>(שיר ג ו),</w:t>
      </w:r>
      <w:r>
        <w:rPr>
          <w:b w:val="0"/>
          <w:bCs w:val="0"/>
          <w:rtl/>
        </w:rPr>
        <w:t xml:space="preserve"> </w:t>
      </w:r>
      <w:r>
        <w:rPr>
          <w:rStyle w:val="a7"/>
          <w:b w:val="0"/>
          <w:bCs w:val="0"/>
          <w:rtl/>
        </w:rPr>
        <w:footnoteReference w:id="4828"/>
      </w:r>
      <w:r>
        <w:rPr>
          <w:b w:val="0"/>
          <w:bCs w:val="0"/>
          <w:rtl/>
        </w:rPr>
        <w:t xml:space="preserve">מִי - בְּזֹאת </w:t>
      </w:r>
      <w:r>
        <w:rPr>
          <w:rStyle w:val="a7"/>
          <w:b w:val="0"/>
          <w:bCs w:val="0"/>
          <w:rtl/>
        </w:rPr>
        <w:footnoteReference w:id="4829"/>
      </w:r>
      <w:r>
        <w:rPr>
          <w:b w:val="0"/>
          <w:bCs w:val="0"/>
          <w:rtl/>
        </w:rPr>
        <w:t>עוֹלָה וַדַּאי.</w:t>
      </w:r>
    </w:p>
    <w:p w:rsidR="0020255E" w:rsidRDefault="0020255E" w:rsidP="0020255E">
      <w:pPr>
        <w:pStyle w:val="NormalWeb"/>
        <w:rPr>
          <w:b w:val="0"/>
          <w:bCs w:val="0"/>
          <w:rtl/>
        </w:rPr>
      </w:pPr>
      <w:r>
        <w:rPr>
          <w:b w:val="0"/>
          <w:bCs w:val="0"/>
          <w:rtl/>
        </w:rPr>
        <w:t xml:space="preserve">וּבְגִין דָּא אִית הֲבַל וְאִית הֲבַל, אִית הָבֶל דְּאִתְּמַר בֵּיהּ </w:t>
      </w:r>
      <w:r>
        <w:rPr>
          <w:b w:val="0"/>
          <w:sz w:val="20"/>
          <w:szCs w:val="23"/>
          <w:rtl/>
        </w:rPr>
        <w:t>(בראשית ד ב)</w:t>
      </w:r>
      <w:r>
        <w:rPr>
          <w:b w:val="0"/>
          <w:bCs w:val="0"/>
          <w:rtl/>
        </w:rPr>
        <w:t xml:space="preserve"> וַתּוֹסֶף לָלֶדֶת אֶת אָחִיו </w:t>
      </w:r>
      <w:r>
        <w:rPr>
          <w:rStyle w:val="a7"/>
          <w:b w:val="0"/>
          <w:bCs w:val="0"/>
          <w:rtl/>
        </w:rPr>
        <w:footnoteReference w:id="4830"/>
      </w:r>
      <w:r>
        <w:rPr>
          <w:b w:val="0"/>
          <w:bCs w:val="0"/>
          <w:rtl/>
        </w:rPr>
        <w:t xml:space="preserve">אֶת הָבֶל, וְדָּא הֶבֶל דִּצְלוֹתִין וּפוּלְחָנִין טָבִין, וְאִית הֲבַל דְּמִלִּין בְּטֵלִין מִלִּין רֵיקָנִין, דְּאִתְּמַר בְּהוֹן </w:t>
      </w:r>
      <w:r>
        <w:rPr>
          <w:b w:val="0"/>
          <w:sz w:val="20"/>
          <w:szCs w:val="23"/>
          <w:rtl/>
        </w:rPr>
        <w:t>(ירמיה י טו)</w:t>
      </w:r>
      <w:r>
        <w:rPr>
          <w:b w:val="0"/>
          <w:bCs w:val="0"/>
          <w:rtl/>
        </w:rPr>
        <w:t xml:space="preserve"> הֶבֶל הֵמָּה מַעֲשֵׂה תַּעְתּוּעִים בְּעִת פְּקוּדָּתָם יֹאבֵדוּ, מַאי בְּעִת פְּקוּדָּתָם, אֶלָּא בְזִמְנָא דְאָתֵי </w:t>
      </w:r>
      <w:r>
        <w:rPr>
          <w:rStyle w:val="a7"/>
          <w:b w:val="0"/>
          <w:bCs w:val="0"/>
          <w:rtl/>
        </w:rPr>
        <w:footnoteReference w:id="4831"/>
      </w:r>
      <w:r>
        <w:rPr>
          <w:b w:val="0"/>
          <w:bCs w:val="0"/>
          <w:rtl/>
        </w:rPr>
        <w:t xml:space="preserve">פּוּרְקָנָא וּפְקוּדָה לְיִשְׂרָאֵל, יֹאבֵדוּ מֵעָלְמָא, הֶבֶל תַּעְתּוּעִים דְּתוֹעִים לִבְנֵי נָשָׁא, וְרוּחָא דְקוּדְשָׁא שַׁלִּיט בְּעָלְמָא, דְאִיהוּ דְפִיקוּ דְאִתְּמַר בֵּיהּ </w:t>
      </w:r>
      <w:r>
        <w:rPr>
          <w:b w:val="0"/>
          <w:sz w:val="20"/>
          <w:szCs w:val="23"/>
          <w:rtl/>
        </w:rPr>
        <w:t>(שיר ה ב)</w:t>
      </w:r>
      <w:r>
        <w:rPr>
          <w:b w:val="0"/>
          <w:bCs w:val="0"/>
          <w:rtl/>
        </w:rPr>
        <w:t xml:space="preserve"> קוֹל דּוֹדִי דוֹפֵק, דְּפִיקוּ דְסָלִיק בְּגַלְגַלֵּי יַמָּא, דְּלִבָּא, וְכָל גַּלַּיָּיא עֲלַיְהוּ </w:t>
      </w:r>
      <w:r>
        <w:rPr>
          <w:rStyle w:val="a7"/>
          <w:b w:val="0"/>
          <w:bCs w:val="0"/>
          <w:rtl/>
        </w:rPr>
        <w:footnoteReference w:id="4832"/>
      </w:r>
      <w:r>
        <w:rPr>
          <w:b w:val="0"/>
          <w:bCs w:val="0"/>
          <w:rtl/>
        </w:rPr>
        <w:t xml:space="preserve">אִתְּמַר, </w:t>
      </w:r>
      <w:r>
        <w:rPr>
          <w:b w:val="0"/>
          <w:sz w:val="20"/>
          <w:szCs w:val="23"/>
          <w:rtl/>
        </w:rPr>
        <w:t>(יחזקאל א ב)</w:t>
      </w:r>
      <w:r>
        <w:rPr>
          <w:b w:val="0"/>
          <w:bCs w:val="0"/>
          <w:rtl/>
        </w:rPr>
        <w:t xml:space="preserve"> אֶל אֲשֶׁר יִהְיֶה שָּׁמָּה הָרוּחַ לָלֶכֶת יֵלֵכוּ, וּבְהוֹן הַחַיּוֹת רָצוֹא וָשׁוֹב, רָצוֹא תְּרֵין וָשׁוֹב תְּרֵין, וְאִינוּן יהו''ה, דְּאִתְּמַר בְּהוֹן </w:t>
      </w:r>
      <w:r>
        <w:rPr>
          <w:b w:val="0"/>
          <w:sz w:val="20"/>
          <w:szCs w:val="23"/>
          <w:rtl/>
        </w:rPr>
        <w:t>(שם לז ט)</w:t>
      </w:r>
      <w:r>
        <w:rPr>
          <w:b w:val="0"/>
          <w:bCs w:val="0"/>
          <w:rtl/>
        </w:rPr>
        <w:t xml:space="preserve"> כֹּה אָמַר יהו''ה מֵאַרְבַּע רוּחוֹת בֹּאִי הָרוּחַ.</w:t>
      </w:r>
    </w:p>
    <w:p w:rsidR="0020255E" w:rsidRDefault="0020255E" w:rsidP="0020255E">
      <w:pPr>
        <w:pStyle w:val="aa"/>
        <w:spacing w:after="40"/>
        <w:rPr>
          <w:rtl/>
        </w:rPr>
      </w:pPr>
      <w:r>
        <w:rPr>
          <w:rtl/>
        </w:rPr>
        <w:t>[תיקוני זוהר - דף לה ע''ב]</w:t>
      </w:r>
    </w:p>
    <w:p w:rsidR="0020255E" w:rsidRDefault="0020255E" w:rsidP="0020255E">
      <w:pPr>
        <w:pStyle w:val="NormalWeb"/>
        <w:rPr>
          <w:b w:val="0"/>
          <w:bCs w:val="0"/>
          <w:rtl/>
        </w:rPr>
      </w:pPr>
      <w:r>
        <w:rPr>
          <w:rStyle w:val="a7"/>
          <w:b w:val="0"/>
          <w:bCs w:val="0"/>
          <w:rtl/>
        </w:rPr>
        <w:footnoteReference w:id="4833"/>
      </w:r>
      <w:r>
        <w:rPr>
          <w:b w:val="0"/>
          <w:bCs w:val="0"/>
          <w:rtl/>
        </w:rPr>
        <w:t xml:space="preserve">שְׁכִינְתָּא עֲלָהּ אִתְּמַר </w:t>
      </w:r>
      <w:r>
        <w:rPr>
          <w:b w:val="0"/>
          <w:sz w:val="20"/>
          <w:szCs w:val="23"/>
          <w:rtl/>
        </w:rPr>
        <w:t>(ירמיה ה כב)</w:t>
      </w:r>
      <w:r>
        <w:rPr>
          <w:b w:val="0"/>
          <w:bCs w:val="0"/>
          <w:rtl/>
        </w:rPr>
        <w:t xml:space="preserve"> אֲשֶׁר שַׂמְתִּי חוֹל גְּבוּל לַיָּם, וְאִיהוּ תְּחוּמָא דְכֻלְּהוּ, כְּגַוְונָא דִתְּחוּם שַׁבָּת, וְכַד רָצִין גַּלִּין בְּאַרְבַּע רוּחִין, מִיָּד דְּחַזְיָין שְׁכִינְתָּא דְאִיהוּ חוֹל לֵב </w:t>
      </w:r>
      <w:r>
        <w:rPr>
          <w:b w:val="0"/>
          <w:sz w:val="20"/>
          <w:szCs w:val="23"/>
          <w:rtl/>
        </w:rPr>
        <w:t>(נ''א לים)</w:t>
      </w:r>
      <w:r>
        <w:rPr>
          <w:b w:val="0"/>
          <w:bCs w:val="0"/>
          <w:rtl/>
        </w:rPr>
        <w:t xml:space="preserve">, דְּאִיהִי חוֹל דְּאַסְחַר לְיַמָּא, אִתְּמַר בְּהוֹן וָשׁוֹב, חָזְרָאן לְאַתְרַיְיהוּ, וְאִלֵּין אַרְבַּע רוּחִין כַּד נָפְקֵי מִן לִבָּא, תְּנוּעָה דִלְהוֹן אִיהוּ לְאַרְבַּע סִטְרִין דִּסְפִינָה, תְּרֵין בִּתְרֵין כַּנְפֵי רֵיאָה, וּתְרֵין בִּתְרֵי בָּתֵּי לִבָּא, וּתְנוּעָה דִדְפִיקוּ דְרוּחָא עָבִיד תְּנוּעָתֵיהּ, וְדָפִיק בִּנְקוּדָה אַחַת אוֹ תְּרֵין אוֹ תְּלַת, וְאִתְחַזַּר לְאַתְרֵיהּ, </w:t>
      </w:r>
      <w:r>
        <w:rPr>
          <w:rStyle w:val="a7"/>
          <w:b w:val="0"/>
          <w:bCs w:val="0"/>
          <w:rtl/>
        </w:rPr>
        <w:footnoteReference w:id="4834"/>
      </w:r>
      <w:r>
        <w:rPr>
          <w:b w:val="0"/>
          <w:bCs w:val="0"/>
          <w:rtl/>
        </w:rPr>
        <w:t xml:space="preserve">וּבְנִקּוּדִין דְּדָפִיק אִשְׁתְּמוֹדָע דְּפִיקוּ, לְזִמְנִין דָּפִיק זִמְנָא חֲדָא וְאִתְחַזַּר לְאַתְרֵיהּ, וּדְפִיקוּ דָא אִשְׁתְּמוֹדָע בִּנְקוּדִין דְּאוֹרַיְיתָא, בְּהַהוּא זִמְנָא דְּדָפִיק בִּנְקוּדָה חֲדָא לְתַתָּא אִיהִי חִירֵ''ק, וְאִם הִיא לְעִילָא אִיהִי חֹלֵ''ם, כַּד אִיהִי בְּאֶמְצָעִיתָא אִיהוּ שׁוּרֵ''ק, </w:t>
      </w:r>
      <w:r>
        <w:rPr>
          <w:b w:val="0"/>
          <w:sz w:val="20"/>
          <w:szCs w:val="23"/>
          <w:rtl/>
        </w:rPr>
        <w:t xml:space="preserve">(דף לה ע"ב) </w:t>
      </w:r>
      <w:r>
        <w:rPr>
          <w:b w:val="0"/>
          <w:bCs w:val="0"/>
          <w:rtl/>
        </w:rPr>
        <w:t xml:space="preserve">אִם הִיא לְעִילָא אַחֲזֵי דְאִתְגַּבַּר אֶשָּׁא דְאִיהוּ חַם וְיָבֵשׁ וְאִיהוּ קַל, דַּעֲלֵיהּ אִתְּמַר </w:t>
      </w:r>
      <w:r>
        <w:rPr>
          <w:b w:val="0"/>
          <w:sz w:val="20"/>
          <w:szCs w:val="23"/>
          <w:rtl/>
        </w:rPr>
        <w:t>(ויקרא ו ב)</w:t>
      </w:r>
      <w:r>
        <w:rPr>
          <w:b w:val="0"/>
          <w:bCs w:val="0"/>
          <w:rtl/>
        </w:rPr>
        <w:t xml:space="preserve"> זֹאת תּוֹרַת הָעוֹלָה, וְאִם הוּא דָפִיק נְקוּדָה לְתַתָּא אִיהוּ חִרֵ''ק, וְנָחִית בְּמַיָּא דְאִיהוּ קַר וְלַח וְאִיהוּ כָּבֵד, וְאִי דָפִיק נְקוּדָה בְאֶמְצָעִיתָא שֻׁרֵ''ק דְּנַשִּׁיב </w:t>
      </w:r>
      <w:r>
        <w:rPr>
          <w:b w:val="0"/>
          <w:sz w:val="20"/>
          <w:szCs w:val="23"/>
          <w:rtl/>
        </w:rPr>
        <w:t>(נ''א דנחית)</w:t>
      </w:r>
      <w:r>
        <w:rPr>
          <w:b w:val="0"/>
          <w:bCs w:val="0"/>
          <w:rtl/>
        </w:rPr>
        <w:t xml:space="preserve"> </w:t>
      </w:r>
      <w:r>
        <w:rPr>
          <w:rStyle w:val="a7"/>
          <w:b w:val="0"/>
          <w:bCs w:val="0"/>
          <w:rtl/>
        </w:rPr>
        <w:footnoteReference w:id="4835"/>
      </w:r>
      <w:r>
        <w:rPr>
          <w:b w:val="0"/>
          <w:bCs w:val="0"/>
          <w:rtl/>
        </w:rPr>
        <w:t>בְּרוּחָא עַל מַיָּא, וַאֲחִיד בְּתַרְוַיְיהוּ וְאִיהוּ חַם וְלַח.</w:t>
      </w:r>
    </w:p>
    <w:p w:rsidR="0020255E" w:rsidRDefault="0020255E" w:rsidP="0020255E">
      <w:pPr>
        <w:pStyle w:val="NormalWeb"/>
        <w:rPr>
          <w:b w:val="0"/>
          <w:bCs w:val="0"/>
          <w:rtl/>
        </w:rPr>
      </w:pPr>
      <w:r>
        <w:rPr>
          <w:b w:val="0"/>
          <w:bCs w:val="0"/>
          <w:rtl/>
        </w:rPr>
        <w:t xml:space="preserve">וְהַאי אִיהוּ דְנָקִיד זִמְנָא חֲדָא לְעִילָא וְאִסְתַּלַּק דְּפִיקוּ, אוֹ דָפִיק זִמְנָא חֲדָא לְתַתָּא וְאִסְתַּלַּק דְּפִיקוּ, אוֹ דָפִיק זִמְנָא חֲדָא בְּאֶמְצָעִיתָא וְאִסְתַּלַּק דְּפִיקוּ, וְאִם דָּפִיק תְּרֵי זִמְנֵי דָא בָתַר דָּא וְאִסְתַּלַּק דְּפִיקוּ, הָא אִינוּן צֵרִ''י דִדְפִיקוּ דִלְהוֹן שָׁוִין, אֲבָל דָּפִיק נְקוּדָה חֲדָא לְעִילָא וּנְקוּדָה חֲדָא לְתַתָּא דָּא בָתַר דָּא אִינוּן שְׁבָ''א, וּתְרֵין נְקוּדִין, אִינוּן אֵשׁ וּמַיִם, לְזִמְנִין דָּא סָלִיק וְדָא נָחִית, כְּגוֹן אֶת הַמָּאוֹר הַגָּדוֹל </w:t>
      </w:r>
      <w:r>
        <w:rPr>
          <w:b w:val="0"/>
          <w:sz w:val="20"/>
          <w:szCs w:val="23"/>
          <w:rtl/>
        </w:rPr>
        <w:t>(לממשלת היום)</w:t>
      </w:r>
      <w:r>
        <w:rPr>
          <w:b w:val="0"/>
          <w:szCs w:val="23"/>
          <w:rtl/>
        </w:rPr>
        <w:t xml:space="preserve"> </w:t>
      </w:r>
      <w:r>
        <w:rPr>
          <w:rStyle w:val="Char"/>
          <w:rtl/>
        </w:rPr>
        <w:t>וְאֶת הַמָּאוֹר הַקָּטֹן</w:t>
      </w:r>
      <w:r>
        <w:rPr>
          <w:b w:val="0"/>
          <w:szCs w:val="23"/>
          <w:rtl/>
        </w:rPr>
        <w:t xml:space="preserve"> </w:t>
      </w:r>
      <w:r>
        <w:rPr>
          <w:b w:val="0"/>
          <w:sz w:val="20"/>
          <w:szCs w:val="23"/>
          <w:rtl/>
        </w:rPr>
        <w:t>(לממשלת הלילה)</w:t>
      </w:r>
      <w:r>
        <w:rPr>
          <w:b w:val="0"/>
          <w:szCs w:val="23"/>
          <w:rtl/>
        </w:rPr>
        <w:t xml:space="preserve">, </w:t>
      </w:r>
      <w:r>
        <w:rPr>
          <w:b w:val="0"/>
          <w:sz w:val="20"/>
          <w:szCs w:val="23"/>
          <w:rtl/>
        </w:rPr>
        <w:t>(בראשית א טז)</w:t>
      </w:r>
      <w:r>
        <w:rPr>
          <w:b w:val="0"/>
          <w:bCs w:val="0"/>
          <w:rtl/>
        </w:rPr>
        <w:t xml:space="preserve"> וּלְזִמְנִין אִינוּן שָׁוִין וְאִינוּן שָׁמַיִם אֵשׁ וּמַיִם, וּלְזִמְנִין דָּפִיק תְּלַת דְּפִיקִין חַד לְעִילָא וּבַתְרֵיהּ תִּנְיָינָא בְּאֶמְצָעִיתָא וּבַתְרֵיהּ תְּלִיתָאָה לְתַתָּא, הָא תְּלַת יְסוֹדִין יִתְעָרוּן בֵּיהּ דְּאִינוּן אֵשׁ וּמַיִם וְרוּחַ בְּאֶמְצָעִיתָא וְדָא שֻׁרֵ''ק, וְאִם דָּפִיק תְּרֵין דְּפִיקִין שָׁוִין דָּא בָתַר דָּא וּנְקוּדָה בָתַר תְּרֵין לְתַתָּא הָא אִינוּן סֶגוֹ''ל, דְּאִינוּן מַיִם וְאֵשׁ רוּחַ לְתַתָּא, וּלְזִמְנִין דְּפִיקוּ בְּפוּתְיָא בַאֲרִיכוּ דָא פַּתָ''ח, </w:t>
      </w:r>
      <w:r>
        <w:rPr>
          <w:rStyle w:val="a7"/>
          <w:b w:val="0"/>
          <w:bCs w:val="0"/>
          <w:rtl/>
        </w:rPr>
        <w:footnoteReference w:id="4836"/>
      </w:r>
      <w:r>
        <w:rPr>
          <w:b w:val="0"/>
          <w:bCs w:val="0"/>
          <w:rtl/>
        </w:rPr>
        <w:t>וּלְזִמְנִין דָּפִיק בַּאֲרִיכוּ וְנָקִיד נְקוּדָה אַבַּתְרֵיהּ דָּא קָמֵ''ץ, בַּאֲרִיכוּ אַחֲזֵי רַחֲמֵי.</w:t>
      </w:r>
    </w:p>
    <w:p w:rsidR="0020255E" w:rsidRDefault="0020255E" w:rsidP="0020255E">
      <w:pPr>
        <w:pStyle w:val="NormalWeb"/>
        <w:rPr>
          <w:b w:val="0"/>
          <w:bCs w:val="0"/>
          <w:rtl/>
        </w:rPr>
      </w:pPr>
      <w:r>
        <w:rPr>
          <w:rStyle w:val="a7"/>
          <w:b w:val="0"/>
          <w:bCs w:val="0"/>
          <w:rtl/>
        </w:rPr>
        <w:footnoteReference w:id="4837"/>
      </w:r>
      <w:r>
        <w:rPr>
          <w:b w:val="0"/>
          <w:bCs w:val="0"/>
          <w:rtl/>
        </w:rPr>
        <w:t xml:space="preserve">אִם זָכוּ דְפִיקוּ דָפִיק בְּאִלֵּין נְקוּדִין תֵּשַׁע, </w:t>
      </w:r>
      <w:r>
        <w:rPr>
          <w:rStyle w:val="a7"/>
          <w:b w:val="0"/>
          <w:bCs w:val="0"/>
          <w:rtl/>
        </w:rPr>
        <w:footnoteReference w:id="4838"/>
      </w:r>
      <w:r>
        <w:rPr>
          <w:b w:val="0"/>
          <w:bCs w:val="0"/>
          <w:rtl/>
        </w:rPr>
        <w:t xml:space="preserve">שְׁכִינְתָּא מָאנָא לְכֻלְּהוּ עֲשִׁירִית לוֹן, בְּגִין דְּבָהּ כְּלִילָן כָּל אַתְוָון, וְאַתְוָון אִינוּן לְגַבֵּי נְקוּדִין כְּגוּפָא לְגַבֵּי רוּחָא, </w:t>
      </w:r>
      <w:r>
        <w:rPr>
          <w:rStyle w:val="a7"/>
          <w:b w:val="0"/>
          <w:bCs w:val="0"/>
          <w:rtl/>
        </w:rPr>
        <w:footnoteReference w:id="4839"/>
      </w:r>
      <w:r>
        <w:rPr>
          <w:b w:val="0"/>
          <w:bCs w:val="0"/>
          <w:rtl/>
        </w:rPr>
        <w:t xml:space="preserve">וּבֵין כָּל דְּפִיקוּ וּדְפִיקוּ </w:t>
      </w:r>
      <w:r>
        <w:rPr>
          <w:b w:val="0"/>
          <w:sz w:val="20"/>
          <w:szCs w:val="23"/>
          <w:rtl/>
        </w:rPr>
        <w:t>(י' שעוריה דאיהו שעור קומה)</w:t>
      </w:r>
      <w:r>
        <w:rPr>
          <w:b w:val="0"/>
          <w:bCs w:val="0"/>
          <w:rtl/>
        </w:rPr>
        <w:t xml:space="preserve"> ו' שִׁעוּרֵיהּ, דְּאִיהוּ שִׁיעוּר קוֹמָה. וְכַד נְקוּדִין דָּפְקִין בֵּיהּ, אִינוּן דָּפְקִין כֻּלְּהוּ דְפִיקִין בִּנְיָיחָא בְּרַחֲמֵי, וְכַד לֵית תַּמָּן ו' דָּפְקִין בִּמְהִירוּ, וְאִינוּן דִּינִין דְּפִיקִין דְּדוֹחֲקָא בָּתַר דּוֹחֲקָא, וְאִנּוּן </w:t>
      </w:r>
      <w:r>
        <w:rPr>
          <w:b w:val="0"/>
          <w:sz w:val="20"/>
          <w:szCs w:val="23"/>
          <w:rtl/>
        </w:rPr>
        <w:t>(ירמיה ל ז)</w:t>
      </w:r>
      <w:r>
        <w:rPr>
          <w:b w:val="0"/>
          <w:bCs w:val="0"/>
          <w:rtl/>
        </w:rPr>
        <w:t xml:space="preserve"> עִת צָרָה הִיא לְיַעֲקֹב וּמִמֶּנָּה יִוָּשֵׁעַ.</w:t>
      </w:r>
    </w:p>
    <w:p w:rsidR="0020255E" w:rsidRDefault="0020255E" w:rsidP="0020255E">
      <w:pPr>
        <w:pStyle w:val="NormalWeb"/>
        <w:rPr>
          <w:b w:val="0"/>
          <w:bCs w:val="0"/>
          <w:rtl/>
        </w:rPr>
      </w:pPr>
      <w:r>
        <w:rPr>
          <w:b w:val="0"/>
          <w:bCs w:val="0"/>
          <w:rtl/>
        </w:rPr>
        <w:t xml:space="preserve">וּמָאנָא דִנְקוּדִין אִיהוּ נֶפֶשׁ, נִשְׁמָתָא אִיהִי כֶתֶר עַל כֻּלְּהוּ, וּמִינָה כִּתְרִין, דְּאִינוּן טַעֲמֵי תְּנוּעָה דִנְקוּדִין וְאַתְוָון, </w:t>
      </w:r>
      <w:r>
        <w:rPr>
          <w:rStyle w:val="a7"/>
          <w:b w:val="0"/>
          <w:bCs w:val="0"/>
          <w:rtl/>
        </w:rPr>
        <w:footnoteReference w:id="4840"/>
      </w:r>
      <w:r>
        <w:rPr>
          <w:b w:val="0"/>
          <w:bCs w:val="0"/>
          <w:rtl/>
        </w:rPr>
        <w:t xml:space="preserve">וְאִיהִי תַלְיָא בְּמַחֲשַׁבְתָּא, וּנְקוּדִין תַּלְיָין בַּאֲמִירָה, אַתְוָון בַּעֲשִׂיָּיה, וְדָא אִיהוּ אוֹמֵר וְעוֹשֶׂה, מִסִּטְרָא דִימִינָא אֲמִירָה, מִסִּטְרָא דִשְׂמָאלָא עֲשִׂיָּה, עַמּוּדָא דְאֶמְצָעִיתָא כְּלִיל תַּרְוַיְיהוּ אוֹמֵר וְעוֹשֶׂה, וּבְמַאי אוֹמֵר וְעוֹשֶׂה, בְּהַוַיָּה, דְאִתְּמַר בֵּיהּ </w:t>
      </w:r>
      <w:r>
        <w:rPr>
          <w:b w:val="0"/>
          <w:sz w:val="20"/>
          <w:szCs w:val="23"/>
          <w:rtl/>
        </w:rPr>
        <w:t>(בראשית א ג)</w:t>
      </w:r>
      <w:r>
        <w:rPr>
          <w:b w:val="0"/>
          <w:bCs w:val="0"/>
          <w:rtl/>
        </w:rPr>
        <w:t xml:space="preserve"> יְהִי אוֹר וַיְהִי אוֹר, יְהִי אוֹר יְהִי י' בְּאוֹר וְאִתְעֲבִיד אַוִּיר דַּאֲחִיד בְּתַרְוַיְיהוּ בְּעַמּוּדָא דְאֶמְצָעִיתָא.</w:t>
      </w:r>
    </w:p>
    <w:p w:rsidR="0020255E" w:rsidRDefault="0020255E" w:rsidP="0020255E">
      <w:pPr>
        <w:pStyle w:val="aa"/>
        <w:spacing w:after="40"/>
        <w:rPr>
          <w:rtl/>
        </w:rPr>
      </w:pPr>
      <w:r>
        <w:rPr>
          <w:rtl/>
        </w:rPr>
        <w:t>[תיקוני זוהר - דף לו ע''א]</w:t>
      </w:r>
    </w:p>
    <w:p w:rsidR="0020255E" w:rsidRDefault="0020255E" w:rsidP="0020255E">
      <w:pPr>
        <w:pStyle w:val="NormalWeb"/>
        <w:rPr>
          <w:b w:val="0"/>
          <w:bCs w:val="0"/>
          <w:rtl/>
        </w:rPr>
      </w:pPr>
      <w:r>
        <w:rPr>
          <w:rStyle w:val="a7"/>
          <w:b w:val="0"/>
          <w:bCs w:val="0"/>
          <w:rtl/>
        </w:rPr>
        <w:footnoteReference w:id="4841"/>
      </w:r>
      <w:r>
        <w:rPr>
          <w:b w:val="0"/>
          <w:bCs w:val="0"/>
          <w:rtl/>
        </w:rPr>
        <w:t xml:space="preserve">וְאִית דְּפִיקוּ דְעִץ הַדַּעַת טוֹב וָרָע, דְּמֵהַאי אֲתַר יֵצֶר טוֹב וְיֵצֶר רָע, וְאִיהוּ רָזָא דְלַהַט הַחֶרֶב הַמִּתְהַפֶּכֶת </w:t>
      </w:r>
      <w:r>
        <w:rPr>
          <w:b w:val="0"/>
          <w:sz w:val="20"/>
          <w:szCs w:val="23"/>
          <w:rtl/>
        </w:rPr>
        <w:t>(שם ג כד)</w:t>
      </w:r>
      <w:r>
        <w:rPr>
          <w:b w:val="0"/>
          <w:bCs w:val="0"/>
          <w:rtl/>
        </w:rPr>
        <w:t xml:space="preserve">, דְּאִתְהַפַּךְ מִמַּטֶּה לְנָחָשׁ וּמִנָּחָשׁ לַמַּטֶּה, דְּפִיקוּ דְיֵצֶר הַטּוֹב אַחֲזֵי בְּרִיאוּתָא וְאַסְוָותָא דְכָל אֵבָרִין, וּדְפִיקוּ דְיֵצֶר הָרָע אַחֲזֵי מַרְעָא דְכָל אֵבָרִין דְּגוּפָא, וְכָל מָאן דְּאַלִּים גָּבַר, אִי מִתְגַּבְּרִין זַכְוָון אִתְהַפַּךְ מִנָּחָשׁ לַמַּטֶּה, וּמִיָּד מַטֶּה כְּלַפֵּי חֶסֶד וְכָל גּוּפָא אִתְּסֵי, וְאִם מִתְגַּבְּרִין חוֹבִין </w:t>
      </w:r>
      <w:r>
        <w:rPr>
          <w:b w:val="0"/>
          <w:sz w:val="20"/>
          <w:szCs w:val="23"/>
          <w:rtl/>
        </w:rPr>
        <w:t xml:space="preserve">(דף לו ע"א) </w:t>
      </w:r>
      <w:r>
        <w:rPr>
          <w:b w:val="0"/>
          <w:bCs w:val="0"/>
          <w:rtl/>
        </w:rPr>
        <w:t xml:space="preserve">אִתְהַפַּךְ מִמַּטֶּה לְנָחָשׁ וְנַשִּׁיךְ כָּל אֵבָרִין בְּכַמָּה נְשִׁיכִין דִּכְאֵיבִין וּמַרְעִין, בְּהַהוּא זִמְנָא אִתְּמַר בִּדְפִיקוּ, </w:t>
      </w:r>
      <w:r>
        <w:rPr>
          <w:rStyle w:val="a7"/>
          <w:b w:val="0"/>
          <w:bCs w:val="0"/>
          <w:rtl/>
        </w:rPr>
        <w:footnoteReference w:id="4842"/>
      </w:r>
      <w:r>
        <w:rPr>
          <w:b w:val="0"/>
          <w:bCs w:val="0"/>
          <w:rtl/>
        </w:rPr>
        <w:t xml:space="preserve">אֵין קוֹל עֲנוֹת גְּבוּרָה וְאֵין קוֹל עֲנוֹת חֲלוּשָׁה קוֹל עַנּוֹת אָנֹכִי שֹׁמֵעַ </w:t>
      </w:r>
      <w:r>
        <w:rPr>
          <w:b w:val="0"/>
          <w:sz w:val="20"/>
          <w:szCs w:val="23"/>
          <w:rtl/>
        </w:rPr>
        <w:t>(שמות לב יח)</w:t>
      </w:r>
      <w:r>
        <w:rPr>
          <w:b w:val="0"/>
          <w:bCs w:val="0"/>
          <w:rtl/>
        </w:rPr>
        <w:t>, קוֹל דְּעִנּוּיָא קוֹל דִּדְפִיקוּ דְבֵי מַרְעָא דְגָלוּתָא אָנֹכִי שֹׁמֵעַ.</w:t>
      </w:r>
    </w:p>
    <w:p w:rsidR="0020255E" w:rsidRDefault="0020255E" w:rsidP="0020255E">
      <w:pPr>
        <w:pStyle w:val="NormalWeb"/>
        <w:rPr>
          <w:b w:val="0"/>
          <w:bCs w:val="0"/>
          <w:rtl/>
        </w:rPr>
      </w:pPr>
      <w:r>
        <w:rPr>
          <w:b w:val="0"/>
          <w:bCs w:val="0"/>
          <w:rtl/>
        </w:rPr>
        <w:t xml:space="preserve">וְאִית דְפִיקוּ מֵאִילָנָא דְאִיהוּ בִּישׁ, לֵית בֵּיהּ טַב כְּלָל, דְּמִנֵּיהּ נָפִיק רוּחַ סְעָרָה, דְאַסְעִיר בֵּיהּ גּוּפֵיהּ דְּבַר נַשׁ, וְאִתְּמַר בֵּיהּ </w:t>
      </w:r>
      <w:r>
        <w:rPr>
          <w:b w:val="0"/>
          <w:sz w:val="20"/>
          <w:szCs w:val="23"/>
          <w:rtl/>
        </w:rPr>
        <w:t>(מלכים א יט יא)</w:t>
      </w:r>
      <w:r>
        <w:rPr>
          <w:b w:val="0"/>
          <w:bCs w:val="0"/>
          <w:rtl/>
        </w:rPr>
        <w:t xml:space="preserve"> רוּחַ חָזָק מְפָרֵק הָרִים, דְּאִינוּן גָּרְמִין דְּגוּפָא, וּמְשַׁבֵּר סְלָעִים, </w:t>
      </w:r>
      <w:r>
        <w:rPr>
          <w:rStyle w:val="a7"/>
          <w:b w:val="0"/>
          <w:bCs w:val="0"/>
          <w:rtl/>
        </w:rPr>
        <w:footnoteReference w:id="4843"/>
      </w:r>
      <w:r>
        <w:rPr>
          <w:b w:val="0"/>
          <w:bCs w:val="0"/>
          <w:rtl/>
        </w:rPr>
        <w:t xml:space="preserve">דְּאִינוּן צְלָעוֹת דְּגוּפָא דְאִינוּן כְּגַוְונָא דִסְלָעִים, </w:t>
      </w:r>
      <w:r>
        <w:rPr>
          <w:rStyle w:val="a7"/>
          <w:b w:val="0"/>
          <w:bCs w:val="0"/>
          <w:rtl/>
        </w:rPr>
        <w:footnoteReference w:id="4844"/>
      </w:r>
      <w:r>
        <w:rPr>
          <w:b w:val="0"/>
          <w:bCs w:val="0"/>
          <w:rtl/>
        </w:rPr>
        <w:t xml:space="preserve">וְהַאי אִיהוּ נָפִיק בְּזָדוֹן וְלֵית לֵיהּ מִשְׁקָל וְשִׁעוּר, וּבֵיהּ </w:t>
      </w:r>
      <w:r>
        <w:rPr>
          <w:b w:val="0"/>
          <w:sz w:val="20"/>
          <w:szCs w:val="23"/>
          <w:rtl/>
        </w:rPr>
        <w:t>(יונה א ד)</w:t>
      </w:r>
      <w:r>
        <w:rPr>
          <w:b w:val="0"/>
          <w:bCs w:val="0"/>
          <w:rtl/>
        </w:rPr>
        <w:t xml:space="preserve"> וְהָאֳנִיָּה דְאִיהוּ גוּפָא חִשְּׁבָה לְהִשָּׁבֵר, וְהַאי דְּפִיקוּ סָלִיק וְנָחִית </w:t>
      </w:r>
      <w:r>
        <w:rPr>
          <w:rStyle w:val="a7"/>
          <w:b w:val="0"/>
          <w:bCs w:val="0"/>
          <w:rtl/>
        </w:rPr>
        <w:footnoteReference w:id="4845"/>
      </w:r>
      <w:r>
        <w:rPr>
          <w:b w:val="0"/>
          <w:bCs w:val="0"/>
          <w:rtl/>
        </w:rPr>
        <w:t xml:space="preserve">בְּגַלֵּי יַמָּא, דְאִינוּן עֲשַׂר כִּתְרִין תַּתָּאִין, כְּגַוְונָא דְאִיהִי מַלְכוּת קַדִּישָׁא הָכִי אִיהוּ מַלְכוּת חַיָּיבָא, כְּגַוְונָא דְמִילָה הָכִי אִיהִי עָרְלָה, דְּתַמָּן סמא''ל עָרֵל, </w:t>
      </w:r>
      <w:r>
        <w:rPr>
          <w:rStyle w:val="a7"/>
          <w:b w:val="0"/>
          <w:bCs w:val="0"/>
          <w:rtl/>
        </w:rPr>
        <w:footnoteReference w:id="4846"/>
      </w:r>
      <w:r>
        <w:rPr>
          <w:b w:val="0"/>
          <w:bCs w:val="0"/>
          <w:rtl/>
        </w:rPr>
        <w:t>וּבַת זוּגֵיהּ עָרְלָה, נָחָשׁ וְאֵשֶׁת זְנוּנִים.</w:t>
      </w:r>
    </w:p>
    <w:p w:rsidR="0020255E" w:rsidRDefault="0020255E" w:rsidP="0020255E">
      <w:pPr>
        <w:pStyle w:val="NormalWeb"/>
        <w:rPr>
          <w:b w:val="0"/>
          <w:bCs w:val="0"/>
          <w:rtl/>
        </w:rPr>
      </w:pPr>
      <w:r>
        <w:rPr>
          <w:rStyle w:val="a7"/>
          <w:b w:val="0"/>
          <w:bCs w:val="0"/>
          <w:rtl/>
        </w:rPr>
        <w:footnoteReference w:id="4847"/>
      </w:r>
      <w:r>
        <w:rPr>
          <w:b w:val="0"/>
          <w:bCs w:val="0"/>
          <w:rtl/>
        </w:rPr>
        <w:t xml:space="preserve">לָקֳבֵל תְּרֵי יַרְכֵי קְשׁוֹט מִסִּטְרָא דִמְסָאֲבוּ תאומיא''ל תומיא''ל, וּלְקִבְלַיְיהוּ אִתְּמַר </w:t>
      </w:r>
      <w:r>
        <w:rPr>
          <w:b w:val="0"/>
          <w:sz w:val="20"/>
          <w:szCs w:val="23"/>
          <w:rtl/>
        </w:rPr>
        <w:t>(שמות טו ה)</w:t>
      </w:r>
      <w:r>
        <w:rPr>
          <w:b w:val="0"/>
          <w:bCs w:val="0"/>
          <w:rtl/>
        </w:rPr>
        <w:t xml:space="preserve"> תְּהוֹמוֹת יְכַסְיֻמוּ יָרְדוּ בִמְצוֹלוֹת כְּמוֹ אָבֶן, לָקֳבֵל עַמּוּדָא דְאֶמְצָעִיתָא אִיהוּ עוגיא''ל דְּמִתַּמָּן </w:t>
      </w:r>
      <w:r>
        <w:rPr>
          <w:rStyle w:val="a7"/>
          <w:b w:val="0"/>
          <w:bCs w:val="0"/>
          <w:rtl/>
        </w:rPr>
        <w:footnoteReference w:id="4848"/>
      </w:r>
      <w:r>
        <w:rPr>
          <w:b w:val="0"/>
          <w:bCs w:val="0"/>
          <w:rtl/>
        </w:rPr>
        <w:t xml:space="preserve">עוֹג מֶלֶךְ הַבָּשָׁן, מִסִּטְרָא דִתְרֵין דְּרוֹעִין </w:t>
      </w:r>
      <w:r>
        <w:rPr>
          <w:rStyle w:val="a7"/>
          <w:b w:val="0"/>
          <w:bCs w:val="0"/>
          <w:rtl/>
        </w:rPr>
        <w:footnoteReference w:id="4849"/>
      </w:r>
      <w:r>
        <w:rPr>
          <w:b w:val="0"/>
          <w:bCs w:val="0"/>
          <w:rtl/>
        </w:rPr>
        <w:t xml:space="preserve">אִינוּן </w:t>
      </w:r>
      <w:r>
        <w:rPr>
          <w:b w:val="0"/>
          <w:sz w:val="20"/>
          <w:szCs w:val="23"/>
          <w:rtl/>
        </w:rPr>
        <w:t>(אגניא''ל)</w:t>
      </w:r>
      <w:r>
        <w:rPr>
          <w:b w:val="0"/>
          <w:bCs w:val="0"/>
          <w:rtl/>
        </w:rPr>
        <w:t xml:space="preserve"> אגגיאל עזיאל מִתַּמָּן אֲגָג, וּבֵיהּ כִּי גָאֹה גָּאָה סוּס וְרֹכְבוֹ רָמָה בַיָּם </w:t>
      </w:r>
      <w:r>
        <w:rPr>
          <w:b w:val="0"/>
          <w:sz w:val="20"/>
          <w:szCs w:val="23"/>
          <w:rtl/>
        </w:rPr>
        <w:t>(שם א)</w:t>
      </w:r>
      <w:r>
        <w:rPr>
          <w:b w:val="0"/>
          <w:bCs w:val="0"/>
          <w:rtl/>
        </w:rPr>
        <w:t xml:space="preserve">, עוזיא''ל, מִתַּמָּן עֲזָאזֵל, </w:t>
      </w:r>
      <w:r>
        <w:rPr>
          <w:rStyle w:val="a7"/>
          <w:b w:val="0"/>
          <w:bCs w:val="0"/>
          <w:rtl/>
        </w:rPr>
        <w:footnoteReference w:id="4850"/>
      </w:r>
      <w:r>
        <w:rPr>
          <w:b w:val="0"/>
          <w:bCs w:val="0"/>
          <w:rtl/>
        </w:rPr>
        <w:t xml:space="preserve">וּמִתַּמָּן עז''א ועזא''ל, וְאִיהוּ חזריא''ל, יְכַרְסְמֶנָּה חֲזִיר מִיָּעַר </w:t>
      </w:r>
      <w:r>
        <w:rPr>
          <w:b w:val="0"/>
          <w:sz w:val="20"/>
          <w:szCs w:val="23"/>
          <w:rtl/>
        </w:rPr>
        <w:t>(תהלים פ יד)</w:t>
      </w:r>
      <w:r>
        <w:rPr>
          <w:b w:val="0"/>
          <w:szCs w:val="23"/>
          <w:rtl/>
        </w:rPr>
        <w:t xml:space="preserve">, </w:t>
      </w:r>
      <w:r>
        <w:rPr>
          <w:rStyle w:val="Char"/>
          <w:rtl/>
        </w:rPr>
        <w:t>וַעֲלֵיהּ אִתְּמַר</w:t>
      </w:r>
      <w:r>
        <w:rPr>
          <w:b w:val="0"/>
          <w:szCs w:val="23"/>
          <w:rtl/>
        </w:rPr>
        <w:t xml:space="preserve"> </w:t>
      </w:r>
      <w:r>
        <w:rPr>
          <w:b w:val="0"/>
          <w:sz w:val="20"/>
          <w:szCs w:val="23"/>
          <w:rtl/>
        </w:rPr>
        <w:t>(בראשית כז מ)</w:t>
      </w:r>
      <w:r>
        <w:rPr>
          <w:b w:val="0"/>
          <w:bCs w:val="0"/>
          <w:rtl/>
        </w:rPr>
        <w:t xml:space="preserve"> וְעַל חַרְבְּךָ תִחְיֶה, וְאִיהוּ שעריא''ל, דְּמִתַּמָּן רוּחַ סְעָרָה, וְאִיהוּ עִשָׂו אִישׁ שָׂעִיר, </w:t>
      </w:r>
      <w:r>
        <w:rPr>
          <w:rStyle w:val="a7"/>
          <w:b w:val="0"/>
          <w:bCs w:val="0"/>
          <w:rtl/>
        </w:rPr>
        <w:footnoteReference w:id="4851"/>
      </w:r>
      <w:r>
        <w:rPr>
          <w:b w:val="0"/>
          <w:bCs w:val="0"/>
          <w:rtl/>
        </w:rPr>
        <w:t xml:space="preserve">וּמִתַּמָּן שֵׂעָר בְּאִשָּׁה עֶרְוָה, וַעֲלֵיהּ אִתַּקַּף הַהוּא דְאִתְּמַר בֵּיהּ </w:t>
      </w:r>
      <w:r>
        <w:rPr>
          <w:b w:val="0"/>
          <w:sz w:val="20"/>
          <w:szCs w:val="23"/>
          <w:rtl/>
        </w:rPr>
        <w:t>(שמות טו ב)</w:t>
      </w:r>
      <w:r>
        <w:rPr>
          <w:b w:val="0"/>
          <w:bCs w:val="0"/>
          <w:rtl/>
        </w:rPr>
        <w:t xml:space="preserve"> עָזִּי וְזִמְרָת יָ''הּ וַיְהִי לִי לִישׁוּעָה, יהו''ה </w:t>
      </w:r>
      <w:r>
        <w:rPr>
          <w:rStyle w:val="a7"/>
          <w:b w:val="0"/>
          <w:bCs w:val="0"/>
          <w:rtl/>
        </w:rPr>
        <w:footnoteReference w:id="4852"/>
      </w:r>
      <w:r>
        <w:rPr>
          <w:b w:val="0"/>
          <w:bCs w:val="0"/>
          <w:rtl/>
        </w:rPr>
        <w:t>אִישׁ מִלְחָמָה יהו''ה שְׁמוֹ וְגוֹמֵר.</w:t>
      </w:r>
    </w:p>
    <w:p w:rsidR="0020255E" w:rsidRDefault="0020255E" w:rsidP="0020255E">
      <w:pPr>
        <w:pStyle w:val="NormalWeb"/>
        <w:rPr>
          <w:b w:val="0"/>
          <w:bCs w:val="0"/>
          <w:rtl/>
        </w:rPr>
      </w:pPr>
      <w:r>
        <w:rPr>
          <w:b w:val="0"/>
          <w:bCs w:val="0"/>
          <w:rtl/>
        </w:rPr>
        <w:t xml:space="preserve">לָקֳבֵל בִּינָה דְאִתְּמַר בָּהּ אַלֵּף בִּינָה, אִלֵּין אַלּוּפֵי עִשָׂו, לָקֳבֵל חָכְמָה </w:t>
      </w:r>
      <w:r>
        <w:rPr>
          <w:rStyle w:val="a7"/>
          <w:b w:val="0"/>
          <w:bCs w:val="0"/>
          <w:rtl/>
        </w:rPr>
        <w:footnoteReference w:id="4853"/>
      </w:r>
      <w:r>
        <w:rPr>
          <w:b w:val="0"/>
          <w:bCs w:val="0"/>
          <w:rtl/>
        </w:rPr>
        <w:t xml:space="preserve">אָדָם בְּלִיַּעַל אִישׁ אָוְן, לְעִילָא כתריא''ל </w:t>
      </w:r>
      <w:r>
        <w:rPr>
          <w:b w:val="0"/>
          <w:sz w:val="20"/>
          <w:szCs w:val="23"/>
          <w:rtl/>
        </w:rPr>
        <w:t>(נ''א כרתיא''ל)</w:t>
      </w:r>
      <w:r>
        <w:rPr>
          <w:b w:val="0"/>
          <w:bCs w:val="0"/>
          <w:rtl/>
        </w:rPr>
        <w:t xml:space="preserve"> לָקֳבֵל כֶּתֶר עֶלְיוֹן, וּמִתַּמָּן כָּרֵת לְכָל אִלֵּין דְּעָבְרִין עַל אוֹרַיְיתָא, וְאִינוּן כִּתְרִין תַּתָּאִין אִינוּן קְלִיפִין לַעֲשַׂר סְפִירָן, וַעֲשַׂר סְפִירָן מוֹחָא בְּגַוַּיְיהוּ, וְאִלֵּין קְלִיפִין אִינוּן מְחִיצָה בֵּין יִשְׂרָאֵל לַאֲבִיהֶם שֶׁבַּשָּׁמַיִם, בְּאִלֵּין קְלִיפִין מִתְלַבֵּשׁ קוּדְשָׁא בְּרִיךְ הוּא וּשְׁכִינְתֵּיהּ, לְקַיְימָא בִשְׁכִינְתֵּיהּ </w:t>
      </w:r>
      <w:r>
        <w:rPr>
          <w:b w:val="0"/>
          <w:sz w:val="20"/>
          <w:szCs w:val="23"/>
          <w:rtl/>
        </w:rPr>
        <w:t>(תהלים קג יט)</w:t>
      </w:r>
      <w:r>
        <w:rPr>
          <w:b w:val="0"/>
          <w:bCs w:val="0"/>
          <w:rtl/>
        </w:rPr>
        <w:t xml:space="preserve"> </w:t>
      </w:r>
      <w:r>
        <w:rPr>
          <w:rStyle w:val="a7"/>
          <w:b w:val="0"/>
          <w:bCs w:val="0"/>
          <w:rtl/>
        </w:rPr>
        <w:footnoteReference w:id="4854"/>
      </w:r>
      <w:r>
        <w:rPr>
          <w:b w:val="0"/>
          <w:bCs w:val="0"/>
          <w:rtl/>
        </w:rPr>
        <w:t xml:space="preserve">וּמַלְכוּתוֹ בַּכֹּל מָשָׁלָה, וּלְקַיְימָא בֵיהּ </w:t>
      </w:r>
      <w:r>
        <w:rPr>
          <w:b w:val="0"/>
          <w:sz w:val="20"/>
          <w:szCs w:val="23"/>
          <w:rtl/>
        </w:rPr>
        <w:t>(שם מז ח)</w:t>
      </w:r>
      <w:r>
        <w:rPr>
          <w:b w:val="0"/>
          <w:bCs w:val="0"/>
          <w:rtl/>
        </w:rPr>
        <w:t xml:space="preserve"> </w:t>
      </w:r>
      <w:r>
        <w:rPr>
          <w:rStyle w:val="a7"/>
          <w:b w:val="0"/>
          <w:bCs w:val="0"/>
          <w:rtl/>
        </w:rPr>
        <w:footnoteReference w:id="4855"/>
      </w:r>
      <w:r>
        <w:rPr>
          <w:b w:val="0"/>
          <w:bCs w:val="0"/>
          <w:rtl/>
        </w:rPr>
        <w:t xml:space="preserve">כִּי מֶלֶךְ עַל כָּל הָאָרֶץ אלהי''ם, אֲבָל לְעִילָא בְּאַתְרֵיהּ אִתְּמַר </w:t>
      </w:r>
      <w:r>
        <w:rPr>
          <w:b w:val="0"/>
          <w:sz w:val="20"/>
          <w:szCs w:val="23"/>
          <w:rtl/>
        </w:rPr>
        <w:t>(שם ח ה)</w:t>
      </w:r>
      <w:r>
        <w:rPr>
          <w:b w:val="0"/>
          <w:bCs w:val="0"/>
          <w:rtl/>
        </w:rPr>
        <w:t xml:space="preserve"> לֹא יְגוּרְךָ רָע, אֶלָּא קְלִיפִין דִּילֵיהּ לְעִילָא </w:t>
      </w:r>
      <w:r>
        <w:rPr>
          <w:rStyle w:val="a7"/>
          <w:b w:val="0"/>
          <w:bCs w:val="0"/>
          <w:rtl/>
        </w:rPr>
        <w:footnoteReference w:id="4856"/>
      </w:r>
      <w:r>
        <w:rPr>
          <w:b w:val="0"/>
          <w:bCs w:val="0"/>
          <w:rtl/>
        </w:rPr>
        <w:t xml:space="preserve">אִינוּן לְבוּשִׁין מִכַּמָּה גַוָּונִין שַׁפִּירִין דִּנְהוֹרָא, דְּמִנְּהוֹן אִתְפַּשַּׁט קוּדְשָׁא בְּרִיךְ הוּא </w:t>
      </w:r>
      <w:r>
        <w:rPr>
          <w:rStyle w:val="a7"/>
          <w:b w:val="0"/>
          <w:bCs w:val="0"/>
          <w:rtl/>
        </w:rPr>
        <w:footnoteReference w:id="4857"/>
      </w:r>
      <w:r>
        <w:rPr>
          <w:b w:val="0"/>
          <w:bCs w:val="0"/>
          <w:rtl/>
        </w:rPr>
        <w:t xml:space="preserve">בְּגָלוּתָא, וְאִתְלַבַּשׁ בְּאִלֵּין אָחֳרָנִין, בְּגִין לְנַטְרָא לְיִשְׂרָאֵל דְּאִינוּן מִתְלַבְּשִׁין בְּאִלֵּין קְלִיפִין, וְדָא אִיהוּ </w:t>
      </w:r>
      <w:r>
        <w:rPr>
          <w:b w:val="0"/>
          <w:sz w:val="20"/>
          <w:szCs w:val="23"/>
          <w:rtl/>
        </w:rPr>
        <w:t>(ישעיה סג ט)</w:t>
      </w:r>
      <w:r>
        <w:rPr>
          <w:b w:val="0"/>
          <w:szCs w:val="23"/>
          <w:rtl/>
        </w:rPr>
        <w:t xml:space="preserve"> </w:t>
      </w:r>
      <w:r>
        <w:rPr>
          <w:rStyle w:val="Char"/>
          <w:rtl/>
        </w:rPr>
        <w:t>בְּכָל צָרָתָם לוֹ צָר</w:t>
      </w:r>
      <w:r>
        <w:rPr>
          <w:b w:val="0"/>
          <w:szCs w:val="23"/>
          <w:rtl/>
        </w:rPr>
        <w:t xml:space="preserve"> </w:t>
      </w:r>
      <w:r>
        <w:rPr>
          <w:b w:val="0"/>
          <w:bCs w:val="0"/>
          <w:rtl/>
        </w:rPr>
        <w:t xml:space="preserve">וכו', וְדָא אִיהוּ רָזָא כִּי אִם עֲוֹנוֹתֵיכֶם הָיוּ מַבְדִּילִים בֵּינֵיכֶם לְבֵין אלהיכ''ם </w:t>
      </w:r>
      <w:r>
        <w:rPr>
          <w:b w:val="0"/>
          <w:sz w:val="20"/>
          <w:szCs w:val="23"/>
          <w:rtl/>
        </w:rPr>
        <w:t>(ישעיה נט ב)</w:t>
      </w:r>
      <w:r>
        <w:rPr>
          <w:b w:val="0"/>
          <w:bCs w:val="0"/>
          <w:rtl/>
        </w:rPr>
        <w:t xml:space="preserve">, וְעָתִיד קוּדְשָׁא בְּרִיךְ הוּא לְאַעֲבָרָא אִלֵּין קְלִיפִין, וּלְאִתְחַזָּאָה לְיִשְׂרָאֵל בְּמוֹחָא מִלְּגָאו, הֲדָא הוּא דִכְתִיב </w:t>
      </w:r>
      <w:r>
        <w:rPr>
          <w:b w:val="0"/>
          <w:sz w:val="20"/>
          <w:szCs w:val="23"/>
          <w:rtl/>
        </w:rPr>
        <w:t>(שם ל כ)</w:t>
      </w:r>
      <w:r>
        <w:rPr>
          <w:b w:val="0"/>
          <w:bCs w:val="0"/>
          <w:rtl/>
        </w:rPr>
        <w:t xml:space="preserve"> וְלֹא יִכָּנֵף עוֹד מוֹרֶיךָ וְהָיוּ עִינֶיךָ רוֹאוֹת אֶת מוֹרֶיךָ, וְלֹא יִהְיֶה מְחִיצָה בֵּין קוּדְשָׁא בְּרִיךְ הוּא וּשְׁכִינְתֵּיהּ וּבֵין יִשְׂרָאֵל.</w:t>
      </w:r>
    </w:p>
    <w:p w:rsidR="0020255E" w:rsidRDefault="0020255E" w:rsidP="0020255E">
      <w:pPr>
        <w:pStyle w:val="NormalWeb"/>
        <w:rPr>
          <w:b w:val="0"/>
          <w:bCs w:val="0"/>
          <w:rtl/>
        </w:rPr>
      </w:pPr>
      <w:r>
        <w:rPr>
          <w:b w:val="0"/>
          <w:bCs w:val="0"/>
          <w:rtl/>
        </w:rPr>
        <w:t xml:space="preserve">וּבְזִמְנָא דַעֲשַׂר סְפִירָן מִתְלַבְּשָׁן בְּאִלֵּין קְלִיפִין, אִלֵּין דְּיָדְעִין בִּקְלִיפִין עָבְדִין אוֹמָאָה בִּשְׁמָהָן וּבַהֲוַיּוֹת דְּקוּדְשָׁא בְּרִיךְ הוּא לְאִלֵּין קְלִיפִין וּבָטְלִין גְּזֵרָה, וְעַל אִלֵּין קְלִיפִין אָמְרוּ דְצָרִיךְ הַבְדָּלָה, דְּקוּדְשָׁא בְּרִיךְ הוּא אִתְלַבַּשׁ בְּהוֹן בְּיוֹמִין דְּחוֹל, וּבְשַׁבָּת אִתְפַּשַּׁט מִנְּהוֹן וְאִתְלַבַּשׁ </w:t>
      </w:r>
      <w:r>
        <w:rPr>
          <w:rStyle w:val="a7"/>
          <w:b w:val="0"/>
          <w:bCs w:val="0"/>
          <w:rtl/>
        </w:rPr>
        <w:footnoteReference w:id="4858"/>
      </w:r>
      <w:r>
        <w:rPr>
          <w:b w:val="0"/>
          <w:bCs w:val="0"/>
          <w:rtl/>
        </w:rPr>
        <w:t xml:space="preserve">בִּלְבוּשִׁין דְּקֹדֶשׁ, וּבְגִין דָּא תַּקִּינוּ בְהַבְדָּלָה הַמַּבְדִּיל בֵּין קֹדֶשׁ לְחוֹל וּבֵין אוֹר לְחשֶׁךְ, דְּלָא יְחַבֵּר קְלִיפִין דְּחוֹל לִקְלִיפִין דְּקֹדֶשׁ, וְלָא יַעֲבִיד לוֹן תַּעֲרוֹבֶת, וְדָא אִיהוּ </w:t>
      </w:r>
      <w:r>
        <w:rPr>
          <w:b w:val="0"/>
          <w:sz w:val="20"/>
          <w:szCs w:val="23"/>
          <w:rtl/>
        </w:rPr>
        <w:t>(ויקרא יט יט)</w:t>
      </w:r>
      <w:r>
        <w:rPr>
          <w:b w:val="0"/>
          <w:bCs w:val="0"/>
          <w:rtl/>
        </w:rPr>
        <w:t xml:space="preserve"> שָׂדְךָ לֹא תִזְרַע כִּלְאָיִם וּבֶגֶד כִּלְאַיִם שַׁעַטְנֵז, וְכָל מָאן דְּעָרַב לוֹן אִתְּמַר בֵּיהּ </w:t>
      </w:r>
      <w:r>
        <w:rPr>
          <w:b w:val="0"/>
          <w:sz w:val="20"/>
          <w:szCs w:val="23"/>
          <w:rtl/>
        </w:rPr>
        <w:t>(במדבר יט כ)</w:t>
      </w:r>
      <w:r>
        <w:rPr>
          <w:b w:val="0"/>
          <w:bCs w:val="0"/>
          <w:rtl/>
        </w:rPr>
        <w:t xml:space="preserve"> אֶת מִקְדַּשׁ יהו''ה טִמֵּא וְגוֹמֵר.</w:t>
      </w:r>
    </w:p>
    <w:p w:rsidR="0020255E" w:rsidRDefault="0020255E" w:rsidP="0020255E">
      <w:pPr>
        <w:pStyle w:val="NormalWeb"/>
        <w:rPr>
          <w:b w:val="0"/>
          <w:bCs w:val="0"/>
          <w:rtl/>
        </w:rPr>
      </w:pPr>
      <w:r>
        <w:rPr>
          <w:b w:val="0"/>
          <w:bCs w:val="0"/>
          <w:rtl/>
        </w:rPr>
        <w:t xml:space="preserve">וַעֲשָׂרָה לְבוּשִׁין אִינוּן דְּקֹדֶשׁ, דְּאִתְּמַר בְּהוֹן </w:t>
      </w:r>
      <w:r>
        <w:rPr>
          <w:b w:val="0"/>
          <w:sz w:val="20"/>
          <w:szCs w:val="23"/>
          <w:rtl/>
        </w:rPr>
        <w:t>(דברים לב יב)</w:t>
      </w:r>
      <w:r>
        <w:rPr>
          <w:b w:val="0"/>
          <w:bCs w:val="0"/>
          <w:rtl/>
        </w:rPr>
        <w:t xml:space="preserve"> יהו''ה בָּדָד יַנְחֶנּוּ וְאֵין עִמּוֹ אֵל נֵכָר, בָּדָ''ד עֶשֶׂר, כְּחוּשְׁבַּן עֲשַׂר קְלִיפוֹת דְּחוֹל, כַּד אִתְלַבַּשׁ בְּהוֹן אִתְּמַר </w:t>
      </w:r>
      <w:r>
        <w:rPr>
          <w:b w:val="0"/>
          <w:sz w:val="20"/>
          <w:szCs w:val="23"/>
          <w:rtl/>
        </w:rPr>
        <w:t>(ויקרא יג מו)</w:t>
      </w:r>
      <w:r>
        <w:rPr>
          <w:b w:val="0"/>
          <w:bCs w:val="0"/>
          <w:rtl/>
        </w:rPr>
        <w:t xml:space="preserve"> בָּדָד יֵשֵׁב מִחוּץ לַמַּחֲנֶה מוֹשָׁבוֹ, בְּהַהִיא קְלִיפָה דְגָרִים בַּר נַשׁ לְאִתְלַבְּשָׁא שֵׁם ה' בֵּיהּ נָטִיל נוּקְמָא, וּבְגִין דָּא לֹא תִשָּׂא אֶת שֵׁם יהו''ה אלהי''ך לַשָּׁוְא </w:t>
      </w:r>
      <w:r>
        <w:rPr>
          <w:b w:val="0"/>
          <w:sz w:val="20"/>
          <w:szCs w:val="23"/>
          <w:rtl/>
        </w:rPr>
        <w:t>(שמות כ ז)</w:t>
      </w:r>
      <w:r>
        <w:rPr>
          <w:b w:val="0"/>
          <w:bCs w:val="0"/>
          <w:rtl/>
        </w:rPr>
        <w:t>.</w:t>
      </w:r>
    </w:p>
    <w:p w:rsidR="0020255E" w:rsidRDefault="0020255E" w:rsidP="0020255E">
      <w:pPr>
        <w:pStyle w:val="aa"/>
        <w:spacing w:after="40"/>
        <w:rPr>
          <w:rtl/>
        </w:rPr>
      </w:pPr>
      <w:bookmarkStart w:id="317" w:name="_Toc228095769"/>
      <w:bookmarkStart w:id="318" w:name="_Toc231638207"/>
      <w:r>
        <w:rPr>
          <w:rtl/>
        </w:rPr>
        <w:t>[תיקוני זוהר - דף לו ע''ב]</w:t>
      </w:r>
      <w:bookmarkEnd w:id="317"/>
      <w:bookmarkEnd w:id="318"/>
    </w:p>
    <w:p w:rsidR="0020255E" w:rsidRDefault="0020255E" w:rsidP="0020255E">
      <w:pPr>
        <w:pStyle w:val="NormalWeb"/>
        <w:rPr>
          <w:b w:val="0"/>
          <w:bCs w:val="0"/>
          <w:rtl/>
        </w:rPr>
      </w:pPr>
      <w:r>
        <w:rPr>
          <w:b w:val="0"/>
          <w:bCs w:val="0"/>
          <w:rtl/>
        </w:rPr>
        <w:t xml:space="preserve">דִּבְשַׁבָּת דְּאִתְפַּשַּׁט קוּדְשָׁא בְּרִיךְ הוּא מֵאִלֵּין לְבוּשִׁין וְאִתְלַּבַּשׁ בִּלְבוּשִׁין </w:t>
      </w:r>
      <w:r>
        <w:rPr>
          <w:b w:val="0"/>
          <w:sz w:val="20"/>
          <w:szCs w:val="23"/>
          <w:rtl/>
        </w:rPr>
        <w:t xml:space="preserve">(דף לו ע"ב) </w:t>
      </w:r>
      <w:r>
        <w:rPr>
          <w:b w:val="0"/>
          <w:bCs w:val="0"/>
          <w:rtl/>
        </w:rPr>
        <w:t xml:space="preserve">דְּקוּדְשָׁא, לָא צָרִיךְ לְקָרְבָא קֳדָמוֹהִי </w:t>
      </w:r>
      <w:r>
        <w:rPr>
          <w:b w:val="0"/>
          <w:sz w:val="20"/>
          <w:szCs w:val="23"/>
          <w:rtl/>
        </w:rPr>
        <w:t>(נ''א קדמיהון)</w:t>
      </w:r>
      <w:r>
        <w:rPr>
          <w:b w:val="0"/>
          <w:bCs w:val="0"/>
          <w:rtl/>
        </w:rPr>
        <w:t xml:space="preserve"> לְבוּשִׁין דְּחוֹל, דְּמוֹחָא לָא מְקַבֵּל טוּמְאָה, הֲדָא הוּא דִכְתִיב </w:t>
      </w:r>
      <w:r>
        <w:rPr>
          <w:b w:val="0"/>
          <w:sz w:val="20"/>
          <w:szCs w:val="23"/>
          <w:rtl/>
        </w:rPr>
        <w:t>(ירמיה כג כט)</w:t>
      </w:r>
      <w:r>
        <w:rPr>
          <w:b w:val="0"/>
          <w:bCs w:val="0"/>
          <w:rtl/>
        </w:rPr>
        <w:t xml:space="preserve"> הֲלֹא כֹה דְבָרִי כָּאֵשׁ נְאֻם יהו''ה, דְּבֵיהּ לָא יָכִיל לְאִתְעָרְבָא שׁוּם עִירוּב, אֶלָּא בִּלְבוּשִׁין דְּאִתְלַבַּשׁ בְּשַׁבָּת וְיוֹם טוֹב יָכִיל לְאִתְעָרְבָא, וּבְגִינַיְיהוּ מַנִּי לְמֶעֱבַד הַבְדָּלָה, דִּלְתַתָּא אִית אִילָנָא מְעוֹרָב טוֹב וָרָע כִּלְאַיִם, וַעֲלֵיהּ אִתְּמַר </w:t>
      </w:r>
      <w:r>
        <w:rPr>
          <w:b w:val="0"/>
          <w:sz w:val="20"/>
          <w:szCs w:val="23"/>
          <w:rtl/>
        </w:rPr>
        <w:t>(בראשית ב יז)</w:t>
      </w:r>
      <w:r>
        <w:rPr>
          <w:b w:val="0"/>
          <w:bCs w:val="0"/>
          <w:rtl/>
        </w:rPr>
        <w:t xml:space="preserve"> וּמֵעִץ הַדַּעַת טוֹב וָרָע לֹא תֹאכַל מִמֶּנּוּ, בְּגִין דְּהַהוּא מוֹחָא דִילֵיהּ בַּבְּרִיאָה, יָכִיל לְאִתְעָרְבָא עִמֵּיהּ קְלִיפָה, אֲבָל מוֹחָא דְאִיהוּ נְהוֹרָא בְּאֹרַח אֲצִילוּת לָא יָכִיל לְאִתְעָרְבָא עִמֵּיהּ </w:t>
      </w:r>
      <w:r>
        <w:rPr>
          <w:b w:val="0"/>
          <w:sz w:val="20"/>
          <w:szCs w:val="23"/>
          <w:rtl/>
        </w:rPr>
        <w:t>(נ''א ביה)</w:t>
      </w:r>
      <w:r>
        <w:rPr>
          <w:b w:val="0"/>
          <w:bCs w:val="0"/>
          <w:rtl/>
        </w:rPr>
        <w:t xml:space="preserve"> שׁוּם תַּעֲרוֹבֶת.</w:t>
      </w:r>
    </w:p>
    <w:p w:rsidR="0020255E" w:rsidRDefault="0020255E" w:rsidP="0020255E">
      <w:pPr>
        <w:pStyle w:val="NormalWeb"/>
        <w:rPr>
          <w:b w:val="0"/>
          <w:bCs w:val="0"/>
          <w:rtl/>
        </w:rPr>
      </w:pPr>
      <w:r>
        <w:rPr>
          <w:rStyle w:val="a7"/>
          <w:b w:val="0"/>
          <w:bCs w:val="0"/>
          <w:rtl/>
        </w:rPr>
        <w:footnoteReference w:id="4859"/>
      </w:r>
      <w:r>
        <w:rPr>
          <w:b w:val="0"/>
          <w:bCs w:val="0"/>
          <w:rtl/>
        </w:rPr>
        <w:t>וְאִית אִילָנָא דְטוֹב וָרָע דִּקְלִיפִין, דְּאִינוּן גַּרְעִינִין אִינוּן מִלְּגָאו רָע, וּמוֹחָא דְקִיק מִלְּבָר טוֹב, וְאִית דְּמוֹחָא דְקִיקָא מִלְּבָר טַב וּמוֹחָא סַגִּי בִּישׁ מִלְּגָאו, כְּגוֹן דַּהֲבָא וְכַסְפָּא זְעִיר מְצוּפֶּה מִלְּבָר, וְעוֹפֶרֶת סִיגִים מִלְּגָאו, דָּא מוֹנִיטָא דְשִׁקְרָא, פוּמֵיהּ טַב וְלִבֵּיהּ בִּישׁ, וְאִית דְּאִיהוּ קְלִיפָה מִלְּבָר וּמוֹחָא מִלְּגָאו, וַעֲלַיְיהוּ אִתְּמַר גּוֹלֵל אוֹר מִפְּנֵי חשֶׁךְ וְחשֶׁךְ מִפְּנֵי אוֹר.</w:t>
      </w:r>
    </w:p>
    <w:p w:rsidR="0020255E" w:rsidRDefault="0020255E" w:rsidP="0020255E">
      <w:pPr>
        <w:pStyle w:val="NormalWeb"/>
        <w:rPr>
          <w:b w:val="0"/>
          <w:bCs w:val="0"/>
          <w:rtl/>
        </w:rPr>
      </w:pPr>
      <w:r>
        <w:rPr>
          <w:b w:val="0"/>
          <w:bCs w:val="0"/>
          <w:rtl/>
        </w:rPr>
        <w:t xml:space="preserve">וְאִית אִילָנָא לְתַתָּא דַעֲבוֹדָה זָרָה, דְּלֵית לֵיהּ מוֹחָא אֶלָּא קְלִיפָה מִלְּגָאו וּמִלְּבָר, וַעֲלֵיהּ אִתְּמַר </w:t>
      </w:r>
      <w:r>
        <w:rPr>
          <w:b w:val="0"/>
          <w:sz w:val="20"/>
          <w:szCs w:val="23"/>
          <w:rtl/>
        </w:rPr>
        <w:t>(תהלים א ד)</w:t>
      </w:r>
      <w:r>
        <w:rPr>
          <w:b w:val="0"/>
          <w:bCs w:val="0"/>
          <w:rtl/>
        </w:rPr>
        <w:t xml:space="preserve"> לֹא כֵן הָרְשָׁעִים כִּי אִם כַּמּוֹץ אֲשֶׁר תִּדְּפֶנּוּ רוּחַ, וְאִיהִי אֲשֵׁרָה דְנָטְעִין אוּמִין דְּעָלְמָא קֳדָם עֲבוֹדָה זָרָה, דְאִיבָּא דִילֵיהּ מוֹץ אֲשֶׁר תִּדְּפֶנּוּ רוּחַ, בְּזִמְנָא דְיֵיתֵי מַלְכָּא מְשִׁיחָא עָתִיד קוּדְשָׁא בְּרִיךְ הוּא לְאַעֲבָרָא כָּל אִלֵּין קְלִיפִין לְעִילָא וְאֶמְצָעִיתָא וְתַתָּא, וְלָא יְהֵא עִרְבוּבְיָא בְּפַמַּלְיָא דִלְעִילָא, בְּהַהוּא זִמְנָא </w:t>
      </w:r>
      <w:r>
        <w:rPr>
          <w:b w:val="0"/>
          <w:sz w:val="20"/>
          <w:szCs w:val="23"/>
          <w:rtl/>
        </w:rPr>
        <w:t>(דברים לב יב)</w:t>
      </w:r>
      <w:r>
        <w:rPr>
          <w:b w:val="0"/>
          <w:bCs w:val="0"/>
          <w:rtl/>
        </w:rPr>
        <w:t xml:space="preserve"> יהו''ה בָּדָד יַנְחֶנּוּ לְיִשְׂרָאֵל וְאֵין עִמּוֹ אֵל נֵכָר, בְּהַהוּא זִמְנָא </w:t>
      </w:r>
      <w:r>
        <w:rPr>
          <w:b w:val="0"/>
          <w:sz w:val="20"/>
          <w:szCs w:val="23"/>
          <w:rtl/>
        </w:rPr>
        <w:t>(בראשית ד ב)</w:t>
      </w:r>
      <w:r>
        <w:rPr>
          <w:b w:val="0"/>
          <w:bCs w:val="0"/>
          <w:rtl/>
        </w:rPr>
        <w:t xml:space="preserve"> וַתּוֹסֶף לָלֶדֶת, </w:t>
      </w:r>
      <w:r>
        <w:rPr>
          <w:rStyle w:val="a7"/>
          <w:b w:val="0"/>
          <w:bCs w:val="0"/>
          <w:rtl/>
        </w:rPr>
        <w:footnoteReference w:id="4860"/>
      </w:r>
      <w:r>
        <w:rPr>
          <w:b w:val="0"/>
          <w:bCs w:val="0"/>
          <w:rtl/>
        </w:rPr>
        <w:t xml:space="preserve">אִיתּוֹסַף רוּחָא דְקוּדְשָׁא עַל יִשְׂרָאֵל, הֲדָא הוּא דִכְתִיב </w:t>
      </w:r>
      <w:r>
        <w:rPr>
          <w:b w:val="0"/>
          <w:sz w:val="20"/>
          <w:szCs w:val="23"/>
          <w:rtl/>
        </w:rPr>
        <w:t>(יחזקאל לו כו)</w:t>
      </w:r>
      <w:r>
        <w:rPr>
          <w:b w:val="0"/>
          <w:bCs w:val="0"/>
          <w:rtl/>
        </w:rPr>
        <w:t xml:space="preserve"> וְנָתַתִּי לָכֶם לֵב חָדָשׁ וְרוּחַ חֲדָשָׁה אֶתֵּן בְּקִרְבְּכֶם,</w:t>
      </w:r>
    </w:p>
    <w:p w:rsidR="0020255E" w:rsidRDefault="0020255E" w:rsidP="0020255E">
      <w:pPr>
        <w:pStyle w:val="NormalWeb"/>
        <w:rPr>
          <w:b w:val="0"/>
          <w:bCs w:val="0"/>
          <w:rtl/>
        </w:rPr>
      </w:pPr>
      <w:r>
        <w:rPr>
          <w:b w:val="0"/>
          <w:sz w:val="20"/>
          <w:szCs w:val="23"/>
          <w:rtl/>
        </w:rPr>
        <w:t>(אמר המגיה זה הלשון מצאתי בספרים אחרים)</w:t>
      </w:r>
    </w:p>
    <w:p w:rsidR="0020255E" w:rsidRDefault="0020255E" w:rsidP="0020255E">
      <w:pPr>
        <w:pStyle w:val="aa"/>
        <w:spacing w:after="40"/>
        <w:rPr>
          <w:rtl/>
        </w:rPr>
      </w:pPr>
      <w:r>
        <w:rPr>
          <w:rtl/>
        </w:rPr>
        <w:t>[תיקוני זוהר - דף קז ע''ב בס"א]</w:t>
      </w:r>
    </w:p>
    <w:p w:rsidR="0020255E" w:rsidRDefault="0020255E" w:rsidP="0020255E">
      <w:pPr>
        <w:pStyle w:val="NormalWeb"/>
        <w:rPr>
          <w:rtl/>
        </w:rPr>
      </w:pPr>
      <w:r>
        <w:rPr>
          <w:sz w:val="20"/>
          <w:szCs w:val="23"/>
          <w:rtl/>
        </w:rPr>
        <w:t xml:space="preserve">(דף קז ע"ב בס"א) </w:t>
      </w:r>
      <w:r>
        <w:rPr>
          <w:rtl/>
        </w:rPr>
        <w:t xml:space="preserve">רַבִּי אֶלְעָזָר וְרַבִּי יוֹסֵי הֲווֹ אָזְלֵי בְּאָרְחָא, אִזְדַּמַּן רַבִּי אֶלְעָאי עִמְּהוֹן, אָמַר רַבִּי יוֹסֵי לְרַבִּי אֶלְעָזָר שְׁמַעְתְּ בְּהַאי קְרָא אַמַּאי אִתְּמַר בֵּיהּ אֶת אֶת תְּרֵי זִמְנֵי, בָּתַר דְּאָמַר וַתּוֹסֶף לָלֶדֶת אֶת אָחִיו, מַאי אֶת הָבֶל, וְהָא תְלַת רִבּוּיִן הָכָא, תְּרֵין אֶתִין רִבּוּיִן, וַתּוֹסֶף לָלֶדֶת רִבּוּיָיא, הָא תְלַת רִבּוּיִין, </w:t>
      </w:r>
      <w:r>
        <w:rPr>
          <w:rStyle w:val="a7"/>
          <w:rtl/>
        </w:rPr>
        <w:footnoteReference w:id="4861"/>
      </w:r>
      <w:r>
        <w:rPr>
          <w:rtl/>
        </w:rPr>
        <w:t xml:space="preserve">אָמַר לֵיהּ שְׁמַעְנָא דִתְלַת רִבּוּיִין אִלֵּין אִינוּן תְּלַת טִפִּין </w:t>
      </w:r>
      <w:r>
        <w:rPr>
          <w:rStyle w:val="a7"/>
          <w:rtl/>
        </w:rPr>
        <w:footnoteReference w:id="4862"/>
      </w:r>
      <w:r>
        <w:rPr>
          <w:rtl/>
        </w:rPr>
        <w:t xml:space="preserve">דְּאִזְדְּרִיקוּ מֵאָדָם קַדְמָאָה דְּאִתְּמַר בְּהוֹן אֵלֶּה תוֹלְדוֹת הַשָּׁמַיִם וְהָאָרֶץ, </w:t>
      </w:r>
      <w:r>
        <w:rPr>
          <w:rStyle w:val="a7"/>
          <w:rtl/>
        </w:rPr>
        <w:footnoteReference w:id="4863"/>
      </w:r>
      <w:r>
        <w:rPr>
          <w:rtl/>
        </w:rPr>
        <w:t xml:space="preserve">אָמַר לֵיהּ וְהָא אֲנָא שְׁמַעְנָא </w:t>
      </w:r>
      <w:r>
        <w:rPr>
          <w:sz w:val="20"/>
          <w:szCs w:val="23"/>
          <w:rtl/>
        </w:rPr>
        <w:t>(בראשית ב ד)</w:t>
      </w:r>
      <w:r>
        <w:rPr>
          <w:rtl/>
        </w:rPr>
        <w:t xml:space="preserve"> אֵלֶּה ת וֹלְדוֹת הַ שָּׁמַיִם וְ הָאָרֶץ תַּמָּן תֹה''וּ, אָמַר לֵיהּ וַדַּאי הָכִי הוּא, דְמִתַּמָּן הֲוָה קַיִן יְסוֹדֵיהּ וְעִקְּרֵיהּ קֳדָם דְּאָתָא לְעָלְמָא, אָמַר וַדַּאי רָזָא עִלָּאָה אִתְגַּלְיָיא דְלָא שְׁמַעְנָא עַד הַשְׁתָּא.</w:t>
      </w:r>
    </w:p>
    <w:p w:rsidR="0020255E" w:rsidRDefault="0020255E" w:rsidP="0020255E">
      <w:pPr>
        <w:pStyle w:val="aa"/>
        <w:spacing w:after="40"/>
        <w:rPr>
          <w:rtl/>
        </w:rPr>
      </w:pPr>
      <w:r>
        <w:rPr>
          <w:rtl/>
        </w:rPr>
        <w:t xml:space="preserve">[תיקוני זוהר - דף קח ע''א בס"א] </w:t>
      </w:r>
    </w:p>
    <w:p w:rsidR="0020255E" w:rsidRDefault="0020255E" w:rsidP="0020255E">
      <w:pPr>
        <w:pStyle w:val="NormalWeb"/>
        <w:rPr>
          <w:rtl/>
        </w:rPr>
      </w:pPr>
      <w:r>
        <w:rPr>
          <w:rStyle w:val="a7"/>
          <w:rtl/>
        </w:rPr>
        <w:footnoteReference w:id="4864"/>
      </w:r>
      <w:r>
        <w:rPr>
          <w:rtl/>
        </w:rPr>
        <w:t xml:space="preserve">אָמַר לֵיהּ אִלֵּין טִפִּין דְּאִתּוֹסְפוּ הָכָא עַל מַאן, אָמַר וַדַּאי עַל אִלֵּין תְּלַת טִפִּין שַׁרְיָין תְּלַת חָכְמוֹת, חַד אִיהוּ חָכְמַת הַמַּחֲשָׁבָה, וְתִנְיָינָא חָכְמַת הַדִּבּוּר, וּתְלִיתָאָה חָכְמַת הַמַּעֲשֶׂה, וְאִינוּן תְּלַת עָלְמִין סְתִימִין, תְּלַת טִפִּין דְּתַלְיָין מִן מוֹחָא עִלָּאָה סֶגוֹ''ל קְרִינָן לֵיהּ, וְאִית תְּלַת עִלָּאִין עֲלַיְיהוּ דְתַלְיָין מִמּוֹחָא סְתִימָא דְעַתִּיקָא דְעַתִּיקִין, </w:t>
      </w:r>
      <w:r>
        <w:rPr>
          <w:sz w:val="20"/>
          <w:szCs w:val="23"/>
          <w:rtl/>
        </w:rPr>
        <w:t>(דף קח ע''א בס"א)</w:t>
      </w:r>
      <w:r>
        <w:rPr>
          <w:rtl/>
        </w:rPr>
        <w:t xml:space="preserve"> וְאִינוּן סֶגוֹלְתָּא, תְּלַת עִלָּאִין אִתְרְמִיזוּ בְּי' עִלָּאָה דְאִית לָהּ קוֹצָא לְעֵילָא וְקוֹצָא לְתַתָּא וְגַו בְּאֶמְצָעִיתָא, וּתְלַת טִפִּין תִּנְיָינִין דְּאִינוּן סֶגוֹ''ל מִן י' תַּתָּאָה, וְרָזָא דְמִלָּה בְּרֵאשִׁית, תְּלַת מֵאָדָם קַדְמָאָה, וּתְלַת מֵאָדָם תַּתָּאָה, וּבְאִלֵּין תְּלַת נְקוּדִין אִתְּמַר </w:t>
      </w:r>
      <w:r>
        <w:rPr>
          <w:sz w:val="20"/>
          <w:szCs w:val="23"/>
          <w:rtl/>
        </w:rPr>
        <w:t>(ישעיה מד ו)</w:t>
      </w:r>
      <w:r>
        <w:rPr>
          <w:rtl/>
        </w:rPr>
        <w:t xml:space="preserve"> אֲנִי רִאשׁוֹן וַאֲנִי אַחֲרוֹן וּמִבַּלְעָדַי אֵין אלהי''ם, וְאִלֵּין אִינוּן תְּלַת גִּלְגּוּלִין דְּאָדָם קַדְמָאָה, דִּתְלַת טִפִּין דְּאִזְדְּרִיקוּ בִּתְלַת אֲבָהָן, דִּבְהוֹן.</w:t>
      </w:r>
    </w:p>
    <w:p w:rsidR="0020255E" w:rsidRDefault="0020255E" w:rsidP="0020255E">
      <w:pPr>
        <w:pStyle w:val="NormalWeb"/>
        <w:rPr>
          <w:rtl/>
        </w:rPr>
      </w:pPr>
      <w:r>
        <w:rPr>
          <w:rtl/>
        </w:rPr>
        <w:t xml:space="preserve">יְבָרֶכְךָ יהו''ה יָאֵר יהו''ה יִשָּׂא יהו''ה, וּתְלַת תִּנְיָינִין בִּבְרִית וּתְרֵי סַמְכֵי קְשׁוֹט, דְּנֹחַ שֵׁם וָיֶפֶת מִתַּמָּן הֲווֹ, דְּאִתְּמַר בֵּיהּ נֹחַ אִישׁ צַדִּיק מִסִּטְרָא דְצַדִּיק חַי עָלְמִין, שֵׁם וָיְפֶת, מִסִּטְרָא דִתְרֵין סַמְכֵי קְשׁוֹט, וְרָזָא דְמִלָּה הָכָא, </w:t>
      </w:r>
      <w:r>
        <w:rPr>
          <w:sz w:val="20"/>
          <w:szCs w:val="23"/>
          <w:rtl/>
        </w:rPr>
        <w:t>(משלי ל ד)</w:t>
      </w:r>
      <w:r>
        <w:rPr>
          <w:rtl/>
        </w:rPr>
        <w:t xml:space="preserve"> מַה שְּׁמוֹ וּמַה שֶּׁם בְּנוֹ כִּי תֵדָע, </w:t>
      </w:r>
      <w:r>
        <w:rPr>
          <w:rStyle w:val="a7"/>
          <w:rtl/>
        </w:rPr>
        <w:footnoteReference w:id="4865"/>
      </w:r>
      <w:r>
        <w:rPr>
          <w:rtl/>
        </w:rPr>
        <w:t xml:space="preserve">מַה שְּׁמוֹ בְּאִימָּא עִלָּאָה דְתַמָּן חָכְמָה, וּמַה שֶּׁם בְּנוֹ בְּאִימָּא תַּתָּאָה אִשְׁתְּמוֹדְעָא, אֲבָל תְּלַת גִּלְגּוּלִין בִּתְלַת אֲבָהָן, וּתְלַת בִּתְלַת סָמְכִין דִּלְתַתָּא, </w:t>
      </w:r>
      <w:r>
        <w:rPr>
          <w:rStyle w:val="a7"/>
          <w:rtl/>
        </w:rPr>
        <w:footnoteReference w:id="4866"/>
      </w:r>
      <w:r>
        <w:rPr>
          <w:rtl/>
        </w:rPr>
        <w:t xml:space="preserve">וְאִלֵּין הֲווֹ עֲתִידִין לְמֶהֱוִי בְּשֵׁת, תְלַת דְּאָדָם וּתְלַת דְּהֶבֶל, </w:t>
      </w:r>
      <w:r>
        <w:rPr>
          <w:rStyle w:val="a7"/>
          <w:rtl/>
        </w:rPr>
        <w:footnoteReference w:id="4867"/>
      </w:r>
      <w:r>
        <w:rPr>
          <w:rtl/>
        </w:rPr>
        <w:t xml:space="preserve">אֶלָּא דְפָרַח יו"ד מִשֵּׁת דְּאִיהִי נְקֻדָּה אֶבֶן שְׁתִיָה כו'. </w:t>
      </w:r>
      <w:r>
        <w:rPr>
          <w:sz w:val="20"/>
          <w:szCs w:val="23"/>
          <w:rtl/>
        </w:rPr>
        <w:t>(עד כאן מספרים אחרים)</w:t>
      </w:r>
      <w:r>
        <w:rPr>
          <w:rtl/>
        </w:rPr>
        <w:t>.</w:t>
      </w:r>
    </w:p>
    <w:p w:rsidR="0020255E" w:rsidRDefault="0020255E" w:rsidP="0020255E">
      <w:pPr>
        <w:pStyle w:val="aa"/>
        <w:spacing w:after="40"/>
        <w:rPr>
          <w:rtl/>
        </w:rPr>
      </w:pPr>
      <w:r>
        <w:rPr>
          <w:rtl/>
        </w:rPr>
        <w:t>[תיקוני זוהר - דף קז ע''ב]</w:t>
      </w:r>
    </w:p>
    <w:p w:rsidR="0020255E" w:rsidRDefault="0020255E" w:rsidP="0020255E">
      <w:pPr>
        <w:pStyle w:val="NormalWeb"/>
        <w:rPr>
          <w:b w:val="0"/>
          <w:bCs w:val="0"/>
          <w:rtl/>
        </w:rPr>
      </w:pPr>
      <w:r>
        <w:rPr>
          <w:b w:val="0"/>
          <w:sz w:val="20"/>
          <w:szCs w:val="23"/>
          <w:rtl/>
        </w:rPr>
        <w:t xml:space="preserve">(דף קז ע"ב)  </w:t>
      </w:r>
      <w:r>
        <w:rPr>
          <w:b w:val="0"/>
          <w:bCs w:val="0"/>
          <w:rtl/>
        </w:rPr>
        <w:t xml:space="preserve">וְעוֹד וַתּוֹסֶף לָלֶדֶת אֶת אָחִיו אֶת הָבֶל, רַבִּי יוֹסֵי וְרַבִּי אֶלְעָאי הֲווֹ אָזְלֵי בְּאָרְחָא, אִזְדַּמַּן רַבִּי אֶלְעָזָר עִמְּהוֹן, אָמְרוּ וַדַּאי עֲלָךְ אִתְּמַר </w:t>
      </w:r>
      <w:r>
        <w:rPr>
          <w:b w:val="0"/>
          <w:sz w:val="20"/>
          <w:szCs w:val="23"/>
          <w:rtl/>
        </w:rPr>
        <w:t>(בראשית כח יא)</w:t>
      </w:r>
      <w:r>
        <w:rPr>
          <w:b w:val="0"/>
          <w:bCs w:val="0"/>
          <w:rtl/>
        </w:rPr>
        <w:t xml:space="preserve"> וַיִּפְגַּע בַּמָּקוֹם דְּאַעְרַעְנָא בִשְׁכִינְתָּא, אָמַר לוֹן עֲלַיְיכוּ אִתְּמַר </w:t>
      </w:r>
      <w:r>
        <w:rPr>
          <w:b w:val="0"/>
          <w:sz w:val="20"/>
          <w:szCs w:val="23"/>
          <w:rtl/>
        </w:rPr>
        <w:t>(שם לב ב)</w:t>
      </w:r>
      <w:r>
        <w:rPr>
          <w:b w:val="0"/>
          <w:bCs w:val="0"/>
          <w:rtl/>
        </w:rPr>
        <w:t xml:space="preserve"> וַיִּפְגְּעוּ בוֹ מַלְאֲכֵי אלהי''ם, מַאי מַלְאֲכֵי אלהי''ם, אִלֵּין </w:t>
      </w:r>
      <w:r>
        <w:rPr>
          <w:rStyle w:val="a7"/>
          <w:b w:val="0"/>
          <w:bCs w:val="0"/>
          <w:rtl/>
        </w:rPr>
        <w:footnoteReference w:id="4868"/>
      </w:r>
      <w:r>
        <w:rPr>
          <w:b w:val="0"/>
          <w:bCs w:val="0"/>
          <w:rtl/>
        </w:rPr>
        <w:t xml:space="preserve">דְּאִתְּמַר בְּהוֹן </w:t>
      </w:r>
      <w:r>
        <w:rPr>
          <w:b w:val="0"/>
          <w:sz w:val="20"/>
          <w:szCs w:val="23"/>
          <w:rtl/>
        </w:rPr>
        <w:t>(תהלים קד ד)</w:t>
      </w:r>
      <w:r>
        <w:rPr>
          <w:b w:val="0"/>
          <w:bCs w:val="0"/>
          <w:rtl/>
        </w:rPr>
        <w:t xml:space="preserve"> עוֹשֶׂה מַלְאָכָיו רוּחוֹת, דְּרוּחִין דִּילְכוֹן מֵרוּחָא דְקוּדְשָׁא בְּרִיךְ הוּא, </w:t>
      </w:r>
      <w:r>
        <w:rPr>
          <w:b w:val="0"/>
          <w:sz w:val="20"/>
          <w:szCs w:val="23"/>
          <w:rtl/>
        </w:rPr>
        <w:t>(נ''א דקודשא)</w:t>
      </w:r>
      <w:r>
        <w:rPr>
          <w:b w:val="0"/>
          <w:bCs w:val="0"/>
          <w:rtl/>
        </w:rPr>
        <w:t xml:space="preserve"> חָדוּ כֻּלְּהוּ בְאָרְחָא. אָמַר רַבִּי יוֹסֵי לְרַבִּי אֶלְעָזָר מַאי וַתּוֹסֶף לָלֶדֶת אֶת אָחִיו אֶת הָבֶל, וְעוֹד מַאי אָתָא לְרַבּוֹת וַתּוֹסֶף, וּתְרֵין אֶתִין אֶת אָחִיו אֶת הָבֶל.</w:t>
      </w:r>
    </w:p>
    <w:p w:rsidR="0020255E" w:rsidRDefault="0020255E" w:rsidP="0020255E">
      <w:pPr>
        <w:pStyle w:val="NormalWeb"/>
        <w:rPr>
          <w:b w:val="0"/>
          <w:bCs w:val="0"/>
          <w:rtl/>
        </w:rPr>
      </w:pPr>
      <w:r>
        <w:rPr>
          <w:b w:val="0"/>
          <w:bCs w:val="0"/>
          <w:rtl/>
        </w:rPr>
        <w:t xml:space="preserve">אָמַר לֵיהּ וַדַּאי וַתּוֹסֶף </w:t>
      </w:r>
      <w:r>
        <w:rPr>
          <w:rStyle w:val="a7"/>
          <w:b w:val="0"/>
          <w:bCs w:val="0"/>
          <w:rtl/>
        </w:rPr>
        <w:footnoteReference w:id="4869"/>
      </w:r>
      <w:r>
        <w:rPr>
          <w:b w:val="0"/>
          <w:bCs w:val="0"/>
          <w:rtl/>
        </w:rPr>
        <w:t>דָּא תוֹסֶפֶת רוּחָא דְקוּדְשָׁא דְאִיהוּ עַמּוּדָא דְאֶמְצָעִיתָא, מִתַּמָּן אִתּוֹסַף לֵיהּ רוּחָא דְקוּדְשָׁא, תְּרֵין אֶתִין לְרַבּוֹת בֵּיהּ נִשְׁמָתָא וְנַפְשָׁא מִשְּׁכִינְתָּא עִלָּאָה וְתַתָּאָה, וּמַאי הֲוָה תוֹסֶפֶת עַל רוּחָא דָא חָכְמָה מֵאָדָם עִלָּאָה.</w:t>
      </w:r>
    </w:p>
    <w:p w:rsidR="0020255E" w:rsidRDefault="0020255E" w:rsidP="0020255E">
      <w:pPr>
        <w:pStyle w:val="aa"/>
        <w:spacing w:after="40"/>
        <w:rPr>
          <w:rtl/>
        </w:rPr>
      </w:pPr>
      <w:r>
        <w:rPr>
          <w:rtl/>
        </w:rPr>
        <w:t xml:space="preserve">[תיקוני זוהר - דף קח ע''א] </w:t>
      </w:r>
    </w:p>
    <w:p w:rsidR="0020255E" w:rsidRDefault="0020255E" w:rsidP="0020255E">
      <w:pPr>
        <w:pStyle w:val="NormalWeb"/>
        <w:rPr>
          <w:b w:val="0"/>
          <w:bCs w:val="0"/>
          <w:rtl/>
        </w:rPr>
      </w:pPr>
      <w:r>
        <w:rPr>
          <w:b w:val="0"/>
          <w:bCs w:val="0"/>
          <w:rtl/>
        </w:rPr>
        <w:t xml:space="preserve">אָמַר רַבִּי יוֹסֵי שְׁמַעְנָא דִתְלַת רִבּוּיִין אִלֵּין, אִינוּן </w:t>
      </w:r>
      <w:r>
        <w:rPr>
          <w:rStyle w:val="a7"/>
          <w:b w:val="0"/>
          <w:bCs w:val="0"/>
          <w:rtl/>
        </w:rPr>
        <w:footnoteReference w:id="4870"/>
      </w:r>
      <w:r>
        <w:rPr>
          <w:b w:val="0"/>
          <w:bCs w:val="0"/>
          <w:rtl/>
        </w:rPr>
        <w:t xml:space="preserve">תְּלַת טִפִּין דְּאִזְדְּרִיקוּ מִמּוֹחָא סְתִימָא </w:t>
      </w:r>
      <w:r>
        <w:rPr>
          <w:b w:val="0"/>
          <w:sz w:val="20"/>
          <w:szCs w:val="23"/>
          <w:rtl/>
        </w:rPr>
        <w:t xml:space="preserve">(דף קח ע''א) </w:t>
      </w:r>
      <w:r>
        <w:rPr>
          <w:b w:val="0"/>
          <w:bCs w:val="0"/>
          <w:rtl/>
        </w:rPr>
        <w:t xml:space="preserve">דְכָל סְתִימִין, </w:t>
      </w:r>
      <w:r>
        <w:rPr>
          <w:rStyle w:val="a7"/>
          <w:b w:val="0"/>
          <w:bCs w:val="0"/>
          <w:rtl/>
        </w:rPr>
        <w:footnoteReference w:id="4871"/>
      </w:r>
      <w:r>
        <w:rPr>
          <w:b w:val="0"/>
          <w:bCs w:val="0"/>
          <w:rtl/>
        </w:rPr>
        <w:t xml:space="preserve">וְאִלֵּין אִינוּן תְּלַת גִּלְגּוּלִין, וְאִלֵּין תְּלַת טִפִּין, שְׁמַעְנָא דְאִינוּן </w:t>
      </w:r>
      <w:r>
        <w:rPr>
          <w:rStyle w:val="a7"/>
          <w:b w:val="0"/>
          <w:bCs w:val="0"/>
          <w:rtl/>
        </w:rPr>
        <w:footnoteReference w:id="4872"/>
      </w:r>
      <w:r>
        <w:rPr>
          <w:b w:val="0"/>
          <w:bCs w:val="0"/>
          <w:rtl/>
        </w:rPr>
        <w:t xml:space="preserve">לָקֳבֵל תְּלַת נָשִׁים, דְּאִתְּמַר בְּהוֹן </w:t>
      </w:r>
      <w:r>
        <w:rPr>
          <w:b w:val="0"/>
          <w:sz w:val="20"/>
          <w:szCs w:val="23"/>
          <w:rtl/>
        </w:rPr>
        <w:t>(משלי יד א)</w:t>
      </w:r>
      <w:r>
        <w:rPr>
          <w:b w:val="0"/>
          <w:bCs w:val="0"/>
          <w:rtl/>
        </w:rPr>
        <w:t xml:space="preserve"> חַכְמוֹת נָשִׁים בָּנְתָה בֵיתָהּ, </w:t>
      </w:r>
      <w:r>
        <w:rPr>
          <w:rStyle w:val="a7"/>
          <w:b w:val="0"/>
          <w:bCs w:val="0"/>
          <w:rtl/>
        </w:rPr>
        <w:footnoteReference w:id="4873"/>
      </w:r>
      <w:r>
        <w:rPr>
          <w:b w:val="0"/>
          <w:bCs w:val="0"/>
          <w:rtl/>
        </w:rPr>
        <w:t xml:space="preserve">דְּחַד אוֹפָה וְחַד עוֹרֶכֶת וְחַד מְקַטֶּפֶת, </w:t>
      </w:r>
      <w:r>
        <w:rPr>
          <w:rStyle w:val="a7"/>
          <w:b w:val="0"/>
          <w:bCs w:val="0"/>
          <w:rtl/>
        </w:rPr>
        <w:footnoteReference w:id="4874"/>
      </w:r>
      <w:r>
        <w:rPr>
          <w:b w:val="0"/>
          <w:bCs w:val="0"/>
          <w:rtl/>
        </w:rPr>
        <w:t xml:space="preserve">לְהַהוּא דְאִתְּמַר בָּהּ </w:t>
      </w:r>
      <w:r>
        <w:rPr>
          <w:b w:val="0"/>
          <w:sz w:val="20"/>
          <w:szCs w:val="23"/>
          <w:rtl/>
        </w:rPr>
        <w:t>(במדבר טו כ)</w:t>
      </w:r>
      <w:r>
        <w:rPr>
          <w:b w:val="0"/>
          <w:bCs w:val="0"/>
          <w:rtl/>
        </w:rPr>
        <w:t xml:space="preserve"> רֵאשִׁית עֲרִיסֹתֵיכֶם חַלָּה, וְדָא חַלָּה </w:t>
      </w:r>
      <w:r>
        <w:rPr>
          <w:rStyle w:val="a7"/>
          <w:b w:val="0"/>
          <w:bCs w:val="0"/>
          <w:rtl/>
        </w:rPr>
        <w:footnoteReference w:id="4875"/>
      </w:r>
      <w:r>
        <w:rPr>
          <w:b w:val="0"/>
          <w:bCs w:val="0"/>
          <w:rtl/>
        </w:rPr>
        <w:t xml:space="preserve">דְפֶסַח </w:t>
      </w:r>
      <w:r>
        <w:rPr>
          <w:b w:val="0"/>
          <w:sz w:val="20"/>
          <w:szCs w:val="23"/>
          <w:rtl/>
        </w:rPr>
        <w:t>(דְּאִיהִי סֶגוֹלְתָּ''א)</w:t>
      </w:r>
      <w:r>
        <w:rPr>
          <w:b w:val="0"/>
          <w:bCs w:val="0"/>
          <w:rtl/>
        </w:rPr>
        <w:t xml:space="preserve"> אִיהוּ טִפָּה קַדְמָאָה וּמִינָהּ אִזְדְּרִיקוּ תְּלַת טִפִּין, וְאִינוּן תְּלַת יוּדִין י' י' י' דְּאִינוּן סֶגוֹלְתָּ''א וַדַּאי, </w:t>
      </w:r>
      <w:r>
        <w:rPr>
          <w:rStyle w:val="a7"/>
          <w:b w:val="0"/>
          <w:bCs w:val="0"/>
          <w:rtl/>
        </w:rPr>
        <w:footnoteReference w:id="4876"/>
      </w:r>
      <w:r>
        <w:rPr>
          <w:b w:val="0"/>
          <w:bCs w:val="0"/>
          <w:rtl/>
        </w:rPr>
        <w:t xml:space="preserve">וְאִינוּן י' יְבָרֶכְךָ י' יָאֵר י' יִשָּׂא, וּבְאָן אֲתַר אִזְדְּרִיקוּ בִּתְלַת אֲבָהָן, </w:t>
      </w:r>
      <w:r>
        <w:rPr>
          <w:rStyle w:val="a7"/>
          <w:b w:val="0"/>
          <w:bCs w:val="0"/>
          <w:rtl/>
        </w:rPr>
        <w:footnoteReference w:id="4877"/>
      </w:r>
      <w:r>
        <w:rPr>
          <w:b w:val="0"/>
          <w:bCs w:val="0"/>
          <w:rtl/>
        </w:rPr>
        <w:t xml:space="preserve">דְּתַמָּן נָחִית אָדָם בִּתְלַת גִּלְגּוּלִין, וּמֵאָן אֲתַר אִזְדְּרִיקוּ </w:t>
      </w:r>
      <w:r>
        <w:rPr>
          <w:rStyle w:val="a7"/>
          <w:b w:val="0"/>
          <w:bCs w:val="0"/>
          <w:rtl/>
        </w:rPr>
        <w:footnoteReference w:id="4878"/>
      </w:r>
      <w:r>
        <w:rPr>
          <w:b w:val="0"/>
          <w:bCs w:val="0"/>
          <w:rtl/>
        </w:rPr>
        <w:t>מֵהַהוּא דְנָחִית בְּהוֹן דְּאִיהוּ מִסִּטְרָא דְחָכְמָה עִלָּאָה.</w:t>
      </w:r>
    </w:p>
    <w:p w:rsidR="0020255E" w:rsidRDefault="0020255E" w:rsidP="0020255E">
      <w:pPr>
        <w:pStyle w:val="NormalWeb"/>
        <w:rPr>
          <w:b w:val="0"/>
          <w:bCs w:val="0"/>
          <w:rtl/>
        </w:rPr>
      </w:pPr>
      <w:r>
        <w:rPr>
          <w:b w:val="0"/>
          <w:bCs w:val="0"/>
          <w:rtl/>
        </w:rPr>
        <w:t xml:space="preserve">(וְלָקֳבֵל תְּלַת טִפִּין אִלֵּין תַּקִּינוּ תְּלַת מַצּוֹת בַּפֶּסַח, חַד מַצָּה דִלְעִילָא לְבָרְכָא בָהּ הַמּוֹצִיא, תִּנְיָינָא לֶחֶם מִשְׁנֶה, תְּלִיתָאָה לֶחֶם עוֹנִי בְּלָא מִלְחָא, דְּהָא אִתְּמַר </w:t>
      </w:r>
      <w:r>
        <w:rPr>
          <w:b w:val="0"/>
          <w:sz w:val="20"/>
          <w:szCs w:val="23"/>
          <w:rtl/>
        </w:rPr>
        <w:t>(ויקרא ב יג)</w:t>
      </w:r>
      <w:r>
        <w:rPr>
          <w:b w:val="0"/>
          <w:bCs w:val="0"/>
          <w:rtl/>
        </w:rPr>
        <w:t xml:space="preserve"> עַל כָּל קָרְבָּנְךָ תַּקְרִיב מֶלַח, בְּגִין דְּאִיהִי מַצָּה פְּרוּסָה, כְּגַוְונָא </w:t>
      </w:r>
      <w:r>
        <w:rPr>
          <w:b w:val="0"/>
          <w:sz w:val="20"/>
          <w:szCs w:val="23"/>
          <w:rtl/>
        </w:rPr>
        <w:t>(דניאל ה כח)</w:t>
      </w:r>
      <w:r>
        <w:rPr>
          <w:b w:val="0"/>
          <w:bCs w:val="0"/>
          <w:rtl/>
        </w:rPr>
        <w:t xml:space="preserve"> דִפְרֵיס פְּרִיסַת מַלְכוּתָךְ, עַד דִּתְהֵא שְׁלֵימָה לָא צָרִיךְ לְקָרְבָא עֲלָהּ מֶלַח, דְּאִיהוּ חֹלֵ''ם, וּמַאי נִיהוּ חֹלֵם אֶמְצָעִי </w:t>
      </w:r>
      <w:r>
        <w:rPr>
          <w:b w:val="0"/>
          <w:sz w:val="20"/>
          <w:szCs w:val="23"/>
          <w:rtl/>
        </w:rPr>
        <w:t>(דכלהו תלת)</w:t>
      </w:r>
      <w:r>
        <w:rPr>
          <w:b w:val="0"/>
          <w:bCs w:val="0"/>
          <w:rtl/>
        </w:rPr>
        <w:t>,) תְּלַת טִפִּין עִלָּאִין אִינוּן סֶגוֹלְתָּ''א, דְתַלְיָין מִמּוֹחָא סְתִימָא עַתִּיקָא דְעַתִּיקִין.</w:t>
      </w:r>
    </w:p>
    <w:p w:rsidR="0020255E" w:rsidRDefault="0020255E" w:rsidP="0020255E">
      <w:pPr>
        <w:pStyle w:val="aa"/>
        <w:spacing w:after="40"/>
        <w:rPr>
          <w:rtl/>
        </w:rPr>
      </w:pPr>
      <w:r>
        <w:rPr>
          <w:rtl/>
        </w:rPr>
        <w:t xml:space="preserve">[תיקוני זוהר - דף קח ע''ב] </w:t>
      </w:r>
    </w:p>
    <w:p w:rsidR="0020255E" w:rsidRDefault="0020255E" w:rsidP="0020255E">
      <w:pPr>
        <w:pStyle w:val="NormalWeb"/>
        <w:rPr>
          <w:b w:val="0"/>
          <w:bCs w:val="0"/>
          <w:rtl/>
        </w:rPr>
      </w:pPr>
      <w:r>
        <w:rPr>
          <w:b w:val="0"/>
          <w:bCs w:val="0"/>
          <w:rtl/>
        </w:rPr>
        <w:t xml:space="preserve">תְּלַת טִפִּין אִזְדְּרִיקוּ בְּגוּלְגַּלְתָּא </w:t>
      </w:r>
      <w:r>
        <w:rPr>
          <w:rStyle w:val="a7"/>
          <w:b w:val="0"/>
          <w:bCs w:val="0"/>
          <w:rtl/>
        </w:rPr>
        <w:footnoteReference w:id="4879"/>
      </w:r>
      <w:r>
        <w:rPr>
          <w:b w:val="0"/>
          <w:bCs w:val="0"/>
          <w:rtl/>
        </w:rPr>
        <w:t xml:space="preserve">מִמּוֹחָא תִּנְיָינָא </w:t>
      </w:r>
      <w:r>
        <w:rPr>
          <w:rStyle w:val="a7"/>
          <w:b w:val="0"/>
          <w:bCs w:val="0"/>
          <w:rtl/>
        </w:rPr>
        <w:footnoteReference w:id="4880"/>
      </w:r>
      <w:r>
        <w:rPr>
          <w:b w:val="0"/>
          <w:bCs w:val="0"/>
          <w:rtl/>
        </w:rPr>
        <w:t xml:space="preserve">וְאִינוּן סֶגוֹ''ל, בְּאָן אִזְדְּרִיקוּ, בִּתְרֵי סַמְכֵי קְשׁוֹט וּבְרִית, דְּאִינוּן לְקִבְלַיְיהוּ נֹחַ שֵׁם וָיֶפֶת, נֹחַ אִזְדַּרִיק בַּצַּדִּיק, הֲדָא הוּא דִכְתִיב </w:t>
      </w:r>
      <w:r>
        <w:rPr>
          <w:b w:val="0"/>
          <w:sz w:val="20"/>
          <w:szCs w:val="23"/>
          <w:rtl/>
        </w:rPr>
        <w:t>(בראשית ו ט)</w:t>
      </w:r>
      <w:r>
        <w:rPr>
          <w:b w:val="0"/>
          <w:bCs w:val="0"/>
          <w:rtl/>
        </w:rPr>
        <w:t xml:space="preserve"> נֹחַ אִישׁ צַדִּיק, שֵׁם וָיֶפֶת בִּתְרֵי סַמְכֵי קְשׁוֹט, </w:t>
      </w:r>
      <w:r>
        <w:rPr>
          <w:rStyle w:val="a7"/>
          <w:b w:val="0"/>
          <w:bCs w:val="0"/>
          <w:rtl/>
        </w:rPr>
        <w:footnoteReference w:id="4881"/>
      </w:r>
      <w:r>
        <w:rPr>
          <w:b w:val="0"/>
          <w:bCs w:val="0"/>
          <w:rtl/>
        </w:rPr>
        <w:t xml:space="preserve">וַעֲלַיְיהוּ אִתְּמַר בָּרָא שִׁית, תְּלַת טִפִּין עִלָּאִין דְּאִינוּן סֶגוֹלְתָּ''א, דְאִזְדְּרִיקוּ מִמּוֹחָא סְתִימָא, אִינוּן קוֹצָא דְאָת י' לְעִילָא וְקוֹצָא דִילָהּ לְתַתָּא, וְגַו בְּאֶמְצָעִיתָא דִילָהּ, מוֹחָא דְאִזְדְּרִיקוּ תְּלַת טִיפִּין אִלֵּין מִינָהּ, אִיהִי י', וְדָא י' דְּאִיהִי לְעִילָא </w:t>
      </w:r>
      <w:r>
        <w:rPr>
          <w:b w:val="0"/>
          <w:sz w:val="20"/>
          <w:szCs w:val="23"/>
          <w:rtl/>
        </w:rPr>
        <w:t xml:space="preserve">(דף קח ע''ב) </w:t>
      </w:r>
      <w:r>
        <w:rPr>
          <w:b w:val="0"/>
          <w:bCs w:val="0"/>
          <w:rtl/>
        </w:rPr>
        <w:t>מֵאָת א, י' לְתַתָּא מִן א מוֹחָא תִנְיָינָא, וּתְלַת טִיפִּין דְּאִזְדְּרִיקוּ מִינָהּ אִינוּן סֶגוֹ''ל, תְּלַת טִפִּין דְּאָדָם קַדְמָאָה דְאִינוּן תְּלַת גִּלְגּוּלִים, וּתְלַת דְּאָדָם תִּנְיָינָא תְּלַת גִּלְגּוּלִין.</w:t>
      </w:r>
    </w:p>
    <w:p w:rsidR="0020255E" w:rsidRDefault="0020255E" w:rsidP="0020255E">
      <w:pPr>
        <w:pStyle w:val="NormalWeb"/>
        <w:rPr>
          <w:b w:val="0"/>
          <w:bCs w:val="0"/>
          <w:rtl/>
        </w:rPr>
      </w:pPr>
      <w:r>
        <w:rPr>
          <w:b w:val="0"/>
          <w:bCs w:val="0"/>
          <w:rtl/>
        </w:rPr>
        <w:t xml:space="preserve">מָאן אָדָם עִלָּאָה וְאָדָם תִּנְיָינָא, אֶלָּא </w:t>
      </w:r>
      <w:r>
        <w:rPr>
          <w:b w:val="0"/>
          <w:sz w:val="20"/>
          <w:szCs w:val="23"/>
          <w:rtl/>
        </w:rPr>
        <w:t>(משלי ל ד)</w:t>
      </w:r>
      <w:r>
        <w:rPr>
          <w:b w:val="0"/>
          <w:bCs w:val="0"/>
          <w:rtl/>
        </w:rPr>
        <w:t xml:space="preserve"> מַה שְּׁמוֹ וּמַה שֶּׁם בְּנוֹ, מַה שְּׁמוֹ אָדָם עִלָּאָה, מַה שֶּׁם בְּנוֹ אָדָם תַּתָּאָה, </w:t>
      </w:r>
      <w:r>
        <w:rPr>
          <w:rStyle w:val="a7"/>
          <w:b w:val="0"/>
          <w:bCs w:val="0"/>
          <w:rtl/>
        </w:rPr>
        <w:footnoteReference w:id="4882"/>
      </w:r>
      <w:r>
        <w:rPr>
          <w:b w:val="0"/>
          <w:bCs w:val="0"/>
          <w:rtl/>
        </w:rPr>
        <w:t xml:space="preserve">וְתַרְוַיְיהוּ אִתְרְמִיזוּ בְהַהוּא קְרָא דְאָמַר מֹשֶׁה, </w:t>
      </w:r>
      <w:r>
        <w:rPr>
          <w:b w:val="0"/>
          <w:sz w:val="20"/>
          <w:szCs w:val="23"/>
          <w:rtl/>
        </w:rPr>
        <w:t>(שמות ג יג)</w:t>
      </w:r>
      <w:r>
        <w:rPr>
          <w:b w:val="0"/>
          <w:bCs w:val="0"/>
          <w:rtl/>
        </w:rPr>
        <w:t xml:space="preserve"> וְאָמְרוּ לִי מַה שְּׁמוֹ מָה אֹמַר, תְּלַת טִפִּין </w:t>
      </w:r>
      <w:r>
        <w:rPr>
          <w:rStyle w:val="a7"/>
          <w:b w:val="0"/>
          <w:bCs w:val="0"/>
          <w:rtl/>
        </w:rPr>
        <w:footnoteReference w:id="4883"/>
      </w:r>
      <w:r>
        <w:rPr>
          <w:b w:val="0"/>
          <w:bCs w:val="0"/>
          <w:rtl/>
        </w:rPr>
        <w:t xml:space="preserve">חַד אוֹפָה בְּמוֹחָא דְּאִיהוּ לָקֳבֵל יְמִינָא, דְאִיהוּ אוֹפֶה דְאִיהוּ שַׂר הָאוֹפִים, וְחַד עוֹרֶכֶת דָּא מוֹחָא דְאִיהוּ מִסִּטְרָא דִשְׂמָאלָא, דְאִתְּמַר בָּהּ </w:t>
      </w:r>
      <w:r>
        <w:rPr>
          <w:b w:val="0"/>
          <w:sz w:val="20"/>
          <w:szCs w:val="23"/>
          <w:rtl/>
        </w:rPr>
        <w:t>(משלי ט ב)</w:t>
      </w:r>
      <w:r>
        <w:rPr>
          <w:b w:val="0"/>
          <w:bCs w:val="0"/>
          <w:rtl/>
        </w:rPr>
        <w:t xml:space="preserve"> אַף עָרְכָה שֻׁלְחָנָהּ, וְהָא אוּקְמוּהוּ שֻׁלְחָן בַּצָּפוֹן לָקֳבֵל לִבָּא, וְחַד מְקַטֶּפֶת לָקֳבֵל מוֹחָא דְאִיהוּ לַאֲחוֹרָא כְּלַפֵּי כָּתֵף, </w:t>
      </w:r>
      <w:r>
        <w:rPr>
          <w:rStyle w:val="a7"/>
          <w:b w:val="0"/>
          <w:bCs w:val="0"/>
          <w:rtl/>
        </w:rPr>
        <w:footnoteReference w:id="4884"/>
      </w:r>
      <w:r>
        <w:rPr>
          <w:b w:val="0"/>
          <w:bCs w:val="0"/>
          <w:rtl/>
        </w:rPr>
        <w:t xml:space="preserve">וְלָקֳבֵל אִילֵּין תְּלַת טִפִּין אִינוּן תְּלַת יוּדִין דְּאִינוּן בְּיו''ד ה''י ואו ה''י, דִמְעִידִין עַל עִלַּת כָּל הָעִלּוֹת, </w:t>
      </w:r>
      <w:r>
        <w:rPr>
          <w:rStyle w:val="a7"/>
          <w:b w:val="0"/>
          <w:bCs w:val="0"/>
          <w:rtl/>
        </w:rPr>
        <w:footnoteReference w:id="4885"/>
      </w:r>
      <w:r>
        <w:rPr>
          <w:b w:val="0"/>
          <w:bCs w:val="0"/>
          <w:rtl/>
        </w:rPr>
        <w:t xml:space="preserve">דַּעֲלֵיהּ אִתְּמַר </w:t>
      </w:r>
      <w:r>
        <w:rPr>
          <w:b w:val="0"/>
          <w:sz w:val="20"/>
          <w:szCs w:val="23"/>
          <w:rtl/>
        </w:rPr>
        <w:t>(ישעיה מד ו)</w:t>
      </w:r>
      <w:r>
        <w:rPr>
          <w:b w:val="0"/>
          <w:bCs w:val="0"/>
          <w:rtl/>
        </w:rPr>
        <w:t xml:space="preserve"> אֲנִי רִאשׁוֹן וַאֲנִי אַחֲרוֹן וּמִבַּלְעָדַי אֵין אלהי''ם, דְּאִיהוּ רִאשׁוֹן וְאַחֲרוֹן וּמִבַּלְעָדָיו אֵין אלהי''ם.</w:t>
      </w:r>
    </w:p>
    <w:p w:rsidR="0020255E" w:rsidRDefault="0020255E" w:rsidP="0020255E">
      <w:pPr>
        <w:pStyle w:val="NormalWeb"/>
        <w:rPr>
          <w:b w:val="0"/>
          <w:bCs w:val="0"/>
          <w:rtl/>
        </w:rPr>
      </w:pPr>
      <w:r>
        <w:rPr>
          <w:b w:val="0"/>
          <w:bCs w:val="0"/>
          <w:rtl/>
        </w:rPr>
        <w:t>וּמִשִּׁית תִּקּוּנִין אִלֵּין בָּעָא קוּדְשָׁא בְּרִיךְ הוּא לְמִבְרֵי לְשֵׁת, לְמֶהֱוֵי שְׁמֵיהּ שִׁית, לְמֶהֱוִי בֵּיהּ תְּלַת גִּלְגּוּלִין דְּאָדָם וּתְלַת דְּהֶבֶל, אֶלָּא דְפָרַח י' מִשֵּׁת דְּאִיהִי נְקוּדָה אֶבֶן שְׁתִיָּה דְמִתַּמָּן הוּשְׁתַּת עָלְמָא.</w:t>
      </w:r>
    </w:p>
    <w:p w:rsidR="0020255E" w:rsidRDefault="0020255E" w:rsidP="0020255E">
      <w:pPr>
        <w:pStyle w:val="NormalWeb"/>
        <w:rPr>
          <w:b w:val="0"/>
          <w:bCs w:val="0"/>
          <w:rtl/>
        </w:rPr>
      </w:pPr>
      <w:r>
        <w:rPr>
          <w:b w:val="0"/>
          <w:bCs w:val="0"/>
          <w:rtl/>
        </w:rPr>
        <w:t xml:space="preserve">וּבְהַאי י' חָב יוֹסֵף, הֲדָא הוּא דִכְתִיב </w:t>
      </w:r>
      <w:r>
        <w:rPr>
          <w:b w:val="0"/>
          <w:sz w:val="20"/>
          <w:szCs w:val="23"/>
          <w:rtl/>
        </w:rPr>
        <w:t>(בראשית מט כד)</w:t>
      </w:r>
      <w:r>
        <w:rPr>
          <w:b w:val="0"/>
          <w:bCs w:val="0"/>
          <w:rtl/>
        </w:rPr>
        <w:t xml:space="preserve"> וַתֵּשֶׁב בְּאֵיתָן קַשְׁתּוֹ וַיָּפֹזּוּ זְרוֹעִי יָדָיו, </w:t>
      </w:r>
      <w:r>
        <w:rPr>
          <w:rStyle w:val="a7"/>
          <w:b w:val="0"/>
          <w:bCs w:val="0"/>
          <w:rtl/>
        </w:rPr>
        <w:footnoteReference w:id="4886"/>
      </w:r>
      <w:r>
        <w:rPr>
          <w:b w:val="0"/>
          <w:bCs w:val="0"/>
          <w:rtl/>
        </w:rPr>
        <w:t xml:space="preserve">מַאי וַיָּפֹזּוּ, דְאִזְדְּרִיקַת טִיפָּה דְאִיהִי י' בֵּין עֶשֶׂר אֶצְבְּעָאן, וְאִתְפְּלִיגַת לְעֶשֶׂר נִיצוֹצִין </w:t>
      </w:r>
      <w:r>
        <w:rPr>
          <w:rStyle w:val="a7"/>
          <w:b w:val="0"/>
          <w:bCs w:val="0"/>
          <w:rtl/>
        </w:rPr>
        <w:footnoteReference w:id="4887"/>
      </w:r>
      <w:r>
        <w:rPr>
          <w:b w:val="0"/>
          <w:bCs w:val="0"/>
          <w:rtl/>
        </w:rPr>
        <w:t xml:space="preserve">דְּאִזְדְּרִיקוּ מִקֶּשֶׁת דְּאִיהוּ בְּרִית, וּבְאָן אֲתַר אִזְדְּרִיקוּ בַּעֲשָׂרָה הֲרוּגֵי מַלְכוּת, אָמַר לֵיהּ, וְהָא שְׁמַעְנָא דַעֲשָׂרָה הֲרוּגֵי מַלְכוּת בְּנֵי יַעֲקֹב הֲווֹ, אָמַר לֵיהּ חַס וְשָׁלוֹם, אֶלָּא </w:t>
      </w:r>
      <w:r>
        <w:rPr>
          <w:rStyle w:val="a7"/>
          <w:b w:val="0"/>
          <w:bCs w:val="0"/>
          <w:rtl/>
        </w:rPr>
        <w:footnoteReference w:id="4888"/>
      </w:r>
      <w:r>
        <w:rPr>
          <w:b w:val="0"/>
          <w:bCs w:val="0"/>
          <w:rtl/>
        </w:rPr>
        <w:t xml:space="preserve">בְדִיּוֹקְנֵיה הֲוָה, וּמָאן גָּרִים דְּאִזְדְּרִיקוּ תַּמָּן, דִּיּוֹקְנָא דַאֲבוּהָ דְאִזְדַּמַּן לְגַבֵּיהּ, דַּהֲוָה דִיּוֹקְנָא דְאָדָם קַדְמָאָה, דָּא גָרִים דְּאִזְדְּרִיקוּ לוֹן, </w:t>
      </w:r>
      <w:r>
        <w:rPr>
          <w:rStyle w:val="a7"/>
          <w:b w:val="0"/>
          <w:bCs w:val="0"/>
          <w:rtl/>
        </w:rPr>
        <w:footnoteReference w:id="4889"/>
      </w:r>
      <w:r>
        <w:rPr>
          <w:b w:val="0"/>
          <w:bCs w:val="0"/>
          <w:rtl/>
        </w:rPr>
        <w:t xml:space="preserve">וְנָעַץ צִפָּרְנָיו בְּקַרְקַע וּבָרַח גַּרְמֵיהּ, </w:t>
      </w:r>
      <w:r>
        <w:rPr>
          <w:rStyle w:val="a7"/>
          <w:b w:val="0"/>
          <w:bCs w:val="0"/>
          <w:rtl/>
        </w:rPr>
        <w:footnoteReference w:id="4890"/>
      </w:r>
      <w:r>
        <w:rPr>
          <w:b w:val="0"/>
          <w:bCs w:val="0"/>
          <w:rtl/>
        </w:rPr>
        <w:t xml:space="preserve">וְלָא אִזְדְּרִיקוּ </w:t>
      </w:r>
      <w:r>
        <w:rPr>
          <w:b w:val="0"/>
          <w:sz w:val="20"/>
          <w:szCs w:val="23"/>
          <w:rtl/>
        </w:rPr>
        <w:t>(בההיא זונה, דאי לאו דאתחזיאת ליה דיוקנא דאבוה לא הוו אזדריקו הכי, ודיוקנא דאבוה גרם דההיא טפה וינס ויצא החוצה, ולאו בעבירה, ובשכר וינס)</w:t>
      </w:r>
      <w:r>
        <w:rPr>
          <w:b w:val="0"/>
          <w:bCs w:val="0"/>
          <w:rtl/>
        </w:rPr>
        <w:t xml:space="preserve">, בְּהַאי זוֹנָה, דְּאִי הֲוָה זַרִיק לָה בְּהַאי זוֹנָה, כָּלְהוּ יִשְׂרָאֵל הֲווֹ טַבְעַן בְּיַמָּא, וְלַאו לְמַגְנָא אוֹקְמוּהוּ קַדְמָאִין, בִּשְׂכַר </w:t>
      </w:r>
      <w:r>
        <w:rPr>
          <w:b w:val="0"/>
          <w:sz w:val="20"/>
          <w:szCs w:val="23"/>
          <w:rtl/>
        </w:rPr>
        <w:t>(בראשית לט יב)</w:t>
      </w:r>
      <w:r>
        <w:rPr>
          <w:b w:val="0"/>
          <w:bCs w:val="0"/>
          <w:rtl/>
        </w:rPr>
        <w:t xml:space="preserve"> וַיַנָס - </w:t>
      </w:r>
      <w:r>
        <w:rPr>
          <w:rStyle w:val="Char"/>
          <w:rtl/>
        </w:rPr>
        <w:t>הַיָּם רָאָה וַיָּנֹס</w:t>
      </w:r>
      <w:r>
        <w:rPr>
          <w:b w:val="0"/>
          <w:szCs w:val="23"/>
          <w:rtl/>
        </w:rPr>
        <w:t xml:space="preserve"> </w:t>
      </w:r>
      <w:r>
        <w:rPr>
          <w:b w:val="0"/>
          <w:sz w:val="20"/>
          <w:szCs w:val="23"/>
          <w:rtl/>
        </w:rPr>
        <w:t>(תהלים קיד ג)</w:t>
      </w:r>
      <w:r>
        <w:rPr>
          <w:b w:val="0"/>
          <w:bCs w:val="0"/>
          <w:rtl/>
        </w:rPr>
        <w:t>, וְאִיהוּ קַבִּיל עוֹנְשֵׁיהּ בְּאִלֵּין עֲשָׂרָה הֲרוּגֵי מַלְכוּת, דַּהֲווֹ עֲתִידִין לְמֵיפַק מִינֵיהּ עֲשָׂרָה שִׁבְטִין, וּבְגִין דָּא הֲווֹ עֲשָׂרָה הֲרוּגֵי מַלְכוּת כְּגַוְונָא דַעֲשָׂרָה שִׁבְטִין דַּהֲווֹ עֲתִידִין לְמֵיפַק מִנֵּיהּ, וַהֲווֹ חָשְׁבִין חַבְרַיָּא דַעֲשָׂרָה בְּנֵי יַעֲקֹב הֲווֹ.</w:t>
      </w:r>
    </w:p>
    <w:p w:rsidR="0020255E" w:rsidRDefault="0020255E" w:rsidP="0020255E">
      <w:pPr>
        <w:pStyle w:val="NormalWeb"/>
        <w:rPr>
          <w:b w:val="0"/>
          <w:bCs w:val="0"/>
          <w:rtl/>
        </w:rPr>
      </w:pPr>
      <w:r>
        <w:rPr>
          <w:rStyle w:val="a7"/>
          <w:b w:val="0"/>
          <w:bCs w:val="0"/>
          <w:rtl/>
        </w:rPr>
        <w:footnoteReference w:id="4891"/>
      </w:r>
      <w:r>
        <w:rPr>
          <w:b w:val="0"/>
          <w:bCs w:val="0"/>
          <w:rtl/>
        </w:rPr>
        <w:t xml:space="preserve">אָמַר לֵיהּ אִם כֵּן מָאן יְהִיב רָזָא דָא בְשֵׁת, אָמַר לֵיהּ נִשְׁמַתְהוֹן דְצַדִיקַיָא אִתְבְּרִיאוּ קָדָם דְּאִתְבְּרֵי עַלְמָא כְמָה דְאוֹקְמוּהוּ קַדְמָאִין, </w:t>
      </w:r>
      <w:r>
        <w:rPr>
          <w:b w:val="0"/>
          <w:sz w:val="20"/>
          <w:szCs w:val="23"/>
          <w:rtl/>
        </w:rPr>
        <w:t>(נ''א כמ''ש בראשית, אין ראשית אלא נשמה, וכו' עי' לקמן קיב ע''א)</w:t>
      </w:r>
      <w:r>
        <w:rPr>
          <w:b w:val="0"/>
          <w:bCs w:val="0"/>
          <w:rtl/>
        </w:rPr>
        <w:t xml:space="preserve">, וּבְגִין דָּא אָמַר קְרָא </w:t>
      </w:r>
      <w:r>
        <w:rPr>
          <w:b w:val="0"/>
          <w:sz w:val="20"/>
          <w:szCs w:val="23"/>
          <w:rtl/>
        </w:rPr>
        <w:t>(ישעיה מו י)</w:t>
      </w:r>
      <w:r>
        <w:rPr>
          <w:b w:val="0"/>
          <w:bCs w:val="0"/>
          <w:rtl/>
        </w:rPr>
        <w:t xml:space="preserve"> מַגִּיד מֵרֵאשִׁית אַחֲרִית.</w:t>
      </w:r>
    </w:p>
    <w:p w:rsidR="0020255E" w:rsidRDefault="0020255E" w:rsidP="0020255E">
      <w:pPr>
        <w:pStyle w:val="NormalWeb"/>
        <w:rPr>
          <w:b w:val="0"/>
          <w:bCs w:val="0"/>
          <w:rtl/>
        </w:rPr>
      </w:pPr>
      <w:r>
        <w:rPr>
          <w:b w:val="0"/>
          <w:sz w:val="20"/>
          <w:szCs w:val="23"/>
          <w:rtl/>
        </w:rPr>
        <w:t xml:space="preserve"> (אמר המגיה, זה הלשון מצאתי בספרים אחרים. בכל הדפוסים נדפס הס"א לקמן בדף ק"י א'. ועפ"י ביאה"ג שכתב ששייך כאן וכן סידר עליו ביאורו כאן, הצגתיו פה)</w:t>
      </w:r>
    </w:p>
    <w:p w:rsidR="0020255E" w:rsidRDefault="0020255E" w:rsidP="0020255E">
      <w:pPr>
        <w:pStyle w:val="aa"/>
        <w:spacing w:after="40"/>
        <w:rPr>
          <w:rtl/>
        </w:rPr>
      </w:pPr>
      <w:r>
        <w:rPr>
          <w:rtl/>
        </w:rPr>
        <w:t xml:space="preserve">[תיקוני זוהר - הגהה דף קי ע''א, הגהה דף קי ע''ב] </w:t>
      </w:r>
    </w:p>
    <w:p w:rsidR="0020255E" w:rsidRDefault="0020255E" w:rsidP="0020255E">
      <w:pPr>
        <w:pStyle w:val="NormalWeb"/>
        <w:rPr>
          <w:rtl/>
        </w:rPr>
      </w:pPr>
      <w:r>
        <w:rPr>
          <w:sz w:val="20"/>
          <w:szCs w:val="23"/>
          <w:rtl/>
        </w:rPr>
        <w:t xml:space="preserve">(הגהה דף קי ע''א) </w:t>
      </w:r>
      <w:r>
        <w:rPr>
          <w:rStyle w:val="a7"/>
          <w:rtl/>
        </w:rPr>
        <w:footnoteReference w:id="4892"/>
      </w:r>
      <w:r>
        <w:rPr>
          <w:rtl/>
        </w:rPr>
        <w:t xml:space="preserve">מֵרֵאשִׁית, לֵית רֵאשִׁית אֶלָּא נְשָׁמָה, </w:t>
      </w:r>
      <w:r>
        <w:rPr>
          <w:rStyle w:val="a7"/>
          <w:rtl/>
        </w:rPr>
        <w:footnoteReference w:id="4893"/>
      </w:r>
      <w:r>
        <w:rPr>
          <w:rtl/>
        </w:rPr>
        <w:t xml:space="preserve">אָמַר לֵיהּ </w:t>
      </w:r>
      <w:r>
        <w:rPr>
          <w:sz w:val="20"/>
          <w:szCs w:val="23"/>
          <w:rtl/>
        </w:rPr>
        <w:t xml:space="preserve">(הגהה דף קי ע''ב) </w:t>
      </w:r>
      <w:r>
        <w:rPr>
          <w:rtl/>
        </w:rPr>
        <w:t xml:space="preserve">מֵהָכָא אִשְׁתְּמוֹדָע דִּבְהַאי אוֹת דִּבְרִית מִילָה חָאב אָדָם וְכָל דָּרִין דְּאָתוּ אַבַּתְרֵיהּ, וְדָא אִיהוּ דְאָמַר קְרָא </w:t>
      </w:r>
      <w:r>
        <w:rPr>
          <w:b w:val="0"/>
          <w:sz w:val="20"/>
          <w:szCs w:val="23"/>
          <w:rtl/>
        </w:rPr>
        <w:t>(שמות כ ה)</w:t>
      </w:r>
      <w:r>
        <w:rPr>
          <w:rtl/>
        </w:rPr>
        <w:t xml:space="preserve"> פֹּקֵד עֲוֹן אָבוֹת עַל בָּנִים בְּגִין דְּמַעֲשֵׂה אֲבוֹתֵיהֶם בִּידֵיהֶם, </w:t>
      </w:r>
      <w:r>
        <w:rPr>
          <w:rStyle w:val="a7"/>
          <w:rtl/>
        </w:rPr>
        <w:footnoteReference w:id="4894"/>
      </w:r>
      <w:r>
        <w:rPr>
          <w:rtl/>
        </w:rPr>
        <w:t xml:space="preserve">אָמַר לֵיהּ אִשְׁתְּכַח </w:t>
      </w:r>
      <w:r>
        <w:rPr>
          <w:rStyle w:val="a7"/>
          <w:rtl/>
        </w:rPr>
        <w:footnoteReference w:id="4895"/>
      </w:r>
      <w:r>
        <w:rPr>
          <w:rtl/>
        </w:rPr>
        <w:t xml:space="preserve">דְּמשֶׁה אִיהוּ גִלְגּוּלָא דְאָדָם וְהֶבֶל דְּאִתְּמַר בֵּיהּ </w:t>
      </w:r>
      <w:r>
        <w:rPr>
          <w:b w:val="0"/>
          <w:sz w:val="20"/>
          <w:szCs w:val="23"/>
          <w:rtl/>
        </w:rPr>
        <w:t>(בראשית ו ג)</w:t>
      </w:r>
      <w:r>
        <w:rPr>
          <w:rtl/>
        </w:rPr>
        <w:t xml:space="preserve"> בְּשַׁגַּם הוּא בָשָׂר, בְּשַׁגַּם זֶה הֶבֶל וְרָזָא דְמִלָּה </w:t>
      </w:r>
      <w:r>
        <w:rPr>
          <w:b w:val="0"/>
          <w:sz w:val="20"/>
          <w:szCs w:val="23"/>
          <w:rtl/>
        </w:rPr>
        <w:t>(בראשית ד כו)</w:t>
      </w:r>
      <w:r>
        <w:rPr>
          <w:rtl/>
        </w:rPr>
        <w:t xml:space="preserve"> אָז הוּחַל לִקְרוֹא בְּשֵׁם יהו''ה, </w:t>
      </w:r>
      <w:r>
        <w:rPr>
          <w:b w:val="0"/>
          <w:sz w:val="20"/>
          <w:szCs w:val="23"/>
          <w:rtl/>
        </w:rPr>
        <w:t>(שמות לג יז)</w:t>
      </w:r>
      <w:r>
        <w:rPr>
          <w:rtl/>
        </w:rPr>
        <w:t xml:space="preserve"> וָאֵדָעֲךָ בְּשֵׁם, אָז, הַהוּא דְאִתְּמַר בֵּיהּ </w:t>
      </w:r>
      <w:r>
        <w:rPr>
          <w:b w:val="0"/>
          <w:sz w:val="20"/>
          <w:szCs w:val="23"/>
          <w:rtl/>
        </w:rPr>
        <w:t>(שמות טו א)</w:t>
      </w:r>
      <w:r>
        <w:rPr>
          <w:rtl/>
        </w:rPr>
        <w:t xml:space="preserve"> אָז יָשִׁיר משֶׁה, בְּשֵׁם יהו''ה - וָאֵדָעֲךָ בְּשֵׁם, בִּתְרֵין שְׁמָהָן </w:t>
      </w:r>
      <w:r>
        <w:rPr>
          <w:b w:val="0"/>
          <w:sz w:val="20"/>
          <w:szCs w:val="23"/>
          <w:rtl/>
        </w:rPr>
        <w:t>(משלי ל ד)</w:t>
      </w:r>
      <w:r>
        <w:rPr>
          <w:rtl/>
        </w:rPr>
        <w:t xml:space="preserve"> מַה שְּׁמוֹ וּמַה שֶּׁם בְּנוֹ וְאִתְּמַר בֵּיהּ הוּחַל דְּמִתַּמָּן הוּשְׁתַּת עָלְמָא.</w:t>
      </w:r>
    </w:p>
    <w:p w:rsidR="0020255E" w:rsidRDefault="0020255E" w:rsidP="0020255E">
      <w:pPr>
        <w:pStyle w:val="NormalWeb"/>
        <w:rPr>
          <w:rtl/>
        </w:rPr>
      </w:pPr>
      <w:r>
        <w:rPr>
          <w:rtl/>
        </w:rPr>
        <w:t>אַדְהָכִי הָא רַבִּי שִׁמְעוֹן וְרַבִּי יִצְחָק וְרַבִּי יוּדָאִי וְרַבִּי יְהוּדָה וּשְׁאָר חַבְרַיָּא, פָּגְעוּ בְּרַבִּי אֶלְעָזָר וְחַבְרוֹי דַהֲווֹ עִמֵּיהּ, אָמַר לוֹן בְּמַאי עַסְקִיתּוּ אָמְרוּ לֵיהּ בְּרָזָא דְגִלְגּוּלָא דְאָדָם וְהֶבֶל, אָמַר וַדַּאי בְּרָזָא עִלָּאָה דַהֲוִינָא מִשְׁתַּדְּלִין, הֲוִיתוּן אַתּוּן מִשְׁתַּדְּלִין.</w:t>
      </w:r>
    </w:p>
    <w:p w:rsidR="0020255E" w:rsidRDefault="0020255E" w:rsidP="0020255E">
      <w:pPr>
        <w:pStyle w:val="NormalWeb"/>
        <w:rPr>
          <w:rtl/>
        </w:rPr>
      </w:pPr>
      <w:r>
        <w:rPr>
          <w:rtl/>
        </w:rPr>
        <w:t xml:space="preserve">פָּתַח כְּמִלְּקַדְמִין וְאָמַר </w:t>
      </w:r>
      <w:r>
        <w:rPr>
          <w:b w:val="0"/>
          <w:sz w:val="20"/>
          <w:szCs w:val="23"/>
          <w:rtl/>
        </w:rPr>
        <w:t>(קהלת ח יד)</w:t>
      </w:r>
      <w:r>
        <w:rPr>
          <w:rtl/>
        </w:rPr>
        <w:t xml:space="preserve"> יֶשׁ הֶבֶל אֲשֶׁר נַעֲשָׂה עַל הָאָרֶץ וכו', דָּא אָדָם וְהֶבֶל, בְּמַחֲשָׁבָה וּבְמַעֲשֶׂה חָאבוּ, כְּמָה דְאוּקִימְנָא לְעֵילָא, וּמַאי נִיהוּ מַחֲשָׁבָה וּמַעֲשֶׂה, אַבָּא וְאִימָא חָכְמָה וּבִינָה עֲלַיְהוּ אִתְּמַר </w:t>
      </w:r>
      <w:r>
        <w:rPr>
          <w:b w:val="0"/>
          <w:sz w:val="20"/>
          <w:szCs w:val="23"/>
          <w:rtl/>
        </w:rPr>
        <w:t xml:space="preserve">(תהלים קד כד) </w:t>
      </w:r>
      <w:r>
        <w:rPr>
          <w:rtl/>
        </w:rPr>
        <w:t xml:space="preserve">כֻּלָּם בְּחָכְמָה עָשִׂיתָ, </w:t>
      </w:r>
      <w:r>
        <w:rPr>
          <w:rStyle w:val="a7"/>
          <w:rtl/>
        </w:rPr>
        <w:footnoteReference w:id="4896"/>
      </w:r>
      <w:r>
        <w:rPr>
          <w:rtl/>
        </w:rPr>
        <w:t xml:space="preserve">הֲרֵי עֲשִׂיָּה בְּגִין דְּתַמָּן כֹּחַ מָה, דָּא חָכְמָה דְאִתְפַּלֵּג לִתְרֵין סִטְרִין, מָ''ה אִיהוּ אָדָם, חָשֵׁב מָ''ה וְתִשְׁכַּח דְּאִיהוּ אָדָם, וְדָא הוּא מַחֲשָׁבָה, בִּינָה, תַּמָּן י''ה אַבָּא וְאִמָּא, וּבֵן בְּגַוַּיְיהוּ </w:t>
      </w:r>
      <w:r>
        <w:rPr>
          <w:rStyle w:val="a7"/>
          <w:rtl/>
        </w:rPr>
        <w:footnoteReference w:id="4897"/>
      </w:r>
      <w:r>
        <w:rPr>
          <w:rtl/>
        </w:rPr>
        <w:t xml:space="preserve">עַמּוּד דְּסָמִיךְ לוֹן, הַהוּא דְאִתְּמַר בֵּיהּ </w:t>
      </w:r>
      <w:r>
        <w:rPr>
          <w:b w:val="0"/>
          <w:sz w:val="20"/>
          <w:szCs w:val="23"/>
          <w:rtl/>
        </w:rPr>
        <w:t xml:space="preserve">(בראשית ו ג) </w:t>
      </w:r>
      <w:r>
        <w:rPr>
          <w:rtl/>
        </w:rPr>
        <w:t xml:space="preserve">בְּשַׁגַּם הוּא בָשָׂר, בְּשַׁגַּם זֶה הֶבֶל, דְּאִיהוּ משֶׁה, מִתַּמָּן הֲוָה, וְהָכִי אוֹקְמוּהוּ קַדְמָאִין בְּשַׁגַּם זֶה משֶׁה, הֶבֶל אִתְקְרִי עַל שֵׁם ב' מִן בְּרֵאשִׁית, ל' לְעֵינֵי כָּל יִשְׂרָאֵל, ה' חֲמִשָּׁה חוּמְשֵׁי תּוֹרָה דְעָתִיד לְאִתְיַיהֲבָא עַל יְדֵיהּ, וְדָא אִיהוּ הֶבֶ''ל, דְּאִתְּמַר בֵּיהּ </w:t>
      </w:r>
      <w:r>
        <w:rPr>
          <w:b w:val="0"/>
          <w:sz w:val="20"/>
          <w:szCs w:val="23"/>
          <w:rtl/>
        </w:rPr>
        <w:t xml:space="preserve">(דברים ח ג) </w:t>
      </w:r>
      <w:r>
        <w:rPr>
          <w:rtl/>
        </w:rPr>
        <w:t>כִּי עַל כָּל מוֹצָא פִי יהו''ה יִחְיֶה הָאָדָם.</w:t>
      </w:r>
    </w:p>
    <w:p w:rsidR="0020255E" w:rsidRDefault="0020255E" w:rsidP="0020255E">
      <w:pPr>
        <w:pStyle w:val="aa"/>
        <w:spacing w:after="40"/>
        <w:rPr>
          <w:rtl/>
        </w:rPr>
      </w:pPr>
      <w:r>
        <w:rPr>
          <w:rtl/>
        </w:rPr>
        <w:t xml:space="preserve">[תיקוני זוהר - הגהה דף קיא ע''א] </w:t>
      </w:r>
    </w:p>
    <w:p w:rsidR="0020255E" w:rsidRDefault="0020255E" w:rsidP="0020255E">
      <w:pPr>
        <w:pStyle w:val="NormalWeb"/>
        <w:rPr>
          <w:rtl/>
        </w:rPr>
      </w:pPr>
      <w:r>
        <w:rPr>
          <w:rtl/>
        </w:rPr>
        <w:t xml:space="preserve">וְאִית הֶבֶל דְּסִטְרָא אָחֳרָא דְאִתְּמַר בֵּיהּ </w:t>
      </w:r>
      <w:r>
        <w:rPr>
          <w:b w:val="0"/>
          <w:sz w:val="20"/>
          <w:szCs w:val="23"/>
          <w:rtl/>
        </w:rPr>
        <w:t xml:space="preserve">(ירמיהו י טו) </w:t>
      </w:r>
      <w:r>
        <w:rPr>
          <w:rtl/>
        </w:rPr>
        <w:t xml:space="preserve">הֶבֶל הֵמָּה מַעֲשֵׂה תַּעְתּוּעִים, וְדָא הוּא הֶבֶל דְּנַבְלוּת הַפֶּה וּפִתְגָּמִין בְּטֵלִין דְּלֵית בְּהוּ תּוֹעֶלֶת כְּלָל, וּבְגִין דָּא </w:t>
      </w:r>
      <w:r>
        <w:rPr>
          <w:b w:val="0"/>
          <w:sz w:val="20"/>
          <w:szCs w:val="23"/>
          <w:rtl/>
        </w:rPr>
        <w:t>(קהלת ח יד)</w:t>
      </w:r>
      <w:r>
        <w:rPr>
          <w:rtl/>
        </w:rPr>
        <w:t xml:space="preserve"> יֶשׁ הֶבֶל כו' שֶׁמַּגִּיעַ אֲלֵיהֶם כְּמַעֲשֵׂה הָרְשָׁעִים וְיֵשׁ הֶבֶל אֲשֶׁר מַגִּיעַ אֲלֵיהֶם כְּמַעֲשֵׂה הַצַּדִּיקִים, מַאי הָרְשָׁעִים דָּא סמא''ל וְנָחָשׁ </w:t>
      </w:r>
      <w:r>
        <w:rPr>
          <w:rStyle w:val="a7"/>
          <w:rtl/>
        </w:rPr>
        <w:footnoteReference w:id="4898"/>
      </w:r>
      <w:r>
        <w:rPr>
          <w:rtl/>
        </w:rPr>
        <w:t xml:space="preserve">ש דְּמשֶׁה אִיהִי תְּלַת עַנְפִין </w:t>
      </w:r>
      <w:r>
        <w:rPr>
          <w:sz w:val="20"/>
          <w:szCs w:val="23"/>
          <w:rtl/>
        </w:rPr>
        <w:t xml:space="preserve">(הגהה דף קיא ע''א) </w:t>
      </w:r>
      <w:r>
        <w:rPr>
          <w:rtl/>
        </w:rPr>
        <w:t xml:space="preserve">דִּשְׁרָשָׁא דְאִילָנָא וְדָא ש מִן שֵׁת, מ''ה מִן משֶׁה דָא אָדָם, דְּאִיהוּ בְּדִיּוֹקְנָא דְאָדָם דִּלְעֵילָא, וְדָא אִיהוּ </w:t>
      </w:r>
      <w:r>
        <w:rPr>
          <w:b w:val="0"/>
          <w:sz w:val="20"/>
          <w:szCs w:val="23"/>
          <w:rtl/>
        </w:rPr>
        <w:t>(משלי ל ד)</w:t>
      </w:r>
      <w:r>
        <w:rPr>
          <w:rtl/>
        </w:rPr>
        <w:t xml:space="preserve"> מַה שְּׁמוֹ וּמַה שֶּׁם בְּנוֹ, וְהַאי מ''ה - </w:t>
      </w:r>
      <w:r>
        <w:rPr>
          <w:b w:val="0"/>
          <w:sz w:val="20"/>
          <w:szCs w:val="23"/>
          <w:rtl/>
        </w:rPr>
        <w:t>(תהלים יט ח)</w:t>
      </w:r>
      <w:r>
        <w:rPr>
          <w:rtl/>
        </w:rPr>
        <w:t xml:space="preserve"> תּוֹרַת יהו''ה תְּמִימָה, ה' - חֲמִשָּׁה חוּמְשֵׁי תּוֹרָה, דְאִתְיְיהִיבוּ לֵיהּ בְּאַרְבְּעִין יוֹמִין וְאַרְבְּעִין לֵילְוָון דְּלֶחֶם לֹא אָכַל וּמַיִם לֹא שָׁתָה.</w:t>
      </w:r>
    </w:p>
    <w:p w:rsidR="0020255E" w:rsidRDefault="0020255E" w:rsidP="0020255E">
      <w:pPr>
        <w:pStyle w:val="NormalWeb"/>
        <w:rPr>
          <w:rtl/>
        </w:rPr>
      </w:pPr>
      <w:r>
        <w:rPr>
          <w:rStyle w:val="a7"/>
          <w:rtl/>
        </w:rPr>
        <w:footnoteReference w:id="4899"/>
      </w:r>
      <w:r>
        <w:rPr>
          <w:rtl/>
        </w:rPr>
        <w:t xml:space="preserve">וּבְגִין דְּעָקַר ש דְּאִיהִי שְׁרָשָׁא דְאִילָנָא מֵאַתְרָה, וְאִתְעֲבִידַת תְּלַת עַנְפִין דְּאִינוּן תְּלַת זַיְינִין כְּגַוְונָא דָא ש, דְּזְרַע דְּאִיהוּ יוֹרֶה כְּחֵץ, אִתְעֲבִיד ז', דִּתְלַת טִפִּין אִתְפַּשְׁטוּ וְאִתְעֲבִידוּ שַׁרְבִיטִין, </w:t>
      </w:r>
      <w:r>
        <w:rPr>
          <w:rStyle w:val="a7"/>
          <w:rtl/>
        </w:rPr>
        <w:footnoteReference w:id="4900"/>
      </w:r>
      <w:r>
        <w:rPr>
          <w:rtl/>
        </w:rPr>
        <w:t xml:space="preserve">וּבְגִין דְּאַעֲקַר לוֹן מֵאַתְרַיְיהוּ, וּמַה דַּהֲוָה שָׁרְשָׁא חֲדָא עִקְרָא חֲדָא, אִתְפַּלְגוּ לִתְלַת, הָכִי אִיהוּ אִזְדַּרִיק בִּתְלַת גִּלְגּוּלִין, חַד בְּנֹחַ, וּתְרֵין בְּשֵׁם וְיְפֶת, וּבְגִין דְּכַד אָתָא נֹחַ לָא בָעָא רַחֲמֵי עַל אִילֵּין גּוּבְרִין דְּטוֹפָנָא, אִתְבַּיַּישׁ לְבָתַר וְאָמַר </w:t>
      </w:r>
      <w:r>
        <w:rPr>
          <w:b w:val="0"/>
          <w:sz w:val="20"/>
          <w:szCs w:val="23"/>
          <w:rtl/>
        </w:rPr>
        <w:t>(שמות לב לב)</w:t>
      </w:r>
      <w:r>
        <w:rPr>
          <w:rtl/>
        </w:rPr>
        <w:t xml:space="preserve"> וְאִם אַיִן מְחֵנִי נָא מִסִּפְרְךָ אֲשֶׁר כָּתָבְתָּ, וְשֵׁם לַאו לְמַגָּנָא הֲוָה קֹבֵעַ מִדְרָשׁוֹת, וְיֶפֶת אִתְּמַר בֵּיהּ </w:t>
      </w:r>
      <w:r>
        <w:rPr>
          <w:b w:val="0"/>
          <w:sz w:val="20"/>
          <w:szCs w:val="23"/>
          <w:rtl/>
        </w:rPr>
        <w:t>(בראשית ט כז)</w:t>
      </w:r>
      <w:r>
        <w:rPr>
          <w:rtl/>
        </w:rPr>
        <w:t xml:space="preserve"> יַפְתְּ אלהי''ם לְיְפֶת וְיִשְׁכּוֹן בְּאָהֳלֵי שֵׁם, בְּאִלֵּין תְּלַת הֲוָה בָּעֵי לְאִשְׁתַּרְשָׁא בְּשָׁרְשׁוֹי, </w:t>
      </w:r>
      <w:r>
        <w:rPr>
          <w:rStyle w:val="a7"/>
          <w:rtl/>
        </w:rPr>
        <w:footnoteReference w:id="4901"/>
      </w:r>
      <w:r>
        <w:rPr>
          <w:rtl/>
        </w:rPr>
        <w:t>חָמָא דְלָא אַצְלַח, אַעֲקַר לֵיהּ מִתַּמָּן וְנָטַע לֵיהּ לְבָתַר יְחִידָאָה.</w:t>
      </w:r>
    </w:p>
    <w:p w:rsidR="0020255E" w:rsidRDefault="0020255E" w:rsidP="0020255E">
      <w:pPr>
        <w:pStyle w:val="NormalWeb"/>
        <w:rPr>
          <w:rtl/>
        </w:rPr>
      </w:pPr>
      <w:r>
        <w:rPr>
          <w:rtl/>
        </w:rPr>
        <w:t xml:space="preserve">אֲבָל אָדָם אִתְנַטַע בִּתְלַת אֲבָהָן, וְאִצְטַרִיף וְאִתְלַבַּן בְּהוֹן וְאִשְׁתַּרַשׁ בְּשָׁרְשׁוֹי וְאַצְלַח, </w:t>
      </w:r>
      <w:r>
        <w:rPr>
          <w:rStyle w:val="a7"/>
          <w:rtl/>
        </w:rPr>
        <w:footnoteReference w:id="4902"/>
      </w:r>
      <w:r>
        <w:rPr>
          <w:rtl/>
        </w:rPr>
        <w:t xml:space="preserve">מִיַּד אָתָא משֶׁה דְאִיהוּ בְּרֵיהּ, וְיָהֵיב קוּדְשָׁא בְּרִיךְ הוּא אוֹרַיְיתָא עַל יְדוֹי, לְאַשְׁקָאָה אִילָנָא לְאִתְגַּדְלָא בְּשָׁרְשׁוֹי וְעַנְפּוֹי, בְּהַהוּא זִמְנָא אִתְתַּקַּן אִילָנָא דְעָקַר, חוֹבָא דְחָאב בְּאִילָנָא הָכָא תַּקִּין כֹּלָּא, </w:t>
      </w:r>
      <w:r>
        <w:rPr>
          <w:rStyle w:val="a7"/>
          <w:rtl/>
        </w:rPr>
        <w:footnoteReference w:id="4903"/>
      </w:r>
      <w:r>
        <w:rPr>
          <w:rtl/>
        </w:rPr>
        <w:t xml:space="preserve">לְבָתַר דְּאִתְכַּנִּישׁ משֶׁה מֵעָלְמָא אִתְּמַר בֵּיהּ </w:t>
      </w:r>
      <w:r>
        <w:rPr>
          <w:b w:val="0"/>
          <w:sz w:val="20"/>
          <w:szCs w:val="23"/>
          <w:rtl/>
        </w:rPr>
        <w:t>(קהלת א ה)</w:t>
      </w:r>
      <w:r>
        <w:rPr>
          <w:rtl/>
        </w:rPr>
        <w:t xml:space="preserve"> וְזָרַח הַשֶּׁמֶשׁ וּבָא הַשָּׁמֶשׁ, וְאִתְּמַר בֵּיהּ </w:t>
      </w:r>
      <w:r>
        <w:rPr>
          <w:b w:val="0"/>
          <w:sz w:val="20"/>
          <w:szCs w:val="23"/>
          <w:rtl/>
        </w:rPr>
        <w:t>(שם ו)</w:t>
      </w:r>
      <w:r>
        <w:rPr>
          <w:rtl/>
        </w:rPr>
        <w:t xml:space="preserve"> הוֹלֵךְ אֶל דָּרוֹם וְסוֹבֵב אֶל צָפוֹן סוֹבֵב סוֹבֵב הוֹלֵךְ הָרוּחַ, תְּלַת זִמְנִין סוֹבֵב לָקֳבֵל תְּלַת גִּלְגּוּלִין דְּרוּחֵיהּ אַסְחִיר תַּמָּן, </w:t>
      </w:r>
      <w:r>
        <w:rPr>
          <w:rStyle w:val="a7"/>
          <w:rtl/>
        </w:rPr>
        <w:footnoteReference w:id="4904"/>
      </w:r>
      <w:r>
        <w:rPr>
          <w:rtl/>
        </w:rPr>
        <w:t xml:space="preserve">מִיַּד דְּאַשְׁכַּח תַּמָּן לְשַׁרְיָא, מַה כְּתִיב </w:t>
      </w:r>
      <w:r>
        <w:rPr>
          <w:b w:val="0"/>
          <w:sz w:val="20"/>
          <w:szCs w:val="23"/>
          <w:rtl/>
        </w:rPr>
        <w:t>(שם)</w:t>
      </w:r>
      <w:r>
        <w:rPr>
          <w:rtl/>
        </w:rPr>
        <w:t xml:space="preserve"> וְעַל סְבִיבוֹתָיו שָׁב הָרוּחַ.</w:t>
      </w:r>
    </w:p>
    <w:p w:rsidR="0020255E" w:rsidRDefault="0020255E" w:rsidP="0020255E">
      <w:pPr>
        <w:pStyle w:val="aa"/>
        <w:spacing w:after="40"/>
        <w:rPr>
          <w:rtl/>
        </w:rPr>
      </w:pPr>
      <w:r>
        <w:rPr>
          <w:rtl/>
        </w:rPr>
        <w:t xml:space="preserve">[תיקוני זוהר - הגהה דף קיא ע''ב] </w:t>
      </w:r>
    </w:p>
    <w:p w:rsidR="0020255E" w:rsidRDefault="0020255E" w:rsidP="0020255E">
      <w:pPr>
        <w:pStyle w:val="NormalWeb"/>
        <w:rPr>
          <w:rtl/>
        </w:rPr>
      </w:pPr>
      <w:r>
        <w:rPr>
          <w:rStyle w:val="a7"/>
          <w:rtl/>
        </w:rPr>
        <w:footnoteReference w:id="4905"/>
      </w:r>
      <w:r>
        <w:rPr>
          <w:rtl/>
        </w:rPr>
        <w:t xml:space="preserve">אָמַר לֵיהּ רַבִּי אֶלְעָזָר אִשְׁתְּמוֹדָע הָכָא רָזָא עִלָּאָה, מֵרוּחָא דְקוּדְשָׁא דִלְעֵילָא דְאִיהוּ בֶּן י''ה, דְּאַסְחַר לִימִינָא וּשְׂמָאלָא וְעַמּוּדָא דְאֶמְצָעִיתָא וּלְבָתַר לִתְלַת תַּתָּאִין דְּאִינוּן צַדִּיק וּתְרֵי סַמְכֵי קְשׁוֹט, </w:t>
      </w:r>
      <w:r>
        <w:rPr>
          <w:rStyle w:val="a7"/>
          <w:rtl/>
        </w:rPr>
        <w:footnoteReference w:id="4906"/>
      </w:r>
      <w:r>
        <w:rPr>
          <w:rtl/>
        </w:rPr>
        <w:t xml:space="preserve">וְהָכִי אָדָם עִלָּאָה אוּף הָכִי בְּשִׁית סִטְרִין, וְדָא רָזָא דִבְּרֵאשִׁית, בָּרָא שִׁית </w:t>
      </w:r>
      <w:r>
        <w:rPr>
          <w:sz w:val="20"/>
          <w:szCs w:val="23"/>
          <w:rtl/>
        </w:rPr>
        <w:t xml:space="preserve">(הגהה דף קיא ע''ב) </w:t>
      </w:r>
      <w:r>
        <w:rPr>
          <w:rtl/>
        </w:rPr>
        <w:t xml:space="preserve">לְעֵילָא, בָּרָא שִׁית לְתַתָּא, י' דְּפָרַח מִן שֵׁת אִיהוּ י' דְּיַעֲקֹב, דְּפָרַח י' מִינֵיהּ וְאִשְׁתָּאַר עָקֵב, וְדָא אִיהוּ רָזָא </w:t>
      </w:r>
      <w:r>
        <w:rPr>
          <w:b w:val="0"/>
          <w:sz w:val="20"/>
          <w:szCs w:val="23"/>
          <w:rtl/>
        </w:rPr>
        <w:t>(בראשית ג טו)</w:t>
      </w:r>
      <w:r>
        <w:rPr>
          <w:rtl/>
        </w:rPr>
        <w:t xml:space="preserve"> דְהוּא יְשׁוּפְךָ רֹאשׁ וְאַתָּה תְּשׁוּפֶנּוּ עָקֵב, </w:t>
      </w:r>
      <w:r>
        <w:rPr>
          <w:rStyle w:val="a7"/>
          <w:rtl/>
        </w:rPr>
        <w:footnoteReference w:id="4907"/>
      </w:r>
      <w:r>
        <w:rPr>
          <w:rtl/>
        </w:rPr>
        <w:t xml:space="preserve">וּבְגִין דָּא כַּד פָּרַח י' מִן שֵׁת מַה כְּתִיב בֵּיהּ </w:t>
      </w:r>
      <w:r>
        <w:rPr>
          <w:b w:val="0"/>
          <w:sz w:val="20"/>
          <w:szCs w:val="23"/>
          <w:rtl/>
        </w:rPr>
        <w:t>(בראשית ד כה)</w:t>
      </w:r>
      <w:r>
        <w:rPr>
          <w:rtl/>
        </w:rPr>
        <w:t xml:space="preserve"> כִּי שָׁת לִי אלהי''ם זְרַע אַחֵר, אַחֵר גָּרִים דְּאִתְאֲבַד י' דְּאִיהִי זְרַע מִן שֵׁת, </w:t>
      </w:r>
      <w:r>
        <w:rPr>
          <w:rStyle w:val="a7"/>
          <w:rtl/>
        </w:rPr>
        <w:footnoteReference w:id="4908"/>
      </w:r>
      <w:r>
        <w:rPr>
          <w:rtl/>
        </w:rPr>
        <w:t xml:space="preserve">וְרָזָא דְשֵׁת </w:t>
      </w:r>
      <w:r>
        <w:rPr>
          <w:b w:val="0"/>
          <w:sz w:val="20"/>
          <w:szCs w:val="23"/>
          <w:rtl/>
        </w:rPr>
        <w:t>(תהלים ח ז)</w:t>
      </w:r>
      <w:r>
        <w:rPr>
          <w:rtl/>
        </w:rPr>
        <w:t xml:space="preserve"> כֹּל שַׁתָּה תַחַת רַגְלָיו, כֹּל וַדַּאי דְאִיהוּ זְרַע אוֹת בְּרִית קֹדֶשׁ, </w:t>
      </w:r>
      <w:r>
        <w:rPr>
          <w:rStyle w:val="a7"/>
          <w:rtl/>
        </w:rPr>
        <w:footnoteReference w:id="4909"/>
      </w:r>
      <w:r>
        <w:rPr>
          <w:rtl/>
        </w:rPr>
        <w:t xml:space="preserve">בְּהַהוּא זִמְנָא אָתָא משֶׁה בִּתְרֵין לוּחִין דְּאִינוּן ב' מִן בְּרֵאשִׁית וְכַסִּי עַל שֵׁת וְאִתְעֲבִיד בּשֵׁת, וּבְאָן אֲתַר כַּסִּי ב' עַל שֵׁת בְּזִמְנָא דְאָמַר </w:t>
      </w:r>
      <w:r>
        <w:rPr>
          <w:b w:val="0"/>
          <w:sz w:val="20"/>
          <w:szCs w:val="23"/>
          <w:rtl/>
        </w:rPr>
        <w:t>(שמות ג ו)</w:t>
      </w:r>
      <w:r>
        <w:rPr>
          <w:rtl/>
        </w:rPr>
        <w:t xml:space="preserve"> וַיַּסְתֵּר משֶׁה פָּנָיו, וְאָת י' אִיהִי תְמוּנַת יהו''ה, בִּשְׂכַר וַיַּסְתֵּר משֶׁה פָּנָיו כִּי יָרֵא מֵהַבִּיט, </w:t>
      </w:r>
      <w:r>
        <w:rPr>
          <w:b w:val="0"/>
          <w:sz w:val="20"/>
          <w:szCs w:val="23"/>
          <w:rtl/>
        </w:rPr>
        <w:t>(במדבר יב ח)</w:t>
      </w:r>
      <w:r>
        <w:rPr>
          <w:rtl/>
        </w:rPr>
        <w:t xml:space="preserve"> וּתְמוּנַת יהו''ה יַבִּיט, </w:t>
      </w:r>
      <w:r>
        <w:rPr>
          <w:rStyle w:val="a7"/>
          <w:rtl/>
        </w:rPr>
        <w:footnoteReference w:id="4910"/>
      </w:r>
      <w:r>
        <w:rPr>
          <w:rtl/>
        </w:rPr>
        <w:t>וְאִשְׁתַּלִּים שֵׁת.</w:t>
      </w:r>
    </w:p>
    <w:p w:rsidR="0020255E" w:rsidRDefault="0020255E" w:rsidP="0020255E">
      <w:pPr>
        <w:pStyle w:val="aa"/>
        <w:spacing w:after="40"/>
        <w:rPr>
          <w:rtl/>
        </w:rPr>
      </w:pPr>
      <w:r>
        <w:rPr>
          <w:rtl/>
        </w:rPr>
        <w:t xml:space="preserve">[תיקוני זוהר - הגהה דף קיב ע''א] </w:t>
      </w:r>
    </w:p>
    <w:p w:rsidR="0020255E" w:rsidRDefault="0020255E" w:rsidP="0020255E">
      <w:pPr>
        <w:pStyle w:val="NormalWeb"/>
        <w:rPr>
          <w:rtl/>
        </w:rPr>
      </w:pPr>
      <w:r>
        <w:rPr>
          <w:rtl/>
        </w:rPr>
        <w:t xml:space="preserve">וְהַיְינוּ בְּרֵאשִׁית, בָּרָא אִשְׁתַּלִּים בְּשִׁית, שֵׁת סִיּוּמָא דְאַלְפָא בֵּיתָא, אַב רֵישָׁא דְאַלְפָא בֵּיתָא, וְדָא הוּא רָזָא דְאַ''תְּ בַּ''שׁ, הָכָא אִתְתַּקַּן אָב עִם בֵּן תַּרְוַיְיהוּ דָא עַל גַּב דָּא, בְּכָל אֲתַר דְּאַזְלוּ לָא אִתְפָּרְשׁוּ דָא מִן דָּא, בְּרֵאשִׁית תַּמָּן אַ''תּ בַּ''שׁ, אַ''ב שֵׁ''ת, אִשְׁתָּאַר ר' י' מִן בְּרֵאשִׁית, עֲלֵיהּ אִתְּמַר </w:t>
      </w:r>
      <w:r>
        <w:rPr>
          <w:b w:val="0"/>
          <w:sz w:val="20"/>
          <w:szCs w:val="23"/>
          <w:rtl/>
        </w:rPr>
        <w:t>(דברים לג כא)</w:t>
      </w:r>
      <w:r>
        <w:rPr>
          <w:rtl/>
        </w:rPr>
        <w:t xml:space="preserve"> וַיַּרְא רֵאשִׁית לוֹ, דְּאִיהוּ </w:t>
      </w:r>
      <w:r>
        <w:rPr>
          <w:b w:val="0"/>
          <w:sz w:val="20"/>
          <w:szCs w:val="23"/>
          <w:rtl/>
        </w:rPr>
        <w:t>(תהלים קיא י)</w:t>
      </w:r>
      <w:r>
        <w:rPr>
          <w:rtl/>
        </w:rPr>
        <w:t xml:space="preserve"> רֵאשִׁית חָכְמָה יִרְאַת יהו''ה, וּבְגִין דָא בֵּן וְאַב, וַיַּרְא רֵאשִׁית לוֹ, </w:t>
      </w:r>
      <w:r>
        <w:rPr>
          <w:rStyle w:val="a7"/>
          <w:rtl/>
        </w:rPr>
        <w:footnoteReference w:id="4911"/>
      </w:r>
      <w:r>
        <w:rPr>
          <w:rtl/>
        </w:rPr>
        <w:t xml:space="preserve">מִתַּמָּן יָרִית לוֹ נִשְׁמָתָא וְאִתְקְרִי רֵאשִׁית לוֹ כִּשְׁמֵיהּ, וְאִתְקְרִי אָדָם כִּשְׁמֵיהּ. </w:t>
      </w:r>
      <w:r>
        <w:rPr>
          <w:rStyle w:val="a7"/>
          <w:rtl/>
        </w:rPr>
        <w:footnoteReference w:id="4912"/>
      </w:r>
      <w:r>
        <w:rPr>
          <w:rtl/>
        </w:rPr>
        <w:t xml:space="preserve">בִּתְלַת אֲבָהָן דְּאִינוּן ש אָתָא אָדָם, וּבְמשֶׁה כָּלִיל כֹּלָּא, וּבְגִין דָּא ש מִן משֶׁה לִקְבֵל תְלַת אֲבָהָן, מ''ה דִילֵיהּ כְּגַוְונָא דְאָדָם קַדְמָאָה, מַרְכְּבָתָא שְׁלֵימָתָא הֲוַת בְּמשֶׁה בִּלְחוּדוֹי, כְּמָה דַהֲוָה בִּתְלַת אֲבָהָן, וְאָדָם עִלָּאָה הֲוָה בְּמשֶׁה, תְּלַת עַנְפִין דְש אַרְיִה שׁוֹר נֶשֶׁר, מַ''ה </w:t>
      </w:r>
      <w:r>
        <w:rPr>
          <w:b w:val="0"/>
          <w:sz w:val="20"/>
          <w:szCs w:val="23"/>
          <w:rtl/>
        </w:rPr>
        <w:t>(יחזקאל א י)</w:t>
      </w:r>
      <w:r>
        <w:rPr>
          <w:rtl/>
        </w:rPr>
        <w:t xml:space="preserve"> וּדְמוּת פְּנֵיהֶם פְּנֵי אָדָם, וְאִתְּמַר בֵּיהּ </w:t>
      </w:r>
      <w:r>
        <w:rPr>
          <w:b w:val="0"/>
          <w:sz w:val="20"/>
          <w:szCs w:val="23"/>
          <w:rtl/>
        </w:rPr>
        <w:t>(שמות ג ד)</w:t>
      </w:r>
      <w:r>
        <w:rPr>
          <w:rtl/>
        </w:rPr>
        <w:t xml:space="preserve"> </w:t>
      </w:r>
      <w:r>
        <w:rPr>
          <w:rStyle w:val="a7"/>
          <w:rtl/>
        </w:rPr>
        <w:footnoteReference w:id="4913"/>
      </w:r>
      <w:r>
        <w:rPr>
          <w:rtl/>
        </w:rPr>
        <w:t xml:space="preserve">משֶׁה משֶׁה תְּרֵין זִמְנִין לְקַיְימָא בֵּיהּ </w:t>
      </w:r>
      <w:r>
        <w:rPr>
          <w:b w:val="0"/>
          <w:sz w:val="20"/>
          <w:szCs w:val="23"/>
          <w:rtl/>
        </w:rPr>
        <w:t>(קהלת א ט)</w:t>
      </w:r>
      <w:r>
        <w:rPr>
          <w:rtl/>
        </w:rPr>
        <w:t xml:space="preserve"> מַה שֶּׁהָיָה הוּא שֶׁיִּהְיֶה, </w:t>
      </w:r>
      <w:r>
        <w:rPr>
          <w:b w:val="0"/>
          <w:sz w:val="20"/>
          <w:szCs w:val="23"/>
          <w:rtl/>
        </w:rPr>
        <w:t>(קהלת ג טו)</w:t>
      </w:r>
      <w:r>
        <w:rPr>
          <w:rtl/>
        </w:rPr>
        <w:t xml:space="preserve"> וַאֲשֶׁר לִהְיוֹת כְּבָר הָיָה, דָא אָדָם הָרִאשׁוֹן, אִשְׁתַּטְחוּ כֻּלְּהוּ קַמֵּיהּ וְאָמְרוּ זַכָּאָה חוּלְקָנָא דְאַעֲרַעְנָא בָּךְ לְמִנְדַּע רָזִין עִלָּאִין טְמִירִין דְּעַתִּיק יוֹמִין.</w:t>
      </w:r>
    </w:p>
    <w:p w:rsidR="0020255E" w:rsidRDefault="0020255E" w:rsidP="0020255E">
      <w:pPr>
        <w:pStyle w:val="NormalWeb"/>
        <w:rPr>
          <w:rtl/>
        </w:rPr>
      </w:pPr>
      <w:r>
        <w:rPr>
          <w:rStyle w:val="a7"/>
          <w:rtl/>
        </w:rPr>
        <w:footnoteReference w:id="4914"/>
      </w:r>
      <w:r>
        <w:rPr>
          <w:rtl/>
        </w:rPr>
        <w:t xml:space="preserve">אָמַר רַבִּי אֶלְעָזָר אִשְׁתַּמוֹדָע מֵהָכָא דְמשֶׁה מֵאַתְווֹי מַשְׁמַע דְּאִיהוּ הֶבֶל וְאִיהוּ שֵׁת וְאִיהוּ משֶׁה, וְאִתְפַּשְׁטוּתֵיהּ דְּמשֶׁה בְּכָל דָּרָא וְדָרָא </w:t>
      </w:r>
      <w:r>
        <w:rPr>
          <w:sz w:val="20"/>
          <w:szCs w:val="23"/>
          <w:rtl/>
        </w:rPr>
        <w:t xml:space="preserve">(הגהה דף קיב ע''א) </w:t>
      </w:r>
      <w:r>
        <w:rPr>
          <w:rtl/>
        </w:rPr>
        <w:t xml:space="preserve">וּבְכָל צַדִּיק וְצַדִּיק, וְאִיהוּ אָזִיל </w:t>
      </w:r>
      <w:r>
        <w:rPr>
          <w:rStyle w:val="a7"/>
          <w:rtl/>
        </w:rPr>
        <w:footnoteReference w:id="4915"/>
      </w:r>
      <w:r>
        <w:rPr>
          <w:rtl/>
        </w:rPr>
        <w:t xml:space="preserve">בִּתְלַת תְּלַת, וּבְכָל תְּלַת דְאִיהוּ רָכִיב אִתְּמַר בְּהוֹן </w:t>
      </w:r>
      <w:r>
        <w:rPr>
          <w:b w:val="0"/>
          <w:sz w:val="20"/>
          <w:szCs w:val="23"/>
          <w:rtl/>
        </w:rPr>
        <w:t>(ישעיהו נט כא)</w:t>
      </w:r>
      <w:r>
        <w:rPr>
          <w:rtl/>
        </w:rPr>
        <w:t xml:space="preserve"> לֹא יָמוּשׁוּ מִפִּיךָ וּמִפִּי זַרְעֲךָ וּמִפִּי זְרַע זַרְעֲךָ, מֵהָכָא אִשְׁתְּמוֹדָע דְּאִיהוּ לָא אִשְׁתַּכַּח אֶלָּא בַּאֲתַר דְּאִית בֵּיהּ אוֹרַיְיתָא, וּבְגִין דָּא </w:t>
      </w:r>
      <w:r>
        <w:rPr>
          <w:b w:val="0"/>
          <w:sz w:val="20"/>
          <w:szCs w:val="23"/>
          <w:rtl/>
        </w:rPr>
        <w:t>(מלאכי ג כב)</w:t>
      </w:r>
      <w:r>
        <w:rPr>
          <w:rtl/>
        </w:rPr>
        <w:t xml:space="preserve"> זִכְרוּ תּוֹרַת משֶׁה עַבְדִּי.</w:t>
      </w:r>
    </w:p>
    <w:p w:rsidR="0020255E" w:rsidRDefault="0020255E" w:rsidP="0020255E">
      <w:pPr>
        <w:pStyle w:val="NormalWeb"/>
        <w:rPr>
          <w:b w:val="0"/>
          <w:bCs w:val="0"/>
          <w:rtl/>
        </w:rPr>
      </w:pPr>
      <w:r>
        <w:rPr>
          <w:rtl/>
        </w:rPr>
        <w:t xml:space="preserve">אָמַר לֵיהּ רַבִּי יְהוּדָה אִתְפַּשְׁטוּתָא דִילֵיהּ בִּבְנֵי נָשָׁא אִית לֵיהּ שִׁעוּרָא, </w:t>
      </w:r>
      <w:r>
        <w:rPr>
          <w:rStyle w:val="a7"/>
          <w:rtl/>
        </w:rPr>
        <w:footnoteReference w:id="4916"/>
      </w:r>
      <w:r>
        <w:rPr>
          <w:rtl/>
        </w:rPr>
        <w:t xml:space="preserve">אָמַר לֵיהּ אִין, עַד שִׁתִּין רִבּוֹא, וְרָזָא דְמִלָּה </w:t>
      </w:r>
      <w:r>
        <w:rPr>
          <w:b w:val="0"/>
          <w:sz w:val="20"/>
          <w:szCs w:val="23"/>
          <w:rtl/>
        </w:rPr>
        <w:t>(קהלת א ד)</w:t>
      </w:r>
      <w:r>
        <w:rPr>
          <w:rtl/>
        </w:rPr>
        <w:t xml:space="preserve"> דּוֹר הוֹלֵךְ וְדוֹר בָּא, וְאוֹקְמוּהָ קַדְמָאִין דְּלֵית דּוֹר פָּחוֹת מִשִּׁשִּׁים רִבּוֹא, וּבְגִין דָּא אִתְּמַר בֵּיהּ אִשָּׁה אַחַת יָלְדָה בְּמִצְרַיִם שִׁשִּׁים רִבּוֹא בְּכֶרֶס אֶחָד, וּמַנּוּ דָא משֶׁה דְאִיהוּ שָׁקוּל כְּשִׁשִּׁים רִבּוֹא מִיִּשְׂרָאֵל, אָמַר לֵיהּ רַבִּי שִׁמְעוֹן בְּרִיךְ בְּרִי לְעַתִּיק יוֹמִין:</w:t>
      </w:r>
      <w:r>
        <w:rPr>
          <w:b w:val="0"/>
          <w:bCs w:val="0"/>
          <w:rtl/>
        </w:rPr>
        <w:t xml:space="preserve"> </w:t>
      </w:r>
      <w:r>
        <w:rPr>
          <w:b w:val="0"/>
          <w:sz w:val="20"/>
          <w:szCs w:val="23"/>
          <w:rtl/>
        </w:rPr>
        <w:t>עד כאן ספרים אחרים.</w:t>
      </w:r>
    </w:p>
    <w:p w:rsidR="0020255E" w:rsidRDefault="0020255E" w:rsidP="0020255E">
      <w:pPr>
        <w:pStyle w:val="NormalWeb"/>
        <w:rPr>
          <w:b w:val="0"/>
          <w:bCs w:val="0"/>
          <w:rtl/>
        </w:rPr>
      </w:pPr>
      <w:r>
        <w:rPr>
          <w:rStyle w:val="a7"/>
          <w:b w:val="0"/>
          <w:bCs w:val="0"/>
          <w:rtl/>
        </w:rPr>
        <w:footnoteReference w:id="4917"/>
      </w:r>
      <w:r>
        <w:rPr>
          <w:b w:val="0"/>
          <w:bCs w:val="0"/>
          <w:rtl/>
        </w:rPr>
        <w:t>וּבְגִין דָּא שֵׁת אִיהוּ סִיּוּמָא דְאַתְוָון, וּמִינַיְיהוּ אִשְׁתְּמוֹדְעָאן רֵישָׁא דְאַתְוָון דְּאִיהוּ א''ב בְּאַ''תְּ בַּ''שׁ.</w:t>
      </w:r>
    </w:p>
    <w:p w:rsidR="0020255E" w:rsidRDefault="0020255E" w:rsidP="0020255E">
      <w:pPr>
        <w:pStyle w:val="NormalWeb"/>
        <w:rPr>
          <w:b w:val="0"/>
          <w:bCs w:val="0"/>
          <w:rtl/>
        </w:rPr>
      </w:pPr>
      <w:r>
        <w:rPr>
          <w:rStyle w:val="a7"/>
          <w:b w:val="0"/>
          <w:bCs w:val="0"/>
          <w:rtl/>
        </w:rPr>
        <w:footnoteReference w:id="4918"/>
      </w:r>
      <w:r>
        <w:rPr>
          <w:b w:val="0"/>
          <w:bCs w:val="0"/>
          <w:rtl/>
        </w:rPr>
        <w:t xml:space="preserve"> וְעוֹד שֵׁת, ש' דִּילֵיהּ אִינוּן תְּלַת עַנְפֵי אִילָנָא לְעִילָא, וְאִיהִי שֹׁרֶשׁ לְתַתָּא, וְאַחֲזֵי בְּהוֹן תְּלַת גִּלְגּוּלִין לְעִילָא וּתְלַת לְתַתָּא, ת' תִּפְאֶרֶת שָׁלוֹם, כְּלִיל שִׁית סִטְרִין, וְדָא דַרְגָּא דְמֹשֶׁה, כְּלִיל תְּלַת אֲבָהָן וּתְלַת דַּרְגִּין תְּחוֹתַיְיהוּ, וְאִינוּן גִּלְגּוּלָא דְאָדָם, שֵׁת אֱנוֹשׁ הֶבֶל, נֹחַ שֵׁם יָפֶת, וּמִשֵּׁת וְאֱנוֹשׁ אִתְיַחֲסוּ כָּל דָּרִין, הֲדָא הוּא דִכְתִיב </w:t>
      </w:r>
      <w:r>
        <w:rPr>
          <w:b w:val="0"/>
          <w:sz w:val="20"/>
          <w:szCs w:val="23"/>
          <w:rtl/>
        </w:rPr>
        <w:t>(בראשית ד כו)</w:t>
      </w:r>
      <w:r>
        <w:rPr>
          <w:b w:val="0"/>
          <w:bCs w:val="0"/>
          <w:rtl/>
        </w:rPr>
        <w:t xml:space="preserve"> אָז הוּחַל לִקְרֹא בְּשֵׁם יהו''ה, אָז הַהוּא דְאִתְּמַר בֵּיהּ </w:t>
      </w:r>
      <w:r>
        <w:rPr>
          <w:b w:val="0"/>
          <w:sz w:val="20"/>
          <w:szCs w:val="23"/>
          <w:rtl/>
        </w:rPr>
        <w:t>(שמות ב י)</w:t>
      </w:r>
      <w:r>
        <w:rPr>
          <w:b w:val="0"/>
          <w:szCs w:val="23"/>
          <w:rtl/>
        </w:rPr>
        <w:t xml:space="preserve"> </w:t>
      </w:r>
      <w:r>
        <w:rPr>
          <w:b w:val="0"/>
          <w:sz w:val="20"/>
          <w:szCs w:val="23"/>
          <w:rtl/>
        </w:rPr>
        <w:t>(כי מן המים משיתהו)</w:t>
      </w:r>
      <w:r>
        <w:rPr>
          <w:b w:val="0"/>
          <w:bCs w:val="0"/>
          <w:rtl/>
        </w:rPr>
        <w:t xml:space="preserve">, אָז הוּחַל לְמֵיתֵי בְּגִלְגּוּלָא, הַהוּא דְאִתְּמַר בֵּיהּ </w:t>
      </w:r>
      <w:r>
        <w:rPr>
          <w:b w:val="0"/>
          <w:sz w:val="20"/>
          <w:szCs w:val="23"/>
          <w:rtl/>
        </w:rPr>
        <w:t>(שם טו א)</w:t>
      </w:r>
      <w:r>
        <w:rPr>
          <w:b w:val="0"/>
          <w:bCs w:val="0"/>
          <w:rtl/>
        </w:rPr>
        <w:t xml:space="preserve"> אָז יָשִׁיר מֹשֶׁה.</w:t>
      </w:r>
    </w:p>
    <w:p w:rsidR="0020255E" w:rsidRDefault="0020255E" w:rsidP="0020255E">
      <w:pPr>
        <w:pStyle w:val="NormalWeb"/>
        <w:rPr>
          <w:b w:val="0"/>
          <w:bCs w:val="0"/>
          <w:rtl/>
        </w:rPr>
      </w:pPr>
      <w:r>
        <w:rPr>
          <w:b w:val="0"/>
          <w:bCs w:val="0"/>
          <w:rtl/>
        </w:rPr>
        <w:t xml:space="preserve">וּבְגִין דָּא שֵׁת מִתַּמָּן הוּשְׁתַּת עָלְמָא, וּבְגִין דָּא כִּי שָׁת לִי אלהי''ם זֶרַע אַחֵר תַּחַת הֶבֶל, </w:t>
      </w:r>
      <w:r>
        <w:rPr>
          <w:b w:val="0"/>
          <w:sz w:val="20"/>
          <w:szCs w:val="23"/>
          <w:rtl/>
        </w:rPr>
        <w:t>(בראשית ד כה)</w:t>
      </w:r>
      <w:r>
        <w:rPr>
          <w:b w:val="0"/>
          <w:bCs w:val="0"/>
          <w:rtl/>
        </w:rPr>
        <w:t xml:space="preserve"> דְּאִתְּמַר בֵּיהּ בְּשַׁגַּם זֶה הֶבֶל, </w:t>
      </w:r>
      <w:r>
        <w:rPr>
          <w:rStyle w:val="a7"/>
          <w:b w:val="0"/>
          <w:bCs w:val="0"/>
          <w:rtl/>
        </w:rPr>
        <w:footnoteReference w:id="4919"/>
      </w:r>
      <w:r>
        <w:rPr>
          <w:b w:val="0"/>
          <w:bCs w:val="0"/>
          <w:rtl/>
        </w:rPr>
        <w:t xml:space="preserve">וְאִיּוֹב עֲלֵיהּ אָמַר </w:t>
      </w:r>
      <w:r>
        <w:rPr>
          <w:b w:val="0"/>
          <w:sz w:val="20"/>
          <w:szCs w:val="23"/>
          <w:rtl/>
        </w:rPr>
        <w:t>(איוב לח לו)</w:t>
      </w:r>
      <w:r>
        <w:rPr>
          <w:b w:val="0"/>
          <w:bCs w:val="0"/>
          <w:rtl/>
        </w:rPr>
        <w:t xml:space="preserve"> מִי שָׁת בַּטּוּחוֹת חָכְמָה, חָכְמָה מַיִ''ם עֶלְיוֹנִים, מִתַּמָּן אִתְמַשַּׁךְ, וּבְגִין דָּא </w:t>
      </w:r>
      <w:r>
        <w:rPr>
          <w:b w:val="0"/>
          <w:sz w:val="20"/>
          <w:szCs w:val="23"/>
          <w:rtl/>
        </w:rPr>
        <w:t>(שמות ב י)</w:t>
      </w:r>
      <w:r>
        <w:rPr>
          <w:b w:val="0"/>
          <w:bCs w:val="0"/>
          <w:rtl/>
        </w:rPr>
        <w:t xml:space="preserve"> כִּי מִן הַמַּיִם מְשִׁיתִיהוּ, ש תְּלַת אֲבָהָן, וְדָא מ''ש מִן מֹשֶׁה, </w:t>
      </w:r>
      <w:r>
        <w:rPr>
          <w:rStyle w:val="a7"/>
          <w:b w:val="0"/>
          <w:bCs w:val="0"/>
          <w:rtl/>
        </w:rPr>
        <w:footnoteReference w:id="4920"/>
      </w:r>
      <w:r>
        <w:rPr>
          <w:b w:val="0"/>
          <w:bCs w:val="0"/>
          <w:rtl/>
        </w:rPr>
        <w:t>ה' שְׁכִינְתָּא הֶבֶל הַלֵב.</w:t>
      </w:r>
    </w:p>
    <w:p w:rsidR="0020255E" w:rsidRDefault="0020255E" w:rsidP="0020255E">
      <w:pPr>
        <w:pStyle w:val="aa"/>
        <w:spacing w:after="40"/>
        <w:rPr>
          <w:rtl/>
        </w:rPr>
      </w:pPr>
      <w:r>
        <w:rPr>
          <w:rtl/>
        </w:rPr>
        <w:t xml:space="preserve">[תיקוני זוהר - דף קט ע''א] </w:t>
      </w:r>
    </w:p>
    <w:p w:rsidR="0020255E" w:rsidRDefault="0020255E" w:rsidP="0020255E">
      <w:pPr>
        <w:pStyle w:val="NormalWeb"/>
        <w:rPr>
          <w:b w:val="0"/>
          <w:bCs w:val="0"/>
          <w:rtl/>
        </w:rPr>
      </w:pPr>
      <w:r>
        <w:rPr>
          <w:b w:val="0"/>
          <w:bCs w:val="0"/>
          <w:rtl/>
        </w:rPr>
        <w:t xml:space="preserve">וְכָפַל שְׁמֵיהּ תְּרֵין זִמְנִין מֹשֶׁה מֹשֶׁה </w:t>
      </w:r>
      <w:r>
        <w:rPr>
          <w:b w:val="0"/>
          <w:sz w:val="20"/>
          <w:szCs w:val="23"/>
          <w:rtl/>
        </w:rPr>
        <w:t>(שמות ג ד)</w:t>
      </w:r>
      <w:r>
        <w:rPr>
          <w:b w:val="0"/>
          <w:bCs w:val="0"/>
          <w:rtl/>
        </w:rPr>
        <w:t xml:space="preserve">, לְאַחֲדָא </w:t>
      </w:r>
      <w:r>
        <w:rPr>
          <w:b w:val="0"/>
          <w:sz w:val="20"/>
          <w:szCs w:val="23"/>
          <w:rtl/>
        </w:rPr>
        <w:t xml:space="preserve">(דף קט ע''א) </w:t>
      </w:r>
      <w:r>
        <w:rPr>
          <w:b w:val="0"/>
          <w:bCs w:val="0"/>
          <w:rtl/>
        </w:rPr>
        <w:t xml:space="preserve">בִּתְרֵין הֵהִי''ן ה' עִלָּאָה ה' תַּתָּאָה, וּלְאַחֲדָא בִּתְלַת עַנְפִין וּבִתְלַת שָׁרָשִׁין דְּאִינוּן שִׁית, </w:t>
      </w:r>
      <w:r>
        <w:rPr>
          <w:rStyle w:val="a7"/>
          <w:b w:val="0"/>
          <w:bCs w:val="0"/>
          <w:rtl/>
        </w:rPr>
        <w:footnoteReference w:id="4921"/>
      </w:r>
      <w:r>
        <w:rPr>
          <w:b w:val="0"/>
          <w:bCs w:val="0"/>
          <w:rtl/>
        </w:rPr>
        <w:t xml:space="preserve">תְּרֵי זִמְנִין מ''ה מִמֹּשֶׁה אִיהוּ אַחֲזֵי רָזָא </w:t>
      </w:r>
      <w:r>
        <w:rPr>
          <w:b w:val="0"/>
          <w:sz w:val="20"/>
          <w:szCs w:val="23"/>
          <w:rtl/>
        </w:rPr>
        <w:t>(משלי ל ד)</w:t>
      </w:r>
      <w:r>
        <w:rPr>
          <w:b w:val="0"/>
          <w:bCs w:val="0"/>
          <w:rtl/>
        </w:rPr>
        <w:t xml:space="preserve"> מַה שְּׁמוֹ וּמַה שֶּׁם בְּנוֹ, דְּבִתְלַת אֲבָהָן אִתְלַבַּשׁ מ''ה דִלְעִילָא, וּבִתְלַת דַּרְגִּין דִּלְתַתָּא מ''ה דִּלְתַתָּא, וּמֹשֶׁה כְּלִיל תַּרְוַיְיהוּ, אִיהוּ מֶרְכַּבְתָּא שְׁלֵימָתָא עִלָּאָה וְתַתָּאָה, כְּגַוְונָא דָא ש מִן מֹשֶׁה תְּלַת אֲבָהָן, דְּאִתְּמַר בָּהּ </w:t>
      </w:r>
      <w:r>
        <w:rPr>
          <w:b w:val="0"/>
          <w:sz w:val="20"/>
          <w:szCs w:val="23"/>
          <w:rtl/>
        </w:rPr>
        <w:t>(יחזקאל א י)</w:t>
      </w:r>
      <w:r>
        <w:rPr>
          <w:b w:val="0"/>
          <w:bCs w:val="0"/>
          <w:rtl/>
        </w:rPr>
        <w:t xml:space="preserve"> וּפְנֵי אַרְיֵה אֶל הַיָּמִין וּפְנֵי שׁוֹר וּפְנֵי נֶשֶׁר כו', מ''ה דְּמֹשֶׁה וּדְמוּת פְּנֵיהֶם פְּנֵי אָדָ''ם, </w:t>
      </w:r>
      <w:r>
        <w:rPr>
          <w:rStyle w:val="a7"/>
          <w:b w:val="0"/>
          <w:bCs w:val="0"/>
          <w:rtl/>
        </w:rPr>
        <w:footnoteReference w:id="4922"/>
      </w:r>
      <w:r>
        <w:rPr>
          <w:b w:val="0"/>
          <w:bCs w:val="0"/>
          <w:rtl/>
        </w:rPr>
        <w:t xml:space="preserve">וּבְגִין דְּאִיהוּ מֶרְכָּבָה לְעִילָא וְתַתָּא, אָמַר </w:t>
      </w:r>
      <w:r>
        <w:rPr>
          <w:b w:val="0"/>
          <w:sz w:val="20"/>
          <w:szCs w:val="23"/>
          <w:rtl/>
        </w:rPr>
        <w:t>(שמות ג יג)</w:t>
      </w:r>
      <w:r>
        <w:rPr>
          <w:b w:val="0"/>
          <w:bCs w:val="0"/>
          <w:rtl/>
        </w:rPr>
        <w:t xml:space="preserve"> וְאָמְרוּ לִי מַה שְּׁמוֹ מָה אֹמַר אֲלֵיהֶם.</w:t>
      </w:r>
    </w:p>
    <w:p w:rsidR="0020255E" w:rsidRDefault="0020255E" w:rsidP="0020255E">
      <w:pPr>
        <w:pStyle w:val="aa"/>
        <w:spacing w:after="40"/>
        <w:rPr>
          <w:rtl/>
        </w:rPr>
      </w:pPr>
      <w:r>
        <w:rPr>
          <w:rtl/>
        </w:rPr>
        <w:t xml:space="preserve">[תיקוני זוהר - דף קח ע''א] </w:t>
      </w:r>
    </w:p>
    <w:p w:rsidR="0020255E" w:rsidRDefault="0020255E" w:rsidP="0020255E">
      <w:pPr>
        <w:pStyle w:val="NormalWeb"/>
        <w:rPr>
          <w:b w:val="0"/>
          <w:bCs w:val="0"/>
          <w:rtl/>
        </w:rPr>
      </w:pPr>
      <w:r>
        <w:rPr>
          <w:b w:val="0"/>
          <w:sz w:val="20"/>
          <w:szCs w:val="23"/>
          <w:rtl/>
        </w:rPr>
        <w:t xml:space="preserve">(דף קח ע''א) </w:t>
      </w:r>
      <w:r>
        <w:rPr>
          <w:b w:val="0"/>
          <w:bCs w:val="0"/>
          <w:rtl/>
        </w:rPr>
        <w:t>אַדְהָכִי הָא רַבִּי יִצְחָק וְרַבִּי יוּדָאִי וְרַבִּי יְהוּדָה וּשְׁאָר חַבְרַיָּיא קָאָתוּ, אָמַר לְהוּ רַבִּי שִׁמְעוֹן בְּמַאי עַסְקִיתּוּ, אָמְרוּ לֵיהּ שְׁמַעְנָא בָּךְ וְאָתֵינָא לְגַבָּךְ, דִּשְׁאִילְנָא עֲלָךְ לְכָל חַבְרַיָּיא וְלָא אַשְׁכַּחְנָא מָאן דְּאוֹדַע לָן מִינָךְ, עַד דְּאַעְרַעְנָא בְּרַבִּי יוֹסֵי וְרַבִּי אֶלְעָאי וְרַבִּי אֶלְעָזָר דַּהֲווֹ מִתְעַסְּקִין בְּרָזָא דְהֶבֶל בְּכָל גִּלְגּוּלִין דִּילֵיהּ.</w:t>
      </w:r>
    </w:p>
    <w:p w:rsidR="0020255E" w:rsidRDefault="0020255E" w:rsidP="0020255E">
      <w:pPr>
        <w:pStyle w:val="NormalWeb"/>
        <w:rPr>
          <w:b w:val="0"/>
          <w:bCs w:val="0"/>
          <w:rtl/>
        </w:rPr>
      </w:pPr>
      <w:r>
        <w:rPr>
          <w:b w:val="0"/>
          <w:bCs w:val="0"/>
          <w:rtl/>
        </w:rPr>
        <w:t xml:space="preserve">אָמַר רַבִּי שִׁמְעוֹן וַדַּאי עוֹבָדָא דְצַדִּיקַיָּא לְעִילָא תַלְיָא, וְתַמָּן אִשְׁתְּמוֹדָע כֹּלָּא, </w:t>
      </w:r>
      <w:r>
        <w:rPr>
          <w:rStyle w:val="a7"/>
          <w:b w:val="0"/>
          <w:bCs w:val="0"/>
          <w:rtl/>
        </w:rPr>
        <w:footnoteReference w:id="4923"/>
      </w:r>
      <w:r>
        <w:rPr>
          <w:b w:val="0"/>
          <w:bCs w:val="0"/>
          <w:rtl/>
        </w:rPr>
        <w:t xml:space="preserve">וְאִתְעָרוּתָא דִלְתַתָּא גְרִים אִתְעָרוּתָא דִלְעִילָא, </w:t>
      </w:r>
      <w:r>
        <w:rPr>
          <w:rStyle w:val="a7"/>
          <w:b w:val="0"/>
          <w:bCs w:val="0"/>
          <w:rtl/>
        </w:rPr>
        <w:footnoteReference w:id="4924"/>
      </w:r>
      <w:r>
        <w:rPr>
          <w:b w:val="0"/>
          <w:bCs w:val="0"/>
          <w:rtl/>
        </w:rPr>
        <w:t>בְּוַדַּאי רָזָא דְגִלְגּוּלָא בַאֲתַר חַד אִיהוּ, וְכָל גִּלְגּוּלִים אִינוּן כְּגַוְונָא דְגַלְגַּלִּים דְּסָלְקִין וְנָחֲתִין, וְגַלְגַּל חַד אִיהוּ קָבוּעַ בְּאֶמְצָעִיתָא בֵינַיְיהוּ, וְאִיהוּ לָא מִתְנַעְנְעָא הָכָא וְהָכָא.</w:t>
      </w:r>
    </w:p>
    <w:p w:rsidR="0020255E" w:rsidRDefault="0020255E" w:rsidP="0020255E">
      <w:pPr>
        <w:pStyle w:val="aa"/>
        <w:spacing w:after="40"/>
        <w:rPr>
          <w:rtl/>
        </w:rPr>
      </w:pPr>
      <w:r>
        <w:rPr>
          <w:rtl/>
        </w:rPr>
        <w:t xml:space="preserve">[תיקוני זוהר - דף קט ע''א] </w:t>
      </w:r>
    </w:p>
    <w:p w:rsidR="0020255E" w:rsidRDefault="0020255E" w:rsidP="0020255E">
      <w:pPr>
        <w:pStyle w:val="NormalWeb"/>
        <w:rPr>
          <w:b w:val="0"/>
          <w:bCs w:val="0"/>
          <w:rtl/>
        </w:rPr>
      </w:pPr>
      <w:r>
        <w:rPr>
          <w:b w:val="0"/>
          <w:bCs w:val="0"/>
          <w:rtl/>
        </w:rPr>
        <w:t xml:space="preserve">וְרָזָא דְמִלָּה הָא אוּקְמוּהָ, </w:t>
      </w:r>
      <w:r>
        <w:rPr>
          <w:b w:val="0"/>
          <w:sz w:val="20"/>
          <w:szCs w:val="23"/>
          <w:rtl/>
        </w:rPr>
        <w:t>(קהלת א ד)</w:t>
      </w:r>
      <w:r>
        <w:rPr>
          <w:b w:val="0"/>
          <w:bCs w:val="0"/>
          <w:rtl/>
        </w:rPr>
        <w:t xml:space="preserve"> דּוֹר הֹלֵךְ וְדוֹר בָּא וְהָאָרֶץ לְעוֹלָם עֹמָדֶת, דְּאִיהִי קְבִיעָא בֵינַיְיהוּ (כְּגַוְונָא דָא, נֶפֶשׁ אִיהִי בִקְבִיעוּ דְגוּפָא, וְרוּחָא סָלְקָא וְנָחְתָא בְגוּפָא וּמִתְפַּשְׁטָא בְכָל וָרִידֵי דְלִבָּא, </w:t>
      </w:r>
      <w:r>
        <w:rPr>
          <w:b w:val="0"/>
          <w:sz w:val="20"/>
          <w:szCs w:val="23"/>
          <w:rtl/>
        </w:rPr>
        <w:t xml:space="preserve">(דף קט ע''א) </w:t>
      </w:r>
      <w:r>
        <w:rPr>
          <w:rStyle w:val="a7"/>
          <w:b w:val="0"/>
          <w:bCs w:val="0"/>
          <w:rtl/>
        </w:rPr>
        <w:footnoteReference w:id="4925"/>
      </w:r>
      <w:r>
        <w:rPr>
          <w:b w:val="0"/>
          <w:bCs w:val="0"/>
          <w:rtl/>
        </w:rPr>
        <w:t xml:space="preserve">כְּבַר אֲמַרְנַא דְגִלְגּוּלִים אִינוּן כְּגַוְונָא דְגַלְגַּלִּים דְּסָלְקִין וְנָחֲתִין בְגִלְגּוּל חַד), כְּגַוְונָא דָא נֶפֶשׁ אִיהִי בִקְבִיעוּ דְגוּפָא, וְרוּחָא נָחְתָא וְסָלְקָא בְגוּפָא, וּמִתְפַּשְׁטָא בְכָל וָרִידֵי דְלִבָּא דְמִתְנַעְנְעִין, הֲדָא הוּא דִכְתִיב </w:t>
      </w:r>
      <w:r>
        <w:rPr>
          <w:b w:val="0"/>
          <w:sz w:val="20"/>
          <w:szCs w:val="23"/>
          <w:rtl/>
        </w:rPr>
        <w:t>(יחזקאל א כ)</w:t>
      </w:r>
      <w:r>
        <w:rPr>
          <w:b w:val="0"/>
          <w:bCs w:val="0"/>
          <w:rtl/>
        </w:rPr>
        <w:t xml:space="preserve"> אֶל אֲשֶׁר יִהְיֶה שָּׁמָּה הָרוּחַ לָלֶכֶת יֵלֵכוּ, אֲבָל נַפְשָׁא קְבִיעָא בְלִבָּא, כְּאִתְּתָא דְאִיהִי קְבִיעָא בְּבֵיתָא, הֲדָא הוּא דִכְתִיב </w:t>
      </w:r>
      <w:r>
        <w:rPr>
          <w:b w:val="0"/>
          <w:sz w:val="20"/>
          <w:szCs w:val="23"/>
          <w:rtl/>
        </w:rPr>
        <w:t>(תהלים קיג ט)</w:t>
      </w:r>
      <w:r>
        <w:rPr>
          <w:b w:val="0"/>
          <w:bCs w:val="0"/>
          <w:rtl/>
        </w:rPr>
        <w:t xml:space="preserve"> מוֹשִׁיבִי עֲקֶרֶת הַבַּיִת, וּבַעְלָהּ </w:t>
      </w:r>
      <w:r>
        <w:rPr>
          <w:b w:val="0"/>
          <w:sz w:val="20"/>
          <w:szCs w:val="23"/>
          <w:rtl/>
        </w:rPr>
        <w:t>(בראשית ח ז)</w:t>
      </w:r>
      <w:r>
        <w:rPr>
          <w:b w:val="0"/>
          <w:bCs w:val="0"/>
          <w:rtl/>
        </w:rPr>
        <w:t xml:space="preserve"> וַיֵּצֵא יָצוֹא וָשׁוֹב, הָכִי דּוֹר הוֹלֵךְ וְדוֹר בָּא, דָּא עַמּוּדָא דְאֶמְצָעִיתָא, אִיהוּ אָזִיל וְאָתֵי בְגִלְגּוּלָא, אֲבָל שְׁכִינְתָּא לְעוֹלָם עוֹמָדֶת, אִיהִי לָא אָזְלָא בְגִלְגּוּלָא, וְלָא אִתְרְכִיבַת בַּאֲתַר אָחֳרָא, </w:t>
      </w:r>
      <w:r>
        <w:rPr>
          <w:rStyle w:val="a7"/>
          <w:b w:val="0"/>
          <w:bCs w:val="0"/>
          <w:rtl/>
        </w:rPr>
        <w:footnoteReference w:id="4926"/>
      </w:r>
      <w:r>
        <w:rPr>
          <w:b w:val="0"/>
          <w:bCs w:val="0"/>
          <w:rtl/>
        </w:rPr>
        <w:t xml:space="preserve">וּבְגִין </w:t>
      </w:r>
      <w:r>
        <w:rPr>
          <w:b w:val="0"/>
          <w:sz w:val="20"/>
          <w:szCs w:val="23"/>
          <w:rtl/>
        </w:rPr>
        <w:t>(דף קיא ע''א)</w:t>
      </w:r>
      <w:r>
        <w:rPr>
          <w:b w:val="0"/>
          <w:szCs w:val="23"/>
          <w:rtl/>
        </w:rPr>
        <w:t xml:space="preserve"> </w:t>
      </w:r>
      <w:r>
        <w:rPr>
          <w:rStyle w:val="Char"/>
          <w:rtl/>
        </w:rPr>
        <w:t>דָּא אִתְּמַר בָּהּ,</w:t>
      </w:r>
      <w:r>
        <w:rPr>
          <w:b w:val="0"/>
          <w:szCs w:val="23"/>
          <w:rtl/>
        </w:rPr>
        <w:t xml:space="preserve"> </w:t>
      </w:r>
      <w:r>
        <w:rPr>
          <w:b w:val="0"/>
          <w:sz w:val="20"/>
          <w:szCs w:val="23"/>
          <w:rtl/>
        </w:rPr>
        <w:t>(תהלים קכח ג)</w:t>
      </w:r>
      <w:r>
        <w:rPr>
          <w:b w:val="0"/>
          <w:bCs w:val="0"/>
          <w:rtl/>
        </w:rPr>
        <w:t xml:space="preserve"> אֶשְׁתְּךָ כְּגֶפֶן פֹּרִיָּה, מַה גֶּפֶן לָא קַבִּילַת הַרְכָּבָה מִמִּין אָחֳרָא מִכָּל אִילָנָא דְעָלְמָא, הָכִי שְׁכִינְתָּא לָא קַבִּילַת עֲלֵיהּ הַרְכָּבָה אָחֳרָא בְעָלְמָא אֶלָּא מִבַּעְלָהּ.</w:t>
      </w:r>
    </w:p>
    <w:p w:rsidR="0020255E" w:rsidRDefault="0020255E" w:rsidP="0020255E">
      <w:pPr>
        <w:pStyle w:val="NormalWeb"/>
        <w:rPr>
          <w:b w:val="0"/>
          <w:bCs w:val="0"/>
          <w:rtl/>
        </w:rPr>
      </w:pPr>
      <w:r>
        <w:rPr>
          <w:b w:val="0"/>
          <w:bCs w:val="0"/>
          <w:rtl/>
        </w:rPr>
        <w:t xml:space="preserve">קָמוּ כֻּלְּהוּ חַבְרַיָּא וְאִשְׁתַּטְחוּ קַמֵּיהּ, וְאָמְרוּ אִלּוּ לָא אֲתֵינָא לְעָלְמָא אֶלָּא לְמִשְׁמַע דָּא דַי, </w:t>
      </w:r>
      <w:r>
        <w:rPr>
          <w:rStyle w:val="a7"/>
          <w:b w:val="0"/>
          <w:bCs w:val="0"/>
          <w:rtl/>
        </w:rPr>
        <w:footnoteReference w:id="4927"/>
      </w:r>
      <w:r>
        <w:rPr>
          <w:b w:val="0"/>
          <w:bCs w:val="0"/>
          <w:rtl/>
        </w:rPr>
        <w:t xml:space="preserve">רַבִּי שִׁמְעוֹן פָּתַח וְאָמַר וְזָרַח הַשֶּׁמֶשׁ וּבָא הַשָּׁמֶשׁ </w:t>
      </w:r>
      <w:r>
        <w:rPr>
          <w:b w:val="0"/>
          <w:sz w:val="20"/>
          <w:szCs w:val="23"/>
          <w:rtl/>
        </w:rPr>
        <w:t>(קהלת א ה)</w:t>
      </w:r>
      <w:r>
        <w:rPr>
          <w:b w:val="0"/>
          <w:bCs w:val="0"/>
          <w:rtl/>
        </w:rPr>
        <w:t xml:space="preserve">, וְזָרַח הַשֶּׁמֶשׁ דָּא עַמּוּדָא דְאֶמְצָעִיתָא, דְאִיהוּ מֹשֶׁה בְּדִיּוֹקְנֵיהּ, </w:t>
      </w:r>
      <w:r>
        <w:rPr>
          <w:rStyle w:val="a7"/>
          <w:b w:val="0"/>
          <w:bCs w:val="0"/>
          <w:rtl/>
        </w:rPr>
        <w:footnoteReference w:id="4928"/>
      </w:r>
      <w:r>
        <w:rPr>
          <w:b w:val="0"/>
          <w:bCs w:val="0"/>
          <w:rtl/>
        </w:rPr>
        <w:t xml:space="preserve">וְזָרַח הֲדָא הוּא דִכְתִיב </w:t>
      </w:r>
      <w:r>
        <w:rPr>
          <w:b w:val="0"/>
          <w:sz w:val="20"/>
          <w:szCs w:val="23"/>
          <w:rtl/>
        </w:rPr>
        <w:t>(דברים לג ב)</w:t>
      </w:r>
      <w:r>
        <w:rPr>
          <w:b w:val="0"/>
          <w:bCs w:val="0"/>
          <w:rtl/>
        </w:rPr>
        <w:t xml:space="preserve"> יהו''ה מִסִּינַי בָּא וְזָרַח מִשֵּׂעִיר לָמוֹ, וּבָא הַשָּׁמֶשׁ כַּד אִתְכַּנִּישׁ מֹשֶׁה, וְעִם כָּל דָּא דְאִתְכַּנִּישׁ </w:t>
      </w:r>
      <w:r>
        <w:rPr>
          <w:rStyle w:val="a7"/>
          <w:b w:val="0"/>
          <w:bCs w:val="0"/>
          <w:rtl/>
        </w:rPr>
        <w:footnoteReference w:id="4929"/>
      </w:r>
      <w:r>
        <w:rPr>
          <w:b w:val="0"/>
          <w:bCs w:val="0"/>
          <w:rtl/>
        </w:rPr>
        <w:t>אֶל מְקוֹמוֹ שׁוֹאֵף זוֹרֵחַ הוּא שָׁם, וְדָא יְהוֹשֻׁעַ דַּהֲוָה כְּגַוְונָא דְסִיהֲרָא דְאִיהִי שְׁכִינְתָּא.</w:t>
      </w:r>
    </w:p>
    <w:p w:rsidR="0020255E" w:rsidRDefault="0020255E" w:rsidP="0020255E">
      <w:pPr>
        <w:pStyle w:val="NormalWeb"/>
        <w:rPr>
          <w:b w:val="0"/>
          <w:bCs w:val="0"/>
          <w:rtl/>
        </w:rPr>
      </w:pPr>
      <w:r>
        <w:rPr>
          <w:rStyle w:val="a7"/>
          <w:b w:val="0"/>
          <w:bCs w:val="0"/>
          <w:rtl/>
        </w:rPr>
        <w:footnoteReference w:id="4930"/>
      </w:r>
      <w:r>
        <w:rPr>
          <w:b w:val="0"/>
          <w:bCs w:val="0"/>
          <w:rtl/>
        </w:rPr>
        <w:t xml:space="preserve">וְעוֹד וְזָרַח הַשֶּׁמֶשׁ דָּא מֹשֶׁה, כַּד יֵיתֵי בְּגִלְגּוּלָא בְּצַדִּיק גָּמוּר, וְכַד לָא אִיהוּ בְּצַדִּיק גָּמוּר וּבָא הַשָּׁמֶשׁ, אִתְכַּנִּישׁ מִנֵּיהּ, וְאָזַל וְאָתֵי בְּגִלְגּוּלָא עַד דְּאַשְׁכַּח אַתְרֵיהּ, </w:t>
      </w:r>
      <w:r>
        <w:rPr>
          <w:rStyle w:val="a7"/>
          <w:b w:val="0"/>
          <w:bCs w:val="0"/>
          <w:rtl/>
        </w:rPr>
        <w:footnoteReference w:id="4931"/>
      </w:r>
      <w:r>
        <w:rPr>
          <w:b w:val="0"/>
          <w:bCs w:val="0"/>
          <w:rtl/>
        </w:rPr>
        <w:t>וּבְגִין דָּא אֶל מְקוֹמוֹ שׁוֹאֵף זוֹרֵחַ הוּא שָׁם.</w:t>
      </w:r>
    </w:p>
    <w:p w:rsidR="0020255E" w:rsidRDefault="0020255E" w:rsidP="0020255E">
      <w:pPr>
        <w:pStyle w:val="NormalWeb"/>
        <w:rPr>
          <w:b w:val="0"/>
          <w:bCs w:val="0"/>
          <w:rtl/>
        </w:rPr>
      </w:pPr>
      <w:r>
        <w:rPr>
          <w:rStyle w:val="a7"/>
          <w:b w:val="0"/>
          <w:bCs w:val="0"/>
          <w:rtl/>
        </w:rPr>
        <w:footnoteReference w:id="4932"/>
      </w:r>
      <w:r>
        <w:rPr>
          <w:b w:val="0"/>
          <w:bCs w:val="0"/>
          <w:rtl/>
        </w:rPr>
        <w:t xml:space="preserve">וְעוֹד וְזָרַח הַשֶּׁמֶשׁ דָּא קוּדְשָׁא בְּרִיךְ הוּא, </w:t>
      </w:r>
      <w:r>
        <w:rPr>
          <w:rStyle w:val="a7"/>
          <w:b w:val="0"/>
          <w:bCs w:val="0"/>
          <w:rtl/>
        </w:rPr>
        <w:footnoteReference w:id="4933"/>
      </w:r>
      <w:r>
        <w:rPr>
          <w:b w:val="0"/>
          <w:bCs w:val="0"/>
          <w:rtl/>
        </w:rPr>
        <w:t xml:space="preserve">בְּאָן אֲתַר, בְּבַר נַשׁ דִּשְׁכִינְתָּא עִמֵּיהּ, כְּמָה דְאַתְּ אָמַר </w:t>
      </w:r>
      <w:r>
        <w:rPr>
          <w:b w:val="0"/>
          <w:sz w:val="20"/>
          <w:szCs w:val="23"/>
          <w:rtl/>
        </w:rPr>
        <w:t>(שמות כא)</w:t>
      </w:r>
      <w:r>
        <w:rPr>
          <w:b w:val="0"/>
          <w:bCs w:val="0"/>
          <w:rtl/>
        </w:rPr>
        <w:t xml:space="preserve"> בְּכָל הַמָּקוֹם אֲשֶׁר אַזְכִּיר אֶת שְׁמִי וְגוֹמֵר, וְתִרְגֵּם אֹנְקְלוֹס בַּאֲתַר דְּתִשְׁרֵי שְׁכִינְתֵּיהּ תַּמָּן, וְאִי לֵית שְׁכִינְתָּא תַמָּן וּבָא הַשָּׁמֶשׁ, אִתְכַּנַּשׁ מִנֵּיהּ קוּדְשָׁא בְּרִיךְ הוּא, </w:t>
      </w:r>
      <w:r>
        <w:rPr>
          <w:rStyle w:val="a7"/>
          <w:b w:val="0"/>
          <w:bCs w:val="0"/>
          <w:rtl/>
        </w:rPr>
        <w:footnoteReference w:id="4934"/>
      </w:r>
      <w:r>
        <w:rPr>
          <w:b w:val="0"/>
          <w:bCs w:val="0"/>
          <w:rtl/>
        </w:rPr>
        <w:t xml:space="preserve">וְאִשְׁתָּאַר בַּחֲשׁוֹכָא וְשָׁלְטִין עֲלֵיהּ </w:t>
      </w:r>
      <w:r>
        <w:rPr>
          <w:rStyle w:val="a7"/>
          <w:b w:val="0"/>
          <w:bCs w:val="0"/>
          <w:rtl/>
        </w:rPr>
        <w:footnoteReference w:id="4935"/>
      </w:r>
      <w:r>
        <w:rPr>
          <w:b w:val="0"/>
          <w:bCs w:val="0"/>
          <w:rtl/>
        </w:rPr>
        <w:t xml:space="preserve">כַּמָּה מְחַבְּלִין וְכַמָּה יִסּוּרִין בִּישִׁין, דְּלַאו אִינוּן יִסּוּרִין שֶׁל אַהֲבָה, הֲדָא הוּא דִכְתִיב </w:t>
      </w:r>
      <w:r>
        <w:rPr>
          <w:b w:val="0"/>
          <w:sz w:val="20"/>
          <w:szCs w:val="23"/>
          <w:rtl/>
        </w:rPr>
        <w:t>(דברים לא יז)</w:t>
      </w:r>
      <w:r>
        <w:rPr>
          <w:b w:val="0"/>
          <w:bCs w:val="0"/>
          <w:rtl/>
        </w:rPr>
        <w:t xml:space="preserve"> עַל כִּי אֵין אלֹה''י בְּקִרְבִּי מְצָאוּנִי הָרָעוֹת הָאֵלֶּה, </w:t>
      </w:r>
      <w:r>
        <w:rPr>
          <w:rStyle w:val="a7"/>
          <w:b w:val="0"/>
          <w:bCs w:val="0"/>
          <w:rtl/>
        </w:rPr>
        <w:footnoteReference w:id="4936"/>
      </w:r>
      <w:r>
        <w:rPr>
          <w:b w:val="0"/>
          <w:bCs w:val="0"/>
          <w:rtl/>
        </w:rPr>
        <w:t xml:space="preserve">דְּאִלֵּין רָעוֹת מְצוּיִן בְּכָל עִתִּין וְרִגְעִין, וּמָאן גָּרִים דְּלָא שַׁרְיָא שְׁכִינְתָּא עֲלֵיהּ, וְלָא נָהִיר שִׁמְשָׁא עֲלֵיהּ, </w:t>
      </w:r>
      <w:r>
        <w:rPr>
          <w:rStyle w:val="a7"/>
          <w:b w:val="0"/>
          <w:bCs w:val="0"/>
          <w:rtl/>
        </w:rPr>
        <w:footnoteReference w:id="4937"/>
      </w:r>
      <w:r>
        <w:rPr>
          <w:b w:val="0"/>
          <w:bCs w:val="0"/>
          <w:rtl/>
        </w:rPr>
        <w:t xml:space="preserve">בְּגִין הֲבַל דְּשִׁקְרָא וּמִלִּין דְּשִׁקְרָא דְנָפְקִין מִפּוּמוֹי, וּבְגִין דָּא </w:t>
      </w:r>
      <w:r>
        <w:rPr>
          <w:b w:val="0"/>
          <w:sz w:val="20"/>
          <w:szCs w:val="23"/>
          <w:rtl/>
        </w:rPr>
        <w:t>(קהלת ח יד)</w:t>
      </w:r>
      <w:r>
        <w:rPr>
          <w:b w:val="0"/>
          <w:bCs w:val="0"/>
          <w:rtl/>
        </w:rPr>
        <w:t xml:space="preserve"> יֶשׁ הֶבֶל אֲשֶׁר נַעֲשָׂה עַל הָאָרֶץ, אִית הֶבֶל וְאִית הֶבֶל, אִית הֶבֶל מִמָּארֵי דְשִׁקְרָא דְאִתְּמַר בְּהוֹן </w:t>
      </w:r>
      <w:r>
        <w:rPr>
          <w:b w:val="0"/>
          <w:sz w:val="20"/>
          <w:szCs w:val="23"/>
          <w:rtl/>
        </w:rPr>
        <w:t>(ירמיה י טו)</w:t>
      </w:r>
      <w:r>
        <w:rPr>
          <w:b w:val="0"/>
          <w:bCs w:val="0"/>
          <w:rtl/>
        </w:rPr>
        <w:t xml:space="preserve"> הֶבֶל הֵמָּה מַעֲשֵׂה תַּעְתּוּעִים, דְּאִינוּן תּוֹעִים בְּעוֹבָדָא דְשִׁקְרָא.</w:t>
      </w:r>
    </w:p>
    <w:p w:rsidR="0020255E" w:rsidRDefault="0020255E" w:rsidP="0020255E">
      <w:pPr>
        <w:pStyle w:val="NormalWeb"/>
        <w:rPr>
          <w:b w:val="0"/>
          <w:bCs w:val="0"/>
          <w:rtl/>
        </w:rPr>
      </w:pPr>
      <w:r>
        <w:rPr>
          <w:b w:val="0"/>
          <w:bCs w:val="0"/>
          <w:rtl/>
        </w:rPr>
        <w:t xml:space="preserve">וְיֵשׁ הֶבֶל דְּאִתְּמַר בֵּיהּ, </w:t>
      </w:r>
      <w:r>
        <w:rPr>
          <w:b w:val="0"/>
          <w:sz w:val="20"/>
          <w:szCs w:val="23"/>
          <w:rtl/>
        </w:rPr>
        <w:t>(דברים ח ג)</w:t>
      </w:r>
      <w:r>
        <w:rPr>
          <w:b w:val="0"/>
          <w:bCs w:val="0"/>
          <w:rtl/>
        </w:rPr>
        <w:t xml:space="preserve"> כִּי עַל כָּל מוֹצָא פִי יהו''ה יִחְיֶה הָאָדָם, וְדָא הֲבַל דְּאוֹרַיְיתָא, </w:t>
      </w:r>
      <w:r>
        <w:rPr>
          <w:rStyle w:val="a7"/>
          <w:b w:val="0"/>
          <w:bCs w:val="0"/>
          <w:rtl/>
        </w:rPr>
        <w:footnoteReference w:id="4938"/>
      </w:r>
      <w:r>
        <w:rPr>
          <w:b w:val="0"/>
          <w:bCs w:val="0"/>
          <w:rtl/>
        </w:rPr>
        <w:t xml:space="preserve">דְאִיהוּ חֲמִשָּׁה חוּמְשֵׁי תוֹרָה, מִן ב' דִּבְּרֵאשִׁית עַד ל' לְעִינֵי כָּל יִשְׂרָאֵל, וְדָא הוּא הֶבֶ''ל, וְהָא שִׁית אִינוּן עִם זֶה סֵפֶר, אֶלָּא </w:t>
      </w:r>
      <w:r>
        <w:rPr>
          <w:rStyle w:val="a7"/>
          <w:b w:val="0"/>
          <w:bCs w:val="0"/>
          <w:rtl/>
        </w:rPr>
        <w:footnoteReference w:id="4939"/>
      </w:r>
      <w:r>
        <w:rPr>
          <w:b w:val="0"/>
          <w:bCs w:val="0"/>
          <w:rtl/>
        </w:rPr>
        <w:t xml:space="preserve">דָא ו' דְּאִיהוּ קוֹל דְּסָלִיק בְּהֶבֶל דְּאִיהוּ ה', זַכָּאָה אִיהוּ מָאן דִּמְחַבֵּר לוֹן כַּחֲדָא, וְאַפִּיק לוֹן מִפּוּמוֹי בִּרְחִימוּ וּדְחִילוּ דְי''ה, וּבְגִין דָּא </w:t>
      </w:r>
      <w:r>
        <w:rPr>
          <w:b w:val="0"/>
          <w:sz w:val="20"/>
          <w:szCs w:val="23"/>
          <w:rtl/>
        </w:rPr>
        <w:t>(קהלת ח יד)</w:t>
      </w:r>
      <w:r>
        <w:rPr>
          <w:b w:val="0"/>
          <w:bCs w:val="0"/>
          <w:rtl/>
        </w:rPr>
        <w:t xml:space="preserve"> יֶשׁ הֶבֶל וכו', אֲשֶׁר יֵשׁ צַדִּיקִים שֶׁמַּגִּיעַ אֲלֵיהֶם כְּמַעֲשֵׂה הָרְשָׁעִים.</w:t>
      </w:r>
    </w:p>
    <w:p w:rsidR="0020255E" w:rsidRDefault="0020255E" w:rsidP="0020255E">
      <w:pPr>
        <w:pStyle w:val="aa"/>
        <w:spacing w:after="40"/>
        <w:rPr>
          <w:rtl/>
        </w:rPr>
      </w:pPr>
      <w:r>
        <w:rPr>
          <w:rtl/>
        </w:rPr>
        <w:t xml:space="preserve">[תיקוני זוהר - דף קט ע''ב] </w:t>
      </w:r>
    </w:p>
    <w:p w:rsidR="0020255E" w:rsidRDefault="0020255E" w:rsidP="0020255E">
      <w:pPr>
        <w:pStyle w:val="NormalWeb"/>
        <w:rPr>
          <w:b w:val="0"/>
          <w:bCs w:val="0"/>
          <w:rtl/>
        </w:rPr>
      </w:pPr>
      <w:r>
        <w:rPr>
          <w:b w:val="0"/>
          <w:bCs w:val="0"/>
          <w:rtl/>
        </w:rPr>
        <w:t xml:space="preserve">אָמְרוּ לֵיהּ חַבְרַיָּא רַבִּי רַבִּי אִי הָכִי דְאִינוּן צַדִּיקַיָּיא אַמַּאי מַגִּיעַ אֲלֵיהֶם </w:t>
      </w:r>
      <w:r>
        <w:rPr>
          <w:b w:val="0"/>
          <w:sz w:val="20"/>
          <w:szCs w:val="23"/>
          <w:rtl/>
        </w:rPr>
        <w:t xml:space="preserve">(דף קט ע''ב) </w:t>
      </w:r>
      <w:r>
        <w:rPr>
          <w:b w:val="0"/>
          <w:bCs w:val="0"/>
          <w:rtl/>
        </w:rPr>
        <w:t xml:space="preserve">כְּמַעֲשֵׂה הָרְשָׁעִים, אָמַר לוֹן גִּלְגּוּלָא גָרִים לוֹן דְּיֵיתֵי לוֹן כְּעוֹבָדָא דְרַשִּׁיעַיָּא, כְּאִלּוּ הֲווֹ רַשִּׁיעַיָּא הָכִי יֵיתֵי לוֹן יִסּוּרִין וְדָחֲקִין, </w:t>
      </w:r>
      <w:r>
        <w:rPr>
          <w:rStyle w:val="a7"/>
          <w:b w:val="0"/>
          <w:bCs w:val="0"/>
          <w:rtl/>
        </w:rPr>
        <w:footnoteReference w:id="4940"/>
      </w:r>
      <w:r>
        <w:rPr>
          <w:b w:val="0"/>
          <w:bCs w:val="0"/>
          <w:rtl/>
        </w:rPr>
        <w:t xml:space="preserve">וְהַאי אִינוּן דְּנִשְׁמָתִין דִּלְהוֹן מִסִּטְרָא דְאָדָם וְהֶבֶל, דְּדָא חָאב בְּמַחֲשָׁבָה וְעוֹבָדָא, וּבְגִין דָּא אָמַר עֲלַיְיהוּ קְרָא </w:t>
      </w:r>
      <w:r>
        <w:rPr>
          <w:b w:val="0"/>
          <w:sz w:val="20"/>
          <w:szCs w:val="23"/>
          <w:rtl/>
        </w:rPr>
        <w:t>(קהלת א טו)</w:t>
      </w:r>
      <w:r>
        <w:rPr>
          <w:b w:val="0"/>
          <w:bCs w:val="0"/>
          <w:rtl/>
        </w:rPr>
        <w:t xml:space="preserve"> בְּשַׁגַּם זֶה הֶבֶל, </w:t>
      </w:r>
      <w:r>
        <w:rPr>
          <w:rStyle w:val="a7"/>
          <w:b w:val="0"/>
          <w:bCs w:val="0"/>
          <w:rtl/>
        </w:rPr>
        <w:footnoteReference w:id="4941"/>
      </w:r>
      <w:r>
        <w:rPr>
          <w:b w:val="0"/>
          <w:bCs w:val="0"/>
          <w:rtl/>
        </w:rPr>
        <w:t>גַּם לְרַבּוֹת אָדָם.</w:t>
      </w:r>
    </w:p>
    <w:p w:rsidR="0020255E" w:rsidRDefault="0020255E" w:rsidP="0020255E">
      <w:pPr>
        <w:pStyle w:val="NormalWeb"/>
        <w:rPr>
          <w:b w:val="0"/>
          <w:bCs w:val="0"/>
          <w:rtl/>
        </w:rPr>
      </w:pPr>
      <w:r>
        <w:rPr>
          <w:b w:val="0"/>
          <w:bCs w:val="0"/>
          <w:rtl/>
        </w:rPr>
        <w:t xml:space="preserve">אָמְרוּ לֵיהּ יְדַעְנָא דְמַחֲשָׁבָה אִיהִי אָדָם קַדְמָאָה, מ''ה דִלְעִילָא, מַ''ה שְּׁמוֹ, עוֹבָדָא כ''ח דִּילֵיהּ, </w:t>
      </w:r>
      <w:r>
        <w:rPr>
          <w:rStyle w:val="a7"/>
          <w:b w:val="0"/>
          <w:bCs w:val="0"/>
          <w:rtl/>
        </w:rPr>
        <w:footnoteReference w:id="4942"/>
      </w:r>
      <w:r>
        <w:rPr>
          <w:b w:val="0"/>
          <w:bCs w:val="0"/>
          <w:rtl/>
        </w:rPr>
        <w:t xml:space="preserve">כ''ח אַתְוָון דְּעוֹבָדָא דִבְּרֵאשִׁית בָּרָא וכו', וְכֹלָּא חָכְמָה כֹּחַ מָה, </w:t>
      </w:r>
      <w:r>
        <w:rPr>
          <w:rStyle w:val="a7"/>
          <w:b w:val="0"/>
          <w:bCs w:val="0"/>
          <w:rtl/>
        </w:rPr>
        <w:footnoteReference w:id="4943"/>
      </w:r>
      <w:r>
        <w:rPr>
          <w:b w:val="0"/>
          <w:bCs w:val="0"/>
          <w:rtl/>
        </w:rPr>
        <w:t xml:space="preserve">אִם כֵּן בְּמַאי הֲווֹ יָכְלֵי לְמֶחטֵי הָכָא, </w:t>
      </w:r>
      <w:r>
        <w:rPr>
          <w:rStyle w:val="a7"/>
          <w:b w:val="0"/>
          <w:bCs w:val="0"/>
          <w:rtl/>
        </w:rPr>
        <w:footnoteReference w:id="4944"/>
      </w:r>
      <w:r>
        <w:rPr>
          <w:b w:val="0"/>
          <w:bCs w:val="0"/>
          <w:rtl/>
        </w:rPr>
        <w:t xml:space="preserve">אָמַר לוֹן בְּוַדַּאי כָּל מָאן דְּחָב בְּגוּפֵיהּ דְּתַמָּן עוֹבָדָא, וּבְנִשְׁמָתֵיהּ דְּתַמָּן מַחֲשָׁבָה, כְּאִלּוּ חָאב בְּהַהוּא דְאִתְבְּרֵי אִיהוּ בְּדִיּוֹקְנֵיהּ, הֲדָא הוּא דִכְתִיב </w:t>
      </w:r>
      <w:r>
        <w:rPr>
          <w:b w:val="0"/>
          <w:sz w:val="20"/>
          <w:szCs w:val="23"/>
          <w:rtl/>
        </w:rPr>
        <w:t>(בראשית א כז)</w:t>
      </w:r>
      <w:r>
        <w:rPr>
          <w:b w:val="0"/>
          <w:bCs w:val="0"/>
          <w:rtl/>
        </w:rPr>
        <w:t xml:space="preserve"> וַיִּבְרָא אלהי''ם אֶת הָאָדָם בְּצַלְמוֹ כו'.</w:t>
      </w:r>
    </w:p>
    <w:p w:rsidR="0020255E" w:rsidRDefault="0020255E" w:rsidP="0020255E">
      <w:pPr>
        <w:pStyle w:val="NormalWeb"/>
        <w:rPr>
          <w:b w:val="0"/>
          <w:bCs w:val="0"/>
          <w:rtl/>
        </w:rPr>
      </w:pPr>
      <w:r>
        <w:rPr>
          <w:b w:val="0"/>
          <w:bCs w:val="0"/>
          <w:rtl/>
        </w:rPr>
        <w:t xml:space="preserve">וְיֵשׁ רְשָׁעִים שֶׁמַּגִּיעַ אֲלֵיהֶם כְּמַעֲשֵׂה הַצַּדִּיקִים, דְּאִית לוֹן עוּתְרָא וּשְׁלָם וַאֲרִיכוּ דְיוֹמִין בְּהַאי עָלְמָא, אָמְרוּ לֵיהּ בָּתַר דְּאִינוּן רְשָׁעִים אַמַּאי אִית לוֹן כָּל הַאי יְקָר, </w:t>
      </w:r>
      <w:r>
        <w:rPr>
          <w:rStyle w:val="a7"/>
          <w:b w:val="0"/>
          <w:bCs w:val="0"/>
          <w:rtl/>
        </w:rPr>
        <w:footnoteReference w:id="4945"/>
      </w:r>
      <w:r>
        <w:rPr>
          <w:b w:val="0"/>
          <w:bCs w:val="0"/>
          <w:rtl/>
        </w:rPr>
        <w:t xml:space="preserve">אֶלַא טוּבַא דִלְהוֹן אִיהוּ הֶבֶל וּרְעוּת רוּחַ, דְּגִלְגּוּלָא דִלְהוֹן גָּרִים לוֹן דַּהֲווֹ רְשָׁעִים גְּמוּרִים, וְעָבְדוּ </w:t>
      </w:r>
      <w:r>
        <w:rPr>
          <w:b w:val="0"/>
          <w:sz w:val="20"/>
          <w:szCs w:val="23"/>
          <w:rtl/>
        </w:rPr>
        <w:t>(זכוון כמה מנייהו, ואתקצרו בקצרות שנין ולא אשתלים לון)</w:t>
      </w:r>
      <w:r>
        <w:rPr>
          <w:b w:val="0"/>
          <w:bCs w:val="0"/>
          <w:rtl/>
        </w:rPr>
        <w:t xml:space="preserve">, כַּמָּה מִינֵי טָבִין, אַיְיתִי לְהוֹן קוּדְשָׁא בְּרִיךְ הוּא בְגִלְגּוּלָא לְאַשְׁלָמָא לוֹן אַגְרַיְיהוּ בְּהַאי עָלְמָא, הֲדָא הוּא דִכְתִיב </w:t>
      </w:r>
      <w:r>
        <w:rPr>
          <w:b w:val="0"/>
          <w:sz w:val="20"/>
          <w:szCs w:val="23"/>
          <w:rtl/>
        </w:rPr>
        <w:t>(דברים ז י)</w:t>
      </w:r>
      <w:r>
        <w:rPr>
          <w:b w:val="0"/>
          <w:bCs w:val="0"/>
          <w:rtl/>
        </w:rPr>
        <w:t xml:space="preserve"> וּמְשַׁלֵּם לְשֹׂנְאָיו אֶל פָּנָיו כו', וַעֲלַיְיהוּ אִתְּמַר </w:t>
      </w:r>
      <w:r>
        <w:rPr>
          <w:b w:val="0"/>
          <w:sz w:val="20"/>
          <w:szCs w:val="23"/>
          <w:rtl/>
        </w:rPr>
        <w:t>(קהלת ח י)</w:t>
      </w:r>
      <w:r>
        <w:rPr>
          <w:b w:val="0"/>
          <w:bCs w:val="0"/>
          <w:rtl/>
        </w:rPr>
        <w:t xml:space="preserve"> </w:t>
      </w:r>
      <w:r>
        <w:rPr>
          <w:rStyle w:val="a7"/>
          <w:b w:val="0"/>
          <w:bCs w:val="0"/>
          <w:rtl/>
        </w:rPr>
        <w:footnoteReference w:id="4946"/>
      </w:r>
      <w:r>
        <w:rPr>
          <w:b w:val="0"/>
          <w:bCs w:val="0"/>
          <w:rtl/>
        </w:rPr>
        <w:t xml:space="preserve">וּבְכֵן רָאִיתִי רְשָׁעִים קְבוּרִים וָבָאוּ כו'. </w:t>
      </w:r>
    </w:p>
    <w:p w:rsidR="0020255E" w:rsidRDefault="0020255E" w:rsidP="0020255E">
      <w:pPr>
        <w:pStyle w:val="NormalWeb"/>
        <w:rPr>
          <w:b w:val="0"/>
          <w:bCs w:val="0"/>
          <w:rtl/>
        </w:rPr>
      </w:pPr>
      <w:r>
        <w:rPr>
          <w:b w:val="0"/>
          <w:bCs w:val="0"/>
          <w:rtl/>
        </w:rPr>
        <w:t xml:space="preserve">אַדְהָכִי הָא רַבִּי פִּנְחָס קָא נָחִית מִמְּתִיבְתָּא עִלָּאָה, וְאִתְחַזֵּי תְּחוֹת טוּלָא דְרַבִּי שִׁמְעוֹן, וְאָמַר לֵיהּ מַאי הֶבֶל אֲשֶׁר נַעֲשָׂה עַל הָאָרֶץ, וְכִי עַל הָאָרֶץ אִתְעֲבִיד הֶבֶל, אֶלָּא </w:t>
      </w:r>
      <w:r>
        <w:rPr>
          <w:rStyle w:val="a7"/>
          <w:b w:val="0"/>
          <w:bCs w:val="0"/>
          <w:rtl/>
        </w:rPr>
        <w:footnoteReference w:id="4947"/>
      </w:r>
      <w:r>
        <w:rPr>
          <w:b w:val="0"/>
          <w:bCs w:val="0"/>
          <w:rtl/>
        </w:rPr>
        <w:t xml:space="preserve">כְּמָה דְאַתְּ אָמַר </w:t>
      </w:r>
      <w:r>
        <w:rPr>
          <w:b w:val="0"/>
          <w:sz w:val="20"/>
          <w:szCs w:val="23"/>
          <w:rtl/>
        </w:rPr>
        <w:t>(בראשית ב ו)</w:t>
      </w:r>
      <w:r>
        <w:rPr>
          <w:b w:val="0"/>
          <w:bCs w:val="0"/>
          <w:rtl/>
        </w:rPr>
        <w:t xml:space="preserve"> וְאֵד יַעֲלֶה מִן הָאָרֶץ, דְּאִית הֶבֶל אֲשֶׁר נַעֲשָׂה עַל הָאָרֶץ, הֲבַל דִּצְלוֹתִין וַהֲבַל דְּאוֹרַיְיתָא אִתְעֲבִיד עַל אַרְעָא דְקוּדְשָׁא בְּרִיךְ הוּא דְאִיהִי שְׁכִינְתֵּיהּ, דְּאִתְּמַר בָּהּ </w:t>
      </w:r>
      <w:r>
        <w:rPr>
          <w:b w:val="0"/>
          <w:sz w:val="20"/>
          <w:szCs w:val="23"/>
          <w:rtl/>
        </w:rPr>
        <w:t>(ישעיה סו א)</w:t>
      </w:r>
      <w:r>
        <w:rPr>
          <w:b w:val="0"/>
          <w:bCs w:val="0"/>
          <w:rtl/>
        </w:rPr>
        <w:t xml:space="preserve"> וְהָאָרֶץ הֲדֹם רַגְלָי, וּמַאי נִיהוּ הֶבֶל דְּאִתְעֲבִיד עֲלֵיהּ, אֶלָּא הֲפוֹךְ הֶבֶל וְתִשְׁכְּחֵיהּ הַלֵּב, וּמִנֵּיהּ נָפִיק הֲבַל וְדָא נֶפֶשׁ וּבֵיהּ סָלִיק דִּבּוּר, </w:t>
      </w:r>
      <w:r>
        <w:rPr>
          <w:rStyle w:val="a7"/>
          <w:b w:val="0"/>
          <w:bCs w:val="0"/>
          <w:rtl/>
        </w:rPr>
        <w:footnoteReference w:id="4948"/>
      </w:r>
      <w:r>
        <w:rPr>
          <w:b w:val="0"/>
          <w:bCs w:val="0"/>
          <w:rtl/>
        </w:rPr>
        <w:t>רוּחָא נָפִיק מֵאוּדְנָא שְׂמָאלָא דְלִבָּא, וּמִנֵּיהּ נָפִיק קָלָא, וְקָלָא אִיהוּ אִילָנָא, דְאִתְפַּלַּג לְכַמָּה קָלִין דְּאִינוּן עַנְפִין דְּאִילָנָא, וְאִיבָּא דִילֵיהּ דִּבּוּר, וְתַרְוַיְיהוּ עִץ פְּרִי, וְאִינוּן גּוּף וּבְרִית, דָּא עִץ ו', וְדָא פְּרִי י' אוֹת הַבְּרִית.</w:t>
      </w:r>
    </w:p>
    <w:p w:rsidR="0020255E" w:rsidRDefault="0020255E" w:rsidP="0020255E">
      <w:pPr>
        <w:pStyle w:val="NormalWeb"/>
        <w:rPr>
          <w:b w:val="0"/>
          <w:bCs w:val="0"/>
          <w:rtl/>
        </w:rPr>
      </w:pPr>
      <w:r>
        <w:rPr>
          <w:rStyle w:val="a7"/>
          <w:b w:val="0"/>
          <w:bCs w:val="0"/>
          <w:rtl/>
        </w:rPr>
        <w:footnoteReference w:id="4949"/>
      </w:r>
      <w:r>
        <w:rPr>
          <w:b w:val="0"/>
          <w:bCs w:val="0"/>
          <w:rtl/>
        </w:rPr>
        <w:t xml:space="preserve">ה' תַּתָּאָה שָׁרְשָׁא דְאִילָנָא, דְאִית בֵּיהּ תְּלַת וָוִי''ן לָקֳבֵל תְּלַת עַנְפִין דְּש, ה עִלָּאָה תְּלַת עַנְפִין, וְאִינוּן תְּלַת וָוִי''ן מִן וַיִּסַּע וַיָּבֹא וַיֵּט, הַאי אִיהוּ עִץ הַחַיִּים דְּאַעֲקַר עַנְפּוֹי דְּקִצֵּץ בִּנְטִיעוֹת וְאִסְתַּלַּק אִיבָּא, </w:t>
      </w:r>
      <w:r>
        <w:rPr>
          <w:rStyle w:val="a7"/>
          <w:b w:val="0"/>
          <w:bCs w:val="0"/>
          <w:rtl/>
        </w:rPr>
        <w:footnoteReference w:id="4950"/>
      </w:r>
      <w:r>
        <w:rPr>
          <w:b w:val="0"/>
          <w:bCs w:val="0"/>
          <w:rtl/>
        </w:rPr>
        <w:t xml:space="preserve">וְאִתְּמַר בְּאִלָנָא </w:t>
      </w:r>
      <w:r>
        <w:rPr>
          <w:b w:val="0"/>
          <w:sz w:val="20"/>
          <w:szCs w:val="23"/>
          <w:rtl/>
        </w:rPr>
        <w:t>(דניאל ד יא)</w:t>
      </w:r>
      <w:r>
        <w:rPr>
          <w:b w:val="0"/>
          <w:bCs w:val="0"/>
          <w:rtl/>
        </w:rPr>
        <w:t xml:space="preserve"> גֹּדּוּ אִילָנָא וְקַצִּצוּ עַנְפוֹהִי כו', בְּרַם עִקַּר שָׁרְשׁוֹהִי בְּאַרְעָא שְׁבֻקוּ, דְאִיהוּ ה' תַּתָּאָה, אִסְתַּלַּק הו''י וְאִשְׁתָּאַר ה', </w:t>
      </w:r>
      <w:r>
        <w:rPr>
          <w:rStyle w:val="a7"/>
          <w:b w:val="0"/>
          <w:bCs w:val="0"/>
          <w:rtl/>
        </w:rPr>
        <w:footnoteReference w:id="4951"/>
      </w:r>
      <w:r>
        <w:rPr>
          <w:b w:val="0"/>
          <w:bCs w:val="0"/>
          <w:rtl/>
        </w:rPr>
        <w:t>וּבְגִין דָּא שָׁלֹשׁ מִשְׁמָרוֹת הֲוִ''י הַלַּיְלָה, וּבְכָל מִשְׁמָר וּמִשְׁמָר יוֹשֵׁב הַקָּדוֹשׁ בָּרוּךְ הוּא וְשׁוֹאֵג כָּאֲרִי כו', ה' דְּהַלַּיְלָה עֲלָהּ קוּדְשָׁא בְּרִיךְ הוּא שׁוֹאֵג בְּשָׁלֹשׁ מִשְׁמָרוֹת דְּתַמָּן הו''י, תַּמָּן הו''י אִיהוּ וַדַּאי.</w:t>
      </w:r>
    </w:p>
    <w:p w:rsidR="0020255E" w:rsidRDefault="0020255E" w:rsidP="0020255E">
      <w:pPr>
        <w:pStyle w:val="NormalWeb"/>
        <w:rPr>
          <w:b w:val="0"/>
          <w:bCs w:val="0"/>
          <w:rtl/>
        </w:rPr>
      </w:pPr>
      <w:r>
        <w:rPr>
          <w:b w:val="0"/>
          <w:bCs w:val="0"/>
          <w:rtl/>
        </w:rPr>
        <w:t xml:space="preserve">וּמְנָא לָן דְּאַעֲקַר אָדָם אִילָנָא וְאִיבָּא וְעַנְפִין דִּילֵיהּ, וְלָא אִשְׁתָּאַר תַּמָּן אֶלָּא שָׁרְשָׁא דְאִיהִי ה' תַּתָּאָה, הֲדָא הוּא דִכְתִיב </w:t>
      </w:r>
      <w:r>
        <w:rPr>
          <w:b w:val="0"/>
          <w:sz w:val="20"/>
          <w:szCs w:val="23"/>
          <w:rtl/>
        </w:rPr>
        <w:t>(בראשית ג ט)</w:t>
      </w:r>
      <w:r>
        <w:rPr>
          <w:b w:val="0"/>
          <w:bCs w:val="0"/>
          <w:rtl/>
        </w:rPr>
        <w:t xml:space="preserve"> וַיֹּאמֶר לוֹ אַיֶּכָּה, כְּגַוְונָא דְאֵיכָה דְאִתְּמַר בֵּיהּ </w:t>
      </w:r>
      <w:r>
        <w:rPr>
          <w:b w:val="0"/>
          <w:sz w:val="20"/>
          <w:szCs w:val="23"/>
          <w:rtl/>
        </w:rPr>
        <w:t>(איכה א א)</w:t>
      </w:r>
      <w:r>
        <w:rPr>
          <w:b w:val="0"/>
          <w:bCs w:val="0"/>
          <w:rtl/>
        </w:rPr>
        <w:t xml:space="preserve"> אֵיכָה יָשְׁבָה בָדָד, אֵיךְ ה' יָשְׁבָה בָדָד, בְּגִין דָּא אִתְגַּלְגַּל אָדָם בִּתְלַת אֲבָהָן, דְּאִינוּן עַנְפִין דְּאִילָנָא וְגוּפָא וְאִיבָּא דְאִילָנָא, וְאִתְתַּקַּן מַה דְּאַעֲקַר, </w:t>
      </w:r>
      <w:r>
        <w:rPr>
          <w:rStyle w:val="a7"/>
          <w:b w:val="0"/>
          <w:bCs w:val="0"/>
          <w:rtl/>
        </w:rPr>
        <w:footnoteReference w:id="4952"/>
      </w:r>
      <w:r>
        <w:rPr>
          <w:b w:val="0"/>
          <w:bCs w:val="0"/>
          <w:rtl/>
        </w:rPr>
        <w:t>נָחִית בְּאַבְרָם וְנָטַע בֵּיהּ ה' דְּאִיהִי עַנְפִין דְּאִילָנָא, נָחִית בְּיִצְחָק וְעָבִיד אִיבָּא דְאִיהוּ י' מִן יִצְחָק, נָחִית בְּיַעֲקֹב וְנָטַע בֵּיהּ ו' דְּאִיהוּ אִילָנָא, דְאִתְּמַר בֵּיהּ וֵאלֹהֵי יַעֲקֹב.</w:t>
      </w:r>
    </w:p>
    <w:p w:rsidR="0020255E" w:rsidRDefault="0020255E" w:rsidP="0020255E">
      <w:pPr>
        <w:pStyle w:val="aa"/>
        <w:spacing w:after="40"/>
        <w:rPr>
          <w:rtl/>
        </w:rPr>
      </w:pPr>
      <w:r>
        <w:rPr>
          <w:rtl/>
        </w:rPr>
        <w:t xml:space="preserve">[תיקוני זוהר - דף קי ע''א] </w:t>
      </w:r>
    </w:p>
    <w:p w:rsidR="0020255E" w:rsidRDefault="0020255E" w:rsidP="0020255E">
      <w:pPr>
        <w:pStyle w:val="NormalWeb"/>
        <w:rPr>
          <w:b w:val="0"/>
          <w:bCs w:val="0"/>
          <w:rtl/>
        </w:rPr>
      </w:pPr>
      <w:r>
        <w:rPr>
          <w:b w:val="0"/>
          <w:bCs w:val="0"/>
          <w:rtl/>
        </w:rPr>
        <w:t xml:space="preserve">לְבָתַר אָתָא מֹשֶׁה דְאִתְּמַר בֵּיהּ </w:t>
      </w:r>
      <w:r>
        <w:rPr>
          <w:b w:val="0"/>
          <w:sz w:val="20"/>
          <w:szCs w:val="23"/>
          <w:rtl/>
        </w:rPr>
        <w:t>(בראשית ו ג)</w:t>
      </w:r>
      <w:r>
        <w:rPr>
          <w:b w:val="0"/>
          <w:bCs w:val="0"/>
          <w:rtl/>
        </w:rPr>
        <w:t xml:space="preserve"> </w:t>
      </w:r>
      <w:r>
        <w:rPr>
          <w:rStyle w:val="a7"/>
          <w:b w:val="0"/>
          <w:bCs w:val="0"/>
          <w:rtl/>
        </w:rPr>
        <w:footnoteReference w:id="4953"/>
      </w:r>
      <w:r>
        <w:rPr>
          <w:b w:val="0"/>
          <w:bCs w:val="0"/>
          <w:rtl/>
        </w:rPr>
        <w:t xml:space="preserve">בְּשַׁגַּם הוּא בָשָׂר, שַׁגַּם זֶה הֶבֶל, וְנָחִית חֲמִשָּׁה חוּמְשֵׁי תוֹרָה, דְאִיהִי שָׁרְשָׁא דְאִלָנָא, וְאַשְׁלִים אִילָנָא בִשְׁמָא דְיהוָֹ''ה, וּבְגִין דָּא אִשְׁתַּלִּים בֵּיהּ שֵׁם יהו''ה, כְּמָה דְאַתְּ אָמַר </w:t>
      </w:r>
      <w:r>
        <w:rPr>
          <w:b w:val="0"/>
          <w:sz w:val="20"/>
          <w:szCs w:val="23"/>
          <w:rtl/>
        </w:rPr>
        <w:t>(שמות ג יג)</w:t>
      </w:r>
      <w:r>
        <w:rPr>
          <w:b w:val="0"/>
          <w:bCs w:val="0"/>
          <w:rtl/>
        </w:rPr>
        <w:t xml:space="preserve"> וְאָמְרוּ לִי מַה שְּׁמוֹ מָה אֹמַר אֲלֵיהֶם, </w:t>
      </w:r>
      <w:r>
        <w:rPr>
          <w:b w:val="0"/>
          <w:sz w:val="20"/>
          <w:szCs w:val="23"/>
          <w:rtl/>
        </w:rPr>
        <w:t>(שם ד א)</w:t>
      </w:r>
      <w:r>
        <w:rPr>
          <w:b w:val="0"/>
          <w:bCs w:val="0"/>
          <w:rtl/>
        </w:rPr>
        <w:t xml:space="preserve"> כִּי יֹאמְרוּ לֹא נִרְאָה אֵלֶיךָ יהו''ה, דְּלַאֲבָהָן לָא אִתְגְּלִי לוֹן, בְּגִין דְּלָא הֲוָה שְׁלִים שְׁמָא בַּאֲבָהָן, לָא אִתְגַּלְיָא לוֹן, הֲדָא הוּא דִכְתִיב </w:t>
      </w:r>
      <w:r>
        <w:rPr>
          <w:b w:val="0"/>
          <w:sz w:val="20"/>
          <w:szCs w:val="23"/>
          <w:rtl/>
        </w:rPr>
        <w:t>(שם ו ג)</w:t>
      </w:r>
      <w:r>
        <w:rPr>
          <w:b w:val="0"/>
          <w:bCs w:val="0"/>
          <w:rtl/>
        </w:rPr>
        <w:t xml:space="preserve"> וּשְׁמִי </w:t>
      </w:r>
      <w:r>
        <w:rPr>
          <w:b w:val="0"/>
          <w:sz w:val="20"/>
          <w:szCs w:val="23"/>
          <w:rtl/>
        </w:rPr>
        <w:t xml:space="preserve">(דף קי ע''א) </w:t>
      </w:r>
      <w:r>
        <w:rPr>
          <w:b w:val="0"/>
          <w:bCs w:val="0"/>
          <w:rtl/>
        </w:rPr>
        <w:t xml:space="preserve">יהו''ה לֹא נוֹדַעְתִּי לָהֶם, בַּמֶּה דְחָב אָדָם אִתְתַּקַּן, </w:t>
      </w:r>
      <w:r>
        <w:rPr>
          <w:rStyle w:val="a7"/>
          <w:b w:val="0"/>
          <w:bCs w:val="0"/>
          <w:rtl/>
        </w:rPr>
        <w:footnoteReference w:id="4954"/>
      </w:r>
      <w:r>
        <w:rPr>
          <w:b w:val="0"/>
          <w:bCs w:val="0"/>
          <w:rtl/>
        </w:rPr>
        <w:t xml:space="preserve">וּבַמֶּה דְחָב הֶבֶל אִתְתַּקַּן, וְאִתְחַזַּר כֹּלָּא בְתִקּוּנֵיהּ בְּעַנְפּוֹי בְּשָׁרְשׁוֹי </w:t>
      </w:r>
      <w:r>
        <w:rPr>
          <w:rStyle w:val="a7"/>
          <w:b w:val="0"/>
          <w:bCs w:val="0"/>
          <w:rtl/>
        </w:rPr>
        <w:footnoteReference w:id="4955"/>
      </w:r>
      <w:r>
        <w:rPr>
          <w:b w:val="0"/>
          <w:bCs w:val="0"/>
          <w:rtl/>
        </w:rPr>
        <w:t xml:space="preserve">בְּנוֹפֵיהּ בְּאִיבֵּיהּ, וְכֹלָּא </w:t>
      </w:r>
      <w:r>
        <w:rPr>
          <w:rStyle w:val="a7"/>
          <w:b w:val="0"/>
          <w:bCs w:val="0"/>
          <w:rtl/>
        </w:rPr>
        <w:footnoteReference w:id="4956"/>
      </w:r>
      <w:r>
        <w:rPr>
          <w:b w:val="0"/>
          <w:bCs w:val="0"/>
          <w:rtl/>
        </w:rPr>
        <w:t xml:space="preserve">אִשְׁתַּלִּים בְּבַ''ר דְּאִיהוּ מֹשֶׁה, ב''ר מִן בְּרֵאשִׁית, </w:t>
      </w:r>
      <w:r>
        <w:rPr>
          <w:rStyle w:val="a7"/>
          <w:b w:val="0"/>
          <w:bCs w:val="0"/>
          <w:rtl/>
        </w:rPr>
        <w:footnoteReference w:id="4957"/>
      </w:r>
      <w:r>
        <w:rPr>
          <w:b w:val="0"/>
          <w:bCs w:val="0"/>
          <w:rtl/>
        </w:rPr>
        <w:t xml:space="preserve">מַה דַּהֲוָה שֵׁת נָחִית תַּמָּן י' וְאִתְעֲבִיד שִׁי''ת, </w:t>
      </w:r>
      <w:r>
        <w:rPr>
          <w:rStyle w:val="a7"/>
          <w:b w:val="0"/>
          <w:bCs w:val="0"/>
          <w:rtl/>
        </w:rPr>
        <w:footnoteReference w:id="4958"/>
      </w:r>
      <w:r>
        <w:rPr>
          <w:b w:val="0"/>
          <w:bCs w:val="0"/>
          <w:rtl/>
        </w:rPr>
        <w:t xml:space="preserve">וּמַתְחִיל בְּב' דְּאִיהִי בְרָכָה לְאַפָּקָא אַרְעָא מִלְּוָוטַיָּא, דְאִתְּמַר בָּהּ </w:t>
      </w:r>
      <w:r>
        <w:rPr>
          <w:b w:val="0"/>
          <w:sz w:val="20"/>
          <w:szCs w:val="23"/>
          <w:rtl/>
        </w:rPr>
        <w:t>(בראשית ג יז)</w:t>
      </w:r>
      <w:r>
        <w:rPr>
          <w:b w:val="0"/>
          <w:bCs w:val="0"/>
          <w:rtl/>
        </w:rPr>
        <w:t xml:space="preserve"> אֲרוּרָה הָאֲדָמָה בַּעֲבוּרֶךָ, </w:t>
      </w:r>
      <w:r>
        <w:rPr>
          <w:rStyle w:val="a7"/>
          <w:b w:val="0"/>
          <w:bCs w:val="0"/>
          <w:rtl/>
        </w:rPr>
        <w:footnoteReference w:id="4959"/>
      </w:r>
      <w:r>
        <w:rPr>
          <w:b w:val="0"/>
          <w:bCs w:val="0"/>
          <w:rtl/>
        </w:rPr>
        <w:t>וּלְבָתַר נָחִית ר' עֲלָהּ דְאִיהִי רֵאשִׁית חָכְמָה, וְכַד קָרִיב לְטוּרָא דְסִינַי נָחִית א' מִן בְּרֵאשִׁית דְּאִיהִי אָנֹכִי, וְנָחִית עֲלָהּ כֶּתֶר, דְּאִינוּן אַתְוָון דְּעֶשֶׂר אֲמִירָן, וְאִשְׁתַּלִּים אִילָנָא בְכָל תִּקּוּנִין דִּילֵיהּ.</w:t>
      </w:r>
    </w:p>
    <w:p w:rsidR="00C16EB5" w:rsidRPr="00C16EB5" w:rsidRDefault="00C16EB5" w:rsidP="00C16EB5">
      <w:pPr>
        <w:pStyle w:val="4"/>
        <w:jc w:val="right"/>
        <w:rPr>
          <w:b w:val="0"/>
          <w:bCs w:val="0"/>
          <w:sz w:val="28"/>
          <w:szCs w:val="28"/>
          <w:rtl/>
        </w:rPr>
      </w:pPr>
      <w:r w:rsidRPr="00C16EB5">
        <w:rPr>
          <w:rFonts w:hint="cs"/>
          <w:b w:val="0"/>
          <w:bCs w:val="0"/>
          <w:sz w:val="28"/>
          <w:szCs w:val="28"/>
          <w:rtl/>
        </w:rPr>
        <w:t>[וילנא קלא ע"א]</w:t>
      </w:r>
    </w:p>
    <w:p w:rsidR="0020255E" w:rsidRDefault="0020255E" w:rsidP="0020255E">
      <w:pPr>
        <w:pStyle w:val="NormalWeb"/>
        <w:rPr>
          <w:b w:val="0"/>
          <w:bCs w:val="0"/>
          <w:rtl/>
        </w:rPr>
      </w:pPr>
      <w:r>
        <w:rPr>
          <w:b w:val="0"/>
          <w:bCs w:val="0"/>
          <w:rtl/>
        </w:rPr>
        <w:t xml:space="preserve">אָמְרוּ לֵיהּ רַבִּי רַבִּי, הָא אִילָנָא שְׁלִים בְּיהֹוָ''ה, אַמַּאי נָחִית א' מִן בְּרֵאשִׁית, אֶלָּא בְגִין דְּאִיהוּ נְבִיעוּ לְאַשְׁקָאָה אִילָנָא, דְּמִתַּמָּן </w:t>
      </w:r>
      <w:r>
        <w:rPr>
          <w:rStyle w:val="a7"/>
          <w:b w:val="0"/>
          <w:bCs w:val="0"/>
          <w:rtl/>
        </w:rPr>
        <w:footnoteReference w:id="4960"/>
      </w:r>
      <w:r>
        <w:rPr>
          <w:b w:val="0"/>
          <w:bCs w:val="0"/>
          <w:rtl/>
        </w:rPr>
        <w:t xml:space="preserve">אלהי''ם מְלֵיאָ''ה מִכָּל תֵּשַׁע סְפִירָאן, דְּאִינוּן בַּבְּרֵאשִׁית, שִׁית אִינוּן שִׁית סְפִירָאן, בָּרָא תְּלַת סְפִירָאן עִלָּאִין, </w:t>
      </w:r>
      <w:r w:rsidR="00C16EB5" w:rsidRPr="00C16EB5">
        <w:rPr>
          <w:rStyle w:val="40"/>
          <w:rFonts w:hint="cs"/>
          <w:rtl/>
        </w:rPr>
        <w:t>(וילנא קלא ע"א)</w:t>
      </w:r>
      <w:r w:rsidR="00C16EB5">
        <w:rPr>
          <w:rFonts w:hint="cs"/>
          <w:b w:val="0"/>
          <w:bCs w:val="0"/>
          <w:rtl/>
        </w:rPr>
        <w:t xml:space="preserve"> </w:t>
      </w:r>
      <w:r>
        <w:rPr>
          <w:b w:val="0"/>
          <w:bCs w:val="0"/>
          <w:rtl/>
        </w:rPr>
        <w:t>אלהי''ם אִיהוּ עֲשִׂירָאָה מְלֵיאָה מִכֻּלְּהוּ תֵּשַׁע, שְׁלִימוּ דְכֻלְּהוּ, וּבְגִין דָּא בְּרֵאשִׁית בָּרָא אלהי''ם, בְּרֵאשִׁית בָּרָא עִם אלהי''ם, אֵת הַשָּׁמַיִם וְאֵת הָאָרֶץ, אָתוּ לְנַשְׁקָא לֵיהּ פָּרַח לְעִילָא.</w:t>
      </w:r>
    </w:p>
    <w:p w:rsidR="0020255E" w:rsidRDefault="0020255E" w:rsidP="0020255E">
      <w:pPr>
        <w:pStyle w:val="NormalWeb"/>
        <w:rPr>
          <w:b w:val="0"/>
          <w:bCs w:val="0"/>
          <w:rtl/>
        </w:rPr>
      </w:pPr>
      <w:r>
        <w:rPr>
          <w:b w:val="0"/>
          <w:bCs w:val="0"/>
          <w:rtl/>
        </w:rPr>
        <w:t xml:space="preserve">אָמַר רַבִּי שִׁמְעוֹן חַבְרַיָּא בְּוַדַּאי קוּדְשָׁא בְּרִיךְ הוּא אִסְתַּכַּם עִמָּנָא, עִלָּאִין וְתַתָּאִין לְמֶהֱוִי בְּהַאי חִבּוּרָא, זַכָּאָה דָרָא דְהַאי אִתְגַּלְיָיא בֵיהּ, דְּעָתִיד כּוּלֵי הַאי לְאִתְחַדְּשָׁא עַל יְדָא דְמֹשֶׁה בְּסוֹף יוֹמַיָּא בְדָרָא בַתְרָאָה, </w:t>
      </w:r>
      <w:r>
        <w:rPr>
          <w:rStyle w:val="a7"/>
          <w:b w:val="0"/>
          <w:bCs w:val="0"/>
          <w:rtl/>
        </w:rPr>
        <w:footnoteReference w:id="4961"/>
      </w:r>
      <w:r>
        <w:rPr>
          <w:b w:val="0"/>
          <w:bCs w:val="0"/>
          <w:rtl/>
        </w:rPr>
        <w:t xml:space="preserve">לְקַיְימָא קְרָא </w:t>
      </w:r>
      <w:r>
        <w:rPr>
          <w:b w:val="0"/>
          <w:sz w:val="20"/>
          <w:szCs w:val="23"/>
          <w:rtl/>
        </w:rPr>
        <w:t>(קהלת א ט)</w:t>
      </w:r>
      <w:r>
        <w:rPr>
          <w:b w:val="0"/>
          <w:bCs w:val="0"/>
          <w:rtl/>
        </w:rPr>
        <w:t xml:space="preserve"> מַ''ה שֶּׁ''הָיָה ה''וּא שֶׁיִּהְיֶה, </w:t>
      </w:r>
      <w:r>
        <w:rPr>
          <w:rStyle w:val="a7"/>
          <w:b w:val="0"/>
          <w:bCs w:val="0"/>
          <w:rtl/>
        </w:rPr>
        <w:footnoteReference w:id="4962"/>
      </w:r>
      <w:r>
        <w:rPr>
          <w:b w:val="0"/>
          <w:bCs w:val="0"/>
          <w:rtl/>
        </w:rPr>
        <w:t xml:space="preserve">וּבֵיהּ </w:t>
      </w:r>
      <w:r>
        <w:rPr>
          <w:b w:val="0"/>
          <w:sz w:val="20"/>
          <w:szCs w:val="23"/>
          <w:rtl/>
        </w:rPr>
        <w:t>(תהלים לג יד)</w:t>
      </w:r>
      <w:r>
        <w:rPr>
          <w:b w:val="0"/>
          <w:szCs w:val="23"/>
          <w:rtl/>
        </w:rPr>
        <w:t xml:space="preserve"> </w:t>
      </w:r>
      <w:r>
        <w:rPr>
          <w:rStyle w:val="Char"/>
          <w:rtl/>
        </w:rPr>
        <w:t>מִ"מְּכוֹן שִׁ"בְתּוֹ הִ"שְׁגִּיחַ,</w:t>
      </w:r>
      <w:r>
        <w:rPr>
          <w:b w:val="0"/>
          <w:szCs w:val="23"/>
          <w:rtl/>
        </w:rPr>
        <w:t xml:space="preserve"> </w:t>
      </w:r>
      <w:r>
        <w:rPr>
          <w:b w:val="0"/>
          <w:sz w:val="20"/>
          <w:szCs w:val="23"/>
          <w:rtl/>
        </w:rPr>
        <w:t>(שם קמד טו)</w:t>
      </w:r>
      <w:r>
        <w:rPr>
          <w:b w:val="0"/>
          <w:bCs w:val="0"/>
          <w:rtl/>
        </w:rPr>
        <w:t xml:space="preserve"> אַשְׁרֵי הָעָם </w:t>
      </w:r>
      <w:r>
        <w:rPr>
          <w:rStyle w:val="a7"/>
          <w:b w:val="0"/>
          <w:bCs w:val="0"/>
          <w:rtl/>
        </w:rPr>
        <w:footnoteReference w:id="4963"/>
      </w:r>
      <w:r>
        <w:rPr>
          <w:b w:val="0"/>
          <w:bCs w:val="0"/>
          <w:rtl/>
        </w:rPr>
        <w:t xml:space="preserve">שֶׁכָּכָ''ה לּוֹ בְּגִימַטְרִיָּא מֹשֶׁ''ה, אַשְׁרֵי הָעָם שֶׁיהו''ה אלהי''ו, </w:t>
      </w:r>
      <w:r>
        <w:rPr>
          <w:rStyle w:val="a7"/>
          <w:b w:val="0"/>
          <w:bCs w:val="0"/>
          <w:rtl/>
        </w:rPr>
        <w:footnoteReference w:id="4964"/>
      </w:r>
      <w:r>
        <w:rPr>
          <w:b w:val="0"/>
          <w:bCs w:val="0"/>
          <w:rtl/>
        </w:rPr>
        <w:t xml:space="preserve">דַּעֲלֵיהּ אִתְּמַר </w:t>
      </w:r>
      <w:r>
        <w:rPr>
          <w:b w:val="0"/>
          <w:sz w:val="20"/>
          <w:szCs w:val="23"/>
          <w:rtl/>
        </w:rPr>
        <w:t>(קהלת א ד)</w:t>
      </w:r>
      <w:r>
        <w:rPr>
          <w:b w:val="0"/>
          <w:bCs w:val="0"/>
          <w:rtl/>
        </w:rPr>
        <w:t xml:space="preserve"> דּוֹר הוֹלֵךְ וְדוֹר בָּא, וְלֵית דּוֹר פָּחוּת מִשִּׁשִּׁים רִבּוֹא, </w:t>
      </w:r>
      <w:r>
        <w:rPr>
          <w:rStyle w:val="a7"/>
          <w:b w:val="0"/>
          <w:bCs w:val="0"/>
          <w:rtl/>
        </w:rPr>
        <w:footnoteReference w:id="4965"/>
      </w:r>
      <w:r>
        <w:rPr>
          <w:b w:val="0"/>
          <w:bCs w:val="0"/>
          <w:rtl/>
        </w:rPr>
        <w:t xml:space="preserve">וַעֲלֵיהּ אִתְּמַר </w:t>
      </w:r>
      <w:r>
        <w:rPr>
          <w:b w:val="0"/>
          <w:sz w:val="20"/>
          <w:szCs w:val="23"/>
          <w:rtl/>
        </w:rPr>
        <w:t>(תהלים קה ה)</w:t>
      </w:r>
      <w:r>
        <w:rPr>
          <w:b w:val="0"/>
          <w:bCs w:val="0"/>
          <w:rtl/>
        </w:rPr>
        <w:t xml:space="preserve"> דָּבָר צִוָּה לְאֶלֶף דּוֹר, וְאִתְפַּשְׁטוּתֵיהּ הוּא בְכָל דָּרָא וְדָרָא, בְכָל צַדִּיק וְחָכָם דְּמִתְעַסֵּק בְּאוֹרַיְיתָא, עַד שִׁתִּין רִבּוֹא, לְאַשְׁלָמָא לְכֻלְּהוּ מִפְּגִימוּ דִלְהוֹן, וְרָזָא דְמִלָּה </w:t>
      </w:r>
      <w:r>
        <w:rPr>
          <w:b w:val="0"/>
          <w:sz w:val="20"/>
          <w:szCs w:val="23"/>
          <w:rtl/>
        </w:rPr>
        <w:t>(ישעיה נג ה)</w:t>
      </w:r>
      <w:r>
        <w:rPr>
          <w:b w:val="0"/>
          <w:bCs w:val="0"/>
          <w:rtl/>
        </w:rPr>
        <w:t xml:space="preserve"> וְהוּא מְחוֹלָל מִפְּשָׁעִנוּ, דְאִיהוּ שָׁקִיל לְכֻלְּהוּ, כְּמָה דְאוּקְמוּהָ מָארֵי מַתְנִיתִין אִשָּׁה אַחַת יָלְדָה שִׁשִּׁים רִבּוֹא, וּמַנּוּ מֹשֶׁה דְשָׁקִיל כְּשִׁשִּׁים רִבּוֹא, </w:t>
      </w:r>
      <w:r>
        <w:rPr>
          <w:rStyle w:val="a7"/>
          <w:b w:val="0"/>
          <w:bCs w:val="0"/>
          <w:rtl/>
        </w:rPr>
        <w:footnoteReference w:id="4966"/>
      </w:r>
      <w:r>
        <w:rPr>
          <w:b w:val="0"/>
          <w:bCs w:val="0"/>
          <w:rtl/>
        </w:rPr>
        <w:t>וּבְגִין דָּא אִתְּמַר עֲלֵיהּ דּוֹר הוֹלֵךְ לְהַהוּא עָלְמָא, וְדוֹר בָּא אִיהוּ יֵיתֵי כְּמִלְּקַדְמִין.</w:t>
      </w:r>
    </w:p>
    <w:p w:rsidR="0020255E" w:rsidRDefault="0020255E" w:rsidP="0020255E">
      <w:pPr>
        <w:pStyle w:val="NormalWeb"/>
        <w:rPr>
          <w:b w:val="0"/>
          <w:bCs w:val="0"/>
          <w:rtl/>
        </w:rPr>
      </w:pPr>
      <w:r>
        <w:rPr>
          <w:rStyle w:val="a7"/>
          <w:b w:val="0"/>
          <w:bCs w:val="0"/>
          <w:rtl/>
        </w:rPr>
        <w:footnoteReference w:id="4967"/>
      </w:r>
      <w:r>
        <w:rPr>
          <w:b w:val="0"/>
          <w:bCs w:val="0"/>
          <w:rtl/>
        </w:rPr>
        <w:t xml:space="preserve">וְעוֹד </w:t>
      </w:r>
      <w:r>
        <w:rPr>
          <w:b w:val="0"/>
          <w:sz w:val="20"/>
          <w:szCs w:val="23"/>
          <w:rtl/>
        </w:rPr>
        <w:t>(בראשית ד כה)</w:t>
      </w:r>
      <w:r>
        <w:rPr>
          <w:b w:val="0"/>
          <w:bCs w:val="0"/>
          <w:rtl/>
        </w:rPr>
        <w:t xml:space="preserve"> כִּי שָׁת לִי אלהי''ם זֶרַע אַחֵר, שֵׁת </w:t>
      </w:r>
      <w:r>
        <w:rPr>
          <w:rStyle w:val="a7"/>
          <w:b w:val="0"/>
          <w:bCs w:val="0"/>
          <w:rtl/>
        </w:rPr>
        <w:footnoteReference w:id="4968"/>
      </w:r>
      <w:r>
        <w:rPr>
          <w:b w:val="0"/>
          <w:bCs w:val="0"/>
          <w:rtl/>
        </w:rPr>
        <w:t xml:space="preserve">אִתְפַּשְׁטוּתֵיהּ הֲוָה עַד יַעֲקֹב, </w:t>
      </w:r>
      <w:r>
        <w:rPr>
          <w:rStyle w:val="a7"/>
          <w:b w:val="0"/>
          <w:bCs w:val="0"/>
          <w:rtl/>
        </w:rPr>
        <w:footnoteReference w:id="4969"/>
      </w:r>
      <w:r>
        <w:rPr>
          <w:b w:val="0"/>
          <w:bCs w:val="0"/>
          <w:rtl/>
        </w:rPr>
        <w:t xml:space="preserve">דְּפָרַח בֵּיהּ י' מִן שִׁית וְאִשְׁתָּאַר שֵׁת, וְאִשְׁתָּאַר יַעֲקֹב עָקֵב, </w:t>
      </w:r>
      <w:r>
        <w:rPr>
          <w:rStyle w:val="a7"/>
          <w:b w:val="0"/>
          <w:bCs w:val="0"/>
          <w:rtl/>
        </w:rPr>
        <w:footnoteReference w:id="4970"/>
      </w:r>
      <w:r>
        <w:rPr>
          <w:b w:val="0"/>
          <w:bCs w:val="0"/>
          <w:rtl/>
        </w:rPr>
        <w:t xml:space="preserve">דְּיַעֲקֹב דִּיּוֹקְנֵיהּ דְּאָדָם קַדְמָאָה הֲוָה, כְּמָה דְאוּקְמוּהָ שׁוּפְרֵיהּ דְּיַעֲקֹב כְּעִין שׁוּפְרֵיהּ דְּאָדָם הָרִאשׁוֹן, </w:t>
      </w:r>
      <w:r>
        <w:rPr>
          <w:rStyle w:val="a7"/>
          <w:b w:val="0"/>
          <w:bCs w:val="0"/>
          <w:rtl/>
        </w:rPr>
        <w:footnoteReference w:id="4971"/>
      </w:r>
      <w:r>
        <w:rPr>
          <w:b w:val="0"/>
          <w:bCs w:val="0"/>
          <w:rtl/>
        </w:rPr>
        <w:t xml:space="preserve">וּבְגִין הַאי י' אִתְּמַר </w:t>
      </w:r>
      <w:r>
        <w:rPr>
          <w:b w:val="0"/>
          <w:sz w:val="20"/>
          <w:szCs w:val="23"/>
          <w:rtl/>
        </w:rPr>
        <w:t>(תהלים קיח כא)</w:t>
      </w:r>
      <w:r>
        <w:rPr>
          <w:b w:val="0"/>
          <w:bCs w:val="0"/>
          <w:rtl/>
        </w:rPr>
        <w:t xml:space="preserve"> אֶבֶן מָאֲסוּ הַבּוֹנִים, דְּאִינוּן אַבְרָהָם וְיִצְחָק, דְּאִתְּמַר בָּהּ לְגַבֵּי אָדָם </w:t>
      </w:r>
      <w:r>
        <w:rPr>
          <w:b w:val="0"/>
          <w:sz w:val="20"/>
          <w:szCs w:val="23"/>
          <w:rtl/>
        </w:rPr>
        <w:t>(בראשית ג טו)</w:t>
      </w:r>
      <w:r>
        <w:rPr>
          <w:b w:val="0"/>
          <w:bCs w:val="0"/>
          <w:rtl/>
        </w:rPr>
        <w:t xml:space="preserve"> הוּא יְשׁוּפְךָ רֹאשׁ וְאַתָּה תְּשׁוּפֶנּוּ עָקֵב, דַּהֲווֹ יָדְעִין דַּהֲוָה עֲתִידָה לְאַלְקָאָה מֵחִוְיָא, וּבְגִין דָּא אִתְּמַר בָּהּ אֶבֶן מָאֲסוּ הַבּוֹנִים.</w:t>
      </w:r>
    </w:p>
    <w:p w:rsidR="0020255E" w:rsidRDefault="0020255E" w:rsidP="0020255E">
      <w:pPr>
        <w:pStyle w:val="NormalWeb"/>
        <w:rPr>
          <w:b w:val="0"/>
          <w:bCs w:val="0"/>
          <w:rtl/>
        </w:rPr>
      </w:pPr>
      <w:r>
        <w:rPr>
          <w:b w:val="0"/>
          <w:bCs w:val="0"/>
          <w:rtl/>
        </w:rPr>
        <w:t xml:space="preserve">אָמְרוּ לֵיהּ חַבְרַיָּא, וְהָא אָמַר רַבִּי פִּנְחָס דְּאָת י' אִיהִי בְּיִצְחָק, אָמַר וַדַּאי י' עִלָּאָה אִיהִי מִן חָכְמָה, וְהַאי אִיהִי י' זְעִירָא, וּבְגִין דָּא אִתְּמַר בָּהּ עָקֵב, הֲדָא הוּא דִכְתִיב וְאַתָּה תְּשׁוּפֶנּוּ עָקֵב, וְדָא כַּף יֶרֶךְ יַעֲקֹב, דְּאִתְּמַר בָּהּ </w:t>
      </w:r>
      <w:r>
        <w:rPr>
          <w:b w:val="0"/>
          <w:sz w:val="20"/>
          <w:szCs w:val="23"/>
          <w:rtl/>
        </w:rPr>
        <w:t>(בראשית לב כו)</w:t>
      </w:r>
      <w:r>
        <w:rPr>
          <w:b w:val="0"/>
          <w:bCs w:val="0"/>
          <w:rtl/>
        </w:rPr>
        <w:t xml:space="preserve"> וַיִּגַּע בְּכַף יְרֵכוֹ, וְאִתְּמַר בֵּיהּ וְהוּא צֹלֵעַ עַל יְרֵכוֹ, וְדָא י' מִן אדנ''י, וְאִיהוּ י' מִן הוהי, </w:t>
      </w:r>
      <w:r>
        <w:rPr>
          <w:rStyle w:val="a7"/>
          <w:b w:val="0"/>
          <w:bCs w:val="0"/>
          <w:rtl/>
        </w:rPr>
        <w:footnoteReference w:id="4972"/>
      </w:r>
      <w:r>
        <w:rPr>
          <w:b w:val="0"/>
          <w:bCs w:val="0"/>
          <w:rtl/>
        </w:rPr>
        <w:t xml:space="preserve">דְּבָהּ </w:t>
      </w:r>
      <w:r>
        <w:rPr>
          <w:b w:val="0"/>
          <w:sz w:val="20"/>
          <w:szCs w:val="23"/>
          <w:rtl/>
        </w:rPr>
        <w:t>(שמות ג ו)</w:t>
      </w:r>
      <w:r>
        <w:rPr>
          <w:b w:val="0"/>
          <w:bCs w:val="0"/>
          <w:rtl/>
        </w:rPr>
        <w:t xml:space="preserve"> וַיַּסְתֵּר מֹשֶׁה פָּנָיו כִּי יָרֵא מֵהַבִּיט לַאֲתַר דְּחָב בִּדְקַדְמֵיתָא, קֳדָם דְּיֵיתֵי בְגִלְגּוּלָא, כֵּיוָן דְּאָתָא יַעֲקֹב תַּמָּן, מִיָּד </w:t>
      </w:r>
      <w:r>
        <w:rPr>
          <w:b w:val="0"/>
          <w:sz w:val="20"/>
          <w:szCs w:val="23"/>
          <w:rtl/>
        </w:rPr>
        <w:t>(בראשית לג יז)</w:t>
      </w:r>
      <w:r>
        <w:rPr>
          <w:b w:val="0"/>
          <w:bCs w:val="0"/>
          <w:rtl/>
        </w:rPr>
        <w:t xml:space="preserve"> וְיַעֲקֹב נָסַע סֻכֹּתָה וַיִּבֶן לוֹ בָּיִת, </w:t>
      </w:r>
      <w:r>
        <w:rPr>
          <w:rStyle w:val="a7"/>
          <w:b w:val="0"/>
          <w:bCs w:val="0"/>
          <w:rtl/>
        </w:rPr>
        <w:footnoteReference w:id="4973"/>
      </w:r>
      <w:r>
        <w:rPr>
          <w:b w:val="0"/>
          <w:bCs w:val="0"/>
          <w:rtl/>
        </w:rPr>
        <w:t xml:space="preserve">בַּת י', מִיָּד אִשְׁתַּלִּים י' בְּעָקֵב וְאִתְעֲבִיד יַעֲקֹב, וְדָא אִיהוּ דְאָמַר קְרָא </w:t>
      </w:r>
      <w:r>
        <w:rPr>
          <w:b w:val="0"/>
          <w:sz w:val="20"/>
          <w:szCs w:val="23"/>
          <w:rtl/>
        </w:rPr>
        <w:t>(שם טו)</w:t>
      </w:r>
      <w:r>
        <w:rPr>
          <w:b w:val="0"/>
          <w:bCs w:val="0"/>
          <w:rtl/>
        </w:rPr>
        <w:t xml:space="preserve"> וַיָּבֹא יַעֲקֹב שָׁלֵם, וּלְבָתַר אָתָא מֹשֶׁה וְהָפַךְ הוהי מִדִּינָא לְרַחֲמֵי וְאִתְחַזַּר יהו''ה, וְדָא אִיהוּ רָזָא אֶבֶן מָאֲסוּ הַבּוֹנִים, בְּהַהוּא זִמְנָא אָמְרוּ כֻּלְּהוּ </w:t>
      </w:r>
      <w:r>
        <w:rPr>
          <w:rStyle w:val="a7"/>
          <w:b w:val="0"/>
          <w:bCs w:val="0"/>
          <w:rtl/>
        </w:rPr>
        <w:footnoteReference w:id="4974"/>
      </w:r>
      <w:r>
        <w:rPr>
          <w:b w:val="0"/>
          <w:bCs w:val="0"/>
          <w:rtl/>
        </w:rPr>
        <w:t>מֵאֵת יהו''ה הָיְתָה זֹּאת כו'.</w:t>
      </w:r>
    </w:p>
    <w:p w:rsidR="0020255E" w:rsidRDefault="0020255E" w:rsidP="00C16EB5">
      <w:pPr>
        <w:pStyle w:val="3"/>
        <w:bidi/>
        <w:rPr>
          <w:rtl/>
        </w:rPr>
      </w:pPr>
      <w:r>
        <w:rPr>
          <w:rtl/>
        </w:rPr>
        <w:t xml:space="preserve">[תיקוני זוהר - דף קי ע''ב] </w:t>
      </w:r>
    </w:p>
    <w:p w:rsidR="0020255E" w:rsidRDefault="0020255E" w:rsidP="0020255E">
      <w:pPr>
        <w:pStyle w:val="NormalWeb"/>
        <w:rPr>
          <w:b w:val="0"/>
          <w:bCs w:val="0"/>
          <w:rtl/>
        </w:rPr>
      </w:pPr>
      <w:r>
        <w:rPr>
          <w:b w:val="0"/>
          <w:bCs w:val="0"/>
          <w:rtl/>
        </w:rPr>
        <w:t xml:space="preserve">וַיְהִי מִקֵּץ יָמִים וַיָּבֵא קַיִן מִפְּרִי הָאֲדָמָה מִנְחָה לַיהו''ה </w:t>
      </w:r>
      <w:r>
        <w:rPr>
          <w:b w:val="0"/>
          <w:sz w:val="20"/>
          <w:szCs w:val="23"/>
          <w:rtl/>
        </w:rPr>
        <w:t>(בראשית ד ג)</w:t>
      </w:r>
      <w:r>
        <w:rPr>
          <w:b w:val="0"/>
          <w:bCs w:val="0"/>
          <w:rtl/>
        </w:rPr>
        <w:t xml:space="preserve">, מֵאָן אֲתַר </w:t>
      </w:r>
      <w:r w:rsidRPr="00C16EB5">
        <w:rPr>
          <w:rStyle w:val="40"/>
          <w:rtl/>
        </w:rPr>
        <w:t>(דף קי ע''ב)</w:t>
      </w:r>
      <w:r>
        <w:rPr>
          <w:b w:val="0"/>
          <w:sz w:val="20"/>
          <w:szCs w:val="23"/>
          <w:rtl/>
        </w:rPr>
        <w:t xml:space="preserve"> </w:t>
      </w:r>
      <w:r>
        <w:rPr>
          <w:b w:val="0"/>
          <w:bCs w:val="0"/>
          <w:rtl/>
        </w:rPr>
        <w:t xml:space="preserve">אַיְיתֵי לֵיהּ, מִקֵּץ יָמִים, מִשִּׁיּוּרִין דִּילֵיהּ, </w:t>
      </w:r>
      <w:r>
        <w:rPr>
          <w:rStyle w:val="a7"/>
          <w:b w:val="0"/>
          <w:bCs w:val="0"/>
          <w:rtl/>
        </w:rPr>
        <w:footnoteReference w:id="4975"/>
      </w:r>
      <w:r>
        <w:rPr>
          <w:b w:val="0"/>
          <w:bCs w:val="0"/>
          <w:rtl/>
        </w:rPr>
        <w:t xml:space="preserve">כְּגוֹן בַּר נַשׁ דְּאִיהוּ בְּסוֹף יוֹמוֹי חָזַר בִּתְיוּבְתָּא, כַּד לָא אִית לֵיהּ חֵילָא לְמֶעֱבַד טַב וּבִישׁ, וּבְעוּלְמוֹי בְּתוּקְפֵיהּ לָא תָב, כְּמָה דְאוּקְמוּהוּ </w:t>
      </w:r>
      <w:r>
        <w:rPr>
          <w:b w:val="0"/>
          <w:sz w:val="20"/>
          <w:szCs w:val="23"/>
          <w:rtl/>
        </w:rPr>
        <w:t>(ויקרא יט לב)</w:t>
      </w:r>
      <w:r>
        <w:rPr>
          <w:b w:val="0"/>
          <w:bCs w:val="0"/>
          <w:rtl/>
        </w:rPr>
        <w:t xml:space="preserve"> מִפְּנֵי שֵׂיבָה תָּקוּם, וּבְגִין דָּא וְאֶל קַיִן וְאֶל מִנְחָתוֹ לֹא שָׁעָה, אֲבָל הֶבֶל מִבְּכוֹרוֹת צֹאנוֹ אַיְיתֵי לֵיהּ קָרְבָּנָא מִשַּׁפִּירוּ דִילֵיהּ, וּבְגִין דָּא וַיִּשַׁע יהו''ה אֶל הֶבֶל. וְעוֹד אֶל קַיִן וְאֶל מִנְחָתוֹ לֹא שָׁעָה, בְּגִין דְּקָרְבָּנָא דִילֵיהּ הֲוָה </w:t>
      </w:r>
      <w:r>
        <w:rPr>
          <w:rStyle w:val="a7"/>
          <w:b w:val="0"/>
          <w:bCs w:val="0"/>
          <w:rtl/>
        </w:rPr>
        <w:footnoteReference w:id="4976"/>
      </w:r>
      <w:r>
        <w:rPr>
          <w:b w:val="0"/>
          <w:bCs w:val="0"/>
          <w:rtl/>
        </w:rPr>
        <w:t xml:space="preserve">מֵהַהוּא אֲתַר דְּאִקְרֵי עֶרְוָה, וּמַאי הֲוָה פִשְׁתִּים, דְּאִתְּמַר בֵּיהּ </w:t>
      </w:r>
      <w:r>
        <w:rPr>
          <w:b w:val="0"/>
          <w:sz w:val="20"/>
          <w:szCs w:val="23"/>
          <w:rtl/>
        </w:rPr>
        <w:t>(שמות כח מב)</w:t>
      </w:r>
      <w:r>
        <w:rPr>
          <w:b w:val="0"/>
          <w:bCs w:val="0"/>
          <w:rtl/>
        </w:rPr>
        <w:t xml:space="preserve"> וַעֲשֵׂה לָהֶם מִכְנְסֵי בָד לְכַסּוֹת בְּשַׂר עֶרְוָה.</w:t>
      </w:r>
    </w:p>
    <w:p w:rsidR="0020255E" w:rsidRDefault="0020255E" w:rsidP="0020255E">
      <w:pPr>
        <w:pStyle w:val="NormalWeb"/>
        <w:rPr>
          <w:b w:val="0"/>
          <w:bCs w:val="0"/>
          <w:rtl/>
        </w:rPr>
      </w:pPr>
      <w:r>
        <w:rPr>
          <w:b w:val="0"/>
          <w:bCs w:val="0"/>
          <w:rtl/>
        </w:rPr>
        <w:t xml:space="preserve">אָמַר לֵיהּ רַבִּי אֶלְעָזָר, דְּאִתְכַּסִּי בֵּיהּ בְּשַׂר עֶרְוָה טַב אִיהוּ, אָמַר לֵיהּ בְּרִי לַאו כָּל עֲרָיוֹת שָׁוִין, הַאי לָא קְרִיב קָרְבָּנָא דָא אֶלָּא לְקָרְבָא עֶרְוָה דִילֵיהּ לַה', דְּאִתְּמַר בֵּיהּ </w:t>
      </w:r>
      <w:r>
        <w:rPr>
          <w:b w:val="0"/>
          <w:sz w:val="20"/>
          <w:szCs w:val="23"/>
          <w:rtl/>
        </w:rPr>
        <w:t>(ויקרא יח ו)</w:t>
      </w:r>
      <w:r>
        <w:rPr>
          <w:b w:val="0"/>
          <w:bCs w:val="0"/>
          <w:rtl/>
        </w:rPr>
        <w:t xml:space="preserve"> אִישׁ אִישׁ אֶל כָּל שְׁאֵר בְּשָׂרוֹ לֹא תִקְרְבוּ לְגַלּוֹת עֶרְוָה אֲנִי יהו''ה, וּמַאי עֶרְוָה דִילֵיהּ זוּהֲמָא בִּישָׁא עָרְלָה, נוּקְבָא דְעָרְלָה, הַהִיא דְאִתְּמַר בָּהּ אָדָם הָרִאשׁוֹן מוֹשֵׁךְ בְּעָרְלָתוֹ הֲוָה, וּמַאי נִיהִי אִימָּא דְעִרְבוּבְיָא בִּישָׁא, אִיבָּא דְאִלָנָא דְטוֹב וָרָע, דְּאִתְּמַר בָּהּ </w:t>
      </w:r>
      <w:r>
        <w:rPr>
          <w:b w:val="0"/>
          <w:sz w:val="20"/>
          <w:szCs w:val="23"/>
          <w:rtl/>
        </w:rPr>
        <w:t>(בראשית ג ו)</w:t>
      </w:r>
      <w:r>
        <w:rPr>
          <w:b w:val="0"/>
          <w:bCs w:val="0"/>
          <w:rtl/>
        </w:rPr>
        <w:t xml:space="preserve"> וַתִּקַּח מִפִּרְיוֹ וַתִּתֵּן גַּם לְאִישָׁהּ עִמָּהּ, וּמַאי נִיהִי לִילִית, מִתַּמָּן קָא אַתְיָין עִרֶב רַב דְּאִנּוּן מְעוּרָבִין בְּיִשְׂרָאֵל, דְּאִתְּמַר בְּהוֹן </w:t>
      </w:r>
      <w:r>
        <w:rPr>
          <w:b w:val="0"/>
          <w:sz w:val="20"/>
          <w:szCs w:val="23"/>
          <w:rtl/>
        </w:rPr>
        <w:t>(ישעיה א ד)</w:t>
      </w:r>
      <w:r>
        <w:rPr>
          <w:b w:val="0"/>
          <w:bCs w:val="0"/>
          <w:rtl/>
        </w:rPr>
        <w:t xml:space="preserve"> הוֹי גּוֹי חוֹטֵא, דְאִינוּן זֶרַע מְרֵעִים בָּנִים מַשְׁחִיתִים וכו', וְאָמְרוּ אֵלֶּה אלהי''ך יִשְׂרָאֵל לְעֶגְלָא, וּבְגִין דָּא </w:t>
      </w:r>
      <w:r>
        <w:rPr>
          <w:b w:val="0"/>
          <w:sz w:val="20"/>
          <w:szCs w:val="23"/>
          <w:rtl/>
        </w:rPr>
        <w:t>(בראשית ד ה)</w:t>
      </w:r>
      <w:r>
        <w:rPr>
          <w:b w:val="0"/>
          <w:bCs w:val="0"/>
          <w:rtl/>
        </w:rPr>
        <w:t xml:space="preserve"> וְאֶל קַיִן וְאֶל מִנְחָתוֹ לֹא שָׁעָה.</w:t>
      </w:r>
    </w:p>
    <w:p w:rsidR="0020255E" w:rsidRDefault="0020255E" w:rsidP="0020255E">
      <w:pPr>
        <w:pStyle w:val="NormalWeb"/>
        <w:rPr>
          <w:b w:val="0"/>
          <w:bCs w:val="0"/>
          <w:rtl/>
        </w:rPr>
      </w:pPr>
      <w:r>
        <w:rPr>
          <w:b w:val="0"/>
          <w:bCs w:val="0"/>
          <w:rtl/>
        </w:rPr>
        <w:t xml:space="preserve">וְהָא קוּדְשָׁא בְּרִיךְ הוּא אִתְּמַר בֵּיהּ </w:t>
      </w:r>
      <w:r>
        <w:rPr>
          <w:b w:val="0"/>
          <w:sz w:val="20"/>
          <w:szCs w:val="23"/>
          <w:rtl/>
        </w:rPr>
        <w:t>(תהלים קמה ט)</w:t>
      </w:r>
      <w:r>
        <w:rPr>
          <w:b w:val="0"/>
          <w:bCs w:val="0"/>
          <w:rtl/>
        </w:rPr>
        <w:t xml:space="preserve"> וְרַחֲמָיו עַל כָּל מַעֲשָׂיו, וְאִתְּמַר בֵּיהּ </w:t>
      </w:r>
      <w:r>
        <w:rPr>
          <w:b w:val="0"/>
          <w:sz w:val="20"/>
          <w:szCs w:val="23"/>
          <w:rtl/>
        </w:rPr>
        <w:t>(יחזקאל יח לב)</w:t>
      </w:r>
      <w:r>
        <w:rPr>
          <w:b w:val="0"/>
          <w:bCs w:val="0"/>
          <w:rtl/>
        </w:rPr>
        <w:t xml:space="preserve"> כִּי לֹא אֶחְפּוֹץ בְּמוֹת הַמֵּת, וְקַבִּיל לוֹן, כָּל שֶׁכֵּן לְקָרְבָּנָא דְקַיִן, אֶלָּא דַהֲוָה רְעוּתֵיהּ לְבִישׁ כְּמָה דְאִתְּמַר, אֲבָל הֶבֶל הֲוָה רְעוּתֵיהּ בְּקָרְבָּנָא דִילֵיהּ, לְקָרְבָא שְׁכִינְתָּא לְהַהוּא דְאִתְּמַר בֵּיהּ </w:t>
      </w:r>
      <w:r>
        <w:rPr>
          <w:b w:val="0"/>
          <w:sz w:val="20"/>
          <w:szCs w:val="23"/>
          <w:rtl/>
        </w:rPr>
        <w:t>(דניאל ז ט)</w:t>
      </w:r>
      <w:r>
        <w:rPr>
          <w:b w:val="0"/>
          <w:bCs w:val="0"/>
          <w:rtl/>
        </w:rPr>
        <w:t xml:space="preserve"> וְעַתִּיק יוֹמִין יְתִיב לְבוּשֵׁיהּ כִּתְלָג חִוָּור וּשְׂעַר רֵישֵׁיהּ כַּעֲמַר נְקֵי, בְּמַאי, בְּהַהוּא דְקָרִיב מִבְּכוֹרוֹת צֹאנוֹ וּמֵחֶלְבֵהֶן, וּבְגִין דָּא וַיִּשַׁע יהו''ה אֶל הֶבֶל וְהָא אִתְּמַר.</w:t>
      </w:r>
    </w:p>
    <w:p w:rsidR="0020255E" w:rsidRDefault="0020255E" w:rsidP="0020255E">
      <w:pPr>
        <w:pStyle w:val="NormalWeb"/>
        <w:rPr>
          <w:b w:val="0"/>
          <w:bCs w:val="0"/>
          <w:rtl/>
        </w:rPr>
      </w:pPr>
      <w:r>
        <w:rPr>
          <w:b w:val="0"/>
          <w:bCs w:val="0"/>
          <w:rtl/>
        </w:rPr>
        <w:t xml:space="preserve">וּמִיָּד דְּלָא אִתְקַבַּל קָרְבָּנָא דְקַיִן, וַיִּחַר לְקַיִן מְאֹד, וַיֹּאמֶר יהו''ה לְקַיִן לָמָּה חָרָה לָךְ דְּלָא מִתְקַבַּל קָרְבָּנָךְ, אִם תֵּטִיב עוֹבָדָךְ בְּגִלְגּוּלָא, שְׂאֵת לָךְ בְּעָלְמָא, וְתִתְקַבַּל בִּתְיוּבְתָּא, </w:t>
      </w:r>
      <w:r>
        <w:rPr>
          <w:b w:val="0"/>
          <w:sz w:val="20"/>
          <w:szCs w:val="23"/>
          <w:rtl/>
        </w:rPr>
        <w:t>(שם מט ג)</w:t>
      </w:r>
      <w:r>
        <w:rPr>
          <w:b w:val="0"/>
          <w:bCs w:val="0"/>
          <w:rtl/>
        </w:rPr>
        <w:t xml:space="preserve"> </w:t>
      </w:r>
      <w:r>
        <w:rPr>
          <w:rStyle w:val="a7"/>
          <w:b w:val="0"/>
          <w:bCs w:val="0"/>
          <w:rtl/>
        </w:rPr>
        <w:footnoteReference w:id="4977"/>
      </w:r>
      <w:r>
        <w:rPr>
          <w:b w:val="0"/>
          <w:bCs w:val="0"/>
          <w:rtl/>
        </w:rPr>
        <w:t xml:space="preserve">יֶתֶר שְׂאֵת וְיֶתֶר עָז, וְאִם לַאו לַפֶּתַח חַטָּאת רוֹבֵץ, אָמַר רַבִּי אֶלְעָזָר הָכָא לָא צָרִיךְ לְאִתְכַּסְיָא רָזָא, מַאי שְׂאֵ''ת, וְלָא אָתֵינָא לִדְרָשָׁא בְּהַאי קְרָא, אֶלָּא דְהָא שְׂאֵת מַשָּׂא אִיהוּ וּבְהִפּוּךְ אַתְוָון, שְׂאֵ''ת אִיהוּ אֵשֶׁ''ת, הָכָא רָמִיז דְּעָבַר עַל </w:t>
      </w:r>
      <w:r>
        <w:rPr>
          <w:b w:val="0"/>
          <w:sz w:val="20"/>
          <w:szCs w:val="23"/>
          <w:rtl/>
        </w:rPr>
        <w:t>(ויקרא יח כ)</w:t>
      </w:r>
      <w:r>
        <w:rPr>
          <w:b w:val="0"/>
          <w:bCs w:val="0"/>
          <w:rtl/>
        </w:rPr>
        <w:t xml:space="preserve"> וְאֶל אֵשֶׁת עֲמִיתְךָ לֹא תִתֵּן שְׁכָבְתְּךָ כו', דְּאָתָא עַל תְּאוֹמָתוֹ שֶׁל הֶבֶל, וְדָא אִיהוּ </w:t>
      </w:r>
      <w:r>
        <w:rPr>
          <w:b w:val="0"/>
          <w:sz w:val="20"/>
          <w:szCs w:val="23"/>
          <w:rtl/>
        </w:rPr>
        <w:t>(בראשית ד ח)</w:t>
      </w:r>
      <w:r>
        <w:rPr>
          <w:b w:val="0"/>
          <w:bCs w:val="0"/>
          <w:rtl/>
        </w:rPr>
        <w:t xml:space="preserve"> </w:t>
      </w:r>
      <w:r>
        <w:rPr>
          <w:rStyle w:val="a7"/>
          <w:b w:val="0"/>
          <w:bCs w:val="0"/>
          <w:rtl/>
        </w:rPr>
        <w:footnoteReference w:id="4978"/>
      </w:r>
      <w:r>
        <w:rPr>
          <w:b w:val="0"/>
          <w:bCs w:val="0"/>
          <w:rtl/>
        </w:rPr>
        <w:t xml:space="preserve">וַיָּקָם קַיִן אֶל הֶבֶל, קָם עַל תְּאוֹמָתוֹ, וּלְבָתַר קָטִיל לְבַעְלָהּ, כְּגַוְונָא דְמִצְרִי, וְרָזָא דְמִלָּה </w:t>
      </w:r>
      <w:r>
        <w:rPr>
          <w:b w:val="0"/>
          <w:sz w:val="20"/>
          <w:szCs w:val="23"/>
          <w:rtl/>
        </w:rPr>
        <w:t>(שמות ב יב)</w:t>
      </w:r>
      <w:r>
        <w:rPr>
          <w:b w:val="0"/>
          <w:bCs w:val="0"/>
          <w:rtl/>
        </w:rPr>
        <w:t xml:space="preserve"> וַיִּפֶן כֹּה וָכֹה, וְאָמְרוּ קַדְמָאִין מַאי וַיִּפֶן כֹּה וָכֹה, אֶלָּא </w:t>
      </w:r>
      <w:r>
        <w:rPr>
          <w:rStyle w:val="a7"/>
          <w:b w:val="0"/>
          <w:bCs w:val="0"/>
          <w:rtl/>
        </w:rPr>
        <w:footnoteReference w:id="4979"/>
      </w:r>
      <w:r>
        <w:rPr>
          <w:b w:val="0"/>
          <w:bCs w:val="0"/>
          <w:rtl/>
        </w:rPr>
        <w:t xml:space="preserve">רָאָה מֶה עָשָׂה בְּבַיִת וּמֶה עָשָׂה בַשָּׂדֶה, וְלֵית שָׂדֶה אֶלָּא אִשָּׁה, כְּמָה דְאַתְּ אָמַר </w:t>
      </w:r>
      <w:r>
        <w:rPr>
          <w:b w:val="0"/>
          <w:sz w:val="20"/>
          <w:szCs w:val="23"/>
          <w:rtl/>
        </w:rPr>
        <w:t>(דברים כב כז)</w:t>
      </w:r>
      <w:r>
        <w:rPr>
          <w:b w:val="0"/>
          <w:bCs w:val="0"/>
          <w:rtl/>
        </w:rPr>
        <w:t xml:space="preserve"> כִּי בַשָּׂדֶה מְצָאָהּ, הֲדָא הוּא דִכְתִיב </w:t>
      </w:r>
      <w:r>
        <w:rPr>
          <w:b w:val="0"/>
          <w:sz w:val="20"/>
          <w:szCs w:val="23"/>
          <w:rtl/>
        </w:rPr>
        <w:t>(בראשית ד ח)</w:t>
      </w:r>
      <w:r>
        <w:rPr>
          <w:b w:val="0"/>
          <w:bCs w:val="0"/>
          <w:rtl/>
        </w:rPr>
        <w:t xml:space="preserve"> וַיְהִי בִּהְיוֹתָם בַּשָּׂדֶה, וַיִּפֶן כֹּה וָכֹה, אִסְתַּכַּל אִם הֲוָה בֵּיהּ מִסִּטְרָא דְטוֹב, דִּלְזִמְנִין אִתְפָּרַשׁ טוֹב מִן רָע וּמִתַּמָּן אִינוּן גֵּרִים, וּבְגִין דָּא אִסְתַּכַּל מִכָּל סִטְרָא עַד שִׁתִּין רִבּוֹא, וְלָא חָזָא תַמָּן גִּיּוֹרָא דְנָפִיק מִנֵּיהּ, וַיַּךְ אֶת הַמִּצְרִי.</w:t>
      </w:r>
    </w:p>
    <w:p w:rsidR="0020255E" w:rsidRDefault="0020255E" w:rsidP="0020255E">
      <w:pPr>
        <w:pStyle w:val="aa"/>
        <w:spacing w:after="40"/>
        <w:rPr>
          <w:rtl/>
        </w:rPr>
      </w:pPr>
      <w:r>
        <w:rPr>
          <w:rtl/>
        </w:rPr>
        <w:t xml:space="preserve">[תיקוני זוהר - דף קיא ע''א] </w:t>
      </w:r>
    </w:p>
    <w:p w:rsidR="0020255E" w:rsidRDefault="0020255E" w:rsidP="0020255E">
      <w:pPr>
        <w:pStyle w:val="NormalWeb"/>
        <w:rPr>
          <w:b w:val="0"/>
          <w:bCs w:val="0"/>
          <w:rtl/>
        </w:rPr>
      </w:pPr>
      <w:r>
        <w:rPr>
          <w:b w:val="0"/>
          <w:bCs w:val="0"/>
          <w:rtl/>
        </w:rPr>
        <w:t xml:space="preserve">וּלְבָתַר מַה כְּתִיב וְאִם לֹא תֵיטִיב, </w:t>
      </w:r>
      <w:r>
        <w:rPr>
          <w:rStyle w:val="a7"/>
          <w:b w:val="0"/>
          <w:bCs w:val="0"/>
          <w:rtl/>
        </w:rPr>
        <w:footnoteReference w:id="4980"/>
      </w:r>
      <w:r>
        <w:rPr>
          <w:b w:val="0"/>
          <w:bCs w:val="0"/>
          <w:rtl/>
        </w:rPr>
        <w:t xml:space="preserve">אַל תִּקְרֵי וְאִם אֶלָּא וְאֵם, </w:t>
      </w:r>
      <w:r>
        <w:rPr>
          <w:b w:val="0"/>
          <w:sz w:val="20"/>
          <w:szCs w:val="23"/>
          <w:rtl/>
        </w:rPr>
        <w:t>(בראשית ד ז)</w:t>
      </w:r>
      <w:r>
        <w:rPr>
          <w:b w:val="0"/>
          <w:bCs w:val="0"/>
          <w:rtl/>
        </w:rPr>
        <w:t xml:space="preserve"> לַפֶּתַח חַטָּאת רֹבֵץ, מַאי רוֹבֵץ, </w:t>
      </w:r>
      <w:r>
        <w:rPr>
          <w:rStyle w:val="a7"/>
          <w:b w:val="0"/>
          <w:bCs w:val="0"/>
          <w:rtl/>
        </w:rPr>
        <w:footnoteReference w:id="4981"/>
      </w:r>
      <w:r>
        <w:rPr>
          <w:b w:val="0"/>
          <w:bCs w:val="0"/>
          <w:rtl/>
        </w:rPr>
        <w:t xml:space="preserve">אֶלָּא </w:t>
      </w:r>
      <w:r>
        <w:rPr>
          <w:b w:val="0"/>
          <w:sz w:val="20"/>
          <w:szCs w:val="23"/>
          <w:rtl/>
        </w:rPr>
        <w:t>(שמות כג ה)</w:t>
      </w:r>
      <w:r>
        <w:rPr>
          <w:b w:val="0"/>
          <w:bCs w:val="0"/>
          <w:rtl/>
        </w:rPr>
        <w:t xml:space="preserve"> כִּי תִרְאֶה חֲמוֹר שֹׂנַאֲךָ רוֹבֵץ כו', דְּאִיהוּ לָא יָכִיל לְמִסְבַּל עַל כְּתֵפוֹי </w:t>
      </w:r>
      <w:r>
        <w:rPr>
          <w:rStyle w:val="a7"/>
          <w:b w:val="0"/>
          <w:bCs w:val="0"/>
          <w:rtl/>
        </w:rPr>
        <w:footnoteReference w:id="4982"/>
      </w:r>
      <w:r>
        <w:rPr>
          <w:b w:val="0"/>
          <w:bCs w:val="0"/>
          <w:rtl/>
        </w:rPr>
        <w:t xml:space="preserve">לְמֶהֱוִי חַמְרָא דְאוֹרַיְיתָא, לָא יָכִיל לְמִסְבַּל עֲלֵיהּ עוֹל מַלְכוּת בְּגָלוּתָא, </w:t>
      </w:r>
      <w:r>
        <w:rPr>
          <w:rStyle w:val="a7"/>
          <w:b w:val="0"/>
          <w:bCs w:val="0"/>
          <w:rtl/>
        </w:rPr>
        <w:footnoteReference w:id="4983"/>
      </w:r>
      <w:r>
        <w:rPr>
          <w:b w:val="0"/>
          <w:bCs w:val="0"/>
          <w:rtl/>
        </w:rPr>
        <w:t xml:space="preserve">וְחָדַלְתָּ </w:t>
      </w:r>
      <w:r>
        <w:rPr>
          <w:b w:val="0"/>
          <w:sz w:val="20"/>
          <w:szCs w:val="23"/>
          <w:rtl/>
        </w:rPr>
        <w:t xml:space="preserve">(דף קיא ע''א) </w:t>
      </w:r>
      <w:r>
        <w:rPr>
          <w:b w:val="0"/>
          <w:bCs w:val="0"/>
          <w:rtl/>
        </w:rPr>
        <w:t xml:space="preserve">מֵעֲזוֹב לוֹ, </w:t>
      </w:r>
      <w:r>
        <w:rPr>
          <w:rStyle w:val="a7"/>
          <w:b w:val="0"/>
          <w:bCs w:val="0"/>
          <w:rtl/>
        </w:rPr>
        <w:footnoteReference w:id="4984"/>
      </w:r>
      <w:r>
        <w:rPr>
          <w:b w:val="0"/>
          <w:bCs w:val="0"/>
          <w:rtl/>
        </w:rPr>
        <w:t xml:space="preserve">הָכָא אַחֲזֵי לְקַיִן דַּעֲתִידִין לְמֶהֱוִי יִשְׂרָאֵל בְּדוֹחֲקָא בְגָלוּתָא, </w:t>
      </w:r>
      <w:r>
        <w:rPr>
          <w:b w:val="0"/>
          <w:sz w:val="20"/>
          <w:szCs w:val="23"/>
          <w:rtl/>
        </w:rPr>
        <w:t>(זכריה ט ט)</w:t>
      </w:r>
      <w:r>
        <w:rPr>
          <w:b w:val="0"/>
          <w:bCs w:val="0"/>
          <w:rtl/>
        </w:rPr>
        <w:t xml:space="preserve"> עָנִי וְרוֹכֵב עַל חֲמוֹר, דִּיְהוֹן כַּחֲמוֹר לְמַשָּׂאוֹי עַל כְּתֵפוֹי, מֵעוֹל הַמַּס בְּגָלוּתָא וּמִכּוֹבֶד הַמְּלָאכָה, וְדָא אִיהוּ רוֹבֵץ תַּחַת מַשָּׂאוֹי בְגָלוּתָא, וּבְנוֹי דְּקַיִן דַּהֲווֹ עֲתִירִין וְתַקִּיפִין כַּמְּלָכִים בְּתוּקְפָא סַגִּיא, וּבְגִין דָּא אָמַר הֲלֹא אִם תֵּטִיב שְׂאֵת, הֲלֹא אִם תֵּטִיב לְמֶהֱוֵי שְׂאֵת לַעֲנִיֵּי יִשְׂרָאֵל דְּאִינוּן כְּבֵדִים בְּמַשָּׂא כָבֵד </w:t>
      </w:r>
      <w:r>
        <w:rPr>
          <w:b w:val="0"/>
          <w:sz w:val="20"/>
          <w:szCs w:val="23"/>
          <w:rtl/>
        </w:rPr>
        <w:t>(יכבדו ממני)</w:t>
      </w:r>
      <w:r>
        <w:rPr>
          <w:b w:val="0"/>
          <w:bCs w:val="0"/>
          <w:rtl/>
        </w:rPr>
        <w:t>, אֲנָא אַסְבִּיל לִבְרִיךְ בְּעָלְמָא, וּמַאֲרִיךְ עֲלַיְיהוּ, וְאִם לַאו, לַפֶּתַח חַטָּאת רֹבֵץ, לְתַרְעָא דְגֵיהִנָּם אִתְפַּתְּחַת, לְנַטְלָא נוּקְמָא מִנָּךְ וּמִבְּרָךְ.</w:t>
      </w:r>
    </w:p>
    <w:p w:rsidR="0020255E" w:rsidRDefault="0020255E" w:rsidP="0020255E">
      <w:pPr>
        <w:pStyle w:val="NormalWeb"/>
        <w:rPr>
          <w:b w:val="0"/>
          <w:bCs w:val="0"/>
          <w:rtl/>
        </w:rPr>
      </w:pPr>
      <w:r>
        <w:rPr>
          <w:b w:val="0"/>
          <w:bCs w:val="0"/>
          <w:rtl/>
        </w:rPr>
        <w:t xml:space="preserve">אָמַר רַבִּי שִׁמְעוֹן, בְּרִיךְ בְּרִי לְעַתִּיק יוֹמִין, דְּהָא רוּחַ קַדִּשָׁא אִתְעַר לְגַבָּךְ, לְגַלָּאָה הָכָא חִדּוּשִׁים דְּלָא אִשְׁתְּמוֹדְעוּ עַד הַשְׁתָּא, אָמַר וַדַּאי דָּא אִיהוּ </w:t>
      </w:r>
      <w:r>
        <w:rPr>
          <w:b w:val="0"/>
          <w:sz w:val="20"/>
          <w:szCs w:val="23"/>
          <w:rtl/>
        </w:rPr>
        <w:t>(בראשית ד י)</w:t>
      </w:r>
      <w:r>
        <w:rPr>
          <w:b w:val="0"/>
          <w:bCs w:val="0"/>
          <w:rtl/>
        </w:rPr>
        <w:t xml:space="preserve"> קוֹל דְּמֵי אָחִיךָ צוֹעֲקִים אֵלַי, אִינוּן דָּמִים דְּיִשְׂרָאֵל, דַּעֲתִידִין לְמִגְזַל לוֹן בְּנוֹי דְּקַיִן עִרֶב רַב רַשִּׁיעַיָּיא חַיָּיבַיָּא בְגָלוּתָא, וְדָא אִיהוּ </w:t>
      </w:r>
      <w:r>
        <w:rPr>
          <w:b w:val="0"/>
          <w:sz w:val="20"/>
          <w:szCs w:val="23"/>
          <w:rtl/>
        </w:rPr>
        <w:t>(שם ו יג)</w:t>
      </w:r>
      <w:r>
        <w:rPr>
          <w:b w:val="0"/>
          <w:bCs w:val="0"/>
          <w:rtl/>
        </w:rPr>
        <w:t xml:space="preserve"> כִּי מָלְאָה הָאָרֶץ חָמָס מִפְּנֵיהֶם, וְדָא הוּא קָטוֹלָא דְקַיִן לְהֶבֶל דְּעָנִי חָשׁוּב כַּמֵּת.</w:t>
      </w:r>
    </w:p>
    <w:p w:rsidR="0020255E" w:rsidRDefault="0020255E" w:rsidP="0020255E">
      <w:pPr>
        <w:pStyle w:val="NormalWeb"/>
        <w:rPr>
          <w:b w:val="0"/>
          <w:bCs w:val="0"/>
          <w:rtl/>
        </w:rPr>
      </w:pPr>
      <w:r>
        <w:rPr>
          <w:b w:val="0"/>
          <w:bCs w:val="0"/>
          <w:rtl/>
        </w:rPr>
        <w:t xml:space="preserve">וַיְהִי מִקֵּץ יָמִים וְגוֹמֵר, פָּתַח רַבִּי שִׁמְעוֹן וְאָמַר מַאי מִקֵּץ יָמִים, אֶלָּא מֵהַהוּא אֲתַר דְּעָתִיד לְמֵימָר בֵּיהּ </w:t>
      </w:r>
      <w:r>
        <w:rPr>
          <w:b w:val="0"/>
          <w:sz w:val="20"/>
          <w:szCs w:val="23"/>
          <w:rtl/>
        </w:rPr>
        <w:t>(שם ו יג)</w:t>
      </w:r>
      <w:r>
        <w:rPr>
          <w:b w:val="0"/>
          <w:szCs w:val="23"/>
          <w:rtl/>
        </w:rPr>
        <w:t xml:space="preserve"> </w:t>
      </w:r>
      <w:r>
        <w:rPr>
          <w:rStyle w:val="Char"/>
          <w:rtl/>
        </w:rPr>
        <w:t>קֵץ כָּל בָּשָׂר בָּא לְפָנַי,</w:t>
      </w:r>
      <w:r>
        <w:rPr>
          <w:b w:val="0"/>
          <w:szCs w:val="23"/>
          <w:rtl/>
        </w:rPr>
        <w:t xml:space="preserve"> </w:t>
      </w:r>
      <w:r>
        <w:rPr>
          <w:b w:val="0"/>
          <w:sz w:val="20"/>
          <w:szCs w:val="23"/>
          <w:rtl/>
        </w:rPr>
        <w:t>(איוב כח ג)</w:t>
      </w:r>
      <w:r>
        <w:rPr>
          <w:b w:val="0"/>
          <w:bCs w:val="0"/>
          <w:rtl/>
        </w:rPr>
        <w:t xml:space="preserve"> קֵץ שָׂם לַחֹשֶׁךְ, וְתִרְגֵּם יוֹנָתָן בֶּן עוּזִיאֵל קֵץ כָּל בָּשָׂר, </w:t>
      </w:r>
      <w:r>
        <w:rPr>
          <w:rStyle w:val="a7"/>
          <w:b w:val="0"/>
          <w:bCs w:val="0"/>
          <w:rtl/>
        </w:rPr>
        <w:footnoteReference w:id="4985"/>
      </w:r>
      <w:r>
        <w:rPr>
          <w:b w:val="0"/>
          <w:bCs w:val="0"/>
          <w:rtl/>
        </w:rPr>
        <w:t xml:space="preserve">חֲבִילוּ דְכָל בִּשְׂרָא, מִמַּלְאֲכֵי חַבָּלָה, חָמָא דַעֲתִידִין לְמֵיפַּק מִנֵּיהּ מְחַבְּלִים כְּרָמִים, דְּאִינוּן יִשְׂרָאֵל דְּאִתְּמַר בְּהוֹן </w:t>
      </w:r>
      <w:r>
        <w:rPr>
          <w:b w:val="0"/>
          <w:sz w:val="20"/>
          <w:szCs w:val="23"/>
          <w:rtl/>
        </w:rPr>
        <w:t>(ישעיה ה ז)</w:t>
      </w:r>
      <w:r>
        <w:rPr>
          <w:b w:val="0"/>
          <w:bCs w:val="0"/>
          <w:rtl/>
        </w:rPr>
        <w:t xml:space="preserve"> כִּי כֶרֶם יהו''ה צְבָאוֹ''ת בֵּית יִשְׂרָאֵל, בְּגִין כַּךְ וְאֶל קַיִן וְאֶל מִנְחָתוֹ לֹא שָׁעָה, וְחָמָא דַעֲתִידִין לְמֵיפַק מֵהֶבֶל כַּמָּה צַדִּיקַיָּא, בְּגִין דָּא וַיִּשַׁע יהו''ה אֶל הֶבֶל וְאֶל מִנְחָתוֹ.</w:t>
      </w:r>
    </w:p>
    <w:p w:rsidR="0020255E" w:rsidRDefault="0020255E" w:rsidP="0020255E">
      <w:pPr>
        <w:pStyle w:val="aa"/>
        <w:spacing w:after="40"/>
        <w:rPr>
          <w:rtl/>
        </w:rPr>
      </w:pPr>
      <w:r>
        <w:rPr>
          <w:rtl/>
        </w:rPr>
        <w:t xml:space="preserve">[תיקוני זוהר - דף קיא ע''ב] </w:t>
      </w:r>
    </w:p>
    <w:p w:rsidR="0020255E" w:rsidRDefault="0020255E" w:rsidP="0020255E">
      <w:pPr>
        <w:pStyle w:val="NormalWeb"/>
        <w:rPr>
          <w:b w:val="0"/>
          <w:bCs w:val="0"/>
          <w:rtl/>
        </w:rPr>
      </w:pPr>
      <w:r>
        <w:rPr>
          <w:b w:val="0"/>
          <w:sz w:val="20"/>
          <w:szCs w:val="23"/>
          <w:rtl/>
        </w:rPr>
        <w:t xml:space="preserve">(דף קיא ע''ב) </w:t>
      </w:r>
      <w:r>
        <w:rPr>
          <w:b w:val="0"/>
          <w:bCs w:val="0"/>
          <w:rtl/>
        </w:rPr>
        <w:t xml:space="preserve">וַיֹּאמֶר יהו''ה לְקַיִן אֵי הֶבֶל אָחִיךָ כו' </w:t>
      </w:r>
      <w:r>
        <w:rPr>
          <w:b w:val="0"/>
          <w:sz w:val="20"/>
          <w:szCs w:val="23"/>
          <w:rtl/>
        </w:rPr>
        <w:t>(בראשית ד ט)</w:t>
      </w:r>
      <w:r>
        <w:rPr>
          <w:b w:val="0"/>
          <w:bCs w:val="0"/>
          <w:rtl/>
        </w:rPr>
        <w:t xml:space="preserve">, אָמַר רַבִּי שִׁמְעוֹן וְכִי לָא הֲוָה יָדַע קוּדְשָׁא בְּרִיךְ הוּא אָן הֲוָה הֶבֶל דְּשָׁאִיל לֵיהּ, וְהָא לָא אִתְכַּסִּי מִנֵּיהּ מִלָּה, כְּמָה דְאַתְּ אָמַר </w:t>
      </w:r>
      <w:r>
        <w:rPr>
          <w:b w:val="0"/>
          <w:sz w:val="20"/>
          <w:szCs w:val="23"/>
          <w:rtl/>
        </w:rPr>
        <w:t>(ירמיה כג כד)</w:t>
      </w:r>
      <w:r>
        <w:rPr>
          <w:b w:val="0"/>
          <w:bCs w:val="0"/>
          <w:rtl/>
        </w:rPr>
        <w:t xml:space="preserve"> אִם יִסָּתֵר אִישׁ בַּמִּסְתָּרִים כו', אֶלָּא וַוי לוֹן לִבְנֵי נָשָׁא טִפְּשַׁיָּא אֲטִימִין לִבָּא סְתִימֵי עִינָא, דַעֲלַיְיהוּ אִתְּמַר </w:t>
      </w:r>
      <w:r>
        <w:rPr>
          <w:b w:val="0"/>
          <w:sz w:val="20"/>
          <w:szCs w:val="23"/>
          <w:rtl/>
        </w:rPr>
        <w:t>(תהלים קטו ה)</w:t>
      </w:r>
      <w:r>
        <w:rPr>
          <w:b w:val="0"/>
          <w:bCs w:val="0"/>
          <w:rtl/>
        </w:rPr>
        <w:t xml:space="preserve"> עִינַיִם לָהֶם וְלֹא יִרְאוּ בִּנְהוֹרָא דְאוֹרַיְיתָא, אִלֵּין אִינוּן </w:t>
      </w:r>
      <w:r>
        <w:rPr>
          <w:rStyle w:val="a7"/>
          <w:b w:val="0"/>
          <w:bCs w:val="0"/>
          <w:rtl/>
        </w:rPr>
        <w:footnoteReference w:id="4986"/>
      </w:r>
      <w:r>
        <w:rPr>
          <w:b w:val="0"/>
          <w:bCs w:val="0"/>
          <w:rtl/>
        </w:rPr>
        <w:t xml:space="preserve">בְּעִירָן דְּלָא מִסְתַּכְּלִין וְלָא יָדְעִין אֶלָּא בְתִבְנָא דְאוֹרַיְיתָא, דְאִיהִי קְלִיפָה מִלְּבָר וּמוֹץ דִּילָהּ, דְּאִתְּמַר בְּהוֹן מוֹץ וְתֶבֶן </w:t>
      </w:r>
      <w:r>
        <w:rPr>
          <w:rStyle w:val="a7"/>
          <w:b w:val="0"/>
          <w:bCs w:val="0"/>
          <w:rtl/>
        </w:rPr>
        <w:footnoteReference w:id="4987"/>
      </w:r>
      <w:r>
        <w:rPr>
          <w:b w:val="0"/>
          <w:bCs w:val="0"/>
          <w:rtl/>
        </w:rPr>
        <w:t>פְּטוּרִין מִן הַמַּעֲשֵׂר, דְּחַכִּימִין דְּאוֹרַיְיתָא מָארֵי דְרָזִין זָרְקִין תִּבְנָא וּמוֹץ דִּלְבָר, וְאָכְלִין חִטָּה דְאוֹרַיְיתָא דְאִיהִי מִלְּגָאו, כ''ב אַתְוָון דְּאוֹרַיְיתָא דְסָלְקִין לְחוּשְׁבַּן חִטָּ''ה.</w:t>
      </w:r>
    </w:p>
    <w:p w:rsidR="0020255E" w:rsidRDefault="0020255E" w:rsidP="0020255E">
      <w:pPr>
        <w:pStyle w:val="aa"/>
        <w:spacing w:after="40"/>
        <w:rPr>
          <w:rtl/>
        </w:rPr>
      </w:pPr>
      <w:r>
        <w:rPr>
          <w:rtl/>
        </w:rPr>
        <w:t xml:space="preserve">[תיקוני זוהר - דף קיב ע''א] </w:t>
      </w:r>
    </w:p>
    <w:p w:rsidR="0020255E" w:rsidRDefault="0020255E" w:rsidP="0020255E">
      <w:pPr>
        <w:pStyle w:val="NormalWeb"/>
        <w:rPr>
          <w:b w:val="0"/>
          <w:bCs w:val="0"/>
          <w:rtl/>
        </w:rPr>
      </w:pPr>
      <w:r>
        <w:rPr>
          <w:b w:val="0"/>
          <w:sz w:val="20"/>
          <w:szCs w:val="23"/>
          <w:rtl/>
        </w:rPr>
        <w:t xml:space="preserve">(דף קיב ע''א) </w:t>
      </w:r>
      <w:r>
        <w:rPr>
          <w:b w:val="0"/>
          <w:bCs w:val="0"/>
          <w:rtl/>
        </w:rPr>
        <w:t xml:space="preserve">תָּא חֲזִי אִלֵּין בְּעִירָן חָשְׁבִין דְּשָׁאִיל לֵיהּ קוּדְשָׁא בְּרִיךְ הוּא אֵ''י הֶבֶל אָחִיךָ כְּמָאן דְּלָא יָדַע אָן הוּא, אֶלָּא א''י אִיהוּ דְאִסְתַּלַּק מִן אדנ''י, </w:t>
      </w:r>
      <w:r>
        <w:rPr>
          <w:rStyle w:val="a7"/>
          <w:b w:val="0"/>
          <w:bCs w:val="0"/>
          <w:rtl/>
        </w:rPr>
        <w:footnoteReference w:id="4988"/>
      </w:r>
      <w:r>
        <w:rPr>
          <w:b w:val="0"/>
          <w:bCs w:val="0"/>
          <w:rtl/>
        </w:rPr>
        <w:t xml:space="preserve">דְּאִיהוּ א' אהי''ה אִימָּא עִלָּאָה אָנֹכִי, </w:t>
      </w:r>
      <w:r>
        <w:rPr>
          <w:rStyle w:val="a7"/>
          <w:b w:val="0"/>
          <w:bCs w:val="0"/>
          <w:rtl/>
        </w:rPr>
        <w:footnoteReference w:id="4989"/>
      </w:r>
      <w:r>
        <w:rPr>
          <w:b w:val="0"/>
          <w:bCs w:val="0"/>
          <w:rtl/>
        </w:rPr>
        <w:t xml:space="preserve">י' יהו''ה דְּסָלִיק עִמָּהּ </w:t>
      </w:r>
      <w:r>
        <w:rPr>
          <w:rStyle w:val="a7"/>
          <w:b w:val="0"/>
          <w:bCs w:val="0"/>
          <w:rtl/>
        </w:rPr>
        <w:footnoteReference w:id="4990"/>
      </w:r>
      <w:r>
        <w:rPr>
          <w:b w:val="0"/>
          <w:bCs w:val="0"/>
          <w:rtl/>
        </w:rPr>
        <w:t xml:space="preserve">לְמֵדַן לְקַיִן, בְּגִין דָּא כַּד אִסְתַּלַּק א''י מִן אדנ''י אִשְׁתָּאַר ד''ן, </w:t>
      </w:r>
      <w:r>
        <w:rPr>
          <w:rStyle w:val="a7"/>
          <w:b w:val="0"/>
          <w:bCs w:val="0"/>
          <w:rtl/>
        </w:rPr>
        <w:footnoteReference w:id="4991"/>
      </w:r>
      <w:r>
        <w:rPr>
          <w:b w:val="0"/>
          <w:bCs w:val="0"/>
          <w:rtl/>
        </w:rPr>
        <w:t xml:space="preserve">וּבְגִין דָּא אֵ''י הֶבֶל אָחִיךָ, </w:t>
      </w:r>
      <w:r>
        <w:rPr>
          <w:b w:val="0"/>
          <w:sz w:val="20"/>
          <w:szCs w:val="23"/>
          <w:rtl/>
        </w:rPr>
        <w:t>(בראשית ד ג)</w:t>
      </w:r>
      <w:r>
        <w:rPr>
          <w:b w:val="0"/>
          <w:bCs w:val="0"/>
          <w:rtl/>
        </w:rPr>
        <w:t xml:space="preserve"> וַיֹּאמֶר לֹא יָדַעְתִּי הֲשׁוֹמֵר אָחִי אָנֹכִי, </w:t>
      </w:r>
      <w:r>
        <w:rPr>
          <w:rStyle w:val="a7"/>
          <w:b w:val="0"/>
          <w:bCs w:val="0"/>
          <w:rtl/>
        </w:rPr>
        <w:footnoteReference w:id="4992"/>
      </w:r>
      <w:r>
        <w:rPr>
          <w:b w:val="0"/>
          <w:bCs w:val="0"/>
          <w:rtl/>
        </w:rPr>
        <w:t xml:space="preserve">לָא יָדַעְנָא דִשְׁכִינְתָּא דְאִיהִי אָנֹכִי, עִמֵּיהּ תַּמָּן, אֵ''י דְאִסְתַּלַּק אִימָּא וּבְרָא לְגַבֵּי חָכְמָה לְמֵיטַל נוּקְמָא מִינֵיהּ, וְאַמַּאי לְגַבֵּי חָכְמָה, </w:t>
      </w:r>
      <w:r>
        <w:rPr>
          <w:rStyle w:val="a7"/>
          <w:b w:val="0"/>
          <w:bCs w:val="0"/>
          <w:rtl/>
        </w:rPr>
        <w:footnoteReference w:id="4993"/>
      </w:r>
      <w:r>
        <w:rPr>
          <w:b w:val="0"/>
          <w:bCs w:val="0"/>
          <w:rtl/>
        </w:rPr>
        <w:t>בְּגִין דְּאִיהוּ אָדָם עִלָּאָה דְאִתְבְּרִי אָדָם תַּתָּאָה בְּדִיּוֹקְנֵיהּ.</w:t>
      </w:r>
    </w:p>
    <w:p w:rsidR="0020255E" w:rsidRDefault="0020255E" w:rsidP="0020255E">
      <w:pPr>
        <w:pStyle w:val="NormalWeb"/>
        <w:rPr>
          <w:b w:val="0"/>
          <w:bCs w:val="0"/>
          <w:rtl/>
        </w:rPr>
      </w:pPr>
      <w:r>
        <w:rPr>
          <w:b w:val="0"/>
          <w:bCs w:val="0"/>
          <w:rtl/>
        </w:rPr>
        <w:t xml:space="preserve">וַיֹּאמֶר קוֹל דְּמֵי אָחִיךָ צוֹעֲקִים אֵלַי, מַאי דְּמֵי, דָם מִבְּעִי לֵיהּ, </w:t>
      </w:r>
      <w:r>
        <w:rPr>
          <w:rStyle w:val="a7"/>
          <w:b w:val="0"/>
          <w:bCs w:val="0"/>
          <w:rtl/>
        </w:rPr>
        <w:footnoteReference w:id="4994"/>
      </w:r>
      <w:r>
        <w:rPr>
          <w:b w:val="0"/>
          <w:bCs w:val="0"/>
          <w:rtl/>
        </w:rPr>
        <w:t xml:space="preserve">אֶלָּא מַאי דְּמֵי דָ''ן כְּחֻשְׁבַּן דְּמֵ''י, וְדָא אִיהוּ </w:t>
      </w:r>
      <w:r>
        <w:rPr>
          <w:b w:val="0"/>
          <w:sz w:val="20"/>
          <w:szCs w:val="23"/>
          <w:rtl/>
        </w:rPr>
        <w:t>(שם טו יד)</w:t>
      </w:r>
      <w:r>
        <w:rPr>
          <w:b w:val="0"/>
          <w:bCs w:val="0"/>
          <w:rtl/>
        </w:rPr>
        <w:t xml:space="preserve"> </w:t>
      </w:r>
      <w:r>
        <w:rPr>
          <w:rStyle w:val="a7"/>
          <w:b w:val="0"/>
          <w:bCs w:val="0"/>
          <w:rtl/>
        </w:rPr>
        <w:footnoteReference w:id="4995"/>
      </w:r>
      <w:r>
        <w:rPr>
          <w:b w:val="0"/>
          <w:bCs w:val="0"/>
          <w:rtl/>
        </w:rPr>
        <w:t xml:space="preserve">דָּן אָנֹכִי. </w:t>
      </w:r>
    </w:p>
    <w:p w:rsidR="0020255E" w:rsidRDefault="0020255E" w:rsidP="0020255E">
      <w:pPr>
        <w:pStyle w:val="NormalWeb"/>
        <w:rPr>
          <w:b w:val="0"/>
          <w:szCs w:val="23"/>
          <w:rtl/>
        </w:rPr>
      </w:pPr>
      <w:r>
        <w:rPr>
          <w:b w:val="0"/>
          <w:bCs w:val="0"/>
          <w:rtl/>
        </w:rPr>
        <w:t xml:space="preserve">וְעוֹד מַאי קוֹל דְּמֵי, קוֹל דָּם מִבְּעִי לֵיהּ, אֶלָּא תִּרְגֵּם אֹנְקְלוֹס, קָל זַרְעִין דַּעֲתִידִין לְמֵיפַּק מִן אָחוּךְ, אִינוּן שִׁתִּין רִבּוֹא דַעֲתִידִין לְמֵיפַּק מֵהֶבֶל, </w:t>
      </w:r>
      <w:r>
        <w:rPr>
          <w:rStyle w:val="a7"/>
          <w:b w:val="0"/>
          <w:bCs w:val="0"/>
          <w:rtl/>
        </w:rPr>
        <w:footnoteReference w:id="4996"/>
      </w:r>
      <w:r>
        <w:rPr>
          <w:b w:val="0"/>
          <w:bCs w:val="0"/>
          <w:rtl/>
        </w:rPr>
        <w:t xml:space="preserve">בְּהַהוּא דְאִתְּמַר בֵּיהּ בְּשַׁגַּם זֶה הֶבֶל, כֻּלְּהוּ צָוְוחִין מִן אַרְעָא, הָכָא רְמִיז עִנּוּי הַדִּין וְעִוּוּת הַדִּין וְחָמָס וְשׁוֹד וְשֶׁבֶר דַּעֲתִידִין בְּנוֹי דְּקַיִן לְמֶעֱבַד לִבְנוֹי דְּקוּדְשָׁא בְּרִיךְ הוּא, וְדָא אִיהוּ קוֹל דְּמֵי אָחִיךָ, אָחִיךָ אִתְקְרֵי </w:t>
      </w:r>
      <w:r>
        <w:rPr>
          <w:rStyle w:val="a7"/>
          <w:b w:val="0"/>
          <w:bCs w:val="0"/>
          <w:rtl/>
        </w:rPr>
        <w:footnoteReference w:id="4997"/>
      </w:r>
      <w:r>
        <w:rPr>
          <w:b w:val="0"/>
          <w:bCs w:val="0"/>
          <w:rtl/>
        </w:rPr>
        <w:t xml:space="preserve">מִסִּטְרָא דְאִנּוּן דְּאִתְּמַר בְּהוֹן </w:t>
      </w:r>
      <w:r>
        <w:rPr>
          <w:b w:val="0"/>
          <w:sz w:val="20"/>
          <w:szCs w:val="23"/>
          <w:rtl/>
        </w:rPr>
        <w:t>(שמות לב כז)</w:t>
      </w:r>
      <w:r>
        <w:rPr>
          <w:b w:val="0"/>
          <w:szCs w:val="23"/>
          <w:rtl/>
        </w:rPr>
        <w:t xml:space="preserve"> </w:t>
      </w:r>
      <w:r>
        <w:rPr>
          <w:rStyle w:val="Char"/>
          <w:rtl/>
        </w:rPr>
        <w:t>הִרְגוּ אִישׁ אֶת אָחִיו.</w:t>
      </w:r>
    </w:p>
    <w:p w:rsidR="0020255E" w:rsidRDefault="0020255E" w:rsidP="0020255E">
      <w:pPr>
        <w:pStyle w:val="NormalWeb"/>
        <w:rPr>
          <w:b w:val="0"/>
          <w:bCs w:val="0"/>
          <w:rtl/>
        </w:rPr>
      </w:pPr>
      <w:r>
        <w:rPr>
          <w:rStyle w:val="a7"/>
          <w:b w:val="0"/>
          <w:bCs w:val="0"/>
          <w:rtl/>
        </w:rPr>
        <w:footnoteReference w:id="4998"/>
      </w:r>
      <w:r>
        <w:rPr>
          <w:b w:val="0"/>
          <w:bCs w:val="0"/>
          <w:rtl/>
        </w:rPr>
        <w:t xml:space="preserve">אָמַר רַבִּי אֶלְעָזָר אִם כֵּן אִשְׁתְּמוֹדָע דְּכָל עָאקוּ דָא יְהֵא בְגָלוּתָא בַתְרָאָה, אַמַּאי וְהָא בְּשַׁעְתָּא דְאִתְיְלִיד קַיִן אִתְּמַר בֵּיהּ </w:t>
      </w:r>
      <w:r>
        <w:rPr>
          <w:b w:val="0"/>
          <w:sz w:val="20"/>
          <w:szCs w:val="23"/>
          <w:rtl/>
        </w:rPr>
        <w:t>(בראשית ד ב)</w:t>
      </w:r>
      <w:r>
        <w:rPr>
          <w:b w:val="0"/>
          <w:bCs w:val="0"/>
          <w:rtl/>
        </w:rPr>
        <w:t xml:space="preserve"> קָנִיתִי אִישׁ אֶת יהו''ה, אִי תֵימָא בְגִין קֵנִי דְנָפִיק מִנֵּיהּ זַרְעָא מַעַלְיָא, בָּתַר דְּיִתְכַּנִּישׁ אִיהוּ יִתְעָרוּן בְּנוֹי דְּקַיִן לְחָרְבָא עָלְמָא, וּמִנַּיְיהוּ קוֹל דְּמֵי אָחִיךָ צוֹעֲקִים, הֲדָא הוּא דִכְתִיב </w:t>
      </w:r>
      <w:r>
        <w:rPr>
          <w:b w:val="0"/>
          <w:sz w:val="20"/>
          <w:szCs w:val="23"/>
          <w:rtl/>
        </w:rPr>
        <w:t>(תהלים יג ו)</w:t>
      </w:r>
      <w:r>
        <w:rPr>
          <w:b w:val="0"/>
          <w:bCs w:val="0"/>
          <w:rtl/>
        </w:rPr>
        <w:t xml:space="preserve"> מִשּׁוֹד עֲנִיִּים מֵאֶנְקַת אֶבְיוֹנִים כו'.</w:t>
      </w:r>
    </w:p>
    <w:p w:rsidR="0020255E" w:rsidRDefault="0020255E" w:rsidP="0020255E">
      <w:pPr>
        <w:pStyle w:val="aa"/>
        <w:spacing w:after="40"/>
        <w:rPr>
          <w:rtl/>
        </w:rPr>
      </w:pPr>
      <w:r>
        <w:rPr>
          <w:rtl/>
        </w:rPr>
        <w:t xml:space="preserve">[תיקוני זוהר - דף קיב ע''ב] </w:t>
      </w:r>
    </w:p>
    <w:p w:rsidR="0020255E" w:rsidRDefault="0020255E" w:rsidP="0020255E">
      <w:pPr>
        <w:pStyle w:val="NormalWeb"/>
        <w:rPr>
          <w:b w:val="0"/>
          <w:bCs w:val="0"/>
          <w:rtl/>
        </w:rPr>
      </w:pPr>
      <w:r>
        <w:rPr>
          <w:b w:val="0"/>
          <w:bCs w:val="0"/>
          <w:rtl/>
        </w:rPr>
        <w:t xml:space="preserve">אָמַר לֵיהּ רַבִּי שִׁמְעוֹן, בְּרִי, קַיִן מִסִּטְרָא דְאִילָנָא דְטוֹב וָרָע הֲוָה, וְאִתְפַּשְׁטוּתָא דְטוֹב הֲוָה בְגִלְגוּלָא עַד קֵנִי חוֹתֵן מֹשֶׁה, מִתַּמָּן וְאֵילֵךְ אִתְפַּשְׁטוּתָא דְרָע, וּבְגִין דְּאַחֲזֵי לֵיהּ קוּדְשָׁא בְּרִיךְ הוּא מַה דַּעֲתִידִין לְמֶעֱבַד </w:t>
      </w:r>
      <w:r>
        <w:rPr>
          <w:b w:val="0"/>
          <w:sz w:val="20"/>
          <w:szCs w:val="23"/>
          <w:rtl/>
        </w:rPr>
        <w:t xml:space="preserve">(דף קיב ע''ב) </w:t>
      </w:r>
      <w:r>
        <w:rPr>
          <w:b w:val="0"/>
          <w:bCs w:val="0"/>
          <w:rtl/>
        </w:rPr>
        <w:t xml:space="preserve">בְּנוֹי לְיִשְׂרָאֵל בְּכָל דָּרָא וְדָרָא, דְּכֹלָּא אַחֲזֵי לֵיהּ, אָמַר גָּדוֹל עֲוֹנִי מִנְּשׂוֹא, </w:t>
      </w:r>
      <w:r>
        <w:rPr>
          <w:rStyle w:val="a7"/>
          <w:b w:val="0"/>
          <w:bCs w:val="0"/>
          <w:rtl/>
        </w:rPr>
        <w:footnoteReference w:id="4999"/>
      </w:r>
      <w:r>
        <w:rPr>
          <w:b w:val="0"/>
          <w:bCs w:val="0"/>
          <w:rtl/>
        </w:rPr>
        <w:t xml:space="preserve">וּמְנָא לָן דְּאַחֲזֵי לֵיהּ גִּלְגּוּלָא דִילֵיהּ בְּכָל דָּרָא וְדָרָא, הֲדָא הוּא דִכְתִיב </w:t>
      </w:r>
      <w:r>
        <w:rPr>
          <w:b w:val="0"/>
          <w:sz w:val="20"/>
          <w:szCs w:val="23"/>
          <w:rtl/>
        </w:rPr>
        <w:t>(בראשית ד יד)</w:t>
      </w:r>
      <w:r>
        <w:rPr>
          <w:b w:val="0"/>
          <w:bCs w:val="0"/>
          <w:rtl/>
        </w:rPr>
        <w:t xml:space="preserve"> הֵן גֵּרַשְׁתָּ אוֹתִי הַיּוֹם מֵעַל פְּנֵי הָאֲדָמָה וּמִפָּנֶיךָ אֶסָּתֵר וְהָיִיתִי נָע וָנָד בָּאָרֶץ, נָע וָנָד וַדַּאי, הָכָא רָמִיז גִּלְגּוּלָא דִילֵיהּ וּבְנוֹי, </w:t>
      </w:r>
      <w:r>
        <w:rPr>
          <w:rStyle w:val="a7"/>
          <w:b w:val="0"/>
          <w:bCs w:val="0"/>
          <w:rtl/>
        </w:rPr>
        <w:footnoteReference w:id="5000"/>
      </w:r>
      <w:r>
        <w:rPr>
          <w:b w:val="0"/>
          <w:bCs w:val="0"/>
          <w:rtl/>
        </w:rPr>
        <w:t xml:space="preserve">הֲדָא הוּא דִכְתִיב </w:t>
      </w:r>
      <w:r>
        <w:rPr>
          <w:b w:val="0"/>
          <w:sz w:val="20"/>
          <w:szCs w:val="23"/>
          <w:rtl/>
        </w:rPr>
        <w:t>(קהלת ח י)</w:t>
      </w:r>
      <w:r>
        <w:rPr>
          <w:b w:val="0"/>
          <w:bCs w:val="0"/>
          <w:rtl/>
        </w:rPr>
        <w:t xml:space="preserve"> וּבְכֵן רָאִיתִי רְשָׁעִים קְבוּרִים וָבָאוּ, וְהָא אוּקִימְנָא לוֹן </w:t>
      </w:r>
      <w:r>
        <w:rPr>
          <w:b w:val="0"/>
          <w:sz w:val="20"/>
          <w:szCs w:val="23"/>
          <w:rtl/>
        </w:rPr>
        <w:t>(דברים ז י)</w:t>
      </w:r>
      <w:r>
        <w:rPr>
          <w:b w:val="0"/>
          <w:bCs w:val="0"/>
          <w:rtl/>
        </w:rPr>
        <w:t xml:space="preserve"> וּמְשַׁלֵּם לְשׂנְאָיו וכו', הֵן גֵּרַשְׁתָּ אוֹתִי דָא גִלְגּוּלָא קַדְמָאָה, </w:t>
      </w:r>
      <w:r>
        <w:rPr>
          <w:rStyle w:val="a7"/>
          <w:b w:val="0"/>
          <w:bCs w:val="0"/>
          <w:rtl/>
        </w:rPr>
        <w:footnoteReference w:id="5001"/>
      </w:r>
      <w:r>
        <w:rPr>
          <w:b w:val="0"/>
          <w:bCs w:val="0"/>
          <w:rtl/>
        </w:rPr>
        <w:t xml:space="preserve">הַיּוֹם כְּהַהוּא דְאִתְּמַר בֵּיהּ </w:t>
      </w:r>
      <w:r>
        <w:rPr>
          <w:b w:val="0"/>
          <w:sz w:val="20"/>
          <w:szCs w:val="23"/>
          <w:rtl/>
        </w:rPr>
        <w:t>(תהלים צה ז)</w:t>
      </w:r>
      <w:r>
        <w:rPr>
          <w:b w:val="0"/>
          <w:bCs w:val="0"/>
          <w:rtl/>
        </w:rPr>
        <w:t xml:space="preserve"> הַיּוֹם אִם בְּקוֹלוֹ תִשְׁמָעוּ, וְהָיִיתִי נָע וָנָד תְּרֵין גִּלְגּוּלִין אָחֳרָנִין, אֶסָּתֵר </w:t>
      </w:r>
      <w:r>
        <w:rPr>
          <w:rStyle w:val="a7"/>
          <w:b w:val="0"/>
          <w:bCs w:val="0"/>
          <w:rtl/>
        </w:rPr>
        <w:footnoteReference w:id="5002"/>
      </w:r>
      <w:r>
        <w:rPr>
          <w:b w:val="0"/>
          <w:bCs w:val="0"/>
          <w:rtl/>
        </w:rPr>
        <w:t xml:space="preserve">הָכָא רָמִיז </w:t>
      </w:r>
      <w:r>
        <w:rPr>
          <w:b w:val="0"/>
          <w:sz w:val="20"/>
          <w:szCs w:val="23"/>
          <w:rtl/>
        </w:rPr>
        <w:t>(דברים לב כ)</w:t>
      </w:r>
      <w:r>
        <w:rPr>
          <w:b w:val="0"/>
          <w:bCs w:val="0"/>
          <w:rtl/>
        </w:rPr>
        <w:t xml:space="preserve"> וַיֹּאמֶר אַסְתִּירָה פָנַי מֵהֶם כו', </w:t>
      </w:r>
      <w:r>
        <w:rPr>
          <w:b w:val="0"/>
          <w:sz w:val="20"/>
          <w:szCs w:val="23"/>
          <w:rtl/>
        </w:rPr>
        <w:t>(איוב לג כט)</w:t>
      </w:r>
      <w:r>
        <w:rPr>
          <w:b w:val="0"/>
          <w:bCs w:val="0"/>
          <w:rtl/>
        </w:rPr>
        <w:t xml:space="preserve"> וְהֶן כָּל אֵלֶּה יִפְעַל אֵ''ל פַּעֲמַיִם שָׁלֹשׁ עִם גָּבֶר, וַעֲלַיְיהוּ אִתְּמַר </w:t>
      </w:r>
      <w:r>
        <w:rPr>
          <w:b w:val="0"/>
          <w:sz w:val="20"/>
          <w:szCs w:val="23"/>
          <w:rtl/>
        </w:rPr>
        <w:t>(עמוס ב ו)</w:t>
      </w:r>
      <w:r>
        <w:rPr>
          <w:b w:val="0"/>
          <w:bCs w:val="0"/>
          <w:rtl/>
        </w:rPr>
        <w:t xml:space="preserve"> עַל שְׁלֹשָׁה פִּשְׁעִי יִשְׂרָאֵל, וְעַל אַרְבָּעָה לֹא אֲשִׁיבֶנּוּ, דְלָא אַהֲדַר לוֹן בְּגוּפָא רְבִיעָאָה, וְלַאו בְּפוּרְקָנָא רְבִיעָאָה, אֶלָּא אִתְּמַר בְּיִשְׂרָאֵל </w:t>
      </w:r>
      <w:r>
        <w:rPr>
          <w:b w:val="0"/>
          <w:sz w:val="20"/>
          <w:szCs w:val="23"/>
          <w:rtl/>
        </w:rPr>
        <w:t>(דברים לב יב)</w:t>
      </w:r>
      <w:r>
        <w:rPr>
          <w:b w:val="0"/>
          <w:bCs w:val="0"/>
          <w:rtl/>
        </w:rPr>
        <w:t xml:space="preserve"> יהו''ה בָּדָד יַנְחֶנּוּ וְאֵין עִמּוֹ אֵל נֵכָר, בְּגִין דָּא אוּקְמוּהָ מָארֵי מַתְנִיתִין אֵין מְקַבְּלִים גֵּרִים לִימוֹת הַמָּשִׁיחַ.</w:t>
      </w:r>
    </w:p>
    <w:p w:rsidR="0020255E" w:rsidRDefault="0020255E" w:rsidP="0020255E">
      <w:pPr>
        <w:pStyle w:val="aa"/>
        <w:spacing w:after="40"/>
        <w:rPr>
          <w:szCs w:val="22"/>
          <w:rtl/>
        </w:rPr>
      </w:pPr>
      <w:bookmarkStart w:id="319" w:name="_Toc228095779"/>
      <w:bookmarkStart w:id="320" w:name="_Toc231638217"/>
      <w:r>
        <w:rPr>
          <w:szCs w:val="22"/>
          <w:rtl/>
        </w:rPr>
        <w:t>[תיקוני זוהר - דף קיב ע''א ע"ב בספרים אחרים]</w:t>
      </w:r>
    </w:p>
    <w:p w:rsidR="0020255E" w:rsidRDefault="0020255E" w:rsidP="0020255E">
      <w:pPr>
        <w:pStyle w:val="NormalWeb"/>
        <w:rPr>
          <w:b w:val="0"/>
          <w:bCs w:val="0"/>
          <w:rtl/>
        </w:rPr>
      </w:pPr>
      <w:r>
        <w:rPr>
          <w:bCs w:val="0"/>
          <w:sz w:val="28"/>
          <w:szCs w:val="28"/>
          <w:rtl/>
        </w:rPr>
        <w:t xml:space="preserve">(נ''א): </w:t>
      </w:r>
      <w:r>
        <w:rPr>
          <w:b w:val="0"/>
          <w:sz w:val="20"/>
          <w:szCs w:val="23"/>
          <w:rtl/>
        </w:rPr>
        <w:t xml:space="preserve">(דף קיב ע''א בס"א) </w:t>
      </w:r>
      <w:r>
        <w:rPr>
          <w:rStyle w:val="a7"/>
          <w:bCs w:val="0"/>
          <w:sz w:val="28"/>
          <w:rtl/>
        </w:rPr>
        <w:footnoteReference w:id="5003"/>
      </w:r>
      <w:r>
        <w:rPr>
          <w:b w:val="0"/>
          <w:bCs w:val="0"/>
          <w:rtl/>
        </w:rPr>
        <w:t xml:space="preserve">וַיְהִי מִקֵּץ יָמִים וַיָּבֵא קַיִן מַאי מִקֵּץ יָמִים אֶלָּא מֵהַהוּא דְעָתִיד לְאִתְּמַר בֵּיהּ קֵץ כָּל בָּשָׂר בָּא לְפָנַי, וּבְגִין דָּא וְאֶל קַיִן וְאֶל מִנְחָתוֹ לֹא שָׁעָה, </w:t>
      </w:r>
      <w:r>
        <w:rPr>
          <w:rStyle w:val="a7"/>
          <w:b w:val="0"/>
          <w:bCs w:val="0"/>
          <w:rtl/>
        </w:rPr>
        <w:footnoteReference w:id="5004"/>
      </w:r>
      <w:r>
        <w:rPr>
          <w:b w:val="0"/>
          <w:bCs w:val="0"/>
          <w:rtl/>
        </w:rPr>
        <w:t xml:space="preserve">וְעוֹד מִקֵּץ יָמִים וְלָא אָמַר מֵרֹאשׁ יָמִים, אֶלָּא מִשִּׁיּוּרִין דִּילֵיהּ וְלָא מִשַּׁפִּירוּ, כְּבַר נַשׁ דְּאָתֵי מִסְכֵּנָא לְתַרְעֵיהּ וּבְזִמְנָא דְאִיהוּ תָּאִיב לְמֵיכַל, בְּגִין דְּלָא לְמֵיהַב לֵיהּ מִשַּׁפִּירוּ דְמַאֲכָל, לָא בָעֵי לְמֵיהַב לֵיהּ מִדֵּי, בָּתַר דְּאָכִיל שַׁפִּירוּ דְכֹלָּא, כָּנִיף הַהוּא דְאִיהוּ בְּסוֹפָא וְיָהֵיב לְמִסְכֵּנָא דָא דְאִתְיָאֵשׁ מִנֵּיהּ, אָמַר לֵיהּ קוּדְשָׁא בְּרִיךְ הוּא לְכַלְבָּא תַּרְמוּן לֵיהּ, וּבְגִין דָּא וְאֶל קַיִן וְאֶל מִנְחָתוֹ לֹא שָׁעָה, אֲבָל הֶבֶל לָא אַקְרִיב אֶלָּא מִשַּׁפִּירוּ דְכֹלָּא, הֲדָא הוּא דִכְתִיב וְהֶבֶל הֵבִיא גַם הוּא מִבְּכוֹרוֹת צֹאנוֹ וּמֵחֵלְבֵיהֶן, לֹא קְרִיב לְגַבֵּיה שִּׁיּוּרִין, וּבְגִין דָא וַיִּשַׁע יהו''ה אֶל הֶבֶל וְאֶל מִנְחָתוֹ וְאֶל קַיִן וְאֶל מִנְחָתוֹ לֹא שָׁעָה, וַיֹּאמֶר יהו''ה לְקַיִן לָמָּה חָרָה לָךְ וְלָמָּה נָפְלוּ פָנֶיךָ, הֲלֹא אִם תֵּטִיב שְׂאֵת, אָמַר לֵיהּ אִם אַנְתְּ תֵּטִיב עוֹבָדָךְ, שְׂאֵת יִסְתַּלֵּק קָרְבָּנָךְ, וְאִם לֹא תֵטִיב עוֹבָדָךְ לַפֶּתַח חַטָאת רֹבֵץ דְּיִתְפַּרַע מִינָךְ, אִתְּמַר הָכָא רוֹבֵץ וּבַאֲתַר אָחֳרָא כְּתִיב כִּי תִרְאֶה חֲמוֹר שֹׂנְאֲךָ רוֹבֵץ תַּחַת מַשָּׂאוֹ כו' לֹא תִרְאֶה אֶת חֲמוֹר אָחִיךָ </w:t>
      </w:r>
      <w:r>
        <w:rPr>
          <w:rStyle w:val="a7"/>
          <w:b w:val="0"/>
          <w:bCs w:val="0"/>
          <w:rtl/>
        </w:rPr>
        <w:footnoteReference w:id="5005"/>
      </w:r>
      <w:r>
        <w:rPr>
          <w:b w:val="0"/>
          <w:bCs w:val="0"/>
          <w:rtl/>
        </w:rPr>
        <w:t xml:space="preserve">דָא קַיִן דְּאִיהוּ רָבִיץ מִכּוֹבֵד עֲוֹנוֹי, וְאִי לָא בָּעֵי </w:t>
      </w:r>
      <w:r>
        <w:rPr>
          <w:b w:val="0"/>
          <w:sz w:val="20"/>
          <w:szCs w:val="20"/>
          <w:rtl/>
        </w:rPr>
        <w:t>(דף קיב ע''ב בס"א)</w:t>
      </w:r>
      <w:r>
        <w:rPr>
          <w:b w:val="0"/>
          <w:sz w:val="20"/>
          <w:szCs w:val="23"/>
          <w:rtl/>
        </w:rPr>
        <w:t xml:space="preserve"> </w:t>
      </w:r>
      <w:r>
        <w:rPr>
          <w:b w:val="0"/>
          <w:bCs w:val="0"/>
          <w:rtl/>
        </w:rPr>
        <w:t>לְאַהֲדָרָא בִּתְיוּבְתָּא, וְחָדַלְתָּ מֵעֲזוֹב לוֹ דְלָא עָבִיד עוֹבָדוֹי דְאָחוּךְ, וְאִי הֲדַר בִּתְיוּבְתָּא עָזוֹב תַּעֲזוֹב עִמּוֹ, מֶה עָבַד הֶבֶל, קָם עֲלֵיהּ וְאַפְּלֵיהּ לְאַרְעָא וּלְבָתַר קָם קַיִן וְקַטְלֵיהּ דְּכֵן כְּתִיב וַיָּקָם קַיִן אֶל הֶבֶל אָחִיו וַיַּהַרְגֵהוּ, וּבְגִין דָּא אָמַר בֶּן סִירָא טָב לְבִישׁ לָא תַעֲבִיד וּבִישָׁא לָא מָטֵי לָךְ.</w:t>
      </w:r>
    </w:p>
    <w:p w:rsidR="0020255E" w:rsidRDefault="0020255E" w:rsidP="0020255E">
      <w:pPr>
        <w:pStyle w:val="NormalWeb"/>
        <w:rPr>
          <w:b w:val="0"/>
          <w:bCs w:val="0"/>
          <w:rtl/>
        </w:rPr>
      </w:pPr>
      <w:r>
        <w:rPr>
          <w:b w:val="0"/>
          <w:bCs w:val="0"/>
          <w:rtl/>
        </w:rPr>
        <w:t>וַיֹּאמֶר יהו''ה אֶל קַיִן אֵי הֶבֶל אָחִיךָ, אָמַר רַבִּי שִׁמְעוֹן וְכִי לָא הֲוָה יָדַע קוּדְשָׁא בְּרִיךְ הוּא אֵי הֶבֶל דַּהֲוָה שָׁאִיל אֵי הֶבֶל אָחִיךָ, וְכִי אִיהוּ לָא הֲוָה יָדַע דְּקוּדְשָׁא בְּרִיךְ הוּא לֵית מִלָּה דְיִתְכַּסִּי מִנֵּיהּ אֲפִילוּ מַחֲשָׁבָה דְלִבָּא כָּל שֶׁכֵּן מִלָּהּ דְּעָלְמָא, דְּאָמַר לֹא יָדַעְתִּי הֲשׁוֹמֵר אָחִי אָנֹכִי, אֶלָּא וַוי לוֹן לְטִפְּשִׁין אַטִימִין דְּלִבָּא וְעַיְינִין לוֹן וְלָא מִסְתַּכְּלִין אֶלָּא בְּתֶבֶן לְמֵיכַל מִנֵּיהּ כִּבְעִירָן, דְּחַכִּימִין דְּיָדְעִין בְּחִטָה דְאוֹרַיְיתָא דְאִיהִי שְׁנַיִם וְעֶשְׂרִים אַתְוָון כְּחֻשְּׁבַּן חִטָ''ה, אִלֵּין זָרְקִין תִּבְנָא מִדְּאוֹרַיְיתָא וְאָכְלִין חִטָה דְאוֹרַיְיתָא מִלְּגוֹ, תּוּ אַחֲזֵי לְכוֹן רָזִין טְמִירִין בְּהַאי קְרָא בְּזִמְנָא דְקָטַל קַיִן לְהֶבֶל, סָלִיק א''י מִן אדנ''י וְאִשְׁתָּאַר דָ''ן, א' אִיהוּ אָנֹכִי אִימָא עִלָּאָה, י' יהוה דְיוּדִין אַבָּא, דִּסְלִיקוּ לְמִתְבַּע דִּינָא עַל בְּנֵיְיהוּ דְאִיהוּ הֶבֶל וּבְגִין דָּא אָמַר קוּדְשָׁא בְּרִיךְ הוּא אֵי הֶבֶל אָחִיךָ.</w:t>
      </w:r>
    </w:p>
    <w:p w:rsidR="0020255E" w:rsidRDefault="0020255E" w:rsidP="0020255E">
      <w:pPr>
        <w:pStyle w:val="NormalWeb"/>
        <w:rPr>
          <w:b w:val="0"/>
          <w:bCs w:val="0"/>
          <w:rtl/>
        </w:rPr>
      </w:pPr>
      <w:r>
        <w:rPr>
          <w:b w:val="0"/>
          <w:bCs w:val="0"/>
          <w:rtl/>
        </w:rPr>
        <w:t xml:space="preserve">בְּהַהוּא זִמְנָא אָמַר אִיהוּ לֹא יָדַעְתִּי הֲשׁוֹמֵר אָחִי אָנֹכִי, חָמָא קוּדְשָׁא בְּרִיךְ הוּא דְלָא אַדְכִּיר י', אֶלָּא </w:t>
      </w:r>
      <w:r>
        <w:rPr>
          <w:rStyle w:val="a7"/>
          <w:b w:val="0"/>
          <w:bCs w:val="0"/>
          <w:rtl/>
        </w:rPr>
        <w:footnoteReference w:id="5006"/>
      </w:r>
      <w:r>
        <w:rPr>
          <w:b w:val="0"/>
          <w:bCs w:val="0"/>
          <w:rtl/>
        </w:rPr>
        <w:t xml:space="preserve">א' דְּאִיהוּ אָנֹכִי, אָמַר לֵיהּ קוֹל דְּמֵי אָחִיךָ צוֹעֲקִים אֵלַי, דַּם אָחִיךָ מִבָּעֵי לֵיהּ, מַאי דְּמֵי, אֶלָּא דָא דַם י', וְעוֹד דְּמֵי אִיהוּ דָ''ן כְּחוּשְׁבַּן דְּאִשְׁתָּאַר מִן אדנ''י, </w:t>
      </w:r>
      <w:r>
        <w:rPr>
          <w:rStyle w:val="a7"/>
          <w:b w:val="0"/>
          <w:bCs w:val="0"/>
          <w:rtl/>
        </w:rPr>
        <w:footnoteReference w:id="5007"/>
      </w:r>
      <w:r>
        <w:rPr>
          <w:b w:val="0"/>
          <w:bCs w:val="0"/>
          <w:rtl/>
        </w:rPr>
        <w:t xml:space="preserve">וְכֹלָּא קְשׁוֹט, דִּתְלַת שְׁמָהָן כְּלִילָן בְּהַהוּא שְׁמָא, אַבָּא וְאִימָא וּבְרַתָּא, דְּאִנּוּן יהו''ה אהי''ה אדנ''י, בְּגִין דְּהֶבֶל הֲוָה דִיּוֹקְנָא דְאָדָם דִּלְעֵילָא דְאִיהוּ עַמּוּדָא דְאֶמְצָעִיתָא וְאִיהוּ קוֹל דְּאִתְּמַר בֵּיהּ קוֹל דְּמֵי אָחִיךָ, </w:t>
      </w:r>
      <w:r>
        <w:rPr>
          <w:rStyle w:val="a7"/>
          <w:b w:val="0"/>
          <w:bCs w:val="0"/>
          <w:rtl/>
        </w:rPr>
        <w:footnoteReference w:id="5008"/>
      </w:r>
      <w:r>
        <w:rPr>
          <w:b w:val="0"/>
          <w:bCs w:val="0"/>
          <w:rtl/>
        </w:rPr>
        <w:t>וְאִית רָזָא אָחֳרָא, קוֹל דְּמֵי, קוֹל דָּם מִבָּעֵי לֵיהּ, אֶלָּא תִּרְגֵּם אֻנְקְלוֹס קָל דַּם זַרְעִין דַּעֲתִידִין לְמֵיפַּק מִן אֲחוּךְ, וְאִנּוּן שִׁתִּין רִבּוֹא.</w:t>
      </w:r>
    </w:p>
    <w:p w:rsidR="0020255E" w:rsidRDefault="0020255E" w:rsidP="0020255E">
      <w:pPr>
        <w:pStyle w:val="aa"/>
        <w:spacing w:after="40"/>
        <w:rPr>
          <w:szCs w:val="22"/>
          <w:rtl/>
        </w:rPr>
      </w:pPr>
      <w:r>
        <w:rPr>
          <w:szCs w:val="22"/>
          <w:rtl/>
        </w:rPr>
        <w:t>[תיקוני זוהר - דף קיג ע''א בספרים אחרים]</w:t>
      </w:r>
    </w:p>
    <w:p w:rsidR="0020255E" w:rsidRDefault="0020255E" w:rsidP="0020255E">
      <w:pPr>
        <w:pStyle w:val="NormalWeb"/>
        <w:rPr>
          <w:b w:val="0"/>
          <w:bCs w:val="0"/>
          <w:rtl/>
        </w:rPr>
      </w:pPr>
      <w:r>
        <w:rPr>
          <w:b w:val="0"/>
          <w:bCs w:val="0"/>
          <w:rtl/>
        </w:rPr>
        <w:t xml:space="preserve">בְּהַהוּא זִמְנָא דְחָמָא דְחוֹבָא דָא בַּאֲתַר עִלָּאָה הֲוָה תַּלְיָא, הִרְהֵר בִּתְיוּבְתָּא וְאָמַר גָּדוֹל עֲוֹנִי מִנְּשׂוֹא, הֵן גֵּרַשְׁתָּ אוֹתִי הַיּוֹם מֵעַל פְּנֵי הָאֲדָמָה וּמִפָּנֶיךָ אֶסָּתֵר וְהָיִיתִי נָע וָנָד בָּאָרֶץ כו', הָכָא אִתְרַמִּיז גִּלְגּוּלָא דְרַשִּׁיעַיָּא דְאִתְּמַר בְּהוֹן </w:t>
      </w:r>
      <w:r>
        <w:rPr>
          <w:b w:val="0"/>
          <w:sz w:val="20"/>
          <w:szCs w:val="23"/>
          <w:rtl/>
        </w:rPr>
        <w:t>(קהלת ח י)</w:t>
      </w:r>
      <w:r>
        <w:rPr>
          <w:b w:val="0"/>
          <w:bCs w:val="0"/>
          <w:rtl/>
        </w:rPr>
        <w:t xml:space="preserve"> וּבְכֵן רָאִיתִי רְשָׁעִים קְבוּרִים </w:t>
      </w:r>
      <w:r>
        <w:rPr>
          <w:b w:val="0"/>
          <w:sz w:val="20"/>
          <w:szCs w:val="20"/>
          <w:rtl/>
        </w:rPr>
        <w:t>(דף קיג ע''א בס"א)</w:t>
      </w:r>
      <w:r>
        <w:rPr>
          <w:b w:val="0"/>
          <w:sz w:val="20"/>
          <w:szCs w:val="23"/>
          <w:rtl/>
        </w:rPr>
        <w:t xml:space="preserve"> </w:t>
      </w:r>
      <w:r>
        <w:rPr>
          <w:b w:val="0"/>
          <w:bCs w:val="0"/>
          <w:rtl/>
        </w:rPr>
        <w:t xml:space="preserve">וָבָאוּ כו', וְדָא אִיהוּ הֵן גֵּרַשְׁתָּ אוֹתִי הַיּוֹם דָּא גִלְגּוּלָא קַדְמָאָה, וְהָיִיתִי נָע דָּא גִלְגּוּלָא תִּנְיָינָא, וָנָד דָּא גִלְגּוּלָא תְּלִיתָאָה, דָּא אִיהוּ רָזָא </w:t>
      </w:r>
      <w:r>
        <w:rPr>
          <w:b w:val="0"/>
          <w:sz w:val="20"/>
          <w:szCs w:val="23"/>
          <w:rtl/>
        </w:rPr>
        <w:t>(עמוס ב ו)</w:t>
      </w:r>
      <w:r>
        <w:rPr>
          <w:b w:val="0"/>
          <w:bCs w:val="0"/>
          <w:rtl/>
        </w:rPr>
        <w:t xml:space="preserve"> עַל שְׁלשָׁה פִּשְׁעֵי יִשְׂרָאֵל, אִם תָּב בִּתְיוּבְתָּא בִּתְלַת גִּלְגּוּלִין שַׁפִּיר, וְאִם לָא, כְּתִיב בֵּיהּ וְעַל אַרְבָּעָה לֹא אֲשִׁיבֶנּוּ, לָא אַהֲדַר לֵיהּ בְּגוּפָא אָחֳרָא, </w:t>
      </w:r>
      <w:r>
        <w:rPr>
          <w:rStyle w:val="a7"/>
          <w:b w:val="0"/>
          <w:bCs w:val="0"/>
          <w:rtl/>
        </w:rPr>
        <w:footnoteReference w:id="5009"/>
      </w:r>
      <w:r>
        <w:rPr>
          <w:b w:val="0"/>
          <w:bCs w:val="0"/>
          <w:rtl/>
        </w:rPr>
        <w:t xml:space="preserve">אֶלָּא </w:t>
      </w:r>
      <w:r>
        <w:rPr>
          <w:b w:val="0"/>
          <w:sz w:val="20"/>
          <w:szCs w:val="23"/>
          <w:rtl/>
        </w:rPr>
        <w:t>(משלי יא כא)</w:t>
      </w:r>
      <w:r>
        <w:rPr>
          <w:b w:val="0"/>
          <w:bCs w:val="0"/>
          <w:rtl/>
        </w:rPr>
        <w:t xml:space="preserve"> יָד לְיָד לֹא יִנָקֶה רָע, וְהָכִי אָזִיל נָע וָנָד </w:t>
      </w:r>
      <w:r>
        <w:rPr>
          <w:rStyle w:val="a7"/>
          <w:b w:val="0"/>
          <w:bCs w:val="0"/>
          <w:rtl/>
        </w:rPr>
        <w:footnoteReference w:id="5010"/>
      </w:r>
      <w:r>
        <w:rPr>
          <w:b w:val="0"/>
          <w:bCs w:val="0"/>
          <w:rtl/>
        </w:rPr>
        <w:t xml:space="preserve">עַד שִׁתִּין רִבּוֹא, וּלְכָל חַד כְּפוּם חֵילֵיהּ, דְּהַהוּא דְקָטִיל הָכִי נָטִיל קוּדְשָׁא בְּרִיךְ הוּא נוּקְמָא מִנֵּיהּ. </w:t>
      </w:r>
      <w:r>
        <w:rPr>
          <w:rFonts w:hAnsi="Arial" w:cs="Guttman Drogolin"/>
          <w:sz w:val="25"/>
          <w:szCs w:val="22"/>
          <w:rtl/>
        </w:rPr>
        <w:t>עד כאן בספרים אחרים.</w:t>
      </w:r>
    </w:p>
    <w:p w:rsidR="0020255E" w:rsidRDefault="0020255E" w:rsidP="0020255E">
      <w:pPr>
        <w:pStyle w:val="aa"/>
        <w:spacing w:after="40"/>
        <w:rPr>
          <w:rtl/>
        </w:rPr>
      </w:pPr>
      <w:bookmarkStart w:id="321" w:name="_Toc228095640"/>
      <w:bookmarkStart w:id="322" w:name="_Toc231638078"/>
      <w:bookmarkStart w:id="323" w:name="_Toc228095780"/>
      <w:bookmarkStart w:id="324" w:name="_Toc231638218"/>
      <w:bookmarkEnd w:id="319"/>
      <w:bookmarkEnd w:id="320"/>
      <w:r>
        <w:rPr>
          <w:rtl/>
        </w:rPr>
        <w:t>[תיקוני זוהר - דף מא ע''א]</w:t>
      </w:r>
      <w:bookmarkEnd w:id="321"/>
      <w:bookmarkEnd w:id="322"/>
    </w:p>
    <w:p w:rsidR="0020255E" w:rsidRDefault="0020255E" w:rsidP="0020255E">
      <w:pPr>
        <w:pStyle w:val="NormalWeb"/>
        <w:rPr>
          <w:rFonts w:hAnsi="Arial"/>
          <w:rtl/>
        </w:rPr>
      </w:pPr>
      <w:r>
        <w:rPr>
          <w:rFonts w:hAnsi="Arial"/>
          <w:rtl/>
        </w:rPr>
        <w:t>נ"א</w:t>
      </w:r>
      <w:r>
        <w:rPr>
          <w:sz w:val="20"/>
          <w:szCs w:val="23"/>
          <w:rtl/>
        </w:rPr>
        <w:t xml:space="preserve"> (דף מא ע''א) </w:t>
      </w:r>
      <w:r>
        <w:rPr>
          <w:rStyle w:val="a7"/>
          <w:sz w:val="20"/>
          <w:rtl/>
        </w:rPr>
        <w:footnoteReference w:id="5011"/>
      </w:r>
      <w:r>
        <w:rPr>
          <w:rFonts w:hAnsi="Arial"/>
          <w:rtl/>
        </w:rPr>
        <w:t xml:space="preserve">וַיֹּאמֶר אֵי הֶבֶל אָחִיךָ </w:t>
      </w:r>
      <w:r>
        <w:rPr>
          <w:rFonts w:hAnsi="Arial"/>
          <w:sz w:val="20"/>
          <w:szCs w:val="23"/>
          <w:rtl/>
        </w:rPr>
        <w:t>(בראשית ד ט)</w:t>
      </w:r>
      <w:r>
        <w:rPr>
          <w:rFonts w:hAnsi="Arial"/>
          <w:rtl/>
        </w:rPr>
        <w:t xml:space="preserve">, תָּא חֲזִי תְּרֵין אַתְוָון אִלֵּין דְּאִסְתַּלְקוּ מִנֵּיהּ, דִּבְהוֹן חָב, גָּרְמוּ לֵיהּ מִיתָה, א' אָמוֹן מוּפְלָא וּמְכוּסֶה, י' מַחֲשָׁבָה, </w:t>
      </w:r>
      <w:r>
        <w:rPr>
          <w:rStyle w:val="a7"/>
          <w:rFonts w:hAnsi="Arial"/>
          <w:rtl/>
        </w:rPr>
        <w:footnoteReference w:id="5012"/>
      </w:r>
      <w:r>
        <w:rPr>
          <w:rFonts w:hAnsi="Arial"/>
          <w:rtl/>
        </w:rPr>
        <w:t xml:space="preserve">אָמַר לֵיהּ רַבִּי אֶלְעָזָר, אַבָּא, וְהָא כַּמָּה מַחֲשָׁבִין אִינוּן, שְׁכִינְתָּא תַּתָּאָה אִתְקְרֵי מַחֲשָׁבָה, חָכְמָה עִלָּאָה אִתְקְרֵי מַחֲשָׁבָה, </w:t>
      </w:r>
      <w:r>
        <w:rPr>
          <w:rStyle w:val="a7"/>
          <w:rFonts w:hAnsi="Arial"/>
          <w:rtl/>
        </w:rPr>
        <w:footnoteReference w:id="5013"/>
      </w:r>
      <w:r>
        <w:rPr>
          <w:rFonts w:hAnsi="Arial"/>
          <w:rtl/>
        </w:rPr>
        <w:t xml:space="preserve">וּלְעִילָא לְעִילָא מַחֲשָׁבָה, </w:t>
      </w:r>
      <w:r>
        <w:rPr>
          <w:rStyle w:val="a7"/>
          <w:rFonts w:hAnsi="Arial"/>
          <w:rtl/>
        </w:rPr>
        <w:footnoteReference w:id="5014"/>
      </w:r>
      <w:r>
        <w:rPr>
          <w:rFonts w:hAnsi="Arial"/>
          <w:rtl/>
        </w:rPr>
        <w:t xml:space="preserve">וּלְעִילָא מִכֻּלְּהוּ מַחֲשָׁבָה דְלֵית לְעִילָא מִנָּהּ, וְהִיא סְתִימָא דְכָל סְתִימִין, עִלָּאָה דְכָל עִלָּאִין, אִי תֵימָא דְסָלִיק מַחֲשַׁבְתֵּיהּ דְּאָדָם תַּמָּן, לָא, דְהָא אִתְּמַר בֵּיהּ </w:t>
      </w:r>
      <w:r>
        <w:rPr>
          <w:rFonts w:hAnsi="Arial"/>
          <w:sz w:val="20"/>
          <w:szCs w:val="23"/>
          <w:rtl/>
        </w:rPr>
        <w:t>(בראשית ג י)</w:t>
      </w:r>
      <w:r>
        <w:rPr>
          <w:rFonts w:hAnsi="Arial"/>
          <w:rtl/>
        </w:rPr>
        <w:t xml:space="preserve"> וָאִירָא כִּי עִירוֹם אָנֹכִי וָאֵחָבֵא, דְּהַאי עִרוֹם אַחֲזֵי דְאִתְפַּשַּׁט מַלְבּוּשֵׁיהּ, וּבְגִין דָּא אִתְּמַר בְּאַבָּא וָאֵחָבֵא, וּבִבְרָא וַיַּסְתֵּר מֹשֶׁה </w:t>
      </w:r>
      <w:r>
        <w:rPr>
          <w:rFonts w:hAnsi="Arial"/>
          <w:sz w:val="20"/>
          <w:szCs w:val="23"/>
          <w:rtl/>
        </w:rPr>
        <w:t>(שמות ג ו)</w:t>
      </w:r>
      <w:r>
        <w:rPr>
          <w:rFonts w:hAnsi="Arial"/>
          <w:rtl/>
        </w:rPr>
        <w:t>.</w:t>
      </w:r>
    </w:p>
    <w:p w:rsidR="0020255E" w:rsidRDefault="0020255E" w:rsidP="0020255E">
      <w:pPr>
        <w:pStyle w:val="aa"/>
        <w:spacing w:after="40"/>
        <w:rPr>
          <w:rtl/>
        </w:rPr>
      </w:pPr>
      <w:r>
        <w:rPr>
          <w:rtl/>
        </w:rPr>
        <w:t xml:space="preserve">[תיקוני זוהר - דף מא ע''ב] </w:t>
      </w:r>
    </w:p>
    <w:p w:rsidR="0020255E" w:rsidRDefault="0020255E" w:rsidP="0020255E">
      <w:pPr>
        <w:pStyle w:val="NormalWeb"/>
        <w:rPr>
          <w:rFonts w:hAnsi="Arial"/>
          <w:rtl/>
        </w:rPr>
      </w:pPr>
      <w:r>
        <w:rPr>
          <w:rStyle w:val="a7"/>
          <w:rFonts w:hAnsi="Arial"/>
          <w:rtl/>
        </w:rPr>
        <w:footnoteReference w:id="5015"/>
      </w:r>
      <w:r>
        <w:rPr>
          <w:rFonts w:hAnsi="Arial"/>
          <w:rtl/>
        </w:rPr>
        <w:t xml:space="preserve">אָמַר לֵיהּ בְּרִי בְּכֹלָּא חָאב, בְּמַחֲשָׁבָה דְאִיהִי לְבוּשָׁא לְמַחֲשָׁבָה סְתִימָא, וּבְמַחֲשָׁבָה סְתִימָא, וְדָא הֲוָה מִיתָה דִילֵיהּ, דְּאִסְתַּלַּק מַחֲשָׁבָה סְתִימָא דְכָל סְתִימִין מִנֵּיהּ, דְּאִיהוּ חַ''י הַחַיִּי''ם, דְּבַאֲתַר דְּאִיהוּ תַמָּן לֵית מִיתָה תַמָּן, וְחָאב בְּמַחֲשָׁבָה סְתִימָא וְאִשְׁתָּאַר עִרוֹם מִינָהּ, בְּכָל מַה דִּלְעִילָא מִן אִימָּא עִלָּאָה דְאִיהִי תְּשׁוּבָה חָאב, וְאִסְתַּלְקוּ מִנֵּיהּ, וְאִי לַאו דְּקָמַת עִמֵּיהּ תְּשׁוּבָה וְגָלַת עִמֵּיהּ, הֲוָה אִתְאֲבִיד מִכָּל וָכֹל, וּבְגִין דָּא </w:t>
      </w:r>
      <w:r>
        <w:rPr>
          <w:rFonts w:hAnsi="Arial"/>
          <w:sz w:val="20"/>
          <w:szCs w:val="23"/>
          <w:rtl/>
        </w:rPr>
        <w:t>(תהלים קל ג)</w:t>
      </w:r>
      <w:r>
        <w:rPr>
          <w:rFonts w:hAnsi="Arial"/>
          <w:rtl/>
        </w:rPr>
        <w:t xml:space="preserve"> אִם עֲוֹנוֹת תִּשְׁמָר י''ה אדנ''י </w:t>
      </w:r>
      <w:r>
        <w:rPr>
          <w:b w:val="0"/>
          <w:sz w:val="20"/>
          <w:szCs w:val="23"/>
          <w:rtl/>
        </w:rPr>
        <w:t xml:space="preserve">(דף מא ע''ב) </w:t>
      </w:r>
      <w:r>
        <w:rPr>
          <w:rFonts w:hAnsi="Arial"/>
          <w:rtl/>
        </w:rPr>
        <w:t xml:space="preserve">מִי יַעֲמוֹד, מִי יַעֲמוֹד וַדַּאי, וּבְגִין דָּא וּבְפִשְׁעִיכֶם שֻׁלְּחָה אִמְּכֶם </w:t>
      </w:r>
      <w:r>
        <w:rPr>
          <w:rFonts w:hAnsi="Arial"/>
          <w:sz w:val="20"/>
          <w:szCs w:val="23"/>
          <w:rtl/>
        </w:rPr>
        <w:t xml:space="preserve">(ישעיהו </w:t>
      </w:r>
      <w:r w:rsidRPr="00C16EB5">
        <w:rPr>
          <w:rFonts w:hAnsi="Arial"/>
          <w:rtl/>
        </w:rPr>
        <w:t>נ א), הַהִיא דְאִתְּמַר בָּהּ</w:t>
      </w:r>
      <w:r>
        <w:rPr>
          <w:rFonts w:hAnsi="Arial"/>
          <w:szCs w:val="23"/>
          <w:rtl/>
        </w:rPr>
        <w:t xml:space="preserve"> </w:t>
      </w:r>
      <w:r>
        <w:rPr>
          <w:rFonts w:hAnsi="Arial"/>
          <w:sz w:val="20"/>
          <w:szCs w:val="23"/>
          <w:rtl/>
        </w:rPr>
        <w:t>(דברים כב ז)</w:t>
      </w:r>
      <w:r>
        <w:rPr>
          <w:rFonts w:hAnsi="Arial"/>
          <w:rtl/>
        </w:rPr>
        <w:t xml:space="preserve"> שַׁלֵּחַ תְּשַׁלַּח </w:t>
      </w:r>
      <w:r>
        <w:rPr>
          <w:rStyle w:val="a7"/>
          <w:rFonts w:hAnsi="Arial"/>
          <w:rtl/>
        </w:rPr>
        <w:footnoteReference w:id="5016"/>
      </w:r>
      <w:r>
        <w:rPr>
          <w:rFonts w:hAnsi="Arial"/>
          <w:rtl/>
        </w:rPr>
        <w:t>אֶת הָאֵם, אֶת לְאַסְגָּאָה שְׁכִינְתָּא תַּתָּאָה עִמָּהּ.</w:t>
      </w:r>
    </w:p>
    <w:p w:rsidR="0020255E" w:rsidRDefault="0020255E" w:rsidP="0020255E">
      <w:pPr>
        <w:pStyle w:val="NormalWeb"/>
        <w:rPr>
          <w:rFonts w:hAnsi="Arial"/>
          <w:rtl/>
        </w:rPr>
      </w:pPr>
      <w:r>
        <w:rPr>
          <w:rStyle w:val="a7"/>
          <w:rFonts w:hAnsi="Arial"/>
          <w:rtl/>
        </w:rPr>
        <w:footnoteReference w:id="5017"/>
      </w:r>
      <w:r>
        <w:rPr>
          <w:rFonts w:hAnsi="Arial"/>
          <w:rtl/>
        </w:rPr>
        <w:t xml:space="preserve">אִימָּא עִלָּאָה קָמַת בְּאָדָם, וְאִימָּא תַּתָּאָה בְּהֶבֶל, דְּחוֹבָא דְאָדָם רַב הֲוָה מִדְּהֶבֶל, </w:t>
      </w:r>
      <w:r>
        <w:rPr>
          <w:rStyle w:val="a7"/>
          <w:rFonts w:hAnsi="Arial"/>
          <w:rtl/>
        </w:rPr>
        <w:footnoteReference w:id="5018"/>
      </w:r>
      <w:r>
        <w:rPr>
          <w:rFonts w:hAnsi="Arial"/>
          <w:rtl/>
        </w:rPr>
        <w:t xml:space="preserve">וּבְגִין דָּא בְרִי א''י מִן אהי''ה, אִיהוּ א''י דְחָב בֵּיהּ הֶבֶל, וְאִסְתַּלְקוּ וְאִשְׁתְּאָרַת </w:t>
      </w:r>
      <w:r>
        <w:rPr>
          <w:rFonts w:hAnsi="Arial"/>
          <w:sz w:val="20"/>
          <w:szCs w:val="23"/>
          <w:rtl/>
        </w:rPr>
        <w:t>(נ''א קין ואסתלק ואשתארו)</w:t>
      </w:r>
      <w:r>
        <w:rPr>
          <w:rFonts w:hAnsi="Arial"/>
          <w:rtl/>
        </w:rPr>
        <w:t xml:space="preserve">, ה''ה, וּבְגִין דָּא אֵ''י הֶבֶל אָחִיךָ, וְאִיהוּ א''י מִן אדנ''י, וְאִשְׁתָּאַר ד''ן מִן אדנ''י, </w:t>
      </w:r>
      <w:r>
        <w:rPr>
          <w:rStyle w:val="a7"/>
          <w:rFonts w:hAnsi="Arial"/>
          <w:rtl/>
        </w:rPr>
        <w:footnoteReference w:id="5019"/>
      </w:r>
      <w:r>
        <w:rPr>
          <w:rFonts w:hAnsi="Arial"/>
          <w:rtl/>
        </w:rPr>
        <w:t>חוֹבָא דְאָדָם גָּרַם דְּאִסְתַּלַּק י''ו מִן יהו''ה, וְאִשְׁתָּאַר ה''ה.</w:t>
      </w:r>
    </w:p>
    <w:p w:rsidR="0020255E" w:rsidRDefault="0020255E" w:rsidP="0020255E">
      <w:pPr>
        <w:pStyle w:val="NormalWeb"/>
        <w:rPr>
          <w:rFonts w:hAnsi="Arial"/>
          <w:rtl/>
        </w:rPr>
      </w:pPr>
      <w:r>
        <w:rPr>
          <w:rFonts w:hAnsi="Arial"/>
          <w:rtl/>
        </w:rPr>
        <w:t xml:space="preserve">אָמַר לֵיהּ אַבָּא וְהָא י''ו הֲוָה לֵיהּ לְמֶהֱוֵי, מַאי ו''י, </w:t>
      </w:r>
      <w:r>
        <w:rPr>
          <w:rStyle w:val="a7"/>
          <w:rFonts w:hAnsi="Arial"/>
          <w:rtl/>
        </w:rPr>
        <w:footnoteReference w:id="5020"/>
      </w:r>
      <w:r>
        <w:rPr>
          <w:rFonts w:hAnsi="Arial"/>
          <w:rtl/>
        </w:rPr>
        <w:t xml:space="preserve">אָמַר לֵיהּ בְּרִי וַדַּאי דָּא רָזָא דְחָב בְּמַחֲשָׁבָה עִלָּאָה, דְּאִסְתַּלַּק י' מִן א, וְאִשְׁתְּאָרַת ו''י, בְּגִין דְּאִסְתַּלַּק מִתַּמָּן עִלַת הָעִלּוֹת דְּאִיהוּ מַחֲשָׁבָה סְתִימָא בְאָת י' מִן א, דְּלֵית יִחוּדָא </w:t>
      </w:r>
      <w:r>
        <w:rPr>
          <w:rFonts w:hAnsi="Arial"/>
          <w:sz w:val="20"/>
          <w:szCs w:val="23"/>
          <w:rtl/>
        </w:rPr>
        <w:t>(ס''א מחשבה)</w:t>
      </w:r>
      <w:r>
        <w:rPr>
          <w:rFonts w:hAnsi="Arial"/>
          <w:rtl/>
        </w:rPr>
        <w:t xml:space="preserve"> בַּר מִנֵּיהּ, וְהָכָא רָזָא דְלָא אִתְגַּלְיָיא עַד הַשְׁתָּא, וְדָא אִיהוּ כִּי יָדַע שְׁמִי יִקְרָאֵנִי וְאֶעֱנֵהוּ </w:t>
      </w:r>
      <w:r>
        <w:rPr>
          <w:rFonts w:hAnsi="Arial"/>
          <w:sz w:val="20"/>
          <w:szCs w:val="23"/>
          <w:rtl/>
        </w:rPr>
        <w:t>(תהלים צא יד)</w:t>
      </w:r>
      <w:r>
        <w:rPr>
          <w:rFonts w:hAnsi="Arial"/>
          <w:rtl/>
        </w:rPr>
        <w:t xml:space="preserve">, שֵׁם י', דְּלֵית לְעִילָא מִנֵּיהּ כְּלָל, </w:t>
      </w:r>
      <w:r>
        <w:rPr>
          <w:rStyle w:val="a7"/>
          <w:rFonts w:hAnsi="Arial"/>
          <w:rtl/>
        </w:rPr>
        <w:footnoteReference w:id="5021"/>
      </w:r>
      <w:r>
        <w:rPr>
          <w:rFonts w:hAnsi="Arial"/>
          <w:rtl/>
        </w:rPr>
        <w:t>אֶלָּא הַהוּא דְבָרָא כֹלָּא, וְלֵית מָאן דְּבָרָא לֵיהּ, דְּאִית בּוֹרֵא דְאִתְבְּרִי, כְגוֹן מַיָּא דְאִיהוּ בֹּרֵא לַעֲשַׂבִּים וְגָדֵל לוֹן וְאִיהוּ אִתְבְּרִי, אֲבָל הַאי בָּרָא וְלָא אִתְבְּרִי, אִיהוּ דְלֵית אֱלוֹ''הַ לְעִילָא מִנֵּיהּ.</w:t>
      </w:r>
    </w:p>
    <w:p w:rsidR="0020255E" w:rsidRDefault="0020255E" w:rsidP="0020255E">
      <w:pPr>
        <w:pStyle w:val="NormalWeb"/>
        <w:rPr>
          <w:rFonts w:hAnsi="Arial"/>
          <w:rtl/>
        </w:rPr>
      </w:pPr>
      <w:r>
        <w:rPr>
          <w:rFonts w:hAnsi="Arial"/>
          <w:rtl/>
        </w:rPr>
        <w:t xml:space="preserve">אָמַר לֵיהּ אַבָּא מַאי או''י הו''י, אָמַר לֵיהּ בְּרִי הַאי אִיהוּ </w:t>
      </w:r>
      <w:r>
        <w:rPr>
          <w:rStyle w:val="a7"/>
          <w:rFonts w:hAnsi="Arial"/>
          <w:rtl/>
        </w:rPr>
        <w:footnoteReference w:id="5022"/>
      </w:r>
      <w:r>
        <w:rPr>
          <w:rFonts w:hAnsi="Arial"/>
          <w:rtl/>
        </w:rPr>
        <w:t xml:space="preserve">כַּד אִסְתַּלַּק א מִן אהי''ה, עִם י''ו, אִתְעֲבִיד או''י, אָמַר לֵיהּ, אִי הָכִי הַאי א דְתַמָּן ו''י לְעִילָא מִן א' מִן אהי''ה אִיהִי, וּמִכָּל שְׁמָהָן, אָמַר לֵיהּ בְּרִי אִית א' דְאִיהִי בְדִיּוֹקְנָא דָא יוּ''ד, י' לְעִילָא ו' בְּאֶמְצַע ד' לְתַתָּא, וְדָא א' מִן אהי''ה, א' מִן אדנ''י, אֲבָל הַאי א סוֹפָהּ כִּתְּחִלָּתָהּ וּתְחִלָּתָהּ כְּסוֹפָהּ, וּבָהּ אָמַר עִלַּת הָעִלּוֹת אֲנִי רִאשׁוֹן וַאֲנִי אַחֲרוֹן </w:t>
      </w:r>
      <w:r>
        <w:rPr>
          <w:rFonts w:hAnsi="Arial"/>
          <w:sz w:val="20"/>
          <w:szCs w:val="23"/>
          <w:rtl/>
        </w:rPr>
        <w:t>(ישעיהו מד ו)</w:t>
      </w:r>
      <w:r>
        <w:rPr>
          <w:rFonts w:hAnsi="Arial"/>
          <w:rtl/>
        </w:rPr>
        <w:t>, וּבְאָת ו' דְאֶמְצָעִיתָא וּמִבַּלְעָדַי אֵין אלהי''ם.</w:t>
      </w:r>
    </w:p>
    <w:p w:rsidR="0020255E" w:rsidRDefault="0020255E" w:rsidP="0020255E">
      <w:pPr>
        <w:pStyle w:val="NormalWeb"/>
        <w:rPr>
          <w:rFonts w:hAnsi="Arial"/>
          <w:rtl/>
        </w:rPr>
      </w:pPr>
      <w:r>
        <w:rPr>
          <w:rFonts w:hAnsi="Arial"/>
          <w:rtl/>
        </w:rPr>
        <w:t xml:space="preserve">אָמַר לֵיהּ הָא וַדַּאי אִתְגַּלְיָא לִי מַה דְּלָא יְדַעְנָא עַד הַשְׁתָּא, וְלָא עָתִיד לְאִתְגַּלְיָא עַד יוֹמִין דְּיֵיתֵי מַלְכָּא מְשִׁיחָא, אָמַר לֵיהּ אִי הָכִי אִשְׁתְּמוֹדָע </w:t>
      </w:r>
      <w:r>
        <w:rPr>
          <w:rStyle w:val="a7"/>
          <w:rFonts w:hAnsi="Arial"/>
          <w:rtl/>
        </w:rPr>
        <w:footnoteReference w:id="5023"/>
      </w:r>
      <w:r>
        <w:rPr>
          <w:rFonts w:hAnsi="Arial"/>
          <w:rtl/>
        </w:rPr>
        <w:t>דְּאִית אָדָם קַדְמוֹן לְכָל קְדוּמִים, וְאִית אָדָם אָחֳרָא, אָמַר לֵיהּ בְּרִי הָכִי הוּא וַדַּאי, אָדָם דְּבָרָא לֵיהּ עִלַת הָעִלּוֹת בְּדִיּוֹקְנָא דִילֵיהּ סָתִים וְגָנִיז, הַאי גָּרַם דְּאִסְתַּלַּק עִלַּת הָעִלּוֹת, אָדָם תִּנְיָינָא חָאב בְּמַחֲשָׁבָה, וְאָדָם תְּלִיתָאָה חָאב בְּמַעֲשֶׂה, דִּתְלַת אָדָם אִינוּן, אָדָם דִּבְּרִיאָה, אָדָם דִּיְצִירָה, אָדָם דַּעֲשִׂיָּה, דְּלַאו כָּל חוֹבִין שָׁוִין.</w:t>
      </w:r>
    </w:p>
    <w:p w:rsidR="0020255E" w:rsidRDefault="0020255E" w:rsidP="00C16EB5">
      <w:pPr>
        <w:pStyle w:val="NormalWeb"/>
        <w:rPr>
          <w:rtl/>
        </w:rPr>
      </w:pPr>
      <w:r>
        <w:rPr>
          <w:rStyle w:val="a7"/>
          <w:rtl/>
        </w:rPr>
        <w:footnoteReference w:id="5024"/>
      </w:r>
      <w:r>
        <w:rPr>
          <w:rtl/>
        </w:rPr>
        <w:t xml:space="preserve">אָמַר לֵיהּ בְּרִי עִם כָּל דָּא הֲוָה ה' קַיְימָא קַמֵּיהּ דְּאָדָם, בָּתַר דְּאָתוּ עִרֶב רַב וְעָבְדוּ יַת עֶגְלָא, גָרְמוּ דְאִסְתַּלַּק ה' לְגַבֵּי ו''י, וְאִתְעֲבִיד הו''י, וּמָאן גָּרַם דָּא, הוֹי גּוֹי חוֹטֵא </w:t>
      </w:r>
      <w:r>
        <w:rPr>
          <w:szCs w:val="23"/>
          <w:rtl/>
        </w:rPr>
        <w:t>(ישעיהו א ד)</w:t>
      </w:r>
      <w:r>
        <w:rPr>
          <w:rtl/>
        </w:rPr>
        <w:t xml:space="preserve">, וְאִשְׁתְּאָרַת ה' בַּתְרָאָה יְחִידָה, הֲדָא הוּא דִכְתִיב </w:t>
      </w:r>
      <w:r>
        <w:rPr>
          <w:szCs w:val="23"/>
          <w:rtl/>
        </w:rPr>
        <w:t>(איכה א)</w:t>
      </w:r>
      <w:r>
        <w:rPr>
          <w:rtl/>
        </w:rPr>
        <w:t xml:space="preserve"> אֵיכָה יָשְׁבָה בָדָד, דִּבְקַדְמֵיתָא וַתֵּלַכְנָה שְׁתֵּיהֶן </w:t>
      </w:r>
      <w:r>
        <w:rPr>
          <w:szCs w:val="23"/>
          <w:rtl/>
        </w:rPr>
        <w:t>(רות א יט)</w:t>
      </w:r>
      <w:r>
        <w:rPr>
          <w:rtl/>
        </w:rPr>
        <w:t xml:space="preserve"> ה''ה, לְבָתַר אִסְתַּלְּקַת ה' עִלָּאָה, אִשְׁתְּאָרַת ה' תַּתָּאָה בַּתְרָאָה יְחִידָה, </w:t>
      </w:r>
      <w:r>
        <w:rPr>
          <w:rStyle w:val="a7"/>
          <w:rtl/>
        </w:rPr>
        <w:footnoteReference w:id="5025"/>
      </w:r>
      <w:r>
        <w:rPr>
          <w:rtl/>
        </w:rPr>
        <w:t xml:space="preserve">בָּתַר דְּאִתְעָרְבוּ טוֹב עִם רָע, מַה דְּאַפְרִישׁ קוּדְשָׁא בְּרִיךְ הוּא, הֲדָא הוּא דִכְתִיב </w:t>
      </w:r>
      <w:r>
        <w:rPr>
          <w:szCs w:val="23"/>
          <w:rtl/>
        </w:rPr>
        <w:t>(בראשית א ד)</w:t>
      </w:r>
      <w:r>
        <w:rPr>
          <w:rtl/>
        </w:rPr>
        <w:t xml:space="preserve"> וַיַּבְדֵּל אלהי''ם בֵּין הָאוֹר וּבֵין הַחֹשֶׁךְ, </w:t>
      </w:r>
      <w:r>
        <w:rPr>
          <w:rStyle w:val="a7"/>
          <w:rtl/>
        </w:rPr>
        <w:footnoteReference w:id="5026"/>
      </w:r>
      <w:r>
        <w:rPr>
          <w:rtl/>
        </w:rPr>
        <w:t xml:space="preserve">גָּרְמוּ דְגָלַת שְׁכִינְתָּא וְאִתְעָרְבַת בֵּין אוּמִין פַּלְחֵי כּוֹכְבַיָא דְּעָלְמָא, וּבְנָהָא עִמָה, בְּהַהוּא זִמְנָא נָחִית קוּדְשָׁא בְּרִיךְ הוּא בְּכָל אַתְווֹי דְּאִסְתַּלְקוּ בְּגָלוּתָא, לְמִינְטַר לָה, הֲדָא הוּא דִכְתִיב </w:t>
      </w:r>
      <w:r>
        <w:rPr>
          <w:szCs w:val="23"/>
          <w:rtl/>
        </w:rPr>
        <w:t>(ישעיה מב ח)</w:t>
      </w:r>
      <w:r>
        <w:rPr>
          <w:rtl/>
        </w:rPr>
        <w:t xml:space="preserve"> אֲנִי יהו''ה הוּא שְׁמִי וּכְבוֹדִי לְאַחֵר לֹא אֶתֵּן כו'.</w:t>
      </w:r>
    </w:p>
    <w:p w:rsidR="0020255E" w:rsidRDefault="0020255E" w:rsidP="0020255E">
      <w:pPr>
        <w:pStyle w:val="aa"/>
        <w:spacing w:after="40"/>
        <w:rPr>
          <w:rtl/>
        </w:rPr>
      </w:pPr>
      <w:r>
        <w:rPr>
          <w:rtl/>
        </w:rPr>
        <w:t>[תיקוני זוהר - דף קיב ע''ב, דף קיג ע''א]</w:t>
      </w:r>
      <w:bookmarkEnd w:id="323"/>
      <w:bookmarkEnd w:id="324"/>
    </w:p>
    <w:p w:rsidR="0020255E" w:rsidRDefault="0020255E" w:rsidP="0020255E">
      <w:pPr>
        <w:pStyle w:val="NormalWeb"/>
        <w:rPr>
          <w:b w:val="0"/>
          <w:bCs w:val="0"/>
          <w:rtl/>
        </w:rPr>
      </w:pPr>
      <w:r>
        <w:rPr>
          <w:b w:val="0"/>
          <w:sz w:val="20"/>
          <w:szCs w:val="23"/>
          <w:rtl/>
        </w:rPr>
        <w:t xml:space="preserve">(דף קיב ע''ב) </w:t>
      </w:r>
      <w:r>
        <w:rPr>
          <w:b w:val="0"/>
          <w:bCs w:val="0"/>
          <w:rtl/>
        </w:rPr>
        <w:t xml:space="preserve">וְעוֹד אֵי הֶבֶל אָחִיךָ, תָּא חֲזִי תְּרֵין אַתְוָון אִלֵּין שְׁמַעְנָא דְלַאֲתַר עִלָּאָה הֲווֹ סָלְקִין, א''י, א' אָמוֹן מוּפְלָא וּמְכוּסֶה, י' מַחֲשָׁבָה, דִבְהַאי אֲתַר חָאבוּ אָדָם וְהֶבֶל, וְאִתְּמַר דְּאִינוּן א' כֶּתֶר עֶלְיוֹן, י' מַחֲשָׁבָה, לְעִילָא לְעִילָא אִסְתַּלַּק הַאי חוֹבָה, אָמַר לֵיהּ רַבִּי אֶלְעָזָר, אַבָּא, וְהָא כַּמָּה מַחֲשָׁבוֹת אִינוּן, שְׁכִינְתָּא אִתְקְרֵי מַחֲשָׁבָה, וְאִיהִי י' מִן אדנ''י, וְחָכְמָה מַחֲשָׁבָה, וְכֶתֶר דְּאִיהִי א' מִן אדנ''י מַחֲשָׁבָה, וְכַמָּה מַחֲשָׁבִין אִינוּן דָּא לְעִילָא מִן דָּא, וְדָא עַל גַּב דָּא, הֲדָא הוּא דִכְתִיב </w:t>
      </w:r>
      <w:r>
        <w:rPr>
          <w:b w:val="0"/>
          <w:sz w:val="20"/>
          <w:szCs w:val="23"/>
          <w:rtl/>
        </w:rPr>
        <w:t>(קהלת ה ז)</w:t>
      </w:r>
      <w:r>
        <w:rPr>
          <w:b w:val="0"/>
          <w:bCs w:val="0"/>
          <w:rtl/>
        </w:rPr>
        <w:t xml:space="preserve"> כִּי גָבֹהַּ מֵעַל גָּבֹהַּ שֹׁמֵר וּגְבֹהִים עֲלֵיהֶם, וּלְעִילָא מִכֻּלְּהוּ מַחֲשָׁבָה סְתִימָא דְכָל סְתִימִין, עִלָּאָה עַל כָּל עִלָּאִין, דְּלֵית מַחֲשָׁבָה אָחֳרָא לְעִילָא מִנֵּיהּ, וְכַמָּה מַחֲשָׁבִין אִינוּן לְבוּשִׁין דָּא לְדָא, וְאִיהוּ אִשְׁתְּמוֹדָע </w:t>
      </w:r>
      <w:r>
        <w:rPr>
          <w:b w:val="0"/>
          <w:sz w:val="20"/>
          <w:szCs w:val="23"/>
          <w:rtl/>
        </w:rPr>
        <w:t xml:space="preserve">(דף קיג ע''א) </w:t>
      </w:r>
      <w:r>
        <w:rPr>
          <w:b w:val="0"/>
          <w:bCs w:val="0"/>
          <w:rtl/>
        </w:rPr>
        <w:t xml:space="preserve">דְּלָא חָאב אֶלָּא בְּמַחֲשָׁבָה דְאִיהִי לְבוּשָׁא, הֲדָא הוּא דִכְתִיב </w:t>
      </w:r>
      <w:r>
        <w:rPr>
          <w:b w:val="0"/>
          <w:sz w:val="20"/>
          <w:szCs w:val="23"/>
          <w:rtl/>
        </w:rPr>
        <w:t>(בראשית ג י)</w:t>
      </w:r>
      <w:r>
        <w:rPr>
          <w:b w:val="0"/>
          <w:bCs w:val="0"/>
          <w:rtl/>
        </w:rPr>
        <w:t xml:space="preserve"> וָאִירָא כִּי עִירוֹם אָנֹכִי וָאֵחָבֵא, אִתְּמַר בְּאָדָם וָאֵחָבֵא וְאִתְּמַר בְּמֹשֶׁה </w:t>
      </w:r>
      <w:r>
        <w:rPr>
          <w:b w:val="0"/>
          <w:sz w:val="20"/>
          <w:szCs w:val="23"/>
          <w:rtl/>
        </w:rPr>
        <w:t>(שמות ג ו)</w:t>
      </w:r>
      <w:r>
        <w:rPr>
          <w:b w:val="0"/>
          <w:bCs w:val="0"/>
          <w:rtl/>
        </w:rPr>
        <w:t xml:space="preserve"> וַיַּסְתֵּר מֹשֶׁה פָּנָיו.</w:t>
      </w:r>
    </w:p>
    <w:p w:rsidR="0020255E" w:rsidRDefault="0020255E" w:rsidP="0020255E">
      <w:pPr>
        <w:pStyle w:val="NormalWeb"/>
        <w:rPr>
          <w:b w:val="0"/>
          <w:bCs w:val="0"/>
          <w:rtl/>
        </w:rPr>
      </w:pPr>
      <w:r>
        <w:rPr>
          <w:b w:val="0"/>
          <w:bCs w:val="0"/>
          <w:rtl/>
        </w:rPr>
        <w:t xml:space="preserve">אָמַר רַבִּי שִׁמְעוֹן, בְּרִי, בְּוַדַּאי בְּכֹלָּא חָאב אָדָם, בְּמַחֲשָׁבָה דְאִיהִי לְבוּשָׁא, וּבְמַחֲשָׁבָה דְאִיהִי מִלְּגָאו, </w:t>
      </w:r>
      <w:r>
        <w:rPr>
          <w:rStyle w:val="a7"/>
          <w:b w:val="0"/>
          <w:bCs w:val="0"/>
          <w:rtl/>
        </w:rPr>
        <w:footnoteReference w:id="5027"/>
      </w:r>
      <w:r>
        <w:rPr>
          <w:b w:val="0"/>
          <w:bCs w:val="0"/>
          <w:rtl/>
        </w:rPr>
        <w:t xml:space="preserve">וּבְגִין דָּא אָמַר לְמֹשֶׁה בְּזִמְנָא דְאָמַר </w:t>
      </w:r>
      <w:r>
        <w:rPr>
          <w:b w:val="0"/>
          <w:sz w:val="20"/>
          <w:szCs w:val="23"/>
          <w:rtl/>
        </w:rPr>
        <w:t>(שמות לג יח)</w:t>
      </w:r>
      <w:r>
        <w:rPr>
          <w:b w:val="0"/>
          <w:bCs w:val="0"/>
          <w:rtl/>
        </w:rPr>
        <w:t xml:space="preserve"> הַרְאֵנִי נָא אֶת כְּבֹדֶךָ, אָמַר, כִּי לֹא יִרְאַנִי הָאָדָם וָחָי, דְּאִם זָכָה שֶׁיִּרְאַנִי, וָחַי לְעוֹלָם, וּבְגִין דָּא אָמַר לֵיהּ </w:t>
      </w:r>
      <w:r>
        <w:rPr>
          <w:b w:val="0"/>
          <w:sz w:val="20"/>
          <w:szCs w:val="23"/>
          <w:rtl/>
        </w:rPr>
        <w:t>(שמות לג כ)</w:t>
      </w:r>
      <w:r>
        <w:rPr>
          <w:b w:val="0"/>
          <w:bCs w:val="0"/>
          <w:rtl/>
        </w:rPr>
        <w:t xml:space="preserve"> לֹא תוּכַל לִרְאוֹת אֶת פָּנָי, מָאן אִינוּן פָּנִים הָכָא, אֶלָּא פָנִים דְּלָא נִרְאִין, </w:t>
      </w:r>
      <w:r>
        <w:rPr>
          <w:rStyle w:val="a7"/>
          <w:b w:val="0"/>
          <w:bCs w:val="0"/>
          <w:rtl/>
        </w:rPr>
        <w:footnoteReference w:id="5028"/>
      </w:r>
      <w:r>
        <w:rPr>
          <w:b w:val="0"/>
          <w:bCs w:val="0"/>
          <w:rtl/>
        </w:rPr>
        <w:t xml:space="preserve">בַּאֲתַר דְּאִשְׁתְּמוֹדָע עִלַּת הָעִלּוֹת, וּבַאֲתַר דְּאִתְגַּלְיָיא, וְחוֹבָא דְאָדָם גָּרִים דְּלָא יְכִיל מֹשֶׁה לְאִסְתַּכְּלָא בֵיהּ, כָּל שֶׁכֵּן אָחֳרָא, דְּעִלַּת הָעִלּוֹת אִסְתַּלַּק מִמַּחֲשָׁבָה דְחָאב בָּהּ אָדָם, וּבְגִין דָּא עַיִן לֹא תְשׁוּרֵהוּ, וּמַחֲשָׁבָה לֹא תְכִילֵהוּ, לָא יָכִיל לְאַשָּׂגָא לֵיהּ, דְּאִיהוּ חַי הַחַיִּים, וּבַאֲתַר דְּאִיהוּ שַׁרְיָא לֵית מִיתָה תַמָּן, </w:t>
      </w:r>
      <w:r>
        <w:rPr>
          <w:rStyle w:val="a7"/>
          <w:b w:val="0"/>
          <w:bCs w:val="0"/>
          <w:rtl/>
        </w:rPr>
        <w:footnoteReference w:id="5029"/>
      </w:r>
      <w:r>
        <w:rPr>
          <w:b w:val="0"/>
          <w:bCs w:val="0"/>
          <w:rtl/>
        </w:rPr>
        <w:t xml:space="preserve">וּמַחֲשָׁבָה דְאִסְתַּלַּק מִנֵּיהּ, בְּוַדַּאי אִיהוּ חָכְמָה לְבוּשָׁא לְחָכְמָה סְתִימָאָה, בְּוַדַּאי בָּהּ חָאב אָדָם, וּבְגִין דָּא אִתְּמַר בֵּיהּ </w:t>
      </w:r>
      <w:r>
        <w:rPr>
          <w:b w:val="0"/>
          <w:sz w:val="20"/>
          <w:szCs w:val="23"/>
          <w:rtl/>
        </w:rPr>
        <w:t>(בראשית ג י)</w:t>
      </w:r>
      <w:r>
        <w:rPr>
          <w:b w:val="0"/>
          <w:bCs w:val="0"/>
          <w:rtl/>
        </w:rPr>
        <w:t xml:space="preserve"> וָאִירָא כִּי עִירוֹם אָנֹכִי וָאֵחָבֵא.</w:t>
      </w:r>
    </w:p>
    <w:p w:rsidR="0020255E" w:rsidRDefault="0020255E" w:rsidP="0020255E">
      <w:pPr>
        <w:pStyle w:val="NormalWeb"/>
        <w:rPr>
          <w:b w:val="0"/>
          <w:bCs w:val="0"/>
          <w:rtl/>
        </w:rPr>
      </w:pPr>
      <w:r>
        <w:rPr>
          <w:b w:val="0"/>
          <w:bCs w:val="0"/>
          <w:rtl/>
        </w:rPr>
        <w:t xml:space="preserve">אָמַר רַבִּי אֶלְעָזָר, וְהָא מֵהָכָא מַשְׁמַע דְּלָא חָאב בְּמַחֲשָׁבָה עִלָּאָה אֶלָּא בְהַהִיא דְאִיהִי לְבוּשָׁא מִינָהּ, וְאִשְׁתָּאַר אִיהוּ בְהַהִיא דְאִיהִי מִלְּגָאו, בְּמוֹחָא בְּלָא קַרְקַפְתָּא, וּבְגִין דָּא וָאִירָא, דְּאִזְדַּעְזַע מֵהַהִיא דִלְגוֹ מִן מַחֲשָׁבָה סְתִימָא דְאִיהוּ עִלַּת הָעִלּוֹת, אָמַר לֵיהּ רַבִּי שִׁמְעוֹן, בְּרִי, בְּמַחֲשָׁבָה דְאִיהוּ מוֹחָא אוּף הָכִי חָב דְּזַרְעָא מִתַּמָּן נָפִיק, דְּאִיהוּ נְבִיעוּ דְאִילָנָא דְחַיֵּי </w:t>
      </w:r>
      <w:r>
        <w:rPr>
          <w:rStyle w:val="a7"/>
          <w:b w:val="0"/>
          <w:bCs w:val="0"/>
          <w:rtl/>
        </w:rPr>
        <w:footnoteReference w:id="5030"/>
      </w:r>
      <w:r>
        <w:rPr>
          <w:b w:val="0"/>
          <w:bCs w:val="0"/>
          <w:rtl/>
        </w:rPr>
        <w:t xml:space="preserve">דְאִיהוּ אוֹר קַדְמוֹן וְאוֹר צַח וְאוֹר מְצוּחְצָח, תְּלַת טִפִּין דְּאִתְרְמִיזוּ בְּי' עִלָּאָה, קוֹצָא דִלְעִילָא וְקוֹצָא דִלְתַתָּא וְגֵיו בְּאֶמְצָעִיתָא, </w:t>
      </w:r>
      <w:r>
        <w:rPr>
          <w:rStyle w:val="a7"/>
          <w:b w:val="0"/>
          <w:bCs w:val="0"/>
          <w:rtl/>
        </w:rPr>
        <w:footnoteReference w:id="5031"/>
      </w:r>
      <w:r>
        <w:rPr>
          <w:b w:val="0"/>
          <w:bCs w:val="0"/>
          <w:rtl/>
        </w:rPr>
        <w:t xml:space="preserve">וְעָרַב תַּמָּן חֹשֶׁךְ דְּאַפְסִיק בֵּין עִלַּת הָעִלּוֹת לְמוֹחָא סְתִימָא, וּבְגִין דָּא </w:t>
      </w:r>
      <w:r>
        <w:rPr>
          <w:b w:val="0"/>
          <w:sz w:val="20"/>
          <w:szCs w:val="23"/>
          <w:rtl/>
        </w:rPr>
        <w:t>(שמות לג כ)</w:t>
      </w:r>
      <w:r>
        <w:rPr>
          <w:b w:val="0"/>
          <w:bCs w:val="0"/>
          <w:rtl/>
        </w:rPr>
        <w:t xml:space="preserve"> כִּי לֹא יִרְאַנִי הָאָדָם וָחָי עַד דְּהַהוּא חֹשֶׁךְ אִתְעַבַּר מִתַּמָּן, וְדָא אִיהוּ רָזָא </w:t>
      </w:r>
      <w:r>
        <w:rPr>
          <w:b w:val="0"/>
          <w:sz w:val="20"/>
          <w:szCs w:val="23"/>
          <w:rtl/>
        </w:rPr>
        <w:t>(ישעיה נט כ)</w:t>
      </w:r>
      <w:r>
        <w:rPr>
          <w:b w:val="0"/>
          <w:bCs w:val="0"/>
          <w:rtl/>
        </w:rPr>
        <w:t xml:space="preserve"> כִּי אִם עֲוֹנוֹתֵיכֶם הָיוּ מַבְדִּילִים בֵּינֵיכֶם וּבֵין אלהיכ''ם, וּבְגִין הַהוּא חֹשֶׁךְ, לֵית מַחֲשָׁבָה יָכִילָא לְאַשָּׂגָא תַמָּן, כָּל שֶׁכֵּן עַיִן, עַד דְּאִתְעַבַּר מִתַּמָּן הַהוּא חֹשֶׁךְ, וּכְגַוְונָא דִילֵיהּ לְתַתָּא אִית עֲנָנָא חֲשׁוֹכָא דְאִתְּמַר בָּהּ </w:t>
      </w:r>
      <w:r>
        <w:rPr>
          <w:b w:val="0"/>
          <w:sz w:val="20"/>
          <w:szCs w:val="23"/>
          <w:rtl/>
        </w:rPr>
        <w:t>(איכה ג מד)</w:t>
      </w:r>
      <w:r>
        <w:rPr>
          <w:b w:val="0"/>
          <w:bCs w:val="0"/>
          <w:rtl/>
        </w:rPr>
        <w:t xml:space="preserve"> סַכֹּתָה בֶעָנָן לָךְ כו'.</w:t>
      </w:r>
    </w:p>
    <w:p w:rsidR="0020255E" w:rsidRDefault="0020255E" w:rsidP="0020255E">
      <w:pPr>
        <w:pStyle w:val="aa"/>
        <w:spacing w:after="40"/>
        <w:rPr>
          <w:rtl/>
        </w:rPr>
      </w:pPr>
      <w:r>
        <w:rPr>
          <w:rtl/>
        </w:rPr>
        <w:t xml:space="preserve">[תיקוני זוהר - דף קיג ע''ב] </w:t>
      </w:r>
    </w:p>
    <w:p w:rsidR="0020255E" w:rsidRDefault="0020255E" w:rsidP="0020255E">
      <w:pPr>
        <w:pStyle w:val="NormalWeb"/>
        <w:rPr>
          <w:b w:val="0"/>
          <w:bCs w:val="0"/>
          <w:rtl/>
        </w:rPr>
      </w:pPr>
      <w:r>
        <w:rPr>
          <w:b w:val="0"/>
          <w:bCs w:val="0"/>
          <w:rtl/>
        </w:rPr>
        <w:t xml:space="preserve">אִזְדַּעְזַע רַבִּי אֶלְעָזָר וְכֻלְּהוּ חַבְרַיָּא וְאִזְדַּעְזְעוּ סָבִין מָארֵי דִמְתִיבְתָּא, אָמַר רַבִּי אֶלְעָזָר עַד כְּעַן לָא יְדַעְנָא דְחוֹבָא דְאָדָם הָכִי הֲוָה עִלָּאָה, דְּמָטָא לַאֲתַר עִלָּאָה דְכָל עִלָּאִין, אָמַר, אַבָּא, הַב לִי רְשׁוּ לְמִשְׁאַל אַף עַל גַּב דְּלָא אִתְיַיהִיב רְשׁוּ לְכָל בַּר נַשׁ לְמִשְׁאַל כָּל שֶׁכֵּן לְמִנְדַּע, אָמַר לֵיהּ אֵימָא בְּרִי דְהָא רַעֲוָא אִשְׁתַּכַּח וּרְשׁוּתָא אִתְיַיהִיב לְגַלָּאָה כָּל מַה דְּיָכִילְנָא לְמִנְדַּע, אָמַר לֵיהּ, אַבָּא, אִשְׁתְּמוֹדָע בְּגִין הַהוּא חֹשֶׁךְ דְּאַפְסִיק בֵּין עִלַּת הָעִלּוֹת לְמַחֲשָׁבָה סְתִימָא, </w:t>
      </w:r>
      <w:r>
        <w:rPr>
          <w:rStyle w:val="a7"/>
          <w:b w:val="0"/>
          <w:bCs w:val="0"/>
          <w:rtl/>
        </w:rPr>
        <w:footnoteReference w:id="5032"/>
      </w:r>
      <w:r>
        <w:rPr>
          <w:b w:val="0"/>
          <w:bCs w:val="0"/>
          <w:rtl/>
        </w:rPr>
        <w:t xml:space="preserve">דְּעִלַּת הָעִלּוֹת לָא אִשְׁתַּתַּף בְּשׁוּם מַחֲשָׁבָה סְתִימָא כָּל שֶׁכֵּן גַּלְיָא, וְלַאו </w:t>
      </w:r>
      <w:r>
        <w:rPr>
          <w:rStyle w:val="a7"/>
          <w:b w:val="0"/>
          <w:bCs w:val="0"/>
          <w:rtl/>
        </w:rPr>
        <w:footnoteReference w:id="5033"/>
      </w:r>
      <w:r>
        <w:rPr>
          <w:b w:val="0"/>
          <w:bCs w:val="0"/>
          <w:rtl/>
        </w:rPr>
        <w:t xml:space="preserve">בְּשׁוּם אוֹר גָּנִיז וְטָמִיר וְקַדְמוֹן וְצַח וּמְצוּחְצָח, אָמַר וַדַּאי הָכִי הוּא דְאִם אִלֵּין נְהוֹרִין וּמַחֲשָׁבִין הֲווֹ מִנֵּיהּ לָא הֲוָה יָכִיל חֹשֶׁךְ לְאַפְרָשָׁא, אֲבָל עִלַּת הָעִלּוֹת אִיהוּ עַל כָּל נְהוֹרִין גְּנִיזִין וּסְתִימִין כְּנִשְׁמָתָא בְגוּפָא, וְאוֹר קַדְמוֹן אַף עַל גַּב דְּאִיהוּ סָתִים וְגָנִיז וְאִיהוּ קַדְמוֹן לְכָל סְפִירָן וּלְכָל אַתְוָון וּנְקוּדֵי וְטַעֲמֵי, הָכִי אִיהוּ לְגַבֵּי עִלַּת הָעִלּוֹת, כְּגוּפָא </w:t>
      </w:r>
      <w:r>
        <w:rPr>
          <w:b w:val="0"/>
          <w:sz w:val="20"/>
          <w:szCs w:val="23"/>
          <w:rtl/>
        </w:rPr>
        <w:t xml:space="preserve">(דף קיג ע''ב) </w:t>
      </w:r>
      <w:r>
        <w:rPr>
          <w:b w:val="0"/>
          <w:bCs w:val="0"/>
          <w:rtl/>
        </w:rPr>
        <w:t>לְגַבֵּי נִשְׁמָתָא, דִּבְעִלַּת הָעִלּוֹת לֵית בֵּיהּ גַּוָּון וְלָא צוּרָה וְלָא דִיּוֹקְנָא וְלָא שׁוּתָּפוּ, וּבַאֲתַר דְּעַיִן לָא שַׁלִּיט מָאן יָכִיל לְמֶעֱבַד דִּמְיוֹן.</w:t>
      </w:r>
    </w:p>
    <w:p w:rsidR="0020255E" w:rsidRDefault="0020255E" w:rsidP="0020255E">
      <w:pPr>
        <w:pStyle w:val="NormalWeb"/>
        <w:rPr>
          <w:b w:val="0"/>
          <w:bCs w:val="0"/>
          <w:rtl/>
        </w:rPr>
      </w:pPr>
      <w:r>
        <w:rPr>
          <w:rStyle w:val="a7"/>
          <w:b w:val="0"/>
          <w:bCs w:val="0"/>
          <w:rtl/>
        </w:rPr>
        <w:footnoteReference w:id="5034"/>
      </w:r>
      <w:r>
        <w:rPr>
          <w:b w:val="0"/>
          <w:bCs w:val="0"/>
          <w:rtl/>
        </w:rPr>
        <w:t xml:space="preserve">בָּתַר דְּהִרְהֵר תְּשׁוּבָה אָדָם לְתַתָּא, הָדְרָא לְבוּשָׁא לְגַבֵּי מוֹחָא דְאִיהוּ אַבָּא קַרְקַפְתָּא דִתְּפִלֵּי, וְאִתְחַבַּר מוֹחָא דְאִיהִי חָכְמָה בְּאִימָּא, מִיָּד </w:t>
      </w:r>
      <w:r>
        <w:rPr>
          <w:b w:val="0"/>
          <w:sz w:val="20"/>
          <w:szCs w:val="23"/>
          <w:rtl/>
        </w:rPr>
        <w:t>(בראשית ג כא)</w:t>
      </w:r>
      <w:r>
        <w:rPr>
          <w:b w:val="0"/>
          <w:bCs w:val="0"/>
          <w:rtl/>
        </w:rPr>
        <w:t xml:space="preserve"> וַיַּעַשׂ יהו''ה אלהי''ם לְאָדָם וּלְאִשְׁתּוֹ כָּתְנוֹת עוֹר וַיַּלְבִּישֵׁם, וְאִינוּן תְּפִלִּין דְּאִינוּן מֵעוֹר, בְּהַהוּא זִמְנָא קָמַת תְּשׁוּבָה דְאִיהִי אִימָּא קַרְקַפְתָּא דִתְּפִלֵּי עִם אָדָם לְאַגָּנָא עֲלֵיהּ וּלְכַסְיָא עֲלֵיהּ דַּהֲוָה עָרוֹם, כְּגַוְונָא דְאִיהוּ כַּסִּי עַל מוֹחָא עִלָּאָה, וּבְרִי, כָּל מָאן דְּאַנַּח תְּפִלִּין כְּאִלּוּ כַּסִּי עַל מוֹחָא עִלָּאָה, וּבְגִין דָּא שְׁכִינְתָּא עִלָּאָה לָא זָזָה מִנֵּיהּ, וְרָזָא דְמִלָּה </w:t>
      </w:r>
      <w:r>
        <w:rPr>
          <w:b w:val="0"/>
          <w:sz w:val="20"/>
          <w:szCs w:val="23"/>
          <w:rtl/>
        </w:rPr>
        <w:t>(תהלים קל ז)</w:t>
      </w:r>
      <w:r>
        <w:rPr>
          <w:b w:val="0"/>
          <w:bCs w:val="0"/>
          <w:rtl/>
        </w:rPr>
        <w:t xml:space="preserve"> אִם עֲוֹנוֹת תִּשְׁמָר יָ''הּ אדנ''י מִי יַעֲמוֹד, מִ''י יַעֲמוֹד וַדַּאי דְּאִיהִי אִימָּא עִלָּאָה תְּשׁוּבָה הָא קָמַת בְּאָדָם עִלָּאָה, וּשְׁכִינְתָּא דְאִיהִי תְּפִלָּה שֶׁל יָד </w:t>
      </w:r>
      <w:r>
        <w:rPr>
          <w:rStyle w:val="a7"/>
          <w:b w:val="0"/>
          <w:bCs w:val="0"/>
          <w:rtl/>
        </w:rPr>
        <w:footnoteReference w:id="5035"/>
      </w:r>
      <w:r>
        <w:rPr>
          <w:b w:val="0"/>
          <w:bCs w:val="0"/>
          <w:rtl/>
        </w:rPr>
        <w:t xml:space="preserve">בְּאָדָם תַּתָּאָה, שְׁכִינְתָּא עִלָּאָה נָחֲתַת עִם אָדָם, וּשְׁכִינְתָּא תַּתָּאָה עִם הֶבֶל, </w:t>
      </w:r>
      <w:r>
        <w:rPr>
          <w:rtl/>
        </w:rPr>
        <w:t xml:space="preserve">(וְעִם כָּל </w:t>
      </w:r>
      <w:r>
        <w:rPr>
          <w:sz w:val="20"/>
          <w:szCs w:val="23"/>
          <w:rtl/>
        </w:rPr>
        <w:t>(דא)</w:t>
      </w:r>
      <w:r>
        <w:rPr>
          <w:rtl/>
        </w:rPr>
        <w:t xml:space="preserve"> מָארֵי דְּדַכְיוּ דְקָא אַתְיָין מִנַּיְיהוּ)</w:t>
      </w:r>
      <w:r>
        <w:rPr>
          <w:b w:val="0"/>
          <w:bCs w:val="0"/>
          <w:rtl/>
        </w:rPr>
        <w:t xml:space="preserve"> וּבְגִין דָּא </w:t>
      </w:r>
      <w:r>
        <w:rPr>
          <w:b w:val="0"/>
          <w:sz w:val="20"/>
          <w:szCs w:val="23"/>
          <w:rtl/>
        </w:rPr>
        <w:t>(רות א יט)</w:t>
      </w:r>
      <w:r>
        <w:rPr>
          <w:b w:val="0"/>
          <w:bCs w:val="0"/>
          <w:rtl/>
        </w:rPr>
        <w:t xml:space="preserve"> וַתֵּלַכְנָה שְׁתֵּיהֶן.</w:t>
      </w:r>
    </w:p>
    <w:p w:rsidR="0020255E" w:rsidRDefault="0020255E" w:rsidP="0020255E">
      <w:pPr>
        <w:pStyle w:val="NormalWeb"/>
        <w:rPr>
          <w:b w:val="0"/>
          <w:bCs w:val="0"/>
          <w:rtl/>
        </w:rPr>
      </w:pPr>
      <w:r>
        <w:rPr>
          <w:b w:val="0"/>
          <w:bCs w:val="0"/>
          <w:rtl/>
        </w:rPr>
        <w:t xml:space="preserve">מִיָּד דְּחָאבוּ יִשְׂרָאֵל בְּעוֹבָדָא דְעֶגְלָא מַה כְּתִיב </w:t>
      </w:r>
      <w:r>
        <w:rPr>
          <w:b w:val="0"/>
          <w:sz w:val="20"/>
          <w:szCs w:val="23"/>
          <w:rtl/>
        </w:rPr>
        <w:t>(ישעיה ג ב)</w:t>
      </w:r>
      <w:r>
        <w:rPr>
          <w:b w:val="0"/>
          <w:bCs w:val="0"/>
          <w:rtl/>
        </w:rPr>
        <w:t xml:space="preserve"> וּבְפִשְׁעִיכֶם שֻׁלְּחָה אִמְּכֶם דְּאִתְּמַר בָּהּ </w:t>
      </w:r>
      <w:r>
        <w:rPr>
          <w:b w:val="0"/>
          <w:sz w:val="20"/>
          <w:szCs w:val="23"/>
          <w:rtl/>
        </w:rPr>
        <w:t>(משלי ב ג)</w:t>
      </w:r>
      <w:r>
        <w:rPr>
          <w:b w:val="0"/>
          <w:bCs w:val="0"/>
          <w:rtl/>
        </w:rPr>
        <w:t xml:space="preserve"> כִּי אִם לַבִּינָה תִקְרָא, אִשְׁתַּלְחַת </w:t>
      </w:r>
      <w:r>
        <w:rPr>
          <w:b w:val="0"/>
          <w:sz w:val="20"/>
          <w:szCs w:val="23"/>
          <w:rtl/>
        </w:rPr>
        <w:t>(נ''א ואסתלקת)</w:t>
      </w:r>
      <w:r>
        <w:rPr>
          <w:b w:val="0"/>
          <w:bCs w:val="0"/>
          <w:rtl/>
        </w:rPr>
        <w:t xml:space="preserve"> מִנַּיְיהוּ וַתָּרָם מֵעַל הָאָרֶץ, דְּלָא נָחְתַת עֲלַיְיהוּ אֶלָּא בְּשַׁבָּתוֹת וְיֹמִין טָבִין, וְאִשְׁתְּאָרַת שְׁכִינְתָּא תַּתָּאָה יְחִידָאָה לְתַתָּא, וּשְׁכִינְתָּא עִלָּאָה יְחִידָאָה לְעִילָא, וְהָא אוּקְמוּהָ אֵיכָה יָשְׁבָה בָדָד, דִּבְקַדְמֵיתָא לָא הֲוַת שְׁכִינְתָּא עִלָּאָה זָזָה מִנַּיְיהוּ כְּגַוְונָא דִשְׁכִינְתָּא תַּתָּאָה, זַכָּאִין אִינוּן מָארֵי דִתְיוּבְתָּא דְנַחְתֵי לָהּ עֲלַיְיהוּ בְּכָל יוֹמָא וְשַׁעְתָּא וְרִגְעָא וְלָא זָזַת מִנַּיְיהוּ בְּכָל אֲתַר, דַּעֲלַיְיהוּ אִתְּמַר </w:t>
      </w:r>
      <w:r>
        <w:rPr>
          <w:b w:val="0"/>
          <w:sz w:val="20"/>
          <w:szCs w:val="23"/>
          <w:rtl/>
        </w:rPr>
        <w:t>(שם ו כב)</w:t>
      </w:r>
      <w:r>
        <w:rPr>
          <w:b w:val="0"/>
          <w:bCs w:val="0"/>
          <w:rtl/>
        </w:rPr>
        <w:t xml:space="preserve"> בְּהִתְהַלֶּכְךָ תַּנְחֶה אוֹתָךְ כו', וְלָא אִית לָהּ עֲלַיְיהוּ יוֹמָא יְדִיעַ כְּגַוְונָא דְאָחֳרָנִין דְּלָא נָחֲתַת עֲלַיְיהוּ אֶלָּא בְּשַׁבָּתוֹת וְיוֹמִין טָבִין, אֲבָל מָארֵי תְּיוּבְתָּא לָא זָזַת מִנַּיְיהוּ לְעָלַם.</w:t>
      </w:r>
    </w:p>
    <w:p w:rsidR="0020255E" w:rsidRDefault="0020255E" w:rsidP="0020255E">
      <w:pPr>
        <w:pStyle w:val="NormalWeb"/>
        <w:rPr>
          <w:b w:val="0"/>
          <w:bCs w:val="0"/>
          <w:rtl/>
        </w:rPr>
      </w:pPr>
      <w:r>
        <w:rPr>
          <w:b w:val="0"/>
          <w:bCs w:val="0"/>
          <w:rtl/>
        </w:rPr>
        <w:t xml:space="preserve">וּבְגִין דָּא בְרִי, אֵ''י הֶבֶל אָחִיךָ, א' י' מִן אהי''ה אִימָּא עִלָּאָה, וְאִשְׁתָּאֲרוּ ה' ה', וְאִתְּמַר עֲלַיְיהוּ וַתֵּלַכְנָה שְׁתֵּיהֶן, הָכָא חָאב הֶבֶל אָדָם, חָב בְּי''ו מִן יהו''ה וְאִסְתַּלַּק י''ו וְאִתְעֲבִיד ו' י', אָמַר רַבִּי אֶלְעָזָר וְהָא י' ו', אִינוּן, י' לְעִילָא ו' לְתַתָּא, מַאי ו' י', אָמַר בְּרִי הָכִי אִיהוּ וַדַּאי, דְּחוֹבָה דָא אִיהוּ לְעִילָא בְּאָת א דְאִסְתַּלְקַת </w:t>
      </w:r>
      <w:r>
        <w:rPr>
          <w:rStyle w:val="a7"/>
          <w:b w:val="0"/>
          <w:bCs w:val="0"/>
          <w:rtl/>
        </w:rPr>
        <w:footnoteReference w:id="5036"/>
      </w:r>
      <w:r>
        <w:rPr>
          <w:b w:val="0"/>
          <w:bCs w:val="0"/>
          <w:rtl/>
        </w:rPr>
        <w:t xml:space="preserve">בְּמַחֲשָׁבָה דְאִיהִי י' עִלָּאָה דְתַמָּן עִלַּת הָעִלּוֹת, וְאִשְׁתָּאַר ו' י' כְּגַוְונָא דָא א, וְעַל י' עִלָּאָה אִתְּמַר </w:t>
      </w:r>
      <w:r>
        <w:rPr>
          <w:b w:val="0"/>
          <w:sz w:val="20"/>
          <w:szCs w:val="23"/>
          <w:rtl/>
        </w:rPr>
        <w:t>(תהלים צא יד)</w:t>
      </w:r>
      <w:r>
        <w:rPr>
          <w:b w:val="0"/>
          <w:bCs w:val="0"/>
          <w:rtl/>
        </w:rPr>
        <w:t xml:space="preserve"> כִּי יָדַע שְׁמִי, </w:t>
      </w:r>
      <w:r>
        <w:rPr>
          <w:rStyle w:val="a7"/>
          <w:b w:val="0"/>
          <w:bCs w:val="0"/>
          <w:rtl/>
        </w:rPr>
        <w:footnoteReference w:id="5037"/>
      </w:r>
      <w:r>
        <w:rPr>
          <w:b w:val="0"/>
          <w:bCs w:val="0"/>
          <w:rtl/>
        </w:rPr>
        <w:t xml:space="preserve">שֵׁם י', יִקְרָאֵנִי וְאֶעֱנֵהוּ, זַכָּאָה אִיהוּ מָאן דְּנָחִית לֵיהּ בְּמַחֲשַׁבְתֵּיהּ לְאַתְרֵיהּ, </w:t>
      </w:r>
      <w:r>
        <w:rPr>
          <w:rStyle w:val="a7"/>
          <w:b w:val="0"/>
          <w:bCs w:val="0"/>
          <w:rtl/>
        </w:rPr>
        <w:footnoteReference w:id="5038"/>
      </w:r>
      <w:r>
        <w:rPr>
          <w:b w:val="0"/>
          <w:bCs w:val="0"/>
          <w:rtl/>
        </w:rPr>
        <w:t xml:space="preserve">דְּהַאי מַחֲשָׁבָה עֲלָהּ אִתְּמַר </w:t>
      </w:r>
      <w:r>
        <w:rPr>
          <w:b w:val="0"/>
          <w:sz w:val="20"/>
          <w:szCs w:val="23"/>
          <w:rtl/>
        </w:rPr>
        <w:t>(ויקרא ז לז)</w:t>
      </w:r>
      <w:r>
        <w:rPr>
          <w:b w:val="0"/>
          <w:bCs w:val="0"/>
          <w:rtl/>
        </w:rPr>
        <w:t xml:space="preserve"> זֹאת הַתּוֹרָה לָעוֹלָה לַמִּנְחָה וְלַחַטָּאת וְלָאָשָׁם וְלַמִּלּוּאִים וּלְזֶבַח הַשְּׁלָמִים.</w:t>
      </w:r>
    </w:p>
    <w:p w:rsidR="0020255E" w:rsidRDefault="0020255E" w:rsidP="0020255E">
      <w:pPr>
        <w:pStyle w:val="NormalWeb"/>
        <w:rPr>
          <w:b w:val="0"/>
          <w:bCs w:val="0"/>
          <w:rtl/>
        </w:rPr>
      </w:pPr>
      <w:r>
        <w:rPr>
          <w:b w:val="0"/>
          <w:bCs w:val="0"/>
          <w:rtl/>
        </w:rPr>
        <w:t xml:space="preserve">וְאַמַּאי אִתְּמַר בְּאָת י' כִּי יָדַע שְׁמִי, אֶלָּא, כְּמָה </w:t>
      </w:r>
      <w:r>
        <w:rPr>
          <w:rStyle w:val="a7"/>
          <w:b w:val="0"/>
          <w:bCs w:val="0"/>
          <w:rtl/>
        </w:rPr>
        <w:footnoteReference w:id="5039"/>
      </w:r>
      <w:r>
        <w:rPr>
          <w:b w:val="0"/>
          <w:bCs w:val="0"/>
          <w:rtl/>
        </w:rPr>
        <w:t>דְלֵית בְּאָת י' שׁוּתָּפוּ דְאָת אָחֳרָא, הָכִי לֵית בֵּיהּ שׁוּתָּפוּ דְאִיהוּ אֶחָד וְאֵין שֵׁנִי לוֹ, אֶחָד בְּלָא חֻשְׁבָּן, הוּא בְרָא כֹּלָּא וְלֵית בּוֹרֵא עֲלֵיהּ, וְכִי אִית דְּיָכִיל לְמִבְרֵי אֲפִילוּ יִתּוּשׁ זְעִיר אֶלָּא הוּא, אֶלָּא, מַיִם אִית לוֹן חֵילָא לְמִבְרֵי אִילָנִין וְעִשְׂבִּין, וְאִינוּן אִתְבְּרִיאוּ, אֲבָל בּוֹרֵא עָלְמִין בָּרָא וְלֵית עֲלֵיהּ מָאן דְּבָרָא לֵיהּ וּלְחַכִּימָא בִרְמִיזָא דְבַאֲתַר דָּא לֵית לְגַלָּאָה יַתִּיר.</w:t>
      </w:r>
    </w:p>
    <w:p w:rsidR="0020255E" w:rsidRDefault="0020255E" w:rsidP="0020255E">
      <w:pPr>
        <w:pStyle w:val="NormalWeb"/>
        <w:rPr>
          <w:b w:val="0"/>
          <w:bCs w:val="0"/>
          <w:rtl/>
        </w:rPr>
      </w:pPr>
      <w:r>
        <w:rPr>
          <w:b w:val="0"/>
          <w:bCs w:val="0"/>
          <w:rtl/>
        </w:rPr>
        <w:t xml:space="preserve">אָמַר רַבִּי אֶלְעָזָר מֵהָכָא מַשְׁמַע דְּאִית </w:t>
      </w:r>
      <w:r>
        <w:rPr>
          <w:rStyle w:val="a7"/>
          <w:b w:val="0"/>
          <w:bCs w:val="0"/>
          <w:rtl/>
        </w:rPr>
        <w:footnoteReference w:id="5040"/>
      </w:r>
      <w:r>
        <w:rPr>
          <w:b w:val="0"/>
          <w:bCs w:val="0"/>
          <w:rtl/>
        </w:rPr>
        <w:t xml:space="preserve">בּוֹרֵא בְשׁוּתָּפוּ דְאַתְוָון, כְּגוֹן ב' מִן בְּרֵאשִׁית דְּאִיהִי אִימָּא, ר' מִן רֵאשִׁית דְּאִיהִי חָכְמָה, ו' מִן בּוֹרֵא </w:t>
      </w:r>
      <w:r>
        <w:rPr>
          <w:rStyle w:val="a7"/>
          <w:b w:val="0"/>
          <w:bCs w:val="0"/>
          <w:rtl/>
        </w:rPr>
        <w:footnoteReference w:id="5041"/>
      </w:r>
      <w:r>
        <w:rPr>
          <w:b w:val="0"/>
          <w:bCs w:val="0"/>
          <w:rtl/>
        </w:rPr>
        <w:t xml:space="preserve">דְאִיהוּ עַמּוּדָא דְאֶמְצָעִיתָא, א' דְּאִיהוּ כֶּתֶר, דְּאִינוּן בר"א מִבְּרֵאשִׁית, שִׁי''ת, שִׁית סְפִירָן, הָא כֻלְּהוּ עֶשֶׂר, אִם חָסֵר חַד לָא אִשְׁתַּלִּים בְּרִיאָה, </w:t>
      </w:r>
      <w:r>
        <w:rPr>
          <w:rStyle w:val="a7"/>
          <w:b w:val="0"/>
          <w:bCs w:val="0"/>
          <w:rtl/>
        </w:rPr>
        <w:footnoteReference w:id="5042"/>
      </w:r>
      <w:r>
        <w:rPr>
          <w:b w:val="0"/>
          <w:bCs w:val="0"/>
          <w:rtl/>
        </w:rPr>
        <w:t>אֲבָל עִלַּת עַל כָּל הָעִלּוֹת אִיהוּ בָּרָא כֹלָּא בְּלָא שׁוּתָּפוּ כְּלָל.</w:t>
      </w:r>
    </w:p>
    <w:p w:rsidR="0020255E" w:rsidRDefault="0020255E" w:rsidP="0020255E">
      <w:pPr>
        <w:pStyle w:val="aa"/>
        <w:spacing w:after="40"/>
        <w:rPr>
          <w:rtl/>
        </w:rPr>
      </w:pPr>
      <w:r>
        <w:rPr>
          <w:rtl/>
        </w:rPr>
        <w:t xml:space="preserve">[תיקוני זוהר - דף קיד ע''א] </w:t>
      </w:r>
    </w:p>
    <w:p w:rsidR="0020255E" w:rsidRDefault="0020255E" w:rsidP="0020255E">
      <w:pPr>
        <w:pStyle w:val="NormalWeb"/>
        <w:rPr>
          <w:b w:val="0"/>
          <w:bCs w:val="0"/>
          <w:rtl/>
        </w:rPr>
      </w:pPr>
      <w:r>
        <w:rPr>
          <w:b w:val="0"/>
          <w:bCs w:val="0"/>
          <w:rtl/>
        </w:rPr>
        <w:t xml:space="preserve">אָמַר רַבִּי אֶלְעָזָר וְכִי הָא שְׁמַעְנָא, דְּבַעֲשַׂר סְפִירָן לָא אִתְּמַר תַּמָּן אֶלָּא אֲצִילוּת וְלָא בְּרִיאָה, אָמַר רַבִּי שִׁמְעוֹן וּמָאן אָמַר דְּאִית בְּהוֹן בְּרִיאָה אֶלָּא כֻלְּהוּ עֶשֶׂר בְּשׁוּתָּפוּ דָא עִם דָּא עָבְדִין בְּרִיאָה </w:t>
      </w:r>
      <w:r>
        <w:rPr>
          <w:b w:val="0"/>
          <w:sz w:val="20"/>
          <w:szCs w:val="23"/>
          <w:rtl/>
        </w:rPr>
        <w:t xml:space="preserve">(דף קיד ע''א) </w:t>
      </w:r>
      <w:r>
        <w:rPr>
          <w:b w:val="0"/>
          <w:bCs w:val="0"/>
          <w:rtl/>
        </w:rPr>
        <w:t>בְּעָלְמָא, וַאֲנָא אֵימָא דְאִם הֲוָה חָסֵר חַד מִן מִנְיָנָא לָא אִשְׁתַּלִּים הַהִיא בְּרִיאָה, אֲבָל עִלַּת עַל כָּל הָעִלּוֹת אִיהוּ בּוֹרֵא בְּלָא שׁוּתָּפוּ אָחֳרָא דְאִיהוּ חַד בְּלָא שׁוּתָּפָא כְלָל לָא לְעִילָא וְלָא לְתַתָּא וְלָא בְּאֶמְצָעִיתָא וְלָא מִכָּל סִטְרָא כְלָל, אָמַר וַדַּאי כְּעַן אִתְגַּלְיָא מַה דְּלָא אִתְמַסַּר לְגַלָּאָה אֲפִילוּ מִלִּבָּא לְפוּמָא, וְרָזָא דָא צָרִיךְ לְאִתְכַּסְיָא מִכָּל בַּר נַשׁ, דְּלַאו כָּל מוֹחָא יָכִיל לְמִסְבַּל הַאי, אֶלָּא אִלֵּין דְּיָדְעִין בְּרָזִין, אִלֵּין דְּחָכְמָתָא דִלְהוֹן סָלִיק עַל כָּל נְבִיאַיָּא וְחַכִּימַיָּא.</w:t>
      </w:r>
    </w:p>
    <w:p w:rsidR="0020255E" w:rsidRDefault="0020255E" w:rsidP="0020255E">
      <w:pPr>
        <w:pStyle w:val="NormalWeb"/>
        <w:rPr>
          <w:b w:val="0"/>
          <w:bCs w:val="0"/>
          <w:rtl/>
        </w:rPr>
      </w:pPr>
      <w:r>
        <w:rPr>
          <w:b w:val="0"/>
          <w:bCs w:val="0"/>
          <w:rtl/>
        </w:rPr>
        <w:t xml:space="preserve">אָמַר רַבִּי אֶלְעָזָר אַבָּא, הָא אִתְגַּלְיָא א' בְּרָזָא עִלָּאָה כַּד אִסְתַּלַּק עִלַּת עַל כָּל הָעִלּוֹת בְּאָת י' וְאִשְׁתָּאַר וי אֶלָּא מַאי אוי, </w:t>
      </w:r>
      <w:r>
        <w:rPr>
          <w:rStyle w:val="a7"/>
          <w:b w:val="0"/>
          <w:bCs w:val="0"/>
          <w:rtl/>
        </w:rPr>
        <w:footnoteReference w:id="5043"/>
      </w:r>
      <w:r>
        <w:rPr>
          <w:b w:val="0"/>
          <w:bCs w:val="0"/>
          <w:rtl/>
        </w:rPr>
        <w:t xml:space="preserve">אָמַר לֵיהּ אִית א' לְעִילָא מִן א', דְּאִית א' מֵאַתְוָון רַבְרְבָן, וְאִית א' מֵאַתְוָון זוּטְרָן, וְאִית א' מֵאַתְוָון בֵּינוּנִיִּים, </w:t>
      </w:r>
      <w:r>
        <w:rPr>
          <w:b w:val="0"/>
          <w:sz w:val="20"/>
          <w:szCs w:val="23"/>
          <w:rtl/>
        </w:rPr>
        <w:t>(נ''א זה שייך לדף פ''ג ע''א ועוד נעשה אדם)</w:t>
      </w:r>
      <w:r>
        <w:rPr>
          <w:b w:val="0"/>
          <w:bCs w:val="0"/>
          <w:rtl/>
        </w:rPr>
        <w:t xml:space="preserve"> אִינוּן אָדָם דִּבְרִיאָה אָדָם דִּיצִירָה אָדָם דַּעֲשִׂיָּה, וַעֲלַיְיהוּ אִתְּמַר </w:t>
      </w:r>
      <w:r>
        <w:rPr>
          <w:b w:val="0"/>
          <w:sz w:val="20"/>
          <w:szCs w:val="23"/>
          <w:rtl/>
        </w:rPr>
        <w:t>(קהלת ה ז)</w:t>
      </w:r>
      <w:r>
        <w:rPr>
          <w:b w:val="0"/>
          <w:bCs w:val="0"/>
          <w:rtl/>
        </w:rPr>
        <w:t xml:space="preserve"> כִּי גָבוֹהַּ מֵעַל גָּבוֹהַּ שׁוֹמֵר, וְאִית תְּלַת עִלָּאִין עֲלַיְיהוּ בְאֹרַח אֲצִילוּת, וַעֲלֵיהֶם אִתְּמַר וּגְבֹהִים עֲלֵיהֶם.</w:t>
      </w:r>
    </w:p>
    <w:p w:rsidR="0020255E" w:rsidRDefault="0020255E" w:rsidP="0020255E">
      <w:pPr>
        <w:pStyle w:val="aa"/>
        <w:spacing w:after="40"/>
        <w:rPr>
          <w:rtl/>
        </w:rPr>
      </w:pPr>
      <w:bookmarkStart w:id="325" w:name="_Toc228095782"/>
      <w:bookmarkStart w:id="326" w:name="_Toc231638220"/>
      <w:r>
        <w:rPr>
          <w:rtl/>
        </w:rPr>
        <w:t>[תיקוני זוהר - דף קטז ע''ב]</w:t>
      </w:r>
      <w:bookmarkEnd w:id="325"/>
      <w:bookmarkEnd w:id="326"/>
    </w:p>
    <w:p w:rsidR="0020255E" w:rsidRDefault="0020255E" w:rsidP="0020255E">
      <w:pPr>
        <w:pStyle w:val="NormalWeb"/>
        <w:rPr>
          <w:b w:val="0"/>
          <w:bCs w:val="0"/>
          <w:rtl/>
        </w:rPr>
      </w:pPr>
      <w:r>
        <w:rPr>
          <w:b w:val="0"/>
          <w:bCs w:val="0"/>
          <w:rtl/>
        </w:rPr>
        <w:t xml:space="preserve">וְאִינוּן דִּבְרִיאָה אִינוּן לְבוּשִׁין לְאִינוּן דַּאֲצִילוּת, וְהַאי אִיהוּ </w:t>
      </w:r>
      <w:r>
        <w:rPr>
          <w:rStyle w:val="a7"/>
          <w:b w:val="0"/>
          <w:bCs w:val="0"/>
          <w:rtl/>
        </w:rPr>
        <w:footnoteReference w:id="5044"/>
      </w:r>
      <w:r>
        <w:rPr>
          <w:b w:val="0"/>
          <w:bCs w:val="0"/>
          <w:rtl/>
        </w:rPr>
        <w:t xml:space="preserve">אוֹר לְבוּשׁ עֶלְיוֹן, וְאִינוּן עֶשֶׂר מִתְלַבְּשִׁין בְּעֶשֶׂר, וְאִלֵּין דַּאֲצִילוּת אָמְרוּ לְאִינוּן דִּבְרִיאָה דְמִתְלַבְּשִׁין בְּהוֹן, </w:t>
      </w:r>
      <w:r>
        <w:rPr>
          <w:b w:val="0"/>
          <w:sz w:val="20"/>
          <w:szCs w:val="23"/>
          <w:rtl/>
        </w:rPr>
        <w:t>(בראשית א כו)</w:t>
      </w:r>
      <w:r>
        <w:rPr>
          <w:b w:val="0"/>
          <w:bCs w:val="0"/>
          <w:rtl/>
        </w:rPr>
        <w:t xml:space="preserve"> נַעֲשֶׂה אָדָם בְּצַלְמֵנוּ כִּדְמוּתֵינוּ, </w:t>
      </w:r>
      <w:r>
        <w:rPr>
          <w:rStyle w:val="a7"/>
          <w:b w:val="0"/>
          <w:bCs w:val="0"/>
          <w:rtl/>
        </w:rPr>
        <w:footnoteReference w:id="5045"/>
      </w:r>
      <w:r>
        <w:rPr>
          <w:b w:val="0"/>
          <w:bCs w:val="0"/>
          <w:rtl/>
        </w:rPr>
        <w:t xml:space="preserve">כָּל סְפִירָה יָהִיב בֵּיהּ חוּלָקֵיהּ מִלְּגָאו וּמִלְּבָר, וְאִם חָסֵר חַד מֵעֲשַׂר סְפִירָן דְּלָא הֲוָה יָהִיב בֵּיהּ חוּלָקֵיהּ לָא הֲוָה אִשְׁתַּלִּים בִּנְיָינָא דְאָדָם, וּבְזִמְנָא דְחָב אָדָם כָּל סְפִירָה וּסְפִירָה נָטִיל חוּלָקֵיהּ מִנֵּיהּ וְאִשְׁתָּאַר אַיִן, וְרָזָא דְמִלָּה </w:t>
      </w:r>
      <w:r>
        <w:rPr>
          <w:b w:val="0"/>
          <w:sz w:val="20"/>
          <w:szCs w:val="23"/>
          <w:rtl/>
        </w:rPr>
        <w:t>(קהלת ג יט)</w:t>
      </w:r>
      <w:r>
        <w:rPr>
          <w:b w:val="0"/>
          <w:bCs w:val="0"/>
          <w:rtl/>
        </w:rPr>
        <w:t xml:space="preserve"> וּמוֹתַר הָאָדָם מִן הַבְּהֵמָה אָיִן, וּבְגִין דָּא אָמְרוּ מָארֵי מַתְנִיתִין </w:t>
      </w:r>
      <w:r>
        <w:rPr>
          <w:b w:val="0"/>
          <w:sz w:val="20"/>
          <w:szCs w:val="23"/>
          <w:rtl/>
        </w:rPr>
        <w:t>(תהלים מט יג)</w:t>
      </w:r>
      <w:r>
        <w:rPr>
          <w:b w:val="0"/>
          <w:bCs w:val="0"/>
          <w:rtl/>
        </w:rPr>
        <w:t xml:space="preserve"> וְאָדָם בִּיקָר בַּל יָלִין נִמְשַׁל כַּבְּהֵמוֹת נִדְמוּ, אָדָם דַּהֲוָה בִּיקָר דִּלְעִילָא וְלָא נָטִיר לֵיהּ, נִמְשַׁל כַּבְּהֵמוֹת </w:t>
      </w:r>
      <w:r>
        <w:rPr>
          <w:rStyle w:val="a7"/>
          <w:b w:val="0"/>
          <w:bCs w:val="0"/>
          <w:rtl/>
        </w:rPr>
        <w:footnoteReference w:id="5046"/>
      </w:r>
      <w:r>
        <w:rPr>
          <w:b w:val="0"/>
          <w:bCs w:val="0"/>
          <w:rtl/>
        </w:rPr>
        <w:t xml:space="preserve">דְּמוּת דִּילֵיהּ, דְּאִינוּן חַיּוֹת הַקֹּדֶשׁ, אֲבָל עִלַּת עַל כָּל הָעִלּוֹת כַּד בָּרָא לֵיהּ </w:t>
      </w:r>
      <w:r>
        <w:rPr>
          <w:rStyle w:val="a7"/>
          <w:b w:val="0"/>
          <w:bCs w:val="0"/>
          <w:rtl/>
        </w:rPr>
        <w:footnoteReference w:id="5047"/>
      </w:r>
      <w:r>
        <w:rPr>
          <w:b w:val="0"/>
          <w:bCs w:val="0"/>
          <w:rtl/>
        </w:rPr>
        <w:t xml:space="preserve">כְּמָה דְאַתְּ אָמַר </w:t>
      </w:r>
      <w:r>
        <w:rPr>
          <w:b w:val="0"/>
          <w:sz w:val="20"/>
          <w:szCs w:val="23"/>
          <w:rtl/>
        </w:rPr>
        <w:t>(בראשית א כז)</w:t>
      </w:r>
      <w:r>
        <w:rPr>
          <w:b w:val="0"/>
          <w:bCs w:val="0"/>
          <w:rtl/>
        </w:rPr>
        <w:t xml:space="preserve"> וַיִּבְרָא אלהי''ם אֶת הָאָדָם בְּצַלְמוֹ, אִיהוּ נָטִיל כֹּלָּא מִינֵיהּ, וִיהִיב בֵּיהּ בְּלָא שׁוּתָּפוּ דְאָחֳרָא, דְּאַבָּא וְאִימָּא עָבְדוּ לֵיהּ בְּצִיּוּרַיְיהוּ בִּתְרֵין צִיּוּרִין, הֲדָא הוּא דִכְתִיב </w:t>
      </w:r>
      <w:r>
        <w:rPr>
          <w:b w:val="0"/>
          <w:sz w:val="20"/>
          <w:szCs w:val="23"/>
          <w:rtl/>
        </w:rPr>
        <w:t>(בראשית ב ד)</w:t>
      </w:r>
      <w:r>
        <w:rPr>
          <w:b w:val="0"/>
          <w:bCs w:val="0"/>
          <w:rtl/>
        </w:rPr>
        <w:t xml:space="preserve"> וַיִּיצֶר יהו''ה אלהי''ם וַיִּיצֶר בִּתְרֵין צִיּוּרִין, צִיּוּרָא דְאַבָּא דְאִיהוּ יהו''ה, וְצִיּוּרָא דֶאלהי''ם דְּאִיהִי אִימָּא, וְדָא אִיהוּ וַיִּיצֶר יהו''ה אלהי''ם, </w:t>
      </w:r>
      <w:r>
        <w:rPr>
          <w:rStyle w:val="a7"/>
          <w:b w:val="0"/>
          <w:bCs w:val="0"/>
          <w:rtl/>
        </w:rPr>
        <w:footnoteReference w:id="5048"/>
      </w:r>
      <w:r>
        <w:rPr>
          <w:b w:val="0"/>
          <w:bCs w:val="0"/>
          <w:rtl/>
        </w:rPr>
        <w:t xml:space="preserve">וּלְבָתַר עָבַד לֵיהּ מָאנָא הֲדָא הוּא דִכְתִיב </w:t>
      </w:r>
      <w:r>
        <w:rPr>
          <w:b w:val="0"/>
          <w:sz w:val="20"/>
          <w:szCs w:val="23"/>
          <w:rtl/>
        </w:rPr>
        <w:t>(שם)</w:t>
      </w:r>
      <w:r>
        <w:rPr>
          <w:b w:val="0"/>
          <w:bCs w:val="0"/>
          <w:rtl/>
        </w:rPr>
        <w:t xml:space="preserve"> עָפָר מִן הָאֲדָמָה, מִן הָאֲדָמָה לָא כְתִיב, אֶלָּא עָפָר מִן הָאֲדָמָה, וְדָא שְׁכִינְתָּא תַּתָּאָה דְאִתְּמַר בָּהּ </w:t>
      </w:r>
      <w:r>
        <w:rPr>
          <w:b w:val="0"/>
          <w:sz w:val="20"/>
          <w:szCs w:val="23"/>
          <w:rtl/>
        </w:rPr>
        <w:t>(איוב לד טו)</w:t>
      </w:r>
      <w:r>
        <w:rPr>
          <w:b w:val="0"/>
          <w:bCs w:val="0"/>
          <w:rtl/>
        </w:rPr>
        <w:t xml:space="preserve"> וְאָדָם עַל עָפָר יָשׁוּב דְּאִיהִי גִלְגּוּלָא דִילֵיהּ.</w:t>
      </w:r>
    </w:p>
    <w:p w:rsidR="0020255E" w:rsidRDefault="0020255E" w:rsidP="0020255E">
      <w:pPr>
        <w:pStyle w:val="NormalWeb"/>
        <w:rPr>
          <w:b w:val="0"/>
          <w:bCs w:val="0"/>
          <w:rtl/>
        </w:rPr>
      </w:pPr>
      <w:r>
        <w:rPr>
          <w:b w:val="0"/>
          <w:bCs w:val="0"/>
          <w:rtl/>
        </w:rPr>
        <w:t>אָמַר רַבִּי אֶלְעָזָר, אַבָּא, בָּתַר דְּרַעֲוָא אִשְׁתַּכַּח צָרִיךְ לְמִפְתַּח מִלִּין בְּאִתְגַּלְיָא, מַאי אָדָם דְּבָרָא עִלַּת עַל כָּל הָעִלּוֹת בְּדִיּוֹקְנֵיהּ, דְּהָא כְתִיב דְּלֵית בֵּיהּ דְּמוּת, אָמַר לֵיהּ, בְּרִי, לָא אָמַר דְּאִית בֵּיהּ דִּיּוֹקְנָא, אֶלָּא בְּצַלְמוֹ רוֹצֶה לוֹמַר כְּגַוְונָא דְאִיהוּ רוֹאֶה וְאֵינוֹ נִרְאֶה, דִּיהֵא אִיהוּ הָכִי, וּכְגַוְונָא דְלֵית בֵּיהּ דִּיּוֹקְנָא, דִּיהֵא אִיהוּ הָכִי, וּכְגַוְונָא דְלֵית קַדְמוֹן עֲלֵיהּ דִּיהֵא אִיהוּ הָכִי, וּכְגַוְונָא דְאִיהוּ עִלַּת עַל כָּל הָעִלּוֹת חַד בְּלָא שׁוּתָּפוּ וּבְלָא חֻשְׁבָּן, דִּיהֵא אִיהוּ הָכִי, כֹּלָּא כְּגַוְונָא דִילֵיהּ.</w:t>
      </w:r>
    </w:p>
    <w:p w:rsidR="0020255E" w:rsidRDefault="0020255E" w:rsidP="0020255E">
      <w:pPr>
        <w:pStyle w:val="NormalWeb"/>
        <w:rPr>
          <w:b w:val="0"/>
          <w:bCs w:val="0"/>
          <w:rtl/>
        </w:rPr>
      </w:pPr>
      <w:r>
        <w:rPr>
          <w:rStyle w:val="a7"/>
          <w:b w:val="0"/>
          <w:bCs w:val="0"/>
          <w:rtl/>
        </w:rPr>
        <w:footnoteReference w:id="5049"/>
      </w:r>
      <w:r>
        <w:rPr>
          <w:b w:val="0"/>
          <w:bCs w:val="0"/>
          <w:rtl/>
        </w:rPr>
        <w:t xml:space="preserve">וְאִית אָדָם דִּבְרִיאָה וִיצִירָה וַעֲשִׂיָּה בְּגַוָּונָא אָחֳרָא בִּלְבוּשִׁין וְגוּפָא </w:t>
      </w:r>
      <w:r>
        <w:rPr>
          <w:b w:val="0"/>
          <w:sz w:val="20"/>
          <w:szCs w:val="23"/>
          <w:rtl/>
        </w:rPr>
        <w:t>(דלבר)</w:t>
      </w:r>
      <w:r>
        <w:rPr>
          <w:b w:val="0"/>
          <w:szCs w:val="23"/>
          <w:rtl/>
        </w:rPr>
        <w:t xml:space="preserve"> </w:t>
      </w:r>
      <w:r>
        <w:rPr>
          <w:b w:val="0"/>
          <w:sz w:val="20"/>
          <w:szCs w:val="23"/>
          <w:rtl/>
        </w:rPr>
        <w:t>(נ''א בלבד)</w:t>
      </w:r>
      <w:r>
        <w:rPr>
          <w:b w:val="0"/>
          <w:bCs w:val="0"/>
          <w:rtl/>
        </w:rPr>
        <w:t xml:space="preserve">, דְּבַאֲצִילוּת הָא אִתְּמַר דְּלֵית בֵּיהּ בְּרִיאָה וִיצִירָה וַעֲשִׂיָּה כְּלָל, אֲבָל בְּרִיאָה דְבָרָא הוּא לְתַתָּא בְדִיּוֹקְנֵיהּ, אֲבָל לַאו דְּאִתְבְּרֵי אִיהוּ, אֲבָל בִּלְבוּשָׁא וְגוּפָא דִלְּבָר אִית בְּרִיאָה, וּבְגִין דָּא כְּתִיב </w:t>
      </w:r>
      <w:r>
        <w:rPr>
          <w:b w:val="0"/>
          <w:sz w:val="20"/>
          <w:szCs w:val="23"/>
          <w:rtl/>
        </w:rPr>
        <w:t>(בראשית א כז)</w:t>
      </w:r>
      <w:r>
        <w:rPr>
          <w:b w:val="0"/>
          <w:bCs w:val="0"/>
          <w:rtl/>
        </w:rPr>
        <w:t xml:space="preserve"> וַיִּבְרָא אלהי''ם אֶת הָאָדָם בְּצַלְמוֹ, הָכָא רָזָא אָחֳרָא בְּגוּפָא, אֶת הָאָדָם, דָּא עַמּוּדָא דְאֶמְצָעִיתָא דְאִתְּמַר בֵּיהּ </w:t>
      </w:r>
      <w:r>
        <w:rPr>
          <w:b w:val="0"/>
          <w:sz w:val="20"/>
          <w:szCs w:val="23"/>
          <w:rtl/>
        </w:rPr>
        <w:t>(ישעיה מד יג)</w:t>
      </w:r>
      <w:r>
        <w:rPr>
          <w:b w:val="0"/>
          <w:bCs w:val="0"/>
          <w:rtl/>
        </w:rPr>
        <w:t xml:space="preserve"> כְּתִפְאֶרֶת אָדָם לָשֶׁבֶת בָּיִת, בְּצַלְמוֹ שְׁכִינְתָּא תַּתָּאָה, בְּצֶלֶם אלהי''ם שְׁכִינְתָּא עִלָּאָה, </w:t>
      </w:r>
      <w:r>
        <w:rPr>
          <w:rStyle w:val="a7"/>
          <w:b w:val="0"/>
          <w:bCs w:val="0"/>
          <w:rtl/>
        </w:rPr>
        <w:footnoteReference w:id="5050"/>
      </w:r>
      <w:r>
        <w:rPr>
          <w:b w:val="0"/>
          <w:bCs w:val="0"/>
          <w:rtl/>
        </w:rPr>
        <w:t xml:space="preserve">וַיִּיצֶר יהו''ה אלהי''ם אֶת הָאָדָם דָּא צַדִּיק חַי עָלְמִין, יְצָרוֹ בִיצִירָה עִלָּאָה וּבִיצִירָה תַּתָּאָה, דְּאִינוּן י' י' מִן א, ו' מִן וַיִּיצֶר אִיהוּ ו' דְּאֶמְצָעִיתָא, דְּאִיהוּ בֵּין תְּרֵין יוּדִין בְּאָת א, וּתְרֵין יוּדִי''ן עֲלַיְיהוּ אִתְּמַר </w:t>
      </w:r>
      <w:r>
        <w:rPr>
          <w:b w:val="0"/>
          <w:sz w:val="20"/>
          <w:szCs w:val="23"/>
          <w:rtl/>
        </w:rPr>
        <w:t>(משלי יד א)</w:t>
      </w:r>
      <w:r>
        <w:rPr>
          <w:b w:val="0"/>
          <w:bCs w:val="0"/>
          <w:rtl/>
        </w:rPr>
        <w:t xml:space="preserve"> חַכְמוֹת נָשִׁים בָּנְתָה בֵיתָהּ וְאִינוּן חָכְמָה קְדוּמָה וְחָכְמָה תַּתָּאָה.</w:t>
      </w:r>
    </w:p>
    <w:p w:rsidR="0020255E" w:rsidRDefault="0020255E" w:rsidP="0020255E">
      <w:pPr>
        <w:pStyle w:val="aa"/>
        <w:spacing w:after="40"/>
        <w:rPr>
          <w:rtl/>
        </w:rPr>
      </w:pPr>
      <w:bookmarkStart w:id="327" w:name="_Toc228095783"/>
      <w:bookmarkStart w:id="328" w:name="_Toc231638221"/>
      <w:r>
        <w:rPr>
          <w:rtl/>
        </w:rPr>
        <w:t>[תיקוני זוהר - דף קיד ע''ב]</w:t>
      </w:r>
      <w:bookmarkEnd w:id="327"/>
      <w:bookmarkEnd w:id="328"/>
    </w:p>
    <w:p w:rsidR="0020255E" w:rsidRDefault="0020255E" w:rsidP="0020255E">
      <w:pPr>
        <w:pStyle w:val="NormalWeb"/>
        <w:rPr>
          <w:b w:val="0"/>
          <w:sz w:val="20"/>
          <w:szCs w:val="23"/>
          <w:rtl/>
        </w:rPr>
      </w:pPr>
      <w:r>
        <w:rPr>
          <w:rStyle w:val="a7"/>
          <w:b w:val="0"/>
          <w:bCs w:val="0"/>
          <w:rtl/>
        </w:rPr>
        <w:footnoteReference w:id="5051"/>
      </w:r>
      <w:r>
        <w:rPr>
          <w:b w:val="0"/>
          <w:bCs w:val="0"/>
          <w:rtl/>
        </w:rPr>
        <w:t xml:space="preserve">וְאָדָם מִסִּטְרָא דְאוֹת בְּרִית י' אִתְיְלִיד מָהוּל, הֲדָא הוּא דִכְתִיב </w:t>
      </w:r>
      <w:r>
        <w:rPr>
          <w:b w:val="0"/>
          <w:sz w:val="20"/>
          <w:szCs w:val="23"/>
          <w:rtl/>
        </w:rPr>
        <w:t>(שמות ב ב)</w:t>
      </w:r>
      <w:r>
        <w:rPr>
          <w:b w:val="0"/>
          <w:szCs w:val="23"/>
          <w:rtl/>
        </w:rPr>
        <w:t xml:space="preserve"> </w:t>
      </w:r>
      <w:r>
        <w:rPr>
          <w:rStyle w:val="Char"/>
          <w:rtl/>
        </w:rPr>
        <w:t>וַתֵּרֶא אוֹתוֹ כִּי טוֹב הוּא,</w:t>
      </w:r>
      <w:r>
        <w:rPr>
          <w:b w:val="0"/>
          <w:szCs w:val="23"/>
          <w:rtl/>
        </w:rPr>
        <w:t xml:space="preserve"> </w:t>
      </w:r>
      <w:r>
        <w:rPr>
          <w:b w:val="0"/>
          <w:sz w:val="20"/>
          <w:szCs w:val="23"/>
          <w:rtl/>
        </w:rPr>
        <w:t>(ישעיה ג י)</w:t>
      </w:r>
      <w:r>
        <w:rPr>
          <w:b w:val="0"/>
          <w:bCs w:val="0"/>
          <w:rtl/>
        </w:rPr>
        <w:t xml:space="preserve"> אִמְרוּ צַדִּיק כִּי </w:t>
      </w:r>
      <w:r>
        <w:rPr>
          <w:b w:val="0"/>
          <w:sz w:val="20"/>
          <w:szCs w:val="23"/>
          <w:rtl/>
        </w:rPr>
        <w:t xml:space="preserve">(דף קיד ע''ב) </w:t>
      </w:r>
      <w:r>
        <w:rPr>
          <w:b w:val="0"/>
          <w:bCs w:val="0"/>
          <w:rtl/>
        </w:rPr>
        <w:t xml:space="preserve">טוֹב, דְּתַמָּן לַאו קְלִיפָה דְעָרְלָה כְּלָל, וְהָא דְאִתְּמַר אָדָם הָרִאשׁוֹן מוֹשֵׁךְ בְּעָרְלָתוֹ הֲוָה, דָא אָדָם דַּעֲשִׂיָּה, וּמַאי נִיהוּ דָא קְלִיפָה דְאִתְלַבְּשָׁא בֵּיהּ </w:t>
      </w:r>
      <w:r>
        <w:rPr>
          <w:b w:val="0"/>
          <w:sz w:val="20"/>
          <w:szCs w:val="23"/>
          <w:rtl/>
        </w:rPr>
        <w:t>(נ''א דאתלבשת בה)</w:t>
      </w:r>
      <w:r>
        <w:rPr>
          <w:b w:val="0"/>
          <w:bCs w:val="0"/>
          <w:rtl/>
        </w:rPr>
        <w:t xml:space="preserve"> לְשַׁלְטָאָה עַל כֹּלָּא, הֲדָא הוּא דִכְתִיב </w:t>
      </w:r>
      <w:r>
        <w:rPr>
          <w:b w:val="0"/>
          <w:sz w:val="20"/>
          <w:szCs w:val="23"/>
          <w:rtl/>
        </w:rPr>
        <w:t>(תהלים קג יט)</w:t>
      </w:r>
      <w:r>
        <w:rPr>
          <w:b w:val="0"/>
          <w:bCs w:val="0"/>
          <w:rtl/>
        </w:rPr>
        <w:t xml:space="preserve"> וּמַלְכוּתוֹ </w:t>
      </w:r>
      <w:r>
        <w:rPr>
          <w:rStyle w:val="a7"/>
          <w:b w:val="0"/>
          <w:bCs w:val="0"/>
          <w:rtl/>
        </w:rPr>
        <w:footnoteReference w:id="5052"/>
      </w:r>
      <w:r>
        <w:rPr>
          <w:b w:val="0"/>
          <w:bCs w:val="0"/>
          <w:rtl/>
        </w:rPr>
        <w:t xml:space="preserve">בַּכֹּל מָשָׁלָה, וְעַלָה אִתְּמַר </w:t>
      </w:r>
      <w:r>
        <w:rPr>
          <w:b w:val="0"/>
          <w:sz w:val="20"/>
          <w:szCs w:val="23"/>
          <w:rtl/>
        </w:rPr>
        <w:t>(בראשית א כו)</w:t>
      </w:r>
      <w:r>
        <w:rPr>
          <w:b w:val="0"/>
          <w:bCs w:val="0"/>
          <w:rtl/>
        </w:rPr>
        <w:t xml:space="preserve"> נַעֲשֶׂה אָדָם בְּצַלְמֵנוּ כִּדְמוּתֵנוּ, וְהָא אַמָרָן דְּכָל עֶשֶׂר סְפִירָן יְהִיבוּ בָּהּ כָּל חַד חוּלָקֵיהּ, וּמַאי חוּלָקֵיהּ, אֶלָּא כָּל סְפִירָה יְהִיב בָּהּ עִשּׂוּר דִּילֵיהּ, דְּכָל סְפִירָה סָלִיק לַעֲשָׂרָה, וְיַהֲבוּ לֵיהּ כָּל חַד וְחַד עִשּׂוּר דִּילֵיהּ, אִשְׁתָּאֲרוּ אִינוּן תֵּשַׁע תֵּשַׁע, וְכָל חַד וְחַד אִשְׁתַּלִּים בָּהּ לַעֲשָׂרָה, וּבְגִין דָּא מְעַשְּׂרִין חַד מֵעֲשָׂרָה, וּבְגִין דְּאִיהִי כְּלִילָא מִכֻּלְּהוּ אִתְּמַר בָּהּ </w:t>
      </w:r>
      <w:r>
        <w:rPr>
          <w:b w:val="0"/>
          <w:sz w:val="20"/>
          <w:szCs w:val="23"/>
          <w:rtl/>
        </w:rPr>
        <w:t>(ירמיה ב ב)</w:t>
      </w:r>
      <w:r>
        <w:rPr>
          <w:b w:val="0"/>
          <w:bCs w:val="0"/>
          <w:rtl/>
        </w:rPr>
        <w:t xml:space="preserve"> אַהֲבַת כְּלוּלוֹתָיִךְ, כְּלִילָא מִכֹּלָּא, וּלְבָתַר דְּאִתְכְּלִילַת מֵעִלָּאִין אִתְּמַר בָּהּ </w:t>
      </w:r>
      <w:r>
        <w:rPr>
          <w:b w:val="0"/>
          <w:sz w:val="20"/>
          <w:szCs w:val="23"/>
          <w:rtl/>
        </w:rPr>
        <w:t>(בראשית א כו)</w:t>
      </w:r>
      <w:r>
        <w:rPr>
          <w:b w:val="0"/>
          <w:bCs w:val="0"/>
          <w:rtl/>
        </w:rPr>
        <w:t xml:space="preserve"> וּרְדוּ בִדְגַת הַיָּם וּבְעוֹף הַשָּׁמַיִם וּבַבְּהֵמָה וּבְכָל הָאָרֶץ, אִתְכְּלִילַת בְּתַתָּאִין, וַאֲפִילוּ בְּכָל קְלִיפִין דְּסִטְרָא אָחֳרָא אִתְלַבְּשַׁת, לְקַיְימָא בָּהּ וּמַלְכוּתוֹ בַּכֹּל מָשָׁלָה, וּבְכָל מַה דְּאִתְלַבְּשַׁת אִתְקְרִיאַת בִּשְׁמֵיהּ, וּבְגִין דָּא זִמְנִין אִתְקְרִיאַת נֶשֶׁר, זִמְנִין חַיָּה. זִמְנִין יוֹנָה, זִמְנִין צִפּוֹר, בְּכָל מַה דְּשַׁלִּיטָא אִתְקְרִיאַת בִּשְׁמֵיהּ, וּבְעִשְׂבִּין אִתְקְרִיאַת שׁוֹשַׁנָּה, עִץ פְּרִי עוֹשֶׂה פְּרִי, וְכַד שָׁלְטָא עַל אַרְעָא אִתְקְרִיאַת אֶרֶץ, וְכַד שָׁלְטָא עַל יַמָּא אִתְקְרִיאַת יָם עַל שְׁמֵיהּ, וְכַד שָׁלְטָא עַל טוּרִין אִתְקְרִיאַת סֶלַע, לֵית בִּרְיָה בְּעָלְמָא דְשַׁלְטָא עֲלֵיהּ דְּלָא אִתְקְרִיאַת בִּשְׁמֵיהּ, אֲבָל עִם כָּל דָּא דְשַׁלְטָא עַל כֹּלָּא, עֲבִידַת אַפְרָשׁוּתָא בֵּין דַּרְגִּין דְּאִינוּן מוֹחָא וְאִיבָּא, לִקְלִיפִין דְּסִטְרָא אָחֳרָא דְאִינוּן כִּקְלִיפִין דֶּאֱגוֹזָא דִמְכַסְּיָין עַל מוֹחָא, וְרָזָא דְמִלָּה </w:t>
      </w:r>
      <w:r>
        <w:rPr>
          <w:b w:val="0"/>
          <w:sz w:val="20"/>
          <w:szCs w:val="23"/>
          <w:rtl/>
        </w:rPr>
        <w:t>(בראשית א ד)</w:t>
      </w:r>
      <w:r>
        <w:rPr>
          <w:b w:val="0"/>
          <w:bCs w:val="0"/>
          <w:rtl/>
        </w:rPr>
        <w:t xml:space="preserve"> וַיַּבְדֵּל אלהי''ם בֵּין הָאוֹר וּבֵין הַחֹשֶׁךְ, וַוי לֵיהּ לְמַאן דִּמְעָרֵב קְלִיפִין דְּסִטְרָא אָחֳרָא עִם דַּרְגִּין דְּסִטְרָא דְּדַכְיוּ. </w:t>
      </w:r>
      <w:r>
        <w:rPr>
          <w:b w:val="0"/>
          <w:sz w:val="20"/>
          <w:szCs w:val="23"/>
          <w:rtl/>
        </w:rPr>
        <w:t>(חסר ועיין תיקוני זוהר חדש פ"ה ב'):</w:t>
      </w:r>
    </w:p>
    <w:p w:rsidR="0020255E" w:rsidRDefault="0020255E" w:rsidP="0020255E">
      <w:pPr>
        <w:pStyle w:val="NormalWeb"/>
        <w:rPr>
          <w:b w:val="0"/>
          <w:bCs w:val="0"/>
          <w:rtl/>
        </w:rPr>
      </w:pPr>
      <w:r>
        <w:rPr>
          <w:b w:val="0"/>
          <w:bCs w:val="0"/>
          <w:rtl/>
        </w:rPr>
        <w:t xml:space="preserve">וּבְגִין דָּא הָא הָכָא אָדָם דַּעֲשִׂיָּה וִיצִירָה, אָדָם דִּבְרִיאָה אוּקְמוּהוּ עַל תִּפְאֶרֶת, מַאי בְּצַלְמוֹ, בְּצֶלֶם, תְּרֵין דִּיּוֹקְנִין דִּילֵיהּ לְעִילָא, אֶלָּא </w:t>
      </w:r>
      <w:r>
        <w:rPr>
          <w:b w:val="0"/>
          <w:sz w:val="20"/>
          <w:szCs w:val="23"/>
          <w:rtl/>
        </w:rPr>
        <w:t>(ס''א אלין)</w:t>
      </w:r>
      <w:r>
        <w:rPr>
          <w:b w:val="0"/>
          <w:bCs w:val="0"/>
          <w:rtl/>
        </w:rPr>
        <w:t xml:space="preserve"> אִינוּן וָא''ו תְּרֵין וָוִי''ן, אִינוּן תְּרֵין דִּיּוֹקְנִין דְּ א דְּאִיהוּ אָדָם דְּאֶמְצָעִיתָא, דִּשְׁכִינְתָּא עִלָּאָה אִיהִי דְמוּת אָדָם עִלָּאָה דְאִיהוּ חָכְמָה עִלָּאָה, וּשְׁכִינְתָּא תַּתָּאָה דְמוּת אָדָם דְּאִיהוּ עַמּוּדָא דְאֶמְצָעִיתָא.</w:t>
      </w:r>
    </w:p>
    <w:p w:rsidR="0020255E" w:rsidRDefault="0020255E" w:rsidP="0020255E">
      <w:pPr>
        <w:pStyle w:val="NormalWeb"/>
        <w:rPr>
          <w:b w:val="0"/>
          <w:bCs w:val="0"/>
          <w:rtl/>
        </w:rPr>
      </w:pPr>
      <w:r>
        <w:rPr>
          <w:rStyle w:val="a7"/>
          <w:b w:val="0"/>
          <w:bCs w:val="0"/>
          <w:rtl/>
        </w:rPr>
        <w:footnoteReference w:id="5053"/>
      </w:r>
      <w:r>
        <w:rPr>
          <w:b w:val="0"/>
          <w:bCs w:val="0"/>
          <w:rtl/>
        </w:rPr>
        <w:t xml:space="preserve">וְעוֹד, עַמּוּדָא דְאֶמְצָעִיתָא בְדִיּוֹקְנָא דְכֶתֶר וְדָא אָדָם דִּבְרִיאָה, וְאָדָם דִּיצִירָה צַדִּיק בְּדִיּוֹקְנָא דְחָכְמָה, וּבְגִין דָּא </w:t>
      </w:r>
      <w:r>
        <w:rPr>
          <w:b w:val="0"/>
          <w:sz w:val="20"/>
          <w:szCs w:val="23"/>
          <w:rtl/>
        </w:rPr>
        <w:t>(מלכים א ה כו)</w:t>
      </w:r>
      <w:r>
        <w:rPr>
          <w:b w:val="0"/>
          <w:bCs w:val="0"/>
          <w:rtl/>
        </w:rPr>
        <w:t xml:space="preserve"> וַיהוָֹה נָתַן חָכְמָה לִשְׁלֹמֹה דְאִיהוּ צַדִּיק בְּרִית שָׁלוֹם שָׁלֵם ה', וּשְׁכִינְתָּא תַּתָּאָה אָדָם דַּעֲשִׂיָּה דְמוּת דִּשְׁכִינְתָּא עִלָּאָה וְכֹלָּא קְשׁוֹט, </w:t>
      </w:r>
      <w:r>
        <w:rPr>
          <w:b w:val="0"/>
          <w:sz w:val="20"/>
          <w:szCs w:val="23"/>
          <w:rtl/>
        </w:rPr>
        <w:t>(ושכינתא ודאי אתכלילת בכלא). לשון הגר"א: צ"ל וידע כו' וצ"ל והאדם כו' לקמן קי"ח ע"א אחר בלע המות לנצח עד ושמו אחד. (א.ה. ושם תמצאנו).</w:t>
      </w:r>
    </w:p>
    <w:p w:rsidR="0020255E" w:rsidRDefault="0020255E" w:rsidP="0020255E">
      <w:pPr>
        <w:pStyle w:val="NormalWeb"/>
        <w:rPr>
          <w:b w:val="0"/>
          <w:bCs w:val="0"/>
          <w:rtl/>
        </w:rPr>
      </w:pPr>
      <w:r>
        <w:rPr>
          <w:b w:val="0"/>
          <w:bCs w:val="0"/>
          <w:rtl/>
        </w:rPr>
        <w:t xml:space="preserve">דָּבָר אַחֵר וְהָאָדָם יָדַע אֶת חַוָּה אִשְׁתּוֹ וַתַּהַר וַתֵּלֶד אֶת קַיִן, </w:t>
      </w:r>
      <w:r>
        <w:rPr>
          <w:rStyle w:val="a7"/>
          <w:b w:val="0"/>
          <w:bCs w:val="0"/>
          <w:rtl/>
        </w:rPr>
        <w:footnoteReference w:id="5054"/>
      </w:r>
      <w:r>
        <w:rPr>
          <w:b w:val="0"/>
          <w:bCs w:val="0"/>
          <w:rtl/>
        </w:rPr>
        <w:t xml:space="preserve">יָדַע וַדַּאי כְּגוֹן </w:t>
      </w:r>
      <w:r>
        <w:rPr>
          <w:b w:val="0"/>
          <w:sz w:val="20"/>
          <w:szCs w:val="23"/>
          <w:rtl/>
        </w:rPr>
        <w:t>(אסתר ד א)</w:t>
      </w:r>
      <w:r>
        <w:rPr>
          <w:b w:val="0"/>
          <w:bCs w:val="0"/>
          <w:rtl/>
        </w:rPr>
        <w:t xml:space="preserve"> וּמָרְדְּכַי יָדַע, אִית יְדִיעָה לְטַב וְאִית יְדִיעָה לְבִישׁ, בְּזִמְנָא דְאוֹלִידַת לְקַיִן יָדַע אֶת כָּל אֲשֶׁר נַעֲשָׂה הַהוּא זוּהֲמָא, וְעַד הַהוּא אֲתַר דְּמָטֵי וְאִתְפַּשַּׁט הַהוּא זוּהֲמָא בְּכָל דָּרִין, וְהַאי יְדִיעָה דְקַיִן אִיהוּ דְאִתְגְּלֵי לֵיהּ עַד הַהוּא אֲתַר דְּאִתְפַּשַּׁט, דַּעֲלֵיהּ אִתְּמַר </w:t>
      </w:r>
      <w:r>
        <w:rPr>
          <w:b w:val="0"/>
          <w:sz w:val="20"/>
          <w:szCs w:val="23"/>
          <w:rtl/>
        </w:rPr>
        <w:t>(ישעיה יד כט)</w:t>
      </w:r>
      <w:r>
        <w:rPr>
          <w:b w:val="0"/>
          <w:bCs w:val="0"/>
          <w:rtl/>
        </w:rPr>
        <w:t xml:space="preserve"> כִּי מִשֹּׁרֶשׁ נָחָשׁ יֵצֵא צֶפַע, בְּגִין דְּאִיהוּ מִשֹּׁרֶשׁ נָחָשׁ דְּאַטִּיל זוּהֲמָא בְחַוָּה, מַלְאַךְ הַמָּוְת דְּגָרִים מִיתָה לְאָדָם וּלְכָל דָּרִין דִּילֵיהּ, הָכִי, הַאי דַּרְכֵּיהּ לְקַטְלָא, וּבְגִין דָּא קָטִיל לַהֶבֶל.</w:t>
      </w:r>
    </w:p>
    <w:p w:rsidR="0020255E" w:rsidRDefault="0020255E" w:rsidP="0020255E">
      <w:pPr>
        <w:pStyle w:val="aa"/>
        <w:spacing w:after="40"/>
        <w:rPr>
          <w:rtl/>
        </w:rPr>
      </w:pPr>
      <w:r>
        <w:rPr>
          <w:rtl/>
        </w:rPr>
        <w:t>[תיקוני זוהר - דף קטו ע''א]</w:t>
      </w:r>
    </w:p>
    <w:p w:rsidR="0020255E" w:rsidRDefault="0020255E" w:rsidP="0020255E">
      <w:pPr>
        <w:pStyle w:val="NormalWeb"/>
        <w:rPr>
          <w:b w:val="0"/>
          <w:bCs w:val="0"/>
          <w:rtl/>
        </w:rPr>
      </w:pPr>
      <w:r>
        <w:rPr>
          <w:rStyle w:val="a7"/>
          <w:b w:val="0"/>
          <w:bCs w:val="0"/>
          <w:rtl/>
        </w:rPr>
        <w:footnoteReference w:id="5055"/>
      </w:r>
      <w:r>
        <w:rPr>
          <w:b w:val="0"/>
          <w:bCs w:val="0"/>
          <w:rtl/>
        </w:rPr>
        <w:t xml:space="preserve">וְהַאי זוּהֲמָא דְאִתְנְטִיל מִנֵּיהּ אִיהִי לִילִי''ת אִימָּא דְעִרֶב רַב, עֲלָהּ אִתְּמַר </w:t>
      </w:r>
      <w:r>
        <w:rPr>
          <w:b w:val="0"/>
          <w:sz w:val="20"/>
          <w:szCs w:val="23"/>
          <w:rtl/>
        </w:rPr>
        <w:t>(משלי ה ה)</w:t>
      </w:r>
      <w:r>
        <w:rPr>
          <w:b w:val="0"/>
          <w:bCs w:val="0"/>
          <w:rtl/>
        </w:rPr>
        <w:t xml:space="preserve"> רַגְלֶיהָ יוֹרְדוֹת מָוְת וגו', </w:t>
      </w:r>
      <w:r>
        <w:rPr>
          <w:b w:val="0"/>
          <w:sz w:val="20"/>
          <w:szCs w:val="23"/>
          <w:rtl/>
        </w:rPr>
        <w:t>(דף קטו ע"א)</w:t>
      </w:r>
      <w:r>
        <w:rPr>
          <w:b w:val="0"/>
          <w:bCs w:val="0"/>
          <w:rtl/>
        </w:rPr>
        <w:t xml:space="preserve"> דְּאִיהִי סַם מָוְת דְּאֵל אַחֵר דְּאִיהוּ סמא''ל, וְאִיהִי אִיבָּא דִילֵיהּ, גַּם לְרַבּוֹת אֵל אַחֵר, נָחָשׁ בְּגִינָהּ אִתְּמַר </w:t>
      </w:r>
      <w:r>
        <w:rPr>
          <w:b w:val="0"/>
          <w:sz w:val="20"/>
          <w:szCs w:val="23"/>
          <w:rtl/>
        </w:rPr>
        <w:t>(בראשית ג ו)</w:t>
      </w:r>
      <w:r>
        <w:rPr>
          <w:b w:val="0"/>
          <w:bCs w:val="0"/>
          <w:rtl/>
        </w:rPr>
        <w:t xml:space="preserve"> וַתִּקַּח מִפִּרְיוֹ וַתֹּאכַל, הָכָא רָזָא דְחַוָּה וַתִּתֵּן גַּם לְאִישָׁהּ עִמָּהּ וַיֹּאכַל גַּם לְרַבּוֹת, </w:t>
      </w:r>
      <w:r>
        <w:rPr>
          <w:rStyle w:val="a7"/>
          <w:b w:val="0"/>
          <w:bCs w:val="0"/>
          <w:rtl/>
        </w:rPr>
        <w:footnoteReference w:id="5056"/>
      </w:r>
      <w:r>
        <w:rPr>
          <w:b w:val="0"/>
          <w:bCs w:val="0"/>
          <w:rtl/>
        </w:rPr>
        <w:t xml:space="preserve">וּלְבָתַר חָזָא לֵיהּ דְּאִתְחָרַט כְּמָה דְאַתְּ אָמַר </w:t>
      </w:r>
      <w:r>
        <w:rPr>
          <w:b w:val="0"/>
          <w:sz w:val="20"/>
          <w:szCs w:val="23"/>
          <w:rtl/>
        </w:rPr>
        <w:t>(שם ד יג)</w:t>
      </w:r>
      <w:r>
        <w:rPr>
          <w:b w:val="0"/>
          <w:szCs w:val="23"/>
          <w:rtl/>
        </w:rPr>
        <w:t xml:space="preserve"> </w:t>
      </w:r>
      <w:r>
        <w:rPr>
          <w:rStyle w:val="Char"/>
          <w:rtl/>
        </w:rPr>
        <w:t>גָּדוֹל עֲוֹנִי מִנְּשׂוֹא, וּבְגִין דָּא</w:t>
      </w:r>
      <w:r>
        <w:rPr>
          <w:b w:val="0"/>
          <w:szCs w:val="23"/>
          <w:rtl/>
        </w:rPr>
        <w:t xml:space="preserve"> </w:t>
      </w:r>
      <w:r>
        <w:rPr>
          <w:b w:val="0"/>
          <w:sz w:val="20"/>
          <w:szCs w:val="23"/>
          <w:rtl/>
        </w:rPr>
        <w:t>(שם ב)</w:t>
      </w:r>
      <w:r>
        <w:rPr>
          <w:b w:val="0"/>
          <w:bCs w:val="0"/>
          <w:rtl/>
        </w:rPr>
        <w:t xml:space="preserve"> קָנִיתִי אִישׁ אֶת יהו''ה, הָכָא רָמִיז קֵנִי חוֹתֵן מֹשֶׁה, דְּעָתִיד לְאַהֲדָרָא בִּתְשׁוּבָה וּלְקַבָּלָא אָת בְּרִית, הֲדָא הוּא דִכְתִיב </w:t>
      </w:r>
      <w:r>
        <w:rPr>
          <w:b w:val="0"/>
          <w:sz w:val="20"/>
          <w:szCs w:val="23"/>
          <w:rtl/>
        </w:rPr>
        <w:t>(שם טו)</w:t>
      </w:r>
      <w:r>
        <w:rPr>
          <w:b w:val="0"/>
          <w:bCs w:val="0"/>
          <w:rtl/>
        </w:rPr>
        <w:t xml:space="preserve"> וַיָּשֶׂם יהו''ה לְקַיִן אוֹת, אוֹת בְּרִית מִילָה לְאַגָּנָא עֲלֵיהּ.</w:t>
      </w:r>
    </w:p>
    <w:p w:rsidR="0020255E" w:rsidRDefault="0020255E" w:rsidP="0020255E">
      <w:pPr>
        <w:pStyle w:val="NormalWeb"/>
        <w:rPr>
          <w:b w:val="0"/>
          <w:bCs w:val="0"/>
          <w:rtl/>
        </w:rPr>
      </w:pPr>
      <w:r>
        <w:rPr>
          <w:rStyle w:val="a7"/>
          <w:b w:val="0"/>
          <w:bCs w:val="0"/>
          <w:rtl/>
        </w:rPr>
        <w:footnoteReference w:id="5057"/>
      </w:r>
      <w:r>
        <w:rPr>
          <w:b w:val="0"/>
          <w:bCs w:val="0"/>
          <w:rtl/>
        </w:rPr>
        <w:t xml:space="preserve">וַתּוֹסֶף לָלֶדֶת אֶת אָחִיו אֶת הָבֶל, מַאי וַתּוֹסֶף אֶלָּא רָזָא דְמִלָּה וְלֹא יָסַף עוֹד לְדַעְתָּהּ </w:t>
      </w:r>
      <w:r>
        <w:rPr>
          <w:b w:val="0"/>
          <w:sz w:val="20"/>
          <w:szCs w:val="23"/>
          <w:rtl/>
        </w:rPr>
        <w:t>(שם לח כו)</w:t>
      </w:r>
      <w:r>
        <w:rPr>
          <w:b w:val="0"/>
          <w:bCs w:val="0"/>
          <w:rtl/>
        </w:rPr>
        <w:t xml:space="preserve">, בְּגִין הַהוּא זוּהֲמָא דְנָפִיק מִנַּהּ, וְאִיהוּ עָתִיד </w:t>
      </w:r>
      <w:r>
        <w:rPr>
          <w:rStyle w:val="a7"/>
          <w:b w:val="0"/>
          <w:bCs w:val="0"/>
          <w:rtl/>
        </w:rPr>
        <w:footnoteReference w:id="5058"/>
      </w:r>
      <w:r>
        <w:rPr>
          <w:b w:val="0"/>
          <w:bCs w:val="0"/>
          <w:rtl/>
        </w:rPr>
        <w:t xml:space="preserve">לְדַכָּאָה זוּהֲמָא דִילַהּ מֵעָלְמָא, כְּמָה דְאַתְּ אָמַר </w:t>
      </w:r>
      <w:r>
        <w:rPr>
          <w:rStyle w:val="a7"/>
          <w:b w:val="0"/>
          <w:bCs w:val="0"/>
          <w:rtl/>
        </w:rPr>
        <w:footnoteReference w:id="5059"/>
      </w:r>
      <w:r>
        <w:rPr>
          <w:b w:val="0"/>
          <w:bCs w:val="0"/>
          <w:rtl/>
        </w:rPr>
        <w:t xml:space="preserve">בְּשַׁגַּם זֶה הֶבֶל, וְהָא אוּקְמוּהוּ </w:t>
      </w:r>
      <w:r>
        <w:rPr>
          <w:rStyle w:val="a7"/>
          <w:b w:val="0"/>
          <w:bCs w:val="0"/>
          <w:rtl/>
        </w:rPr>
        <w:footnoteReference w:id="5060"/>
      </w:r>
      <w:r>
        <w:rPr>
          <w:b w:val="0"/>
          <w:bCs w:val="0"/>
          <w:rtl/>
        </w:rPr>
        <w:t xml:space="preserve">בְּשַׁגַּם זֶה </w:t>
      </w:r>
      <w:r>
        <w:rPr>
          <w:rStyle w:val="a7"/>
          <w:b w:val="0"/>
          <w:bCs w:val="0"/>
          <w:rtl/>
        </w:rPr>
        <w:footnoteReference w:id="5061"/>
      </w:r>
      <w:r>
        <w:rPr>
          <w:b w:val="0"/>
          <w:bCs w:val="0"/>
          <w:rtl/>
        </w:rPr>
        <w:t xml:space="preserve">מֹשֶׁה, </w:t>
      </w:r>
      <w:r>
        <w:rPr>
          <w:rStyle w:val="a7"/>
          <w:b w:val="0"/>
          <w:bCs w:val="0"/>
          <w:rtl/>
        </w:rPr>
        <w:footnoteReference w:id="5062"/>
      </w:r>
      <w:r>
        <w:rPr>
          <w:b w:val="0"/>
          <w:bCs w:val="0"/>
          <w:rtl/>
        </w:rPr>
        <w:t xml:space="preserve">וְאִיהוּ שֵׁת, וְאִיהוּ שֵׁם, וְאִיהוּ הֶבֶל, הֶבֶל אִיהוּ הֲבַל דְּאוֹרַיְיתָא דְאִיהוּ לַהַב, עֲלָהּ אִתְּמַר </w:t>
      </w:r>
      <w:r>
        <w:rPr>
          <w:b w:val="0"/>
          <w:sz w:val="20"/>
          <w:szCs w:val="23"/>
          <w:rtl/>
        </w:rPr>
        <w:t>(תהלים כט ז)</w:t>
      </w:r>
      <w:r>
        <w:rPr>
          <w:b w:val="0"/>
          <w:bCs w:val="0"/>
          <w:rtl/>
        </w:rPr>
        <w:t xml:space="preserve"> קוֹל יהו''ה חֹצֵב לַהֲבוֹת אֵשׁ, וְדָא ה' דְּמֹשֶׁה, מ' מִשֵּׁם, דְּאִתְּמַר בֵּיהּ </w:t>
      </w:r>
      <w:r>
        <w:rPr>
          <w:b w:val="0"/>
          <w:sz w:val="20"/>
          <w:szCs w:val="23"/>
          <w:rtl/>
        </w:rPr>
        <w:t>(ישעיה סג יא)</w:t>
      </w:r>
      <w:r>
        <w:rPr>
          <w:b w:val="0"/>
          <w:bCs w:val="0"/>
          <w:rtl/>
        </w:rPr>
        <w:t xml:space="preserve"> הַשָּׂם בְּקִרְבּוֹ אֶת רוּח קָדְשׁוֹ, וְלַאו לְמַגָּנָא הֲוָה שֵׁם קוֹבֵעַ מֶדְרָשׁוֹת בְּאוֹרַיְיתָא. שֵׁת, דְּאִתְּמַר בֵּיהּ </w:t>
      </w:r>
      <w:r>
        <w:rPr>
          <w:b w:val="0"/>
          <w:sz w:val="20"/>
          <w:szCs w:val="23"/>
          <w:rtl/>
        </w:rPr>
        <w:t>(שמות ב י)</w:t>
      </w:r>
      <w:r>
        <w:rPr>
          <w:b w:val="0"/>
          <w:bCs w:val="0"/>
          <w:rtl/>
        </w:rPr>
        <w:t xml:space="preserve"> כִּי מִן הַמַּיִם מְשִׁיתִיהוּ, וַהֲוָה שֵׁת סִיּוּמָא דְאַלְפָא בֵּיתָא, שֵׁת בְּגִין </w:t>
      </w:r>
      <w:r>
        <w:rPr>
          <w:b w:val="0"/>
          <w:sz w:val="20"/>
          <w:szCs w:val="23"/>
          <w:rtl/>
        </w:rPr>
        <w:t>(תהלים ח ז)</w:t>
      </w:r>
      <w:r>
        <w:rPr>
          <w:b w:val="0"/>
          <w:bCs w:val="0"/>
          <w:rtl/>
        </w:rPr>
        <w:t xml:space="preserve"> כֹּל שַׁתָּה תַחַת רַגְלָיו, וְדָא ש' דְּמֹשֶׁה, </w:t>
      </w:r>
      <w:r>
        <w:rPr>
          <w:b w:val="0"/>
          <w:sz w:val="20"/>
          <w:szCs w:val="23"/>
          <w:rtl/>
        </w:rPr>
        <w:t>(איוב לג כט)</w:t>
      </w:r>
      <w:r>
        <w:rPr>
          <w:rtl/>
        </w:rPr>
        <w:t xml:space="preserve"> </w:t>
      </w:r>
      <w:r>
        <w:rPr>
          <w:b w:val="0"/>
          <w:bCs w:val="0"/>
          <w:rtl/>
        </w:rPr>
        <w:t xml:space="preserve">וְהֶן כָּל אֵלֶּה יִפְעַל אֵ''ל פַּעֲמַיִם שָׁלֹשׁ עִם גָּבֶר, </w:t>
      </w:r>
      <w:r>
        <w:rPr>
          <w:b w:val="0"/>
          <w:sz w:val="20"/>
          <w:szCs w:val="23"/>
          <w:rtl/>
        </w:rPr>
        <w:t>(עמוס ב ו)</w:t>
      </w:r>
      <w:r>
        <w:rPr>
          <w:b w:val="0"/>
          <w:bCs w:val="0"/>
          <w:rtl/>
        </w:rPr>
        <w:t xml:space="preserve"> וְעַל אַרְבָּעָה לֹא אֲשִׁיבֶנּוּ, לֹא אֲשִׁיבֶנּוּ בְגִלְגּוּלָא יַתִּיר, כֵּיוָן דְּנָח בֵּיהּ אֲבוֹי דְּאִיהוּ אָדָם, </w:t>
      </w:r>
      <w:r>
        <w:rPr>
          <w:rStyle w:val="a7"/>
          <w:b w:val="0"/>
          <w:bCs w:val="0"/>
          <w:rtl/>
        </w:rPr>
        <w:footnoteReference w:id="5063"/>
      </w:r>
      <w:r>
        <w:rPr>
          <w:b w:val="0"/>
          <w:bCs w:val="0"/>
          <w:rtl/>
        </w:rPr>
        <w:t xml:space="preserve">בְּהַהוּא זִמְנָא אִשְׁתְּמוֹדָע </w:t>
      </w:r>
      <w:r>
        <w:rPr>
          <w:b w:val="0"/>
          <w:sz w:val="20"/>
          <w:szCs w:val="23"/>
          <w:rtl/>
        </w:rPr>
        <w:t>(משלי ל ד)</w:t>
      </w:r>
      <w:r>
        <w:rPr>
          <w:b w:val="0"/>
          <w:bCs w:val="0"/>
          <w:rtl/>
        </w:rPr>
        <w:t xml:space="preserve"> מַה שְּׁמוֹ וּמַה שֶּׁם בְּנוֹ כִּי תֵדָע, וְדָא אִיהוּ רָזָא מַה שְּׁמוֹ מָה אוֹמַר אֲלֵיהֶם, וְדָא אִיהוּ מֶרְכַּבְתָּא שְׁלֵימָא, ש תְּלַת חֵיוָון, דְּרָכִיב עֲלַיְיהוּ מ''ה, וְדָא אָדָם דְּאִיהוּ רְבִיעָאָה </w:t>
      </w:r>
      <w:r>
        <w:rPr>
          <w:b w:val="0"/>
          <w:sz w:val="20"/>
          <w:szCs w:val="23"/>
          <w:rtl/>
        </w:rPr>
        <w:t>(איוב לג כט)</w:t>
      </w:r>
      <w:r>
        <w:rPr>
          <w:rtl/>
        </w:rPr>
        <w:t xml:space="preserve"> </w:t>
      </w:r>
      <w:r>
        <w:rPr>
          <w:b w:val="0"/>
          <w:bCs w:val="0"/>
          <w:rtl/>
        </w:rPr>
        <w:t>וְהֶן כָּל אֵלֶּה יִפְעַל אֵ''ל פַּעֲמַיִם שָׁלֹשׁ עִם גָּבֶר.</w:t>
      </w:r>
    </w:p>
    <w:p w:rsidR="0020255E" w:rsidRDefault="0020255E" w:rsidP="0020255E">
      <w:pPr>
        <w:pStyle w:val="NormalWeb"/>
        <w:rPr>
          <w:b w:val="0"/>
          <w:bCs w:val="0"/>
          <w:rtl/>
        </w:rPr>
      </w:pPr>
      <w:r>
        <w:rPr>
          <w:b w:val="0"/>
          <w:bCs w:val="0"/>
          <w:rtl/>
        </w:rPr>
        <w:t>וְחָמָא אִתְפַּשְׁטוּתֵיהּ בְּכָל דָּרָא, כֵּיוָן דְּחָמָא לַהֶבֶל דְּאִתְפַּשְׁטוּתֵיהּ בְּכָל דָּרָא לְטָב, אָמַר וַתּוֹסֶף לָלֶדֶת, אוֹסִיפַת אִיהִי כַּמָּה קָרְבָּנִין וְכַמָּה תַּחֲנוּנִין וְכַמָּה בִּכְיָין בְּגִינֵיהּ</w:t>
      </w:r>
      <w:bookmarkStart w:id="329" w:name="_Toc228095784"/>
      <w:bookmarkStart w:id="330" w:name="_Toc231638222"/>
      <w:r>
        <w:rPr>
          <w:b w:val="0"/>
          <w:bCs w:val="0"/>
          <w:rtl/>
        </w:rPr>
        <w:t>.</w:t>
      </w:r>
    </w:p>
    <w:bookmarkEnd w:id="329"/>
    <w:bookmarkEnd w:id="330"/>
    <w:p w:rsidR="0020255E" w:rsidRDefault="0020255E" w:rsidP="0020255E">
      <w:pPr>
        <w:pStyle w:val="NormalWeb"/>
        <w:rPr>
          <w:b w:val="0"/>
          <w:bCs w:val="0"/>
          <w:rtl/>
        </w:rPr>
      </w:pPr>
      <w:r>
        <w:rPr>
          <w:b w:val="0"/>
          <w:bCs w:val="0"/>
          <w:rtl/>
        </w:rPr>
        <w:t xml:space="preserve">קָם רַבִּי שִׁמְעוֹן וְאָמַר, </w:t>
      </w:r>
      <w:r>
        <w:rPr>
          <w:b w:val="0"/>
          <w:sz w:val="20"/>
          <w:szCs w:val="23"/>
          <w:rtl/>
        </w:rPr>
        <w:t>(בראשית ד ב)</w:t>
      </w:r>
      <w:r>
        <w:rPr>
          <w:b w:val="0"/>
          <w:bCs w:val="0"/>
          <w:rtl/>
        </w:rPr>
        <w:t xml:space="preserve"> וַתּוֹסֶף לָלֶדֶת אֶת אָחִיו אֶת הָבֶל, וַוי לְעָלְמָא דְאִית לוֹן עַיְינִין וְלָא חָזָאן, אוּדְנִין וְלָא שָׁמְעִין בְּרָזִין דְּאוֹרַיְיתָא, וְאָזְלִין בָּתַר בִּצְעִין דְּהַאי עָלְמָא, </w:t>
      </w:r>
      <w:r>
        <w:rPr>
          <w:rStyle w:val="a7"/>
          <w:b w:val="0"/>
          <w:bCs w:val="0"/>
          <w:rtl/>
        </w:rPr>
        <w:footnoteReference w:id="5064"/>
      </w:r>
      <w:r>
        <w:rPr>
          <w:b w:val="0"/>
          <w:bCs w:val="0"/>
          <w:rtl/>
        </w:rPr>
        <w:t xml:space="preserve">תָּא חֲזִי </w:t>
      </w:r>
      <w:r>
        <w:rPr>
          <w:rtl/>
        </w:rPr>
        <w:t xml:space="preserve">(קַיִן אִיהוּ יֵצֶר הָרָע, הֶבֶל יֵצֶר הַטּוֹב, הֶבֶל אִיהוּ הַלֵּב, וְאִינוּן תְּרֵי בָּתֵּי לִבָּא, הֲדָא הוּא דִכְתִיב </w:t>
      </w:r>
      <w:r>
        <w:rPr>
          <w:sz w:val="20"/>
          <w:szCs w:val="23"/>
          <w:rtl/>
        </w:rPr>
        <w:t>(קהלת י ב)</w:t>
      </w:r>
      <w:r>
        <w:rPr>
          <w:rtl/>
        </w:rPr>
        <w:t xml:space="preserve"> לֵב חָכָם לִימִינוֹ וְלֵב כְּסִיל לִשְׂמֹאלוֹ, לֵב חָכָם לִימִינוֹ דָא הֶבֶל, דְּאִתְּמַר בֵּיהּ וַתּוֹסֶף לָלֶדֶת אֶת אָחִיו אֶת הָבֶל, אִיהוּ תוֹסֶפֶת רוּחַ הַקֹּדֶשׁ, קַיִן אִיהוּ רוּחַ הַטּוּמְאָה דְאִיהוּ גָרַע וְלָא אוֹסִיף, קַיִן גּוּפָא, קַן לְתַרְוַיְיהוּ, וּבְגִינָהּ אִתְּמַר אַל תִּסְתַּכֵּל בְּקַנְקַן אֶלָּא בַּמֶּה דְאִית בֵּיהּ, וַדַּאי קַיִן אִיהוּ לִבָּא, דְאִיהוּ קְלִיפָה דֶאֱגוֹזָא, לַאו הַהוּא דִלְעִילָא דְאִיהוּ אִיבָּא דְאִילָנָא דְחַיֵּי, וּבְגִין דְּהַאי קַיִן אִית בֵּיהּ טַב וּבִישׁ, אִתְּמַר בֵּיהּ </w:t>
      </w:r>
      <w:r>
        <w:rPr>
          <w:sz w:val="20"/>
          <w:szCs w:val="23"/>
          <w:rtl/>
        </w:rPr>
        <w:t>(בראשית ב יז)</w:t>
      </w:r>
      <w:r>
        <w:rPr>
          <w:rtl/>
        </w:rPr>
        <w:t xml:space="preserve"> וּמֵעִץ הַדַּעַת טוֹב וָרָע לֹא תֹאכַל מִמֶּנּוּ, עַד דְּאִתְעַבַּר הַהִיא קְלִיפָה מִנֵּיהּ דֶּאֱגוֹזָא, אִיבָּא אִתְקְרִי מִיתָה וְחַיֵּי אוֹר וְחֹשֶׁךְ, הֲבַל טַב וַהֲבַל בִּישׁ.)</w:t>
      </w:r>
      <w:r>
        <w:rPr>
          <w:b w:val="0"/>
          <w:bCs w:val="0"/>
          <w:rtl/>
        </w:rPr>
        <w:t xml:space="preserve"> אִית הֶבֶל וְאִית הֶבֶל, אִית הֶבֶל דָא יֵצֶר הָרָע, וְאִית הֶבֶל יֵצֶר (הַ)טּוֹב, הֶבֶל אִיהוּ הַלֵּב, וְאִינוּן תְּרֵי בָּתֵּי לִבָּא, הֲדָא הוּא דִכְתִיב </w:t>
      </w:r>
      <w:r>
        <w:rPr>
          <w:b w:val="0"/>
          <w:sz w:val="20"/>
          <w:szCs w:val="23"/>
          <w:rtl/>
        </w:rPr>
        <w:t>(קהלת י ב)</w:t>
      </w:r>
      <w:r>
        <w:rPr>
          <w:b w:val="0"/>
          <w:bCs w:val="0"/>
          <w:rtl/>
        </w:rPr>
        <w:t xml:space="preserve"> לֵב חָכָם לִימִינוֹ וְלֵב כְּסִיל לִשְׂמֹאלוֹ, לֵב חָכָם לִימִינוֹ דָא הֶבֶל דְּאִתְּמַר בֵּיהּ וַתּוֹסֶף לָלֶדֶת אֶת אָחִיו אֶת הָבֶל, אִיהוּ תוֹסֶפֶת רוּחַ הַקֹּדֶשׁ, הֶבֶל דְאִיהוּ רוּחַ הַטּוּמְאָה גָרַע וְלָא אוֹסִיף, קַיִן גּוּפָא, קַן לְתַרְוַיְיהוּ, וּבְגִינֵיהּ אִתְּמַר אַל תִּסְתַּכֵּל בְּקַנְקַן אֶלָּא בַּמֶּה דְאִית בֵּיהּ, וַדַּאי קַיִן אִיהוּ לִבָּא, דְאִיהוּ קְלִיפָה דֶאֱגוֹזָא לְהַהוּא דִלְעִילָא דְאִיהוּ אִיבָּא דְאִילָנָא דְחַיֵּי, וּבְגִין דְּהַאי קַיִן אִית בֵּיהּ טַב וּבִישׁ, אִתְּמַר בֵּיהּ </w:t>
      </w:r>
      <w:r>
        <w:rPr>
          <w:b w:val="0"/>
          <w:sz w:val="20"/>
          <w:szCs w:val="23"/>
          <w:rtl/>
        </w:rPr>
        <w:t>(בראשית ב יז)</w:t>
      </w:r>
      <w:r>
        <w:rPr>
          <w:b w:val="0"/>
          <w:bCs w:val="0"/>
          <w:rtl/>
        </w:rPr>
        <w:t xml:space="preserve"> וּמֵעִץ הַדַּעַת טוֹב וָרָע לֹא תֹאכַל מִמֶּנּוּ, עַד דְּאִתְעַבַּר הַהוּא קְלִיפָה מִנֵּיהּ דֶּאֱגוֹזָא, הֶבֶל, הֲבַל טַב וַהֲבַל בִּישׁ, מִיתָה וְחַיִּים, אוֹר וְחֹשֶׁך.</w:t>
      </w:r>
    </w:p>
    <w:p w:rsidR="0020255E" w:rsidRDefault="0020255E" w:rsidP="0020255E">
      <w:pPr>
        <w:pStyle w:val="aa"/>
        <w:spacing w:after="40"/>
        <w:rPr>
          <w:rtl/>
        </w:rPr>
      </w:pPr>
      <w:r>
        <w:rPr>
          <w:rtl/>
        </w:rPr>
        <w:t xml:space="preserve">[תיקוני זוהר - דף קטו ע''ב] </w:t>
      </w:r>
    </w:p>
    <w:p w:rsidR="0020255E" w:rsidRDefault="0020255E" w:rsidP="0020255E">
      <w:pPr>
        <w:pStyle w:val="NormalWeb"/>
        <w:rPr>
          <w:b w:val="0"/>
          <w:bCs w:val="0"/>
          <w:rtl/>
        </w:rPr>
      </w:pPr>
      <w:r>
        <w:rPr>
          <w:b w:val="0"/>
          <w:bCs w:val="0"/>
          <w:rtl/>
        </w:rPr>
        <w:t xml:space="preserve">וְהֶבֶל מִסִּטְרָא דִימִינָא אִיהוּ כְּלִיל </w:t>
      </w:r>
      <w:r>
        <w:rPr>
          <w:rStyle w:val="a7"/>
          <w:b w:val="0"/>
          <w:bCs w:val="0"/>
          <w:rtl/>
        </w:rPr>
        <w:footnoteReference w:id="5065"/>
      </w:r>
      <w:r>
        <w:rPr>
          <w:b w:val="0"/>
          <w:bCs w:val="0"/>
          <w:rtl/>
        </w:rPr>
        <w:t xml:space="preserve">ז' הֲבָלִים, וְאִינוּן אבגית''ץ וכו', שִׁית סָלְקִין, דְּאִינוּן לְהָבִים בְּשִׁית עִזְקָאן דְּקָנֶה, וַהֲבַל דְּפֶה שְׁבִיעָאָה, וּלְקִבְלַיְיהוּ אָמַר דָּוִד שֶׁבַע קָלִין דְּהָבוּ לַיהו''ה בְּנֵי אֵלִים, </w:t>
      </w:r>
      <w:r>
        <w:rPr>
          <w:b w:val="0"/>
          <w:sz w:val="20"/>
          <w:szCs w:val="23"/>
          <w:rtl/>
        </w:rPr>
        <w:t>(תהלים כט)</w:t>
      </w:r>
      <w:r>
        <w:rPr>
          <w:b w:val="0"/>
          <w:szCs w:val="23"/>
          <w:rtl/>
        </w:rPr>
        <w:t xml:space="preserve"> </w:t>
      </w:r>
      <w:r>
        <w:rPr>
          <w:rStyle w:val="Char"/>
          <w:rtl/>
        </w:rPr>
        <w:t>וְעַל אִלֵּין שֶׁבַע אִתְּמַר</w:t>
      </w:r>
      <w:r>
        <w:rPr>
          <w:b w:val="0"/>
          <w:szCs w:val="23"/>
          <w:rtl/>
        </w:rPr>
        <w:t xml:space="preserve"> </w:t>
      </w:r>
      <w:r>
        <w:rPr>
          <w:b w:val="0"/>
          <w:sz w:val="20"/>
          <w:szCs w:val="23"/>
          <w:rtl/>
        </w:rPr>
        <w:t>(דברים ח ג)</w:t>
      </w:r>
      <w:r>
        <w:rPr>
          <w:b w:val="0"/>
          <w:bCs w:val="0"/>
          <w:rtl/>
        </w:rPr>
        <w:t xml:space="preserve"> כִּי לֹא עַל הַלֶּחֶם לְבַדּוֹ יִחְיֶה הָאָדָם כִּי עַל כָּל מוֹצָא פִי יהו''ה יִחְיֶה הָאָדָם, וְאִלֵּין ז' קָלִין סָלְקִין בְּז' רְקִיעִין, וְאִית ז' דִּשְׂמָאלָא דְנָחֲתִין בְּשִׁבְעָה אַרְעִין, וַעֲלַיְיהוּ אָמַר </w:t>
      </w:r>
      <w:r>
        <w:rPr>
          <w:b w:val="0"/>
          <w:sz w:val="20"/>
          <w:szCs w:val="23"/>
          <w:rtl/>
        </w:rPr>
        <w:t xml:space="preserve">(דף קטו ע''ב) </w:t>
      </w:r>
      <w:r>
        <w:rPr>
          <w:b w:val="0"/>
          <w:bCs w:val="0"/>
          <w:rtl/>
        </w:rPr>
        <w:t xml:space="preserve">קֹהֶלֶת </w:t>
      </w:r>
      <w:r>
        <w:rPr>
          <w:b w:val="0"/>
          <w:sz w:val="20"/>
          <w:szCs w:val="23"/>
          <w:rtl/>
        </w:rPr>
        <w:t>(קהלת ג כז)</w:t>
      </w:r>
      <w:r>
        <w:rPr>
          <w:b w:val="0"/>
          <w:szCs w:val="23"/>
          <w:rtl/>
        </w:rPr>
        <w:t xml:space="preserve"> </w:t>
      </w:r>
      <w:r>
        <w:rPr>
          <w:b w:val="0"/>
          <w:sz w:val="20"/>
          <w:szCs w:val="23"/>
          <w:rtl/>
        </w:rPr>
        <w:t>(כי)</w:t>
      </w:r>
      <w:r>
        <w:rPr>
          <w:b w:val="0"/>
          <w:bCs w:val="0"/>
          <w:rtl/>
        </w:rPr>
        <w:t xml:space="preserve"> מִי יוֹדֵעַ רוּחַ בְּנֵי הָאָדָם הָעוֹלָה הִיא לְמָעְלָה וכו'.</w:t>
      </w:r>
    </w:p>
    <w:p w:rsidR="0020255E" w:rsidRDefault="0020255E" w:rsidP="0020255E">
      <w:pPr>
        <w:pStyle w:val="NormalWeb"/>
        <w:rPr>
          <w:b w:val="0"/>
          <w:bCs w:val="0"/>
          <w:rtl/>
        </w:rPr>
      </w:pPr>
      <w:r>
        <w:rPr>
          <w:b w:val="0"/>
          <w:bCs w:val="0"/>
          <w:rtl/>
        </w:rPr>
        <w:t xml:space="preserve">שִׁבְעָה הֲבָלִים טָבִין אִלֵּין אִינוּן שֶׁבַע שְׁנֵי הַשָּׂבָע, וּלְקִבְלַיְיהוּ אָחֳרָנִין לָקֳבֵל שֶׁבַע שְׁנֵי הָרָעָב, אִלֵּין הֲבָלִים דְּחַיֵּי, וְאִלֵּין הֲבָלִים דְּמִיתָה, </w:t>
      </w:r>
      <w:r>
        <w:rPr>
          <w:rStyle w:val="a7"/>
          <w:b w:val="0"/>
          <w:bCs w:val="0"/>
          <w:rtl/>
        </w:rPr>
        <w:footnoteReference w:id="5066"/>
      </w:r>
      <w:r>
        <w:rPr>
          <w:b w:val="0"/>
          <w:bCs w:val="0"/>
          <w:rtl/>
        </w:rPr>
        <w:t xml:space="preserve">וּבְגִין דָּא יֵשׁ הֶבֶל וְיֵשׁ הֶבֶל, הֶבֶל, ה' לֵב, ד' אַרְבַּע חֵיוָון דְּכָרְסַיָּיא, ו' שִׁית דַּרְגִּין דְּכָרְסַיָּיא, </w:t>
      </w:r>
      <w:r>
        <w:rPr>
          <w:rStyle w:val="a7"/>
          <w:b w:val="0"/>
          <w:bCs w:val="0"/>
          <w:rtl/>
        </w:rPr>
        <w:footnoteReference w:id="5067"/>
      </w:r>
      <w:r>
        <w:rPr>
          <w:b w:val="0"/>
          <w:bCs w:val="0"/>
          <w:rtl/>
        </w:rPr>
        <w:t xml:space="preserve">וַעֲלַיְיהוּ שַׁרְיָין עֲשַׂר אֲמִירָן דְּאִינוּן י', ו' דְּנָפִיק מֵהֶבֶל אִיהוּ קוֹל דְּאִיהוּ פּוֹרֵחַ בְּאַוִּיר, דְּאִיהוּ אוֹר חָמֵשׁ אוֹר וַדַּאי אִינוּן ה' עִלָּאָה, י' דִּבּוּר וַאֲמִירָה, </w:t>
      </w:r>
      <w:r>
        <w:rPr>
          <w:rStyle w:val="a7"/>
          <w:b w:val="0"/>
          <w:bCs w:val="0"/>
          <w:rtl/>
        </w:rPr>
        <w:footnoteReference w:id="5068"/>
      </w:r>
      <w:r>
        <w:rPr>
          <w:b w:val="0"/>
          <w:bCs w:val="0"/>
          <w:rtl/>
        </w:rPr>
        <w:t>וְאִינוּן שְׁנֵי הֲבָלִים הֲבַל סָלִיק בְּה' עִלָּאָה, וַהֲבַל נָחִית בְּה' תַּתָּאָה, וּבְאִלֵּין הֲבָלִים, בְּחַד סָלִיק קָלָא, וּבְחַד נָחִית דִּבּוּר, (ס"א בה' תַּתָּאָה סָלִיק קָלָא דְּאִיהוּ ו', בְּה' עִלָּאָה נָחִית דִּבּוּר דְּאִיהוּ י') בְּה' עִלָּאָה סָלִיק קָלָא דְאִיהוּ ו', בְּה' תַּתָּאָה נָחִית דִּבּוּר דְּאִיהוּ י'.</w:t>
      </w:r>
    </w:p>
    <w:p w:rsidR="0020255E" w:rsidRDefault="0020255E" w:rsidP="0020255E">
      <w:pPr>
        <w:pStyle w:val="NormalWeb"/>
        <w:rPr>
          <w:b w:val="0"/>
          <w:bCs w:val="0"/>
          <w:rtl/>
        </w:rPr>
      </w:pPr>
      <w:r>
        <w:rPr>
          <w:b w:val="0"/>
          <w:bCs w:val="0"/>
          <w:rtl/>
        </w:rPr>
        <w:t xml:space="preserve">וַהֲבָלִים סָלְקִין וְנָחֲתִין בְּלִבָּא, וְהִנֵּה מַלְאֲכֵי אלהי''ם סָלְקִין וְנָחֲתִין תַּמָּן וְאִינוּן י''ו, ה' תַּתָּאָה מוּצָב אַרְצָה, וְרֹאשׁוֹ מַגִּיעַ הַשָּׁמָיְמָה דָא ה' עִלָּאָה דְאִתְקְרֵי הַשָּׁמָיְמָה, </w:t>
      </w:r>
      <w:r>
        <w:rPr>
          <w:rStyle w:val="a7"/>
          <w:b w:val="0"/>
          <w:bCs w:val="0"/>
          <w:rtl/>
        </w:rPr>
        <w:footnoteReference w:id="5069"/>
      </w:r>
      <w:r>
        <w:rPr>
          <w:b w:val="0"/>
          <w:bCs w:val="0"/>
          <w:rtl/>
        </w:rPr>
        <w:t>וְצָרִיך לְסָלְקָא לוֹן בְּמַחֲשָׁבָה דְאִיהוּ יוד ה"א וא"ו ה"א, וְאִם לָא, לָא סָלְקִין אִלֵין הֲבָלִים דִּצְלוֹתָא דְּלַאו אִינוּן מִסִּטְרָא דְיִחוּדָא, וַהֲבָלִים אָחֳרָנִין אִינוּן, דְּאִינוּן בְּמַחֲשָׁבָה בִּישָׁא, וְלָא מִצְטָרְפִין לְמַעֲשֶׂה, וַהֲבָלִים דְּלֵית בְּהוֹן פִּירוּדָא מַחֲשָׁבָה דִלְהוֹן מִצְטָרְפָא לְמַעֲשֶׂה.</w:t>
      </w:r>
    </w:p>
    <w:p w:rsidR="0020255E" w:rsidRDefault="0020255E" w:rsidP="0020255E">
      <w:pPr>
        <w:pStyle w:val="NormalWeb"/>
        <w:rPr>
          <w:b w:val="0"/>
          <w:bCs w:val="0"/>
          <w:rtl/>
        </w:rPr>
      </w:pPr>
      <w:r>
        <w:rPr>
          <w:rStyle w:val="a7"/>
          <w:b w:val="0"/>
          <w:bCs w:val="0"/>
          <w:rtl/>
        </w:rPr>
        <w:footnoteReference w:id="5070"/>
      </w:r>
      <w:r>
        <w:rPr>
          <w:b w:val="0"/>
          <w:bCs w:val="0"/>
          <w:rtl/>
        </w:rPr>
        <w:t xml:space="preserve">וְעִקָּר דְּאַרְבַּע אַתְוָון וַעֲשַׂר אַתְוָון אִיהִי מַלְכוּתָא, דְאִיהִי כְלִילָא מִכָּל עֲשַׂר סְפִירָן, וּבֵיהּ צָרִיךְ כֹּלָּא לְאַכְלָלָא, דְּכָל מָאן דְּנָטִיל מַלְכוּת בְּלָא תֵּשַׁע סְפִירָן אִיהוּ מְקַצֵּץ בַּנְּטִיעָן, </w:t>
      </w:r>
      <w:r>
        <w:rPr>
          <w:rStyle w:val="a7"/>
          <w:b w:val="0"/>
          <w:bCs w:val="0"/>
          <w:rtl/>
        </w:rPr>
        <w:footnoteReference w:id="5071"/>
      </w:r>
      <w:r>
        <w:rPr>
          <w:b w:val="0"/>
          <w:bCs w:val="0"/>
          <w:rtl/>
        </w:rPr>
        <w:t>וְכָל מָאן דְּנָטִיל תֵּשַׁע סְפִירָן בְּלָא מַלְכוּת אִיהוּ כּוֹפֵר בְּעִיקָר.</w:t>
      </w:r>
    </w:p>
    <w:p w:rsidR="0020255E" w:rsidRDefault="0020255E" w:rsidP="0020255E">
      <w:pPr>
        <w:pStyle w:val="NormalWeb"/>
        <w:rPr>
          <w:b w:val="0"/>
          <w:bCs w:val="0"/>
          <w:rtl/>
        </w:rPr>
      </w:pPr>
      <w:r>
        <w:rPr>
          <w:b w:val="0"/>
          <w:bCs w:val="0"/>
          <w:rtl/>
        </w:rPr>
        <w:t xml:space="preserve">הֲבָלִים דְּסִטְרָא אָחֳרָא עֲלַיְיהוּ אִתְּמַר </w:t>
      </w:r>
      <w:r>
        <w:rPr>
          <w:b w:val="0"/>
          <w:sz w:val="20"/>
          <w:szCs w:val="23"/>
          <w:rtl/>
        </w:rPr>
        <w:t>(ירמיה י טו)</w:t>
      </w:r>
      <w:r>
        <w:rPr>
          <w:b w:val="0"/>
          <w:bCs w:val="0"/>
          <w:rtl/>
        </w:rPr>
        <w:t xml:space="preserve"> הֶבֶל הֵמָּה מַעֲשֵׂה תַּעְתּוּעִים, דְּאִינוּן הֲבָלִים סָלְקִין בְּנִבְלוּת הַפֶּה וּבְשִׁקְרוּת, </w:t>
      </w:r>
      <w:r>
        <w:rPr>
          <w:rStyle w:val="a7"/>
          <w:b w:val="0"/>
          <w:bCs w:val="0"/>
          <w:rtl/>
        </w:rPr>
        <w:footnoteReference w:id="5072"/>
      </w:r>
      <w:r>
        <w:rPr>
          <w:b w:val="0"/>
          <w:bCs w:val="0"/>
          <w:rtl/>
        </w:rPr>
        <w:t xml:space="preserve">וְכֻלְּהוּ סָלְקִין לְגַבֵּי מוֹחָא אִית חַמָּה וּלְבָנָה וְכֹכְבַיָּא וּמַזָּלַיָּא בִרְקִיעִין דְּאִינוּן קְלִיפִין, דַּעֲלַיְיהוּ אִתְּמַר </w:t>
      </w:r>
      <w:r>
        <w:rPr>
          <w:b w:val="0"/>
          <w:sz w:val="20"/>
          <w:szCs w:val="23"/>
          <w:rtl/>
        </w:rPr>
        <w:t>(ישעיה ה יח)</w:t>
      </w:r>
      <w:r>
        <w:rPr>
          <w:b w:val="0"/>
          <w:bCs w:val="0"/>
          <w:rtl/>
        </w:rPr>
        <w:t xml:space="preserve"> הוֹי מוֹשְׁכֵי הֶעָוֹן בְּחַבְלֵי הַשָּׁוְא, וַעֲלַיְיהוּ אִתְּמַר </w:t>
      </w:r>
      <w:r>
        <w:rPr>
          <w:b w:val="0"/>
          <w:sz w:val="20"/>
          <w:szCs w:val="23"/>
          <w:rtl/>
        </w:rPr>
        <w:t>(שם נא ו)</w:t>
      </w:r>
      <w:r>
        <w:rPr>
          <w:b w:val="0"/>
          <w:bCs w:val="0"/>
          <w:rtl/>
        </w:rPr>
        <w:t xml:space="preserve"> כִּי שָׁמַיִם כֶּעָשָׁן נִמְלָחוּ, וְחָפְרָה הַלְּבָנָה וּבוֹשָׁה הַחַמָּה וכו' </w:t>
      </w:r>
      <w:r>
        <w:rPr>
          <w:b w:val="0"/>
          <w:sz w:val="20"/>
          <w:szCs w:val="23"/>
          <w:rtl/>
        </w:rPr>
        <w:t>(שם כד כג)</w:t>
      </w:r>
      <w:r>
        <w:rPr>
          <w:b w:val="0"/>
          <w:bCs w:val="0"/>
          <w:rtl/>
        </w:rPr>
        <w:t xml:space="preserve">, וְכַמָּה הֲבָלִים אִית לוֹן דְּכֻלְּהוּ מַלְיָין שֶׁקֶר וְשָׁוְא, וְכָל מָאן דְּאַפִּיק מִלִּין דְּשִׁקְרָא כַּמָּה מַלְאֲכֵי חַבָּלָה פָּתְחִין גַּדְפַיְיהוּ לְקִבְלוֹן, הֲדָא הוּא דִכְתִיב </w:t>
      </w:r>
      <w:r>
        <w:rPr>
          <w:b w:val="0"/>
          <w:sz w:val="20"/>
          <w:szCs w:val="23"/>
          <w:rtl/>
        </w:rPr>
        <w:t>(קהלת י כ)</w:t>
      </w:r>
      <w:r>
        <w:rPr>
          <w:b w:val="0"/>
          <w:bCs w:val="0"/>
          <w:rtl/>
        </w:rPr>
        <w:t xml:space="preserve"> כִּי עוֹף הַשָּׁמַיִם יוֹלִיךְ אֶת הַקּוֹל וכו', </w:t>
      </w:r>
      <w:r>
        <w:rPr>
          <w:rStyle w:val="a7"/>
          <w:b w:val="0"/>
          <w:bCs w:val="0"/>
          <w:rtl/>
        </w:rPr>
        <w:footnoteReference w:id="5073"/>
      </w:r>
      <w:r>
        <w:rPr>
          <w:b w:val="0"/>
          <w:bCs w:val="0"/>
          <w:rtl/>
        </w:rPr>
        <w:t>וְאִלֵּין מִלּוּלִין אִינוּן בָּנִין כַּמָּה בִּנְיָינִין.</w:t>
      </w:r>
    </w:p>
    <w:p w:rsidR="0020255E" w:rsidRDefault="0020255E" w:rsidP="0020255E">
      <w:pPr>
        <w:pStyle w:val="NormalWeb"/>
        <w:rPr>
          <w:b w:val="0"/>
          <w:szCs w:val="23"/>
          <w:rtl/>
        </w:rPr>
      </w:pPr>
      <w:r>
        <w:rPr>
          <w:b w:val="0"/>
          <w:szCs w:val="23"/>
          <w:rtl/>
        </w:rPr>
        <w:t>[אמר המגיה: זה התקון מצאתיהו מפוזר ומפורד ומוטעה, והרבה עמלתי וטרחתי להגיהו ולסדר הדברים על אופניהם, ובמקומות ממנו כתבתי הדברים פעמים מפני חלוף הנסחאות]</w:t>
      </w:r>
    </w:p>
    <w:p w:rsidR="0020255E" w:rsidRDefault="0020255E" w:rsidP="0020255E">
      <w:pPr>
        <w:pStyle w:val="NormalWeb"/>
        <w:jc w:val="center"/>
        <w:rPr>
          <w:b w:val="0"/>
          <w:szCs w:val="23"/>
          <w:rtl/>
        </w:rPr>
      </w:pPr>
      <w:r>
        <w:rPr>
          <w:b w:val="0"/>
          <w:szCs w:val="23"/>
          <w:rtl/>
        </w:rPr>
        <w:t>(אמר המגיה עוד ראה זה מצאתי)</w:t>
      </w:r>
    </w:p>
    <w:p w:rsidR="0020255E" w:rsidRDefault="0020255E" w:rsidP="0020255E">
      <w:pPr>
        <w:pStyle w:val="aa"/>
        <w:spacing w:after="40"/>
        <w:rPr>
          <w:rtl/>
        </w:rPr>
      </w:pPr>
      <w:bookmarkStart w:id="331" w:name="_Toc228095785"/>
      <w:bookmarkStart w:id="332" w:name="_Toc231638223"/>
      <w:r>
        <w:rPr>
          <w:rtl/>
        </w:rPr>
        <w:t>[תיקוני זוהר - דף קיז ע''א]</w:t>
      </w:r>
      <w:bookmarkEnd w:id="331"/>
      <w:bookmarkEnd w:id="332"/>
    </w:p>
    <w:p w:rsidR="0020255E" w:rsidRDefault="0020255E" w:rsidP="0020255E">
      <w:pPr>
        <w:pStyle w:val="NormalWeb"/>
        <w:rPr>
          <w:b w:val="0"/>
          <w:bCs w:val="0"/>
          <w:rtl/>
        </w:rPr>
      </w:pPr>
      <w:r>
        <w:rPr>
          <w:b w:val="0"/>
          <w:szCs w:val="23"/>
          <w:rtl/>
        </w:rPr>
        <w:t xml:space="preserve">(דף קיז ע''א) </w:t>
      </w:r>
      <w:r>
        <w:rPr>
          <w:b w:val="0"/>
          <w:bCs w:val="0"/>
          <w:rtl/>
        </w:rPr>
        <w:t xml:space="preserve">וַתּוֹסֶף לָלֶדֶת אֶת אָחִיו אֶת הָבֶל </w:t>
      </w:r>
      <w:r>
        <w:rPr>
          <w:b w:val="0"/>
          <w:sz w:val="20"/>
          <w:szCs w:val="23"/>
          <w:rtl/>
        </w:rPr>
        <w:t>(בראשית ד ב)</w:t>
      </w:r>
      <w:r>
        <w:rPr>
          <w:b w:val="0"/>
          <w:bCs w:val="0"/>
          <w:rtl/>
        </w:rPr>
        <w:t xml:space="preserve">, תָּא חֲזִי הֶבֶל אִיהוּ הַלֵּב, וְאִית ב' בָּתִּים בְּלִבָּא, </w:t>
      </w:r>
      <w:r>
        <w:rPr>
          <w:b w:val="0"/>
          <w:sz w:val="20"/>
          <w:szCs w:val="23"/>
          <w:rtl/>
        </w:rPr>
        <w:t>(קהלת י ג)</w:t>
      </w:r>
      <w:r>
        <w:rPr>
          <w:b w:val="0"/>
          <w:bCs w:val="0"/>
          <w:rtl/>
        </w:rPr>
        <w:t xml:space="preserve"> לֵב חָכָם לִימִינוֹ הֶבֶל, לֵב כְּסִיל לִשְׂמֹאלוֹ דָא הֶבֶל, קַיִן אִיהוּ יָנִיק מִתַּרְוַיְיהוּ, וְאִיהוּ עִץ טוֹב וָרָע, וְקַיִן אִיהוּ זוּהֲמָא דְנָחָשׁ דְּאַטִּיל בְּחַוָּה, וַעֲלֵיהּ אִתְּמַר </w:t>
      </w:r>
      <w:r>
        <w:rPr>
          <w:b w:val="0"/>
          <w:sz w:val="20"/>
          <w:szCs w:val="23"/>
          <w:rtl/>
        </w:rPr>
        <w:t>(ישעיה יד כט)</w:t>
      </w:r>
      <w:r>
        <w:rPr>
          <w:b w:val="0"/>
          <w:bCs w:val="0"/>
          <w:rtl/>
        </w:rPr>
        <w:t xml:space="preserve"> כִּי מִשֹּׁרֶשׁ נָחָשׁ יֵצֵא צֶפַע, מָה אָרְחֵיהּ דְּחִוְיָא לְמִקְטַל, כַּךְ דָּא קָטַל, וּלְבָתַר אִתְחַרַט, וּבְגִין דָּא </w:t>
      </w:r>
      <w:r>
        <w:rPr>
          <w:b w:val="0"/>
          <w:sz w:val="20"/>
          <w:szCs w:val="23"/>
          <w:rtl/>
        </w:rPr>
        <w:t>(בראשית ד טו)</w:t>
      </w:r>
      <w:r>
        <w:rPr>
          <w:b w:val="0"/>
          <w:bCs w:val="0"/>
          <w:rtl/>
        </w:rPr>
        <w:t xml:space="preserve"> וַיָּשֶׂם יהו''ה לְקַיִן אוֹת, אוֹת בְּרִית מִילָה, וּבְגִין דָּא אָמַר </w:t>
      </w:r>
      <w:r>
        <w:rPr>
          <w:b w:val="0"/>
          <w:sz w:val="20"/>
          <w:szCs w:val="23"/>
          <w:rtl/>
        </w:rPr>
        <w:t>(שם)</w:t>
      </w:r>
      <w:r>
        <w:rPr>
          <w:b w:val="0"/>
          <w:bCs w:val="0"/>
          <w:rtl/>
        </w:rPr>
        <w:t xml:space="preserve"> קָנִיתִי אִישׁ אֶת יהו''ה, וְאַף עַל גַּב דְּקַיִ''ן אִיהוּ זוּהֲמָא, </w:t>
      </w:r>
      <w:r>
        <w:rPr>
          <w:rStyle w:val="a7"/>
          <w:b w:val="0"/>
          <w:bCs w:val="0"/>
          <w:rtl/>
        </w:rPr>
        <w:footnoteReference w:id="5074"/>
      </w:r>
      <w:r>
        <w:rPr>
          <w:b w:val="0"/>
          <w:bCs w:val="0"/>
          <w:rtl/>
        </w:rPr>
        <w:t xml:space="preserve">יָכִיל לְמֶעֱבַד נָקִ''י, כְּגוֹן יִתְרוֹ דְאִתְּמַר בֵּיהּ </w:t>
      </w:r>
      <w:r>
        <w:rPr>
          <w:b w:val="0"/>
          <w:sz w:val="20"/>
          <w:szCs w:val="23"/>
          <w:rtl/>
        </w:rPr>
        <w:t>(שופטים א טז)</w:t>
      </w:r>
      <w:r>
        <w:rPr>
          <w:b w:val="0"/>
          <w:bCs w:val="0"/>
          <w:rtl/>
        </w:rPr>
        <w:t xml:space="preserve"> וּבְנֵי קֵנִי חוֹתֵן מֹשֶׁה.</w:t>
      </w:r>
    </w:p>
    <w:p w:rsidR="0020255E" w:rsidRDefault="0020255E" w:rsidP="0020255E">
      <w:pPr>
        <w:pStyle w:val="NormalWeb"/>
        <w:rPr>
          <w:b w:val="0"/>
          <w:bCs w:val="0"/>
          <w:rtl/>
        </w:rPr>
      </w:pPr>
      <w:r>
        <w:rPr>
          <w:rStyle w:val="a7"/>
          <w:b w:val="0"/>
          <w:bCs w:val="0"/>
          <w:rtl/>
        </w:rPr>
        <w:footnoteReference w:id="5075"/>
      </w:r>
      <w:r>
        <w:rPr>
          <w:b w:val="0"/>
          <w:bCs w:val="0"/>
          <w:rtl/>
        </w:rPr>
        <w:t xml:space="preserve">וְרָזָא דְמִלָּה הֲבֵל הֲבָלִים אָמַר קֹהֶלֶת, וְאָמְרוּ קַדְמָאִין אִית הֶבֶל וְאִית הֶבֶל, יֵשׁ צַדִּיקִים שֶׁמַּגִּיעַ אֲלֵיהֶם כְּמַעֲשֵׂה הָרְשָׁעִים וכו', </w:t>
      </w:r>
      <w:r>
        <w:rPr>
          <w:b w:val="0"/>
          <w:sz w:val="20"/>
          <w:szCs w:val="23"/>
          <w:rtl/>
        </w:rPr>
        <w:t>(קהלת ח יד)</w:t>
      </w:r>
      <w:r>
        <w:rPr>
          <w:b w:val="0"/>
          <w:bCs w:val="0"/>
          <w:rtl/>
        </w:rPr>
        <w:t xml:space="preserve"> אָמַרְתִּי שֶׁגַּם זֶה הָבֶל, הֶבֶל דִּימִינָא </w:t>
      </w:r>
      <w:r>
        <w:rPr>
          <w:rStyle w:val="a7"/>
          <w:b w:val="0"/>
          <w:bCs w:val="0"/>
          <w:rtl/>
        </w:rPr>
        <w:footnoteReference w:id="5076"/>
      </w:r>
      <w:r>
        <w:rPr>
          <w:b w:val="0"/>
          <w:bCs w:val="0"/>
          <w:rtl/>
        </w:rPr>
        <w:t xml:space="preserve">ה' כָּרְסַיָּא, ו' שֵׁשׁ מַעֲלוֹת לַכִּסֵּא, ד' אַרְבַּע חֵיוָון, אִלֵּין הֲבָלִים אִינוּן לְבוּשָׁא לְתִפְאֶרֶת </w:t>
      </w:r>
      <w:r>
        <w:rPr>
          <w:rStyle w:val="a7"/>
          <w:b w:val="0"/>
          <w:bCs w:val="0"/>
          <w:rtl/>
        </w:rPr>
        <w:footnoteReference w:id="5077"/>
      </w:r>
      <w:r>
        <w:rPr>
          <w:b w:val="0"/>
          <w:bCs w:val="0"/>
          <w:rtl/>
        </w:rPr>
        <w:t xml:space="preserve">וּמַלְכוּת, דְּאִינוּן, ו' קוֹל, ה' תַּתָּאָה דִבּוּר, דְּאִינוּן ו"ק, קוֹל וְדִבּוּר, י''ה כְּלִילָן, י' בְּאַוִּיר, ה' עילאה בַּהֶבֶל דְּסָלִיק, וְכֹלָּא אִתְכְּלִיל בְּפוּמָא דְבַר נַשׁ דְּצַלִּי צְלוֹתָא אוֹ דְעָסִיק בְּאוֹרַיְיתָא, אֲבָל הֲבָלִים אָחֳרָנִין דְּאִתְעֲבִידָן בְּאַרְעָא, סָלְקִין בְּאַוִּיר דְּהַאי עָלְמָא בְּקוֹל וְדִבּוּר דְּחוֹל, וְיִשְׂרָאֵל מְצַלִּין בְּהוֹן הַמַּבְדִּיל בֵּין קֹדֶשׁ לְחוֹל, וְאִית אָחֳרָנִין דְּאִתְּמַר בְּהוֹן </w:t>
      </w:r>
      <w:r>
        <w:rPr>
          <w:b w:val="0"/>
          <w:sz w:val="20"/>
          <w:szCs w:val="23"/>
          <w:rtl/>
        </w:rPr>
        <w:t>(ירמיה י טו)</w:t>
      </w:r>
      <w:r>
        <w:rPr>
          <w:b w:val="0"/>
          <w:bCs w:val="0"/>
          <w:rtl/>
        </w:rPr>
        <w:t xml:space="preserve"> הֶבֶל הֵמָּה מַעֲשֵׂה תַּעְתּוּעִים, וְאִינוּן הֲבָלִים וְקוֹל וְדִבּוּר דְּנִבְלוּת הַפֶּה, אִינוּן מִסִּטְרָא דֶאֱלֹהִים אֲחֵרִים מְמַנָּן דִּשְׁאָר עַמִּין דְּאִינוּן סמא''ל וְנָחָשׁ, עֲלַיְיהוּ אִתְּמַר בְּהַבְדָּלָה וּבֵין יִשְׂרָאֵל לְגוֹיִם, כָּל חַד כְּפוּם עוֹבָדוֹי כַּךְ בָּנֵי בִנְיָנָא, </w:t>
      </w:r>
      <w:r>
        <w:rPr>
          <w:b w:val="0"/>
          <w:sz w:val="20"/>
          <w:szCs w:val="23"/>
          <w:rtl/>
        </w:rPr>
        <w:t>(קהלת ז יד)</w:t>
      </w:r>
      <w:r>
        <w:rPr>
          <w:b w:val="0"/>
          <w:bCs w:val="0"/>
          <w:rtl/>
        </w:rPr>
        <w:t xml:space="preserve"> דְּזֶה לְעְִמַּת זֶה עָשָׂה הָאלהי''ם.</w:t>
      </w:r>
    </w:p>
    <w:p w:rsidR="0020255E" w:rsidRDefault="0020255E" w:rsidP="0020255E">
      <w:pPr>
        <w:pStyle w:val="NormalWeb"/>
        <w:rPr>
          <w:b w:val="0"/>
          <w:bCs w:val="0"/>
          <w:rtl/>
        </w:rPr>
      </w:pPr>
      <w:r>
        <w:rPr>
          <w:rStyle w:val="a7"/>
          <w:b w:val="0"/>
          <w:bCs w:val="0"/>
          <w:rtl/>
        </w:rPr>
        <w:footnoteReference w:id="5078"/>
      </w:r>
      <w:r>
        <w:rPr>
          <w:b w:val="0"/>
          <w:bCs w:val="0"/>
          <w:rtl/>
        </w:rPr>
        <w:t xml:space="preserve">וְתָא חֲזִי מָאן דְּבִנְיָינָא דִילֵיהּ לְעִילָא בְסִטְרָא דְּדַכְיוּ, בְכָל אִלֵּין הֲבָלִים דְּאוֹרַיְיתָא וּצְלוֹתָא, עֲלֵיהּ אָמַר קְרָא </w:t>
      </w:r>
      <w:r>
        <w:rPr>
          <w:b w:val="0"/>
          <w:sz w:val="20"/>
          <w:szCs w:val="23"/>
          <w:rtl/>
        </w:rPr>
        <w:t>(ישעיה לז טז)</w:t>
      </w:r>
      <w:r>
        <w:rPr>
          <w:b w:val="0"/>
          <w:bCs w:val="0"/>
          <w:rtl/>
        </w:rPr>
        <w:t xml:space="preserve"> וָאָשִׂים דְּבָרַי בְּפִיךָ וכו' וְלֵאמֹר לְצִיּוֹן עַמִּי אָתָּה, וְהָא אוּקְמוּהוּ אַל תִּקְרֵי עַמִּי, אֶלָּא עִמִּי, מָה אֲנָא בְמִלּוּלָא דִילִי עֲבָדִית שְׁמַיָּא וְאַרְעָא כְּמָה דְאַתְּ אָמַר </w:t>
      </w:r>
      <w:r>
        <w:rPr>
          <w:b w:val="0"/>
          <w:sz w:val="20"/>
          <w:szCs w:val="23"/>
          <w:rtl/>
        </w:rPr>
        <w:t>(תהלים לג ו)</w:t>
      </w:r>
      <w:r>
        <w:rPr>
          <w:b w:val="0"/>
          <w:bCs w:val="0"/>
          <w:rtl/>
        </w:rPr>
        <w:t xml:space="preserve"> בִּדְבַר יהו''ה שָׁמַיִם נַעֲשׂוּ, כַּךְ אַנְתְּ בְּשׁוּתָּפוּ עִמִּי תַעֲבֵיד בְּמִלּוּלָא, אֲבָל אָחֳרָנִין דְּמַפְּקִין מִפּוּמַיְיהוּ הֲבָלִים דִּשְׁבוּעָה, עֲלַיְיהוּ אִתְּמַר </w:t>
      </w:r>
      <w:r>
        <w:rPr>
          <w:b w:val="0"/>
          <w:sz w:val="20"/>
          <w:szCs w:val="23"/>
          <w:rtl/>
        </w:rPr>
        <w:t>(משלי ז כז)</w:t>
      </w:r>
      <w:r>
        <w:rPr>
          <w:b w:val="0"/>
          <w:bCs w:val="0"/>
          <w:rtl/>
        </w:rPr>
        <w:t xml:space="preserve"> כִּי רַבִּים חֲלָלִים הִפִּילָה, וְאִלֵּין אִתְקְרִיאוּ חֲלָלִים, </w:t>
      </w:r>
      <w:r>
        <w:rPr>
          <w:rStyle w:val="a7"/>
          <w:b w:val="0"/>
          <w:bCs w:val="0"/>
          <w:rtl/>
        </w:rPr>
        <w:footnoteReference w:id="5079"/>
      </w:r>
      <w:r>
        <w:rPr>
          <w:b w:val="0"/>
          <w:bCs w:val="0"/>
          <w:rtl/>
        </w:rPr>
        <w:t xml:space="preserve">דִּמְחַלְּלִין שֵׁם יהו''ה, וְנָפְקִין הֲבָלִים מִפּוּמַיְיהוּ וְקָלָא וְדִבּוּרָא לְשִׁקְרָא וְאוֹמָאָה לְשִׁקְרָא, וְדָכְרִין שְׁמֵיהּ לְמַגָּנָא וּלְשִׁקְרָא, בְּהַהוּא שְׁמָא דְנָפְקִין לְבַטָּלָא וּלְשִׁקְרָא בָּנִין לוֹן בִּנְיָנִין דְּבַטְלִין לוֹן מֵעָלְמָא, הֲדָא הוּא דִכְתִיב </w:t>
      </w:r>
      <w:r>
        <w:rPr>
          <w:b w:val="0"/>
          <w:sz w:val="20"/>
          <w:szCs w:val="23"/>
          <w:rtl/>
        </w:rPr>
        <w:t>(ירמיה ב ז)</w:t>
      </w:r>
      <w:r>
        <w:rPr>
          <w:b w:val="0"/>
          <w:bCs w:val="0"/>
          <w:rtl/>
        </w:rPr>
        <w:t xml:space="preserve"> לַשָּׁוְא הִכֵּתִי אֶת בְּנֵיכֶם, וַוי לוֹן לִבְנֵי נָשָׁא דְנָפְקִין מִפּוּמַיְיהוּ מִלּוּלִין וְאוֹמָאִין דְּשִׁקְרָא, טַב לוֹן דְּלָא יֵתוּן לְעָלְמָא, קָמוּ חַבְרַיָּא כֻּלְּהוּ וְאָמְרוּ רַחֲמָנָא לְשֵׁזְבָן רַחֲמָנָא לְשֵׁזְבָן.</w:t>
      </w:r>
    </w:p>
    <w:p w:rsidR="0020255E" w:rsidRDefault="0020255E" w:rsidP="0020255E">
      <w:pPr>
        <w:pStyle w:val="aa"/>
        <w:spacing w:after="40"/>
        <w:rPr>
          <w:rtl/>
        </w:rPr>
      </w:pPr>
      <w:r>
        <w:rPr>
          <w:rtl/>
        </w:rPr>
        <w:t xml:space="preserve">[תיקוני זוהר - דף קיז ע''ב] </w:t>
      </w:r>
    </w:p>
    <w:p w:rsidR="0020255E" w:rsidRDefault="0020255E" w:rsidP="0020255E">
      <w:pPr>
        <w:pStyle w:val="NormalWeb"/>
        <w:rPr>
          <w:b w:val="0"/>
          <w:bCs w:val="0"/>
          <w:rtl/>
        </w:rPr>
      </w:pPr>
      <w:r>
        <w:rPr>
          <w:rStyle w:val="a7"/>
          <w:b w:val="0"/>
          <w:bCs w:val="0"/>
          <w:rtl/>
        </w:rPr>
        <w:footnoteReference w:id="5080"/>
      </w:r>
      <w:r>
        <w:rPr>
          <w:b w:val="0"/>
          <w:bCs w:val="0"/>
          <w:rtl/>
        </w:rPr>
        <w:t xml:space="preserve">אָמַר רַבִּי שִׁמְעוֹן, רַבָּנָן, כָּל אִלֵּין בִּנְיָנִין תַּלְיָין בְּמַחֲשָׁבָה, כְּמָה דְאַשְׁכַּחְנָא בְּקַיִן וְהֶבֶל, קַיִן הָיָה עוֹבֵד אֲדָמָה וּמַיְיתֵי בְּקָרְבָּנָא פִּשְׁתִּים, מֵהַהוּא סִטְרָא דְעֶרְוָה, הֲוָה מַחֲשָׁבָה לְקָרְבָא קַמֵּי קוּדְשָׁא בְּרִיךְ הוּא עֶרְוָה, וּמִנַּיִן דְּפִשְׁתִּים אִיהוּ מִסִּטְרָא דְעֶרְוָה שֶׁנֶּאֱמַר </w:t>
      </w:r>
      <w:r>
        <w:rPr>
          <w:b w:val="0"/>
          <w:sz w:val="20"/>
          <w:szCs w:val="23"/>
          <w:rtl/>
        </w:rPr>
        <w:t>(שמות כח מב)</w:t>
      </w:r>
      <w:r>
        <w:rPr>
          <w:b w:val="0"/>
          <w:bCs w:val="0"/>
          <w:rtl/>
        </w:rPr>
        <w:t xml:space="preserve"> וַעֲשֵׂה לָהֶם מִכְנְסֵי בָד לְכַסּוֹת בְּשַׂר עֶרְוָה, הֶבֶל הֲוָה רוֹעֶה צֹאן, קָרִיב קָרְבָּנָא מִבְּכוֹרוֹת צֹאנוֹ, הֲדָא הוּא דִכְתִיב </w:t>
      </w:r>
      <w:r>
        <w:rPr>
          <w:b w:val="0"/>
          <w:sz w:val="20"/>
          <w:szCs w:val="23"/>
          <w:rtl/>
        </w:rPr>
        <w:t>(בראשית ד ד)</w:t>
      </w:r>
      <w:r>
        <w:rPr>
          <w:b w:val="0"/>
          <w:bCs w:val="0"/>
          <w:rtl/>
        </w:rPr>
        <w:t xml:space="preserve"> וְהֶבֶל הֵבִיא גַם הוּא מִבְּכוֹרוֹת צֹאנוֹ, מַחֲשַׁבְתֵּיהּ הֲוָה בְהַהוּא אֲתַר דְּאִתְּמַר בֵּיהּ, </w:t>
      </w:r>
      <w:r>
        <w:rPr>
          <w:b w:val="0"/>
          <w:sz w:val="20"/>
          <w:szCs w:val="23"/>
          <w:rtl/>
        </w:rPr>
        <w:t>(דף קיז ע''ב) (דניאל ז ט)</w:t>
      </w:r>
      <w:r>
        <w:rPr>
          <w:b w:val="0"/>
          <w:bCs w:val="0"/>
          <w:rtl/>
        </w:rPr>
        <w:t xml:space="preserve"> וְעַתִּיק יוֹמִין יְתִיב לְבוּשֵׁהּ כִּתְלָג חִוָּור וּשְׂעַר רֵאשֵׁהּ כַּעֲמַר נְקֵא, וְקוּדְשָׁא בְּרִיךְ הוּא מַחֲשַׁבְתֵּיהּ טָבָא </w:t>
      </w:r>
      <w:r>
        <w:rPr>
          <w:rStyle w:val="a7"/>
          <w:b w:val="0"/>
          <w:bCs w:val="0"/>
          <w:rtl/>
        </w:rPr>
        <w:footnoteReference w:id="5081"/>
      </w:r>
      <w:r>
        <w:rPr>
          <w:b w:val="0"/>
          <w:bCs w:val="0"/>
          <w:rtl/>
        </w:rPr>
        <w:t xml:space="preserve">צָרְפָה לְמַעֲשֶׂה, וּבְגִין דָּא קַבִּיל לֵיהּ, וּמַחֲשָׁבָה רָעָה לָא מְצָרְפָה לְמַעֲשֶׂה, וְדָא הוּא קָרְבָּנָא דְקַיִן, וּבְגִין דָּא חָרָה לוֹ, מִיָּד וַיֹּאמֶר יהו''ה לְקַיִן לָמָּה חָרָה לָךְ וכו', הֲלֹא אִם תֵּטִיב שְׂאֵת </w:t>
      </w:r>
      <w:r>
        <w:rPr>
          <w:b w:val="0"/>
          <w:sz w:val="20"/>
          <w:szCs w:val="23"/>
          <w:rtl/>
        </w:rPr>
        <w:t>(בראשית ד ו)</w:t>
      </w:r>
      <w:r>
        <w:rPr>
          <w:b w:val="0"/>
          <w:bCs w:val="0"/>
          <w:rtl/>
        </w:rPr>
        <w:t xml:space="preserve">, אִם תֵּטִיב עוֹבָדָךְ שְׂאֵת, אֲנָא מַאֲרִיךְ לָךְ וְאֶטּוֹל </w:t>
      </w:r>
      <w:r>
        <w:rPr>
          <w:rStyle w:val="a7"/>
          <w:b w:val="0"/>
          <w:bCs w:val="0"/>
          <w:rtl/>
        </w:rPr>
        <w:footnoteReference w:id="5082"/>
      </w:r>
      <w:r>
        <w:rPr>
          <w:b w:val="0"/>
          <w:bCs w:val="0"/>
          <w:rtl/>
        </w:rPr>
        <w:t xml:space="preserve">מַטּוּלָךְ עָלַי, וּמְנָלָן דִּשְׂאֵת מַטּוּלָא דְחוֹבִין הוּא, דִּכְתִיב </w:t>
      </w:r>
      <w:r>
        <w:rPr>
          <w:b w:val="0"/>
          <w:sz w:val="20"/>
          <w:szCs w:val="23"/>
          <w:rtl/>
        </w:rPr>
        <w:t>(ישעיה א יד)</w:t>
      </w:r>
      <w:r>
        <w:rPr>
          <w:b w:val="0"/>
          <w:bCs w:val="0"/>
          <w:rtl/>
        </w:rPr>
        <w:t xml:space="preserve"> נִלְאֵתִי נְשׂוֹא, וְאִם לֹא תֵטִיב עוֹבָדָךְ לַפֶּתַח חַטָּאת רוֹבֵץ, וְדָא פֶתַח דְּגֵיהִנָּם, דְּתַמָּן חוֹבִין דִּילָךְ שָׁלְטִין עֲלָךְ, וְאִם תֵּטִיב עוֹבָדָךְ אַתָּה תִּמְשׁוֹל בּוֹ.</w:t>
      </w:r>
    </w:p>
    <w:p w:rsidR="0020255E" w:rsidRDefault="0020255E" w:rsidP="0020255E">
      <w:pPr>
        <w:pStyle w:val="NormalWeb"/>
        <w:rPr>
          <w:b w:val="0"/>
          <w:bCs w:val="0"/>
          <w:rtl/>
        </w:rPr>
      </w:pPr>
      <w:r>
        <w:rPr>
          <w:b w:val="0"/>
          <w:bCs w:val="0"/>
          <w:rtl/>
        </w:rPr>
        <w:t xml:space="preserve">רַשִּׁיעַיָּא לָא שַׁלִּיט בְּהוֹן מוּסָר אֶלָּא נָטְרִין דְּבָבוּ, כְּגַוְונָא דְעִשָׂו וַיִּשְׂטֹם עִשָׂו אֶת יַעֲקֹב </w:t>
      </w:r>
      <w:r>
        <w:rPr>
          <w:b w:val="0"/>
          <w:sz w:val="20"/>
          <w:szCs w:val="23"/>
          <w:rtl/>
        </w:rPr>
        <w:t>(בראשית כז מא)</w:t>
      </w:r>
      <w:r>
        <w:rPr>
          <w:b w:val="0"/>
          <w:bCs w:val="0"/>
          <w:rtl/>
        </w:rPr>
        <w:t xml:space="preserve">, יַעֲקֹב כְּגַוְונָא דְהֶבֶל, וְעִשָׂו כְּגַוְונָא דְקַיִן, כְּמָה דְאִתְּמַר בְּיַעֲקֹב עִם מְמַנָּא דְעִשָׂו וַיֵּאָבֵק אִישׁ עִמּוֹ </w:t>
      </w:r>
      <w:r>
        <w:rPr>
          <w:b w:val="0"/>
          <w:sz w:val="20"/>
          <w:szCs w:val="23"/>
          <w:rtl/>
        </w:rPr>
        <w:t>(בראשית לב כה)</w:t>
      </w:r>
      <w:r>
        <w:rPr>
          <w:b w:val="0"/>
          <w:bCs w:val="0"/>
          <w:rtl/>
        </w:rPr>
        <w:t xml:space="preserve">, כְּגַוְונָא דָא הֲוָה קַיִן וְהֶבֶל, וְנָצַח הֶבֶל לְקַיִן, וְאִיהוּ מִסִּטְרָא דְרַחֲמֵי דְחַיִּיס עֲלוֹי וְלָא בָעָא לְמִקְטְלֵיהּ, וְקָם הוּא וְקָטְלֵיהּ. </w:t>
      </w:r>
    </w:p>
    <w:p w:rsidR="0020255E" w:rsidRDefault="0020255E" w:rsidP="0020255E">
      <w:pPr>
        <w:pStyle w:val="NormalWeb"/>
        <w:rPr>
          <w:b w:val="0"/>
          <w:bCs w:val="0"/>
          <w:rtl/>
        </w:rPr>
      </w:pPr>
      <w:r>
        <w:rPr>
          <w:b w:val="0"/>
          <w:bCs w:val="0"/>
          <w:rtl/>
        </w:rPr>
        <w:t xml:space="preserve">וַיֹּאמֶר מֶה עָשִׂיתָ וכו' </w:t>
      </w:r>
      <w:r>
        <w:rPr>
          <w:b w:val="0"/>
          <w:sz w:val="20"/>
          <w:szCs w:val="23"/>
          <w:rtl/>
        </w:rPr>
        <w:t>(שם ד י)</w:t>
      </w:r>
      <w:r>
        <w:rPr>
          <w:b w:val="0"/>
          <w:bCs w:val="0"/>
          <w:rtl/>
        </w:rPr>
        <w:t xml:space="preserve"> חוֹבָא דָּא דִקְטַלְתְּ לַאֲחוּךְ לָא עֲבַדְתְּ לֵיהּ אֶלָּא </w:t>
      </w:r>
      <w:r>
        <w:rPr>
          <w:rStyle w:val="a7"/>
          <w:b w:val="0"/>
          <w:bCs w:val="0"/>
          <w:rtl/>
        </w:rPr>
        <w:footnoteReference w:id="5083"/>
      </w:r>
      <w:r>
        <w:rPr>
          <w:b w:val="0"/>
          <w:bCs w:val="0"/>
          <w:rtl/>
        </w:rPr>
        <w:t xml:space="preserve">לִשְׁמָא דְאִתְקְרִי מ''ה, </w:t>
      </w:r>
      <w:r>
        <w:rPr>
          <w:rStyle w:val="a7"/>
          <w:b w:val="0"/>
          <w:bCs w:val="0"/>
          <w:rtl/>
        </w:rPr>
        <w:footnoteReference w:id="5084"/>
      </w:r>
      <w:r>
        <w:rPr>
          <w:b w:val="0"/>
          <w:bCs w:val="0"/>
          <w:rtl/>
        </w:rPr>
        <w:t xml:space="preserve">מָ''ה אֲעִידֵךְ </w:t>
      </w:r>
      <w:r>
        <w:rPr>
          <w:b w:val="0"/>
          <w:sz w:val="20"/>
          <w:szCs w:val="23"/>
          <w:rtl/>
        </w:rPr>
        <w:t>(איכה ב יג)</w:t>
      </w:r>
      <w:r>
        <w:rPr>
          <w:b w:val="0"/>
          <w:bCs w:val="0"/>
          <w:rtl/>
        </w:rPr>
        <w:t xml:space="preserve"> וְאַסְהִיד עֲלָךְ, וְאִיהִי תָּבְעָה לָךְ, וְלָא עוֹד אֶלָּא </w:t>
      </w:r>
      <w:r>
        <w:rPr>
          <w:rStyle w:val="a7"/>
          <w:b w:val="0"/>
          <w:bCs w:val="0"/>
          <w:rtl/>
        </w:rPr>
        <w:footnoteReference w:id="5085"/>
      </w:r>
      <w:r>
        <w:rPr>
          <w:b w:val="0"/>
          <w:bCs w:val="0"/>
          <w:rtl/>
        </w:rPr>
        <w:t xml:space="preserve">מ''ה דְאִיהוּ אָדָם דְּעָבִיד לָךְ, גָּרַם דָּא </w:t>
      </w:r>
      <w:r>
        <w:rPr>
          <w:rStyle w:val="a7"/>
          <w:b w:val="0"/>
          <w:bCs w:val="0"/>
          <w:rtl/>
        </w:rPr>
        <w:footnoteReference w:id="5086"/>
      </w:r>
      <w:r>
        <w:rPr>
          <w:b w:val="0"/>
          <w:bCs w:val="0"/>
          <w:rtl/>
        </w:rPr>
        <w:t xml:space="preserve">דְּאַפִּיק מַלְאַךְ הַמָּוְת בָּךְ לְעָלְמָא, וְדָא אִיהוּ פּוֹקֵד עֲוֹן אָבוֹת עַל בָּנִים </w:t>
      </w:r>
      <w:r>
        <w:rPr>
          <w:b w:val="0"/>
          <w:sz w:val="20"/>
          <w:szCs w:val="23"/>
          <w:rtl/>
        </w:rPr>
        <w:t>(שמות כ ה)</w:t>
      </w:r>
      <w:r>
        <w:rPr>
          <w:b w:val="0"/>
          <w:bCs w:val="0"/>
          <w:rtl/>
        </w:rPr>
        <w:t xml:space="preserve">, וְהָא אִתְּמַר אִם אוֹחֲזִין מַעֲשֵׂה אֲבוֹתֵיהֶם בִּידֵיהֶם, אֶלָּא כַּךְ הֲוָה עוֹבְדֵי אֲבוּהָ הֲוָה בִידֵיהּ, עַל סִבָּה דְאִשָּׁה הֲוָה, כְּמָה דְאִתְּמַר וַיְהִי בִּהְיוֹתָם בַּשָּׁדֶה, וְאֵין שָׂדֶה אֶלָּא אִתְּתָא, אִתְּתָא גָרְמַת מִיתָה לְאָדָם, </w:t>
      </w:r>
      <w:r>
        <w:rPr>
          <w:rStyle w:val="a7"/>
          <w:b w:val="0"/>
          <w:bCs w:val="0"/>
          <w:rtl/>
        </w:rPr>
        <w:footnoteReference w:id="5087"/>
      </w:r>
      <w:r>
        <w:rPr>
          <w:b w:val="0"/>
          <w:bCs w:val="0"/>
          <w:rtl/>
        </w:rPr>
        <w:t xml:space="preserve">וְגָרְמַת מִיתָה לְהֶבֶל, וְאִתְּתָא גָרְמַת דָא, עֲלָהּ אִתְּמַר </w:t>
      </w:r>
      <w:r>
        <w:rPr>
          <w:b w:val="0"/>
          <w:sz w:val="20"/>
          <w:szCs w:val="23"/>
          <w:rtl/>
        </w:rPr>
        <w:t>(משלי ה ה)</w:t>
      </w:r>
      <w:r>
        <w:rPr>
          <w:b w:val="0"/>
          <w:bCs w:val="0"/>
          <w:rtl/>
        </w:rPr>
        <w:t xml:space="preserve"> רַגְלֶיהָ יוֹרְדוֹת מָוֶת, וּבְקִנְאָה דִילַהּ קָטִל לֵיהּ.</w:t>
      </w:r>
    </w:p>
    <w:p w:rsidR="0020255E" w:rsidRDefault="0020255E" w:rsidP="0020255E">
      <w:pPr>
        <w:pStyle w:val="NormalWeb"/>
        <w:rPr>
          <w:b w:val="0"/>
          <w:bCs w:val="0"/>
          <w:rtl/>
        </w:rPr>
      </w:pPr>
      <w:r>
        <w:rPr>
          <w:b w:val="0"/>
          <w:bCs w:val="0"/>
          <w:rtl/>
        </w:rPr>
        <w:t>ויקם קין כו'</w:t>
      </w:r>
    </w:p>
    <w:p w:rsidR="0020255E" w:rsidRDefault="0020255E" w:rsidP="0020255E">
      <w:pPr>
        <w:pStyle w:val="NormalWeb"/>
        <w:rPr>
          <w:b w:val="0"/>
          <w:bCs w:val="0"/>
          <w:rtl/>
        </w:rPr>
      </w:pPr>
      <w:r>
        <w:rPr>
          <w:b w:val="0"/>
          <w:bCs w:val="0"/>
          <w:rtl/>
        </w:rPr>
        <w:t xml:space="preserve">וַיֹּאמֶר קוֹל דְּמֵי אָחִיךָ צוֹעֲקִים אֵלַי מִן הָאֲדָמָה </w:t>
      </w:r>
      <w:r>
        <w:rPr>
          <w:b w:val="0"/>
          <w:sz w:val="20"/>
          <w:szCs w:val="23"/>
          <w:rtl/>
        </w:rPr>
        <w:t>(בראשית ד י)</w:t>
      </w:r>
      <w:r>
        <w:rPr>
          <w:b w:val="0"/>
          <w:bCs w:val="0"/>
          <w:rtl/>
        </w:rPr>
        <w:t xml:space="preserve">, </w:t>
      </w:r>
      <w:r>
        <w:rPr>
          <w:rStyle w:val="a7"/>
          <w:b w:val="0"/>
          <w:bCs w:val="0"/>
          <w:rtl/>
        </w:rPr>
        <w:footnoteReference w:id="5088"/>
      </w:r>
      <w:r>
        <w:rPr>
          <w:b w:val="0"/>
          <w:bCs w:val="0"/>
          <w:rtl/>
        </w:rPr>
        <w:t xml:space="preserve">אַנְתְּ הוּא בְרֵיהּ דְּחִוְיָא דְגָרַם מִיתָה לְאָדָם, דְּאִתְּמַר בֵּיהּ </w:t>
      </w:r>
      <w:r>
        <w:rPr>
          <w:b w:val="0"/>
          <w:sz w:val="20"/>
          <w:szCs w:val="23"/>
          <w:rtl/>
        </w:rPr>
        <w:t>(שם ג יד)</w:t>
      </w:r>
      <w:r>
        <w:rPr>
          <w:b w:val="0"/>
          <w:bCs w:val="0"/>
          <w:rtl/>
        </w:rPr>
        <w:t xml:space="preserve"> אָרוּר אַתָּה מִכָּל הַבְּהֵמָה, כַּךְ אִית לָךְ לְיַרְתָא מִנֵּיהּ, דְּעוֹבָדָא דִילֵיהּ בִּידָךְ, בְּגִין דָּא אָרוּר אַתָּה מִן הָאֲדָמָה אֲשֶׁר פָּצְתָה אֶת פִּיהָ, דָא הֲוָה אַרְעָא דְּלַיִּיט לָהּ קוּדְשָׁא בְּרִיךְ הוּא תֵּשַׁע לְוָוטִין, לַיִּיט לְקַיִן חַד לְאַשְׁלָמָא לַעֲשָׂרָה, וּבְגִין דָּא אָמַר </w:t>
      </w:r>
      <w:r>
        <w:rPr>
          <w:b w:val="0"/>
          <w:sz w:val="20"/>
          <w:szCs w:val="23"/>
          <w:rtl/>
        </w:rPr>
        <w:t>(שם יא)</w:t>
      </w:r>
      <w:r>
        <w:rPr>
          <w:b w:val="0"/>
          <w:bCs w:val="0"/>
          <w:rtl/>
        </w:rPr>
        <w:t xml:space="preserve"> אָרוּר אַתָּה מִן הָאֲדָמָה וכו', כִּי תַעֲבוֹד אֶת הָאֲדָמָה וכו' דִּתְּהֵא תָּשַׁשׁ חֵילָהָא לְגַבָּךְ, </w:t>
      </w:r>
      <w:r>
        <w:rPr>
          <w:rStyle w:val="a7"/>
          <w:b w:val="0"/>
          <w:bCs w:val="0"/>
          <w:rtl/>
        </w:rPr>
        <w:footnoteReference w:id="5089"/>
      </w:r>
      <w:r>
        <w:rPr>
          <w:b w:val="0"/>
          <w:bCs w:val="0"/>
          <w:rtl/>
        </w:rPr>
        <w:t>וְלָא יִפְּקוּן מִינָךְ מַלְכִין וְשַׁלִּיטִין.</w:t>
      </w:r>
    </w:p>
    <w:p w:rsidR="0020255E" w:rsidRDefault="0020255E" w:rsidP="0020255E">
      <w:pPr>
        <w:pStyle w:val="NormalWeb"/>
        <w:rPr>
          <w:b w:val="0"/>
          <w:bCs w:val="0"/>
          <w:rtl/>
        </w:rPr>
      </w:pPr>
      <w:r>
        <w:rPr>
          <w:b w:val="0"/>
          <w:bCs w:val="0"/>
          <w:rtl/>
        </w:rPr>
        <w:t xml:space="preserve">נָע וָנָד תִּהְיֶה בָאָרֶץ, דַּאֲנָא אֲמָרִית לְאָדָם וְיִרְדּוּ בִדְגַת הַיָּם וּבְעוֹף הַשָּׁמַיִם וּבַבְּהֵמָה </w:t>
      </w:r>
      <w:r>
        <w:rPr>
          <w:b w:val="0"/>
          <w:sz w:val="20"/>
          <w:szCs w:val="23"/>
          <w:rtl/>
        </w:rPr>
        <w:t>(שם א כו)</w:t>
      </w:r>
      <w:r>
        <w:rPr>
          <w:b w:val="0"/>
          <w:bCs w:val="0"/>
          <w:rtl/>
        </w:rPr>
        <w:t xml:space="preserve">, דְּאִנּוּן בְּנֵי נָשָׁא </w:t>
      </w:r>
      <w:r>
        <w:rPr>
          <w:rStyle w:val="a7"/>
          <w:b w:val="0"/>
          <w:bCs w:val="0"/>
          <w:rtl/>
        </w:rPr>
        <w:footnoteReference w:id="5090"/>
      </w:r>
      <w:r>
        <w:rPr>
          <w:b w:val="0"/>
          <w:bCs w:val="0"/>
          <w:rtl/>
        </w:rPr>
        <w:t xml:space="preserve">דְתַלְיָין בְּמַזָּלוֹת, דְּדַמְיָין לְחֵיוָון וּבְעִירָן וְעוֹפוֹת, כֻּלְּהוּ אָזְלוּ לְגַבָּךְ לְקַטְלָא לָךְ, וְאַנְתְּ תֵּזִיל </w:t>
      </w:r>
      <w:r>
        <w:rPr>
          <w:rStyle w:val="a7"/>
          <w:b w:val="0"/>
          <w:bCs w:val="0"/>
          <w:rtl/>
        </w:rPr>
        <w:footnoteReference w:id="5091"/>
      </w:r>
      <w:r>
        <w:rPr>
          <w:b w:val="0"/>
          <w:bCs w:val="0"/>
          <w:rtl/>
        </w:rPr>
        <w:t xml:space="preserve">נָע וָנָד מִקַּדְמָאֵי, נָ''ע וָנָ''ד </w:t>
      </w:r>
      <w:r>
        <w:rPr>
          <w:rStyle w:val="a7"/>
          <w:b w:val="0"/>
          <w:bCs w:val="0"/>
          <w:rtl/>
        </w:rPr>
        <w:footnoteReference w:id="5092"/>
      </w:r>
      <w:r>
        <w:rPr>
          <w:b w:val="0"/>
          <w:bCs w:val="0"/>
          <w:rtl/>
        </w:rPr>
        <w:t>עָוֹ''ן דָּ''ן, וְעוֹד נָע וָנָד בְּגִין דְּאַנְתְּ עָוֹ''ן דְּנִדָּ''ה, וּבַנִּדָּה אִתְעֲבִידַת דְּאִיהִי זוּהֲמָא דְהִטִּיל נָחָשׁ לְחַוָּה, בְּגִין דָּא נָע וָנָד תִּהְיֶה, וְעוֹד נָע בְּגִין דְּאַנְתְּ מִסִּטְרָא דְסמא''ל, נָד בְּגִין דְּאַנְתְּ מִסִּטְרָא דְנָחָשׁ, נָע בְּעָלְמָא דֵין, נָד בְּעָלְמָא דְאָתֵי, דְּאִינוּן שְׁכִינְתָּא עִלָּאָה וּשְׁכִינְתָּא תַּתָּאָה, דְּנָטְלִין תַּרְוַיְיהוּ נוּקְמָא מִינָךְ.</w:t>
      </w:r>
    </w:p>
    <w:p w:rsidR="0020255E" w:rsidRDefault="0020255E" w:rsidP="0020255E">
      <w:pPr>
        <w:pStyle w:val="aa"/>
        <w:spacing w:after="40"/>
        <w:rPr>
          <w:rtl/>
        </w:rPr>
      </w:pPr>
      <w:r>
        <w:rPr>
          <w:rtl/>
        </w:rPr>
        <w:t xml:space="preserve">[תיקוני זוהר - דף קיח ע''א] </w:t>
      </w:r>
    </w:p>
    <w:p w:rsidR="0020255E" w:rsidRDefault="0020255E" w:rsidP="0020255E">
      <w:pPr>
        <w:pStyle w:val="NormalWeb"/>
        <w:rPr>
          <w:b w:val="0"/>
          <w:bCs w:val="0"/>
          <w:rtl/>
        </w:rPr>
      </w:pPr>
      <w:r>
        <w:rPr>
          <w:rStyle w:val="a7"/>
          <w:b w:val="0"/>
          <w:bCs w:val="0"/>
          <w:rtl/>
        </w:rPr>
        <w:footnoteReference w:id="5093"/>
      </w:r>
      <w:r>
        <w:rPr>
          <w:b w:val="0"/>
          <w:bCs w:val="0"/>
          <w:rtl/>
        </w:rPr>
        <w:t xml:space="preserve">וּבְגִין דָּא כַּד שָׁמַע דְּבַאֲתַר עִלָּאָה דָא הֲוָה תַלְיָא הֶבֶל, מִיָּד וַיֹּאמֶר קַיִן אֶל יהו''ה גָּדוֹל עֲוֹנִי מִנְּשׂוֹא </w:t>
      </w:r>
      <w:r>
        <w:rPr>
          <w:b w:val="0"/>
          <w:sz w:val="20"/>
          <w:szCs w:val="23"/>
          <w:rtl/>
        </w:rPr>
        <w:t>(בראשית ד יג)</w:t>
      </w:r>
      <w:r>
        <w:rPr>
          <w:b w:val="0"/>
          <w:bCs w:val="0"/>
          <w:rtl/>
        </w:rPr>
        <w:t xml:space="preserve">, הָכָא תָב בִּתְיוּבְתָּא וְאִתְחַרַט, בְּגִין דָּא וַיָּשֶׂם יהו''ה לְקַיִן אוֹת </w:t>
      </w:r>
      <w:r>
        <w:rPr>
          <w:b w:val="0"/>
          <w:sz w:val="20"/>
          <w:szCs w:val="23"/>
          <w:rtl/>
        </w:rPr>
        <w:t>(שם טו)</w:t>
      </w:r>
      <w:r>
        <w:rPr>
          <w:b w:val="0"/>
          <w:bCs w:val="0"/>
          <w:rtl/>
        </w:rPr>
        <w:t xml:space="preserve">, הָכָא רָמַז אוֹת בְּרִית מִילָה דְקַבִּיל יִתְרוֹ, דְאִתְּמַר בֵּיהּ </w:t>
      </w:r>
      <w:r>
        <w:rPr>
          <w:b w:val="0"/>
          <w:sz w:val="20"/>
          <w:szCs w:val="23"/>
          <w:rtl/>
        </w:rPr>
        <w:t>(שופטים א טז)</w:t>
      </w:r>
      <w:r>
        <w:rPr>
          <w:b w:val="0"/>
          <w:bCs w:val="0"/>
          <w:rtl/>
        </w:rPr>
        <w:t xml:space="preserve"> וּבְנֵי קֵנִי חוֹתֵן מֹשֶׁה </w:t>
      </w:r>
      <w:r>
        <w:rPr>
          <w:rStyle w:val="a7"/>
          <w:b w:val="0"/>
          <w:bCs w:val="0"/>
          <w:rtl/>
        </w:rPr>
        <w:footnoteReference w:id="5094"/>
      </w:r>
      <w:r>
        <w:rPr>
          <w:b w:val="0"/>
          <w:bCs w:val="0"/>
          <w:rtl/>
        </w:rPr>
        <w:t xml:space="preserve">שֶׁנִּפְרַד מִקַּיִן, </w:t>
      </w:r>
      <w:r>
        <w:rPr>
          <w:b w:val="0"/>
          <w:sz w:val="20"/>
          <w:szCs w:val="23"/>
          <w:rtl/>
        </w:rPr>
        <w:t>(צ''ל (שם ד יא) וחבר הקני נפרד מקין)</w:t>
      </w:r>
      <w:r>
        <w:rPr>
          <w:b w:val="0"/>
          <w:bCs w:val="0"/>
          <w:rtl/>
        </w:rPr>
        <w:t xml:space="preserve">, וּבְיִתְרוֹ אִתְתַּקַּן קַיִן מֵחוֹבֵיהּ, וְעוֹד בְּהַהוּא זִמְנָא קַבִּיל לֵיהּ, בְּגִין דְּאַחֲזֵי לֵיהּ בְּנוֹי דְקֵנִי חוֹתֵן מֹשֶׁה דַהֲווֹ עֲתִידִין לְמֶהֱוִי בְּלִשְׁכַּת הַגָּזִית, </w:t>
      </w:r>
      <w:r>
        <w:rPr>
          <w:rStyle w:val="a7"/>
          <w:b w:val="0"/>
          <w:bCs w:val="0"/>
          <w:rtl/>
        </w:rPr>
        <w:footnoteReference w:id="5095"/>
      </w:r>
      <w:r>
        <w:rPr>
          <w:b w:val="0"/>
          <w:bCs w:val="0"/>
          <w:rtl/>
        </w:rPr>
        <w:t xml:space="preserve">אָמַר וְכִי לְחַיָּיבָא קַבִּיל קוּדְשָׁא בְּרִיךְ הוּא בִּתְשׁוּבָה, עַל אַחַת כַּמָּה וְכַמָּה לַצַּדִּיקַיָּיא, מִיָּד וַיֵּצֵא קַיִן מִלִּפְנֵי יהו''ה </w:t>
      </w:r>
      <w:r>
        <w:rPr>
          <w:b w:val="0"/>
          <w:sz w:val="20"/>
          <w:szCs w:val="23"/>
          <w:rtl/>
        </w:rPr>
        <w:t>(בראשית ד טז)</w:t>
      </w:r>
      <w:r>
        <w:rPr>
          <w:b w:val="0"/>
          <w:bCs w:val="0"/>
          <w:rtl/>
        </w:rPr>
        <w:t xml:space="preserve">, בְּהַאי נָפַק מִן דִּינָא, וְקַבִּיל עֲלֵיהּ </w:t>
      </w:r>
      <w:r>
        <w:rPr>
          <w:b w:val="0"/>
          <w:sz w:val="20"/>
          <w:szCs w:val="23"/>
          <w:rtl/>
        </w:rPr>
        <w:t xml:space="preserve">(דף קיח ע''א) </w:t>
      </w:r>
      <w:r>
        <w:rPr>
          <w:b w:val="0"/>
          <w:bCs w:val="0"/>
          <w:rtl/>
        </w:rPr>
        <w:t xml:space="preserve">כָּל מַה דְּאִתְגַּזַּר בֵּיהּ, דִּכְתִיב וַיֵּשֶׁב בְּאֶרֶץ נוֹד, מַה דְּאָמַר לֵיהּ נָד, </w:t>
      </w:r>
      <w:r>
        <w:rPr>
          <w:rStyle w:val="a7"/>
          <w:b w:val="0"/>
          <w:bCs w:val="0"/>
          <w:rtl/>
        </w:rPr>
        <w:footnoteReference w:id="5096"/>
      </w:r>
      <w:r>
        <w:rPr>
          <w:b w:val="0"/>
          <w:bCs w:val="0"/>
          <w:rtl/>
        </w:rPr>
        <w:t xml:space="preserve">שַׁוִּי עֲלֵיהּ ו' וְאִתְעֲבִיד נוֹד, וְדָא אִיהוּ דְאִתְּמַר בֵּיהּ וַיָּשֶׂם יהו''ה לְקַיִן אוֹת לְבִלְתִּי הַכּוֹת אוֹתוֹ, דְּאִם הֲוָה נָד אִתְּמַר בֵּיהּ </w:t>
      </w:r>
      <w:r>
        <w:rPr>
          <w:b w:val="0"/>
          <w:sz w:val="20"/>
          <w:szCs w:val="23"/>
          <w:rtl/>
        </w:rPr>
        <w:t>(שם)</w:t>
      </w:r>
      <w:r>
        <w:rPr>
          <w:b w:val="0"/>
          <w:bCs w:val="0"/>
          <w:rtl/>
        </w:rPr>
        <w:t xml:space="preserve"> וְהָיָה כָל מוֹצְאִי יַהַרְגֵנִי, וּבְגִין דְּתָב בִּתְיוּבְתָּא וְקַבִּיל עֲלֵיהּ אוֹת בְּרִית, שַׁוִּי עֲלֵיהּ אוֹת ו' לְשֵׁזָבָא לֵיהּ, וְלָא עוֹד אֶלָּא דְשַׁוִּי לֵיהּ קִדְמַת עִדֶן, </w:t>
      </w:r>
      <w:r>
        <w:rPr>
          <w:rStyle w:val="a7"/>
          <w:b w:val="0"/>
          <w:bCs w:val="0"/>
          <w:rtl/>
        </w:rPr>
        <w:footnoteReference w:id="5097"/>
      </w:r>
      <w:r>
        <w:rPr>
          <w:b w:val="0"/>
          <w:bCs w:val="0"/>
          <w:rtl/>
        </w:rPr>
        <w:t>דִּבְגִינֵיהּ זָכָה לְגַן עִדֶן.</w:t>
      </w:r>
    </w:p>
    <w:p w:rsidR="0020255E" w:rsidRDefault="0020255E" w:rsidP="0020255E">
      <w:pPr>
        <w:pStyle w:val="NormalWeb"/>
        <w:rPr>
          <w:b w:val="0"/>
          <w:bCs w:val="0"/>
          <w:rtl/>
        </w:rPr>
      </w:pPr>
      <w:r>
        <w:rPr>
          <w:rStyle w:val="a7"/>
          <w:b w:val="0"/>
          <w:bCs w:val="0"/>
          <w:rtl/>
        </w:rPr>
        <w:footnoteReference w:id="5098"/>
      </w:r>
      <w:r>
        <w:rPr>
          <w:b w:val="0"/>
          <w:bCs w:val="0"/>
          <w:rtl/>
        </w:rPr>
        <w:t xml:space="preserve">וַיֵּדַע קַיִן אֶת אִשְׁתּוֹ וַתַּהַר וַתֵּלֶד אֶת חֲנוֹךְ </w:t>
      </w:r>
      <w:r>
        <w:rPr>
          <w:b w:val="0"/>
          <w:sz w:val="20"/>
          <w:szCs w:val="23"/>
          <w:rtl/>
        </w:rPr>
        <w:t>(בראשית ד יז)</w:t>
      </w:r>
      <w:r>
        <w:rPr>
          <w:b w:val="0"/>
          <w:bCs w:val="0"/>
          <w:rtl/>
        </w:rPr>
        <w:t xml:space="preserve">, כָּל אִלֵּין תּוֹלָדִין מָנְעִין לֵיהּ לְאִתְרָעָא בְהוֹן, </w:t>
      </w:r>
      <w:r>
        <w:rPr>
          <w:rStyle w:val="a7"/>
          <w:b w:val="0"/>
          <w:bCs w:val="0"/>
          <w:rtl/>
        </w:rPr>
        <w:footnoteReference w:id="5099"/>
      </w:r>
      <w:r>
        <w:rPr>
          <w:b w:val="0"/>
          <w:bCs w:val="0"/>
          <w:rtl/>
        </w:rPr>
        <w:t xml:space="preserve">וְאִינוּן חֲנוֹךְ וְעִירָד וּמְחוּיָאֵל וּמְתוּשָׁאֵל וְלֶמֶךְ, וְלֶמֶךְ נָטִיל תְּרֵי נְשִׁין עָדָה וְצִלָּה, אִית חֲנוֹךְ לְטָב, חֲנוֹךְ לְנַעַר עַל פִּי דַרְכּוֹ, וְאִית חִנּוּכָא לְבִישׁ, וְדָּא יֵצֶר הָרָע, מְחַנֵּךְ לְבַר נַשׁ בְּחִנּוּכִין בִּישִׁין, עִירָד </w:t>
      </w:r>
      <w:r>
        <w:rPr>
          <w:rStyle w:val="a7"/>
          <w:b w:val="0"/>
          <w:bCs w:val="0"/>
          <w:rtl/>
        </w:rPr>
        <w:footnoteReference w:id="5100"/>
      </w:r>
      <w:r>
        <w:rPr>
          <w:b w:val="0"/>
          <w:bCs w:val="0"/>
          <w:rtl/>
        </w:rPr>
        <w:t xml:space="preserve">לְבָתַר אַעִיל רְעָדָה בְּבַר נַשׁ בְּאֵבָרִין דִּילֵיהּ, </w:t>
      </w:r>
      <w:r>
        <w:rPr>
          <w:rStyle w:val="a7"/>
          <w:b w:val="0"/>
          <w:bCs w:val="0"/>
          <w:rtl/>
        </w:rPr>
        <w:footnoteReference w:id="5101"/>
      </w:r>
      <w:r>
        <w:rPr>
          <w:b w:val="0"/>
          <w:bCs w:val="0"/>
          <w:rtl/>
        </w:rPr>
        <w:t xml:space="preserve">וּלְבָתַר דְּאַפִּיל לְבַר נַשׁ בְּחוֹבִין, אַלְשִׁין עֲלֵיהּ וְאַחֲזֵי לְאֵ''ל כָּל מַה דְּעָבִיד, וְדָא אִיהוּ מְחוּיָאֵל מְחַוִּי אֵ''ל, וּלְבָתַר נָחִית וַתָּשַׁשׁ חֵילֵיהּ וְקָטִיל לֵיהּ, וְדָא אִיהוּ מְתוּשָׁאֵל דְּתַמָּן מָוֶת שְׁאֹל, וְאֵין מָוֶת אֶלָּא עֲנִיּוּת, </w:t>
      </w:r>
      <w:r>
        <w:rPr>
          <w:rStyle w:val="a7"/>
          <w:b w:val="0"/>
          <w:bCs w:val="0"/>
          <w:rtl/>
        </w:rPr>
        <w:footnoteReference w:id="5102"/>
      </w:r>
      <w:r>
        <w:rPr>
          <w:b w:val="0"/>
          <w:bCs w:val="0"/>
          <w:rtl/>
        </w:rPr>
        <w:t xml:space="preserve">וּלְבָתַר אַמְלִיךְ עֲלֵיהּ וְדָא אִיהוּ לֶמֶךְ אִתְהַפַּךְ עֲלֵיהּ לְמֶלֶךְ, </w:t>
      </w:r>
      <w:r>
        <w:rPr>
          <w:rStyle w:val="a7"/>
          <w:b w:val="0"/>
          <w:bCs w:val="0"/>
          <w:rtl/>
        </w:rPr>
        <w:footnoteReference w:id="5103"/>
      </w:r>
      <w:r>
        <w:rPr>
          <w:b w:val="0"/>
          <w:bCs w:val="0"/>
          <w:rtl/>
        </w:rPr>
        <w:t xml:space="preserve">וּתְרֵין נְשִׁין דִּילֵיהּ חַד עָדָה דְמֵעִיד עַל חוֹבוֹי דְבַר נַשׁ, וְתִנְיָינָא צִלָּה דְאָזִיל עֲלֵיהּ כְּצֵל, כְּמָה דְאַתְּ אָמַר </w:t>
      </w:r>
      <w:r>
        <w:rPr>
          <w:b w:val="0"/>
          <w:sz w:val="20"/>
          <w:szCs w:val="23"/>
          <w:rtl/>
        </w:rPr>
        <w:t>(איוב ח ט)</w:t>
      </w:r>
      <w:r>
        <w:rPr>
          <w:b w:val="0"/>
          <w:bCs w:val="0"/>
          <w:rtl/>
        </w:rPr>
        <w:t xml:space="preserve"> כִּי צֵל יָמֵינוּ עֲלֵי אָרֶץ, וּכְתִיב </w:t>
      </w:r>
      <w:r>
        <w:rPr>
          <w:b w:val="0"/>
          <w:sz w:val="20"/>
          <w:szCs w:val="23"/>
          <w:rtl/>
        </w:rPr>
        <w:t>(תהלים קמד ד)</w:t>
      </w:r>
      <w:r>
        <w:rPr>
          <w:b w:val="0"/>
          <w:bCs w:val="0"/>
          <w:rtl/>
        </w:rPr>
        <w:t xml:space="preserve"> יָמָיו כְּצֵל עוֹבֵר.</w:t>
      </w:r>
    </w:p>
    <w:p w:rsidR="0020255E" w:rsidRDefault="0020255E" w:rsidP="0020255E">
      <w:pPr>
        <w:pStyle w:val="NormalWeb"/>
        <w:rPr>
          <w:b w:val="0"/>
          <w:bCs w:val="0"/>
          <w:rtl/>
        </w:rPr>
      </w:pPr>
      <w:r>
        <w:rPr>
          <w:rStyle w:val="a7"/>
          <w:b w:val="0"/>
          <w:bCs w:val="0"/>
          <w:rtl/>
        </w:rPr>
        <w:footnoteReference w:id="5104"/>
      </w:r>
      <w:r>
        <w:rPr>
          <w:b w:val="0"/>
          <w:bCs w:val="0"/>
          <w:rtl/>
        </w:rPr>
        <w:t xml:space="preserve">וַתֵּלֶד עָדָה אֶת יָבָל </w:t>
      </w:r>
      <w:r>
        <w:rPr>
          <w:b w:val="0"/>
          <w:sz w:val="20"/>
          <w:szCs w:val="23"/>
          <w:rtl/>
        </w:rPr>
        <w:t>(בראשית ד כ)</w:t>
      </w:r>
      <w:r>
        <w:rPr>
          <w:b w:val="0"/>
          <w:bCs w:val="0"/>
          <w:rtl/>
        </w:rPr>
        <w:t xml:space="preserve">, בָּתַר דְּקָטִיל לֵיהּ בַּעֲנִיּוּתָא, </w:t>
      </w:r>
      <w:r>
        <w:rPr>
          <w:rStyle w:val="a7"/>
          <w:b w:val="0"/>
          <w:bCs w:val="0"/>
          <w:rtl/>
        </w:rPr>
        <w:footnoteReference w:id="5105"/>
      </w:r>
      <w:r>
        <w:rPr>
          <w:b w:val="0"/>
          <w:bCs w:val="0"/>
          <w:rtl/>
        </w:rPr>
        <w:t xml:space="preserve">וְשָׁלְטִין עֲלֵיהּ עָדָה וְצִלָּה, יָבָל, </w:t>
      </w:r>
      <w:r>
        <w:rPr>
          <w:rStyle w:val="a7"/>
          <w:b w:val="0"/>
          <w:bCs w:val="0"/>
          <w:rtl/>
        </w:rPr>
        <w:footnoteReference w:id="5106"/>
      </w:r>
      <w:r>
        <w:rPr>
          <w:b w:val="0"/>
          <w:bCs w:val="0"/>
          <w:rtl/>
        </w:rPr>
        <w:t xml:space="preserve">כְּגַוְונָא דִשְׁמַיָּא וְאַרְעָא דְאִתְּמַר בְּהוֹן </w:t>
      </w:r>
      <w:r>
        <w:rPr>
          <w:b w:val="0"/>
          <w:sz w:val="20"/>
          <w:szCs w:val="23"/>
          <w:rtl/>
        </w:rPr>
        <w:t>(ישעיה נא ו)</w:t>
      </w:r>
      <w:r>
        <w:rPr>
          <w:b w:val="0"/>
          <w:bCs w:val="0"/>
          <w:rtl/>
        </w:rPr>
        <w:t xml:space="preserve"> כִּי שָׁמַיִם כֶּעָשָׁן נִמְלָחוּ וְהָאָרֶץ כַּבֶּגֶד תִּבְלֶה, וְיָבָל אִיהוּ אֲבִי יוֹשֵׁב אֹהֶל וּמִקְנֶה, דְכַנִּישׁ מָמוֹנָא, וּלְבָתַר אִתְּמַר בֵּיהּ </w:t>
      </w:r>
      <w:r>
        <w:rPr>
          <w:b w:val="0"/>
          <w:sz w:val="20"/>
          <w:szCs w:val="23"/>
          <w:rtl/>
        </w:rPr>
        <w:t>(משלי יא ד)</w:t>
      </w:r>
      <w:r>
        <w:rPr>
          <w:b w:val="0"/>
          <w:bCs w:val="0"/>
          <w:rtl/>
        </w:rPr>
        <w:t xml:space="preserve"> לֹא יוֹעִיל הוֹן, וְהָא אִתְּמַר דְּשַׁלִּיט עֲלֵיהּ עֲנִיּוּתָא דְאִיהוּ מָוְת, וְלֵית עֲנִיּוּתָא קַמֵּי קוּדְשָׁא בְּרִיךְ הוּא כַּעֲנִיּוּתָא דְּאוֹרַיְיתָא, וְלֵית מָוְת כְּאִינוּן דְּעָבְרִין עַל פִּתְגָּמֵי אוֹרַיְיתָא דְאִתְקְרִיאוּ מֵתִים, וּבְגִין דָּא אָמַר קְרָא </w:t>
      </w:r>
      <w:r>
        <w:rPr>
          <w:b w:val="0"/>
          <w:sz w:val="20"/>
          <w:szCs w:val="23"/>
          <w:rtl/>
        </w:rPr>
        <w:t>(יחזקאל יא לב)</w:t>
      </w:r>
      <w:r>
        <w:rPr>
          <w:b w:val="0"/>
          <w:bCs w:val="0"/>
          <w:rtl/>
        </w:rPr>
        <w:t xml:space="preserve"> שׁוּבוּ וִחְיוּ, וַאֲחִי יָבָל הָיָה אֲבִי כָּל תּוֹפֵשׂ כִּנּוֹר וְעְִגָּב, הַמְנַגְּנִין בְּכָל מִינֵי נִגּוּנִין, וּבַר נַשׁ דְּחָדֵי בְּהוּ וְאִשְׁתַּדַּל בְּהַבְלֵי עָלְמָא, עֲלֵיהּ אָמַר קֹהֶלֶת </w:t>
      </w:r>
      <w:r>
        <w:rPr>
          <w:b w:val="0"/>
          <w:sz w:val="20"/>
          <w:szCs w:val="23"/>
          <w:rtl/>
        </w:rPr>
        <w:t>(קהלת יא ט)</w:t>
      </w:r>
      <w:r>
        <w:rPr>
          <w:b w:val="0"/>
          <w:bCs w:val="0"/>
          <w:rtl/>
        </w:rPr>
        <w:t xml:space="preserve"> שְׂמַח בָּחוּר בְּיַלְדוּתֶךָ וכו', וּלְבָתַר מָה אָמַר לֵיהּ </w:t>
      </w:r>
      <w:r>
        <w:rPr>
          <w:b w:val="0"/>
          <w:sz w:val="20"/>
          <w:szCs w:val="23"/>
          <w:rtl/>
        </w:rPr>
        <w:t>(שם)</w:t>
      </w:r>
      <w:r>
        <w:rPr>
          <w:b w:val="0"/>
          <w:bCs w:val="0"/>
          <w:rtl/>
        </w:rPr>
        <w:t xml:space="preserve"> וְדָע כִּי עַל כָּל אֵלֶּה יְבִיאֲךָ הָאלהי''ם בַּמִּשְׁפָּט, דַּעֲלַיְיהוּ אָמְרוּ מָארֵי מַתְנִיתִין, זִמְרָא בְּבֵיתָא חָרְבָּא בְּבֵיתָא, אֶלָּא וּשְׂמַחְתֶּם לִפְנֵי יהו''ה אלהיכ''ם </w:t>
      </w:r>
      <w:r>
        <w:rPr>
          <w:b w:val="0"/>
          <w:sz w:val="20"/>
          <w:szCs w:val="23"/>
          <w:rtl/>
        </w:rPr>
        <w:t>(ויקרא כג מ)</w:t>
      </w:r>
      <w:r>
        <w:rPr>
          <w:b w:val="0"/>
          <w:szCs w:val="23"/>
          <w:rtl/>
        </w:rPr>
        <w:t xml:space="preserve">, </w:t>
      </w:r>
      <w:r>
        <w:rPr>
          <w:rStyle w:val="Char"/>
          <w:rtl/>
        </w:rPr>
        <w:t>כְּגַוְונָא</w:t>
      </w:r>
      <w:r>
        <w:rPr>
          <w:b w:val="0"/>
          <w:szCs w:val="23"/>
          <w:rtl/>
        </w:rPr>
        <w:t xml:space="preserve"> </w:t>
      </w:r>
      <w:r>
        <w:rPr>
          <w:b w:val="0"/>
          <w:sz w:val="20"/>
          <w:szCs w:val="23"/>
          <w:rtl/>
        </w:rPr>
        <w:t>(דדוד)</w:t>
      </w:r>
      <w:r>
        <w:rPr>
          <w:b w:val="0"/>
          <w:szCs w:val="23"/>
          <w:rtl/>
        </w:rPr>
        <w:t xml:space="preserve"> </w:t>
      </w:r>
      <w:r>
        <w:rPr>
          <w:rStyle w:val="Char"/>
          <w:rtl/>
        </w:rPr>
        <w:t>דְאִתְּמַר</w:t>
      </w:r>
      <w:r>
        <w:rPr>
          <w:b w:val="0"/>
          <w:szCs w:val="23"/>
          <w:rtl/>
        </w:rPr>
        <w:t xml:space="preserve"> </w:t>
      </w:r>
      <w:r>
        <w:rPr>
          <w:b w:val="0"/>
          <w:sz w:val="20"/>
          <w:szCs w:val="23"/>
          <w:rtl/>
        </w:rPr>
        <w:t>(ביה)</w:t>
      </w:r>
      <w:r>
        <w:rPr>
          <w:b w:val="0"/>
          <w:szCs w:val="23"/>
          <w:rtl/>
        </w:rPr>
        <w:t xml:space="preserve"> </w:t>
      </w:r>
      <w:r>
        <w:rPr>
          <w:b w:val="0"/>
          <w:sz w:val="20"/>
          <w:szCs w:val="23"/>
          <w:rtl/>
        </w:rPr>
        <w:t>(מלכים ב ג טו)</w:t>
      </w:r>
      <w:r>
        <w:rPr>
          <w:b w:val="0"/>
          <w:bCs w:val="0"/>
          <w:rtl/>
        </w:rPr>
        <w:t xml:space="preserve"> וְהָיָה כְּנַגֵּן הַמְּנַגֵּן וַתְּהִי עָלָיו יַד יהו''ה.</w:t>
      </w:r>
    </w:p>
    <w:p w:rsidR="0020255E" w:rsidRDefault="0020255E" w:rsidP="0020255E">
      <w:pPr>
        <w:pStyle w:val="NormalWeb"/>
        <w:rPr>
          <w:b w:val="0"/>
          <w:bCs w:val="0"/>
          <w:rtl/>
        </w:rPr>
      </w:pPr>
      <w:r>
        <w:rPr>
          <w:b w:val="0"/>
          <w:bCs w:val="0"/>
          <w:rtl/>
        </w:rPr>
        <w:t xml:space="preserve">וְצִלָּה גַם הִיא יָלְדָה אֶת תּוּבַל קַיִן, לוֹטֵשׁ כָּל חֹרֵשׁ נְחשֶׁת וּבַרְזֶל </w:t>
      </w:r>
      <w:r>
        <w:rPr>
          <w:b w:val="0"/>
          <w:sz w:val="20"/>
          <w:szCs w:val="23"/>
          <w:rtl/>
        </w:rPr>
        <w:t>(בראשית ד כב)</w:t>
      </w:r>
      <w:r>
        <w:rPr>
          <w:b w:val="0"/>
          <w:bCs w:val="0"/>
          <w:rtl/>
        </w:rPr>
        <w:t xml:space="preserve">, </w:t>
      </w:r>
      <w:r>
        <w:rPr>
          <w:rStyle w:val="a7"/>
          <w:b w:val="0"/>
          <w:bCs w:val="0"/>
          <w:rtl/>
        </w:rPr>
        <w:footnoteReference w:id="5107"/>
      </w:r>
      <w:r>
        <w:rPr>
          <w:b w:val="0"/>
          <w:bCs w:val="0"/>
          <w:rtl/>
        </w:rPr>
        <w:t xml:space="preserve">דָּא יֵצֶר הָרָע, דְּאִתְּמַר בֵּיהּ אִם יִצְרָךְ מִתְגַּבֵּר עֲלָךְ מָשְׁכֵהוּ לְבֵית הַמֶּדְרָשׁ וכו', </w:t>
      </w:r>
      <w:r>
        <w:rPr>
          <w:rStyle w:val="a7"/>
          <w:b w:val="0"/>
          <w:bCs w:val="0"/>
          <w:rtl/>
        </w:rPr>
        <w:footnoteReference w:id="5108"/>
      </w:r>
      <w:r>
        <w:rPr>
          <w:b w:val="0"/>
          <w:bCs w:val="0"/>
          <w:rtl/>
        </w:rPr>
        <w:t xml:space="preserve">וַאֲחוֹת תּוּבַל קַיִן נַעֲמָ''ה דָא אִימָּן שֶׁל שֵׁדִים, </w:t>
      </w:r>
      <w:r>
        <w:rPr>
          <w:rStyle w:val="a7"/>
          <w:b w:val="0"/>
          <w:bCs w:val="0"/>
          <w:rtl/>
        </w:rPr>
        <w:footnoteReference w:id="5109"/>
      </w:r>
      <w:r>
        <w:rPr>
          <w:b w:val="0"/>
          <w:bCs w:val="0"/>
          <w:rtl/>
        </w:rPr>
        <w:t xml:space="preserve">וְלֶמֶךְ בְּשַׁעְתָּא דְשַׁלִּיט עַל בַּר נַשׁ וְאִיהִי בֵּיהּ תַּקִּיף כְּאַבְנָא וּכְפַרְזְלָא, וְלָא עָסִיק בְּאוֹרַיְיתָא, שַׁלִּיט עֲלֵיהּ וְקָטִיל לֵיהּ, וְעָבִיד בֵּיהּ פֶּצַע וְחַבּוּרָה, כְּמָה דְאַתְּ אָמַר </w:t>
      </w:r>
      <w:r>
        <w:rPr>
          <w:b w:val="0"/>
          <w:sz w:val="20"/>
          <w:szCs w:val="23"/>
          <w:rtl/>
        </w:rPr>
        <w:t>(שם כג)</w:t>
      </w:r>
      <w:r>
        <w:rPr>
          <w:b w:val="0"/>
          <w:bCs w:val="0"/>
          <w:rtl/>
        </w:rPr>
        <w:t xml:space="preserve"> כִּי אִישׁ הָרַגְתִּי לְפִצְעִי וְיֶלֶד לְחַבּוּרָתִי, בְּהַהוּא זִמְנָא עָתִיד לְנַטְלָא קוּדְשָׁא בְּרִיךְ הוּא נוּקְמָא מִתַּרְוַיְיהוּ, הֲדָא הוּא דִכְתִיב </w:t>
      </w:r>
      <w:r>
        <w:rPr>
          <w:b w:val="0"/>
          <w:sz w:val="20"/>
          <w:szCs w:val="23"/>
          <w:rtl/>
        </w:rPr>
        <w:t>(שם)</w:t>
      </w:r>
      <w:r>
        <w:rPr>
          <w:b w:val="0"/>
          <w:bCs w:val="0"/>
          <w:rtl/>
        </w:rPr>
        <w:t xml:space="preserve"> כִּי שִׁבְעָתַיִם יוּקַם קָיִן וְלֶמֶךְ שִׁבְעִים וְשִׁבְעָה, הֲדָא הוּא דִכְתִיב </w:t>
      </w:r>
      <w:r>
        <w:rPr>
          <w:b w:val="0"/>
          <w:sz w:val="20"/>
          <w:szCs w:val="23"/>
          <w:rtl/>
        </w:rPr>
        <w:t>(ישעיה כה ח)</w:t>
      </w:r>
      <w:r>
        <w:rPr>
          <w:b w:val="0"/>
          <w:bCs w:val="0"/>
          <w:rtl/>
        </w:rPr>
        <w:t xml:space="preserve"> בִּלַּע הַמָּוְת לָנֶצַח. </w:t>
      </w:r>
      <w:r>
        <w:rPr>
          <w:b w:val="0"/>
          <w:sz w:val="20"/>
          <w:szCs w:val="23"/>
          <w:rtl/>
        </w:rPr>
        <w:t>א.ה.</w:t>
      </w:r>
      <w:r>
        <w:rPr>
          <w:b w:val="0"/>
          <w:bCs w:val="0"/>
          <w:rtl/>
        </w:rPr>
        <w:t xml:space="preserve"> </w:t>
      </w:r>
      <w:r>
        <w:rPr>
          <w:b w:val="0"/>
          <w:sz w:val="20"/>
          <w:szCs w:val="23"/>
          <w:rtl/>
        </w:rPr>
        <w:t>הפסקה הבאה ע"פ בהגר"א קי"ד ע"ב</w:t>
      </w:r>
    </w:p>
    <w:p w:rsidR="0020255E" w:rsidRDefault="0020255E" w:rsidP="0020255E">
      <w:pPr>
        <w:pStyle w:val="NormalWeb"/>
        <w:rPr>
          <w:b w:val="0"/>
          <w:bCs w:val="0"/>
          <w:rtl/>
        </w:rPr>
      </w:pPr>
      <w:bookmarkStart w:id="333" w:name="_Toc228095788"/>
      <w:bookmarkStart w:id="334" w:name="_Toc231638226"/>
      <w:r>
        <w:rPr>
          <w:b w:val="0"/>
          <w:sz w:val="20"/>
          <w:szCs w:val="23"/>
          <w:rtl/>
        </w:rPr>
        <w:t>(בראשית ד כה)</w:t>
      </w:r>
      <w:r>
        <w:rPr>
          <w:b w:val="0"/>
          <w:bCs w:val="0"/>
          <w:rtl/>
        </w:rPr>
        <w:t xml:space="preserve"> וַיֵּדַע אָדָם עוֹד אֶת אִשְׁתּוֹ, וְכִי לָא אִשְׁתְּמוֹדָע בָּהּ עַד הַהִיא זִמְנָא, אֶלָּא מִיּוֹמָא דְאִתְחֲרַב בֵּי מַקְדְּשָׁא קוּדְשָׁא בְּרִיךְ הוּא לָא אִתְיַחַד בִּשְׁכִינְתֵּיהּ בְּיוֹמִין דְּחוֹל, וְלָא הֲווֹ יִשְׂרָאֵל אִשְׁתְּמוֹדְעָן תּוּקְפֵיהּ בְּיוֹמִין דְּחוֹל, </w:t>
      </w:r>
      <w:r>
        <w:rPr>
          <w:rStyle w:val="a7"/>
          <w:b w:val="0"/>
          <w:bCs w:val="0"/>
          <w:rtl/>
        </w:rPr>
        <w:footnoteReference w:id="5110"/>
      </w:r>
      <w:r>
        <w:rPr>
          <w:b w:val="0"/>
          <w:bCs w:val="0"/>
          <w:rtl/>
        </w:rPr>
        <w:t xml:space="preserve">בְּגִין דְּמֶמְשָׁלָה דְעֶבֶד וְשִׁפְחָה בְּהוֹן, בָּתַר דְּיִתְעַבְּרוּן מֵעָלְמָא מִיָּד </w:t>
      </w:r>
      <w:r>
        <w:rPr>
          <w:b w:val="0"/>
          <w:sz w:val="20"/>
          <w:szCs w:val="23"/>
          <w:rtl/>
        </w:rPr>
        <w:t>(בראשית ד כה)</w:t>
      </w:r>
      <w:r>
        <w:rPr>
          <w:b w:val="0"/>
          <w:bCs w:val="0"/>
          <w:rtl/>
        </w:rPr>
        <w:t xml:space="preserve"> וַיֵּדַע אָדָם עוֹד אֶת אִשְׁתּוֹ וּבְהַהִיא זִמְנָא </w:t>
      </w:r>
      <w:r>
        <w:rPr>
          <w:b w:val="0"/>
          <w:sz w:val="20"/>
          <w:szCs w:val="23"/>
          <w:rtl/>
        </w:rPr>
        <w:t>(ישעיה יא ט)</w:t>
      </w:r>
      <w:r>
        <w:rPr>
          <w:b w:val="0"/>
          <w:bCs w:val="0"/>
          <w:rtl/>
        </w:rPr>
        <w:t xml:space="preserve"> כִּי מָלְאָה הָאָרֶץ דֵּעָה אֶת יהו''ה, וּבְהַהִיא זִמְנָא אִתְקַיַּים קְרָא </w:t>
      </w:r>
      <w:r>
        <w:rPr>
          <w:b w:val="0"/>
          <w:sz w:val="20"/>
          <w:szCs w:val="23"/>
          <w:rtl/>
        </w:rPr>
        <w:t>(ירמיה לא לג)</w:t>
      </w:r>
      <w:r>
        <w:rPr>
          <w:b w:val="0"/>
          <w:bCs w:val="0"/>
          <w:rtl/>
        </w:rPr>
        <w:t xml:space="preserve"> כִּי כֻלָּם יֵדְעוּ אוֹתִי לְמִקְּטַנָּם וְעַד גְּדוֹלָם, </w:t>
      </w:r>
      <w:r>
        <w:rPr>
          <w:b w:val="0"/>
          <w:sz w:val="20"/>
          <w:szCs w:val="23"/>
          <w:rtl/>
        </w:rPr>
        <w:t>(זכריה יד ט)</w:t>
      </w:r>
      <w:r>
        <w:rPr>
          <w:b w:val="0"/>
          <w:bCs w:val="0"/>
          <w:rtl/>
        </w:rPr>
        <w:t xml:space="preserve"> וּבַיּוֹם הַהוּא יִהְיֶה יהו''ה אֶחָד וּשְׁמוֹ אֶחָד.</w:t>
      </w:r>
    </w:p>
    <w:bookmarkEnd w:id="333"/>
    <w:bookmarkEnd w:id="334"/>
    <w:p w:rsidR="0020255E" w:rsidRDefault="0020255E" w:rsidP="0020255E">
      <w:pPr>
        <w:pStyle w:val="aa"/>
        <w:spacing w:after="40"/>
        <w:rPr>
          <w:rtl/>
        </w:rPr>
      </w:pPr>
      <w:r>
        <w:rPr>
          <w:rtl/>
        </w:rPr>
        <w:t xml:space="preserve">[תיקוני זוהר - דף קיח ע''ב] </w:t>
      </w:r>
    </w:p>
    <w:p w:rsidR="0020255E" w:rsidRDefault="0020255E" w:rsidP="0020255E">
      <w:pPr>
        <w:pStyle w:val="NormalWeb"/>
        <w:rPr>
          <w:b w:val="0"/>
          <w:bCs w:val="0"/>
          <w:rtl/>
        </w:rPr>
      </w:pPr>
      <w:r>
        <w:rPr>
          <w:b w:val="0"/>
          <w:bCs w:val="0"/>
          <w:rtl/>
        </w:rPr>
        <w:t xml:space="preserve">וַיֵּדַע אָדָם עוֹד אֶת אִשְׁתּוֹ וַתֵּלֶד בֵּן וַתִּקְרָא אֶת שְׁמוֹ שֵׁ''ת, סִיּוּמָא דְאַלְפָא בֵּיתָא, וַעֲלֵיהּ אָמַר אִיּוֹב </w:t>
      </w:r>
      <w:r>
        <w:rPr>
          <w:b w:val="0"/>
          <w:sz w:val="20"/>
          <w:szCs w:val="23"/>
          <w:rtl/>
        </w:rPr>
        <w:t>(איוב לח לו)</w:t>
      </w:r>
      <w:r>
        <w:rPr>
          <w:b w:val="0"/>
          <w:bCs w:val="0"/>
          <w:rtl/>
        </w:rPr>
        <w:t xml:space="preserve"> מִי שָׁת בַּטּוּחוֹת חָכְמָה, מַאי חָכְמָה דָא דְחָסֵר מִנֵּיהּ י', דְּבָהּ הֲוָה שִׁית, </w:t>
      </w:r>
      <w:r>
        <w:rPr>
          <w:rStyle w:val="a7"/>
          <w:b w:val="0"/>
          <w:bCs w:val="0"/>
          <w:rtl/>
        </w:rPr>
        <w:footnoteReference w:id="5111"/>
      </w:r>
      <w:r>
        <w:rPr>
          <w:b w:val="0"/>
          <w:bCs w:val="0"/>
          <w:rtl/>
        </w:rPr>
        <w:t xml:space="preserve">דְּאִיהוּ בָרָא שִׁית, </w:t>
      </w:r>
      <w:r>
        <w:rPr>
          <w:rStyle w:val="a7"/>
          <w:b w:val="0"/>
          <w:bCs w:val="0"/>
          <w:rtl/>
        </w:rPr>
        <w:footnoteReference w:id="5112"/>
      </w:r>
      <w:r>
        <w:rPr>
          <w:b w:val="0"/>
          <w:bCs w:val="0"/>
          <w:rtl/>
        </w:rPr>
        <w:t xml:space="preserve">וְאִיהוּ רֵאשִׁית, וַהֲוָה אִתְּמַר בֵּיהּ </w:t>
      </w:r>
      <w:r>
        <w:rPr>
          <w:b w:val="0"/>
          <w:sz w:val="20"/>
          <w:szCs w:val="23"/>
          <w:rtl/>
        </w:rPr>
        <w:t>(ישעיה מו י)</w:t>
      </w:r>
      <w:r>
        <w:rPr>
          <w:b w:val="0"/>
          <w:bCs w:val="0"/>
          <w:rtl/>
        </w:rPr>
        <w:t xml:space="preserve"> מַגִּיד מֵרֵאשִׁית אַחֲרִית, הֲוָה מְשַׁמֵּשׁ שֵׁת בַּאֲתַר דְּהֶבֶל, וּבְגִין דְּחָסֵר מִנֵּיהּ י' </w:t>
      </w:r>
      <w:r>
        <w:rPr>
          <w:rStyle w:val="a7"/>
          <w:b w:val="0"/>
          <w:bCs w:val="0"/>
          <w:rtl/>
        </w:rPr>
        <w:footnoteReference w:id="5113"/>
      </w:r>
      <w:r>
        <w:rPr>
          <w:b w:val="0"/>
          <w:bCs w:val="0"/>
          <w:rtl/>
        </w:rPr>
        <w:t xml:space="preserve">אִתְקְרִי אַחֵר, בְּגִין דְּכַד חָב אָדָם פָּרַח מִנֵּיהּ י', וְעָבַד שֵׁת בְּלָא י' דְּאִיהִי חָכְמָה, </w:t>
      </w:r>
      <w:r>
        <w:rPr>
          <w:rStyle w:val="a7"/>
          <w:b w:val="0"/>
          <w:bCs w:val="0"/>
          <w:rtl/>
        </w:rPr>
        <w:footnoteReference w:id="5114"/>
      </w:r>
      <w:r>
        <w:rPr>
          <w:b w:val="0"/>
          <w:bCs w:val="0"/>
          <w:rtl/>
        </w:rPr>
        <w:t xml:space="preserve">וּבְגִין דָּא שֵׁירוּתָא הֲוָה מִן ח', דְּאִינוּן ח' יוֹמִין דִּבְּרִית מִילָה, כְּמָה דְאַתְּ אָמַר </w:t>
      </w:r>
      <w:r>
        <w:rPr>
          <w:b w:val="0"/>
          <w:sz w:val="20"/>
          <w:szCs w:val="23"/>
          <w:rtl/>
        </w:rPr>
        <w:t>(בראשית ד כו)</w:t>
      </w:r>
      <w:r>
        <w:rPr>
          <w:b w:val="0"/>
          <w:bCs w:val="0"/>
          <w:rtl/>
        </w:rPr>
        <w:t xml:space="preserve"> אָז הוּחַל לִקְרֹא </w:t>
      </w:r>
      <w:r>
        <w:rPr>
          <w:b w:val="0"/>
          <w:sz w:val="20"/>
          <w:szCs w:val="23"/>
          <w:rtl/>
        </w:rPr>
        <w:t xml:space="preserve">(דף קיח ע''ב) </w:t>
      </w:r>
      <w:r>
        <w:rPr>
          <w:b w:val="0"/>
          <w:bCs w:val="0"/>
          <w:rtl/>
        </w:rPr>
        <w:t xml:space="preserve">בְּשֵׁם יהו''ה, </w:t>
      </w:r>
      <w:r>
        <w:rPr>
          <w:rStyle w:val="a7"/>
          <w:b w:val="0"/>
          <w:bCs w:val="0"/>
          <w:rtl/>
        </w:rPr>
        <w:footnoteReference w:id="5115"/>
      </w:r>
      <w:r>
        <w:rPr>
          <w:b w:val="0"/>
          <w:bCs w:val="0"/>
          <w:rtl/>
        </w:rPr>
        <w:t xml:space="preserve">וּמִתַּמָּן עָבְדוּ בְּרִית מִילָה, וְאַעֲבָרוּ מִנֵּיהּ עָרְלָה וּפְרִיעָה לְאַעְלָא בְּח', דְּשֵׁירוּתָא דְח' אִיהִי בִּינָה, לַמְנַצֵּחַ עַל הַשְּׁמִינִית </w:t>
      </w:r>
      <w:r>
        <w:rPr>
          <w:b w:val="0"/>
          <w:sz w:val="20"/>
          <w:szCs w:val="23"/>
          <w:rtl/>
        </w:rPr>
        <w:t>(תהלים יב א)</w:t>
      </w:r>
      <w:r>
        <w:rPr>
          <w:b w:val="0"/>
          <w:bCs w:val="0"/>
          <w:rtl/>
        </w:rPr>
        <w:t xml:space="preserve">, וַעֲלָהּ אִתְּמַר אָז הוּחַל, </w:t>
      </w:r>
      <w:r>
        <w:rPr>
          <w:rStyle w:val="a7"/>
          <w:b w:val="0"/>
          <w:bCs w:val="0"/>
          <w:rtl/>
        </w:rPr>
        <w:footnoteReference w:id="5116"/>
      </w:r>
      <w:r>
        <w:rPr>
          <w:b w:val="0"/>
          <w:bCs w:val="0"/>
          <w:rtl/>
        </w:rPr>
        <w:t xml:space="preserve">וְעוֹד אָז הוּחַל לִישָׁנָא דִצְלוֹתָא, כְּמָה דְאַתְּ אָמַר </w:t>
      </w:r>
      <w:r>
        <w:rPr>
          <w:b w:val="0"/>
          <w:sz w:val="20"/>
          <w:szCs w:val="23"/>
          <w:rtl/>
        </w:rPr>
        <w:t>(ישעיה נח ט)</w:t>
      </w:r>
      <w:r>
        <w:rPr>
          <w:b w:val="0"/>
          <w:bCs w:val="0"/>
          <w:rtl/>
        </w:rPr>
        <w:t xml:space="preserve"> אָז תִּקְרָא וַיהו''ה יַעֲנֶה, וְעוֹד </w:t>
      </w:r>
      <w:r>
        <w:rPr>
          <w:rStyle w:val="a7"/>
          <w:b w:val="0"/>
          <w:bCs w:val="0"/>
          <w:rtl/>
        </w:rPr>
        <w:footnoteReference w:id="5117"/>
      </w:r>
      <w:r>
        <w:rPr>
          <w:b w:val="0"/>
          <w:bCs w:val="0"/>
          <w:rtl/>
        </w:rPr>
        <w:t xml:space="preserve">אָז, דָּא הוּא נְטוּרָא טָבָא, דְּאַף עַל גַּב דְּהֶבֶל קָטִיל לֵיהּ קַיִן, דְּמִנֵּיהּ הֲוָה נָפִיק מָאן דְּנוֹקִים לֵיהּ, הֲדָא הוּא דִכְתִיב </w:t>
      </w:r>
      <w:r>
        <w:rPr>
          <w:b w:val="0"/>
          <w:sz w:val="20"/>
          <w:szCs w:val="23"/>
          <w:rtl/>
        </w:rPr>
        <w:t>(שמות טו א)</w:t>
      </w:r>
      <w:r>
        <w:rPr>
          <w:b w:val="0"/>
          <w:bCs w:val="0"/>
          <w:rtl/>
        </w:rPr>
        <w:t xml:space="preserve"> אָז יָשִׁיר מֹשֶׁה, </w:t>
      </w:r>
      <w:r>
        <w:rPr>
          <w:rStyle w:val="a7"/>
          <w:b w:val="0"/>
          <w:bCs w:val="0"/>
          <w:rtl/>
        </w:rPr>
        <w:footnoteReference w:id="5118"/>
      </w:r>
      <w:r>
        <w:rPr>
          <w:b w:val="0"/>
          <w:bCs w:val="0"/>
          <w:rtl/>
        </w:rPr>
        <w:t xml:space="preserve">רוֹעֶה נוֹקִים לְרוֹעֶה, </w:t>
      </w:r>
      <w:r>
        <w:rPr>
          <w:rStyle w:val="a7"/>
          <w:b w:val="0"/>
          <w:bCs w:val="0"/>
          <w:rtl/>
        </w:rPr>
        <w:footnoteReference w:id="5119"/>
      </w:r>
      <w:r>
        <w:rPr>
          <w:b w:val="0"/>
          <w:bCs w:val="0"/>
          <w:rtl/>
        </w:rPr>
        <w:t xml:space="preserve">וּלְבָתַר אָז אֶהְפּוֹךְ אֶל עַמִּים שָׂפָה בְרוּרָה לִקְרֹא כֻלָּם בְּשֵׁם יהו''ה </w:t>
      </w:r>
      <w:r>
        <w:rPr>
          <w:b w:val="0"/>
          <w:sz w:val="20"/>
          <w:szCs w:val="23"/>
          <w:rtl/>
        </w:rPr>
        <w:t>(צפניה ג ט)</w:t>
      </w:r>
      <w:r>
        <w:rPr>
          <w:b w:val="0"/>
          <w:szCs w:val="23"/>
          <w:rtl/>
        </w:rPr>
        <w:t xml:space="preserve">, </w:t>
      </w:r>
      <w:r>
        <w:rPr>
          <w:rStyle w:val="Char"/>
          <w:rtl/>
        </w:rPr>
        <w:t>אֲבָל כַּד עֲמָלֵק דְּאִינוּן</w:t>
      </w:r>
      <w:r>
        <w:rPr>
          <w:b w:val="0"/>
          <w:szCs w:val="23"/>
          <w:rtl/>
        </w:rPr>
        <w:t xml:space="preserve"> </w:t>
      </w:r>
      <w:r>
        <w:rPr>
          <w:b w:val="0"/>
          <w:bCs w:val="0"/>
          <w:rtl/>
        </w:rPr>
        <w:t xml:space="preserve">בְּכוֹרֵי מִצְרָיִם עִרֶב רַב מְעוּרָבִין בְּיִשְׂרָאֵל, עֲלַיְיהוּ אִתְּמַר </w:t>
      </w:r>
      <w:r>
        <w:rPr>
          <w:b w:val="0"/>
          <w:sz w:val="20"/>
          <w:szCs w:val="23"/>
          <w:rtl/>
        </w:rPr>
        <w:t>(דברים כה יט)</w:t>
      </w:r>
      <w:r>
        <w:rPr>
          <w:b w:val="0"/>
          <w:bCs w:val="0"/>
          <w:rtl/>
        </w:rPr>
        <w:t xml:space="preserve"> תִּמְחֶה אֶת זֵכֶר עֲמָלֵק, דְּלָא אִשְׁתָּאַר מִנְּהוֹן שָׂרִיד, </w:t>
      </w:r>
      <w:r>
        <w:rPr>
          <w:rStyle w:val="a7"/>
          <w:b w:val="0"/>
          <w:bCs w:val="0"/>
          <w:rtl/>
        </w:rPr>
        <w:footnoteReference w:id="5120"/>
      </w:r>
      <w:r>
        <w:rPr>
          <w:b w:val="0"/>
          <w:bCs w:val="0"/>
          <w:rtl/>
        </w:rPr>
        <w:t xml:space="preserve">וְאִינוּן עִרְבוּבְיָא מִקַּיִן, וּמִיָּד דְּיִתְמַחוּן מֵעָלְמָא אָז הוּחַל לִקְרֹא בְּשֵׁם יהו''ה </w:t>
      </w:r>
      <w:r>
        <w:rPr>
          <w:b w:val="0"/>
          <w:sz w:val="20"/>
          <w:szCs w:val="23"/>
          <w:rtl/>
        </w:rPr>
        <w:t>(בראשית ד כו)</w:t>
      </w:r>
      <w:r>
        <w:rPr>
          <w:b w:val="0"/>
          <w:bCs w:val="0"/>
          <w:rtl/>
        </w:rPr>
        <w:t>.</w:t>
      </w:r>
    </w:p>
    <w:p w:rsidR="006D2826" w:rsidRDefault="006D2826" w:rsidP="00C16EB5">
      <w:pPr>
        <w:pStyle w:val="1"/>
        <w:rPr>
          <w:u w:val="single"/>
          <w:rtl/>
        </w:rPr>
      </w:pPr>
      <w:bookmarkStart w:id="335" w:name="_Toc228091348"/>
      <w:bookmarkStart w:id="336" w:name="_Toc231637987"/>
      <w:r>
        <w:rPr>
          <w:rtl/>
        </w:rPr>
        <w:t>תקונא שבעין</w:t>
      </w:r>
      <w:bookmarkEnd w:id="335"/>
      <w:bookmarkEnd w:id="336"/>
    </w:p>
    <w:p w:rsidR="006D2826" w:rsidRPr="00C16EB5" w:rsidRDefault="006D2826" w:rsidP="00C16EB5">
      <w:pPr>
        <w:pStyle w:val="4"/>
        <w:rPr>
          <w:sz w:val="24"/>
          <w:szCs w:val="24"/>
          <w:rtl/>
        </w:rPr>
      </w:pPr>
      <w:r w:rsidRPr="00C16EB5">
        <w:rPr>
          <w:sz w:val="24"/>
          <w:szCs w:val="24"/>
          <w:rtl/>
        </w:rPr>
        <w:t xml:space="preserve">[תיקוני זוהר חדש - דף פו ע''ב] </w:t>
      </w:r>
    </w:p>
    <w:p w:rsidR="006D2826" w:rsidRDefault="006D2826" w:rsidP="00C16EB5">
      <w:pPr>
        <w:pStyle w:val="NormalWeb"/>
        <w:rPr>
          <w:rtl/>
        </w:rPr>
      </w:pPr>
      <w:r>
        <w:rPr>
          <w:szCs w:val="23"/>
          <w:rtl/>
        </w:rPr>
        <w:t xml:space="preserve">(דף פו ע''ב) </w:t>
      </w:r>
      <w:r>
        <w:rPr>
          <w:rStyle w:val="a7"/>
          <w:szCs w:val="23"/>
          <w:rtl/>
        </w:rPr>
        <w:footnoteReference w:id="5121"/>
      </w:r>
      <w:r>
        <w:rPr>
          <w:rtl/>
        </w:rPr>
        <w:t xml:space="preserve">בְּרֵאשִׁית בָּרָא שִׁית, וְדָא מטטרו''ן, </w:t>
      </w:r>
      <w:r>
        <w:rPr>
          <w:rStyle w:val="a7"/>
          <w:szCs w:val="29"/>
          <w:rtl/>
        </w:rPr>
        <w:footnoteReference w:id="5122"/>
      </w:r>
      <w:r>
        <w:rPr>
          <w:rtl/>
        </w:rPr>
        <w:t xml:space="preserve">אוֹת בַּצָּבָא דִילֵיהּ, וּבְגִינֵיהּ אִתְּמַר </w:t>
      </w:r>
      <w:r>
        <w:rPr>
          <w:szCs w:val="23"/>
          <w:rtl/>
        </w:rPr>
        <w:t>(שם טו)</w:t>
      </w:r>
      <w:r>
        <w:rPr>
          <w:rtl/>
        </w:rPr>
        <w:t xml:space="preserve"> וַיָּשֶׂם יהו''ה </w:t>
      </w:r>
      <w:r>
        <w:rPr>
          <w:rStyle w:val="a7"/>
          <w:szCs w:val="29"/>
          <w:rtl/>
        </w:rPr>
        <w:footnoteReference w:id="5123"/>
      </w:r>
      <w:r>
        <w:rPr>
          <w:rtl/>
        </w:rPr>
        <w:t xml:space="preserve">לְקַיִן אוֹת לְאַגָּנָא עֲלֵיהּ, וּמַה דַּהֲוָה אָזִיל </w:t>
      </w:r>
      <w:r>
        <w:rPr>
          <w:rStyle w:val="a7"/>
          <w:szCs w:val="29"/>
          <w:rtl/>
        </w:rPr>
        <w:footnoteReference w:id="5124"/>
      </w:r>
      <w:r>
        <w:rPr>
          <w:rtl/>
        </w:rPr>
        <w:t xml:space="preserve">נָע וָנָד בְּגִלְגּוּלָא, </w:t>
      </w:r>
      <w:r>
        <w:rPr>
          <w:rStyle w:val="a7"/>
          <w:szCs w:val="29"/>
          <w:rtl/>
        </w:rPr>
        <w:footnoteReference w:id="5125"/>
      </w:r>
      <w:r>
        <w:rPr>
          <w:rtl/>
        </w:rPr>
        <w:t xml:space="preserve">אִתְעֲבִיד נוֹד, מִיָּד וַיֵּשֶׁב בְּאֶרֶץ נוֹד </w:t>
      </w:r>
      <w:r>
        <w:rPr>
          <w:rStyle w:val="a7"/>
          <w:szCs w:val="29"/>
          <w:rtl/>
        </w:rPr>
        <w:footnoteReference w:id="5126"/>
      </w:r>
      <w:r>
        <w:rPr>
          <w:rtl/>
        </w:rPr>
        <w:t xml:space="preserve">קִדְמַת עִדֶן, וְדָא אוֹת דִּבְּרִית מִילָה </w:t>
      </w:r>
      <w:r>
        <w:rPr>
          <w:rStyle w:val="a7"/>
          <w:szCs w:val="29"/>
          <w:rtl/>
        </w:rPr>
        <w:footnoteReference w:id="5127"/>
      </w:r>
      <w:r>
        <w:rPr>
          <w:rtl/>
        </w:rPr>
        <w:t xml:space="preserve">דְקַנְיֵיהּ עֲלֵיהּ בַּאֲחוּהָ בְּגִין דְּנוֹלַד מָהוּל, וּבְאָן אֲתַר זָכֵי לֵיהּ, </w:t>
      </w:r>
      <w:r>
        <w:rPr>
          <w:rStyle w:val="a7"/>
          <w:szCs w:val="29"/>
          <w:rtl/>
        </w:rPr>
        <w:footnoteReference w:id="5128"/>
      </w:r>
      <w:r>
        <w:rPr>
          <w:rtl/>
        </w:rPr>
        <w:t xml:space="preserve">בְּקֵנִי, בְּגִין דְּחָזַר תַּמָּן בִּתְיוּבְתָּא, </w:t>
      </w:r>
      <w:r>
        <w:rPr>
          <w:rStyle w:val="a7"/>
          <w:szCs w:val="29"/>
          <w:rtl/>
        </w:rPr>
        <w:footnoteReference w:id="5129"/>
      </w:r>
      <w:r>
        <w:rPr>
          <w:rtl/>
        </w:rPr>
        <w:t xml:space="preserve">וְנָפְקוּ בְּנוֹי מִינֵיהּ </w:t>
      </w:r>
      <w:r>
        <w:rPr>
          <w:rStyle w:val="a7"/>
          <w:szCs w:val="29"/>
          <w:rtl/>
        </w:rPr>
        <w:footnoteReference w:id="5130"/>
      </w:r>
      <w:r>
        <w:rPr>
          <w:rtl/>
        </w:rPr>
        <w:t>דְּעָאלוּ לְגַן עִדֶן, וּבְגִין דָּא וַיֵּשֶׁב בְּאֶרֶץ נוֹד קִדְמַת עִדֶן.</w:t>
      </w:r>
    </w:p>
    <w:p w:rsidR="006D2826" w:rsidRPr="00C16EB5" w:rsidRDefault="006D2826" w:rsidP="00C16EB5">
      <w:pPr>
        <w:pStyle w:val="4"/>
        <w:rPr>
          <w:sz w:val="24"/>
          <w:szCs w:val="24"/>
          <w:rtl/>
        </w:rPr>
      </w:pPr>
      <w:r w:rsidRPr="00C16EB5">
        <w:rPr>
          <w:sz w:val="24"/>
          <w:szCs w:val="24"/>
          <w:rtl/>
        </w:rPr>
        <w:t xml:space="preserve">[תיקוני זוהר - דף פו ע''ב] </w:t>
      </w:r>
    </w:p>
    <w:p w:rsidR="006D2826" w:rsidRDefault="006D2826" w:rsidP="00C16EB5">
      <w:pPr>
        <w:pStyle w:val="NormalWeb"/>
        <w:rPr>
          <w:rtl/>
        </w:rPr>
      </w:pPr>
      <w:r>
        <w:rPr>
          <w:rStyle w:val="a7"/>
          <w:szCs w:val="29"/>
          <w:rtl/>
        </w:rPr>
        <w:footnoteReference w:id="5131"/>
      </w:r>
      <w:r>
        <w:rPr>
          <w:rtl/>
        </w:rPr>
        <w:t xml:space="preserve">לְבָתַר עָבִיד תּוֹלָדִין מִסִּטְרָא דְרָע, וְאִתְפַּשְׁטוּ בְגִלְגּוּלִין בְּעָלְמָא, וַעֲלַיְיהוּ אִתְּמַר </w:t>
      </w:r>
      <w:r>
        <w:rPr>
          <w:szCs w:val="23"/>
          <w:rtl/>
        </w:rPr>
        <w:t>(שם יז)</w:t>
      </w:r>
      <w:r>
        <w:rPr>
          <w:rtl/>
        </w:rPr>
        <w:t xml:space="preserve"> וַיֵּדַע קַיִן אֶת אִשְׁתּוֹ וַתַּהַר וַתֵּלֶד אֶת חֲנוֹךְ, </w:t>
      </w:r>
      <w:r>
        <w:rPr>
          <w:rStyle w:val="a7"/>
          <w:szCs w:val="29"/>
          <w:rtl/>
        </w:rPr>
        <w:footnoteReference w:id="5132"/>
      </w:r>
      <w:r>
        <w:rPr>
          <w:rtl/>
        </w:rPr>
        <w:t xml:space="preserve">חֲנוֹךְ מִסִּטְרָא דְקַיִן, וְדָא יֵצֶר הָרָע חִנּוּכָא לְבִישׁ, </w:t>
      </w:r>
      <w:r>
        <w:rPr>
          <w:rStyle w:val="a7"/>
          <w:szCs w:val="29"/>
          <w:rtl/>
        </w:rPr>
        <w:footnoteReference w:id="5133"/>
      </w:r>
      <w:r>
        <w:rPr>
          <w:rtl/>
        </w:rPr>
        <w:t xml:space="preserve">וְאִית חֲנוֹךְ מִסִּטְרָא דֶאֱנוֹשׁ, דְּאִיהוּ יֵצֶר הַטּוֹב חִנּוּכָא לְטָב, וְאִתְּמַר בֵּיהּ </w:t>
      </w:r>
      <w:r>
        <w:rPr>
          <w:szCs w:val="23"/>
          <w:rtl/>
        </w:rPr>
        <w:t>(שם ה כה)</w:t>
      </w:r>
      <w:r>
        <w:rPr>
          <w:rtl/>
        </w:rPr>
        <w:t xml:space="preserve"> וַיִּתְהַלֵּךְ חֲנוֹךְ אֶת הָאלהי''ם וְאֵינֶנּוּ כִּי לָקַח אוֹתוֹ אלהי''ם, וְדָא חֲנוֹךְ </w:t>
      </w:r>
      <w:r>
        <w:rPr>
          <w:rStyle w:val="a7"/>
          <w:szCs w:val="29"/>
          <w:rtl/>
        </w:rPr>
        <w:footnoteReference w:id="5134"/>
      </w:r>
      <w:r>
        <w:rPr>
          <w:rtl/>
        </w:rPr>
        <w:t>דְּאִתְהַפַּךְ בִּשְׂרֵיהּ לְלַפִּיד אֵשׁ.</w:t>
      </w:r>
    </w:p>
    <w:p w:rsidR="006D2826" w:rsidRDefault="006D2826" w:rsidP="00C16EB5">
      <w:pPr>
        <w:pStyle w:val="NormalWeb"/>
        <w:rPr>
          <w:rtl/>
        </w:rPr>
      </w:pPr>
      <w:r>
        <w:rPr>
          <w:rStyle w:val="a7"/>
          <w:szCs w:val="29"/>
          <w:rtl/>
        </w:rPr>
        <w:footnoteReference w:id="5135"/>
      </w:r>
      <w:r>
        <w:rPr>
          <w:rtl/>
        </w:rPr>
        <w:t xml:space="preserve">וּתְלָתָא אִינוּן אָדָם שֵׁת אֱנוֹשׁ, אֱנוֹשׁ </w:t>
      </w:r>
      <w:r>
        <w:rPr>
          <w:rStyle w:val="a7"/>
          <w:szCs w:val="29"/>
          <w:rtl/>
        </w:rPr>
        <w:footnoteReference w:id="5136"/>
      </w:r>
      <w:r>
        <w:rPr>
          <w:rtl/>
        </w:rPr>
        <w:t xml:space="preserve">דְּמִתַּמָּן אִתְיַחֲסוּ כָּל דָּרִין, </w:t>
      </w:r>
      <w:r>
        <w:rPr>
          <w:rStyle w:val="a7"/>
          <w:szCs w:val="29"/>
          <w:rtl/>
        </w:rPr>
        <w:footnoteReference w:id="5137"/>
      </w:r>
      <w:r>
        <w:rPr>
          <w:rtl/>
        </w:rPr>
        <w:t xml:space="preserve">הֲדָא הוּא דִכְתִיב </w:t>
      </w:r>
      <w:r>
        <w:rPr>
          <w:szCs w:val="23"/>
          <w:rtl/>
        </w:rPr>
        <w:t>(שם ד כו)</w:t>
      </w:r>
      <w:r>
        <w:rPr>
          <w:rtl/>
        </w:rPr>
        <w:t xml:space="preserve"> אָז הוּחַל לִקְרוֹא בְּשֵׁם יהו''ה, מִתַּמָּן נִתְפַּשְׁטוּ כָּל גִּלְגּוּלִין דְּצַדִּיקַיָּיא, חֲנוֹךְ דְּנָפִק מֵאֱנוֹשׁ </w:t>
      </w:r>
      <w:r>
        <w:rPr>
          <w:rStyle w:val="a7"/>
          <w:szCs w:val="29"/>
          <w:rtl/>
        </w:rPr>
        <w:footnoteReference w:id="5138"/>
      </w:r>
      <w:r>
        <w:rPr>
          <w:rtl/>
        </w:rPr>
        <w:t xml:space="preserve">אִיהוּ מטטרו''ן דְּנֶהְפַּךְ בְּשָׂרוֹ לְלַפִּיד אֵשׁ, וְאִיהוּ נוריא''ל, </w:t>
      </w:r>
      <w:r>
        <w:rPr>
          <w:rStyle w:val="a7"/>
          <w:szCs w:val="29"/>
          <w:rtl/>
        </w:rPr>
        <w:footnoteReference w:id="5139"/>
      </w:r>
      <w:r>
        <w:rPr>
          <w:rtl/>
        </w:rPr>
        <w:t xml:space="preserve">וְעַל תַּרְוַיְיהוּ אִתְּמַר </w:t>
      </w:r>
      <w:r>
        <w:rPr>
          <w:szCs w:val="23"/>
          <w:rtl/>
        </w:rPr>
        <w:t>(יחזקאל א יד)</w:t>
      </w:r>
      <w:r>
        <w:rPr>
          <w:rtl/>
        </w:rPr>
        <w:t xml:space="preserve"> וְהַחַיּוֹת רָצוֹא וָשׁוֹב, רָצוֹא דָא נוריא''ל, וָשׁוֹב דָּא מטטרו''ן, </w:t>
      </w:r>
      <w:r>
        <w:rPr>
          <w:rStyle w:val="a7"/>
          <w:szCs w:val="29"/>
          <w:rtl/>
        </w:rPr>
        <w:footnoteReference w:id="5140"/>
      </w:r>
      <w:r>
        <w:rPr>
          <w:rtl/>
        </w:rPr>
        <w:t xml:space="preserve">הָכִי סָלְקִין בְּחוּשְׁבָּן, </w:t>
      </w:r>
      <w:r>
        <w:rPr>
          <w:rStyle w:val="a7"/>
          <w:szCs w:val="29"/>
          <w:rtl/>
        </w:rPr>
        <w:footnoteReference w:id="5141"/>
      </w:r>
      <w:r>
        <w:rPr>
          <w:rtl/>
        </w:rPr>
        <w:t xml:space="preserve">כְּמַרְאֵ''ה הַבָּזָק, אִיהוּ כְּמַרְאֵה הַקֶּשֶׁת אֲשֶׁר יִהְיֶה בֶעָנָן </w:t>
      </w:r>
      <w:r>
        <w:rPr>
          <w:szCs w:val="23"/>
          <w:rtl/>
        </w:rPr>
        <w:t xml:space="preserve">(שם כח), </w:t>
      </w:r>
      <w:r>
        <w:rPr>
          <w:rStyle w:val="Char"/>
          <w:rtl/>
        </w:rPr>
        <w:t>דְּאִתְּמַר בֵּיהּ</w:t>
      </w:r>
      <w:r>
        <w:rPr>
          <w:szCs w:val="23"/>
          <w:rtl/>
        </w:rPr>
        <w:t xml:space="preserve"> (בראשית ט יד)</w:t>
      </w:r>
      <w:r>
        <w:rPr>
          <w:rtl/>
        </w:rPr>
        <w:t xml:space="preserve"> וְהָיָה בְּעַנְנִי עָנָן עַל הָאָרֶץ וְנִרְאֲתָה הַקֶּשֶׁת בֶּעָנָן, </w:t>
      </w:r>
      <w:r>
        <w:rPr>
          <w:rStyle w:val="a7"/>
          <w:szCs w:val="29"/>
          <w:rtl/>
        </w:rPr>
        <w:footnoteReference w:id="5142"/>
      </w:r>
      <w:r>
        <w:rPr>
          <w:rtl/>
        </w:rPr>
        <w:t xml:space="preserve">וּבְגִינֵיהּ אִתְּמַר </w:t>
      </w:r>
      <w:r>
        <w:rPr>
          <w:szCs w:val="23"/>
          <w:rtl/>
        </w:rPr>
        <w:t>(שם טו)</w:t>
      </w:r>
      <w:r>
        <w:rPr>
          <w:rtl/>
        </w:rPr>
        <w:t xml:space="preserve"> וְלֹא יִהְיֶה מַבּוּל לְשַׁחֵת כָּל בָּשָׂר, בְּגִין דְּאִתְהַפַּךְ בְּשָׂרוֹ לְלַפִּיד אֵשׁ, וְכָל מַלְאָכִין דִּמְמַנָּן עַל נִשְׁמָתִין דְּגִלְגּוּלִין מִתַּמָּן הֲווֹ.</w:t>
      </w:r>
    </w:p>
    <w:p w:rsidR="006D2826" w:rsidRDefault="006D2826" w:rsidP="00C16EB5">
      <w:pPr>
        <w:pStyle w:val="NormalWeb"/>
        <w:rPr>
          <w:rtl/>
        </w:rPr>
      </w:pPr>
      <w:r>
        <w:rPr>
          <w:rStyle w:val="a7"/>
          <w:szCs w:val="29"/>
          <w:rtl/>
        </w:rPr>
        <w:footnoteReference w:id="5143"/>
      </w:r>
      <w:r>
        <w:rPr>
          <w:rtl/>
        </w:rPr>
        <w:t xml:space="preserve">וְעוֹד כְּמַרְאֵה הַקֶּשֶׁת, עֲלֵיהּ אִתְּמַר לְמֹשֶׁה </w:t>
      </w:r>
      <w:r>
        <w:rPr>
          <w:szCs w:val="23"/>
          <w:rtl/>
        </w:rPr>
        <w:t>(שמות כה מ)</w:t>
      </w:r>
      <w:r>
        <w:rPr>
          <w:rtl/>
        </w:rPr>
        <w:t xml:space="preserve"> וּרְאֵה וַעֲשֵׂה בְּתַבְנִיתָם אֲשֶׁר אַתָּה מָרְאֶה בָּהָר, כַּמַּרְאֶה אֲשֶׁר הֶרְאָה יהו''ה אֶת מֹשֶׁה כֵּן עָשָׂה אֶת הַמְּנוֹרָה </w:t>
      </w:r>
      <w:r>
        <w:rPr>
          <w:szCs w:val="23"/>
          <w:rtl/>
        </w:rPr>
        <w:t>(במדבר ח ד)</w:t>
      </w:r>
      <w:r>
        <w:rPr>
          <w:rtl/>
        </w:rPr>
        <w:t xml:space="preserve">, </w:t>
      </w:r>
      <w:r>
        <w:rPr>
          <w:rStyle w:val="a7"/>
          <w:szCs w:val="29"/>
          <w:rtl/>
        </w:rPr>
        <w:footnoteReference w:id="5144"/>
      </w:r>
      <w:r>
        <w:rPr>
          <w:rtl/>
        </w:rPr>
        <w:t xml:space="preserve">וְדָא מטטרו''ן, </w:t>
      </w:r>
      <w:r>
        <w:rPr>
          <w:rStyle w:val="a7"/>
          <w:szCs w:val="29"/>
          <w:rtl/>
        </w:rPr>
        <w:footnoteReference w:id="5145"/>
      </w:r>
      <w:r>
        <w:rPr>
          <w:rtl/>
        </w:rPr>
        <w:t xml:space="preserve">מ' דִּילֵיהּ מְנוֹרָה, </w:t>
      </w:r>
      <w:r>
        <w:rPr>
          <w:rStyle w:val="a7"/>
          <w:szCs w:val="29"/>
          <w:rtl/>
        </w:rPr>
        <w:footnoteReference w:id="5146"/>
      </w:r>
      <w:r>
        <w:rPr>
          <w:rtl/>
        </w:rPr>
        <w:t xml:space="preserve">נוריא''ל נוּ''ר דִּילֵיהּ, וְהוּא ט''ט, וְהָיוּ לְטֹטָפוֹ''ת בֵּין עִינֶיךָ, </w:t>
      </w:r>
      <w:r>
        <w:rPr>
          <w:rStyle w:val="a7"/>
          <w:szCs w:val="29"/>
          <w:rtl/>
        </w:rPr>
        <w:footnoteReference w:id="5147"/>
      </w:r>
      <w:r>
        <w:rPr>
          <w:rtl/>
        </w:rPr>
        <w:t>וְכֹלָּא אִתְפַּשַּׁט מֵאֱנוֹשׁ, וּבְגִין דָּא אָז הוּחַל לִקְרוֹא בְּשֵׁם יהו''ה.</w:t>
      </w:r>
    </w:p>
    <w:p w:rsidR="006D2826" w:rsidRDefault="006D2826" w:rsidP="00C16EB5">
      <w:pPr>
        <w:pStyle w:val="NormalWeb"/>
        <w:rPr>
          <w:rtl/>
        </w:rPr>
      </w:pPr>
      <w:r>
        <w:rPr>
          <w:rStyle w:val="a7"/>
          <w:szCs w:val="29"/>
          <w:rtl/>
        </w:rPr>
        <w:footnoteReference w:id="5148"/>
      </w:r>
      <w:r>
        <w:rPr>
          <w:rtl/>
        </w:rPr>
        <w:t xml:space="preserve">בְּרֵאשִׁית בָּרָא שִׁית, וְאִינוּן שִׁית הֵיכָלִן, אִימָּא עִלָּאָה שְׁבִיעָאָה, </w:t>
      </w:r>
      <w:r>
        <w:rPr>
          <w:rStyle w:val="a7"/>
          <w:szCs w:val="29"/>
          <w:rtl/>
        </w:rPr>
        <w:footnoteReference w:id="5149"/>
      </w:r>
      <w:r>
        <w:rPr>
          <w:rtl/>
        </w:rPr>
        <w:t xml:space="preserve">וּבְאִלֵּין שִׁית וַיֵּדַע אָדָם עוֹד אֶת אִשְׁתּוֹ וַתֵּלֶד בֵּן וַתִּקְרָא אֶת שְׁמוֹ שֵׁת וגו' </w:t>
      </w:r>
      <w:r>
        <w:rPr>
          <w:szCs w:val="23"/>
          <w:rtl/>
        </w:rPr>
        <w:t>(בראשית ד כה)</w:t>
      </w:r>
      <w:r>
        <w:rPr>
          <w:rtl/>
        </w:rPr>
        <w:t xml:space="preserve">, </w:t>
      </w:r>
      <w:r>
        <w:rPr>
          <w:rStyle w:val="a7"/>
          <w:szCs w:val="29"/>
          <w:rtl/>
        </w:rPr>
        <w:footnoteReference w:id="5150"/>
      </w:r>
      <w:r>
        <w:rPr>
          <w:rtl/>
        </w:rPr>
        <w:t xml:space="preserve">שֵׁת סִיּוּמָא דְאַתְוָון, </w:t>
      </w:r>
      <w:r>
        <w:rPr>
          <w:rStyle w:val="a7"/>
          <w:szCs w:val="29"/>
          <w:rtl/>
        </w:rPr>
        <w:footnoteReference w:id="5151"/>
      </w:r>
      <w:r>
        <w:rPr>
          <w:rtl/>
        </w:rPr>
        <w:t xml:space="preserve">תַּחַת הֶבֶל, הֲדָא הוּא דִכְתִיב </w:t>
      </w:r>
      <w:r>
        <w:rPr>
          <w:szCs w:val="23"/>
          <w:rtl/>
        </w:rPr>
        <w:t>(תהלים ח ז)</w:t>
      </w:r>
      <w:r>
        <w:rPr>
          <w:rtl/>
        </w:rPr>
        <w:t xml:space="preserve"> כֹּל שַׁתָּה תַחַת רַגְלָיו, אִסְתַּלַּק י' מִן שִׁית וּנְחִיתַת בֵּיהּ ה' מִן הֶבֶל וְאִתְעֲבִיד שַׁתָּה, כֹּל שַׁתָּה תַחַת רַגְלָיו.</w:t>
      </w:r>
    </w:p>
    <w:p w:rsidR="006D2826" w:rsidRDefault="006D2826" w:rsidP="00C16EB5">
      <w:pPr>
        <w:pStyle w:val="NormalWeb"/>
        <w:rPr>
          <w:rtl/>
        </w:rPr>
      </w:pPr>
      <w:r>
        <w:rPr>
          <w:rStyle w:val="a7"/>
          <w:szCs w:val="29"/>
          <w:rtl/>
        </w:rPr>
        <w:footnoteReference w:id="5152"/>
      </w:r>
      <w:r>
        <w:rPr>
          <w:rtl/>
        </w:rPr>
        <w:t xml:space="preserve">וְעוֹד שֵׁת עַל שֵׁם </w:t>
      </w:r>
      <w:r>
        <w:rPr>
          <w:szCs w:val="23"/>
          <w:rtl/>
        </w:rPr>
        <w:t>(שמות ב ו)</w:t>
      </w:r>
      <w:r>
        <w:rPr>
          <w:rtl/>
        </w:rPr>
        <w:t xml:space="preserve"> כִּי מִן הַמַּיִם מְשִׁיתִיהוּ, </w:t>
      </w:r>
      <w:r>
        <w:rPr>
          <w:rStyle w:val="a7"/>
          <w:szCs w:val="29"/>
          <w:rtl/>
        </w:rPr>
        <w:footnoteReference w:id="5153"/>
      </w:r>
      <w:r>
        <w:rPr>
          <w:rtl/>
        </w:rPr>
        <w:t xml:space="preserve">וְעוֹד שֵׁת עֲלֵיהּ אָמַר אִיּוֹב </w:t>
      </w:r>
      <w:r>
        <w:rPr>
          <w:szCs w:val="23"/>
          <w:rtl/>
        </w:rPr>
        <w:t>(איוב לח לו)</w:t>
      </w:r>
      <w:r>
        <w:rPr>
          <w:rtl/>
        </w:rPr>
        <w:t xml:space="preserve"> מִי שָׁת בַּטּוּחוֹת חָכְמָה, וְדָא י' דְּבָהּ הֲוָה שִׁית, אוֹ מִי נָתַן לַשֶּׂכְוִי בִינָה </w:t>
      </w:r>
      <w:r>
        <w:rPr>
          <w:szCs w:val="23"/>
          <w:rtl/>
        </w:rPr>
        <w:t>(שם)</w:t>
      </w:r>
      <w:r>
        <w:rPr>
          <w:rtl/>
        </w:rPr>
        <w:t xml:space="preserve"> דָא ה' מִן הֶבֶל, וְשֵׁת אִיהוּ גִלְגּוּלָא קַדְמָאָה דְהֶבֶל, לְהַהוּא דְאִתְּמַר בֵּיהּ בְּשַׁגָּם זֶה הֶבֶל, בְּשַׁגָּם זֶה מֹשֶׁה, וְהָא אוּקִימְנָא הַהוּא דְאִתְּמַר בֵּיהּ </w:t>
      </w:r>
      <w:r>
        <w:rPr>
          <w:szCs w:val="23"/>
          <w:rtl/>
        </w:rPr>
        <w:t>(שמות טו א)</w:t>
      </w:r>
      <w:r>
        <w:rPr>
          <w:rtl/>
        </w:rPr>
        <w:t xml:space="preserve"> אָז יָשִׁיר מֹשֶׁה, וּבְגִין דָּא אָז הוּחַל לִקְרוֹא בְּשֵׁם יהו''ה </w:t>
      </w:r>
      <w:r>
        <w:rPr>
          <w:szCs w:val="23"/>
          <w:rtl/>
        </w:rPr>
        <w:t>(בראשית ד כו)</w:t>
      </w:r>
      <w:r>
        <w:rPr>
          <w:rtl/>
        </w:rPr>
        <w:t xml:space="preserve">, הוּחַל </w:t>
      </w:r>
      <w:r>
        <w:rPr>
          <w:rStyle w:val="a7"/>
          <w:szCs w:val="29"/>
          <w:rtl/>
        </w:rPr>
        <w:footnoteReference w:id="5154"/>
      </w:r>
      <w:r>
        <w:rPr>
          <w:rtl/>
        </w:rPr>
        <w:t>תַּמָּן הַתְחָלָה דְגִלְגּוּלָא קַדְמָאָה.</w:t>
      </w:r>
    </w:p>
    <w:p w:rsidR="006D2826" w:rsidRDefault="006D2826" w:rsidP="006D2826">
      <w:pPr>
        <w:pStyle w:val="NormalWeb"/>
        <w:rPr>
          <w:b w:val="0"/>
          <w:bCs w:val="0"/>
          <w:rtl/>
        </w:rPr>
      </w:pPr>
      <w:r>
        <w:rPr>
          <w:rStyle w:val="a7"/>
          <w:b w:val="0"/>
          <w:bCs w:val="0"/>
          <w:rtl/>
        </w:rPr>
        <w:footnoteReference w:id="5155"/>
      </w:r>
      <w:r>
        <w:rPr>
          <w:b w:val="0"/>
          <w:bCs w:val="0"/>
          <w:rtl/>
        </w:rPr>
        <w:t xml:space="preserve">וְאִתְפַּשְׁטוּתָא דְאָת י' מִשֵּׁת </w:t>
      </w:r>
      <w:r>
        <w:rPr>
          <w:b w:val="0"/>
          <w:sz w:val="20"/>
          <w:szCs w:val="23"/>
          <w:rtl/>
        </w:rPr>
        <w:t>(נ''א משית)</w:t>
      </w:r>
      <w:r>
        <w:rPr>
          <w:b w:val="0"/>
          <w:bCs w:val="0"/>
          <w:rtl/>
        </w:rPr>
        <w:t xml:space="preserve">, אִתְפַּשְׁטַת עַד סְפִירָה שְׁתִיתָאָה דַרְגֵּיהּ דְּיַעֲקֹב, וְדָא אֶבֶן הַשְּׁתִיָּה דְמִתַּמָּן הוּשָׁתַת עָלְמָא, דְאִתְּמַר בָּהּ </w:t>
      </w:r>
      <w:r>
        <w:rPr>
          <w:b w:val="0"/>
          <w:sz w:val="20"/>
          <w:szCs w:val="23"/>
          <w:rtl/>
        </w:rPr>
        <w:t>(שם מט כד)</w:t>
      </w:r>
      <w:r>
        <w:rPr>
          <w:b w:val="0"/>
          <w:bCs w:val="0"/>
          <w:rtl/>
        </w:rPr>
        <w:t xml:space="preserve"> מִשָּׁם רוֹעֶה אֶבֶן יִשְׂרָאֵל, וְאַבַּתְרֵיהּ אָז, וְדָא מֹשֶׁה דְמִדְכְּרִין לֵיהּ בָּתַר יַעֲקֹב, וּבְגִין דָּא אָז הוּחַל לִקְרוֹא בְּשֵׁם יהו''ה, </w:t>
      </w:r>
      <w:r>
        <w:rPr>
          <w:rStyle w:val="a7"/>
          <w:b w:val="0"/>
          <w:bCs w:val="0"/>
          <w:rtl/>
        </w:rPr>
        <w:footnoteReference w:id="5156"/>
      </w:r>
      <w:r>
        <w:rPr>
          <w:b w:val="0"/>
          <w:bCs w:val="0"/>
          <w:rtl/>
        </w:rPr>
        <w:t xml:space="preserve">מִתַּמָּן וְאֵילֵךְ אָז תִּקְרָא וַיהו''ה יַעֲנֶה </w:t>
      </w:r>
      <w:r>
        <w:rPr>
          <w:b w:val="0"/>
          <w:sz w:val="20"/>
          <w:szCs w:val="23"/>
          <w:rtl/>
        </w:rPr>
        <w:t>(ישעיה נה ט)</w:t>
      </w:r>
      <w:r>
        <w:rPr>
          <w:b w:val="0"/>
          <w:bCs w:val="0"/>
          <w:rtl/>
        </w:rPr>
        <w:t xml:space="preserve">, </w:t>
      </w:r>
      <w:r>
        <w:rPr>
          <w:rStyle w:val="a7"/>
          <w:b w:val="0"/>
          <w:bCs w:val="0"/>
          <w:rtl/>
        </w:rPr>
        <w:footnoteReference w:id="5157"/>
      </w:r>
      <w:r>
        <w:rPr>
          <w:b w:val="0"/>
          <w:bCs w:val="0"/>
          <w:rtl/>
        </w:rPr>
        <w:t xml:space="preserve">וּבְגִין דָּא שַׁתָּה, בָּתַר שֵׁת ה', וְאִינוּן י''ה, י' מִן שִׁית ה' מִן הֶבֶל, וְאִינוּן אַבָּא וְאִימָּא, שִׁית ו' בְּרָא בְּאֶמְצָעִיתָא, וּתְלָתָא אַתְוָון אִתְכְּלִילוּ בְּיַעֲקֹב, </w:t>
      </w:r>
      <w:r>
        <w:rPr>
          <w:rStyle w:val="a7"/>
          <w:b w:val="0"/>
          <w:bCs w:val="0"/>
          <w:rtl/>
        </w:rPr>
        <w:footnoteReference w:id="5158"/>
      </w:r>
      <w:r>
        <w:rPr>
          <w:b w:val="0"/>
          <w:bCs w:val="0"/>
          <w:rtl/>
        </w:rPr>
        <w:t xml:space="preserve">כַּד אָתָא מֹשֶׁה בָּתַר יַעֲקֹב אִשְׁתַּלִּים בֵּיהּ ה' בַּתְרָאָה, וְשַׁרְיָא עֲלֵיהּ יה''ו, וְאִשְׁתַּלִּים בֵּיהּ יהו''ה, וּבְגִין דָּא וּשְׁמִי יהו''ה לֹא נוֹדַעְתִּי לָהֶם </w:t>
      </w:r>
      <w:r>
        <w:rPr>
          <w:b w:val="0"/>
          <w:sz w:val="20"/>
          <w:szCs w:val="23"/>
          <w:rtl/>
        </w:rPr>
        <w:t>(שמות ו ג)</w:t>
      </w:r>
      <w:r>
        <w:rPr>
          <w:b w:val="0"/>
          <w:bCs w:val="0"/>
          <w:rtl/>
        </w:rPr>
        <w:t xml:space="preserve">, אֲבָל </w:t>
      </w:r>
      <w:r>
        <w:rPr>
          <w:rStyle w:val="a7"/>
          <w:b w:val="0"/>
          <w:bCs w:val="0"/>
          <w:rtl/>
        </w:rPr>
        <w:footnoteReference w:id="5159"/>
      </w:r>
      <w:r>
        <w:rPr>
          <w:b w:val="0"/>
          <w:bCs w:val="0"/>
          <w:rtl/>
        </w:rPr>
        <w:t xml:space="preserve">לְמֹשֶׁה וְאָמְרוּ לִ''י מַ''ה שְּׁמ''וֹ מָ''ה אוֹמַר אֲלֵיהֶם </w:t>
      </w:r>
      <w:r>
        <w:rPr>
          <w:b w:val="0"/>
          <w:sz w:val="20"/>
          <w:szCs w:val="23"/>
          <w:rtl/>
        </w:rPr>
        <w:t>(שם ג יג)</w:t>
      </w:r>
      <w:r>
        <w:rPr>
          <w:b w:val="0"/>
          <w:bCs w:val="0"/>
          <w:rtl/>
        </w:rPr>
        <w:t xml:space="preserve">, בְּגִין דְּאִשְׁתַּלִּים יהו''ה בְּמֹשֶׁה, אָמַר אָז הוּחַל לִקְרוֹא בְּשֵׁם יהו''ה, דִּבְקַדְמֵיתָא וּשְׁמִי יהו''ה לֹא נוֹדַעְתִּי לָהֶם, וּבָתַר דְּאִשְׁתַּלִּים בְּמֹשֶׁה יהו''ה שַׁרְיָא עֲלֵיהּ יו''ד ה''א וא''ו ה''א, </w:t>
      </w:r>
      <w:r>
        <w:rPr>
          <w:rStyle w:val="a7"/>
          <w:b w:val="0"/>
          <w:bCs w:val="0"/>
          <w:rtl/>
        </w:rPr>
        <w:footnoteReference w:id="5160"/>
      </w:r>
      <w:r>
        <w:rPr>
          <w:b w:val="0"/>
          <w:bCs w:val="0"/>
          <w:rtl/>
        </w:rPr>
        <w:t>וְאִתְקְרֵי מַ''ה בְּהַהוּא זִמְנָא מַה דְּאִסְתַּלַּק בְּקַדְמֵיתָא אַהֲדַר לֵיהּ לְאַתְרֵיהּ, וְאִתְתַּקַּן כֹּלָּא.</w:t>
      </w:r>
    </w:p>
    <w:p w:rsidR="006D2826" w:rsidRDefault="006D2826" w:rsidP="00C535E9">
      <w:pPr>
        <w:pStyle w:val="3"/>
        <w:bidi/>
        <w:rPr>
          <w:rtl/>
        </w:rPr>
      </w:pPr>
      <w:r>
        <w:rPr>
          <w:rtl/>
        </w:rPr>
        <w:t xml:space="preserve">[תיקוני זוהר - דף קיט ע''א] </w:t>
      </w:r>
    </w:p>
    <w:p w:rsidR="006D2826" w:rsidRDefault="006D2826" w:rsidP="006D2826">
      <w:pPr>
        <w:pStyle w:val="NormalWeb"/>
        <w:rPr>
          <w:b w:val="0"/>
          <w:bCs w:val="0"/>
          <w:rtl/>
        </w:rPr>
      </w:pPr>
      <w:r>
        <w:rPr>
          <w:rStyle w:val="a7"/>
          <w:b w:val="0"/>
          <w:bCs w:val="0"/>
          <w:rtl/>
        </w:rPr>
        <w:footnoteReference w:id="5161"/>
      </w:r>
      <w:r>
        <w:rPr>
          <w:b w:val="0"/>
          <w:bCs w:val="0"/>
          <w:rtl/>
        </w:rPr>
        <w:t xml:space="preserve">וְלָא עוֹד אֶלָּא תְּרֵין זִמְנִין אִתְּמַר בְּהַאי קְרָא מַה, הֲדָא הוּא דִכְתִיב וְאָמְרוּ לִי מַה שְּׁמוֹ מָה אוֹמַר אֲלֵיהֶם, דְּכֹלָּא חָזַר לְאַתְרֵיהּ, מַה דִּלְעִילָא מַה דִּלְתַתָּא, דְּאִינוּן מַה שְּׁמוֹ וּמַה שֶּׁם בְּנוֹ </w:t>
      </w:r>
      <w:r w:rsidRPr="00C535E9">
        <w:rPr>
          <w:b w:val="0"/>
          <w:bCs w:val="0"/>
          <w:rtl/>
        </w:rPr>
        <w:t>(משלי ל ד)</w:t>
      </w:r>
      <w:r>
        <w:rPr>
          <w:b w:val="0"/>
          <w:bCs w:val="0"/>
          <w:rtl/>
        </w:rPr>
        <w:t xml:space="preserve">, וְחָזַר כֹּלָּא עַל תִּקּוּנֵיהּ, וְעִלַּת הָעִלּוֹת נָחִית עַל כֹּלָּא, בְּהַהוּא זִמְנָא דְהָדַר אֱמוּנָה </w:t>
      </w:r>
      <w:r w:rsidRPr="00C535E9">
        <w:rPr>
          <w:b w:val="0"/>
          <w:bCs w:val="0"/>
          <w:rtl/>
        </w:rPr>
        <w:t>(ס''א ממונה) לְאַתְרָהּ, אָמַר</w:t>
      </w:r>
      <w:r w:rsidRPr="00C535E9">
        <w:rPr>
          <w:rtl/>
        </w:rPr>
        <w:t xml:space="preserve"> </w:t>
      </w:r>
      <w:r w:rsidRPr="00C535E9">
        <w:rPr>
          <w:b w:val="0"/>
          <w:bCs w:val="0"/>
          <w:rtl/>
        </w:rPr>
        <w:t>מֹשֶׁה (דברים ו ד)</w:t>
      </w:r>
      <w:r>
        <w:rPr>
          <w:b w:val="0"/>
          <w:bCs w:val="0"/>
          <w:rtl/>
        </w:rPr>
        <w:t xml:space="preserve"> שְׁמַע יִשְׂרָאֵל יהו''ה אלהינ''ו יהו''ה אֶחָד, דְּהָא כֹלָּא בְיִחוּדָא </w:t>
      </w:r>
      <w:r w:rsidRPr="00C535E9">
        <w:rPr>
          <w:b w:val="0"/>
          <w:bCs w:val="0"/>
          <w:rtl/>
        </w:rPr>
        <w:t xml:space="preserve">(דף קיט ע''א) </w:t>
      </w:r>
      <w:r>
        <w:rPr>
          <w:b w:val="0"/>
          <w:bCs w:val="0"/>
          <w:rtl/>
        </w:rPr>
        <w:t xml:space="preserve">חֲדָא לֵית תַּמָּן קִצּוּץ וּפִרוּד, וְאִי חָאב אֲבוֹי וְאַנָא </w:t>
      </w:r>
      <w:r w:rsidRPr="00C535E9">
        <w:rPr>
          <w:b w:val="0"/>
          <w:bCs w:val="0"/>
          <w:rtl/>
        </w:rPr>
        <w:t>(וְעַבִיד הַפְרָשָׁה)</w:t>
      </w:r>
      <w:r>
        <w:rPr>
          <w:b w:val="0"/>
          <w:bCs w:val="0"/>
          <w:rtl/>
        </w:rPr>
        <w:t xml:space="preserve"> </w:t>
      </w:r>
      <w:r>
        <w:rPr>
          <w:rStyle w:val="a7"/>
          <w:b w:val="0"/>
          <w:bCs w:val="0"/>
          <w:rtl/>
        </w:rPr>
        <w:footnoteReference w:id="5162"/>
      </w:r>
      <w:r>
        <w:rPr>
          <w:b w:val="0"/>
          <w:bCs w:val="0"/>
          <w:rtl/>
        </w:rPr>
        <w:t xml:space="preserve">הָא קַבֵּילְנָא עוֹנְשָׁא, </w:t>
      </w:r>
      <w:r>
        <w:rPr>
          <w:rStyle w:val="a7"/>
          <w:b w:val="0"/>
          <w:bCs w:val="0"/>
          <w:rtl/>
        </w:rPr>
        <w:footnoteReference w:id="5163"/>
      </w:r>
      <w:r>
        <w:rPr>
          <w:b w:val="0"/>
          <w:bCs w:val="0"/>
          <w:rtl/>
        </w:rPr>
        <w:t>וַחֲזַרְנָא כֹלָּא לְאַתְרֵיהּ בְּיִחוּדָא שְׁלִים בְּלָא קִצּוּץ וּפִרוּד.</w:t>
      </w:r>
    </w:p>
    <w:p w:rsidR="006D2826" w:rsidRDefault="006D2826" w:rsidP="006D2826">
      <w:pPr>
        <w:pStyle w:val="NormalWeb"/>
        <w:rPr>
          <w:b w:val="0"/>
          <w:bCs w:val="0"/>
          <w:rtl/>
        </w:rPr>
      </w:pPr>
      <w:r>
        <w:rPr>
          <w:rStyle w:val="a7"/>
          <w:b w:val="0"/>
          <w:bCs w:val="0"/>
          <w:rtl/>
        </w:rPr>
        <w:footnoteReference w:id="5164"/>
      </w:r>
      <w:r>
        <w:rPr>
          <w:b w:val="0"/>
          <w:bCs w:val="0"/>
          <w:rtl/>
        </w:rPr>
        <w:t>תָּא חֲזִי שֶׁבַע הֵיכָלִין אִינוּן דְּבִנְיָנָא דִלְהוֹן בְּשֶׁבַע שְׁמָהָן אבגי''תץ וכו'.</w:t>
      </w:r>
    </w:p>
    <w:p w:rsidR="006D2826" w:rsidRDefault="006D2826" w:rsidP="006D2826">
      <w:pPr>
        <w:pStyle w:val="NormalWeb"/>
        <w:rPr>
          <w:b w:val="0"/>
          <w:bCs w:val="0"/>
          <w:rtl/>
        </w:rPr>
      </w:pPr>
      <w:r>
        <w:rPr>
          <w:rStyle w:val="a7"/>
          <w:b w:val="0"/>
          <w:bCs w:val="0"/>
          <w:rtl/>
        </w:rPr>
        <w:footnoteReference w:id="5165"/>
      </w:r>
      <w:r>
        <w:rPr>
          <w:b w:val="0"/>
          <w:bCs w:val="0"/>
          <w:rtl/>
        </w:rPr>
        <w:t xml:space="preserve">הֵיכָלָא קַדְמָאָה מְרַקְּמָא בְּכָל מַה דְּאִית בְּיוֹמָא קַדְמָאָה דִבְּרֵאשִׁית, </w:t>
      </w:r>
      <w:r>
        <w:rPr>
          <w:rStyle w:val="a7"/>
          <w:b w:val="0"/>
          <w:bCs w:val="0"/>
          <w:rtl/>
        </w:rPr>
        <w:footnoteReference w:id="5166"/>
      </w:r>
      <w:r>
        <w:rPr>
          <w:b w:val="0"/>
          <w:bCs w:val="0"/>
          <w:rtl/>
        </w:rPr>
        <w:t xml:space="preserve">א' מִן אבגית''ץ אִיהוּ כֶּתֶר אָמוֹן מוּפְלָא וּמְכוּסֶה, </w:t>
      </w:r>
      <w:r>
        <w:rPr>
          <w:rStyle w:val="a7"/>
          <w:b w:val="0"/>
          <w:bCs w:val="0"/>
          <w:rtl/>
        </w:rPr>
        <w:footnoteReference w:id="5167"/>
      </w:r>
      <w:r>
        <w:rPr>
          <w:b w:val="0"/>
          <w:bCs w:val="0"/>
          <w:rtl/>
        </w:rPr>
        <w:t xml:space="preserve">אָת ב אִיהוּ שְׁנֵי אֲלָפִים </w:t>
      </w:r>
      <w:r>
        <w:rPr>
          <w:b w:val="0"/>
          <w:sz w:val="20"/>
          <w:szCs w:val="23"/>
          <w:rtl/>
        </w:rPr>
        <w:t>(יום)</w:t>
      </w:r>
      <w:r>
        <w:rPr>
          <w:b w:val="0"/>
          <w:bCs w:val="0"/>
          <w:rtl/>
        </w:rPr>
        <w:t xml:space="preserve"> דַּהֲוָה אוֹרַיְיתָא טְמִירָא בְחֵיקוֹ, שַׁעֲשׁוּעִים יוֹם יוֹם </w:t>
      </w:r>
      <w:r w:rsidRPr="00C535E9">
        <w:rPr>
          <w:b w:val="0"/>
          <w:bCs w:val="0"/>
          <w:rtl/>
        </w:rPr>
        <w:t>(משלי ח ל)</w:t>
      </w:r>
      <w:r>
        <w:rPr>
          <w:b w:val="0"/>
          <w:bCs w:val="0"/>
          <w:rtl/>
        </w:rPr>
        <w:t xml:space="preserve">, </w:t>
      </w:r>
      <w:r>
        <w:rPr>
          <w:rStyle w:val="a7"/>
          <w:b w:val="0"/>
          <w:bCs w:val="0"/>
          <w:rtl/>
        </w:rPr>
        <w:footnoteReference w:id="5168"/>
      </w:r>
      <w:r>
        <w:rPr>
          <w:b w:val="0"/>
          <w:bCs w:val="0"/>
          <w:rtl/>
        </w:rPr>
        <w:t xml:space="preserve">ג' </w:t>
      </w:r>
      <w:r>
        <w:rPr>
          <w:rStyle w:val="a7"/>
          <w:b w:val="0"/>
          <w:bCs w:val="0"/>
          <w:rtl/>
        </w:rPr>
        <w:footnoteReference w:id="5169"/>
      </w:r>
      <w:r>
        <w:rPr>
          <w:b w:val="0"/>
          <w:bCs w:val="0"/>
          <w:rtl/>
        </w:rPr>
        <w:t xml:space="preserve">גּוֹמֶלֶת וּמְגַדֶּלֶת, וְאִיהִי אִימָּא עִלָּאָה גוֹמֶלֶת חֶסֶד עִם סְפִירָה רְבִיעָאָה דְאִיהִי ד', ית''ץ </w:t>
      </w:r>
      <w:r>
        <w:rPr>
          <w:rStyle w:val="a7"/>
          <w:b w:val="0"/>
          <w:bCs w:val="0"/>
          <w:rtl/>
        </w:rPr>
        <w:footnoteReference w:id="5170"/>
      </w:r>
      <w:r>
        <w:rPr>
          <w:b w:val="0"/>
          <w:bCs w:val="0"/>
          <w:rtl/>
        </w:rPr>
        <w:t>י' חָכְמָה, ת' תִּפְאֶרֶת, צ' צַדִּיק, וּמָאן אִיהוּ חָכְמָה י' הָכָא, דָּא חָכְמַת שְׁלֹמֹה.</w:t>
      </w:r>
    </w:p>
    <w:p w:rsidR="006D2826" w:rsidRDefault="006D2826" w:rsidP="006D2826">
      <w:pPr>
        <w:pStyle w:val="NormalWeb"/>
        <w:rPr>
          <w:b w:val="0"/>
          <w:bCs w:val="0"/>
          <w:rtl/>
        </w:rPr>
      </w:pPr>
      <w:r>
        <w:rPr>
          <w:rStyle w:val="a7"/>
          <w:b w:val="0"/>
          <w:bCs w:val="0"/>
          <w:rtl/>
        </w:rPr>
        <w:footnoteReference w:id="5171"/>
      </w:r>
      <w:r>
        <w:rPr>
          <w:b w:val="0"/>
          <w:bCs w:val="0"/>
          <w:rtl/>
        </w:rPr>
        <w:t xml:space="preserve">א' אָמוֹן מוּפְלָא, רָקִים וְצִיֵּיר צִיּוּרָא </w:t>
      </w:r>
      <w:r>
        <w:rPr>
          <w:rStyle w:val="a7"/>
          <w:b w:val="0"/>
          <w:bCs w:val="0"/>
          <w:rtl/>
        </w:rPr>
        <w:footnoteReference w:id="5172"/>
      </w:r>
      <w:r>
        <w:rPr>
          <w:b w:val="0"/>
          <w:bCs w:val="0"/>
          <w:rtl/>
        </w:rPr>
        <w:t xml:space="preserve">בְהֵיכָלָא דְאָדָם קַדְמָאָה דְכָל קְדוּמִים, דְּאִית אָדָם וְאִית אָדָם, אִית אָדָם דְּלֵית סְפִירָה דְלָא אִתְקְרִיאַת אָדָם, אֲבָל אָדָם קַדְמָאָה עִלָּאָה דְכֻלְּהוּ, כֶּתֶר עֶלְיוֹן, סָתִים וְטָמִיר, סָתִים דְּכָל סְתִימִין, עִלַּת הָעִלּוֹת, קַדְמוֹן לְכָל קְדוּמִים, </w:t>
      </w:r>
      <w:r>
        <w:rPr>
          <w:rStyle w:val="a7"/>
          <w:b w:val="0"/>
          <w:bCs w:val="0"/>
          <w:rtl/>
        </w:rPr>
        <w:footnoteReference w:id="5173"/>
      </w:r>
      <w:r>
        <w:rPr>
          <w:b w:val="0"/>
          <w:bCs w:val="0"/>
          <w:rtl/>
        </w:rPr>
        <w:t xml:space="preserve">בְּגִין הַאי אָדָם קַדְמוֹן אִתְּמַר בְּעִלַּת הָעִלּוֹת, וָאֶהְיֶה אֶצְלוֹ אָמוֹן, וּלְהַהוּא קַדְמוֹן אָמַר </w:t>
      </w:r>
      <w:r w:rsidRPr="00C535E9">
        <w:rPr>
          <w:b w:val="0"/>
          <w:bCs w:val="0"/>
          <w:rtl/>
        </w:rPr>
        <w:t>(בראשית א כו)</w:t>
      </w:r>
      <w:r>
        <w:rPr>
          <w:b w:val="0"/>
          <w:bCs w:val="0"/>
          <w:rtl/>
        </w:rPr>
        <w:t xml:space="preserve"> נַעֲשֶׂה אָדָם בְּצַלְמֵנוּ כִּדְמוּתֵנוּ, </w:t>
      </w:r>
      <w:r>
        <w:rPr>
          <w:rStyle w:val="a7"/>
          <w:b w:val="0"/>
          <w:bCs w:val="0"/>
          <w:rtl/>
        </w:rPr>
        <w:footnoteReference w:id="5174"/>
      </w:r>
      <w:r>
        <w:rPr>
          <w:b w:val="0"/>
          <w:bCs w:val="0"/>
          <w:rtl/>
        </w:rPr>
        <w:t xml:space="preserve">אַנְתְּ יָהִיב כָּל צִיּוּרִין וְכָל דִּיּוֹקְנִין וְכָל תִּקּוּנִין סְתִימִין, </w:t>
      </w:r>
      <w:r>
        <w:rPr>
          <w:rStyle w:val="a7"/>
          <w:b w:val="0"/>
          <w:bCs w:val="0"/>
          <w:rtl/>
        </w:rPr>
        <w:footnoteReference w:id="5175"/>
      </w:r>
      <w:r>
        <w:rPr>
          <w:b w:val="0"/>
          <w:bCs w:val="0"/>
          <w:rtl/>
        </w:rPr>
        <w:t xml:space="preserve">וְכָל אֵבָרִין וְכָל גְּוָונִין, וַאַנָא יָהִיב חֵילָא דְּיִשְׁתְּמוֹדַא בֵּיהּ, דְּאִם לָא יְהִיב לֵיהּ שֵׂכֶל הָא לָא יָכִיל לְמִנְדַּע אֱמוּנָה דִילִי, וּבְדָא יְהֵא שַׁלִּיט עַל כָּל חֵילֵי </w:t>
      </w:r>
      <w:r>
        <w:rPr>
          <w:rStyle w:val="a7"/>
          <w:b w:val="0"/>
          <w:bCs w:val="0"/>
          <w:rtl/>
        </w:rPr>
        <w:footnoteReference w:id="5176"/>
      </w:r>
      <w:r>
        <w:rPr>
          <w:b w:val="0"/>
          <w:bCs w:val="0"/>
          <w:rtl/>
        </w:rPr>
        <w:t xml:space="preserve">שְׁמַיָּא וְאַרְעָא וְיַמָּא, הֲדָא הוּא דִכְתִיב </w:t>
      </w:r>
      <w:r w:rsidRPr="00C535E9">
        <w:rPr>
          <w:b w:val="0"/>
          <w:bCs w:val="0"/>
          <w:rtl/>
        </w:rPr>
        <w:t>(שם)</w:t>
      </w:r>
      <w:r>
        <w:rPr>
          <w:b w:val="0"/>
          <w:bCs w:val="0"/>
          <w:rtl/>
        </w:rPr>
        <w:t xml:space="preserve"> וְיִרְדּוּ בִדְגַת הַיָּם וְגוֹמֵר.</w:t>
      </w:r>
    </w:p>
    <w:p w:rsidR="006D2826" w:rsidRDefault="006D2826" w:rsidP="006D2826">
      <w:pPr>
        <w:pStyle w:val="NormalWeb"/>
        <w:rPr>
          <w:b w:val="0"/>
          <w:bCs w:val="0"/>
          <w:rtl/>
        </w:rPr>
      </w:pPr>
      <w:r>
        <w:rPr>
          <w:rStyle w:val="a7"/>
          <w:b w:val="0"/>
          <w:bCs w:val="0"/>
          <w:rtl/>
        </w:rPr>
        <w:footnoteReference w:id="5177"/>
      </w:r>
      <w:r>
        <w:rPr>
          <w:b w:val="0"/>
          <w:bCs w:val="0"/>
          <w:rtl/>
        </w:rPr>
        <w:t xml:space="preserve">וּמַאי נִיהוּ </w:t>
      </w:r>
      <w:r>
        <w:rPr>
          <w:rStyle w:val="a7"/>
          <w:b w:val="0"/>
          <w:bCs w:val="0"/>
          <w:rtl/>
        </w:rPr>
        <w:footnoteReference w:id="5178"/>
      </w:r>
      <w:r>
        <w:rPr>
          <w:b w:val="0"/>
          <w:bCs w:val="0"/>
          <w:rtl/>
        </w:rPr>
        <w:t>הַאי אָדָם דְּאִתְּמַר בֵּיהּ נַעֲשֶׂה אָדָם, דָּא חָכְמָה עִלָּאָה דְאִיהִי בְדִיּוֹקְנָא דְכֶתֶר, וְעוֹד נַעֲשֶׂה אָדָם דָּא עַמּוּדָא דְאֶמְצָעִיתָא, בְּצַלְמֵנוּ דָא חָכְמָה, כִּדְמוּתֵנוּ דָא אִימָּא עִלָּאָה, דִּכְמָה דְאִיהוּ אָדָם דִּבְּרִיאָה אָדָם דִּיצִירָה אָדָם דַּעֲשִׂיָּה, בְדִיּוֹקְנָא דְכֶתֶר עֶלְיוֹן חָכְמָה וּבִינָה, הָכִי אִיהוּ בְדִיּוֹקְנָא דְעַמּוּדָא דְאֶמְצָעִיתָא וְצַדִּיק וּשְׁכִינְתָּא תַּתָּאָה, דְבִסְפִירָן כֹּלָּא אִיהוּ אֲצִילוּת.</w:t>
      </w:r>
    </w:p>
    <w:p w:rsidR="006D2826" w:rsidRDefault="006D2826" w:rsidP="006D2826">
      <w:pPr>
        <w:pStyle w:val="NormalWeb"/>
        <w:rPr>
          <w:b w:val="0"/>
          <w:bCs w:val="0"/>
          <w:rtl/>
        </w:rPr>
      </w:pPr>
      <w:r>
        <w:rPr>
          <w:rStyle w:val="a7"/>
          <w:b w:val="0"/>
          <w:bCs w:val="0"/>
          <w:rtl/>
        </w:rPr>
        <w:footnoteReference w:id="5179"/>
      </w:r>
      <w:r>
        <w:rPr>
          <w:b w:val="0"/>
          <w:bCs w:val="0"/>
          <w:rtl/>
        </w:rPr>
        <w:t xml:space="preserve">וְעוֹד נַעֲשֶׂה אָדָם, עִלַּת הָעִלּוֹת לְמָאן אָמַר הַאי, אֶלָּא עִלַּת הָעִלּוֹת אָמַר לְיו''ד ה''א וא''ו ה''א דְאִיהוּ לְגוֹ מֵעֲשַׂר סְפִירָן, וּמַאי נִיהוּ עֲשַׂר סְפִירָן אל''ף ה''א יו''ד ה''א, וְהַהוּא דְאָמַר נַעֲשֶׂה אָדָם אִיהוּ יו''ד ה''י וא''ו ה''י, אֲנִי רִאשׁוֹן וַאֲנִי אַחֲרוֹן וּמִבַּלְעָדַי אֵין אלהי''ם </w:t>
      </w:r>
      <w:r>
        <w:rPr>
          <w:b w:val="0"/>
          <w:sz w:val="20"/>
          <w:szCs w:val="23"/>
          <w:rtl/>
        </w:rPr>
        <w:t>(ישעיה מד ו)</w:t>
      </w:r>
      <w:r>
        <w:rPr>
          <w:b w:val="0"/>
          <w:bCs w:val="0"/>
          <w:rtl/>
        </w:rPr>
        <w:t>, תְּלַת יוּדִי''ן מְעִידִין עֲלֵיהּ דְּלֵית לְעִילָא מִנֵּיהּ וְלֵית לְתַתָּא מִנֵּיהּ וְלַאו בְּאֶמְצָעִיתָא, לֵית אֱלוֹהַ בְּכָל צַד בַּר מִינֵיהּ, בְּהַאי שְׁמָא אִשְׁתְּמוֹדָע הוּא בְּלָא חוּשְׁבָּן.</w:t>
      </w:r>
    </w:p>
    <w:p w:rsidR="006D2826" w:rsidRDefault="006D2826" w:rsidP="006D2826">
      <w:pPr>
        <w:pStyle w:val="NormalWeb"/>
        <w:rPr>
          <w:b w:val="0"/>
          <w:bCs w:val="0"/>
          <w:rtl/>
        </w:rPr>
      </w:pPr>
      <w:r>
        <w:rPr>
          <w:rStyle w:val="a7"/>
          <w:b w:val="0"/>
          <w:bCs w:val="0"/>
          <w:rtl/>
        </w:rPr>
        <w:footnoteReference w:id="5180"/>
      </w:r>
      <w:r>
        <w:rPr>
          <w:b w:val="0"/>
          <w:bCs w:val="0"/>
          <w:rtl/>
        </w:rPr>
        <w:t xml:space="preserve">וְצִיּוּרָא דְּהַאי הֵיכָל, אִינוּן עֲשַׂר סְפִירָן דְּמִתְלַבְּשָׁן בַּעֲשָׂרָה דְבָרִים דְּאִתְבְּרִיאוּ בְיוֹמָא קַדְמָאָה, וְאִינוּן שָׁמַיִם וְאֶרֶץ, אוֹר וְחֹשֶׁךְ, תֹּהוּ וָבֹהוּ, רוּחַ וּמַיִם, מִדַּת יוֹם וּמִדַּת לַיְלָה, </w:t>
      </w:r>
      <w:r>
        <w:rPr>
          <w:rStyle w:val="a7"/>
          <w:b w:val="0"/>
          <w:bCs w:val="0"/>
          <w:rtl/>
        </w:rPr>
        <w:footnoteReference w:id="5181"/>
      </w:r>
      <w:r>
        <w:rPr>
          <w:b w:val="0"/>
          <w:bCs w:val="0"/>
          <w:rtl/>
        </w:rPr>
        <w:t xml:space="preserve">שָׁמַיִם אִית לְעִילָא מִן שָׁמַיִם דְּאִיהוּ שְׁמֵי הַשָּׁמַיִם הָעֶלְיוֹנִים, וְאִית אוֹר לְעִילָא לְעִילָא דְאִתְקְרִי אוֹר הַגָּנוּז לְצַדִּיקַיָּיא לְעָלְמָא דְאָתֵי, דְעִינָא לָא שַׁלִּיט עֲלֵיהּ, וְאִית חֹשֶׁךְ סָתִים דְּאִתְּמַר בֵּיהּ </w:t>
      </w:r>
      <w:r w:rsidRPr="00C535E9">
        <w:rPr>
          <w:b w:val="0"/>
          <w:bCs w:val="0"/>
          <w:rtl/>
        </w:rPr>
        <w:t>(תהלים יח יב)</w:t>
      </w:r>
      <w:r>
        <w:rPr>
          <w:b w:val="0"/>
          <w:bCs w:val="0"/>
          <w:rtl/>
        </w:rPr>
        <w:t xml:space="preserve"> יָשֶׁת חֹשֶׁךְ סִתְרוֹ, וְאִית תֹּהוּ וָבֹהוּ לְעִילָא, דְאִתְּמַר בְּהוֹן </w:t>
      </w:r>
      <w:r w:rsidRPr="00C535E9">
        <w:rPr>
          <w:b w:val="0"/>
          <w:bCs w:val="0"/>
          <w:rtl/>
        </w:rPr>
        <w:t xml:space="preserve">(ישעיה לד יא) קַו תֹהוּ וְאַבְנֵי בֹהוּ. </w:t>
      </w:r>
      <w:r>
        <w:rPr>
          <w:b w:val="0"/>
          <w:bCs w:val="0"/>
          <w:rtl/>
        </w:rPr>
        <w:t xml:space="preserve">וְאִית רוּחָא דְקוּדְשָׁא, </w:t>
      </w:r>
      <w:r>
        <w:rPr>
          <w:rStyle w:val="a7"/>
          <w:b w:val="0"/>
          <w:bCs w:val="0"/>
          <w:rtl/>
        </w:rPr>
        <w:footnoteReference w:id="5182"/>
      </w:r>
      <w:r>
        <w:rPr>
          <w:b w:val="0"/>
          <w:bCs w:val="0"/>
          <w:rtl/>
        </w:rPr>
        <w:t xml:space="preserve">דְאִתְּמַר בֵּיהּ רוּחוֹ הַקָּדוֹשׁ הַמְּרַחֶפֶת עַל אַנְפֵּי מַיָּא דְאוֹרַיְיתָא, </w:t>
      </w:r>
      <w:r>
        <w:rPr>
          <w:rStyle w:val="a7"/>
          <w:b w:val="0"/>
          <w:bCs w:val="0"/>
          <w:rtl/>
        </w:rPr>
        <w:footnoteReference w:id="5183"/>
      </w:r>
      <w:r>
        <w:rPr>
          <w:b w:val="0"/>
          <w:bCs w:val="0"/>
          <w:rtl/>
        </w:rPr>
        <w:t xml:space="preserve">מִדַּת יוֹם וּמִדַּת לַיְלָה, מִדַּת יוֹם שְׁכִינְתָּא עִלָּאָה, מַאי יוֹם עַמּוּדָא דְאֶמְצָעִיתָא, </w:t>
      </w:r>
      <w:r>
        <w:rPr>
          <w:rStyle w:val="a7"/>
          <w:b w:val="0"/>
          <w:bCs w:val="0"/>
          <w:rtl/>
        </w:rPr>
        <w:footnoteReference w:id="5184"/>
      </w:r>
      <w:r>
        <w:rPr>
          <w:b w:val="0"/>
          <w:bCs w:val="0"/>
          <w:rtl/>
        </w:rPr>
        <w:t xml:space="preserve">דְמִנֵּיהּ יוֹמִין אֲרוּכִין, הֲדָא הוּא דִכְתִיב </w:t>
      </w:r>
      <w:r>
        <w:rPr>
          <w:b w:val="0"/>
          <w:sz w:val="20"/>
          <w:szCs w:val="23"/>
          <w:rtl/>
        </w:rPr>
        <w:t>(משלי ג ב)</w:t>
      </w:r>
      <w:r>
        <w:rPr>
          <w:b w:val="0"/>
          <w:bCs w:val="0"/>
          <w:rtl/>
        </w:rPr>
        <w:t xml:space="preserve"> אֹרֶךְ יָמִים בִּימִינָהּ, הֲדָא הוּא דִכְתִיב </w:t>
      </w:r>
      <w:r w:rsidRPr="00C535E9">
        <w:rPr>
          <w:b w:val="0"/>
          <w:bCs w:val="0"/>
          <w:rtl/>
        </w:rPr>
        <w:t>(תהלים מב ט)</w:t>
      </w:r>
      <w:r>
        <w:rPr>
          <w:b w:val="0"/>
          <w:bCs w:val="0"/>
          <w:rtl/>
        </w:rPr>
        <w:t xml:space="preserve"> יוֹמָם יְצַוְּה יהו''ה חַסְדּוֹ, יוֹמִין זְעִירִין מִסִּטְרָא דִזְעִיר אַנְפִּין צַדִּיק, מִדַּת לַיְלָה אִימָּא תַּתָּאָה, עַד הָכָא א' מִן אב''ג.</w:t>
      </w:r>
    </w:p>
    <w:p w:rsidR="006D2826" w:rsidRDefault="006D2826" w:rsidP="00C535E9">
      <w:pPr>
        <w:pStyle w:val="3"/>
        <w:bidi/>
        <w:rPr>
          <w:rtl/>
        </w:rPr>
      </w:pPr>
      <w:r>
        <w:rPr>
          <w:rtl/>
        </w:rPr>
        <w:t xml:space="preserve">[תיקוני זוהר - דף קיט ע''ב] </w:t>
      </w:r>
    </w:p>
    <w:p w:rsidR="006D2826" w:rsidRDefault="006D2826" w:rsidP="006D2826">
      <w:pPr>
        <w:pStyle w:val="NormalWeb"/>
        <w:rPr>
          <w:b w:val="0"/>
          <w:bCs w:val="0"/>
          <w:rtl/>
        </w:rPr>
      </w:pPr>
      <w:r>
        <w:rPr>
          <w:rStyle w:val="a7"/>
          <w:b w:val="0"/>
          <w:bCs w:val="0"/>
          <w:rtl/>
        </w:rPr>
        <w:footnoteReference w:id="5185"/>
      </w:r>
      <w:r>
        <w:rPr>
          <w:b w:val="0"/>
          <w:bCs w:val="0"/>
          <w:rtl/>
        </w:rPr>
        <w:t xml:space="preserve">מַאי ב' </w:t>
      </w:r>
      <w:r>
        <w:rPr>
          <w:b w:val="0"/>
          <w:sz w:val="20"/>
          <w:szCs w:val="23"/>
          <w:rtl/>
        </w:rPr>
        <w:t>(בינה)</w:t>
      </w:r>
      <w:r>
        <w:rPr>
          <w:b w:val="0"/>
          <w:bCs w:val="0"/>
          <w:rtl/>
        </w:rPr>
        <w:t xml:space="preserve">, בָּהּ אִשְׁתְּמוֹדְעִין דּוּ פַּרְצוּפִין דְּאָדָם עִלָּאָה, </w:t>
      </w:r>
      <w:r>
        <w:rPr>
          <w:rStyle w:val="a7"/>
          <w:b w:val="0"/>
          <w:bCs w:val="0"/>
          <w:rtl/>
        </w:rPr>
        <w:footnoteReference w:id="5186"/>
      </w:r>
      <w:r>
        <w:rPr>
          <w:b w:val="0"/>
          <w:bCs w:val="0"/>
          <w:rtl/>
        </w:rPr>
        <w:t xml:space="preserve">ג' תְּלַת דִּיּוֹקְנִין, כְּגַוְונָא דְאָדָם דִּבְּרִיאָה וְאָדָם דִּיצִירָה וְאָדָם דַּעֲשִׂיָּה, </w:t>
      </w:r>
      <w:r>
        <w:rPr>
          <w:rStyle w:val="a7"/>
          <w:b w:val="0"/>
          <w:bCs w:val="0"/>
          <w:rtl/>
        </w:rPr>
        <w:footnoteReference w:id="5187"/>
      </w:r>
      <w:r>
        <w:rPr>
          <w:b w:val="0"/>
          <w:bCs w:val="0"/>
          <w:rtl/>
        </w:rPr>
        <w:t xml:space="preserve">ג' אִית לָהּ </w:t>
      </w:r>
      <w:r>
        <w:rPr>
          <w:b w:val="0"/>
          <w:sz w:val="20"/>
          <w:szCs w:val="23"/>
          <w:rtl/>
        </w:rPr>
        <w:t xml:space="preserve">(דף קיט ע''ב) </w:t>
      </w:r>
      <w:r>
        <w:rPr>
          <w:b w:val="0"/>
          <w:bCs w:val="0"/>
          <w:rtl/>
        </w:rPr>
        <w:t xml:space="preserve">רֵישָׁא וְגוּפָא וּזְנָבָא, רֵישָׁא דָא י', גּוּפָא פַּרְצוּפָא, קוֹצָא דִלְתַתָּא זָנָב, וּבְגִין דָּא אָמְרוּ מָארֵי מַתְנִיתִין, אָדָם הָרִאשׁוֹן עָשָׂה לוֹ פַּרְצוּף וּלְבַסּוֹף זָנָב, זָנָב עֲלֵיהּ אִתְּמַר </w:t>
      </w:r>
      <w:r>
        <w:rPr>
          <w:b w:val="0"/>
          <w:sz w:val="20"/>
          <w:szCs w:val="23"/>
          <w:rtl/>
        </w:rPr>
        <w:t>(בראשית כא ח)</w:t>
      </w:r>
      <w:r>
        <w:rPr>
          <w:b w:val="0"/>
          <w:bCs w:val="0"/>
          <w:rtl/>
        </w:rPr>
        <w:t xml:space="preserve"> וַיִּגְדַּל הַיֶּלֶד וַיִּגָּמַל, עַד דְּיִתְעֲבִיד פַּרְצוּף.</w:t>
      </w:r>
    </w:p>
    <w:p w:rsidR="006D2826" w:rsidRDefault="006D2826" w:rsidP="006D2826">
      <w:pPr>
        <w:pStyle w:val="NormalWeb"/>
        <w:rPr>
          <w:b w:val="0"/>
          <w:bCs w:val="0"/>
          <w:rtl/>
        </w:rPr>
      </w:pPr>
      <w:r>
        <w:rPr>
          <w:rStyle w:val="a7"/>
          <w:b w:val="0"/>
          <w:bCs w:val="0"/>
          <w:rtl/>
        </w:rPr>
        <w:footnoteReference w:id="5188"/>
      </w:r>
      <w:r>
        <w:rPr>
          <w:b w:val="0"/>
          <w:bCs w:val="0"/>
          <w:rtl/>
        </w:rPr>
        <w:t xml:space="preserve">וְעוֹד אבגית''ץ, </w:t>
      </w:r>
      <w:r>
        <w:rPr>
          <w:rStyle w:val="a7"/>
          <w:b w:val="0"/>
          <w:bCs w:val="0"/>
          <w:rtl/>
        </w:rPr>
        <w:footnoteReference w:id="5189"/>
      </w:r>
      <w:r>
        <w:rPr>
          <w:b w:val="0"/>
          <w:bCs w:val="0"/>
          <w:rtl/>
        </w:rPr>
        <w:t xml:space="preserve">א' אִיהִי מוֹרֶה עַל אֵ''ל מִסְתַּתֵּר מֵעִינֵי כָּל חָי וְנֶעְלָם מִכָּל הַיְצוּרִים כֻּלָּם, אדירירו''ן עֲלֵיהּ אִתְּמַר קוֹמָה אַדִּיר יָרוֹן, וְאִית מְמַנָּא תְּחוֹת יְדֵיהּ דְּאִתְקְרִי אַדִּי''ר אַדִּירִים, וּתְחוֹת מֶמְשַׁלְתֵּיהּ אתני''ה, וְאִיהוּ נָפִיק מֵהַאי פָּסוּק </w:t>
      </w:r>
      <w:r>
        <w:rPr>
          <w:b w:val="0"/>
          <w:sz w:val="20"/>
          <w:szCs w:val="23"/>
          <w:rtl/>
        </w:rPr>
        <w:t>(במדבר כד כא)</w:t>
      </w:r>
      <w:r>
        <w:rPr>
          <w:b w:val="0"/>
          <w:bCs w:val="0"/>
          <w:rtl/>
        </w:rPr>
        <w:t xml:space="preserve"> אֵיתָ''ן מוֹשָׁבֶךָ וְשִׂים בַּסֶּלַע קִנֶּ''ךָ, </w:t>
      </w:r>
      <w:r>
        <w:rPr>
          <w:rStyle w:val="a7"/>
          <w:b w:val="0"/>
          <w:bCs w:val="0"/>
          <w:rtl/>
        </w:rPr>
        <w:footnoteReference w:id="5190"/>
      </w:r>
      <w:r>
        <w:rPr>
          <w:b w:val="0"/>
          <w:bCs w:val="0"/>
          <w:rtl/>
        </w:rPr>
        <w:t xml:space="preserve">תַּמָּן אֵיתָ''ן וְאִיהוּ תַנְיָ''א, ק' קִנֶּךָ, </w:t>
      </w:r>
      <w:r>
        <w:rPr>
          <w:rStyle w:val="a7"/>
          <w:b w:val="0"/>
          <w:bCs w:val="0"/>
          <w:rtl/>
        </w:rPr>
        <w:footnoteReference w:id="5191"/>
      </w:r>
      <w:r>
        <w:rPr>
          <w:b w:val="0"/>
          <w:bCs w:val="0"/>
          <w:rtl/>
        </w:rPr>
        <w:t xml:space="preserve">קְנֵה חָכְמָה קְנֵה בִינָה </w:t>
      </w:r>
      <w:r>
        <w:rPr>
          <w:b w:val="0"/>
          <w:sz w:val="20"/>
          <w:szCs w:val="23"/>
          <w:rtl/>
        </w:rPr>
        <w:t>(משלי ד ה)</w:t>
      </w:r>
      <w:r>
        <w:rPr>
          <w:b w:val="0"/>
          <w:szCs w:val="23"/>
          <w:rtl/>
        </w:rPr>
        <w:t xml:space="preserve">, </w:t>
      </w:r>
      <w:r>
        <w:rPr>
          <w:rStyle w:val="Char"/>
          <w:rtl/>
        </w:rPr>
        <w:t>יהו''ה קָנָנִי רֵאשִׁית דַּרְכּוֹ</w:t>
      </w:r>
      <w:r>
        <w:rPr>
          <w:b w:val="0"/>
          <w:szCs w:val="23"/>
          <w:rtl/>
        </w:rPr>
        <w:t xml:space="preserve"> </w:t>
      </w:r>
      <w:r>
        <w:rPr>
          <w:b w:val="0"/>
          <w:sz w:val="20"/>
          <w:szCs w:val="23"/>
          <w:rtl/>
        </w:rPr>
        <w:t>(שם ח כב)</w:t>
      </w:r>
      <w:r>
        <w:rPr>
          <w:b w:val="0"/>
          <w:bCs w:val="0"/>
          <w:rtl/>
        </w:rPr>
        <w:t xml:space="preserve"> לְעִילָא מִכֹּלָּא, קֶדֶם מִפְעָלָיו מֵאָז, מֵעוֹלָם נִסַּכְתִּי מֵרֹאשׁ מִקַּדְמֵי אָרֶץ </w:t>
      </w:r>
      <w:r>
        <w:rPr>
          <w:b w:val="0"/>
          <w:sz w:val="20"/>
          <w:szCs w:val="23"/>
          <w:rtl/>
        </w:rPr>
        <w:t>(שם)</w:t>
      </w:r>
      <w:r>
        <w:rPr>
          <w:b w:val="0"/>
          <w:bCs w:val="0"/>
          <w:rtl/>
        </w:rPr>
        <w:t>, מַאי מֵרֹאשׁ, אֶלָּא הָכִי אָמְרַת אוֹרַיְיתָא דְאִיהִי רֵאשִׁית, אֲנָא אַקְדִּימַת לְמֶהֱוֵי רֵישָׁא לְעָלַם.</w:t>
      </w:r>
    </w:p>
    <w:p w:rsidR="006D2826" w:rsidRDefault="006D2826" w:rsidP="006D2826">
      <w:pPr>
        <w:pStyle w:val="NormalWeb"/>
        <w:rPr>
          <w:b w:val="0"/>
          <w:bCs w:val="0"/>
          <w:rtl/>
        </w:rPr>
      </w:pPr>
      <w:r>
        <w:rPr>
          <w:rStyle w:val="a7"/>
          <w:b w:val="0"/>
          <w:bCs w:val="0"/>
          <w:rtl/>
        </w:rPr>
        <w:footnoteReference w:id="5192"/>
      </w:r>
      <w:r>
        <w:rPr>
          <w:b w:val="0"/>
          <w:bCs w:val="0"/>
          <w:rtl/>
        </w:rPr>
        <w:t xml:space="preserve">ב' ביהרירו''ן </w:t>
      </w:r>
      <w:r>
        <w:rPr>
          <w:b w:val="0"/>
          <w:sz w:val="20"/>
          <w:szCs w:val="23"/>
          <w:rtl/>
        </w:rPr>
        <w:t>(נ''א ביהדירו''ן)</w:t>
      </w:r>
      <w:r>
        <w:rPr>
          <w:b w:val="0"/>
          <w:bCs w:val="0"/>
          <w:rtl/>
        </w:rPr>
        <w:t xml:space="preserve"> כִּי בְּיָ''הּ יהו''ה צוּר עוֹלָמִים </w:t>
      </w:r>
      <w:r>
        <w:rPr>
          <w:b w:val="0"/>
          <w:sz w:val="20"/>
          <w:szCs w:val="23"/>
          <w:rtl/>
        </w:rPr>
        <w:t>(ישעיה כו ד)</w:t>
      </w:r>
      <w:r>
        <w:rPr>
          <w:b w:val="0"/>
          <w:bCs w:val="0"/>
          <w:rtl/>
        </w:rPr>
        <w:t xml:space="preserve">, </w:t>
      </w:r>
      <w:r>
        <w:rPr>
          <w:rStyle w:val="a7"/>
          <w:b w:val="0"/>
          <w:bCs w:val="0"/>
          <w:rtl/>
        </w:rPr>
        <w:footnoteReference w:id="5193"/>
      </w:r>
      <w:r>
        <w:rPr>
          <w:b w:val="0"/>
          <w:bCs w:val="0"/>
          <w:rtl/>
        </w:rPr>
        <w:t xml:space="preserve">וְאִיהוּ ב' בָּרוּךְ, וְסִימָן </w:t>
      </w:r>
      <w:r>
        <w:rPr>
          <w:rStyle w:val="a7"/>
          <w:b w:val="0"/>
          <w:bCs w:val="0"/>
          <w:rtl/>
        </w:rPr>
        <w:footnoteReference w:id="5194"/>
      </w:r>
      <w:r>
        <w:rPr>
          <w:b w:val="0"/>
          <w:bCs w:val="0"/>
          <w:rtl/>
        </w:rPr>
        <w:t>בָּרוּ''ךְ רָאשֵׁי אַתְוָון, ב' בְּרָכוֹת, ר' רֹאשׁ, ו' וּמָקוֹר, ך' כָּל, דָא הוּא רֹאשׁ וּמְקוֹר לְכָל הַבְּרָכוֹת, וּבְגִין דָּא ב' אִיהִי חָכְמָה, וּמוֹרֶה עַל הַכֶּתֶר דְּאִיהוּ רֵישָׁא וּמַבּוּעָא דְכָל בִּרְכָאָן, וּבְגִין דָּא ב' תְּרֵין לְחִשְׁבְּנָא.</w:t>
      </w:r>
    </w:p>
    <w:p w:rsidR="006D2826" w:rsidRDefault="006D2826" w:rsidP="006D2826">
      <w:pPr>
        <w:pStyle w:val="NormalWeb"/>
        <w:rPr>
          <w:b w:val="0"/>
          <w:bCs w:val="0"/>
          <w:rtl/>
        </w:rPr>
      </w:pPr>
      <w:r>
        <w:rPr>
          <w:rStyle w:val="a7"/>
          <w:b w:val="0"/>
          <w:bCs w:val="0"/>
          <w:rtl/>
        </w:rPr>
        <w:footnoteReference w:id="5195"/>
      </w:r>
      <w:r>
        <w:rPr>
          <w:b w:val="0"/>
          <w:bCs w:val="0"/>
          <w:rtl/>
        </w:rPr>
        <w:t xml:space="preserve">ג' גיהרירו''ן, וְאִיהוּ תְלִיתָאָה, וְדָא שְׁכִינְתָּא עִלָּאָה סְפִירָה תְלִיתָאָה, </w:t>
      </w:r>
      <w:r>
        <w:rPr>
          <w:b w:val="0"/>
          <w:sz w:val="20"/>
          <w:szCs w:val="23"/>
          <w:rtl/>
        </w:rPr>
        <w:t>(ובגין דא ב' איהי חכמה, ומורה על הכתר דאיהו רישא דמבועא דכל ברכאן)</w:t>
      </w:r>
      <w:r>
        <w:rPr>
          <w:b w:val="0"/>
          <w:bCs w:val="0"/>
          <w:rtl/>
        </w:rPr>
        <w:t xml:space="preserve">, </w:t>
      </w:r>
      <w:r>
        <w:rPr>
          <w:rStyle w:val="a7"/>
          <w:b w:val="0"/>
          <w:bCs w:val="0"/>
          <w:rtl/>
        </w:rPr>
        <w:footnoteReference w:id="5196"/>
      </w:r>
      <w:r>
        <w:rPr>
          <w:b w:val="0"/>
          <w:bCs w:val="0"/>
          <w:rtl/>
        </w:rPr>
        <w:t xml:space="preserve">וַעֲלָהּ אִתְּמַר </w:t>
      </w:r>
      <w:r>
        <w:rPr>
          <w:b w:val="0"/>
          <w:sz w:val="20"/>
          <w:szCs w:val="23"/>
          <w:rtl/>
        </w:rPr>
        <w:t>(ישעיה מ ד)</w:t>
      </w:r>
      <w:r>
        <w:rPr>
          <w:b w:val="0"/>
          <w:bCs w:val="0"/>
          <w:rtl/>
        </w:rPr>
        <w:t xml:space="preserve"> כָּל גֶּיא יִנָּשֵׂא, וְאִיהוּ גִמַּטְרִיָּאוֹת פַּרְפְּרָאוֹת לַחָכְמָה.</w:t>
      </w:r>
    </w:p>
    <w:p w:rsidR="006D2826" w:rsidRDefault="006D2826" w:rsidP="006D2826">
      <w:pPr>
        <w:pStyle w:val="NormalWeb"/>
        <w:rPr>
          <w:b w:val="0"/>
          <w:bCs w:val="0"/>
          <w:rtl/>
        </w:rPr>
      </w:pPr>
      <w:r>
        <w:rPr>
          <w:rStyle w:val="a7"/>
          <w:b w:val="0"/>
          <w:bCs w:val="0"/>
          <w:rtl/>
        </w:rPr>
        <w:footnoteReference w:id="5197"/>
      </w:r>
      <w:r>
        <w:rPr>
          <w:b w:val="0"/>
          <w:bCs w:val="0"/>
          <w:rtl/>
        </w:rPr>
        <w:t xml:space="preserve">וְעוֹד בָּרוּךְ ב' אַחֲזֵי תְּרֵין, שְׁכִינְתָּא עִלָּאָה וְתַתָּאָה, ר' רֵאשִׁית חָכְמָה, ו' אַחֲזֵי שִׁית סְפִירָן, ך' אַחֲזֵי עַל כֶּתֶר עִלָּאָה, וְדָא אִיהוּ רָזָא כָּל הַכּוֹרֵעַ כּוֹרֵעַ בְּבָרוּךְ מֵעִילָא לְתַתָּאָה, לְמִכְרַע בֵּיהּ לְהַהוּא </w:t>
      </w:r>
      <w:r>
        <w:rPr>
          <w:b w:val="0"/>
          <w:sz w:val="20"/>
          <w:szCs w:val="23"/>
          <w:rtl/>
        </w:rPr>
        <w:t>(למנדע ביה בההוא)</w:t>
      </w:r>
      <w:r>
        <w:rPr>
          <w:b w:val="0"/>
          <w:bCs w:val="0"/>
          <w:rtl/>
        </w:rPr>
        <w:t xml:space="preserve"> דְּכָל מַבּוּעִין וּמָקוֹרִין דְּבִרְכָאָן בִּידֵיהּ, דְּאִיהוּ עִלַּת הָעִלּוֹת, וְכָל הַזּוֹקֵף זוֹקֵף בְּשֵׁם, צָרִיךְ לְזַקְפָא לֵיהּ בְּיו''ד ה''א וא''ו ה''א דְאִיהוּ מִלְּגָאו דַעֲשַׂר סְפִירָן, דְּאִיהוּ עִלָּאָה וְזָקִיף עַל כֹּלָּא, וְלֵית אֱלוֹ''הַ לְעִיל מִנֵּיהּ, וּבְגִין דָּא ב' אַחֲזֵי עַל הַכְּרִיעָה, דְכָל הַכּוֹרֵעַ כּוֹרֵעַ בְּבָרוּךְ, </w:t>
      </w:r>
      <w:r>
        <w:rPr>
          <w:rStyle w:val="a7"/>
          <w:b w:val="0"/>
          <w:bCs w:val="0"/>
          <w:rtl/>
        </w:rPr>
        <w:footnoteReference w:id="5198"/>
      </w:r>
      <w:r>
        <w:rPr>
          <w:b w:val="0"/>
          <w:bCs w:val="0"/>
          <w:rtl/>
        </w:rPr>
        <w:t xml:space="preserve">דְּאִתְּמַר בֵּיהּ </w:t>
      </w:r>
      <w:r>
        <w:rPr>
          <w:b w:val="0"/>
          <w:sz w:val="20"/>
          <w:szCs w:val="23"/>
          <w:rtl/>
        </w:rPr>
        <w:t>(בראשית יד כ)</w:t>
      </w:r>
      <w:r>
        <w:rPr>
          <w:b w:val="0"/>
          <w:bCs w:val="0"/>
          <w:rtl/>
        </w:rPr>
        <w:t xml:space="preserve"> וּבָרוּךְ אֵ''ל עֶלְיוֹן, ג' אַחֲזֵי עַל הַזְּקִיפָה </w:t>
      </w:r>
      <w:r>
        <w:rPr>
          <w:rStyle w:val="a7"/>
          <w:b w:val="0"/>
          <w:bCs w:val="0"/>
          <w:rtl/>
        </w:rPr>
        <w:footnoteReference w:id="5199"/>
      </w:r>
      <w:r>
        <w:rPr>
          <w:b w:val="0"/>
          <w:bCs w:val="0"/>
          <w:rtl/>
        </w:rPr>
        <w:t xml:space="preserve">דְאִיהוּ גָאֹה גָּאָה עַל כֹּלָּא, וְלֵית מָאן דְּיִתְגָּאֶה עֲלֵיהּ, וּבְמַאי אִתְגָּאָה עַל כֹּלָּא, בְּאָת י' מִן אבגית''ץ, וְדָא יגבי''ה, </w:t>
      </w:r>
      <w:r>
        <w:rPr>
          <w:rStyle w:val="a7"/>
          <w:b w:val="0"/>
          <w:bCs w:val="0"/>
          <w:rtl/>
        </w:rPr>
        <w:footnoteReference w:id="5200"/>
      </w:r>
      <w:r>
        <w:rPr>
          <w:b w:val="0"/>
          <w:bCs w:val="0"/>
          <w:rtl/>
        </w:rPr>
        <w:t xml:space="preserve">וְעוֹד אַשְׁכַּחְנָא בְגַוָּונָא אָחֳרָא יגבהי''ה </w:t>
      </w:r>
      <w:r>
        <w:rPr>
          <w:b w:val="0"/>
          <w:sz w:val="20"/>
          <w:szCs w:val="23"/>
          <w:rtl/>
        </w:rPr>
        <w:t>(נ''א יגביהיה)</w:t>
      </w:r>
      <w:r>
        <w:rPr>
          <w:b w:val="0"/>
          <w:bCs w:val="0"/>
          <w:rtl/>
        </w:rPr>
        <w:t xml:space="preserve">, וְאַתְוָון דִּילֵיהּ גַבֵּי הָיָה </w:t>
      </w:r>
      <w:r>
        <w:rPr>
          <w:b w:val="0"/>
          <w:sz w:val="20"/>
          <w:szCs w:val="23"/>
          <w:rtl/>
        </w:rPr>
        <w:t>(נ''א גבוה היה)</w:t>
      </w:r>
      <w:r>
        <w:rPr>
          <w:b w:val="0"/>
          <w:bCs w:val="0"/>
          <w:rtl/>
        </w:rPr>
        <w:t>, עִלָּאָה דְכָל עִלָּאֵי.</w:t>
      </w:r>
    </w:p>
    <w:p w:rsidR="006D2826" w:rsidRDefault="006D2826" w:rsidP="006D2826">
      <w:pPr>
        <w:pStyle w:val="NormalWeb"/>
        <w:rPr>
          <w:b w:val="0"/>
          <w:bCs w:val="0"/>
          <w:rtl/>
        </w:rPr>
      </w:pPr>
      <w:r>
        <w:rPr>
          <w:rStyle w:val="a7"/>
          <w:b w:val="0"/>
          <w:bCs w:val="0"/>
          <w:rtl/>
        </w:rPr>
        <w:footnoteReference w:id="5201"/>
      </w:r>
      <w:r>
        <w:rPr>
          <w:b w:val="0"/>
          <w:bCs w:val="0"/>
          <w:rtl/>
        </w:rPr>
        <w:t xml:space="preserve">ת' תלמי''ה, ת' תֵּל שֶׁהַכֹּל פּוֹנִים בּוֹ, דְּתַמָּן אִיהוּ הַהוּא דְכָל עַיְינִין וּמַחֲשַׁבְתִּין סָלְקִין לְגַבֵּיהּ, בְּגִין דָּא ת' תּוֹרָה קְדוּמָה דְכָל קְדוּמִין, תּוֹרַת חָכָם מְקוֹר חַיִּים </w:t>
      </w:r>
      <w:r>
        <w:rPr>
          <w:b w:val="0"/>
          <w:sz w:val="20"/>
          <w:szCs w:val="23"/>
          <w:rtl/>
        </w:rPr>
        <w:t>(משלי יג יד)</w:t>
      </w:r>
      <w:r>
        <w:rPr>
          <w:b w:val="0"/>
          <w:szCs w:val="23"/>
          <w:rtl/>
        </w:rPr>
        <w:t xml:space="preserve">, </w:t>
      </w:r>
      <w:r>
        <w:rPr>
          <w:rStyle w:val="Char"/>
          <w:rtl/>
        </w:rPr>
        <w:t>תּוֹרַת יהו''ה תְּמִימָה</w:t>
      </w:r>
      <w:r>
        <w:rPr>
          <w:b w:val="0"/>
          <w:szCs w:val="23"/>
          <w:rtl/>
        </w:rPr>
        <w:t xml:space="preserve"> </w:t>
      </w:r>
      <w:r>
        <w:rPr>
          <w:b w:val="0"/>
          <w:sz w:val="20"/>
          <w:szCs w:val="23"/>
          <w:rtl/>
        </w:rPr>
        <w:t>(תהלים יט ח)</w:t>
      </w:r>
      <w:r>
        <w:rPr>
          <w:b w:val="0"/>
          <w:bCs w:val="0"/>
          <w:rtl/>
        </w:rPr>
        <w:t xml:space="preserve">, וְעוֹד תלמי''ה, תְּלָמֶיהָ רַוִּה נַחֵת גְּדוּדֶיהָ וְגוֹמֵר </w:t>
      </w:r>
      <w:r>
        <w:rPr>
          <w:b w:val="0"/>
          <w:sz w:val="20"/>
          <w:szCs w:val="23"/>
          <w:rtl/>
        </w:rPr>
        <w:t>(שם סה יא)</w:t>
      </w:r>
      <w:r>
        <w:rPr>
          <w:b w:val="0"/>
          <w:bCs w:val="0"/>
          <w:rtl/>
        </w:rPr>
        <w:t xml:space="preserve">, בְּהַאי שְׁמָא אִתְעֲבִיד יַמָּא תְּלָמִים תְּלָמִים, </w:t>
      </w:r>
      <w:r>
        <w:rPr>
          <w:rStyle w:val="a7"/>
          <w:b w:val="0"/>
          <w:bCs w:val="0"/>
          <w:rtl/>
        </w:rPr>
        <w:footnoteReference w:id="5202"/>
      </w:r>
      <w:r>
        <w:rPr>
          <w:b w:val="0"/>
          <w:bCs w:val="0"/>
          <w:rtl/>
        </w:rPr>
        <w:t>וְעוֹד תְּלָמֶיהָ דָא אוֹרַיְיתָא, דְתַלְיָין מִינָהּ כַּמָּה תִּלֵּי תִּלִּין דַּהֲלָכוֹת פְּסוּקוֹת דְּלֵית לוֹן חוּשְׁבָּן.</w:t>
      </w:r>
    </w:p>
    <w:p w:rsidR="006D2826" w:rsidRDefault="006D2826" w:rsidP="006D2826">
      <w:pPr>
        <w:pStyle w:val="NormalWeb"/>
        <w:rPr>
          <w:b w:val="0"/>
          <w:bCs w:val="0"/>
          <w:rtl/>
        </w:rPr>
      </w:pPr>
      <w:r>
        <w:rPr>
          <w:b w:val="0"/>
          <w:bCs w:val="0"/>
          <w:rtl/>
        </w:rPr>
        <w:t xml:space="preserve">צ' </w:t>
      </w:r>
      <w:r>
        <w:rPr>
          <w:b w:val="0"/>
          <w:sz w:val="20"/>
          <w:szCs w:val="23"/>
          <w:rtl/>
        </w:rPr>
        <w:t>(צתני''ה)</w:t>
      </w:r>
      <w:r>
        <w:rPr>
          <w:b w:val="0"/>
          <w:bCs w:val="0"/>
          <w:rtl/>
        </w:rPr>
        <w:t xml:space="preserve"> </w:t>
      </w:r>
      <w:r>
        <w:rPr>
          <w:rStyle w:val="a7"/>
          <w:b w:val="0"/>
          <w:bCs w:val="0"/>
          <w:rtl/>
        </w:rPr>
        <w:footnoteReference w:id="5203"/>
      </w:r>
      <w:r>
        <w:rPr>
          <w:b w:val="0"/>
          <w:bCs w:val="0"/>
          <w:rtl/>
        </w:rPr>
        <w:t xml:space="preserve">צתני''ה דָא צַדִּיק, עַמּוּד סָבִיל כֹּלָּא, וּבֵיהּ אִשְׁתְּמוֹדָע מָאן דְּאִיהוּ לְעִילָא מִכֹּלָּא, בְּגִין דְּצַדִּיק אִיהוּ כְלִיל כָּל סְפִירָן, וּבֵיהּ מִתְיַחֲדִין כֻּלְּהוּ, וְאִתְעֲבִידוּ אֲגוּדָה אַחַת, אִיהוּ לוּלָב אֲגַד דְּכֻלְּהוּ סְפִירָן, </w:t>
      </w:r>
      <w:r>
        <w:rPr>
          <w:rStyle w:val="a7"/>
          <w:b w:val="0"/>
          <w:bCs w:val="0"/>
          <w:rtl/>
        </w:rPr>
        <w:footnoteReference w:id="5204"/>
      </w:r>
      <w:r>
        <w:rPr>
          <w:b w:val="0"/>
          <w:bCs w:val="0"/>
          <w:rtl/>
        </w:rPr>
        <w:t xml:space="preserve">וְאָת צ' בֵּיהּ מְצוּיָירִין כָּל צִיּוּרִין דְּהֵיכָלִין דְּסָחֲרִין לְגִנְּתָא דְעִדֶן דִּלְעִילָא, בְּכַמָּה צִיּוּרִין דְּכָל עוֹבָדָא דִבְּרֵאשִׁית, דְּיָרְתִין לוֹן צַדִּיקַיָּא וּבֵיהּ נְקוּדִין כָּל נְקוּדִין דְּאוֹרַיְיתָא, דְאִינוּן נְקוּדִין בְּהֵיכָלָא דְאִיהִי שְׁכִינְתָּא תַּתָּאָה, וְנַהֲרִין כֻּלְּהוּ עַל צִיּוּרִין, כְּאַבְנִי מַרְגְּלָאן דְּנַהֲרִין עַל רֵישָׁא דְכִתְרָא, וּכְגַוְונָא דְכֹכְבַיָּא נַהֲרִין בִּרְקִיעָא, וּבְגִין דְּכָל נְקוּדִין דְּכֹכְבַיָּא בֵּיהּ, אִתְּמַר </w:t>
      </w:r>
      <w:r>
        <w:rPr>
          <w:b w:val="0"/>
          <w:sz w:val="20"/>
          <w:szCs w:val="23"/>
          <w:rtl/>
        </w:rPr>
        <w:t>(בראשית א יז)</w:t>
      </w:r>
      <w:r>
        <w:rPr>
          <w:b w:val="0"/>
          <w:bCs w:val="0"/>
          <w:rtl/>
        </w:rPr>
        <w:t xml:space="preserve"> וַיִּתֵּן אֹתָם אלהי''ם בִּרְקִיעַ הַשָּׁמָיִם לְהָאִיר עַל הָאָרֶץ, דָּא שְׁכִינְתָּא תַּתָּאָה </w:t>
      </w:r>
      <w:r>
        <w:rPr>
          <w:b w:val="0"/>
          <w:sz w:val="20"/>
          <w:szCs w:val="23"/>
          <w:rtl/>
        </w:rPr>
        <w:t>(ס''א דא נשמתהון דצדיקייא דמשתדלין באורייתא להוציא לאור כל תעלומה, הדא הוא דכתיב (דניאל יב ג) והמשכילים יזהירו כזהר הרקיע וגומר)</w:t>
      </w:r>
      <w:r>
        <w:rPr>
          <w:b w:val="0"/>
          <w:bCs w:val="0"/>
          <w:rtl/>
        </w:rPr>
        <w:t>.</w:t>
      </w:r>
    </w:p>
    <w:p w:rsidR="006D2826" w:rsidRDefault="006D2826" w:rsidP="006D2826">
      <w:pPr>
        <w:pStyle w:val="aa"/>
        <w:spacing w:after="40"/>
        <w:rPr>
          <w:rtl/>
        </w:rPr>
      </w:pPr>
      <w:r>
        <w:rPr>
          <w:rtl/>
        </w:rPr>
        <w:t xml:space="preserve">[תיקוני זוהר - דף קכ ע''א] </w:t>
      </w:r>
    </w:p>
    <w:p w:rsidR="006D2826" w:rsidRDefault="006D2826" w:rsidP="006D2826">
      <w:pPr>
        <w:pStyle w:val="NormalWeb"/>
        <w:rPr>
          <w:b w:val="0"/>
          <w:bCs w:val="0"/>
          <w:rtl/>
        </w:rPr>
      </w:pPr>
      <w:r>
        <w:rPr>
          <w:b w:val="0"/>
          <w:sz w:val="20"/>
          <w:szCs w:val="23"/>
          <w:rtl/>
        </w:rPr>
        <w:t xml:space="preserve">(דף קכ ע''א) </w:t>
      </w:r>
      <w:r>
        <w:rPr>
          <w:rStyle w:val="a7"/>
          <w:b w:val="0"/>
          <w:bCs w:val="0"/>
          <w:rtl/>
        </w:rPr>
        <w:footnoteReference w:id="5205"/>
      </w:r>
      <w:r>
        <w:rPr>
          <w:b w:val="0"/>
          <w:bCs w:val="0"/>
          <w:rtl/>
        </w:rPr>
        <w:t xml:space="preserve">הֵיכָלָא תִּנְיָנָא, מְרַקְמָא מִכַּמָּה צִיּוּרִין גְּלִידִין בְּמַיָּא, אַבְנִין מַרְגְּלָן כֻּלְּהוּ מַלְיָין מַיָּא, וְאִינוּן אַבְנֵי שַׁיִשׁ טָהוֹר, דְּהֵיכָלָא תִנְיָנָא בְּגַוִּיהּ, מִנַּיְיהוּ אִיהוּ בָּנוּי, בִּשְׁמָא דָא קְרַ''ע שָׂטָ''ן, וְאִיהוּ רָקִיעַ קָרַע, דְּבֵיהּ קָרַע יַמָּא, וְאַפְרִישׁ מִתַּמָּן הַשָּׂטָן דְּאִיהוּ מַיִּין מְסָאֲבִין, וּבְגִין דָּא יְהִי רָקִיעַ בְּתוֹךְ הַמָּיִם, וִיהִי מַבְדִּיל בֵּין מַיִם לָמָיִם </w:t>
      </w:r>
      <w:r>
        <w:rPr>
          <w:b w:val="0"/>
          <w:sz w:val="20"/>
          <w:szCs w:val="23"/>
          <w:rtl/>
        </w:rPr>
        <w:t>(בראשית א ו)</w:t>
      </w:r>
      <w:r>
        <w:rPr>
          <w:b w:val="0"/>
          <w:bCs w:val="0"/>
          <w:rtl/>
        </w:rPr>
        <w:t xml:space="preserve">, דָּא הוּא שְׁמָא דְעָקֵר שָׂטָן מִן יַמָּא דְאוֹרַיְיתָא, וְאַפְרִישׁ לֵיהּ מִתַּמָּן, בְּגִין דְּאִיהוּ עָקַר הָאֱמוּנָה דְיִשְׂרָאֵל עִלָּאָה דְכָל עִלָּאִין, </w:t>
      </w:r>
      <w:r>
        <w:rPr>
          <w:b w:val="0"/>
          <w:sz w:val="20"/>
          <w:szCs w:val="23"/>
          <w:rtl/>
        </w:rPr>
        <w:t>(ס''א מצאתי, סמוך דישראל וביומא תנינא לית תמן טוב בגין דביה אתברי גיהנם, כאן חסר)</w:t>
      </w:r>
      <w:r>
        <w:rPr>
          <w:b w:val="0"/>
          <w:bCs w:val="0"/>
          <w:rtl/>
        </w:rPr>
        <w:t>.</w:t>
      </w:r>
    </w:p>
    <w:p w:rsidR="006D2826" w:rsidRDefault="006D2826" w:rsidP="006D2826">
      <w:pPr>
        <w:pStyle w:val="NormalWeb"/>
        <w:rPr>
          <w:b w:val="0"/>
          <w:bCs w:val="0"/>
          <w:rtl/>
        </w:rPr>
      </w:pPr>
      <w:r>
        <w:rPr>
          <w:rStyle w:val="a7"/>
          <w:b w:val="0"/>
          <w:bCs w:val="0"/>
          <w:rtl/>
        </w:rPr>
        <w:footnoteReference w:id="5206"/>
      </w:r>
      <w:r>
        <w:rPr>
          <w:b w:val="0"/>
          <w:bCs w:val="0"/>
          <w:rtl/>
        </w:rPr>
        <w:t xml:space="preserve">זֶה סֵפֶר תּוֹלְדוֹת אָדָם </w:t>
      </w:r>
      <w:r>
        <w:rPr>
          <w:b w:val="0"/>
          <w:sz w:val="20"/>
          <w:szCs w:val="23"/>
          <w:rtl/>
        </w:rPr>
        <w:t>(שם ה א)</w:t>
      </w:r>
      <w:r>
        <w:rPr>
          <w:b w:val="0"/>
          <w:bCs w:val="0"/>
          <w:rtl/>
        </w:rPr>
        <w:t>, פָּתַח רַבִּי שִׁמְעוֹן וְאָמַר, סְלִיקְנָא יָדִין לְמָאן דְּבָרָא עָלְמָא, דִיְגַלֵּי לָן רָזִין עִלָּאִין סְתִימִין גְּנִיזִין טְמִירִין, לְמֵימַר קַמֵּי שְׁכִינְתָּא, וְשִׁתִּין רִבּוֹא דַחֲיָילִין דִּילֵיהּ דְּמַלְאָכִין קַדִּישִׁין דִּלְעִילָא, וְשִׁתִּין רִבּוֹא דְמַלְאָכִין קַדִּישִׁין דִּלְתַתָּא דְלָא אֵיעוּל בְּכִסּוּפָא קֳדָמָךְ.</w:t>
      </w:r>
    </w:p>
    <w:p w:rsidR="006D2826" w:rsidRDefault="006D2826" w:rsidP="006D2826">
      <w:pPr>
        <w:pStyle w:val="NormalWeb"/>
        <w:rPr>
          <w:b w:val="0"/>
          <w:bCs w:val="0"/>
          <w:rtl/>
        </w:rPr>
      </w:pPr>
      <w:r>
        <w:rPr>
          <w:rStyle w:val="a7"/>
          <w:b w:val="0"/>
          <w:bCs w:val="0"/>
          <w:rtl/>
        </w:rPr>
        <w:footnoteReference w:id="5207"/>
      </w:r>
      <w:r>
        <w:rPr>
          <w:b w:val="0"/>
          <w:bCs w:val="0"/>
          <w:rtl/>
        </w:rPr>
        <w:t xml:space="preserve">פָּתַח וְאָמַר, זֶה סֵפֶר תּוֹלְדוֹת אָדָם, זֶה וַדַּאי כְּלִיל תְּרֵין עֲשַׂר מַזָּלוֹת דְּאָדָם דִּלְעִילָא, דְּאִתְּמַר עֲלַיְיהוּ </w:t>
      </w:r>
      <w:r>
        <w:rPr>
          <w:b w:val="0"/>
          <w:sz w:val="20"/>
          <w:szCs w:val="23"/>
          <w:rtl/>
        </w:rPr>
        <w:t>(תהלים קכב ד)</w:t>
      </w:r>
      <w:r>
        <w:rPr>
          <w:b w:val="0"/>
          <w:bCs w:val="0"/>
          <w:rtl/>
        </w:rPr>
        <w:t xml:space="preserve"> שִׁבְטֵי יָ''הּ עִדוּת לְיִשְׂרָאֵל, זֶה וַדַּאי אִינוּן אַרְבַּע אַנְפִּין דְּאַרְיֵה, אַרְבַּע אַנְפִּין דְּשׁוֹר, אַרְבַּע אַנְפִּין דְּנֶשֶׁר, דִּבְהוֹן אִשְׁתְּמוֹדְעִין פַּרְצוּפִין דִּבְנֵי נָשָׁא, וְכֻלְּהוּ אַנְפִּין אִינוּן רְשִׁימִין בְּאַרְבַּע אַתְוָון דְּאִינוּן יהו''ה, מַאי אָדָם יו''ד ה''א וא''ו ה''א, וַעֲלֵיהּ אִתְּמַר </w:t>
      </w:r>
      <w:r>
        <w:rPr>
          <w:b w:val="0"/>
          <w:sz w:val="20"/>
          <w:szCs w:val="23"/>
          <w:rtl/>
        </w:rPr>
        <w:t>(ישעיה מד יג)</w:t>
      </w:r>
      <w:r>
        <w:rPr>
          <w:b w:val="0"/>
          <w:bCs w:val="0"/>
          <w:rtl/>
        </w:rPr>
        <w:t xml:space="preserve"> כְּתִפְאֶרֶת אָדָם לָשֶׁבֶת בָּיִת, מָאן בַּיִת דִּילֵיהּ, דָּא שְׁכִינְתָּא דְאִתְקְרִיאַת דְּמוּת אָדָם, דְּכָל דִּמְיוֹנִין וּפַרְצוּפִין דִּבְנֵי נָשָׁא בָהּ אִשְׁתְּמוֹדְעוּ, וְכָל צִיּוּרִין דְּעִלָּאִין וְתַתָּאִין, וּבְגִינָהּ אִתְּמַר </w:t>
      </w:r>
      <w:r>
        <w:rPr>
          <w:b w:val="0"/>
          <w:sz w:val="20"/>
          <w:szCs w:val="23"/>
          <w:rtl/>
        </w:rPr>
        <w:t>(הושע יב יא)</w:t>
      </w:r>
      <w:r>
        <w:rPr>
          <w:b w:val="0"/>
          <w:bCs w:val="0"/>
          <w:rtl/>
        </w:rPr>
        <w:t xml:space="preserve"> וּבְיַד הַנְּבִיאִים אֲדַמֶּה.</w:t>
      </w:r>
    </w:p>
    <w:p w:rsidR="006D2826" w:rsidRDefault="006D2826" w:rsidP="006D2826">
      <w:pPr>
        <w:pStyle w:val="NormalWeb"/>
        <w:spacing w:line="300" w:lineRule="atLeast"/>
        <w:rPr>
          <w:sz w:val="23"/>
          <w:rtl/>
        </w:rPr>
      </w:pPr>
      <w:r>
        <w:rPr>
          <w:sz w:val="23"/>
          <w:rtl/>
        </w:rPr>
        <w:t>[</w:t>
      </w:r>
      <w:r>
        <w:rPr>
          <w:b w:val="0"/>
          <w:bCs w:val="0"/>
          <w:sz w:val="23"/>
          <w:rtl/>
        </w:rPr>
        <w:t>אזהרת המגיה</w:t>
      </w:r>
      <w:r>
        <w:rPr>
          <w:sz w:val="23"/>
          <w:rtl/>
        </w:rPr>
        <w:t xml:space="preserve"> לפני המאמר הזה לבל יהרסו המעיינים בו לצייר ח"ו שום ציור ודמות בעלת העלות יתברך שמו]</w:t>
      </w:r>
    </w:p>
    <w:p w:rsidR="006D2826" w:rsidRDefault="006D2826" w:rsidP="006D2826">
      <w:pPr>
        <w:pStyle w:val="NormalWeb"/>
        <w:spacing w:line="300" w:lineRule="atLeast"/>
        <w:rPr>
          <w:sz w:val="23"/>
          <w:rtl/>
        </w:rPr>
      </w:pPr>
      <w:r>
        <w:rPr>
          <w:sz w:val="23"/>
          <w:rtl/>
        </w:rPr>
        <w:t>(אמר המגיה, אתה בן אדם קודם שתכנס בעיון זה, להזהירך באתי שתעמד על רגליך על במותי האמונה האמתית, ותקעת יתד במקום נאמן, פן יפתוך רעיונים זדונים, ויעלו דברים על לבבך, ומלין לצד עלאה תמלל, בראותך בתיקון זה שידובר בו משערא ומצחא ואודנין ואנפין ושאר אברים גשמיים, השמר אל תפן אל און ליחס ולתאר לעלאה על כל עלאין סתימא על כל סתימין שמץ דבר מזה אפילו בהרהור, כי לעלת העלות לית מחשבה תפיסא ביה כלל, לית ביה לא דיוקן ולא דמיון ולא צורה ולא אברים גשמיים ולית ליה שם ידיע, אבל הוא ממלא כל שמהן, והוא שלימו דכלהו, ראה גם ראה מה שאמר התנא האלקי רבי שמעון בן יוחאי, כשרצה לגלות סתרי התורה באדרא, פתח ואמר ארור האיש אשר יעשה פסל ומסכה (דברים כז טו), וזה להסיר מלב כל המעיינים כל דבר עתק, פן ח''ו יכשלו ונפלו, ועברו משכיות לבב, ימיקו וידברו ברע, מאחר שהיה רוצה לדבר מראש ועין ואזן ושאר אברים גשמיים, היה ירא שמא יטעו ליחס ולתאר לבורא יתברך גוף ותמונה, ומשה אמר כי לא ראיתם כל תמונה (דברים ד טו), וישעיה אמר (ישעיה מ יח) ואל מי תדמיון א''ל ומה דמות תערכו לו, ואל מי תדמיוני ואשוה יאמר קדוש (שם כה), ודומיהם, שכלם יעידון יגידון שאין דמיון בינו יתברך ובינינו מצד העצם והתבנית, אלא שהאברים שבנו הם עשויים כסימנים לדברים עליונים סתומים וחתומים שאין כח השכלי שבאדם יכול להשיגם, ואין שיח ואין שיג לו להבינם, וקצר מצע דעתו לרדת לעמקם, ואיני רשאי להכניס ראשי בין ההרים הרמים הלא הם בעלי הקבלה אשר העמיקו הרחיבו דבריהם על הדרוש הזה, רק (מעי רתחו ולא דמו, מ)יראתי פן עובדי פשתים שריקות, ואורגים חורי, קורי עכביש יארוגו, בדעות כוזבות יאריכו למעניתם, לך נא ראה מה שכתב על זה ר' יוסף בן גיקיטיליא בהקדמת שערי אורה, ובמה שכתב בעל החנוך בהקדמתו לפירוש התורה, והאלקי ר' מנחם מריקנאטי ז''ל בפרשת ויחי בפסוק בן פורת יוסף, ובמה שכתב ר' יהודה חייט בפירוש מערכת האלקות (ד, לד), וזה לשונו, סוף דבר כל מקום שתראה שידברו בענין הספירות, דברים שאין ראוי לאמרם בבורא יתברך, כגון שעור וקומה והדומים להם, הכל נאמר על הספירות, וכשתראה שידברו על דרך שבח והודאה הכל נאמר על הבורא שבתוכן, וכן בחוצה להן, כי אין דבר שיגבילהו, ועל כן אין לומר בבורא יתברך לא ימין ולא שמאל ולא פנים ואחור ומעלה ומטה כו' עיין שם. עוד כתב (בדף לה ע''ב) כי אף על פי ששעור הקומה מהפרסאות הוא במדות ולא בבורא, אפילו הכי אין לחשוב חלילה שהפרסאות הללו הם שעור כמותי, אלא הם מלשון (דניאל ה כח) פרס פריסת מלכותך, וכל הפרסאות הללו שבשעור קומה הם אותיות, שכל אחת נקראת פרסה, על כי נחתכו מהעיסה, כאבנים הנחתכים מההר, ואמר שרבוי הפרסאות שהזכיר בכאן, רומז לניצוצות המתפוצצות מהכאת הפטיש בקורנס, והם השמות הנעשים מחבור האותיות והצרופים הנעשים מהאלפא ביתות דספר יצירה, שעמהם נבראו הדברים וכו', ואם תדקדק היטב בדברי רבי שמעון בענין זה, תשכיל ותדע כי דברי רבי יהודה חייט ז''ל ואשר במסלתו ילכון, הם נכוחים למבין וישרים למוצאי דעת, ולא יעבטון ארחותיהם. עכ"ל. והשם יתברך יטהר לבנו ויאיר עינינו להבין ולהשכיל בכל עמקי סודות הרשב"י ז"ל אשר על ידם נזכה לעבדו בלבב שלם ולהדבק בתורתו אנחנו וצאצאינו כרצון השם יתברך. אמן.)</w:t>
      </w:r>
    </w:p>
    <w:p w:rsidR="006D2826" w:rsidRDefault="006D2826" w:rsidP="006D2826">
      <w:pPr>
        <w:pStyle w:val="aa"/>
        <w:spacing w:after="40"/>
        <w:rPr>
          <w:rtl/>
        </w:rPr>
      </w:pPr>
      <w:r>
        <w:rPr>
          <w:rtl/>
        </w:rPr>
        <w:t xml:space="preserve">[תיקוני זוהר - דף קכ ע''ב] </w:t>
      </w:r>
    </w:p>
    <w:p w:rsidR="006D2826" w:rsidRDefault="006D2826" w:rsidP="006D2826">
      <w:pPr>
        <w:pStyle w:val="NormalWeb"/>
        <w:rPr>
          <w:b w:val="0"/>
          <w:bCs w:val="0"/>
          <w:rtl/>
        </w:rPr>
      </w:pPr>
      <w:r>
        <w:rPr>
          <w:b w:val="0"/>
          <w:sz w:val="20"/>
          <w:szCs w:val="23"/>
          <w:rtl/>
        </w:rPr>
        <w:t xml:space="preserve">(דף קכ ע''ב) </w:t>
      </w:r>
      <w:r>
        <w:rPr>
          <w:rStyle w:val="a7"/>
          <w:b w:val="0"/>
          <w:bCs w:val="0"/>
          <w:rtl/>
        </w:rPr>
        <w:footnoteReference w:id="5208"/>
      </w:r>
      <w:r>
        <w:rPr>
          <w:b w:val="0"/>
          <w:bCs w:val="0"/>
          <w:rtl/>
        </w:rPr>
        <w:t xml:space="preserve">פָּתַח וְאָמַר, וְאַתָּה תֶחזֶה מִכָּל הָעָם אַנְשֵׁי חַיִל יִרְאֵי אלהי''ם אַנְשֵׁי אֱמֶת שֹׂנְאֵי בָצַע </w:t>
      </w:r>
      <w:r>
        <w:rPr>
          <w:b w:val="0"/>
          <w:sz w:val="20"/>
          <w:szCs w:val="23"/>
          <w:rtl/>
        </w:rPr>
        <w:t>(שמות יה כא)</w:t>
      </w:r>
      <w:r>
        <w:rPr>
          <w:b w:val="0"/>
          <w:bCs w:val="0"/>
          <w:rtl/>
        </w:rPr>
        <w:t xml:space="preserve">, אַנְשֵׁי חַיִל מִסִּטְרָא דְחֶסֶד דְּתַמָּן י', וּבְגִינֵיהּ אִתְּמַר הָרוֹצֶה לְהַחְכִּים יַדְרִים, יִרְאֵי אלהי''ם מִסִּטְרָא דִגְבוּרָה דְתַמָּן ה', וּבָהּ אִתְּמַר הָרוֹצֶה לְהַעֲשִׁיר יַצְפִּין, אַנְשֵׁי אֱמֶת מִסִּטְרָא דְעַמּוּדָא דְאֶמְצָעִיתָא דְתַמָּן ו' וְתַמָּן אֱמֶת, שׂוֹנְאֵי בָצַע מִסִּטְרָא דְמַלְכוּת דְּתַמָּן ה', הָא הָכָא אַרְבַּע תִּקּוּנִין דְּאִינוּן פַּרְצוּפִין דִּבְנֵי נָשָׁא, אִלֵּין אִינוּן מַרְאֶה </w:t>
      </w:r>
      <w:r>
        <w:rPr>
          <w:b w:val="0"/>
          <w:sz w:val="20"/>
          <w:szCs w:val="23"/>
          <w:rtl/>
        </w:rPr>
        <w:t>(ס''א מראין)</w:t>
      </w:r>
      <w:r>
        <w:rPr>
          <w:b w:val="0"/>
          <w:bCs w:val="0"/>
          <w:rtl/>
        </w:rPr>
        <w:t>.</w:t>
      </w:r>
    </w:p>
    <w:p w:rsidR="006D2826" w:rsidRDefault="006D2826" w:rsidP="006D2826">
      <w:pPr>
        <w:pStyle w:val="NormalWeb"/>
        <w:rPr>
          <w:b w:val="0"/>
          <w:bCs w:val="0"/>
          <w:rtl/>
        </w:rPr>
      </w:pPr>
      <w:r>
        <w:rPr>
          <w:rStyle w:val="a7"/>
          <w:b w:val="0"/>
          <w:bCs w:val="0"/>
          <w:rtl/>
        </w:rPr>
        <w:footnoteReference w:id="5209"/>
      </w:r>
      <w:r>
        <w:rPr>
          <w:b w:val="0"/>
          <w:bCs w:val="0"/>
          <w:rtl/>
        </w:rPr>
        <w:t xml:space="preserve">וְאִית אַרְבַּע דְּמִתְלַבְּשִׁין בְּהוֹן דְּאִינוּן דִּמְיוֹן וְאִינוּן אדנ''י, וַעֲלַיְיהוּ אִתְּמַר </w:t>
      </w:r>
      <w:r>
        <w:rPr>
          <w:b w:val="0"/>
          <w:sz w:val="20"/>
          <w:szCs w:val="23"/>
          <w:rtl/>
        </w:rPr>
        <w:t>(שם)</w:t>
      </w:r>
      <w:r>
        <w:rPr>
          <w:b w:val="0"/>
          <w:bCs w:val="0"/>
          <w:rtl/>
        </w:rPr>
        <w:t xml:space="preserve"> וְשַׂמְתָּ עֲלֵיהֶם שָׂרֵי אֲלָפִים מִסִּטְרָא דְא', שָׂרֵי מֵאוֹת מִסִּטְרָא דְאָת ד', דְּאִיהוּ אַרְבַּע מֵאוֹת דְּאִשְׁתַּעֲבִידוּ יִשְׂרָאֵל בְּמִצְרַיִם בְּגִין דְּבָהּ חָאבוּ, הָא דְּאִתְּמַר בֵּיהּ </w:t>
      </w:r>
      <w:r>
        <w:rPr>
          <w:b w:val="0"/>
          <w:sz w:val="20"/>
          <w:szCs w:val="23"/>
          <w:rtl/>
        </w:rPr>
        <w:t>(בראשית כג טו)</w:t>
      </w:r>
      <w:r>
        <w:rPr>
          <w:b w:val="0"/>
          <w:bCs w:val="0"/>
          <w:rtl/>
        </w:rPr>
        <w:t xml:space="preserve"> אַרְבַּע מֵאוֹת שֶׁקֶל כֶּסֶף, וְשָׂרֵי חֲמִשִּׁים מִסִּטְרָא דְאָת נ', וְשָׂרֵי עֲשָׂרוֹת מִסִּטְרָא דְאָת י'.</w:t>
      </w:r>
    </w:p>
    <w:p w:rsidR="006D2826" w:rsidRDefault="006D2826" w:rsidP="006D2826">
      <w:pPr>
        <w:pStyle w:val="NormalWeb"/>
        <w:rPr>
          <w:b w:val="0"/>
          <w:bCs w:val="0"/>
          <w:rtl/>
        </w:rPr>
      </w:pPr>
      <w:r>
        <w:rPr>
          <w:b w:val="0"/>
          <w:bCs w:val="0"/>
          <w:rtl/>
        </w:rPr>
        <w:t xml:space="preserve">אִשְׁתָּאֲרוּ עֶשֶׂר תִּקּוּנִין, עֲלַיְיהוּ אִתְּמַר וְאַתָּה תֶחזֶה מִכָּל הָעָם, </w:t>
      </w:r>
      <w:r>
        <w:rPr>
          <w:rStyle w:val="a7"/>
          <w:b w:val="0"/>
          <w:bCs w:val="0"/>
          <w:rtl/>
        </w:rPr>
        <w:footnoteReference w:id="5210"/>
      </w:r>
      <w:r>
        <w:rPr>
          <w:b w:val="0"/>
          <w:bCs w:val="0"/>
          <w:rtl/>
        </w:rPr>
        <w:t xml:space="preserve">בְּשַׂעֲרָא בְּגַוָּונִין דִּילֵיהּ בַּאֲרִיכוּ דִילֵיהּ בַּקְּמִיטוּ דִילֵיהּ, בְּמִצְחָא בַּקְּמִיטוּ דְמִצְחָא בַּאֲרִיכוּ דְמִצְחָא בְּפוּתְיָא דְמִצְחָא בְּשִׁרְטוּטִין דְּמִצְחָא, בְּאוּדְנִין </w:t>
      </w:r>
      <w:r>
        <w:rPr>
          <w:b w:val="0"/>
          <w:sz w:val="20"/>
          <w:szCs w:val="23"/>
          <w:rtl/>
        </w:rPr>
        <w:t>(בס''א באודנין שערא דנחית עלייהו או תחותייהו)</w:t>
      </w:r>
      <w:r>
        <w:rPr>
          <w:b w:val="0"/>
          <w:bCs w:val="0"/>
          <w:rtl/>
        </w:rPr>
        <w:t>, בְּאִלֵּין אִדְרִין דְּאוּדְנִין בְּשַׂעֲרָא דִתְּחוֹת אוּדְנִין, בְּאַנְפִּין בְּדִיּוֹקְנִין דְּאַנְפִּין בְּפַרְצוּפָא דְאַנְפִּין, בְּעַיְינִין בְּגַוָּונִין דְּעַיְינִין בַּקְּרִיצִין דְּעַל עַיְינִין, בְּחוֹטָמָא בַּאֲרִיכוּ דִילָהּ בְּפוּתְיָא דִילָהּ בִּקְמִיטוּ דִילָהּ, בְּפִימָא בִּפְתִיחוּ דִילָהּ בִּזְעִירוּ דִילָהּ, בְּצַוָּאר בַּאֲרִיכוּ דִילֵיהּ בִּקְמִיטוּ דִילֵיהּ, בִּידַיִן בְּשִׁרְטוּטִין דִּידַיִן בִּפְתִיחוּ דִלְהוֹן בִּסְתִימוּ דִלְהוֹן, בְּגוּפָא בְּקוֹמָה דִילֵיהּ בַּאֲרִיכוּ דִילֵיהּ בִּקְמִיטוּ דִילֵיהּ.</w:t>
      </w:r>
    </w:p>
    <w:p w:rsidR="006D2826" w:rsidRDefault="006D2826" w:rsidP="006D2826">
      <w:pPr>
        <w:pStyle w:val="NormalWeb"/>
        <w:rPr>
          <w:b w:val="0"/>
          <w:bCs w:val="0"/>
          <w:rtl/>
        </w:rPr>
      </w:pPr>
      <w:r>
        <w:rPr>
          <w:rStyle w:val="a7"/>
          <w:b w:val="0"/>
          <w:bCs w:val="0"/>
          <w:rtl/>
        </w:rPr>
        <w:footnoteReference w:id="5211"/>
      </w:r>
      <w:r>
        <w:rPr>
          <w:b w:val="0"/>
          <w:bCs w:val="0"/>
          <w:rtl/>
        </w:rPr>
        <w:t xml:space="preserve">בְּשַׂעֲרָא בְּגַוָּונִין דְּשַׂעֲרָא, שַׂעֲרָא חִוְורָא אִיהוּ מֵאִלֵּין אַנְשֵׁי חַיִל, דְּאִתְּמַר בְּהוֹן </w:t>
      </w:r>
      <w:r>
        <w:rPr>
          <w:b w:val="0"/>
          <w:sz w:val="20"/>
          <w:szCs w:val="23"/>
          <w:rtl/>
        </w:rPr>
        <w:t>(דניאל ז ט)</w:t>
      </w:r>
      <w:r>
        <w:rPr>
          <w:b w:val="0"/>
          <w:bCs w:val="0"/>
          <w:rtl/>
        </w:rPr>
        <w:t xml:space="preserve"> </w:t>
      </w:r>
      <w:r>
        <w:rPr>
          <w:rStyle w:val="a7"/>
          <w:b w:val="0"/>
          <w:bCs w:val="0"/>
          <w:rtl/>
        </w:rPr>
        <w:footnoteReference w:id="5212"/>
      </w:r>
      <w:r>
        <w:rPr>
          <w:b w:val="0"/>
          <w:bCs w:val="0"/>
          <w:rtl/>
        </w:rPr>
        <w:t xml:space="preserve">וְעַתִּיק יוֹמִין יְתִיב לְבוּשֵׁיהּ כִּתְלָג חִוָּור וּשְׂעַר רֵאשֵׁהּ כַּעֲמַר נְקֵא, שַׂעֲרָא סוּמְקָא מֵאִלֵּין דְּאִתְקְרִיאוּ יִרְאֵי אלהי''ם, שַׂעֲרָא יְרוֹקָא מֵאִלֵּין דְּאִתְקְרִיאוּ אַנְשֵׁי אֱמֶת, </w:t>
      </w:r>
      <w:r>
        <w:rPr>
          <w:rStyle w:val="a7"/>
          <w:b w:val="0"/>
          <w:bCs w:val="0"/>
          <w:rtl/>
        </w:rPr>
        <w:footnoteReference w:id="5213"/>
      </w:r>
      <w:r>
        <w:rPr>
          <w:b w:val="0"/>
          <w:bCs w:val="0"/>
          <w:rtl/>
        </w:rPr>
        <w:t xml:space="preserve">וְעֲלַיְיהוּ אִתְּמַר </w:t>
      </w:r>
      <w:r>
        <w:rPr>
          <w:b w:val="0"/>
          <w:sz w:val="20"/>
          <w:szCs w:val="23"/>
          <w:rtl/>
        </w:rPr>
        <w:t>(מיכה ז כ)</w:t>
      </w:r>
      <w:r>
        <w:rPr>
          <w:b w:val="0"/>
          <w:bCs w:val="0"/>
          <w:rtl/>
        </w:rPr>
        <w:t xml:space="preserve"> תִּתֵּן אֱמֶת לְיַעֲקֹב חֶסֶד לְאַבְרָהָם, תְּלִיתָאָה פַּחַד יִצְחָק, גַּוָּון אוּכְמָא מִסִּטְרָא דְהַהוּא דְאִתְּמַר בָּהּ </w:t>
      </w:r>
      <w:r>
        <w:rPr>
          <w:b w:val="0"/>
          <w:sz w:val="20"/>
          <w:szCs w:val="23"/>
          <w:rtl/>
        </w:rPr>
        <w:t>(שיר א ה)</w:t>
      </w:r>
      <w:r>
        <w:rPr>
          <w:b w:val="0"/>
          <w:bCs w:val="0"/>
          <w:rtl/>
        </w:rPr>
        <w:t xml:space="preserve"> שְׁחוֹרָה אֲנִי וְנָאוָה, מִסִּטְרָא דְאִלֵּין דְּאִתְקְרִיאוּ שׂוֹנְאֵי בָצַע, וְאִיהוּ שַׂעֲרָא דִילֵיהּ אוּכְמָא, </w:t>
      </w:r>
      <w:r>
        <w:rPr>
          <w:rStyle w:val="a7"/>
          <w:b w:val="0"/>
          <w:bCs w:val="0"/>
          <w:rtl/>
        </w:rPr>
        <w:footnoteReference w:id="5214"/>
      </w:r>
      <w:r>
        <w:rPr>
          <w:b w:val="0"/>
          <w:bCs w:val="0"/>
          <w:rtl/>
        </w:rPr>
        <w:t xml:space="preserve">וְאִיהִי שִׁעוּרָא דְאַתְוָון דְּאוֹרַיְיתָא, כָּל נִימָא וְנִימָא דִילֵיהּ, דְּאִתְּמַר עֲלַיְיהוּ </w:t>
      </w:r>
      <w:r>
        <w:rPr>
          <w:b w:val="0"/>
          <w:sz w:val="20"/>
          <w:szCs w:val="23"/>
          <w:rtl/>
        </w:rPr>
        <w:t>(שם ה יא)</w:t>
      </w:r>
      <w:r>
        <w:rPr>
          <w:b w:val="0"/>
          <w:bCs w:val="0"/>
          <w:rtl/>
        </w:rPr>
        <w:t xml:space="preserve"> קֶּוֵצּוֹתָיו תַּלְתַּלִּים שְׁחוֹרוֹת כָּעוֹרֵב, </w:t>
      </w:r>
      <w:r>
        <w:rPr>
          <w:rStyle w:val="a7"/>
          <w:b w:val="0"/>
          <w:bCs w:val="0"/>
          <w:rtl/>
        </w:rPr>
        <w:footnoteReference w:id="5215"/>
      </w:r>
      <w:r>
        <w:rPr>
          <w:b w:val="0"/>
          <w:bCs w:val="0"/>
          <w:rtl/>
        </w:rPr>
        <w:t>וְכָל נִימָא אִית לֵיהּ מַבּוּעָא דְאִיהִי י', וְנִימָא שִׁעוּרָא דְאָת ו'.</w:t>
      </w:r>
    </w:p>
    <w:p w:rsidR="006D2826" w:rsidRDefault="006D2826" w:rsidP="006D2826">
      <w:pPr>
        <w:pStyle w:val="aa"/>
        <w:spacing w:after="40"/>
        <w:rPr>
          <w:rtl/>
        </w:rPr>
      </w:pPr>
      <w:r>
        <w:rPr>
          <w:rtl/>
        </w:rPr>
        <w:t xml:space="preserve">[תיקוני זוהר - דף קכא ע''א] </w:t>
      </w:r>
    </w:p>
    <w:p w:rsidR="006D2826" w:rsidRDefault="006D2826" w:rsidP="006D2826">
      <w:pPr>
        <w:pStyle w:val="NormalWeb"/>
        <w:rPr>
          <w:b w:val="0"/>
          <w:bCs w:val="0"/>
          <w:rtl/>
        </w:rPr>
      </w:pPr>
      <w:r>
        <w:rPr>
          <w:b w:val="0"/>
          <w:bCs w:val="0"/>
          <w:rtl/>
        </w:rPr>
        <w:t xml:space="preserve">שַׂעֲרָא קְמִיטָא בְרָזָא דְה' זְעִירָא דְנָטְלַת מֵאָת י', שַׂעֲרָא אֲרִיכָא מִסִּטְרָא דְה' עִלָּאָה דְנָטְלָא בְּאָת </w:t>
      </w:r>
      <w:r>
        <w:rPr>
          <w:b w:val="0"/>
          <w:sz w:val="20"/>
          <w:szCs w:val="23"/>
          <w:rtl/>
        </w:rPr>
        <w:t xml:space="preserve">(דף קכא ע''א) </w:t>
      </w:r>
      <w:r>
        <w:rPr>
          <w:b w:val="0"/>
          <w:bCs w:val="0"/>
          <w:rtl/>
        </w:rPr>
        <w:t xml:space="preserve">ו', </w:t>
      </w:r>
      <w:r>
        <w:rPr>
          <w:rStyle w:val="a7"/>
          <w:b w:val="0"/>
          <w:bCs w:val="0"/>
          <w:rtl/>
        </w:rPr>
        <w:footnoteReference w:id="5216"/>
      </w:r>
      <w:r>
        <w:rPr>
          <w:b w:val="0"/>
          <w:bCs w:val="0"/>
          <w:rtl/>
        </w:rPr>
        <w:t xml:space="preserve">עֶשֶׂר תִּקּוּנִין אִלֵּין, כָּל תִּקּוּנָא וְתִקּוּנָא אִית לֵיהּ </w:t>
      </w:r>
      <w:r>
        <w:rPr>
          <w:b w:val="0"/>
          <w:sz w:val="20"/>
          <w:szCs w:val="23"/>
          <w:rtl/>
        </w:rPr>
        <w:t>(נ''א ביה)</w:t>
      </w:r>
      <w:r>
        <w:rPr>
          <w:b w:val="0"/>
          <w:bCs w:val="0"/>
          <w:rtl/>
        </w:rPr>
        <w:t xml:space="preserve"> אַרְבַּע שִׁעוּרִין דְּסָלְקִין לְעֶשֶׂר, כְּגַוְונָא דִרְשׁוּת הַיָּחִיד דְּרָחְבּוֹ אַרְבָּעָה וְגָבְהוֹ עֲשָׂרָה, אַרְבָּעָה יהו''ה עֲשָׂרָה יו''ד ה''א וא''ו ה''א, </w:t>
      </w:r>
      <w:r>
        <w:rPr>
          <w:rStyle w:val="a7"/>
          <w:b w:val="0"/>
          <w:bCs w:val="0"/>
          <w:rtl/>
        </w:rPr>
        <w:footnoteReference w:id="5217"/>
      </w:r>
      <w:r>
        <w:rPr>
          <w:b w:val="0"/>
          <w:bCs w:val="0"/>
          <w:rtl/>
        </w:rPr>
        <w:t xml:space="preserve">לֵית נִימָא דְשַׂעֲרָא דְלָא אַחֲזֵי עָלְמָא עִלָּאָה סְתִימָא, דַּעֲלַיְיהוּ אִתְּמַר </w:t>
      </w:r>
      <w:r>
        <w:rPr>
          <w:b w:val="0"/>
          <w:sz w:val="20"/>
          <w:szCs w:val="23"/>
          <w:rtl/>
        </w:rPr>
        <w:t>(שם ו ח)</w:t>
      </w:r>
      <w:r>
        <w:rPr>
          <w:b w:val="0"/>
          <w:bCs w:val="0"/>
          <w:rtl/>
        </w:rPr>
        <w:t xml:space="preserve"> וַעֲלָמוֹת אֵין מִסְפָּר, כָּל אִלֵּין עָלְמִין תַּלְיָין מִכִּתְרָא דְרֵישָׁא, </w:t>
      </w:r>
      <w:r>
        <w:rPr>
          <w:rStyle w:val="a7"/>
          <w:b w:val="0"/>
          <w:bCs w:val="0"/>
          <w:rtl/>
        </w:rPr>
        <w:footnoteReference w:id="5218"/>
      </w:r>
      <w:r>
        <w:rPr>
          <w:b w:val="0"/>
          <w:bCs w:val="0"/>
          <w:rtl/>
        </w:rPr>
        <w:t>כְגַוְונָא דְאַבְנִין וּמַרְגְּלָן דְּנַהֲרִין בְּכִתְרָא דְסֵפֶר תּוֹרָה אוֹ בַּעֲטָרָה דְמַלְכָּא, וְהָכִי אִינוּן נַהֲרִין כְּכֹכְבַיָּא בִרְקִיעָא וּבֵיהּ קְבוּעִין.</w:t>
      </w:r>
    </w:p>
    <w:p w:rsidR="006D2826" w:rsidRDefault="006D2826" w:rsidP="006D2826">
      <w:pPr>
        <w:pStyle w:val="NormalWeb"/>
        <w:rPr>
          <w:b w:val="0"/>
          <w:bCs w:val="0"/>
          <w:rtl/>
        </w:rPr>
      </w:pPr>
      <w:r>
        <w:rPr>
          <w:rStyle w:val="a7"/>
          <w:b w:val="0"/>
          <w:bCs w:val="0"/>
          <w:rtl/>
        </w:rPr>
        <w:footnoteReference w:id="5219"/>
      </w:r>
      <w:r>
        <w:rPr>
          <w:b w:val="0"/>
          <w:bCs w:val="0"/>
          <w:rtl/>
        </w:rPr>
        <w:t xml:space="preserve">וְהָכִי תַלְיָין צְבָא הַשָּׁמַיִם מִימִינָא וּמִשְּׂמָאלָא דְקוּדְשָׁא בְּרִיךְ הוּא, כְּגַוְונָא דְשַׂעֲרָא דְתַלְיָין מֵעַל אוּדְנִין מִימִינָא וּמִשְּׂמָאלָא, הֲדָא הוּא דִכְתִיב </w:t>
      </w:r>
      <w:r>
        <w:rPr>
          <w:b w:val="0"/>
          <w:sz w:val="20"/>
          <w:szCs w:val="23"/>
          <w:rtl/>
        </w:rPr>
        <w:t>(מלכים א כב יט)</w:t>
      </w:r>
      <w:r>
        <w:rPr>
          <w:b w:val="0"/>
          <w:bCs w:val="0"/>
          <w:rtl/>
        </w:rPr>
        <w:t xml:space="preserve"> וְכָל צְבָא הַשָּׁמַיִם עוֹמְדִים עָלָיו מִימִינוֹ וּמִשְּׂמֹאלוֹ, וּבְגִין דָּא צָרִיךְ לְבַעֲרָא שַׂעֲרָא מֵעַל </w:t>
      </w:r>
      <w:r>
        <w:rPr>
          <w:b w:val="0"/>
          <w:sz w:val="20"/>
          <w:szCs w:val="23"/>
          <w:rtl/>
        </w:rPr>
        <w:t>(ס''א מגו)</w:t>
      </w:r>
      <w:r>
        <w:rPr>
          <w:b w:val="0"/>
          <w:bCs w:val="0"/>
          <w:rtl/>
        </w:rPr>
        <w:t xml:space="preserve"> אוּדְנִין, דְּלָא יְהוֹן סְתִימִין תַּרְעִין דִּשְׁמִיעָה דִצְלוֹתָא, דִּבְהוֹן שָׁמַע צְלוֹתִין הַהוּא דְאִתְּמַר בֵּיהּ </w:t>
      </w:r>
      <w:r>
        <w:rPr>
          <w:b w:val="0"/>
          <w:sz w:val="20"/>
          <w:szCs w:val="23"/>
          <w:rtl/>
        </w:rPr>
        <w:t>(תהלים סה ג)</w:t>
      </w:r>
      <w:r>
        <w:rPr>
          <w:b w:val="0"/>
          <w:bCs w:val="0"/>
          <w:rtl/>
        </w:rPr>
        <w:t xml:space="preserve"> שׁוֹמֵעַ תְּפִלָּה עָדֶיךָ כָּל בָּשָׂר יָבֹאוּ.</w:t>
      </w:r>
    </w:p>
    <w:p w:rsidR="006D2826" w:rsidRDefault="006D2826" w:rsidP="006D2826">
      <w:pPr>
        <w:pStyle w:val="NormalWeb"/>
        <w:rPr>
          <w:b w:val="0"/>
          <w:bCs w:val="0"/>
          <w:rtl/>
        </w:rPr>
      </w:pPr>
      <w:r>
        <w:rPr>
          <w:b w:val="0"/>
          <w:bCs w:val="0"/>
          <w:rtl/>
        </w:rPr>
        <w:t xml:space="preserve">דְּאַרְבַּע תִּקּוּנִין אִינוּן, רְאִיָּה שְׁמִיעָה רֵיחָא דִּבּוּר, רְאִיָּה </w:t>
      </w:r>
      <w:r>
        <w:rPr>
          <w:rStyle w:val="Char"/>
          <w:rtl/>
        </w:rPr>
        <w:t>עֲלֵיהּ אִתְּמַר</w:t>
      </w:r>
      <w:r>
        <w:rPr>
          <w:b w:val="0"/>
          <w:szCs w:val="23"/>
          <w:rtl/>
        </w:rPr>
        <w:t xml:space="preserve"> </w:t>
      </w:r>
      <w:r>
        <w:rPr>
          <w:b w:val="0"/>
          <w:sz w:val="20"/>
          <w:szCs w:val="23"/>
          <w:rtl/>
        </w:rPr>
        <w:t>(שמות יח כא)</w:t>
      </w:r>
      <w:r>
        <w:rPr>
          <w:b w:val="0"/>
          <w:bCs w:val="0"/>
          <w:rtl/>
        </w:rPr>
        <w:t xml:space="preserve"> וְאַתָּה תֶחזֶה מִכָּל הָעָם אַנְשֵׁי חַיִל, וְכַמָּה נְטוּרֵי תַרְעִין תַּמָּן </w:t>
      </w:r>
      <w:r>
        <w:rPr>
          <w:rStyle w:val="a7"/>
          <w:b w:val="0"/>
          <w:bCs w:val="0"/>
          <w:rtl/>
        </w:rPr>
        <w:footnoteReference w:id="5220"/>
      </w:r>
      <w:r>
        <w:rPr>
          <w:b w:val="0"/>
          <w:bCs w:val="0"/>
          <w:rtl/>
        </w:rPr>
        <w:t xml:space="preserve">דְּאִתְקְרִיאוּ עִינֵי יהו''ה, וַעֲלַיְיהוּ אִתְּמַר </w:t>
      </w:r>
      <w:r>
        <w:rPr>
          <w:b w:val="0"/>
          <w:sz w:val="20"/>
          <w:szCs w:val="23"/>
          <w:rtl/>
        </w:rPr>
        <w:t>(דניאל ט יח)</w:t>
      </w:r>
      <w:r>
        <w:rPr>
          <w:b w:val="0"/>
          <w:bCs w:val="0"/>
          <w:rtl/>
        </w:rPr>
        <w:t xml:space="preserve"> פְּקַח עִינֶיךָ וּרְאֵה שׁוֹמְמֹתֵינוּ, שְׁמִיעָה יִרְאֵי אלהי''ם, וַעֲלֵיהּ אִתְּמַר </w:t>
      </w:r>
      <w:r>
        <w:rPr>
          <w:b w:val="0"/>
          <w:sz w:val="20"/>
          <w:szCs w:val="23"/>
          <w:rtl/>
        </w:rPr>
        <w:t>(שם)</w:t>
      </w:r>
      <w:r>
        <w:rPr>
          <w:b w:val="0"/>
          <w:bCs w:val="0"/>
          <w:rtl/>
        </w:rPr>
        <w:t xml:space="preserve"> הַטֵּה יהו''ה אָזְנְךָ וּשְׁמָע, וְתַמָּן דְּחִילוּ וּפַחַד יִצְחָק, הֲדָא הוּא דִכְתִיב </w:t>
      </w:r>
      <w:r>
        <w:rPr>
          <w:b w:val="0"/>
          <w:sz w:val="20"/>
          <w:szCs w:val="23"/>
          <w:rtl/>
        </w:rPr>
        <w:t>(חבקוק ג ב)</w:t>
      </w:r>
      <w:r>
        <w:rPr>
          <w:b w:val="0"/>
          <w:bCs w:val="0"/>
          <w:rtl/>
        </w:rPr>
        <w:t xml:space="preserve"> יהו''ה שָׁמַעְתִּי שִׁמְעֲךָ יָרֵאתִי, וּמָאן דִּי מִשְׁתַּמַּע תַּמָּן קָלֵיהּ בֵּין בְּאוֹרַיְיתָא בֵּין בִּצְלוֹתָא בֵּין בִּצְעָקָה בְּלָא דְחִילוּ, מִיָּד </w:t>
      </w:r>
      <w:r>
        <w:rPr>
          <w:b w:val="0"/>
          <w:sz w:val="20"/>
          <w:szCs w:val="23"/>
          <w:rtl/>
        </w:rPr>
        <w:t>(במדבר יא א)</w:t>
      </w:r>
      <w:r>
        <w:rPr>
          <w:b w:val="0"/>
          <w:bCs w:val="0"/>
          <w:rtl/>
        </w:rPr>
        <w:t xml:space="preserve"> וַיִּשְׁמַע יהו''ה וַיִּחַר אַפּוֹ וַתִּבְעַר בָּם אֵשׁ יהו''ה, וְכַמָּה נְטוּרֵי תַרְעִין תַּמָּן דְּאִתְקְרִיאוּ אָזְנֵי יהו''ה.</w:t>
      </w:r>
    </w:p>
    <w:p w:rsidR="006D2826" w:rsidRDefault="006D2826" w:rsidP="006D2826">
      <w:pPr>
        <w:pStyle w:val="NormalWeb"/>
        <w:rPr>
          <w:b w:val="0"/>
          <w:bCs w:val="0"/>
          <w:rtl/>
        </w:rPr>
      </w:pPr>
      <w:r>
        <w:rPr>
          <w:b w:val="0"/>
          <w:bCs w:val="0"/>
          <w:rtl/>
        </w:rPr>
        <w:t xml:space="preserve">רֵיחָא </w:t>
      </w:r>
      <w:r>
        <w:rPr>
          <w:rtl/>
        </w:rPr>
        <w:t>(תַּמָּן אַנְשֵׁי אֱמֶת)</w:t>
      </w:r>
      <w:r>
        <w:rPr>
          <w:b w:val="0"/>
          <w:bCs w:val="0"/>
          <w:rtl/>
        </w:rPr>
        <w:t xml:space="preserve">, וְתַמָּן סָלְקִין כָּל רֵיחִין וּקְטוּרִין וַעֲשַׁנִּין דְּקָרְבָּנִין, וּצְלוֹתִין דְּאִתְחֲשִׁיבוּ כְקָרְבָּנִין, וְאִם לָא סָלִיק לוֹן בַּר נַשׁ בִּדְחִילוּ וּרְחִימוּ, מַה כְּתִיב בֵּיהּ </w:t>
      </w:r>
      <w:r>
        <w:rPr>
          <w:b w:val="0"/>
          <w:sz w:val="20"/>
          <w:szCs w:val="23"/>
          <w:rtl/>
        </w:rPr>
        <w:t>(דברים כט יט)</w:t>
      </w:r>
      <w:r>
        <w:rPr>
          <w:b w:val="0"/>
          <w:bCs w:val="0"/>
          <w:rtl/>
        </w:rPr>
        <w:t xml:space="preserve"> כִּי אָז יֶעְשַּׁן אַף יהו''ה וְקִנְאָתוֹ בָּאִישׁ הַהוּא. דִּבּוּר לָקֳבֵל שׂוֹנְאֵי בָצַע, תַּמָּן סָלְקִין קָלִין וְדִבּוּרִין דְּאוֹרַיְיתָא וּצְלוֹתָא, אִלֵּין דְּאִתְּמַר עֲלַיְיהוּ </w:t>
      </w:r>
      <w:r>
        <w:rPr>
          <w:b w:val="0"/>
          <w:sz w:val="20"/>
          <w:szCs w:val="23"/>
          <w:rtl/>
        </w:rPr>
        <w:t>(קהלת י כ)</w:t>
      </w:r>
      <w:r>
        <w:rPr>
          <w:b w:val="0"/>
          <w:bCs w:val="0"/>
          <w:rtl/>
        </w:rPr>
        <w:t xml:space="preserve"> כִּי עוֹף הַשָּׁמַיִם יוֹלִיךְ אֶת הַקּוֹל וּבַעַל כְּנָפַיִם יַגִּיד דָּבָר, לָא אִית תִּקּוּנָא מֵאִלֵּין אַרְבַּע דְּלֵית תַּמָּן יהו''ה, וְאִיהוּ י אִסְתַּכַּל, ה וְשָׁמַע, ו וּמֵרִיחַ, ה וּמְמַלֵּל, בְּאִלֵּין אַרְבַּע תִּקּוּנִין.</w:t>
      </w:r>
    </w:p>
    <w:p w:rsidR="006D2826" w:rsidRDefault="006D2826" w:rsidP="006D2826">
      <w:pPr>
        <w:pStyle w:val="NormalWeb"/>
        <w:rPr>
          <w:b w:val="0"/>
          <w:bCs w:val="0"/>
          <w:rtl/>
        </w:rPr>
      </w:pPr>
      <w:r>
        <w:rPr>
          <w:b w:val="0"/>
          <w:bCs w:val="0"/>
          <w:rtl/>
        </w:rPr>
        <w:t xml:space="preserve">אַרְיֵה דָא רְאִיָּה, וְאִתְּמַר בֵּיהּ </w:t>
      </w:r>
      <w:r>
        <w:rPr>
          <w:b w:val="0"/>
          <w:sz w:val="20"/>
          <w:szCs w:val="23"/>
          <w:rtl/>
        </w:rPr>
        <w:t>(יחזקאל א י)</w:t>
      </w:r>
      <w:r>
        <w:rPr>
          <w:b w:val="0"/>
          <w:bCs w:val="0"/>
          <w:rtl/>
        </w:rPr>
        <w:t xml:space="preserve"> וּפְנֵי אַרְיֵה אֶל הַיָּמִין לְאַרְבַּעְתָּם, בְּכָל אֲתַר אַרְבַּעְתָּם דָּא יהו''ה, אַרְבַּע אַתְוָון דִּילֵיהּ דְּשָׁלְטִין עַל כֹּלָּא, וַהֲפוֹךְ אַרְיֵה וְתִשְׁכַּח לֵיהּ רְאִיָּה, </w:t>
      </w:r>
      <w:r>
        <w:rPr>
          <w:rStyle w:val="a7"/>
          <w:b w:val="0"/>
          <w:bCs w:val="0"/>
          <w:rtl/>
        </w:rPr>
        <w:footnoteReference w:id="5221"/>
      </w:r>
      <w:r>
        <w:rPr>
          <w:b w:val="0"/>
          <w:bCs w:val="0"/>
          <w:rtl/>
        </w:rPr>
        <w:t xml:space="preserve">וְאִיהוּ לִימִינָא דְחֶסֶד, דְּאִיהוּ יוֹמָא קַדְמָאָה, דְתַמָּן א' </w:t>
      </w:r>
      <w:r>
        <w:rPr>
          <w:b w:val="0"/>
          <w:sz w:val="20"/>
          <w:szCs w:val="23"/>
          <w:rtl/>
        </w:rPr>
        <w:t>(נ''א י')</w:t>
      </w:r>
      <w:r>
        <w:rPr>
          <w:b w:val="0"/>
          <w:bCs w:val="0"/>
          <w:rtl/>
        </w:rPr>
        <w:t xml:space="preserve"> אוֹר, רְאוּבֵן דְּאִיהוּ לִימִינָא עַל שְׁמֵיהּ אִתְקְרֵי אוֹר בֵּן, שְׁמִיעָה לִשְׂמָאלָא, וַעֲלֵיהּ אִתְּמַר </w:t>
      </w:r>
      <w:r>
        <w:rPr>
          <w:b w:val="0"/>
          <w:sz w:val="20"/>
          <w:szCs w:val="23"/>
          <w:rtl/>
        </w:rPr>
        <w:t>(שם)</w:t>
      </w:r>
      <w:r>
        <w:rPr>
          <w:b w:val="0"/>
          <w:bCs w:val="0"/>
          <w:rtl/>
        </w:rPr>
        <w:t xml:space="preserve"> וּפְנֵי שׁוֹר מֵהַשְּׂמֹאל, נֶשֶׁר רֵיחָא בְאֶמְצָעִיתָא, עֲלֵיהּ אִתְּמַר </w:t>
      </w:r>
      <w:r>
        <w:rPr>
          <w:b w:val="0"/>
          <w:sz w:val="20"/>
          <w:szCs w:val="23"/>
          <w:rtl/>
        </w:rPr>
        <w:t>(משלי ל ד)</w:t>
      </w:r>
      <w:r>
        <w:rPr>
          <w:b w:val="0"/>
          <w:bCs w:val="0"/>
          <w:rtl/>
        </w:rPr>
        <w:t xml:space="preserve"> מִי אָסַף רוּחַ בְּחָפְנָיו, </w:t>
      </w:r>
      <w:r>
        <w:rPr>
          <w:rStyle w:val="a7"/>
          <w:b w:val="0"/>
          <w:bCs w:val="0"/>
          <w:rtl/>
        </w:rPr>
        <w:footnoteReference w:id="5222"/>
      </w:r>
      <w:r>
        <w:rPr>
          <w:b w:val="0"/>
          <w:bCs w:val="0"/>
          <w:rtl/>
        </w:rPr>
        <w:t>דְּאִינוּן תְּרֵין נוּקְבִין דְּחוֹטָמָא, פִּימָא דִבּוּרָא, דָא אָדָם כְּלִיל אַרְבַּע אַתְוָון וּכְלִיל עֶשֶׂר אַתְוָון, וְדָא שְׁכִינְתָּא, בְּאִלֵּין אַרְבַּע תִּקּוּנִין אָמַר לְמֹשֶׁה וְאַתָּה תֶחזֶה מִכָּל הָעָם וְגוֹמֵר וְצָרִיךְ לְאַחְזָרָא עֲלַיְיהוּ.</w:t>
      </w:r>
    </w:p>
    <w:p w:rsidR="006D2826" w:rsidRDefault="006D2826" w:rsidP="006D2826">
      <w:pPr>
        <w:pStyle w:val="NormalWeb"/>
        <w:rPr>
          <w:b w:val="0"/>
          <w:bCs w:val="0"/>
          <w:rtl/>
        </w:rPr>
      </w:pPr>
      <w:r>
        <w:rPr>
          <w:rStyle w:val="a7"/>
          <w:b w:val="0"/>
          <w:bCs w:val="0"/>
          <w:rtl/>
        </w:rPr>
        <w:footnoteReference w:id="5223"/>
      </w:r>
      <w:r>
        <w:rPr>
          <w:b w:val="0"/>
          <w:bCs w:val="0"/>
          <w:rtl/>
        </w:rPr>
        <w:t xml:space="preserve">וְאַתָּה תֶחֱזֶה בְּשַׂעֲרָא, עֲלֵיהּ אִתְּמַר </w:t>
      </w:r>
      <w:r>
        <w:rPr>
          <w:b w:val="0"/>
          <w:sz w:val="20"/>
          <w:szCs w:val="23"/>
          <w:rtl/>
        </w:rPr>
        <w:t>(שיר ה יא)</w:t>
      </w:r>
      <w:r>
        <w:rPr>
          <w:b w:val="0"/>
          <w:bCs w:val="0"/>
          <w:rtl/>
        </w:rPr>
        <w:t xml:space="preserve"> רֹאשׁוֹ כֶּתֶם פָּז דָּא כֶּתֶר עִלָּאָה, וּמִלְּגָאו מוֹחָא, דְּמִנֵּיהּ נָפְקִין מַבּוּעִין לְכָל סִטְרָא, לְאַשְׁקָאָה לְכָל נִימָא וְנִימָא דְאִיהִי עָלְמָא סְתִימָאָה, וְכָל מַבּוּעָא אִתְעֲבִיד נִיצוֹץ, וְכָל נִימָא אִתְעֲבִיד שַׁרְבִיט, מוֹחָא סְתִימָא אִתְקְרֵי אֵין סוֹף, דְּאִתְפַּלַּג לִתְלַת מוֹחִין דְּאִינוּן י' י' י', דְּאִתְרְמִיזוּ בְּהַאי שְׁמָא </w:t>
      </w:r>
      <w:r>
        <w:rPr>
          <w:b w:val="0"/>
          <w:sz w:val="20"/>
          <w:szCs w:val="23"/>
          <w:rtl/>
        </w:rPr>
        <w:t>(יו''ד ה''א וא''ו ה''א נ''א יו''ד ה''י וא''ו ה''י)</w:t>
      </w:r>
      <w:r>
        <w:rPr>
          <w:b w:val="0"/>
          <w:bCs w:val="0"/>
          <w:rtl/>
        </w:rPr>
        <w:t xml:space="preserve">. </w:t>
      </w:r>
      <w:r>
        <w:rPr>
          <w:b w:val="0"/>
          <w:sz w:val="20"/>
          <w:szCs w:val="23"/>
          <w:rtl/>
        </w:rPr>
        <w:t>(קם סבא דסבין עתיקא דעתיקין, ואמר בוצינא קדישא, ודאי שמא דאתרמיזו תלת יודי''ן דא)</w:t>
      </w:r>
      <w:r>
        <w:rPr>
          <w:b w:val="0"/>
          <w:bCs w:val="0"/>
          <w:rtl/>
        </w:rPr>
        <w:t xml:space="preserve"> יו''ד ה''י וא''ו ה''י וְדָא אִיהוּ מִלְּגָאו, אֲבָל שְׁמָא דְאִיהוּ יו''ד ה''א וא''ו ה''א, אִיהוּ כְּלִיל תְּלַת אַלְפִין א' א' א', אִינוּן תְּלַת אַוִּירִין, דְּמִתְלַבְּשִׁין בְּהוֹן תְּלַת מוֹחִין י' י' י', שְׁמָא חַד אִיהוּ גוּפָא, וּשְׁמָא תִנְיָנָא מוֹחָא, דָּא מִלְּגָאו, וְדָא מִלְּבָר.</w:t>
      </w:r>
    </w:p>
    <w:p w:rsidR="006D2826" w:rsidRDefault="006D2826" w:rsidP="006D2826">
      <w:pPr>
        <w:pStyle w:val="aa"/>
        <w:spacing w:after="40"/>
        <w:rPr>
          <w:rtl/>
        </w:rPr>
      </w:pPr>
      <w:r>
        <w:rPr>
          <w:rtl/>
        </w:rPr>
        <w:t xml:space="preserve">[תיקוני זוהר - דף קכא ע''ב] </w:t>
      </w:r>
    </w:p>
    <w:p w:rsidR="006D2826" w:rsidRDefault="006D2826" w:rsidP="006D2826">
      <w:pPr>
        <w:pStyle w:val="NormalWeb"/>
        <w:rPr>
          <w:b w:val="0"/>
          <w:bCs w:val="0"/>
          <w:rtl/>
        </w:rPr>
      </w:pPr>
      <w:r>
        <w:rPr>
          <w:rStyle w:val="a7"/>
          <w:b w:val="0"/>
          <w:bCs w:val="0"/>
          <w:rtl/>
        </w:rPr>
        <w:footnoteReference w:id="5224"/>
      </w:r>
      <w:r>
        <w:rPr>
          <w:b w:val="0"/>
          <w:bCs w:val="0"/>
          <w:rtl/>
        </w:rPr>
        <w:t xml:space="preserve">תְּלַת וָוִי''ן אִית בְּהַאי שְׁמָא, דְאִנּוּן </w:t>
      </w:r>
      <w:r>
        <w:rPr>
          <w:b w:val="0"/>
          <w:sz w:val="20"/>
          <w:szCs w:val="23"/>
          <w:rtl/>
        </w:rPr>
        <w:t xml:space="preserve">(דף קכא ע''ב) </w:t>
      </w:r>
      <w:r>
        <w:rPr>
          <w:b w:val="0"/>
          <w:bCs w:val="0"/>
          <w:rtl/>
        </w:rPr>
        <w:t xml:space="preserve">שַׁרְבִיטִין, שֵׂעָר אִתְקְרֵי עַל שֵׁם שִׁעוּר קוֹמָתֵיהּ דְּקוּדְשָׁא בְּרִיךְ הוּא, </w:t>
      </w:r>
      <w:r>
        <w:rPr>
          <w:rStyle w:val="a7"/>
          <w:b w:val="0"/>
          <w:bCs w:val="0"/>
          <w:rtl/>
        </w:rPr>
        <w:footnoteReference w:id="5225"/>
      </w:r>
      <w:r>
        <w:rPr>
          <w:b w:val="0"/>
          <w:bCs w:val="0"/>
          <w:rtl/>
        </w:rPr>
        <w:t xml:space="preserve">וְנִימִין אִינוּן צַדִיקַיָא דִבְהון מְדַקְדֵק הַקב"ה עִם צַדִיקַיָא כְּחוּט הַשַׂעֲרָה, וְכָל נִיצוֹץ אִתְקְרֵי נִשְׁמָתָא, וְאִית נִימִין דְּאִתְקְרִיאוּ מַלְאָכִין, וְכָל נִיצוֹץ אִתְקְרֵי אוֹפָן וְאִתְקְרֵי גַלְגַּל, </w:t>
      </w:r>
      <w:r>
        <w:rPr>
          <w:rStyle w:val="a7"/>
          <w:b w:val="0"/>
          <w:bCs w:val="0"/>
          <w:rtl/>
        </w:rPr>
        <w:footnoteReference w:id="5226"/>
      </w:r>
      <w:r>
        <w:rPr>
          <w:b w:val="0"/>
          <w:bCs w:val="0"/>
          <w:rtl/>
        </w:rPr>
        <w:t>וְאִית מִנַּיְיהוּ דְאִינוּן נִימִין מֵאֶשָּׁא חִוְורָא כֻלְּהוּ רַחֲמֵי, וְאִית מִנַּיְיהוּ דְאִינוּן נִימִין דְּאִינוּן מֵאֶשָּׁא סוּמְקָא וְכֻלְּהוּ דִין, וְאִית נִימִין כֻּלְּהוּ יְרוֹקִין מֵאֶשָּׁא יְרוֹקָא, וְאִית נִימִין כֻּלְּהוּ מֵאֶשָּׁא אוּכְמָא, אִלֵּין אִתְקְרִיאוּ שֵׂעָר דְּקוּדְשָׁא בְּרִיךְ הוּא.</w:t>
      </w:r>
    </w:p>
    <w:p w:rsidR="006D2826" w:rsidRDefault="006D2826" w:rsidP="006D2826">
      <w:pPr>
        <w:pStyle w:val="NormalWeb"/>
        <w:rPr>
          <w:b w:val="0"/>
          <w:bCs w:val="0"/>
          <w:rtl/>
        </w:rPr>
      </w:pPr>
      <w:r>
        <w:rPr>
          <w:rStyle w:val="a7"/>
          <w:b w:val="0"/>
          <w:bCs w:val="0"/>
          <w:rtl/>
        </w:rPr>
        <w:footnoteReference w:id="5227"/>
      </w:r>
      <w:r>
        <w:rPr>
          <w:b w:val="0"/>
          <w:bCs w:val="0"/>
          <w:rtl/>
        </w:rPr>
        <w:t xml:space="preserve">כָּל נִיצוֹץ שִׁעוּר מַהֲלַךְ דִּילֵיהּ עֶשֶׂר אַלְפִין, </w:t>
      </w:r>
      <w:r>
        <w:rPr>
          <w:rStyle w:val="a7"/>
          <w:b w:val="0"/>
          <w:bCs w:val="0"/>
          <w:rtl/>
        </w:rPr>
        <w:footnoteReference w:id="5228"/>
      </w:r>
      <w:r>
        <w:rPr>
          <w:b w:val="0"/>
          <w:bCs w:val="0"/>
          <w:rtl/>
        </w:rPr>
        <w:t xml:space="preserve">וְכָל נִימָא אִיהִי שִׁעוּרָא דְאֶצְבָּעָא דְקוּדְשָׁא בְּרִיךְ הוּא, </w:t>
      </w:r>
      <w:r>
        <w:rPr>
          <w:rStyle w:val="a7"/>
          <w:b w:val="0"/>
          <w:bCs w:val="0"/>
          <w:rtl/>
        </w:rPr>
        <w:footnoteReference w:id="5229"/>
      </w:r>
      <w:r>
        <w:rPr>
          <w:b w:val="0"/>
          <w:bCs w:val="0"/>
          <w:rtl/>
        </w:rPr>
        <w:t xml:space="preserve">וְכָל אֶצְבַּע אִיהוּ פַּרְסָה זְעִירָא, וְכָל פַּרְסָה אִית בָּהּ תְּלַת מִיל, לָקֳבֵל תְּלַת פִּרְקִין דְּאֶצְבָּעָא, וְכָל מִיל אִיהוּ עֲשֶׂרֶת אֲלָפִים, אֲבָל מִיל דְּפַרְסָה עִלָּאָה אִיהוּ עֲשֶׂרֶת אֲלָפִים רִבּוֹא, וְהָכִי דְרוֹעָא תִשְׁכַּח בָּהּ תְּלַת פִּרְקִין, וְכָל פֶּרֶק אִיהוּ י', </w:t>
      </w:r>
      <w:r>
        <w:rPr>
          <w:rStyle w:val="a7"/>
          <w:b w:val="0"/>
          <w:bCs w:val="0"/>
          <w:rtl/>
        </w:rPr>
        <w:footnoteReference w:id="5230"/>
      </w:r>
      <w:r>
        <w:rPr>
          <w:b w:val="0"/>
          <w:bCs w:val="0"/>
          <w:rtl/>
        </w:rPr>
        <w:t xml:space="preserve">וְכָל אַמָּה אִיהוּ ו', אֲבָל אֶצְבַּע וְאַמָּה דָּא שִׁעוּרֵיהּ זְעִיר מִסִּטְרָא דִזְעִיר אַנְפִּין, וְדָא שִׁעוּרֵיהּ רַב </w:t>
      </w:r>
      <w:r>
        <w:rPr>
          <w:rStyle w:val="a7"/>
          <w:b w:val="0"/>
          <w:bCs w:val="0"/>
          <w:rtl/>
        </w:rPr>
        <w:footnoteReference w:id="5231"/>
      </w:r>
      <w:r>
        <w:rPr>
          <w:b w:val="0"/>
          <w:bCs w:val="0"/>
          <w:rtl/>
        </w:rPr>
        <w:t>מִסִּטְרָא דַאֲרִיךְ אַנְפִּין.</w:t>
      </w:r>
    </w:p>
    <w:p w:rsidR="006D2826" w:rsidRDefault="006D2826" w:rsidP="006D2826">
      <w:pPr>
        <w:pStyle w:val="NormalWeb"/>
        <w:rPr>
          <w:b w:val="0"/>
          <w:bCs w:val="0"/>
          <w:rtl/>
        </w:rPr>
      </w:pPr>
      <w:r>
        <w:rPr>
          <w:rStyle w:val="a7"/>
          <w:b w:val="0"/>
          <w:bCs w:val="0"/>
          <w:rtl/>
        </w:rPr>
        <w:footnoteReference w:id="5232"/>
      </w:r>
      <w:r>
        <w:rPr>
          <w:b w:val="0"/>
          <w:bCs w:val="0"/>
          <w:rtl/>
        </w:rPr>
        <w:t xml:space="preserve">וּבְכָל אֵבֶר וְאֵבֶר אִיהוּ יהו''ה, </w:t>
      </w:r>
      <w:r>
        <w:rPr>
          <w:rStyle w:val="a7"/>
          <w:b w:val="0"/>
          <w:bCs w:val="0"/>
          <w:rtl/>
        </w:rPr>
        <w:footnoteReference w:id="5233"/>
      </w:r>
      <w:r>
        <w:rPr>
          <w:b w:val="0"/>
          <w:bCs w:val="0"/>
          <w:rtl/>
        </w:rPr>
        <w:t xml:space="preserve">וְאִיהוּ שִׁעוּרָא דְכָל אֵבֶר וְאֵבֶר, בְּגָבְהָא בְאָרְכָּא וּבְרָחְבָּא, </w:t>
      </w:r>
      <w:r>
        <w:rPr>
          <w:rtl/>
        </w:rPr>
        <w:t>(עִילָא וְתַתָּא, וּלְאַרְבַּע סִטְרִין,)</w:t>
      </w:r>
      <w:r>
        <w:rPr>
          <w:b w:val="0"/>
          <w:bCs w:val="0"/>
          <w:rtl/>
        </w:rPr>
        <w:t xml:space="preserve"> וְאִיהוּ בֵּין כָּל אֵבֶר וְאֵבֶר, לֵית אֲתַר פָּנוּי מִנֵּיהּ, כְּנִשְׁמָתָא דְאִשְׁתַּכְּחַת בְּכָל אֵבֶר וְאֵבֶר דְּגוּפָא.</w:t>
      </w:r>
    </w:p>
    <w:p w:rsidR="006D2826" w:rsidRDefault="006D2826" w:rsidP="006D2826">
      <w:pPr>
        <w:pStyle w:val="NormalWeb"/>
        <w:rPr>
          <w:b w:val="0"/>
          <w:bCs w:val="0"/>
          <w:rtl/>
        </w:rPr>
      </w:pPr>
      <w:r>
        <w:rPr>
          <w:b w:val="0"/>
          <w:bCs w:val="0"/>
          <w:rtl/>
        </w:rPr>
        <w:t xml:space="preserve">וְאִית אֵבֶר דְּאִתְקְרֵי אלהי''ם, וְשָׁלְטָנוּתֵיהּ בְּכָל אַרְעָא, הֲדָא הוּא דִכְתִיב </w:t>
      </w:r>
      <w:r>
        <w:rPr>
          <w:b w:val="0"/>
          <w:sz w:val="20"/>
          <w:szCs w:val="23"/>
          <w:rtl/>
        </w:rPr>
        <w:t>(תהלים מ''ז)</w:t>
      </w:r>
      <w:r>
        <w:rPr>
          <w:b w:val="0"/>
          <w:bCs w:val="0"/>
          <w:rtl/>
        </w:rPr>
        <w:t xml:space="preserve"> מֶלֶךְ עַל כָּל הָאָרֶץ אלהי''ם, וְאִית אֵבֶר עִלָּאָה דְאִתְקְרֵי יהו''ה עַל שְׁמֵיהּ, דְּשָׁלְטָנוּתֵיהּ בַּאֲתַר יְדִיעָא, הֲדָא הוּא דִכְתִיב </w:t>
      </w:r>
      <w:r>
        <w:rPr>
          <w:b w:val="0"/>
          <w:sz w:val="20"/>
          <w:szCs w:val="23"/>
          <w:rtl/>
        </w:rPr>
        <w:t>(זכריה יד ט)</w:t>
      </w:r>
      <w:r>
        <w:rPr>
          <w:b w:val="0"/>
          <w:bCs w:val="0"/>
          <w:rtl/>
        </w:rPr>
        <w:t xml:space="preserve"> וְהָיָה יהו''ה לְמֶלֶךְ עַל כָּל הָאָרֶץ, </w:t>
      </w:r>
      <w:r>
        <w:rPr>
          <w:rStyle w:val="a7"/>
          <w:b w:val="0"/>
          <w:bCs w:val="0"/>
          <w:rtl/>
        </w:rPr>
        <w:footnoteReference w:id="5234"/>
      </w:r>
      <w:r>
        <w:rPr>
          <w:b w:val="0"/>
          <w:bCs w:val="0"/>
          <w:rtl/>
        </w:rPr>
        <w:t xml:space="preserve">וְאִית תְּרֵין אֵבָרִין עִלָּאִין מִנֵּיהּ, דְּאִתְקְרִיאוּ יהו''ה אלהי''ם דְּשָׁלְטָנוּתְהוֹן בִּשְׁמַיָּא וּבְאַרְעָא, הֲדָא הוּא דִכְתִיב </w:t>
      </w:r>
      <w:r>
        <w:rPr>
          <w:b w:val="0"/>
          <w:sz w:val="20"/>
          <w:szCs w:val="23"/>
          <w:rtl/>
        </w:rPr>
        <w:t>(דברים ד לה)</w:t>
      </w:r>
      <w:r>
        <w:rPr>
          <w:b w:val="0"/>
          <w:bCs w:val="0"/>
          <w:rtl/>
        </w:rPr>
        <w:t xml:space="preserve"> כִּי יהו''ה הוּא הָאלהי''ם בַּשָּׁמַיִם מִמַּעַל וְעַל הָאָרֶץ מִתָּחַת אֵין עוֹד, וְאִית אָחֳרָא דְשָׁלְטָנוּתֵיהּ אִיהוּ בִתְרֵין אֵבָרִין בְּמוֹחָא וּבְלִבָּא, וַעֲלֵיהּ אִתְּמַר </w:t>
      </w:r>
      <w:r>
        <w:rPr>
          <w:b w:val="0"/>
          <w:sz w:val="20"/>
          <w:szCs w:val="23"/>
          <w:rtl/>
        </w:rPr>
        <w:t>(דברים ד')</w:t>
      </w:r>
      <w:r>
        <w:rPr>
          <w:b w:val="0"/>
          <w:bCs w:val="0"/>
          <w:rtl/>
        </w:rPr>
        <w:t xml:space="preserve"> כִּי יהו''ה הוּא הָאלהי''ם אֵין עוֹד מִלְּבַדּוֹ, וְאַף עַל גַּב דְּהַאי קְרָא עַל קוּדְשָׁא בְּרִיךְ הוּא אִתְּמַר דְּאֵין עוֹד מִלְּבַדּוֹ, עִם כָּל דָּא הָכָא רָזָא דְּדִיּוֹקְנָא עִלָּאָה דִילֵיהּ, לְאַחֲזָאָה בְּכָל אֵבֶר וְאֵבֶר דְּגוּפֵיהּ שׁוֹלְטָנוּתֵיהּ, לְאִשְׁתְּמוֹדְעָא לְבַר נַשׁ אֵיךְ אִתְנַהִיג עָלְמָא, וְיִנְדַּע לְמִקְרֵי לֵיהּ בְּכָל אֵבֶר כִּדְקָא יָאוּת לֵיהּ, וְאֵיךְ אִשְׁתַּנִּי שְׁמֵיהּ לְפוּם הַהוּא אֵבֶר.</w:t>
      </w:r>
    </w:p>
    <w:p w:rsidR="006D2826" w:rsidRDefault="006D2826" w:rsidP="006D2826">
      <w:pPr>
        <w:pStyle w:val="aa"/>
        <w:spacing w:after="40"/>
        <w:rPr>
          <w:rtl/>
        </w:rPr>
      </w:pPr>
      <w:r>
        <w:rPr>
          <w:rtl/>
        </w:rPr>
        <w:t xml:space="preserve">[תיקוני זוהר - דף קכב ע''א] </w:t>
      </w:r>
    </w:p>
    <w:p w:rsidR="006D2826" w:rsidRDefault="006D2826" w:rsidP="006D2826">
      <w:pPr>
        <w:pStyle w:val="NormalWeb"/>
        <w:rPr>
          <w:b w:val="0"/>
          <w:bCs w:val="0"/>
          <w:rtl/>
        </w:rPr>
      </w:pPr>
      <w:r>
        <w:rPr>
          <w:rStyle w:val="a7"/>
          <w:b w:val="0"/>
          <w:bCs w:val="0"/>
          <w:rtl/>
        </w:rPr>
        <w:footnoteReference w:id="5235"/>
      </w:r>
      <w:r>
        <w:rPr>
          <w:b w:val="0"/>
          <w:bCs w:val="0"/>
          <w:rtl/>
        </w:rPr>
        <w:t xml:space="preserve">וְאִית אֵבֶר דְּאִתְקְרֵי בֵּיהּ יהו''ה רַחֲמֵי, וְאִית אֵבֶר דְּאִתְקְרֵי בֵּיהּ אלהי''ם, וְאִית אֵבֶר דְּאִתְקְרֵי בֵּיהּ אהי''ה, וְאִית אֵבֶר דְּאִתְקְרֵי בֵּיהּ צבאו''ת, וְאִית אֵבֶר דְּאִתְקְרֵי בֵּיהּ א''ל, וְאִית אֵבֶר דְּאִתְקְרֵי בֵּיהּ שד''י, וְאִית אֵבֶר דְּאִתְקְרֵי בֵּיהּ אדנ''י, יהו''ה מְמַנָּא עַל קָלָא, הֲדָא הוּא דִכְתִיב </w:t>
      </w:r>
      <w:r>
        <w:rPr>
          <w:b w:val="0"/>
          <w:sz w:val="20"/>
          <w:szCs w:val="23"/>
          <w:rtl/>
        </w:rPr>
        <w:t>(תהלים כט ד)</w:t>
      </w:r>
      <w:r>
        <w:rPr>
          <w:b w:val="0"/>
          <w:bCs w:val="0"/>
          <w:rtl/>
        </w:rPr>
        <w:t xml:space="preserve"> קוֹל יהו''ה בַּכֹּחַ, </w:t>
      </w:r>
      <w:r>
        <w:rPr>
          <w:rStyle w:val="a7"/>
          <w:b w:val="0"/>
          <w:bCs w:val="0"/>
          <w:rtl/>
        </w:rPr>
        <w:footnoteReference w:id="5236"/>
      </w:r>
      <w:r>
        <w:rPr>
          <w:b w:val="0"/>
          <w:bCs w:val="0"/>
          <w:rtl/>
        </w:rPr>
        <w:t xml:space="preserve">אהי''ה עַל הֲוַיָּה וְהֶבֶל דְּלִבָּא, </w:t>
      </w:r>
      <w:r>
        <w:rPr>
          <w:rStyle w:val="a7"/>
          <w:b w:val="0"/>
          <w:bCs w:val="0"/>
          <w:rtl/>
        </w:rPr>
        <w:footnoteReference w:id="5237"/>
      </w:r>
      <w:r>
        <w:rPr>
          <w:b w:val="0"/>
          <w:bCs w:val="0"/>
          <w:rtl/>
        </w:rPr>
        <w:t xml:space="preserve">הַהוּא דְרָכִיב עַל קָלָא דְיהו''ה אִיהוּ עִלַּת עַל כָּל הָעִלּוֹת, סָתִים וְטָמִיר וְלָא אִתְגַּלְיָא, וְאִיהוּ רָכִיב וְשַׁלִּיט עַל כֹּלָּא, אהי''ה אַחֲזֵי עַל עִלַּת הָעִלּוֹת דְּאִיהוּ הָיָה הוְֹה וְיִהְיֶה, וְאִיהוּ הֲבַל דְּסָלִיק עַד אֵין סוֹף, וּבֵיהּ רָכִיב עִלַּת עַל כָּל הָעִלּוֹת. </w:t>
      </w:r>
      <w:r>
        <w:rPr>
          <w:rStyle w:val="a7"/>
          <w:b w:val="0"/>
          <w:bCs w:val="0"/>
          <w:rtl/>
        </w:rPr>
        <w:footnoteReference w:id="5238"/>
      </w:r>
      <w:r>
        <w:rPr>
          <w:b w:val="0"/>
          <w:bCs w:val="0"/>
          <w:rtl/>
        </w:rPr>
        <w:t xml:space="preserve">אֵ''ל אַחֲזֵי עַל אֱלָהוּ''ת דְּעִלַּת עַל כָּל הָעִלּוֹת, וַעֲלֵיהּ אָמַר אִיוֹב </w:t>
      </w:r>
      <w:r>
        <w:rPr>
          <w:b w:val="0"/>
          <w:sz w:val="20"/>
          <w:szCs w:val="23"/>
          <w:rtl/>
        </w:rPr>
        <w:t>(איוב ה ח)</w:t>
      </w:r>
      <w:r>
        <w:rPr>
          <w:b w:val="0"/>
          <w:bCs w:val="0"/>
          <w:rtl/>
        </w:rPr>
        <w:t xml:space="preserve"> אֲנִי אֶדְרוֹשׁ אֶל אֵ''ל, אֶל אלה''י הָאלהי''ם, וְכַד רָכִיב עַל אֵ''ל אִשְׁתְּמוֹדְעִין לֵיהּ כָּל אלהי''ם, וּמִזְדַּעְזְעִין מִנֵּיהּ, </w:t>
      </w:r>
      <w:r>
        <w:rPr>
          <w:rStyle w:val="a7"/>
          <w:b w:val="0"/>
          <w:bCs w:val="0"/>
          <w:rtl/>
        </w:rPr>
        <w:footnoteReference w:id="5239"/>
      </w:r>
      <w:r>
        <w:rPr>
          <w:b w:val="0"/>
          <w:bCs w:val="0"/>
          <w:rtl/>
        </w:rPr>
        <w:t xml:space="preserve">וְכָל מַלְאָכַיָּא דְאִתְקְרִיאוּ בְּהַאי אֵ''ל כְּגוֹן מִיכָאֵ''ל גַּבְרִיאֵ''ל, כֻּלְּהוּ מִזְדַּעְזְעִין מֵהַאי אֵ''ל דְּאִיהוּ אלה''י הָאלהי''ם, וּמָאן דְּקָרָא לוֹן בֵּיהּ, מִיָּד עוֹנִין לֵיהּ בְּכָל שַׁעְתָּא, וְהָכִי כָּל מַלְאָכַיָּא דְאִתְקְרִיאוּ קָלִין בִּשְׁמָא דְיהו''ה, כָּל מָאן דְּקָרָא לוֹן בְּיהו''ה בְּעִלַּת עַל כָּל הָעִלּוֹת מִיָּד עוֹנִין לֵיהּ בְּקָלֵיהּ, דְּעִלַּת עַל כָּל הָעִלּוֹת </w:t>
      </w:r>
      <w:r>
        <w:rPr>
          <w:rStyle w:val="a7"/>
          <w:b w:val="0"/>
          <w:bCs w:val="0"/>
          <w:rtl/>
        </w:rPr>
        <w:footnoteReference w:id="5240"/>
      </w:r>
      <w:r>
        <w:rPr>
          <w:b w:val="0"/>
          <w:bCs w:val="0"/>
          <w:rtl/>
        </w:rPr>
        <w:t xml:space="preserve">אִיהוּ חַד בְּכָל שְׁמָהָן וְלָא אִשְׁתַּנִּי בְּכֻלְּהוּ, דְּשִׁנּוּיִין בִּשְׁמָהָן אִינוּן וְלַאו בֵּיהּ, דְּאִיהוּ בְּכֻלְּהוּ כְּנִשְׁמָתָא בְּכָל אֵבֶר וְאֵבֶר, אִית אֵבֶר דְּשָׁמַע בֵּיהּ כְּגוֹן אוּדְנִין, וְאִית אֵבֶר דְּמִסְתַּכֵּל מִנֵּיהּ </w:t>
      </w:r>
      <w:r>
        <w:rPr>
          <w:b w:val="0"/>
          <w:sz w:val="20"/>
          <w:szCs w:val="23"/>
          <w:rtl/>
        </w:rPr>
        <w:t>(נ''א ביה)</w:t>
      </w:r>
      <w:r>
        <w:rPr>
          <w:b w:val="0"/>
          <w:bCs w:val="0"/>
          <w:rtl/>
        </w:rPr>
        <w:t xml:space="preserve"> עַל עָלְמָא, </w:t>
      </w:r>
      <w:r>
        <w:rPr>
          <w:rStyle w:val="a7"/>
          <w:b w:val="0"/>
          <w:bCs w:val="0"/>
          <w:rtl/>
        </w:rPr>
        <w:footnoteReference w:id="5241"/>
      </w:r>
      <w:r>
        <w:rPr>
          <w:b w:val="0"/>
          <w:bCs w:val="0"/>
          <w:rtl/>
        </w:rPr>
        <w:t xml:space="preserve">וְאִית אֵבֶר דְּאָרַח בֵּיהּ כָּל רֵיחִין וּבוּסְמִין דִּצְלוֹתִין, וְרֵיחִין טָבִין דַּהֲבָלִים דְּנָפְקִין מֵאוֹרַיְיתָא מִפּוּמָא דִבְנֵי נָשָׁא, וְדָא </w:t>
      </w:r>
      <w:r>
        <w:rPr>
          <w:b w:val="0"/>
          <w:sz w:val="20"/>
          <w:szCs w:val="23"/>
          <w:rtl/>
        </w:rPr>
        <w:t xml:space="preserve">(דף קכב ע''א) </w:t>
      </w:r>
      <w:r>
        <w:rPr>
          <w:b w:val="0"/>
          <w:bCs w:val="0"/>
          <w:rtl/>
        </w:rPr>
        <w:t xml:space="preserve">רֵיחָא דְחוֹטָמָא, וְאִית אֵבֶר דְּמַלֵּיל בֵּיהּ, וְאֵבֶר דִּמְמַנָּא </w:t>
      </w:r>
      <w:r>
        <w:rPr>
          <w:rStyle w:val="a7"/>
          <w:b w:val="0"/>
          <w:bCs w:val="0"/>
          <w:rtl/>
        </w:rPr>
        <w:footnoteReference w:id="5242"/>
      </w:r>
      <w:r>
        <w:rPr>
          <w:b w:val="0"/>
          <w:bCs w:val="0"/>
          <w:rtl/>
        </w:rPr>
        <w:t>עַל דִּבּוּרָא דָא אדנ''י, וְאִית אֵבֶר דִּמְמַנָּא עַל מַחֲשָׁבָה, וּבְאִלֵּין אֵבָרִין אִית שִׁנּוּיָיא, אֲבָל בֵּיהּ לֵית שִׁנּוּיָיא, וְאֵבָרִין אִלֵּין כֻּלְּהוּ בִסְפִירָן.</w:t>
      </w:r>
    </w:p>
    <w:p w:rsidR="006D2826" w:rsidRDefault="006D2826" w:rsidP="006D2826">
      <w:pPr>
        <w:pStyle w:val="NormalWeb"/>
        <w:rPr>
          <w:b w:val="0"/>
          <w:bCs w:val="0"/>
          <w:rtl/>
        </w:rPr>
      </w:pPr>
      <w:r>
        <w:rPr>
          <w:b w:val="0"/>
          <w:bCs w:val="0"/>
          <w:rtl/>
        </w:rPr>
        <w:t xml:space="preserve">רֵישָׁא כֶתֶר עֶלְיוֹן, מוֹחָא חָכְמָה, בִּינָה לִבָּא </w:t>
      </w:r>
      <w:r>
        <w:rPr>
          <w:rStyle w:val="a7"/>
          <w:b w:val="0"/>
          <w:bCs w:val="0"/>
          <w:rtl/>
        </w:rPr>
        <w:footnoteReference w:id="5243"/>
      </w:r>
      <w:r>
        <w:rPr>
          <w:b w:val="0"/>
          <w:bCs w:val="0"/>
          <w:rtl/>
        </w:rPr>
        <w:t>וּבָהּ לֵב מֵבִין, תְּרֵין דְּרוֹעִין חֶסֶד גְּבוּרָה, גּוּפָא עַמּוּדָא דְאֶמְצָעִיתָא, תְּרֵין שׁוֹקִין נֶצַח וָהוֹד, יְסוֹד אָמָה, שְׁכִינְתָּא אוֹת דִּילֵיהּ. כֶּתֶר אִתְקְרֵי אֵ''ל עֶלְיוֹן, קוֹנֵה הַכֹּל - חָכְמָה</w:t>
      </w:r>
      <w:r>
        <w:rPr>
          <w:b w:val="0"/>
          <w:sz w:val="20"/>
          <w:szCs w:val="23"/>
          <w:rtl/>
        </w:rPr>
        <w:t xml:space="preserve"> </w:t>
      </w:r>
      <w:r>
        <w:rPr>
          <w:b w:val="0"/>
          <w:bCs w:val="0"/>
          <w:rtl/>
        </w:rPr>
        <w:t>וּבִּינָה, וְאִינוּן אלהינ''ו וִאלה''י אֲבוֹתֵינוּ, אלהינ''ו בִּינָה, וִאלה''י אֲבוֹתֵינוּ חָכְמָה, וְאִיהוּ אלה''י אַבְרָהָם אלה''י יִצְחָק וִאלה''י יַעֲקֹב, הָאֵ''ל הַגָּדוֹל מִסִּטְרָא דִגְדוּלָה, וְהַגִּבּוֹר מִסִּטְרָא דִגְבוּרָה, וְהַנּוֹרָא מִסִּטְרָא דְעַמּוּדָא דְאֶמְצָעִיתָא.</w:t>
      </w:r>
    </w:p>
    <w:p w:rsidR="006D2826" w:rsidRDefault="006D2826" w:rsidP="006D2826">
      <w:pPr>
        <w:pStyle w:val="NormalWeb"/>
        <w:rPr>
          <w:b w:val="0"/>
          <w:bCs w:val="0"/>
          <w:rtl/>
        </w:rPr>
      </w:pPr>
      <w:r>
        <w:rPr>
          <w:rStyle w:val="a7"/>
          <w:b w:val="0"/>
          <w:bCs w:val="0"/>
          <w:rtl/>
        </w:rPr>
        <w:footnoteReference w:id="5244"/>
      </w:r>
      <w:r>
        <w:rPr>
          <w:b w:val="0"/>
          <w:bCs w:val="0"/>
          <w:rtl/>
        </w:rPr>
        <w:t xml:space="preserve">אַדְהָכִי הָא אֵלִיָּהוּ קָא נָחִית, וְאָמַר רַבִּי בּוֹצִינָא קַדִּישָׁא, שְׁמַעְנָא לְעִילָא תִּקּוּנָא דִילָךְ בִּשְׁמָהָן דְּקוּדְשָׁא בְּרִיךְ הוּא, וּבִצְלוֹתָא דִילֵיהּ, חֲזוֹר בָּךְ, דְּאַתְּ צָרִיךְ לְתַקָּנָא שְׁמָהָן דְּקוּדְשָׁא בְּרִיךְ הוּא כִּדְקָא יָאוּת, דְּהָא כֻּלְּהוּ אָזְלִין בִּתְלַת תְּלַת, מִסִּטְרָא דְרַחֲמֵי אִתְקְרִיאוּ יהו''ה יהו''ה יהו''ה תְּלַת אֲבָהָן, וְאִינוּן אֵשׁ דְּלָא אִיהוּ שׂוֹרֵף, וְאִתְקְרִיאוּ בִּתְלַת שְׁמָהָן אהי''ה אהי''ה אהי''ה, וְהַאי אִיהוּ אֵשׁ דְּאִיהוּ שׂוֹרֵף וְלָא אֻכָּל, וְאִתְקְרִיאוּ אדנ''י אדנ''י אדנ''י, וְדָא אֵשׁ דְּאִיהוּ שׂוֹרֵף וְאָכִיל וְשֵׁצֵי כֹּלָּא, הֲדָא הוּא דִכְתִיב </w:t>
      </w:r>
      <w:r>
        <w:rPr>
          <w:b w:val="0"/>
          <w:sz w:val="20"/>
          <w:szCs w:val="23"/>
          <w:rtl/>
        </w:rPr>
        <w:t>(ויקרא ט כד)</w:t>
      </w:r>
      <w:r>
        <w:rPr>
          <w:b w:val="0"/>
          <w:bCs w:val="0"/>
          <w:rtl/>
        </w:rPr>
        <w:t xml:space="preserve"> וַתֹּאכַל עַל הַמִּזְבֵּחַ אֶת הָעוֹלָה וְאֶת הַחֲלָבִים.</w:t>
      </w:r>
    </w:p>
    <w:p w:rsidR="006D2826" w:rsidRDefault="006D2826" w:rsidP="006D2826">
      <w:pPr>
        <w:pStyle w:val="NormalWeb"/>
        <w:rPr>
          <w:b w:val="0"/>
          <w:bCs w:val="0"/>
          <w:rtl/>
        </w:rPr>
      </w:pPr>
      <w:r>
        <w:rPr>
          <w:rStyle w:val="a7"/>
          <w:b w:val="0"/>
          <w:bCs w:val="0"/>
          <w:rtl/>
        </w:rPr>
        <w:footnoteReference w:id="5245"/>
      </w:r>
      <w:r>
        <w:rPr>
          <w:b w:val="0"/>
          <w:bCs w:val="0"/>
          <w:rtl/>
        </w:rPr>
        <w:t xml:space="preserve">א' אִיהוּ כֶּתֶר עַל כֻּלְּהוּ שְׁמָהָן, וְאִיהוּ אִתְקְרֵי א''ל, אהי''ה, אדנ''י, אלהי''ם, </w:t>
      </w:r>
      <w:r>
        <w:rPr>
          <w:b w:val="0"/>
          <w:sz w:val="20"/>
          <w:szCs w:val="23"/>
          <w:rtl/>
        </w:rPr>
        <w:t>(אלה''י, אֱלוֹ''הַּ, אלהינ''ו אי''ה, או''ה,</w:t>
      </w:r>
      <w:r>
        <w:rPr>
          <w:b w:val="0"/>
          <w:bCs w:val="0"/>
          <w:rtl/>
        </w:rPr>
        <w:t xml:space="preserve"> </w:t>
      </w:r>
      <w:r>
        <w:rPr>
          <w:b w:val="0"/>
          <w:sz w:val="20"/>
          <w:szCs w:val="23"/>
          <w:rtl/>
        </w:rPr>
        <w:t>ורזא דמלה א''ל אלהי''ם יהו''ה דבר ויקרא ארץ)</w:t>
      </w:r>
      <w:r>
        <w:rPr>
          <w:b w:val="0"/>
          <w:szCs w:val="23"/>
          <w:rtl/>
        </w:rPr>
        <w:t xml:space="preserve"> </w:t>
      </w:r>
      <w:r>
        <w:rPr>
          <w:b w:val="0"/>
          <w:sz w:val="20"/>
          <w:szCs w:val="23"/>
          <w:rtl/>
        </w:rPr>
        <w:t>(תהלים נ א)</w:t>
      </w:r>
      <w:r>
        <w:rPr>
          <w:b w:val="0"/>
          <w:bCs w:val="0"/>
          <w:rtl/>
        </w:rPr>
        <w:t>. י' בֵּיהּ אִתְקְרֵי י''ה, יה''ו, יהו''ה, כֻּלְּהוּ שְׁמָהָן דְּפָתְחִין בַּהֲוַיּוֹ''ת בְּי', עִקָּרָא דִלְהוֹן בְּחָכְמָה, וְכֻלְּהוּ שְׁמָהָן דְּפָתְחִין בְּא', עִקָּרָא דִלְהוֹן אִימָּא עִלָּאָה, וּכְמָה דְעַמּוּדָא דְאֶמְצָעִיתָא אִיהוּ כְּלִיל מִימִינָא וּמִשְּׂמָאלָא, הָכִי כֶּתֶר עִלָּאָה כְּלִיל תְּרֵין שְׁמָהָן אִלֵּין דְּאַבָּא וְאִימָּא, וְאִיהוּ כֶּתֶר עַל רֵישַׁיְיהוּ, וְאַשְׁכַּחְנָא תִּקּוּנָא כְּגַוְונָא דָא, אהי''ה כֶּתֶר עִלָּאָה, יהו''ה עַמּוּדָא דְאֶמְצָעִיתָא, אדנ''י שְׁכִינְתָּא תַּתָּאָה.</w:t>
      </w:r>
    </w:p>
    <w:p w:rsidR="006D2826" w:rsidRDefault="006D2826" w:rsidP="006D2826">
      <w:pPr>
        <w:pStyle w:val="NormalWeb"/>
        <w:rPr>
          <w:b w:val="0"/>
          <w:bCs w:val="0"/>
          <w:rtl/>
        </w:rPr>
      </w:pPr>
      <w:r>
        <w:rPr>
          <w:b w:val="0"/>
          <w:bCs w:val="0"/>
          <w:rtl/>
        </w:rPr>
        <w:t>וּמִסִּטְרָא דְכֶתֶר אִתְקְרִיאוּ תְּלַת סְפִירָן אֶהְיֶ''ה אֲשֶׁר אֶהְיֶ''ה, חֶסֶד אֵ''ל, גְּבוּרָה אלהי''ם, עַמּוּדָא דְאֶמְצָעִיתָא יהו''ה, וְרָזָא דְמִלָּה אֵ''ל אלהי''ם יהו''ה דִּבֶּר וַיִּקְרָא אָרֶץ, נֶצַח וְהוֹד צְבָאוֹ''ת, צַדִּיק שד''י, מַלְכוּת אדנ''י.</w:t>
      </w:r>
    </w:p>
    <w:p w:rsidR="006D2826" w:rsidRDefault="006D2826" w:rsidP="006D2826">
      <w:pPr>
        <w:pStyle w:val="NormalWeb"/>
        <w:rPr>
          <w:b w:val="0"/>
          <w:bCs w:val="0"/>
          <w:rtl/>
        </w:rPr>
      </w:pPr>
      <w:r>
        <w:rPr>
          <w:b w:val="0"/>
          <w:bCs w:val="0"/>
          <w:rtl/>
        </w:rPr>
        <w:t xml:space="preserve">וּבִצְלוֹתָא בָּרוּךְ אַתָּה יהו''ה, כָּל הַכּוֹרֵעַ כּוֹרֵעַ בְּבָרוּךְ, וְדָא צַדִּיק חַי עָלְמִין, וַעֲלֵיהּ אִתְּמַר </w:t>
      </w:r>
      <w:r>
        <w:rPr>
          <w:b w:val="0"/>
          <w:sz w:val="20"/>
          <w:szCs w:val="23"/>
          <w:rtl/>
        </w:rPr>
        <w:t>(מלכים א ב מה)</w:t>
      </w:r>
      <w:r>
        <w:rPr>
          <w:b w:val="0"/>
          <w:bCs w:val="0"/>
          <w:rtl/>
        </w:rPr>
        <w:t xml:space="preserve"> </w:t>
      </w:r>
      <w:r>
        <w:rPr>
          <w:rStyle w:val="a7"/>
          <w:b w:val="0"/>
          <w:bCs w:val="0"/>
          <w:rtl/>
        </w:rPr>
        <w:footnoteReference w:id="5246"/>
      </w:r>
      <w:r>
        <w:rPr>
          <w:b w:val="0"/>
          <w:bCs w:val="0"/>
          <w:rtl/>
        </w:rPr>
        <w:t xml:space="preserve">וְהַמֶּלֶךְ שְׁלֹמֹה בָּרוּךְ, </w:t>
      </w:r>
      <w:r>
        <w:rPr>
          <w:rStyle w:val="a7"/>
          <w:b w:val="0"/>
          <w:bCs w:val="0"/>
          <w:rtl/>
        </w:rPr>
        <w:footnoteReference w:id="5247"/>
      </w:r>
      <w:r>
        <w:rPr>
          <w:b w:val="0"/>
          <w:bCs w:val="0"/>
          <w:rtl/>
        </w:rPr>
        <w:t xml:space="preserve">אַתָּה אָת ה' זְעִירָא, בָהּ צָרִיךְ לְנַחְתָא בִרְכָאָן, </w:t>
      </w:r>
      <w:r>
        <w:rPr>
          <w:rStyle w:val="a7"/>
          <w:b w:val="0"/>
          <w:bCs w:val="0"/>
          <w:rtl/>
        </w:rPr>
        <w:footnoteReference w:id="5248"/>
      </w:r>
      <w:r>
        <w:rPr>
          <w:b w:val="0"/>
          <w:bCs w:val="0"/>
          <w:rtl/>
        </w:rPr>
        <w:t xml:space="preserve">וְכָל הַזּוֹקֵף זוֹקֵף בְּשֵׁם דָּא יהו''ה עַמּוּדָא דְאֶמְצָעִיתָא, </w:t>
      </w:r>
      <w:r>
        <w:rPr>
          <w:rStyle w:val="a7"/>
          <w:b w:val="0"/>
          <w:bCs w:val="0"/>
          <w:rtl/>
        </w:rPr>
        <w:footnoteReference w:id="5249"/>
      </w:r>
      <w:r>
        <w:rPr>
          <w:b w:val="0"/>
          <w:bCs w:val="0"/>
          <w:rtl/>
        </w:rPr>
        <w:t xml:space="preserve">דְבֵיהּ אִתְכְּלִילָן מִתַּתָּא לְעִילָא וּמֵעִילָא לְתַתָּא, כָּל סְפִירָאן בְּעַמּוּדָא דְאֶמְצָעִיתָא, וּבְגִין דָּא צָרִיךְ לְאַכְלָלָא בֵּיהּ תַּתָּאִין בְּהַכְרָעָה, וּלְבָתַר עִלָּאִין בִּזְקִיפָה. אלהינ''ו אִימָּא עִלָּאָה, וְאלה''י אֲבוֹתֵינוּ אַבָּא, הָאֵ''ל הַגָּדוֹל חֶסֶד, הַגִּבּוֹר גְּבוּרָה, וְהַנּוֹרָא עַמּוּדָא דְאֶמְצָעִיתָא, אֵ''ל עֶלְיוֹן, גּוֹמֵל חֲסָדִים טוֹבִים קוֹנֵה הַכֹּל, וְזוֹכֵר חַסְדֵּי אָבוֹת, דָּא כֶּתֶר עֶלְיוֹן עַל כֻּלְּהוּ, וּמֵבִיא גוֹאֵל לִבְנֵי בְנֵיהֶם </w:t>
      </w:r>
      <w:r>
        <w:rPr>
          <w:rtl/>
        </w:rPr>
        <w:t>(ס"א דַּאֲבָהָן),</w:t>
      </w:r>
      <w:r>
        <w:rPr>
          <w:b w:val="0"/>
          <w:bCs w:val="0"/>
          <w:rtl/>
        </w:rPr>
        <w:t xml:space="preserve"> אִלֵּין נֶצַח וָהוֹד וִיְסוֹד </w:t>
      </w:r>
      <w:r>
        <w:rPr>
          <w:rtl/>
        </w:rPr>
        <w:t>(ס"א ל"ג ויסוד)</w:t>
      </w:r>
      <w:r>
        <w:rPr>
          <w:b w:val="0"/>
          <w:bCs w:val="0"/>
          <w:rtl/>
        </w:rPr>
        <w:t xml:space="preserve">, לְמַעַן שְׁמוֹ בְּאַהֲבָה דָא שְׁכִינְתָּא תַּתָּאָה, </w:t>
      </w:r>
      <w:r>
        <w:rPr>
          <w:rStyle w:val="a7"/>
          <w:b w:val="0"/>
          <w:bCs w:val="0"/>
          <w:rtl/>
        </w:rPr>
        <w:footnoteReference w:id="5250"/>
      </w:r>
      <w:r>
        <w:rPr>
          <w:b w:val="0"/>
          <w:bCs w:val="0"/>
          <w:rtl/>
        </w:rPr>
        <w:t xml:space="preserve">וְעַמּוּדָא דְאֶמְצָעִיתָא אִיהוּ כְּלִיל תְּלַת בִּרְכָאָן קַדְמָאִין, דְּאִינוּן אֲבָהָן וּגְבוּרוֹת וּקְדוּשַׁת הַשֵּׁם, וְאִיהוּ כְּלִיל תְּלַת בַּתְרָאִין בַּעֲבוֹדָה, וְאִיהוּ כְּלִיל אֶמְצָעִיּוֹת, לְקַיְימָא בֵיהּ אֲנִי רִאשׁוֹן וַאֲנִי אַחֲרוֹן </w:t>
      </w:r>
      <w:r>
        <w:rPr>
          <w:rStyle w:val="a7"/>
          <w:b w:val="0"/>
          <w:bCs w:val="0"/>
          <w:rtl/>
        </w:rPr>
        <w:footnoteReference w:id="5251"/>
      </w:r>
      <w:r>
        <w:rPr>
          <w:b w:val="0"/>
          <w:bCs w:val="0"/>
          <w:rtl/>
        </w:rPr>
        <w:t xml:space="preserve">וּמִבַּלְעָדַי אֵין אלהי''ם </w:t>
      </w:r>
      <w:r>
        <w:rPr>
          <w:b w:val="0"/>
          <w:sz w:val="20"/>
          <w:szCs w:val="23"/>
          <w:rtl/>
        </w:rPr>
        <w:t>(ישעיה מד ו)</w:t>
      </w:r>
      <w:r>
        <w:rPr>
          <w:b w:val="0"/>
          <w:bCs w:val="0"/>
          <w:rtl/>
        </w:rPr>
        <w:t>, זַכָּאָה אִיהוּ מָאן דְּיָדַע לְצַלָּאָה לְקוּדְשָׁא בְּרִיךְ הוּא בְּכָל תִּקּוּנִין דִּילֵיהּ כִּדְקָא יָאוּת, וּלְמִשְׁאַל מִנֵּיהּ בְּכָל דַּרְגָּא וְדַרְגָּא כִּדְקָא יָאוּת.</w:t>
      </w:r>
    </w:p>
    <w:p w:rsidR="006D2826" w:rsidRDefault="006D2826" w:rsidP="006D2826">
      <w:pPr>
        <w:pStyle w:val="aa"/>
        <w:spacing w:after="40"/>
        <w:rPr>
          <w:rtl/>
        </w:rPr>
      </w:pPr>
      <w:r>
        <w:rPr>
          <w:rtl/>
        </w:rPr>
        <w:t xml:space="preserve">[תיקוני זוהר - דף קכב ע''ב] </w:t>
      </w:r>
    </w:p>
    <w:p w:rsidR="006D2826" w:rsidRDefault="006D2826" w:rsidP="006D2826">
      <w:pPr>
        <w:pStyle w:val="NormalWeb"/>
        <w:rPr>
          <w:b w:val="0"/>
          <w:bCs w:val="0"/>
          <w:rtl/>
        </w:rPr>
      </w:pPr>
      <w:r>
        <w:rPr>
          <w:b w:val="0"/>
          <w:bCs w:val="0"/>
          <w:rtl/>
        </w:rPr>
        <w:t xml:space="preserve">חַכִּימִין כֻּלְּהוּ אִינוּן רְשִׁימִין דִּיּוֹקְנֵיהוֹן בַּחָכְמָה, וּנְבוֹנִין רְשִׁימִין דִּיּוֹקְנֵיהוֹן בְּבִינָה, וּמָארֵי גְמִילוּת חֲסָדִים דִּיּוֹקְנֵיהוֹן רְשִׁימִין בְּחֶסֶד, וְגִבָּרִין בְּיִצְרֵיהוֹן כֻּלְּהוּ רְשִׁימִין בִּגְבוּרָה, וּמָארֵי תּוֹרָה כֻּלְּהוּ רְשִׁימִין דִּיּוֹקְנֵיהוֹן בְּעַמּוּדָא דְאֶמְצָעִיתָא, וּנְבִיאִים כֻּלְּהוּ רְשִׁימִין דִּיּוֹקְנֵיהוֹן בְּנֶצַח וָהוֹד </w:t>
      </w:r>
      <w:r>
        <w:rPr>
          <w:b w:val="0"/>
          <w:sz w:val="20"/>
          <w:szCs w:val="23"/>
          <w:rtl/>
        </w:rPr>
        <w:t xml:space="preserve">(דף קכב ע''ב) </w:t>
      </w:r>
      <w:r>
        <w:rPr>
          <w:b w:val="0"/>
          <w:bCs w:val="0"/>
          <w:rtl/>
        </w:rPr>
        <w:t xml:space="preserve">דְּאִינוּן תְּרֵי סַמְכֵי קְשׁוֹט, וְצַדִּיקִים נָטְרֵי בְרִית כֻּלְּהוּ רְשִׁימִין דִּיוֹקְנֵיהוֹן בְּצַדִּיק, </w:t>
      </w:r>
      <w:r>
        <w:rPr>
          <w:rStyle w:val="a7"/>
          <w:b w:val="0"/>
          <w:bCs w:val="0"/>
          <w:rtl/>
        </w:rPr>
        <w:footnoteReference w:id="5252"/>
      </w:r>
      <w:r>
        <w:rPr>
          <w:b w:val="0"/>
          <w:bCs w:val="0"/>
          <w:rtl/>
        </w:rPr>
        <w:t xml:space="preserve">וּמָארֵי מַלְכוּתָא כֻּלְּהוּ רְשִׁימִין בַּמַּלְכוּת, </w:t>
      </w:r>
      <w:r>
        <w:rPr>
          <w:rStyle w:val="a7"/>
          <w:b w:val="0"/>
          <w:bCs w:val="0"/>
          <w:rtl/>
        </w:rPr>
        <w:footnoteReference w:id="5253"/>
      </w:r>
      <w:r>
        <w:rPr>
          <w:b w:val="0"/>
          <w:bCs w:val="0"/>
          <w:rtl/>
        </w:rPr>
        <w:t xml:space="preserve">וּמָארֵי יִחוּדָא כֻּלְּהוּ רְשִׁימִין בְּכֶתֶר עִלָּאָה דְאִיהוּ מַחֲשָׁבָה, דְתַמָּן צָרִיךְ לְסַלְקָא יִחוּדָא בְּמַחֲשָׁבָה סְתִימָא, וּבְכֻלְּהוּ תִּקּוּנִין אִלֵּין צָרִיךְ לְשַׁבְּחָא לְעִלַּת עַל כָּל הָעִלּוֹת, דְּאִיהוּ מִלְגָאו כְּנִשְׁמָתָא בְגוּפָא, </w:t>
      </w:r>
      <w:r>
        <w:rPr>
          <w:rStyle w:val="a7"/>
          <w:b w:val="0"/>
          <w:bCs w:val="0"/>
          <w:rtl/>
        </w:rPr>
        <w:footnoteReference w:id="5254"/>
      </w:r>
      <w:r>
        <w:rPr>
          <w:b w:val="0"/>
          <w:bCs w:val="0"/>
          <w:rtl/>
        </w:rPr>
        <w:t>וּבְגִין דִּבְנֵי נָשָׁא רְשִׁימִין בְּאִלֵּין דִּיּוֹקְנִין, אָמַר לְמֹשֶׁה וְאַתָּה תֶחזֶה וְגוֹמֵר.</w:t>
      </w:r>
    </w:p>
    <w:p w:rsidR="006D2826" w:rsidRDefault="006D2826" w:rsidP="001336CC">
      <w:pPr>
        <w:pStyle w:val="NormalWeb"/>
        <w:rPr>
          <w:rtl/>
        </w:rPr>
      </w:pPr>
      <w:r>
        <w:rPr>
          <w:rtl/>
        </w:rPr>
        <w:t xml:space="preserve">וְאַתָּה תֶחֱזֶה </w:t>
      </w:r>
      <w:r>
        <w:rPr>
          <w:rStyle w:val="a7"/>
          <w:b w:val="0"/>
          <w:bCs w:val="0"/>
          <w:rtl/>
        </w:rPr>
        <w:footnoteReference w:id="5255"/>
      </w:r>
      <w:r>
        <w:rPr>
          <w:rtl/>
        </w:rPr>
        <w:t xml:space="preserve">בְּשַׂעֲרָא, </w:t>
      </w:r>
      <w:r>
        <w:rPr>
          <w:sz w:val="20"/>
          <w:szCs w:val="23"/>
          <w:rtl/>
        </w:rPr>
        <w:t>(שַׂעֲרָא שְׁעִיעַ אֲרִיךְ),</w:t>
      </w:r>
      <w:r>
        <w:rPr>
          <w:rtl/>
        </w:rPr>
        <w:t xml:space="preserve"> אָרְחָא מִתְפַּלַּג בֵּיהּ לְכַמָּה אוֹרְחִין, </w:t>
      </w:r>
      <w:r>
        <w:rPr>
          <w:rStyle w:val="a7"/>
          <w:b w:val="0"/>
          <w:bCs w:val="0"/>
          <w:rtl/>
        </w:rPr>
        <w:footnoteReference w:id="5256"/>
      </w:r>
      <w:r>
        <w:rPr>
          <w:rtl/>
        </w:rPr>
        <w:t xml:space="preserve">עֲלָהּ אִתְּמַר </w:t>
      </w:r>
      <w:r>
        <w:rPr>
          <w:sz w:val="20"/>
          <w:szCs w:val="23"/>
          <w:rtl/>
        </w:rPr>
        <w:t>(ישעיה מג טז)</w:t>
      </w:r>
      <w:r>
        <w:rPr>
          <w:rtl/>
        </w:rPr>
        <w:t xml:space="preserve"> הַנּוֹתֵן בַּיָּם דָּרֶךְ, וְאָרְחִין אָחֳרָנִין דְּמִתְפָּרְשִׁין מִינָהּ, אִינוּן נְתִיבִין, הֲדָא הוּא דִכְתִיב </w:t>
      </w:r>
      <w:r>
        <w:rPr>
          <w:sz w:val="20"/>
          <w:szCs w:val="23"/>
          <w:rtl/>
        </w:rPr>
        <w:t>(שם)</w:t>
      </w:r>
      <w:r>
        <w:rPr>
          <w:rtl/>
        </w:rPr>
        <w:t xml:space="preserve"> </w:t>
      </w:r>
      <w:r>
        <w:rPr>
          <w:rStyle w:val="a7"/>
          <w:b w:val="0"/>
          <w:bCs w:val="0"/>
          <w:rtl/>
        </w:rPr>
        <w:footnoteReference w:id="5257"/>
      </w:r>
      <w:r>
        <w:rPr>
          <w:rtl/>
        </w:rPr>
        <w:t xml:space="preserve">וּבְמַיִם עַזִּים נְתִיבָה, </w:t>
      </w:r>
      <w:r>
        <w:rPr>
          <w:rStyle w:val="a7"/>
          <w:b w:val="0"/>
          <w:bCs w:val="0"/>
          <w:rtl/>
        </w:rPr>
        <w:footnoteReference w:id="5258"/>
      </w:r>
      <w:r>
        <w:rPr>
          <w:rtl/>
        </w:rPr>
        <w:t xml:space="preserve">תְּלָתִין וּתְרֵין שְׁבִילִין מִתְפָּרְשָׁאן מֵהַאי אָרְחָא, </w:t>
      </w:r>
      <w:r>
        <w:rPr>
          <w:rStyle w:val="a7"/>
          <w:b w:val="0"/>
          <w:bCs w:val="0"/>
          <w:rtl/>
        </w:rPr>
        <w:footnoteReference w:id="5259"/>
      </w:r>
      <w:r>
        <w:rPr>
          <w:rtl/>
        </w:rPr>
        <w:t xml:space="preserve">וְשַׂעֲרָא שְׁעִיעַ אֲרִיךְ אִיהוּ רַחֲמֵי מִסִּטְרָא דַאֲרִיךְ אַנְפִּין, דְּאִיהוּ א, תְּרֵין אַנְפִּין דִּילֵיהּ ו' ו', כְּגַוְונָא דָא וָאו א בֵּינַיְיהוּ, וְאִיהוּ סָבָא דְסָבִין </w:t>
      </w:r>
      <w:r>
        <w:rPr>
          <w:rStyle w:val="a7"/>
          <w:b w:val="0"/>
          <w:bCs w:val="0"/>
          <w:rtl/>
        </w:rPr>
        <w:footnoteReference w:id="5260"/>
      </w:r>
      <w:r>
        <w:rPr>
          <w:rtl/>
        </w:rPr>
        <w:t xml:space="preserve">עַתִּיק דְּעַתִּיקִין, וְאִיהוּ </w:t>
      </w:r>
      <w:r>
        <w:rPr>
          <w:sz w:val="20"/>
          <w:szCs w:val="23"/>
          <w:rtl/>
        </w:rPr>
        <w:t>(ס''א ואתקרי)</w:t>
      </w:r>
      <w:r>
        <w:rPr>
          <w:rtl/>
        </w:rPr>
        <w:t xml:space="preserve"> אֶרֶךְ אַפַּיִם. שַׂעֲרָא קְמִיטָא וְלָא שְׁעִיעַ אֶלָּא קָמִיט וְחָרִישׁ </w:t>
      </w:r>
      <w:r>
        <w:rPr>
          <w:sz w:val="20"/>
          <w:szCs w:val="23"/>
          <w:rtl/>
        </w:rPr>
        <w:t>(נ''א וחריט)</w:t>
      </w:r>
      <w:r>
        <w:rPr>
          <w:rtl/>
        </w:rPr>
        <w:t xml:space="preserve"> אִיהוּ דִינָא, דָא רַחֲמֵי וְדָא דִינָא, דָּא אֲרִיךְ אַנְפִּין מִסִּטְרָא דְו', וְדָא זְעִיר אַנְפִּין מִסִּטְרָא דְי', שַׂעֲרָא לָא קָמִיט וְלָא אֲרִיךְ אִיהוּ בֵּינוּנִי.</w:t>
      </w:r>
    </w:p>
    <w:p w:rsidR="006D2826" w:rsidRDefault="006D2826" w:rsidP="001336CC">
      <w:pPr>
        <w:pStyle w:val="NormalWeb"/>
        <w:rPr>
          <w:rtl/>
        </w:rPr>
      </w:pPr>
      <w:r>
        <w:rPr>
          <w:rStyle w:val="a7"/>
          <w:b w:val="0"/>
          <w:bCs w:val="0"/>
          <w:rtl/>
        </w:rPr>
        <w:footnoteReference w:id="5261"/>
      </w:r>
      <w:r>
        <w:rPr>
          <w:rtl/>
        </w:rPr>
        <w:t xml:space="preserve">שַׂעֲרָא דַאֲרִיךְ </w:t>
      </w:r>
      <w:r w:rsidRPr="001336CC">
        <w:rPr>
          <w:rtl/>
        </w:rPr>
        <w:t>אַנְפִּין</w:t>
      </w:r>
      <w:r>
        <w:rPr>
          <w:rtl/>
        </w:rPr>
        <w:t xml:space="preserve"> אִיהוּ כְּגַוְונָא דִתְקִיעָה, וְקָמִיט וְחָרִישׁ </w:t>
      </w:r>
      <w:r>
        <w:rPr>
          <w:sz w:val="20"/>
          <w:szCs w:val="23"/>
          <w:rtl/>
        </w:rPr>
        <w:t>(נ''א ואריך)</w:t>
      </w:r>
      <w:r>
        <w:rPr>
          <w:rtl/>
        </w:rPr>
        <w:t xml:space="preserve"> כְּגַוְונָא דִשְׁבָרִים ו' ו' ו', לָא אֲרִיךְ וְלָא קָמִיט אִיהוּ כְּגַוְונָא דִתְּרוּעָה, שַׁלְשֶׁלֶ''ת דְּתַרְוַיְיהוּ, שַׂעֲרָא בְעִגּוּלָא כְּלִיל כֹּלָּא, וְאִיהוּ כְמִין כִּיפָּה דִרְקִיעָא דְאַסְחַר כֹּלָּא.</w:t>
      </w:r>
    </w:p>
    <w:p w:rsidR="006D2826" w:rsidRDefault="006D2826" w:rsidP="001336CC">
      <w:pPr>
        <w:pStyle w:val="NormalWeb"/>
        <w:rPr>
          <w:rtl/>
        </w:rPr>
      </w:pPr>
      <w:r>
        <w:rPr>
          <w:rtl/>
        </w:rPr>
        <w:t xml:space="preserve">כְגַוְונָא דָא יהו''ה דָּא </w:t>
      </w:r>
      <w:r w:rsidRPr="001336CC">
        <w:rPr>
          <w:rtl/>
        </w:rPr>
        <w:t>מַלְכוּתָא</w:t>
      </w:r>
      <w:r>
        <w:rPr>
          <w:rtl/>
        </w:rPr>
        <w:t xml:space="preserve"> קַדִּישָׁא, אַנְשֵׁי חַיִל שַׂעֲרָא שְׁעִיעַ אֲרִיךְ, יִרְאֵי אלהי''ם שַׂעֲרָא חָרִישׁ </w:t>
      </w:r>
      <w:r>
        <w:rPr>
          <w:sz w:val="20"/>
          <w:szCs w:val="23"/>
          <w:rtl/>
        </w:rPr>
        <w:t>(נ''א אריך)</w:t>
      </w:r>
      <w:r>
        <w:rPr>
          <w:rtl/>
        </w:rPr>
        <w:t xml:space="preserve"> וְקָמִיט, אַנְשֵׁי אֱמֶת שַׂעֲרָא לָא אֲרִיךְ וְלָא קָמִיט, שַׁלְשֶׁלֶת דְּכֻלְּהוּ, שׂוֹנְאֵי בָצַע שַׂעֲרָא בְעִגּוּלָא.</w:t>
      </w:r>
    </w:p>
    <w:p w:rsidR="006D2826" w:rsidRDefault="006D2826" w:rsidP="001336CC">
      <w:pPr>
        <w:pStyle w:val="NormalWeb"/>
        <w:rPr>
          <w:rtl/>
        </w:rPr>
      </w:pPr>
      <w:r>
        <w:rPr>
          <w:rStyle w:val="a7"/>
          <w:b w:val="0"/>
          <w:bCs w:val="0"/>
          <w:rtl/>
        </w:rPr>
        <w:footnoteReference w:id="5262"/>
      </w:r>
      <w:r>
        <w:rPr>
          <w:rtl/>
        </w:rPr>
        <w:t xml:space="preserve">דָּוִד שִׁבְעָה מִינֵי </w:t>
      </w:r>
      <w:r w:rsidRPr="001336CC">
        <w:rPr>
          <w:rtl/>
        </w:rPr>
        <w:t>דַהֲבָא</w:t>
      </w:r>
      <w:r>
        <w:rPr>
          <w:rtl/>
        </w:rPr>
        <w:t xml:space="preserve"> הֲוָה בְּשַׂעֲרוֹי, זָהָב יְרַקְרַק, זָהָב אוֹפָז, זָהָב אוֹפִיר, זָהָב פַּרְוָיִם, זָהָב סָגוּר, זָהָב תַּרְשִׁישׁ, זָהָב כְּלִיל כָּל גּוּוָנִים, וְאִיהוּ זְהַב שְׁבָא, </w:t>
      </w:r>
      <w:r>
        <w:rPr>
          <w:rStyle w:val="a7"/>
          <w:b w:val="0"/>
          <w:bCs w:val="0"/>
          <w:rtl/>
        </w:rPr>
        <w:footnoteReference w:id="5263"/>
      </w:r>
      <w:r>
        <w:rPr>
          <w:rtl/>
        </w:rPr>
        <w:t xml:space="preserve">וְהַאי אִיהוּ זָהָב מְזוּקָק שִׁבְעָתַיִם, </w:t>
      </w:r>
      <w:r>
        <w:rPr>
          <w:rStyle w:val="a7"/>
          <w:b w:val="0"/>
          <w:bCs w:val="0"/>
          <w:rtl/>
        </w:rPr>
        <w:footnoteReference w:id="5264"/>
      </w:r>
      <w:r>
        <w:rPr>
          <w:rtl/>
        </w:rPr>
        <w:t xml:space="preserve">וְהָכִי אִינוּן שִׁבְעָה מִינֵי חִוְורוּ, וְשֶׁבַע מִינֵי סוּמְקוּ, </w:t>
      </w:r>
      <w:r>
        <w:rPr>
          <w:rStyle w:val="a7"/>
          <w:b w:val="0"/>
          <w:bCs w:val="0"/>
          <w:rtl/>
        </w:rPr>
        <w:footnoteReference w:id="5265"/>
      </w:r>
      <w:r>
        <w:rPr>
          <w:rtl/>
        </w:rPr>
        <w:t xml:space="preserve">כָּל סְפִירָן אִתְקְרִיאוּ שְׁבִיעִיּוֹת מִסִּטְרָא דְצַדִּיק, עַמּוּדָא דְאֶמְצָעִיתָא אִיהוּ כְּלִיל כָּל גַּוָּונִין, שַׂעֲרָא חִוְורָא אִיהוּ מִסִּטְרָא דִימִינָא, סוּמְקָא מִסִּטְרָא דִשְׂמָאלָא, יְרוֹקָא מִסִּטְרָא דְעַמּוּדָא דְאֶמְצָעִיתָא, וְכֻלְּהוּ שִׁבְעָה שִׁבְעָה, שַׂעֲרָא אוּכְמָא מִסִּטְרָא דִשְׁכִינְתָּא, דְאִתְּמַר בָּהּ </w:t>
      </w:r>
      <w:r>
        <w:rPr>
          <w:sz w:val="20"/>
          <w:szCs w:val="23"/>
          <w:rtl/>
        </w:rPr>
        <w:t>(שיר א ה)</w:t>
      </w:r>
      <w:r>
        <w:rPr>
          <w:rtl/>
        </w:rPr>
        <w:t xml:space="preserve"> שְׁחוֹרָה אֲנִי וְנָאוָה, גַּוָּון יְחִידָה </w:t>
      </w:r>
      <w:r>
        <w:rPr>
          <w:sz w:val="20"/>
          <w:szCs w:val="23"/>
          <w:rtl/>
        </w:rPr>
        <w:t>(נ''א יחידאית)</w:t>
      </w:r>
      <w:r>
        <w:rPr>
          <w:rtl/>
        </w:rPr>
        <w:t xml:space="preserve"> דְלָא תָּפִיס בָּהּ גַּוָּון כְּלָל, </w:t>
      </w:r>
      <w:r>
        <w:rPr>
          <w:rStyle w:val="a7"/>
          <w:b w:val="0"/>
          <w:bCs w:val="0"/>
          <w:rtl/>
        </w:rPr>
        <w:footnoteReference w:id="5266"/>
      </w:r>
      <w:r>
        <w:rPr>
          <w:rtl/>
        </w:rPr>
        <w:t xml:space="preserve">מִלְּגָאו דִּילָהּ גַּוָּון חִוָּור, וְרָזָא דְמִלָּה יָשֶׁת חֹשֶׁךְ סִתְרוֹ </w:t>
      </w:r>
      <w:r>
        <w:rPr>
          <w:sz w:val="20"/>
          <w:szCs w:val="23"/>
          <w:rtl/>
        </w:rPr>
        <w:t>(תהלים יח יב)</w:t>
      </w:r>
      <w:r>
        <w:rPr>
          <w:rtl/>
        </w:rPr>
        <w:t>.</w:t>
      </w:r>
    </w:p>
    <w:p w:rsidR="006D2826" w:rsidRDefault="006D2826" w:rsidP="001336CC">
      <w:pPr>
        <w:pStyle w:val="NormalWeb"/>
        <w:rPr>
          <w:rtl/>
        </w:rPr>
      </w:pPr>
      <w:r>
        <w:rPr>
          <w:rtl/>
        </w:rPr>
        <w:t xml:space="preserve">שַׂעֲרָא סוּמְקָא צָרִיךְ לְבַעְרָא לֵיהּ מִכֹּל וָכֹל, בְּגִין דְּאִיהוּ בֵי דִינָא, וּלְוִיִּים בְּגִין דַּהֲווֹ מִסִּטְרָא דְּדִינָא, אִתְּמַר בְּהוֹן </w:t>
      </w:r>
      <w:r>
        <w:rPr>
          <w:sz w:val="20"/>
          <w:szCs w:val="23"/>
          <w:rtl/>
        </w:rPr>
        <w:t>(במדבר ח ז)</w:t>
      </w:r>
      <w:r>
        <w:rPr>
          <w:rtl/>
        </w:rPr>
        <w:t xml:space="preserve"> </w:t>
      </w:r>
      <w:r w:rsidRPr="001336CC">
        <w:rPr>
          <w:rtl/>
        </w:rPr>
        <w:t>וְהֶעֱבִירוּ</w:t>
      </w:r>
      <w:r>
        <w:rPr>
          <w:rtl/>
        </w:rPr>
        <w:t xml:space="preserve"> תַעַר עַל כָּל בְּשָׂרָם, וְאִתְּתָא בְגִין דְּאִיהִי מִסִּטְרָא דִשְׂמָאלָא, לָא צָרִיךְ לְאִתְגַּלְיָא בָּהּ שַׂעֲרָא, דְּלָא יִשְׁתְּמוֹדְעִין בָּהּ מָארֵי דְּדִינָא, וְשַׂעֲרִין אָחֳרָנִין דְּבַר נַשׁ צָרִיךְ לְבַעֲרָא לֵיהּ תְּחוֹת אוּדְנִין, בְּגִין דְּלָא יִתְקְרִיבוּ בֵּיהּ מָארֵי דְּדִינִין לְגַבֵּי תַּרְעִין דְּשָׁמְעִין בְּהוֹן צְלוֹתִין, </w:t>
      </w:r>
      <w:r>
        <w:rPr>
          <w:sz w:val="20"/>
          <w:szCs w:val="23"/>
          <w:rtl/>
        </w:rPr>
        <w:t>(ס''א ושערא דאיהו תחות אודנין צריך לבערא, דאתקרי מארי דדינא לגביכו)</w:t>
      </w:r>
      <w:r>
        <w:rPr>
          <w:rtl/>
        </w:rPr>
        <w:t xml:space="preserve"> </w:t>
      </w:r>
      <w:r>
        <w:rPr>
          <w:rStyle w:val="a7"/>
          <w:b w:val="0"/>
          <w:bCs w:val="0"/>
          <w:rtl/>
        </w:rPr>
        <w:footnoteReference w:id="5267"/>
      </w:r>
      <w:r>
        <w:rPr>
          <w:rtl/>
        </w:rPr>
        <w:t xml:space="preserve">שַׂעֲרָא שְׁעִיעַ עֲלֵיהּ אִתְּמַר </w:t>
      </w:r>
      <w:r>
        <w:rPr>
          <w:sz w:val="20"/>
          <w:szCs w:val="23"/>
          <w:rtl/>
        </w:rPr>
        <w:t>(במדבר ו ה)</w:t>
      </w:r>
      <w:r>
        <w:rPr>
          <w:rtl/>
        </w:rPr>
        <w:t xml:space="preserve"> גַּדֵּל פֶּרַע שְׂעַר רֹאשׁוֹ, וְצָרִיךְ לְגַדְלָא לֵיהּ, דְּלָא צָרִיךְ לְאַכְחָשָׁא סִדּוּרָא דְעוֹבָדָא דִבְּרֵאשִׁית, אֲבָל שַׂעֲרָא דְעַמּוּדָא דְאֶמָצָעִיתָא צָרִיךְ דְּלָא יְהֵא לָא אֲרִיךְ וְלָא קְצִר, וַוי לֵיהּ לְמָאן דְּשַׁנִּי בֵיהּ סִדְרֵי בְרֵאשִׁית.</w:t>
      </w:r>
    </w:p>
    <w:p w:rsidR="006D2826" w:rsidRDefault="006D2826" w:rsidP="001336CC">
      <w:pPr>
        <w:pStyle w:val="NormalWeb"/>
        <w:rPr>
          <w:rtl/>
        </w:rPr>
      </w:pPr>
      <w:r>
        <w:rPr>
          <w:rtl/>
        </w:rPr>
        <w:t xml:space="preserve">דְכָל גַּוָּונִין דְּסִטְרָא </w:t>
      </w:r>
      <w:r w:rsidRPr="001336CC">
        <w:rPr>
          <w:rtl/>
        </w:rPr>
        <w:t>דְּדַכְיוּ</w:t>
      </w:r>
      <w:r>
        <w:rPr>
          <w:rtl/>
        </w:rPr>
        <w:t xml:space="preserve"> הָכִי אִינוּן כְּגַוְונָא דָא, שַׂעֲרָא אוּכְמָא, וְעַיְינִין אוּכְמִין, וְאַנְפּוֹי אוּכְמִין, וְגוּפֵיהּ אוּכְמָא, אִם הוּא זַכָּאָה אִיהוּ מִסִּטְרָא דִשְׁכִינְתָּא, דְאִתְּמַר בָּהּ שְׁחוֹרָה אֲנִי וְנָאוָה, וְאִם הוּא חַיָּיבָא הוּא </w:t>
      </w:r>
      <w:r>
        <w:rPr>
          <w:rStyle w:val="a7"/>
          <w:b w:val="0"/>
          <w:bCs w:val="0"/>
          <w:rtl/>
        </w:rPr>
        <w:footnoteReference w:id="5268"/>
      </w:r>
      <w:r>
        <w:rPr>
          <w:rtl/>
        </w:rPr>
        <w:t xml:space="preserve">מִסִּטְרָא דְשַׁבְּתַא''י, </w:t>
      </w:r>
      <w:r>
        <w:rPr>
          <w:rStyle w:val="a7"/>
          <w:b w:val="0"/>
          <w:bCs w:val="0"/>
          <w:rtl/>
        </w:rPr>
        <w:footnoteReference w:id="5269"/>
      </w:r>
      <w:r>
        <w:rPr>
          <w:rtl/>
        </w:rPr>
        <w:t xml:space="preserve">פַּתְיָא אוּכְמָא, מִצַּד נוּקְבָא דִקְלִיפָה, דְתַמָּן כָּל קִסְמִין דְּעוֹרְבִין אוּכְמִין וְעוֹפִין אוּכְמִין מִסִּטְרָא דִמְסָאֲבוּ, דְאִית עֲלַיְיהוּ כַּמָּה מְמַנָּן דְּאִתְקְרִיאוּ לֵילוֹת, דַּעֲלַיְיהוּ אָמַר דָּוִד </w:t>
      </w:r>
      <w:r>
        <w:rPr>
          <w:sz w:val="20"/>
          <w:szCs w:val="23"/>
          <w:rtl/>
        </w:rPr>
        <w:t>(תהלים טז ז)</w:t>
      </w:r>
      <w:r>
        <w:rPr>
          <w:rtl/>
        </w:rPr>
        <w:t xml:space="preserve"> אַף לֵילוֹת יִסְּרוּנִי כִלְיוֹתָי, מִפַּחַד בַּלֵּילוֹת </w:t>
      </w:r>
      <w:r>
        <w:rPr>
          <w:sz w:val="20"/>
          <w:szCs w:val="23"/>
          <w:rtl/>
        </w:rPr>
        <w:t>(שיר ג ח)</w:t>
      </w:r>
      <w:r>
        <w:rPr>
          <w:rtl/>
        </w:rPr>
        <w:t>.</w:t>
      </w:r>
    </w:p>
    <w:p w:rsidR="006D2826" w:rsidRDefault="006D2826" w:rsidP="006D2826">
      <w:pPr>
        <w:pStyle w:val="aa"/>
        <w:spacing w:after="40"/>
        <w:rPr>
          <w:rtl/>
        </w:rPr>
      </w:pPr>
      <w:bookmarkStart w:id="337" w:name="_Toc228095789"/>
      <w:bookmarkStart w:id="338" w:name="_Toc231638227"/>
      <w:r>
        <w:rPr>
          <w:rtl/>
        </w:rPr>
        <w:t>[תיקוני זוהר - דף קכג ע''א]</w:t>
      </w:r>
      <w:bookmarkEnd w:id="337"/>
      <w:bookmarkEnd w:id="338"/>
      <w:r>
        <w:rPr>
          <w:rtl/>
        </w:rPr>
        <w:t xml:space="preserve"> </w:t>
      </w:r>
    </w:p>
    <w:p w:rsidR="006D2826" w:rsidRDefault="006D2826" w:rsidP="001336CC">
      <w:pPr>
        <w:pStyle w:val="NormalWeb"/>
        <w:rPr>
          <w:rtl/>
        </w:rPr>
      </w:pPr>
      <w:r>
        <w:rPr>
          <w:sz w:val="20"/>
          <w:szCs w:val="23"/>
          <w:rtl/>
        </w:rPr>
        <w:t xml:space="preserve">(דף קכג ע''א) </w:t>
      </w:r>
      <w:r>
        <w:rPr>
          <w:rtl/>
        </w:rPr>
        <w:t xml:space="preserve">וְכֻלְּהוּ נָחֲתִין תְּחוֹת גַּדְפוֹי דְּעוֹרְבִין, וְאַחֲזֵי לוֹן בִּתְּנוּעָה דִלְהוֹן כַּמָּה דִינִין דְּנָחֲתִין עַל עָלְמָא, וְאִית אָחֳרָנִין דִּמְמַנָּן עַל קָלִין דִּלְהוֹן, </w:t>
      </w:r>
      <w:r>
        <w:rPr>
          <w:rStyle w:val="a7"/>
          <w:b w:val="0"/>
          <w:bCs w:val="0"/>
          <w:rtl/>
        </w:rPr>
        <w:footnoteReference w:id="5270"/>
      </w:r>
      <w:r>
        <w:rPr>
          <w:rtl/>
        </w:rPr>
        <w:t xml:space="preserve">וְצָוְוחִין קָלָא בָתַר קָלָא כֻּלְּהוּ בַשְּׁבָרִים, לְאַחֲזָאָה תְּבִירוּ עַל בְּנֵי נָשָׁא, וּלְזִמְנִין צָוְוחִין בִּתְלַת סִימָנִין דְּאִינוּן קר''ק, דְּאִיהוּ תְּקִיעָה תְּרוּעָה תְּקִיעָה, לְאַחֲזָאָה דִינָא רַפְיָא </w:t>
      </w:r>
      <w:r w:rsidRPr="001336CC">
        <w:rPr>
          <w:rtl/>
        </w:rPr>
        <w:t>בְרֵישָׁא</w:t>
      </w:r>
      <w:r>
        <w:rPr>
          <w:rtl/>
        </w:rPr>
        <w:t xml:space="preserve"> וּבְסֵיפָא, וּבְאֶמְצָעִיתָא תְּבִירָא סַגִּי, בִתְרוּעָה דָּחֲקָא בָתַר דָּחֲקָא בִמְהִירוּ, </w:t>
      </w:r>
      <w:r>
        <w:rPr>
          <w:rStyle w:val="a7"/>
          <w:b w:val="0"/>
          <w:bCs w:val="0"/>
          <w:rtl/>
        </w:rPr>
        <w:footnoteReference w:id="5271"/>
      </w:r>
      <w:r>
        <w:rPr>
          <w:rtl/>
        </w:rPr>
        <w:t xml:space="preserve">וְרָזָא דְמִלָּה וּבְחַדְרֵי מִשְׁכָּבְךָ אַל תְּקַלֵּל עָשִׁיר, כִּי עוֹף הַשָּׁמַיִם יוֹלִיךְ אֶת הַקּוֹל </w:t>
      </w:r>
      <w:r>
        <w:rPr>
          <w:sz w:val="20"/>
          <w:szCs w:val="23"/>
          <w:rtl/>
        </w:rPr>
        <w:t>(קהלת י כ)</w:t>
      </w:r>
      <w:r>
        <w:rPr>
          <w:rtl/>
        </w:rPr>
        <w:t>, נָחָשׁ רְכִיב עַל קָלָא דְעוֹרְבָא אֵל אַחֵר, בַּת זוּגֵיהּ קֶסֶם סַם הַמָּוְת, דְּבָהּ אִשְׁתַּלִּים סמא''ל אֵל אַחֵר.</w:t>
      </w:r>
    </w:p>
    <w:p w:rsidR="006D2826" w:rsidRDefault="006D2826" w:rsidP="001336CC">
      <w:pPr>
        <w:pStyle w:val="NormalWeb"/>
        <w:rPr>
          <w:rtl/>
        </w:rPr>
      </w:pPr>
      <w:r>
        <w:rPr>
          <w:rtl/>
        </w:rPr>
        <w:t xml:space="preserve">רְכִיבַת אִיהִי עַל </w:t>
      </w:r>
      <w:r w:rsidRPr="001336CC">
        <w:rPr>
          <w:rtl/>
        </w:rPr>
        <w:t>תְּנוּעִין</w:t>
      </w:r>
      <w:r>
        <w:rPr>
          <w:rtl/>
        </w:rPr>
        <w:t xml:space="preserve"> דְּגוּפָא דְעוֹרֵב, </w:t>
      </w:r>
      <w:r>
        <w:rPr>
          <w:rStyle w:val="a7"/>
          <w:b w:val="0"/>
          <w:bCs w:val="0"/>
          <w:rtl/>
        </w:rPr>
        <w:footnoteReference w:id="5272"/>
      </w:r>
      <w:r>
        <w:rPr>
          <w:rtl/>
        </w:rPr>
        <w:t xml:space="preserve">וְאִיהִי תְנוּעָה דְכֻלְּהוּ, דְנָפְקַת לְאַסְטָאָה לִבְנֵי נָשָׁא בְּפָרָשַׁת אוֹרְחִין, </w:t>
      </w:r>
      <w:r>
        <w:rPr>
          <w:rStyle w:val="a7"/>
          <w:b w:val="0"/>
          <w:bCs w:val="0"/>
          <w:rtl/>
        </w:rPr>
        <w:footnoteReference w:id="5273"/>
      </w:r>
      <w:r>
        <w:rPr>
          <w:rtl/>
        </w:rPr>
        <w:t xml:space="preserve">תְּנוּעָה דִילָהּ בְּרֵישָׁא דְעוֹרְבָא, וּבִזְנָבָא וּבְגוּפָא וּבְגַדְפִין דְּעוֹרְבָא, נָחָשׁ שַׁרְיָא בִקְרִיאָה וַאֲמִירָה וְקָלָא וְדִבּוּר דְּעוֹרְבָא, </w:t>
      </w:r>
      <w:r>
        <w:rPr>
          <w:rStyle w:val="a7"/>
          <w:b w:val="0"/>
          <w:bCs w:val="0"/>
          <w:rtl/>
        </w:rPr>
        <w:footnoteReference w:id="5274"/>
      </w:r>
      <w:r>
        <w:rPr>
          <w:rtl/>
        </w:rPr>
        <w:t>וּבְאִלֵּין תְּנוּעִין שַׁרְיָין כָּל הוֹלֵךְ עַל גָּחוֹן וְכָל הוֹלֵךְ עַל אַרְבַּע מִסִּטְרָא דִמְסָאֲבוּ.</w:t>
      </w:r>
    </w:p>
    <w:p w:rsidR="006D2826" w:rsidRDefault="006D2826" w:rsidP="001336CC">
      <w:pPr>
        <w:pStyle w:val="NormalWeb"/>
        <w:rPr>
          <w:rtl/>
        </w:rPr>
      </w:pPr>
      <w:r>
        <w:rPr>
          <w:rStyle w:val="a7"/>
          <w:b w:val="0"/>
          <w:bCs w:val="0"/>
          <w:rtl/>
        </w:rPr>
        <w:footnoteReference w:id="5275"/>
      </w:r>
      <w:r>
        <w:rPr>
          <w:rtl/>
        </w:rPr>
        <w:t xml:space="preserve">וּמְנָא יָדְעִין כּוּלֵי הַאי, בְּגִין דְּסמא''ל וְנָחָשׁ מְמַנָּן עַל חוֹבִין דִּבְנֵי נָשָׁא, דְאִתְדָּנוּ מִסִּטְרָא דִשְׂמָאלָא דְאִיהוּ גְבוּרָה, וְכַד בַּר נַשׁ עָבִיד </w:t>
      </w:r>
      <w:r w:rsidRPr="001336CC">
        <w:rPr>
          <w:rtl/>
        </w:rPr>
        <w:t>חוֹבִין</w:t>
      </w:r>
      <w:r>
        <w:rPr>
          <w:rtl/>
        </w:rPr>
        <w:t>, כְּפוּם הַהוּא בַּר נַשׁ הָכִי סָלִיק חוֹבֵיהּ לַאֲתַר דְּאִתְגַּזַּר נִשְׁמָתֵיהּ, וְלָא זָז מִתַּמָּן הַהוּא חוֹבָא עַד דְּאִתְפַּרַע מֵהַהוּא בַּר נַשׁ, וְאִם בַּר נַשׁ אִיהוּ נִשְׁמָתֵיהּ בְּאֹרַח אֲצִילוּת, אִם חָאב, חוֹבֵיהּ מְטֵי עַד סְפִירָן, וְעוֹנְשָׁא אִיהוּ סַגִּי כְּפוּם דַּרְגֵיהּ.</w:t>
      </w:r>
    </w:p>
    <w:p w:rsidR="006D2826" w:rsidRDefault="006D2826" w:rsidP="001336CC">
      <w:pPr>
        <w:pStyle w:val="NormalWeb"/>
        <w:rPr>
          <w:rtl/>
        </w:rPr>
      </w:pPr>
      <w:r>
        <w:rPr>
          <w:rtl/>
        </w:rPr>
        <w:t xml:space="preserve">אָמַר רַבִּי אֶלְעָזָר אַבָּא וְכִי </w:t>
      </w:r>
      <w:r w:rsidRPr="001336CC">
        <w:rPr>
          <w:rtl/>
        </w:rPr>
        <w:t>חוֹבָא</w:t>
      </w:r>
      <w:r>
        <w:rPr>
          <w:rtl/>
        </w:rPr>
        <w:t xml:space="preserve"> אִיהוּ בְּבַר נַשׁ דְּתַלְיָא נִשְׁמָתֵיהּ מֵהַהוּא אֲתַר, וְכִי אִית לֵיהּ חוֹבִין, וְהָא כְּתִיב </w:t>
      </w:r>
      <w:r>
        <w:rPr>
          <w:sz w:val="20"/>
          <w:szCs w:val="23"/>
          <w:rtl/>
        </w:rPr>
        <w:t>(משלי יב כא)</w:t>
      </w:r>
      <w:r>
        <w:rPr>
          <w:rtl/>
        </w:rPr>
        <w:t xml:space="preserve"> לֹא יְאֻנֶּה לַצַּדִּיק כָּל אָוְן, אָמַר לֵיהּ אִין, הֲדָא הוּא דִכְתִיב </w:t>
      </w:r>
      <w:r>
        <w:rPr>
          <w:sz w:val="20"/>
          <w:szCs w:val="23"/>
          <w:rtl/>
        </w:rPr>
        <w:t>(ישעיה נט ב)</w:t>
      </w:r>
      <w:r>
        <w:rPr>
          <w:rtl/>
        </w:rPr>
        <w:t xml:space="preserve"> כִּי אִם עֲוֹנוֹתֵיכֶם הָיוּ מַבְדִּילִים בֵּינֵיכֶם לְבֵין אלהיכ''ם, מַאי מַבְדִּילִים, אֶלָּא דְסָלִיק הַהִיא נִשְׁמָתָא דַאֲצִילוּתָא מִנֵּיהּ וְאִתְפָּרַשׁ מִנֵּיהּ. </w:t>
      </w:r>
      <w:r>
        <w:rPr>
          <w:rStyle w:val="a7"/>
          <w:b w:val="0"/>
          <w:sz w:val="20"/>
          <w:szCs w:val="23"/>
          <w:rtl/>
        </w:rPr>
        <w:footnoteReference w:id="5276"/>
      </w:r>
      <w:r>
        <w:rPr>
          <w:rtl/>
        </w:rPr>
        <w:t xml:space="preserve">וְרָזָא דְמִלָּה, וַיֹּאמֶר אלהי''ם יִקָּווּ הַמַּיִם מִתַּחַת הַשָּׁמַיִם אֶל מָקוֹם אֶחָד וְתֵרָאֶה הַיַּבָּשָׁה וְגוֹמֵר </w:t>
      </w:r>
      <w:r>
        <w:rPr>
          <w:sz w:val="20"/>
          <w:szCs w:val="23"/>
          <w:rtl/>
        </w:rPr>
        <w:t>(בראשית א ו)</w:t>
      </w:r>
      <w:r>
        <w:rPr>
          <w:rtl/>
        </w:rPr>
        <w:t xml:space="preserve">, אִסְתַּלַּק נִשְׁמָתֵיהּ מִנֵּיהּ וְאִשְׁתָּאַר גּוּפָא יְבֵשָׁא, מָאן גּוּפָא הָכָא, דָא נִשְׁמָתָא דְכָרְסַיָּא יְקָרָא </w:t>
      </w:r>
      <w:r>
        <w:rPr>
          <w:sz w:val="20"/>
          <w:szCs w:val="23"/>
          <w:rtl/>
        </w:rPr>
        <w:t>(נ''א דקב''ה יהו''ה)</w:t>
      </w:r>
      <w:r>
        <w:rPr>
          <w:rtl/>
        </w:rPr>
        <w:t xml:space="preserve"> דְּאִשְׁתְּאָרַת יְבֵשָׁה, בְּגִין דְּאִסְתַּלְקַת מִנֵּיהּ נִשְׁמָתָא בְאֹרַח אֲצִילוּת, דְּהַאי נִשְׁמָתָא אִיהִי גוּפָא לְנִשְׁמָתָא עִלָּאָה, וְאִי בָּעִי דְתַחֲזוֹר לְגַבֵּי הַהוּא נִשְׁמָתָא, לֵית לָהּ רְשׁוּ לְאַחֲזָרָא לְגַבֵּיהּ, עַד דְּהַהוּא חוֹבָא אִתְעַבְרַת מִנֵּיהּ, וְרָזָא דְמִלָּה שׁוּבוּ אֵלַי וְאָשׁוּבָה אֲלֵיכֶם </w:t>
      </w:r>
      <w:r>
        <w:rPr>
          <w:sz w:val="20"/>
          <w:szCs w:val="23"/>
          <w:rtl/>
        </w:rPr>
        <w:t>(מלאכי ג ז)</w:t>
      </w:r>
      <w:r>
        <w:rPr>
          <w:rtl/>
        </w:rPr>
        <w:t>.</w:t>
      </w:r>
    </w:p>
    <w:p w:rsidR="006D2826" w:rsidRDefault="006D2826" w:rsidP="006D2826">
      <w:pPr>
        <w:pStyle w:val="NormalWeb"/>
        <w:rPr>
          <w:b w:val="0"/>
          <w:bCs w:val="0"/>
          <w:rtl/>
        </w:rPr>
      </w:pPr>
      <w:r>
        <w:rPr>
          <w:b w:val="0"/>
          <w:bCs w:val="0"/>
          <w:rtl/>
        </w:rPr>
        <w:t xml:space="preserve">אָמַר לֵיהּ רַבִּי אֶלְעָזָר לְרַבִּי שִׁמְעוֹן אֲבוֹי, אַבָּא אִלֵּין תְּנוּעִין דְּעוֹרְבָא מַאי לְאִשְׁתְּמוֹדָע בְּהוּ בַּר נַשׁ בְּגִין דְּיַחֲזוֹר בִּתְיוּבְתָּא, אָמַר לֵיהּ בְּרִי וַדַּאי אֲסִיר לְאִסְתַּכְּלָא בְּהוֹן לְעַמָּא קַדִּישָׁא, הֲדָא הוּא דִכְתִיב </w:t>
      </w:r>
      <w:r>
        <w:rPr>
          <w:b w:val="0"/>
          <w:sz w:val="20"/>
          <w:szCs w:val="23"/>
          <w:rtl/>
        </w:rPr>
        <w:t>(במדבר כג כג)</w:t>
      </w:r>
      <w:r>
        <w:rPr>
          <w:b w:val="0"/>
          <w:bCs w:val="0"/>
          <w:rtl/>
        </w:rPr>
        <w:t xml:space="preserve"> כִּי לֹא נַחַשׁ בְּיַעֲקֹב וְלֹא קֶסֶם בְּיִשְׂרָאֵל, אֲבָל אִם יִזְדַּמַּן לְבַר נַשׁ לְפוּם שַׁעְתָּא וְיֵדַע בְּהוֹן, יִסְתַּכַּל בְּהוֹן בְּגִין דְּיַחֲזוֹר מֵחוֹבוֹי בִּתְיוּבְתָּא, </w:t>
      </w:r>
      <w:r>
        <w:rPr>
          <w:rStyle w:val="a7"/>
          <w:b w:val="0"/>
          <w:bCs w:val="0"/>
          <w:rtl/>
        </w:rPr>
        <w:footnoteReference w:id="5277"/>
      </w:r>
      <w:r>
        <w:rPr>
          <w:b w:val="0"/>
          <w:bCs w:val="0"/>
          <w:rtl/>
        </w:rPr>
        <w:t xml:space="preserve">וְהַאי לְבַר נַשׁ דְּלֹא עוֹבָדוֹי כְּיַעֲקֹב וּכְיִשְׂרָאֵל, </w:t>
      </w:r>
      <w:r>
        <w:rPr>
          <w:rStyle w:val="a7"/>
          <w:b w:val="0"/>
          <w:bCs w:val="0"/>
          <w:rtl/>
        </w:rPr>
        <w:footnoteReference w:id="5278"/>
      </w:r>
      <w:r>
        <w:rPr>
          <w:b w:val="0"/>
          <w:bCs w:val="0"/>
          <w:rtl/>
        </w:rPr>
        <w:t xml:space="preserve">דְּבַר נַשׁ דְּיַעֲבִיד עֹבְדֵי דְּיַעֲקֹב דְּאִתְּמַר בֵּיהּ </w:t>
      </w:r>
      <w:r>
        <w:rPr>
          <w:b w:val="0"/>
          <w:sz w:val="20"/>
          <w:szCs w:val="23"/>
          <w:rtl/>
        </w:rPr>
        <w:t>(בראשית כה כג)</w:t>
      </w:r>
      <w:r>
        <w:rPr>
          <w:b w:val="0"/>
          <w:bCs w:val="0"/>
          <w:rtl/>
        </w:rPr>
        <w:t xml:space="preserve"> וְיַעֲקֹב אִישׁ תָּם, מַה כְּתִיב בֵּיהּ </w:t>
      </w:r>
      <w:r>
        <w:rPr>
          <w:b w:val="0"/>
          <w:sz w:val="20"/>
          <w:szCs w:val="23"/>
          <w:rtl/>
        </w:rPr>
        <w:t>(ירמיה י טז)</w:t>
      </w:r>
      <w:r>
        <w:rPr>
          <w:b w:val="0"/>
          <w:bCs w:val="0"/>
          <w:rtl/>
        </w:rPr>
        <w:t xml:space="preserve"> </w:t>
      </w:r>
      <w:r>
        <w:rPr>
          <w:rStyle w:val="a7"/>
          <w:b w:val="0"/>
          <w:bCs w:val="0"/>
          <w:rtl/>
        </w:rPr>
        <w:footnoteReference w:id="5279"/>
      </w:r>
      <w:r>
        <w:rPr>
          <w:b w:val="0"/>
          <w:bCs w:val="0"/>
          <w:rtl/>
        </w:rPr>
        <w:t>לֹא כְאֵלֶּה חֵלֶק יַעֲקֹב.</w:t>
      </w:r>
    </w:p>
    <w:p w:rsidR="006D2826" w:rsidRDefault="006D2826" w:rsidP="006D2826">
      <w:pPr>
        <w:pStyle w:val="NormalWeb"/>
        <w:rPr>
          <w:b w:val="0"/>
          <w:bCs w:val="0"/>
          <w:rtl/>
        </w:rPr>
      </w:pPr>
      <w:r>
        <w:rPr>
          <w:b w:val="0"/>
          <w:bCs w:val="0"/>
          <w:rtl/>
        </w:rPr>
        <w:t xml:space="preserve">דְּמִסִּטְרָא דְיַעֲקֹב וְיִשְׂרָאֵל בָּעָא בִּלְעָם חַיָּיבָא לְאִסְתַּכְּלָא בְּנַחֲשׁוֹי וּבְקִסְמוֹי, </w:t>
      </w:r>
      <w:r>
        <w:rPr>
          <w:rStyle w:val="a7"/>
          <w:b w:val="0"/>
          <w:bCs w:val="0"/>
          <w:rtl/>
        </w:rPr>
        <w:footnoteReference w:id="5280"/>
      </w:r>
      <w:r>
        <w:rPr>
          <w:b w:val="0"/>
          <w:bCs w:val="0"/>
          <w:rtl/>
        </w:rPr>
        <w:t xml:space="preserve">וְלָא אַשְׁכַּח אֲתַר לְאַעָלָא לְגַבֵּיהּ, וּבְגִין דָּא אָמַר כִּי לֹא נַחַשׁ בְּיַעֲקֹב וְלֹא קֶסֶם בְּיִשְׂרָאֵל. אָמַר לֵיהּ רַבִּי אֶלְעָזָר, וְהָא בְּלָבָן כְּתִיב </w:t>
      </w:r>
      <w:r>
        <w:rPr>
          <w:b w:val="0"/>
          <w:sz w:val="20"/>
          <w:szCs w:val="23"/>
          <w:rtl/>
        </w:rPr>
        <w:t>(בראשית ל כז)</w:t>
      </w:r>
      <w:r>
        <w:rPr>
          <w:b w:val="0"/>
          <w:bCs w:val="0"/>
          <w:rtl/>
        </w:rPr>
        <w:t xml:space="preserve"> נִחַשְׁתִּי וַיְבָרַכֵנִי יהו''ה בִּגְלָלֶךָ, אִם כֵּן אַמַּאי אַעְרַב בֵּיהּ, </w:t>
      </w:r>
      <w:r>
        <w:rPr>
          <w:rStyle w:val="a7"/>
          <w:b w:val="0"/>
          <w:bCs w:val="0"/>
          <w:rtl/>
        </w:rPr>
        <w:footnoteReference w:id="5281"/>
      </w:r>
      <w:r>
        <w:rPr>
          <w:b w:val="0"/>
          <w:bCs w:val="0"/>
          <w:rtl/>
        </w:rPr>
        <w:t xml:space="preserve">אָמַר בְּרִי הָכָא רָזָא עִלָּאָה, דִלְזִמְנִין שׁוֹשַׁנָּה אִשְׁתַּכְּחַת בֵּין קוֹצִים, וְהָכָא רָזָא דְגִלְגּוּלָא, אָמַר לֵיהּ יְדַעְנָא, וְעִם כָּל דָּא בְּרִי, אַף עַל גַּב דְּאִתְּמַר כִּי לֹא נַחַשׁ בְּיַעֲקֹב וְלֹא קֶסֶם בְּיִשְׂרָאֵל, בַּר נַשׁ צָרִיךְ לְמִנְדַּע כֹּלָּא וַאֲפִילוּ חָרָשִׁין, כְּמָה דְאוּקְמוּהוּ מָארֵי מַתְנִיתִין, לֹא תִלְמַד לַעֲשׂוֹת </w:t>
      </w:r>
      <w:r>
        <w:rPr>
          <w:b w:val="0"/>
          <w:sz w:val="20"/>
          <w:szCs w:val="23"/>
          <w:rtl/>
        </w:rPr>
        <w:t>(דברים יח ט)</w:t>
      </w:r>
      <w:r>
        <w:rPr>
          <w:b w:val="0"/>
          <w:bCs w:val="0"/>
          <w:rtl/>
        </w:rPr>
        <w:t>, אֲבָל אַתָּה לָמֵד לְהָבִין וּלְהוֹרוֹת.</w:t>
      </w:r>
    </w:p>
    <w:p w:rsidR="006D2826" w:rsidRDefault="006D2826" w:rsidP="006D2826">
      <w:pPr>
        <w:pStyle w:val="aa"/>
        <w:spacing w:after="40"/>
        <w:rPr>
          <w:rtl/>
        </w:rPr>
      </w:pPr>
      <w:r>
        <w:rPr>
          <w:rtl/>
        </w:rPr>
        <w:t xml:space="preserve">[תיקוני זוהר - דף קכג ע''ב] </w:t>
      </w:r>
    </w:p>
    <w:p w:rsidR="006D2826" w:rsidRDefault="006D2826" w:rsidP="006D2826">
      <w:pPr>
        <w:pStyle w:val="NormalWeb"/>
        <w:rPr>
          <w:b w:val="0"/>
          <w:bCs w:val="0"/>
          <w:rtl/>
        </w:rPr>
      </w:pPr>
      <w:r>
        <w:rPr>
          <w:b w:val="0"/>
          <w:bCs w:val="0"/>
          <w:rtl/>
        </w:rPr>
        <w:t xml:space="preserve">וּבְגִין דָּא תְּנוּעִין דְּעוֹרְבָא, אִית תְּנוּעָה </w:t>
      </w:r>
      <w:r>
        <w:rPr>
          <w:rStyle w:val="a7"/>
          <w:b w:val="0"/>
          <w:bCs w:val="0"/>
          <w:rtl/>
        </w:rPr>
        <w:footnoteReference w:id="5282"/>
      </w:r>
      <w:r>
        <w:rPr>
          <w:b w:val="0"/>
          <w:bCs w:val="0"/>
          <w:rtl/>
        </w:rPr>
        <w:t xml:space="preserve">דְסָלִיק בְּרָבִי''עַ, וְאַחֲזֵי דְחוֹבָא דִילֵיהּ תַּלְיָא </w:t>
      </w:r>
      <w:r>
        <w:rPr>
          <w:b w:val="0"/>
          <w:sz w:val="20"/>
          <w:szCs w:val="23"/>
          <w:rtl/>
        </w:rPr>
        <w:t xml:space="preserve">(דף קכג ע''ב) </w:t>
      </w:r>
      <w:r>
        <w:rPr>
          <w:b w:val="0"/>
          <w:bCs w:val="0"/>
          <w:rtl/>
        </w:rPr>
        <w:t xml:space="preserve">לְעִילָא בְעָלְמָא דְאָתֵי, וְאִית תְּנוּעָה דְנָחִית לָהּ בַּתְּבִי''ר בַּשְּׁבָרִים, וְאַחֲזֵי דְחוֹבָא דִילֵיהּ נָחִית לְתַתָּא בְעָלְמָא דֵין, לְמֶהֱוִי לֵיהּ תְּבִירוּ בְּגִינֵיהּ, וְכָל אִלֵּין סִימָנִין אִיהִי אַחֲזֵי בְּאָרְחָא, כְּגַוְונָא דַעֲמָלֵק דְּאָמַר בְּגִינֵיהּ </w:t>
      </w:r>
      <w:r>
        <w:rPr>
          <w:b w:val="0"/>
          <w:sz w:val="20"/>
          <w:szCs w:val="23"/>
          <w:rtl/>
        </w:rPr>
        <w:t>(שם כה יח)</w:t>
      </w:r>
      <w:r>
        <w:rPr>
          <w:b w:val="0"/>
          <w:bCs w:val="0"/>
          <w:rtl/>
        </w:rPr>
        <w:t xml:space="preserve"> אֲשֶׁר קָרְךָ בַּדֶּרֶךְ, דְּסִטְרִין אָחֳרָנִין אִינוּן כְּלִסְטִים דְּנָפְקִין בְּאָרְחִין, וּבְגִין דָּא עוֹרְבִין חֵילָא דִלְהוֹן בְּאוֹרְחִין.</w:t>
      </w:r>
    </w:p>
    <w:p w:rsidR="006D2826" w:rsidRDefault="006D2826" w:rsidP="006D2826">
      <w:pPr>
        <w:pStyle w:val="NormalWeb"/>
        <w:rPr>
          <w:b w:val="0"/>
          <w:bCs w:val="0"/>
          <w:rtl/>
        </w:rPr>
      </w:pPr>
      <w:r>
        <w:rPr>
          <w:rStyle w:val="a7"/>
          <w:b w:val="0"/>
          <w:bCs w:val="0"/>
          <w:rtl/>
        </w:rPr>
        <w:footnoteReference w:id="5283"/>
      </w:r>
      <w:r>
        <w:rPr>
          <w:b w:val="0"/>
          <w:bCs w:val="0"/>
          <w:rtl/>
        </w:rPr>
        <w:t xml:space="preserve">וְאִינוּן דְּמַזָּלְהוֹן תַּלְיָא בְּשַׁבְּתַ''י, אִינוּן עֲצִיבִין, וְאִינוּן דּוֹחֲקִין רַגְלֵי שְׁכִינְתָּא בְּגָלוּתָא, דִּבְזִמְנָא דְאִלֵּין אִתְפַּשְׁטוּ בְעָלְמָא, אִתְּמַר בְּרַגְלֵי שְׁכִינְתָּא וַיֶּאֱסוֹף רַגְלָיו אֶל הַמִּטָּה </w:t>
      </w:r>
      <w:r>
        <w:rPr>
          <w:b w:val="0"/>
          <w:sz w:val="20"/>
          <w:szCs w:val="23"/>
          <w:rtl/>
        </w:rPr>
        <w:t>(בראשית מט לג)</w:t>
      </w:r>
      <w:r>
        <w:rPr>
          <w:b w:val="0"/>
          <w:bCs w:val="0"/>
          <w:rtl/>
        </w:rPr>
        <w:t xml:space="preserve">, אִתְכְּנִישַׁת לְגַבֵּי זַרְעִיהּ דְּיַעֲקֹב מִטָּה שְׁלֵמָה, וּבְגִין דָּא וַיִּשְׁכּוֹן יִשְׂרָאֵל בֶּטַח בָּדָד עִין יַעֲקֹב </w:t>
      </w:r>
      <w:r>
        <w:rPr>
          <w:b w:val="0"/>
          <w:sz w:val="20"/>
          <w:szCs w:val="23"/>
          <w:rtl/>
        </w:rPr>
        <w:t>(דברים לג כח)</w:t>
      </w:r>
      <w:r>
        <w:rPr>
          <w:b w:val="0"/>
          <w:bCs w:val="0"/>
          <w:rtl/>
        </w:rPr>
        <w:t xml:space="preserve">, דְּלָא זָזַת שְׁכִינְתָּא מִינַיְיהוּ בְּגָלוּתָא, בְּגִין דְּלֵית בְּהוּ פִסּוּלָא, וְשַׁבְּתַא''י אִית לֵיהּ </w:t>
      </w:r>
      <w:r>
        <w:rPr>
          <w:rStyle w:val="a7"/>
          <w:b w:val="0"/>
          <w:bCs w:val="0"/>
          <w:rtl/>
        </w:rPr>
        <w:footnoteReference w:id="5284"/>
      </w:r>
      <w:r>
        <w:rPr>
          <w:b w:val="0"/>
          <w:bCs w:val="0"/>
          <w:rtl/>
        </w:rPr>
        <w:t xml:space="preserve">תְּרֵין בָּתִּין, חַד שְׁפַל רֹאשׁ, וְתִנְיָינָא בֵּית הַסֹּהַר, </w:t>
      </w:r>
      <w:r>
        <w:rPr>
          <w:rStyle w:val="a7"/>
          <w:b w:val="0"/>
          <w:bCs w:val="0"/>
          <w:rtl/>
        </w:rPr>
        <w:footnoteReference w:id="5285"/>
      </w:r>
      <w:r>
        <w:rPr>
          <w:b w:val="0"/>
          <w:bCs w:val="0"/>
          <w:rtl/>
        </w:rPr>
        <w:t xml:space="preserve">דַּאֲסִירֵי מַלְכָּא אֲסִירִין תַּמָּן בְּגָלוּתָא, וְאִינוּן דָּחֲקִין שְׁכִינְתָּא וְיִשְׂרָאֵל </w:t>
      </w:r>
      <w:r>
        <w:rPr>
          <w:b w:val="0"/>
          <w:sz w:val="20"/>
          <w:szCs w:val="23"/>
          <w:rtl/>
        </w:rPr>
        <w:t>(נ''א שעתא לישראל)</w:t>
      </w:r>
      <w:r>
        <w:rPr>
          <w:b w:val="0"/>
          <w:bCs w:val="0"/>
          <w:rtl/>
        </w:rPr>
        <w:t xml:space="preserve"> בְּגָלוּתָא, וּבִשְׁפַל רֹאשׁ יִשְׂרָאֵל אִינוּן שְׁפֵלִין לְתַתָּא, וּמֵהַאי כֹּכָבָא יֵיתֵי כַפְנָא וַעֲנִיּוּתָא לְיִשְׂרָאֵל, </w:t>
      </w:r>
      <w:r>
        <w:rPr>
          <w:rStyle w:val="a7"/>
          <w:b w:val="0"/>
          <w:bCs w:val="0"/>
          <w:rtl/>
        </w:rPr>
        <w:footnoteReference w:id="5286"/>
      </w:r>
      <w:r>
        <w:rPr>
          <w:b w:val="0"/>
          <w:bCs w:val="0"/>
          <w:rtl/>
        </w:rPr>
        <w:t xml:space="preserve">וּמָאן דְּבָעִי לְאִסְתַּמְרָא מִנֵּיהּ, צָרִיךְ לְשַׁנּוּיֵי שְׁמֵיהּ וּלְשַׁנּוּיֵי אַתְרֵיהּ וּלְשַׁנּוּיֵי עוֹבָדוֹי, וְדָא אִיהוּ שִׁנּוּי מָקוֹם שִׁנּוּי הַשֵּׁם וְשִׁנּוּי מַעֲשֶׂה, וְהָא אוּקְמוּהוּ הֶן כָּל אֵלֶּה יִפְעַל אֵ''ל פַּעֲמַיִם שָׁלֹשׁ עִם גָּבֶר </w:t>
      </w:r>
      <w:r>
        <w:rPr>
          <w:b w:val="0"/>
          <w:sz w:val="20"/>
          <w:szCs w:val="23"/>
          <w:rtl/>
        </w:rPr>
        <w:t>(איוב לג כט)</w:t>
      </w:r>
      <w:r>
        <w:rPr>
          <w:b w:val="0"/>
          <w:bCs w:val="0"/>
          <w:rtl/>
        </w:rPr>
        <w:t>.</w:t>
      </w:r>
    </w:p>
    <w:p w:rsidR="006D2826" w:rsidRDefault="006D2826" w:rsidP="006D2826">
      <w:pPr>
        <w:pStyle w:val="NormalWeb"/>
        <w:rPr>
          <w:b w:val="0"/>
          <w:bCs w:val="0"/>
          <w:rtl/>
        </w:rPr>
      </w:pPr>
      <w:r>
        <w:rPr>
          <w:rStyle w:val="a7"/>
          <w:b w:val="0"/>
          <w:bCs w:val="0"/>
          <w:rtl/>
        </w:rPr>
        <w:footnoteReference w:id="5287"/>
      </w:r>
      <w:r>
        <w:rPr>
          <w:b w:val="0"/>
          <w:bCs w:val="0"/>
          <w:rtl/>
        </w:rPr>
        <w:t xml:space="preserve">שַׂעֲרָא חִוְורָא וְעִינוֹי חִוְורִין וְאַנְפּוֹי חִוְורִין וְגוּפָא חִוְורָא, אִי אִית בֵּיהּ עוֹבָדִין טָבִין דָּא אִיהוּ מִסִּטְרָא דִימִינָא, מִסִּטְרָא דִרְחִימוּ דְאִיהוּ אַהֲבַת עוֹלָם אֲהַבְתִּיךְ עַל כֵּן מְשַׁכְתִּיךְ חָסֶד </w:t>
      </w:r>
      <w:r>
        <w:rPr>
          <w:b w:val="0"/>
          <w:sz w:val="20"/>
          <w:szCs w:val="23"/>
          <w:rtl/>
        </w:rPr>
        <w:t>(ירמיה לא ב)</w:t>
      </w:r>
      <w:r>
        <w:rPr>
          <w:b w:val="0"/>
          <w:bCs w:val="0"/>
          <w:rtl/>
        </w:rPr>
        <w:t xml:space="preserve">. שַׂעֲרָא חִוְורָא וְעִינוֹי חִוְורִין וְאַנְפִּין חִוְורִין וְגוּפָא חִוְורָא, דְלֵית בֵּיהּ גְּמִילוּת חֲסָדִים בִּרְחִימוּ דְאַהֲבָה, הַאי הוּא רַמַּאי </w:t>
      </w:r>
      <w:r>
        <w:rPr>
          <w:rStyle w:val="a7"/>
          <w:b w:val="0"/>
          <w:bCs w:val="0"/>
          <w:rtl/>
        </w:rPr>
        <w:footnoteReference w:id="5288"/>
      </w:r>
      <w:r>
        <w:rPr>
          <w:b w:val="0"/>
          <w:bCs w:val="0"/>
          <w:rtl/>
        </w:rPr>
        <w:t xml:space="preserve">מִסִּטְרָא דְלָבָן הָאֲרַמִּי, אִסְתַּמַּר מִנֵּיהּ, בַּהֶרֶת לְבָנָה הִיא, </w:t>
      </w:r>
      <w:r>
        <w:rPr>
          <w:rStyle w:val="a7"/>
          <w:b w:val="0"/>
          <w:bCs w:val="0"/>
          <w:rtl/>
        </w:rPr>
        <w:footnoteReference w:id="5289"/>
      </w:r>
      <w:r>
        <w:rPr>
          <w:b w:val="0"/>
          <w:bCs w:val="0"/>
          <w:rtl/>
        </w:rPr>
        <w:t xml:space="preserve">וְלִילִי''ת הִיא בַּהֶרֶת לְבָנָה אוּכְמָא סוּמְקָא יְרוֹקָא, הֲדָא הוּא דִכְתִיב </w:t>
      </w:r>
      <w:r>
        <w:rPr>
          <w:b w:val="0"/>
          <w:sz w:val="20"/>
          <w:szCs w:val="23"/>
          <w:rtl/>
        </w:rPr>
        <w:t>(ויקרא יג ד)</w:t>
      </w:r>
      <w:r>
        <w:rPr>
          <w:b w:val="0"/>
          <w:bCs w:val="0"/>
          <w:rtl/>
        </w:rPr>
        <w:t xml:space="preserve"> וְאִם בַּהֶרֶת לְבָנָה הִיא בְּעוֹר בְּשָׂרוֹ וְעָמוֹק אֵין מַרְאֵהוּ מִן הָעוֹר, בַּהֶרֶת שְׁחוֹרָה וּשְׁפָלָה אֵינֶנָּה מִן הָעוֹר וְהִיא כֵהָה, תְּרֵין גַּוָּונִין תִּנְיָינִין אִינוּן יְרַקְרַק אוֹ אֲדַמְדָּם, כֻּלְּהוּ מִתְהַפְּכִין עִינוֹי בְּכַעְסָא לְחִוְורוּ וְאוּכְמוּ וְסוּמְקוּ וִירוֹקָא, וְכָל דָּא בְּמַאי אִשְׁתְּמוֹדָע, דְּלֵית בַּר נַשׁ דְּלָא אִתְכְּלִילָן בֵּיהּ אִלֵּין </w:t>
      </w:r>
      <w:r>
        <w:rPr>
          <w:rStyle w:val="a7"/>
          <w:b w:val="0"/>
          <w:bCs w:val="0"/>
          <w:rtl/>
        </w:rPr>
        <w:footnoteReference w:id="5290"/>
      </w:r>
      <w:r>
        <w:rPr>
          <w:b w:val="0"/>
          <w:bCs w:val="0"/>
          <w:rtl/>
        </w:rPr>
        <w:t xml:space="preserve">אַרְבַּע </w:t>
      </w:r>
      <w:r>
        <w:rPr>
          <w:rStyle w:val="a7"/>
          <w:b w:val="0"/>
          <w:bCs w:val="0"/>
          <w:rtl/>
        </w:rPr>
        <w:footnoteReference w:id="5291"/>
      </w:r>
      <w:r>
        <w:rPr>
          <w:b w:val="0"/>
          <w:bCs w:val="0"/>
          <w:rtl/>
        </w:rPr>
        <w:t xml:space="preserve">גַּוָּונִין, אֶלָּא הַהוּא גַוָּון דְּשַׁלִּיט עַל כֻּלְּהוּ אָחֳרָנִין, בֵּיהּ אִתְקְרֵי, וּבֵיהּ אִשְׁתְּמוֹדָע לְאִתְקְרֵי חִוָּור אוֹ אוּכַם אוֹ סוּמַק אוֹ יָרוֹק, וְאִלֵּין אַרְבַּע גַּוָּונִין בִּישִׁין אִינוּן אַרְבַּע קְלִיפִין דֶּאֱגוֹזָא, תֹּהוּ וָבֹהוּ וְחֹשֶׁךְ וּתְהוֹם, וְאִלֵּין אִינוּן </w:t>
      </w:r>
      <w:r>
        <w:rPr>
          <w:b w:val="0"/>
          <w:sz w:val="20"/>
          <w:szCs w:val="23"/>
          <w:rtl/>
        </w:rPr>
        <w:t>(דברים ח טו)</w:t>
      </w:r>
      <w:r>
        <w:rPr>
          <w:b w:val="0"/>
          <w:bCs w:val="0"/>
          <w:rtl/>
        </w:rPr>
        <w:t xml:space="preserve"> נָחָשׁ שָׂרָף וְעַקְרָב וְצִמָּאוֹן, נָחָשׁ גַּוָּון חִוָּור בַּהֶרֶת לְבָנָה, שָׂרָף וְעַקְרָב, אֲדַמְדָּם שָׂרָף, אוֹ יְרַקְרַק עַקְרָב, וְצִמָּאוֹן בַּהֶרֶת שְׁחוֹרָה. </w:t>
      </w:r>
      <w:r>
        <w:rPr>
          <w:b w:val="0"/>
          <w:sz w:val="20"/>
          <w:szCs w:val="23"/>
          <w:rtl/>
        </w:rPr>
        <w:t xml:space="preserve">(א.ה. מכאן עד סוף הפיסקה הובא ע"פ הגהת הגר"א מלקמן קכ"ה ע"ב, וסותר להגהותיו כאן) </w:t>
      </w:r>
      <w:r>
        <w:rPr>
          <w:b w:val="0"/>
          <w:bCs w:val="0"/>
          <w:rtl/>
        </w:rPr>
        <w:t>דִּבְגַוָּון חִוָּור מִתְלַבַּשׁ אֵ''ל מִן מִיכָאֵ''ל שַׂר הַחֶסֶד, וּתְחוֹתֵיהּ נָחָשׁ, וּפוֹרֵץ גָּדֵר יִשְּׁכֶנּוּ נָחָשׁ, בְּגַוָּון סוּמַק אִתְלַבַּשׁ גַּבְרִיאֵ''ל שַׂר הַגְּבוּרָה, וּתְחוֹתֵיהּ שָׂרָף, בְּגַוָּון יָרוֹק אִתְלַבַּשׁ אוּרִיאֵ''ל נוּרִיאֵ''ל שַׂר שָׁלוֹם, וּתְחוֹתֵיהּ עַקְרָב, בְּגַוָּון אוּכַם אִתְלַבַּשׁ רְפָאֵ''ל שַׂר דִּשְׁכִינְתָּא, וּתְחוֹתֵיהּ צִמָּאוֹן.</w:t>
      </w:r>
    </w:p>
    <w:p w:rsidR="006D2826" w:rsidRDefault="006D2826" w:rsidP="006D2826">
      <w:pPr>
        <w:pStyle w:val="NormalWeb"/>
        <w:rPr>
          <w:b w:val="0"/>
          <w:bCs w:val="0"/>
          <w:rtl/>
        </w:rPr>
      </w:pPr>
      <w:r>
        <w:rPr>
          <w:rtl/>
        </w:rPr>
        <w:t xml:space="preserve">(ס"א וְאִתְּתָא בִּישָׁא מִתַּמָּן קָא אַתְיָא, עֲלָהּ אִתְּמַר </w:t>
      </w:r>
      <w:r>
        <w:rPr>
          <w:sz w:val="20"/>
          <w:szCs w:val="23"/>
          <w:rtl/>
        </w:rPr>
        <w:t>(ויקרא יד מה)</w:t>
      </w:r>
      <w:r>
        <w:rPr>
          <w:rtl/>
        </w:rPr>
        <w:t xml:space="preserve"> וְנָתַץ אֶת הַבַּיִת אֶת אֲבָנָיו וְאֶת עִצָיו בַּעֲנִיּוּתָא, דְלָא אִשְׁתָּאַר בְּבֵיתָא, וּבְגִין דָּא חַכְמוֹת נָשִׁים בָּנְתָה בֵיתָהּ, וְאִוְּלֶת בְּיָדֶיהָ תֶהֶרְסֶנּוּ </w:t>
      </w:r>
      <w:r>
        <w:rPr>
          <w:sz w:val="20"/>
          <w:szCs w:val="23"/>
          <w:rtl/>
        </w:rPr>
        <w:t>(משלי יד א)</w:t>
      </w:r>
      <w:r>
        <w:rPr>
          <w:rtl/>
        </w:rPr>
        <w:t>),</w:t>
      </w:r>
      <w:r>
        <w:rPr>
          <w:b w:val="0"/>
          <w:bCs w:val="0"/>
          <w:rtl/>
        </w:rPr>
        <w:t xml:space="preserve"> אִלֵּין אִינוּן אַרְבַּע גַּוָּונִין דְּאֶשָּׁא דְגֵיהִנָּם, דְּמִסְתַּלְקֵי בְּעַיְינִין בְּאַנְפִּין בְּשַׂעֲרָא, וּמֵאָן אֲתַר מִסְתַּלְקֵי, מִמָּרָה אוּכְמָא דִטְחוֹל, וּמִמָּרָה סוּמְקָא דְכָבֵד, וּמִמָּרָה יְרוֹקָא דְמָרָה, </w:t>
      </w:r>
      <w:r>
        <w:rPr>
          <w:rStyle w:val="a7"/>
          <w:b w:val="0"/>
          <w:bCs w:val="0"/>
          <w:rtl/>
        </w:rPr>
        <w:footnoteReference w:id="5292"/>
      </w:r>
      <w:r>
        <w:rPr>
          <w:b w:val="0"/>
          <w:bCs w:val="0"/>
          <w:rtl/>
        </w:rPr>
        <w:t xml:space="preserve">וּמִמָּרָה חִוְורָא דְרֵיאָה, </w:t>
      </w:r>
      <w:r>
        <w:rPr>
          <w:rStyle w:val="a7"/>
          <w:b w:val="0"/>
          <w:bCs w:val="0"/>
          <w:rtl/>
        </w:rPr>
        <w:footnoteReference w:id="5293"/>
      </w:r>
      <w:r>
        <w:rPr>
          <w:b w:val="0"/>
          <w:bCs w:val="0"/>
          <w:rtl/>
        </w:rPr>
        <w:t>מַאֲדִי''ם אִיהוּ בְמָרָה אֲדוּמָה לְמִשְׁפַּךְ דְּמָא, וְאִיהוּ מַכַּת חֶרֶב וְהֶרֶג וְאַבְּדָן, וְיָרוֹק הוא מִסִּטְרָא דְחַמָה בִּישָׁא, אִלֵּין אִינוּן אַרְבַּע גַּוָּונִין חֲשׁוֹכִין דְּמַלְאֲכֵי חַבָּלָה, וְכֻלְּהוּ כְּלִילָן בְּלִילִי''ת סַם הַמָּוְת.</w:t>
      </w:r>
    </w:p>
    <w:p w:rsidR="006D2826" w:rsidRDefault="006D2826" w:rsidP="006D2826">
      <w:pPr>
        <w:pStyle w:val="aa"/>
        <w:spacing w:after="40"/>
        <w:rPr>
          <w:rtl/>
        </w:rPr>
      </w:pPr>
      <w:r>
        <w:rPr>
          <w:rtl/>
        </w:rPr>
        <w:t xml:space="preserve">[תיקוני זוהר - דף קכד ע''א] </w:t>
      </w:r>
    </w:p>
    <w:p w:rsidR="006D2826" w:rsidRDefault="006D2826" w:rsidP="006D2826">
      <w:pPr>
        <w:pStyle w:val="NormalWeb"/>
        <w:rPr>
          <w:b w:val="0"/>
          <w:bCs w:val="0"/>
          <w:rtl/>
        </w:rPr>
      </w:pPr>
      <w:r>
        <w:rPr>
          <w:rStyle w:val="a7"/>
          <w:b w:val="0"/>
          <w:bCs w:val="0"/>
          <w:rtl/>
        </w:rPr>
        <w:footnoteReference w:id="5294"/>
      </w:r>
      <w:r>
        <w:rPr>
          <w:b w:val="0"/>
          <w:bCs w:val="0"/>
          <w:rtl/>
        </w:rPr>
        <w:t xml:space="preserve">וְהָכִי שְׁכִינְתָּא אִשְׁתְּמוֹדְעַת בְּאַרְבַּע גַּוָּונִין שַׁפִּירִין נְהִירִין, גַּוָּון חִוָּור מִסִּטְרָא דְחֶסֶד, סוּמַק מִסִּטְרָא דִגְבוּרָה, יָרוֹק מִסִּטְרָא דְעַמּוּדָא דְאֶמְצָעִיתָא, אוּכַם מִסִּטְרָא דְאִימָּא עִלָּאָה, </w:t>
      </w:r>
      <w:r>
        <w:rPr>
          <w:rStyle w:val="a7"/>
          <w:b w:val="0"/>
          <w:bCs w:val="0"/>
          <w:rtl/>
        </w:rPr>
        <w:footnoteReference w:id="5295"/>
      </w:r>
      <w:r>
        <w:rPr>
          <w:b w:val="0"/>
          <w:bCs w:val="0"/>
          <w:rtl/>
        </w:rPr>
        <w:t xml:space="preserve">דְאִתְּמַר בָּהּ </w:t>
      </w:r>
      <w:r>
        <w:rPr>
          <w:b w:val="0"/>
          <w:sz w:val="20"/>
          <w:szCs w:val="23"/>
          <w:rtl/>
        </w:rPr>
        <w:t>(משלי א ח)</w:t>
      </w:r>
      <w:r>
        <w:rPr>
          <w:b w:val="0"/>
          <w:bCs w:val="0"/>
          <w:rtl/>
        </w:rPr>
        <w:t xml:space="preserve"> שְׁמַע בְּנִי מוּסַר אָבִיךָ וְאַל תִּטּוֹשׁ תּוֹרַת אִמֶּךָ, וְאִתְּמַר בָּהּ </w:t>
      </w:r>
      <w:r>
        <w:rPr>
          <w:b w:val="0"/>
          <w:sz w:val="20"/>
          <w:szCs w:val="23"/>
          <w:rtl/>
        </w:rPr>
        <w:t>(שיר א ה)</w:t>
      </w:r>
      <w:r>
        <w:rPr>
          <w:b w:val="0"/>
          <w:bCs w:val="0"/>
          <w:rtl/>
        </w:rPr>
        <w:t xml:space="preserve"> שְׁחוֹרָה אֲנִי וְנָאוָה, </w:t>
      </w:r>
      <w:r>
        <w:rPr>
          <w:rStyle w:val="a7"/>
          <w:b w:val="0"/>
          <w:bCs w:val="0"/>
          <w:rtl/>
        </w:rPr>
        <w:footnoteReference w:id="5296"/>
      </w:r>
      <w:r>
        <w:rPr>
          <w:b w:val="0"/>
          <w:bCs w:val="0"/>
          <w:rtl/>
        </w:rPr>
        <w:t xml:space="preserve">אִימָּא תַּתָּאָה נְטִילַת גַּוָּון מֵאִימָּא עִלָּאָה, שׁוֹקָא יְמִינָא נָטִיל גַּוָּון מִדְּרוֹעָא יְמִינָא, הֲדָא הוּא דִכְתִיב </w:t>
      </w:r>
      <w:r>
        <w:rPr>
          <w:b w:val="0"/>
          <w:sz w:val="20"/>
          <w:szCs w:val="23"/>
          <w:rtl/>
        </w:rPr>
        <w:t>(תהלים טז יא)</w:t>
      </w:r>
      <w:r>
        <w:rPr>
          <w:b w:val="0"/>
          <w:bCs w:val="0"/>
          <w:rtl/>
        </w:rPr>
        <w:t xml:space="preserve"> נְעִימוֹת בִּימִינְךָ נֶצַח, שׁוֹקָא שְׂמָאלָא נָטִיל גַּוָּון מִדְּרוֹעָא שְׂמָאלָא, אוֹת בְּרִית נָטִיל גַּוָּון מִגּוּפָא דְחָכְמָה, </w:t>
      </w:r>
      <w:r>
        <w:rPr>
          <w:rStyle w:val="a7"/>
          <w:b w:val="0"/>
          <w:bCs w:val="0"/>
          <w:rtl/>
        </w:rPr>
        <w:footnoteReference w:id="5297"/>
      </w:r>
      <w:r>
        <w:rPr>
          <w:b w:val="0"/>
          <w:bCs w:val="0"/>
          <w:rtl/>
        </w:rPr>
        <w:t xml:space="preserve">אָדָם דְּרָכִיב עַל כֹּלָּא, וַעֲלֵיהּ אִתְּמַר </w:t>
      </w:r>
      <w:r>
        <w:rPr>
          <w:b w:val="0"/>
          <w:sz w:val="20"/>
          <w:szCs w:val="23"/>
          <w:rtl/>
        </w:rPr>
        <w:t>(תהלים קד כד)</w:t>
      </w:r>
      <w:r>
        <w:rPr>
          <w:b w:val="0"/>
          <w:bCs w:val="0"/>
          <w:rtl/>
        </w:rPr>
        <w:t xml:space="preserve"> כֻּלָּם בְּחָכְמָה עָשִׂיתָ, כֶּתֶר עִלָּאָה אִיהוּ סָתִים לָא אִשְׁתְּמוֹדָע בֵּיהּ גַּוָּון כְּלָל, הָא הָכָא רָזָא דְשַׂעֲרָא, דְבֵיהּ אִשְׁתְּמוֹדְעָאן אַנְשֵׁי חַיִל בְּגַוָּון חִוָּור, יִרְאֵי אלהי''ם בְּגַוָּון </w:t>
      </w:r>
      <w:r>
        <w:rPr>
          <w:b w:val="0"/>
          <w:sz w:val="20"/>
          <w:szCs w:val="23"/>
          <w:rtl/>
        </w:rPr>
        <w:t xml:space="preserve">(דף קכד ע''א) </w:t>
      </w:r>
      <w:r>
        <w:rPr>
          <w:b w:val="0"/>
          <w:bCs w:val="0"/>
          <w:rtl/>
        </w:rPr>
        <w:t xml:space="preserve">סוּמַק, אַנְשֵׁי אֱמֶת בְּגַוָּון יָרוֹק, שׂוֹנְאֵי בָצַע בְּגַוָּון אוּכַם, אַרְבַּע אַתְוָון מִתְלַבְּשִׁין בְּאַרְבַּע גַּוָּונִין אִלֵּין, י' בְּגַוָּון חִוָּור, ה' בְּגַוָּון סוּמַק, ו' בְּגַוָּון יָרוֹק, ה' בְּגַוָּון אוּכַם, הַאי שְׁמָא אִיהוּ דְרָקִים גַּוָּונִין בְּכָל אֲתַר, וְאִיהוּ דְצִיֵּיר שִׁרְטוּטִין בְּמִצְחָא, כְּגַוְונָא דָא יהו''ה, </w:t>
      </w:r>
      <w:r>
        <w:rPr>
          <w:rStyle w:val="a7"/>
          <w:b w:val="0"/>
          <w:bCs w:val="0"/>
          <w:rtl/>
        </w:rPr>
        <w:footnoteReference w:id="5298"/>
      </w:r>
      <w:r>
        <w:rPr>
          <w:b w:val="0"/>
          <w:bCs w:val="0"/>
          <w:rtl/>
        </w:rPr>
        <w:t xml:space="preserve">וְאִינוּן אַרְבַּע רְשִׁימִין דְּשִׁרְטוּטִין, דְּאִינוּן עֹמֶק רוּם וְעֹמֶק תַּחַת וְעֹמֶק מִזְרָח וְעֹמֶק מַעֲרָב, שִׁרְטוּטִין זְעִירִין דִּקְרִיצִין דְּעִינָא מִסִּטְרָא דְאָת י', שִׁרְטוּטִין בְּאוּרְכָא בְפוּתְיָא בְּגָבְהָא מִסִּטְרָא דִתְלַת אַתְוָון דְּאִינוּן הו''ה, כֻּלְּהוֹן אִשְׁתְּמוֹדְעִין בְּשִׁעוּר קוֹמָה דְבַר נַשׁ, בְּאוּרְכָא מִסִּטְרָא דַאֲרִיךְ קוֹמָה, דְאִינוּן אַנְשֵׁי חַיִל, בְּפוּתְיָא קָצֵר קוֹמָה וּרְחָבָא דְקוֹמָה, וְאִינוּן יִרְאֵי אלהי''ם, בְּגָבְהָא גְבַהּ קוֹמָה וְאִינוּן אַנְשֵׁי אֱמֶת, זְעִירִין בְּעִגּוּלָא </w:t>
      </w:r>
      <w:r>
        <w:rPr>
          <w:rStyle w:val="a7"/>
          <w:b w:val="0"/>
          <w:bCs w:val="0"/>
          <w:rtl/>
        </w:rPr>
        <w:footnoteReference w:id="5299"/>
      </w:r>
      <w:r>
        <w:rPr>
          <w:b w:val="0"/>
          <w:bCs w:val="0"/>
          <w:rtl/>
        </w:rPr>
        <w:t xml:space="preserve">שׂוֹנְאֵי בָצַע מִסִּטְרָא דְאָת י', וְדָוִד מִסִּטְרָא דְאָת י' אִתְּמַר בֵּיהּ </w:t>
      </w:r>
      <w:r>
        <w:rPr>
          <w:b w:val="0"/>
          <w:sz w:val="20"/>
          <w:szCs w:val="23"/>
          <w:rtl/>
        </w:rPr>
        <w:t>(שמואל א יז יד)</w:t>
      </w:r>
      <w:r>
        <w:rPr>
          <w:b w:val="0"/>
          <w:bCs w:val="0"/>
          <w:rtl/>
        </w:rPr>
        <w:t xml:space="preserve"> וְדָוִד הוּא הַקָּטָן, וְאִלֵּין אִינוּן שׂוֹנְאֵי בָצַע, </w:t>
      </w:r>
      <w:r>
        <w:rPr>
          <w:rStyle w:val="a7"/>
          <w:b w:val="0"/>
          <w:bCs w:val="0"/>
          <w:rtl/>
        </w:rPr>
        <w:footnoteReference w:id="5300"/>
      </w:r>
      <w:r>
        <w:rPr>
          <w:b w:val="0"/>
          <w:bCs w:val="0"/>
          <w:rtl/>
        </w:rPr>
        <w:t xml:space="preserve">שִׁרְטוּטִין אִלֵּין בְּאֹרַח מֵישַׁר, כְּשִׁרְטוּטִין דְּאוֹרַיְיתָא, וְעַל אִלֵּין שִׁרְטוּטִין אִתְּמַר </w:t>
      </w:r>
      <w:r>
        <w:rPr>
          <w:b w:val="0"/>
          <w:sz w:val="20"/>
          <w:szCs w:val="23"/>
          <w:rtl/>
        </w:rPr>
        <w:t>(תהלים כה י)</w:t>
      </w:r>
      <w:r>
        <w:rPr>
          <w:b w:val="0"/>
          <w:bCs w:val="0"/>
          <w:rtl/>
        </w:rPr>
        <w:t xml:space="preserve"> כָּל אָרְחוֹת יהו''ה חֶסֶד וְאֱמֶת לְנֹצְרֵי בְרִיתוֹ וְעִדוֹתָיו.</w:t>
      </w:r>
    </w:p>
    <w:p w:rsidR="006D2826" w:rsidRDefault="006D2826" w:rsidP="001336CC">
      <w:pPr>
        <w:pStyle w:val="NormalWeb"/>
        <w:rPr>
          <w:rtl/>
        </w:rPr>
      </w:pPr>
      <w:r>
        <w:rPr>
          <w:rtl/>
        </w:rPr>
        <w:t xml:space="preserve">שִׁרְטוּטִין בַּאֲרִיכוּ </w:t>
      </w:r>
      <w:r>
        <w:rPr>
          <w:rStyle w:val="a7"/>
          <w:b w:val="0"/>
          <w:bCs w:val="0"/>
          <w:rtl/>
        </w:rPr>
        <w:footnoteReference w:id="5301"/>
      </w:r>
      <w:r>
        <w:rPr>
          <w:rtl/>
        </w:rPr>
        <w:t xml:space="preserve">מִסִּטְרָא דְרָבִי''עַ כְּגַוְונָא דִתְּקִיעָה, וְאִלֵּין אִינוּן אֲרִיכִין דְּקוֹמָה מִסִּטְרָא דִיְמִינָא, אֶרֶךְ אַפַּיִם, אֲרִיכִין בְּקָלָא בִּצְלוֹתִין בְּאוֹרַיְיתָא, אֲרִיכִין בְּרוּגְזָא, אֲרִיכִין בְּשַׂעֲרָא בְּעַיְינִין בְּאַנְפִּין בְּחוֹטָמָא בְּשִׂפְוָון בְּדִיקְנָא בְּגוּפָא בִּדְרוֹעִין בְּרַגְלִין בְּאֶצְבְּעָן, רְשִׁימוּ דִלְהוֹן חִוָּור, </w:t>
      </w:r>
      <w:r>
        <w:rPr>
          <w:rStyle w:val="a7"/>
          <w:b w:val="0"/>
          <w:bCs w:val="0"/>
          <w:rtl/>
        </w:rPr>
        <w:footnoteReference w:id="5302"/>
      </w:r>
      <w:r>
        <w:rPr>
          <w:rtl/>
        </w:rPr>
        <w:t xml:space="preserve">וַוי לוֹן לְאִלֵּין דְּמַכְחִישִׁין דִּיּוֹקְנֵיהוֹן לְעִילָא, כְּאִלּוּ מַכְחִישִׁין סִדְרֵי בְרֵאשִׁית, וּכְאִלּוּ מְמַעֲטִין אֶת הַדְּמוּת, דְּאִיהוּ שִׁיעוּר קוֹמָה דִלְעִילָא, דְּאִלֵּין דְּשִׁרְטוּטֵיהוֹן אֲרִיכִין, וְקוֹמָה דִלְהוֹן וְאֵבָרִים דִּלְהוֹן, צְרִיכִין לְמֶהֱוֵי מָארֵי דְחֶסֶד, אֲרִיכִין דְּרוּגְזָא, מָארֵי דִרְחִימוּ, הַהוּא דְאִתְּמַר בֵּיהּ </w:t>
      </w:r>
      <w:r>
        <w:rPr>
          <w:sz w:val="20"/>
          <w:szCs w:val="23"/>
          <w:rtl/>
        </w:rPr>
        <w:t>(ישעיה מא ח)</w:t>
      </w:r>
      <w:r>
        <w:rPr>
          <w:rtl/>
        </w:rPr>
        <w:t xml:space="preserve"> זֶרַע אַבְרָהָם אוֹהֲבִי.</w:t>
      </w:r>
    </w:p>
    <w:p w:rsidR="006D2826" w:rsidRDefault="006D2826" w:rsidP="001336CC">
      <w:pPr>
        <w:pStyle w:val="NormalWeb"/>
        <w:rPr>
          <w:rtl/>
        </w:rPr>
      </w:pPr>
      <w:r>
        <w:rPr>
          <w:rtl/>
        </w:rPr>
        <w:t xml:space="preserve">שִׁרְטוּטִין בְּרָחְבָּא, כְּגַוְונָא דִשְׁבָרִים, תְּנוּעָה דִלְהוֹן תְּבִי''ר, וְאִינוּן רְחָבִים וּקְצָרִים דְּקוֹמָה, וְאַנְפִּין רְחָבִין וּקְצָרִין, וְעִינוֹי </w:t>
      </w:r>
      <w:r w:rsidRPr="001336CC">
        <w:rPr>
          <w:rtl/>
        </w:rPr>
        <w:t>רְחָבִים</w:t>
      </w:r>
      <w:r>
        <w:rPr>
          <w:rtl/>
        </w:rPr>
        <w:t xml:space="preserve">, וְחוֹטָמוֹי רְחָבִים, וְשִׂפְוָון רְחָבִים, אִלֵּין אִינוּן יִרְאֵי אלהי''ם, מָארֵי דְיִרְאָה מִסִּטְרָא דְיִצְחָק, וַוי לְמָאן דְּאַכְחִישׁ קוֹמָתֵיהּ בְּעוֹבְדִין בִּישִׁין, דְּיָרִית נִשְׁמָתָא בִּישָׁא דְרָכִיב עַל דִּיּוֹקְנֵיהּ, דְּאַכְחִישׁ פַּמַּלְיָא לְעִילָא. שִׁרְטוּטִין גְּבוֹהִין, וְאַנְפִּין גַּבְהָנִין, וְעִינוֹי גַּבְהָנִין, וְחוֹטָמָא וְשִׂפְוָון גַּבְהָנִין, וְגוּפָא גָבוֹהַּ, אִלֵּין אִינוּן מָארֵי דִקְשׁוֹט זֶרַע אֱמֶת, מֵהַהוּא דְאִתְּמַר בֵּיהּ </w:t>
      </w:r>
      <w:r>
        <w:rPr>
          <w:sz w:val="20"/>
          <w:szCs w:val="23"/>
          <w:rtl/>
        </w:rPr>
        <w:t>(מיכה ז כ)</w:t>
      </w:r>
      <w:r>
        <w:rPr>
          <w:rtl/>
        </w:rPr>
        <w:t xml:space="preserve"> תִּתֵּן אֱמֶת לְיַעֲקֹב.</w:t>
      </w:r>
    </w:p>
    <w:p w:rsidR="006D2826" w:rsidRDefault="006D2826" w:rsidP="006D2826">
      <w:pPr>
        <w:pStyle w:val="NormalWeb"/>
        <w:rPr>
          <w:b w:val="0"/>
          <w:bCs w:val="0"/>
          <w:rtl/>
        </w:rPr>
      </w:pPr>
      <w:r>
        <w:rPr>
          <w:rStyle w:val="a7"/>
          <w:b w:val="0"/>
          <w:bCs w:val="0"/>
          <w:rtl/>
        </w:rPr>
        <w:footnoteReference w:id="5303"/>
      </w:r>
      <w:r>
        <w:rPr>
          <w:b w:val="0"/>
          <w:bCs w:val="0"/>
          <w:rtl/>
        </w:rPr>
        <w:t xml:space="preserve">וְאִלֵּין אִינוּן אדנ''י, א' אֲרִיךְ אַנְפִּין וַעֲלֵיהּ שַׁרְיָא י', ד' רָחְבָּא דְאַנְפִּין וַעֲלֵיהּ שַׁרְיָא ה', נ' גּוֹבַהּ דְּאַנְפִּין וַעֲלֵיהּ שַׁרְיָא ו', י' רָחְבָּא דְאַנְפִּין וַעֲלֵיהּ שַׁרְיָא ה', שִׁרְטוּטִין זְעִירִין מִסִּטְרָא דִתְּרוּעָה בְעִגּוּלָא בְדִיּוֹקְנָא דְאָת י', שׂוֹנְאֵי בָצַע, מִסִּטְרָא דְּדָוִד דְּאִתְּמַר בֵּיהּ </w:t>
      </w:r>
      <w:r>
        <w:rPr>
          <w:b w:val="0"/>
          <w:sz w:val="20"/>
          <w:szCs w:val="23"/>
          <w:rtl/>
        </w:rPr>
        <w:t>(שמואל א יז יד)</w:t>
      </w:r>
      <w:r>
        <w:rPr>
          <w:b w:val="0"/>
          <w:bCs w:val="0"/>
          <w:rtl/>
        </w:rPr>
        <w:t xml:space="preserve"> וְדָוִד הוּא הַקָּטָן, וְאִינוּן עַיְינִין זְעִירִין שַׁפִּירִין בְּעִגּוּלָא, אַנְפִּין זְעִירִין בְּעִגּוּלָא שַׁפִּירִין, חוֹטָמָא זְעִירָא פִּימָא זְעִירָא גּוּפָא דִילֵיהּ זְעִירָא, שַׁפִּיר בְּכֹלָּא, וַעֲלֵיהּ שַׁרְיָא ה'.</w:t>
      </w:r>
    </w:p>
    <w:p w:rsidR="006D2826" w:rsidRDefault="006D2826" w:rsidP="006D2826">
      <w:pPr>
        <w:pStyle w:val="NormalWeb"/>
        <w:rPr>
          <w:b w:val="0"/>
          <w:bCs w:val="0"/>
          <w:rtl/>
        </w:rPr>
      </w:pPr>
      <w:r>
        <w:rPr>
          <w:rStyle w:val="a7"/>
          <w:b w:val="0"/>
          <w:bCs w:val="0"/>
          <w:rtl/>
        </w:rPr>
        <w:footnoteReference w:id="5304"/>
      </w:r>
      <w:r>
        <w:rPr>
          <w:b w:val="0"/>
          <w:bCs w:val="0"/>
          <w:rtl/>
        </w:rPr>
        <w:t xml:space="preserve">שִׁרְטוּטִין גַּבְהָנִין מִסִּטְרָא דִתְּרוּעָה, שַׁלְשְׁלָאָ''ה דִתְּקִיעָה וּשְׁבָרִים, דָּא סָלִיק </w:t>
      </w:r>
      <w:r>
        <w:rPr>
          <w:rtl/>
        </w:rPr>
        <w:t>(קָלָא)</w:t>
      </w:r>
      <w:r>
        <w:rPr>
          <w:b w:val="0"/>
          <w:bCs w:val="0"/>
          <w:rtl/>
        </w:rPr>
        <w:t xml:space="preserve"> בִּתְקִיעָה, וְדָא תַּבַּר לָהּ בַּשְּׁבָרִים, וְדָא בֵינוּנִי בְקָלֵיהּ, שַׁלְשְׁלָאָה דִתְּקִיעָה וּשְׁבָרִים, </w:t>
      </w:r>
      <w:r>
        <w:rPr>
          <w:rStyle w:val="a7"/>
          <w:b w:val="0"/>
          <w:bCs w:val="0"/>
          <w:rtl/>
        </w:rPr>
        <w:footnoteReference w:id="5305"/>
      </w:r>
      <w:r>
        <w:rPr>
          <w:b w:val="0"/>
          <w:bCs w:val="0"/>
          <w:rtl/>
        </w:rPr>
        <w:t xml:space="preserve">לָא אֲרִיךְ וְלָא קְצִר, מָאן דְּאִיהוּ בְּדִיּוֹקְנָא דְאָת יו''ד </w:t>
      </w:r>
      <w:r>
        <w:rPr>
          <w:rStyle w:val="a7"/>
          <w:b w:val="0"/>
          <w:bCs w:val="0"/>
          <w:rtl/>
        </w:rPr>
        <w:footnoteReference w:id="5306"/>
      </w:r>
      <w:r>
        <w:rPr>
          <w:b w:val="0"/>
          <w:bCs w:val="0"/>
          <w:rtl/>
        </w:rPr>
        <w:t xml:space="preserve">אִיהוּ קוֹל דְּמָמָה דַקָּה, </w:t>
      </w:r>
      <w:r>
        <w:rPr>
          <w:rStyle w:val="a7"/>
          <w:b w:val="0"/>
          <w:bCs w:val="0"/>
          <w:rtl/>
        </w:rPr>
        <w:footnoteReference w:id="5307"/>
      </w:r>
      <w:r>
        <w:rPr>
          <w:b w:val="0"/>
          <w:bCs w:val="0"/>
          <w:rtl/>
        </w:rPr>
        <w:t>וְאִינוּן מִדָּה לְכָל אֵבָרִין דְּאַנְפִּין לְעִילָא, מִתַּתָּא לְעִילָא, אִיהִי מִדָּה לְכָל סְפִירָה וּסְפִירָה מֵעֲשַׂר סְפִירָאן, וּבָהּ סְלִיקַת כָּל סְפִירָה לַעֲשֶׂרֶת אֲלָפִים רִבֵּי רְבָבוֹת, ו' שִׁעוּרֵיהּ בְּכָל סְפִירָה וּסְפִירָה שֵׁשֶׁת אֲלָפִים רִבֵּי רְבָבוֹת, ה' ה' אִינוּן מַהֲלַךְ בְּכָל סְפִירָה וּסְפִירָה ה' אֲלָפִים רִבֵּי רְבָבוֹת, מֵעִילָא לְתַתָּא, וּמִתַּתָּא לְעִילָא.</w:t>
      </w:r>
    </w:p>
    <w:p w:rsidR="006D2826" w:rsidRDefault="006D2826" w:rsidP="006D2826">
      <w:pPr>
        <w:pStyle w:val="aa"/>
        <w:spacing w:after="40"/>
        <w:rPr>
          <w:rtl/>
        </w:rPr>
      </w:pPr>
      <w:r>
        <w:rPr>
          <w:rtl/>
        </w:rPr>
        <w:t xml:space="preserve">[תיקוני זוהר - דף קכד ע''ב] </w:t>
      </w:r>
    </w:p>
    <w:p w:rsidR="006D2826" w:rsidRDefault="006D2826" w:rsidP="006D2826">
      <w:pPr>
        <w:pStyle w:val="NormalWeb"/>
        <w:rPr>
          <w:b w:val="0"/>
          <w:bCs w:val="0"/>
          <w:rtl/>
        </w:rPr>
      </w:pPr>
      <w:r>
        <w:rPr>
          <w:b w:val="0"/>
          <w:bCs w:val="0"/>
          <w:rtl/>
        </w:rPr>
        <w:t xml:space="preserve">שִׁרְטוּטִין עֲקִימִין דְּלַאו אִינוּן רְשִׁימִין בְּאֹרַח מֵישַׁר, אִנּוּן רְשִׁימִין דְּנָחָשׁ </w:t>
      </w:r>
      <w:r>
        <w:rPr>
          <w:b w:val="0"/>
          <w:sz w:val="20"/>
          <w:szCs w:val="23"/>
          <w:rtl/>
        </w:rPr>
        <w:t xml:space="preserve">(דף קכד ע''ב) </w:t>
      </w:r>
      <w:r>
        <w:rPr>
          <w:b w:val="0"/>
          <w:bCs w:val="0"/>
          <w:rtl/>
        </w:rPr>
        <w:t xml:space="preserve">עֲקַלָּתוֹן, </w:t>
      </w:r>
      <w:r>
        <w:rPr>
          <w:rStyle w:val="a7"/>
          <w:b w:val="0"/>
          <w:bCs w:val="0"/>
          <w:rtl/>
        </w:rPr>
        <w:footnoteReference w:id="5308"/>
      </w:r>
      <w:r>
        <w:rPr>
          <w:b w:val="0"/>
          <w:bCs w:val="0"/>
          <w:rtl/>
        </w:rPr>
        <w:t>דְּשִׁרְטוּטִין כְּשַׁלְשְׁלָאָה כְּגַוְונָא דָא אִינוּן מַהֲלַךְ דְּנוּנִין דְּיַמָא,</w:t>
      </w:r>
      <w:r>
        <w:rPr>
          <w:b w:val="0"/>
          <w:szCs w:val="23"/>
          <w:rtl/>
        </w:rPr>
        <w:t xml:space="preserve"> </w:t>
      </w:r>
      <w:r>
        <w:rPr>
          <w:b w:val="0"/>
          <w:sz w:val="20"/>
          <w:szCs w:val="23"/>
          <w:rtl/>
        </w:rPr>
        <w:t>(נ''א מהלך דלהון כנונין בימא)</w:t>
      </w:r>
      <w:r>
        <w:rPr>
          <w:b w:val="0"/>
          <w:bCs w:val="0"/>
          <w:rtl/>
        </w:rPr>
        <w:t xml:space="preserve">, דְּאִינוּן כְּגַוְונָא דְתַלְמִידֵי חֲכָמִים דְּמִתְרַבִּין בְּיַמָּא, וְאִינוּן רָזָא דִתְּרוּעָה, [ציור] וְשַׁלְשֶׁלֶת וְהָכִי מַהֲלַךְ דְּנוּנַיָּא כְּגַוְונָא דִתְּרוּעָה, וְאִינוּן דַּרְגָּ''א לְתַתָּא, שַׁלְשֶׁלֶת לְעִילָא, כְּגַוְונָא דִקְדוּשָׁה הָכִי אִינוּן רְשִׁימִין מִסִּטְרָא דִמְסָאֲבוּ, דְּהָכִי אוּקְמוּה מָארֵי מַתְנִיתִין </w:t>
      </w:r>
      <w:r>
        <w:rPr>
          <w:b w:val="0"/>
          <w:sz w:val="20"/>
          <w:szCs w:val="23"/>
          <w:rtl/>
        </w:rPr>
        <w:t>(קהלת ז יד)</w:t>
      </w:r>
      <w:r>
        <w:rPr>
          <w:b w:val="0"/>
          <w:bCs w:val="0"/>
          <w:rtl/>
        </w:rPr>
        <w:t xml:space="preserve"> זֶה לְעְִמַּת זֶה עָשָׂה הָאלהי''ם, </w:t>
      </w:r>
      <w:r>
        <w:rPr>
          <w:rStyle w:val="a7"/>
          <w:b w:val="0"/>
          <w:bCs w:val="0"/>
          <w:rtl/>
        </w:rPr>
        <w:footnoteReference w:id="5309"/>
      </w:r>
      <w:r>
        <w:rPr>
          <w:b w:val="0"/>
          <w:bCs w:val="0"/>
          <w:rtl/>
        </w:rPr>
        <w:t>וּבְמַאי אִשְׁתְּמוֹדָע, אֶלָּא שִׁרְטוּטִין אִינוּן כְּגַוְונָא דְלוּלָב, דְּאִתְּמַר בֵּיהּ נִפְרְצוּ עַלָּיו פָּסוּל, הָכִי שִׁרְטוּטִין דְּאִית בְּהוּ פְרִידוּ וּפְרִיצוּ, דָא אַחֲזֵי בְּגִלְגּוּלָא דִילֵיהּ קֳדָם דְּאַתְיָא לְעָלְמָא, דַהֲוָה מְקַצֵּץ בִּנְטִיעוֹת וְעָבִיד פִּרוּדָא בְּאִילָנָא דְחַיֵּי, בַּאֲתַר דְּאִתְגְּזַרַת נִשְׁמָתֵיהּ.</w:t>
      </w:r>
    </w:p>
    <w:p w:rsidR="006D2826" w:rsidRDefault="006D2826" w:rsidP="006D2826">
      <w:pPr>
        <w:pStyle w:val="NormalWeb"/>
        <w:rPr>
          <w:b w:val="0"/>
          <w:bCs w:val="0"/>
          <w:rtl/>
        </w:rPr>
      </w:pPr>
      <w:r>
        <w:rPr>
          <w:b w:val="0"/>
          <w:bCs w:val="0"/>
          <w:rtl/>
        </w:rPr>
        <w:t xml:space="preserve">וְשִׁרְטוּטִין דְּאִינוּן אֲרִיכִין כְּגַוְונָא דָא [ציור] </w:t>
      </w:r>
      <w:r>
        <w:rPr>
          <w:b w:val="0"/>
          <w:sz w:val="20"/>
          <w:szCs w:val="23"/>
          <w:rtl/>
        </w:rPr>
        <w:t>(נ''א [ציור])</w:t>
      </w:r>
      <w:r>
        <w:rPr>
          <w:b w:val="0"/>
          <w:bCs w:val="0"/>
          <w:rtl/>
        </w:rPr>
        <w:t xml:space="preserve"> דְּלֵית בְּהוֹן פָסֵק וּשְׁלֵמִין אִינוּן, הַאי בַּר נַשׁ לָא אַכְחִישׁ דִּיּוֹקְנֵיהּ, וְלָא עָבַד פִּרוּדָא בְּאִילָנָא דְחַיֵּי.</w:t>
      </w:r>
    </w:p>
    <w:p w:rsidR="006D2826" w:rsidRDefault="006D2826" w:rsidP="006D2826">
      <w:pPr>
        <w:pStyle w:val="NormalWeb"/>
        <w:rPr>
          <w:b w:val="0"/>
          <w:bCs w:val="0"/>
          <w:rtl/>
        </w:rPr>
      </w:pPr>
      <w:r>
        <w:rPr>
          <w:b w:val="0"/>
          <w:bCs w:val="0"/>
          <w:rtl/>
        </w:rPr>
        <w:t xml:space="preserve">וְאִם אִית בְּהוּ פָסֵק כְּגַוְונָא דָא </w:t>
      </w:r>
      <w:r>
        <w:rPr>
          <w:b w:val="0"/>
          <w:sz w:val="20"/>
          <w:szCs w:val="23"/>
          <w:rtl/>
        </w:rPr>
        <w:t>(נ''א)</w:t>
      </w:r>
      <w:r>
        <w:rPr>
          <w:b w:val="0"/>
          <w:bCs w:val="0"/>
          <w:rtl/>
        </w:rPr>
        <w:t xml:space="preserve"> הַאי בַּר נַשׁ אַכְחִישׁ דִּיּוֹקְנֵיהּ, וְעָבַד פְּגַם וּמוּם, וּבְהַהוּא פְגַם שַׁרְיָא מוּם, כְּפוּם מוּם דְּסִיהֲרָא, פָּרִיץ אִיהוּ, מֵצַח אִשָּׁה זוֹנָה </w:t>
      </w:r>
      <w:r>
        <w:rPr>
          <w:b w:val="0"/>
          <w:sz w:val="20"/>
          <w:szCs w:val="23"/>
          <w:rtl/>
        </w:rPr>
        <w:t>(ירמיה ג ג)</w:t>
      </w:r>
      <w:r>
        <w:rPr>
          <w:b w:val="0"/>
          <w:bCs w:val="0"/>
          <w:rtl/>
        </w:rPr>
        <w:t xml:space="preserve">, שַׁרְיָא בֵּיהּ פְּרִיצוּ בְּמִצְחוֹ, מֵהַהוּא אֲתַר אִיהוּ פְגִים, וְצָרִיךְ לְכַסָּאָה מִצְחוֹ דְלָא יִתְגְּלֵי עֶרְיָתֵיהּ לְמָארֵי דְּדִינָא, </w:t>
      </w:r>
      <w:r>
        <w:rPr>
          <w:rStyle w:val="a7"/>
          <w:b w:val="0"/>
          <w:bCs w:val="0"/>
          <w:rtl/>
        </w:rPr>
        <w:footnoteReference w:id="5310"/>
      </w:r>
      <w:r>
        <w:rPr>
          <w:b w:val="0"/>
          <w:bCs w:val="0"/>
          <w:rtl/>
        </w:rPr>
        <w:t xml:space="preserve">וְאִם חָזַר בִּתְיוּבְתָא, יְהֵא פְּגִימוּ דִילֵיהּ נָחִית לְתַתָּא, לָקֳבֵל בָּהּ עָנְשָׁא, וְאִם לַאו אִיהוּ חוֹזֵר בִּתְיוּבְתָּא, מִסְתַּלְקַת לְעִילָא לְתַבְעָא לֵיהּ דִּינָא בְעָלְמָא דְאָתֵי, בְהַהוּא אֲתַר דְּפַגִּים, עֲלֵיהּ אִתְּמַר </w:t>
      </w:r>
      <w:r>
        <w:rPr>
          <w:b w:val="0"/>
          <w:sz w:val="20"/>
          <w:szCs w:val="23"/>
          <w:rtl/>
        </w:rPr>
        <w:t>(שמות כא טז)</w:t>
      </w:r>
      <w:r>
        <w:rPr>
          <w:b w:val="0"/>
          <w:bCs w:val="0"/>
          <w:rtl/>
        </w:rPr>
        <w:t xml:space="preserve"> </w:t>
      </w:r>
      <w:r>
        <w:rPr>
          <w:rStyle w:val="a7"/>
          <w:b w:val="0"/>
          <w:bCs w:val="0"/>
          <w:rtl/>
        </w:rPr>
        <w:footnoteReference w:id="5311"/>
      </w:r>
      <w:r>
        <w:rPr>
          <w:b w:val="0"/>
          <w:bCs w:val="0"/>
          <w:rtl/>
        </w:rPr>
        <w:t xml:space="preserve">מֵעִם מִזְבְּחִי תִּקָּחֶנּוּ לָמוּת, וְלָא לְמַגָּנָא אָמְרוּ קַדְמָאִין, </w:t>
      </w:r>
      <w:r>
        <w:rPr>
          <w:rStyle w:val="a7"/>
          <w:b w:val="0"/>
          <w:bCs w:val="0"/>
          <w:rtl/>
        </w:rPr>
        <w:footnoteReference w:id="5312"/>
      </w:r>
      <w:r>
        <w:rPr>
          <w:b w:val="0"/>
          <w:bCs w:val="0"/>
          <w:rtl/>
        </w:rPr>
        <w:t>בְּמָקוֹם שֶׁאָמְרוּ לְהַאֲרִיךְ אֵינוֹ רַשַּׁאי לְקַצֵּר, לְקַצֵּר אֵינוֹ רַשַּׁאי לְהַאֲרִיךְ, דְּלָא יַכְחִישׁ דִּיּוֹקְנֵיהּ וְיַעֲבֵיד פְּרִיצוּ בְדִיּוֹקְנָא דִלְעִילָא.</w:t>
      </w:r>
    </w:p>
    <w:p w:rsidR="006D2826" w:rsidRDefault="006D2826" w:rsidP="006D2826">
      <w:pPr>
        <w:pStyle w:val="NormalWeb"/>
        <w:rPr>
          <w:b w:val="0"/>
          <w:bCs w:val="0"/>
          <w:rtl/>
        </w:rPr>
      </w:pPr>
      <w:r>
        <w:rPr>
          <w:b w:val="0"/>
          <w:bCs w:val="0"/>
          <w:rtl/>
        </w:rPr>
        <w:t xml:space="preserve">בְאוֹרַיְיתָא דִלְעִילָא </w:t>
      </w:r>
      <w:r>
        <w:rPr>
          <w:rStyle w:val="a7"/>
          <w:b w:val="0"/>
          <w:bCs w:val="0"/>
          <w:rtl/>
        </w:rPr>
        <w:footnoteReference w:id="5313"/>
      </w:r>
      <w:r>
        <w:rPr>
          <w:b w:val="0"/>
          <w:bCs w:val="0"/>
          <w:rtl/>
        </w:rPr>
        <w:t xml:space="preserve">מָאן דְּרָשִׁים וְצִיֵּיר אִלֵּין שִׁרְטוּטִין, אִיהוּ אָמוֹן מוּפְלָא וּמְכוּסֶה, מָאן דְּאִסְתַּכַּל בְּשִׁפּוּלֵי מַשְׁכְּנָא, אִשְׁתְּמוֹדָע בְּאִלֵּין רְשִׁימִין וְצִיּוּרִין, דְּאִתְּמַר בְּהוֹן </w:t>
      </w:r>
      <w:r>
        <w:rPr>
          <w:b w:val="0"/>
          <w:sz w:val="20"/>
          <w:szCs w:val="23"/>
          <w:rtl/>
        </w:rPr>
        <w:t>(תהלים קלט טו)</w:t>
      </w:r>
      <w:r>
        <w:rPr>
          <w:b w:val="0"/>
          <w:bCs w:val="0"/>
          <w:rtl/>
        </w:rPr>
        <w:t xml:space="preserve"> רֻקַּמְתִּי בְּתַחְתִּיּוֹת אָרֶץ, צִיּוּרָא דְאַרְבַּע שִׁרְטוּטִין אִלֵּין, אִינוּן אַרְיֵה שׁוֹר נֶשֶׁר אָדָם, בְּכֻלְּהוּ אַרְבַּע רְשִׁימִין, הֲדָא הוּא דִכְתִיב </w:t>
      </w:r>
      <w:r>
        <w:rPr>
          <w:b w:val="0"/>
          <w:sz w:val="20"/>
          <w:szCs w:val="23"/>
          <w:rtl/>
        </w:rPr>
        <w:t>(יחזקאל א י)</w:t>
      </w:r>
      <w:r>
        <w:rPr>
          <w:b w:val="0"/>
          <w:bCs w:val="0"/>
          <w:rtl/>
        </w:rPr>
        <w:t xml:space="preserve"> וּפְנֵי אַרְיֵה אֶל הַיָּמִין לְאַרְבַּעְתָּם, וְדָא מִיכָאֵ''ל שַׂר הַחֶסֶד לִימִינָא, וּפְנֵי שׁוֹר מֵהַשְּׂמֹאל לְאַרְבַּעְתָּן, דָּא גַבְרִיאֵ''ל שַׂר הַגְּבוּרָה, וּפְנֵי נֶשֶׁר לְאַרְבַּעְתָּן דָּא נוּרִיאֵ''ל </w:t>
      </w:r>
      <w:r>
        <w:rPr>
          <w:b w:val="0"/>
          <w:sz w:val="20"/>
          <w:szCs w:val="23"/>
          <w:rtl/>
        </w:rPr>
        <w:t>(נ''א אוריא''ל)</w:t>
      </w:r>
      <w:r>
        <w:rPr>
          <w:b w:val="0"/>
          <w:bCs w:val="0"/>
          <w:rtl/>
        </w:rPr>
        <w:t xml:space="preserve"> </w:t>
      </w:r>
      <w:r>
        <w:rPr>
          <w:rStyle w:val="a7"/>
          <w:b w:val="0"/>
          <w:bCs w:val="0"/>
          <w:rtl/>
        </w:rPr>
        <w:footnoteReference w:id="5314"/>
      </w:r>
      <w:r>
        <w:rPr>
          <w:b w:val="0"/>
          <w:bCs w:val="0"/>
          <w:rtl/>
        </w:rPr>
        <w:t xml:space="preserve">שַׂר עַמּוּדָא דְאֶמְצָעִיתָא, וּדְמוּת פְּנֵיהֶם פְּנֵי אָדָם, רְפָאֵ''ל שַׂר שְׁכִינְתָּא, </w:t>
      </w:r>
      <w:r>
        <w:rPr>
          <w:rStyle w:val="a7"/>
          <w:b w:val="0"/>
          <w:bCs w:val="0"/>
          <w:rtl/>
        </w:rPr>
        <w:footnoteReference w:id="5315"/>
      </w:r>
      <w:r>
        <w:rPr>
          <w:b w:val="0"/>
          <w:bCs w:val="0"/>
          <w:rtl/>
        </w:rPr>
        <w:t xml:space="preserve">דְתַמָּן פְּאֵר, דְּאִתְּמַר בָּהּ </w:t>
      </w:r>
      <w:r>
        <w:rPr>
          <w:b w:val="0"/>
          <w:sz w:val="20"/>
          <w:szCs w:val="23"/>
          <w:rtl/>
        </w:rPr>
        <w:t>(יחזקאל כד יז)</w:t>
      </w:r>
      <w:r>
        <w:rPr>
          <w:b w:val="0"/>
          <w:bCs w:val="0"/>
          <w:rtl/>
        </w:rPr>
        <w:t xml:space="preserve"> פְּאֵרְךָ חֲבוֹשׁ עָלֶיךָ.</w:t>
      </w:r>
    </w:p>
    <w:p w:rsidR="006D2826" w:rsidRDefault="006D2826" w:rsidP="006D2826">
      <w:pPr>
        <w:pStyle w:val="NormalWeb"/>
        <w:rPr>
          <w:b w:val="0"/>
          <w:bCs w:val="0"/>
          <w:rtl/>
        </w:rPr>
      </w:pPr>
      <w:r>
        <w:rPr>
          <w:rStyle w:val="a7"/>
          <w:b w:val="0"/>
          <w:bCs w:val="0"/>
          <w:rtl/>
        </w:rPr>
        <w:footnoteReference w:id="5316"/>
      </w:r>
      <w:r>
        <w:rPr>
          <w:b w:val="0"/>
          <w:bCs w:val="0"/>
          <w:rtl/>
        </w:rPr>
        <w:t xml:space="preserve">מָאן דְּלָא אִתְחַזְיָין שִׁרְטוּטִין בֵּיהּ, לֵית לֵיהּ דִּיּוֹקְנָא כְלָל לְעִילָא, זְכוּתֵיהּ נָחִית לְתַתָּא, עֲלֵיהּ אִתְּמַר </w:t>
      </w:r>
      <w:r>
        <w:rPr>
          <w:b w:val="0"/>
          <w:sz w:val="20"/>
          <w:szCs w:val="23"/>
          <w:rtl/>
        </w:rPr>
        <w:t>(תהלים סט כט)</w:t>
      </w:r>
      <w:r>
        <w:rPr>
          <w:b w:val="0"/>
          <w:bCs w:val="0"/>
          <w:rtl/>
        </w:rPr>
        <w:t xml:space="preserve"> יִמָּחוּ מִסֵּפֶר חַיִּים, אֶלָּא אִם תָּב בִּתְיוּבְתָּא, דְּדָא אִשְׁתַּכַּח דְּלֵית לֵיהּ בַּמֶּה דְיֵיתֵי בְגִלְגּוּלָא, מָאן דְּשִׁרְטוּטִין דִּילֵיהּ רְכִיבִין כְּגַוְונָא דָא [ציור] </w:t>
      </w:r>
      <w:r>
        <w:rPr>
          <w:b w:val="0"/>
          <w:sz w:val="20"/>
          <w:szCs w:val="23"/>
          <w:rtl/>
        </w:rPr>
        <w:t>(נ''א [ציור])</w:t>
      </w:r>
      <w:r>
        <w:rPr>
          <w:b w:val="0"/>
          <w:bCs w:val="0"/>
          <w:rtl/>
        </w:rPr>
        <w:t xml:space="preserve"> דָּא אַחֲזֵי דְקָא אַתְיָא בְגִלְגּוּלָא חֲדָא, וְאִם תְּרֵין שִׁרְטוּטִין מוּרְכָּבִין כְּגַוְונָא דָא [ציור] </w:t>
      </w:r>
      <w:r>
        <w:rPr>
          <w:b w:val="0"/>
          <w:sz w:val="20"/>
          <w:szCs w:val="23"/>
          <w:rtl/>
        </w:rPr>
        <w:t>(נ''א [ציור])</w:t>
      </w:r>
      <w:r>
        <w:rPr>
          <w:b w:val="0"/>
          <w:bCs w:val="0"/>
          <w:rtl/>
        </w:rPr>
        <w:t xml:space="preserve">, אַחֲזֵי תְּרֵין גִּלְגּוּלִין, וְאִם תְּלַת שִׁרְטוּטִין בְּמִצְחֵיהּ מוּרְכָּבִין, הָא אַשְׁלִים </w:t>
      </w:r>
      <w:r>
        <w:rPr>
          <w:b w:val="0"/>
          <w:sz w:val="20"/>
          <w:szCs w:val="23"/>
          <w:rtl/>
        </w:rPr>
        <w:t>(איוב לג כט)</w:t>
      </w:r>
      <w:r>
        <w:rPr>
          <w:b w:val="0"/>
          <w:bCs w:val="0"/>
          <w:rtl/>
        </w:rPr>
        <w:t xml:space="preserve"> הֶן כָּל אֵלֶּה יִפְעַל אֵ''ל פַּעֲמַיִם שָׁלֹשׁ עִם גָּבֶר, וְאִם לֵית לֵיהּ שִׁרְטוּטִין בְּמִצְחֵיהּ, וְעַל קְרִיצִין דְּעַיְינִין, דָּא אַחֲזֵי עַל אַרְבָּעָה לֹא אֲשִׁיבֶנּוּ </w:t>
      </w:r>
      <w:r>
        <w:rPr>
          <w:b w:val="0"/>
          <w:sz w:val="20"/>
          <w:szCs w:val="23"/>
          <w:rtl/>
        </w:rPr>
        <w:t>(עמוס ב א)</w:t>
      </w:r>
      <w:r>
        <w:rPr>
          <w:b w:val="0"/>
          <w:bCs w:val="0"/>
          <w:rtl/>
        </w:rPr>
        <w:t>, דְּדָא אִשְׁתַּכַּח דְּלֵית לֵיהּ בַּמֶּה דְיֵיתֵי בְּגִלְגּוּלָא.</w:t>
      </w:r>
    </w:p>
    <w:p w:rsidR="006D2826" w:rsidRDefault="006D2826" w:rsidP="006D2826">
      <w:pPr>
        <w:pStyle w:val="NormalWeb"/>
        <w:rPr>
          <w:b w:val="0"/>
          <w:bCs w:val="0"/>
          <w:rtl/>
        </w:rPr>
      </w:pPr>
      <w:r>
        <w:rPr>
          <w:rStyle w:val="a7"/>
          <w:b w:val="0"/>
          <w:bCs w:val="0"/>
          <w:rtl/>
        </w:rPr>
        <w:footnoteReference w:id="5317"/>
      </w:r>
      <w:r>
        <w:rPr>
          <w:b w:val="0"/>
          <w:bCs w:val="0"/>
          <w:rtl/>
        </w:rPr>
        <w:t xml:space="preserve">שִׁרְטוּטִין אִינוּן בְּאַתְוָון דְּאִינוּן יהו''ה, צִיּוּרִין בִּנְקוּדִין דְּאִינוּן יו''ד ה''י וא''ו ה''י, וְצִיּוּרִין אִינוּן בְּעַיְינִין בְּאוּדְנִין בְּאַנְפִּין בְּנוּקְבִין דְּחוֹטָמָא בְּפוּמָא, </w:t>
      </w:r>
      <w:r>
        <w:rPr>
          <w:rStyle w:val="a7"/>
          <w:b w:val="0"/>
          <w:bCs w:val="0"/>
          <w:rtl/>
        </w:rPr>
        <w:footnoteReference w:id="5318"/>
      </w:r>
      <w:r>
        <w:rPr>
          <w:b w:val="0"/>
          <w:bCs w:val="0"/>
          <w:rtl/>
        </w:rPr>
        <w:t>קָמֵ''ץ שִׁרְטוּט וְצִיּוּר, שִׁרְטוּט לְעִילָא וּנְקוּדָה לְתַתָּא, דָּא אַחֲזֵי עַל גִּלְגּוּלָא קַדְמָאָה, דְקָא נָחִית לְתַתָּא.</w:t>
      </w:r>
    </w:p>
    <w:p w:rsidR="006D2826" w:rsidRDefault="006D2826" w:rsidP="006D2826">
      <w:pPr>
        <w:pStyle w:val="NormalWeb"/>
        <w:rPr>
          <w:b w:val="0"/>
          <w:bCs w:val="0"/>
          <w:rtl/>
        </w:rPr>
      </w:pPr>
      <w:r>
        <w:rPr>
          <w:b w:val="0"/>
          <w:bCs w:val="0"/>
          <w:rtl/>
        </w:rPr>
        <w:t xml:space="preserve">נִיצוֹץ אִיהוּ חַיָּה תְּחוֹת רָקִיעַ, הֲדָא הוּא דִכְתִיב </w:t>
      </w:r>
      <w:r>
        <w:rPr>
          <w:b w:val="0"/>
          <w:sz w:val="20"/>
          <w:szCs w:val="23"/>
          <w:rtl/>
        </w:rPr>
        <w:t>(יחזקאל א כב)</w:t>
      </w:r>
      <w:r>
        <w:rPr>
          <w:b w:val="0"/>
          <w:bCs w:val="0"/>
          <w:rtl/>
        </w:rPr>
        <w:t xml:space="preserve"> וּדְמוּת עַל רָאשֵׁי הַחַיָּה רָקִיעַ, רָקִיעַ וַדַּאי עַל רֵישָׁא דְחַיָּה, אִיהוּ קָמֵ''ץ, נִיצוּץ חַיָּה, רָקִיעַ לְעִילָא מִינָהּ, נִיצוֹץ אִיהוּ י' סָלִיק בְּאָת ו' דְּאִיהוּ רָקִיעַ, שִׁית זִמְנִין עֶשֶׂר וְאִתְעֲבִידַת ס, וּבָהּ </w:t>
      </w:r>
      <w:r>
        <w:rPr>
          <w:b w:val="0"/>
          <w:sz w:val="20"/>
          <w:szCs w:val="23"/>
          <w:rtl/>
        </w:rPr>
        <w:t>(תהלים קמה יד)</w:t>
      </w:r>
      <w:r>
        <w:rPr>
          <w:b w:val="0"/>
          <w:bCs w:val="0"/>
          <w:rtl/>
        </w:rPr>
        <w:t xml:space="preserve"> סוֹמֵךְ יהו''ה לְכָל הַנּוֹפְלִים, וְחַיָּה אִיהוּ סָמַךְ </w:t>
      </w:r>
      <w:r>
        <w:rPr>
          <w:b w:val="0"/>
          <w:sz w:val="20"/>
          <w:szCs w:val="23"/>
          <w:rtl/>
        </w:rPr>
        <w:t>(נ''א איהי י' סמוך)</w:t>
      </w:r>
      <w:r>
        <w:rPr>
          <w:b w:val="0"/>
          <w:bCs w:val="0"/>
          <w:rtl/>
        </w:rPr>
        <w:t xml:space="preserve"> לָרָקִיעַ.</w:t>
      </w:r>
    </w:p>
    <w:p w:rsidR="006D2826" w:rsidRDefault="006D2826" w:rsidP="006D2826">
      <w:pPr>
        <w:pStyle w:val="aa"/>
        <w:spacing w:after="40"/>
        <w:rPr>
          <w:rtl/>
        </w:rPr>
      </w:pPr>
      <w:r>
        <w:rPr>
          <w:rtl/>
        </w:rPr>
        <w:t xml:space="preserve">[תיקוני זוהר - דף קכה ע''א] </w:t>
      </w:r>
    </w:p>
    <w:p w:rsidR="006D2826" w:rsidRDefault="006D2826" w:rsidP="006D2826">
      <w:pPr>
        <w:pStyle w:val="NormalWeb"/>
        <w:rPr>
          <w:b w:val="0"/>
          <w:bCs w:val="0"/>
          <w:rtl/>
        </w:rPr>
      </w:pPr>
      <w:r>
        <w:rPr>
          <w:b w:val="0"/>
          <w:sz w:val="20"/>
          <w:szCs w:val="23"/>
          <w:rtl/>
        </w:rPr>
        <w:t xml:space="preserve">(דף קכה ע''א) </w:t>
      </w:r>
      <w:r>
        <w:rPr>
          <w:b w:val="0"/>
          <w:bCs w:val="0"/>
          <w:rtl/>
        </w:rPr>
        <w:t xml:space="preserve">רָקִיעַ עִם נִיצוֹץ אִיהוּ גִלְגּוּל, </w:t>
      </w:r>
      <w:r>
        <w:rPr>
          <w:rStyle w:val="a7"/>
          <w:b w:val="0"/>
          <w:bCs w:val="0"/>
          <w:rtl/>
        </w:rPr>
        <w:footnoteReference w:id="5319"/>
      </w:r>
      <w:r>
        <w:rPr>
          <w:b w:val="0"/>
          <w:bCs w:val="0"/>
          <w:rtl/>
        </w:rPr>
        <w:t xml:space="preserve">נִיצוֹץ אִיהוּ גַלְגַּל, כְּמָה דְאוּקְמוּהוּ גַלְגַּל הוּא שֶׁחוֹזֵר בָּעוֹלָם, רָקִיעַ אִיהוּ ו' וְדָא פַתָח, וְלָא אִית לֵיהּ הַרְכָּבָה בְגִלְגּוּל, דְּלֵית לֵיהּ חַיָּה </w:t>
      </w:r>
      <w:r>
        <w:rPr>
          <w:rStyle w:val="a7"/>
          <w:b w:val="0"/>
          <w:bCs w:val="0"/>
          <w:rtl/>
        </w:rPr>
        <w:footnoteReference w:id="5320"/>
      </w:r>
      <w:r>
        <w:rPr>
          <w:b w:val="0"/>
          <w:bCs w:val="0"/>
          <w:rtl/>
        </w:rPr>
        <w:t xml:space="preserve">דְרָכִיב עֲלָהּ, </w:t>
      </w:r>
      <w:r>
        <w:rPr>
          <w:rStyle w:val="a7"/>
          <w:b w:val="0"/>
          <w:bCs w:val="0"/>
          <w:rtl/>
        </w:rPr>
        <w:footnoteReference w:id="5321"/>
      </w:r>
      <w:r>
        <w:rPr>
          <w:b w:val="0"/>
          <w:bCs w:val="0"/>
          <w:rtl/>
        </w:rPr>
        <w:t xml:space="preserve">וְדָא שַׁרְבִיט הַכֹּכָב, דְּאִתְּמַר בֵּיהּ </w:t>
      </w:r>
      <w:r>
        <w:rPr>
          <w:b w:val="0"/>
          <w:sz w:val="20"/>
          <w:szCs w:val="23"/>
          <w:rtl/>
        </w:rPr>
        <w:t>(במדבר כד יז)</w:t>
      </w:r>
      <w:r>
        <w:rPr>
          <w:b w:val="0"/>
          <w:bCs w:val="0"/>
          <w:rtl/>
        </w:rPr>
        <w:t xml:space="preserve"> דָּרַךְ כֹּכָב מִיַּעֲקֹב וְקַם שֵׁבֶט מישראל, וְכַד עָבַר בֵּין שְׁתֵּי חַיּוֹת דְּאִינוּן צֵרִ''י, </w:t>
      </w:r>
      <w:r>
        <w:rPr>
          <w:rStyle w:val="a7"/>
          <w:b w:val="0"/>
          <w:bCs w:val="0"/>
          <w:rtl/>
        </w:rPr>
        <w:footnoteReference w:id="5322"/>
      </w:r>
      <w:r>
        <w:rPr>
          <w:b w:val="0"/>
          <w:bCs w:val="0"/>
          <w:rtl/>
        </w:rPr>
        <w:t xml:space="preserve">אִתְעֲבִיד וַיִּיצֶר, וּבְהוֹן קָא אַתְיָא בִּתְרֵין גִּלְגּוּלִין, וְדָא אָדָם דִּיְצִירָה, דְּקָמֵ''ץ אִיהוּ אָדָם דִּבְּרִיאָה, וְכַד אָתָא בִתְלַת גִּלְגּוּלִין דְּאִינוּן סֶגוֹ''ל, אִתְעֲבִיד שַׁלְשֶׁלֶ''ת </w:t>
      </w:r>
      <w:r>
        <w:rPr>
          <w:rStyle w:val="a7"/>
          <w:b w:val="0"/>
          <w:bCs w:val="0"/>
          <w:rtl/>
        </w:rPr>
        <w:footnoteReference w:id="5323"/>
      </w:r>
      <w:r>
        <w:rPr>
          <w:b w:val="0"/>
          <w:bCs w:val="0"/>
          <w:rtl/>
        </w:rPr>
        <w:t>מְשׁוּלָשׁ בְּהוֹן, וְדָא אָדָם דַּעֲשִׂיָּה.</w:t>
      </w:r>
    </w:p>
    <w:p w:rsidR="006D2826" w:rsidRDefault="006D2826" w:rsidP="006D2826">
      <w:pPr>
        <w:pStyle w:val="NormalWeb"/>
        <w:rPr>
          <w:b w:val="0"/>
          <w:bCs w:val="0"/>
          <w:rtl/>
        </w:rPr>
      </w:pPr>
      <w:r>
        <w:rPr>
          <w:rStyle w:val="a7"/>
          <w:b w:val="0"/>
          <w:bCs w:val="0"/>
          <w:rtl/>
        </w:rPr>
        <w:footnoteReference w:id="5324"/>
      </w:r>
      <w:r>
        <w:rPr>
          <w:b w:val="0"/>
          <w:bCs w:val="0"/>
          <w:rtl/>
        </w:rPr>
        <w:t xml:space="preserve">וְהָכִי אִיהוּ שַׁרְבִיט דְּכֹכָב, כַּד אִיהוּ עוֹבֵר בֵּין שְׁתֵּי אוֹפַנִּים דְּאִינוּן שְׁבָ''א, אִתְעֲבִיד שׁוּרֻ''ק, דַּרְגָּ''א, וְאִינוּן שַׁלְשֶׁלֶ''ת לְעִילָא, בְסֶגוֹ''ל, בְּסֶגוֹלְתָּ''א, דַּרְגָּ''א לְתַתָּא בְשׁוּרֻ''ק, </w:t>
      </w:r>
      <w:r>
        <w:rPr>
          <w:rStyle w:val="a7"/>
          <w:b w:val="0"/>
          <w:bCs w:val="0"/>
          <w:rtl/>
        </w:rPr>
        <w:footnoteReference w:id="5325"/>
      </w:r>
      <w:r>
        <w:rPr>
          <w:b w:val="0"/>
          <w:bCs w:val="0"/>
          <w:rtl/>
        </w:rPr>
        <w:t xml:space="preserve">שְׁבָ''א צֵרִ''י, חֹלֵ''ם כַּד אִסְתַּלִּיק בְּצֵרִ''י אִתְעֲבִיד סֶגוֹלְתָּ''א, חִרֵ''ק דְּנָחֲתָא בְצֵרִ''י אִתְעֲבִיד סֶגוֹ''ל, וְכַד עָאל בִּשְׁבָ''א שׁוּרֻ''ק אִתְעֲבִיד שֻׁרֵ''ק, וְכֹלָּא נְקֻדָּה חֲדָא, חֹלֵ''ם אִיהוּ לְעִילָא בְּסֶגוֹלְתָּ''א, חִרֵ''ק אִיהוּ לְתַתָּא בְּסֶגוֹ''ל, שׁוּרֻק אִיהוּ בְּאֶמְצָעִיתָא כְּגַוְונָא דָא וּ, הֶן כָּל אֵלֶּה יִפְעַל אֵ''ל פַּעֲמַיִם שָׁלֹשׁ עִם גָּבֶר </w:t>
      </w:r>
      <w:r>
        <w:rPr>
          <w:b w:val="0"/>
          <w:sz w:val="20"/>
          <w:szCs w:val="23"/>
          <w:rtl/>
        </w:rPr>
        <w:t>(איוב לב כט)</w:t>
      </w:r>
      <w:r>
        <w:rPr>
          <w:b w:val="0"/>
          <w:bCs w:val="0"/>
          <w:rtl/>
        </w:rPr>
        <w:t>.</w:t>
      </w:r>
    </w:p>
    <w:p w:rsidR="006D2826" w:rsidRDefault="006D2826" w:rsidP="006D2826">
      <w:pPr>
        <w:pStyle w:val="NormalWeb"/>
        <w:rPr>
          <w:b w:val="0"/>
          <w:bCs w:val="0"/>
          <w:rtl/>
        </w:rPr>
      </w:pPr>
      <w:r>
        <w:rPr>
          <w:rStyle w:val="a7"/>
          <w:b w:val="0"/>
          <w:bCs w:val="0"/>
          <w:rtl/>
        </w:rPr>
        <w:footnoteReference w:id="5326"/>
      </w:r>
      <w:r>
        <w:rPr>
          <w:b w:val="0"/>
          <w:bCs w:val="0"/>
          <w:rtl/>
        </w:rPr>
        <w:t xml:space="preserve">י"ה אַחֲזֵי גִלְגּוּלָא קַדְמָאָה, יה"ו אַחֲזֵי גִלְגּוּלָא תִנְיָנָא, יהו"ה אַחֲזֵי גִלְגּוּלָא תְלִיתָאָה, הַרְכָּבָה דְכֻלְּהוּ תְּלַת אדנ''י, וְרָזָא דָא י' י' י', חֹלֵ''ם חִרֵ''ק שׁוּרֻ''ק, תְּלַת יוּדִי''ן, אָמוֹן מוּפְלָא אָמוֹן נִסְתָּר אָמוֹן מְכוּסֶה, דְּאִתְרְמִיזוּ בְּהַאי שְׁמָא יו''ד ה''י וא''ו ה''י, אָמוֹן מוּפְלָא דְאִשְׁתְּמוֹדָע בְּכֻלְּהוּ, חַד שַׁרְיָא בְּנֶפֶשׁ הַזִּכָּרוֹן, וְתִנְיָנָא בְּנֶפֶשׁ הַמַּחֲשָׁבָה, וּתְלִיתָאָה בְּנֶפֶשׁ הַמְּצוּיָיר, דְּאִינוּן תְּלַת מוֹחִין י' י' י', </w:t>
      </w:r>
      <w:r>
        <w:rPr>
          <w:rStyle w:val="a7"/>
          <w:b w:val="0"/>
          <w:bCs w:val="0"/>
          <w:rtl/>
        </w:rPr>
        <w:footnoteReference w:id="5327"/>
      </w:r>
      <w:r>
        <w:rPr>
          <w:b w:val="0"/>
          <w:bCs w:val="0"/>
          <w:rtl/>
        </w:rPr>
        <w:t xml:space="preserve">רִיהֲטָא </w:t>
      </w:r>
      <w:r>
        <w:rPr>
          <w:b w:val="0"/>
          <w:sz w:val="20"/>
          <w:szCs w:val="23"/>
          <w:rtl/>
        </w:rPr>
        <w:t>(דף קכו ע''ב)</w:t>
      </w:r>
      <w:r>
        <w:rPr>
          <w:b w:val="0"/>
          <w:bCs w:val="0"/>
          <w:rtl/>
        </w:rPr>
        <w:t xml:space="preserve"> דְסָחִיר לוֹן כְּגַוְונָא דָא אִיהִי קַרְקַפְתָּא דִתְּפִלִּין, שִׁרְטוּטִין כְּגַוְונָא דָא יַהָוָ''הַ, יהו''ה בְּהוֹן מֶלֶךְ הָא הָכָא שִׁרְטוּטִין דְּמִצְחָא. </w:t>
      </w:r>
    </w:p>
    <w:p w:rsidR="006D2826" w:rsidRDefault="006D2826" w:rsidP="006D2826">
      <w:pPr>
        <w:pStyle w:val="NormalWeb"/>
        <w:rPr>
          <w:b w:val="0"/>
          <w:bCs w:val="0"/>
          <w:rtl/>
        </w:rPr>
      </w:pPr>
      <w:r>
        <w:rPr>
          <w:rStyle w:val="a7"/>
          <w:b w:val="0"/>
          <w:bCs w:val="0"/>
          <w:rtl/>
        </w:rPr>
        <w:footnoteReference w:id="5328"/>
      </w:r>
      <w:r>
        <w:rPr>
          <w:b w:val="0"/>
          <w:bCs w:val="0"/>
          <w:rtl/>
        </w:rPr>
        <w:t xml:space="preserve">עַיְינִין, בְּהוֹן וְאַתָּה תֶחזֶה מִכָּל הָעָם, אַנְשֵׁי חַיִל בְּגַוָּון חִוָּור יִרְאֵי אלהי''ם בְּגַוָּון סוּמַק, אַנְשֵׁי אֱמֶת בְּגַוָּון יָרוֹק, שׂוֹנְאֵי בָצַע בְּבַת עַיִן דְּאִיהִי אוּכְמָא, וְדָא רָזָא דְשַׁבָּת, ש תְּלַת עַנְפֵי תְּלַת גַּוָּונִין דְּעִינָא, בַּ''ת דְּשַׁבָּת דָּא בַת עַיִן, וַעֲלַיְיהוּ אִתְּמַר </w:t>
      </w:r>
      <w:r>
        <w:rPr>
          <w:b w:val="0"/>
          <w:sz w:val="20"/>
          <w:szCs w:val="23"/>
          <w:rtl/>
        </w:rPr>
        <w:t>(שמות לא טז)</w:t>
      </w:r>
      <w:r>
        <w:rPr>
          <w:b w:val="0"/>
          <w:bCs w:val="0"/>
          <w:rtl/>
        </w:rPr>
        <w:t xml:space="preserve"> וְשָׁמְרוּ בְנֵי יִשְׂרָאֵל אֶת הַשַּׁבָּת וְגוֹמֵר, וְהָא אוּקְמוּהוּ דְאִינוּן תְּרֵין שַׁבָּתוֹת, אִימָּא עִלָּאָה בִּתְלַת דַּרְגִּין, וְאִימָּא תַּתָּאָה בִּתְלַת דַּרְגִּין, עַמּוּדָא דְאֶמְצָעִיתָא כְּלִיל שִׁית סִטְרִין דְּאִינוּן שִׁית דַּרְגִּין, עַיְינִין דְּמִסְתַּכְּלִין בְּאֹרַח מֵישַׁר בְּחִוְורוּ, אִלֵּין אִינוּן </w:t>
      </w:r>
      <w:r>
        <w:rPr>
          <w:rStyle w:val="a7"/>
          <w:b w:val="0"/>
          <w:bCs w:val="0"/>
          <w:rtl/>
        </w:rPr>
        <w:footnoteReference w:id="5329"/>
      </w:r>
      <w:r>
        <w:rPr>
          <w:b w:val="0"/>
          <w:bCs w:val="0"/>
          <w:rtl/>
        </w:rPr>
        <w:t xml:space="preserve">עַיְינִין דִּרְחִימוּ, וּבְהוֹן שְׁכִינְתָּא אִיהִי </w:t>
      </w:r>
      <w:r>
        <w:rPr>
          <w:rStyle w:val="a7"/>
          <w:b w:val="0"/>
          <w:bCs w:val="0"/>
          <w:rtl/>
        </w:rPr>
        <w:footnoteReference w:id="5330"/>
      </w:r>
      <w:r>
        <w:rPr>
          <w:b w:val="0"/>
          <w:bCs w:val="0"/>
          <w:rtl/>
        </w:rPr>
        <w:t xml:space="preserve">יָפָה כַּלְּבָנָה </w:t>
      </w:r>
      <w:r>
        <w:rPr>
          <w:rStyle w:val="a7"/>
          <w:b w:val="0"/>
          <w:bCs w:val="0"/>
          <w:rtl/>
        </w:rPr>
        <w:footnoteReference w:id="5331"/>
      </w:r>
      <w:r>
        <w:rPr>
          <w:b w:val="0"/>
          <w:bCs w:val="0"/>
          <w:rtl/>
        </w:rPr>
        <w:t xml:space="preserve">דְּלֵית בָּהּ פְּגִימוּ, </w:t>
      </w:r>
      <w:r>
        <w:rPr>
          <w:rStyle w:val="a7"/>
          <w:b w:val="0"/>
          <w:bCs w:val="0"/>
          <w:rtl/>
        </w:rPr>
        <w:footnoteReference w:id="5332"/>
      </w:r>
      <w:r>
        <w:rPr>
          <w:b w:val="0"/>
          <w:bCs w:val="0"/>
          <w:rtl/>
        </w:rPr>
        <w:t xml:space="preserve">דְאִתְּמַר בָּהּ </w:t>
      </w:r>
      <w:r>
        <w:rPr>
          <w:b w:val="0"/>
          <w:sz w:val="20"/>
          <w:szCs w:val="23"/>
          <w:rtl/>
        </w:rPr>
        <w:t>(שיר א טו)</w:t>
      </w:r>
      <w:r>
        <w:rPr>
          <w:b w:val="0"/>
          <w:bCs w:val="0"/>
          <w:rtl/>
        </w:rPr>
        <w:t xml:space="preserve"> הִנָּךְ יָפָה רַעְיָתִי הִנָּךְ יָפָה עִינַיִךְ יוֹנִים.</w:t>
      </w:r>
    </w:p>
    <w:p w:rsidR="006D2826" w:rsidRDefault="006D2826" w:rsidP="006D2826">
      <w:pPr>
        <w:pStyle w:val="NormalWeb"/>
        <w:rPr>
          <w:b w:val="0"/>
          <w:bCs w:val="0"/>
          <w:rtl/>
        </w:rPr>
      </w:pPr>
      <w:r>
        <w:rPr>
          <w:rStyle w:val="a7"/>
          <w:b w:val="0"/>
          <w:bCs w:val="0"/>
          <w:rtl/>
        </w:rPr>
        <w:footnoteReference w:id="5333"/>
      </w:r>
      <w:r>
        <w:rPr>
          <w:b w:val="0"/>
          <w:bCs w:val="0"/>
          <w:rtl/>
        </w:rPr>
        <w:t xml:space="preserve">וְאִית עַיְינִין דְּהַהוּא חִוְיָא אִיהוּ כָּרוּךְ בְּהוֹן, נָחָשׁ הַקַּדְמוֹנִי, וְלַאו מִסְתַּכְּלִין בְּאֹרַח מֵישַׁר, בְּכָל מַה דְּאִסְתַּכַּל אִתְלַטְיָא. </w:t>
      </w:r>
      <w:r>
        <w:rPr>
          <w:rStyle w:val="a7"/>
          <w:b w:val="0"/>
          <w:bCs w:val="0"/>
          <w:rtl/>
        </w:rPr>
        <w:footnoteReference w:id="5334"/>
      </w:r>
      <w:r>
        <w:rPr>
          <w:b w:val="0"/>
          <w:bCs w:val="0"/>
          <w:rtl/>
        </w:rPr>
        <w:t>עִינָא אִיהוּ כְּגַלְגַּל, גַּוָּון חִוָּור כְּגַוְונָא דְיַמָּא דְאַסְחַר כָּל עָלְמָא, וְתִנְיָינָא כְּגַוְונָא דְאַרְעָא, תְּלִיתָאָה כְּגַוְונָא דְאַרְעָא דְיִשְׂרָאֵל, נְקוּדָה זְעִירָא דְבַת עַיִן אִיהִי כְּגַוְונָא דְצִיּוֹן, דְּאִיהִי נְקוּדָה דְעָלְמָא דְמִתַּמָּן הוּשָׁתַת עָלְמָא.</w:t>
      </w:r>
    </w:p>
    <w:p w:rsidR="006D2826" w:rsidRDefault="006D2826" w:rsidP="006D2826">
      <w:pPr>
        <w:pStyle w:val="aa"/>
        <w:spacing w:after="40"/>
        <w:rPr>
          <w:rtl/>
        </w:rPr>
      </w:pPr>
      <w:r>
        <w:rPr>
          <w:rtl/>
        </w:rPr>
        <w:t xml:space="preserve">[תיקוני זוהר - דף קכה ע''ב] </w:t>
      </w:r>
    </w:p>
    <w:p w:rsidR="006D2826" w:rsidRDefault="006D2826" w:rsidP="006D2826">
      <w:pPr>
        <w:pStyle w:val="NormalWeb"/>
        <w:rPr>
          <w:b w:val="0"/>
          <w:bCs w:val="0"/>
          <w:rtl/>
        </w:rPr>
      </w:pPr>
      <w:r>
        <w:rPr>
          <w:rStyle w:val="a7"/>
          <w:b w:val="0"/>
          <w:bCs w:val="0"/>
          <w:rtl/>
        </w:rPr>
        <w:footnoteReference w:id="5335"/>
      </w:r>
      <w:r>
        <w:rPr>
          <w:b w:val="0"/>
          <w:bCs w:val="0"/>
          <w:rtl/>
        </w:rPr>
        <w:t xml:space="preserve">וְאִית בַּר נַשׁ דְּגַוָּון דִּילֵיהּ תְּכֵלֶת דְּאִיהוּ דוֹמֶה לְרָקִיעַ, כְּמָה דְאוּקְמוּהָ מָארֵי מַתְנִיתִין תְּכֵלֶת דּוֹמֶה לְיָם, וְיָם דּוֹמֶה לְרָקִיעַ, וְרָקִיעַ דּוֹמֶה לַכִּסֵּא הַכָּבוֹד. וּתְלַת גַּוָּונִין אִינוּן בְּעִינָא חִוָּור סוּמַק תְּכֵלֶת, </w:t>
      </w:r>
      <w:r>
        <w:rPr>
          <w:rStyle w:val="a7"/>
          <w:b w:val="0"/>
          <w:bCs w:val="0"/>
          <w:rtl/>
        </w:rPr>
        <w:footnoteReference w:id="5336"/>
      </w:r>
      <w:r>
        <w:rPr>
          <w:b w:val="0"/>
          <w:bCs w:val="0"/>
          <w:rtl/>
        </w:rPr>
        <w:t xml:space="preserve">חִוָּור לָקֳבֵל אֵשׁ דְּלַאו אִיהוּ שׂוֹרֵף, סוּמַק לָקֳבֵל אֵשׁ דְּאִיהוּ שׂוֹרֵף וְלָא אָכִיל, תְּלִיתָאָה דְאִיהוּ תְכֵלֶת לָקֳבֵל אֵשׁ דְּאִיהוּ שׂוֹרֵף וְאָכִיל, רְבִיעָאָה לַבַּת אֵשׁ וְדָא שְׁכִינְתָּא בַת עַיִן, וַעֲלָהּ אִתְּמַר </w:t>
      </w:r>
      <w:r>
        <w:rPr>
          <w:b w:val="0"/>
          <w:sz w:val="20"/>
          <w:szCs w:val="23"/>
          <w:rtl/>
        </w:rPr>
        <w:t>(שמות ג ב)</w:t>
      </w:r>
      <w:r>
        <w:rPr>
          <w:b w:val="0"/>
          <w:bCs w:val="0"/>
          <w:rtl/>
        </w:rPr>
        <w:t xml:space="preserve"> וַיֵּרָא מַלְאַךְ יהו''ה אֵלָיו </w:t>
      </w:r>
      <w:r>
        <w:rPr>
          <w:rStyle w:val="a7"/>
          <w:b w:val="0"/>
          <w:bCs w:val="0"/>
          <w:rtl/>
        </w:rPr>
        <w:footnoteReference w:id="5337"/>
      </w:r>
      <w:r>
        <w:rPr>
          <w:b w:val="0"/>
          <w:bCs w:val="0"/>
          <w:rtl/>
        </w:rPr>
        <w:t xml:space="preserve">בְּלַבַּת אֵשׁ מִתּוֹךְ הַסְּנֶה דָּא בַת עַיִן, וַיַּרְא וְהִנֵּה הַסְּנֶה בּוֹעִר בָּאֵשׁ </w:t>
      </w:r>
      <w:r>
        <w:rPr>
          <w:rStyle w:val="a7"/>
          <w:b w:val="0"/>
          <w:bCs w:val="0"/>
          <w:rtl/>
        </w:rPr>
        <w:footnoteReference w:id="5338"/>
      </w:r>
      <w:r>
        <w:rPr>
          <w:b w:val="0"/>
          <w:bCs w:val="0"/>
          <w:rtl/>
        </w:rPr>
        <w:t xml:space="preserve">דָּא גַוָּון דְּעַל בַּת עַיִן דְּאִיהוּ גַוָּון תִּנְיָינָא, וְהַסְּנֶה אֵינֶנּוּ אֻכָּל גַּוָּון תְּלִיתָאָה, </w:t>
      </w:r>
      <w:r>
        <w:rPr>
          <w:rStyle w:val="a7"/>
          <w:b w:val="0"/>
          <w:bCs w:val="0"/>
          <w:rtl/>
        </w:rPr>
        <w:footnoteReference w:id="5339"/>
      </w:r>
      <w:r>
        <w:rPr>
          <w:b w:val="0"/>
          <w:bCs w:val="0"/>
          <w:rtl/>
        </w:rPr>
        <w:t xml:space="preserve">וַיֹּאמֶר מֹשֶׁה אָסֻרָה נָּא וְאֶרְאֶה וְגוֹמֵר </w:t>
      </w:r>
      <w:r>
        <w:rPr>
          <w:b w:val="0"/>
          <w:sz w:val="20"/>
          <w:szCs w:val="23"/>
          <w:rtl/>
        </w:rPr>
        <w:t>(שם ג),</w:t>
      </w:r>
      <w:r>
        <w:rPr>
          <w:b w:val="0"/>
          <w:bCs w:val="0"/>
          <w:rtl/>
        </w:rPr>
        <w:t xml:space="preserve"> </w:t>
      </w:r>
      <w:r>
        <w:rPr>
          <w:rStyle w:val="a7"/>
          <w:b w:val="0"/>
          <w:bCs w:val="0"/>
          <w:rtl/>
        </w:rPr>
        <w:footnoteReference w:id="5340"/>
      </w:r>
      <w:r>
        <w:rPr>
          <w:b w:val="0"/>
          <w:bCs w:val="0"/>
          <w:rtl/>
        </w:rPr>
        <w:t xml:space="preserve">גַּוָּון חִוָּור גַּוָּון עִלָּאָה דִּשְׁרַגָּא, </w:t>
      </w:r>
      <w:r>
        <w:rPr>
          <w:rStyle w:val="a7"/>
          <w:b w:val="0"/>
          <w:bCs w:val="0"/>
          <w:rtl/>
        </w:rPr>
        <w:footnoteReference w:id="5341"/>
      </w:r>
      <w:r>
        <w:rPr>
          <w:b w:val="0"/>
          <w:bCs w:val="0"/>
          <w:rtl/>
        </w:rPr>
        <w:t xml:space="preserve">וּבִתְלַת גַּוָּונִין אִלֵּין אִתְאָחֳדַת </w:t>
      </w:r>
      <w:r>
        <w:rPr>
          <w:b w:val="0"/>
          <w:sz w:val="20"/>
          <w:szCs w:val="23"/>
          <w:rtl/>
        </w:rPr>
        <w:t>(נ''א אתחברת)</w:t>
      </w:r>
      <w:r>
        <w:rPr>
          <w:b w:val="0"/>
          <w:bCs w:val="0"/>
          <w:rtl/>
        </w:rPr>
        <w:t xml:space="preserve"> בַּת עַיִן דְּאִיהִי שְׁכִינְתָּא, וּבְהוֹן סָלְקָא בִתְלַת צְלוֹתִין קֳדָם יהו''ה, הֲדָא הוּא דִכְתִיב </w:t>
      </w:r>
      <w:r>
        <w:rPr>
          <w:b w:val="0"/>
          <w:sz w:val="20"/>
          <w:szCs w:val="23"/>
          <w:rtl/>
        </w:rPr>
        <w:t>(ויקרא ו ב)</w:t>
      </w:r>
      <w:r>
        <w:rPr>
          <w:b w:val="0"/>
          <w:bCs w:val="0"/>
          <w:rtl/>
        </w:rPr>
        <w:t xml:space="preserve"> זֹאת תּוֹרַת הָעוֹלָה וְגוֹמֵר, זֹאת תּוֹרַת דָּא בַת עַיִן שְׁכִינְתָּא דְסָלְקָא </w:t>
      </w:r>
      <w:r>
        <w:rPr>
          <w:b w:val="0"/>
          <w:sz w:val="20"/>
          <w:szCs w:val="23"/>
          <w:rtl/>
        </w:rPr>
        <w:t xml:space="preserve">(דף קכה ע''ב) </w:t>
      </w:r>
      <w:r>
        <w:rPr>
          <w:b w:val="0"/>
          <w:bCs w:val="0"/>
          <w:rtl/>
        </w:rPr>
        <w:t xml:space="preserve">בִתְלַת אֲבָהָן דְּתַקִּינוּ תְּלַת צְלוֹתִין, </w:t>
      </w:r>
      <w:r>
        <w:rPr>
          <w:rStyle w:val="a7"/>
          <w:b w:val="0"/>
          <w:bCs w:val="0"/>
          <w:rtl/>
        </w:rPr>
        <w:footnoteReference w:id="5342"/>
      </w:r>
      <w:r>
        <w:rPr>
          <w:b w:val="0"/>
          <w:bCs w:val="0"/>
          <w:rtl/>
        </w:rPr>
        <w:t xml:space="preserve">וּבְגִין דָּא זֹאת תּוֹרַת הָעוֹלָה וְגוֹמֵר, זֹאת תּוֹרַת הָעוֹלָה בִּימִינָא דְאִיהוּ אֵשׁ דְּלָא שׂוֹרֵף, </w:t>
      </w:r>
      <w:r>
        <w:rPr>
          <w:rStyle w:val="a7"/>
          <w:b w:val="0"/>
          <w:bCs w:val="0"/>
          <w:rtl/>
        </w:rPr>
        <w:footnoteReference w:id="5343"/>
      </w:r>
      <w:r>
        <w:rPr>
          <w:b w:val="0"/>
          <w:bCs w:val="0"/>
          <w:rtl/>
        </w:rPr>
        <w:t xml:space="preserve">דְּתַמָּן חָכְמָה </w:t>
      </w:r>
      <w:r>
        <w:rPr>
          <w:rStyle w:val="a7"/>
          <w:b w:val="0"/>
          <w:bCs w:val="0"/>
          <w:rtl/>
        </w:rPr>
        <w:footnoteReference w:id="5344"/>
      </w:r>
      <w:r>
        <w:rPr>
          <w:b w:val="0"/>
          <w:bCs w:val="0"/>
          <w:rtl/>
        </w:rPr>
        <w:t xml:space="preserve">דְאִיהוּ מַבּוּעָא דְמַיָּא, דְאִתְּמַר בֵּיהּ הָרוֹצֶה לְהַחְכִּים יַדְרִים, דְּתָשַׁשׁ חֵילָא דְאֶשָּׁא, דְּאִיהוּ גַוָּון חִוָּור דִּשְׁרַגָּא דְלָא יְהֵא שׂוֹרֵף, וּנְקוּדָה דִילָהּ קָמֵ''ץ, דְּאִתְּמַר בֵּיהּ </w:t>
      </w:r>
      <w:r>
        <w:rPr>
          <w:rStyle w:val="a7"/>
          <w:b w:val="0"/>
          <w:bCs w:val="0"/>
          <w:rtl/>
        </w:rPr>
        <w:footnoteReference w:id="5345"/>
      </w:r>
      <w:r>
        <w:rPr>
          <w:b w:val="0"/>
          <w:bCs w:val="0"/>
          <w:rtl/>
        </w:rPr>
        <w:t xml:space="preserve">וְקָמַץ הַכֹּהֵן </w:t>
      </w:r>
      <w:r>
        <w:rPr>
          <w:b w:val="0"/>
          <w:sz w:val="20"/>
          <w:szCs w:val="23"/>
          <w:rtl/>
        </w:rPr>
        <w:t>(ויקרא ה יב)</w:t>
      </w:r>
      <w:r>
        <w:rPr>
          <w:b w:val="0"/>
          <w:bCs w:val="0"/>
          <w:rtl/>
        </w:rPr>
        <w:t xml:space="preserve">, וְכַהֲנָא אִיהוּ לִימִינָא, </w:t>
      </w:r>
      <w:r>
        <w:rPr>
          <w:rStyle w:val="a7"/>
          <w:b w:val="0"/>
          <w:bCs w:val="0"/>
          <w:rtl/>
        </w:rPr>
        <w:footnoteReference w:id="5346"/>
      </w:r>
      <w:r>
        <w:rPr>
          <w:b w:val="0"/>
          <w:bCs w:val="0"/>
          <w:rtl/>
        </w:rPr>
        <w:t>קָמֵ''ץ נְקוּדָה דְאָת י' מִסִּטְרָא דִימִינָא לָא אִתְחַיַּיב נְקוּדָה אָחֳרָא.</w:t>
      </w:r>
    </w:p>
    <w:p w:rsidR="006D2826" w:rsidRDefault="006D2826" w:rsidP="006D2826">
      <w:pPr>
        <w:pStyle w:val="NormalWeb"/>
        <w:rPr>
          <w:b w:val="0"/>
          <w:bCs w:val="0"/>
          <w:rtl/>
        </w:rPr>
      </w:pPr>
      <w:r>
        <w:rPr>
          <w:rStyle w:val="a7"/>
          <w:b w:val="0"/>
          <w:bCs w:val="0"/>
          <w:rtl/>
        </w:rPr>
        <w:footnoteReference w:id="5347"/>
      </w:r>
      <w:r>
        <w:rPr>
          <w:b w:val="0"/>
          <w:bCs w:val="0"/>
          <w:rtl/>
        </w:rPr>
        <w:t xml:space="preserve">הִיא הָעוֹלָה גַּוָּון תִּנְיָנָא דְאִתְאֲחִיד בִּצְלוֹתָא דְמִנְחָה, בֵּיהּ סָלְקָא בְרַתָּא לְגַבֵּי שְׂמָאלָא דְתַמָּן ה' עִלָּאָה, וּבָהּ הָרוֹצֶה לְהַעֲשִׁיר יַצְפִּין, וּבְגִין דְּאִתְּתָא מִתַּמָּן, אָמְרוּ מָארֵי מַתְנִיתִין אוֹקִירוּ נְשַׁיְיכוּ כִּי הֵיכִי דְתִתְעַתְרוּן, בְּגִין דְּמִצָּפוֹן אִינוּן, </w:t>
      </w:r>
      <w:r>
        <w:rPr>
          <w:b w:val="0"/>
          <w:sz w:val="20"/>
          <w:szCs w:val="23"/>
          <w:rtl/>
        </w:rPr>
        <w:t>(איוב לז כב)</w:t>
      </w:r>
      <w:r>
        <w:rPr>
          <w:b w:val="0"/>
          <w:bCs w:val="0"/>
          <w:rtl/>
        </w:rPr>
        <w:t xml:space="preserve"> וּמִצָּפוֹן זָהָב יֶאֱתֶה, </w:t>
      </w:r>
      <w:r>
        <w:rPr>
          <w:rStyle w:val="a7"/>
          <w:b w:val="0"/>
          <w:bCs w:val="0"/>
          <w:rtl/>
        </w:rPr>
        <w:footnoteReference w:id="5348"/>
      </w:r>
      <w:r>
        <w:rPr>
          <w:b w:val="0"/>
          <w:bCs w:val="0"/>
          <w:rtl/>
        </w:rPr>
        <w:t xml:space="preserve">וּנְקוּדָה דְאִיהוּ מְחַיְּיבָא לְאָת ה' מִסִּטְרָא דִשְׂמָאלָא שְׁבָ''א, וַעֲלֵיהּ אִתְּמַר </w:t>
      </w:r>
      <w:r>
        <w:rPr>
          <w:b w:val="0"/>
          <w:sz w:val="20"/>
          <w:szCs w:val="23"/>
          <w:rtl/>
        </w:rPr>
        <w:t>(ישעיה סו טז)</w:t>
      </w:r>
      <w:r>
        <w:rPr>
          <w:b w:val="0"/>
          <w:bCs w:val="0"/>
          <w:rtl/>
        </w:rPr>
        <w:t xml:space="preserve"> כִּי בָאֵ''שׁ יהו''ה נִשְׁפָּט, </w:t>
      </w:r>
      <w:r>
        <w:rPr>
          <w:rStyle w:val="a7"/>
          <w:b w:val="0"/>
          <w:bCs w:val="0"/>
          <w:rtl/>
        </w:rPr>
        <w:footnoteReference w:id="5349"/>
      </w:r>
      <w:r>
        <w:rPr>
          <w:b w:val="0"/>
          <w:bCs w:val="0"/>
          <w:rtl/>
        </w:rPr>
        <w:t xml:space="preserve">עַל מוֹקְדָה עַל הַמִּזְבֵּחַ כָּל הַלַּיְלָה עַד הַבֹּקֶר </w:t>
      </w:r>
      <w:r>
        <w:rPr>
          <w:b w:val="0"/>
          <w:sz w:val="20"/>
          <w:szCs w:val="23"/>
          <w:rtl/>
        </w:rPr>
        <w:t>(ויקרא ו ב)</w:t>
      </w:r>
      <w:r>
        <w:rPr>
          <w:b w:val="0"/>
          <w:bCs w:val="0"/>
          <w:rtl/>
        </w:rPr>
        <w:t xml:space="preserve"> דָּא גַוָּון תְּכֵלֶת, דְּאִיהוּ אֲחִיד בִּצְלוֹתָא דְעַרְבִית, וּבֵיהּ סָלְקָא שְׁכִינְתָּא לְגַבֵּי עַמּוּדָא דְאֶמְצָעִיתָא, וּצְלוֹתָא דְעַרְבִית לָקֳבֵל אֵמוּרִין וּפְדָרִין דְּמִתְאַכְלִין כָּל הַלַּיְלָה, </w:t>
      </w:r>
      <w:r>
        <w:rPr>
          <w:rStyle w:val="a7"/>
          <w:b w:val="0"/>
          <w:bCs w:val="0"/>
          <w:rtl/>
        </w:rPr>
        <w:footnoteReference w:id="5350"/>
      </w:r>
      <w:r>
        <w:rPr>
          <w:b w:val="0"/>
          <w:bCs w:val="0"/>
          <w:rtl/>
        </w:rPr>
        <w:t xml:space="preserve">וּבְגִין דָּא תְּכֵלֶת דּוֹמֶה לָרָקִיעַ, דְּאִתְּמַר </w:t>
      </w:r>
      <w:r>
        <w:rPr>
          <w:b w:val="0"/>
          <w:sz w:val="20"/>
          <w:szCs w:val="23"/>
          <w:rtl/>
        </w:rPr>
        <w:t>(בראשית א ו)</w:t>
      </w:r>
      <w:r>
        <w:rPr>
          <w:b w:val="0"/>
          <w:bCs w:val="0"/>
          <w:rtl/>
        </w:rPr>
        <w:t xml:space="preserve"> יְהִי רָקִיעַ בְּתוֹךְ הַמָּיִם, דְּאַפְרִישׁ מַחֲלוֹקֶת בֵּין יְמִינָא וּשְׂמָאלָא, וּנְקוּדָה דְרָקִיעַ חֹלֵ''ם, וּמָאן רָקִיעַ דָּא ו' דְּאִיהוּ כְגַוְונָא דָא [ציור] רָקִיעַ, וְהַהוּא נִיצוֹץ חֹלֵ''ם עֲלֵיהּ, וְהַאי נְקוּדָה אִיהִי מְחַיְּיבַת לְאָת ו', </w:t>
      </w:r>
      <w:r>
        <w:rPr>
          <w:rStyle w:val="a7"/>
          <w:b w:val="0"/>
          <w:bCs w:val="0"/>
          <w:rtl/>
        </w:rPr>
        <w:footnoteReference w:id="5351"/>
      </w:r>
      <w:r>
        <w:rPr>
          <w:b w:val="0"/>
          <w:bCs w:val="0"/>
          <w:rtl/>
        </w:rPr>
        <w:t xml:space="preserve">וְרָזָא דְנִקוּד יָהוְה, </w:t>
      </w:r>
      <w:r>
        <w:rPr>
          <w:rStyle w:val="a7"/>
          <w:b w:val="0"/>
          <w:bCs w:val="0"/>
          <w:rtl/>
        </w:rPr>
        <w:footnoteReference w:id="5352"/>
      </w:r>
      <w:r>
        <w:rPr>
          <w:b w:val="0"/>
          <w:bCs w:val="0"/>
          <w:rtl/>
        </w:rPr>
        <w:t xml:space="preserve">וְרָזָא דְמִלָּה רַק בַּאֲבוֹתֶיךָ חָשַׁ''ק יהו''ה, </w:t>
      </w:r>
      <w:r>
        <w:rPr>
          <w:b w:val="0"/>
          <w:sz w:val="20"/>
          <w:szCs w:val="23"/>
          <w:rtl/>
        </w:rPr>
        <w:t>(דברים י טו)</w:t>
      </w:r>
      <w:r>
        <w:rPr>
          <w:b w:val="0"/>
          <w:szCs w:val="23"/>
          <w:rtl/>
        </w:rPr>
        <w:t xml:space="preserve"> </w:t>
      </w:r>
      <w:r>
        <w:rPr>
          <w:rStyle w:val="Char"/>
          <w:rtl/>
        </w:rPr>
        <w:t>כִּי בִי חָשַׁ''ק וַאֲפַלְּטֵהוּ</w:t>
      </w:r>
      <w:r>
        <w:rPr>
          <w:b w:val="0"/>
          <w:szCs w:val="23"/>
          <w:rtl/>
        </w:rPr>
        <w:t xml:space="preserve"> </w:t>
      </w:r>
      <w:r>
        <w:rPr>
          <w:b w:val="0"/>
          <w:sz w:val="20"/>
          <w:szCs w:val="23"/>
          <w:rtl/>
        </w:rPr>
        <w:t>(תהלים צד יד)</w:t>
      </w:r>
      <w:r>
        <w:rPr>
          <w:b w:val="0"/>
          <w:bCs w:val="0"/>
          <w:rtl/>
        </w:rPr>
        <w:t xml:space="preserve">, כִּ''י בִ''י רָזָא דִשְׁמָא דְאַרְבְּעִין וּתְרֵין, כִּ''י בִ''י יִרְבּוּ יָמֶיךָ וְגוֹמֵר </w:t>
      </w:r>
      <w:r>
        <w:rPr>
          <w:b w:val="0"/>
          <w:sz w:val="20"/>
          <w:szCs w:val="23"/>
          <w:rtl/>
        </w:rPr>
        <w:t>(משלי ט יא)</w:t>
      </w:r>
      <w:r>
        <w:rPr>
          <w:b w:val="0"/>
          <w:bCs w:val="0"/>
          <w:rtl/>
        </w:rPr>
        <w:t>.</w:t>
      </w:r>
    </w:p>
    <w:p w:rsidR="006D2826" w:rsidRDefault="006D2826" w:rsidP="006D2826">
      <w:pPr>
        <w:pStyle w:val="NormalWeb"/>
        <w:rPr>
          <w:b w:val="0"/>
          <w:bCs w:val="0"/>
          <w:rtl/>
        </w:rPr>
      </w:pPr>
      <w:r>
        <w:rPr>
          <w:rStyle w:val="a7"/>
          <w:b w:val="0"/>
          <w:bCs w:val="0"/>
          <w:rtl/>
        </w:rPr>
        <w:footnoteReference w:id="5353"/>
      </w:r>
      <w:r>
        <w:rPr>
          <w:b w:val="0"/>
          <w:bCs w:val="0"/>
          <w:rtl/>
        </w:rPr>
        <w:t xml:space="preserve">וְאִית מָאן דְּאִיהוּ מְפָרֵשׁ אִלֵּין תְּלַת גַּוָּונִין בִּרְקִיעָא, דְּאִינוּן חִוָּור וְאוּכַם וּתְכֵלֶת, חַד חִוָּור לְעִילָא מִן שְׁרַגָּא, וְחַד תְּכֵלֶת לְתַתָּא, אוּכַם בְּאֶמְצָעִיתָא אַפְרִישׁ בְּתַרְוַיְיהוּ, וְלָא אִשְׁתְּמוֹדְעוּ בְּקַדְרוּתָא דִילֵיהּ, וְרָזָא דָא מָארֵי מַתְנִיתִין אוּקְמוּהוּ כְּגַוְונָא דָא, מֵאֵימָתַי קוֹרִין אֶת שְׁמַע בְּשַׁחֲרִית, כְּדֵי שֶׁיַּכִּיר בֵּין תְּכֵלֶת לְלָבָן, מִיָּד דְּאִתְעַבַּר קִדְרוּתָא דִשְׁמַיָּא, דְאִתְּמַר בָּהּ </w:t>
      </w:r>
      <w:r>
        <w:rPr>
          <w:b w:val="0"/>
          <w:sz w:val="20"/>
          <w:szCs w:val="23"/>
          <w:rtl/>
        </w:rPr>
        <w:t>(ישעיה נ ג)</w:t>
      </w:r>
      <w:r>
        <w:rPr>
          <w:b w:val="0"/>
          <w:bCs w:val="0"/>
          <w:rtl/>
        </w:rPr>
        <w:t xml:space="preserve"> אַלְבִּישׁ שָׁמַיִם קַדְרוּת, מִיָּד נָהִיר שְׁמַיָּא וְאִשְׁתְּמוֹדָע אִיהוּ בֵּין תְּכֵלֶת לְלָבָן, וְאִשְׁתְּמוֹדָע הָכָא תְּכֵלֶת מִסִּטְרָא דִשְׂמָאלָא, לָבָן מִסִּטְרָא דִיְמִינָא, עַמּוּדָא דְאֶמְצָעִיתָא אֲחִיד בְּתַרְוַיְיהוּ, וּבֵיהּ קוֹרִין קְרִיאַת שְׁמַע בְּשַׁחֲרִית, דְּאִיהִי שְׁכִינְתָּא בַת עַיִן.</w:t>
      </w:r>
    </w:p>
    <w:p w:rsidR="006D2826" w:rsidRDefault="006D2826" w:rsidP="006D2826">
      <w:pPr>
        <w:pStyle w:val="NormalWeb"/>
        <w:rPr>
          <w:b w:val="0"/>
          <w:bCs w:val="0"/>
          <w:rtl/>
        </w:rPr>
      </w:pPr>
      <w:r>
        <w:rPr>
          <w:b w:val="0"/>
          <w:bCs w:val="0"/>
          <w:rtl/>
        </w:rPr>
        <w:t xml:space="preserve">וְהָכִי קְרִיאַת שְׁמַע דְּעַרְבִית צְרִיכִין לְיַיחֲדָא לָהּ בְּעַמּוּדָא דְאֶמְצָעִיתָא, כְּמָה דְתַקִּינוּ מָארֵי מַתְנִיתִין, לִקְרוֹת קְרִיאַת שְׁמַע בַּכֹּכָבִים דְּאִינוּן בֵּינוּנִים </w:t>
      </w:r>
      <w:r>
        <w:rPr>
          <w:b w:val="0"/>
          <w:sz w:val="20"/>
          <w:szCs w:val="23"/>
          <w:rtl/>
        </w:rPr>
        <w:t>(כנויים)</w:t>
      </w:r>
      <w:r>
        <w:rPr>
          <w:b w:val="0"/>
          <w:bCs w:val="0"/>
          <w:rtl/>
        </w:rPr>
        <w:t xml:space="preserve">, דְּהָכִי אוּקְמוּהוּ, </w:t>
      </w:r>
      <w:r>
        <w:rPr>
          <w:rStyle w:val="a7"/>
          <w:b w:val="0"/>
          <w:bCs w:val="0"/>
          <w:rtl/>
        </w:rPr>
        <w:footnoteReference w:id="5354"/>
      </w:r>
      <w:r>
        <w:rPr>
          <w:b w:val="0"/>
          <w:bCs w:val="0"/>
          <w:rtl/>
        </w:rPr>
        <w:t xml:space="preserve">לֹא מִן הַכֹּכָבִים הַנִּרְאִים בַּיּוֹם, וְלֹא מִן הַכֹּכָבִים שְׁאֵין נִּרְאִים אֶלָּא בַּלַּיְלָה, אֶלָּא מִן הַבֵּינוּנִים, דְּאִינוּן מִסִּטְרָא דְעַמּוּדָא דְאֶמְצָעִיתָא, הָא הָכָא תְּלַת גַּוָּונִין בִּשְׁרַגָּא, שְׁכִינְתָּא נֵר דְּאִתְאָחֳדַת בְּהוֹן, </w:t>
      </w:r>
      <w:r>
        <w:rPr>
          <w:b w:val="0"/>
          <w:sz w:val="20"/>
          <w:szCs w:val="23"/>
          <w:rtl/>
        </w:rPr>
        <w:t>(משלי ו כג)</w:t>
      </w:r>
      <w:r>
        <w:rPr>
          <w:b w:val="0"/>
          <w:bCs w:val="0"/>
          <w:rtl/>
        </w:rPr>
        <w:t xml:space="preserve"> כִּי נֵר מִצְוָה וְתוֹרָה אוֹר, אוֹר דָּא אוֹרַיְיתָא דְבִכְתָב, דְּאִיהִי נִשְׁמַת אָדָם, דִּנְהִירַת עַל נֵר, עַל תַּרְוַיְיהוּ אִתְּמַר, </w:t>
      </w:r>
      <w:r>
        <w:rPr>
          <w:b w:val="0"/>
          <w:sz w:val="20"/>
          <w:szCs w:val="23"/>
          <w:rtl/>
        </w:rPr>
        <w:t>(בראשית א טז)</w:t>
      </w:r>
      <w:r>
        <w:rPr>
          <w:b w:val="0"/>
          <w:bCs w:val="0"/>
          <w:rtl/>
        </w:rPr>
        <w:t xml:space="preserve"> אֶת הַמָּאוֹר הַגָּדוֹל לְמֶמְשֶׁלֶת הַיּוֹם, וְאֶת הַמָּאוֹר הַקָּטֹן לְמֶמְשֶׁלֶת הַלַּיְלָה.</w:t>
      </w:r>
    </w:p>
    <w:p w:rsidR="006D2826" w:rsidRDefault="006D2826" w:rsidP="006D2826">
      <w:pPr>
        <w:pStyle w:val="NormalWeb"/>
        <w:rPr>
          <w:b w:val="0"/>
          <w:sz w:val="20"/>
          <w:szCs w:val="23"/>
          <w:rtl/>
        </w:rPr>
      </w:pPr>
      <w:r>
        <w:rPr>
          <w:rStyle w:val="a7"/>
          <w:b w:val="0"/>
          <w:bCs w:val="0"/>
          <w:rtl/>
        </w:rPr>
        <w:footnoteReference w:id="5355"/>
      </w:r>
      <w:r>
        <w:rPr>
          <w:b w:val="0"/>
          <w:bCs w:val="0"/>
          <w:rtl/>
        </w:rPr>
        <w:t xml:space="preserve">גַּוָּון </w:t>
      </w:r>
      <w:r>
        <w:rPr>
          <w:rStyle w:val="a7"/>
          <w:b w:val="0"/>
          <w:bCs w:val="0"/>
          <w:rtl/>
        </w:rPr>
        <w:footnoteReference w:id="5356"/>
      </w:r>
      <w:r>
        <w:rPr>
          <w:b w:val="0"/>
          <w:bCs w:val="0"/>
          <w:rtl/>
        </w:rPr>
        <w:t xml:space="preserve">חִוָּור בֵּיהּ אֵ''ל מֶלֶךְ יוֹשֵׁב עַל כִּסֵּא רַחֲמִים וּמִתְנַהֵג בַּחֲסִידוּת, גַּוָּון תְּכֵלֶת כָּרְסַיָּא דְּדִין, דְּאִינוּן אִימָּא עִלָּאָה אִימָּא תַּתָּאָה, אהי''ה אדנ''י, מֶלֶךְ דַּאֲחִיד בְּתַרְוַיְיהוּ יהו''ה יהו''ה, עֲלֵיהּ אִתְּמַר </w:t>
      </w:r>
      <w:r>
        <w:rPr>
          <w:b w:val="0"/>
          <w:sz w:val="20"/>
          <w:szCs w:val="23"/>
          <w:rtl/>
        </w:rPr>
        <w:t>(משלי ל ד)</w:t>
      </w:r>
      <w:r>
        <w:rPr>
          <w:b w:val="0"/>
          <w:bCs w:val="0"/>
          <w:rtl/>
        </w:rPr>
        <w:t xml:space="preserve"> מַה שְּׁמוֹ וּמַה שֶּׁם בְּנוֹ כִּי תֵדָע, וְאִינוּן חָכְמָה וְעַמּוּדָא דְאֶמְצָעִיתָא, מִסִּטְרָא דְּדִין אָמַר קוּדְשָׁא בְּרִיךְ הוּא אֲנִי אָמִית </w:t>
      </w:r>
      <w:r>
        <w:rPr>
          <w:b w:val="0"/>
          <w:sz w:val="20"/>
          <w:szCs w:val="23"/>
          <w:rtl/>
        </w:rPr>
        <w:t>(דברים לב לט)</w:t>
      </w:r>
      <w:r>
        <w:rPr>
          <w:b w:val="0"/>
          <w:bCs w:val="0"/>
          <w:rtl/>
        </w:rPr>
        <w:t xml:space="preserve">, וּמִסִּטְרָא דְכָרְסַיָּא דְרַחֲמֵי אָמַר קוּדְשָׁא בְּרִיךְ הוּא וַאֲחַיֶּה, וּבְגִין דָּא תַּלְמִידֵי חֲכָמִים כַּד הֲווֹ מִסְתַּכְּלִין בְּגַוָּון תְּכֵלֶת דְּעִינָא הֲווֹ מַעֲנִישִׁין בֵּיהּ, כְּמָה דְאוּקְמוּהוּ מָארֵי מַתְנִיתִין, בְּכָל מָקוֹם שֶׁנָּתְנוּ חֲכָמִים עִינֵיהֶם אוֹ מִיתָה אוֹ עוֹנִי. </w:t>
      </w:r>
      <w:r>
        <w:rPr>
          <w:b w:val="0"/>
          <w:sz w:val="20"/>
          <w:szCs w:val="23"/>
          <w:rtl/>
        </w:rPr>
        <w:t>א.ה. הקטע שהיה כאן, דבגוון חוור וכו' עד צמאון, מקומו למעלה קכ"ג ע"ב.</w:t>
      </w:r>
    </w:p>
    <w:p w:rsidR="006D2826" w:rsidRDefault="006D2826" w:rsidP="006D2826">
      <w:pPr>
        <w:pStyle w:val="aa"/>
        <w:spacing w:after="40"/>
        <w:rPr>
          <w:rtl/>
        </w:rPr>
      </w:pPr>
      <w:r>
        <w:rPr>
          <w:rtl/>
        </w:rPr>
        <w:t xml:space="preserve">[תיקוני זוהר - דף קכו ע''א] </w:t>
      </w:r>
    </w:p>
    <w:p w:rsidR="006D2826" w:rsidRDefault="006D2826" w:rsidP="006D2826">
      <w:pPr>
        <w:pStyle w:val="NormalWeb"/>
        <w:rPr>
          <w:b w:val="0"/>
          <w:bCs w:val="0"/>
          <w:rtl/>
        </w:rPr>
      </w:pPr>
      <w:r>
        <w:rPr>
          <w:b w:val="0"/>
          <w:bCs w:val="0"/>
          <w:rtl/>
        </w:rPr>
        <w:t xml:space="preserve">וּבְכָל אֲתַר דַּהֲווֹ מִסְתַּכְּלִין בְּגַוָּון חִוָּור הֲווֹ מְחַיֵּי, וּבְזִמְנָא דְאִסְתַּלַּק יהו''ה מִכָּרְסַיָּא דְּדִין וּמִכָּרְסַיָּא דְרַחֲמֵי, לֵית תַּמָּן עוֹנְשָׁא וְלָא אַגְרָא, וּבְגִין דְיהו''ה </w:t>
      </w:r>
      <w:r>
        <w:rPr>
          <w:b w:val="0"/>
          <w:sz w:val="20"/>
          <w:szCs w:val="23"/>
          <w:rtl/>
        </w:rPr>
        <w:t xml:space="preserve">(דף קכו ע''א) </w:t>
      </w:r>
      <w:r>
        <w:rPr>
          <w:b w:val="0"/>
          <w:bCs w:val="0"/>
          <w:rtl/>
        </w:rPr>
        <w:t xml:space="preserve">אִסְתַּלַּק בְּמַזָּלָא קַדִּישָׁא עִלָּאָה דְאִיהוּ כֶּתֶר עִלָּאָה, </w:t>
      </w:r>
      <w:r>
        <w:rPr>
          <w:rStyle w:val="a7"/>
          <w:b w:val="0"/>
          <w:bCs w:val="0"/>
          <w:rtl/>
        </w:rPr>
        <w:footnoteReference w:id="5357"/>
      </w:r>
      <w:r>
        <w:rPr>
          <w:b w:val="0"/>
          <w:bCs w:val="0"/>
          <w:rtl/>
        </w:rPr>
        <w:t xml:space="preserve">בְּהַהוּא זִמְנָא בָּנֵי חַיֵּי וּמְזוֹנֵי לַאו בִּזְכוּתָא תַלְיָא מִלְתָא, אֶלָּא בְּמַזָּלָא תַלְיָא מִלְתָא, וּבְהַהוּא זִמְנָא הַכֹּל תָּלוּי בְּמַזָּל וַאֲפִילוּ סֵפֶר תּוֹרָה בְּהֵיכָל, </w:t>
      </w:r>
      <w:r>
        <w:rPr>
          <w:rStyle w:val="a7"/>
          <w:b w:val="0"/>
          <w:bCs w:val="0"/>
          <w:rtl/>
        </w:rPr>
        <w:footnoteReference w:id="5358"/>
      </w:r>
      <w:r>
        <w:rPr>
          <w:b w:val="0"/>
          <w:bCs w:val="0"/>
          <w:rtl/>
        </w:rPr>
        <w:t xml:space="preserve">בְּהַהוּא זִמְנָא מַה דַּהֲוָה </w:t>
      </w:r>
      <w:r>
        <w:rPr>
          <w:b w:val="0"/>
          <w:sz w:val="20"/>
          <w:szCs w:val="23"/>
          <w:rtl/>
        </w:rPr>
        <w:t>(תהלים קמה יח)</w:t>
      </w:r>
      <w:r>
        <w:rPr>
          <w:b w:val="0"/>
          <w:bCs w:val="0"/>
          <w:rtl/>
        </w:rPr>
        <w:t xml:space="preserve"> קָרוֹב יהו''ה לְכָל קוֹרְאָיו, אִתְּמַר בֵּיהּ </w:t>
      </w:r>
      <w:r>
        <w:rPr>
          <w:b w:val="0"/>
          <w:sz w:val="20"/>
          <w:szCs w:val="23"/>
          <w:rtl/>
        </w:rPr>
        <w:t>(קהלת ז כד)</w:t>
      </w:r>
      <w:r>
        <w:rPr>
          <w:b w:val="0"/>
          <w:bCs w:val="0"/>
          <w:rtl/>
        </w:rPr>
        <w:t xml:space="preserve"> רָחוֹק מַה שֶּׁהָיָה וְעָמֹק עָמֹק מִי יִמְצָאֶנּוּ, </w:t>
      </w:r>
      <w:r>
        <w:rPr>
          <w:rStyle w:val="a7"/>
          <w:b w:val="0"/>
          <w:bCs w:val="0"/>
          <w:rtl/>
        </w:rPr>
        <w:footnoteReference w:id="5359"/>
      </w:r>
      <w:r>
        <w:rPr>
          <w:b w:val="0"/>
          <w:bCs w:val="0"/>
          <w:rtl/>
        </w:rPr>
        <w:t xml:space="preserve">לֵית מָאן דְּאַשִּׂיג לֵיהּ אֶלָּא בְחָכְמָה וּבְבִינָה, וּבְגִין דָּא כַד אִסְתַּלַּק לְהַהוּא אֲתַר לָא מַשִּׂיגִין לֵיהּ בְּכָל סְפִירָן, אֶלָּא בַחָכְמָה וּבְבִינָה, דְאִינוּן י''ם י' חָכְמָה מ' בִּינָה, וּבְגִין דָּא רָחוֹק מַה שֶּׁהָיָה, וְעָמֹק עָמֹק מִ''י יִמְצָאֶנּוּ, וְרָזָא דְמִלָּה </w:t>
      </w:r>
      <w:r>
        <w:rPr>
          <w:b w:val="0"/>
          <w:sz w:val="20"/>
          <w:szCs w:val="23"/>
          <w:rtl/>
        </w:rPr>
        <w:t>(מלכים א ה כט)</w:t>
      </w:r>
      <w:r>
        <w:rPr>
          <w:b w:val="0"/>
          <w:bCs w:val="0"/>
          <w:rtl/>
        </w:rPr>
        <w:t xml:space="preserve"> קְרוֹבִים אֶל יהו''ה אלהינ''ו.</w:t>
      </w:r>
    </w:p>
    <w:p w:rsidR="006D2826" w:rsidRDefault="006D2826" w:rsidP="006D2826">
      <w:pPr>
        <w:pStyle w:val="NormalWeb"/>
        <w:rPr>
          <w:b w:val="0"/>
          <w:bCs w:val="0"/>
          <w:rtl/>
        </w:rPr>
      </w:pPr>
      <w:r>
        <w:rPr>
          <w:b w:val="0"/>
          <w:bCs w:val="0"/>
          <w:rtl/>
        </w:rPr>
        <w:t xml:space="preserve">וְכַד אִסְתַּכַּל דָּוִד בְּרוּחָא דְקוּדְשָׁא, וְחָזָא דְאִסְתַּלַּק לְאַיִ''ן בְּגָלוּתָא בַּתְרָאָה, אָמַר עֲלַיְיהוּ </w:t>
      </w:r>
      <w:r>
        <w:rPr>
          <w:b w:val="0"/>
          <w:sz w:val="20"/>
          <w:szCs w:val="23"/>
          <w:rtl/>
        </w:rPr>
        <w:t>(תהלים קכד א)</w:t>
      </w:r>
      <w:r>
        <w:rPr>
          <w:b w:val="0"/>
          <w:bCs w:val="0"/>
          <w:rtl/>
        </w:rPr>
        <w:t xml:space="preserve"> </w:t>
      </w:r>
      <w:r>
        <w:rPr>
          <w:rStyle w:val="a7"/>
          <w:b w:val="0"/>
          <w:bCs w:val="0"/>
          <w:rtl/>
        </w:rPr>
        <w:footnoteReference w:id="5360"/>
      </w:r>
      <w:r>
        <w:rPr>
          <w:b w:val="0"/>
          <w:bCs w:val="0"/>
          <w:rtl/>
        </w:rPr>
        <w:t xml:space="preserve">אֶשָּׂא עִינַי אֶל הֶהָרִים מֵאַיִן יָבֹא עֶזְרִי, אַיִ''ן א' כֶּתֶר עִלָּאָה י' חָכְמָה ן' בִּינָה, חָזָא דְלָא הֲווֹ מַשִּׂיגִין לֵיהּ בִּתְלַת צְלוֹתִין דְּתַקִּינוּ אֲבָהָן, דְּאִתְקְרִיאוּ הָרִים, אָמַר אֶשָּׂא עִינַי אֶל הֶהָרִים מֵאַיִן יָבֹא עֶזְרִי, עֶזְרִי מֵעִם יהו''ה, דָּא מֶלֶךְ יוֹשֵׁב עַל כִּסֵּא רַחֲמִים וְכִסֵּא דִין דְאִסְתַּלַּק מִתַּמָּן, וְדָא יהו''ה דְּאִיהוּ מִלְּגָאו דְּכָל סְפִירָה וּסְפִירָה, עֲלֵיהּ אִתְּמַר </w:t>
      </w:r>
      <w:r>
        <w:rPr>
          <w:b w:val="0"/>
          <w:sz w:val="20"/>
          <w:szCs w:val="23"/>
          <w:rtl/>
        </w:rPr>
        <w:t>(ד''ה א כט)</w:t>
      </w:r>
      <w:r>
        <w:rPr>
          <w:b w:val="0"/>
          <w:bCs w:val="0"/>
          <w:rtl/>
        </w:rPr>
        <w:t xml:space="preserve"> לְךָ יהו''ה הַגְּדוּלָה וְהַגְּבוּרָה וְגוֹמֵר, בַּעֲשַׂר סְפִירָן שַׁבַּח לֵיהּ דָּוִד, בְּגִין דְּאִיהוּ לְגוֹ מִכֻּלְּהוּ, וְאִיהוּ מִלְּבָר דְּכָל סְפִירָה וּסְפִירָה, וְאִיהוּ בֵּין כָּל סְפִירָה וּסְפִירָה, לָא אִשְׁתַּנִּי בְּכָל אֲתַר.</w:t>
      </w:r>
    </w:p>
    <w:p w:rsidR="006D2826" w:rsidRDefault="006D2826" w:rsidP="006D2826">
      <w:pPr>
        <w:pStyle w:val="NormalWeb"/>
        <w:rPr>
          <w:b w:val="0"/>
          <w:bCs w:val="0"/>
          <w:rtl/>
        </w:rPr>
      </w:pPr>
      <w:r>
        <w:rPr>
          <w:rStyle w:val="a7"/>
          <w:b w:val="0"/>
          <w:bCs w:val="0"/>
          <w:rtl/>
        </w:rPr>
        <w:footnoteReference w:id="5361"/>
      </w:r>
      <w:r>
        <w:rPr>
          <w:b w:val="0"/>
          <w:bCs w:val="0"/>
          <w:rtl/>
        </w:rPr>
        <w:t xml:space="preserve">אִית עַיְינִין מִכַּמָּה גַוָּונִין, כְּגוֹן אַרְגָּמָ''ן רְגָמָ''ן, ר' רְפָאֵ''ל, ג' גַּבְרִיאֵ''ל, מ' מִיכָאֵ''ל, ן' נוריא''ל, וְרָזָא דְמִלָּה מֶרְכָּבוֹ אַרְגָּמָ''ן </w:t>
      </w:r>
      <w:r>
        <w:rPr>
          <w:b w:val="0"/>
          <w:sz w:val="20"/>
          <w:szCs w:val="23"/>
          <w:rtl/>
        </w:rPr>
        <w:t>(שיר ה ו)</w:t>
      </w:r>
      <w:r>
        <w:rPr>
          <w:b w:val="0"/>
          <w:bCs w:val="0"/>
          <w:rtl/>
        </w:rPr>
        <w:t xml:space="preserve">, </w:t>
      </w:r>
      <w:r>
        <w:rPr>
          <w:rStyle w:val="a7"/>
          <w:b w:val="0"/>
          <w:bCs w:val="0"/>
          <w:rtl/>
        </w:rPr>
        <w:footnoteReference w:id="5362"/>
      </w:r>
      <w:r>
        <w:rPr>
          <w:b w:val="0"/>
          <w:bCs w:val="0"/>
          <w:rtl/>
        </w:rPr>
        <w:t xml:space="preserve">א' אוֹר דְּנָהִיר בְּאִלֵּין אַרְבַּע גַּוָּונִין, א' אורפניא''ל וְאִיהוּ מטטרו''ן, אוֹר פְּנִיאֵ''ל, וּבְגִין דָּא אִתְקְרֵי שַׂר הַפָּנִים, וְאִיהוּ רזיא''ל וְאִיהוּ אוּרִיאֵ''ל, דְּהָכִי סָלִיק לְחֻשְׁבַּן רזיא''ל, וְאִיהוּ סָלִיק לְחֻשְׁבַּן רְמַ''ח פִּקּוּדִין דְּאוֹרַיְיתָא, כְּחֻשְׁבַּן אַבְרָהָ''ם, וְדָא מַלְאַךְ הַחֶסֶד, דְּמִתַּמָּן אוֹרַיְיתָא אִתְיְיהִיבַת, הֲדָא הוּא דִכְתִיב </w:t>
      </w:r>
      <w:r>
        <w:rPr>
          <w:b w:val="0"/>
          <w:sz w:val="20"/>
          <w:szCs w:val="23"/>
          <w:rtl/>
        </w:rPr>
        <w:t>(דברים לג ב)</w:t>
      </w:r>
      <w:r>
        <w:rPr>
          <w:b w:val="0"/>
          <w:bCs w:val="0"/>
          <w:rtl/>
        </w:rPr>
        <w:t xml:space="preserve"> מִימִינוֹ אֵשׁ דָּת לָמוֹ, וְאִיהוּ מְמוּנֶה עַל רָזֵי אוֹרַיְיתָא, וְהוּא גָּלֵי עֲמִיקָתָא וּמְסַתְּרָתָא, </w:t>
      </w:r>
      <w:r>
        <w:rPr>
          <w:rtl/>
        </w:rPr>
        <w:t>(יָדַע מָה בַחֲשׁוֹכָא),</w:t>
      </w:r>
      <w:r>
        <w:rPr>
          <w:b w:val="0"/>
          <w:bCs w:val="0"/>
          <w:rtl/>
        </w:rPr>
        <w:t xml:space="preserve"> בְּגִין דְּחֹשֶׁךְ אִיהוּ לְבוּשָׁא דְאוֹר, </w:t>
      </w:r>
      <w:r>
        <w:rPr>
          <w:rtl/>
        </w:rPr>
        <w:t xml:space="preserve">(וּבֵיהּ אֵלִ''י דְאִתְּמַר בֵּיהּ </w:t>
      </w:r>
      <w:r>
        <w:rPr>
          <w:sz w:val="20"/>
          <w:szCs w:val="23"/>
          <w:rtl/>
        </w:rPr>
        <w:t>(שמות טו ב)</w:t>
      </w:r>
      <w:r>
        <w:rPr>
          <w:rtl/>
        </w:rPr>
        <w:t xml:space="preserve"> זֶה אֵלִ''י וְאַנְוִהוּ),</w:t>
      </w:r>
      <w:r>
        <w:rPr>
          <w:b w:val="0"/>
          <w:bCs w:val="0"/>
          <w:rtl/>
        </w:rPr>
        <w:t xml:space="preserve"> אוֹר הוּא רָ''ז, </w:t>
      </w:r>
      <w:r>
        <w:rPr>
          <w:rStyle w:val="a7"/>
          <w:b w:val="0"/>
          <w:bCs w:val="0"/>
          <w:rtl/>
        </w:rPr>
        <w:footnoteReference w:id="5363"/>
      </w:r>
      <w:r>
        <w:rPr>
          <w:b w:val="0"/>
          <w:bCs w:val="0"/>
          <w:rtl/>
        </w:rPr>
        <w:t xml:space="preserve">וְכָל מָאן דְּיָדַע בְּהוּ עֲלֵיהּ אִתְּמַר </w:t>
      </w:r>
      <w:r>
        <w:rPr>
          <w:b w:val="0"/>
          <w:sz w:val="20"/>
          <w:szCs w:val="23"/>
          <w:rtl/>
        </w:rPr>
        <w:t>(דניאל ד ו)</w:t>
      </w:r>
      <w:r>
        <w:rPr>
          <w:b w:val="0"/>
          <w:bCs w:val="0"/>
          <w:rtl/>
        </w:rPr>
        <w:t xml:space="preserve"> וְכָל רָז לָא אָנֵיס לָךְ, וְאִיהוּ נָהִיר בְּגַוָּון חִוָּור דְּעִינָא, </w:t>
      </w:r>
      <w:r>
        <w:rPr>
          <w:rStyle w:val="a7"/>
          <w:b w:val="0"/>
          <w:bCs w:val="0"/>
          <w:rtl/>
        </w:rPr>
        <w:footnoteReference w:id="5364"/>
      </w:r>
      <w:r>
        <w:rPr>
          <w:b w:val="0"/>
          <w:bCs w:val="0"/>
          <w:rtl/>
        </w:rPr>
        <w:t xml:space="preserve">וְאִיהוּ נוריא''ל נוּר דָּלֵיק מִסִּטְרָא דִשְׂמָאלָא, דְתַמָּן רי''ו גְבוּרָה, וּמִתַּמָּן פִּקּוּדִין דְּלֹא תַעֲשֶׂה, כָּרְסַיָּא דְרַחֲמֵי לִימִינָא כָּרְסַיָּא דְּדִינָא לִשְׂמָאלָא, עַמּוּדָא דְאֶמְצָעִיתָא כְּלִיל תַּרְוַיְיהוּ וּבֵיהּ יהו''ה, דְּכָפַל שְׁמֵיהּ תְּרֵין זִמְנִין יהו''ה יהו''ה, וּמֹשֶׁה דְאִתְאֲחִיד בֵּיהּ כָּפַל שְׁמֵיהּ מֹשֶׁה מֹשֶׁה, וּבְגִין דָּא וָאֵדָעֲךָ בְּ שֵׁ''ם </w:t>
      </w:r>
      <w:r>
        <w:rPr>
          <w:b w:val="0"/>
          <w:sz w:val="20"/>
          <w:szCs w:val="23"/>
          <w:rtl/>
        </w:rPr>
        <w:t>(שמות לג יז)</w:t>
      </w:r>
      <w:r>
        <w:rPr>
          <w:b w:val="0"/>
          <w:bCs w:val="0"/>
          <w:rtl/>
        </w:rPr>
        <w:t xml:space="preserve"> בִּתְרֵין שְׁמָהָן.</w:t>
      </w:r>
    </w:p>
    <w:p w:rsidR="006D2826" w:rsidRDefault="006D2826" w:rsidP="006D2826">
      <w:pPr>
        <w:pStyle w:val="NormalWeb"/>
        <w:rPr>
          <w:b w:val="0"/>
          <w:bCs w:val="0"/>
          <w:rtl/>
        </w:rPr>
      </w:pPr>
      <w:r>
        <w:rPr>
          <w:rStyle w:val="a7"/>
          <w:b w:val="0"/>
          <w:bCs w:val="0"/>
          <w:rtl/>
        </w:rPr>
        <w:footnoteReference w:id="5365"/>
      </w:r>
      <w:r>
        <w:rPr>
          <w:b w:val="0"/>
          <w:bCs w:val="0"/>
          <w:rtl/>
        </w:rPr>
        <w:t xml:space="preserve">עַיְינִין מְרַקְּמָן נְקִידִין בִּנְקוּדִין חִוְורִין, כְּגוֹן נְקוּדִין דְּעַל לוּלֵ''א, אִסְתַּמַּר מִנֵּיהּ רַמַּאי אִיהוּ, וּמַאן דְּאִיהוּ בִּנְקוּדִין סוּמְקִין אוֹשִׁיד דְּמָא אִיהוּ, בִּנְקוּדִין יְרוֹקִין כַּעֲסָן אִיהוּ מִסִּטְרָא דְמָרָה, בִּנְקוּדִין אוּכְמִין גַּזְלָן אִיהוּ גַּנָּב, כָּל בִּישִׁין דְּעָלְמָא אִית בֵּיהּ, עַיְינִין עֲמִיקִין אִית בְּהוֹן </w:t>
      </w:r>
      <w:r>
        <w:rPr>
          <w:rStyle w:val="a7"/>
          <w:b w:val="0"/>
          <w:bCs w:val="0"/>
          <w:rtl/>
        </w:rPr>
        <w:footnoteReference w:id="5366"/>
      </w:r>
      <w:r>
        <w:rPr>
          <w:b w:val="0"/>
          <w:bCs w:val="0"/>
          <w:rtl/>
        </w:rPr>
        <w:t xml:space="preserve">עוֹמֶק טוֹב וְעוֹמֶק רָע, הַאי לָא יָדַע בַּר נַשׁ לִבֵּיהּ, </w:t>
      </w:r>
      <w:r>
        <w:rPr>
          <w:rtl/>
        </w:rPr>
        <w:t xml:space="preserve">(לִבֵּיהּ) </w:t>
      </w:r>
      <w:r>
        <w:rPr>
          <w:rStyle w:val="a7"/>
          <w:b w:val="0"/>
          <w:bCs w:val="0"/>
          <w:rtl/>
        </w:rPr>
        <w:footnoteReference w:id="5367"/>
      </w:r>
      <w:r>
        <w:rPr>
          <w:b w:val="0"/>
          <w:bCs w:val="0"/>
          <w:rtl/>
        </w:rPr>
        <w:t xml:space="preserve">עָמוֹק עָמוֹק מִי יִמְצָאֶנּוּ, אִם הוּא עוֹמֶק טוֹב לָא יָכִיל בַּר נַשׁ לְמִנְדַּע חָכְמָתֵיהּ, וְאִם הוּא עַם הָאָרֶץ כַּמָּה עֲמוּקִין מַחֲשַׁבְתִּין דִּילֵיהּ בִּישִׁין, הַאי אִיהוּ קֶבֶר פָּתוּחַ, הֲדָא הוּא דִכְתִיב </w:t>
      </w:r>
      <w:r>
        <w:rPr>
          <w:b w:val="0"/>
          <w:sz w:val="20"/>
          <w:szCs w:val="23"/>
          <w:rtl/>
        </w:rPr>
        <w:t>(תהלים ה י)</w:t>
      </w:r>
      <w:r>
        <w:rPr>
          <w:b w:val="0"/>
          <w:bCs w:val="0"/>
          <w:rtl/>
        </w:rPr>
        <w:t xml:space="preserve"> קֶבֶר פָּתוּחַ גְּרוֹנָם וכו', לְשׁוֹנָם עָמָל וָאָוְן, אִסְתַּמַּר מֵעִינָא דָא, בְּכָל מַה דְּאִסְתַּכַּל אִתְלַטְיָא, אִיהוּ מִסְתַּכַּל לְתַתָּא לְמֶחְשַׁב כָּל מַחֲשָׁבִין בִּישִׁין, לֵית סוֹפָא לְרַשִּׁיעוּתֵיהּ.</w:t>
      </w:r>
    </w:p>
    <w:p w:rsidR="006D2826" w:rsidRDefault="006D2826" w:rsidP="006D2826">
      <w:pPr>
        <w:pStyle w:val="aa"/>
        <w:spacing w:after="40"/>
        <w:rPr>
          <w:rtl/>
        </w:rPr>
      </w:pPr>
      <w:r>
        <w:rPr>
          <w:rtl/>
        </w:rPr>
        <w:t>[תיקוני זוהר - דף קכו ע''ב]      א.ה. לקטע הבא נביא שתי נוסחאות על פי ביאור הגר"א.</w:t>
      </w:r>
    </w:p>
    <w:p w:rsidR="006D2826" w:rsidRDefault="006D2826" w:rsidP="006D2826">
      <w:pPr>
        <w:pStyle w:val="NormalWeb"/>
        <w:rPr>
          <w:b w:val="0"/>
          <w:bCs w:val="0"/>
          <w:rtl/>
        </w:rPr>
      </w:pPr>
      <w:r>
        <w:rPr>
          <w:rStyle w:val="a7"/>
          <w:b w:val="0"/>
          <w:bCs w:val="0"/>
          <w:rtl/>
        </w:rPr>
        <w:footnoteReference w:id="5368"/>
      </w:r>
      <w:r>
        <w:rPr>
          <w:b w:val="0"/>
          <w:bCs w:val="0"/>
          <w:rtl/>
        </w:rPr>
        <w:t xml:space="preserve">עַיְינִין גַּבְהָנִין בְּהִפּוּכָא, עֲלַיְיהוּ אִתְּמַר </w:t>
      </w:r>
      <w:r>
        <w:rPr>
          <w:b w:val="0"/>
          <w:sz w:val="20"/>
          <w:szCs w:val="23"/>
          <w:rtl/>
        </w:rPr>
        <w:t>(יחזקאל א יח)</w:t>
      </w:r>
      <w:r>
        <w:rPr>
          <w:b w:val="0"/>
          <w:bCs w:val="0"/>
          <w:rtl/>
        </w:rPr>
        <w:t xml:space="preserve"> וְגַבֵּיהֶן וְגֹבַהּ לָהֶם וְיִרְאָה לָהֶם, וְגַבּוֹתָם מְלֵאוֹת עִינַיִם וְגוֹמֵר, כְּמָה דְעַיְינִין עֲמִיקִין אִינוּן דִּינָא וּמוֹתָא, הָכִי עַיְינִין גַּבְהָנִין אִינוּן חַיֵּי וְרַחֲמֵי, וְאִית עַיְינִין גַּבְהָנִין מִסִּטְרָא דְהַהוּא דְאִתְּמַר בֵּיהּ </w:t>
      </w:r>
      <w:r>
        <w:rPr>
          <w:b w:val="0"/>
          <w:sz w:val="20"/>
          <w:szCs w:val="23"/>
          <w:rtl/>
        </w:rPr>
        <w:t>(שמות טו א)</w:t>
      </w:r>
      <w:r>
        <w:rPr>
          <w:b w:val="0"/>
          <w:bCs w:val="0"/>
          <w:rtl/>
        </w:rPr>
        <w:t xml:space="preserve"> כִּי גָאֹה גָּאָה, סוּס וְרֹכְבוֹ רָמָה בַיָּם, וְאִית מִנְּהוֹן </w:t>
      </w:r>
      <w:r>
        <w:rPr>
          <w:b w:val="0"/>
          <w:sz w:val="20"/>
          <w:szCs w:val="23"/>
          <w:rtl/>
        </w:rPr>
        <w:t xml:space="preserve">(דף קכו ע''ב) </w:t>
      </w:r>
      <w:r>
        <w:rPr>
          <w:b w:val="0"/>
          <w:bCs w:val="0"/>
          <w:rtl/>
        </w:rPr>
        <w:t>דְּאִתְחַזְיָין גְּבַה רוּחַא.</w:t>
      </w:r>
    </w:p>
    <w:p w:rsidR="006D2826" w:rsidRDefault="006D2826" w:rsidP="006D2826">
      <w:pPr>
        <w:pStyle w:val="NormalWeb"/>
        <w:rPr>
          <w:b w:val="0"/>
          <w:bCs w:val="0"/>
          <w:rtl/>
        </w:rPr>
      </w:pPr>
      <w:r>
        <w:rPr>
          <w:rtl/>
        </w:rPr>
        <w:t>נ"א ועיקר:</w:t>
      </w:r>
      <w:r>
        <w:rPr>
          <w:b w:val="0"/>
          <w:bCs w:val="0"/>
          <w:rtl/>
        </w:rPr>
        <w:t xml:space="preserve"> עַיְינִין גַּבְהָנִין בְּהִפּוּכָא, עַיְינִין גְּבוֹהִין מִסִּטְרָא דִימִינָא, וְעַיְינִין עֲמִיקִין מִסִּטְרָא דִשְׂמָאלָא, </w:t>
      </w:r>
      <w:r>
        <w:rPr>
          <w:rStyle w:val="a7"/>
          <w:b w:val="0"/>
          <w:bCs w:val="0"/>
          <w:rtl/>
        </w:rPr>
        <w:footnoteReference w:id="5369"/>
      </w:r>
      <w:r>
        <w:rPr>
          <w:b w:val="0"/>
          <w:bCs w:val="0"/>
          <w:rtl/>
        </w:rPr>
        <w:t xml:space="preserve">דָּא עָנָו וְדָא בַיְישָׁן, מִסִּטְרָא אָחֳרָא דָא גַס רוּחַ וְדָא עַז פָּנִים, עֲלַיְיהוּ אִתְּמַר </w:t>
      </w:r>
      <w:r>
        <w:rPr>
          <w:b w:val="0"/>
          <w:sz w:val="20"/>
          <w:szCs w:val="23"/>
          <w:rtl/>
        </w:rPr>
        <w:t>(יחזקאל א יח)</w:t>
      </w:r>
      <w:r>
        <w:rPr>
          <w:b w:val="0"/>
          <w:bCs w:val="0"/>
          <w:rtl/>
        </w:rPr>
        <w:t xml:space="preserve"> וְגַבֵּיהֶן וְגֹבַהּ לָהֶם וְיִרְאָה לָהֶם, וְגַבּוֹתָם מְלֵאוֹת עִינַיִם וְגוֹמֵר, כְּמָה דְעַיְינִין עֲמִיקִין אִינוּן דִּינָא וּמוֹתָא, הָכִי עַיְינִין גַּבְהָנִין אִינוּן חַיֵּי וְרַחֲמֵי, וְאִית עַיְינִין גַּבְהָנִין מִסִּטְרָא דְהַהוּא דְאִתְּמַר בֵּיהּ </w:t>
      </w:r>
      <w:r>
        <w:rPr>
          <w:b w:val="0"/>
          <w:sz w:val="20"/>
          <w:szCs w:val="23"/>
          <w:rtl/>
        </w:rPr>
        <w:t>(שמות טו א)</w:t>
      </w:r>
      <w:r>
        <w:rPr>
          <w:b w:val="0"/>
          <w:bCs w:val="0"/>
          <w:rtl/>
        </w:rPr>
        <w:t xml:space="preserve"> כִּי גָאֹה גָּאָה, סוּס וְרֹכְבוֹ רָמָה בַיָּם, וְאִית מִנְּהוֹן </w:t>
      </w:r>
      <w:r>
        <w:rPr>
          <w:b w:val="0"/>
          <w:sz w:val="20"/>
          <w:szCs w:val="23"/>
          <w:rtl/>
        </w:rPr>
        <w:t xml:space="preserve">(דף קכו ע''ב) </w:t>
      </w:r>
      <w:r>
        <w:rPr>
          <w:b w:val="0"/>
          <w:bCs w:val="0"/>
          <w:rtl/>
        </w:rPr>
        <w:t xml:space="preserve">דְּאִתְחַזְיָין עַל גַּפֵּי מְרוֹמֵי </w:t>
      </w:r>
      <w:r>
        <w:rPr>
          <w:b w:val="0"/>
          <w:sz w:val="20"/>
          <w:szCs w:val="23"/>
          <w:rtl/>
        </w:rPr>
        <w:t>(משלי ט ג)</w:t>
      </w:r>
      <w:r>
        <w:rPr>
          <w:b w:val="0"/>
          <w:bCs w:val="0"/>
          <w:rtl/>
        </w:rPr>
        <w:t>.</w:t>
      </w:r>
    </w:p>
    <w:p w:rsidR="006D2826" w:rsidRDefault="006D2826" w:rsidP="006D2826">
      <w:pPr>
        <w:pStyle w:val="NormalWeb"/>
        <w:rPr>
          <w:b w:val="0"/>
          <w:bCs w:val="0"/>
          <w:rtl/>
        </w:rPr>
      </w:pPr>
      <w:r>
        <w:rPr>
          <w:rStyle w:val="a7"/>
          <w:b w:val="0"/>
          <w:bCs w:val="0"/>
          <w:rtl/>
        </w:rPr>
        <w:footnoteReference w:id="5370"/>
      </w:r>
      <w:r>
        <w:rPr>
          <w:b w:val="0"/>
          <w:bCs w:val="0"/>
          <w:rtl/>
        </w:rPr>
        <w:t xml:space="preserve">וְאָחֳרָנִין דְּאִתְקְרִיאוּ גְאוֹנִים בְּאוֹרַיְיתָא, וְכֻלְּהוּ אִית לוֹן עִקָּרָא לְעִילָא, וּבְגִין דָּא וְגַבֵּיהֶן וְגֹבַהּ לָהֶם וְיִרְאָה לָהֶם, מִסִּטְרָא דְהַהוּא דְאִתְּמַר בֵּיהּ </w:t>
      </w:r>
      <w:r>
        <w:rPr>
          <w:b w:val="0"/>
          <w:sz w:val="20"/>
          <w:szCs w:val="23"/>
          <w:rtl/>
        </w:rPr>
        <w:t>(קהלת ה ז)</w:t>
      </w:r>
      <w:r>
        <w:rPr>
          <w:b w:val="0"/>
          <w:bCs w:val="0"/>
          <w:rtl/>
        </w:rPr>
        <w:t xml:space="preserve"> כִּי גָבֹהַּ מֵעַל גָּבֹהַּ שֹׁמֵר, וְדָא מֶרְכָּבָה לְעִילָא מִן מֶרְכָּבָה, וּגְבֹהִים עֲלֵיהֶם, הֲדָא הוּא דִכְתִיב </w:t>
      </w:r>
      <w:r>
        <w:rPr>
          <w:b w:val="0"/>
          <w:sz w:val="20"/>
          <w:szCs w:val="23"/>
          <w:rtl/>
        </w:rPr>
        <w:t>(ישעיה כב א)</w:t>
      </w:r>
      <w:r>
        <w:rPr>
          <w:b w:val="0"/>
          <w:bCs w:val="0"/>
          <w:rtl/>
        </w:rPr>
        <w:t xml:space="preserve"> מַשָּׂא גֵּיא חִזָּיוֹן מַה לָּךְ אֵיפֹה כִּי עָלִית כֻּלָּךְ לַגַּגּוֹת, וְאִלֵּין אִינוּן דְּרָכְבִין עַל מֶרְכָּבוֹת.</w:t>
      </w:r>
    </w:p>
    <w:p w:rsidR="006D2826" w:rsidRDefault="006D2826" w:rsidP="006D2826">
      <w:pPr>
        <w:pStyle w:val="NormalWeb"/>
        <w:rPr>
          <w:b w:val="0"/>
          <w:bCs w:val="0"/>
          <w:rtl/>
        </w:rPr>
      </w:pPr>
      <w:r>
        <w:rPr>
          <w:rStyle w:val="a7"/>
          <w:b w:val="0"/>
          <w:bCs w:val="0"/>
          <w:rtl/>
        </w:rPr>
        <w:footnoteReference w:id="5371"/>
      </w:r>
      <w:r>
        <w:rPr>
          <w:b w:val="0"/>
          <w:bCs w:val="0"/>
          <w:rtl/>
        </w:rPr>
        <w:t xml:space="preserve">וְעוֹד וְגַבֵּיהֶן אִלֵּין אִינוּן אוֹפַנִּים, דְּאִינוּן כְּגַוְונָא דְאַתְוָון, וְגֹבַהּ לָהֶם אִלֵּין אִינוּן שְׂרָפִים דְּאִינוּן לָקֳבֵל טַעֲמֵי דִלְעִילָא, כִּתְרִין עַל אַתְוָון, וְגַבּוֹתָם מְלֵאוֹת עִינַיִם אִלֵּין נְקוּדִין, דְּאַתְוָון מְלֵאוֹת עִינַיִם מִנַּיְיהוּ, כְּמָה דְאַתְּ אָמַר </w:t>
      </w:r>
      <w:r>
        <w:rPr>
          <w:b w:val="0"/>
          <w:sz w:val="20"/>
          <w:szCs w:val="23"/>
          <w:rtl/>
        </w:rPr>
        <w:t>(זכריה ד י)</w:t>
      </w:r>
      <w:r>
        <w:rPr>
          <w:b w:val="0"/>
          <w:bCs w:val="0"/>
          <w:rtl/>
        </w:rPr>
        <w:t xml:space="preserve"> עִינֵי יהו''ה הֵמָּה מְשׁוֹטְטִים בְּכָל הָאָרֶץ, מַאי לְאַרְבַּעְתָּם, </w:t>
      </w:r>
      <w:r>
        <w:rPr>
          <w:rStyle w:val="a7"/>
          <w:b w:val="0"/>
          <w:bCs w:val="0"/>
          <w:rtl/>
        </w:rPr>
        <w:footnoteReference w:id="5372"/>
      </w:r>
      <w:r>
        <w:rPr>
          <w:b w:val="0"/>
          <w:bCs w:val="0"/>
          <w:rtl/>
        </w:rPr>
        <w:t xml:space="preserve">אִלֵּין תְּלַת חֵיוָון, אִינוּן דְּאִתְקְרִיאוּ בִשְׁמָא דְיהו''ה, תְּלַת זִמְנִין כְּגַוְונָא דָא יהו''ה יהו''ה יהו''ה, אִלֵּין אִינוּן אַרְבַּע אַנְפִּין לְכָל סְטַר לְכָל חַיָּה, וְגַבּוֹתָם מְלֵאוֹת עִינַיִם כְּגַוְונָא דָא [ציור] </w:t>
      </w:r>
      <w:r>
        <w:rPr>
          <w:b w:val="0"/>
          <w:sz w:val="20"/>
          <w:szCs w:val="23"/>
          <w:rtl/>
        </w:rPr>
        <w:t>(א"ה כאן מצאתי כתוב בהעתק ג' שמות יקוק כתובים בזירי, הי' בג' זירי, והה"י בג' זירי בכל צד הרי ט', וג' בו', ובין כלם הם כ"ד, וג' פעמים כ"ד הם ע"ב)</w:t>
      </w:r>
      <w:r>
        <w:rPr>
          <w:b w:val="0"/>
          <w:bCs w:val="0"/>
          <w:rtl/>
        </w:rPr>
        <w:t xml:space="preserve"> הָא הָכָא שִׁבְעִים וּתְרֵין עַיְינִין </w:t>
      </w:r>
      <w:r>
        <w:rPr>
          <w:rStyle w:val="a7"/>
          <w:b w:val="0"/>
          <w:bCs w:val="0"/>
          <w:rtl/>
        </w:rPr>
        <w:footnoteReference w:id="5373"/>
      </w:r>
      <w:r>
        <w:rPr>
          <w:b w:val="0"/>
          <w:bCs w:val="0"/>
          <w:rtl/>
        </w:rPr>
        <w:t xml:space="preserve">דְּאִינוּן לָקֳבֵל שִׁבְעִים סַנְהֶדְרִין, וּמֹשֶׁה וְאַהֲרֹן עַל גַּבֵּיהוֹן, אִלֵּין אִינוּן וְגַבֵּיהֶן וְגֹבַהּ לָהֶם. כְּגַוְונָא דָא [ציור] </w:t>
      </w:r>
      <w:r>
        <w:rPr>
          <w:b w:val="0"/>
          <w:sz w:val="20"/>
          <w:szCs w:val="23"/>
          <w:rtl/>
        </w:rPr>
        <w:t xml:space="preserve">(א"ה כאן מצאתי ג' שמות יק"ו קו"י וק"י באופן שזכרתי, שעולים כל העיינין מ"ה) </w:t>
      </w:r>
      <w:r>
        <w:rPr>
          <w:b w:val="0"/>
          <w:bCs w:val="0"/>
          <w:rtl/>
        </w:rPr>
        <w:t xml:space="preserve">הָא הָכָא חָמֵשׁ וְאַרְבְּעִין עַיְינִין כְּחֻשְׁבַּן אָדָם וְאִינוּן יה''ו הו''י וה''י. </w:t>
      </w:r>
      <w:r>
        <w:rPr>
          <w:rStyle w:val="a7"/>
          <w:b w:val="0"/>
          <w:bCs w:val="0"/>
          <w:rtl/>
        </w:rPr>
        <w:footnoteReference w:id="5374"/>
      </w:r>
      <w:r>
        <w:rPr>
          <w:b w:val="0"/>
          <w:bCs w:val="0"/>
          <w:rtl/>
        </w:rPr>
        <w:t xml:space="preserve">וְעוֹד וְגַבֵּיהֶן דָּא שְׁכִינְתָּא דְאִיהִי עַל גַּבֵּי חֵיוָון וּמַשִּׁרְיָין כֻּלְּהוּ, הֲדָא הוּא דִכְתִיב </w:t>
      </w:r>
      <w:r>
        <w:rPr>
          <w:b w:val="0"/>
          <w:sz w:val="20"/>
          <w:szCs w:val="23"/>
          <w:rtl/>
        </w:rPr>
        <w:t>(תהלים קג יט)</w:t>
      </w:r>
      <w:r>
        <w:rPr>
          <w:b w:val="0"/>
          <w:bCs w:val="0"/>
          <w:rtl/>
        </w:rPr>
        <w:t xml:space="preserve"> וּמַלְכוּתוֹ בַּכֹּל מָשָׁלָה, וְגֹבַהּ לָהֶם דָּא עַמּוּדָא דְאֶמְצָעִיתָא, דִּשְׁכִינְתָּא אִיהִי עַל גַּבֵּי אוֹפַנִּים, וְעַמּוּדָא דְאֶמְצָעִיתָא </w:t>
      </w:r>
      <w:r>
        <w:rPr>
          <w:rStyle w:val="a7"/>
          <w:b w:val="0"/>
          <w:bCs w:val="0"/>
          <w:rtl/>
        </w:rPr>
        <w:footnoteReference w:id="5375"/>
      </w:r>
      <w:r>
        <w:rPr>
          <w:b w:val="0"/>
          <w:bCs w:val="0"/>
          <w:rtl/>
        </w:rPr>
        <w:t xml:space="preserve">דְאִיהוּ כְּלִיל שִׁית סְפִירָן עַל גַּבֵּי חֵיוָון, דְּאִיהוּ כָּלִיל לוֹן מטטרו''ן, וְדָא אִיהוּ כִּי גָבֹהַּ מֵעַל גָּבֹהַּ שֹׁמֵר וּגְבוֹהִים עֲלֵיהֶם </w:t>
      </w:r>
      <w:r>
        <w:rPr>
          <w:b w:val="0"/>
          <w:sz w:val="20"/>
          <w:szCs w:val="23"/>
          <w:rtl/>
        </w:rPr>
        <w:t>(קהלת ה ז)</w:t>
      </w:r>
      <w:r>
        <w:rPr>
          <w:b w:val="0"/>
          <w:bCs w:val="0"/>
          <w:rtl/>
        </w:rPr>
        <w:t xml:space="preserve">, אִלֵּין אִינוּן אַבָּא וְאִימָּא, </w:t>
      </w:r>
      <w:r>
        <w:rPr>
          <w:rStyle w:val="a7"/>
          <w:b w:val="0"/>
          <w:bCs w:val="0"/>
          <w:rtl/>
        </w:rPr>
        <w:footnoteReference w:id="5376"/>
      </w:r>
      <w:r>
        <w:rPr>
          <w:b w:val="0"/>
          <w:bCs w:val="0"/>
          <w:rtl/>
        </w:rPr>
        <w:t>כִּתְרָא עַל רָאשֵׁהוֹן, דְּאִינוּן עַל גַּבֵּי שְׂרָפִים דְּתַלְיָין מִכָּרְסַיָּא.</w:t>
      </w:r>
    </w:p>
    <w:p w:rsidR="006D2826" w:rsidRDefault="006D2826" w:rsidP="006D2826">
      <w:pPr>
        <w:pStyle w:val="NormalWeb"/>
        <w:rPr>
          <w:b w:val="0"/>
          <w:bCs w:val="0"/>
          <w:rtl/>
        </w:rPr>
      </w:pPr>
      <w:r>
        <w:rPr>
          <w:rStyle w:val="a7"/>
          <w:b w:val="0"/>
          <w:bCs w:val="0"/>
          <w:rtl/>
        </w:rPr>
        <w:footnoteReference w:id="5377"/>
      </w:r>
      <w:r>
        <w:rPr>
          <w:b w:val="0"/>
          <w:bCs w:val="0"/>
          <w:rtl/>
        </w:rPr>
        <w:t xml:space="preserve">וְעוֹד וְגַבֵּיהֶן דָּא אִימָּא עִלָּאָה, דְאִיהִי עַל גַּבֵּי סְפִירָן דְּאִינוּן תְּחוֹתָהּ, דְּמִינָהּ כָּל אַתְוָון, וְגֹבַהּ לָהֶם דָּא חָכְמָה, דְמִתַּמָּן נְקוּדִין, וְיִרְאָה לָהֶם דָּא כִּתְרָא דְתַמָּן טַעֲמֵי, וְגַבּוֹתָם מְלֵאוֹת עִינַיִם, אִינוּן אוֹר צַח אוֹר מְצוּחְצָח אוֹר קַדְמוֹן, וְכַמָּה נְהוֹרִין דְּתַלְיָין מִנַּיְיהוּ </w:t>
      </w:r>
      <w:r>
        <w:rPr>
          <w:rStyle w:val="a7"/>
          <w:b w:val="0"/>
          <w:bCs w:val="0"/>
          <w:rtl/>
        </w:rPr>
        <w:footnoteReference w:id="5378"/>
      </w:r>
      <w:r>
        <w:rPr>
          <w:b w:val="0"/>
          <w:bCs w:val="0"/>
          <w:rtl/>
        </w:rPr>
        <w:t>דְנָהֲרִין מִלְּגָאו, כְּנִשְׁמָתָא בְגוּפָא.</w:t>
      </w:r>
    </w:p>
    <w:p w:rsidR="006D2826" w:rsidRDefault="006D2826" w:rsidP="006D2826">
      <w:pPr>
        <w:pStyle w:val="NormalWeb"/>
        <w:rPr>
          <w:b w:val="0"/>
          <w:sz w:val="20"/>
          <w:szCs w:val="23"/>
          <w:rtl/>
        </w:rPr>
      </w:pPr>
      <w:r>
        <w:rPr>
          <w:rStyle w:val="a7"/>
          <w:b w:val="0"/>
          <w:bCs w:val="0"/>
          <w:rtl/>
        </w:rPr>
        <w:footnoteReference w:id="5379"/>
      </w:r>
      <w:r>
        <w:rPr>
          <w:b w:val="0"/>
          <w:bCs w:val="0"/>
          <w:rtl/>
        </w:rPr>
        <w:t xml:space="preserve">וְעוֹד וְגַבֵּיהֶן אִלֵּין אִינוּן שִׁבְעָה גִלְדֵּי עִינָא, דְאִינוּן דָּא עַל גַּב דָּא כְּגִלְדֵּי בְצָלִים, וְגֹבַהּ לָהֶם אִלֵּין כַּנְפֵי עִינָא וּכְרוּבֵי עִינָא, וְגַבּוֹתָם מְלֵאוֹת עִינַיִם דָא עִינָא דְאִיהוּ כְּלִיל כָּל גַּוָּונִין, דְּאַרְבַּע גַּוָּונִין אִית בְּעִינָא לָקֳבֵל אַרְבַּע אַנְפִּין דְּכָל חַיָּה, וּתְרֵין כַּנְפֵי עִינָא דְאִינוּן עַפְעַפַּיִן, וּתְרֵין כְּרוּבֵי עִינָא, אִינוּן לָקֳבֵל אַרְבַּע גַּדְפִין דְּכָל חַיָּה, וּבְאִלֵּין אַרְבַּע גַּוָּונִין דְּעִינָא נָהֲרִין אַרְבַּע אַתְוָון יהו''ה, וּבְאַרְבַּע כַּנְפֵי עִינָא נָהִיר אדנ''י, דָּא אִיהוּ כִּי גָּבוֹהַּ מֵעַל גָּבֹהַּ שֹׁמֵר, וּגְבֹהִים עֲלֵיהֶם </w:t>
      </w:r>
      <w:r>
        <w:rPr>
          <w:b w:val="0"/>
          <w:sz w:val="20"/>
          <w:szCs w:val="23"/>
          <w:rtl/>
        </w:rPr>
        <w:t>(שם)</w:t>
      </w:r>
      <w:r>
        <w:rPr>
          <w:b w:val="0"/>
          <w:bCs w:val="0"/>
          <w:rtl/>
        </w:rPr>
        <w:t xml:space="preserve"> אִלֵּין אִינוּן יהו''ה אהי''ה, אַבָּא וְאִימָּא. </w:t>
      </w:r>
      <w:r>
        <w:rPr>
          <w:b w:val="0"/>
          <w:sz w:val="20"/>
          <w:szCs w:val="23"/>
          <w:rtl/>
        </w:rPr>
        <w:t>א.ה. הקטע שהיה כאן נמצא לעיל קכו ע"א או ע"ב תלוי בגירסאות.</w:t>
      </w:r>
    </w:p>
    <w:p w:rsidR="006D2826" w:rsidRDefault="006D2826" w:rsidP="006D2826">
      <w:pPr>
        <w:pStyle w:val="aa"/>
        <w:spacing w:after="40"/>
        <w:rPr>
          <w:rtl/>
        </w:rPr>
      </w:pPr>
      <w:r>
        <w:rPr>
          <w:rtl/>
        </w:rPr>
        <w:t xml:space="preserve">[תיקוני זוהר - דף קכז ע''א] </w:t>
      </w:r>
    </w:p>
    <w:p w:rsidR="006D2826" w:rsidRDefault="006D2826" w:rsidP="006D2826">
      <w:pPr>
        <w:pStyle w:val="NormalWeb"/>
        <w:rPr>
          <w:b w:val="0"/>
          <w:bCs w:val="0"/>
          <w:rtl/>
        </w:rPr>
      </w:pPr>
      <w:r>
        <w:rPr>
          <w:b w:val="0"/>
          <w:bCs w:val="0"/>
          <w:rtl/>
        </w:rPr>
        <w:t xml:space="preserve">כְּרוּבֵי עִינָא וְעַפְעַפֵּי עִינָא עֲלַיְיהוּ אִתְּמַר </w:t>
      </w:r>
      <w:r>
        <w:rPr>
          <w:b w:val="0"/>
          <w:sz w:val="20"/>
          <w:szCs w:val="23"/>
          <w:rtl/>
        </w:rPr>
        <w:t>(שמות כה כ)</w:t>
      </w:r>
      <w:r>
        <w:rPr>
          <w:b w:val="0"/>
          <w:bCs w:val="0"/>
          <w:rtl/>
        </w:rPr>
        <w:t xml:space="preserve"> וְהָיוּ הַכְּרוּבִים פּוֹרְשֵׂי כְנָפַיִם לְמַעְלָה סוֹכְכִים בְּכַנְפֵיהֶם עַל הַכַּפֹּרֶת </w:t>
      </w:r>
      <w:r>
        <w:rPr>
          <w:rStyle w:val="a7"/>
          <w:b w:val="0"/>
          <w:bCs w:val="0"/>
          <w:rtl/>
        </w:rPr>
        <w:footnoteReference w:id="5380"/>
      </w:r>
      <w:r>
        <w:rPr>
          <w:b w:val="0"/>
          <w:bCs w:val="0"/>
          <w:rtl/>
        </w:rPr>
        <w:t xml:space="preserve">וּפְנֵיהֶם אִישׁ אֶל אָחִיו, דָּא כַּפּוּרְתָּא דְעִינָא, תְּלַת גַּוָּונִין דְּעִינָא אִינוּן אהי''ה יהו''ה אדנ''י, כְּלָל וּפְרָט וּכְלָל, וְאִינוּן יִחוּדָא בְּרָכָה קְדוּשָׁה, וְסִימָן יַ עֲנֵנוּ בְ יוֹם קָ רְאֵנוּ </w:t>
      </w:r>
      <w:r>
        <w:rPr>
          <w:b w:val="0"/>
          <w:sz w:val="20"/>
          <w:szCs w:val="23"/>
          <w:rtl/>
        </w:rPr>
        <w:t>(תהלים כ י)</w:t>
      </w:r>
      <w:r>
        <w:rPr>
          <w:b w:val="0"/>
          <w:bCs w:val="0"/>
          <w:rtl/>
        </w:rPr>
        <w:t xml:space="preserve">, דְּהָכִי סָלִיק חֻשְׁבַּן תְּלַת שְׁמָהָן אִלֵּין כְּחוּשְׁבַּן יב''ק, אהי''ה כֶּתֶר עִלָּאָה, יהו''ה </w:t>
      </w:r>
      <w:r>
        <w:rPr>
          <w:b w:val="0"/>
          <w:sz w:val="20"/>
          <w:szCs w:val="23"/>
          <w:rtl/>
        </w:rPr>
        <w:t xml:space="preserve">(דף קכז ע''א) </w:t>
      </w:r>
      <w:r>
        <w:rPr>
          <w:b w:val="0"/>
          <w:bCs w:val="0"/>
          <w:rtl/>
        </w:rPr>
        <w:t xml:space="preserve">עַמּוּדָא דְאֶמְצָעִיתָא, אדנ''י שְׁכִינְתָּא תַּתָּאָה, </w:t>
      </w:r>
      <w:r>
        <w:rPr>
          <w:rStyle w:val="Char"/>
          <w:rtl/>
        </w:rPr>
        <w:t xml:space="preserve">אהי''ה </w:t>
      </w:r>
      <w:r>
        <w:rPr>
          <w:b w:val="0"/>
          <w:bCs w:val="0"/>
          <w:rtl/>
        </w:rPr>
        <w:t xml:space="preserve">כְּלָל, </w:t>
      </w:r>
      <w:r>
        <w:rPr>
          <w:rStyle w:val="Char"/>
          <w:rtl/>
        </w:rPr>
        <w:t>יהו''ה</w:t>
      </w:r>
      <w:r>
        <w:rPr>
          <w:b w:val="0"/>
          <w:szCs w:val="23"/>
          <w:rtl/>
        </w:rPr>
        <w:t xml:space="preserve"> </w:t>
      </w:r>
      <w:r>
        <w:rPr>
          <w:rStyle w:val="Char"/>
          <w:rtl/>
        </w:rPr>
        <w:t xml:space="preserve">פְּרָט, </w:t>
      </w:r>
      <w:r>
        <w:rPr>
          <w:b w:val="0"/>
          <w:bCs w:val="0"/>
          <w:rtl/>
        </w:rPr>
        <w:t>אדנ''י וּכְלָל.</w:t>
      </w:r>
    </w:p>
    <w:p w:rsidR="006D2826" w:rsidRDefault="006D2826" w:rsidP="006D2826">
      <w:pPr>
        <w:pStyle w:val="NormalWeb"/>
        <w:rPr>
          <w:b w:val="0"/>
          <w:bCs w:val="0"/>
          <w:rtl/>
        </w:rPr>
      </w:pPr>
      <w:r>
        <w:rPr>
          <w:b w:val="0"/>
          <w:bCs w:val="0"/>
          <w:rtl/>
        </w:rPr>
        <w:t xml:space="preserve">וְעוֹד עִינָא כְּגַוְונָא דְגוּפָא, תְּרֵין כְּרוּבִין דִּילֵיהּ כְּגַוְונָא דִתְרֵין שׁוֹקִין, תְּרֵין עַפְעַפֵּי עִינָא לָקֳבֵל תְּרֵין דְּרוֹעִין, אִלֵּין מְסַכְּכִין וְאִלֵּין פָּרְחִין, וְאִית כְּרוּבֵי עִינָא רַבְרְבִין וְעִינָא זְעִירָא וְאִית כְּרוּבֵי עִינָא זְעִירִין וְעִינָא רַבְרְבָא, בְּגִין דָּא אָמַר לְאַהֲרֹן </w:t>
      </w:r>
      <w:r>
        <w:rPr>
          <w:rStyle w:val="a7"/>
          <w:b w:val="0"/>
          <w:bCs w:val="0"/>
          <w:rtl/>
        </w:rPr>
        <w:footnoteReference w:id="5381"/>
      </w:r>
      <w:r>
        <w:rPr>
          <w:b w:val="0"/>
          <w:bCs w:val="0"/>
          <w:rtl/>
        </w:rPr>
        <w:t xml:space="preserve">וְלָבַשׁ הַכֹּהֵן מִדּוֹ בַד </w:t>
      </w:r>
      <w:r>
        <w:rPr>
          <w:b w:val="0"/>
          <w:sz w:val="20"/>
          <w:szCs w:val="23"/>
          <w:rtl/>
        </w:rPr>
        <w:t>(ויקרא ו ג)</w:t>
      </w:r>
      <w:r>
        <w:rPr>
          <w:b w:val="0"/>
          <w:bCs w:val="0"/>
          <w:rtl/>
        </w:rPr>
        <w:t>, וְאוּקְמוּהוּ מָארֵי מַתְנִיתִין, מַאי מִדּוֹ כְּמִדָּתוֹ, הָכִי צְרִיכִין לְבוּשֵׁי עִינָא דְאִינוּן כְּרוּבֵי עִינָא, דְאִינוּן דּוּ פַּרְצוּפִין כָּתְנוֹת עוֹר, דִּיְהוֹן כְּמִדָּה דְעִינָא.</w:t>
      </w:r>
    </w:p>
    <w:p w:rsidR="006D2826" w:rsidRDefault="006D2826" w:rsidP="006D2826">
      <w:pPr>
        <w:pStyle w:val="NormalWeb"/>
        <w:rPr>
          <w:b w:val="0"/>
          <w:bCs w:val="0"/>
          <w:rtl/>
        </w:rPr>
      </w:pPr>
      <w:r>
        <w:rPr>
          <w:b w:val="0"/>
          <w:bCs w:val="0"/>
          <w:rtl/>
        </w:rPr>
        <w:t xml:space="preserve">וּבְגִין דָּא </w:t>
      </w:r>
      <w:r>
        <w:rPr>
          <w:b w:val="0"/>
          <w:sz w:val="20"/>
          <w:szCs w:val="23"/>
          <w:rtl/>
        </w:rPr>
        <w:t>(דברים כה יד)</w:t>
      </w:r>
      <w:r>
        <w:rPr>
          <w:b w:val="0"/>
          <w:bCs w:val="0"/>
          <w:rtl/>
        </w:rPr>
        <w:t xml:space="preserve"> לֹא יִהְיֶה לְךָ בְּבֵיתְךָ אֵיפָה וְאֵיפָה גְּדוֹלָה וּקְטַנָּה, דְּאֶצְבַּע </w:t>
      </w:r>
      <w:r>
        <w:rPr>
          <w:rtl/>
        </w:rPr>
        <w:t xml:space="preserve">(ס"א </w:t>
      </w:r>
      <w:r>
        <w:rPr>
          <w:rStyle w:val="a7"/>
          <w:rtl/>
        </w:rPr>
        <w:footnoteReference w:id="5382"/>
      </w:r>
      <w:r>
        <w:rPr>
          <w:rtl/>
        </w:rPr>
        <w:t>דְּגוֹדָל)</w:t>
      </w:r>
      <w:r>
        <w:rPr>
          <w:b w:val="0"/>
          <w:bCs w:val="0"/>
          <w:rtl/>
        </w:rPr>
        <w:t xml:space="preserve"> אִיהוּ מִדָּה לְעַיְינִין לְחוֹטָמָא לְשִׂפְוָון לְאוּדְנִין לְפוּמָא, הַאי אִיהוּ מִדָּה דְכֹלָּא, וּבְגִין דָּא אָמַר קְרָא </w:t>
      </w:r>
      <w:r>
        <w:rPr>
          <w:b w:val="0"/>
          <w:sz w:val="20"/>
          <w:szCs w:val="23"/>
          <w:rtl/>
        </w:rPr>
        <w:t>(שמות כו ב)</w:t>
      </w:r>
      <w:r>
        <w:rPr>
          <w:b w:val="0"/>
          <w:bCs w:val="0"/>
          <w:rtl/>
        </w:rPr>
        <w:t xml:space="preserve"> מִדָּה אַחַת לְכָל הַיְרִיעוֹת, </w:t>
      </w:r>
      <w:r>
        <w:rPr>
          <w:rStyle w:val="a7"/>
          <w:b w:val="0"/>
          <w:bCs w:val="0"/>
          <w:rtl/>
        </w:rPr>
        <w:footnoteReference w:id="5383"/>
      </w:r>
      <w:r>
        <w:rPr>
          <w:b w:val="0"/>
          <w:bCs w:val="0"/>
          <w:rtl/>
        </w:rPr>
        <w:t xml:space="preserve">וְעַל כַּנְפֵי עִינָא אִתְּמַר </w:t>
      </w:r>
      <w:r>
        <w:rPr>
          <w:b w:val="0"/>
          <w:sz w:val="20"/>
          <w:szCs w:val="23"/>
          <w:rtl/>
        </w:rPr>
        <w:t>(תהלים קד ד)</w:t>
      </w:r>
      <w:r>
        <w:rPr>
          <w:b w:val="0"/>
          <w:bCs w:val="0"/>
          <w:rtl/>
        </w:rPr>
        <w:t xml:space="preserve"> עוֹשֶׂה מַלְאָכָיו רוּחוֹת מְשָׁרְתָיו </w:t>
      </w:r>
      <w:r>
        <w:rPr>
          <w:rStyle w:val="a7"/>
          <w:b w:val="0"/>
          <w:bCs w:val="0"/>
          <w:rtl/>
        </w:rPr>
        <w:footnoteReference w:id="5384"/>
      </w:r>
      <w:r>
        <w:rPr>
          <w:b w:val="0"/>
          <w:bCs w:val="0"/>
          <w:rtl/>
        </w:rPr>
        <w:t xml:space="preserve">אֵשׁ לוֹהֵט, אִלֵּין אִינוּן גַּוְּונֵי עִינָא, וְלָקֳבֵל תְּרֵין כַּנְפֵי עִינָא אִינוּן תְּרֵין שִׂפְוָון דְּפָתְחִין וְסָגְרִין, וּלְקִבְלַיְיהוּ תְּרֵין כַּנְפֵי רֵיאָה, </w:t>
      </w:r>
      <w:r>
        <w:rPr>
          <w:rStyle w:val="a7"/>
          <w:b w:val="0"/>
          <w:bCs w:val="0"/>
          <w:rtl/>
        </w:rPr>
        <w:footnoteReference w:id="5385"/>
      </w:r>
      <w:r>
        <w:rPr>
          <w:b w:val="0"/>
          <w:bCs w:val="0"/>
          <w:rtl/>
        </w:rPr>
        <w:t>וְעִינָא לָקֳבֵל לִבָּא דְאִיהוּ אֵשׁ לוֹהֵט, וּבְכַנְפֵי רֵיאָה רוּחָא דְנָשֵׁיב בְּהוֹן, עֲלַיְיהוּ אִתְּמַר עוֹשֶׂה מַלְאָכָיו רוּחוֹת.</w:t>
      </w:r>
    </w:p>
    <w:p w:rsidR="006D2826" w:rsidRDefault="006D2826" w:rsidP="006D2826">
      <w:pPr>
        <w:pStyle w:val="NormalWeb"/>
        <w:rPr>
          <w:b w:val="0"/>
          <w:bCs w:val="0"/>
          <w:rtl/>
        </w:rPr>
      </w:pPr>
      <w:r>
        <w:rPr>
          <w:b w:val="0"/>
          <w:bCs w:val="0"/>
          <w:rtl/>
        </w:rPr>
        <w:t xml:space="preserve">וְכָל אֵבֶר וְאֵבֶר בָּרָא לֵיהּ קוּדְשָׁא בְּרִיךְ הוּא בַּמִּדָּה בַּמִּשְׁקָל, וְאִם תִּשְׁכַּח עַיְינִין חַד זְעִיר וְחַד רַבְרְבָא, לַאו אִיהוּ דָא בַּמִּשְׁקָל וּבְמִדָּה, שַׁקְרָן אִיהוּ, אִסְתַּמַּר מִינֵיהּ, אוֹ אִם עַיְינִין רַבְרְבִין וּפוּמָא זְעִירָא, וְחוֹטָמָא אֲרִיכָא וְאַנְפִּין זְעִירִין, </w:t>
      </w:r>
      <w:r>
        <w:rPr>
          <w:b w:val="0"/>
          <w:sz w:val="20"/>
          <w:szCs w:val="23"/>
          <w:rtl/>
        </w:rPr>
        <w:t>(נ''א עקימין)</w:t>
      </w:r>
      <w:r>
        <w:rPr>
          <w:b w:val="0"/>
          <w:bCs w:val="0"/>
          <w:rtl/>
        </w:rPr>
        <w:t xml:space="preserve"> דְּלָא אָזְלִין כֻּלְּהוֹן בְּמִדָּה, עַיְינִין וְחוֹטָמָא וְאַנְפִּין וּפוּמָא, </w:t>
      </w:r>
      <w:r>
        <w:rPr>
          <w:rStyle w:val="a7"/>
          <w:b w:val="0"/>
          <w:bCs w:val="0"/>
          <w:rtl/>
        </w:rPr>
        <w:footnoteReference w:id="5386"/>
      </w:r>
      <w:r>
        <w:rPr>
          <w:b w:val="0"/>
          <w:bCs w:val="0"/>
          <w:rtl/>
        </w:rPr>
        <w:t xml:space="preserve">עַוְלָן אִיהוּ דָא, וּבְגִין דָּא לֹא תַעֲשׂוּ עָוְל בַּמִּשְׁפָּט בַּמִּדָּה וְגוֹמֵר </w:t>
      </w:r>
      <w:r>
        <w:rPr>
          <w:b w:val="0"/>
          <w:sz w:val="20"/>
          <w:szCs w:val="23"/>
          <w:rtl/>
        </w:rPr>
        <w:t>(ויקרא יט לה)</w:t>
      </w:r>
      <w:r>
        <w:rPr>
          <w:b w:val="0"/>
          <w:bCs w:val="0"/>
          <w:rtl/>
        </w:rPr>
        <w:t xml:space="preserve">, בַּמִּדָּה </w:t>
      </w:r>
      <w:r>
        <w:rPr>
          <w:rStyle w:val="a7"/>
          <w:b w:val="0"/>
          <w:bCs w:val="0"/>
          <w:rtl/>
        </w:rPr>
        <w:footnoteReference w:id="5387"/>
      </w:r>
      <w:r>
        <w:rPr>
          <w:b w:val="0"/>
          <w:bCs w:val="0"/>
          <w:rtl/>
        </w:rPr>
        <w:t xml:space="preserve">דָא מִדָּה דְשִׁיעוּר קוֹמָה. דְכָל מָאן דְּלָא אִיהוּ בַּעַל מִדּוֹת, אַכְחִישׁ שִׁעוּר קוֹמָה דִלְעִילָא, וְלָא אִתְנְטִיל מִתַּמָּן, דַּעֲשַׂר סְפִירָן דִּלְעִילָא כֻּלְּהוּ אָזְלִין </w:t>
      </w:r>
      <w:r>
        <w:rPr>
          <w:rStyle w:val="a7"/>
          <w:b w:val="0"/>
          <w:bCs w:val="0"/>
          <w:rtl/>
        </w:rPr>
        <w:footnoteReference w:id="5388"/>
      </w:r>
      <w:r>
        <w:rPr>
          <w:b w:val="0"/>
          <w:bCs w:val="0"/>
          <w:rtl/>
        </w:rPr>
        <w:t>בַּמִּדָּה מִסִּטְרָא דְאָת י', וּבַמִּשְׁקָל מִסִּטְרָא דְאָת ו', תְּרֵי מֹאזְנֵי הַשֶּׁקֶל אִינוּן ה' ה', מִדָּה אַחַת.</w:t>
      </w:r>
    </w:p>
    <w:p w:rsidR="006D2826" w:rsidRDefault="006D2826" w:rsidP="006D2826">
      <w:pPr>
        <w:pStyle w:val="NormalWeb"/>
        <w:rPr>
          <w:b w:val="0"/>
          <w:sz w:val="20"/>
          <w:szCs w:val="23"/>
          <w:rtl/>
        </w:rPr>
      </w:pPr>
      <w:r>
        <w:rPr>
          <w:rStyle w:val="a7"/>
          <w:b w:val="0"/>
          <w:bCs w:val="0"/>
          <w:rtl/>
        </w:rPr>
        <w:footnoteReference w:id="5389"/>
      </w:r>
      <w:r>
        <w:rPr>
          <w:b w:val="0"/>
          <w:bCs w:val="0"/>
          <w:rtl/>
        </w:rPr>
        <w:t xml:space="preserve">תָּא חֲזִי י' אִיהוּ רֵישָׁא, וְאִיהוּ מִדָּה דְעַיְינִין דְּאוּדְנִין דְּאַנְפִּין דִּתְרֵין נוּקְבִין דְּחוֹטָמָא, מִדָּה דְפוּמָא, שֶׁקֶל הַקֹּדֶשׁ דָּא ו', שֶׁקֶל דְּגוּפָא, כַּנְפֵי הַשֶּׁקֶל ה' אֶצְבְּעָן דִּימִינָא וְה' דִשְׂמָאלָא, וּבְגִין דִּשְׁמָא דְיהו''ה אִיהוּ מִדָּה וְשִׁעוּר וּמִשְׁקָל, אָמַר קְרָא </w:t>
      </w:r>
      <w:r>
        <w:rPr>
          <w:b w:val="0"/>
          <w:sz w:val="20"/>
          <w:szCs w:val="23"/>
          <w:rtl/>
        </w:rPr>
        <w:t>(ויקרא יט לה)</w:t>
      </w:r>
      <w:r>
        <w:rPr>
          <w:b w:val="0"/>
          <w:bCs w:val="0"/>
          <w:rtl/>
        </w:rPr>
        <w:t xml:space="preserve"> לֹא תַעֲשׂוּ עָוְל בַּמִּשְׁפָּט בַּמִּדָּה בַּמִּשְׁקָל וּבַמְּשׂוּרָה, </w:t>
      </w:r>
      <w:r>
        <w:rPr>
          <w:rStyle w:val="a7"/>
          <w:b w:val="0"/>
          <w:bCs w:val="0"/>
          <w:rtl/>
        </w:rPr>
        <w:footnoteReference w:id="5390"/>
      </w:r>
      <w:r>
        <w:rPr>
          <w:b w:val="0"/>
          <w:bCs w:val="0"/>
          <w:rtl/>
        </w:rPr>
        <w:t xml:space="preserve">וּכְגַוְונָא דָא לֹא יִהְיֶה לְךָ בְּכִיסְךָ אֶבֶן וָאָבֶן גְּדוֹלָה וּקְטַנָּה </w:t>
      </w:r>
      <w:r>
        <w:rPr>
          <w:b w:val="0"/>
          <w:sz w:val="20"/>
          <w:szCs w:val="23"/>
          <w:rtl/>
        </w:rPr>
        <w:t>(דברים כה יג)</w:t>
      </w:r>
      <w:r>
        <w:rPr>
          <w:b w:val="0"/>
          <w:szCs w:val="23"/>
          <w:rtl/>
        </w:rPr>
        <w:t xml:space="preserve">, </w:t>
      </w:r>
      <w:r>
        <w:rPr>
          <w:rStyle w:val="Char"/>
          <w:rtl/>
        </w:rPr>
        <w:t>מַאי כִּיס הָכָא דָא פוּמָא.</w:t>
      </w:r>
    </w:p>
    <w:p w:rsidR="006D2826" w:rsidRDefault="006D2826" w:rsidP="006D2826">
      <w:pPr>
        <w:pStyle w:val="NormalWeb"/>
        <w:rPr>
          <w:b w:val="0"/>
          <w:bCs w:val="0"/>
          <w:rtl/>
        </w:rPr>
      </w:pPr>
      <w:r>
        <w:rPr>
          <w:b w:val="0"/>
          <w:bCs w:val="0"/>
          <w:rtl/>
        </w:rPr>
        <w:t>אַדְהָכִי הָא סָבָא עִלָּאָה אִזְדַּמַּן לְגַבֵּיהּ, וְאָמַר וְהָא אִם עַיְינִין שְׁקִילִין הָא אִינוּן בַּמִּדָּה, אֲבָל אִם אִינוּן עַיְינִין רַבְרְבָן וְשִׂפְוָון זְעִירִין לָא אַכְחִישׁ מִדָּה, אֶלָּא אִם עַיְינִין דָּא רַב וְדָא קְצִר, דָּא עָב וְדָא כָּחוּשׁ, אוֹ אַנְפִּין דָּא אֲרִיךְ וְדָא קְצִר, דָּא עָב וְדָא כָּחוּשׁ, אֶלָּא בָּתַר דְּזִיווּגִין שְׁקִילִין כָּל חַד לְמִינֵיהּ, וַדַּאי לָא אַכְחִישׁ עוֹבָדָא דִבְּרֵאשִׁית.</w:t>
      </w:r>
    </w:p>
    <w:p w:rsidR="006D2826" w:rsidRDefault="006D2826" w:rsidP="006D2826">
      <w:pPr>
        <w:pStyle w:val="NormalWeb"/>
        <w:rPr>
          <w:b w:val="0"/>
          <w:bCs w:val="0"/>
          <w:rtl/>
        </w:rPr>
      </w:pPr>
      <w:r>
        <w:rPr>
          <w:b w:val="0"/>
          <w:bCs w:val="0"/>
          <w:rtl/>
        </w:rPr>
        <w:t xml:space="preserve">ב' בְּתוֹסֶפֶת, תְּרֵין כִּיסוֹת פִּימָא וְלִבָּא, דְּהָכִי אוּקְמוּהוּ מָארֵי מַתְנִיתִין עֲלַיְיהוּ, מִי שֶׁאֵין תּוֹכוֹ כְּבַרוֹ אַל יִכָּנֵס לְבֵית הַמֶּדְרָשׁ, דְּוַדַּאי אִיהוּ מֵאִילָנָא דְטוֹב וָרָע, דְּאִיהוּ יֵימָא חַד בְּלֵב וְחַד בְּפֶה, מָאן דְּאִיהוּ מֵאִילָנָא דְחַיֵּי אִיהוּ תּוֹכוֹ כְּבַרוֹ, פִימָא וְלִבָּא שָׁוִים, וַעֲלַיְיהוּ אִתְּמַר </w:t>
      </w:r>
      <w:r>
        <w:rPr>
          <w:b w:val="0"/>
          <w:sz w:val="20"/>
          <w:szCs w:val="23"/>
          <w:rtl/>
        </w:rPr>
        <w:t>(בראשית ג כב)</w:t>
      </w:r>
      <w:r>
        <w:rPr>
          <w:b w:val="0"/>
          <w:bCs w:val="0"/>
          <w:rtl/>
        </w:rPr>
        <w:t xml:space="preserve"> וְלָקַח גַּם מֵעִץ הַחַיִּים וְאָכַל וָחַי לְעוֹלָם, אֲבָל אָחֳרָא דְאֵין תּוֹכוֹ כְּבַרוֹ דְלַאו פִּימֵיהּ וְלִבֵּיהּ שָׁוִין, עֲלֵיהּ אִתְּמַר </w:t>
      </w:r>
      <w:r>
        <w:rPr>
          <w:b w:val="0"/>
          <w:sz w:val="20"/>
          <w:szCs w:val="23"/>
          <w:rtl/>
        </w:rPr>
        <w:t>(שם ב יז)</w:t>
      </w:r>
      <w:r>
        <w:rPr>
          <w:b w:val="0"/>
          <w:bCs w:val="0"/>
          <w:rtl/>
        </w:rPr>
        <w:t xml:space="preserve"> וּמֵעִץ הַדַּעַת טוֹב וָרָע לֹא תֹאכַל מִמֶּנּוּ, דְוַדַּאי דָּא אִיהוּ עִרְבוּבְיָא בִּישָׁא, דִמְשַׁקֵּר מוֹנְיָיטָא דְמַלְכָּא, דִּמְעָרֵב כַּסְפָּא בַעוֹפֶרֶת. וְדָא הֲוָה חֵטְא דְחַוָּה דְהִטִּיל בָּהּ נָחָשׁ זוּהֲמָא, דְאִיהוּ עוֹפֶרֶת דְּאִתְעָרֵב בְּטִפָּה </w:t>
      </w:r>
      <w:r>
        <w:rPr>
          <w:b w:val="0"/>
          <w:sz w:val="20"/>
          <w:szCs w:val="23"/>
          <w:rtl/>
        </w:rPr>
        <w:t>(נ''א בכספא)</w:t>
      </w:r>
      <w:r>
        <w:rPr>
          <w:b w:val="0"/>
          <w:bCs w:val="0"/>
          <w:rtl/>
        </w:rPr>
        <w:t xml:space="preserve"> חִוְורָא כַסְפָּא מְזוּקָק, וְלָא אִתְדַּכֵּי זוּהֲמָא מִנֵיהּ עַד דְּאָתָא אַבְרָהָם וְעָאל בְּנוּרָא וְאִתְלַבַּן כַּסְפָּא, וְנָפִיק עוֹפֶרֶת לְבָר דְּאִיהוּ יִשְׁמָעִאל, וְאִתְּמַר בְּאָדָם מוֹשֵׁךְ בְּעָרְלָתוֹ הֲוָה, אִתְעָרֵב עִרְבוּבְיָא בְדַהֲבָא, אִצְטְרִיף בְּיִצְחָק, וְאַפִּיק זוּהֲמָא לְבָר וְדָא עִשָׂו, בְּיַעֲקֹב נָח וְאִשְׁתָּרַשׁ וְאַפִּיק תּוֹלָדִין, וְאִתְרַבֵּי עִץ הַחַיִּים בְּעַנְפּוֹי וְשָׁרָשׁוֹי.</w:t>
      </w:r>
    </w:p>
    <w:p w:rsidR="006D2826" w:rsidRDefault="006D2826" w:rsidP="006D2826">
      <w:pPr>
        <w:pStyle w:val="aa"/>
        <w:spacing w:after="40"/>
        <w:rPr>
          <w:rtl/>
        </w:rPr>
      </w:pPr>
      <w:r>
        <w:rPr>
          <w:rtl/>
        </w:rPr>
        <w:t xml:space="preserve">[תיקוני זוהר - דף קכז ע''ב] </w:t>
      </w:r>
    </w:p>
    <w:p w:rsidR="006D2826" w:rsidRDefault="006D2826" w:rsidP="006D2826">
      <w:pPr>
        <w:pStyle w:val="NormalWeb"/>
        <w:rPr>
          <w:b w:val="0"/>
          <w:bCs w:val="0"/>
          <w:rtl/>
        </w:rPr>
      </w:pPr>
      <w:r>
        <w:rPr>
          <w:rStyle w:val="a7"/>
          <w:b w:val="0"/>
          <w:bCs w:val="0"/>
          <w:rtl/>
        </w:rPr>
        <w:footnoteReference w:id="5391"/>
      </w:r>
      <w:r>
        <w:rPr>
          <w:b w:val="0"/>
          <w:bCs w:val="0"/>
          <w:rtl/>
        </w:rPr>
        <w:t xml:space="preserve">עַיְינִין בְּעִגּוּלָא מִסִּטְרָא דְאָת י', בַּאֲרִיכוּ מִסִּטְרָא דְאָת ו', כַּנְפֵי עִינָא אִינוּן ה''ה, בְּאַרְבַּע אַתְוָון אִלֵּין אִיהוּ עִינָא </w:t>
      </w:r>
      <w:r>
        <w:rPr>
          <w:rStyle w:val="a7"/>
          <w:b w:val="0"/>
          <w:bCs w:val="0"/>
          <w:rtl/>
        </w:rPr>
        <w:footnoteReference w:id="5392"/>
      </w:r>
      <w:r>
        <w:rPr>
          <w:b w:val="0"/>
          <w:bCs w:val="0"/>
          <w:rtl/>
        </w:rPr>
        <w:t xml:space="preserve">בַּמִּדָּה בַּמִּשְׁקָל, וְהָכִי כָּל אֵבֶר וְאֵבֶר </w:t>
      </w:r>
      <w:r>
        <w:rPr>
          <w:b w:val="0"/>
          <w:sz w:val="20"/>
          <w:szCs w:val="23"/>
          <w:rtl/>
        </w:rPr>
        <w:t xml:space="preserve">(דף קכז ע''ב) </w:t>
      </w:r>
      <w:r>
        <w:rPr>
          <w:b w:val="0"/>
          <w:bCs w:val="0"/>
          <w:rtl/>
        </w:rPr>
        <w:t xml:space="preserve">בֵּיהּ תִּשְׁכַּח יהו''ה, דְּאָזִיל בַּמִּדָּה וּבַמִּשְׁקָל, </w:t>
      </w:r>
      <w:r>
        <w:rPr>
          <w:rStyle w:val="a7"/>
          <w:b w:val="0"/>
          <w:bCs w:val="0"/>
          <w:rtl/>
        </w:rPr>
        <w:footnoteReference w:id="5393"/>
      </w:r>
      <w:r>
        <w:rPr>
          <w:b w:val="0"/>
          <w:bCs w:val="0"/>
          <w:rtl/>
        </w:rPr>
        <w:t>וְאִיהוּ בַּמִּדָּה וּבַמִּשְׁקָל דְּדִבּוּרָא, קָלָא אִיהוּ שֶׁקֶל, מִדָּה דִבּוּר, כַּנְפֵי תִּקְלָא תְּרֵין הֲבָלִין דְּאִינוּן אֲמִירָה וּקְרִיאָה.</w:t>
      </w:r>
    </w:p>
    <w:p w:rsidR="006D2826" w:rsidRDefault="006D2826" w:rsidP="006D2826">
      <w:pPr>
        <w:pStyle w:val="NormalWeb"/>
        <w:rPr>
          <w:b w:val="0"/>
          <w:bCs w:val="0"/>
          <w:rtl/>
        </w:rPr>
      </w:pPr>
      <w:r>
        <w:rPr>
          <w:rStyle w:val="a7"/>
          <w:b w:val="0"/>
          <w:bCs w:val="0"/>
          <w:rtl/>
        </w:rPr>
        <w:footnoteReference w:id="5394"/>
      </w:r>
      <w:r>
        <w:rPr>
          <w:b w:val="0"/>
          <w:bCs w:val="0"/>
          <w:rtl/>
        </w:rPr>
        <w:t>גַּוָּונִין דְּעִינָא, חִוָּור לְבָנָ''ה סוּמָק מַאֲדִי''ם, יָרוֹק חַמָּ''ה, אוּכָּם שַׁבְּתַא''י, תְּכֵלֶת צֶדֶ''ק, וְאִינוּן כְּגַוְונָא דְחֶסֶד גְּבוּרָה תִּפְאֶרֶת יְסוֹד וּמַלְכוּת, תְּרֵי כְּרוּבֵי עִינָא נֶצַח וְהוֹד לְקִבְלַיְיהוּ נֹגַ''הּ כֹּכָ''ב, כְּגַוְונָא דְסִטְרָא דְּדַכְיוּ, הָכִי אִינוּן מִסִּטְרָא אָחֲרָא.</w:t>
      </w:r>
    </w:p>
    <w:p w:rsidR="006D2826" w:rsidRDefault="006D2826" w:rsidP="006D2826">
      <w:pPr>
        <w:pStyle w:val="NormalWeb"/>
        <w:rPr>
          <w:b w:val="0"/>
          <w:bCs w:val="0"/>
          <w:rtl/>
        </w:rPr>
      </w:pPr>
      <w:r>
        <w:rPr>
          <w:b w:val="0"/>
          <w:bCs w:val="0"/>
          <w:rtl/>
        </w:rPr>
        <w:t xml:space="preserve">שִׁבְעָה כֹּכְבֵי לֶכֶת </w:t>
      </w:r>
      <w:r>
        <w:rPr>
          <w:rStyle w:val="a7"/>
          <w:b w:val="0"/>
          <w:bCs w:val="0"/>
          <w:rtl/>
        </w:rPr>
        <w:footnoteReference w:id="5395"/>
      </w:r>
      <w:r>
        <w:rPr>
          <w:b w:val="0"/>
          <w:bCs w:val="0"/>
          <w:rtl/>
        </w:rPr>
        <w:t xml:space="preserve">אִינוּן שֶׁבַע כְּפוּלוֹת ב ג ד כ פ ר ת כְּגַוְונָא דָא ב בּ ג גּ ד דּ כ כּ פ פּ ר רּ ת תּ, דִּינָא רַפְיָא וְדִינָא קַשְׁיָא, וּבְהוֹן וְהַחַיּוֹת רָצוֹא וָשׁוֹב </w:t>
      </w:r>
      <w:r>
        <w:rPr>
          <w:b w:val="0"/>
          <w:sz w:val="20"/>
          <w:szCs w:val="23"/>
          <w:rtl/>
        </w:rPr>
        <w:t>(יחזקאל א יד)</w:t>
      </w:r>
      <w:r>
        <w:rPr>
          <w:b w:val="0"/>
          <w:bCs w:val="0"/>
          <w:rtl/>
        </w:rPr>
        <w:t xml:space="preserve">, רָצוֹא בְדָגֶ''שׁ וָשׁוֹב בְּרָפֵ''ה, וְאִינוּן דִּינָא וְרַחֲמֵי, וְהָכִי אִינוּן מִסִּטְרָא אָחֳרָא שֶׁבַע כְּפוּלוֹת, לְקִבְלַיְיהוּ שֶׁבַע רְקִיעִין שֶׁבַע אַרְעִין, וְאִינוּן שִׁבְעָה וְשִׁבְעָה מוּצָקוֹת </w:t>
      </w:r>
      <w:r>
        <w:rPr>
          <w:b w:val="0"/>
          <w:sz w:val="20"/>
          <w:szCs w:val="23"/>
          <w:rtl/>
        </w:rPr>
        <w:t>(זכריה ד ב)</w:t>
      </w:r>
      <w:r>
        <w:rPr>
          <w:b w:val="0"/>
          <w:bCs w:val="0"/>
          <w:rtl/>
        </w:rPr>
        <w:t xml:space="preserve">, וְהָכִי אִינוּן שֶׁבַע אַרְעִין דְּגֵיהִנָּם וְשֶׁבַע הֵיכָלִין, מַלְיָין נְחָשִׁים וְעַקְרַבִּים וַחֲשׁוֹכָא, דְּמִתַּמָּן הֲוָה מִתְנַבֵּא בִּלְעָם חַיָּיבָא, וַעֲלַיְיהוּ אִתְּמַר </w:t>
      </w:r>
      <w:r>
        <w:rPr>
          <w:b w:val="0"/>
          <w:sz w:val="20"/>
          <w:szCs w:val="23"/>
          <w:rtl/>
        </w:rPr>
        <w:t>(ישעיה נא ו)</w:t>
      </w:r>
      <w:r>
        <w:rPr>
          <w:b w:val="0"/>
          <w:bCs w:val="0"/>
          <w:rtl/>
        </w:rPr>
        <w:t xml:space="preserve"> כִּי שָׁמַיִם כֶּעָשָׁן נִמְלָחוּ וְהָאָרֶץ כַּבֶּגֶד תִּבְלֶה, וְכֹכְבַיָּא דִלְהוֹן עֲלַיְיהוּ אִתְּמַר </w:t>
      </w:r>
      <w:r>
        <w:rPr>
          <w:b w:val="0"/>
          <w:sz w:val="20"/>
          <w:szCs w:val="23"/>
          <w:rtl/>
        </w:rPr>
        <w:t>(שם לד ד)</w:t>
      </w:r>
      <w:r>
        <w:rPr>
          <w:b w:val="0"/>
          <w:szCs w:val="23"/>
          <w:rtl/>
        </w:rPr>
        <w:t xml:space="preserve"> </w:t>
      </w:r>
      <w:r>
        <w:rPr>
          <w:rStyle w:val="Char"/>
          <w:rtl/>
        </w:rPr>
        <w:t>וְנָמַקּוּ כָּל צְבָא הַשָּׁמַיִם</w:t>
      </w:r>
      <w:r>
        <w:rPr>
          <w:b w:val="0"/>
          <w:szCs w:val="23"/>
          <w:rtl/>
        </w:rPr>
        <w:t xml:space="preserve"> </w:t>
      </w:r>
      <w:r>
        <w:rPr>
          <w:b w:val="0"/>
          <w:sz w:val="20"/>
          <w:szCs w:val="23"/>
          <w:rtl/>
        </w:rPr>
        <w:t>(תהלים קב כז)</w:t>
      </w:r>
      <w:r>
        <w:rPr>
          <w:b w:val="0"/>
          <w:bCs w:val="0"/>
          <w:rtl/>
        </w:rPr>
        <w:t xml:space="preserve">, הֵמָּה יֹאבֵדוּ וְאַתָּה תַעֲמוֹד, וּבַאֲבוּדָא דִלְהוֹן </w:t>
      </w:r>
      <w:r>
        <w:rPr>
          <w:b w:val="0"/>
          <w:sz w:val="20"/>
          <w:szCs w:val="23"/>
          <w:rtl/>
        </w:rPr>
        <w:t>(שם צו יד)</w:t>
      </w:r>
      <w:r>
        <w:rPr>
          <w:b w:val="0"/>
          <w:bCs w:val="0"/>
          <w:rtl/>
        </w:rPr>
        <w:t xml:space="preserve"> יִ"שְׂמְחוּ הַ"שָּׁמַיִם וְ"תָגֵל הָ"אָרֶץ </w:t>
      </w:r>
      <w:r>
        <w:rPr>
          <w:rStyle w:val="a7"/>
          <w:b w:val="0"/>
          <w:bCs w:val="0"/>
          <w:rtl/>
        </w:rPr>
        <w:footnoteReference w:id="5396"/>
      </w:r>
      <w:r>
        <w:rPr>
          <w:b w:val="0"/>
          <w:bCs w:val="0"/>
          <w:rtl/>
        </w:rPr>
        <w:t>דְּאִתְבְּרִיאוּ בִשְׁמָא דְיהו''ה.</w:t>
      </w:r>
    </w:p>
    <w:p w:rsidR="006D2826" w:rsidRDefault="006D2826" w:rsidP="006D2826">
      <w:pPr>
        <w:pStyle w:val="NormalWeb"/>
        <w:rPr>
          <w:b w:val="0"/>
          <w:bCs w:val="0"/>
          <w:rtl/>
        </w:rPr>
      </w:pPr>
      <w:r>
        <w:rPr>
          <w:b w:val="0"/>
          <w:bCs w:val="0"/>
          <w:rtl/>
        </w:rPr>
        <w:t xml:space="preserve">אַנְפִּין אִינוּן בְּאַרְבַּע גַּוָּונִין, אִית בַּר נַשׁ דְּאַנְפּוֹי חִוְורִין מִסִּטְרָא דְאַנְשֵׁי חַיִל, וְאִית בַּר נַשׁ דְּאַנְפּוֹי סוּמְקָא מִסִּטְרָא דְיִרְאֵי אלהי''ם, וְאִית בַּר נַשׁ דְּאַנְפּוֹי יְרוֹקִין מִסִּטְרָא דְאַנְשֵׁי אֱמֶת, וְאִית בַּר נַשׁ דְּאַנְפּוֹי אוּכְמִין מִסִּטְרָא דְשׂוֹנְאֵי בָצַע, </w:t>
      </w:r>
      <w:r>
        <w:rPr>
          <w:rStyle w:val="a7"/>
          <w:b w:val="0"/>
          <w:bCs w:val="0"/>
          <w:rtl/>
        </w:rPr>
        <w:footnoteReference w:id="5397"/>
      </w:r>
      <w:r>
        <w:rPr>
          <w:b w:val="0"/>
          <w:bCs w:val="0"/>
          <w:rtl/>
        </w:rPr>
        <w:t xml:space="preserve">לְקִבְלַיְיהוּ אַרְבַּע אָחֳרָנִין מִסִּטְרָא דִמְסָאֲבוּ כֻּלְּהוּ חֲשׁוֹכִין, אַנְפִּין מִסִּטְרָא דִימִינָא בִישָׁא עוֹפָרֶת, דְּמִתְרַבִּין מִלֵּיחָה חִוְורָא, אִינוּן עָבִים וְגַסִּים, וְעִינוֹי גַּסִּים וְעָבִים, וְגוּפֵיהּ עָב וְגַס, מִסִּטְרָא דִימִינָא מוֹחָא, חִוְורָא כְּכַסְפָּא, זֶרַע אַבְרָהָם אוֹהֲבִי </w:t>
      </w:r>
      <w:r>
        <w:rPr>
          <w:b w:val="0"/>
          <w:sz w:val="20"/>
          <w:szCs w:val="23"/>
          <w:rtl/>
        </w:rPr>
        <w:t>(ישעיה מא ה)</w:t>
      </w:r>
      <w:r>
        <w:rPr>
          <w:b w:val="0"/>
          <w:bCs w:val="0"/>
          <w:rtl/>
        </w:rPr>
        <w:t xml:space="preserve">, וּמָאן דְּאִיהוּ אַנְפּוֹי וְגוּפֵיהּ וְכָל אֵבָרִין דִּילֵיהּ גַּסִּין וְעָבִים, אִיהוּ עָצֵל כָּבֵד חָשׁוּךְ, וּמִסִּטְרָא דְהַאי לֵיחָה אִתְּמַר בְּאַבְרָהָם </w:t>
      </w:r>
      <w:r>
        <w:rPr>
          <w:b w:val="0"/>
          <w:sz w:val="20"/>
          <w:szCs w:val="23"/>
          <w:rtl/>
        </w:rPr>
        <w:t>(בראשית טו יב)</w:t>
      </w:r>
      <w:r>
        <w:rPr>
          <w:b w:val="0"/>
          <w:bCs w:val="0"/>
          <w:rtl/>
        </w:rPr>
        <w:t xml:space="preserve"> וְתַרְדֵּמָה נָפְלָה עַל אַבְרָם, וְהִנֵּה אֵימָה חֲשֵׁכָה גְדוֹלָה נֹפֶלֶת עָלָיו, וְהַאי לֵיחָה אִיהִי זוּהֲמָא דְהִטִּיל נָחָשׁ בְּחַוָּה, וּמִסִּטְרָא דִילֵיהּ תִּכְבַּד הָעֲבֹדָה </w:t>
      </w:r>
      <w:r>
        <w:rPr>
          <w:b w:val="0"/>
          <w:sz w:val="20"/>
          <w:szCs w:val="23"/>
          <w:rtl/>
        </w:rPr>
        <w:t>(שמות ה ט)</w:t>
      </w:r>
      <w:r>
        <w:rPr>
          <w:b w:val="0"/>
          <w:bCs w:val="0"/>
          <w:rtl/>
        </w:rPr>
        <w:t xml:space="preserve">, וּמִסִּטְרָאָה וְלֹא שָׁמְעוּ אֶל מֹשֶׁה מִקֹּצֶר רוּחַ וּמֵעֲבוֹדָה קָשָׁה </w:t>
      </w:r>
      <w:r>
        <w:rPr>
          <w:b w:val="0"/>
          <w:sz w:val="20"/>
          <w:szCs w:val="23"/>
          <w:rtl/>
        </w:rPr>
        <w:t>(שמות ה ט)</w:t>
      </w:r>
      <w:r>
        <w:rPr>
          <w:b w:val="0"/>
          <w:szCs w:val="23"/>
          <w:rtl/>
        </w:rPr>
        <w:t xml:space="preserve">, </w:t>
      </w:r>
      <w:r>
        <w:rPr>
          <w:rStyle w:val="Char"/>
          <w:rtl/>
        </w:rPr>
        <w:t>וּמִסִּטְרָאָה וַיַּכְבֵּד לֵב פַּרְעֹה</w:t>
      </w:r>
      <w:r>
        <w:rPr>
          <w:b w:val="0"/>
          <w:szCs w:val="23"/>
          <w:rtl/>
        </w:rPr>
        <w:t xml:space="preserve"> </w:t>
      </w:r>
      <w:r>
        <w:rPr>
          <w:b w:val="0"/>
          <w:sz w:val="20"/>
          <w:szCs w:val="23"/>
          <w:rtl/>
        </w:rPr>
        <w:t>(שם ט ז)</w:t>
      </w:r>
      <w:r>
        <w:rPr>
          <w:b w:val="0"/>
          <w:bCs w:val="0"/>
          <w:rtl/>
        </w:rPr>
        <w:t xml:space="preserve"> וַעֲבָדָיו, וְאִיהִי כוֹבֶד הַמַּס וְכוֹבֶד הַמְּלָאכָה.</w:t>
      </w:r>
    </w:p>
    <w:p w:rsidR="006D2826" w:rsidRDefault="006D2826" w:rsidP="006D2826">
      <w:pPr>
        <w:pStyle w:val="NormalWeb"/>
        <w:rPr>
          <w:b w:val="0"/>
          <w:bCs w:val="0"/>
          <w:rtl/>
        </w:rPr>
      </w:pPr>
      <w:r>
        <w:rPr>
          <w:rStyle w:val="a7"/>
          <w:b w:val="0"/>
          <w:bCs w:val="0"/>
          <w:rtl/>
        </w:rPr>
        <w:footnoteReference w:id="5398"/>
      </w:r>
      <w:r>
        <w:rPr>
          <w:b w:val="0"/>
          <w:bCs w:val="0"/>
          <w:rtl/>
        </w:rPr>
        <w:t xml:space="preserve">אַנְפִּין יְרוֹקִין, אִינוּן מִסִּטְרָא דְמָרָה, יְרוֹקִין חֲשׁוֹכִין, וְהַאי בַּר נַשׁ אִיהִי קַל, בְּהִפּוּכָא דְלֵיחָה דְאִיהִי כְּבֵדָה, הַאי קַל וְהַאי כָּבֵד, </w:t>
      </w:r>
      <w:r>
        <w:rPr>
          <w:rStyle w:val="a7"/>
          <w:b w:val="0"/>
          <w:bCs w:val="0"/>
          <w:rtl/>
        </w:rPr>
        <w:footnoteReference w:id="5399"/>
      </w:r>
      <w:r>
        <w:rPr>
          <w:b w:val="0"/>
          <w:bCs w:val="0"/>
          <w:rtl/>
        </w:rPr>
        <w:t xml:space="preserve">הַאי פֶּתִי לְבִישׁ וְהַאי פִּקְחָא לְבִישׁ, הַאי מַזְקִין בִּמְהִירוּ וְאַקְדִּים בְּסֵיבוּ, וְהַאי קַשִּׁישׁ בְּסֵיבוּ, וְאִיהוּ מְאוּחָר בְּסֵיבוּ, הַאי אִתְעֲבִד פֶּתִי לְמִפְתֵּי בְנֵי נָשָׁא בְרַמָּאוּת, בְּגִין דְּאִיהוּ מִסִּטְרָא דְנָחָשׁ הַקַּדְמוֹנִי דִמְפַתֵּי לִבְנֵי נָשָׁא, אִסְתַּמַּר מִנֵּיהּ, וְהַאי יְרוֹקָא פְקִיחָא לְבִישׁ, הַאי כָּל מַה דְּאִית בְּלִבֵּיהּ שָׁפֵיךְ לְבָר, וְכָל עוֹבָדוֹי בִּמְהִירוּ, וְאִיהוּ יָבֵשׁ גּוּפָא וְאַנְפִּין וְכָל אֵבָרִין דִּילֵיהּ, בְּהִפּוּכָא דְאָחֳרָא, בְגִין דְּגֵיהִנָּם דְּאִיהִי מָרָה יְרוֹקָא אוֹקִיד בֵּיהּ דְּאִיהִי כֹּעִס, כַּעְסָן אִיהוּ וַדַּאי, דְּאוֹקִיד בֵּיהּ נוּרָא לְפוּם שַׁעְתָּא וּמִיָּד שָׁכִיךְ, הָכִי כָּל עוֹבָדוֹי בָּעִי לְמֶעֱבַד בִּמְהִירוּ, וְאָחֳרָא דְאִיהוּ כָּבֵד בְּנַחַת, דָּא בְּהִפּוּכָא דְּדָא, דָּא נָחָשׁ וְדָא שָׂרָף, דָּא מַיָּא וְדָא אֶשָּׁא, </w:t>
      </w:r>
      <w:r>
        <w:rPr>
          <w:rStyle w:val="a7"/>
          <w:b w:val="0"/>
          <w:bCs w:val="0"/>
          <w:rtl/>
        </w:rPr>
        <w:footnoteReference w:id="5400"/>
      </w:r>
      <w:r>
        <w:rPr>
          <w:b w:val="0"/>
          <w:bCs w:val="0"/>
          <w:rtl/>
        </w:rPr>
        <w:t>מַיָּא דְמֵי טוֹפָנָא דְחָבִיל כָּל בִּשְׂרָא, הַאי אָחֳרָא מִנֵּיהּ גָּפְרִית וָאֵשׁ.</w:t>
      </w:r>
    </w:p>
    <w:p w:rsidR="006D2826" w:rsidRDefault="006D2826" w:rsidP="006D2826">
      <w:pPr>
        <w:pStyle w:val="aa"/>
        <w:spacing w:after="40"/>
        <w:rPr>
          <w:rtl/>
        </w:rPr>
      </w:pPr>
      <w:r>
        <w:rPr>
          <w:rtl/>
        </w:rPr>
        <w:t xml:space="preserve">[תיקוני זוהר - דף קכח ע''א] </w:t>
      </w:r>
    </w:p>
    <w:p w:rsidR="006D2826" w:rsidRDefault="006D2826" w:rsidP="006D2826">
      <w:pPr>
        <w:pStyle w:val="NormalWeb"/>
        <w:rPr>
          <w:b w:val="0"/>
          <w:bCs w:val="0"/>
          <w:rtl/>
        </w:rPr>
      </w:pPr>
      <w:r>
        <w:rPr>
          <w:b w:val="0"/>
          <w:bCs w:val="0"/>
          <w:rtl/>
        </w:rPr>
        <w:t xml:space="preserve">אַנְפִּין סוּמְקִין מִסִּטְרָא אָחֳרָא, הַאי אִתְחַזֵּי בֵּינוֹנִי לָא גַס וְלָא יָבֵשׁ, הַאי אִתְאַדַּם </w:t>
      </w:r>
      <w:r>
        <w:rPr>
          <w:b w:val="0"/>
          <w:sz w:val="20"/>
          <w:szCs w:val="23"/>
          <w:rtl/>
        </w:rPr>
        <w:t xml:space="preserve">(דף קכח ע''א) </w:t>
      </w:r>
      <w:r>
        <w:rPr>
          <w:b w:val="0"/>
          <w:bCs w:val="0"/>
          <w:rtl/>
        </w:rPr>
        <w:t xml:space="preserve">מִסִּטְרָא דְמַאֲדִים, אוֹשִׁיד דְּמָא אִיהוּ, אִסְתַּמַּר מִנֵּיהּ, </w:t>
      </w:r>
      <w:r>
        <w:rPr>
          <w:rStyle w:val="a7"/>
          <w:b w:val="0"/>
          <w:bCs w:val="0"/>
          <w:rtl/>
        </w:rPr>
        <w:footnoteReference w:id="5401"/>
      </w:r>
      <w:r>
        <w:rPr>
          <w:b w:val="0"/>
          <w:bCs w:val="0"/>
          <w:rtl/>
        </w:rPr>
        <w:t>וַותְּרָן אִיהוּ סוּמָק, וְאוּכָּם אִינוּן בְּהִפּוּכָא, דָּא בֵינוֹנִי בְּמַתְקְלָא, וְדָא בְהִפּוּכָא מִסִּטְרָא אָחֳרָא, דָּא שַׂמְחָן וְדָא עֲצִיב, שַׂמְחָן מִסִּטְרָא דְּדָם, שְׂחוֹק הַכְּסִיל, וְדָא עֲצִיב מִסִּטְרָא דְמָרָה אוּכְמָא, דָּא גָזֵיל וְשָׁפֵיךְ דְּמָא, וְאִיהוּ וַותְּרָן, וְדָא כָּנִישׁ קוֹבֵץ עַל יָד.</w:t>
      </w:r>
    </w:p>
    <w:p w:rsidR="006D2826" w:rsidRDefault="006D2826" w:rsidP="006D2826">
      <w:pPr>
        <w:pStyle w:val="NormalWeb"/>
        <w:rPr>
          <w:b w:val="0"/>
          <w:bCs w:val="0"/>
          <w:rtl/>
        </w:rPr>
      </w:pPr>
      <w:r>
        <w:rPr>
          <w:b w:val="0"/>
          <w:bCs w:val="0"/>
          <w:rtl/>
        </w:rPr>
        <w:t xml:space="preserve">מִסִּטְרָא דְּדַכְיוּ בְּהִפּוּכָא, אַנְשֵׁי חַיִל אַנְפִּין חִוְורִין מִסִּטְרָא דְמוֹחָא, יִרְאֵי אלהי''ם מִסִּטְרָא דְלִבָּא, אַנְשֵׁי אֱמֶת מִסִּטְרָא דְפִימָא, שׂוֹנְאֵי בָצַע מִסִּטְרָא דְגוּפָא, וְהָא אוּקְמוּהָ אַנְשֵׁי חַיִל יִרְאֵי אלהי''ם אַנְשֵׁי אֱמֶת שׂוֹנְאֵי בָצַע מִסִּטְרָא דְאדנ''י, </w:t>
      </w:r>
      <w:r>
        <w:rPr>
          <w:rStyle w:val="a7"/>
          <w:b w:val="0"/>
          <w:bCs w:val="0"/>
          <w:rtl/>
        </w:rPr>
        <w:footnoteReference w:id="5402"/>
      </w:r>
      <w:r>
        <w:rPr>
          <w:b w:val="0"/>
          <w:bCs w:val="0"/>
          <w:rtl/>
        </w:rPr>
        <w:t>שִׁעוּר וּמִדָּה דִלְהוֹן יהו''ה מִלְּגָאו וּמִלְּבָר, י' אִתְלַבַּשׁ בְּאַנְשֵׁי חַיִל וְדָא מוֹחָא דְתַמָּן חָכְמָה, ה' בְּיִרְאֵי אלהי''ם דְּאִיהוּ לִבָּא, וְתַמָּן דְּחִילוּ וּרְחִימוּ דְאִינוּן י''ה בִּימִינָא וּבִשְׂמָאלָא, וְאִינוּן נִסְתָּרוֹת בְּמוֹחָא וּבְלִבָּא, ו' אִתְלַבַּשׁ בְּפִימָא מִסִּטְרָא דְאִלֵּין דְּאִינוּן אַנְשֵׁי אֱמֶת, ה' אִתְלַבַּשׁ בְּגוּפָא מִסִּטְרָא דְאִלֵּין שׂוֹנְאֵי בָצַע, וְאִינוּן תּוֹרָה וּמִצְוָה, וַעֲלַיְיהוּ אִתְּמַר וְהַ נִּגְלוֹת.</w:t>
      </w:r>
    </w:p>
    <w:p w:rsidR="006D2826" w:rsidRDefault="006D2826" w:rsidP="006D2826">
      <w:pPr>
        <w:pStyle w:val="NormalWeb"/>
        <w:rPr>
          <w:b w:val="0"/>
          <w:bCs w:val="0"/>
          <w:rtl/>
        </w:rPr>
      </w:pPr>
      <w:r>
        <w:rPr>
          <w:rStyle w:val="a7"/>
          <w:b w:val="0"/>
          <w:bCs w:val="0"/>
          <w:rtl/>
        </w:rPr>
        <w:footnoteReference w:id="5403"/>
      </w:r>
      <w:r>
        <w:rPr>
          <w:b w:val="0"/>
          <w:bCs w:val="0"/>
          <w:rtl/>
        </w:rPr>
        <w:t xml:space="preserve">אַנְפִּין עֲגוּלִין מִסִּטְרָא דִנְקוּדֵי, דְּאִינוּן קָמֵ''ץ פַּתָ''ח צֵרִ''י סֶגוֹ''ל שְׁבָ''א חֹלֵ''ם חִרֵ''ק שֻׁרֵ''ק שׁוּרֵ''ק, מַלְכוּת עִגּוּלָא דְכֻלְּהוּ. תָּא חֲזִי, תֵּשַׁע זִמְנִין יהו''ה, בְּכָל סְפִירָה וּסְפִירָה נְקוּדָה דִילֵיהּ, וְאִיהוּ יהו''ה בַּמַּלְכוּת בְּלָא נְקוּדָה, וְאִלֵּין אִינוּן נְקוּדִין דִּמְחַיְּיבִין כָּל סְפִירָה וּסְפִירָה, תֵּשַׁע נְקוּדִין אִינוּן חַד יהו''ה בְּקָמֵ''ץ, תִּנְיָינָא יהו''ה בְּפַתָח, תְּלִיתָאָה יהו''ה בְּצֵירִ''י, רְבִיעָאָה יהו''ה בְּסֶגוֹ''ל חֲמִשָּׁאָה יהו''ה בִּשְׁבָ''א, שְׁתִיתָאָה יהו''ה בְּחֹלֵ''ם, שְׁבִיעָאָה יהו''ה בְּחִירֵ''ק, תְּמִינָאָה יהו''ה בְּשָׁלֹשׁ נְקֻדּוֹת, תְּשִׁיעָאָה יהו''ה בְּשׁוּרֵ''ק, מַלְכוּת כְּלָלָא דְּכֻּלְּהוּ. קָמֵ''ץ אִתְקְרֵי בִנְקוּדָה דָא </w:t>
      </w:r>
      <w:r>
        <w:rPr>
          <w:rFonts w:hAnsi="Arial"/>
          <w:b w:val="0"/>
          <w:bCs w:val="0"/>
          <w:szCs w:val="48"/>
          <w:rtl/>
        </w:rPr>
        <w:t>ָ</w:t>
      </w:r>
      <w:r>
        <w:rPr>
          <w:b w:val="0"/>
          <w:bCs w:val="0"/>
          <w:rtl/>
        </w:rPr>
        <w:t xml:space="preserve">, מִסִּטְרָא דְכֶתֶר עִלָּאָה דְאִיהוּ </w:t>
      </w:r>
      <w:r>
        <w:rPr>
          <w:rStyle w:val="a7"/>
          <w:b w:val="0"/>
          <w:bCs w:val="0"/>
          <w:rtl/>
        </w:rPr>
        <w:footnoteReference w:id="5404"/>
      </w:r>
      <w:r>
        <w:rPr>
          <w:b w:val="0"/>
          <w:bCs w:val="0"/>
          <w:rtl/>
        </w:rPr>
        <w:t>סָתִים כְּקָמֵ''ץ, דְּאִיהוּ סָתִים בְּמַחֲשָׁבָה, דְלָא יָדַע בַּר נַשׁ מַה דְּאִית בְּגַוִּיהּ, וּמָאן דְּאִיהוּ לְגוֹ סָתִים בְּמַחֲשָׁבָה, עִלַּת הָעִלּוֹת קָרִינָן לֵיהּ.</w:t>
      </w:r>
    </w:p>
    <w:p w:rsidR="006D2826" w:rsidRDefault="006D2826" w:rsidP="006D2826">
      <w:pPr>
        <w:pStyle w:val="NormalWeb"/>
        <w:rPr>
          <w:b w:val="0"/>
          <w:bCs w:val="0"/>
          <w:rtl/>
        </w:rPr>
      </w:pPr>
      <w:r>
        <w:rPr>
          <w:b w:val="0"/>
          <w:bCs w:val="0"/>
          <w:rtl/>
        </w:rPr>
        <w:t xml:space="preserve">וְאִתְקְרֵי פַּתָ''ח בִּנְקוּדָה דָא </w:t>
      </w:r>
      <w:r>
        <w:rPr>
          <w:b w:val="0"/>
          <w:bCs w:val="0"/>
          <w:szCs w:val="48"/>
          <w:rtl/>
        </w:rPr>
        <w:t>ַ</w:t>
      </w:r>
      <w:r>
        <w:rPr>
          <w:b w:val="0"/>
          <w:bCs w:val="0"/>
          <w:rtl/>
        </w:rPr>
        <w:t>, מִסִּטְרָא דְחָכְמָה, דְבָהּ אִתְפַּתַּח וְאִתְגַּלְיָיא מַחֲשָׁבָה סְתִימָא, כְגַוְונָא דָא לְעִילָא כְּדִיּוֹקְנָא דָא [ציור], לְתַתָּא כְּדִיּוֹקְנָא דָא [ציור],</w:t>
      </w:r>
      <w:r>
        <w:rPr>
          <w:rStyle w:val="a7"/>
          <w:b w:val="0"/>
          <w:bCs w:val="0"/>
          <w:rtl/>
        </w:rPr>
        <w:footnoteReference w:id="5405"/>
      </w:r>
      <w:r>
        <w:rPr>
          <w:b w:val="0"/>
          <w:bCs w:val="0"/>
          <w:rtl/>
        </w:rPr>
        <w:t xml:space="preserve">וּתְרֵין נְקוּדִין אִלֵין אִתְגְּלִיאוּ בְאִימָּא, וְאִתְעֲבִידוּ צֵירִי </w:t>
      </w:r>
      <w:r>
        <w:rPr>
          <w:b w:val="0"/>
          <w:bCs w:val="0"/>
          <w:szCs w:val="48"/>
          <w:rtl/>
        </w:rPr>
        <w:t>ֵ</w:t>
      </w:r>
      <w:r>
        <w:rPr>
          <w:b w:val="0"/>
          <w:bCs w:val="0"/>
          <w:rtl/>
        </w:rPr>
        <w:t xml:space="preserve">, עֲלַיְיהוּ אִתְּמַר </w:t>
      </w:r>
      <w:r>
        <w:rPr>
          <w:b w:val="0"/>
          <w:sz w:val="20"/>
          <w:szCs w:val="23"/>
          <w:rtl/>
        </w:rPr>
        <w:t>(בראשית ב ז)</w:t>
      </w:r>
      <w:r>
        <w:rPr>
          <w:b w:val="0"/>
          <w:bCs w:val="0"/>
          <w:rtl/>
        </w:rPr>
        <w:t xml:space="preserve"> וַיִּיצֶר יהו''ה, כִּי בְּיָ''הּ יהו''ה צוּר עוֹלָמִים </w:t>
      </w:r>
      <w:r>
        <w:rPr>
          <w:b w:val="0"/>
          <w:sz w:val="20"/>
          <w:szCs w:val="23"/>
          <w:rtl/>
        </w:rPr>
        <w:t>(ישעיה כו ד)</w:t>
      </w:r>
      <w:r>
        <w:rPr>
          <w:b w:val="0"/>
          <w:bCs w:val="0"/>
          <w:rtl/>
        </w:rPr>
        <w:t>, צִיֵּיר תְּרֵין עָלְמִין, עָלְמָא דֵין וְעָלְמָא דְאָתֵי.</w:t>
      </w:r>
    </w:p>
    <w:p w:rsidR="006D2826" w:rsidRDefault="006D2826" w:rsidP="006D2826">
      <w:pPr>
        <w:pStyle w:val="NormalWeb"/>
        <w:rPr>
          <w:b w:val="0"/>
          <w:bCs w:val="0"/>
          <w:rtl/>
        </w:rPr>
      </w:pPr>
      <w:r>
        <w:rPr>
          <w:rStyle w:val="a7"/>
          <w:b w:val="0"/>
          <w:bCs w:val="0"/>
          <w:rtl/>
        </w:rPr>
        <w:footnoteReference w:id="5406"/>
      </w:r>
      <w:r>
        <w:rPr>
          <w:b w:val="0"/>
          <w:bCs w:val="0"/>
          <w:rtl/>
        </w:rPr>
        <w:t xml:space="preserve">סֶגוֹ''ל דָּא חֶסֶד, בֵּיהּ שְׁכִינְתָּא אִיהוּ סֶגוֹלְתָּ''א לְעִילָא, סֶגוֹ''ל לְתַתָּא, סֶגוֹלְתָּא וּרְחִימָא מִסִּטְרָא דִימִינָא, שְׁבָ''א כְּגַוְונָא דָא מִסִּטְרָא דִשְׂמָאלָא, </w:t>
      </w:r>
      <w:r>
        <w:rPr>
          <w:rStyle w:val="a7"/>
          <w:b w:val="0"/>
          <w:bCs w:val="0"/>
          <w:rtl/>
        </w:rPr>
        <w:footnoteReference w:id="5407"/>
      </w:r>
      <w:r>
        <w:rPr>
          <w:b w:val="0"/>
          <w:bCs w:val="0"/>
          <w:rtl/>
        </w:rPr>
        <w:t xml:space="preserve">כִּי בָאֵ''שׁ יהו''ה נִשְׁפָּט </w:t>
      </w:r>
      <w:r>
        <w:rPr>
          <w:b w:val="0"/>
          <w:sz w:val="20"/>
          <w:szCs w:val="23"/>
          <w:rtl/>
        </w:rPr>
        <w:t>(שם סו טז)</w:t>
      </w:r>
      <w:r>
        <w:rPr>
          <w:b w:val="0"/>
          <w:szCs w:val="23"/>
          <w:rtl/>
        </w:rPr>
        <w:t xml:space="preserve">, </w:t>
      </w:r>
      <w:r>
        <w:rPr>
          <w:rStyle w:val="Char"/>
          <w:rtl/>
        </w:rPr>
        <w:t>וַתִּפּוֹל שְׁבָא וַתִּקָּחֵם</w:t>
      </w:r>
      <w:r>
        <w:rPr>
          <w:b w:val="0"/>
          <w:szCs w:val="23"/>
          <w:rtl/>
        </w:rPr>
        <w:t xml:space="preserve"> </w:t>
      </w:r>
      <w:r>
        <w:rPr>
          <w:b w:val="0"/>
          <w:sz w:val="20"/>
          <w:szCs w:val="23"/>
          <w:rtl/>
        </w:rPr>
        <w:t>(איוב א טו)</w:t>
      </w:r>
      <w:r>
        <w:rPr>
          <w:b w:val="0"/>
          <w:szCs w:val="23"/>
          <w:rtl/>
        </w:rPr>
        <w:t xml:space="preserve">, </w:t>
      </w:r>
      <w:r>
        <w:rPr>
          <w:rStyle w:val="Char"/>
          <w:rtl/>
        </w:rPr>
        <w:t>שְׁבָה עִמָּדִי</w:t>
      </w:r>
      <w:r>
        <w:rPr>
          <w:b w:val="0"/>
          <w:szCs w:val="23"/>
          <w:rtl/>
        </w:rPr>
        <w:t xml:space="preserve"> </w:t>
      </w:r>
      <w:r>
        <w:rPr>
          <w:b w:val="0"/>
          <w:sz w:val="20"/>
          <w:szCs w:val="23"/>
          <w:rtl/>
        </w:rPr>
        <w:t>(בראשית כט יט)</w:t>
      </w:r>
      <w:r>
        <w:rPr>
          <w:b w:val="0"/>
          <w:bCs w:val="0"/>
          <w:rtl/>
        </w:rPr>
        <w:t xml:space="preserve"> דְּאִיהִי שְׁכִינְתָּא דְאִתְקְרֵי שְׁבָ''א מִסִּטְרָא דִשְׂמָאלָא. וְאִתְקְרֵי חֹלֵ''ם כְּגַוְונָא דָא מִסִּטְרָא דְעַמּוּדָא דְאֶמְצָעִיתָא, מִשָּׁם רוֹעֶה </w:t>
      </w:r>
      <w:r>
        <w:rPr>
          <w:rStyle w:val="a7"/>
          <w:b w:val="0"/>
          <w:bCs w:val="0"/>
          <w:rtl/>
        </w:rPr>
        <w:footnoteReference w:id="5408"/>
      </w:r>
      <w:r>
        <w:rPr>
          <w:b w:val="0"/>
          <w:bCs w:val="0"/>
          <w:rtl/>
        </w:rPr>
        <w:t xml:space="preserve">אֶבֶן יִשְׂרָאֵל </w:t>
      </w:r>
      <w:r>
        <w:rPr>
          <w:b w:val="0"/>
          <w:sz w:val="20"/>
          <w:szCs w:val="23"/>
          <w:rtl/>
        </w:rPr>
        <w:t>(שם מט כד)</w:t>
      </w:r>
      <w:r>
        <w:rPr>
          <w:b w:val="0"/>
          <w:bCs w:val="0"/>
          <w:rtl/>
        </w:rPr>
        <w:t xml:space="preserve">, אֶבֶן מָאֲסוּ הַבּוֹנִים הָיְתָה לְרֹאשׁ פִּנָּה </w:t>
      </w:r>
      <w:r>
        <w:rPr>
          <w:b w:val="0"/>
          <w:sz w:val="20"/>
          <w:szCs w:val="23"/>
          <w:rtl/>
        </w:rPr>
        <w:t>(תהלים קיח כב)</w:t>
      </w:r>
      <w:r>
        <w:rPr>
          <w:b w:val="0"/>
          <w:bCs w:val="0"/>
          <w:rtl/>
        </w:rPr>
        <w:t xml:space="preserve">, </w:t>
      </w:r>
      <w:r>
        <w:rPr>
          <w:rStyle w:val="a7"/>
          <w:b w:val="0"/>
          <w:bCs w:val="0"/>
          <w:rtl/>
        </w:rPr>
        <w:footnoteReference w:id="5409"/>
      </w:r>
      <w:r>
        <w:rPr>
          <w:b w:val="0"/>
          <w:bCs w:val="0"/>
          <w:rtl/>
        </w:rPr>
        <w:t xml:space="preserve">כָּל </w:t>
      </w:r>
      <w:r>
        <w:rPr>
          <w:rStyle w:val="a7"/>
          <w:b w:val="0"/>
          <w:bCs w:val="0"/>
          <w:rtl/>
        </w:rPr>
        <w:footnoteReference w:id="5410"/>
      </w:r>
      <w:r>
        <w:rPr>
          <w:b w:val="0"/>
          <w:bCs w:val="0"/>
          <w:rtl/>
        </w:rPr>
        <w:t xml:space="preserve">מַרְגְּלִיתָא יַקִּירָא אִיהִי בְּחֹלֵ''ם, הֲדָא הוּא דִכְתִיב </w:t>
      </w:r>
      <w:r>
        <w:rPr>
          <w:b w:val="0"/>
          <w:sz w:val="20"/>
          <w:szCs w:val="23"/>
          <w:rtl/>
        </w:rPr>
        <w:t>(שמות כח יט)</w:t>
      </w:r>
      <w:r>
        <w:rPr>
          <w:b w:val="0"/>
          <w:bCs w:val="0"/>
          <w:rtl/>
        </w:rPr>
        <w:t xml:space="preserve"> לֶשֶׁם שְׁבוֹ וְאַחְלָמָה, וּבֵיהּ וַנַּחַלְמָה חֲלוֹם </w:t>
      </w:r>
      <w:r>
        <w:rPr>
          <w:b w:val="0"/>
          <w:sz w:val="20"/>
          <w:szCs w:val="23"/>
          <w:rtl/>
        </w:rPr>
        <w:t>(בראשית מא מא)</w:t>
      </w:r>
      <w:r>
        <w:rPr>
          <w:b w:val="0"/>
          <w:bCs w:val="0"/>
          <w:rtl/>
        </w:rPr>
        <w:t>.</w:t>
      </w:r>
    </w:p>
    <w:p w:rsidR="006D2826" w:rsidRDefault="006D2826" w:rsidP="006D2826">
      <w:pPr>
        <w:pStyle w:val="NormalWeb"/>
        <w:rPr>
          <w:b w:val="0"/>
          <w:bCs w:val="0"/>
          <w:rtl/>
        </w:rPr>
      </w:pPr>
      <w:r>
        <w:rPr>
          <w:b w:val="0"/>
          <w:bCs w:val="0"/>
          <w:rtl/>
        </w:rPr>
        <w:t xml:space="preserve">חִרֵ''ק אִתְקְרֵי מִסִּטְרָא דְשׁוֹקָא יְמִינָא כְּגַוְונָא דָא </w:t>
      </w:r>
      <w:r>
        <w:rPr>
          <w:rStyle w:val="a7"/>
          <w:b w:val="0"/>
          <w:bCs w:val="0"/>
          <w:rtl/>
        </w:rPr>
        <w:footnoteReference w:id="5411"/>
      </w:r>
      <w:r>
        <w:rPr>
          <w:b w:val="0"/>
          <w:bCs w:val="0"/>
          <w:rtl/>
        </w:rPr>
        <w:t xml:space="preserve">בֵּיהּ חֲקִירָה, הַחֵקֶר אֱלוֹ''הַ תִּמְצָא </w:t>
      </w:r>
      <w:r>
        <w:rPr>
          <w:b w:val="0"/>
          <w:sz w:val="20"/>
          <w:szCs w:val="23"/>
          <w:rtl/>
        </w:rPr>
        <w:t>(איוב יא ז)</w:t>
      </w:r>
      <w:r>
        <w:rPr>
          <w:b w:val="0"/>
          <w:bCs w:val="0"/>
          <w:rtl/>
        </w:rPr>
        <w:t xml:space="preserve">, וְאִיהוּ קֶרַח הַנּוֹרָא </w:t>
      </w:r>
      <w:r>
        <w:rPr>
          <w:b w:val="0"/>
          <w:sz w:val="20"/>
          <w:szCs w:val="23"/>
          <w:rtl/>
        </w:rPr>
        <w:t>(יחזקאל א כב)</w:t>
      </w:r>
      <w:r>
        <w:rPr>
          <w:b w:val="0"/>
          <w:bCs w:val="0"/>
          <w:rtl/>
        </w:rPr>
        <w:t xml:space="preserve">, קֶרַח מֵהַהוּא נוֹרָא דְאִיהוּ עַמּוּדָא דְאֶמְצָעִיתָא. שֻׁרֵ''ק הוֹד אִתְקְרֵי, כְּגַוְונָא דָא יֻהֻוִהֻ, מִתַּמָּן אִתְקְרִיאַת שְׁכִינְתָּא שֻׁרֵ''ק, </w:t>
      </w:r>
      <w:r>
        <w:rPr>
          <w:rStyle w:val="a7"/>
          <w:b w:val="0"/>
          <w:bCs w:val="0"/>
          <w:rtl/>
        </w:rPr>
        <w:footnoteReference w:id="5412"/>
      </w:r>
      <w:r>
        <w:rPr>
          <w:b w:val="0"/>
          <w:bCs w:val="0"/>
          <w:rtl/>
        </w:rPr>
        <w:t xml:space="preserve">קֶשֶׁר הַמֶּרְכָּבָה, וְאִיהוּ הוֹד דְּמֹשֶׁה, בֵּיהּ אִשְׁתַּלִּימוּ חֲמִשָּׁה בְרִיחִים לְקַרְשֵׁי צֶלַע הַמִּשְׁכָּן הַשֵּׁנִית </w:t>
      </w:r>
      <w:r>
        <w:rPr>
          <w:b w:val="0"/>
          <w:sz w:val="20"/>
          <w:szCs w:val="23"/>
          <w:rtl/>
        </w:rPr>
        <w:t>(שמות כו כז)</w:t>
      </w:r>
      <w:r>
        <w:rPr>
          <w:b w:val="0"/>
          <w:bCs w:val="0"/>
          <w:rtl/>
        </w:rPr>
        <w:t xml:space="preserve">, כְּחוּשְׁבַּן ה' דִילֵיהּ, אִשְׁתָּאַר ו''ד דּוּ פַּרְצוּפִין, עֲלֵיהּ אִתְּמַר </w:t>
      </w:r>
      <w:r>
        <w:rPr>
          <w:b w:val="0"/>
          <w:sz w:val="20"/>
          <w:szCs w:val="23"/>
          <w:rtl/>
        </w:rPr>
        <w:t>(שם טז)</w:t>
      </w:r>
      <w:r>
        <w:rPr>
          <w:b w:val="0"/>
          <w:bCs w:val="0"/>
          <w:rtl/>
        </w:rPr>
        <w:t xml:space="preserve"> עֶשֶׂר אַמּוֹת אֹרֶךְ הַקָּרֶשׁ, קֶרֶשׁ, קֶשֶׁר, שֻׁרֵק וַדַאי.</w:t>
      </w:r>
    </w:p>
    <w:p w:rsidR="006D2826" w:rsidRDefault="006D2826" w:rsidP="006D2826">
      <w:pPr>
        <w:pStyle w:val="aa"/>
        <w:spacing w:after="40"/>
        <w:rPr>
          <w:rtl/>
        </w:rPr>
      </w:pPr>
      <w:r>
        <w:rPr>
          <w:rtl/>
        </w:rPr>
        <w:t xml:space="preserve">[תיקוני זוהר - דף קכח ע''ב] </w:t>
      </w:r>
    </w:p>
    <w:p w:rsidR="006D2826" w:rsidRDefault="006D2826" w:rsidP="006D2826">
      <w:pPr>
        <w:pStyle w:val="NormalWeb"/>
        <w:rPr>
          <w:b w:val="0"/>
          <w:bCs w:val="0"/>
          <w:rtl/>
        </w:rPr>
      </w:pPr>
      <w:r>
        <w:rPr>
          <w:b w:val="0"/>
          <w:bCs w:val="0"/>
          <w:rtl/>
        </w:rPr>
        <w:t xml:space="preserve">יוּהוּווּהוּ דָּא צַדִּיק, דְּאִיהוּ קֶשֶׁר הַמֶּרְכָּבָה, דְאִיהִי שְׁכִינְתָּא עִם קוּדְשָׁא בְּרִיךְ הוּא, </w:t>
      </w:r>
      <w:r>
        <w:rPr>
          <w:b w:val="0"/>
          <w:sz w:val="20"/>
          <w:szCs w:val="23"/>
          <w:rtl/>
        </w:rPr>
        <w:t xml:space="preserve">(דף קכח ע''ב) </w:t>
      </w:r>
      <w:r>
        <w:rPr>
          <w:b w:val="0"/>
          <w:bCs w:val="0"/>
          <w:rtl/>
        </w:rPr>
        <w:t xml:space="preserve">הֲדָא הוּא דִכְתִיב </w:t>
      </w:r>
      <w:r>
        <w:rPr>
          <w:b w:val="0"/>
          <w:sz w:val="20"/>
          <w:szCs w:val="23"/>
          <w:rtl/>
        </w:rPr>
        <w:t>(ד''ה א כט יא)</w:t>
      </w:r>
      <w:r>
        <w:rPr>
          <w:b w:val="0"/>
          <w:bCs w:val="0"/>
          <w:rtl/>
        </w:rPr>
        <w:t xml:space="preserve"> כִּי כֹל בַּשָּׁמַיִם וּבָאָרֶץ, </w:t>
      </w:r>
      <w:r>
        <w:rPr>
          <w:rStyle w:val="a7"/>
          <w:b w:val="0"/>
          <w:bCs w:val="0"/>
          <w:rtl/>
        </w:rPr>
        <w:footnoteReference w:id="5413"/>
      </w:r>
      <w:r>
        <w:rPr>
          <w:b w:val="0"/>
          <w:bCs w:val="0"/>
          <w:rtl/>
        </w:rPr>
        <w:t xml:space="preserve">וּמִתַּרְגְּמִינָן דַּאֲחִיד בִּשְׁמַיָּא וּבְאַרְעָא, וַעֲלֵיהּ אִתְּמַר </w:t>
      </w:r>
      <w:r>
        <w:rPr>
          <w:b w:val="0"/>
          <w:sz w:val="20"/>
          <w:szCs w:val="23"/>
          <w:rtl/>
        </w:rPr>
        <w:t>(ירמיה ב כא)</w:t>
      </w:r>
      <w:r>
        <w:rPr>
          <w:b w:val="0"/>
          <w:bCs w:val="0"/>
          <w:rtl/>
        </w:rPr>
        <w:t xml:space="preserve"> וְאָנֹכִי נְטַעְתִּיךְ שׂוֹרֵק כֻּלֹּה זֶרַע אֱמֶת, זֶרַע אֱמֶת הוּא וַדַּאי, דְּאִתְּמַר בֵּיהּ </w:t>
      </w:r>
      <w:r>
        <w:rPr>
          <w:b w:val="0"/>
          <w:sz w:val="20"/>
          <w:szCs w:val="23"/>
          <w:rtl/>
        </w:rPr>
        <w:t>(מיכה ז כ)</w:t>
      </w:r>
      <w:r>
        <w:rPr>
          <w:b w:val="0"/>
          <w:bCs w:val="0"/>
          <w:rtl/>
        </w:rPr>
        <w:t xml:space="preserve"> תִּתֵּן אֱמֶת לְיַעֲקֹב, אִיהוּ זֶרַע, וּשְׁכִינְתָּא עִזֶר, הֲדָא הוּא דִכְתִיב </w:t>
      </w:r>
      <w:r>
        <w:rPr>
          <w:b w:val="0"/>
          <w:sz w:val="20"/>
          <w:szCs w:val="23"/>
          <w:rtl/>
        </w:rPr>
        <w:t>(בראשית ב יח)</w:t>
      </w:r>
      <w:r>
        <w:rPr>
          <w:b w:val="0"/>
          <w:bCs w:val="0"/>
          <w:rtl/>
        </w:rPr>
        <w:t xml:space="preserve"> אֶעֱשֶׂה לוֹ עִזֶר כְּנֶגְדּוֹ, כָּל אִלֵּין נְקוּדִין אִתְחַיְיבוּ בִּשְׁמָא </w:t>
      </w:r>
      <w:r>
        <w:rPr>
          <w:b w:val="0"/>
          <w:sz w:val="20"/>
          <w:szCs w:val="23"/>
          <w:rtl/>
        </w:rPr>
        <w:t>(נ''א אתחייב שמא)</w:t>
      </w:r>
      <w:r>
        <w:rPr>
          <w:b w:val="0"/>
          <w:bCs w:val="0"/>
          <w:rtl/>
        </w:rPr>
        <w:t xml:space="preserve"> קַדִּישָׁא מִסִּטְרָא דְתֵשַׁע סְפִירָן, וּמַלְכוּת כְּלִילָא דְכֻלְּהוּ, </w:t>
      </w:r>
      <w:r>
        <w:rPr>
          <w:rStyle w:val="a7"/>
          <w:b w:val="0"/>
          <w:bCs w:val="0"/>
          <w:rtl/>
        </w:rPr>
        <w:footnoteReference w:id="5414"/>
      </w:r>
      <w:r>
        <w:rPr>
          <w:b w:val="0"/>
          <w:bCs w:val="0"/>
          <w:rtl/>
        </w:rPr>
        <w:t xml:space="preserve">אַהֲבַת כְּלוּלֹתָיִךְ </w:t>
      </w:r>
      <w:r>
        <w:rPr>
          <w:b w:val="0"/>
          <w:sz w:val="20"/>
          <w:szCs w:val="23"/>
          <w:rtl/>
        </w:rPr>
        <w:t>(ירמיה ב ב)</w:t>
      </w:r>
      <w:r>
        <w:rPr>
          <w:b w:val="0"/>
          <w:bCs w:val="0"/>
          <w:rtl/>
        </w:rPr>
        <w:t>, הָא הָכָא אַנְפִּין עִגּוּלִין דִּלְעִילָא, נְקִידִין בִּנְקוּדִין.</w:t>
      </w:r>
    </w:p>
    <w:p w:rsidR="006D2826" w:rsidRDefault="006D2826" w:rsidP="006D2826">
      <w:pPr>
        <w:pStyle w:val="NormalWeb"/>
        <w:rPr>
          <w:b w:val="0"/>
          <w:bCs w:val="0"/>
          <w:rtl/>
        </w:rPr>
      </w:pPr>
      <w:r>
        <w:rPr>
          <w:rStyle w:val="a7"/>
          <w:b w:val="0"/>
          <w:bCs w:val="0"/>
          <w:rtl/>
        </w:rPr>
        <w:footnoteReference w:id="5415"/>
      </w:r>
      <w:r>
        <w:rPr>
          <w:b w:val="0"/>
          <w:bCs w:val="0"/>
          <w:rtl/>
        </w:rPr>
        <w:t xml:space="preserve">וְאִית אַנְפֵּי רַבְרְבֵי, וְאַנְפֵּי זוּטְרֵי, אַנְפִּין דְּרַחֲמֵי, וְאַנְפִּין דְּזַעַם, דִּבְהוֹן וְאֵ''ל זוֹעִם בְּכָל יוֹם </w:t>
      </w:r>
      <w:r>
        <w:rPr>
          <w:b w:val="0"/>
          <w:sz w:val="20"/>
          <w:szCs w:val="23"/>
          <w:rtl/>
        </w:rPr>
        <w:t>(תהלים ז יב)</w:t>
      </w:r>
      <w:r>
        <w:rPr>
          <w:b w:val="0"/>
          <w:bCs w:val="0"/>
          <w:rtl/>
        </w:rPr>
        <w:t xml:space="preserve">, וּבְגִין דָּא אָמַר לְמֹשֶׁה הַמְתֵּן לִי עַד שֶׁיַּעַבְרוּ פָּנִים שֶׁל זַעַם, וּמִיָּד וַיַּעֲבוֹר יהו''ה עַל פָּנָיו וַיִּקְרָא, יהו''ה יהו''ה אֵ''ל רַחוּם וְחַנּוּן </w:t>
      </w:r>
      <w:r>
        <w:rPr>
          <w:b w:val="0"/>
          <w:sz w:val="20"/>
          <w:szCs w:val="23"/>
          <w:rtl/>
        </w:rPr>
        <w:t>(שמות לד ו)</w:t>
      </w:r>
      <w:r>
        <w:rPr>
          <w:b w:val="0"/>
          <w:bCs w:val="0"/>
          <w:rtl/>
        </w:rPr>
        <w:t xml:space="preserve">, דְּאִינוּן בְּרָזָא דְאָת וָא''ו, תְּלַת עֲשַׂר מְכִילָן, א' דִּבְאֶמְצָעִיתָא דְוָא''ו אֶרֶךְ אַפַּיִם מַאי אַפַּיִם דִּילֵיהּ ו''ו, </w:t>
      </w:r>
      <w:r>
        <w:rPr>
          <w:rStyle w:val="a7"/>
          <w:b w:val="0"/>
          <w:bCs w:val="0"/>
          <w:rtl/>
        </w:rPr>
        <w:footnoteReference w:id="5416"/>
      </w:r>
      <w:r>
        <w:rPr>
          <w:b w:val="0"/>
          <w:bCs w:val="0"/>
          <w:rtl/>
        </w:rPr>
        <w:t xml:space="preserve">דִּבְהוֹן מַאֲרִיךְ אַנְפִּין עַל חַיָּיבַיָּא, </w:t>
      </w:r>
      <w:r>
        <w:rPr>
          <w:rStyle w:val="a7"/>
          <w:b w:val="0"/>
          <w:bCs w:val="0"/>
          <w:rtl/>
        </w:rPr>
        <w:footnoteReference w:id="5417"/>
      </w:r>
      <w:r>
        <w:rPr>
          <w:b w:val="0"/>
          <w:bCs w:val="0"/>
          <w:rtl/>
        </w:rPr>
        <w:t xml:space="preserve">וּמְרַחֵם עַל עָלְמָא, וַעֲלַיְיהוּ אִתְּמַר </w:t>
      </w:r>
      <w:r>
        <w:rPr>
          <w:b w:val="0"/>
          <w:sz w:val="20"/>
          <w:szCs w:val="23"/>
          <w:rtl/>
        </w:rPr>
        <w:t>(במדבר ו כה)</w:t>
      </w:r>
      <w:r>
        <w:rPr>
          <w:b w:val="0"/>
          <w:bCs w:val="0"/>
          <w:rtl/>
        </w:rPr>
        <w:t xml:space="preserve"> יָאֵר יהו''ה פָּנָיו אֵלֶיךָ וִיחֻנֶּךָּ, יִשָּׂא יהו''ה </w:t>
      </w:r>
      <w:r>
        <w:rPr>
          <w:rStyle w:val="a7"/>
          <w:b w:val="0"/>
          <w:bCs w:val="0"/>
          <w:rtl/>
        </w:rPr>
        <w:footnoteReference w:id="5418"/>
      </w:r>
      <w:r>
        <w:rPr>
          <w:b w:val="0"/>
          <w:bCs w:val="0"/>
          <w:rtl/>
        </w:rPr>
        <w:t xml:space="preserve">פָּנָיו אֵלֶיךָ, ה' ה' אִינוּן גַּוָּונִין דְּאַנְפִּין חִוָּור וְסוּמַק, וְחוֹטָמָא אִיהוּ אֲרִיךְ אַנְפִּין, יו''ד פִּימָא כְּלָלָא דִתְלַת דַּרְגִּין, י' חוּט בְּעִגּוּלָא, </w:t>
      </w:r>
      <w:r>
        <w:rPr>
          <w:rStyle w:val="a7"/>
          <w:b w:val="0"/>
          <w:bCs w:val="0"/>
          <w:rtl/>
        </w:rPr>
        <w:footnoteReference w:id="5419"/>
      </w:r>
      <w:r>
        <w:rPr>
          <w:b w:val="0"/>
          <w:bCs w:val="0"/>
          <w:rtl/>
        </w:rPr>
        <w:t xml:space="preserve">ו' לָשׁוֹן, ד' כְּלָלָא דְאַרְבַּע תִּקּוּנִין שִׂפְוָון וְשִׁינַיִם וְחֵךְ וְגָרוֹן, </w:t>
      </w:r>
      <w:r>
        <w:rPr>
          <w:rStyle w:val="a7"/>
          <w:b w:val="0"/>
          <w:bCs w:val="0"/>
          <w:rtl/>
        </w:rPr>
        <w:footnoteReference w:id="5420"/>
      </w:r>
      <w:r>
        <w:rPr>
          <w:b w:val="0"/>
          <w:bCs w:val="0"/>
          <w:rtl/>
        </w:rPr>
        <w:t xml:space="preserve">תָּא חֲזִי אִתְּמַר בְּאָדָם </w:t>
      </w:r>
      <w:r>
        <w:rPr>
          <w:b w:val="0"/>
          <w:sz w:val="20"/>
          <w:szCs w:val="23"/>
          <w:rtl/>
        </w:rPr>
        <w:t>(איוב יד כ)</w:t>
      </w:r>
      <w:r>
        <w:rPr>
          <w:b w:val="0"/>
          <w:bCs w:val="0"/>
          <w:rtl/>
        </w:rPr>
        <w:t xml:space="preserve"> מְשַׁנֶּה פָנָיו וַתְּשַׁלְּחֵהוּ, וּמָאן גָּרִים לֵיהּ שִׁנּוּיָא דְאַנְפִּין, לְשַׁנָּאָה לֵיהּ דְּלָא יִשְׁתְּמוֹדְעָן בֵּיהּ מָארֵי דְּדִינָא, הַאי אִיהוּ שִׁנּוּי מָקוֹם שִׁנּוּי הַשֵּׁם שִׁנּוּי מַעֲשֶׂה. </w:t>
      </w:r>
    </w:p>
    <w:p w:rsidR="006D2826" w:rsidRDefault="006D2826" w:rsidP="006D2826">
      <w:pPr>
        <w:pStyle w:val="NormalWeb"/>
        <w:rPr>
          <w:b w:val="0"/>
          <w:bCs w:val="0"/>
          <w:rtl/>
        </w:rPr>
      </w:pPr>
      <w:r>
        <w:rPr>
          <w:rStyle w:val="a7"/>
          <w:b w:val="0"/>
          <w:bCs w:val="0"/>
          <w:rtl/>
        </w:rPr>
        <w:footnoteReference w:id="5421"/>
      </w:r>
      <w:r>
        <w:rPr>
          <w:b w:val="0"/>
          <w:bCs w:val="0"/>
          <w:rtl/>
        </w:rPr>
        <w:t xml:space="preserve">וְעוֹד נְקוּדִין אִינוּן סֶגּוֹלִין דִּנְהוֹרִין דְנָהֲרִין בְּאַנְפִּין, נְקוּדִין דְאוֹרַיְיתָא אִינוּן נִעְנוּעִין דְּאַתְוָון, לָקֳבֵל פִּרְקִין וְעַרְקִין, דְּאִינוּן נִעְנוּעִין דְּאֵבָרִין דְּגוּפָא. וְאִתְקְרִיאוּ בְּאִלֵּין שְׁמָהָן, ק''דומיאל </w:t>
      </w:r>
      <w:r>
        <w:rPr>
          <w:b w:val="0"/>
          <w:sz w:val="20"/>
          <w:szCs w:val="23"/>
          <w:rtl/>
        </w:rPr>
        <w:t>(נ''א ק''דמיאל)</w:t>
      </w:r>
      <w:r>
        <w:rPr>
          <w:b w:val="0"/>
          <w:szCs w:val="23"/>
          <w:rtl/>
        </w:rPr>
        <w:t xml:space="preserve"> </w:t>
      </w:r>
      <w:r>
        <w:rPr>
          <w:b w:val="0"/>
          <w:sz w:val="20"/>
          <w:szCs w:val="23"/>
          <w:rtl/>
        </w:rPr>
        <w:t>(ס''י קמואל)</w:t>
      </w:r>
      <w:r>
        <w:rPr>
          <w:b w:val="0"/>
          <w:bCs w:val="0"/>
          <w:rtl/>
        </w:rPr>
        <w:t xml:space="preserve"> מ''לכיאל צ''וריאל - הָא קָמֵץ בְּאַתְווֹי, פ''דאל ת''ומיאל ח''סדיאל - הָא פַּתָח, צ''וריאל ר''זיאל י''ופיאל הָא צֵרִי, ס''מטוריה ג''זריאל </w:t>
      </w:r>
      <w:r>
        <w:rPr>
          <w:b w:val="0"/>
          <w:sz w:val="20"/>
          <w:szCs w:val="23"/>
          <w:rtl/>
        </w:rPr>
        <w:t>(נ''א ג''בריאל)</w:t>
      </w:r>
      <w:r>
        <w:rPr>
          <w:b w:val="0"/>
          <w:bCs w:val="0"/>
          <w:rtl/>
        </w:rPr>
        <w:t xml:space="preserve"> ו''ענאל ל''מואל - הָא סֶגוֹל, ש''מעיאל ב''רכיאל א''הניאל - הָא שְׁבָא, ח''ניאל ל''הדיאל מ''חניאל - הָא חֹלֵם, ח''זקיאל ר''הטיאל ק''דשיאל - הָא חִרֵק, ש''מועאל ר''עמיאל ק''ניאל - הָא שֻׁרֵק, ש''משיאל ר''פאל ק''דשיאל - הָא שֻׁרֵק, הָא תְמַנְיָא וְעֶשְׂרִין שְׁמָהָן, דְּאִתְּמַר בְּהוֹן </w:t>
      </w:r>
      <w:r>
        <w:rPr>
          <w:b w:val="0"/>
          <w:sz w:val="20"/>
          <w:szCs w:val="23"/>
          <w:rtl/>
        </w:rPr>
        <w:t>(תהלים קיא ו)</w:t>
      </w:r>
      <w:r>
        <w:rPr>
          <w:b w:val="0"/>
          <w:bCs w:val="0"/>
          <w:rtl/>
        </w:rPr>
        <w:t xml:space="preserve"> כֹּחַ מַעֲשָׂיו הִגִּיד לְעַמּוֹ, זַכָּאִין אַנְפִּין דְּנָהֲרִין בְּהוֹן אִלֵּין שְׁמָהָן, וְאִינוּן לָקֳבֵל י''ד פִּרְקִין דְּיָד יְמִינָא וְלָקֳבֵל י''ד פִּרְקִין דְּיָד שְׂמָאלָא, יהו''ה אלהינ''ו יהו''ה, כוז''ו במוכס''ז כוז''ו, </w:t>
      </w:r>
      <w:r>
        <w:rPr>
          <w:rStyle w:val="a7"/>
          <w:b w:val="0"/>
          <w:bCs w:val="0"/>
          <w:rtl/>
        </w:rPr>
        <w:footnoteReference w:id="5422"/>
      </w:r>
      <w:r>
        <w:rPr>
          <w:b w:val="0"/>
          <w:bCs w:val="0"/>
          <w:rtl/>
        </w:rPr>
        <w:t xml:space="preserve">עֲלַיְיהוּ אִתְּמַר </w:t>
      </w:r>
      <w:r>
        <w:rPr>
          <w:b w:val="0"/>
          <w:sz w:val="20"/>
          <w:szCs w:val="23"/>
          <w:rtl/>
        </w:rPr>
        <w:t>(שמות כ ג)</w:t>
      </w:r>
      <w:r>
        <w:rPr>
          <w:b w:val="0"/>
          <w:bCs w:val="0"/>
          <w:rtl/>
        </w:rPr>
        <w:t xml:space="preserve"> לֹא יִהְיֶה לְךָ אֱלֹהִים אֲחֵרִים עַל פָּנָי, וְאִם לַאו עֲלַיְיהוּ אִתְּמַר </w:t>
      </w:r>
      <w:r>
        <w:rPr>
          <w:b w:val="0"/>
          <w:sz w:val="20"/>
          <w:szCs w:val="23"/>
          <w:rtl/>
        </w:rPr>
        <w:t>(משלי יא כא)</w:t>
      </w:r>
      <w:r>
        <w:rPr>
          <w:b w:val="0"/>
          <w:bCs w:val="0"/>
          <w:rtl/>
        </w:rPr>
        <w:t xml:space="preserve"> יָד לְיָד לֹא יִנָּקֶה רָע.</w:t>
      </w:r>
    </w:p>
    <w:p w:rsidR="006D2826" w:rsidRDefault="006D2826" w:rsidP="006D2826">
      <w:pPr>
        <w:pStyle w:val="NormalWeb"/>
        <w:rPr>
          <w:b w:val="0"/>
          <w:bCs w:val="0"/>
          <w:rtl/>
        </w:rPr>
      </w:pPr>
      <w:r>
        <w:rPr>
          <w:rStyle w:val="a7"/>
          <w:b w:val="0"/>
          <w:bCs w:val="0"/>
          <w:rtl/>
        </w:rPr>
        <w:footnoteReference w:id="5423"/>
      </w:r>
      <w:r>
        <w:rPr>
          <w:b w:val="0"/>
          <w:bCs w:val="0"/>
          <w:rtl/>
        </w:rPr>
        <w:t xml:space="preserve">חוֹטָמָא אֲרִיכָא, דָא הוּא בַר נַשׁ דְּאִית בֵּיהּ רַחֲמֵי, חוֹטָמָא קְמִיטָא מָארֵי דְרוּגְזָא אִיהוּ, חוֹטָמָא עֲקִימָא מִסִּטְרָא דְחִוְיָא אִיהוּ בְּכָל אֵבֶר דְּחָב בַּר נַשׁ הַהוּא חִוְיָא אִיהוּ כְרִיכָא תַמָּן וְעָקִים לֵיהּ, בֵּין בְּאוּדְנִין בֵּין בְּעַיְינִין בֵּין בְּחוֹטָמָא בֵין בְּפִימָא, וַעֲלֵיהּ אִתְּמַר </w:t>
      </w:r>
      <w:r>
        <w:rPr>
          <w:b w:val="0"/>
          <w:sz w:val="20"/>
          <w:szCs w:val="23"/>
          <w:rtl/>
        </w:rPr>
        <w:t>(קהלת א טו)</w:t>
      </w:r>
      <w:r>
        <w:rPr>
          <w:b w:val="0"/>
          <w:bCs w:val="0"/>
          <w:rtl/>
        </w:rPr>
        <w:t xml:space="preserve"> </w:t>
      </w:r>
      <w:r>
        <w:rPr>
          <w:rStyle w:val="a7"/>
          <w:b w:val="0"/>
          <w:bCs w:val="0"/>
          <w:rtl/>
        </w:rPr>
        <w:footnoteReference w:id="5424"/>
      </w:r>
      <w:r>
        <w:rPr>
          <w:b w:val="0"/>
          <w:bCs w:val="0"/>
          <w:rtl/>
        </w:rPr>
        <w:t xml:space="preserve">מְעְִוָּת לֹא יוּכַל לִתְקוֹן וְגוֹמֵר, וְכָל כְּאֵבִין דִּבְנֵי נָשָׁא דְאִינוּן תַּקִּיפִין, דְּאִתְּמַר בְּהוֹן </w:t>
      </w:r>
      <w:r>
        <w:rPr>
          <w:b w:val="0"/>
          <w:sz w:val="20"/>
          <w:szCs w:val="23"/>
          <w:rtl/>
        </w:rPr>
        <w:t>(דברים כח נט)</w:t>
      </w:r>
      <w:r>
        <w:rPr>
          <w:b w:val="0"/>
          <w:bCs w:val="0"/>
          <w:rtl/>
        </w:rPr>
        <w:t xml:space="preserve"> וָחֳלָיִם רָעִים וְנֶאֱמָנִים, הוּא דְנָשִׁיךְ לוֹן הַהוּא חִוְיָא בְכַמָּה נְשִׁיכִין בְּהַהוּא אֵבֶר דְּחָב, עַד דְּאִתְפַּרַע מֵהַהוּא חוֹבָא, וּבְגִינֵיהּ אִתְּמַר אֲפִילוּ נָחָשׁ כָּרוּךְ עַל עֲקֵבוֹ </w:t>
      </w:r>
      <w:r>
        <w:rPr>
          <w:rStyle w:val="a7"/>
          <w:b w:val="0"/>
          <w:bCs w:val="0"/>
          <w:rtl/>
        </w:rPr>
        <w:footnoteReference w:id="5425"/>
      </w:r>
      <w:r>
        <w:rPr>
          <w:b w:val="0"/>
          <w:bCs w:val="0"/>
          <w:rtl/>
        </w:rPr>
        <w:t xml:space="preserve">לֹא יַפְסִיק בְּיִחוּדָא, לֹא יַפְסִיק בִּצְלוֹתָא, אֲבָל עַקְרָב פּוֹסֵק בְּגִין דְּקָטִיל, וּכְתִיב בְּכָל פִּקּוּדִין </w:t>
      </w:r>
      <w:r>
        <w:rPr>
          <w:b w:val="0"/>
          <w:sz w:val="20"/>
          <w:szCs w:val="23"/>
          <w:rtl/>
        </w:rPr>
        <w:t>(ויקרא יח ה)</w:t>
      </w:r>
      <w:r>
        <w:rPr>
          <w:b w:val="0"/>
          <w:bCs w:val="0"/>
          <w:rtl/>
        </w:rPr>
        <w:t xml:space="preserve"> וָחַי בָּהֶם, וְלֹא שֶׁיָּמוּת בָּהֶם.</w:t>
      </w:r>
    </w:p>
    <w:p w:rsidR="006D2826" w:rsidRDefault="006D2826" w:rsidP="006D2826">
      <w:pPr>
        <w:pStyle w:val="NormalWeb"/>
        <w:rPr>
          <w:b w:val="0"/>
          <w:bCs w:val="0"/>
          <w:rtl/>
        </w:rPr>
      </w:pPr>
      <w:r>
        <w:rPr>
          <w:b w:val="0"/>
          <w:bCs w:val="0"/>
          <w:rtl/>
        </w:rPr>
        <w:t xml:space="preserve">תָּא חֲזִי בְּחוֹטָמָא אִית תְּרֵין נוּקְבִין, מֵחַד נָפִיק רוּחָא, וּמֵחַד נָפִיק תְּנָנָא, </w:t>
      </w:r>
      <w:r>
        <w:rPr>
          <w:rStyle w:val="a7"/>
          <w:b w:val="0"/>
          <w:bCs w:val="0"/>
          <w:rtl/>
        </w:rPr>
        <w:footnoteReference w:id="5426"/>
      </w:r>
      <w:r>
        <w:rPr>
          <w:b w:val="0"/>
          <w:bCs w:val="0"/>
          <w:rtl/>
        </w:rPr>
        <w:t xml:space="preserve">הֲדָא הוּא דִכְתִיב </w:t>
      </w:r>
      <w:r>
        <w:rPr>
          <w:b w:val="0"/>
          <w:sz w:val="20"/>
          <w:szCs w:val="23"/>
          <w:rtl/>
        </w:rPr>
        <w:t>(דברים כט יט)</w:t>
      </w:r>
      <w:r>
        <w:rPr>
          <w:b w:val="0"/>
          <w:bCs w:val="0"/>
          <w:rtl/>
        </w:rPr>
        <w:t xml:space="preserve"> כִּי אָז יֶעְשַּׁן אַף יהו''ה וְקִנְאָתוֹ בָּאִישׁ הַהוּא, בְּרוּחָא קַרִיר אָמַר </w:t>
      </w:r>
      <w:r>
        <w:rPr>
          <w:b w:val="0"/>
          <w:sz w:val="20"/>
          <w:szCs w:val="23"/>
          <w:rtl/>
        </w:rPr>
        <w:t>(שמות טו ח)</w:t>
      </w:r>
      <w:r>
        <w:rPr>
          <w:b w:val="0"/>
          <w:bCs w:val="0"/>
          <w:rtl/>
        </w:rPr>
        <w:t xml:space="preserve"> וּבְרוּחַ אַפֶּיךָ נֶעֶרְמוּ מַיִם, בִּתְּנָנָא דְסָלִיק כֶּעָשָׁן אָמַר </w:t>
      </w:r>
      <w:r>
        <w:rPr>
          <w:b w:val="0"/>
          <w:sz w:val="20"/>
          <w:szCs w:val="23"/>
          <w:rtl/>
        </w:rPr>
        <w:t>(שם)</w:t>
      </w:r>
      <w:r>
        <w:rPr>
          <w:b w:val="0"/>
          <w:bCs w:val="0"/>
          <w:rtl/>
        </w:rPr>
        <w:t xml:space="preserve"> נָשַׁפְתָּ בְרוּחֲךָ כִּסָּמוֹ יָם.</w:t>
      </w:r>
    </w:p>
    <w:p w:rsidR="006D2826" w:rsidRDefault="006D2826" w:rsidP="006D2826">
      <w:pPr>
        <w:pStyle w:val="aa"/>
        <w:spacing w:after="40"/>
        <w:rPr>
          <w:rtl/>
        </w:rPr>
      </w:pPr>
      <w:r>
        <w:rPr>
          <w:rtl/>
        </w:rPr>
        <w:t xml:space="preserve">[תיקוני זוהר - דף קכט ע''א] </w:t>
      </w:r>
    </w:p>
    <w:p w:rsidR="006D2826" w:rsidRDefault="006D2826" w:rsidP="006D2826">
      <w:pPr>
        <w:pStyle w:val="NormalWeb"/>
        <w:rPr>
          <w:b w:val="0"/>
          <w:bCs w:val="0"/>
          <w:rtl/>
        </w:rPr>
      </w:pPr>
      <w:r>
        <w:rPr>
          <w:b w:val="0"/>
          <w:sz w:val="20"/>
          <w:szCs w:val="23"/>
          <w:rtl/>
        </w:rPr>
        <w:t xml:space="preserve">(דף קכט ע''א) </w:t>
      </w:r>
      <w:r>
        <w:rPr>
          <w:rStyle w:val="a7"/>
          <w:b w:val="0"/>
          <w:bCs w:val="0"/>
          <w:rtl/>
        </w:rPr>
        <w:footnoteReference w:id="5427"/>
      </w:r>
      <w:r>
        <w:rPr>
          <w:b w:val="0"/>
          <w:bCs w:val="0"/>
          <w:rtl/>
        </w:rPr>
        <w:t xml:space="preserve">אוּדְנִין אִית בְּהוֹן אִדְרִין וְאַכְסַדְרִין, וַעֲלַיְיהוּ אָמַר דָּוִד שִׁיר לַמַּעֲלוֹת, דְּאִינוּן כִּי גָבוֹהַּ מֵעַל גָּבֹהַּ שֹׁמֵר, וּגְבֹהִים עֲלֵיהֶם </w:t>
      </w:r>
      <w:r>
        <w:rPr>
          <w:b w:val="0"/>
          <w:sz w:val="20"/>
          <w:szCs w:val="23"/>
          <w:rtl/>
        </w:rPr>
        <w:t>(קהלת ה ז)</w:t>
      </w:r>
      <w:r>
        <w:rPr>
          <w:b w:val="0"/>
          <w:bCs w:val="0"/>
          <w:rtl/>
        </w:rPr>
        <w:t xml:space="preserve">, אִי אִינוּן אֲטִימִין אוּדְנִין לְתַתָּא, הָכִי אִינוּן אֲטִימִין תַּרְעִין דִּשְׁמִיעָה לְעִילָא לְגַבַּיְהוּ, וְאִינוּן תַּרְעִין דְּאִתְּמַר בְּהוֹן </w:t>
      </w:r>
      <w:r>
        <w:rPr>
          <w:b w:val="0"/>
          <w:sz w:val="20"/>
          <w:szCs w:val="23"/>
          <w:rtl/>
        </w:rPr>
        <w:t>(תהלים סה ג)</w:t>
      </w:r>
      <w:r>
        <w:rPr>
          <w:b w:val="0"/>
          <w:bCs w:val="0"/>
          <w:rtl/>
        </w:rPr>
        <w:t xml:space="preserve"> שׁוֹמֵעַ תְּפִלָּה, שְׁמַע יִשְׂרָאֵל </w:t>
      </w:r>
      <w:r>
        <w:rPr>
          <w:b w:val="0"/>
          <w:sz w:val="20"/>
          <w:szCs w:val="23"/>
          <w:rtl/>
        </w:rPr>
        <w:t>(דברים ו ד)</w:t>
      </w:r>
      <w:r>
        <w:rPr>
          <w:b w:val="0"/>
          <w:bCs w:val="0"/>
          <w:rtl/>
        </w:rPr>
        <w:t>, מִתַּמָּן צָרִיךְ לְכַוְונָא בִשְׁמִיעָה. אָמַר לֵיהּ רַבִּי אֶלְעָזָר, אַבָּא, וְהָא שְׁמִיעָה בְאָן אֲתַר תַּלְיָא לְעִילָא.</w:t>
      </w:r>
    </w:p>
    <w:p w:rsidR="006D2826" w:rsidRDefault="006D2826" w:rsidP="006D2826">
      <w:pPr>
        <w:pStyle w:val="NormalWeb"/>
        <w:rPr>
          <w:b w:val="0"/>
          <w:bCs w:val="0"/>
          <w:rtl/>
        </w:rPr>
      </w:pPr>
      <w:r>
        <w:rPr>
          <w:b w:val="0"/>
          <w:bCs w:val="0"/>
          <w:rtl/>
        </w:rPr>
        <w:t xml:space="preserve">אָמַר לֵיהּ בְּרִי </w:t>
      </w:r>
      <w:r>
        <w:rPr>
          <w:rStyle w:val="a7"/>
          <w:b w:val="0"/>
          <w:bCs w:val="0"/>
          <w:rtl/>
        </w:rPr>
        <w:footnoteReference w:id="5428"/>
      </w:r>
      <w:r>
        <w:rPr>
          <w:b w:val="0"/>
          <w:bCs w:val="0"/>
          <w:rtl/>
        </w:rPr>
        <w:t xml:space="preserve">רְאִיָּה הוּא כִּסֵּא לַמִּזְרָח, דְּמִתַּמָּן נְהוֹרָא נָפִיק לְעוֹלָם, כְּמָה דְאוּקְמוּהָ מָארֵי מַתְנִיתִין, מִזְרָח מִשָּׁם הָאוֹר יוֹצֵא לְעוֹלָם, יְהוּדָה אִיהוּ לַמִּזְרָח, וְאִתְּמַר בֵּיהּ </w:t>
      </w:r>
      <w:r>
        <w:rPr>
          <w:b w:val="0"/>
          <w:sz w:val="20"/>
          <w:szCs w:val="23"/>
          <w:rtl/>
        </w:rPr>
        <w:t>(בראשית מט ט)</w:t>
      </w:r>
      <w:r>
        <w:rPr>
          <w:b w:val="0"/>
          <w:bCs w:val="0"/>
          <w:rtl/>
        </w:rPr>
        <w:t xml:space="preserve"> גּוּר אַרְיֵה יְהוּדָה. </w:t>
      </w:r>
      <w:r>
        <w:rPr>
          <w:rStyle w:val="a7"/>
          <w:b w:val="0"/>
          <w:bCs w:val="0"/>
          <w:rtl/>
        </w:rPr>
        <w:footnoteReference w:id="5429"/>
      </w:r>
      <w:r>
        <w:rPr>
          <w:b w:val="0"/>
          <w:bCs w:val="0"/>
          <w:rtl/>
        </w:rPr>
        <w:t xml:space="preserve">מַעֲרָב דָּא פִימָא דְתַמָּן עִרוּב דְּכֹלָּא, וְתַמָּן מִתְעָרְבִין כָּל חֲיָילִין וְכָל דַּרְגִּין, </w:t>
      </w:r>
      <w:r>
        <w:rPr>
          <w:rStyle w:val="a7"/>
          <w:b w:val="0"/>
          <w:bCs w:val="0"/>
          <w:rtl/>
        </w:rPr>
        <w:footnoteReference w:id="5430"/>
      </w:r>
      <w:r>
        <w:rPr>
          <w:b w:val="0"/>
          <w:bCs w:val="0"/>
          <w:rtl/>
        </w:rPr>
        <w:t xml:space="preserve">וּמַחֲנֵה אֶפְרַיִם לְמַעֲרָב, וּמִטָּה לְמַעֲרָב בֵּין צָפוֹן לַדָּרוֹם. </w:t>
      </w:r>
      <w:r>
        <w:rPr>
          <w:rStyle w:val="a7"/>
          <w:b w:val="0"/>
          <w:bCs w:val="0"/>
          <w:rtl/>
        </w:rPr>
        <w:footnoteReference w:id="5431"/>
      </w:r>
      <w:r>
        <w:rPr>
          <w:b w:val="0"/>
          <w:bCs w:val="0"/>
          <w:rtl/>
        </w:rPr>
        <w:t xml:space="preserve">שְׁמִיעָה לָקֳבֵל שֻׁלְחָן בַּצָּפוֹן, וְתַמָּן דְּחִילוּ, הֲדָא הוּא דִכְתִיב </w:t>
      </w:r>
      <w:r>
        <w:rPr>
          <w:b w:val="0"/>
          <w:sz w:val="20"/>
          <w:szCs w:val="23"/>
          <w:rtl/>
        </w:rPr>
        <w:t>(חבקוק ג ב)</w:t>
      </w:r>
      <w:r>
        <w:rPr>
          <w:b w:val="0"/>
          <w:bCs w:val="0"/>
          <w:rtl/>
        </w:rPr>
        <w:t xml:space="preserve"> יהו''ה שָׁמַעְתִּי שִׁמְעֲךָ יָרֵאתִי, וּמַחֲנֵה דָן לַצָּפוֹן, </w:t>
      </w:r>
      <w:r>
        <w:rPr>
          <w:rStyle w:val="a7"/>
          <w:b w:val="0"/>
          <w:bCs w:val="0"/>
          <w:rtl/>
        </w:rPr>
        <w:footnoteReference w:id="5432"/>
      </w:r>
      <w:r>
        <w:rPr>
          <w:b w:val="0"/>
          <w:bCs w:val="0"/>
          <w:rtl/>
        </w:rPr>
        <w:t xml:space="preserve">וְאֹזֶן דְּמוּת אַלֶּ''ף, דְּאִתְּמַר בֵּיהּ אַלֵּף בִּינָה, דְּאִיהִי אֹזֶן לַצָּפוֹן. </w:t>
      </w:r>
      <w:r>
        <w:rPr>
          <w:rStyle w:val="a7"/>
          <w:b w:val="0"/>
          <w:bCs w:val="0"/>
          <w:rtl/>
        </w:rPr>
        <w:footnoteReference w:id="5433"/>
      </w:r>
      <w:r>
        <w:rPr>
          <w:b w:val="0"/>
          <w:bCs w:val="0"/>
          <w:rtl/>
        </w:rPr>
        <w:t xml:space="preserve">רֵיחָא לַדָּרוֹם, רֵיחַ נִיחֹחַ לַיהו''ה </w:t>
      </w:r>
      <w:r>
        <w:rPr>
          <w:b w:val="0"/>
          <w:sz w:val="20"/>
          <w:szCs w:val="23"/>
          <w:rtl/>
        </w:rPr>
        <w:t>(ויקרא א ט)</w:t>
      </w:r>
      <w:r>
        <w:rPr>
          <w:b w:val="0"/>
          <w:bCs w:val="0"/>
          <w:rtl/>
        </w:rPr>
        <w:t xml:space="preserve">, </w:t>
      </w:r>
      <w:r>
        <w:rPr>
          <w:rStyle w:val="a7"/>
          <w:b w:val="0"/>
          <w:bCs w:val="0"/>
          <w:rtl/>
        </w:rPr>
        <w:footnoteReference w:id="5434"/>
      </w:r>
      <w:r>
        <w:rPr>
          <w:b w:val="0"/>
          <w:bCs w:val="0"/>
          <w:rtl/>
        </w:rPr>
        <w:t>וְאִית לְחוֹטָמָא תְּרֵין נוּקְבִין, כְּלִילָן מִדִּינָא וְרַחֲמֵי, וְאִינוּן י' י', חוֹטָמָא ו' בְּאֶמְצָעִיתָא, תְּרֵין צִנּוֹרוֹת אִינוּן דִּילֵיהּ, וְאִתְּמַר לְגַבֵּי מַחֲנֵה רְאוּבֵן לַדָּרוֹם רְאוּ בֵן, תְּרֵין נוּקְבִין דְּחוֹטָמָא אִינוּן לָקֳבֵל לֵאָה וְרָחֵל, חוֹטָמָא בְּאֹרַח מֵישׁוֹר בֵּינַיְיהוּ דָא יַעֲקֹב.</w:t>
      </w:r>
    </w:p>
    <w:p w:rsidR="006D2826" w:rsidRDefault="006D2826" w:rsidP="006D2826">
      <w:pPr>
        <w:pStyle w:val="NormalWeb"/>
        <w:rPr>
          <w:b w:val="0"/>
          <w:bCs w:val="0"/>
          <w:rtl/>
        </w:rPr>
      </w:pPr>
      <w:r>
        <w:rPr>
          <w:rStyle w:val="a7"/>
          <w:b w:val="0"/>
          <w:bCs w:val="0"/>
          <w:rtl/>
        </w:rPr>
        <w:footnoteReference w:id="5435"/>
      </w:r>
      <w:r>
        <w:rPr>
          <w:b w:val="0"/>
          <w:bCs w:val="0"/>
          <w:rtl/>
        </w:rPr>
        <w:t xml:space="preserve">אָמַר לֵיהּ רַבִּי אֶלְעָזָר, אַבָּא, מְנָא לָךְ דְּאִימָּא דְּאִיהִי לַצָּפוֹן, בָּהּ תַּלְיָא שְׁמִיעָה, </w:t>
      </w:r>
      <w:r>
        <w:rPr>
          <w:rStyle w:val="a7"/>
          <w:b w:val="0"/>
          <w:bCs w:val="0"/>
          <w:rtl/>
        </w:rPr>
        <w:footnoteReference w:id="5436"/>
      </w:r>
      <w:r>
        <w:rPr>
          <w:b w:val="0"/>
          <w:bCs w:val="0"/>
          <w:rtl/>
        </w:rPr>
        <w:t xml:space="preserve">אָמַר לֵיהּ בְּרִי חַמְשִׁין תַּרְעִין אִנּוּן דְּבִינָה, וּבָהּ מְיַיחֲדִין כ''ה כ''ה אַתְוָון תְּרֵין זִמְנִין בְּכָל יוֹמָא, וְיִשְׂרָאֵל אִיהוּ בֶן י''ה, בִּינָה וַדַּאי כְּלָלָא דִתְלַת אַתְוָון אַבָּא וְאִימָּא וּבְרָא, וּבְגִין דָּא שְׁמִיעָה בָהּ תַּלְיָא, </w:t>
      </w:r>
      <w:r>
        <w:rPr>
          <w:rStyle w:val="a7"/>
          <w:b w:val="0"/>
          <w:bCs w:val="0"/>
          <w:rtl/>
        </w:rPr>
        <w:footnoteReference w:id="5437"/>
      </w:r>
      <w:r>
        <w:rPr>
          <w:b w:val="0"/>
          <w:bCs w:val="0"/>
          <w:rtl/>
        </w:rPr>
        <w:t xml:space="preserve">לֵית תִּקּוּנָא מֵאִלֵּין אַרְבַּע </w:t>
      </w:r>
      <w:r>
        <w:rPr>
          <w:rtl/>
        </w:rPr>
        <w:t>(אַתְוָון)</w:t>
      </w:r>
      <w:r>
        <w:rPr>
          <w:b w:val="0"/>
          <w:bCs w:val="0"/>
          <w:rtl/>
        </w:rPr>
        <w:t xml:space="preserve"> דְּלָא אִתְכְּלִילָן בָּהּ עֲשַׂר סְפִירָן, דְּאִינוּן יו''ד ה''א וא''ו ה''א, וְאַרְבַּע אַתְוָון דְּאִינוּן יהו''ה </w:t>
      </w:r>
      <w:r>
        <w:rPr>
          <w:rStyle w:val="a7"/>
          <w:b w:val="0"/>
          <w:bCs w:val="0"/>
          <w:rtl/>
        </w:rPr>
        <w:footnoteReference w:id="5438"/>
      </w:r>
      <w:r>
        <w:rPr>
          <w:b w:val="0"/>
          <w:bCs w:val="0"/>
          <w:rtl/>
        </w:rPr>
        <w:t xml:space="preserve">אִיהוּ לָא אִשְׁתַּנִּי בְּכָל אֲתַר, אִיהוּ שָׁמַע לִשְׂמָאלָא לְיִשְׂרָאֵל, וְאִסְתַּכַּל בַּמִזְרַח, וּבַדָּרוֹם אִיהוּ מְרַחֵף עֲלַיְיהוּ, הֲדָא הוּא דִכְתִיב </w:t>
      </w:r>
      <w:r>
        <w:rPr>
          <w:b w:val="0"/>
          <w:sz w:val="20"/>
          <w:szCs w:val="23"/>
          <w:rtl/>
        </w:rPr>
        <w:t>(בראשית א ב)</w:t>
      </w:r>
      <w:r>
        <w:rPr>
          <w:b w:val="0"/>
          <w:bCs w:val="0"/>
          <w:rtl/>
        </w:rPr>
        <w:t xml:space="preserve"> וְרוּחַ אלהי''ם מְרַחֶפֶת עַל פְּנֵי הַמָּיִם, וּבְמַעֲרָב אִיהוּ מְמַלֵּל עִמְּהוֹן, שִׁנּוּיִין אִינוּן בְּמָאנֵי דְּגוּפָא, אֲבָל בֵּיהּ לֵית שִׁנּוּיָא כְּלָל, הֲדָא הוּא דִכְתִיב </w:t>
      </w:r>
      <w:r>
        <w:rPr>
          <w:b w:val="0"/>
          <w:sz w:val="20"/>
          <w:szCs w:val="23"/>
          <w:rtl/>
        </w:rPr>
        <w:t>(מלאכי ג ו)</w:t>
      </w:r>
      <w:r>
        <w:rPr>
          <w:b w:val="0"/>
          <w:bCs w:val="0"/>
          <w:rtl/>
        </w:rPr>
        <w:t xml:space="preserve"> אֲנִי יהו''ה לֹא שָׁנִיתִי.</w:t>
      </w:r>
    </w:p>
    <w:p w:rsidR="006D2826" w:rsidRDefault="006D2826" w:rsidP="006D2826">
      <w:pPr>
        <w:pStyle w:val="NormalWeb"/>
        <w:rPr>
          <w:b w:val="0"/>
          <w:bCs w:val="0"/>
          <w:rtl/>
        </w:rPr>
      </w:pPr>
      <w:r>
        <w:rPr>
          <w:rStyle w:val="a7"/>
          <w:b w:val="0"/>
          <w:bCs w:val="0"/>
          <w:rtl/>
        </w:rPr>
        <w:footnoteReference w:id="5439"/>
      </w:r>
      <w:r>
        <w:rPr>
          <w:b w:val="0"/>
          <w:bCs w:val="0"/>
          <w:rtl/>
        </w:rPr>
        <w:t xml:space="preserve">וּבְכָל אֵבֶר וְאֵבֶר דְּאִיהוּ נֵר דְּכָל פִּקּוּדָא, בָּעִי בַר נַשׁ לְאַמְלָכָא לְקוּדְשָׁא בְּרִיךְ הוּא, וּלְתַקְנָא לֵיהּ אֲתַר דַּכְיָא וּנְקִיָּיא לְשַׁרְיָא לֵיהּ תַּמָּן, וּבְגִין דָּא צָרִיךְ בַּר נַשׁ לְבַעֲרָא מִנֵּיהּ מִכָּל אֵבֶר וְאֵבֶר, כָּל מַחֲשָׁבִין וְכָל הִרְהוּרִין בִּישִׁין דְּטִנּוּפִין דְּאִינוּן קְלִיפִין, וְצָרִיךְ לְאוֹקָדָא לוֹן בְּכָל פִּקּוּדִין </w:t>
      </w:r>
      <w:r>
        <w:rPr>
          <w:rtl/>
        </w:rPr>
        <w:t>(כְּשֵׁרִין)</w:t>
      </w:r>
      <w:r>
        <w:rPr>
          <w:b w:val="0"/>
          <w:bCs w:val="0"/>
          <w:rtl/>
        </w:rPr>
        <w:t xml:space="preserve">, דְּשַׁרְיָין עַל כָּל אֵבֶר וְאֵבֶר דְּאִינוּן נֵרוֹת, דְּכָל פִּקּוּדָא נֵר אִתְקְרִיאַת, הֲדָא הוּא דִכְתִיב </w:t>
      </w:r>
      <w:r>
        <w:rPr>
          <w:b w:val="0"/>
          <w:sz w:val="20"/>
          <w:szCs w:val="23"/>
          <w:rtl/>
        </w:rPr>
        <w:t>(משלי ו כג)</w:t>
      </w:r>
      <w:r>
        <w:rPr>
          <w:b w:val="0"/>
          <w:bCs w:val="0"/>
          <w:rtl/>
        </w:rPr>
        <w:t xml:space="preserve"> כִּי נֵר מִצְוָה, נֵר יהו''ה נִשְׁמַת אָדָם </w:t>
      </w:r>
      <w:r>
        <w:rPr>
          <w:b w:val="0"/>
          <w:sz w:val="20"/>
          <w:szCs w:val="23"/>
          <w:rtl/>
        </w:rPr>
        <w:t>(שם כ כז)</w:t>
      </w:r>
      <w:r>
        <w:rPr>
          <w:b w:val="0"/>
          <w:szCs w:val="23"/>
          <w:rtl/>
        </w:rPr>
        <w:t xml:space="preserve">, </w:t>
      </w:r>
      <w:r>
        <w:rPr>
          <w:rStyle w:val="Char"/>
          <w:rtl/>
        </w:rPr>
        <w:t>וּבָהּ צָרִיךְ לְמֶהֱוִי</w:t>
      </w:r>
      <w:r>
        <w:rPr>
          <w:b w:val="0"/>
          <w:szCs w:val="23"/>
          <w:rtl/>
        </w:rPr>
        <w:t xml:space="preserve"> </w:t>
      </w:r>
      <w:r>
        <w:rPr>
          <w:b w:val="0"/>
          <w:sz w:val="20"/>
          <w:szCs w:val="23"/>
          <w:rtl/>
        </w:rPr>
        <w:t>(שם)</w:t>
      </w:r>
      <w:r>
        <w:rPr>
          <w:b w:val="0"/>
          <w:bCs w:val="0"/>
          <w:rtl/>
        </w:rPr>
        <w:t xml:space="preserve"> חוֹפֵשׂ כָּל חַדְרֵי בָטֶן, </w:t>
      </w:r>
      <w:r>
        <w:rPr>
          <w:rStyle w:val="a7"/>
          <w:b w:val="0"/>
          <w:bCs w:val="0"/>
          <w:rtl/>
        </w:rPr>
        <w:footnoteReference w:id="5440"/>
      </w:r>
      <w:r>
        <w:rPr>
          <w:b w:val="0"/>
          <w:bCs w:val="0"/>
          <w:rtl/>
        </w:rPr>
        <w:t xml:space="preserve">וּלְבַעֲרָא מִנַּיְיהוּ שְׂאוֹר וְחָמֵץ מוֹץ וְתֶבֶן, שְׂאוֹר וְחָמֵץ מִן הָעִסָּה </w:t>
      </w:r>
      <w:r>
        <w:rPr>
          <w:b w:val="0"/>
          <w:sz w:val="20"/>
          <w:szCs w:val="23"/>
          <w:rtl/>
        </w:rPr>
        <w:t>(נ''א הטפה)</w:t>
      </w:r>
      <w:r>
        <w:rPr>
          <w:b w:val="0"/>
          <w:bCs w:val="0"/>
          <w:rtl/>
        </w:rPr>
        <w:t>, מוֹץ וְתֶבֶן מִן הַחִטָּה, לְשַׁרְיָא תַמָּן י''ה, י' בְּעִסָּה דְאִיהִי טִפָּה, ה' בְּחִטָּה, דְּאִיהִי לְבַעֲרָא חֵט מִן ה' דְּאִשְׁתָּאֳרַת סֹלֶת נְקִיָּה.</w:t>
      </w:r>
    </w:p>
    <w:p w:rsidR="006D2826" w:rsidRDefault="006D2826" w:rsidP="006D2826">
      <w:pPr>
        <w:pStyle w:val="NormalWeb"/>
        <w:rPr>
          <w:b w:val="0"/>
          <w:bCs w:val="0"/>
          <w:rtl/>
        </w:rPr>
      </w:pPr>
      <w:r>
        <w:rPr>
          <w:b w:val="0"/>
          <w:bCs w:val="0"/>
          <w:rtl/>
        </w:rPr>
        <w:t>דְּכָל פִּקּוּדָא דְשַׁרְיָא עַל כָּל אֵבֶר וְאֵבֶר אִית לָהּ שֵׁם יְדִיעַ, וְכָל חֲיָילִין וּמַשִּׁרְיָין דְּמַלְאָכִין דְּתַלְיָין מִנֵּיהּ, כֻּלְּהוּ אִתְכַּנְשׁוּ לְהַהוּא אֵבֶר, וְנָטְרִין לֵיהּ מִכָּל מַרְעִין בִּישִׁין, וּמָאן דְּחָלִיף לוֹן אוֹ קָרָא לוֹן בְּאֵבֶר דְּלַאו דִּלְהוֹן, וְלַאו אִינוּן מְמַנָּן עֲלַיְיהוּ, אִיהוּ אַכְחִישׁ סִדּוּרָא דְעוֹבָדָא דִבְּרֵאשִׁית, וְלַאו מִתְכַּנְּשִׁין לְגַבֵּיהּ, לְמַלְכָּא דְשַׁוִּי מְמַנָּן עַל מַלְכוּתֵיהּ, וּפָלִיג לוֹן עַל כָּל אֲתַר וַאֲתַר, וְאָמַר לוֹן אַנְתְּ תְּהֵא מְמַנָּא עַל אֲתַר כַּךְ וְכַךְ, וְאַנְתְּ כַּךְ וְכַךְ, וּלְכָל חַד שַׁוִּי לֵיהּ בַּאֲתַר יְדִיעַ, וּבְמִלָּה יְדִיעַ, לֵית לֵיהּ חִלּוּף בַּאֲתַר אָחֳרָא.</w:t>
      </w:r>
    </w:p>
    <w:p w:rsidR="006D2826" w:rsidRDefault="006D2826" w:rsidP="006D2826">
      <w:pPr>
        <w:pStyle w:val="aa"/>
        <w:spacing w:after="40"/>
        <w:rPr>
          <w:rtl/>
        </w:rPr>
      </w:pPr>
      <w:r>
        <w:rPr>
          <w:rtl/>
        </w:rPr>
        <w:t xml:space="preserve">[תיקוני זוהר - דף קכט ע''ב] </w:t>
      </w:r>
    </w:p>
    <w:p w:rsidR="006D2826" w:rsidRDefault="006D2826" w:rsidP="006D2826">
      <w:pPr>
        <w:pStyle w:val="NormalWeb"/>
        <w:rPr>
          <w:b w:val="0"/>
          <w:bCs w:val="0"/>
          <w:rtl/>
        </w:rPr>
      </w:pPr>
      <w:r>
        <w:rPr>
          <w:b w:val="0"/>
          <w:bCs w:val="0"/>
          <w:rtl/>
        </w:rPr>
        <w:t xml:space="preserve">אֲבָל קוּדְשָׁא בְּרִיךְ הוּא דְשָׁלְטָנוּתֵיהּ בְּכָל אֲתַר כְּנִשְׁמָתָא דְשָׁלְטָנוּתָהּ עַל כָּל אֵבֶר וְאֵבֶר, מְלֹא כָל הָאָרֶץ כְּבוֹדוֹ, בְּכָל אֲתַר דְּקָרֵי לֵיהּ בַּר נַשׁ עָנֵי לֵיהּ, אֶלָּא אִם הַהוּא </w:t>
      </w:r>
      <w:r>
        <w:rPr>
          <w:b w:val="0"/>
          <w:sz w:val="20"/>
          <w:szCs w:val="23"/>
          <w:rtl/>
        </w:rPr>
        <w:t xml:space="preserve">(דף קכט ע''ב) </w:t>
      </w:r>
      <w:r>
        <w:rPr>
          <w:b w:val="0"/>
          <w:bCs w:val="0"/>
          <w:rtl/>
        </w:rPr>
        <w:t xml:space="preserve">אֲתַר דְּהַהוּא אֵבֶר אִיהוּ פָגוּם בְּחוֹבָה דְעָבִיד בַּר נַשׁ, קוּדְשָׁא בְּרִיךְ הוּא לָא שַׁרְיָא בְהַהוּא אֵבֶר, דַּעֲלֵיהּ אִתְּמַר </w:t>
      </w:r>
      <w:r>
        <w:rPr>
          <w:b w:val="0"/>
          <w:sz w:val="20"/>
          <w:szCs w:val="23"/>
          <w:rtl/>
        </w:rPr>
        <w:t>(ויקרא כא יח)</w:t>
      </w:r>
      <w:r>
        <w:rPr>
          <w:b w:val="0"/>
          <w:bCs w:val="0"/>
          <w:rtl/>
        </w:rPr>
        <w:t xml:space="preserve"> כָּל אֲשֶׁר בּוֹ מוּם לֹא יִקְרָב.</w:t>
      </w:r>
    </w:p>
    <w:p w:rsidR="006D2826" w:rsidRDefault="006D2826" w:rsidP="006D2826">
      <w:pPr>
        <w:pStyle w:val="NormalWeb"/>
        <w:rPr>
          <w:b w:val="0"/>
          <w:bCs w:val="0"/>
          <w:rtl/>
        </w:rPr>
      </w:pPr>
      <w:r>
        <w:rPr>
          <w:b w:val="0"/>
          <w:bCs w:val="0"/>
          <w:rtl/>
        </w:rPr>
        <w:t xml:space="preserve">וְאֵבָרִין דְּבַר נַשׁ כֻּלְּהוּ אִינוּן מְסוּדָרִין עַל סִדְרֵי בְרֵאשִׁית, וּבְגִין דָּא אִתְקְרֵי בַר נַשׁ עוֹלָם קָטָן, וּמָאן דְּאַמְלִיךְ לְקוּדְשָׁא בְּרִיךְ הוּא עַל כָּל אֵבֶר וְאֵבֶר, כְּאִלּוּ אַמְלִיךְ לֵיהּ עַל כָּל עָלְמָא, וְאַגְרָא דְבַר נַשׁ דְּאַמְלִיךְ לֵיהּ עַל כָּל אֵבֶר וְאֵבֶר לָא אִתְיְיהִיב רְשׁוּ לְגַלָּאָה, דְּאִלֵּין אִינוּן טַעֲמֵי מִצְווֹת דְּלָא אִתְיְיהִיבוּ לְגַלָּאָה, בְּגִין דְּלָא יְהֵא בַּר נַשׁ עוֹבֵד לְקוּדְשָׁא בְּרִיךְ הוּא עַל מְנָת לְקַבֵּל פְּרָס, אֲבָל בְּרִי מִלִּין אִלֵּין דְּלָא צְרִיכִין לְאִתְגַּלְיָא, יְהוֹן טְמִירִין בְּלִבָּךְ, עֲלַיְיהוּ אִתְּמַר </w:t>
      </w:r>
      <w:r>
        <w:rPr>
          <w:b w:val="0"/>
          <w:sz w:val="20"/>
          <w:szCs w:val="23"/>
          <w:rtl/>
        </w:rPr>
        <w:t>(ישעיה כג יח)</w:t>
      </w:r>
      <w:r>
        <w:rPr>
          <w:b w:val="0"/>
          <w:bCs w:val="0"/>
          <w:rtl/>
        </w:rPr>
        <w:t xml:space="preserve"> לֶאֱכוֹל לְשָׂבְעָה </w:t>
      </w:r>
      <w:r>
        <w:rPr>
          <w:rStyle w:val="a7"/>
          <w:b w:val="0"/>
          <w:bCs w:val="0"/>
          <w:rtl/>
        </w:rPr>
        <w:footnoteReference w:id="5441"/>
      </w:r>
      <w:r>
        <w:rPr>
          <w:b w:val="0"/>
          <w:bCs w:val="0"/>
          <w:rtl/>
        </w:rPr>
        <w:t>וְלִמְכַסֶּה עָתִיק, מִלִּין עַתִּיקִין דְּלָא אִתְמַסְרוּ לְגַלָּאָה יְהוֹן טְמִירִין בְּלִבָּךְ.</w:t>
      </w:r>
    </w:p>
    <w:p w:rsidR="006D2826" w:rsidRDefault="006D2826" w:rsidP="006D2826">
      <w:pPr>
        <w:pStyle w:val="NormalWeb"/>
        <w:rPr>
          <w:b w:val="0"/>
          <w:bCs w:val="0"/>
          <w:rtl/>
        </w:rPr>
      </w:pPr>
      <w:r>
        <w:rPr>
          <w:b w:val="0"/>
          <w:bCs w:val="0"/>
          <w:rtl/>
        </w:rPr>
        <w:t xml:space="preserve">תָּא חֲזִי כַּד בַּר נַשׁ מִתְעַטֵּף בְּעִטּוּפָא דְמִצְוָה, וּמָנַח תְּפִלִּין, וְקָרִי לֵיהּ בִּקְרִיאַת שְׁמַע, הָא תַקִּין לֵיהּ כָּרְסַיָּא בְּעִטּוּפָא דְמִצְוָה, וְהָא אוּקְמוּהוּ </w:t>
      </w:r>
      <w:r>
        <w:rPr>
          <w:rStyle w:val="a7"/>
          <w:b w:val="0"/>
          <w:bCs w:val="0"/>
          <w:rtl/>
        </w:rPr>
        <w:footnoteReference w:id="5442"/>
      </w:r>
      <w:r>
        <w:rPr>
          <w:b w:val="0"/>
          <w:bCs w:val="0"/>
          <w:rtl/>
        </w:rPr>
        <w:t xml:space="preserve">וְהוּכַן בַּחֶסֶד כִּסֵּא </w:t>
      </w:r>
      <w:r>
        <w:rPr>
          <w:b w:val="0"/>
          <w:sz w:val="20"/>
          <w:szCs w:val="23"/>
          <w:rtl/>
        </w:rPr>
        <w:t>(שם טז ה)</w:t>
      </w:r>
      <w:r>
        <w:rPr>
          <w:b w:val="0"/>
          <w:bCs w:val="0"/>
          <w:rtl/>
        </w:rPr>
        <w:t xml:space="preserve">, וּבִתְּפִלִּין אִיהוּ מְעַטֵּר לֵיהּ, הֲדָא הוּא דִכְתִיב </w:t>
      </w:r>
      <w:r>
        <w:rPr>
          <w:b w:val="0"/>
          <w:sz w:val="20"/>
          <w:szCs w:val="23"/>
          <w:rtl/>
        </w:rPr>
        <w:t>(יחזקאל כד יז)</w:t>
      </w:r>
      <w:r>
        <w:rPr>
          <w:b w:val="0"/>
          <w:bCs w:val="0"/>
          <w:rtl/>
        </w:rPr>
        <w:t xml:space="preserve"> פְּאֵרְךָ חֲבוֹשׁ עָלֶיךָ, </w:t>
      </w:r>
      <w:r>
        <w:rPr>
          <w:rStyle w:val="a7"/>
          <w:b w:val="0"/>
          <w:bCs w:val="0"/>
          <w:rtl/>
        </w:rPr>
        <w:footnoteReference w:id="5443"/>
      </w:r>
      <w:r>
        <w:rPr>
          <w:b w:val="0"/>
          <w:bCs w:val="0"/>
          <w:rtl/>
        </w:rPr>
        <w:t xml:space="preserve">וְקָרָא לֵיהּ בַּקְּרָא לְשַׁרְיָיא עַל כָּרְסַיָּא דְתַקִּין לֵיהּ שְׁמַע יִשְׂרָאֵל, הָכִי קוּדְשָׁא בְּרִיךְ הוּא מְתַקֵּן לֵיהּ בְּהַהוּא עָלְמָא כָּרְסַיָּא וַעֲטָרָה, </w:t>
      </w:r>
      <w:r>
        <w:rPr>
          <w:rStyle w:val="a7"/>
          <w:b w:val="0"/>
          <w:bCs w:val="0"/>
          <w:rtl/>
        </w:rPr>
        <w:footnoteReference w:id="5444"/>
      </w:r>
      <w:r>
        <w:rPr>
          <w:b w:val="0"/>
          <w:bCs w:val="0"/>
          <w:rtl/>
        </w:rPr>
        <w:t xml:space="preserve">וּכְמָה דְאִיהוּ נָחִית לֵיהּ תַּמָּן, וִיקוּם כָּרְסַיָּא בְגִינֵיהּ, וְאַמְלִיךְ לֵיהּ עַל כָּל מַלְאָכִין </w:t>
      </w:r>
      <w:r>
        <w:rPr>
          <w:b w:val="0"/>
          <w:sz w:val="20"/>
          <w:szCs w:val="23"/>
          <w:rtl/>
        </w:rPr>
        <w:t>(נ''א חיילין)</w:t>
      </w:r>
      <w:r>
        <w:rPr>
          <w:b w:val="0"/>
          <w:bCs w:val="0"/>
          <w:rtl/>
        </w:rPr>
        <w:t xml:space="preserve"> וּמַשִּׁרְיָין דְּתַמָּן, הֲדָא הוּא דִכְתִיב </w:t>
      </w:r>
      <w:r>
        <w:rPr>
          <w:b w:val="0"/>
          <w:sz w:val="20"/>
          <w:szCs w:val="23"/>
          <w:rtl/>
        </w:rPr>
        <w:t>(בראשית א כו)</w:t>
      </w:r>
      <w:r>
        <w:rPr>
          <w:b w:val="0"/>
          <w:bCs w:val="0"/>
          <w:rtl/>
        </w:rPr>
        <w:t xml:space="preserve"> וְיִרְדּוּ בִדְגַת הַיָּם וּבְעוֹף הַשָּׁמַיִם וְגוֹמֵר, וְרָזָא דְמִלָּה </w:t>
      </w:r>
      <w:r>
        <w:rPr>
          <w:b w:val="0"/>
          <w:sz w:val="20"/>
          <w:szCs w:val="23"/>
          <w:rtl/>
        </w:rPr>
        <w:t>(שמואל א ב ז)</w:t>
      </w:r>
      <w:r>
        <w:rPr>
          <w:b w:val="0"/>
          <w:bCs w:val="0"/>
          <w:rtl/>
        </w:rPr>
        <w:t xml:space="preserve"> כִּי מְכַבְּדַי אֲכַבֵּד וּבוֹזַי יֵקָלּוּ.</w:t>
      </w:r>
    </w:p>
    <w:p w:rsidR="006D2826" w:rsidRDefault="006D2826" w:rsidP="006D2826">
      <w:pPr>
        <w:pStyle w:val="NormalWeb"/>
        <w:rPr>
          <w:b w:val="0"/>
          <w:bCs w:val="0"/>
          <w:rtl/>
        </w:rPr>
      </w:pPr>
      <w:r>
        <w:rPr>
          <w:b w:val="0"/>
          <w:bCs w:val="0"/>
          <w:rtl/>
        </w:rPr>
        <w:t xml:space="preserve">וּכְמָה דְנָחִית </w:t>
      </w:r>
      <w:r>
        <w:rPr>
          <w:b w:val="0"/>
          <w:sz w:val="20"/>
          <w:szCs w:val="23"/>
          <w:rtl/>
        </w:rPr>
        <w:t>(ס''א דמגנין)</w:t>
      </w:r>
      <w:r>
        <w:rPr>
          <w:b w:val="0"/>
          <w:bCs w:val="0"/>
          <w:rtl/>
        </w:rPr>
        <w:t xml:space="preserve"> לֵיהּ בְּכַמָּה נִגּוּנִין דְּשִׁירוֹת תּוּשְׁבָּחוֹת וְהוֹדָאוֹת, הָכִי כַד סָלִיק לְעִילָא כֻּלְּהוּ חֵיוָון דְּמֶרְכָּבוֹת, וּמַשִּׁרְיָין דְּמַלְאָכִין קַדִּישִׁין, דְּחַיּוֹת וְאוֹפַנִּים וּשְׂרָפִים, פָּתְחִין לֵיהּ </w:t>
      </w:r>
      <w:r>
        <w:rPr>
          <w:b w:val="0"/>
          <w:sz w:val="20"/>
          <w:szCs w:val="23"/>
          <w:rtl/>
        </w:rPr>
        <w:t>(נ''א פרישן)</w:t>
      </w:r>
      <w:r>
        <w:rPr>
          <w:b w:val="0"/>
          <w:bCs w:val="0"/>
          <w:rtl/>
        </w:rPr>
        <w:t xml:space="preserve"> גַּדְפַיְיהוּ בְּחֶדְוָוא בְּנִגּוּנָא לְקַבְּלָא לֵיהּ, הָא הָכָא אַגְרָא דִצְלוֹתָא וְתִקּוּנִין דִּילָהּ </w:t>
      </w:r>
      <w:r>
        <w:rPr>
          <w:rStyle w:val="a7"/>
          <w:b w:val="0"/>
          <w:bCs w:val="0"/>
          <w:rtl/>
        </w:rPr>
        <w:footnoteReference w:id="5445"/>
      </w:r>
      <w:r>
        <w:rPr>
          <w:b w:val="0"/>
          <w:bCs w:val="0"/>
          <w:rtl/>
        </w:rPr>
        <w:t>דְּאִיהִי פִקּוּדָא חֲדָא.</w:t>
      </w:r>
    </w:p>
    <w:p w:rsidR="006D2826" w:rsidRDefault="006D2826" w:rsidP="006D2826">
      <w:pPr>
        <w:pStyle w:val="NormalWeb"/>
        <w:rPr>
          <w:b w:val="0"/>
          <w:bCs w:val="0"/>
          <w:rtl/>
        </w:rPr>
      </w:pPr>
      <w:r>
        <w:rPr>
          <w:b w:val="0"/>
          <w:bCs w:val="0"/>
          <w:rtl/>
        </w:rPr>
        <w:t xml:space="preserve">פִּקּוּדָא דִבְּרִית מִילָה, בִּגְזִירוּ דְעָרְלָה וּפְרִיעָה, כְּמָה דְאִיהוּ אַעֲבַר מֵהַהוּא אֵבֶר כָּל אִלֵּין קְלִיפִין דֶּאֱלֹהִים אֲחֵרִים, וְתַקִּין בֵּיהּ אֲתַר לְשַׁרְיָא בֵּיהּ שְׁכִינְתָּא תַּמָן, דְּאִיהוּ אוֹת בְּרִית מִילָה, הָכִי קוּדְשָׁא בְּרִיךְ הוּא כַּד נִשְׁמָתֵיהּ סְלִיקַת לְעִילָא, הֲדָא הוּא דִכְתִיב </w:t>
      </w:r>
      <w:r>
        <w:rPr>
          <w:b w:val="0"/>
          <w:sz w:val="20"/>
          <w:szCs w:val="23"/>
          <w:rtl/>
        </w:rPr>
        <w:t>(דברים ל יב)</w:t>
      </w:r>
      <w:r>
        <w:rPr>
          <w:b w:val="0"/>
          <w:bCs w:val="0"/>
          <w:rtl/>
        </w:rPr>
        <w:t xml:space="preserve"> מִ י יַ עֲלֶה לָּ נוּ הַ שָּׁמַיְמָ ה, קוּדְשָׁא בְּרִיךְ הוּא אַעֲבַר מִנֵּיהּ כָּל מַלְאֲכֵי חַבָּלָה וּמְקַטְרְגִין דְּלָא יִקְרְבוּ לְגַבֵּיהּ בְּגִין דִּשְׁמָא דַיהו''ה שַׁרְיָא עֲלֵיהּ דְּתִשְׁכַּח לֵיהּ בְּאִלֵּין תֵּיבִין מִ"י יַ"עֲלֶ"ה לָּ"נ"וּ הַ"שָּׁמַיְמָ"ה, רָאשֵׁי תֵּיבוֹת מִילָ''ה, וְסוֹפֵי תֵּיבוֹת יהו''ה, בִּשְׁמֵיהּ סָלִיק לְעִילָא נִשְׁמָתֵיהּ, וּבְהַהוּא זִמְנָא יִתְקַיַּים בֵּיהּ </w:t>
      </w:r>
      <w:r>
        <w:rPr>
          <w:b w:val="0"/>
          <w:sz w:val="20"/>
          <w:szCs w:val="23"/>
          <w:rtl/>
        </w:rPr>
        <w:t>(שם כח ז)</w:t>
      </w:r>
      <w:r>
        <w:rPr>
          <w:b w:val="0"/>
          <w:bCs w:val="0"/>
          <w:rtl/>
        </w:rPr>
        <w:t xml:space="preserve"> וְרָאוּ כָּל עַמֵּי הָאָרֶץ כִּי שֵׁם יהו''ה נִקְרָא עָלֶיךָ וְיָרְאוּ מִמֶּךָּ, וּכְמָא דְאִיהוּ מְקַבֵּל עֲלֵיהּ כָּל פִּקּוּדִין דַּעֲשֵׂה, בִּדְחִילוּ וּרְחִימוּ, הָכִי אַמְלִיכִין לֵיהּ לְעִילָא חֲיָילִין וּמַשִּׁרְיָין, עַל אִלֵּין עָלְמִין </w:t>
      </w:r>
      <w:r>
        <w:rPr>
          <w:rStyle w:val="a7"/>
          <w:b w:val="0"/>
          <w:bCs w:val="0"/>
          <w:rtl/>
        </w:rPr>
        <w:footnoteReference w:id="5446"/>
      </w:r>
      <w:r>
        <w:rPr>
          <w:b w:val="0"/>
          <w:bCs w:val="0"/>
          <w:rtl/>
        </w:rPr>
        <w:t>דְּתַקִּין לֵיהּ קוּדְשָׁא בְּרִיךְ הוּא לְעִילָא, וּמְקַבְּלִין לֵיהּ עֲלַיְיהוּ בִדְחִילוּ וּרְחִימוּ דְמָארֵיהוֹן.</w:t>
      </w:r>
    </w:p>
    <w:p w:rsidR="006D2826" w:rsidRDefault="006D2826" w:rsidP="006D2826">
      <w:pPr>
        <w:pStyle w:val="NormalWeb"/>
        <w:rPr>
          <w:b w:val="0"/>
          <w:bCs w:val="0"/>
          <w:rtl/>
        </w:rPr>
      </w:pPr>
      <w:r>
        <w:rPr>
          <w:b w:val="0"/>
          <w:bCs w:val="0"/>
          <w:rtl/>
        </w:rPr>
        <w:t xml:space="preserve">וּבְזִמְנָא דְבַר נַשׁ אִשְׁתַּדַּל בְּאוֹרַיְיתָא דְאִיהוּ אוֹר, וּבְמִצְוָה דְאִיהוּ נֵר, כְּאִלּוּ נָהִיר עַמּוּדָא דְעַנָּנָא בִימָמָא קֳדָם יהו''ה, וְעַמּוּדָא דְאֵשָׁתָא בְלֵילְיָא, </w:t>
      </w:r>
      <w:r>
        <w:rPr>
          <w:rStyle w:val="a7"/>
          <w:b w:val="0"/>
          <w:bCs w:val="0"/>
          <w:rtl/>
        </w:rPr>
        <w:footnoteReference w:id="5447"/>
      </w:r>
      <w:r>
        <w:rPr>
          <w:b w:val="0"/>
          <w:bCs w:val="0"/>
          <w:rtl/>
        </w:rPr>
        <w:t xml:space="preserve">הָכִי כְּגַוְונָא דָא כַד אָזִיל לְהַהוּא עָלְמָא, מַה כְּתִיב בֵּיהּ </w:t>
      </w:r>
      <w:r>
        <w:rPr>
          <w:b w:val="0"/>
          <w:sz w:val="20"/>
          <w:szCs w:val="23"/>
          <w:rtl/>
        </w:rPr>
        <w:t>(שמות יג כא)</w:t>
      </w:r>
      <w:r>
        <w:rPr>
          <w:b w:val="0"/>
          <w:bCs w:val="0"/>
          <w:rtl/>
        </w:rPr>
        <w:t xml:space="preserve"> וַיהו''ה הוֹלֵךְ לִפְנֵיהֶם יוֹמָם בְּעַמּוּד עָנָן לַנְחוֹתָם הַדֶּרֶךְ, וְלַיְלָה בְּעַמּוּד אֵשׁ לְהָאִיר לָהֶם, </w:t>
      </w:r>
      <w:r>
        <w:rPr>
          <w:rStyle w:val="a7"/>
          <w:b w:val="0"/>
          <w:bCs w:val="0"/>
          <w:rtl/>
        </w:rPr>
        <w:footnoteReference w:id="5448"/>
      </w:r>
      <w:r>
        <w:rPr>
          <w:b w:val="0"/>
          <w:bCs w:val="0"/>
          <w:rtl/>
        </w:rPr>
        <w:t>לְמָאן, לַנְּשָׁמָה וְרוּחָא וְנַפְשָׁא דִילֵיהּ, דְּאִינוּן לָקֳבֵל כֹּהֵן לֵוִי וְיִשְׂרָאֵל, וְכֹלָּא בִזְכוּ דְאוֹרַיְיתָא דְאִיהִי אוֹר וְנֵר.</w:t>
      </w:r>
    </w:p>
    <w:p w:rsidR="006D2826" w:rsidRDefault="006D2826" w:rsidP="006D2826">
      <w:pPr>
        <w:pStyle w:val="aa"/>
        <w:spacing w:after="40"/>
        <w:rPr>
          <w:rtl/>
        </w:rPr>
      </w:pPr>
      <w:r>
        <w:rPr>
          <w:rtl/>
        </w:rPr>
        <w:t xml:space="preserve">[תיקוני זוהר - דף קל ע''א] </w:t>
      </w:r>
    </w:p>
    <w:p w:rsidR="006D2826" w:rsidRDefault="006D2826" w:rsidP="006D2826">
      <w:pPr>
        <w:pStyle w:val="NormalWeb"/>
        <w:rPr>
          <w:b w:val="0"/>
          <w:bCs w:val="0"/>
          <w:rtl/>
        </w:rPr>
      </w:pPr>
      <w:r>
        <w:rPr>
          <w:b w:val="0"/>
          <w:bCs w:val="0"/>
          <w:rtl/>
        </w:rPr>
        <w:t xml:space="preserve">וְכָל מָאן דְּנָטִיר שַׁבָּת וְאוֹקִיר לֵיהּ וּמְעַנֵּג לֵיהּ בְּגִין יְקָרָא דְקוּדְשָׁא בְּרִיךְ הוּא, הָכִי קוּדְשָׁא בְּרִיךְ הוּא יָהִיב לֵיהּ אֲתַר לְעִילָא בִנְיָיחָא דְלָא טָרַח בֵּיהּ, וְנָח תַּמָּן מִכָּל טִרְחָא דְהַאי עָלְמָא דְטָרַח בְּכַמָּה גִלְגּוּלִין וְעוֹבָדִין, בְּרִי תָּא חֲזִי, כָּל פִּקּוּדִין אִלֵּין תַּלְיָין בְּדִיּוֹקְנָא דְמַלְכָּא, וְאִית פִּקּוּדִין דְּאִינוּן עַל מְנָת לְקַבֵּל פְּרָס, וְתַלְיָין מִדִּיּוֹקְנָא דְהַהוּא נַעַר דִּלְעִילָא, וְצָרִיךְ לְפָרְשָׁא כָּל פִּקּוּדִין </w:t>
      </w:r>
      <w:r>
        <w:rPr>
          <w:b w:val="0"/>
          <w:sz w:val="20"/>
          <w:szCs w:val="23"/>
          <w:rtl/>
        </w:rPr>
        <w:t xml:space="preserve">(דף קל ע''א) </w:t>
      </w:r>
      <w:r>
        <w:rPr>
          <w:b w:val="0"/>
          <w:bCs w:val="0"/>
          <w:rtl/>
        </w:rPr>
        <w:t>דְּאִינוּן בְּדִיּוֹקְנָא דְמַלְכָּא.</w:t>
      </w:r>
    </w:p>
    <w:p w:rsidR="006D2826" w:rsidRDefault="006D2826" w:rsidP="006D2826">
      <w:pPr>
        <w:pStyle w:val="NormalWeb"/>
        <w:rPr>
          <w:b w:val="0"/>
          <w:bCs w:val="0"/>
          <w:rtl/>
        </w:rPr>
      </w:pPr>
      <w:r>
        <w:rPr>
          <w:b w:val="0"/>
          <w:bCs w:val="0"/>
          <w:rtl/>
        </w:rPr>
        <w:t xml:space="preserve">אִית </w:t>
      </w:r>
      <w:r>
        <w:rPr>
          <w:b w:val="0"/>
          <w:sz w:val="20"/>
          <w:szCs w:val="23"/>
          <w:rtl/>
        </w:rPr>
        <w:t>(אלין)</w:t>
      </w:r>
      <w:r>
        <w:rPr>
          <w:b w:val="0"/>
          <w:szCs w:val="23"/>
          <w:rtl/>
        </w:rPr>
        <w:t xml:space="preserve"> </w:t>
      </w:r>
      <w:r>
        <w:rPr>
          <w:rStyle w:val="Char"/>
          <w:rtl/>
        </w:rPr>
        <w:t>דְּתַלְיָין מֵרֵישָׁא, וְאִית</w:t>
      </w:r>
      <w:r>
        <w:rPr>
          <w:b w:val="0"/>
          <w:szCs w:val="23"/>
          <w:rtl/>
        </w:rPr>
        <w:t xml:space="preserve"> </w:t>
      </w:r>
      <w:r>
        <w:rPr>
          <w:b w:val="0"/>
          <w:sz w:val="20"/>
          <w:szCs w:val="23"/>
          <w:rtl/>
        </w:rPr>
        <w:t>(ואלין)</w:t>
      </w:r>
      <w:r>
        <w:rPr>
          <w:b w:val="0"/>
          <w:bCs w:val="0"/>
          <w:rtl/>
        </w:rPr>
        <w:t xml:space="preserve"> דְּתַלְיָין בְּעַיְינִין, וְכַמָּה מַלְאָכִין וּמַשִּׁרְיָין עִלָּאִין </w:t>
      </w:r>
      <w:r>
        <w:rPr>
          <w:rStyle w:val="a7"/>
          <w:b w:val="0"/>
          <w:bCs w:val="0"/>
          <w:rtl/>
        </w:rPr>
        <w:footnoteReference w:id="5449"/>
      </w:r>
      <w:r>
        <w:rPr>
          <w:b w:val="0"/>
          <w:bCs w:val="0"/>
          <w:rtl/>
        </w:rPr>
        <w:t xml:space="preserve">דְּאִינוּן עִינֵי יהו''ה מְמַנָּן עֲלַיְיהוּ, וְאִית פִּקּוּדִין דְּתַלְיָין מִן אוּדְנִין, וְכַמָּה מַלְאָכִין דְּאִתְקְרִיאוּ אָזְנֵי יהו''ה מְמַנָּן עֲלַיְיהוּ, וְאִית פִּקּוּדִין דְּתַלְיָין מֵאַנְפִּין, וְכַמָּה מַלְאָכִין דְּאִתְקְרִיאוּ פְּנֵי יהו''ה מְמַנָּן עֲלַיְיהוּ, דְאִתְּמַר בְּהוֹן </w:t>
      </w:r>
      <w:r>
        <w:rPr>
          <w:b w:val="0"/>
          <w:sz w:val="20"/>
          <w:szCs w:val="23"/>
          <w:rtl/>
        </w:rPr>
        <w:t>(יחזקאל א ו)</w:t>
      </w:r>
      <w:r>
        <w:rPr>
          <w:b w:val="0"/>
          <w:bCs w:val="0"/>
          <w:rtl/>
        </w:rPr>
        <w:t xml:space="preserve"> וְאַרְבָּעָה פָנִים לְאֶחָד, וְאִית פִּקּוּדִין דְּתַלְיָין מֵחוֹטָמָא, וְכַמָּה מַלְאָכִין דְּאִתְּמַר בְּהוֹן </w:t>
      </w:r>
      <w:r>
        <w:rPr>
          <w:b w:val="0"/>
          <w:sz w:val="20"/>
          <w:szCs w:val="23"/>
          <w:rtl/>
        </w:rPr>
        <w:t>(תהלים קד ד)</w:t>
      </w:r>
      <w:r>
        <w:rPr>
          <w:b w:val="0"/>
          <w:bCs w:val="0"/>
          <w:rtl/>
        </w:rPr>
        <w:t xml:space="preserve"> עוֹשֶׂה מַלְאָכָיו רוּחוֹת מְמַנָּן עֲלַיְיהוּ, וְאִית פִּקּוּדִין דְּתַלְיָין מִפִּימָא, וְכַמָּה מַלְאָכִים דִּמְמַנָּן עַל קָלִין דְּאוֹרַיְיתָא וְעַל דִּבּוּרִין, דְּאִתְּמַר בְּהוֹן </w:t>
      </w:r>
      <w:r>
        <w:rPr>
          <w:b w:val="0"/>
          <w:sz w:val="20"/>
          <w:szCs w:val="23"/>
          <w:rtl/>
        </w:rPr>
        <w:t>(קהלת י כ)</w:t>
      </w:r>
      <w:r>
        <w:rPr>
          <w:b w:val="0"/>
          <w:bCs w:val="0"/>
          <w:rtl/>
        </w:rPr>
        <w:t xml:space="preserve"> כִּי עוֹף הַשָּׁמַיִם יוֹלִיךְ אֶת הַקּוֹל וּבַעַל כְּנָפַיִם יַגִּיד דָּבָר, וְאִית פִּקּוּדִין דְּתַלְיָין מִידוֹי דְּמַלְכָּא, וְכַמָּה מַלְאָכִין מְמַנָּן עֲלַיְיהוּ דְאִתְקְרִיאוּ יְדַיִן, הֲדָא הוּא דִכְתִיב </w:t>
      </w:r>
      <w:r>
        <w:rPr>
          <w:b w:val="0"/>
          <w:sz w:val="20"/>
          <w:szCs w:val="23"/>
          <w:rtl/>
        </w:rPr>
        <w:t>(יחזקאל א ח)</w:t>
      </w:r>
      <w:r>
        <w:rPr>
          <w:b w:val="0"/>
          <w:bCs w:val="0"/>
          <w:rtl/>
        </w:rPr>
        <w:t xml:space="preserve"> וִידֵי אָדָם מִתַּחַת כַּנְפֵיהֶם, וְאִית פִּקּוּדִין דְּתַלְיָין מִגּוּפָא </w:t>
      </w:r>
      <w:r>
        <w:rPr>
          <w:rStyle w:val="a7"/>
          <w:b w:val="0"/>
          <w:bCs w:val="0"/>
          <w:rtl/>
        </w:rPr>
        <w:footnoteReference w:id="5450"/>
      </w:r>
      <w:r>
        <w:rPr>
          <w:b w:val="0"/>
          <w:bCs w:val="0"/>
          <w:rtl/>
        </w:rPr>
        <w:t>כְּעִנְּבִין דְּאַתְכָּלָא.</w:t>
      </w:r>
    </w:p>
    <w:p w:rsidR="006D2826" w:rsidRDefault="006D2826" w:rsidP="006D2826">
      <w:pPr>
        <w:pStyle w:val="NormalWeb"/>
        <w:rPr>
          <w:b w:val="0"/>
          <w:bCs w:val="0"/>
          <w:rtl/>
        </w:rPr>
      </w:pPr>
      <w:r>
        <w:rPr>
          <w:b w:val="0"/>
          <w:bCs w:val="0"/>
          <w:rtl/>
        </w:rPr>
        <w:t xml:space="preserve">אָמַר לֵיהּ רַבִּי אֶלְעָזָר, אַבָּא, וְהָא לְעִילָא הָא אוּקְמוּהָ דְּלֵית גּוּף וְלֵית גְּוִיָּה, אָמַר לֵיהּ בְּרִי, לְעָלְמָא דְאָתֵי אִתְּמַר דְּאִיהִי אִימָּא עִלָּאָה, אֲבָל לְתַתָּא אִית גּוּפָא בְעָלְמָא דֵין דְּאִיהִי שְׁכִינְתָּא תַּתָּאָה, וְגוּפָא אִיהִי אוֹרַיְיתָא, דְמִינָהּ תַּלְיָין כָּל פִּקּוּדִין, וְאִית פִּקּוּדִין דְּתַלְיָין מֵאוֹת בְּרִית, וְכַמָּה מַלְאָכִין מְמַנָּן עֲלַיְיהוּ דְאִתְקְרִיאוּ מָארֵי דְאוֹתוֹת, דְּאִתְּמַר בְּהוֹן </w:t>
      </w:r>
      <w:r>
        <w:rPr>
          <w:b w:val="0"/>
          <w:sz w:val="20"/>
          <w:szCs w:val="23"/>
          <w:rtl/>
        </w:rPr>
        <w:t>(בראשית א יד)</w:t>
      </w:r>
      <w:r>
        <w:rPr>
          <w:b w:val="0"/>
          <w:bCs w:val="0"/>
          <w:rtl/>
        </w:rPr>
        <w:t xml:space="preserve"> וְהָיוּ לְאוֹתוֹת, </w:t>
      </w:r>
      <w:r>
        <w:rPr>
          <w:rStyle w:val="a7"/>
          <w:b w:val="0"/>
          <w:bCs w:val="0"/>
          <w:rtl/>
        </w:rPr>
        <w:footnoteReference w:id="5451"/>
      </w:r>
      <w:r>
        <w:rPr>
          <w:b w:val="0"/>
          <w:bCs w:val="0"/>
          <w:rtl/>
        </w:rPr>
        <w:t xml:space="preserve">וַעֲלַיְיהוּ אִתְּמַר לְמֹשֶׁה </w:t>
      </w:r>
      <w:r>
        <w:rPr>
          <w:b w:val="0"/>
          <w:sz w:val="20"/>
          <w:szCs w:val="23"/>
          <w:rtl/>
        </w:rPr>
        <w:t>(שמות ג יב)</w:t>
      </w:r>
      <w:r>
        <w:rPr>
          <w:b w:val="0"/>
          <w:bCs w:val="0"/>
          <w:rtl/>
        </w:rPr>
        <w:t xml:space="preserve"> וְזֶה לְּךָ הָאוֹת, וְהַאי אִיהוּ אוֹת דְּכָל צְבָא הַשָּׁמַיִם מְמַנָּן עֲלֵיהּ, וְאִית פִּקּוּדִין דְּתַלְיָין בְּרַגְלִין, וְכַמָּה מַלְאָכִין מְמַנָּן עֲלַיְיהוּ, דְאִתְּמַר בְּהוֹן </w:t>
      </w:r>
      <w:r>
        <w:rPr>
          <w:b w:val="0"/>
          <w:sz w:val="20"/>
          <w:szCs w:val="23"/>
          <w:rtl/>
        </w:rPr>
        <w:t>(יחזקאל א יד)</w:t>
      </w:r>
      <w:r>
        <w:rPr>
          <w:b w:val="0"/>
          <w:bCs w:val="0"/>
          <w:rtl/>
        </w:rPr>
        <w:t xml:space="preserve"> וְהַחַיּוֹת רָצוֹא וָשׁוֹב, וְאִתְּמַר בְּהוֹן </w:t>
      </w:r>
      <w:r>
        <w:rPr>
          <w:b w:val="0"/>
          <w:sz w:val="20"/>
          <w:szCs w:val="23"/>
          <w:rtl/>
        </w:rPr>
        <w:t>(שם ז)</w:t>
      </w:r>
      <w:r>
        <w:rPr>
          <w:b w:val="0"/>
          <w:bCs w:val="0"/>
          <w:rtl/>
        </w:rPr>
        <w:t xml:space="preserve"> וְרַגְלֵיהֶם רֶגֶל יְשָׁרָה, וְהָכִי תַלְיָין כֻּלְּהוּ מִגּוּפָא, בְּשַׂעֲרָא דְתַלְיָא מֵרֵישָׁא, </w:t>
      </w:r>
      <w:r>
        <w:rPr>
          <w:rStyle w:val="a7"/>
          <w:b w:val="0"/>
          <w:bCs w:val="0"/>
          <w:rtl/>
        </w:rPr>
        <w:footnoteReference w:id="5452"/>
      </w:r>
      <w:r>
        <w:rPr>
          <w:b w:val="0"/>
          <w:bCs w:val="0"/>
          <w:rtl/>
        </w:rPr>
        <w:t>וְכָל נִימָא וְנִימָא אַחֲזֵי דְאִיהוּ מַלְאָךְ דְּתַלְיָא מֵרֵישָׁא.</w:t>
      </w:r>
    </w:p>
    <w:p w:rsidR="006D2826" w:rsidRDefault="006D2826" w:rsidP="006D2826">
      <w:pPr>
        <w:pStyle w:val="NormalWeb"/>
        <w:rPr>
          <w:b w:val="0"/>
          <w:bCs w:val="0"/>
          <w:rtl/>
        </w:rPr>
      </w:pPr>
      <w:r>
        <w:rPr>
          <w:b w:val="0"/>
          <w:bCs w:val="0"/>
          <w:rtl/>
        </w:rPr>
        <w:t xml:space="preserve">וְכָל מָאן דְּפָשַׁע בְּפִקּוּדָא, כְּאִלּוּ פָשַׁע בְּדִיּוֹקְנָא דְּמַלְכָּא, זַכָּאָה נִשְׁמָתָא דְאִיהִי בְּדִיּוֹקְנָא דְמָארֵיהּ, דִּמְקַיֵּים פִּקּוּדִין אִלֵּין, דְּמִינָהּ תַּלְיָין כָּל מַלְאָכִין אִלֵּין דְּאִתְקְרִיאוּ עִינֵי יהו''ה אָזְנֵי יהו''ה, וְכָל תִּקּוּנִין וַחֲיָילִין וּמַשִּׁרְיָין דְּגוּפָא דִלְעִילָא, וְכַד סָלְקַת נִשְׁמָתָא כָּל אִלֵּין חֲיָילִין סָלְקִין עִמָּהּ, וְכַד נָחֲתָא כָּל אִלֵּין חֲיָילִין נָחֲתִין עִמָּהּ, אִיהִי סֻלָּם, וְהִנֵּה מַלְאֲכֵי אלהי''ם </w:t>
      </w:r>
      <w:r>
        <w:rPr>
          <w:b w:val="0"/>
          <w:sz w:val="20"/>
          <w:szCs w:val="23"/>
          <w:rtl/>
        </w:rPr>
        <w:t>(בראשית כח יב)</w:t>
      </w:r>
      <w:r>
        <w:rPr>
          <w:b w:val="0"/>
          <w:bCs w:val="0"/>
          <w:rtl/>
        </w:rPr>
        <w:t xml:space="preserve"> סָלְקִין וְנָחֲתִין בָּהּ, </w:t>
      </w:r>
      <w:r>
        <w:rPr>
          <w:rStyle w:val="a7"/>
          <w:b w:val="0"/>
          <w:bCs w:val="0"/>
          <w:rtl/>
        </w:rPr>
        <w:footnoteReference w:id="5453"/>
      </w:r>
      <w:r>
        <w:rPr>
          <w:b w:val="0"/>
          <w:bCs w:val="0"/>
          <w:rtl/>
        </w:rPr>
        <w:t xml:space="preserve">בָּהּ מַמָּשׁ, וְכַד סָלְקָא, קָלָא נָחִית בְּרוּמֵי רְקִיעִין לְכָל חֲיָילִין וּמַשִּׁרְיָין, הָבוּ יְקָרָא </w:t>
      </w:r>
      <w:r>
        <w:rPr>
          <w:rStyle w:val="a7"/>
          <w:b w:val="0"/>
          <w:bCs w:val="0"/>
          <w:rtl/>
        </w:rPr>
        <w:footnoteReference w:id="5454"/>
      </w:r>
      <w:r>
        <w:rPr>
          <w:b w:val="0"/>
          <w:bCs w:val="0"/>
          <w:rtl/>
        </w:rPr>
        <w:t>לְדִיּוֹקְנָא דְמַלְכָּא.</w:t>
      </w:r>
    </w:p>
    <w:p w:rsidR="006D2826" w:rsidRDefault="006D2826" w:rsidP="006D2826">
      <w:pPr>
        <w:pStyle w:val="NormalWeb"/>
        <w:rPr>
          <w:b w:val="0"/>
          <w:bCs w:val="0"/>
          <w:rtl/>
        </w:rPr>
      </w:pPr>
      <w:r>
        <w:rPr>
          <w:rStyle w:val="a7"/>
          <w:b w:val="0"/>
          <w:bCs w:val="0"/>
          <w:rtl/>
        </w:rPr>
        <w:footnoteReference w:id="5455"/>
      </w:r>
      <w:r>
        <w:rPr>
          <w:b w:val="0"/>
          <w:bCs w:val="0"/>
          <w:rtl/>
        </w:rPr>
        <w:t>מִצְוָה דְכָל פִּקּוּדָא, בֵיהּ שַׁרְיָא יהו''ה, הוּא אִשְׁתַּכַּח בְּכָל אֵבֶר וְאֵבֶר, הוּא אִשְׁתַּכַּח בְּאַרְבַּע גַּוָּונִין דְּשַׂעֲרָא וּבְאַרְבַּע גַּוָּונִין דְּעִינָא, וּבְאַרְבַּע אִדְרִין דְּאוּדְנָא, וּבְאַרְבַּע גַּוְּונֵי דְאַנְפִּין, וּבְקָלָא וּבְדִבּוּרָא וּבִקְרִיאָה וַאֲמִירָה, וּבְכָל אֵבֶר וְאֵבֶר דְּגוּפָא אִיהוּ יהו''ה, מְמַנָּא עַל כָּל מִצְוָה וּמִצְוָה, דְבֵיהּ מִצְוָה בְּאַ''תְּ בַּ''שׁ, מ''צ י''ה, פ''ץ ו''ה, הָא מִצְוָה יהו''ה, מצפץ, יהו''ה בְּאַ''תְּ בַּ''שׁ מצפ''ץ. וּבְרִי, כָּל אֵבָרִין אִתְקְרִיאוּ כִּנּוּיִין לִשְׁמָא דְיהו''ה, וְכָל מַלְאָכִין דְּתַלְיָין מֵהַהוּא אֵבֶר כֻּלְּהוּ סָלְקִין וְנָחֲתִין בִּשְׁלִיחוּתֵיהּ, וְכָל מָאן דְּקָרָא לְמַלְאָכִין וּלְכִנּוּיִין וְלָא בְהַהוּא אֵבֶר דִּמְמַנָּא עֲלֵיהּ, לֵית סָלִיק פְּעוּלָה בִידוֹי.</w:t>
      </w:r>
    </w:p>
    <w:p w:rsidR="006D2826" w:rsidRDefault="006D2826" w:rsidP="006D2826">
      <w:pPr>
        <w:pStyle w:val="aa"/>
        <w:spacing w:after="40"/>
        <w:rPr>
          <w:rtl/>
        </w:rPr>
      </w:pPr>
      <w:r>
        <w:rPr>
          <w:rtl/>
        </w:rPr>
        <w:t xml:space="preserve">[תיקוני זוהר - דף קל ע''ב] </w:t>
      </w:r>
    </w:p>
    <w:p w:rsidR="006D2826" w:rsidRDefault="006D2826" w:rsidP="006D2826">
      <w:pPr>
        <w:pStyle w:val="NormalWeb"/>
        <w:rPr>
          <w:b w:val="0"/>
          <w:bCs w:val="0"/>
          <w:rtl/>
        </w:rPr>
      </w:pPr>
      <w:r>
        <w:rPr>
          <w:rStyle w:val="a7"/>
          <w:b w:val="0"/>
          <w:bCs w:val="0"/>
          <w:rtl/>
        </w:rPr>
        <w:footnoteReference w:id="5456"/>
      </w:r>
      <w:r>
        <w:rPr>
          <w:b w:val="0"/>
          <w:bCs w:val="0"/>
          <w:rtl/>
        </w:rPr>
        <w:t xml:space="preserve">רֵישָׁא אִיהוּ כִּנּוּיָיא דְשֵׁם אהי''ה, </w:t>
      </w:r>
      <w:r>
        <w:rPr>
          <w:rStyle w:val="a7"/>
          <w:b w:val="0"/>
          <w:bCs w:val="0"/>
          <w:rtl/>
        </w:rPr>
        <w:footnoteReference w:id="5457"/>
      </w:r>
      <w:r>
        <w:rPr>
          <w:b w:val="0"/>
          <w:bCs w:val="0"/>
          <w:rtl/>
        </w:rPr>
        <w:t xml:space="preserve">וְכָל מַלְאָכִין, וּמְמַנָּן דַּהֲוַיּוֹת, מֵהָכָא תַלְיָין, וּבֵיהּ שָׁאֲלִין מַלְאָכִין אַיֵּה מְקוֹם כְּבוֹדוֹ לְהַעֲרִיצוֹ, </w:t>
      </w:r>
      <w:r>
        <w:rPr>
          <w:rStyle w:val="a7"/>
          <w:b w:val="0"/>
          <w:bCs w:val="0"/>
          <w:rtl/>
        </w:rPr>
        <w:footnoteReference w:id="5458"/>
      </w:r>
      <w:r>
        <w:rPr>
          <w:b w:val="0"/>
          <w:bCs w:val="0"/>
          <w:rtl/>
        </w:rPr>
        <w:t xml:space="preserve">אי''ה רְשִׁים בְּאהי''ה, </w:t>
      </w:r>
      <w:r>
        <w:rPr>
          <w:rStyle w:val="a7"/>
          <w:b w:val="0"/>
          <w:bCs w:val="0"/>
          <w:rtl/>
        </w:rPr>
        <w:footnoteReference w:id="5459"/>
      </w:r>
      <w:r>
        <w:rPr>
          <w:b w:val="0"/>
          <w:bCs w:val="0"/>
          <w:rtl/>
        </w:rPr>
        <w:t xml:space="preserve">וְתַמָּן הי''ה דְסָלִיק בְּחוּשְׁבַּן כ' דְּאִיהוּ כֶּתֶר, </w:t>
      </w:r>
      <w:r>
        <w:rPr>
          <w:rStyle w:val="a7"/>
          <w:b w:val="0"/>
          <w:bCs w:val="0"/>
          <w:rtl/>
        </w:rPr>
        <w:footnoteReference w:id="5460"/>
      </w:r>
      <w:r>
        <w:rPr>
          <w:b w:val="0"/>
          <w:bCs w:val="0"/>
          <w:rtl/>
        </w:rPr>
        <w:t xml:space="preserve">אִיהוּ רְשִׁים בְּא''ב ג''ד ה''ו ז''ח ט''י, </w:t>
      </w:r>
      <w:r>
        <w:rPr>
          <w:rStyle w:val="a7"/>
          <w:b w:val="0"/>
          <w:bCs w:val="0"/>
          <w:rtl/>
        </w:rPr>
        <w:footnoteReference w:id="5461"/>
      </w:r>
      <w:r>
        <w:rPr>
          <w:b w:val="0"/>
          <w:bCs w:val="0"/>
          <w:rtl/>
        </w:rPr>
        <w:t xml:space="preserve">אהי''ה אל''ף ה''א יו''ד ה''א אִיהוּ רָזָא דַעֲשַׂר אַתְוָון מֵעִילָא לְתַתָּא, הַאי אִיהוּ כֶּתֶר בְּרֵישׁ כֻּלְּהוּ שְׁמָהָן, </w:t>
      </w:r>
      <w:r>
        <w:rPr>
          <w:rStyle w:val="a7"/>
          <w:b w:val="0"/>
          <w:bCs w:val="0"/>
          <w:rtl/>
        </w:rPr>
        <w:footnoteReference w:id="5462"/>
      </w:r>
      <w:r>
        <w:rPr>
          <w:b w:val="0"/>
          <w:bCs w:val="0"/>
          <w:rtl/>
        </w:rPr>
        <w:t xml:space="preserve">וּלְעִילָא מִנֵּיהּ יו''ד ה''י וא''ו </w:t>
      </w:r>
      <w:r>
        <w:rPr>
          <w:b w:val="0"/>
          <w:sz w:val="20"/>
          <w:szCs w:val="23"/>
          <w:rtl/>
        </w:rPr>
        <w:t>(נ''א וי''ו)</w:t>
      </w:r>
      <w:r>
        <w:rPr>
          <w:b w:val="0"/>
          <w:bCs w:val="0"/>
          <w:rtl/>
        </w:rPr>
        <w:t xml:space="preserve"> ה''י, אל''ף דל''ת נו''ן יו''ד, לְעִילָא מִנֵּיהּ יו''ד ה''א וא''ו ה''א, וְכֻלְּהוּ סָלְקִין לְאַרְבְּעִין וּתְרֵין אַתְוָון, וְאִלֵּין אִינוּן אַתְוָון דְּאִתְבְּרִיאוּ בְּהוֹן </w:t>
      </w:r>
      <w:r>
        <w:rPr>
          <w:rStyle w:val="a7"/>
          <w:b w:val="0"/>
          <w:bCs w:val="0"/>
          <w:rtl/>
        </w:rPr>
        <w:footnoteReference w:id="5463"/>
      </w:r>
      <w:r>
        <w:rPr>
          <w:b w:val="0"/>
          <w:bCs w:val="0"/>
          <w:rtl/>
        </w:rPr>
        <w:t xml:space="preserve">שְׁמַיָּא עִלָּאִין, וְאַרְצוֹת הַחַיִּים, דְּאִלֵּין אִתְקְרִיאוּ שְׁמֵי הַשָּׁמַיִם, וּמָאן דְּבָרָא בְּהוֹן כֹּלָּא, אוּמָנָא דְכֹלָּא, עִלַּת הָעִלּוֹת מִתְעַלֶּה עַל כֹּלָּא, הוּא בְרִיךְ לְכֹלָּא, וּלְעִילָא מִכָּל בִּרְכָאָן, הֲדָא הוּא דִכְתִיב </w:t>
      </w:r>
      <w:r>
        <w:rPr>
          <w:b w:val="0"/>
          <w:sz w:val="20"/>
          <w:szCs w:val="23"/>
          <w:rtl/>
        </w:rPr>
        <w:t>(נחמיה ט ה)</w:t>
      </w:r>
      <w:r>
        <w:rPr>
          <w:b w:val="0"/>
          <w:bCs w:val="0"/>
          <w:rtl/>
        </w:rPr>
        <w:t xml:space="preserve"> וּמְרוֹמַם עַל כָּל בְּרָכָה וּתְהִלָּה, וְלָא צָרִיךְ אִיהוּ בִּרְכָאָן מֵאָחֳרָא, דְלֵית </w:t>
      </w:r>
      <w:r>
        <w:rPr>
          <w:b w:val="0"/>
          <w:sz w:val="20"/>
          <w:szCs w:val="23"/>
          <w:rtl/>
        </w:rPr>
        <w:t xml:space="preserve">(דף קל ע''ב) </w:t>
      </w:r>
      <w:r>
        <w:rPr>
          <w:b w:val="0"/>
          <w:bCs w:val="0"/>
          <w:rtl/>
        </w:rPr>
        <w:t>עֲלֵיהּ מָאן דְּאַשְׁפַּע לֵיהּ.</w:t>
      </w:r>
    </w:p>
    <w:p w:rsidR="006D2826" w:rsidRDefault="006D2826" w:rsidP="006D2826">
      <w:pPr>
        <w:pStyle w:val="NormalWeb"/>
        <w:rPr>
          <w:b w:val="0"/>
          <w:bCs w:val="0"/>
          <w:rtl/>
        </w:rPr>
      </w:pPr>
      <w:r>
        <w:rPr>
          <w:b w:val="0"/>
          <w:bCs w:val="0"/>
          <w:rtl/>
        </w:rPr>
        <w:t xml:space="preserve">בְּרִי אִית פִּקּוּדִין דְּתַלְיָין בְּרַגְלִין, דְּאִתְּמַר בְּהוֹן </w:t>
      </w:r>
      <w:r>
        <w:rPr>
          <w:b w:val="0"/>
          <w:sz w:val="20"/>
          <w:szCs w:val="23"/>
          <w:rtl/>
        </w:rPr>
        <w:t>(יחזקאל א ז)</w:t>
      </w:r>
      <w:r>
        <w:rPr>
          <w:b w:val="0"/>
          <w:szCs w:val="23"/>
          <w:rtl/>
        </w:rPr>
        <w:t xml:space="preserve"> </w:t>
      </w:r>
      <w:r>
        <w:rPr>
          <w:rStyle w:val="Char"/>
          <w:rtl/>
        </w:rPr>
        <w:t>וְרַגְלֵיהֶם רֶגֶל יְשָׁרָה,</w:t>
      </w:r>
      <w:r>
        <w:rPr>
          <w:b w:val="0"/>
          <w:szCs w:val="23"/>
          <w:rtl/>
        </w:rPr>
        <w:t xml:space="preserve"> </w:t>
      </w:r>
      <w:r>
        <w:rPr>
          <w:b w:val="0"/>
          <w:sz w:val="20"/>
          <w:szCs w:val="23"/>
          <w:rtl/>
        </w:rPr>
        <w:t>(שם יז)</w:t>
      </w:r>
      <w:r>
        <w:rPr>
          <w:b w:val="0"/>
          <w:bCs w:val="0"/>
          <w:rtl/>
        </w:rPr>
        <w:t xml:space="preserve"> עַל אַרְבַּעַת רִבְעִיהֶם, בְּלֶכְתָּם יֵלֵכוּ, </w:t>
      </w:r>
      <w:r>
        <w:rPr>
          <w:rStyle w:val="a7"/>
          <w:b w:val="0"/>
          <w:bCs w:val="0"/>
          <w:rtl/>
        </w:rPr>
        <w:footnoteReference w:id="5464"/>
      </w:r>
      <w:r>
        <w:rPr>
          <w:b w:val="0"/>
          <w:bCs w:val="0"/>
          <w:rtl/>
        </w:rPr>
        <w:t xml:space="preserve">דָא אדנ''י, דַּעֲלֵיהּ אִתְּמַר </w:t>
      </w:r>
      <w:r>
        <w:rPr>
          <w:b w:val="0"/>
          <w:sz w:val="20"/>
          <w:szCs w:val="23"/>
          <w:rtl/>
        </w:rPr>
        <w:t>(תהלים פה יד)</w:t>
      </w:r>
      <w:r>
        <w:rPr>
          <w:b w:val="0"/>
          <w:bCs w:val="0"/>
          <w:rtl/>
        </w:rPr>
        <w:t xml:space="preserve"> צֶדֶק לְפָנָיו יְהַלֵּךְ וְיָשֵׂם לְדֶרֶךְ פְּעָמָיו, וְאִינוּן מְאַת אֲדָנִים לִמְאַת הַכִּכָּר, דְּנָחֲתִין לְמֵאָה בִרְכָאָן, וְדָא ק' מִן צְדָקָה </w:t>
      </w:r>
      <w:r>
        <w:rPr>
          <w:rStyle w:val="a7"/>
          <w:b w:val="0"/>
          <w:bCs w:val="0"/>
          <w:rtl/>
        </w:rPr>
        <w:footnoteReference w:id="5465"/>
      </w:r>
      <w:r>
        <w:rPr>
          <w:b w:val="0"/>
          <w:bCs w:val="0"/>
          <w:rtl/>
        </w:rPr>
        <w:t xml:space="preserve">דְאִיהִי צְלוֹתָא, צ' תִּשְׁעִים אֲמֵנִים, ד' אַרְבַּע קְדוּשׁוֹת, ק' מֵאָה בְּרָכוֹת, ה' חֲמִשָּׁה חוּמְשֵׁי תוֹרָה, וְהַאי צְדָקָה אִיהִי אִימָּא עִלָּאָה, צֶדֶק אִימָּא תַּתָּאָה, דְּאִתְּמַר בָּהּ </w:t>
      </w:r>
      <w:r>
        <w:rPr>
          <w:b w:val="0"/>
          <w:sz w:val="20"/>
          <w:szCs w:val="23"/>
          <w:rtl/>
        </w:rPr>
        <w:t>(שם)</w:t>
      </w:r>
      <w:r>
        <w:rPr>
          <w:b w:val="0"/>
          <w:szCs w:val="23"/>
          <w:rtl/>
        </w:rPr>
        <w:t xml:space="preserve"> </w:t>
      </w:r>
      <w:r>
        <w:rPr>
          <w:rStyle w:val="Char"/>
          <w:rtl/>
        </w:rPr>
        <w:t>צֶדֶק לְפָנָיו יְהַלֵּךְ,</w:t>
      </w:r>
      <w:r>
        <w:rPr>
          <w:b w:val="0"/>
          <w:szCs w:val="23"/>
          <w:rtl/>
        </w:rPr>
        <w:t xml:space="preserve"> </w:t>
      </w:r>
      <w:r>
        <w:rPr>
          <w:b w:val="0"/>
          <w:sz w:val="20"/>
          <w:szCs w:val="23"/>
          <w:rtl/>
        </w:rPr>
        <w:t>(ישעיה מא ב)</w:t>
      </w:r>
      <w:r>
        <w:rPr>
          <w:b w:val="0"/>
          <w:bCs w:val="0"/>
          <w:rtl/>
        </w:rPr>
        <w:t xml:space="preserve"> צֶדֶק יִקְרָאֵהוּ לְרַגְלוֹ, דָּא דִינָא וְדָא רַחֲמֵי, </w:t>
      </w:r>
      <w:r>
        <w:rPr>
          <w:rStyle w:val="a7"/>
          <w:b w:val="0"/>
          <w:bCs w:val="0"/>
          <w:rtl/>
        </w:rPr>
        <w:footnoteReference w:id="5466"/>
      </w:r>
      <w:r>
        <w:rPr>
          <w:b w:val="0"/>
          <w:bCs w:val="0"/>
          <w:rtl/>
        </w:rPr>
        <w:t>צֶדֶק אִימָּא תַּתָּאָה, צְדָקָה אִימָּא עִלָּאָה.</w:t>
      </w:r>
    </w:p>
    <w:p w:rsidR="006D2826" w:rsidRDefault="006D2826" w:rsidP="006D2826">
      <w:pPr>
        <w:pStyle w:val="NormalWeb"/>
        <w:rPr>
          <w:b w:val="0"/>
          <w:bCs w:val="0"/>
          <w:rtl/>
        </w:rPr>
      </w:pPr>
      <w:r>
        <w:rPr>
          <w:b w:val="0"/>
          <w:bCs w:val="0"/>
          <w:rtl/>
        </w:rPr>
        <w:t xml:space="preserve">כָּל פִּקּוּדִין דַּהֲלִיכָה תַּלְיָין בְּרַגְלִין, כְּגוֹן הֲלִיכָה לְבֵי כְּנִישְׁתָּא, הֲלִיכָה לִבְרִית מִילָה, הֲלִיכָה לְמֵת מִצְוָה, אוֹ לְכָל הֲלִיכָה דְמִצְוָה, וְהַאי פִּקּוּדָא דִבְּרִית מִילָה תַּלְיָא בַּצַּדִּיק, וּצְדָקָה בִּידַיִן, וְכֵן תְּפִלִּין תַּלְיָין בְּרֵישָׁא וּבִידָא שְׂמָאלָא, צִיצִית עַל כִּתְפָא, מִצְוַת לִלְמוֹד וּלְלַמֵּד בְּפוּמָא, וְכֵן צְלוֹתִין תַּלְיָין בְּפוּמָא, וְהָכִי מִצְוַת שׁוֹפָר בְּרוּחָא דְנָשֵׁיב בֵּיהּ בְּפוּמָא, וְהַהוּא רוּחָא אִתְעֲבִיד קָלָא, וְכֵן קָרְבָּנִין דְּאִינוּן רֵיחַ נִיחֹחַ לַיהו''ה תַּלְיָין בְּחוֹטָמָא, </w:t>
      </w:r>
      <w:r>
        <w:rPr>
          <w:rStyle w:val="a7"/>
          <w:b w:val="0"/>
          <w:bCs w:val="0"/>
          <w:rtl/>
        </w:rPr>
        <w:footnoteReference w:id="5467"/>
      </w:r>
      <w:r>
        <w:rPr>
          <w:b w:val="0"/>
          <w:bCs w:val="0"/>
          <w:rtl/>
        </w:rPr>
        <w:t>וְאָעִי בּוּסְמִין דְּאַבְדַּלְתָּא, וְכָל דִּינִין תַּלְיָין בְּדִבּוּרָא, וְכֵן בְּעַיְינִין, כְּמָה דְאוּקְמוּהוּ מָארֵי מַתְנִיתִין אֵין לְדַיָּין אֶלָּא מַה שֶּׁעִינָיו רוֹאוֹת.</w:t>
      </w:r>
    </w:p>
    <w:p w:rsidR="006D2826" w:rsidRDefault="006D2826" w:rsidP="006D2826">
      <w:pPr>
        <w:pStyle w:val="NormalWeb"/>
        <w:rPr>
          <w:b w:val="0"/>
          <w:bCs w:val="0"/>
          <w:rtl/>
        </w:rPr>
      </w:pPr>
      <w:r>
        <w:rPr>
          <w:b w:val="0"/>
          <w:bCs w:val="0"/>
          <w:rtl/>
        </w:rPr>
        <w:t xml:space="preserve">וְאִית פִּקּוּדִין דְּתַלְיָין בִּשְׁמִיעָה כְּגוֹן קְרִיאַת שְׁמַע, אוֹ פִקּוּדִין אָחֳרָנִין, דְּאִתְּמַר בְּהוֹן אִם הִשְׁמִיעַ לְאָזְנוֹ יָצָא, וְכֵן תְקִיעַת שׁוֹפָר, סוֹף סוֹף בְּאִלֵּין אֵבָרִין תַּלְיָין כָּל פִּקּוּדִין, </w:t>
      </w:r>
      <w:r>
        <w:rPr>
          <w:rStyle w:val="a7"/>
          <w:b w:val="0"/>
          <w:bCs w:val="0"/>
          <w:rtl/>
        </w:rPr>
        <w:footnoteReference w:id="5468"/>
      </w:r>
      <w:r>
        <w:rPr>
          <w:b w:val="0"/>
          <w:bCs w:val="0"/>
          <w:rtl/>
        </w:rPr>
        <w:t xml:space="preserve">אֶלָּא פִּקּוּדָא דְיִרְאָה וְאַהֲבָה אֵלּוּ תַלְיָין בְּמוֹחָא וְלִבָּא, וְכָל פִּקּוּדִין דַּעֲשִׂיָּה כְּגוֹן סוּכָּה וְלוּלָב תַּלְיָין בִּידַיִן, וּבְאִלֵּין תִּקּוּנִין </w:t>
      </w:r>
      <w:r>
        <w:rPr>
          <w:b w:val="0"/>
          <w:sz w:val="20"/>
          <w:szCs w:val="23"/>
          <w:rtl/>
        </w:rPr>
        <w:t>(ס''א פקודין)</w:t>
      </w:r>
      <w:r>
        <w:rPr>
          <w:b w:val="0"/>
          <w:bCs w:val="0"/>
          <w:rtl/>
        </w:rPr>
        <w:t xml:space="preserve"> צָרִיךְ בַּר נַשׁ לְאִשְׁתְּמוֹדְעָא כָּל מַלְאָכַיָּא דְאִתְקְרִיאוּ עִינֵי יהו''ה אָזְנֵי יהו''ה, וְאִינוּן דְּאִתְּמַר בְּהוֹן </w:t>
      </w:r>
      <w:r>
        <w:rPr>
          <w:b w:val="0"/>
          <w:sz w:val="20"/>
          <w:szCs w:val="23"/>
          <w:rtl/>
        </w:rPr>
        <w:t>(תהלים קד ד)</w:t>
      </w:r>
      <w:r>
        <w:rPr>
          <w:b w:val="0"/>
          <w:szCs w:val="23"/>
          <w:rtl/>
        </w:rPr>
        <w:t xml:space="preserve"> </w:t>
      </w:r>
      <w:r>
        <w:rPr>
          <w:rStyle w:val="Char"/>
          <w:rtl/>
        </w:rPr>
        <w:t>עוֹשֶׂה מַלְאָכָיו רוּחוֹת</w:t>
      </w:r>
      <w:r>
        <w:rPr>
          <w:b w:val="0"/>
          <w:szCs w:val="23"/>
          <w:rtl/>
        </w:rPr>
        <w:t xml:space="preserve"> </w:t>
      </w:r>
      <w:r>
        <w:rPr>
          <w:rStyle w:val="a7"/>
          <w:b w:val="0"/>
          <w:szCs w:val="23"/>
          <w:rtl/>
        </w:rPr>
        <w:footnoteReference w:id="5469"/>
      </w:r>
      <w:r>
        <w:rPr>
          <w:b w:val="0"/>
          <w:sz w:val="20"/>
          <w:szCs w:val="23"/>
          <w:rtl/>
        </w:rPr>
        <w:t>(משרתיו אש לוהט)</w:t>
      </w:r>
      <w:r>
        <w:rPr>
          <w:b w:val="0"/>
          <w:bCs w:val="0"/>
          <w:rtl/>
        </w:rPr>
        <w:t xml:space="preserve">, דְּתַלְיָין בְּחוֹטָמָא, וּמַלְאָכִין דְּאִתְּמַר בְּהוֹן </w:t>
      </w:r>
      <w:r>
        <w:rPr>
          <w:b w:val="0"/>
          <w:sz w:val="20"/>
          <w:szCs w:val="23"/>
          <w:rtl/>
        </w:rPr>
        <w:t>(קהלת י כ)</w:t>
      </w:r>
      <w:r>
        <w:rPr>
          <w:b w:val="0"/>
          <w:bCs w:val="0"/>
          <w:rtl/>
        </w:rPr>
        <w:t xml:space="preserve"> כִּי עוֹף הַשָּׁמַיִם יוֹלִיךְ אֶת הַקּוֹל דְּתַלְיָין בְּקָלָא, וּבַעַל כְּנָפַיִם יַגִּיד דָּבָר </w:t>
      </w:r>
      <w:r>
        <w:rPr>
          <w:b w:val="0"/>
          <w:sz w:val="20"/>
          <w:szCs w:val="23"/>
          <w:rtl/>
        </w:rPr>
        <w:t>(שם)</w:t>
      </w:r>
      <w:r>
        <w:rPr>
          <w:b w:val="0"/>
          <w:bCs w:val="0"/>
          <w:rtl/>
        </w:rPr>
        <w:t xml:space="preserve"> דְּתַלְיָין בְּדִבּוּרָא, וּמַלְאָכִים דְּתַלְיָין בַּעֲשִׂיָּה, כְּגוֹן וִידֵי אָדָם </w:t>
      </w:r>
      <w:r>
        <w:rPr>
          <w:b w:val="0"/>
          <w:sz w:val="20"/>
          <w:szCs w:val="23"/>
          <w:rtl/>
        </w:rPr>
        <w:t>(יחזקאל א ד)</w:t>
      </w:r>
      <w:r>
        <w:rPr>
          <w:b w:val="0"/>
          <w:bCs w:val="0"/>
          <w:rtl/>
        </w:rPr>
        <w:t xml:space="preserve">, וּמַלְאָכִין דְּאִתְקְרִיאוּ אוֹתוֹת, דְּתַלְיָין בְּצַדִּיק </w:t>
      </w:r>
      <w:r>
        <w:rPr>
          <w:rStyle w:val="Char"/>
          <w:rtl/>
        </w:rPr>
        <w:t>דְּאִתְּמַר בְּהוֹן</w:t>
      </w:r>
      <w:r>
        <w:rPr>
          <w:b w:val="0"/>
          <w:szCs w:val="23"/>
          <w:rtl/>
        </w:rPr>
        <w:t xml:space="preserve"> </w:t>
      </w:r>
      <w:r>
        <w:rPr>
          <w:b w:val="0"/>
          <w:sz w:val="20"/>
          <w:szCs w:val="23"/>
          <w:rtl/>
        </w:rPr>
        <w:t>(ירמיה י ב)</w:t>
      </w:r>
      <w:r>
        <w:rPr>
          <w:b w:val="0"/>
          <w:bCs w:val="0"/>
          <w:rtl/>
        </w:rPr>
        <w:t xml:space="preserve"> וּמֵאוֹתוֹת הַשָּׁמַיִם אַל תֵּחָתּוּ, וּמַלְאָכִין דְּתַלְיָין בְּרַגְלִין, דְּאִתְּמַר בְּהוֹן </w:t>
      </w:r>
      <w:r>
        <w:rPr>
          <w:b w:val="0"/>
          <w:sz w:val="20"/>
          <w:szCs w:val="23"/>
          <w:rtl/>
        </w:rPr>
        <w:t>(יחזקאל א יד)</w:t>
      </w:r>
      <w:r>
        <w:rPr>
          <w:b w:val="0"/>
          <w:bCs w:val="0"/>
          <w:rtl/>
        </w:rPr>
        <w:t xml:space="preserve"> וְהַחַיּוֹת רָצוֹא וָשׁוֹב, </w:t>
      </w:r>
      <w:r>
        <w:rPr>
          <w:rStyle w:val="a7"/>
          <w:b w:val="0"/>
          <w:bCs w:val="0"/>
          <w:rtl/>
        </w:rPr>
        <w:footnoteReference w:id="5470"/>
      </w:r>
      <w:r>
        <w:rPr>
          <w:b w:val="0"/>
          <w:bCs w:val="0"/>
          <w:rtl/>
        </w:rPr>
        <w:t xml:space="preserve">וְנִעְנוּעָא דְכֻלְּהוּ יהו''ה, </w:t>
      </w:r>
      <w:r>
        <w:rPr>
          <w:rStyle w:val="a7"/>
          <w:b w:val="0"/>
          <w:bCs w:val="0"/>
          <w:rtl/>
        </w:rPr>
        <w:footnoteReference w:id="5471"/>
      </w:r>
      <w:r>
        <w:rPr>
          <w:b w:val="0"/>
          <w:bCs w:val="0"/>
          <w:rtl/>
        </w:rPr>
        <w:t xml:space="preserve">וְצָרִיךְ לְמִנְדַּע נְקוּדָה דִילֵיהּ, בְּכָל אֵבֶר וְאֵבֶר נְקוּדָה דְאִתְחַיַּיב לְמַלְאָכָא דְאִיהוּ </w:t>
      </w:r>
      <w:r>
        <w:rPr>
          <w:b w:val="0"/>
          <w:sz w:val="20"/>
          <w:szCs w:val="23"/>
          <w:rtl/>
        </w:rPr>
        <w:t>(אור)</w:t>
      </w:r>
      <w:r>
        <w:rPr>
          <w:b w:val="0"/>
          <w:bCs w:val="0"/>
          <w:rtl/>
        </w:rPr>
        <w:t xml:space="preserve"> מַיִם, וּלְמַלְאָכָא דְאִיהוּ אֵשׁ, וּלְמַלְאָכָא דְאִיהוּ רוּחַ, </w:t>
      </w:r>
      <w:r>
        <w:rPr>
          <w:rStyle w:val="a7"/>
          <w:b w:val="0"/>
          <w:bCs w:val="0"/>
          <w:rtl/>
        </w:rPr>
        <w:footnoteReference w:id="5472"/>
      </w:r>
      <w:r>
        <w:rPr>
          <w:b w:val="0"/>
          <w:bCs w:val="0"/>
          <w:rtl/>
        </w:rPr>
        <w:t xml:space="preserve">דְּכָל נְקוּדִין אִינוּן אֶשָּׁא וְרוּחָא וּמַיָּא, מַלְכוּת עָפָר מָאנָא דְכֻלְּהוּ עִלָּאִין דְּתַלְיָין מִסְּפִירָן, </w:t>
      </w:r>
      <w:r>
        <w:rPr>
          <w:rStyle w:val="a7"/>
          <w:b w:val="0"/>
          <w:bCs w:val="0"/>
          <w:rtl/>
        </w:rPr>
        <w:footnoteReference w:id="5473"/>
      </w:r>
      <w:r>
        <w:rPr>
          <w:b w:val="0"/>
          <w:bCs w:val="0"/>
          <w:rtl/>
        </w:rPr>
        <w:t xml:space="preserve">וּלְתַתָּא הָכִי אִית מַלְאָכִין דְּתַלְיָין מִכִּסֵּא וּמַלְאָךְ וְאוֹפָן, דְּמִתַּמָּן נְשָׁמָה וְרוּחָא וְנַפְשָׁא, גּוּפָא מָאנָא דְכֻלְּהוּ, מִיכָאֵ''ל אִיהוּ מַיָּא, וְאִיהוּ מְמוּנֶה עַל יַמָּא, וּבְגִין דָּא כַּד אַעֲבַר מֹשֶׁה לְיִשְׂרָאֵל בְּיַמָּא, בֵּיהּ שַׁבַּח לְקוּדְשָׁא בְּרִיךְ הוּא, </w:t>
      </w:r>
      <w:r>
        <w:rPr>
          <w:rStyle w:val="a7"/>
          <w:b w:val="0"/>
          <w:bCs w:val="0"/>
          <w:rtl/>
        </w:rPr>
        <w:footnoteReference w:id="5474"/>
      </w:r>
      <w:r>
        <w:rPr>
          <w:b w:val="0"/>
          <w:bCs w:val="0"/>
          <w:rtl/>
        </w:rPr>
        <w:t xml:space="preserve">הֲדָא הוּא דִכְתִיב </w:t>
      </w:r>
      <w:r>
        <w:rPr>
          <w:b w:val="0"/>
          <w:sz w:val="20"/>
          <w:szCs w:val="23"/>
          <w:rtl/>
        </w:rPr>
        <w:t>(שמות טו יא)</w:t>
      </w:r>
      <w:r>
        <w:rPr>
          <w:b w:val="0"/>
          <w:bCs w:val="0"/>
          <w:rtl/>
        </w:rPr>
        <w:t xml:space="preserve"> מִ י כָ מוֹךָ בָּאֵ לִים יהו''ה, גַּבְרִיאֵ''ל מְמוּנֶה עַל אֶשָּׁא, אוּרִיאֵ''ל עַל רוּחָא, רְפָאֵ''ל עַל עַפְרָא, מֵאִלֵּין תַּלְיָין כַּמָּה רִבֵּי רִבְוָון דְּמַלְאָכַיָּא דְתַלְיָין מִנַּיְיהוּ.</w:t>
      </w:r>
    </w:p>
    <w:p w:rsidR="006D2826" w:rsidRDefault="006D2826" w:rsidP="006D2826">
      <w:pPr>
        <w:pStyle w:val="NormalWeb"/>
        <w:rPr>
          <w:b w:val="0"/>
          <w:bCs w:val="0"/>
          <w:rtl/>
        </w:rPr>
      </w:pPr>
      <w:r>
        <w:rPr>
          <w:b w:val="0"/>
          <w:bCs w:val="0"/>
          <w:rtl/>
        </w:rPr>
        <w:t xml:space="preserve">בְּרִי, אַגְרָא דְאִלֵּין פִּקּוּדִין דְּתַלְיָין בְּאִלֵּין אֵבָרִים, הוּא דְּמָאן דִּמְיַחֵד לְקוּדְשָׁא בְּרִיךְ הוּא, בִּשְׁכִינְתֵּיהּ בְּהַאי עָלְמָא, קוּדְשָׁא בְּרִיךְ הוּא מְזַוִּוג לֵיהּ </w:t>
      </w:r>
      <w:r>
        <w:rPr>
          <w:rStyle w:val="a7"/>
          <w:b w:val="0"/>
          <w:bCs w:val="0"/>
          <w:rtl/>
        </w:rPr>
        <w:footnoteReference w:id="5475"/>
      </w:r>
      <w:r>
        <w:rPr>
          <w:b w:val="0"/>
          <w:bCs w:val="0"/>
          <w:rtl/>
        </w:rPr>
        <w:t xml:space="preserve">בְּבַת זוּגֵיהּ לְהַהוּא עָלְמָא, וּמָאן דְּקָרִיב לֵיהּ לִשְׁכִינְתֵּיהּ קָרְבָּנָא, קוּדְשָׁא בְּרִיךְ הוּא מְקָרֵב לֵיהּ בְּבַת זוּגֵיהּ, וּמָאן דְּעָבִיד לֵיהּ בֵּי מַקְדְּשָׁא, הֲדָא הוּא דִכְתִיב </w:t>
      </w:r>
      <w:r>
        <w:rPr>
          <w:b w:val="0"/>
          <w:sz w:val="20"/>
          <w:szCs w:val="23"/>
          <w:rtl/>
        </w:rPr>
        <w:t>(שם כה ח)</w:t>
      </w:r>
      <w:r>
        <w:rPr>
          <w:b w:val="0"/>
          <w:bCs w:val="0"/>
          <w:rtl/>
        </w:rPr>
        <w:t xml:space="preserve"> וְעָשׂוּ לִי מִקְדָּשׁ, קוּדְשָׁא בְּרִיךְ הוּא עָבִיד לֵיהּ בְּהַהוּא עָלְמָא בַּיִת לְדַיְירָא </w:t>
      </w:r>
      <w:r>
        <w:rPr>
          <w:b w:val="0"/>
          <w:sz w:val="20"/>
          <w:szCs w:val="23"/>
          <w:rtl/>
        </w:rPr>
        <w:t>(ליה)</w:t>
      </w:r>
      <w:r>
        <w:rPr>
          <w:b w:val="0"/>
          <w:bCs w:val="0"/>
          <w:rtl/>
        </w:rPr>
        <w:t xml:space="preserve"> תַמָּן דְּאִיהוּ </w:t>
      </w:r>
      <w:r>
        <w:rPr>
          <w:rStyle w:val="a7"/>
          <w:b w:val="0"/>
          <w:bCs w:val="0"/>
          <w:rtl/>
        </w:rPr>
        <w:footnoteReference w:id="5476"/>
      </w:r>
      <w:r>
        <w:rPr>
          <w:b w:val="0"/>
          <w:bCs w:val="0"/>
          <w:rtl/>
        </w:rPr>
        <w:t>קֹדֶשׁ קֻדְשִׁין, וּמָאן דְּעָבִיד לֵיהּ סֻכָּה, קוּדְשָׁא בְּרִיךְ הוּא מְסַכֵּךְ עֲלֵיהּ בְּהַהוּא עָלְמָא, וְאַגִּין עֲלֵיהּ מִכָּל מַלְאֲכֵי חַבָּלָה כַּד נָפִיק מֵהַאי עָלְמָא וְאָזִיל לְהַהוּא עָלְמָא.</w:t>
      </w:r>
    </w:p>
    <w:p w:rsidR="006D2826" w:rsidRDefault="006D2826" w:rsidP="006D2826">
      <w:pPr>
        <w:pStyle w:val="aa"/>
        <w:spacing w:after="40"/>
        <w:rPr>
          <w:rtl/>
        </w:rPr>
      </w:pPr>
      <w:r>
        <w:rPr>
          <w:rtl/>
        </w:rPr>
        <w:t xml:space="preserve">[תיקוני זוהר - דף קלא ע''א] </w:t>
      </w:r>
    </w:p>
    <w:p w:rsidR="006D2826" w:rsidRDefault="006D2826" w:rsidP="006D2826">
      <w:pPr>
        <w:pStyle w:val="NormalWeb"/>
        <w:rPr>
          <w:b w:val="0"/>
          <w:bCs w:val="0"/>
          <w:rtl/>
        </w:rPr>
      </w:pPr>
      <w:r>
        <w:rPr>
          <w:b w:val="0"/>
          <w:bCs w:val="0"/>
          <w:rtl/>
        </w:rPr>
        <w:t xml:space="preserve">וְכָל מָאן דִּמְבָרֵךְ לְקוּדְשָׁא בְּרִיךְ הוּא, וּמְקַדֵּשׁ לֵיהּ בִּצְלוֹתֵיהּ בְּהַאי עָלְמָא, קוּדְשָׁא בְּרִיךְ הוּא מְבָרֵךְ לֵיהּ בְּהַהוּא עָלְמָא, וּמְקַדֵּשׁ לֵיהּ, וְלֵית קְדוּשָׁה </w:t>
      </w:r>
      <w:r>
        <w:rPr>
          <w:b w:val="0"/>
          <w:sz w:val="20"/>
          <w:szCs w:val="23"/>
          <w:rtl/>
        </w:rPr>
        <w:t xml:space="preserve">(דף קלא ע''א) </w:t>
      </w:r>
      <w:r>
        <w:rPr>
          <w:b w:val="0"/>
          <w:bCs w:val="0"/>
          <w:rtl/>
        </w:rPr>
        <w:t xml:space="preserve">פָּחוּת מֵעֲשָׂרָה, אוֹף הָכִי עָבִיד לֵיהּ קוּדְשָׁא בְּרִיךְ הוּא עֲשָׂרָה חוּפּוֹת בְּגַן עִדֶן, דְּקִדּוּשִׁין דְּקוּדְשָׁא בְּרִיךְ הוּא עִם שְׁכִינְתֵּיהּ, אִינוּן קָדוֹשׁ קָדוֹשׁ קָדוֹשׁ, וְשֶׁבַע בִּרְכָאָן דִּילֵיהּ אִינוּן בִּקְרִיאַת שְׁמַע, בַּשַּׁחַר שְׁתַּיִם לְפָנֶיהָ וְאַחַת לְאַחֲרֶיהָ, וּבָעֶרֶב שְׁתַּיִם לְפָנֶיהָ וּשְׁתַּיִם לְאַחֲרֶיהָ, הָא שֶׁבַע, </w:t>
      </w:r>
      <w:r>
        <w:rPr>
          <w:rStyle w:val="a7"/>
          <w:b w:val="0"/>
          <w:bCs w:val="0"/>
          <w:rtl/>
        </w:rPr>
        <w:footnoteReference w:id="5477"/>
      </w:r>
      <w:r>
        <w:rPr>
          <w:b w:val="0"/>
          <w:bCs w:val="0"/>
          <w:rtl/>
        </w:rPr>
        <w:t>וְיִחוּד דִּילֵהּ שְׁמַע יִשְׂרָאֵל, וְהָכִי קוּדְשָׁא בְּרִיךְ הוּא מְבָרֵךְ לֵיהּ וּלְכַלָּה דִילֵיהּ, וּמְקַדֵּשׁ לֵיהּ עִמָּהּ בִּקְדוּשָׁה, וּמְיַיחֵד תַּרְוַיְיהוּ, וְכֹלָּא מִדָּה כְּנֶגֶד מִדָּה.</w:t>
      </w:r>
    </w:p>
    <w:p w:rsidR="006D2826" w:rsidRDefault="006D2826" w:rsidP="006D2826">
      <w:pPr>
        <w:pStyle w:val="NormalWeb"/>
        <w:rPr>
          <w:b w:val="0"/>
          <w:bCs w:val="0"/>
          <w:rtl/>
        </w:rPr>
      </w:pPr>
      <w:r>
        <w:rPr>
          <w:b w:val="0"/>
          <w:bCs w:val="0"/>
          <w:rtl/>
        </w:rPr>
        <w:t xml:space="preserve">סוֹף סוֹף בְּכָל מַה דְּאִשְׁתַּדַּל בַּר נַשׁ בְּפִקּוּדוֹי דְּקוּדְשָׁא בְּרִיךְ הוּא, בְּגִינֵיהּ וּבְגִין שְׁכִינְתֵּיהּ, הָכִי אִשְׁתַּדַּל קוּדְשָׁא בְּרִיךְ הוּא בְּגִין בַּר נַשׁ וּבַת זוּגֵיהּ בְּהַהוּא עָלְמָא, זַכָּאָה חוּלָקֵיהּ מָאן דְּיִשְׁתַּדַּל לְמֶעֱבַד רְעוּתֵיהּ, דְּלֵית פּוּמָא יָכִיל לְמֵימַר אַגְרָא דִילֵיהּ בְּהַהוּא עָלְמָא דְאִיהִי לְדָרֵי דָרִין, בַּר נַשׁ עָבִיד לְקוּדְשָׁא בְּרִיךְ הוּא רְעוּתֵיהּ דְּאִיהוּ לְפוּם שַׁעְתָּא בְהַאי עָלְמָא, וּבָנֵי לֵיהּ בִּנְיָינָא בֵּיהּ, קוּדְשָׁא בְּרִיךְ הוּא בָנֵי לֵיהּ לְבַר נַשׁ בְּעָלְמָא דִילֵיהּ בִּנְיָינָא לְדָרֵי דָרִין, </w:t>
      </w:r>
      <w:r>
        <w:rPr>
          <w:rStyle w:val="a7"/>
          <w:b w:val="0"/>
          <w:bCs w:val="0"/>
          <w:rtl/>
        </w:rPr>
        <w:footnoteReference w:id="5478"/>
      </w:r>
      <w:r>
        <w:rPr>
          <w:b w:val="0"/>
          <w:bCs w:val="0"/>
          <w:rtl/>
        </w:rPr>
        <w:t>זַכָּאָה מָאן דְּשַׁרְיָא לֵיהּ בְּכָל אֵבֶר וְאֵבֶר דִּילֵיהּ לְמֶעֱבַד לֵיהּ אֲתַר לְשַׁרְיָא תַמָּן, וּלְאַמְלָכָא לֵיהּ בְּכָל אֵבֶר וְאֵבֶר, דְּלָא יְהֵא בֵּיהּ אֵבֶר פָּנוּי מִנֵּיהּ, דְּאִם חָסֵר אֵבֶר חַד דְּלָא שַׁרְיָא עֲלֵיהּ קוּדְשָׁא בְּרִיךְ הוּא, בְּגִין הַהוּא אֵבֶר אִתְחַזַּר לְעָלְמָא בְּגִלְגּוּלָא, עַד דְּאִשְׁתַּלִּים בְּאֵבָרִין דִּילֵיהּ, לְמֶהֱוֵי כֻּלְּהוּ שְׁלֵמִין בְּדִיּוֹקְנָא דְקוּדְשָׁא בְּרִיךְ הוּא, דְּאִם חָסֵר חַד לַאו אִיהוּ בְּצַלְמוֹ דְקוּדְשָׁא בְּרִיךְ הוּא.</w:t>
      </w:r>
    </w:p>
    <w:p w:rsidR="006D2826" w:rsidRDefault="006D2826" w:rsidP="006D2826">
      <w:pPr>
        <w:pStyle w:val="NormalWeb"/>
        <w:rPr>
          <w:b w:val="0"/>
          <w:bCs w:val="0"/>
          <w:rtl/>
        </w:rPr>
      </w:pPr>
      <w:r>
        <w:rPr>
          <w:b w:val="0"/>
          <w:bCs w:val="0"/>
          <w:rtl/>
        </w:rPr>
        <w:t xml:space="preserve">פּוּמָא עֲקִימָא לָא שַׁרְיָא בֵּיהּ קוּדְשָׁא בְּרִיךְ הוּא, </w:t>
      </w:r>
      <w:r>
        <w:rPr>
          <w:rStyle w:val="a7"/>
          <w:b w:val="0"/>
          <w:bCs w:val="0"/>
          <w:rtl/>
        </w:rPr>
        <w:footnoteReference w:id="5479"/>
      </w:r>
      <w:r>
        <w:rPr>
          <w:b w:val="0"/>
          <w:bCs w:val="0"/>
          <w:rtl/>
        </w:rPr>
        <w:t xml:space="preserve">דְאִיהוּ מוּם, דְמָאן דְדִּבּוּרָא דִילֵיהּ עָקִים, עֲלֵיהּ אִתְּמַר </w:t>
      </w:r>
      <w:r>
        <w:rPr>
          <w:b w:val="0"/>
          <w:sz w:val="20"/>
          <w:szCs w:val="23"/>
          <w:rtl/>
        </w:rPr>
        <w:t>(קהלת א טו)</w:t>
      </w:r>
      <w:r>
        <w:rPr>
          <w:b w:val="0"/>
          <w:bCs w:val="0"/>
          <w:rtl/>
        </w:rPr>
        <w:t xml:space="preserve"> מְעְִוָּת לֹא יוּכַל לִתְקוֹן, </w:t>
      </w:r>
      <w:r>
        <w:rPr>
          <w:rStyle w:val="a7"/>
          <w:b w:val="0"/>
          <w:bCs w:val="0"/>
          <w:rtl/>
        </w:rPr>
        <w:footnoteReference w:id="5480"/>
      </w:r>
      <w:r>
        <w:rPr>
          <w:b w:val="0"/>
          <w:bCs w:val="0"/>
          <w:rtl/>
        </w:rPr>
        <w:t>פּוּמָא וְלִבָּא אִינוּן לָקֳבֵל אוֹרַיְיתָא דְבִכְתָב וְאוֹרַיְיתָא דִבְעַל פֶּה, קָלָא וְדִבּוּר דְּנָפִיק מִתַּרְוַיְיהוּ אִיהוּ ו''ה, צָרִיךְ לְאַפָּקָא לֵיהּ בִּדְחִילוּ וּרְחִימוּ דְי''ה, וְאִם לַאו, לָא שַׁרְיָא תַמָּן יהו''ה.</w:t>
      </w:r>
    </w:p>
    <w:p w:rsidR="006D2826" w:rsidRDefault="006D2826" w:rsidP="006D2826">
      <w:pPr>
        <w:pStyle w:val="NormalWeb"/>
        <w:rPr>
          <w:b w:val="0"/>
          <w:bCs w:val="0"/>
          <w:rtl/>
        </w:rPr>
      </w:pPr>
      <w:r>
        <w:rPr>
          <w:b w:val="0"/>
          <w:bCs w:val="0"/>
          <w:rtl/>
        </w:rPr>
        <w:t xml:space="preserve">שִׂפְוָון אֲרִיכִין מִסִּטְרָא דְאַנְשֵׁי חַיִל, רְחָבִין מִסִּטְרָא דְיִרְאֵי אלהי''ם, </w:t>
      </w:r>
      <w:r>
        <w:rPr>
          <w:rStyle w:val="a7"/>
          <w:b w:val="0"/>
          <w:bCs w:val="0"/>
          <w:rtl/>
        </w:rPr>
        <w:footnoteReference w:id="5481"/>
      </w:r>
      <w:r>
        <w:rPr>
          <w:b w:val="0"/>
          <w:bCs w:val="0"/>
          <w:rtl/>
        </w:rPr>
        <w:t xml:space="preserve">שִׂפְוָון בֵּינוֹנִיִּים מִסִּטְרָא דְאַנְשֵׁי אֱמֶת, זְעִירָן בְּעִגּוּלָא מִסִּטְרָא דְשׂוֹנְאֵי בָצַע, כַּמָּה קָלִין וְדִבּוּרִין נָפְקִין מִפִּימָא מִיָּד דְּנָפְקִין מִפּוּמוֹי </w:t>
      </w:r>
      <w:r>
        <w:rPr>
          <w:rStyle w:val="a7"/>
          <w:b w:val="0"/>
          <w:bCs w:val="0"/>
          <w:rtl/>
        </w:rPr>
        <w:footnoteReference w:id="5482"/>
      </w:r>
      <w:r>
        <w:rPr>
          <w:b w:val="0"/>
          <w:bCs w:val="0"/>
          <w:rtl/>
        </w:rPr>
        <w:t xml:space="preserve">כַּמָּה מַלְאָכִים דְּאִתְקְרִיאוּ עוֹפִין נָטְלִין מִלּוּלִין דְּפִימָא. </w:t>
      </w:r>
      <w:r>
        <w:rPr>
          <w:rStyle w:val="a7"/>
          <w:b w:val="0"/>
          <w:bCs w:val="0"/>
          <w:rtl/>
        </w:rPr>
        <w:footnoteReference w:id="5483"/>
      </w:r>
      <w:r>
        <w:rPr>
          <w:b w:val="0"/>
          <w:bCs w:val="0"/>
          <w:rtl/>
        </w:rPr>
        <w:t xml:space="preserve">חָמֵשׁ תִּקּוּנִין אִינוּן בְּפִימָא, דְאִתְּמַר בְּסֵפֶר יְצִירָה, אחה''ע בומ''ף גיכ''ק דטלנ''ת זסשר''ץ, </w:t>
      </w:r>
      <w:r>
        <w:rPr>
          <w:rStyle w:val="a7"/>
          <w:b w:val="0"/>
          <w:bCs w:val="0"/>
          <w:rtl/>
        </w:rPr>
        <w:footnoteReference w:id="5484"/>
      </w:r>
      <w:r>
        <w:rPr>
          <w:b w:val="0"/>
          <w:bCs w:val="0"/>
          <w:rtl/>
        </w:rPr>
        <w:t xml:space="preserve">וּבְהוֹן </w:t>
      </w:r>
      <w:r>
        <w:rPr>
          <w:b w:val="0"/>
          <w:sz w:val="20"/>
          <w:szCs w:val="23"/>
          <w:rtl/>
        </w:rPr>
        <w:t>(דברים כז ו)</w:t>
      </w:r>
      <w:r>
        <w:rPr>
          <w:b w:val="0"/>
          <w:szCs w:val="23"/>
          <w:rtl/>
        </w:rPr>
        <w:t xml:space="preserve"> </w:t>
      </w:r>
      <w:r>
        <w:rPr>
          <w:rStyle w:val="Char"/>
          <w:rtl/>
        </w:rPr>
        <w:t>אֲבָנִים</w:t>
      </w:r>
      <w:r>
        <w:rPr>
          <w:b w:val="0"/>
          <w:szCs w:val="23"/>
          <w:rtl/>
        </w:rPr>
        <w:t xml:space="preserve"> </w:t>
      </w:r>
      <w:r>
        <w:rPr>
          <w:b w:val="0"/>
          <w:bCs w:val="0"/>
          <w:rtl/>
        </w:rPr>
        <w:t xml:space="preserve">שְׁלֵמוֹת תִּבְנֶה לְקוּדְשָׁא בְּרִיךְ הוּא בְּכַמָּה צְלוֹתִין וּפוּלְחָנִין, וַעֲלַיְיהוּ אָמַר יַעֲקֹב וַיִּשְׁכַּב בַּמָּקוֹם הַהוּא </w:t>
      </w:r>
      <w:r>
        <w:rPr>
          <w:b w:val="0"/>
          <w:sz w:val="20"/>
          <w:szCs w:val="23"/>
          <w:rtl/>
        </w:rPr>
        <w:t>(בראשית כח יא)</w:t>
      </w:r>
      <w:r>
        <w:rPr>
          <w:b w:val="0"/>
          <w:bCs w:val="0"/>
          <w:rtl/>
        </w:rPr>
        <w:t xml:space="preserve">, </w:t>
      </w:r>
      <w:r>
        <w:rPr>
          <w:rStyle w:val="a7"/>
          <w:b w:val="0"/>
          <w:bCs w:val="0"/>
          <w:rtl/>
        </w:rPr>
        <w:footnoteReference w:id="5485"/>
      </w:r>
      <w:r>
        <w:rPr>
          <w:b w:val="0"/>
          <w:bCs w:val="0"/>
          <w:rtl/>
        </w:rPr>
        <w:t xml:space="preserve">וַיִּשְׁכַּב וְיֵ''שׁ כ''ב אַתְוָון בַּמָּקוֹם הַהוּא, יֵ''שׁ </w:t>
      </w:r>
      <w:r>
        <w:rPr>
          <w:b w:val="0"/>
          <w:sz w:val="20"/>
          <w:szCs w:val="23"/>
          <w:rtl/>
        </w:rPr>
        <w:t>(משלי ח כא)</w:t>
      </w:r>
      <w:r>
        <w:rPr>
          <w:b w:val="0"/>
          <w:bCs w:val="0"/>
          <w:rtl/>
        </w:rPr>
        <w:t xml:space="preserve"> לְהַנְחִיל אוֹהֲבַי יֵשׁ, כ''ב בְּךָ יְבָרֵךְ יִשְׂרָאֵל </w:t>
      </w:r>
      <w:r>
        <w:rPr>
          <w:b w:val="0"/>
          <w:sz w:val="20"/>
          <w:szCs w:val="23"/>
          <w:rtl/>
        </w:rPr>
        <w:t>(בראשית מח כ)</w:t>
      </w:r>
      <w:r>
        <w:rPr>
          <w:b w:val="0"/>
          <w:szCs w:val="23"/>
          <w:rtl/>
        </w:rPr>
        <w:t xml:space="preserve">, </w:t>
      </w:r>
      <w:r>
        <w:rPr>
          <w:rStyle w:val="Char"/>
          <w:rtl/>
        </w:rPr>
        <w:t>בְּךָ בָּטְחוּ אֲבוֹתֵינוּ</w:t>
      </w:r>
      <w:r>
        <w:rPr>
          <w:b w:val="0"/>
          <w:szCs w:val="23"/>
          <w:rtl/>
        </w:rPr>
        <w:t xml:space="preserve"> </w:t>
      </w:r>
      <w:r>
        <w:rPr>
          <w:b w:val="0"/>
          <w:sz w:val="20"/>
          <w:szCs w:val="23"/>
          <w:rtl/>
        </w:rPr>
        <w:t>(תהלים כב ה)</w:t>
      </w:r>
      <w:r>
        <w:rPr>
          <w:b w:val="0"/>
          <w:szCs w:val="23"/>
          <w:rtl/>
        </w:rPr>
        <w:t xml:space="preserve">, </w:t>
      </w:r>
      <w:r>
        <w:rPr>
          <w:rStyle w:val="Char"/>
          <w:rtl/>
        </w:rPr>
        <w:t>כִּי בְךָ אָרוּץ גְּדוּד</w:t>
      </w:r>
      <w:r>
        <w:rPr>
          <w:b w:val="0"/>
          <w:szCs w:val="23"/>
          <w:rtl/>
        </w:rPr>
        <w:t xml:space="preserve"> </w:t>
      </w:r>
      <w:r>
        <w:rPr>
          <w:b w:val="0"/>
          <w:sz w:val="20"/>
          <w:szCs w:val="23"/>
          <w:rtl/>
        </w:rPr>
        <w:t>(שם יח ל)</w:t>
      </w:r>
      <w:r>
        <w:rPr>
          <w:b w:val="0"/>
          <w:szCs w:val="23"/>
          <w:rtl/>
        </w:rPr>
        <w:t xml:space="preserve">, </w:t>
      </w:r>
      <w:r>
        <w:rPr>
          <w:rStyle w:val="Char"/>
          <w:rtl/>
        </w:rPr>
        <w:t>וּבְךָ בָּחַר יהו''ה</w:t>
      </w:r>
      <w:r>
        <w:rPr>
          <w:b w:val="0"/>
          <w:szCs w:val="23"/>
          <w:rtl/>
        </w:rPr>
        <w:t xml:space="preserve"> </w:t>
      </w:r>
      <w:r>
        <w:rPr>
          <w:b w:val="0"/>
          <w:sz w:val="20"/>
          <w:szCs w:val="23"/>
          <w:rtl/>
        </w:rPr>
        <w:t>(דברים ז ו)</w:t>
      </w:r>
      <w:r>
        <w:rPr>
          <w:b w:val="0"/>
          <w:szCs w:val="23"/>
          <w:rtl/>
        </w:rPr>
        <w:t xml:space="preserve">, </w:t>
      </w:r>
      <w:r>
        <w:rPr>
          <w:rStyle w:val="Char"/>
          <w:rtl/>
        </w:rPr>
        <w:t>אֲשֶׁר נִשְׁבַּעְתָּ לָהֶם בָּךְ</w:t>
      </w:r>
      <w:r>
        <w:rPr>
          <w:b w:val="0"/>
          <w:szCs w:val="23"/>
          <w:rtl/>
        </w:rPr>
        <w:t xml:space="preserve"> </w:t>
      </w:r>
      <w:r>
        <w:rPr>
          <w:b w:val="0"/>
          <w:sz w:val="20"/>
          <w:szCs w:val="23"/>
          <w:rtl/>
        </w:rPr>
        <w:t>(שמות לב יג)</w:t>
      </w:r>
      <w:r>
        <w:rPr>
          <w:b w:val="0"/>
          <w:szCs w:val="23"/>
          <w:rtl/>
        </w:rPr>
        <w:t xml:space="preserve">, </w:t>
      </w:r>
      <w:r>
        <w:rPr>
          <w:rStyle w:val="Char"/>
          <w:rtl/>
        </w:rPr>
        <w:t>נָגִילָה וְנִשְׂמְחָה בָּךְ</w:t>
      </w:r>
      <w:r>
        <w:rPr>
          <w:b w:val="0"/>
          <w:szCs w:val="23"/>
          <w:rtl/>
        </w:rPr>
        <w:t xml:space="preserve"> </w:t>
      </w:r>
      <w:r>
        <w:rPr>
          <w:b w:val="0"/>
          <w:sz w:val="20"/>
          <w:szCs w:val="23"/>
          <w:rtl/>
        </w:rPr>
        <w:t>(שיר א ד)</w:t>
      </w:r>
      <w:r>
        <w:rPr>
          <w:b w:val="0"/>
          <w:bCs w:val="0"/>
          <w:rtl/>
        </w:rPr>
        <w:t xml:space="preserve">, בְּהוֹן בָּ"רוּךְ כְּ"בוֹד יהו''ה מִמְּקוֹמוֹ </w:t>
      </w:r>
      <w:r>
        <w:rPr>
          <w:b w:val="0"/>
          <w:sz w:val="20"/>
          <w:szCs w:val="23"/>
          <w:rtl/>
        </w:rPr>
        <w:t>(יחזקאל ג יב)</w:t>
      </w:r>
      <w:r>
        <w:rPr>
          <w:b w:val="0"/>
          <w:bCs w:val="0"/>
          <w:rtl/>
        </w:rPr>
        <w:t>.</w:t>
      </w:r>
    </w:p>
    <w:p w:rsidR="006D2826" w:rsidRDefault="006D2826" w:rsidP="006D2826">
      <w:pPr>
        <w:pStyle w:val="NormalWeb"/>
        <w:rPr>
          <w:b w:val="0"/>
          <w:bCs w:val="0"/>
          <w:rtl/>
        </w:rPr>
      </w:pPr>
      <w:r>
        <w:rPr>
          <w:rStyle w:val="a7"/>
          <w:b w:val="0"/>
          <w:bCs w:val="0"/>
          <w:rtl/>
        </w:rPr>
        <w:footnoteReference w:id="5486"/>
      </w:r>
      <w:r>
        <w:rPr>
          <w:b w:val="0"/>
          <w:bCs w:val="0"/>
          <w:rtl/>
        </w:rPr>
        <w:t xml:space="preserve">דִּיקְנָא, בְּסֵפֶר בֶּן סִירָא, קַלִּיל דַּקָּן קוּרְטַמָּן, עַב דַּקָּן אִיהוּ בְרִבּוּיָא דְלֵיחָא בְּלַחוּתָא דִילֵיהּ, וּבְגִין דָּא אִיהוּ פַּתְיָא שַׁטְיָא, </w:t>
      </w:r>
      <w:r>
        <w:rPr>
          <w:b w:val="0"/>
          <w:sz w:val="20"/>
          <w:szCs w:val="23"/>
          <w:rtl/>
        </w:rPr>
        <w:t>(אמר רבי שמעון)</w:t>
      </w:r>
      <w:r>
        <w:rPr>
          <w:b w:val="0"/>
          <w:bCs w:val="0"/>
          <w:rtl/>
        </w:rPr>
        <w:t xml:space="preserve"> מָאן דְּלֵית לֵיהּ דִּיקְנָא בְאַנְפּוֹי וּבְפִימוֹי אֶלָּא זְעִיר, הוּא פִּקְחָא </w:t>
      </w:r>
      <w:r>
        <w:rPr>
          <w:b w:val="0"/>
          <w:sz w:val="20"/>
          <w:szCs w:val="23"/>
          <w:rtl/>
        </w:rPr>
        <w:t>(פקיעא)</w:t>
      </w:r>
      <w:r>
        <w:rPr>
          <w:b w:val="0"/>
          <w:bCs w:val="0"/>
          <w:rtl/>
        </w:rPr>
        <w:t>, דְּמָרָה יְרוֹקָא אִיהִי אִתְגַּבְּרַת עֲלֵיהּ, וְלֵית בֵּיהּ לַחוּתָא כְלָל, דִּיקְנָא בֵינוֹנִית דָּא אִיהוּ אִישׁ תָּם, דַּעְתֵּיהּ שְׁלִים, מָאן דְּלֵית לֵיהּ דִּיקְנָא בְאַנְפּוֹי כְּלָל, מָרָה קְרִירָא וִיבֵשָׁתָא אִתְגַּבְּרַת עֲלוֹי, לֵית בֵּיהּ לֵחוּת וַחֲמִימוּת כְּלָל, מָארֵי דַעֲצִיבוּ אִיהוּ, עוֹבָדוֹי כְּאִתְּתָא.</w:t>
      </w:r>
    </w:p>
    <w:p w:rsidR="006D2826" w:rsidRDefault="006D2826" w:rsidP="006D2826">
      <w:pPr>
        <w:pStyle w:val="NormalWeb"/>
        <w:rPr>
          <w:b w:val="0"/>
          <w:bCs w:val="0"/>
          <w:rtl/>
        </w:rPr>
      </w:pPr>
      <w:r>
        <w:rPr>
          <w:b w:val="0"/>
          <w:bCs w:val="0"/>
          <w:rtl/>
        </w:rPr>
        <w:t>תָּא חֲזִי אִית בְּנֵי נָשָׁא דִמְמַלְּלָן בְּנִעְנוּעָא דְעַיְינִין, וְאָחֳרָנִין בְּנִעְנוּעָא דִיְדַיִן, וְאָחֳרָנִין בְּנִעְנוּעָא דְרֵישָׁא, וְאָחֳרָנִין בְּנִעְנוּעָא דְגוּפָא, וְאָחֳרָנִין בְּנִעְנוּעָא דְרַגְלִין, דָּא אִיהוּ דִּבְכָל אֲתַר דְּנִשְׁמָתֵיהּ בֵּיהּ, תַּמָּן עָבִיד נִעְנוּעָא יַתִּיר בְּהַהוּא אֲתַר.</w:t>
      </w:r>
    </w:p>
    <w:p w:rsidR="006D2826" w:rsidRDefault="006D2826" w:rsidP="006D2826">
      <w:pPr>
        <w:pStyle w:val="aa"/>
        <w:spacing w:after="40"/>
        <w:rPr>
          <w:rtl/>
        </w:rPr>
      </w:pPr>
      <w:r>
        <w:rPr>
          <w:rtl/>
        </w:rPr>
        <w:t xml:space="preserve">[תיקוני זוהר - דף קלא ע''ב] </w:t>
      </w:r>
    </w:p>
    <w:p w:rsidR="006D2826" w:rsidRDefault="006D2826" w:rsidP="006D2826">
      <w:pPr>
        <w:pStyle w:val="NormalWeb"/>
        <w:rPr>
          <w:b w:val="0"/>
          <w:bCs w:val="0"/>
          <w:rtl/>
        </w:rPr>
      </w:pPr>
      <w:r>
        <w:rPr>
          <w:b w:val="0"/>
          <w:bCs w:val="0"/>
          <w:rtl/>
        </w:rPr>
        <w:t xml:space="preserve">אָמַר לֵיהּ רַבִּי אֶלְעָזָר, אַבָּא, וְכִי נִשְׁמָתָא לָא אִיהִי בַּאֲתַר יְדִיעָא בְלִבָּא, וְאִתְפַּשְׁטוּתָהּ בְּכָל אֵבָרִין דְּלִבָּא, אָמַר לֵיהּ בְּרִי, וְהָא כְתִיב בָּהּ </w:t>
      </w:r>
      <w:r>
        <w:rPr>
          <w:b w:val="0"/>
          <w:sz w:val="20"/>
          <w:szCs w:val="23"/>
          <w:rtl/>
        </w:rPr>
        <w:t>(רות ג ז)</w:t>
      </w:r>
      <w:r>
        <w:rPr>
          <w:b w:val="0"/>
          <w:bCs w:val="0"/>
          <w:rtl/>
        </w:rPr>
        <w:t xml:space="preserve"> </w:t>
      </w:r>
      <w:r>
        <w:rPr>
          <w:rStyle w:val="a7"/>
          <w:b w:val="0"/>
          <w:bCs w:val="0"/>
          <w:rtl/>
        </w:rPr>
        <w:footnoteReference w:id="5487"/>
      </w:r>
      <w:r>
        <w:rPr>
          <w:b w:val="0"/>
          <w:bCs w:val="0"/>
          <w:rtl/>
        </w:rPr>
        <w:t xml:space="preserve">וַתְּגַל מַרְגְּלוֹתָיו וַתִּשְׁכָּב, כְּפוּם עוֹבָדוֹי דְּבַר נַשׁ הָכִי נָפִיק לָהּ מֵאַתְרָהָא, וְנָחִית לָהּ לְבַר מֵאַתְרָהָא, כְּגַוְונָא </w:t>
      </w:r>
      <w:r>
        <w:rPr>
          <w:b w:val="0"/>
          <w:sz w:val="20"/>
          <w:szCs w:val="23"/>
          <w:rtl/>
        </w:rPr>
        <w:t xml:space="preserve">(דף קלא ע''ב) </w:t>
      </w:r>
      <w:r>
        <w:rPr>
          <w:b w:val="0"/>
          <w:bCs w:val="0"/>
          <w:rtl/>
        </w:rPr>
        <w:t xml:space="preserve">דִשְׁכִינְתָּא דְאִתְּמַר בָּהּ </w:t>
      </w:r>
      <w:r>
        <w:rPr>
          <w:b w:val="0"/>
          <w:sz w:val="20"/>
          <w:szCs w:val="23"/>
          <w:rtl/>
        </w:rPr>
        <w:t>(ישעיה נ א)</w:t>
      </w:r>
      <w:r>
        <w:rPr>
          <w:b w:val="0"/>
          <w:bCs w:val="0"/>
          <w:rtl/>
        </w:rPr>
        <w:t xml:space="preserve"> וּבְפִשְׁעִיכֶם שֻׁלְּחָה אִמְּכֶם, </w:t>
      </w:r>
      <w:r>
        <w:rPr>
          <w:rStyle w:val="a7"/>
          <w:b w:val="0"/>
          <w:bCs w:val="0"/>
          <w:rtl/>
        </w:rPr>
        <w:footnoteReference w:id="5488"/>
      </w:r>
      <w:r>
        <w:rPr>
          <w:b w:val="0"/>
          <w:bCs w:val="0"/>
          <w:rtl/>
        </w:rPr>
        <w:t>וּתְיוּבְתָּא שְׁלֵימָתָא, מָאן דְּאָתִיב לָהּ לְאַתְרָהָא דַהֲוַת בְּקַדְמֵיתָא, דִּבְזִמְנָא דְנִשְׁמָתָא אִיהִי בְּלִבָּא אִתְקְרִיאַת מַטְרוֹנִיתָא, כַּד נָפְקַת מִלִּבָּא לָא אִתְקְרִיאַת מַטְרוֹנִיתָא, כְּפוּם חוֹבוֹי דְּבַר נַשׁ הָכִי נָחִית לָהּ מִדַּרְגָּא לְדַרְגָּא וּמֵאֵבֶר לְאֵבֶר, עַד דְּנָחִית לָהּ לְרַגְלוֹי, וּכְפוּם זַכְוָון דִּילֵיהּ הָכִי סְלִיקַת, עַד דִּסְלִיקַת לְאַתְרָהּ, וּבְגִין דָּא בְּכָל אֲתַר דְּנָחֲתַת, תַּמָּן עָבְדַת תְּנוּעָה יְתֵרָה בְּהַהוּא אֵבֶר יַתִּיר מֵאַחֲרָנִין.</w:t>
      </w:r>
    </w:p>
    <w:p w:rsidR="006D2826" w:rsidRDefault="006D2826" w:rsidP="006D2826">
      <w:pPr>
        <w:pStyle w:val="NormalWeb"/>
        <w:rPr>
          <w:b w:val="0"/>
          <w:bCs w:val="0"/>
          <w:rtl/>
        </w:rPr>
      </w:pPr>
      <w:r>
        <w:rPr>
          <w:rStyle w:val="a7"/>
          <w:b w:val="0"/>
          <w:bCs w:val="0"/>
          <w:rtl/>
        </w:rPr>
        <w:footnoteReference w:id="5489"/>
      </w:r>
      <w:r>
        <w:rPr>
          <w:b w:val="0"/>
          <w:bCs w:val="0"/>
          <w:rtl/>
        </w:rPr>
        <w:t xml:space="preserve">שִׁרְטוּטִין דִּיְדַיִן אַשְׁכַּחְנָא דְאִינוּן כְּעַנְפִין דְּאִילָנָא, </w:t>
      </w:r>
      <w:r>
        <w:rPr>
          <w:rStyle w:val="a7"/>
          <w:b w:val="0"/>
          <w:bCs w:val="0"/>
          <w:rtl/>
        </w:rPr>
        <w:footnoteReference w:id="5490"/>
      </w:r>
      <w:r>
        <w:rPr>
          <w:b w:val="0"/>
          <w:bCs w:val="0"/>
          <w:rtl/>
        </w:rPr>
        <w:t>מִנְּהוֹן אֲרִיכִין, מִנְּהוֹן קְצָרִין, מִנְּהוֹן מְשַׁלְּבָן, מִנְּהוֹן בְּעִגּוּלָא זְעִירִין.</w:t>
      </w:r>
    </w:p>
    <w:p w:rsidR="006D2826" w:rsidRDefault="006D2826" w:rsidP="006D2826">
      <w:pPr>
        <w:pStyle w:val="NormalWeb"/>
        <w:rPr>
          <w:b w:val="0"/>
          <w:bCs w:val="0"/>
          <w:rtl/>
        </w:rPr>
      </w:pPr>
      <w:r>
        <w:rPr>
          <w:rStyle w:val="a7"/>
          <w:b w:val="0"/>
          <w:bCs w:val="0"/>
          <w:rtl/>
        </w:rPr>
        <w:footnoteReference w:id="5491"/>
      </w:r>
      <w:r>
        <w:rPr>
          <w:b w:val="0"/>
          <w:bCs w:val="0"/>
          <w:rtl/>
        </w:rPr>
        <w:t xml:space="preserve">אַשְׁכַּחְנָא בְּרָזָא דְמַתְנִיתָא, דְּטוּרִין רַמָּאִין עֲמִיקִין, </w:t>
      </w:r>
      <w:r>
        <w:rPr>
          <w:rStyle w:val="a7"/>
          <w:b w:val="0"/>
          <w:bCs w:val="0"/>
          <w:rtl/>
        </w:rPr>
        <w:footnoteReference w:id="5492"/>
      </w:r>
      <w:r>
        <w:rPr>
          <w:b w:val="0"/>
          <w:bCs w:val="0"/>
          <w:rtl/>
        </w:rPr>
        <w:t xml:space="preserve">גּוֹ סוּסְפִיתָא, </w:t>
      </w:r>
      <w:r>
        <w:rPr>
          <w:rStyle w:val="a7"/>
          <w:b w:val="0"/>
          <w:bCs w:val="0"/>
          <w:rtl/>
        </w:rPr>
        <w:footnoteReference w:id="5493"/>
      </w:r>
      <w:r>
        <w:rPr>
          <w:b w:val="0"/>
          <w:bCs w:val="0"/>
          <w:rtl/>
        </w:rPr>
        <w:t xml:space="preserve">קוּנְטְרָא, </w:t>
      </w:r>
      <w:r>
        <w:rPr>
          <w:rStyle w:val="a7"/>
          <w:b w:val="0"/>
          <w:bCs w:val="0"/>
          <w:rtl/>
        </w:rPr>
        <w:footnoteReference w:id="5494"/>
      </w:r>
      <w:r>
        <w:rPr>
          <w:b w:val="0"/>
          <w:bCs w:val="0"/>
          <w:rtl/>
        </w:rPr>
        <w:t xml:space="preserve">קִטְרָא דְקִטְרִין, </w:t>
      </w:r>
      <w:r>
        <w:rPr>
          <w:rStyle w:val="a7"/>
          <w:b w:val="0"/>
          <w:bCs w:val="0"/>
          <w:rtl/>
        </w:rPr>
        <w:footnoteReference w:id="5495"/>
      </w:r>
      <w:r>
        <w:rPr>
          <w:b w:val="0"/>
          <w:bCs w:val="0"/>
          <w:rtl/>
        </w:rPr>
        <w:t xml:space="preserve">תַּמָּן הֲוָה חַד אוּכְמָא </w:t>
      </w:r>
      <w:r>
        <w:rPr>
          <w:rStyle w:val="a7"/>
          <w:b w:val="0"/>
          <w:bCs w:val="0"/>
          <w:rtl/>
        </w:rPr>
        <w:footnoteReference w:id="5496"/>
      </w:r>
      <w:r>
        <w:rPr>
          <w:b w:val="0"/>
          <w:bCs w:val="0"/>
          <w:rtl/>
        </w:rPr>
        <w:t xml:space="preserve">בְּלָא רַגְלִין, </w:t>
      </w:r>
      <w:r>
        <w:rPr>
          <w:rStyle w:val="a7"/>
          <w:b w:val="0"/>
          <w:bCs w:val="0"/>
          <w:rtl/>
        </w:rPr>
        <w:footnoteReference w:id="5497"/>
      </w:r>
      <w:r>
        <w:rPr>
          <w:b w:val="0"/>
          <w:bCs w:val="0"/>
          <w:rtl/>
        </w:rPr>
        <w:t xml:space="preserve">מִתְהַפֵּךְ הִפּוּכִין, </w:t>
      </w:r>
      <w:r>
        <w:rPr>
          <w:rStyle w:val="a7"/>
          <w:b w:val="0"/>
          <w:bCs w:val="0"/>
          <w:rtl/>
        </w:rPr>
        <w:footnoteReference w:id="5498"/>
      </w:r>
      <w:r>
        <w:rPr>
          <w:b w:val="0"/>
          <w:bCs w:val="0"/>
          <w:rtl/>
        </w:rPr>
        <w:t xml:space="preserve">גּוּף טְרִיף, כַּד הֲוָה יָתִיב אָזִיל, </w:t>
      </w:r>
      <w:r>
        <w:rPr>
          <w:rStyle w:val="a7"/>
          <w:b w:val="0"/>
          <w:bCs w:val="0"/>
          <w:rtl/>
        </w:rPr>
        <w:footnoteReference w:id="5499"/>
      </w:r>
      <w:r>
        <w:rPr>
          <w:b w:val="0"/>
          <w:bCs w:val="0"/>
          <w:rtl/>
        </w:rPr>
        <w:t xml:space="preserve">כַּד הֲוָה אָזִיל יָתִיב, </w:t>
      </w:r>
      <w:r>
        <w:rPr>
          <w:rStyle w:val="a7"/>
          <w:b w:val="0"/>
          <w:bCs w:val="0"/>
          <w:rtl/>
        </w:rPr>
        <w:footnoteReference w:id="5500"/>
      </w:r>
      <w:r>
        <w:rPr>
          <w:b w:val="0"/>
          <w:bCs w:val="0"/>
          <w:rtl/>
        </w:rPr>
        <w:t xml:space="preserve">כַּד הֲוָה אָזִיל מְהַפֵּךְ טוּרִין, כַּד הֲוָה יָתִיב מְעַקֵּר טִנָּרִין, </w:t>
      </w:r>
      <w:r>
        <w:rPr>
          <w:rStyle w:val="a7"/>
          <w:b w:val="0"/>
          <w:bCs w:val="0"/>
          <w:rtl/>
        </w:rPr>
        <w:footnoteReference w:id="5501"/>
      </w:r>
      <w:r>
        <w:rPr>
          <w:b w:val="0"/>
          <w:bCs w:val="0"/>
          <w:rtl/>
        </w:rPr>
        <w:t xml:space="preserve">מָאן דְּאַעֲרַע בֵּיהּ </w:t>
      </w:r>
      <w:r>
        <w:rPr>
          <w:rStyle w:val="a7"/>
          <w:b w:val="0"/>
          <w:bCs w:val="0"/>
          <w:rtl/>
        </w:rPr>
        <w:footnoteReference w:id="5502"/>
      </w:r>
      <w:r>
        <w:rPr>
          <w:b w:val="0"/>
          <w:bCs w:val="0"/>
          <w:rtl/>
        </w:rPr>
        <w:t xml:space="preserve">טְרִיף לֵיהּ וְקָטִיל לֵיהּ, </w:t>
      </w:r>
      <w:r>
        <w:rPr>
          <w:rStyle w:val="a7"/>
          <w:b w:val="0"/>
          <w:bCs w:val="0"/>
          <w:rtl/>
        </w:rPr>
        <w:footnoteReference w:id="5503"/>
      </w:r>
      <w:r>
        <w:rPr>
          <w:b w:val="0"/>
          <w:bCs w:val="0"/>
          <w:rtl/>
        </w:rPr>
        <w:t>וְלָא אַהֲנֵי, זַכָּאָה אִיהוּ מָאן דְּאִסְתַּמַּר מִנֵּיהּ.</w:t>
      </w:r>
    </w:p>
    <w:p w:rsidR="006D2826" w:rsidRDefault="006D2826" w:rsidP="006D2826">
      <w:pPr>
        <w:pStyle w:val="NormalWeb"/>
        <w:rPr>
          <w:b w:val="0"/>
          <w:bCs w:val="0"/>
          <w:rtl/>
        </w:rPr>
      </w:pPr>
      <w:r>
        <w:rPr>
          <w:rStyle w:val="a7"/>
          <w:b w:val="0"/>
          <w:bCs w:val="0"/>
          <w:rtl/>
        </w:rPr>
        <w:footnoteReference w:id="5504"/>
      </w:r>
      <w:r>
        <w:rPr>
          <w:b w:val="0"/>
          <w:bCs w:val="0"/>
          <w:rtl/>
        </w:rPr>
        <w:t xml:space="preserve">כָּל דִּיּוֹקְנִין דִּבְנֵי עָלְמָא בֵּיהּ רְשִׁימִין, כָּל צִיּוּרִין בֵּיהּ מְצוּיָירִין, כָּל גַּוָּונִין בֵּיהּ מְרַקְמָן, דְּסִטְרִין אָחֳרָנִין - </w:t>
      </w:r>
      <w:r>
        <w:rPr>
          <w:rStyle w:val="a7"/>
          <w:b w:val="0"/>
          <w:bCs w:val="0"/>
          <w:rtl/>
        </w:rPr>
        <w:footnoteReference w:id="5505"/>
      </w:r>
      <w:r>
        <w:rPr>
          <w:b w:val="0"/>
          <w:bCs w:val="0"/>
          <w:rtl/>
        </w:rPr>
        <w:t xml:space="preserve">כַּמָּה עַנְפִין תַּלְיָין מִנֵּיהּ, </w:t>
      </w:r>
      <w:r>
        <w:rPr>
          <w:rStyle w:val="a7"/>
          <w:b w:val="0"/>
          <w:bCs w:val="0"/>
          <w:rtl/>
        </w:rPr>
        <w:footnoteReference w:id="5506"/>
      </w:r>
      <w:r>
        <w:rPr>
          <w:b w:val="0"/>
          <w:bCs w:val="0"/>
          <w:rtl/>
        </w:rPr>
        <w:t xml:space="preserve">דְּשַׁרְבִיטִין דְּנוּרָא מְלַהֲטָא דְזָרִיק, כַּמָּה גַלְגַּלִין סַחֲרִין לֵיהּ, </w:t>
      </w:r>
      <w:r>
        <w:rPr>
          <w:rStyle w:val="a7"/>
          <w:b w:val="0"/>
          <w:bCs w:val="0"/>
          <w:rtl/>
        </w:rPr>
        <w:footnoteReference w:id="5507"/>
      </w:r>
      <w:r>
        <w:rPr>
          <w:b w:val="0"/>
          <w:bCs w:val="0"/>
          <w:rtl/>
        </w:rPr>
        <w:t xml:space="preserve">כֻּלְּהוּ מַלְיָין עַיְינִין </w:t>
      </w:r>
      <w:r>
        <w:rPr>
          <w:rStyle w:val="a7"/>
          <w:b w:val="0"/>
          <w:bCs w:val="0"/>
          <w:rtl/>
        </w:rPr>
        <w:footnoteReference w:id="5508"/>
      </w:r>
      <w:r>
        <w:rPr>
          <w:b w:val="0"/>
          <w:bCs w:val="0"/>
          <w:rtl/>
        </w:rPr>
        <w:t>דְּגוּמְרִין דְּנוּרָא מְלַהֲטִין, מִנְּהוֹן מִזְדַּעְזְעָאן חֲיָילִין וּמַשִּׁרְיָין, לֵית בְּהוֹן רַחֲמָנוּתָא כְלָל, זַכָּאָה אִיהוּ מָאן דְּאִסְתַּמַּר מִנֵּיהּ.</w:t>
      </w:r>
    </w:p>
    <w:p w:rsidR="006D2826" w:rsidRDefault="006D2826" w:rsidP="006D2826">
      <w:pPr>
        <w:pStyle w:val="NormalWeb"/>
        <w:rPr>
          <w:b w:val="0"/>
          <w:bCs w:val="0"/>
          <w:rtl/>
        </w:rPr>
      </w:pPr>
      <w:r>
        <w:rPr>
          <w:b w:val="0"/>
          <w:bCs w:val="0"/>
          <w:rtl/>
        </w:rPr>
        <w:t xml:space="preserve">בֵּיהּ רְשׁוּמִין דִּיּוֹקְנִין דְּחֵיוָון בִּישִׁין, דְּאִינוּן מַזָּל אַרְיֵה, מַזָּל שׁוֹר מוּעָד, מַזָּל נֶשֶׁר, מַזָּל אָדָם, כָּל נוּנֵי יַמָּא מְסָאֲבִין בֵּיהּ מְצוּיָירִין, וְעוֹפִין וְחֵיוָון דְּסִטְרָא דִמְסָאֲבוּ </w:t>
      </w:r>
      <w:r>
        <w:rPr>
          <w:rStyle w:val="a7"/>
          <w:b w:val="0"/>
          <w:bCs w:val="0"/>
          <w:rtl/>
        </w:rPr>
        <w:footnoteReference w:id="5509"/>
      </w:r>
      <w:r>
        <w:rPr>
          <w:b w:val="0"/>
          <w:bCs w:val="0"/>
          <w:rtl/>
        </w:rPr>
        <w:t xml:space="preserve">בֵּיהּ רְשִׁימִין וּמְצוּיָירִין, </w:t>
      </w:r>
      <w:r>
        <w:rPr>
          <w:rStyle w:val="a7"/>
          <w:b w:val="0"/>
          <w:bCs w:val="0"/>
          <w:rtl/>
        </w:rPr>
        <w:footnoteReference w:id="5510"/>
      </w:r>
      <w:r>
        <w:rPr>
          <w:b w:val="0"/>
          <w:bCs w:val="0"/>
          <w:rtl/>
        </w:rPr>
        <w:t xml:space="preserve">דְּכֻלְּהוּ מוּעָדִין לְקַלְקֵל, </w:t>
      </w:r>
      <w:r>
        <w:rPr>
          <w:rStyle w:val="a7"/>
          <w:b w:val="0"/>
          <w:bCs w:val="0"/>
          <w:rtl/>
        </w:rPr>
        <w:footnoteReference w:id="5511"/>
      </w:r>
      <w:r>
        <w:rPr>
          <w:b w:val="0"/>
          <w:bCs w:val="0"/>
          <w:rtl/>
        </w:rPr>
        <w:t xml:space="preserve">כַּמָּה שַׁרְבִיטִין וְנִצּוֹצִין אִזְדְּרִיקוּ מִנֵּיהּ עַל בְּנֵי נָשָׁא, וְאִינוּן נִשְׁמָתִין דְּחַיָּיבַיָּא, דְקָא מַרְכִּיבִין עַל בְּנֵי נָשָׁא, מִנְּהוֹן דְּכוּרִין מִנְּהוֹן נוּקְבִין, לְזִמְנִין מַרְכִּיבִין נוּקְבִין עַל דְּכוּרִין, לְזִמְנִין דְּכוּרִין עַל נוּקְבִין, </w:t>
      </w:r>
      <w:r>
        <w:rPr>
          <w:rStyle w:val="a7"/>
          <w:b w:val="0"/>
          <w:bCs w:val="0"/>
          <w:rtl/>
        </w:rPr>
        <w:footnoteReference w:id="5512"/>
      </w:r>
      <w:r>
        <w:rPr>
          <w:b w:val="0"/>
          <w:bCs w:val="0"/>
          <w:rtl/>
        </w:rPr>
        <w:t xml:space="preserve">כַּד אִזְדְּרִיקוּ לָא אִזְדְּרִיקוּ לַאֲתַר יְדִיעָא, אֶלָּא כָל חַד בַּאֲתַר דְּלָא מִינֵיהּ. </w:t>
      </w:r>
      <w:r>
        <w:rPr>
          <w:rStyle w:val="a7"/>
          <w:b w:val="0"/>
          <w:bCs w:val="0"/>
          <w:rtl/>
        </w:rPr>
        <w:footnoteReference w:id="5513"/>
      </w:r>
      <w:r>
        <w:rPr>
          <w:b w:val="0"/>
          <w:bCs w:val="0"/>
          <w:rtl/>
        </w:rPr>
        <w:t xml:space="preserve">וַוי לוֹן לְאִינוּן טִיפִּין, דְּאִינוּן נִצּוֹצִין וְשַׁרְבִיטִין אַעְרַעוּ בֵּינַיְיהוּ, אִלֵּין שַׁטְיָין דְּלָא מִסְתַּמְּרִין גַּרְמַיְיהוּ בְזִוּוּגָא דִלְהוֹן, מַרְכִּיבִין לוֹן בְּהוֹן, </w:t>
      </w:r>
      <w:r>
        <w:rPr>
          <w:rStyle w:val="a7"/>
          <w:b w:val="0"/>
          <w:bCs w:val="0"/>
          <w:rtl/>
        </w:rPr>
        <w:footnoteReference w:id="5514"/>
      </w:r>
      <w:r>
        <w:rPr>
          <w:b w:val="0"/>
          <w:bCs w:val="0"/>
          <w:rtl/>
        </w:rPr>
        <w:t>וְאִתְעֲבִיד אִילָנָא דְעִץ הַדַּעַת טוֹב וָרָע.</w:t>
      </w:r>
    </w:p>
    <w:p w:rsidR="006D2826" w:rsidRDefault="006D2826" w:rsidP="006D2826">
      <w:pPr>
        <w:pStyle w:val="NormalWeb"/>
        <w:rPr>
          <w:b w:val="0"/>
          <w:bCs w:val="0"/>
          <w:rtl/>
        </w:rPr>
      </w:pPr>
      <w:r>
        <w:rPr>
          <w:rStyle w:val="a7"/>
          <w:b w:val="0"/>
          <w:bCs w:val="0"/>
          <w:rtl/>
        </w:rPr>
        <w:footnoteReference w:id="5515"/>
      </w:r>
      <w:r>
        <w:rPr>
          <w:b w:val="0"/>
          <w:bCs w:val="0"/>
          <w:rtl/>
        </w:rPr>
        <w:t xml:space="preserve">נוּקְבָא אִית לֵיהּ דְּאִתְקְרִיאַת לַהַט הַחֶרֶב הַמִּתְהַפֶּכֶת, דְּכָל גִּלְגּוּלִין דְּנִשְׁמָתִין בֵּיהּ מִתְהַפְּכִין, לְזִמְנִין מַטֶּה לְנָחָשׁ, לְזִמְנִין נָחָשׁ לַמַּטֶּה, וְהָכִי מִתְהַפְּכָא דְּכוּרָא לְנוּקְבָא, נוּקְבָא לִדְכוּרָא, </w:t>
      </w:r>
      <w:r>
        <w:rPr>
          <w:rStyle w:val="a7"/>
          <w:b w:val="0"/>
          <w:bCs w:val="0"/>
          <w:rtl/>
        </w:rPr>
        <w:footnoteReference w:id="5516"/>
      </w:r>
      <w:r>
        <w:rPr>
          <w:b w:val="0"/>
          <w:bCs w:val="0"/>
          <w:rtl/>
        </w:rPr>
        <w:t xml:space="preserve">וְאִלֵּין דְּהָפְכִין לְשֻׁלְחָנָם גָּרְמִין הֲפוּכִין אִלֵּין. הֲפַכְפַּךְ דְּכֻלְּהוּ לַהַט הַחֶרֶב הַמִּתְהַפֶּכֶת מֵרָע לְטוֹב וּמִטָּב לְבִישׁ, </w:t>
      </w:r>
      <w:r>
        <w:rPr>
          <w:rStyle w:val="a7"/>
          <w:b w:val="0"/>
          <w:bCs w:val="0"/>
          <w:rtl/>
        </w:rPr>
        <w:footnoteReference w:id="5517"/>
      </w:r>
      <w:r>
        <w:rPr>
          <w:b w:val="0"/>
          <w:bCs w:val="0"/>
          <w:rtl/>
        </w:rPr>
        <w:t xml:space="preserve">וְהָכָא רָזָא דְצַדִּיק וְרַע לוֹ רָשָׁע וְטוֹב לוֹ, וְדָא אִיהוּ </w:t>
      </w:r>
      <w:r>
        <w:rPr>
          <w:rStyle w:val="a7"/>
          <w:b w:val="0"/>
          <w:bCs w:val="0"/>
          <w:rtl/>
        </w:rPr>
        <w:footnoteReference w:id="5518"/>
      </w:r>
      <w:r>
        <w:rPr>
          <w:b w:val="0"/>
          <w:bCs w:val="0"/>
          <w:rtl/>
        </w:rPr>
        <w:t xml:space="preserve">גוֹלֵל אוֹר מִפְּנֵי חֹשֶׁךְ וְחֹשֶׁךְ מִפְּנֵי אוֹר, מָאן דְּאַלִּים גָּבַר, כַּד אַלִּים נוּקְבָא עַל דְּכוּרָא בְגִלְגּוּלָא דִילֵיהּ לֵית לֵיהּ דִּיקְנָא, עָקָר הוּא, עוֹבָדוֹי כִּבְעִירָא, </w:t>
      </w:r>
      <w:r>
        <w:rPr>
          <w:rStyle w:val="a7"/>
          <w:b w:val="0"/>
          <w:bCs w:val="0"/>
          <w:rtl/>
        </w:rPr>
        <w:footnoteReference w:id="5519"/>
      </w:r>
      <w:r>
        <w:rPr>
          <w:b w:val="0"/>
          <w:bCs w:val="0"/>
          <w:rtl/>
        </w:rPr>
        <w:t>תּוֹעִבָה אִיהוּ.</w:t>
      </w:r>
    </w:p>
    <w:p w:rsidR="006D2826" w:rsidRDefault="006D2826" w:rsidP="006D2826">
      <w:pPr>
        <w:pStyle w:val="aa"/>
        <w:spacing w:after="40"/>
        <w:rPr>
          <w:rtl/>
        </w:rPr>
      </w:pPr>
      <w:r>
        <w:rPr>
          <w:rtl/>
        </w:rPr>
        <w:t xml:space="preserve">[תיקוני זוהר - דף קלב ע''א] </w:t>
      </w:r>
    </w:p>
    <w:p w:rsidR="006D2826" w:rsidRDefault="006D2826" w:rsidP="006D2826">
      <w:pPr>
        <w:pStyle w:val="NormalWeb"/>
        <w:rPr>
          <w:b w:val="0"/>
          <w:bCs w:val="0"/>
          <w:rtl/>
        </w:rPr>
      </w:pPr>
      <w:r>
        <w:rPr>
          <w:b w:val="0"/>
          <w:bCs w:val="0"/>
          <w:rtl/>
        </w:rPr>
        <w:t xml:space="preserve">וְהָכִי אִינוּן מִתְהַפְּכִין דַּרְגִּין מִדִּינָא לְרַחֲמֵי וּמֵרַחֲמֵי לְדִינָא, כְּגַוְונָא דְסִטְרָא דְּדַכְיוּ הָכִי מִתְהַפְּכִין מִסִּטְרָא דִמְסָאֲבוּ, </w:t>
      </w:r>
      <w:r>
        <w:rPr>
          <w:rStyle w:val="a7"/>
          <w:b w:val="0"/>
          <w:bCs w:val="0"/>
          <w:rtl/>
        </w:rPr>
        <w:footnoteReference w:id="5520"/>
      </w:r>
      <w:r>
        <w:rPr>
          <w:b w:val="0"/>
          <w:bCs w:val="0"/>
          <w:rtl/>
        </w:rPr>
        <w:t xml:space="preserve">אִם אַלִּים גָּבַר, וְהוּא יִהְיֶה פֶּרֶא אָדָם יָדוֹ בַכֹּל </w:t>
      </w:r>
      <w:r>
        <w:rPr>
          <w:b w:val="0"/>
          <w:sz w:val="20"/>
          <w:szCs w:val="23"/>
          <w:rtl/>
        </w:rPr>
        <w:t>(בראשית טז יב)</w:t>
      </w:r>
      <w:r>
        <w:rPr>
          <w:b w:val="0"/>
          <w:bCs w:val="0"/>
          <w:rtl/>
        </w:rPr>
        <w:t xml:space="preserve">, וְאִם אַלִּימָא נוּקְבָא יַד כֹּל בּוֹ, אִית שָׁלְטָנוּתָא לְבִישׁ וְאִית שָׁלְטָנוּתָא לְטָב, אִית שָׁלְטָנוּתָא דְשַׁלִּיט </w:t>
      </w:r>
      <w:r>
        <w:rPr>
          <w:b w:val="0"/>
          <w:sz w:val="20"/>
          <w:szCs w:val="23"/>
          <w:rtl/>
        </w:rPr>
        <w:t>(סליק)</w:t>
      </w:r>
      <w:r>
        <w:rPr>
          <w:b w:val="0"/>
          <w:bCs w:val="0"/>
          <w:rtl/>
        </w:rPr>
        <w:t xml:space="preserve"> דָּא עַל דָּא, וְאִית שָׁלְטָנוּתָא דְנִיאוּפִין, כַּד שַׁלִּיט זוֹנָה עֲלֵיהּ, </w:t>
      </w:r>
      <w:r>
        <w:rPr>
          <w:rStyle w:val="a7"/>
          <w:b w:val="0"/>
          <w:bCs w:val="0"/>
          <w:rtl/>
        </w:rPr>
        <w:footnoteReference w:id="5521"/>
      </w:r>
      <w:r>
        <w:rPr>
          <w:b w:val="0"/>
          <w:bCs w:val="0"/>
          <w:rtl/>
        </w:rPr>
        <w:t xml:space="preserve">כֻּלְּהוּ בְעִירָן אַתְיָין עֲלֵיהּ, כְּמָה דְאַשְׁכַּחְנָא בִּנְבוּכַדְנֶאצַּר, דְּאִתְּמַר בֵּיהּ </w:t>
      </w:r>
      <w:r>
        <w:rPr>
          <w:b w:val="0"/>
          <w:sz w:val="20"/>
          <w:szCs w:val="23"/>
          <w:rtl/>
        </w:rPr>
        <w:t>(דניאל ד כב)</w:t>
      </w:r>
      <w:r>
        <w:rPr>
          <w:b w:val="0"/>
          <w:bCs w:val="0"/>
          <w:rtl/>
        </w:rPr>
        <w:t xml:space="preserve"> וּמִבְּנֵי אֲינָשָׁא טְרִיד וְעִשְׂבָּא כְתוֹרִין לֵיהּ יְטַעֲמוּן </w:t>
      </w:r>
      <w:r>
        <w:rPr>
          <w:rStyle w:val="a7"/>
          <w:b w:val="0"/>
          <w:bCs w:val="0"/>
          <w:rtl/>
        </w:rPr>
        <w:footnoteReference w:id="5522"/>
      </w:r>
      <w:r>
        <w:rPr>
          <w:b w:val="0"/>
          <w:bCs w:val="0"/>
          <w:rtl/>
        </w:rPr>
        <w:t xml:space="preserve">עַד דְּשִׁבְעָה עִדָּנִין יַחְלְפוּן עֲלוֹהִי, דְאִינוּן שִׁבְעָה כֹּכְבֵי דִילֵיהּ, יִתְחַלְפוּן עֲלוֹהִי מִדְּכוּרִין לְנוּקְבִין, וּבְגִין דָּא כַּד </w:t>
      </w:r>
      <w:r>
        <w:rPr>
          <w:rStyle w:val="a7"/>
          <w:b w:val="0"/>
          <w:bCs w:val="0"/>
          <w:rtl/>
        </w:rPr>
        <w:footnoteReference w:id="5523"/>
      </w:r>
      <w:r>
        <w:rPr>
          <w:b w:val="0"/>
          <w:bCs w:val="0"/>
          <w:rtl/>
        </w:rPr>
        <w:t xml:space="preserve">גִּלְגּוּלָא דְנוּקְבָא קָא רְכִיבַת עֲלֵיהּ, עוֹבָדוֹי אִיהוּ כְּאִתְּתָא, </w:t>
      </w:r>
      <w:r>
        <w:rPr>
          <w:rStyle w:val="a7"/>
          <w:b w:val="0"/>
          <w:bCs w:val="0"/>
          <w:rtl/>
        </w:rPr>
        <w:footnoteReference w:id="5524"/>
      </w:r>
      <w:r>
        <w:rPr>
          <w:b w:val="0"/>
          <w:bCs w:val="0"/>
          <w:rtl/>
        </w:rPr>
        <w:t xml:space="preserve">כַּד מַלִּיל מַלִּיל בִּפְתִיחוּ דִיְדִין, וְקָלֵיהּ וְדִבּוּרֵיהּ וְכָל עוֹבָדוֹי </w:t>
      </w:r>
      <w:r>
        <w:rPr>
          <w:b w:val="0"/>
          <w:sz w:val="20"/>
          <w:szCs w:val="23"/>
          <w:rtl/>
        </w:rPr>
        <w:t xml:space="preserve">(דף קלב ע''א) </w:t>
      </w:r>
      <w:r>
        <w:rPr>
          <w:b w:val="0"/>
          <w:bCs w:val="0"/>
          <w:rtl/>
        </w:rPr>
        <w:t xml:space="preserve">כְּאִתְּתָא, </w:t>
      </w:r>
      <w:r>
        <w:rPr>
          <w:rStyle w:val="a7"/>
          <w:b w:val="0"/>
          <w:bCs w:val="0"/>
          <w:rtl/>
        </w:rPr>
        <w:footnoteReference w:id="5525"/>
      </w:r>
      <w:r>
        <w:rPr>
          <w:b w:val="0"/>
          <w:bCs w:val="0"/>
          <w:rtl/>
        </w:rPr>
        <w:t>תּוֹעִבָה אִיהוּ, וּבְגִין דָּא מְבָרְכִין יִשְׂרָאֵל עַמָּא קַדִּישָׁא, בָּרוּךְ אַתָּה יהו''ה אלהינ''ו מֶלֶךְ הָעוֹלָם שֶׁלֹּא עָשַׂנִי אִשָּׁה.</w:t>
      </w:r>
    </w:p>
    <w:p w:rsidR="006D2826" w:rsidRDefault="006D2826" w:rsidP="006D2826">
      <w:pPr>
        <w:pStyle w:val="NormalWeb"/>
        <w:rPr>
          <w:b w:val="0"/>
          <w:bCs w:val="0"/>
          <w:rtl/>
        </w:rPr>
      </w:pPr>
      <w:r>
        <w:rPr>
          <w:b w:val="0"/>
          <w:bCs w:val="0"/>
          <w:rtl/>
        </w:rPr>
        <w:t xml:space="preserve">אָמַר לֵיהּ רַבִּי אֶלְעָזָר, אַבָּא, שְׁמַעְנָא דְאִית נַפְשָׁא דְמַרְכִּיבִין לָהּ בְּכַלְבָּא, וּבְגִין דָּא אָמַר דָּוִד </w:t>
      </w:r>
      <w:r>
        <w:rPr>
          <w:b w:val="0"/>
          <w:sz w:val="20"/>
          <w:szCs w:val="23"/>
          <w:rtl/>
        </w:rPr>
        <w:t>(תהלים כב כא)</w:t>
      </w:r>
      <w:r>
        <w:rPr>
          <w:b w:val="0"/>
          <w:bCs w:val="0"/>
          <w:rtl/>
        </w:rPr>
        <w:t xml:space="preserve"> הַצִּילָה מֵחֶרֶב נַפְשִׁי מִיַּד כֶּלֶב יְחִידָתִי, מַאי יְחִידָתִי דָא נִשְׁמָתָא, וְכִי נִשְׁמָתָא אִתְרְכִיבַת בְּכֶלֶב, אָמַר לֵיהּ בְּרִי אִין, בְּהַהוּא עָרֵל נָחָשׁ הַקַּדְמוֹנִי דְפַתִּי לְחַוָּה וְלִבְנֵי נָשָׁא, דָא אִיהוּ כֶּלֶב, וְדָא יֵצֶר הָרָע דְּאָתָא בְהַהוּא עָלְמָא מוּרְכָּב עֲלֵיהּ לְקַבְּלָא עוֹנְשֵׁיהּ.</w:t>
      </w:r>
    </w:p>
    <w:p w:rsidR="006D2826" w:rsidRDefault="006D2826" w:rsidP="006D2826">
      <w:pPr>
        <w:pStyle w:val="NormalWeb"/>
        <w:rPr>
          <w:b w:val="0"/>
          <w:bCs w:val="0"/>
          <w:rtl/>
        </w:rPr>
      </w:pPr>
      <w:r>
        <w:rPr>
          <w:b w:val="0"/>
          <w:bCs w:val="0"/>
          <w:rtl/>
        </w:rPr>
        <w:t xml:space="preserve">וְאִית נִשְׁמָתִין אָחֳרָנִין דְּקָא אַתְיָין בְּגִלְגּוּלָא בְכַמָּה חֵיוָן, דְּאִתְקְרִיאוּ מַזָּל אַרְיֵה, מַזָּל שׁוֹר, מַזָּל נֶשֶׁר, מַזָּל בְּתוּלָה, מַזָּל עַקְרָב, מַזָּל טָלֶה, מַזָּל מַאֲדִים, מַזָּל נָחָשׁ, מַזָּל דָּגִים, כְּמָה דְאַשְׁכַּחְנָא בִתְרֵין עֲשַׂר שִׁבְטִין דְּאִתְמְתִילוּ לְחֵיוָון, דָּא לְאַרְיֵה גּוּר אַרְיֵה יְהוּדָה </w:t>
      </w:r>
      <w:r>
        <w:rPr>
          <w:b w:val="0"/>
          <w:sz w:val="20"/>
          <w:szCs w:val="23"/>
          <w:rtl/>
        </w:rPr>
        <w:t>(בראשית מט ט)</w:t>
      </w:r>
      <w:r>
        <w:rPr>
          <w:b w:val="0"/>
          <w:bCs w:val="0"/>
          <w:rtl/>
        </w:rPr>
        <w:t>, יוֹסֵף בְּכוֹר שׁוֹרוֹ, יִשָּׂשכָר חֲמוֹר גָּרֶם, יְהִי דָן נָחָשׁ עֲלֵי דֶרֶךְ, בִּנְיָמִין זְאֵב יִטְרָף, וּבְרִי כָּל דָּא רָזָא דְגִלְגּוּלָא דְּיֵצֶר הָרָע, אִית לְמָאן דְּאִיהוּ דַמְיָא לְאַרְיֵה, וְאִית לְמָאן דְּאִיהוּ דַמְיָא לְחִוְיָא, וְאִית לְמָאן דְּאִיהוּ דַמְיָא כַּחֲמוֹר, לְכָל בִּרְיָין אִשְׁתַּנִּי כְּפוּם עוֹבָדֵיהוֹן, וּכְפוּם שַׁעְתָּא דְאִתְעֲבִידוּ בָהּ.</w:t>
      </w:r>
    </w:p>
    <w:p w:rsidR="006D2826" w:rsidRDefault="006D2826" w:rsidP="006D2826">
      <w:pPr>
        <w:pStyle w:val="NormalWeb"/>
        <w:rPr>
          <w:b w:val="0"/>
          <w:bCs w:val="0"/>
          <w:rtl/>
        </w:rPr>
      </w:pPr>
      <w:r>
        <w:rPr>
          <w:rStyle w:val="a7"/>
          <w:b w:val="0"/>
          <w:bCs w:val="0"/>
          <w:rtl/>
        </w:rPr>
        <w:footnoteReference w:id="5526"/>
      </w:r>
      <w:r>
        <w:rPr>
          <w:b w:val="0"/>
          <w:bCs w:val="0"/>
          <w:rtl/>
        </w:rPr>
        <w:t xml:space="preserve">וְעִם כָּל דָּא זַכָּאָה נִשְׁמָתָא דְשַׁלִּיט עֲלֵיהּ וְרָכִיב עֲלֵיהּ, כְּבַר נַשׁ דְּרָכִיב עַל סוּסְיָא אוֹ עַל חֲמָרֵיהּ, וַוי לֵיהּ לְמָאן דְּחִוְיָא שַׁלִּיט עֲלֵיהּ, הַאי אִתְקְרֵי רָשָׁע גָּמוּר, וּמָאן דְּאִיהוּ שַׁלִּיט עֲלֵיהּ אִיהוּ אִתְקְרֵי צַדִּיק גָּמוּר, וַעֲלֵיהּ אִתְּמַר </w:t>
      </w:r>
      <w:r>
        <w:rPr>
          <w:b w:val="0"/>
          <w:sz w:val="20"/>
          <w:szCs w:val="23"/>
          <w:rtl/>
        </w:rPr>
        <w:t>(ישעיה מג ד)</w:t>
      </w:r>
      <w:r>
        <w:rPr>
          <w:b w:val="0"/>
          <w:bCs w:val="0"/>
          <w:rtl/>
        </w:rPr>
        <w:t xml:space="preserve"> וְאֶתֵּן אָדָם תַּחְתֶּךָ, אָדָם בְּלִיַּעַל אִישׁ אָוְן, וּלְאֻמִּים תַּחַת נַפְשֶׁךָ </w:t>
      </w:r>
      <w:r>
        <w:rPr>
          <w:b w:val="0"/>
          <w:sz w:val="20"/>
          <w:szCs w:val="23"/>
          <w:rtl/>
        </w:rPr>
        <w:t>(שם)</w:t>
      </w:r>
      <w:r>
        <w:rPr>
          <w:b w:val="0"/>
          <w:bCs w:val="0"/>
          <w:rtl/>
        </w:rPr>
        <w:t xml:space="preserve">, </w:t>
      </w:r>
      <w:r>
        <w:rPr>
          <w:rStyle w:val="a7"/>
          <w:b w:val="0"/>
          <w:bCs w:val="0"/>
          <w:rtl/>
        </w:rPr>
        <w:footnoteReference w:id="5527"/>
      </w:r>
      <w:r>
        <w:rPr>
          <w:b w:val="0"/>
          <w:bCs w:val="0"/>
          <w:rtl/>
        </w:rPr>
        <w:t>דְּכַד בַּר נַשׁ אִיהוּ שַׁלִּיט עַל יִצְרֵיהּ, הָכִי אִיהוּ שַׁלִּיט עַל כָּל שָׂנְאוֹי, וְאִם יִצְרֵיהּ שַׁלִּיט עֲלֵיהּ שָׂנְאוֹי שָׁלְטִין עֲלֵיהּ.</w:t>
      </w:r>
    </w:p>
    <w:p w:rsidR="006D2826" w:rsidRDefault="006D2826" w:rsidP="006D2826">
      <w:pPr>
        <w:pStyle w:val="NormalWeb"/>
        <w:rPr>
          <w:b w:val="0"/>
          <w:bCs w:val="0"/>
          <w:rtl/>
        </w:rPr>
      </w:pPr>
      <w:r>
        <w:rPr>
          <w:rStyle w:val="a7"/>
          <w:b w:val="0"/>
          <w:bCs w:val="0"/>
          <w:rtl/>
        </w:rPr>
        <w:footnoteReference w:id="5528"/>
      </w:r>
      <w:r>
        <w:rPr>
          <w:b w:val="0"/>
          <w:bCs w:val="0"/>
          <w:rtl/>
        </w:rPr>
        <w:t xml:space="preserve">וּבְרִי אַשְׁכַּחְנָא בְּמַתְנִיתִין, בְּרָזָא דְשִׁרְטוּטִין וְצִיּוּרִין וְגַוָּונִין, בְּסִתְרָא דְרָזִין טְמִירָא דִטְמִירִין, </w:t>
      </w:r>
      <w:r>
        <w:rPr>
          <w:rStyle w:val="a7"/>
          <w:b w:val="0"/>
          <w:bCs w:val="0"/>
          <w:rtl/>
        </w:rPr>
        <w:footnoteReference w:id="5529"/>
      </w:r>
      <w:r>
        <w:rPr>
          <w:b w:val="0"/>
          <w:bCs w:val="0"/>
          <w:rtl/>
        </w:rPr>
        <w:t xml:space="preserve">דְּאָדָם דִּבְּרִיאָה דְאִיהוּ קַדְמוֹן לְכָל קְדוּמִים רָכִיב בְּאַרְיֵה, סָטָא לִימִינָא, וְעָבִיד שִׁרְטוּטִין, דְּאִינוּן אוֹרְחִין וּשְׁבִילִין דְּיַמָּא דְאוֹרַיְיתָא, דַּעֲלַיְיהוּ אִתְּמַר </w:t>
      </w:r>
      <w:r>
        <w:rPr>
          <w:b w:val="0"/>
          <w:sz w:val="20"/>
          <w:szCs w:val="23"/>
          <w:rtl/>
        </w:rPr>
        <w:t>(שם מג טז)</w:t>
      </w:r>
      <w:r>
        <w:rPr>
          <w:b w:val="0"/>
          <w:bCs w:val="0"/>
          <w:rtl/>
        </w:rPr>
        <w:t xml:space="preserve"> </w:t>
      </w:r>
      <w:r>
        <w:rPr>
          <w:rStyle w:val="a7"/>
          <w:b w:val="0"/>
          <w:bCs w:val="0"/>
          <w:rtl/>
        </w:rPr>
        <w:footnoteReference w:id="5530"/>
      </w:r>
      <w:r>
        <w:rPr>
          <w:b w:val="0"/>
          <w:bCs w:val="0"/>
          <w:rtl/>
        </w:rPr>
        <w:t xml:space="preserve">הַנּוֹתֵן בַּיָּם דָּרֶךְ וּבְמַיִם עַזָה נְתִיבָה, </w:t>
      </w:r>
      <w:r>
        <w:rPr>
          <w:rStyle w:val="a7"/>
          <w:b w:val="0"/>
          <w:bCs w:val="0"/>
          <w:rtl/>
        </w:rPr>
        <w:footnoteReference w:id="5531"/>
      </w:r>
      <w:r>
        <w:rPr>
          <w:b w:val="0"/>
          <w:bCs w:val="0"/>
          <w:rtl/>
        </w:rPr>
        <w:t xml:space="preserve">אָדָם דִּיצִירָה רָכִיב בְּשׁוֹר וְסָטָא לִשְׂמָאלָא, וְנָטִיל אֶשָּׁא בְּפִימֵיהּ וְצִיֵּיר צִיּוּרִין, אָדָם דַּעֲשִׂיָּה רָכִיב בְּנֶשֶׁר וְנָטִיל רוּחָא בְּפוּמוֹי וְסָטָא לְמִזְרָח בְּאַנְפּוֹי, וְעָבַד גַּוָּונִין בְּעַיְינִין בְּאַנְפִּין. </w:t>
      </w:r>
      <w:r>
        <w:rPr>
          <w:rStyle w:val="a7"/>
          <w:b w:val="0"/>
          <w:bCs w:val="0"/>
          <w:rtl/>
        </w:rPr>
        <w:footnoteReference w:id="5532"/>
      </w:r>
      <w:r>
        <w:rPr>
          <w:b w:val="0"/>
          <w:bCs w:val="0"/>
          <w:rtl/>
        </w:rPr>
        <w:t xml:space="preserve">אָמַר לֵיהּ מָאן אָדָם דִּבְּרִיאָה וִיצִירָה וַעֲשִׂיָּה הָכָא, </w:t>
      </w:r>
      <w:r>
        <w:rPr>
          <w:rStyle w:val="a7"/>
          <w:b w:val="0"/>
          <w:bCs w:val="0"/>
          <w:rtl/>
        </w:rPr>
        <w:footnoteReference w:id="5533"/>
      </w:r>
      <w:r>
        <w:rPr>
          <w:b w:val="0"/>
          <w:bCs w:val="0"/>
          <w:rtl/>
        </w:rPr>
        <w:t xml:space="preserve">אָמַר לֵיהּ בְּרִי הַאי אִיהוּ דְאִתְּמַר בֵּיהּ וְאָדָם אַיִן, וּמוֹתַר הָאָדָם מִן הַבְּהֵמָה אָיִן </w:t>
      </w:r>
      <w:r>
        <w:rPr>
          <w:b w:val="0"/>
          <w:sz w:val="20"/>
          <w:szCs w:val="23"/>
          <w:rtl/>
        </w:rPr>
        <w:t>(קהלת ג יט)</w:t>
      </w:r>
      <w:r>
        <w:rPr>
          <w:b w:val="0"/>
          <w:bCs w:val="0"/>
          <w:rtl/>
        </w:rPr>
        <w:t xml:space="preserve">, וְאִיהוּ אָדָם דִּבְּרִיאָה, דִבְהַאי בָּרָא עִלַּת הָעִלּוֹת כָּל בִּרְיָין, </w:t>
      </w:r>
      <w:r>
        <w:rPr>
          <w:rStyle w:val="a7"/>
          <w:b w:val="0"/>
          <w:bCs w:val="0"/>
          <w:rtl/>
        </w:rPr>
        <w:footnoteReference w:id="5534"/>
      </w:r>
      <w:r>
        <w:rPr>
          <w:b w:val="0"/>
          <w:bCs w:val="0"/>
          <w:rtl/>
        </w:rPr>
        <w:t xml:space="preserve">אָדָם דִּיצִירָה חָכְמָה, עֲלֵיהּ אִתְּמַר </w:t>
      </w:r>
      <w:r>
        <w:rPr>
          <w:b w:val="0"/>
          <w:sz w:val="20"/>
          <w:szCs w:val="23"/>
          <w:rtl/>
        </w:rPr>
        <w:t>(איוב כח כ)</w:t>
      </w:r>
      <w:r>
        <w:rPr>
          <w:b w:val="0"/>
          <w:bCs w:val="0"/>
          <w:rtl/>
        </w:rPr>
        <w:t xml:space="preserve"> וְהַחָכְמָה מֵאַיִן תִּמָּצֵא, דְאִיהוּ י' מֵאַיִן, דְּבֵיהּ צִיֵּיר כָּל צִיּוּרִין דְּעָלְמָא, בֵּיהּ צִיֵּיר עַיְינִין וְחוֹטָמָא נוּקְבִין דְּחוֹטָמָא נוּקְבִין דְּאוּדְנִין וּפִימָא, כָּל נְקוּדִין וְצִיּוּרִין דְּאִינוּן עִזְקָא לְאָת י', וְאִיהִי בְהוֹן כְּאַבְנָא בְרֵישׁ עִזְקָא, אָדָם דַּעֲשִׂיָּה דָא ן' מֵאַיִן, בִּינָה, אִיהִי אֵם כָּל חָי, מַעֲשֵׂה בְרֵאשִׁית, בָּהּ אִתְעֲבִידוּ כָּל עוֹבָדִין דְּעוֹבָדָא דִבְּרֵאשִׁית, וְגַוָּונִין.</w:t>
      </w:r>
    </w:p>
    <w:p w:rsidR="006D2826" w:rsidRDefault="006D2826" w:rsidP="006D2826">
      <w:pPr>
        <w:pStyle w:val="NormalWeb"/>
        <w:rPr>
          <w:b w:val="0"/>
          <w:bCs w:val="0"/>
          <w:rtl/>
        </w:rPr>
      </w:pPr>
      <w:r>
        <w:rPr>
          <w:rStyle w:val="a7"/>
          <w:b w:val="0"/>
          <w:bCs w:val="0"/>
          <w:rtl/>
        </w:rPr>
        <w:footnoteReference w:id="5535"/>
      </w:r>
      <w:r>
        <w:rPr>
          <w:b w:val="0"/>
          <w:bCs w:val="0"/>
          <w:rtl/>
        </w:rPr>
        <w:t xml:space="preserve">אַרְיֵה דְבֵיהּ עָבִיד שִׁרְטוּטִין, דָּא חֶסֶד יְמִינָא, שׁוֹר דְּבֵיהּ צִיֵּיר צִיּוּרִין, דָּא גְבוּרָה, נֶשֶׁר בְּאֶמְצָעִיתָא, דְבָהּ אִשְׁתְּמוֹדְעוּ כָּל גַּוָּונִין, וְדָא תִּפְאֶרֶת, </w:t>
      </w:r>
      <w:r>
        <w:rPr>
          <w:rStyle w:val="a7"/>
          <w:b w:val="0"/>
          <w:bCs w:val="0"/>
          <w:rtl/>
        </w:rPr>
        <w:footnoteReference w:id="5536"/>
      </w:r>
      <w:r>
        <w:rPr>
          <w:b w:val="0"/>
          <w:bCs w:val="0"/>
          <w:rtl/>
        </w:rPr>
        <w:t xml:space="preserve">שַׁפִּירוּ דְכֹלָּא, </w:t>
      </w:r>
      <w:r>
        <w:rPr>
          <w:rStyle w:val="a7"/>
          <w:b w:val="0"/>
          <w:bCs w:val="0"/>
          <w:rtl/>
        </w:rPr>
        <w:footnoteReference w:id="5537"/>
      </w:r>
      <w:r>
        <w:rPr>
          <w:b w:val="0"/>
          <w:bCs w:val="0"/>
          <w:rtl/>
        </w:rPr>
        <w:t xml:space="preserve">דְכָל גַּוָּונִין נָהֲרִין בֵּיהּ, </w:t>
      </w:r>
      <w:r>
        <w:rPr>
          <w:rStyle w:val="a7"/>
          <w:b w:val="0"/>
          <w:bCs w:val="0"/>
          <w:rtl/>
        </w:rPr>
        <w:footnoteReference w:id="5538"/>
      </w:r>
      <w:r>
        <w:rPr>
          <w:b w:val="0"/>
          <w:bCs w:val="0"/>
          <w:rtl/>
        </w:rPr>
        <w:t>וְנֶצַח הוֹד יְסוֹד אִינוּן לָקֳבֵל תְּלַת אֲבָהָן.</w:t>
      </w:r>
    </w:p>
    <w:p w:rsidR="006D2826" w:rsidRDefault="006D2826" w:rsidP="006D2826">
      <w:pPr>
        <w:pStyle w:val="aa"/>
        <w:spacing w:after="40"/>
        <w:rPr>
          <w:rtl/>
        </w:rPr>
      </w:pPr>
      <w:r>
        <w:rPr>
          <w:rtl/>
        </w:rPr>
        <w:t xml:space="preserve">[תיקוני זוהר - דף קלב ע''ב] </w:t>
      </w:r>
    </w:p>
    <w:p w:rsidR="006D2826" w:rsidRDefault="006D2826" w:rsidP="006D2826">
      <w:pPr>
        <w:pStyle w:val="NormalWeb"/>
        <w:rPr>
          <w:b w:val="0"/>
          <w:bCs w:val="0"/>
          <w:rtl/>
        </w:rPr>
      </w:pPr>
      <w:r>
        <w:rPr>
          <w:b w:val="0"/>
          <w:bCs w:val="0"/>
          <w:rtl/>
        </w:rPr>
        <w:t xml:space="preserve">כָּל שִׁרְטוּטִין וְצִיּוּרִין וְעוֹבָדִין, אִינוּן אִתְחַזְיָין בִּשְׁכִינְתָּא תַּתָּאָה, דְּאִיהִי דְמוּת אָדָם, </w:t>
      </w:r>
      <w:r>
        <w:rPr>
          <w:rStyle w:val="a7"/>
          <w:b w:val="0"/>
          <w:bCs w:val="0"/>
          <w:rtl/>
        </w:rPr>
        <w:footnoteReference w:id="5539"/>
      </w:r>
      <w:r>
        <w:rPr>
          <w:b w:val="0"/>
          <w:bCs w:val="0"/>
          <w:rtl/>
        </w:rPr>
        <w:t xml:space="preserve">וַעֲלָהּ אִתְּמַר </w:t>
      </w:r>
      <w:r>
        <w:rPr>
          <w:b w:val="0"/>
          <w:sz w:val="20"/>
          <w:szCs w:val="23"/>
          <w:rtl/>
        </w:rPr>
        <w:t>(הושע יב יא)</w:t>
      </w:r>
      <w:r>
        <w:rPr>
          <w:b w:val="0"/>
          <w:bCs w:val="0"/>
          <w:rtl/>
        </w:rPr>
        <w:t xml:space="preserve"> וּבְיַד הַנְּבִיאִים אֲדַמֶּה, כֹּלָּא אִתְחֲזִי בָּהּ לְתַתָּאָה, וְלֵית בַּר נַשׁ יָכִיל לְמִנְדַּע וּלְאִסְתַּכָּלָא בְּשִׁרְטוּטִין וְצִיּוּרִין וְגַוָּונִין דִּלְעִילָא אֶלָּא בָּהּ, </w:t>
      </w:r>
      <w:r>
        <w:rPr>
          <w:rStyle w:val="a7"/>
          <w:b w:val="0"/>
          <w:bCs w:val="0"/>
          <w:rtl/>
        </w:rPr>
        <w:footnoteReference w:id="5540"/>
      </w:r>
      <w:r>
        <w:rPr>
          <w:b w:val="0"/>
          <w:bCs w:val="0"/>
          <w:rtl/>
        </w:rPr>
        <w:t xml:space="preserve">וּבְגִינָהּ אִתְּמַר </w:t>
      </w:r>
      <w:r>
        <w:rPr>
          <w:b w:val="0"/>
          <w:sz w:val="20"/>
          <w:szCs w:val="23"/>
          <w:rtl/>
        </w:rPr>
        <w:t>(שמות לג כג)</w:t>
      </w:r>
      <w:r>
        <w:rPr>
          <w:b w:val="0"/>
          <w:bCs w:val="0"/>
          <w:rtl/>
        </w:rPr>
        <w:t xml:space="preserve"> וְרָאִיתָ אֶת אֲחוֹרָי, אֲבָל לְעִילָא מִינָהּ וּפָנַי לֹא יֵרָאוּ </w:t>
      </w:r>
      <w:r>
        <w:rPr>
          <w:b w:val="0"/>
          <w:sz w:val="20"/>
          <w:szCs w:val="23"/>
          <w:rtl/>
        </w:rPr>
        <w:t>(שם)</w:t>
      </w:r>
      <w:r>
        <w:rPr>
          <w:b w:val="0"/>
          <w:bCs w:val="0"/>
          <w:rtl/>
        </w:rPr>
        <w:t xml:space="preserve">, דְלֵית בִּרְיָה דִיְכִילָא לְאִסְתַּכָּלָא תַּמָּן, בִּתְקִיפוּ דְצִחְצוּחִים, וּנְהוֹרָא דְגַוָּונִין, דַּעֲלַיְיהוּ אִתְּמַר </w:t>
      </w:r>
      <w:r>
        <w:rPr>
          <w:b w:val="0"/>
          <w:sz w:val="20"/>
          <w:szCs w:val="23"/>
          <w:rtl/>
        </w:rPr>
        <w:t>(דף קלב ע''ב) (שם כ)</w:t>
      </w:r>
      <w:r>
        <w:rPr>
          <w:b w:val="0"/>
          <w:bCs w:val="0"/>
          <w:rtl/>
        </w:rPr>
        <w:t xml:space="preserve"> כִּי לֹא יִרְאַנִי הָאָדָם וָחָי, וְכִי בְאַנְפּוֹי דְּמֹשֶׁה לָא הֲווֹ יָכְלִין לְאִסְתַּכְּלָא, כָּל שֶׁכֵּן בְּעַמּוּדָא דְאֶמְצָעִיתָא, דְאִיהוּ כְלִיל כָּל שִׁרְטוּטִין וְצִיּוּרִין וְגַוָּונִין, וּבֵיהּ נָהֲרִין כֻּלְּהוּ, וְאִיהוּ כְּלִיל בְּכֻלְּהוּ </w:t>
      </w:r>
      <w:r>
        <w:rPr>
          <w:b w:val="0"/>
          <w:sz w:val="20"/>
          <w:szCs w:val="23"/>
          <w:rtl/>
        </w:rPr>
        <w:t>(כלל דכלהו)</w:t>
      </w:r>
      <w:r>
        <w:rPr>
          <w:b w:val="0"/>
          <w:bCs w:val="0"/>
          <w:rtl/>
        </w:rPr>
        <w:t>.</w:t>
      </w:r>
    </w:p>
    <w:p w:rsidR="006D2826" w:rsidRDefault="006D2826" w:rsidP="006D2826">
      <w:pPr>
        <w:pStyle w:val="NormalWeb"/>
        <w:rPr>
          <w:b w:val="0"/>
          <w:bCs w:val="0"/>
          <w:rtl/>
        </w:rPr>
      </w:pPr>
      <w:r>
        <w:rPr>
          <w:b w:val="0"/>
          <w:bCs w:val="0"/>
          <w:rtl/>
        </w:rPr>
        <w:t xml:space="preserve">וּבְגִין דָּא אִתְקְרֵי ש, כְּלִיל תְּלַת עַנְפִין דְּאִינוּן תְּלַת אֲבָהָן, וְדָא אִיהוּ רָזָא וְשָׁכַבְתִּי עִם אֲבוֹתַי </w:t>
      </w:r>
      <w:r>
        <w:rPr>
          <w:b w:val="0"/>
          <w:sz w:val="20"/>
          <w:szCs w:val="23"/>
          <w:rtl/>
        </w:rPr>
        <w:t>(בראשית מז ל)</w:t>
      </w:r>
      <w:r>
        <w:rPr>
          <w:b w:val="0"/>
          <w:bCs w:val="0"/>
          <w:rtl/>
        </w:rPr>
        <w:t xml:space="preserve">, וּבְגִין דָּא מַלְכוּת אִיהִי בַּ''ת יְחִידָה, שַׁבָּ''ת, דְּבָהּ אִתְגַּלְיָין כָּל גַּוָּונִין וְשִׁרְטוּטִין וְצִיּוּרִין לִבְנֵי נָשָׁא, וּבָהּ יָכְלִין לְמִנְדַּע כָּל מַה דִּלְעִילָא, וְלָא בַאֲתַר אָחֳרָא, דְּאִיהִי כְּגַוְונָא דְאַסְפַּקְלַרְיָאָה, דְאִשְׁתְּמוֹדָע בָּהּ פַּרְצוּפִין דְּאַנְפִּין. </w:t>
      </w:r>
      <w:r>
        <w:rPr>
          <w:rStyle w:val="a7"/>
          <w:b w:val="0"/>
          <w:bCs w:val="0"/>
          <w:rtl/>
        </w:rPr>
        <w:footnoteReference w:id="5541"/>
      </w:r>
      <w:r>
        <w:rPr>
          <w:b w:val="0"/>
          <w:bCs w:val="0"/>
          <w:rtl/>
        </w:rPr>
        <w:t>שִׁרְטוּטִין דִיְדִין אִינוּן אִילָנָא דְחַיֵּי, כַּד אִינוּן פְּתִיחָן לְמֶעֱבַד טִיבוּ, כְּשׁוֹשַׁנָּה דְאִיהִי פְּתִיחָא לְקַבָּלָא, וּלְאַרָקָא רֵיחָא טָבָא.</w:t>
      </w:r>
    </w:p>
    <w:p w:rsidR="006D2826" w:rsidRDefault="006D2826" w:rsidP="006D2826">
      <w:pPr>
        <w:pStyle w:val="NormalWeb"/>
        <w:rPr>
          <w:b w:val="0"/>
          <w:bCs w:val="0"/>
          <w:rtl/>
        </w:rPr>
      </w:pPr>
      <w:r>
        <w:rPr>
          <w:b w:val="0"/>
          <w:bCs w:val="0"/>
          <w:rtl/>
        </w:rPr>
        <w:t xml:space="preserve">וְאִית עוֹבָדִין טָבִין דְּאִינוּן אִיבָּא לְאִילָנָא, כְּגוֹן צְדָקָה, וְכַמָּה פִּקּוּדִין דְּתַלְיָין בִּיְדִין לְמֶעֱבַד בְּהוֹן טִיבוּ, יְדִין דְּלָא אִתְחַזְיָין בְּהוֹן שִׁרְטוּטִין, לַאו אִיהוּ דִיּוֹקְנָא מֵאִילָנָא דְחַיֵּי, וְאִית שִׁרְטוּטִין בְּאֹרַח מֵישַׁר מִסִּטְרָא דְיִצְרָא טָבָא, וְאָחֳרָנִין מִסִּטְרָא דְיִצְרָא בִישָׁא, דְּאִלֵּין פְּתִיחִין לְטִיבוּ, וְאִלֵּין פְּתִיחִין לְבִישׁ, וְאִית דְּמוּרְכָּבִין אִלֵּין בְּאִלֵּין, אִילָנָא דְטוֹב עִם רָע, וְרָע עִם טוֹב, אִלֵּין אִינוּן דִּיְדֵיהוֹן זִמְנִין עָבְדִין טָב וְזִמְנִין עָבְדִין בִּישׁ, יְדַיִן דְּעָבְדִין טִיבוּ כָּל יוֹמוֹי, אִלֵּין אִינוּן מֵאִילָנָא דְחַיֵּי, וְאִלֵּין דְּעָבְדִין טוֹב וָרָע, אִלֵּין אִינוּן מֵאִילָנָא דְטוֹב וָרָע, וִידַיִן דְּכָל יוֹמוֹי עָבְדִין בְּהוֹן עוֹבָדִין בִּישִׁין, דָּא אִיהוּ מֵאִילָנָא דְאִתְּמַר בֵּיהּ </w:t>
      </w:r>
      <w:r>
        <w:rPr>
          <w:b w:val="0"/>
          <w:sz w:val="20"/>
          <w:szCs w:val="23"/>
          <w:rtl/>
        </w:rPr>
        <w:t>(ישעיה ה ב)</w:t>
      </w:r>
      <w:r>
        <w:rPr>
          <w:b w:val="0"/>
          <w:bCs w:val="0"/>
          <w:rtl/>
        </w:rPr>
        <w:t xml:space="preserve"> וַיְקַו לַעֲשׂוֹת עֲנָבִים וַיַּעַשׂ בְּאוּשִׁים, וְאִית אִילָנָא דְלָא עָבִיד פֵּירִין, וְאִיהוּ עָקָר, אִלֵּין אִינוּן דְּלֵית בְּהוֹן עוֹבָדִין טָבִין, וּבְגִין דָּא אָמְרוּ מָארֵי מַתְנִיתִין לֹא הַמֶּדְרָשׁ עִקָּר אֶלָּא הַמַּעֲשֶׂה הוּא הָעִקָּר, וּבְגִין דָּא עִקָּרָא דְשִׁרְטוּטִין וְצִיּוּרִין וְגַוָּונִין אִיהוּ עוֹבָדָא.</w:t>
      </w:r>
    </w:p>
    <w:p w:rsidR="006D2826" w:rsidRDefault="006D2826" w:rsidP="006D2826">
      <w:pPr>
        <w:pStyle w:val="NormalWeb"/>
        <w:rPr>
          <w:b w:val="0"/>
          <w:bCs w:val="0"/>
          <w:rtl/>
        </w:rPr>
      </w:pPr>
      <w:r>
        <w:rPr>
          <w:rStyle w:val="a7"/>
          <w:b w:val="0"/>
          <w:bCs w:val="0"/>
          <w:rtl/>
        </w:rPr>
        <w:footnoteReference w:id="5542"/>
      </w:r>
      <w:r>
        <w:rPr>
          <w:b w:val="0"/>
          <w:bCs w:val="0"/>
          <w:rtl/>
        </w:rPr>
        <w:t xml:space="preserve">בַּת עַיִן אִיהִי אַסְפַּקְלַרְיָאָה, אַף עַל גַּב דְּאִיהִי אוּכְמָא, בָּהּ אִתְחַזְיָין כָּל פַּרְצוּפִין וְגַוָּונִין דְּאַנְפּוֹי דְּבַר נַשׁ, כַּד סָתִים בַּר נַשׁ עִינָא אִיהוּ מַחֲשָׁבָה סְתִימָא, א קָמֵ''ץ אִיהוּ, קָמֵ''ץ סָתִים, עִינָא אִיהוּ י' בְּעִגּוּלָא דִילֵיהּ, ו' בְּאוּרְכָא דִילֵיהּ, כַּד אִתְפַּתַּח אִתְפַּתַּח בְּה' תַּתָּאָה, כַּד נָהִיר נָהִיר בְּה' עִלָּאָה, בְּהַהוּא זִמְנָא דְאִתְפַּתַּח בְּה' עִלָּאָה </w:t>
      </w:r>
      <w:r>
        <w:rPr>
          <w:rStyle w:val="a7"/>
          <w:b w:val="0"/>
          <w:bCs w:val="0"/>
          <w:rtl/>
        </w:rPr>
        <w:footnoteReference w:id="5543"/>
      </w:r>
      <w:r>
        <w:rPr>
          <w:b w:val="0"/>
          <w:bCs w:val="0"/>
          <w:rtl/>
        </w:rPr>
        <w:t xml:space="preserve">אִתְּמַר </w:t>
      </w:r>
      <w:r>
        <w:rPr>
          <w:rStyle w:val="Char"/>
          <w:rtl/>
        </w:rPr>
        <w:t xml:space="preserve">בְּעִינָא </w:t>
      </w:r>
      <w:r>
        <w:rPr>
          <w:b w:val="0"/>
          <w:sz w:val="20"/>
          <w:szCs w:val="23"/>
          <w:rtl/>
        </w:rPr>
        <w:t>(יחזקאל א א)</w:t>
      </w:r>
      <w:r>
        <w:rPr>
          <w:b w:val="0"/>
          <w:bCs w:val="0"/>
          <w:rtl/>
        </w:rPr>
        <w:t xml:space="preserve"> נִפְתְּחוּ הַשָּׁמַיִם וָאֶרְאֶה מַרְאוֹת אלהי''ם, דְּאִינוּן חָמֵשׁ אוֹר דְּעוֹבָדָא דִבְּרֵאשִׁית, דִּכְלִילָן בְּה' עִלָּאָה, חָמֵשׁ אוֹר דְּנָהֲרִין בְּחָמֵשׁ גַּוָּונִין, שַׁבְּתַא''י פַּתְיָא אוּכְמָא, כָל גַּוָּונִין אִתְחַשְׁכָאן בֵּיהּ, </w:t>
      </w:r>
      <w:r>
        <w:rPr>
          <w:rStyle w:val="a7"/>
          <w:b w:val="0"/>
          <w:bCs w:val="0"/>
          <w:rtl/>
        </w:rPr>
        <w:footnoteReference w:id="5544"/>
      </w:r>
      <w:r>
        <w:rPr>
          <w:b w:val="0"/>
          <w:bCs w:val="0"/>
          <w:rtl/>
        </w:rPr>
        <w:t xml:space="preserve">אִיהוּ גַוָּון גָּחוֹן דְּחִוְיָא, דְאִתְּמַר בֵּיהּ </w:t>
      </w:r>
      <w:r>
        <w:rPr>
          <w:b w:val="0"/>
          <w:sz w:val="20"/>
          <w:szCs w:val="23"/>
          <w:rtl/>
        </w:rPr>
        <w:t>(בראשית ג יד)</w:t>
      </w:r>
      <w:r>
        <w:rPr>
          <w:b w:val="0"/>
          <w:bCs w:val="0"/>
          <w:rtl/>
        </w:rPr>
        <w:t xml:space="preserve"> עַל גְּחוֹנְךָ תֵלֵךְ וְעָפָר תֹּאכַל כָּל יְמֵי חַיֶּיךָ, עָפָר אִיהוּ קַר וְיָבֵשׁ, הָכִי טְחוֹל קַר וְיָבֵשׁ, וּבְגִין דָּא וְעָפָר תֹּאכַל כָּל יְמֵי חַיֶּיךָ.</w:t>
      </w:r>
    </w:p>
    <w:p w:rsidR="006D2826" w:rsidRDefault="006D2826" w:rsidP="006D2826">
      <w:pPr>
        <w:pStyle w:val="NormalWeb"/>
        <w:rPr>
          <w:b w:val="0"/>
          <w:bCs w:val="0"/>
          <w:rtl/>
        </w:rPr>
      </w:pPr>
      <w:r>
        <w:rPr>
          <w:rStyle w:val="a7"/>
          <w:b w:val="0"/>
          <w:bCs w:val="0"/>
          <w:rtl/>
        </w:rPr>
        <w:footnoteReference w:id="5545"/>
      </w:r>
      <w:r>
        <w:rPr>
          <w:b w:val="0"/>
          <w:bCs w:val="0"/>
          <w:rtl/>
        </w:rPr>
        <w:t xml:space="preserve">תָּא חֲזִי לַאו לְמַגָּנָא אָמְרוּ קַדְמָאִין, אֵין הָרוֹכֵב טְפֵלָה לַסּוּס אֶלָּא הַסּוּס טְפֵלָה לָרוֹכֵב, דְּסוּס אִיהוּ נוּקְבָא, לָרוֹכֵב דְּאִיהוּ אָדָם, אִם זָכָה אִתְּמַר בֵּיהּ </w:t>
      </w:r>
      <w:r>
        <w:rPr>
          <w:b w:val="0"/>
          <w:sz w:val="20"/>
          <w:szCs w:val="23"/>
          <w:rtl/>
        </w:rPr>
        <w:t>(שם ב יח)</w:t>
      </w:r>
      <w:r>
        <w:rPr>
          <w:b w:val="0"/>
          <w:bCs w:val="0"/>
          <w:rtl/>
        </w:rPr>
        <w:t xml:space="preserve"> אֶעֱשֶׂה לּוֹ עִזֶר, וְאִם לַאו כְּנֶגְדּוֹ יֵצֶר הָרָע, עֲלֵיהּ אִתְּמַר </w:t>
      </w:r>
      <w:r>
        <w:rPr>
          <w:b w:val="0"/>
          <w:sz w:val="20"/>
          <w:szCs w:val="23"/>
          <w:rtl/>
        </w:rPr>
        <w:t>(קהלת ז כו)</w:t>
      </w:r>
      <w:r>
        <w:rPr>
          <w:b w:val="0"/>
          <w:bCs w:val="0"/>
          <w:rtl/>
        </w:rPr>
        <w:t xml:space="preserve"> וּמוֹצֵא אֲנִי מַר מִמָּוְת אֶת הָאִשָּׁה, וְדָא טְחוֹל שַׁבְּתַא''י, עִזֶר דָּא שְׁכִינְתָּא, עֲלָהּ אִתְּמַר </w:t>
      </w:r>
      <w:r>
        <w:rPr>
          <w:b w:val="0"/>
          <w:sz w:val="20"/>
          <w:szCs w:val="23"/>
          <w:rtl/>
        </w:rPr>
        <w:t>(משלי יח כב)</w:t>
      </w:r>
      <w:r>
        <w:rPr>
          <w:b w:val="0"/>
          <w:bCs w:val="0"/>
          <w:rtl/>
        </w:rPr>
        <w:t xml:space="preserve"> מָצָא אִשָּׁה מָצָא טוֹב וַיָּפֶק רָצוֹן מֵיהו''ה, וּבְגִין דָּא הֲווֹ אָמְרֵי מָארֵי מַתְנִיתִין, מָצָא אוֹ מוֹצֵא.</w:t>
      </w:r>
    </w:p>
    <w:p w:rsidR="006D2826" w:rsidRDefault="006D2826" w:rsidP="006D2826">
      <w:pPr>
        <w:pStyle w:val="aa"/>
        <w:spacing w:after="40"/>
        <w:rPr>
          <w:rtl/>
        </w:rPr>
      </w:pPr>
      <w:r>
        <w:rPr>
          <w:rtl/>
        </w:rPr>
        <w:t xml:space="preserve">[תיקוני זוהר - דף קלג ע''א] </w:t>
      </w:r>
    </w:p>
    <w:p w:rsidR="006D2826" w:rsidRDefault="006D2826" w:rsidP="006D2826">
      <w:pPr>
        <w:pStyle w:val="NormalWeb"/>
        <w:rPr>
          <w:b w:val="0"/>
          <w:bCs w:val="0"/>
          <w:rtl/>
        </w:rPr>
      </w:pPr>
      <w:r>
        <w:rPr>
          <w:b w:val="0"/>
          <w:bCs w:val="0"/>
          <w:rtl/>
        </w:rPr>
        <w:t xml:space="preserve">לְזִמְנִין תִּשְׁכַּח סוּסְיָא דְאִתְגָּאֶה וְאַפִּיל לְרוֹכְבוֹ תְּחוֹתֵיהּ, דָּא אִתְּתָא בִּישָׁא, לְזִמְנִין תִּשְׁכַּח אָדָם רָכִיב עַל סוּסְיָא, לְזִמְנִין אִישׁ, לְזִמְנִין עֶבֶד, כְּגַוְונָא דָא תִשְׁכַּח לְזִמְנִין דְּאִית גּוּף דְּאִיהוּ סוּס שַׁפִּיר בְּכָל תִּקּוּנוֹי, וְעָבִיד עוֹבָדִין בִּישִׁין, בְּגִין דְּאִית לֵיהּ הַהוּא נֶפֶשׁ דְּרָכִיב עֲלֵיהּ, דְּאִיהוּ אָדָם רַע עֶבֶד או מַמְזֵר, וּבְגִין דָּא אוּקְמוּהוּ מָארֵי מַתְנִיתִין, לֹא הַמֶּדְרָשׁ עִקָּר אֶלָּא הַמַּעֲשֶׂה </w:t>
      </w:r>
      <w:r>
        <w:rPr>
          <w:b w:val="0"/>
          <w:sz w:val="20"/>
          <w:szCs w:val="23"/>
          <w:rtl/>
        </w:rPr>
        <w:t xml:space="preserve">(דף קלג ע''א) </w:t>
      </w:r>
      <w:r>
        <w:rPr>
          <w:b w:val="0"/>
          <w:bCs w:val="0"/>
          <w:rtl/>
        </w:rPr>
        <w:t>הוּא הָעִקָּר, וּלְזִמְנִין תִּשְׁכַּח סוּסְיָא בִּישָׁא דְאִיהוּ גוּפָא, דְאִית לֵיהּ דִּיּוֹקְנָא בִישָׁא, וּמָאן דְּרָכִיב עֲלֵיהּ אִיהוּ טַב, וְסָטֵי לֵיהּ לְמֶעֱבַד עוֹבָדִין טָבִין, וְדָא אִיהוּ מַטֶּה כְּלַפֵּי חֶסֶד, וּמָאן דְּאִית לֵיהּ דִּיּוֹקְנָא שַׁפִּירָא וְעוֹבָדִין טָבִין, דָּא צַדִּיק וְטוֹב לוֹ.</w:t>
      </w:r>
    </w:p>
    <w:p w:rsidR="006D2826" w:rsidRDefault="006D2826" w:rsidP="006D2826">
      <w:pPr>
        <w:pStyle w:val="NormalWeb"/>
        <w:rPr>
          <w:b w:val="0"/>
          <w:bCs w:val="0"/>
          <w:rtl/>
        </w:rPr>
      </w:pPr>
      <w:r>
        <w:rPr>
          <w:b w:val="0"/>
          <w:bCs w:val="0"/>
          <w:rtl/>
        </w:rPr>
        <w:t>וְהָכִי אִיהוּ מָאן דְּאִיהוּ צַדִּיק וּבַת זוּגֵיהּ צַדֶּקֶת, מָאן דְּאִיהוּ דִיּוֹקְנֵיהּ בִּישָׁא וְאִיהוּ שַׁפִּיר בְּעוֹבָדוֹי, דָּא צַדִּיק וְרַע לוֹ, וְהָכִי אִיהוּ מָאן דְּאִיהוּ צַדִּיק וּבַת זוּגֵיהּ בִּישָׁא, וּמָאן דְּאִיהוּ דִיּוֹקְנָא בִישָׁא וְעוֹבָדוֹי בִּישִׁין, דָּא אִיהוּ רָשָׁע וְרַע לוֹ, וְהָכִי אִיהוּ מָאן דְּאִיהוּ רַע וְאִתְּתֵיהּ רָעָה, הָכָא אִשְׁתְּמוֹדְעִין תְּלַת גִּלְגּוּלִין, רָשָׁע וְטוֹב לוֹ מָאן דְּעוֹבָדוֹי בִּישִׁין וְדִיּוֹקְנֵיהּ שַׁפִּירָא, וְאִתְּתֵיהּ צַדֶּקֶת שַׁפִּירְתָּא בְעוֹבָדָהָא.</w:t>
      </w:r>
    </w:p>
    <w:p w:rsidR="006D2826" w:rsidRDefault="006D2826" w:rsidP="006D2826">
      <w:pPr>
        <w:pStyle w:val="NormalWeb"/>
        <w:rPr>
          <w:b w:val="0"/>
          <w:bCs w:val="0"/>
          <w:rtl/>
        </w:rPr>
      </w:pPr>
      <w:r>
        <w:rPr>
          <w:b w:val="0"/>
          <w:bCs w:val="0"/>
          <w:rtl/>
        </w:rPr>
        <w:t xml:space="preserve">דְּגִלְגּוּלָא גָרִים דָּא לְמֶהֱוֵי בַּר נַשׁ צַדִּיק וְטוֹב לוֹ, צַדִּיק וְרַע לוֹ רָשָׁע וְטוֹב לוֹ רָשָׁע וְרַע לוֹ, דְּגוּפָא בִישָׁא וְאִתְּתָא בִּישָׁא לַצַּדִּיק אִיהוּ עוֹנָשָׁא דִילֵיהּ, דְּגִלְגּוּלָא מְחַיֵּיב לֵיהּ, אָמַר רַבִּי אֶלְעָזָר, אַבָּא, אִם כֵּן מַאי תַּקַּנְתֵּיהּ לְמָאן דְּאִיהוּ צַדִּיק וְאִית לֵיהּ אִתְּתָא בִּישָׁא, אָמַר לֵיהּ בְּרִי, </w:t>
      </w:r>
      <w:r>
        <w:rPr>
          <w:rStyle w:val="a7"/>
          <w:b w:val="0"/>
          <w:bCs w:val="0"/>
          <w:rtl/>
        </w:rPr>
        <w:footnoteReference w:id="5546"/>
      </w:r>
      <w:r>
        <w:rPr>
          <w:b w:val="0"/>
          <w:bCs w:val="0"/>
          <w:rtl/>
        </w:rPr>
        <w:t xml:space="preserve">יַעֲבִיד לֵיהּ שִׁנּוּי מָקוֹם וְשִׁנּוּי הַשֵּׁם וְשִׁנּוּי מַעֲשֶׂה, וְאִי לָא אִתְתַּקְנַת יְתָרֵךְ לָהּ מִנֵּיהּ בְּגֵט וְיִתְּסֵי, וְאִתְנַטַּע בַּאֲתַר אָחֳרָא </w:t>
      </w:r>
      <w:r>
        <w:rPr>
          <w:b w:val="0"/>
          <w:sz w:val="20"/>
          <w:szCs w:val="23"/>
          <w:rtl/>
        </w:rPr>
        <w:t>(איוב לג כט)</w:t>
      </w:r>
      <w:r>
        <w:rPr>
          <w:b w:val="0"/>
          <w:bCs w:val="0"/>
          <w:rtl/>
        </w:rPr>
        <w:t>, וְהֶן כָּל אֵלֶּה יִפְעַל אֵ''ל פַּעֲמַיִם שָׁלֹשׁ עִם גָּבֶר, עַד הָכָא בְּשִׁרְטוּטִין דִּיְדִין.</w:t>
      </w:r>
    </w:p>
    <w:p w:rsidR="006D2826" w:rsidRDefault="006D2826" w:rsidP="006D2826">
      <w:pPr>
        <w:pStyle w:val="NormalWeb"/>
        <w:rPr>
          <w:b w:val="0"/>
          <w:bCs w:val="0"/>
          <w:rtl/>
        </w:rPr>
      </w:pPr>
      <w:r>
        <w:rPr>
          <w:rStyle w:val="a7"/>
          <w:b w:val="0"/>
          <w:bCs w:val="0"/>
          <w:rtl/>
        </w:rPr>
        <w:footnoteReference w:id="5547"/>
      </w:r>
      <w:r>
        <w:rPr>
          <w:b w:val="0"/>
          <w:bCs w:val="0"/>
          <w:rtl/>
        </w:rPr>
        <w:t>בְּקוֹמָה בְּצַוָּאר, פָּתַח רַבִּי שִׁמְעוֹן וְאָמַר, אֵלִיָּהוּ אֵלִיָּהוּ, הָא שְׁכִינְתָּא הָכָא, וְכֻלְּהוּ חַבְרַיָּיא עִמָּהּ נָטְרִין לָךְ הָכָא, טוֹל רְשׁוּ מִקּוּדְשָׁא בְּרִיךְ הוּא לְנָחֲתָא הָכָא לִיקָרָא דְמַלְכָּא קַדִּישָׁא, אַנְתְּ וְכָל מָארֵי מְתִיבְתָּאן דִּלְעִילָא וְתַתָּא עִמָּךְ, לְתַקְנָא שִׁעוּר קוֹמָה דְקוּדְשָׁא בְּרִיךְ הוּא כִּדְקָא יָאוּת לֵיהּ, אַדְהָכִי הָא אֵלִיָּהוּ קָא נָחַת וְכָל מָארֵי מְתִיבְתָּאן דִּלְעִילָא וְתַתָּא עִמֵּיהּ, וְקוּדְשָׁא בְּרִיךְ הוּא עַל כֻּלְּהוּ.</w:t>
      </w:r>
    </w:p>
    <w:p w:rsidR="006D2826" w:rsidRDefault="006D2826" w:rsidP="006D2826">
      <w:pPr>
        <w:pStyle w:val="NormalWeb"/>
        <w:rPr>
          <w:b w:val="0"/>
          <w:bCs w:val="0"/>
          <w:rtl/>
        </w:rPr>
      </w:pPr>
      <w:r>
        <w:rPr>
          <w:b w:val="0"/>
          <w:bCs w:val="0"/>
          <w:rtl/>
        </w:rPr>
        <w:t xml:space="preserve">פָּתַח אֵלִיָּהוּ וְאָמַר, רִבּוֹן עָלְמָא יְהֵא רַעֲוָא דִילָךְ דְּאֵימָא מִלִּין בְּאֹרַח מִישׁוֹר כִּדְקָא יָאוּת, כֻּלְּהוּ בַּמִּדָּה בַּמִּשְׁקָל בְּשִׁעוּר קוֹמָה דִשְׁכִינְתָּךְ. פָּתַח וְאָמַר, </w:t>
      </w:r>
      <w:r>
        <w:rPr>
          <w:b w:val="0"/>
          <w:sz w:val="20"/>
          <w:szCs w:val="23"/>
          <w:rtl/>
        </w:rPr>
        <w:t>(שיר ז ח)</w:t>
      </w:r>
      <w:r>
        <w:rPr>
          <w:b w:val="0"/>
          <w:bCs w:val="0"/>
          <w:rtl/>
        </w:rPr>
        <w:t xml:space="preserve"> זֹאת קוֹמָתֵךְ דָּמְתָה לְתָמָר וְשָׁדַיִךְ לְאַשְׁכֹּלוֹת, </w:t>
      </w:r>
      <w:r>
        <w:rPr>
          <w:rStyle w:val="a7"/>
          <w:b w:val="0"/>
          <w:bCs w:val="0"/>
          <w:rtl/>
        </w:rPr>
        <w:footnoteReference w:id="5548"/>
      </w:r>
      <w:r>
        <w:rPr>
          <w:b w:val="0"/>
          <w:bCs w:val="0"/>
          <w:rtl/>
        </w:rPr>
        <w:t xml:space="preserve">מַאי לְתָמָר, אֶלָּא לְהַהוּא דְאִתְּמַר בֵּיהּ </w:t>
      </w:r>
      <w:r>
        <w:rPr>
          <w:b w:val="0"/>
          <w:sz w:val="20"/>
          <w:szCs w:val="23"/>
          <w:rtl/>
        </w:rPr>
        <w:t>(תהלים צב יד)</w:t>
      </w:r>
      <w:r>
        <w:rPr>
          <w:b w:val="0"/>
          <w:bCs w:val="0"/>
          <w:rtl/>
        </w:rPr>
        <w:t xml:space="preserve"> צַדִּיק כַּתָּמָר יִפְרָח, כַּפֹּת תְּמָרִים, קוֹמָתֵךְ וַדַּאי דַּמְיָא לְלוּלָב דְּלֵית בֵּיהּ קִצּוּץ וּפִרוּד, וְלַאו לְמַגָּנָא אוּקְמוּהוּ מָארֵי מַתְנִיתִין נִפְרְצוּ עַלָּיו פָּסוּל, לוּלָב אִיהוּ דוֹמֶה לְשִׁדְרָה דְּגוּפָא, דְאִיהוּ ו', קוֹמָה דְכֹלָּא, וְאִיהוּ שִׁית בְּחוּשְׁבַּן, וְחָמֵשׁ עַנְפִין מִתְפַּשְׁטִין מִנֵּיהּ, וְאִיהוּ גוּפָא דְאִילָנָא בְּאֶמְצָעִיתָא, וְחָמֵשׁ עַנְפִין אִינוּן תְּרֵין מֵהַאי סִטְרָא, וּתְלַת מֵהַאי סִטְרָא, וַעֲלַיְיהוּ אִתְּמַר </w:t>
      </w:r>
      <w:r>
        <w:rPr>
          <w:b w:val="0"/>
          <w:sz w:val="20"/>
          <w:szCs w:val="23"/>
          <w:rtl/>
        </w:rPr>
        <w:t>(ויקרא כג מ)</w:t>
      </w:r>
      <w:r>
        <w:rPr>
          <w:b w:val="0"/>
          <w:bCs w:val="0"/>
          <w:rtl/>
        </w:rPr>
        <w:t xml:space="preserve"> וַעֲנַף עִץ עָבוֹת וְעַרְבֵי נָחַל, עֲנַף לִשְׂמָאלָא, עָבוֹת לִימִינָא, עִץ בְּאֶמְצָעִיתָא, עַרְבֵי נַחַל תְּרֵין, עָבוֹת תְּלַת, וְכֻלְּהוּ חָמֵשׁ, וְאִינוּן לָקֳבֵל תְּרֵין שׁוֹקִין וּבְרִית, וּתְרֵין דְּרוֹעִין, אֶתְרוֹג לֵב בְּאֶמְצָעִיתָא, וְאִיהוּ אִיבָּא דְאִילָנָא, וּבֵיהּ אִיהוּ עִץ פְּרִי עוֹשֶׂה פְּרִי לְמִינוֹ.</w:t>
      </w:r>
    </w:p>
    <w:p w:rsidR="006D2826" w:rsidRDefault="006D2826" w:rsidP="006D2826">
      <w:pPr>
        <w:pStyle w:val="NormalWeb"/>
        <w:rPr>
          <w:b w:val="0"/>
          <w:bCs w:val="0"/>
          <w:rtl/>
        </w:rPr>
      </w:pPr>
      <w:r>
        <w:rPr>
          <w:rStyle w:val="a7"/>
          <w:b w:val="0"/>
          <w:bCs w:val="0"/>
          <w:rtl/>
        </w:rPr>
        <w:footnoteReference w:id="5549"/>
      </w:r>
      <w:r>
        <w:rPr>
          <w:b w:val="0"/>
          <w:bCs w:val="0"/>
          <w:rtl/>
        </w:rPr>
        <w:t xml:space="preserve">צַוָּאר עַל כֻּלְּהוּ אִימָּא עִלָּאָה, עִקָרָא דְאִילָנָא וְשֹׁרְשׁוֹי, וּמוֹחָא אַבָּא, וּבֵיהּ נְבִיעוּ דְאִילָנָא, דִּמְקוֹרָא דִילֵיהּ אִתְקְרֵי אֵין סוֹף, עַלִּין דְּאִילָנָא אִינוּן קְווּצוֹתָיו, עֲלַיְיהוּ אִתְּמַר </w:t>
      </w:r>
      <w:r>
        <w:rPr>
          <w:b w:val="0"/>
          <w:sz w:val="20"/>
          <w:szCs w:val="23"/>
          <w:rtl/>
        </w:rPr>
        <w:t>(שיר ז ו)</w:t>
      </w:r>
      <w:r>
        <w:rPr>
          <w:b w:val="0"/>
          <w:bCs w:val="0"/>
          <w:rtl/>
        </w:rPr>
        <w:t xml:space="preserve"> רֹאשֵׁךְ עָלַיִךְ כַּכַּרְמֶל, כֻּלְּהוּ יְרוֹקִין, דְּהָכִי צְרִיכָא שַׂעֲרָא דְאִתְּתָא דְאִיהִי בְרַתָּא דְמַלְכָּא לְמֶהֱוִי יָרוֹק כְּשִׁבְעָה מִינֵי דַהֲבָא, וְאֶתְרוֹג אִיהִי יְרוֹקָא, וְאֶסְתֵּר מִתַּמָּן הֲוַת יְרַקְרוֹקֶת.</w:t>
      </w:r>
    </w:p>
    <w:p w:rsidR="006D2826" w:rsidRDefault="006D2826" w:rsidP="006D2826">
      <w:pPr>
        <w:pStyle w:val="aa"/>
        <w:spacing w:after="40"/>
        <w:rPr>
          <w:rtl/>
        </w:rPr>
      </w:pPr>
      <w:r>
        <w:rPr>
          <w:rtl/>
        </w:rPr>
        <w:t xml:space="preserve">[תיקוני זוהר - דף קלג ע''ב] </w:t>
      </w:r>
    </w:p>
    <w:p w:rsidR="006D2826" w:rsidRDefault="006D2826" w:rsidP="006D2826">
      <w:pPr>
        <w:pStyle w:val="NormalWeb"/>
        <w:rPr>
          <w:b w:val="0"/>
          <w:bCs w:val="0"/>
          <w:rtl/>
        </w:rPr>
      </w:pPr>
      <w:r>
        <w:rPr>
          <w:rStyle w:val="a7"/>
          <w:b w:val="0"/>
          <w:bCs w:val="0"/>
          <w:rtl/>
        </w:rPr>
        <w:footnoteReference w:id="5550"/>
      </w:r>
      <w:r>
        <w:rPr>
          <w:b w:val="0"/>
          <w:bCs w:val="0"/>
          <w:rtl/>
        </w:rPr>
        <w:t xml:space="preserve">שִׁעוּרָא דִרְצוּעִין דִּתְּפִלִּין אִינוּן עַד לִבָּא, וְהָכִי שִׁעֲרוּ לוֹן מָארֵי מַתְנִיתִין, וְהָכִי שִׁעוּרָא דְשַׂעֲרָא דִבְרַתָּא דְמַלְכָּא עַד לִבָּא, </w:t>
      </w:r>
      <w:r>
        <w:rPr>
          <w:rStyle w:val="a7"/>
          <w:b w:val="0"/>
          <w:bCs w:val="0"/>
          <w:rtl/>
        </w:rPr>
        <w:footnoteReference w:id="5551"/>
      </w:r>
      <w:r>
        <w:rPr>
          <w:b w:val="0"/>
          <w:bCs w:val="0"/>
          <w:rtl/>
        </w:rPr>
        <w:t xml:space="preserve">וְכָל עַנְפָא וְעַנְפָא דְאִילָנָא דִילָהּ, דְּאִינוּן קְנֵי מְנוֹרָה, כֻּלְּהוּ צְרִיכִין בַּמִּדָּה וּבַמִּשְׁקָל וּבַמִּדָּה חֲדָא, דְּלָא יְהֵא דְרוֹעָא חֲדָא אֲרִיךְ מֵחַבְרֵיהּ, וְלָא שׁוֹקָא חֲדָא אֲרִיךְ מֵחַבְרֵיהּ, אֶלָּא כֻלְּהוּ בַּמִּדָּה בַמִּשְׁקָל דָּא בְדָא, </w:t>
      </w:r>
      <w:r>
        <w:rPr>
          <w:b w:val="0"/>
          <w:sz w:val="20"/>
          <w:szCs w:val="23"/>
          <w:rtl/>
        </w:rPr>
        <w:t xml:space="preserve">(דף קלג ע''ב) </w:t>
      </w:r>
      <w:r>
        <w:rPr>
          <w:b w:val="0"/>
          <w:bCs w:val="0"/>
          <w:rtl/>
        </w:rPr>
        <w:t>וְהָכִי עַיְינִין דִּילֵיהּ שְׁקִילִין דָּא לְדָא, וְהָכִי אוּדְנִין, וְהָכִי נוּקְבָא דְחוֹטָמָא דִילָהּ, וְהָכִי אַנְפִּין דִּילָהּ, וְהָכִי שִׂפְוָון דִּילָהּ, דְּלָא יְהֵא חַד אֲרִיךְ וְחַד קְצִיר, אֶלָּא כֻּלְּהוּ בְשִׁקּוּלָא חֲדָא.</w:t>
      </w:r>
    </w:p>
    <w:p w:rsidR="006D2826" w:rsidRDefault="006D2826" w:rsidP="006D2826">
      <w:pPr>
        <w:pStyle w:val="NormalWeb"/>
        <w:rPr>
          <w:b w:val="0"/>
          <w:bCs w:val="0"/>
          <w:rtl/>
        </w:rPr>
      </w:pPr>
      <w:r>
        <w:rPr>
          <w:rStyle w:val="a7"/>
          <w:b w:val="0"/>
          <w:bCs w:val="0"/>
          <w:rtl/>
        </w:rPr>
        <w:footnoteReference w:id="5552"/>
      </w:r>
      <w:r>
        <w:rPr>
          <w:b w:val="0"/>
          <w:bCs w:val="0"/>
          <w:rtl/>
        </w:rPr>
        <w:t xml:space="preserve">מַבּוּעָא דְמַיָּא הָכִי צָרִיךְ לְאַשְׁקָאָה לְכָל אֵבֶר וְאֵבֶר דְּאִיהוּ עַנְפָא דְאִילָנָא, בַּמִּדָּה וּבַמִּשְׁקָל, וְסִימָנָא </w:t>
      </w:r>
      <w:r>
        <w:rPr>
          <w:b w:val="0"/>
          <w:sz w:val="20"/>
          <w:szCs w:val="23"/>
          <w:rtl/>
        </w:rPr>
        <w:t>(ישעיה מ מ)</w:t>
      </w:r>
      <w:r>
        <w:rPr>
          <w:b w:val="0"/>
          <w:bCs w:val="0"/>
          <w:rtl/>
        </w:rPr>
        <w:t xml:space="preserve"> מִי מָדַד בְּשָׁעֳלוֹ מַיִם, </w:t>
      </w:r>
      <w:r>
        <w:rPr>
          <w:b w:val="0"/>
          <w:sz w:val="20"/>
          <w:szCs w:val="23"/>
          <w:rtl/>
        </w:rPr>
        <w:t>(איוב כח כה)</w:t>
      </w:r>
      <w:r>
        <w:rPr>
          <w:b w:val="0"/>
          <w:bCs w:val="0"/>
          <w:rtl/>
        </w:rPr>
        <w:t xml:space="preserve"> וּמַיִם תִּכֵּן בְּמִדָּה, מִי וַדַּאי, מִדָּה דִנְבִיעוּ כְּגַוְונָא דָא ם מְרוּבָּעַת, יוד נְקוּדָה בְעִגּוּלָא.</w:t>
      </w:r>
    </w:p>
    <w:p w:rsidR="006D2826" w:rsidRDefault="006D2826" w:rsidP="006D2826">
      <w:pPr>
        <w:pStyle w:val="NormalWeb"/>
        <w:rPr>
          <w:b w:val="0"/>
          <w:bCs w:val="0"/>
          <w:rtl/>
        </w:rPr>
      </w:pPr>
      <w:r>
        <w:rPr>
          <w:b w:val="0"/>
          <w:bCs w:val="0"/>
          <w:rtl/>
        </w:rPr>
        <w:t>וְרָזָא דְמִקְוֶה אַרְבָּעִים סְאָה כְּגַוְונָא דָא תֵּשַׁע נְקוּדִין לְכָל סְטַר, וּבַנְּקוּדָה דְמִלְּגָאו בָּהּ אִשְׁתַּלִּימוּ לְעֶשֶׂר כָּל תִּשְׁעָה, עַד דְּאִתְעֲבִידוּ אַרְבְּעִין, וְאִלֵּין אִינוּן אַרְבְּעִים סְאָה, וְאִינוּן ם' עִלָּאָה, מ' תַּתָּאָה, דָּא בְּרִבּוּעָא וְדָא בְּעִגּוּלָא, י' נְבִיעוּ דְתַרְוַיְהוּ, וְרָזָא דָא מַיִם חַיִּים.</w:t>
      </w:r>
    </w:p>
    <w:p w:rsidR="006D2826" w:rsidRDefault="006D2826" w:rsidP="006D2826">
      <w:pPr>
        <w:pStyle w:val="NormalWeb"/>
        <w:rPr>
          <w:b w:val="0"/>
          <w:bCs w:val="0"/>
          <w:rtl/>
        </w:rPr>
      </w:pPr>
      <w:r>
        <w:rPr>
          <w:rStyle w:val="a7"/>
          <w:b w:val="0"/>
          <w:bCs w:val="0"/>
          <w:rtl/>
        </w:rPr>
        <w:footnoteReference w:id="5553"/>
      </w:r>
      <w:r>
        <w:rPr>
          <w:b w:val="0"/>
          <w:bCs w:val="0"/>
          <w:rtl/>
        </w:rPr>
        <w:t>וְאִית עַנְפִין עִלָּאִין, וְעַנְפִין בֵּינוּנִיִּים, וְעַנְפִין תַּתָּאִין, וְכֻלְּהוּ בַמִּדָּה בַּמִּשְׁקָל, עִלָּאִין בַּמִּשְׁקָל דָּא בְדָא, בֵּינוּנִיִּים בַּמִּשְׁקָל דָּא בְדָא, תַּתָּאִין בַּמִּשְׁקָל דָּא בְדָא, עִלָּאִין אִינוּן אֲבָהָן, בֵּינוּנִיִּים מְמַנָּן, וְתַתָּאִין שְׁלִיחָן דִּלְהוֹן, וְכֻלְּהוּ אִית לוֹן שְׁמָהָן יְדִיעָאן, לְאִשְׁתְּמוֹדָע רָאשִׁין וּמְמַנָּן וּשְׁלִיחָאן דִּתְחוֹתַיְיהוּ, וְכָל חַד אִית לֵיהּ נְקוּדָה, וּבֵיהּ אִשְׁתְּמוֹדָע כָּל עַנְפָא וְעַנְפָא דְאִיהוּ אֵבֶר דְּגוּפָא.</w:t>
      </w:r>
    </w:p>
    <w:p w:rsidR="006D2826" w:rsidRDefault="006D2826" w:rsidP="006D2826">
      <w:pPr>
        <w:pStyle w:val="NormalWeb"/>
        <w:rPr>
          <w:b w:val="0"/>
          <w:bCs w:val="0"/>
          <w:rtl/>
        </w:rPr>
      </w:pPr>
      <w:r>
        <w:rPr>
          <w:rStyle w:val="a7"/>
          <w:b w:val="0"/>
          <w:bCs w:val="0"/>
          <w:rtl/>
        </w:rPr>
        <w:footnoteReference w:id="5554"/>
      </w:r>
      <w:r>
        <w:rPr>
          <w:b w:val="0"/>
          <w:bCs w:val="0"/>
          <w:rtl/>
        </w:rPr>
        <w:t xml:space="preserve">מְמַנָּן יהו''ה מֶלֶךְ וְהָכִי אִינוּן לְתַתָּא בִתְרֵין שׁוֹקִין וְאָמָה, וּבְגִין דָּא כָפַל לוֹן תְּרֵין זִמְנִין יהו''ה מֶלֶךְ יהו''ה מָלָךְ יהו''ה יִמְלֹך </w:t>
      </w:r>
      <w:r>
        <w:rPr>
          <w:rStyle w:val="a7"/>
          <w:b w:val="0"/>
          <w:bCs w:val="0"/>
          <w:rtl/>
        </w:rPr>
        <w:footnoteReference w:id="5555"/>
      </w:r>
      <w:r>
        <w:rPr>
          <w:b w:val="0"/>
          <w:bCs w:val="0"/>
          <w:rtl/>
        </w:rPr>
        <w:t xml:space="preserve">לְעוֹלָם וָעֶד שְׁכִינְתָּא, וּנְקוּדָה דִילָהּ יְהֹוָ''ה, וְדָא רָזָא </w:t>
      </w:r>
      <w:r>
        <w:rPr>
          <w:b w:val="0"/>
          <w:sz w:val="20"/>
          <w:szCs w:val="23"/>
          <w:rtl/>
        </w:rPr>
        <w:t>(תהלים צא יא)</w:t>
      </w:r>
      <w:r>
        <w:rPr>
          <w:b w:val="0"/>
          <w:bCs w:val="0"/>
          <w:rtl/>
        </w:rPr>
        <w:t xml:space="preserve"> כִּ''י בִ''י חָשַׁ''ק וַאֲפַלְּטֵהוּ, רָאשֵׁי תֵיבִין כֶּתֶר חָכְמָה וּבִינָה, דְּאִינוּן רָאשִׁין, </w:t>
      </w:r>
      <w:r>
        <w:rPr>
          <w:b w:val="0"/>
          <w:sz w:val="20"/>
          <w:szCs w:val="23"/>
          <w:rtl/>
        </w:rPr>
        <w:t>(זכריה יד ט)</w:t>
      </w:r>
      <w:r>
        <w:rPr>
          <w:b w:val="0"/>
          <w:bCs w:val="0"/>
          <w:rtl/>
        </w:rPr>
        <w:t xml:space="preserve"> וְהָיָ''ה יהו''ה לְמֶלֶךְ עַל כָּל הָאָרֶץ בַּיּוֹם הַהוּא יהו''ה אֶחָד וּשְׁמוֹ אֶחָד, וְהָיָה יהו''ה אַבָּא וְאִמָּא, יִהְיֶה יהו''ה אֶחָד וּשְׁמוֹ אֶחָד כֶּתֶר עִלָּאָה.</w:t>
      </w:r>
    </w:p>
    <w:p w:rsidR="006D2826" w:rsidRDefault="006D2826" w:rsidP="006D2826">
      <w:pPr>
        <w:pStyle w:val="NormalWeb"/>
        <w:rPr>
          <w:b w:val="0"/>
          <w:bCs w:val="0"/>
          <w:rtl/>
        </w:rPr>
      </w:pPr>
      <w:r>
        <w:rPr>
          <w:rStyle w:val="a7"/>
          <w:b w:val="0"/>
          <w:bCs w:val="0"/>
          <w:rtl/>
        </w:rPr>
        <w:footnoteReference w:id="5556"/>
      </w:r>
      <w:r>
        <w:rPr>
          <w:b w:val="0"/>
          <w:bCs w:val="0"/>
          <w:rtl/>
        </w:rPr>
        <w:t xml:space="preserve">יְדִין אִינוּן מְשַׁמְּשִׁין דְּגוּפָא, רַגְלִין שְׁלִיחָן דְּגוּפָא, וַעֲלַיְיהוּ אִתְּמַר </w:t>
      </w:r>
      <w:r>
        <w:rPr>
          <w:b w:val="0"/>
          <w:sz w:val="20"/>
          <w:szCs w:val="23"/>
          <w:rtl/>
        </w:rPr>
        <w:t>(תהלים קד ד)</w:t>
      </w:r>
      <w:r>
        <w:rPr>
          <w:b w:val="0"/>
          <w:bCs w:val="0"/>
          <w:rtl/>
        </w:rPr>
        <w:t xml:space="preserve"> עוֹשֶׂה מַלְאָכָיו רוּחוֹת מְשָׁרְתָיו אֵשׁ לוֹהֵט, דְּגוּפָא וּתְּרֵין דְּרוֹעִין אִינוּן ע''ב עַנְפִין דְּוַיִּסַּע וַיָּבֹא וַיֵּט, וְאִלֵּין אִינוּן עַנְפֵי דְאִילָנָא, שָׁרְשָׁא דְאִילָנָא אִינוּן שְׁלִיחִין, וְאִינוּן שַׁבְעִין וּתְרֵין </w:t>
      </w:r>
      <w:r>
        <w:rPr>
          <w:rStyle w:val="a7"/>
          <w:b w:val="0"/>
          <w:bCs w:val="0"/>
          <w:rtl/>
        </w:rPr>
        <w:footnoteReference w:id="5557"/>
      </w:r>
      <w:r>
        <w:rPr>
          <w:b w:val="0"/>
          <w:bCs w:val="0"/>
          <w:rtl/>
        </w:rPr>
        <w:t xml:space="preserve">שְׁלִיחִין עִלָּאִין לָקֳבֵל שַׁבְעִין וּתְרֵין תֵּיבִין, דְּאִינוּן מִן וְהָיָה אִם שָׁמֹעַ עַד וְשַׂמְתֶּם, וְשִׁבְעִים וּתְרֵין אָחֳרָנִין אִינוּן דְּפָרָשַׁת צִיצִית, רֵישָׁא דְאִילָנָא, מְשַׁמְּשִׁין דִּילֵיהּ דְּאִינוּן שׁוֹפְטִים וְשׁוֹטְרִים, אִינוּן מ''ב תֵּיבִין מִן וְאָהַבְתָּ עַד וְהָיָה, גּוּפָא </w:t>
      </w:r>
      <w:r>
        <w:rPr>
          <w:b w:val="0"/>
          <w:sz w:val="20"/>
          <w:szCs w:val="23"/>
          <w:rtl/>
        </w:rPr>
        <w:t>(נ''א נופא)</w:t>
      </w:r>
      <w:r>
        <w:rPr>
          <w:b w:val="0"/>
          <w:bCs w:val="0"/>
          <w:rtl/>
        </w:rPr>
        <w:t xml:space="preserve"> דְאִילָנָא מְמַנָּן וּשְׁלִיחָאן דִּילֵיהּ, חַמְשִׁין תֵּיבִין דְּאִינוּן מִן וְשַׂמְתֶּם אֶת עַד וַיֹּאמֶר.</w:t>
      </w:r>
    </w:p>
    <w:p w:rsidR="006D2826" w:rsidRDefault="006D2826" w:rsidP="006D2826">
      <w:pPr>
        <w:pStyle w:val="NormalWeb"/>
        <w:rPr>
          <w:b w:val="0"/>
          <w:bCs w:val="0"/>
          <w:rtl/>
        </w:rPr>
      </w:pPr>
      <w:r>
        <w:rPr>
          <w:b w:val="0"/>
          <w:bCs w:val="0"/>
          <w:rtl/>
        </w:rPr>
        <w:t xml:space="preserve">שִׁבְעָה שְׁמָהָן דְּרֵישָׁא דְסָלְקִין לְמ''ב, אִינוּן אְבָגְיֶתֵץ וכו', </w:t>
      </w:r>
      <w:r>
        <w:rPr>
          <w:rStyle w:val="a7"/>
          <w:b w:val="0"/>
          <w:bCs w:val="0"/>
          <w:rtl/>
        </w:rPr>
        <w:footnoteReference w:id="5558"/>
      </w:r>
      <w:r>
        <w:rPr>
          <w:b w:val="0"/>
          <w:bCs w:val="0"/>
          <w:rtl/>
        </w:rPr>
        <w:t xml:space="preserve">רְקִיעָא קַדְמָאָה אְבָגֱיתץ, וּנְקוּדָה דִילֵיהּ יְהָוֱה, דְּנָפְקִין מֵאִלֵּין רָאשֵׁי תֵּיבִין בְּ'רֵאשִׁית בָּ'רָא אֱ'להי''ם, וְאִית תַּמָּן תְּמַנְיָא מַבּוּעִין, דְּנָפְקִין מִצִּנּוֹרָא חֲדָא, דְאִיהוּ רָקִיעַ, וְאִינוּן תְּמַנְיָא נִצּוֹצִין, וְרָקִיעַ תִּנְיָינָא קַרֱעְשטן, וּנְקוּדָה דִלְהוֹן וַ'יֹּאמֶר אֱ'להי''ם יְ'הִי רָקִיעַ וְדָא יַהֱוְ''ה, תְּלִיתָאָה נַגֱדִיכש נְקוּדָה דִילֵיהּ וַ'יּאמֶר אֱ'להי''ם יִ'קָּווּ הַמַּיִם, וְדָא יַהֱוִ''ה, רְבִיעָאָה בַטֱרְצתג, נְקוּדָה דִילֵיהּ וַ'יֹּאמֶר אֱ'להי''ם יְ'הִי מְאֹרֹת, וְדָא יַהֱוְ''ה, חֲמִשָּׁאָה חַקֱבִטנע, וּנְקוּדָה דִילֵיהּ וַ'יֹּאמֶר אֱ'להי''ם יִ'שְׁרְצוּ הַמַּיִם, וְדָא יַהֱוִ''ה, שְׁתִיתָאָה יַגֱלֹפזק, נְקוּדָה דִילֵיהּ וַ'יֹּאמֶר אֱ'להי''ם תּוֹ'צֵא הָאָרֶץ, וְדָא יַהֱוֹה, שַׁקֱוִצית, </w:t>
      </w:r>
      <w:r>
        <w:rPr>
          <w:rStyle w:val="a7"/>
          <w:b w:val="0"/>
          <w:bCs w:val="0"/>
          <w:rtl/>
        </w:rPr>
        <w:footnoteReference w:id="5559"/>
      </w:r>
      <w:r>
        <w:rPr>
          <w:b w:val="0"/>
          <w:bCs w:val="0"/>
          <w:rtl/>
        </w:rPr>
        <w:t>דָא נְקוּדָה שְׁבִיעָאָה וְדָא נְקוּדָה כָּלִיל בְּיוֹמָא שְׁתִיתָאָה, וַ'יֹּאמֶר אֱ'להי''ם הִ'נֵּה נָתַתִּי, וְדָא יַהֱוִ''ה.</w:t>
      </w:r>
    </w:p>
    <w:p w:rsidR="006D2826" w:rsidRDefault="006D2826" w:rsidP="006D2826">
      <w:pPr>
        <w:pStyle w:val="aa"/>
        <w:spacing w:after="40"/>
        <w:rPr>
          <w:rtl/>
        </w:rPr>
      </w:pPr>
      <w:r>
        <w:rPr>
          <w:rtl/>
        </w:rPr>
        <w:t>[תיקוני זוהר - דף מ ע''א]</w:t>
      </w:r>
    </w:p>
    <w:p w:rsidR="006D2826" w:rsidRDefault="006D2826" w:rsidP="006D2826">
      <w:pPr>
        <w:pStyle w:val="aa"/>
        <w:spacing w:after="40"/>
        <w:rPr>
          <w:rFonts w:cs="Guttman Frank"/>
          <w:b w:val="0"/>
          <w:sz w:val="20"/>
          <w:szCs w:val="23"/>
          <w:rtl/>
        </w:rPr>
      </w:pPr>
      <w:r>
        <w:rPr>
          <w:rFonts w:cs="Guttman Frank"/>
          <w:b w:val="0"/>
          <w:sz w:val="20"/>
          <w:szCs w:val="23"/>
          <w:rtl/>
        </w:rPr>
        <w:t>[א"ה קטע זה היה בסוף תיקון תשעה עשר](ס''א מצאתי)</w:t>
      </w:r>
      <w:r>
        <w:rPr>
          <w:rFonts w:cs="Guttman Frank"/>
          <w:b w:val="0"/>
          <w:bCs w:val="0"/>
          <w:sz w:val="29"/>
          <w:szCs w:val="29"/>
          <w:rtl/>
        </w:rPr>
        <w:t xml:space="preserve"> וְתָא חֲזִי כָּל שְׁמָא דְאִיהִי מִן תְּרֵין אַתְוָון כְּגוֹן כִּי בְּיָ''הּ יהו''ה צוּר עוֹלָמִים </w:t>
      </w:r>
      <w:r>
        <w:rPr>
          <w:rFonts w:cs="Guttman Frank"/>
          <w:b w:val="0"/>
          <w:sz w:val="20"/>
          <w:szCs w:val="23"/>
          <w:rtl/>
        </w:rPr>
        <w:t>(ישעיה כו ד)</w:t>
      </w:r>
      <w:r>
        <w:rPr>
          <w:rFonts w:cs="Guttman Frank"/>
          <w:b w:val="0"/>
          <w:bCs w:val="0"/>
          <w:sz w:val="29"/>
          <w:szCs w:val="29"/>
          <w:rtl/>
        </w:rPr>
        <w:t xml:space="preserve"> תַּלְיָא מִן חָכְמָה, וּמִן תְּלַת אַתְוָון תַּלְיָין מִן בִּינָה, וּמִן אַרְבַּע תַּלְיָן מִן שְׁכִינְתָּא תַּתָּאָה, וּמִן חָמֵשׁ תַּלְיָין בְּחָמֵשׁ סְפִירָן, וּמִן שִׁית תַּלְיָין מִן צַדִּיק, וּמִן שֶׁבַע וְתִשְׁעָה בֵּיהּ, מִן עֶשֶׂר בִּשְׁכִינְתָּא תַּתָּאָה, דְּאִיהִי עֲשִׂירִית הָאֵיפָה סֹלֶת, </w:t>
      </w:r>
      <w:r>
        <w:rPr>
          <w:rStyle w:val="a7"/>
          <w:rFonts w:cs="Guttman Frank"/>
          <w:b w:val="0"/>
          <w:bCs w:val="0"/>
          <w:sz w:val="29"/>
          <w:szCs w:val="29"/>
          <w:rtl/>
        </w:rPr>
        <w:footnoteReference w:id="5560"/>
      </w:r>
      <w:r>
        <w:rPr>
          <w:rFonts w:cs="Guttman Frank"/>
          <w:b w:val="0"/>
          <w:bCs w:val="0"/>
          <w:sz w:val="29"/>
          <w:szCs w:val="29"/>
          <w:rtl/>
        </w:rPr>
        <w:t xml:space="preserve">וּבָהּ מְעַשְּׂרִין, וּבְגִין דְּאִיהִי כְלִילָא מֵעֶשֶׂר, אִתְּמַר בָּהּ אֵין שְׁכִינָה שׁוֹרָה בְּפָחוּת מֵעֲשָׂרָה </w:t>
      </w:r>
      <w:r>
        <w:rPr>
          <w:rFonts w:cs="Guttman Frank"/>
          <w:b w:val="0"/>
          <w:sz w:val="20"/>
          <w:szCs w:val="23"/>
          <w:rtl/>
        </w:rPr>
        <w:t>(כאן חסר)</w:t>
      </w:r>
      <w:r>
        <w:rPr>
          <w:rFonts w:cs="Guttman Frank"/>
          <w:b w:val="0"/>
          <w:bCs w:val="0"/>
          <w:sz w:val="29"/>
          <w:szCs w:val="29"/>
          <w:rtl/>
        </w:rPr>
        <w:t xml:space="preserve">. </w:t>
      </w:r>
      <w:r>
        <w:rPr>
          <w:rFonts w:cs="Guttman Frank"/>
          <w:b w:val="0"/>
          <w:sz w:val="20"/>
          <w:szCs w:val="23"/>
          <w:rtl/>
        </w:rPr>
        <w:t>[ע"כ הקטע מסוף תיקון תשעה עשר. ג.פ.]</w:t>
      </w:r>
    </w:p>
    <w:p w:rsidR="006D2826" w:rsidRDefault="006D2826" w:rsidP="006D2826">
      <w:pPr>
        <w:pStyle w:val="aa"/>
        <w:spacing w:after="40"/>
        <w:rPr>
          <w:rtl/>
        </w:rPr>
      </w:pPr>
      <w:r>
        <w:rPr>
          <w:rtl/>
        </w:rPr>
        <w:t xml:space="preserve">[תיקוני זוהר - המשך דף קלג ע"ב, דף קלד ע''א] </w:t>
      </w:r>
    </w:p>
    <w:p w:rsidR="006D2826" w:rsidRDefault="006D2826" w:rsidP="006D2826">
      <w:pPr>
        <w:pStyle w:val="NormalWeb"/>
        <w:rPr>
          <w:b w:val="0"/>
          <w:bCs w:val="0"/>
          <w:rtl/>
        </w:rPr>
      </w:pPr>
      <w:r>
        <w:rPr>
          <w:b w:val="0"/>
          <w:bCs w:val="0"/>
          <w:rtl/>
        </w:rPr>
        <w:t xml:space="preserve">תָּא חֲזִי אִית שְׁמָהָן דְּאורַיְיתָא דְנָפְקִין מֵרֵישֵׁי תֵּיבִין דְּכָל פְּסוּקָא וּפְסוּקָא דְאוֹרַיְיתָא, וְאִית שְׁמָהָן דְּנָפְקִין מִסּוֹף תֵּיבִין, וְאִית דְּנָפְקִין מֵאֶמְצָעִיתָא, וְרָזָא דְמִלָּה </w:t>
      </w:r>
      <w:r>
        <w:rPr>
          <w:b w:val="0"/>
          <w:sz w:val="20"/>
          <w:szCs w:val="23"/>
          <w:rtl/>
        </w:rPr>
        <w:t>(נ''א דכלא)</w:t>
      </w:r>
      <w:r>
        <w:rPr>
          <w:b w:val="0"/>
          <w:szCs w:val="23"/>
          <w:rtl/>
        </w:rPr>
        <w:t xml:space="preserve"> </w:t>
      </w:r>
      <w:r>
        <w:rPr>
          <w:b w:val="0"/>
          <w:sz w:val="20"/>
          <w:szCs w:val="23"/>
          <w:rtl/>
        </w:rPr>
        <w:t>(ישעיה מד ו)</w:t>
      </w:r>
      <w:r>
        <w:rPr>
          <w:b w:val="0"/>
          <w:bCs w:val="0"/>
          <w:rtl/>
        </w:rPr>
        <w:t xml:space="preserve"> אֲנִי רִאשׁוֹן וַאֲנִי אַחֲרוֹן וּמִבַּלְעָדַי אֵין </w:t>
      </w:r>
      <w:r>
        <w:rPr>
          <w:b w:val="0"/>
          <w:sz w:val="20"/>
          <w:szCs w:val="23"/>
          <w:rtl/>
        </w:rPr>
        <w:t xml:space="preserve">(דף קלד ע''א) </w:t>
      </w:r>
      <w:r>
        <w:rPr>
          <w:b w:val="0"/>
          <w:bCs w:val="0"/>
          <w:rtl/>
        </w:rPr>
        <w:t xml:space="preserve">אלהי''ם, </w:t>
      </w:r>
      <w:r>
        <w:rPr>
          <w:rStyle w:val="a7"/>
          <w:b w:val="0"/>
          <w:bCs w:val="0"/>
          <w:rtl/>
        </w:rPr>
        <w:footnoteReference w:id="5561"/>
      </w:r>
      <w:r>
        <w:rPr>
          <w:b w:val="0"/>
          <w:bCs w:val="0"/>
          <w:rtl/>
        </w:rPr>
        <w:t xml:space="preserve">וְאִית שְׁמָהָן דְּנָפְקִין מִתְּרֵין אַתְוָון כָּל חַד וְחַד, וְאִית מִתְּלַת תְּלַת, וְאִית מֵאַרְבַּע, וְאִית מֵחָמֵשׁ, עַד עֲשָׂרָה, אִינוּן מֵעֲשַׂר סְפִירָאן תַּלְיָין, </w:t>
      </w:r>
      <w:r>
        <w:rPr>
          <w:rStyle w:val="a7"/>
          <w:b w:val="0"/>
          <w:bCs w:val="0"/>
          <w:rtl/>
        </w:rPr>
        <w:footnoteReference w:id="5562"/>
      </w:r>
      <w:r>
        <w:rPr>
          <w:b w:val="0"/>
          <w:bCs w:val="0"/>
          <w:rtl/>
        </w:rPr>
        <w:t xml:space="preserve">מִתְּרֵין עֲשַׂר אִינוּן תַּלְיָין מִכֶּתֶר עִלָּאָה, כְּגוֹן יואאחצ''צבירון, בְּהַאי שְׁמָא תַּמָּן אָח, תַּמָּן צִיץ, תַּמָּן אַבִּיר, תַּמָּן רוֹן, דָּא שְׁמָא דְתַלְיָא מִכִּתְרָא עִלָּאָה, כָּל שְׁמָא דְאִיהוּ מִתְּרֵין עֲשַׂר אַתְוָון, אִיהוּ בְּרָזָא דְאַלֶּ''ף, דְּאִיהוּ פֶּלֶ''א, וַעֲלֵיהּ אִתְּמַר </w:t>
      </w:r>
      <w:r>
        <w:rPr>
          <w:b w:val="0"/>
          <w:sz w:val="20"/>
          <w:szCs w:val="23"/>
          <w:rtl/>
        </w:rPr>
        <w:t>(תהלים קלט יד)</w:t>
      </w:r>
      <w:r>
        <w:rPr>
          <w:b w:val="0"/>
          <w:bCs w:val="0"/>
          <w:rtl/>
        </w:rPr>
        <w:t xml:space="preserve"> אוֹדְךָ עַל כִּי נוֹרָאוֹת נִפְלֵאתִי נִפְלָאִים מַעֲשֶׂיךָ, וּתְרֵין עֲשַׂר שְׁמָהָן אִנּוּן אא"חצצ"ביה"הרו''ן, </w:t>
      </w:r>
      <w:r>
        <w:rPr>
          <w:b w:val="0"/>
          <w:sz w:val="20"/>
          <w:szCs w:val="23"/>
          <w:rtl/>
        </w:rPr>
        <w:t>(ס''א יואחציצבירו''ן)</w:t>
      </w:r>
      <w:r>
        <w:rPr>
          <w:b w:val="0"/>
          <w:szCs w:val="23"/>
          <w:rtl/>
        </w:rPr>
        <w:t xml:space="preserve">, </w:t>
      </w:r>
      <w:r>
        <w:rPr>
          <w:b w:val="0"/>
          <w:sz w:val="20"/>
          <w:szCs w:val="23"/>
          <w:rtl/>
        </w:rPr>
        <w:t>(ס''א אהצצביהרירו''ן)</w:t>
      </w:r>
      <w:r>
        <w:rPr>
          <w:b w:val="0"/>
          <w:szCs w:val="23"/>
          <w:rtl/>
        </w:rPr>
        <w:t xml:space="preserve">, </w:t>
      </w:r>
      <w:r>
        <w:rPr>
          <w:b w:val="0"/>
          <w:sz w:val="20"/>
          <w:szCs w:val="23"/>
          <w:rtl/>
        </w:rPr>
        <w:t>(נ''א אהה נצב הרירו''ן)</w:t>
      </w:r>
      <w:r>
        <w:rPr>
          <w:b w:val="0"/>
          <w:bCs w:val="0"/>
          <w:rtl/>
        </w:rPr>
        <w:t xml:space="preserve">, כָּל חַד מִתְּרֵין עֲשַׂר אַתְוָון, וְאִינוּן מְמַנָּן עַל תְּרֵין עֲשַׂר צִנּוֹרִין, דְּנָפְקִין מִמְּקוֹר עִלָּאָה דְלֵית לֵיהּ סוֹף, וְאִינוּן מִסִּטְרָא דַאֲרִיךְ אַנְפִּין דְּאִיהוּ וָא''ו, וְאִינוּן הֵ''א הֵ''א, יוּ''ד אִיהוּ כ' כֶּתֶר בְּרֵישָׁא דְא' </w:t>
      </w:r>
      <w:r>
        <w:rPr>
          <w:b w:val="0"/>
          <w:sz w:val="20"/>
          <w:szCs w:val="23"/>
          <w:rtl/>
        </w:rPr>
        <w:t>(נ''א דא)</w:t>
      </w:r>
      <w:r>
        <w:rPr>
          <w:b w:val="0"/>
          <w:bCs w:val="0"/>
          <w:rtl/>
        </w:rPr>
        <w:t xml:space="preserve"> דְּאִיהוּ אֶרֶךְ אַפַּיִם, דְּאִיהוּ וָא''ו, א' אִיהִי אוֹרַיְיתָא, דְאִיהִי אִתְיְיהִיבַת בִּתְרֵין לוּחִין דְּאִינוּן ו' ו', וְאִית כִּתְרָא דִזְעִיר אַנְפִּין דְּאִתְּמַר בֵּיהּ </w:t>
      </w:r>
      <w:r>
        <w:rPr>
          <w:b w:val="0"/>
          <w:sz w:val="20"/>
          <w:szCs w:val="23"/>
          <w:rtl/>
        </w:rPr>
        <w:t>(איוב לו ב)</w:t>
      </w:r>
      <w:r>
        <w:rPr>
          <w:b w:val="0"/>
          <w:bCs w:val="0"/>
          <w:rtl/>
        </w:rPr>
        <w:t xml:space="preserve"> כַּתַּר לִי זְעִיר וַאֲחַוְּךָּ, וְכַמָּה כִּתְרִין אִינוּן, כֶּתֶר תּוֹרָה וְכֶתֶר כְּהוּנָה וְכֶתֶר מַלְכוּת.</w:t>
      </w:r>
    </w:p>
    <w:p w:rsidR="006D2826" w:rsidRDefault="006D2826" w:rsidP="006D2826">
      <w:pPr>
        <w:pStyle w:val="NormalWeb"/>
        <w:rPr>
          <w:b w:val="0"/>
          <w:bCs w:val="0"/>
          <w:rtl/>
        </w:rPr>
      </w:pPr>
      <w:r>
        <w:rPr>
          <w:rStyle w:val="a7"/>
          <w:b w:val="0"/>
          <w:bCs w:val="0"/>
          <w:rtl/>
        </w:rPr>
        <w:footnoteReference w:id="5563"/>
      </w:r>
      <w:r>
        <w:rPr>
          <w:b w:val="0"/>
          <w:bCs w:val="0"/>
          <w:rtl/>
        </w:rPr>
        <w:t xml:space="preserve">מַאי אִית בֵּין כֶּתֶר לַעֲטֶרֶת, אֶלָּא כֶתֶר אִיהוּ מִסִּטְרָא דְא', דְּאִיהוּ בְדִיּוֹקְנָא דְאָת יוּ''ד, דְּסָלִיק כ', וְדָא א' מִן אהי''ה, דְּאִיהוּ כֶּתֶר דַּאֲרִיךְ אַנְפִּין, א' מִן אדנ''י כֶּתֶר דִּזְעִיר אַנְפִּין, </w:t>
      </w:r>
      <w:r>
        <w:rPr>
          <w:rStyle w:val="a7"/>
          <w:b w:val="0"/>
          <w:bCs w:val="0"/>
          <w:rtl/>
        </w:rPr>
        <w:footnoteReference w:id="5564"/>
      </w:r>
      <w:r>
        <w:rPr>
          <w:b w:val="0"/>
          <w:bCs w:val="0"/>
          <w:rtl/>
        </w:rPr>
        <w:t xml:space="preserve">י' מִן יהו''ה אִיהִי עֲטָרָה עַל סֵפֶר תּוֹרָה דְאִיהוּ ו', וְאִית י' לְתַתָּא וְאִיהִי י' מִן אדנ''י, דְּאִיהִי עֲטָרָה בְרֵישָׁא דְכָל צַדִּיק, </w:t>
      </w:r>
      <w:r>
        <w:rPr>
          <w:rStyle w:val="a7"/>
          <w:b w:val="0"/>
          <w:bCs w:val="0"/>
          <w:rtl/>
        </w:rPr>
        <w:footnoteReference w:id="5565"/>
      </w:r>
      <w:r>
        <w:rPr>
          <w:b w:val="0"/>
          <w:bCs w:val="0"/>
          <w:rtl/>
        </w:rPr>
        <w:t xml:space="preserve">לֵית סְפִירָה דְלָא אִית לָהּ עֲטָרָה עַל רֵישָׁא וְכֶתֶר, וַעֲטָרָה דְאִיהִי י' אִיהִי עֲטָרָה דִבְרִית מִילָה, דְסָלִיק לְמֵאָה, עֶשֶׂר זִמְנִין עֶשֶׂר מֵאָה, </w:t>
      </w:r>
      <w:r>
        <w:rPr>
          <w:rStyle w:val="a7"/>
          <w:b w:val="0"/>
          <w:bCs w:val="0"/>
          <w:rtl/>
        </w:rPr>
        <w:footnoteReference w:id="5566"/>
      </w:r>
      <w:r>
        <w:rPr>
          <w:b w:val="0"/>
          <w:bCs w:val="0"/>
          <w:rtl/>
        </w:rPr>
        <w:t>וְאִיהוּ עַ"ל דְּכָּל פִּקּוּדָא וּפִקּוּדָא, וְכַמָּה עַ"ל אִינוּן דְּסָלְקִין עַל כָּל בִּרְכָאָן וּפִקּוּדִין.</w:t>
      </w:r>
    </w:p>
    <w:p w:rsidR="006D2826" w:rsidRDefault="006D2826" w:rsidP="006D2826">
      <w:pPr>
        <w:pStyle w:val="NormalWeb"/>
        <w:rPr>
          <w:b w:val="0"/>
          <w:bCs w:val="0"/>
          <w:rtl/>
        </w:rPr>
      </w:pPr>
      <w:r>
        <w:rPr>
          <w:b w:val="0"/>
          <w:bCs w:val="0"/>
          <w:rtl/>
        </w:rPr>
        <w:t xml:space="preserve">וְכָל סְפִירָן סָלְקִין כָּל חַד וְחַד לְמֵאָה בְּאָת י', וּבְאָת א' סָלְקִין לַעֲשֶׂרֶת אֲלָפִים, וְאִית לְעִילָא מִנַּיְיהוּ הַהוּא דְאִתְקְרֵי עִלַּת עַל כָּל הָעִלּוֹת, דְּסָלִיק עַל כָּל עִלָּאִין, וְלֵית מָאן דְּסָלִיק עֲלֵיהּ, וְכַמָּה אַתְוָון אִית בְּאוֹרַיְיתָא מְעוּטָּרִים וּמְכוּתָּרִים, וּמֵאִלֵּין עִלָּאִין נָחֲתִין בִּרְכָאָן וּמַבּוּעִין לְכָל סְפִירָה וּסְפִירָה דְּאִינוּן י''א, עַל כָּל סְפִירָה וּסְפִירָה, וְאִינוּן י'א'י'א מִן </w:t>
      </w:r>
      <w:r>
        <w:rPr>
          <w:b w:val="0"/>
          <w:sz w:val="20"/>
          <w:szCs w:val="23"/>
          <w:rtl/>
        </w:rPr>
        <w:t>(דברים ו ד)</w:t>
      </w:r>
      <w:r>
        <w:rPr>
          <w:b w:val="0"/>
          <w:bCs w:val="0"/>
          <w:rtl/>
        </w:rPr>
        <w:t xml:space="preserve"> יְ הוָֹה אֱ לֹהֵינוּ יְ הוָֹה אֶ חָד, בְּא' אִתְקְרֵי אֵ''ל עֶלְיוֹן, בְּי' יהו''ה, וְכֵן בְּא' אִתְקְרֵי אלהינ''ו אהי''ה אלהי''ם אדנ''י וְהָא אוּקְמוּהָ. וְעוֹד כֶּתֶר עִלָּאָה אַף עַל גַּב דְּאִיהוּ אוֹר קַדְמוֹן אוֹר צַח וְאוֹר מְצוּחְצָח, אִיהוּ אוּכַם קֳדָם עִלַּת הָעִלּוֹת, וְכָל חֲיָילִין דְּתַלְיָין מִנֵּיהּ אִתְּמַר בְּהוֹן </w:t>
      </w:r>
      <w:r>
        <w:rPr>
          <w:b w:val="0"/>
          <w:sz w:val="20"/>
          <w:szCs w:val="23"/>
          <w:rtl/>
        </w:rPr>
        <w:t>(שיר ה יא)</w:t>
      </w:r>
      <w:r>
        <w:rPr>
          <w:b w:val="0"/>
          <w:bCs w:val="0"/>
          <w:rtl/>
        </w:rPr>
        <w:t xml:space="preserve"> קְווּצּוֹתָיו תַּלְתַּלִּים שְׁחוֹרוֹת כָּעוֹרֵב, לֵית נְהוֹרָא קַיְימָא קַמֵּי נְהוֹרֵיהּ, דְּכֻלְּהוּ נְהוֹרִין אִתְחַשְׁכָאן קַמֵּיהּ.</w:t>
      </w:r>
    </w:p>
    <w:p w:rsidR="006D2826" w:rsidRDefault="006D2826" w:rsidP="006D2826">
      <w:pPr>
        <w:pStyle w:val="NormalWeb"/>
        <w:rPr>
          <w:b w:val="0"/>
          <w:bCs w:val="0"/>
          <w:rtl/>
        </w:rPr>
      </w:pPr>
      <w:r>
        <w:rPr>
          <w:b w:val="0"/>
          <w:bCs w:val="0"/>
          <w:rtl/>
        </w:rPr>
        <w:t xml:space="preserve">תָּא חֲזִי כַּמָּה עִלּוֹת סְתִימִין, דְּאִינוּן מִתְלַבְּשִׁין וְאִינוּן מוּרְכָּבִין בִּסְפִירָן, וּסְפִירָן מֶרְכָּבָה לְגַבַּיְיהוּ, דְאִינוּן טְמִירִין מִמַּחְשְׁבוֹת בְּנֵי אָדָם, וַעֲלַיְיהוּ אִתְּמַר </w:t>
      </w:r>
      <w:r>
        <w:rPr>
          <w:b w:val="0"/>
          <w:sz w:val="20"/>
          <w:szCs w:val="23"/>
          <w:rtl/>
        </w:rPr>
        <w:t>(קהלת ח ח)</w:t>
      </w:r>
      <w:r>
        <w:rPr>
          <w:b w:val="0"/>
          <w:bCs w:val="0"/>
          <w:rtl/>
        </w:rPr>
        <w:t xml:space="preserve"> כִּי גָבֹהַּ מֵעַל גָּבֹהַּ שֹׁמֵר וּגְבֹהִים עֲלֵיהֶם, נְהוֹרִין מְצוּחְצָחִין אִלֵּין עַל אִלֵּין, וְאִלֵּין דִּמְקַבְּלִין אִינוּן כַּחֲשׁוֹכִין מֵאָחֳרָנִין דַּעֲלַיְיהוּ דִּמְקַבְּלִין מִנַּיְיהוּ, וְעִלַּת עַל כָּל הָעִלּוֹת, לֵית נְהוֹרָא קַיְימָא קַמֵּיהּ, כָּל נְהוֹרִין מְצוּחְצָחִין מִתְחַשְׁכָאן קַמֵּיהּ.</w:t>
      </w:r>
    </w:p>
    <w:p w:rsidR="006D2826" w:rsidRDefault="006D2826" w:rsidP="006D2826">
      <w:pPr>
        <w:pStyle w:val="NormalWeb"/>
        <w:rPr>
          <w:b w:val="0"/>
          <w:bCs w:val="0"/>
          <w:rtl/>
        </w:rPr>
      </w:pPr>
      <w:r>
        <w:rPr>
          <w:b w:val="0"/>
          <w:bCs w:val="0"/>
          <w:rtl/>
        </w:rPr>
        <w:t xml:space="preserve">וְכָל נְהוֹרִין דְּאִינוּן לְעִילָא מִנְּהוֹרִין אִינוּן כִּתְרִין עַל רֵישַׁיְיהוּ, וְרָזָא דְמִלָּה אל''ף ה''א יו''ד ה''א, דָא רָזָא דַעֲשָׂרָה כִּתְרִין דְּאִינוּן מוּרְכָּבִין עַל עֲשַׂר סְפִירָן, </w:t>
      </w:r>
      <w:r>
        <w:rPr>
          <w:rStyle w:val="a7"/>
          <w:b w:val="0"/>
          <w:bCs w:val="0"/>
          <w:rtl/>
        </w:rPr>
        <w:footnoteReference w:id="5567"/>
      </w:r>
      <w:r>
        <w:rPr>
          <w:b w:val="0"/>
          <w:bCs w:val="0"/>
          <w:rtl/>
        </w:rPr>
        <w:t xml:space="preserve">וְדָא אִיהוּ כִּי גָבֹהַּ מֵעַל גָּבֹהַּ שֹׁמֵר, וּגְבֹהִים עֲלֵיהֶם יו''ד ה''א וא''ו ה''א, יו''ד ה''י וא''ו ה''י, אִלֵּין עַל אִלֵּין, עֶשֶׂר נְהוֹרִין בְּעֶשֶׂר, הֲדָא הוּא דִכְתִיב </w:t>
      </w:r>
      <w:r>
        <w:rPr>
          <w:b w:val="0"/>
          <w:sz w:val="20"/>
          <w:szCs w:val="23"/>
          <w:rtl/>
        </w:rPr>
        <w:t>(במדבר ז')</w:t>
      </w:r>
      <w:r>
        <w:rPr>
          <w:b w:val="0"/>
          <w:bCs w:val="0"/>
          <w:rtl/>
        </w:rPr>
        <w:t xml:space="preserve"> עֲשָׂרָה עֲשָׂרָה הַכַּף בְּשֶׁקֶל הַקֹּדֶשׁ, לְעִילָא עַל כֻּלְּהוּ עִלַּת הָעִלּוֹת דְּרָכִיב עַל כֹּלָּא וְשַׁלִּיט עַל כֹּלָּא, וְכֻלְּהוּ שְׁמָהָן אִינוּן מֶרְכָּבָה דִילֵיהּ, וְלֵית דְּרָכִיב עֲלֵיהּ, דְּלֵית לְעִילָא מִנֵּיהּ, וּבְגִין דָּא אִתְקְרֵי עִלַּת עַל כָּל עִלָּאִין.</w:t>
      </w:r>
    </w:p>
    <w:p w:rsidR="006D2826" w:rsidRDefault="006D2826" w:rsidP="006D2826">
      <w:pPr>
        <w:pStyle w:val="aa"/>
        <w:spacing w:after="40"/>
        <w:rPr>
          <w:rtl/>
        </w:rPr>
      </w:pPr>
      <w:r>
        <w:rPr>
          <w:rtl/>
        </w:rPr>
        <w:t xml:space="preserve">[תיקוני זוהר - דף קלד ע''ב] </w:t>
      </w:r>
    </w:p>
    <w:p w:rsidR="006D2826" w:rsidRDefault="006D2826" w:rsidP="006D2826">
      <w:pPr>
        <w:pStyle w:val="NormalWeb"/>
        <w:rPr>
          <w:b w:val="0"/>
          <w:bCs w:val="0"/>
          <w:rtl/>
        </w:rPr>
      </w:pPr>
      <w:r>
        <w:rPr>
          <w:b w:val="0"/>
          <w:bCs w:val="0"/>
          <w:rtl/>
        </w:rPr>
        <w:t xml:space="preserve">וּשְׁמָהָן </w:t>
      </w:r>
      <w:r>
        <w:rPr>
          <w:b w:val="0"/>
          <w:sz w:val="20"/>
          <w:szCs w:val="23"/>
          <w:rtl/>
        </w:rPr>
        <w:t xml:space="preserve">(דף קלד ע''ב) </w:t>
      </w:r>
      <w:r>
        <w:rPr>
          <w:b w:val="0"/>
          <w:bCs w:val="0"/>
          <w:rtl/>
        </w:rPr>
        <w:t>אִלֵּין אִינוּן צִנּוֹרִין, וּשְׁמָהָן דַּעֲלַיְיהוּ (</w:t>
      </w:r>
      <w:r>
        <w:rPr>
          <w:b w:val="0"/>
          <w:sz w:val="20"/>
          <w:szCs w:val="23"/>
          <w:rtl/>
        </w:rPr>
        <w:t xml:space="preserve">נ"א מָבוּעִין דְּנָחֲתִין לְצִנּוֹרִין, וְכָל צִנּוֹרִין אִינוּן כְּאֵבָרִין דְּשִׁעוּר קוֹמָה, דְאָזְלִין בְּשִׁעוּר </w:t>
      </w:r>
      <w:r>
        <w:rPr>
          <w:rStyle w:val="a7"/>
          <w:b w:val="0"/>
          <w:sz w:val="20"/>
          <w:szCs w:val="23"/>
          <w:rtl/>
        </w:rPr>
        <w:footnoteReference w:id="5568"/>
      </w:r>
      <w:r>
        <w:rPr>
          <w:b w:val="0"/>
          <w:sz w:val="20"/>
          <w:szCs w:val="23"/>
          <w:rtl/>
        </w:rPr>
        <w:t>וּבַמִּדָּה וּבְתִקְלָא, הֲדָא הוּא דִכְתִיב (איוב כח כה) וּמַיִם תִּכֵּן בְּמִדָּה, וְהָא אוּקְמוּהָ כָּל חַד אִיהוּ מְקַבֵּל כְּפִי שִׁעוּרֵיהּ, וּכְפִי מִדָּה דִילֵיהּ, וְאִית נְבִיעוּ לְעִילָא דְלֵית לֵיהּ מִדָּה וְשִׁעוּר וּמִשְׁקָל, וְהָא אוּקְמוּהָ, (ויקרא יט לה) לֹא תַעֲשׂוּ עָוֶל בַּמִּשְׁפָּט בַּמִּדָּה בַּמִּשְׁקָל וּבַמְּשׂוּרָה, בַּמִּדָּה בְּחָמֵשׁ תִּקּוּנִין דְּה' עִלָּאָה, בַּמִּשְׁקָל דָּא ו', בַּמְּשׂוּרָה דָא ה', מִשְׁפָּט דְּכֹלָּא דָא י', הֲדָא הוּא דִכְתִיב (ישעיה ה טז) וַיִּגְבַּהּ יהו''ה צְבָאוֹ''ת בַּמִּשְׁפָּט, דְּאִיהוּ גָבֹהַּ מֵעַל גָּבֹהַּ שֹׁמֵר.)</w:t>
      </w:r>
      <w:r>
        <w:rPr>
          <w:b w:val="0"/>
          <w:bCs w:val="0"/>
          <w:rtl/>
        </w:rPr>
        <w:t xml:space="preserve"> </w:t>
      </w:r>
      <w:r>
        <w:rPr>
          <w:rStyle w:val="a7"/>
          <w:b w:val="0"/>
          <w:bCs w:val="0"/>
          <w:rtl/>
        </w:rPr>
        <w:footnoteReference w:id="5569"/>
      </w:r>
      <w:r>
        <w:rPr>
          <w:b w:val="0"/>
          <w:bCs w:val="0"/>
          <w:rtl/>
        </w:rPr>
        <w:t xml:space="preserve">נְבִיעִין דְּנָחֲתִין לְצִנּוֹרִין, הֲדָא הוּא דִכְתִיב </w:t>
      </w:r>
      <w:r>
        <w:rPr>
          <w:b w:val="0"/>
          <w:sz w:val="20"/>
          <w:szCs w:val="23"/>
          <w:rtl/>
        </w:rPr>
        <w:t>(איוב כח כה)</w:t>
      </w:r>
      <w:r>
        <w:rPr>
          <w:b w:val="0"/>
          <w:bCs w:val="0"/>
          <w:rtl/>
        </w:rPr>
        <w:t xml:space="preserve"> וּמַיִם תִּכֵּן בְּמִדָּה, וְהָא אוּקְמוּהָ כָּל חַד אִיהוּ מְקַבֵּל כְּפִי שִׁעוּרֵיהּ, וּכְפִי מִדָּה דִילֵיהּ, וְאִית נְבִיעוּ לְעִילָא דְלֵית לֵיהּ מִדָּה וְשִׁעוּר וּמִשְׁקָל, וְכָל צִנּוֹרִין אִינוּן אֵבָרִין דְּשִׁעוּר קוֹמָה, דְאָזְלִין בְּשִׁעוּר וּבַמִּדָּה וּבְתִקְלָא, הֲדָא הוּא דִכְתִיב </w:t>
      </w:r>
      <w:r>
        <w:rPr>
          <w:b w:val="0"/>
          <w:sz w:val="20"/>
          <w:szCs w:val="23"/>
          <w:rtl/>
        </w:rPr>
        <w:t>(ויקרא יט לה)</w:t>
      </w:r>
      <w:r>
        <w:rPr>
          <w:b w:val="0"/>
          <w:bCs w:val="0"/>
          <w:rtl/>
        </w:rPr>
        <w:t xml:space="preserve"> לֹא תַעֲשׂוּ עָוֶל בַּמִּשְׁפָּט בַּמִּדָּה בַּמִּשְׁקָל וּבַמְּשׂוּרָה, וְהָא אוּקְמוּהָ,</w:t>
      </w:r>
      <w:r>
        <w:rPr>
          <w:b w:val="0"/>
          <w:sz w:val="20"/>
          <w:szCs w:val="23"/>
          <w:rtl/>
        </w:rPr>
        <w:t xml:space="preserve"> </w:t>
      </w:r>
      <w:r>
        <w:rPr>
          <w:b w:val="0"/>
          <w:bCs w:val="0"/>
          <w:rtl/>
        </w:rPr>
        <w:t xml:space="preserve">בַּמִּדָּה בְּחָמֵשׁ תִּקּוּנִין דְּה' עִלָּאָה, בַּמִּשְׁקָל דָּא ו', בַּמְּשׂוּרָה דָא ה', מִשְׁפָּט דְּכֹלָּא דָא י', הֲדָא הוּא דִכְתִיב </w:t>
      </w:r>
      <w:r>
        <w:rPr>
          <w:b w:val="0"/>
          <w:sz w:val="20"/>
          <w:szCs w:val="23"/>
          <w:rtl/>
        </w:rPr>
        <w:t>(ישעיה ה טז)</w:t>
      </w:r>
      <w:r>
        <w:rPr>
          <w:b w:val="0"/>
          <w:bCs w:val="0"/>
          <w:rtl/>
        </w:rPr>
        <w:t xml:space="preserve"> וַיִּגְבַּהּ יהו''ה צְבָאוֹ''ת בַּמִּשְׁפָּט, דְּאִיהוּ גָבֹהַּ מֵעַל גָּבֹהַּ שֹׁמֵר.</w:t>
      </w:r>
    </w:p>
    <w:p w:rsidR="006D2826" w:rsidRDefault="006D2826" w:rsidP="006D2826">
      <w:pPr>
        <w:pStyle w:val="NormalWeb"/>
        <w:rPr>
          <w:b w:val="0"/>
          <w:bCs w:val="0"/>
          <w:rtl/>
        </w:rPr>
      </w:pPr>
      <w:r>
        <w:rPr>
          <w:rStyle w:val="a7"/>
          <w:b w:val="0"/>
          <w:bCs w:val="0"/>
          <w:rtl/>
        </w:rPr>
        <w:footnoteReference w:id="5570"/>
      </w:r>
      <w:r>
        <w:rPr>
          <w:b w:val="0"/>
          <w:bCs w:val="0"/>
          <w:rtl/>
        </w:rPr>
        <w:t xml:space="preserve">בַּמִּדָּה ה', חָמֵשׁ תִּקּוּנִין דְּה' עִלָּאָה, חָמֵשׁ זִמְנִין כְּגַוְונָא דָא אִאֻאֵאֹאָ וְסִימָנָךְ </w:t>
      </w:r>
      <w:r>
        <w:rPr>
          <w:b w:val="0"/>
          <w:sz w:val="20"/>
          <w:szCs w:val="23"/>
          <w:rtl/>
        </w:rPr>
        <w:t>(שמות כח יח)</w:t>
      </w:r>
      <w:r>
        <w:rPr>
          <w:b w:val="0"/>
          <w:bCs w:val="0"/>
          <w:rtl/>
        </w:rPr>
        <w:t xml:space="preserve"> פִּתּוּחֵי חוֹתָם. </w:t>
      </w:r>
    </w:p>
    <w:p w:rsidR="006D2826" w:rsidRDefault="006D2826" w:rsidP="006D2826">
      <w:pPr>
        <w:pStyle w:val="NormalWeb"/>
        <w:rPr>
          <w:b w:val="0"/>
          <w:bCs w:val="0"/>
          <w:rtl/>
        </w:rPr>
      </w:pPr>
      <w:r>
        <w:rPr>
          <w:b w:val="0"/>
          <w:bCs w:val="0"/>
          <w:rtl/>
        </w:rPr>
        <w:t xml:space="preserve">חָמֵשׁ נְקוּדִין אִינוּן אלהי''ם, כְּגַוְונָא דָא אִאֻאֵאֹאָ, תְּמַנְיָא נִצּוֹצִין אִינוּן תְּמַנְיָא יוּדִי''ן דְּסָלְקִין תְּמַנִין, </w:t>
      </w:r>
      <w:r>
        <w:rPr>
          <w:rStyle w:val="a7"/>
          <w:b w:val="0"/>
          <w:bCs w:val="0"/>
          <w:rtl/>
        </w:rPr>
        <w:footnoteReference w:id="5571"/>
      </w:r>
      <w:r>
        <w:rPr>
          <w:b w:val="0"/>
          <w:bCs w:val="0"/>
          <w:rtl/>
        </w:rPr>
        <w:t xml:space="preserve">אָמַר לֵיהּ רַבִּי אֶלְעָזָר, וְהָא הָכָא שׁוּרֵ''ק בִּנְקוּדָה חֲדָא בְּפִּתּוּחֵי חוֹתָם, וְהָכָא בִתְלַת נְקוּדִין, אָמַר לֵיהּ, בַּאֲתַר דְּאִית ו' אִיהוּ שׁוּרֵ''ק בִּנְקוּדָה חֲדָא, בַאֲתַר דְּלֵית ו' אִיהוּ שׁוּרֵ''ק בִּתְלַת נְקוּדִין בְּאַתְרֵיהּ, עִלָּאָה וְאֶמְצָעִיתָא וְתַתָּאָה, רָקִיעַ דְּאִיהוּ דִיּוֹקְנָא דְו' דְּאִיהוּ רְמִיזָא בְקָמֵ''ץ, הָא פ''ו כְּחֻשְׁבַּן אלהי''ם, וְאִלֵּין נְקוּדִין עֲלַיְיהוּ אִתְּמַר פִּתּוּחֵי חוֹתָם, </w:t>
      </w:r>
      <w:r>
        <w:rPr>
          <w:rStyle w:val="a7"/>
          <w:b w:val="0"/>
          <w:bCs w:val="0"/>
          <w:rtl/>
        </w:rPr>
        <w:footnoteReference w:id="5572"/>
      </w:r>
      <w:r>
        <w:rPr>
          <w:b w:val="0"/>
          <w:bCs w:val="0"/>
          <w:rtl/>
        </w:rPr>
        <w:t xml:space="preserve">וְאִימָּא עִלָּאָה חוֹתָם, כֻּלְּהוּן פִּתּוּחִין </w:t>
      </w:r>
      <w:r>
        <w:rPr>
          <w:b w:val="0"/>
          <w:sz w:val="20"/>
          <w:szCs w:val="23"/>
          <w:rtl/>
        </w:rPr>
        <w:t>(נ"א מפותחין)</w:t>
      </w:r>
      <w:r>
        <w:rPr>
          <w:b w:val="0"/>
          <w:bCs w:val="0"/>
          <w:rtl/>
        </w:rPr>
        <w:t xml:space="preserve"> בָּהּ, וְכֻלְּהוּ מְצוּיָירִין בָּהּ וּמִתְגַּלְּפָאן בָּהּ, וְאִיהִי חוֹתָם דְּכֻלְּהוּ, תֵּשַׁע נְקוּדִין אִינוּן גְּלִיפִין בָּהּ, תְּמַנְיָא נִיצוֹצוֹת וְרָקִיעַ, וְאִיהוּ עֲשִׂירִית לוֹן, תֵּשַׁע נְקוּדִין עַד צַדִּיק, וּמַלְכוּת אִיהִי חוֹתָם דְּכֻלְּהוֹן, כְּמָה דְאַתְּ אָמַר וְצֶאֱצָאָיו חָתַם בְּאוֹת בְּרִית קֹדֶשׁ, וְהַכִי אִינוּן תֵּשַׁע מִתַּתָּא לְעִילָא, וְאִימָּא עִלָּאָה חוֹתָם דְּכֻלְּהוּ, כֶּתֶר עַל כֻּלְּהוּ, וּבָהּ נַהֲרִין כְּמַרְגְּלָאן דְּנַהֲרִין בְּכִתְרָא.</w:t>
      </w:r>
    </w:p>
    <w:p w:rsidR="006D2826" w:rsidRDefault="006D2826" w:rsidP="006D2826">
      <w:pPr>
        <w:pStyle w:val="NormalWeb"/>
        <w:rPr>
          <w:b w:val="0"/>
          <w:bCs w:val="0"/>
          <w:rtl/>
        </w:rPr>
      </w:pPr>
      <w:r>
        <w:rPr>
          <w:b w:val="0"/>
          <w:bCs w:val="0"/>
          <w:rtl/>
        </w:rPr>
        <w:t xml:space="preserve">וּמִסִּטְרָא דְאִלֵּין נְקוּדִין אִתְקְרִיאַת שְׁכִינְתָּא שִׂיחָה דְכֹלָּא, שִׂיחָה דְמַלְאֲכֵי הַשָּׁרֵת, שִׂיחַת דְּקָלִים, שִׂיחַת הָרוּחוֹת, שִׂיחַת עוֹפִין, שִׂיחַת כָּל בִּרְיָין דְּעָלְמָא, אלהי''ם בְּלָא נְקוּדִין אִתְקְרֵי אִלֵּם, וְדָא רָזָא דְמִלָּה </w:t>
      </w:r>
      <w:r>
        <w:rPr>
          <w:b w:val="0"/>
          <w:sz w:val="20"/>
          <w:szCs w:val="23"/>
          <w:rtl/>
        </w:rPr>
        <w:t>(שם ד יא)</w:t>
      </w:r>
      <w:r>
        <w:rPr>
          <w:b w:val="0"/>
          <w:bCs w:val="0"/>
          <w:rtl/>
        </w:rPr>
        <w:t xml:space="preserve"> אוֹ מִי יָשׂוּם אִלֵּם, אוֹ מִי, מִ''י וַדַּאי, אִימָּא עִלָּאָה, מָאן שַׁוִּי אִלֵּם לְאִימָּא עִלָּאָה, עִלַּת הָעִלּוֹת דְּחֵילָא דְכֹלָּא בִידֵיהּ.</w:t>
      </w:r>
    </w:p>
    <w:p w:rsidR="006D2826" w:rsidRDefault="006D2826" w:rsidP="001336CC">
      <w:pPr>
        <w:pStyle w:val="2"/>
        <w:rPr>
          <w:rtl/>
        </w:rPr>
      </w:pPr>
      <w:r>
        <w:rPr>
          <w:rtl/>
        </w:rPr>
        <w:t xml:space="preserve">[תיקוני זוהר - הגהה דף קלה ע''א, דף קלה ע''ב, דף קלו ע''א, דף קלו ע''ב] </w:t>
      </w:r>
    </w:p>
    <w:p w:rsidR="001336CC" w:rsidRDefault="006D2826" w:rsidP="001336CC">
      <w:pPr>
        <w:pStyle w:val="NormalWeb"/>
        <w:rPr>
          <w:rtl/>
        </w:rPr>
      </w:pPr>
      <w:r>
        <w:rPr>
          <w:sz w:val="11"/>
          <w:szCs w:val="19"/>
          <w:rtl/>
        </w:rPr>
        <w:t>(אמר המגיה זה מצאתי בס''א וטוב לשומו כאן)</w:t>
      </w:r>
      <w:r>
        <w:rPr>
          <w:sz w:val="20"/>
          <w:szCs w:val="20"/>
          <w:rtl/>
        </w:rPr>
        <w:t xml:space="preserve"> </w:t>
      </w:r>
      <w:r>
        <w:rPr>
          <w:rStyle w:val="a7"/>
          <w:b w:val="0"/>
          <w:bCs w:val="0"/>
          <w:sz w:val="20"/>
          <w:szCs w:val="20"/>
          <w:rtl/>
        </w:rPr>
        <w:footnoteReference w:id="5573"/>
      </w:r>
      <w:r>
        <w:rPr>
          <w:rtl/>
        </w:rPr>
        <w:t xml:space="preserve">דָּבָר אַחֵר </w:t>
      </w:r>
      <w:r>
        <w:rPr>
          <w:sz w:val="11"/>
          <w:szCs w:val="19"/>
          <w:rtl/>
        </w:rPr>
        <w:t>(בראשית ה א)</w:t>
      </w:r>
      <w:r>
        <w:rPr>
          <w:rtl/>
        </w:rPr>
        <w:t xml:space="preserve"> זֶה סֵפֶר תּוֹלְדוֹת אָדָם וכו', זֶה תְּרֵין עֲשַׂר אַנְפִּין, דְּאִתְּמַר בְּהוֹן </w:t>
      </w:r>
      <w:r>
        <w:rPr>
          <w:sz w:val="11"/>
          <w:szCs w:val="19"/>
          <w:rtl/>
        </w:rPr>
        <w:t>(יחזקאל א י)</w:t>
      </w:r>
      <w:r>
        <w:rPr>
          <w:rtl/>
        </w:rPr>
        <w:t xml:space="preserve"> וּפְנֵי אַרְיֵה אֶל הַיָּמִין לְאַרְבַּעְתָּם, וּפְנֵי שׁוֹר וְגוֹמֵר, וּפְנֵי נֶשֶׁר וְגוֹמֵר, בְּיוֹם בְּרֹא אלהי''ם אָדָם חַיָּה רְבִיעָאָה, וְצָּרִיךְ לְאִסְתַּכָּלָא בְּהוֹן, בְּאַנְפִּין בְּאַרְבַּע גַּוָּונִין דְּנַהֲרִין בְּהוֹן אַרְבַּע חַיּוֹת, דְּאִתְּמַר בְּהוֹן </w:t>
      </w:r>
      <w:r>
        <w:rPr>
          <w:sz w:val="11"/>
          <w:szCs w:val="19"/>
          <w:rtl/>
        </w:rPr>
        <w:t>(דברים ה ד)</w:t>
      </w:r>
      <w:r>
        <w:rPr>
          <w:rtl/>
        </w:rPr>
        <w:t xml:space="preserve"> פָּנִים בְּפָנִים דִּבֶּר יהו''ה עִמָּכֶם, וּבְמֹשֶׁה נֶאֱמַר </w:t>
      </w:r>
      <w:r>
        <w:rPr>
          <w:sz w:val="11"/>
          <w:szCs w:val="19"/>
          <w:rtl/>
        </w:rPr>
        <w:t>(שמות לג יא)</w:t>
      </w:r>
      <w:r>
        <w:rPr>
          <w:rtl/>
        </w:rPr>
        <w:t xml:space="preserve"> וְדִבֶּר יהו''ה אֶל מֹשֶׁה פָּנִים אֶל פָּנִים, בָּתַר דְּאַהֲדָרוּ לַאֲחוֹרָא, קוּדְשָׁא בְּרִיךְ הוּא הַדַּר לוֹן אֲחֹרוֹי, וְדָא אִיהוּ </w:t>
      </w:r>
      <w:r>
        <w:rPr>
          <w:sz w:val="11"/>
          <w:szCs w:val="19"/>
          <w:rtl/>
        </w:rPr>
        <w:t>(שם כג)</w:t>
      </w:r>
      <w:r>
        <w:rPr>
          <w:rtl/>
        </w:rPr>
        <w:t xml:space="preserve"> וְרָאִיתָ אֶת אֲחֹרָי וּפָנֵי לֹא יִרָאוּ, וְאִלֵּין אִינוּן פָּנִים דְּנִרְאִין וּפָנִים דְּאֵינָן נִרְאִין. </w:t>
      </w:r>
      <w:r>
        <w:rPr>
          <w:rStyle w:val="a7"/>
          <w:b w:val="0"/>
          <w:bCs w:val="0"/>
          <w:rtl/>
        </w:rPr>
        <w:footnoteReference w:id="5574"/>
      </w:r>
      <w:r>
        <w:rPr>
          <w:rtl/>
        </w:rPr>
        <w:t xml:space="preserve">אַנְפִּין חִוָּורִין בַּעֲנָוָה, אִינוּן אַנְשֵׁי חַיִל, אַנְפִּין סוּמְקִין </w:t>
      </w:r>
      <w:r>
        <w:rPr>
          <w:rStyle w:val="a7"/>
          <w:b w:val="0"/>
          <w:bCs w:val="0"/>
          <w:rtl/>
        </w:rPr>
        <w:footnoteReference w:id="5575"/>
      </w:r>
      <w:r>
        <w:rPr>
          <w:rtl/>
        </w:rPr>
        <w:t xml:space="preserve">בְּבֹשֶׁת, דְּאִית לוֹן כְּסוּפָא מִן שְׁמַיָּא, אִינוּן יִרְאֵי אלהי''ם, אַנְפִּין יְרוֹקִין בְּאוֹרַיְיתָא, אִינוּן אַנְשֵׁי אֱמֶת, אַנְפִּין אוּכְמִין בְּמִצְּוָה, דְאִיהִי </w:t>
      </w:r>
      <w:r>
        <w:rPr>
          <w:sz w:val="20"/>
          <w:szCs w:val="23"/>
          <w:rtl/>
        </w:rPr>
        <w:t xml:space="preserve">(הגהה דף קלה ע''א) </w:t>
      </w:r>
      <w:r>
        <w:rPr>
          <w:rtl/>
        </w:rPr>
        <w:t xml:space="preserve">תְּפִלָּה דְיָד, וּתְפִלִּין בְּמִשְׁכָא אוּכְמָא, אִינוּן שֹׂנְאֵי בָצַּע, אֲבָל אַנְפִּין בְּלָא עֲנָוָה וּבְלָא בֹשֶׁת וּבְלָא תּוֹרָה וּמִצְּוָה, אִינוּן תֹּהוּ וָבֹהוּ וְחֹשֶׁךְ וּתְהוֹם, דְאִתְּמַר בְּהוֹן </w:t>
      </w:r>
      <w:r>
        <w:rPr>
          <w:sz w:val="11"/>
          <w:szCs w:val="19"/>
          <w:rtl/>
        </w:rPr>
        <w:t>(בראשית א ב)</w:t>
      </w:r>
      <w:r>
        <w:rPr>
          <w:rtl/>
        </w:rPr>
        <w:t xml:space="preserve"> וְהָאָרֶץ הָיְתָה תֹהוּ וָבֹהוּ וכו', דְּאִינוּן אַחְזְרִין עָלְמָא לְתֹהוּ וָבֹהוּ, </w:t>
      </w:r>
      <w:r>
        <w:rPr>
          <w:rStyle w:val="a7"/>
          <w:b w:val="0"/>
          <w:bCs w:val="0"/>
          <w:rtl/>
        </w:rPr>
        <w:footnoteReference w:id="5576"/>
      </w:r>
      <w:r>
        <w:rPr>
          <w:rtl/>
        </w:rPr>
        <w:t xml:space="preserve">אַנְשֵׁי חַיִל מִזַּרְעָא דְאַבְרָהָם, </w:t>
      </w:r>
      <w:r>
        <w:rPr>
          <w:rStyle w:val="a7"/>
          <w:b w:val="0"/>
          <w:bCs w:val="0"/>
          <w:rtl/>
        </w:rPr>
        <w:footnoteReference w:id="5577"/>
      </w:r>
      <w:r>
        <w:rPr>
          <w:rtl/>
        </w:rPr>
        <w:t xml:space="preserve">דְּבֵיהּ שְׁכִינְתָּא תַּתָּאָה, יִרְאֵי אלהי''ם מִזַּרְעָא דְיִצְּחָק, דְּבֵיהּ שְׁכִינְתָּא עִלָּאָה, דְהִיא אוֹצְּרָא לְחָכְמָה, אַנְשֵׁי אֱמֶת מִזַּרְעָא דְיַעֲקֹב דְּאִתְּמַר בֵּיהּ </w:t>
      </w:r>
      <w:r>
        <w:rPr>
          <w:sz w:val="11"/>
          <w:szCs w:val="19"/>
          <w:rtl/>
        </w:rPr>
        <w:t>(מיכה ז כ)</w:t>
      </w:r>
      <w:r>
        <w:rPr>
          <w:rtl/>
        </w:rPr>
        <w:t xml:space="preserve"> תִּתֵּן אֱמֶת לְיַעֲקֹב, וּבֵיהּ ו' דְּאִיהוּ תִּפְאֶרֶת, שֹׂנְאֵי בָצַּע מִסִּטְרָא דְּדָוִד דְּאִיהוּ רַגְלָא רְבִיעָאָה וּבֵיהּ י', דְאִתְּמַר בֵּיהּ בְּגִינָהּ </w:t>
      </w:r>
      <w:r>
        <w:rPr>
          <w:sz w:val="11"/>
          <w:szCs w:val="19"/>
          <w:rtl/>
        </w:rPr>
        <w:t>(שמואל א יז יד)</w:t>
      </w:r>
      <w:r>
        <w:rPr>
          <w:rtl/>
        </w:rPr>
        <w:t xml:space="preserve"> וְדָוִד הוּא הַקָּטָן, וְהַאי אִיהוּ שְׁמָא ההו''י, וּבְגַוָּונָא אָחֳרָא אִתְפַּרִישׁ לְזִמְנִין הוה''י, שְׁכִינְתָּא עִלָּאָה וְתַתָּאָה, וְעַמּוּדָא דְאֶמְצָּעִיתָא בֵּינַיְיהוּ, (נ"א </w:t>
      </w:r>
      <w:r>
        <w:rPr>
          <w:rStyle w:val="a7"/>
          <w:b w:val="0"/>
          <w:bCs w:val="0"/>
          <w:rtl/>
        </w:rPr>
        <w:footnoteReference w:id="5578"/>
      </w:r>
      <w:r>
        <w:rPr>
          <w:rtl/>
        </w:rPr>
        <w:t xml:space="preserve">וּכְגַוָּונָא אָחֳרָא והי''ה מִסִּטְרָא דְּמֹשֶׁה, וּבְגַוָּונָא אָחֳרָא יהו''ה מִסִּטְרָא דְּדָוִד, גַּוָּונִין מִתְהַפְּכִין וכו') </w:t>
      </w:r>
      <w:r>
        <w:rPr>
          <w:rStyle w:val="a7"/>
          <w:b w:val="0"/>
          <w:bCs w:val="0"/>
          <w:rtl/>
        </w:rPr>
        <w:footnoteReference w:id="5579"/>
      </w:r>
      <w:r>
        <w:rPr>
          <w:rtl/>
        </w:rPr>
        <w:t xml:space="preserve">וּבְגַוָּונָא אָחֳרָא והה"י, וּבְגַוָּונָא אָחֳרָא יהו''ה, מִסִּטְרָא דִּבְנֵי נַשָׁא גַּוָּונִין מִתְהַפְּכִין לְשִׁית סְרֵי, בִּשְׁכִינְתָּא כַּד אִיהִי צְּרִיכָא לְתַתָּאִין, וְדָא אִיהוּ דְאָמְרוּ מָארֵי מַתְנִיתִין, דְּבַר נַשׁ דְּצָּרִיךְ לִבְרִיּוֹת אַנְפּוֹי מִשְׁתַּנִין כַּכְּרוּם, דְּאִתְהֲפַךְ לְכַמָּה גַוָּונִים, וְאִית הֲפוּכָא דְגַוָּונִים לְטַב דְּנַהֲרִין בִּנְהוֹרָא, וְאִינוּן מְרַקְמָן מִכַּמָּה גַוָּונִין, </w:t>
      </w:r>
      <w:r>
        <w:rPr>
          <w:rStyle w:val="a7"/>
          <w:b w:val="0"/>
          <w:bCs w:val="0"/>
          <w:rtl/>
        </w:rPr>
        <w:footnoteReference w:id="5580"/>
      </w:r>
      <w:r>
        <w:rPr>
          <w:rtl/>
        </w:rPr>
        <w:t xml:space="preserve">וְכָל הַאי בְּגוּפָא, כְּגַוְונָא דְחֵיוַון דְאִתְבְּרִיאו בִּשְׁמָא דְיהו''ה, כָּל גַּוָּונִין וְצִּיּוּרִין דְּאִלֵּין גּוּפִין, וְאִינוּן כְּגַוְונָא דְנוֹבֶלֶת אוֹרָה דִלְעֵילָא גַלְגַּל חַמָּה, וַעֲלַיְיהוּ אִתְּמַר פְּנֵי מֹשֶׁה כִּפְנֵי חַמָּה וּפְנֵי יְהוֹשֻׁעַ כִּפְנֵי לְבָנָה, וְכַךְ דִּיּוֹקְנָא אִית לֵיהּ אַרְבַּע גַּוָּונִין, דְּאִית גַּוְונָא חִוְורָא סוּמְקָא יְרוֹקָא אוּכְמָא, </w:t>
      </w:r>
      <w:r>
        <w:rPr>
          <w:rStyle w:val="a7"/>
          <w:b w:val="0"/>
          <w:bCs w:val="0"/>
          <w:rtl/>
        </w:rPr>
        <w:footnoteReference w:id="5581"/>
      </w:r>
      <w:r>
        <w:rPr>
          <w:rtl/>
        </w:rPr>
        <w:t xml:space="preserve">נִימִין אִינוּן כֹּכְבַיָּא וּמַלְאָכַיָּא וּמְמַנָּן דְּתַלְיָין מֵאַנְפִּין כְּחוּשְׁבַּן נִימִין, וְכֻלְּהוּ מְשַׁמְּשֵׁי לְאַנְפִּין. </w:t>
      </w:r>
      <w:r>
        <w:rPr>
          <w:rStyle w:val="a7"/>
          <w:b w:val="0"/>
          <w:bCs w:val="0"/>
          <w:rtl/>
        </w:rPr>
        <w:footnoteReference w:id="5582"/>
      </w:r>
      <w:r>
        <w:rPr>
          <w:rtl/>
        </w:rPr>
        <w:t xml:space="preserve">פּוּמָא </w:t>
      </w:r>
      <w:r>
        <w:rPr>
          <w:sz w:val="11"/>
          <w:szCs w:val="19"/>
          <w:rtl/>
        </w:rPr>
        <w:t>(במדבר יב יח)</w:t>
      </w:r>
      <w:r>
        <w:rPr>
          <w:rtl/>
        </w:rPr>
        <w:t xml:space="preserve"> פֶּה אֶל פֶּה אֲדַבֶּר בּוֹ וּמַרְאֶה וְלֹא בְחִידוֹת, פֶּה אִיהוּ בְּרָזָא דִכְרוּבִים, דְּאִתְּמַר בְּהוֹן </w:t>
      </w:r>
      <w:r>
        <w:rPr>
          <w:sz w:val="11"/>
          <w:szCs w:val="19"/>
          <w:rtl/>
        </w:rPr>
        <w:t>(שמות כה כ)</w:t>
      </w:r>
      <w:r>
        <w:rPr>
          <w:rtl/>
        </w:rPr>
        <w:t xml:space="preserve"> וְהָיוּ הַכְּרוּבִים פֹּרְשֵׂי כְנָפַיִם לְמַעְלָה, אִלֵּין שִׂפְוָון כַּד אִתְפַּתְּחוּ אִתְפַּתְּחוּ בְּאדנ''י </w:t>
      </w:r>
      <w:r>
        <w:rPr>
          <w:sz w:val="11"/>
          <w:szCs w:val="19"/>
          <w:rtl/>
        </w:rPr>
        <w:t>(יהו''ה)</w:t>
      </w:r>
      <w:r>
        <w:rPr>
          <w:szCs w:val="23"/>
          <w:rtl/>
        </w:rPr>
        <w:t xml:space="preserve">, </w:t>
      </w:r>
      <w:r>
        <w:rPr>
          <w:rtl/>
        </w:rPr>
        <w:t>כְּמָה דְאַתְּ אָמַר</w:t>
      </w:r>
      <w:r>
        <w:rPr>
          <w:rStyle w:val="Char"/>
          <w:rtl/>
        </w:rPr>
        <w:t xml:space="preserve"> </w:t>
      </w:r>
      <w:r>
        <w:rPr>
          <w:sz w:val="11"/>
          <w:szCs w:val="19"/>
          <w:rtl/>
        </w:rPr>
        <w:t>(תהלים נא יז)</w:t>
      </w:r>
      <w:r>
        <w:rPr>
          <w:rtl/>
        </w:rPr>
        <w:t xml:space="preserve"> אדנ''י שְׂפָתַי תִּפְתָּח וּפִי יַגִּיד תְּהִלָּתֶךָ. וְאָמְרוּ מָארֵי מַתְנִיתִין, כָּל הַכּוֹרֵעַ כּוֹרֵעַ בְּבָרוּךְ, וְכָל הַזּוֹקֵף זוֹקֵף בְּשֵׁם יהו''ה, כַּד אִיהוּ כּוֹרֵעַ כְּרוּבִים סוֹכֲכִים בְּכַנְפֵיהֶם, וְדָא אִיהוּ סִכוּךְ דְּסוּכָּה, דְאִיהוּ כ''ו ה''ס, חוּשְׁבְּנָא יהו''ה אדנ''י, פֹּרְשֵׂי כְנָפַיִם לְמַעְלָה דָא אִיהוּ וְכָל הַזּוֹקֵף זוֹקֵף </w:t>
      </w:r>
      <w:r>
        <w:rPr>
          <w:sz w:val="20"/>
          <w:szCs w:val="23"/>
          <w:rtl/>
        </w:rPr>
        <w:t xml:space="preserve">(הגהה דף קלה ע''ב) </w:t>
      </w:r>
      <w:r>
        <w:rPr>
          <w:rtl/>
        </w:rPr>
        <w:t xml:space="preserve">בְּשֵׁם, בִּתְרֵין שְׁמָהָן דְּאִינוּן אהי''ה יהו''ה, </w:t>
      </w:r>
      <w:r>
        <w:rPr>
          <w:rStyle w:val="a7"/>
          <w:b w:val="0"/>
          <w:bCs w:val="0"/>
          <w:rtl/>
        </w:rPr>
        <w:footnoteReference w:id="5583"/>
      </w:r>
      <w:r>
        <w:rPr>
          <w:rtl/>
        </w:rPr>
        <w:t xml:space="preserve">וְסִימָנָא י''א י''א, אֶחָד, ה' אלהינ''ו, עֲלַיְיהוּ אִתְּמַר וְהָיוּ הַכְּרֻבִים פֹּרְשֵׂי כְנָפַיִם לְמַעְלָה, יהו''ה אֶחָד עֲלַיְיהוּ אִתְּמַר סֹכֲכִים בְּכַנְפֵיהֶם עַל הַכַּפֹּרֶת. דָּבָר אַחֵר וְהָיוּ הַכְּרֻבִים, אִינוּן צּוּרַת אָדָם, דְּאִיהוּ יו''ד ה''א וא''ו ה''א, פּוֹרְשֵׂי כְנָפַיִם לְמַעְלָה י''ה, סֹכֲכִים בְּכַנְפֵיהֶם ו''ה, דְּאִינוּן אַרְבַּע גַּדְפִין, וַעֲלַיְיהוּ אִתְּמַר </w:t>
      </w:r>
      <w:r>
        <w:rPr>
          <w:sz w:val="11"/>
          <w:szCs w:val="19"/>
          <w:rtl/>
        </w:rPr>
        <w:t>(שמות יט ד)</w:t>
      </w:r>
      <w:r>
        <w:rPr>
          <w:rtl/>
        </w:rPr>
        <w:t xml:space="preserve"> וָאֶשָּׂא אֶתְכֶם עַל כַּנְפֵי נְשָׁרִים, </w:t>
      </w:r>
      <w:r>
        <w:rPr>
          <w:rStyle w:val="a7"/>
          <w:b w:val="0"/>
          <w:bCs w:val="0"/>
          <w:rtl/>
        </w:rPr>
        <w:footnoteReference w:id="5584"/>
      </w:r>
      <w:r>
        <w:rPr>
          <w:rtl/>
        </w:rPr>
        <w:t xml:space="preserve">וּכְרוּבִים תְּרֵי שִׂפְוָון, אֲשֶׁר עַל הַכּפּוֹרֶת דָּא לִישְׁנָא, וַיִּשְׁמַע אֶת הַקּוֹל, קָלָא דְנָפִיק מִגָּרוֹן, וַיְדַבֵּר אֵלָיו דִבּוּר דְּפוּמָא, וְקָלָא וְדִבּוּר תִּפְאֶרֶת וּמַלְכוּת, וַעֲלַיְיהוּ אִתְּמַר </w:t>
      </w:r>
      <w:r>
        <w:rPr>
          <w:sz w:val="11"/>
          <w:szCs w:val="19"/>
          <w:rtl/>
        </w:rPr>
        <w:t>(מלאכי ב ו)</w:t>
      </w:r>
      <w:r>
        <w:rPr>
          <w:rtl/>
        </w:rPr>
        <w:t xml:space="preserve"> תּוֹרַת אֱמֶת הָיְתָה בְּפִיהוּ, דָא פּוּמָא הֵיכָל, וַעֲלֵיהּ אִתְּמַר אדנ''י שְׂפָתַי תִּפְתָּח. מִלְּגָאו מִנֵּיהּ קֹדֶשׁ הַקֳּדָשִׁים וְדָא לִבָּא, כְּרוּבִים כַּנְפֵי רֵיאָה, עֲלַיְיהוּ אִתְּמַר וְהָיוּ הַכְּרֻבִים פֹּרְשֵׂי כְנָפַיִם לְמַעְלָה סֹכֲכִים בְּכַנְפֵיהֶם עַל הַכַּפֹּרֶת, דָּא כַּפֹּרֶת הַלֵּב, דְּתַמָּן </w:t>
      </w:r>
      <w:r>
        <w:rPr>
          <w:sz w:val="11"/>
          <w:szCs w:val="19"/>
          <w:rtl/>
        </w:rPr>
        <w:t>(משלי כ טז)</w:t>
      </w:r>
      <w:r>
        <w:rPr>
          <w:rtl/>
        </w:rPr>
        <w:t xml:space="preserve"> נֵר יהו''ה נִשְׁמַת אָדָם, וּפְנֵיהֶם אִישׁ אֶל אָחִיו תְּרֵין כִּלְיָין. בְּלִבָּא דְאִיהוּ קֹדֶשׁ הַקֳּדָשִׁים אִית תְּרֵי בָּתֵּי, בְּחַד סַם חַיִּים, וּבְחַד סַם מָוְת דְּאִיהִי אֵשׁ, כַּהֲנָא רַבָּא דְעָאל לְקֹדֶשׁ הַקֳּדָשִׁים, אִם זָכָה סַם חַיִּים הֲוָה נָפְקָא מִתַּמָּן וּנְהִירָא בְּאַנְפּוֹי, וְקָלָא וְדִבּוּר הֲוָה נָפִיק מִתַּמָּן מִקּוּדְשָׁא בְּרִיךְ הוּא וּשְׁכִינְתֵּיהּ, וְאִם לָא זָכָה סַם מָוְת הֲוָה נָפִיק מִסִּטְרָא דִשְׂמָאלָא, וַהֲוָה קָטִיל לֵיהּ, וּמַאי נִיהוּ כַּהֲנָא בְּגוּפָא, אֶלָּא נְשָׁמָה וְרוּחַ וְנֶפֶשׁ, אִינוּן לָקֳבֵל כֹּהֲנִים לְוִיִּים וְיִשְׂרְאֵלִים, תְּלַת צְּלוֹתִין לָקֳבֵל תְּלַת קָרְבָּנִין, וְאִינוּן מַאֲכָלִין דְּקוּדְשָׁא בְּרִיךְ הוּא וּשְׁכִינְתֵּיהּ. אִם הֲוָה עָאל בִּשְׁכִינְתָּא דְאִיהִי סַם חַיִּים, סַם חַיִּים הֲוָה נָפִיק לְקַדְמוּתֵיהּ, וְאִם לַאו הָא סַם הַמָּוְת לְקִבְלֵיהּ, דְּאִיהִי מָרָה אוּכְמָא, וּמִינָהּ יָמוּת בַּר נַשׁ בַּעֲנִיּוּת, וְאִיהִי לְסִטְרָא שְׂמָאלָא דְלִבָּא, וְדָא טְחוֹל. בְּנֵי אַהֲרֹן רוּחַ וְנֶפֶשׁ, </w:t>
      </w:r>
      <w:r>
        <w:rPr>
          <w:rStyle w:val="a7"/>
          <w:b w:val="0"/>
          <w:bCs w:val="0"/>
          <w:rtl/>
        </w:rPr>
        <w:footnoteReference w:id="5585"/>
      </w:r>
      <w:r>
        <w:rPr>
          <w:rtl/>
        </w:rPr>
        <w:t xml:space="preserve">דְּאַהֲרֹן אִיהוּ נְשָׁמָה, תְּרֵין בְּנוֹי אִם יַעֲלוּ קָרְבָּנָא כִּדְקָא יָאוּת, הָא סַם חַיִּים, וְאִי לַאו הָא סַם מָוְת, דְּאִיהִי מָרָה, אֵשׁ זָרָה אוֹקִיד לוֹן, דִּכְתִיב </w:t>
      </w:r>
      <w:r w:rsidRPr="001336CC">
        <w:rPr>
          <w:rStyle w:val="20"/>
          <w:rtl/>
        </w:rPr>
        <w:t>(הגהה דף קלו ע''א)</w:t>
      </w:r>
      <w:r>
        <w:rPr>
          <w:sz w:val="20"/>
          <w:szCs w:val="23"/>
          <w:rtl/>
        </w:rPr>
        <w:t xml:space="preserve"> </w:t>
      </w:r>
      <w:r>
        <w:rPr>
          <w:sz w:val="11"/>
          <w:szCs w:val="19"/>
          <w:rtl/>
        </w:rPr>
        <w:t>(ויקרא י א)</w:t>
      </w:r>
      <w:r>
        <w:rPr>
          <w:rtl/>
        </w:rPr>
        <w:t xml:space="preserve"> וַיַּקְרִיבוּ לִפְנֵי יהו''ה אֵשׁ זָרָה וְגוֹמֵר, וַתֵּצֵּא אֵשׁ וְגוֹמֵר, אִינוּן סְלִיקוּ לָהּ מֵאַתְרָהָא, וְעָאלוּ לָהּ קַמֵּי מַלְכָּא לְלִבָּא, וְלָא הֲוָה לְהוּ רְשׁוּ לְמֵיעָאל לְתַמָּן, בָּהּ קוּדְשָׁא בְּרִיךְ הוּא נָטִיל דִּינָא בְּהוֹן. </w:t>
      </w:r>
    </w:p>
    <w:p w:rsidR="001336CC" w:rsidRDefault="006D2826" w:rsidP="001336CC">
      <w:pPr>
        <w:pStyle w:val="NormalWeb"/>
        <w:rPr>
          <w:rtl/>
        </w:rPr>
      </w:pPr>
      <w:r>
        <w:rPr>
          <w:rtl/>
        </w:rPr>
        <w:t xml:space="preserve">שִׂפְוָון עַקִּימִין, לֵית רְשׁוּ לְכַהֲנָא לְקַרְבָא בְּהוֹן קָרְבָּנָא, דְעָאל קֳדָם יהו''ה, דַּעֲלַיְיהוּ אִתְּמַר </w:t>
      </w:r>
      <w:r>
        <w:rPr>
          <w:sz w:val="11"/>
          <w:szCs w:val="19"/>
          <w:rtl/>
        </w:rPr>
        <w:t>(קהלת א טו)</w:t>
      </w:r>
      <w:r>
        <w:rPr>
          <w:rtl/>
        </w:rPr>
        <w:t xml:space="preserve"> מְעֻוָּת לֹא יוּכַל לִתְקוֹן וכו', וְכֵן עַיְינִין עֲקִימִין פְּטוּרִין מִן הָרְאִיָּיה, דְנָחָשׁ עֲקַלָּתוֹן תַּמָּן, דְאִיהוּ נָטִיל נְהוֹרַיְיהוּ, וּפִימָא אַטִימָא אִתְקְרֵי טוּמְטוּם, וְאַנְדְּרוֹגִינוֹס אִיהוּ דִיּוֹקְנָא דְזָכָר וּנְקֵבָה, כְּגַוְונָא דָא אִיהוּ בַּר נַשׁ דְּקָלֵיהּ וְדִבּוּרֵיהּ כְּנוּקְבָא, וּמָאן דְאִיהוּ חֶצְּיוֹ עֶבֶד וְחֶצְּיוֹ בֶּן חוֹרִין, חֶצְּיוֹ עֶבֶד דְּיֵצֶּר הָרָע, וְחֶצְּיוֹ בֶּן חוֹרִין דְּיֵצֶּר הַטוֹב, כָּל אִלֵּין פְּטוּרִין מִן הָרְאִיָּה, בְּזִמְנָא דְנָפְקִין מִן גּוּפָא, נַפְשָׁא דְאִיהִי כְּגַוְונָא דָא, לֵית לָהּ רְשׁוּ לְאִסְתַּכְּלָא וּלְאִתְחַזְיָיא בִּשְׁכִינְתָּא, קַדְמָהָא בְּשַׁעַת פְּטִירָתָהּ מִן גּוּפָא. פִּימָא דְאַטִימָא בְּדִבּוּר, אֶבֶן דְּאִיהוּ יֵצֶּר הָרָע שַׁלִּיט עֲלָהּ, וְאִתְקְרֵי טוּמְטוּם, בְּגִין דָּא פָּטוּר מִן הָרְאִיָּיה</w:t>
      </w:r>
      <w:r w:rsidR="001336CC">
        <w:rPr>
          <w:rFonts w:hint="cs"/>
          <w:rtl/>
        </w:rPr>
        <w:t>.</w:t>
      </w:r>
    </w:p>
    <w:p w:rsidR="001336CC" w:rsidRDefault="006D2826" w:rsidP="001336CC">
      <w:pPr>
        <w:pStyle w:val="NormalWeb"/>
        <w:rPr>
          <w:rtl/>
        </w:rPr>
      </w:pPr>
      <w:r>
        <w:rPr>
          <w:rtl/>
        </w:rPr>
        <w:t xml:space="preserve">דְּנִשְׁמָתָא וְרוּחָא וְנַפְשָׁא בְּגִין דָּא יֵיתוּן בְּגִלְגּוּלָא, עַד דְּאִתְחַזְרָן שְׁלֵמִין לְאַתְרַיְיהוּ כְּמָה דְאִתְיְיהִיבוּ, כְּמָה דְאַתְּ אָמַר </w:t>
      </w:r>
      <w:r>
        <w:rPr>
          <w:sz w:val="11"/>
          <w:szCs w:val="19"/>
          <w:rtl/>
        </w:rPr>
        <w:t>(קהלת יב ז)</w:t>
      </w:r>
      <w:r>
        <w:rPr>
          <w:rtl/>
        </w:rPr>
        <w:t xml:space="preserve"> וְהָרוּחַ תָּשׁוּב אֶל הָאלהי''ם אֲשֶׁר נְתָנָהּ, וּמִינָהּ אוֹלִיפְנָא קַל וָחוֹמֶר בְּאָחֳרָנִין דְּאִינוּן נִשְׁמָתָא וְנַפְשָׁא, וְלָא עוֹד אֶלָּא דִקְרָא אַסְהִיד עֲלַיְיהוּ </w:t>
      </w:r>
      <w:r>
        <w:rPr>
          <w:sz w:val="11"/>
          <w:szCs w:val="19"/>
          <w:rtl/>
        </w:rPr>
        <w:t>(איוב לג כט)</w:t>
      </w:r>
      <w:r>
        <w:rPr>
          <w:rtl/>
        </w:rPr>
        <w:t xml:space="preserve"> הֶן כָּל אֵלֶּה יִפְעַל אֵ''ל פַעֲמַיִם שָׁלֹשׁ עִם גָּבֶר. </w:t>
      </w:r>
      <w:r>
        <w:rPr>
          <w:rStyle w:val="a7"/>
          <w:b w:val="0"/>
          <w:bCs w:val="0"/>
          <w:rtl/>
        </w:rPr>
        <w:footnoteReference w:id="5586"/>
      </w:r>
      <w:r>
        <w:rPr>
          <w:rtl/>
        </w:rPr>
        <w:t xml:space="preserve">וּמָאן דְּיֵיתֵי בְּגִלְגּוּלָא זִמְנָא קַדְמָאָה אִם יֵיתֵי חִוָּור, אִתְקַיַּים בֵּיהּ קְרָא </w:t>
      </w:r>
      <w:r>
        <w:rPr>
          <w:sz w:val="11"/>
          <w:szCs w:val="19"/>
          <w:rtl/>
        </w:rPr>
        <w:t>(ישעיה א יח)</w:t>
      </w:r>
      <w:r>
        <w:rPr>
          <w:rtl/>
        </w:rPr>
        <w:t xml:space="preserve"> אִם יִהְיוּ חֲטָאֵיכֶם כַּשָּׁנִים כַּשֶּׁלֶג יַלְבִּינוּ, </w:t>
      </w:r>
      <w:r>
        <w:rPr>
          <w:rStyle w:val="a7"/>
          <w:b w:val="0"/>
          <w:bCs w:val="0"/>
          <w:rtl/>
        </w:rPr>
        <w:footnoteReference w:id="5587"/>
      </w:r>
      <w:r>
        <w:rPr>
          <w:rtl/>
        </w:rPr>
        <w:t xml:space="preserve">וּבְדָא יִתְיַדַּע בַּר נַשׁ דְּאִיהוּ בְּגִלְגּוּלָא קַדְמָאָה, אִם הוּא קָלֵיהּ </w:t>
      </w:r>
      <w:r w:rsidRPr="001336CC">
        <w:rPr>
          <w:rStyle w:val="20"/>
          <w:rtl/>
        </w:rPr>
        <w:t>(דף קלח ע''א)</w:t>
      </w:r>
      <w:r>
        <w:rPr>
          <w:rtl/>
        </w:rPr>
        <w:t xml:space="preserve"> כִּשְׁבָרִים אוֹ כִּתְרוּעָה, וְגוּפֵיהּ וְאַנְפּוֹי חִוָּורִין, אִם הוּא קָלֵיהּ כִּשְׁבָרִים אִיהוּ מִזִּמְנָא תִּנְיָנָא, וְאִם קָלֵיהּ כִּתְרוּעָה אִיהוּ מִזִּמְנָא תְּלִיתָאָה, וְאִם גּוּפֵיהּ יְרוֹקָא וְאַנְפּוֹי יְרוֹקִין וְקָלֵיהּ כִּתְקִיעָה אִיהוּ מִזִּמְנָא קַדְמָאָה, וְאִם הֲדַר לְגַוָּונֵיהּ, קָלֵיהּ כִּתְקִיעָה וְגוּפֵיהּ חִוָּור וְאַנְפּוֹי חִוָּורִין, דָּא אִיהוּ כְּגַוָּונֵיהּ קַדְמָאָה, כְּמוֹ דְאוּקְמוּהוּ בְּיַיִן דְּהֶחְמִיץ דְּחָזַר לְגַוָּונֵיהּ קַדְמָאָה, כְּגַוְונָא דָא בְּהִפּוּכָא לְטָב, וְכֵן אַנְפּוֹי סוּמְקִין וְקָלֵיהּ כִּשְׁבָרִים, וְאַנְפּוֹי יְרוֹקִין וְקָלֵיהּ תְּרוּעָה, הָא אִתְתַּקַּן. </w:t>
      </w:r>
    </w:p>
    <w:p w:rsidR="006D2826" w:rsidRDefault="006D2826" w:rsidP="001336CC">
      <w:pPr>
        <w:pStyle w:val="NormalWeb"/>
        <w:rPr>
          <w:rtl/>
        </w:rPr>
      </w:pPr>
      <w:r>
        <w:rPr>
          <w:rtl/>
        </w:rPr>
        <w:t xml:space="preserve">וְעוֹד אַשְׁכַּחְנָא, בַּר נַשׁ דְּכָל צִּיּוּרִין דִילֵיהּ בְּאֹרַח מֵישָׁר, שְׁקִילִין בְּתִקְלָא, וּלְזִמְנִין שִׂפְוָון אִינוּן עָבִים, וְנָפְקִין מִתִּקּוּנָא דְצִּיּוּרִין וְדִיּוֹקְנִין אָחֳרָנִין, אוֹ אִינוּן אֲרוּכִין אוֹ אִינוּן קְצָּרִים, תָּא חֲזִי וְאַתָּה תֶחֱזֶה מִכָּל הָעָם, הָכָא אוּקִימְנָא לְמִנְדַע תִּקּוּנִין אִלֵּין, אַנְשֵׁי חַיִל עַיְינִין, יִרְאֵי אלהי''ם אוּדְנִין, הֲדָא הוּא דִכְתִיב </w:t>
      </w:r>
      <w:r>
        <w:rPr>
          <w:sz w:val="11"/>
          <w:szCs w:val="19"/>
          <w:rtl/>
        </w:rPr>
        <w:t>(חבקוק ג ג)</w:t>
      </w:r>
      <w:r>
        <w:rPr>
          <w:rtl/>
        </w:rPr>
        <w:t xml:space="preserve"> יהו''ה שָׁמַעְתִּי שִׁמְעֲךָ יָרֵאתִי, אַנְשֵׁי אֱמֶת חוֹטָמָא, שׂוֹנְאֵי בָצַּע פּוּמָא, אִם חוֹטָמָא לַאו אִיהוּ בְּשָׁוָה עִם תִּקּוּנִין אַחֲרָנִין, דְּעַיְינִין אֲרִיכִין, וְאַנְפִּין אֲרִיכִין, וְאוּדְנִין אֲרִיכִין, וּפוּמָא אֲרִיכָא, וְחוֹטָמָא עָבָה, תַּמָּן אִתְגַּלְיָא גִלְגּוּלָא דְנַפְשָׁא, וְאִם עַיְינִין לָא בְּשָׁוָה מֵאָחֳרָנִין, תַּמָּן אִתְגַּלְיָא גִלְגּוּלָא דְנִשְׁמָתָא, וְאִם אוּדְנִין לַאו בְּשָׁוָה, תַּמָּן אִתְגַּלְיָא גִלְגּוּלָא דְרוּחָא, פּוּמָא בְּגִין דְּאִיהִי כְּלָלָא דְכֹלָּא, אִם לַאו אִיהִי בְּשָׁוָה, הָא אִתְּמַר בֵּיהּ </w:t>
      </w:r>
      <w:r>
        <w:rPr>
          <w:sz w:val="11"/>
          <w:szCs w:val="19"/>
          <w:rtl/>
        </w:rPr>
        <w:t>(שמות כ ה)</w:t>
      </w:r>
      <w:r>
        <w:rPr>
          <w:rtl/>
        </w:rPr>
        <w:t xml:space="preserve"> פֹּקֵד עֲוֹן אָבוֹת עַל בָּנִים עַל שִׁלֵּשִׁים וְעַל רִבֵּעִים, וְאִם עַל אַרְבַּע גִּלְגּוּלִין לָא אִתְתַּקְנַת, אִתְּמַר בְּהַהִיא שַׁעְתָּא </w:t>
      </w:r>
      <w:r>
        <w:rPr>
          <w:sz w:val="11"/>
          <w:szCs w:val="19"/>
          <w:rtl/>
        </w:rPr>
        <w:t>(עמוס ב א)</w:t>
      </w:r>
      <w:r>
        <w:rPr>
          <w:rtl/>
        </w:rPr>
        <w:t xml:space="preserve"> וְעַל אַרְבָּעָה לֹא אֲשִׁיבֶנּוּ. וְכָל נִשְׁמָתִין דְּאַתְיָין תְּלַת זִמְנִין וְלָא מִתְתַּקְנִין, אִתְקְרִיאוּ פּוֹשְׁעֵי יִשְׂרָאֵל עֵרֶב רַב, אֲבָל צַּדִּיקַיָּא דִבְכָל זִמְנָא דְיֵיתוּן מִתְתַּקְנִין, יֵיתוּן </w:t>
      </w:r>
      <w:r w:rsidRPr="001336CC">
        <w:rPr>
          <w:rStyle w:val="20"/>
          <w:rtl/>
        </w:rPr>
        <w:t>(הגהה דף קלו ע''ב)</w:t>
      </w:r>
      <w:r>
        <w:rPr>
          <w:sz w:val="20"/>
          <w:szCs w:val="23"/>
          <w:rtl/>
        </w:rPr>
        <w:t xml:space="preserve"> </w:t>
      </w:r>
      <w:r>
        <w:rPr>
          <w:rtl/>
        </w:rPr>
        <w:t xml:space="preserve">עַד אַרְבָּעָה, אֲפִילוּ עַד שִׁתִּין רִבּוֹא, </w:t>
      </w:r>
      <w:r>
        <w:rPr>
          <w:rStyle w:val="a7"/>
          <w:b w:val="0"/>
          <w:bCs w:val="0"/>
          <w:rtl/>
        </w:rPr>
        <w:footnoteReference w:id="5588"/>
      </w:r>
      <w:r>
        <w:rPr>
          <w:rtl/>
        </w:rPr>
        <w:t xml:space="preserve">וְדָא אִיהוּ </w:t>
      </w:r>
      <w:r>
        <w:rPr>
          <w:sz w:val="11"/>
          <w:szCs w:val="19"/>
          <w:rtl/>
        </w:rPr>
        <w:t>(קהלת א ד)</w:t>
      </w:r>
      <w:r>
        <w:rPr>
          <w:rtl/>
        </w:rPr>
        <w:t xml:space="preserve"> דּוֹר הוֹלֵךְ וְדוֹר בָּא, וְדָא נִשְׁמָתָא דְאִיהִי מֹשֶׁה רַבֵּינוּ, כְּלִילָא מִשִּׁתִּין רִבּוֹא, וּשְׁכִינְתָּא עִלָּאָה דְאִיהִי נִשְׁמַת חַיִּים כַּד שַׁרְיָא בְּמֹשֶׁה, אִתְחַשַּׁב לֵיהּ כְּאִלּוּ אָתָא בְּשִׁתִּין רִבּוֹא, וּבְגִינֵיהּ אִתְּמַר אִשָּׁה אַחַת יָלְדָה שִׁשִּׁים רִבּוֹא בְּכֶרֶס אֶחָד. וְאִינוּן מַרְעִין דִּבְנֵי נָשָׁא, דְאִתְּמַר בְּהוֹן </w:t>
      </w:r>
      <w:r>
        <w:rPr>
          <w:sz w:val="11"/>
          <w:szCs w:val="19"/>
          <w:rtl/>
        </w:rPr>
        <w:t>(דברים כח נט)</w:t>
      </w:r>
      <w:r>
        <w:rPr>
          <w:szCs w:val="23"/>
          <w:rtl/>
        </w:rPr>
        <w:t xml:space="preserve"> </w:t>
      </w:r>
      <w:r>
        <w:rPr>
          <w:rtl/>
        </w:rPr>
        <w:t>וָחֳלָיִם רָעִים,</w:t>
      </w:r>
      <w:r>
        <w:rPr>
          <w:szCs w:val="23"/>
          <w:rtl/>
        </w:rPr>
        <w:t xml:space="preserve"> </w:t>
      </w:r>
      <w:r>
        <w:rPr>
          <w:sz w:val="11"/>
          <w:szCs w:val="19"/>
          <w:rtl/>
        </w:rPr>
        <w:t>(משלי ג ח)</w:t>
      </w:r>
      <w:r>
        <w:rPr>
          <w:rtl/>
        </w:rPr>
        <w:t xml:space="preserve"> רִפְאוּת תְּהִי לְשָׁרֶךָ, כַּד אִינוּן בְּרֵישָׁא דְצַּדִּיקַיָּא, אֲבָל כַּד אִינוּן בְּרֵישָׁא דְרַשִּׁיעַיָּא, כְּנֶסֶת יִשְׂרָאֵל אָמְרַת לְגַבַּיְיהוּ </w:t>
      </w:r>
      <w:r>
        <w:rPr>
          <w:sz w:val="11"/>
          <w:szCs w:val="19"/>
          <w:rtl/>
        </w:rPr>
        <w:t>(שיר א ו)</w:t>
      </w:r>
      <w:r>
        <w:rPr>
          <w:rtl/>
        </w:rPr>
        <w:t xml:space="preserve"> אַל תִּרְאוּנִי שֶׁאֲנִי שְׁחַרְחֹרֶת, דְאִלֵּין שַׁרְיָין לוֹן לְפַתָּאָה לִבְנֵי נָשָׁא, כְּמָה דַהֲווֹ מְפַתֵּי לְיִשְׂרָאֵל בְּעֶגְלָא בְּשִׁית שַׁעְתִּין, הֲדָא הוּא דִכְתִיב </w:t>
      </w:r>
      <w:r>
        <w:rPr>
          <w:sz w:val="11"/>
          <w:szCs w:val="19"/>
          <w:rtl/>
        </w:rPr>
        <w:t>(שמות לב א)</w:t>
      </w:r>
      <w:r>
        <w:rPr>
          <w:rtl/>
        </w:rPr>
        <w:t xml:space="preserve"> וַיַּרְא הָעָם כִּי בֹשֵׁשׁ מֹשֶׁה, הָא אוּקְמוּהָ בְּשִׁית שַׁעְתִּין עֲבַדוּ יָת עֶגְלָא, בֵּין שֵׁשׁ לְשֶׁבַע, אַפְרִישׁוּ בֵּין עַמּוּדָא דְאֶמְצָּעִיתָא לְשֶׁבַע, דְּגוּפָא וּשְׁכִינְתָּא, וּבְגִין דָּא מַנִּי קוּדְשָׁא בְּרִיךְ הוּא לְאַפְרָשָׁא לוֹן מִשֶּׁבַע, הֲדָא הוּא דִכְתִיב </w:t>
      </w:r>
      <w:r>
        <w:rPr>
          <w:sz w:val="11"/>
          <w:szCs w:val="19"/>
          <w:rtl/>
        </w:rPr>
        <w:t>(שם יב טו)</w:t>
      </w:r>
      <w:r>
        <w:rPr>
          <w:rtl/>
        </w:rPr>
        <w:t xml:space="preserve"> אַךְ בַּיּוֹם הָרִאשׁוֹן, אַךְ חָלַק בֵּין שִׁית לְשֶׁבַע, בְּגִין דָּא אָמְרָה כְּנֶסֶת יִשְׂרָאֵל </w:t>
      </w:r>
      <w:r>
        <w:rPr>
          <w:sz w:val="11"/>
          <w:szCs w:val="19"/>
          <w:rtl/>
        </w:rPr>
        <w:t>(שיר א)</w:t>
      </w:r>
      <w:r>
        <w:rPr>
          <w:rtl/>
        </w:rPr>
        <w:t xml:space="preserve"> שֶׁשְּׁזָפַתְנִי הַשָּׁמֶשׁ, שֵׁשׁ זָפַתְנִי הַשָּׁמֶשׁ, דְּאִסְתַּלַּק מִנִּי ו' דְאִיהוּ הַשָּׁמֶשׁ, דְּנָהִיר בְּשִׁית תֵּיבִין דְּאִינוּן </w:t>
      </w:r>
      <w:r>
        <w:rPr>
          <w:sz w:val="11"/>
          <w:szCs w:val="19"/>
          <w:rtl/>
        </w:rPr>
        <w:t>(דברים ו ד)</w:t>
      </w:r>
      <w:r>
        <w:rPr>
          <w:rtl/>
        </w:rPr>
        <w:t xml:space="preserve"> שְׁמַע יִשְׂרָאֵל יהו''ה אלהינ''ו יהו''ה אֶחָד, וְהָא אִתְּמַר. </w:t>
      </w:r>
      <w:r>
        <w:rPr>
          <w:rStyle w:val="a7"/>
          <w:b w:val="0"/>
          <w:bCs w:val="0"/>
          <w:rtl/>
        </w:rPr>
        <w:footnoteReference w:id="5589"/>
      </w:r>
      <w:r>
        <w:rPr>
          <w:rtl/>
        </w:rPr>
        <w:t xml:space="preserve">דָּבָר אַחֵר זֶה סֵפֶר תּוֹלְדוֹת אָדָם, אָמַר רַבִּי שִׁמְעוֹן, זֶה סֵפֶר דָּא צַדִּיק חַי עָלְמִין, דְּאִיהוּ אַפִּיק תּוֹלְדִין, זֶה סֵפֶר וַדַּאי וְלָא אָחֳרָא, וְאִינוּן תּוֹלְדוֹת אָדָם, הַהוּא דְאִתְּמַר בֵּיהּ (ישעיה מד ג) כְּתִפְאֶרֶת אָדָם לָשֶׁבֶת בָּיִת, מָאן בַּיִת דִּילֵיהּ, דָּא שְׁכִינְתָּא, וְרַעֲיָא מְהֵימְנָא אַנְתְּ הוּא כְּדִיּוֹקְנֵיהּ, וְלָךְ חֵילָא לְאִסְתַּכָּלָא בְּדִיּוֹקְנִין דִּבְנֵי נָשָׁא, בְּצִיּוּרִין דְּהַהוּא דְאִתְּמַר בֵּיהּ (בראשית ה א) בִּדְמוּת אלהי''ם בָּרָא אוֹתוֹ, דְּכָל צִיּוּרִין דִּבְנֵי נָשָׁא אִינוּן רְשִׁימִין בְּכָרְסַיָּא, וּבְגִין דְּכָל כָּרְסַיָּא וּמַרְכַּבְתָּא בָּך חֲקִיקָא, אַנְתְּ אִית לָךְ חֵילָא לְאִסְתַּכָּלָא, בְּגִין כַּךְ וְאַתָּה תֶחזֶה מִכָּל הָעָם וְגוֹמֵר. </w:t>
      </w:r>
      <w:r>
        <w:rPr>
          <w:sz w:val="20"/>
          <w:szCs w:val="23"/>
          <w:rtl/>
        </w:rPr>
        <w:t>(עד כאן ההג''ה מספרים אחרים)</w:t>
      </w:r>
      <w:r>
        <w:rPr>
          <w:rtl/>
        </w:rPr>
        <w:t>.</w:t>
      </w:r>
    </w:p>
    <w:p w:rsidR="006D2826" w:rsidRDefault="006D2826" w:rsidP="001336CC">
      <w:pPr>
        <w:pStyle w:val="2"/>
        <w:rPr>
          <w:rtl/>
        </w:rPr>
      </w:pPr>
      <w:r>
        <w:rPr>
          <w:rtl/>
        </w:rPr>
        <w:t xml:space="preserve">[תיקוני זוהר - דף קלה ע''א] </w:t>
      </w:r>
    </w:p>
    <w:p w:rsidR="006D2826" w:rsidRDefault="006D2826" w:rsidP="006D2826">
      <w:pPr>
        <w:pStyle w:val="NormalWeb"/>
        <w:rPr>
          <w:b w:val="0"/>
          <w:bCs w:val="0"/>
          <w:rtl/>
        </w:rPr>
      </w:pPr>
      <w:r>
        <w:rPr>
          <w:rStyle w:val="a7"/>
          <w:b w:val="0"/>
          <w:bCs w:val="0"/>
          <w:rtl/>
        </w:rPr>
        <w:footnoteReference w:id="5590"/>
      </w:r>
      <w:r>
        <w:rPr>
          <w:b w:val="0"/>
          <w:bCs w:val="0"/>
          <w:rtl/>
        </w:rPr>
        <w:t xml:space="preserve">דָּבָר אַחֵר זֶה סֵפֶר תּוֹלְדוֹת אָדָם, זֶה סֵפֶר, דְּהָא כַמָּה סִפְרִין אִינוּן, סִפְרָא דְרַב הַמְנוּנָא סָבָא, סִפְרָא דַחֲנוֹךְ, סִפְרָא דְרַבִּי כְּרוּסְפְּדָאי, תָּא חֲזִי, יוֹמָא חַד אַעְרַעְנָא בַאֲתַר דְּרַבִּי כְּרוּסְפְּדָאי, אֲנָא וְחַבְרַיָּיא, וְתַקִּינַת לָן אִמֵּיהּ דְּרַבִּי כְּרוּסְפְּדָאי מְנַרְתָּא בְּשִׁבְעָה בּוֹצִינִין, וְאַפֵּקַת סִפְרָא דְרַבִּי כְּרוּסְפְּדָאי, כִּי הֲווֹ קָרָאן בְּסִפְרָא דָא הָכִי הֲווֹ נָחֲתִין חַיָּילָא דְמַלְאָכַיָּא לְסַחֲרָא לוֹן, כִּבְנֵי נָשָׁא דְמִתְקַבְּצִין לְחוּפָּה בְּמַזְמוּטֵי חָתָן וְכַלָּה, וְקוּדְשָׁא בְּרִיךְ הוּא הֲוָה נָחִית בְּכָל מַשִּׁרְיָין דִּילֵיהּ, לְמִשְׁמַע מִלִּין מֵהַהוּא סִפְרָא, וַאֲבוֹי דְרַבִּי כְּרוּסְפְּדָאי הֲוָה נָחִית לֵיהּ קוּדְשָׁא בְּרִיךְ הוּא עִמֵּיהּ, לְמִשְׁמַע מִלִּין דִּבְרֵיהּ רַבִּי כְּרוּסְפְּדָאי, </w:t>
      </w:r>
      <w:r>
        <w:rPr>
          <w:b w:val="0"/>
          <w:sz w:val="20"/>
          <w:szCs w:val="23"/>
          <w:rtl/>
        </w:rPr>
        <w:t xml:space="preserve">(דף קלה ע''א) </w:t>
      </w:r>
      <w:r>
        <w:rPr>
          <w:b w:val="0"/>
          <w:bCs w:val="0"/>
          <w:rtl/>
        </w:rPr>
        <w:t>וְלֵילְיָא דָא לֵיל דְּשָׁבוּעוֹת הֲוָה, וְהָכִי הֲוָה חָדֵי קוּדְשָׁא בְּרִיךְ הוּא בְּאִלֵּין מִלִּין כְּיוֹמָא דְאִתְיְיהִיבַת אוֹרַיְיתָא בְטוּרָא דְסִינַי.</w:t>
      </w:r>
    </w:p>
    <w:p w:rsidR="006D2826" w:rsidRDefault="006D2826" w:rsidP="006D2826">
      <w:pPr>
        <w:pStyle w:val="NormalWeb"/>
        <w:rPr>
          <w:b w:val="0"/>
          <w:bCs w:val="0"/>
          <w:rtl/>
        </w:rPr>
      </w:pPr>
      <w:r>
        <w:rPr>
          <w:b w:val="0"/>
          <w:bCs w:val="0"/>
          <w:rtl/>
        </w:rPr>
        <w:t xml:space="preserve">לֵילְיָא חֲדָא אִזְדַּמַּן לָן לְמֶהֱוֵי אוֹשְׁפִּיזִין בְּבֵית אִמֵּיהּ דְּרַבִּי כְּרוּסְפְּדָאי, וְתַקִּינַת לָן פָּתוֹרָא וּמְנַרְתָּא, </w:t>
      </w:r>
      <w:r>
        <w:rPr>
          <w:rStyle w:val="a7"/>
          <w:b w:val="0"/>
          <w:bCs w:val="0"/>
          <w:rtl/>
        </w:rPr>
        <w:footnoteReference w:id="5591"/>
      </w:r>
      <w:r>
        <w:rPr>
          <w:b w:val="0"/>
          <w:bCs w:val="0"/>
          <w:rtl/>
        </w:rPr>
        <w:t>וַהֲוָה רַבִּי כְּרוּסְפְּדָאי אִתְכַּנַּשׁ לְהַהוּא עָלְמָא, אָמְרַת אִמֵּיהּ רַבָּנָן, וְהָא לָא הֲוִיתוּן שַׁרְיָין לְפָתוֹרָא דָא בְלָא אוֹרַיְיתָא, מַאי אִשְׁתַּנִּי זִמְנָא דָא מִשְּׁאָר זִמְנִין, אֲמֵינָא לְחַבְרַיָּא נִפְתַּח בְּמִילֵי דְאוֹרַיְיתָא, דְלָא יֵיתֵי תַּקָּלָה לְהַאי עַנְיָא עַל יְדָנָא, דְּאִם יָדְעַת דִּבְרָהּ אִיהוּ מֵת, יֵיתֵי תַּקָּלָה עַל יְדָנָא וְתָמוּת קֳדָם זִמְנָהּ, אֶפְתַּח בְּאוֹרַיְיתָא.</w:t>
      </w:r>
    </w:p>
    <w:p w:rsidR="006D2826" w:rsidRDefault="006D2826" w:rsidP="006D2826">
      <w:pPr>
        <w:pStyle w:val="aa"/>
        <w:spacing w:after="40"/>
        <w:rPr>
          <w:rtl/>
        </w:rPr>
      </w:pPr>
      <w:r>
        <w:rPr>
          <w:rtl/>
        </w:rPr>
        <w:t xml:space="preserve">[תיקוני זוהר - דף קלה ע''ב] </w:t>
      </w:r>
    </w:p>
    <w:p w:rsidR="006D2826" w:rsidRDefault="006D2826" w:rsidP="006D2826">
      <w:pPr>
        <w:pStyle w:val="NormalWeb"/>
        <w:rPr>
          <w:b w:val="0"/>
          <w:bCs w:val="0"/>
          <w:rtl/>
        </w:rPr>
      </w:pPr>
      <w:r>
        <w:rPr>
          <w:b w:val="0"/>
          <w:bCs w:val="0"/>
          <w:rtl/>
        </w:rPr>
        <w:t xml:space="preserve">פָּתַח וְאָמַר, בְּרֵאשִׁית בָּרָא אלהי''ם דָּא נִשְׁמָתָא, כַּד נָפִיק מִמְּעִי אִמֵּיהּ אִתְּמַר בָּהּ </w:t>
      </w:r>
      <w:r>
        <w:rPr>
          <w:b w:val="0"/>
          <w:sz w:val="20"/>
          <w:szCs w:val="23"/>
          <w:rtl/>
        </w:rPr>
        <w:t>(בראשית א ב)</w:t>
      </w:r>
      <w:r>
        <w:rPr>
          <w:b w:val="0"/>
          <w:bCs w:val="0"/>
          <w:rtl/>
        </w:rPr>
        <w:t xml:space="preserve"> וְהָאָרֶץ הָיְתָה תֹהוּ וָבֹהוּ וְחֹשֶׁךְ עַל פְּנֵי תְהוֹם, דְּנָפִיק עִינוֹי סְתִימִין, אַפְתַּח עִינוֹי מִיָּד </w:t>
      </w:r>
      <w:r>
        <w:rPr>
          <w:b w:val="0"/>
          <w:sz w:val="20"/>
          <w:szCs w:val="23"/>
          <w:rtl/>
        </w:rPr>
        <w:t>(שם ג)</w:t>
      </w:r>
      <w:r>
        <w:rPr>
          <w:b w:val="0"/>
          <w:bCs w:val="0"/>
          <w:rtl/>
        </w:rPr>
        <w:t xml:space="preserve"> וַיֹּאמֶר אלהי''ם יְהִי אוֹר וַיְהִי אוֹר, בָּתַר דְּאִתְכַּנִּישׁ מֵהַאי עָלְמָא נִשְׁמָתֵיהּ, מַה כְּתִיב בֵּיהּ </w:t>
      </w:r>
      <w:r>
        <w:rPr>
          <w:b w:val="0"/>
          <w:sz w:val="20"/>
          <w:szCs w:val="23"/>
          <w:rtl/>
        </w:rPr>
        <w:t>(שם א ט)</w:t>
      </w:r>
      <w:r>
        <w:rPr>
          <w:b w:val="0"/>
          <w:bCs w:val="0"/>
          <w:rtl/>
        </w:rPr>
        <w:t xml:space="preserve"> וַיֹּאמֶר אלהי''ם יִקָּווּ הַמַּיִם מִתַּחַת הַשָּׁמַיִם אֶל מָקוֹם אֶחָד וְתֵרָאֶה הַיַּבָּשָׁה, כֵּיוָן דְּאִסְתַּלְקַת נִשְׁמָתָא מִנֵּיהּ גּוּפָא אִשְׁתָּאֳרַת יְבֵשָׁה, אָמְרַת לוֹן, רַבָּנָן, מִלִּין אִלֵּין לַאו אִינוּן אֶלָּא מֵהַהוּא עָלְמָא, אָזְלַת לְהַהוּא שְׁרַגָּא דַהֲוָה לָהּ סִימָנָא בֵּיהּ, דְּכַד רַבִּי כְּרוּסְפְּדָאי הֲוָה חַי הֲוָה שְׁרַגָּא מִתְנַעְנְעָא וְנַהֲרָא בְּכַמָּה נְהוֹרִין מְרַקְמָן, חֲזִתָּהּ לִנְהוֹרָא דְאִתְחַשְׁכַת, מִיָּד אָמְרַת, רַבָּנָן רַבָּנָן, אֲבֵדָה קָא אִתְאֲבִידַת לִי, וַאֲנָא בָּעִינָא לְמֵיזַל לְפַשְׁפְּשָׁא בְגִינָהּ, אָמְרוּ וַדַּאי הָא אִשְׁתְּמוֹדְעַאת לָהּ, אֲזַלוּ לְאָרְחַיְיהוּ, וְאִיהִי נָפְקַת לְפָרָשַׁת אוֹרְחִין, וְאַשְׁכַּחַת יוֹנָה נוּקְבָא, אָמְרַת לָהּ יוֹנָה יוֹנָה אַנְתְּ דַּהֲוַת שְׁלִיחָא מְהֵימְנָא לְמָארָךְ, הֲדָא הוּא דִכְתִיב </w:t>
      </w:r>
      <w:r>
        <w:rPr>
          <w:b w:val="0"/>
          <w:sz w:val="20"/>
          <w:szCs w:val="23"/>
          <w:rtl/>
        </w:rPr>
        <w:t>(שם ח ח)</w:t>
      </w:r>
      <w:r>
        <w:rPr>
          <w:b w:val="0"/>
          <w:bCs w:val="0"/>
          <w:rtl/>
        </w:rPr>
        <w:t xml:space="preserve"> וַיְשַׁלַּח אֶת הַיּוֹנָה מֵאִתּוֹ, וְאִתְּמַר בָּךְ </w:t>
      </w:r>
      <w:r>
        <w:rPr>
          <w:b w:val="0"/>
          <w:sz w:val="20"/>
          <w:szCs w:val="23"/>
          <w:rtl/>
        </w:rPr>
        <w:t>(שם יא)</w:t>
      </w:r>
      <w:r>
        <w:rPr>
          <w:b w:val="0"/>
          <w:bCs w:val="0"/>
          <w:rtl/>
        </w:rPr>
        <w:t xml:space="preserve"> וַתָּשָׁב אֵלָיו הַיּוֹנָה לְעִת עֶרֶב, </w:t>
      </w:r>
      <w:r>
        <w:rPr>
          <w:b w:val="0"/>
          <w:sz w:val="20"/>
          <w:szCs w:val="23"/>
          <w:rtl/>
        </w:rPr>
        <w:t xml:space="preserve">(דף קלה ע''ב) </w:t>
      </w:r>
      <w:r>
        <w:rPr>
          <w:b w:val="0"/>
          <w:bCs w:val="0"/>
          <w:rtl/>
        </w:rPr>
        <w:t xml:space="preserve">תָּבַת לֵיהּ בִּשְׁלִיחוּתָהּ, בְּאוֹמָאָה עֲלָךְ </w:t>
      </w:r>
      <w:r>
        <w:rPr>
          <w:rStyle w:val="a7"/>
          <w:b w:val="0"/>
          <w:bCs w:val="0"/>
          <w:rtl/>
        </w:rPr>
        <w:footnoteReference w:id="5592"/>
      </w:r>
      <w:r>
        <w:rPr>
          <w:b w:val="0"/>
          <w:bCs w:val="0"/>
          <w:rtl/>
        </w:rPr>
        <w:t>בְּהַהִיא יוֹנָה קַדִּישָׁא, דְתֵיזִיל בִּשְׁלִיחוּת דִּילִי, וְתֵדַע אִי בְּרִי חַי אוֹ מֵת, מִיָּד לְעִידָּן רַמְשָׁא חָזְרָה בִּשְׁלִיחוּתָהּ, דְּהָכִי חָזְרַת לְנֹחַ לְעִת עֶרֶב, הֲדָא הוּא דִכְתִיב וַתָּבֹא אֵלָיו הַיּוֹנָה לְעִת עֶרֶב, וַהֲוַת מְמַרְטַת גַּדְפָהָא, וְחָפְרַת כּוּכָא, מִיָּד יְהִבַת קָלָא וְאִתְכַּנְשַׁת לְהַהוּא עָלְמָא.</w:t>
      </w:r>
    </w:p>
    <w:p w:rsidR="006D2826" w:rsidRDefault="006D2826" w:rsidP="006D2826">
      <w:pPr>
        <w:pStyle w:val="NormalWeb"/>
        <w:rPr>
          <w:b w:val="0"/>
          <w:bCs w:val="0"/>
          <w:rtl/>
        </w:rPr>
      </w:pPr>
      <w:r>
        <w:rPr>
          <w:rStyle w:val="a7"/>
          <w:b w:val="0"/>
          <w:bCs w:val="0"/>
          <w:rtl/>
        </w:rPr>
        <w:footnoteReference w:id="5593"/>
      </w:r>
      <w:r>
        <w:rPr>
          <w:b w:val="0"/>
          <w:bCs w:val="0"/>
          <w:rtl/>
        </w:rPr>
        <w:t xml:space="preserve">לְבָתַר דַּהֲווֹ אָזְלִין בְּאָרְחָא רַבִּי שִׁמְעוֹן וְחַבְרוֹי, שְׁאִילוּ לֵיהּ, אַמַּאי כַּד נָפִיק יְנוּקָא מִמְּעִי אִמֵּיהּ אִיהוּ עִינוֹי סְתִימִין, אָמַר לון וַדַּאי דָּא אִיהוּ רָזָא </w:t>
      </w:r>
      <w:r>
        <w:rPr>
          <w:b w:val="0"/>
          <w:sz w:val="20"/>
          <w:szCs w:val="23"/>
          <w:rtl/>
        </w:rPr>
        <w:t>(שם כז א)</w:t>
      </w:r>
      <w:r>
        <w:rPr>
          <w:b w:val="0"/>
          <w:bCs w:val="0"/>
          <w:rtl/>
        </w:rPr>
        <w:t xml:space="preserve"> וַתִּכְהֶןָ עִינָיו מֵרְאוֹת, בְּאִלֵּין מַרְאוֹת דְּאַחְזִיאוּ לֵיהּ בִּמְעִי אִמֵּיהּ כַּמָּה נְהוֹרִין, כְּמָה דְחָמָא יְחֶזְקֵאל בְּמֶרְכָּבָה, לְכָל יְנוּקָא אַחְזְיָין לֵיהּ כְּפוּם דַּרְגֵּיהּ, אַחְזְיָין לֵיהּ מֵאֲתַר דְּאִיהוּ נִשְׁמָתֵיהּ, דְּאִי יִשְׁתַּדַּל בְּאוֹרַיְיתָא וּבְפִקּוּדִין, דְּיַנְהִיר הַהוּא אֲתַר דְּאִתְנְטִילַת נִשְׁמָתֵיהּ, בְּכַמָּה נִשְׁמָתִין, וְאֵיךְ נָחֲתִין בְּגִינֵיהּ כַּמָּה מֶרְכָּבוֹת, וְאוֹלְפִין לֵיהּ כָּל אוֹרַיְיתָא, וְאִי אִשְׁתַּדַּל בָּהּ אַדְכִּיר לֵיהּ כָּל מַה דַּהֲווֹ אוֹלְפִין לֵיהּ בִּמְעִי אִמֵּיהּ, לְבָתַר אַחְזְיָין לֵיהּ גֵּיהִנָּם, דְּאִם עָבַר עַל פִּקּוּדֵי אוֹרַיְיתָא מַהוּ עוֹנְשָׁא דִילֵיהּ, כְּמָה דְאַחְזִיאוּ לֵיהּ אַגְרֵיהּ, לְבָתַר דְּנָפִיק מִמְּעִי אִמֵּיהּ סָתִים עִינוֹי מִכָּל אִינוּן נְהוֹרִין, כְּמָה דְאִתְּמַר וַתִּכְהֶןָ עִינָיו מֵרְאוֹת, וְאִשְׁתְּאַר תֹּה''וּ וָבֹה''וּ, הֲדָא הוּא דִכְתִיב וְהָאָרֶץ הָיְתָה תֹהוּ וָבֹהוּ וְחֹשֶׁךְ וכו', וְהָכִי אִיהוּ מָאן דְּלָא אִשְׁתַּדַּל בְּאוֹרַיְיתָא, עִינוֹי סָתִים מֵעָלְמָא דְאָתֵי, בָּתַר דְּאִשְׁתַּדַּל בְּאוֹרַיְיתָא, מִיָּד וַיֹּאמֶר אלהי''ם יְהִי אוֹר וַיְהִי אוֹר, דְּנַהֲרִין לֵיהּ בִּנְהוֹרָא דְהַהוּא עָלְמָא, מִיָּד דְּאָזִיל לְהַהוּא עָלְמָא, מִיָּד יִקָּווּ הַמַּיִם מִתַּחַת הַשָּׁמַיִם אֶל מָקוֹם אֶחָד, אִתְכַּנְשַׁת נִשְׁמָתָא לַאֲתַר חַד, הֲדָא הוּא דִכְתִיב </w:t>
      </w:r>
      <w:r>
        <w:rPr>
          <w:b w:val="0"/>
          <w:sz w:val="20"/>
          <w:szCs w:val="23"/>
          <w:rtl/>
        </w:rPr>
        <w:t>(קהלת יב ז)</w:t>
      </w:r>
      <w:r>
        <w:rPr>
          <w:b w:val="0"/>
          <w:bCs w:val="0"/>
          <w:rtl/>
        </w:rPr>
        <w:t xml:space="preserve"> וְהָרוּחַ תָּשׁוּב אֶל הָאלהי''ם אֲשֶׁר נְתָנָהּ, וְגוּפָא אִשְׁתָּאַר יַבָּשָׁה, הֲדָא הוּא דִכְתִיב וְתֵרָאֶה הַיַּבָּשָׁה, לְבָתַר דְּאִתְכַּנְשַׁת נִשְׁמָתֵיהּ, קוּדְשָׁא בְּרִיךְ הוּא יֵימָא לִשְׁכִינְתָּא, תּוֹצֵא הָאָרֶץ נֶפֶשׁ חַיָּה לְמִינָהּ, מָאן חַיָּה אִלֵּין חַיּוֹת הַקֹּדֶשׁ, וְנַהֲרִין לֵיהּ, דְּנָחֲתִין לֵיהּ לְקַבְּלָא לֵיהּ, הֲדָא הוּא דִכְתִיב </w:t>
      </w:r>
      <w:r>
        <w:rPr>
          <w:b w:val="0"/>
          <w:sz w:val="20"/>
          <w:szCs w:val="23"/>
          <w:rtl/>
        </w:rPr>
        <w:t>(תהלים צא יב)</w:t>
      </w:r>
      <w:r>
        <w:rPr>
          <w:b w:val="0"/>
          <w:bCs w:val="0"/>
          <w:rtl/>
        </w:rPr>
        <w:t xml:space="preserve"> עַל כַּפַּיִם יִשָּׂאוּנְךָ וכו'.</w:t>
      </w:r>
    </w:p>
    <w:p w:rsidR="006D2826" w:rsidRDefault="006D2826" w:rsidP="006D2826">
      <w:pPr>
        <w:pStyle w:val="NormalWeb"/>
        <w:rPr>
          <w:b w:val="0"/>
          <w:bCs w:val="0"/>
          <w:rtl/>
        </w:rPr>
      </w:pPr>
      <w:r>
        <w:rPr>
          <w:b w:val="0"/>
          <w:bCs w:val="0"/>
          <w:rtl/>
        </w:rPr>
        <w:t>וְעוֹד תּוֹצֵא הָאָרֶץ נֶפֶשׁ חַיָּה לְקַבְּלָא לֵיהּ, לְמִינָהּ דָּא בַּת זוּגֵיהּ דְּאִתְיְיהִיבַת לֵיהּ בְּהַהוּא עָלְמָא, בְּהֵמָה וָרֶמֶשׂ וְחַיְתוֹ אֶרֶץ לְמִינָהּ, כַּמָּה חֲיָילִין וּמַשִּׁרְיָין לִיקָרֵיהּ, וּלְבָתַר אַפִּיק לֵיהּ אִילָנִין וְעִשְׂבִּין בְּגִנְּתָא דְעִדֶן, הֲדָא הוּא דִכְתִיב וַיֹּאמֶר אלהי''ם תַּדְשֵׁא הָאָרֶץ וכו', כָּל מַה דְּאִתְבְּרֵי בְּשִׁית יְמֵי בְרֵאשִׁית כֻּלְּהוּ מְזוּמָן לֵיהּ בְּהַהוּא עָלְמָא, בְגַן עִדֶן עִלָּאָה וְתַתָּאָה.</w:t>
      </w:r>
    </w:p>
    <w:p w:rsidR="006D2826" w:rsidRDefault="006D2826" w:rsidP="006D2826">
      <w:pPr>
        <w:pStyle w:val="NormalWeb"/>
        <w:rPr>
          <w:b w:val="0"/>
          <w:bCs w:val="0"/>
          <w:rtl/>
        </w:rPr>
      </w:pPr>
      <w:r>
        <w:rPr>
          <w:rStyle w:val="a7"/>
          <w:b w:val="0"/>
          <w:bCs w:val="0"/>
          <w:rtl/>
        </w:rPr>
        <w:footnoteReference w:id="5594"/>
      </w:r>
      <w:r>
        <w:rPr>
          <w:b w:val="0"/>
          <w:bCs w:val="0"/>
          <w:rtl/>
        </w:rPr>
        <w:t xml:space="preserve">דָּבָר אַחֵר זֶה סֵפֶר תּוֹלְדוֹת אָדָם, דָּא סִפְרָא דַחֲנוֹךְ נַעַר, דַּעֲלֵיהּ אִתְּמַר </w:t>
      </w:r>
      <w:r>
        <w:rPr>
          <w:b w:val="0"/>
          <w:sz w:val="20"/>
          <w:szCs w:val="23"/>
          <w:rtl/>
        </w:rPr>
        <w:t>(בראשית ה כב)</w:t>
      </w:r>
      <w:r>
        <w:rPr>
          <w:b w:val="0"/>
          <w:bCs w:val="0"/>
          <w:rtl/>
        </w:rPr>
        <w:t xml:space="preserve"> וַיִתְהַלֵּךְ חֲנוֹךְ אֶת הָאלהי''ם וְאֵינֶנּוּ כִּי לָקַח אוֹתוֹ אלהי''ם, וְאַמַּאי קָארֵי לֵיהּ תּוֹלְדוֹת אָדָם, אֶלָּא הָכָא רָזָא דְגִלְגּוּלָא, תּוֹלְדוֹת אָדָם אִתְקְרֵי, דְּמִנֵּיהּ נָפַק, וְאִיהוּ הֲוָה תּוֹלָדָה דִילֵיהּ, וְאַמַּאי אִתְקְרֵי נַעַר, אֶלָּא הָכָא רָזָא </w:t>
      </w:r>
      <w:r>
        <w:rPr>
          <w:b w:val="0"/>
          <w:sz w:val="20"/>
          <w:szCs w:val="23"/>
          <w:rtl/>
        </w:rPr>
        <w:t>(איוב לג כה)</w:t>
      </w:r>
      <w:r>
        <w:rPr>
          <w:b w:val="0"/>
          <w:bCs w:val="0"/>
          <w:rtl/>
        </w:rPr>
        <w:t xml:space="preserve"> יָשׁוּב לִימֵי עֲלוּמָיו, כְּמָה דַהֲוָה בְּקַדְמֵיתָא לְעִילָא, וּלְבָתַר נָחִית בְּהַהוּא דְאִתְּמַר בֵּיהּ </w:t>
      </w:r>
      <w:r>
        <w:rPr>
          <w:b w:val="0"/>
          <w:sz w:val="20"/>
          <w:szCs w:val="23"/>
          <w:rtl/>
        </w:rPr>
        <w:t>(בראשית לז ב)</w:t>
      </w:r>
      <w:r>
        <w:rPr>
          <w:b w:val="0"/>
          <w:bCs w:val="0"/>
          <w:rtl/>
        </w:rPr>
        <w:t xml:space="preserve"> וְהוּא נַעַר אֶת בְּנֵי בִלְהָה וְאֶת בְּנֵי זִלְפָּה נְשֵׁי אָבִיו, וַיָּבֵא יוֹסֵף אֶת דִּבָּתָם רָעָה, מַאי דִּבָּתָם רָעָה אֶלָּא דַהֲווֹ מִגִּזְעָא </w:t>
      </w:r>
      <w:r>
        <w:rPr>
          <w:rStyle w:val="Char"/>
          <w:rtl/>
        </w:rPr>
        <w:t>דְאִלֵּין דְּאָמְרוּ</w:t>
      </w:r>
      <w:r>
        <w:rPr>
          <w:b w:val="0"/>
          <w:szCs w:val="23"/>
          <w:rtl/>
        </w:rPr>
        <w:t xml:space="preserve"> </w:t>
      </w:r>
      <w:r>
        <w:rPr>
          <w:b w:val="0"/>
          <w:sz w:val="20"/>
          <w:szCs w:val="23"/>
          <w:rtl/>
        </w:rPr>
        <w:t>(תהלים ח ה)</w:t>
      </w:r>
      <w:r>
        <w:rPr>
          <w:b w:val="0"/>
          <w:bCs w:val="0"/>
          <w:rtl/>
        </w:rPr>
        <w:t xml:space="preserve"> מָה אֱנוֹשׁ כִּי תִזְכְּרֶנּוּ וּבֶן אָדָם כִּי תִפְקְדֶנּוּ וַתְּחַסְּרֵהוּ מְעַט מֵאלהי''ם, דְּיַהֲבַת לֵיהּ כָּל גִּנְזֵי שְׁמַיָּא, וְכָל מַפְתְּחָן דִּילֵיהּ בִּידֵיהּ, וְאַשְׁלְטֵיהּ בְּכָל דִּילֵיהּ, כְּגַוְונָא דְמַלְכָּא דְאָמַר לְיוֹסֵף </w:t>
      </w:r>
      <w:r>
        <w:rPr>
          <w:b w:val="0"/>
          <w:sz w:val="20"/>
          <w:szCs w:val="23"/>
          <w:rtl/>
        </w:rPr>
        <w:t>(בראשית מא מ)</w:t>
      </w:r>
      <w:r>
        <w:rPr>
          <w:b w:val="0"/>
          <w:bCs w:val="0"/>
          <w:rtl/>
        </w:rPr>
        <w:t xml:space="preserve"> רַק הַכִּסֵּא אֶגְדַּל מִמֶּךָּ.</w:t>
      </w:r>
    </w:p>
    <w:p w:rsidR="006D2826" w:rsidRDefault="006D2826" w:rsidP="006D2826">
      <w:pPr>
        <w:pStyle w:val="aa"/>
        <w:spacing w:after="40"/>
        <w:rPr>
          <w:rtl/>
        </w:rPr>
      </w:pPr>
      <w:r>
        <w:rPr>
          <w:rtl/>
        </w:rPr>
        <w:t xml:space="preserve">[תיקוני זוהר - דף קלו ע''א] </w:t>
      </w:r>
    </w:p>
    <w:p w:rsidR="006D2826" w:rsidRDefault="006D2826" w:rsidP="006D2826">
      <w:pPr>
        <w:pStyle w:val="NormalWeb"/>
        <w:rPr>
          <w:b w:val="0"/>
          <w:bCs w:val="0"/>
          <w:rtl/>
        </w:rPr>
      </w:pPr>
      <w:r>
        <w:rPr>
          <w:b w:val="0"/>
          <w:bCs w:val="0"/>
          <w:rtl/>
        </w:rPr>
        <w:t xml:space="preserve">אָמַר לֵיהּ וְהָא עז''א ועזא''ל הֲווֹ אִלֵּין, אָמַר לֵיהּ אָחֳרָנִין הֲווֹ מִתְכַּנְּשִׁין עִמֵּיהּ, אָמַר לֵיהּ רַבִּי אֶלְעָזָר וְהָא קוּדְשָׁא בְּרִיךְ הוּא עַד דְּאִתְיָיעַץ בַּחֲיָילִין דִּילֵיהּ לָא הֲוָה עָבִיד לְאָדָם, דְּאָמַר נַעֲשֶׂה אָדָם, אָמַר לֵיהּ לְאוֹלָפָא דֶרֶךְ אֶרֶץ לִבְנֵי נָשָׁא, דְנָטִיל רַבְרְבָא עִצָה מִדִּזְעִיר מִנֵּיהּ, וְלָא עוֹד אֶלָּא רָזָא אָחֳרָא אִית הָכָא, לְמַלְכָּא דַהֲוָה לֵיהּ שְׁלִיחָא מְהֵימְנָא, וַהֲוָה בָּעִי לְמֵיהַב לֵיהּ אַגְרֵיהּ, אָמַר לְחֵיְילוֹי אֲנָא בָעִינָא לְשַׁלְטָאָה הַאי שְׁלִיחָא דִילִי עֲלַיְיכוּ, בְּגִין </w:t>
      </w:r>
      <w:r>
        <w:rPr>
          <w:b w:val="0"/>
          <w:sz w:val="20"/>
          <w:szCs w:val="23"/>
          <w:rtl/>
        </w:rPr>
        <w:t xml:space="preserve">(דף קלו ע''א) </w:t>
      </w:r>
      <w:r>
        <w:rPr>
          <w:b w:val="0"/>
          <w:bCs w:val="0"/>
          <w:rtl/>
        </w:rPr>
        <w:t>דְּהוּא מְהֵימְנָא, אִי אִית מָאן דְּיָדַע בֵּיהּ מִלָּה אָחֳרָא יֵימָא, בְּזִמְנָא דְלָא אַשְׁכַּח מְקַטְרְגָא עֲלֵיהּ, אָמַר נַעֲשֶׂה אָדָם.</w:t>
      </w:r>
    </w:p>
    <w:p w:rsidR="006D2826" w:rsidRDefault="006D2826" w:rsidP="006D2826">
      <w:pPr>
        <w:pStyle w:val="NormalWeb"/>
        <w:rPr>
          <w:b w:val="0"/>
          <w:bCs w:val="0"/>
          <w:rtl/>
        </w:rPr>
      </w:pPr>
      <w:r>
        <w:rPr>
          <w:b w:val="0"/>
          <w:bCs w:val="0"/>
          <w:rtl/>
        </w:rPr>
        <w:t xml:space="preserve">וְתוּ נַעֲשֶׂה אָדָם, בָּעִינָא אָדָם דְּיַעֲבִיד פִּקּוּדֵי אוֹרַיְיתָא, וְיִשְׁתַּדַּל בְּאוֹרַיְיתָא, לְעָבְדָהּ וּלְשָׁמְרָהּ, וִיהֵא לֵיהּ אַגְרָא טָבָא, וְשׁוּלְטָנוֹ עֲלַיְיכוּ, וְדָא אִיהוּ </w:t>
      </w:r>
      <w:r>
        <w:rPr>
          <w:b w:val="0"/>
          <w:sz w:val="20"/>
          <w:szCs w:val="23"/>
          <w:rtl/>
        </w:rPr>
        <w:t>(ישעיה ס כא)</w:t>
      </w:r>
      <w:r>
        <w:rPr>
          <w:b w:val="0"/>
          <w:bCs w:val="0"/>
          <w:rtl/>
        </w:rPr>
        <w:t xml:space="preserve"> נֵצֶר מַטָּעַי מַעֲשֵׂה יָדַי לְהִתְפָּאֵר, דְּהָא מַלְאֲכֵי עִלָּאֵי אַף עַל גַּב דְּאִינוּן גִּבּוֹרֵי כֹחַ עוֹשֵׂי דְּבָרוֹ, לָא עָבְדֵי גְּבוּרָה בְּפוּלְחָנָא דְקוּדְשָׁא בְּרִיךְ הוּא, דְאִינוּן פָּלְחִין בְּהֶכְרֵחַ, וְלֵית לוֹן עִרוּבָא דְבִשְׂרָא וְיִצְרָא בִישָׁא, וּבְגִין דָּא נַעֲשֶׂה אָדָם, וְיִשְׁלוֹט בְּכוּ, הֲדָא הוּא דִכְתִיב </w:t>
      </w:r>
      <w:r>
        <w:rPr>
          <w:b w:val="0"/>
          <w:sz w:val="20"/>
          <w:szCs w:val="23"/>
          <w:rtl/>
        </w:rPr>
        <w:t>(בראשית א כו)</w:t>
      </w:r>
      <w:r>
        <w:rPr>
          <w:b w:val="0"/>
          <w:bCs w:val="0"/>
          <w:rtl/>
        </w:rPr>
        <w:t xml:space="preserve"> וְיִרְדּוּ בִדְגַת הַיָּם וּבְעוֹף הַשָּׁמַיִם וְגוֹמֵר.</w:t>
      </w:r>
    </w:p>
    <w:p w:rsidR="006D2826" w:rsidRDefault="006D2826" w:rsidP="006D2826">
      <w:pPr>
        <w:pStyle w:val="NormalWeb"/>
        <w:rPr>
          <w:b w:val="0"/>
          <w:bCs w:val="0"/>
          <w:rtl/>
        </w:rPr>
      </w:pPr>
      <w:r>
        <w:rPr>
          <w:b w:val="0"/>
          <w:bCs w:val="0"/>
          <w:rtl/>
        </w:rPr>
        <w:t xml:space="preserve">וְתוּ נַעֲשֶׂה אָדָם אֲנָא יָהִיב בֵּיהּ נִשְׁמָתָא, דִכְתִיב בְּצַלְמֵינוּ, וּכְתִיב </w:t>
      </w:r>
      <w:r>
        <w:rPr>
          <w:b w:val="0"/>
          <w:sz w:val="20"/>
          <w:szCs w:val="23"/>
          <w:rtl/>
        </w:rPr>
        <w:t>(תהלים לט ז)</w:t>
      </w:r>
      <w:r>
        <w:rPr>
          <w:b w:val="0"/>
          <w:bCs w:val="0"/>
          <w:rtl/>
        </w:rPr>
        <w:t xml:space="preserve"> אַךְ בְּצֶלֶם יִתְהַלֶּךְ אִישׁ, וְאַתּוּן יַהֲבוּ בֵּיהּ רוּחָא וְנַפְשָׁא, וְאַרְעָא אַרְבַּע יְסוֹדִין, וְיִדְמֶה לְכֹלָּא עִלָּאִין וְתַתָּאִין, וּמַה דְּרָעִינָא דְלֶהֱוִי שַׁלִּיט וּמְמַנָּא עֲלַיְיכוּ, אַצְדִּיקוּ דִינָא דִילִי, וִיהֵא בִרְעוּ דִלְכוֹן, דַּאֲנָא אַשְׁרֵי שְׁמִי עֲלֵיהּ, </w:t>
      </w:r>
      <w:r>
        <w:rPr>
          <w:rStyle w:val="a7"/>
          <w:b w:val="0"/>
          <w:bCs w:val="0"/>
          <w:rtl/>
        </w:rPr>
        <w:footnoteReference w:id="5595"/>
      </w:r>
      <w:r>
        <w:rPr>
          <w:b w:val="0"/>
          <w:bCs w:val="0"/>
          <w:rtl/>
        </w:rPr>
        <w:t xml:space="preserve">וְחוֹתָמָא דִילִי בִּידֵיהּ, דְּאִיהוּ חוֹתָם הַבְּרִית, מַלְאָכַיָּא דְסִטְרָא יְמִינָא בָּרְכוּ לֵיהּ, וְאָמְרוּ נַעֲשֶׂה וְנִשְׁמַע, הֲדָא הוּא דִכְתִיב </w:t>
      </w:r>
      <w:r>
        <w:rPr>
          <w:b w:val="0"/>
          <w:sz w:val="20"/>
          <w:szCs w:val="23"/>
          <w:rtl/>
        </w:rPr>
        <w:t>(שם קג כ)</w:t>
      </w:r>
      <w:r>
        <w:rPr>
          <w:b w:val="0"/>
          <w:bCs w:val="0"/>
          <w:rtl/>
        </w:rPr>
        <w:t xml:space="preserve"> בָּרְכוּ יהו''ה מַלְאָכָיו גִּבֹּרֵי כֹחַ </w:t>
      </w:r>
      <w:r>
        <w:rPr>
          <w:rStyle w:val="a7"/>
          <w:b w:val="0"/>
          <w:bCs w:val="0"/>
          <w:rtl/>
        </w:rPr>
        <w:footnoteReference w:id="5596"/>
      </w:r>
      <w:r>
        <w:rPr>
          <w:b w:val="0"/>
          <w:bCs w:val="0"/>
          <w:rtl/>
        </w:rPr>
        <w:t xml:space="preserve">עֹשֵׂי דְבָרוֹ לִשְׁמֹעַ בְּקוֹל דְּבָרוֹ, וְדָא מטטרו''ן, לְקִבְלֵיהּ יוֹסֵף לְתַתָּא, וַהֲווֹ אָחֳרָנִין דַּהֲווֹ שָׂנְאִין לֵיהּ וְאָמְרוּ </w:t>
      </w:r>
      <w:r>
        <w:rPr>
          <w:b w:val="0"/>
          <w:sz w:val="20"/>
          <w:szCs w:val="23"/>
          <w:rtl/>
        </w:rPr>
        <w:t>(שם ח ה)</w:t>
      </w:r>
      <w:r>
        <w:rPr>
          <w:b w:val="0"/>
          <w:bCs w:val="0"/>
          <w:rtl/>
        </w:rPr>
        <w:t xml:space="preserve"> מָה אֱנוֹשׁ כִּי תִזְכְּרֶנּוּ, וּבְגִין דָּא וַיָּבֵא יוֹסֵף אֶת דִּבָּתָם רָעָה, וַיִּשְׂנְאוּ אֹתוֹ וְלֹא יָכְלוּ דַבְּרוֹ לְשָׁלוֹם, וְלַאו דְּאִינוּן אִלֵּין עז''א ועזא''ל, אֶלָּא אִינוּן אָחֳרָנִין דְּאִתְכַּנְשׁוּ </w:t>
      </w:r>
      <w:r>
        <w:rPr>
          <w:b w:val="0"/>
          <w:sz w:val="20"/>
          <w:szCs w:val="23"/>
          <w:rtl/>
        </w:rPr>
        <w:t>(ס''א דאתכללו)</w:t>
      </w:r>
      <w:r>
        <w:rPr>
          <w:b w:val="0"/>
          <w:bCs w:val="0"/>
          <w:rtl/>
        </w:rPr>
        <w:t xml:space="preserve"> עִמְּהוֹן.</w:t>
      </w:r>
    </w:p>
    <w:p w:rsidR="006D2826" w:rsidRDefault="006D2826" w:rsidP="006D2826">
      <w:pPr>
        <w:pStyle w:val="aa"/>
        <w:spacing w:after="40"/>
        <w:rPr>
          <w:rtl/>
        </w:rPr>
      </w:pPr>
      <w:r>
        <w:rPr>
          <w:rtl/>
        </w:rPr>
        <w:t xml:space="preserve">[תיקוני זוהר - דף קלו ע''ב] </w:t>
      </w:r>
    </w:p>
    <w:p w:rsidR="006D2826" w:rsidRDefault="006D2826" w:rsidP="006D2826">
      <w:pPr>
        <w:pStyle w:val="NormalWeb"/>
        <w:rPr>
          <w:b w:val="0"/>
          <w:bCs w:val="0"/>
          <w:rtl/>
        </w:rPr>
      </w:pPr>
      <w:r>
        <w:rPr>
          <w:b w:val="0"/>
          <w:sz w:val="20"/>
          <w:szCs w:val="23"/>
          <w:rtl/>
        </w:rPr>
        <w:t xml:space="preserve">(דף קלו ע''ב) </w:t>
      </w:r>
      <w:r>
        <w:rPr>
          <w:rStyle w:val="a7"/>
          <w:b w:val="0"/>
          <w:bCs w:val="0"/>
          <w:rtl/>
        </w:rPr>
        <w:footnoteReference w:id="5597"/>
      </w:r>
      <w:r>
        <w:rPr>
          <w:b w:val="0"/>
          <w:bCs w:val="0"/>
          <w:rtl/>
        </w:rPr>
        <w:t xml:space="preserve">וַיְחִי אָדָם שְׁלֹשִׁים וּמְאַת שָׁנָה וַיּוֹלֶד בִּדְמוּתוֹ כְּצַלְמוֹ וַיִּקְרָא אֶת שְׁמוֹ שֵׁת </w:t>
      </w:r>
      <w:r>
        <w:rPr>
          <w:b w:val="0"/>
          <w:sz w:val="20"/>
          <w:szCs w:val="23"/>
          <w:rtl/>
        </w:rPr>
        <w:t>(בראשית ה ג)</w:t>
      </w:r>
      <w:r>
        <w:rPr>
          <w:b w:val="0"/>
          <w:bCs w:val="0"/>
          <w:rtl/>
        </w:rPr>
        <w:t xml:space="preserve">, ש תְּלַת חֵיוָון דְּמַרְכַּבְתָּא, ת אִיהִי </w:t>
      </w:r>
      <w:r>
        <w:rPr>
          <w:b w:val="0"/>
          <w:sz w:val="20"/>
          <w:szCs w:val="23"/>
          <w:rtl/>
        </w:rPr>
        <w:t>(משלי כ כח)</w:t>
      </w:r>
      <w:r>
        <w:rPr>
          <w:b w:val="0"/>
          <w:bCs w:val="0"/>
          <w:rtl/>
        </w:rPr>
        <w:t xml:space="preserve"> נֵר יהו''ה נִשְׁמַת אָדָם, דְּאִתְּמַר בָּהּ </w:t>
      </w:r>
      <w:r>
        <w:rPr>
          <w:b w:val="0"/>
          <w:sz w:val="20"/>
          <w:szCs w:val="23"/>
          <w:rtl/>
        </w:rPr>
        <w:t>(יחזקאל א י)</w:t>
      </w:r>
      <w:r>
        <w:rPr>
          <w:b w:val="0"/>
          <w:bCs w:val="0"/>
          <w:rtl/>
        </w:rPr>
        <w:t xml:space="preserve"> וּדְמוּת פְּנֵיהֶם פְּנֵי אָדָם, וְדָא אִיהוּ וַיּוֹלֶד בִּדְמוּתוֹ כְּצַלְמוֹ. </w:t>
      </w:r>
      <w:r>
        <w:rPr>
          <w:rStyle w:val="a7"/>
          <w:b w:val="0"/>
          <w:bCs w:val="0"/>
          <w:rtl/>
        </w:rPr>
        <w:footnoteReference w:id="5598"/>
      </w:r>
      <w:r>
        <w:rPr>
          <w:b w:val="0"/>
          <w:bCs w:val="0"/>
          <w:rtl/>
        </w:rPr>
        <w:t xml:space="preserve">וַיִּהְיוּ כָּל יְמֵי אָדָם אֲשֶׁר חַי תְּשַׁע מֵאוֹת שָׁנָה וּשְׁלֹשִׁים שָׁנָה וַיָּמוֹת, מַאי וַיָּמוֹת, </w:t>
      </w:r>
      <w:r>
        <w:rPr>
          <w:rStyle w:val="a7"/>
          <w:b w:val="0"/>
          <w:bCs w:val="0"/>
          <w:rtl/>
        </w:rPr>
        <w:footnoteReference w:id="5599"/>
      </w:r>
      <w:r>
        <w:rPr>
          <w:b w:val="0"/>
          <w:bCs w:val="0"/>
          <w:rtl/>
        </w:rPr>
        <w:t>אֶלָּא כָּל יוֹמִין דַּהֲוָה חַי הֲוָה תְּשַׁע מֵאוֹת וּתְלָתִין שְׁנִין, וּשְׁאָר שְׁנִין בְּתוֹסֶפֶת הֲוָה מִית. וְשַׁבְעִין דְּחָסְרוּ מֵאֶלֶף, יְהַב לְדָוִד מִשְּׁנוֹי, בְּגִין דַּהֲוָה עָתִיד לְאַשְׁלָמָא לוֹן בֵּיהּ, וְהָכָא רָזָא דְפוּרְקָנָא.</w:t>
      </w:r>
    </w:p>
    <w:p w:rsidR="006D2826" w:rsidRDefault="006D2826" w:rsidP="006D2826">
      <w:pPr>
        <w:pStyle w:val="NormalWeb"/>
        <w:rPr>
          <w:b w:val="0"/>
          <w:bCs w:val="0"/>
          <w:rtl/>
        </w:rPr>
      </w:pPr>
      <w:r>
        <w:rPr>
          <w:rStyle w:val="a7"/>
          <w:b w:val="0"/>
          <w:bCs w:val="0"/>
          <w:rtl/>
        </w:rPr>
        <w:footnoteReference w:id="5600"/>
      </w:r>
      <w:r>
        <w:rPr>
          <w:b w:val="0"/>
          <w:bCs w:val="0"/>
          <w:rtl/>
        </w:rPr>
        <w:t xml:space="preserve">עֶשֶׂר דָּרִין הֲווֹ מֵאָדָם וְעַד נֹחַ, </w:t>
      </w:r>
      <w:r>
        <w:rPr>
          <w:b w:val="0"/>
          <w:sz w:val="20"/>
          <w:szCs w:val="23"/>
          <w:rtl/>
        </w:rPr>
        <w:t>(בראשית ה כח)</w:t>
      </w:r>
      <w:r>
        <w:rPr>
          <w:b w:val="0"/>
          <w:bCs w:val="0"/>
          <w:rtl/>
        </w:rPr>
        <w:t xml:space="preserve"> וַיְחִי לֶמֶךְ שְׁתַּיִם וּשְׁמֹנִים שָׁנָה וּמְאַת שָׁנָה וַיּוֹלֶד בֵּן וַיִּקְרָא אֶת שְׁמוֹ נֹחַ, לֵאמֹר זֶה יְנַחֲמֵנוּ מִמַּעֲשֵׂינוּ וּמֵעִצְּבוֹן יָדֵינוּ, וְאַמַּאי, דִּבְקַדְמֵיתָא הֲווֹ טָרְחִין בְּגִלְגּוּלִין, עַד דְּאָתָא נֹחַ דְּאִיהוּ שַׁבָּת, וּבֵיהּ נָחוּ כֻּלְּהוּ, וּבֵיהּ אִתְיַישְׁבוּ, וְאַפִּיק לוֹן לְעָלַם.</w:t>
      </w:r>
    </w:p>
    <w:p w:rsidR="006D2826" w:rsidRDefault="006D2826" w:rsidP="006D2826">
      <w:pPr>
        <w:pStyle w:val="NormalWeb"/>
        <w:rPr>
          <w:b w:val="0"/>
          <w:bCs w:val="0"/>
          <w:rtl/>
        </w:rPr>
      </w:pPr>
      <w:r>
        <w:rPr>
          <w:rStyle w:val="a7"/>
          <w:b w:val="0"/>
          <w:bCs w:val="0"/>
          <w:rtl/>
        </w:rPr>
        <w:footnoteReference w:id="5601"/>
      </w:r>
      <w:r>
        <w:rPr>
          <w:b w:val="0"/>
          <w:bCs w:val="0"/>
          <w:rtl/>
        </w:rPr>
        <w:t xml:space="preserve">אָמַר רַבִּי אֶלְעָזָר אַמַּאי הֲווֹ קַדְמָאִין חַיִּין יוֹמִין סַגִּיאִין, כְּגוֹן אָדָם דְּאִתְּמַר בֵּיהּ וַיְחִי אָדָם תְּשַׁע מֵאוֹת שָׁנָה וּשְׁלֹשִׁים שָׁנָה, וְנֹחַ תְּשַׁע מֵאוֹת וַחֲמִשִּׁים שָׁנָה, וְכֵן כֻּלְּהוּ דָרִין עַד נֹחַ הֲווֹ חַיִּין שְׁנִין סַגִּיאִין, וּמֵאַבְרָהָם </w:t>
      </w:r>
      <w:r>
        <w:rPr>
          <w:b w:val="0"/>
          <w:sz w:val="20"/>
          <w:szCs w:val="23"/>
          <w:rtl/>
        </w:rPr>
        <w:t>(נ''א ומנח)</w:t>
      </w:r>
      <w:r>
        <w:rPr>
          <w:b w:val="0"/>
          <w:bCs w:val="0"/>
          <w:rtl/>
        </w:rPr>
        <w:t xml:space="preserve"> וְאֵילֵךְ הֲווֹ מִתְמַעֲטִין בִּשְׁנִין, אָמַר לֵיהּ בְּרִי, רִבּוּי שְׁנִין וַאֲרִיכוּ דְיוֹמִין אִינוּן מֵאֲרִיךְ אַנְפִּין, וּמִעוּטָא דְיוֹמִין וּשְׁנִין מִזְּעִיר אַנְפִּין, וּבְגִין דָּא בְּאַבְרָהָם אִתְּמַר אֵלֶּה תוֹלְדוֹת הַשָּׁמַיִם וְהָאָרֶץ בְּהִבָּרְאָם בְּה' זְעִירָא.</w:t>
      </w:r>
    </w:p>
    <w:p w:rsidR="006D2826" w:rsidRDefault="006D2826" w:rsidP="006D2826">
      <w:pPr>
        <w:pStyle w:val="NormalWeb"/>
        <w:jc w:val="center"/>
        <w:rPr>
          <w:b w:val="0"/>
          <w:sz w:val="20"/>
          <w:szCs w:val="23"/>
          <w:rtl/>
        </w:rPr>
      </w:pPr>
      <w:r>
        <w:rPr>
          <w:b w:val="0"/>
          <w:bCs w:val="0"/>
          <w:rtl/>
        </w:rPr>
        <w:t>בָּרוּךְ יהו''ה לְעוֹלָם אָמֵן וְאָמֵן.</w:t>
      </w:r>
    </w:p>
    <w:p w:rsidR="006D2826" w:rsidRDefault="006D2826" w:rsidP="006D2826">
      <w:pPr>
        <w:pStyle w:val="NormalWeb"/>
        <w:jc w:val="center"/>
        <w:rPr>
          <w:b w:val="0"/>
          <w:sz w:val="20"/>
          <w:szCs w:val="23"/>
          <w:rtl/>
        </w:rPr>
      </w:pPr>
    </w:p>
    <w:p w:rsidR="006F705A" w:rsidRDefault="006F705A" w:rsidP="006F705A">
      <w:pPr>
        <w:pStyle w:val="ae"/>
        <w:spacing w:after="40"/>
        <w:rPr>
          <w:rtl/>
        </w:rPr>
      </w:pPr>
      <w:r>
        <w:rPr>
          <w:rtl/>
        </w:rPr>
        <w:t xml:space="preserve">(אמר המגיה אלו </w:t>
      </w:r>
      <w:r>
        <w:rPr>
          <w:bCs w:val="0"/>
          <w:rtl/>
        </w:rPr>
        <w:t>האחד עשר תיקונים</w:t>
      </w:r>
      <w:r>
        <w:rPr>
          <w:rtl/>
        </w:rPr>
        <w:t xml:space="preserve"> מצאתי בספר אחר כתובים מאחד ועשרים תקונים ולהלאה, ואולי הם בכלל השבעים תיקונים וע"כ ראיתי להדפיסם בסוף התיקונים)</w:t>
      </w:r>
    </w:p>
    <w:p w:rsidR="006F705A" w:rsidRDefault="006F705A" w:rsidP="006F705A">
      <w:pPr>
        <w:pStyle w:val="ae"/>
        <w:spacing w:after="40"/>
        <w:rPr>
          <w:rtl/>
        </w:rPr>
      </w:pPr>
      <w:r>
        <w:rPr>
          <w:rtl/>
        </w:rPr>
        <w:t>(ולמען לא ימצא זה החבור נעדר מאלו המרגליות יקרות וטובות, גמרתי אומר לשים בעט ברזל ועופרת את שרשרות העבותות על המשבצות, ומצא מין את מינו ונעור).</w:t>
      </w:r>
    </w:p>
    <w:p w:rsidR="006F705A" w:rsidRDefault="006F705A" w:rsidP="0043727D">
      <w:pPr>
        <w:pStyle w:val="1"/>
        <w:rPr>
          <w:rtl/>
        </w:rPr>
      </w:pPr>
      <w:bookmarkStart w:id="339" w:name="_Toc228091349"/>
      <w:bookmarkStart w:id="340" w:name="_Toc231637988"/>
      <w:r>
        <w:rPr>
          <w:rtl/>
        </w:rPr>
        <w:t>תקונא קדמאה</w:t>
      </w:r>
    </w:p>
    <w:p w:rsidR="006F705A" w:rsidRDefault="006F705A" w:rsidP="006F705A">
      <w:pPr>
        <w:pStyle w:val="a8"/>
        <w:spacing w:before="0" w:after="40"/>
        <w:rPr>
          <w:rFonts w:hAnsi="Arial" w:cs="Guttman Frank"/>
          <w:bCs w:val="0"/>
          <w:szCs w:val="23"/>
          <w:rtl/>
        </w:rPr>
      </w:pPr>
      <w:r>
        <w:rPr>
          <w:rtl/>
        </w:rPr>
        <w:t xml:space="preserve">בראשית ברא אלקים ב נקודה בהיכליה וכו'. </w:t>
      </w:r>
      <w:r>
        <w:rPr>
          <w:rFonts w:hAnsi="Arial" w:cs="Guttman Frank"/>
          <w:bCs w:val="0"/>
          <w:szCs w:val="23"/>
          <w:rtl/>
        </w:rPr>
        <w:t>תיקון זה הועבר לפני תיקון ל' ע"פ הגהת הגר"א שם.</w:t>
      </w:r>
    </w:p>
    <w:p w:rsidR="006F705A" w:rsidRDefault="006F705A" w:rsidP="0043727D">
      <w:pPr>
        <w:pStyle w:val="1"/>
        <w:rPr>
          <w:u w:val="single"/>
          <w:rtl/>
        </w:rPr>
      </w:pPr>
      <w:r>
        <w:rPr>
          <w:rtl/>
        </w:rPr>
        <w:t>תקונא תניינא [מהדורה תנינא]</w:t>
      </w:r>
      <w:bookmarkEnd w:id="339"/>
      <w:bookmarkEnd w:id="340"/>
    </w:p>
    <w:p w:rsidR="006F705A" w:rsidRDefault="006F705A" w:rsidP="006F705A">
      <w:pPr>
        <w:spacing w:after="40" w:line="360" w:lineRule="atLeast"/>
        <w:ind w:left="144" w:right="144" w:firstLine="288"/>
        <w:jc w:val="both"/>
        <w:rPr>
          <w:rFonts w:ascii="Arial" w:cs="Arial"/>
          <w:b/>
          <w:bCs/>
          <w:sz w:val="29"/>
          <w:szCs w:val="26"/>
          <w:rtl/>
        </w:rPr>
      </w:pPr>
      <w:r>
        <w:rPr>
          <w:rFonts w:ascii="Arial" w:cs="FrankRuehl"/>
          <w:b/>
          <w:rtl/>
        </w:rPr>
        <w:t>(זהו תקון כ''ב וכ''ג)</w:t>
      </w:r>
    </w:p>
    <w:p w:rsidR="006F705A" w:rsidRDefault="006F705A" w:rsidP="006F705A">
      <w:pPr>
        <w:pStyle w:val="NormalWeb"/>
        <w:rPr>
          <w:rFonts w:cs="Arial"/>
          <w:szCs w:val="22"/>
          <w:rtl/>
        </w:rPr>
      </w:pPr>
      <w:r>
        <w:rPr>
          <w:rFonts w:cs="Arial"/>
          <w:szCs w:val="22"/>
          <w:rtl/>
        </w:rPr>
        <w:t>[י"א תיקונים מהדורא בתרא, קלז ע"ב]</w:t>
      </w:r>
    </w:p>
    <w:p w:rsidR="006F705A" w:rsidRDefault="006F705A" w:rsidP="006F705A">
      <w:pPr>
        <w:spacing w:after="40" w:line="360" w:lineRule="atLeast"/>
        <w:ind w:left="144" w:right="144" w:firstLine="288"/>
        <w:jc w:val="both"/>
        <w:rPr>
          <w:rFonts w:ascii="Arial" w:cs="Arial"/>
          <w:b/>
          <w:bCs/>
          <w:sz w:val="29"/>
          <w:szCs w:val="26"/>
          <w:rtl/>
        </w:rPr>
      </w:pPr>
      <w:r>
        <w:rPr>
          <w:rStyle w:val="a7"/>
          <w:rFonts w:ascii="Arial" w:cs="Arial"/>
          <w:b/>
          <w:bCs/>
          <w:sz w:val="29"/>
          <w:szCs w:val="26"/>
          <w:rtl/>
        </w:rPr>
        <w:footnoteReference w:id="5602"/>
      </w:r>
      <w:r>
        <w:rPr>
          <w:rFonts w:ascii="Arial" w:cs="Arial"/>
          <w:b/>
          <w:bCs/>
          <w:sz w:val="29"/>
          <w:szCs w:val="26"/>
          <w:rtl/>
        </w:rPr>
        <w:t xml:space="preserve">בְּרֵאשִׁית בָּרָא אלהי''ם, בְּרֵאשִׁית בָּרָ''א תַּיִ''שׁ, דָּא אֵילוֹ דְיִצְחָק. בְּרֵאשִׁית תַּמָּן אֵ''שׁ </w:t>
      </w:r>
      <w:r>
        <w:rPr>
          <w:rStyle w:val="a7"/>
          <w:rFonts w:ascii="Arial" w:cs="Arial"/>
          <w:b/>
          <w:bCs/>
          <w:sz w:val="29"/>
          <w:szCs w:val="26"/>
          <w:rtl/>
        </w:rPr>
        <w:footnoteReference w:id="5603"/>
      </w:r>
      <w:r>
        <w:rPr>
          <w:rFonts w:ascii="Arial" w:cs="Arial"/>
          <w:b/>
          <w:bCs/>
          <w:sz w:val="29"/>
          <w:szCs w:val="26"/>
          <w:rtl/>
        </w:rPr>
        <w:t xml:space="preserve">לְעוֹלָה דְיִצְחָק, וְרָזָא דְמִלָּה </w:t>
      </w:r>
      <w:r>
        <w:rPr>
          <w:rFonts w:ascii="Arial" w:hAnsi="Arial Unicode MS" w:cs="Guttman Frank"/>
          <w:b/>
          <w:szCs w:val="23"/>
          <w:rtl/>
          <w:lang w:eastAsia="he-IL"/>
        </w:rPr>
        <w:t>(קלז ע"ב) (בראשית כב ז)</w:t>
      </w:r>
      <w:r>
        <w:rPr>
          <w:rFonts w:ascii="Arial" w:cs="Arial"/>
          <w:b/>
          <w:bCs/>
          <w:sz w:val="29"/>
          <w:szCs w:val="26"/>
          <w:rtl/>
        </w:rPr>
        <w:t xml:space="preserve"> הִנֵּה הָאֵשׁ וְהָעִצִים וְאַיֵּה הַשֶּׂה לְעֹלָה, </w:t>
      </w:r>
      <w:r>
        <w:rPr>
          <w:rStyle w:val="a7"/>
          <w:rFonts w:ascii="Arial" w:cs="Arial"/>
          <w:b/>
          <w:bCs/>
          <w:sz w:val="29"/>
          <w:szCs w:val="26"/>
          <w:rtl/>
        </w:rPr>
        <w:footnoteReference w:id="5604"/>
      </w:r>
      <w:r>
        <w:rPr>
          <w:rFonts w:ascii="Arial" w:cs="Arial"/>
          <w:b/>
          <w:bCs/>
          <w:sz w:val="29"/>
          <w:szCs w:val="26"/>
          <w:rtl/>
        </w:rPr>
        <w:t>נָפַק קָלָא וְאָמַר מִשִּׁית יוֹמֵי בְּרֵאשִׁית אִתְבְּרֵי לַעֲקֵדָה דְיִצְחָק.</w:t>
      </w:r>
    </w:p>
    <w:p w:rsidR="006F705A" w:rsidRDefault="006F705A" w:rsidP="006F705A">
      <w:pPr>
        <w:spacing w:after="40" w:line="360" w:lineRule="atLeast"/>
        <w:ind w:left="144" w:right="144" w:firstLine="288"/>
        <w:jc w:val="both"/>
        <w:rPr>
          <w:rFonts w:ascii="Arial" w:cs="Arial"/>
          <w:b/>
          <w:bCs/>
          <w:sz w:val="29"/>
          <w:szCs w:val="26"/>
          <w:rtl/>
        </w:rPr>
      </w:pPr>
      <w:r>
        <w:rPr>
          <w:rStyle w:val="a7"/>
          <w:rFonts w:ascii="Arial" w:cs="Arial"/>
          <w:b/>
          <w:bCs/>
          <w:sz w:val="29"/>
          <w:szCs w:val="26"/>
          <w:rtl/>
        </w:rPr>
        <w:footnoteReference w:id="5605"/>
      </w:r>
      <w:r>
        <w:rPr>
          <w:rFonts w:ascii="Arial" w:cs="Arial"/>
          <w:b/>
          <w:bCs/>
          <w:sz w:val="29"/>
          <w:szCs w:val="26"/>
          <w:rtl/>
        </w:rPr>
        <w:t xml:space="preserve">בְּגִין דְּלָא אִית קָרְבָּן </w:t>
      </w:r>
      <w:r>
        <w:rPr>
          <w:rStyle w:val="a7"/>
          <w:rFonts w:ascii="Arial" w:cs="Arial"/>
          <w:b/>
          <w:bCs/>
          <w:sz w:val="29"/>
          <w:szCs w:val="26"/>
          <w:rtl/>
        </w:rPr>
        <w:footnoteReference w:id="5606"/>
      </w:r>
      <w:r>
        <w:rPr>
          <w:rFonts w:ascii="Arial" w:cs="Arial"/>
          <w:b/>
          <w:bCs/>
          <w:sz w:val="29"/>
          <w:szCs w:val="26"/>
          <w:rtl/>
        </w:rPr>
        <w:t xml:space="preserve">דְּבַטֵּיל מוֹתָנָא כַּעֲקֵדָה דְיִצְחָק, דְּאִתְּמַר בֵּיהּ </w:t>
      </w:r>
      <w:r>
        <w:rPr>
          <w:rFonts w:ascii="Arial" w:cs="FrankRuehl"/>
          <w:b/>
          <w:rtl/>
        </w:rPr>
        <w:t>(שם)</w:t>
      </w:r>
      <w:r>
        <w:rPr>
          <w:rFonts w:ascii="Arial" w:cs="Arial"/>
          <w:b/>
          <w:bCs/>
          <w:sz w:val="29"/>
          <w:szCs w:val="26"/>
          <w:rtl/>
        </w:rPr>
        <w:t xml:space="preserve"> וַיַּעֲקוֹד אֶת יִצְחָק בְּנוֹ, אִתְקַשַּׁר מִדַּת הַדִּין </w:t>
      </w:r>
      <w:r>
        <w:rPr>
          <w:rFonts w:ascii="Arial" w:cs="FrankRuehl"/>
          <w:b/>
          <w:rtl/>
        </w:rPr>
        <w:t>(מלאך המות)</w:t>
      </w:r>
      <w:r>
        <w:rPr>
          <w:rFonts w:ascii="Arial" w:cs="Arial"/>
          <w:b/>
          <w:bCs/>
          <w:sz w:val="29"/>
          <w:szCs w:val="26"/>
          <w:rtl/>
        </w:rPr>
        <w:t xml:space="preserve"> וְאִתְעַקַּד לְעִילָא, וְלָא הֲוָה לֵיהּ רְשׁוּ לְקָרְבָא לְבֵי דִינָא רַבְרְבָא דְאִיהוּ גְבוּרָה, לְתַבְעָא דִינָא, וַעֲקֵדָה דְנָא מוֹעִילָה לְגָלוּתָא, דַהֲוָה עָתִיד לְאִתְקַטְלָא מָשִׁיחַ בֶּן יוֹסֵף, וְקָלָא נָפִיק מֵהַהוּא זִמְנָא </w:t>
      </w:r>
      <w:r>
        <w:rPr>
          <w:rFonts w:ascii="Arial" w:hAnsi="Arial Unicode MS" w:cs="Guttman Frank"/>
          <w:b/>
          <w:szCs w:val="23"/>
          <w:rtl/>
          <w:lang w:eastAsia="he-IL"/>
        </w:rPr>
        <w:t>(שם)</w:t>
      </w:r>
      <w:r>
        <w:rPr>
          <w:rFonts w:ascii="Arial" w:cs="FrankRuehl"/>
          <w:b/>
          <w:sz w:val="29"/>
          <w:rtl/>
        </w:rPr>
        <w:t xml:space="preserve"> </w:t>
      </w:r>
      <w:r>
        <w:rPr>
          <w:rStyle w:val="Char"/>
          <w:rFonts w:cs="Arial"/>
          <w:szCs w:val="26"/>
          <w:rtl/>
        </w:rPr>
        <w:t>אַל תַּעַשׂ לוֹ מְאוּמָה</w:t>
      </w:r>
      <w:r>
        <w:rPr>
          <w:rFonts w:ascii="Arial" w:cs="FrankRuehl"/>
          <w:b/>
          <w:sz w:val="29"/>
          <w:rtl/>
        </w:rPr>
        <w:t xml:space="preserve"> </w:t>
      </w:r>
      <w:r>
        <w:rPr>
          <w:rFonts w:ascii="Arial" w:hAnsi="Arial Unicode MS" w:cs="Guttman Frank"/>
          <w:b/>
          <w:szCs w:val="23"/>
          <w:rtl/>
          <w:lang w:eastAsia="he-IL"/>
        </w:rPr>
        <w:t>(שם יב)</w:t>
      </w:r>
      <w:r>
        <w:rPr>
          <w:rFonts w:ascii="Arial" w:cs="Arial"/>
          <w:b/>
          <w:bCs/>
          <w:sz w:val="29"/>
          <w:szCs w:val="26"/>
          <w:rtl/>
        </w:rPr>
        <w:t xml:space="preserve">, בְּגִין דְּאִתְגַּבְּרוּ רַחֲמֵי עַל דִּינָא, </w:t>
      </w:r>
      <w:r>
        <w:rPr>
          <w:rStyle w:val="a7"/>
          <w:rFonts w:ascii="Arial" w:cs="Arial"/>
          <w:b/>
          <w:bCs/>
          <w:sz w:val="29"/>
          <w:szCs w:val="26"/>
          <w:rtl/>
        </w:rPr>
        <w:footnoteReference w:id="5607"/>
      </w:r>
      <w:r>
        <w:rPr>
          <w:rFonts w:ascii="Arial" w:cs="Arial"/>
          <w:b/>
          <w:bCs/>
          <w:sz w:val="29"/>
          <w:szCs w:val="26"/>
          <w:rtl/>
        </w:rPr>
        <w:t xml:space="preserve">וְרָזָא דְמִלָּה </w:t>
      </w:r>
      <w:r>
        <w:rPr>
          <w:rFonts w:ascii="Arial" w:hAnsi="Arial Unicode MS" w:cs="Guttman Frank"/>
          <w:b/>
          <w:szCs w:val="23"/>
          <w:rtl/>
          <w:lang w:eastAsia="he-IL"/>
        </w:rPr>
        <w:t>(תהלים צח א)</w:t>
      </w:r>
      <w:r>
        <w:rPr>
          <w:rFonts w:ascii="Arial" w:cs="Arial"/>
          <w:b/>
          <w:bCs/>
          <w:sz w:val="29"/>
          <w:szCs w:val="26"/>
          <w:rtl/>
        </w:rPr>
        <w:t xml:space="preserve"> הוֹשִׁיעָה לּוֹ יְמִינוֹ, וּלְבָתַר זְרוֹעַ קָדְשׁוֹ, דְגָבַר יְמִינָא עַל שְׂמָאלָא.</w:t>
      </w:r>
    </w:p>
    <w:p w:rsidR="006F705A" w:rsidRDefault="006F705A" w:rsidP="006F705A">
      <w:pPr>
        <w:spacing w:after="40" w:line="360" w:lineRule="atLeast"/>
        <w:ind w:left="144" w:right="144" w:firstLine="288"/>
        <w:jc w:val="both"/>
        <w:rPr>
          <w:rFonts w:ascii="Arial" w:cs="Arial"/>
          <w:b/>
          <w:bCs/>
          <w:sz w:val="29"/>
          <w:szCs w:val="26"/>
          <w:rtl/>
        </w:rPr>
      </w:pPr>
      <w:r>
        <w:rPr>
          <w:rFonts w:ascii="Arial" w:cs="Arial"/>
          <w:b/>
          <w:bCs/>
          <w:sz w:val="29"/>
          <w:szCs w:val="26"/>
          <w:rtl/>
        </w:rPr>
        <w:t xml:space="preserve">כַּד אִתְגַּבַּר טִפָּה דִדְכוּרָא עַל טִפָּה דְנוּקְבָא אִיהוּ בֵּן, רַחֲמֵי אִיהוּ וַדַּאי, אֲבָל כַּד אִתְגַּבַּר טִפָּה דְנוּקְבָא עַל דְּכוּרָא, בַת אִיהִי וְדִינָא אִיהִי, וְרָזָא דְמִלָּה דְכוּרָא שַׁלִּיט עַל נוּקְבָא גָרִים דְּשַׁלִּיט יְמִינָא עַל שְׂמָאלָא, וְיִפְקוּן יִשְׂרָאֵל בְּרַחֲמֵי וְלָא בְדִינָא, וְדָא אִיהוּ </w:t>
      </w:r>
      <w:r>
        <w:rPr>
          <w:rFonts w:ascii="Arial" w:hAnsi="Arial Unicode MS" w:cs="Guttman Frank"/>
          <w:b/>
          <w:szCs w:val="23"/>
          <w:rtl/>
          <w:lang w:eastAsia="he-IL"/>
        </w:rPr>
        <w:t>(תהלים קיז ב)</w:t>
      </w:r>
      <w:r>
        <w:rPr>
          <w:rFonts w:ascii="Arial" w:cs="Arial"/>
          <w:b/>
          <w:bCs/>
          <w:sz w:val="29"/>
          <w:szCs w:val="26"/>
          <w:rtl/>
        </w:rPr>
        <w:t xml:space="preserve"> </w:t>
      </w:r>
      <w:r>
        <w:rPr>
          <w:rStyle w:val="a7"/>
          <w:rFonts w:ascii="Arial" w:cs="Arial"/>
          <w:b/>
          <w:bCs/>
          <w:sz w:val="29"/>
          <w:szCs w:val="26"/>
          <w:rtl/>
        </w:rPr>
        <w:footnoteReference w:id="5608"/>
      </w:r>
      <w:r>
        <w:rPr>
          <w:rFonts w:ascii="Arial" w:cs="Arial"/>
          <w:b/>
          <w:bCs/>
          <w:sz w:val="29"/>
          <w:szCs w:val="26"/>
          <w:rtl/>
        </w:rPr>
        <w:t xml:space="preserve">כִּי גָבַר עָלֵינוּ חַסְדּוֹ, וְרָזָא דְמִלָּה </w:t>
      </w:r>
      <w:r>
        <w:rPr>
          <w:rFonts w:ascii="Arial" w:hAnsi="Arial Unicode MS" w:cs="Guttman Frank"/>
          <w:b/>
          <w:szCs w:val="23"/>
          <w:rtl/>
          <w:lang w:eastAsia="he-IL"/>
        </w:rPr>
        <w:t>(ישעיה סו ז)</w:t>
      </w:r>
      <w:r>
        <w:rPr>
          <w:rFonts w:ascii="Arial" w:cs="Arial"/>
          <w:b/>
          <w:bCs/>
          <w:sz w:val="29"/>
          <w:szCs w:val="26"/>
          <w:rtl/>
        </w:rPr>
        <w:t xml:space="preserve"> בְּטֶרֶם יָבֹא חֵבֶל לָהּ וְהִמְלִיטָה זָכָר.</w:t>
      </w:r>
    </w:p>
    <w:p w:rsidR="006F705A" w:rsidRDefault="006F705A" w:rsidP="006F705A">
      <w:pPr>
        <w:spacing w:after="40" w:line="360" w:lineRule="atLeast"/>
        <w:ind w:left="144" w:right="144" w:firstLine="288"/>
        <w:jc w:val="both"/>
        <w:rPr>
          <w:rFonts w:ascii="Arial" w:cs="Arial"/>
          <w:b/>
          <w:bCs/>
          <w:sz w:val="29"/>
          <w:szCs w:val="26"/>
          <w:rtl/>
        </w:rPr>
      </w:pPr>
      <w:r>
        <w:rPr>
          <w:rFonts w:ascii="Arial" w:cs="Arial"/>
          <w:b/>
          <w:bCs/>
          <w:sz w:val="29"/>
          <w:szCs w:val="26"/>
          <w:rtl/>
        </w:rPr>
        <w:t xml:space="preserve">וּבִשְׁמָא דְקוּדְשָׁא בְּרִיךְ הוּא, יהו''ה רַחֲמֵי, אדנ''י דִּינָא, כַּד שַׁלִּיט יהו''ה עַל אדנ''י יאהדונה''י רַחֲמֵי אִיהוּ, וְכַד שַׁלִּיט אדנ''י עַל יהו''ה אידהנוי''ה דִינָא אִיהוּ, </w:t>
      </w:r>
      <w:r>
        <w:rPr>
          <w:rStyle w:val="a7"/>
          <w:rFonts w:ascii="Arial" w:cs="Arial"/>
          <w:b/>
          <w:bCs/>
          <w:sz w:val="29"/>
          <w:szCs w:val="26"/>
          <w:rtl/>
        </w:rPr>
        <w:footnoteReference w:id="5609"/>
      </w:r>
      <w:r>
        <w:rPr>
          <w:rFonts w:ascii="Arial" w:cs="Arial"/>
          <w:b/>
          <w:bCs/>
          <w:sz w:val="29"/>
          <w:szCs w:val="26"/>
          <w:rtl/>
        </w:rPr>
        <w:t xml:space="preserve">וְרָזָא דְמִלָּה </w:t>
      </w:r>
      <w:r>
        <w:rPr>
          <w:rFonts w:ascii="Arial" w:hAnsi="Arial Unicode MS" w:cs="Guttman Frank"/>
          <w:b/>
          <w:szCs w:val="23"/>
          <w:rtl/>
          <w:lang w:eastAsia="he-IL"/>
        </w:rPr>
        <w:t>(שם מ י)</w:t>
      </w:r>
      <w:r>
        <w:rPr>
          <w:rFonts w:ascii="Arial" w:cs="Arial"/>
          <w:b/>
          <w:bCs/>
          <w:sz w:val="29"/>
          <w:szCs w:val="26"/>
          <w:rtl/>
        </w:rPr>
        <w:t xml:space="preserve"> אדנ''י אלהי''ם בְּחָזָק יָבֹא, בִּתְקִיפוּ דְּדִינָא, וּבְדָא עֲקֵדָה דְיִצְחָק דְּאִתְעַקַּד קַמֵּי אֲבוֹי, וּמָסַר גַּרְמֵיהּ לְמִיתָה בְּגִין </w:t>
      </w:r>
      <w:r>
        <w:rPr>
          <w:rStyle w:val="a7"/>
          <w:rFonts w:ascii="Arial" w:cs="Arial"/>
          <w:b/>
          <w:bCs/>
          <w:sz w:val="29"/>
          <w:szCs w:val="26"/>
          <w:rtl/>
        </w:rPr>
        <w:footnoteReference w:id="5610"/>
      </w:r>
      <w:r>
        <w:rPr>
          <w:rFonts w:ascii="Arial" w:cs="Arial"/>
          <w:b/>
          <w:bCs/>
          <w:sz w:val="29"/>
          <w:szCs w:val="26"/>
          <w:rtl/>
        </w:rPr>
        <w:t xml:space="preserve">דִּיְשֵׁזִיב מָשִׁיחַ וְיִשְׂרָאֵל דְּלָא יְמוּתוּן, וְלָא עוֹד אֶלָּא דַאֲפִילוּ אִי יִשְׂרָאֵל לֶהֱווּ עָבְרִין בְּגָלוּתָא, עַל שְׁפִיכוּת דָּמִים וְגִלּוּי עֲרָיוֹת וַעֲבוֹדָה זָרָה, </w:t>
      </w:r>
      <w:r>
        <w:rPr>
          <w:rStyle w:val="a7"/>
          <w:rFonts w:ascii="Arial" w:cs="Arial"/>
          <w:b/>
          <w:bCs/>
          <w:sz w:val="29"/>
          <w:szCs w:val="26"/>
          <w:rtl/>
        </w:rPr>
        <w:footnoteReference w:id="5611"/>
      </w:r>
      <w:r>
        <w:rPr>
          <w:rFonts w:ascii="Arial" w:cs="Arial"/>
          <w:b/>
          <w:bCs/>
          <w:sz w:val="29"/>
          <w:szCs w:val="26"/>
          <w:rtl/>
        </w:rPr>
        <w:t xml:space="preserve">זְכוּת אֲבָהָן יָגֵן עֲלֵיהוֹן מִשְּׂרֵפָה הֶרֶג וְחֶנֶק, </w:t>
      </w:r>
      <w:r>
        <w:rPr>
          <w:rStyle w:val="a7"/>
          <w:rFonts w:ascii="Arial" w:cs="Arial"/>
          <w:b/>
          <w:bCs/>
          <w:sz w:val="29"/>
          <w:szCs w:val="26"/>
          <w:rtl/>
        </w:rPr>
        <w:footnoteReference w:id="5612"/>
      </w:r>
      <w:r>
        <w:rPr>
          <w:rFonts w:ascii="Arial" w:cs="Arial"/>
          <w:b/>
          <w:bCs/>
          <w:sz w:val="29"/>
          <w:szCs w:val="26"/>
          <w:rtl/>
        </w:rPr>
        <w:t>בְּגִין דְּאַבְרָהָם נִתְנַסָּה בְּנוּרָא, וְיִצְחָק בְּסַכִּינָא, וְיַעֲקֹב בְּגָלוּתָא, זְכוּת אֲבָהָן יְהֵא מֵגִין עֲלֵיהוֹן.</w:t>
      </w:r>
    </w:p>
    <w:p w:rsidR="006F705A" w:rsidRDefault="006F705A" w:rsidP="006F705A">
      <w:pPr>
        <w:spacing w:after="40" w:line="360" w:lineRule="atLeast"/>
        <w:ind w:left="144" w:right="144" w:firstLine="288"/>
        <w:jc w:val="both"/>
        <w:rPr>
          <w:rFonts w:ascii="Arial" w:cs="Arial"/>
          <w:b/>
          <w:bCs/>
          <w:sz w:val="29"/>
          <w:szCs w:val="26"/>
          <w:rtl/>
        </w:rPr>
      </w:pPr>
      <w:r>
        <w:rPr>
          <w:rFonts w:ascii="Arial" w:cs="Arial"/>
          <w:b/>
          <w:bCs/>
          <w:sz w:val="29"/>
          <w:szCs w:val="26"/>
          <w:rtl/>
        </w:rPr>
        <w:t xml:space="preserve">וְעוֹד נִסְיוֹנָא דִתְלַת אֲבָהָן מְעִידִין, </w:t>
      </w:r>
      <w:r>
        <w:rPr>
          <w:rStyle w:val="a7"/>
          <w:rFonts w:ascii="Arial" w:cs="Arial"/>
          <w:b/>
          <w:bCs/>
          <w:sz w:val="29"/>
          <w:szCs w:val="26"/>
          <w:rtl/>
        </w:rPr>
        <w:footnoteReference w:id="5613"/>
      </w:r>
      <w:r>
        <w:rPr>
          <w:rFonts w:ascii="Arial" w:cs="Arial"/>
          <w:b/>
          <w:bCs/>
          <w:sz w:val="29"/>
          <w:szCs w:val="26"/>
          <w:rtl/>
        </w:rPr>
        <w:t xml:space="preserve">דְּלָא עָבַר אָדָם דְּאִיהוּ יִשְׂרָאֵל עַל תְּלַת פִּקּוּדִין אִלֵּין, דְּמַנִּי לוֹן </w:t>
      </w:r>
      <w:r>
        <w:rPr>
          <w:rFonts w:ascii="Arial" w:cs="FrankRuehl"/>
          <w:b/>
          <w:rtl/>
        </w:rPr>
        <w:t>(ליה)</w:t>
      </w:r>
      <w:r>
        <w:rPr>
          <w:rFonts w:ascii="Arial" w:cs="Arial"/>
          <w:b/>
          <w:bCs/>
          <w:sz w:val="29"/>
          <w:szCs w:val="26"/>
          <w:rtl/>
        </w:rPr>
        <w:t xml:space="preserve"> קוּדְשָׁא בְּרִיךְ הוּא, הֲדָא הוּא דִכְתִיב </w:t>
      </w:r>
      <w:r>
        <w:rPr>
          <w:rFonts w:ascii="Arial" w:hAnsi="Arial Unicode MS" w:cs="Guttman Frank"/>
          <w:b/>
          <w:szCs w:val="23"/>
          <w:rtl/>
          <w:lang w:eastAsia="he-IL"/>
        </w:rPr>
        <w:t>(בראשית ב טז)</w:t>
      </w:r>
      <w:r>
        <w:rPr>
          <w:rFonts w:ascii="Arial" w:cs="Arial"/>
          <w:b/>
          <w:bCs/>
          <w:sz w:val="29"/>
          <w:szCs w:val="26"/>
          <w:rtl/>
        </w:rPr>
        <w:t xml:space="preserve"> וַיְצַו יהו''ה אלהי''ם עַל הָאָדָם, וַיְצַו דָּא עֲבוֹדָה זָרָה, לֵאמֹר דָּא גִּלּוּי עֲרָיוֹת, עַל הָאָדָם דָּא שְׁפִיכוּת דָּמִים, דְּנִשְׁמָתָא דְאָדָם עָאלַת בְּגִלְגּוּלָא דְאַבְרָהָם, וְאִם אִיהוּ עָבַד עֲבוֹדָה זָרָה, כַּד עָאל בְּנוּרָא הֲוָה אִתּוֹקַד, הֲדָא הוּא דִכְתִיב </w:t>
      </w:r>
      <w:r>
        <w:rPr>
          <w:rFonts w:ascii="Arial" w:hAnsi="Arial Unicode MS" w:cs="Guttman Frank"/>
          <w:b/>
          <w:szCs w:val="23"/>
          <w:rtl/>
          <w:lang w:eastAsia="he-IL"/>
        </w:rPr>
        <w:t>(דברים ז כה)</w:t>
      </w:r>
      <w:r>
        <w:rPr>
          <w:rFonts w:ascii="Arial" w:cs="Arial"/>
          <w:b/>
          <w:bCs/>
          <w:sz w:val="29"/>
          <w:szCs w:val="26"/>
          <w:rtl/>
        </w:rPr>
        <w:t xml:space="preserve"> פְּסִילֵי אֱלֹהֵיהֶם תִּשְׂרְפוּן בָּאֵשׁ.</w:t>
      </w:r>
    </w:p>
    <w:p w:rsidR="006F705A" w:rsidRDefault="006F705A" w:rsidP="006F705A">
      <w:pPr>
        <w:pStyle w:val="NormalWeb"/>
        <w:rPr>
          <w:rFonts w:cs="Arial"/>
          <w:b w:val="0"/>
          <w:bCs w:val="0"/>
          <w:szCs w:val="26"/>
          <w:rtl/>
        </w:rPr>
      </w:pPr>
      <w:r>
        <w:rPr>
          <w:rFonts w:cs="Arial"/>
          <w:b w:val="0"/>
          <w:bCs w:val="0"/>
          <w:szCs w:val="26"/>
          <w:rtl/>
        </w:rPr>
        <w:t xml:space="preserve">דְּאֵשׁ </w:t>
      </w:r>
      <w:r>
        <w:rPr>
          <w:rStyle w:val="a7"/>
          <w:rFonts w:cs="Arial"/>
          <w:b w:val="0"/>
          <w:bCs w:val="0"/>
          <w:szCs w:val="26"/>
          <w:rtl/>
        </w:rPr>
        <w:footnoteReference w:id="5614"/>
      </w:r>
      <w:r>
        <w:rPr>
          <w:rFonts w:cs="Arial"/>
          <w:b w:val="0"/>
          <w:bCs w:val="0"/>
          <w:szCs w:val="26"/>
          <w:rtl/>
        </w:rPr>
        <w:t xml:space="preserve">אִית לֵיהּ תְּלַת גַּוָּונִין, חִוָּור וְיָרוֹק וְאוּכַם, </w:t>
      </w:r>
      <w:r>
        <w:rPr>
          <w:rStyle w:val="a7"/>
          <w:rFonts w:cs="Arial"/>
          <w:b w:val="0"/>
          <w:bCs w:val="0"/>
          <w:szCs w:val="26"/>
          <w:rtl/>
        </w:rPr>
        <w:footnoteReference w:id="5615"/>
      </w:r>
      <w:r>
        <w:rPr>
          <w:rFonts w:cs="Arial"/>
          <w:b w:val="0"/>
          <w:bCs w:val="0"/>
          <w:szCs w:val="26"/>
          <w:rtl/>
        </w:rPr>
        <w:t xml:space="preserve">וּרְבִיעָאָה תְּכֵלֶת, וְאִינוּן דְּבֵקִין בְּגַחֶלֶת דְּאִיהוּ סוּמְקָא הָא חֲמִשָּׁה, כְּחֻשְׁבַּן ה </w:t>
      </w:r>
      <w:r>
        <w:rPr>
          <w:b w:val="0"/>
          <w:sz w:val="20"/>
          <w:szCs w:val="23"/>
          <w:rtl/>
        </w:rPr>
        <w:t>(חמש)</w:t>
      </w:r>
      <w:r>
        <w:rPr>
          <w:rFonts w:cs="Arial"/>
          <w:b w:val="0"/>
          <w:bCs w:val="0"/>
          <w:szCs w:val="26"/>
          <w:rtl/>
        </w:rPr>
        <w:t xml:space="preserve"> דְּאִיהִי אֱמוּנָה דְקוּדְשָׁא בְּרִיךְ הוּא דְאִיהוּ ו', דְּאִתְלַבַּשׁ בְּחָמֵשׁ גַּוָּונִין וְנָהִיר בְּהוֹן, וּבֵיהּ סָלְקִין גַּוָּונִין דְּאִינוּן כְּלִילָן בָּהּ, וְהִיא סְלִיקַת בְּהוֹן לְגַבֵּי ו', הֲדָא הוּא דִכְתִיב </w:t>
      </w:r>
      <w:r>
        <w:rPr>
          <w:b w:val="0"/>
          <w:sz w:val="20"/>
          <w:szCs w:val="23"/>
          <w:rtl/>
        </w:rPr>
        <w:t>(ויקרא ו ב)</w:t>
      </w:r>
      <w:r>
        <w:rPr>
          <w:rFonts w:cs="Arial"/>
          <w:b w:val="0"/>
          <w:bCs w:val="0"/>
          <w:szCs w:val="26"/>
          <w:rtl/>
        </w:rPr>
        <w:t xml:space="preserve"> הִיא הָעוֹלָה, </w:t>
      </w:r>
      <w:r>
        <w:rPr>
          <w:rStyle w:val="a7"/>
          <w:rFonts w:cs="Arial"/>
          <w:b w:val="0"/>
          <w:bCs w:val="0"/>
          <w:szCs w:val="26"/>
          <w:rtl/>
        </w:rPr>
        <w:footnoteReference w:id="5616"/>
      </w:r>
      <w:r>
        <w:rPr>
          <w:rFonts w:cs="Arial"/>
          <w:b w:val="0"/>
          <w:bCs w:val="0"/>
          <w:szCs w:val="26"/>
          <w:rtl/>
        </w:rPr>
        <w:t>וְכַד סָלְקִין תְּרֵין דְּאִינוּן ו' ה' בְּקָרְבָּנָא, נָחֲתִין תְּרֵין מִלְּעִילָא דְאִינוּן י''ה, וּמִתְקָרְבִין אַתְוָון וּמִתְיַיחֲדִין וּמִתְקַשְּׁרִין דָּא בְּדָא, וְדָא אִיהוּ רָזָא דְקָרְבָּנָא.</w:t>
      </w:r>
    </w:p>
    <w:p w:rsidR="006F705A" w:rsidRDefault="006F705A" w:rsidP="006F705A">
      <w:pPr>
        <w:pStyle w:val="NormalWeb"/>
        <w:rPr>
          <w:rFonts w:cs="Arial"/>
          <w:b w:val="0"/>
          <w:bCs w:val="0"/>
          <w:szCs w:val="26"/>
          <w:rtl/>
        </w:rPr>
      </w:pPr>
      <w:r>
        <w:rPr>
          <w:rFonts w:cs="Arial"/>
          <w:b w:val="0"/>
          <w:bCs w:val="0"/>
          <w:szCs w:val="26"/>
          <w:rtl/>
        </w:rPr>
        <w:t xml:space="preserve">וְרָזָא דְמִלָּה </w:t>
      </w:r>
      <w:r>
        <w:rPr>
          <w:b w:val="0"/>
          <w:sz w:val="20"/>
          <w:szCs w:val="23"/>
          <w:rtl/>
        </w:rPr>
        <w:t>(בראשית כח יב)</w:t>
      </w:r>
      <w:r>
        <w:rPr>
          <w:rFonts w:cs="Arial"/>
          <w:b w:val="0"/>
          <w:bCs w:val="0"/>
          <w:szCs w:val="26"/>
          <w:rtl/>
        </w:rPr>
        <w:t xml:space="preserve"> וְהִנֵּה מַלְאֲכֵי אלהי''ם עֹלִים וְיֹרְדִים בּוֹ, סָלְקִין תְּרֵין בְּאֶשָּׁא, וְנָחֲתִין תְּרֵין. וְאִשְׁתֵּזַב אַבְרָהָם בִּשְׁמָא דְיהו''ה, דְּאַף עַל גַּב </w:t>
      </w:r>
      <w:r>
        <w:rPr>
          <w:rStyle w:val="a7"/>
          <w:rFonts w:cs="Arial"/>
          <w:b w:val="0"/>
          <w:bCs w:val="0"/>
          <w:szCs w:val="26"/>
          <w:rtl/>
        </w:rPr>
        <w:footnoteReference w:id="5617"/>
      </w:r>
      <w:r>
        <w:rPr>
          <w:rFonts w:cs="Arial"/>
          <w:b w:val="0"/>
          <w:bCs w:val="0"/>
          <w:szCs w:val="26"/>
          <w:rtl/>
        </w:rPr>
        <w:t xml:space="preserve">דְּאִית אַרְבַּע מַלְאָכִים דְּאִינוּן מְמַנָּן דִּשְׁמָא קַדִּישָׁא, לָא בָּעִי קוּדְשָׁא בְּרִיךְ הוּא לְאִשְׁתַּדְלָא בְּאַבְרָהָם לְשֵׁזָבָא לֵיהּ אֶלָּא אִיהוּ מַמָּשׁ, בְּגִין דְּקַנֵּי עַל שְׁמֵיהּ, וּבֵיהּ אִתְלַבַּן אָדָם הָרִאשׁוֹן דְּאִיהוּ יִשְׂרָאֵל, דְּלָא עָבַר עַל וַיְצַו דְּאִיהוּ עֲבוֹדָה זָרָה, לְבָתַר אִתְלַבַּשׁ בְּיִצְחָק וְאִצְטְרִיף וְאָמַר </w:t>
      </w:r>
      <w:r>
        <w:rPr>
          <w:b w:val="0"/>
          <w:sz w:val="20"/>
          <w:szCs w:val="23"/>
          <w:rtl/>
        </w:rPr>
        <w:t>(בראשית כב יב)</w:t>
      </w:r>
      <w:r>
        <w:rPr>
          <w:rFonts w:cs="Arial"/>
          <w:b w:val="0"/>
          <w:bCs w:val="0"/>
          <w:szCs w:val="26"/>
          <w:rtl/>
        </w:rPr>
        <w:t xml:space="preserve"> אַל תַּעַשׂ לוֹ מְאוּמָה, דְהַהוּא דְאִצְטְרִיף בֵּיהּ לָא עָבַד מִדָּעַם, דְּלָא עָבַר עַל שְׁפִיכוּת דָּמִים, וְכֵן יַעֲקֹב אִתְגַּלְגַּל בֵּיהּ, כַּד נָחַת לְגָלוּתָא דְמִצְרָיִם </w:t>
      </w:r>
      <w:r>
        <w:rPr>
          <w:b w:val="0"/>
          <w:sz w:val="20"/>
          <w:szCs w:val="23"/>
          <w:rtl/>
        </w:rPr>
        <w:t>(דחוצה לארץ)</w:t>
      </w:r>
      <w:r>
        <w:rPr>
          <w:rFonts w:cs="Arial"/>
          <w:b w:val="0"/>
          <w:bCs w:val="0"/>
          <w:szCs w:val="26"/>
          <w:rtl/>
        </w:rPr>
        <w:t xml:space="preserve"> דְּדָחִיל דְּלָא הֲוָה סָלִיק, בְּהַהוּא זִמְנָא אָמַר לֵיהּ קוּדְשָׁא בְּרִיךְ הוּא </w:t>
      </w:r>
      <w:r>
        <w:rPr>
          <w:b w:val="0"/>
          <w:sz w:val="20"/>
          <w:szCs w:val="23"/>
          <w:rtl/>
        </w:rPr>
        <w:t>(שם מו ג)</w:t>
      </w:r>
      <w:r>
        <w:rPr>
          <w:rFonts w:cs="Arial"/>
          <w:b w:val="0"/>
          <w:bCs w:val="0"/>
          <w:szCs w:val="26"/>
          <w:rtl/>
        </w:rPr>
        <w:t xml:space="preserve"> אַל תִּירָא מֵרְדָה מִצְרַיְמָה וְגוֹמֵר, אָנֹכִי אֵרֵד עִמְּךָ מִצְרַיְמָה וְאָנֹכִי אַעַלְךָ גַּם עָלֹה.</w:t>
      </w:r>
    </w:p>
    <w:p w:rsidR="006F705A" w:rsidRDefault="006F705A" w:rsidP="006F705A">
      <w:pPr>
        <w:pStyle w:val="a8"/>
        <w:spacing w:before="0" w:after="40"/>
        <w:rPr>
          <w:rtl/>
        </w:rPr>
      </w:pPr>
      <w:bookmarkStart w:id="341" w:name="_Toc228091350"/>
      <w:bookmarkStart w:id="342" w:name="_Toc231637989"/>
    </w:p>
    <w:p w:rsidR="006F705A" w:rsidRDefault="006F705A" w:rsidP="0043727D">
      <w:pPr>
        <w:pStyle w:val="1"/>
        <w:rPr>
          <w:u w:val="single"/>
          <w:rtl/>
        </w:rPr>
      </w:pPr>
      <w:r>
        <w:rPr>
          <w:rtl/>
        </w:rPr>
        <w:t>תקונא תליתאה [מהדורה תנינא]</w:t>
      </w:r>
      <w:bookmarkEnd w:id="341"/>
      <w:bookmarkEnd w:id="342"/>
    </w:p>
    <w:p w:rsidR="006F705A" w:rsidRDefault="006F705A" w:rsidP="006F705A">
      <w:pPr>
        <w:spacing w:after="40" w:line="360" w:lineRule="atLeast"/>
        <w:ind w:left="144" w:right="144" w:firstLine="288"/>
        <w:jc w:val="both"/>
        <w:rPr>
          <w:rFonts w:ascii="Arial" w:cs="Arial"/>
          <w:b/>
          <w:bCs/>
          <w:sz w:val="29"/>
          <w:szCs w:val="26"/>
          <w:rtl/>
        </w:rPr>
      </w:pPr>
      <w:r>
        <w:rPr>
          <w:rFonts w:ascii="Arial" w:cs="FrankRuehl"/>
          <w:b/>
          <w:rtl/>
        </w:rPr>
        <w:t>(זהו תקון כ''ד)</w:t>
      </w:r>
    </w:p>
    <w:p w:rsidR="006F705A" w:rsidRDefault="006F705A" w:rsidP="006F705A">
      <w:pPr>
        <w:pStyle w:val="NormalWeb"/>
        <w:rPr>
          <w:rFonts w:cs="Arial"/>
          <w:szCs w:val="22"/>
          <w:rtl/>
        </w:rPr>
      </w:pPr>
      <w:r>
        <w:rPr>
          <w:rFonts w:cs="Arial"/>
          <w:szCs w:val="22"/>
          <w:rtl/>
        </w:rPr>
        <w:t>[י"א תיקונים מהדורא בתרא, קלט ע"ב]</w:t>
      </w:r>
    </w:p>
    <w:p w:rsidR="006F705A" w:rsidRDefault="006F705A" w:rsidP="006F705A">
      <w:pPr>
        <w:spacing w:after="40" w:line="360" w:lineRule="atLeast"/>
        <w:ind w:left="144" w:right="144" w:firstLine="288"/>
        <w:jc w:val="both"/>
        <w:rPr>
          <w:rFonts w:ascii="Arial" w:cs="Arial"/>
          <w:b/>
          <w:bCs/>
          <w:sz w:val="29"/>
          <w:szCs w:val="26"/>
          <w:rtl/>
        </w:rPr>
      </w:pPr>
      <w:r>
        <w:rPr>
          <w:rFonts w:ascii="Arial" w:hAnsi="Arial Unicode MS" w:cs="Guttman Frank"/>
          <w:b/>
          <w:szCs w:val="23"/>
          <w:rtl/>
          <w:lang w:eastAsia="he-IL"/>
        </w:rPr>
        <w:t>(קלח ע"א)</w:t>
      </w:r>
      <w:r>
        <w:rPr>
          <w:rFonts w:ascii="Arial" w:cs="Arial"/>
          <w:b/>
          <w:bCs/>
          <w:sz w:val="29"/>
          <w:szCs w:val="26"/>
          <w:rtl/>
        </w:rPr>
        <w:t xml:space="preserve"> בְּרֵאשִׁית תַּמָּן אֲרִ''י דְּקָרְבָּנָא, דַּהֲוָה נָחִית בְּקָרְבָּנָא בְדִיּוֹקְנָא דַאֲרִי אָכִיל קָרְבָּנִין, וְדָא אִיהוּ </w:t>
      </w:r>
      <w:r>
        <w:rPr>
          <w:rStyle w:val="a7"/>
          <w:rFonts w:ascii="Arial" w:cs="Arial"/>
          <w:b/>
          <w:bCs/>
          <w:sz w:val="29"/>
          <w:szCs w:val="26"/>
          <w:rtl/>
        </w:rPr>
        <w:footnoteReference w:id="5618"/>
      </w:r>
      <w:r>
        <w:rPr>
          <w:rFonts w:ascii="Arial" w:cs="Arial"/>
          <w:b/>
          <w:bCs/>
          <w:sz w:val="29"/>
          <w:szCs w:val="26"/>
          <w:rtl/>
        </w:rPr>
        <w:t xml:space="preserve">קַדְמָאָה לְחֵיוָון דַּהֲווֹ אָכְלֵי קָרְבָּנִין. אָמַר לֵיהּ רַבִּי אֶלְעָזָר וְאַמַּאי הֲווֹ נָחֲתִין חֵיוָון לְמֵיכַל קָרְבָּנִין, אָמַר לֵיהּ בְּרִי אַרְבַּע חֵיוָון אִינוּן בְּכָרְסַיָּא, אַרְיֵה שׁוֹר נֶשֶׁר אָדָם, וּבְגוּפָא דְבַר נַשׁ אַרְבַּע יְסוֹדֵי, דִּמְמַנָּן עֲלַיְיהוּ אַרְבַּע חֵיוָון, </w:t>
      </w:r>
      <w:r>
        <w:rPr>
          <w:rStyle w:val="a7"/>
          <w:rFonts w:ascii="Arial" w:cs="Arial"/>
          <w:b/>
          <w:bCs/>
          <w:sz w:val="29"/>
          <w:szCs w:val="26"/>
          <w:rtl/>
        </w:rPr>
        <w:footnoteReference w:id="5619"/>
      </w:r>
      <w:r>
        <w:rPr>
          <w:rFonts w:ascii="Arial" w:cs="Arial"/>
          <w:b/>
          <w:bCs/>
          <w:sz w:val="29"/>
          <w:szCs w:val="26"/>
          <w:rtl/>
        </w:rPr>
        <w:t xml:space="preserve">דְּנֶפֶשׁ כְּלִילָא בְהוֹן, </w:t>
      </w:r>
      <w:r>
        <w:rPr>
          <w:rStyle w:val="a7"/>
          <w:rFonts w:ascii="Arial" w:cs="Arial"/>
          <w:b/>
          <w:bCs/>
          <w:sz w:val="29"/>
          <w:szCs w:val="26"/>
          <w:rtl/>
        </w:rPr>
        <w:footnoteReference w:id="5620"/>
      </w:r>
      <w:r>
        <w:rPr>
          <w:rFonts w:ascii="Arial" w:cs="Arial"/>
          <w:b/>
          <w:bCs/>
          <w:sz w:val="29"/>
          <w:szCs w:val="26"/>
          <w:rtl/>
        </w:rPr>
        <w:t xml:space="preserve">וּבְגִין דָּא פַּרְנָסָה דְנַפְשָׁא מֵאִלֵּין אַרְבַּע, כַּד חָאב בַּר נַשׁ בְּאַרְבַּע יְסוֹדֵי דִילֵיהּ כְּאִלּוּ חָאב בְּנַפְשָׁא, הֲדָא הוּא דִכְתִיב </w:t>
      </w:r>
      <w:r>
        <w:rPr>
          <w:rFonts w:ascii="Arial" w:cs="FrankRuehl"/>
          <w:b/>
          <w:rtl/>
        </w:rPr>
        <w:t>(במדבר ו יא)</w:t>
      </w:r>
      <w:r>
        <w:rPr>
          <w:rFonts w:ascii="Arial" w:cs="Arial"/>
          <w:b/>
          <w:bCs/>
          <w:sz w:val="29"/>
          <w:szCs w:val="26"/>
          <w:rtl/>
        </w:rPr>
        <w:t xml:space="preserve"> מֵאֲשֶׁר חָטָא עַל הַנָּפֶשׁ, וּבְהַהוּא זִמְנָא אִתְפַּרַשׁ מַיָּא מֵאֶשָּׁא וְרוּחָא מֵעַפְרָא.</w:t>
      </w:r>
    </w:p>
    <w:p w:rsidR="006F705A" w:rsidRDefault="006F705A" w:rsidP="006F705A">
      <w:pPr>
        <w:spacing w:after="40" w:line="360" w:lineRule="atLeast"/>
        <w:ind w:left="144" w:right="144" w:firstLine="288"/>
        <w:jc w:val="both"/>
        <w:rPr>
          <w:rFonts w:ascii="Arial" w:cs="Arial"/>
          <w:b/>
          <w:bCs/>
          <w:sz w:val="29"/>
          <w:szCs w:val="26"/>
          <w:rtl/>
        </w:rPr>
      </w:pPr>
      <w:r>
        <w:rPr>
          <w:rStyle w:val="a7"/>
          <w:rFonts w:ascii="Arial" w:cs="Arial"/>
          <w:b/>
          <w:bCs/>
          <w:sz w:val="29"/>
          <w:szCs w:val="26"/>
          <w:rtl/>
        </w:rPr>
        <w:footnoteReference w:id="5621"/>
      </w:r>
      <w:r>
        <w:rPr>
          <w:rFonts w:ascii="Arial" w:cs="Arial"/>
          <w:b/>
          <w:bCs/>
          <w:sz w:val="29"/>
          <w:szCs w:val="26"/>
          <w:rtl/>
        </w:rPr>
        <w:t xml:space="preserve">דְּמֵעַפְרָא נָפְקִין זַרְעִין דְּאִינוּן פַּרְנָסָה דְאָדָם, וּמֵאֲרִי חֵיוָון דְּאִינוּן פַּרְנָסָה מִמַּיָּא, וּמִשׁוֹר בְּעִירִין דְּאִינוּן פַּרְנָסָה מֵאֶשָּׁא, וּמִנֶשֶׁר עוֹפִין דְּאִינוּן פַּרְנָסָה מֵרוּחָא. וְכַד חָב בְּהוֹן, אִתְפָּרְשָׁן יְסוֹדִין וְאִית בְּהוֹן מַחֲלוֹקֶת דְּאִיהוּ פִּרוּדָא, וְסָלִיק </w:t>
      </w:r>
      <w:r>
        <w:rPr>
          <w:rStyle w:val="a7"/>
          <w:rFonts w:ascii="Arial" w:cs="Arial"/>
          <w:b/>
          <w:bCs/>
          <w:sz w:val="29"/>
          <w:szCs w:val="26"/>
          <w:rtl/>
        </w:rPr>
        <w:footnoteReference w:id="5622"/>
      </w:r>
      <w:r>
        <w:rPr>
          <w:rFonts w:ascii="Arial" w:cs="Arial"/>
          <w:b/>
          <w:bCs/>
          <w:sz w:val="29"/>
          <w:szCs w:val="26"/>
          <w:rtl/>
        </w:rPr>
        <w:t xml:space="preserve">שֵׁם יהו''ה מִנַּיְהוּ, וְעָאל יֵצֶר הָרָע דְּאִיהוּ סמא''ל שָׂטָן, </w:t>
      </w:r>
      <w:r>
        <w:rPr>
          <w:rStyle w:val="a7"/>
          <w:rFonts w:ascii="Arial" w:cs="Arial"/>
          <w:b/>
          <w:bCs/>
          <w:sz w:val="29"/>
          <w:szCs w:val="26"/>
          <w:rtl/>
        </w:rPr>
        <w:footnoteReference w:id="5623"/>
      </w:r>
      <w:r>
        <w:rPr>
          <w:rFonts w:ascii="Arial" w:cs="Arial"/>
          <w:b/>
          <w:bCs/>
          <w:sz w:val="29"/>
          <w:szCs w:val="26"/>
          <w:rtl/>
        </w:rPr>
        <w:t xml:space="preserve">דַּיהו''ה לָא שַׁרְיָא בְּפִרוּדָא, וְרָזָא דְמִלָּה </w:t>
      </w:r>
      <w:r>
        <w:rPr>
          <w:rFonts w:ascii="Arial" w:cs="FrankRuehl"/>
          <w:b/>
          <w:rtl/>
        </w:rPr>
        <w:t>(הושע י ב)</w:t>
      </w:r>
      <w:r>
        <w:rPr>
          <w:rFonts w:ascii="Arial" w:cs="Arial"/>
          <w:b/>
          <w:bCs/>
          <w:sz w:val="29"/>
          <w:szCs w:val="26"/>
          <w:rtl/>
        </w:rPr>
        <w:t xml:space="preserve"> חָלַק לִבָּם עַתָּה יֶאְשָׁמוּ, </w:t>
      </w:r>
      <w:r>
        <w:rPr>
          <w:rStyle w:val="a7"/>
          <w:rFonts w:ascii="Arial" w:cs="Arial"/>
          <w:b/>
          <w:bCs/>
          <w:sz w:val="29"/>
          <w:szCs w:val="26"/>
          <w:rtl/>
        </w:rPr>
        <w:footnoteReference w:id="5624"/>
      </w:r>
      <w:r>
        <w:rPr>
          <w:rFonts w:ascii="Arial" w:cs="Arial"/>
          <w:b/>
          <w:bCs/>
          <w:sz w:val="29"/>
          <w:szCs w:val="26"/>
          <w:rtl/>
        </w:rPr>
        <w:t xml:space="preserve">וּבְגִין דָּא צָרִיךְ קָרְבָּנָא מֵאִלֵּין מִינִין דְּחָב בְּהוֹן, לְקָרְבָא בְּהוֹן, אִינוּן אַרְבַּע יְסוֹדִין דְּאִית בְּהוֹן פִּרוּדָא, וּבְהַהוּא זִמְנָא דְמִתְקָרְבִין יְסוֹדִין דָּא לְגַבֵּי דָּא, מִיָּד </w:t>
      </w:r>
      <w:r>
        <w:rPr>
          <w:rStyle w:val="a7"/>
          <w:rFonts w:ascii="Arial" w:cs="Arial"/>
          <w:b/>
          <w:bCs/>
          <w:sz w:val="29"/>
          <w:szCs w:val="26"/>
          <w:rtl/>
        </w:rPr>
        <w:footnoteReference w:id="5625"/>
      </w:r>
      <w:r>
        <w:rPr>
          <w:rFonts w:ascii="Arial" w:cs="Arial"/>
          <w:b/>
          <w:bCs/>
          <w:sz w:val="29"/>
          <w:szCs w:val="26"/>
          <w:rtl/>
        </w:rPr>
        <w:t xml:space="preserve">נָחִית קוּדְשָׁא בְּרִיךְ הוּא וּבָרַח שָׂטָן, וְאִי לָא בָרַח הָא אֶשָּׁא דְקָרְבָּנָא אוֹקִיד לֵיהּ, הֲדָא הוּא דִכְתִיב </w:t>
      </w:r>
      <w:r>
        <w:rPr>
          <w:rFonts w:ascii="Arial" w:cs="FrankRuehl"/>
          <w:b/>
          <w:rtl/>
        </w:rPr>
        <w:t>(ויקרא ו ה)</w:t>
      </w:r>
      <w:r>
        <w:rPr>
          <w:rFonts w:ascii="Arial" w:cs="Arial"/>
          <w:b/>
          <w:bCs/>
          <w:sz w:val="29"/>
          <w:szCs w:val="26"/>
          <w:rtl/>
        </w:rPr>
        <w:t xml:space="preserve"> וְהָאֵשׁ עַל הַמִּזְבֵּחַ תּוּקַד בּוֹ.</w:t>
      </w:r>
    </w:p>
    <w:p w:rsidR="006F705A" w:rsidRDefault="006F705A" w:rsidP="006F705A">
      <w:pPr>
        <w:spacing w:after="40" w:line="360" w:lineRule="atLeast"/>
        <w:ind w:left="144" w:right="144" w:firstLine="288"/>
        <w:jc w:val="both"/>
        <w:rPr>
          <w:rFonts w:ascii="Arial" w:cs="Arial"/>
          <w:b/>
          <w:bCs/>
          <w:sz w:val="29"/>
          <w:szCs w:val="26"/>
          <w:rtl/>
        </w:rPr>
      </w:pPr>
      <w:r>
        <w:rPr>
          <w:rStyle w:val="a7"/>
          <w:rFonts w:ascii="Arial" w:cs="Arial"/>
          <w:b/>
          <w:bCs/>
          <w:sz w:val="29"/>
          <w:szCs w:val="26"/>
          <w:rtl/>
        </w:rPr>
        <w:footnoteReference w:id="5626"/>
      </w:r>
      <w:r>
        <w:rPr>
          <w:rFonts w:ascii="Arial" w:cs="Arial"/>
          <w:b/>
          <w:bCs/>
          <w:sz w:val="29"/>
          <w:szCs w:val="26"/>
          <w:rtl/>
        </w:rPr>
        <w:t xml:space="preserve">וְרָזָא דְקָרְבָּנִין </w:t>
      </w:r>
      <w:r>
        <w:rPr>
          <w:rFonts w:ascii="Arial" w:cs="FrankRuehl"/>
          <w:b/>
          <w:rtl/>
        </w:rPr>
        <w:t>(איוב י יא)</w:t>
      </w:r>
      <w:r>
        <w:rPr>
          <w:rFonts w:ascii="Arial" w:cs="Arial"/>
          <w:b/>
          <w:bCs/>
          <w:sz w:val="29"/>
          <w:szCs w:val="26"/>
          <w:rtl/>
        </w:rPr>
        <w:t xml:space="preserve"> עוֹר וּבָשָׂר תַּלְבִּישֵׁנִי וּבַעֲצָמוֹת וְגִידִים תְּסוֹכְכֵנִי, עוֹר אִיהוּ לְבוּשָׁא דְאָדָם, הֲדָא הוּא דִכְתִיב </w:t>
      </w:r>
      <w:r>
        <w:rPr>
          <w:rFonts w:ascii="Arial" w:cs="FrankRuehl"/>
          <w:b/>
          <w:rtl/>
        </w:rPr>
        <w:t>(בראשית ג כא)</w:t>
      </w:r>
      <w:r>
        <w:rPr>
          <w:rFonts w:ascii="Arial" w:cs="Arial"/>
          <w:b/>
          <w:bCs/>
          <w:sz w:val="29"/>
          <w:szCs w:val="26"/>
          <w:rtl/>
        </w:rPr>
        <w:t xml:space="preserve"> וַיַּעַשׂ יהו''ה אלהי''ם לְאָדָם וּלְאִשְׁתּוֹ כָּתְנוֹת עוֹר וַיַּלְבִּישֵׁם, אִם זָכָה כָּתְנוֹת אוֹר מְרַקְמָן מִפִּקּוּדִין דַּעֲשֵׂה, דְאַגְרָא דִלְהוֹן לְעָלְמָא דְאָתֵי </w:t>
      </w:r>
      <w:r>
        <w:rPr>
          <w:rStyle w:val="a7"/>
          <w:rFonts w:ascii="Arial" w:cs="Arial"/>
          <w:b/>
          <w:bCs/>
          <w:sz w:val="29"/>
          <w:szCs w:val="26"/>
          <w:rtl/>
        </w:rPr>
        <w:footnoteReference w:id="5627"/>
      </w:r>
      <w:r>
        <w:rPr>
          <w:rFonts w:ascii="Arial" w:cs="Arial"/>
          <w:b/>
          <w:bCs/>
          <w:sz w:val="29"/>
          <w:szCs w:val="26"/>
          <w:rtl/>
        </w:rPr>
        <w:t xml:space="preserve">דְּאִיהוּ אוֹר הַגָּנוּז לַצַּדִּיקַיָּא, וְאִם לָא זָכָה מִשְׁכָא דְחִוְיָא דְכָלִיל אַרְבַּע יְסוֹדִין, דְּתַמָּן רְשִׁימִין פִּקּוּדִין דְּלָא תַעֲשֶׂה דְעָבַר בַּר נַשׁ עֲלַיְיהוּ, וּבְגִין דָּא אוּקְמוּהוּ מָארֵי מַתְנִיתִין עֲוֹנוֹתָיו שֶׁל אָדָם </w:t>
      </w:r>
      <w:r>
        <w:rPr>
          <w:rStyle w:val="a7"/>
          <w:rFonts w:ascii="Arial" w:cs="Arial"/>
          <w:b/>
          <w:bCs/>
          <w:sz w:val="29"/>
          <w:szCs w:val="26"/>
          <w:rtl/>
        </w:rPr>
        <w:footnoteReference w:id="5628"/>
      </w:r>
      <w:r>
        <w:rPr>
          <w:rFonts w:ascii="Arial" w:cs="Arial"/>
          <w:b/>
          <w:bCs/>
          <w:sz w:val="29"/>
          <w:szCs w:val="26"/>
          <w:rtl/>
        </w:rPr>
        <w:t xml:space="preserve">חֲקוּקִים לוֹ עַל עַצְמוֹתָיו, </w:t>
      </w:r>
      <w:r>
        <w:rPr>
          <w:rStyle w:val="a7"/>
          <w:rFonts w:ascii="Arial" w:cs="Arial"/>
          <w:b/>
          <w:bCs/>
          <w:sz w:val="29"/>
          <w:szCs w:val="26"/>
          <w:rtl/>
        </w:rPr>
        <w:footnoteReference w:id="5629"/>
      </w:r>
      <w:r>
        <w:rPr>
          <w:rFonts w:ascii="Arial" w:cs="Arial"/>
          <w:b/>
          <w:bCs/>
          <w:sz w:val="29"/>
          <w:szCs w:val="26"/>
          <w:rtl/>
        </w:rPr>
        <w:t>וּקְרִיבוּ דְמִשְׁכָא דְאָדָם פִּקּוּדִין דַּעֲשֵׂה, דְּאִינוּן קְרִיבוּ דְאַתְוָון דִּשְׁמָא דְקוּדְשָׁא בְּרִיךְ הוּא.</w:t>
      </w:r>
    </w:p>
    <w:p w:rsidR="006F705A" w:rsidRDefault="006F705A" w:rsidP="006F705A">
      <w:pPr>
        <w:pStyle w:val="NormalWeb"/>
        <w:rPr>
          <w:rFonts w:cs="Arial"/>
          <w:b w:val="0"/>
          <w:bCs w:val="0"/>
          <w:szCs w:val="26"/>
          <w:rtl/>
        </w:rPr>
      </w:pPr>
      <w:r>
        <w:rPr>
          <w:rFonts w:cs="Arial"/>
          <w:b w:val="0"/>
          <w:bCs w:val="0"/>
          <w:szCs w:val="26"/>
          <w:rtl/>
        </w:rPr>
        <w:t xml:space="preserve">וַעֲלַיְיהוּ אִתְּמַר </w:t>
      </w:r>
      <w:r>
        <w:rPr>
          <w:b w:val="0"/>
          <w:sz w:val="20"/>
          <w:szCs w:val="23"/>
          <w:rtl/>
        </w:rPr>
        <w:t>(ויקרא א ב)</w:t>
      </w:r>
      <w:r>
        <w:rPr>
          <w:rFonts w:cs="Arial"/>
          <w:b w:val="0"/>
          <w:bCs w:val="0"/>
          <w:szCs w:val="26"/>
          <w:rtl/>
        </w:rPr>
        <w:t xml:space="preserve"> אָדָם כִּי יַקְרִיב מִכֶּם קָרְבָּן, מִכֶּם וַדַּאי, לְאַפָּקָא מִשְׁכָא דְחִוְיָא דְבֵיהּ מְרַקְמִין פִּקּוּדִין דְּלֹא תַעֲשֶׂה, וְאָדָם דְּעָבַר עֲלַיְהוּ אִתְּמַר בֵּיהּ </w:t>
      </w:r>
      <w:r>
        <w:rPr>
          <w:b w:val="0"/>
          <w:sz w:val="20"/>
          <w:szCs w:val="23"/>
          <w:rtl/>
        </w:rPr>
        <w:t>(תהלים קמד ד)</w:t>
      </w:r>
      <w:r>
        <w:rPr>
          <w:rFonts w:cs="Arial"/>
          <w:b w:val="0"/>
          <w:bCs w:val="0"/>
          <w:szCs w:val="26"/>
          <w:rtl/>
        </w:rPr>
        <w:t xml:space="preserve"> אָדָם לַהֶבֶל דָּמָה יָמָיו כְּצֵל עוֹבֵר, </w:t>
      </w:r>
      <w:r>
        <w:rPr>
          <w:b w:val="0"/>
          <w:sz w:val="20"/>
          <w:szCs w:val="23"/>
          <w:rtl/>
        </w:rPr>
        <w:t>(במדבר יט יד)</w:t>
      </w:r>
      <w:r>
        <w:rPr>
          <w:rFonts w:cs="Arial"/>
          <w:b w:val="0"/>
          <w:bCs w:val="0"/>
          <w:szCs w:val="26"/>
          <w:rtl/>
        </w:rPr>
        <w:t xml:space="preserve"> אָדָם כִּי יָמוּת בְּאֹהֶל, כִּי יָמוּת וַדַּאי, וְדָא אִיהוּ קְרִיבוּ דְקָרְבָּנָא דְעִשָׂו יֵצֶר הָרָע, דְּאִתְּמַר בֵּיהּ </w:t>
      </w:r>
      <w:r>
        <w:rPr>
          <w:b w:val="0"/>
          <w:sz w:val="20"/>
          <w:szCs w:val="23"/>
          <w:rtl/>
        </w:rPr>
        <w:t>(בראשית כז לא)</w:t>
      </w:r>
      <w:r>
        <w:rPr>
          <w:rFonts w:cs="Arial"/>
          <w:b w:val="0"/>
          <w:bCs w:val="0"/>
          <w:szCs w:val="26"/>
          <w:rtl/>
        </w:rPr>
        <w:t xml:space="preserve"> יָקֻם אָבִי וְיֹאכַל מִצֵּיד בְּנוֹ. </w:t>
      </w:r>
      <w:r>
        <w:rPr>
          <w:rStyle w:val="a7"/>
          <w:rFonts w:cs="Arial"/>
          <w:b w:val="0"/>
          <w:bCs w:val="0"/>
          <w:szCs w:val="26"/>
          <w:rtl/>
        </w:rPr>
        <w:footnoteReference w:id="5630"/>
      </w:r>
      <w:r>
        <w:rPr>
          <w:rFonts w:cs="Arial"/>
          <w:b w:val="0"/>
          <w:bCs w:val="0"/>
          <w:szCs w:val="26"/>
          <w:rtl/>
        </w:rPr>
        <w:t xml:space="preserve">בָּשָׂר אִיהוּ שֶׁבֶר מִן שְׁבָרִים, וְאִיהוּ סוּמַק, מִסִּטְרָא דְחַיָּה דְאִיהוּ שׁוֹר, בָּשָׂר חַי בָּשָׁר טָהוֹר, וְאִית אָחֳרָא דְבָשָׂר בַּשָּׂדֶה טְרֵיפָה דְשַׁרְיָא בֵיהּ רוּחַ הַטּוּמְאָה, מַלְאַךְ הַמָּוְת </w:t>
      </w:r>
      <w:r>
        <w:rPr>
          <w:rStyle w:val="a7"/>
          <w:rFonts w:cs="Arial"/>
          <w:b w:val="0"/>
          <w:bCs w:val="0"/>
          <w:szCs w:val="26"/>
          <w:rtl/>
        </w:rPr>
        <w:footnoteReference w:id="5631"/>
      </w:r>
      <w:r>
        <w:rPr>
          <w:rFonts w:cs="Arial"/>
          <w:b w:val="0"/>
          <w:bCs w:val="0"/>
          <w:szCs w:val="26"/>
          <w:rtl/>
        </w:rPr>
        <w:t>דְּרָכִיב עַל קַרְנוֹי שׁוֹר מוּעָד בָּשָׂר טָמֵא.</w:t>
      </w:r>
    </w:p>
    <w:p w:rsidR="006F705A" w:rsidRDefault="006F705A" w:rsidP="006F705A">
      <w:pPr>
        <w:pStyle w:val="NormalWeb"/>
        <w:rPr>
          <w:rFonts w:cs="Arial"/>
          <w:szCs w:val="22"/>
          <w:rtl/>
        </w:rPr>
      </w:pPr>
      <w:r>
        <w:rPr>
          <w:rFonts w:cs="Arial"/>
          <w:szCs w:val="22"/>
          <w:rtl/>
        </w:rPr>
        <w:t>[י"א תיקונים מהדורא בתרא, קלח ע"ב]</w:t>
      </w:r>
    </w:p>
    <w:p w:rsidR="006F705A" w:rsidRDefault="006F705A" w:rsidP="006F705A">
      <w:pPr>
        <w:pStyle w:val="NormalWeb"/>
        <w:rPr>
          <w:rFonts w:cs="Arial"/>
          <w:b w:val="0"/>
          <w:bCs w:val="0"/>
          <w:szCs w:val="26"/>
          <w:rtl/>
        </w:rPr>
      </w:pPr>
      <w:r>
        <w:rPr>
          <w:rFonts w:cs="Arial"/>
          <w:b w:val="0"/>
          <w:bCs w:val="0"/>
          <w:szCs w:val="26"/>
          <w:rtl/>
        </w:rPr>
        <w:t xml:space="preserve">עֶצֶם, אִית עֶצֶם טָמֵא וְאִית עֶצֶם טָהוֹר, וּבָשָׂר דְּדַכְיוּ וְעֶצֶם דְּדַכְיוּ, עֲלַיְהוּ אִתְּמַר </w:t>
      </w:r>
      <w:r>
        <w:rPr>
          <w:b w:val="0"/>
          <w:sz w:val="20"/>
          <w:szCs w:val="23"/>
          <w:rtl/>
        </w:rPr>
        <w:t>(בראשית ב כג)</w:t>
      </w:r>
      <w:r>
        <w:rPr>
          <w:rFonts w:cs="Arial"/>
          <w:b w:val="0"/>
          <w:bCs w:val="0"/>
          <w:szCs w:val="26"/>
          <w:rtl/>
        </w:rPr>
        <w:t xml:space="preserve"> עֶצֶם מֵעֲצָמַי וּבָשָׂר מִבְּשָׂרִי, וְעֶצֶם אִיהוּ אַרְיֵה, </w:t>
      </w:r>
      <w:r>
        <w:rPr>
          <w:rStyle w:val="a7"/>
          <w:rFonts w:cs="Arial"/>
          <w:b w:val="0"/>
          <w:bCs w:val="0"/>
          <w:szCs w:val="26"/>
          <w:rtl/>
        </w:rPr>
        <w:footnoteReference w:id="5632"/>
      </w:r>
      <w:r>
        <w:rPr>
          <w:rFonts w:cs="Arial"/>
          <w:b w:val="0"/>
          <w:bCs w:val="0"/>
          <w:szCs w:val="26"/>
          <w:rtl/>
        </w:rPr>
        <w:t xml:space="preserve">גִּידִים אִיהוּ נֶשֶׁר, נֶשֶׁר, </w:t>
      </w:r>
      <w:r>
        <w:rPr>
          <w:rStyle w:val="a7"/>
          <w:rFonts w:cs="Arial"/>
          <w:b w:val="0"/>
          <w:bCs w:val="0"/>
          <w:szCs w:val="26"/>
          <w:rtl/>
        </w:rPr>
        <w:footnoteReference w:id="5633"/>
      </w:r>
      <w:r>
        <w:rPr>
          <w:rFonts w:cs="Arial"/>
          <w:b w:val="0"/>
          <w:bCs w:val="0"/>
          <w:szCs w:val="26"/>
          <w:rtl/>
        </w:rPr>
        <w:t xml:space="preserve">נִשְׁרָא דְּדַכְיוּ וְנִשְׁרָא דִמְסָאֲבוּ, </w:t>
      </w:r>
      <w:r>
        <w:rPr>
          <w:rStyle w:val="a7"/>
          <w:rFonts w:cs="Arial"/>
          <w:b w:val="0"/>
          <w:bCs w:val="0"/>
          <w:szCs w:val="26"/>
          <w:rtl/>
        </w:rPr>
        <w:footnoteReference w:id="5634"/>
      </w:r>
      <w:r>
        <w:rPr>
          <w:rFonts w:cs="Arial"/>
          <w:b w:val="0"/>
          <w:bCs w:val="0"/>
          <w:szCs w:val="26"/>
          <w:rtl/>
        </w:rPr>
        <w:t xml:space="preserve">עֶצֶם וּבָשָׂר וְגִידִים עֲלַיְיהוּ שַׁרְיָא בְרָכָה וּקְדוּשָׁה וְיִחוּד, דְּאִינוּן כֹּהֵן לֵוִי וְיִשְׂרָאֵל, בְּעֶצֶם כַּד שַׁרְיָא בְרָכָה בֵּיהּ, מִיָּד </w:t>
      </w:r>
      <w:r>
        <w:rPr>
          <w:b w:val="0"/>
          <w:sz w:val="20"/>
          <w:szCs w:val="23"/>
          <w:rtl/>
        </w:rPr>
        <w:t>(יחזקאל לז ז)</w:t>
      </w:r>
      <w:r>
        <w:rPr>
          <w:rFonts w:cs="Arial"/>
          <w:b w:val="0"/>
          <w:bCs w:val="0"/>
          <w:szCs w:val="26"/>
          <w:rtl/>
        </w:rPr>
        <w:t xml:space="preserve"> וַתִּקְרְבוּ עֲצָמוֹת עֶצֶם אֶל עַצְמוֹ, מִתְקָרְבִין וּמִתְקַשְּׁרִין דָּא בְדָא בְקָרְבָּנָא, וּמִיָּד </w:t>
      </w:r>
      <w:r>
        <w:rPr>
          <w:rStyle w:val="a7"/>
          <w:rFonts w:cs="Arial"/>
          <w:b w:val="0"/>
          <w:bCs w:val="0"/>
          <w:szCs w:val="26"/>
          <w:rtl/>
        </w:rPr>
        <w:footnoteReference w:id="5635"/>
      </w:r>
      <w:r>
        <w:rPr>
          <w:rFonts w:cs="Arial"/>
          <w:b w:val="0"/>
          <w:bCs w:val="0"/>
          <w:szCs w:val="26"/>
          <w:rtl/>
        </w:rPr>
        <w:t xml:space="preserve">נָחִית עֲלַיְיהוּ מִשְׁחָא וְשַׁרְיָיא עֲלַיְיהוּ בְּרָכָה, בָּשָׂר שַׁרְיָא עֲלֵיהּ קְדוּשָׁה, דְאִיהִי מִסִּטְרָא דִלְוִיִּם, הֲדָא הוּא דִכְתִיב וְקִדַּשְׁתָּ אֶת הַלְוִיִּם, מִיָּד מִתְקָרְבִין עַרְקִין דִּדְמָא לְגַבֵּי לִבָּא, דְּבִרְכָאָן מִכַּהֲנֵי אִינוּן, הֲדָא הוּא דִכְתִיב </w:t>
      </w:r>
      <w:r>
        <w:rPr>
          <w:b w:val="0"/>
          <w:sz w:val="20"/>
          <w:szCs w:val="23"/>
          <w:rtl/>
        </w:rPr>
        <w:t>(במדבר ו כג)</w:t>
      </w:r>
      <w:r>
        <w:rPr>
          <w:rFonts w:cs="Arial"/>
          <w:b w:val="0"/>
          <w:bCs w:val="0"/>
          <w:szCs w:val="26"/>
          <w:rtl/>
        </w:rPr>
        <w:t xml:space="preserve"> דַּבֵּר אֶל אַהֲרֹן וְאֶל בָּנָיו לֵאמֹר כֹּה תְבָרַכוּ. גִּידִים מִיִּשְׂרָאֵל, </w:t>
      </w:r>
      <w:r>
        <w:rPr>
          <w:rStyle w:val="a7"/>
          <w:rFonts w:cs="Arial"/>
          <w:b w:val="0"/>
          <w:bCs w:val="0"/>
          <w:szCs w:val="26"/>
          <w:rtl/>
        </w:rPr>
        <w:footnoteReference w:id="5636"/>
      </w:r>
      <w:r>
        <w:rPr>
          <w:rFonts w:cs="Arial"/>
          <w:b w:val="0"/>
          <w:bCs w:val="0"/>
          <w:szCs w:val="26"/>
          <w:rtl/>
        </w:rPr>
        <w:t xml:space="preserve">וְאִינוּן יִחוּדָא וּקְדוּשָׁה וְקִשּׁוּרָה דְגַרְמִין וּבִשְׂרָא, וְכַד מִתְקַשְּׁרִין בְּתַרְוַיְיהוּ אִתְקְרִיאוּ יִחוּד וְיִחוּד אִיהוּ בְּיִשְׂרָאֵל, הֲדָא הוּא דִכְתִיב </w:t>
      </w:r>
      <w:r>
        <w:rPr>
          <w:b w:val="0"/>
          <w:sz w:val="20"/>
          <w:szCs w:val="23"/>
          <w:rtl/>
        </w:rPr>
        <w:t>(קלח ע"ב) (דברים ו ד)</w:t>
      </w:r>
      <w:r>
        <w:rPr>
          <w:rFonts w:cs="Arial"/>
          <w:b w:val="0"/>
          <w:bCs w:val="0"/>
          <w:szCs w:val="26"/>
          <w:rtl/>
        </w:rPr>
        <w:t xml:space="preserve"> שְׁמַע יִשְׂרָאֵל יהו''ה אלהינ''ו יהו''ה אֶחָד.</w:t>
      </w:r>
    </w:p>
    <w:p w:rsidR="006F705A" w:rsidRDefault="006F705A" w:rsidP="006F705A">
      <w:pPr>
        <w:pStyle w:val="NormalWeb"/>
        <w:rPr>
          <w:rFonts w:cs="Arial"/>
          <w:b w:val="0"/>
          <w:bCs w:val="0"/>
          <w:szCs w:val="26"/>
          <w:rtl/>
        </w:rPr>
      </w:pPr>
      <w:r>
        <w:rPr>
          <w:rFonts w:cs="Arial"/>
          <w:b w:val="0"/>
          <w:bCs w:val="0"/>
          <w:szCs w:val="26"/>
          <w:rtl/>
        </w:rPr>
        <w:t xml:space="preserve">מִשְׁכָא אִיהוּ דְמוּת אָדָם מַלְכוּת, כָּל דִּיּוֹקְנִין אִתְחַזְיָין בָּהּ, וְאִיהִי כְּלִילָא מִבִּשְׂרָא וְגִידִין וְגַרְמִין, וְאִיהִי תְּמוּנַת כֹּל, וְאִיהִי בְּרָכָה וּקְדוּשָׁה וְיִחוּד, כֹּהֲנִים וּלְוִיִּם וְיִשְׂרְאֵלִים, דְּאִינוּן קְשִׁירָן בִּתְלַת אֲבָהָן, דְּאִתְּמַר בְּהוֹן הָאָבוֹת הֵן הֵן הַמֶּרְכָּבָה, בַּבָּשָׂר כַּד מִתְקַדְּשָׁא, נָחִית עֲלֵיהּ דָּם טָהוֹר, וְגִידִים כַּד מִתְיַחֲדִין נָחִית עֲלַיְיהוּ רוּחָא קַדִּישָׁא, גַּרְמִין נָחִית עֲלַיְיהוּ </w:t>
      </w:r>
      <w:r>
        <w:rPr>
          <w:rStyle w:val="a7"/>
          <w:rFonts w:cs="Arial"/>
          <w:b w:val="0"/>
          <w:bCs w:val="0"/>
          <w:szCs w:val="26"/>
          <w:rtl/>
        </w:rPr>
        <w:footnoteReference w:id="5637"/>
      </w:r>
      <w:r>
        <w:rPr>
          <w:rFonts w:cs="Arial"/>
          <w:b w:val="0"/>
          <w:bCs w:val="0"/>
          <w:szCs w:val="26"/>
          <w:rtl/>
        </w:rPr>
        <w:t>מַיִּין דְּדַכְיוּ, דָא אִיהוּ רָזָא דְקָרְבָּנִין. חָדָא רַבִּי אֶלְעָזָר וְחָדוּ חַבְרַיָּא וְאָמְרוּ אִילוּ לָא אֲתֵינָא לְהַאי עָלְמָא אֶלָּא לְמִשְׁמַע דָּא דַיי.</w:t>
      </w:r>
    </w:p>
    <w:p w:rsidR="006F705A" w:rsidRDefault="006F705A" w:rsidP="006F705A">
      <w:pPr>
        <w:pStyle w:val="NormalWeb"/>
        <w:rPr>
          <w:rFonts w:cs="Arial"/>
          <w:b w:val="0"/>
          <w:bCs w:val="0"/>
          <w:szCs w:val="26"/>
          <w:rtl/>
        </w:rPr>
      </w:pPr>
      <w:r>
        <w:rPr>
          <w:rStyle w:val="a7"/>
          <w:rFonts w:cs="Arial"/>
          <w:b w:val="0"/>
          <w:bCs w:val="0"/>
          <w:szCs w:val="26"/>
          <w:rtl/>
        </w:rPr>
        <w:footnoteReference w:id="5638"/>
      </w:r>
      <w:r>
        <w:rPr>
          <w:rFonts w:cs="Arial"/>
          <w:b w:val="0"/>
          <w:bCs w:val="0"/>
          <w:szCs w:val="26"/>
          <w:rtl/>
        </w:rPr>
        <w:t xml:space="preserve">אָמַר רַבִּי שִׁמְעוֹן בְּרִי, וְעוֹד בְּרָזָא דְקָרְבָּנִין, לִבָּא אִיהוּ מִזְבֵּחַ דְּבֵיהּ דָּם דְּקָרְבָּנִין, וְעַל דָּא אִתְּמַר </w:t>
      </w:r>
      <w:r>
        <w:rPr>
          <w:b w:val="0"/>
          <w:sz w:val="20"/>
          <w:szCs w:val="23"/>
          <w:rtl/>
        </w:rPr>
        <w:t>(שמות כ כד)</w:t>
      </w:r>
      <w:r>
        <w:rPr>
          <w:rFonts w:cs="Arial"/>
          <w:b w:val="0"/>
          <w:bCs w:val="0"/>
          <w:szCs w:val="26"/>
          <w:rtl/>
        </w:rPr>
        <w:t xml:space="preserve"> וְזָבַחְתָּ עָלָיו, אִם זָכוּ אַרְיֵה הֲוָה נָחִית לְמֵיכַל קָרְבָּנָא, וְאִי לָא כַּלְבָּא נָחִית, וּבְאָן אֲתַר בְּכָבֵד, דְּתַמָּן מָרָה גֵּיהִנָּם, דְּאִיהִי עֲלוּקָה דְאִית לָהּ תְּרֵי בָנוֹת הַב הַב, כְּמָה דְאַתְּ אָמַר </w:t>
      </w:r>
      <w:r>
        <w:rPr>
          <w:b w:val="0"/>
          <w:sz w:val="20"/>
          <w:szCs w:val="23"/>
          <w:rtl/>
        </w:rPr>
        <w:t>(משלי ל טו)</w:t>
      </w:r>
      <w:r>
        <w:rPr>
          <w:rFonts w:cs="Arial"/>
          <w:b w:val="0"/>
          <w:bCs w:val="0"/>
          <w:szCs w:val="26"/>
          <w:rtl/>
        </w:rPr>
        <w:t xml:space="preserve"> לַעֲלוּקָה וכו', וְכַלְבָּא בְהוֹן צָוַוח הַב הַב, וּמָרָה אִיהִי גֵיהִנָּם, חַרְבָּא דְמַלְאַךְ הַמָּוְת דְּאִית לָהּ תְּרֵי פִּיּוֹת כְּגַוְונָא דְגֵיהִנָּם, דְּאִתְּמַר בָּהּ </w:t>
      </w:r>
      <w:r>
        <w:rPr>
          <w:b w:val="0"/>
          <w:sz w:val="20"/>
          <w:szCs w:val="23"/>
          <w:rtl/>
        </w:rPr>
        <w:t>(שם)</w:t>
      </w:r>
      <w:r>
        <w:rPr>
          <w:rFonts w:cs="Arial"/>
          <w:b w:val="0"/>
          <w:bCs w:val="0"/>
          <w:szCs w:val="26"/>
          <w:rtl/>
        </w:rPr>
        <w:t xml:space="preserve"> לַעֲלוּקָה שְׁתֵּי בָנוֹת הַב הַב, כְּגַוְונָא דָא אִתְּמַר בְּחַרְבָּא </w:t>
      </w:r>
      <w:r>
        <w:rPr>
          <w:b w:val="0"/>
          <w:sz w:val="20"/>
          <w:szCs w:val="23"/>
          <w:rtl/>
        </w:rPr>
        <w:t>(שם ה ד)</w:t>
      </w:r>
      <w:r>
        <w:rPr>
          <w:rFonts w:cs="Arial"/>
          <w:b w:val="0"/>
          <w:bCs w:val="0"/>
          <w:szCs w:val="26"/>
          <w:rtl/>
        </w:rPr>
        <w:t xml:space="preserve"> וְאַחֲרִיתָהּ מָרָה כַלַּעֲנָה חַדָּה כְּחֶרֶב פִּיּוֹת.</w:t>
      </w:r>
    </w:p>
    <w:p w:rsidR="006F705A" w:rsidRDefault="006F705A" w:rsidP="006F705A">
      <w:pPr>
        <w:pStyle w:val="NormalWeb"/>
        <w:rPr>
          <w:rFonts w:cs="Arial"/>
          <w:b w:val="0"/>
          <w:bCs w:val="0"/>
          <w:szCs w:val="26"/>
          <w:rtl/>
        </w:rPr>
      </w:pPr>
      <w:r>
        <w:rPr>
          <w:rStyle w:val="a7"/>
          <w:rFonts w:cs="Arial"/>
          <w:b w:val="0"/>
          <w:bCs w:val="0"/>
          <w:szCs w:val="26"/>
          <w:rtl/>
        </w:rPr>
        <w:footnoteReference w:id="5639"/>
      </w:r>
      <w:r>
        <w:rPr>
          <w:rFonts w:cs="Arial"/>
          <w:b w:val="0"/>
          <w:bCs w:val="0"/>
          <w:szCs w:val="26"/>
          <w:rtl/>
        </w:rPr>
        <w:t xml:space="preserve">וְכָבֵד אִיהוּ סמא''ל, מָרָה סַם מָוְת דִּילֵיהּ, </w:t>
      </w:r>
      <w:r>
        <w:rPr>
          <w:rStyle w:val="a7"/>
          <w:rFonts w:cs="Arial"/>
          <w:b w:val="0"/>
          <w:bCs w:val="0"/>
          <w:szCs w:val="26"/>
          <w:rtl/>
        </w:rPr>
        <w:footnoteReference w:id="5640"/>
      </w:r>
      <w:r>
        <w:rPr>
          <w:rFonts w:cs="Arial"/>
          <w:b w:val="0"/>
          <w:bCs w:val="0"/>
          <w:szCs w:val="26"/>
          <w:rtl/>
        </w:rPr>
        <w:t xml:space="preserve">כַּד שָׁלְטָא מָרָה עַל עַרְקִין דִּילָהּ וּמִתְגַּבְּרָא בְחוֹבִין, אִתְּמַר בְּפִרְקִין דְּכָבֵד וּמָרָה, </w:t>
      </w:r>
      <w:r>
        <w:rPr>
          <w:b w:val="0"/>
          <w:sz w:val="20"/>
          <w:szCs w:val="23"/>
          <w:rtl/>
        </w:rPr>
        <w:t>(שמות טו כג)</w:t>
      </w:r>
      <w:r>
        <w:rPr>
          <w:rFonts w:cs="Arial"/>
          <w:b w:val="0"/>
          <w:bCs w:val="0"/>
          <w:szCs w:val="26"/>
          <w:rtl/>
        </w:rPr>
        <w:t xml:space="preserve"> וַיָּבֹאוּ מָרָתָה וְלֹא יָכְלוּ לִשְׁתּוֹת מַיִם מִמָּרָה כִּי מָרִים הֵם, בְּהַהוּא זִמְנָא אִינוּן עַרְקִין דְּלִבָּא בְדוֹחֲקָא וּמִתְטַמְּרִין בְּלִבָּא, כְּגַוְונָא דְנֹחַ וְאִתְּתֵיהּ וּבְנוֹי וְחֵיוָון וּבְעִירִין וְעוֹפִין דְּמִתְטַמְּרִין בְּתֵיבָה, וְלִבָּא אִיהוּ בְדוֹחֲקָא בְהוֹן, דְּאִם מָרָה מָטָא לְלִבָּא מִיָּד יָמוּת בַּר נַשׁ, וּמָרָה לָא מִתְגַּבְּרָה עַל יִשְׂרָאֵל דְּאִינוּן לִבָּא אֶלָּא בְחוֹבִין, אִי חָזְרִין בִּתְיוּבְתָּא דְאִיהִי נִשְׁמַת חַיִּים שְׁכִינְתָּא עִלָּאָה, הָא אַסְוָותָא תְּהֵא לְלִבָּא וּלְעַרְקִין דִּילָהּ, וְאִתְּמַר בְּהוֹן </w:t>
      </w:r>
      <w:r>
        <w:rPr>
          <w:b w:val="0"/>
          <w:sz w:val="20"/>
          <w:szCs w:val="23"/>
          <w:rtl/>
        </w:rPr>
        <w:t>(שם)</w:t>
      </w:r>
      <w:r>
        <w:rPr>
          <w:b w:val="0"/>
          <w:szCs w:val="23"/>
          <w:rtl/>
        </w:rPr>
        <w:t xml:space="preserve"> </w:t>
      </w:r>
      <w:r>
        <w:rPr>
          <w:rStyle w:val="Char"/>
          <w:rFonts w:cs="Arial"/>
          <w:szCs w:val="26"/>
          <w:rtl/>
        </w:rPr>
        <w:t>וַיִּמְתְּקוּ הַמָּיִם, וְאִתְּסִין עַרְקִין</w:t>
      </w:r>
      <w:r>
        <w:rPr>
          <w:b w:val="0"/>
          <w:szCs w:val="23"/>
          <w:rtl/>
        </w:rPr>
        <w:t xml:space="preserve"> </w:t>
      </w:r>
      <w:r>
        <w:rPr>
          <w:b w:val="0"/>
          <w:sz w:val="20"/>
          <w:szCs w:val="23"/>
          <w:rtl/>
        </w:rPr>
        <w:t>(גופא)</w:t>
      </w:r>
      <w:r>
        <w:rPr>
          <w:rFonts w:cs="Arial"/>
          <w:b w:val="0"/>
          <w:bCs w:val="0"/>
          <w:szCs w:val="26"/>
          <w:rtl/>
        </w:rPr>
        <w:t xml:space="preserve"> וְאֵבָרִים דִּילֵיהּ.</w:t>
      </w:r>
    </w:p>
    <w:p w:rsidR="006F705A" w:rsidRDefault="006F705A" w:rsidP="006F705A">
      <w:pPr>
        <w:pStyle w:val="NormalWeb"/>
        <w:rPr>
          <w:rFonts w:cs="Arial"/>
          <w:b w:val="0"/>
          <w:bCs w:val="0"/>
          <w:szCs w:val="26"/>
          <w:rtl/>
        </w:rPr>
      </w:pPr>
      <w:r>
        <w:rPr>
          <w:rFonts w:cs="Arial"/>
          <w:b w:val="0"/>
          <w:bCs w:val="0"/>
          <w:szCs w:val="26"/>
          <w:rtl/>
        </w:rPr>
        <w:t xml:space="preserve">טְחוֹל דָּא לִילִי''ת </w:t>
      </w:r>
      <w:r>
        <w:rPr>
          <w:rStyle w:val="a7"/>
          <w:rFonts w:cs="Arial"/>
          <w:b w:val="0"/>
          <w:bCs w:val="0"/>
          <w:szCs w:val="26"/>
          <w:rtl/>
        </w:rPr>
        <w:footnoteReference w:id="5641"/>
      </w:r>
      <w:r>
        <w:rPr>
          <w:rFonts w:cs="Arial"/>
          <w:b w:val="0"/>
          <w:bCs w:val="0"/>
          <w:szCs w:val="26"/>
          <w:rtl/>
        </w:rPr>
        <w:t xml:space="preserve">אִימָּא דְעִרֶב רַב, שְׂחוֹק הַכְּסִיל, מָאן כְּסִיל דָּא אֵל אַחֵר סמא''ל, וְעִרֶב רַב אִינוּן בְּנָהָא, דְאִינוּן מְעוּרָבִין בְּיִשְׂרָאֵל רְשָׁעִים גְּמוּרִים, וַעֲלַיְיהוּ אִתְּמַר אִם רָאִיתָ רָשָׁע שֶׁהַשָּׁעָה מְשַׂחֶקֶת לוֹ אַל תִּתְגָרֶה בּוֹ, עֲלַיְיהוּ אִתְּמַר </w:t>
      </w:r>
      <w:r>
        <w:rPr>
          <w:b w:val="0"/>
          <w:sz w:val="20"/>
          <w:szCs w:val="23"/>
          <w:rtl/>
        </w:rPr>
        <w:t>(חבקוק א יג)</w:t>
      </w:r>
      <w:r>
        <w:rPr>
          <w:rFonts w:cs="Arial"/>
          <w:b w:val="0"/>
          <w:bCs w:val="0"/>
          <w:szCs w:val="26"/>
          <w:rtl/>
        </w:rPr>
        <w:t xml:space="preserve"> לָמָּה תַבִּיט בּוֹגְדִים תַּחֲרִישׁ בְּבַלַּע רָשָׁע צַדִּיק מִמֶּנּוּ, רָשָׁע דָּא כְסִיל, עִרֶב רַב בְּגָלוּתָא אִינוּן רָשָׁע, בְּבַלַּע צַדִּיק מִמֶּנּוּ, דָא יִשְׂרָאֵל, </w:t>
      </w:r>
      <w:r>
        <w:rPr>
          <w:rStyle w:val="a7"/>
          <w:rFonts w:cs="Arial"/>
          <w:b w:val="0"/>
          <w:bCs w:val="0"/>
          <w:szCs w:val="26"/>
          <w:rtl/>
        </w:rPr>
        <w:footnoteReference w:id="5642"/>
      </w:r>
      <w:r>
        <w:rPr>
          <w:rFonts w:cs="Arial"/>
          <w:b w:val="0"/>
          <w:bCs w:val="0"/>
          <w:szCs w:val="26"/>
          <w:rtl/>
        </w:rPr>
        <w:t>וּמָאן גָּרִים דְּבָלַע לוֹן, בְּגִין דְּלַאו אִינוּן צַדִּיקִים גְּמוּרִים, כְּמָה דְאִתְּמַר צַדִּיק מִמֶּנּוּ בּוֹלֵעַ אֲבָל צַדִּיק גָּמוּר אֵינוֹ בּוֹלֵעַ.</w:t>
      </w:r>
    </w:p>
    <w:p w:rsidR="006F705A" w:rsidRDefault="006F705A" w:rsidP="006F705A">
      <w:pPr>
        <w:pStyle w:val="NormalWeb"/>
        <w:rPr>
          <w:rFonts w:cs="Arial"/>
          <w:b w:val="0"/>
          <w:bCs w:val="0"/>
          <w:szCs w:val="26"/>
          <w:rtl/>
        </w:rPr>
      </w:pPr>
      <w:r>
        <w:rPr>
          <w:rFonts w:cs="Arial"/>
          <w:b w:val="0"/>
          <w:bCs w:val="0"/>
          <w:szCs w:val="26"/>
          <w:rtl/>
        </w:rPr>
        <w:t xml:space="preserve">וּטְחוֹל אִיהוּ לִילִי''ת, </w:t>
      </w:r>
      <w:r>
        <w:rPr>
          <w:b w:val="0"/>
          <w:sz w:val="20"/>
          <w:szCs w:val="23"/>
          <w:rtl/>
        </w:rPr>
        <w:t>(משלי ג לג)</w:t>
      </w:r>
      <w:r>
        <w:rPr>
          <w:rFonts w:cs="Arial"/>
          <w:b w:val="0"/>
          <w:bCs w:val="0"/>
          <w:szCs w:val="26"/>
          <w:rtl/>
        </w:rPr>
        <w:t xml:space="preserve"> מְאֵרַת ה' בְּבֵית רָשָׁע, וְאִיהִי אַסְכְּרָה לְרַבְיֵי דְאִינוּן חַיָּיבַיָּא, חַיְיכַת בְּהוֹן בְּעוּתְרָא בְהַאי עָלְמָא, וּלְבָתַר קְטִילַת בְּהוֹן, וְאַמַּאי אִתְקְרִיאוּ רַבְיֵי, בְּגִין דְּלֵית בְּהוֹן דַּעַת לְאִשְׁתֵּזָבָא מִינָהּ, אֲבָל לֵב מֵבִין אִשְׁתֵּזַב מִינָהּ, דְּתַמָּן צַדִּיק, וְרָזָא דְמִלָּה </w:t>
      </w:r>
      <w:r>
        <w:rPr>
          <w:b w:val="0"/>
          <w:sz w:val="20"/>
          <w:szCs w:val="23"/>
          <w:rtl/>
        </w:rPr>
        <w:t>(קהלת ז כו)</w:t>
      </w:r>
      <w:r>
        <w:rPr>
          <w:rFonts w:cs="Arial"/>
          <w:b w:val="0"/>
          <w:bCs w:val="0"/>
          <w:szCs w:val="26"/>
          <w:rtl/>
        </w:rPr>
        <w:t xml:space="preserve"> טוֹב לִפְנֵי הָאלהי''ם יִמָּלֵט מִמֶּנָּה, וְחוֹטֵא יִלָּכֶד בָּהּ.</w:t>
      </w:r>
    </w:p>
    <w:p w:rsidR="006F705A" w:rsidRDefault="006F705A" w:rsidP="006F705A">
      <w:pPr>
        <w:pStyle w:val="NormalWeb"/>
        <w:rPr>
          <w:rFonts w:cs="Arial"/>
          <w:b w:val="0"/>
          <w:bCs w:val="0"/>
          <w:szCs w:val="26"/>
          <w:rtl/>
        </w:rPr>
      </w:pPr>
      <w:r>
        <w:rPr>
          <w:rStyle w:val="a7"/>
          <w:rFonts w:cs="Arial"/>
          <w:b w:val="0"/>
          <w:bCs w:val="0"/>
          <w:szCs w:val="26"/>
          <w:rtl/>
        </w:rPr>
        <w:footnoteReference w:id="5643"/>
      </w:r>
      <w:r>
        <w:rPr>
          <w:rFonts w:cs="Arial"/>
          <w:b w:val="0"/>
          <w:bCs w:val="0"/>
          <w:szCs w:val="26"/>
          <w:rtl/>
        </w:rPr>
        <w:t xml:space="preserve">כְּלָיוֹת אִינוּן יוֹעֲצוֹת אִם זָכוּ עָאל בְּהוֹן נְבוּאָה דְאִיהִי </w:t>
      </w:r>
      <w:r>
        <w:rPr>
          <w:b w:val="0"/>
          <w:sz w:val="20"/>
          <w:szCs w:val="23"/>
          <w:rtl/>
        </w:rPr>
        <w:t>(משלי כ כז)</w:t>
      </w:r>
      <w:r>
        <w:rPr>
          <w:rFonts w:cs="Arial"/>
          <w:b w:val="0"/>
          <w:bCs w:val="0"/>
          <w:szCs w:val="26"/>
          <w:rtl/>
        </w:rPr>
        <w:t xml:space="preserve"> נֵר יהו''ה נִשְׁמַת אָדָם, וְאִתְעֲבִידוּ נְבִיאִים, וְאִינוּן יוֹעֲצִים לְטָב, וְאִית בְּהוֹן עִצָה וְתוּשִׁיָּה.</w:t>
      </w:r>
    </w:p>
    <w:p w:rsidR="006F705A" w:rsidRDefault="006F705A" w:rsidP="006F705A">
      <w:pPr>
        <w:pStyle w:val="NormalWeb"/>
        <w:rPr>
          <w:rFonts w:cs="Arial"/>
          <w:b w:val="0"/>
          <w:bCs w:val="0"/>
          <w:szCs w:val="26"/>
          <w:rtl/>
        </w:rPr>
      </w:pPr>
      <w:r>
        <w:rPr>
          <w:rFonts w:cs="Arial"/>
          <w:b w:val="0"/>
          <w:bCs w:val="0"/>
          <w:szCs w:val="26"/>
          <w:rtl/>
        </w:rPr>
        <w:t xml:space="preserve">כַּנְפֵי רֵיאָה, אִם זָכוּ שַׁרְיָא בְהוֹן רוּחַ קוּדְשָׁא, וְאִתְּמַר בְּהוֹן </w:t>
      </w:r>
      <w:r>
        <w:rPr>
          <w:b w:val="0"/>
          <w:sz w:val="20"/>
          <w:szCs w:val="23"/>
          <w:rtl/>
        </w:rPr>
        <w:t>(ישעיה יא ב)</w:t>
      </w:r>
      <w:r>
        <w:rPr>
          <w:rFonts w:cs="Arial"/>
          <w:b w:val="0"/>
          <w:bCs w:val="0"/>
          <w:szCs w:val="26"/>
          <w:rtl/>
        </w:rPr>
        <w:t xml:space="preserve"> וְנָחָה עָלָיו רוּחַ יהו''ה </w:t>
      </w:r>
      <w:r>
        <w:rPr>
          <w:rStyle w:val="a7"/>
          <w:rFonts w:cs="Arial"/>
          <w:b w:val="0"/>
          <w:bCs w:val="0"/>
          <w:szCs w:val="26"/>
          <w:rtl/>
        </w:rPr>
        <w:footnoteReference w:id="5644"/>
      </w:r>
      <w:r>
        <w:rPr>
          <w:rFonts w:cs="Arial"/>
          <w:b w:val="0"/>
          <w:bCs w:val="0"/>
          <w:szCs w:val="26"/>
          <w:rtl/>
        </w:rPr>
        <w:t xml:space="preserve">רוּחַ חָכְמָה וּבִינָה רוּחַ עִצָה וּגְבוּרָה רוּחַ דַּעַת וְיִרְאַת יהו''ה, וַעֲלַיְיהוּ אִתְּמַר </w:t>
      </w:r>
      <w:r>
        <w:rPr>
          <w:b w:val="0"/>
          <w:sz w:val="20"/>
          <w:szCs w:val="23"/>
          <w:rtl/>
        </w:rPr>
        <w:t>(שמות כה כ)</w:t>
      </w:r>
      <w:r>
        <w:rPr>
          <w:rFonts w:cs="Arial"/>
          <w:b w:val="0"/>
          <w:bCs w:val="0"/>
          <w:szCs w:val="26"/>
          <w:rtl/>
        </w:rPr>
        <w:t xml:space="preserve"> וְהָיוּ </w:t>
      </w:r>
      <w:r>
        <w:rPr>
          <w:rStyle w:val="a7"/>
          <w:rFonts w:cs="Arial"/>
          <w:b w:val="0"/>
          <w:bCs w:val="0"/>
          <w:szCs w:val="26"/>
          <w:rtl/>
        </w:rPr>
        <w:footnoteReference w:id="5645"/>
      </w:r>
      <w:r>
        <w:rPr>
          <w:rFonts w:cs="Arial"/>
          <w:b w:val="0"/>
          <w:bCs w:val="0"/>
          <w:szCs w:val="26"/>
          <w:rtl/>
        </w:rPr>
        <w:t xml:space="preserve">הַכְּרֻבִים פּוֹרְשֵׂי כְנָפַיִם, הַכְּרוּבִים כְּגוֹן צוּרַת אָדָם, פּוֹרְשֵׂי כְנָפַיִם לָקֳבֵל תְּלַת חֵיוָון דְּפָרְשִׂין גַּדְפִין לְקִבְלֵיהּ דְּאָדָם, וְאִינוּן שִׁית גַּדְפִין, תְּרֵין לְכָל חַיָּה, </w:t>
      </w:r>
      <w:r>
        <w:rPr>
          <w:rStyle w:val="a7"/>
          <w:rFonts w:cs="Arial"/>
          <w:b w:val="0"/>
          <w:bCs w:val="0"/>
          <w:szCs w:val="26"/>
          <w:rtl/>
        </w:rPr>
        <w:footnoteReference w:id="5646"/>
      </w:r>
      <w:r>
        <w:rPr>
          <w:rFonts w:cs="Arial"/>
          <w:b w:val="0"/>
          <w:bCs w:val="0"/>
          <w:szCs w:val="26"/>
          <w:rtl/>
        </w:rPr>
        <w:t xml:space="preserve">מִסִּטְרָא דִשְׁכִינְתָּא גַדְפִין דְּחֵיוָון מְרוּבָּעִים, שִׁית גַּדְפִין לָקֳבֵל שֵׁשׁ מַעֲלוֹת לַכִּסֵּא, אַרְבַּע גַּדְפִין לָקֳבֵל כָּרְסַיָּא מְרוּבָּע, </w:t>
      </w:r>
      <w:r>
        <w:rPr>
          <w:rStyle w:val="a7"/>
          <w:rFonts w:cs="Arial"/>
          <w:b w:val="0"/>
          <w:bCs w:val="0"/>
          <w:szCs w:val="26"/>
          <w:rtl/>
        </w:rPr>
        <w:footnoteReference w:id="5647"/>
      </w:r>
      <w:r>
        <w:rPr>
          <w:rFonts w:cs="Arial"/>
          <w:b w:val="0"/>
          <w:bCs w:val="0"/>
          <w:szCs w:val="26"/>
          <w:rtl/>
        </w:rPr>
        <w:t>פֹּרְשֵׂי כְנָפַיִם לְמַעְלָה סֹכְכִים בְּכַנְפֵיהֶם עַל הַכַּפֹּרֶת, דָּא כַּפֹּרֶת דְּלִבָּא קֹדֶשׁ קֻדְשִׁין, וְדָא לִבָּא.</w:t>
      </w:r>
    </w:p>
    <w:p w:rsidR="006F705A" w:rsidRDefault="006F705A" w:rsidP="006F705A">
      <w:pPr>
        <w:pStyle w:val="NormalWeb"/>
        <w:rPr>
          <w:rFonts w:cs="Arial"/>
          <w:szCs w:val="22"/>
          <w:rtl/>
        </w:rPr>
      </w:pPr>
      <w:r>
        <w:rPr>
          <w:rFonts w:cs="Arial"/>
          <w:szCs w:val="22"/>
          <w:rtl/>
        </w:rPr>
        <w:t>[י"א תיקונים מהדורא בתרא, קלט ע"א]</w:t>
      </w:r>
    </w:p>
    <w:p w:rsidR="006F705A" w:rsidRDefault="006F705A" w:rsidP="006F705A">
      <w:pPr>
        <w:pStyle w:val="NormalWeb"/>
        <w:rPr>
          <w:rFonts w:cs="Arial"/>
          <w:b w:val="0"/>
          <w:bCs w:val="0"/>
          <w:szCs w:val="26"/>
          <w:rtl/>
        </w:rPr>
      </w:pPr>
      <w:r>
        <w:rPr>
          <w:rStyle w:val="a7"/>
          <w:rFonts w:cs="Arial"/>
          <w:b w:val="0"/>
          <w:bCs w:val="0"/>
          <w:szCs w:val="26"/>
          <w:rtl/>
        </w:rPr>
        <w:footnoteReference w:id="5648"/>
      </w:r>
      <w:r>
        <w:rPr>
          <w:rFonts w:cs="Arial"/>
          <w:b w:val="0"/>
          <w:bCs w:val="0"/>
          <w:szCs w:val="26"/>
          <w:rtl/>
        </w:rPr>
        <w:t xml:space="preserve">נֶפֶשׁ רוּחַ נְשָׁמָה, כֹּהֵן לֵוִי וְיִשְׂרָאֵל, כֹּהֵן אִיהוּ נְשָׁמָה, אִם זָכָה נֵר יהו''ה נֵר הֲוָה </w:t>
      </w:r>
      <w:r>
        <w:rPr>
          <w:rStyle w:val="a7"/>
          <w:rFonts w:cs="Arial"/>
          <w:b w:val="0"/>
          <w:bCs w:val="0"/>
          <w:szCs w:val="26"/>
          <w:rtl/>
        </w:rPr>
        <w:footnoteReference w:id="5649"/>
      </w:r>
      <w:r>
        <w:rPr>
          <w:rFonts w:cs="Arial"/>
          <w:b w:val="0"/>
          <w:bCs w:val="0"/>
          <w:szCs w:val="26"/>
          <w:rtl/>
        </w:rPr>
        <w:t xml:space="preserve">נָהִיר בֵּיהּ מַלְכַּא כַּשֶּׁמֶשׁ זוֹרַחַת, וְרוּחָא דְקוּדְשָׁא הֲוָה נָפִיק מִבֵּין גַּדְפוֹי </w:t>
      </w:r>
      <w:r>
        <w:rPr>
          <w:b w:val="0"/>
          <w:sz w:val="20"/>
          <w:szCs w:val="23"/>
          <w:rtl/>
        </w:rPr>
        <w:t>(קלט ע"א)</w:t>
      </w:r>
      <w:r>
        <w:rPr>
          <w:rFonts w:cs="Arial"/>
          <w:b w:val="0"/>
          <w:bCs w:val="0"/>
          <w:szCs w:val="26"/>
          <w:rtl/>
        </w:rPr>
        <w:t xml:space="preserve"> דִכְּרוּבִין דְּאִינוּן כַּנְפֵי רֵיאָה, וַהֲוָה מְמַלֵּיל עִמֵּיהּ, וְאִם לַאו נוּרָא, וְדָא נֶפֶשׁ הֲוָה דָלֵיק, וְנָפִיק אֶשָּׁא מִלִּבָּא וְאוֹקִיד לֵיהּ.</w:t>
      </w:r>
    </w:p>
    <w:p w:rsidR="006F705A" w:rsidRDefault="006F705A" w:rsidP="006F705A">
      <w:pPr>
        <w:pStyle w:val="NormalWeb"/>
        <w:rPr>
          <w:rFonts w:cs="Arial"/>
          <w:b w:val="0"/>
          <w:bCs w:val="0"/>
          <w:szCs w:val="26"/>
          <w:rtl/>
        </w:rPr>
      </w:pPr>
      <w:r>
        <w:rPr>
          <w:rStyle w:val="a7"/>
          <w:rFonts w:cs="Arial"/>
          <w:b w:val="0"/>
          <w:bCs w:val="0"/>
          <w:szCs w:val="26"/>
          <w:rtl/>
        </w:rPr>
        <w:footnoteReference w:id="5650"/>
      </w:r>
      <w:r>
        <w:rPr>
          <w:rFonts w:cs="Arial"/>
          <w:b w:val="0"/>
          <w:bCs w:val="0"/>
          <w:szCs w:val="26"/>
          <w:rtl/>
        </w:rPr>
        <w:t xml:space="preserve">קֵיבָה יָשֵׁן. אִית שֵׁינָה לְטָב וְאִית שֵׁינָה לְבִישׁ בְּגִין דְּבֵיהּ דָּבִיק קָנֶה, דְּאִיהוּ סֻלָּם דְּחָזָא יַעֲקֹב, וְשִׁית עִזְקִין דְּקָנֶה אִיהוּ שִׁית דַּרְגִּין דִּנְבוּאָה, </w:t>
      </w:r>
      <w:r>
        <w:rPr>
          <w:rStyle w:val="a7"/>
          <w:rFonts w:cs="Arial"/>
          <w:b w:val="0"/>
          <w:bCs w:val="0"/>
          <w:szCs w:val="26"/>
          <w:rtl/>
        </w:rPr>
        <w:footnoteReference w:id="5651"/>
      </w:r>
      <w:r>
        <w:rPr>
          <w:rFonts w:cs="Arial"/>
          <w:b w:val="0"/>
          <w:bCs w:val="0"/>
          <w:szCs w:val="26"/>
          <w:rtl/>
        </w:rPr>
        <w:t xml:space="preserve">וְסָלְקִין לְשִׁתִּין נִשְׁמֵי, דַהֲוָה נָאִים בְּהוֹן דָּוִד, דְּהָכִי אוּקְמוּה, דָוִד הֲוָה מִתְנַמְנֵם כַּסּוּס, וְסוּס </w:t>
      </w:r>
      <w:r>
        <w:rPr>
          <w:rStyle w:val="a7"/>
          <w:rFonts w:cs="Arial"/>
          <w:b w:val="0"/>
          <w:bCs w:val="0"/>
          <w:szCs w:val="26"/>
          <w:rtl/>
        </w:rPr>
        <w:footnoteReference w:id="5652"/>
      </w:r>
      <w:r>
        <w:rPr>
          <w:rFonts w:cs="Arial"/>
          <w:b w:val="0"/>
          <w:bCs w:val="0"/>
          <w:szCs w:val="26"/>
          <w:rtl/>
        </w:rPr>
        <w:t xml:space="preserve">לָא נָאִים אֶלָּא שִׁתִּין נִשְׁמֵי, וְאִית שֵׁינָה לְבִישׁ חֶלְמָא בִּישָׁא, דְאִתְּמַר בֵּיהּ לְגַבֵּי אַבְרָהָם, </w:t>
      </w:r>
      <w:r>
        <w:rPr>
          <w:b w:val="0"/>
          <w:sz w:val="20"/>
          <w:szCs w:val="23"/>
          <w:rtl/>
        </w:rPr>
        <w:t>(בראשית טו יב)</w:t>
      </w:r>
      <w:r>
        <w:rPr>
          <w:rFonts w:cs="Arial"/>
          <w:b w:val="0"/>
          <w:bCs w:val="0"/>
          <w:szCs w:val="26"/>
          <w:rtl/>
        </w:rPr>
        <w:t xml:space="preserve"> וְתַרְדֵּמָה נָפְלָה עַל אַבְרָם, וְהִנֵּה אֵימָה חֲשֵׁכָה גְדֹלָה נֹפֶלֶת עָלָיו, וְהָא אוּקְמוּהָ בְאַרְבַּע גָּלִיּוֹת, </w:t>
      </w:r>
      <w:r>
        <w:rPr>
          <w:rStyle w:val="a7"/>
          <w:rFonts w:cs="Arial"/>
          <w:b w:val="0"/>
          <w:bCs w:val="0"/>
          <w:szCs w:val="26"/>
          <w:rtl/>
        </w:rPr>
        <w:footnoteReference w:id="5653"/>
      </w:r>
      <w:r>
        <w:rPr>
          <w:rFonts w:cs="Arial"/>
          <w:b w:val="0"/>
          <w:bCs w:val="0"/>
          <w:szCs w:val="26"/>
          <w:rtl/>
        </w:rPr>
        <w:t xml:space="preserve">וּבְגִין דַּחֲלוֹם יֵיתֵי בִתְרֵין דַּרְגִּין, אוּקְמוּהוּ קַדְמָאִין, כְּמָה דְאִי אֶפְשַׁר לְבָר בְּלֹא תֶּבֶן כַּךְ אִי אֶפְשַׁר לְחֶלְמָא בְלֹא דְבָרִים בְּטֵלִים, בְּגִין דְּיֵיתֵי חֶלְמָא כַּאן עַל יְדֵי מַלְאָךְ, כַּאן עַל יְדֵי שֵׁד, בְּגִין דְּחֶלְמָא אִיהוּ מִסִּטְרָא דְאִילָנָא דְטוֹב וָרָע, אֲבָל מִסִּטְרָא דְאִילָנָא דְחַיֵּי לָא אַתְיָא </w:t>
      </w:r>
      <w:r>
        <w:rPr>
          <w:b w:val="0"/>
          <w:sz w:val="20"/>
          <w:szCs w:val="23"/>
          <w:rtl/>
        </w:rPr>
        <w:t>(עליה אלא דקיבה)</w:t>
      </w:r>
      <w:r>
        <w:rPr>
          <w:rFonts w:cs="Arial"/>
          <w:b w:val="0"/>
          <w:bCs w:val="0"/>
          <w:szCs w:val="26"/>
          <w:rtl/>
        </w:rPr>
        <w:t xml:space="preserve"> אֶלָּא עַל יְדֵי קֵיבָה דְקוּדְשָׁא בְּרִיךְ הוּא דְאִיהִי שְׁכִינְתָּא דִילֵיהּ, וְלֵית תַּמָּן קֵיבָה רַע דְּאִיהוּ שֵׁד.</w:t>
      </w:r>
    </w:p>
    <w:p w:rsidR="006F705A" w:rsidRDefault="006F705A" w:rsidP="006F705A">
      <w:pPr>
        <w:pStyle w:val="NormalWeb"/>
        <w:rPr>
          <w:rFonts w:cs="Arial"/>
          <w:b w:val="0"/>
          <w:bCs w:val="0"/>
          <w:szCs w:val="26"/>
          <w:rtl/>
        </w:rPr>
      </w:pPr>
      <w:r>
        <w:rPr>
          <w:rStyle w:val="a7"/>
          <w:rFonts w:cs="Arial"/>
          <w:b w:val="0"/>
          <w:bCs w:val="0"/>
          <w:szCs w:val="26"/>
          <w:rtl/>
        </w:rPr>
        <w:footnoteReference w:id="5654"/>
      </w:r>
      <w:r>
        <w:rPr>
          <w:rFonts w:cs="Arial"/>
          <w:b w:val="0"/>
          <w:bCs w:val="0"/>
          <w:szCs w:val="26"/>
          <w:rtl/>
        </w:rPr>
        <w:t xml:space="preserve">קָרְקְבָן טוֹחֵן, אִי בַּר נַשׁ זַכָּאָה אִיהוּ טוֹחֶנֶת מָן לְצַדִּיקִים, דְּאִינוּן אֵבָרִים קַדִּישִׁין בְּפִקּוּדִין דַּעֲשֵׂה, וְאִי לָא אָזְלִין בְּפִקּוּדִין טָבִין, מִתְפַּרְנְסִין בְּלֶחֶם הַקְּלוֹקֵל מְזוֹנָא </w:t>
      </w:r>
      <w:r>
        <w:rPr>
          <w:rStyle w:val="a7"/>
          <w:rFonts w:cs="Arial"/>
          <w:b w:val="0"/>
          <w:bCs w:val="0"/>
          <w:szCs w:val="26"/>
          <w:rtl/>
        </w:rPr>
        <w:footnoteReference w:id="5655"/>
      </w:r>
      <w:r>
        <w:rPr>
          <w:rFonts w:cs="Arial"/>
          <w:b w:val="0"/>
          <w:bCs w:val="0"/>
          <w:szCs w:val="26"/>
          <w:rtl/>
        </w:rPr>
        <w:t xml:space="preserve">קַלָּא בַּקָּלוֹן. </w:t>
      </w:r>
      <w:r>
        <w:rPr>
          <w:rStyle w:val="a7"/>
          <w:rFonts w:cs="Arial"/>
          <w:b w:val="0"/>
          <w:bCs w:val="0"/>
          <w:szCs w:val="26"/>
          <w:rtl/>
        </w:rPr>
        <w:footnoteReference w:id="5656"/>
      </w:r>
      <w:r>
        <w:rPr>
          <w:rFonts w:cs="Arial"/>
          <w:b w:val="0"/>
          <w:bCs w:val="0"/>
          <w:szCs w:val="26"/>
          <w:rtl/>
        </w:rPr>
        <w:t xml:space="preserve">וִושֶׁט </w:t>
      </w:r>
      <w:r>
        <w:rPr>
          <w:b w:val="0"/>
          <w:sz w:val="20"/>
          <w:szCs w:val="23"/>
          <w:rtl/>
        </w:rPr>
        <w:t>(במדבר יא ח)</w:t>
      </w:r>
      <w:r>
        <w:rPr>
          <w:b w:val="0"/>
          <w:szCs w:val="23"/>
          <w:rtl/>
        </w:rPr>
        <w:t xml:space="preserve"> </w:t>
      </w:r>
      <w:r>
        <w:rPr>
          <w:rStyle w:val="Char"/>
          <w:rFonts w:cs="Arial"/>
          <w:szCs w:val="26"/>
          <w:rtl/>
        </w:rPr>
        <w:t>שָׁטוּ הָעָם וְלָקְטוּ, שָׁטִין</w:t>
      </w:r>
      <w:r>
        <w:rPr>
          <w:b w:val="0"/>
          <w:szCs w:val="23"/>
          <w:rtl/>
        </w:rPr>
        <w:t xml:space="preserve"> </w:t>
      </w:r>
      <w:r>
        <w:rPr>
          <w:b w:val="0"/>
          <w:sz w:val="20"/>
          <w:szCs w:val="23"/>
          <w:rtl/>
        </w:rPr>
        <w:t>(שטיין)</w:t>
      </w:r>
      <w:r>
        <w:rPr>
          <w:rFonts w:cs="Arial"/>
          <w:b w:val="0"/>
          <w:bCs w:val="0"/>
          <w:szCs w:val="26"/>
          <w:rtl/>
        </w:rPr>
        <w:t xml:space="preserve"> </w:t>
      </w:r>
      <w:r>
        <w:rPr>
          <w:rStyle w:val="a7"/>
          <w:rFonts w:cs="Arial"/>
          <w:b w:val="0"/>
          <w:bCs w:val="0"/>
          <w:szCs w:val="26"/>
          <w:rtl/>
        </w:rPr>
        <w:footnoteReference w:id="5657"/>
      </w:r>
      <w:r>
        <w:rPr>
          <w:rFonts w:cs="Arial"/>
          <w:b w:val="0"/>
          <w:bCs w:val="0"/>
          <w:szCs w:val="26"/>
          <w:rtl/>
        </w:rPr>
        <w:t xml:space="preserve">לָקְטִין בְּשִׁטּוּתָא, </w:t>
      </w:r>
      <w:r>
        <w:rPr>
          <w:rStyle w:val="a7"/>
          <w:rFonts w:cs="Arial"/>
          <w:b w:val="0"/>
          <w:bCs w:val="0"/>
          <w:szCs w:val="26"/>
          <w:rtl/>
        </w:rPr>
        <w:footnoteReference w:id="5658"/>
      </w:r>
      <w:r>
        <w:rPr>
          <w:rFonts w:cs="Arial"/>
          <w:b w:val="0"/>
          <w:bCs w:val="0"/>
          <w:szCs w:val="26"/>
          <w:rtl/>
        </w:rPr>
        <w:t>וְטָחֲנוּ בָרֵיחַיִם בְּדוֹחֲקָא, אִלֵּין אִינוּן טוֹחֲנוֹת בְּפוּמָא, אוֹ דָכוּ בַּמְּדוֹכָה דָא חֵיךְ, וּבִשְּׁלוּ בַּפָּרוּר דָּא אִצְטוּמְכָא.</w:t>
      </w:r>
    </w:p>
    <w:p w:rsidR="006F705A" w:rsidRDefault="006F705A" w:rsidP="006F705A">
      <w:pPr>
        <w:pStyle w:val="NormalWeb"/>
        <w:rPr>
          <w:rFonts w:cs="Arial"/>
          <w:b w:val="0"/>
          <w:bCs w:val="0"/>
          <w:szCs w:val="26"/>
          <w:rtl/>
        </w:rPr>
      </w:pPr>
      <w:r>
        <w:rPr>
          <w:rFonts w:cs="Arial"/>
          <w:b w:val="0"/>
          <w:bCs w:val="0"/>
          <w:szCs w:val="26"/>
          <w:rtl/>
        </w:rPr>
        <w:t xml:space="preserve">בְּרִי, רָזָא עִלָּאָה הָכָא, אִם זָכוּ יִשְׂרָאֵל הֲוָה נָחִית לוֹן אוֹרַיְיתָא מִן שְׁמַיָּא בְלָא דוֹחֲקָא, וְלָא הֲווֹ צְרִיכִין לְאַלָּפָא חַד לְחַבְרֵיהּ, הֲדָא הוּא דִכְתִיב </w:t>
      </w:r>
      <w:r>
        <w:rPr>
          <w:b w:val="0"/>
          <w:sz w:val="20"/>
          <w:szCs w:val="23"/>
          <w:rtl/>
        </w:rPr>
        <w:t>(שמות טז ד)</w:t>
      </w:r>
      <w:r>
        <w:rPr>
          <w:rFonts w:cs="Arial"/>
          <w:b w:val="0"/>
          <w:bCs w:val="0"/>
          <w:szCs w:val="26"/>
          <w:rtl/>
        </w:rPr>
        <w:t xml:space="preserve"> הִנְנִי מַמְטִיר לָכֶם לֶחֶם מִן הַשָּׁמָיִם, דְּלֵית לֶחֶם אֶלָּא אוֹרַיְיתָא, לָא זָכוּ בְּגִין עִרֶב רַב דְּאִינוּן שַׁטְיָּין, אִתְּמַר בְּהוּ שָׁטוּ הָעָם וְלָקְטוּ, דְיִטְרְחוּן </w:t>
      </w:r>
      <w:r>
        <w:rPr>
          <w:rStyle w:val="a7"/>
          <w:rFonts w:cs="Arial"/>
          <w:b w:val="0"/>
          <w:bCs w:val="0"/>
          <w:szCs w:val="26"/>
          <w:rtl/>
        </w:rPr>
        <w:footnoteReference w:id="5659"/>
      </w:r>
      <w:r>
        <w:rPr>
          <w:rFonts w:cs="Arial"/>
          <w:b w:val="0"/>
          <w:bCs w:val="0"/>
          <w:szCs w:val="26"/>
          <w:rtl/>
        </w:rPr>
        <w:t xml:space="preserve">לְאוֹלָפָא דָא לְדָא, כָּל חַד בְּדוֹחֲקָא, וּלְחַכִּימַיָּא בִרְמִיזָא. אֲבָל לְעָתִיד לָבֹא יִתְמְחוּן עִרֶב רַב מֵעָלְמָא, וְאִתְּמַר בְּהוֹן </w:t>
      </w:r>
      <w:r>
        <w:rPr>
          <w:b w:val="0"/>
          <w:sz w:val="20"/>
          <w:szCs w:val="23"/>
          <w:rtl/>
        </w:rPr>
        <w:t>(ירמיה ל א לג)</w:t>
      </w:r>
      <w:r>
        <w:rPr>
          <w:rFonts w:cs="Arial"/>
          <w:b w:val="0"/>
          <w:bCs w:val="0"/>
          <w:szCs w:val="26"/>
          <w:rtl/>
        </w:rPr>
        <w:t xml:space="preserve"> וְלֹא יְלַמְּדוּ עוֹד אִישׁ אֶת אָחִיו וְגוֹמֵר, וּבְגִין דָּא וִושֶׁט אִיהוּ לְבִישׁ וְאִיהוּ לְטָב, </w:t>
      </w:r>
      <w:r>
        <w:rPr>
          <w:rStyle w:val="a7"/>
          <w:rFonts w:cs="Arial"/>
          <w:b w:val="0"/>
          <w:bCs w:val="0"/>
          <w:szCs w:val="26"/>
          <w:rtl/>
        </w:rPr>
        <w:footnoteReference w:id="5660"/>
      </w:r>
      <w:r>
        <w:rPr>
          <w:rFonts w:cs="Arial"/>
          <w:b w:val="0"/>
          <w:bCs w:val="0"/>
          <w:szCs w:val="26"/>
          <w:rtl/>
        </w:rPr>
        <w:t>חִוָּור וְסוּמַק, דִּינָא וְרַחֲמֵי.</w:t>
      </w:r>
    </w:p>
    <w:p w:rsidR="006F705A" w:rsidRDefault="006F705A" w:rsidP="006F705A">
      <w:pPr>
        <w:pStyle w:val="NormalWeb"/>
        <w:rPr>
          <w:rFonts w:cs="Arial"/>
          <w:b w:val="0"/>
          <w:bCs w:val="0"/>
          <w:szCs w:val="26"/>
          <w:rtl/>
        </w:rPr>
      </w:pPr>
      <w:r>
        <w:rPr>
          <w:rFonts w:cs="Arial"/>
          <w:b w:val="0"/>
          <w:bCs w:val="0"/>
          <w:szCs w:val="26"/>
          <w:rtl/>
        </w:rPr>
        <w:t xml:space="preserve">וּבְרִי, בְּוַדַּאי אִינוּן שְׁלוּחַיָּא דְצִבּוּרָא, צְרִיכִין כַּד קָרָאן סֵפֶר תּוֹרָה דְּיַחְתְּכוּן מִלִּין, וְלָא יֵימְרוּן לְהוֹן בְּהַלְעָטָה, כְּגַוְונָא דְעִרֶב רַב דְּאִתְּמַר בְּהוֹן </w:t>
      </w:r>
      <w:r>
        <w:rPr>
          <w:b w:val="0"/>
          <w:sz w:val="20"/>
          <w:szCs w:val="23"/>
          <w:rtl/>
        </w:rPr>
        <w:t>(במדבר יא יג)</w:t>
      </w:r>
      <w:r>
        <w:rPr>
          <w:rFonts w:cs="Arial"/>
          <w:b w:val="0"/>
          <w:bCs w:val="0"/>
          <w:szCs w:val="26"/>
          <w:rtl/>
        </w:rPr>
        <w:t xml:space="preserve"> הַבָּשָׂר עוֹדֶנּוּ בֵּין שִׁנֵּיהֶם, וַהֲווֹ אָכְלִין בְּהַלְעָטָה, וּכְגַוְונָא דְעִשָׂו דְּאִתְּמַר בֵּיהּ </w:t>
      </w:r>
      <w:r>
        <w:rPr>
          <w:b w:val="0"/>
          <w:sz w:val="20"/>
          <w:szCs w:val="23"/>
          <w:rtl/>
        </w:rPr>
        <w:t>(בראשית כה ל)</w:t>
      </w:r>
      <w:r>
        <w:rPr>
          <w:rFonts w:cs="Arial"/>
          <w:b w:val="0"/>
          <w:bCs w:val="0"/>
          <w:szCs w:val="26"/>
          <w:rtl/>
        </w:rPr>
        <w:t xml:space="preserve"> הַלְעִיטֵנִי נָא, וְלָא הֲווֹ טָחֲנִין לֵיהּ, אִתְּמַר בְּהוֹן </w:t>
      </w:r>
      <w:r>
        <w:rPr>
          <w:b w:val="0"/>
          <w:sz w:val="20"/>
          <w:szCs w:val="23"/>
          <w:rtl/>
        </w:rPr>
        <w:t>(במדבר יא לג)</w:t>
      </w:r>
      <w:r>
        <w:rPr>
          <w:rFonts w:cs="Arial"/>
          <w:b w:val="0"/>
          <w:bCs w:val="0"/>
          <w:szCs w:val="26"/>
          <w:rtl/>
        </w:rPr>
        <w:t xml:space="preserve"> וְאַף יהו''ה חָרָה בָעָם.</w:t>
      </w:r>
    </w:p>
    <w:p w:rsidR="006F705A" w:rsidRDefault="006F705A" w:rsidP="006F705A">
      <w:pPr>
        <w:pStyle w:val="NormalWeb"/>
        <w:rPr>
          <w:rFonts w:cs="Arial"/>
          <w:b w:val="0"/>
          <w:bCs w:val="0"/>
          <w:szCs w:val="26"/>
          <w:rtl/>
        </w:rPr>
      </w:pPr>
      <w:r>
        <w:rPr>
          <w:rFonts w:cs="Arial"/>
          <w:b w:val="0"/>
          <w:bCs w:val="0"/>
          <w:szCs w:val="26"/>
          <w:rtl/>
        </w:rPr>
        <w:t xml:space="preserve">הַדְרָא דְכַנְתָא דָא אִיהוּ </w:t>
      </w:r>
      <w:r>
        <w:rPr>
          <w:rStyle w:val="a7"/>
          <w:rFonts w:cs="Arial"/>
          <w:b w:val="0"/>
          <w:bCs w:val="0"/>
          <w:szCs w:val="26"/>
          <w:rtl/>
        </w:rPr>
        <w:footnoteReference w:id="5661"/>
      </w:r>
      <w:r>
        <w:rPr>
          <w:rFonts w:cs="Arial"/>
          <w:b w:val="0"/>
          <w:bCs w:val="0"/>
          <w:szCs w:val="26"/>
          <w:rtl/>
        </w:rPr>
        <w:t xml:space="preserve">נָחָשׁ בָּרִיחַ נָחָשׁ עֲקַלָּתוֹן, דִּזְמִינִין צַדִּיקַיָּיא לְמֵיכַל לֵיהּ. וְאִית חֵלֶב טָמֵא דְאִיהוּ נָחָשׁ, דְּאִיהוּ אֲסִיר לְמֵיכַל עַמָּא קַדִּישָׁא, בְּגִין דַּעֲלֵיהּ אִתְּמַר </w:t>
      </w:r>
      <w:r>
        <w:rPr>
          <w:b w:val="0"/>
          <w:sz w:val="20"/>
          <w:szCs w:val="23"/>
          <w:rtl/>
        </w:rPr>
        <w:t>(בראשית ג יד)</w:t>
      </w:r>
      <w:r>
        <w:rPr>
          <w:rFonts w:cs="Arial"/>
          <w:b w:val="0"/>
          <w:bCs w:val="0"/>
          <w:szCs w:val="26"/>
          <w:rtl/>
        </w:rPr>
        <w:t xml:space="preserve"> אָרוּר אַתָּה מִכָּל הַבְּהֵמָה.</w:t>
      </w:r>
    </w:p>
    <w:p w:rsidR="006F705A" w:rsidRDefault="006F705A" w:rsidP="006F705A">
      <w:pPr>
        <w:pStyle w:val="NormalWeb"/>
        <w:rPr>
          <w:rFonts w:cs="Arial"/>
          <w:b w:val="0"/>
          <w:bCs w:val="0"/>
          <w:szCs w:val="26"/>
          <w:rtl/>
        </w:rPr>
      </w:pPr>
    </w:p>
    <w:p w:rsidR="006F705A" w:rsidRDefault="006F705A" w:rsidP="0043727D">
      <w:pPr>
        <w:pStyle w:val="1"/>
        <w:rPr>
          <w:u w:val="single"/>
          <w:rtl/>
        </w:rPr>
      </w:pPr>
      <w:bookmarkStart w:id="343" w:name="_Toc228091351"/>
      <w:bookmarkStart w:id="344" w:name="_Toc231637990"/>
      <w:r>
        <w:rPr>
          <w:rtl/>
        </w:rPr>
        <w:t>תקונא רביעאה [מהדורה תנינא]</w:t>
      </w:r>
      <w:bookmarkEnd w:id="343"/>
      <w:bookmarkEnd w:id="344"/>
    </w:p>
    <w:p w:rsidR="006F705A" w:rsidRDefault="006F705A" w:rsidP="006F705A">
      <w:pPr>
        <w:pStyle w:val="a8"/>
        <w:spacing w:before="0" w:after="40"/>
        <w:rPr>
          <w:sz w:val="29"/>
          <w:rtl/>
        </w:rPr>
      </w:pPr>
      <w:bookmarkStart w:id="345" w:name="_Toc228091352"/>
      <w:bookmarkStart w:id="346" w:name="_Toc231637991"/>
      <w:r>
        <w:rPr>
          <w:rtl/>
        </w:rPr>
        <w:t>(זהו תיקון כ''ה)</w:t>
      </w:r>
      <w:bookmarkEnd w:id="345"/>
      <w:bookmarkEnd w:id="346"/>
    </w:p>
    <w:p w:rsidR="006F705A" w:rsidRDefault="006F705A" w:rsidP="006F705A">
      <w:pPr>
        <w:pStyle w:val="NormalWeb"/>
        <w:rPr>
          <w:rFonts w:cs="Arial"/>
          <w:szCs w:val="22"/>
          <w:rtl/>
        </w:rPr>
      </w:pPr>
      <w:r>
        <w:rPr>
          <w:rFonts w:cs="Arial"/>
          <w:szCs w:val="22"/>
          <w:rtl/>
        </w:rPr>
        <w:t>[י"א תיקונים מהדורא בתרא, קלט ע"ב]</w:t>
      </w:r>
    </w:p>
    <w:p w:rsidR="006F705A" w:rsidRDefault="006F705A" w:rsidP="006F705A">
      <w:pPr>
        <w:spacing w:after="40" w:line="360" w:lineRule="atLeast"/>
        <w:ind w:left="144" w:right="144" w:firstLine="288"/>
        <w:jc w:val="both"/>
        <w:rPr>
          <w:rFonts w:ascii="Arial" w:cs="Arial"/>
          <w:b/>
          <w:bCs/>
          <w:sz w:val="29"/>
          <w:szCs w:val="26"/>
          <w:rtl/>
        </w:rPr>
      </w:pPr>
      <w:r>
        <w:rPr>
          <w:rStyle w:val="Char"/>
          <w:rFonts w:cs="Arial"/>
          <w:szCs w:val="26"/>
          <w:rtl/>
        </w:rPr>
        <w:t xml:space="preserve">בְּרֵאשִׁית </w:t>
      </w:r>
      <w:r>
        <w:rPr>
          <w:rStyle w:val="a7"/>
          <w:rFonts w:ascii="Arial" w:cs="Arial"/>
          <w:b/>
          <w:bCs/>
          <w:sz w:val="29"/>
          <w:szCs w:val="26"/>
          <w:rtl/>
        </w:rPr>
        <w:footnoteReference w:id="5662"/>
      </w:r>
      <w:r>
        <w:rPr>
          <w:rStyle w:val="Char"/>
          <w:rFonts w:cs="Arial"/>
          <w:szCs w:val="26"/>
          <w:rtl/>
        </w:rPr>
        <w:t>תַּמָּן יֵ''שׁ,</w:t>
      </w:r>
      <w:r>
        <w:rPr>
          <w:rFonts w:ascii="Arial" w:cs="FrankRuehl"/>
          <w:b/>
          <w:sz w:val="29"/>
          <w:rtl/>
        </w:rPr>
        <w:t xml:space="preserve"> </w:t>
      </w:r>
      <w:r>
        <w:rPr>
          <w:rFonts w:ascii="Arial" w:hAnsi="Arial Unicode MS" w:cs="Guttman Frank"/>
          <w:b/>
          <w:szCs w:val="23"/>
          <w:rtl/>
          <w:lang w:eastAsia="he-IL"/>
        </w:rPr>
        <w:t>(משלי ח כא)</w:t>
      </w:r>
      <w:r>
        <w:rPr>
          <w:rFonts w:ascii="Arial" w:cs="Arial"/>
          <w:b/>
          <w:bCs/>
          <w:sz w:val="29"/>
          <w:szCs w:val="26"/>
          <w:rtl/>
        </w:rPr>
        <w:t xml:space="preserve"> לְהַנְחִיל אוֹהֲבַי יֵשׁ וְאוֹצְרוֹתֵיהֶם אֲמַלֵּא, וּבְגִין דְּתַמָּן אוֹצָר דְּאִיהִי יִרְאַת יהו''ה, מִנֵּיהּ אִתְמַלְיָא לְצַדִּיקַיָּא, דְּאִינוּן דָּחֲלִין לְקוּדְשָׁא בְּרִיךְ הוּא וְיָרְתִין הַאי יֵשׁ, וְעִרְבוּבְיָא בִישָׁא לָא הֲווֹ דָחֲלִין לְקוּדְשָׁא בְּרִיךְ הוּא אֶלָּא בְגִין עוּתְרָא, וַהֲווֹ מְנַסִּין לֵיהּ, כְּגַוְונָא דָא </w:t>
      </w:r>
      <w:r>
        <w:rPr>
          <w:rFonts w:ascii="Arial" w:hAnsi="Arial Unicode MS" w:cs="Guttman Frank"/>
          <w:b/>
          <w:szCs w:val="23"/>
          <w:rtl/>
          <w:lang w:eastAsia="he-IL"/>
        </w:rPr>
        <w:t>(שמות יז ז)</w:t>
      </w:r>
      <w:r>
        <w:rPr>
          <w:rFonts w:ascii="Arial" w:cs="Arial"/>
          <w:b/>
          <w:bCs/>
          <w:sz w:val="29"/>
          <w:szCs w:val="26"/>
          <w:rtl/>
        </w:rPr>
        <w:t xml:space="preserve"> הֲיֵשׁ יהו''ה בְּקִרְבֵּנוּ אִם אָיִן, וְכָל אִינוּן דִּמְנַסִּין לְקוּדְשָׁא בְּרִיךְ הוּא וְדָחֲלִין לֵיהּ בְּעוּתְרָא וְלָא דָחֲלִין מִנֵּיהּ בַּעֲנִיּוּתָא </w:t>
      </w:r>
      <w:r>
        <w:rPr>
          <w:rFonts w:ascii="Arial" w:hAnsi="Arial Unicode MS" w:cs="Guttman Frank"/>
          <w:b/>
          <w:szCs w:val="23"/>
          <w:rtl/>
          <w:lang w:eastAsia="he-IL"/>
        </w:rPr>
        <w:t>(קלט ע"ב)</w:t>
      </w:r>
      <w:r>
        <w:rPr>
          <w:rFonts w:ascii="Arial" w:cs="Arial"/>
          <w:b/>
          <w:bCs/>
          <w:sz w:val="29"/>
          <w:szCs w:val="26"/>
          <w:rtl/>
        </w:rPr>
        <w:t xml:space="preserve"> כְּמוֹ בְּעוּתְרָא, לַאו אִינוּן אֶלָּא עִרְבוּבְיָא בִישָׁא, דְּאִית יִרְאָה וְאִית יִרְאָה, אִית אַהֲבָה וְאִית אַהֲבָה, אִית מָאן דְּדָחִיל לְקוּדְשָׁא בְּרִיךְ הוּא בְּגִין דְּיֵחוּן בְּנוֹי אוֹ דְלָא נָחִית לַעֲנִיּוּתָא, אוֹ דְרָחִים לֵיהּ בְּגִין דִּיְהִיב לֵיהּ עוּתְרָא, וּמְנַסֶּה לֵיהּ כְּגוֹן נַעֲבֵיד הַאי פִּקּוּדָא הָכִי, וְנֶחזֵי הֲיֵשׁ יהו''ה בְּקִרְבֵּנוּ וְיָהִיב לָן אַגְרָא בְגִינֵיהּ אִם אָיִן, דְּאִי לָא יָהִיב לֵיהּ אַגְרָא בְגִינָהָא לָא רָחִים לֵיהּ, וְלָא יָהִיב לֵיהּ צְדָקָה וְלָא יַעֲבִיד פִּקּוּדָא, וּמְנַסֵּי לְקוּדְשָׁא בְּרִיךְ הוּא בְּכָל פִּקּוּדָא וְעוֹבָדָא, בְּוַדַּאי הַאי אִיהוּ מֵאִלֵּין עִרְבוּבְיָא בִישָׁא, דְאִתְּמַר בְּהוֹן הֲיֵשׁ יהו''ה בְּקִרְבֵּנוּ אִם אָיִן.</w:t>
      </w:r>
    </w:p>
    <w:p w:rsidR="006F705A" w:rsidRDefault="006F705A" w:rsidP="006F705A">
      <w:pPr>
        <w:spacing w:after="40" w:line="360" w:lineRule="atLeast"/>
        <w:ind w:left="144" w:right="144" w:firstLine="288"/>
        <w:jc w:val="both"/>
        <w:rPr>
          <w:rFonts w:ascii="Arial" w:cs="Arial"/>
          <w:b/>
          <w:bCs/>
          <w:sz w:val="29"/>
          <w:szCs w:val="26"/>
          <w:rtl/>
        </w:rPr>
      </w:pPr>
      <w:r>
        <w:rPr>
          <w:rFonts w:ascii="Arial" w:cs="Arial"/>
          <w:b/>
          <w:bCs/>
          <w:sz w:val="29"/>
          <w:szCs w:val="26"/>
          <w:rtl/>
        </w:rPr>
        <w:t xml:space="preserve">אֶלָּא רְחִימוּ וּדְחִילוּ דְקוּדְשָׁא בְּרִיךְ הוּא, שְׁלִים בְּכָל פִּקּוּדָא וּפִקּוּדָא דְעָבִיד, בֵּין דִּיְהִיב לֵיהּ אַגְרָא בְטִיבוּ בֵין דְּלָא יְהִיב לֵיהּ, וּבְגִין דָּא מַנִּי בְאוֹרַיְיתָא </w:t>
      </w:r>
      <w:r>
        <w:rPr>
          <w:rFonts w:ascii="Arial" w:cs="FrankRuehl"/>
          <w:b/>
          <w:rtl/>
        </w:rPr>
        <w:t>(דברים ו ד)</w:t>
      </w:r>
      <w:r>
        <w:rPr>
          <w:rFonts w:ascii="Arial" w:cs="Arial"/>
          <w:b/>
          <w:bCs/>
          <w:sz w:val="29"/>
          <w:szCs w:val="26"/>
          <w:rtl/>
        </w:rPr>
        <w:t xml:space="preserve"> וְאָהַבְתָּ אֵת יהו''ה אלהי''ך בְּכָל לְבָבְךָ וּבְכָל נַפְשְׁךָ וּבְכָל מְאֹדֶךָ, וְאוּקְמוּהוּ קַדְמָאִין, אִם חָבִיב עָלֶיךָ נַפְשְׁךָ מִמָּמוֹנְךָ לְכַךְ נֶאֱמַר בְּכָל נַפְשְׁךָ, וְאִם חָבִיב עָלֶיךָ מָמוֹנְךָ מִנַּפְשְׁךָ לְכַךְ נֶאֱמַר בְּכָל מְאֹדֶךָ, דְּאִית בַּר נַשׁ דְּאָזִיל בְּכָל פִּקּוּדִין וְצַלִּי דְּיָהִיב לַן אַגְרָא, וְאִם לָא יָהִיב אַגְרָא עֲלַיְיהוּ לָא הֲוָה עָבִיד לוֹן, </w:t>
      </w:r>
      <w:r>
        <w:rPr>
          <w:rStyle w:val="a7"/>
          <w:rFonts w:ascii="Arial" w:cs="Arial"/>
          <w:b/>
          <w:bCs/>
          <w:sz w:val="29"/>
          <w:szCs w:val="26"/>
          <w:rtl/>
        </w:rPr>
        <w:footnoteReference w:id="5663"/>
      </w:r>
      <w:r>
        <w:rPr>
          <w:rFonts w:ascii="Arial" w:cs="Arial"/>
          <w:b/>
          <w:bCs/>
          <w:sz w:val="29"/>
          <w:szCs w:val="26"/>
          <w:rtl/>
        </w:rPr>
        <w:t>דְּוַדַּאי סַגִּיאִין אִינוּן מִבְּנֵי נָשָׁא דְאִינוּן עֲתִירִין בְּעוּתְרָא סַגִּיא, וְאִינוּן חֲבִיבִין עוּתְרָא דִלְהוֹן יַתִּיר מִנִּשְׁמָתָא דִלְהוֹן, דְּעוּתְרָא דְנַפְשָׁא אִיהוּ פִּקּוּדִין טָבִין בְּעָלְמָא דְאָתֵי, וְעוּתְרָא דְגוּפָא מָמוֹנָא וְעִדּוּנָא בְעָלְמָא דֵין.</w:t>
      </w:r>
    </w:p>
    <w:p w:rsidR="006F705A" w:rsidRDefault="006F705A" w:rsidP="006F705A">
      <w:pPr>
        <w:spacing w:after="40" w:line="360" w:lineRule="atLeast"/>
        <w:ind w:left="144" w:right="144" w:firstLine="288"/>
        <w:jc w:val="both"/>
        <w:rPr>
          <w:rFonts w:ascii="Arial" w:cs="Arial"/>
          <w:b/>
          <w:bCs/>
          <w:sz w:val="29"/>
          <w:szCs w:val="26"/>
          <w:rtl/>
        </w:rPr>
      </w:pPr>
      <w:r>
        <w:rPr>
          <w:rFonts w:ascii="Arial" w:cs="Arial"/>
          <w:b/>
          <w:bCs/>
          <w:sz w:val="29"/>
          <w:szCs w:val="26"/>
          <w:rtl/>
        </w:rPr>
        <w:t xml:space="preserve">וְאִינוּן דִּמְחַבְבִין מָמוֹנָא מִנַּפְשָׁא, אִם הֲווֹ יָהֲבִין לֵיהּ כָּל אוֹרַיְיתָא בְּמֵאָה זוּזֵי לָא הֲווֹ יָהֲבִין לְהוּ בְּגִינָהּ, בְּגִין דְּמָמוֹנָא חָבִיב עֲלַיְיהוּ מִנַּפְשָׁא, וּמַה דְּדָחִיל וְרָחִים לֵיהּ לַאו אִיהוּ אֶלָּא בְגִין מָמוֹנָא, הַאי דְּשַׁוִּי מָמוֹנָא עִקָּרָא וְאוֹרַיְיתָא דְרָחִים קוּדְשָׁא בְּרִיךְ הוּא טָפֵל, הַאי רְחִימוּ וּדְחִילוּ לָא חָשִׁיב לֵיהּ קוּדְשָׁא בְּרִיךְ הוּא, אֶלָּא עִקָּרָא דִרְחִימוּ וּדְחִילוּ דְקוּדְשָׁא בְּרִיךְ הוּא, דְאַף עַל גַּב דְּאִיהוּ רָחִים מָמוֹנֵיהּ מִנַּפְשֵׁיהּ, דְּיִרְחֵים לֵיהּ בְּמָמוֹנֵיהּ, בַּמֶּה דְּאִיהוּ חָשִׁיב עֲלֵיהּ, וְלָא בְטָפֵל דִּילֵיהּ, לְכַךְ נֶאֱמַר בְּכָל מְאֹדֶךָ, </w:t>
      </w:r>
      <w:r>
        <w:rPr>
          <w:rStyle w:val="a7"/>
          <w:rFonts w:ascii="Arial" w:cs="Arial"/>
          <w:b/>
          <w:bCs/>
          <w:sz w:val="29"/>
          <w:szCs w:val="26"/>
          <w:rtl/>
        </w:rPr>
        <w:footnoteReference w:id="5664"/>
      </w:r>
      <w:r>
        <w:rPr>
          <w:rFonts w:ascii="Arial" w:cs="Arial"/>
          <w:b/>
          <w:bCs/>
          <w:sz w:val="29"/>
          <w:szCs w:val="26"/>
          <w:rtl/>
        </w:rPr>
        <w:t>וְכֵן אִית מָאן דְּחָשִׁיב נַפְשָׁא מִמָּמוֹנָא, וַהֲוָה יָהֵיב כָּל מָמוֹנָא דְעָלְמָא וְלָא הֲוָה נָזִיק אֲפִילוּ בְּאֵבָרָא זְעִירָא דְאִית בֵּיהּ, לְכַךְ נֶאֱמַר בְּכָל נַפְשְׁךָ בְּמַאי דְרָחִים לֵיהּ.</w:t>
      </w:r>
    </w:p>
    <w:p w:rsidR="006F705A" w:rsidRDefault="006F705A" w:rsidP="006F705A">
      <w:pPr>
        <w:pStyle w:val="a8"/>
        <w:spacing w:before="0" w:after="40"/>
        <w:rPr>
          <w:rtl/>
        </w:rPr>
      </w:pPr>
      <w:bookmarkStart w:id="347" w:name="_Toc228091353"/>
      <w:bookmarkStart w:id="348" w:name="_Toc231637992"/>
    </w:p>
    <w:p w:rsidR="006F705A" w:rsidRDefault="006F705A" w:rsidP="0043727D">
      <w:pPr>
        <w:pStyle w:val="1"/>
        <w:rPr>
          <w:u w:val="single"/>
          <w:rtl/>
        </w:rPr>
      </w:pPr>
      <w:r>
        <w:rPr>
          <w:rtl/>
        </w:rPr>
        <w:t>תקונא חמישאה [מהדורה תנינא]</w:t>
      </w:r>
      <w:bookmarkEnd w:id="347"/>
      <w:bookmarkEnd w:id="348"/>
    </w:p>
    <w:p w:rsidR="006F705A" w:rsidRDefault="006F705A" w:rsidP="006F705A">
      <w:pPr>
        <w:spacing w:after="40" w:line="360" w:lineRule="atLeast"/>
        <w:ind w:left="144" w:right="144" w:firstLine="288"/>
        <w:jc w:val="both"/>
        <w:rPr>
          <w:rFonts w:ascii="Arial" w:cs="FrankRuehl"/>
          <w:b/>
          <w:sz w:val="29"/>
          <w:rtl/>
        </w:rPr>
      </w:pPr>
      <w:r>
        <w:rPr>
          <w:rFonts w:ascii="Arial" w:cs="FrankRuehl"/>
          <w:b/>
          <w:rtl/>
        </w:rPr>
        <w:t>(זהו תקון כ''ו)</w:t>
      </w:r>
    </w:p>
    <w:p w:rsidR="006F705A" w:rsidRDefault="006F705A" w:rsidP="006F705A">
      <w:pPr>
        <w:pStyle w:val="NormalWeb"/>
        <w:rPr>
          <w:rFonts w:cs="Arial"/>
          <w:b w:val="0"/>
          <w:bCs w:val="0"/>
          <w:szCs w:val="26"/>
          <w:rtl/>
        </w:rPr>
      </w:pPr>
      <w:r>
        <w:rPr>
          <w:rStyle w:val="a7"/>
          <w:rFonts w:cs="Arial"/>
          <w:b w:val="0"/>
          <w:bCs w:val="0"/>
          <w:szCs w:val="26"/>
          <w:rtl/>
        </w:rPr>
        <w:footnoteReference w:id="5665"/>
      </w:r>
      <w:r>
        <w:rPr>
          <w:rStyle w:val="Char"/>
          <w:rFonts w:cs="Arial"/>
          <w:szCs w:val="26"/>
          <w:rtl/>
        </w:rPr>
        <w:t>בְּרֵאשִׁית</w:t>
      </w:r>
      <w:r>
        <w:rPr>
          <w:b w:val="0"/>
          <w:szCs w:val="23"/>
          <w:rtl/>
        </w:rPr>
        <w:t xml:space="preserve"> </w:t>
      </w:r>
      <w:r>
        <w:rPr>
          <w:b w:val="0"/>
          <w:sz w:val="20"/>
          <w:szCs w:val="23"/>
          <w:rtl/>
        </w:rPr>
        <w:t>(ישעיה סו טז)</w:t>
      </w:r>
      <w:r>
        <w:rPr>
          <w:rFonts w:cs="Arial"/>
          <w:b w:val="0"/>
          <w:bCs w:val="0"/>
          <w:szCs w:val="26"/>
          <w:rtl/>
        </w:rPr>
        <w:t xml:space="preserve"> כִּי בָאֵשׁ יהו''ה נִשְׁפָּט, אלהי''ם מָארֵי דְּדִינָא, וַעֲלֵיהּ אִתְּמַר </w:t>
      </w:r>
      <w:r>
        <w:rPr>
          <w:b w:val="0"/>
          <w:sz w:val="20"/>
          <w:szCs w:val="23"/>
          <w:rtl/>
        </w:rPr>
        <w:t>(שמות כב כז)</w:t>
      </w:r>
      <w:r>
        <w:rPr>
          <w:rFonts w:cs="Arial"/>
          <w:b w:val="0"/>
          <w:bCs w:val="0"/>
          <w:szCs w:val="26"/>
          <w:rtl/>
        </w:rPr>
        <w:t xml:space="preserve"> אלהי''ם לֹא תְקַלֵּל, בְּוַדַּאי כְּמָה דִלְעִילָא אִתְּמַר </w:t>
      </w:r>
      <w:r>
        <w:rPr>
          <w:b w:val="0"/>
          <w:sz w:val="20"/>
          <w:szCs w:val="23"/>
          <w:rtl/>
        </w:rPr>
        <w:t>(תהלים עה ח)</w:t>
      </w:r>
      <w:r>
        <w:rPr>
          <w:rFonts w:cs="Arial"/>
          <w:b w:val="0"/>
          <w:bCs w:val="0"/>
          <w:szCs w:val="26"/>
          <w:rtl/>
        </w:rPr>
        <w:t xml:space="preserve"> כִּי אלהי''ם שֹׁפֵט זֶה יַשְׁפִּיל וְזֶה יָרִים, כַּךְ אִיהוּ צָרִיךְ לְמֶהֱוִי דַיָּינָא לְתַתָּא, לְדָא יַשְׁפִּיל בְּדִינָא וּלְדָא יָרִים, כְּפוּם עוֹבָדוֹי, </w:t>
      </w:r>
      <w:r>
        <w:rPr>
          <w:rStyle w:val="a7"/>
          <w:rFonts w:cs="Arial"/>
          <w:b w:val="0"/>
          <w:bCs w:val="0"/>
          <w:szCs w:val="26"/>
          <w:rtl/>
        </w:rPr>
        <w:footnoteReference w:id="5666"/>
      </w:r>
      <w:r>
        <w:rPr>
          <w:rFonts w:cs="Arial"/>
          <w:b w:val="0"/>
          <w:bCs w:val="0"/>
          <w:szCs w:val="26"/>
          <w:rtl/>
        </w:rPr>
        <w:t xml:space="preserve">לְדָא מַטֶּה כְּלַפֵּי חֶסֶד, לְדָא כְּלַפֵּי גְבוּרָה, אֱמֶת בְּאֶמְצָעִיתָא, וּבְגִין דָּא אִתְקְרֵי דַּיָּין אֱמֶת, </w:t>
      </w:r>
      <w:r>
        <w:rPr>
          <w:rStyle w:val="a7"/>
          <w:rFonts w:cs="Arial"/>
          <w:b w:val="0"/>
          <w:bCs w:val="0"/>
          <w:szCs w:val="26"/>
          <w:rtl/>
        </w:rPr>
        <w:footnoteReference w:id="5667"/>
      </w:r>
      <w:r>
        <w:rPr>
          <w:rFonts w:cs="Arial"/>
          <w:b w:val="0"/>
          <w:bCs w:val="0"/>
          <w:szCs w:val="26"/>
          <w:rtl/>
        </w:rPr>
        <w:t>אלהי''ם הַכִּסֵּ''א בְּחוּשְׁבָּן, דְּתַמָּן י''ה דְּאִיהִי חָכְמָה וּבִינָה, זֶה שְּׁמִי עִם י''ה שְׁסָ''ה מִסִּטְרָא דִשְׂמָאלָא, וְדָא י''ה מִן אלהי''ם, ה' עַל י' נוּקְבָא.</w:t>
      </w:r>
    </w:p>
    <w:p w:rsidR="006F705A" w:rsidRDefault="006F705A" w:rsidP="006F705A">
      <w:pPr>
        <w:pStyle w:val="NormalWeb"/>
        <w:rPr>
          <w:rFonts w:cs="Arial"/>
          <w:szCs w:val="22"/>
          <w:rtl/>
        </w:rPr>
      </w:pPr>
      <w:r>
        <w:rPr>
          <w:rFonts w:cs="Arial"/>
          <w:szCs w:val="22"/>
          <w:rtl/>
        </w:rPr>
        <w:t>[י"א תיקונים מהדורא בתרא, קמ ע"א]</w:t>
      </w:r>
    </w:p>
    <w:p w:rsidR="006F705A" w:rsidRDefault="006F705A" w:rsidP="006F705A">
      <w:pPr>
        <w:pStyle w:val="NormalWeb"/>
        <w:rPr>
          <w:rFonts w:cs="Arial"/>
          <w:b w:val="0"/>
          <w:bCs w:val="0"/>
          <w:szCs w:val="26"/>
          <w:rtl/>
        </w:rPr>
      </w:pPr>
      <w:r>
        <w:rPr>
          <w:rStyle w:val="a7"/>
          <w:rFonts w:cs="Arial"/>
          <w:b w:val="0"/>
          <w:bCs w:val="0"/>
          <w:szCs w:val="26"/>
          <w:rtl/>
        </w:rPr>
        <w:footnoteReference w:id="5668"/>
      </w:r>
      <w:r>
        <w:rPr>
          <w:rFonts w:cs="Arial"/>
          <w:b w:val="0"/>
          <w:bCs w:val="0"/>
          <w:szCs w:val="26"/>
          <w:rtl/>
        </w:rPr>
        <w:t xml:space="preserve">וְכַד דַּיָּין אִיהוּ דָן, צָרִיךְ לְמֶהֱוִי אִיהוּ יָתֵיב וּבַעֲלֵי דִינָא קַיְימִין, כְּגַוְונָא דִלְעִילָא, דְאִתְּמַר בְּקוּדְשָׁא בְּרִיךְ הוּא </w:t>
      </w:r>
      <w:r>
        <w:rPr>
          <w:b w:val="0"/>
          <w:sz w:val="20"/>
          <w:szCs w:val="23"/>
          <w:rtl/>
        </w:rPr>
        <w:t>(איוב א ו)</w:t>
      </w:r>
      <w:r>
        <w:rPr>
          <w:rFonts w:cs="Arial"/>
          <w:b w:val="0"/>
          <w:bCs w:val="0"/>
          <w:szCs w:val="26"/>
          <w:rtl/>
        </w:rPr>
        <w:t xml:space="preserve"> וַיָּבֹאוּ בְּנֵי הָאלהי''ם לְהִתְיַצֵּב עַל יהו''ה, אִיהוּ יָתֵיב, וְאִינוּן קַיְימִין לְמִתְּבַע דִּינָא, וּבְגִין דְּשָׂטָן יֵעוּל בֵּינַיְיהוּ לְמִתְּבַע חוֹבֵיהוֹן דִּבְנֵי יִשְׂרָאֵל, אִינוּן בְּמַטּוּלָא עֲלֵיהּ, עַד דַּהֲוָה דָן לְהוֹן וְדָא אִיהוּ לְהִתְיַצֵּב עַל יהו''ה, וְעוֹד לְהִתְיַצֵּב עַל יהו''ה, לְשַׁאֲלָא וּלְמִתְּבַע דִּינָא לְגַבֵּי </w:t>
      </w:r>
      <w:r>
        <w:rPr>
          <w:b w:val="0"/>
          <w:sz w:val="20"/>
          <w:szCs w:val="23"/>
          <w:rtl/>
        </w:rPr>
        <w:t>(נ''א קמי)</w:t>
      </w:r>
      <w:r>
        <w:rPr>
          <w:rFonts w:cs="Arial"/>
          <w:b w:val="0"/>
          <w:bCs w:val="0"/>
          <w:szCs w:val="26"/>
          <w:rtl/>
        </w:rPr>
        <w:t xml:space="preserve"> קוּדְשָׁא בְּרִיךְ הוּא יהו''ה, כַּד נָהִיג עָלְמָא </w:t>
      </w:r>
      <w:r>
        <w:rPr>
          <w:b w:val="0"/>
          <w:sz w:val="20"/>
          <w:szCs w:val="23"/>
          <w:rtl/>
        </w:rPr>
        <w:t>(קמ ע"א)</w:t>
      </w:r>
      <w:r>
        <w:rPr>
          <w:rFonts w:cs="Arial"/>
          <w:b w:val="0"/>
          <w:bCs w:val="0"/>
          <w:szCs w:val="26"/>
          <w:rtl/>
        </w:rPr>
        <w:t xml:space="preserve"> בְּרַחֲמִין, וּמְקַטְרְגִין וְתָבְעִין דִּינָא, וְדָא אִיהוּ לְהִתְיַצֵּב עַל יהו''ה. וְתוּ לְהִתְיַצֵּב עַל יהו''ה, יהו''ה עַמּוּדָא דְאֶמְצָעִיתָא, דְשָׁאֲלִין וְתָבְעִין דִּינָא מִגְּבוּרָה בֵּי דִינָא רַבְרְבָא, דְקַיְימָא עַל עַמּוּדָא דְאֶמְצָעִיתָא, וְדָא הוּא עַל יהו''ה, עַל דִּמְקָרְבִין דִּינִין קֳדָם גְּבוּרָה אִתְּמַר בְּהוֹן </w:t>
      </w:r>
      <w:r>
        <w:rPr>
          <w:rStyle w:val="a7"/>
          <w:rFonts w:cs="Arial"/>
          <w:b w:val="0"/>
          <w:bCs w:val="0"/>
          <w:szCs w:val="26"/>
          <w:rtl/>
        </w:rPr>
        <w:footnoteReference w:id="5669"/>
      </w:r>
      <w:r>
        <w:rPr>
          <w:rFonts w:cs="Arial"/>
          <w:b w:val="0"/>
          <w:bCs w:val="0"/>
          <w:szCs w:val="26"/>
          <w:rtl/>
        </w:rPr>
        <w:t>לְהִתְיַצֵּב עַל יהו''ה, דְּאַף עַל גַּב דְּבְנוֹי אִינוּן יִשְׂרָאֵל, לֵית לַן רְשׁוּ לְאַעֲבָרָא עַל דִּינָא, דְּאוֹרַיְיתָא בְּדִינָא אִתְיְיהִיבַת, וְאוֹמֵי עֲלָהּ דְּלָא יַעֲבַר עֲלָהּ, וּלְגַבֵּי דִינָא גְּבוּרָה אִיהִי בְּאֶמְצָעִיתָא, וְחֶסֶד מִימִינָא, וְעַמּוּדָא דְּאֶמְצָעִיתָא מִשְּׂמָאלָא, וְכָל דִּינִין מֵהַאי אֲתַר תַּלְיָין, וְכָל סְפִירָן כֻּלְּהוּ אִתְקְרִיאוּ דִינִין גְּבוּרָה וַאֲפִילוּ יהו''ה.</w:t>
      </w:r>
    </w:p>
    <w:p w:rsidR="006F705A" w:rsidRDefault="006F705A" w:rsidP="006F705A">
      <w:pPr>
        <w:pStyle w:val="NormalWeb"/>
        <w:rPr>
          <w:rFonts w:cs="Arial"/>
          <w:b w:val="0"/>
          <w:bCs w:val="0"/>
          <w:szCs w:val="26"/>
          <w:rtl/>
        </w:rPr>
      </w:pPr>
      <w:r>
        <w:rPr>
          <w:rFonts w:cs="Arial"/>
          <w:b w:val="0"/>
          <w:bCs w:val="0"/>
          <w:szCs w:val="26"/>
          <w:rtl/>
        </w:rPr>
        <w:t xml:space="preserve">דִּינָא חֲדָא אִתְקְרֵי דִין לָדוּן בְּחֶנֶק, וְאִתְּמַר </w:t>
      </w:r>
      <w:r>
        <w:rPr>
          <w:b w:val="0"/>
          <w:sz w:val="20"/>
          <w:szCs w:val="23"/>
          <w:rtl/>
        </w:rPr>
        <w:t>(דברים כא כג)</w:t>
      </w:r>
      <w:r>
        <w:rPr>
          <w:rFonts w:cs="Arial"/>
          <w:b w:val="0"/>
          <w:bCs w:val="0"/>
          <w:szCs w:val="26"/>
          <w:rtl/>
        </w:rPr>
        <w:t xml:space="preserve"> לֹא תָלִין נִבְלָתוֹ עַל הָעִץ. </w:t>
      </w:r>
      <w:r>
        <w:rPr>
          <w:rStyle w:val="a7"/>
          <w:rFonts w:cs="Arial"/>
          <w:b w:val="0"/>
          <w:bCs w:val="0"/>
          <w:szCs w:val="26"/>
          <w:rtl/>
        </w:rPr>
        <w:footnoteReference w:id="5670"/>
      </w:r>
      <w:r>
        <w:rPr>
          <w:rFonts w:cs="Arial"/>
          <w:b w:val="0"/>
          <w:bCs w:val="0"/>
          <w:szCs w:val="26"/>
          <w:rtl/>
        </w:rPr>
        <w:t xml:space="preserve">אָמַר לֵיהּ אֶלְעָזָר בְּרִי, הָכָא צָרִיךְ לְחַדְּשָׁא מִלִּין, אִית עִץ וְאִית עִץ, הֲדָא הוּא דִכְתִיב </w:t>
      </w:r>
      <w:r>
        <w:rPr>
          <w:b w:val="0"/>
          <w:sz w:val="20"/>
          <w:szCs w:val="23"/>
          <w:rtl/>
        </w:rPr>
        <w:t>(שם כ יט)</w:t>
      </w:r>
      <w:r>
        <w:rPr>
          <w:rFonts w:cs="Arial"/>
          <w:b w:val="0"/>
          <w:bCs w:val="0"/>
          <w:szCs w:val="26"/>
          <w:rtl/>
        </w:rPr>
        <w:t xml:space="preserve"> כִּי הָאָדָם עִץ הַשָּׂדֶה, וְחוֹבָא דְאָדָם קַדְמָאָה אִיהוּ נִבְלָתוֹ, דְאִיהִי עִץ הַדַּעַת טוֹב וָרָע, וּמָאן דְאִיהִי עִץ הַחַיִּים, לָא צָרִיךְ לְתַלְיָיא בֵיהּ חוֹבָא דָא, הֲדָא הוּא דִכְתִיב לֹא תָלִין נִבְלָתוֹ עַל הָעִץ, דְּמָאן דְּאָכַל מֵעִץ דִּילֵיהּ דְּאִיהוּ עִץ הַחַיִּים, אִתְּמַר בֵּיהּ </w:t>
      </w:r>
      <w:r>
        <w:rPr>
          <w:b w:val="0"/>
          <w:sz w:val="20"/>
          <w:szCs w:val="23"/>
          <w:rtl/>
        </w:rPr>
        <w:t>(בראשית נ כב)</w:t>
      </w:r>
      <w:r>
        <w:rPr>
          <w:rFonts w:cs="Arial"/>
          <w:b w:val="0"/>
          <w:bCs w:val="0"/>
          <w:szCs w:val="26"/>
          <w:rtl/>
        </w:rPr>
        <w:t xml:space="preserve"> וְאָכַל וָחַי לְעוֹלָם.</w:t>
      </w:r>
    </w:p>
    <w:p w:rsidR="006F705A" w:rsidRDefault="006F705A" w:rsidP="006F705A">
      <w:pPr>
        <w:pStyle w:val="NormalWeb"/>
        <w:rPr>
          <w:rFonts w:cs="Arial"/>
          <w:b w:val="0"/>
          <w:bCs w:val="0"/>
          <w:szCs w:val="26"/>
          <w:rtl/>
        </w:rPr>
      </w:pPr>
      <w:r>
        <w:rPr>
          <w:rFonts w:cs="Arial"/>
          <w:b w:val="0"/>
          <w:bCs w:val="0"/>
          <w:szCs w:val="26"/>
          <w:rtl/>
        </w:rPr>
        <w:t xml:space="preserve">וְעוֹד לֹא תָלִין נִבְלָתוֹ עַל הָעִץ, עִץ דְּהָכָא דָא תַלְמִיד חָכָם דְּאִשְׁתַּדַּל בְּאוֹרַיְיתָא דְּאִיהִי עִץ הַחַיִּים, הֲדָא הוּא דִכְתִיב </w:t>
      </w:r>
      <w:r>
        <w:rPr>
          <w:b w:val="0"/>
          <w:sz w:val="20"/>
          <w:szCs w:val="23"/>
          <w:rtl/>
        </w:rPr>
        <w:t>(משלי ג יח)</w:t>
      </w:r>
      <w:r>
        <w:rPr>
          <w:rFonts w:cs="Arial"/>
          <w:b w:val="0"/>
          <w:bCs w:val="0"/>
          <w:szCs w:val="26"/>
          <w:rtl/>
        </w:rPr>
        <w:t xml:space="preserve"> עִץ חַיִּים הִיא לַמַּחֲזִיקִים בָּהּ, לֹא תָלִין בּוֹ נִבְלָתוֹ, דְאִיהִי חוֹבָה דְּחָב בְּיוֹמָא לֹא תָלִין עִמֵּיהּ בַּלַּיְלָה, דְמִיָּד יְתוּב בִּתְיוּבְתָּא, כְּמָה דְאוּקְמוּהָ מָארֵי מַתְנִיתִין אִם רָאִיתָ תַּלְמִיד חָכָם שֶׁחָטָא בַּיּוֹם אַל תְּהַרְהֵר אַחֲרָיו בַּלַּיְלָה, דְוַדַּאי עָשָׂה תְּשׁוּבָה, </w:t>
      </w:r>
      <w:r>
        <w:rPr>
          <w:b w:val="0"/>
          <w:sz w:val="20"/>
          <w:szCs w:val="23"/>
          <w:rtl/>
        </w:rPr>
        <w:t>(נ''א שמא עשה תשובה, שמא סלקא דעתך, אלא אימא ודאי עשה תשובה)</w:t>
      </w:r>
      <w:r>
        <w:rPr>
          <w:rFonts w:cs="Arial"/>
          <w:b w:val="0"/>
          <w:bCs w:val="0"/>
          <w:szCs w:val="26"/>
          <w:rtl/>
        </w:rPr>
        <w:t>.</w:t>
      </w:r>
    </w:p>
    <w:p w:rsidR="006F705A" w:rsidRDefault="006F705A" w:rsidP="006F705A">
      <w:pPr>
        <w:pStyle w:val="NormalWeb"/>
        <w:rPr>
          <w:rFonts w:cs="Arial"/>
          <w:b w:val="0"/>
          <w:bCs w:val="0"/>
          <w:szCs w:val="26"/>
          <w:rtl/>
        </w:rPr>
      </w:pPr>
      <w:r>
        <w:rPr>
          <w:rFonts w:cs="Arial"/>
          <w:b w:val="0"/>
          <w:bCs w:val="0"/>
          <w:szCs w:val="26"/>
          <w:rtl/>
        </w:rPr>
        <w:t xml:space="preserve">וְעוֹד לֹא תָלִין נִבְלָתוֹ עַל הָעִץ, דָּא תַּלְמִיד חָכָם, נִבְלָתוֹ דָּא בַּת עַם הָאָרֶץ </w:t>
      </w:r>
      <w:r>
        <w:rPr>
          <w:rStyle w:val="a7"/>
          <w:rFonts w:cs="Arial"/>
          <w:b w:val="0"/>
          <w:bCs w:val="0"/>
          <w:szCs w:val="26"/>
          <w:rtl/>
        </w:rPr>
        <w:footnoteReference w:id="5671"/>
      </w:r>
      <w:r>
        <w:rPr>
          <w:rFonts w:cs="Arial"/>
          <w:b w:val="0"/>
          <w:bCs w:val="0"/>
          <w:szCs w:val="26"/>
          <w:rtl/>
        </w:rPr>
        <w:t xml:space="preserve">דְּאִיהִי רִיחֲשָׁא, דְאִם אַנְתְּ תַּלְיָא לָהּ בֵּיהּ, </w:t>
      </w:r>
      <w:r>
        <w:rPr>
          <w:rStyle w:val="a7"/>
          <w:rFonts w:cs="Arial"/>
          <w:b w:val="0"/>
          <w:bCs w:val="0"/>
          <w:szCs w:val="26"/>
          <w:rtl/>
        </w:rPr>
        <w:footnoteReference w:id="5672"/>
      </w:r>
      <w:r>
        <w:rPr>
          <w:rFonts w:cs="Arial"/>
          <w:b w:val="0"/>
          <w:bCs w:val="0"/>
          <w:szCs w:val="26"/>
          <w:rtl/>
        </w:rPr>
        <w:t xml:space="preserve">אוֹ קוֹבְרָהּ אוֹ קוֹבְרָתוֹ, וְדָא אִיהוּ </w:t>
      </w:r>
      <w:r>
        <w:rPr>
          <w:b w:val="0"/>
          <w:sz w:val="20"/>
          <w:szCs w:val="23"/>
          <w:rtl/>
        </w:rPr>
        <w:t>(דברים כא כג)</w:t>
      </w:r>
      <w:r>
        <w:rPr>
          <w:rFonts w:cs="Arial"/>
          <w:b w:val="0"/>
          <w:bCs w:val="0"/>
          <w:szCs w:val="26"/>
          <w:rtl/>
        </w:rPr>
        <w:t xml:space="preserve"> כִּי קָבוֹר תִּקְבְּרֶנּוּ, כִּי קָבוֹר הוּא לָהּ אוֹ תִּקְבְּרֶנּוּ אִיהִי לֵיהּ, וְאִתְּתָא דָא לַאו אִקְרֵי זִוּוּגָא וְיִחוּדָא דִילֵיהּ, אֶלָּא אִיהִי כְּמַטּוּלָא תַלְיָא עֲלֵיהּ, כְּחִוְיָא קָשִׁיר עַל קְדָלֵיהּ, וּבְגִין דָּא </w:t>
      </w:r>
      <w:r>
        <w:rPr>
          <w:b w:val="0"/>
          <w:sz w:val="20"/>
          <w:szCs w:val="23"/>
          <w:rtl/>
        </w:rPr>
        <w:t>(שם)</w:t>
      </w:r>
      <w:r>
        <w:rPr>
          <w:rFonts w:cs="Arial"/>
          <w:b w:val="0"/>
          <w:bCs w:val="0"/>
          <w:szCs w:val="26"/>
          <w:rtl/>
        </w:rPr>
        <w:t xml:space="preserve"> כִּי קִלְלַת אלהי''ם תָּלוּי, דְּאִיהִי קְלָלָה, דְקַטִּילַת לֵיהּ אוֹ אַיְיתֵי לֵיהּ לִידֵי עֲנִיּוּתָא.</w:t>
      </w:r>
    </w:p>
    <w:p w:rsidR="006F705A" w:rsidRDefault="006F705A" w:rsidP="006F705A">
      <w:pPr>
        <w:pStyle w:val="NormalWeb"/>
        <w:rPr>
          <w:rFonts w:cs="Arial"/>
          <w:b w:val="0"/>
          <w:bCs w:val="0"/>
          <w:szCs w:val="26"/>
          <w:rtl/>
        </w:rPr>
      </w:pPr>
      <w:r>
        <w:rPr>
          <w:rFonts w:cs="Arial"/>
          <w:b w:val="0"/>
          <w:bCs w:val="0"/>
          <w:szCs w:val="26"/>
          <w:rtl/>
        </w:rPr>
        <w:t xml:space="preserve">דָבָר אַחֵר לֹא תָלִין נִבְלָתוֹ עַל הָעִץ, דָּא שַׁבָּת, דְּיָרִית בֵּיהּ בַּר נַשׁ נְשָׁמָה יְתֵירָה, לָא צָרִיךְ לְאִתְחַזְיָא קֳדָמָהָא נַפְשָׁא דְשָׁלְטָא בְּבַר נַשׁ בְּיוֹמִין דְּחוֹל, בִּמְלָאכָה דְאִיהִי אֲסוּרָה בְשַׁבָּת, אֶלָּא קָבוֹר תִּקְבְּרֶנּוּ בַּיּוֹם הַהוּא, דְלָא אִתְחַזְיָא קֳדָם זָכוֹר וְשָׁמוֹר דְּשַׁבָּת, וּבְגִינָהּ אִתְּמַר </w:t>
      </w:r>
      <w:r>
        <w:rPr>
          <w:b w:val="0"/>
          <w:sz w:val="20"/>
          <w:szCs w:val="23"/>
          <w:rtl/>
        </w:rPr>
        <w:t>(שמות ה ה)</w:t>
      </w:r>
      <w:r>
        <w:rPr>
          <w:rFonts w:cs="Arial"/>
          <w:b w:val="0"/>
          <w:bCs w:val="0"/>
          <w:szCs w:val="26"/>
          <w:rtl/>
        </w:rPr>
        <w:t xml:space="preserve"> </w:t>
      </w:r>
      <w:r>
        <w:rPr>
          <w:rStyle w:val="a7"/>
          <w:rFonts w:cs="Arial"/>
          <w:b w:val="0"/>
          <w:bCs w:val="0"/>
          <w:szCs w:val="26"/>
          <w:rtl/>
        </w:rPr>
        <w:footnoteReference w:id="5673"/>
      </w:r>
      <w:r>
        <w:rPr>
          <w:rFonts w:cs="Arial"/>
          <w:b w:val="0"/>
          <w:bCs w:val="0"/>
          <w:szCs w:val="26"/>
          <w:rtl/>
        </w:rPr>
        <w:t xml:space="preserve">שַׁל נְעָלֶיךָ מֵעַל רַגְלֶיךָ כִּי הַמָּקוֹם אֲשֶׁר אַתָּה עוֹמֵד עָלָיו אַדְמַת קֹדֶשׁ הוּא, </w:t>
      </w:r>
      <w:r>
        <w:rPr>
          <w:b w:val="0"/>
          <w:sz w:val="20"/>
          <w:szCs w:val="23"/>
          <w:rtl/>
        </w:rPr>
        <w:t>(דברים כא כג)</w:t>
      </w:r>
      <w:r>
        <w:rPr>
          <w:rFonts w:cs="Arial"/>
          <w:b w:val="0"/>
          <w:bCs w:val="0"/>
          <w:szCs w:val="26"/>
          <w:rtl/>
        </w:rPr>
        <w:t xml:space="preserve"> וְלֹא תְטַמֵּא אֶת אַדְמָתְךָ, </w:t>
      </w:r>
      <w:r>
        <w:rPr>
          <w:rStyle w:val="a7"/>
          <w:rFonts w:cs="Arial"/>
          <w:b w:val="0"/>
          <w:bCs w:val="0"/>
          <w:szCs w:val="26"/>
          <w:rtl/>
        </w:rPr>
        <w:footnoteReference w:id="5674"/>
      </w:r>
      <w:r>
        <w:rPr>
          <w:rFonts w:cs="Arial"/>
          <w:b w:val="0"/>
          <w:bCs w:val="0"/>
          <w:szCs w:val="26"/>
          <w:rtl/>
        </w:rPr>
        <w:t xml:space="preserve">דְנִשְׁמָתָא יְתֵירָה אִיהִי אֶרֶץ יִשְׂרָאֵל דִּלְעִילָא, אַדְמַת קֹדֶשׁ, דְּאִתְּמַר בָּהּ </w:t>
      </w:r>
      <w:r>
        <w:rPr>
          <w:b w:val="0"/>
          <w:sz w:val="20"/>
          <w:szCs w:val="23"/>
          <w:rtl/>
        </w:rPr>
        <w:t>(ירמיה ב ג)</w:t>
      </w:r>
      <w:r>
        <w:rPr>
          <w:rFonts w:cs="Arial"/>
          <w:b w:val="0"/>
          <w:bCs w:val="0"/>
          <w:szCs w:val="26"/>
          <w:rtl/>
        </w:rPr>
        <w:t xml:space="preserve"> קֹדֶשׁ יִשְׂרָאֵל לַיהו''ה.</w:t>
      </w:r>
    </w:p>
    <w:p w:rsidR="006F705A" w:rsidRDefault="006F705A" w:rsidP="006F705A">
      <w:pPr>
        <w:pStyle w:val="NormalWeb"/>
        <w:rPr>
          <w:rFonts w:cs="Arial"/>
          <w:b w:val="0"/>
          <w:bCs w:val="0"/>
          <w:szCs w:val="26"/>
          <w:rtl/>
        </w:rPr>
      </w:pPr>
      <w:r>
        <w:rPr>
          <w:rFonts w:cs="Arial"/>
          <w:b w:val="0"/>
          <w:bCs w:val="0"/>
          <w:szCs w:val="26"/>
          <w:rtl/>
        </w:rPr>
        <w:t xml:space="preserve">וְעוֹד לֹא תָלִין נִבְלָתוֹ עַל הָעִץ דָּא בַר נַשׁ דְּאִיהוּ נָבָל, עֲלֵיהּ אִתְּמַר כָּל הַמַּעֲמִיד תַּלְמִיד דְּלַאו אִיהוּ הָגוּן כְּאִלּוּ מַעֲמִיד אֲשֵׁרָה, וּבְגִין דָּא לֹא תָלִין נִבְלָתוֹ עַל הָעִץ דְּאִיהוּ עִץ הַחַיִּים. דָּבָר אַחֵר לֹא תָלִין וְגוֹמֵר, הָעִץ אִלֵּין יִשְׂרָאֵל דְּאִתְּמַר בְּהוּ </w:t>
      </w:r>
      <w:r>
        <w:rPr>
          <w:b w:val="0"/>
          <w:sz w:val="20"/>
          <w:szCs w:val="23"/>
          <w:rtl/>
        </w:rPr>
        <w:t>(ישעיה סה כב)</w:t>
      </w:r>
      <w:r>
        <w:rPr>
          <w:rFonts w:cs="Arial"/>
          <w:b w:val="0"/>
          <w:bCs w:val="0"/>
          <w:szCs w:val="26"/>
          <w:rtl/>
        </w:rPr>
        <w:t xml:space="preserve"> כִימֵי הָעִץ יְמֵי עַמִּי, חוֹבָא דְעָבְדוּ עַם נָבָל, לָא תְהֵא תַלְיָא לֵיהּ בְּיִשְׂרָאֵל, דְּכַד עֲבַדוּ יָת עֶגְלָא חַשִּׁיב מֹשֶׁה דְּיִשְׂרָאֵל עֲבַדוּ לֵיהּ, וְאָמַר </w:t>
      </w:r>
      <w:r>
        <w:rPr>
          <w:b w:val="0"/>
          <w:sz w:val="20"/>
          <w:szCs w:val="23"/>
          <w:rtl/>
        </w:rPr>
        <w:t>(שמות לב יא)</w:t>
      </w:r>
      <w:r>
        <w:rPr>
          <w:rFonts w:cs="Arial"/>
          <w:b w:val="0"/>
          <w:bCs w:val="0"/>
          <w:szCs w:val="26"/>
          <w:rtl/>
        </w:rPr>
        <w:t xml:space="preserve"> לָמָה יהו''ה יֶחרֶה אַפְּךָ בְּעַמֶּךָ, אָמַר לֵיהּ קוּדְשָׁא בְּרִיךְ הוּא </w:t>
      </w:r>
      <w:r>
        <w:rPr>
          <w:b w:val="0"/>
          <w:sz w:val="20"/>
          <w:szCs w:val="23"/>
          <w:rtl/>
        </w:rPr>
        <w:t>(שם)</w:t>
      </w:r>
      <w:r>
        <w:rPr>
          <w:rFonts w:cs="Arial"/>
          <w:b w:val="0"/>
          <w:bCs w:val="0"/>
          <w:szCs w:val="26"/>
          <w:rtl/>
        </w:rPr>
        <w:t xml:space="preserve"> לֶךְ רֵד כִּי שִׁחֵת עַמְּךָ, מִיָּד נָחִית וְחָזָא עִגֶל דִּיּוֹקְנָא דְשׁוֹר וַחֲמוֹר, שָׁאִיל לֵיהּ מָאן עָבַד לָךְ, אָמַר חֲמוֹר, עִרֶב רַב </w:t>
      </w:r>
      <w:r>
        <w:rPr>
          <w:b w:val="0"/>
          <w:sz w:val="20"/>
          <w:szCs w:val="23"/>
          <w:rtl/>
        </w:rPr>
        <w:t>(יחזקאל כג כ)</w:t>
      </w:r>
      <w:r>
        <w:rPr>
          <w:rFonts w:cs="Arial"/>
          <w:b w:val="0"/>
          <w:bCs w:val="0"/>
          <w:szCs w:val="26"/>
          <w:rtl/>
        </w:rPr>
        <w:t xml:space="preserve"> אֲשֶׁר בְּשַׂר חֲמוֹרִים בְּשָׂרָם, שׁוֹר אָמַר טַס דְּחֲקִיק עַלַהּ שׁוֹר, בְּזִמְנָא דְאִתְּמַר בְּעִרֶב רַב </w:t>
      </w:r>
      <w:r>
        <w:rPr>
          <w:b w:val="0"/>
          <w:sz w:val="20"/>
          <w:szCs w:val="23"/>
          <w:rtl/>
        </w:rPr>
        <w:t>(שמות לב ג)</w:t>
      </w:r>
      <w:r>
        <w:rPr>
          <w:rFonts w:cs="Arial"/>
          <w:b w:val="0"/>
          <w:bCs w:val="0"/>
          <w:szCs w:val="26"/>
          <w:rtl/>
        </w:rPr>
        <w:t xml:space="preserve"> וַיִּתְפָּרְקוּ כָּל הָעָם אֶת נִזְמֵי הַזָּהָב, אִזְדַּמְנַת תַּמָּן, וְאֶרְמֵי כֹּלָּא אַהֲרֹן בְּנוּרָא, וְנָפְקַת עֶגְלָא דִיּוֹקְנָא דְשׁוֹר וַחֲמוֹר, בְּהַהוּא זִמְנָא צָוְוחַת רוּחַ הַקֹּדֶשׁ וְאָמְרַת, </w:t>
      </w:r>
      <w:r>
        <w:rPr>
          <w:b w:val="0"/>
          <w:sz w:val="20"/>
          <w:szCs w:val="23"/>
          <w:rtl/>
        </w:rPr>
        <w:t>(ישעיה א ג)</w:t>
      </w:r>
      <w:r>
        <w:rPr>
          <w:rFonts w:cs="Arial"/>
          <w:b w:val="0"/>
          <w:bCs w:val="0"/>
          <w:szCs w:val="26"/>
          <w:rtl/>
        </w:rPr>
        <w:t xml:space="preserve"> יָדַע שׁוֹר קוֹנֵהוּ וַחֲמוֹר אֵבוּס בְּעָלָיו, </w:t>
      </w:r>
      <w:r>
        <w:rPr>
          <w:rStyle w:val="a7"/>
          <w:rFonts w:cs="Arial"/>
          <w:b w:val="0"/>
          <w:bCs w:val="0"/>
          <w:szCs w:val="26"/>
          <w:rtl/>
        </w:rPr>
        <w:footnoteReference w:id="5675"/>
      </w:r>
      <w:r>
        <w:rPr>
          <w:rFonts w:cs="Arial"/>
          <w:b w:val="0"/>
          <w:bCs w:val="0"/>
          <w:szCs w:val="26"/>
          <w:rtl/>
        </w:rPr>
        <w:t xml:space="preserve">יִשְׂרָאֵל לֹא יָדַע </w:t>
      </w:r>
      <w:r>
        <w:rPr>
          <w:rStyle w:val="a7"/>
          <w:rFonts w:cs="Arial"/>
          <w:b w:val="0"/>
          <w:bCs w:val="0"/>
          <w:szCs w:val="26"/>
          <w:rtl/>
        </w:rPr>
        <w:footnoteReference w:id="5676"/>
      </w:r>
      <w:r>
        <w:rPr>
          <w:rFonts w:cs="Arial"/>
          <w:b w:val="0"/>
          <w:bCs w:val="0"/>
          <w:szCs w:val="26"/>
          <w:rtl/>
        </w:rPr>
        <w:t>עַמִּי לֹא הִתְבּוֹנָן.</w:t>
      </w:r>
    </w:p>
    <w:p w:rsidR="006F705A" w:rsidRDefault="006F705A" w:rsidP="006F705A">
      <w:pPr>
        <w:pStyle w:val="NormalWeb"/>
        <w:rPr>
          <w:rFonts w:cs="Arial"/>
          <w:szCs w:val="22"/>
          <w:rtl/>
        </w:rPr>
      </w:pPr>
      <w:r>
        <w:rPr>
          <w:rFonts w:cs="Arial"/>
          <w:szCs w:val="22"/>
          <w:rtl/>
        </w:rPr>
        <w:t>[י"א תיקונים מהדורא בתרא, קמ ע"ב]</w:t>
      </w:r>
    </w:p>
    <w:p w:rsidR="006F705A" w:rsidRDefault="006F705A" w:rsidP="006F705A">
      <w:pPr>
        <w:pStyle w:val="NormalWeb"/>
        <w:rPr>
          <w:rFonts w:cs="Arial"/>
          <w:b w:val="0"/>
          <w:bCs w:val="0"/>
          <w:szCs w:val="26"/>
          <w:rtl/>
        </w:rPr>
      </w:pPr>
      <w:r>
        <w:rPr>
          <w:rFonts w:cs="Arial"/>
          <w:b w:val="0"/>
          <w:bCs w:val="0"/>
          <w:szCs w:val="26"/>
          <w:rtl/>
        </w:rPr>
        <w:t xml:space="preserve">וְרַשִּׁיעַיָּא מָה חָזוּ לְמֶעֱבַד עִגֶל, אֶלָּא וַדַּאי אִינוּן הֲווֹ מְכַשְּׁפִין דְּפַרְעֹה, יוֹנוֹ''ס וְיַמְבְּרוּ''ס בְּנֵי בִּלְעָם, דְּאִתְּמַר בְּהוֹן </w:t>
      </w:r>
      <w:r>
        <w:rPr>
          <w:b w:val="0"/>
          <w:sz w:val="20"/>
          <w:szCs w:val="23"/>
          <w:rtl/>
        </w:rPr>
        <w:t>(שמות ח ג)</w:t>
      </w:r>
      <w:r>
        <w:rPr>
          <w:rFonts w:cs="Arial"/>
          <w:b w:val="0"/>
          <w:bCs w:val="0"/>
          <w:szCs w:val="26"/>
          <w:rtl/>
        </w:rPr>
        <w:t xml:space="preserve"> וַיַּעֲשׂוּ כֵן הַחַרְטוּמִים בְּלָטֵיהֶם, וְחָזוּ דְּלָא הֲוָה מַמָּשׁוּ בְּהוֹן, </w:t>
      </w:r>
      <w:r>
        <w:rPr>
          <w:b w:val="0"/>
          <w:sz w:val="20"/>
          <w:szCs w:val="23"/>
          <w:rtl/>
        </w:rPr>
        <w:t>(קמ ע"ב)</w:t>
      </w:r>
      <w:r>
        <w:rPr>
          <w:rFonts w:cs="Arial"/>
          <w:b w:val="0"/>
          <w:bCs w:val="0"/>
          <w:szCs w:val="26"/>
          <w:rtl/>
        </w:rPr>
        <w:t xml:space="preserve"> אִתְחַזְרוּ עִמֵּיהּ דְּמֹשֶׁה וְקַבִּילוּ בְּרִית מִילָה, וְקוּדְשָׁא בְּרִיךְ הוּא דְיָדַע גְּלוּיִים וּסְתִירִין, דַּהֲוָה יָדַע בְּהוֹן דְּאִינוּן מִגִּזְעָא בִישָׁא, כַּד הֲוָה נָחֲתָא שְׁכִינְתָּא אִתְּמַר בָּהּ </w:t>
      </w:r>
      <w:r>
        <w:rPr>
          <w:b w:val="0"/>
          <w:sz w:val="20"/>
          <w:szCs w:val="23"/>
          <w:rtl/>
        </w:rPr>
        <w:t>(שם יד יט)</w:t>
      </w:r>
      <w:r>
        <w:rPr>
          <w:rFonts w:cs="Arial"/>
          <w:b w:val="0"/>
          <w:bCs w:val="0"/>
          <w:szCs w:val="26"/>
          <w:rtl/>
        </w:rPr>
        <w:t xml:space="preserve"> וַיִּסַּע מַלְאַךְ הָאלהי''ם הַהֹלֵךְ לִפְנֵי מַחֲנֵה יִשְׂרָאֵל, וְלָא אָמַר לִפְנֵי הָעָם, וּבְגִין דָּא נָטְלוּ קִנְאָה בְּלִבַּיְיהוּ, וְאָמְרוּ </w:t>
      </w:r>
      <w:r>
        <w:rPr>
          <w:b w:val="0"/>
          <w:sz w:val="20"/>
          <w:szCs w:val="23"/>
          <w:rtl/>
        </w:rPr>
        <w:t>(שם לב א)</w:t>
      </w:r>
      <w:r>
        <w:rPr>
          <w:rFonts w:cs="Arial"/>
          <w:b w:val="0"/>
          <w:bCs w:val="0"/>
          <w:szCs w:val="26"/>
          <w:rtl/>
        </w:rPr>
        <w:t xml:space="preserve"> קוּם עֲשֵׂה לָנוּ אלהי''ם אֲשֶׁר יֵלְכוּ לְפָנֵינוּ, כְּגַוְונָא דַהֲוָה אָזִיל קֳדָמַיְיכוּ, וּבְגִין דָּא עֲבַדוּ יָת עֶגְלָא בְחַרְשִׁין דִּלְהוֹן, וְדָא אִיהוּ יָדַע שׁוֹר קוֹנֵהוּ וכו', יִשְׂרָאֵל לֹא יָדַע עַמִּי לֹא הִתְבּוֹנָן דָא בֵּן עַמְרָם, אַהֲרֹן לֹא הִתְבּוֹנָן בַּחַרְשִׁין, וְדָא אִיהוּ לֹא תָלִין נִבְלָתוֹ עַל הָעִץ, חוֹבָא דָא דְעַם נָבָל לֹא תָלִין נִבְלָתוֹ עַל הָעִץ דְּאִינוּן יִשְׂרָאֵל. </w:t>
      </w:r>
    </w:p>
    <w:p w:rsidR="006F705A" w:rsidRDefault="006F705A" w:rsidP="006F705A">
      <w:pPr>
        <w:pStyle w:val="NormalWeb"/>
        <w:rPr>
          <w:rFonts w:cs="Arial"/>
          <w:b w:val="0"/>
          <w:bCs w:val="0"/>
          <w:szCs w:val="26"/>
          <w:rtl/>
        </w:rPr>
      </w:pPr>
      <w:r>
        <w:rPr>
          <w:rFonts w:cs="Arial"/>
          <w:b w:val="0"/>
          <w:bCs w:val="0"/>
          <w:szCs w:val="26"/>
          <w:rtl/>
        </w:rPr>
        <w:t xml:space="preserve">דָּבָר אַחֵר לֹא תָלִין וכו', </w:t>
      </w:r>
      <w:r>
        <w:rPr>
          <w:rStyle w:val="a7"/>
          <w:rFonts w:cs="Arial"/>
          <w:b w:val="0"/>
          <w:bCs w:val="0"/>
          <w:szCs w:val="26"/>
          <w:rtl/>
        </w:rPr>
        <w:footnoteReference w:id="5677"/>
      </w:r>
      <w:r>
        <w:rPr>
          <w:rFonts w:cs="Arial"/>
          <w:b w:val="0"/>
          <w:bCs w:val="0"/>
          <w:szCs w:val="26"/>
          <w:rtl/>
        </w:rPr>
        <w:t xml:space="preserve">דָּא גִיּוֹרָא דְלָא אִתְגַּיַּיר לִשְׁמָא דְקוּדְשָׁא בְּרִיךְ הוּא, לָא תַלְיָא בֵּיהּ בְּיִשְׂרָאֵל דְּאִינוּן עִץ, כְּמָה דְאוּקְמוּהוּ </w:t>
      </w:r>
      <w:r>
        <w:rPr>
          <w:b w:val="0"/>
          <w:sz w:val="20"/>
          <w:szCs w:val="23"/>
          <w:rtl/>
        </w:rPr>
        <w:t>(ישעיה סה כב)</w:t>
      </w:r>
      <w:r>
        <w:rPr>
          <w:rFonts w:cs="Arial"/>
          <w:b w:val="0"/>
          <w:bCs w:val="0"/>
          <w:szCs w:val="26"/>
          <w:rtl/>
        </w:rPr>
        <w:t xml:space="preserve"> כִימֵי הָעִץ יְמֵי עַמִּי. וְעוֹד לֹא תָלִין נִבְלָתוֹ, דָּא נִבְלוּת הַפֶּה, </w:t>
      </w:r>
      <w:r>
        <w:rPr>
          <w:rStyle w:val="a7"/>
          <w:rFonts w:cs="Arial"/>
          <w:b w:val="0"/>
          <w:bCs w:val="0"/>
          <w:szCs w:val="26"/>
          <w:rtl/>
        </w:rPr>
        <w:footnoteReference w:id="5678"/>
      </w:r>
      <w:r>
        <w:rPr>
          <w:rFonts w:cs="Arial"/>
          <w:b w:val="0"/>
          <w:bCs w:val="0"/>
          <w:szCs w:val="26"/>
          <w:rtl/>
        </w:rPr>
        <w:t xml:space="preserve">עַל הָעִץ דָּא לִישָׁנָא דְחוֹבָה דָא גָרִים דְּיָמוּת קֳדָם זִמְנֵיהּ, וְדָא אִיהוּ כִּי קָבוֹר תִּקְבְּרֶנּוּ, דָּבָר אַחֵר לֹא תָלִין נִבְלָתוֹ, דָּא יֵצֶר הָרָע, עַל הָעִץ דָּא נִשְׁמַת חַיִּים, דְּמָאן דְּחִלֵּל בָּהּ אִתְּמַר בֵּיהּ כִּי קָבוֹר תִּקְבְּרֶנּוּ, וְיָמוּת בְּעָלְמָא דֵין וּבְעָלְמָא דְאָתֵי, </w:t>
      </w:r>
      <w:r>
        <w:rPr>
          <w:rStyle w:val="a7"/>
          <w:rFonts w:cs="Arial"/>
          <w:b w:val="0"/>
          <w:bCs w:val="0"/>
          <w:szCs w:val="26"/>
          <w:rtl/>
        </w:rPr>
        <w:footnoteReference w:id="5679"/>
      </w:r>
      <w:r>
        <w:rPr>
          <w:rFonts w:cs="Arial"/>
          <w:b w:val="0"/>
          <w:bCs w:val="0"/>
          <w:szCs w:val="26"/>
          <w:rtl/>
        </w:rPr>
        <w:t xml:space="preserve">דָּא אִיהוּ דִינֵיהּ בְּחֶנֶק מָאן דְּעָבַר עַל דָּא. </w:t>
      </w:r>
      <w:r>
        <w:rPr>
          <w:b w:val="0"/>
          <w:sz w:val="20"/>
          <w:szCs w:val="23"/>
          <w:rtl/>
        </w:rPr>
        <w:t>(דבר אחר לא תלין נבלתו על העץ, דא נפשא דחול דלא תתחזיא קדם נפשא יתירא ובגינה אמר למשה (שמות ג ה) של נעליך מעל רגליך)</w:t>
      </w:r>
      <w:r>
        <w:rPr>
          <w:rFonts w:cs="Arial"/>
          <w:b w:val="0"/>
          <w:bCs w:val="0"/>
          <w:szCs w:val="26"/>
          <w:rtl/>
        </w:rPr>
        <w:t>.</w:t>
      </w:r>
    </w:p>
    <w:p w:rsidR="006F705A" w:rsidRDefault="006F705A" w:rsidP="006F705A">
      <w:pPr>
        <w:pStyle w:val="NormalWeb"/>
        <w:rPr>
          <w:rFonts w:cs="Arial"/>
          <w:b w:val="0"/>
          <w:bCs w:val="0"/>
          <w:szCs w:val="26"/>
          <w:rtl/>
        </w:rPr>
      </w:pPr>
      <w:r>
        <w:rPr>
          <w:rFonts w:cs="Arial"/>
          <w:b w:val="0"/>
          <w:bCs w:val="0"/>
          <w:szCs w:val="26"/>
          <w:rtl/>
        </w:rPr>
        <w:t xml:space="preserve">תִּנְיָינָא הֶרֶג, לְמַאן דְּמְעַנֵי לְאַלְמָנָה וְיָתוֹם, הֲדָא הוּא דִכְתִיב אִם עַנֵה תְעַנֵה כו', וְכֵן מַאן דְּמְּמַשְׁכֵּן לְחַבְרֵיהּ צָרִיךְ לְמֶחְזַר לֵיהּ מַשְׁכּוֹנֵיהּ בְּעִידָּן דְּצָרִיךְ לֵיהּ, כֵּיוָן דְּלֵית לֵיהּ אָחֳרָא, הֲדָא הוּא דִכְתִיב </w:t>
      </w:r>
      <w:r>
        <w:rPr>
          <w:b w:val="0"/>
          <w:sz w:val="20"/>
          <w:szCs w:val="23"/>
          <w:rtl/>
        </w:rPr>
        <w:t>(דברים כד יג)</w:t>
      </w:r>
      <w:r>
        <w:rPr>
          <w:rFonts w:cs="Arial"/>
          <w:b w:val="0"/>
          <w:bCs w:val="0"/>
          <w:szCs w:val="26"/>
          <w:rtl/>
        </w:rPr>
        <w:t xml:space="preserve"> הָשֵׁב תָּשִׁיב לוֹ אֶת הָעֲבוֹט וְאִתְּמַר בִּקְרָא אַחֲרָא </w:t>
      </w:r>
      <w:r>
        <w:rPr>
          <w:b w:val="0"/>
          <w:sz w:val="20"/>
          <w:szCs w:val="23"/>
          <w:rtl/>
        </w:rPr>
        <w:t>(שמות כב כה)</w:t>
      </w:r>
      <w:r>
        <w:rPr>
          <w:rFonts w:cs="Arial"/>
          <w:b w:val="0"/>
          <w:bCs w:val="0"/>
          <w:szCs w:val="26"/>
          <w:rtl/>
        </w:rPr>
        <w:t xml:space="preserve"> אִם חָבֹל תַּחְבֹּל שַׂלְמַת רֵעֶךָ עַד בֹּא הַשֶּׁמֶשׁ תְּשִׁיבֶנּוּ לוֹ, </w:t>
      </w:r>
      <w:r>
        <w:rPr>
          <w:rStyle w:val="a7"/>
          <w:rFonts w:cs="Arial"/>
          <w:b w:val="0"/>
          <w:bCs w:val="0"/>
          <w:szCs w:val="26"/>
          <w:rtl/>
        </w:rPr>
        <w:footnoteReference w:id="5680"/>
      </w:r>
      <w:r>
        <w:rPr>
          <w:rFonts w:cs="Arial"/>
          <w:b w:val="0"/>
          <w:bCs w:val="0"/>
          <w:szCs w:val="26"/>
          <w:rtl/>
        </w:rPr>
        <w:t>הַאי בְּנִשְׁמָתָא דְבַר נַשׁ מְמַלֵּל, אִם חָבֹל תַּחְבֹּל - נַפְשָׁא וְרוּחָא, שַׂלְמַת רֵעֶךָ דָּא נִשְׁמָתָא.</w:t>
      </w:r>
    </w:p>
    <w:p w:rsidR="006F705A" w:rsidRDefault="006F705A" w:rsidP="006F705A">
      <w:pPr>
        <w:pStyle w:val="NormalWeb"/>
        <w:rPr>
          <w:rFonts w:cs="Arial"/>
          <w:b w:val="0"/>
          <w:bCs w:val="0"/>
          <w:szCs w:val="26"/>
          <w:rtl/>
        </w:rPr>
      </w:pPr>
      <w:r>
        <w:rPr>
          <w:rFonts w:cs="Arial"/>
          <w:b w:val="0"/>
          <w:bCs w:val="0"/>
          <w:szCs w:val="26"/>
          <w:rtl/>
        </w:rPr>
        <w:t xml:space="preserve">וְאִם חָבוֹל תַּחְבּוֹל תְּפִלִּין דְּיָד וּתְפִלִּין דְּרֵישָׁא, שַׂלְמַת רֵעֶךָ כִּסּוּיָיא דְמִצְוָה, עַד בֹּא הַשֶּׁמֶשׁ, דְּאִתְּמַר בֵּיהּ </w:t>
      </w:r>
      <w:r>
        <w:rPr>
          <w:b w:val="0"/>
          <w:sz w:val="20"/>
          <w:szCs w:val="23"/>
          <w:rtl/>
        </w:rPr>
        <w:t>(תהלים פד יב)</w:t>
      </w:r>
      <w:r>
        <w:rPr>
          <w:rFonts w:cs="Arial"/>
          <w:b w:val="0"/>
          <w:bCs w:val="0"/>
          <w:szCs w:val="26"/>
          <w:rtl/>
        </w:rPr>
        <w:t xml:space="preserve"> כִּי שֶׁמֶשׁ וּמָגֵן יהו''ה אלהי''ם, תְּשִׁיבֶנּוּ לוֹ </w:t>
      </w:r>
      <w:r>
        <w:rPr>
          <w:rStyle w:val="a7"/>
          <w:rFonts w:cs="Arial"/>
          <w:b w:val="0"/>
          <w:bCs w:val="0"/>
          <w:szCs w:val="26"/>
          <w:rtl/>
        </w:rPr>
        <w:footnoteReference w:id="5681"/>
      </w:r>
      <w:r>
        <w:rPr>
          <w:rFonts w:cs="Arial"/>
          <w:b w:val="0"/>
          <w:bCs w:val="0"/>
          <w:szCs w:val="26"/>
          <w:rtl/>
        </w:rPr>
        <w:t xml:space="preserve">קֳדָם דְּיִתְכַּנִּישׁ מִנֵּיהּ, דַּעֲלֵיהּ אִתְּמַר </w:t>
      </w:r>
      <w:r>
        <w:rPr>
          <w:b w:val="0"/>
          <w:sz w:val="20"/>
          <w:szCs w:val="23"/>
          <w:rtl/>
        </w:rPr>
        <w:t>(מלאכי ג ג)</w:t>
      </w:r>
      <w:r>
        <w:rPr>
          <w:rFonts w:cs="Arial"/>
          <w:b w:val="0"/>
          <w:bCs w:val="0"/>
          <w:szCs w:val="26"/>
          <w:rtl/>
        </w:rPr>
        <w:t xml:space="preserve"> וְזָרְחָה לָכֶם יִרְאֵי שְׁמִי שֶׁמֶשׁ צְדָקָה וּמַרְפֵּא בִּכְנָפֶיהָ, מַאי צְדָקָה צְלוֹתָא, וּמַרְפֵּא בִּכְנָפֶיהָ כַּנְפֵי מִצְוָה דְּאִינוּן תְּפִלִּין כַּנְפֵי יוֹנָה, וְכַנְפֵי מִצְוַת צִיצִית, הִיא שִׂמְלָתוֹ לְעוֹרוֹ מִשְׁכָא דִתְּפִלִּין, וְאִם אַתְּ לָא תַחֲזִיר אִלֵּין כִּסּוּיָין לֵיהּ קֳדָם דְּיִתְכַּנִּישׁ מִנֵּיהּ שִׁמְשָׁא דְּאִיהוּ קוּדְשָׁא בְּרִיךְ הוּא, דְאִתְּמַר בֵּיהּ כִּי שֶׁמֶשׁ וּמָגֵן יהו''ה אלהי''ם, הָכִי יִתְכַּנִּישׁ מִינָךְ נִשְׁמָתָא, </w:t>
      </w:r>
      <w:r>
        <w:rPr>
          <w:rStyle w:val="a7"/>
          <w:rFonts w:cs="Arial"/>
          <w:b w:val="0"/>
          <w:bCs w:val="0"/>
          <w:szCs w:val="26"/>
          <w:rtl/>
        </w:rPr>
        <w:footnoteReference w:id="5682"/>
      </w:r>
      <w:r>
        <w:rPr>
          <w:rFonts w:cs="Arial"/>
          <w:b w:val="0"/>
          <w:bCs w:val="0"/>
          <w:szCs w:val="26"/>
          <w:rtl/>
        </w:rPr>
        <w:t xml:space="preserve">דְאִתְּמַר בָּהּ </w:t>
      </w:r>
      <w:r>
        <w:rPr>
          <w:b w:val="0"/>
          <w:sz w:val="20"/>
          <w:szCs w:val="23"/>
          <w:rtl/>
        </w:rPr>
        <w:t>(תהלים פט לז)</w:t>
      </w:r>
      <w:r>
        <w:rPr>
          <w:rFonts w:cs="Arial"/>
          <w:b w:val="0"/>
          <w:bCs w:val="0"/>
          <w:szCs w:val="26"/>
          <w:rtl/>
        </w:rPr>
        <w:t xml:space="preserve"> כִּסְאוֹ כַשֶּׁמֶשׁ נֶגְדִּי, מִדָּה לָקֳבֵל מִדָּה, וּבְגִין דָּא עַד בֹּא הַשֶּׁמֶשׁ תְּשִׁיבֶנּוּ לוֹ, לוֹ לְעָנִי דְאִיהוּ צַדִּיק, וְלִשְׁכִינְתָּא דְאִיהִי עֲנִיָּיה בְגָלוּתָא, כַּד יֵתֵי לֵילְיָא דְאִיהִי גָלוּתָא, בַּמֶּה יִשְׁכָּב שְׁכִינְתָּא, דְּוַדַּאי שִׁמְשָׁא דְאִיהוּ קוּדְשָׁא בְּרִיךְ הוּא לָא נָהִיר לָהּ </w:t>
      </w:r>
      <w:r>
        <w:rPr>
          <w:rStyle w:val="a7"/>
          <w:rFonts w:cs="Arial"/>
          <w:b w:val="0"/>
          <w:bCs w:val="0"/>
          <w:szCs w:val="26"/>
          <w:rtl/>
        </w:rPr>
        <w:footnoteReference w:id="5683"/>
      </w:r>
      <w:r>
        <w:rPr>
          <w:rFonts w:cs="Arial"/>
          <w:b w:val="0"/>
          <w:bCs w:val="0"/>
          <w:szCs w:val="26"/>
          <w:rtl/>
        </w:rPr>
        <w:t xml:space="preserve">בְּגָלוּתָא דְאִיהִי לֵילְיָא, וְאִשְׁתְּאָרַת בַּחֲשׁוֹכָא, וּבְגִין דָּא צְרִיכִין יִשְׂרָאֵל </w:t>
      </w:r>
      <w:r>
        <w:rPr>
          <w:rStyle w:val="a7"/>
          <w:rFonts w:cs="Arial"/>
          <w:b w:val="0"/>
          <w:bCs w:val="0"/>
          <w:szCs w:val="26"/>
          <w:rtl/>
        </w:rPr>
        <w:footnoteReference w:id="5684"/>
      </w:r>
      <w:r>
        <w:rPr>
          <w:rFonts w:cs="Arial"/>
          <w:b w:val="0"/>
          <w:bCs w:val="0"/>
          <w:szCs w:val="26"/>
          <w:rtl/>
        </w:rPr>
        <w:t xml:space="preserve">לְאַנְהָרָא לָהּ בְּגָלוּתָא בְּאוֹר וְנֵר, דְּאִיהוּ תּוֹרָה וּמִצְוָה, </w:t>
      </w:r>
      <w:r>
        <w:rPr>
          <w:rStyle w:val="a7"/>
          <w:rFonts w:cs="Arial"/>
          <w:b w:val="0"/>
          <w:bCs w:val="0"/>
          <w:szCs w:val="26"/>
          <w:rtl/>
        </w:rPr>
        <w:footnoteReference w:id="5685"/>
      </w:r>
      <w:r>
        <w:rPr>
          <w:rFonts w:cs="Arial"/>
          <w:b w:val="0"/>
          <w:bCs w:val="0"/>
          <w:szCs w:val="26"/>
          <w:rtl/>
        </w:rPr>
        <w:t>אוֹר נִשְׁמָתָא, נֵ''ר נֶפֶשׁ רוּחָא דְאִינוּן סִימָן נֵ''ר, בָּתֵּי דִתְּפִלֵּי לְמִשְׁכַּב בְּהוּ שְׁכִינְתָּא בְגָלוּתָא, וְכִסּוּיָא דְצִיצִית לְאִתְעַטְּפָא בֵיהּ בְּמִשְׁכָּבָהּ.</w:t>
      </w:r>
    </w:p>
    <w:p w:rsidR="006F705A" w:rsidRDefault="006F705A" w:rsidP="006F705A">
      <w:pPr>
        <w:pStyle w:val="NormalWeb"/>
        <w:rPr>
          <w:rFonts w:cs="Arial"/>
          <w:szCs w:val="22"/>
          <w:rtl/>
        </w:rPr>
      </w:pPr>
      <w:r>
        <w:rPr>
          <w:rFonts w:cs="Arial"/>
          <w:szCs w:val="22"/>
          <w:rtl/>
        </w:rPr>
        <w:t>[י"א תיקונים מהדורא בתרא, קמא ע"א]</w:t>
      </w:r>
    </w:p>
    <w:p w:rsidR="006F705A" w:rsidRDefault="006F705A" w:rsidP="006F705A">
      <w:pPr>
        <w:pStyle w:val="NormalWeb"/>
        <w:rPr>
          <w:rFonts w:cs="Arial"/>
          <w:b w:val="0"/>
          <w:bCs w:val="0"/>
          <w:szCs w:val="26"/>
          <w:rtl/>
        </w:rPr>
      </w:pPr>
      <w:r>
        <w:rPr>
          <w:rFonts w:cs="Arial"/>
          <w:b w:val="0"/>
          <w:bCs w:val="0"/>
          <w:szCs w:val="26"/>
          <w:rtl/>
        </w:rPr>
        <w:t xml:space="preserve">וּבְגִין דָּא אִי בַר נַשׁ לָא אַנַּח תְּפִלִּין וְצִיצִית, בַּמֶּה יִשְׁכַּב אִיהִי בְּגָלוּתָא, עֲלָהּ אִתְּמַר </w:t>
      </w:r>
      <w:r>
        <w:rPr>
          <w:b w:val="0"/>
          <w:sz w:val="20"/>
          <w:szCs w:val="23"/>
          <w:rtl/>
        </w:rPr>
        <w:t>(תהלים מא ב)</w:t>
      </w:r>
      <w:r>
        <w:rPr>
          <w:rFonts w:cs="Arial"/>
          <w:b w:val="0"/>
          <w:bCs w:val="0"/>
          <w:szCs w:val="26"/>
          <w:rtl/>
        </w:rPr>
        <w:t xml:space="preserve"> </w:t>
      </w:r>
      <w:r>
        <w:rPr>
          <w:rStyle w:val="a7"/>
          <w:rFonts w:cs="Arial"/>
          <w:b w:val="0"/>
          <w:bCs w:val="0"/>
          <w:szCs w:val="26"/>
          <w:rtl/>
        </w:rPr>
        <w:footnoteReference w:id="5686"/>
      </w:r>
      <w:r>
        <w:rPr>
          <w:rFonts w:cs="Arial"/>
          <w:b w:val="0"/>
          <w:bCs w:val="0"/>
          <w:szCs w:val="26"/>
          <w:rtl/>
        </w:rPr>
        <w:t xml:space="preserve">אַשְׁרֵי מַשְׂכִּיל אֶל דָּל בְּיוֹם רָעָה יְמַלְּטֵהוּ יהו''ה, וּבִזְכוּת פִּקּוּדִין אִלֵּין יָרְתִין בְּנֵי נָשָׁא תְּלַת קִטְרִין, דְּאִינוּן נִשְׁמָתָא וְרוּחָא וְנַפְשָׁא, </w:t>
      </w:r>
      <w:r>
        <w:rPr>
          <w:rStyle w:val="a7"/>
          <w:rFonts w:cs="Arial"/>
          <w:b w:val="0"/>
          <w:bCs w:val="0"/>
          <w:szCs w:val="26"/>
          <w:rtl/>
        </w:rPr>
        <w:footnoteReference w:id="5687"/>
      </w:r>
      <w:r>
        <w:rPr>
          <w:rFonts w:cs="Arial"/>
          <w:b w:val="0"/>
          <w:bCs w:val="0"/>
          <w:szCs w:val="26"/>
          <w:rtl/>
        </w:rPr>
        <w:t xml:space="preserve">וּבְהוּ צָרִיךְ לְמִקְרֵי לְיִשְׂרָאֵל עִלָּאָה, דְיַנְחִית לְאַנְהָרָא בִשְׁכִינְתָּא בִּנְהוֹרָא דְפוּרְקָנָא, דְאִיהִי שֶׁמֶשׁ צְדָקָה, וּמַרְפֵּא בִּכְנָפֶיהָ לְיִשְׂרָאֵל דְּאִינוּן בְּבֵי מַרְעָא בְגָלוּתָא. דִּצְדָקָה אִיהִי שְׁכִינְתָּא עִלָּאָה, </w:t>
      </w:r>
      <w:r>
        <w:rPr>
          <w:rStyle w:val="a7"/>
          <w:rFonts w:cs="Arial"/>
          <w:b w:val="0"/>
          <w:bCs w:val="0"/>
          <w:szCs w:val="26"/>
          <w:rtl/>
        </w:rPr>
        <w:footnoteReference w:id="5688"/>
      </w:r>
      <w:r>
        <w:rPr>
          <w:rFonts w:cs="Arial"/>
          <w:b w:val="0"/>
          <w:bCs w:val="0"/>
          <w:szCs w:val="26"/>
          <w:rtl/>
        </w:rPr>
        <w:t xml:space="preserve">עֲלָהּ אִתְּמַר </w:t>
      </w:r>
      <w:r>
        <w:rPr>
          <w:b w:val="0"/>
          <w:sz w:val="20"/>
          <w:szCs w:val="23"/>
          <w:rtl/>
        </w:rPr>
        <w:t>(איכה ב יג)</w:t>
      </w:r>
      <w:r>
        <w:rPr>
          <w:rFonts w:cs="Arial"/>
          <w:b w:val="0"/>
          <w:bCs w:val="0"/>
          <w:szCs w:val="26"/>
          <w:rtl/>
        </w:rPr>
        <w:t xml:space="preserve"> מִי יִרְפָּא לָךְ, וְאִיהִי </w:t>
      </w:r>
      <w:r>
        <w:rPr>
          <w:b w:val="0"/>
          <w:sz w:val="20"/>
          <w:szCs w:val="23"/>
          <w:rtl/>
        </w:rPr>
        <w:t>(קמא ע"א)</w:t>
      </w:r>
      <w:r>
        <w:rPr>
          <w:rFonts w:cs="Arial"/>
          <w:b w:val="0"/>
          <w:bCs w:val="0"/>
          <w:szCs w:val="26"/>
          <w:rtl/>
        </w:rPr>
        <w:t xml:space="preserve"> כ''ה כ''ה אַתְוָן דִּקְרִיאַת שְׁמַע עַרְבִית וְשַׁחֲרִית, </w:t>
      </w:r>
      <w:r>
        <w:rPr>
          <w:rStyle w:val="a7"/>
          <w:rFonts w:cs="Arial"/>
          <w:b w:val="0"/>
          <w:bCs w:val="0"/>
          <w:szCs w:val="26"/>
          <w:rtl/>
        </w:rPr>
        <w:footnoteReference w:id="5689"/>
      </w:r>
      <w:r>
        <w:rPr>
          <w:rFonts w:cs="Arial"/>
          <w:b w:val="0"/>
          <w:bCs w:val="0"/>
          <w:szCs w:val="26"/>
          <w:rtl/>
        </w:rPr>
        <w:t xml:space="preserve">וּבֵיהּ נָחֲתָא לְיִשְׂרָאֵל לְמִפְרַק שְׁכִינְתָּא, אֲבָל בִּימִינָא אוֹקִים לָהּ וְרִחַם עֲלָהּ, הֲדָא הוּא דִכְתִיב </w:t>
      </w:r>
      <w:r>
        <w:rPr>
          <w:b w:val="0"/>
          <w:sz w:val="20"/>
          <w:szCs w:val="23"/>
          <w:rtl/>
        </w:rPr>
        <w:t>(ישעיה נד ח)</w:t>
      </w:r>
      <w:r>
        <w:rPr>
          <w:rFonts w:cs="Arial"/>
          <w:b w:val="0"/>
          <w:bCs w:val="0"/>
          <w:szCs w:val="26"/>
          <w:rtl/>
        </w:rPr>
        <w:t xml:space="preserve"> וּבְחֶסֶד עוֹלָם רִחַמְתִּיךְ, </w:t>
      </w:r>
      <w:r>
        <w:rPr>
          <w:rStyle w:val="a7"/>
          <w:rFonts w:cs="Arial"/>
          <w:b w:val="0"/>
          <w:bCs w:val="0"/>
          <w:szCs w:val="26"/>
          <w:rtl/>
        </w:rPr>
        <w:footnoteReference w:id="5690"/>
      </w:r>
      <w:r>
        <w:rPr>
          <w:rFonts w:cs="Arial"/>
          <w:b w:val="0"/>
          <w:bCs w:val="0"/>
          <w:szCs w:val="26"/>
          <w:rtl/>
        </w:rPr>
        <w:t xml:space="preserve">וּבְגִין דָּא נִשְׁמָתָא וְרוּחָא וְנַפְשָׁא אִינוּן מִשְׁכְּבָא דִשְׁכִינְתָּא בְגָלוּתָא, וְעַלַיְהוּ אִתְּמַר </w:t>
      </w:r>
      <w:r>
        <w:rPr>
          <w:b w:val="0"/>
          <w:sz w:val="20"/>
          <w:szCs w:val="23"/>
          <w:rtl/>
        </w:rPr>
        <w:t>(דברים כד יג)</w:t>
      </w:r>
      <w:r>
        <w:rPr>
          <w:rFonts w:cs="Arial"/>
          <w:b w:val="0"/>
          <w:bCs w:val="0"/>
          <w:szCs w:val="26"/>
          <w:rtl/>
        </w:rPr>
        <w:t xml:space="preserve"> וְשָׁכַב בְּשַׂלְמָתוֹ וּבֵרַכֶךָּ, וּבְגִין פִּקּוּדִין אִלֵּין שַׁרְיָא שְׁכִינְתָּא עַל בַּר נַשׁ.</w:t>
      </w:r>
    </w:p>
    <w:p w:rsidR="006F705A" w:rsidRDefault="006F705A" w:rsidP="006F705A">
      <w:pPr>
        <w:pStyle w:val="NormalWeb"/>
        <w:rPr>
          <w:rFonts w:cs="Arial"/>
          <w:b w:val="0"/>
          <w:bCs w:val="0"/>
          <w:szCs w:val="26"/>
          <w:rtl/>
        </w:rPr>
      </w:pPr>
      <w:r>
        <w:rPr>
          <w:rFonts w:cs="Arial"/>
          <w:b w:val="0"/>
          <w:bCs w:val="0"/>
          <w:szCs w:val="26"/>
          <w:rtl/>
        </w:rPr>
        <w:t xml:space="preserve">וְעַל נִשְׁמָתָא אִתְּמַר </w:t>
      </w:r>
      <w:r>
        <w:rPr>
          <w:b w:val="0"/>
          <w:sz w:val="20"/>
          <w:szCs w:val="23"/>
          <w:rtl/>
        </w:rPr>
        <w:t>(מיכה ז ח)</w:t>
      </w:r>
      <w:r>
        <w:rPr>
          <w:rFonts w:cs="Arial"/>
          <w:b w:val="0"/>
          <w:bCs w:val="0"/>
          <w:szCs w:val="26"/>
          <w:rtl/>
        </w:rPr>
        <w:t xml:space="preserve"> </w:t>
      </w:r>
      <w:r>
        <w:rPr>
          <w:rStyle w:val="a7"/>
          <w:rFonts w:cs="Arial"/>
          <w:b w:val="0"/>
          <w:bCs w:val="0"/>
          <w:szCs w:val="26"/>
          <w:rtl/>
        </w:rPr>
        <w:footnoteReference w:id="5691"/>
      </w:r>
      <w:r>
        <w:rPr>
          <w:rFonts w:cs="Arial"/>
          <w:b w:val="0"/>
          <w:bCs w:val="0"/>
          <w:szCs w:val="26"/>
          <w:rtl/>
        </w:rPr>
        <w:t xml:space="preserve">מִשֹּׁכֶבֶת חֵיקֶךָ </w:t>
      </w:r>
      <w:r>
        <w:rPr>
          <w:rStyle w:val="a7"/>
          <w:rFonts w:cs="Arial"/>
          <w:b w:val="0"/>
          <w:bCs w:val="0"/>
          <w:szCs w:val="26"/>
          <w:rtl/>
        </w:rPr>
        <w:footnoteReference w:id="5692"/>
      </w:r>
      <w:r>
        <w:rPr>
          <w:rFonts w:cs="Arial"/>
          <w:b w:val="0"/>
          <w:bCs w:val="0"/>
          <w:szCs w:val="26"/>
          <w:rtl/>
        </w:rPr>
        <w:t xml:space="preserve">שְׁמֹר פִּתְחֵי פִיךָ, דְּלָא תִדּוֹר אִם לֹא תְּשַׁלֵּם </w:t>
      </w:r>
      <w:r>
        <w:rPr>
          <w:b w:val="0"/>
          <w:sz w:val="20"/>
          <w:szCs w:val="23"/>
          <w:rtl/>
        </w:rPr>
        <w:t>(קהלת ה ד)</w:t>
      </w:r>
      <w:r>
        <w:rPr>
          <w:rFonts w:cs="Arial"/>
          <w:b w:val="0"/>
          <w:bCs w:val="0"/>
          <w:szCs w:val="26"/>
          <w:rtl/>
        </w:rPr>
        <w:t xml:space="preserve">, הֲדָא הוּא דִכְתִיב </w:t>
      </w:r>
      <w:r>
        <w:rPr>
          <w:b w:val="0"/>
          <w:sz w:val="20"/>
          <w:szCs w:val="23"/>
          <w:rtl/>
        </w:rPr>
        <w:t>(משלי כב כז)</w:t>
      </w:r>
      <w:r>
        <w:rPr>
          <w:rFonts w:cs="Arial"/>
          <w:b w:val="0"/>
          <w:bCs w:val="0"/>
          <w:szCs w:val="26"/>
          <w:rtl/>
        </w:rPr>
        <w:t xml:space="preserve"> אִם אֵין לְךָ לְשַׁלֵּם לָמָּה יִקַּח מִשְׁכָּבְךָ מִתַּחְתֶּיךָ, </w:t>
      </w:r>
      <w:r>
        <w:rPr>
          <w:rStyle w:val="a7"/>
          <w:rFonts w:cs="Arial"/>
          <w:b w:val="0"/>
          <w:bCs w:val="0"/>
          <w:szCs w:val="26"/>
          <w:rtl/>
        </w:rPr>
        <w:footnoteReference w:id="5693"/>
      </w:r>
      <w:r>
        <w:rPr>
          <w:rFonts w:cs="Arial"/>
          <w:b w:val="0"/>
          <w:bCs w:val="0"/>
          <w:szCs w:val="26"/>
          <w:rtl/>
        </w:rPr>
        <w:t xml:space="preserve">וְאִשְׁתָּאֲרוּ רוּחַ וְנֶפֶשׁ יְתוֹמִים, וְאִם נִשְׁמָתָא עָבְרַת עַל פִּקּוּדֵי אוֹרַיְיתָא וְאַנְחַת חוֹבִין בְּגוּפָא, דִין אִיהוּ לִיפָּרַע מִנִּכְסֵי יְתוֹמִים, בְּפִקּוּדִין דַּעֲשֵׂה דְאִשְׁתָּאַר לוֹן מִנִּשְׁמָתָא, דִבְגִין חוֹבִין נָטְלִין מֵחַיָּיבַיָּא מַשְׁכּוֹנָא דְאִיהִי נִשְׁמָתָא, וְדָא אִיהוּ </w:t>
      </w:r>
      <w:r>
        <w:rPr>
          <w:b w:val="0"/>
          <w:sz w:val="20"/>
          <w:szCs w:val="23"/>
          <w:rtl/>
        </w:rPr>
        <w:t>(שמות כב כח)</w:t>
      </w:r>
      <w:r>
        <w:rPr>
          <w:rFonts w:cs="Arial"/>
          <w:b w:val="0"/>
          <w:bCs w:val="0"/>
          <w:szCs w:val="26"/>
          <w:rtl/>
        </w:rPr>
        <w:t xml:space="preserve"> אִם חָבֹל תַּחְבֹּל שַׂלְמַת רֵעֶךָ.</w:t>
      </w:r>
    </w:p>
    <w:p w:rsidR="006F705A" w:rsidRDefault="006F705A" w:rsidP="006F705A">
      <w:pPr>
        <w:pStyle w:val="NormalWeb"/>
        <w:rPr>
          <w:rFonts w:cs="Arial"/>
          <w:b w:val="0"/>
          <w:bCs w:val="0"/>
          <w:szCs w:val="26"/>
          <w:rtl/>
        </w:rPr>
      </w:pPr>
      <w:r>
        <w:rPr>
          <w:rFonts w:cs="Arial"/>
          <w:b w:val="0"/>
          <w:bCs w:val="0"/>
          <w:szCs w:val="26"/>
          <w:rtl/>
        </w:rPr>
        <w:t xml:space="preserve">וְאִי אִית לֵיהּ חוֹבִין וְאִית לֵיהּ זַכְוָון, אִתְפַּרְעוּ חוֹבִין בְּזַכְוָון, וְאִתְּמַר יָצָא שְׂכָרוֹ בְּהֶפְסֵדוֹ, מִיָּד חָזְרִין לֵיהּ לְגוּפָא קֳדָם דְּיֵיתֵי שִׁמְשָׁא, וְדָא אִיהוּ </w:t>
      </w:r>
      <w:r>
        <w:rPr>
          <w:b w:val="0"/>
          <w:sz w:val="20"/>
          <w:szCs w:val="23"/>
          <w:rtl/>
        </w:rPr>
        <w:t>(שם)</w:t>
      </w:r>
      <w:r>
        <w:rPr>
          <w:rFonts w:cs="Arial"/>
          <w:b w:val="0"/>
          <w:bCs w:val="0"/>
          <w:szCs w:val="26"/>
          <w:rtl/>
        </w:rPr>
        <w:t xml:space="preserve"> עַד בֹּא הַשֶּׁמֶשׁ תְּשִׁיבֶנּוּ לוֹ, דְּכַד נָאִים בַּר נַשׁ נִשְׁמָתָא סָלְקָא מִנֵּיהּ, וְלָא נָחְתַת בְּגוּפָא עַד דְּפָרְעַת כָּל חוֹבִין דְּעָבַד בַּר נַשׁ בְּהַהוּא יוֹמָא, וּבְגִין דָּא מְמַשְׁכֵּן לָהּ הַהוּא בֵּי דִינָא דִלְעִילָא, בְגִין דִּמְקַטְרְגָא סָלִיק אַבַּתְרָהָא לְמִתְּבַע מִינָהּ דִּינָא, בְּאַרְבַּע מִיתוֹת בֵּית דִּין, תְּרֵין דְּאִתְּמַר לְעִיל, </w:t>
      </w:r>
      <w:r>
        <w:rPr>
          <w:rStyle w:val="a7"/>
          <w:rFonts w:cs="Arial"/>
          <w:b w:val="0"/>
          <w:bCs w:val="0"/>
          <w:szCs w:val="26"/>
          <w:rtl/>
        </w:rPr>
        <w:footnoteReference w:id="5694"/>
      </w:r>
      <w:r>
        <w:rPr>
          <w:rFonts w:cs="Arial"/>
          <w:b w:val="0"/>
          <w:bCs w:val="0"/>
          <w:szCs w:val="26"/>
          <w:rtl/>
        </w:rPr>
        <w:t xml:space="preserve">וּתְרֵין דְּאִינוּן שַׁרְיָין עַל אִינוּן דִּמְגַלִּין עֶרְיָין דְּאוֹרַיְיתָא, </w:t>
      </w:r>
      <w:r>
        <w:rPr>
          <w:rStyle w:val="a7"/>
          <w:rFonts w:cs="Arial"/>
          <w:b w:val="0"/>
          <w:bCs w:val="0"/>
          <w:szCs w:val="26"/>
          <w:rtl/>
        </w:rPr>
        <w:footnoteReference w:id="5695"/>
      </w:r>
      <w:r>
        <w:rPr>
          <w:rFonts w:cs="Arial"/>
          <w:b w:val="0"/>
          <w:bCs w:val="0"/>
          <w:szCs w:val="26"/>
          <w:rtl/>
        </w:rPr>
        <w:t>זַכָּאָה אִיהוּ מָאן דְּנָטִיר לָהּ בְּכָל יוֹמָא.</w:t>
      </w:r>
    </w:p>
    <w:p w:rsidR="006F705A" w:rsidRDefault="006F705A" w:rsidP="006F705A">
      <w:pPr>
        <w:pStyle w:val="NormalWeb"/>
        <w:rPr>
          <w:rFonts w:cs="Arial"/>
          <w:b w:val="0"/>
          <w:bCs w:val="0"/>
          <w:szCs w:val="26"/>
          <w:rtl/>
        </w:rPr>
      </w:pPr>
      <w:r>
        <w:rPr>
          <w:rFonts w:cs="Arial"/>
          <w:b w:val="0"/>
          <w:bCs w:val="0"/>
          <w:szCs w:val="26"/>
          <w:rtl/>
        </w:rPr>
        <w:t xml:space="preserve">וּבְזִמְנָא דְחוֹבִין אִינוּן רַבְרְבִין, וּמַלְוְה בַּר נַשׁ חוֹבִין עַל מַשְׁכּוֹנָא, אָבַד מַשְׁכּוֹנָא דְאִיהִי נִשְׁמָתָא, וְלָא חָזְרַת לְגַבֵּיהּ, וְכֹלָּא אִיהוּ בְּדִין דְּדָן לָהּ גְּבוּרָה דְאִיהוּ בֵּי דִינָא רַבְרְבָא, בְכָל לֵילְיָא בִתְרֵין עֲשַׂר שַׁעְתִּין </w:t>
      </w:r>
      <w:r>
        <w:rPr>
          <w:rStyle w:val="a7"/>
          <w:rFonts w:cs="Arial"/>
          <w:b w:val="0"/>
          <w:bCs w:val="0"/>
          <w:szCs w:val="26"/>
          <w:rtl/>
        </w:rPr>
        <w:footnoteReference w:id="5696"/>
      </w:r>
      <w:r>
        <w:rPr>
          <w:rFonts w:cs="Arial"/>
          <w:b w:val="0"/>
          <w:bCs w:val="0"/>
          <w:szCs w:val="26"/>
          <w:rtl/>
        </w:rPr>
        <w:t xml:space="preserve">וּבְשַׁבְעִין וּתְרֵין רְגָעִין כְּחֻשְׁבַּן חֶסֶ''ד, דְּאִתְּמַר בֵּיהּ </w:t>
      </w:r>
      <w:r>
        <w:rPr>
          <w:b w:val="0"/>
          <w:sz w:val="20"/>
          <w:szCs w:val="23"/>
          <w:rtl/>
        </w:rPr>
        <w:t>(ישעיה מז ה)</w:t>
      </w:r>
      <w:r>
        <w:rPr>
          <w:rFonts w:cs="Arial"/>
          <w:b w:val="0"/>
          <w:bCs w:val="0"/>
          <w:szCs w:val="26"/>
          <w:rtl/>
        </w:rPr>
        <w:t xml:space="preserve"> </w:t>
      </w:r>
      <w:r>
        <w:rPr>
          <w:rStyle w:val="a7"/>
          <w:rFonts w:cs="Arial"/>
          <w:b w:val="0"/>
          <w:bCs w:val="0"/>
          <w:szCs w:val="26"/>
          <w:rtl/>
        </w:rPr>
        <w:footnoteReference w:id="5697"/>
      </w:r>
      <w:r>
        <w:rPr>
          <w:rFonts w:cs="Arial"/>
          <w:b w:val="0"/>
          <w:bCs w:val="0"/>
          <w:szCs w:val="26"/>
          <w:rtl/>
        </w:rPr>
        <w:t xml:space="preserve">וְהוּכַן בַּחֶסֶד כִּסֵּא, וְרָזָא דְמִלָּה </w:t>
      </w:r>
      <w:r>
        <w:rPr>
          <w:b w:val="0"/>
          <w:sz w:val="20"/>
          <w:szCs w:val="23"/>
          <w:rtl/>
        </w:rPr>
        <w:t>(איוב ז יח)</w:t>
      </w:r>
      <w:r>
        <w:rPr>
          <w:rFonts w:cs="Arial"/>
          <w:b w:val="0"/>
          <w:bCs w:val="0"/>
          <w:szCs w:val="26"/>
          <w:rtl/>
        </w:rPr>
        <w:t xml:space="preserve"> וַתִּפְקְדֶנּוּ לִבְקָרִים, לִרְגָעִים תִּבְחָנֶנּוּ.</w:t>
      </w:r>
    </w:p>
    <w:p w:rsidR="006F705A" w:rsidRDefault="006F705A" w:rsidP="006F705A">
      <w:pPr>
        <w:pStyle w:val="NormalWeb"/>
        <w:rPr>
          <w:rFonts w:cs="Arial"/>
          <w:b w:val="0"/>
          <w:bCs w:val="0"/>
          <w:szCs w:val="26"/>
          <w:rtl/>
        </w:rPr>
      </w:pPr>
      <w:r>
        <w:rPr>
          <w:rStyle w:val="a7"/>
          <w:rFonts w:cs="Arial"/>
          <w:b w:val="0"/>
          <w:bCs w:val="0"/>
          <w:szCs w:val="26"/>
          <w:rtl/>
        </w:rPr>
        <w:footnoteReference w:id="5698"/>
      </w:r>
      <w:r>
        <w:rPr>
          <w:rFonts w:cs="Arial"/>
          <w:b w:val="0"/>
          <w:bCs w:val="0"/>
          <w:szCs w:val="26"/>
          <w:rtl/>
        </w:rPr>
        <w:t xml:space="preserve">וְאִית חוֹבִין דְּאִינוּן בְּסֵתֶר, וְלָא יְכִילִן לְאַסְהָדָא בְהוֹן מַלְאָכִין דְּאָזְלִין עִם נִשְׁמָתָא, דְאִתְּמַר בָּהּ </w:t>
      </w:r>
      <w:r>
        <w:rPr>
          <w:b w:val="0"/>
          <w:sz w:val="20"/>
          <w:szCs w:val="23"/>
          <w:rtl/>
        </w:rPr>
        <w:t>(תהלים צא יא)</w:t>
      </w:r>
      <w:r>
        <w:rPr>
          <w:rFonts w:cs="Arial"/>
          <w:b w:val="0"/>
          <w:bCs w:val="0"/>
          <w:szCs w:val="26"/>
          <w:rtl/>
        </w:rPr>
        <w:t xml:space="preserve"> כִּי מַלְאָכָיו יְצַוְּה לָּךְ, הָא שְׁכִינְתָּא סָהִידַת עֲלַיְיהוּ, </w:t>
      </w:r>
      <w:r>
        <w:rPr>
          <w:rStyle w:val="a7"/>
          <w:rFonts w:cs="Arial"/>
          <w:b w:val="0"/>
          <w:bCs w:val="0"/>
          <w:szCs w:val="26"/>
          <w:rtl/>
        </w:rPr>
        <w:footnoteReference w:id="5699"/>
      </w:r>
      <w:r>
        <w:rPr>
          <w:rFonts w:cs="Arial"/>
          <w:b w:val="0"/>
          <w:bCs w:val="0"/>
          <w:szCs w:val="26"/>
          <w:rtl/>
        </w:rPr>
        <w:t xml:space="preserve">הֲדָא הוּא דִכְתִיב </w:t>
      </w:r>
      <w:r>
        <w:rPr>
          <w:b w:val="0"/>
          <w:sz w:val="20"/>
          <w:szCs w:val="23"/>
          <w:rtl/>
        </w:rPr>
        <w:t>(ירמיה כג כד)</w:t>
      </w:r>
      <w:r>
        <w:rPr>
          <w:rFonts w:cs="Arial"/>
          <w:b w:val="0"/>
          <w:bCs w:val="0"/>
          <w:szCs w:val="26"/>
          <w:rtl/>
        </w:rPr>
        <w:t xml:space="preserve"> אִם יִסָּתֵר אִישׁ בַּמִּסְתָּרִים, בְּגִין דִּשְׁכִינְתָּא עַל רֵישֵׁיהּ, דְּאִתְּמַר בָּהּ דַּע </w:t>
      </w:r>
      <w:r>
        <w:rPr>
          <w:rStyle w:val="a7"/>
          <w:rFonts w:cs="Arial"/>
          <w:b w:val="0"/>
          <w:bCs w:val="0"/>
          <w:szCs w:val="26"/>
          <w:rtl/>
        </w:rPr>
        <w:footnoteReference w:id="5700"/>
      </w:r>
      <w:r>
        <w:rPr>
          <w:rFonts w:cs="Arial"/>
          <w:b w:val="0"/>
          <w:bCs w:val="0"/>
          <w:szCs w:val="26"/>
          <w:rtl/>
        </w:rPr>
        <w:t xml:space="preserve">מַה לְּמַעְלָה מִמָּךְ, עַיִן רוֹאָה וְאֹזֶן שׁוֹמַעַת וְכָל מַעֲשֶׂיךָ בְּסֵפֶר נִכְתָּבִין, לזמנין נשמתא לא הות מודה בחובין דתבע עליה יצר הרע, וחשיד יצר הרע בהאי, </w:t>
      </w:r>
      <w:r>
        <w:rPr>
          <w:b w:val="0"/>
          <w:sz w:val="20"/>
          <w:szCs w:val="23"/>
          <w:rtl/>
        </w:rPr>
        <w:t xml:space="preserve">(נ''א </w:t>
      </w:r>
      <w:r>
        <w:rPr>
          <w:rStyle w:val="a7"/>
          <w:b w:val="0"/>
          <w:sz w:val="20"/>
          <w:szCs w:val="23"/>
          <w:rtl/>
        </w:rPr>
        <w:footnoteReference w:id="5701"/>
      </w:r>
      <w:r>
        <w:rPr>
          <w:b w:val="0"/>
          <w:sz w:val="20"/>
          <w:szCs w:val="23"/>
          <w:rtl/>
        </w:rPr>
        <w:t>ולזמנין נשמתא לא חבת וחשיד יצר הרע בהאי)</w:t>
      </w:r>
      <w:r>
        <w:rPr>
          <w:rFonts w:cs="Arial"/>
          <w:b w:val="0"/>
          <w:bCs w:val="0"/>
          <w:szCs w:val="26"/>
          <w:rtl/>
        </w:rPr>
        <w:t>, וְאָזְלִין לְגַבֵּי בֵּי דִינָא וְדָן עֲלַיְיהוּ דִין הַנִּשְׁבָּעִים, אוֹמִיאַת נִשְׁמָתָא עֲלַיְיהוּ וְאִתְפַּטְרַת, וְאִם לַאו פַּרְעַת.</w:t>
      </w:r>
    </w:p>
    <w:p w:rsidR="006F705A" w:rsidRDefault="006F705A" w:rsidP="006F705A">
      <w:pPr>
        <w:pStyle w:val="NormalWeb"/>
        <w:rPr>
          <w:rFonts w:cs="Arial"/>
          <w:szCs w:val="22"/>
          <w:rtl/>
        </w:rPr>
      </w:pPr>
      <w:r>
        <w:rPr>
          <w:rFonts w:cs="Arial"/>
          <w:szCs w:val="22"/>
          <w:rtl/>
        </w:rPr>
        <w:t>[י"א תיקונים מהדורא בתרא, קמא ע"ב]</w:t>
      </w:r>
    </w:p>
    <w:p w:rsidR="006F705A" w:rsidRDefault="006F705A" w:rsidP="006F705A">
      <w:pPr>
        <w:pStyle w:val="NormalWeb"/>
        <w:rPr>
          <w:rFonts w:cs="Arial"/>
          <w:b w:val="0"/>
          <w:bCs w:val="0"/>
          <w:szCs w:val="26"/>
          <w:rtl/>
        </w:rPr>
      </w:pPr>
      <w:r>
        <w:rPr>
          <w:rStyle w:val="a7"/>
          <w:rFonts w:cs="Arial"/>
          <w:b w:val="0"/>
          <w:bCs w:val="0"/>
          <w:szCs w:val="26"/>
          <w:rtl/>
        </w:rPr>
        <w:footnoteReference w:id="5702"/>
      </w:r>
      <w:r>
        <w:rPr>
          <w:rFonts w:cs="Arial"/>
          <w:b w:val="0"/>
          <w:bCs w:val="0"/>
          <w:szCs w:val="26"/>
          <w:rtl/>
        </w:rPr>
        <w:t xml:space="preserve">וְאִית חוֹבִין דְּאִתְּמַר בְּהוֹן </w:t>
      </w:r>
      <w:r>
        <w:rPr>
          <w:b w:val="0"/>
          <w:sz w:val="20"/>
          <w:szCs w:val="23"/>
          <w:rtl/>
        </w:rPr>
        <w:t>(איוב לז ז)</w:t>
      </w:r>
      <w:r>
        <w:rPr>
          <w:rFonts w:cs="Arial"/>
          <w:b w:val="0"/>
          <w:bCs w:val="0"/>
          <w:szCs w:val="26"/>
          <w:rtl/>
        </w:rPr>
        <w:t xml:space="preserve"> וּבְיַד כָּל אָדָם יַחְתּוֹם, וּמַרְאִין לָהּ חֲתִימַת יְדָהָא. </w:t>
      </w:r>
      <w:r>
        <w:rPr>
          <w:rStyle w:val="a7"/>
          <w:rFonts w:cs="Arial"/>
          <w:b w:val="0"/>
          <w:bCs w:val="0"/>
          <w:szCs w:val="26"/>
          <w:rtl/>
        </w:rPr>
        <w:footnoteReference w:id="5703"/>
      </w:r>
      <w:r>
        <w:rPr>
          <w:rFonts w:cs="Arial"/>
          <w:b w:val="0"/>
          <w:bCs w:val="0"/>
          <w:szCs w:val="26"/>
          <w:rtl/>
        </w:rPr>
        <w:t xml:space="preserve">וְאִית חוֹבִין דְּאִינוּן עַל תְּנַאי דְּאַתְנֵי עֲלֵיהּ לְפָרְעָא לוֹן בְּהַאי עָלְמָא, דְחוֹבִין דִּילֵיהּ בְּאַתְרֵיהּ, דְּלָא יִגְבַּהּ לוֹן תּוֹבֵעַ אֶלָּא בְּאַתְרֵיהּ, וְאִלֵּין אִינוּן חוֹבִין דְּעֶשְׂרִין שְׁנִין, </w:t>
      </w:r>
      <w:r>
        <w:rPr>
          <w:rStyle w:val="a7"/>
          <w:rFonts w:cs="Arial"/>
          <w:b w:val="0"/>
          <w:bCs w:val="0"/>
          <w:szCs w:val="26"/>
          <w:rtl/>
        </w:rPr>
        <w:footnoteReference w:id="5704"/>
      </w:r>
      <w:r>
        <w:rPr>
          <w:rFonts w:cs="Arial"/>
          <w:b w:val="0"/>
          <w:bCs w:val="0"/>
          <w:szCs w:val="26"/>
          <w:rtl/>
        </w:rPr>
        <w:t xml:space="preserve">וְאִית חוֹבִין לְתַתָּא, דְאוּקְמוּהוּ קַדְמָאִין דְּעַד עֶשְׂרִין שְׁנִין מַעֲנִישִׁין לְתַתָּא וְלָא לְעִילָא, וְאִית חוֹבִין דְּמַעֲנִישִׁין לְעִילָא וְתָבְעִין לוֹן לְעִילָא בֵּי דִינָא רַבְרְבָא, וּבְגִינַיְיהוּ מְמַשְׁכְּנִין נִשְׁמָתָא לְעִילָא, וְלָא מַנִּיחִין לָהּ לְנָחֲתָא לְתַתָּא, </w:t>
      </w:r>
      <w:r>
        <w:rPr>
          <w:rStyle w:val="a7"/>
          <w:rFonts w:cs="Arial"/>
          <w:b w:val="0"/>
          <w:bCs w:val="0"/>
          <w:szCs w:val="26"/>
          <w:rtl/>
        </w:rPr>
        <w:footnoteReference w:id="5705"/>
      </w:r>
      <w:r>
        <w:rPr>
          <w:rFonts w:cs="Arial"/>
          <w:b w:val="0"/>
          <w:bCs w:val="0"/>
          <w:szCs w:val="26"/>
          <w:rtl/>
        </w:rPr>
        <w:t xml:space="preserve">אֲבָל בְּחוֹבִין דְּמַעֲנִישִׁין עֲלַיְיהוּ לְתַתָּא, לָא מַעֲנִישִׁין לָהּ לְעִילָא, וְלָא מְעַכְּבֵי לֵיהּ תַּמָּן, וְאִית חוֹבִין דְּנִשְׁמָתָא דְּגָבִין מִנַּיְיהוּ בְּכָל אֲתַר, כְּגוֹן </w:t>
      </w:r>
      <w:r>
        <w:rPr>
          <w:b w:val="0"/>
          <w:sz w:val="20"/>
          <w:szCs w:val="23"/>
          <w:rtl/>
        </w:rPr>
        <w:t>(שמות כא יז)</w:t>
      </w:r>
      <w:r>
        <w:rPr>
          <w:rFonts w:cs="Arial"/>
          <w:b w:val="0"/>
          <w:bCs w:val="0"/>
          <w:szCs w:val="26"/>
          <w:rtl/>
        </w:rPr>
        <w:t xml:space="preserve"> וּמְקַלֵּל אָבִיו וְאִמּוֹ, דְאִתְּמַר בֵּיהּ </w:t>
      </w:r>
      <w:r>
        <w:rPr>
          <w:rStyle w:val="a7"/>
          <w:rFonts w:cs="Arial"/>
          <w:b w:val="0"/>
          <w:bCs w:val="0"/>
          <w:szCs w:val="26"/>
          <w:rtl/>
        </w:rPr>
        <w:footnoteReference w:id="5706"/>
      </w:r>
      <w:r>
        <w:rPr>
          <w:rFonts w:cs="Arial"/>
          <w:b w:val="0"/>
          <w:bCs w:val="0"/>
          <w:szCs w:val="26"/>
          <w:rtl/>
        </w:rPr>
        <w:t xml:space="preserve">מוֹת יוּמָת, מִבֵּי דִינָא דִלְעִילָא וּמִבֵּי דִינָא דִלְתַתָּא, דְּאִתְדַּנַּת בִּתְרֵין דִּינִין, וּבְגִין חוֹבָא דָא בְכָל אֲתַר דְּאַשְׁכְּחִין לָהּ לְעִילָא גָבִין מִינָהּ, וּבְכָל אֲתַר דְּאַשְׁכְּחִין לָהּ לְתַתָּא גָבִין מִינָהּ, </w:t>
      </w:r>
      <w:r>
        <w:rPr>
          <w:rStyle w:val="a7"/>
          <w:rFonts w:cs="Arial"/>
          <w:b w:val="0"/>
          <w:bCs w:val="0"/>
          <w:szCs w:val="26"/>
          <w:rtl/>
        </w:rPr>
        <w:footnoteReference w:id="5707"/>
      </w:r>
      <w:r>
        <w:rPr>
          <w:rFonts w:cs="Arial"/>
          <w:b w:val="0"/>
          <w:bCs w:val="0"/>
          <w:szCs w:val="26"/>
          <w:rtl/>
        </w:rPr>
        <w:t xml:space="preserve">וְלֵית פִּקּוּדָא דְלֵית לָהּ רְשׁוּ לְאַגָּנָא עֲלָהָא, דְּאִית חוֹבִין דְּדַיְינִין לָהּ בְּדִינִים חֲמוּרִים לְנִשְׁמָתָא, וְיֵתֵי מִצְוָה דְאִיהִי מַטְרוֹנִיתָא כְּגוֹן מִצְוַת תְּפִלִּין, וְאַגִּינַת עֲלֵיהּ וּפְרִישַׂת גַּדְפָהָא עֲלָהּ, וְלֵית רְשׁוּ לִמְקַטְרֵג </w:t>
      </w:r>
      <w:r>
        <w:rPr>
          <w:b w:val="0"/>
          <w:sz w:val="20"/>
          <w:szCs w:val="23"/>
          <w:rtl/>
        </w:rPr>
        <w:t>(קמא ע"ב)</w:t>
      </w:r>
      <w:r>
        <w:rPr>
          <w:rFonts w:cs="Arial"/>
          <w:b w:val="0"/>
          <w:bCs w:val="0"/>
          <w:szCs w:val="26"/>
          <w:rtl/>
        </w:rPr>
        <w:t xml:space="preserve"> לְקָרְבָא תַּמָּן, וְאִית חוֹבִין דְּמַטְרוֹנִיתָא לֵית לָהּ רְשׁוּ לְאַגָּנָא עֲלַיְיהוּ, הֲדָא הוּא דִכְתִיב </w:t>
      </w:r>
      <w:r>
        <w:rPr>
          <w:b w:val="0"/>
          <w:sz w:val="20"/>
          <w:szCs w:val="23"/>
          <w:rtl/>
        </w:rPr>
        <w:t>(שם יד)</w:t>
      </w:r>
      <w:r>
        <w:rPr>
          <w:rFonts w:cs="Arial"/>
          <w:b w:val="0"/>
          <w:bCs w:val="0"/>
          <w:szCs w:val="26"/>
          <w:rtl/>
        </w:rPr>
        <w:t xml:space="preserve"> מֵעִם מִזְבְּחִי תִּקָּחֶנּוּ לָמוּת.</w:t>
      </w:r>
    </w:p>
    <w:p w:rsidR="006F705A" w:rsidRDefault="006F705A" w:rsidP="006F705A">
      <w:pPr>
        <w:pStyle w:val="NormalWeb"/>
        <w:rPr>
          <w:rFonts w:cs="Arial"/>
          <w:b w:val="0"/>
          <w:bCs w:val="0"/>
          <w:szCs w:val="26"/>
          <w:rtl/>
        </w:rPr>
      </w:pPr>
      <w:r>
        <w:rPr>
          <w:rFonts w:cs="Arial"/>
          <w:b w:val="0"/>
          <w:bCs w:val="0"/>
          <w:szCs w:val="26"/>
          <w:rtl/>
        </w:rPr>
        <w:t xml:space="preserve">אֲבָל פִּקּוּדִין אִית </w:t>
      </w:r>
      <w:r>
        <w:rPr>
          <w:rStyle w:val="a7"/>
          <w:rFonts w:cs="Arial"/>
          <w:b w:val="0"/>
          <w:bCs w:val="0"/>
          <w:szCs w:val="26"/>
          <w:rtl/>
        </w:rPr>
        <w:footnoteReference w:id="5708"/>
      </w:r>
      <w:r>
        <w:rPr>
          <w:rFonts w:cs="Arial"/>
          <w:b w:val="0"/>
          <w:bCs w:val="0"/>
          <w:szCs w:val="26"/>
          <w:rtl/>
        </w:rPr>
        <w:t xml:space="preserve">דְּאִינוּן שְׁפָחוֹת, מֵאִלֵּין </w:t>
      </w:r>
      <w:r>
        <w:rPr>
          <w:b w:val="0"/>
          <w:sz w:val="20"/>
          <w:szCs w:val="23"/>
          <w:rtl/>
        </w:rPr>
        <w:t>(נ"א פחות מאלין)</w:t>
      </w:r>
      <w:r>
        <w:rPr>
          <w:rFonts w:cs="Arial"/>
          <w:b w:val="0"/>
          <w:bCs w:val="0"/>
          <w:szCs w:val="26"/>
          <w:rtl/>
        </w:rPr>
        <w:t xml:space="preserve"> פִּקּוּדִין דְּאִינוּן עַל מְנָת לְקַבֵּל פְּרָס, אַף עַל גַּב דְּיֵיתוּן לְאַגָּנָא עֲלָהּ, נָטְלֵי לוֹן מְקַטְרְגִין תְּחוֹת רְשׁוּתַיְיהוּ, </w:t>
      </w:r>
      <w:r>
        <w:rPr>
          <w:b w:val="0"/>
          <w:sz w:val="20"/>
          <w:szCs w:val="23"/>
          <w:rtl/>
        </w:rPr>
        <w:t>(נ''א נפקין לה מקטרגין מרשותייהו)</w:t>
      </w:r>
      <w:r>
        <w:rPr>
          <w:rFonts w:cs="Arial"/>
          <w:b w:val="0"/>
          <w:bCs w:val="0"/>
          <w:szCs w:val="26"/>
          <w:rtl/>
        </w:rPr>
        <w:t>, וְאִית חוֹבִין אָחֳרָנִין דְּאִתְקְרִיאוּ חֲלוּקֵי דַיָּינִין, עַל חוֹבִין דְּחוֹלְקִין בְּהוֹן, מִנְּהוֹן מַטֶּה כְּלַפֵּי חֶסֶד, וְדַיְינִין לָהּ לְנִשְׁמָתָא בְּמָמוֹן דְּאִיהוּ דִינֵי מָמוֹנוֹת, וְאִית אָחֳרָנִין דְּחוֹלְקִין עֲלַיְיהוּ וְאִינוּן נוֹטִין כְּלַפֵּי חוֹבָה, לְמֵידַן לָהּ בְּדִינֵי נְפָשׁוֹת, אִם זַכְוָון מִתְגַּבְּרִין עַל חוֹבִין דָּנִין לָהּ בְּדִינֵי מָמוֹנוֹת, וְגָבִין מִזַּכְוָון דְּאִינוּן גְּמִילוּת חֲסָדִים דִּילֵיהּ, וְאִם חוֹבִין מִתְגַּבְּרִין דַּיְינִין לָהּ בְּדִינֵי נְפָשׁוֹת מִסִּטְרָא דִגְבוּרָה, וְגָבִין בָּהּ נֶפֶשׁ וְרוּחַ.</w:t>
      </w:r>
    </w:p>
    <w:p w:rsidR="006F705A" w:rsidRDefault="006F705A" w:rsidP="006F705A">
      <w:pPr>
        <w:pStyle w:val="NormalWeb"/>
        <w:rPr>
          <w:rFonts w:cs="Arial"/>
          <w:b w:val="0"/>
          <w:bCs w:val="0"/>
          <w:szCs w:val="26"/>
          <w:rtl/>
        </w:rPr>
      </w:pPr>
      <w:r>
        <w:rPr>
          <w:rFonts w:cs="Arial"/>
          <w:b w:val="0"/>
          <w:bCs w:val="0"/>
          <w:szCs w:val="26"/>
          <w:rtl/>
        </w:rPr>
        <w:t xml:space="preserve">וּלְעִילָא לֵית מַשּׂוֹא פָּנִים בֵּין זַכָּאָה לְחַיָּבַיָּא, וְכֵן צָרִיךְ לְהַשְׁווֹת לְתַתָּא גַבֵּי דִינָא זַכָּאָה עִם חַיָּיבָא, מִסִּטְרָא דֶאֱמֶת עַמּוּדָא דְאֶמְצָעִיתָא, וְלָא יְהֵא דַיָּינָא רַשַּׁאי לְמֶעֱבַד מַשּׂוֹא פָנִים לְחַד מִנַּיְיהוּ בְדִינָא, דִבְדַיָּינָא דִלְעִילָא אִתְּמַר בֵּיהּ </w:t>
      </w:r>
      <w:r>
        <w:rPr>
          <w:b w:val="0"/>
          <w:sz w:val="20"/>
          <w:szCs w:val="23"/>
          <w:rtl/>
        </w:rPr>
        <w:t>(דברים י יז)</w:t>
      </w:r>
      <w:r>
        <w:rPr>
          <w:rFonts w:cs="Arial"/>
          <w:b w:val="0"/>
          <w:bCs w:val="0"/>
          <w:szCs w:val="26"/>
          <w:rtl/>
        </w:rPr>
        <w:t xml:space="preserve"> לֹא יִשָּׂא פָנִים וְלֹא יִקַּח שֹׁחַד, וַוי לֵיהּ לְדַיָּינָא לְתַתָּא דְאִשְׁתַּנֵּי מִדַּיָּינָא דִלְעִילָא, דְאַכְחִישׁ עוֹבָדָא דִבְּרֵאשִׁית, וְלָא יֵימָא דָא מְהֵימְנָא מִדָּא, דִּכְמָה דְאִיהוּ לְתַתָּא </w:t>
      </w:r>
      <w:r>
        <w:rPr>
          <w:b w:val="0"/>
          <w:sz w:val="20"/>
          <w:szCs w:val="23"/>
          <w:rtl/>
        </w:rPr>
        <w:t>(שם טז יח)</w:t>
      </w:r>
      <w:r>
        <w:rPr>
          <w:rFonts w:cs="Arial"/>
          <w:b w:val="0"/>
          <w:bCs w:val="0"/>
          <w:szCs w:val="26"/>
          <w:rtl/>
        </w:rPr>
        <w:t xml:space="preserve"> שׁוֹפְטִים וְשׁוֹטְרִים תִּתֶּן לְךָ בְּכָל שְׁעָרֶיךָ, לְדַיְינָא גוּפִין, הָכִי אִית לְעִילָא שׁוֹפְטִים וְשׁוֹטְרִים לְדַיְינָא נִשְׁמָתָא, וְלָא יוֹקִיר לְדָא יַתִּיר מִדָּא, אֶלָּא תַרְוַיְיהוּ בְּהַשְׁוָאָה בְדִינָא, וְאִינוּן צְרִיכִין לְמִשְׁמַע קֳדָם דַּיָּינָא, וְלָא יְמַלְּלוּן עַד דְּשָׁאִיל לוֹן דַּיָּינָא, וְיָהִיב לוֹן רְשׁוּ לְמַלְּלָא, וִיהוֹן קֳדָמֵיהּ בִּדְחִילוּ, בְּגִין דִּשְׁכִינְתָּא שַׁרְיָא עֲלַיְיהוּ, וּמָאן דְּתָבַע קְשׁוֹט כְּאִלּוּ מְקַיֵּים עַל עָלְמָא דַיָּין אֱמֶת </w:t>
      </w:r>
      <w:r>
        <w:rPr>
          <w:b w:val="0"/>
          <w:sz w:val="20"/>
          <w:szCs w:val="23"/>
          <w:rtl/>
        </w:rPr>
        <w:t>(ס''א דין אמת)</w:t>
      </w:r>
      <w:r>
        <w:rPr>
          <w:rFonts w:cs="Arial"/>
          <w:b w:val="0"/>
          <w:bCs w:val="0"/>
          <w:szCs w:val="26"/>
          <w:rtl/>
        </w:rPr>
        <w:t xml:space="preserve">, וְכָל שֶׁכֵּן מָאן דְּדָן דִּין אֱמֶת, כְּאִלּוּ מְקַיֵּים </w:t>
      </w:r>
      <w:r>
        <w:rPr>
          <w:b w:val="0"/>
          <w:sz w:val="20"/>
          <w:szCs w:val="23"/>
          <w:rtl/>
        </w:rPr>
        <w:t>(תהלים פ יב)</w:t>
      </w:r>
      <w:r>
        <w:rPr>
          <w:rFonts w:cs="Arial"/>
          <w:b w:val="0"/>
          <w:bCs w:val="0"/>
          <w:szCs w:val="26"/>
          <w:rtl/>
        </w:rPr>
        <w:t xml:space="preserve"> אֱמֶת מֵאֶרֶץ תִּצְמָח, וַוי לֵיהּ לְמָאן דְּאוֹקִים שִׁקְרָא וְאַפִּיל אֱמֶת, דְּגָרִים </w:t>
      </w:r>
      <w:r>
        <w:rPr>
          <w:b w:val="0"/>
          <w:sz w:val="20"/>
          <w:szCs w:val="23"/>
          <w:rtl/>
        </w:rPr>
        <w:t>(דניאל ח יב)</w:t>
      </w:r>
      <w:r>
        <w:rPr>
          <w:rFonts w:cs="Arial"/>
          <w:b w:val="0"/>
          <w:bCs w:val="0"/>
          <w:szCs w:val="26"/>
          <w:rtl/>
        </w:rPr>
        <w:t xml:space="preserve"> וְתַשְׁלֵךְ אֱמֶת אַרְצָה, וּמָאן גָּרִים דָּא דַּיָּינָא דְלָא דָן דִּין אֱמֶת, </w:t>
      </w:r>
      <w:r>
        <w:rPr>
          <w:rStyle w:val="a7"/>
          <w:rFonts w:cs="Arial"/>
          <w:b w:val="0"/>
          <w:bCs w:val="0"/>
          <w:szCs w:val="26"/>
          <w:rtl/>
        </w:rPr>
        <w:footnoteReference w:id="5709"/>
      </w:r>
      <w:r>
        <w:rPr>
          <w:rFonts w:cs="Arial"/>
          <w:b w:val="0"/>
          <w:bCs w:val="0"/>
          <w:szCs w:val="26"/>
          <w:rtl/>
        </w:rPr>
        <w:t>וּבְוַדַּאי דַּיָּין דְּדָן דִּין אֱמֶת כְּאִלּוּ הוּא אַפִּיק לִשְׁכִינְתָּא וּלְיִשְׂרָאֵל מִגָּלוּתָא, וְאוֹקִים לוֹן מֵאַרְעָא.</w:t>
      </w:r>
    </w:p>
    <w:p w:rsidR="006F705A" w:rsidRDefault="006F705A" w:rsidP="006F705A">
      <w:pPr>
        <w:pStyle w:val="NormalWeb"/>
        <w:rPr>
          <w:rFonts w:cs="Arial"/>
          <w:b w:val="0"/>
          <w:bCs w:val="0"/>
          <w:szCs w:val="26"/>
          <w:rtl/>
        </w:rPr>
      </w:pPr>
      <w:r>
        <w:rPr>
          <w:rFonts w:cs="Arial"/>
          <w:b w:val="0"/>
          <w:bCs w:val="0"/>
          <w:szCs w:val="26"/>
          <w:rtl/>
        </w:rPr>
        <w:t xml:space="preserve">קָם רַבִּי שִׁמְעוֹן עַל רַגְלוֹי, וְסָלִיק יְדוֹי לְגַבֵּי עִילָא, וְשַׁבַּח לְמָארֵי עָלְמָא, וְאָמַר, רִבּוֹן עָלְמָא </w:t>
      </w:r>
      <w:r>
        <w:rPr>
          <w:rStyle w:val="a7"/>
          <w:rFonts w:cs="Arial"/>
          <w:b w:val="0"/>
          <w:bCs w:val="0"/>
          <w:szCs w:val="26"/>
          <w:rtl/>
        </w:rPr>
        <w:footnoteReference w:id="5710"/>
      </w:r>
      <w:r>
        <w:rPr>
          <w:rFonts w:cs="Arial"/>
          <w:b w:val="0"/>
          <w:bCs w:val="0"/>
          <w:szCs w:val="26"/>
          <w:rtl/>
        </w:rPr>
        <w:t xml:space="preserve">עֲבֵיד בְּגִין שְׁכִינְתָּא דְאִיהִי בְגָלוּתָא, וְאִם אִיהִי בְּאוֹמָאָה </w:t>
      </w:r>
      <w:r>
        <w:rPr>
          <w:rStyle w:val="a7"/>
          <w:rFonts w:cs="Arial"/>
          <w:b w:val="0"/>
          <w:bCs w:val="0"/>
          <w:szCs w:val="26"/>
          <w:rtl/>
        </w:rPr>
        <w:footnoteReference w:id="5711"/>
      </w:r>
      <w:r>
        <w:rPr>
          <w:rFonts w:cs="Arial"/>
          <w:b w:val="0"/>
          <w:bCs w:val="0"/>
          <w:szCs w:val="26"/>
          <w:rtl/>
        </w:rPr>
        <w:t xml:space="preserve">הָא אַבָּא וְאִמָּא דְאִינוּן חָכְמָה וּבִינָה יָכְלִין לְמֶעֱבַד הַתָּרָה, הֲדָא הוּא דִכְתִיב </w:t>
      </w:r>
      <w:r>
        <w:rPr>
          <w:b w:val="0"/>
          <w:sz w:val="20"/>
          <w:szCs w:val="23"/>
          <w:rtl/>
        </w:rPr>
        <w:t>(ישעיה יד כז)</w:t>
      </w:r>
      <w:r>
        <w:rPr>
          <w:rFonts w:cs="Arial"/>
          <w:b w:val="0"/>
          <w:bCs w:val="0"/>
          <w:szCs w:val="26"/>
          <w:rtl/>
        </w:rPr>
        <w:t xml:space="preserve"> יהו''ה צְבָאוֹ''ת יָעָץ </w:t>
      </w:r>
      <w:r>
        <w:rPr>
          <w:rStyle w:val="a7"/>
          <w:rFonts w:cs="Arial"/>
          <w:b w:val="0"/>
          <w:bCs w:val="0"/>
          <w:szCs w:val="26"/>
          <w:rtl/>
        </w:rPr>
        <w:footnoteReference w:id="5712"/>
      </w:r>
      <w:r>
        <w:rPr>
          <w:rFonts w:cs="Arial"/>
          <w:b w:val="0"/>
          <w:bCs w:val="0"/>
          <w:szCs w:val="26"/>
          <w:rtl/>
        </w:rPr>
        <w:t xml:space="preserve">וּמִי יָפֵר, </w:t>
      </w:r>
      <w:r>
        <w:rPr>
          <w:rStyle w:val="a7"/>
          <w:rFonts w:cs="Arial"/>
          <w:b w:val="0"/>
          <w:bCs w:val="0"/>
          <w:szCs w:val="26"/>
          <w:rtl/>
        </w:rPr>
        <w:footnoteReference w:id="5713"/>
      </w:r>
      <w:r>
        <w:rPr>
          <w:rFonts w:cs="Arial"/>
          <w:b w:val="0"/>
          <w:bCs w:val="0"/>
          <w:szCs w:val="26"/>
          <w:rtl/>
        </w:rPr>
        <w:t>אִם הַתַּלְמִיד אוֹמֵי הָרַב יָכִיל לְמֶעֱבַד הַתָּרָה.</w:t>
      </w:r>
    </w:p>
    <w:p w:rsidR="006F705A" w:rsidRDefault="006F705A" w:rsidP="006F705A">
      <w:pPr>
        <w:pStyle w:val="NormalWeb"/>
        <w:rPr>
          <w:rFonts w:cs="Arial"/>
          <w:b w:val="0"/>
          <w:bCs w:val="0"/>
          <w:szCs w:val="26"/>
          <w:rtl/>
        </w:rPr>
      </w:pPr>
      <w:r>
        <w:rPr>
          <w:rFonts w:cs="Arial"/>
          <w:b w:val="0"/>
          <w:bCs w:val="0"/>
          <w:szCs w:val="26"/>
          <w:rtl/>
        </w:rPr>
        <w:t xml:space="preserve">וְאִם נָדַר אוֹ נִשְׁבַּע בֵּן דְּאִיהוּ ו' דְּלָא יִפְרוֹק לָהּ אֶלָּא דִתְהֵי בְּגָלוּתָא עַד </w:t>
      </w:r>
      <w:r>
        <w:rPr>
          <w:rStyle w:val="a7"/>
          <w:rFonts w:cs="Arial"/>
          <w:b w:val="0"/>
          <w:bCs w:val="0"/>
          <w:szCs w:val="26"/>
          <w:rtl/>
        </w:rPr>
        <w:footnoteReference w:id="5714"/>
      </w:r>
      <w:r>
        <w:rPr>
          <w:rFonts w:cs="Arial"/>
          <w:b w:val="0"/>
          <w:bCs w:val="0"/>
          <w:szCs w:val="26"/>
          <w:rtl/>
        </w:rPr>
        <w:t>זִמְנָא יְדִיעָא, וְנֶדֶר אוֹ שְׁבוּעָה אִיהוּ בְּי''ה דְּאִינוּן חָכְמָה וּבִינָה, וְאִיהוּ אִתְחָרֵט, הָא תְּלַת בְּנֵי נָשָׁא יָכְלִין לְמִפְטַר לֵיהּ, וְאִינוּן תְּלַת אֲבָהָן לְעִילָא לְקִבְלַיְיהוּ.</w:t>
      </w:r>
    </w:p>
    <w:p w:rsidR="006F705A" w:rsidRDefault="006F705A" w:rsidP="006F705A">
      <w:pPr>
        <w:pStyle w:val="NormalWeb"/>
        <w:rPr>
          <w:rFonts w:cs="Arial"/>
          <w:b w:val="0"/>
          <w:bCs w:val="0"/>
          <w:szCs w:val="26"/>
          <w:rtl/>
        </w:rPr>
      </w:pPr>
      <w:r>
        <w:rPr>
          <w:rFonts w:cs="Arial"/>
          <w:b w:val="0"/>
          <w:bCs w:val="0"/>
          <w:szCs w:val="26"/>
          <w:rtl/>
        </w:rPr>
        <w:t xml:space="preserve">וְאִם לָא תִּתְחָרֵט, אֲנָא בָּעִינָא מִינָךְ, וּמִכָּל אִינוּן דִּמְתִיבְתָּא דִלְעִילָא וְתַתָּא, דְתַעֲבֵיד בְּגִין רַעֲיָא מְהֵימְנָא דְלָא זָז מִשְּׁכִינְתָּא בְּכָל אֲתַר, וְאִיהוּ עָאל שְׁלָם בֵּינָךְ וּבֵינָהּ זִמְנִין סַגִּיאִין, וּמָסַר גַּרְמֵיהּ לְמִיתָה בְּגִינָהּ וּבְגִין בְּנָהָא, הֲדָא הוּא דִכְתִיב </w:t>
      </w:r>
      <w:r>
        <w:rPr>
          <w:b w:val="0"/>
          <w:sz w:val="20"/>
          <w:szCs w:val="23"/>
          <w:rtl/>
        </w:rPr>
        <w:t>(שמות לב לב)</w:t>
      </w:r>
      <w:r>
        <w:rPr>
          <w:rFonts w:cs="Arial"/>
          <w:b w:val="0"/>
          <w:bCs w:val="0"/>
          <w:szCs w:val="26"/>
          <w:rtl/>
        </w:rPr>
        <w:t xml:space="preserve"> וְאִם אַיִן מְחֵנִי נָא מִסִּפְרְךָ אֲשֶׁר כָּתָבְתָּ.</w:t>
      </w:r>
    </w:p>
    <w:p w:rsidR="006F705A" w:rsidRDefault="006F705A" w:rsidP="006F705A">
      <w:pPr>
        <w:pStyle w:val="NormalWeb"/>
        <w:rPr>
          <w:rFonts w:cs="Arial"/>
          <w:szCs w:val="22"/>
          <w:rtl/>
        </w:rPr>
      </w:pPr>
      <w:r>
        <w:rPr>
          <w:rFonts w:cs="Arial"/>
          <w:szCs w:val="22"/>
          <w:rtl/>
        </w:rPr>
        <w:t>[י"א תיקונים מהדורא בתרא, קמב ע"א]</w:t>
      </w:r>
    </w:p>
    <w:p w:rsidR="006F705A" w:rsidRDefault="006F705A" w:rsidP="006F705A">
      <w:pPr>
        <w:pStyle w:val="NormalWeb"/>
        <w:rPr>
          <w:rFonts w:cs="Arial"/>
          <w:b w:val="0"/>
          <w:bCs w:val="0"/>
          <w:szCs w:val="26"/>
          <w:rtl/>
        </w:rPr>
      </w:pPr>
      <w:r>
        <w:rPr>
          <w:rStyle w:val="a7"/>
          <w:rFonts w:cs="Arial"/>
          <w:b w:val="0"/>
          <w:bCs w:val="0"/>
          <w:szCs w:val="26"/>
          <w:rtl/>
        </w:rPr>
        <w:footnoteReference w:id="5715"/>
      </w:r>
      <w:r>
        <w:rPr>
          <w:rFonts w:cs="Arial"/>
          <w:b w:val="0"/>
          <w:bCs w:val="0"/>
          <w:szCs w:val="26"/>
          <w:rtl/>
        </w:rPr>
        <w:t xml:space="preserve">וְאִם הוּא נֶדֶר מִסִּטְרָא דְאַבָּא וְאִמָּא, וְלָא בָּעִי, אֲנָא סָלִיק לְגַבֵּי הַהוּא דְאִתְּמַר בֵּיהּ </w:t>
      </w:r>
      <w:r>
        <w:rPr>
          <w:b w:val="0"/>
          <w:sz w:val="20"/>
          <w:szCs w:val="23"/>
          <w:rtl/>
        </w:rPr>
        <w:t>(דברים יז ח)</w:t>
      </w:r>
      <w:r>
        <w:rPr>
          <w:rFonts w:cs="Arial"/>
          <w:b w:val="0"/>
          <w:bCs w:val="0"/>
          <w:szCs w:val="26"/>
          <w:rtl/>
        </w:rPr>
        <w:t xml:space="preserve"> כִּי יִפָּלֵא מִמְּךָ דָבָר, דְּאִתְּמַר בֵּיהּ בְּמוּפְלָא מִמָּךְ אַל תִּדְרוֹשׁ, דְּיִפְטוֹר נֶדֶר, וְאַף עַל גַּב דִּשְׁכִינְתָּא אִיהִי בְגָלוּתָא לְגַבֵּי בַּעְלָהּ כְּנִדָּה, דְּאִיהִי יַפְרִישׁ בֵּין דָּם לְדָם, וְאִתְפַּתַּח מְקוֹרָא דִילָהּ, לְדַכָּאָה לָהּ בְּמַיִם דְּאוֹרַיְיתָא, מַיִם חַיִּים דְּלָא פָסְקִין, וְאַפְרֵישׁ מִינָהּ דַּם נִדָּה דְּאִיהִי לִילִי''ת, דְּלָא אִתְקְרִיבַת בַּהֲדָהּ, דְּאִיהִי חוֹבָא דְנִשְׁמָתָא דְסָאִיבַת לָהּ, וְלֵית לָהּ רְשׁוּ לְסָלְקָא נִשְׁמָתָא לְגַבֵּי בַּעְלָהּ, לְהַהוּא אֲתַר דְּאִתְיְיהִיבַת מִתַּמָּן, וְאִתְדָּנַת בֵּין דִּין לְדִין, בֵּין דִּינֵי נְפָשׁוֹת לְדִינֵי מָמוֹנוֹת, דְּאִית מָאן דְּפָרַע בְּמָמוֹנֵיהּ, וְאִית מָאן דְּפָרַע בְּנַפְשֵׁיהּ, וּבֵין נֶגַע לָנֶגַע, כְּמָה דְאוּקְמוּהוּ </w:t>
      </w:r>
      <w:r>
        <w:rPr>
          <w:b w:val="0"/>
          <w:sz w:val="20"/>
          <w:szCs w:val="23"/>
          <w:rtl/>
        </w:rPr>
        <w:t>(איכה א א)</w:t>
      </w:r>
      <w:r>
        <w:rPr>
          <w:rFonts w:cs="Arial"/>
          <w:b w:val="0"/>
          <w:bCs w:val="0"/>
          <w:szCs w:val="26"/>
          <w:rtl/>
        </w:rPr>
        <w:t xml:space="preserve"> אֵיכָה יָשְׁבָה בָדָד, דְּאִיהִי חֲשִׁיבָא שְׁכִינְתָּא בְּגָלוּתָא כִּמְצוֹרָע, דְּאִתְּמַר בֵּיהּ </w:t>
      </w:r>
      <w:r>
        <w:rPr>
          <w:b w:val="0"/>
          <w:sz w:val="20"/>
          <w:szCs w:val="23"/>
          <w:rtl/>
        </w:rPr>
        <w:t>(ויקרא יג מו)</w:t>
      </w:r>
      <w:r>
        <w:rPr>
          <w:rFonts w:cs="Arial"/>
          <w:b w:val="0"/>
          <w:bCs w:val="0"/>
          <w:szCs w:val="26"/>
          <w:rtl/>
        </w:rPr>
        <w:t xml:space="preserve"> בָּדָד יֵשֵׁב מִחוּץ לַמַּחֲנֶה, </w:t>
      </w:r>
      <w:r>
        <w:rPr>
          <w:b w:val="0"/>
          <w:sz w:val="20"/>
          <w:szCs w:val="23"/>
          <w:rtl/>
        </w:rPr>
        <w:t>(קמב ע"א)</w:t>
      </w:r>
      <w:r>
        <w:rPr>
          <w:rFonts w:cs="Arial"/>
          <w:b w:val="0"/>
          <w:bCs w:val="0"/>
          <w:szCs w:val="26"/>
          <w:rtl/>
        </w:rPr>
        <w:t xml:space="preserve"> מִחוּץ וַדַּאי, דָּא גָלוּתָא, דְּאִיהִי לְבָר מֵאַרְעָא דְיִשְׂרָאֵל, דְּאִיהִי מוֹתְבָא דְאָת ה'.</w:t>
      </w:r>
    </w:p>
    <w:p w:rsidR="006F705A" w:rsidRDefault="006F705A" w:rsidP="006F705A">
      <w:pPr>
        <w:pStyle w:val="NormalWeb"/>
        <w:rPr>
          <w:rFonts w:cs="Arial"/>
          <w:b w:val="0"/>
          <w:bCs w:val="0"/>
          <w:szCs w:val="26"/>
          <w:rtl/>
        </w:rPr>
      </w:pPr>
      <w:r>
        <w:rPr>
          <w:rStyle w:val="a7"/>
          <w:rFonts w:cs="Arial"/>
          <w:b w:val="0"/>
          <w:bCs w:val="0"/>
          <w:szCs w:val="26"/>
          <w:rtl/>
        </w:rPr>
        <w:footnoteReference w:id="5716"/>
      </w:r>
      <w:r>
        <w:rPr>
          <w:rFonts w:cs="Arial"/>
          <w:b w:val="0"/>
          <w:bCs w:val="0"/>
          <w:szCs w:val="26"/>
          <w:rtl/>
        </w:rPr>
        <w:t xml:space="preserve">וְאִי מְקוֹרָא לָא יָכִיל לְמִפְתַּח עַד דְּיִפְתַּח לֵיהּ הַהוּא דְסָגִיר לֵיהּ, אֲנָא מְפַיַּיסְנָא לֵיהּ בְּגִין יו''ד ה''א וא''ו ה''א, דְּאִיהוּ יִחוּדָא </w:t>
      </w:r>
      <w:r>
        <w:rPr>
          <w:b w:val="0"/>
          <w:sz w:val="20"/>
          <w:szCs w:val="23"/>
          <w:rtl/>
        </w:rPr>
        <w:t>(דיחודיה תמן)</w:t>
      </w:r>
      <w:r>
        <w:rPr>
          <w:rFonts w:cs="Arial"/>
          <w:b w:val="0"/>
          <w:bCs w:val="0"/>
          <w:szCs w:val="26"/>
          <w:rtl/>
        </w:rPr>
        <w:t xml:space="preserve">, וּבְגִין לְבוּשִׁין דְּאִתְלַבֵּשׁ, מִיָּד אִתְפַּתְּחַת מְקוֹרָהּ וְאִתְדַּכִּיאַת שְׁכִינְתָּא, וְרָזָא דְמִלָּה </w:t>
      </w:r>
      <w:r>
        <w:rPr>
          <w:b w:val="0"/>
          <w:sz w:val="20"/>
          <w:szCs w:val="23"/>
          <w:rtl/>
        </w:rPr>
        <w:t>(ירמיה יד ד)</w:t>
      </w:r>
      <w:r>
        <w:rPr>
          <w:rFonts w:cs="Arial"/>
          <w:b w:val="0"/>
          <w:bCs w:val="0"/>
          <w:szCs w:val="26"/>
          <w:rtl/>
        </w:rPr>
        <w:t xml:space="preserve"> מִקְוִה יִשְׂרָאֵל יהו''ה מוֹשִׁיעוֹ בְּעִת צָרָה, מוֹשִׁיעוֹ וַדַּאי, הַהוּא דְמָקוֹרָא דְמִקְוְה בִּידֵהּ.</w:t>
      </w:r>
    </w:p>
    <w:p w:rsidR="006F705A" w:rsidRDefault="006F705A" w:rsidP="0043727D">
      <w:pPr>
        <w:pStyle w:val="1"/>
        <w:rPr>
          <w:u w:val="single"/>
          <w:rtl/>
        </w:rPr>
      </w:pPr>
      <w:bookmarkStart w:id="349" w:name="_Toc228091354"/>
      <w:bookmarkStart w:id="350" w:name="_Toc231637993"/>
      <w:r>
        <w:rPr>
          <w:rtl/>
        </w:rPr>
        <w:t>תקונא שתיתאה [מהדורה תנינא]</w:t>
      </w:r>
      <w:bookmarkEnd w:id="349"/>
      <w:bookmarkEnd w:id="350"/>
    </w:p>
    <w:p w:rsidR="006F705A" w:rsidRDefault="006F705A" w:rsidP="006F705A">
      <w:pPr>
        <w:spacing w:after="40" w:line="360" w:lineRule="atLeast"/>
        <w:ind w:left="144" w:right="144" w:firstLine="288"/>
        <w:jc w:val="both"/>
        <w:rPr>
          <w:rFonts w:ascii="Arial" w:cs="Arial"/>
          <w:b/>
          <w:bCs/>
          <w:sz w:val="29"/>
          <w:szCs w:val="26"/>
          <w:rtl/>
        </w:rPr>
      </w:pPr>
      <w:r>
        <w:rPr>
          <w:rFonts w:ascii="Arial" w:cs="FrankRuehl"/>
          <w:b/>
          <w:rtl/>
        </w:rPr>
        <w:t>(זהו תקון כ''ו)</w:t>
      </w:r>
    </w:p>
    <w:p w:rsidR="006F705A" w:rsidRDefault="006F705A" w:rsidP="006F705A">
      <w:pPr>
        <w:spacing w:after="40" w:line="360" w:lineRule="atLeast"/>
        <w:ind w:left="144" w:right="144" w:firstLine="288"/>
        <w:jc w:val="both"/>
        <w:rPr>
          <w:rFonts w:ascii="Arial" w:cs="Arial"/>
          <w:b/>
          <w:bCs/>
          <w:sz w:val="29"/>
          <w:szCs w:val="26"/>
          <w:rtl/>
        </w:rPr>
      </w:pPr>
      <w:r>
        <w:rPr>
          <w:rStyle w:val="a7"/>
          <w:rFonts w:ascii="Arial" w:cs="Arial"/>
          <w:b/>
          <w:bCs/>
          <w:sz w:val="29"/>
          <w:szCs w:val="26"/>
          <w:rtl/>
        </w:rPr>
        <w:footnoteReference w:id="5717"/>
      </w:r>
      <w:r>
        <w:rPr>
          <w:rFonts w:ascii="Arial" w:cs="Arial"/>
          <w:b/>
          <w:bCs/>
          <w:sz w:val="29"/>
          <w:szCs w:val="26"/>
          <w:rtl/>
        </w:rPr>
        <w:t xml:space="preserve">בְּרֵאשִׁית תַּמָּן תְּרֵי אֵשׁ, וְאִלֵּין אִינוּן תְּרֵין אֵשִׁין דְּאִינוּן בּוֹרֵא מְאוֹרֵי הָאֵשׁ, וַעֲלַיְיהוּ אִתְּמַר </w:t>
      </w:r>
      <w:r>
        <w:rPr>
          <w:rFonts w:ascii="Arial" w:cs="FrankRuehl"/>
          <w:b/>
          <w:rtl/>
        </w:rPr>
        <w:t>(שיר ב ה)</w:t>
      </w:r>
      <w:r>
        <w:rPr>
          <w:rFonts w:ascii="Arial" w:cs="Arial"/>
          <w:b/>
          <w:bCs/>
          <w:sz w:val="29"/>
          <w:szCs w:val="26"/>
          <w:rtl/>
        </w:rPr>
        <w:t xml:space="preserve"> סַמְּכוּנִי בָּאֲשִׁישׁוֹת, בִּתְרֵי אֵשׁוֹת, וְאַמַּאי אָמַר בְּהוֹן סַמְּכוּנִי, </w:t>
      </w:r>
      <w:r>
        <w:rPr>
          <w:rStyle w:val="a7"/>
          <w:rFonts w:ascii="Arial" w:cs="Arial"/>
          <w:b/>
          <w:bCs/>
          <w:sz w:val="29"/>
          <w:szCs w:val="26"/>
          <w:rtl/>
        </w:rPr>
        <w:footnoteReference w:id="5718"/>
      </w:r>
      <w:r>
        <w:rPr>
          <w:rFonts w:ascii="Arial" w:cs="Arial"/>
          <w:b/>
          <w:bCs/>
          <w:sz w:val="29"/>
          <w:szCs w:val="26"/>
          <w:rtl/>
        </w:rPr>
        <w:t xml:space="preserve">אֶלָּא בְלֵילֵי שַׁבָּת נְשָׁמָה יְתֵירָה קָא נָחֲתָא לְסָמְכָא שְׁכִינְתָּא תַּתָּאָה בְגָלוּתָא, דְאִתְּמַר בָּהּ </w:t>
      </w:r>
      <w:r>
        <w:rPr>
          <w:rFonts w:ascii="Arial" w:cs="FrankRuehl"/>
          <w:b/>
          <w:rtl/>
        </w:rPr>
        <w:t>(עמוס ה ב)</w:t>
      </w:r>
      <w:r>
        <w:rPr>
          <w:rFonts w:ascii="Arial" w:cs="Arial"/>
          <w:b/>
          <w:bCs/>
          <w:sz w:val="29"/>
          <w:szCs w:val="26"/>
          <w:rtl/>
        </w:rPr>
        <w:t xml:space="preserve"> נָפְלָה וְלֹא תוֹסִיף קוּם, וְכַד אָתָא מוֹצָאֵי שַׁבָּת אִסְתַּלְקַת נִשְׁמָתָא יְתֵירָה </w:t>
      </w:r>
      <w:r>
        <w:rPr>
          <w:rStyle w:val="a7"/>
          <w:rFonts w:ascii="Arial" w:cs="Arial"/>
          <w:b/>
          <w:bCs/>
          <w:sz w:val="29"/>
          <w:szCs w:val="26"/>
          <w:rtl/>
        </w:rPr>
        <w:footnoteReference w:id="5719"/>
      </w:r>
      <w:r>
        <w:rPr>
          <w:rFonts w:ascii="Arial" w:cs="Arial"/>
          <w:b/>
          <w:bCs/>
          <w:sz w:val="29"/>
          <w:szCs w:val="26"/>
          <w:rtl/>
        </w:rPr>
        <w:t xml:space="preserve">דְבָהּ וַיִּנָּפַשׁ, וַיִּנָּפַשׁ מִיָּד דְּאִיהִי אִסְתַּלְקַת וַי נֶפֶשׁ, דְּלֵית מָאן דְּסָמִיךְ לָהּ, בְּהַהוּא זִמְנָא אִיהִי אָמְרַת לְיִשְׂרָאֵל סַמְּכוּנִי בָּאֲשִׁישׁוֹת דְּאִינוּן מְאוֹרֵי הָאֵשׁ, וּמַאי נִיהוּ תְּרֵי תּוֹרוֹת, דְּאִינוּן </w:t>
      </w:r>
      <w:r>
        <w:rPr>
          <w:rStyle w:val="a7"/>
          <w:rFonts w:ascii="Arial" w:cs="Arial"/>
          <w:b/>
          <w:bCs/>
          <w:sz w:val="29"/>
          <w:szCs w:val="26"/>
          <w:rtl/>
        </w:rPr>
        <w:footnoteReference w:id="5720"/>
      </w:r>
      <w:r>
        <w:rPr>
          <w:rFonts w:ascii="Arial" w:cs="Arial"/>
          <w:b/>
          <w:bCs/>
          <w:sz w:val="29"/>
          <w:szCs w:val="26"/>
          <w:rtl/>
        </w:rPr>
        <w:t xml:space="preserve">חֲצוּבוֹת מֵאֵשׁ דְּאִיהִי אלהי''ם מִדַּת הַגְּבוּרָה, וּמַאי נִיהוּ לִמּוּדֵי יהו''ה תְּרֵין שִׂפְוָון דְּאִקְרוּן לַהֲבוֹת </w:t>
      </w:r>
      <w:r>
        <w:rPr>
          <w:rFonts w:ascii="Arial" w:cs="FrankRuehl"/>
          <w:b/>
          <w:rtl/>
        </w:rPr>
        <w:t>(דאוקדון בלהבות)</w:t>
      </w:r>
      <w:r>
        <w:rPr>
          <w:rFonts w:ascii="Arial" w:cs="Arial"/>
          <w:b/>
          <w:bCs/>
          <w:sz w:val="29"/>
          <w:szCs w:val="26"/>
          <w:rtl/>
        </w:rPr>
        <w:t xml:space="preserve"> אֵשׁ, וְאִינוּן תְּרֵין תַּפּוּחִין, דְּמִנְּהוֹן רוּחָא דִמְשִׁיחָא נָפִיק, דְּאִתְּמַר בֵּיהּ </w:t>
      </w:r>
      <w:r>
        <w:rPr>
          <w:rFonts w:ascii="Arial" w:cs="FrankRuehl"/>
          <w:b/>
          <w:rtl/>
        </w:rPr>
        <w:t>(ישעיה יא ב)</w:t>
      </w:r>
      <w:r>
        <w:rPr>
          <w:rFonts w:ascii="Arial" w:cs="Arial"/>
          <w:b/>
          <w:bCs/>
          <w:sz w:val="29"/>
          <w:szCs w:val="26"/>
          <w:rtl/>
        </w:rPr>
        <w:t xml:space="preserve"> וְנָחָה עָלָיו רוּחַ יהו''ה.</w:t>
      </w:r>
    </w:p>
    <w:p w:rsidR="006F705A" w:rsidRDefault="006F705A" w:rsidP="006F705A">
      <w:pPr>
        <w:spacing w:after="40" w:line="360" w:lineRule="atLeast"/>
        <w:ind w:left="144" w:right="144" w:firstLine="288"/>
        <w:jc w:val="both"/>
        <w:rPr>
          <w:rFonts w:ascii="Arial" w:cs="Arial"/>
          <w:b/>
          <w:bCs/>
          <w:sz w:val="29"/>
          <w:szCs w:val="26"/>
          <w:rtl/>
        </w:rPr>
      </w:pPr>
      <w:r>
        <w:rPr>
          <w:rStyle w:val="a7"/>
          <w:rFonts w:ascii="Arial" w:cs="Arial"/>
          <w:b/>
          <w:bCs/>
          <w:sz w:val="29"/>
          <w:szCs w:val="26"/>
          <w:rtl/>
        </w:rPr>
        <w:footnoteReference w:id="5721"/>
      </w:r>
      <w:r>
        <w:rPr>
          <w:rFonts w:ascii="Arial" w:cs="Arial"/>
          <w:b/>
          <w:bCs/>
          <w:sz w:val="29"/>
          <w:szCs w:val="26"/>
          <w:rtl/>
        </w:rPr>
        <w:t>לְבַת מֶלֶךְ דַּהֲוַת בְּבֵי מַרְעָא מֵרְחִימוּ דְבַעְלָהּ, צָוְוחַת וְאָמְרַת סַמְּכוּנִי בָּאֲשִׁישׁוֹת, (הָא אִיהִי בְּבֵי מַרְעָא,) אָזַל בַּעְלָהּ אִיהִי נָפְלַת לְמִשְׁכָּבָא, הִיא אוֹמֶרֶת רַפְּדוּנִי, בְּמַאי בַּתַּפּוּחִים דְּמִתְרַבִּים בַּעֲצֵי הַיַּעַר, וְאִלֵּין אִינוּן עֲצֵי בְשָׂמִים.</w:t>
      </w:r>
    </w:p>
    <w:p w:rsidR="006F705A" w:rsidRDefault="006F705A" w:rsidP="006F705A">
      <w:pPr>
        <w:pStyle w:val="NormalWeb"/>
        <w:rPr>
          <w:rFonts w:cs="Arial"/>
          <w:b w:val="0"/>
          <w:bCs w:val="0"/>
          <w:szCs w:val="26"/>
          <w:rtl/>
        </w:rPr>
      </w:pPr>
      <w:r>
        <w:rPr>
          <w:rStyle w:val="a7"/>
          <w:rFonts w:cs="Arial"/>
          <w:b w:val="0"/>
          <w:bCs w:val="0"/>
          <w:szCs w:val="26"/>
          <w:rtl/>
        </w:rPr>
        <w:footnoteReference w:id="5722"/>
      </w:r>
      <w:r>
        <w:rPr>
          <w:rFonts w:cs="Arial"/>
          <w:b w:val="0"/>
          <w:bCs w:val="0"/>
          <w:szCs w:val="26"/>
          <w:rtl/>
        </w:rPr>
        <w:t xml:space="preserve">קָם סָבָא </w:t>
      </w:r>
      <w:r>
        <w:rPr>
          <w:rFonts w:cs="Arial"/>
          <w:szCs w:val="26"/>
          <w:rtl/>
        </w:rPr>
        <w:t>(תְּלִיתָאָה)</w:t>
      </w:r>
      <w:r>
        <w:rPr>
          <w:rFonts w:cs="Arial"/>
          <w:b w:val="0"/>
          <w:bCs w:val="0"/>
          <w:szCs w:val="26"/>
          <w:rtl/>
        </w:rPr>
        <w:t xml:space="preserve"> וְאָמַר רַבִּי רַבִּי, הָא אֲנַן בַּעֲצֵי בְשָׂמִים מַבְדִּילִין, וְהָכָא אִיהִי לָא אָמְרַת אֶלָּא בַּתַּפּוּחִים, אֶלָּא אֲנַן מְבָרְכִין עַל עֲצֵי בְשָׂמִים בְּגִין דְּאִתְּמַר בְּהוֹן </w:t>
      </w:r>
      <w:r>
        <w:rPr>
          <w:b w:val="0"/>
          <w:sz w:val="20"/>
          <w:szCs w:val="23"/>
          <w:rtl/>
        </w:rPr>
        <w:t>(שיר ז ט)</w:t>
      </w:r>
      <w:r>
        <w:rPr>
          <w:rFonts w:cs="Arial"/>
          <w:b w:val="0"/>
          <w:bCs w:val="0"/>
          <w:szCs w:val="26"/>
          <w:rtl/>
        </w:rPr>
        <w:t xml:space="preserve"> וְרֵיחַ אַפֵּךְ כַּתַּפּוּחִים, וְכָל מִינֵי בְשָׂמִים אִינוּן טָבָאן לְבָרְכָא עֲלַיְיהוּ, וַאֲנַן דְּעָבְדִין בַּהֲדַס בְּגִין דְּאִית בֵּיהּ תְּלַת עַלִּין, דְּאִתְקְרִיאוּ תְּלַת הֲדַסִּים, דִּרְמִיזִין לִתְלַת אֲבָהָן, אֲבָל תְּרֵין נוּקְבִין דְּחוֹטָמָא אִינוּן לָקֳבֵל תְּרֵין תַּפּוּחִין דְּאִינוּן תְּרֵי נְבִיאֵי קְשׁוֹט, דִּי בְהוֹן עָתִיד לְאַפָּקָא רוּחָא דְקוּדְשָׁא דְאִיהוּ רַעְיָא מְהֵימְנָא דִלְעִילָא, דְּבֵיהּ אִתְיַשְׁבַת נַפְשָׁא דִילָהּ, וּבְגִין דָּא אִיהִי אָמְרַת </w:t>
      </w:r>
      <w:r>
        <w:rPr>
          <w:b w:val="0"/>
          <w:sz w:val="20"/>
          <w:szCs w:val="23"/>
          <w:rtl/>
        </w:rPr>
        <w:t>(שם ב ה)</w:t>
      </w:r>
      <w:r>
        <w:rPr>
          <w:rFonts w:cs="Arial"/>
          <w:b w:val="0"/>
          <w:bCs w:val="0"/>
          <w:szCs w:val="26"/>
          <w:rtl/>
        </w:rPr>
        <w:t xml:space="preserve"> רַפְּדוּנִי בַּתַּפּוּחִים כִּי חוֹלַת אַהֲבָה אָנִי </w:t>
      </w:r>
      <w:r>
        <w:rPr>
          <w:rStyle w:val="a7"/>
          <w:rFonts w:cs="Arial"/>
          <w:b w:val="0"/>
          <w:bCs w:val="0"/>
          <w:szCs w:val="26"/>
          <w:rtl/>
        </w:rPr>
        <w:footnoteReference w:id="5723"/>
      </w:r>
      <w:r>
        <w:rPr>
          <w:rStyle w:val="Char"/>
          <w:rFonts w:cs="Arial"/>
          <w:szCs w:val="26"/>
          <w:rtl/>
        </w:rPr>
        <w:t>בְּלֵילְיָא דְשַׁבָּת אִתְּמַר</w:t>
      </w:r>
      <w:r>
        <w:rPr>
          <w:b w:val="0"/>
          <w:szCs w:val="23"/>
          <w:rtl/>
        </w:rPr>
        <w:t xml:space="preserve"> </w:t>
      </w:r>
      <w:r>
        <w:rPr>
          <w:b w:val="0"/>
          <w:sz w:val="20"/>
          <w:szCs w:val="23"/>
          <w:rtl/>
        </w:rPr>
        <w:t>(שיר ה ה)</w:t>
      </w:r>
      <w:r>
        <w:rPr>
          <w:rFonts w:cs="Arial"/>
          <w:b w:val="0"/>
          <w:bCs w:val="0"/>
          <w:szCs w:val="26"/>
          <w:rtl/>
        </w:rPr>
        <w:t xml:space="preserve"> קַמְתִּי אֲנִי לִפְתּוֹחַ לְדוֹדִי בְשַׁבָּת, וְכַד נָפִיק שַׁבָּת אִתְּמַר </w:t>
      </w:r>
      <w:r>
        <w:rPr>
          <w:b w:val="0"/>
          <w:sz w:val="20"/>
          <w:szCs w:val="23"/>
          <w:rtl/>
        </w:rPr>
        <w:t>(שם)</w:t>
      </w:r>
      <w:r>
        <w:rPr>
          <w:b w:val="0"/>
          <w:szCs w:val="23"/>
          <w:rtl/>
        </w:rPr>
        <w:t xml:space="preserve"> </w:t>
      </w:r>
      <w:r>
        <w:rPr>
          <w:rStyle w:val="Char"/>
          <w:rFonts w:cs="Arial"/>
          <w:szCs w:val="26"/>
          <w:rtl/>
        </w:rPr>
        <w:t>וְדוֹדִי חָמַק עָבָר, וּבְהַהוּא זִמְנָא</w:t>
      </w:r>
      <w:r>
        <w:rPr>
          <w:b w:val="0"/>
          <w:szCs w:val="23"/>
          <w:rtl/>
        </w:rPr>
        <w:t xml:space="preserve"> </w:t>
      </w:r>
      <w:r>
        <w:rPr>
          <w:b w:val="0"/>
          <w:sz w:val="20"/>
          <w:szCs w:val="23"/>
          <w:rtl/>
        </w:rPr>
        <w:t>(שם)</w:t>
      </w:r>
      <w:r>
        <w:rPr>
          <w:rFonts w:cs="Arial"/>
          <w:b w:val="0"/>
          <w:bCs w:val="0"/>
          <w:szCs w:val="26"/>
          <w:rtl/>
        </w:rPr>
        <w:t xml:space="preserve"> בִּקַּשְׁתִּיהוּ וְלֹא מְצָאתִיהוּ קְרָאתִיו וְלֹא עָנָנִי, </w:t>
      </w:r>
      <w:r>
        <w:rPr>
          <w:rStyle w:val="a7"/>
          <w:rFonts w:cs="Arial"/>
          <w:b w:val="0"/>
          <w:bCs w:val="0"/>
          <w:szCs w:val="26"/>
          <w:rtl/>
        </w:rPr>
        <w:footnoteReference w:id="5724"/>
      </w:r>
      <w:r>
        <w:rPr>
          <w:rFonts w:cs="Arial"/>
          <w:b w:val="0"/>
          <w:bCs w:val="0"/>
          <w:szCs w:val="26"/>
          <w:rtl/>
        </w:rPr>
        <w:t xml:space="preserve">עַד דִבְזִמְנָא דְיֵיתֵי זִמְנָא אַחֲרָא, אוֹחִיד בִּידֵיהּ וְלָא אַשְׁבְּקִינֵיהּ לְמֵיזַל, כְּמָה דְאִתְּמַר </w:t>
      </w:r>
      <w:r>
        <w:rPr>
          <w:b w:val="0"/>
          <w:sz w:val="20"/>
          <w:szCs w:val="23"/>
          <w:rtl/>
        </w:rPr>
        <w:t>(שם ג ד)</w:t>
      </w:r>
      <w:r>
        <w:rPr>
          <w:rFonts w:cs="Arial"/>
          <w:b w:val="0"/>
          <w:bCs w:val="0"/>
          <w:szCs w:val="26"/>
          <w:rtl/>
        </w:rPr>
        <w:t xml:space="preserve"> אֲחַזְתִּיו וְלֹא אַרְפֶּנּוּ עַד שֶׁהֲבֵאתִיו אֶל בֵּית אִמִּי, דָא בֵי מַקְדְּשָׁא דִלְעִילָא, וְאֶל חֶדֶר הוֹרָתִי דָא בֵי מַקְדְּשָׁא דִלְתַתָּא.</w:t>
      </w:r>
    </w:p>
    <w:p w:rsidR="006F705A" w:rsidRDefault="006F705A" w:rsidP="006F705A">
      <w:pPr>
        <w:pStyle w:val="NormalWeb"/>
        <w:rPr>
          <w:rFonts w:cs="Arial"/>
          <w:szCs w:val="22"/>
          <w:rtl/>
        </w:rPr>
      </w:pPr>
      <w:r>
        <w:rPr>
          <w:rFonts w:cs="Arial"/>
          <w:szCs w:val="22"/>
          <w:rtl/>
        </w:rPr>
        <w:t>[י"א תיקונים מהדורא בתרא, קמב ע"ב]</w:t>
      </w:r>
    </w:p>
    <w:p w:rsidR="006F705A" w:rsidRDefault="006F705A" w:rsidP="006F705A">
      <w:pPr>
        <w:pStyle w:val="NormalWeb"/>
        <w:rPr>
          <w:rFonts w:cs="Arial"/>
          <w:b w:val="0"/>
          <w:bCs w:val="0"/>
          <w:szCs w:val="26"/>
          <w:rtl/>
        </w:rPr>
      </w:pPr>
      <w:r>
        <w:rPr>
          <w:rFonts w:cs="Arial"/>
          <w:b w:val="0"/>
          <w:bCs w:val="0"/>
          <w:szCs w:val="26"/>
          <w:rtl/>
        </w:rPr>
        <w:t xml:space="preserve">וּבְזִמְנָא דַאֲחִיד בִּידֵיהּ בְּפוּרְקָנָא בַתְרַיְיתָא, לָא יְהֵא לִי כְזִמְנִין אוֹחֲרָנִין, דִּבְכָל פּוּרְקָנָא וּפוּרְקָנָא הֲוָה אָתֵי, וּלְבָתַר הֲוָה פָרַח מִנָּאִי, אֲבָל בְּפוּרְקָנָא בַתְרַיְיתָא אֲנָא אֲחִיד בֵּיהּ וְקָשִׁיר לֵיהּ </w:t>
      </w:r>
      <w:r>
        <w:rPr>
          <w:rStyle w:val="a7"/>
          <w:rFonts w:cs="Arial"/>
          <w:b w:val="0"/>
          <w:bCs w:val="0"/>
          <w:szCs w:val="26"/>
          <w:rtl/>
        </w:rPr>
        <w:footnoteReference w:id="5725"/>
      </w:r>
      <w:r>
        <w:rPr>
          <w:rFonts w:cs="Arial"/>
          <w:b w:val="0"/>
          <w:bCs w:val="0"/>
          <w:szCs w:val="26"/>
          <w:rtl/>
        </w:rPr>
        <w:t xml:space="preserve">בְּכַמָּה קְשִׁירִין דִּרְחִימוּ, דְלָא יָזוּז מִנָּאִי לְעָלַם וּלְעָלְמֵי עָלְמִין, דִּבְכָל גָּלוּתָא וְגָלוּתָא הֲוָה אָזִיל מִנָּאִי, </w:t>
      </w:r>
      <w:r>
        <w:rPr>
          <w:rStyle w:val="a7"/>
          <w:rFonts w:cs="Arial"/>
          <w:b w:val="0"/>
          <w:bCs w:val="0"/>
          <w:szCs w:val="26"/>
          <w:rtl/>
        </w:rPr>
        <w:footnoteReference w:id="5726"/>
      </w:r>
      <w:r>
        <w:rPr>
          <w:rFonts w:cs="Arial"/>
          <w:b w:val="0"/>
          <w:bCs w:val="0"/>
          <w:szCs w:val="26"/>
          <w:rtl/>
        </w:rPr>
        <w:t xml:space="preserve">וַהֲוִינָא שָׁאִיל בֵּיהּ לְכָל עוֹבֵר וְשָׁב, עַד דְּאִיהוּ הֲוָה אָתֵי לְגַבָּאי, הֲדָא הוּא דִכְתִיב </w:t>
      </w:r>
      <w:r>
        <w:rPr>
          <w:b w:val="0"/>
          <w:sz w:val="20"/>
          <w:szCs w:val="23"/>
          <w:rtl/>
        </w:rPr>
        <w:t>(שם)</w:t>
      </w:r>
      <w:r>
        <w:rPr>
          <w:rFonts w:cs="Arial"/>
          <w:b w:val="0"/>
          <w:bCs w:val="0"/>
          <w:szCs w:val="26"/>
          <w:rtl/>
        </w:rPr>
        <w:t xml:space="preserve"> כִּמְעַט שֶׁעָבַרְתִּי מֵהֶם עַד שֶׁמָּצָאתִי אֵת שֶׁאָהֲבָה נַפְשִׁי, וְזִמְנִין לָא הֲוִינָא אַשְׁכַּח מָאן דְּיֵימָא </w:t>
      </w:r>
      <w:r>
        <w:rPr>
          <w:b w:val="0"/>
          <w:sz w:val="20"/>
          <w:szCs w:val="23"/>
          <w:rtl/>
        </w:rPr>
        <w:t>(קמב</w:t>
      </w:r>
      <w:r>
        <w:rPr>
          <w:rFonts w:cs="Arial"/>
          <w:b w:val="0"/>
          <w:bCs w:val="0"/>
          <w:szCs w:val="26"/>
          <w:rtl/>
        </w:rPr>
        <w:t xml:space="preserve"> </w:t>
      </w:r>
      <w:r>
        <w:rPr>
          <w:b w:val="0"/>
          <w:sz w:val="20"/>
          <w:szCs w:val="23"/>
          <w:rtl/>
        </w:rPr>
        <w:t>ע"ב)</w:t>
      </w:r>
      <w:r>
        <w:rPr>
          <w:rFonts w:cs="Arial"/>
          <w:b w:val="0"/>
          <w:bCs w:val="0"/>
          <w:szCs w:val="26"/>
          <w:rtl/>
        </w:rPr>
        <w:t xml:space="preserve"> לִי מִידִּי מִנֵּיהּ, וַהֲוִינָא אוֹמֵי בְּגִינֵיהּ לְכָל בְּנֵי קַרְתָּא, הֲדָא הוּא דִכְתִיב </w:t>
      </w:r>
      <w:r>
        <w:rPr>
          <w:b w:val="0"/>
          <w:sz w:val="20"/>
          <w:szCs w:val="23"/>
          <w:rtl/>
        </w:rPr>
        <w:t>(שם ה ח)</w:t>
      </w:r>
      <w:r>
        <w:rPr>
          <w:rFonts w:cs="Arial"/>
          <w:b w:val="0"/>
          <w:bCs w:val="0"/>
          <w:szCs w:val="26"/>
          <w:rtl/>
        </w:rPr>
        <w:t xml:space="preserve"> הִשְׁבַּעְתִּי אֶתְכֶם בְּנוֹת יְרוּשָׁלָם אִם תִּמְצְאוּ אֶת דּוֹדִי מַה תַּגִּידוּ לוֹ שֶׁחוֹלַת אַהֲבָה אָנִי, וְכַמָּה זִמְנִין </w:t>
      </w:r>
      <w:r>
        <w:rPr>
          <w:b w:val="0"/>
          <w:sz w:val="20"/>
          <w:szCs w:val="23"/>
          <w:rtl/>
        </w:rPr>
        <w:t>(שם ג א)</w:t>
      </w:r>
      <w:r>
        <w:rPr>
          <w:rFonts w:cs="Arial"/>
          <w:b w:val="0"/>
          <w:bCs w:val="0"/>
          <w:szCs w:val="26"/>
          <w:rtl/>
        </w:rPr>
        <w:t xml:space="preserve"> עַל מִשְׁכָּבִי בַּלֵּילוֹת דְּאִינוּן גָּלִיּוֹת, בִּקַּשְׁתִּי אֵת שֶׁאָהֲבָה נַפְשִׁי וְלָא הֲוָה מָאן דְּיֵימָא לִי, עַד דְּאִיהוּ הֲוָה אָתֵי, וּכְעַן בְּגָלוּתָא בַתְרַיְיתָא בָּרַח דּוֹדִי בְכַעֲסָא סַגִּיא, וְשָׁאִילְנָא בְגִינֵיהּ וְלָא אַשְׁכַּחְנָא מָאן דְּיֵימָא לִי מִידִּי, וּבְגִין דָּא אֲנָא אוֹמִינָא, דִבְזִמְנָא דְיֵיתֵי וַאֲחִידְנָא בִידוֹי דְּלָא יָזוּז מִנָּאִי, וַאֲנָא אֲחַזְתִּיו וְלֹא אַרְפֶּנּוּ אֲחַזְתִּיו בְּקִשּׁוּרָא דִּתְּפִלִּין דְּיָד, וְלֹא אַרְפֶּנּוּ בִתְפִלִּין דְּרֵישָׁא.</w:t>
      </w:r>
    </w:p>
    <w:p w:rsidR="006F705A" w:rsidRDefault="006F705A" w:rsidP="006F705A">
      <w:pPr>
        <w:pStyle w:val="NormalWeb"/>
        <w:rPr>
          <w:rFonts w:cs="Arial"/>
          <w:b w:val="0"/>
          <w:bCs w:val="0"/>
          <w:szCs w:val="26"/>
          <w:rtl/>
        </w:rPr>
      </w:pPr>
      <w:r>
        <w:rPr>
          <w:rFonts w:cs="Arial"/>
          <w:b w:val="0"/>
          <w:bCs w:val="0"/>
          <w:szCs w:val="26"/>
          <w:rtl/>
        </w:rPr>
        <w:t xml:space="preserve">תָּא חֲזִי, דוֹדְהָא כַּד יֵתֵי לְגַבָּהּ, יֵימָא לְגַבֵּי תְּרֵין מְשִׁיחִין </w:t>
      </w:r>
      <w:r>
        <w:rPr>
          <w:b w:val="0"/>
          <w:sz w:val="20"/>
          <w:szCs w:val="23"/>
          <w:rtl/>
        </w:rPr>
        <w:t>(שם ז יג)</w:t>
      </w:r>
      <w:r>
        <w:rPr>
          <w:rFonts w:cs="Arial"/>
          <w:b w:val="0"/>
          <w:bCs w:val="0"/>
          <w:szCs w:val="26"/>
          <w:rtl/>
        </w:rPr>
        <w:t xml:space="preserve"> נַשְׁכִּימָה לַכְּרָמִים דְּאִינוּן יִשְׂרָאֵל, דִּי בְהוֹן אִתְּמַר </w:t>
      </w:r>
      <w:r>
        <w:rPr>
          <w:b w:val="0"/>
          <w:sz w:val="20"/>
          <w:szCs w:val="23"/>
          <w:rtl/>
        </w:rPr>
        <w:t>(ישעיה ה ז)</w:t>
      </w:r>
      <w:r>
        <w:rPr>
          <w:rFonts w:cs="Arial"/>
          <w:b w:val="0"/>
          <w:bCs w:val="0"/>
          <w:szCs w:val="26"/>
          <w:rtl/>
        </w:rPr>
        <w:t xml:space="preserve"> כִּי כֶרֶם יהו''ה צְבָאוֹת בֵּית יִשְׂרָאֵל, נִרְאֶה הֲפָרְחָה הַגֶּפֶן דְּאִיהִי שְׁכִינְתָּא בְהוֹן, הֵנֵצוּ הָרִמּוֹנִים אִלֵּין אִינוּן דְּמַלְיָין מִצְוֹת כָּרִמּוֹן.</w:t>
      </w:r>
    </w:p>
    <w:p w:rsidR="006F705A" w:rsidRDefault="006F705A" w:rsidP="006F705A">
      <w:pPr>
        <w:pStyle w:val="NormalWeb"/>
        <w:rPr>
          <w:rFonts w:cs="Arial"/>
          <w:b w:val="0"/>
          <w:bCs w:val="0"/>
          <w:szCs w:val="26"/>
          <w:rtl/>
        </w:rPr>
      </w:pPr>
      <w:r>
        <w:rPr>
          <w:rStyle w:val="a7"/>
          <w:rFonts w:cs="Arial"/>
          <w:b w:val="0"/>
          <w:bCs w:val="0"/>
          <w:szCs w:val="26"/>
          <w:rtl/>
        </w:rPr>
        <w:footnoteReference w:id="5727"/>
      </w:r>
      <w:r>
        <w:rPr>
          <w:rFonts w:cs="Arial"/>
          <w:b w:val="0"/>
          <w:bCs w:val="0"/>
          <w:szCs w:val="26"/>
          <w:rtl/>
        </w:rPr>
        <w:t xml:space="preserve">קָם רַבִּי שִׁמְעוֹן וְאָמַר סָבָא סָבָא, נַשְׁכִּימָה לַכְּרָמִים, הָא אִית כְּרָמִים דְּלַאו אִינוּן יִשְׂרָאֵל, כְּגוֹן </w:t>
      </w:r>
      <w:r>
        <w:rPr>
          <w:b w:val="0"/>
          <w:sz w:val="20"/>
          <w:szCs w:val="23"/>
          <w:rtl/>
        </w:rPr>
        <w:t>(שיר א ו)</w:t>
      </w:r>
      <w:r>
        <w:rPr>
          <w:rFonts w:cs="Arial"/>
          <w:b w:val="0"/>
          <w:bCs w:val="0"/>
          <w:szCs w:val="26"/>
          <w:rtl/>
        </w:rPr>
        <w:t xml:space="preserve"> דְשָׂמוּנִי נוֹטֵרָה אֶת הַכְּרָמִים כַּרְמִי שֶׁלִּי לֹא נָטָרְתִּי, וְאִינוּן עִרְבוּבְיָא דְעִרֶב רַב, דְּאִינוּן מְעוּרָבִין בְּהוֹן בְּיִשְׂרָאֵל בְּגָלוּתָא, וּבְגִין דָּא כַד יֵיתֵי קוּדְשָׁא בְּרִיךְ הוּא לְגַבֵּי שְׁכִינְתָּא, אִיהוּ יֵימָא לְגַבָּהּ, נַשְׁכִּימָה לַכְּרָמִים, נִרְאֶה אִם פָּרְחָה הַגֶּפֶן בְּהוֹן, דְּאִתְּמַר בָּהּ כִּי כֶרֶם יהו''ה צְבָאוֹת בֵּית יִשְׂרָאֵל, הֵנֵצוּ הָרִמּוֹנִים אִלֵּין וַדַּאי אִינוּן דְּמַלְיָין מִצְוֹת כָּרִמּוֹנִים, שָׁם אֶתֵּן אֶת דּוֹדַי לָךְ, אִלֵּין דְּאִינוּן רְחִימִין דִּילָךְ, תַּמָּן יְהִיבְנָא לוֹן לָךְ, </w:t>
      </w:r>
      <w:r>
        <w:rPr>
          <w:b w:val="0"/>
          <w:sz w:val="20"/>
          <w:szCs w:val="23"/>
          <w:rtl/>
        </w:rPr>
        <w:t>(שיר ב יא)</w:t>
      </w:r>
      <w:r>
        <w:rPr>
          <w:rFonts w:cs="Arial"/>
          <w:b w:val="0"/>
          <w:bCs w:val="0"/>
          <w:szCs w:val="26"/>
          <w:rtl/>
        </w:rPr>
        <w:t xml:space="preserve"> כִּי הִנֵּה הַסְּתָו עָבָר שׁוּלְטָנוּ דִשְׁאָר מְמַנָּן דְאוּמִין, </w:t>
      </w:r>
      <w:r>
        <w:rPr>
          <w:rStyle w:val="a7"/>
          <w:rFonts w:cs="Arial"/>
          <w:b w:val="0"/>
          <w:bCs w:val="0"/>
          <w:szCs w:val="26"/>
          <w:rtl/>
        </w:rPr>
        <w:footnoteReference w:id="5728"/>
      </w:r>
      <w:r>
        <w:rPr>
          <w:rFonts w:cs="Arial"/>
          <w:b w:val="0"/>
          <w:bCs w:val="0"/>
          <w:szCs w:val="26"/>
          <w:rtl/>
        </w:rPr>
        <w:t xml:space="preserve">הַגֶּשֶׁם חָלַף הָלַךְ לוֹ שָׁלְטָנוּתָא דְעִרֶב רַב. </w:t>
      </w:r>
      <w:r>
        <w:rPr>
          <w:rFonts w:cs="Arial"/>
          <w:szCs w:val="22"/>
          <w:rtl/>
        </w:rPr>
        <w:t>(א.ה. הפסקה שלפנינו הובאה מלקמן ע"פ הגהת הגר"א לקמן בד"ה בההוא זמנא הנצנים כו')</w:t>
      </w:r>
    </w:p>
    <w:p w:rsidR="006F705A" w:rsidRDefault="006F705A" w:rsidP="006F705A">
      <w:pPr>
        <w:pStyle w:val="NormalWeb"/>
        <w:rPr>
          <w:rFonts w:cs="Arial"/>
          <w:b w:val="0"/>
          <w:bCs w:val="0"/>
          <w:szCs w:val="26"/>
          <w:rtl/>
        </w:rPr>
      </w:pPr>
      <w:r>
        <w:rPr>
          <w:rStyle w:val="a7"/>
          <w:rFonts w:cs="Arial"/>
          <w:b w:val="0"/>
          <w:bCs w:val="0"/>
          <w:szCs w:val="26"/>
          <w:rtl/>
        </w:rPr>
        <w:footnoteReference w:id="5729"/>
      </w:r>
      <w:r>
        <w:rPr>
          <w:rFonts w:cs="Arial"/>
          <w:b w:val="0"/>
          <w:bCs w:val="0"/>
          <w:szCs w:val="26"/>
          <w:rtl/>
        </w:rPr>
        <w:t xml:space="preserve">בְּהַהוּא זִמְנָא הַנִּצָּנִים נִרְאוּ בָאָרֶץ אִלֵּין אֲבָהָן, זַכְוָון דִּלְהוֹן אִתְגַּלְיָאן עַל שְׁכִינְתָּא דְאִיהִי אֶרֶץ הַחַיִּים, וְעַל בְּנָהָא דְאִתְּמַר בְּהוֹן </w:t>
      </w:r>
      <w:r>
        <w:rPr>
          <w:b w:val="0"/>
          <w:sz w:val="20"/>
          <w:szCs w:val="23"/>
          <w:rtl/>
        </w:rPr>
        <w:t>(בראשית כח יד)</w:t>
      </w:r>
      <w:r>
        <w:rPr>
          <w:b w:val="0"/>
          <w:szCs w:val="23"/>
          <w:rtl/>
        </w:rPr>
        <w:t xml:space="preserve"> </w:t>
      </w:r>
      <w:r>
        <w:rPr>
          <w:rStyle w:val="Char"/>
          <w:rFonts w:cs="Arial"/>
          <w:szCs w:val="26"/>
          <w:rtl/>
        </w:rPr>
        <w:t>וְהָיָה זַרְעֲךָ כַּעֲפַר הָאָרֶץ,</w:t>
      </w:r>
      <w:r>
        <w:rPr>
          <w:b w:val="0"/>
          <w:szCs w:val="23"/>
          <w:rtl/>
        </w:rPr>
        <w:t xml:space="preserve"> </w:t>
      </w:r>
      <w:r>
        <w:rPr>
          <w:b w:val="0"/>
          <w:sz w:val="20"/>
          <w:szCs w:val="23"/>
          <w:rtl/>
        </w:rPr>
        <w:t>(שיר ב יב)</w:t>
      </w:r>
      <w:r>
        <w:rPr>
          <w:b w:val="0"/>
          <w:szCs w:val="23"/>
          <w:rtl/>
        </w:rPr>
        <w:t xml:space="preserve"> </w:t>
      </w:r>
      <w:r>
        <w:rPr>
          <w:rStyle w:val="Char"/>
          <w:rFonts w:cs="Arial"/>
          <w:szCs w:val="26"/>
          <w:rtl/>
        </w:rPr>
        <w:t>עִת הַזָּמִיר הִגִּיעַ,</w:t>
      </w:r>
      <w:r>
        <w:rPr>
          <w:b w:val="0"/>
          <w:szCs w:val="23"/>
          <w:rtl/>
        </w:rPr>
        <w:t xml:space="preserve"> </w:t>
      </w:r>
      <w:r>
        <w:rPr>
          <w:b w:val="0"/>
          <w:sz w:val="20"/>
          <w:szCs w:val="23"/>
          <w:rtl/>
        </w:rPr>
        <w:t>(שמות טו א)</w:t>
      </w:r>
      <w:r>
        <w:rPr>
          <w:rFonts w:cs="Arial"/>
          <w:b w:val="0"/>
          <w:bCs w:val="0"/>
          <w:szCs w:val="26"/>
          <w:rtl/>
        </w:rPr>
        <w:t xml:space="preserve"> אָז יָשִׁיר מֹשֶׁה וּבְנֵי יִשְׂרָאֵל, וְקוֹל הַתּוֹר נִשְׁמַע בְּאַרְצֵנוּ, </w:t>
      </w:r>
      <w:r>
        <w:rPr>
          <w:b w:val="0"/>
          <w:sz w:val="20"/>
          <w:szCs w:val="23"/>
          <w:rtl/>
        </w:rPr>
        <w:t>(ישעיה נב יח)</w:t>
      </w:r>
      <w:r>
        <w:rPr>
          <w:rFonts w:cs="Arial"/>
          <w:b w:val="0"/>
          <w:bCs w:val="0"/>
          <w:szCs w:val="26"/>
          <w:rtl/>
        </w:rPr>
        <w:t xml:space="preserve"> קוֹל צוֹפַיִךְ נָשְׂאוּ קוֹל יַחְדָּיו יְרַנֵּנוּ, כִּי עַיִן בְּעַיִן יִרְאוּ בְּשׁוּב יהו''ה צִיּוֹן.</w:t>
      </w:r>
    </w:p>
    <w:p w:rsidR="006F705A" w:rsidRDefault="006F705A" w:rsidP="006F705A">
      <w:pPr>
        <w:pStyle w:val="NormalWeb"/>
        <w:rPr>
          <w:rFonts w:cs="Arial"/>
          <w:b w:val="0"/>
          <w:bCs w:val="0"/>
          <w:szCs w:val="26"/>
          <w:rtl/>
        </w:rPr>
      </w:pPr>
      <w:r>
        <w:rPr>
          <w:rFonts w:cs="Arial"/>
          <w:b w:val="0"/>
          <w:bCs w:val="0"/>
          <w:szCs w:val="26"/>
          <w:rtl/>
        </w:rPr>
        <w:t xml:space="preserve">בְּהַהוּא זִמְנָא יֵימָא לְגַבָּהּ, </w:t>
      </w:r>
      <w:r>
        <w:rPr>
          <w:b w:val="0"/>
          <w:sz w:val="20"/>
          <w:szCs w:val="23"/>
          <w:rtl/>
        </w:rPr>
        <w:t>(שיר ז א)</w:t>
      </w:r>
      <w:r>
        <w:rPr>
          <w:rFonts w:cs="Arial"/>
          <w:b w:val="0"/>
          <w:bCs w:val="0"/>
          <w:szCs w:val="26"/>
          <w:rtl/>
        </w:rPr>
        <w:t xml:space="preserve"> </w:t>
      </w:r>
      <w:r>
        <w:rPr>
          <w:rStyle w:val="a7"/>
          <w:rFonts w:cs="Arial"/>
          <w:b w:val="0"/>
          <w:bCs w:val="0"/>
          <w:szCs w:val="26"/>
          <w:rtl/>
        </w:rPr>
        <w:footnoteReference w:id="5730"/>
      </w:r>
      <w:r>
        <w:rPr>
          <w:rFonts w:cs="Arial"/>
          <w:b w:val="0"/>
          <w:bCs w:val="0"/>
          <w:szCs w:val="26"/>
          <w:rtl/>
        </w:rPr>
        <w:t xml:space="preserve">שׁוּבִי שׁוּבִי הַשּׁוּלַמִּית, בִּתְרֵי בָּתִּים דְּאִינוּן בַּיִת רִאשׁוֹן וּבַיִת שֵׁנִי לְתַתָּא, שׁוּבִי שׁוּבִי בְּבַיִת רִאשׁוֹן וְשֵׁנִי לְעִילָא, וְנֶחזֶה בָּךְ. </w:t>
      </w:r>
      <w:r>
        <w:rPr>
          <w:rStyle w:val="a7"/>
          <w:rFonts w:cs="Arial"/>
          <w:b w:val="0"/>
          <w:bCs w:val="0"/>
          <w:szCs w:val="26"/>
          <w:rtl/>
        </w:rPr>
        <w:footnoteReference w:id="5731"/>
      </w:r>
      <w:r>
        <w:rPr>
          <w:rFonts w:cs="Arial"/>
          <w:b w:val="0"/>
          <w:bCs w:val="0"/>
          <w:szCs w:val="26"/>
          <w:rtl/>
        </w:rPr>
        <w:t xml:space="preserve">דָּבָר אַחֵר, שׁוּבִי שׁוּבִי אַרְבַּע זִמְנִין, בְּאַרְבַּע אַתְוָון דִּילָהּ דְּאִינוּן אדנ''י, וְנֶחזֶה בָּךְ בְּאַרְבַּע אַתְוָון דִּילֵיהּ דְּאִינוּן יהו''ה, אָמַר קוּדְשָׁא בְּרִיךְ הוּא לְגַבֵּי יִשְׂרָאֵל, אַרְבַּע זִמְנִין שׁוּבִי בִּשְׁכִינְתָּא בִּתְיוּבְתָּא, וְנֶחזֶה בָּךְ בְּאַרְבַּע כּוֹסוֹת דְּפוּרְקָנָא דְאִינוּן בַּפֶּסַח, דְּחַיָּיבִין בֵּיהּ יִשְׂרָאֵל לְמִשְׁתֵּי אַרְבַּע כּוֹסוֹת, כְּגַוְונָא דְאַרְבַּע גְּאוּלוֹת, שׁוּבִי שׁוּבִי </w:t>
      </w:r>
      <w:r>
        <w:rPr>
          <w:rStyle w:val="a7"/>
          <w:rFonts w:cs="Arial"/>
          <w:b w:val="0"/>
          <w:bCs w:val="0"/>
          <w:szCs w:val="26"/>
          <w:rtl/>
        </w:rPr>
        <w:footnoteReference w:id="5732"/>
      </w:r>
      <w:r>
        <w:rPr>
          <w:rFonts w:cs="Arial"/>
          <w:b w:val="0"/>
          <w:bCs w:val="0"/>
          <w:szCs w:val="26"/>
          <w:rtl/>
        </w:rPr>
        <w:t xml:space="preserve">בְּאַרְבַּע יְסוֹדִין דִּילָךְ, וְנֶחזֶה בָּךְ בִּשְׁמַיָּא וְאַרְעָא, וּמִיָּד </w:t>
      </w:r>
      <w:r>
        <w:rPr>
          <w:b w:val="0"/>
          <w:sz w:val="20"/>
          <w:szCs w:val="23"/>
          <w:rtl/>
        </w:rPr>
        <w:t>(דה''י א טז לא)</w:t>
      </w:r>
      <w:r>
        <w:rPr>
          <w:rFonts w:cs="Arial"/>
          <w:b w:val="0"/>
          <w:bCs w:val="0"/>
          <w:szCs w:val="26"/>
          <w:rtl/>
        </w:rPr>
        <w:t xml:space="preserve"> יִשְׂמְחוּ הַשָּׁמַיִם וְתָגֵל הָאָרֶץ וְיֹאמְרוּ בַגּוֹיִם יהו''ה מָלָךְ.</w:t>
      </w:r>
    </w:p>
    <w:p w:rsidR="006F705A" w:rsidRDefault="006F705A" w:rsidP="006F705A">
      <w:pPr>
        <w:pStyle w:val="NormalWeb"/>
        <w:rPr>
          <w:rFonts w:cs="Arial"/>
          <w:b w:val="0"/>
          <w:bCs w:val="0"/>
          <w:szCs w:val="26"/>
          <w:rtl/>
        </w:rPr>
      </w:pPr>
      <w:r>
        <w:rPr>
          <w:rFonts w:cs="Arial"/>
          <w:b w:val="0"/>
          <w:bCs w:val="0"/>
          <w:szCs w:val="26"/>
          <w:rtl/>
        </w:rPr>
        <w:t xml:space="preserve">בְּהַהוּא זִמְנָא קוּדְשָׁא בְּרִיךְ הוּא מְשַׁבַּח לָהּ, הֲדָא הוּא דִכְתִיב </w:t>
      </w:r>
      <w:r>
        <w:rPr>
          <w:b w:val="0"/>
          <w:sz w:val="20"/>
          <w:szCs w:val="23"/>
          <w:rtl/>
        </w:rPr>
        <w:t>(שיר ז ו)</w:t>
      </w:r>
      <w:r>
        <w:rPr>
          <w:rFonts w:cs="Arial"/>
          <w:b w:val="0"/>
          <w:bCs w:val="0"/>
          <w:szCs w:val="26"/>
          <w:rtl/>
        </w:rPr>
        <w:t xml:space="preserve"> רֹאשֵׁךְ עָלַיִךְ כַּכַּרְמֶל, דָּא תְּפִלִּין דְּרֵישָׁא, וּרְצוּעִין תַּלְיָין מִכַּאן וּמִכַּאן כִּזְמוֹרוֹת, דְּאִינוּן כַּכַּרְמֶל דְּתַלְיָין מִגֶּפֶן, וְדַלַּת רֹאשֵׁךְ כָּאַרְגָּמָן </w:t>
      </w:r>
      <w:r>
        <w:rPr>
          <w:rStyle w:val="a7"/>
          <w:rFonts w:cs="Arial"/>
          <w:b w:val="0"/>
          <w:bCs w:val="0"/>
          <w:szCs w:val="26"/>
          <w:rtl/>
        </w:rPr>
        <w:footnoteReference w:id="5733"/>
      </w:r>
      <w:r>
        <w:rPr>
          <w:rFonts w:cs="Arial"/>
          <w:b w:val="0"/>
          <w:bCs w:val="0"/>
          <w:szCs w:val="26"/>
          <w:rtl/>
        </w:rPr>
        <w:t xml:space="preserve">דָּא תְפִלָּה דְיָד, </w:t>
      </w:r>
      <w:r>
        <w:rPr>
          <w:rStyle w:val="a7"/>
          <w:rFonts w:cs="Arial"/>
          <w:b w:val="0"/>
          <w:bCs w:val="0"/>
          <w:szCs w:val="26"/>
          <w:rtl/>
        </w:rPr>
        <w:footnoteReference w:id="5734"/>
      </w:r>
      <w:r>
        <w:rPr>
          <w:rFonts w:cs="Arial"/>
          <w:b w:val="0"/>
          <w:bCs w:val="0"/>
          <w:szCs w:val="26"/>
          <w:rtl/>
        </w:rPr>
        <w:t xml:space="preserve">מַה דַּהֲוָת דַלַּת בְּגָלוּתָא עֲנִיָּיה, הֲדָא הוּא דִכְתִיב </w:t>
      </w:r>
      <w:r>
        <w:rPr>
          <w:b w:val="0"/>
          <w:sz w:val="20"/>
          <w:szCs w:val="23"/>
          <w:rtl/>
        </w:rPr>
        <w:t>(תהלים קב א)</w:t>
      </w:r>
      <w:r>
        <w:rPr>
          <w:rFonts w:cs="Arial"/>
          <w:b w:val="0"/>
          <w:bCs w:val="0"/>
          <w:szCs w:val="26"/>
          <w:rtl/>
        </w:rPr>
        <w:t xml:space="preserve"> תְּפִלָּה לְעָנִי כִי יַעֲטוֹף, תְּהֵא לְבוּשָׁא כָּאַרְגָּמָן, דְּאִיהוּ סוֹד א''וּרִיאֵל רְ''פָאֵל גַּ''בְרִיאֵל מִ''יכָאֵל נ''וריאל, </w:t>
      </w:r>
      <w:r>
        <w:rPr>
          <w:b w:val="0"/>
          <w:sz w:val="20"/>
          <w:szCs w:val="23"/>
          <w:rtl/>
        </w:rPr>
        <w:t>(שיר ז ו)</w:t>
      </w:r>
      <w:r>
        <w:rPr>
          <w:rFonts w:cs="Arial"/>
          <w:b w:val="0"/>
          <w:bCs w:val="0"/>
          <w:szCs w:val="26"/>
          <w:rtl/>
        </w:rPr>
        <w:t xml:space="preserve"> </w:t>
      </w:r>
      <w:r>
        <w:rPr>
          <w:rStyle w:val="a7"/>
          <w:rFonts w:cs="Arial"/>
          <w:b w:val="0"/>
          <w:bCs w:val="0"/>
          <w:szCs w:val="26"/>
          <w:rtl/>
        </w:rPr>
        <w:footnoteReference w:id="5735"/>
      </w:r>
      <w:r>
        <w:rPr>
          <w:rFonts w:cs="Arial"/>
          <w:b w:val="0"/>
          <w:bCs w:val="0"/>
          <w:szCs w:val="26"/>
          <w:rtl/>
        </w:rPr>
        <w:t xml:space="preserve">מֶלֶךְ אָסוּר בָּרְהָטִים דָּא קוּדְשָׁא בְּרִיךְ הוּא יהו''ה, דִּיְהֵא אָסוּר בְּאַרְבַּע בָּתִּים דִּילָהּ דְּאִינוּן אדנ''י, אַרְבַּע רְהָטֵי מוֹחָא, דִיְהֵא אָסוּר בָּרְהָטִים כְּגַוְונָא דָא יאהדונה''י, כִּי שִׁמְךָ בְּךָ וּבְךָ שִׁמְךָ, וְדָא אִיהוּ </w:t>
      </w:r>
      <w:r>
        <w:rPr>
          <w:rStyle w:val="a7"/>
          <w:rFonts w:cs="Arial"/>
          <w:b w:val="0"/>
          <w:bCs w:val="0"/>
          <w:szCs w:val="26"/>
          <w:rtl/>
        </w:rPr>
        <w:footnoteReference w:id="5736"/>
      </w:r>
      <w:r>
        <w:rPr>
          <w:rFonts w:cs="Arial"/>
          <w:b w:val="0"/>
          <w:bCs w:val="0"/>
          <w:szCs w:val="26"/>
          <w:rtl/>
        </w:rPr>
        <w:t>סוֹד אָמֵן מִן אַרְגָּמָן.</w:t>
      </w:r>
    </w:p>
    <w:p w:rsidR="006F705A" w:rsidRDefault="006F705A" w:rsidP="006F705A">
      <w:pPr>
        <w:pStyle w:val="NormalWeb"/>
        <w:rPr>
          <w:rFonts w:cs="Arial"/>
          <w:szCs w:val="22"/>
          <w:rtl/>
        </w:rPr>
      </w:pPr>
      <w:r>
        <w:rPr>
          <w:rFonts w:cs="Arial"/>
          <w:szCs w:val="22"/>
          <w:rtl/>
        </w:rPr>
        <w:t>[י"א תיקונים מהדורא בתרא, קמג ע"א]</w:t>
      </w:r>
    </w:p>
    <w:p w:rsidR="006F705A" w:rsidRDefault="006F705A" w:rsidP="006F705A">
      <w:pPr>
        <w:pStyle w:val="NormalWeb"/>
        <w:rPr>
          <w:rFonts w:cs="Arial"/>
          <w:b w:val="0"/>
          <w:bCs w:val="0"/>
          <w:szCs w:val="26"/>
          <w:rtl/>
        </w:rPr>
      </w:pPr>
      <w:r>
        <w:rPr>
          <w:rStyle w:val="a7"/>
          <w:rFonts w:cs="Arial"/>
          <w:b w:val="0"/>
          <w:bCs w:val="0"/>
          <w:szCs w:val="26"/>
          <w:rtl/>
        </w:rPr>
        <w:footnoteReference w:id="5737"/>
      </w:r>
      <w:r>
        <w:rPr>
          <w:rFonts w:cs="Arial"/>
          <w:b w:val="0"/>
          <w:bCs w:val="0"/>
          <w:szCs w:val="26"/>
          <w:rtl/>
        </w:rPr>
        <w:t xml:space="preserve">דָּבָר אַחֵר </w:t>
      </w:r>
      <w:r>
        <w:rPr>
          <w:b w:val="0"/>
          <w:sz w:val="20"/>
          <w:szCs w:val="23"/>
          <w:rtl/>
        </w:rPr>
        <w:t>(שם)</w:t>
      </w:r>
      <w:r>
        <w:rPr>
          <w:b w:val="0"/>
          <w:szCs w:val="23"/>
          <w:rtl/>
        </w:rPr>
        <w:t xml:space="preserve"> </w:t>
      </w:r>
      <w:r>
        <w:rPr>
          <w:rStyle w:val="Char"/>
          <w:rFonts w:cs="Arial"/>
          <w:szCs w:val="26"/>
          <w:rtl/>
        </w:rPr>
        <w:t>רֹאשֵׁךְ עָלַיִךְ כַּכַּרְמֶל, דָּא</w:t>
      </w:r>
      <w:r>
        <w:rPr>
          <w:b w:val="0"/>
          <w:szCs w:val="23"/>
          <w:rtl/>
        </w:rPr>
        <w:t xml:space="preserve"> </w:t>
      </w:r>
      <w:r>
        <w:rPr>
          <w:b w:val="0"/>
          <w:sz w:val="20"/>
          <w:szCs w:val="23"/>
          <w:rtl/>
        </w:rPr>
        <w:t>(תהלים קיט קס)</w:t>
      </w:r>
      <w:r>
        <w:rPr>
          <w:rFonts w:cs="Arial"/>
          <w:b w:val="0"/>
          <w:bCs w:val="0"/>
          <w:szCs w:val="26"/>
          <w:rtl/>
        </w:rPr>
        <w:t xml:space="preserve"> רֹאשׁ דְּבָרְךָ אֱמֶת, דַּלַּת רֹאשֵׁךְ כָּאַרְגָּמָן דָּא שְׁכִינְתָּא, מֶלֶךְ דָּא אַבְרָהָם, אָסוּר דָּא יִצְחָק בָּעֲקֵדָה, בְּקִשְׁרָא דִּתְּפִלִּין דִּדְרוֹעָא שְׂמָאלָא, בָּרְהָטִים דָּא יַעֲקֹב בְּאַרְבַּע </w:t>
      </w:r>
      <w:r>
        <w:rPr>
          <w:b w:val="0"/>
          <w:sz w:val="20"/>
          <w:szCs w:val="23"/>
          <w:rtl/>
        </w:rPr>
        <w:t>(קמג ע"א)</w:t>
      </w:r>
      <w:r>
        <w:rPr>
          <w:rFonts w:cs="Arial"/>
          <w:b w:val="0"/>
          <w:bCs w:val="0"/>
          <w:szCs w:val="26"/>
          <w:rtl/>
        </w:rPr>
        <w:t xml:space="preserve"> רְהִיטֵי מוֹחָא דִתְּפִלִּין דְּרֵישָׁא, דְאִתְּמַר </w:t>
      </w:r>
      <w:r>
        <w:rPr>
          <w:b w:val="0"/>
          <w:sz w:val="20"/>
          <w:szCs w:val="23"/>
          <w:rtl/>
        </w:rPr>
        <w:t>(בראשית ל לח)</w:t>
      </w:r>
      <w:r>
        <w:rPr>
          <w:rFonts w:cs="Arial"/>
          <w:b w:val="0"/>
          <w:bCs w:val="0"/>
          <w:szCs w:val="26"/>
          <w:rtl/>
        </w:rPr>
        <w:t xml:space="preserve"> בָּרְהָטִים בְּשִׁקֲתוֹת הַמָּיִם.</w:t>
      </w:r>
    </w:p>
    <w:p w:rsidR="006F705A" w:rsidRDefault="006F705A" w:rsidP="006F705A">
      <w:pPr>
        <w:pStyle w:val="NormalWeb"/>
        <w:rPr>
          <w:rFonts w:cs="Arial"/>
          <w:b w:val="0"/>
          <w:bCs w:val="0"/>
          <w:szCs w:val="26"/>
          <w:rtl/>
        </w:rPr>
      </w:pPr>
      <w:r>
        <w:rPr>
          <w:rStyle w:val="a7"/>
          <w:rFonts w:cs="Arial"/>
          <w:b w:val="0"/>
          <w:bCs w:val="0"/>
          <w:szCs w:val="26"/>
          <w:rtl/>
        </w:rPr>
        <w:footnoteReference w:id="5738"/>
      </w:r>
      <w:r>
        <w:rPr>
          <w:rFonts w:cs="Arial"/>
          <w:b w:val="0"/>
          <w:bCs w:val="0"/>
          <w:szCs w:val="26"/>
          <w:rtl/>
        </w:rPr>
        <w:t>קָם רַבִּי שִׁמְעוֹן וְאָמַר, אִתְכַּנְשׁוּ חֲיָילִין קַדִּישִׁין עִלָּאִין וְתַתָּאִין, לְמֶחמֵי בְּקִשּׁוּטָהָא דְכַלָּה, דְהָא חוּפָּה מִתְתַּקְנָא לְגַבָּהּ, וְחָתָן קָא נָטִיל לָהּ תַּמָּן, פָּתַח וְאָמַר אֵלִיָּהוּ אֵלִיָּהוּ נְחֵית הָכָא, אַנְתְּ וַחֲיָילִין דְּנִשְׁמָתְהוֹן דְּצַדִּיקַיָּיא דִמְתִיבְתָּא עִלָּאָה וְתַתָּאָה, לְקַשְׁטָא לְכַלָּה, מִיָּד הָא נָחִית אֵלִיָּהוּ בְכַמָּה חֲיָילִין דְּמַלְאָכִין וְכַמָּה נִשְׁמָתִין.</w:t>
      </w:r>
    </w:p>
    <w:p w:rsidR="006F705A" w:rsidRDefault="006F705A" w:rsidP="006F705A">
      <w:pPr>
        <w:pStyle w:val="NormalWeb"/>
        <w:rPr>
          <w:rFonts w:cs="Arial"/>
          <w:b w:val="0"/>
          <w:bCs w:val="0"/>
          <w:szCs w:val="26"/>
          <w:rtl/>
        </w:rPr>
      </w:pPr>
      <w:r>
        <w:rPr>
          <w:rFonts w:cs="Arial"/>
          <w:b w:val="0"/>
          <w:bCs w:val="0"/>
          <w:szCs w:val="26"/>
          <w:rtl/>
        </w:rPr>
        <w:t xml:space="preserve">פָּתַח וְאָמַר רֹאשֵׁךְ עָלַיִךְ כַּכַּרְמֶל, כַּלָּה כַּמָּה מִתְתַּקְנָא רֹאשֵׁךְ בִּתְפִלִּין דְּאִיהוּ </w:t>
      </w:r>
      <w:r>
        <w:rPr>
          <w:b w:val="0"/>
          <w:sz w:val="20"/>
          <w:szCs w:val="23"/>
          <w:rtl/>
        </w:rPr>
        <w:t>(נ''א דאינון)</w:t>
      </w:r>
      <w:r>
        <w:rPr>
          <w:rFonts w:cs="Arial"/>
          <w:b w:val="0"/>
          <w:bCs w:val="0"/>
          <w:szCs w:val="26"/>
          <w:rtl/>
        </w:rPr>
        <w:t xml:space="preserve"> פְּאֵר עַל רֹאשֵׁךְ, דַּעֲלַיְיהוּ אִתְּמַר </w:t>
      </w:r>
      <w:r>
        <w:rPr>
          <w:b w:val="0"/>
          <w:sz w:val="20"/>
          <w:szCs w:val="23"/>
          <w:rtl/>
        </w:rPr>
        <w:t>(יחזקאל כד יז)</w:t>
      </w:r>
      <w:r>
        <w:rPr>
          <w:rFonts w:cs="Arial"/>
          <w:b w:val="0"/>
          <w:bCs w:val="0"/>
          <w:szCs w:val="26"/>
          <w:rtl/>
        </w:rPr>
        <w:t xml:space="preserve"> פְּאֵרְךָ חֲבוֹשׁ עָלֶיךָ, וּרְצוּעִין תַּלְיָין מֵהַאי סִטְרָא וּמֵהַאי סִטְרָא, מַה דַּהֲווֹ תַּלְתַּלִּים שְׁחוֹרוֹת כָּעוֹרֵב, </w:t>
      </w:r>
      <w:r>
        <w:rPr>
          <w:rStyle w:val="a7"/>
          <w:rFonts w:cs="Arial"/>
          <w:b w:val="0"/>
          <w:bCs w:val="0"/>
          <w:szCs w:val="26"/>
          <w:rtl/>
        </w:rPr>
        <w:footnoteReference w:id="5739"/>
      </w:r>
      <w:r>
        <w:rPr>
          <w:rFonts w:cs="Arial"/>
          <w:b w:val="0"/>
          <w:bCs w:val="0"/>
          <w:szCs w:val="26"/>
          <w:rtl/>
        </w:rPr>
        <w:t xml:space="preserve">הָא אִינוּן יְרוֹקִין כַּכַּרְמֶל, כְּעַלִּין יְרוֹקִין דְּאִינוּן בַּגְּפָנִין כַּכַּרְמֶל, וּמַה דַּהֲוַת בְּגָלוּתָא דַלַּת, תְּפִלָּה לְעָנִי, וְדָא תְפִלָּה דְיָד, דְּבָהּ הוּא מִתְעַטְּפָא עָנִי בְּגָלוּתָא </w:t>
      </w:r>
      <w:r>
        <w:rPr>
          <w:b w:val="0"/>
          <w:sz w:val="20"/>
          <w:szCs w:val="23"/>
          <w:rtl/>
        </w:rPr>
        <w:t>(ס''א בצלותא)</w:t>
      </w:r>
      <w:r>
        <w:rPr>
          <w:b w:val="0"/>
          <w:szCs w:val="23"/>
          <w:rtl/>
        </w:rPr>
        <w:t xml:space="preserve">, </w:t>
      </w:r>
      <w:r>
        <w:rPr>
          <w:rStyle w:val="Char"/>
          <w:rFonts w:cs="Arial"/>
          <w:szCs w:val="26"/>
          <w:rtl/>
        </w:rPr>
        <w:t>הֲדָא הוּא דִכְתִיב</w:t>
      </w:r>
      <w:r>
        <w:rPr>
          <w:b w:val="0"/>
          <w:szCs w:val="23"/>
          <w:rtl/>
        </w:rPr>
        <w:t xml:space="preserve"> </w:t>
      </w:r>
      <w:r>
        <w:rPr>
          <w:b w:val="0"/>
          <w:sz w:val="20"/>
          <w:szCs w:val="23"/>
          <w:rtl/>
        </w:rPr>
        <w:t>(תהלים קב א)</w:t>
      </w:r>
      <w:r>
        <w:rPr>
          <w:rFonts w:cs="Arial"/>
          <w:b w:val="0"/>
          <w:bCs w:val="0"/>
          <w:szCs w:val="26"/>
          <w:rtl/>
        </w:rPr>
        <w:t xml:space="preserve"> תְּפִלָּה לְעָנִי כִי יַעֲטֹף, כְּעַן אִתְּמַר בָּךְ </w:t>
      </w:r>
      <w:r>
        <w:rPr>
          <w:b w:val="0"/>
          <w:sz w:val="20"/>
          <w:szCs w:val="23"/>
          <w:rtl/>
        </w:rPr>
        <w:t>(שיר ז ו)</w:t>
      </w:r>
      <w:r>
        <w:rPr>
          <w:rFonts w:cs="Arial"/>
          <w:b w:val="0"/>
          <w:bCs w:val="0"/>
          <w:szCs w:val="26"/>
          <w:rtl/>
        </w:rPr>
        <w:t xml:space="preserve"> וְדַלַּת רֹאשֵׁךְ כָּאַרְגָּמָן, </w:t>
      </w:r>
      <w:r>
        <w:rPr>
          <w:rStyle w:val="a7"/>
          <w:rFonts w:cs="Arial"/>
          <w:b w:val="0"/>
          <w:bCs w:val="0"/>
          <w:szCs w:val="26"/>
          <w:rtl/>
        </w:rPr>
        <w:footnoteReference w:id="5740"/>
      </w:r>
      <w:r>
        <w:rPr>
          <w:rFonts w:cs="Arial"/>
          <w:b w:val="0"/>
          <w:bCs w:val="0"/>
          <w:szCs w:val="26"/>
          <w:rtl/>
        </w:rPr>
        <w:t>מֶלֶךְ אָסוּר בָּרְהָטִים, אִלֵּין אַרְבַּע רְהִטֵי מוֹחָא, אַרְבַּע בָּתֵּי דִתְּפִלִּין דְּאִינוּן אהי''ה, וְכֵן בְּיָד אהי''ה, כְּחוּשְׁבַּן חַד וְעֶשְׂרִין אַזְכָּרוֹת דִתְּפִלִּין דְּיָד, וּסְלִיקוּ לְחוּשְׁבַּן אהי''ה אהי''ה, הוּא מֶלֶךְ אָסוּר בָּרְהָטִים, אֲשֶׁ''ר אהי''ה, וְאִיהוּ רֹא''שׁ יהו''ה קָרִינָן לֵיהּ, אָסוּר בְּכֻלְּהוּ אַזְכָּרוֹת.</w:t>
      </w:r>
    </w:p>
    <w:p w:rsidR="006F705A" w:rsidRDefault="006F705A" w:rsidP="006F705A">
      <w:pPr>
        <w:pStyle w:val="NormalWeb"/>
        <w:rPr>
          <w:rFonts w:cs="Arial"/>
          <w:b w:val="0"/>
          <w:bCs w:val="0"/>
          <w:szCs w:val="26"/>
          <w:rtl/>
        </w:rPr>
      </w:pPr>
      <w:r>
        <w:rPr>
          <w:rStyle w:val="a7"/>
          <w:rFonts w:cs="Arial"/>
          <w:b w:val="0"/>
          <w:bCs w:val="0"/>
          <w:szCs w:val="26"/>
          <w:rtl/>
        </w:rPr>
        <w:footnoteReference w:id="5741"/>
      </w:r>
      <w:r>
        <w:rPr>
          <w:rFonts w:cs="Arial"/>
          <w:b w:val="0"/>
          <w:bCs w:val="0"/>
          <w:szCs w:val="26"/>
          <w:rtl/>
        </w:rPr>
        <w:t xml:space="preserve">דָּבָר אַחֵר רֹאשֵׁךְ עָלַיִךְ כַּכַּרְמֶל, רֵישָׁא דִילָךְ כַּלָּה, עַל כֻּלְּהוּ חֲיָילִין סָלְקָא, </w:t>
      </w:r>
      <w:r>
        <w:rPr>
          <w:b w:val="0"/>
          <w:sz w:val="20"/>
          <w:szCs w:val="23"/>
          <w:rtl/>
        </w:rPr>
        <w:t>(שם)</w:t>
      </w:r>
      <w:r>
        <w:rPr>
          <w:rFonts w:cs="Arial"/>
          <w:b w:val="0"/>
          <w:bCs w:val="0"/>
          <w:szCs w:val="26"/>
          <w:rtl/>
        </w:rPr>
        <w:t xml:space="preserve"> עַל שִׁשִּׁים הֵמָּה מְלָכוֹת דְּאִינוּן שִׁתִּין מַסֵכְתִּין, וְסָלְקִין לְשִׁית מְאָה, וּלְשִׁשִּׁים רִבּוֹא, וּשְׁמֹנִים פִּלַגְשִׁים דַּהֲווֹ תְּמָנִין סִפְרֵי דְאַגַּדְתָּא, וַעֲלָמוֹת אֵין מִסְפָּר אִינוּן הֲלָכוֹת דְּלֵית לוֹן מִסְפָּר וְחוּשְׁבָּן, דְּאִינוּן נִימִין דְּשַׂעֲרִין דְּכַלָּה דְלֵית לוֹן חוּשְׁבָּנָא, וְאַנְתְּ כַּלָּה סְלִיקַת עַל כֻּלְּהוּ, הֲדָא הוּא דִכְתִיב </w:t>
      </w:r>
      <w:r>
        <w:rPr>
          <w:b w:val="0"/>
          <w:sz w:val="20"/>
          <w:szCs w:val="23"/>
          <w:rtl/>
        </w:rPr>
        <w:t>(משלי לא כט)</w:t>
      </w:r>
      <w:r>
        <w:rPr>
          <w:rFonts w:cs="Arial"/>
          <w:b w:val="0"/>
          <w:bCs w:val="0"/>
          <w:szCs w:val="26"/>
          <w:rtl/>
        </w:rPr>
        <w:t xml:space="preserve"> רַבּוֹת בָּנוֹת עָשׂוּ חָיִל וְאַתְּ עָלִית עַל כֻּלָּנָה.</w:t>
      </w:r>
    </w:p>
    <w:p w:rsidR="006F705A" w:rsidRDefault="006F705A" w:rsidP="006F705A">
      <w:pPr>
        <w:pStyle w:val="NormalWeb"/>
        <w:rPr>
          <w:rFonts w:cs="Arial"/>
          <w:b w:val="0"/>
          <w:bCs w:val="0"/>
          <w:szCs w:val="26"/>
          <w:rtl/>
        </w:rPr>
      </w:pPr>
      <w:r>
        <w:rPr>
          <w:rStyle w:val="a7"/>
          <w:rFonts w:cs="Arial"/>
          <w:b w:val="0"/>
          <w:bCs w:val="0"/>
          <w:szCs w:val="26"/>
          <w:rtl/>
        </w:rPr>
        <w:footnoteReference w:id="5742"/>
      </w:r>
      <w:r>
        <w:rPr>
          <w:rFonts w:cs="Arial"/>
          <w:b w:val="0"/>
          <w:bCs w:val="0"/>
          <w:szCs w:val="26"/>
          <w:rtl/>
        </w:rPr>
        <w:t xml:space="preserve">דָּבָר אַחֵר רֹאשֵׁךְ עָלַיִךְ כַּכַּרְמֶל, שַׂעֲרָא דִילָךְ כַּמָּה אִיהוּ מִתְתַּקְנָא בִּתְלַת עֲשַׂר תִּקּוּנִין, דְּאִינוּן תְּרֵי עֲשַׂר מַזָּלוֹת וְסִיהֲרָא תְּלַת עֲשַׂר, וְנִימִין דִּילָךְ אִינוּן כֹּכְבַיָּא וּמַזָּלֵי דְלֵית לוֹן חוּשְׁבָּן, וְדַלַּת רֹאשֵׁךְ, אַנְתְּ </w:t>
      </w:r>
      <w:r>
        <w:rPr>
          <w:b w:val="0"/>
          <w:sz w:val="20"/>
          <w:szCs w:val="23"/>
          <w:rtl/>
        </w:rPr>
        <w:t>(הוא)</w:t>
      </w:r>
      <w:r>
        <w:rPr>
          <w:rFonts w:cs="Arial"/>
          <w:b w:val="0"/>
          <w:bCs w:val="0"/>
          <w:szCs w:val="26"/>
          <w:rtl/>
        </w:rPr>
        <w:t xml:space="preserve"> דַהֲוִית סִיהֲרָא עֲנִיָּה תְחוֹת כֻּלְּהוּ כֹּכְבַיָּא, מְהַדְּקָא בֵּין רַגְלִין, הֲדָא הוּא דִכְתִיב </w:t>
      </w:r>
      <w:r>
        <w:rPr>
          <w:b w:val="0"/>
          <w:sz w:val="20"/>
          <w:szCs w:val="23"/>
          <w:rtl/>
        </w:rPr>
        <w:t>(רות ג ז)</w:t>
      </w:r>
      <w:r>
        <w:rPr>
          <w:rFonts w:cs="Arial"/>
          <w:b w:val="0"/>
          <w:bCs w:val="0"/>
          <w:szCs w:val="26"/>
          <w:rtl/>
        </w:rPr>
        <w:t xml:space="preserve"> וַתְּגַל מַרְגְּלוֹתָיו וַתִּשְׁכָּב, כְּעַן הָא אַנְתְּ רֵישָׁא לְכֻלְּהוּ, כָּאַרְגָּמָן דְּאִיהוּ אָמֵן יאהדונה''י, אַנְתְּ אדנ''י, מֶלֶךְ דְּאִיהוּ יהו''ה, אָסוּר בָּרְהָטִים דִּילָךְ, אַרְגָּמָ''ן א''וּרִיאֵל רְ''פָאֵל גַּ''בְרִיאֵל מִ''יכָאֵל נ''וריאל, חֲיָילִין קַדִּישִׁין דִּילָה.</w:t>
      </w:r>
    </w:p>
    <w:p w:rsidR="006F705A" w:rsidRDefault="006F705A" w:rsidP="006F705A">
      <w:pPr>
        <w:pStyle w:val="NormalWeb"/>
        <w:rPr>
          <w:rFonts w:cs="Arial"/>
          <w:b w:val="0"/>
          <w:bCs w:val="0"/>
          <w:szCs w:val="26"/>
          <w:rtl/>
        </w:rPr>
      </w:pPr>
      <w:r>
        <w:rPr>
          <w:rStyle w:val="a7"/>
          <w:rFonts w:cs="Arial"/>
          <w:b w:val="0"/>
          <w:bCs w:val="0"/>
          <w:szCs w:val="26"/>
          <w:rtl/>
        </w:rPr>
        <w:footnoteReference w:id="5743"/>
      </w:r>
      <w:r>
        <w:rPr>
          <w:rFonts w:cs="Arial"/>
          <w:b w:val="0"/>
          <w:bCs w:val="0"/>
          <w:szCs w:val="26"/>
          <w:rtl/>
        </w:rPr>
        <w:t xml:space="preserve">כַּד חָתָן דְּאִיהוּ שִׁמְשָׁא יֵיתֵי לְאַנְהָרָא לְסִיהֲרָא, אִיהִי אִתְקַשְׁטַת בְּשַׂעֲרָהָא דִילָהּ, מִתְתַּקְנָא בִתְלַת עֲשַׂר </w:t>
      </w:r>
      <w:r>
        <w:rPr>
          <w:b w:val="0"/>
          <w:sz w:val="20"/>
          <w:szCs w:val="23"/>
          <w:rtl/>
        </w:rPr>
        <w:t>(נ''א בתריסר)</w:t>
      </w:r>
      <w:r>
        <w:rPr>
          <w:b w:val="0"/>
          <w:szCs w:val="23"/>
          <w:rtl/>
        </w:rPr>
        <w:t xml:space="preserve"> </w:t>
      </w:r>
      <w:r>
        <w:rPr>
          <w:rStyle w:val="Char"/>
          <w:rFonts w:cs="Arial"/>
          <w:szCs w:val="26"/>
          <w:rtl/>
        </w:rPr>
        <w:t>דִּקְנִין</w:t>
      </w:r>
      <w:r>
        <w:rPr>
          <w:b w:val="0"/>
          <w:szCs w:val="23"/>
          <w:rtl/>
        </w:rPr>
        <w:t xml:space="preserve"> </w:t>
      </w:r>
      <w:r>
        <w:rPr>
          <w:b w:val="0"/>
          <w:sz w:val="20"/>
          <w:szCs w:val="23"/>
          <w:rtl/>
        </w:rPr>
        <w:t>(דרגין, תקונין)</w:t>
      </w:r>
      <w:r>
        <w:rPr>
          <w:rFonts w:cs="Arial"/>
          <w:b w:val="0"/>
          <w:bCs w:val="0"/>
          <w:szCs w:val="26"/>
          <w:rtl/>
        </w:rPr>
        <w:t xml:space="preserve">, דְּאִינוּן תְּרֵיסַר מַזָּלוֹת, שִׁמְשָׁא </w:t>
      </w:r>
      <w:r>
        <w:rPr>
          <w:b w:val="0"/>
          <w:sz w:val="20"/>
          <w:szCs w:val="23"/>
          <w:rtl/>
        </w:rPr>
        <w:t>(צ''ל וסיהרא)</w:t>
      </w:r>
      <w:r>
        <w:rPr>
          <w:b w:val="0"/>
          <w:szCs w:val="23"/>
          <w:rtl/>
        </w:rPr>
        <w:t xml:space="preserve">, </w:t>
      </w:r>
      <w:r>
        <w:rPr>
          <w:b w:val="0"/>
          <w:sz w:val="20"/>
          <w:szCs w:val="23"/>
          <w:rtl/>
        </w:rPr>
        <w:t>(תהלים יט ו)</w:t>
      </w:r>
      <w:r>
        <w:rPr>
          <w:rFonts w:cs="Arial"/>
          <w:b w:val="0"/>
          <w:bCs w:val="0"/>
          <w:szCs w:val="26"/>
          <w:rtl/>
        </w:rPr>
        <w:t xml:space="preserve"> וְהוּא כְּחָתָן יוֹצֵא מֵחֻפָּתוֹ, וְאִיהוּ יָשִׂישׂ כְּגִבּוֹר לָרוּץ אָרְחִין בִּרְקִיעָא, </w:t>
      </w:r>
      <w:r>
        <w:rPr>
          <w:rStyle w:val="a7"/>
          <w:rFonts w:cs="Arial"/>
          <w:b w:val="0"/>
          <w:bCs w:val="0"/>
          <w:szCs w:val="26"/>
          <w:rtl/>
        </w:rPr>
        <w:footnoteReference w:id="5744"/>
      </w:r>
      <w:r>
        <w:rPr>
          <w:rFonts w:cs="Arial"/>
          <w:b w:val="0"/>
          <w:bCs w:val="0"/>
          <w:szCs w:val="26"/>
          <w:rtl/>
        </w:rPr>
        <w:t xml:space="preserve">יָצִיץ לְגַבָּהּ וַדַּאי, הֲדָא הוּא דִכְתִיב </w:t>
      </w:r>
      <w:r>
        <w:rPr>
          <w:b w:val="0"/>
          <w:sz w:val="20"/>
          <w:szCs w:val="23"/>
          <w:rtl/>
        </w:rPr>
        <w:t>(שיר השירים ב ט)</w:t>
      </w:r>
      <w:r>
        <w:rPr>
          <w:rFonts w:cs="Arial"/>
          <w:b w:val="0"/>
          <w:bCs w:val="0"/>
          <w:szCs w:val="26"/>
          <w:rtl/>
        </w:rPr>
        <w:t xml:space="preserve"> מַשְׁגִּיחַ מִן הַחַלּוֹנוֹת מֵצִיץ מִן הַחֲרַכִּים, לְאִסְתַּכְּלָא לְגַבָּהּ בִּרְקִיעָא וְדָא יָצִיץ, מַאי כַּגִּבּוֹר, מַה גְּבוּרָה עָבִיד בְּהַאי, אֶלָּא תְרֵין עֲשַׂר מַשְׁקוֹפִין אִית בְּרָקִיעַ, </w:t>
      </w:r>
      <w:r>
        <w:rPr>
          <w:rStyle w:val="a7"/>
          <w:rFonts w:cs="Arial"/>
          <w:b w:val="0"/>
          <w:bCs w:val="0"/>
          <w:szCs w:val="26"/>
          <w:rtl/>
        </w:rPr>
        <w:footnoteReference w:id="5745"/>
      </w:r>
      <w:r>
        <w:rPr>
          <w:rFonts w:cs="Arial"/>
          <w:b w:val="0"/>
          <w:bCs w:val="0"/>
          <w:szCs w:val="26"/>
          <w:rtl/>
        </w:rPr>
        <w:t xml:space="preserve">וְכֻלְּהוּ חֲיָילִין מְקַטְרְגִין לְגַבַּיְיהוּ נְטוּרֵי תַרְעִין, שִׁמְשָׁא מִתְעַטְּרָא בְּאַתְוָון דִּתְּפִלִּין דְּאִיהוּ שֵׁם יהו''ה, וְאִתְלַבַּשׁ בִּגְבוּרָה, הֲדָא הוּא דִכְתִיב </w:t>
      </w:r>
      <w:r>
        <w:rPr>
          <w:b w:val="0"/>
          <w:sz w:val="20"/>
          <w:szCs w:val="23"/>
          <w:rtl/>
        </w:rPr>
        <w:t>(ישעיה מב יג)</w:t>
      </w:r>
      <w:r>
        <w:rPr>
          <w:rFonts w:cs="Arial"/>
          <w:b w:val="0"/>
          <w:bCs w:val="0"/>
          <w:szCs w:val="26"/>
          <w:rtl/>
        </w:rPr>
        <w:t xml:space="preserve"> יהו''ה כַּגִּבּוֹר יֵצֵא כַּגִּבּוֹר לָרוּץ אֹרַח, וּבָקַע חַלּוֹנוֹת כֻּלְּהוּ דְרָקִיעַ, </w:t>
      </w:r>
      <w:r>
        <w:rPr>
          <w:rStyle w:val="a7"/>
          <w:rFonts w:cs="Arial"/>
          <w:b w:val="0"/>
          <w:bCs w:val="0"/>
          <w:szCs w:val="26"/>
          <w:rtl/>
        </w:rPr>
        <w:footnoteReference w:id="5746"/>
      </w:r>
      <w:r>
        <w:rPr>
          <w:rFonts w:cs="Arial"/>
          <w:b w:val="0"/>
          <w:bCs w:val="0"/>
          <w:szCs w:val="26"/>
          <w:rtl/>
        </w:rPr>
        <w:t xml:space="preserve">וְעָבִיד תְּרֵין עֲשַׂר אָרְחִין, </w:t>
      </w:r>
      <w:r>
        <w:rPr>
          <w:rStyle w:val="a7"/>
          <w:rFonts w:cs="Arial"/>
          <w:b w:val="0"/>
          <w:bCs w:val="0"/>
          <w:szCs w:val="26"/>
          <w:rtl/>
        </w:rPr>
        <w:footnoteReference w:id="5747"/>
      </w:r>
      <w:r>
        <w:rPr>
          <w:rFonts w:cs="Arial"/>
          <w:b w:val="0"/>
          <w:bCs w:val="0"/>
          <w:szCs w:val="26"/>
          <w:rtl/>
        </w:rPr>
        <w:t>כְּמָה דְעָבַד מֹשֶׁה עַל יַמָּא, וְדָא אִיהוּ לָרוּץ אֹרַח, וּבְגִין דְּנָטִיל בְּקַדְמֵיתָא מִגְּבוּרָה, שִׁמְשָׁא נָפִיק סוּמְקָא.</w:t>
      </w:r>
    </w:p>
    <w:p w:rsidR="006F705A" w:rsidRDefault="006F705A" w:rsidP="006F705A">
      <w:pPr>
        <w:pStyle w:val="NormalWeb"/>
        <w:rPr>
          <w:rFonts w:cs="Arial"/>
          <w:szCs w:val="22"/>
          <w:rtl/>
        </w:rPr>
      </w:pPr>
      <w:r>
        <w:rPr>
          <w:rFonts w:cs="Arial"/>
          <w:szCs w:val="22"/>
          <w:rtl/>
        </w:rPr>
        <w:t>[י"א תיקונים מהדורא בתרא, קמג ע"ב]</w:t>
      </w:r>
    </w:p>
    <w:p w:rsidR="006F705A" w:rsidRDefault="006F705A" w:rsidP="006F705A">
      <w:pPr>
        <w:pStyle w:val="NormalWeb"/>
        <w:rPr>
          <w:rFonts w:cs="Arial"/>
          <w:b w:val="0"/>
          <w:bCs w:val="0"/>
          <w:szCs w:val="26"/>
          <w:rtl/>
        </w:rPr>
      </w:pPr>
      <w:r>
        <w:rPr>
          <w:rFonts w:cs="Arial"/>
          <w:b w:val="0"/>
          <w:bCs w:val="0"/>
          <w:szCs w:val="26"/>
          <w:rtl/>
        </w:rPr>
        <w:t xml:space="preserve">לְבָתַר אִתְלַבַּשׁ בְּחֶסֶד דְּאִיהוּ חִוָּור, וּבֵיהּ אִשְׁתַּכַּךְ רוּגְזֵיהּ דְּשִׁמְשָׁא, יָרוֹק הֲוָה מִסִּטְרָא דְעַמּוּדָא דְאֶמְצָעִיתָא, </w:t>
      </w:r>
      <w:r>
        <w:rPr>
          <w:rStyle w:val="a7"/>
          <w:rFonts w:cs="Arial"/>
          <w:b w:val="0"/>
          <w:bCs w:val="0"/>
          <w:szCs w:val="26"/>
          <w:rtl/>
        </w:rPr>
        <w:footnoteReference w:id="5748"/>
      </w:r>
      <w:r>
        <w:rPr>
          <w:rFonts w:cs="Arial"/>
          <w:b w:val="0"/>
          <w:bCs w:val="0"/>
          <w:szCs w:val="26"/>
          <w:rtl/>
        </w:rPr>
        <w:t xml:space="preserve">וְכַד אִתְלַבַּשׁ </w:t>
      </w:r>
      <w:r>
        <w:rPr>
          <w:b w:val="0"/>
          <w:sz w:val="20"/>
          <w:szCs w:val="23"/>
          <w:rtl/>
        </w:rPr>
        <w:t>(נ''א אתלבן)</w:t>
      </w:r>
      <w:r>
        <w:rPr>
          <w:rFonts w:cs="Arial"/>
          <w:b w:val="0"/>
          <w:bCs w:val="0"/>
          <w:szCs w:val="26"/>
          <w:rtl/>
        </w:rPr>
        <w:t xml:space="preserve"> בַּחֶסֶד בִּנְהוֹרָא חִוְורָא, מִנֵּיהּ יְהֵא נָהִיר לְסִיהֲרָא, </w:t>
      </w:r>
      <w:r>
        <w:rPr>
          <w:rStyle w:val="a7"/>
          <w:rFonts w:cs="Arial"/>
          <w:b w:val="0"/>
          <w:bCs w:val="0"/>
          <w:szCs w:val="26"/>
          <w:rtl/>
        </w:rPr>
        <w:footnoteReference w:id="5749"/>
      </w:r>
      <w:r>
        <w:rPr>
          <w:rFonts w:cs="Arial"/>
          <w:b w:val="0"/>
          <w:bCs w:val="0"/>
          <w:szCs w:val="26"/>
          <w:rtl/>
        </w:rPr>
        <w:t xml:space="preserve">מִקְצֵה הַשָּׁמַיִם מוֹצָאוֹ, דָּא עַמּוּדָא דְאֶמְצָעִיתָא, קָצֶה דִילֵיה צַדִּיק, </w:t>
      </w:r>
      <w:r>
        <w:rPr>
          <w:rStyle w:val="a7"/>
          <w:rFonts w:cs="Arial"/>
          <w:b w:val="0"/>
          <w:bCs w:val="0"/>
          <w:szCs w:val="26"/>
          <w:rtl/>
        </w:rPr>
        <w:footnoteReference w:id="5750"/>
      </w:r>
      <w:r>
        <w:rPr>
          <w:rFonts w:cs="Arial"/>
          <w:b w:val="0"/>
          <w:bCs w:val="0"/>
          <w:szCs w:val="26"/>
          <w:rtl/>
        </w:rPr>
        <w:t xml:space="preserve">וּתְקוּפָתוֹ עַל </w:t>
      </w:r>
      <w:r>
        <w:rPr>
          <w:b w:val="0"/>
          <w:sz w:val="20"/>
          <w:szCs w:val="23"/>
          <w:rtl/>
        </w:rPr>
        <w:t>(קמג ע"ב)</w:t>
      </w:r>
      <w:r>
        <w:rPr>
          <w:rFonts w:cs="Arial"/>
          <w:b w:val="0"/>
          <w:bCs w:val="0"/>
          <w:szCs w:val="26"/>
          <w:rtl/>
        </w:rPr>
        <w:t xml:space="preserve"> קְצוֹתָם תְּרֵי סַמְכֵי קְשׁוֹט, וּבְהוֹן אֵין נִסְתָּר מֵחַמָּתוֹ, דָּא שְׁכִינְתָּא עִלָּאָה </w:t>
      </w:r>
      <w:r>
        <w:rPr>
          <w:rStyle w:val="a7"/>
          <w:rFonts w:cs="Arial"/>
          <w:b w:val="0"/>
          <w:bCs w:val="0"/>
          <w:szCs w:val="26"/>
          <w:rtl/>
        </w:rPr>
        <w:footnoteReference w:id="5751"/>
      </w:r>
      <w:r>
        <w:rPr>
          <w:rFonts w:cs="Arial"/>
          <w:b w:val="0"/>
          <w:bCs w:val="0"/>
          <w:szCs w:val="26"/>
          <w:rtl/>
        </w:rPr>
        <w:t xml:space="preserve">דְאִיהִי חַמָּה, מִן תַּמָּן נִצְבַּע בְּגַוָּון יָרוֹק דְּאִיהוּ רַחֲמֵי, </w:t>
      </w:r>
      <w:r>
        <w:rPr>
          <w:rStyle w:val="a7"/>
          <w:rFonts w:cs="Arial"/>
          <w:b w:val="0"/>
          <w:bCs w:val="0"/>
          <w:szCs w:val="26"/>
          <w:rtl/>
        </w:rPr>
        <w:footnoteReference w:id="5752"/>
      </w:r>
      <w:r>
        <w:rPr>
          <w:rFonts w:cs="Arial"/>
          <w:b w:val="0"/>
          <w:bCs w:val="0"/>
          <w:szCs w:val="26"/>
          <w:rtl/>
        </w:rPr>
        <w:t>בְּהַהוּא זִמְנָא מִסְתַּכְּלִין שִׁמְשָׁא וְסִיהֲרָא כַּחֲדָא, וְאֵין נִסְתָּר מֵחַמָּתוֹ, דְאִיהִי חוּפָּה דִילָהּ.</w:t>
      </w:r>
    </w:p>
    <w:p w:rsidR="006F705A" w:rsidRDefault="006F705A" w:rsidP="006F705A">
      <w:pPr>
        <w:pStyle w:val="NormalWeb"/>
        <w:rPr>
          <w:rFonts w:cs="Arial"/>
          <w:b w:val="0"/>
          <w:bCs w:val="0"/>
          <w:szCs w:val="26"/>
          <w:rtl/>
        </w:rPr>
      </w:pPr>
      <w:r>
        <w:rPr>
          <w:rStyle w:val="a7"/>
          <w:rFonts w:cs="Arial"/>
          <w:b w:val="0"/>
          <w:bCs w:val="0"/>
          <w:szCs w:val="26"/>
          <w:rtl/>
        </w:rPr>
        <w:footnoteReference w:id="5753"/>
      </w:r>
      <w:r>
        <w:rPr>
          <w:rFonts w:cs="Arial"/>
          <w:b w:val="0"/>
          <w:bCs w:val="0"/>
          <w:szCs w:val="26"/>
          <w:rtl/>
        </w:rPr>
        <w:t xml:space="preserve">וּבְהַהוּא זִמְנָא נָטְלַת הִיא מִתְּלַת גַּוָּונִין, לְאִתְפָּאֲרָא קֳדָמֵיהּ בִּתְלַת גַּוָּונִין דְּעִינָא, דְּאִינוּן חִוָּור סוּמַק יָרוֹק, וּבְהַהוּא זִמְנָא אִיהוּ יֵימָא לְגַבָּהּ, </w:t>
      </w:r>
      <w:r>
        <w:rPr>
          <w:b w:val="0"/>
          <w:sz w:val="20"/>
          <w:szCs w:val="23"/>
          <w:rtl/>
        </w:rPr>
        <w:t>(שיר ו ה)</w:t>
      </w:r>
      <w:r>
        <w:rPr>
          <w:rFonts w:cs="Arial"/>
          <w:b w:val="0"/>
          <w:bCs w:val="0"/>
          <w:szCs w:val="26"/>
          <w:rtl/>
        </w:rPr>
        <w:t xml:space="preserve"> הָסֵבִּי עִינַיִךְ מִנֶּגְדִּי שֶׁהֵם הִרְהִיבוּנִי, מוֹקְדִין לִי </w:t>
      </w:r>
      <w:r>
        <w:rPr>
          <w:rStyle w:val="a7"/>
          <w:rFonts w:cs="Arial"/>
          <w:b w:val="0"/>
          <w:bCs w:val="0"/>
          <w:szCs w:val="26"/>
          <w:rtl/>
        </w:rPr>
        <w:footnoteReference w:id="5754"/>
      </w:r>
      <w:r>
        <w:rPr>
          <w:rFonts w:cs="Arial"/>
          <w:b w:val="0"/>
          <w:bCs w:val="0"/>
          <w:szCs w:val="26"/>
          <w:rtl/>
        </w:rPr>
        <w:t xml:space="preserve">בְּשַׁלְהוֹבִין דִּרְחִימוּ דִילָךְ, </w:t>
      </w:r>
      <w:r>
        <w:rPr>
          <w:rStyle w:val="a7"/>
          <w:rFonts w:cs="Arial"/>
          <w:b w:val="0"/>
          <w:bCs w:val="0"/>
          <w:szCs w:val="26"/>
          <w:rtl/>
        </w:rPr>
        <w:footnoteReference w:id="5755"/>
      </w:r>
      <w:r>
        <w:rPr>
          <w:rFonts w:cs="Arial"/>
          <w:b w:val="0"/>
          <w:bCs w:val="0"/>
          <w:szCs w:val="26"/>
          <w:rtl/>
        </w:rPr>
        <w:t xml:space="preserve">וּבוֹצִינָא קַדִּישָׁא תְּרֵין עַיְנִין אִנּוּן תְּרֵין לוּחִין יַקִּירִין דְּאוֹרַיְיתָא, דְאִתְּמַר בְּהוֹן </w:t>
      </w:r>
      <w:r>
        <w:rPr>
          <w:b w:val="0"/>
          <w:sz w:val="20"/>
          <w:szCs w:val="23"/>
          <w:rtl/>
        </w:rPr>
        <w:t>(שמות לא יח)</w:t>
      </w:r>
      <w:r>
        <w:rPr>
          <w:rFonts w:cs="Arial"/>
          <w:b w:val="0"/>
          <w:bCs w:val="0"/>
          <w:szCs w:val="26"/>
          <w:rtl/>
        </w:rPr>
        <w:t xml:space="preserve"> לֻחֹת אֶבֶן כְּתוּבִים בְּאֶצְבַּע אלהי''ם </w:t>
      </w:r>
      <w:r>
        <w:rPr>
          <w:b w:val="0"/>
          <w:sz w:val="20"/>
          <w:szCs w:val="23"/>
          <w:rtl/>
        </w:rPr>
        <w:t>(שם לב טו)</w:t>
      </w:r>
      <w:r>
        <w:rPr>
          <w:rFonts w:cs="Arial"/>
          <w:b w:val="0"/>
          <w:bCs w:val="0"/>
          <w:szCs w:val="26"/>
          <w:rtl/>
        </w:rPr>
        <w:t xml:space="preserve"> כְּתוּבִים מִשְּׁנֵי עֶבְרֵיהֶם, וּמְרַקְּמָאן מִתְּרֵין עֲשַׂר גַּוָּונִין מֵהַאי סִטְרָא, וּמִתְּרֵין עֲשַׂר גַּוָּונִין מֵהַאי סִטְרָא, דְּאִינוּן אַרְבָּעָה וְעֶשְׂרִין סִטְרִין, וַעֲלַיְיהוּ אִתְּמַר </w:t>
      </w:r>
      <w:r>
        <w:rPr>
          <w:b w:val="0"/>
          <w:sz w:val="20"/>
          <w:szCs w:val="23"/>
          <w:rtl/>
        </w:rPr>
        <w:t>(שם)</w:t>
      </w:r>
      <w:r>
        <w:rPr>
          <w:rFonts w:cs="Arial"/>
          <w:b w:val="0"/>
          <w:bCs w:val="0"/>
          <w:szCs w:val="26"/>
          <w:rtl/>
        </w:rPr>
        <w:t xml:space="preserve"> מִזֶּה וּמִזֶּה הֵם כְּתְבִים, זֶ''ה וְזֶ''ה תְּרֵין זִמְנִין אַרְבָּעָה וְעֶשְׂרִים סְפָרִים.</w:t>
      </w:r>
    </w:p>
    <w:p w:rsidR="006F705A" w:rsidRDefault="006F705A" w:rsidP="006F705A">
      <w:pPr>
        <w:pStyle w:val="NormalWeb"/>
        <w:rPr>
          <w:rFonts w:cs="Arial"/>
          <w:b w:val="0"/>
          <w:bCs w:val="0"/>
          <w:szCs w:val="26"/>
          <w:rtl/>
        </w:rPr>
      </w:pPr>
      <w:r>
        <w:rPr>
          <w:rFonts w:cs="Arial"/>
          <w:b w:val="0"/>
          <w:bCs w:val="0"/>
          <w:szCs w:val="26"/>
          <w:rtl/>
        </w:rPr>
        <w:t xml:space="preserve">וְאִינוּן תְּרֵין עֲשַׂר אַנְפִּין וּתְרֵי עֲשַׂר גַּדְפִין דְּחֵיוָון, הֲדָא הוּא דִכְתִיב </w:t>
      </w:r>
      <w:r>
        <w:rPr>
          <w:b w:val="0"/>
          <w:sz w:val="20"/>
          <w:szCs w:val="23"/>
          <w:rtl/>
        </w:rPr>
        <w:t>(יחזקאל א ו)</w:t>
      </w:r>
      <w:r>
        <w:rPr>
          <w:rFonts w:cs="Arial"/>
          <w:b w:val="0"/>
          <w:bCs w:val="0"/>
          <w:szCs w:val="26"/>
          <w:rtl/>
        </w:rPr>
        <w:t xml:space="preserve"> וּפְנֵי אַרְיֵה אֶל הַיָּמִין לְאַרְבַּעְתָּם גַּוָּון חִוָּור דְּעִינָא, וּפְנֵי שׁוֹר מֵהַשְּׂמֹאל לְאַרְבַּעְתָּם גַּוָּון סוּמַק דְּעִינָא, וּפְנֵי נֶשֶׁר לְאַרְבַּעְתָּם אִינוּן גַּוָּון יָרוֹק דְּעִינָא, דְּאִתְּמַר </w:t>
      </w:r>
      <w:r>
        <w:rPr>
          <w:b w:val="0"/>
          <w:sz w:val="20"/>
          <w:szCs w:val="23"/>
          <w:rtl/>
        </w:rPr>
        <w:t>(שם)</w:t>
      </w:r>
      <w:r>
        <w:rPr>
          <w:rFonts w:cs="Arial"/>
          <w:b w:val="0"/>
          <w:bCs w:val="0"/>
          <w:szCs w:val="26"/>
          <w:rtl/>
        </w:rPr>
        <w:t xml:space="preserve"> וְאַרְבָּעָה פָנִים לְאֶחָד וְגוֹמֵר, וְאַרְבַּע כְּנָפַיִם וְגוֹמֵר, הָא אַרְבָּעָה וְעֶשְׂרִים, גַּדְפִין אִינוּן כַּנְפֵי עִינָא, וַעֲלַיְיהוּ אִתְּמַר מִזֶּה וּמִזֶּה הֵם כְּתֻבִים, וְחֵיוָון בְּהוֹן כְּתִיב </w:t>
      </w:r>
      <w:r>
        <w:rPr>
          <w:b w:val="0"/>
          <w:sz w:val="20"/>
          <w:szCs w:val="23"/>
          <w:rtl/>
        </w:rPr>
        <w:t>(ישעיה ו ג)</w:t>
      </w:r>
      <w:r>
        <w:rPr>
          <w:rFonts w:cs="Arial"/>
          <w:b w:val="0"/>
          <w:bCs w:val="0"/>
          <w:szCs w:val="26"/>
          <w:rtl/>
        </w:rPr>
        <w:t xml:space="preserve"> וְקָרָא זֶה אֶל זֶה וְאָמַר קָדוֹשׁ קָדוֹשׁ קָדוֹשׁ יהו''ה צְבָאוֹ''ת מְלֹא כָל הָאָרֶץ כְּבוֹדוֹ, זֶה אֶל זֶה וַדַּאי, כְּגַוְונָא דְלוּחִין דְאוֹרַיְיתָא דְאִתְּמַר בְּהוֹן כְּתוּבִים מִשְּׁנֵי עֶבְרֵיהֶם מִזֶּה וּמִזֶּה הֵם כְּתוּבִים, לֻחוֹת אֶבֶן כְּתוּבִים וְגוֹמֵר, לֻחֹת אֶבֶן, מַאי אֶבֶן, דָּא אֶבֶן הַשְּׁתִיָּיה, שֶׁמִּמֶּנָּה הוּשָׁתַת הָעוֹלָם, וְהִיא בַת עִינָא, עֲלָהּ אִתְּמַר </w:t>
      </w:r>
      <w:r>
        <w:rPr>
          <w:b w:val="0"/>
          <w:sz w:val="20"/>
          <w:szCs w:val="23"/>
          <w:rtl/>
        </w:rPr>
        <w:t>(זכריה ג ט)</w:t>
      </w:r>
      <w:r>
        <w:rPr>
          <w:rFonts w:cs="Arial"/>
          <w:b w:val="0"/>
          <w:bCs w:val="0"/>
          <w:szCs w:val="26"/>
          <w:rtl/>
        </w:rPr>
        <w:t xml:space="preserve"> עַל אֶבֶן אַחַת שִׁבְעָה עִינָיִם, וְאִינוּן שִׁבְעָה גִּלְדֵּי עִינָא, וַעֲלַיְיהוּ אִתְּמַר </w:t>
      </w:r>
      <w:r>
        <w:rPr>
          <w:b w:val="0"/>
          <w:sz w:val="20"/>
          <w:szCs w:val="23"/>
          <w:rtl/>
        </w:rPr>
        <w:t>(תהלים קיט קסד)</w:t>
      </w:r>
      <w:r>
        <w:rPr>
          <w:rFonts w:cs="Arial"/>
          <w:b w:val="0"/>
          <w:bCs w:val="0"/>
          <w:szCs w:val="26"/>
          <w:rtl/>
        </w:rPr>
        <w:t xml:space="preserve"> שֶׁבַע בַּיּוֹם הִלַּלְתִּיךָ, וְדָא מַלְכוּתָא קַדִּישָׁא, דְאִתְּמַר בָּהּ </w:t>
      </w:r>
      <w:r>
        <w:rPr>
          <w:b w:val="0"/>
          <w:sz w:val="20"/>
          <w:szCs w:val="23"/>
          <w:rtl/>
        </w:rPr>
        <w:t>(שם קיח כב)</w:t>
      </w:r>
      <w:r>
        <w:rPr>
          <w:rFonts w:cs="Arial"/>
          <w:b w:val="0"/>
          <w:bCs w:val="0"/>
          <w:szCs w:val="26"/>
          <w:rtl/>
        </w:rPr>
        <w:t xml:space="preserve"> אֶבֶן מָאֲסוּ הַבּוֹנִים הָיְתָה לְרֹאשׁ פִּנָּה, מַאי הַבּוֹנִים אִלֵּין אִינוּן מָארֵי מַתְנִיתִין דְּאִינוּן בָּנָאן בִּנְיָינִין דְּעָלְמָא, </w:t>
      </w:r>
      <w:r>
        <w:rPr>
          <w:rStyle w:val="a7"/>
          <w:rFonts w:cs="Arial"/>
          <w:b w:val="0"/>
          <w:bCs w:val="0"/>
          <w:szCs w:val="26"/>
          <w:rtl/>
        </w:rPr>
        <w:footnoteReference w:id="5756"/>
      </w:r>
      <w:r>
        <w:rPr>
          <w:rFonts w:cs="Arial"/>
          <w:b w:val="0"/>
          <w:bCs w:val="0"/>
          <w:szCs w:val="26"/>
          <w:rtl/>
        </w:rPr>
        <w:t>וּפוֹסְקֵי הֲלָכוֹת, דְּמָאֲסוּ בָהּ בְּגָלוּתָא, אִתְּמַר בָּהּ הָיְתָה לְרֹאשׁ פִּנָּה, בְּגִין דְּאִיהִי הֲלָכָה לְמֹשֶׁה מִסִּינַי קַבָּלָה לְמֹשֶׁה, וּמַה דַּהֲוַת בַּת עִינָא אוּכְמָא, מִינָהּ וּבָהּ יְהֵא קוּדְשָׁא בְּרִיךְ הוּא נָהִיר עָלְמָא, בְּגִין דְּאִיהוּ נָהִיר בָּהּ.</w:t>
      </w:r>
    </w:p>
    <w:p w:rsidR="006F705A" w:rsidRDefault="006F705A" w:rsidP="006F705A">
      <w:pPr>
        <w:pStyle w:val="NormalWeb"/>
        <w:rPr>
          <w:rFonts w:cs="Arial"/>
          <w:b w:val="0"/>
          <w:bCs w:val="0"/>
          <w:szCs w:val="26"/>
          <w:rtl/>
        </w:rPr>
      </w:pPr>
      <w:r>
        <w:rPr>
          <w:rStyle w:val="a7"/>
          <w:rFonts w:cs="Arial"/>
          <w:b w:val="0"/>
          <w:bCs w:val="0"/>
          <w:szCs w:val="26"/>
          <w:rtl/>
        </w:rPr>
        <w:footnoteReference w:id="5757"/>
      </w:r>
      <w:r>
        <w:rPr>
          <w:rFonts w:cs="Arial"/>
          <w:b w:val="0"/>
          <w:bCs w:val="0"/>
          <w:szCs w:val="26"/>
          <w:rtl/>
        </w:rPr>
        <w:t xml:space="preserve">וְעַיְינִין דְּנַהֲרִין בְּאוֹרַיְיתָא, עֲלַיְיהוּ אִתְּמַר </w:t>
      </w:r>
      <w:r>
        <w:rPr>
          <w:b w:val="0"/>
          <w:sz w:val="20"/>
          <w:szCs w:val="23"/>
          <w:rtl/>
        </w:rPr>
        <w:t>(שם קמה טו)</w:t>
      </w:r>
      <w:r>
        <w:rPr>
          <w:rFonts w:cs="Arial"/>
          <w:b w:val="0"/>
          <w:bCs w:val="0"/>
          <w:szCs w:val="26"/>
          <w:rtl/>
        </w:rPr>
        <w:t xml:space="preserve"> עִינֵי כֹל אֵלֶיךָ יְשַׂבֵּרוּ וְאַתָּה נוֹתֵן לָהֶם אֶת אָכְלָם בְּעִתּוֹ, וְצָרִיךְ בַּר נַשׁ לְאִתְעַסְּקָא בְּהוֹן תָּדִיר עֶרֶב וָבֹקֶר וְצָהֳרָיִם תָּמִיד, לְאִסְתַּכְּלָא בָהּ קוּדְשָׁא בְּרִיךְ הוּא בְּעִינוֹי, הֲדָא הוּא דִכְתִיב </w:t>
      </w:r>
      <w:r>
        <w:rPr>
          <w:b w:val="0"/>
          <w:sz w:val="20"/>
          <w:szCs w:val="23"/>
          <w:rtl/>
        </w:rPr>
        <w:t>(דברים יא יב)</w:t>
      </w:r>
      <w:r>
        <w:rPr>
          <w:rFonts w:cs="Arial"/>
          <w:b w:val="0"/>
          <w:bCs w:val="0"/>
          <w:szCs w:val="26"/>
          <w:rtl/>
        </w:rPr>
        <w:t xml:space="preserve"> תָּמִיד עִינֵי יהו''ה אלהי''ך בָּהּ מֵרֵאשִׁית הַשָּׁנָה וְעַד אַחֲרִית שָׁנָה, וְאוֹלִיפְנָא תָּמִיד מִתָּמִיד, תָּמִיד דְּעֶרֶב וָבֹקֶר, מִתָּמִיד דְּתָּמִיד עִינֵי יהו''ה אלהי''ך בָּהּ, וְהָא תָּמִיד דְּעֶרֶב וָבֹקֶר דִּקְרִיאַת שְׁמַע אִיהוּ, אֶלָּא מִכַּאן אוֹלִיפְנָא דְמָאן דְּקָרֵי קְרִיאַת שְׁמַע עֶרֶב וָבֹקֶר בְּכָל יוֹם תָּמִיד, כְּאִלּוּ קִיֵּים וְהָגִיתָ בּוֹ יוֹמָם וָלַיְלָה בְּאוֹרַיְיתָא, הֲדָא הוּא דִכְתִיב </w:t>
      </w:r>
      <w:r>
        <w:rPr>
          <w:b w:val="0"/>
          <w:sz w:val="20"/>
          <w:szCs w:val="23"/>
          <w:rtl/>
        </w:rPr>
        <w:t>(יהושע א ח)</w:t>
      </w:r>
      <w:r>
        <w:rPr>
          <w:rFonts w:cs="Arial"/>
          <w:b w:val="0"/>
          <w:bCs w:val="0"/>
          <w:szCs w:val="26"/>
          <w:rtl/>
        </w:rPr>
        <w:t xml:space="preserve"> לֹא יָמוּשׁ סֵפֶר הַתּוֹרָה הַזֶּה מִפִּיךָ וְהָגִיתָ בּוֹ יוֹמָם וָלַיְלָה, וְסֵפֶר תּוֹרָה אִיהוּ עַיִן, תְּרֵי כַּנְפֵי עִינָא תְּרֵי לוּחֵי, וַעֲלַיְיהוּ אִתְּמַר תָּמִיד עִינֵי יהו''ה אלהי''ך בָּהּ מֵרֵאשִׁית הַשָּׁנָה, וּמַאי בָּהּ, בְּבַת עַיִן דְּאִיהוּ שְׁכִינְתָּא, וְכַנְפֵי עִינָא עֲלַיְיהוּ אִתְּמַר </w:t>
      </w:r>
      <w:r>
        <w:rPr>
          <w:b w:val="0"/>
          <w:sz w:val="20"/>
          <w:szCs w:val="23"/>
          <w:rtl/>
        </w:rPr>
        <w:t>(תהלים קיח יט)</w:t>
      </w:r>
      <w:r>
        <w:rPr>
          <w:rFonts w:cs="Arial"/>
          <w:b w:val="0"/>
          <w:bCs w:val="0"/>
          <w:szCs w:val="26"/>
          <w:rtl/>
        </w:rPr>
        <w:t xml:space="preserve"> פִּתְחוּ לִי שַׁעֲרֵי צֶדֶק, </w:t>
      </w:r>
      <w:r>
        <w:rPr>
          <w:rStyle w:val="a7"/>
          <w:rFonts w:cs="Arial"/>
          <w:b w:val="0"/>
          <w:bCs w:val="0"/>
          <w:szCs w:val="26"/>
          <w:rtl/>
        </w:rPr>
        <w:footnoteReference w:id="5758"/>
      </w:r>
      <w:r>
        <w:rPr>
          <w:rFonts w:cs="Arial"/>
          <w:b w:val="0"/>
          <w:bCs w:val="0"/>
          <w:szCs w:val="26"/>
          <w:rtl/>
        </w:rPr>
        <w:t xml:space="preserve">תְּלַת גַּוָּונִין כְּלָל וּפְרָט, וּכְלָל וְאִינוּן אהי''ה אֲשֶׁר אהי''ה, דְּאִינוּן כְּלָל בְּכָל אוֹרַיְיתָא, אהי''ה כְּלָל, אֲשֶׁר פְּרָט, אהי''ה כְּלָל. </w:t>
      </w:r>
      <w:r>
        <w:rPr>
          <w:rStyle w:val="a7"/>
          <w:rFonts w:cs="Arial"/>
          <w:b w:val="0"/>
          <w:bCs w:val="0"/>
          <w:szCs w:val="26"/>
          <w:rtl/>
        </w:rPr>
        <w:footnoteReference w:id="5759"/>
      </w:r>
      <w:r>
        <w:rPr>
          <w:rFonts w:cs="Arial"/>
          <w:b w:val="0"/>
          <w:bCs w:val="0"/>
          <w:szCs w:val="26"/>
          <w:rtl/>
        </w:rPr>
        <w:t xml:space="preserve">קְרִיצִין דְּעַל עַיְינִין, עֲלַיְיהוּ אִתְּמַר </w:t>
      </w:r>
      <w:r>
        <w:rPr>
          <w:b w:val="0"/>
          <w:sz w:val="20"/>
          <w:szCs w:val="23"/>
          <w:rtl/>
        </w:rPr>
        <w:t>(שיר ה יא)</w:t>
      </w:r>
      <w:r>
        <w:rPr>
          <w:rFonts w:cs="Arial"/>
          <w:b w:val="0"/>
          <w:bCs w:val="0"/>
          <w:szCs w:val="26"/>
          <w:rtl/>
        </w:rPr>
        <w:t xml:space="preserve"> תַּלְתַּלִּים שְׁחוֹרוֹת כָּעוֹרֵב, וְאִינוּן תִּלֵּי תִּלִּים. </w:t>
      </w:r>
      <w:r>
        <w:rPr>
          <w:rStyle w:val="a7"/>
          <w:rFonts w:cs="Arial"/>
          <w:b w:val="0"/>
          <w:bCs w:val="0"/>
          <w:szCs w:val="26"/>
          <w:rtl/>
        </w:rPr>
        <w:footnoteReference w:id="5760"/>
      </w:r>
      <w:r>
        <w:rPr>
          <w:rFonts w:cs="Arial"/>
          <w:b w:val="0"/>
          <w:bCs w:val="0"/>
          <w:szCs w:val="26"/>
          <w:rtl/>
        </w:rPr>
        <w:t>מִצְחָא דְעַל עַיְינִין בָּהּ צִיץ נֶזֶר הַקֹּדֶשׁ, מְרוּקָם בְּגַוָּונִין וְצִיּוּרִין דְּבֵי מַקְדְּשָׁא דִלְעִילָא, וְצִיּוּרִין דִּילָהּ שִׁרְטוּטִין בְּפוּתְיָא וּבְאוּרְכָּא, מִנְּהוֹן דְּקִיקִין מִנְּהוֹן רַבְרְבִין, וַעֲלַיְיהוּ אִתְּמַר בְּמָקוֹם שֶׁאָמְרוּ לְהַאֲרִיךְ אֵינוֹ רַשַּׁאי לְקַצֵּר, לְקַצֵּר אֵינוֹ רַשַּׁאי לְהַאֲרִיךְ, לְהַאֲרִיךְ מִסִּטְרָא דְו', לְקַצֵּר מִסִּטְרָא דְי'.</w:t>
      </w:r>
    </w:p>
    <w:p w:rsidR="006F705A" w:rsidRDefault="006F705A" w:rsidP="006F705A">
      <w:pPr>
        <w:pStyle w:val="NormalWeb"/>
        <w:rPr>
          <w:rFonts w:cs="Arial"/>
          <w:szCs w:val="22"/>
          <w:rtl/>
        </w:rPr>
      </w:pPr>
      <w:r>
        <w:rPr>
          <w:rFonts w:cs="Arial"/>
          <w:szCs w:val="22"/>
          <w:rtl/>
        </w:rPr>
        <w:t>[י"א תיקונים מהדורא בתרא, קמד ע"א]</w:t>
      </w:r>
    </w:p>
    <w:p w:rsidR="006F705A" w:rsidRDefault="006F705A" w:rsidP="006F705A">
      <w:pPr>
        <w:pStyle w:val="NormalWeb"/>
        <w:rPr>
          <w:rFonts w:cs="Arial"/>
          <w:b w:val="0"/>
          <w:bCs w:val="0"/>
          <w:szCs w:val="26"/>
          <w:rtl/>
        </w:rPr>
      </w:pPr>
      <w:r>
        <w:rPr>
          <w:b w:val="0"/>
          <w:sz w:val="20"/>
          <w:szCs w:val="23"/>
          <w:rtl/>
        </w:rPr>
        <w:t>(קמד ע"א)</w:t>
      </w:r>
      <w:r>
        <w:rPr>
          <w:rFonts w:cs="Arial"/>
          <w:b w:val="0"/>
          <w:bCs w:val="0"/>
          <w:szCs w:val="26"/>
          <w:rtl/>
        </w:rPr>
        <w:t xml:space="preserve"> </w:t>
      </w:r>
      <w:r>
        <w:rPr>
          <w:rStyle w:val="a7"/>
          <w:rFonts w:cs="Arial"/>
          <w:b w:val="0"/>
          <w:bCs w:val="0"/>
          <w:szCs w:val="26"/>
          <w:rtl/>
        </w:rPr>
        <w:footnoteReference w:id="5761"/>
      </w:r>
      <w:r>
        <w:rPr>
          <w:rFonts w:cs="Arial"/>
          <w:b w:val="0"/>
          <w:bCs w:val="0"/>
          <w:szCs w:val="26"/>
          <w:rtl/>
        </w:rPr>
        <w:t xml:space="preserve">אַנְפּוֹי דְמַטְרוֹנִיתָא, אִינוּן מ''ט אַנְפִּין טָהוֹר, נַהֲרִין </w:t>
      </w:r>
      <w:r>
        <w:rPr>
          <w:rStyle w:val="a7"/>
          <w:rFonts w:cs="Arial"/>
          <w:b w:val="0"/>
          <w:bCs w:val="0"/>
          <w:szCs w:val="26"/>
          <w:rtl/>
        </w:rPr>
        <w:footnoteReference w:id="5762"/>
      </w:r>
      <w:r>
        <w:rPr>
          <w:rFonts w:cs="Arial"/>
          <w:b w:val="0"/>
          <w:bCs w:val="0"/>
          <w:szCs w:val="26"/>
          <w:rtl/>
        </w:rPr>
        <w:t xml:space="preserve">כְּשׁוֹשַׁנָּה חִוָּור וְסוּמַק, נָטְלִין מִימִינָא וּשְׂמָאלָא, גַּוָּון חִוָּור בְּלִיבּוּן דַּעֲנָוָה, סוּמַק בֹּשֶׁת דִּדְחִילוּ, יְרָא בֹשֶׁת, כַּד אִתְחַזְּרוּ יְרוֹקִין, הָא חָתָן דִּילָהּ אִסְתַּלַּק לְגַבֵּי חַמָּה דְאִיהִי אִימָּא עִלָּאָה, וּמֵאִלֵּין תְּלַת גַּוָּונִין דְּאַנְפִּין תַּלְיָין שַׁבְעִין וּתְרֵין אַנְפִּין כְּחוּשְׁבַּן חֶסֶ''ד, וּבְהוֹן יר''ו אַתְוָון כְּחֻשְׁבַּן גְּבוּרָ''ה, וְדָא אִיהוּ רָזָא דְוַיַּעֲבֹר יהו''ה, רָזָא דְעִיבּוּר, נָהִיר בְּהוֹן לְגַבֵּי כַלָּה בְּאַרְבַּע אַנְפִּין, הֲדָא הוּא דִכְתִיב </w:t>
      </w:r>
      <w:r>
        <w:rPr>
          <w:b w:val="0"/>
          <w:sz w:val="20"/>
          <w:szCs w:val="23"/>
          <w:rtl/>
        </w:rPr>
        <w:t>(יחזקאל א ו)</w:t>
      </w:r>
      <w:r>
        <w:rPr>
          <w:rFonts w:cs="Arial"/>
          <w:b w:val="0"/>
          <w:bCs w:val="0"/>
          <w:szCs w:val="26"/>
          <w:rtl/>
        </w:rPr>
        <w:t xml:space="preserve"> וְאַרְבָּעָה פָנִים לְאֶחָת, וְעַמּוּדָא דְאֶמְצָעִיתָא אִיהוּ וָא''ו עִיבּוּר הַשָּׁנָה, דְאִית בָּהּ תְּלַת עֲשַׂר יַרְחִין, וְאִנּוּן וְאִיהִי בְּרָאשֵׁי תֵּיבִין וָ''הוּ אֲ''נִי וָ''הוּ, </w:t>
      </w:r>
      <w:r>
        <w:rPr>
          <w:rStyle w:val="a7"/>
          <w:rFonts w:cs="Arial"/>
          <w:b w:val="0"/>
          <w:bCs w:val="0"/>
          <w:szCs w:val="26"/>
          <w:rtl/>
        </w:rPr>
        <w:footnoteReference w:id="5763"/>
      </w:r>
      <w:r>
        <w:rPr>
          <w:rFonts w:cs="Arial"/>
          <w:b w:val="0"/>
          <w:bCs w:val="0"/>
          <w:szCs w:val="26"/>
          <w:rtl/>
        </w:rPr>
        <w:t>וּבֵיהּ אִיהוּ אִשָּׁה עוּבָּרָה, סוֹד הָעִבּוּר - יְסוֹד, דְּאִיהוּ יְסוֹד טִפָּה, דְמִינָהּ אִתְעֲבִידַת עִבּוּר, דְּאִיהוּ וא''ו, דְּהָא וָא''ו בְּלָא טִפָּה לֵית לָהּ עִבּוּר, וְדָא אִיהוּ מוֹחָא דְתַמָּן חָכְמָה.</w:t>
      </w:r>
    </w:p>
    <w:p w:rsidR="006F705A" w:rsidRDefault="006F705A" w:rsidP="006F705A">
      <w:pPr>
        <w:pStyle w:val="NormalWeb"/>
        <w:rPr>
          <w:rFonts w:cs="Arial"/>
          <w:b w:val="0"/>
          <w:bCs w:val="0"/>
          <w:szCs w:val="26"/>
          <w:rtl/>
        </w:rPr>
      </w:pPr>
      <w:r>
        <w:rPr>
          <w:rFonts w:cs="Arial"/>
          <w:b w:val="0"/>
          <w:bCs w:val="0"/>
          <w:szCs w:val="26"/>
          <w:rtl/>
        </w:rPr>
        <w:t xml:space="preserve">וָא''ו אִיהוּ חוֹטָמָא מִתְתַּקְנָא בְּאַנְפִּין, עֲלַיְיהוּ אִתְּמַר </w:t>
      </w:r>
      <w:r>
        <w:rPr>
          <w:b w:val="0"/>
          <w:sz w:val="20"/>
          <w:szCs w:val="23"/>
          <w:rtl/>
        </w:rPr>
        <w:t>(בראשית ב ז)</w:t>
      </w:r>
      <w:r>
        <w:rPr>
          <w:rFonts w:cs="Arial"/>
          <w:b w:val="0"/>
          <w:bCs w:val="0"/>
          <w:szCs w:val="26"/>
          <w:rtl/>
        </w:rPr>
        <w:t xml:space="preserve"> וַיִּיצֶר יהו''ה אלהי''ם, וְנַהֲרִין בְּחִוָּור וְסוּמַק, וְחוֹטָמָא דְאָזְלָא בְאֹרַח מֵישַׁר אִיהִי חוֹתָם אֱמֶת, וְאִם לַאו אִיהִי בְאֹרַח קְשׁוֹט לַאו אִיהִי חוֹתָמָא דְגוּשְׁפַּנְקָא דְמַלְכָּא, וּבְגִין דָּא צִיּוּרָא דְמַטְרוֹנִיתָא דִיּוֹקְנָא דִילָהּ דְּחוֹטָמָא, מִתְתַּקְנָא בְּאַנְפִּין וּבְאֹרַח מֵישַׁר עַל אַנְפִּין, </w:t>
      </w:r>
      <w:r>
        <w:rPr>
          <w:rStyle w:val="a7"/>
          <w:rFonts w:cs="Arial"/>
          <w:b w:val="0"/>
          <w:bCs w:val="0"/>
          <w:szCs w:val="26"/>
          <w:rtl/>
        </w:rPr>
        <w:footnoteReference w:id="5764"/>
      </w:r>
      <w:r>
        <w:rPr>
          <w:rFonts w:cs="Arial"/>
          <w:b w:val="0"/>
          <w:bCs w:val="0"/>
          <w:szCs w:val="26"/>
          <w:rtl/>
        </w:rPr>
        <w:t xml:space="preserve">וּתְרֵין נוּקְבִין דְּחוֹטָמָא תְּרֵי נְבִיאֵי קְשׁוֹט, פּוּמָא בְרַתָּא דְמַלְכָּא, וּבָהּ לְשׁוֹן לִמּוּדִים דְּאִיהוּ צַדִּיק, </w:t>
      </w:r>
      <w:r>
        <w:rPr>
          <w:rStyle w:val="a7"/>
          <w:rFonts w:cs="Arial"/>
          <w:b w:val="0"/>
          <w:bCs w:val="0"/>
          <w:szCs w:val="26"/>
          <w:rtl/>
        </w:rPr>
        <w:footnoteReference w:id="5765"/>
      </w:r>
      <w:r>
        <w:rPr>
          <w:rFonts w:cs="Arial"/>
          <w:b w:val="0"/>
          <w:bCs w:val="0"/>
          <w:szCs w:val="26"/>
          <w:rtl/>
        </w:rPr>
        <w:t xml:space="preserve">וַעֲלָהּ </w:t>
      </w:r>
      <w:r>
        <w:rPr>
          <w:b w:val="0"/>
          <w:sz w:val="20"/>
          <w:szCs w:val="23"/>
          <w:rtl/>
        </w:rPr>
        <w:t>(נ''א ועלייהו)</w:t>
      </w:r>
      <w:r>
        <w:rPr>
          <w:b w:val="0"/>
          <w:szCs w:val="23"/>
          <w:rtl/>
        </w:rPr>
        <w:t xml:space="preserve"> </w:t>
      </w:r>
      <w:r>
        <w:rPr>
          <w:rStyle w:val="Char"/>
          <w:rFonts w:cs="Arial"/>
          <w:szCs w:val="26"/>
          <w:rtl/>
        </w:rPr>
        <w:t>אִתְּמַר</w:t>
      </w:r>
      <w:r>
        <w:rPr>
          <w:b w:val="0"/>
          <w:szCs w:val="23"/>
          <w:rtl/>
        </w:rPr>
        <w:t xml:space="preserve"> </w:t>
      </w:r>
      <w:r>
        <w:rPr>
          <w:b w:val="0"/>
          <w:sz w:val="20"/>
          <w:szCs w:val="23"/>
          <w:rtl/>
        </w:rPr>
        <w:t>(שיר ד ג)</w:t>
      </w:r>
      <w:r>
        <w:rPr>
          <w:rFonts w:cs="Arial"/>
          <w:b w:val="0"/>
          <w:bCs w:val="0"/>
          <w:szCs w:val="26"/>
          <w:rtl/>
        </w:rPr>
        <w:t xml:space="preserve"> כְּחוּט הַשָּׁנִי שִׂפְתוֹתַיִךְ וּמִדְבָּרֵךְ נָאוְה בְּאוֹרַיְיתָא, </w:t>
      </w:r>
      <w:r>
        <w:rPr>
          <w:rStyle w:val="a7"/>
          <w:rFonts w:cs="Arial"/>
          <w:b w:val="0"/>
          <w:bCs w:val="0"/>
          <w:szCs w:val="26"/>
          <w:rtl/>
        </w:rPr>
        <w:footnoteReference w:id="5766"/>
      </w:r>
      <w:r>
        <w:rPr>
          <w:rFonts w:cs="Arial"/>
          <w:b w:val="0"/>
          <w:bCs w:val="0"/>
          <w:szCs w:val="26"/>
          <w:rtl/>
        </w:rPr>
        <w:t xml:space="preserve">פּוּמָא כְּלָלָא דְכֹלָּא, מִינָהּ קוֹל וְדִבּוּר דְּאִינוּן ו''ה, מִינָהּ הֲבַל דְּאִיהִי ה', פּוּמָא דְקִיקָא סְתִימָא בְּאוֹת י', מִתְתַּקְנָא בִשְׁמָא דַיהו''ה, </w:t>
      </w:r>
      <w:r>
        <w:rPr>
          <w:rStyle w:val="a7"/>
          <w:rFonts w:cs="Arial"/>
          <w:b w:val="0"/>
          <w:bCs w:val="0"/>
          <w:szCs w:val="26"/>
          <w:rtl/>
        </w:rPr>
        <w:footnoteReference w:id="5767"/>
      </w:r>
      <w:r>
        <w:rPr>
          <w:rFonts w:cs="Arial"/>
          <w:b w:val="0"/>
          <w:bCs w:val="0"/>
          <w:szCs w:val="26"/>
          <w:rtl/>
        </w:rPr>
        <w:t>וּבְגִין דָּא כְּחוּט הַשָּׁנִי שִׂפְתוֹתַיִךְ וּמִדְבָּרֵךְ נָאוְה.</w:t>
      </w:r>
    </w:p>
    <w:p w:rsidR="006F705A" w:rsidRDefault="006F705A" w:rsidP="006F705A">
      <w:pPr>
        <w:pStyle w:val="NormalWeb"/>
        <w:rPr>
          <w:rFonts w:cs="Arial"/>
          <w:b w:val="0"/>
          <w:bCs w:val="0"/>
          <w:szCs w:val="26"/>
          <w:rtl/>
        </w:rPr>
      </w:pPr>
      <w:r>
        <w:rPr>
          <w:rStyle w:val="a7"/>
          <w:rFonts w:cs="Arial"/>
          <w:b w:val="0"/>
          <w:bCs w:val="0"/>
          <w:szCs w:val="26"/>
          <w:rtl/>
        </w:rPr>
        <w:footnoteReference w:id="5768"/>
      </w:r>
      <w:r>
        <w:rPr>
          <w:rFonts w:cs="Arial"/>
          <w:b w:val="0"/>
          <w:bCs w:val="0"/>
          <w:szCs w:val="26"/>
          <w:rtl/>
        </w:rPr>
        <w:t xml:space="preserve">צַוָּארֵךְ כְּמִגְדַּל הַשֵּׁן </w:t>
      </w:r>
      <w:r>
        <w:rPr>
          <w:b w:val="0"/>
          <w:sz w:val="20"/>
          <w:szCs w:val="23"/>
          <w:rtl/>
        </w:rPr>
        <w:t>(שם ז ה)</w:t>
      </w:r>
      <w:r>
        <w:rPr>
          <w:b w:val="0"/>
          <w:szCs w:val="23"/>
          <w:rtl/>
        </w:rPr>
        <w:t xml:space="preserve">, </w:t>
      </w:r>
      <w:r>
        <w:rPr>
          <w:rStyle w:val="Char"/>
          <w:rFonts w:cs="Arial"/>
          <w:szCs w:val="26"/>
          <w:rtl/>
        </w:rPr>
        <w:t>דָּא יְרוּשָׁלַם, עֲלָהּ אִתְּמַר</w:t>
      </w:r>
      <w:r>
        <w:rPr>
          <w:b w:val="0"/>
          <w:szCs w:val="23"/>
          <w:rtl/>
        </w:rPr>
        <w:t xml:space="preserve"> </w:t>
      </w:r>
      <w:r>
        <w:rPr>
          <w:b w:val="0"/>
          <w:sz w:val="20"/>
          <w:szCs w:val="23"/>
          <w:rtl/>
        </w:rPr>
        <w:t>(שם ד ד)</w:t>
      </w:r>
      <w:r>
        <w:rPr>
          <w:rFonts w:cs="Arial"/>
          <w:b w:val="0"/>
          <w:bCs w:val="0"/>
          <w:szCs w:val="26"/>
          <w:rtl/>
        </w:rPr>
        <w:t xml:space="preserve"> כְּמִגְדַּל דָּוִד צַוָּארֵךְ, </w:t>
      </w:r>
      <w:r>
        <w:rPr>
          <w:rStyle w:val="a7"/>
          <w:rFonts w:cs="Arial"/>
          <w:b w:val="0"/>
          <w:bCs w:val="0"/>
          <w:szCs w:val="26"/>
          <w:rtl/>
        </w:rPr>
        <w:footnoteReference w:id="5769"/>
      </w:r>
      <w:r>
        <w:rPr>
          <w:rFonts w:cs="Arial"/>
          <w:b w:val="0"/>
          <w:bCs w:val="0"/>
          <w:szCs w:val="26"/>
          <w:rtl/>
        </w:rPr>
        <w:t xml:space="preserve">תַּכְשִׁיטִין דִּילָהּ כֹּהֲנִים לְוִיִּים יִשְׂרְאֵלִים, בָּנוּי לְתַלְפִּיּוֹת דָּא צַדִּיק דְּאִיהוּ תֵּל שֶׁהַכֹּל פּוֹנִים בּוֹ, </w:t>
      </w:r>
      <w:r>
        <w:rPr>
          <w:rStyle w:val="a7"/>
          <w:rFonts w:cs="Arial"/>
          <w:b w:val="0"/>
          <w:bCs w:val="0"/>
          <w:szCs w:val="26"/>
          <w:rtl/>
        </w:rPr>
        <w:footnoteReference w:id="5770"/>
      </w:r>
      <w:r>
        <w:rPr>
          <w:rFonts w:cs="Arial"/>
          <w:b w:val="0"/>
          <w:bCs w:val="0"/>
          <w:szCs w:val="26"/>
          <w:rtl/>
        </w:rPr>
        <w:t>(פִּנּוֹת) פיות דִּילֵיהּ תְּרֵין נְבִיאֵי קְשׁוֹט, דִּשְׁכִינְתָּא וַדַּאי אִיהִי יְרוּשָׁלַם, תַּכְשִׁיטִין דִּילָהּ תְּלַת אֲבָהָן, חֲרוּזִין דִּילָהּ תְּרֵי סַמְכֵי קְשׁוֹט וְצַדִּיק.</w:t>
      </w:r>
    </w:p>
    <w:p w:rsidR="006F705A" w:rsidRDefault="006F705A" w:rsidP="006F705A">
      <w:pPr>
        <w:pStyle w:val="NormalWeb"/>
        <w:rPr>
          <w:rFonts w:cs="Arial"/>
          <w:b w:val="0"/>
          <w:bCs w:val="0"/>
          <w:szCs w:val="26"/>
          <w:rtl/>
        </w:rPr>
      </w:pPr>
      <w:r>
        <w:rPr>
          <w:rStyle w:val="a7"/>
          <w:rFonts w:cs="Arial"/>
          <w:b w:val="0"/>
          <w:bCs w:val="0"/>
          <w:szCs w:val="26"/>
          <w:rtl/>
        </w:rPr>
        <w:footnoteReference w:id="5771"/>
      </w:r>
      <w:r>
        <w:rPr>
          <w:rFonts w:cs="Arial"/>
          <w:b w:val="0"/>
          <w:bCs w:val="0"/>
          <w:szCs w:val="26"/>
          <w:rtl/>
        </w:rPr>
        <w:t xml:space="preserve">דָּבָר אַחֵר צַוָּארֵךְ דָּא אוֹרַיְיתָא, תַּכְשִׁיטִין דִּילָהּ רְמַ''ח פִּקּוּדִין דִּילָהּ, חֲרוּזִין דִּילָהּ אִינוּן מְמַנָּן עַל שְׁסָ''ה לֹא תַעֲשֶׂה, דְנָטְרִין לָהּ בְּהוֹן, וְכַד אִסְתַּלַּק צַוָּאר בְּתַכְשִׁיטִין דִּילָהּ לְגַבֵּי חָתָן, כַּמָּה רֵיחִין טָבִין סָלְקִין בָּהּ, הֲדָא הוּא דִכְתִיב </w:t>
      </w:r>
      <w:r>
        <w:rPr>
          <w:b w:val="0"/>
          <w:sz w:val="20"/>
          <w:szCs w:val="23"/>
          <w:rtl/>
        </w:rPr>
        <w:t>(שם ג ו)</w:t>
      </w:r>
      <w:r>
        <w:rPr>
          <w:rFonts w:cs="Arial"/>
          <w:b w:val="0"/>
          <w:bCs w:val="0"/>
          <w:szCs w:val="26"/>
          <w:rtl/>
        </w:rPr>
        <w:t xml:space="preserve"> מִי זֹאת עוֹלָה מִן הַמִּדְבָּר, דָּא טוּרָא דְסִינַי דְּאִיהִי צַוָּאר עָלְמָא, </w:t>
      </w:r>
      <w:r>
        <w:rPr>
          <w:b w:val="0"/>
          <w:sz w:val="20"/>
          <w:szCs w:val="23"/>
          <w:rtl/>
        </w:rPr>
        <w:t>(שם)</w:t>
      </w:r>
      <w:r>
        <w:rPr>
          <w:rFonts w:cs="Arial"/>
          <w:b w:val="0"/>
          <w:bCs w:val="0"/>
          <w:szCs w:val="26"/>
          <w:rtl/>
        </w:rPr>
        <w:t xml:space="preserve"> מְקֻטֶּרֶת מֹר דָּא קוּדְשָׁא בְּרִיךְ הוּא, דְאִתְּמַר בֵּיהּ </w:t>
      </w:r>
      <w:r>
        <w:rPr>
          <w:b w:val="0"/>
          <w:sz w:val="20"/>
          <w:szCs w:val="23"/>
          <w:rtl/>
        </w:rPr>
        <w:t>(שם ד)</w:t>
      </w:r>
      <w:r>
        <w:rPr>
          <w:rFonts w:cs="Arial"/>
          <w:b w:val="0"/>
          <w:bCs w:val="0"/>
          <w:szCs w:val="26"/>
          <w:rtl/>
        </w:rPr>
        <w:t xml:space="preserve"> אֵלֶךְ לִי אֶל הַר הַמּוֹר, </w:t>
      </w:r>
      <w:r>
        <w:rPr>
          <w:rStyle w:val="a7"/>
          <w:rFonts w:cs="Arial"/>
          <w:b w:val="0"/>
          <w:bCs w:val="0"/>
          <w:szCs w:val="26"/>
          <w:rtl/>
        </w:rPr>
        <w:footnoteReference w:id="5772"/>
      </w:r>
      <w:r>
        <w:rPr>
          <w:rFonts w:cs="Arial"/>
          <w:b w:val="0"/>
          <w:bCs w:val="0"/>
          <w:szCs w:val="26"/>
          <w:rtl/>
        </w:rPr>
        <w:t xml:space="preserve">וּלְבוֹנָה דָא סִיהֲרָא קַדִּישָׁא, עֲלָהּ אִתְּמַר וְאֶל גִּבְעַת הַלְּבוֹנָה, </w:t>
      </w:r>
      <w:r>
        <w:rPr>
          <w:rStyle w:val="a7"/>
          <w:rFonts w:cs="Arial"/>
          <w:b w:val="0"/>
          <w:bCs w:val="0"/>
          <w:szCs w:val="26"/>
          <w:rtl/>
        </w:rPr>
        <w:footnoteReference w:id="5773"/>
      </w:r>
      <w:r>
        <w:rPr>
          <w:rFonts w:cs="Arial"/>
          <w:b w:val="0"/>
          <w:bCs w:val="0"/>
          <w:szCs w:val="26"/>
          <w:rtl/>
        </w:rPr>
        <w:t>מִכֹּל אַבְקַת רוֹכֵל דָּא צַדִּיק, דְּאִיהוּ כָּל כָּלִיל בְּכֹלָּא.</w:t>
      </w:r>
    </w:p>
    <w:p w:rsidR="006F705A" w:rsidRDefault="006F705A" w:rsidP="006F705A">
      <w:pPr>
        <w:pStyle w:val="NormalWeb"/>
        <w:rPr>
          <w:rFonts w:cs="Arial"/>
          <w:b w:val="0"/>
          <w:bCs w:val="0"/>
          <w:szCs w:val="26"/>
          <w:rtl/>
        </w:rPr>
      </w:pPr>
      <w:r>
        <w:rPr>
          <w:rStyle w:val="a7"/>
          <w:rFonts w:cs="Arial"/>
          <w:b w:val="0"/>
          <w:bCs w:val="0"/>
          <w:szCs w:val="26"/>
          <w:rtl/>
        </w:rPr>
        <w:footnoteReference w:id="5774"/>
      </w:r>
      <w:r>
        <w:rPr>
          <w:rFonts w:cs="Arial"/>
          <w:b w:val="0"/>
          <w:bCs w:val="0"/>
          <w:szCs w:val="26"/>
          <w:rtl/>
        </w:rPr>
        <w:t xml:space="preserve">דָּבָר אַחֵר צַוָּארֵךְ דָּא אוֹרַיְיתָא דִבְעַל פֶּה, הֲלָכָה לְמֹשֶׁה מִסִּינַי, מְקֻטֶּרֶת מוֹר - </w:t>
      </w:r>
      <w:r>
        <w:rPr>
          <w:rStyle w:val="a7"/>
          <w:rFonts w:cs="Arial"/>
          <w:b w:val="0"/>
          <w:bCs w:val="0"/>
          <w:szCs w:val="26"/>
          <w:rtl/>
        </w:rPr>
        <w:footnoteReference w:id="5775"/>
      </w:r>
      <w:r>
        <w:rPr>
          <w:rFonts w:cs="Arial"/>
          <w:b w:val="0"/>
          <w:bCs w:val="0"/>
          <w:szCs w:val="26"/>
          <w:rtl/>
        </w:rPr>
        <w:t xml:space="preserve">אָמַר מַר, וּלְבוֹנָה - לִבּוּן הַהֲלָכָה, </w:t>
      </w:r>
      <w:r>
        <w:rPr>
          <w:rStyle w:val="a7"/>
          <w:rFonts w:cs="Arial"/>
          <w:b w:val="0"/>
          <w:bCs w:val="0"/>
          <w:szCs w:val="26"/>
          <w:rtl/>
        </w:rPr>
        <w:footnoteReference w:id="5776"/>
      </w:r>
      <w:r>
        <w:rPr>
          <w:rFonts w:cs="Arial"/>
          <w:b w:val="0"/>
          <w:bCs w:val="0"/>
          <w:szCs w:val="26"/>
          <w:rtl/>
        </w:rPr>
        <w:t xml:space="preserve">מִכֹּל אַבְקַת רוֹכֵל דָּא צַדִּיק דְּאִית בֵּיהּ מִכָּל מִינִים, וְדָא נָהִיר לָהּ לְאוֹרַיְיתָא דִבְעַל פֶּה, </w:t>
      </w:r>
      <w:r>
        <w:rPr>
          <w:rStyle w:val="a7"/>
          <w:rFonts w:cs="Arial"/>
          <w:b w:val="0"/>
          <w:bCs w:val="0"/>
          <w:szCs w:val="26"/>
          <w:rtl/>
        </w:rPr>
        <w:footnoteReference w:id="5777"/>
      </w:r>
      <w:r>
        <w:rPr>
          <w:rFonts w:cs="Arial"/>
          <w:b w:val="0"/>
          <w:bCs w:val="0"/>
          <w:szCs w:val="26"/>
          <w:rtl/>
        </w:rPr>
        <w:t xml:space="preserve">וּמִיָּד דְּאִיהִי מִתְקַשְּׁטָא בְּכָל מִינֵי תַּכְשִׁיטִין, יְרוּשָׁלַם דְּאִיהוּ צַוָּאר עָלְמָא, קוּדְשָׁא בְּרִיךְ הוּא אַסְחַר לָהּ, הֲדָא הוּא דִכְתִיב </w:t>
      </w:r>
      <w:r>
        <w:rPr>
          <w:b w:val="0"/>
          <w:sz w:val="20"/>
          <w:szCs w:val="23"/>
          <w:rtl/>
        </w:rPr>
        <w:t>(זכריה ה ט)</w:t>
      </w:r>
      <w:r>
        <w:rPr>
          <w:rFonts w:cs="Arial"/>
          <w:b w:val="0"/>
          <w:bCs w:val="0"/>
          <w:szCs w:val="26"/>
          <w:rtl/>
        </w:rPr>
        <w:t xml:space="preserve"> וַאֲנִי אֶהְיֶה לָּהּ נְאֻם יהו''ה חוֹמַת אֵשׁ סָבִיב, וְאִיהוּ מְחַבֵּק לָהּ בִּתְרֵין דְּרוֹעִין, הֲדָא הוּא דִכְתִיב </w:t>
      </w:r>
      <w:r>
        <w:rPr>
          <w:b w:val="0"/>
          <w:sz w:val="20"/>
          <w:szCs w:val="23"/>
          <w:rtl/>
        </w:rPr>
        <w:t>(שיר השירים ב ו)</w:t>
      </w:r>
      <w:r>
        <w:rPr>
          <w:rFonts w:cs="Arial"/>
          <w:b w:val="0"/>
          <w:bCs w:val="0"/>
          <w:szCs w:val="26"/>
          <w:rtl/>
        </w:rPr>
        <w:t xml:space="preserve"> שְׂמֹאלוֹ תַּחַת לְרֹאשִׁי וִימִינוֹ תְּחַבְּקֵנִי.</w:t>
      </w:r>
    </w:p>
    <w:p w:rsidR="006F705A" w:rsidRDefault="006F705A" w:rsidP="006F705A">
      <w:pPr>
        <w:pStyle w:val="NormalWeb"/>
        <w:rPr>
          <w:rFonts w:cs="Arial"/>
          <w:szCs w:val="22"/>
          <w:rtl/>
        </w:rPr>
      </w:pPr>
      <w:r>
        <w:rPr>
          <w:rFonts w:cs="Arial"/>
          <w:szCs w:val="22"/>
          <w:rtl/>
        </w:rPr>
        <w:t>[י"א תיקונים מהדורא בתרא, קמד ע"ב]</w:t>
      </w:r>
    </w:p>
    <w:p w:rsidR="006F705A" w:rsidRDefault="006F705A" w:rsidP="006F705A">
      <w:pPr>
        <w:pStyle w:val="NormalWeb"/>
        <w:rPr>
          <w:rFonts w:cs="Arial"/>
          <w:b w:val="0"/>
          <w:bCs w:val="0"/>
          <w:szCs w:val="26"/>
          <w:rtl/>
        </w:rPr>
      </w:pPr>
      <w:r>
        <w:rPr>
          <w:rFonts w:cs="Arial"/>
          <w:b w:val="0"/>
          <w:bCs w:val="0"/>
          <w:szCs w:val="26"/>
          <w:rtl/>
        </w:rPr>
        <w:t xml:space="preserve">וִידִין דְּמַטְרוֹנִיתָא כַּלָּה קַדִּישָׁא, אִינוּן רְשִׁימִין כֻּלְּהוּ בִּשְׁמָא דְיהו''ה, כְּגַוְונָא דָא </w:t>
      </w:r>
      <w:r>
        <w:rPr>
          <w:b w:val="0"/>
          <w:sz w:val="20"/>
          <w:szCs w:val="23"/>
          <w:rtl/>
        </w:rPr>
        <w:t>(אמר המגיה הלשון מוטעה ונ''ל שהלשון כך)</w:t>
      </w:r>
      <w:r>
        <w:rPr>
          <w:rFonts w:cs="Arial"/>
          <w:b w:val="0"/>
          <w:bCs w:val="0"/>
          <w:szCs w:val="26"/>
          <w:rtl/>
        </w:rPr>
        <w:t xml:space="preserve"> בְּכַף י', בְּחָמֵשׁ אֶצְבְּעָן ה', בִּדְרוֹעָא דִילָהּ ו', בְּכָתֵף דִּילָהּ ה', בְּכָתֵף דִּילָהּ מְצוּיָירִין כַּמָּה שִׁרְטוּטִין </w:t>
      </w:r>
      <w:r>
        <w:rPr>
          <w:rStyle w:val="a7"/>
          <w:rFonts w:cs="Arial"/>
          <w:b w:val="0"/>
          <w:bCs w:val="0"/>
          <w:szCs w:val="26"/>
          <w:rtl/>
        </w:rPr>
        <w:footnoteReference w:id="5778"/>
      </w:r>
      <w:r>
        <w:rPr>
          <w:rFonts w:cs="Arial"/>
          <w:b w:val="0"/>
          <w:bCs w:val="0"/>
          <w:szCs w:val="26"/>
          <w:rtl/>
        </w:rPr>
        <w:t xml:space="preserve">כְּעַנְפִין דְּאִילָנָא דְחַיֵּי, לְרַשְׁמָא בֵּיהּ דְּאִיהוּ עִץ הַחַיִּים, הֲדָא הוּא דִכְתִיב </w:t>
      </w:r>
      <w:r>
        <w:rPr>
          <w:b w:val="0"/>
          <w:sz w:val="20"/>
          <w:szCs w:val="23"/>
          <w:rtl/>
        </w:rPr>
        <w:t>(משלי ג יח)</w:t>
      </w:r>
      <w:r>
        <w:rPr>
          <w:rFonts w:cs="Arial"/>
          <w:b w:val="0"/>
          <w:bCs w:val="0"/>
          <w:szCs w:val="26"/>
          <w:rtl/>
        </w:rPr>
        <w:t xml:space="preserve"> עִץ חַיִּים הִיא לַמַּחֲזִיקִים בָּהּ וְתֹמְכֶיהָ מְאֻשָּׁר, מִימִינָא דִילֵיהּ אִתְיְיהִיבַת אוֹרַיְיתָא דְבִכְתָב, מִשְּׂמָאלָא דִילֵיהּ אוֹרַיְיתָא דִבְעַל פֶּה, וּבְאָן אִתְיְיהִיבוּ בִּתְרֵין לוּחִין, דְּאִתְּמַר בְּהוֹן </w:t>
      </w:r>
      <w:r>
        <w:rPr>
          <w:b w:val="0"/>
          <w:sz w:val="20"/>
          <w:szCs w:val="23"/>
          <w:rtl/>
        </w:rPr>
        <w:t>(שיר ד ה)</w:t>
      </w:r>
      <w:r>
        <w:rPr>
          <w:rFonts w:cs="Arial"/>
          <w:b w:val="0"/>
          <w:bCs w:val="0"/>
          <w:szCs w:val="26"/>
          <w:rtl/>
        </w:rPr>
        <w:t xml:space="preserve"> שְׁנֵי שָׁדַיִךְ כִּשְׁנֵי </w:t>
      </w:r>
      <w:r>
        <w:rPr>
          <w:b w:val="0"/>
          <w:sz w:val="20"/>
          <w:szCs w:val="23"/>
          <w:rtl/>
        </w:rPr>
        <w:t>(קמד ע"ב)</w:t>
      </w:r>
      <w:r>
        <w:rPr>
          <w:rFonts w:cs="Arial"/>
          <w:b w:val="0"/>
          <w:bCs w:val="0"/>
          <w:szCs w:val="26"/>
          <w:rtl/>
        </w:rPr>
        <w:t xml:space="preserve"> עֳפָרִים </w:t>
      </w:r>
      <w:r>
        <w:rPr>
          <w:rStyle w:val="a7"/>
          <w:rFonts w:cs="Arial"/>
          <w:b w:val="0"/>
          <w:bCs w:val="0"/>
          <w:szCs w:val="26"/>
          <w:rtl/>
        </w:rPr>
        <w:footnoteReference w:id="5779"/>
      </w:r>
      <w:r>
        <w:rPr>
          <w:rFonts w:cs="Arial"/>
          <w:b w:val="0"/>
          <w:bCs w:val="0"/>
          <w:szCs w:val="26"/>
          <w:rtl/>
        </w:rPr>
        <w:t>תָּאֳמֵי צְבִיָּה.</w:t>
      </w:r>
    </w:p>
    <w:p w:rsidR="006F705A" w:rsidRDefault="006F705A" w:rsidP="006F705A">
      <w:pPr>
        <w:pStyle w:val="NormalWeb"/>
        <w:rPr>
          <w:rFonts w:cs="Arial"/>
          <w:b w:val="0"/>
          <w:bCs w:val="0"/>
          <w:szCs w:val="26"/>
          <w:rtl/>
        </w:rPr>
      </w:pPr>
      <w:r>
        <w:rPr>
          <w:rStyle w:val="a7"/>
          <w:rFonts w:cs="Arial"/>
          <w:b w:val="0"/>
          <w:bCs w:val="0"/>
          <w:szCs w:val="26"/>
          <w:rtl/>
        </w:rPr>
        <w:footnoteReference w:id="5780"/>
      </w:r>
      <w:r>
        <w:rPr>
          <w:rFonts w:cs="Arial"/>
          <w:b w:val="0"/>
          <w:bCs w:val="0"/>
          <w:szCs w:val="26"/>
          <w:rtl/>
        </w:rPr>
        <w:t xml:space="preserve">וְעוֹד ו' אִיהוּ אוֹרַיְיתָא דְבִכְתָב, דְּאִתְיְיהִיבַת בִּתְרֵין דְּרוֹעִין דְּאִינוּן שִׁית פִּרְקִין, וּבְאָן אִתְיְיהִיבַת בִּתְרֵין לוּחִין, דְּאִינוּן שְׁנֵי שָׁדַיִךְ, וְאִינוּן י' י' </w:t>
      </w:r>
      <w:r>
        <w:rPr>
          <w:b w:val="0"/>
          <w:sz w:val="20"/>
          <w:szCs w:val="23"/>
          <w:rtl/>
        </w:rPr>
        <w:t>(ובהון צורת ז')</w:t>
      </w:r>
      <w:r>
        <w:rPr>
          <w:rFonts w:cs="Arial"/>
          <w:b w:val="0"/>
          <w:bCs w:val="0"/>
          <w:szCs w:val="26"/>
          <w:rtl/>
        </w:rPr>
        <w:t xml:space="preserve">, וּבְהוֹן צָר, הֲדָא הוּא דִכְתִיב וַיִּיצֶר, וְאִינוּן (תרין) בְּתוּלִין דְּעוּלֵימְתָא דְאִיהִי אוֹרַיְיתָא דִבְעַל פֶּה, דְּאִתְּמַר בְּהוֹן </w:t>
      </w:r>
      <w:r>
        <w:rPr>
          <w:b w:val="0"/>
          <w:sz w:val="20"/>
          <w:szCs w:val="23"/>
          <w:rtl/>
        </w:rPr>
        <w:t>(שמות לב יט)</w:t>
      </w:r>
      <w:r>
        <w:rPr>
          <w:rFonts w:cs="Arial"/>
          <w:b w:val="0"/>
          <w:bCs w:val="0"/>
          <w:szCs w:val="26"/>
          <w:rtl/>
        </w:rPr>
        <w:t xml:space="preserve"> וַיְשַׁבֵּר אֹתָם תַּחַת הָהָר חָתָן דִּילָהּ, הַהוּא דְאָמַר </w:t>
      </w:r>
      <w:r>
        <w:rPr>
          <w:b w:val="0"/>
          <w:sz w:val="20"/>
          <w:szCs w:val="23"/>
          <w:rtl/>
        </w:rPr>
        <w:t>(דברים כב כ)</w:t>
      </w:r>
      <w:r>
        <w:rPr>
          <w:b w:val="0"/>
          <w:szCs w:val="23"/>
          <w:rtl/>
        </w:rPr>
        <w:t xml:space="preserve"> </w:t>
      </w:r>
      <w:r>
        <w:rPr>
          <w:rStyle w:val="Char"/>
          <w:rFonts w:cs="Arial"/>
          <w:szCs w:val="26"/>
          <w:rtl/>
        </w:rPr>
        <w:t>לֹא נִמְצְאוּ בְתוּלִים לַנַּעֲרָה</w:t>
      </w:r>
      <w:r>
        <w:rPr>
          <w:b w:val="0"/>
          <w:szCs w:val="23"/>
          <w:rtl/>
        </w:rPr>
        <w:t xml:space="preserve"> </w:t>
      </w:r>
      <w:r>
        <w:rPr>
          <w:b w:val="0"/>
          <w:sz w:val="20"/>
          <w:szCs w:val="23"/>
          <w:rtl/>
        </w:rPr>
        <w:t>(שם יט)</w:t>
      </w:r>
      <w:r>
        <w:rPr>
          <w:rFonts w:cs="Arial"/>
          <w:b w:val="0"/>
          <w:bCs w:val="0"/>
          <w:szCs w:val="26"/>
          <w:rtl/>
        </w:rPr>
        <w:t xml:space="preserve">, וְעָנְשׁוּ אוֹתוֹ מֵאָה כֶסֶף אִלֵּין מֵאָה בִּרְכָאָן </w:t>
      </w:r>
      <w:r>
        <w:rPr>
          <w:b w:val="0"/>
          <w:sz w:val="20"/>
          <w:szCs w:val="23"/>
          <w:rtl/>
        </w:rPr>
        <w:t>(שם)</w:t>
      </w:r>
      <w:r>
        <w:rPr>
          <w:rFonts w:cs="Arial"/>
          <w:b w:val="0"/>
          <w:bCs w:val="0"/>
          <w:szCs w:val="26"/>
          <w:rtl/>
        </w:rPr>
        <w:t>, וְלוֹ תִהְיֶה לְאִשָּׁה לֹא יוּכַל לְשַׁלְּחָהּ בְּגָלוּתָא כָּל יָמָיו.</w:t>
      </w:r>
    </w:p>
    <w:p w:rsidR="006F705A" w:rsidRDefault="006F705A" w:rsidP="006F705A">
      <w:pPr>
        <w:pStyle w:val="NormalWeb"/>
        <w:rPr>
          <w:rFonts w:cs="Arial"/>
          <w:b w:val="0"/>
          <w:bCs w:val="0"/>
          <w:szCs w:val="26"/>
          <w:rtl/>
        </w:rPr>
      </w:pPr>
      <w:r>
        <w:rPr>
          <w:rStyle w:val="a7"/>
          <w:rFonts w:cs="Arial"/>
          <w:b w:val="0"/>
          <w:bCs w:val="0"/>
          <w:szCs w:val="26"/>
          <w:rtl/>
        </w:rPr>
        <w:footnoteReference w:id="5781"/>
      </w:r>
      <w:r>
        <w:rPr>
          <w:rFonts w:cs="Arial"/>
          <w:b w:val="0"/>
          <w:bCs w:val="0"/>
          <w:szCs w:val="26"/>
          <w:rtl/>
        </w:rPr>
        <w:t xml:space="preserve">שְׁבָחָא דְגוּפָא, </w:t>
      </w:r>
      <w:r>
        <w:rPr>
          <w:b w:val="0"/>
          <w:sz w:val="20"/>
          <w:szCs w:val="23"/>
          <w:rtl/>
        </w:rPr>
        <w:t>(שיר ז ח)</w:t>
      </w:r>
      <w:r>
        <w:rPr>
          <w:rFonts w:cs="Arial"/>
          <w:b w:val="0"/>
          <w:bCs w:val="0"/>
          <w:szCs w:val="26"/>
          <w:rtl/>
        </w:rPr>
        <w:t xml:space="preserve"> זֹאת קוֹמָתֵךְ דָּמְתָה לְתָמָר, וּמָאן דְּיָדַע שִׁעוּר קוֹמָה דִילָהּ אִיהוּ יָרִית עָלְמָא דְאָתֵי </w:t>
      </w:r>
      <w:r>
        <w:rPr>
          <w:rStyle w:val="a7"/>
          <w:rFonts w:cs="Arial"/>
          <w:b w:val="0"/>
          <w:bCs w:val="0"/>
          <w:szCs w:val="26"/>
          <w:rtl/>
        </w:rPr>
        <w:footnoteReference w:id="5782"/>
      </w:r>
      <w:r>
        <w:rPr>
          <w:rFonts w:cs="Arial"/>
          <w:b w:val="0"/>
          <w:bCs w:val="0"/>
          <w:szCs w:val="26"/>
          <w:rtl/>
        </w:rPr>
        <w:t xml:space="preserve">דְּאִיהוּ ו', דְּאִתְּמַר בֵּיהּ </w:t>
      </w:r>
      <w:r>
        <w:rPr>
          <w:b w:val="0"/>
          <w:sz w:val="20"/>
          <w:szCs w:val="23"/>
          <w:rtl/>
        </w:rPr>
        <w:t>(ירמיה יז יג)</w:t>
      </w:r>
      <w:r>
        <w:rPr>
          <w:rFonts w:cs="Arial"/>
          <w:b w:val="0"/>
          <w:bCs w:val="0"/>
          <w:szCs w:val="26"/>
          <w:rtl/>
        </w:rPr>
        <w:t xml:space="preserve"> מִקְוִה יִשְׂרָאֵל יהו''ה, מִקְוְה דְאִיהוּ קוֹמָה דִילָהּ שִׁעוּר דִּילָהּ, שִׁעוּר קוֹמָה דָא צַדִּיק, דְּאִתְּמַר בֵּיהּ </w:t>
      </w:r>
      <w:r>
        <w:rPr>
          <w:b w:val="0"/>
          <w:sz w:val="20"/>
          <w:szCs w:val="23"/>
          <w:rtl/>
        </w:rPr>
        <w:t>(תהלים צב יג)</w:t>
      </w:r>
      <w:r>
        <w:rPr>
          <w:rFonts w:cs="Arial"/>
          <w:b w:val="0"/>
          <w:bCs w:val="0"/>
          <w:szCs w:val="26"/>
          <w:rtl/>
        </w:rPr>
        <w:t xml:space="preserve"> צַדִּיק כַּתָּמָר יִפְרָח, וַעֲלָהּ אִתְּמַר דָּמְתָה לְתָמָר.</w:t>
      </w:r>
    </w:p>
    <w:p w:rsidR="006F705A" w:rsidRDefault="006F705A" w:rsidP="006F705A">
      <w:pPr>
        <w:pStyle w:val="NormalWeb"/>
        <w:rPr>
          <w:rFonts w:cs="Arial"/>
          <w:b w:val="0"/>
          <w:bCs w:val="0"/>
          <w:szCs w:val="26"/>
          <w:rtl/>
        </w:rPr>
      </w:pPr>
      <w:r>
        <w:rPr>
          <w:rFonts w:cs="Arial"/>
          <w:b w:val="0"/>
          <w:bCs w:val="0"/>
          <w:szCs w:val="26"/>
          <w:rtl/>
        </w:rPr>
        <w:t xml:space="preserve">דְּאִתְּמַר בָּהּ, </w:t>
      </w:r>
      <w:r>
        <w:rPr>
          <w:b w:val="0"/>
          <w:sz w:val="20"/>
          <w:szCs w:val="23"/>
          <w:rtl/>
        </w:rPr>
        <w:t>(שמות טו כז)</w:t>
      </w:r>
      <w:r>
        <w:rPr>
          <w:rFonts w:cs="Arial"/>
          <w:b w:val="0"/>
          <w:bCs w:val="0"/>
          <w:szCs w:val="26"/>
          <w:rtl/>
        </w:rPr>
        <w:t xml:space="preserve"> וַיָּבֹאוּ אֵלִימָה </w:t>
      </w:r>
      <w:r>
        <w:rPr>
          <w:rStyle w:val="a7"/>
          <w:rFonts w:cs="Arial"/>
          <w:b w:val="0"/>
          <w:bCs w:val="0"/>
          <w:szCs w:val="26"/>
          <w:rtl/>
        </w:rPr>
        <w:footnoteReference w:id="5783"/>
      </w:r>
      <w:r>
        <w:rPr>
          <w:rFonts w:cs="Arial"/>
          <w:b w:val="0"/>
          <w:bCs w:val="0"/>
          <w:szCs w:val="26"/>
          <w:rtl/>
        </w:rPr>
        <w:t xml:space="preserve">וְשָׁם שְׁתֵּים עֶשְׂרֵה עִינֹת מַיִם וְשִׁבְעִים תְּמָרִים, תְּרֵין עֲשַׂר עִינוֹת אִלֵּין אִינוּן תְּרֵין עֲשַׂר פִּרְקִין, דְּאִינוּן שִׁית בִּתְרֵין דְּרוֹעִין וְשִׁית בִּתְרֵין שׁוֹקִין, הֲדָא הוּא דִכְתִיב </w:t>
      </w:r>
      <w:r>
        <w:rPr>
          <w:b w:val="0"/>
          <w:sz w:val="20"/>
          <w:szCs w:val="23"/>
          <w:rtl/>
        </w:rPr>
        <w:t>(שיר השירים ה יד)</w:t>
      </w:r>
      <w:r>
        <w:rPr>
          <w:rFonts w:cs="Arial"/>
          <w:b w:val="0"/>
          <w:bCs w:val="0"/>
          <w:szCs w:val="26"/>
          <w:rtl/>
        </w:rPr>
        <w:t xml:space="preserve"> יָדָיו גְּלִילֵי זָהָב מְמֻלָּאִים בַּתַּרְשִׁישׁ, מַאי בַּתַּרְשִׁישׁ בִּתְרֵי שֵׁשׁ, בִּתְרֵין דְּרוֹעִין שִׁית פִּרְקִין, וְכֵן שִׁית אָחֳרָנִין בִּתְרֵין שׁוֹקִין, </w:t>
      </w:r>
      <w:r>
        <w:rPr>
          <w:b w:val="0"/>
          <w:sz w:val="20"/>
          <w:szCs w:val="23"/>
          <w:rtl/>
        </w:rPr>
        <w:t>(שם טו)</w:t>
      </w:r>
      <w:r>
        <w:rPr>
          <w:rFonts w:cs="Arial"/>
          <w:b w:val="0"/>
          <w:bCs w:val="0"/>
          <w:szCs w:val="26"/>
          <w:rtl/>
        </w:rPr>
        <w:t xml:space="preserve"> שׁוֹקָיו עַמּוּדֵי שֵׁשׁ, אִלֵּין אִינוּן י''ב עִינוֹת מַיִם. שִׁבְעִים תְּמָרִים דִּי בְהוֹן צַדִּיק כַּתָּמָר יִפְרָח הָא אִינוּן חָמֵשׁ אֶצְבְּעָאן, וּבְהוֹן תְּלֵיסַר פִּרְקִין, אִינוּן חַ''י, וְכֵן חַ''י בְּיַד יָמִין, תְּלָתִין וְשִׁית, וְכֵן חַ''י חַ''י בִּתְרֵין רַגְלִין, הָא ע''ב</w:t>
      </w:r>
      <w:r>
        <w:rPr>
          <w:rStyle w:val="a7"/>
          <w:rFonts w:cs="Arial"/>
          <w:b w:val="0"/>
          <w:bCs w:val="0"/>
          <w:szCs w:val="26"/>
          <w:rtl/>
        </w:rPr>
        <w:footnoteReference w:id="5784"/>
      </w:r>
      <w:r>
        <w:rPr>
          <w:rFonts w:cs="Arial"/>
          <w:b w:val="0"/>
          <w:bCs w:val="0"/>
          <w:szCs w:val="26"/>
          <w:rtl/>
        </w:rPr>
        <w:t xml:space="preserve">, </w:t>
      </w:r>
      <w:r>
        <w:rPr>
          <w:b w:val="0"/>
          <w:sz w:val="20"/>
          <w:szCs w:val="23"/>
          <w:rtl/>
        </w:rPr>
        <w:t>(אמר המגיה תימה כי הפרקין ארבסר ואיך אמר תליסר. א.ה. ובבהגר"א כאן ד"ה ושם כו', תירץ)</w:t>
      </w:r>
      <w:r>
        <w:rPr>
          <w:rFonts w:cs="Arial"/>
          <w:b w:val="0"/>
          <w:bCs w:val="0"/>
          <w:szCs w:val="26"/>
          <w:rtl/>
        </w:rPr>
        <w:t xml:space="preserve">, שַׁבְעִין דִּלְהוֹן שַׁבְעִין תְּמָרִים, תְּרֵין צַדִּיקֵי - כַּתָּמָר </w:t>
      </w:r>
      <w:r>
        <w:rPr>
          <w:rStyle w:val="a7"/>
          <w:rFonts w:cs="Arial"/>
          <w:b w:val="0"/>
          <w:bCs w:val="0"/>
          <w:szCs w:val="26"/>
          <w:rtl/>
        </w:rPr>
        <w:footnoteReference w:id="5785"/>
      </w:r>
      <w:r>
        <w:rPr>
          <w:rFonts w:cs="Arial"/>
          <w:b w:val="0"/>
          <w:bCs w:val="0"/>
          <w:szCs w:val="26"/>
          <w:rtl/>
        </w:rPr>
        <w:t xml:space="preserve">יִפְרָח בְּהוּ </w:t>
      </w:r>
      <w:r>
        <w:rPr>
          <w:b w:val="0"/>
          <w:sz w:val="20"/>
          <w:szCs w:val="23"/>
          <w:rtl/>
        </w:rPr>
        <w:t>(שם ז ב)</w:t>
      </w:r>
      <w:r>
        <w:rPr>
          <w:rFonts w:cs="Arial"/>
          <w:b w:val="0"/>
          <w:bCs w:val="0"/>
          <w:szCs w:val="26"/>
          <w:rtl/>
        </w:rPr>
        <w:t xml:space="preserve"> מַה יָּפוּ פְעָמַיִךְ בַּנְּעָלִים </w:t>
      </w:r>
      <w:r>
        <w:rPr>
          <w:rStyle w:val="a7"/>
          <w:rFonts w:cs="Arial"/>
          <w:b w:val="0"/>
          <w:bCs w:val="0"/>
          <w:szCs w:val="26"/>
          <w:rtl/>
        </w:rPr>
        <w:footnoteReference w:id="5786"/>
      </w:r>
      <w:r>
        <w:rPr>
          <w:rFonts w:cs="Arial"/>
          <w:b w:val="0"/>
          <w:bCs w:val="0"/>
          <w:szCs w:val="26"/>
          <w:rtl/>
        </w:rPr>
        <w:t xml:space="preserve">בַּת נָדִיב, נְעִילָה דִּילָהּ נְעִילַת הֶחָג וּנְעִילַת הַפֶּסַח, וְלָא צָרִיךְ לְאִתְחַזָּאָה קֳדָם נְעָלִים דְּחוֹל, דְּאִינוּן </w:t>
      </w:r>
      <w:r>
        <w:rPr>
          <w:rStyle w:val="a7"/>
          <w:rFonts w:cs="Arial"/>
          <w:b w:val="0"/>
          <w:bCs w:val="0"/>
          <w:szCs w:val="26"/>
          <w:rtl/>
        </w:rPr>
        <w:footnoteReference w:id="5787"/>
      </w:r>
      <w:r>
        <w:rPr>
          <w:rFonts w:cs="Arial"/>
          <w:b w:val="0"/>
          <w:bCs w:val="0"/>
          <w:szCs w:val="26"/>
          <w:rtl/>
        </w:rPr>
        <w:t xml:space="preserve">שְׂאוֹר וְחָמֵץ, וַעֲלַיְיהוּ אָמַר לְמֹשֶׁה </w:t>
      </w:r>
      <w:r>
        <w:rPr>
          <w:b w:val="0"/>
          <w:sz w:val="20"/>
          <w:szCs w:val="23"/>
          <w:rtl/>
        </w:rPr>
        <w:t>(שמות ג ה)</w:t>
      </w:r>
      <w:r>
        <w:rPr>
          <w:rFonts w:cs="Arial"/>
          <w:b w:val="0"/>
          <w:bCs w:val="0"/>
          <w:szCs w:val="26"/>
          <w:rtl/>
        </w:rPr>
        <w:t xml:space="preserve"> שַׁל נְעָלֶיךָ מֵעַל רַגְלֶיךָ, דִּתְרוּמָה וְחוּלִין כְּגַוְונָא דָא לָא צָרִיךְ לְאִתְעָרְבָא תְּרוּמָה בַּקֹּדֶשׁ, וְכֵן מְלָאכָה דְחוֹל לָא צָרִיךְ לְאִתְחַזָּאָה קֳדָם מְלָאכָה דְקֹדֶשׁ דְּאִיהוּ מְלֶאכֶת הַכֹּהֲנִים, וְכֵן אֵשׁ דְּחוֹל לָא צָרִיךְ לְאִתְחַזָּאָה בְּשַׁבָּת קֳדָם אֵשׁ דְּקֹדֶשׁ, דְּכֻלְּהוּ חוֹל וְאָחֳרָנִין קֹדֶשׁ, וּבְגִין דָּא מַנִּי הַמַּבְדִּיל בֵּין קֹדֶשׁ לְחוֹל.</w:t>
      </w:r>
    </w:p>
    <w:p w:rsidR="006F705A" w:rsidRDefault="006F705A" w:rsidP="006F705A">
      <w:pPr>
        <w:pStyle w:val="NormalWeb"/>
        <w:rPr>
          <w:rFonts w:cs="Arial"/>
          <w:b w:val="0"/>
          <w:bCs w:val="0"/>
          <w:szCs w:val="26"/>
          <w:rtl/>
        </w:rPr>
      </w:pPr>
      <w:r>
        <w:rPr>
          <w:rStyle w:val="a7"/>
          <w:rFonts w:cs="Arial"/>
          <w:b w:val="0"/>
          <w:bCs w:val="0"/>
          <w:szCs w:val="26"/>
          <w:rtl/>
        </w:rPr>
        <w:footnoteReference w:id="5788"/>
      </w:r>
      <w:r>
        <w:rPr>
          <w:rFonts w:cs="Arial"/>
          <w:b w:val="0"/>
          <w:bCs w:val="0"/>
          <w:szCs w:val="26"/>
          <w:rtl/>
        </w:rPr>
        <w:t xml:space="preserve">הָא צִיּוֹן דְּאִיהִי שְׁכִינְתָּא נָפְקָא בְכָל קִשּׁוּטִין דִּילָהּ, וְכָל עָלְמָא מוֹרִין לָהּ בְּאֶצְבַּע, הֲדָא הוּא דִכְתִיב </w:t>
      </w:r>
      <w:r>
        <w:rPr>
          <w:b w:val="0"/>
          <w:sz w:val="20"/>
          <w:szCs w:val="23"/>
          <w:rtl/>
        </w:rPr>
        <w:t>(ישעיה לג כ)</w:t>
      </w:r>
      <w:r>
        <w:rPr>
          <w:rFonts w:cs="Arial"/>
          <w:b w:val="0"/>
          <w:bCs w:val="0"/>
          <w:szCs w:val="26"/>
          <w:rtl/>
        </w:rPr>
        <w:t xml:space="preserve"> חֲזֵה צִיּוֹן קִרְיַת מוֹעֲדֵנוּ, וְחָתָן נָפִיק מְעוּטָּר לְגַבָּהּ, וְכָל עָלְמָא אָמְרֵי </w:t>
      </w:r>
      <w:r>
        <w:rPr>
          <w:b w:val="0"/>
          <w:sz w:val="20"/>
          <w:szCs w:val="23"/>
          <w:rtl/>
        </w:rPr>
        <w:t>(שיר ג יא)</w:t>
      </w:r>
      <w:r>
        <w:rPr>
          <w:rFonts w:cs="Arial"/>
          <w:b w:val="0"/>
          <w:bCs w:val="0"/>
          <w:szCs w:val="26"/>
          <w:rtl/>
        </w:rPr>
        <w:t xml:space="preserve"> צְאֶנָה וּרְאֶנָה בְּנוֹת צִיּוֹן בַּמֶּלֶךְ שְׁלֹמֹה בַּעֲטָרָה שֶׁעִטְּרָה לּוֹ אִמּוֹ בְּיוֹם חֲתוּנָּתוֹ וּבְיוֹם שִׂמְחַת לִבּוֹ, </w:t>
      </w:r>
      <w:r>
        <w:rPr>
          <w:rStyle w:val="a7"/>
          <w:rFonts w:cs="Arial"/>
          <w:b w:val="0"/>
          <w:bCs w:val="0"/>
          <w:szCs w:val="26"/>
          <w:rtl/>
        </w:rPr>
        <w:footnoteReference w:id="5789"/>
      </w:r>
      <w:r>
        <w:rPr>
          <w:rFonts w:cs="Arial"/>
          <w:b w:val="0"/>
          <w:bCs w:val="0"/>
          <w:szCs w:val="26"/>
          <w:rtl/>
        </w:rPr>
        <w:t xml:space="preserve">חֲתוּנָּתוֹ שְׁכִינְתָּא עִלָּאָה, שִׂמְחַת לִבּוֹ שְׁכִינְתָּא תַּתָּאָה, </w:t>
      </w:r>
      <w:r>
        <w:rPr>
          <w:rStyle w:val="a7"/>
          <w:rFonts w:cs="Arial"/>
          <w:b w:val="0"/>
          <w:bCs w:val="0"/>
          <w:szCs w:val="26"/>
          <w:rtl/>
        </w:rPr>
        <w:footnoteReference w:id="5790"/>
      </w:r>
      <w:r>
        <w:rPr>
          <w:rFonts w:cs="Arial"/>
          <w:b w:val="0"/>
          <w:bCs w:val="0"/>
          <w:szCs w:val="26"/>
          <w:rtl/>
        </w:rPr>
        <w:t xml:space="preserve">יוֹם דְּתַרְוַיְיהוּ עַמּוּדָא דְאֶמְצָעִיתָא, בּוֹצִינָא קַדִּישָׁא הָא כַּלָּה מִתְקַשְּׁטָא לְגַבֵּי בַעְלָהּ דְּאִיהוּ יהו''ה, </w:t>
      </w:r>
      <w:r>
        <w:rPr>
          <w:rStyle w:val="a7"/>
          <w:rFonts w:cs="Arial"/>
          <w:b w:val="0"/>
          <w:bCs w:val="0"/>
          <w:szCs w:val="26"/>
          <w:rtl/>
        </w:rPr>
        <w:footnoteReference w:id="5791"/>
      </w:r>
      <w:r>
        <w:rPr>
          <w:rFonts w:cs="Arial"/>
          <w:b w:val="0"/>
          <w:bCs w:val="0"/>
          <w:szCs w:val="26"/>
          <w:rtl/>
        </w:rPr>
        <w:t>בְּרָא דְמַלְכָּא.</w:t>
      </w:r>
    </w:p>
    <w:p w:rsidR="006F705A" w:rsidRDefault="006F705A" w:rsidP="006F705A">
      <w:pPr>
        <w:pStyle w:val="a8"/>
        <w:spacing w:before="0" w:after="40"/>
        <w:rPr>
          <w:rtl/>
        </w:rPr>
      </w:pPr>
      <w:bookmarkStart w:id="351" w:name="_Toc228091355"/>
      <w:bookmarkStart w:id="352" w:name="_Toc231637994"/>
    </w:p>
    <w:p w:rsidR="006F705A" w:rsidRDefault="006F705A" w:rsidP="0043727D">
      <w:pPr>
        <w:pStyle w:val="1"/>
        <w:rPr>
          <w:sz w:val="39"/>
          <w:szCs w:val="39"/>
          <w:rtl/>
        </w:rPr>
      </w:pPr>
      <w:r>
        <w:rPr>
          <w:rtl/>
        </w:rPr>
        <w:t>תקונא שביעאה [מהדורה תנינא]</w:t>
      </w:r>
      <w:bookmarkEnd w:id="351"/>
      <w:bookmarkEnd w:id="352"/>
    </w:p>
    <w:p w:rsidR="006F705A" w:rsidRDefault="006F705A" w:rsidP="006F705A">
      <w:pPr>
        <w:pStyle w:val="NormalWeb"/>
        <w:rPr>
          <w:b w:val="0"/>
          <w:szCs w:val="23"/>
          <w:rtl/>
        </w:rPr>
      </w:pPr>
      <w:r>
        <w:rPr>
          <w:b w:val="0"/>
          <w:sz w:val="20"/>
          <w:szCs w:val="23"/>
          <w:rtl/>
        </w:rPr>
        <w:t>(זהו תקון כז)</w:t>
      </w:r>
      <w:r>
        <w:rPr>
          <w:b w:val="0"/>
          <w:szCs w:val="23"/>
          <w:rtl/>
        </w:rPr>
        <w:t xml:space="preserve"> </w:t>
      </w:r>
    </w:p>
    <w:p w:rsidR="006F705A" w:rsidRDefault="006F705A" w:rsidP="006F705A">
      <w:pPr>
        <w:pStyle w:val="NormalWeb"/>
        <w:rPr>
          <w:rFonts w:cs="Arial"/>
          <w:szCs w:val="22"/>
          <w:rtl/>
        </w:rPr>
      </w:pPr>
      <w:r>
        <w:rPr>
          <w:rFonts w:cs="Arial"/>
          <w:szCs w:val="22"/>
          <w:rtl/>
        </w:rPr>
        <w:t>[י"א תיקונים מהדורא בתרא, קמה ע"א]</w:t>
      </w:r>
    </w:p>
    <w:p w:rsidR="006F705A" w:rsidRDefault="006F705A" w:rsidP="006F705A">
      <w:pPr>
        <w:pStyle w:val="NormalWeb"/>
        <w:rPr>
          <w:rFonts w:cs="Arial"/>
          <w:b w:val="0"/>
          <w:bCs w:val="0"/>
          <w:szCs w:val="26"/>
          <w:rtl/>
        </w:rPr>
      </w:pPr>
      <w:r>
        <w:rPr>
          <w:rFonts w:cs="Arial"/>
          <w:b w:val="0"/>
          <w:bCs w:val="0"/>
          <w:szCs w:val="26"/>
          <w:rtl/>
        </w:rPr>
        <w:t xml:space="preserve">(דָּא אִיהוּ) </w:t>
      </w:r>
      <w:r>
        <w:rPr>
          <w:rStyle w:val="a7"/>
          <w:rFonts w:cs="Arial"/>
          <w:b w:val="0"/>
          <w:bCs w:val="0"/>
          <w:szCs w:val="26"/>
          <w:rtl/>
        </w:rPr>
        <w:footnoteReference w:id="5792"/>
      </w:r>
      <w:r>
        <w:rPr>
          <w:rFonts w:cs="Arial"/>
          <w:b w:val="0"/>
          <w:bCs w:val="0"/>
          <w:szCs w:val="26"/>
          <w:rtl/>
        </w:rPr>
        <w:t xml:space="preserve">בְּרֵאשִׁית בָּרָא אלהי''ם, בְּרֵאשִׁית אַבָּא וְאִימָּא, </w:t>
      </w:r>
      <w:r>
        <w:rPr>
          <w:rFonts w:cs="Arial"/>
          <w:szCs w:val="26"/>
          <w:rtl/>
        </w:rPr>
        <w:t xml:space="preserve">(יהו''ה אלהינ''ו) </w:t>
      </w:r>
      <w:r>
        <w:rPr>
          <w:rFonts w:cs="Arial"/>
          <w:b w:val="0"/>
          <w:bCs w:val="0"/>
          <w:szCs w:val="26"/>
          <w:rtl/>
        </w:rPr>
        <w:t xml:space="preserve">בָּרָא </w:t>
      </w:r>
      <w:r>
        <w:rPr>
          <w:rFonts w:cs="Arial"/>
          <w:szCs w:val="26"/>
          <w:rtl/>
        </w:rPr>
        <w:t>(יהו''ה)</w:t>
      </w:r>
      <w:r>
        <w:rPr>
          <w:rFonts w:cs="Arial"/>
          <w:b w:val="0"/>
          <w:bCs w:val="0"/>
          <w:szCs w:val="26"/>
          <w:rtl/>
        </w:rPr>
        <w:t xml:space="preserve"> בְּרָא דְאַבָּא וְאִימָּא, </w:t>
      </w:r>
      <w:r>
        <w:rPr>
          <w:rStyle w:val="a7"/>
          <w:rFonts w:cs="Arial"/>
          <w:b w:val="0"/>
          <w:bCs w:val="0"/>
          <w:szCs w:val="26"/>
          <w:rtl/>
        </w:rPr>
        <w:footnoteReference w:id="5793"/>
      </w:r>
      <w:r>
        <w:rPr>
          <w:rFonts w:cs="Arial"/>
          <w:b w:val="0"/>
          <w:bCs w:val="0"/>
          <w:szCs w:val="26"/>
          <w:rtl/>
        </w:rPr>
        <w:t xml:space="preserve">אלהי''ם בְּרַתָּא, וְאִינוּן אַבָּא וְאִימָּא דִילָן, וַעֲלַיְיהוּ אִתְּמַר </w:t>
      </w:r>
      <w:r>
        <w:rPr>
          <w:b w:val="0"/>
          <w:sz w:val="20"/>
          <w:szCs w:val="23"/>
          <w:rtl/>
        </w:rPr>
        <w:t>(ויקרא יט ג)</w:t>
      </w:r>
      <w:r>
        <w:rPr>
          <w:b w:val="0"/>
          <w:szCs w:val="23"/>
          <w:rtl/>
        </w:rPr>
        <w:t xml:space="preserve"> </w:t>
      </w:r>
      <w:r>
        <w:rPr>
          <w:rStyle w:val="Char"/>
          <w:rFonts w:cs="Arial"/>
          <w:szCs w:val="26"/>
          <w:rtl/>
        </w:rPr>
        <w:t>אִישׁ אִמּוֹ וְאָבִיו תִּירָאוּ,</w:t>
      </w:r>
      <w:r>
        <w:rPr>
          <w:b w:val="0"/>
          <w:szCs w:val="23"/>
          <w:rtl/>
        </w:rPr>
        <w:t xml:space="preserve"> </w:t>
      </w:r>
      <w:r>
        <w:rPr>
          <w:b w:val="0"/>
          <w:sz w:val="20"/>
          <w:szCs w:val="23"/>
          <w:rtl/>
        </w:rPr>
        <w:t>(שמות כ יב)</w:t>
      </w:r>
      <w:r>
        <w:rPr>
          <w:rFonts w:cs="Arial"/>
          <w:b w:val="0"/>
          <w:bCs w:val="0"/>
          <w:szCs w:val="26"/>
          <w:rtl/>
        </w:rPr>
        <w:t xml:space="preserve"> כַּבֵּד אֶת אָבִיךָ וְאֶת אִמֶּךָ, אָבִיךָ דָּא קוּדְשָׁא בְּרִיךְ הוּא, אִמֶּךָ דָּא שְׁכִינְתָּא, דְחִילוּ </w:t>
      </w:r>
      <w:r>
        <w:rPr>
          <w:b w:val="0"/>
          <w:sz w:val="20"/>
          <w:szCs w:val="23"/>
          <w:rtl/>
        </w:rPr>
        <w:t>(קמה ע"א)</w:t>
      </w:r>
      <w:r>
        <w:rPr>
          <w:rFonts w:cs="Arial"/>
          <w:b w:val="0"/>
          <w:bCs w:val="0"/>
          <w:szCs w:val="26"/>
          <w:rtl/>
        </w:rPr>
        <w:t xml:space="preserve"> דִילָהּ בְּפִקּוּדִין דְּלֹא תַעֲשֶׂה, אוֹקִירוּ דִילָהּ בְּפִקּוּדִין דַּעֲשֵׂה, וְכָל אִינוּן דִּמְקַיְּימֵי פִקּוּדֵי דַעֲשֵׂה עֲלַיְיהוּ אִתְּמַר </w:t>
      </w:r>
      <w:r>
        <w:rPr>
          <w:b w:val="0"/>
          <w:sz w:val="20"/>
          <w:szCs w:val="23"/>
          <w:rtl/>
        </w:rPr>
        <w:t>(שמואל א ב ל)</w:t>
      </w:r>
      <w:r>
        <w:rPr>
          <w:rFonts w:cs="Arial"/>
          <w:b w:val="0"/>
          <w:bCs w:val="0"/>
          <w:szCs w:val="26"/>
          <w:rtl/>
        </w:rPr>
        <w:t xml:space="preserve"> כִּי מְכַבְּדַי אֲכַבֵּד, וְאִינוּן דְּעָבְרִין עַל לֹא תַעֲשֶׂה עֲלַיְיהוּ אִתְּמַר וּבֹזַי יֵקָלּוּ. אָמַר בּוֹצִינָא קַדִּישָׁא רַבִּי רַבִּי, וּמָה הוּא אוֹקִירוּ וּבִזָּיוֹן לְקוּדְשָׁא בְּרִיךְ הוּא בְפִקּוּדִין דַּעֲשֵׂה וְלֹא תַעֲשֶׂה, אֶלָּא בְּוַדַּאי כַּד שְׁכִינְתָּא אִיהִי בְּגָלוּתָא, כָּל מָאן דְּעָבִיד מִצְוָה לְאַקָּמָא לָהּ מִן גָּלוּתָא, כְּאִלּוּ אוֹקִיר לְקוּדְשָׁא בְּרִיךְ הוּא.</w:t>
      </w:r>
    </w:p>
    <w:p w:rsidR="006F705A" w:rsidRDefault="006F705A" w:rsidP="006F705A">
      <w:pPr>
        <w:pStyle w:val="NormalWeb"/>
        <w:rPr>
          <w:rFonts w:cs="Arial"/>
          <w:b w:val="0"/>
          <w:bCs w:val="0"/>
          <w:szCs w:val="26"/>
          <w:rtl/>
        </w:rPr>
      </w:pPr>
      <w:r>
        <w:rPr>
          <w:rFonts w:cs="Arial"/>
          <w:b w:val="0"/>
          <w:bCs w:val="0"/>
          <w:szCs w:val="26"/>
          <w:rtl/>
        </w:rPr>
        <w:t xml:space="preserve">לְמַלְכָּא דַהֲוָה לֵיהּ קְטָטָה עִם מַטְרוֹנִיתָא, וְאָרְמָא לָהּ מִן הֵיכָלֵיהּ, וְאִיהִי אָזְלַת לְגַבֵּי שְׁכִינָהָא, וַהֲלָא כָּל מָאן דִּמְקַבֵּל לָהּ בְּבֵיתֵיהּ וְאוֹקִיר לָהּ </w:t>
      </w:r>
      <w:r>
        <w:rPr>
          <w:b w:val="0"/>
          <w:sz w:val="20"/>
          <w:szCs w:val="23"/>
          <w:rtl/>
        </w:rPr>
        <w:t>(ודאי אוקיר למלכא)</w:t>
      </w:r>
      <w:r>
        <w:rPr>
          <w:rFonts w:cs="Arial"/>
          <w:b w:val="0"/>
          <w:bCs w:val="0"/>
          <w:szCs w:val="26"/>
          <w:rtl/>
        </w:rPr>
        <w:t>, וְעַאִיל שְׁלָם בֵּינָהָא וּבֵין בַּעְלָהּ, הֲלָא כָּל יְקָרָא דְעָבִיד לָהּ לְמַלְכָּא עָבִיד, דְּאִם מַלְכָּא כָּעַס עֲלָהּ זִמְנָא חֲדָא אוֹ תְּרֵין, יְהֵא לֵיהּ שְׁלָם עִמָּהּ וְיַחֲזִיר לָהּ לְבֵיתֵיהּ, וְאִיהוּ שָׁאִיל לָהּ מָאן אוֹקִיר לָךְ אוֹ מָאן זִלְזֵל בָּךְ, אוֹ אִם תָּרִיךְ לָהּ לְמַלְכוּתָא אַחֲרָא.</w:t>
      </w:r>
    </w:p>
    <w:p w:rsidR="006F705A" w:rsidRDefault="006F705A" w:rsidP="006F705A">
      <w:pPr>
        <w:pStyle w:val="NormalWeb"/>
        <w:rPr>
          <w:rFonts w:cs="Arial"/>
          <w:b w:val="0"/>
          <w:bCs w:val="0"/>
          <w:szCs w:val="26"/>
          <w:rtl/>
        </w:rPr>
      </w:pPr>
      <w:r>
        <w:rPr>
          <w:rFonts w:cs="Arial"/>
          <w:b w:val="0"/>
          <w:bCs w:val="0"/>
          <w:szCs w:val="26"/>
          <w:rtl/>
        </w:rPr>
        <w:t xml:space="preserve">כְּגַוְונָא דָא קוּדְשָׁא בְּרִיךְ הוּא תָּרִיךְ לָהּ לִשְׁכִינְתָּא, וְאַרְמֵי לָהּ מִבֵּיתֵיהּ, הֲדָא הוּא דִכְתִיב </w:t>
      </w:r>
      <w:r>
        <w:rPr>
          <w:b w:val="0"/>
          <w:sz w:val="20"/>
          <w:szCs w:val="23"/>
          <w:rtl/>
        </w:rPr>
        <w:t>(ישעיה נ א)</w:t>
      </w:r>
      <w:r>
        <w:rPr>
          <w:rFonts w:cs="Arial"/>
          <w:b w:val="0"/>
          <w:bCs w:val="0"/>
          <w:szCs w:val="26"/>
          <w:rtl/>
        </w:rPr>
        <w:t xml:space="preserve"> וּבְפִשְׁעִיכֶם שֻׁלְּחָה אִמְּכֶם, וַהֲלָא כָּל מָאן דְּאוֹקִיר לָהּ בְּגָלוּתָא לְקוּדְשָׁא בְּרִיךְ הוּא אוֹקִיר, אוֹ מָאן דִּמְזַלְזֵל בָּהּ לְקוּדְשָׁא בְּרִיךְ הוּא מְזַלְזֵל, וּבְגִין דָּא כִּי מְכַבְּדַי אֲכַבֵּד וּבוֹזַי יֵקָלּוּ, דְּאַף עַל גַּב דְּקוּדְשָׁא בְּרִיךְ הוּא זַבִּין לָהּ בְּחוֹבִין דִּבְנָהָא בְּגָלוּתָא רְבִיעָאָה, אִיהוּ נָטִיר לָהּ וְאִיהוּ יִפְרוֹק לָהּ, וְרָזָא דְמִלָּה </w:t>
      </w:r>
      <w:r>
        <w:rPr>
          <w:b w:val="0"/>
          <w:sz w:val="20"/>
          <w:szCs w:val="23"/>
          <w:rtl/>
        </w:rPr>
        <w:t>(שמות כא ז)</w:t>
      </w:r>
      <w:r>
        <w:rPr>
          <w:rFonts w:cs="Arial"/>
          <w:b w:val="0"/>
          <w:bCs w:val="0"/>
          <w:szCs w:val="26"/>
          <w:rtl/>
        </w:rPr>
        <w:t xml:space="preserve"> וְכִי יִמְכּוֹר אִישׁ אֶת בִּתּוֹ לְאָמָה לֹא תֵצֵא כְּצֵאת הָעֲבָדִים, אֶלָּא תִּפּוֹק בַּת חוֹרִין, בְּגִין דִּבְגָלוּתָא קַדְמָאָה לָא הֲוָה לָהּ בַּעְלָהּ דְּאִיהִי אוֹרַיְיתָא חֵירוּ דִילָהּ, לָא נָפְקַת לָהּ בַּת חוֹרִין, וְנָפְקַת בְּחִפָּזוֹן כְּעַבְדָּא דְבָרַח מֵרִבּוֹנֵיהּ וְלָא אִית לָהּ שְׁטַר חֵירוּ, אֲבָל בְּפוּרְקָנָא בַתְרַיְיתָא דְאִית לָהּ בַּעְלָהּ דְּאִיהוּ בֶן חוֹרִין, לֹא תֵצֵא בְּחִפָּזוֹן וְלֹא תֵצֵא כְעַבְדִין, דְּאִתְּמַר בְּהוֹן עֲבָדִים הָיִינוּ לְפַרְעֹה בְּמִצְרָיִם, אֶלָּא תִּפּוֹק בַּת חוֹרִין, וּבְגִין דָּא כִי יִמְכּוֹר אִישׁ אֶת בִּתּוֹ לְאָמָה לֹא תֵצֵא כְּצֵאת הָעֲבָדִים.</w:t>
      </w:r>
    </w:p>
    <w:p w:rsidR="006F705A" w:rsidRDefault="006F705A" w:rsidP="006F705A">
      <w:pPr>
        <w:pStyle w:val="NormalWeb"/>
        <w:rPr>
          <w:rFonts w:cs="Arial"/>
          <w:b w:val="0"/>
          <w:bCs w:val="0"/>
          <w:szCs w:val="26"/>
          <w:rtl/>
        </w:rPr>
      </w:pPr>
      <w:r>
        <w:rPr>
          <w:rFonts w:cs="Arial"/>
          <w:b w:val="0"/>
          <w:bCs w:val="0"/>
          <w:szCs w:val="26"/>
          <w:rtl/>
        </w:rPr>
        <w:t xml:space="preserve">וּמְנָלָן דְּאוֹרַיְיתָא אִיהוּ חֵירוּת, הֲדָא הוּא דִכְתִיב </w:t>
      </w:r>
      <w:r>
        <w:rPr>
          <w:b w:val="0"/>
          <w:sz w:val="20"/>
          <w:szCs w:val="23"/>
          <w:rtl/>
        </w:rPr>
        <w:t>(שמות לב טז)</w:t>
      </w:r>
      <w:r>
        <w:rPr>
          <w:rFonts w:cs="Arial"/>
          <w:b w:val="0"/>
          <w:bCs w:val="0"/>
          <w:szCs w:val="26"/>
          <w:rtl/>
        </w:rPr>
        <w:t xml:space="preserve"> וְהַמִּכְתָּב מִכְתַּב אלהי''ם הוּא חָרוּת עַל הַלֻּחֹת, וְאִיהוּ יְהֵא לָהּ בְּפוּרְקָנָא בַּתְרַיְיתָא חֵרוּת מִמַּלְאַךְ הַמָּוְת, דְּלָא יָמוּת מָשִׁיחַ בֶּן אֶפְרַיִם, חֵרוּת מִשִּׁעְבּוּד מַלְכִיּוֹת דְּלָא יִשְׁתַּעְבְּדוּן בָּהּ וּבִבְנָהָא לְעָלַם, וִיהֵא לָהּ חֵירוּ וְלִבְנָהָא מִכָּל </w:t>
      </w:r>
      <w:r>
        <w:rPr>
          <w:rStyle w:val="a7"/>
          <w:rFonts w:cs="Arial"/>
          <w:b w:val="0"/>
          <w:bCs w:val="0"/>
          <w:szCs w:val="26"/>
          <w:rtl/>
        </w:rPr>
        <w:footnoteReference w:id="5794"/>
      </w:r>
      <w:r>
        <w:rPr>
          <w:rFonts w:cs="Arial"/>
          <w:b w:val="0"/>
          <w:bCs w:val="0"/>
          <w:szCs w:val="26"/>
          <w:rtl/>
        </w:rPr>
        <w:t xml:space="preserve">מַרְעִין בִּישִׁין דְּעָלְמָא דְּאִינוּן עִרֶב רַב, </w:t>
      </w:r>
      <w:r>
        <w:rPr>
          <w:rStyle w:val="a7"/>
          <w:rFonts w:cs="Arial"/>
          <w:b w:val="0"/>
          <w:bCs w:val="0"/>
          <w:szCs w:val="26"/>
          <w:rtl/>
        </w:rPr>
        <w:footnoteReference w:id="5795"/>
      </w:r>
      <w:r>
        <w:rPr>
          <w:rFonts w:cs="Arial"/>
          <w:b w:val="0"/>
          <w:bCs w:val="0"/>
          <w:szCs w:val="26"/>
          <w:rtl/>
        </w:rPr>
        <w:t xml:space="preserve">וְיִשְׂרָאֵל דְּאִינוּן מִסִּטְרָא דְהַהוּא נַעַר אוֹ מִכָּרְסַיָּא קַדִּישָׁא, אַף עַל גַּב דַּהֲווֹ מְחוּיָיבִין בְּכַמָּה חוֹבִין, כְּמָה דְאָמְרִין אֵין בֶּן דָּוִד בָּא עַד שֶׁיִּהְיֶה דוֹר שֶׁכֻּלּוֹ זַכַּאי אוֹ כֻּלּוֹ חַיָּיב, אִתְּמַר בְּהוֹן </w:t>
      </w:r>
      <w:r>
        <w:rPr>
          <w:b w:val="0"/>
          <w:sz w:val="20"/>
          <w:szCs w:val="23"/>
          <w:rtl/>
        </w:rPr>
        <w:t>(שם כא ח)</w:t>
      </w:r>
      <w:r>
        <w:rPr>
          <w:rFonts w:cs="Arial"/>
          <w:b w:val="0"/>
          <w:bCs w:val="0"/>
          <w:szCs w:val="26"/>
          <w:rtl/>
        </w:rPr>
        <w:t xml:space="preserve"> אִם רָעָה בְּעִינֵי אֲדוֹנֶיהָ אֲשֶׁר לֹא יְעָדָהּ, עִם כָּל דָּא וְהֶפְדָּהּ בְּגָלוּתָא, וְלֹא יִמְשׁוֹל לְמוֹכְרָהּ בְּגָלוּתָא, בְּבִגְדוֹ בָהּ, בְּגִין דְּבָגְדוּ בָהּ.</w:t>
      </w:r>
    </w:p>
    <w:p w:rsidR="006F705A" w:rsidRDefault="006F705A" w:rsidP="006F705A">
      <w:pPr>
        <w:pStyle w:val="NormalWeb"/>
        <w:rPr>
          <w:rFonts w:cs="Arial"/>
          <w:b w:val="0"/>
          <w:bCs w:val="0"/>
          <w:szCs w:val="26"/>
          <w:rtl/>
        </w:rPr>
      </w:pPr>
      <w:r>
        <w:rPr>
          <w:rStyle w:val="a7"/>
          <w:rFonts w:cs="Arial"/>
          <w:b w:val="0"/>
          <w:bCs w:val="0"/>
          <w:szCs w:val="26"/>
          <w:rtl/>
        </w:rPr>
        <w:footnoteReference w:id="5796"/>
      </w:r>
      <w:r>
        <w:rPr>
          <w:rFonts w:cs="Arial"/>
          <w:b w:val="0"/>
          <w:bCs w:val="0"/>
          <w:szCs w:val="26"/>
          <w:rtl/>
        </w:rPr>
        <w:t xml:space="preserve">וְעוֹד כִי יִמְכּוֹר אִישׁ אֶת בִּתּוֹ לְאָמָה, דָא נִשְׁמָתָא קַדִּישָׁא, דְמָכַר לָהּ בְּגוּפָא דְאִיהוּ אָמָה דִילָהּ, וְאִתְּמַר </w:t>
      </w:r>
      <w:r>
        <w:rPr>
          <w:b w:val="0"/>
          <w:sz w:val="20"/>
          <w:szCs w:val="23"/>
          <w:rtl/>
        </w:rPr>
        <w:t>(משלי ל כג)</w:t>
      </w:r>
      <w:r>
        <w:rPr>
          <w:rFonts w:cs="Arial"/>
          <w:b w:val="0"/>
          <w:bCs w:val="0"/>
          <w:szCs w:val="26"/>
          <w:rtl/>
        </w:rPr>
        <w:t xml:space="preserve"> וְשִׁפְחָה כִּי תִירַשׁ גְּבִירְתָּהּ, כַּד תִּפּוֹק מִגּוּפָא לֹא תֵצֵא כְּצֵאת הָעֲבָדִים, דְּאִינוּן נְפָשׁוֹת </w:t>
      </w:r>
      <w:r>
        <w:rPr>
          <w:rStyle w:val="a7"/>
          <w:rFonts w:cs="Arial"/>
          <w:b w:val="0"/>
          <w:bCs w:val="0"/>
          <w:szCs w:val="26"/>
          <w:rtl/>
        </w:rPr>
        <w:footnoteReference w:id="5797"/>
      </w:r>
      <w:r>
        <w:rPr>
          <w:rFonts w:cs="Arial"/>
          <w:b w:val="0"/>
          <w:bCs w:val="0"/>
          <w:szCs w:val="26"/>
          <w:rtl/>
        </w:rPr>
        <w:t>דְּאִינוּן מְשׁוּתָּפִין עִם גּוּפָא תַּתָּאָה, דַהֲנָאָה דִלְהוֹן לַאו אִיהִי לְעָלְמָא דְאָתֵי, לְאִשְׁתַּדְלָא בְאוֹרַיְיתָא דְאִיהוּ חֵירוּ מִמַּלְאַךְ הַמָּוְת, אֶלָּא לְיָרְתָא לְעָלְמָא דֵין, וּבְגִין דָּא נִשְׁמָתָא דְאִיהִי אִשְׁתַּדְלָא בְּאוֹרַיְיתָא, לֹא תֵצֵא כְּצֵאת הָעֲבָדִים מִגּוּפָא בְּדוֹחֲקָא, כְּנִשְׁמָתָא דְעַם הָאָרֶץ דְּאִיהִי עֶבֶד, אֶלָּא תִּיפּוֹק בַּר חוֹרִין מִמַּלְאַךְ הַמָּוְת.</w:t>
      </w:r>
    </w:p>
    <w:p w:rsidR="006F705A" w:rsidRDefault="006F705A" w:rsidP="006F705A">
      <w:pPr>
        <w:pStyle w:val="a8"/>
        <w:spacing w:before="0" w:after="40"/>
        <w:rPr>
          <w:rtl/>
        </w:rPr>
      </w:pPr>
      <w:bookmarkStart w:id="353" w:name="_Toc228091356"/>
      <w:bookmarkStart w:id="354" w:name="_Toc231637995"/>
    </w:p>
    <w:p w:rsidR="006F705A" w:rsidRDefault="006F705A" w:rsidP="0043727D">
      <w:pPr>
        <w:pStyle w:val="1"/>
        <w:rPr>
          <w:u w:val="single"/>
          <w:rtl/>
        </w:rPr>
      </w:pPr>
      <w:r>
        <w:rPr>
          <w:rtl/>
        </w:rPr>
        <w:t>תקונא תמינאה [מהדורה תנינא]</w:t>
      </w:r>
      <w:bookmarkEnd w:id="353"/>
      <w:bookmarkEnd w:id="354"/>
    </w:p>
    <w:p w:rsidR="006F705A" w:rsidRDefault="006F705A" w:rsidP="006F705A">
      <w:pPr>
        <w:spacing w:after="40" w:line="360" w:lineRule="atLeast"/>
        <w:ind w:left="144" w:right="144" w:firstLine="288"/>
        <w:jc w:val="both"/>
        <w:rPr>
          <w:rFonts w:ascii="Arial" w:cs="FrankRuehl"/>
          <w:b/>
          <w:sz w:val="29"/>
          <w:rtl/>
        </w:rPr>
      </w:pPr>
      <w:r>
        <w:rPr>
          <w:rFonts w:ascii="Arial" w:cs="FrankRuehl"/>
          <w:b/>
          <w:rtl/>
        </w:rPr>
        <w:t>(זהו תקון כ''ח)</w:t>
      </w:r>
    </w:p>
    <w:p w:rsidR="006F705A" w:rsidRDefault="006F705A" w:rsidP="006F705A">
      <w:pPr>
        <w:pStyle w:val="NormalWeb"/>
        <w:rPr>
          <w:rFonts w:cs="Arial"/>
          <w:szCs w:val="22"/>
          <w:rtl/>
        </w:rPr>
      </w:pPr>
      <w:r>
        <w:rPr>
          <w:rFonts w:cs="Arial"/>
          <w:szCs w:val="22"/>
          <w:rtl/>
        </w:rPr>
        <w:t>[י"א תיקונים מהדורא בתרא, קמה ע"ב]</w:t>
      </w:r>
    </w:p>
    <w:p w:rsidR="006F705A" w:rsidRDefault="006F705A" w:rsidP="006F705A">
      <w:pPr>
        <w:pStyle w:val="NormalWeb"/>
        <w:rPr>
          <w:rFonts w:cs="Arial"/>
          <w:b w:val="0"/>
          <w:bCs w:val="0"/>
          <w:szCs w:val="26"/>
          <w:rtl/>
        </w:rPr>
      </w:pPr>
      <w:r>
        <w:rPr>
          <w:rStyle w:val="a7"/>
          <w:rFonts w:cs="Arial"/>
          <w:b w:val="0"/>
          <w:bCs w:val="0"/>
          <w:szCs w:val="26"/>
          <w:rtl/>
        </w:rPr>
        <w:footnoteReference w:id="5798"/>
      </w:r>
      <w:r>
        <w:rPr>
          <w:rStyle w:val="Char"/>
          <w:rFonts w:cs="Arial"/>
          <w:szCs w:val="26"/>
          <w:rtl/>
        </w:rPr>
        <w:t>בְּרֵאשִׁית,</w:t>
      </w:r>
      <w:r>
        <w:rPr>
          <w:b w:val="0"/>
          <w:szCs w:val="23"/>
          <w:rtl/>
        </w:rPr>
        <w:t xml:space="preserve"> </w:t>
      </w:r>
      <w:r>
        <w:rPr>
          <w:rStyle w:val="Char"/>
          <w:rFonts w:cs="Arial"/>
          <w:b/>
          <w:szCs w:val="26"/>
          <w:rtl/>
        </w:rPr>
        <w:t>ת</w:t>
      </w:r>
      <w:r>
        <w:rPr>
          <w:rStyle w:val="Char"/>
          <w:rFonts w:cs="Arial"/>
          <w:szCs w:val="26"/>
          <w:rtl/>
        </w:rPr>
        <w:t>ּ</w:t>
      </w:r>
      <w:r>
        <w:rPr>
          <w:rFonts w:cs="Arial"/>
          <w:b w:val="0"/>
          <w:bCs w:val="0"/>
          <w:szCs w:val="26"/>
          <w:rtl/>
        </w:rPr>
        <w:t>ַ</w:t>
      </w:r>
      <w:r>
        <w:rPr>
          <w:rStyle w:val="Char"/>
          <w:rFonts w:cs="Arial"/>
          <w:b/>
          <w:szCs w:val="26"/>
          <w:rtl/>
        </w:rPr>
        <w:t>מ</w:t>
      </w:r>
      <w:r>
        <w:rPr>
          <w:rFonts w:cs="Arial"/>
          <w:b w:val="0"/>
          <w:bCs w:val="0"/>
          <w:szCs w:val="26"/>
          <w:rtl/>
        </w:rPr>
        <w:t>ָ</w:t>
      </w:r>
      <w:r>
        <w:rPr>
          <w:rStyle w:val="Char"/>
          <w:rFonts w:cs="Arial"/>
          <w:b/>
          <w:szCs w:val="26"/>
          <w:rtl/>
        </w:rPr>
        <w:t>ן</w:t>
      </w:r>
      <w:r>
        <w:rPr>
          <w:b w:val="0"/>
          <w:szCs w:val="23"/>
          <w:rtl/>
        </w:rPr>
        <w:t xml:space="preserve"> </w:t>
      </w:r>
      <w:r>
        <w:rPr>
          <w:rStyle w:val="Char"/>
          <w:rFonts w:cs="Arial"/>
          <w:szCs w:val="26"/>
          <w:rtl/>
        </w:rPr>
        <w:t>בְּאֵר,</w:t>
      </w:r>
      <w:r>
        <w:rPr>
          <w:b w:val="0"/>
          <w:szCs w:val="23"/>
          <w:rtl/>
        </w:rPr>
        <w:t xml:space="preserve"> </w:t>
      </w:r>
      <w:r>
        <w:rPr>
          <w:rFonts w:cs="Arial"/>
          <w:b w:val="0"/>
          <w:bCs w:val="0"/>
          <w:szCs w:val="26"/>
          <w:rtl/>
        </w:rPr>
        <w:t>וְ</w:t>
      </w:r>
      <w:r>
        <w:rPr>
          <w:rStyle w:val="Char"/>
          <w:rFonts w:cs="Arial"/>
          <w:szCs w:val="26"/>
          <w:rtl/>
        </w:rPr>
        <w:t xml:space="preserve">דָּא </w:t>
      </w:r>
      <w:r>
        <w:rPr>
          <w:b w:val="0"/>
          <w:sz w:val="20"/>
          <w:szCs w:val="23"/>
          <w:rtl/>
        </w:rPr>
        <w:t>(במדבר כא א)</w:t>
      </w:r>
      <w:r>
        <w:rPr>
          <w:rFonts w:cs="Arial"/>
          <w:b w:val="0"/>
          <w:bCs w:val="0"/>
          <w:szCs w:val="26"/>
          <w:rtl/>
        </w:rPr>
        <w:t xml:space="preserve"> בְּאֵר חֲפָרוּהָ שָׂרִים כָּרוּהָ נְדִיבֵי הָעָם, </w:t>
      </w:r>
      <w:r>
        <w:rPr>
          <w:rStyle w:val="Char"/>
          <w:rFonts w:cs="Arial"/>
          <w:szCs w:val="26"/>
          <w:rtl/>
        </w:rPr>
        <w:t xml:space="preserve">וְאִינוּן תְּרֵין, </w:t>
      </w:r>
      <w:r>
        <w:rPr>
          <w:rFonts w:cs="Arial"/>
          <w:b w:val="0"/>
          <w:bCs w:val="0"/>
          <w:szCs w:val="26"/>
          <w:rtl/>
        </w:rPr>
        <w:t xml:space="preserve">בְּאֵר </w:t>
      </w:r>
      <w:r>
        <w:rPr>
          <w:b w:val="0"/>
          <w:sz w:val="20"/>
          <w:szCs w:val="23"/>
          <w:rtl/>
        </w:rPr>
        <w:t>(קמה ע"ב)</w:t>
      </w:r>
      <w:r>
        <w:rPr>
          <w:rFonts w:cs="Arial"/>
          <w:b w:val="0"/>
          <w:bCs w:val="0"/>
          <w:szCs w:val="26"/>
          <w:rtl/>
        </w:rPr>
        <w:t xml:space="preserve"> חַד אִיהוּ בְּאֵר דְּאִתְּמַר בָּהּ </w:t>
      </w:r>
      <w:r>
        <w:rPr>
          <w:b w:val="0"/>
          <w:sz w:val="20"/>
          <w:szCs w:val="23"/>
          <w:rtl/>
        </w:rPr>
        <w:t>(בראשית כו כא)</w:t>
      </w:r>
      <w:r>
        <w:rPr>
          <w:rFonts w:cs="Arial"/>
          <w:b w:val="0"/>
          <w:bCs w:val="0"/>
          <w:szCs w:val="26"/>
          <w:rtl/>
        </w:rPr>
        <w:t xml:space="preserve"> וַיָּרִיבוּ גַּם עָלֶיהָ, וְתִנְיָינָא בְּאֵר אַחֶרֶת וְלֹא רָבוּ עָלֶיהָ, בְּאֵר דְּרָבוּ עָלֶיהָ דָּא אוֹרַיְיתָא דִבְעַל פֶּה, דְּאִתְּמַר בָּהּ </w:t>
      </w:r>
      <w:r>
        <w:rPr>
          <w:b w:val="0"/>
          <w:sz w:val="20"/>
          <w:szCs w:val="23"/>
          <w:rtl/>
        </w:rPr>
        <w:t>(שם כ)</w:t>
      </w:r>
      <w:r>
        <w:rPr>
          <w:rFonts w:cs="Arial"/>
          <w:b w:val="0"/>
          <w:bCs w:val="0"/>
          <w:szCs w:val="26"/>
          <w:rtl/>
        </w:rPr>
        <w:t xml:space="preserve"> וַיָּרִיבוּ רוֹעִי גְרָר עִם רוֹעִי יִצְחָק לֵאמֹר לָנוּ הַמָּיִם, אִלֵּין מַקְשִׁין עַל אִלֵּין, וְאִלֵּין חוֹלְקִין עַל אִלֵּין, אִלֵּין מְטַהֲרִין וְאִלֵּין מְטַמְּאִין, אִלֵּין פּוֹסְלִין וְאִלֵּין מַכְשִׁירִין, אִלֵּין אוֹסְרִין וְאִלֵּין מַתִּירִין, בְּשִׁית סִטְרִין, וְאִינוּן בְּרֵאשִׁית בָּרָא שִׁית וכו'.</w:t>
      </w:r>
    </w:p>
    <w:p w:rsidR="006F705A" w:rsidRDefault="006F705A" w:rsidP="0043727D">
      <w:pPr>
        <w:pStyle w:val="1"/>
        <w:rPr>
          <w:rtl/>
        </w:rPr>
      </w:pPr>
      <w:bookmarkStart w:id="355" w:name="_Toc228091357"/>
      <w:bookmarkStart w:id="356" w:name="_Toc231637996"/>
      <w:r>
        <w:rPr>
          <w:rtl/>
        </w:rPr>
        <w:t>(תקונא תשיעאה [מהדורה תנינא]</w:t>
      </w:r>
      <w:bookmarkEnd w:id="355"/>
      <w:bookmarkEnd w:id="356"/>
      <w:r>
        <w:rPr>
          <w:rtl/>
        </w:rPr>
        <w:t xml:space="preserve">) </w:t>
      </w:r>
      <w:r>
        <w:rPr>
          <w:rFonts w:cs="FrankRuehl"/>
          <w:rtl/>
        </w:rPr>
        <w:t>(זהו תקון כ''ט)</w:t>
      </w:r>
    </w:p>
    <w:p w:rsidR="006F705A" w:rsidRDefault="006F705A" w:rsidP="006F705A">
      <w:pPr>
        <w:spacing w:after="40" w:line="360" w:lineRule="atLeast"/>
        <w:ind w:left="144" w:right="144" w:firstLine="288"/>
        <w:jc w:val="both"/>
        <w:rPr>
          <w:rFonts w:ascii="Arial" w:cs="Arial"/>
          <w:b/>
          <w:bCs/>
          <w:sz w:val="29"/>
          <w:szCs w:val="26"/>
          <w:rtl/>
        </w:rPr>
      </w:pPr>
      <w:r>
        <w:rPr>
          <w:rStyle w:val="a7"/>
          <w:rFonts w:ascii="Arial" w:cs="Arial"/>
          <w:b/>
          <w:bCs/>
          <w:sz w:val="29"/>
          <w:szCs w:val="26"/>
          <w:rtl/>
        </w:rPr>
        <w:footnoteReference w:id="5799"/>
      </w:r>
      <w:r>
        <w:rPr>
          <w:rFonts w:ascii="Arial" w:cs="Arial"/>
          <w:b/>
          <w:bCs/>
          <w:sz w:val="29"/>
          <w:szCs w:val="26"/>
          <w:rtl/>
        </w:rPr>
        <w:t xml:space="preserve">בְּרֵאשִׁית, </w:t>
      </w:r>
      <w:r>
        <w:rPr>
          <w:rStyle w:val="Char"/>
          <w:rFonts w:cs="Arial"/>
          <w:szCs w:val="26"/>
          <w:rtl/>
        </w:rPr>
        <w:t>בְּאֵר</w:t>
      </w:r>
      <w:r>
        <w:rPr>
          <w:rFonts w:ascii="Arial" w:cs="Guttman Frank"/>
          <w:b/>
          <w:sz w:val="29"/>
          <w:szCs w:val="23"/>
          <w:rtl/>
        </w:rPr>
        <w:t xml:space="preserve"> </w:t>
      </w:r>
      <w:r>
        <w:rPr>
          <w:rFonts w:ascii="Arial" w:cs="Arial"/>
          <w:b/>
          <w:bCs/>
          <w:sz w:val="29"/>
          <w:szCs w:val="26"/>
          <w:rtl/>
        </w:rPr>
        <w:t xml:space="preserve">דְּשִׁית סִטְרִין, דְּאִסּוּר וְהֶתֵּר כִּדְקָאַמְרָן, </w:t>
      </w:r>
      <w:r>
        <w:rPr>
          <w:rStyle w:val="Char"/>
          <w:rFonts w:cs="Arial"/>
          <w:szCs w:val="26"/>
          <w:rtl/>
        </w:rPr>
        <w:t>בּ</w:t>
      </w:r>
      <w:r>
        <w:rPr>
          <w:rFonts w:ascii="Arial" w:cs="Arial"/>
          <w:b/>
          <w:bCs/>
          <w:sz w:val="29"/>
          <w:szCs w:val="26"/>
          <w:rtl/>
        </w:rPr>
        <w:t>ָ</w:t>
      </w:r>
      <w:r>
        <w:rPr>
          <w:rStyle w:val="Char"/>
          <w:rFonts w:cs="Arial"/>
          <w:szCs w:val="26"/>
          <w:rtl/>
        </w:rPr>
        <w:t>ר</w:t>
      </w:r>
      <w:r>
        <w:rPr>
          <w:rFonts w:ascii="Arial" w:cs="Arial"/>
          <w:b/>
          <w:bCs/>
          <w:sz w:val="29"/>
          <w:szCs w:val="26"/>
          <w:rtl/>
        </w:rPr>
        <w:t>ָ</w:t>
      </w:r>
      <w:r>
        <w:rPr>
          <w:rStyle w:val="Char"/>
          <w:rFonts w:cs="Arial"/>
          <w:szCs w:val="26"/>
          <w:rtl/>
        </w:rPr>
        <w:t>א</w:t>
      </w:r>
      <w:r>
        <w:rPr>
          <w:rFonts w:ascii="Arial" w:cs="Guttman Frank"/>
          <w:b/>
          <w:sz w:val="29"/>
          <w:szCs w:val="23"/>
          <w:rtl/>
        </w:rPr>
        <w:t xml:space="preserve"> </w:t>
      </w:r>
      <w:r>
        <w:rPr>
          <w:rFonts w:ascii="Arial" w:cs="Arial"/>
          <w:b/>
          <w:bCs/>
          <w:sz w:val="29"/>
          <w:szCs w:val="26"/>
          <w:rtl/>
        </w:rPr>
        <w:t xml:space="preserve">אִיהוּ </w:t>
      </w:r>
      <w:r>
        <w:rPr>
          <w:rFonts w:ascii="Arial" w:cs="Guttman Frank"/>
          <w:b/>
          <w:szCs w:val="23"/>
          <w:rtl/>
        </w:rPr>
        <w:t>(במדבר כא א)</w:t>
      </w:r>
      <w:r>
        <w:rPr>
          <w:rFonts w:ascii="Arial" w:cs="Arial"/>
          <w:b/>
          <w:bCs/>
          <w:sz w:val="29"/>
          <w:szCs w:val="26"/>
          <w:rtl/>
        </w:rPr>
        <w:t xml:space="preserve"> בְּאֵר חֲפָרוּהָ שָׂרִים, </w:t>
      </w:r>
      <w:r>
        <w:rPr>
          <w:rStyle w:val="a7"/>
          <w:rFonts w:ascii="Arial" w:cs="Arial"/>
          <w:b/>
          <w:bCs/>
          <w:sz w:val="29"/>
          <w:szCs w:val="26"/>
          <w:rtl/>
        </w:rPr>
        <w:footnoteReference w:id="5800"/>
      </w:r>
      <w:r>
        <w:rPr>
          <w:rFonts w:ascii="Arial" w:cs="Arial"/>
          <w:b/>
          <w:bCs/>
          <w:sz w:val="29"/>
          <w:szCs w:val="26"/>
          <w:rtl/>
        </w:rPr>
        <w:t>אַבָּא ו</w:t>
      </w:r>
      <w:r>
        <w:rPr>
          <w:rStyle w:val="Char"/>
          <w:rFonts w:cs="Arial"/>
          <w:szCs w:val="26"/>
          <w:rtl/>
        </w:rPr>
        <w:t>ְ</w:t>
      </w:r>
      <w:r>
        <w:rPr>
          <w:rFonts w:ascii="Arial" w:cs="Arial"/>
          <w:b/>
          <w:bCs/>
          <w:sz w:val="29"/>
          <w:szCs w:val="26"/>
          <w:rtl/>
        </w:rPr>
        <w:t xml:space="preserve">אִמָא, חָכְמָה כ"ח מ"ה, וַעֲלַהּ אִתְּמַר </w:t>
      </w:r>
      <w:r>
        <w:rPr>
          <w:rFonts w:ascii="Arial" w:cs="FrankRuehl"/>
          <w:b/>
          <w:rtl/>
        </w:rPr>
        <w:t>(במדבר יד יז)</w:t>
      </w:r>
      <w:r>
        <w:rPr>
          <w:rFonts w:ascii="Arial" w:cs="Arial"/>
          <w:b/>
          <w:bCs/>
          <w:sz w:val="29"/>
          <w:szCs w:val="26"/>
          <w:rtl/>
        </w:rPr>
        <w:t xml:space="preserve"> וְעַתָּה יִגְדַּל נָא כֹּחַ אדנ''י, וְאִיהִי כ''ח אַתְוָון דְּעוֹבָדָא דִבְּרֵאשִׁית, בְּהַאי </w:t>
      </w:r>
      <w:r>
        <w:rPr>
          <w:rFonts w:ascii="Arial" w:cs="FrankRuehl"/>
          <w:b/>
          <w:rtl/>
        </w:rPr>
        <w:t>(נ''א דאיהו)</w:t>
      </w:r>
      <w:r>
        <w:rPr>
          <w:rFonts w:ascii="Arial" w:cs="FrankRuehl"/>
          <w:b/>
          <w:sz w:val="29"/>
          <w:rtl/>
        </w:rPr>
        <w:t xml:space="preserve"> </w:t>
      </w:r>
      <w:r>
        <w:rPr>
          <w:rStyle w:val="Char"/>
          <w:rFonts w:cs="Arial"/>
          <w:szCs w:val="26"/>
          <w:rtl/>
        </w:rPr>
        <w:t>כ''ח תַּלְמִידֵי חֲכָמִים</w:t>
      </w:r>
      <w:r>
        <w:rPr>
          <w:rFonts w:ascii="Arial" w:cs="FrankRuehl"/>
          <w:b/>
          <w:sz w:val="29"/>
          <w:rtl/>
        </w:rPr>
        <w:t xml:space="preserve"> </w:t>
      </w:r>
      <w:r>
        <w:rPr>
          <w:rFonts w:ascii="Arial" w:cs="FrankRuehl"/>
          <w:b/>
          <w:rtl/>
        </w:rPr>
        <w:t>(בראשית כו כב)</w:t>
      </w:r>
      <w:r>
        <w:rPr>
          <w:rFonts w:ascii="Arial" w:cs="Arial"/>
          <w:b/>
          <w:bCs/>
          <w:sz w:val="29"/>
          <w:szCs w:val="26"/>
          <w:rtl/>
        </w:rPr>
        <w:t xml:space="preserve"> וַיַּחְפְּרוּ בְּאֵר אַחֶרֶת וְלֹא רָבוּ עָלֶיהָ, דְּאִיהִי הֲלָכָה לְמֹשֶׁה מִסִּינַי קַבָּלָה לְמֹשֶׁה מִסִּינַי, דְּאִתְּמַר מֹשֶׁה קִבֵּל תּוֹרָה מִסִּינַי, </w:t>
      </w:r>
      <w:r>
        <w:rPr>
          <w:rStyle w:val="a7"/>
          <w:rFonts w:ascii="Arial" w:cs="Arial"/>
          <w:b/>
          <w:bCs/>
          <w:sz w:val="29"/>
          <w:szCs w:val="26"/>
          <w:rtl/>
        </w:rPr>
        <w:footnoteReference w:id="5801"/>
      </w:r>
      <w:r>
        <w:rPr>
          <w:rFonts w:ascii="Arial" w:cs="Arial"/>
          <w:b/>
          <w:bCs/>
          <w:sz w:val="29"/>
          <w:szCs w:val="26"/>
          <w:rtl/>
        </w:rPr>
        <w:t>מִשְׁנָה שִׁפְחָה דִילָהּ, דָּא אִתְעֲבִיד לַהֲלָכָה דְאִיהִי בְּרַתָּא דְמַלְכָּא לְבוּשָׁא, וּבְרַתָּא דְּמַלְכָּא אִיהִי בַּת קוֹל מִלְּגָאו, וּבְרַיְיתָא אִיהִי שִׁפְחָה לָהּ מִלְּבָר, וְאִלֵּין תְּרֵין סָמְכִין לָהּ לִבְרַתָּא דְמַלְכָּא בְגָלוּתָא מִשְׁנָה וּבְרַיְיתָא.</w:t>
      </w:r>
    </w:p>
    <w:p w:rsidR="006F705A" w:rsidRDefault="006F705A" w:rsidP="006F705A">
      <w:pPr>
        <w:spacing w:after="40" w:line="360" w:lineRule="atLeast"/>
        <w:ind w:left="144" w:right="144" w:firstLine="288"/>
        <w:jc w:val="both"/>
        <w:rPr>
          <w:rFonts w:ascii="Arial" w:cs="Arial"/>
          <w:b/>
          <w:bCs/>
          <w:sz w:val="29"/>
          <w:szCs w:val="26"/>
          <w:rtl/>
        </w:rPr>
      </w:pPr>
      <w:r>
        <w:rPr>
          <w:rFonts w:ascii="Arial" w:cs="Arial"/>
          <w:b/>
          <w:bCs/>
          <w:sz w:val="29"/>
          <w:szCs w:val="26"/>
          <w:rtl/>
        </w:rPr>
        <w:t xml:space="preserve">וְאִית שִׁפְחָה </w:t>
      </w:r>
      <w:r>
        <w:rPr>
          <w:rFonts w:ascii="Arial" w:cs="Arial"/>
          <w:sz w:val="29"/>
          <w:szCs w:val="26"/>
          <w:rtl/>
        </w:rPr>
        <w:t>(בִּישָׁא דְאִתְקְרִיאַת)</w:t>
      </w:r>
      <w:r>
        <w:rPr>
          <w:rFonts w:ascii="Arial" w:cs="Arial"/>
          <w:b/>
          <w:bCs/>
          <w:sz w:val="29"/>
          <w:szCs w:val="26"/>
          <w:rtl/>
        </w:rPr>
        <w:t xml:space="preserve"> שִׂטְנָה, הֲדָא הוּא דִכְתִיב </w:t>
      </w:r>
      <w:r>
        <w:rPr>
          <w:rFonts w:ascii="Arial" w:cs="FrankRuehl"/>
          <w:b/>
          <w:rtl/>
        </w:rPr>
        <w:t>(בראשית כו כא)</w:t>
      </w:r>
      <w:r>
        <w:rPr>
          <w:rFonts w:ascii="Arial" w:cs="Arial"/>
          <w:b/>
          <w:bCs/>
          <w:sz w:val="29"/>
          <w:szCs w:val="26"/>
          <w:rtl/>
        </w:rPr>
        <w:t xml:space="preserve"> וַיִּקְרָא אֶת שְׁמָהּ שִׂטְנָה, אִתְּתָא דְנָחָשׁ דְּאִיהוּ שָׂטָן, וְדָא אִיהוּ מַחֲלֹקֶת וְקוּשְׁיָא, וַעֲלָהּ אִתְּמַר </w:t>
      </w:r>
      <w:r>
        <w:rPr>
          <w:rFonts w:ascii="Arial" w:cs="FrankRuehl"/>
          <w:b/>
          <w:rtl/>
        </w:rPr>
        <w:t>(שמות א יד)</w:t>
      </w:r>
      <w:r>
        <w:rPr>
          <w:rFonts w:ascii="Arial" w:cs="Arial"/>
          <w:b/>
          <w:bCs/>
          <w:sz w:val="29"/>
          <w:szCs w:val="26"/>
          <w:rtl/>
        </w:rPr>
        <w:t xml:space="preserve"> וַיְמָרְרוּ אֶת חַיֵּיהֶם בַּעֲבוֹדָה קָשָׁה, דְּוַדַּאי דָּא אִיהוּ קוּשְׁיָא, וְדָּא נָחָשׁ עֲקַלָּתוֹן, בְּחוֹמֶר דָּא קַל וָחֹמֶר, זִמְנָא אִיהוּ קַל בְּשִׁעְבּוּדָא דְיִשְׂרָאֵל כַּד חוֹבִין קַלִּין עֲלַיְיהוּ, וְזִמְנָא דְאִיהוּ חָמוּר כָּבֵד, וּמִסִּטְרָא דִילֵיהּ </w:t>
      </w:r>
      <w:r>
        <w:rPr>
          <w:rFonts w:ascii="Arial" w:cs="FrankRuehl"/>
          <w:b/>
          <w:rtl/>
        </w:rPr>
        <w:t>(שם ה ט)</w:t>
      </w:r>
      <w:r>
        <w:rPr>
          <w:rFonts w:ascii="Arial" w:cs="Arial"/>
          <w:b/>
          <w:bCs/>
          <w:sz w:val="29"/>
          <w:szCs w:val="26"/>
          <w:rtl/>
        </w:rPr>
        <w:t xml:space="preserve"> תִּכְבַּד הָעֲבֹדָה.</w:t>
      </w:r>
    </w:p>
    <w:p w:rsidR="006F705A" w:rsidRDefault="006F705A" w:rsidP="006F705A">
      <w:pPr>
        <w:spacing w:after="40" w:line="360" w:lineRule="atLeast"/>
        <w:ind w:left="144" w:right="144" w:firstLine="288"/>
        <w:jc w:val="both"/>
        <w:rPr>
          <w:rFonts w:ascii="Arial" w:cs="Arial"/>
          <w:b/>
          <w:bCs/>
          <w:sz w:val="29"/>
          <w:szCs w:val="26"/>
          <w:rtl/>
        </w:rPr>
      </w:pPr>
      <w:r>
        <w:rPr>
          <w:rFonts w:ascii="Arial" w:cs="Arial"/>
          <w:b/>
          <w:bCs/>
          <w:sz w:val="29"/>
          <w:szCs w:val="26"/>
          <w:rtl/>
        </w:rPr>
        <w:t>כְּגַוְונָא דְגַלֵּי יַמָּא, כְּגַוְונָא דָּא בַּר נַשׁ אַזִיל בְּקוּשְׁיָא בְּרֵישָׁא דְּמַתְנִיתִין לְסֵיפָא, וּמְּסֵיפָא לְרֵישָׁא.</w:t>
      </w:r>
    </w:p>
    <w:p w:rsidR="006F705A" w:rsidRDefault="006F705A" w:rsidP="006F705A">
      <w:pPr>
        <w:spacing w:after="40" w:line="360" w:lineRule="atLeast"/>
        <w:ind w:left="144" w:right="144" w:firstLine="288"/>
        <w:jc w:val="both"/>
        <w:rPr>
          <w:rFonts w:ascii="Arial" w:cs="Arial"/>
          <w:b/>
          <w:bCs/>
          <w:sz w:val="29"/>
          <w:szCs w:val="26"/>
          <w:rtl/>
        </w:rPr>
      </w:pPr>
      <w:r>
        <w:rPr>
          <w:rFonts w:ascii="Arial" w:cs="Arial"/>
          <w:b/>
          <w:bCs/>
          <w:sz w:val="29"/>
          <w:szCs w:val="26"/>
          <w:rtl/>
        </w:rPr>
        <w:t xml:space="preserve">וַיַּחְפְּרוּ בְּאֵר אַחֶרֶת דָּא פְּסִיקְתָּא, דְּתַמָּן פִּסְקֵי הֲלָכָה וְאִיהוּ תִּרוּץ, וְלֹא רָבוּ עָלֶיהָ וַיִּקְרָא שְׁמָהּ רְחוֹבוֹת, וְאִלֵּין פִּסְקִין וְתִרוּצִין אִינוּן לְבֵנִים, דְּאִינוּן לִבּוּן הַהֲלָכָה, וְדָא אִיהוּ וּבִלְבֵנִים, וּבְכָל עֲבוֹדָה בַּשָּׂדֶה וַדַּאי דָּא בְרַיְיתָא, דַעֲלָהּ אִתְּמַר </w:t>
      </w:r>
      <w:r>
        <w:rPr>
          <w:rFonts w:ascii="Arial" w:cs="FrankRuehl"/>
          <w:b/>
          <w:rtl/>
        </w:rPr>
        <w:t>(דברים כב כז)</w:t>
      </w:r>
      <w:r>
        <w:rPr>
          <w:rFonts w:ascii="Arial" w:cs="Arial"/>
          <w:b/>
          <w:bCs/>
          <w:sz w:val="29"/>
          <w:szCs w:val="26"/>
          <w:rtl/>
        </w:rPr>
        <w:t xml:space="preserve"> כִּי בַשָּׂדֶה מְצָאָהּ וְגוֹמֵר, אֵת כָּל עֲבֹדָתָם זוֹ מִשְׁנָה, שִׁפְחָה קַדְמָאָה, וּבְרַיְיתָא שִׁפְחָה תִּנְיָינָא, אֲשֶׁר עָבְדוּ בָהֶם בְּפָרֶך ְדָּא פִּירְכָא, שִׁפְחָה תְּלִיתָאָה, וְהַכֹּל תָּלוּי עַד שֶׁיָּבֹא אֵלִיָּהוּ.</w:t>
      </w:r>
    </w:p>
    <w:p w:rsidR="006F705A" w:rsidRDefault="006F705A" w:rsidP="006F705A">
      <w:pPr>
        <w:spacing w:after="40" w:line="360" w:lineRule="atLeast"/>
        <w:ind w:left="144" w:right="144" w:firstLine="288"/>
        <w:jc w:val="both"/>
        <w:rPr>
          <w:rFonts w:ascii="Arial" w:cs="Arial"/>
          <w:b/>
          <w:bCs/>
          <w:sz w:val="29"/>
          <w:szCs w:val="26"/>
          <w:rtl/>
        </w:rPr>
      </w:pPr>
      <w:r>
        <w:rPr>
          <w:rStyle w:val="Char"/>
          <w:rFonts w:cs="Arial"/>
          <w:szCs w:val="26"/>
          <w:rtl/>
        </w:rPr>
        <w:t xml:space="preserve">קָם יְנוּקָא חֲדָא, פָּתַח וְאָמַר </w:t>
      </w:r>
      <w:r>
        <w:rPr>
          <w:rFonts w:ascii="Arial" w:cs="FrankRuehl"/>
          <w:b/>
          <w:rtl/>
        </w:rPr>
        <w:t>(איוב לב ו)</w:t>
      </w:r>
      <w:r>
        <w:rPr>
          <w:rFonts w:ascii="Arial" w:cs="Arial"/>
          <w:b/>
          <w:bCs/>
          <w:sz w:val="29"/>
          <w:szCs w:val="26"/>
          <w:rtl/>
        </w:rPr>
        <w:t xml:space="preserve"> צָעִיר אֲנִי לְיָמִים וְאַתֶּם יְשִׁישִׁים. בראשית.</w:t>
      </w:r>
    </w:p>
    <w:p w:rsidR="006F705A" w:rsidRDefault="006F705A" w:rsidP="006F705A">
      <w:pPr>
        <w:pStyle w:val="a8"/>
        <w:spacing w:before="0" w:after="40"/>
        <w:rPr>
          <w:rtl/>
        </w:rPr>
      </w:pPr>
      <w:bookmarkStart w:id="357" w:name="_Toc228091358"/>
      <w:bookmarkStart w:id="358" w:name="_Toc231637997"/>
    </w:p>
    <w:p w:rsidR="006F705A" w:rsidRDefault="006F705A" w:rsidP="0043727D">
      <w:pPr>
        <w:pStyle w:val="1"/>
        <w:rPr>
          <w:u w:val="single"/>
          <w:rtl/>
        </w:rPr>
      </w:pPr>
      <w:r>
        <w:rPr>
          <w:rtl/>
        </w:rPr>
        <w:t>תקונא עשיראה [מהדורה תנינא]</w:t>
      </w:r>
      <w:bookmarkEnd w:id="357"/>
      <w:bookmarkEnd w:id="358"/>
    </w:p>
    <w:p w:rsidR="006F705A" w:rsidRDefault="006F705A" w:rsidP="006F705A">
      <w:pPr>
        <w:pStyle w:val="aa"/>
        <w:spacing w:after="40"/>
        <w:rPr>
          <w:rtl/>
        </w:rPr>
      </w:pPr>
      <w:bookmarkStart w:id="359" w:name="_Toc228091359"/>
      <w:bookmarkStart w:id="360" w:name="_Toc231637998"/>
      <w:r>
        <w:rPr>
          <w:rtl/>
        </w:rPr>
        <w:t>(זהו תיקון ל')</w:t>
      </w:r>
      <w:bookmarkEnd w:id="359"/>
      <w:bookmarkEnd w:id="360"/>
    </w:p>
    <w:p w:rsidR="006F705A" w:rsidRDefault="006F705A" w:rsidP="006F705A">
      <w:pPr>
        <w:pStyle w:val="NormalWeb"/>
        <w:rPr>
          <w:rFonts w:cs="Arial"/>
          <w:szCs w:val="22"/>
          <w:rtl/>
        </w:rPr>
      </w:pPr>
      <w:r>
        <w:rPr>
          <w:rFonts w:cs="Arial"/>
          <w:szCs w:val="22"/>
          <w:rtl/>
        </w:rPr>
        <w:t>[י"א תיקונים מהדורא בתרא, קמו ע"א]</w:t>
      </w:r>
    </w:p>
    <w:p w:rsidR="006F705A" w:rsidRDefault="006F705A" w:rsidP="006F705A">
      <w:pPr>
        <w:pStyle w:val="NormalWeb"/>
        <w:rPr>
          <w:rFonts w:cs="Arial"/>
          <w:b w:val="0"/>
          <w:bCs w:val="0"/>
          <w:szCs w:val="26"/>
          <w:rtl/>
        </w:rPr>
      </w:pPr>
      <w:r>
        <w:rPr>
          <w:rStyle w:val="a7"/>
          <w:rFonts w:cs="Arial"/>
          <w:b w:val="0"/>
          <w:bCs w:val="0"/>
          <w:szCs w:val="26"/>
          <w:rtl/>
        </w:rPr>
        <w:footnoteReference w:id="5802"/>
      </w:r>
      <w:r>
        <w:rPr>
          <w:rFonts w:cs="Arial"/>
          <w:b w:val="0"/>
          <w:bCs w:val="0"/>
          <w:szCs w:val="26"/>
          <w:rtl/>
        </w:rPr>
        <w:t xml:space="preserve">בְּ''רֵאשִׁית בָּ''רָא אֱ''לֹהִים דָּא בָּבָ''א, וְאִינוּן תְּלַת בָּבֵי דְאִתְרְמִיזוּ בִּתְלַת אַנְפִּין בְּרֵא''שִׁית בָּרָ''א אֱ''לֹהִים, וַעֲלָהּ אִתְּמַר </w:t>
      </w:r>
      <w:r>
        <w:rPr>
          <w:b w:val="0"/>
          <w:sz w:val="20"/>
          <w:szCs w:val="23"/>
          <w:rtl/>
        </w:rPr>
        <w:t>(שמות כב ח)</w:t>
      </w:r>
      <w:r>
        <w:rPr>
          <w:rFonts w:cs="Arial"/>
          <w:b w:val="0"/>
          <w:bCs w:val="0"/>
          <w:szCs w:val="26"/>
          <w:rtl/>
        </w:rPr>
        <w:t xml:space="preserve"> עַל כָּל דְּבַר פֶּשַׁע </w:t>
      </w:r>
      <w:r>
        <w:rPr>
          <w:rStyle w:val="a7"/>
          <w:rFonts w:cs="Arial"/>
          <w:b w:val="0"/>
          <w:bCs w:val="0"/>
          <w:szCs w:val="26"/>
          <w:rtl/>
        </w:rPr>
        <w:footnoteReference w:id="5803"/>
      </w:r>
      <w:r>
        <w:rPr>
          <w:rFonts w:cs="Arial"/>
          <w:b w:val="0"/>
          <w:bCs w:val="0"/>
          <w:szCs w:val="26"/>
          <w:rtl/>
        </w:rPr>
        <w:t xml:space="preserve">עַל שׁוֹר </w:t>
      </w:r>
      <w:r>
        <w:rPr>
          <w:b w:val="0"/>
          <w:sz w:val="20"/>
          <w:szCs w:val="23"/>
          <w:rtl/>
        </w:rPr>
        <w:t>(קמו ע"א)</w:t>
      </w:r>
      <w:r>
        <w:rPr>
          <w:rFonts w:cs="Arial"/>
          <w:b w:val="0"/>
          <w:bCs w:val="0"/>
          <w:szCs w:val="26"/>
          <w:rtl/>
        </w:rPr>
        <w:t xml:space="preserve"> עַל חֲמוֹר עַל שֶׂה דָּא בָּבָא קַמָּא, עַל שַׂלְמָה עַל כָּל אֲבֵדָה אֲשֶׁר יֹאמַר כִּי הוּא זֶה דָּא בָּבָא מְצִיעָא, עַד הָאֱלֹקִים יָבֹא דְבַר שְׁנֵיהֶם דָא בָּבָא בַּתְרָא, </w:t>
      </w:r>
      <w:r>
        <w:rPr>
          <w:rStyle w:val="a7"/>
          <w:rFonts w:cs="Arial"/>
          <w:b w:val="0"/>
          <w:bCs w:val="0"/>
          <w:szCs w:val="26"/>
          <w:rtl/>
        </w:rPr>
        <w:footnoteReference w:id="5804"/>
      </w:r>
      <w:r>
        <w:rPr>
          <w:rFonts w:cs="Arial"/>
          <w:b w:val="0"/>
          <w:bCs w:val="0"/>
          <w:szCs w:val="26"/>
          <w:rtl/>
        </w:rPr>
        <w:t xml:space="preserve">עַל שׁוֹר בֵּיהּ מִתְוַכְּחִים מָארֵי מַתְנִיתִין דָּא עִם דָּא, וְאִית שׁוֹר וְאִית שׁוֹר, שׁוֹר תָּם וְשׁוֹר מוּעָד, וְאִית חֲמוֹר וְאִית חֲמוֹר, וְעַל אִלֵּין דְּסִטְרָא דִמְסָאֲבוּ אִתְּמַר בְּהוֹן </w:t>
      </w:r>
      <w:r>
        <w:rPr>
          <w:b w:val="0"/>
          <w:sz w:val="20"/>
          <w:szCs w:val="23"/>
          <w:rtl/>
        </w:rPr>
        <w:t>(דברים כב י)</w:t>
      </w:r>
      <w:r>
        <w:rPr>
          <w:rFonts w:cs="Arial"/>
          <w:b w:val="0"/>
          <w:bCs w:val="0"/>
          <w:szCs w:val="26"/>
          <w:rtl/>
        </w:rPr>
        <w:t xml:space="preserve"> לֹא תַחֲרוֹשׁ בְּשׁוֹר וּבַחֲמוֹר יַחְדָּו, וְיַעֲקֹב בְּגִינַיְיהוּ אָמַר </w:t>
      </w:r>
      <w:r>
        <w:rPr>
          <w:b w:val="0"/>
          <w:sz w:val="20"/>
          <w:szCs w:val="23"/>
          <w:rtl/>
        </w:rPr>
        <w:t>(בראשית לב ו)</w:t>
      </w:r>
      <w:r>
        <w:rPr>
          <w:rFonts w:cs="Arial"/>
          <w:b w:val="0"/>
          <w:bCs w:val="0"/>
          <w:szCs w:val="26"/>
          <w:rtl/>
        </w:rPr>
        <w:t xml:space="preserve"> וַיְהִי לִי שׁוֹר וַחֲמוֹר, צֹאן דָּא שֶׂה דְּאִתְּמַר בֵּיהּ עַל שֶׂה, וְעֶבֶד וְשִׁפְחָה דָא אִיהוּ עַל כָּל אֲבֵדָה.</w:t>
      </w:r>
    </w:p>
    <w:p w:rsidR="006F705A" w:rsidRDefault="006F705A" w:rsidP="006F705A">
      <w:pPr>
        <w:pStyle w:val="NormalWeb"/>
        <w:rPr>
          <w:rFonts w:cs="Arial"/>
          <w:b w:val="0"/>
          <w:bCs w:val="0"/>
          <w:szCs w:val="26"/>
          <w:rtl/>
        </w:rPr>
      </w:pPr>
      <w:r>
        <w:rPr>
          <w:rStyle w:val="a7"/>
          <w:rFonts w:cs="Arial"/>
          <w:b w:val="0"/>
          <w:bCs w:val="0"/>
          <w:szCs w:val="26"/>
          <w:rtl/>
        </w:rPr>
        <w:footnoteReference w:id="5805"/>
      </w:r>
      <w:r>
        <w:rPr>
          <w:rFonts w:cs="Arial"/>
          <w:b w:val="0"/>
          <w:bCs w:val="0"/>
          <w:szCs w:val="26"/>
          <w:rtl/>
        </w:rPr>
        <w:t xml:space="preserve">וְשׁוֹר מוּעָד, אַרְבָּעָה וְעֶשְׂרִים תּוֹלָדוֹת דִּנְזִיקִין תַּלְיָין מִנֵּיהּ, וְכֻלְּהוּ תַלְיָין מֵאַרְבַּע אָבוֹת דְּאִינוּן קֶרֶן וְשֵׁן וְגוּף וְרֶגֶל, נְגִיחָה בְּקֶרֶן, שֵׁן דְּהוּא אָכִיל וּמְהַדֵק הַכָּל, רָבְצָה בְּגוּפָא עַל מָאנֵי וְתַבַּר לוֹן, וְלֵית מָאנֵי אֶלָּא תַּלְמִידֵי חֲכָמִים, וְכֵן הִזִּיק בְּרַגְלָיו, וְכֻלְּהוּ בְּמַתְנִיתִין אִתְּמַר, </w:t>
      </w:r>
      <w:r>
        <w:rPr>
          <w:rStyle w:val="a7"/>
          <w:rFonts w:cs="Arial"/>
          <w:b w:val="0"/>
          <w:bCs w:val="0"/>
          <w:szCs w:val="26"/>
          <w:rtl/>
        </w:rPr>
        <w:footnoteReference w:id="5806"/>
      </w:r>
      <w:r>
        <w:rPr>
          <w:rFonts w:cs="Arial"/>
          <w:b w:val="0"/>
          <w:bCs w:val="0"/>
          <w:szCs w:val="26"/>
          <w:rtl/>
        </w:rPr>
        <w:t xml:space="preserve">חֲמוֹר אִיהוּ חָמוּר בְּחוּמְרָא דְמַתְנִיתִין, וְתַלְמִיד חָכָם דְּשַׁלִּיט עֲלֵיהּ אִתְּמַר בֵּיהּ עָנִי וְרוֹכֵב עַל חֲמוֹר, וּמַאי נִיהוּ דְשַׁלִּיט עֲלֵיהּ, חָ כָם מ וּפְלָא וְ רַב רַ בָּנָן דָּא שַׁלִּיט עֲלֵיהּ, אֲבָל אָחֳרָא אִיהוּ מְחַמְּרָא בַּתְרֵיהּ בְּחוּמְרָא דְמַתְנִיתִין, וְכֵן שׁוֹר נָגַח לוֹן בְּמַחֲלֹקֶת, וְנַשִּׁיךְ לוֹן בְּקַרְנוֹי, וְרָבִיץ עֲלַיְיהוּ וְתַבַּר לוֹן, וְדָא אִיהוּ מַחֲלֹקֶת, </w:t>
      </w:r>
      <w:r>
        <w:rPr>
          <w:rStyle w:val="a7"/>
          <w:rFonts w:cs="Arial"/>
          <w:b w:val="0"/>
          <w:bCs w:val="0"/>
          <w:szCs w:val="26"/>
          <w:rtl/>
        </w:rPr>
        <w:footnoteReference w:id="5807"/>
      </w:r>
      <w:r>
        <w:rPr>
          <w:rFonts w:cs="Arial"/>
          <w:b w:val="0"/>
          <w:bCs w:val="0"/>
          <w:szCs w:val="26"/>
          <w:rtl/>
        </w:rPr>
        <w:t xml:space="preserve">וְכֵן בְּרֶגֶל תַּבַּר מָאנִין, וּבְגִין דָּא בְּשׁוֹר וּבַחֲמוֹר דְּאִינוּן מְמַנָּן דְּעִשָׂו וְיִשְׁמָעִאל, יֵתוּן רְכִיבִין עֲלַיְיהוּ תְּרֵין מְשִׁיחִין וְשָׁלְטִין עֲלַיְיהוּ, וּמָארֵי מַתְנִיתִין שָׁלְטִין עֲלַיְיהוּ, וַעֲלַיְיהוּ אָמַר יַעֲקֹב וַיְהִי לִי שׁוֹר וַחֲמוֹר דְּשַׁלִּיט עֲלַיְיהוּ, בְּתַלְמוּדָא וּבְמֶדְרָשִׁים, וּבִקְשִׁירוּ דִתְּפִלִּין וְצִיצִית שַׁלִּיט עֲלַיְיהוּ, דְּאִינוּן מוּעָדִים לְקַלְקֵל, דְּאִתְּמַר בְּהוֹן </w:t>
      </w:r>
      <w:r>
        <w:rPr>
          <w:b w:val="0"/>
          <w:sz w:val="20"/>
          <w:szCs w:val="23"/>
          <w:rtl/>
        </w:rPr>
        <w:t>(שמות א יד)</w:t>
      </w:r>
      <w:r>
        <w:rPr>
          <w:rFonts w:cs="Arial"/>
          <w:b w:val="0"/>
          <w:bCs w:val="0"/>
          <w:szCs w:val="26"/>
          <w:rtl/>
        </w:rPr>
        <w:t xml:space="preserve"> וַיְמָרְרוּ אֶת חַיֵּיהֶם בַּעֲבֹדָה קָשָׁה בְּחֹמֶר וּבִלְבֵנִים.</w:t>
      </w:r>
    </w:p>
    <w:p w:rsidR="006F705A" w:rsidRDefault="006F705A" w:rsidP="006F705A">
      <w:pPr>
        <w:pStyle w:val="NormalWeb"/>
        <w:rPr>
          <w:rFonts w:cs="Arial"/>
          <w:b w:val="0"/>
          <w:bCs w:val="0"/>
          <w:szCs w:val="26"/>
          <w:rtl/>
        </w:rPr>
      </w:pPr>
      <w:r>
        <w:rPr>
          <w:rFonts w:cs="Arial"/>
          <w:b w:val="0"/>
          <w:bCs w:val="0"/>
          <w:szCs w:val="26"/>
          <w:rtl/>
        </w:rPr>
        <w:t xml:space="preserve">מִיָּד נָפַק קָלָא וְאָמַר, אַנְחוּ לֵיהּ לַיְנוֹקָא וִיסַלֵּיק לְאַתְרֵיהּ, דְּהָא שִׁתִּין הֲלָכוֹת דְּאִינוּן שִׁשִּׁים הֵמָּה מְלָכוֹת תַּלְיָין בְּאַוִּירָא, וְאִיהוּ אָתֵי לְסָלְקָא לוֹן לְאַתְרַיְיהוּ, מִיָּד פָּרַח וְלָא חָזוּ מִדֵּי, אָמַר רַבִּי שִׁמְעוֹן וַדַּאי דָּא אִיהוּ תִּינוֹק יוֹנֵק מִשְּׁדֵי אִמּוֹ, וְדָא נַעַר, דְּאִיהוּ אַנְהִיג אַרְבִּין בְּיַמָּא, דְאִינוּן תַּלְמִידֵי חֲכָמִים דְּאָזְלִין בְּיַמָּא דְאוֹרַיְיתָא, בְּאַרְבַּע רוּחִין, דִּי בְהוֹן אִתְּמַר </w:t>
      </w:r>
      <w:r>
        <w:rPr>
          <w:b w:val="0"/>
          <w:sz w:val="20"/>
          <w:szCs w:val="23"/>
          <w:rtl/>
        </w:rPr>
        <w:t>(יחזקאל לז ט)</w:t>
      </w:r>
      <w:r>
        <w:rPr>
          <w:rFonts w:cs="Arial"/>
          <w:b w:val="0"/>
          <w:bCs w:val="0"/>
          <w:szCs w:val="26"/>
          <w:rtl/>
        </w:rPr>
        <w:t xml:space="preserve"> כֹּה אָמַר יהו''ה מֵאַרְבַּע רוּחוֹת בֹּאִי הָרוּחַ, וְאִית אַרְבַּע רוּחִין אָחֳרָנִין מִסִּטְרָא דְשָׂטָן דְּאַתְיָין בְּקוּשְׁיָא וּמַחֲלוֹקֶת, וְטָבְעִין סְפִינוֹת דְּאִינוּן תַּלְמִידֵי חֲכָמִים בְּיַמָּא דְאוֹרַיְיתָא, וְלָא יָכְלִין לְנָפְקָא מִתַּמָּן, וְגַלְגַּלִּין סָלְקִין וְנָחֲתִין בְּהוֹן.</w:t>
      </w:r>
    </w:p>
    <w:p w:rsidR="006F705A" w:rsidRDefault="006F705A" w:rsidP="006F705A">
      <w:pPr>
        <w:pStyle w:val="NormalWeb"/>
        <w:rPr>
          <w:rFonts w:cs="Arial"/>
          <w:b w:val="0"/>
          <w:bCs w:val="0"/>
          <w:szCs w:val="26"/>
          <w:rtl/>
        </w:rPr>
      </w:pPr>
      <w:r>
        <w:rPr>
          <w:rFonts w:cs="Arial"/>
          <w:b w:val="0"/>
          <w:bCs w:val="0"/>
          <w:szCs w:val="26"/>
          <w:rtl/>
        </w:rPr>
        <w:t xml:space="preserve">אַדְהָכִי הָא יְנוֹקָא קָא נָחִית, פָּתַח וְאָמַר בּוֹצִינָא קַדִּישָׁא פְּתַח פִּיךָ בְּאוֹרַיְיתָא, דְהָא פִּימָךְ אִיהִי סִינַי, קָלִין וַהֲבָלִין דְּנָפְקִין מִפּוּמָךְ עֲלַיְיהוּ אִתְּמַר </w:t>
      </w:r>
      <w:r>
        <w:rPr>
          <w:b w:val="0"/>
          <w:sz w:val="20"/>
          <w:szCs w:val="23"/>
          <w:rtl/>
        </w:rPr>
        <w:t>(שמות כ יח)</w:t>
      </w:r>
      <w:r>
        <w:rPr>
          <w:rFonts w:cs="Arial"/>
          <w:b w:val="0"/>
          <w:bCs w:val="0"/>
          <w:szCs w:val="26"/>
          <w:rtl/>
        </w:rPr>
        <w:t xml:space="preserve"> וְכָל הָעָם רֹאִים אֶת הַקּוֹלֹת וְאֶת הַלַּפִּידִים וְגוֹמֵר, וְכֻלְּהוּ צַיְיתִין לְמִלּוּלָךְ עִלָּאִין וְתַתָּאִין, דְּאִינוּן שִׁתִּין רִבּוֹא דִמְתִיבְתָּא עִלָּאָה, וְשִׁתִּין רִבּוֹא דִמְתִיבְתָּא תַּתָּאָה, וְאַנְתְּ אִיהוּ בְּדִיּוֹקְנָא דְמָארָךְ, דִּבְזִמְנָא דְפָתַח בְּאָנֹכִי שׁוֹר לָא נָגַח אַרְיֵה לָא שָׁאַג עוֹף דְּאִיהוּ נִשְׁרָא לָא פָּרַח, וְכָל חֲיָילִין דְּתַלְיָין מִנַּיְיהוּ בְּכָרְסַיָּיא יְקָרָא, וְאָדָם לָשֶׁבֶת עַל כָּרְסַיָּיא דְאִיהוּ קוּדְשָׁא בְּרִיךְ הוּא, אִיהוּ צַיִּית לְמִלִּין דִּילָךְ, בְּגִין דְּמַטְרוֹנִיתָא דִילָהּ דְּאִיהִי אוֹרַיְיתָא קַדִּישָׁא סָלִיק בְּפוּמָךְ.</w:t>
      </w:r>
    </w:p>
    <w:p w:rsidR="006F705A" w:rsidRDefault="006F705A" w:rsidP="006F705A">
      <w:pPr>
        <w:pStyle w:val="a8"/>
        <w:spacing w:before="0" w:after="40"/>
        <w:rPr>
          <w:rtl/>
        </w:rPr>
      </w:pPr>
      <w:bookmarkStart w:id="361" w:name="_Toc228091360"/>
      <w:bookmarkStart w:id="362" w:name="_Toc231637999"/>
    </w:p>
    <w:p w:rsidR="006F705A" w:rsidRDefault="006F705A" w:rsidP="0043727D">
      <w:pPr>
        <w:pStyle w:val="1"/>
        <w:rPr>
          <w:u w:val="single"/>
          <w:rtl/>
        </w:rPr>
      </w:pPr>
      <w:r>
        <w:rPr>
          <w:rtl/>
        </w:rPr>
        <w:t>תקונא אחת עשרה [מהדורה תנינא]</w:t>
      </w:r>
      <w:bookmarkEnd w:id="361"/>
      <w:bookmarkEnd w:id="362"/>
    </w:p>
    <w:p w:rsidR="006F705A" w:rsidRDefault="006F705A" w:rsidP="006F705A">
      <w:pPr>
        <w:pStyle w:val="aa"/>
        <w:spacing w:after="40"/>
        <w:rPr>
          <w:rtl/>
        </w:rPr>
      </w:pPr>
      <w:bookmarkStart w:id="363" w:name="_Toc228091361"/>
      <w:bookmarkStart w:id="364" w:name="_Toc231638000"/>
      <w:r>
        <w:rPr>
          <w:rtl/>
        </w:rPr>
        <w:t>(זהו תיקון ל''א)</w:t>
      </w:r>
      <w:bookmarkEnd w:id="363"/>
      <w:bookmarkEnd w:id="364"/>
    </w:p>
    <w:p w:rsidR="006F705A" w:rsidRDefault="006F705A" w:rsidP="006F705A">
      <w:pPr>
        <w:pStyle w:val="NormalWeb"/>
        <w:rPr>
          <w:rFonts w:cs="Arial"/>
          <w:szCs w:val="22"/>
          <w:rtl/>
        </w:rPr>
      </w:pPr>
      <w:r>
        <w:rPr>
          <w:rFonts w:cs="Arial"/>
          <w:szCs w:val="22"/>
          <w:rtl/>
        </w:rPr>
        <w:t>[י"א תיקונים מהדורא בתרא, קמו ע"ב]</w:t>
      </w:r>
    </w:p>
    <w:p w:rsidR="006F705A" w:rsidRDefault="006F705A" w:rsidP="006F705A">
      <w:pPr>
        <w:pStyle w:val="NormalWeb"/>
        <w:rPr>
          <w:rFonts w:cs="Arial"/>
          <w:b w:val="0"/>
          <w:bCs w:val="0"/>
          <w:szCs w:val="26"/>
          <w:rtl/>
        </w:rPr>
      </w:pPr>
      <w:r>
        <w:rPr>
          <w:rStyle w:val="a7"/>
          <w:rFonts w:cs="Arial"/>
          <w:b w:val="0"/>
          <w:bCs w:val="0"/>
          <w:szCs w:val="26"/>
          <w:rtl/>
        </w:rPr>
        <w:footnoteReference w:id="5808"/>
      </w:r>
      <w:r>
        <w:rPr>
          <w:rFonts w:cs="Arial"/>
          <w:b w:val="0"/>
          <w:bCs w:val="0"/>
          <w:szCs w:val="26"/>
          <w:rtl/>
        </w:rPr>
        <w:t xml:space="preserve">מִיָּד פָּתַח וְאָמַר, בְּרֵאשִׁית, בָּרָא שִׁית, וְאִינוּן שִׁית יַמִּים בָּרָא אלהי''ם, מַאי אלהי''ם יַמָּא שְׁבִיעָאָה, וְרָזָא דְמִלָּה </w:t>
      </w:r>
      <w:r>
        <w:rPr>
          <w:b w:val="0"/>
          <w:sz w:val="20"/>
          <w:szCs w:val="23"/>
          <w:rtl/>
        </w:rPr>
        <w:t>(קהלת א ז)</w:t>
      </w:r>
      <w:r>
        <w:rPr>
          <w:rFonts w:cs="Arial"/>
          <w:b w:val="0"/>
          <w:bCs w:val="0"/>
          <w:szCs w:val="26"/>
          <w:rtl/>
        </w:rPr>
        <w:t xml:space="preserve"> כָּל הַנְּחָלִים הוֹלְכִים אֶל הַיָּם, וְהַיָּם אֵינֶנּוּ מָלֵא. </w:t>
      </w:r>
      <w:r>
        <w:rPr>
          <w:b w:val="0"/>
          <w:sz w:val="20"/>
          <w:szCs w:val="23"/>
          <w:rtl/>
        </w:rPr>
        <w:t>(קמו ע"ב)</w:t>
      </w:r>
      <w:r>
        <w:rPr>
          <w:rFonts w:cs="Arial"/>
          <w:b w:val="0"/>
          <w:bCs w:val="0"/>
          <w:szCs w:val="26"/>
          <w:rtl/>
        </w:rPr>
        <w:t xml:space="preserve"> וְשָׁם נוּנִין דְּרַחֲשִׁין בְּיַמָּא דְאוֹרַיְיתָא, עֲלַיְיהוּ אִתְּמַר </w:t>
      </w:r>
      <w:r>
        <w:rPr>
          <w:b w:val="0"/>
          <w:sz w:val="20"/>
          <w:szCs w:val="23"/>
          <w:rtl/>
        </w:rPr>
        <w:t>(תהלים קד כה)</w:t>
      </w:r>
      <w:r>
        <w:rPr>
          <w:rFonts w:cs="Arial"/>
          <w:b w:val="0"/>
          <w:bCs w:val="0"/>
          <w:szCs w:val="26"/>
          <w:rtl/>
        </w:rPr>
        <w:t xml:space="preserve"> שָׁם רֶמֶשׂ וְאֵין מִסְפָּר חַיּוֹת קְטַנּוֹת עִם גְּדוֹלוֹת, </w:t>
      </w:r>
      <w:r>
        <w:rPr>
          <w:rStyle w:val="a7"/>
          <w:rFonts w:cs="Arial"/>
          <w:b w:val="0"/>
          <w:bCs w:val="0"/>
          <w:szCs w:val="26"/>
          <w:rtl/>
        </w:rPr>
        <w:footnoteReference w:id="5809"/>
      </w:r>
      <w:r>
        <w:rPr>
          <w:rFonts w:cs="Arial"/>
          <w:b w:val="0"/>
          <w:bCs w:val="0"/>
          <w:szCs w:val="26"/>
          <w:rtl/>
        </w:rPr>
        <w:t xml:space="preserve">וְכֻלְּהוּ שָׁאֲגִין עַל טַרְפִין, וּשְׁכִינְתָּא אִתְּמַר בָּהּ </w:t>
      </w:r>
      <w:r>
        <w:rPr>
          <w:b w:val="0"/>
          <w:sz w:val="20"/>
          <w:szCs w:val="23"/>
          <w:rtl/>
        </w:rPr>
        <w:t>(משלי לא ו)</w:t>
      </w:r>
      <w:r>
        <w:rPr>
          <w:rFonts w:cs="Arial"/>
          <w:b w:val="0"/>
          <w:bCs w:val="0"/>
          <w:szCs w:val="26"/>
          <w:rtl/>
        </w:rPr>
        <w:t xml:space="preserve"> וַתִּתֵּן טֶרֶף לְבֵיתָהּ וְחֹק לְנַעֲרֹתֶיהָ, כָּל הַנְּחָלִים דְּאָזְלִין לְיַמָּא הָא שֶׁבַע אִינוּן, וְאִינוּן שֶׁבַע נְעָרוֹת הָרְאוּיוֹת לָתֶת לָהּ לְאִימָּא קַדִּישָׁא דְאִיהִי בַּת שֶׁבַע, יָם אוֹקְיָנוֹס כְּלִילָא מִשֶּׁבַע יַמִּים, וְאַמַּאי אִתְקְרִיאַת אוֹקְיָינוֹס, בְּגִין דְּכָל מִינֵי מַיָּא וְנוּנִין וְרַחֲשִׁין דְּלַאו אִינוּן דִּילָהּ, וְיֵתוּן לְאַעָלָא בָּהּ, אִיהִי מֵקִיא לוֹן, וּמִתַּמָּן הֵם שָׁבִים לָלֶכֶת, כְּגַוְונָא דְתֵיבַת נֹחַ דְּלָא הֲוָה מְקַבְּלָא מִמִּינָא אַחֲרָא, אֶלָּא מֵאִלֵּין דְּמַנִּי קוּדְשָׁא בְּרִיךְ הוּא, וּבְגִין דָּא כָּל הַנְּחָלִים דְּאִינוּן תַּלְמִידֵי חֲכָמִים כֻּלְּהוּ מִשְׁתַּדְלֵי בְּאוֹרַיְיתָא הוֹלְכִים אֶל הַיָּם, וּבָעָאן לְאַעָלָא לִשְׁכִינְתָּא, וְאִיהִי לָא מְקַבְּלָא לוֹן בְּגַוָּוהּ, אֶלָּא לְאִלֵּין דְּמַנִּי קוּדְשָׁא בְּרִיךְ הוּא לְאַעָלָא לְגַבָּהּ </w:t>
      </w:r>
      <w:r>
        <w:rPr>
          <w:b w:val="0"/>
          <w:sz w:val="20"/>
          <w:szCs w:val="23"/>
          <w:rtl/>
        </w:rPr>
        <w:t>(נ''א בגווה)</w:t>
      </w:r>
      <w:r>
        <w:rPr>
          <w:rFonts w:cs="Arial"/>
          <w:b w:val="0"/>
          <w:bCs w:val="0"/>
          <w:szCs w:val="26"/>
          <w:rtl/>
        </w:rPr>
        <w:t>, דְּאִינוּן שֶׁבַע רוֹעִים, וּלְשִׁבְטִין דְּנָפְקִין מִנַּיְיהוּ, וּלְכָל דְּאַתְיָין מִסִּטְרַיְיהוּ וְיִתְעָרְבוּן בְּהוֹן, יַמָּא קַבִּילַת לוֹן וְיִתְעָרְבוּן בְּגַוָּוהּ, אֲבָל לְאָחֳרָנִין לָא קַבִּילַת לוֹן, וּמִתַּמָּן אִינוּן שָׁבִין לָלֶכֶת.</w:t>
      </w:r>
    </w:p>
    <w:p w:rsidR="006F705A" w:rsidRDefault="006F705A" w:rsidP="006F705A">
      <w:pPr>
        <w:pStyle w:val="NormalWeb"/>
        <w:rPr>
          <w:rFonts w:cs="Arial"/>
          <w:b w:val="0"/>
          <w:bCs w:val="0"/>
          <w:szCs w:val="26"/>
          <w:rtl/>
        </w:rPr>
      </w:pPr>
      <w:r>
        <w:rPr>
          <w:rFonts w:cs="Arial"/>
          <w:b w:val="0"/>
          <w:bCs w:val="0"/>
          <w:szCs w:val="26"/>
          <w:rtl/>
        </w:rPr>
        <w:t xml:space="preserve">דְּוַדַּאי אִיהוּ ה' יַמָּא, נַחַל דִּילָהּ ו', כָּל אִינוּן דְּיָרְתִין נִשְׁמָתִין מִן יַמָּא וְנַחַל דִּילָהּ, בִּדְחִילוּ וּרְחִימוּ דְי''ה, </w:t>
      </w:r>
      <w:r>
        <w:rPr>
          <w:rStyle w:val="a7"/>
          <w:rFonts w:cs="Arial"/>
          <w:b w:val="0"/>
          <w:bCs w:val="0"/>
          <w:szCs w:val="26"/>
          <w:rtl/>
        </w:rPr>
        <w:footnoteReference w:id="5810"/>
      </w:r>
      <w:r>
        <w:rPr>
          <w:rFonts w:cs="Arial"/>
          <w:b w:val="0"/>
          <w:bCs w:val="0"/>
          <w:szCs w:val="26"/>
          <w:rtl/>
        </w:rPr>
        <w:t>אִיהִי קַבִּילַת לוֹן, וְאָחֳרָנִין דְּלַאו אִינוּן חֵלֶק יהו''ה אִיהִי לָא קַבִּילַת לוֹן, וְדַחְיָא לוֹן מִתַּמָּן, וּמִתַּמָּן הֵם שָׁבִים לָלֶכֶת. קָמוּ כֻּלְּהוּ וּבָרִיכוּ לֵיהּ, וְאָמְרוּ פּוּמָא דִשְׁכִינְתָּא, סִינַי סִינַי, זַכָּאִין אוּדְנִין דְּשָׁמְעִין מִלִּין אִלֵּין מִפּוּמָךְ.</w:t>
      </w:r>
    </w:p>
    <w:p w:rsidR="006F705A" w:rsidRDefault="006F705A" w:rsidP="006F705A">
      <w:pPr>
        <w:pStyle w:val="ae"/>
        <w:spacing w:after="40"/>
        <w:rPr>
          <w:rtl/>
        </w:rPr>
      </w:pPr>
      <w:r>
        <w:rPr>
          <w:rtl/>
        </w:rPr>
        <w:t>אמר המגיה ע''כ מצאתי, ואולי אלו הי''א תקונים הם בכלל השבעים אלא שלא הושמו איש על ידו לדגליהם, וכבר מצאתי לקוטים אחרים, ולפי שלבי אמר לי שאינם מכלל התקונים רק מאמרים מפוזרים מספר הזהר, הבדלתי אותם לי למשמרת עד אשר אראה מה יהיו, ואם יהיה אלקים עמדי והנחני בדרך אמת עוד אוסיף להדפיס דברים יקרים ונוראים שלא נראו בגלוי עד היום הזה, וברוך י''י אשר לא הסיר תפלתי וחסדו מאתי שגלגל זכות זה על ידי.</w:t>
      </w:r>
    </w:p>
    <w:p w:rsidR="00007309" w:rsidRDefault="006F705A" w:rsidP="00007309">
      <w:pPr>
        <w:pStyle w:val="1"/>
        <w:spacing w:after="40" w:line="360" w:lineRule="atLeast"/>
        <w:ind w:left="144" w:right="144" w:firstLine="288"/>
        <w:rPr>
          <w:rtl/>
        </w:rPr>
      </w:pPr>
      <w:r>
        <w:rPr>
          <w:rtl/>
        </w:rPr>
        <w:t>תם ונשלם - שבח לאל בורא עולם</w:t>
      </w:r>
    </w:p>
    <w:p w:rsidR="00007309" w:rsidRPr="00007309" w:rsidRDefault="00156DAD" w:rsidP="00007309">
      <w:pPr>
        <w:spacing w:before="100" w:after="100"/>
        <w:jc w:val="both"/>
        <w:rPr>
          <w:rFonts w:cs="Arial"/>
          <w:rtl/>
        </w:rPr>
      </w:pPr>
      <w:hyperlink w:anchor="כאן" w:history="1">
        <w:r w:rsidR="00007309" w:rsidRPr="00007309">
          <w:rPr>
            <w:rFonts w:cs="Arial" w:hint="eastAsia"/>
            <w:color w:val="0000FF"/>
            <w:u w:val="single"/>
            <w:rtl/>
          </w:rPr>
          <w:t>כאן</w:t>
        </w:r>
      </w:hyperlink>
      <w:r w:rsidR="00007309" w:rsidRPr="00007309">
        <w:rPr>
          <w:rFonts w:cs="Arial" w:hint="cs"/>
          <w:rtl/>
        </w:rPr>
        <w:tab/>
      </w:r>
      <w:hyperlink w:anchor="כאן_בלימוד" w:history="1">
        <w:r w:rsidR="00007309" w:rsidRPr="00007309">
          <w:rPr>
            <w:rFonts w:cs="Arial"/>
            <w:color w:val="0000FF"/>
            <w:u w:val="single"/>
            <w:rtl/>
          </w:rPr>
          <w:t>כאן_בלימוד</w:t>
        </w:r>
      </w:hyperlink>
      <w:r w:rsidR="00007309" w:rsidRPr="00007309">
        <w:rPr>
          <w:rFonts w:cs="Arial"/>
          <w:rtl/>
        </w:rPr>
        <w:fldChar w:fldCharType="begin"/>
      </w:r>
      <w:r w:rsidR="00007309" w:rsidRPr="00007309">
        <w:rPr>
          <w:rFonts w:cs="Arial"/>
          <w:rtl/>
        </w:rPr>
        <w:instrText xml:space="preserve"> </w:instrText>
      </w:r>
      <w:r w:rsidR="00007309" w:rsidRPr="00007309">
        <w:rPr>
          <w:rFonts w:cs="Arial"/>
        </w:rPr>
        <w:instrText>REF</w:instrText>
      </w:r>
      <w:r w:rsidR="00007309" w:rsidRPr="00007309">
        <w:rPr>
          <w:rFonts w:cs="Arial"/>
          <w:rtl/>
        </w:rPr>
        <w:instrText xml:space="preserve"> כאן_בלימוד \</w:instrText>
      </w:r>
      <w:r w:rsidR="00007309" w:rsidRPr="00007309">
        <w:rPr>
          <w:rFonts w:cs="Arial"/>
        </w:rPr>
        <w:instrText>h</w:instrText>
      </w:r>
      <w:r w:rsidR="00007309" w:rsidRPr="00007309">
        <w:rPr>
          <w:rFonts w:cs="Arial"/>
          <w:rtl/>
        </w:rPr>
        <w:instrText xml:space="preserve"> </w:instrText>
      </w:r>
      <w:r w:rsidR="00007309" w:rsidRPr="00007309">
        <w:rPr>
          <w:rFonts w:cs="Arial"/>
          <w:rtl/>
        </w:rPr>
      </w:r>
      <w:r w:rsidR="00007309" w:rsidRPr="00007309">
        <w:rPr>
          <w:rFonts w:cs="Arial"/>
          <w:rtl/>
        </w:rPr>
        <w:fldChar w:fldCharType="end"/>
      </w:r>
      <w:r w:rsidR="00007309" w:rsidRPr="00007309">
        <w:rPr>
          <w:rFonts w:cs="Arial"/>
          <w:rtl/>
        </w:rPr>
        <w:fldChar w:fldCharType="begin"/>
      </w:r>
      <w:r w:rsidR="00007309" w:rsidRPr="00007309">
        <w:rPr>
          <w:rFonts w:cs="Arial"/>
          <w:rtl/>
        </w:rPr>
        <w:instrText xml:space="preserve"> </w:instrText>
      </w:r>
      <w:r w:rsidR="00007309" w:rsidRPr="00007309">
        <w:rPr>
          <w:rFonts w:cs="Arial"/>
        </w:rPr>
        <w:instrText>REF</w:instrText>
      </w:r>
      <w:r w:rsidR="00007309" w:rsidRPr="00007309">
        <w:rPr>
          <w:rFonts w:cs="Arial"/>
          <w:rtl/>
        </w:rPr>
        <w:instrText xml:space="preserve"> כאן_בלימוד \</w:instrText>
      </w:r>
      <w:r w:rsidR="00007309" w:rsidRPr="00007309">
        <w:rPr>
          <w:rFonts w:cs="Arial"/>
        </w:rPr>
        <w:instrText>h</w:instrText>
      </w:r>
      <w:r w:rsidR="00007309" w:rsidRPr="00007309">
        <w:rPr>
          <w:rFonts w:cs="Arial"/>
          <w:rtl/>
        </w:rPr>
        <w:instrText xml:space="preserve"> </w:instrText>
      </w:r>
      <w:r w:rsidR="00007309" w:rsidRPr="00007309">
        <w:rPr>
          <w:rFonts w:cs="Arial"/>
          <w:rtl/>
        </w:rPr>
      </w:r>
      <w:r w:rsidR="00007309" w:rsidRPr="00007309">
        <w:rPr>
          <w:rFonts w:cs="Arial"/>
          <w:rtl/>
        </w:rPr>
        <w:fldChar w:fldCharType="end"/>
      </w:r>
      <w:r w:rsidR="00007309" w:rsidRPr="00007309">
        <w:rPr>
          <w:rFonts w:cs="Arial"/>
          <w:rtl/>
        </w:rPr>
        <w:fldChar w:fldCharType="begin"/>
      </w:r>
      <w:r w:rsidR="00007309" w:rsidRPr="00007309">
        <w:rPr>
          <w:rFonts w:cs="Arial"/>
          <w:rtl/>
        </w:rPr>
        <w:instrText xml:space="preserve"> </w:instrText>
      </w:r>
      <w:r w:rsidR="00007309" w:rsidRPr="00007309">
        <w:rPr>
          <w:rFonts w:cs="Arial"/>
        </w:rPr>
        <w:instrText>REF</w:instrText>
      </w:r>
      <w:r w:rsidR="00007309" w:rsidRPr="00007309">
        <w:rPr>
          <w:rFonts w:cs="Arial"/>
          <w:rtl/>
        </w:rPr>
        <w:instrText xml:space="preserve"> כאן_בלימוד \</w:instrText>
      </w:r>
      <w:r w:rsidR="00007309" w:rsidRPr="00007309">
        <w:rPr>
          <w:rFonts w:cs="Arial"/>
        </w:rPr>
        <w:instrText>h</w:instrText>
      </w:r>
      <w:r w:rsidR="00007309" w:rsidRPr="00007309">
        <w:rPr>
          <w:rFonts w:cs="Arial"/>
          <w:rtl/>
        </w:rPr>
        <w:instrText xml:space="preserve"> </w:instrText>
      </w:r>
      <w:r w:rsidR="00007309" w:rsidRPr="00007309">
        <w:rPr>
          <w:rFonts w:cs="Arial"/>
          <w:rtl/>
        </w:rPr>
      </w:r>
      <w:r w:rsidR="00007309" w:rsidRPr="00007309">
        <w:rPr>
          <w:rFonts w:cs="Arial"/>
          <w:rtl/>
        </w:rPr>
        <w:fldChar w:fldCharType="end"/>
      </w:r>
      <w:r w:rsidR="00007309" w:rsidRPr="00007309">
        <w:rPr>
          <w:rFonts w:cs="Arial"/>
          <w:rtl/>
        </w:rPr>
        <w:fldChar w:fldCharType="begin"/>
      </w:r>
      <w:r w:rsidR="00007309" w:rsidRPr="00007309">
        <w:rPr>
          <w:rFonts w:cs="Arial"/>
          <w:rtl/>
        </w:rPr>
        <w:instrText xml:space="preserve"> </w:instrText>
      </w:r>
      <w:r w:rsidR="00007309" w:rsidRPr="00007309">
        <w:rPr>
          <w:rFonts w:cs="Arial" w:hint="cs"/>
        </w:rPr>
        <w:instrText>REF</w:instrText>
      </w:r>
      <w:r w:rsidR="00007309" w:rsidRPr="00007309">
        <w:rPr>
          <w:rFonts w:cs="Arial" w:hint="cs"/>
          <w:rtl/>
        </w:rPr>
        <w:instrText xml:space="preserve"> כאן_בלימוד \</w:instrText>
      </w:r>
      <w:r w:rsidR="00007309" w:rsidRPr="00007309">
        <w:rPr>
          <w:rFonts w:cs="Arial" w:hint="cs"/>
        </w:rPr>
        <w:instrText>h</w:instrText>
      </w:r>
      <w:r w:rsidR="00007309" w:rsidRPr="00007309">
        <w:rPr>
          <w:rFonts w:cs="Arial"/>
          <w:rtl/>
        </w:rPr>
        <w:instrText xml:space="preserve"> </w:instrText>
      </w:r>
      <w:r w:rsidR="00007309" w:rsidRPr="00007309">
        <w:rPr>
          <w:rFonts w:cs="Arial"/>
          <w:rtl/>
        </w:rPr>
      </w:r>
      <w:r w:rsidR="00007309" w:rsidRPr="00007309">
        <w:rPr>
          <w:rFonts w:cs="Arial"/>
          <w:rtl/>
        </w:rPr>
        <w:fldChar w:fldCharType="end"/>
      </w:r>
      <w:r w:rsidR="00007309" w:rsidRPr="00007309">
        <w:rPr>
          <w:rFonts w:cs="Arial"/>
          <w:rtl/>
        </w:rPr>
        <w:fldChar w:fldCharType="begin"/>
      </w:r>
      <w:r w:rsidR="00007309" w:rsidRPr="00007309">
        <w:rPr>
          <w:rFonts w:cs="Arial"/>
          <w:rtl/>
        </w:rPr>
        <w:instrText xml:space="preserve"> </w:instrText>
      </w:r>
      <w:r w:rsidR="00007309" w:rsidRPr="00007309">
        <w:rPr>
          <w:rFonts w:cs="Arial"/>
        </w:rPr>
        <w:instrText>REF</w:instrText>
      </w:r>
      <w:r w:rsidR="00007309" w:rsidRPr="00007309">
        <w:rPr>
          <w:rFonts w:cs="Arial"/>
          <w:rtl/>
        </w:rPr>
        <w:instrText xml:space="preserve"> כאן_בלימוד \</w:instrText>
      </w:r>
      <w:r w:rsidR="00007309" w:rsidRPr="00007309">
        <w:rPr>
          <w:rFonts w:cs="Arial"/>
        </w:rPr>
        <w:instrText>h</w:instrText>
      </w:r>
      <w:r w:rsidR="00007309" w:rsidRPr="00007309">
        <w:rPr>
          <w:rFonts w:cs="Arial"/>
          <w:rtl/>
        </w:rPr>
        <w:instrText xml:space="preserve"> </w:instrText>
      </w:r>
      <w:r w:rsidR="00007309" w:rsidRPr="00007309">
        <w:rPr>
          <w:rFonts w:cs="Arial"/>
          <w:rtl/>
        </w:rPr>
      </w:r>
      <w:r w:rsidR="00007309" w:rsidRPr="00007309">
        <w:rPr>
          <w:rFonts w:cs="Arial"/>
          <w:rtl/>
        </w:rPr>
        <w:fldChar w:fldCharType="end"/>
      </w:r>
    </w:p>
    <w:p w:rsidR="00007309" w:rsidRPr="00007309" w:rsidRDefault="00007309" w:rsidP="00007309">
      <w:pPr>
        <w:spacing w:before="100" w:after="100"/>
        <w:jc w:val="both"/>
        <w:rPr>
          <w:rFonts w:cs="Arial"/>
          <w:rtl/>
        </w:rPr>
      </w:pPr>
      <w:r w:rsidRPr="00007309">
        <w:rPr>
          <w:rFonts w:cs="Arial" w:hint="cs"/>
          <w:rtl/>
        </w:rPr>
        <w:t xml:space="preserve">הנה זכני השי"ת להתקרב לעבודתו ולתורתו, ומעודי תמהתי מה הניה יש מכל הזמן שהייתי רחוק מעבודת השי"ת. וכן יש לתמוה על רבבות רבות של יהודים רחוקים, מה הניה יש בהם. ועתה שקרבני המקום לעבודתו, זאת מצאתי לתועלת, הכרותי עם מלאכי המחשבים היתה בעזרי, להוציא לאור כמה קונטרסים להצדיק בהם הרבים. כי הנה הבריאה כולה תשיש ותשמח בשמשה את האדם השלם. ואין שלם יותר ממשיח צדקנו שיבא בב"א. והקב"ה מגלה בבריאה מדי יום מלאכים חדשים אין ספור אשר בהם מתאחדת הבריאה כולה לעשות רצון השי"ת. </w:t>
      </w:r>
    </w:p>
    <w:p w:rsidR="00007309" w:rsidRPr="00007309" w:rsidRDefault="00007309" w:rsidP="00007309">
      <w:pPr>
        <w:spacing w:before="100" w:after="100"/>
        <w:jc w:val="both"/>
        <w:rPr>
          <w:rFonts w:cs="Arial"/>
          <w:rtl/>
        </w:rPr>
      </w:pPr>
      <w:r w:rsidRPr="00007309">
        <w:rPr>
          <w:rFonts w:cs="Arial" w:hint="cs"/>
          <w:rtl/>
        </w:rPr>
        <w:t>והנה זכיתי לעבוד בצוותא עם כמה ממשרתי השי"ת, לפאר ולרומם ולהדר ולקלס ולשבח ולהרבות כבוד שמים בהוצאה לאור של כמה דברים נפלאים מדברי הגר"א זצוק"ל.</w:t>
      </w:r>
    </w:p>
    <w:p w:rsidR="00007309" w:rsidRPr="00007309" w:rsidRDefault="00007309" w:rsidP="00007309">
      <w:pPr>
        <w:spacing w:before="100" w:after="100"/>
        <w:jc w:val="both"/>
        <w:rPr>
          <w:rFonts w:cs="Arial"/>
          <w:rtl/>
        </w:rPr>
      </w:pPr>
      <w:r w:rsidRPr="00007309">
        <w:rPr>
          <w:rFonts w:cs="Arial" w:hint="cs"/>
          <w:rtl/>
        </w:rPr>
        <w:t>בסוף חסר קטע בלי בהגר"א.</w:t>
      </w:r>
    </w:p>
    <w:p w:rsidR="00007309" w:rsidRPr="00007309" w:rsidRDefault="00007309" w:rsidP="00007309">
      <w:pPr>
        <w:keepNext/>
        <w:spacing w:before="240" w:after="60"/>
        <w:outlineLvl w:val="0"/>
        <w:rPr>
          <w:rFonts w:ascii="Cambria" w:hAnsi="Cambria" w:cs="Times New Roman"/>
          <w:b/>
          <w:bCs/>
          <w:kern w:val="32"/>
          <w:sz w:val="37"/>
          <w:szCs w:val="32"/>
          <w:rtl/>
        </w:rPr>
      </w:pPr>
      <w:r w:rsidRPr="00007309">
        <w:rPr>
          <w:rFonts w:ascii="Cambria" w:hAnsi="Cambria" w:cs="Times New Roman"/>
          <w:b/>
          <w:bCs/>
          <w:kern w:val="32"/>
          <w:sz w:val="32"/>
          <w:szCs w:val="32"/>
          <w:rtl/>
        </w:rPr>
        <w:t>תקונים מזהר חדש</w:t>
      </w:r>
    </w:p>
    <w:p w:rsidR="00007309" w:rsidRPr="00007309" w:rsidRDefault="00007309" w:rsidP="00007309">
      <w:pPr>
        <w:jc w:val="both"/>
        <w:rPr>
          <w:sz w:val="24"/>
          <w:szCs w:val="24"/>
          <w:rtl/>
        </w:rPr>
      </w:pPr>
      <w:r w:rsidRPr="00007309">
        <w:rPr>
          <w:rFonts w:hint="cs"/>
          <w:sz w:val="24"/>
          <w:szCs w:val="24"/>
          <w:rtl/>
        </w:rPr>
        <w:t>את מאמר 'קו המידה' הבאנו בשלמות בסוף, ובתוכו קטעי הזהר מפ' נח ופקודי, כאשר את ביאור הגר"א על המאמר הנ"ל הוצאנו ממקומו בתיקונים מזהר חדש ושבצנוהו על המאמר הנ"ל. את המאמר מזהר חדש שה"ש לא הבאנו מפאת אורכו.</w:t>
      </w:r>
    </w:p>
    <w:p w:rsidR="00007309" w:rsidRPr="00007309" w:rsidRDefault="00007309" w:rsidP="00007309">
      <w:pPr>
        <w:keepNext/>
        <w:jc w:val="right"/>
        <w:outlineLvl w:val="2"/>
        <w:rPr>
          <w:rFonts w:ascii="Cambria" w:hAnsi="Cambria" w:cs="Times New Roman"/>
          <w:i/>
          <w:iCs/>
          <w:color w:val="4F81BD"/>
          <w:sz w:val="24"/>
          <w:szCs w:val="24"/>
          <w:rtl/>
        </w:rPr>
      </w:pPr>
      <w:r w:rsidRPr="00007309">
        <w:rPr>
          <w:rFonts w:ascii="Cambria" w:hAnsi="Cambria" w:cs="Times New Roman"/>
          <w:i/>
          <w:iCs/>
          <w:color w:val="4F81BD"/>
          <w:sz w:val="24"/>
          <w:szCs w:val="24"/>
          <w:rtl/>
        </w:rPr>
        <w:t>[</w:t>
      </w:r>
      <w:r w:rsidRPr="00007309">
        <w:rPr>
          <w:rFonts w:ascii="Cambria" w:hAnsi="Cambria" w:cs="Times New Roman" w:hint="cs"/>
          <w:i/>
          <w:iCs/>
          <w:color w:val="4F81BD"/>
          <w:sz w:val="24"/>
          <w:szCs w:val="24"/>
          <w:rtl/>
        </w:rPr>
        <w:t xml:space="preserve">תיקונים מזהר חדש - וילנא </w:t>
      </w:r>
      <w:r w:rsidRPr="00007309">
        <w:rPr>
          <w:rFonts w:ascii="Cambria" w:hAnsi="Cambria" w:cs="Times New Roman"/>
          <w:i/>
          <w:iCs/>
          <w:color w:val="4F81BD"/>
          <w:sz w:val="24"/>
          <w:szCs w:val="24"/>
          <w:rtl/>
        </w:rPr>
        <w:t xml:space="preserve">דף </w:t>
      </w:r>
      <w:r w:rsidRPr="00007309">
        <w:rPr>
          <w:rFonts w:ascii="Cambria" w:hAnsi="Cambria" w:cs="Times New Roman" w:hint="cs"/>
          <w:i/>
          <w:iCs/>
          <w:color w:val="4F81BD"/>
          <w:sz w:val="24"/>
          <w:szCs w:val="24"/>
          <w:rtl/>
        </w:rPr>
        <w:t>א</w:t>
      </w:r>
      <w:r w:rsidRPr="00007309">
        <w:rPr>
          <w:rFonts w:ascii="Cambria" w:hAnsi="Cambria" w:cs="Times New Roman"/>
          <w:i/>
          <w:iCs/>
          <w:color w:val="4F81BD"/>
          <w:sz w:val="24"/>
          <w:szCs w:val="24"/>
          <w:rtl/>
        </w:rPr>
        <w:t xml:space="preserve"> ע"</w:t>
      </w:r>
      <w:r w:rsidRPr="00007309">
        <w:rPr>
          <w:rFonts w:ascii="Cambria" w:hAnsi="Cambria" w:cs="Times New Roman" w:hint="cs"/>
          <w:i/>
          <w:iCs/>
          <w:color w:val="4F81BD"/>
          <w:sz w:val="24"/>
          <w:szCs w:val="24"/>
          <w:rtl/>
        </w:rPr>
        <w:t>א</w:t>
      </w:r>
      <w:r w:rsidRPr="00007309">
        <w:rPr>
          <w:rFonts w:ascii="Cambria" w:hAnsi="Cambria" w:cs="Times New Roman"/>
          <w:i/>
          <w:iCs/>
          <w:color w:val="4F81BD"/>
          <w:sz w:val="24"/>
          <w:szCs w:val="24"/>
          <w:rtl/>
        </w:rPr>
        <w:t>]</w:t>
      </w:r>
    </w:p>
    <w:p w:rsidR="00007309" w:rsidRPr="00007309" w:rsidRDefault="00007309" w:rsidP="00007309">
      <w:pPr>
        <w:keepNext/>
        <w:outlineLvl w:val="1"/>
        <w:rPr>
          <w:rFonts w:ascii="Cambria" w:hAnsi="Cambria" w:cs="Times New Roman"/>
          <w:b/>
          <w:bCs/>
          <w:i/>
          <w:iCs/>
          <w:sz w:val="28"/>
          <w:szCs w:val="28"/>
          <w:rtl/>
        </w:rPr>
      </w:pPr>
      <w:r w:rsidRPr="00007309">
        <w:rPr>
          <w:rFonts w:ascii="Cambria" w:hAnsi="Cambria" w:cs="Times New Roman"/>
          <w:b/>
          <w:bCs/>
          <w:i/>
          <w:iCs/>
          <w:sz w:val="28"/>
          <w:szCs w:val="28"/>
          <w:rtl/>
        </w:rPr>
        <w:t xml:space="preserve"> [</w:t>
      </w:r>
      <w:r w:rsidRPr="00007309">
        <w:rPr>
          <w:rFonts w:ascii="Cambria" w:hAnsi="Cambria" w:cs="Times New Roman" w:hint="cs"/>
          <w:b/>
          <w:bCs/>
          <w:i/>
          <w:iCs/>
          <w:sz w:val="28"/>
          <w:szCs w:val="28"/>
          <w:rtl/>
        </w:rPr>
        <w:t xml:space="preserve">תיקונים מזהר חדש - </w:t>
      </w:r>
      <w:r w:rsidRPr="00007309">
        <w:rPr>
          <w:rFonts w:ascii="Cambria" w:hAnsi="Cambria" w:cs="Times New Roman"/>
          <w:b/>
          <w:bCs/>
          <w:i/>
          <w:iCs/>
          <w:sz w:val="28"/>
          <w:szCs w:val="28"/>
          <w:rtl/>
        </w:rPr>
        <w:t>דף עב ע"ג]</w:t>
      </w:r>
    </w:p>
    <w:p w:rsidR="00007309" w:rsidRPr="00007309" w:rsidRDefault="00007309" w:rsidP="00007309">
      <w:pPr>
        <w:keepNext/>
        <w:keepLines/>
        <w:jc w:val="both"/>
        <w:outlineLvl w:val="3"/>
        <w:rPr>
          <w:rFonts w:ascii="Cambria" w:hAnsi="Cambria" w:cs="Arial"/>
          <w:i/>
          <w:iCs/>
          <w:color w:val="000000"/>
          <w:sz w:val="36"/>
          <w:szCs w:val="24"/>
          <w:rtl/>
        </w:rPr>
      </w:pPr>
      <w:r w:rsidRPr="00007309">
        <w:rPr>
          <w:rFonts w:ascii="Cambria" w:hAnsi="Cambria" w:cs="Times New Roman"/>
          <w:b/>
          <w:bCs/>
          <w:i/>
          <w:iCs/>
          <w:color w:val="4F81BD"/>
          <w:sz w:val="24"/>
          <w:szCs w:val="24"/>
          <w:rtl/>
        </w:rPr>
        <w:t xml:space="preserve">(עב ע"ג) </w:t>
      </w:r>
      <w:r w:rsidRPr="00007309">
        <w:rPr>
          <w:rFonts w:ascii="Cambria" w:hAnsi="Cambria" w:cs="Arial"/>
          <w:b/>
          <w:bCs/>
          <w:i/>
          <w:iCs/>
          <w:color w:val="000000"/>
          <w:sz w:val="28"/>
          <w:szCs w:val="28"/>
          <w:rtl/>
        </w:rPr>
        <w:t>בְּרֵאשִׁית בָּרָא אֱלֹהִים.</w:t>
      </w:r>
      <w:r w:rsidRPr="00007309">
        <w:rPr>
          <w:rFonts w:ascii="Cambria" w:hAnsi="Cambria" w:cs="Arial" w:hint="cs"/>
          <w:b/>
          <w:bCs/>
          <w:i/>
          <w:iCs/>
          <w:color w:val="000000"/>
          <w:sz w:val="32"/>
          <w:szCs w:val="32"/>
          <w:rtl/>
        </w:rPr>
        <w:t xml:space="preserve"> </w:t>
      </w:r>
      <w:r w:rsidRPr="00007309">
        <w:rPr>
          <w:rFonts w:ascii="Cambria" w:hAnsi="Cambria" w:cs="Arial"/>
          <w:b/>
          <w:bCs/>
          <w:i/>
          <w:iCs/>
          <w:color w:val="000000"/>
          <w:sz w:val="36"/>
          <w:szCs w:val="24"/>
          <w:vertAlign w:val="superscript"/>
          <w:rtl/>
        </w:rPr>
        <w:footnoteReference w:id="5811"/>
      </w:r>
      <w:r w:rsidRPr="00007309">
        <w:rPr>
          <w:rFonts w:ascii="Cambria" w:hAnsi="Cambria" w:cs="Arial"/>
          <w:b/>
          <w:bCs/>
          <w:i/>
          <w:iCs/>
          <w:color w:val="000000"/>
          <w:sz w:val="36"/>
          <w:szCs w:val="24"/>
          <w:rtl/>
        </w:rPr>
        <w:t xml:space="preserve">תָּא חֲזֵי תְּרֵין תֵּיבִין אִלֵּין אִתְפְּלָגוּ לִתְרֵין סִטְרִין כָּל חַד. בְּרֵאשִׁי''ת - בָּרָא שִׁי''ת, אֱלֹהִים - מִי אֵלֶּה. </w:t>
      </w:r>
      <w:r w:rsidRPr="00007309">
        <w:rPr>
          <w:rFonts w:ascii="Cambria" w:hAnsi="Cambria" w:cs="Arial"/>
          <w:b/>
          <w:bCs/>
          <w:i/>
          <w:iCs/>
          <w:color w:val="000000"/>
          <w:sz w:val="36"/>
          <w:szCs w:val="24"/>
          <w:vertAlign w:val="superscript"/>
          <w:rtl/>
        </w:rPr>
        <w:footnoteReference w:id="5812"/>
      </w:r>
      <w:r w:rsidRPr="00007309">
        <w:rPr>
          <w:rFonts w:ascii="Cambria" w:hAnsi="Cambria" w:cs="Arial"/>
          <w:b/>
          <w:bCs/>
          <w:i/>
          <w:iCs/>
          <w:color w:val="000000"/>
          <w:sz w:val="36"/>
          <w:szCs w:val="24"/>
          <w:rtl/>
        </w:rPr>
        <w:t xml:space="preserve">בְּרֵאשִׁי''ת מַאי שִׁית. אִלֵּין </w:t>
      </w:r>
      <w:r w:rsidRPr="00007309">
        <w:rPr>
          <w:rFonts w:ascii="Cambria" w:hAnsi="Cambria" w:cs="Arial"/>
          <w:b/>
          <w:bCs/>
          <w:i/>
          <w:iCs/>
          <w:color w:val="000000"/>
          <w:sz w:val="36"/>
          <w:szCs w:val="24"/>
          <w:vertAlign w:val="superscript"/>
          <w:rtl/>
        </w:rPr>
        <w:footnoteReference w:id="5813"/>
      </w:r>
      <w:r w:rsidRPr="00007309">
        <w:rPr>
          <w:rFonts w:ascii="Cambria" w:hAnsi="Cambria" w:cs="Arial"/>
          <w:b/>
          <w:bCs/>
          <w:i/>
          <w:iCs/>
          <w:color w:val="000000"/>
          <w:sz w:val="36"/>
          <w:szCs w:val="24"/>
          <w:rtl/>
        </w:rPr>
        <w:t xml:space="preserve">שִׁית סִטְרִין דְּמַשְׁכְּנָא </w:t>
      </w:r>
      <w:r w:rsidRPr="00007309">
        <w:rPr>
          <w:rFonts w:ascii="Cambria" w:hAnsi="Cambria" w:cs="Arial"/>
          <w:b/>
          <w:bCs/>
          <w:i/>
          <w:iCs/>
          <w:color w:val="000000"/>
          <w:sz w:val="36"/>
          <w:szCs w:val="24"/>
          <w:vertAlign w:val="superscript"/>
          <w:rtl/>
        </w:rPr>
        <w:footnoteReference w:id="5814"/>
      </w:r>
      <w:r w:rsidRPr="00007309">
        <w:rPr>
          <w:rFonts w:ascii="Cambria" w:hAnsi="Cambria" w:cs="Arial"/>
          <w:b/>
          <w:bCs/>
          <w:i/>
          <w:iCs/>
          <w:color w:val="000000"/>
          <w:sz w:val="36"/>
          <w:szCs w:val="24"/>
          <w:rtl/>
        </w:rPr>
        <w:t xml:space="preserve">דְּאִיהוּ כְּגַוְנָא דְּשָׁמַיִם וָאָרֶץ. </w:t>
      </w:r>
      <w:r w:rsidRPr="00007309">
        <w:rPr>
          <w:rFonts w:ascii="Cambria" w:hAnsi="Cambria" w:cs="Arial"/>
          <w:b/>
          <w:bCs/>
          <w:i/>
          <w:iCs/>
          <w:color w:val="000000"/>
          <w:sz w:val="36"/>
          <w:szCs w:val="24"/>
          <w:vertAlign w:val="superscript"/>
          <w:rtl/>
        </w:rPr>
        <w:footnoteReference w:id="5815"/>
      </w:r>
      <w:r w:rsidRPr="00007309">
        <w:rPr>
          <w:rFonts w:ascii="Cambria" w:hAnsi="Cambria" w:cs="Arial"/>
          <w:b/>
          <w:bCs/>
          <w:i/>
          <w:iCs/>
          <w:color w:val="000000"/>
          <w:sz w:val="36"/>
          <w:szCs w:val="24"/>
          <w:rtl/>
        </w:rPr>
        <w:t xml:space="preserve">וּבְגִינַיְהוּ אִתְּמַר </w:t>
      </w:r>
      <w:r w:rsidRPr="00007309">
        <w:rPr>
          <w:rFonts w:ascii="Cambria" w:hAnsi="Cambria" w:cs="Times New Roman" w:hint="cs"/>
          <w:b/>
          <w:bCs/>
          <w:i/>
          <w:iCs/>
          <w:color w:val="4F81BD"/>
          <w:sz w:val="18"/>
          <w:szCs w:val="18"/>
          <w:rtl/>
        </w:rPr>
        <w:t xml:space="preserve">(שמות לח) </w:t>
      </w:r>
      <w:r w:rsidRPr="00007309">
        <w:rPr>
          <w:rFonts w:ascii="Cambria" w:hAnsi="Cambria" w:cs="Arial"/>
          <w:b/>
          <w:bCs/>
          <w:i/>
          <w:iCs/>
          <w:color w:val="000000"/>
          <w:sz w:val="36"/>
          <w:szCs w:val="24"/>
          <w:vertAlign w:val="superscript"/>
          <w:rtl/>
        </w:rPr>
        <w:footnoteReference w:id="5816"/>
      </w:r>
      <w:r w:rsidRPr="00007309">
        <w:rPr>
          <w:rFonts w:ascii="Cambria" w:hAnsi="Cambria" w:cs="Arial"/>
          <w:b/>
          <w:bCs/>
          <w:i/>
          <w:iCs/>
          <w:color w:val="000000"/>
          <w:sz w:val="36"/>
          <w:szCs w:val="24"/>
          <w:rtl/>
        </w:rPr>
        <w:t xml:space="preserve">אֵלֶּה פִּקּוּדֵי הַמִּשְׁכָּן. </w:t>
      </w:r>
      <w:r w:rsidRPr="00007309">
        <w:rPr>
          <w:rFonts w:ascii="Cambria" w:hAnsi="Cambria" w:cs="Arial"/>
          <w:b/>
          <w:bCs/>
          <w:i/>
          <w:iCs/>
          <w:color w:val="000000"/>
          <w:sz w:val="36"/>
          <w:szCs w:val="24"/>
          <w:vertAlign w:val="superscript"/>
          <w:rtl/>
        </w:rPr>
        <w:footnoteReference w:id="5817"/>
      </w:r>
      <w:r w:rsidRPr="00007309">
        <w:rPr>
          <w:rFonts w:ascii="Cambria" w:hAnsi="Cambria" w:cs="Arial"/>
          <w:b/>
          <w:bCs/>
          <w:i/>
          <w:iCs/>
          <w:color w:val="000000"/>
          <w:sz w:val="36"/>
          <w:szCs w:val="24"/>
          <w:rtl/>
        </w:rPr>
        <w:t xml:space="preserve">וְדָא הוּא מִי אֵלֶּה. הָדָא הוּא דִּכְתִיב </w:t>
      </w:r>
      <w:r w:rsidRPr="00007309">
        <w:rPr>
          <w:rFonts w:ascii="Cambria" w:hAnsi="Cambria" w:cs="Times New Roman"/>
          <w:b/>
          <w:bCs/>
          <w:i/>
          <w:iCs/>
          <w:color w:val="4F81BD"/>
          <w:sz w:val="18"/>
          <w:szCs w:val="18"/>
          <w:rtl/>
        </w:rPr>
        <w:t>(ישעיה מ)</w:t>
      </w:r>
      <w:r w:rsidRPr="00007309">
        <w:rPr>
          <w:rFonts w:ascii="Cambria" w:hAnsi="Cambria" w:cs="Arial"/>
          <w:b/>
          <w:bCs/>
          <w:i/>
          <w:iCs/>
          <w:color w:val="000000"/>
          <w:sz w:val="22"/>
          <w:szCs w:val="24"/>
          <w:rtl/>
        </w:rPr>
        <w:t xml:space="preserve"> </w:t>
      </w:r>
      <w:r w:rsidRPr="00007309">
        <w:rPr>
          <w:rFonts w:ascii="Cambria" w:hAnsi="Cambria" w:cs="Arial"/>
          <w:b/>
          <w:bCs/>
          <w:i/>
          <w:iCs/>
          <w:color w:val="000000"/>
          <w:sz w:val="36"/>
          <w:szCs w:val="24"/>
          <w:rtl/>
        </w:rPr>
        <w:t xml:space="preserve">שְׂאוּ מָרוֹם עֵינֵיכֶם וּרְאוּ מִי בָּרָא אֵלֶּה. </w:t>
      </w:r>
      <w:r w:rsidRPr="00007309">
        <w:rPr>
          <w:rFonts w:ascii="Cambria" w:hAnsi="Cambria" w:cs="Arial"/>
          <w:b/>
          <w:bCs/>
          <w:i/>
          <w:iCs/>
          <w:color w:val="000000"/>
          <w:sz w:val="36"/>
          <w:szCs w:val="24"/>
          <w:vertAlign w:val="superscript"/>
          <w:rtl/>
        </w:rPr>
        <w:footnoteReference w:id="5818"/>
      </w:r>
      <w:r w:rsidRPr="00007309">
        <w:rPr>
          <w:rFonts w:ascii="Cambria" w:hAnsi="Cambria" w:cs="Arial"/>
          <w:b/>
          <w:bCs/>
          <w:i/>
          <w:iCs/>
          <w:color w:val="000000"/>
          <w:sz w:val="36"/>
          <w:szCs w:val="24"/>
          <w:rtl/>
        </w:rPr>
        <w:t>וּתְרֵין מִשְׁכָּנוֹת אִנּוּן דְּאִתְרְמִיזוּ בְּהַאי קְרָא</w:t>
      </w:r>
      <w:r w:rsidRPr="00007309">
        <w:rPr>
          <w:rFonts w:ascii="Cambria" w:hAnsi="Cambria" w:cs="Arial" w:hint="cs"/>
          <w:b/>
          <w:bCs/>
          <w:i/>
          <w:iCs/>
          <w:color w:val="000000"/>
          <w:sz w:val="36"/>
          <w:szCs w:val="24"/>
          <w:rtl/>
        </w:rPr>
        <w:t xml:space="preserve"> </w:t>
      </w:r>
      <w:r w:rsidRPr="00007309">
        <w:rPr>
          <w:rFonts w:ascii="Cambria" w:hAnsi="Cambria" w:cs="Arial"/>
          <w:b/>
          <w:bCs/>
          <w:i/>
          <w:iCs/>
          <w:color w:val="000000"/>
          <w:sz w:val="36"/>
          <w:szCs w:val="24"/>
          <w:rtl/>
        </w:rPr>
        <w:t xml:space="preserve">אֵלֶּה פִּקּוּדֵי הַמִּשְׁכָּן מִשְׁכַּן הָעֵדוּת. </w:t>
      </w:r>
      <w:r w:rsidRPr="00007309">
        <w:rPr>
          <w:rFonts w:ascii="Cambria" w:hAnsi="Cambria" w:cs="Arial"/>
          <w:b/>
          <w:bCs/>
          <w:i/>
          <w:iCs/>
          <w:color w:val="000000"/>
          <w:sz w:val="36"/>
          <w:szCs w:val="24"/>
          <w:vertAlign w:val="superscript"/>
          <w:rtl/>
        </w:rPr>
        <w:footnoteReference w:id="5819"/>
      </w:r>
      <w:r w:rsidRPr="00007309">
        <w:rPr>
          <w:rFonts w:ascii="Cambria" w:hAnsi="Cambria" w:cs="Arial"/>
          <w:b/>
          <w:bCs/>
          <w:i/>
          <w:iCs/>
          <w:color w:val="000000"/>
          <w:sz w:val="36"/>
          <w:szCs w:val="24"/>
          <w:rtl/>
        </w:rPr>
        <w:t xml:space="preserve">מִשְׁכָּן עִלָּאָה - מִי, וְדָא עָלְמָא עִלָּאָה. </w:t>
      </w:r>
      <w:r w:rsidRPr="00007309">
        <w:rPr>
          <w:rFonts w:ascii="Cambria" w:hAnsi="Cambria" w:cs="Arial"/>
          <w:b/>
          <w:bCs/>
          <w:i/>
          <w:iCs/>
          <w:color w:val="000000"/>
          <w:sz w:val="36"/>
          <w:szCs w:val="24"/>
          <w:vertAlign w:val="superscript"/>
          <w:rtl/>
        </w:rPr>
        <w:footnoteReference w:id="5820"/>
      </w:r>
      <w:r w:rsidRPr="00007309">
        <w:rPr>
          <w:rFonts w:ascii="Cambria" w:hAnsi="Cambria" w:cs="Arial"/>
          <w:b/>
          <w:bCs/>
          <w:i/>
          <w:iCs/>
          <w:color w:val="000000"/>
          <w:sz w:val="36"/>
          <w:szCs w:val="24"/>
          <w:rtl/>
        </w:rPr>
        <w:t>מִשְׁכָּן תַּתָּאָה - מַה</w:t>
      </w:r>
      <w:r w:rsidRPr="00007309">
        <w:rPr>
          <w:rFonts w:ascii="Cambria" w:hAnsi="Cambria" w:cs="Arial" w:hint="cs"/>
          <w:b/>
          <w:bCs/>
          <w:i/>
          <w:iCs/>
          <w:color w:val="000000"/>
          <w:sz w:val="36"/>
          <w:szCs w:val="24"/>
          <w:rtl/>
        </w:rPr>
        <w:t xml:space="preserve">, </w:t>
      </w:r>
      <w:r w:rsidRPr="00007309">
        <w:rPr>
          <w:rFonts w:ascii="Cambria" w:hAnsi="Cambria" w:cs="Arial"/>
          <w:b/>
          <w:bCs/>
          <w:i/>
          <w:iCs/>
          <w:color w:val="000000"/>
          <w:sz w:val="36"/>
          <w:szCs w:val="24"/>
          <w:rtl/>
        </w:rPr>
        <w:t xml:space="preserve">וְדָא עָלְמָא </w:t>
      </w:r>
      <w:r w:rsidRPr="00007309">
        <w:rPr>
          <w:rFonts w:ascii="Cambria" w:hAnsi="Cambria" w:cs="Arial" w:hint="cs"/>
          <w:b/>
          <w:bCs/>
          <w:i/>
          <w:iCs/>
          <w:color w:val="000000"/>
          <w:sz w:val="36"/>
          <w:szCs w:val="24"/>
          <w:rtl/>
        </w:rPr>
        <w:t>ת</w:t>
      </w:r>
      <w:r w:rsidRPr="00007309">
        <w:rPr>
          <w:rFonts w:ascii="Cambria" w:hAnsi="Cambria" w:cs="Arial"/>
          <w:b/>
          <w:bCs/>
          <w:i/>
          <w:iCs/>
          <w:color w:val="000000"/>
          <w:sz w:val="36"/>
          <w:szCs w:val="24"/>
          <w:rtl/>
        </w:rPr>
        <w:t>ַּ</w:t>
      </w:r>
      <w:r w:rsidRPr="00007309">
        <w:rPr>
          <w:rFonts w:ascii="Cambria" w:hAnsi="Cambria" w:cs="Arial" w:hint="cs"/>
          <w:b/>
          <w:bCs/>
          <w:i/>
          <w:iCs/>
          <w:color w:val="000000"/>
          <w:sz w:val="36"/>
          <w:szCs w:val="24"/>
          <w:rtl/>
        </w:rPr>
        <w:t>ת</w:t>
      </w:r>
      <w:r w:rsidRPr="00007309">
        <w:rPr>
          <w:rFonts w:ascii="Cambria" w:hAnsi="Cambria" w:cs="Arial"/>
          <w:b/>
          <w:bCs/>
          <w:i/>
          <w:iCs/>
          <w:color w:val="000000"/>
          <w:sz w:val="36"/>
          <w:szCs w:val="24"/>
          <w:rtl/>
        </w:rPr>
        <w:t xml:space="preserve">ָּאָה. מִּשְׁכָּן עִלָּאָה בְּגִינָהּ אִתְּמַר מִי בָּרָא אֵלֶּה, </w:t>
      </w:r>
      <w:r w:rsidRPr="00007309">
        <w:rPr>
          <w:rFonts w:ascii="Cambria" w:hAnsi="Cambria" w:cs="Arial"/>
          <w:b/>
          <w:bCs/>
          <w:i/>
          <w:iCs/>
          <w:color w:val="000000"/>
          <w:sz w:val="36"/>
          <w:szCs w:val="24"/>
          <w:vertAlign w:val="superscript"/>
          <w:rtl/>
        </w:rPr>
        <w:footnoteReference w:id="5821"/>
      </w:r>
      <w:r w:rsidRPr="00007309">
        <w:rPr>
          <w:rFonts w:ascii="Cambria" w:hAnsi="Cambria" w:cs="Arial"/>
          <w:b/>
          <w:bCs/>
          <w:i/>
          <w:iCs/>
          <w:color w:val="000000"/>
          <w:sz w:val="36"/>
          <w:szCs w:val="24"/>
          <w:rtl/>
        </w:rPr>
        <w:t>מַאי אֵלֶּה</w:t>
      </w:r>
      <w:r w:rsidRPr="00007309">
        <w:rPr>
          <w:rFonts w:ascii="Cambria" w:hAnsi="Cambria" w:cs="Arial" w:hint="cs"/>
          <w:b/>
          <w:bCs/>
          <w:i/>
          <w:iCs/>
          <w:color w:val="000000"/>
          <w:sz w:val="36"/>
          <w:szCs w:val="24"/>
          <w:rtl/>
        </w:rPr>
        <w:t>,</w:t>
      </w:r>
      <w:r w:rsidRPr="00007309">
        <w:rPr>
          <w:rFonts w:ascii="Cambria" w:hAnsi="Cambria" w:cs="Arial"/>
          <w:b/>
          <w:bCs/>
          <w:i/>
          <w:iCs/>
          <w:color w:val="000000"/>
          <w:sz w:val="36"/>
          <w:szCs w:val="24"/>
          <w:rtl/>
        </w:rPr>
        <w:t xml:space="preserve"> אִלֵּין </w:t>
      </w:r>
      <w:r w:rsidRPr="00007309">
        <w:rPr>
          <w:rFonts w:ascii="Cambria" w:hAnsi="Cambria" w:cs="Times New Roman" w:hint="cs"/>
          <w:b/>
          <w:bCs/>
          <w:i/>
          <w:iCs/>
          <w:color w:val="4F81BD"/>
          <w:sz w:val="18"/>
          <w:szCs w:val="18"/>
          <w:rtl/>
        </w:rPr>
        <w:t>(ויקרא כג)</w:t>
      </w:r>
      <w:r w:rsidRPr="00007309">
        <w:rPr>
          <w:rFonts w:ascii="Cambria" w:hAnsi="Cambria" w:cs="Arial" w:hint="cs"/>
          <w:b/>
          <w:bCs/>
          <w:i/>
          <w:iCs/>
          <w:color w:val="000000"/>
          <w:sz w:val="36"/>
          <w:szCs w:val="24"/>
          <w:rtl/>
        </w:rPr>
        <w:t xml:space="preserve"> </w:t>
      </w:r>
      <w:r w:rsidRPr="00007309">
        <w:rPr>
          <w:rFonts w:ascii="Cambria" w:hAnsi="Cambria" w:cs="Arial"/>
          <w:b/>
          <w:bCs/>
          <w:i/>
          <w:iCs/>
          <w:color w:val="000000"/>
          <w:sz w:val="36"/>
          <w:szCs w:val="24"/>
          <w:rtl/>
        </w:rPr>
        <w:t xml:space="preserve">אֵלֶּה מוֹעֲדֵי ה'. וּמַאי אִנּוּן מוֹעֲדֵי ה' אִלֵּין אִנּוּן חַג הַמַּצּוֹת וְחַג הַשָּׁבוּעוֹת וְחַג הַסֻּכּוֹת הֲרֵי תְּלָת. תְּלָת אָחֳרָנִין רֹאשׁ הַשָּׁנָה חֲנֻכָּה פּוּרִים. תְּלָתָא </w:t>
      </w:r>
      <w:r w:rsidRPr="00007309">
        <w:rPr>
          <w:rFonts w:ascii="Cambria" w:hAnsi="Cambria" w:cs="Arial" w:hint="cs"/>
          <w:b/>
          <w:bCs/>
          <w:i/>
          <w:iCs/>
          <w:color w:val="000000"/>
          <w:sz w:val="22"/>
          <w:szCs w:val="22"/>
          <w:rtl/>
        </w:rPr>
        <w:t>(</w:t>
      </w:r>
      <w:r w:rsidRPr="00007309">
        <w:rPr>
          <w:rFonts w:ascii="Cambria" w:hAnsi="Cambria" w:cs="Arial"/>
          <w:b/>
          <w:bCs/>
          <w:i/>
          <w:iCs/>
          <w:color w:val="000000"/>
          <w:sz w:val="22"/>
          <w:szCs w:val="22"/>
          <w:rtl/>
        </w:rPr>
        <w:t>מִנְּהוֹן</w:t>
      </w:r>
      <w:r w:rsidRPr="00007309">
        <w:rPr>
          <w:rFonts w:ascii="Cambria" w:hAnsi="Cambria" w:cs="Arial" w:hint="cs"/>
          <w:b/>
          <w:bCs/>
          <w:i/>
          <w:iCs/>
          <w:color w:val="000000"/>
          <w:sz w:val="22"/>
          <w:szCs w:val="22"/>
          <w:rtl/>
        </w:rPr>
        <w:t>)</w:t>
      </w:r>
      <w:r w:rsidRPr="00007309">
        <w:rPr>
          <w:rFonts w:ascii="Cambria" w:hAnsi="Cambria" w:cs="Arial"/>
          <w:b/>
          <w:bCs/>
          <w:i/>
          <w:iCs/>
          <w:color w:val="000000"/>
          <w:sz w:val="36"/>
          <w:szCs w:val="24"/>
          <w:rtl/>
        </w:rPr>
        <w:t xml:space="preserve"> אִקְּרוּן מוֹעֲדֵי ה' </w:t>
      </w:r>
      <w:r w:rsidRPr="00007309">
        <w:rPr>
          <w:rFonts w:ascii="Cambria" w:hAnsi="Cambria" w:cs="Arial" w:hint="cs"/>
          <w:b/>
          <w:bCs/>
          <w:i/>
          <w:iCs/>
          <w:color w:val="000000"/>
          <w:sz w:val="36"/>
          <w:szCs w:val="24"/>
          <w:rtl/>
        </w:rPr>
        <w:t>(</w:t>
      </w:r>
      <w:r w:rsidRPr="00007309">
        <w:rPr>
          <w:rFonts w:ascii="Cambria" w:hAnsi="Cambria" w:cs="Arial"/>
          <w:b/>
          <w:bCs/>
          <w:i/>
          <w:iCs/>
          <w:color w:val="000000"/>
          <w:sz w:val="36"/>
          <w:szCs w:val="24"/>
          <w:vertAlign w:val="superscript"/>
          <w:rtl/>
        </w:rPr>
        <w:footnoteReference w:id="5822"/>
      </w:r>
      <w:r w:rsidRPr="00007309">
        <w:rPr>
          <w:rFonts w:ascii="Cambria" w:hAnsi="Cambria" w:cs="Arial"/>
          <w:b/>
          <w:bCs/>
          <w:i/>
          <w:iCs/>
          <w:color w:val="000000"/>
          <w:sz w:val="36"/>
          <w:szCs w:val="24"/>
          <w:rtl/>
        </w:rPr>
        <w:t>וְאִנּוּן מִקְרָאֵי קֹדֶשׁ</w:t>
      </w:r>
      <w:r w:rsidRPr="00007309">
        <w:rPr>
          <w:rFonts w:ascii="Cambria" w:hAnsi="Cambria" w:cs="Arial" w:hint="cs"/>
          <w:b/>
          <w:bCs/>
          <w:i/>
          <w:iCs/>
          <w:color w:val="000000"/>
          <w:sz w:val="36"/>
          <w:szCs w:val="24"/>
          <w:rtl/>
        </w:rPr>
        <w:t>)</w:t>
      </w:r>
      <w:r w:rsidRPr="00007309">
        <w:rPr>
          <w:rFonts w:ascii="Cambria" w:hAnsi="Cambria" w:cs="Arial"/>
          <w:b/>
          <w:bCs/>
          <w:i/>
          <w:iCs/>
          <w:color w:val="000000"/>
          <w:sz w:val="36"/>
          <w:szCs w:val="24"/>
          <w:rtl/>
        </w:rPr>
        <w:t xml:space="preserve"> תְּלָתָא אָחֳרָנִין אִקְּרוּן</w:t>
      </w:r>
      <w:r w:rsidRPr="00007309">
        <w:rPr>
          <w:rFonts w:ascii="Cambria" w:hAnsi="Cambria" w:cs="Times New Roman"/>
          <w:b/>
          <w:bCs/>
          <w:i/>
          <w:iCs/>
          <w:color w:val="4F81BD"/>
          <w:sz w:val="18"/>
          <w:szCs w:val="18"/>
          <w:rtl/>
        </w:rPr>
        <w:t xml:space="preserve"> </w:t>
      </w:r>
      <w:r w:rsidRPr="00007309">
        <w:rPr>
          <w:rFonts w:ascii="Cambria" w:hAnsi="Cambria" w:cs="Times New Roman" w:hint="cs"/>
          <w:b/>
          <w:bCs/>
          <w:i/>
          <w:iCs/>
          <w:color w:val="4F81BD"/>
          <w:sz w:val="18"/>
          <w:szCs w:val="18"/>
          <w:rtl/>
        </w:rPr>
        <w:t xml:space="preserve">(שם) </w:t>
      </w:r>
      <w:r w:rsidRPr="00007309">
        <w:rPr>
          <w:rFonts w:ascii="Cambria" w:hAnsi="Cambria" w:cs="Arial"/>
          <w:b/>
          <w:bCs/>
          <w:i/>
          <w:iCs/>
          <w:color w:val="000000"/>
          <w:sz w:val="36"/>
          <w:szCs w:val="24"/>
          <w:rtl/>
        </w:rPr>
        <w:t xml:space="preserve">אֵלֶּה הֵם מוֹעֲדַי. </w:t>
      </w:r>
      <w:r w:rsidRPr="00007309">
        <w:rPr>
          <w:rFonts w:ascii="Cambria" w:hAnsi="Cambria" w:cs="Arial"/>
          <w:b/>
          <w:bCs/>
          <w:i/>
          <w:iCs/>
          <w:color w:val="000000"/>
          <w:sz w:val="36"/>
          <w:szCs w:val="24"/>
          <w:vertAlign w:val="superscript"/>
          <w:rtl/>
        </w:rPr>
        <w:footnoteReference w:id="5823"/>
      </w:r>
      <w:r w:rsidRPr="00007309">
        <w:rPr>
          <w:rFonts w:ascii="Cambria" w:hAnsi="Cambria" w:cs="Arial"/>
          <w:b/>
          <w:bCs/>
          <w:i/>
          <w:iCs/>
          <w:color w:val="000000"/>
          <w:sz w:val="36"/>
          <w:szCs w:val="24"/>
          <w:rtl/>
        </w:rPr>
        <w:t xml:space="preserve">וְלָקָבְלֵיהוֹן אִתְּמַר </w:t>
      </w:r>
      <w:r w:rsidRPr="00007309">
        <w:rPr>
          <w:rFonts w:ascii="Cambria" w:hAnsi="Cambria" w:cs="Times New Roman"/>
          <w:b/>
          <w:bCs/>
          <w:i/>
          <w:iCs/>
          <w:color w:val="4F81BD"/>
          <w:sz w:val="18"/>
          <w:szCs w:val="18"/>
          <w:rtl/>
        </w:rPr>
        <w:t>(איוב לג)</w:t>
      </w:r>
      <w:r w:rsidRPr="00007309">
        <w:rPr>
          <w:rFonts w:ascii="Cambria" w:hAnsi="Cambria" w:cs="Arial"/>
          <w:b/>
          <w:bCs/>
          <w:i/>
          <w:iCs/>
          <w:color w:val="000000"/>
          <w:sz w:val="36"/>
          <w:szCs w:val="24"/>
          <w:rtl/>
        </w:rPr>
        <w:t xml:space="preserve"> </w:t>
      </w:r>
      <w:r w:rsidRPr="00007309">
        <w:rPr>
          <w:rFonts w:ascii="Cambria" w:hAnsi="Cambria" w:cs="Arial"/>
          <w:b/>
          <w:bCs/>
          <w:i/>
          <w:iCs/>
          <w:color w:val="000000"/>
          <w:sz w:val="36"/>
          <w:szCs w:val="24"/>
          <w:vertAlign w:val="superscript"/>
          <w:rtl/>
        </w:rPr>
        <w:footnoteReference w:id="5824"/>
      </w:r>
      <w:r w:rsidRPr="00007309">
        <w:rPr>
          <w:rFonts w:ascii="Cambria" w:hAnsi="Cambria" w:cs="Arial"/>
          <w:b/>
          <w:bCs/>
          <w:i/>
          <w:iCs/>
          <w:color w:val="000000"/>
          <w:sz w:val="36"/>
          <w:szCs w:val="24"/>
          <w:rtl/>
        </w:rPr>
        <w:t xml:space="preserve">הֵן כָּל אֵלֶּה יִפְעַל אֵל </w:t>
      </w:r>
      <w:r w:rsidRPr="00007309">
        <w:rPr>
          <w:rFonts w:ascii="Cambria" w:hAnsi="Cambria" w:cs="Arial"/>
          <w:b/>
          <w:bCs/>
          <w:i/>
          <w:iCs/>
          <w:color w:val="000000"/>
          <w:sz w:val="36"/>
          <w:szCs w:val="24"/>
          <w:vertAlign w:val="superscript"/>
          <w:rtl/>
        </w:rPr>
        <w:footnoteReference w:id="5825"/>
      </w:r>
      <w:r w:rsidRPr="00007309">
        <w:rPr>
          <w:rFonts w:ascii="Cambria" w:hAnsi="Cambria" w:cs="Arial"/>
          <w:b/>
          <w:bCs/>
          <w:i/>
          <w:iCs/>
          <w:color w:val="000000"/>
          <w:sz w:val="36"/>
          <w:szCs w:val="24"/>
          <w:rtl/>
        </w:rPr>
        <w:t>פַּעֲמַיִם שָׁלֹשׁ עִם גָּבֶר</w:t>
      </w:r>
      <w:r w:rsidRPr="00007309">
        <w:rPr>
          <w:rFonts w:ascii="Cambria" w:hAnsi="Cambria" w:cs="Arial" w:hint="cs"/>
          <w:b/>
          <w:bCs/>
          <w:i/>
          <w:iCs/>
          <w:color w:val="000000"/>
          <w:sz w:val="36"/>
          <w:szCs w:val="24"/>
          <w:rtl/>
        </w:rPr>
        <w:t>.</w:t>
      </w:r>
    </w:p>
    <w:p w:rsidR="00007309" w:rsidRPr="00007309" w:rsidRDefault="00007309" w:rsidP="00007309">
      <w:pPr>
        <w:jc w:val="both"/>
        <w:rPr>
          <w:rFonts w:cs="Arial"/>
          <w:b/>
          <w:bCs/>
          <w:color w:val="000000"/>
          <w:sz w:val="36"/>
          <w:szCs w:val="24"/>
          <w:rtl/>
        </w:rPr>
      </w:pPr>
      <w:r w:rsidRPr="00007309">
        <w:rPr>
          <w:rFonts w:cs="Arial"/>
          <w:b/>
          <w:bCs/>
          <w:color w:val="000000"/>
          <w:sz w:val="36"/>
          <w:szCs w:val="24"/>
          <w:vertAlign w:val="superscript"/>
          <w:rtl/>
        </w:rPr>
        <w:footnoteReference w:id="5826"/>
      </w:r>
      <w:r w:rsidRPr="00007309">
        <w:rPr>
          <w:rFonts w:cs="Arial"/>
          <w:b/>
          <w:bCs/>
          <w:color w:val="000000"/>
          <w:sz w:val="36"/>
          <w:szCs w:val="24"/>
          <w:rtl/>
        </w:rPr>
        <w:t xml:space="preserve">וְהַאי מִשְׁכָּן עִלָּאָה דְּעָלַיְהוּ אִתְקְרֵי מִי. הָדָא הוּא דִּכְתִיב מִי בָּרָא אֵלֶּה. וְהַאי מִי אִיהִי בִּינָה </w:t>
      </w:r>
      <w:r w:rsidRPr="00007309">
        <w:rPr>
          <w:rFonts w:cs="Arial" w:hint="cs"/>
          <w:color w:val="000000"/>
          <w:sz w:val="36"/>
          <w:szCs w:val="24"/>
          <w:rtl/>
        </w:rPr>
        <w:t>(</w:t>
      </w:r>
      <w:r w:rsidRPr="00007309">
        <w:rPr>
          <w:rFonts w:cs="Arial"/>
          <w:color w:val="000000"/>
          <w:sz w:val="36"/>
          <w:szCs w:val="24"/>
          <w:vertAlign w:val="superscript"/>
          <w:rtl/>
        </w:rPr>
        <w:footnoteReference w:id="5827"/>
      </w:r>
      <w:r w:rsidRPr="00007309">
        <w:rPr>
          <w:rFonts w:cs="Arial"/>
          <w:color w:val="000000"/>
          <w:sz w:val="36"/>
          <w:szCs w:val="24"/>
          <w:rtl/>
        </w:rPr>
        <w:t>וְדָא שְׁמָה</w:t>
      </w:r>
      <w:r w:rsidRPr="00007309">
        <w:rPr>
          <w:rFonts w:cs="Arial" w:hint="cs"/>
          <w:color w:val="000000"/>
          <w:sz w:val="36"/>
          <w:szCs w:val="24"/>
          <w:rtl/>
        </w:rPr>
        <w:t>)</w:t>
      </w:r>
      <w:r w:rsidRPr="00007309">
        <w:rPr>
          <w:rFonts w:cs="Arial"/>
          <w:b/>
          <w:bCs/>
          <w:color w:val="000000"/>
          <w:sz w:val="36"/>
          <w:szCs w:val="24"/>
          <w:rtl/>
        </w:rPr>
        <w:t xml:space="preserve"> וְדַרְגָּא דִּילַהּ יוֹם הַכִּפּוּרִים אִיהוּ וַדַּאי, וְהַאי דַּרְגָּא דְּאִתְקְרֵי בִּינָה אִתְקְרֵי הָעוֹלָם הַבָּא. וּבָעוֹלָם הַבָּא, לֵית בֵּהּ אֲכִילָה וּשְׁתִיָּה. כְּגַוְנָא דָּא יוֹם הַכִּפּוּרִים דִילֵהּ לֵית תַּמָּן אֲכִילָה וּשְׁתִיָּה. </w:t>
      </w:r>
    </w:p>
    <w:p w:rsidR="00007309" w:rsidRPr="00007309" w:rsidRDefault="00007309" w:rsidP="00007309">
      <w:pPr>
        <w:jc w:val="both"/>
        <w:rPr>
          <w:rFonts w:cs="Arial"/>
          <w:b/>
          <w:bCs/>
          <w:color w:val="000000"/>
          <w:sz w:val="36"/>
          <w:szCs w:val="24"/>
        </w:rPr>
      </w:pPr>
      <w:r w:rsidRPr="00007309">
        <w:rPr>
          <w:rFonts w:cs="Arial"/>
          <w:b/>
          <w:bCs/>
          <w:color w:val="000000"/>
          <w:sz w:val="36"/>
          <w:szCs w:val="24"/>
          <w:rtl/>
        </w:rPr>
        <w:t xml:space="preserve">מַלְכוּת אִתְקְרֵי מַ''ה, דָּא מִשְׁכַּן הָעֵדוּת. </w:t>
      </w:r>
      <w:r w:rsidRPr="00007309">
        <w:rPr>
          <w:rFonts w:cs="Arial"/>
          <w:b/>
          <w:bCs/>
          <w:color w:val="000000"/>
          <w:sz w:val="36"/>
          <w:szCs w:val="24"/>
          <w:vertAlign w:val="superscript"/>
          <w:rtl/>
        </w:rPr>
        <w:footnoteReference w:id="5828"/>
      </w:r>
      <w:r w:rsidRPr="00007309">
        <w:rPr>
          <w:rFonts w:cs="Arial"/>
          <w:b/>
          <w:bCs/>
          <w:color w:val="000000"/>
          <w:sz w:val="36"/>
          <w:szCs w:val="24"/>
          <w:rtl/>
        </w:rPr>
        <w:t xml:space="preserve">וּבְגִין דְּבַהּ אִשְׁתְּכַח עֵדוּת, אִתְּמַר בַּהּ </w:t>
      </w:r>
      <w:r w:rsidRPr="00007309">
        <w:rPr>
          <w:rFonts w:cs="Arial"/>
          <w:b/>
          <w:bCs/>
          <w:color w:val="000000"/>
          <w:sz w:val="36"/>
          <w:szCs w:val="24"/>
          <w:vertAlign w:val="superscript"/>
          <w:rtl/>
        </w:rPr>
        <w:footnoteReference w:id="5829"/>
      </w:r>
      <w:r w:rsidRPr="00007309">
        <w:rPr>
          <w:rFonts w:cs="Arial"/>
          <w:b/>
          <w:bCs/>
          <w:color w:val="000000"/>
          <w:sz w:val="36"/>
          <w:szCs w:val="24"/>
          <w:rtl/>
        </w:rPr>
        <w:t>מָה אֲעִידֵךְ</w:t>
      </w:r>
      <w:r w:rsidRPr="00007309">
        <w:rPr>
          <w:rFonts w:cs="Arial"/>
          <w:b/>
          <w:bCs/>
          <w:color w:val="000000"/>
          <w:sz w:val="36"/>
          <w:szCs w:val="24"/>
        </w:rPr>
        <w:t>.</w:t>
      </w:r>
    </w:p>
    <w:p w:rsidR="00007309" w:rsidRPr="00007309" w:rsidRDefault="00007309" w:rsidP="00007309">
      <w:pPr>
        <w:jc w:val="both"/>
        <w:rPr>
          <w:rFonts w:cs="Arial"/>
          <w:b/>
          <w:bCs/>
          <w:color w:val="000000"/>
          <w:sz w:val="36"/>
          <w:szCs w:val="24"/>
          <w:rtl/>
        </w:rPr>
      </w:pPr>
      <w:r w:rsidRPr="00007309">
        <w:rPr>
          <w:rFonts w:cs="Arial"/>
          <w:b/>
          <w:bCs/>
          <w:color w:val="000000"/>
          <w:sz w:val="36"/>
          <w:szCs w:val="24"/>
          <w:rtl/>
        </w:rPr>
        <w:t xml:space="preserve">וּכְמָה דְּעָלְמָא עִלָּאָה אַפִּיק שִׁית מוֹעֲדִים, כָּךְ עָלְמָא תַּתָּאָה אַפִּיק שִׁית. </w:t>
      </w:r>
      <w:r w:rsidRPr="00007309">
        <w:rPr>
          <w:rFonts w:cs="Arial"/>
          <w:b/>
          <w:bCs/>
          <w:color w:val="000000"/>
          <w:sz w:val="36"/>
          <w:szCs w:val="24"/>
          <w:vertAlign w:val="superscript"/>
          <w:rtl/>
        </w:rPr>
        <w:footnoteReference w:id="5830"/>
      </w:r>
      <w:r w:rsidRPr="00007309">
        <w:rPr>
          <w:rFonts w:cs="Arial"/>
          <w:b/>
          <w:bCs/>
          <w:color w:val="000000"/>
          <w:sz w:val="36"/>
          <w:szCs w:val="24"/>
          <w:rtl/>
        </w:rPr>
        <w:t xml:space="preserve">וְאִנּוּן </w:t>
      </w:r>
      <w:r w:rsidRPr="00007309">
        <w:rPr>
          <w:rFonts w:hint="cs"/>
          <w:sz w:val="18"/>
          <w:szCs w:val="18"/>
          <w:rtl/>
        </w:rPr>
        <w:t>(בראשית א)</w:t>
      </w:r>
      <w:r w:rsidRPr="00007309">
        <w:rPr>
          <w:rFonts w:cs="Arial" w:hint="cs"/>
          <w:b/>
          <w:bCs/>
          <w:color w:val="000000"/>
          <w:sz w:val="36"/>
          <w:szCs w:val="24"/>
          <w:rtl/>
        </w:rPr>
        <w:t xml:space="preserve"> </w:t>
      </w:r>
      <w:r w:rsidRPr="00007309">
        <w:rPr>
          <w:rFonts w:cs="Arial"/>
          <w:b/>
          <w:bCs/>
          <w:color w:val="000000"/>
          <w:sz w:val="36"/>
          <w:szCs w:val="24"/>
          <w:rtl/>
        </w:rPr>
        <w:t xml:space="preserve">אֶת הַשָּׁמַיִם וְאֶת הָאָרֶץ, וּמִנַּיִן דְּאִנּוּן שִׁית בַּשָּׁמַיִם וְהָאָרֶץ, הָדָא הוּא דִּכְתִיב </w:t>
      </w:r>
      <w:r w:rsidRPr="00007309">
        <w:rPr>
          <w:rFonts w:hint="cs"/>
          <w:sz w:val="18"/>
          <w:szCs w:val="18"/>
          <w:rtl/>
        </w:rPr>
        <w:t xml:space="preserve">(שמות לא) </w:t>
      </w:r>
      <w:r w:rsidRPr="00007309">
        <w:rPr>
          <w:rFonts w:cs="Arial"/>
          <w:b/>
          <w:bCs/>
          <w:color w:val="000000"/>
          <w:sz w:val="36"/>
          <w:szCs w:val="24"/>
          <w:rtl/>
        </w:rPr>
        <w:t>כִּי שֵׁשֶׁת יָמִים עָשָׂה ה' אֶת הַשָּׁמַיִם וְאֶת הָאָרֶץ. כִּי שֵׁשֶׁת וַדַּאי דְּאִנּוּן שִׁית. וּבְגִין דָּא לֹא אָמַר כִּי בְּשֵׁשֶׁת יָמִים</w:t>
      </w:r>
      <w:r w:rsidRPr="00007309">
        <w:rPr>
          <w:rFonts w:cs="Arial"/>
          <w:b/>
          <w:bCs/>
          <w:color w:val="000000"/>
          <w:sz w:val="36"/>
          <w:szCs w:val="24"/>
        </w:rPr>
        <w:t>.</w:t>
      </w:r>
      <w:r w:rsidRPr="00007309">
        <w:rPr>
          <w:rFonts w:cs="Arial" w:hint="cs"/>
          <w:b/>
          <w:bCs/>
          <w:color w:val="000000"/>
          <w:sz w:val="36"/>
          <w:szCs w:val="24"/>
          <w:rtl/>
        </w:rPr>
        <w:t xml:space="preserve"> </w:t>
      </w:r>
      <w:r w:rsidRPr="00007309">
        <w:rPr>
          <w:rFonts w:cs="Arial"/>
          <w:b/>
          <w:bCs/>
          <w:color w:val="000000"/>
          <w:sz w:val="36"/>
          <w:szCs w:val="24"/>
          <w:rtl/>
        </w:rPr>
        <w:t xml:space="preserve">וּכְמָה דְּאִתְּמַר עֵדוּת בְּעָלְמָא תַּתָּאָה הָדָא הוּא דִּכְתִיב </w:t>
      </w:r>
      <w:r w:rsidRPr="00007309">
        <w:rPr>
          <w:rFonts w:hint="cs"/>
          <w:sz w:val="18"/>
          <w:szCs w:val="18"/>
          <w:rtl/>
        </w:rPr>
        <w:t>(איכה ב)</w:t>
      </w:r>
      <w:r w:rsidRPr="00007309">
        <w:rPr>
          <w:rFonts w:cs="Arial" w:hint="cs"/>
          <w:b/>
          <w:bCs/>
          <w:color w:val="000000"/>
          <w:sz w:val="36"/>
          <w:szCs w:val="24"/>
          <w:rtl/>
        </w:rPr>
        <w:t xml:space="preserve"> </w:t>
      </w:r>
      <w:r w:rsidRPr="00007309">
        <w:rPr>
          <w:rFonts w:cs="Arial"/>
          <w:b/>
          <w:bCs/>
          <w:color w:val="000000"/>
          <w:sz w:val="36"/>
          <w:szCs w:val="24"/>
          <w:rtl/>
        </w:rPr>
        <w:t xml:space="preserve">מָה אֲעִידֵךְ, הָכֵי אִית עֵדוּת בַּשָּׁמַיִם וּבָאָרֶץ הָדָא הוּא דִּכְתִיב </w:t>
      </w:r>
      <w:r w:rsidRPr="00007309">
        <w:rPr>
          <w:rFonts w:hint="cs"/>
          <w:sz w:val="18"/>
          <w:szCs w:val="18"/>
          <w:rtl/>
        </w:rPr>
        <w:t>(דברים ל)</w:t>
      </w:r>
      <w:r w:rsidRPr="00007309">
        <w:rPr>
          <w:rFonts w:cs="Arial" w:hint="cs"/>
          <w:b/>
          <w:bCs/>
          <w:color w:val="000000"/>
          <w:sz w:val="36"/>
          <w:szCs w:val="24"/>
          <w:rtl/>
        </w:rPr>
        <w:t xml:space="preserve"> </w:t>
      </w:r>
      <w:r w:rsidRPr="00007309">
        <w:rPr>
          <w:rFonts w:cs="Arial"/>
          <w:b/>
          <w:bCs/>
          <w:color w:val="000000"/>
          <w:sz w:val="36"/>
          <w:szCs w:val="24"/>
          <w:rtl/>
        </w:rPr>
        <w:t xml:space="preserve">הֲעִידוֹתִי בָּכֶם הַיּוֹם אֶת הַשָּׁמַיִם וְאֶת הָאָרֶץ. </w:t>
      </w:r>
    </w:p>
    <w:p w:rsidR="00007309" w:rsidRPr="00007309" w:rsidRDefault="00007309" w:rsidP="00007309">
      <w:pPr>
        <w:jc w:val="both"/>
        <w:rPr>
          <w:rFonts w:cs="Arial"/>
          <w:b/>
          <w:bCs/>
          <w:color w:val="000000"/>
          <w:sz w:val="36"/>
          <w:szCs w:val="24"/>
          <w:rtl/>
        </w:rPr>
      </w:pPr>
      <w:r w:rsidRPr="00007309">
        <w:rPr>
          <w:rFonts w:cs="Arial"/>
          <w:b/>
          <w:bCs/>
          <w:color w:val="000000"/>
          <w:sz w:val="36"/>
          <w:szCs w:val="24"/>
          <w:rtl/>
        </w:rPr>
        <w:t xml:space="preserve">הָא עָלְמָא עִלָּאָה בְּרֵאשִׁי''ת וְעָלְמָא תַּתָּאָה בָּרָא שִׁית, וְאִלֵּין אִנּוּן תְּרֵין מִשְׁכְּנוֹת </w:t>
      </w:r>
      <w:r w:rsidRPr="00007309">
        <w:rPr>
          <w:rFonts w:cs="Arial"/>
          <w:b/>
          <w:bCs/>
          <w:color w:val="000000"/>
          <w:sz w:val="36"/>
          <w:szCs w:val="24"/>
          <w:vertAlign w:val="superscript"/>
          <w:rtl/>
        </w:rPr>
        <w:footnoteReference w:id="5831"/>
      </w:r>
      <w:r w:rsidRPr="00007309">
        <w:rPr>
          <w:rFonts w:cs="Arial"/>
          <w:b/>
          <w:bCs/>
          <w:color w:val="000000"/>
          <w:sz w:val="36"/>
          <w:szCs w:val="24"/>
          <w:rtl/>
        </w:rPr>
        <w:t>לַאֲבִיר יַעֲקֹב</w:t>
      </w:r>
      <w:r w:rsidRPr="00007309">
        <w:rPr>
          <w:rFonts w:cs="Arial" w:hint="cs"/>
          <w:b/>
          <w:bCs/>
          <w:color w:val="000000"/>
          <w:sz w:val="36"/>
          <w:szCs w:val="24"/>
          <w:rtl/>
        </w:rPr>
        <w:t xml:space="preserve"> </w:t>
      </w:r>
      <w:r w:rsidRPr="00007309">
        <w:rPr>
          <w:rFonts w:hint="cs"/>
          <w:sz w:val="18"/>
          <w:szCs w:val="18"/>
          <w:rtl/>
        </w:rPr>
        <w:t>(תהלים קלב ה)</w:t>
      </w:r>
      <w:r w:rsidRPr="00007309">
        <w:rPr>
          <w:rFonts w:cs="Arial"/>
          <w:b/>
          <w:bCs/>
          <w:color w:val="000000"/>
          <w:sz w:val="36"/>
          <w:szCs w:val="24"/>
          <w:rtl/>
        </w:rPr>
        <w:t xml:space="preserve">. </w:t>
      </w:r>
      <w:r w:rsidRPr="00007309">
        <w:rPr>
          <w:rFonts w:cs="Arial" w:hint="cs"/>
          <w:b/>
          <w:bCs/>
          <w:color w:val="000000"/>
          <w:sz w:val="36"/>
          <w:szCs w:val="24"/>
          <w:rtl/>
        </w:rPr>
        <w:t>ו</w:t>
      </w:r>
      <w:r w:rsidRPr="00007309">
        <w:rPr>
          <w:rFonts w:cs="Arial"/>
          <w:b/>
          <w:bCs/>
          <w:color w:val="000000"/>
          <w:sz w:val="36"/>
          <w:szCs w:val="24"/>
          <w:rtl/>
        </w:rPr>
        <w:t>ְ</w:t>
      </w:r>
      <w:r w:rsidRPr="00007309">
        <w:rPr>
          <w:rFonts w:cs="Arial" w:hint="cs"/>
          <w:b/>
          <w:bCs/>
          <w:color w:val="000000"/>
          <w:sz w:val="36"/>
          <w:szCs w:val="24"/>
          <w:rtl/>
        </w:rPr>
        <w:t>א</w:t>
      </w:r>
      <w:r w:rsidRPr="00007309">
        <w:rPr>
          <w:rFonts w:cs="Arial"/>
          <w:b/>
          <w:bCs/>
          <w:color w:val="000000"/>
          <w:sz w:val="36"/>
          <w:szCs w:val="24"/>
          <w:rtl/>
        </w:rPr>
        <w:t>ִ</w:t>
      </w:r>
      <w:r w:rsidRPr="00007309">
        <w:rPr>
          <w:rFonts w:cs="Arial" w:hint="cs"/>
          <w:b/>
          <w:bCs/>
          <w:color w:val="000000"/>
          <w:sz w:val="36"/>
          <w:szCs w:val="24"/>
          <w:rtl/>
        </w:rPr>
        <w:t>י ת</w:t>
      </w:r>
      <w:r w:rsidRPr="00007309">
        <w:rPr>
          <w:rFonts w:cs="Arial"/>
          <w:b/>
          <w:bCs/>
          <w:color w:val="000000"/>
          <w:sz w:val="36"/>
          <w:szCs w:val="24"/>
          <w:rtl/>
        </w:rPr>
        <w:t>ֵ</w:t>
      </w:r>
      <w:r w:rsidRPr="00007309">
        <w:rPr>
          <w:rFonts w:cs="Arial" w:hint="cs"/>
          <w:b/>
          <w:bCs/>
          <w:color w:val="000000"/>
          <w:sz w:val="36"/>
          <w:szCs w:val="24"/>
          <w:rtl/>
        </w:rPr>
        <w:t>ימ</w:t>
      </w:r>
      <w:r w:rsidRPr="00007309">
        <w:rPr>
          <w:rFonts w:cs="Arial"/>
          <w:b/>
          <w:bCs/>
          <w:color w:val="000000"/>
          <w:sz w:val="36"/>
          <w:szCs w:val="24"/>
          <w:rtl/>
        </w:rPr>
        <w:t>ַ</w:t>
      </w:r>
      <w:r w:rsidRPr="00007309">
        <w:rPr>
          <w:rFonts w:cs="Arial" w:hint="cs"/>
          <w:b/>
          <w:bCs/>
          <w:color w:val="000000"/>
          <w:sz w:val="36"/>
          <w:szCs w:val="24"/>
          <w:rtl/>
        </w:rPr>
        <w:t xml:space="preserve">א </w:t>
      </w:r>
      <w:r w:rsidRPr="00007309">
        <w:rPr>
          <w:rFonts w:cs="Arial" w:hint="cs"/>
          <w:color w:val="000000"/>
          <w:sz w:val="36"/>
          <w:szCs w:val="24"/>
          <w:rtl/>
        </w:rPr>
        <w:t>(</w:t>
      </w:r>
      <w:r w:rsidRPr="00007309">
        <w:rPr>
          <w:rFonts w:cs="Arial"/>
          <w:color w:val="000000"/>
          <w:sz w:val="36"/>
          <w:szCs w:val="24"/>
          <w:rtl/>
        </w:rPr>
        <w:t>אִם כֵּן</w:t>
      </w:r>
      <w:r w:rsidRPr="00007309">
        <w:rPr>
          <w:rFonts w:cs="Arial" w:hint="cs"/>
          <w:color w:val="000000"/>
          <w:sz w:val="36"/>
          <w:szCs w:val="24"/>
          <w:rtl/>
        </w:rPr>
        <w:t>)</w:t>
      </w:r>
      <w:r w:rsidRPr="00007309">
        <w:rPr>
          <w:rFonts w:cs="Arial"/>
          <w:b/>
          <w:bCs/>
          <w:color w:val="000000"/>
          <w:sz w:val="36"/>
          <w:szCs w:val="24"/>
          <w:rtl/>
        </w:rPr>
        <w:t xml:space="preserve"> בָּתַר דְּאָמַר אֵלֶּה מוֹעֲדֵי ה' </w:t>
      </w:r>
      <w:r w:rsidRPr="00007309">
        <w:rPr>
          <w:rFonts w:cs="Arial" w:hint="cs"/>
          <w:color w:val="000000"/>
          <w:sz w:val="36"/>
          <w:szCs w:val="24"/>
          <w:rtl/>
        </w:rPr>
        <w:t>(</w:t>
      </w:r>
      <w:r w:rsidRPr="00007309">
        <w:rPr>
          <w:rFonts w:cs="Arial"/>
          <w:color w:val="000000"/>
          <w:sz w:val="36"/>
          <w:szCs w:val="24"/>
          <w:rtl/>
        </w:rPr>
        <w:t xml:space="preserve">מִקְרָאֵי קֹדֶשׁ </w:t>
      </w:r>
      <w:r w:rsidRPr="00007309">
        <w:rPr>
          <w:rFonts w:cs="Arial"/>
          <w:color w:val="000000"/>
          <w:sz w:val="36"/>
          <w:szCs w:val="24"/>
          <w:vertAlign w:val="superscript"/>
          <w:rtl/>
        </w:rPr>
        <w:footnoteReference w:id="5832"/>
      </w:r>
      <w:r w:rsidRPr="00007309">
        <w:rPr>
          <w:rFonts w:cs="Arial"/>
          <w:color w:val="000000"/>
          <w:sz w:val="36"/>
          <w:szCs w:val="24"/>
          <w:rtl/>
        </w:rPr>
        <w:t>דְּאִנּוּן שִׁית</w:t>
      </w:r>
      <w:r w:rsidRPr="00007309">
        <w:rPr>
          <w:rFonts w:cs="Arial" w:hint="cs"/>
          <w:color w:val="000000"/>
          <w:sz w:val="36"/>
          <w:szCs w:val="24"/>
          <w:rtl/>
        </w:rPr>
        <w:t>)</w:t>
      </w:r>
      <w:r w:rsidRPr="00007309">
        <w:rPr>
          <w:rFonts w:cs="Arial"/>
          <w:b/>
          <w:bCs/>
          <w:color w:val="000000"/>
          <w:sz w:val="36"/>
          <w:szCs w:val="24"/>
          <w:rtl/>
        </w:rPr>
        <w:t xml:space="preserve"> מַאי נִיהוּ בְּמוֹעֲדָם דְּאָמַר בָּתַר כֵּן. אֶלָּא לֵית רְשׁוּ לְמִקְרֵי לוֹן אֶלָּא </w:t>
      </w:r>
      <w:r w:rsidRPr="00007309">
        <w:rPr>
          <w:rFonts w:cs="Arial"/>
          <w:b/>
          <w:bCs/>
          <w:color w:val="000000"/>
          <w:sz w:val="36"/>
          <w:szCs w:val="24"/>
          <w:vertAlign w:val="superscript"/>
          <w:rtl/>
        </w:rPr>
        <w:footnoteReference w:id="5833"/>
      </w:r>
      <w:r w:rsidRPr="00007309">
        <w:rPr>
          <w:rFonts w:cs="Arial"/>
          <w:b/>
          <w:bCs/>
          <w:color w:val="000000"/>
          <w:sz w:val="36"/>
          <w:szCs w:val="24"/>
          <w:rtl/>
        </w:rPr>
        <w:t xml:space="preserve">בְּמוֹעֲדָם דְּאִיהִי מַלְכוּת </w:t>
      </w:r>
      <w:r w:rsidRPr="00007309">
        <w:rPr>
          <w:rFonts w:cs="Arial" w:hint="cs"/>
          <w:b/>
          <w:bCs/>
          <w:color w:val="000000"/>
          <w:sz w:val="36"/>
          <w:szCs w:val="24"/>
          <w:rtl/>
        </w:rPr>
        <w:t xml:space="preserve">ודאי </w:t>
      </w:r>
      <w:r w:rsidRPr="00007309">
        <w:rPr>
          <w:rFonts w:cs="Arial"/>
          <w:b/>
          <w:bCs/>
          <w:color w:val="000000"/>
          <w:sz w:val="36"/>
          <w:szCs w:val="24"/>
          <w:rtl/>
        </w:rPr>
        <w:t>אִיהִ</w:t>
      </w:r>
      <w:r w:rsidRPr="00007309">
        <w:rPr>
          <w:rFonts w:cs="Arial" w:hint="cs"/>
          <w:b/>
          <w:bCs/>
          <w:color w:val="000000"/>
          <w:sz w:val="36"/>
          <w:szCs w:val="24"/>
          <w:rtl/>
        </w:rPr>
        <w:t>י</w:t>
      </w:r>
      <w:r w:rsidRPr="00007309">
        <w:rPr>
          <w:rFonts w:cs="Arial"/>
          <w:b/>
          <w:bCs/>
          <w:color w:val="000000"/>
          <w:sz w:val="36"/>
          <w:szCs w:val="24"/>
          <w:rtl/>
        </w:rPr>
        <w:t xml:space="preserve"> שְׁמִינִי חַג עֲצֶרֶת </w:t>
      </w:r>
      <w:r w:rsidRPr="00007309">
        <w:rPr>
          <w:rFonts w:cs="Arial"/>
          <w:b/>
          <w:bCs/>
          <w:color w:val="000000"/>
          <w:sz w:val="36"/>
          <w:szCs w:val="24"/>
          <w:vertAlign w:val="superscript"/>
          <w:rtl/>
        </w:rPr>
        <w:footnoteReference w:id="5834"/>
      </w:r>
      <w:r w:rsidRPr="00007309">
        <w:rPr>
          <w:rFonts w:cs="Arial"/>
          <w:b/>
          <w:bCs/>
          <w:color w:val="000000"/>
          <w:sz w:val="36"/>
          <w:szCs w:val="24"/>
          <w:rtl/>
        </w:rPr>
        <w:t xml:space="preserve">דְּאִיהוּ חַג בִּפְנֵי עַצְמוֹ. </w:t>
      </w:r>
      <w:r w:rsidRPr="00007309">
        <w:rPr>
          <w:rFonts w:cs="Arial"/>
          <w:b/>
          <w:bCs/>
          <w:color w:val="000000"/>
          <w:sz w:val="36"/>
          <w:szCs w:val="24"/>
          <w:vertAlign w:val="superscript"/>
          <w:rtl/>
        </w:rPr>
        <w:footnoteReference w:id="5835"/>
      </w:r>
      <w:r w:rsidRPr="00007309">
        <w:rPr>
          <w:rFonts w:cs="Arial"/>
          <w:b/>
          <w:bCs/>
          <w:color w:val="000000"/>
          <w:sz w:val="36"/>
          <w:szCs w:val="24"/>
          <w:rtl/>
        </w:rPr>
        <w:t xml:space="preserve">וּבַאֲתַר </w:t>
      </w:r>
      <w:r w:rsidRPr="00007309">
        <w:rPr>
          <w:rFonts w:cs="Arial"/>
          <w:b/>
          <w:bCs/>
          <w:color w:val="000000"/>
          <w:sz w:val="36"/>
          <w:szCs w:val="24"/>
          <w:vertAlign w:val="superscript"/>
          <w:rtl/>
        </w:rPr>
        <w:footnoteReference w:id="5836"/>
      </w:r>
      <w:r w:rsidRPr="00007309">
        <w:rPr>
          <w:rFonts w:cs="Arial"/>
          <w:b/>
          <w:bCs/>
          <w:color w:val="000000"/>
          <w:sz w:val="36"/>
          <w:szCs w:val="24"/>
          <w:rtl/>
        </w:rPr>
        <w:t xml:space="preserve">אָחֳרָא אָמַר אֵלֶּה הֵם מוֹעֲדַי. הֵ''ם אִיהוּ בְּהִפּוּךְ אַתְוָן מָ''ה. וְדָא אִיהוּ אֵלֶּה </w:t>
      </w:r>
      <w:r w:rsidRPr="00007309">
        <w:rPr>
          <w:rFonts w:cs="Arial" w:hint="cs"/>
          <w:b/>
          <w:bCs/>
          <w:color w:val="000000"/>
          <w:sz w:val="36"/>
          <w:szCs w:val="24"/>
          <w:rtl/>
        </w:rPr>
        <w:t>מה</w:t>
      </w:r>
      <w:r w:rsidRPr="00007309">
        <w:rPr>
          <w:rFonts w:cs="Arial"/>
          <w:b/>
          <w:bCs/>
          <w:color w:val="000000"/>
          <w:sz w:val="36"/>
          <w:szCs w:val="24"/>
          <w:rtl/>
        </w:rPr>
        <w:t xml:space="preserve"> מוֹעֲדַי.</w:t>
      </w:r>
    </w:p>
    <w:p w:rsidR="00007309" w:rsidRPr="00007309" w:rsidRDefault="00007309" w:rsidP="00007309">
      <w:pPr>
        <w:keepNext/>
        <w:spacing w:before="240" w:after="60"/>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[וילנא א ע"ב]</w:t>
      </w:r>
    </w:p>
    <w:p w:rsidR="00007309" w:rsidRPr="00007309" w:rsidRDefault="00007309" w:rsidP="00007309">
      <w:pPr>
        <w:jc w:val="both"/>
        <w:rPr>
          <w:rFonts w:cs="Arial"/>
          <w:rtl/>
        </w:rPr>
      </w:pPr>
      <w:r w:rsidRPr="00007309">
        <w:rPr>
          <w:rFonts w:cs="Arial"/>
          <w:b/>
          <w:bCs/>
          <w:color w:val="000000"/>
          <w:sz w:val="36"/>
          <w:szCs w:val="24"/>
          <w:rtl/>
        </w:rPr>
        <w:t>תָּא חֲזֵי אִלֵּין מוֹעֲדֵי ה', אָזְלִין עַל תִּקּוּנָא דְּגוּפָא דְּמַלְכָּא קַדִּישָׁא, ואִלֵּין אִנּוּן</w:t>
      </w:r>
      <w:r w:rsidRPr="00007309">
        <w:rPr>
          <w:rFonts w:cs="Arial" w:hint="cs"/>
          <w:b/>
          <w:bCs/>
          <w:color w:val="000000"/>
          <w:sz w:val="36"/>
          <w:szCs w:val="24"/>
          <w:rtl/>
        </w:rPr>
        <w:t>.</w:t>
      </w:r>
      <w:r w:rsidRPr="00007309">
        <w:rPr>
          <w:rFonts w:cs="Arial"/>
          <w:b/>
          <w:bCs/>
          <w:color w:val="000000"/>
          <w:sz w:val="36"/>
          <w:szCs w:val="24"/>
          <w:rtl/>
        </w:rPr>
        <w:t xml:space="preserve"> פֶּסַח דְּרוֹעָא יְמִינָא דְּמַלְכָּא, וְדָא חֶסֶד. וּבְגִינַהּ אִתְּמַר </w:t>
      </w:r>
      <w:r w:rsidRPr="00007309">
        <w:rPr>
          <w:rFonts w:cs="Arial"/>
          <w:b/>
          <w:bCs/>
          <w:color w:val="000000"/>
          <w:sz w:val="36"/>
          <w:szCs w:val="24"/>
          <w:vertAlign w:val="superscript"/>
          <w:rtl/>
        </w:rPr>
        <w:footnoteReference w:id="5837"/>
      </w:r>
      <w:r w:rsidRPr="00007309">
        <w:rPr>
          <w:rFonts w:cs="Arial"/>
          <w:b/>
          <w:bCs/>
          <w:color w:val="000000"/>
          <w:sz w:val="36"/>
          <w:szCs w:val="24"/>
          <w:rtl/>
        </w:rPr>
        <w:t>יָמִין מְקָרֶבֶת</w:t>
      </w:r>
      <w:r w:rsidRPr="00007309">
        <w:rPr>
          <w:rFonts w:cs="Arial" w:hint="cs"/>
          <w:b/>
          <w:bCs/>
          <w:color w:val="000000"/>
          <w:sz w:val="36"/>
          <w:szCs w:val="24"/>
          <w:rtl/>
        </w:rPr>
        <w:t>.</w:t>
      </w:r>
      <w:r w:rsidRPr="00007309">
        <w:rPr>
          <w:rFonts w:cs="Arial"/>
          <w:b/>
          <w:bCs/>
          <w:color w:val="000000"/>
          <w:sz w:val="36"/>
          <w:szCs w:val="24"/>
          <w:rtl/>
        </w:rPr>
        <w:t xml:space="preserve"> רֹאשׁ הַשָּׁנָה דְּרוֹעָא שְׂמָאלָא דְּמַלְכָּא וְדָא גְּבוּרָה. וּבְגִינַהּ אִתְּמַר </w:t>
      </w:r>
      <w:r w:rsidRPr="00007309">
        <w:rPr>
          <w:rFonts w:cs="Arial"/>
          <w:b/>
          <w:bCs/>
          <w:color w:val="000000"/>
          <w:sz w:val="36"/>
          <w:szCs w:val="24"/>
          <w:vertAlign w:val="superscript"/>
          <w:rtl/>
        </w:rPr>
        <w:footnoteReference w:id="5838"/>
      </w:r>
      <w:r w:rsidRPr="00007309">
        <w:rPr>
          <w:rFonts w:cs="Arial"/>
          <w:b/>
          <w:bCs/>
          <w:color w:val="000000"/>
          <w:sz w:val="36"/>
          <w:szCs w:val="24"/>
          <w:rtl/>
        </w:rPr>
        <w:t>שְׂמֹאל דּוֹחָה</w:t>
      </w:r>
      <w:r w:rsidRPr="00007309">
        <w:rPr>
          <w:rFonts w:cs="Arial" w:hint="cs"/>
          <w:b/>
          <w:bCs/>
          <w:color w:val="000000"/>
          <w:sz w:val="36"/>
          <w:szCs w:val="24"/>
          <w:rtl/>
        </w:rPr>
        <w:t>.</w:t>
      </w:r>
      <w:r w:rsidRPr="00007309">
        <w:rPr>
          <w:rFonts w:cs="Arial"/>
          <w:b/>
          <w:bCs/>
          <w:color w:val="000000"/>
          <w:sz w:val="36"/>
          <w:szCs w:val="24"/>
          <w:rtl/>
        </w:rPr>
        <w:t xml:space="preserve"> שָׁבוּעוֹת דָּא </w:t>
      </w:r>
      <w:r w:rsidRPr="00007309">
        <w:rPr>
          <w:rFonts w:cs="Arial"/>
          <w:b/>
          <w:bCs/>
          <w:color w:val="000000"/>
          <w:sz w:val="36"/>
          <w:szCs w:val="24"/>
          <w:vertAlign w:val="superscript"/>
          <w:rtl/>
        </w:rPr>
        <w:footnoteReference w:id="5839"/>
      </w:r>
      <w:r w:rsidRPr="00007309">
        <w:rPr>
          <w:rFonts w:cs="Arial"/>
          <w:b/>
          <w:bCs/>
          <w:color w:val="000000"/>
          <w:sz w:val="36"/>
          <w:szCs w:val="24"/>
          <w:rtl/>
        </w:rPr>
        <w:t>גּוּפָא דְּמַלְכָּא, וְדָא ת''ת עַמּוּדָא דְּאֶמְצָעִיתָא</w:t>
      </w:r>
      <w:r w:rsidRPr="00007309">
        <w:rPr>
          <w:rFonts w:cs="Arial" w:hint="cs"/>
          <w:b/>
          <w:bCs/>
          <w:color w:val="000000"/>
          <w:sz w:val="36"/>
          <w:szCs w:val="24"/>
          <w:rtl/>
        </w:rPr>
        <w:t>.</w:t>
      </w:r>
      <w:r w:rsidRPr="00007309">
        <w:rPr>
          <w:rFonts w:cs="Arial"/>
          <w:b/>
          <w:bCs/>
          <w:color w:val="000000"/>
          <w:sz w:val="36"/>
          <w:szCs w:val="24"/>
          <w:rtl/>
        </w:rPr>
        <w:t xml:space="preserve"> חֲנֻכָּה וּפוּרִים אִלֵּין אִנּוּן תְּרֵין שׁוֹקִין דְּמַלְכָּא, </w:t>
      </w:r>
      <w:r w:rsidRPr="00007309">
        <w:rPr>
          <w:rFonts w:cs="Arial"/>
          <w:b/>
          <w:bCs/>
          <w:color w:val="000000"/>
          <w:sz w:val="36"/>
          <w:szCs w:val="24"/>
          <w:vertAlign w:val="superscript"/>
          <w:rtl/>
        </w:rPr>
        <w:footnoteReference w:id="5840"/>
      </w:r>
      <w:r w:rsidRPr="00007309">
        <w:rPr>
          <w:rFonts w:cs="Arial"/>
          <w:b/>
          <w:bCs/>
          <w:color w:val="000000"/>
          <w:sz w:val="36"/>
          <w:szCs w:val="24"/>
          <w:rtl/>
        </w:rPr>
        <w:t xml:space="preserve">דְּעָלַיְהוּ שַׁרְיָא נֵס </w:t>
      </w:r>
      <w:r w:rsidRPr="00007309">
        <w:rPr>
          <w:rFonts w:cs="Arial"/>
          <w:b/>
          <w:bCs/>
          <w:color w:val="000000"/>
          <w:sz w:val="36"/>
          <w:szCs w:val="24"/>
          <w:vertAlign w:val="superscript"/>
          <w:rtl/>
        </w:rPr>
        <w:footnoteReference w:id="5841"/>
      </w:r>
      <w:r w:rsidRPr="00007309">
        <w:rPr>
          <w:rFonts w:cs="Arial"/>
          <w:b/>
          <w:bCs/>
          <w:color w:val="000000"/>
          <w:sz w:val="36"/>
          <w:szCs w:val="24"/>
          <w:rtl/>
        </w:rPr>
        <w:t xml:space="preserve">וּבְגִינַיְהוּ </w:t>
      </w:r>
      <w:r w:rsidRPr="00007309">
        <w:rPr>
          <w:rFonts w:ascii="Cambria" w:hAnsi="Cambria" w:cs="Times New Roman" w:hint="cs"/>
          <w:b/>
          <w:bCs/>
          <w:i/>
          <w:iCs/>
          <w:color w:val="4F81BD"/>
          <w:sz w:val="22"/>
          <w:szCs w:val="22"/>
          <w:rtl/>
        </w:rPr>
        <w:t xml:space="preserve">(וילנא א ע"ב) </w:t>
      </w:r>
      <w:r w:rsidRPr="00007309">
        <w:rPr>
          <w:rFonts w:cs="Arial"/>
          <w:b/>
          <w:bCs/>
          <w:color w:val="000000"/>
          <w:sz w:val="36"/>
          <w:szCs w:val="24"/>
          <w:rtl/>
        </w:rPr>
        <w:t xml:space="preserve">אִתְּמַר אֵלֶּה פִּקּוּדֵי, </w:t>
      </w:r>
      <w:r w:rsidRPr="00007309">
        <w:rPr>
          <w:rFonts w:cs="Arial"/>
          <w:b/>
          <w:bCs/>
          <w:color w:val="000000"/>
          <w:sz w:val="36"/>
          <w:szCs w:val="24"/>
          <w:vertAlign w:val="superscript"/>
          <w:rtl/>
        </w:rPr>
        <w:footnoteReference w:id="5842"/>
      </w:r>
      <w:r w:rsidRPr="00007309">
        <w:rPr>
          <w:rFonts w:cs="Arial"/>
          <w:b/>
          <w:bCs/>
          <w:color w:val="000000"/>
          <w:sz w:val="36"/>
          <w:szCs w:val="24"/>
          <w:rtl/>
        </w:rPr>
        <w:t>תְּרֵין פִּקּוּדִין וַדַּאי, דבְּגִינַיְהוּ אִתְּמַר</w:t>
      </w:r>
      <w:r w:rsidRPr="00007309">
        <w:rPr>
          <w:rFonts w:cs="Arial"/>
          <w:b/>
          <w:bCs/>
          <w:color w:val="000000"/>
          <w:sz w:val="36"/>
          <w:szCs w:val="24"/>
        </w:rPr>
        <w:t xml:space="preserve"> </w:t>
      </w:r>
      <w:r w:rsidRPr="00007309">
        <w:rPr>
          <w:rFonts w:hint="cs"/>
          <w:sz w:val="18"/>
          <w:szCs w:val="18"/>
          <w:rtl/>
        </w:rPr>
        <w:t xml:space="preserve">(שמות ג) </w:t>
      </w:r>
      <w:r w:rsidRPr="00007309">
        <w:rPr>
          <w:rFonts w:cs="Arial"/>
          <w:b/>
          <w:bCs/>
          <w:color w:val="000000"/>
          <w:sz w:val="36"/>
          <w:szCs w:val="24"/>
          <w:vertAlign w:val="superscript"/>
          <w:rtl/>
        </w:rPr>
        <w:footnoteReference w:id="5843"/>
      </w:r>
      <w:r w:rsidRPr="00007309">
        <w:rPr>
          <w:rFonts w:cs="Arial"/>
          <w:b/>
          <w:bCs/>
          <w:color w:val="000000"/>
          <w:sz w:val="36"/>
          <w:szCs w:val="24"/>
          <w:rtl/>
        </w:rPr>
        <w:t xml:space="preserve">פָּקֹד פָּקַדְתִּי. </w:t>
      </w:r>
      <w:r w:rsidRPr="00007309">
        <w:rPr>
          <w:rFonts w:cs="Arial"/>
          <w:b/>
          <w:bCs/>
          <w:color w:val="000000"/>
          <w:sz w:val="36"/>
          <w:szCs w:val="24"/>
          <w:vertAlign w:val="superscript"/>
          <w:rtl/>
        </w:rPr>
        <w:footnoteReference w:id="5844"/>
      </w:r>
      <w:r w:rsidRPr="00007309">
        <w:rPr>
          <w:rFonts w:cs="Arial"/>
          <w:b/>
          <w:bCs/>
          <w:color w:val="000000"/>
          <w:sz w:val="36"/>
          <w:szCs w:val="24"/>
          <w:rtl/>
        </w:rPr>
        <w:t xml:space="preserve">תְּרֵין נְבִיאִים </w:t>
      </w:r>
      <w:r w:rsidRPr="00007309">
        <w:rPr>
          <w:rFonts w:cs="Arial"/>
          <w:b/>
          <w:bCs/>
          <w:color w:val="000000"/>
          <w:sz w:val="36"/>
          <w:szCs w:val="24"/>
          <w:vertAlign w:val="superscript"/>
          <w:rtl/>
        </w:rPr>
        <w:footnoteReference w:id="5845"/>
      </w:r>
      <w:r w:rsidRPr="00007309">
        <w:rPr>
          <w:rFonts w:cs="Arial"/>
          <w:b/>
          <w:bCs/>
          <w:color w:val="000000"/>
          <w:sz w:val="36"/>
          <w:szCs w:val="24"/>
          <w:rtl/>
        </w:rPr>
        <w:t xml:space="preserve">תְּרֵין מְשִׁיחִין אִנּוּן וַדַּאי. </w:t>
      </w:r>
      <w:r w:rsidRPr="00007309">
        <w:rPr>
          <w:rFonts w:hint="cs"/>
          <w:sz w:val="18"/>
          <w:szCs w:val="18"/>
          <w:rtl/>
        </w:rPr>
        <w:t xml:space="preserve">(שם ל) </w:t>
      </w:r>
      <w:r w:rsidRPr="00007309">
        <w:rPr>
          <w:rFonts w:cs="Arial" w:hint="cs"/>
          <w:b/>
          <w:bCs/>
          <w:color w:val="000000"/>
          <w:sz w:val="36"/>
          <w:szCs w:val="24"/>
          <w:rtl/>
        </w:rPr>
        <w:t>כ</w:t>
      </w:r>
      <w:r w:rsidRPr="00007309">
        <w:rPr>
          <w:rFonts w:cs="Arial"/>
          <w:b/>
          <w:bCs/>
          <w:color w:val="000000"/>
          <w:sz w:val="36"/>
          <w:szCs w:val="24"/>
          <w:rtl/>
        </w:rPr>
        <w:t xml:space="preserve">ָּל הָעוֹבֵר עַל הַפְּקוּדִים, דָּא יְסוֹד וְדָא חַג הַסֻּכּוֹת </w:t>
      </w:r>
      <w:r w:rsidRPr="00007309">
        <w:rPr>
          <w:rFonts w:cs="Arial"/>
          <w:b/>
          <w:bCs/>
          <w:color w:val="000000"/>
          <w:sz w:val="36"/>
          <w:szCs w:val="24"/>
          <w:vertAlign w:val="superscript"/>
          <w:rtl/>
        </w:rPr>
        <w:footnoteReference w:id="5846"/>
      </w:r>
      <w:r w:rsidRPr="00007309">
        <w:rPr>
          <w:rFonts w:cs="Arial"/>
          <w:b/>
          <w:bCs/>
          <w:color w:val="000000"/>
          <w:sz w:val="36"/>
          <w:szCs w:val="24"/>
          <w:rtl/>
        </w:rPr>
        <w:t xml:space="preserve">כָּלִיל מִכֻּלְּהוּ, וְאִיהוּ הָעוֹבֵר עַל הַפְּקֻדִּים. דְּאִנּוּן נֶצַח וָהוֹד אוֹת הוּא </w:t>
      </w:r>
      <w:r w:rsidRPr="00007309">
        <w:rPr>
          <w:rFonts w:cs="Arial"/>
          <w:b/>
          <w:bCs/>
          <w:color w:val="000000"/>
          <w:sz w:val="36"/>
          <w:szCs w:val="24"/>
          <w:vertAlign w:val="superscript"/>
          <w:rtl/>
        </w:rPr>
        <w:footnoteReference w:id="5847"/>
      </w:r>
      <w:r w:rsidRPr="00007309">
        <w:rPr>
          <w:rFonts w:cs="Arial"/>
          <w:b/>
          <w:bCs/>
          <w:color w:val="000000"/>
          <w:sz w:val="36"/>
          <w:szCs w:val="24"/>
          <w:rtl/>
        </w:rPr>
        <w:t xml:space="preserve">בַּצָּבָא שֶׁלּוֹ. </w:t>
      </w:r>
      <w:r w:rsidRPr="00007309">
        <w:rPr>
          <w:rFonts w:cs="Arial"/>
          <w:b/>
          <w:bCs/>
          <w:color w:val="000000"/>
          <w:sz w:val="36"/>
          <w:szCs w:val="24"/>
          <w:vertAlign w:val="superscript"/>
          <w:rtl/>
        </w:rPr>
        <w:footnoteReference w:id="5848"/>
      </w:r>
      <w:r w:rsidRPr="00007309">
        <w:rPr>
          <w:rFonts w:cs="Arial"/>
          <w:b/>
          <w:bCs/>
          <w:color w:val="000000"/>
          <w:sz w:val="36"/>
          <w:szCs w:val="24"/>
          <w:rtl/>
        </w:rPr>
        <w:t xml:space="preserve">וְלָמָּה אִתְקְרֵי כֹּל, </w:t>
      </w:r>
      <w:r w:rsidRPr="00007309">
        <w:rPr>
          <w:rFonts w:cs="Arial"/>
          <w:b/>
          <w:bCs/>
          <w:color w:val="000000"/>
          <w:sz w:val="36"/>
          <w:szCs w:val="24"/>
          <w:vertAlign w:val="superscript"/>
          <w:rtl/>
        </w:rPr>
        <w:footnoteReference w:id="5849"/>
      </w:r>
      <w:r w:rsidRPr="00007309">
        <w:rPr>
          <w:rFonts w:cs="Arial"/>
          <w:b/>
          <w:bCs/>
          <w:color w:val="000000"/>
          <w:sz w:val="36"/>
          <w:szCs w:val="24"/>
          <w:rtl/>
        </w:rPr>
        <w:t xml:space="preserve">בְּגִין דְּעָלֵהּ שַׁרְיָא בִּינָה </w:t>
      </w:r>
      <w:r w:rsidRPr="00007309">
        <w:rPr>
          <w:rFonts w:cs="Arial"/>
          <w:b/>
          <w:bCs/>
          <w:color w:val="000000"/>
          <w:sz w:val="36"/>
          <w:szCs w:val="24"/>
          <w:vertAlign w:val="superscript"/>
          <w:rtl/>
        </w:rPr>
        <w:footnoteReference w:id="5850"/>
      </w:r>
      <w:r w:rsidRPr="00007309">
        <w:rPr>
          <w:rFonts w:cs="Arial"/>
          <w:b/>
          <w:bCs/>
          <w:color w:val="000000"/>
          <w:sz w:val="36"/>
          <w:szCs w:val="24"/>
          <w:rtl/>
        </w:rPr>
        <w:t xml:space="preserve">דְּאִיהִי </w:t>
      </w:r>
      <w:r w:rsidRPr="00007309">
        <w:rPr>
          <w:rFonts w:cs="Arial" w:hint="cs"/>
          <w:color w:val="000000"/>
          <w:sz w:val="36"/>
          <w:szCs w:val="24"/>
          <w:rtl/>
        </w:rPr>
        <w:t>(</w:t>
      </w:r>
      <w:r w:rsidRPr="00007309">
        <w:rPr>
          <w:rFonts w:cs="Arial"/>
          <w:color w:val="000000"/>
          <w:sz w:val="36"/>
          <w:szCs w:val="24"/>
          <w:rtl/>
        </w:rPr>
        <w:t>שְׁבִיעָאָה</w:t>
      </w:r>
      <w:r w:rsidRPr="00007309">
        <w:rPr>
          <w:rFonts w:cs="Arial" w:hint="cs"/>
          <w:color w:val="000000"/>
          <w:sz w:val="36"/>
          <w:szCs w:val="24"/>
          <w:rtl/>
        </w:rPr>
        <w:t>)</w:t>
      </w:r>
      <w:r w:rsidRPr="00007309">
        <w:rPr>
          <w:rFonts w:cs="Arial"/>
          <w:b/>
          <w:bCs/>
          <w:color w:val="000000"/>
          <w:sz w:val="36"/>
          <w:szCs w:val="24"/>
          <w:rtl/>
        </w:rPr>
        <w:t xml:space="preserve"> יָם כָּל</w:t>
      </w:r>
      <w:r w:rsidRPr="00007309">
        <w:rPr>
          <w:rFonts w:cs="Arial" w:hint="cs"/>
          <w:b/>
          <w:bCs/>
          <w:color w:val="000000"/>
          <w:sz w:val="36"/>
          <w:szCs w:val="24"/>
          <w:rtl/>
        </w:rPr>
        <w:t>,</w:t>
      </w:r>
      <w:r w:rsidRPr="00007309">
        <w:rPr>
          <w:rFonts w:cs="Arial"/>
          <w:b/>
          <w:bCs/>
          <w:color w:val="000000"/>
          <w:sz w:val="36"/>
          <w:szCs w:val="24"/>
          <w:vertAlign w:val="superscript"/>
          <w:rtl/>
        </w:rPr>
        <w:t xml:space="preserve"> </w:t>
      </w:r>
      <w:r w:rsidRPr="00007309">
        <w:rPr>
          <w:rFonts w:cs="Arial"/>
          <w:b/>
          <w:bCs/>
          <w:color w:val="000000"/>
          <w:sz w:val="36"/>
          <w:szCs w:val="24"/>
          <w:vertAlign w:val="superscript"/>
          <w:rtl/>
        </w:rPr>
        <w:footnoteReference w:id="5851"/>
      </w:r>
      <w:r w:rsidRPr="00007309">
        <w:rPr>
          <w:rFonts w:cs="Arial"/>
          <w:b/>
          <w:bCs/>
          <w:color w:val="000000"/>
          <w:sz w:val="36"/>
          <w:szCs w:val="24"/>
          <w:rtl/>
        </w:rPr>
        <w:t xml:space="preserve">יָם, דָּא יוֹם הַכִּפּוּרִים אִיהִי וַדַּאי, וְעִמָּהּ חַמְשִׁין תַּרְעִין דְּחִירוּ בְּחֻשְׁבָּן כָּל, </w:t>
      </w:r>
      <w:r w:rsidRPr="00007309">
        <w:rPr>
          <w:rFonts w:cs="Arial"/>
          <w:b/>
          <w:bCs/>
          <w:color w:val="000000"/>
          <w:sz w:val="36"/>
          <w:szCs w:val="24"/>
          <w:vertAlign w:val="superscript"/>
          <w:rtl/>
        </w:rPr>
        <w:footnoteReference w:id="5852"/>
      </w:r>
      <w:r w:rsidRPr="00007309">
        <w:rPr>
          <w:rFonts w:cs="Arial"/>
          <w:b/>
          <w:bCs/>
          <w:color w:val="000000"/>
          <w:sz w:val="36"/>
          <w:szCs w:val="24"/>
          <w:rtl/>
        </w:rPr>
        <w:t xml:space="preserve">בִּינָה - בֶּן יָהּ כְּתִיב </w:t>
      </w:r>
      <w:r w:rsidRPr="00007309">
        <w:rPr>
          <w:rFonts w:cs="Arial"/>
          <w:b/>
          <w:bCs/>
          <w:color w:val="000000"/>
          <w:sz w:val="36"/>
          <w:szCs w:val="24"/>
          <w:vertAlign w:val="superscript"/>
          <w:rtl/>
        </w:rPr>
        <w:footnoteReference w:id="5853"/>
      </w:r>
      <w:r w:rsidRPr="00007309">
        <w:rPr>
          <w:rFonts w:cs="Arial"/>
          <w:b/>
          <w:bCs/>
          <w:color w:val="000000"/>
          <w:sz w:val="36"/>
          <w:szCs w:val="24"/>
          <w:rtl/>
        </w:rPr>
        <w:t xml:space="preserve">דְּאִיהוּ אָזִיל מַהֲלַךְ חָמֵשׁ מֵאָה שְׁנִין, וּמָטֵי לִיסוֹד דְּאִיהִי חַג הַסֻּכּוֹת. בְּגִין לְאִתְחַבְּרָא בְּכַלָּה דִּילֵהּ דְּאִיהִי חַג שְׁמִינִי עֲצֶרֶת. וּבִשְׁעַתא דְּאִנּוּן בְּחִבּוּרָא חֲדָא, אִתְקְרִיאוּ תַּרְוַיְהוּ כֹּ'ל </w:t>
      </w:r>
      <w:r w:rsidRPr="00007309">
        <w:rPr>
          <w:rFonts w:cs="Arial"/>
          <w:b/>
          <w:bCs/>
          <w:color w:val="000000"/>
          <w:sz w:val="36"/>
          <w:szCs w:val="24"/>
          <w:vertAlign w:val="superscript"/>
          <w:rtl/>
        </w:rPr>
        <w:footnoteReference w:id="5854"/>
      </w:r>
      <w:r w:rsidRPr="00007309">
        <w:rPr>
          <w:rFonts w:cs="Arial"/>
          <w:b/>
          <w:bCs/>
          <w:color w:val="000000"/>
          <w:sz w:val="36"/>
          <w:szCs w:val="24"/>
          <w:rtl/>
        </w:rPr>
        <w:t xml:space="preserve">כַּלָּ'ה. פֶּסַח צְרִיכִין ישראל לְמֵימַר בֵּהּ הַלֵּל גָּמוּר וְהַלֵּל שֶׁאֵינוֹ גָּמוּר. הַלֵּל גָּמוּר לְקָבְעוֹ </w:t>
      </w:r>
      <w:r w:rsidRPr="00007309">
        <w:rPr>
          <w:rFonts w:cs="David"/>
          <w:sz w:val="24"/>
          <w:szCs w:val="24"/>
          <w:rtl/>
        </w:rPr>
        <w:t>(חסר כאן).</w:t>
      </w:r>
    </w:p>
    <w:p w:rsidR="00007309" w:rsidRPr="00007309" w:rsidRDefault="00007309" w:rsidP="00007309">
      <w:pPr>
        <w:keepNext/>
        <w:outlineLvl w:val="1"/>
        <w:rPr>
          <w:rFonts w:ascii="Cambria" w:hAnsi="Cambria" w:cs="Times New Roman"/>
          <w:b/>
          <w:bCs/>
          <w:i/>
          <w:iCs/>
          <w:sz w:val="28"/>
          <w:szCs w:val="28"/>
          <w:rtl/>
        </w:rPr>
      </w:pPr>
      <w:r w:rsidRPr="00007309">
        <w:rPr>
          <w:rFonts w:ascii="Cambria" w:hAnsi="Cambria" w:cs="Times New Roman" w:hint="cs"/>
          <w:b/>
          <w:bCs/>
          <w:i/>
          <w:iCs/>
          <w:sz w:val="28"/>
          <w:szCs w:val="28"/>
          <w:rtl/>
        </w:rPr>
        <w:t>[דף עב ע"ד]</w:t>
      </w:r>
    </w:p>
    <w:p w:rsidR="00007309" w:rsidRPr="00007309" w:rsidRDefault="00007309" w:rsidP="00007309">
      <w:pPr>
        <w:keepNext/>
        <w:spacing w:before="240" w:after="60"/>
        <w:outlineLvl w:val="0"/>
        <w:rPr>
          <w:rFonts w:ascii="Cambria" w:hAnsi="Cambria" w:cs="Times New Roman"/>
          <w:b/>
          <w:bCs/>
          <w:kern w:val="32"/>
          <w:sz w:val="32"/>
          <w:szCs w:val="32"/>
        </w:rPr>
      </w:pPr>
      <w:r w:rsidRPr="00007309">
        <w:rPr>
          <w:rFonts w:ascii="Cambria" w:hAnsi="Cambria" w:cs="Times New Roman"/>
          <w:b/>
          <w:bCs/>
          <w:kern w:val="32"/>
          <w:sz w:val="32"/>
          <w:szCs w:val="32"/>
          <w:rtl/>
        </w:rPr>
        <w:t>ספרא תניינא</w:t>
      </w:r>
    </w:p>
    <w:p w:rsidR="00007309" w:rsidRPr="00007309" w:rsidRDefault="00007309" w:rsidP="00007309">
      <w:pPr>
        <w:jc w:val="both"/>
        <w:rPr>
          <w:rFonts w:cs="Arial"/>
          <w:b/>
          <w:bCs/>
          <w:sz w:val="24"/>
          <w:szCs w:val="24"/>
          <w:rtl/>
        </w:rPr>
      </w:pPr>
      <w:r w:rsidRPr="00007309">
        <w:rPr>
          <w:rtl/>
        </w:rPr>
        <w:t>(דניאל יב)</w:t>
      </w:r>
      <w:r w:rsidRPr="00007309">
        <w:rPr>
          <w:rFonts w:cs="Arial"/>
          <w:rtl/>
        </w:rPr>
        <w:t xml:space="preserve"> </w:t>
      </w:r>
      <w:r w:rsidRPr="00007309">
        <w:rPr>
          <w:rFonts w:cs="Arial"/>
          <w:b/>
          <w:bCs/>
          <w:sz w:val="24"/>
          <w:szCs w:val="24"/>
          <w:rtl/>
        </w:rPr>
        <w:t xml:space="preserve">וְהַמַּשְׂכִילִים יַזְהִרוּ כְּזֹהַר הָרָקִיעַ וּמַצְדִּיקֵי הָרַבִּים כַּכּוֹכָבִים לְעוֹלָם וָעֶד. וְהַמַּשְׂכִּילִים אִלֵּין רִבִּי שִׁמְעוֹן וְחַבְרוֹי, יַזְהִרוּ כַּד אִתְכְּנָשׁוּ לְמֶעֱבַד הַאי חִבּוּרָא דְּאִיהוּ </w:t>
      </w:r>
      <w:r w:rsidRPr="00007309">
        <w:rPr>
          <w:rFonts w:cs="Arial"/>
          <w:b/>
          <w:bCs/>
          <w:sz w:val="36"/>
          <w:szCs w:val="28"/>
          <w:vertAlign w:val="superscript"/>
          <w:rtl/>
        </w:rPr>
        <w:footnoteReference w:id="5855"/>
      </w:r>
      <w:r w:rsidRPr="00007309">
        <w:rPr>
          <w:rFonts w:cs="Arial"/>
          <w:b/>
          <w:bCs/>
          <w:sz w:val="24"/>
          <w:szCs w:val="24"/>
          <w:rtl/>
        </w:rPr>
        <w:t xml:space="preserve">מִזִּיהֲרָא עִלָּאָה דִּלְעֵלָּא, </w:t>
      </w:r>
      <w:r w:rsidRPr="00007309">
        <w:rPr>
          <w:rFonts w:cs="Arial"/>
          <w:b/>
          <w:bCs/>
          <w:sz w:val="36"/>
          <w:szCs w:val="28"/>
          <w:vertAlign w:val="superscript"/>
          <w:rtl/>
        </w:rPr>
        <w:footnoteReference w:id="5856"/>
      </w:r>
      <w:r w:rsidRPr="00007309">
        <w:rPr>
          <w:rFonts w:cs="Arial"/>
          <w:b/>
          <w:bCs/>
          <w:sz w:val="24"/>
          <w:szCs w:val="24"/>
          <w:rtl/>
        </w:rPr>
        <w:t xml:space="preserve">רְעוּתָא עִלָּאָה אִתְגַּלְּיָא, רְשׁוּתָא אִתְיְהִיב לְרִבִּי שִׁמְעוֹן וְחַבְרוֹי לְגַלָּאָה בֵּהּ רָזִין סְתִימִין עֲמִיקִין, וּלְכָל נִשְׁמָתִין </w:t>
      </w:r>
      <w:r w:rsidRPr="00007309">
        <w:rPr>
          <w:rFonts w:cs="Arial"/>
          <w:b/>
          <w:bCs/>
          <w:sz w:val="36"/>
          <w:szCs w:val="28"/>
          <w:vertAlign w:val="superscript"/>
          <w:rtl/>
        </w:rPr>
        <w:footnoteReference w:id="5857"/>
      </w:r>
      <w:r w:rsidRPr="00007309">
        <w:rPr>
          <w:rFonts w:cs="Arial"/>
          <w:b/>
          <w:bCs/>
          <w:sz w:val="24"/>
          <w:szCs w:val="24"/>
          <w:rtl/>
        </w:rPr>
        <w:t xml:space="preserve">דִּמְתִיבְתָּא דִּלְעֵלָּא, וּמְתִיבְתָּא תַּתָּאָה, </w:t>
      </w:r>
      <w:r w:rsidRPr="00007309">
        <w:rPr>
          <w:rFonts w:cs="Arial"/>
          <w:b/>
          <w:bCs/>
          <w:sz w:val="36"/>
          <w:szCs w:val="28"/>
          <w:vertAlign w:val="superscript"/>
          <w:rtl/>
        </w:rPr>
        <w:footnoteReference w:id="5858"/>
      </w:r>
      <w:r w:rsidRPr="00007309">
        <w:rPr>
          <w:rFonts w:cs="Arial"/>
          <w:b/>
          <w:bCs/>
          <w:sz w:val="24"/>
          <w:szCs w:val="24"/>
          <w:rtl/>
        </w:rPr>
        <w:t xml:space="preserve">וְלִשְׁבַע טוּרִין עִלָּאִין, דְּאִנּוּן תְּלָת אֲבָהָן וְרָעֲיָא מְהֵימָנָא וְאַהֲרֹן וְדָוִד וּשְׁלֹמֹה וְאֵלִיָּהוּ עִמְּהוֹן, וּלְכָל נִשְׁמָתִין דִּמְתִיבְתָאן דְּאָזְלִין עַרְטִילָאִין, וּמַלְאָכִין דִּמְמָנָן עָלַיְהוּ, וְאָזְלִין עַרְטִילָאִין בְּגִינַיְהוּ, </w:t>
      </w:r>
      <w:r w:rsidRPr="00007309">
        <w:rPr>
          <w:rFonts w:cs="Arial"/>
          <w:b/>
          <w:bCs/>
          <w:sz w:val="36"/>
          <w:szCs w:val="28"/>
          <w:vertAlign w:val="superscript"/>
          <w:rtl/>
        </w:rPr>
        <w:footnoteReference w:id="5859"/>
      </w:r>
      <w:r w:rsidRPr="00007309">
        <w:rPr>
          <w:rFonts w:cs="Arial"/>
          <w:b/>
          <w:bCs/>
          <w:sz w:val="24"/>
          <w:szCs w:val="24"/>
          <w:rtl/>
        </w:rPr>
        <w:t xml:space="preserve">דְּאִנּוּן בְּתוּלוֹת אַחֲרֶיהָ רְעוּתֶיהָ דִּשְׁכִינְתָּא, דְּאִיהִי עַרְטִילָאָה מִנְּהוֹן וְאִנּוּן עַרְטִילָאִין מִנַּהּ. וְהָכֵי אִנּוּן חַיָּלִין דְּמַלְכָּא עַרְטִילָאִין מִנַּהּ, דִּכְתִיב (ישעיה לג) הֵן אֶרְאֶלָּם צָעֲקוּ חוּצָה </w:t>
      </w:r>
      <w:r w:rsidRPr="00007309">
        <w:rPr>
          <w:rFonts w:cs="Arial"/>
          <w:b/>
          <w:bCs/>
          <w:sz w:val="36"/>
          <w:szCs w:val="28"/>
          <w:vertAlign w:val="superscript"/>
          <w:rtl/>
        </w:rPr>
        <w:footnoteReference w:id="5860"/>
      </w:r>
      <w:r w:rsidRPr="00007309">
        <w:rPr>
          <w:rFonts w:cs="Arial"/>
          <w:b/>
          <w:bCs/>
          <w:sz w:val="24"/>
          <w:szCs w:val="24"/>
          <w:rtl/>
        </w:rPr>
        <w:t xml:space="preserve">מַלְאֲכֵי שָׁלוֹם מַר יִבְכָּיוּן. וּמְנָא לָן דִּשְׁכִינְתָּא יְחִידָא מִחַיָּלָהָא, הָדָא הוּא דִּכְתִיב </w:t>
      </w:r>
      <w:r w:rsidRPr="00007309">
        <w:rPr>
          <w:rFonts w:ascii="Cambria" w:hAnsi="Cambria" w:cs="Times New Roman" w:hint="cs"/>
          <w:b/>
          <w:bCs/>
          <w:i/>
          <w:iCs/>
          <w:color w:val="4F81BD"/>
          <w:sz w:val="22"/>
          <w:szCs w:val="22"/>
          <w:rtl/>
        </w:rPr>
        <w:t xml:space="preserve">(עב ע"ד) </w:t>
      </w:r>
      <w:r w:rsidRPr="00007309">
        <w:rPr>
          <w:rFonts w:hint="cs"/>
          <w:sz w:val="24"/>
          <w:szCs w:val="24"/>
          <w:rtl/>
        </w:rPr>
        <w:t xml:space="preserve">(איכה א) </w:t>
      </w:r>
      <w:r w:rsidRPr="00007309">
        <w:rPr>
          <w:rFonts w:cs="Arial"/>
          <w:b/>
          <w:bCs/>
          <w:sz w:val="24"/>
          <w:szCs w:val="24"/>
          <w:rtl/>
        </w:rPr>
        <w:t>אֵיכָה יָשְׁבָה בָּדָד. אֵ'י כֹּ'ה יָשְׁבָה בָּדָד, דְּאִתְּמַר בֵּהּ (תהלים קמה) וַחֲסִידֶךָ יְבָרְכוּ כ'ה. וְעַל קוּדְשָׁא בְּרִיךְ הוּא וּשְׁכִינְתֵּהּ אָמַר קְרָא (משלי</w:t>
      </w:r>
      <w:r w:rsidRPr="00007309">
        <w:rPr>
          <w:rFonts w:cs="Arial"/>
          <w:b/>
          <w:bCs/>
          <w:sz w:val="24"/>
          <w:szCs w:val="24"/>
        </w:rPr>
        <w:t xml:space="preserve"> </w:t>
      </w:r>
      <w:r w:rsidRPr="00007309">
        <w:rPr>
          <w:rFonts w:cs="Arial"/>
          <w:b/>
          <w:bCs/>
          <w:sz w:val="24"/>
          <w:szCs w:val="24"/>
          <w:rtl/>
        </w:rPr>
        <w:t>כז) כְּצִפּוֹר נוֹדֶדֶת מִקִּנָּהּ כֵּן אִישׁ נוֹדֵד מִמְּקוֹמוֹ, דְּאִתְּמַר בֵּהּ (שמות</w:t>
      </w:r>
      <w:r w:rsidRPr="00007309">
        <w:rPr>
          <w:rFonts w:cs="Arial" w:hint="cs"/>
          <w:b/>
          <w:bCs/>
          <w:sz w:val="24"/>
          <w:szCs w:val="24"/>
          <w:rtl/>
        </w:rPr>
        <w:t xml:space="preserve"> </w:t>
      </w:r>
      <w:r w:rsidRPr="00007309">
        <w:rPr>
          <w:rFonts w:cs="Arial"/>
          <w:b/>
          <w:bCs/>
          <w:sz w:val="24"/>
          <w:szCs w:val="24"/>
          <w:rtl/>
        </w:rPr>
        <w:t xml:space="preserve">טו) ה' אִישׁ מִלְחָמָה. וּבְזִמְנָא דְּאִיהִי עַרְטִילָאָה, תַּלְמִידֵי חֲכָמִים וְצַדִּיקִים </w:t>
      </w:r>
      <w:r w:rsidRPr="00007309">
        <w:rPr>
          <w:rFonts w:cs="Arial"/>
          <w:b/>
          <w:bCs/>
          <w:sz w:val="36"/>
          <w:szCs w:val="28"/>
          <w:vertAlign w:val="superscript"/>
          <w:rtl/>
        </w:rPr>
        <w:footnoteReference w:id="5861"/>
      </w:r>
      <w:r w:rsidRPr="00007309">
        <w:rPr>
          <w:rFonts w:cs="Arial"/>
          <w:b/>
          <w:bCs/>
          <w:sz w:val="24"/>
          <w:szCs w:val="24"/>
          <w:rtl/>
        </w:rPr>
        <w:t>וְאַנְשֵׁי מִדּוֹת דִּילַהּ, כֻּלְּהוּ אָזְלִין מְנַדְּדִין מִדּוּךְ לְדוּךְ, מֵאֲתַר לַאֲתַר. כְּמָה דְּאוֹקְמוּהּ מָארֵי מַתְנִיתִין דּוֹר שֶׁבֶּן דָּוִד בָּא, אַנְשֵׁי חַיִל</w:t>
      </w:r>
      <w:r w:rsidRPr="00007309">
        <w:rPr>
          <w:rFonts w:cs="Arial"/>
          <w:b/>
          <w:bCs/>
          <w:sz w:val="24"/>
          <w:szCs w:val="24"/>
        </w:rPr>
        <w:t xml:space="preserve"> </w:t>
      </w:r>
      <w:r w:rsidRPr="00007309">
        <w:rPr>
          <w:rFonts w:cs="Arial"/>
          <w:b/>
          <w:bCs/>
          <w:sz w:val="24"/>
          <w:szCs w:val="24"/>
          <w:rtl/>
        </w:rPr>
        <w:t xml:space="preserve">יְסוֹבְבוּ מֵעִיר לְעִיר וְלֹא יְרֻחֲמוּ, וּבְגִין דָּא אִסְתְּכַם קוּדְשָׁא בְּרִיךְ הוּא וּשְׁכִינְתֵּהּ לְמֶעֱבַד הַאי חִבּוּרָא, </w:t>
      </w:r>
      <w:r w:rsidRPr="00007309">
        <w:rPr>
          <w:rFonts w:cs="Arial"/>
          <w:b/>
          <w:bCs/>
          <w:sz w:val="36"/>
          <w:szCs w:val="28"/>
          <w:vertAlign w:val="superscript"/>
          <w:rtl/>
        </w:rPr>
        <w:footnoteReference w:id="5862"/>
      </w:r>
      <w:r w:rsidRPr="00007309">
        <w:rPr>
          <w:rFonts w:cs="Arial"/>
          <w:b/>
          <w:bCs/>
          <w:sz w:val="24"/>
          <w:szCs w:val="24"/>
          <w:rtl/>
        </w:rPr>
        <w:t xml:space="preserve">עַל יַד הַהוּא דְּאִתְגַּלְּיָא </w:t>
      </w:r>
      <w:r w:rsidRPr="00007309">
        <w:rPr>
          <w:rFonts w:cs="Arial"/>
          <w:b/>
          <w:bCs/>
          <w:sz w:val="36"/>
          <w:szCs w:val="28"/>
          <w:vertAlign w:val="superscript"/>
          <w:rtl/>
        </w:rPr>
        <w:footnoteReference w:id="5863"/>
      </w:r>
      <w:r w:rsidRPr="00007309">
        <w:rPr>
          <w:rFonts w:cs="Arial"/>
          <w:b/>
          <w:bCs/>
          <w:sz w:val="24"/>
          <w:szCs w:val="24"/>
          <w:rtl/>
        </w:rPr>
        <w:t xml:space="preserve">וְכָנִיס בּיהּ עִלָּאִין וְתַתָּאִין לְאַשְׁכָּחָא בֵּהּ נִיחָא לִשְׁכִינְתָּא בְּגָלוּתָא, וְחִירוּ לָהּ וְלִבְנָהָא. הָדָא הוּא דִּכְתִיב </w:t>
      </w:r>
      <w:r w:rsidRPr="00007309">
        <w:rPr>
          <w:rtl/>
        </w:rPr>
        <w:t>(תהלים פד)</w:t>
      </w:r>
      <w:r w:rsidRPr="00007309">
        <w:rPr>
          <w:rFonts w:cs="Arial"/>
          <w:b/>
          <w:bCs/>
          <w:sz w:val="24"/>
          <w:szCs w:val="24"/>
          <w:rtl/>
        </w:rPr>
        <w:t xml:space="preserve"> גַּם צִפּוֹר מָצְאָה בַּיִת וּדְרוֹר קֵן לָהּ. </w:t>
      </w:r>
      <w:r w:rsidRPr="00007309">
        <w:rPr>
          <w:rFonts w:cs="Arial"/>
          <w:b/>
          <w:bCs/>
          <w:sz w:val="36"/>
          <w:szCs w:val="28"/>
          <w:vertAlign w:val="superscript"/>
          <w:rtl/>
        </w:rPr>
        <w:footnoteReference w:id="5864"/>
      </w:r>
      <w:r w:rsidRPr="00007309">
        <w:rPr>
          <w:rFonts w:cs="Arial"/>
          <w:b/>
          <w:bCs/>
          <w:sz w:val="24"/>
          <w:szCs w:val="24"/>
          <w:rtl/>
        </w:rPr>
        <w:t xml:space="preserve">הַהִיא דְּאִתְּמַר בָּהּ </w:t>
      </w:r>
      <w:r w:rsidRPr="00007309">
        <w:rPr>
          <w:rtl/>
        </w:rPr>
        <w:t>(ויקרא כה)</w:t>
      </w:r>
      <w:r w:rsidRPr="00007309">
        <w:rPr>
          <w:rFonts w:cs="Arial"/>
          <w:b/>
          <w:bCs/>
          <w:sz w:val="24"/>
          <w:szCs w:val="24"/>
          <w:rtl/>
        </w:rPr>
        <w:t xml:space="preserve"> וּקְרָאתֶם דְּרוֹר בָּאָרֶץ לְכָל יוֹשְׁבֶיהָ. אֲשֶׁר שָׁתָה אֶפְרוֹחֶיהָ, אִלֵּין דְּאִתְּמַר בְּהוֹן </w:t>
      </w:r>
      <w:r w:rsidRPr="00007309">
        <w:rPr>
          <w:rtl/>
        </w:rPr>
        <w:t>(דברים כב)</w:t>
      </w:r>
      <w:r w:rsidRPr="00007309">
        <w:rPr>
          <w:rFonts w:cs="Arial"/>
          <w:b/>
          <w:bCs/>
          <w:sz w:val="24"/>
          <w:szCs w:val="24"/>
          <w:rtl/>
        </w:rPr>
        <w:t xml:space="preserve"> וְהָאֵם רֹבֶצֶת עַל הָאֶפְרוֹחִים. </w:t>
      </w:r>
      <w:r w:rsidRPr="00007309">
        <w:rPr>
          <w:rFonts w:cs="Arial"/>
          <w:b/>
          <w:bCs/>
          <w:sz w:val="36"/>
          <w:szCs w:val="28"/>
          <w:vertAlign w:val="superscript"/>
          <w:rtl/>
        </w:rPr>
        <w:footnoteReference w:id="5865"/>
      </w:r>
      <w:r w:rsidRPr="00007309">
        <w:rPr>
          <w:rFonts w:cs="Arial"/>
          <w:b/>
          <w:bCs/>
          <w:sz w:val="24"/>
          <w:szCs w:val="24"/>
          <w:rtl/>
        </w:rPr>
        <w:t xml:space="preserve">וְאִנּוּן מָארֵי דְּגַדְפִין דְּאִתְּמַר בְּהוּ </w:t>
      </w:r>
      <w:r w:rsidRPr="00007309">
        <w:rPr>
          <w:rtl/>
        </w:rPr>
        <w:t>(יחזקאל א)</w:t>
      </w:r>
      <w:r w:rsidRPr="00007309">
        <w:rPr>
          <w:rFonts w:cs="Arial"/>
          <w:b/>
          <w:bCs/>
          <w:sz w:val="24"/>
          <w:szCs w:val="24"/>
          <w:rtl/>
        </w:rPr>
        <w:t xml:space="preserve"> וְד' פָּנִים לְאֶחָת וְאַרְבַּע כְּנָפַיִם לְאַחַת לָהֶם. דְּאִלֵּין אִנּוּן דִּמְמָנָן עַל מָארֵי מַתְנִיתִין דְּרוּחֵיהוֹן פַּרְחִין מִנְּהוֹן. אִלֵּין רִבֵּי שִׁמְעוֹן וְחַבְרוֹי וּמָארֵי מְתִיבְתָּא דְּעַבְדֵי הַאי חִבּוּרָא. אוֹ עַל הַבֵּיצִים, </w:t>
      </w:r>
      <w:r w:rsidRPr="00007309">
        <w:rPr>
          <w:rFonts w:cs="Arial"/>
          <w:b/>
          <w:bCs/>
          <w:sz w:val="36"/>
          <w:szCs w:val="28"/>
          <w:vertAlign w:val="superscript"/>
          <w:rtl/>
        </w:rPr>
        <w:footnoteReference w:id="5866"/>
      </w:r>
      <w:r w:rsidRPr="00007309">
        <w:rPr>
          <w:rFonts w:cs="Arial"/>
          <w:b/>
          <w:bCs/>
          <w:sz w:val="24"/>
          <w:szCs w:val="24"/>
          <w:rtl/>
        </w:rPr>
        <w:t xml:space="preserve">אִלֵּין אוֹפַנִּים דִּמְמָנָן עַל מָארֵי מִקְרָא. </w:t>
      </w:r>
      <w:r w:rsidRPr="00007309">
        <w:rPr>
          <w:rFonts w:cs="Arial"/>
          <w:b/>
          <w:bCs/>
          <w:sz w:val="36"/>
          <w:szCs w:val="28"/>
          <w:vertAlign w:val="superscript"/>
          <w:rtl/>
        </w:rPr>
        <w:footnoteReference w:id="5867"/>
      </w:r>
      <w:r w:rsidRPr="00007309">
        <w:rPr>
          <w:rFonts w:cs="Arial"/>
          <w:b/>
          <w:bCs/>
          <w:sz w:val="24"/>
          <w:szCs w:val="24"/>
          <w:rtl/>
        </w:rPr>
        <w:t xml:space="preserve">דִּבְגִין הַאי חִבּוּרָא וְהָאֵם רֹבֶצֶת עַל הָאֶפְרוֹחִים אוֹ עַל הַבֵּיצִים </w:t>
      </w:r>
      <w:r w:rsidRPr="00007309">
        <w:rPr>
          <w:rFonts w:cs="Arial"/>
          <w:b/>
          <w:bCs/>
          <w:sz w:val="36"/>
          <w:szCs w:val="28"/>
          <w:vertAlign w:val="superscript"/>
          <w:rtl/>
        </w:rPr>
        <w:footnoteReference w:id="5868"/>
      </w:r>
      <w:r w:rsidRPr="00007309">
        <w:rPr>
          <w:rFonts w:cs="Arial"/>
          <w:b/>
          <w:bCs/>
          <w:sz w:val="24"/>
          <w:szCs w:val="24"/>
          <w:rtl/>
        </w:rPr>
        <w:t xml:space="preserve">לֹא תִּקַּח הָאֵם עַל הַבָּנִים, אִלֵּין אִנּוּן דְּאִתְּמַר בְּהוֹן בָּנִים אַתֶּם לַה' אֱלֹהֵיכֶם. </w:t>
      </w:r>
    </w:p>
    <w:p w:rsidR="00007309" w:rsidRPr="00007309" w:rsidRDefault="00007309" w:rsidP="00007309">
      <w:pPr>
        <w:keepNext/>
        <w:spacing w:before="240" w:after="60"/>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[וילנא ב ע"א]</w:t>
      </w:r>
    </w:p>
    <w:p w:rsidR="00007309" w:rsidRPr="00007309" w:rsidRDefault="00007309" w:rsidP="00007309">
      <w:pPr>
        <w:jc w:val="both"/>
        <w:rPr>
          <w:rFonts w:cs="Arial"/>
          <w:b/>
          <w:bCs/>
          <w:sz w:val="24"/>
          <w:szCs w:val="24"/>
        </w:rPr>
      </w:pPr>
      <w:r w:rsidRPr="00007309">
        <w:rPr>
          <w:rFonts w:cs="Arial"/>
          <w:b/>
          <w:bCs/>
          <w:sz w:val="24"/>
          <w:szCs w:val="24"/>
          <w:rtl/>
        </w:rPr>
        <w:t xml:space="preserve">וְהַאי חִבּוּרָא הֲוָא כְּגַוְנָא דְּתֵבַת נֹחַ דְּאִתְכְּנַשׁ בָּהּ </w:t>
      </w:r>
      <w:r w:rsidRPr="00007309">
        <w:rPr>
          <w:rFonts w:cs="Arial"/>
          <w:b/>
          <w:bCs/>
          <w:sz w:val="36"/>
          <w:szCs w:val="28"/>
          <w:vertAlign w:val="superscript"/>
          <w:rtl/>
        </w:rPr>
        <w:footnoteReference w:id="5869"/>
      </w:r>
      <w:r w:rsidRPr="00007309">
        <w:rPr>
          <w:rFonts w:cs="Arial"/>
          <w:b/>
          <w:bCs/>
          <w:sz w:val="24"/>
          <w:szCs w:val="24"/>
          <w:rtl/>
        </w:rPr>
        <w:t xml:space="preserve">כָּל מִין וָמִין, הָכֵי מִתְכַּנְּשִׁין בְּהַאי חִבּוּרָא כָּל נִשְׁמָתִין דְּצַדִּיקַיָּא וְאַנְשֵׁי מִדּוֹת, דְּאִתְּמַר בְּהוֹן </w:t>
      </w:r>
      <w:r w:rsidRPr="00007309">
        <w:rPr>
          <w:rtl/>
        </w:rPr>
        <w:t>(תהלים קיח)</w:t>
      </w:r>
      <w:r w:rsidRPr="00007309">
        <w:rPr>
          <w:rFonts w:cs="Arial"/>
          <w:b/>
          <w:bCs/>
          <w:sz w:val="24"/>
          <w:szCs w:val="24"/>
          <w:rtl/>
        </w:rPr>
        <w:t xml:space="preserve"> זֶה הַשַּׁעַר לַה' צַדִּיקִים יָבֹאוּ בּוֹ, </w:t>
      </w:r>
      <w:r w:rsidRPr="00007309">
        <w:rPr>
          <w:rFonts w:cs="Arial"/>
          <w:b/>
          <w:bCs/>
          <w:sz w:val="36"/>
          <w:szCs w:val="28"/>
          <w:vertAlign w:val="superscript"/>
          <w:rtl/>
        </w:rPr>
        <w:footnoteReference w:id="5870"/>
      </w:r>
      <w:r w:rsidRPr="00007309">
        <w:rPr>
          <w:rFonts w:cs="Arial"/>
          <w:b/>
          <w:bCs/>
          <w:sz w:val="24"/>
          <w:szCs w:val="24"/>
          <w:rtl/>
        </w:rPr>
        <w:t xml:space="preserve">וָאָחֳרָנִין דְּלָא צַדִּיקִים, אִתְדַּחְיָן מִתַּמָּן. וְכַד אִתְגַּלְּיָא הַאי חִבּוּרָא בְּעָלְמָא, סַגִּיאִין מִתְכַּנְּשִׁין לְגַבֵּהּ דְּאִתְּמַר בְּהוֹן </w:t>
      </w:r>
      <w:r w:rsidRPr="00007309">
        <w:rPr>
          <w:rtl/>
        </w:rPr>
        <w:t>(דברים כט)</w:t>
      </w:r>
      <w:r w:rsidRPr="00007309">
        <w:rPr>
          <w:rFonts w:cs="Arial"/>
          <w:b/>
          <w:bCs/>
          <w:sz w:val="24"/>
          <w:szCs w:val="24"/>
          <w:rtl/>
        </w:rPr>
        <w:t xml:space="preserve"> כִּי אֶת אֲשֶׁר יֶשְׁנוֹ פֹּה וְגוֹ', </w:t>
      </w:r>
      <w:r w:rsidRPr="00007309">
        <w:rPr>
          <w:rFonts w:cs="Arial"/>
          <w:b/>
          <w:bCs/>
          <w:sz w:val="36"/>
          <w:szCs w:val="28"/>
          <w:vertAlign w:val="superscript"/>
          <w:rtl/>
        </w:rPr>
        <w:footnoteReference w:id="5871"/>
      </w:r>
      <w:r w:rsidRPr="00007309">
        <w:rPr>
          <w:rFonts w:cs="Arial"/>
          <w:b/>
          <w:bCs/>
          <w:sz w:val="24"/>
          <w:szCs w:val="24"/>
          <w:rtl/>
        </w:rPr>
        <w:t xml:space="preserve">וְאֶת אֲשֶׁר אֵינֶנּוּ פֹּה בְּהַאי חִבּוּרָא </w:t>
      </w:r>
      <w:r w:rsidRPr="00007309">
        <w:rPr>
          <w:rFonts w:ascii="Cambria" w:hAnsi="Cambria" w:cs="Times New Roman" w:hint="cs"/>
          <w:b/>
          <w:bCs/>
          <w:i/>
          <w:iCs/>
          <w:color w:val="4F81BD"/>
          <w:sz w:val="22"/>
          <w:szCs w:val="22"/>
          <w:rtl/>
        </w:rPr>
        <w:t xml:space="preserve">(וילנא ב ע"א) </w:t>
      </w:r>
      <w:r w:rsidRPr="00007309">
        <w:rPr>
          <w:rFonts w:cs="Arial"/>
          <w:b/>
          <w:bCs/>
          <w:sz w:val="24"/>
          <w:szCs w:val="24"/>
          <w:rtl/>
        </w:rPr>
        <w:t xml:space="preserve">עִמָּנוּ הַיּוֹם. וְעָלֵהוּ אִתְּמַר </w:t>
      </w:r>
      <w:r w:rsidRPr="00007309">
        <w:rPr>
          <w:rtl/>
        </w:rPr>
        <w:t>(דניאל יב)</w:t>
      </w:r>
      <w:r w:rsidRPr="00007309">
        <w:rPr>
          <w:rFonts w:cs="Arial"/>
          <w:b/>
          <w:bCs/>
          <w:sz w:val="24"/>
          <w:szCs w:val="24"/>
          <w:rtl/>
        </w:rPr>
        <w:t xml:space="preserve"> </w:t>
      </w:r>
      <w:r w:rsidRPr="00007309">
        <w:rPr>
          <w:rFonts w:cs="Arial"/>
          <w:b/>
          <w:bCs/>
          <w:sz w:val="36"/>
          <w:szCs w:val="28"/>
          <w:vertAlign w:val="superscript"/>
          <w:rtl/>
        </w:rPr>
        <w:footnoteReference w:id="5872"/>
      </w:r>
      <w:r w:rsidRPr="00007309">
        <w:rPr>
          <w:rFonts w:cs="Arial"/>
          <w:b/>
          <w:bCs/>
          <w:sz w:val="24"/>
          <w:szCs w:val="24"/>
          <w:rtl/>
        </w:rPr>
        <w:t xml:space="preserve">וּמַצְדִּיקֵי הָרַבִּים </w:t>
      </w:r>
      <w:r w:rsidRPr="00007309">
        <w:rPr>
          <w:rFonts w:cs="Arial"/>
          <w:b/>
          <w:bCs/>
          <w:sz w:val="36"/>
          <w:szCs w:val="28"/>
          <w:vertAlign w:val="superscript"/>
          <w:rtl/>
        </w:rPr>
        <w:footnoteReference w:id="5873"/>
      </w:r>
      <w:r w:rsidRPr="00007309">
        <w:rPr>
          <w:rFonts w:cs="Arial"/>
          <w:b/>
          <w:bCs/>
          <w:sz w:val="24"/>
          <w:szCs w:val="24"/>
          <w:rtl/>
        </w:rPr>
        <w:t xml:space="preserve">כַּכּוֹכָבִים </w:t>
      </w:r>
      <w:r w:rsidRPr="00007309">
        <w:rPr>
          <w:rFonts w:cs="Arial"/>
          <w:b/>
          <w:bCs/>
          <w:sz w:val="36"/>
          <w:szCs w:val="28"/>
          <w:vertAlign w:val="superscript"/>
          <w:rtl/>
        </w:rPr>
        <w:footnoteReference w:id="5874"/>
      </w:r>
      <w:r w:rsidRPr="00007309">
        <w:rPr>
          <w:rFonts w:cs="Arial"/>
          <w:b/>
          <w:bCs/>
          <w:sz w:val="24"/>
          <w:szCs w:val="24"/>
          <w:rtl/>
        </w:rPr>
        <w:t xml:space="preserve">לְעוֹלָם וָעֶד, כְּאִנּוּן כּוֹכְבַיָּא דִּיהוֹן קַיְּמִין לְעָלָם וּלְעָלְמֵי עָלְמַיָּא, וְאִתְּמַר בְּהוֹן וְהָיָה זַרְעֲךָ </w:t>
      </w:r>
      <w:r w:rsidRPr="00007309">
        <w:rPr>
          <w:rFonts w:cs="Arial"/>
          <w:b/>
          <w:bCs/>
          <w:sz w:val="36"/>
          <w:szCs w:val="28"/>
          <w:vertAlign w:val="superscript"/>
          <w:rtl/>
        </w:rPr>
        <w:footnoteReference w:id="5875"/>
      </w:r>
      <w:r w:rsidRPr="00007309">
        <w:rPr>
          <w:rFonts w:cs="Arial"/>
          <w:b/>
          <w:bCs/>
          <w:sz w:val="24"/>
          <w:szCs w:val="24"/>
          <w:rtl/>
        </w:rPr>
        <w:t>כְּכוֹכְבֵי הַשָּׁמַיִם, דְּאִיהוּ עַמּוּדָא דְּאֶמְצָעִיתָא, דְּאִיהוּ אַתָּה תִּשְׁמַע הַשָּׁמַיִם, וְלֹא כְּכוֹכְבַיָּא</w:t>
      </w:r>
      <w:r w:rsidRPr="00007309">
        <w:rPr>
          <w:rFonts w:cs="Arial"/>
          <w:b/>
          <w:bCs/>
          <w:sz w:val="36"/>
          <w:szCs w:val="28"/>
          <w:vertAlign w:val="superscript"/>
          <w:rtl/>
        </w:rPr>
        <w:footnoteReference w:id="5876"/>
      </w:r>
      <w:r w:rsidRPr="00007309">
        <w:rPr>
          <w:rFonts w:cs="Arial"/>
          <w:b/>
          <w:bCs/>
          <w:sz w:val="24"/>
          <w:szCs w:val="24"/>
          <w:rtl/>
        </w:rPr>
        <w:t xml:space="preserve"> מִן שְּׁמַיָּא דְּאִתְּמַר בְּהוֹן </w:t>
      </w:r>
      <w:r w:rsidRPr="00007309">
        <w:rPr>
          <w:rtl/>
        </w:rPr>
        <w:t>(ישעיה נא)</w:t>
      </w:r>
      <w:r w:rsidRPr="00007309">
        <w:rPr>
          <w:rFonts w:cs="Arial"/>
          <w:b/>
          <w:bCs/>
          <w:sz w:val="24"/>
          <w:szCs w:val="24"/>
          <w:rtl/>
        </w:rPr>
        <w:t xml:space="preserve"> כִּי שָׁמַיִם כְּעָשָׁן נִמְלָחוּ </w:t>
      </w:r>
      <w:r w:rsidRPr="00007309">
        <w:rPr>
          <w:rtl/>
        </w:rPr>
        <w:t>(תהלים קב)</w:t>
      </w:r>
      <w:r w:rsidRPr="00007309">
        <w:rPr>
          <w:rFonts w:cs="Arial"/>
          <w:b/>
          <w:bCs/>
          <w:sz w:val="24"/>
          <w:szCs w:val="24"/>
          <w:rtl/>
        </w:rPr>
        <w:t xml:space="preserve"> הֵמָּה יֹאבֵדוּ </w:t>
      </w:r>
      <w:r w:rsidRPr="00007309">
        <w:rPr>
          <w:rFonts w:cs="Arial"/>
          <w:b/>
          <w:bCs/>
          <w:sz w:val="36"/>
          <w:szCs w:val="28"/>
          <w:vertAlign w:val="superscript"/>
          <w:rtl/>
        </w:rPr>
        <w:footnoteReference w:id="5877"/>
      </w:r>
      <w:r w:rsidRPr="00007309">
        <w:rPr>
          <w:rFonts w:cs="Arial"/>
          <w:b/>
          <w:bCs/>
          <w:sz w:val="24"/>
          <w:szCs w:val="24"/>
          <w:rtl/>
        </w:rPr>
        <w:t>וְאַתָּה תַעֲמֹד</w:t>
      </w:r>
      <w:r w:rsidRPr="00007309">
        <w:rPr>
          <w:rFonts w:cs="Arial" w:hint="cs"/>
          <w:b/>
          <w:bCs/>
          <w:sz w:val="24"/>
          <w:szCs w:val="24"/>
          <w:rtl/>
        </w:rPr>
        <w:t>:</w:t>
      </w:r>
    </w:p>
    <w:p w:rsidR="00007309" w:rsidRPr="00007309" w:rsidRDefault="00007309" w:rsidP="00007309">
      <w:pPr>
        <w:jc w:val="both"/>
        <w:rPr>
          <w:rFonts w:cs="Arial"/>
          <w:b/>
          <w:bCs/>
          <w:sz w:val="24"/>
          <w:szCs w:val="24"/>
        </w:rPr>
      </w:pPr>
      <w:r w:rsidRPr="00007309">
        <w:rPr>
          <w:rFonts w:cs="Arial"/>
          <w:b/>
          <w:bCs/>
          <w:sz w:val="24"/>
          <w:szCs w:val="24"/>
          <w:rtl/>
        </w:rPr>
        <w:t xml:space="preserve">וְעוֹד וְהַמַּשְׂכִּילִים, אִלֵּין דְּאִית בְּהוֹן שֶׂכֶל לְמִנְדַּע גְּזִירוּ דְּנִשְׁמָתִין דִּילְהוֹן, מֵאִלֵּין סְפִּירַן </w:t>
      </w:r>
      <w:r w:rsidRPr="00007309">
        <w:rPr>
          <w:rFonts w:cs="Arial"/>
          <w:b/>
          <w:bCs/>
          <w:sz w:val="36"/>
          <w:szCs w:val="28"/>
          <w:vertAlign w:val="superscript"/>
          <w:rtl/>
        </w:rPr>
        <w:footnoteReference w:id="5878"/>
      </w:r>
      <w:r w:rsidRPr="00007309">
        <w:rPr>
          <w:rFonts w:cs="Arial"/>
          <w:b/>
          <w:bCs/>
          <w:sz w:val="24"/>
          <w:szCs w:val="24"/>
          <w:rtl/>
        </w:rPr>
        <w:t>דְּאִנּוּן מִלִּין גְּזֵירָן מֵעֶשֶׂר סְפִירָן</w:t>
      </w:r>
      <w:r w:rsidRPr="00007309">
        <w:rPr>
          <w:rFonts w:cs="Arial" w:hint="cs"/>
          <w:b/>
          <w:bCs/>
          <w:sz w:val="24"/>
          <w:szCs w:val="24"/>
          <w:rtl/>
        </w:rPr>
        <w:t xml:space="preserve"> </w:t>
      </w:r>
      <w:r w:rsidRPr="00007309">
        <w:rPr>
          <w:rFonts w:cs="Arial" w:hint="cs"/>
          <w:color w:val="000000"/>
          <w:sz w:val="24"/>
          <w:szCs w:val="24"/>
          <w:rtl/>
        </w:rPr>
        <w:t xml:space="preserve">(נה"ל: </w:t>
      </w:r>
      <w:r w:rsidRPr="00007309">
        <w:rPr>
          <w:rFonts w:cs="Arial"/>
          <w:color w:val="000000"/>
          <w:sz w:val="24"/>
          <w:szCs w:val="24"/>
          <w:rtl/>
        </w:rPr>
        <w:t>גְּזִירוּ דְּנִשְׁמָתִין דִּילְהוֹן</w:t>
      </w:r>
      <w:r w:rsidRPr="00007309">
        <w:rPr>
          <w:rFonts w:cs="Arial" w:hint="cs"/>
          <w:color w:val="000000"/>
          <w:sz w:val="24"/>
          <w:szCs w:val="24"/>
          <w:rtl/>
        </w:rPr>
        <w:t xml:space="preserve"> </w:t>
      </w:r>
      <w:r w:rsidRPr="00007309">
        <w:rPr>
          <w:rFonts w:cs="Arial"/>
          <w:color w:val="000000"/>
          <w:sz w:val="24"/>
          <w:szCs w:val="24"/>
          <w:rtl/>
        </w:rPr>
        <w:t>דְּאִנּוּן גְּזֵירָן מֵעֶשֶׂר סְפִירָן</w:t>
      </w:r>
      <w:r w:rsidRPr="00007309">
        <w:rPr>
          <w:rFonts w:cs="Arial" w:hint="cs"/>
          <w:color w:val="000000"/>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5879"/>
      </w:r>
      <w:r w:rsidRPr="00007309">
        <w:rPr>
          <w:rFonts w:cs="Arial"/>
          <w:b/>
          <w:bCs/>
          <w:sz w:val="24"/>
          <w:szCs w:val="24"/>
          <w:rtl/>
        </w:rPr>
        <w:t xml:space="preserve">דְּעָלַיְהוּ אִתְּמַר </w:t>
      </w:r>
      <w:r w:rsidRPr="00007309">
        <w:rPr>
          <w:rtl/>
        </w:rPr>
        <w:t>(תהלים יט)</w:t>
      </w:r>
      <w:r w:rsidRPr="00007309">
        <w:rPr>
          <w:rFonts w:cs="Arial"/>
          <w:b/>
          <w:bCs/>
          <w:sz w:val="24"/>
          <w:szCs w:val="24"/>
          <w:rtl/>
        </w:rPr>
        <w:t xml:space="preserve"> הַשָּׁמַיִם מְסַפְּרִים כְּבוֹד אֵל. </w:t>
      </w:r>
      <w:r w:rsidRPr="00007309">
        <w:rPr>
          <w:rFonts w:cs="Arial"/>
          <w:b/>
          <w:bCs/>
          <w:sz w:val="36"/>
          <w:szCs w:val="28"/>
          <w:vertAlign w:val="superscript"/>
          <w:rtl/>
        </w:rPr>
        <w:footnoteReference w:id="5880"/>
      </w:r>
      <w:r w:rsidRPr="00007309">
        <w:rPr>
          <w:rFonts w:cs="Arial"/>
          <w:b/>
          <w:bCs/>
          <w:sz w:val="24"/>
          <w:szCs w:val="24"/>
          <w:rtl/>
        </w:rPr>
        <w:t xml:space="preserve">דְּכֻלְּהוּ מַלְּיָן סְגֻלּוֹת, </w:t>
      </w:r>
      <w:r w:rsidRPr="00007309">
        <w:rPr>
          <w:rFonts w:cs="Arial"/>
          <w:b/>
          <w:bCs/>
          <w:sz w:val="36"/>
          <w:szCs w:val="28"/>
          <w:vertAlign w:val="superscript"/>
          <w:rtl/>
        </w:rPr>
        <w:footnoteReference w:id="5881"/>
      </w:r>
      <w:r w:rsidRPr="00007309">
        <w:rPr>
          <w:rFonts w:cs="Arial"/>
          <w:b/>
          <w:bCs/>
          <w:sz w:val="24"/>
          <w:szCs w:val="24"/>
          <w:rtl/>
        </w:rPr>
        <w:t xml:space="preserve">וְאִנּוּן אַנְשֵׁי מִדּוֹת, נִשְׁמָתִין דִּילְהוֹן רְשִׁימִין תַּמָּן, וּמִתַּמָּן אֲצִילוֹתְהוֹן, מִסִּטְרָא דְּמַלְכוּת אִנּוּן בְּנֵי מְלָכִים, דְּאִתְּמַר בְּהוּ כָּל יִשְׂרָאֵל בְּנֵי מְלָכִים, וּמִסִּטְרָא דָּא נָפְקִין מִיִּשְׂרָאֵל מְלָכִים, וּמִסִּטְרָא דְּצַדִּיק אִתְקְרִיאוּ צַדִּיקִים, הָדָא הוּא דִּכְתִיב </w:t>
      </w:r>
      <w:r w:rsidRPr="00007309">
        <w:rPr>
          <w:rtl/>
        </w:rPr>
        <w:t>(ישעיה ס)</w:t>
      </w:r>
      <w:r w:rsidRPr="00007309">
        <w:rPr>
          <w:rFonts w:cs="Arial"/>
          <w:b/>
          <w:bCs/>
          <w:sz w:val="24"/>
          <w:szCs w:val="24"/>
          <w:rtl/>
        </w:rPr>
        <w:t xml:space="preserve"> וְעַמֵּךְ כֻּלָּם צַדִּיקִים, וּמִסִּטְרָא דְּנֶצַח וָהוֹד אִתְקְרִיאוּ נְבִיאִים, וּמִסִּטְרָא דְּעַמּוּדָא דְּאֶמְצָעִיתָא, אִתְּמַר בְּהוּ וְאָנֹכִי נְטַעְתִּיךְ שׂוֹרֵק כֻּלֹּה זֶרַע אֱמֶת, וְעָלַיְהוּ אִתְּמַר </w:t>
      </w:r>
      <w:r w:rsidRPr="00007309">
        <w:rPr>
          <w:rtl/>
        </w:rPr>
        <w:t>(מלאכי ג)</w:t>
      </w:r>
      <w:r w:rsidRPr="00007309">
        <w:rPr>
          <w:rFonts w:cs="Arial"/>
          <w:b/>
          <w:bCs/>
          <w:sz w:val="24"/>
          <w:szCs w:val="24"/>
          <w:rtl/>
        </w:rPr>
        <w:t xml:space="preserve"> תּוֹרַת אֱמֶת הָיְתָה בְּפִיהוּ, וּמִסִּטְרָא דִּגְבוּרָה אִתְקְרִיאוּ גִּבּוֹרִים </w:t>
      </w:r>
      <w:r w:rsidRPr="00007309">
        <w:rPr>
          <w:rFonts w:cs="Arial"/>
          <w:b/>
          <w:bCs/>
          <w:sz w:val="36"/>
          <w:szCs w:val="28"/>
          <w:vertAlign w:val="superscript"/>
          <w:rtl/>
        </w:rPr>
        <w:footnoteReference w:id="5882"/>
      </w:r>
      <w:r w:rsidRPr="00007309">
        <w:rPr>
          <w:rFonts w:cs="Arial"/>
          <w:b/>
          <w:bCs/>
          <w:sz w:val="24"/>
          <w:szCs w:val="24"/>
          <w:rtl/>
        </w:rPr>
        <w:t xml:space="preserve">עוֹמְדִים בַּפֶּרֶץ דּוֹחִים אֶת הַגְּזֵרוֹת. וּמִסִּטְרָא דְּחֶסֶד אִתְקְרִיאוּ חֲסִידִים. וּמִסִּטְרָא דְּחָכְמָה וְבִינָה אִתְּמַר בְּהוּ כֻּלָּנוּ חֲכָמִים כֻּלָּנוּ נְבוֹנִים. וּמִסִּטְרָא דְּכֶתֶר דְּאִיהוּ רֵישָׁא דְּכֹלָּא אִנּוּן רָאשֵׁי אַלְפֵי יִשְׂרָאֵל, דְּעָלַיְהוּ אִתְּמַר אַנְשֵׁי מִדּוֹת, אִלֵּין אִנּוּן הַמַּשְׂכִּילִים דְּאִית בְּהוֹן שֵׂכֶל לְמִנְדַּע לְמָארֵיהוֹן, דְּרָזִין דְּמָארֵיהוֹן לָא אִתְכַּסְּיָן מִנַּיְהוּ. דְּכֻלְּהוּ הֲווֹ בְּאַסְכָּמוּתָא בְּחִבּוּרָא דָּא. ולאִלֵּין דְּאִנּוּן בְּאִלֵּין מִדּוֹת צָרִיךְ לְגַלָּאָה רָזִין תְּמִירִין. אֲבָל מָאן דִּמְגַלֶּה רָזִין לְרַשִּׁיעַיָּא, כְּאִלּוּ מְגַלֶּה עֲרָיִין בְּאוֹרַיְתָא. דִּבְנֵי שִׁפְחָה בִּישָׁא לילית אִמָּא דְּרַשִּׁיעַיָּא </w:t>
      </w:r>
      <w:r w:rsidRPr="00007309">
        <w:rPr>
          <w:rFonts w:cs="Arial"/>
          <w:b/>
          <w:bCs/>
          <w:sz w:val="36"/>
          <w:szCs w:val="28"/>
          <w:vertAlign w:val="superscript"/>
          <w:rtl/>
        </w:rPr>
        <w:footnoteReference w:id="5883"/>
      </w:r>
      <w:r w:rsidRPr="00007309">
        <w:rPr>
          <w:rFonts w:cs="Arial"/>
          <w:b/>
          <w:bCs/>
          <w:sz w:val="24"/>
          <w:szCs w:val="24"/>
          <w:rtl/>
        </w:rPr>
        <w:t>עִרְבּוּבְיָא בִּישָׁא. מָאן דִּמְגַלֶּה רָזִין דְּאוֹרַיְתָא גָּרִים לַצַּדִּיק דְּאִיהוּ</w:t>
      </w:r>
      <w:r w:rsidRPr="00007309">
        <w:rPr>
          <w:rFonts w:cs="Arial"/>
          <w:b/>
          <w:bCs/>
          <w:sz w:val="24"/>
          <w:szCs w:val="24"/>
        </w:rPr>
        <w:t xml:space="preserve"> </w:t>
      </w:r>
      <w:r w:rsidRPr="00007309">
        <w:rPr>
          <w:rFonts w:cs="Arial"/>
          <w:b/>
          <w:bCs/>
          <w:sz w:val="24"/>
          <w:szCs w:val="24"/>
          <w:rtl/>
        </w:rPr>
        <w:t xml:space="preserve">יְסוֹד, דְּאִתְּמַר בֵּהּ </w:t>
      </w:r>
      <w:r w:rsidRPr="00007309">
        <w:rPr>
          <w:rtl/>
        </w:rPr>
        <w:t>(תהלים כה)</w:t>
      </w:r>
      <w:r w:rsidRPr="00007309">
        <w:rPr>
          <w:rFonts w:cs="Arial"/>
          <w:b/>
          <w:bCs/>
          <w:sz w:val="24"/>
          <w:szCs w:val="24"/>
          <w:rtl/>
        </w:rPr>
        <w:t xml:space="preserve"> </w:t>
      </w:r>
      <w:r w:rsidRPr="00007309">
        <w:rPr>
          <w:rFonts w:cs="Arial"/>
          <w:b/>
          <w:bCs/>
          <w:sz w:val="36"/>
          <w:szCs w:val="28"/>
          <w:vertAlign w:val="superscript"/>
          <w:rtl/>
        </w:rPr>
        <w:footnoteReference w:id="5884"/>
      </w:r>
      <w:r w:rsidRPr="00007309">
        <w:rPr>
          <w:rFonts w:cs="Arial"/>
          <w:b/>
          <w:bCs/>
          <w:sz w:val="24"/>
          <w:szCs w:val="24"/>
          <w:rtl/>
        </w:rPr>
        <w:t xml:space="preserve">סוֹד ה' לִירֵאָיו, דְּאִסְתְּלַק נְבִיעוּ מִנֵּהּ וּמִן שְׁכִינְתָּא, הָדָא הוּא דִּכְתִיב </w:t>
      </w:r>
      <w:r w:rsidRPr="00007309">
        <w:rPr>
          <w:rtl/>
        </w:rPr>
        <w:t>(איוב יד)</w:t>
      </w:r>
      <w:r w:rsidRPr="00007309">
        <w:rPr>
          <w:rFonts w:cs="Arial"/>
          <w:b/>
          <w:bCs/>
          <w:sz w:val="24"/>
          <w:szCs w:val="24"/>
          <w:rtl/>
        </w:rPr>
        <w:t xml:space="preserve"> </w:t>
      </w:r>
      <w:r w:rsidRPr="00007309">
        <w:rPr>
          <w:rFonts w:cs="Arial"/>
          <w:b/>
          <w:bCs/>
          <w:sz w:val="36"/>
          <w:szCs w:val="28"/>
          <w:vertAlign w:val="superscript"/>
          <w:rtl/>
        </w:rPr>
        <w:footnoteReference w:id="5885"/>
      </w:r>
      <w:r w:rsidRPr="00007309">
        <w:rPr>
          <w:rFonts w:cs="Arial"/>
          <w:b/>
          <w:bCs/>
          <w:sz w:val="24"/>
          <w:szCs w:val="24"/>
          <w:rtl/>
        </w:rPr>
        <w:t xml:space="preserve">אָזְלוּ מַיִם מִנִּי יָם וְנָהָר יֶחֱרַב וְיָבֵשׁ. בְּהַהוּא זִמְנָא </w:t>
      </w:r>
      <w:r w:rsidRPr="00007309">
        <w:rPr>
          <w:rFonts w:cs="Arial"/>
          <w:b/>
          <w:bCs/>
          <w:sz w:val="36"/>
          <w:szCs w:val="28"/>
          <w:vertAlign w:val="superscript"/>
          <w:rtl/>
        </w:rPr>
        <w:footnoteReference w:id="5886"/>
      </w:r>
      <w:r w:rsidRPr="00007309">
        <w:rPr>
          <w:rFonts w:cs="Arial"/>
          <w:b/>
          <w:bCs/>
          <w:sz w:val="24"/>
          <w:szCs w:val="24"/>
          <w:rtl/>
        </w:rPr>
        <w:t xml:space="preserve">אִנּוּן צַדִּיקַיָּא לְתַתָּא עֲנִיִּים מִכֹּלָּא, עֲנִיִּים מֵרָזִין דְּאוֹרַיְתָא עֲנִיִּים בְּגוּפָא. וְכָל מָאן דִּמְגַלֶּה רָזִין לְצַדִּיקַיָּא, גָּרִים לַצַּדִּיק לְאַנְהָרָא בְּרָזִין דְּאוֹרַיְתָא, וְלִשְׁכִינְתָּא </w:t>
      </w:r>
      <w:r w:rsidRPr="00007309">
        <w:rPr>
          <w:rFonts w:cs="Arial"/>
          <w:b/>
          <w:bCs/>
          <w:sz w:val="36"/>
          <w:szCs w:val="28"/>
          <w:vertAlign w:val="superscript"/>
          <w:rtl/>
        </w:rPr>
        <w:footnoteReference w:id="5887"/>
      </w:r>
      <w:r w:rsidRPr="00007309">
        <w:rPr>
          <w:rFonts w:cs="Arial"/>
          <w:b/>
          <w:bCs/>
          <w:sz w:val="24"/>
          <w:szCs w:val="24"/>
          <w:rtl/>
        </w:rPr>
        <w:t xml:space="preserve">דְּאוֹר רָ"ז אִתְקְרֵי. וּבְהַהוּא זִמְנָא וְהַמַּשְׂכִּילִים יַזְהִרוּ כְּזֹהַר הָרָקִיעַ. מַאי כְּזֹהַר, דַּרְגָּא דְּמֹשֶׁה רַבֵּנוּ עָלָיו הַשָּׁלוֹם, עַמּוּדָא דְּאֶמְצָעִיתָא, </w:t>
      </w:r>
      <w:r w:rsidRPr="00007309">
        <w:rPr>
          <w:rFonts w:cs="Arial"/>
          <w:b/>
          <w:bCs/>
          <w:sz w:val="36"/>
          <w:szCs w:val="28"/>
          <w:vertAlign w:val="superscript"/>
          <w:rtl/>
        </w:rPr>
        <w:footnoteReference w:id="5888"/>
      </w:r>
      <w:r w:rsidRPr="00007309">
        <w:rPr>
          <w:rFonts w:cs="Arial"/>
          <w:b/>
          <w:bCs/>
          <w:sz w:val="24"/>
          <w:szCs w:val="24"/>
          <w:rtl/>
        </w:rPr>
        <w:t>דְּעַל שְׁמֵהּ אִתְקְרֵי הַאי חִבּוּרָא סֵפֶר הַזֹּהַר. וּשְׁכִינְתָּא בֵּהּ נַהֲרָא וְזָהֳרָא בְּסִיהֲרָא מִן שִׁמְשָׁא. דְּשִׁמְשָׁא נְהִירָא בְּשִׁית טוּרִין רַבְרְבִין, וְסִיהֲרָא בִּשְׁבִיעָאָה כְּלִילָא מִשֶּׁבַע</w:t>
      </w:r>
      <w:r w:rsidRPr="00007309">
        <w:rPr>
          <w:rFonts w:cs="Arial"/>
          <w:b/>
          <w:bCs/>
          <w:sz w:val="24"/>
          <w:szCs w:val="24"/>
        </w:rPr>
        <w:t xml:space="preserve">: </w:t>
      </w:r>
    </w:p>
    <w:p w:rsidR="00007309" w:rsidRPr="00007309" w:rsidRDefault="00007309" w:rsidP="00007309">
      <w:pPr>
        <w:keepNext/>
        <w:outlineLvl w:val="1"/>
        <w:rPr>
          <w:rFonts w:ascii="Cambria" w:hAnsi="Cambria" w:cs="Times New Roman"/>
          <w:b/>
          <w:bCs/>
          <w:i/>
          <w:iCs/>
          <w:sz w:val="28"/>
          <w:szCs w:val="28"/>
          <w:rtl/>
        </w:rPr>
      </w:pPr>
      <w:r w:rsidRPr="00007309">
        <w:rPr>
          <w:rFonts w:ascii="Cambria" w:hAnsi="Cambria" w:cs="Times New Roman" w:hint="cs"/>
          <w:b/>
          <w:bCs/>
          <w:i/>
          <w:iCs/>
          <w:sz w:val="28"/>
          <w:szCs w:val="28"/>
          <w:rtl/>
        </w:rPr>
        <w:t>[דף עג ע"א]</w:t>
      </w:r>
    </w:p>
    <w:p w:rsidR="00007309" w:rsidRPr="00007309" w:rsidRDefault="00007309" w:rsidP="00007309">
      <w:pPr>
        <w:jc w:val="both"/>
        <w:rPr>
          <w:rFonts w:cs="Arial"/>
          <w:color w:val="000000"/>
          <w:sz w:val="24"/>
          <w:szCs w:val="24"/>
        </w:rPr>
      </w:pPr>
      <w:r w:rsidRPr="00007309">
        <w:rPr>
          <w:rFonts w:cs="Arial" w:hint="cs"/>
          <w:color w:val="000000"/>
          <w:sz w:val="24"/>
          <w:szCs w:val="24"/>
          <w:rtl/>
        </w:rPr>
        <w:t xml:space="preserve">הגהה: </w:t>
      </w:r>
      <w:r w:rsidRPr="00007309">
        <w:rPr>
          <w:rFonts w:cs="Arial"/>
          <w:color w:val="000000"/>
          <w:sz w:val="24"/>
          <w:szCs w:val="24"/>
          <w:rtl/>
        </w:rPr>
        <w:t>שם אב"ג</w:t>
      </w:r>
      <w:r w:rsidRPr="00007309">
        <w:rPr>
          <w:rFonts w:cs="Arial" w:hint="cs"/>
          <w:color w:val="000000"/>
          <w:sz w:val="24"/>
          <w:szCs w:val="24"/>
          <w:rtl/>
        </w:rPr>
        <w:t xml:space="preserve"> </w:t>
      </w:r>
      <w:r w:rsidRPr="00007309">
        <w:rPr>
          <w:rFonts w:cs="Arial"/>
          <w:color w:val="000000"/>
          <w:sz w:val="24"/>
          <w:szCs w:val="24"/>
          <w:rtl/>
        </w:rPr>
        <w:t xml:space="preserve">ית"ץ עָלַיְהוּ אִתְּמַר (ישעיה ו) שֵׁשׁ כְּנָפַיִם שֵׁשׁ כְּנָפַיִם לְאֶחָד וְהַאי שְׁמָא אִיהוּ סְגוֹלְתָּא </w:t>
      </w:r>
      <w:r w:rsidRPr="00007309">
        <w:rPr>
          <w:rFonts w:ascii="Cambria" w:hAnsi="Cambria" w:cs="Times New Roman" w:hint="cs"/>
          <w:b/>
          <w:bCs/>
          <w:i/>
          <w:iCs/>
          <w:color w:val="4F81BD"/>
          <w:sz w:val="22"/>
          <w:szCs w:val="22"/>
          <w:rtl/>
        </w:rPr>
        <w:t xml:space="preserve">(עג ע"א) </w:t>
      </w:r>
      <w:r w:rsidRPr="00007309">
        <w:rPr>
          <w:rFonts w:cs="Arial"/>
          <w:color w:val="000000"/>
          <w:sz w:val="24"/>
          <w:szCs w:val="24"/>
          <w:rtl/>
        </w:rPr>
        <w:t>דִּילֵהּ לְכַסָּאָה לְנִשְׁמָתָא, כַּד סְלִיקַת לְעֵלָּא בְּכָל לֵילְיָא וְלֵילְיָא, לְאַסְהֲדָא עַל עוֹבָדִין טָבִין דְּבַר נָשׁ, מִמַּלְאֲכֵי חַבָּלָה וּמִכָּל מַזִּיקִין וְרוּחִין וְלֵילִין וְשֵׁדִין, וּבְהוֹן פָּרְחַת לְעֵלָּא. בִּשְׁתַּיִם אַתְוָן מִכָּל שֵׁם תְּכַסֶּה אַנְפָּהָא מִנְּהוֹן, בִּשְׁתַּיִם אַתְוָן תְּכַסֶּה רַגְלָאָה, וּבִשְׁתַּיִם אַתְוָן פָּרְחַת לְעֵלָּא, וְאוֹף הָכֵי לְרוּחָא וְאוֹף הָכֵי לְנַפְשָׁא. ע"כ</w:t>
      </w:r>
      <w:r w:rsidRPr="00007309">
        <w:rPr>
          <w:rFonts w:cs="Arial"/>
          <w:color w:val="000000"/>
          <w:sz w:val="24"/>
          <w:szCs w:val="24"/>
        </w:rPr>
        <w:t>:</w:t>
      </w:r>
    </w:p>
    <w:p w:rsidR="00007309" w:rsidRPr="00007309" w:rsidRDefault="00007309" w:rsidP="00007309">
      <w:pPr>
        <w:keepNext/>
        <w:spacing w:before="240" w:after="60"/>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[וילנא ב ע"ב]</w:t>
      </w:r>
    </w:p>
    <w:p w:rsidR="00007309" w:rsidRPr="00007309" w:rsidRDefault="00007309" w:rsidP="00007309">
      <w:pPr>
        <w:jc w:val="both"/>
        <w:rPr>
          <w:rFonts w:cs="Arial"/>
          <w:b/>
          <w:bCs/>
          <w:sz w:val="24"/>
          <w:szCs w:val="24"/>
          <w:rtl/>
        </w:rPr>
      </w:pPr>
      <w:r w:rsidRPr="00007309">
        <w:rPr>
          <w:rFonts w:cs="Arial"/>
          <w:b/>
          <w:bCs/>
          <w:sz w:val="24"/>
          <w:szCs w:val="24"/>
          <w:rtl/>
        </w:rPr>
        <w:t>אב"ג ית"ץ קר"ע שט"ן נג"ד יכ"ש בט"ר צת"ג חק"ב טנ"ע יג"ל פז"ק שק</w:t>
      </w:r>
      <w:r w:rsidRPr="00007309">
        <w:rPr>
          <w:rFonts w:cs="Arial" w:hint="cs"/>
          <w:b/>
          <w:bCs/>
          <w:sz w:val="24"/>
          <w:szCs w:val="24"/>
          <w:rtl/>
        </w:rPr>
        <w:t>"</w:t>
      </w:r>
      <w:r w:rsidRPr="00007309">
        <w:rPr>
          <w:rFonts w:cs="Arial"/>
          <w:b/>
          <w:bCs/>
          <w:sz w:val="24"/>
          <w:szCs w:val="24"/>
          <w:rtl/>
        </w:rPr>
        <w:t>ו</w:t>
      </w:r>
      <w:r w:rsidRPr="00007309">
        <w:rPr>
          <w:rFonts w:cs="Arial" w:hint="cs"/>
          <w:b/>
          <w:bCs/>
          <w:sz w:val="24"/>
          <w:szCs w:val="24"/>
          <w:rtl/>
        </w:rPr>
        <w:t xml:space="preserve"> </w:t>
      </w:r>
      <w:r w:rsidRPr="00007309">
        <w:rPr>
          <w:rFonts w:cs="Arial"/>
          <w:b/>
          <w:bCs/>
          <w:sz w:val="24"/>
          <w:szCs w:val="24"/>
          <w:rtl/>
        </w:rPr>
        <w:t xml:space="preserve">צי"ת דְּנִשְׁמָתָא בְּהוֹן פָּרְחַת לְעֵלָּא בְּכָל לֵילְיָא וְלֵילְיָא, וְהַאי אִיהוּ </w:t>
      </w:r>
      <w:r w:rsidRPr="00007309">
        <w:rPr>
          <w:rFonts w:cs="Arial"/>
          <w:b/>
          <w:bCs/>
          <w:sz w:val="36"/>
          <w:szCs w:val="28"/>
          <w:vertAlign w:val="superscript"/>
          <w:rtl/>
        </w:rPr>
        <w:footnoteReference w:id="5889"/>
      </w:r>
      <w:r w:rsidRPr="00007309">
        <w:rPr>
          <w:rFonts w:cs="Arial"/>
          <w:b/>
          <w:bCs/>
          <w:sz w:val="24"/>
          <w:szCs w:val="24"/>
          <w:rtl/>
        </w:rPr>
        <w:t xml:space="preserve">נִשְׁמַת כָּל חַי, דַּאֲצִילוּתָא מֵאִמָּא עִלָּאָה, וְשֶׁבַע שְׁמָהָן אִלֵּין דְּפָרְחַת בְּהוֹן, אִנּוּן שֶׁבַע, דִּכְלִילָן בְּבַת שֶׁבַע דְּאִיהִי שְׁכִינְתָּא תַּתָּאָה, כְּלִילָא מִשֶּׁבַע סְפִירָן, דְּעָלַיְהוּ אָמַר דָּוִד (דברי הימים א, כט) לְךָ ה' הַגְּדֻלָּה וְהַגְּבוּרָה וְהַתִּפְאֶרֶת וְהַנֶּצַח וְהַהוֹד כִּי כֹל בַּשָּׁמַיִם וּבָאָרֶץ. וְאִמָּא עִלָּאָה אִיהִי הַנֶּשֶׁר הַגָּדוֹל בַּעַל הַכְּנָפַיִם, </w:t>
      </w:r>
      <w:r w:rsidRPr="00007309">
        <w:rPr>
          <w:rFonts w:cs="Arial"/>
          <w:b/>
          <w:bCs/>
          <w:sz w:val="36"/>
          <w:szCs w:val="28"/>
          <w:vertAlign w:val="superscript"/>
          <w:rtl/>
        </w:rPr>
        <w:footnoteReference w:id="5890"/>
      </w:r>
      <w:r w:rsidRPr="00007309">
        <w:rPr>
          <w:rFonts w:cs="Arial"/>
          <w:b/>
          <w:bCs/>
          <w:sz w:val="24"/>
          <w:szCs w:val="24"/>
          <w:rtl/>
        </w:rPr>
        <w:t xml:space="preserve">אָדָם הַגָּדוֹל, חָכְמָא, </w:t>
      </w:r>
      <w:r w:rsidRPr="00007309">
        <w:rPr>
          <w:rFonts w:cs="Arial"/>
          <w:b/>
          <w:bCs/>
          <w:sz w:val="36"/>
          <w:szCs w:val="28"/>
          <w:vertAlign w:val="superscript"/>
          <w:rtl/>
        </w:rPr>
        <w:footnoteReference w:id="5891"/>
      </w:r>
      <w:r w:rsidRPr="00007309">
        <w:rPr>
          <w:rFonts w:cs="Arial"/>
          <w:b/>
          <w:bCs/>
          <w:sz w:val="24"/>
          <w:szCs w:val="24"/>
          <w:rtl/>
        </w:rPr>
        <w:t>וְעֶשֶׂר</w:t>
      </w:r>
      <w:r w:rsidRPr="00007309">
        <w:rPr>
          <w:rFonts w:cs="Arial"/>
          <w:b/>
          <w:bCs/>
          <w:sz w:val="24"/>
          <w:szCs w:val="24"/>
        </w:rPr>
        <w:t xml:space="preserve"> </w:t>
      </w:r>
      <w:r w:rsidRPr="00007309">
        <w:rPr>
          <w:rFonts w:cs="Arial"/>
          <w:b/>
          <w:bCs/>
          <w:sz w:val="24"/>
          <w:szCs w:val="24"/>
          <w:rtl/>
        </w:rPr>
        <w:t>חָכְמוֹת אִתְקְרִיאוּ עֶשֶׂר סְפִירָן מִסִּטְרֵהּ, וְכֶתֶר עֶלְיוֹן אִתְקְרֵי מִסִּטְרֵהּ חָכְמָה קְדוּמָה, וְאִיהִי יוּ"ד הֵ"א וָא"ו הֵ"א, דְּאִתְפַּשְּׁטוּתֵהּ</w:t>
      </w:r>
      <w:r w:rsidRPr="00007309">
        <w:rPr>
          <w:rFonts w:cs="Arial"/>
          <w:b/>
          <w:bCs/>
          <w:sz w:val="24"/>
          <w:szCs w:val="24"/>
        </w:rPr>
        <w:t xml:space="preserve"> </w:t>
      </w:r>
      <w:r w:rsidRPr="00007309">
        <w:rPr>
          <w:rFonts w:cs="Arial"/>
          <w:b/>
          <w:bCs/>
          <w:sz w:val="24"/>
          <w:szCs w:val="24"/>
          <w:rtl/>
        </w:rPr>
        <w:t xml:space="preserve">בְּעֶשֶׂר סְפִירָן, אֲבָל אִמָּה עִלָּאָה נִשְׁרָא עִלָּאָה דְּאִתְפַּשְּׁטוּתֵהּ בְּשֶׁבַע, וְאִיהִי תְּמִינָאָה וּבָהּ שֶׁבַח מֹשֶׁה </w:t>
      </w:r>
      <w:r w:rsidRPr="00007309">
        <w:rPr>
          <w:rFonts w:cs="Arial"/>
          <w:b/>
          <w:bCs/>
          <w:sz w:val="36"/>
          <w:szCs w:val="28"/>
          <w:vertAlign w:val="superscript"/>
          <w:rtl/>
        </w:rPr>
        <w:footnoteReference w:id="5892"/>
      </w:r>
      <w:r w:rsidRPr="00007309">
        <w:rPr>
          <w:rFonts w:cs="Arial"/>
          <w:b/>
          <w:bCs/>
          <w:sz w:val="24"/>
          <w:szCs w:val="24"/>
          <w:rtl/>
        </w:rPr>
        <w:t xml:space="preserve">אָז יָשִׁיר מֹשֶׁה. וּמִנַּהּ תִּשְׁכַּח רָזָא דְּקַן צִפּוֹר, שַׁלַּח תִּשְׁלָח </w:t>
      </w:r>
      <w:r w:rsidRPr="00007309">
        <w:rPr>
          <w:rFonts w:cs="Arial"/>
          <w:b/>
          <w:bCs/>
          <w:sz w:val="36"/>
          <w:szCs w:val="28"/>
          <w:vertAlign w:val="superscript"/>
          <w:rtl/>
        </w:rPr>
        <w:footnoteReference w:id="5893"/>
      </w:r>
      <w:r w:rsidRPr="00007309">
        <w:rPr>
          <w:rFonts w:cs="Arial"/>
          <w:b/>
          <w:bCs/>
          <w:sz w:val="24"/>
          <w:szCs w:val="24"/>
          <w:rtl/>
        </w:rPr>
        <w:t xml:space="preserve">אֶת הָאֵם דַּאֲצִילוּת, אַרְיֵה חֶסֶד, שׁוֹר גְּבוּרָה, הַאי אִיהִי מֶרְכַּבְתָא עִלָּאָה. מֶרְכַּבְתָּא תִּנְיָנָא תִּפְאֶרֶת אָדָם תִּנְיָנָא, </w:t>
      </w:r>
      <w:r w:rsidRPr="00007309">
        <w:rPr>
          <w:rFonts w:cs="Arial"/>
          <w:b/>
          <w:bCs/>
          <w:sz w:val="36"/>
          <w:szCs w:val="28"/>
          <w:vertAlign w:val="superscript"/>
          <w:rtl/>
        </w:rPr>
        <w:footnoteReference w:id="5894"/>
      </w:r>
      <w:r w:rsidRPr="00007309">
        <w:rPr>
          <w:rFonts w:cs="Arial"/>
          <w:b/>
          <w:bCs/>
          <w:sz w:val="24"/>
          <w:szCs w:val="24"/>
          <w:rtl/>
        </w:rPr>
        <w:t xml:space="preserve">דְּאִתְּמַר בֵּהּ (יחזקאל א) וּדְמוּת פְּנֵיהֶם פְּנֵי אָדָם, דְּמוּת אַרְיֵה שׁוֹר נֶשֶׁר, </w:t>
      </w:r>
      <w:r w:rsidRPr="00007309">
        <w:rPr>
          <w:rFonts w:ascii="Cambria" w:hAnsi="Cambria" w:cs="Times New Roman" w:hint="cs"/>
          <w:b/>
          <w:bCs/>
          <w:i/>
          <w:iCs/>
          <w:color w:val="4F81BD"/>
          <w:sz w:val="22"/>
          <w:szCs w:val="22"/>
          <w:rtl/>
        </w:rPr>
        <w:t xml:space="preserve">(וילנא ב ע"ב) </w:t>
      </w:r>
      <w:r w:rsidRPr="00007309">
        <w:rPr>
          <w:rFonts w:cs="Arial"/>
          <w:b/>
          <w:bCs/>
          <w:sz w:val="24"/>
          <w:szCs w:val="24"/>
          <w:rtl/>
        </w:rPr>
        <w:t xml:space="preserve">נֶצַח הוֹד יְסוֹד מַלְכוּת אִיהִי תַּבְנִית כֻּלְּהוּ, </w:t>
      </w:r>
      <w:r w:rsidRPr="00007309">
        <w:rPr>
          <w:rFonts w:cs="Arial"/>
          <w:b/>
          <w:bCs/>
          <w:sz w:val="36"/>
          <w:szCs w:val="28"/>
          <w:vertAlign w:val="superscript"/>
          <w:rtl/>
        </w:rPr>
        <w:footnoteReference w:id="5895"/>
      </w:r>
      <w:r w:rsidRPr="00007309">
        <w:rPr>
          <w:rFonts w:cs="Arial"/>
          <w:b/>
          <w:bCs/>
          <w:sz w:val="24"/>
          <w:szCs w:val="24"/>
          <w:rtl/>
        </w:rPr>
        <w:t xml:space="preserve">הַאי אִיהוּ רָזָא דְּתִקּוּנָא חֲדָא. </w:t>
      </w:r>
      <w:r w:rsidRPr="00007309">
        <w:rPr>
          <w:rFonts w:cs="Arial"/>
          <w:b/>
          <w:bCs/>
          <w:sz w:val="36"/>
          <w:szCs w:val="28"/>
          <w:vertAlign w:val="superscript"/>
          <w:rtl/>
        </w:rPr>
        <w:footnoteReference w:id="5896"/>
      </w:r>
      <w:r w:rsidRPr="00007309">
        <w:rPr>
          <w:rFonts w:cs="Arial"/>
          <w:b/>
          <w:bCs/>
          <w:sz w:val="24"/>
          <w:szCs w:val="24"/>
          <w:rtl/>
        </w:rPr>
        <w:t xml:space="preserve">אֲבָל מִסִּטְרָא דְּנִשְׁמָתָא אִתְקְרָאוּ שְׂרָפִים. וּמִסִּטְרָא דְּרוּחָא חַיּוֹת, דְּאִתְּמַר בְּהוֹן (שם) וּדְמוּת הַחַיּוֹת </w:t>
      </w:r>
      <w:r w:rsidRPr="00007309">
        <w:rPr>
          <w:rFonts w:cs="Arial"/>
          <w:b/>
          <w:bCs/>
          <w:sz w:val="36"/>
          <w:szCs w:val="28"/>
          <w:vertAlign w:val="superscript"/>
          <w:rtl/>
        </w:rPr>
        <w:footnoteReference w:id="5897"/>
      </w:r>
      <w:r w:rsidRPr="00007309">
        <w:rPr>
          <w:rFonts w:cs="Arial"/>
          <w:b/>
          <w:bCs/>
          <w:sz w:val="24"/>
          <w:szCs w:val="24"/>
          <w:rtl/>
        </w:rPr>
        <w:t xml:space="preserve">מַרְאֵיהֶן כְּגַחֲלֵי אֵשׁ בּוֹעֲרוֹת כְּמַרְאֵה הַלַּפִּידִים הִיא מִתְהַלֶּכֶת בֵּין הַחַיּוֹת. </w:t>
      </w:r>
      <w:r w:rsidRPr="00007309">
        <w:rPr>
          <w:rFonts w:cs="Arial"/>
          <w:b/>
          <w:bCs/>
          <w:sz w:val="36"/>
          <w:szCs w:val="28"/>
          <w:vertAlign w:val="superscript"/>
          <w:rtl/>
        </w:rPr>
        <w:footnoteReference w:id="5898"/>
      </w:r>
      <w:r w:rsidRPr="00007309">
        <w:rPr>
          <w:rFonts w:cs="Arial"/>
          <w:b/>
          <w:bCs/>
          <w:sz w:val="24"/>
          <w:szCs w:val="24"/>
          <w:rtl/>
        </w:rPr>
        <w:t xml:space="preserve">דא וְאִתְּמַר בְּהוֹן (שם) וּמִתּוֹכָהּ דְּמוּת ד' חַיּוֹת, וְזֶה מַרְאֵיהֶן דְּמוּת אָדָם לְהֵנָּה. וְרוּחָא אִיהוּ מִסִּטְרָא דְּעַמּוּדָא דְּאֶמְצָעִיתָא, </w:t>
      </w:r>
      <w:r w:rsidRPr="00007309">
        <w:rPr>
          <w:rFonts w:cs="Arial"/>
          <w:b/>
          <w:bCs/>
          <w:sz w:val="36"/>
          <w:szCs w:val="28"/>
          <w:vertAlign w:val="superscript"/>
          <w:rtl/>
        </w:rPr>
        <w:footnoteReference w:id="5899"/>
      </w:r>
      <w:r w:rsidRPr="00007309">
        <w:rPr>
          <w:rFonts w:cs="Arial"/>
          <w:b/>
          <w:bCs/>
          <w:sz w:val="24"/>
          <w:szCs w:val="24"/>
          <w:rtl/>
        </w:rPr>
        <w:t xml:space="preserve">וְאִית לָהּ אַרְבַּע אַנְפִּין, כְּגַוְנָא דְּנִשְׁמָתָא דְּאִית לָהּ ד' אַנְפִּין. אוֹפַנִּים מִסִּטְרָא דְּנֶפֶשׁ וְאִיהִי מִסִּטְרָא דִּשְׁכִינְתָּא תַּתָּאָה, וְאִית לוֹן ד' אַנְפִּין, </w:t>
      </w:r>
      <w:r w:rsidRPr="00007309">
        <w:rPr>
          <w:rFonts w:cs="Arial"/>
          <w:b/>
          <w:bCs/>
          <w:sz w:val="36"/>
          <w:szCs w:val="28"/>
          <w:vertAlign w:val="superscript"/>
          <w:rtl/>
        </w:rPr>
        <w:footnoteReference w:id="5900"/>
      </w:r>
      <w:r w:rsidRPr="00007309">
        <w:rPr>
          <w:rFonts w:cs="Arial"/>
          <w:b/>
          <w:bCs/>
          <w:sz w:val="24"/>
          <w:szCs w:val="24"/>
          <w:rtl/>
        </w:rPr>
        <w:t xml:space="preserve">הֶמֶרְכָּבָה דְּאִנּוּן נֶצַח וָהוֹד. </w:t>
      </w:r>
      <w:r w:rsidRPr="00007309">
        <w:rPr>
          <w:rFonts w:cs="Arial"/>
          <w:b/>
          <w:bCs/>
          <w:sz w:val="36"/>
          <w:szCs w:val="28"/>
          <w:vertAlign w:val="superscript"/>
          <w:rtl/>
        </w:rPr>
        <w:footnoteReference w:id="5901"/>
      </w:r>
      <w:r w:rsidRPr="00007309">
        <w:rPr>
          <w:rFonts w:cs="Arial"/>
          <w:b/>
          <w:bCs/>
          <w:sz w:val="24"/>
          <w:szCs w:val="24"/>
          <w:rtl/>
        </w:rPr>
        <w:t>וְהִנֵּה אוֹפַן א</w:t>
      </w:r>
      <w:r w:rsidRPr="00007309">
        <w:rPr>
          <w:rFonts w:cs="Arial" w:hint="cs"/>
          <w:b/>
          <w:bCs/>
          <w:sz w:val="24"/>
          <w:szCs w:val="24"/>
          <w:rtl/>
        </w:rPr>
        <w:t>חד</w:t>
      </w:r>
      <w:r w:rsidRPr="00007309">
        <w:rPr>
          <w:rFonts w:cs="Arial"/>
          <w:b/>
          <w:bCs/>
          <w:sz w:val="24"/>
          <w:szCs w:val="24"/>
          <w:rtl/>
        </w:rPr>
        <w:t xml:space="preserve"> בָּאָרֶץ דָּא צַדִּיק. אוֹפַנִּים אִנּוּן מִתַּתָּא לְעֵלָּא חֵיוָן בְּאֶמְצָעִיתָא שְׂרָפִים לְעֵלָּא. </w:t>
      </w:r>
      <w:r w:rsidRPr="00007309">
        <w:rPr>
          <w:rFonts w:cs="Arial"/>
          <w:b/>
          <w:bCs/>
          <w:sz w:val="36"/>
          <w:szCs w:val="28"/>
          <w:vertAlign w:val="superscript"/>
          <w:rtl/>
        </w:rPr>
        <w:footnoteReference w:id="5902"/>
      </w:r>
      <w:r w:rsidRPr="00007309">
        <w:rPr>
          <w:rFonts w:cs="Arial"/>
          <w:b/>
          <w:bCs/>
          <w:sz w:val="24"/>
          <w:szCs w:val="24"/>
          <w:rtl/>
        </w:rPr>
        <w:t xml:space="preserve">וְכֻלְּהוּ לְעֵלָּא </w:t>
      </w:r>
      <w:r w:rsidRPr="00007309">
        <w:rPr>
          <w:rFonts w:cs="Arial"/>
          <w:b/>
          <w:bCs/>
          <w:sz w:val="36"/>
          <w:szCs w:val="28"/>
          <w:vertAlign w:val="superscript"/>
          <w:rtl/>
        </w:rPr>
        <w:footnoteReference w:id="5903"/>
      </w:r>
      <w:r w:rsidRPr="00007309">
        <w:rPr>
          <w:rFonts w:cs="Arial"/>
          <w:b/>
          <w:bCs/>
          <w:sz w:val="24"/>
          <w:szCs w:val="24"/>
          <w:rtl/>
        </w:rPr>
        <w:t>אָדוֹן יָחִיד שַׁלִּיט עַל כֹּלָּא, מֻפְלָא וּמְכֻסֶּה בְּכֶתֶר, וּבְחָכְמָה אִיהוּ שׁוּלְטָנוּ דְּקָאִים עַל כֻּלְּהוּ בְּעֶשֶׂר</w:t>
      </w:r>
      <w:r w:rsidRPr="00007309">
        <w:rPr>
          <w:rFonts w:cs="Arial"/>
          <w:b/>
          <w:bCs/>
          <w:sz w:val="24"/>
          <w:szCs w:val="24"/>
        </w:rPr>
        <w:t xml:space="preserve"> </w:t>
      </w:r>
      <w:r w:rsidRPr="00007309">
        <w:rPr>
          <w:rFonts w:cs="Arial"/>
          <w:b/>
          <w:bCs/>
          <w:sz w:val="24"/>
          <w:szCs w:val="24"/>
          <w:rtl/>
        </w:rPr>
        <w:t xml:space="preserve">אַתְוָן דִּשְׁמָא מְפָרַשׁ. אֲבָל מִתַּמָּן לְתַתָּא כֻּלְּהוּ סְפִירָן מְרֻבָּעִין בְּאַרְבַּע אַתְוָן. </w:t>
      </w:r>
      <w:r w:rsidRPr="00007309">
        <w:rPr>
          <w:rFonts w:cs="Arial"/>
          <w:b/>
          <w:bCs/>
          <w:sz w:val="36"/>
          <w:szCs w:val="28"/>
          <w:vertAlign w:val="superscript"/>
          <w:rtl/>
        </w:rPr>
        <w:footnoteReference w:id="5904"/>
      </w:r>
      <w:r w:rsidRPr="00007309">
        <w:rPr>
          <w:rFonts w:cs="Arial"/>
          <w:b/>
          <w:bCs/>
          <w:sz w:val="24"/>
          <w:szCs w:val="24"/>
          <w:rtl/>
        </w:rPr>
        <w:t xml:space="preserve">כְּגַוְנָא דָּא בִּינָה יה'ו. הַהוּא בֵּן די'ה אִיהוּ ו' דְּאִתְפַּשְּׁטוּתֵהּ בְּשִׁית סְפִירָאָן. ה' רְבִיעָאָה בִּשְׁכִינְתָּא תַּתָּאָה בֵּהּ אִשְׁתְּלִים יהו'ה. מִסִּטְרָא דְּאַרְבַּע אַתְוָן אִלֵּין אִית לְכָל חַיָּה ד' אַנְפִּין, וּמִסִּטְרָא דְּיוֹ"ד הֵ"א וָא"ו הֵ"א דְּמוּת אָדָם לְאַרְבַּעְתָּן. </w:t>
      </w:r>
      <w:r w:rsidRPr="00007309">
        <w:rPr>
          <w:rFonts w:cs="Arial"/>
          <w:b/>
          <w:bCs/>
          <w:sz w:val="36"/>
          <w:szCs w:val="28"/>
          <w:vertAlign w:val="superscript"/>
          <w:rtl/>
        </w:rPr>
        <w:footnoteReference w:id="5905"/>
      </w:r>
      <w:r w:rsidRPr="00007309">
        <w:rPr>
          <w:rFonts w:cs="Arial"/>
          <w:b/>
          <w:bCs/>
          <w:sz w:val="24"/>
          <w:szCs w:val="24"/>
          <w:rtl/>
        </w:rPr>
        <w:t>וְלָקֳבֵל תִּשְׁעָה סַפִּירִין אִלֵּין</w:t>
      </w:r>
      <w:r w:rsidRPr="00007309">
        <w:rPr>
          <w:rFonts w:cs="Arial"/>
          <w:b/>
          <w:bCs/>
          <w:sz w:val="24"/>
          <w:szCs w:val="24"/>
        </w:rPr>
        <w:t xml:space="preserve">, </w:t>
      </w:r>
      <w:r w:rsidRPr="00007309">
        <w:rPr>
          <w:rFonts w:cs="Arial"/>
          <w:b/>
          <w:bCs/>
          <w:sz w:val="24"/>
          <w:szCs w:val="24"/>
          <w:rtl/>
        </w:rPr>
        <w:t xml:space="preserve">חָזָא יְחֶזְקֵאל </w:t>
      </w:r>
      <w:r w:rsidRPr="00007309">
        <w:rPr>
          <w:rFonts w:cs="Arial"/>
          <w:b/>
          <w:bCs/>
          <w:sz w:val="36"/>
          <w:szCs w:val="28"/>
          <w:vertAlign w:val="superscript"/>
          <w:rtl/>
        </w:rPr>
        <w:footnoteReference w:id="5906"/>
      </w:r>
      <w:r w:rsidRPr="00007309">
        <w:rPr>
          <w:rFonts w:cs="Arial"/>
          <w:b/>
          <w:bCs/>
          <w:sz w:val="24"/>
          <w:szCs w:val="24"/>
          <w:rtl/>
        </w:rPr>
        <w:t xml:space="preserve">ט' מַרְאוֹת, </w:t>
      </w:r>
      <w:r w:rsidRPr="00007309">
        <w:rPr>
          <w:rFonts w:cs="Arial"/>
          <w:b/>
          <w:bCs/>
          <w:sz w:val="36"/>
          <w:szCs w:val="28"/>
          <w:vertAlign w:val="superscript"/>
          <w:rtl/>
        </w:rPr>
        <w:footnoteReference w:id="5907"/>
      </w:r>
      <w:r w:rsidRPr="00007309">
        <w:rPr>
          <w:rFonts w:cs="Arial"/>
          <w:b/>
          <w:bCs/>
          <w:sz w:val="24"/>
          <w:szCs w:val="24"/>
          <w:rtl/>
        </w:rPr>
        <w:t xml:space="preserve">דְּאִתְּמַר בְּהוֹן (שם) נִפְתְּחוּ הַשָּׁמַיִם וְאֶרְאֶה מַרְאוֹת אֱלֹהִים. ואִלֵּין אִנּוּן. חִיזוּ קַדְמָאָה (שם) וּמִמַּעַל לָרָקִיעַ אֲשֶר עַל רֹאשָׁם כְּמַרְאֵה אֶבֶן סַפִּיר דְּמוּת כִּסֵּא. </w:t>
      </w:r>
      <w:r w:rsidRPr="00007309">
        <w:rPr>
          <w:rFonts w:cs="Arial"/>
          <w:b/>
          <w:bCs/>
          <w:sz w:val="36"/>
          <w:szCs w:val="28"/>
          <w:vertAlign w:val="superscript"/>
          <w:rtl/>
        </w:rPr>
        <w:footnoteReference w:id="5908"/>
      </w:r>
      <w:r w:rsidRPr="00007309">
        <w:rPr>
          <w:rFonts w:cs="Arial"/>
          <w:b/>
          <w:bCs/>
          <w:sz w:val="24"/>
          <w:szCs w:val="24"/>
          <w:rtl/>
        </w:rPr>
        <w:t xml:space="preserve">הַאי אֶבֶן אִיהוּ שְׁכִינְתָּא </w:t>
      </w:r>
      <w:r w:rsidRPr="00007309">
        <w:rPr>
          <w:rFonts w:cs="Arial"/>
          <w:b/>
          <w:bCs/>
          <w:sz w:val="36"/>
          <w:szCs w:val="28"/>
          <w:vertAlign w:val="superscript"/>
          <w:rtl/>
        </w:rPr>
        <w:footnoteReference w:id="5909"/>
      </w:r>
      <w:r w:rsidRPr="00007309">
        <w:rPr>
          <w:rFonts w:cs="Arial"/>
          <w:b/>
          <w:bCs/>
          <w:sz w:val="24"/>
          <w:szCs w:val="24"/>
          <w:rtl/>
        </w:rPr>
        <w:t xml:space="preserve">אֶבֶן סַפִּיר, וִיחֶזְקֵאל חָזָא </w:t>
      </w:r>
      <w:r w:rsidRPr="00007309">
        <w:rPr>
          <w:rFonts w:cs="Arial"/>
          <w:b/>
          <w:bCs/>
          <w:sz w:val="36"/>
          <w:szCs w:val="28"/>
          <w:vertAlign w:val="superscript"/>
          <w:rtl/>
        </w:rPr>
        <w:footnoteReference w:id="5910"/>
      </w:r>
      <w:r w:rsidRPr="00007309">
        <w:rPr>
          <w:rFonts w:cs="Arial"/>
          <w:b/>
          <w:bCs/>
          <w:sz w:val="24"/>
          <w:szCs w:val="24"/>
          <w:rtl/>
        </w:rPr>
        <w:t xml:space="preserve">מִתַּתָּא לְעֵלָּא. אִיהוּ חָזָא לָהּ </w:t>
      </w:r>
      <w:r w:rsidRPr="00007309">
        <w:rPr>
          <w:rFonts w:cs="Arial"/>
          <w:b/>
          <w:bCs/>
          <w:sz w:val="36"/>
          <w:szCs w:val="28"/>
          <w:vertAlign w:val="superscript"/>
          <w:rtl/>
        </w:rPr>
        <w:footnoteReference w:id="5911"/>
      </w:r>
      <w:r w:rsidRPr="00007309">
        <w:rPr>
          <w:rFonts w:cs="Arial"/>
          <w:b/>
          <w:bCs/>
          <w:sz w:val="24"/>
          <w:szCs w:val="24"/>
          <w:rtl/>
        </w:rPr>
        <w:t xml:space="preserve">כְּמָאן דְּחָזָא מִגּוֹ עֲשָׁשִׁית. חִיזוּ תִּנְיָנָא וְעַל דְּמוּת הַכִּסֵא דְּמוּת כְּמַרְאֵה אָדָם עָלָיו מִלְּמַעְלָה. הָכָא חָזָא </w:t>
      </w:r>
      <w:r w:rsidRPr="00007309">
        <w:rPr>
          <w:rFonts w:cs="Arial"/>
          <w:b/>
          <w:bCs/>
          <w:sz w:val="36"/>
          <w:szCs w:val="28"/>
          <w:vertAlign w:val="superscript"/>
          <w:rtl/>
        </w:rPr>
        <w:footnoteReference w:id="5912"/>
      </w:r>
      <w:r w:rsidRPr="00007309">
        <w:rPr>
          <w:rFonts w:cs="Arial"/>
          <w:b/>
          <w:bCs/>
          <w:sz w:val="24"/>
          <w:szCs w:val="24"/>
          <w:rtl/>
        </w:rPr>
        <w:t xml:space="preserve">עַמּוּדָא דְּאֶמְצָעִיתָא סָמִיךְ לִשְׁכִינְתָּא, </w:t>
      </w:r>
      <w:r w:rsidRPr="00007309">
        <w:rPr>
          <w:rFonts w:cs="Arial"/>
          <w:b/>
          <w:bCs/>
          <w:sz w:val="36"/>
          <w:szCs w:val="28"/>
          <w:vertAlign w:val="superscript"/>
          <w:rtl/>
        </w:rPr>
        <w:footnoteReference w:id="5913"/>
      </w:r>
      <w:r w:rsidRPr="00007309">
        <w:rPr>
          <w:rFonts w:cs="Arial"/>
          <w:b/>
          <w:bCs/>
          <w:sz w:val="24"/>
          <w:szCs w:val="24"/>
          <w:rtl/>
        </w:rPr>
        <w:t xml:space="preserve">וְחָזָא לֵהּ מִגּוֹ מְטַטְרוֹן דְּאִיהוּ שַׁדָּי. </w:t>
      </w:r>
    </w:p>
    <w:p w:rsidR="00007309" w:rsidRPr="00007309" w:rsidRDefault="00007309" w:rsidP="00007309">
      <w:pPr>
        <w:keepNext/>
        <w:outlineLvl w:val="1"/>
        <w:rPr>
          <w:rFonts w:ascii="Cambria" w:hAnsi="Cambria" w:cs="Times New Roman"/>
          <w:b/>
          <w:bCs/>
          <w:i/>
          <w:iCs/>
          <w:sz w:val="28"/>
          <w:szCs w:val="28"/>
          <w:rtl/>
        </w:rPr>
      </w:pPr>
      <w:r w:rsidRPr="00007309">
        <w:rPr>
          <w:rFonts w:ascii="Cambria" w:hAnsi="Cambria" w:cs="Times New Roman"/>
          <w:b/>
          <w:bCs/>
          <w:i/>
          <w:iCs/>
          <w:sz w:val="28"/>
          <w:szCs w:val="28"/>
          <w:rtl/>
        </w:rPr>
        <w:t>[תיקונים מזוהר חדש עג ע"ב]</w:t>
      </w:r>
    </w:p>
    <w:p w:rsidR="00007309" w:rsidRPr="00007309" w:rsidRDefault="00007309" w:rsidP="00007309">
      <w:pPr>
        <w:keepNext/>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[וילנא ג ע"א]</w:t>
      </w:r>
    </w:p>
    <w:p w:rsidR="00007309" w:rsidRPr="00007309" w:rsidRDefault="00007309" w:rsidP="00007309">
      <w:pPr>
        <w:jc w:val="both"/>
        <w:rPr>
          <w:rFonts w:cs="Arial"/>
          <w:b/>
          <w:bCs/>
          <w:sz w:val="24"/>
          <w:szCs w:val="24"/>
          <w:rtl/>
        </w:rPr>
      </w:pPr>
      <w:r w:rsidRPr="00007309">
        <w:rPr>
          <w:rFonts w:cs="Arial"/>
          <w:b/>
          <w:bCs/>
          <w:sz w:val="24"/>
          <w:szCs w:val="24"/>
          <w:rtl/>
        </w:rPr>
        <w:t xml:space="preserve">חִיזוּ תְּלִיתָאָה (שם) וָאֵרֶא כְּעֵין חַשְׁמַל כְּמַרְאֵה אֵשׁ בַּיִת לָהּ סָבִיב, </w:t>
      </w:r>
      <w:r w:rsidRPr="00007309">
        <w:rPr>
          <w:rFonts w:cs="Arial"/>
          <w:b/>
          <w:bCs/>
          <w:sz w:val="36"/>
          <w:szCs w:val="28"/>
          <w:vertAlign w:val="superscript"/>
          <w:rtl/>
        </w:rPr>
        <w:footnoteReference w:id="5914"/>
      </w:r>
      <w:r w:rsidRPr="00007309">
        <w:rPr>
          <w:rFonts w:cs="Arial"/>
          <w:b/>
          <w:bCs/>
          <w:sz w:val="24"/>
          <w:szCs w:val="24"/>
          <w:rtl/>
        </w:rPr>
        <w:t xml:space="preserve">וְדָא צַדִּיק חַי עָלְמִין, דְּאָחִיד בֵּין קוּדְשָׁא בְּרִיךְ הוּא דְּאִיהוּ יהו'ה, וּבֵין שְׁכִינְתָּא דְּאִיהִי אדנ'י, וְצַדִּיק </w:t>
      </w:r>
      <w:r w:rsidRPr="00007309">
        <w:rPr>
          <w:rFonts w:cs="Arial"/>
          <w:b/>
          <w:bCs/>
          <w:sz w:val="36"/>
          <w:szCs w:val="28"/>
          <w:vertAlign w:val="superscript"/>
          <w:rtl/>
        </w:rPr>
        <w:footnoteReference w:id="5915"/>
      </w:r>
      <w:r w:rsidRPr="00007309">
        <w:rPr>
          <w:rFonts w:cs="Arial"/>
          <w:b/>
          <w:bCs/>
          <w:sz w:val="24"/>
          <w:szCs w:val="24"/>
          <w:rtl/>
        </w:rPr>
        <w:t xml:space="preserve">אִיהוּ חַשְׁמַל כְּלָלָא דִּתְרֵין שְׁמָהָן אִלֵּין, דְּאִנּוּן יאהדונה'י. וְחָזָא לֵהּ מִגּוֹ שַׂר הַפָּנִים. </w:t>
      </w:r>
      <w:r w:rsidRPr="00007309">
        <w:rPr>
          <w:rFonts w:cs="Arial"/>
          <w:b/>
          <w:bCs/>
          <w:sz w:val="36"/>
          <w:szCs w:val="28"/>
          <w:vertAlign w:val="superscript"/>
          <w:rtl/>
        </w:rPr>
        <w:footnoteReference w:id="5916"/>
      </w:r>
      <w:r w:rsidRPr="00007309">
        <w:rPr>
          <w:rFonts w:cs="Arial"/>
          <w:b/>
          <w:bCs/>
          <w:sz w:val="24"/>
          <w:szCs w:val="24"/>
          <w:rtl/>
        </w:rPr>
        <w:t xml:space="preserve">וְד' אַנְפִּין אִנּוּן יהו'ה, וְד' גַּדְפִּין אִנּוּן אדנ'י. </w:t>
      </w:r>
      <w:r w:rsidRPr="00007309">
        <w:rPr>
          <w:rFonts w:cs="Arial"/>
          <w:b/>
          <w:bCs/>
          <w:sz w:val="36"/>
          <w:szCs w:val="28"/>
          <w:vertAlign w:val="superscript"/>
          <w:rtl/>
        </w:rPr>
        <w:footnoteReference w:id="5917"/>
      </w:r>
      <w:r w:rsidRPr="00007309">
        <w:rPr>
          <w:rFonts w:cs="Arial"/>
          <w:b/>
          <w:bCs/>
          <w:sz w:val="24"/>
          <w:szCs w:val="24"/>
          <w:rtl/>
        </w:rPr>
        <w:t>כָּל חַיָּה אִיהִי מְרֻבַּעַת, וּלְכָל סִטְרָא אִית לָהּ ד' אַנְפִּין</w:t>
      </w:r>
      <w:r w:rsidRPr="00007309">
        <w:rPr>
          <w:rFonts w:cs="Arial"/>
          <w:b/>
          <w:bCs/>
          <w:sz w:val="24"/>
          <w:szCs w:val="24"/>
        </w:rPr>
        <w:t xml:space="preserve">, </w:t>
      </w:r>
      <w:r w:rsidRPr="00007309">
        <w:rPr>
          <w:rFonts w:cs="Arial"/>
          <w:b/>
          <w:bCs/>
          <w:sz w:val="24"/>
          <w:szCs w:val="24"/>
          <w:rtl/>
        </w:rPr>
        <w:t xml:space="preserve">לְכָל פָּן ד' אַנְפִּין, וּלְכָל גַּדְפָּא ד' גַּדְפִּין, </w:t>
      </w:r>
      <w:r w:rsidRPr="00007309">
        <w:rPr>
          <w:rFonts w:cs="Arial" w:hint="cs"/>
          <w:b/>
          <w:bCs/>
          <w:sz w:val="24"/>
          <w:szCs w:val="24"/>
          <w:rtl/>
        </w:rPr>
        <w:t>י</w:t>
      </w:r>
      <w:r w:rsidRPr="00007309">
        <w:rPr>
          <w:rFonts w:cs="Arial"/>
          <w:b/>
          <w:bCs/>
          <w:sz w:val="24"/>
          <w:szCs w:val="24"/>
          <w:rtl/>
        </w:rPr>
        <w:t>ְהוֹן י"ו אַנְפִּין וָי"ו גַּדְפִּין לְכָל חַיָּה, אִנּוּן ל"ב מְרֻבָּעִים סַלְקִין לְד' חֵיוָן ס"ד אַנְפִּין</w:t>
      </w:r>
      <w:r w:rsidRPr="00007309">
        <w:rPr>
          <w:rFonts w:cs="Arial"/>
          <w:b/>
          <w:bCs/>
          <w:sz w:val="24"/>
          <w:szCs w:val="24"/>
        </w:rPr>
        <w:t xml:space="preserve"> </w:t>
      </w:r>
      <w:r w:rsidRPr="00007309">
        <w:rPr>
          <w:rFonts w:cs="Arial"/>
          <w:b/>
          <w:bCs/>
          <w:sz w:val="24"/>
          <w:szCs w:val="24"/>
          <w:rtl/>
        </w:rPr>
        <w:t xml:space="preserve">וס"ד גַּדְפִּין. וְאִית דְּאָמַר הָכֵי </w:t>
      </w:r>
      <w:r w:rsidRPr="00007309">
        <w:rPr>
          <w:rFonts w:cs="Arial"/>
          <w:b/>
          <w:bCs/>
          <w:sz w:val="36"/>
          <w:szCs w:val="28"/>
          <w:vertAlign w:val="superscript"/>
          <w:rtl/>
        </w:rPr>
        <w:footnoteReference w:id="5918"/>
      </w:r>
      <w:r w:rsidRPr="00007309">
        <w:rPr>
          <w:rFonts w:cs="Arial"/>
          <w:b/>
          <w:bCs/>
          <w:sz w:val="24"/>
          <w:szCs w:val="24"/>
          <w:rtl/>
        </w:rPr>
        <w:t xml:space="preserve">וְכֹלָּא קְשׁוֹט, ד' פָּנִים לְאַחַת וְד' כְּנָפַיִם לְאַחַת לָהֶם וְאִנּוּן לְכָל חַיָּה ד' אַנְפִּין וְד' גַּדְפִּין, הָא אִנּוּן ל'ב כְּחֻשְׁבָּן ל'ב אֱלֹהִים דְּעוֹבָדָא דִּבְרֵאשִׁית. </w:t>
      </w:r>
      <w:r w:rsidRPr="00007309">
        <w:rPr>
          <w:rFonts w:cs="Arial"/>
          <w:b/>
          <w:bCs/>
          <w:sz w:val="36"/>
          <w:szCs w:val="28"/>
          <w:vertAlign w:val="superscript"/>
          <w:rtl/>
        </w:rPr>
        <w:footnoteReference w:id="5919"/>
      </w:r>
      <w:r w:rsidRPr="00007309">
        <w:rPr>
          <w:rFonts w:cs="Arial"/>
          <w:b/>
          <w:bCs/>
          <w:sz w:val="24"/>
          <w:szCs w:val="24"/>
          <w:rtl/>
        </w:rPr>
        <w:t xml:space="preserve">וּדְמוּת פְּנֵיהֶם פְּנֵי אָדָם, דְּאִיהוּ עֶשֶׂר אַתְוָן דִּשְׁמָא מְפָרֵשׁ לָקֳבֵל עֶשֶׂר אֲמִירָן, הָא מ"ב. וס"ד </w:t>
      </w:r>
      <w:r w:rsidRPr="00007309">
        <w:rPr>
          <w:rFonts w:cs="Arial"/>
          <w:b/>
          <w:bCs/>
          <w:sz w:val="36"/>
          <w:szCs w:val="28"/>
          <w:vertAlign w:val="superscript"/>
          <w:rtl/>
        </w:rPr>
        <w:footnoteReference w:id="5920"/>
      </w:r>
      <w:r w:rsidRPr="00007309">
        <w:rPr>
          <w:rFonts w:cs="Arial"/>
          <w:b/>
          <w:bCs/>
          <w:sz w:val="24"/>
          <w:szCs w:val="24"/>
          <w:rtl/>
        </w:rPr>
        <w:t xml:space="preserve">אַנְפִּין וְגַדְפִּין </w:t>
      </w:r>
      <w:r w:rsidRPr="00007309">
        <w:rPr>
          <w:rFonts w:cs="Arial"/>
          <w:b/>
          <w:bCs/>
          <w:sz w:val="36"/>
          <w:szCs w:val="28"/>
          <w:vertAlign w:val="superscript"/>
          <w:rtl/>
        </w:rPr>
        <w:footnoteReference w:id="5921"/>
      </w:r>
      <w:r w:rsidRPr="00007309">
        <w:rPr>
          <w:rFonts w:cs="Arial"/>
          <w:b/>
          <w:bCs/>
          <w:sz w:val="24"/>
          <w:szCs w:val="24"/>
          <w:rtl/>
        </w:rPr>
        <w:t xml:space="preserve">עִם תְּמַנְיָא </w:t>
      </w:r>
      <w:r w:rsidRPr="00007309">
        <w:rPr>
          <w:rFonts w:ascii="Cambria" w:hAnsi="Cambria" w:cs="Times New Roman" w:hint="cs"/>
          <w:b/>
          <w:bCs/>
          <w:i/>
          <w:iCs/>
          <w:color w:val="4F81BD"/>
          <w:sz w:val="22"/>
          <w:szCs w:val="22"/>
          <w:rtl/>
        </w:rPr>
        <w:t xml:space="preserve">(וילנא ג ע"א) </w:t>
      </w:r>
      <w:r w:rsidRPr="00007309">
        <w:rPr>
          <w:rFonts w:cs="Arial"/>
          <w:b/>
          <w:bCs/>
          <w:sz w:val="24"/>
          <w:szCs w:val="24"/>
          <w:rtl/>
        </w:rPr>
        <w:t xml:space="preserve">אַתְוָן דְּחַשְׁמַל ע"ב. וְעָלַיְהוּ אִתְּמַר </w:t>
      </w:r>
      <w:r w:rsidRPr="00007309">
        <w:rPr>
          <w:rFonts w:cs="Arial"/>
          <w:sz w:val="36"/>
          <w:szCs w:val="24"/>
          <w:rtl/>
        </w:rPr>
        <w:t>(שם)</w:t>
      </w:r>
      <w:r w:rsidRPr="00007309">
        <w:rPr>
          <w:rFonts w:cs="Arial"/>
          <w:b/>
          <w:bCs/>
          <w:sz w:val="24"/>
          <w:szCs w:val="24"/>
          <w:rtl/>
        </w:rPr>
        <w:t xml:space="preserve"> וְגַבֵּיהֶן אִלֵּין ע"ב גַּדְפִּין. וְגֹבַהּ לָהֶם וְאִנּוּן ע"ב אַנְפִּין </w:t>
      </w:r>
      <w:r w:rsidRPr="00007309">
        <w:rPr>
          <w:rFonts w:cs="Arial"/>
          <w:b/>
          <w:bCs/>
          <w:sz w:val="36"/>
          <w:szCs w:val="28"/>
          <w:vertAlign w:val="superscript"/>
          <w:rtl/>
        </w:rPr>
        <w:footnoteReference w:id="5922"/>
      </w:r>
      <w:r w:rsidRPr="00007309">
        <w:rPr>
          <w:rFonts w:cs="Arial"/>
          <w:b/>
          <w:bCs/>
          <w:sz w:val="24"/>
          <w:szCs w:val="24"/>
          <w:rtl/>
        </w:rPr>
        <w:t xml:space="preserve">דְּאִנּוּן כְּאַתְוָן לְגַבֵּי נִקּוּדֵי, דְּעָלַיְהוּ אִתְּמַר כִּי גָּבוֹהַּ מֵעַל גָּבוֹהַּ שׁוֹמֵר. וּגְבוֹהִים עֲלֵיהֶם אִלֵּין טַעֲמֵי. וּבְגִינַיְהוּ אִתְּמַר </w:t>
      </w:r>
      <w:r w:rsidRPr="00007309">
        <w:rPr>
          <w:rFonts w:cs="Arial"/>
          <w:sz w:val="36"/>
          <w:szCs w:val="24"/>
          <w:rtl/>
        </w:rPr>
        <w:t>(יחזקאל א)</w:t>
      </w:r>
      <w:r w:rsidRPr="00007309">
        <w:rPr>
          <w:rFonts w:cs="Arial"/>
          <w:b/>
          <w:bCs/>
          <w:sz w:val="24"/>
          <w:szCs w:val="24"/>
          <w:rtl/>
        </w:rPr>
        <w:t xml:space="preserve"> וְגַבּוֹתָם מְלֵאוֹת עֵינַיִם סָבִיב לְאַרְבַּעְתָּם. </w:t>
      </w:r>
      <w:r w:rsidRPr="00007309">
        <w:rPr>
          <w:rFonts w:cs="Arial"/>
          <w:b/>
          <w:bCs/>
          <w:sz w:val="36"/>
          <w:szCs w:val="28"/>
          <w:vertAlign w:val="superscript"/>
          <w:rtl/>
        </w:rPr>
        <w:footnoteReference w:id="5923"/>
      </w:r>
      <w:r w:rsidRPr="00007309">
        <w:rPr>
          <w:rFonts w:cs="Arial"/>
          <w:b/>
          <w:bCs/>
          <w:sz w:val="24"/>
          <w:szCs w:val="24"/>
          <w:rtl/>
        </w:rPr>
        <w:t xml:space="preserve">וְאִנּוּן נִקּוּדִין כְּגַוְנָא דְּפִרְקִין דְּאֶצְבְּעָן דְּאִנּוּן עִגּוּלִין, </w:t>
      </w:r>
      <w:r w:rsidRPr="00007309">
        <w:rPr>
          <w:rFonts w:cs="Arial"/>
          <w:b/>
          <w:bCs/>
          <w:sz w:val="36"/>
          <w:szCs w:val="28"/>
          <w:vertAlign w:val="superscript"/>
          <w:rtl/>
        </w:rPr>
        <w:footnoteReference w:id="5924"/>
      </w:r>
      <w:r w:rsidRPr="00007309">
        <w:rPr>
          <w:rFonts w:cs="Arial"/>
          <w:b/>
          <w:bCs/>
          <w:sz w:val="24"/>
          <w:szCs w:val="24"/>
          <w:rtl/>
        </w:rPr>
        <w:t xml:space="preserve">וְאִנּוּן אַתְוָן כְּגַוְנָא דְּאֶצְבְּעָן. וְאִנּוּן טַעֲמֵי כְּגַוְנָא </w:t>
      </w:r>
      <w:r w:rsidRPr="00007309">
        <w:rPr>
          <w:rFonts w:ascii="Cambria" w:hAnsi="Cambria" w:cs="Times New Roman" w:hint="cs"/>
          <w:b/>
          <w:bCs/>
          <w:i/>
          <w:iCs/>
          <w:color w:val="4F81BD"/>
          <w:sz w:val="22"/>
          <w:szCs w:val="22"/>
          <w:rtl/>
        </w:rPr>
        <w:t xml:space="preserve">(עג ע"ב) </w:t>
      </w:r>
      <w:r w:rsidRPr="00007309">
        <w:rPr>
          <w:rFonts w:cs="Arial"/>
          <w:b/>
          <w:bCs/>
          <w:sz w:val="24"/>
          <w:szCs w:val="24"/>
          <w:rtl/>
        </w:rPr>
        <w:t xml:space="preserve">דְּעַיְנִין דְּמִתְנַהֲגִין כָּל אֵיבָרִין דְּגוּפָא אָבַתְרַיְהוּ, </w:t>
      </w:r>
      <w:r w:rsidRPr="00007309">
        <w:rPr>
          <w:rFonts w:cs="Arial"/>
          <w:b/>
          <w:bCs/>
          <w:sz w:val="36"/>
          <w:szCs w:val="28"/>
          <w:vertAlign w:val="superscript"/>
          <w:rtl/>
        </w:rPr>
        <w:footnoteReference w:id="5925"/>
      </w:r>
      <w:r w:rsidRPr="00007309">
        <w:rPr>
          <w:rFonts w:cs="Arial"/>
          <w:b/>
          <w:bCs/>
          <w:sz w:val="24"/>
          <w:szCs w:val="24"/>
          <w:rtl/>
        </w:rPr>
        <w:t xml:space="preserve">וְאִנּוּן רְמִיזִין בְּהַאי שְׁמָא יהֶוָהֶ, </w:t>
      </w:r>
      <w:r w:rsidRPr="00007309">
        <w:rPr>
          <w:rFonts w:cs="Arial"/>
          <w:b/>
          <w:bCs/>
          <w:sz w:val="36"/>
          <w:szCs w:val="28"/>
          <w:vertAlign w:val="superscript"/>
          <w:rtl/>
        </w:rPr>
        <w:footnoteReference w:id="5926"/>
      </w:r>
      <w:r w:rsidRPr="00007309">
        <w:rPr>
          <w:rFonts w:cs="Arial"/>
          <w:b/>
          <w:bCs/>
          <w:sz w:val="24"/>
          <w:szCs w:val="24"/>
          <w:rtl/>
        </w:rPr>
        <w:t xml:space="preserve">וְעוֹד וְגַבּוֹתָם מְלֵאוֹת עֵינַיִם סָבִיב לְאַרְבַּעְתָּם כְּגַוְנָא דָּא, </w:t>
      </w:r>
      <w:r w:rsidRPr="00007309">
        <w:rPr>
          <w:rFonts w:cs="Arial"/>
          <w:b/>
          <w:bCs/>
          <w:sz w:val="36"/>
          <w:szCs w:val="28"/>
          <w:vertAlign w:val="superscript"/>
          <w:rtl/>
        </w:rPr>
        <w:footnoteReference w:id="5927"/>
      </w:r>
      <w:r w:rsidRPr="00007309">
        <w:rPr>
          <w:rFonts w:cs="Arial"/>
          <w:b/>
          <w:bCs/>
          <w:sz w:val="24"/>
          <w:szCs w:val="24"/>
          <w:rtl/>
        </w:rPr>
        <w:t>וְאִתְּמַר בְּגַדְפִּין</w:t>
      </w:r>
      <w:r w:rsidRPr="00007309">
        <w:rPr>
          <w:rFonts w:cs="Arial"/>
          <w:b/>
          <w:bCs/>
          <w:noProof/>
          <w:sz w:val="36"/>
          <w:szCs w:val="28"/>
          <w:vertAlign w:val="superscript"/>
          <w:rtl/>
        </w:rPr>
        <mc:AlternateContent>
          <mc:Choice Requires="wps">
            <w:drawing>
              <wp:anchor distT="0" distB="0" distL="114300" distR="114300" simplePos="0" relativeHeight="251659264" behindDoc="0" locked="0" layoutInCell="1" allowOverlap="1" wp14:anchorId="60D41F71" wp14:editId="44C72045">
                <wp:simplePos x="0" y="0"/>
                <wp:positionH relativeFrom="character">
                  <wp:posOffset>-115570</wp:posOffset>
                </wp:positionH>
                <wp:positionV relativeFrom="line">
                  <wp:posOffset>90805</wp:posOffset>
                </wp:positionV>
                <wp:extent cx="1219200" cy="533400"/>
                <wp:effectExtent l="0" t="0" r="19685" b="16510"/>
                <wp:wrapSquare wrapText="bothSides"/>
                <wp:docPr id="1" name="תיבת טקסט 1"/>
                <wp:cNvGraphicFramePr/>
                <a:graphic xmlns:a="http://schemas.openxmlformats.org/drawingml/2006/main">
                  <a:graphicData uri="http://schemas.microsoft.com/office/word/2010/wordprocessingShape">
                    <wps:wsp>
                      <wps:cNvSpPr txBox="1"/>
                      <wps:spPr>
                        <a:xfrm>
                          <a:off x="0" y="0"/>
                          <a:ext cx="1219200" cy="533400"/>
                        </a:xfrm>
                        <a:prstGeom prst="rect">
                          <a:avLst/>
                        </a:prstGeom>
                        <a:solidFill>
                          <a:sysClr val="window" lastClr="FFFFFF"/>
                        </a:solidFill>
                        <a:ln w="6350">
                          <a:solidFill>
                            <a:prstClr val="black"/>
                          </a:solidFill>
                        </a:ln>
                        <a:effectLst/>
                      </wps:spPr>
                      <wps:txbx>
                        <w:txbxContent>
                          <w:p w:rsidR="00007309" w:rsidRDefault="00007309" w:rsidP="00007309">
                            <w:r>
                              <w:rPr>
                                <w:noProof/>
                              </w:rPr>
                              <w:drawing>
                                <wp:inline distT="0" distB="0" distL="0" distR="0" wp14:anchorId="7EBA2197" wp14:editId="45A788A1">
                                  <wp:extent cx="1028700" cy="352425"/>
                                  <wp:effectExtent l="0" t="0" r="0" b="9525"/>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8700" cy="35242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תיבת טקסט 1" o:spid="_x0000_s1026" type="#_x0000_t202" style="position:absolute;margin-left:-9.1pt;margin-top:7.15pt;width:96pt;height:42pt;z-index:251659264;visibility:visible;mso-wrap-style:none;mso-wrap-distance-left:9pt;mso-wrap-distance-top:0;mso-wrap-distance-right:9pt;mso-wrap-distance-bottom:0;mso-position-horizontal:absolute;mso-position-horizontal-relative:char;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" fillcolor="window" strokeweight=".5pt">
                <v:textbox style="mso-fit-shape-to-text:t">
                  <w:txbxContent>
                    <w:p w:rsidR="00007309" w:rsidRDefault="00007309" w:rsidP="00007309">
                      <w:r>
                        <w:rPr>
                          <w:noProof/>
                        </w:rPr>
                        <w:drawing>
                          <wp:inline distT="0" distB="0" distL="0" distR="0" wp14:anchorId="7EBA2197" wp14:editId="45A788A1">
                            <wp:extent cx="1028700" cy="352425"/>
                            <wp:effectExtent l="0" t="0" r="0" b="9525"/>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8700" cy="352425"/>
                                    </a:xfrm>
                                    <a:prstGeom prst="rect">
                                      <a:avLst/>
                                    </a:prstGeom>
                                    <a:noFill/>
                                    <a:ln>
                                      <a:noFill/>
                                    </a:ln>
                                  </pic:spPr>
                                </pic:pic>
                              </a:graphicData>
                            </a:graphic>
                          </wp:inline>
                        </w:drawing>
                      </w:r>
                    </w:p>
                  </w:txbxContent>
                </v:textbox>
                <w10:wrap type="square" anchory="line"/>
              </v:shape>
            </w:pict>
          </mc:Fallback>
        </mc:AlternateContent>
      </w:r>
      <w:r w:rsidRPr="00007309">
        <w:rPr>
          <w:rFonts w:cs="Arial"/>
          <w:b/>
          <w:bCs/>
          <w:sz w:val="24"/>
          <w:szCs w:val="24"/>
          <w:rtl/>
        </w:rPr>
        <w:t xml:space="preserve"> שְׁתַּיִם חוֹבְרוֹת אִישׁ </w:t>
      </w:r>
      <w:r w:rsidRPr="00007309">
        <w:rPr>
          <w:rFonts w:cs="Arial"/>
          <w:b/>
          <w:bCs/>
          <w:sz w:val="36"/>
          <w:szCs w:val="28"/>
          <w:vertAlign w:val="superscript"/>
          <w:rtl/>
        </w:rPr>
        <w:footnoteReference w:id="5928"/>
      </w:r>
      <w:r w:rsidRPr="00007309">
        <w:rPr>
          <w:rFonts w:cs="Arial"/>
          <w:b/>
          <w:bCs/>
          <w:sz w:val="24"/>
          <w:szCs w:val="24"/>
          <w:rtl/>
        </w:rPr>
        <w:t xml:space="preserve">כְּגוֹן </w:t>
      </w:r>
      <w:r w:rsidRPr="00007309">
        <w:rPr>
          <w:rFonts w:cs="Arial"/>
          <w:sz w:val="36"/>
          <w:szCs w:val="24"/>
          <w:rtl/>
        </w:rPr>
        <w:t>(שמות כח)</w:t>
      </w:r>
      <w:r w:rsidRPr="00007309">
        <w:rPr>
          <w:rFonts w:cs="Arial"/>
          <w:b/>
          <w:bCs/>
          <w:sz w:val="24"/>
          <w:szCs w:val="24"/>
          <w:rtl/>
        </w:rPr>
        <w:t xml:space="preserve"> שְׁתֵּי כְּתֵפוֹת חוֹבְרוֹת, ושתי' מְכַסּוֹת אֶת גויותיהנה, </w:t>
      </w:r>
      <w:r w:rsidRPr="00007309">
        <w:rPr>
          <w:rFonts w:cs="Arial"/>
          <w:b/>
          <w:bCs/>
          <w:sz w:val="36"/>
          <w:szCs w:val="28"/>
          <w:vertAlign w:val="superscript"/>
          <w:rtl/>
        </w:rPr>
        <w:footnoteReference w:id="5929"/>
      </w:r>
      <w:r w:rsidRPr="00007309">
        <w:rPr>
          <w:rFonts w:cs="Arial"/>
          <w:b/>
          <w:bCs/>
          <w:sz w:val="24"/>
          <w:szCs w:val="24"/>
          <w:rtl/>
        </w:rPr>
        <w:t xml:space="preserve">כְּגוֹן עַל שְׁתֵּי קְצוֹתָיו וְחוּבַּר. שְׁתַּיִם חוֹבְרוֹת אִנּוּן יְמִינָא וּשְׂמָאלָא. </w:t>
      </w:r>
      <w:r w:rsidRPr="00007309">
        <w:rPr>
          <w:rFonts w:cs="Arial"/>
          <w:b/>
          <w:bCs/>
          <w:sz w:val="36"/>
          <w:szCs w:val="28"/>
          <w:vertAlign w:val="superscript"/>
          <w:rtl/>
        </w:rPr>
        <w:footnoteReference w:id="5930"/>
      </w:r>
      <w:r w:rsidRPr="00007309">
        <w:rPr>
          <w:rFonts w:cs="Arial"/>
          <w:b/>
          <w:bCs/>
          <w:sz w:val="24"/>
          <w:szCs w:val="24"/>
          <w:rtl/>
        </w:rPr>
        <w:t xml:space="preserve">אִישׁ, ה' אִישׁ מִלְחָמָה. מָאן אִישׁ. לְזִמְנִין </w:t>
      </w:r>
      <w:r w:rsidRPr="00007309">
        <w:rPr>
          <w:rFonts w:cs="Arial"/>
          <w:b/>
          <w:bCs/>
          <w:sz w:val="36"/>
          <w:szCs w:val="28"/>
          <w:vertAlign w:val="superscript"/>
          <w:rtl/>
        </w:rPr>
        <w:footnoteReference w:id="5931"/>
      </w:r>
      <w:r w:rsidRPr="00007309">
        <w:rPr>
          <w:rFonts w:cs="Arial"/>
          <w:b/>
          <w:bCs/>
          <w:sz w:val="24"/>
          <w:szCs w:val="24"/>
          <w:rtl/>
        </w:rPr>
        <w:t xml:space="preserve">מֵעֵלָּא לְתַתָּא </w:t>
      </w:r>
      <w:r w:rsidRPr="00007309">
        <w:rPr>
          <w:rFonts w:cs="Arial"/>
          <w:b/>
          <w:bCs/>
          <w:sz w:val="36"/>
          <w:szCs w:val="28"/>
          <w:vertAlign w:val="superscript"/>
          <w:rtl/>
        </w:rPr>
        <w:footnoteReference w:id="5932"/>
      </w:r>
      <w:r w:rsidRPr="00007309">
        <w:rPr>
          <w:rFonts w:cs="Arial"/>
          <w:b/>
          <w:bCs/>
          <w:sz w:val="24"/>
          <w:szCs w:val="24"/>
          <w:rtl/>
        </w:rPr>
        <w:t xml:space="preserve">אִתְקְרִיאַת חָכְמָה אָדָם וְאִתְקְרֵי אִישׁ, וּתְלָת סְפִירָן תְּחוֹתֵהּ אִתְקְרִיאוּ תְּלָת חֵיוָן. וּלְזִמְנִין אִמָּא עִלָּאָה אִתְקְרִיאַת </w:t>
      </w:r>
      <w:r w:rsidRPr="00007309">
        <w:rPr>
          <w:rFonts w:cs="Arial"/>
          <w:b/>
          <w:bCs/>
          <w:sz w:val="36"/>
          <w:szCs w:val="28"/>
          <w:vertAlign w:val="superscript"/>
          <w:rtl/>
        </w:rPr>
        <w:footnoteReference w:id="5933"/>
      </w:r>
      <w:r w:rsidRPr="00007309">
        <w:rPr>
          <w:rFonts w:cs="Arial"/>
          <w:b/>
          <w:bCs/>
          <w:sz w:val="24"/>
          <w:szCs w:val="24"/>
          <w:rtl/>
        </w:rPr>
        <w:t xml:space="preserve">הָאָדָם, בְּתוֹסֶפֶת ה', חֶסֶד גְּבוּרָה תִּפְאֶרֶת תְּלָת חֵיוָן, וּלְזִמְנִין תִּפְאֶרֶת אִתְקְרֵי אָדָם נֶצַח הוֹד יְסוֹד תְּלָת חֵיוָן, לְזִמְנִין חָכְמָה </w:t>
      </w:r>
      <w:r w:rsidRPr="00007309">
        <w:rPr>
          <w:rFonts w:cs="Arial"/>
          <w:b/>
          <w:bCs/>
          <w:sz w:val="36"/>
          <w:szCs w:val="28"/>
          <w:vertAlign w:val="superscript"/>
          <w:rtl/>
        </w:rPr>
        <w:footnoteReference w:id="5934"/>
      </w:r>
      <w:r w:rsidRPr="00007309">
        <w:rPr>
          <w:rFonts w:cs="Arial"/>
          <w:b/>
          <w:bCs/>
          <w:sz w:val="24"/>
          <w:szCs w:val="24"/>
          <w:rtl/>
        </w:rPr>
        <w:t xml:space="preserve">אִישׁ א' כֶּתֶר עִלָּאָה, </w:t>
      </w:r>
      <w:r w:rsidRPr="00007309">
        <w:rPr>
          <w:rFonts w:cs="Arial"/>
          <w:b/>
          <w:bCs/>
          <w:sz w:val="36"/>
          <w:szCs w:val="28"/>
          <w:vertAlign w:val="superscript"/>
          <w:rtl/>
        </w:rPr>
        <w:footnoteReference w:id="5935"/>
      </w:r>
      <w:r w:rsidRPr="00007309">
        <w:rPr>
          <w:rFonts w:cs="Arial"/>
          <w:b/>
          <w:bCs/>
          <w:sz w:val="24"/>
          <w:szCs w:val="24"/>
          <w:rtl/>
        </w:rPr>
        <w:t xml:space="preserve">י' חָכְמָה, </w:t>
      </w:r>
      <w:r w:rsidRPr="00007309">
        <w:rPr>
          <w:rFonts w:cs="Arial"/>
          <w:b/>
          <w:bCs/>
          <w:sz w:val="36"/>
          <w:szCs w:val="28"/>
          <w:vertAlign w:val="superscript"/>
          <w:rtl/>
        </w:rPr>
        <w:footnoteReference w:id="5936"/>
      </w:r>
      <w:r w:rsidRPr="00007309">
        <w:rPr>
          <w:rFonts w:cs="Arial"/>
          <w:b/>
          <w:bCs/>
          <w:sz w:val="24"/>
          <w:szCs w:val="24"/>
          <w:rtl/>
        </w:rPr>
        <w:t xml:space="preserve">ש' תְּשׁוּבָה, דְּאִיהִי אִמָּא עִלָּאָה, </w:t>
      </w:r>
      <w:r w:rsidRPr="00007309">
        <w:rPr>
          <w:rFonts w:cs="Arial"/>
          <w:b/>
          <w:bCs/>
          <w:sz w:val="36"/>
          <w:szCs w:val="28"/>
          <w:vertAlign w:val="superscript"/>
          <w:rtl/>
        </w:rPr>
        <w:footnoteReference w:id="5937"/>
      </w:r>
      <w:r w:rsidRPr="00007309">
        <w:rPr>
          <w:rFonts w:cs="Arial"/>
          <w:b/>
          <w:bCs/>
          <w:sz w:val="24"/>
          <w:szCs w:val="24"/>
          <w:rtl/>
        </w:rPr>
        <w:t>שְׁתַּיִם חוֹבְרוֹת אִישׁ גְּדֻלָּה גְּבוּרָה. וּשְׁתַּיִם מְכַסּוֹת אִנּוּן נֶצַח וָהוֹד. אֶת גויותיהנה, אֶת, דָּא צַדִּיק</w:t>
      </w:r>
      <w:r w:rsidRPr="00007309">
        <w:rPr>
          <w:rFonts w:cs="Arial"/>
          <w:b/>
          <w:bCs/>
          <w:sz w:val="24"/>
          <w:szCs w:val="24"/>
        </w:rPr>
        <w:t xml:space="preserve"> </w:t>
      </w:r>
      <w:r w:rsidRPr="00007309">
        <w:rPr>
          <w:rFonts w:cs="Arial"/>
          <w:b/>
          <w:bCs/>
          <w:sz w:val="24"/>
          <w:szCs w:val="24"/>
          <w:rtl/>
        </w:rPr>
        <w:t xml:space="preserve">דְּאִיהוּ תַּרְגּוּם אוֹת. אֶת גויותיהנה דָּא עַמּוּדָא דְּאֶמְצָעִיתָא דְּאִיהוּ גּוּפָא, וּשְׁכִינְתֵּהּ טַבּוּר דִּילֵהּ </w:t>
      </w:r>
      <w:r w:rsidRPr="00007309">
        <w:rPr>
          <w:rFonts w:cs="Arial"/>
          <w:b/>
          <w:bCs/>
          <w:sz w:val="36"/>
          <w:szCs w:val="28"/>
          <w:vertAlign w:val="superscript"/>
          <w:rtl/>
        </w:rPr>
        <w:footnoteReference w:id="5938"/>
      </w:r>
      <w:r w:rsidRPr="00007309">
        <w:rPr>
          <w:rFonts w:cs="Arial"/>
          <w:b/>
          <w:bCs/>
          <w:sz w:val="24"/>
          <w:szCs w:val="24"/>
          <w:rtl/>
        </w:rPr>
        <w:t xml:space="preserve">וְעַמּוּדָא דְּאֶמְצָעִיתָא, עָלַיְהוּ אִתְּמַר </w:t>
      </w:r>
      <w:r w:rsidRPr="00007309">
        <w:rPr>
          <w:rFonts w:cs="Arial"/>
          <w:sz w:val="36"/>
          <w:szCs w:val="24"/>
          <w:rtl/>
        </w:rPr>
        <w:t>(שמות כה)</w:t>
      </w:r>
      <w:r w:rsidRPr="00007309">
        <w:rPr>
          <w:rFonts w:cs="Arial"/>
          <w:b/>
          <w:bCs/>
          <w:sz w:val="24"/>
          <w:szCs w:val="24"/>
          <w:rtl/>
        </w:rPr>
        <w:t xml:space="preserve"> וְהָיוּ הַכְּרֻבִים פּוֹרְשֵׂי כְּנָפַיִם לְמַעְלָה. מָאן גַּדְפִּין דִּילְהוֹן לְעֵלָּא יְמִינָא וּשְׂמָאלָא, סוֹ</w:t>
      </w:r>
      <w:r w:rsidRPr="00007309">
        <w:rPr>
          <w:rFonts w:cs="Arial" w:hint="cs"/>
          <w:b/>
          <w:bCs/>
          <w:sz w:val="24"/>
          <w:szCs w:val="24"/>
          <w:rtl/>
        </w:rPr>
        <w:t>כ</w:t>
      </w:r>
      <w:r w:rsidRPr="00007309">
        <w:rPr>
          <w:rFonts w:cs="Arial"/>
          <w:b/>
          <w:bCs/>
          <w:sz w:val="24"/>
          <w:szCs w:val="24"/>
          <w:rtl/>
        </w:rPr>
        <w:t>ְ</w:t>
      </w:r>
      <w:r w:rsidRPr="00007309">
        <w:rPr>
          <w:rFonts w:cs="Arial" w:hint="cs"/>
          <w:b/>
          <w:bCs/>
          <w:sz w:val="24"/>
          <w:szCs w:val="24"/>
          <w:rtl/>
        </w:rPr>
        <w:t>כ</w:t>
      </w:r>
      <w:r w:rsidRPr="00007309">
        <w:rPr>
          <w:rFonts w:cs="Arial"/>
          <w:b/>
          <w:bCs/>
          <w:sz w:val="24"/>
          <w:szCs w:val="24"/>
          <w:rtl/>
        </w:rPr>
        <w:t xml:space="preserve">ִים בְּכַנְפֵיהֶם, תְּרֵי סַמְכֵי קְשׁוֹט. עַל הַכַּפֹּרֶת דָּא צַדִּיק דְּצָרִיךְ לְכַסָּאָה לֵהּ. וּפְנֵיהֶם אִישׁ אֶל אָחִיו אִנּוּן חָכְמָה וּבִינָה </w:t>
      </w:r>
      <w:r w:rsidRPr="00007309">
        <w:rPr>
          <w:rFonts w:cs="Arial"/>
          <w:b/>
          <w:bCs/>
          <w:sz w:val="36"/>
          <w:szCs w:val="28"/>
          <w:vertAlign w:val="superscript"/>
          <w:rtl/>
        </w:rPr>
        <w:footnoteReference w:id="5939"/>
      </w:r>
      <w:r w:rsidRPr="00007309">
        <w:rPr>
          <w:rFonts w:cs="Arial"/>
          <w:b/>
          <w:bCs/>
          <w:sz w:val="24"/>
          <w:szCs w:val="24"/>
          <w:rtl/>
        </w:rPr>
        <w:t xml:space="preserve">דְּאִנּוּן אַנְפִּין דִּכְרוּבִים. </w:t>
      </w:r>
      <w:r w:rsidRPr="00007309">
        <w:rPr>
          <w:rFonts w:cs="Arial"/>
          <w:b/>
          <w:bCs/>
          <w:sz w:val="36"/>
          <w:szCs w:val="28"/>
          <w:vertAlign w:val="superscript"/>
          <w:rtl/>
        </w:rPr>
        <w:footnoteReference w:id="5940"/>
      </w:r>
      <w:r w:rsidRPr="00007309">
        <w:rPr>
          <w:rFonts w:cs="Arial"/>
          <w:b/>
          <w:bCs/>
          <w:sz w:val="24"/>
          <w:szCs w:val="24"/>
          <w:rtl/>
        </w:rPr>
        <w:t>וּלְמָאן הֲווֹ פָּרְשֵׂי</w:t>
      </w:r>
      <w:r w:rsidRPr="00007309">
        <w:rPr>
          <w:rFonts w:cs="Arial"/>
          <w:b/>
          <w:bCs/>
          <w:sz w:val="24"/>
          <w:szCs w:val="24"/>
        </w:rPr>
        <w:t xml:space="preserve"> </w:t>
      </w:r>
      <w:r w:rsidRPr="00007309">
        <w:rPr>
          <w:rFonts w:cs="Arial"/>
          <w:b/>
          <w:bCs/>
          <w:sz w:val="24"/>
          <w:szCs w:val="24"/>
          <w:rtl/>
        </w:rPr>
        <w:t xml:space="preserve">גַּדְפַיְהוּ וּמִסְתַּכְּלִין אִישׁ אֶל אָחִיו </w:t>
      </w:r>
      <w:r w:rsidRPr="00007309">
        <w:rPr>
          <w:rFonts w:cs="Arial"/>
          <w:b/>
          <w:bCs/>
          <w:sz w:val="36"/>
          <w:szCs w:val="28"/>
          <w:vertAlign w:val="superscript"/>
          <w:rtl/>
        </w:rPr>
        <w:footnoteReference w:id="5941"/>
      </w:r>
      <w:r w:rsidRPr="00007309">
        <w:rPr>
          <w:rFonts w:cs="Arial"/>
          <w:b/>
          <w:bCs/>
          <w:sz w:val="24"/>
          <w:szCs w:val="24"/>
          <w:rtl/>
        </w:rPr>
        <w:t xml:space="preserve">לְהַהוּא דְּעָאל בְּכִתְרָא עִלָּאָה, </w:t>
      </w:r>
      <w:r w:rsidRPr="00007309">
        <w:rPr>
          <w:rFonts w:cs="Arial"/>
          <w:b/>
          <w:bCs/>
          <w:sz w:val="36"/>
          <w:szCs w:val="28"/>
          <w:vertAlign w:val="superscript"/>
          <w:rtl/>
        </w:rPr>
        <w:footnoteReference w:id="5942"/>
      </w:r>
      <w:r w:rsidRPr="00007309">
        <w:rPr>
          <w:rFonts w:cs="Arial"/>
          <w:b/>
          <w:bCs/>
          <w:sz w:val="24"/>
          <w:szCs w:val="24"/>
          <w:rtl/>
        </w:rPr>
        <w:t xml:space="preserve">דְּאִיהוּ מְכֻסֶּה </w:t>
      </w:r>
      <w:r w:rsidRPr="00007309">
        <w:rPr>
          <w:rFonts w:cs="Arial"/>
          <w:b/>
          <w:bCs/>
          <w:sz w:val="36"/>
          <w:szCs w:val="28"/>
          <w:vertAlign w:val="superscript"/>
          <w:rtl/>
        </w:rPr>
        <w:footnoteReference w:id="5943"/>
      </w:r>
      <w:r w:rsidRPr="00007309">
        <w:rPr>
          <w:rFonts w:cs="Arial"/>
          <w:b/>
          <w:bCs/>
          <w:sz w:val="24"/>
          <w:szCs w:val="24"/>
          <w:rtl/>
        </w:rPr>
        <w:t xml:space="preserve">דְּעָלֵהּ אִתְּמַר בַּמֻּפְלָא מִמְּךָ אַל תִּדְרֹשׁ וּבַמְכֻסֶּה מִמְּךָ אַל תַּחֲקֹר. </w:t>
      </w:r>
      <w:r w:rsidRPr="00007309">
        <w:rPr>
          <w:rFonts w:cs="Arial"/>
          <w:b/>
          <w:bCs/>
          <w:sz w:val="36"/>
          <w:szCs w:val="28"/>
          <w:vertAlign w:val="superscript"/>
          <w:rtl/>
        </w:rPr>
        <w:footnoteReference w:id="5944"/>
      </w:r>
      <w:r w:rsidRPr="00007309">
        <w:rPr>
          <w:rFonts w:cs="Arial"/>
          <w:b/>
          <w:bCs/>
          <w:sz w:val="24"/>
          <w:szCs w:val="24"/>
          <w:rtl/>
        </w:rPr>
        <w:t xml:space="preserve">וּכְרוּבִים לְגַבֵּהּ גַּדְפַיְהוּ פְּתִיחָן לְעֵלָּא, לָקָבְלֵהּ לֵהּ עָלַיְהוּ </w:t>
      </w:r>
      <w:r w:rsidRPr="00007309">
        <w:rPr>
          <w:rFonts w:cs="Arial"/>
          <w:sz w:val="36"/>
          <w:szCs w:val="24"/>
          <w:rtl/>
        </w:rPr>
        <w:t>(במדבר ז)</w:t>
      </w:r>
      <w:r w:rsidRPr="00007309">
        <w:rPr>
          <w:rFonts w:cs="Arial"/>
          <w:b/>
          <w:bCs/>
          <w:sz w:val="24"/>
          <w:szCs w:val="24"/>
          <w:rtl/>
        </w:rPr>
        <w:t xml:space="preserve"> </w:t>
      </w:r>
      <w:r w:rsidRPr="00007309">
        <w:rPr>
          <w:rFonts w:cs="Arial"/>
          <w:b/>
          <w:bCs/>
          <w:sz w:val="36"/>
          <w:szCs w:val="28"/>
          <w:vertAlign w:val="superscript"/>
          <w:rtl/>
        </w:rPr>
        <w:footnoteReference w:id="5945"/>
      </w:r>
      <w:r w:rsidRPr="00007309">
        <w:rPr>
          <w:rFonts w:cs="Arial"/>
          <w:b/>
          <w:bCs/>
          <w:sz w:val="24"/>
          <w:szCs w:val="24"/>
          <w:rtl/>
        </w:rPr>
        <w:t xml:space="preserve">וַיִּשְׁמַע </w:t>
      </w:r>
      <w:r w:rsidRPr="00007309">
        <w:rPr>
          <w:rFonts w:cs="Arial"/>
          <w:b/>
          <w:bCs/>
          <w:sz w:val="36"/>
          <w:szCs w:val="28"/>
          <w:vertAlign w:val="superscript"/>
          <w:rtl/>
        </w:rPr>
        <w:footnoteReference w:id="5946"/>
      </w:r>
      <w:r w:rsidRPr="00007309">
        <w:rPr>
          <w:rFonts w:cs="Arial"/>
          <w:b/>
          <w:bCs/>
          <w:sz w:val="24"/>
          <w:szCs w:val="24"/>
          <w:rtl/>
        </w:rPr>
        <w:t xml:space="preserve">אֶת הַקּוֹל, מִגּוֹ עַמּוּדָא דְּאֶמְצָעִיתָא. מְדַבֵּר אֵלָיו, מִגּוֹ שְׁכִינְתָּא תַּתָּאָה. וַיִּשְׁמַע אֶת הַקּוֹל </w:t>
      </w:r>
      <w:r w:rsidRPr="00007309">
        <w:rPr>
          <w:rFonts w:cs="Arial"/>
          <w:b/>
          <w:bCs/>
          <w:sz w:val="36"/>
          <w:szCs w:val="28"/>
          <w:vertAlign w:val="superscript"/>
          <w:rtl/>
        </w:rPr>
        <w:footnoteReference w:id="5947"/>
      </w:r>
      <w:r w:rsidRPr="00007309">
        <w:rPr>
          <w:rFonts w:cs="Arial"/>
          <w:b/>
          <w:bCs/>
          <w:sz w:val="24"/>
          <w:szCs w:val="24"/>
          <w:rtl/>
        </w:rPr>
        <w:t xml:space="preserve">לְעֵלָּא מִגּוֹ אַבָּא. וַיְדַבֵּר אֵלָיו, מִגּוֹ אִמָּא. וּמָאן שָׁמַע לֵהּ עַמּוּדָא דְּאֶמְצָעִיתָא. </w:t>
      </w:r>
      <w:r w:rsidRPr="00007309">
        <w:rPr>
          <w:rFonts w:cs="Arial"/>
          <w:b/>
          <w:bCs/>
          <w:sz w:val="36"/>
          <w:szCs w:val="28"/>
          <w:vertAlign w:val="superscript"/>
          <w:rtl/>
        </w:rPr>
        <w:footnoteReference w:id="5948"/>
      </w:r>
      <w:r w:rsidRPr="00007309">
        <w:rPr>
          <w:rFonts w:cs="Arial"/>
          <w:b/>
          <w:bCs/>
          <w:sz w:val="24"/>
          <w:szCs w:val="24"/>
          <w:rtl/>
        </w:rPr>
        <w:t xml:space="preserve">וּמִלּוּלָא אִשְׁתְּמַע לְגַבֵּי שְׁכִינְתָּא. </w:t>
      </w:r>
    </w:p>
    <w:p w:rsidR="00007309" w:rsidRPr="00007309" w:rsidRDefault="00007309" w:rsidP="00007309">
      <w:pPr>
        <w:keepNext/>
        <w:spacing w:before="240" w:after="60"/>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[וילנא ג ע"ב]</w:t>
      </w:r>
    </w:p>
    <w:p w:rsidR="00007309" w:rsidRPr="00007309" w:rsidRDefault="00007309" w:rsidP="00007309">
      <w:pPr>
        <w:jc w:val="both"/>
        <w:rPr>
          <w:rFonts w:cs="Arial"/>
          <w:b/>
          <w:bCs/>
          <w:sz w:val="24"/>
          <w:szCs w:val="24"/>
          <w:rtl/>
        </w:rPr>
      </w:pPr>
      <w:r w:rsidRPr="00007309">
        <w:rPr>
          <w:rFonts w:cs="Arial"/>
          <w:b/>
          <w:bCs/>
          <w:sz w:val="24"/>
          <w:szCs w:val="24"/>
          <w:rtl/>
        </w:rPr>
        <w:t xml:space="preserve">חִיזוּ רְבִיעָאָה וַחֲמִישָׁאָה מִמַּרְאֵה מָתְנָיו </w:t>
      </w:r>
      <w:r w:rsidRPr="00007309">
        <w:rPr>
          <w:rFonts w:cs="Arial"/>
          <w:b/>
          <w:bCs/>
          <w:sz w:val="36"/>
          <w:szCs w:val="28"/>
          <w:vertAlign w:val="superscript"/>
          <w:rtl/>
        </w:rPr>
        <w:footnoteReference w:id="5949"/>
      </w:r>
      <w:r w:rsidRPr="00007309">
        <w:rPr>
          <w:rFonts w:cs="Arial"/>
          <w:b/>
          <w:bCs/>
          <w:sz w:val="24"/>
          <w:szCs w:val="24"/>
          <w:rtl/>
        </w:rPr>
        <w:t xml:space="preserve">וּלְמַעְלָה נֶצַח, וּמִמַּרְאֵה מָתְנָיו וּלְמַטָה הוֹד. </w:t>
      </w:r>
      <w:r w:rsidRPr="00007309">
        <w:rPr>
          <w:rFonts w:cs="Arial"/>
          <w:b/>
          <w:bCs/>
          <w:sz w:val="36"/>
          <w:szCs w:val="28"/>
          <w:vertAlign w:val="superscript"/>
          <w:rtl/>
        </w:rPr>
        <w:footnoteReference w:id="5950"/>
      </w:r>
      <w:r w:rsidRPr="00007309">
        <w:rPr>
          <w:rFonts w:cs="Arial"/>
          <w:b/>
          <w:bCs/>
          <w:sz w:val="24"/>
          <w:szCs w:val="24"/>
          <w:rtl/>
        </w:rPr>
        <w:t xml:space="preserve">דְּאִנּוּן תְּרֵין שׁוֹקִין. חִיזוּ שְׁתִיתָאָה, רָאִיתִי כְּמַרְאֵה אֵשׁ, וְדָא גְּבוּרָה </w:t>
      </w:r>
      <w:r w:rsidRPr="00007309">
        <w:rPr>
          <w:rFonts w:cs="Arial"/>
          <w:b/>
          <w:bCs/>
          <w:sz w:val="36"/>
          <w:szCs w:val="28"/>
          <w:vertAlign w:val="superscript"/>
          <w:rtl/>
        </w:rPr>
        <w:footnoteReference w:id="5951"/>
      </w:r>
      <w:r w:rsidRPr="00007309">
        <w:rPr>
          <w:rFonts w:cs="Arial"/>
          <w:b/>
          <w:bCs/>
          <w:sz w:val="24"/>
          <w:szCs w:val="24"/>
          <w:rtl/>
        </w:rPr>
        <w:t xml:space="preserve">דְּמִתַּמָּן אִנּוּן שְׁנַיִם כְּרוּבִים זָהָב. דְּכֶסֶף אִיהוּ לִימִינָא, </w:t>
      </w:r>
      <w:r w:rsidRPr="00007309">
        <w:rPr>
          <w:rFonts w:cs="Arial"/>
          <w:b/>
          <w:bCs/>
          <w:sz w:val="36"/>
          <w:szCs w:val="28"/>
          <w:vertAlign w:val="superscript"/>
          <w:rtl/>
        </w:rPr>
        <w:footnoteReference w:id="5952"/>
      </w:r>
      <w:r w:rsidRPr="00007309">
        <w:rPr>
          <w:rFonts w:cs="Arial"/>
          <w:b/>
          <w:bCs/>
          <w:sz w:val="24"/>
          <w:szCs w:val="24"/>
          <w:rtl/>
        </w:rPr>
        <w:t xml:space="preserve">זָהָב לִשְׂמָאלָא. </w:t>
      </w:r>
      <w:r w:rsidRPr="00007309">
        <w:rPr>
          <w:rFonts w:cs="Arial"/>
          <w:b/>
          <w:bCs/>
          <w:sz w:val="36"/>
          <w:szCs w:val="28"/>
          <w:vertAlign w:val="superscript"/>
          <w:rtl/>
        </w:rPr>
        <w:footnoteReference w:id="5953"/>
      </w:r>
      <w:r w:rsidRPr="00007309">
        <w:rPr>
          <w:rFonts w:cs="Arial"/>
          <w:b/>
          <w:bCs/>
          <w:sz w:val="24"/>
          <w:szCs w:val="24"/>
          <w:rtl/>
        </w:rPr>
        <w:t>וְשֶׁבַע מִינֵי דַּהֲבָא אִתְכְּלִילָן בֵּהּ חִיזוּ שְׁבִיעָאָה כְּמַרְאֵה הַקֶּשֶׁת אֲשֶׁר יִהְיֶה בֶּעָנָן</w:t>
      </w:r>
      <w:r w:rsidRPr="00007309">
        <w:rPr>
          <w:rFonts w:cs="Arial" w:hint="cs"/>
          <w:b/>
          <w:bCs/>
          <w:sz w:val="24"/>
          <w:szCs w:val="24"/>
          <w:rtl/>
        </w:rPr>
        <w:t>,</w:t>
      </w:r>
      <w:r w:rsidRPr="00007309">
        <w:rPr>
          <w:rFonts w:cs="Arial"/>
          <w:b/>
          <w:bCs/>
          <w:sz w:val="24"/>
          <w:szCs w:val="24"/>
          <w:rtl/>
        </w:rPr>
        <w:t xml:space="preserve"> מָאן</w:t>
      </w:r>
      <w:r w:rsidRPr="00007309">
        <w:rPr>
          <w:rFonts w:cs="Arial"/>
          <w:b/>
          <w:bCs/>
          <w:sz w:val="24"/>
          <w:szCs w:val="24"/>
        </w:rPr>
        <w:t xml:space="preserve"> </w:t>
      </w:r>
      <w:r w:rsidRPr="00007309">
        <w:rPr>
          <w:rFonts w:cs="Arial"/>
          <w:b/>
          <w:bCs/>
          <w:sz w:val="24"/>
          <w:szCs w:val="24"/>
          <w:rtl/>
        </w:rPr>
        <w:t xml:space="preserve">עֲנָנָא, דָּא חֶסֶד </w:t>
      </w:r>
      <w:r w:rsidRPr="00007309">
        <w:rPr>
          <w:rFonts w:cs="Arial"/>
          <w:b/>
          <w:bCs/>
          <w:sz w:val="36"/>
          <w:szCs w:val="28"/>
          <w:vertAlign w:val="superscript"/>
          <w:rtl/>
        </w:rPr>
        <w:footnoteReference w:id="5954"/>
      </w:r>
      <w:r w:rsidRPr="00007309">
        <w:rPr>
          <w:rFonts w:cs="Arial"/>
          <w:b/>
          <w:bCs/>
          <w:sz w:val="24"/>
          <w:szCs w:val="24"/>
          <w:rtl/>
        </w:rPr>
        <w:t>דְּסָלִיק ע"ב וּבֵהּ אָתָא</w:t>
      </w:r>
      <w:r w:rsidRPr="00007309">
        <w:rPr>
          <w:rFonts w:cs="Arial"/>
          <w:b/>
          <w:bCs/>
          <w:sz w:val="24"/>
          <w:szCs w:val="24"/>
        </w:rPr>
        <w:t xml:space="preserve"> </w:t>
      </w:r>
      <w:r w:rsidRPr="00007309">
        <w:rPr>
          <w:rFonts w:cs="Arial"/>
          <w:b/>
          <w:bCs/>
          <w:sz w:val="24"/>
          <w:szCs w:val="24"/>
          <w:rtl/>
        </w:rPr>
        <w:t xml:space="preserve">קוּדְשָׁא בְּרִיךְ הוּא בְּעָב הֶעָנָן, בַּעֲבוּר יִשְׁמַע עַמָּא </w:t>
      </w:r>
      <w:r w:rsidRPr="00007309">
        <w:rPr>
          <w:rFonts w:cs="Arial"/>
          <w:b/>
          <w:bCs/>
          <w:sz w:val="36"/>
          <w:szCs w:val="28"/>
          <w:vertAlign w:val="superscript"/>
          <w:rtl/>
        </w:rPr>
        <w:footnoteReference w:id="5955"/>
      </w:r>
      <w:r w:rsidRPr="00007309">
        <w:rPr>
          <w:rFonts w:cs="Arial"/>
          <w:b/>
          <w:bCs/>
          <w:sz w:val="24"/>
          <w:szCs w:val="24"/>
          <w:rtl/>
        </w:rPr>
        <w:t xml:space="preserve">לְמַלְּלָא עִם מֹשֶׁה. </w:t>
      </w:r>
      <w:r w:rsidRPr="00007309">
        <w:rPr>
          <w:rFonts w:cs="Arial"/>
          <w:b/>
          <w:bCs/>
          <w:sz w:val="36"/>
          <w:szCs w:val="28"/>
          <w:vertAlign w:val="superscript"/>
          <w:rtl/>
        </w:rPr>
        <w:footnoteReference w:id="5956"/>
      </w:r>
      <w:r w:rsidRPr="00007309">
        <w:rPr>
          <w:rFonts w:cs="Arial"/>
          <w:b/>
          <w:bCs/>
          <w:sz w:val="24"/>
          <w:szCs w:val="24"/>
          <w:rtl/>
        </w:rPr>
        <w:t xml:space="preserve">וּבְהַאי ע"ב דְּאִיהוּ חֶסֶד אִתְחַזְיָא קֶשֶׁת דְּאִיהוּ צַדִּיק בְּגווָֹנוֹי נְהִירִין, דְּאִנּוּן ג' גְּוָנִין דִּתְלָת אֲבָהָן, </w:t>
      </w:r>
      <w:r w:rsidRPr="00007309">
        <w:rPr>
          <w:rFonts w:cs="Arial"/>
          <w:b/>
          <w:bCs/>
          <w:sz w:val="36"/>
          <w:szCs w:val="28"/>
          <w:vertAlign w:val="superscript"/>
          <w:rtl/>
        </w:rPr>
        <w:footnoteReference w:id="5957"/>
      </w:r>
      <w:r w:rsidRPr="00007309">
        <w:rPr>
          <w:rFonts w:cs="Arial"/>
          <w:b/>
          <w:bCs/>
          <w:sz w:val="24"/>
          <w:szCs w:val="24"/>
          <w:rtl/>
        </w:rPr>
        <w:t xml:space="preserve">וּבֵהּ אִתְכְּלִילָן. </w:t>
      </w:r>
      <w:r w:rsidRPr="00007309">
        <w:rPr>
          <w:rFonts w:ascii="Cambria" w:hAnsi="Cambria" w:cs="Times New Roman" w:hint="cs"/>
          <w:b/>
          <w:bCs/>
          <w:i/>
          <w:iCs/>
          <w:color w:val="4F81BD"/>
          <w:sz w:val="22"/>
          <w:szCs w:val="22"/>
          <w:rtl/>
        </w:rPr>
        <w:t xml:space="preserve">(וילנא ג ע"ב) </w:t>
      </w:r>
      <w:r w:rsidRPr="00007309">
        <w:rPr>
          <w:rFonts w:cs="Arial"/>
          <w:b/>
          <w:bCs/>
          <w:sz w:val="24"/>
          <w:szCs w:val="24"/>
          <w:rtl/>
        </w:rPr>
        <w:t xml:space="preserve">וּבְגִין דָּא אִתְּמַר </w:t>
      </w:r>
      <w:r w:rsidRPr="00007309">
        <w:rPr>
          <w:rFonts w:cs="Arial"/>
          <w:b/>
          <w:bCs/>
          <w:sz w:val="36"/>
          <w:szCs w:val="28"/>
          <w:vertAlign w:val="superscript"/>
          <w:rtl/>
        </w:rPr>
        <w:footnoteReference w:id="5958"/>
      </w:r>
      <w:r w:rsidRPr="00007309">
        <w:rPr>
          <w:rFonts w:cs="Arial"/>
          <w:b/>
          <w:bCs/>
          <w:sz w:val="24"/>
          <w:szCs w:val="24"/>
          <w:rtl/>
        </w:rPr>
        <w:t xml:space="preserve">בַּצַּדִּיק וַיְכֻלּוּ דְּסָלִיק ע"ב, </w:t>
      </w:r>
      <w:r w:rsidRPr="00007309">
        <w:rPr>
          <w:rFonts w:cs="Arial"/>
          <w:b/>
          <w:bCs/>
          <w:sz w:val="36"/>
          <w:szCs w:val="28"/>
          <w:vertAlign w:val="superscript"/>
          <w:rtl/>
        </w:rPr>
        <w:footnoteReference w:id="5959"/>
      </w:r>
      <w:r w:rsidRPr="00007309">
        <w:rPr>
          <w:rFonts w:cs="Arial"/>
          <w:b/>
          <w:bCs/>
          <w:sz w:val="24"/>
          <w:szCs w:val="24"/>
          <w:rtl/>
        </w:rPr>
        <w:t xml:space="preserve">דְּבֵהּ אִתְכְּלִילָן תְּלָת אֲבָהָן, דְּאִתְּמַר בְּהוּ בַּכֹּ'ל מִכֹּ'ל כֹּ'ל. וּבְאִלֵּין תְּלָת גְּוָנִין וּרְאִיתִיהָ לִשְׁכִינְתָּא </w:t>
      </w:r>
      <w:r w:rsidRPr="00007309">
        <w:rPr>
          <w:rFonts w:cs="Arial"/>
          <w:b/>
          <w:bCs/>
          <w:sz w:val="36"/>
          <w:szCs w:val="28"/>
          <w:vertAlign w:val="superscript"/>
          <w:rtl/>
        </w:rPr>
        <w:footnoteReference w:id="5960"/>
      </w:r>
      <w:r w:rsidRPr="00007309">
        <w:rPr>
          <w:rFonts w:cs="Arial"/>
          <w:b/>
          <w:bCs/>
          <w:sz w:val="24"/>
          <w:szCs w:val="24"/>
          <w:rtl/>
        </w:rPr>
        <w:t xml:space="preserve">לִזְכֹּר בְּרִית עוֹלָם. </w:t>
      </w:r>
      <w:r w:rsidRPr="00007309">
        <w:rPr>
          <w:rFonts w:cs="Arial"/>
          <w:b/>
          <w:bCs/>
          <w:sz w:val="36"/>
          <w:szCs w:val="28"/>
          <w:vertAlign w:val="superscript"/>
          <w:rtl/>
        </w:rPr>
        <w:footnoteReference w:id="5961"/>
      </w:r>
      <w:r w:rsidRPr="00007309">
        <w:rPr>
          <w:rFonts w:cs="Arial"/>
          <w:b/>
          <w:bCs/>
          <w:sz w:val="24"/>
          <w:szCs w:val="24"/>
          <w:rtl/>
        </w:rPr>
        <w:t xml:space="preserve">דְּצַדִּיק אִיהוּ אָלֶף שְׁתִיתָאָה יוֹם הַשִּשִּׁי. וְנָטִיל בִּימִינָא דְּאִיהוּ חֶסֶד כָּלִיל ע"ב וּבְגִינֵהּ אִתְּמַר (בראשית א) וְאַתָּה לֵךְ לְקֵץ </w:t>
      </w:r>
      <w:r w:rsidRPr="00007309">
        <w:rPr>
          <w:rFonts w:cs="Arial"/>
          <w:b/>
          <w:bCs/>
          <w:sz w:val="36"/>
          <w:szCs w:val="28"/>
          <w:vertAlign w:val="superscript"/>
          <w:rtl/>
        </w:rPr>
        <w:footnoteReference w:id="5962"/>
      </w:r>
      <w:r w:rsidRPr="00007309">
        <w:rPr>
          <w:rFonts w:cs="Arial"/>
          <w:b/>
          <w:bCs/>
          <w:sz w:val="24"/>
          <w:szCs w:val="24"/>
          <w:rtl/>
        </w:rPr>
        <w:t xml:space="preserve">וְתָנוּחַ בְּצַדִּיק וְתַעֲמֹד לְגֹרָלְךָ לְקֵץ הַיָּמִין, דְּאִיהוּ יְמִינָא </w:t>
      </w:r>
      <w:r w:rsidRPr="00007309">
        <w:rPr>
          <w:rFonts w:cs="Arial"/>
          <w:b/>
          <w:bCs/>
          <w:sz w:val="36"/>
          <w:szCs w:val="28"/>
          <w:vertAlign w:val="superscript"/>
          <w:rtl/>
        </w:rPr>
        <w:footnoteReference w:id="5963"/>
      </w:r>
      <w:r w:rsidRPr="00007309">
        <w:rPr>
          <w:rFonts w:cs="Arial"/>
          <w:b/>
          <w:bCs/>
          <w:sz w:val="24"/>
          <w:szCs w:val="24"/>
          <w:rtl/>
        </w:rPr>
        <w:t xml:space="preserve">דְּבֵהּ (ישעיה נב) כִּי עַיִן בְּעַיִן </w:t>
      </w:r>
      <w:r w:rsidRPr="00007309">
        <w:rPr>
          <w:rFonts w:cs="Arial"/>
          <w:b/>
          <w:bCs/>
          <w:sz w:val="36"/>
          <w:szCs w:val="28"/>
          <w:vertAlign w:val="superscript"/>
          <w:rtl/>
        </w:rPr>
        <w:footnoteReference w:id="5964"/>
      </w:r>
      <w:r w:rsidRPr="00007309">
        <w:rPr>
          <w:rFonts w:cs="Arial"/>
          <w:b/>
          <w:bCs/>
          <w:sz w:val="24"/>
          <w:szCs w:val="24"/>
          <w:rtl/>
        </w:rPr>
        <w:t xml:space="preserve">יִרְאוּ </w:t>
      </w:r>
      <w:r w:rsidRPr="00007309">
        <w:rPr>
          <w:rFonts w:cs="Arial"/>
          <w:b/>
          <w:bCs/>
          <w:sz w:val="36"/>
          <w:szCs w:val="28"/>
          <w:vertAlign w:val="superscript"/>
          <w:rtl/>
        </w:rPr>
        <w:footnoteReference w:id="5965"/>
      </w:r>
      <w:r w:rsidRPr="00007309">
        <w:rPr>
          <w:rFonts w:cs="Arial"/>
          <w:b/>
          <w:bCs/>
          <w:sz w:val="24"/>
          <w:szCs w:val="24"/>
          <w:rtl/>
        </w:rPr>
        <w:t xml:space="preserve">בְּשׁוּב ה' צִיּוֹן. </w:t>
      </w:r>
      <w:r w:rsidRPr="00007309">
        <w:rPr>
          <w:rFonts w:cs="Arial"/>
          <w:b/>
          <w:bCs/>
          <w:sz w:val="36"/>
          <w:szCs w:val="28"/>
          <w:vertAlign w:val="superscript"/>
          <w:rtl/>
        </w:rPr>
        <w:footnoteReference w:id="5966"/>
      </w:r>
      <w:r w:rsidRPr="00007309">
        <w:rPr>
          <w:rFonts w:cs="Arial"/>
          <w:b/>
          <w:bCs/>
          <w:sz w:val="24"/>
          <w:szCs w:val="24"/>
          <w:rtl/>
        </w:rPr>
        <w:t xml:space="preserve">וְנָטִיל בְּע"ב דְּעַמּוּדָא דְּאֶמְצָעִיתָא, </w:t>
      </w:r>
      <w:r w:rsidRPr="00007309">
        <w:rPr>
          <w:rFonts w:cs="Arial"/>
          <w:b/>
          <w:bCs/>
          <w:sz w:val="36"/>
          <w:szCs w:val="28"/>
          <w:vertAlign w:val="superscript"/>
          <w:rtl/>
        </w:rPr>
        <w:footnoteReference w:id="5967"/>
      </w:r>
      <w:r w:rsidRPr="00007309">
        <w:rPr>
          <w:rFonts w:cs="Arial"/>
          <w:b/>
          <w:bCs/>
          <w:sz w:val="24"/>
          <w:szCs w:val="24"/>
          <w:rtl/>
        </w:rPr>
        <w:t xml:space="preserve">דְּבֵהּ וַיְהִי מַבְדִּיל </w:t>
      </w:r>
      <w:r w:rsidRPr="00007309">
        <w:rPr>
          <w:rFonts w:cs="Arial"/>
          <w:b/>
          <w:bCs/>
          <w:sz w:val="36"/>
          <w:szCs w:val="28"/>
          <w:vertAlign w:val="superscript"/>
          <w:rtl/>
        </w:rPr>
        <w:footnoteReference w:id="5968"/>
      </w:r>
      <w:r w:rsidRPr="00007309">
        <w:rPr>
          <w:rFonts w:cs="Arial"/>
          <w:b/>
          <w:bCs/>
          <w:sz w:val="24"/>
          <w:szCs w:val="24"/>
          <w:rtl/>
        </w:rPr>
        <w:t xml:space="preserve">בֵּין מַיִם לְמַיִם, וּבְגִינָא אִתְּמַר </w:t>
      </w:r>
      <w:r w:rsidRPr="00007309">
        <w:rPr>
          <w:rFonts w:cs="Arial"/>
          <w:b/>
          <w:bCs/>
          <w:sz w:val="36"/>
          <w:szCs w:val="28"/>
          <w:vertAlign w:val="superscript"/>
          <w:rtl/>
        </w:rPr>
        <w:footnoteReference w:id="5969"/>
      </w:r>
      <w:r w:rsidRPr="00007309">
        <w:rPr>
          <w:rFonts w:cs="Arial"/>
          <w:b/>
          <w:bCs/>
          <w:sz w:val="24"/>
          <w:szCs w:val="24"/>
          <w:rtl/>
        </w:rPr>
        <w:t xml:space="preserve">לְלִבִּי גִּלִּיתִי ולמלאכי השרת לֹא גִלִּיתִי. לְלִבִּי גִלִּיתִי </w:t>
      </w:r>
      <w:r w:rsidRPr="00007309">
        <w:rPr>
          <w:rFonts w:cs="Arial"/>
          <w:b/>
          <w:bCs/>
          <w:sz w:val="36"/>
          <w:szCs w:val="28"/>
          <w:vertAlign w:val="superscript"/>
          <w:rtl/>
        </w:rPr>
        <w:footnoteReference w:id="5970"/>
      </w:r>
      <w:r w:rsidRPr="00007309">
        <w:rPr>
          <w:rFonts w:cs="Arial"/>
          <w:b/>
          <w:bCs/>
          <w:sz w:val="24"/>
          <w:szCs w:val="24"/>
          <w:rtl/>
        </w:rPr>
        <w:t xml:space="preserve">וּלְאֵבָרַי לֹא גִלִּיתִי. (חסר כאן) </w:t>
      </w:r>
      <w:r w:rsidRPr="00007309">
        <w:rPr>
          <w:rFonts w:cs="Arial"/>
          <w:b/>
          <w:bCs/>
          <w:sz w:val="36"/>
          <w:szCs w:val="28"/>
          <w:vertAlign w:val="superscript"/>
          <w:rtl/>
        </w:rPr>
        <w:footnoteReference w:id="5971"/>
      </w:r>
      <w:r w:rsidRPr="00007309">
        <w:rPr>
          <w:rFonts w:cs="Arial"/>
          <w:b/>
          <w:bCs/>
          <w:sz w:val="24"/>
          <w:szCs w:val="24"/>
          <w:rtl/>
        </w:rPr>
        <w:t xml:space="preserve">דקץ אִית בְּכָל דָּרָא וְדָרָא </w:t>
      </w:r>
      <w:r w:rsidRPr="00007309">
        <w:rPr>
          <w:rFonts w:cs="Arial"/>
          <w:b/>
          <w:bCs/>
          <w:sz w:val="36"/>
          <w:szCs w:val="28"/>
          <w:vertAlign w:val="superscript"/>
          <w:rtl/>
        </w:rPr>
        <w:footnoteReference w:id="5972"/>
      </w:r>
      <w:r w:rsidRPr="00007309">
        <w:rPr>
          <w:rFonts w:cs="Arial"/>
          <w:b/>
          <w:bCs/>
          <w:sz w:val="24"/>
          <w:szCs w:val="24"/>
          <w:rtl/>
        </w:rPr>
        <w:t xml:space="preserve">כְּפוּם זִכְוָן דִּילְהוֹן. </w:t>
      </w:r>
      <w:r w:rsidRPr="00007309">
        <w:rPr>
          <w:rFonts w:cs="Arial"/>
          <w:b/>
          <w:bCs/>
          <w:sz w:val="36"/>
          <w:szCs w:val="28"/>
          <w:vertAlign w:val="superscript"/>
          <w:rtl/>
        </w:rPr>
        <w:footnoteReference w:id="5973"/>
      </w:r>
      <w:r w:rsidRPr="00007309">
        <w:rPr>
          <w:rFonts w:cs="Arial"/>
          <w:b/>
          <w:bCs/>
          <w:sz w:val="24"/>
          <w:szCs w:val="24"/>
          <w:rtl/>
        </w:rPr>
        <w:t xml:space="preserve">בְּכָל מָארֵהּ דְּדָרָא כְּפוּם דְּרֹב דָּרָא נוֹטִים אֲבַתְרֵהּ. וְאִם חוֹבִין מִתְרַבִּין עָלַהּ, </w:t>
      </w:r>
      <w:r w:rsidRPr="00007309">
        <w:rPr>
          <w:rFonts w:cs="Arial" w:hint="cs"/>
          <w:b/>
          <w:bCs/>
          <w:sz w:val="24"/>
          <w:szCs w:val="24"/>
          <w:rtl/>
        </w:rPr>
        <w:t>(</w:t>
      </w:r>
      <w:r w:rsidRPr="00007309">
        <w:rPr>
          <w:rFonts w:cs="Arial"/>
          <w:b/>
          <w:bCs/>
          <w:sz w:val="24"/>
          <w:szCs w:val="24"/>
          <w:rtl/>
        </w:rPr>
        <w:t>א</w:t>
      </w:r>
      <w:r w:rsidRPr="00007309">
        <w:rPr>
          <w:rFonts w:cs="Arial" w:hint="cs"/>
          <w:b/>
          <w:bCs/>
          <w:sz w:val="24"/>
          <w:szCs w:val="24"/>
          <w:rtl/>
        </w:rPr>
        <w:t>"</w:t>
      </w:r>
      <w:r w:rsidRPr="00007309">
        <w:rPr>
          <w:rFonts w:cs="Arial"/>
          <w:b/>
          <w:bCs/>
          <w:sz w:val="24"/>
          <w:szCs w:val="24"/>
          <w:rtl/>
        </w:rPr>
        <w:t>ר חִיָּא</w:t>
      </w:r>
      <w:r w:rsidRPr="00007309">
        <w:rPr>
          <w:rFonts w:cs="Arial" w:hint="cs"/>
          <w:b/>
          <w:bCs/>
          <w:sz w:val="24"/>
          <w:szCs w:val="24"/>
          <w:rtl/>
        </w:rPr>
        <w:t>) אדחייא</w:t>
      </w:r>
      <w:r w:rsidRPr="00007309">
        <w:rPr>
          <w:rFonts w:cs="Arial"/>
          <w:b/>
          <w:bCs/>
          <w:sz w:val="24"/>
          <w:szCs w:val="24"/>
          <w:rtl/>
        </w:rPr>
        <w:t xml:space="preserve"> פֻּרְקָנָא עַד דָּרָא אָחֳרָא. וּבְגִין דָּא כָּל הַקִּצִּין כָּלוּ, וְכֹלָּא תַּלְיָא בִּתְיוּבְתָּא וּבְזִכְוָן דְּמִדּוֹת דְּכָל דָּרָא וְדָרָא. </w:t>
      </w:r>
      <w:r w:rsidRPr="00007309">
        <w:rPr>
          <w:rFonts w:cs="Arial"/>
          <w:b/>
          <w:bCs/>
          <w:sz w:val="36"/>
          <w:szCs w:val="28"/>
          <w:vertAlign w:val="superscript"/>
          <w:rtl/>
        </w:rPr>
        <w:footnoteReference w:id="5974"/>
      </w:r>
      <w:r w:rsidRPr="00007309">
        <w:rPr>
          <w:rFonts w:cs="Arial"/>
          <w:b/>
          <w:bCs/>
          <w:sz w:val="24"/>
          <w:szCs w:val="24"/>
          <w:rtl/>
        </w:rPr>
        <w:t xml:space="preserve">אֲבָל קֵץ וּזְמַן דְּשַׁוִּי קוּדְשָׁא בְּרִיךְ הוּא, לָא תַּלְיָא בְּזִכְוָן וּבְמִדּוֹת דְּכָל דָּרָא וְדָרָא, אֶלָּא </w:t>
      </w:r>
      <w:r w:rsidRPr="00007309">
        <w:rPr>
          <w:rFonts w:cs="Arial"/>
          <w:b/>
          <w:bCs/>
          <w:sz w:val="36"/>
          <w:szCs w:val="28"/>
          <w:vertAlign w:val="superscript"/>
          <w:rtl/>
        </w:rPr>
        <w:footnoteReference w:id="5975"/>
      </w:r>
      <w:r w:rsidRPr="00007309">
        <w:rPr>
          <w:rFonts w:cs="Arial"/>
          <w:b/>
          <w:bCs/>
          <w:sz w:val="24"/>
          <w:szCs w:val="24"/>
          <w:rtl/>
        </w:rPr>
        <w:t>בֵּהּ תַּלְיָא, הָדָא הוּא דִּכְתִיב (ישעיה מח) לְמַעֲנִי לְמַעֲנִי אֶעֱשֶׂה, וָאָעַשׂ לְמַעַן שְׁמִי</w:t>
      </w:r>
      <w:r w:rsidRPr="00007309">
        <w:rPr>
          <w:rFonts w:cs="Arial"/>
          <w:b/>
          <w:bCs/>
          <w:sz w:val="24"/>
          <w:szCs w:val="24"/>
        </w:rPr>
        <w:t xml:space="preserve">. </w:t>
      </w:r>
      <w:r w:rsidRPr="00007309">
        <w:rPr>
          <w:rFonts w:cs="Arial"/>
          <w:b/>
          <w:bCs/>
          <w:sz w:val="24"/>
          <w:szCs w:val="24"/>
          <w:rtl/>
        </w:rPr>
        <w:t xml:space="preserve">וּבְגִין דָּא כָּל קֵץ דְּכָל דַּרְגָּא כְּפוּם זִכְוָן דִּבְנֵי נָשָׁא אִיהוּ. </w:t>
      </w:r>
      <w:r w:rsidRPr="00007309">
        <w:rPr>
          <w:rFonts w:cs="Arial"/>
          <w:b/>
          <w:bCs/>
          <w:sz w:val="36"/>
          <w:szCs w:val="28"/>
          <w:vertAlign w:val="superscript"/>
          <w:rtl/>
        </w:rPr>
        <w:footnoteReference w:id="5976"/>
      </w:r>
      <w:r w:rsidRPr="00007309">
        <w:rPr>
          <w:rFonts w:cs="Arial"/>
          <w:b/>
          <w:bCs/>
          <w:sz w:val="24"/>
          <w:szCs w:val="24"/>
          <w:rtl/>
        </w:rPr>
        <w:t>וְקֵץ דְּקוּדְשָׁא בְּרִיךְ</w:t>
      </w:r>
      <w:r w:rsidRPr="00007309">
        <w:rPr>
          <w:rFonts w:cs="Arial"/>
          <w:b/>
          <w:bCs/>
          <w:sz w:val="24"/>
          <w:szCs w:val="24"/>
        </w:rPr>
        <w:t xml:space="preserve"> </w:t>
      </w:r>
      <w:r w:rsidRPr="00007309">
        <w:rPr>
          <w:rFonts w:cs="Arial"/>
          <w:b/>
          <w:bCs/>
          <w:sz w:val="24"/>
          <w:szCs w:val="24"/>
          <w:rtl/>
        </w:rPr>
        <w:t xml:space="preserve">הוּא לא תַּלְיָא בְּזִכְוָן דִּלְהוֹן. </w:t>
      </w:r>
      <w:r w:rsidRPr="00007309">
        <w:rPr>
          <w:rFonts w:cs="Arial"/>
          <w:b/>
          <w:bCs/>
          <w:sz w:val="36"/>
          <w:szCs w:val="28"/>
          <w:vertAlign w:val="superscript"/>
          <w:rtl/>
        </w:rPr>
        <w:footnoteReference w:id="5977"/>
      </w:r>
      <w:r w:rsidRPr="00007309">
        <w:rPr>
          <w:rFonts w:cs="Arial"/>
          <w:b/>
          <w:bCs/>
          <w:sz w:val="24"/>
          <w:szCs w:val="24"/>
          <w:rtl/>
        </w:rPr>
        <w:t xml:space="preserve">וְאִית ע"ב </w:t>
      </w:r>
      <w:r w:rsidRPr="00007309">
        <w:rPr>
          <w:rFonts w:cs="Arial"/>
          <w:b/>
          <w:bCs/>
          <w:sz w:val="36"/>
          <w:szCs w:val="28"/>
          <w:vertAlign w:val="superscript"/>
          <w:rtl/>
        </w:rPr>
        <w:footnoteReference w:id="5978"/>
      </w:r>
      <w:r w:rsidRPr="00007309">
        <w:rPr>
          <w:rFonts w:cs="Arial"/>
          <w:b/>
          <w:bCs/>
          <w:sz w:val="24"/>
          <w:szCs w:val="24"/>
          <w:rtl/>
        </w:rPr>
        <w:t xml:space="preserve">בָּתַר אֶלֶף חֲמִישָׁאָה כְּפוּם הַהִיא מִדָּה. וְאִית ע"ב </w:t>
      </w:r>
      <w:r w:rsidRPr="00007309">
        <w:rPr>
          <w:rFonts w:cs="Arial"/>
          <w:b/>
          <w:bCs/>
          <w:sz w:val="36"/>
          <w:szCs w:val="28"/>
          <w:vertAlign w:val="superscript"/>
          <w:rtl/>
        </w:rPr>
        <w:footnoteReference w:id="5979"/>
      </w:r>
      <w:r w:rsidRPr="00007309">
        <w:rPr>
          <w:rFonts w:cs="Arial"/>
          <w:b/>
          <w:bCs/>
          <w:sz w:val="24"/>
          <w:szCs w:val="24"/>
          <w:rtl/>
        </w:rPr>
        <w:t xml:space="preserve">בָּתַר אֶלֶף וּמָאתָן, כְּפוּם הַהִיא מִדָּה וְאִית </w:t>
      </w:r>
      <w:r w:rsidRPr="00007309">
        <w:rPr>
          <w:rFonts w:cs="Arial"/>
          <w:b/>
          <w:bCs/>
          <w:sz w:val="36"/>
          <w:szCs w:val="28"/>
          <w:vertAlign w:val="superscript"/>
          <w:rtl/>
        </w:rPr>
        <w:footnoteReference w:id="5980"/>
      </w:r>
      <w:r w:rsidRPr="00007309">
        <w:rPr>
          <w:rFonts w:cs="Arial"/>
          <w:b/>
          <w:bCs/>
          <w:sz w:val="24"/>
          <w:szCs w:val="24"/>
          <w:rtl/>
        </w:rPr>
        <w:t xml:space="preserve">וּמָאתָן וְחַמְשִׁין וְשִׁית </w:t>
      </w:r>
      <w:r w:rsidRPr="00007309">
        <w:rPr>
          <w:rFonts w:cs="Arial"/>
          <w:b/>
          <w:bCs/>
          <w:sz w:val="36"/>
          <w:szCs w:val="28"/>
          <w:vertAlign w:val="superscript"/>
          <w:rtl/>
        </w:rPr>
        <w:footnoteReference w:id="5981"/>
      </w:r>
      <w:r w:rsidRPr="00007309">
        <w:rPr>
          <w:rFonts w:cs="Arial"/>
          <w:b/>
          <w:bCs/>
          <w:sz w:val="24"/>
          <w:szCs w:val="24"/>
          <w:rtl/>
        </w:rPr>
        <w:t xml:space="preserve">דנח דִּילֵהּ, </w:t>
      </w:r>
      <w:r w:rsidRPr="00007309">
        <w:rPr>
          <w:rFonts w:cs="Arial"/>
          <w:b/>
          <w:bCs/>
          <w:sz w:val="36"/>
          <w:szCs w:val="28"/>
          <w:vertAlign w:val="superscript"/>
          <w:rtl/>
        </w:rPr>
        <w:footnoteReference w:id="5982"/>
      </w:r>
      <w:r w:rsidRPr="00007309">
        <w:rPr>
          <w:rFonts w:cs="Arial"/>
          <w:b/>
          <w:bCs/>
          <w:sz w:val="24"/>
          <w:szCs w:val="24"/>
          <w:rtl/>
        </w:rPr>
        <w:t xml:space="preserve">כִּי עַיִן בְּעַיִן יִרְאוּ קֵץ אָחֳרָא </w:t>
      </w:r>
      <w:r w:rsidRPr="00007309">
        <w:rPr>
          <w:rFonts w:cs="Arial"/>
          <w:b/>
          <w:bCs/>
          <w:sz w:val="36"/>
          <w:szCs w:val="28"/>
          <w:vertAlign w:val="superscript"/>
          <w:rtl/>
        </w:rPr>
        <w:footnoteReference w:id="5983"/>
      </w:r>
      <w:r w:rsidRPr="00007309">
        <w:rPr>
          <w:rFonts w:cs="Arial"/>
          <w:b/>
          <w:bCs/>
          <w:sz w:val="24"/>
          <w:szCs w:val="24"/>
          <w:rtl/>
        </w:rPr>
        <w:t xml:space="preserve">אִית רמ"ה כְּפוּם מִדָּה, </w:t>
      </w:r>
      <w:r w:rsidRPr="00007309">
        <w:rPr>
          <w:rFonts w:cs="Arial"/>
          <w:b/>
          <w:bCs/>
          <w:sz w:val="36"/>
          <w:szCs w:val="28"/>
          <w:vertAlign w:val="superscript"/>
          <w:rtl/>
        </w:rPr>
        <w:footnoteReference w:id="5984"/>
      </w:r>
      <w:r w:rsidRPr="00007309">
        <w:rPr>
          <w:rFonts w:cs="Arial"/>
          <w:b/>
          <w:bCs/>
          <w:sz w:val="24"/>
          <w:szCs w:val="24"/>
          <w:rtl/>
        </w:rPr>
        <w:t xml:space="preserve">וְהַאי דַּרְגָּא דְּרַעֲוָא </w:t>
      </w:r>
      <w:r w:rsidRPr="00007309">
        <w:rPr>
          <w:rFonts w:cs="Arial"/>
          <w:b/>
          <w:bCs/>
          <w:sz w:val="36"/>
          <w:szCs w:val="28"/>
          <w:vertAlign w:val="superscript"/>
          <w:rtl/>
        </w:rPr>
        <w:footnoteReference w:id="5985"/>
      </w:r>
      <w:r w:rsidRPr="00007309">
        <w:rPr>
          <w:rFonts w:cs="Arial"/>
          <w:b/>
          <w:bCs/>
          <w:sz w:val="24"/>
          <w:szCs w:val="24"/>
          <w:rtl/>
        </w:rPr>
        <w:t xml:space="preserve">דְּאִיהוּ קוּדְשָׁא בְּרִיךְ הוּא. </w:t>
      </w:r>
      <w:r w:rsidRPr="00007309">
        <w:rPr>
          <w:rFonts w:cs="Arial"/>
          <w:b/>
          <w:bCs/>
          <w:sz w:val="36"/>
          <w:szCs w:val="28"/>
          <w:vertAlign w:val="superscript"/>
          <w:rtl/>
        </w:rPr>
        <w:footnoteReference w:id="5986"/>
      </w:r>
      <w:r w:rsidRPr="00007309">
        <w:rPr>
          <w:rFonts w:cs="Arial"/>
          <w:b/>
          <w:bCs/>
          <w:sz w:val="24"/>
          <w:szCs w:val="24"/>
          <w:rtl/>
        </w:rPr>
        <w:t xml:space="preserve">תְּרֵין קָצִין אַאֲרִיךְ. </w:t>
      </w:r>
      <w:r w:rsidRPr="00007309">
        <w:rPr>
          <w:rFonts w:cs="Arial"/>
          <w:b/>
          <w:bCs/>
          <w:sz w:val="36"/>
          <w:szCs w:val="28"/>
          <w:vertAlign w:val="superscript"/>
          <w:rtl/>
        </w:rPr>
        <w:footnoteReference w:id="5987"/>
      </w:r>
      <w:r w:rsidRPr="00007309">
        <w:rPr>
          <w:rFonts w:cs="Arial"/>
          <w:b/>
          <w:bCs/>
          <w:sz w:val="24"/>
          <w:szCs w:val="24"/>
          <w:rtl/>
        </w:rPr>
        <w:t xml:space="preserve">וְדָא וְכָל חֶשְׁבּוֹנוֹת וְגִימַטְרִיאוֹת דְּקִצִּים, אִנּוּן פַּרְפְּרָאוֹת לַחָכְמָה </w:t>
      </w:r>
      <w:r w:rsidRPr="00007309">
        <w:rPr>
          <w:rFonts w:cs="Arial"/>
          <w:b/>
          <w:bCs/>
          <w:sz w:val="36"/>
          <w:szCs w:val="28"/>
          <w:vertAlign w:val="superscript"/>
          <w:rtl/>
        </w:rPr>
        <w:footnoteReference w:id="5988"/>
      </w:r>
      <w:r w:rsidRPr="00007309">
        <w:rPr>
          <w:rFonts w:cs="Arial"/>
          <w:b/>
          <w:bCs/>
          <w:sz w:val="24"/>
          <w:szCs w:val="24"/>
          <w:rtl/>
        </w:rPr>
        <w:t xml:space="preserve">מִכִּתְרָא לְעֵלָּא לֵית קֵץ וְחֻשְׁבָּן, כְּמוֹ שֶׁכָּתַב בַּעַל סֵפֶר יְצִירָה וְלִפְנֵי אֶחָד מָה אַתָּה סוֹפֵר, רֵישָׁא דְּכָל קִצִין חָכְמָה, סוֹפָא דְּכָל קִצִּין </w:t>
      </w:r>
      <w:r w:rsidRPr="00007309">
        <w:rPr>
          <w:rFonts w:cs="Arial"/>
          <w:b/>
          <w:bCs/>
          <w:sz w:val="36"/>
          <w:szCs w:val="28"/>
          <w:vertAlign w:val="superscript"/>
          <w:rtl/>
        </w:rPr>
        <w:footnoteReference w:id="5989"/>
      </w:r>
      <w:r w:rsidRPr="00007309">
        <w:rPr>
          <w:rFonts w:cs="Arial"/>
          <w:b/>
          <w:bCs/>
          <w:sz w:val="24"/>
          <w:szCs w:val="24"/>
          <w:rtl/>
        </w:rPr>
        <w:t xml:space="preserve">צַדִּיק אִיהוּ, דְּאִיהִי שְׁכִינְתָּא עֲשִׂירָאָה, </w:t>
      </w:r>
      <w:r w:rsidRPr="00007309">
        <w:rPr>
          <w:rFonts w:cs="Arial"/>
          <w:b/>
          <w:bCs/>
          <w:sz w:val="36"/>
          <w:szCs w:val="28"/>
          <w:vertAlign w:val="superscript"/>
          <w:rtl/>
        </w:rPr>
        <w:footnoteReference w:id="5990"/>
      </w:r>
      <w:r w:rsidRPr="00007309">
        <w:rPr>
          <w:rFonts w:cs="Arial"/>
          <w:b/>
          <w:bCs/>
          <w:sz w:val="24"/>
          <w:szCs w:val="24"/>
          <w:rtl/>
        </w:rPr>
        <w:t xml:space="preserve">וְכָל סוֹף אִיהוּ בְּצַדִּיק, </w:t>
      </w:r>
      <w:r w:rsidRPr="00007309">
        <w:rPr>
          <w:rFonts w:cs="Arial"/>
          <w:b/>
          <w:bCs/>
          <w:sz w:val="36"/>
          <w:szCs w:val="28"/>
          <w:vertAlign w:val="superscript"/>
          <w:rtl/>
        </w:rPr>
        <w:footnoteReference w:id="5991"/>
      </w:r>
      <w:r w:rsidRPr="00007309">
        <w:rPr>
          <w:rFonts w:cs="Arial"/>
          <w:b/>
          <w:bCs/>
          <w:sz w:val="24"/>
          <w:szCs w:val="24"/>
          <w:rtl/>
        </w:rPr>
        <w:t xml:space="preserve">עַמּוּדָא דְּאֶמְצָעִיתָא כָּלִיל רֵישָׁא וְסוֹפָא דְּכָל קִצִין, </w:t>
      </w:r>
      <w:r w:rsidRPr="00007309">
        <w:rPr>
          <w:rFonts w:cs="Arial"/>
          <w:b/>
          <w:bCs/>
          <w:sz w:val="36"/>
          <w:szCs w:val="28"/>
          <w:vertAlign w:val="superscript"/>
          <w:rtl/>
        </w:rPr>
        <w:footnoteReference w:id="5992"/>
      </w:r>
      <w:r w:rsidRPr="00007309">
        <w:rPr>
          <w:rFonts w:cs="Arial"/>
          <w:b/>
          <w:bCs/>
          <w:sz w:val="24"/>
          <w:szCs w:val="24"/>
          <w:rtl/>
        </w:rPr>
        <w:t xml:space="preserve">וְכֹלָּא אִתְכָּלִיל בְּצַדִּיק, </w:t>
      </w:r>
      <w:r w:rsidRPr="00007309">
        <w:rPr>
          <w:rFonts w:cs="Arial"/>
          <w:b/>
          <w:bCs/>
          <w:sz w:val="36"/>
          <w:szCs w:val="28"/>
          <w:vertAlign w:val="superscript"/>
          <w:rtl/>
        </w:rPr>
        <w:footnoteReference w:id="5993"/>
      </w:r>
      <w:r w:rsidRPr="00007309">
        <w:rPr>
          <w:rFonts w:cs="Arial"/>
          <w:b/>
          <w:bCs/>
          <w:sz w:val="24"/>
          <w:szCs w:val="24"/>
          <w:rtl/>
        </w:rPr>
        <w:t xml:space="preserve">דְּכָלִיל תְּלָת אֲבָהָן דִּבְהוֹן </w:t>
      </w:r>
      <w:r w:rsidRPr="00007309">
        <w:rPr>
          <w:rFonts w:cs="Arial"/>
          <w:b/>
          <w:bCs/>
          <w:sz w:val="36"/>
          <w:szCs w:val="28"/>
          <w:vertAlign w:val="superscript"/>
          <w:rtl/>
        </w:rPr>
        <w:footnoteReference w:id="5994"/>
      </w:r>
      <w:r w:rsidRPr="00007309">
        <w:rPr>
          <w:rFonts w:cs="Arial"/>
          <w:b/>
          <w:bCs/>
          <w:sz w:val="24"/>
          <w:szCs w:val="24"/>
          <w:rtl/>
        </w:rPr>
        <w:t xml:space="preserve">אִתְקְרֵי שְׁבִיעִי תְּלָת זִמְנִין. הָדָא הוּא דִּכְתִיב (בראשית ב) וַיְכַל אֱלֹהִים בַּיּוֹם הַשְּׁבִיעִי, וַיִּשְׁבֹּת בַּיּוֹם הַשְּׁבִיעִי, וַיְבָרֶךְ אֱלֹהִים אֶת יוֹם הַשְּׁבִיעִי. </w:t>
      </w:r>
    </w:p>
    <w:p w:rsidR="00007309" w:rsidRPr="00007309" w:rsidRDefault="00007309" w:rsidP="00007309">
      <w:pPr>
        <w:keepNext/>
        <w:outlineLvl w:val="1"/>
        <w:rPr>
          <w:rFonts w:ascii="Cambria" w:hAnsi="Cambria" w:cs="Times New Roman"/>
          <w:b/>
          <w:bCs/>
          <w:i/>
          <w:iCs/>
          <w:sz w:val="28"/>
          <w:szCs w:val="28"/>
          <w:rtl/>
        </w:rPr>
      </w:pPr>
      <w:r w:rsidRPr="00007309">
        <w:rPr>
          <w:rFonts w:ascii="Cambria" w:hAnsi="Cambria" w:cs="Times New Roman" w:hint="cs"/>
          <w:b/>
          <w:bCs/>
          <w:i/>
          <w:iCs/>
          <w:sz w:val="28"/>
          <w:szCs w:val="28"/>
          <w:rtl/>
        </w:rPr>
        <w:t>[דף עג ע"ג]</w:t>
      </w:r>
    </w:p>
    <w:p w:rsidR="00007309" w:rsidRPr="00007309" w:rsidRDefault="00007309" w:rsidP="00007309">
      <w:pPr>
        <w:keepNext/>
        <w:spacing w:before="240" w:after="60"/>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[וילנא ד ע"א]</w:t>
      </w:r>
    </w:p>
    <w:p w:rsidR="00007309" w:rsidRPr="00007309" w:rsidRDefault="00007309" w:rsidP="00007309">
      <w:pPr>
        <w:jc w:val="both"/>
        <w:rPr>
          <w:rFonts w:cs="Arial"/>
          <w:b/>
          <w:bCs/>
          <w:sz w:val="24"/>
          <w:szCs w:val="24"/>
          <w:rtl/>
        </w:rPr>
      </w:pPr>
      <w:r w:rsidRPr="00007309">
        <w:rPr>
          <w:rFonts w:cs="Arial"/>
          <w:b/>
          <w:bCs/>
          <w:sz w:val="36"/>
          <w:szCs w:val="28"/>
          <w:vertAlign w:val="superscript"/>
          <w:rtl/>
        </w:rPr>
        <w:footnoteReference w:id="5995"/>
      </w:r>
      <w:r w:rsidRPr="00007309">
        <w:rPr>
          <w:rFonts w:cs="Arial"/>
          <w:b/>
          <w:bCs/>
          <w:sz w:val="24"/>
          <w:szCs w:val="24"/>
          <w:rtl/>
        </w:rPr>
        <w:t xml:space="preserve">וְהַאי אִיהוּ בְּעָב </w:t>
      </w:r>
      <w:r w:rsidRPr="00007309">
        <w:rPr>
          <w:rFonts w:ascii="Cambria" w:hAnsi="Cambria" w:cs="Times New Roman" w:hint="cs"/>
          <w:b/>
          <w:bCs/>
          <w:i/>
          <w:iCs/>
          <w:color w:val="4F81BD"/>
          <w:sz w:val="22"/>
          <w:szCs w:val="22"/>
          <w:rtl/>
        </w:rPr>
        <w:t xml:space="preserve">(עג ע"ג) </w:t>
      </w:r>
      <w:r w:rsidRPr="00007309">
        <w:rPr>
          <w:rFonts w:cs="Arial"/>
          <w:b/>
          <w:bCs/>
          <w:sz w:val="24"/>
          <w:szCs w:val="24"/>
          <w:rtl/>
        </w:rPr>
        <w:t xml:space="preserve">הֶעָנָן, וּמִנֵּהּ אִשְׁתְּכַח שֵׁם בֵּן ע"ב שְׁמָהָן וַיִּסַּ'ע וַיָּבֹ'א וַיֵּ'ט, </w:t>
      </w:r>
      <w:r w:rsidRPr="00007309">
        <w:rPr>
          <w:rFonts w:cs="Arial"/>
          <w:b/>
          <w:bCs/>
          <w:sz w:val="36"/>
          <w:szCs w:val="28"/>
          <w:vertAlign w:val="superscript"/>
          <w:rtl/>
        </w:rPr>
        <w:footnoteReference w:id="5996"/>
      </w:r>
      <w:r w:rsidRPr="00007309">
        <w:rPr>
          <w:rFonts w:cs="Arial"/>
          <w:b/>
          <w:bCs/>
          <w:sz w:val="24"/>
          <w:szCs w:val="24"/>
          <w:rtl/>
        </w:rPr>
        <w:t xml:space="preserve">דְּאִנּוּן כְּלָל וּפְרָט וּכְלָל, דְּאִתְכְּלִילָן בְּמַיָּא אֶשָּׁא וְרוּחָא. </w:t>
      </w:r>
      <w:r w:rsidRPr="00007309">
        <w:rPr>
          <w:rFonts w:cs="Arial"/>
          <w:b/>
          <w:bCs/>
          <w:sz w:val="36"/>
          <w:szCs w:val="28"/>
          <w:vertAlign w:val="superscript"/>
          <w:rtl/>
        </w:rPr>
        <w:footnoteReference w:id="5997"/>
      </w:r>
      <w:r w:rsidRPr="00007309">
        <w:rPr>
          <w:rFonts w:cs="Arial"/>
          <w:b/>
          <w:bCs/>
          <w:sz w:val="24"/>
          <w:szCs w:val="24"/>
          <w:rtl/>
        </w:rPr>
        <w:t xml:space="preserve">וְאִנּוּן יַמָּא וְתָקְפָּא וגלידא </w:t>
      </w:r>
      <w:r w:rsidRPr="00007309">
        <w:rPr>
          <w:rFonts w:cs="Arial"/>
          <w:sz w:val="36"/>
          <w:szCs w:val="28"/>
          <w:rtl/>
        </w:rPr>
        <w:t>(יַמָּא וַאֲוִירָא וּרְקִיעָא),</w:t>
      </w:r>
      <w:r w:rsidRPr="00007309">
        <w:rPr>
          <w:rFonts w:cs="Arial"/>
          <w:b/>
          <w:bCs/>
          <w:sz w:val="24"/>
          <w:szCs w:val="24"/>
          <w:rtl/>
        </w:rPr>
        <w:t xml:space="preserve"> </w:t>
      </w:r>
      <w:r w:rsidRPr="00007309">
        <w:rPr>
          <w:rFonts w:cs="Arial"/>
          <w:b/>
          <w:bCs/>
          <w:sz w:val="36"/>
          <w:szCs w:val="28"/>
          <w:vertAlign w:val="superscript"/>
          <w:rtl/>
        </w:rPr>
        <w:footnoteReference w:id="5998"/>
      </w:r>
      <w:r w:rsidRPr="00007309">
        <w:rPr>
          <w:rFonts w:cs="Arial"/>
          <w:b/>
          <w:bCs/>
          <w:sz w:val="24"/>
          <w:szCs w:val="24"/>
          <w:rtl/>
        </w:rPr>
        <w:t xml:space="preserve">וְאִנּוּן יַמָּא וְתָקְפָּא דִּימִינָא, מַלְאַךְ הַחֶסֶד </w:t>
      </w:r>
      <w:r w:rsidRPr="00007309">
        <w:rPr>
          <w:rFonts w:cs="Arial"/>
          <w:b/>
          <w:bCs/>
          <w:sz w:val="36"/>
          <w:szCs w:val="28"/>
          <w:vertAlign w:val="superscript"/>
          <w:rtl/>
        </w:rPr>
        <w:footnoteReference w:id="5999"/>
      </w:r>
      <w:r w:rsidRPr="00007309">
        <w:rPr>
          <w:rFonts w:cs="Arial"/>
          <w:b/>
          <w:bCs/>
          <w:sz w:val="24"/>
          <w:szCs w:val="24"/>
          <w:rtl/>
        </w:rPr>
        <w:t xml:space="preserve">וְדָא </w:t>
      </w:r>
      <w:r w:rsidRPr="00007309">
        <w:rPr>
          <w:rFonts w:ascii="Cambria" w:hAnsi="Cambria" w:cs="Times New Roman" w:hint="cs"/>
          <w:b/>
          <w:bCs/>
          <w:i/>
          <w:iCs/>
          <w:color w:val="4F81BD"/>
          <w:sz w:val="22"/>
          <w:szCs w:val="22"/>
          <w:rtl/>
        </w:rPr>
        <w:t xml:space="preserve">(וילנא ד ע"א) </w:t>
      </w:r>
      <w:r w:rsidRPr="00007309">
        <w:rPr>
          <w:rFonts w:cs="Arial"/>
          <w:b/>
          <w:bCs/>
          <w:sz w:val="24"/>
          <w:szCs w:val="24"/>
          <w:rtl/>
        </w:rPr>
        <w:t xml:space="preserve">מִיכָאֵל, דְּאִיהוּ </w:t>
      </w:r>
      <w:r w:rsidRPr="00007309">
        <w:rPr>
          <w:rFonts w:cs="Arial"/>
          <w:b/>
          <w:bCs/>
          <w:sz w:val="36"/>
          <w:szCs w:val="28"/>
          <w:vertAlign w:val="superscript"/>
          <w:rtl/>
        </w:rPr>
        <w:footnoteReference w:id="6000"/>
      </w:r>
      <w:r w:rsidRPr="00007309">
        <w:rPr>
          <w:rFonts w:cs="Arial"/>
          <w:b/>
          <w:bCs/>
          <w:sz w:val="24"/>
          <w:szCs w:val="24"/>
          <w:rtl/>
        </w:rPr>
        <w:t xml:space="preserve">עַל שֵׁם (שמות טו) מִי כָּמוֹךָ בָּאֵלִים ה', </w:t>
      </w:r>
      <w:r w:rsidRPr="00007309">
        <w:rPr>
          <w:rFonts w:cs="Arial"/>
          <w:b/>
          <w:bCs/>
          <w:sz w:val="36"/>
          <w:szCs w:val="28"/>
          <w:vertAlign w:val="superscript"/>
          <w:rtl/>
        </w:rPr>
        <w:footnoteReference w:id="6001"/>
      </w:r>
      <w:r w:rsidRPr="00007309">
        <w:rPr>
          <w:rFonts w:cs="Arial"/>
          <w:b/>
          <w:bCs/>
          <w:sz w:val="24"/>
          <w:szCs w:val="24"/>
          <w:rtl/>
        </w:rPr>
        <w:t xml:space="preserve">דִּי שְׁמֵהּ מכבי </w:t>
      </w:r>
      <w:r w:rsidRPr="00007309">
        <w:rPr>
          <w:rFonts w:cs="Arial"/>
          <w:b/>
          <w:bCs/>
          <w:sz w:val="36"/>
          <w:szCs w:val="28"/>
          <w:vertAlign w:val="superscript"/>
          <w:rtl/>
        </w:rPr>
        <w:footnoteReference w:id="6002"/>
      </w:r>
      <w:r w:rsidRPr="00007309">
        <w:rPr>
          <w:rFonts w:cs="Arial"/>
          <w:b/>
          <w:bCs/>
          <w:sz w:val="24"/>
          <w:szCs w:val="24"/>
          <w:rtl/>
        </w:rPr>
        <w:t xml:space="preserve">דְּסָלִיק ע"ב, בְּחֻשְׁבָּן אֲתוֹי </w:t>
      </w:r>
      <w:r w:rsidRPr="00007309">
        <w:rPr>
          <w:rFonts w:cs="Arial"/>
          <w:b/>
          <w:bCs/>
          <w:sz w:val="36"/>
          <w:szCs w:val="28"/>
          <w:vertAlign w:val="superscript"/>
          <w:rtl/>
        </w:rPr>
        <w:footnoteReference w:id="6003"/>
      </w:r>
      <w:r w:rsidRPr="00007309">
        <w:rPr>
          <w:rFonts w:cs="Arial"/>
          <w:b/>
          <w:bCs/>
          <w:sz w:val="24"/>
          <w:szCs w:val="24"/>
          <w:rtl/>
        </w:rPr>
        <w:t xml:space="preserve">וּנְהוֹרָא דִּילֵהּ </w:t>
      </w:r>
      <w:r w:rsidRPr="00007309">
        <w:rPr>
          <w:rFonts w:cs="Arial"/>
          <w:b/>
          <w:bCs/>
          <w:sz w:val="36"/>
          <w:szCs w:val="28"/>
          <w:vertAlign w:val="superscript"/>
          <w:rtl/>
        </w:rPr>
        <w:footnoteReference w:id="6004"/>
      </w:r>
      <w:r w:rsidRPr="00007309">
        <w:rPr>
          <w:rFonts w:cs="Arial"/>
          <w:b/>
          <w:bCs/>
          <w:sz w:val="24"/>
          <w:szCs w:val="24"/>
          <w:rtl/>
        </w:rPr>
        <w:t xml:space="preserve">מ"ב. וְדָא חֵילָא דִּילֵהּ (ישעיה מג) כִּי תֵּלֵךְ </w:t>
      </w:r>
      <w:r w:rsidRPr="00007309">
        <w:rPr>
          <w:rFonts w:cs="Arial"/>
          <w:b/>
          <w:bCs/>
          <w:sz w:val="36"/>
          <w:szCs w:val="28"/>
          <w:vertAlign w:val="superscript"/>
          <w:rtl/>
        </w:rPr>
        <w:footnoteReference w:id="6005"/>
      </w:r>
      <w:r w:rsidRPr="00007309">
        <w:rPr>
          <w:rFonts w:cs="Arial"/>
          <w:b/>
          <w:bCs/>
          <w:sz w:val="24"/>
          <w:szCs w:val="24"/>
          <w:rtl/>
        </w:rPr>
        <w:t xml:space="preserve">בְּמוֹ אֵשׁ לֹא תִכָּוֶה. דְּדָא מְכַבֵּי אֶשָּׁא, וּמִיכָאֵל אִיהוּ </w:t>
      </w:r>
      <w:r w:rsidRPr="00007309">
        <w:rPr>
          <w:rFonts w:cs="Arial"/>
          <w:b/>
          <w:bCs/>
          <w:sz w:val="36"/>
          <w:szCs w:val="28"/>
          <w:vertAlign w:val="superscript"/>
          <w:rtl/>
        </w:rPr>
        <w:footnoteReference w:id="6006"/>
      </w:r>
      <w:r w:rsidRPr="00007309">
        <w:rPr>
          <w:rFonts w:cs="Arial"/>
          <w:b/>
          <w:bCs/>
          <w:sz w:val="24"/>
          <w:szCs w:val="24"/>
          <w:rtl/>
        </w:rPr>
        <w:t xml:space="preserve">דְּמוּת אַרְיֵה דְּאִיהוּ אַרְיֵה מִמַּיִם. (שמות טו) וַיֵּט מֹשֶׁה אֶת יָדוֹ עַל הַיָּם, וַיָּשֶׂם אֶת הַיָּם לְחָרָבָה בְּתֻקְפָּא </w:t>
      </w:r>
      <w:r w:rsidRPr="00007309">
        <w:rPr>
          <w:rFonts w:cs="Arial"/>
          <w:b/>
          <w:bCs/>
          <w:sz w:val="36"/>
          <w:szCs w:val="28"/>
          <w:vertAlign w:val="superscript"/>
          <w:rtl/>
        </w:rPr>
        <w:footnoteReference w:id="6007"/>
      </w:r>
      <w:r w:rsidRPr="00007309">
        <w:rPr>
          <w:rFonts w:cs="Arial"/>
          <w:b/>
          <w:bCs/>
          <w:sz w:val="24"/>
          <w:szCs w:val="24"/>
          <w:rtl/>
        </w:rPr>
        <w:t xml:space="preserve">דְּגַבְרִיאֵל שְׁלִיחָא דִּגְבוּרָה דִּמְמָנָא עַל חֻרְבָּה. וּבְגִין דָּא אִתְּמַר בֵּהּ וַיָּשֶׂם אֶת הַיָּם לְחָרָבָה, מִסִּטְרָא דְּאוּרִיאֵל שְׁלִיחָא דְּעַמּוּדָא דְּאֶמְצָעִיתָא, אַפְרִישׁ בֵּין מַיָּא וְאֶשָּׁא. הָדָא הוּא דִּכְתִיב וַיָּבֹא בֵּין מַחֲנֵה מִצְרַיִם </w:t>
      </w:r>
      <w:r w:rsidRPr="00007309">
        <w:rPr>
          <w:rFonts w:cs="Arial"/>
          <w:b/>
          <w:bCs/>
          <w:sz w:val="36"/>
          <w:szCs w:val="28"/>
          <w:vertAlign w:val="superscript"/>
          <w:rtl/>
        </w:rPr>
        <w:footnoteReference w:id="6008"/>
      </w:r>
      <w:r w:rsidRPr="00007309">
        <w:rPr>
          <w:rFonts w:cs="Arial"/>
          <w:b/>
          <w:bCs/>
          <w:sz w:val="24"/>
          <w:szCs w:val="24"/>
          <w:rtl/>
        </w:rPr>
        <w:t xml:space="preserve">דְּאִיהִי אֶשָּׁא נוּכְרָאָה, וּבֵין מַחֲנֵה יִשְׂרָאֵל דְּאִיהִי מַיָּא. וַיְהִי הֶעָנָן מִימִינָא וְהַחֹשֶׁךְ דְּרַשִּׁיעַיָּא מִשְּמָאלָא, דְּאָזַל לְקַטְרְגָא לְסִטְרָא דִּשְׂמָאלָא דִּגְבוּרָה וְלֹא קָרַב זֶה אֶל זֶה כָּל הַלַּיְלָה, וּכְמָא דְּאִתְפְּרִישׁ בֵּין שְׂמָאלָא דְּסִטְרָא אָחֳרָא לִימִינָא דְּקוּדְשָׁא דְּלָא אִתְקְרִיב לְגַבָּהּ הָכֵי מְיַחֵד בֵן יְמִינָא וּשְׂמָאלָא דְּקוּדְשָׁא, </w:t>
      </w:r>
      <w:r w:rsidRPr="00007309">
        <w:rPr>
          <w:rFonts w:cs="Arial"/>
          <w:b/>
          <w:bCs/>
          <w:sz w:val="36"/>
          <w:szCs w:val="28"/>
          <w:vertAlign w:val="superscript"/>
          <w:rtl/>
        </w:rPr>
        <w:footnoteReference w:id="6009"/>
      </w:r>
      <w:r w:rsidRPr="00007309">
        <w:rPr>
          <w:rFonts w:cs="Arial"/>
          <w:b/>
          <w:bCs/>
          <w:sz w:val="24"/>
          <w:szCs w:val="24"/>
          <w:rtl/>
        </w:rPr>
        <w:t xml:space="preserve">דְּבֵהּ שְׁמָהָן וּסְפִירָן וְאַתְוָן וְהַוְיָן מְשֻׁלָּשִׁין, </w:t>
      </w:r>
      <w:r w:rsidRPr="00007309">
        <w:rPr>
          <w:rFonts w:cs="Arial"/>
          <w:b/>
          <w:bCs/>
          <w:sz w:val="36"/>
          <w:szCs w:val="28"/>
          <w:vertAlign w:val="superscript"/>
          <w:rtl/>
        </w:rPr>
        <w:footnoteReference w:id="6010"/>
      </w:r>
      <w:r w:rsidRPr="00007309">
        <w:rPr>
          <w:rFonts w:cs="Arial"/>
          <w:b/>
          <w:bCs/>
          <w:sz w:val="24"/>
          <w:szCs w:val="24"/>
          <w:rtl/>
        </w:rPr>
        <w:t xml:space="preserve">וּבְגִין דָּא וה"ו וכו' מְשֻׁלָּשׁ בִּתְלָת אַתְוָן. בְּגִין דְּיִשְׂרָאֵל שְׁלִישִׁי לְכֹהֵן וְלֵוִי, אֲבָל שְׁמָהָן מְרֻבָּעִין וְאַתְוָן דְּתֵבָה אַרְבַּע אִנּוּן מִשְּׁכִינְתָּא. </w:t>
      </w:r>
      <w:r w:rsidRPr="00007309">
        <w:rPr>
          <w:rFonts w:cs="Arial"/>
          <w:b/>
          <w:bCs/>
          <w:sz w:val="36"/>
          <w:szCs w:val="28"/>
          <w:vertAlign w:val="superscript"/>
          <w:rtl/>
        </w:rPr>
        <w:footnoteReference w:id="6011"/>
      </w:r>
      <w:r w:rsidRPr="00007309">
        <w:rPr>
          <w:rFonts w:cs="Arial"/>
          <w:b/>
          <w:bCs/>
          <w:sz w:val="24"/>
          <w:szCs w:val="24"/>
          <w:rtl/>
        </w:rPr>
        <w:t xml:space="preserve">וְתֵשַׁע סְפִירוֹת אִנּוּן מְשֻׁלָּשִׁין בְּעַמּוּדָא דְּאֶמְצָעִיתָא'. כְּגַוְנָא דָּא חָ'כְ'מָה חֶסֶ'ד נֶצַ'ח כֶּתֶ'ר תִּפְאֶרֶת יְסוֹ'ד בִּינָ'ה גְּבוּרָ'ה הוֹ'ד, </w:t>
      </w:r>
      <w:r w:rsidRPr="00007309">
        <w:rPr>
          <w:rFonts w:cs="Arial"/>
          <w:b/>
          <w:bCs/>
          <w:sz w:val="36"/>
          <w:szCs w:val="28"/>
          <w:vertAlign w:val="superscript"/>
          <w:rtl/>
        </w:rPr>
        <w:footnoteReference w:id="6012"/>
      </w:r>
      <w:r w:rsidRPr="00007309">
        <w:rPr>
          <w:rFonts w:cs="Arial"/>
          <w:b/>
          <w:bCs/>
          <w:sz w:val="24"/>
          <w:szCs w:val="24"/>
          <w:rtl/>
        </w:rPr>
        <w:t xml:space="preserve">וּמַלְכוּת עֲשִׂירִי לוֹן, וּרְבִיעִי לוֹן </w:t>
      </w:r>
      <w:r w:rsidRPr="00007309">
        <w:rPr>
          <w:rFonts w:cs="Arial"/>
          <w:b/>
          <w:bCs/>
          <w:sz w:val="36"/>
          <w:szCs w:val="28"/>
          <w:vertAlign w:val="superscript"/>
          <w:rtl/>
        </w:rPr>
        <w:footnoteReference w:id="6013"/>
      </w:r>
      <w:r w:rsidRPr="00007309">
        <w:rPr>
          <w:rFonts w:cs="Arial"/>
          <w:b/>
          <w:bCs/>
          <w:sz w:val="24"/>
          <w:szCs w:val="24"/>
          <w:rtl/>
        </w:rPr>
        <w:t xml:space="preserve">מִסִּטְרָא דְּאִמָּא עִלָּאָה, אִיהִי תְּמִינָאָה, </w:t>
      </w:r>
      <w:r w:rsidRPr="00007309">
        <w:rPr>
          <w:rFonts w:cs="Arial"/>
          <w:b/>
          <w:bCs/>
          <w:sz w:val="36"/>
          <w:szCs w:val="28"/>
          <w:vertAlign w:val="superscript"/>
          <w:rtl/>
        </w:rPr>
        <w:footnoteReference w:id="6014"/>
      </w:r>
      <w:r w:rsidRPr="00007309">
        <w:rPr>
          <w:rFonts w:cs="Arial"/>
          <w:b/>
          <w:bCs/>
          <w:sz w:val="24"/>
          <w:szCs w:val="24"/>
          <w:rtl/>
        </w:rPr>
        <w:t xml:space="preserve">וּתְלָת סְפִירָן אִלֵּין, לְבוּשַׁיְהוּ חֹשֶׁךְ עָנָן וַעֲרָפֶל. חֹשֶׁךְ לִשְׂמָאלָא, עָנָן לִימִינָא, וַעֲרָפֶל בְּאֶמְצָעִיתָא, תְּחוֹת שָׁמַיִם דְּאִיהוּ עַמּוּדָא דְּאֶמְצָעִיתָא, הָדָא הוּא דִּכְתִיב (תהלים יח) וַיֵּט שָׁמַיִם וַיֵּרַד וַעֲרָפֶל תַּחַת רַגְלָיו. </w:t>
      </w:r>
      <w:r w:rsidRPr="00007309">
        <w:rPr>
          <w:rFonts w:cs="Arial"/>
          <w:b/>
          <w:bCs/>
          <w:sz w:val="36"/>
          <w:szCs w:val="28"/>
          <w:vertAlign w:val="superscript"/>
          <w:rtl/>
        </w:rPr>
        <w:footnoteReference w:id="6015"/>
      </w:r>
      <w:r w:rsidRPr="00007309">
        <w:rPr>
          <w:rFonts w:cs="Arial"/>
          <w:b/>
          <w:bCs/>
          <w:sz w:val="24"/>
          <w:szCs w:val="24"/>
          <w:rtl/>
        </w:rPr>
        <w:t xml:space="preserve">בֶּעָנָן דְּנָפִיק קָלָא, דְּאִתְּמַר בֵּהּ (שם צג) </w:t>
      </w:r>
      <w:r w:rsidRPr="00007309">
        <w:rPr>
          <w:rFonts w:cs="Arial"/>
          <w:b/>
          <w:bCs/>
          <w:sz w:val="36"/>
          <w:szCs w:val="28"/>
          <w:vertAlign w:val="superscript"/>
          <w:rtl/>
        </w:rPr>
        <w:footnoteReference w:id="6016"/>
      </w:r>
      <w:r w:rsidRPr="00007309">
        <w:rPr>
          <w:rFonts w:cs="Arial"/>
          <w:b/>
          <w:bCs/>
          <w:sz w:val="24"/>
          <w:szCs w:val="24"/>
          <w:rtl/>
        </w:rPr>
        <w:t xml:space="preserve">קוֹל ה' עַל הַמַּיִם. </w:t>
      </w:r>
      <w:r w:rsidRPr="00007309">
        <w:rPr>
          <w:rFonts w:cs="Arial"/>
          <w:b/>
          <w:bCs/>
          <w:sz w:val="36"/>
          <w:szCs w:val="28"/>
          <w:vertAlign w:val="superscript"/>
          <w:rtl/>
        </w:rPr>
        <w:footnoteReference w:id="6017"/>
      </w:r>
      <w:r w:rsidRPr="00007309">
        <w:rPr>
          <w:rFonts w:cs="Arial"/>
          <w:b/>
          <w:bCs/>
          <w:sz w:val="24"/>
          <w:szCs w:val="24"/>
          <w:rtl/>
        </w:rPr>
        <w:t xml:space="preserve">וְכַמָּה קָלִים מִתְפּוֹצְצִין מִנֵּהּ, דְּאִתְּמַר בְּהוֹן מִקּוֹלוֹת מַיִם רַבִּים, מִסִּטְרָא דִּגְבוּרָה </w:t>
      </w:r>
      <w:r w:rsidRPr="00007309">
        <w:rPr>
          <w:rFonts w:cs="Arial"/>
          <w:b/>
          <w:bCs/>
          <w:sz w:val="36"/>
          <w:szCs w:val="28"/>
          <w:vertAlign w:val="superscript"/>
          <w:rtl/>
        </w:rPr>
        <w:footnoteReference w:id="6018"/>
      </w:r>
      <w:r w:rsidRPr="00007309">
        <w:rPr>
          <w:rFonts w:cs="Arial"/>
          <w:b/>
          <w:bCs/>
          <w:sz w:val="24"/>
          <w:szCs w:val="24"/>
          <w:rtl/>
        </w:rPr>
        <w:t xml:space="preserve">דְּתַמָּן חֹשֶׁךְ, דְּבֵהּ (בראשית כ) יִצְחָק וַתִּכְהֶיןָ עֵינָיו מִרְאוֹת, דְּנָפִיק קָלָא דְּאִתְּמַר בֵּהּ קוֹל ה' חוֹצֵב </w:t>
      </w:r>
      <w:r w:rsidRPr="00007309">
        <w:rPr>
          <w:rFonts w:cs="Arial"/>
          <w:b/>
          <w:bCs/>
          <w:sz w:val="36"/>
          <w:szCs w:val="28"/>
          <w:vertAlign w:val="superscript"/>
          <w:rtl/>
        </w:rPr>
        <w:footnoteReference w:id="6019"/>
      </w:r>
      <w:r w:rsidRPr="00007309">
        <w:rPr>
          <w:rFonts w:cs="Arial"/>
          <w:b/>
          <w:bCs/>
          <w:sz w:val="24"/>
          <w:szCs w:val="24"/>
          <w:rtl/>
        </w:rPr>
        <w:t xml:space="preserve">לַהֲבוֹת אֵשׁ, וּמִסִּטְרָא דַּעֲרָפֶל קָלָא דְּאִתְּמַר בֵּהּ קוֹל ה' </w:t>
      </w:r>
      <w:r w:rsidRPr="00007309">
        <w:rPr>
          <w:rFonts w:cs="Arial"/>
          <w:b/>
          <w:bCs/>
          <w:sz w:val="36"/>
          <w:szCs w:val="28"/>
          <w:vertAlign w:val="superscript"/>
          <w:rtl/>
        </w:rPr>
        <w:footnoteReference w:id="6020"/>
      </w:r>
      <w:r w:rsidRPr="00007309">
        <w:rPr>
          <w:rFonts w:cs="Arial"/>
          <w:b/>
          <w:bCs/>
          <w:sz w:val="24"/>
          <w:szCs w:val="24"/>
          <w:rtl/>
        </w:rPr>
        <w:t xml:space="preserve">בֶּהָדָר, הַיָּדוּעַ </w:t>
      </w:r>
      <w:r w:rsidRPr="00007309">
        <w:rPr>
          <w:rFonts w:cs="Arial"/>
          <w:b/>
          <w:bCs/>
          <w:sz w:val="36"/>
          <w:szCs w:val="28"/>
          <w:vertAlign w:val="superscript"/>
          <w:rtl/>
        </w:rPr>
        <w:footnoteReference w:id="6021"/>
      </w:r>
      <w:r w:rsidRPr="00007309">
        <w:rPr>
          <w:rFonts w:cs="Arial"/>
          <w:b/>
          <w:bCs/>
          <w:sz w:val="24"/>
          <w:szCs w:val="24"/>
          <w:rtl/>
        </w:rPr>
        <w:t xml:space="preserve">לְיִשְׂרָאֵל נָפִיק סָבָא, הָדָא הוּא דִּכְתִיב (ויקרא מט) וְהָדַרְתָּ פְּנֵי זָקֵן. </w:t>
      </w:r>
    </w:p>
    <w:p w:rsidR="00007309" w:rsidRPr="00007309" w:rsidRDefault="00007309" w:rsidP="00007309">
      <w:pPr>
        <w:keepNext/>
        <w:spacing w:before="240" w:after="60"/>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[וילנא ד ע"ב]</w:t>
      </w:r>
    </w:p>
    <w:p w:rsidR="00007309" w:rsidRPr="00007309" w:rsidRDefault="00007309" w:rsidP="00007309">
      <w:pPr>
        <w:jc w:val="both"/>
        <w:rPr>
          <w:rFonts w:cs="Arial"/>
          <w:b/>
          <w:bCs/>
          <w:sz w:val="24"/>
          <w:szCs w:val="24"/>
        </w:rPr>
      </w:pPr>
      <w:r w:rsidRPr="00007309">
        <w:rPr>
          <w:rFonts w:cs="Arial"/>
          <w:b/>
          <w:bCs/>
          <w:sz w:val="24"/>
          <w:szCs w:val="24"/>
          <w:rtl/>
        </w:rPr>
        <w:t xml:space="preserve">תְּלָת קָלִין אָחֳרָנִין מִנֶּצַח הוֹד יְסוֹד, דְּאִנּוּן לָקֳבֵל תְּלָת אֲבָהָן קָלָא שְׁבִיעָאָה </w:t>
      </w:r>
      <w:r w:rsidRPr="00007309">
        <w:rPr>
          <w:rFonts w:cs="Arial"/>
          <w:b/>
          <w:bCs/>
          <w:sz w:val="36"/>
          <w:szCs w:val="28"/>
          <w:vertAlign w:val="superscript"/>
          <w:rtl/>
        </w:rPr>
        <w:footnoteReference w:id="6022"/>
      </w:r>
      <w:r w:rsidRPr="00007309">
        <w:rPr>
          <w:rFonts w:cs="Arial"/>
          <w:b/>
          <w:bCs/>
          <w:sz w:val="24"/>
          <w:szCs w:val="24"/>
          <w:rtl/>
        </w:rPr>
        <w:t xml:space="preserve">מֵאִמָּא עִלָּאָה נַפְקָא. </w:t>
      </w:r>
      <w:r w:rsidRPr="00007309">
        <w:rPr>
          <w:rFonts w:cs="Arial"/>
          <w:b/>
          <w:bCs/>
          <w:sz w:val="36"/>
          <w:szCs w:val="28"/>
          <w:vertAlign w:val="superscript"/>
          <w:rtl/>
        </w:rPr>
        <w:footnoteReference w:id="6023"/>
      </w:r>
      <w:r w:rsidRPr="00007309">
        <w:rPr>
          <w:rFonts w:cs="Arial"/>
          <w:b/>
          <w:bCs/>
          <w:sz w:val="24"/>
          <w:szCs w:val="24"/>
          <w:rtl/>
        </w:rPr>
        <w:t xml:space="preserve">וְלָקֳבֵל תְּלָת אֲבָהָן אִנּוּן, </w:t>
      </w:r>
      <w:r w:rsidRPr="00007309">
        <w:rPr>
          <w:rFonts w:cs="Arial"/>
          <w:b/>
          <w:bCs/>
          <w:sz w:val="36"/>
          <w:szCs w:val="28"/>
          <w:vertAlign w:val="superscript"/>
          <w:rtl/>
        </w:rPr>
        <w:footnoteReference w:id="6024"/>
      </w:r>
      <w:r w:rsidRPr="00007309">
        <w:rPr>
          <w:rFonts w:cs="Arial"/>
          <w:b/>
          <w:bCs/>
          <w:sz w:val="24"/>
          <w:szCs w:val="24"/>
          <w:rtl/>
        </w:rPr>
        <w:t xml:space="preserve">זַיִת לִימִינָא. נֵר לִשְׂמָאלָא. עַמּוּדָא דְּאֶמְצָעִיתָא פְּתִילָה דְּאִתְאֲחִיד </w:t>
      </w:r>
      <w:r w:rsidRPr="00007309">
        <w:rPr>
          <w:rFonts w:ascii="Cambria" w:hAnsi="Cambria" w:cs="Times New Roman" w:hint="cs"/>
          <w:b/>
          <w:bCs/>
          <w:i/>
          <w:iCs/>
          <w:color w:val="4F81BD"/>
          <w:sz w:val="22"/>
          <w:szCs w:val="22"/>
          <w:rtl/>
        </w:rPr>
        <w:t xml:space="preserve">(וילנא ד ע"ב) </w:t>
      </w:r>
      <w:r w:rsidRPr="00007309">
        <w:rPr>
          <w:rFonts w:cs="Arial"/>
          <w:b/>
          <w:bCs/>
          <w:sz w:val="24"/>
          <w:szCs w:val="24"/>
          <w:rtl/>
        </w:rPr>
        <w:t xml:space="preserve">בְּתַרְוַיְהוּ. </w:t>
      </w:r>
      <w:r w:rsidRPr="00007309">
        <w:rPr>
          <w:rFonts w:cs="Arial"/>
          <w:b/>
          <w:bCs/>
          <w:sz w:val="36"/>
          <w:szCs w:val="28"/>
          <w:vertAlign w:val="superscript"/>
          <w:rtl/>
        </w:rPr>
        <w:footnoteReference w:id="6025"/>
      </w:r>
      <w:r w:rsidRPr="00007309">
        <w:rPr>
          <w:rFonts w:cs="Arial"/>
          <w:b/>
          <w:bCs/>
          <w:sz w:val="24"/>
          <w:szCs w:val="24"/>
          <w:rtl/>
        </w:rPr>
        <w:t xml:space="preserve">דְּאִיהִי עֵץ פְּרִי עוֹשֶׂה פְּרִי לְמִינוֹ. אֲשֶׁר זַרְעוֹ בוֹ עַל הָאָרֶץ דָּא מָאנָא דְּשַׂרְגָּא, וְנֵר דְּשַׁבָּת מִסִּטְרָא דִּגְבוּרָה אִתּוּקְדַת וְאִתְנְהָרַת. לְמָאן דְּקָרִיב אֶשָּׁא נוּכְרָא לְגַבָּהּ, דִּבְגִינֵהּ מָנֵי לֹא תְבָעֲרוּ אֵשׁ בְּכָל מֹשְׁבוֹתֵיכֶם בְּיוֹם הַשַּׁבָּת, וּשְׁכִינְתָּא אוֹף הָכֵי אִתְקְרִיאַת </w:t>
      </w:r>
      <w:r w:rsidRPr="00007309">
        <w:rPr>
          <w:rFonts w:cs="Arial"/>
          <w:b/>
          <w:bCs/>
          <w:sz w:val="36"/>
          <w:szCs w:val="28"/>
          <w:vertAlign w:val="superscript"/>
          <w:rtl/>
        </w:rPr>
        <w:footnoteReference w:id="6026"/>
      </w:r>
      <w:r w:rsidRPr="00007309">
        <w:rPr>
          <w:rFonts w:cs="Arial"/>
          <w:b/>
          <w:bCs/>
          <w:sz w:val="24"/>
          <w:szCs w:val="24"/>
          <w:rtl/>
        </w:rPr>
        <w:t xml:space="preserve">נֵר מִסִּטְרָא דִּשְׂמָאלָא, וְאִתְקְרִיאַת אוֹר מִסִּטְרָא דִּימִינָא, </w:t>
      </w:r>
      <w:r w:rsidRPr="00007309">
        <w:rPr>
          <w:rFonts w:cs="Arial"/>
          <w:b/>
          <w:bCs/>
          <w:sz w:val="36"/>
          <w:szCs w:val="28"/>
          <w:vertAlign w:val="superscript"/>
          <w:rtl/>
        </w:rPr>
        <w:footnoteReference w:id="6027"/>
      </w:r>
      <w:r w:rsidRPr="00007309">
        <w:rPr>
          <w:rFonts w:cs="Arial"/>
          <w:b/>
          <w:bCs/>
          <w:sz w:val="24"/>
          <w:szCs w:val="24"/>
          <w:rtl/>
        </w:rPr>
        <w:t xml:space="preserve">דְּתַמָּן (שמות כז) זַיִת זַךְ לְהַעֲלוֹת נֵר תָּמִיד, וְאִיהוּ שֶׁמֶן לַמָּאוֹר </w:t>
      </w:r>
      <w:r w:rsidRPr="00007309">
        <w:rPr>
          <w:rFonts w:cs="Arial"/>
          <w:b/>
          <w:bCs/>
          <w:sz w:val="36"/>
          <w:szCs w:val="28"/>
          <w:vertAlign w:val="superscript"/>
          <w:rtl/>
        </w:rPr>
        <w:footnoteReference w:id="6028"/>
      </w:r>
      <w:r w:rsidRPr="00007309">
        <w:rPr>
          <w:rFonts w:cs="Arial"/>
          <w:b/>
          <w:bCs/>
          <w:sz w:val="24"/>
          <w:szCs w:val="24"/>
          <w:rtl/>
        </w:rPr>
        <w:t xml:space="preserve">דְּאִיהוּ כִּי נֵר מִצְוָה וְתוֹרָה אוֹר. וְאִיהִי פְּתִילָה מִסִּטְרָא דְּעַמּוּדָא דְּאֶמְצָעִיתָא דְּאָחִיד בְּתַרְוַיְהוּ. </w:t>
      </w:r>
      <w:r w:rsidRPr="00007309">
        <w:rPr>
          <w:rFonts w:cs="Arial"/>
          <w:b/>
          <w:bCs/>
          <w:sz w:val="36"/>
          <w:szCs w:val="28"/>
          <w:vertAlign w:val="superscript"/>
          <w:rtl/>
        </w:rPr>
        <w:footnoteReference w:id="6029"/>
      </w:r>
      <w:r w:rsidRPr="00007309">
        <w:rPr>
          <w:rFonts w:cs="Arial"/>
          <w:b/>
          <w:bCs/>
          <w:sz w:val="24"/>
          <w:szCs w:val="24"/>
          <w:rtl/>
        </w:rPr>
        <w:t xml:space="preserve">וּכְגַוְנָא דָּא, זֶרַע דְּבַר נָשׁ לָקֳבֵל מִשְׁחָא וּבְרִית מִילָה לָקֳבֵל פְּתִילָה. נֵר ה' נִשְׁמַת אָדָם, לָקֳבֵל נֵר דְּשַׂרְגָּא. חִיזוּ תְּמִינָאָה אִמָּא עִלָּאָה אִתְקְרִיאַת כֵּן מַרְאֵה הַנֹּגַהּ סָבִיב, </w:t>
      </w:r>
      <w:r w:rsidRPr="00007309">
        <w:rPr>
          <w:rFonts w:cs="Arial"/>
          <w:b/>
          <w:bCs/>
          <w:sz w:val="36"/>
          <w:szCs w:val="28"/>
          <w:vertAlign w:val="superscript"/>
          <w:rtl/>
        </w:rPr>
        <w:footnoteReference w:id="6030"/>
      </w:r>
      <w:r w:rsidRPr="00007309">
        <w:rPr>
          <w:rFonts w:cs="Arial"/>
          <w:b/>
          <w:bCs/>
          <w:sz w:val="24"/>
          <w:szCs w:val="24"/>
          <w:rtl/>
        </w:rPr>
        <w:t>מט'ה הָאֱלֹהִים. הַנֹּגַהּ</w:t>
      </w:r>
      <w:r w:rsidRPr="00007309">
        <w:rPr>
          <w:rFonts w:cs="Arial"/>
          <w:b/>
          <w:bCs/>
          <w:sz w:val="24"/>
          <w:szCs w:val="24"/>
        </w:rPr>
        <w:t xml:space="preserve"> </w:t>
      </w:r>
      <w:r w:rsidRPr="00007309">
        <w:rPr>
          <w:rFonts w:cs="Arial"/>
          <w:b/>
          <w:bCs/>
          <w:sz w:val="36"/>
          <w:szCs w:val="28"/>
          <w:vertAlign w:val="superscript"/>
          <w:rtl/>
        </w:rPr>
        <w:footnoteReference w:id="6031"/>
      </w:r>
      <w:r w:rsidRPr="00007309">
        <w:rPr>
          <w:rFonts w:cs="Arial"/>
          <w:b/>
          <w:bCs/>
          <w:sz w:val="24"/>
          <w:szCs w:val="24"/>
          <w:rtl/>
        </w:rPr>
        <w:t xml:space="preserve">מִסִּטְרָא דִּימִינָא מַטֶה כְּלַפֵּי חֶסֶד, לְרַחֵם </w:t>
      </w:r>
      <w:r w:rsidRPr="00007309">
        <w:rPr>
          <w:rFonts w:cs="Arial"/>
          <w:b/>
          <w:bCs/>
          <w:sz w:val="36"/>
          <w:szCs w:val="28"/>
          <w:vertAlign w:val="superscript"/>
          <w:rtl/>
        </w:rPr>
        <w:footnoteReference w:id="6032"/>
      </w:r>
      <w:r w:rsidRPr="00007309">
        <w:rPr>
          <w:rFonts w:cs="Arial"/>
          <w:b/>
          <w:bCs/>
          <w:sz w:val="24"/>
          <w:szCs w:val="24"/>
          <w:rtl/>
        </w:rPr>
        <w:t xml:space="preserve">עַל מָארֵי תְּיוּבְתָּא דְּבֵהּ אִתְּמַר, </w:t>
      </w:r>
      <w:r w:rsidRPr="00007309">
        <w:rPr>
          <w:rFonts w:cs="Arial"/>
          <w:b/>
          <w:bCs/>
          <w:sz w:val="36"/>
          <w:szCs w:val="28"/>
          <w:vertAlign w:val="superscript"/>
          <w:rtl/>
        </w:rPr>
        <w:footnoteReference w:id="6033"/>
      </w:r>
      <w:r w:rsidRPr="00007309">
        <w:rPr>
          <w:rFonts w:cs="Arial"/>
          <w:b/>
          <w:bCs/>
          <w:sz w:val="24"/>
          <w:szCs w:val="24"/>
          <w:rtl/>
        </w:rPr>
        <w:t xml:space="preserve">כִּי יְמִינְךָ פְּשׁוּטָה לְקַבֵּל שָׁבִים, מִסִּטְרָא דִּשְׂמָאלָא </w:t>
      </w:r>
      <w:r w:rsidRPr="00007309">
        <w:rPr>
          <w:rFonts w:cs="Arial"/>
          <w:b/>
          <w:bCs/>
          <w:sz w:val="36"/>
          <w:szCs w:val="28"/>
          <w:vertAlign w:val="superscript"/>
          <w:rtl/>
        </w:rPr>
        <w:footnoteReference w:id="6034"/>
      </w:r>
      <w:r w:rsidRPr="00007309">
        <w:rPr>
          <w:rFonts w:cs="Arial"/>
          <w:b/>
          <w:bCs/>
          <w:sz w:val="24"/>
          <w:szCs w:val="24"/>
          <w:rtl/>
        </w:rPr>
        <w:t xml:space="preserve">מַטֵה הָאֱלֹהִים, לְמָחֲאָה בֵּהּ לִרְשִׁיעֲיָא. הָדָא הוּא דִּכְתִיב וּמַטְךָ אֲשֶׁר הִכִּיתָ בוֹ אֶת הַיְאֹר קַח בְּיָדְךָ וְהָלַכְתָּ, </w:t>
      </w:r>
      <w:r w:rsidRPr="00007309">
        <w:rPr>
          <w:rFonts w:cs="Arial"/>
          <w:b/>
          <w:bCs/>
          <w:sz w:val="36"/>
          <w:szCs w:val="28"/>
          <w:vertAlign w:val="superscript"/>
          <w:rtl/>
        </w:rPr>
        <w:footnoteReference w:id="6035"/>
      </w:r>
      <w:r w:rsidRPr="00007309">
        <w:rPr>
          <w:rFonts w:cs="Arial"/>
          <w:b/>
          <w:bCs/>
          <w:sz w:val="24"/>
          <w:szCs w:val="24"/>
          <w:rtl/>
        </w:rPr>
        <w:t>וְשֶׁבַע שַׁבָּתוֹת, לְכָל חַד שֶׁבַע יוֹמִין סַלְקִין מ"ט. וְהַאי אִיהוּ וְסָפַרְתָּ לְךָ שֶׁבַע שַׁבָּתוֹת שָׁנִים, אִנּוּן מ"ט שָׁנִים. ומ"ט יוֹמִין שֶׁבַע שַׁבָּתוֹת לָקֳבֵל שֶׁבַע שְׁמָהָן אִלֵּין דְּאִנּוּן</w:t>
      </w:r>
      <w:r w:rsidRPr="00007309">
        <w:rPr>
          <w:rFonts w:cs="Arial"/>
          <w:b/>
          <w:bCs/>
          <w:sz w:val="24"/>
          <w:szCs w:val="24"/>
        </w:rPr>
        <w:t>:</w:t>
      </w:r>
    </w:p>
    <w:p w:rsidR="00007309" w:rsidRPr="00007309" w:rsidRDefault="00007309" w:rsidP="00007309">
      <w:pPr>
        <w:keepNext/>
        <w:outlineLvl w:val="1"/>
        <w:rPr>
          <w:rFonts w:ascii="Cambria" w:hAnsi="Cambria" w:cs="Times New Roman"/>
          <w:b/>
          <w:bCs/>
          <w:i/>
          <w:iCs/>
          <w:sz w:val="28"/>
          <w:szCs w:val="28"/>
          <w:rtl/>
        </w:rPr>
      </w:pPr>
      <w:r w:rsidRPr="00007309">
        <w:rPr>
          <w:rFonts w:ascii="Cambria" w:hAnsi="Cambria" w:cs="Times New Roman" w:hint="cs"/>
          <w:b/>
          <w:bCs/>
          <w:i/>
          <w:iCs/>
          <w:sz w:val="28"/>
          <w:szCs w:val="28"/>
          <w:rtl/>
        </w:rPr>
        <w:t>[דף עג ע"ד]</w:t>
      </w:r>
    </w:p>
    <w:p w:rsidR="00007309" w:rsidRPr="00007309" w:rsidRDefault="00007309" w:rsidP="00007309">
      <w:pPr>
        <w:jc w:val="both"/>
        <w:rPr>
          <w:rFonts w:cs="Arial"/>
          <w:b/>
          <w:bCs/>
          <w:sz w:val="24"/>
          <w:szCs w:val="24"/>
          <w:rtl/>
        </w:rPr>
      </w:pPr>
      <w:r w:rsidRPr="00007309">
        <w:rPr>
          <w:rFonts w:cs="Arial"/>
          <w:b/>
          <w:bCs/>
          <w:sz w:val="24"/>
          <w:szCs w:val="24"/>
          <w:rtl/>
        </w:rPr>
        <w:t>אב"ג ית"ץ קר"ע שט"ן נג"ד יכ"ש בט"ר צת"ג חק"ב טנ"ע יג"ל פז"ק שקוצי"ת אִנּוּן שֶׁבַע שְׁמָהָן וּלְכָל חַד שִׁית אַתְוָן, לָקֳבֵל שִׁית יוֹמֵי שָׁבוּעַ לְכָל שַׁבָּת וְשַׁבָּת. וְאִלֵּין אִנּוּן דְּאִתְּמַר (ישעיה ו) שְׂרָפִים עוֹמְדִים מִמַּעַל לוֹ שֵׁשׁ כְּנָפַיִם</w:t>
      </w:r>
      <w:r w:rsidRPr="00007309">
        <w:rPr>
          <w:rFonts w:cs="Arial"/>
          <w:b/>
          <w:bCs/>
          <w:sz w:val="24"/>
          <w:szCs w:val="24"/>
        </w:rPr>
        <w:t xml:space="preserve"> </w:t>
      </w:r>
      <w:r w:rsidRPr="00007309">
        <w:rPr>
          <w:rFonts w:cs="Arial"/>
          <w:b/>
          <w:bCs/>
          <w:sz w:val="24"/>
          <w:szCs w:val="24"/>
          <w:rtl/>
        </w:rPr>
        <w:t xml:space="preserve">שֵׁשׁ כְּנָפַיִם לְאֶחָד. וְכֻלְּהוּ מ"ט שֶׁבַע שַׁבָּתוֹת, וְאַרְבָּעִין וּתְרֵין יוֹמִין דְּחֹל. וְשֶׁבַע שַׁבָּתוֹת שֶׁבַע סְפִירָן לְכָל חַד שִׁית דַּרְגִין וְסַלְקִין מ"ט פָּנִים טָהוֹר דְּאוֹרַיְתָא אִמָּא עִלָּאָה חֲמִשִּׁים יוֹם דִּסְפִירַת הָעֹמֶר. </w:t>
      </w:r>
      <w:r w:rsidRPr="00007309">
        <w:rPr>
          <w:rFonts w:cs="Arial"/>
          <w:b/>
          <w:bCs/>
          <w:sz w:val="36"/>
          <w:szCs w:val="28"/>
          <w:vertAlign w:val="superscript"/>
          <w:rtl/>
        </w:rPr>
        <w:footnoteReference w:id="6036"/>
      </w:r>
      <w:r w:rsidRPr="00007309">
        <w:rPr>
          <w:rFonts w:cs="Arial"/>
          <w:b/>
          <w:bCs/>
          <w:sz w:val="24"/>
          <w:szCs w:val="24"/>
          <w:rtl/>
        </w:rPr>
        <w:t xml:space="preserve">ה' עִלָּאָה מִן מט"ה </w:t>
      </w:r>
      <w:r w:rsidRPr="00007309">
        <w:rPr>
          <w:rFonts w:cs="Arial"/>
          <w:b/>
          <w:bCs/>
          <w:sz w:val="36"/>
          <w:szCs w:val="28"/>
          <w:vertAlign w:val="superscript"/>
          <w:rtl/>
        </w:rPr>
        <w:footnoteReference w:id="6037"/>
      </w:r>
      <w:r w:rsidRPr="00007309">
        <w:rPr>
          <w:rFonts w:cs="Arial"/>
          <w:b/>
          <w:bCs/>
          <w:sz w:val="24"/>
          <w:szCs w:val="24"/>
          <w:rtl/>
        </w:rPr>
        <w:t xml:space="preserve">וּתְלָת דַּרְגִין אִנּוּן עִלָּאִין, שְׂרָפִים וְחַיּוֹת וְאוֹפַנֵּי קֹדֶשׁ. שְׂרָפִים בְּהוֹן פָּרְחַת אִמָּא עִלָּאָה דְּאִיהִי נִשְׁמַת </w:t>
      </w:r>
      <w:r w:rsidRPr="00007309">
        <w:rPr>
          <w:rFonts w:cs="Arial"/>
          <w:b/>
          <w:bCs/>
          <w:sz w:val="36"/>
          <w:szCs w:val="28"/>
          <w:vertAlign w:val="superscript"/>
          <w:rtl/>
        </w:rPr>
        <w:footnoteReference w:id="6038"/>
      </w:r>
      <w:r w:rsidRPr="00007309">
        <w:rPr>
          <w:rFonts w:cs="Arial"/>
          <w:b/>
          <w:bCs/>
          <w:sz w:val="24"/>
          <w:szCs w:val="24"/>
          <w:rtl/>
        </w:rPr>
        <w:t xml:space="preserve">כָּל חַי, וּמִנַּהּ נִשְׁמַת חַיִּים דְּבַר נָשׁ, דְּאִתְּמַר בֵּהּ וַיִּפַּח בְּאַפּוֹ נִשְׁמַת חַיִּים. וּבַשְּרָפִים דְּאִתְמַשְּׁכָן מאִלֵּין אִיהִי פָּרְחַת בְּכָל לֵילְיָא לְגַבֵּי אִמָּא עִלָּאָה </w:t>
      </w:r>
      <w:r w:rsidRPr="00007309">
        <w:rPr>
          <w:rFonts w:cs="Arial"/>
          <w:b/>
          <w:bCs/>
          <w:sz w:val="36"/>
          <w:szCs w:val="28"/>
          <w:vertAlign w:val="superscript"/>
          <w:rtl/>
        </w:rPr>
        <w:footnoteReference w:id="6039"/>
      </w:r>
      <w:r w:rsidRPr="00007309">
        <w:rPr>
          <w:rFonts w:cs="Arial"/>
          <w:b/>
          <w:bCs/>
          <w:sz w:val="24"/>
          <w:szCs w:val="24"/>
          <w:rtl/>
        </w:rPr>
        <w:t xml:space="preserve">וּבְכָל שַׁעֲתָא דַּחֲזָרַת בִּתְשׁוּבָה, דִּבְגִינָא אִתְּמַר וַיִּבְרָא אֱלֹהִים אֶת הָאָדָם בְּצַלְמוֹ הָאָדָ"ם חֻשְׁבָּנֵהּ חַמְשִׁין. רוּחָא דְּקוּדְשָׁא דְּאִתְּמַר בָּהּ וְרוּחַ אֱלֹהִים מְרַחֶפֶת עַל פְּנֵי הַמַּיִם. דְּאִנּוּן בְּנֵי תּוֹרָה, מַיִם דְּאוֹרַיְתָא, אִינְטִילַת מֵעַמּוּדָא דְּאֶמְצָעִיתָא. הַאי סְלִיקַת בְּכָל לֵילְיָא בְּד' חֵיוָן, </w:t>
      </w:r>
      <w:r w:rsidRPr="00007309">
        <w:rPr>
          <w:rFonts w:ascii="Cambria" w:hAnsi="Cambria" w:cs="Times New Roman" w:hint="cs"/>
          <w:b/>
          <w:bCs/>
          <w:i/>
          <w:iCs/>
          <w:color w:val="4F81BD"/>
          <w:sz w:val="22"/>
          <w:szCs w:val="22"/>
          <w:rtl/>
        </w:rPr>
        <w:t xml:space="preserve">(עג ע"ד) </w:t>
      </w:r>
      <w:r w:rsidRPr="00007309">
        <w:rPr>
          <w:rFonts w:cs="Arial"/>
          <w:b/>
          <w:bCs/>
          <w:sz w:val="24"/>
          <w:szCs w:val="24"/>
          <w:rtl/>
        </w:rPr>
        <w:t>דִּלְכָל חַד ד' גַּדְפִין וּבְהוֹן פָּרְחִין</w:t>
      </w:r>
      <w:r w:rsidRPr="00007309">
        <w:rPr>
          <w:rFonts w:cs="Arial"/>
          <w:b/>
          <w:bCs/>
          <w:sz w:val="24"/>
          <w:szCs w:val="24"/>
        </w:rPr>
        <w:t xml:space="preserve"> </w:t>
      </w:r>
      <w:r w:rsidRPr="00007309">
        <w:rPr>
          <w:rFonts w:cs="Arial"/>
          <w:b/>
          <w:bCs/>
          <w:sz w:val="24"/>
          <w:szCs w:val="24"/>
          <w:rtl/>
        </w:rPr>
        <w:t xml:space="preserve">לְעֵלָּא לְגַבֵּי עַמּוּדָא דְּאֶמְצָעִיתָא </w:t>
      </w:r>
      <w:r w:rsidRPr="00007309">
        <w:rPr>
          <w:rFonts w:cs="Arial"/>
          <w:b/>
          <w:bCs/>
          <w:sz w:val="36"/>
          <w:szCs w:val="28"/>
          <w:vertAlign w:val="superscript"/>
          <w:rtl/>
        </w:rPr>
        <w:footnoteReference w:id="6040"/>
      </w:r>
      <w:r w:rsidRPr="00007309">
        <w:rPr>
          <w:rFonts w:cs="Arial"/>
          <w:b/>
          <w:bCs/>
          <w:sz w:val="24"/>
          <w:szCs w:val="24"/>
          <w:rtl/>
        </w:rPr>
        <w:t xml:space="preserve">דְּאִיהוּ כָּלִיל יאהדונהי </w:t>
      </w:r>
      <w:r w:rsidRPr="00007309">
        <w:rPr>
          <w:rFonts w:cs="Arial"/>
          <w:b/>
          <w:bCs/>
          <w:sz w:val="36"/>
          <w:szCs w:val="28"/>
          <w:vertAlign w:val="superscript"/>
          <w:rtl/>
        </w:rPr>
        <w:footnoteReference w:id="6041"/>
      </w:r>
      <w:r w:rsidRPr="00007309">
        <w:rPr>
          <w:rFonts w:cs="Arial"/>
          <w:b/>
          <w:bCs/>
          <w:sz w:val="24"/>
          <w:szCs w:val="24"/>
          <w:rtl/>
        </w:rPr>
        <w:t xml:space="preserve">יהוה מִימִינָא אֲדֹנָי מִשְּמָאלָא. נַפְשָׁא אַתְיָא מִסִּטְרָא דְּאוֹפַנִּים, דְּאִתְּמַר עָלַיְהוּ (יחזקאל א) מַרְאֵה הָאוֹפַנִּים וּמַעֲשֵׂיהֶם כְּעֵין תַּרְשִׁישׁ. אִתְּמַר הָכָא תַּרְשִׁישׁ </w:t>
      </w:r>
      <w:r w:rsidRPr="00007309">
        <w:rPr>
          <w:rFonts w:cs="Arial"/>
          <w:b/>
          <w:bCs/>
          <w:sz w:val="36"/>
          <w:szCs w:val="28"/>
          <w:vertAlign w:val="superscript"/>
          <w:rtl/>
        </w:rPr>
        <w:footnoteReference w:id="6042"/>
      </w:r>
      <w:r w:rsidRPr="00007309">
        <w:rPr>
          <w:rFonts w:cs="Arial"/>
          <w:b/>
          <w:bCs/>
          <w:sz w:val="24"/>
          <w:szCs w:val="24"/>
          <w:rtl/>
        </w:rPr>
        <w:t xml:space="preserve">וְאִתְּמַר בְּשִׁיר הַשִּׁירִים (שיר ה) יָדָיו גְּלִילִי זָהָב </w:t>
      </w:r>
      <w:r w:rsidRPr="00007309">
        <w:rPr>
          <w:rFonts w:cs="Arial"/>
          <w:b/>
          <w:bCs/>
          <w:sz w:val="36"/>
          <w:szCs w:val="28"/>
          <w:vertAlign w:val="superscript"/>
          <w:rtl/>
        </w:rPr>
        <w:footnoteReference w:id="6043"/>
      </w:r>
      <w:r w:rsidRPr="00007309">
        <w:rPr>
          <w:rFonts w:cs="Arial"/>
          <w:b/>
          <w:bCs/>
          <w:sz w:val="24"/>
          <w:szCs w:val="24"/>
          <w:rtl/>
        </w:rPr>
        <w:t xml:space="preserve">מְמֻלָּאִים בְּתַרְשִׁישׁ. </w:t>
      </w:r>
    </w:p>
    <w:p w:rsidR="00007309" w:rsidRPr="00007309" w:rsidRDefault="00007309" w:rsidP="00007309">
      <w:pPr>
        <w:keepNext/>
        <w:spacing w:before="240" w:after="60"/>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[וילנא ה ע"א]</w:t>
      </w:r>
    </w:p>
    <w:p w:rsidR="00007309" w:rsidRPr="00007309" w:rsidRDefault="00007309" w:rsidP="00007309">
      <w:pPr>
        <w:jc w:val="both"/>
        <w:rPr>
          <w:rFonts w:cs="Arial"/>
          <w:b/>
          <w:bCs/>
          <w:sz w:val="24"/>
          <w:szCs w:val="24"/>
          <w:rtl/>
        </w:rPr>
      </w:pPr>
      <w:r w:rsidRPr="00007309">
        <w:rPr>
          <w:rFonts w:cs="Arial"/>
          <w:b/>
          <w:bCs/>
          <w:sz w:val="36"/>
          <w:szCs w:val="28"/>
          <w:vertAlign w:val="superscript"/>
          <w:rtl/>
        </w:rPr>
        <w:footnoteReference w:id="6044"/>
      </w:r>
      <w:r w:rsidRPr="00007309">
        <w:rPr>
          <w:rFonts w:cs="Arial"/>
          <w:b/>
          <w:bCs/>
          <w:sz w:val="24"/>
          <w:szCs w:val="24"/>
          <w:rtl/>
        </w:rPr>
        <w:t xml:space="preserve">וְאַף עַל גַּב דְּהָא אוֹקִימְנָא לְעֵיל שְׂרָפִים וְחַיּוֹת וְאוֹפַנִּים. בְּכָל אֲתַר דְּמִתְחַדֵּשׁ בֵּהּ רָזִין צָרִיךְ לְאַחֲזָרָא לוֹן שְׂרָפִים </w:t>
      </w:r>
      <w:r w:rsidRPr="00007309">
        <w:rPr>
          <w:rFonts w:cs="Arial"/>
          <w:b/>
          <w:bCs/>
          <w:sz w:val="36"/>
          <w:szCs w:val="28"/>
          <w:vertAlign w:val="superscript"/>
          <w:rtl/>
        </w:rPr>
        <w:footnoteReference w:id="6045"/>
      </w:r>
      <w:r w:rsidRPr="00007309">
        <w:rPr>
          <w:rFonts w:cs="Arial"/>
          <w:b/>
          <w:bCs/>
          <w:sz w:val="24"/>
          <w:szCs w:val="24"/>
          <w:rtl/>
        </w:rPr>
        <w:t xml:space="preserve">לָקֳבֵל גַּדְפִּין </w:t>
      </w:r>
      <w:r w:rsidRPr="00007309">
        <w:rPr>
          <w:rFonts w:cs="Arial"/>
          <w:b/>
          <w:bCs/>
          <w:sz w:val="36"/>
          <w:szCs w:val="28"/>
          <w:vertAlign w:val="superscript"/>
          <w:rtl/>
        </w:rPr>
        <w:footnoteReference w:id="6046"/>
      </w:r>
      <w:r w:rsidRPr="00007309">
        <w:rPr>
          <w:rFonts w:cs="Arial"/>
          <w:b/>
          <w:bCs/>
          <w:sz w:val="24"/>
          <w:szCs w:val="24"/>
          <w:rtl/>
        </w:rPr>
        <w:t xml:space="preserve">דִּכְרוּבִים. וְחַיּוֹת </w:t>
      </w:r>
      <w:r w:rsidRPr="00007309">
        <w:rPr>
          <w:rFonts w:cs="Arial"/>
          <w:b/>
          <w:bCs/>
          <w:sz w:val="36"/>
          <w:szCs w:val="28"/>
          <w:vertAlign w:val="superscript"/>
          <w:rtl/>
        </w:rPr>
        <w:footnoteReference w:id="6047"/>
      </w:r>
      <w:r w:rsidRPr="00007309">
        <w:rPr>
          <w:rFonts w:cs="Arial"/>
          <w:b/>
          <w:bCs/>
          <w:sz w:val="24"/>
          <w:szCs w:val="24"/>
          <w:rtl/>
        </w:rPr>
        <w:t xml:space="preserve">לָקֳבֵל גּוּפָא דִּכְרוּבִים. </w:t>
      </w:r>
      <w:r w:rsidRPr="00007309">
        <w:rPr>
          <w:rFonts w:cs="Arial"/>
          <w:b/>
          <w:bCs/>
          <w:sz w:val="36"/>
          <w:szCs w:val="28"/>
          <w:vertAlign w:val="superscript"/>
          <w:rtl/>
        </w:rPr>
        <w:footnoteReference w:id="6048"/>
      </w:r>
      <w:r w:rsidRPr="00007309">
        <w:rPr>
          <w:rFonts w:cs="Arial"/>
          <w:b/>
          <w:bCs/>
          <w:sz w:val="24"/>
          <w:szCs w:val="24"/>
          <w:rtl/>
        </w:rPr>
        <w:t xml:space="preserve">אוֹפַנִּין לָקֳבֵל רַגְלַיִן דִּכְרוּבִים </w:t>
      </w:r>
      <w:r w:rsidRPr="00007309">
        <w:rPr>
          <w:rFonts w:cs="Arial"/>
          <w:b/>
          <w:bCs/>
          <w:sz w:val="36"/>
          <w:szCs w:val="28"/>
          <w:vertAlign w:val="superscript"/>
          <w:rtl/>
        </w:rPr>
        <w:footnoteReference w:id="6049"/>
      </w:r>
      <w:r w:rsidRPr="00007309">
        <w:rPr>
          <w:rFonts w:cs="Arial"/>
          <w:b/>
          <w:bCs/>
          <w:sz w:val="24"/>
          <w:szCs w:val="24"/>
          <w:rtl/>
        </w:rPr>
        <w:t xml:space="preserve">דְּאִנּוּן עִגּוּלִין. מִשֶּׁגָּלוּ יִשְׂרָאֵל </w:t>
      </w:r>
      <w:r w:rsidRPr="00007309">
        <w:rPr>
          <w:rFonts w:cs="Arial"/>
          <w:b/>
          <w:bCs/>
          <w:sz w:val="36"/>
          <w:szCs w:val="28"/>
          <w:vertAlign w:val="superscript"/>
          <w:rtl/>
        </w:rPr>
        <w:footnoteReference w:id="6050"/>
      </w:r>
      <w:r w:rsidRPr="00007309">
        <w:rPr>
          <w:rFonts w:cs="Arial"/>
          <w:b/>
          <w:bCs/>
          <w:sz w:val="24"/>
          <w:szCs w:val="24"/>
          <w:rtl/>
        </w:rPr>
        <w:t xml:space="preserve">הֲווֹ מִתְמַעֲטִין גַּדְפִּין דְּחֵיוָן, וּכְרוּב חַד דְּאִיהוּ עַמּוּדָא דְּאֶמְצָעִיתָא אִסְתְּלַק לְגַבֵּי הַהוּא מְכֻסֶּה דְּאִתְּמַר בֵּהּ (תהלים יח) וַיַּרְכֵּב עַל כְּרוּב וַיָּעַף. אִשְׁתְּאַר כְּרוּב תִּנְיָנָא דְּאִיהִי שְׁכִינְתָּא בְּגָלוּתָא, זַכָּאָה אִיהוּ מָאן דִּמְחַבַּר לוֹן </w:t>
      </w:r>
      <w:r w:rsidRPr="00007309">
        <w:rPr>
          <w:rFonts w:cs="Arial"/>
          <w:b/>
          <w:bCs/>
          <w:sz w:val="36"/>
          <w:szCs w:val="28"/>
          <w:vertAlign w:val="superscript"/>
          <w:rtl/>
        </w:rPr>
        <w:footnoteReference w:id="6051"/>
      </w:r>
      <w:r w:rsidRPr="00007309">
        <w:rPr>
          <w:rFonts w:cs="Arial"/>
          <w:b/>
          <w:bCs/>
          <w:sz w:val="24"/>
          <w:szCs w:val="24"/>
          <w:rtl/>
        </w:rPr>
        <w:t xml:space="preserve">בִּשְׂפְוָן שְׁלִים בְּחַ"י עָלְמִין, </w:t>
      </w:r>
      <w:r w:rsidRPr="00007309">
        <w:rPr>
          <w:rFonts w:cs="Arial"/>
          <w:b/>
          <w:bCs/>
          <w:sz w:val="36"/>
          <w:szCs w:val="28"/>
          <w:vertAlign w:val="superscript"/>
          <w:rtl/>
        </w:rPr>
        <w:footnoteReference w:id="6052"/>
      </w:r>
      <w:r w:rsidRPr="00007309">
        <w:rPr>
          <w:rFonts w:cs="Arial"/>
          <w:b/>
          <w:bCs/>
          <w:sz w:val="24"/>
          <w:szCs w:val="24"/>
          <w:rtl/>
        </w:rPr>
        <w:t xml:space="preserve">דְּאִיהוּ לְשׁוֹן לִמּוּדִים, </w:t>
      </w:r>
      <w:r w:rsidRPr="00007309">
        <w:rPr>
          <w:rFonts w:cs="Arial"/>
          <w:b/>
          <w:bCs/>
          <w:sz w:val="36"/>
          <w:szCs w:val="28"/>
          <w:vertAlign w:val="superscript"/>
          <w:rtl/>
        </w:rPr>
        <w:footnoteReference w:id="6053"/>
      </w:r>
      <w:r w:rsidRPr="00007309">
        <w:rPr>
          <w:rFonts w:cs="Arial"/>
          <w:b/>
          <w:bCs/>
          <w:sz w:val="24"/>
          <w:szCs w:val="24"/>
          <w:rtl/>
        </w:rPr>
        <w:t xml:space="preserve">כָּלִיל חַ"י בִּרְכָּאן דִּצְלוֹתָא, </w:t>
      </w:r>
      <w:r w:rsidRPr="00007309">
        <w:rPr>
          <w:rFonts w:cs="Arial"/>
          <w:b/>
          <w:bCs/>
          <w:sz w:val="36"/>
          <w:szCs w:val="28"/>
          <w:vertAlign w:val="superscript"/>
          <w:rtl/>
        </w:rPr>
        <w:footnoteReference w:id="6054"/>
      </w:r>
      <w:r w:rsidRPr="00007309">
        <w:rPr>
          <w:rFonts w:cs="Arial"/>
          <w:b/>
          <w:bCs/>
          <w:sz w:val="24"/>
          <w:szCs w:val="24"/>
          <w:rtl/>
        </w:rPr>
        <w:t xml:space="preserve">דְּבֵהּ </w:t>
      </w:r>
      <w:r w:rsidRPr="00007309">
        <w:rPr>
          <w:rFonts w:cs="Arial"/>
          <w:b/>
          <w:bCs/>
          <w:sz w:val="36"/>
          <w:szCs w:val="28"/>
          <w:vertAlign w:val="superscript"/>
          <w:rtl/>
        </w:rPr>
        <w:footnoteReference w:id="6055"/>
      </w:r>
      <w:r w:rsidRPr="00007309">
        <w:rPr>
          <w:rFonts w:cs="Arial"/>
          <w:b/>
          <w:bCs/>
          <w:sz w:val="24"/>
          <w:szCs w:val="24"/>
          <w:rtl/>
        </w:rPr>
        <w:t xml:space="preserve">מִתְכַּנְּשִׁין שְׂרָפִים וְחַיּוֹת וְאוֹפַנִּים כֻּלְּהוּ גַּדְפַיְהוּ פְּתִיחָן לָקֳבֵל, </w:t>
      </w:r>
      <w:r w:rsidRPr="00007309">
        <w:rPr>
          <w:rFonts w:cs="Arial"/>
          <w:b/>
          <w:bCs/>
          <w:sz w:val="36"/>
          <w:szCs w:val="28"/>
          <w:vertAlign w:val="superscript"/>
          <w:rtl/>
        </w:rPr>
        <w:footnoteReference w:id="6056"/>
      </w:r>
      <w:r w:rsidRPr="00007309">
        <w:rPr>
          <w:rFonts w:cs="Arial"/>
          <w:b/>
          <w:bCs/>
          <w:sz w:val="24"/>
          <w:szCs w:val="24"/>
          <w:rtl/>
        </w:rPr>
        <w:t xml:space="preserve">וְקָלָא דִּילֵהּ אִשְׁתְּמַע מִגּוֹ עַמּוּדָא דְּאֶמְצָעִיתָא וּשְׁמָעִין לְגַבַּיְהוּ, הָדָא הוּא דִּכְתִיב (יחזקאל א) וָאֶשְׁמַע אֶת קוֹל כַּנְפֵיהֶם. בְּאָן אֲתַר אִשְׁתְּמַע בִּקְרִיאַת שְׁמַע, וּבְאָן אֲתַר אִתְפְּתָחוּ, </w:t>
      </w:r>
      <w:r w:rsidRPr="00007309">
        <w:rPr>
          <w:rFonts w:ascii="Cambria" w:hAnsi="Cambria" w:cs="Times New Roman" w:hint="cs"/>
          <w:b/>
          <w:bCs/>
          <w:i/>
          <w:iCs/>
          <w:color w:val="4F81BD"/>
          <w:sz w:val="22"/>
          <w:szCs w:val="22"/>
          <w:rtl/>
        </w:rPr>
        <w:t xml:space="preserve">(וילנא ה ע"א) </w:t>
      </w:r>
      <w:r w:rsidRPr="00007309">
        <w:rPr>
          <w:rFonts w:cs="Arial"/>
          <w:b/>
          <w:bCs/>
          <w:sz w:val="24"/>
          <w:szCs w:val="24"/>
          <w:rtl/>
        </w:rPr>
        <w:t xml:space="preserve">כַּד יִשְׂרָאֵל אָמְרִין אֲדֹנָי </w:t>
      </w:r>
      <w:r w:rsidRPr="00007309">
        <w:rPr>
          <w:rFonts w:cs="Arial"/>
          <w:b/>
          <w:bCs/>
          <w:sz w:val="36"/>
          <w:szCs w:val="28"/>
          <w:vertAlign w:val="superscript"/>
          <w:rtl/>
        </w:rPr>
        <w:footnoteReference w:id="6057"/>
      </w:r>
      <w:r w:rsidRPr="00007309">
        <w:rPr>
          <w:rFonts w:cs="Arial"/>
          <w:b/>
          <w:bCs/>
          <w:sz w:val="24"/>
          <w:szCs w:val="24"/>
          <w:rtl/>
        </w:rPr>
        <w:t xml:space="preserve">שְׂפָתַי תִּפְתָּח, אֲדֹנָי, שְׁכִינְתָּא </w:t>
      </w:r>
      <w:r w:rsidRPr="00007309">
        <w:rPr>
          <w:rFonts w:cs="Arial"/>
          <w:b/>
          <w:bCs/>
          <w:sz w:val="36"/>
          <w:szCs w:val="28"/>
          <w:vertAlign w:val="superscript"/>
          <w:rtl/>
        </w:rPr>
        <w:footnoteReference w:id="6058"/>
      </w:r>
      <w:r w:rsidRPr="00007309">
        <w:rPr>
          <w:rFonts w:cs="Arial"/>
          <w:b/>
          <w:bCs/>
          <w:sz w:val="24"/>
          <w:szCs w:val="24"/>
          <w:rtl/>
        </w:rPr>
        <w:t xml:space="preserve">כַּד אִיהִי אִתְפַּתְּחַת לְקַבְּלָא לְבַעְלָהּ, מִתְפַּתְּחִין שְׂרָפִים וְחַיּוֹת וְאוֹפַנִּים. גַּדְפַיְהוּ וְגַבֵּהּ לְקַבְּלָא לוֹן לְמָארֵיהוֹן. הָדָא הוּא דִּכְתִיב (שם) וּפְנֵיהֶם וְכַנְפֵיהֶם פְּרוּדוֹת מִלְּמַעְלָה. </w:t>
      </w:r>
      <w:r w:rsidRPr="00007309">
        <w:rPr>
          <w:rFonts w:cs="Arial"/>
          <w:b/>
          <w:bCs/>
          <w:sz w:val="36"/>
          <w:szCs w:val="28"/>
          <w:vertAlign w:val="superscript"/>
          <w:rtl/>
        </w:rPr>
        <w:footnoteReference w:id="6059"/>
      </w:r>
      <w:r w:rsidRPr="00007309">
        <w:rPr>
          <w:rFonts w:cs="Arial"/>
          <w:b/>
          <w:bCs/>
          <w:sz w:val="24"/>
          <w:szCs w:val="24"/>
          <w:rtl/>
        </w:rPr>
        <w:t xml:space="preserve">הָא אִנּוּן כְּרוּבִים דְּכָר וְנוּקְבָא כַּחֲדָא. בִּצְלוֹתָא דַּעֲמִידָה אִתְּמַר, בַּשְּרָפִים וְחַיּוֹת וְאוֹפַנִּים, (שם) בְּעָמְדָם תְּרַפֶּינָה כַּנְפֵיהֶם, בְּעָמְדָם וַדַּאי יִשְׂרָאֵל בִּצְלוֹתָא דַּעֲמִידָה, </w:t>
      </w:r>
      <w:r w:rsidRPr="00007309">
        <w:rPr>
          <w:rFonts w:cs="Arial"/>
          <w:b/>
          <w:bCs/>
          <w:sz w:val="36"/>
          <w:szCs w:val="28"/>
          <w:vertAlign w:val="superscript"/>
          <w:rtl/>
        </w:rPr>
        <w:footnoteReference w:id="6060"/>
      </w:r>
      <w:r w:rsidRPr="00007309">
        <w:rPr>
          <w:rFonts w:cs="Arial"/>
          <w:b/>
          <w:bCs/>
          <w:sz w:val="24"/>
          <w:szCs w:val="24"/>
          <w:rtl/>
        </w:rPr>
        <w:t xml:space="preserve">בְּהַהוּא זִמְנָא אִנּוּן כְּרוּבִים וּפְנֵיהֶם אִישׁ אֶל אָחִיו בְּהַהוּא זִמְנָא. צְלוֹתִין מִתְקַבְּלִין בְּרַעֲוָא, </w:t>
      </w:r>
      <w:r w:rsidRPr="00007309">
        <w:rPr>
          <w:rFonts w:cs="Arial"/>
          <w:b/>
          <w:bCs/>
          <w:sz w:val="36"/>
          <w:szCs w:val="28"/>
          <w:vertAlign w:val="superscript"/>
          <w:rtl/>
        </w:rPr>
        <w:footnoteReference w:id="6061"/>
      </w:r>
      <w:r w:rsidRPr="00007309">
        <w:rPr>
          <w:rFonts w:cs="Arial"/>
          <w:b/>
          <w:bCs/>
          <w:sz w:val="24"/>
          <w:szCs w:val="24"/>
          <w:rtl/>
        </w:rPr>
        <w:t xml:space="preserve">דְּאִתְּמַר עָלַיְהוּ תְּפִלּוֹת כְּנֶגֶד תְּמִידִין, וְעוֹד הָא אוֹקְמוּהּ מִכָּל מָקוֹם דְּאֵין עֲבוֹדָה אֶלָּא תְּפִלָּה דִּשְׁקוּלָה אִיהִי צְלוֹתָא כַּעֲבוֹדַת הַכֹּהֲנִים וּכְקָרְבָּנַיָּא דִּילְהוֹן. דִּבְזִמְנָא דִּכְרוּבִים דְּאִנּוּן עַמּוּדָא דְּאֶמְצָעִיתָא, וּשְׁכִינְתָּא לָאו אִנּוּן אַנְפִּין בְּאַנְפִּין, צְלוֹתָא לָא מִתְקַבֵּל, וְנָפַק סמא"ל דְּאִיהוּ כַּלְבָּא לְמֵיכַל קָרְבְּנִין דִּילְהוֹן, דְּאִנּוּן צְלוֹתִין, וְהַאי אִיהוּ (ויקרא ט) וַתֵּצֵא אֵשׁ </w:t>
      </w:r>
      <w:r w:rsidRPr="00007309">
        <w:rPr>
          <w:rFonts w:cs="Arial"/>
          <w:b/>
          <w:bCs/>
          <w:sz w:val="36"/>
          <w:szCs w:val="28"/>
          <w:vertAlign w:val="superscript"/>
          <w:rtl/>
        </w:rPr>
        <w:footnoteReference w:id="6062"/>
      </w:r>
      <w:r w:rsidRPr="00007309">
        <w:rPr>
          <w:rFonts w:cs="Arial"/>
          <w:b/>
          <w:bCs/>
          <w:sz w:val="24"/>
          <w:szCs w:val="24"/>
          <w:rtl/>
        </w:rPr>
        <w:t xml:space="preserve">מִלִּפְנֵי ה' </w:t>
      </w:r>
      <w:r w:rsidRPr="00007309">
        <w:rPr>
          <w:rFonts w:cs="Arial"/>
          <w:b/>
          <w:bCs/>
          <w:sz w:val="36"/>
          <w:szCs w:val="28"/>
          <w:vertAlign w:val="superscript"/>
          <w:rtl/>
        </w:rPr>
        <w:footnoteReference w:id="6063"/>
      </w:r>
      <w:r w:rsidRPr="00007309">
        <w:rPr>
          <w:rFonts w:cs="Arial"/>
          <w:b/>
          <w:bCs/>
          <w:sz w:val="24"/>
          <w:szCs w:val="24"/>
          <w:rtl/>
        </w:rPr>
        <w:t xml:space="preserve">וַתֹּאכַל אוֹתָם. וְדָא אֲכִילָה דְּקָרְבְּנִין דְּאִנּוּן צְלוֹתִין דְּיִשְׂרָאֵל, וְאִתְּמַר בְּהוֹן </w:t>
      </w:r>
      <w:r w:rsidRPr="00007309">
        <w:rPr>
          <w:rFonts w:cs="Arial"/>
          <w:b/>
          <w:bCs/>
          <w:sz w:val="36"/>
          <w:szCs w:val="28"/>
          <w:vertAlign w:val="superscript"/>
          <w:rtl/>
        </w:rPr>
        <w:footnoteReference w:id="6064"/>
      </w:r>
      <w:r w:rsidRPr="00007309">
        <w:rPr>
          <w:rFonts w:cs="Arial"/>
          <w:b/>
          <w:bCs/>
          <w:sz w:val="24"/>
          <w:szCs w:val="24"/>
          <w:rtl/>
        </w:rPr>
        <w:t xml:space="preserve">וַיָּמוּתוּ </w:t>
      </w:r>
      <w:r w:rsidRPr="00007309">
        <w:rPr>
          <w:rFonts w:cs="Arial"/>
          <w:b/>
          <w:bCs/>
          <w:sz w:val="36"/>
          <w:szCs w:val="28"/>
          <w:vertAlign w:val="superscript"/>
          <w:rtl/>
        </w:rPr>
        <w:footnoteReference w:id="6065"/>
      </w:r>
      <w:r w:rsidRPr="00007309">
        <w:rPr>
          <w:rFonts w:cs="Arial"/>
          <w:b/>
          <w:bCs/>
          <w:sz w:val="24"/>
          <w:szCs w:val="24"/>
          <w:rtl/>
        </w:rPr>
        <w:t>כְּגַוְנָא דִּבְנֵי אַהֲרֹן, וְלֵית מִיתָא לְיִשְׂרָאֵל אֶלָּא עֲנִיּוּתָא, ובְּאִלֵּין אַנְפִּין דִּכְרוּבִים אִתְּמַר</w:t>
      </w:r>
      <w:r w:rsidRPr="00007309">
        <w:rPr>
          <w:rFonts w:cs="Arial" w:hint="cs"/>
          <w:b/>
          <w:bCs/>
          <w:sz w:val="24"/>
          <w:szCs w:val="24"/>
          <w:rtl/>
        </w:rPr>
        <w:t xml:space="preserve"> (ש</w:t>
      </w:r>
      <w:r w:rsidRPr="00007309">
        <w:rPr>
          <w:rFonts w:cs="Arial"/>
          <w:b/>
          <w:bCs/>
          <w:sz w:val="24"/>
          <w:szCs w:val="24"/>
          <w:rtl/>
        </w:rPr>
        <w:t xml:space="preserve">מות לג) </w:t>
      </w:r>
      <w:r w:rsidRPr="00007309">
        <w:rPr>
          <w:rFonts w:cs="Arial"/>
          <w:b/>
          <w:bCs/>
          <w:sz w:val="36"/>
          <w:szCs w:val="28"/>
          <w:vertAlign w:val="superscript"/>
          <w:rtl/>
        </w:rPr>
        <w:footnoteReference w:id="6066"/>
      </w:r>
      <w:r w:rsidRPr="00007309">
        <w:rPr>
          <w:rFonts w:cs="Arial"/>
          <w:b/>
          <w:bCs/>
          <w:sz w:val="24"/>
          <w:szCs w:val="24"/>
          <w:rtl/>
        </w:rPr>
        <w:t xml:space="preserve">וְדִבֵּר ה' אֶל מֹשֶׁה פָּנִים אֶל פָּנִים. קָמוּ כֻּלְּהוּ מִמָּארֵי מַתְנִיתִין וּמַלְאָכִין וְאָמְרוּ מַאי נִיהוּ דְּגַלֵּי רָזִין אִלֵּין. אֶלָּא וַדַּאי </w:t>
      </w:r>
      <w:r w:rsidRPr="00007309">
        <w:rPr>
          <w:rFonts w:cs="Arial"/>
          <w:b/>
          <w:bCs/>
          <w:sz w:val="36"/>
          <w:szCs w:val="28"/>
          <w:vertAlign w:val="superscript"/>
          <w:rtl/>
        </w:rPr>
        <w:footnoteReference w:id="6067"/>
      </w:r>
      <w:r w:rsidRPr="00007309">
        <w:rPr>
          <w:rFonts w:cs="Arial"/>
          <w:b/>
          <w:bCs/>
          <w:sz w:val="24"/>
          <w:szCs w:val="24"/>
          <w:rtl/>
        </w:rPr>
        <w:t xml:space="preserve">דָּא אִיהוּ דְּאִתְקְרֵי </w:t>
      </w:r>
      <w:r w:rsidRPr="00007309">
        <w:rPr>
          <w:rFonts w:cs="Arial"/>
          <w:b/>
          <w:bCs/>
          <w:sz w:val="36"/>
          <w:szCs w:val="28"/>
          <w:vertAlign w:val="superscript"/>
          <w:rtl/>
        </w:rPr>
        <w:footnoteReference w:id="6068"/>
      </w:r>
      <w:r w:rsidRPr="00007309">
        <w:rPr>
          <w:rFonts w:cs="Arial"/>
          <w:b/>
          <w:bCs/>
          <w:sz w:val="24"/>
          <w:szCs w:val="24"/>
          <w:rtl/>
        </w:rPr>
        <w:t xml:space="preserve">סֵפֶר הַזֹּהַר, בְּדַרְגָּא דִּילֵהּ דְּאִיהוּ בִּדְיוֹקְנָא </w:t>
      </w:r>
      <w:r w:rsidRPr="00007309">
        <w:rPr>
          <w:rFonts w:cs="Arial"/>
          <w:b/>
          <w:bCs/>
          <w:sz w:val="36"/>
          <w:szCs w:val="28"/>
          <w:vertAlign w:val="superscript"/>
          <w:rtl/>
        </w:rPr>
        <w:footnoteReference w:id="6069"/>
      </w:r>
      <w:r w:rsidRPr="00007309">
        <w:rPr>
          <w:rFonts w:cs="Arial"/>
          <w:b/>
          <w:bCs/>
          <w:sz w:val="24"/>
          <w:szCs w:val="24"/>
          <w:rtl/>
        </w:rPr>
        <w:t xml:space="preserve">דְּמָארֵהּ, </w:t>
      </w:r>
      <w:r w:rsidRPr="00007309">
        <w:rPr>
          <w:rFonts w:cs="Arial"/>
          <w:b/>
          <w:bCs/>
          <w:sz w:val="36"/>
          <w:szCs w:val="28"/>
          <w:vertAlign w:val="superscript"/>
          <w:rtl/>
        </w:rPr>
        <w:footnoteReference w:id="6070"/>
      </w:r>
      <w:r w:rsidRPr="00007309">
        <w:rPr>
          <w:rFonts w:cs="Arial"/>
          <w:b/>
          <w:bCs/>
          <w:sz w:val="24"/>
          <w:szCs w:val="24"/>
          <w:rtl/>
        </w:rPr>
        <w:t xml:space="preserve">דְּאִתְּמַר בֵּהּ (דניאל ד) רַבָּא אִילָנָא וְתַקִּיף, </w:t>
      </w:r>
      <w:r w:rsidRPr="00007309">
        <w:rPr>
          <w:rFonts w:cs="Arial"/>
          <w:b/>
          <w:bCs/>
          <w:sz w:val="36"/>
          <w:szCs w:val="28"/>
          <w:vertAlign w:val="superscript"/>
          <w:rtl/>
        </w:rPr>
        <w:footnoteReference w:id="6071"/>
      </w:r>
      <w:r w:rsidRPr="00007309">
        <w:rPr>
          <w:rFonts w:cs="Arial"/>
          <w:b/>
          <w:bCs/>
          <w:sz w:val="24"/>
          <w:szCs w:val="24"/>
          <w:rtl/>
        </w:rPr>
        <w:t xml:space="preserve">דִּבְרַגְלוֹהִי תטלל חֵיוַת בָּרָא, דְּאִנּוּן חֵיוַת הַקֹּדֶשׁ (שם). </w:t>
      </w:r>
      <w:r w:rsidRPr="00007309">
        <w:rPr>
          <w:rFonts w:cs="Arial"/>
          <w:b/>
          <w:bCs/>
          <w:sz w:val="36"/>
          <w:szCs w:val="28"/>
          <w:vertAlign w:val="superscript"/>
          <w:rtl/>
        </w:rPr>
        <w:footnoteReference w:id="6072"/>
      </w:r>
      <w:r w:rsidRPr="00007309">
        <w:rPr>
          <w:rFonts w:cs="Arial"/>
          <w:b/>
          <w:bCs/>
          <w:sz w:val="24"/>
          <w:szCs w:val="24"/>
          <w:rtl/>
        </w:rPr>
        <w:t xml:space="preserve">וּבִדְרוֹעוֹהִי יְדֹּרוּן צִפֳּרֵי שְׁמַיָּא </w:t>
      </w:r>
      <w:r w:rsidRPr="00007309">
        <w:rPr>
          <w:rFonts w:cs="Arial"/>
          <w:b/>
          <w:bCs/>
          <w:sz w:val="36"/>
          <w:szCs w:val="28"/>
          <w:vertAlign w:val="superscript"/>
          <w:rtl/>
        </w:rPr>
        <w:footnoteReference w:id="6073"/>
      </w:r>
      <w:r w:rsidRPr="00007309">
        <w:rPr>
          <w:rFonts w:cs="Arial"/>
          <w:b/>
          <w:bCs/>
          <w:sz w:val="24"/>
          <w:szCs w:val="24"/>
          <w:rtl/>
        </w:rPr>
        <w:t xml:space="preserve">דְּאִנּוּן נִשְׁמָתִין עִלָּאִין וּמִנֵּהּ יִתְזַן כָּל בִּשְׂרָא </w:t>
      </w:r>
      <w:r w:rsidRPr="00007309">
        <w:rPr>
          <w:rFonts w:cs="Arial"/>
          <w:b/>
          <w:bCs/>
          <w:sz w:val="36"/>
          <w:szCs w:val="28"/>
          <w:vertAlign w:val="superscript"/>
          <w:rtl/>
        </w:rPr>
        <w:footnoteReference w:id="6074"/>
      </w:r>
      <w:r w:rsidRPr="00007309">
        <w:rPr>
          <w:rFonts w:cs="Arial"/>
          <w:b/>
          <w:bCs/>
          <w:sz w:val="24"/>
          <w:szCs w:val="24"/>
          <w:rtl/>
        </w:rPr>
        <w:t xml:space="preserve">דָּא יִשְׂרָאֵל לְתַתָּא וְלֹא עוֹד אֶלָּא בִּבְבַת עֵינוֹי נַהֲרָא שְׁכִינְתָּא, דִּבְגִינֵהּ אִתְּמַר (שמות ג) וַיֵּרָא </w:t>
      </w:r>
      <w:r w:rsidRPr="00007309">
        <w:rPr>
          <w:rFonts w:cs="Arial"/>
          <w:b/>
          <w:bCs/>
          <w:sz w:val="36"/>
          <w:szCs w:val="28"/>
          <w:vertAlign w:val="superscript"/>
          <w:rtl/>
        </w:rPr>
        <w:footnoteReference w:id="6075"/>
      </w:r>
      <w:r w:rsidRPr="00007309">
        <w:rPr>
          <w:rFonts w:cs="Arial"/>
          <w:b/>
          <w:bCs/>
          <w:sz w:val="24"/>
          <w:szCs w:val="24"/>
          <w:rtl/>
        </w:rPr>
        <w:t xml:space="preserve">מַלְאַךְ ה' אֵלָיו בְּלַבַּת אֵשׁ מִתּוֹךְ הַסְּנֶה. </w:t>
      </w:r>
      <w:r w:rsidRPr="00007309">
        <w:rPr>
          <w:rFonts w:cs="Arial"/>
          <w:b/>
          <w:bCs/>
          <w:sz w:val="36"/>
          <w:szCs w:val="28"/>
          <w:vertAlign w:val="superscript"/>
          <w:rtl/>
        </w:rPr>
        <w:footnoteReference w:id="6076"/>
      </w:r>
      <w:r w:rsidRPr="00007309">
        <w:rPr>
          <w:rFonts w:cs="Arial"/>
          <w:b/>
          <w:bCs/>
          <w:sz w:val="24"/>
          <w:szCs w:val="24"/>
          <w:rtl/>
        </w:rPr>
        <w:t xml:space="preserve">וְדָא בַּ"ת לֵ"ב </w:t>
      </w:r>
      <w:r w:rsidRPr="00007309">
        <w:rPr>
          <w:rFonts w:cs="Arial"/>
          <w:b/>
          <w:bCs/>
          <w:sz w:val="36"/>
          <w:szCs w:val="28"/>
          <w:vertAlign w:val="superscript"/>
          <w:rtl/>
        </w:rPr>
        <w:footnoteReference w:id="6077"/>
      </w:r>
      <w:r w:rsidRPr="00007309">
        <w:rPr>
          <w:rFonts w:cs="Arial"/>
          <w:b/>
          <w:bCs/>
          <w:sz w:val="24"/>
          <w:szCs w:val="24"/>
          <w:rtl/>
        </w:rPr>
        <w:t xml:space="preserve">בַּת כְּלִילָא מֵעֶשֶׂר אֲמִירָן </w:t>
      </w:r>
      <w:r w:rsidRPr="00007309">
        <w:rPr>
          <w:rFonts w:cs="Arial"/>
          <w:b/>
          <w:bCs/>
          <w:sz w:val="36"/>
          <w:szCs w:val="28"/>
          <w:vertAlign w:val="superscript"/>
          <w:rtl/>
        </w:rPr>
        <w:footnoteReference w:id="6078"/>
      </w:r>
      <w:r w:rsidRPr="00007309">
        <w:rPr>
          <w:rFonts w:cs="Arial"/>
          <w:b/>
          <w:bCs/>
          <w:sz w:val="24"/>
          <w:szCs w:val="24"/>
          <w:rtl/>
        </w:rPr>
        <w:t xml:space="preserve">וְל'ב נְתִיבוֹת דִּילָהּ. </w:t>
      </w:r>
      <w:r w:rsidRPr="00007309">
        <w:rPr>
          <w:rFonts w:cs="Arial"/>
          <w:b/>
          <w:bCs/>
          <w:sz w:val="36"/>
          <w:szCs w:val="28"/>
          <w:vertAlign w:val="superscript"/>
          <w:rtl/>
        </w:rPr>
        <w:footnoteReference w:id="6079"/>
      </w:r>
      <w:r w:rsidRPr="00007309">
        <w:rPr>
          <w:rFonts w:cs="Arial"/>
          <w:b/>
          <w:bCs/>
          <w:sz w:val="24"/>
          <w:szCs w:val="24"/>
          <w:rtl/>
        </w:rPr>
        <w:t xml:space="preserve">דְּאִנּוּן ל'ב אֱלֹהִים דְּעוֹבָדָא </w:t>
      </w:r>
      <w:r w:rsidRPr="00007309">
        <w:rPr>
          <w:rFonts w:cs="Arial"/>
          <w:b/>
          <w:bCs/>
          <w:sz w:val="36"/>
          <w:szCs w:val="28"/>
          <w:vertAlign w:val="superscript"/>
          <w:rtl/>
        </w:rPr>
        <w:footnoteReference w:id="6080"/>
      </w:r>
      <w:r w:rsidRPr="00007309">
        <w:rPr>
          <w:rFonts w:cs="Arial"/>
          <w:b/>
          <w:bCs/>
          <w:sz w:val="24"/>
          <w:szCs w:val="24"/>
          <w:rtl/>
        </w:rPr>
        <w:t>דִּבְרֵאשִׁית. דִּבְגִין הַאי ל'ב אִתְּמַר</w:t>
      </w:r>
      <w:r w:rsidRPr="00007309">
        <w:rPr>
          <w:rFonts w:cs="Arial"/>
          <w:b/>
          <w:bCs/>
          <w:sz w:val="24"/>
          <w:szCs w:val="24"/>
        </w:rPr>
        <w:t xml:space="preserve"> </w:t>
      </w:r>
      <w:r w:rsidRPr="00007309">
        <w:rPr>
          <w:rFonts w:cs="Arial"/>
          <w:b/>
          <w:bCs/>
          <w:sz w:val="36"/>
          <w:szCs w:val="28"/>
          <w:vertAlign w:val="superscript"/>
          <w:rtl/>
        </w:rPr>
        <w:footnoteReference w:id="6081"/>
      </w:r>
      <w:r w:rsidRPr="00007309">
        <w:rPr>
          <w:rFonts w:cs="Arial"/>
          <w:b/>
          <w:bCs/>
          <w:sz w:val="24"/>
          <w:szCs w:val="24"/>
          <w:rtl/>
        </w:rPr>
        <w:t xml:space="preserve">הַלֵּב רוֹאֶה הַלֵּב שׁוֹמֵעַ. </w:t>
      </w:r>
      <w:r w:rsidRPr="00007309">
        <w:rPr>
          <w:rFonts w:cs="Arial"/>
          <w:b/>
          <w:bCs/>
          <w:sz w:val="36"/>
          <w:szCs w:val="28"/>
          <w:vertAlign w:val="superscript"/>
          <w:rtl/>
        </w:rPr>
        <w:footnoteReference w:id="6082"/>
      </w:r>
      <w:r w:rsidRPr="00007309">
        <w:rPr>
          <w:rFonts w:cs="Arial"/>
          <w:b/>
          <w:bCs/>
          <w:sz w:val="24"/>
          <w:szCs w:val="24"/>
          <w:rtl/>
        </w:rPr>
        <w:t xml:space="preserve">בְּעַיִן דִּילֵהּ נָהִיר עַמּוּדָא דְּאֶמְצָעִיתָא. בִּתְלָת גְּוָנִין דְּעֵינֵהּ נַהֲרִין תְּלָת אֲבָהָן. בִּתְרֵי גַּדְפֵּי עֵינָא דִּילֵהּ, פַּתְחִין וְסַגְרִין תְּרֵי סַמְכֵי קְשׁוֹט. בְּרֹב דְּעֵינָא דְּאָחִיד בִּתְרֵי גַּדְפֵּי עֵינָא דִּילֵהּ דָּא צַדִּיק. בַּת דַּקִּיקָא זְעֵירָא אִית מִלְּגָאו, תְּחוֹת בַּת עֵינָא עִלָּאָה וְדָא שְׁכִינְתָּא תַּתָּאָה. דְּבַת עֵינָא עִלָּאָה תַּמָּן חָכְמָה </w:t>
      </w:r>
      <w:r w:rsidRPr="00007309">
        <w:rPr>
          <w:rFonts w:cs="Arial"/>
          <w:b/>
          <w:bCs/>
          <w:sz w:val="36"/>
          <w:szCs w:val="28"/>
          <w:vertAlign w:val="superscript"/>
          <w:rtl/>
        </w:rPr>
        <w:footnoteReference w:id="6083"/>
      </w:r>
      <w:r w:rsidRPr="00007309">
        <w:rPr>
          <w:rFonts w:cs="Arial"/>
          <w:b/>
          <w:bCs/>
          <w:sz w:val="24"/>
          <w:szCs w:val="24"/>
          <w:rtl/>
        </w:rPr>
        <w:t xml:space="preserve">לֵב אִמָּא עִלָּאָה. </w:t>
      </w:r>
      <w:r w:rsidRPr="00007309">
        <w:rPr>
          <w:rFonts w:cs="Arial"/>
          <w:b/>
          <w:bCs/>
          <w:sz w:val="36"/>
          <w:szCs w:val="28"/>
          <w:vertAlign w:val="superscript"/>
          <w:rtl/>
        </w:rPr>
        <w:footnoteReference w:id="6084"/>
      </w:r>
      <w:r w:rsidRPr="00007309">
        <w:rPr>
          <w:rFonts w:cs="Arial"/>
          <w:b/>
          <w:bCs/>
          <w:sz w:val="24"/>
          <w:szCs w:val="24"/>
          <w:rtl/>
        </w:rPr>
        <w:t xml:space="preserve">אוֹר דְּנָהִיר בָּבַת עֵינָא דְּאִיהִי י' וְעִמֵּהּ אִתְקְרֵי אֲוִיר הַקַּדְמוֹן, דָּא כֶּתֶר עִלָּאָה. </w:t>
      </w:r>
    </w:p>
    <w:p w:rsidR="00007309" w:rsidRPr="00007309" w:rsidRDefault="00007309" w:rsidP="00007309">
      <w:pPr>
        <w:keepNext/>
        <w:spacing w:before="240" w:after="60"/>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[וילנא ה ע"ב]</w:t>
      </w:r>
    </w:p>
    <w:p w:rsidR="00007309" w:rsidRPr="00007309" w:rsidRDefault="00007309" w:rsidP="00007309">
      <w:pPr>
        <w:jc w:val="both"/>
        <w:rPr>
          <w:rFonts w:cs="Arial"/>
          <w:b/>
          <w:bCs/>
          <w:sz w:val="24"/>
          <w:szCs w:val="24"/>
          <w:rtl/>
        </w:rPr>
      </w:pPr>
      <w:r w:rsidRPr="00007309">
        <w:rPr>
          <w:rFonts w:cs="Arial"/>
          <w:b/>
          <w:bCs/>
          <w:sz w:val="36"/>
          <w:szCs w:val="28"/>
          <w:vertAlign w:val="superscript"/>
          <w:rtl/>
        </w:rPr>
        <w:footnoteReference w:id="6085"/>
      </w:r>
      <w:r w:rsidRPr="00007309">
        <w:rPr>
          <w:rFonts w:cs="Arial"/>
          <w:b/>
          <w:bCs/>
          <w:sz w:val="24"/>
          <w:szCs w:val="24"/>
          <w:rtl/>
        </w:rPr>
        <w:t xml:space="preserve">וְעוֹד בְּשִׁבְעָה גִּלְדֵי עֵינָא דִּילֵהּ, נַהֲרִין נִשְׁמָתִין דְּרִבִּי שִׁמְעוֹן וְשִׁית חַבְרוֹי. וְעָלַיְהוּ אִתְּמַר (זכריה ד) שִׁבְעָה וְשִׁבְעָה מוּצָקוֹת, </w:t>
      </w:r>
      <w:r w:rsidRPr="00007309">
        <w:rPr>
          <w:rFonts w:cs="Arial"/>
          <w:b/>
          <w:bCs/>
          <w:sz w:val="36"/>
          <w:szCs w:val="28"/>
          <w:vertAlign w:val="superscript"/>
          <w:rtl/>
        </w:rPr>
        <w:footnoteReference w:id="6086"/>
      </w:r>
      <w:r w:rsidRPr="00007309">
        <w:rPr>
          <w:rFonts w:cs="Arial"/>
          <w:b/>
          <w:bCs/>
          <w:sz w:val="24"/>
          <w:szCs w:val="24"/>
          <w:rtl/>
        </w:rPr>
        <w:t xml:space="preserve">וְאִית דְּפָרִישׁ לוֹן הָכֵי בְּי"ד אַתְוָן דִּשְׁמָא מְפָרַשׁ. </w:t>
      </w:r>
      <w:r w:rsidRPr="00007309">
        <w:rPr>
          <w:rFonts w:cs="Arial"/>
          <w:b/>
          <w:bCs/>
          <w:sz w:val="36"/>
          <w:szCs w:val="28"/>
          <w:vertAlign w:val="superscript"/>
          <w:rtl/>
        </w:rPr>
        <w:footnoteReference w:id="6087"/>
      </w:r>
      <w:r w:rsidRPr="00007309">
        <w:rPr>
          <w:rFonts w:cs="Arial"/>
          <w:b/>
          <w:bCs/>
          <w:sz w:val="24"/>
          <w:szCs w:val="24"/>
          <w:rtl/>
        </w:rPr>
        <w:t xml:space="preserve">בְּז' גִּלְדֵי עֵינָא וּתְלָת גַּוְנֵי עֵינָא, נַהֲרִין עֶשֶׂר אַתְוָן דְּאִנּוּן יוּ"ד הֵ"א וָא"ו הֵ"א, </w:t>
      </w:r>
      <w:r w:rsidRPr="00007309">
        <w:rPr>
          <w:rFonts w:cs="Arial"/>
          <w:b/>
          <w:bCs/>
          <w:sz w:val="36"/>
          <w:szCs w:val="28"/>
          <w:vertAlign w:val="superscript"/>
          <w:rtl/>
        </w:rPr>
        <w:footnoteReference w:id="6088"/>
      </w:r>
      <w:r w:rsidRPr="00007309">
        <w:rPr>
          <w:rFonts w:cs="Arial"/>
          <w:b/>
          <w:bCs/>
          <w:sz w:val="24"/>
          <w:szCs w:val="24"/>
          <w:rtl/>
        </w:rPr>
        <w:t xml:space="preserve">וְהַאי אִיהוּ (יחזקאל א) וּדְמוּת פְּנֵיהֶם פְּנֵי אָדָם </w:t>
      </w:r>
      <w:r w:rsidRPr="00007309">
        <w:rPr>
          <w:rFonts w:cs="Arial"/>
          <w:b/>
          <w:bCs/>
          <w:sz w:val="36"/>
          <w:szCs w:val="28"/>
          <w:vertAlign w:val="superscript"/>
          <w:rtl/>
        </w:rPr>
        <w:footnoteReference w:id="6089"/>
      </w:r>
      <w:r w:rsidRPr="00007309">
        <w:rPr>
          <w:rFonts w:cs="Arial"/>
          <w:b/>
          <w:bCs/>
          <w:sz w:val="24"/>
          <w:szCs w:val="24"/>
          <w:rtl/>
        </w:rPr>
        <w:t>בִּתְרֵי כְּרוּבֵי עֵינָא וּבִתְרֵי עַפְעַפֵּי עֵינָא, נַהֲרִין</w:t>
      </w:r>
      <w:r w:rsidRPr="00007309">
        <w:rPr>
          <w:rFonts w:cs="Arial"/>
          <w:b/>
          <w:bCs/>
          <w:sz w:val="24"/>
          <w:szCs w:val="24"/>
        </w:rPr>
        <w:t xml:space="preserve"> </w:t>
      </w:r>
      <w:r w:rsidRPr="00007309">
        <w:rPr>
          <w:rFonts w:cs="Arial"/>
          <w:b/>
          <w:bCs/>
          <w:sz w:val="24"/>
          <w:szCs w:val="24"/>
          <w:rtl/>
        </w:rPr>
        <w:t xml:space="preserve">פְּנֵי אָדָם דְּאִנּוּן ד' וְאִנּוּן יהו"ה. </w:t>
      </w:r>
      <w:r w:rsidRPr="00007309">
        <w:rPr>
          <w:rFonts w:cs="Arial"/>
          <w:b/>
          <w:bCs/>
          <w:sz w:val="36"/>
          <w:szCs w:val="28"/>
          <w:vertAlign w:val="superscript"/>
          <w:rtl/>
        </w:rPr>
        <w:footnoteReference w:id="6090"/>
      </w:r>
      <w:r w:rsidRPr="00007309">
        <w:rPr>
          <w:rFonts w:cs="Arial"/>
          <w:b/>
          <w:bCs/>
          <w:sz w:val="24"/>
          <w:szCs w:val="24"/>
          <w:rtl/>
        </w:rPr>
        <w:t xml:space="preserve">וְעָלַיְהוּ אִתְּמַר וּדְמוּת פְּנֵיהֶם פְּנֵי אָדָם, דְּמוּת תְּלָת חֵיוָן אִנּוּן דְּמוּת אַנְפֵּי אָדָם, כָּל אֵבָר וְאֵבָר דִּילֵהּ, אִשְׁתְּכַח רְשׁוּת הַיָּחִיד, דְּרָחְבּוֹ ד' וְגָבְהוֹ עֲשָׂרָה, דְּאִנּוּן י"ד אַתְוָן דִּשְׁמָא מְפָרַשׁ, בְּאֵבָרִין דִּילֵהּ מְקַנְּנָן כִּלְ נִשְׁמָתִין </w:t>
      </w:r>
      <w:r w:rsidRPr="00007309">
        <w:rPr>
          <w:rFonts w:cs="Arial"/>
          <w:b/>
          <w:bCs/>
          <w:sz w:val="36"/>
          <w:szCs w:val="28"/>
          <w:vertAlign w:val="superscript"/>
          <w:rtl/>
        </w:rPr>
        <w:footnoteReference w:id="6091"/>
      </w:r>
      <w:r w:rsidRPr="00007309">
        <w:rPr>
          <w:rFonts w:cs="Arial"/>
          <w:b/>
          <w:bCs/>
          <w:sz w:val="24"/>
          <w:szCs w:val="24"/>
          <w:rtl/>
        </w:rPr>
        <w:t xml:space="preserve">דְּשִׁשִּׁים רִבּוֹא </w:t>
      </w:r>
      <w:r w:rsidRPr="00007309">
        <w:rPr>
          <w:rFonts w:cs="Arial"/>
          <w:b/>
          <w:bCs/>
          <w:sz w:val="36"/>
          <w:szCs w:val="28"/>
          <w:vertAlign w:val="superscript"/>
          <w:rtl/>
        </w:rPr>
        <w:footnoteReference w:id="6092"/>
      </w:r>
      <w:r w:rsidRPr="00007309">
        <w:rPr>
          <w:rFonts w:cs="Arial"/>
          <w:b/>
          <w:bCs/>
          <w:sz w:val="24"/>
          <w:szCs w:val="24"/>
          <w:rtl/>
        </w:rPr>
        <w:t>דְּיִשְׂרָאֵל. דְּשִׁשִּׁים רִבּוֹא דְּמַלְאָכִים כֻּלְּהוּ דְּמִתְכַּנְּשִׁין בְהַאי חִבּוּרָא, מְקַנְּנִין בֵּהּ. אָמְרוּ נִשְׁמָתִין דִּמְתִיבְתָּא</w:t>
      </w:r>
      <w:r w:rsidRPr="00007309">
        <w:rPr>
          <w:rFonts w:cs="Arial"/>
          <w:b/>
          <w:bCs/>
          <w:sz w:val="24"/>
          <w:szCs w:val="24"/>
        </w:rPr>
        <w:t xml:space="preserve"> </w:t>
      </w:r>
      <w:r w:rsidRPr="00007309">
        <w:rPr>
          <w:rFonts w:cs="Arial"/>
          <w:b/>
          <w:bCs/>
          <w:sz w:val="24"/>
          <w:szCs w:val="24"/>
          <w:rtl/>
        </w:rPr>
        <w:t xml:space="preserve">עִלָּאָה, וַדַּאי הַאי אִיהוּ דְּדַרְגֵּהּ עַמּוּדָא דְּאֶמְצָעִיתָא דְּעָתִיד לְאִתְגַּלְּיָא בְּדָרָא דְּמַלְכָּא מְשִׁיחָא אִתְגַּלְּיָא בֵּהּ. וְרָזָא דְּמִלָּא קְרָא אוֹכַח, </w:t>
      </w:r>
      <w:r w:rsidRPr="00007309">
        <w:rPr>
          <w:rFonts w:cs="Arial"/>
          <w:b/>
          <w:bCs/>
          <w:sz w:val="36"/>
          <w:szCs w:val="28"/>
          <w:vertAlign w:val="superscript"/>
          <w:rtl/>
        </w:rPr>
        <w:footnoteReference w:id="6093"/>
      </w:r>
      <w:r w:rsidRPr="00007309">
        <w:rPr>
          <w:rFonts w:cs="Arial"/>
          <w:b/>
          <w:bCs/>
          <w:sz w:val="24"/>
          <w:szCs w:val="24"/>
          <w:rtl/>
        </w:rPr>
        <w:t xml:space="preserve">מַ'ה שֶּׁהָיָ'ה הוּא שֶׁיִּהְיֶ'ה. </w:t>
      </w:r>
      <w:r w:rsidRPr="00007309">
        <w:rPr>
          <w:rFonts w:cs="Arial"/>
          <w:b/>
          <w:bCs/>
          <w:sz w:val="36"/>
          <w:szCs w:val="28"/>
          <w:vertAlign w:val="superscript"/>
          <w:rtl/>
        </w:rPr>
        <w:footnoteReference w:id="6094"/>
      </w:r>
      <w:r w:rsidRPr="00007309">
        <w:rPr>
          <w:rFonts w:cs="Arial"/>
          <w:b/>
          <w:bCs/>
          <w:sz w:val="24"/>
          <w:szCs w:val="24"/>
          <w:rtl/>
        </w:rPr>
        <w:t xml:space="preserve">וּבָהּ מִמְּכוֹ"ן שִׁבְתּ"וֹ הִשְׁגִּי"חַ אֶל כָּל יוֹשְׁבֵי הָאָרֶץ. קוּם רָעֲיָא מְהֵימָנָא </w:t>
      </w:r>
      <w:r w:rsidRPr="00007309">
        <w:rPr>
          <w:rFonts w:cs="Arial"/>
          <w:b/>
          <w:bCs/>
          <w:sz w:val="36"/>
          <w:szCs w:val="28"/>
          <w:vertAlign w:val="superscript"/>
          <w:rtl/>
        </w:rPr>
        <w:footnoteReference w:id="6095"/>
      </w:r>
      <w:r w:rsidRPr="00007309">
        <w:rPr>
          <w:rFonts w:cs="Arial"/>
          <w:b/>
          <w:bCs/>
          <w:sz w:val="24"/>
          <w:szCs w:val="24"/>
          <w:rtl/>
        </w:rPr>
        <w:t xml:space="preserve">לְאִתְּעָרָא לְהַהוּא </w:t>
      </w:r>
      <w:r w:rsidRPr="00007309">
        <w:rPr>
          <w:rFonts w:ascii="Cambria" w:hAnsi="Cambria" w:cs="Times New Roman" w:hint="cs"/>
          <w:b/>
          <w:bCs/>
          <w:i/>
          <w:iCs/>
          <w:color w:val="4F81BD"/>
          <w:sz w:val="22"/>
          <w:szCs w:val="22"/>
          <w:rtl/>
        </w:rPr>
        <w:t xml:space="preserve">(וילנא ה ע"ב) </w:t>
      </w:r>
      <w:r w:rsidRPr="00007309">
        <w:rPr>
          <w:rFonts w:cs="Arial"/>
          <w:b/>
          <w:bCs/>
          <w:sz w:val="24"/>
          <w:szCs w:val="24"/>
          <w:rtl/>
        </w:rPr>
        <w:t xml:space="preserve">דְּאִתְּמַר בֵּהּ </w:t>
      </w:r>
      <w:r w:rsidRPr="00007309">
        <w:rPr>
          <w:rFonts w:cs="Arial"/>
          <w:b/>
          <w:bCs/>
          <w:sz w:val="36"/>
          <w:szCs w:val="28"/>
          <w:vertAlign w:val="superscript"/>
          <w:rtl/>
        </w:rPr>
        <w:footnoteReference w:id="6096"/>
      </w:r>
      <w:r w:rsidRPr="00007309">
        <w:rPr>
          <w:rFonts w:cs="Arial"/>
          <w:b/>
          <w:bCs/>
          <w:sz w:val="24"/>
          <w:szCs w:val="24"/>
          <w:rtl/>
        </w:rPr>
        <w:t xml:space="preserve">אֲנִי יְשֵׁנָה </w:t>
      </w:r>
      <w:r w:rsidRPr="00007309">
        <w:rPr>
          <w:rFonts w:cs="Arial"/>
          <w:b/>
          <w:bCs/>
          <w:sz w:val="36"/>
          <w:szCs w:val="28"/>
          <w:vertAlign w:val="superscript"/>
          <w:rtl/>
        </w:rPr>
        <w:footnoteReference w:id="6097"/>
      </w:r>
      <w:r w:rsidRPr="00007309">
        <w:rPr>
          <w:rFonts w:cs="Arial"/>
          <w:b/>
          <w:bCs/>
          <w:sz w:val="24"/>
          <w:szCs w:val="24"/>
          <w:rtl/>
        </w:rPr>
        <w:t xml:space="preserve">וְלִבִּי עֵר. </w:t>
      </w:r>
    </w:p>
    <w:p w:rsidR="00007309" w:rsidRPr="00007309" w:rsidRDefault="00007309" w:rsidP="00007309">
      <w:pPr>
        <w:keepNext/>
        <w:outlineLvl w:val="1"/>
        <w:rPr>
          <w:rFonts w:ascii="Cambria" w:hAnsi="Cambria" w:cs="Times New Roman"/>
          <w:b/>
          <w:bCs/>
          <w:i/>
          <w:iCs/>
          <w:sz w:val="28"/>
          <w:szCs w:val="28"/>
          <w:rtl/>
        </w:rPr>
      </w:pPr>
      <w:r w:rsidRPr="00007309">
        <w:rPr>
          <w:rFonts w:ascii="Cambria" w:hAnsi="Cambria" w:cs="Times New Roman" w:hint="cs"/>
          <w:b/>
          <w:bCs/>
          <w:i/>
          <w:iCs/>
          <w:sz w:val="28"/>
          <w:szCs w:val="28"/>
          <w:rtl/>
        </w:rPr>
        <w:t>[דף עד ע"א]</w:t>
      </w:r>
    </w:p>
    <w:p w:rsidR="00007309" w:rsidRPr="00007309" w:rsidRDefault="00007309" w:rsidP="00007309">
      <w:pPr>
        <w:jc w:val="both"/>
        <w:rPr>
          <w:rFonts w:cs="Arial"/>
          <w:b/>
          <w:bCs/>
          <w:sz w:val="24"/>
          <w:szCs w:val="24"/>
          <w:rtl/>
        </w:rPr>
      </w:pPr>
      <w:r w:rsidRPr="00007309">
        <w:rPr>
          <w:rFonts w:cs="Arial"/>
          <w:b/>
          <w:bCs/>
          <w:sz w:val="24"/>
          <w:szCs w:val="24"/>
          <w:rtl/>
        </w:rPr>
        <w:t xml:space="preserve">וְכָמָה אִנּוּן דְּמִיכִין וְשֵׁינָתָא בְּעֵינֵיהוֹן, דְּלָא פַּתְחִין לוֹן לְאִתְעַסְּקָא בְּרָזִין דְּאוֹרַיְתָא, דְּכָל רָז אור אִתְקְרֵי, לְאַנְהָרָא בֵּהּ לְבַת </w:t>
      </w:r>
      <w:r w:rsidRPr="00007309">
        <w:rPr>
          <w:rFonts w:ascii="Cambria" w:hAnsi="Cambria" w:cs="Times New Roman" w:hint="cs"/>
          <w:b/>
          <w:bCs/>
          <w:i/>
          <w:iCs/>
          <w:color w:val="4F81BD"/>
          <w:sz w:val="22"/>
          <w:szCs w:val="22"/>
          <w:rtl/>
        </w:rPr>
        <w:t xml:space="preserve">(עד ע"א) </w:t>
      </w:r>
      <w:r w:rsidRPr="00007309">
        <w:rPr>
          <w:rFonts w:cs="Arial"/>
          <w:b/>
          <w:bCs/>
          <w:sz w:val="24"/>
          <w:szCs w:val="24"/>
          <w:rtl/>
        </w:rPr>
        <w:t xml:space="preserve">עֵינָא וּלְאִתְּעָרָא לָהּ בֵּהּ לְגַבֵּי בַּעְלָהּ, דְּאִיהִי דְּמִיכָא בְּגָלוּתָא </w:t>
      </w:r>
      <w:r w:rsidRPr="00007309">
        <w:rPr>
          <w:rFonts w:cs="Arial"/>
          <w:b/>
          <w:bCs/>
          <w:sz w:val="36"/>
          <w:szCs w:val="28"/>
          <w:vertAlign w:val="superscript"/>
          <w:rtl/>
        </w:rPr>
        <w:footnoteReference w:id="6098"/>
      </w:r>
      <w:r w:rsidRPr="00007309">
        <w:rPr>
          <w:rFonts w:cs="Arial"/>
          <w:b/>
          <w:bCs/>
          <w:sz w:val="24"/>
          <w:szCs w:val="24"/>
          <w:rtl/>
        </w:rPr>
        <w:t xml:space="preserve">בֵּין אִנּוּן מָארֵי תּוֹרָה. דְּלֵית חַד מִנַּיְהוּ דְּיִתְּעַר לָהּ בְּבַעְלָהּ דְּאִיהוּ ר"ז אוֹר דְּנָהִיר בָּהּ בָּבַת עֵינָא. דְּרָז אוֹר אִיהוּ בְּחֻשְׁבָּן. </w:t>
      </w:r>
      <w:r w:rsidRPr="00007309">
        <w:rPr>
          <w:rFonts w:cs="Arial"/>
          <w:b/>
          <w:bCs/>
          <w:sz w:val="36"/>
          <w:szCs w:val="28"/>
          <w:vertAlign w:val="superscript"/>
          <w:rtl/>
        </w:rPr>
        <w:footnoteReference w:id="6099"/>
      </w:r>
      <w:r w:rsidRPr="00007309">
        <w:rPr>
          <w:rFonts w:cs="Arial"/>
          <w:b/>
          <w:bCs/>
          <w:sz w:val="24"/>
          <w:szCs w:val="24"/>
          <w:rtl/>
        </w:rPr>
        <w:t xml:space="preserve">דְּהָא אַנְתְּ הוּא דְּאִתְּמַר בֵּהּ </w:t>
      </w:r>
      <w:r w:rsidRPr="00007309">
        <w:rPr>
          <w:rFonts w:cs="Arial"/>
          <w:b/>
          <w:bCs/>
          <w:sz w:val="36"/>
          <w:szCs w:val="28"/>
          <w:vertAlign w:val="superscript"/>
          <w:rtl/>
        </w:rPr>
        <w:footnoteReference w:id="6100"/>
      </w:r>
      <w:r w:rsidRPr="00007309">
        <w:rPr>
          <w:rFonts w:cs="Arial"/>
          <w:b/>
          <w:bCs/>
          <w:sz w:val="24"/>
          <w:szCs w:val="24"/>
          <w:rtl/>
        </w:rPr>
        <w:t xml:space="preserve">מֹשֶׁה קִבֵּל תּוֹרָה מִסִּינַי. דְּהָא הֲווֹ כֻּלְּהוּ נְבִיאַיָּא וְחַכְמַיָּא וּמָארֵי קַבָּלָה לְגַבָּךְ, כְּסִיהֲרָא וְכוֹכְבַיָּא וּמַזָּלֵי דְּלֵית לוֹן נְהוֹרָא אֶלָּא מְשַׁמְּשָׁא. וּבְגִין דָּא אִתְּמַר בָּךְ פְּנֵי מֹשֶׁה כִּפְנֵי חַמָּה. קוּם אַנְהִיר לוֹן דְּעַד דֶּאֱמֶת אַנְהִיר לוֹן, כֻּלְּהוּ הֲווֹ בַּחֲשׁוֹכָא וְלֵית לוֹן נְהוֹרָא. </w:t>
      </w:r>
      <w:r w:rsidRPr="00007309">
        <w:rPr>
          <w:rFonts w:cs="Arial"/>
          <w:b/>
          <w:bCs/>
          <w:sz w:val="36"/>
          <w:szCs w:val="28"/>
          <w:vertAlign w:val="superscript"/>
          <w:rtl/>
        </w:rPr>
        <w:footnoteReference w:id="6101"/>
      </w:r>
      <w:r w:rsidRPr="00007309">
        <w:rPr>
          <w:rFonts w:cs="Arial"/>
          <w:b/>
          <w:bCs/>
          <w:sz w:val="24"/>
          <w:szCs w:val="24"/>
          <w:rtl/>
        </w:rPr>
        <w:t xml:space="preserve">דְּבַאֲתַר דְּאַנְתְּ תִּשְׁתַּכַּח, עַמּוּדָא דְּאֶמְצָעִיתָא אִשְׁתַּכַּח תַּמָּן, </w:t>
      </w:r>
      <w:r w:rsidRPr="00007309">
        <w:rPr>
          <w:rFonts w:cs="Arial"/>
          <w:b/>
          <w:bCs/>
          <w:sz w:val="36"/>
          <w:szCs w:val="28"/>
          <w:vertAlign w:val="superscript"/>
          <w:rtl/>
        </w:rPr>
        <w:footnoteReference w:id="6102"/>
      </w:r>
      <w:r w:rsidRPr="00007309">
        <w:rPr>
          <w:rFonts w:cs="Arial"/>
          <w:b/>
          <w:bCs/>
          <w:sz w:val="24"/>
          <w:szCs w:val="24"/>
          <w:rtl/>
        </w:rPr>
        <w:t xml:space="preserve">דְּאִיהוּ כָּלִיל עִלָּאִין וְתַתָּאִין. אַנְתְּ הוּא חִיזוּ דְּכָל מַרְאוֹת דִּנְבוּאָה, </w:t>
      </w:r>
      <w:r w:rsidRPr="00007309">
        <w:rPr>
          <w:rFonts w:cs="Arial"/>
          <w:b/>
          <w:bCs/>
          <w:sz w:val="36"/>
          <w:szCs w:val="28"/>
          <w:vertAlign w:val="superscript"/>
          <w:rtl/>
        </w:rPr>
        <w:footnoteReference w:id="6103"/>
      </w:r>
      <w:r w:rsidRPr="00007309">
        <w:rPr>
          <w:rFonts w:cs="Arial"/>
          <w:b/>
          <w:bCs/>
          <w:sz w:val="24"/>
          <w:szCs w:val="24"/>
          <w:rtl/>
        </w:rPr>
        <w:t xml:space="preserve">דְּאִתְּמַר בְּהוֹן (יחזקאל א) וָאֶרְאֶה מַרְאוֹת אֱלֹהִים. חִיזוּ תְּשִׁיעָאָה (שם) מַרְאֵה דְּמוּת כְּבוֹד ה'. וְדָא חָכְמָה </w:t>
      </w:r>
      <w:r w:rsidRPr="00007309">
        <w:rPr>
          <w:rFonts w:cs="Arial"/>
          <w:b/>
          <w:bCs/>
          <w:sz w:val="36"/>
          <w:szCs w:val="28"/>
          <w:vertAlign w:val="superscript"/>
          <w:rtl/>
        </w:rPr>
        <w:footnoteReference w:id="6104"/>
      </w:r>
      <w:r w:rsidRPr="00007309">
        <w:rPr>
          <w:rFonts w:cs="Arial"/>
          <w:b/>
          <w:bCs/>
          <w:sz w:val="24"/>
          <w:szCs w:val="24"/>
          <w:rtl/>
        </w:rPr>
        <w:t xml:space="preserve">דְּאִית בָּהּ כ'ח מ'ה, </w:t>
      </w:r>
      <w:r w:rsidRPr="00007309">
        <w:rPr>
          <w:rFonts w:cs="Arial"/>
          <w:b/>
          <w:bCs/>
          <w:sz w:val="36"/>
          <w:szCs w:val="28"/>
          <w:vertAlign w:val="superscript"/>
          <w:rtl/>
        </w:rPr>
        <w:footnoteReference w:id="6105"/>
      </w:r>
      <w:r w:rsidRPr="00007309">
        <w:rPr>
          <w:rFonts w:cs="Arial"/>
          <w:b/>
          <w:bCs/>
          <w:sz w:val="24"/>
          <w:szCs w:val="24"/>
          <w:rtl/>
        </w:rPr>
        <w:t xml:space="preserve">וְכַמָּה חֶשְׁבּוֹנוֹת וְגִימַטְרִיאוֹת אִית תַּמָּן, דְּאִתְּמַר בְּהוֹן תְּקוּפוֹת </w:t>
      </w:r>
      <w:r w:rsidRPr="00007309">
        <w:rPr>
          <w:rFonts w:cs="Arial"/>
          <w:b/>
          <w:bCs/>
          <w:sz w:val="36"/>
          <w:szCs w:val="28"/>
          <w:vertAlign w:val="superscript"/>
          <w:rtl/>
        </w:rPr>
        <w:footnoteReference w:id="6106"/>
      </w:r>
      <w:r w:rsidRPr="00007309">
        <w:rPr>
          <w:rFonts w:cs="Arial"/>
          <w:b/>
          <w:bCs/>
          <w:sz w:val="24"/>
          <w:szCs w:val="24"/>
          <w:rtl/>
        </w:rPr>
        <w:t xml:space="preserve">וְגִימַטְרִיאוֹת פַּרְפְּרָאוֹת לַחָכְמָה. וְאִנּוּן מָ"ה יוּ"ד הֵ"א וָא"ו הֵ"א </w:t>
      </w:r>
      <w:r w:rsidRPr="00007309">
        <w:rPr>
          <w:rFonts w:cs="Arial"/>
          <w:b/>
          <w:bCs/>
          <w:sz w:val="36"/>
          <w:szCs w:val="28"/>
          <w:vertAlign w:val="superscript"/>
          <w:rtl/>
        </w:rPr>
        <w:footnoteReference w:id="6107"/>
      </w:r>
      <w:r w:rsidRPr="00007309">
        <w:rPr>
          <w:rFonts w:cs="Arial"/>
          <w:b/>
          <w:bCs/>
          <w:sz w:val="24"/>
          <w:szCs w:val="24"/>
          <w:rtl/>
        </w:rPr>
        <w:t xml:space="preserve">אִיהוּ (נ"א אנון) עֶשֶׂר סְפִירוֹת. </w:t>
      </w:r>
      <w:r w:rsidRPr="00007309">
        <w:rPr>
          <w:rFonts w:cs="Arial"/>
          <w:b/>
          <w:bCs/>
          <w:sz w:val="36"/>
          <w:szCs w:val="28"/>
          <w:vertAlign w:val="superscript"/>
          <w:rtl/>
        </w:rPr>
        <w:footnoteReference w:id="6108"/>
      </w:r>
      <w:r w:rsidRPr="00007309">
        <w:rPr>
          <w:rFonts w:cs="Arial"/>
          <w:b/>
          <w:bCs/>
          <w:sz w:val="24"/>
          <w:szCs w:val="24"/>
          <w:rtl/>
        </w:rPr>
        <w:t xml:space="preserve">דְּאָמַר בָּעֹל ס"י עֶשֶׂר וְלֹא ט' וְלֹא י"א, כְּגַוְנָא דְּעֶשֶׂר אַתְוָן דִּשְׁמָא מְפָרַשׁ, דְּלָא לְאוֹסָפָא עָלַיְהוּ יוֹתֵר מֵעֶשֶׂר, וְלֹא לְמִגְרַע מִנַּיְהוּ וְחֻשְׁבָּן דְּעֶשֶׂר אַתְוָן אִלֵּין אִנּוּן מָ"ה. כֹּחַ דִּילֵהּ אִנּוּן כ"ח אַתְוָן </w:t>
      </w:r>
      <w:r w:rsidRPr="00007309">
        <w:rPr>
          <w:rFonts w:cs="Arial"/>
          <w:b/>
          <w:bCs/>
          <w:sz w:val="36"/>
          <w:szCs w:val="28"/>
          <w:vertAlign w:val="superscript"/>
          <w:rtl/>
        </w:rPr>
        <w:footnoteReference w:id="6109"/>
      </w:r>
      <w:r w:rsidRPr="00007309">
        <w:rPr>
          <w:rFonts w:cs="Arial"/>
          <w:b/>
          <w:bCs/>
          <w:sz w:val="24"/>
          <w:szCs w:val="24"/>
          <w:rtl/>
        </w:rPr>
        <w:t>דְּאִנּוּן תּוּלְדִין דְּעֶשֶׂר אִלֵּין. וְאִנּוּן יוּ"ד הֵ"א וָא"ו דָּלֶ"ת, הֵ"א אֶלֶ</w:t>
      </w:r>
      <w:r w:rsidRPr="00007309">
        <w:rPr>
          <w:rFonts w:cs="Arial"/>
          <w:b/>
          <w:bCs/>
          <w:sz w:val="24"/>
          <w:szCs w:val="24"/>
        </w:rPr>
        <w:t>"</w:t>
      </w:r>
      <w:r w:rsidRPr="00007309">
        <w:rPr>
          <w:rFonts w:cs="Arial"/>
          <w:b/>
          <w:bCs/>
          <w:sz w:val="24"/>
          <w:szCs w:val="24"/>
          <w:rtl/>
        </w:rPr>
        <w:t xml:space="preserve">ף, וָא"ו אֶלֶ"ף וָא"ו, הֵ"א אָלֶ"ף. </w:t>
      </w:r>
      <w:r w:rsidRPr="00007309">
        <w:rPr>
          <w:rFonts w:cs="Arial"/>
          <w:b/>
          <w:bCs/>
          <w:sz w:val="36"/>
          <w:szCs w:val="28"/>
          <w:vertAlign w:val="superscript"/>
          <w:rtl/>
        </w:rPr>
        <w:footnoteReference w:id="6110"/>
      </w:r>
      <w:r w:rsidRPr="00007309">
        <w:rPr>
          <w:rFonts w:cs="Arial"/>
          <w:b/>
          <w:bCs/>
          <w:sz w:val="24"/>
          <w:szCs w:val="24"/>
          <w:rtl/>
        </w:rPr>
        <w:t xml:space="preserve">עֶשֶׂר אַתְוָן לָקֳבֵל עֶשֶׂר אֶצְבְּעָן. כ"ח אַתְוָן לָקֳבֵל כ"ח פִּרְקִין דְּעֶשֶׂר אֶצְבְּעָן. וּבְגִינַיְהוּ אִתְּמַר (במדבר יד) </w:t>
      </w:r>
      <w:r w:rsidRPr="00007309">
        <w:rPr>
          <w:rFonts w:cs="Arial"/>
          <w:b/>
          <w:bCs/>
          <w:sz w:val="36"/>
          <w:szCs w:val="28"/>
          <w:vertAlign w:val="superscript"/>
          <w:rtl/>
        </w:rPr>
        <w:footnoteReference w:id="6111"/>
      </w:r>
      <w:r w:rsidRPr="00007309">
        <w:rPr>
          <w:rFonts w:cs="Arial"/>
          <w:b/>
          <w:bCs/>
          <w:sz w:val="24"/>
          <w:szCs w:val="24"/>
          <w:rtl/>
        </w:rPr>
        <w:t xml:space="preserve">וְעַתָּה יִגְדַּל נָא כֹּ"ח אֲדֹנָי. </w:t>
      </w:r>
      <w:r w:rsidRPr="00007309">
        <w:rPr>
          <w:rFonts w:cs="Arial"/>
          <w:b/>
          <w:bCs/>
          <w:sz w:val="36"/>
          <w:szCs w:val="28"/>
          <w:vertAlign w:val="superscript"/>
          <w:rtl/>
        </w:rPr>
        <w:footnoteReference w:id="6112"/>
      </w:r>
      <w:r w:rsidRPr="00007309">
        <w:rPr>
          <w:rFonts w:cs="Arial"/>
          <w:b/>
          <w:bCs/>
          <w:sz w:val="24"/>
          <w:szCs w:val="24"/>
          <w:rtl/>
        </w:rPr>
        <w:t xml:space="preserve">וּבְגִין הַאי כֹּחַ אִתְּמַר דְּמָאן דְּלָא יְדַע בְּגִימַטְרִיאוֹת וְחֶשְׁבּוֹנוֹת דִּילֵהּ, </w:t>
      </w:r>
      <w:r w:rsidRPr="00007309">
        <w:rPr>
          <w:rFonts w:cs="Arial"/>
          <w:b/>
          <w:bCs/>
          <w:sz w:val="36"/>
          <w:szCs w:val="28"/>
          <w:vertAlign w:val="superscript"/>
          <w:rtl/>
        </w:rPr>
        <w:footnoteReference w:id="6113"/>
      </w:r>
      <w:r w:rsidRPr="00007309">
        <w:rPr>
          <w:rFonts w:cs="Arial"/>
          <w:b/>
          <w:bCs/>
          <w:sz w:val="24"/>
          <w:szCs w:val="24"/>
          <w:rtl/>
        </w:rPr>
        <w:t>עָתִיד לְנַחְתָּא לִשְׁאוֹל, כְּמָה דְּאוֹקְמוּהּ בַּמִּדְרָשׁ (קהלת ט) כִּי אֵין מַעֲשֶׂה וְחֶשְׁבּוֹן</w:t>
      </w:r>
      <w:r w:rsidRPr="00007309">
        <w:rPr>
          <w:rFonts w:cs="Arial"/>
          <w:b/>
          <w:bCs/>
          <w:sz w:val="24"/>
          <w:szCs w:val="24"/>
        </w:rPr>
        <w:t xml:space="preserve"> </w:t>
      </w:r>
      <w:r w:rsidRPr="00007309">
        <w:rPr>
          <w:rFonts w:cs="Arial"/>
          <w:b/>
          <w:bCs/>
          <w:sz w:val="24"/>
          <w:szCs w:val="24"/>
          <w:rtl/>
        </w:rPr>
        <w:t xml:space="preserve">וְדַעַת וְחָכְמָה בַּשְּׁאוֹל אֲשֶׁר אַתָּה הוֹלֵךְ שָׁמָּה, </w:t>
      </w:r>
      <w:r w:rsidRPr="00007309">
        <w:rPr>
          <w:rFonts w:cs="Arial"/>
          <w:b/>
          <w:bCs/>
          <w:sz w:val="36"/>
          <w:szCs w:val="28"/>
          <w:vertAlign w:val="superscript"/>
          <w:rtl/>
        </w:rPr>
        <w:footnoteReference w:id="6114"/>
      </w:r>
      <w:r w:rsidRPr="00007309">
        <w:rPr>
          <w:rFonts w:cs="Arial"/>
          <w:b/>
          <w:bCs/>
          <w:sz w:val="24"/>
          <w:szCs w:val="24"/>
          <w:rtl/>
        </w:rPr>
        <w:t xml:space="preserve">מָ"ה אִיהוּ </w:t>
      </w:r>
      <w:r w:rsidRPr="00007309">
        <w:rPr>
          <w:rFonts w:cs="Arial"/>
          <w:b/>
          <w:bCs/>
          <w:sz w:val="36"/>
          <w:szCs w:val="28"/>
          <w:vertAlign w:val="superscript"/>
          <w:rtl/>
        </w:rPr>
        <w:footnoteReference w:id="6115"/>
      </w:r>
      <w:r w:rsidRPr="00007309">
        <w:rPr>
          <w:rFonts w:cs="Arial"/>
          <w:b/>
          <w:bCs/>
          <w:sz w:val="24"/>
          <w:szCs w:val="24"/>
          <w:rtl/>
        </w:rPr>
        <w:t xml:space="preserve">כָּב'וֹד אֶחָד. כְּגַוְנָא דָּא וָא'ו חֻשְׁבָּנֵהּ אֶחָ"ד כָּבוֹ"ד. אִיהוּ יוּ"ד הֵ"א הֵ"א. וְכָבוֹד אִיהוּ חֻשְׁבַּן לֵ"ב, </w:t>
      </w:r>
      <w:r w:rsidRPr="00007309">
        <w:rPr>
          <w:rFonts w:cs="Arial"/>
          <w:b/>
          <w:bCs/>
          <w:sz w:val="36"/>
          <w:szCs w:val="28"/>
          <w:vertAlign w:val="superscript"/>
          <w:rtl/>
        </w:rPr>
        <w:footnoteReference w:id="6116"/>
      </w:r>
      <w:r w:rsidRPr="00007309">
        <w:rPr>
          <w:rFonts w:cs="Arial"/>
          <w:b/>
          <w:bCs/>
          <w:sz w:val="24"/>
          <w:szCs w:val="24"/>
          <w:rtl/>
        </w:rPr>
        <w:t xml:space="preserve">וְאִיהוּ (נ"א והאי איהו) לֵ"ב אֶחָ"ד. וּבְגִינֵהּ אִתְּמַר (יחזקאל א) הוּא מַרְאֵה דְּמוּת כְּבוֹד ה'. </w:t>
      </w:r>
      <w:r w:rsidRPr="00007309">
        <w:rPr>
          <w:rFonts w:cs="Arial"/>
          <w:b/>
          <w:bCs/>
          <w:sz w:val="36"/>
          <w:szCs w:val="28"/>
          <w:vertAlign w:val="superscript"/>
          <w:rtl/>
        </w:rPr>
        <w:footnoteReference w:id="6117"/>
      </w:r>
      <w:r w:rsidRPr="00007309">
        <w:rPr>
          <w:rFonts w:cs="Arial"/>
          <w:b/>
          <w:bCs/>
          <w:sz w:val="24"/>
          <w:szCs w:val="24"/>
          <w:rtl/>
        </w:rPr>
        <w:t xml:space="preserve">וְעוֹד מַה בְּאַתְוָן מֵ'ם הֵ'א דְּסָלִיק </w:t>
      </w:r>
      <w:r w:rsidRPr="00007309">
        <w:rPr>
          <w:rFonts w:cs="Arial"/>
          <w:b/>
          <w:bCs/>
          <w:sz w:val="36"/>
          <w:szCs w:val="28"/>
          <w:vertAlign w:val="superscript"/>
          <w:rtl/>
        </w:rPr>
        <w:footnoteReference w:id="6118"/>
      </w:r>
      <w:r w:rsidRPr="00007309">
        <w:rPr>
          <w:rFonts w:cs="Arial"/>
          <w:b/>
          <w:bCs/>
          <w:sz w:val="24"/>
          <w:szCs w:val="24"/>
          <w:rtl/>
        </w:rPr>
        <w:t xml:space="preserve">בְּגִימַטְרִיָּא אֶהְיֶ'ה אֲדֹנָ'י וְחֻשְׁבָּנֵהּ אֱלֹהִי"ם. וְדָא כִּנּוּי דִּשְׁמָא מְפָרַשׁ דְּהָכֵי סָלִיק אֱלֹהִי"ם בְּגִימַטְרִיָּא כּנּוּ'י. וְהַאי אִיהוּ הַשֵּׁם בְּכִנּוּי. הַכִּ'סֵּא הָכֵי סָלִיק אִיהוּ בְּחֻשְׁבָּנֵהּ כ"ו כ"פ וא"ו, אִיהוּ יְהוָֹ"ה אֱלֹהִי"ם בְּגִימַטְרִיָּא א' תּוֹסֶפֶת אַחֲזֵי </w:t>
      </w:r>
      <w:r w:rsidRPr="00007309">
        <w:rPr>
          <w:rFonts w:cs="Arial"/>
          <w:b/>
          <w:bCs/>
          <w:sz w:val="36"/>
          <w:szCs w:val="28"/>
          <w:vertAlign w:val="superscript"/>
          <w:rtl/>
        </w:rPr>
        <w:footnoteReference w:id="6119"/>
      </w:r>
      <w:r w:rsidRPr="00007309">
        <w:rPr>
          <w:rFonts w:cs="Arial"/>
          <w:b/>
          <w:bCs/>
          <w:sz w:val="24"/>
          <w:szCs w:val="24"/>
          <w:rtl/>
        </w:rPr>
        <w:t xml:space="preserve">דִּשְׁמֵהּ וְכִנּוּיֵהּ אֶחָד. וְלָאו אִיהוּ כְּגַוְנָא דְּבַר נָשׁ דְּאִיהוּ אֶחָד וְכִנּוּיֵהּ אֶחָד, אֶלָּא קוּדְשָׁא בְּרִיךְ הוּא הוּא וּשְׁמֵהּ וְכִנּוּיֵהּ כֹּלָּא חַד. </w:t>
      </w:r>
      <w:r w:rsidRPr="00007309">
        <w:rPr>
          <w:rFonts w:cs="Arial"/>
          <w:b/>
          <w:bCs/>
          <w:sz w:val="36"/>
          <w:szCs w:val="28"/>
          <w:vertAlign w:val="superscript"/>
          <w:rtl/>
        </w:rPr>
        <w:footnoteReference w:id="6120"/>
      </w:r>
      <w:r w:rsidRPr="00007309">
        <w:rPr>
          <w:rFonts w:cs="Arial"/>
          <w:b/>
          <w:bCs/>
          <w:sz w:val="24"/>
          <w:szCs w:val="24"/>
          <w:rtl/>
        </w:rPr>
        <w:t>אִלֵּין תֵּשַׁע מַרְאוֹת חָזָא יְחֶזְקֵאל מִגּוֹ תֵּשַׁע צוּרוֹת אָחֳרָנִין. חִיזוּ עֲשִׂירָאָה דְּאִיהוּ כֶּתֶר מֻפְלָא וּמְכֻסֶּה, לָא גַּלֵּי בֵּהּ שׁוּם מַרְאֶה בְּעָלְמָא. הָדָא הוּא דִּכְתִיב (שם) וָאֶרְאֶה וָאֶפֹּל עַל פָּנַי וְלֹא אָמַר מַאי חָזָא. בְּגִין דְּאִתְּמַר עָלֵהּ בַּמֻּפְלָא מִמְּךָ</w:t>
      </w:r>
      <w:r w:rsidRPr="00007309">
        <w:rPr>
          <w:rFonts w:cs="Arial"/>
          <w:b/>
          <w:bCs/>
          <w:sz w:val="24"/>
          <w:szCs w:val="24"/>
        </w:rPr>
        <w:t xml:space="preserve"> </w:t>
      </w:r>
      <w:r w:rsidRPr="00007309">
        <w:rPr>
          <w:rFonts w:cs="Arial"/>
          <w:b/>
          <w:bCs/>
          <w:sz w:val="24"/>
          <w:szCs w:val="24"/>
          <w:rtl/>
        </w:rPr>
        <w:t xml:space="preserve">אַל תִּדְרֹשׁ וּבַמְכֻסֶּה מִמְּךָ אַל תַּחֲקֹר, אֵין לְךָ עֵסֶק בַּנִּסְתָּרִים. מָאן מִסְּתָרִים דִּילֵהּ. אִנּוּן שִׁית מֵאָה וְעֶשְׂרִים סִתְרֵי תּוֹרָה גְּנִיזִין (נ"א רזין) דְּתַלְיָן מִנֵּהּ, כְּחֻשְׁבַּן כֶּתֶ"ר וְכָל חַד אוֹלִיף רָזָא לְעֵלָּא מִנֵּהּ, </w:t>
      </w:r>
      <w:r w:rsidRPr="00007309">
        <w:rPr>
          <w:rFonts w:cs="Arial"/>
          <w:b/>
          <w:bCs/>
          <w:sz w:val="36"/>
          <w:szCs w:val="28"/>
          <w:vertAlign w:val="superscript"/>
          <w:rtl/>
        </w:rPr>
        <w:footnoteReference w:id="6121"/>
      </w:r>
      <w:r w:rsidRPr="00007309">
        <w:rPr>
          <w:rFonts w:cs="Arial"/>
          <w:b/>
          <w:bCs/>
          <w:sz w:val="24"/>
          <w:szCs w:val="24"/>
          <w:rtl/>
        </w:rPr>
        <w:t xml:space="preserve">וְאִנּוּן עָלְמִין גְּנִיזִין לְהַהוּא מֻפְלָא דְּאִיהוּ עִלַּת כָּל עִלָּאִין. </w:t>
      </w:r>
    </w:p>
    <w:p w:rsidR="00007309" w:rsidRPr="00007309" w:rsidRDefault="00007309" w:rsidP="00007309">
      <w:pPr>
        <w:keepNext/>
        <w:spacing w:before="240" w:after="60"/>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[וילנא ו ע"א]</w:t>
      </w:r>
    </w:p>
    <w:p w:rsidR="00007309" w:rsidRPr="00007309" w:rsidRDefault="00007309" w:rsidP="00007309">
      <w:pPr>
        <w:jc w:val="both"/>
        <w:rPr>
          <w:rFonts w:cs="Arial"/>
          <w:b/>
          <w:bCs/>
          <w:sz w:val="24"/>
          <w:szCs w:val="24"/>
          <w:rtl/>
        </w:rPr>
      </w:pPr>
      <w:r w:rsidRPr="00007309">
        <w:rPr>
          <w:rFonts w:cs="Arial"/>
          <w:b/>
          <w:bCs/>
          <w:sz w:val="24"/>
          <w:szCs w:val="24"/>
          <w:rtl/>
        </w:rPr>
        <w:t xml:space="preserve">קוּם רָעֲיָא מְהֵימָנָא גַּלֵּי שִׁבְחוֹי, דְּהָא רְשׁוּ אִתְיְהִיב לְךָ </w:t>
      </w:r>
      <w:r w:rsidRPr="00007309">
        <w:rPr>
          <w:rFonts w:cs="Arial"/>
          <w:b/>
          <w:bCs/>
          <w:sz w:val="36"/>
          <w:szCs w:val="28"/>
          <w:vertAlign w:val="superscript"/>
          <w:rtl/>
        </w:rPr>
        <w:footnoteReference w:id="6122"/>
      </w:r>
      <w:r w:rsidRPr="00007309">
        <w:rPr>
          <w:rFonts w:cs="Arial"/>
          <w:b/>
          <w:bCs/>
          <w:sz w:val="24"/>
          <w:szCs w:val="24"/>
          <w:rtl/>
        </w:rPr>
        <w:t xml:space="preserve">מִן עִלַּת כָּל הָעִלּוֹת. וְעָנָן וַעֲרָפֶל אַבָּא וְאִמָּא. </w:t>
      </w:r>
      <w:r w:rsidRPr="00007309">
        <w:rPr>
          <w:rFonts w:cs="Arial"/>
          <w:b/>
          <w:bCs/>
          <w:sz w:val="36"/>
          <w:szCs w:val="28"/>
          <w:vertAlign w:val="superscript"/>
          <w:rtl/>
        </w:rPr>
        <w:footnoteReference w:id="6123"/>
      </w:r>
      <w:r w:rsidRPr="00007309">
        <w:rPr>
          <w:rFonts w:cs="Arial"/>
          <w:b/>
          <w:bCs/>
          <w:sz w:val="24"/>
          <w:szCs w:val="24"/>
          <w:rtl/>
        </w:rPr>
        <w:t xml:space="preserve">וְז' עַנְנֵי כָּבוֹד שֶׁבַע סְפִירָן. שַׁקְיוּ דְּאִלֵּין עֲמָמִין אִנּוּן יוּ"ד הֵ"י וָי"ו הֵ"י </w:t>
      </w:r>
      <w:r w:rsidRPr="00007309">
        <w:rPr>
          <w:rFonts w:cs="Arial"/>
          <w:b/>
          <w:bCs/>
          <w:sz w:val="36"/>
          <w:szCs w:val="28"/>
          <w:vertAlign w:val="superscript"/>
          <w:rtl/>
        </w:rPr>
        <w:footnoteReference w:id="6124"/>
      </w:r>
      <w:r w:rsidRPr="00007309">
        <w:rPr>
          <w:rFonts w:cs="Arial"/>
          <w:b/>
          <w:bCs/>
          <w:sz w:val="24"/>
          <w:szCs w:val="24"/>
          <w:rtl/>
        </w:rPr>
        <w:t xml:space="preserve">דְּסָלִיק לְחֻשְׁבַּן ע"ב. וְעָלֵהּ אִתְּמַר (ישעיה יט) הִנֵּה ה' רוֹכֵב עַל עָב קַל וּבָא מִצְרַיִם. </w:t>
      </w:r>
      <w:r w:rsidRPr="00007309">
        <w:rPr>
          <w:rFonts w:cs="Arial"/>
          <w:b/>
          <w:bCs/>
          <w:sz w:val="36"/>
          <w:szCs w:val="28"/>
          <w:vertAlign w:val="superscript"/>
          <w:rtl/>
        </w:rPr>
        <w:footnoteReference w:id="6125"/>
      </w:r>
      <w:r w:rsidRPr="00007309">
        <w:rPr>
          <w:rFonts w:cs="Arial"/>
          <w:b/>
          <w:bCs/>
          <w:sz w:val="24"/>
          <w:szCs w:val="24"/>
          <w:rtl/>
        </w:rPr>
        <w:t xml:space="preserve">וְעֶשֶׂר סְפִירָן אִתְכְּלִילָן בֵּהּ מִסִּטְרָא דְּחֶסֶד, </w:t>
      </w:r>
      <w:r w:rsidRPr="00007309">
        <w:rPr>
          <w:rFonts w:cs="Arial"/>
          <w:b/>
          <w:bCs/>
          <w:sz w:val="36"/>
          <w:szCs w:val="28"/>
          <w:vertAlign w:val="superscript"/>
          <w:rtl/>
        </w:rPr>
        <w:footnoteReference w:id="6126"/>
      </w:r>
      <w:r w:rsidRPr="00007309">
        <w:rPr>
          <w:rFonts w:cs="Arial"/>
          <w:b/>
          <w:bCs/>
          <w:sz w:val="24"/>
          <w:szCs w:val="24"/>
          <w:rtl/>
        </w:rPr>
        <w:t xml:space="preserve">וּמִנֵּהּ שֵׁם בֵּן ע"ב כְּתִיב בִּדְרוֹעָא דְּקוּדְשָׁא בְּרִיךְ הוּא כְּמָא דְּאוֹקְמוּהּ בְּסֵפֶר רָזִיאֵל, בְּשִׁעוּר קוֹמָה דְּאִיהוּ הֲוָה סִפְרָא דְּאָדָם קַדְמָאָה. </w:t>
      </w:r>
      <w:r w:rsidRPr="00007309">
        <w:rPr>
          <w:rFonts w:cs="Arial"/>
          <w:b/>
          <w:bCs/>
          <w:sz w:val="36"/>
          <w:szCs w:val="28"/>
          <w:vertAlign w:val="superscript"/>
          <w:rtl/>
        </w:rPr>
        <w:footnoteReference w:id="6127"/>
      </w:r>
      <w:r w:rsidRPr="00007309">
        <w:rPr>
          <w:rFonts w:cs="Arial"/>
          <w:b/>
          <w:bCs/>
          <w:sz w:val="24"/>
          <w:szCs w:val="24"/>
          <w:rtl/>
        </w:rPr>
        <w:t xml:space="preserve">וְכַד סְלִיקַת שְׁכִינְתָּא בְּאִלֵּין עֲנָנִין, סְלִיקַת בַּחֲשַׁאי </w:t>
      </w:r>
      <w:r w:rsidRPr="00007309">
        <w:rPr>
          <w:rFonts w:cs="Arial"/>
          <w:b/>
          <w:bCs/>
          <w:sz w:val="36"/>
          <w:szCs w:val="28"/>
          <w:vertAlign w:val="superscript"/>
          <w:rtl/>
        </w:rPr>
        <w:footnoteReference w:id="6128"/>
      </w:r>
      <w:r w:rsidRPr="00007309">
        <w:rPr>
          <w:rFonts w:cs="Arial"/>
          <w:b/>
          <w:bCs/>
          <w:sz w:val="24"/>
          <w:szCs w:val="24"/>
          <w:rtl/>
        </w:rPr>
        <w:t xml:space="preserve">בִּצְלוֹתָא בַּחֲשַׁאי. וְכַמָּה חֵיוָן </w:t>
      </w:r>
      <w:r w:rsidRPr="00007309">
        <w:rPr>
          <w:rFonts w:cs="Arial"/>
          <w:b/>
          <w:bCs/>
          <w:sz w:val="36"/>
          <w:szCs w:val="28"/>
          <w:vertAlign w:val="superscript"/>
          <w:rtl/>
        </w:rPr>
        <w:footnoteReference w:id="6129"/>
      </w:r>
      <w:r w:rsidRPr="00007309">
        <w:rPr>
          <w:rFonts w:cs="Arial"/>
          <w:b/>
          <w:bCs/>
          <w:sz w:val="24"/>
          <w:szCs w:val="24"/>
          <w:rtl/>
        </w:rPr>
        <w:t xml:space="preserve">דְּאָזְלִין בָּאֲוִירָא דְּאִנּוּן שְׂרָפִים </w:t>
      </w:r>
      <w:r w:rsidRPr="00007309">
        <w:rPr>
          <w:rFonts w:ascii="Cambria" w:hAnsi="Cambria" w:cs="Times New Roman" w:hint="cs"/>
          <w:b/>
          <w:bCs/>
          <w:i/>
          <w:iCs/>
          <w:color w:val="4F81BD"/>
          <w:sz w:val="22"/>
          <w:szCs w:val="22"/>
          <w:rtl/>
        </w:rPr>
        <w:t xml:space="preserve">(וילנא ו ע"א) </w:t>
      </w:r>
      <w:r w:rsidRPr="00007309">
        <w:rPr>
          <w:rFonts w:cs="Arial"/>
          <w:b/>
          <w:bCs/>
          <w:sz w:val="24"/>
          <w:szCs w:val="24"/>
          <w:rtl/>
        </w:rPr>
        <w:t xml:space="preserve">חַשְׁמַלִּים, עֶשֶׂר כִּתּוֹת אִנּוּן כֻּלְּהוּ פַּתְחִין גַּדְפַיְהוּ לְגַבָּהּ. הָדָא הוּא דִּכְתִיב (יחזקאל א) וּפְנֵיהֶם וְכַנְפֵיהֶם פְּרוּדוֹת מִלְּמַעְלָה. לְקַבְּלָא שְׁכִינְתָּא עָלַיְהוּ וְכַד סְלִיקַת, </w:t>
      </w:r>
      <w:r w:rsidRPr="00007309">
        <w:rPr>
          <w:rFonts w:cs="Arial"/>
          <w:b/>
          <w:bCs/>
          <w:sz w:val="36"/>
          <w:szCs w:val="28"/>
          <w:vertAlign w:val="superscript"/>
          <w:rtl/>
        </w:rPr>
        <w:footnoteReference w:id="6130"/>
      </w:r>
      <w:r w:rsidRPr="00007309">
        <w:rPr>
          <w:rFonts w:cs="Arial"/>
          <w:b/>
          <w:bCs/>
          <w:sz w:val="24"/>
          <w:szCs w:val="24"/>
          <w:rtl/>
        </w:rPr>
        <w:t xml:space="preserve">סְלִיקַת בְּכֻלְּהוֹן </w:t>
      </w:r>
      <w:r w:rsidRPr="00007309">
        <w:rPr>
          <w:rFonts w:cs="Arial"/>
          <w:b/>
          <w:bCs/>
          <w:sz w:val="36"/>
          <w:szCs w:val="28"/>
          <w:vertAlign w:val="superscript"/>
          <w:rtl/>
        </w:rPr>
        <w:footnoteReference w:id="6131"/>
      </w:r>
      <w:r w:rsidRPr="00007309">
        <w:rPr>
          <w:rFonts w:cs="Arial"/>
          <w:b/>
          <w:bCs/>
          <w:sz w:val="24"/>
          <w:szCs w:val="24"/>
          <w:rtl/>
        </w:rPr>
        <w:t xml:space="preserve">בְּאִלֵּין הֲבָלִים דְּפוּמָא, דְּאִנּוּן שֶׁבַע הֲבָלִים דְּאָמַר קֹהֶלֶת </w:t>
      </w:r>
      <w:r w:rsidRPr="00007309">
        <w:rPr>
          <w:rFonts w:cs="Arial"/>
          <w:b/>
          <w:bCs/>
          <w:sz w:val="36"/>
          <w:szCs w:val="28"/>
          <w:vertAlign w:val="superscript"/>
          <w:rtl/>
        </w:rPr>
        <w:footnoteReference w:id="6132"/>
      </w:r>
      <w:r w:rsidRPr="00007309">
        <w:rPr>
          <w:rFonts w:cs="Arial"/>
          <w:b/>
          <w:bCs/>
          <w:sz w:val="24"/>
          <w:szCs w:val="24"/>
          <w:rtl/>
        </w:rPr>
        <w:t>וּתְלָת גְּנִיזִין. וְכַד סְלִיקַת עָלַיְהוּ מִיָּד נָחַת קוּדְשָׁא בְּרִיךְ הוּא לְקַבְּלָא לָהּ בְּכַמָּה חֵילִין וּמַשִּׁרְיָן. מַשִּׁרְיָן דְּשַׁכְנַת סַלְקִין</w:t>
      </w:r>
      <w:r w:rsidRPr="00007309">
        <w:rPr>
          <w:rFonts w:cs="Arial"/>
          <w:b/>
          <w:bCs/>
          <w:sz w:val="24"/>
          <w:szCs w:val="24"/>
        </w:rPr>
        <w:t xml:space="preserve"> </w:t>
      </w:r>
      <w:r w:rsidRPr="00007309">
        <w:rPr>
          <w:rFonts w:cs="Arial"/>
          <w:b/>
          <w:bCs/>
          <w:sz w:val="24"/>
          <w:szCs w:val="24"/>
          <w:rtl/>
        </w:rPr>
        <w:t xml:space="preserve">עִם שְׁכִינְתָּא, וּמַשִּׁרְיָן דְּמַלְכָּא נַחְתִּין עָלַיְהוּ, </w:t>
      </w:r>
      <w:r w:rsidRPr="00007309">
        <w:rPr>
          <w:rFonts w:cs="Arial"/>
          <w:b/>
          <w:bCs/>
          <w:sz w:val="36"/>
          <w:szCs w:val="28"/>
          <w:vertAlign w:val="superscript"/>
          <w:rtl/>
        </w:rPr>
        <w:footnoteReference w:id="6133"/>
      </w:r>
      <w:r w:rsidRPr="00007309">
        <w:rPr>
          <w:rFonts w:cs="Arial"/>
          <w:b/>
          <w:bCs/>
          <w:sz w:val="24"/>
          <w:szCs w:val="24"/>
          <w:rtl/>
        </w:rPr>
        <w:t xml:space="preserve">וְאִנּוּן מֶרְכֶּבֶת תַּתָּאִין מֵעִלָּאִין, וּמְקַבְּלִין אִלֵּין מֵאִלֵּין בְּחֶדְוָא בִּנְשִׁיקוּ. וְרָזָא דְּמִלָּה (בראשית כח) </w:t>
      </w:r>
      <w:r w:rsidRPr="00007309">
        <w:rPr>
          <w:rFonts w:cs="Arial"/>
          <w:b/>
          <w:bCs/>
          <w:sz w:val="36"/>
          <w:szCs w:val="28"/>
          <w:vertAlign w:val="superscript"/>
          <w:rtl/>
        </w:rPr>
        <w:footnoteReference w:id="6134"/>
      </w:r>
      <w:r w:rsidRPr="00007309">
        <w:rPr>
          <w:rFonts w:cs="Arial"/>
          <w:b/>
          <w:bCs/>
          <w:sz w:val="24"/>
          <w:szCs w:val="24"/>
          <w:rtl/>
        </w:rPr>
        <w:t xml:space="preserve">וְהִנֵּה מַלְאֲכֵי אֱלֹהִים עֹלִים וְיֹרְדִים בּוֹ. וְהִנֵּה מַלְאָכִים דִּשְׁכִינְתָּא דְּאִיהִי אִתְעֲבִידַת אֱלֹהִים, עוֹלִים וּמַלְאָכִים יוֹרְדִים בּוֹ לְגַבָּהּ. זַכָּאָה צְלוֹתָא דְּבַר נָשׁ דְּאִיהִי אִית עֲבִידַת סֻלָּם לִתְרֵין מַשִּׁרְיָן דְּמַלְכָּא וּמַטְרוֹנִיתָא. </w:t>
      </w:r>
    </w:p>
    <w:p w:rsidR="00007309" w:rsidRPr="00007309" w:rsidRDefault="00007309" w:rsidP="00007309">
      <w:pPr>
        <w:keepNext/>
        <w:outlineLvl w:val="1"/>
        <w:rPr>
          <w:rFonts w:ascii="Cambria" w:hAnsi="Cambria" w:cs="Times New Roman"/>
          <w:b/>
          <w:bCs/>
          <w:i/>
          <w:iCs/>
          <w:sz w:val="28"/>
          <w:szCs w:val="28"/>
          <w:rtl/>
        </w:rPr>
      </w:pPr>
      <w:r w:rsidRPr="00007309">
        <w:rPr>
          <w:rFonts w:ascii="Cambria" w:hAnsi="Cambria" w:cs="Times New Roman" w:hint="cs"/>
          <w:b/>
          <w:bCs/>
          <w:i/>
          <w:iCs/>
          <w:sz w:val="28"/>
          <w:szCs w:val="28"/>
          <w:rtl/>
        </w:rPr>
        <w:t>[דף עד ע"ב]</w:t>
      </w:r>
    </w:p>
    <w:p w:rsidR="00007309" w:rsidRPr="00007309" w:rsidRDefault="00007309" w:rsidP="00007309">
      <w:pPr>
        <w:jc w:val="both"/>
        <w:rPr>
          <w:rFonts w:cs="Arial"/>
          <w:b/>
          <w:bCs/>
          <w:sz w:val="24"/>
          <w:szCs w:val="24"/>
          <w:rtl/>
        </w:rPr>
      </w:pPr>
      <w:r w:rsidRPr="00007309">
        <w:rPr>
          <w:rFonts w:cs="Arial"/>
          <w:b/>
          <w:bCs/>
          <w:sz w:val="36"/>
          <w:szCs w:val="28"/>
          <w:vertAlign w:val="superscript"/>
          <w:rtl/>
        </w:rPr>
        <w:footnoteReference w:id="6135"/>
      </w:r>
      <w:r w:rsidRPr="00007309">
        <w:rPr>
          <w:rFonts w:cs="Arial"/>
          <w:b/>
          <w:bCs/>
          <w:sz w:val="24"/>
          <w:szCs w:val="24"/>
          <w:rtl/>
        </w:rPr>
        <w:t xml:space="preserve">וּבְגִין דָּא כַּד סַלְקִין מַשִּׁרְיָן דְּמַטְרוֹנִיתָא, סַלְקִין בַּחֲשַׁאי, וְכַד נַחְתִּין מַשִּׁרְיָן דְּמַלְכָּא עָלַיְהוּ, אִנּוּן מְמַלְּלָן עָלַיְהוּ, </w:t>
      </w:r>
      <w:r w:rsidRPr="00007309">
        <w:rPr>
          <w:rFonts w:cs="Arial"/>
          <w:b/>
          <w:bCs/>
          <w:sz w:val="36"/>
          <w:szCs w:val="28"/>
          <w:vertAlign w:val="superscript"/>
          <w:rtl/>
        </w:rPr>
        <w:footnoteReference w:id="6136"/>
      </w:r>
      <w:r w:rsidRPr="00007309">
        <w:rPr>
          <w:rFonts w:cs="Arial"/>
          <w:b/>
          <w:bCs/>
          <w:sz w:val="24"/>
          <w:szCs w:val="24"/>
          <w:rtl/>
        </w:rPr>
        <w:t xml:space="preserve">בְּהַהוּא זִמְנָא אִיהוּ </w:t>
      </w:r>
      <w:r w:rsidRPr="00007309">
        <w:rPr>
          <w:rFonts w:cs="Arial"/>
          <w:b/>
          <w:bCs/>
          <w:sz w:val="36"/>
          <w:szCs w:val="28"/>
          <w:vertAlign w:val="superscript"/>
          <w:rtl/>
        </w:rPr>
        <w:footnoteReference w:id="6137"/>
      </w:r>
      <w:r w:rsidRPr="00007309">
        <w:rPr>
          <w:rFonts w:cs="Arial"/>
          <w:b/>
          <w:bCs/>
          <w:sz w:val="24"/>
          <w:szCs w:val="24"/>
          <w:rtl/>
        </w:rPr>
        <w:t xml:space="preserve">יִחוּדָא דְּקוֹל וְדִבּוּר כַּחֲדָא, יאהדונהי, דִּבְגִינֵהּ אִתְּמַר גָּדוֹל הָעוֹנֶה אָמֵן יוֹתֵר מִן הַמְבָרֵךְ. וְהָא אוֹקְמוּהּ וְכַד נַחְתִּין מַשִּׁרְיָן דְּמַלְכָּא, נַחְתִּין בְּקָלִין </w:t>
      </w:r>
      <w:r w:rsidRPr="00007309">
        <w:rPr>
          <w:rFonts w:cs="Arial"/>
          <w:b/>
          <w:bCs/>
          <w:sz w:val="36"/>
          <w:szCs w:val="28"/>
          <w:vertAlign w:val="superscript"/>
          <w:rtl/>
        </w:rPr>
        <w:footnoteReference w:id="6138"/>
      </w:r>
      <w:r w:rsidRPr="00007309">
        <w:rPr>
          <w:rFonts w:cs="Arial"/>
          <w:b/>
          <w:bCs/>
          <w:sz w:val="24"/>
          <w:szCs w:val="24"/>
          <w:rtl/>
        </w:rPr>
        <w:t xml:space="preserve">הָדָא הוּא דִּכְתִיב (שמות יט) וַיְהִי קוֹלוֹת וּבְרָקִים וְעָנָן כָּבֵד עַל הָהָר וְקוֹל שׁוֹפָר חָזָק מְאֹד. </w:t>
      </w:r>
      <w:r w:rsidRPr="00007309">
        <w:rPr>
          <w:rFonts w:cs="Arial"/>
          <w:b/>
          <w:bCs/>
          <w:sz w:val="36"/>
          <w:szCs w:val="28"/>
          <w:vertAlign w:val="superscript"/>
          <w:rtl/>
        </w:rPr>
        <w:footnoteReference w:id="6139"/>
      </w:r>
      <w:r w:rsidRPr="00007309">
        <w:rPr>
          <w:rFonts w:cs="Arial"/>
          <w:b/>
          <w:bCs/>
          <w:sz w:val="24"/>
          <w:szCs w:val="24"/>
          <w:rtl/>
        </w:rPr>
        <w:t xml:space="preserve">דְּהָכֵי אֹרַח דְּמִטְרָא לְסַלְּקָא </w:t>
      </w:r>
      <w:r w:rsidRPr="00007309">
        <w:rPr>
          <w:rFonts w:ascii="Cambria" w:hAnsi="Cambria" w:cs="Times New Roman"/>
          <w:b/>
          <w:bCs/>
          <w:i/>
          <w:iCs/>
          <w:color w:val="4F81BD"/>
          <w:sz w:val="24"/>
          <w:szCs w:val="24"/>
          <w:rtl/>
        </w:rPr>
        <w:t>(עד ע"ב)</w:t>
      </w:r>
      <w:r w:rsidRPr="00007309">
        <w:rPr>
          <w:rFonts w:cs="Arial"/>
          <w:b/>
          <w:bCs/>
          <w:sz w:val="24"/>
          <w:szCs w:val="24"/>
          <w:rtl/>
        </w:rPr>
        <w:t xml:space="preserve"> עֲנָנָא בַּחֲשַׁאי, וּלְנַחְתָּא מִטְרָא בְּקוֹלֵי קוֹלוֹת. </w:t>
      </w:r>
      <w:r w:rsidRPr="00007309">
        <w:rPr>
          <w:rFonts w:cs="Arial"/>
          <w:b/>
          <w:bCs/>
          <w:sz w:val="36"/>
          <w:szCs w:val="28"/>
          <w:vertAlign w:val="superscript"/>
          <w:rtl/>
        </w:rPr>
        <w:footnoteReference w:id="6140"/>
      </w:r>
      <w:r w:rsidRPr="00007309">
        <w:rPr>
          <w:rFonts w:cs="Arial"/>
          <w:b/>
          <w:bCs/>
          <w:sz w:val="24"/>
          <w:szCs w:val="24"/>
          <w:rtl/>
        </w:rPr>
        <w:t>וְלֵית מִטְרָא אֶלָּא שַׁקְיוּ דְּאוֹרַיְתָא</w:t>
      </w:r>
      <w:r w:rsidRPr="00007309">
        <w:rPr>
          <w:rFonts w:cs="Arial"/>
          <w:sz w:val="36"/>
          <w:szCs w:val="28"/>
          <w:rtl/>
        </w:rPr>
        <w:t xml:space="preserve"> (לְגַבֵּי שְׁכִינְתָּא)</w:t>
      </w:r>
      <w:r w:rsidRPr="00007309">
        <w:rPr>
          <w:rFonts w:cs="Arial"/>
          <w:b/>
          <w:bCs/>
          <w:sz w:val="24"/>
          <w:szCs w:val="24"/>
          <w:rtl/>
        </w:rPr>
        <w:t xml:space="preserve">. דִּשְׁכִינְתָּא </w:t>
      </w:r>
      <w:r w:rsidRPr="00007309">
        <w:rPr>
          <w:rFonts w:cs="Arial"/>
          <w:b/>
          <w:bCs/>
          <w:sz w:val="36"/>
          <w:szCs w:val="28"/>
          <w:vertAlign w:val="superscript"/>
          <w:rtl/>
        </w:rPr>
        <w:footnoteReference w:id="6141"/>
      </w:r>
      <w:r w:rsidRPr="00007309">
        <w:rPr>
          <w:rFonts w:cs="Arial"/>
          <w:b/>
          <w:bCs/>
          <w:sz w:val="24"/>
          <w:szCs w:val="24"/>
          <w:rtl/>
        </w:rPr>
        <w:t xml:space="preserve">אִיהִי שְׁרָגָא, דְּאִתְּמַר בָּהּ </w:t>
      </w:r>
      <w:r w:rsidRPr="00007309">
        <w:rPr>
          <w:rFonts w:cs="Arial"/>
          <w:b/>
          <w:bCs/>
          <w:sz w:val="36"/>
          <w:szCs w:val="28"/>
          <w:vertAlign w:val="superscript"/>
          <w:rtl/>
        </w:rPr>
        <w:footnoteReference w:id="6142"/>
      </w:r>
      <w:r w:rsidRPr="00007309">
        <w:rPr>
          <w:rFonts w:cs="Arial"/>
          <w:b/>
          <w:bCs/>
          <w:sz w:val="24"/>
          <w:szCs w:val="24"/>
          <w:rtl/>
        </w:rPr>
        <w:t xml:space="preserve">הִיא הָעוֹלָה. </w:t>
      </w:r>
      <w:r w:rsidRPr="00007309">
        <w:rPr>
          <w:rFonts w:cs="Arial"/>
          <w:b/>
          <w:bCs/>
          <w:sz w:val="36"/>
          <w:szCs w:val="28"/>
          <w:vertAlign w:val="superscript"/>
          <w:rtl/>
        </w:rPr>
        <w:footnoteReference w:id="6143"/>
      </w:r>
      <w:r w:rsidRPr="00007309">
        <w:rPr>
          <w:rFonts w:cs="Arial"/>
          <w:b/>
          <w:bCs/>
          <w:sz w:val="24"/>
          <w:szCs w:val="24"/>
          <w:rtl/>
        </w:rPr>
        <w:t xml:space="preserve">יִשְׂרָאֵל פְּתִיל' מִשְׁחָא אוֹרַיְתָא </w:t>
      </w:r>
      <w:r w:rsidRPr="00007309">
        <w:rPr>
          <w:rFonts w:cs="Arial"/>
          <w:b/>
          <w:bCs/>
          <w:sz w:val="36"/>
          <w:szCs w:val="28"/>
          <w:vertAlign w:val="superscript"/>
          <w:rtl/>
        </w:rPr>
        <w:footnoteReference w:id="6144"/>
      </w:r>
      <w:r w:rsidRPr="00007309">
        <w:rPr>
          <w:rFonts w:cs="Arial"/>
          <w:b/>
          <w:bCs/>
          <w:sz w:val="24"/>
          <w:szCs w:val="24"/>
          <w:rtl/>
        </w:rPr>
        <w:t xml:space="preserve">לְהַעֲלֹת נֵר תָּמִיד וּבְזִמְנָא דִּצְלוֹתָא </w:t>
      </w:r>
      <w:r w:rsidRPr="00007309">
        <w:rPr>
          <w:rFonts w:cs="Arial"/>
          <w:b/>
          <w:bCs/>
          <w:sz w:val="36"/>
          <w:szCs w:val="28"/>
          <w:vertAlign w:val="superscript"/>
          <w:rtl/>
        </w:rPr>
        <w:footnoteReference w:id="6145"/>
      </w:r>
      <w:r w:rsidRPr="00007309">
        <w:rPr>
          <w:rFonts w:cs="Arial"/>
          <w:b/>
          <w:bCs/>
          <w:sz w:val="24"/>
          <w:szCs w:val="24"/>
          <w:rtl/>
        </w:rPr>
        <w:t xml:space="preserve">דְּאִיהִי מִצְוָה סְלִיקַת בְּאוֹרַיְתָא, </w:t>
      </w:r>
      <w:r w:rsidRPr="00007309">
        <w:rPr>
          <w:rFonts w:cs="Arial"/>
          <w:b/>
          <w:bCs/>
          <w:sz w:val="36"/>
          <w:szCs w:val="28"/>
          <w:vertAlign w:val="superscript"/>
          <w:rtl/>
        </w:rPr>
        <w:footnoteReference w:id="6146"/>
      </w:r>
      <w:r w:rsidRPr="00007309">
        <w:rPr>
          <w:rFonts w:cs="Arial"/>
          <w:b/>
          <w:bCs/>
          <w:sz w:val="24"/>
          <w:szCs w:val="24"/>
          <w:rtl/>
        </w:rPr>
        <w:t xml:space="preserve">לֵית לֵהּ כְּבֵהּ עוֹלָמִית. </w:t>
      </w:r>
      <w:r w:rsidRPr="00007309">
        <w:rPr>
          <w:rFonts w:cs="Arial"/>
          <w:b/>
          <w:bCs/>
          <w:sz w:val="36"/>
          <w:szCs w:val="28"/>
          <w:vertAlign w:val="superscript"/>
          <w:rtl/>
        </w:rPr>
        <w:footnoteReference w:id="6147"/>
      </w:r>
      <w:r w:rsidRPr="00007309">
        <w:rPr>
          <w:rFonts w:cs="Arial"/>
          <w:b/>
          <w:bCs/>
          <w:sz w:val="24"/>
          <w:szCs w:val="24"/>
          <w:rtl/>
        </w:rPr>
        <w:t xml:space="preserve">וְכַד צְלוֹתָא אִיהִי עֵת רָצוֹן קֳדָם ה'. אִתְחַזְיָא קֶשֶׁת בְּגַוְנוֹי נְהִירִין </w:t>
      </w:r>
      <w:r w:rsidRPr="00007309">
        <w:rPr>
          <w:rFonts w:cs="Arial"/>
          <w:b/>
          <w:bCs/>
          <w:sz w:val="36"/>
          <w:szCs w:val="28"/>
          <w:vertAlign w:val="superscript"/>
          <w:rtl/>
        </w:rPr>
        <w:footnoteReference w:id="6148"/>
      </w:r>
      <w:r w:rsidRPr="00007309">
        <w:rPr>
          <w:rFonts w:cs="Arial"/>
          <w:b/>
          <w:bCs/>
          <w:sz w:val="24"/>
          <w:szCs w:val="24"/>
          <w:rtl/>
        </w:rPr>
        <w:t>בַּעֲנָנָא, בְּהַהוּא זִמְנָא וְרָאִיתִי' לִזְכֹּר בְּרִית עוֹלָם. דִּבְאִלֵּין גְּוָנִין נְהִירִין</w:t>
      </w:r>
      <w:r w:rsidRPr="00007309">
        <w:rPr>
          <w:rFonts w:cs="Arial"/>
          <w:b/>
          <w:bCs/>
          <w:sz w:val="24"/>
          <w:szCs w:val="24"/>
        </w:rPr>
        <w:t xml:space="preserve"> </w:t>
      </w:r>
      <w:r w:rsidRPr="00007309">
        <w:rPr>
          <w:rFonts w:cs="Arial"/>
          <w:b/>
          <w:bCs/>
          <w:sz w:val="24"/>
          <w:szCs w:val="24"/>
          <w:rtl/>
        </w:rPr>
        <w:t>אִשְׁתְּמוֹדַע דִּשְׁכִינְתָּא סְלִיקַת קֳדָם ה' בְּעוֹבָדִין טָבִין דְּיִשְׂרָאֵל אִם לֹא אִתְחַזְיָא קֶשֶׁת בְּגַוְנִין נַהֲרִין אִיהִי קָא רְמִיזָא (בראשית ט) סַכּוֹתָה בֶּעָנָן לך מֵעֲבוֹר תְּפִלָּה. וְאִתְחַזְיָא בִּלְבוּשׁ דַּעֲנָנָא אֻכָּמָא. אִם קֶשֶׁת בֵּהּ בְּגַוְנֵי חֲשִׁיכִין חדיכין אִיהִי קָא רְמִיזַת אַל תִּרְאוּנִי שֶׁאֲנִי</w:t>
      </w:r>
      <w:r w:rsidRPr="00007309">
        <w:rPr>
          <w:rFonts w:cs="Arial"/>
          <w:b/>
          <w:bCs/>
          <w:sz w:val="24"/>
          <w:szCs w:val="24"/>
        </w:rPr>
        <w:t xml:space="preserve"> </w:t>
      </w:r>
      <w:r w:rsidRPr="00007309">
        <w:rPr>
          <w:rFonts w:cs="Arial"/>
          <w:b/>
          <w:bCs/>
          <w:sz w:val="24"/>
          <w:szCs w:val="24"/>
          <w:rtl/>
        </w:rPr>
        <w:t xml:space="preserve">שְׁחַרְחֹרֶת. וְאִם גַּוְנֵי דְּקֶשֶׁת נְהִירִין, אִיהִי קָא רְמִיזַת שְחוֹרָה אֲנִי וְנָאוָה שְׁחוֹרָה </w:t>
      </w:r>
      <w:r w:rsidRPr="00007309">
        <w:rPr>
          <w:rFonts w:cs="Arial"/>
          <w:b/>
          <w:bCs/>
          <w:sz w:val="36"/>
          <w:szCs w:val="28"/>
          <w:vertAlign w:val="superscript"/>
          <w:rtl/>
        </w:rPr>
        <w:footnoteReference w:id="6149"/>
      </w:r>
      <w:r w:rsidRPr="00007309">
        <w:rPr>
          <w:rFonts w:cs="Arial"/>
          <w:b/>
          <w:bCs/>
          <w:sz w:val="24"/>
          <w:szCs w:val="24"/>
          <w:rtl/>
        </w:rPr>
        <w:t xml:space="preserve">אֲנִי בַּעֲנָנָא אֻכָּמָא, וְנָאוָה בְּגַוְנִין שַׁפִּירִין. </w:t>
      </w:r>
      <w:r w:rsidRPr="00007309">
        <w:rPr>
          <w:rFonts w:cs="Arial"/>
          <w:b/>
          <w:bCs/>
          <w:sz w:val="36"/>
          <w:szCs w:val="28"/>
          <w:vertAlign w:val="superscript"/>
          <w:rtl/>
        </w:rPr>
        <w:footnoteReference w:id="6150"/>
      </w:r>
      <w:r w:rsidRPr="00007309">
        <w:rPr>
          <w:rFonts w:cs="Arial"/>
          <w:b/>
          <w:bCs/>
          <w:sz w:val="24"/>
          <w:szCs w:val="24"/>
          <w:rtl/>
        </w:rPr>
        <w:t xml:space="preserve">נְהִירִין דְּקֶשֶׁת בְּעוֹבָדִין טָבִין דְּיִשְׂרָאֵל. וְאַגְרָא דִּצְלוֹתָא דְּתִקּוּנָא דָּא, כַּד נַפְקַת נִשְׁמָתָא מִן גּוּפָא לְאַזְלָא לְעָלְמָא דְּאָתֵי, כְּמָא דְּאִיהוּ אוֹקִיר לִשְׁכִינְתָּא, וְלָבִישׁ לָהּ בְּכַמָּה עֲנָנִין דִּלְבוּשִׁין יַקִּירִין, דְּאִתְקְרִיאוּ עַנְנֵי יָקָר, וְסָלִיק לָהּ בִּצְלוֹתֵהּ לְגַבֵּי קוּדְשָׁא בְּרִיךְ הוּא, </w:t>
      </w:r>
      <w:r w:rsidRPr="00007309">
        <w:rPr>
          <w:rFonts w:cs="Arial"/>
          <w:b/>
          <w:bCs/>
          <w:sz w:val="36"/>
          <w:szCs w:val="28"/>
          <w:vertAlign w:val="superscript"/>
          <w:rtl/>
        </w:rPr>
        <w:footnoteReference w:id="6151"/>
      </w:r>
      <w:r w:rsidRPr="00007309">
        <w:rPr>
          <w:rFonts w:cs="Arial"/>
          <w:b/>
          <w:bCs/>
          <w:sz w:val="24"/>
          <w:szCs w:val="24"/>
          <w:rtl/>
        </w:rPr>
        <w:t>בְּשִׁירִין וּזְמִירוֹת וְתֻשְׁבָּחוֹת וְהוֹדָאוֹת, דִּצְלוֹתָא הָכֵי סָלִיק לָהּ קוּדְשָׁא בְּרִיח הוּא לְעָלְמָא דְּאָתֵי לְנִשְׁמָתֵהּ בִּלְבוּשׁ עַנְנֵי יְקָר וּבְכַמָּה שִׁירוֹת וְתִשְׁבָּחוֹת וְהוֹדָאוֹת כְּגַוְנָא דְּנָפְקוּ יִשְׂרָאֵל מִמִּצְרַיִם בְּעַנְנֵי יְקָר וּבְנִגּוּנֵהּ. הָדָא הוּא דִּכְתִיב (שמות טו) אָז יָשִׁיר מֹשֶׁה וּבְנֵי יִשְׂרָאֵל וְגוֹ'. וְכַמָּה דְּסָלִיק לָהּ בְּכַמָּה מַשִּׁרְיָן דְּמַלְאָכִים, וְנָחִית לְגַבָּהּ מַשִּׁרְיָן דְּקוּדְשָׁא בְּרִיךְ הוּא לְקַדְמוּתָה וְקוּדְשָׁא בְּרִיךְ הוּא עִמְּהוֹן, הָכֵי סָלִיק לְנִשְׁמָתָא מִן גּוּפָא בְּמַשִּׁרְיָן דִּשְׁכִינְתָּא וְנָחִית קוּדְשָׁא בְּרִיךְ הוּא לְקַדְמוּתָא בְּמַשִּׁרְיָן דִּילֵהּ.</w:t>
      </w:r>
      <w:r w:rsidRPr="00007309">
        <w:rPr>
          <w:rFonts w:cs="Arial"/>
          <w:b/>
          <w:bCs/>
          <w:sz w:val="24"/>
          <w:szCs w:val="24"/>
        </w:rPr>
        <w:t xml:space="preserve"> </w:t>
      </w:r>
      <w:r w:rsidRPr="00007309">
        <w:rPr>
          <w:rFonts w:cs="Arial"/>
          <w:b/>
          <w:bCs/>
          <w:sz w:val="24"/>
          <w:szCs w:val="24"/>
          <w:rtl/>
        </w:rPr>
        <w:t xml:space="preserve">וּכְמָה דְּאַעְטַר לְקוּדְשָׁא בְּרִיךְ הוּא בִּתְפִלִּין דְּרֵישָׁא, וְתִקֵּן לֵהּ דִּירָה בִּמְזוּזָה, וְאַתְקִין לֵהּ כֻּרְסַייָא בְּצִיצִית, כְּמָה דְּאוֹקְמוּהּ, (ישעיה ט) וְהוּכַן בְּחֶסֶד כִּסֵּא. הָכֵי קוּדְשָׁא בְּרִיךְ הוּא תִּקֵּן לְנִשְׁמָתֵהּ כֻּרְסַייָא, וְתַקִּין לֵהּ דִּירָה עִמֵּהּ, </w:t>
      </w:r>
      <w:r w:rsidRPr="00007309">
        <w:rPr>
          <w:rFonts w:cs="Arial"/>
          <w:b/>
          <w:bCs/>
          <w:sz w:val="36"/>
          <w:szCs w:val="28"/>
          <w:vertAlign w:val="superscript"/>
          <w:rtl/>
        </w:rPr>
        <w:footnoteReference w:id="6152"/>
      </w:r>
      <w:r w:rsidRPr="00007309">
        <w:rPr>
          <w:rFonts w:cs="Arial"/>
          <w:b/>
          <w:bCs/>
          <w:sz w:val="24"/>
          <w:szCs w:val="24"/>
          <w:rtl/>
        </w:rPr>
        <w:t xml:space="preserve">וְאַעְטָר לֵהּ בְּכִתְרָא דִּילֵהּ. וְכַמָּה דְּקָשַׁר לִשְׁכִינְתָּא בְּקוּדְשָׁא בְּרִיךְ הוּא בְּקִשּׁוּרָא דִּתְפִלִּין, וּמֵחַד לֵהּ בֵּהּ, הָכֵי רוּחָא דִּילֵהּ קָשִׁיר עִם נַפְשָׁא, וְנִשְׁמָתָא </w:t>
      </w:r>
      <w:r w:rsidRPr="00007309">
        <w:rPr>
          <w:rFonts w:cs="Arial"/>
          <w:b/>
          <w:bCs/>
          <w:sz w:val="36"/>
          <w:szCs w:val="28"/>
          <w:vertAlign w:val="superscript"/>
          <w:rtl/>
        </w:rPr>
        <w:footnoteReference w:id="6153"/>
      </w:r>
      <w:r w:rsidRPr="00007309">
        <w:rPr>
          <w:rFonts w:cs="Arial"/>
          <w:b/>
          <w:bCs/>
          <w:sz w:val="24"/>
          <w:szCs w:val="24"/>
          <w:rtl/>
        </w:rPr>
        <w:t xml:space="preserve">עִם בַּעְלָהּ, </w:t>
      </w:r>
      <w:r w:rsidRPr="00007309">
        <w:rPr>
          <w:rFonts w:cs="Arial"/>
          <w:b/>
          <w:bCs/>
          <w:sz w:val="36"/>
          <w:szCs w:val="28"/>
          <w:vertAlign w:val="superscript"/>
          <w:rtl/>
        </w:rPr>
        <w:footnoteReference w:id="6154"/>
      </w:r>
      <w:r w:rsidRPr="00007309">
        <w:rPr>
          <w:rFonts w:cs="Arial"/>
          <w:b/>
          <w:bCs/>
          <w:sz w:val="24"/>
          <w:szCs w:val="24"/>
          <w:rtl/>
        </w:rPr>
        <w:t xml:space="preserve">דְּאִיהוּ אָדָם, וְסִימָנָא (משלי כ) נֵר ה' נִשְׁמַת אָדָם. נֵ"ר נֶפֶ"שׁ רוּ"חַ. וְאִנּוּן אֲצִילוּת דִּשְׁכִינְתָּא, וְעַמּוּדָא דְּאֶמְצָעִיתָא דְּכָלִיל שִׁית סְפִירָן. נִשְׁמַת אָדָם אֲצִילוּתָא דְּאִמָּא עִלָּאָה וְחָכְמָה. </w:t>
      </w:r>
      <w:r w:rsidRPr="00007309">
        <w:rPr>
          <w:rFonts w:cs="Arial"/>
          <w:b/>
          <w:bCs/>
          <w:sz w:val="36"/>
          <w:szCs w:val="28"/>
          <w:vertAlign w:val="superscript"/>
          <w:rtl/>
        </w:rPr>
        <w:footnoteReference w:id="6155"/>
      </w:r>
      <w:r w:rsidRPr="00007309">
        <w:rPr>
          <w:rFonts w:cs="Arial"/>
          <w:b/>
          <w:bCs/>
          <w:sz w:val="24"/>
          <w:szCs w:val="24"/>
          <w:rtl/>
        </w:rPr>
        <w:t xml:space="preserve">דְּתַמָּן מָ"ה </w:t>
      </w:r>
      <w:r w:rsidRPr="00007309">
        <w:rPr>
          <w:rFonts w:cs="Arial"/>
          <w:b/>
          <w:bCs/>
          <w:sz w:val="36"/>
          <w:szCs w:val="28"/>
          <w:vertAlign w:val="superscript"/>
          <w:rtl/>
        </w:rPr>
        <w:footnoteReference w:id="6156"/>
      </w:r>
      <w:r w:rsidRPr="00007309">
        <w:rPr>
          <w:rFonts w:cs="Arial"/>
          <w:b/>
          <w:bCs/>
          <w:sz w:val="24"/>
          <w:szCs w:val="24"/>
          <w:rtl/>
        </w:rPr>
        <w:t xml:space="preserve">דְּאִיהוּ אָדָם קַדְמָאָה. </w:t>
      </w:r>
      <w:r w:rsidRPr="00007309">
        <w:rPr>
          <w:rFonts w:cs="Arial"/>
          <w:b/>
          <w:bCs/>
          <w:sz w:val="36"/>
          <w:szCs w:val="28"/>
          <w:vertAlign w:val="superscript"/>
          <w:rtl/>
        </w:rPr>
        <w:footnoteReference w:id="6157"/>
      </w:r>
      <w:r w:rsidRPr="00007309">
        <w:rPr>
          <w:rFonts w:cs="Arial"/>
          <w:b/>
          <w:bCs/>
          <w:sz w:val="24"/>
          <w:szCs w:val="24"/>
          <w:rtl/>
        </w:rPr>
        <w:t xml:space="preserve">מַחֲשָׁבָה כֶּתֶר עִלָּאָה, תְּפִלִּין עַל רֵישָׁא דְּאַבָּא וְאִמָּא. וּבְגִין דָּא אִתְּמַר בְּבַר נָשׁ, בְּמִדָּה שֶׁאָדָם מוֹדֵד, בָּהּ מוֹדְדִין לוֹ. וּבְגִינֵיהוֹן דִּבְנֵי נָשָׁא אִתְּמַר (שמואל א ב) כִּי מְכַבְּדַי אֲכַבֵּד וּבוֹזַי יֵקַלּוּ, </w:t>
      </w:r>
      <w:r w:rsidRPr="00007309">
        <w:rPr>
          <w:rFonts w:cs="Arial"/>
          <w:b/>
          <w:bCs/>
          <w:sz w:val="36"/>
          <w:szCs w:val="28"/>
          <w:vertAlign w:val="superscript"/>
          <w:rtl/>
        </w:rPr>
        <w:footnoteReference w:id="6158"/>
      </w:r>
      <w:r w:rsidRPr="00007309">
        <w:rPr>
          <w:rFonts w:cs="Arial"/>
          <w:b/>
          <w:bCs/>
          <w:sz w:val="24"/>
          <w:szCs w:val="24"/>
          <w:rtl/>
        </w:rPr>
        <w:t xml:space="preserve">וְלֹא עוֹד אֶלָּא מָאן דְּיִשְׁתְּדַל בְּאוֹרַיְתָא אִית לֵהּ חֵירוּ. </w:t>
      </w:r>
    </w:p>
    <w:p w:rsidR="00007309" w:rsidRPr="00007309" w:rsidRDefault="00007309" w:rsidP="00007309">
      <w:pPr>
        <w:keepNext/>
        <w:spacing w:before="240" w:after="60"/>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[וילנא ו ע"ב]</w:t>
      </w:r>
    </w:p>
    <w:p w:rsidR="00007309" w:rsidRPr="00007309" w:rsidRDefault="00007309" w:rsidP="00007309">
      <w:pPr>
        <w:jc w:val="both"/>
        <w:rPr>
          <w:rFonts w:cs="Arial"/>
          <w:b/>
          <w:bCs/>
          <w:sz w:val="24"/>
          <w:szCs w:val="24"/>
          <w:rtl/>
        </w:rPr>
      </w:pPr>
      <w:r w:rsidRPr="00007309">
        <w:rPr>
          <w:rFonts w:cs="Arial"/>
          <w:b/>
          <w:bCs/>
          <w:sz w:val="36"/>
          <w:szCs w:val="28"/>
          <w:vertAlign w:val="superscript"/>
          <w:rtl/>
        </w:rPr>
        <w:footnoteReference w:id="6159"/>
      </w:r>
      <w:r w:rsidRPr="00007309">
        <w:rPr>
          <w:rFonts w:cs="Arial"/>
          <w:b/>
          <w:bCs/>
          <w:sz w:val="24"/>
          <w:szCs w:val="24"/>
          <w:rtl/>
        </w:rPr>
        <w:t xml:space="preserve">וּכְעָן צָרִיךְ לְפָרְשָׁא עַל פּוּמָא דִּסְלִיקָא צְלוֹתָא מִנַּהּ. כְּצִפּוֹר וּכְיוֹנָה וּכְנִשְׁרָא. וְיִשְׂרָאֵל כַּד נָפְקוּ מִמִּצְרַיִם נָפְקוּ כְּיוֹנָה דְּבָרַחַת, וְנֵץ הֲוָה רָדִיף אֲבַתְרֵהּ הָכֵי אִית צְלוֹתָא דְּמִסִּטְרָא דִּילֵהּ שְׁכִינְתָּא אִיהִי פָּרְחָא בָּהּ כְּיוֹנָה וְסמא"ל וְחֵילִהּ רָדְפִין אֲבַתְרָאָה בְּכַמָּה חוֹבִין דְּאוֹלְפִין עַל מָארֵהּ דְּהַהִיא צְלוֹתָא, וְאוֹלִיף לוֹן </w:t>
      </w:r>
      <w:r w:rsidRPr="00007309">
        <w:rPr>
          <w:rFonts w:cs="Arial"/>
          <w:b/>
          <w:bCs/>
          <w:sz w:val="36"/>
          <w:szCs w:val="28"/>
          <w:vertAlign w:val="superscript"/>
          <w:rtl/>
        </w:rPr>
        <w:footnoteReference w:id="6160"/>
      </w:r>
      <w:r w:rsidRPr="00007309">
        <w:rPr>
          <w:rFonts w:cs="Arial"/>
          <w:b/>
          <w:bCs/>
          <w:sz w:val="24"/>
          <w:szCs w:val="24"/>
          <w:rtl/>
        </w:rPr>
        <w:t xml:space="preserve">בִּגְבוּרָה לְעַכְּבָא שְׁכִינְתָּא תַּמָּן, דְּלָא סַלְקָא לְקוּדְשָׁא בְּרִיךְ הוּא בְּהַהִיא צְלוֹתָא. וְאִיהוּ הַהוּא צְלוֹתָא דְּיִשְׂרָאֵל עַל יַמָּא, דַּהֲווֹ </w:t>
      </w:r>
      <w:r w:rsidRPr="00007309">
        <w:rPr>
          <w:rFonts w:cs="Arial"/>
          <w:b/>
          <w:bCs/>
          <w:sz w:val="36"/>
          <w:szCs w:val="28"/>
          <w:vertAlign w:val="superscript"/>
          <w:rtl/>
        </w:rPr>
        <w:footnoteReference w:id="6161"/>
      </w:r>
      <w:r w:rsidRPr="00007309">
        <w:rPr>
          <w:rFonts w:cs="Arial"/>
          <w:b/>
          <w:bCs/>
          <w:sz w:val="24"/>
          <w:szCs w:val="24"/>
          <w:rtl/>
        </w:rPr>
        <w:t xml:space="preserve">בְּלָא זְכוּ דְּאוֹרַיְתָא וְעוֹבָדִין טָבִין, וְהַמַּיִם לָהֶם חוֹמָה וְהָכֵי אִנּוּן צְלוֹתִין מְעֻכָּבִין. וְאִם חוֹזְרִין בִּתְיוּבְתָּא. </w:t>
      </w:r>
      <w:r w:rsidRPr="00007309">
        <w:rPr>
          <w:rFonts w:cs="Arial"/>
          <w:b/>
          <w:bCs/>
          <w:sz w:val="36"/>
          <w:szCs w:val="28"/>
          <w:vertAlign w:val="superscript"/>
          <w:rtl/>
        </w:rPr>
        <w:footnoteReference w:id="6162"/>
      </w:r>
      <w:r w:rsidRPr="00007309">
        <w:rPr>
          <w:rFonts w:cs="Arial"/>
          <w:b/>
          <w:bCs/>
          <w:sz w:val="24"/>
          <w:szCs w:val="24"/>
          <w:rtl/>
        </w:rPr>
        <w:t xml:space="preserve">מָארֵי דִּצְלוֹתִין אִיהוּ דְּאָמַר לְגַבֵּי שְׁלוּחָא דִּצְלוֹתִין מְטַטְרוֹן, מַה תִּצְעַק אֵלַי, מַלִּיל לִצְלוֹתִין דְּנָטְלִין בְּמַטְלְנוֹתְהוֹן הָדָא הוּא דִּכְתִיב (שמות יד) דַּבֵּר אֶל בְּנֵי יִשְׂרָאֵל וַיִּסְעוּ. לְבַר נָשׁ דְּאָזִיל בְּאוֹרְחָא וְרָדִיף אֲבַתְרֵהּ הַהוּא </w:t>
      </w:r>
      <w:r w:rsidRPr="00007309">
        <w:rPr>
          <w:rFonts w:ascii="Cambria" w:hAnsi="Cambria" w:cs="Times New Roman" w:hint="cs"/>
          <w:b/>
          <w:bCs/>
          <w:i/>
          <w:iCs/>
          <w:color w:val="4F81BD"/>
          <w:sz w:val="22"/>
          <w:szCs w:val="22"/>
          <w:rtl/>
        </w:rPr>
        <w:t xml:space="preserve">(וילנא ו ע"ב) </w:t>
      </w:r>
      <w:r w:rsidRPr="00007309">
        <w:rPr>
          <w:rFonts w:cs="Arial"/>
          <w:b/>
          <w:bCs/>
          <w:sz w:val="24"/>
          <w:szCs w:val="24"/>
          <w:rtl/>
        </w:rPr>
        <w:t xml:space="preserve">מָארֵי מנד' דְּמַלְכָּא, וְאָחִיד בֵּהּ עַד דְּפָרַע מנדה בלו וְהָלַךְ. בְּגִין דְּבָרַח </w:t>
      </w:r>
      <w:r w:rsidRPr="00007309">
        <w:rPr>
          <w:rFonts w:cs="Arial"/>
          <w:b/>
          <w:bCs/>
          <w:sz w:val="36"/>
          <w:szCs w:val="28"/>
          <w:vertAlign w:val="superscript"/>
          <w:rtl/>
        </w:rPr>
        <w:footnoteReference w:id="6163"/>
      </w:r>
      <w:r w:rsidRPr="00007309">
        <w:rPr>
          <w:rFonts w:cs="Arial"/>
          <w:b/>
          <w:bCs/>
          <w:sz w:val="24"/>
          <w:szCs w:val="24"/>
          <w:rtl/>
        </w:rPr>
        <w:t xml:space="preserve">אִיהוּ צווֵֹחַ לְמָאן דְּאַפִּיק לֵהּ. </w:t>
      </w:r>
      <w:r w:rsidRPr="00007309">
        <w:rPr>
          <w:rFonts w:cs="Arial"/>
          <w:b/>
          <w:bCs/>
          <w:sz w:val="36"/>
          <w:szCs w:val="28"/>
          <w:vertAlign w:val="superscript"/>
          <w:rtl/>
        </w:rPr>
        <w:footnoteReference w:id="6164"/>
      </w:r>
      <w:r w:rsidRPr="00007309">
        <w:rPr>
          <w:rFonts w:cs="Arial"/>
          <w:b/>
          <w:bCs/>
          <w:sz w:val="24"/>
          <w:szCs w:val="24"/>
          <w:rtl/>
        </w:rPr>
        <w:t xml:space="preserve">יֵתֵי מָארֵי' וְיֵמָא אִמָּא לֵהּ דְּיָזִיל לְאוֹרְחֵהּ דַּאֲנָא פָּרַעְתֵּהּ. </w:t>
      </w:r>
      <w:r w:rsidRPr="00007309">
        <w:rPr>
          <w:rFonts w:cs="Arial"/>
          <w:b/>
          <w:bCs/>
          <w:sz w:val="36"/>
          <w:szCs w:val="28"/>
          <w:vertAlign w:val="superscript"/>
          <w:rtl/>
        </w:rPr>
        <w:footnoteReference w:id="6165"/>
      </w:r>
      <w:r w:rsidRPr="00007309">
        <w:rPr>
          <w:rFonts w:cs="Arial"/>
          <w:b/>
          <w:bCs/>
          <w:sz w:val="24"/>
          <w:szCs w:val="24"/>
          <w:rtl/>
        </w:rPr>
        <w:t xml:space="preserve">אָתָא </w:t>
      </w:r>
      <w:r w:rsidRPr="00007309">
        <w:rPr>
          <w:rFonts w:cs="Arial"/>
          <w:b/>
          <w:bCs/>
          <w:sz w:val="36"/>
          <w:szCs w:val="28"/>
          <w:vertAlign w:val="superscript"/>
          <w:rtl/>
        </w:rPr>
        <w:footnoteReference w:id="6166"/>
      </w:r>
      <w:r w:rsidRPr="00007309">
        <w:rPr>
          <w:rFonts w:cs="Arial"/>
          <w:b/>
          <w:bCs/>
          <w:sz w:val="24"/>
          <w:szCs w:val="24"/>
          <w:rtl/>
        </w:rPr>
        <w:t xml:space="preserve">מֶה עָבַד טָבַע רֵישֵׁהּ בַּטִיט וְקָטַל לֵהּ, הָכֵי קוּדְשָׁא בְּרִיךְ הוּא עָבַד בְּמִצְרָאֵי. הָדָא הוּא דִּכְתִיב (שמות טו) מַרְכְּבוֹת פַּרְעֹה וְגוֹ' טֻבְּעוּ בְּיַם סוּף. וּמָאן גָּרִים דְּרַדְפִין אֲבַתְרַיְהוּ דְּיִשְׂרָאֵל, בְּגִין דְּעַד לָא הֲוָה לוֹן אוֹרַיְתָא לָא הֲוָה שְׁטַר חֵירוּ. בְּגִין דְּאוֹרַיְתָא אִיהִי שְׁטַר חֵירוּ לִבְנֵי נָשָׁא, מִיֵּצֶר הָרָע וּמִמַּלְאַךְ הַמָּוֶת וּמִכָּל מְקַטְרְגֵי דְּעָלְמָא. הָדָא הוּא דִּכְתִיב (שם לב) וְהַמִּכְתָּב מִכְתַּב אֱלֹהִים הוּא חָרוּת עַל הַלֻּחֹת. וְדָא אִמָּא עִלָּאָה </w:t>
      </w:r>
      <w:r w:rsidRPr="00007309">
        <w:rPr>
          <w:rFonts w:cs="Arial"/>
          <w:b/>
          <w:bCs/>
          <w:sz w:val="36"/>
          <w:szCs w:val="28"/>
          <w:vertAlign w:val="superscript"/>
          <w:rtl/>
        </w:rPr>
        <w:footnoteReference w:id="6167"/>
      </w:r>
      <w:r w:rsidRPr="00007309">
        <w:rPr>
          <w:rFonts w:cs="Arial"/>
          <w:b/>
          <w:bCs/>
          <w:sz w:val="24"/>
          <w:szCs w:val="24"/>
          <w:rtl/>
        </w:rPr>
        <w:t xml:space="preserve">שְׁנַת הַחֲמִשִּׁים, דְּמִתַּמָּן אוֹרַיְתָא דְּאִיהוּ עַמּוּדָא דְּאֶמְצָעִיתָא אִתְקְרֵי חֵירוּ, דְּמִתַּמָּן אִתְיְהִיב אוֹרַיְתָא לְגַבֵּי יוֹנָה קַדִּישָׁא דְּאִיהִי שְׁכִינְתָּא, דְמִסִּטְרָא' אִתְקְרִיאוּ יִשְׂרָאֵל יוֹנָה. וְהָכֵי כַּד צְלוֹתָא דְּאִיהִי יוֹנָה סְלִיקַת בְּאוֹרַיְתָא, מַה כְּתִיב בֵּהּ (ישעיה נא) </w:t>
      </w:r>
      <w:r w:rsidRPr="00007309">
        <w:rPr>
          <w:rFonts w:cs="Arial"/>
          <w:b/>
          <w:bCs/>
          <w:sz w:val="36"/>
          <w:szCs w:val="28"/>
          <w:vertAlign w:val="superscript"/>
          <w:rtl/>
        </w:rPr>
        <w:footnoteReference w:id="6168"/>
      </w:r>
      <w:r w:rsidRPr="00007309">
        <w:rPr>
          <w:rFonts w:cs="Arial"/>
          <w:b/>
          <w:bCs/>
          <w:sz w:val="24"/>
          <w:szCs w:val="24"/>
          <w:rtl/>
        </w:rPr>
        <w:t xml:space="preserve">כִּי לֹא בְּחִפָּזוֹן תֵּצֵאוּ וּבִמְנוּסָה לֹא תֵּלֵכוּן כִּי הוֹלֵךְ לִפְנֵיכֶם ה' וְגוֹ'. ואִלֵּין אִנּוּן צְלוֹתִין דְּמָארֵי דְּאוֹרַיְתָא. דְּסָלִיק </w:t>
      </w:r>
      <w:r w:rsidRPr="00007309">
        <w:rPr>
          <w:rFonts w:cs="Arial"/>
          <w:b/>
          <w:bCs/>
          <w:sz w:val="36"/>
          <w:szCs w:val="28"/>
          <w:vertAlign w:val="superscript"/>
          <w:rtl/>
        </w:rPr>
        <w:footnoteReference w:id="6169"/>
      </w:r>
      <w:r w:rsidRPr="00007309">
        <w:rPr>
          <w:rFonts w:cs="Arial"/>
          <w:b/>
          <w:bCs/>
          <w:sz w:val="24"/>
          <w:szCs w:val="24"/>
          <w:rtl/>
        </w:rPr>
        <w:t xml:space="preserve">כְּנִשְׁרָא דְּלָא דַּחֲלַת מִכָּל עוֹפִין דְּעָלְמָא. וּמִסִּטְרָא דְּאִנּוּן אִיהִי מַטְרוֹנִיתָא דֶּרֶךְ הַנֶּשֶׁר </w:t>
      </w:r>
      <w:r w:rsidRPr="00007309">
        <w:rPr>
          <w:rFonts w:cs="Arial"/>
          <w:b/>
          <w:bCs/>
          <w:sz w:val="36"/>
          <w:szCs w:val="28"/>
          <w:vertAlign w:val="superscript"/>
          <w:rtl/>
        </w:rPr>
        <w:footnoteReference w:id="6170"/>
      </w:r>
      <w:r w:rsidRPr="00007309">
        <w:rPr>
          <w:rFonts w:cs="Arial"/>
          <w:b/>
          <w:bCs/>
          <w:sz w:val="24"/>
          <w:szCs w:val="24"/>
          <w:rtl/>
        </w:rPr>
        <w:t xml:space="preserve">בַּשָּׁמַיִם. וְאִית דְּיַמָּא הָכֵי </w:t>
      </w:r>
      <w:r w:rsidRPr="00007309">
        <w:rPr>
          <w:rFonts w:cs="Arial"/>
          <w:b/>
          <w:bCs/>
          <w:sz w:val="36"/>
          <w:szCs w:val="28"/>
          <w:vertAlign w:val="superscript"/>
          <w:rtl/>
        </w:rPr>
        <w:footnoteReference w:id="6171"/>
      </w:r>
      <w:r w:rsidRPr="00007309">
        <w:rPr>
          <w:rFonts w:cs="Arial"/>
          <w:b/>
          <w:bCs/>
          <w:sz w:val="24"/>
          <w:szCs w:val="24"/>
          <w:rtl/>
        </w:rPr>
        <w:t>וְכֹלָּא קְשׁוֹט. וּמִסִּטְרָא דְּמָארֵי מִקְרָא סְלִיקַת צְלוֹתָא כְּצִפּוֹר. וּמִסִּטְרָא דְּמָארֵי מִשְׁנָה</w:t>
      </w:r>
      <w:r w:rsidRPr="00007309">
        <w:rPr>
          <w:rFonts w:cs="Arial"/>
          <w:b/>
          <w:bCs/>
          <w:sz w:val="24"/>
          <w:szCs w:val="24"/>
        </w:rPr>
        <w:t xml:space="preserve"> </w:t>
      </w:r>
      <w:r w:rsidRPr="00007309">
        <w:rPr>
          <w:rFonts w:cs="Arial"/>
          <w:b/>
          <w:bCs/>
          <w:sz w:val="24"/>
          <w:szCs w:val="24"/>
          <w:rtl/>
        </w:rPr>
        <w:t xml:space="preserve">סְלִיקַת כַּיּוֹנָה. וּמִסִּטְרָא דְּמָארֵי קַבָּלָה סְלִיקַת כְּנִשְׁרָא, מַטְרוֹנִיתָא עַל כֹּלָּא. </w:t>
      </w:r>
    </w:p>
    <w:p w:rsidR="00007309" w:rsidRPr="00007309" w:rsidRDefault="00007309" w:rsidP="00007309">
      <w:pPr>
        <w:keepNext/>
        <w:outlineLvl w:val="1"/>
        <w:rPr>
          <w:rFonts w:ascii="Cambria" w:hAnsi="Cambria" w:cs="Times New Roman"/>
          <w:b/>
          <w:bCs/>
          <w:i/>
          <w:iCs/>
          <w:sz w:val="28"/>
          <w:szCs w:val="28"/>
          <w:rtl/>
        </w:rPr>
      </w:pPr>
      <w:r w:rsidRPr="00007309">
        <w:rPr>
          <w:rFonts w:ascii="Cambria" w:hAnsi="Cambria" w:cs="Times New Roman" w:hint="cs"/>
          <w:b/>
          <w:bCs/>
          <w:i/>
          <w:iCs/>
          <w:sz w:val="28"/>
          <w:szCs w:val="28"/>
          <w:rtl/>
        </w:rPr>
        <w:t>[דף עד ע"ג]</w:t>
      </w:r>
    </w:p>
    <w:p w:rsidR="00007309" w:rsidRPr="00007309" w:rsidRDefault="00007309" w:rsidP="00007309">
      <w:pPr>
        <w:jc w:val="both"/>
        <w:rPr>
          <w:rFonts w:cs="Arial"/>
          <w:b/>
          <w:bCs/>
          <w:sz w:val="24"/>
          <w:szCs w:val="24"/>
        </w:rPr>
      </w:pPr>
      <w:r w:rsidRPr="00007309">
        <w:rPr>
          <w:rFonts w:cs="Arial"/>
          <w:b/>
          <w:bCs/>
          <w:sz w:val="24"/>
          <w:szCs w:val="24"/>
          <w:rtl/>
        </w:rPr>
        <w:t xml:space="preserve">אֲבָל </w:t>
      </w:r>
      <w:r w:rsidRPr="00007309">
        <w:rPr>
          <w:rFonts w:cs="Arial"/>
          <w:b/>
          <w:bCs/>
          <w:sz w:val="36"/>
          <w:szCs w:val="28"/>
          <w:vertAlign w:val="superscript"/>
          <w:rtl/>
        </w:rPr>
        <w:footnoteReference w:id="6172"/>
      </w:r>
      <w:r w:rsidRPr="00007309">
        <w:rPr>
          <w:rFonts w:cs="Arial"/>
          <w:b/>
          <w:bCs/>
          <w:sz w:val="24"/>
          <w:szCs w:val="24"/>
          <w:rtl/>
        </w:rPr>
        <w:t xml:space="preserve">מִסִּטְרָא דְּאִלֵּין דְּלֵית בְּהוּ מִקְרָא מִשְׁנָה </w:t>
      </w:r>
      <w:r w:rsidRPr="00007309">
        <w:rPr>
          <w:rFonts w:ascii="Cambria" w:hAnsi="Cambria" w:cs="Times New Roman" w:hint="cs"/>
          <w:b/>
          <w:bCs/>
          <w:i/>
          <w:iCs/>
          <w:color w:val="4F81BD"/>
          <w:sz w:val="22"/>
          <w:szCs w:val="22"/>
          <w:rtl/>
        </w:rPr>
        <w:t xml:space="preserve">(עד ע"ג) </w:t>
      </w:r>
      <w:r w:rsidRPr="00007309">
        <w:rPr>
          <w:rFonts w:cs="Arial"/>
          <w:b/>
          <w:bCs/>
          <w:sz w:val="24"/>
          <w:szCs w:val="24"/>
          <w:rtl/>
        </w:rPr>
        <w:t xml:space="preserve">וְקַבָּלָה, דְּאִנּוּן עַמֵּי הָאָרֶץ, לֵהּ סְלִיקוּ בְּהוֹן. וּבְגִין דָּא אָמַר קֹהֶלֶת בְּאֹרַח רְמִיזָא, (קהלת ג) כִּי מִי יוֹדֵעַ </w:t>
      </w:r>
      <w:r w:rsidRPr="00007309">
        <w:rPr>
          <w:rFonts w:cs="Arial"/>
          <w:b/>
          <w:bCs/>
          <w:sz w:val="36"/>
          <w:szCs w:val="28"/>
          <w:vertAlign w:val="superscript"/>
          <w:rtl/>
        </w:rPr>
        <w:footnoteReference w:id="6173"/>
      </w:r>
      <w:r w:rsidRPr="00007309">
        <w:rPr>
          <w:rFonts w:cs="Arial"/>
          <w:b/>
          <w:bCs/>
          <w:sz w:val="24"/>
          <w:szCs w:val="24"/>
          <w:rtl/>
        </w:rPr>
        <w:t xml:space="preserve">רוּחַ בְּנֵי הָאָדָם הָעוֹלָה הִיא לְמַעְלָה וְרוּחַ הַבְּהֵמָה הַיּוֹרֶדֶת הִיא לְמַטָה לָאָרֶץ. וְרוּחַ הַבְּהֵמָה אִלֵּין אִנּוּן עַמֵּי הָאָרֶץ. </w:t>
      </w:r>
      <w:r w:rsidRPr="00007309">
        <w:rPr>
          <w:rFonts w:cs="Arial"/>
          <w:b/>
          <w:bCs/>
          <w:sz w:val="36"/>
          <w:szCs w:val="28"/>
          <w:vertAlign w:val="superscript"/>
          <w:rtl/>
        </w:rPr>
        <w:footnoteReference w:id="6174"/>
      </w:r>
      <w:r w:rsidRPr="00007309">
        <w:rPr>
          <w:rFonts w:cs="Arial"/>
          <w:b/>
          <w:bCs/>
          <w:sz w:val="24"/>
          <w:szCs w:val="24"/>
          <w:rtl/>
        </w:rPr>
        <w:t>וּלְזִמְנִין נַפְקִין מִנַּיְהוּ זַרְעָא מֵעַלְיָא בְּנֵי תּוֹרָה לְאִסְתַּלְּקָא בְּהוֹן בְּגִין דָּא אוֹקְמוּהּ מִכָּל מָקוֹם הִזָּהֲרוּ בְּעַמֵּי הָאָרֶץ דִּלְזִמְנִין נַפְקִין מִנְּהוֹן בְּנֵי מֵעַלְיָא מָארֵי אוֹרַיְתָא</w:t>
      </w:r>
      <w:r w:rsidRPr="00007309">
        <w:rPr>
          <w:rFonts w:cs="Arial"/>
          <w:b/>
          <w:bCs/>
          <w:sz w:val="24"/>
          <w:szCs w:val="24"/>
        </w:rPr>
        <w:t>:</w:t>
      </w:r>
    </w:p>
    <w:p w:rsidR="00007309" w:rsidRPr="00007309" w:rsidRDefault="00007309" w:rsidP="00007309">
      <w:pPr>
        <w:jc w:val="both"/>
        <w:rPr>
          <w:rFonts w:cs="Arial"/>
          <w:b/>
          <w:bCs/>
          <w:sz w:val="24"/>
          <w:szCs w:val="24"/>
        </w:rPr>
      </w:pPr>
      <w:r w:rsidRPr="00007309">
        <w:rPr>
          <w:rFonts w:cs="Arial"/>
          <w:b/>
          <w:bCs/>
          <w:sz w:val="24"/>
          <w:szCs w:val="24"/>
          <w:rtl/>
        </w:rPr>
        <w:t>קָם בּוּצִינָא קַדִּישָׁא וְכֻלְּהוּ מַשִּׁרְיָן לְנַשְּׁקָא הַהוּא סָבָא פָּרַח. אָמַר רִבִּי שִׁמְעוֹן וַדַּאי הַהוּא סָבָא, לָא בָּעָא לְנַטְלָא אַגְרָא מִנָּן לְנַשְּׁקָא לֵהּ, וּבְגִין דָּא פָּרַח. זַכָּאָה חוּלָקָנָא דְּזָכִינָא לְמִשְׁמַע אַגְרָא דְּפִקּוּדָא דִּצְלוֹתָא בְּעָלְמָא דְּאָתֵי</w:t>
      </w:r>
      <w:r w:rsidRPr="00007309">
        <w:rPr>
          <w:rFonts w:cs="Arial"/>
          <w:b/>
          <w:bCs/>
          <w:sz w:val="24"/>
          <w:szCs w:val="24"/>
        </w:rPr>
        <w:t>:</w:t>
      </w:r>
    </w:p>
    <w:p w:rsidR="00007309" w:rsidRPr="00007309" w:rsidRDefault="00007309" w:rsidP="00007309">
      <w:pPr>
        <w:jc w:val="both"/>
        <w:rPr>
          <w:rFonts w:cs="Arial"/>
          <w:b/>
          <w:bCs/>
          <w:sz w:val="24"/>
          <w:szCs w:val="24"/>
        </w:rPr>
      </w:pPr>
      <w:r w:rsidRPr="00007309">
        <w:rPr>
          <w:rFonts w:cs="Arial"/>
          <w:b/>
          <w:bCs/>
          <w:sz w:val="24"/>
          <w:szCs w:val="24"/>
          <w:rtl/>
        </w:rPr>
        <w:t xml:space="preserve">קָם רִבִּי אֶלְעָזָר וְאָמַר, אַבָּא מָאן הֲוָה הַהוּא סָבָא. אָמַר וַדַּאי רַב הַמְנוּנָא סָבָא, אִשְׁתְּמוֹדַע דְּנִשְׁמָתֵהּ נַחְתָּא מִתְלַבְּשָׁא בָּאֲוִירָא דְּהֶבֶל דְּאוֹרַיְתָא. דִּבְזִמְנָא דְּצַדִּיקַיָּא מִתְעַסְּקִין בְּאוֹרַיְתָא, </w:t>
      </w:r>
      <w:r w:rsidRPr="00007309">
        <w:rPr>
          <w:rFonts w:cs="Arial"/>
          <w:b/>
          <w:bCs/>
          <w:sz w:val="36"/>
          <w:szCs w:val="28"/>
          <w:vertAlign w:val="superscript"/>
          <w:rtl/>
        </w:rPr>
        <w:footnoteReference w:id="6175"/>
      </w:r>
      <w:r w:rsidRPr="00007309">
        <w:rPr>
          <w:rFonts w:cs="Arial"/>
          <w:b/>
          <w:bCs/>
          <w:sz w:val="24"/>
          <w:szCs w:val="24"/>
          <w:rtl/>
        </w:rPr>
        <w:t xml:space="preserve">כָּל אִלֵּין הֲבָלִים דְּסָלְקִין מִפּוּמֵיהוֹן בְּאוֹרַיְתָא, כְּמָה נִשְׁמָתִין דְּהַהוּא עָלְמָא רָכָבַן עָלַיְהוּ וּמִתְלַבְּשָׁן בְּהוּ. וְקָלִין וְדִבּוּרִין דְּאוֹרַיְתָא אִתְעֲבִידוּ לוֹן כְּסוּסְוָן, וְרַכְבִין עָלַיְהוּ וְנַחְתִּין בְּהַאי עָלְמָא. </w:t>
      </w:r>
      <w:r w:rsidRPr="00007309">
        <w:rPr>
          <w:rFonts w:cs="Arial"/>
          <w:b/>
          <w:bCs/>
          <w:sz w:val="36"/>
          <w:szCs w:val="28"/>
          <w:vertAlign w:val="superscript"/>
          <w:rtl/>
        </w:rPr>
        <w:footnoteReference w:id="6176"/>
      </w:r>
      <w:r w:rsidRPr="00007309">
        <w:rPr>
          <w:rFonts w:cs="Arial"/>
          <w:b/>
          <w:bCs/>
          <w:sz w:val="24"/>
          <w:szCs w:val="24"/>
          <w:rtl/>
        </w:rPr>
        <w:t xml:space="preserve">וַאֲפִלּוּ מַלְאָכִין. וְכָל שֶׁכֵּן בְּחִבּוּרָא דָּא, </w:t>
      </w:r>
      <w:r w:rsidRPr="00007309">
        <w:rPr>
          <w:rFonts w:cs="Arial"/>
          <w:b/>
          <w:bCs/>
          <w:sz w:val="36"/>
          <w:szCs w:val="28"/>
          <w:vertAlign w:val="superscript"/>
          <w:rtl/>
        </w:rPr>
        <w:footnoteReference w:id="6177"/>
      </w:r>
      <w:r w:rsidRPr="00007309">
        <w:rPr>
          <w:rFonts w:cs="Arial"/>
          <w:b/>
          <w:bCs/>
          <w:sz w:val="24"/>
          <w:szCs w:val="24"/>
          <w:rtl/>
        </w:rPr>
        <w:t xml:space="preserve">וּבְמָארֵי דְּהַאי חִבּוּרָא </w:t>
      </w:r>
      <w:r w:rsidRPr="00007309">
        <w:rPr>
          <w:rFonts w:cs="Arial"/>
          <w:b/>
          <w:bCs/>
          <w:sz w:val="36"/>
          <w:szCs w:val="28"/>
          <w:vertAlign w:val="superscript"/>
          <w:rtl/>
        </w:rPr>
        <w:footnoteReference w:id="6178"/>
      </w:r>
      <w:r w:rsidRPr="00007309">
        <w:rPr>
          <w:rFonts w:cs="Arial"/>
          <w:b/>
          <w:bCs/>
          <w:sz w:val="24"/>
          <w:szCs w:val="24"/>
          <w:rtl/>
        </w:rPr>
        <w:t xml:space="preserve">דְּבֵהּ קוּדְשָׁא בְּרִיךְ הוּא הַטֵה </w:t>
      </w:r>
      <w:r w:rsidRPr="00007309">
        <w:rPr>
          <w:rFonts w:cs="Arial"/>
          <w:b/>
          <w:bCs/>
          <w:sz w:val="36"/>
          <w:szCs w:val="28"/>
          <w:vertAlign w:val="superscript"/>
          <w:rtl/>
        </w:rPr>
        <w:footnoteReference w:id="6179"/>
      </w:r>
      <w:r w:rsidRPr="00007309">
        <w:rPr>
          <w:rFonts w:cs="Arial"/>
          <w:b/>
          <w:bCs/>
          <w:sz w:val="24"/>
          <w:szCs w:val="24"/>
          <w:rtl/>
        </w:rPr>
        <w:t xml:space="preserve">הַשָּׁמַיִם וּשְׁמֵי הַשָּׁמַיִם </w:t>
      </w:r>
      <w:r w:rsidRPr="00007309">
        <w:rPr>
          <w:rFonts w:cs="Arial"/>
          <w:b/>
          <w:bCs/>
          <w:sz w:val="36"/>
          <w:szCs w:val="28"/>
          <w:vertAlign w:val="superscript"/>
          <w:rtl/>
        </w:rPr>
        <w:footnoteReference w:id="6180"/>
      </w:r>
      <w:r w:rsidRPr="00007309">
        <w:rPr>
          <w:rFonts w:cs="Arial"/>
          <w:b/>
          <w:bCs/>
          <w:sz w:val="24"/>
          <w:szCs w:val="24"/>
          <w:rtl/>
        </w:rPr>
        <w:t xml:space="preserve">כְּגַוְנֵי דְּסִינַי, וְאִיהוּ נָחִית עָלֵהּ לְאָקָמָא שְׁכִינְתֵּהּ </w:t>
      </w:r>
      <w:r w:rsidRPr="00007309">
        <w:rPr>
          <w:rFonts w:cs="Arial"/>
          <w:b/>
          <w:bCs/>
          <w:sz w:val="36"/>
          <w:szCs w:val="28"/>
          <w:vertAlign w:val="superscript"/>
          <w:rtl/>
        </w:rPr>
        <w:footnoteReference w:id="6181"/>
      </w:r>
      <w:r w:rsidRPr="00007309">
        <w:rPr>
          <w:rFonts w:cs="Arial"/>
          <w:b/>
          <w:bCs/>
          <w:sz w:val="24"/>
          <w:szCs w:val="24"/>
          <w:rtl/>
        </w:rPr>
        <w:t xml:space="preserve">בְּשִׁתִּין רִבּוֹא דְּמַלְאָכִין. וּבְכָל נִשְׁמָתִין דְּאִתְבְּרִיאוּ וַעֲתִידִין לְמִבְרֵי. הָדָא הוּא דִּכְתִיב (דברים כט) כִּי אֶת אֲשֶׁר יֶשְׁנוֹ פֹּה עִמָּנוּ וְגוֹמֵר. </w:t>
      </w:r>
      <w:r w:rsidRPr="00007309">
        <w:rPr>
          <w:rFonts w:cs="Arial"/>
          <w:b/>
          <w:bCs/>
          <w:sz w:val="36"/>
          <w:szCs w:val="28"/>
          <w:vertAlign w:val="superscript"/>
          <w:rtl/>
        </w:rPr>
        <w:footnoteReference w:id="6182"/>
      </w:r>
      <w:r w:rsidRPr="00007309">
        <w:rPr>
          <w:rFonts w:cs="Arial"/>
          <w:b/>
          <w:bCs/>
          <w:sz w:val="24"/>
          <w:szCs w:val="24"/>
          <w:rtl/>
        </w:rPr>
        <w:t xml:space="preserve">וּבְנִשְׁמָתִין דַּאֲצִילוּתָא דְּפוּמֵהּ אִיהִי סִינַי. וְקָלָא דִּילֵהּ אָתָא כְּגַוְנָא דְּקָלָא דְּמָארֵהּ דְּאִתְּמַר בֵּהּ (דברים ד) </w:t>
      </w:r>
      <w:r w:rsidRPr="00007309">
        <w:rPr>
          <w:rFonts w:cs="Arial"/>
          <w:b/>
          <w:bCs/>
          <w:sz w:val="36"/>
          <w:szCs w:val="28"/>
          <w:vertAlign w:val="superscript"/>
          <w:rtl/>
        </w:rPr>
        <w:footnoteReference w:id="6183"/>
      </w:r>
      <w:r w:rsidRPr="00007309">
        <w:rPr>
          <w:rFonts w:cs="Arial"/>
          <w:b/>
          <w:bCs/>
          <w:sz w:val="24"/>
          <w:szCs w:val="24"/>
          <w:rtl/>
        </w:rPr>
        <w:t>קוֹל דְּבָרִים</w:t>
      </w:r>
      <w:r w:rsidRPr="00007309">
        <w:rPr>
          <w:rFonts w:cs="Arial"/>
          <w:b/>
          <w:bCs/>
          <w:sz w:val="24"/>
          <w:szCs w:val="24"/>
        </w:rPr>
        <w:t xml:space="preserve"> </w:t>
      </w:r>
      <w:r w:rsidRPr="00007309">
        <w:rPr>
          <w:rFonts w:cs="Arial"/>
          <w:b/>
          <w:bCs/>
          <w:sz w:val="24"/>
          <w:szCs w:val="24"/>
          <w:rtl/>
        </w:rPr>
        <w:t xml:space="preserve">אַתֶּם שׁוֹמְעִים. </w:t>
      </w:r>
      <w:r w:rsidRPr="00007309">
        <w:rPr>
          <w:rFonts w:cs="Arial"/>
          <w:b/>
          <w:bCs/>
          <w:sz w:val="36"/>
          <w:szCs w:val="28"/>
          <w:vertAlign w:val="superscript"/>
          <w:rtl/>
        </w:rPr>
        <w:footnoteReference w:id="6184"/>
      </w:r>
      <w:r w:rsidRPr="00007309">
        <w:rPr>
          <w:rFonts w:cs="Arial"/>
          <w:b/>
          <w:bCs/>
          <w:sz w:val="24"/>
          <w:szCs w:val="24"/>
          <w:rtl/>
        </w:rPr>
        <w:t xml:space="preserve">וְכָל דִּבּוּר וְדִבּוּר אִתְעֲבִיד מִנֵּהּ מַלְאָךְ. </w:t>
      </w:r>
      <w:r w:rsidRPr="00007309">
        <w:rPr>
          <w:rFonts w:cs="Arial"/>
          <w:b/>
          <w:bCs/>
          <w:sz w:val="36"/>
          <w:szCs w:val="28"/>
          <w:vertAlign w:val="superscript"/>
          <w:rtl/>
        </w:rPr>
        <w:footnoteReference w:id="6185"/>
      </w:r>
      <w:r w:rsidRPr="00007309">
        <w:rPr>
          <w:rFonts w:cs="Arial"/>
          <w:b/>
          <w:bCs/>
          <w:sz w:val="24"/>
          <w:szCs w:val="24"/>
          <w:rtl/>
        </w:rPr>
        <w:t xml:space="preserve">וְנִשְׁמְתָא דִּילֵהּ בְּגִינַהּ מַכְרִיזִין לְעֵלָּא, כַּד סַלְקָא בְּכָל לֵילְיָא הָבוּ יְקָרָא לְדִיּוֹקְנָא דְּמַלְכָּא. אַדְּהָכִי הָא רָעֲיָא מְהֵימָנָא קָא אָתֵי נָטַל </w:t>
      </w:r>
      <w:r w:rsidRPr="00007309">
        <w:rPr>
          <w:rFonts w:cs="Arial"/>
          <w:b/>
          <w:bCs/>
          <w:sz w:val="36"/>
          <w:szCs w:val="28"/>
          <w:vertAlign w:val="superscript"/>
          <w:rtl/>
        </w:rPr>
        <w:footnoteReference w:id="6186"/>
      </w:r>
      <w:r w:rsidRPr="00007309">
        <w:rPr>
          <w:rFonts w:cs="Arial"/>
          <w:b/>
          <w:bCs/>
          <w:sz w:val="24"/>
          <w:szCs w:val="24"/>
          <w:rtl/>
        </w:rPr>
        <w:t>קִרְטָא בִּידֵהּ</w:t>
      </w:r>
      <w:r w:rsidRPr="00007309">
        <w:rPr>
          <w:rFonts w:cs="Arial"/>
          <w:b/>
          <w:bCs/>
          <w:sz w:val="24"/>
          <w:szCs w:val="24"/>
        </w:rPr>
        <w:t>:</w:t>
      </w:r>
    </w:p>
    <w:p w:rsidR="00007309" w:rsidRPr="00007309" w:rsidRDefault="00007309" w:rsidP="00007309">
      <w:pPr>
        <w:keepNext/>
        <w:spacing w:before="240" w:after="60"/>
        <w:jc w:val="right"/>
        <w:outlineLvl w:val="2"/>
        <w:rPr>
          <w:rFonts w:ascii="Cambria" w:hAnsi="Cambria" w:cs="Times New Roman"/>
          <w:b/>
          <w:bCs/>
          <w:sz w:val="26"/>
          <w:szCs w:val="26"/>
          <w:rtl/>
        </w:rPr>
      </w:pPr>
      <w:r w:rsidRPr="00007309">
        <w:rPr>
          <w:rFonts w:ascii="Cambria" w:hAnsi="Cambria" w:cs="Times New Roman" w:hint="cs"/>
          <w:b/>
          <w:bCs/>
          <w:sz w:val="26"/>
          <w:szCs w:val="26"/>
          <w:rtl/>
        </w:rPr>
        <w:t>[וילנא דף ז ע"א]</w:t>
      </w:r>
    </w:p>
    <w:p w:rsidR="00007309" w:rsidRPr="00007309" w:rsidRDefault="00007309" w:rsidP="00007309">
      <w:pPr>
        <w:jc w:val="both"/>
        <w:rPr>
          <w:rFonts w:cs="Arial"/>
          <w:b/>
          <w:bCs/>
          <w:sz w:val="24"/>
          <w:szCs w:val="24"/>
        </w:rPr>
      </w:pPr>
      <w:r w:rsidRPr="00007309">
        <w:rPr>
          <w:rFonts w:cs="Arial"/>
          <w:b/>
          <w:bCs/>
          <w:sz w:val="24"/>
          <w:szCs w:val="24"/>
          <w:rtl/>
        </w:rPr>
        <w:t xml:space="preserve">פָּתַח וְאָמַר זַרְקָא </w:t>
      </w:r>
      <w:r w:rsidRPr="00007309">
        <w:rPr>
          <w:rFonts w:cs="Arial"/>
          <w:b/>
          <w:bCs/>
          <w:sz w:val="36"/>
          <w:szCs w:val="28"/>
          <w:vertAlign w:val="superscript"/>
          <w:rtl/>
        </w:rPr>
        <w:footnoteReference w:id="6187"/>
      </w:r>
      <w:r w:rsidRPr="00007309">
        <w:rPr>
          <w:rFonts w:cs="Arial"/>
          <w:b/>
          <w:bCs/>
          <w:sz w:val="24"/>
          <w:szCs w:val="24"/>
          <w:rtl/>
        </w:rPr>
        <w:t xml:space="preserve">מקף שׁוֹפָר הוֹלֵךְ סְגוֹלְתָּא. </w:t>
      </w:r>
      <w:r w:rsidRPr="00007309">
        <w:rPr>
          <w:rFonts w:cs="Arial"/>
          <w:b/>
          <w:bCs/>
          <w:sz w:val="36"/>
          <w:szCs w:val="28"/>
          <w:vertAlign w:val="superscript"/>
          <w:rtl/>
        </w:rPr>
        <w:footnoteReference w:id="6188"/>
      </w:r>
      <w:r w:rsidRPr="00007309">
        <w:rPr>
          <w:rFonts w:cs="Arial"/>
          <w:b/>
          <w:bCs/>
          <w:sz w:val="24"/>
          <w:szCs w:val="24"/>
          <w:rtl/>
        </w:rPr>
        <w:t xml:space="preserve">נָטִיל תְּלָת אַבְנִין </w:t>
      </w:r>
      <w:r w:rsidRPr="00007309">
        <w:rPr>
          <w:rFonts w:cs="Arial"/>
          <w:b/>
          <w:bCs/>
          <w:sz w:val="36"/>
          <w:szCs w:val="28"/>
          <w:vertAlign w:val="superscript"/>
          <w:rtl/>
        </w:rPr>
        <w:footnoteReference w:id="6189"/>
      </w:r>
      <w:r w:rsidRPr="00007309">
        <w:rPr>
          <w:rFonts w:cs="Arial"/>
          <w:b/>
          <w:bCs/>
          <w:sz w:val="24"/>
          <w:szCs w:val="24"/>
          <w:rtl/>
        </w:rPr>
        <w:t xml:space="preserve">וְזָרִיק לוֹן לְגַבֵּי עֵלָּא. וְכַד זָרִיק לוֹן אִתְעֲבִידוּ אַבְנָא חֲדָא, וְאָמַר לְמָארֵי מְתִיבְתָּא, </w:t>
      </w:r>
      <w:r w:rsidRPr="00007309">
        <w:rPr>
          <w:rFonts w:cs="Arial"/>
          <w:b/>
          <w:bCs/>
          <w:sz w:val="36"/>
          <w:szCs w:val="28"/>
          <w:vertAlign w:val="superscript"/>
          <w:rtl/>
        </w:rPr>
        <w:footnoteReference w:id="6190"/>
      </w:r>
      <w:r w:rsidRPr="00007309">
        <w:rPr>
          <w:rFonts w:cs="Arial"/>
          <w:b/>
          <w:bCs/>
          <w:sz w:val="24"/>
          <w:szCs w:val="24"/>
          <w:rtl/>
        </w:rPr>
        <w:t>קַבִּילוּ הַאי אַבְנָא לְגַבַּיְכוּ, דְּהָא שְׁכִינְתָּא אִיהִי בְּגָלוּתָא וְלֵית בָּכוּ מָאן דְּיִתְּעַר לְגַבָּהּ לְרַצָּאָה לָהּ לְגַבֵּי בַּעְלָהּ</w:t>
      </w:r>
      <w:r w:rsidRPr="00007309">
        <w:rPr>
          <w:rFonts w:cs="Arial" w:hint="cs"/>
          <w:b/>
          <w:bCs/>
          <w:sz w:val="24"/>
          <w:szCs w:val="24"/>
          <w:rtl/>
        </w:rPr>
        <w:t>.</w:t>
      </w:r>
      <w:r w:rsidRPr="00007309">
        <w:rPr>
          <w:rFonts w:cs="Arial"/>
          <w:b/>
          <w:bCs/>
          <w:sz w:val="24"/>
          <w:szCs w:val="24"/>
          <w:rtl/>
        </w:rPr>
        <w:t xml:space="preserve"> וְלֹא עוֹד אֶלָּא כַּמָּה מָארֵי מִדְרָשׁוֹת </w:t>
      </w:r>
      <w:r w:rsidRPr="00007309">
        <w:rPr>
          <w:rFonts w:cs="Arial"/>
          <w:b/>
          <w:bCs/>
          <w:sz w:val="36"/>
          <w:szCs w:val="28"/>
          <w:vertAlign w:val="superscript"/>
          <w:rtl/>
        </w:rPr>
        <w:footnoteReference w:id="6191"/>
      </w:r>
      <w:r w:rsidRPr="00007309">
        <w:rPr>
          <w:rFonts w:cs="Arial"/>
          <w:b/>
          <w:bCs/>
          <w:sz w:val="24"/>
          <w:szCs w:val="24"/>
          <w:rtl/>
        </w:rPr>
        <w:t xml:space="preserve">דְּאִנּוּן חֲבֵרִין לְגַבַּיְכוּ, צַוְחִין בְּכָל יוֹמָא וְלֵילְיָא בְּאוֹרַיְתָא דִּבְעַל פֶּה, בְּכַמָּה קוּשְׁיָן וְצַוְחִין בָּהּ </w:t>
      </w:r>
      <w:r w:rsidRPr="00007309">
        <w:rPr>
          <w:rFonts w:cs="Arial" w:hint="cs"/>
          <w:b/>
          <w:bCs/>
          <w:sz w:val="24"/>
          <w:szCs w:val="24"/>
          <w:rtl/>
        </w:rPr>
        <w:t>כ</w:t>
      </w:r>
      <w:r w:rsidRPr="00007309">
        <w:rPr>
          <w:rFonts w:cs="Arial"/>
          <w:b/>
          <w:bCs/>
          <w:sz w:val="24"/>
          <w:szCs w:val="24"/>
          <w:rtl/>
        </w:rPr>
        <w:t>ְּכַלְבִין דְּאָמְרִין הַב הַב</w:t>
      </w:r>
      <w:r w:rsidRPr="00007309">
        <w:rPr>
          <w:rFonts w:cs="Arial" w:hint="cs"/>
          <w:b/>
          <w:bCs/>
          <w:sz w:val="24"/>
          <w:szCs w:val="24"/>
          <w:rtl/>
        </w:rPr>
        <w:t>,</w:t>
      </w:r>
      <w:r w:rsidRPr="00007309">
        <w:rPr>
          <w:rFonts w:cs="Arial"/>
          <w:b/>
          <w:bCs/>
          <w:sz w:val="24"/>
          <w:szCs w:val="24"/>
          <w:rtl/>
        </w:rPr>
        <w:t xml:space="preserve"> כְּגַוְנָא דְּגֵיהִנֹּם דְּצָוַח הַב הַב, הָדָא הוּא דִּכְתִיב </w:t>
      </w:r>
      <w:r w:rsidRPr="00007309">
        <w:rPr>
          <w:rtl/>
        </w:rPr>
        <w:t>(משלי ל)</w:t>
      </w:r>
      <w:r w:rsidRPr="00007309">
        <w:rPr>
          <w:rFonts w:cs="Arial"/>
          <w:b/>
          <w:bCs/>
          <w:sz w:val="24"/>
          <w:szCs w:val="24"/>
          <w:rtl/>
        </w:rPr>
        <w:t xml:space="preserve"> לַעֲלֻקָּה שְׁתֵּי בָּנוֹת הַב הַב</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6192"/>
      </w:r>
      <w:r w:rsidRPr="00007309">
        <w:rPr>
          <w:rFonts w:cs="Arial"/>
          <w:b/>
          <w:bCs/>
          <w:sz w:val="24"/>
          <w:szCs w:val="24"/>
          <w:rtl/>
        </w:rPr>
        <w:t>הַב לָן עוּתְרָא בְּעָלְמָא דֵּין הָב לָן עוּתְרָא בְּעָלְמָא דְּאָתֵי</w:t>
      </w:r>
      <w:r w:rsidRPr="00007309">
        <w:rPr>
          <w:rFonts w:cs="Arial" w:hint="cs"/>
          <w:b/>
          <w:bCs/>
          <w:sz w:val="24"/>
          <w:szCs w:val="24"/>
          <w:rtl/>
        </w:rPr>
        <w:t>,</w:t>
      </w:r>
      <w:r w:rsidRPr="00007309">
        <w:rPr>
          <w:rFonts w:cs="Arial"/>
          <w:b/>
          <w:bCs/>
          <w:sz w:val="24"/>
          <w:szCs w:val="24"/>
          <w:rtl/>
        </w:rPr>
        <w:t xml:space="preserve"> כְּמָה דְּאוֹקְמוּהּ לְמֹד תּוֹרָה הַרְבֵּה וְיִתְּנוּ לְךָ שָׂכָר הַרְבֵּה. וְלֵית מָאן דְּיִשְׁתְּדַל בְּאוֹרַיְתָא, לְסַלְקָא בֵּהּ שְׁכִינְתָּא מִן גָּלוּתָא, וּלְיַחֲדָא לָהּ עִם בַּעְלָהּ</w:t>
      </w:r>
      <w:r w:rsidRPr="00007309">
        <w:rPr>
          <w:rFonts w:cs="Arial" w:hint="cs"/>
          <w:b/>
          <w:bCs/>
          <w:sz w:val="24"/>
          <w:szCs w:val="24"/>
          <w:rtl/>
        </w:rPr>
        <w:t>.</w:t>
      </w:r>
      <w:r w:rsidRPr="00007309">
        <w:rPr>
          <w:rFonts w:cs="Arial"/>
          <w:b/>
          <w:bCs/>
          <w:sz w:val="24"/>
          <w:szCs w:val="24"/>
          <w:rtl/>
        </w:rPr>
        <w:t xml:space="preserve"> דְּאִנּוּן </w:t>
      </w:r>
      <w:r w:rsidRPr="00007309">
        <w:rPr>
          <w:rFonts w:cs="Arial"/>
          <w:b/>
          <w:bCs/>
          <w:sz w:val="36"/>
          <w:szCs w:val="28"/>
          <w:vertAlign w:val="superscript"/>
          <w:rtl/>
        </w:rPr>
        <w:footnoteReference w:id="6193"/>
      </w:r>
      <w:r w:rsidRPr="00007309">
        <w:rPr>
          <w:rFonts w:cs="Arial"/>
          <w:b/>
          <w:bCs/>
          <w:sz w:val="24"/>
          <w:szCs w:val="24"/>
          <w:rtl/>
        </w:rPr>
        <w:t xml:space="preserve">אֲטִימִין דְּעַיְנִין סְתִימִין דְּלִבָּא, וּבְגִין דָּא קָלָא נָפַק בְּכָל לֵילְיָא כַּד נָחִית קוּדְשָׁא בְּרִיךְ הוּא בְּגִנְתָּא דְּעֵדֶן, דְּסַלְקִין נִשְׁמָתִין קַמֵּהּ, וְהַהוּא קָלָא אָמַר קְרָא כְּדִכְתִיב </w:t>
      </w:r>
      <w:r w:rsidRPr="00007309">
        <w:rPr>
          <w:rtl/>
        </w:rPr>
        <w:t>(ישעיה מ</w:t>
      </w:r>
      <w:r w:rsidRPr="00007309">
        <w:rPr>
          <w:rFonts w:hint="cs"/>
          <w:rtl/>
        </w:rPr>
        <w:t xml:space="preserve"> ו</w:t>
      </w:r>
      <w:r w:rsidRPr="00007309">
        <w:rPr>
          <w:rtl/>
        </w:rPr>
        <w:t>)</w:t>
      </w:r>
      <w:r w:rsidRPr="00007309">
        <w:rPr>
          <w:rFonts w:cs="Arial"/>
          <w:b/>
          <w:bCs/>
          <w:sz w:val="24"/>
          <w:szCs w:val="24"/>
          <w:rtl/>
        </w:rPr>
        <w:t xml:space="preserve"> קוֹל אוֹמֵר קָרָא</w:t>
      </w:r>
      <w:r w:rsidRPr="00007309">
        <w:rPr>
          <w:rFonts w:cs="Arial" w:hint="cs"/>
          <w:b/>
          <w:bCs/>
          <w:sz w:val="24"/>
          <w:szCs w:val="24"/>
          <w:rtl/>
        </w:rPr>
        <w:t>,</w:t>
      </w:r>
      <w:r w:rsidRPr="00007309">
        <w:rPr>
          <w:rFonts w:cs="Arial"/>
          <w:b/>
          <w:bCs/>
          <w:sz w:val="24"/>
          <w:szCs w:val="24"/>
          <w:rtl/>
        </w:rPr>
        <w:t xml:space="preserve"> זִיל וְאִמָּא לוֹן דְּיִשְׁתַּדְּלוּן בְּאוֹרַיְתָא</w:t>
      </w:r>
      <w:r w:rsidRPr="00007309">
        <w:rPr>
          <w:rFonts w:cs="Arial" w:hint="cs"/>
          <w:b/>
          <w:bCs/>
          <w:sz w:val="24"/>
          <w:szCs w:val="24"/>
          <w:rtl/>
        </w:rPr>
        <w:t>,</w:t>
      </w:r>
      <w:r w:rsidRPr="00007309">
        <w:rPr>
          <w:rFonts w:cs="Arial"/>
          <w:b/>
          <w:bCs/>
          <w:sz w:val="24"/>
          <w:szCs w:val="24"/>
          <w:rtl/>
        </w:rPr>
        <w:t xml:space="preserve"> לְחַבְּרָא שְׁכִינְתָּא עִם קוּדְשָׁא בְּרִיךְ הוּא</w:t>
      </w:r>
      <w:r w:rsidRPr="00007309">
        <w:rPr>
          <w:rFonts w:cs="Arial" w:hint="cs"/>
          <w:b/>
          <w:bCs/>
          <w:sz w:val="24"/>
          <w:szCs w:val="24"/>
          <w:rtl/>
        </w:rPr>
        <w:t>,</w:t>
      </w:r>
      <w:r w:rsidRPr="00007309">
        <w:rPr>
          <w:rFonts w:cs="Arial"/>
          <w:b/>
          <w:bCs/>
          <w:sz w:val="24"/>
          <w:szCs w:val="24"/>
          <w:rtl/>
        </w:rPr>
        <w:t xml:space="preserve"> כְּגַוְנָא דְּדָוִד דְּאָמַר </w:t>
      </w:r>
      <w:r w:rsidRPr="00007309">
        <w:rPr>
          <w:rtl/>
        </w:rPr>
        <w:t>(תהלים</w:t>
      </w:r>
      <w:r w:rsidRPr="00007309">
        <w:rPr>
          <w:rFonts w:cs="Arial"/>
          <w:b/>
          <w:bCs/>
          <w:sz w:val="24"/>
          <w:szCs w:val="24"/>
          <w:rtl/>
        </w:rPr>
        <w:t xml:space="preserve"> </w:t>
      </w:r>
      <w:r w:rsidRPr="00007309">
        <w:rPr>
          <w:rtl/>
        </w:rPr>
        <w:t>קלב)</w:t>
      </w:r>
      <w:r w:rsidRPr="00007309">
        <w:rPr>
          <w:rFonts w:cs="Arial"/>
          <w:b/>
          <w:bCs/>
          <w:sz w:val="24"/>
          <w:szCs w:val="24"/>
          <w:rtl/>
        </w:rPr>
        <w:t xml:space="preserve"> אִם אֶתֵּן שְׁנַת לְעֵינַי לְעַפְעַפַּי תְנוּמָה עַד אֶמְצָא </w:t>
      </w:r>
      <w:r w:rsidRPr="00007309">
        <w:rPr>
          <w:rFonts w:cs="Arial"/>
          <w:b/>
          <w:bCs/>
          <w:sz w:val="36"/>
          <w:szCs w:val="28"/>
          <w:vertAlign w:val="superscript"/>
          <w:rtl/>
        </w:rPr>
        <w:footnoteReference w:id="6194"/>
      </w:r>
      <w:r w:rsidRPr="00007309">
        <w:rPr>
          <w:rFonts w:cs="Arial"/>
          <w:b/>
          <w:bCs/>
          <w:sz w:val="24"/>
          <w:szCs w:val="24"/>
          <w:rtl/>
        </w:rPr>
        <w:t xml:space="preserve">מָקוֹם לַה'. וְאִיהוּ הֲוָה מִשְׁתַּדַּל בְּאוֹרַיְתָא לְחַבְּרָא אִמָּא דְּאִתְּמַר בָּהּ </w:t>
      </w:r>
      <w:r w:rsidRPr="00007309">
        <w:rPr>
          <w:rtl/>
        </w:rPr>
        <w:t>(משלי א)</w:t>
      </w:r>
      <w:r w:rsidRPr="00007309">
        <w:rPr>
          <w:rFonts w:cs="Arial"/>
          <w:b/>
          <w:bCs/>
          <w:sz w:val="24"/>
          <w:szCs w:val="24"/>
          <w:rtl/>
        </w:rPr>
        <w:t xml:space="preserve"> וְאַל תִּטֹשׁ </w:t>
      </w:r>
      <w:r w:rsidRPr="00007309">
        <w:rPr>
          <w:rFonts w:cs="Arial"/>
          <w:b/>
          <w:bCs/>
          <w:sz w:val="36"/>
          <w:szCs w:val="28"/>
          <w:vertAlign w:val="superscript"/>
          <w:rtl/>
        </w:rPr>
        <w:footnoteReference w:id="6195"/>
      </w:r>
      <w:r w:rsidRPr="00007309">
        <w:rPr>
          <w:rFonts w:cs="Arial"/>
          <w:b/>
          <w:bCs/>
          <w:sz w:val="24"/>
          <w:szCs w:val="24"/>
          <w:rtl/>
        </w:rPr>
        <w:t>תּוֹרַת אִמֶּךָ עִם בַּעְלָהּ. דְּהָא שְׁכִינְתָּא</w:t>
      </w:r>
      <w:r w:rsidRPr="00007309">
        <w:rPr>
          <w:rFonts w:cs="Arial" w:hint="cs"/>
          <w:b/>
          <w:bCs/>
          <w:sz w:val="24"/>
          <w:szCs w:val="24"/>
          <w:rtl/>
        </w:rPr>
        <w:t>,</w:t>
      </w:r>
      <w:r w:rsidRPr="00007309">
        <w:rPr>
          <w:rFonts w:cs="Arial"/>
          <w:b/>
          <w:bCs/>
          <w:sz w:val="24"/>
          <w:szCs w:val="24"/>
          <w:rtl/>
        </w:rPr>
        <w:t xml:space="preserve"> מִסִּטְרָא דְּחֶסֶד אִתְקְרִיאַת גְּמִילוּת חֲסָדִים</w:t>
      </w:r>
      <w:r w:rsidRPr="00007309">
        <w:rPr>
          <w:rFonts w:cs="Arial" w:hint="cs"/>
          <w:b/>
          <w:bCs/>
          <w:sz w:val="24"/>
          <w:szCs w:val="24"/>
          <w:rtl/>
        </w:rPr>
        <w:t>,</w:t>
      </w:r>
      <w:r w:rsidRPr="00007309">
        <w:rPr>
          <w:rFonts w:cs="Arial"/>
          <w:b/>
          <w:bCs/>
          <w:sz w:val="24"/>
          <w:szCs w:val="24"/>
          <w:rtl/>
        </w:rPr>
        <w:t xml:space="preserve"> וּמִסִּטְרָא דִּגְבוּרָה אִתְקְרִיאַת </w:t>
      </w:r>
      <w:r w:rsidRPr="00007309">
        <w:rPr>
          <w:rFonts w:cs="Arial"/>
          <w:b/>
          <w:bCs/>
          <w:sz w:val="36"/>
          <w:szCs w:val="28"/>
          <w:vertAlign w:val="superscript"/>
          <w:rtl/>
        </w:rPr>
        <w:footnoteReference w:id="6196"/>
      </w:r>
      <w:r w:rsidRPr="00007309">
        <w:rPr>
          <w:rFonts w:cs="Arial"/>
          <w:b/>
          <w:bCs/>
          <w:sz w:val="24"/>
          <w:szCs w:val="24"/>
          <w:rtl/>
        </w:rPr>
        <w:t>עֲקֵדָה וְקָרְבְּנָא</w:t>
      </w:r>
      <w:r w:rsidRPr="00007309">
        <w:rPr>
          <w:rFonts w:cs="Arial" w:hint="cs"/>
          <w:b/>
          <w:bCs/>
          <w:sz w:val="24"/>
          <w:szCs w:val="24"/>
          <w:rtl/>
        </w:rPr>
        <w:t>,</w:t>
      </w:r>
      <w:r w:rsidRPr="00007309">
        <w:rPr>
          <w:rFonts w:cs="Arial"/>
          <w:b/>
          <w:bCs/>
          <w:sz w:val="24"/>
          <w:szCs w:val="24"/>
          <w:rtl/>
        </w:rPr>
        <w:t xml:space="preserve"> וּמִסִּטְרָא דְּעַמּוּדָא דְּאֶמְצָעִיתָא אִתְקְרִיאַת תּוֹרָה. וְלֵית מָאן דְּיִתְּעַר לָהּ בְּאִלֵּין מִדּוֹת לְגַבֵּי בַּעְלָהּ </w:t>
      </w:r>
      <w:r w:rsidRPr="00007309">
        <w:rPr>
          <w:rFonts w:cs="Arial"/>
          <w:b/>
          <w:bCs/>
          <w:sz w:val="36"/>
          <w:szCs w:val="28"/>
          <w:vertAlign w:val="superscript"/>
          <w:rtl/>
        </w:rPr>
        <w:footnoteReference w:id="6197"/>
      </w:r>
      <w:r w:rsidRPr="00007309">
        <w:rPr>
          <w:rFonts w:cs="Arial"/>
          <w:b/>
          <w:bCs/>
          <w:sz w:val="24"/>
          <w:szCs w:val="24"/>
          <w:rtl/>
        </w:rPr>
        <w:t xml:space="preserve">הָדָא הוּא דִּכְתִיב </w:t>
      </w:r>
      <w:r w:rsidRPr="00007309">
        <w:rPr>
          <w:rtl/>
        </w:rPr>
        <w:t>(ישעיה נא)</w:t>
      </w:r>
      <w:r w:rsidRPr="00007309">
        <w:rPr>
          <w:rFonts w:cs="Arial"/>
          <w:b/>
          <w:bCs/>
          <w:sz w:val="24"/>
          <w:szCs w:val="24"/>
          <w:rtl/>
        </w:rPr>
        <w:t xml:space="preserve"> אֵין מְנַהֵל לָהּ וְגוֹ'. וּבְגִין דָּא קָלָא אָמַר </w:t>
      </w:r>
      <w:r w:rsidRPr="00007309">
        <w:rPr>
          <w:rtl/>
        </w:rPr>
        <w:t>(ישעיה מ</w:t>
      </w:r>
      <w:r w:rsidRPr="00007309">
        <w:rPr>
          <w:rFonts w:hint="cs"/>
          <w:rtl/>
        </w:rPr>
        <w:t xml:space="preserve"> ו</w:t>
      </w:r>
      <w:r w:rsidRPr="00007309">
        <w:rPr>
          <w:rtl/>
        </w:rPr>
        <w:t>)</w:t>
      </w:r>
      <w:r w:rsidRPr="00007309">
        <w:rPr>
          <w:rFonts w:hint="cs"/>
          <w:rtl/>
        </w:rPr>
        <w:t xml:space="preserve"> </w:t>
      </w:r>
      <w:r w:rsidRPr="00007309">
        <w:rPr>
          <w:rFonts w:cs="Arial"/>
          <w:b/>
          <w:bCs/>
          <w:sz w:val="24"/>
          <w:szCs w:val="24"/>
          <w:rtl/>
        </w:rPr>
        <w:t>מָה אֶקְרָא כָּל הַבָּשָׂר חָצִיר</w:t>
      </w:r>
      <w:r w:rsidRPr="00007309">
        <w:rPr>
          <w:rFonts w:cs="Arial" w:hint="cs"/>
          <w:b/>
          <w:bCs/>
          <w:sz w:val="24"/>
          <w:szCs w:val="24"/>
          <w:rtl/>
        </w:rPr>
        <w:t>,</w:t>
      </w:r>
      <w:r w:rsidRPr="00007309">
        <w:rPr>
          <w:rFonts w:cs="Arial"/>
          <w:b/>
          <w:bCs/>
          <w:sz w:val="24"/>
          <w:szCs w:val="24"/>
          <w:rtl/>
        </w:rPr>
        <w:t xml:space="preserve"> דְּלָא מִשְׁתַּדְּלִין </w:t>
      </w:r>
      <w:r w:rsidRPr="00007309">
        <w:rPr>
          <w:rFonts w:cs="Arial"/>
          <w:b/>
          <w:bCs/>
          <w:sz w:val="36"/>
          <w:szCs w:val="28"/>
          <w:vertAlign w:val="superscript"/>
          <w:rtl/>
        </w:rPr>
        <w:footnoteReference w:id="6198"/>
      </w:r>
      <w:r w:rsidRPr="00007309">
        <w:rPr>
          <w:rFonts w:cs="Arial"/>
          <w:b/>
          <w:bCs/>
          <w:sz w:val="24"/>
          <w:szCs w:val="24"/>
          <w:rtl/>
        </w:rPr>
        <w:t xml:space="preserve">אֶלָּא לְדַבְּחָא בִּשְׂרָא, ואִלֵּין אִנּוּן </w:t>
      </w:r>
      <w:r w:rsidRPr="00007309">
        <w:rPr>
          <w:rFonts w:ascii="Cambria" w:hAnsi="Cambria" w:cs="Times New Roman" w:hint="cs"/>
          <w:b/>
          <w:bCs/>
          <w:i/>
          <w:iCs/>
          <w:color w:val="4F81BD"/>
          <w:sz w:val="24"/>
          <w:szCs w:val="24"/>
          <w:rtl/>
        </w:rPr>
        <w:t>(וילנא דף ז' ע"א)</w:t>
      </w:r>
      <w:r w:rsidRPr="00007309">
        <w:rPr>
          <w:rFonts w:cs="Arial" w:hint="cs"/>
          <w:b/>
          <w:bCs/>
          <w:sz w:val="24"/>
          <w:szCs w:val="24"/>
          <w:rtl/>
        </w:rPr>
        <w:t xml:space="preserve"> </w:t>
      </w:r>
      <w:r w:rsidRPr="00007309">
        <w:rPr>
          <w:rFonts w:cs="Arial"/>
          <w:b/>
          <w:bCs/>
          <w:sz w:val="24"/>
          <w:szCs w:val="24"/>
          <w:rtl/>
        </w:rPr>
        <w:t>עַמֵּי הָאָרֶץ</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6199"/>
      </w:r>
      <w:r w:rsidRPr="00007309">
        <w:rPr>
          <w:rFonts w:cs="Arial"/>
          <w:b/>
          <w:bCs/>
          <w:sz w:val="24"/>
          <w:szCs w:val="24"/>
          <w:rtl/>
        </w:rPr>
        <w:t>וְאִלֵּין דְּמִשְׁתַּדְּלִין בִּגְמִילוּת חֶסֶד וּבְאוֹרַיְתָא, לֹא מִשְׁתַּדְּלִין אֶלָּא לְגַרְמַיְהוּ, וּבְגִינַיְהוּ אִתְּמַר וְכָל</w:t>
      </w:r>
      <w:r w:rsidRPr="00007309">
        <w:rPr>
          <w:rFonts w:cs="Arial"/>
          <w:b/>
          <w:bCs/>
          <w:sz w:val="24"/>
          <w:szCs w:val="24"/>
        </w:rPr>
        <w:t xml:space="preserve"> </w:t>
      </w:r>
      <w:r w:rsidRPr="00007309">
        <w:rPr>
          <w:rFonts w:cs="Arial"/>
          <w:b/>
          <w:bCs/>
          <w:sz w:val="24"/>
          <w:szCs w:val="24"/>
          <w:rtl/>
        </w:rPr>
        <w:t xml:space="preserve">חַסְדּוֹ </w:t>
      </w:r>
      <w:r w:rsidRPr="00007309">
        <w:rPr>
          <w:rFonts w:cs="Arial"/>
          <w:b/>
          <w:bCs/>
          <w:sz w:val="36"/>
          <w:szCs w:val="28"/>
          <w:vertAlign w:val="superscript"/>
          <w:rtl/>
        </w:rPr>
        <w:footnoteReference w:id="6200"/>
      </w:r>
      <w:r w:rsidRPr="00007309">
        <w:rPr>
          <w:rFonts w:cs="Arial"/>
          <w:b/>
          <w:bCs/>
          <w:sz w:val="24"/>
          <w:szCs w:val="24"/>
          <w:rtl/>
        </w:rPr>
        <w:t xml:space="preserve">כְּצִיץ הַשָּדֶה. </w:t>
      </w:r>
      <w:r w:rsidRPr="00007309">
        <w:rPr>
          <w:rFonts w:cs="Arial"/>
          <w:b/>
          <w:bCs/>
          <w:sz w:val="36"/>
          <w:szCs w:val="28"/>
          <w:vertAlign w:val="superscript"/>
          <w:rtl/>
        </w:rPr>
        <w:footnoteReference w:id="6201"/>
      </w:r>
      <w:r w:rsidRPr="00007309">
        <w:rPr>
          <w:rFonts w:cs="Arial"/>
          <w:b/>
          <w:bCs/>
          <w:sz w:val="24"/>
          <w:szCs w:val="24"/>
          <w:rtl/>
        </w:rPr>
        <w:t xml:space="preserve">וְכָל אִלֵּין דְּלָא מִשְׁתַּדְּלִין בֵּהּ לִשְׁמָהּ, רוּחָא קוּדְשָׁא דְּאִיהִי שְׁכִינְתָּא לָא שַׁרְיָא עָלַיְהוּ, הָדָא הוּא דִּכְתִיב </w:t>
      </w:r>
      <w:r w:rsidRPr="00007309">
        <w:rPr>
          <w:rtl/>
        </w:rPr>
        <w:t>(תהלים עח)</w:t>
      </w:r>
      <w:r w:rsidRPr="00007309">
        <w:rPr>
          <w:rFonts w:cs="Arial"/>
          <w:b/>
          <w:bCs/>
          <w:sz w:val="24"/>
          <w:szCs w:val="24"/>
          <w:rtl/>
        </w:rPr>
        <w:t xml:space="preserve"> וַיִּזְכֹּר כִּי בָּשָׂר הֵמָּה רוּחַ הוֹלֵךְ וְלֹא יָשׁוּב</w:t>
      </w:r>
      <w:r w:rsidRPr="00007309">
        <w:rPr>
          <w:rFonts w:cs="Arial"/>
          <w:b/>
          <w:bCs/>
          <w:sz w:val="24"/>
          <w:szCs w:val="24"/>
        </w:rPr>
        <w:t>:</w:t>
      </w:r>
    </w:p>
    <w:p w:rsidR="00007309" w:rsidRPr="00007309" w:rsidRDefault="00007309" w:rsidP="00007309">
      <w:pPr>
        <w:jc w:val="both"/>
        <w:rPr>
          <w:rFonts w:cs="Arial"/>
          <w:b/>
          <w:bCs/>
          <w:sz w:val="24"/>
          <w:szCs w:val="24"/>
          <w:rtl/>
        </w:rPr>
      </w:pPr>
      <w:r w:rsidRPr="00007309">
        <w:rPr>
          <w:rFonts w:cs="Arial"/>
          <w:b/>
          <w:bCs/>
          <w:sz w:val="24"/>
          <w:szCs w:val="24"/>
          <w:rtl/>
        </w:rPr>
        <w:t xml:space="preserve">וְאִית דְּלָא מִשְׁתַּדְּלִין בְּאוֹרַיְתָא דִּבְעַל פֶּה לִשְׁמָהּ, וְאִתְּמַר בְּהוֹן </w:t>
      </w:r>
      <w:r w:rsidRPr="00007309">
        <w:rPr>
          <w:rtl/>
        </w:rPr>
        <w:t>(שמות א)</w:t>
      </w:r>
      <w:r w:rsidRPr="00007309">
        <w:rPr>
          <w:rFonts w:cs="Arial"/>
          <w:b/>
          <w:bCs/>
          <w:sz w:val="24"/>
          <w:szCs w:val="24"/>
          <w:rtl/>
        </w:rPr>
        <w:t xml:space="preserve"> וַיְמָרַרוּ אֶת חַיֵּיהֶם בַּעֲבֹדָה קָשָׁה דָּא קוּשְׁיָא, בְּחֹמֶר דָּא קַל וָחֹמֶר</w:t>
      </w:r>
      <w:r w:rsidRPr="00007309">
        <w:rPr>
          <w:rFonts w:cs="Arial" w:hint="cs"/>
          <w:b/>
          <w:bCs/>
          <w:sz w:val="24"/>
          <w:szCs w:val="24"/>
          <w:rtl/>
        </w:rPr>
        <w:t>,</w:t>
      </w:r>
      <w:r w:rsidRPr="00007309">
        <w:rPr>
          <w:rFonts w:cs="Arial"/>
          <w:b/>
          <w:bCs/>
          <w:sz w:val="24"/>
          <w:szCs w:val="24"/>
          <w:rtl/>
        </w:rPr>
        <w:t xml:space="preserve"> וּבִלְבֵנִים בְּלִבּוּן הַהֲלָכוֹת דַּעֲלַיְהוּ אִתְּמַר וְתֹכֶן לְבֵנִים תִּתְּנוּ</w:t>
      </w:r>
      <w:r w:rsidRPr="00007309">
        <w:rPr>
          <w:rFonts w:cs="Arial" w:hint="cs"/>
          <w:b/>
          <w:bCs/>
          <w:sz w:val="24"/>
          <w:szCs w:val="24"/>
          <w:rtl/>
        </w:rPr>
        <w:t>,</w:t>
      </w:r>
      <w:r w:rsidRPr="00007309">
        <w:rPr>
          <w:rFonts w:cs="Arial"/>
          <w:b/>
          <w:bCs/>
          <w:sz w:val="24"/>
          <w:szCs w:val="24"/>
          <w:rtl/>
        </w:rPr>
        <w:t xml:space="preserve"> בְּכָל עֲבוֹדָה בַּשָּדֶה </w:t>
      </w:r>
      <w:r w:rsidRPr="00007309">
        <w:rPr>
          <w:rFonts w:cs="Arial"/>
          <w:b/>
          <w:bCs/>
          <w:sz w:val="36"/>
          <w:szCs w:val="28"/>
          <w:vertAlign w:val="superscript"/>
          <w:rtl/>
        </w:rPr>
        <w:footnoteReference w:id="6202"/>
      </w:r>
      <w:r w:rsidRPr="00007309">
        <w:rPr>
          <w:rFonts w:cs="Arial"/>
          <w:b/>
          <w:bCs/>
          <w:sz w:val="24"/>
          <w:szCs w:val="24"/>
          <w:rtl/>
        </w:rPr>
        <w:t>דָּא בָּרַיְתָא</w:t>
      </w:r>
      <w:r w:rsidRPr="00007309">
        <w:rPr>
          <w:rFonts w:cs="Arial" w:hint="cs"/>
          <w:b/>
          <w:bCs/>
          <w:sz w:val="24"/>
          <w:szCs w:val="24"/>
          <w:rtl/>
        </w:rPr>
        <w:t>,</w:t>
      </w:r>
      <w:r w:rsidRPr="00007309">
        <w:rPr>
          <w:rFonts w:cs="Arial"/>
          <w:b/>
          <w:bCs/>
          <w:sz w:val="24"/>
          <w:szCs w:val="24"/>
          <w:rtl/>
        </w:rPr>
        <w:t xml:space="preserve"> אֶת כָּל עֲבוֹדָתָם דָּא </w:t>
      </w:r>
      <w:r w:rsidRPr="00007309">
        <w:rPr>
          <w:rFonts w:cs="Arial"/>
          <w:b/>
          <w:bCs/>
          <w:sz w:val="36"/>
          <w:szCs w:val="28"/>
          <w:vertAlign w:val="superscript"/>
          <w:rtl/>
        </w:rPr>
        <w:footnoteReference w:id="6203"/>
      </w:r>
      <w:r w:rsidRPr="00007309">
        <w:rPr>
          <w:rFonts w:cs="Arial"/>
          <w:b/>
          <w:bCs/>
          <w:sz w:val="24"/>
          <w:szCs w:val="24"/>
          <w:rtl/>
        </w:rPr>
        <w:t>פִּסְקָא</w:t>
      </w:r>
      <w:r w:rsidRPr="00007309">
        <w:rPr>
          <w:rFonts w:cs="Arial" w:hint="cs"/>
          <w:b/>
          <w:bCs/>
          <w:sz w:val="24"/>
          <w:szCs w:val="24"/>
          <w:rtl/>
        </w:rPr>
        <w:t>,</w:t>
      </w:r>
      <w:r w:rsidRPr="00007309">
        <w:rPr>
          <w:rFonts w:cs="Arial"/>
          <w:b/>
          <w:bCs/>
          <w:sz w:val="24"/>
          <w:szCs w:val="24"/>
          <w:rtl/>
        </w:rPr>
        <w:t xml:space="preserve"> אֲשֶׁר עָבְדוּ בָּהֶם בְּפָרֶךְ פִּרְכָא. כַּד מָטוּ לְעָמְקָא שֶל הֲלָכָה אִתְּמַר בְּהוֹן </w:t>
      </w:r>
      <w:r w:rsidRPr="00007309">
        <w:rPr>
          <w:rFonts w:cs="Arial"/>
          <w:b/>
          <w:bCs/>
          <w:sz w:val="36"/>
          <w:szCs w:val="28"/>
          <w:vertAlign w:val="superscript"/>
          <w:rtl/>
        </w:rPr>
        <w:footnoteReference w:id="6204"/>
      </w:r>
      <w:r w:rsidRPr="00007309">
        <w:rPr>
          <w:rFonts w:cs="Arial"/>
          <w:b/>
          <w:bCs/>
          <w:sz w:val="24"/>
          <w:szCs w:val="24"/>
          <w:rtl/>
        </w:rPr>
        <w:t xml:space="preserve">לֵית הֲלָכָה כִּפְלוֹנִי. </w:t>
      </w:r>
    </w:p>
    <w:p w:rsidR="00007309" w:rsidRPr="00007309" w:rsidRDefault="00007309" w:rsidP="00007309">
      <w:pPr>
        <w:keepNext/>
        <w:spacing w:before="240" w:after="60"/>
        <w:outlineLvl w:val="1"/>
        <w:rPr>
          <w:rFonts w:ascii="Cambria" w:hAnsi="Cambria" w:cs="Times New Roman"/>
          <w:b/>
          <w:bCs/>
          <w:i/>
          <w:iCs/>
          <w:sz w:val="28"/>
          <w:szCs w:val="28"/>
          <w:rtl/>
        </w:rPr>
      </w:pPr>
      <w:r w:rsidRPr="00007309">
        <w:rPr>
          <w:rFonts w:ascii="Cambria" w:hAnsi="Cambria" w:cs="Times New Roman" w:hint="cs"/>
          <w:b/>
          <w:bCs/>
          <w:i/>
          <w:iCs/>
          <w:sz w:val="28"/>
          <w:szCs w:val="28"/>
          <w:rtl/>
        </w:rPr>
        <w:t>[דף עד ע"ד]</w:t>
      </w:r>
    </w:p>
    <w:p w:rsidR="00007309" w:rsidRPr="00007309" w:rsidRDefault="00007309" w:rsidP="00007309">
      <w:pPr>
        <w:jc w:val="both"/>
        <w:rPr>
          <w:rFonts w:cs="Arial"/>
          <w:b/>
          <w:bCs/>
          <w:sz w:val="24"/>
          <w:szCs w:val="24"/>
          <w:rtl/>
        </w:rPr>
      </w:pPr>
      <w:r w:rsidRPr="00007309">
        <w:rPr>
          <w:rFonts w:cs="Arial"/>
          <w:b/>
          <w:bCs/>
          <w:sz w:val="24"/>
          <w:szCs w:val="24"/>
          <w:rtl/>
        </w:rPr>
        <w:t xml:space="preserve">וְאִית אָחֳרָנִין דְּמִשְׁתַּדְּלִין בָּהּ לִשְׁמָהּ, מָארֵי תְּרִיסִין דְּבֵהּ מִדְרָשָׁא דְּאִתְּמַר בְּהוֹן </w:t>
      </w:r>
      <w:r w:rsidRPr="00007309">
        <w:rPr>
          <w:rtl/>
        </w:rPr>
        <w:t>(במדבר יט)</w:t>
      </w:r>
      <w:r w:rsidRPr="00007309">
        <w:rPr>
          <w:rFonts w:cs="Arial"/>
          <w:b/>
          <w:bCs/>
          <w:sz w:val="24"/>
          <w:szCs w:val="24"/>
          <w:rtl/>
        </w:rPr>
        <w:t xml:space="preserve"> אָדָם כִּי יָמוּת </w:t>
      </w:r>
      <w:r w:rsidRPr="00007309">
        <w:rPr>
          <w:rFonts w:cs="Arial"/>
          <w:b/>
          <w:bCs/>
          <w:sz w:val="36"/>
          <w:szCs w:val="28"/>
          <w:vertAlign w:val="superscript"/>
          <w:rtl/>
        </w:rPr>
        <w:footnoteReference w:id="6205"/>
      </w:r>
      <w:r w:rsidRPr="00007309">
        <w:rPr>
          <w:rFonts w:cs="Arial"/>
          <w:b/>
          <w:bCs/>
          <w:sz w:val="24"/>
          <w:szCs w:val="24"/>
          <w:rtl/>
        </w:rPr>
        <w:t>בָּאֹהֶל כְּמָה דְּאוֹקְמוּהּ מָארֵי מַתְנִיתִין אֵין הַתּוֹרָה מִתְקַיְּמֶת אֶלָּא בְּמִי שֶׁמֵּמִית עַצְמוֹ עָלֶיהָ</w:t>
      </w:r>
      <w:r w:rsidRPr="00007309">
        <w:rPr>
          <w:rFonts w:cs="Arial" w:hint="cs"/>
          <w:b/>
          <w:bCs/>
          <w:sz w:val="24"/>
          <w:szCs w:val="24"/>
          <w:rtl/>
        </w:rPr>
        <w:t xml:space="preserve">, </w:t>
      </w:r>
      <w:r w:rsidRPr="00007309">
        <w:rPr>
          <w:rFonts w:cs="Arial"/>
          <w:b/>
          <w:bCs/>
          <w:sz w:val="24"/>
          <w:szCs w:val="24"/>
          <w:rtl/>
        </w:rPr>
        <w:t xml:space="preserve">וְלֵית מִיתָה אֶלָּא עֹנִי דְּאוֹקְמוּהּ בֵּהּ </w:t>
      </w:r>
      <w:r w:rsidRPr="00007309">
        <w:rPr>
          <w:rFonts w:hint="cs"/>
          <w:rtl/>
        </w:rPr>
        <w:t xml:space="preserve">(משנה אבות ו ד) </w:t>
      </w:r>
      <w:r w:rsidRPr="00007309">
        <w:rPr>
          <w:rFonts w:cs="Arial"/>
          <w:b/>
          <w:bCs/>
          <w:sz w:val="36"/>
          <w:szCs w:val="28"/>
          <w:vertAlign w:val="superscript"/>
          <w:rtl/>
        </w:rPr>
        <w:footnoteReference w:id="6206"/>
      </w:r>
      <w:r w:rsidRPr="00007309">
        <w:rPr>
          <w:rFonts w:cs="Arial"/>
          <w:b/>
          <w:bCs/>
          <w:sz w:val="24"/>
          <w:szCs w:val="24"/>
          <w:rtl/>
        </w:rPr>
        <w:t>פַּת בַּמֶּלַח תֹּאכַל</w:t>
      </w:r>
      <w:r w:rsidRPr="00007309">
        <w:rPr>
          <w:rFonts w:cs="Arial" w:hint="cs"/>
          <w:b/>
          <w:bCs/>
          <w:sz w:val="24"/>
          <w:szCs w:val="24"/>
          <w:rtl/>
        </w:rPr>
        <w:t>,</w:t>
      </w:r>
      <w:r w:rsidRPr="00007309">
        <w:rPr>
          <w:rFonts w:cs="Arial"/>
          <w:b/>
          <w:bCs/>
          <w:sz w:val="24"/>
          <w:szCs w:val="24"/>
          <w:rtl/>
        </w:rPr>
        <w:t xml:space="preserve"> וְעָלַיְהוּ אִתְּמַר </w:t>
      </w:r>
      <w:r w:rsidRPr="00007309">
        <w:rPr>
          <w:rtl/>
        </w:rPr>
        <w:t>(ישעיה כו</w:t>
      </w:r>
      <w:r w:rsidRPr="00007309">
        <w:rPr>
          <w:rFonts w:hint="cs"/>
          <w:rtl/>
        </w:rPr>
        <w:t xml:space="preserve"> יט</w:t>
      </w:r>
      <w:r w:rsidRPr="00007309">
        <w:rPr>
          <w:rtl/>
        </w:rPr>
        <w:t xml:space="preserve">) </w:t>
      </w:r>
      <w:r w:rsidRPr="00007309">
        <w:rPr>
          <w:rFonts w:cs="Arial"/>
          <w:b/>
          <w:bCs/>
          <w:sz w:val="24"/>
          <w:szCs w:val="24"/>
          <w:rtl/>
        </w:rPr>
        <w:t xml:space="preserve">יִחְיוּ מֵתֶיךָ אִלֵּין דְּאִתְּמַר בְּהוֹן </w:t>
      </w:r>
      <w:r w:rsidRPr="00007309">
        <w:rPr>
          <w:rtl/>
        </w:rPr>
        <w:t>(במדבר יט)</w:t>
      </w:r>
      <w:r w:rsidRPr="00007309">
        <w:rPr>
          <w:rFonts w:cs="Arial"/>
          <w:b/>
          <w:bCs/>
          <w:sz w:val="24"/>
          <w:szCs w:val="24"/>
          <w:rtl/>
        </w:rPr>
        <w:t xml:space="preserve"> אָדָם כִּי יָמוּת בָּאֹהֶל</w:t>
      </w:r>
      <w:r w:rsidRPr="00007309">
        <w:rPr>
          <w:rFonts w:cs="Arial" w:hint="cs"/>
          <w:b/>
          <w:bCs/>
          <w:sz w:val="24"/>
          <w:szCs w:val="24"/>
          <w:rtl/>
        </w:rPr>
        <w:t>,</w:t>
      </w:r>
      <w:r w:rsidRPr="00007309">
        <w:rPr>
          <w:rFonts w:cs="Arial"/>
          <w:b/>
          <w:bCs/>
          <w:sz w:val="24"/>
          <w:szCs w:val="24"/>
          <w:rtl/>
        </w:rPr>
        <w:t xml:space="preserve"> דְּוַדַּאי בְּהוֹן אִתְקַיְּמַת שְׁכִינְתָּא</w:t>
      </w:r>
      <w:r w:rsidRPr="00007309">
        <w:rPr>
          <w:rFonts w:cs="Arial" w:hint="cs"/>
          <w:b/>
          <w:bCs/>
          <w:sz w:val="24"/>
          <w:szCs w:val="24"/>
          <w:rtl/>
        </w:rPr>
        <w:t>,</w:t>
      </w:r>
      <w:r w:rsidRPr="00007309">
        <w:rPr>
          <w:rFonts w:cs="Arial"/>
          <w:b/>
          <w:bCs/>
          <w:sz w:val="24"/>
          <w:szCs w:val="24"/>
          <w:rtl/>
        </w:rPr>
        <w:t xml:space="preserve"> וְעָתִיד קוּדְשָׁא בְּרִיךְ הוּא לְאָחַיָּא לוֹן בֵּהּ כְּמָה דְּאוֹקְמוּהּ כָּל הַמְקַיִּם אֶת הַתּוֹרָה מֵעֹנִי </w:t>
      </w:r>
      <w:r w:rsidRPr="00007309">
        <w:rPr>
          <w:rFonts w:cs="Arial"/>
          <w:b/>
          <w:bCs/>
          <w:sz w:val="36"/>
          <w:szCs w:val="28"/>
          <w:vertAlign w:val="superscript"/>
          <w:rtl/>
        </w:rPr>
        <w:footnoteReference w:id="6207"/>
      </w:r>
      <w:r w:rsidRPr="00007309">
        <w:rPr>
          <w:rFonts w:cs="Arial"/>
          <w:b/>
          <w:bCs/>
          <w:sz w:val="24"/>
          <w:szCs w:val="24"/>
          <w:rtl/>
        </w:rPr>
        <w:t xml:space="preserve">סוֹפוֹ לְקַיְּמָהּ </w:t>
      </w:r>
      <w:r w:rsidRPr="00007309">
        <w:rPr>
          <w:rFonts w:ascii="Cambria" w:hAnsi="Cambria" w:cs="Times New Roman" w:hint="cs"/>
          <w:b/>
          <w:bCs/>
          <w:i/>
          <w:iCs/>
          <w:color w:val="4F81BD"/>
          <w:sz w:val="24"/>
          <w:szCs w:val="24"/>
          <w:rtl/>
        </w:rPr>
        <w:t>(דף עד ע"ד)</w:t>
      </w:r>
      <w:r w:rsidRPr="00007309">
        <w:rPr>
          <w:rFonts w:cs="Arial" w:hint="cs"/>
          <w:b/>
          <w:bCs/>
          <w:sz w:val="24"/>
          <w:szCs w:val="24"/>
          <w:rtl/>
        </w:rPr>
        <w:t xml:space="preserve"> כ</w:t>
      </w:r>
      <w:r w:rsidRPr="00007309">
        <w:rPr>
          <w:rFonts w:cs="Arial"/>
          <w:b/>
          <w:bCs/>
          <w:sz w:val="24"/>
          <w:szCs w:val="24"/>
          <w:rtl/>
        </w:rPr>
        <w:t xml:space="preserve">ו'. נְבֵלָתִי יְקוּמוּן </w:t>
      </w:r>
      <w:r w:rsidRPr="00007309">
        <w:rPr>
          <w:rtl/>
        </w:rPr>
        <w:t>(ישעיה כו</w:t>
      </w:r>
      <w:r w:rsidRPr="00007309">
        <w:rPr>
          <w:rFonts w:hint="cs"/>
          <w:rtl/>
        </w:rPr>
        <w:t xml:space="preserve"> יט</w:t>
      </w:r>
      <w:r w:rsidRPr="00007309">
        <w:rPr>
          <w:rtl/>
        </w:rPr>
        <w:t>)</w:t>
      </w:r>
      <w:r w:rsidRPr="00007309">
        <w:rPr>
          <w:rFonts w:cs="Arial"/>
          <w:b/>
          <w:bCs/>
          <w:sz w:val="24"/>
          <w:szCs w:val="24"/>
          <w:rtl/>
        </w:rPr>
        <w:t>, אִלֵּין דְּאִתְּמַר בְּהוֹן</w:t>
      </w:r>
      <w:r w:rsidRPr="00007309">
        <w:rPr>
          <w:rtl/>
        </w:rPr>
        <w:t xml:space="preserve"> </w:t>
      </w:r>
      <w:r w:rsidRPr="00007309">
        <w:rPr>
          <w:rFonts w:hint="cs"/>
          <w:rtl/>
        </w:rPr>
        <w:t xml:space="preserve">(משלי ל לב) </w:t>
      </w:r>
      <w:r w:rsidRPr="00007309">
        <w:rPr>
          <w:rFonts w:cs="Arial"/>
          <w:b/>
          <w:bCs/>
          <w:sz w:val="24"/>
          <w:szCs w:val="24"/>
          <w:rtl/>
        </w:rPr>
        <w:t>אִם נבלת בְּהִתְנַשֵּא</w:t>
      </w:r>
      <w:r w:rsidRPr="00007309">
        <w:rPr>
          <w:rFonts w:cs="Arial" w:hint="cs"/>
          <w:b/>
          <w:bCs/>
          <w:sz w:val="24"/>
          <w:szCs w:val="24"/>
          <w:rtl/>
        </w:rPr>
        <w:t>,</w:t>
      </w:r>
      <w:r w:rsidRPr="00007309">
        <w:rPr>
          <w:rFonts w:cs="Arial"/>
          <w:b/>
          <w:bCs/>
          <w:sz w:val="24"/>
          <w:szCs w:val="24"/>
          <w:rtl/>
        </w:rPr>
        <w:t xml:space="preserve"> וְאָמְרוּ מָארֵי מַתְנִיתִין</w:t>
      </w:r>
      <w:r w:rsidRPr="00007309">
        <w:rPr>
          <w:rtl/>
        </w:rPr>
        <w:t xml:space="preserve"> </w:t>
      </w:r>
      <w:r w:rsidRPr="00007309">
        <w:rPr>
          <w:rFonts w:hint="cs"/>
          <w:rtl/>
        </w:rPr>
        <w:t>(ברכות סג ע"ב)</w:t>
      </w:r>
      <w:r w:rsidRPr="00007309">
        <w:rPr>
          <w:rFonts w:cs="Arial" w:hint="cs"/>
          <w:b/>
          <w:bCs/>
          <w:sz w:val="24"/>
          <w:szCs w:val="24"/>
          <w:rtl/>
        </w:rPr>
        <w:t xml:space="preserve"> </w:t>
      </w:r>
      <w:r w:rsidRPr="00007309">
        <w:rPr>
          <w:rFonts w:cs="Arial"/>
          <w:b/>
          <w:bCs/>
          <w:sz w:val="36"/>
          <w:szCs w:val="28"/>
          <w:vertAlign w:val="superscript"/>
          <w:rtl/>
        </w:rPr>
        <w:footnoteReference w:id="6208"/>
      </w:r>
      <w:r w:rsidRPr="00007309">
        <w:rPr>
          <w:rFonts w:cs="Arial"/>
          <w:b/>
          <w:bCs/>
          <w:sz w:val="24"/>
          <w:szCs w:val="24"/>
          <w:rtl/>
        </w:rPr>
        <w:t>כָּל הַמְנַבֵּל עַצְמוֹ עַל הַתּוֹרָה לַסּוֹף מִתְנַשֵּא. הָקִיצוּ וְרַנְּנוּ שֹׁכְנֵי עָפָר</w:t>
      </w:r>
      <w:r w:rsidRPr="00007309">
        <w:rPr>
          <w:rtl/>
        </w:rPr>
        <w:t xml:space="preserve"> </w:t>
      </w:r>
      <w:r w:rsidRPr="00007309">
        <w:rPr>
          <w:rFonts w:hint="cs"/>
          <w:rtl/>
        </w:rPr>
        <w:t xml:space="preserve">(ישעיהו כו יט) </w:t>
      </w:r>
      <w:r w:rsidRPr="00007309">
        <w:rPr>
          <w:rFonts w:cs="Arial"/>
          <w:b/>
          <w:bCs/>
          <w:sz w:val="24"/>
          <w:szCs w:val="24"/>
          <w:rtl/>
        </w:rPr>
        <w:t xml:space="preserve">אִלֵּין דְּאִתְּמַר בְּהוֹן </w:t>
      </w:r>
      <w:r w:rsidRPr="00007309">
        <w:rPr>
          <w:rFonts w:hint="cs"/>
          <w:rtl/>
        </w:rPr>
        <w:t xml:space="preserve">(משנה אבות ו ד) </w:t>
      </w:r>
      <w:r w:rsidRPr="00007309">
        <w:rPr>
          <w:rFonts w:cs="Arial"/>
          <w:b/>
          <w:bCs/>
          <w:sz w:val="24"/>
          <w:szCs w:val="24"/>
          <w:rtl/>
        </w:rPr>
        <w:t>וְעַל הָאָרֶץ תִּישַׁן</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6209"/>
      </w:r>
      <w:r w:rsidRPr="00007309">
        <w:rPr>
          <w:rFonts w:cs="Arial"/>
          <w:b/>
          <w:bCs/>
          <w:sz w:val="24"/>
          <w:szCs w:val="24"/>
          <w:rtl/>
        </w:rPr>
        <w:t xml:space="preserve">בְּגִין הַהִיא דְּאִתְּמַר בָּהּ </w:t>
      </w:r>
      <w:r w:rsidRPr="00007309">
        <w:rPr>
          <w:rtl/>
        </w:rPr>
        <w:t>(קהלת ג כ)</w:t>
      </w:r>
      <w:r w:rsidRPr="00007309">
        <w:rPr>
          <w:rFonts w:cs="Arial"/>
          <w:b/>
          <w:bCs/>
          <w:sz w:val="24"/>
          <w:szCs w:val="24"/>
          <w:rtl/>
        </w:rPr>
        <w:t xml:space="preserve"> הַכֹּל הָיָה מִן הֶעָפָר </w:t>
      </w:r>
      <w:r w:rsidRPr="00007309">
        <w:rPr>
          <w:rFonts w:cs="Arial"/>
          <w:b/>
          <w:bCs/>
          <w:sz w:val="36"/>
          <w:szCs w:val="28"/>
          <w:vertAlign w:val="superscript"/>
          <w:rtl/>
        </w:rPr>
        <w:footnoteReference w:id="6210"/>
      </w:r>
      <w:r w:rsidRPr="00007309">
        <w:rPr>
          <w:rFonts w:cs="Arial"/>
          <w:b/>
          <w:bCs/>
          <w:sz w:val="24"/>
          <w:szCs w:val="24"/>
          <w:rtl/>
        </w:rPr>
        <w:t>וַאֲפִלּוּ</w:t>
      </w:r>
      <w:r w:rsidRPr="00007309">
        <w:rPr>
          <w:rFonts w:cs="Arial"/>
          <w:b/>
          <w:bCs/>
          <w:sz w:val="24"/>
          <w:szCs w:val="24"/>
        </w:rPr>
        <w:t xml:space="preserve"> </w:t>
      </w:r>
      <w:r w:rsidRPr="00007309">
        <w:rPr>
          <w:rFonts w:cs="Arial"/>
          <w:b/>
          <w:bCs/>
          <w:sz w:val="24"/>
          <w:szCs w:val="24"/>
          <w:rtl/>
        </w:rPr>
        <w:t xml:space="preserve">גַּלְגַּל חַמָּה, דְּבֵהּ בְּרִיךְ קוּדְשָׁא בְּרִיךְ הוּא לְאַבְרָהָם </w:t>
      </w:r>
      <w:r w:rsidRPr="00007309">
        <w:rPr>
          <w:rFonts w:hint="cs"/>
          <w:rtl/>
        </w:rPr>
        <w:t>(בראשית טו ה)</w:t>
      </w:r>
      <w:r w:rsidRPr="00007309">
        <w:rPr>
          <w:rFonts w:cs="Arial" w:hint="cs"/>
          <w:b/>
          <w:bCs/>
          <w:sz w:val="24"/>
          <w:szCs w:val="24"/>
          <w:rtl/>
        </w:rPr>
        <w:t xml:space="preserve"> </w:t>
      </w:r>
      <w:r w:rsidRPr="00007309">
        <w:rPr>
          <w:rFonts w:cs="Arial"/>
          <w:b/>
          <w:bCs/>
          <w:sz w:val="36"/>
          <w:szCs w:val="28"/>
          <w:vertAlign w:val="superscript"/>
          <w:rtl/>
        </w:rPr>
        <w:footnoteReference w:id="6211"/>
      </w:r>
      <w:r w:rsidRPr="00007309">
        <w:rPr>
          <w:rFonts w:cs="Arial"/>
          <w:b/>
          <w:bCs/>
          <w:sz w:val="24"/>
          <w:szCs w:val="24"/>
          <w:rtl/>
        </w:rPr>
        <w:t>כֹּה יִהְיֶה זַרְעֲךָ</w:t>
      </w:r>
      <w:r w:rsidRPr="00007309">
        <w:rPr>
          <w:rFonts w:cs="Arial" w:hint="cs"/>
          <w:b/>
          <w:bCs/>
          <w:sz w:val="24"/>
          <w:szCs w:val="24"/>
          <w:rtl/>
        </w:rPr>
        <w:t xml:space="preserve">. </w:t>
      </w:r>
      <w:r w:rsidRPr="00007309">
        <w:rPr>
          <w:rFonts w:hint="cs"/>
          <w:rtl/>
        </w:rPr>
        <w:t>(בראשית יג טז)</w:t>
      </w:r>
      <w:r w:rsidRPr="00007309">
        <w:rPr>
          <w:rFonts w:cs="Arial"/>
          <w:b/>
          <w:bCs/>
          <w:sz w:val="24"/>
          <w:szCs w:val="24"/>
          <w:rtl/>
        </w:rPr>
        <w:t xml:space="preserve"> כַּעֲפַר הָאָרֶץ</w:t>
      </w:r>
      <w:r w:rsidRPr="00007309">
        <w:rPr>
          <w:rFonts w:cs="Arial" w:hint="cs"/>
          <w:b/>
          <w:bCs/>
          <w:sz w:val="24"/>
          <w:szCs w:val="24"/>
          <w:rtl/>
        </w:rPr>
        <w:t>,</w:t>
      </w:r>
      <w:r w:rsidRPr="00007309">
        <w:rPr>
          <w:rFonts w:cs="Arial"/>
          <w:b/>
          <w:bCs/>
          <w:sz w:val="24"/>
          <w:szCs w:val="24"/>
          <w:rtl/>
        </w:rPr>
        <w:t xml:space="preserve"> וְדָא שְׁכִינְתָּא, דִּבְגִינַהּ אִתְּמַר בְּאִלֵּין דְּמִשְׁתַּדְּלִין בֵּהּ לִשְׁמָהּ, </w:t>
      </w:r>
      <w:r w:rsidRPr="00007309">
        <w:rPr>
          <w:rtl/>
        </w:rPr>
        <w:t>(דניאל יב ב)</w:t>
      </w:r>
      <w:r w:rsidRPr="00007309">
        <w:rPr>
          <w:rFonts w:cs="Arial"/>
          <w:b/>
          <w:bCs/>
          <w:sz w:val="24"/>
          <w:szCs w:val="24"/>
          <w:rtl/>
        </w:rPr>
        <w:t xml:space="preserve"> וְרַבִּים </w:t>
      </w:r>
      <w:r w:rsidRPr="00007309">
        <w:rPr>
          <w:rFonts w:cs="Arial"/>
          <w:b/>
          <w:bCs/>
          <w:sz w:val="36"/>
          <w:szCs w:val="28"/>
          <w:vertAlign w:val="superscript"/>
          <w:rtl/>
        </w:rPr>
        <w:footnoteReference w:id="6212"/>
      </w:r>
      <w:r w:rsidRPr="00007309">
        <w:rPr>
          <w:rFonts w:cs="Arial"/>
          <w:b/>
          <w:bCs/>
          <w:sz w:val="24"/>
          <w:szCs w:val="24"/>
          <w:rtl/>
        </w:rPr>
        <w:t xml:space="preserve">מִישֵׁנֵי אַדְמַת עָפָר יָקִיצוּ אֵלֶּה לְחַיֵּי עוֹלָם. </w:t>
      </w:r>
      <w:r w:rsidRPr="00007309">
        <w:rPr>
          <w:rFonts w:cs="Arial" w:hint="cs"/>
          <w:b/>
          <w:bCs/>
          <w:sz w:val="24"/>
          <w:szCs w:val="24"/>
          <w:rtl/>
        </w:rPr>
        <w:t xml:space="preserve">ואלין דלא משתדלין בה לשמה יהון לחרפות לדראון עולם.  </w:t>
      </w:r>
    </w:p>
    <w:p w:rsidR="00007309" w:rsidRPr="00007309" w:rsidRDefault="00007309" w:rsidP="00007309">
      <w:pPr>
        <w:jc w:val="both"/>
        <w:rPr>
          <w:rFonts w:cs="Arial"/>
          <w:b/>
          <w:bCs/>
          <w:sz w:val="24"/>
          <w:szCs w:val="24"/>
          <w:rtl/>
        </w:rPr>
      </w:pPr>
      <w:r w:rsidRPr="00007309">
        <w:rPr>
          <w:rFonts w:cs="Arial"/>
          <w:b/>
          <w:bCs/>
          <w:sz w:val="36"/>
          <w:szCs w:val="28"/>
          <w:vertAlign w:val="superscript"/>
          <w:rtl/>
        </w:rPr>
        <w:footnoteReference w:id="6213"/>
      </w:r>
      <w:r w:rsidRPr="00007309">
        <w:rPr>
          <w:rFonts w:cs="Arial"/>
          <w:b/>
          <w:bCs/>
          <w:sz w:val="24"/>
          <w:szCs w:val="24"/>
          <w:rtl/>
        </w:rPr>
        <w:t>כִּי טַל אוֹרוֹת טַלֶּךָ</w:t>
      </w:r>
      <w:r w:rsidRPr="00007309">
        <w:rPr>
          <w:rtl/>
        </w:rPr>
        <w:t xml:space="preserve"> (ישעיה כו יט)</w:t>
      </w:r>
      <w:r w:rsidRPr="00007309">
        <w:rPr>
          <w:rFonts w:cs="Arial"/>
          <w:b/>
          <w:bCs/>
          <w:sz w:val="24"/>
          <w:szCs w:val="24"/>
          <w:rtl/>
        </w:rPr>
        <w:t xml:space="preserve"> וְדָא יוּ"ד הֵ"א וָא"ו הַאי אִיהוּ </w:t>
      </w:r>
      <w:r w:rsidRPr="00007309">
        <w:rPr>
          <w:rFonts w:cs="Arial"/>
          <w:b/>
          <w:bCs/>
          <w:sz w:val="36"/>
          <w:szCs w:val="28"/>
          <w:vertAlign w:val="superscript"/>
          <w:rtl/>
        </w:rPr>
        <w:footnoteReference w:id="6214"/>
      </w:r>
      <w:r w:rsidRPr="00007309">
        <w:rPr>
          <w:rFonts w:cs="Arial"/>
          <w:b/>
          <w:bCs/>
          <w:sz w:val="24"/>
          <w:szCs w:val="24"/>
          <w:rtl/>
        </w:rPr>
        <w:t>חֻשְׁבַּן טָ"ל</w:t>
      </w:r>
      <w:r w:rsidRPr="00007309">
        <w:rPr>
          <w:rFonts w:cs="Arial" w:hint="cs"/>
          <w:b/>
          <w:bCs/>
          <w:sz w:val="24"/>
          <w:szCs w:val="24"/>
          <w:rtl/>
        </w:rPr>
        <w:t>.</w:t>
      </w:r>
      <w:r w:rsidRPr="00007309">
        <w:rPr>
          <w:rFonts w:cs="Arial"/>
          <w:b/>
          <w:bCs/>
          <w:sz w:val="24"/>
          <w:szCs w:val="24"/>
          <w:rtl/>
        </w:rPr>
        <w:t xml:space="preserve"> אוֹרַיְתָא דִּבְעַל פֶּה דְּאִיהוּ הֵ"א</w:t>
      </w:r>
      <w:r w:rsidRPr="00007309">
        <w:rPr>
          <w:rFonts w:cs="Arial" w:hint="cs"/>
          <w:b/>
          <w:bCs/>
          <w:sz w:val="24"/>
          <w:szCs w:val="24"/>
          <w:rtl/>
        </w:rPr>
        <w:t>,</w:t>
      </w:r>
      <w:r w:rsidRPr="00007309">
        <w:rPr>
          <w:rFonts w:cs="Arial"/>
          <w:b/>
          <w:bCs/>
          <w:sz w:val="24"/>
          <w:szCs w:val="24"/>
          <w:rtl/>
        </w:rPr>
        <w:t xml:space="preserve"> שִׁית סִדְרֵי מִשְׁנָה אִיהוּ בְּחֻשְׁבַּן הֵ"א. וּבְגִינַהּ אוֹקְמוּהּ מָארֵי מַתְנִיתִין כָּל הָעוֹסֵק בְּטַל תּוֹרָה טַל תּוֹרָה מְחַיֵּהוּ. וְהַאי אִיהוּ דמצל</w:t>
      </w:r>
      <w:r w:rsidRPr="00007309">
        <w:rPr>
          <w:rFonts w:cs="Arial" w:hint="cs"/>
          <w:b/>
          <w:bCs/>
          <w:sz w:val="24"/>
          <w:szCs w:val="24"/>
          <w:rtl/>
        </w:rPr>
        <w:t>י</w:t>
      </w:r>
      <w:r w:rsidRPr="00007309">
        <w:rPr>
          <w:rFonts w:cs="Arial"/>
          <w:b/>
          <w:bCs/>
          <w:sz w:val="24"/>
          <w:szCs w:val="24"/>
          <w:rtl/>
        </w:rPr>
        <w:t xml:space="preserve">ן בֵּהּ </w:t>
      </w:r>
      <w:r w:rsidRPr="00007309">
        <w:rPr>
          <w:rFonts w:cs="Arial"/>
          <w:b/>
          <w:bCs/>
          <w:sz w:val="36"/>
          <w:szCs w:val="28"/>
          <w:vertAlign w:val="superscript"/>
          <w:rtl/>
        </w:rPr>
        <w:footnoteReference w:id="6215"/>
      </w:r>
      <w:r w:rsidRPr="00007309">
        <w:rPr>
          <w:rFonts w:cs="Arial"/>
          <w:b/>
          <w:bCs/>
          <w:sz w:val="24"/>
          <w:szCs w:val="24"/>
          <w:rtl/>
        </w:rPr>
        <w:t xml:space="preserve">מוֹרִיד הַטָ"ל. וְקוּדְשָׁא בְּרִיךְ הוּא אָמַר </w:t>
      </w:r>
      <w:r w:rsidRPr="00007309">
        <w:rPr>
          <w:rtl/>
        </w:rPr>
        <w:t>(הושע יא ט)</w:t>
      </w:r>
      <w:r w:rsidRPr="00007309">
        <w:rPr>
          <w:rFonts w:cs="Arial"/>
          <w:b/>
          <w:bCs/>
          <w:sz w:val="24"/>
          <w:szCs w:val="24"/>
          <w:rtl/>
        </w:rPr>
        <w:t xml:space="preserve"> לֹא אָבֹא בָּעִיר. מָשָׁל לְבַת מֶלֶךְ דְּאָזַל בַּעְלָהּ לִמְדִינַת הַיָּם, וּלְזִמְנָא דְּאָתָא לְגַבָּהּ אוֹמֵי לָהּ דְּלָא עָאל </w:t>
      </w:r>
      <w:r w:rsidRPr="00007309">
        <w:rPr>
          <w:rFonts w:cs="Arial"/>
          <w:b/>
          <w:bCs/>
          <w:sz w:val="36"/>
          <w:szCs w:val="28"/>
          <w:vertAlign w:val="superscript"/>
          <w:rtl/>
        </w:rPr>
        <w:footnoteReference w:id="6216"/>
      </w:r>
      <w:r w:rsidRPr="00007309">
        <w:rPr>
          <w:rFonts w:cs="Arial"/>
          <w:b/>
          <w:bCs/>
          <w:sz w:val="24"/>
          <w:szCs w:val="24"/>
          <w:rtl/>
        </w:rPr>
        <w:t xml:space="preserve">בְּיִשּׁוּבָא וְהַאי אִיהוּ לֹא אָבֹא בָּעִיר. וְאִם לֵית אַתְּ מְהֵימְנַת לִי </w:t>
      </w:r>
      <w:r w:rsidRPr="00007309">
        <w:rPr>
          <w:rFonts w:cs="Arial"/>
          <w:b/>
          <w:bCs/>
          <w:sz w:val="36"/>
          <w:szCs w:val="28"/>
          <w:vertAlign w:val="superscript"/>
          <w:rtl/>
        </w:rPr>
        <w:footnoteReference w:id="6217"/>
      </w:r>
      <w:r w:rsidRPr="00007309">
        <w:rPr>
          <w:rFonts w:cs="Arial"/>
          <w:b/>
          <w:bCs/>
          <w:sz w:val="24"/>
          <w:szCs w:val="24"/>
          <w:rtl/>
        </w:rPr>
        <w:t xml:space="preserve">הֲרֵי לָךְ סִימָנָא שֶׁרֹאשִׁי נִמְלָא טָ"ל דְּהַאי אִיהוּ טַל לְהַחֲיוֹת בּוֹ מֵתִים. </w:t>
      </w:r>
      <w:r w:rsidRPr="00007309">
        <w:rPr>
          <w:rtl/>
        </w:rPr>
        <w:t>(ישעיה כו יט)</w:t>
      </w:r>
      <w:r w:rsidRPr="00007309">
        <w:rPr>
          <w:rFonts w:cs="Arial"/>
          <w:b/>
          <w:bCs/>
          <w:sz w:val="24"/>
          <w:szCs w:val="24"/>
          <w:rtl/>
        </w:rPr>
        <w:t xml:space="preserve"> </w:t>
      </w:r>
      <w:r w:rsidRPr="00007309">
        <w:rPr>
          <w:rFonts w:cs="Arial"/>
          <w:b/>
          <w:bCs/>
          <w:sz w:val="36"/>
          <w:szCs w:val="28"/>
          <w:vertAlign w:val="superscript"/>
          <w:rtl/>
        </w:rPr>
        <w:footnoteReference w:id="6218"/>
      </w:r>
      <w:r w:rsidRPr="00007309">
        <w:rPr>
          <w:rFonts w:cs="Arial"/>
          <w:b/>
          <w:bCs/>
          <w:sz w:val="24"/>
          <w:szCs w:val="24"/>
          <w:rtl/>
        </w:rPr>
        <w:t xml:space="preserve">וְאֶרֶץ רְפָאִים </w:t>
      </w:r>
      <w:r w:rsidRPr="00007309">
        <w:rPr>
          <w:rFonts w:cs="Arial"/>
          <w:b/>
          <w:bCs/>
          <w:sz w:val="36"/>
          <w:szCs w:val="28"/>
          <w:vertAlign w:val="superscript"/>
          <w:rtl/>
        </w:rPr>
        <w:footnoteReference w:id="6219"/>
      </w:r>
      <w:r w:rsidRPr="00007309">
        <w:rPr>
          <w:rFonts w:cs="Arial"/>
          <w:b/>
          <w:bCs/>
          <w:sz w:val="24"/>
          <w:szCs w:val="24"/>
          <w:rtl/>
        </w:rPr>
        <w:t>תַּפִּיל אוֹקְמוּהּ מָארֵי מתנ</w:t>
      </w:r>
      <w:r w:rsidRPr="00007309">
        <w:rPr>
          <w:rFonts w:cs="Arial" w:hint="cs"/>
          <w:b/>
          <w:bCs/>
          <w:sz w:val="24"/>
          <w:szCs w:val="24"/>
          <w:rtl/>
        </w:rPr>
        <w:t xml:space="preserve">יתין </w:t>
      </w:r>
      <w:r w:rsidRPr="00007309">
        <w:rPr>
          <w:rFonts w:cs="Arial"/>
          <w:b/>
          <w:bCs/>
          <w:sz w:val="24"/>
          <w:szCs w:val="24"/>
          <w:rtl/>
        </w:rPr>
        <w:t xml:space="preserve">מָאן רְפָאִים אִלֵּין דְּאִתְּמַר בְּהוֹן בִּקְרָא אָחֳרָא </w:t>
      </w:r>
      <w:r w:rsidRPr="00007309">
        <w:rPr>
          <w:rtl/>
        </w:rPr>
        <w:t>(ישעיה כו יד)</w:t>
      </w:r>
      <w:r w:rsidRPr="00007309">
        <w:rPr>
          <w:rFonts w:cs="Arial"/>
          <w:b/>
          <w:bCs/>
          <w:sz w:val="24"/>
          <w:szCs w:val="24"/>
          <w:rtl/>
        </w:rPr>
        <w:t xml:space="preserve"> רְפָאִים בַּל יָקוּמוּ</w:t>
      </w:r>
      <w:r w:rsidRPr="00007309">
        <w:rPr>
          <w:rFonts w:cs="Arial" w:hint="cs"/>
          <w:b/>
          <w:bCs/>
          <w:sz w:val="24"/>
          <w:szCs w:val="24"/>
          <w:rtl/>
        </w:rPr>
        <w:t>,</w:t>
      </w:r>
      <w:r w:rsidRPr="00007309">
        <w:rPr>
          <w:rFonts w:cs="Arial"/>
          <w:b/>
          <w:bCs/>
          <w:sz w:val="24"/>
          <w:szCs w:val="24"/>
          <w:rtl/>
        </w:rPr>
        <w:t xml:space="preserve"> וְאִלֵּין אִנּוּן דמתרפין מִפִּתְגְּמֵי אוֹרַיְתָא לע"ז, דְּיָהֲבֵי לְעוֹבְדֵי עַכּוּ"ם מָמוֹנָא דִּילְהוֹן לְאִתְגַּבְּרָא בְּהוֹן</w:t>
      </w:r>
      <w:r w:rsidRPr="00007309">
        <w:rPr>
          <w:rFonts w:cs="Arial" w:hint="cs"/>
          <w:b/>
          <w:bCs/>
          <w:sz w:val="24"/>
          <w:szCs w:val="24"/>
          <w:rtl/>
        </w:rPr>
        <w:t>,</w:t>
      </w:r>
      <w:r w:rsidRPr="00007309">
        <w:rPr>
          <w:rFonts w:cs="Arial"/>
          <w:b/>
          <w:bCs/>
          <w:sz w:val="24"/>
          <w:szCs w:val="24"/>
          <w:rtl/>
        </w:rPr>
        <w:t xml:space="preserve"> וארפון יְדֵיהוֹן מֵאִלֵּין דְּעָסְקִין בְּאוֹרַיְתָא לִשְׁמָהּ לְמֶעֱבַד טִיבוּ עִמְּהוֹן. אִלֵּין לֹא יְקוּמוּן</w:t>
      </w:r>
      <w:r w:rsidRPr="00007309">
        <w:rPr>
          <w:rFonts w:cs="Arial" w:hint="cs"/>
          <w:b/>
          <w:bCs/>
          <w:sz w:val="24"/>
          <w:szCs w:val="24"/>
          <w:rtl/>
        </w:rPr>
        <w:t>,</w:t>
      </w:r>
      <w:r w:rsidRPr="00007309">
        <w:rPr>
          <w:rFonts w:cs="Arial"/>
          <w:b/>
          <w:bCs/>
          <w:sz w:val="24"/>
          <w:szCs w:val="24"/>
          <w:rtl/>
        </w:rPr>
        <w:t xml:space="preserve"> וְאַפִּילַת לוֹן אַרְעָא כְּאִתְּתָא עֻבָּרָא דְּמַפֶּלֶת נְפָלִים, וְדָא אִיהוּ וְאֶרֶץ רְפָאִים תַּפִּיל</w:t>
      </w:r>
      <w:r w:rsidRPr="00007309">
        <w:rPr>
          <w:rFonts w:cs="Arial" w:hint="cs"/>
          <w:b/>
          <w:bCs/>
          <w:sz w:val="24"/>
          <w:szCs w:val="24"/>
          <w:rtl/>
        </w:rPr>
        <w:t>,</w:t>
      </w:r>
      <w:r w:rsidRPr="00007309">
        <w:rPr>
          <w:rFonts w:cs="Arial"/>
          <w:b/>
          <w:bCs/>
          <w:sz w:val="24"/>
          <w:szCs w:val="24"/>
          <w:rtl/>
        </w:rPr>
        <w:t xml:space="preserve"> דְּנֶפֶל לָאו אִיהוּ בַּר קַיָּמָא. וְהַאי הוּא דְּלָא כָּלוּ לוֹ חֳדָשָׁיו, דְּאִנּוּן ט' יַרְחִין </w:t>
      </w:r>
      <w:r w:rsidRPr="00007309">
        <w:rPr>
          <w:rFonts w:cs="Arial"/>
          <w:b/>
          <w:bCs/>
          <w:sz w:val="36"/>
          <w:szCs w:val="28"/>
          <w:vertAlign w:val="superscript"/>
          <w:rtl/>
        </w:rPr>
        <w:footnoteReference w:id="6220"/>
      </w:r>
      <w:r w:rsidRPr="00007309">
        <w:rPr>
          <w:rFonts w:cs="Arial"/>
          <w:b/>
          <w:bCs/>
          <w:sz w:val="24"/>
          <w:szCs w:val="24"/>
          <w:rtl/>
        </w:rPr>
        <w:t>דְּעֻבָּרָא</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6221"/>
      </w:r>
      <w:r w:rsidRPr="00007309">
        <w:rPr>
          <w:rFonts w:cs="Arial"/>
          <w:b/>
          <w:bCs/>
          <w:sz w:val="24"/>
          <w:szCs w:val="24"/>
          <w:rtl/>
        </w:rPr>
        <w:t xml:space="preserve">מָאן עֻבָּרָא, אֶלָּא </w:t>
      </w:r>
      <w:r w:rsidRPr="00007309">
        <w:rPr>
          <w:rFonts w:cs="Arial"/>
          <w:b/>
          <w:bCs/>
          <w:sz w:val="36"/>
          <w:szCs w:val="28"/>
          <w:vertAlign w:val="superscript"/>
          <w:rtl/>
        </w:rPr>
        <w:footnoteReference w:id="6222"/>
      </w:r>
      <w:r w:rsidRPr="00007309">
        <w:rPr>
          <w:rFonts w:cs="Arial"/>
          <w:b/>
          <w:bCs/>
          <w:sz w:val="24"/>
          <w:szCs w:val="24"/>
          <w:rtl/>
        </w:rPr>
        <w:t>דָּא אוֹרַיְתָא, וְאִיהִי שְׁכִינְתָּא</w:t>
      </w:r>
      <w:r w:rsidRPr="00007309">
        <w:rPr>
          <w:rFonts w:cs="Arial" w:hint="cs"/>
          <w:b/>
          <w:bCs/>
          <w:sz w:val="24"/>
          <w:szCs w:val="24"/>
          <w:rtl/>
        </w:rPr>
        <w:t>.</w:t>
      </w:r>
      <w:r w:rsidRPr="00007309">
        <w:rPr>
          <w:rFonts w:cs="Arial"/>
          <w:b/>
          <w:bCs/>
          <w:sz w:val="24"/>
          <w:szCs w:val="24"/>
          <w:rtl/>
        </w:rPr>
        <w:t xml:space="preserve"> </w:t>
      </w:r>
    </w:p>
    <w:p w:rsidR="00007309" w:rsidRPr="00007309" w:rsidRDefault="00007309" w:rsidP="00007309">
      <w:pPr>
        <w:keepNext/>
        <w:spacing w:before="240" w:after="60"/>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[וילנא ז ע"ב]</w:t>
      </w:r>
    </w:p>
    <w:p w:rsidR="00007309" w:rsidRPr="00007309" w:rsidRDefault="00007309" w:rsidP="00007309">
      <w:pPr>
        <w:jc w:val="both"/>
        <w:rPr>
          <w:rFonts w:cs="Arial"/>
          <w:b/>
          <w:bCs/>
          <w:sz w:val="24"/>
          <w:szCs w:val="24"/>
        </w:rPr>
      </w:pPr>
      <w:r w:rsidRPr="00007309">
        <w:rPr>
          <w:rFonts w:cs="Arial"/>
          <w:b/>
          <w:bCs/>
          <w:sz w:val="24"/>
          <w:szCs w:val="24"/>
          <w:rtl/>
        </w:rPr>
        <w:t xml:space="preserve">הַהוּא יֶלֶד דְּאִתְיְלִיד מִנַּהּ בְּאוֹרַיְתָא </w:t>
      </w:r>
      <w:r w:rsidRPr="00007309">
        <w:rPr>
          <w:rFonts w:cs="Arial"/>
          <w:b/>
          <w:bCs/>
          <w:sz w:val="36"/>
          <w:szCs w:val="28"/>
          <w:vertAlign w:val="superscript"/>
          <w:rtl/>
        </w:rPr>
        <w:footnoteReference w:id="6223"/>
      </w:r>
      <w:r w:rsidRPr="00007309">
        <w:rPr>
          <w:rFonts w:cs="Arial"/>
          <w:b/>
          <w:bCs/>
          <w:sz w:val="24"/>
          <w:szCs w:val="24"/>
          <w:rtl/>
        </w:rPr>
        <w:t xml:space="preserve">מֵאִלֵּין דְּאִתְּמַר בְּהוֹן אֵין בֶּן דָּוִד בָּא עַד דְּתִתְפַּשֵּׁט מַלְכוּת הָרִשְׁעָא ט' חֳדָשִׁים עַל יִשְׂרָאֵל. </w:t>
      </w:r>
      <w:r w:rsidRPr="00007309">
        <w:rPr>
          <w:rFonts w:cs="Arial"/>
          <w:b/>
          <w:bCs/>
          <w:sz w:val="36"/>
          <w:szCs w:val="28"/>
          <w:vertAlign w:val="superscript"/>
          <w:rtl/>
        </w:rPr>
        <w:footnoteReference w:id="6224"/>
      </w:r>
      <w:r w:rsidRPr="00007309">
        <w:rPr>
          <w:rFonts w:cs="Arial"/>
          <w:b/>
          <w:bCs/>
          <w:sz w:val="24"/>
          <w:szCs w:val="24"/>
          <w:rtl/>
        </w:rPr>
        <w:t xml:space="preserve">בְּיַרְחָא קַדְמָאָה אִיהוּ מָשִׁיחַ אַיִ"ן. </w:t>
      </w:r>
      <w:r w:rsidRPr="00007309">
        <w:rPr>
          <w:rFonts w:cs="Arial"/>
          <w:b/>
          <w:bCs/>
          <w:sz w:val="36"/>
          <w:szCs w:val="28"/>
          <w:vertAlign w:val="superscript"/>
          <w:rtl/>
        </w:rPr>
        <w:footnoteReference w:id="6225"/>
      </w:r>
      <w:r w:rsidRPr="00007309">
        <w:rPr>
          <w:rFonts w:cs="Arial"/>
          <w:b/>
          <w:bCs/>
          <w:sz w:val="24"/>
          <w:szCs w:val="24"/>
          <w:rtl/>
        </w:rPr>
        <w:t xml:space="preserve">וּבְיַרְחָא תִּנְיָנָא עָבִיד לֵהּ יֵשׁ מֵאַיִן, בִּסְפִירָה תִּנְיָנָא דְּאִתְּמַר בָּהּ </w:t>
      </w:r>
      <w:r w:rsidRPr="00007309">
        <w:rPr>
          <w:rFonts w:hint="cs"/>
          <w:rtl/>
        </w:rPr>
        <w:t>(איוב כח יב)</w:t>
      </w:r>
      <w:r w:rsidRPr="00007309">
        <w:rPr>
          <w:rFonts w:cs="Arial" w:hint="cs"/>
          <w:b/>
          <w:bCs/>
          <w:sz w:val="24"/>
          <w:szCs w:val="24"/>
          <w:rtl/>
        </w:rPr>
        <w:t xml:space="preserve"> </w:t>
      </w:r>
      <w:r w:rsidRPr="00007309">
        <w:rPr>
          <w:rFonts w:cs="Arial"/>
          <w:b/>
          <w:bCs/>
          <w:sz w:val="24"/>
          <w:szCs w:val="24"/>
          <w:rtl/>
        </w:rPr>
        <w:t xml:space="preserve">וְהַחָכְמָה מֵאַיִן תִּמָּצֵא. </w:t>
      </w:r>
      <w:r w:rsidRPr="00007309">
        <w:rPr>
          <w:rFonts w:cs="Arial"/>
          <w:b/>
          <w:bCs/>
          <w:sz w:val="36"/>
          <w:szCs w:val="28"/>
          <w:vertAlign w:val="superscript"/>
          <w:rtl/>
        </w:rPr>
        <w:footnoteReference w:id="6226"/>
      </w:r>
      <w:r w:rsidRPr="00007309">
        <w:rPr>
          <w:rFonts w:cs="Arial"/>
          <w:b/>
          <w:bCs/>
          <w:sz w:val="24"/>
          <w:szCs w:val="24"/>
          <w:rtl/>
        </w:rPr>
        <w:t xml:space="preserve">בְּיַרְחָא תְּלִיתָאָה מוֹסִיף בֵּהּ בִּינָה. וְהַאי אִיהוּ וְנָחָה עָלָיו </w:t>
      </w:r>
      <w:r w:rsidRPr="00007309">
        <w:rPr>
          <w:rFonts w:cs="Arial"/>
          <w:b/>
          <w:bCs/>
          <w:sz w:val="36"/>
          <w:szCs w:val="28"/>
          <w:vertAlign w:val="superscript"/>
          <w:rtl/>
        </w:rPr>
        <w:footnoteReference w:id="6227"/>
      </w:r>
      <w:r w:rsidRPr="00007309">
        <w:rPr>
          <w:rFonts w:cs="Arial"/>
          <w:b/>
          <w:bCs/>
          <w:sz w:val="24"/>
          <w:szCs w:val="24"/>
          <w:rtl/>
        </w:rPr>
        <w:t xml:space="preserve">רוּחַ ה' רוּחַ חָכְמָה וּבִינָה. </w:t>
      </w:r>
      <w:r w:rsidRPr="00007309">
        <w:rPr>
          <w:rFonts w:cs="Arial"/>
          <w:b/>
          <w:bCs/>
          <w:sz w:val="36"/>
          <w:szCs w:val="28"/>
          <w:vertAlign w:val="superscript"/>
          <w:rtl/>
        </w:rPr>
        <w:footnoteReference w:id="6228"/>
      </w:r>
      <w:r w:rsidRPr="00007309">
        <w:rPr>
          <w:rFonts w:cs="Arial"/>
          <w:b/>
          <w:bCs/>
          <w:sz w:val="24"/>
          <w:szCs w:val="24"/>
          <w:rtl/>
        </w:rPr>
        <w:t xml:space="preserve">וּבְגִין דָּא אוֹקְמוּהּ מָארֵי מַתְנִיתִין אֵיזֶהוּ חָכָם הַמֵּבִין דָּבָר מִתּוֹךְ דָּבָר. </w:t>
      </w:r>
      <w:r w:rsidRPr="00007309">
        <w:rPr>
          <w:rFonts w:cs="Arial"/>
          <w:b/>
          <w:bCs/>
          <w:sz w:val="36"/>
          <w:szCs w:val="28"/>
          <w:vertAlign w:val="superscript"/>
          <w:rtl/>
        </w:rPr>
        <w:footnoteReference w:id="6229"/>
      </w:r>
      <w:r w:rsidRPr="00007309">
        <w:rPr>
          <w:rFonts w:cs="Arial"/>
          <w:b/>
          <w:bCs/>
          <w:sz w:val="24"/>
          <w:szCs w:val="24"/>
          <w:rtl/>
        </w:rPr>
        <w:t xml:space="preserve">דְּקֹדֶם דְּאָתָא לְעָלְמָא אוֹלְפִין לֵהּ חָכְמְתָא וּבִינָה. בְּיַרְחָא רְבִיעָאָה גָּמִיל עִמֵּהּ חֶסֶד, </w:t>
      </w:r>
      <w:r w:rsidRPr="00007309">
        <w:rPr>
          <w:rFonts w:cs="Arial"/>
          <w:b/>
          <w:bCs/>
          <w:sz w:val="36"/>
          <w:szCs w:val="28"/>
          <w:vertAlign w:val="superscript"/>
          <w:rtl/>
        </w:rPr>
        <w:footnoteReference w:id="6230"/>
      </w:r>
      <w:r w:rsidRPr="00007309">
        <w:rPr>
          <w:rFonts w:cs="Arial"/>
          <w:b/>
          <w:bCs/>
          <w:sz w:val="24"/>
          <w:szCs w:val="24"/>
          <w:rtl/>
        </w:rPr>
        <w:t xml:space="preserve">דְּעָאִיל לֵהּ פַּרְנָסָה מִטִבּוּרָא דְּאִמֵּהּ בְּיַרְחָא חֲמִישָׁאָה יָהִיב בֵּהּ תֻּקְפָא דִּגְבוּרָה לְאִתְגַּבְּרָא עַל יֵצֶר הָרָע מִסִּטְרָא דְּסַמָּאֵל, דְּלָא שָׁלִיט עָלֵהּ בְּבֶטֶן אִמֵּהּ </w:t>
      </w:r>
      <w:r w:rsidRPr="00007309">
        <w:rPr>
          <w:rFonts w:cs="Arial"/>
          <w:b/>
          <w:bCs/>
          <w:sz w:val="36"/>
          <w:szCs w:val="28"/>
          <w:vertAlign w:val="superscript"/>
          <w:rtl/>
        </w:rPr>
        <w:footnoteReference w:id="6231"/>
      </w:r>
      <w:r w:rsidRPr="00007309">
        <w:rPr>
          <w:rFonts w:cs="Arial"/>
          <w:b/>
          <w:bCs/>
          <w:sz w:val="24"/>
          <w:szCs w:val="24"/>
          <w:rtl/>
        </w:rPr>
        <w:t xml:space="preserve">לְמֶעֱבַד לֵהּ נְפַל </w:t>
      </w:r>
      <w:r w:rsidRPr="00007309">
        <w:rPr>
          <w:rFonts w:cs="Arial"/>
          <w:b/>
          <w:bCs/>
          <w:sz w:val="36"/>
          <w:szCs w:val="28"/>
          <w:vertAlign w:val="superscript"/>
          <w:rtl/>
        </w:rPr>
        <w:footnoteReference w:id="6232"/>
      </w:r>
      <w:r w:rsidRPr="00007309">
        <w:rPr>
          <w:rFonts w:cs="Arial"/>
          <w:b/>
          <w:bCs/>
          <w:sz w:val="24"/>
          <w:szCs w:val="24"/>
          <w:rtl/>
        </w:rPr>
        <w:t xml:space="preserve">לְקַטְלָא מְשִׁיחָא. בְּיַרְחָא שְׁתִיתָאָה יָהִיב בֵּהּ דַּעְתָּא וְכֹחַ </w:t>
      </w:r>
      <w:r w:rsidRPr="00007309">
        <w:rPr>
          <w:rFonts w:cs="Arial"/>
          <w:b/>
          <w:bCs/>
          <w:sz w:val="36"/>
          <w:szCs w:val="28"/>
          <w:vertAlign w:val="superscript"/>
          <w:rtl/>
        </w:rPr>
        <w:footnoteReference w:id="6233"/>
      </w:r>
      <w:r w:rsidRPr="00007309">
        <w:rPr>
          <w:rFonts w:cs="Arial"/>
          <w:b/>
          <w:bCs/>
          <w:sz w:val="24"/>
          <w:szCs w:val="24"/>
          <w:rtl/>
        </w:rPr>
        <w:t xml:space="preserve">וְשַׁפִּירוּ באנפוי. בְּיַרְחָא שְׁבִיעָאָה וּתְמִינָאָה יָהִיב בֵּהּ רוּחָא דְּקוּדְשָׁא מִסִּטְרָא דְּנֶצַח וָהוֹד, דְּאִנּוּן תְּרֵי נְבִיאֵי קְשׁוֹט. וּבְגִין דָּא נִתְנַבֵּא רוּחָא דְּקֻדְשָׁא עָלֶיהָ </w:t>
      </w:r>
      <w:r w:rsidRPr="00007309">
        <w:rPr>
          <w:rtl/>
        </w:rPr>
        <w:t>(ירמיה א)</w:t>
      </w:r>
      <w:r w:rsidRPr="00007309">
        <w:rPr>
          <w:rFonts w:cs="Arial"/>
          <w:b/>
          <w:bCs/>
          <w:sz w:val="24"/>
          <w:szCs w:val="24"/>
          <w:rtl/>
        </w:rPr>
        <w:t xml:space="preserve"> </w:t>
      </w:r>
      <w:r w:rsidRPr="00007309">
        <w:rPr>
          <w:rFonts w:cs="Arial"/>
          <w:b/>
          <w:bCs/>
          <w:sz w:val="36"/>
          <w:szCs w:val="28"/>
          <w:vertAlign w:val="superscript"/>
          <w:rtl/>
        </w:rPr>
        <w:footnoteReference w:id="6234"/>
      </w:r>
      <w:r w:rsidRPr="00007309">
        <w:rPr>
          <w:rFonts w:cs="Arial"/>
          <w:b/>
          <w:bCs/>
          <w:sz w:val="24"/>
          <w:szCs w:val="24"/>
          <w:rtl/>
        </w:rPr>
        <w:t>בְּטֶרֶם</w:t>
      </w:r>
      <w:r w:rsidRPr="00007309">
        <w:rPr>
          <w:rFonts w:cs="Arial"/>
          <w:b/>
          <w:bCs/>
          <w:sz w:val="24"/>
          <w:szCs w:val="24"/>
        </w:rPr>
        <w:t xml:space="preserve"> </w:t>
      </w:r>
      <w:r w:rsidRPr="00007309">
        <w:rPr>
          <w:rFonts w:cs="Arial"/>
          <w:b/>
          <w:bCs/>
          <w:sz w:val="24"/>
          <w:szCs w:val="24"/>
          <w:rtl/>
        </w:rPr>
        <w:t xml:space="preserve">אֶצָּרְךָ בַּבֶּטֶן יְדַעְתִּיךָ וּבְטֶרֶם תֵצֵא מֵרֶחֶם וְגוֹ'. </w:t>
      </w:r>
      <w:r w:rsidRPr="00007309">
        <w:rPr>
          <w:rFonts w:cs="Arial"/>
          <w:b/>
          <w:bCs/>
          <w:sz w:val="36"/>
          <w:szCs w:val="28"/>
          <w:vertAlign w:val="superscript"/>
          <w:rtl/>
        </w:rPr>
        <w:footnoteReference w:id="6235"/>
      </w:r>
      <w:r w:rsidRPr="00007309">
        <w:rPr>
          <w:rFonts w:cs="Arial"/>
          <w:b/>
          <w:bCs/>
          <w:sz w:val="24"/>
          <w:szCs w:val="24"/>
          <w:rtl/>
        </w:rPr>
        <w:t xml:space="preserve">מִסִּטְרָא דְּצַדִּיק יָהִיב לֵהּ אוֹת וּמוֹפֵת. בְּיַרְחָא תְּשִׁיעָאָה </w:t>
      </w:r>
      <w:r w:rsidRPr="00007309">
        <w:rPr>
          <w:rFonts w:ascii="Cambria" w:hAnsi="Cambria" w:cs="Times New Roman" w:hint="cs"/>
          <w:b/>
          <w:bCs/>
          <w:i/>
          <w:iCs/>
          <w:color w:val="4F81BD"/>
          <w:sz w:val="24"/>
          <w:szCs w:val="24"/>
          <w:rtl/>
        </w:rPr>
        <w:t xml:space="preserve">(וילנא דף ז' ע"ב) </w:t>
      </w:r>
      <w:r w:rsidRPr="00007309">
        <w:rPr>
          <w:rFonts w:cs="Arial"/>
          <w:b/>
          <w:bCs/>
          <w:sz w:val="24"/>
          <w:szCs w:val="24"/>
          <w:rtl/>
        </w:rPr>
        <w:t xml:space="preserve">דְּנוֹלַד מָהוּל, </w:t>
      </w:r>
      <w:r w:rsidRPr="00007309">
        <w:rPr>
          <w:rFonts w:cs="Arial"/>
          <w:b/>
          <w:bCs/>
          <w:sz w:val="36"/>
          <w:szCs w:val="28"/>
          <w:vertAlign w:val="superscript"/>
          <w:rtl/>
        </w:rPr>
        <w:footnoteReference w:id="6236"/>
      </w:r>
      <w:r w:rsidRPr="00007309">
        <w:rPr>
          <w:rFonts w:cs="Arial"/>
          <w:b/>
          <w:bCs/>
          <w:sz w:val="24"/>
          <w:szCs w:val="24"/>
          <w:rtl/>
        </w:rPr>
        <w:t>וְהַהוּא יַנּוֹקָא אִיהוּ עֲשִׂירָאָה מִסִּטְרָא דְּמַלְכוּת, אִיהוּ טִפָּה עֲשִׂירָאָה. וּבְגִין דָּא זָכָה לְט' דַּרְגִּין אִלֵּין</w:t>
      </w:r>
      <w:r w:rsidRPr="00007309">
        <w:rPr>
          <w:rFonts w:cs="Arial"/>
          <w:b/>
          <w:bCs/>
          <w:sz w:val="24"/>
          <w:szCs w:val="24"/>
        </w:rPr>
        <w:t>:</w:t>
      </w:r>
    </w:p>
    <w:p w:rsidR="00007309" w:rsidRPr="00007309" w:rsidRDefault="00007309" w:rsidP="00007309">
      <w:pPr>
        <w:jc w:val="both"/>
        <w:rPr>
          <w:rFonts w:cs="Arial"/>
          <w:b/>
          <w:bCs/>
          <w:sz w:val="24"/>
          <w:szCs w:val="24"/>
        </w:rPr>
      </w:pPr>
      <w:r w:rsidRPr="00007309">
        <w:rPr>
          <w:rFonts w:cs="Arial"/>
          <w:b/>
          <w:bCs/>
          <w:sz w:val="24"/>
          <w:szCs w:val="24"/>
          <w:rtl/>
        </w:rPr>
        <w:t xml:space="preserve">קָמוּ מָארֵי מַתְנִיתִין וְאָמְרוּ, רָעֲיָא מְהֵימָנָא </w:t>
      </w:r>
      <w:r w:rsidRPr="00007309">
        <w:rPr>
          <w:rFonts w:cs="Arial"/>
          <w:b/>
          <w:bCs/>
          <w:sz w:val="36"/>
          <w:szCs w:val="28"/>
          <w:vertAlign w:val="superscript"/>
          <w:rtl/>
        </w:rPr>
        <w:footnoteReference w:id="6237"/>
      </w:r>
      <w:r w:rsidRPr="00007309">
        <w:rPr>
          <w:rFonts w:cs="Arial"/>
          <w:b/>
          <w:bCs/>
          <w:sz w:val="24"/>
          <w:szCs w:val="24"/>
          <w:rtl/>
        </w:rPr>
        <w:t xml:space="preserve"> ט</w:t>
      </w:r>
      <w:r w:rsidRPr="00007309">
        <w:rPr>
          <w:rFonts w:cs="Arial" w:hint="cs"/>
          <w:b/>
          <w:bCs/>
          <w:sz w:val="24"/>
          <w:szCs w:val="24"/>
          <w:rtl/>
        </w:rPr>
        <w:t>ו</w:t>
      </w:r>
      <w:r w:rsidRPr="00007309">
        <w:rPr>
          <w:rFonts w:cs="Arial"/>
          <w:b/>
          <w:bCs/>
          <w:sz w:val="24"/>
          <w:szCs w:val="24"/>
          <w:rtl/>
        </w:rPr>
        <w:t xml:space="preserve">ֹל אַבְנָא דִּילָךְ לְגַבָּךְ, דְּאַנְתְּ הוּא דְּאִתְּמַר עָלָךְ </w:t>
      </w:r>
      <w:r w:rsidRPr="00007309">
        <w:rPr>
          <w:rtl/>
        </w:rPr>
        <w:t>(שמות ה)</w:t>
      </w:r>
      <w:r w:rsidRPr="00007309">
        <w:rPr>
          <w:rFonts w:cs="Arial"/>
          <w:b/>
          <w:bCs/>
          <w:sz w:val="24"/>
          <w:szCs w:val="24"/>
          <w:rtl/>
        </w:rPr>
        <w:t xml:space="preserve"> וַתֵּרֶא אֹתוֹ כִּי טוֹב הוּא. וְאוֹקְמוּהּ מ"מ </w:t>
      </w:r>
      <w:r w:rsidRPr="00007309">
        <w:rPr>
          <w:rFonts w:cs="Arial"/>
          <w:b/>
          <w:bCs/>
          <w:sz w:val="36"/>
          <w:szCs w:val="28"/>
          <w:vertAlign w:val="superscript"/>
          <w:rtl/>
        </w:rPr>
        <w:footnoteReference w:id="6238"/>
      </w:r>
      <w:r w:rsidRPr="00007309">
        <w:rPr>
          <w:rFonts w:cs="Arial"/>
          <w:b/>
          <w:bCs/>
          <w:sz w:val="24"/>
          <w:szCs w:val="24"/>
          <w:rtl/>
        </w:rPr>
        <w:t xml:space="preserve">מַאי כִּי טוֹב, דְּאִתְיְלִיד מָהוּל. וְאַנְתְּ הוּא בְּלֵיל בְּט' יַרְחִין אִלֵּין, </w:t>
      </w:r>
      <w:r w:rsidRPr="00007309">
        <w:rPr>
          <w:rFonts w:cs="Arial"/>
          <w:b/>
          <w:bCs/>
          <w:sz w:val="36"/>
          <w:szCs w:val="28"/>
          <w:vertAlign w:val="superscript"/>
          <w:rtl/>
        </w:rPr>
        <w:footnoteReference w:id="6239"/>
      </w:r>
      <w:r w:rsidRPr="00007309">
        <w:rPr>
          <w:rFonts w:cs="Arial"/>
          <w:b/>
          <w:bCs/>
          <w:sz w:val="24"/>
          <w:szCs w:val="24"/>
          <w:rtl/>
        </w:rPr>
        <w:t xml:space="preserve">וּמִסִּטְרָא דְּעִבּוּרָא דִּילָךְ, מַלְכוּת קַדִּישָׁא אִתְּמַר בָּהּ </w:t>
      </w:r>
      <w:r w:rsidRPr="00007309">
        <w:rPr>
          <w:rtl/>
        </w:rPr>
        <w:t>(דברים לג)</w:t>
      </w:r>
      <w:r w:rsidRPr="00007309">
        <w:rPr>
          <w:rFonts w:cs="Arial"/>
          <w:b/>
          <w:bCs/>
          <w:sz w:val="24"/>
          <w:szCs w:val="24"/>
          <w:rtl/>
        </w:rPr>
        <w:t xml:space="preserve"> וַיְהִי בִּישֻׁרוּן מֶלֶךְ. וְהַאי אַבְנָא טִפָּה קַדִּישָׁא כְּלִילָא מֵעֲשָׂרָה. אַנְתְּ הוּא זֶרַע דְּאִתְמַשְׁכַת מִנַּהּ. וּבָךְ תַּלְיָא פֻּרְקָנָה, וְעָלָךְ עָתִיד לְאִתְבָּנָאָה בִּנְיָנָא וְעָלָךְ תָּקוּם, ט</w:t>
      </w:r>
      <w:r w:rsidRPr="00007309">
        <w:rPr>
          <w:rFonts w:cs="Arial" w:hint="cs"/>
          <w:b/>
          <w:bCs/>
          <w:sz w:val="24"/>
          <w:szCs w:val="24"/>
          <w:rtl/>
        </w:rPr>
        <w:t>ו</w:t>
      </w:r>
      <w:r w:rsidRPr="00007309">
        <w:rPr>
          <w:rFonts w:cs="Arial"/>
          <w:b/>
          <w:bCs/>
          <w:sz w:val="24"/>
          <w:szCs w:val="24"/>
          <w:rtl/>
        </w:rPr>
        <w:t xml:space="preserve">ֹל לָהּ לְגַבָּךְ. אָמַר לוֹן לֵית אַתּוּן יָכְלִין לְאִשְׁתַּזְבָא. אִי אִשְׁתְּזַבְתוּן מאכנא חֲדָא. </w:t>
      </w:r>
      <w:r w:rsidRPr="00007309">
        <w:rPr>
          <w:rFonts w:cs="Arial"/>
          <w:b/>
          <w:bCs/>
          <w:sz w:val="36"/>
          <w:szCs w:val="28"/>
          <w:vertAlign w:val="superscript"/>
          <w:rtl/>
        </w:rPr>
        <w:footnoteReference w:id="6240"/>
      </w:r>
      <w:r w:rsidRPr="00007309">
        <w:rPr>
          <w:rFonts w:cs="Arial"/>
          <w:b/>
          <w:bCs/>
          <w:sz w:val="24"/>
          <w:szCs w:val="24"/>
          <w:rtl/>
        </w:rPr>
        <w:t>אֲנָא זָרִיק לְכוֹן שִׁית, דְּאִתְּמַר בְּהוֹן בְּד"א שִׁי"ת, נָטַל קִרְטָא כְּמִלְּקַדְּמִין</w:t>
      </w:r>
      <w:r w:rsidRPr="00007309">
        <w:rPr>
          <w:rFonts w:cs="Arial"/>
          <w:b/>
          <w:bCs/>
          <w:sz w:val="24"/>
          <w:szCs w:val="24"/>
        </w:rPr>
        <w:t>:</w:t>
      </w:r>
    </w:p>
    <w:p w:rsidR="00007309" w:rsidRPr="00007309" w:rsidRDefault="00007309" w:rsidP="00007309">
      <w:pPr>
        <w:keepNext/>
        <w:outlineLvl w:val="1"/>
        <w:rPr>
          <w:rFonts w:ascii="Cambria" w:hAnsi="Cambria" w:cs="Times New Roman"/>
          <w:b/>
          <w:bCs/>
          <w:i/>
          <w:iCs/>
          <w:sz w:val="28"/>
          <w:szCs w:val="28"/>
          <w:rtl/>
        </w:rPr>
      </w:pPr>
      <w:r w:rsidRPr="00007309">
        <w:rPr>
          <w:rFonts w:ascii="Cambria" w:hAnsi="Cambria" w:cs="Times New Roman" w:hint="cs"/>
          <w:b/>
          <w:bCs/>
          <w:i/>
          <w:iCs/>
          <w:sz w:val="28"/>
          <w:szCs w:val="28"/>
          <w:rtl/>
        </w:rPr>
        <w:t>[דף עה ע"א]</w:t>
      </w:r>
    </w:p>
    <w:p w:rsidR="00007309" w:rsidRPr="00007309" w:rsidRDefault="00007309" w:rsidP="00007309">
      <w:pPr>
        <w:jc w:val="both"/>
        <w:rPr>
          <w:rFonts w:cs="Arial"/>
          <w:b/>
          <w:bCs/>
          <w:sz w:val="24"/>
          <w:szCs w:val="24"/>
        </w:rPr>
      </w:pPr>
      <w:r w:rsidRPr="00007309">
        <w:rPr>
          <w:rFonts w:cs="Arial"/>
          <w:b/>
          <w:bCs/>
          <w:sz w:val="24"/>
          <w:szCs w:val="24"/>
          <w:rtl/>
        </w:rPr>
        <w:t xml:space="preserve">פָּתַח וְאָמַר זַרְקָא מָקֵף שׁוֹפָר הוֹלֵךְ סְגוֹלְתָּא </w:t>
      </w:r>
      <w:r w:rsidRPr="00007309">
        <w:rPr>
          <w:rFonts w:cs="Arial"/>
          <w:b/>
          <w:bCs/>
          <w:sz w:val="36"/>
          <w:szCs w:val="28"/>
          <w:vertAlign w:val="superscript"/>
          <w:rtl/>
        </w:rPr>
        <w:footnoteReference w:id="6241"/>
      </w:r>
      <w:r w:rsidRPr="00007309">
        <w:rPr>
          <w:rFonts w:cs="Arial"/>
          <w:b/>
          <w:bCs/>
          <w:sz w:val="24"/>
          <w:szCs w:val="24"/>
          <w:rtl/>
        </w:rPr>
        <w:t xml:space="preserve">תְּלָת אַבְנִין עִלָּאִין אִנּוּן סְגוֹלְתָּא. </w:t>
      </w:r>
      <w:r w:rsidRPr="00007309">
        <w:rPr>
          <w:rFonts w:cs="Arial"/>
          <w:b/>
          <w:bCs/>
          <w:sz w:val="36"/>
          <w:szCs w:val="28"/>
          <w:vertAlign w:val="superscript"/>
          <w:rtl/>
        </w:rPr>
        <w:footnoteReference w:id="6242"/>
      </w:r>
      <w:r w:rsidRPr="00007309">
        <w:rPr>
          <w:rFonts w:cs="Arial"/>
          <w:b/>
          <w:bCs/>
          <w:sz w:val="24"/>
          <w:szCs w:val="24"/>
          <w:rtl/>
        </w:rPr>
        <w:t xml:space="preserve">תְּלָת טִפִּין עִלָּאִין דְּאִתְּמַר בְּהוֹן </w:t>
      </w:r>
      <w:r w:rsidRPr="00007309">
        <w:rPr>
          <w:rtl/>
        </w:rPr>
        <w:t>(איוב לג)</w:t>
      </w:r>
      <w:r w:rsidRPr="00007309">
        <w:rPr>
          <w:rFonts w:cs="Arial"/>
          <w:b/>
          <w:bCs/>
          <w:sz w:val="24"/>
          <w:szCs w:val="24"/>
          <w:rtl/>
        </w:rPr>
        <w:t xml:space="preserve"> הֵן כָּל אֵלֶּה יִפְעַל אֵל פַּעֲמַיִם</w:t>
      </w:r>
      <w:r w:rsidRPr="00007309">
        <w:rPr>
          <w:rFonts w:cs="Arial"/>
          <w:b/>
          <w:bCs/>
          <w:sz w:val="24"/>
          <w:szCs w:val="24"/>
        </w:rPr>
        <w:t xml:space="preserve"> </w:t>
      </w:r>
      <w:r w:rsidRPr="00007309">
        <w:rPr>
          <w:rFonts w:cs="Arial"/>
          <w:b/>
          <w:bCs/>
          <w:sz w:val="24"/>
          <w:szCs w:val="24"/>
          <w:rtl/>
        </w:rPr>
        <w:t xml:space="preserve">שָׁלֹשׁ עִם גָּבֶר. </w:t>
      </w:r>
      <w:r w:rsidRPr="00007309">
        <w:rPr>
          <w:rFonts w:cs="Arial"/>
          <w:b/>
          <w:bCs/>
          <w:sz w:val="36"/>
          <w:szCs w:val="28"/>
          <w:vertAlign w:val="superscript"/>
          <w:rtl/>
        </w:rPr>
        <w:footnoteReference w:id="6243"/>
      </w:r>
      <w:r w:rsidRPr="00007309">
        <w:rPr>
          <w:rFonts w:cs="Arial"/>
          <w:b/>
          <w:bCs/>
          <w:sz w:val="24"/>
          <w:szCs w:val="24"/>
          <w:rtl/>
        </w:rPr>
        <w:t xml:space="preserve">וּתְלָת טִפִּין תַּתָּאִין לְקָבְלַיְהוּ סֶגוֹל </w:t>
      </w:r>
      <w:r w:rsidRPr="00007309">
        <w:rPr>
          <w:rFonts w:cs="Arial"/>
          <w:b/>
          <w:bCs/>
          <w:sz w:val="36"/>
          <w:szCs w:val="28"/>
          <w:vertAlign w:val="superscript"/>
          <w:rtl/>
        </w:rPr>
        <w:footnoteReference w:id="6244"/>
      </w:r>
      <w:r w:rsidRPr="00007309">
        <w:rPr>
          <w:rFonts w:cs="Arial"/>
          <w:b/>
          <w:bCs/>
          <w:sz w:val="24"/>
          <w:szCs w:val="24"/>
          <w:rtl/>
        </w:rPr>
        <w:t xml:space="preserve">עָלַיְהוּ אִתְּמַר שָׁמְעוּ הָרִים אֶת רִיב ה' </w:t>
      </w:r>
      <w:r w:rsidRPr="00007309">
        <w:rPr>
          <w:rtl/>
        </w:rPr>
        <w:t>(מיכה ו)</w:t>
      </w:r>
      <w:r w:rsidRPr="00007309">
        <w:rPr>
          <w:rFonts w:cs="Arial"/>
          <w:b/>
          <w:bCs/>
          <w:sz w:val="24"/>
          <w:szCs w:val="24"/>
          <w:rtl/>
        </w:rPr>
        <w:t xml:space="preserve">. מָאן הָרִים. אֶלָּא הָא תְּלָת אַבְנִין עִלָּאִין לְגַבַּיְכוּ, דְּאִנּוּן סְגוֹלְתָּא. וּלְמָאן מִנַּיְכוּ </w:t>
      </w:r>
      <w:r w:rsidRPr="00007309">
        <w:rPr>
          <w:rFonts w:cs="Arial"/>
          <w:b/>
          <w:bCs/>
          <w:sz w:val="36"/>
          <w:szCs w:val="28"/>
          <w:vertAlign w:val="superscript"/>
          <w:rtl/>
        </w:rPr>
        <w:footnoteReference w:id="6245"/>
      </w:r>
      <w:r w:rsidRPr="00007309">
        <w:rPr>
          <w:rFonts w:cs="Arial"/>
          <w:b/>
          <w:bCs/>
          <w:sz w:val="24"/>
          <w:szCs w:val="24"/>
          <w:rtl/>
        </w:rPr>
        <w:t xml:space="preserve">לְרַבִּ'י וְרַ'ב וְרַבָּ'א דִּמְתִיבְתָּא עִלָּאָה. דִּלְקָבְלַיְכוּ הֲווֹ כָּל רַב מִבָּבֶל. וְרִבִּי מֵאַרְעָא דְּיִשְׂרָאֵל. וְרַבָּא מִשְּׁאָר אַרְעִין. שָׁמְעוּ </w:t>
      </w:r>
      <w:r w:rsidRPr="00007309">
        <w:rPr>
          <w:rFonts w:cs="Arial"/>
          <w:b/>
          <w:bCs/>
          <w:sz w:val="36"/>
          <w:szCs w:val="28"/>
          <w:vertAlign w:val="superscript"/>
          <w:rtl/>
        </w:rPr>
        <w:footnoteReference w:id="6246"/>
      </w:r>
      <w:r w:rsidRPr="00007309">
        <w:rPr>
          <w:rFonts w:cs="Arial"/>
          <w:b/>
          <w:bCs/>
          <w:sz w:val="24"/>
          <w:szCs w:val="24"/>
          <w:rtl/>
        </w:rPr>
        <w:t>דְּאַתְוָן רִיב וּקְטָטָה וּמַחֲלֹקֶת בַּהֲלָכָה לְעֵלָּא. וְרַבִּ'י וְרַ'ב וְרַבָּ'א מַחֲלֹקֶת וְרִיב וּקְטָטָה</w:t>
      </w:r>
      <w:r w:rsidRPr="00007309">
        <w:rPr>
          <w:rFonts w:cs="Arial"/>
          <w:b/>
          <w:bCs/>
          <w:sz w:val="24"/>
          <w:szCs w:val="24"/>
        </w:rPr>
        <w:t xml:space="preserve"> </w:t>
      </w:r>
      <w:r w:rsidRPr="00007309">
        <w:rPr>
          <w:rFonts w:cs="Arial"/>
          <w:b/>
          <w:bCs/>
          <w:sz w:val="24"/>
          <w:szCs w:val="24"/>
          <w:rtl/>
        </w:rPr>
        <w:t xml:space="preserve">בַּהֲלָכָה דִּילְהוֹן לְתַתָּא. וְלֵית בְּכוּ דִּיהֵא רִיב וּקְטָטָה וּמַחֲלֹקֶת בְּגִין שְׁכִינְתָּא, לְגַבֵּי קוּדְשָׁא בְּרִיךְ הוּא לְדַחֲקָא לֵהּ </w:t>
      </w:r>
      <w:r w:rsidRPr="00007309">
        <w:rPr>
          <w:rFonts w:cs="Arial"/>
          <w:b/>
          <w:bCs/>
          <w:sz w:val="36"/>
          <w:szCs w:val="28"/>
          <w:vertAlign w:val="superscript"/>
          <w:rtl/>
        </w:rPr>
        <w:footnoteReference w:id="6247"/>
      </w:r>
      <w:r w:rsidRPr="00007309">
        <w:rPr>
          <w:rFonts w:cs="Arial"/>
          <w:b/>
          <w:bCs/>
          <w:sz w:val="24"/>
          <w:szCs w:val="24"/>
          <w:rtl/>
        </w:rPr>
        <w:t xml:space="preserve">בְּכַמָּה קוּשְׁיָן עַד דְּיָפִיק לֵהּ מִן גָּלוּתָא. וְהָאֵיתָנִים, </w:t>
      </w:r>
      <w:r w:rsidRPr="00007309">
        <w:rPr>
          <w:rFonts w:cs="Arial"/>
          <w:b/>
          <w:bCs/>
          <w:sz w:val="36"/>
          <w:szCs w:val="28"/>
          <w:vertAlign w:val="superscript"/>
          <w:rtl/>
        </w:rPr>
        <w:footnoteReference w:id="6248"/>
      </w:r>
      <w:r w:rsidRPr="00007309">
        <w:rPr>
          <w:rFonts w:cs="Arial"/>
          <w:b/>
          <w:bCs/>
          <w:sz w:val="24"/>
          <w:szCs w:val="24"/>
          <w:rtl/>
        </w:rPr>
        <w:t xml:space="preserve">אִלֵּין תַּנָּאִים דְּמַתְנִיתִין דִּמְתִיבְתָּא דִּלְתַתָּא. הָא תְּלָת אַבְנִין לְגַבַּיְכוּ, דְּאִנּוּן סֶגוֹל. דְּשִׁית נִקּוּדִין אִלֵּין, אִנּוּן שִׁית סִדְרֵי מַתְנִיתִין. וְכָל נְקֻדָּה אִיהִי. עֶשֶׂר וְסַלְקִין לְס' מַסֶּכְתּוֹת, דְּעָלַיְהוּ אָמַר שְׁלֹמֹה </w:t>
      </w:r>
      <w:r w:rsidRPr="00007309">
        <w:rPr>
          <w:rtl/>
        </w:rPr>
        <w:t>(שיר השירים ו)</w:t>
      </w:r>
      <w:r w:rsidRPr="00007309">
        <w:rPr>
          <w:rFonts w:cs="Arial"/>
          <w:b/>
          <w:bCs/>
          <w:sz w:val="24"/>
          <w:szCs w:val="24"/>
          <w:rtl/>
        </w:rPr>
        <w:t xml:space="preserve"> שִׁשִּׁים</w:t>
      </w:r>
      <w:r w:rsidRPr="00007309">
        <w:rPr>
          <w:rFonts w:cs="Arial"/>
          <w:b/>
          <w:bCs/>
          <w:sz w:val="24"/>
          <w:szCs w:val="24"/>
        </w:rPr>
        <w:t xml:space="preserve"> </w:t>
      </w:r>
      <w:r w:rsidRPr="00007309">
        <w:rPr>
          <w:rFonts w:cs="Arial"/>
          <w:b/>
          <w:bCs/>
          <w:sz w:val="24"/>
          <w:szCs w:val="24"/>
          <w:rtl/>
        </w:rPr>
        <w:t>הֵמָּה</w:t>
      </w:r>
      <w:r w:rsidRPr="00007309">
        <w:rPr>
          <w:rFonts w:ascii="Cambria" w:hAnsi="Cambria" w:cs="Times New Roman"/>
          <w:b/>
          <w:bCs/>
          <w:i/>
          <w:iCs/>
          <w:color w:val="4F81BD"/>
          <w:sz w:val="24"/>
          <w:szCs w:val="24"/>
          <w:rtl/>
        </w:rPr>
        <w:t xml:space="preserve"> </w:t>
      </w:r>
      <w:r w:rsidRPr="00007309">
        <w:rPr>
          <w:rFonts w:ascii="Cambria" w:hAnsi="Cambria" w:cs="Times New Roman" w:hint="cs"/>
          <w:b/>
          <w:bCs/>
          <w:i/>
          <w:iCs/>
          <w:color w:val="4F81BD"/>
          <w:sz w:val="24"/>
          <w:szCs w:val="24"/>
          <w:rtl/>
        </w:rPr>
        <w:t xml:space="preserve">(דף עה ע"א) </w:t>
      </w:r>
      <w:r w:rsidRPr="00007309">
        <w:rPr>
          <w:rFonts w:cs="Arial"/>
          <w:b/>
          <w:bCs/>
          <w:sz w:val="24"/>
          <w:szCs w:val="24"/>
          <w:rtl/>
        </w:rPr>
        <w:t xml:space="preserve">מְלָכוֹת. וְאִית לֵהּ כַּמָּה בְּתוּלוֹת אַחֲרֶיהָ רְעוּתֶיהָ </w:t>
      </w:r>
      <w:r w:rsidRPr="00007309">
        <w:rPr>
          <w:rFonts w:cs="Arial"/>
          <w:b/>
          <w:bCs/>
          <w:sz w:val="36"/>
          <w:szCs w:val="28"/>
          <w:vertAlign w:val="superscript"/>
          <w:rtl/>
        </w:rPr>
        <w:footnoteReference w:id="6249"/>
      </w:r>
      <w:r w:rsidRPr="00007309">
        <w:rPr>
          <w:rFonts w:cs="Arial"/>
          <w:b/>
          <w:bCs/>
          <w:sz w:val="24"/>
          <w:szCs w:val="24"/>
          <w:rtl/>
        </w:rPr>
        <w:t xml:space="preserve">דַּהֲלָכוֹת פְּסוּקוֹת דְּאִתְּמַר בְּהוֹן </w:t>
      </w:r>
      <w:r w:rsidRPr="00007309">
        <w:rPr>
          <w:rtl/>
        </w:rPr>
        <w:t>(שם)</w:t>
      </w:r>
      <w:r w:rsidRPr="00007309">
        <w:rPr>
          <w:rFonts w:cs="Arial"/>
          <w:b/>
          <w:bCs/>
          <w:sz w:val="24"/>
          <w:szCs w:val="24"/>
          <w:rtl/>
        </w:rPr>
        <w:t xml:space="preserve"> וַעֲלָמוֹת אֵין מִסְפָּר. </w:t>
      </w:r>
      <w:r w:rsidRPr="00007309">
        <w:rPr>
          <w:rFonts w:cs="Arial"/>
          <w:b/>
          <w:bCs/>
          <w:sz w:val="36"/>
          <w:szCs w:val="28"/>
          <w:vertAlign w:val="superscript"/>
          <w:rtl/>
        </w:rPr>
        <w:footnoteReference w:id="6250"/>
      </w:r>
      <w:r w:rsidRPr="00007309">
        <w:rPr>
          <w:rFonts w:cs="Arial"/>
          <w:b/>
          <w:bCs/>
          <w:sz w:val="24"/>
          <w:szCs w:val="24"/>
          <w:rtl/>
        </w:rPr>
        <w:t xml:space="preserve">וּשְׁכִינְתָּא אִיהִי תָּגָא עַל כֻּלְּהוּ. </w:t>
      </w:r>
      <w:r w:rsidRPr="00007309">
        <w:rPr>
          <w:rFonts w:cs="Arial"/>
          <w:b/>
          <w:bCs/>
          <w:sz w:val="36"/>
          <w:szCs w:val="28"/>
          <w:vertAlign w:val="superscript"/>
          <w:rtl/>
        </w:rPr>
        <w:footnoteReference w:id="6251"/>
      </w:r>
      <w:r w:rsidRPr="00007309">
        <w:rPr>
          <w:rFonts w:cs="Arial"/>
          <w:b/>
          <w:bCs/>
          <w:sz w:val="24"/>
          <w:szCs w:val="24"/>
          <w:rtl/>
        </w:rPr>
        <w:t xml:space="preserve">תָּגָא דְּזַרְקָא עָלֵהּ אִתְּמַר </w:t>
      </w:r>
      <w:r w:rsidRPr="00007309">
        <w:rPr>
          <w:rtl/>
        </w:rPr>
        <w:t>(משלי לא)</w:t>
      </w:r>
      <w:r w:rsidRPr="00007309">
        <w:rPr>
          <w:rFonts w:cs="Arial"/>
          <w:b/>
          <w:bCs/>
          <w:sz w:val="24"/>
          <w:szCs w:val="24"/>
          <w:rtl/>
        </w:rPr>
        <w:t xml:space="preserve"> </w:t>
      </w:r>
      <w:r w:rsidRPr="00007309">
        <w:rPr>
          <w:rFonts w:cs="Arial"/>
          <w:b/>
          <w:bCs/>
          <w:sz w:val="36"/>
          <w:szCs w:val="28"/>
          <w:vertAlign w:val="superscript"/>
          <w:rtl/>
        </w:rPr>
        <w:footnoteReference w:id="6252"/>
      </w:r>
      <w:r w:rsidRPr="00007309">
        <w:rPr>
          <w:rFonts w:cs="Arial"/>
          <w:b/>
          <w:bCs/>
          <w:sz w:val="24"/>
          <w:szCs w:val="24"/>
          <w:rtl/>
        </w:rPr>
        <w:t xml:space="preserve">רַבּוֹת בָּנוֹת עָשׂוּ חַיִל וְאַתְּ עָלִית עַל כֻּלָּנָה. וְאִיהִי </w:t>
      </w:r>
      <w:r w:rsidRPr="00007309">
        <w:rPr>
          <w:rFonts w:cs="Arial"/>
          <w:b/>
          <w:bCs/>
          <w:sz w:val="36"/>
          <w:szCs w:val="28"/>
          <w:vertAlign w:val="superscript"/>
          <w:rtl/>
        </w:rPr>
        <w:footnoteReference w:id="6253"/>
      </w:r>
      <w:r w:rsidRPr="00007309">
        <w:rPr>
          <w:rFonts w:cs="Arial"/>
          <w:b/>
          <w:bCs/>
          <w:sz w:val="24"/>
          <w:szCs w:val="24"/>
          <w:rtl/>
        </w:rPr>
        <w:t>רִיב וּקְטָטָה וּמַחֲלֹקֶת וְקוּשְׁיָא לְקוּדְשָׁא בְּרִיךְ הוּא בְּגִין יִשְׂרָאֵל אַחֵיכוֹן. ומ"מ דְּמִשְׁתַּדְּלִין בְּאוֹרַיְתָא בְּכָל יוֹמָא וְלֵילְיָא בְּגָלוּתָא, אִיהִי רִיב בְּגִינַיְהוּ דְּיִפּוּק לוֹן</w:t>
      </w:r>
      <w:r w:rsidRPr="00007309">
        <w:rPr>
          <w:rFonts w:cs="Arial"/>
          <w:b/>
          <w:bCs/>
          <w:sz w:val="24"/>
          <w:szCs w:val="24"/>
        </w:rPr>
        <w:t xml:space="preserve">. </w:t>
      </w:r>
      <w:r w:rsidRPr="00007309">
        <w:rPr>
          <w:rFonts w:cs="Arial"/>
          <w:b/>
          <w:bCs/>
          <w:sz w:val="24"/>
          <w:szCs w:val="24"/>
          <w:rtl/>
        </w:rPr>
        <w:t>וְלֵית מָאן דִּיהֵא רִיב וּקְטָטָה וּמַחֲלֹקֶת לְקוּדְשָׁא בְּרִיךְ הוּא בְּגִינֵהּ בְּגָלוּתָא</w:t>
      </w:r>
      <w:r w:rsidRPr="00007309">
        <w:rPr>
          <w:rFonts w:cs="Arial"/>
          <w:b/>
          <w:bCs/>
          <w:sz w:val="24"/>
          <w:szCs w:val="24"/>
        </w:rPr>
        <w:t>:</w:t>
      </w:r>
    </w:p>
    <w:p w:rsidR="00007309" w:rsidRPr="00007309" w:rsidRDefault="00007309" w:rsidP="00007309">
      <w:pPr>
        <w:keepNext/>
        <w:spacing w:before="240" w:after="60"/>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[וילנא ח ע"א]</w:t>
      </w:r>
    </w:p>
    <w:p w:rsidR="00007309" w:rsidRPr="00007309" w:rsidRDefault="00007309" w:rsidP="00007309">
      <w:pPr>
        <w:jc w:val="both"/>
        <w:rPr>
          <w:rFonts w:cs="Arial"/>
          <w:b/>
          <w:bCs/>
          <w:sz w:val="24"/>
          <w:szCs w:val="24"/>
        </w:rPr>
      </w:pPr>
      <w:r w:rsidRPr="00007309">
        <w:rPr>
          <w:rFonts w:cs="Arial"/>
          <w:b/>
          <w:bCs/>
          <w:sz w:val="24"/>
          <w:szCs w:val="24"/>
          <w:rtl/>
        </w:rPr>
        <w:t xml:space="preserve">קָם סָבָא חֲדָא מבֵּינַיְהוּ וְאָמַר, רָעֲיָא מְהֵימָנָא </w:t>
      </w:r>
      <w:r w:rsidRPr="00007309">
        <w:rPr>
          <w:rFonts w:cs="Arial"/>
          <w:b/>
          <w:bCs/>
          <w:sz w:val="36"/>
          <w:szCs w:val="28"/>
          <w:vertAlign w:val="superscript"/>
          <w:rtl/>
        </w:rPr>
        <w:footnoteReference w:id="6254"/>
      </w:r>
      <w:r w:rsidRPr="00007309">
        <w:rPr>
          <w:rFonts w:cs="Arial"/>
          <w:b/>
          <w:bCs/>
          <w:sz w:val="24"/>
          <w:szCs w:val="24"/>
          <w:rtl/>
        </w:rPr>
        <w:t xml:space="preserve">כַּמָּה תַּקִּיפִין אַבְנִין דְּזָרִיקַת. דְּאִזְדַּעְזְעוּ </w:t>
      </w:r>
      <w:r w:rsidRPr="00007309">
        <w:rPr>
          <w:rFonts w:cs="Arial"/>
          <w:b/>
          <w:bCs/>
          <w:sz w:val="36"/>
          <w:szCs w:val="28"/>
          <w:vertAlign w:val="superscript"/>
          <w:rtl/>
        </w:rPr>
        <w:footnoteReference w:id="6255"/>
      </w:r>
      <w:r w:rsidRPr="00007309">
        <w:rPr>
          <w:rFonts w:cs="Arial"/>
          <w:b/>
          <w:bCs/>
          <w:sz w:val="24"/>
          <w:szCs w:val="24"/>
          <w:rtl/>
        </w:rPr>
        <w:t xml:space="preserve">מָארֵי מְתִיבְתָּא דִּלְעֵלָּא וְתַתָּא, וַאֲפִלּוּ מַלְאָכִין עִלָּאִין דְּאִנּוּן סַמְכִין </w:t>
      </w:r>
      <w:r w:rsidRPr="00007309">
        <w:rPr>
          <w:rFonts w:cs="Arial"/>
          <w:b/>
          <w:bCs/>
          <w:sz w:val="36"/>
          <w:szCs w:val="28"/>
          <w:vertAlign w:val="superscript"/>
          <w:rtl/>
        </w:rPr>
        <w:footnoteReference w:id="6256"/>
      </w:r>
      <w:r w:rsidRPr="00007309">
        <w:rPr>
          <w:rFonts w:cs="Arial"/>
          <w:b/>
          <w:bCs/>
          <w:sz w:val="24"/>
          <w:szCs w:val="24"/>
          <w:rtl/>
        </w:rPr>
        <w:t xml:space="preserve">שִׁית דַּרְגִּין דְּכֻרְסֵא וְכֻרְסֵא אִזְדַּעְזְעַת. אֲבָל הָא </w:t>
      </w:r>
      <w:r w:rsidRPr="00007309">
        <w:rPr>
          <w:rFonts w:cs="Arial"/>
          <w:b/>
          <w:bCs/>
          <w:sz w:val="36"/>
          <w:szCs w:val="28"/>
          <w:vertAlign w:val="superscript"/>
          <w:rtl/>
        </w:rPr>
        <w:footnoteReference w:id="6257"/>
      </w:r>
      <w:r w:rsidRPr="00007309">
        <w:rPr>
          <w:rFonts w:cs="Arial"/>
          <w:b/>
          <w:bCs/>
          <w:sz w:val="24"/>
          <w:szCs w:val="24"/>
          <w:rtl/>
        </w:rPr>
        <w:t xml:space="preserve">אֵיתָן מוֹשָׁבֶךָ לְגַבָּךְ דְּאִיהִי שְׁבִיעָאָה אִתְּמַר מִנַּהּ, דְּהָא אַבְנָא דְּזָרִיקַת הָא אִיהִי לְגַבָּךְ דְּאִיהִי תָּגָא עַל כֻּלְּהוּ. </w:t>
      </w:r>
      <w:r w:rsidRPr="00007309">
        <w:rPr>
          <w:rFonts w:cs="Arial"/>
          <w:b/>
          <w:bCs/>
          <w:sz w:val="36"/>
          <w:szCs w:val="28"/>
          <w:vertAlign w:val="superscript"/>
          <w:rtl/>
        </w:rPr>
        <w:footnoteReference w:id="6258"/>
      </w:r>
      <w:r w:rsidRPr="00007309">
        <w:rPr>
          <w:rFonts w:cs="Arial"/>
          <w:b/>
          <w:bCs/>
          <w:sz w:val="24"/>
          <w:szCs w:val="24"/>
          <w:rtl/>
        </w:rPr>
        <w:t xml:space="preserve">שִׂים בַּסֶּלַע קִנֶּךָ, וְשִׁית אָחֳרָנִין לְגַבָּךְ </w:t>
      </w:r>
      <w:r w:rsidRPr="00007309">
        <w:rPr>
          <w:rFonts w:cs="Arial"/>
          <w:b/>
          <w:bCs/>
          <w:sz w:val="36"/>
          <w:szCs w:val="28"/>
          <w:vertAlign w:val="superscript"/>
          <w:rtl/>
        </w:rPr>
        <w:footnoteReference w:id="6259"/>
      </w:r>
      <w:r w:rsidRPr="00007309">
        <w:rPr>
          <w:rFonts w:cs="Arial"/>
          <w:b/>
          <w:bCs/>
          <w:sz w:val="24"/>
          <w:szCs w:val="24"/>
          <w:rtl/>
        </w:rPr>
        <w:t xml:space="preserve">בְּגִין דְּאִיהוּ אָמַר </w:t>
      </w:r>
      <w:r w:rsidRPr="00007309">
        <w:rPr>
          <w:rtl/>
        </w:rPr>
        <w:t>(יחזקאל לו)</w:t>
      </w:r>
      <w:r w:rsidRPr="00007309">
        <w:rPr>
          <w:rFonts w:cs="Arial"/>
          <w:b/>
          <w:bCs/>
          <w:sz w:val="24"/>
          <w:szCs w:val="24"/>
          <w:rtl/>
        </w:rPr>
        <w:t xml:space="preserve"> לֹא לְמַעַנְכֶם אֲנִי עוֹשֶׂה. הָא שִׁית לְגַבָּךְ </w:t>
      </w:r>
      <w:r w:rsidRPr="00007309">
        <w:rPr>
          <w:rFonts w:cs="Arial"/>
          <w:b/>
          <w:bCs/>
          <w:sz w:val="36"/>
          <w:szCs w:val="28"/>
          <w:vertAlign w:val="superscript"/>
          <w:rtl/>
        </w:rPr>
        <w:footnoteReference w:id="6260"/>
      </w:r>
      <w:r w:rsidRPr="00007309">
        <w:rPr>
          <w:rFonts w:cs="Arial"/>
          <w:b/>
          <w:bCs/>
          <w:sz w:val="24"/>
          <w:szCs w:val="24"/>
          <w:rtl/>
        </w:rPr>
        <w:t xml:space="preserve">כִּי אִם לְשֵׁם קָדְשִׁי הָא שְׁבִיעָאָה לְגַבָּךְ </w:t>
      </w:r>
      <w:r w:rsidRPr="00007309">
        <w:rPr>
          <w:rFonts w:cs="Arial"/>
          <w:b/>
          <w:bCs/>
          <w:sz w:val="36"/>
          <w:szCs w:val="28"/>
          <w:vertAlign w:val="superscript"/>
          <w:rtl/>
        </w:rPr>
        <w:footnoteReference w:id="6261"/>
      </w:r>
      <w:r w:rsidRPr="00007309">
        <w:rPr>
          <w:rFonts w:cs="Arial"/>
          <w:b/>
          <w:bCs/>
          <w:sz w:val="24"/>
          <w:szCs w:val="24"/>
          <w:rtl/>
        </w:rPr>
        <w:t xml:space="preserve">וְלֹא עוֹד אֶלָּא דְּאַנְתְּ הוּא דְּאִתְּמַר בָּךְ וַיַּךְ אֶת הַסֶּלַע </w:t>
      </w:r>
      <w:r w:rsidRPr="00007309">
        <w:rPr>
          <w:rFonts w:cs="Arial"/>
          <w:b/>
          <w:bCs/>
          <w:sz w:val="36"/>
          <w:szCs w:val="28"/>
          <w:vertAlign w:val="superscript"/>
          <w:rtl/>
        </w:rPr>
        <w:footnoteReference w:id="6262"/>
      </w:r>
      <w:r w:rsidRPr="00007309">
        <w:rPr>
          <w:rFonts w:cs="Arial"/>
          <w:b/>
          <w:bCs/>
          <w:sz w:val="24"/>
          <w:szCs w:val="24"/>
          <w:rtl/>
        </w:rPr>
        <w:t xml:space="preserve">וְשִׂים בַּסֶּלַע, דְּחִוְיָא לְכַפֵּר עֲוֹנֵךְ קִנֶּךָ. קוּדְשָׁא בְּרִיךְ הוּא מָנֵי לְכוּ וְדִבַּרְתֶּם אֶל הַסֶּלַע, וְאַתּוּן לָא עֲבַדְתּוּן הָכֵי. דְּאִי עֲבַדְתּוּן מֵימְרֵי בְּדִבּוּרָא, הֲווֹ אוֹלְפִין אוֹרַיְתָא </w:t>
      </w:r>
      <w:r w:rsidRPr="00007309">
        <w:rPr>
          <w:rFonts w:cs="Arial"/>
          <w:b/>
          <w:bCs/>
          <w:sz w:val="36"/>
          <w:szCs w:val="28"/>
          <w:vertAlign w:val="superscript"/>
          <w:rtl/>
        </w:rPr>
        <w:footnoteReference w:id="6263"/>
      </w:r>
      <w:r w:rsidRPr="00007309">
        <w:rPr>
          <w:rFonts w:cs="Arial"/>
          <w:b/>
          <w:bCs/>
          <w:sz w:val="24"/>
          <w:szCs w:val="24"/>
          <w:rtl/>
        </w:rPr>
        <w:t xml:space="preserve">בְּלָא סָפֵק וּבְלָא קוּשְׁיָא וּמַחֲלֹקֶת. וּבְגִין דְּאִתְּמַר בָּךְ </w:t>
      </w:r>
      <w:r w:rsidRPr="00007309">
        <w:rPr>
          <w:rtl/>
        </w:rPr>
        <w:t>(במדבר כ)</w:t>
      </w:r>
      <w:r w:rsidRPr="00007309">
        <w:rPr>
          <w:rFonts w:cs="Arial"/>
          <w:b/>
          <w:bCs/>
          <w:sz w:val="24"/>
          <w:szCs w:val="24"/>
          <w:rtl/>
        </w:rPr>
        <w:t xml:space="preserve"> וַיַּךְ אֶת הַסֶּלַע וְלֹא נָפְקוּ מִנֵּהּ </w:t>
      </w:r>
      <w:r w:rsidRPr="00007309">
        <w:rPr>
          <w:rFonts w:cs="Arial"/>
          <w:b/>
          <w:bCs/>
          <w:sz w:val="36"/>
          <w:szCs w:val="28"/>
          <w:vertAlign w:val="superscript"/>
          <w:rtl/>
        </w:rPr>
        <w:footnoteReference w:id="6264"/>
      </w:r>
      <w:r w:rsidRPr="00007309">
        <w:rPr>
          <w:rFonts w:cs="Arial"/>
          <w:b/>
          <w:bCs/>
          <w:sz w:val="24"/>
          <w:szCs w:val="24"/>
          <w:rtl/>
        </w:rPr>
        <w:t xml:space="preserve">אֶלָּא טִפִּין טִפִּין. </w:t>
      </w:r>
      <w:r w:rsidRPr="00007309">
        <w:rPr>
          <w:rFonts w:cs="Arial"/>
          <w:b/>
          <w:bCs/>
          <w:sz w:val="36"/>
          <w:szCs w:val="28"/>
          <w:vertAlign w:val="superscript"/>
          <w:rtl/>
        </w:rPr>
        <w:footnoteReference w:id="6265"/>
      </w:r>
      <w:r w:rsidRPr="00007309">
        <w:rPr>
          <w:rFonts w:cs="Arial"/>
          <w:b/>
          <w:bCs/>
          <w:sz w:val="24"/>
          <w:szCs w:val="24"/>
          <w:rtl/>
        </w:rPr>
        <w:t xml:space="preserve">הָכֵי מארי מתניתין אִנּוּן כְּמָאן דְּמָחֵי בַּסֶּלַע. וְאִנּוּן לִישַׁנְהוֹן. כְּפַטִישׁ </w:t>
      </w:r>
      <w:r w:rsidRPr="00007309">
        <w:rPr>
          <w:rFonts w:cs="Arial"/>
          <w:b/>
          <w:bCs/>
          <w:sz w:val="36"/>
          <w:szCs w:val="28"/>
          <w:vertAlign w:val="superscript"/>
          <w:rtl/>
        </w:rPr>
        <w:footnoteReference w:id="6266"/>
      </w:r>
      <w:r w:rsidRPr="00007309">
        <w:rPr>
          <w:rFonts w:cs="Arial"/>
          <w:b/>
          <w:bCs/>
          <w:sz w:val="24"/>
          <w:szCs w:val="24"/>
          <w:rtl/>
        </w:rPr>
        <w:t xml:space="preserve">יְפוֹצֵץ סֶלַע וּפַסְקִין בָּהּ כַּמָּה פְּסָקוֹת דַּהֲלָכוֹת, וְלֹא נַפְקִין מִנַּיְהוּ אֶלָּא טִפִּין טִפִּין וְאִנּוּן לְקוּטוֹת. וּבְגִין דָּא בָּךְ תַּלְיָא כֹּלָּא. הָא אַבְנָא </w:t>
      </w:r>
      <w:r w:rsidRPr="00007309">
        <w:rPr>
          <w:rFonts w:ascii="Cambria" w:hAnsi="Cambria" w:cs="Times New Roman" w:hint="cs"/>
          <w:b/>
          <w:bCs/>
          <w:i/>
          <w:iCs/>
          <w:color w:val="4F81BD"/>
          <w:sz w:val="24"/>
          <w:szCs w:val="24"/>
          <w:rtl/>
        </w:rPr>
        <w:t xml:space="preserve">(וילנא ח ע"א) </w:t>
      </w:r>
      <w:r w:rsidRPr="00007309">
        <w:rPr>
          <w:rFonts w:cs="Arial"/>
          <w:b/>
          <w:bCs/>
          <w:sz w:val="24"/>
          <w:szCs w:val="24"/>
          <w:rtl/>
        </w:rPr>
        <w:t xml:space="preserve">לְגַבָּךְ וְשִׁית אָחֳרָנִין. וּבָךְ תַּלְיָא פֻּרְקָנָא דִּשְׁכִינְתָּא </w:t>
      </w:r>
      <w:r w:rsidRPr="00007309">
        <w:rPr>
          <w:rFonts w:cs="Arial"/>
          <w:b/>
          <w:bCs/>
          <w:sz w:val="36"/>
          <w:szCs w:val="28"/>
          <w:vertAlign w:val="superscript"/>
          <w:rtl/>
        </w:rPr>
        <w:footnoteReference w:id="6267"/>
      </w:r>
      <w:r w:rsidRPr="00007309">
        <w:rPr>
          <w:rFonts w:cs="Arial"/>
          <w:b/>
          <w:bCs/>
          <w:sz w:val="24"/>
          <w:szCs w:val="24"/>
          <w:rtl/>
        </w:rPr>
        <w:t>וּבְנָהָא, בְּגִין דְּיִתְקַן בָּךְ מַה דאתהרס בְּקַדְמִיתָא</w:t>
      </w:r>
      <w:r w:rsidRPr="00007309">
        <w:rPr>
          <w:rFonts w:cs="Arial"/>
          <w:b/>
          <w:bCs/>
          <w:sz w:val="24"/>
          <w:szCs w:val="24"/>
        </w:rPr>
        <w:t xml:space="preserve">. </w:t>
      </w:r>
    </w:p>
    <w:p w:rsidR="00007309" w:rsidRPr="00007309" w:rsidRDefault="00007309" w:rsidP="00007309">
      <w:pPr>
        <w:jc w:val="both"/>
        <w:rPr>
          <w:rFonts w:cs="Arial"/>
          <w:b/>
          <w:bCs/>
          <w:sz w:val="24"/>
          <w:szCs w:val="24"/>
        </w:rPr>
      </w:pPr>
      <w:r w:rsidRPr="00007309">
        <w:rPr>
          <w:rFonts w:cs="Arial"/>
          <w:b/>
          <w:bCs/>
          <w:sz w:val="24"/>
          <w:szCs w:val="24"/>
          <w:rtl/>
        </w:rPr>
        <w:t xml:space="preserve">וּבְגִין חֲבִיבוּתָא דִּילָךְ, </w:t>
      </w:r>
      <w:r w:rsidRPr="00007309">
        <w:rPr>
          <w:rFonts w:cs="Arial"/>
          <w:b/>
          <w:bCs/>
          <w:sz w:val="36"/>
          <w:szCs w:val="28"/>
          <w:vertAlign w:val="superscript"/>
          <w:rtl/>
        </w:rPr>
        <w:footnoteReference w:id="6268"/>
      </w:r>
      <w:r w:rsidRPr="00007309">
        <w:rPr>
          <w:rFonts w:cs="Arial"/>
          <w:b/>
          <w:bCs/>
          <w:sz w:val="24"/>
          <w:szCs w:val="24"/>
          <w:rtl/>
        </w:rPr>
        <w:t xml:space="preserve">שִׁית טִפִּין </w:t>
      </w:r>
      <w:r w:rsidRPr="00007309">
        <w:rPr>
          <w:rFonts w:cs="Arial"/>
          <w:b/>
          <w:bCs/>
          <w:sz w:val="36"/>
          <w:szCs w:val="28"/>
          <w:vertAlign w:val="superscript"/>
          <w:rtl/>
        </w:rPr>
        <w:footnoteReference w:id="6269"/>
      </w:r>
      <w:r w:rsidRPr="00007309">
        <w:rPr>
          <w:rFonts w:cs="Arial"/>
          <w:b/>
          <w:bCs/>
          <w:sz w:val="24"/>
          <w:szCs w:val="24"/>
          <w:rtl/>
        </w:rPr>
        <w:t xml:space="preserve">דְּגִלְגּוּלָא </w:t>
      </w:r>
      <w:r w:rsidRPr="00007309">
        <w:rPr>
          <w:rFonts w:cs="Arial"/>
          <w:b/>
          <w:bCs/>
          <w:sz w:val="36"/>
          <w:szCs w:val="28"/>
          <w:vertAlign w:val="superscript"/>
          <w:rtl/>
        </w:rPr>
        <w:footnoteReference w:id="6270"/>
      </w:r>
      <w:r w:rsidRPr="00007309">
        <w:rPr>
          <w:rFonts w:cs="Arial"/>
          <w:b/>
          <w:bCs/>
          <w:sz w:val="24"/>
          <w:szCs w:val="24"/>
          <w:rtl/>
        </w:rPr>
        <w:t xml:space="preserve">אִתְחַזְּרוּן לְגַבָּךְ דְּאִנּוּן רְמִיזִין בְּרֵישֵׁי עַנְפִּין דִּלְךָ. </w:t>
      </w:r>
      <w:r w:rsidRPr="00007309">
        <w:rPr>
          <w:rFonts w:cs="Arial"/>
          <w:b/>
          <w:bCs/>
          <w:sz w:val="36"/>
          <w:szCs w:val="28"/>
          <w:vertAlign w:val="superscript"/>
          <w:rtl/>
        </w:rPr>
        <w:footnoteReference w:id="6271"/>
      </w:r>
      <w:r w:rsidRPr="00007309">
        <w:rPr>
          <w:rFonts w:cs="Arial"/>
          <w:b/>
          <w:bCs/>
          <w:sz w:val="24"/>
          <w:szCs w:val="24"/>
          <w:rtl/>
        </w:rPr>
        <w:t xml:space="preserve">אִנּוּן ש ש דְּכָפַל בְּהוּ מֹשֶׁה מֹשֶׁה. </w:t>
      </w:r>
      <w:r w:rsidRPr="00007309">
        <w:rPr>
          <w:rFonts w:cs="Arial"/>
          <w:b/>
          <w:bCs/>
          <w:sz w:val="36"/>
          <w:szCs w:val="28"/>
          <w:vertAlign w:val="superscript"/>
          <w:rtl/>
        </w:rPr>
        <w:footnoteReference w:id="6272"/>
      </w:r>
      <w:r w:rsidRPr="00007309">
        <w:rPr>
          <w:rFonts w:cs="Arial"/>
          <w:b/>
          <w:bCs/>
          <w:sz w:val="24"/>
          <w:szCs w:val="24"/>
          <w:rtl/>
        </w:rPr>
        <w:t xml:space="preserve">אַבְנָא שְׁבִיעָאָה </w:t>
      </w:r>
      <w:r w:rsidRPr="00007309">
        <w:rPr>
          <w:rtl/>
        </w:rPr>
        <w:t>(איכה ב)</w:t>
      </w:r>
      <w:r w:rsidRPr="00007309">
        <w:rPr>
          <w:rFonts w:cs="Arial"/>
          <w:b/>
          <w:bCs/>
          <w:sz w:val="24"/>
          <w:szCs w:val="24"/>
          <w:rtl/>
        </w:rPr>
        <w:t xml:space="preserve"> מָה אֲעִידֵךְ מָה אֲדַמֶּה לָּךְ </w:t>
      </w:r>
      <w:r w:rsidRPr="00007309">
        <w:rPr>
          <w:rFonts w:cs="Arial"/>
          <w:b/>
          <w:bCs/>
          <w:sz w:val="36"/>
          <w:szCs w:val="28"/>
          <w:vertAlign w:val="superscript"/>
          <w:rtl/>
        </w:rPr>
        <w:footnoteReference w:id="6273"/>
      </w:r>
      <w:r w:rsidRPr="00007309">
        <w:rPr>
          <w:rFonts w:cs="Arial"/>
          <w:b/>
          <w:bCs/>
          <w:sz w:val="24"/>
          <w:szCs w:val="24"/>
          <w:rtl/>
        </w:rPr>
        <w:t>וְאִתְּמַר בֵּהּ הַבַּת יְרושָׁלַיִם. וְעָלַהּ אִתְּמַר מָה אֲשַׁוֶּה לָךְ. אִיהִי אֲשַׁוֶּה לָךְ בִּתְבִירוּ דִּילָךְ, וַאֲנַחֲמֵךְ. דְּאִית לָךְ לְהִתְנַחֵם עִמָּהּ. דְּדַיּוֹ לְעֶבֶד לִהְיוֹת כְּרַבּוֹ. וְאַף עַל גַּב דִּיהֵא רַב תְּבִירוּ</w:t>
      </w:r>
      <w:r w:rsidRPr="00007309">
        <w:rPr>
          <w:rFonts w:cs="Arial"/>
          <w:b/>
          <w:bCs/>
          <w:sz w:val="24"/>
          <w:szCs w:val="24"/>
        </w:rPr>
        <w:t xml:space="preserve"> </w:t>
      </w:r>
      <w:r w:rsidRPr="00007309">
        <w:rPr>
          <w:rFonts w:cs="Arial"/>
          <w:b/>
          <w:bCs/>
          <w:sz w:val="24"/>
          <w:szCs w:val="24"/>
          <w:rtl/>
        </w:rPr>
        <w:t xml:space="preserve">דִּילָךְ </w:t>
      </w:r>
      <w:r w:rsidRPr="00007309">
        <w:rPr>
          <w:rFonts w:cs="Arial"/>
          <w:b/>
          <w:bCs/>
          <w:sz w:val="36"/>
          <w:szCs w:val="28"/>
          <w:vertAlign w:val="superscript"/>
          <w:rtl/>
        </w:rPr>
        <w:footnoteReference w:id="6274"/>
      </w:r>
      <w:r w:rsidRPr="00007309">
        <w:rPr>
          <w:rFonts w:cs="Arial"/>
          <w:b/>
          <w:bCs/>
          <w:sz w:val="24"/>
          <w:szCs w:val="24"/>
          <w:rtl/>
        </w:rPr>
        <w:t xml:space="preserve">כְּיַמָּא, הָדָא הוּא דִּכְתִיב </w:t>
      </w:r>
      <w:r w:rsidRPr="00007309">
        <w:rPr>
          <w:rtl/>
        </w:rPr>
        <w:t>(שם)</w:t>
      </w:r>
      <w:r w:rsidRPr="00007309">
        <w:rPr>
          <w:rFonts w:cs="Arial"/>
          <w:b/>
          <w:bCs/>
          <w:sz w:val="24"/>
          <w:szCs w:val="24"/>
          <w:rtl/>
        </w:rPr>
        <w:t xml:space="preserve"> כִּי גָּדוֹל כַּיָּם שִׁבְרֵךְ מִ"י יִרְפָּא לָךְ, דְּאִיהִי אִמָּא עִלָּאָה תְּשׁוּבָה צָרִיךְ </w:t>
      </w:r>
      <w:r w:rsidRPr="00007309">
        <w:rPr>
          <w:rFonts w:cs="Arial"/>
          <w:b/>
          <w:bCs/>
          <w:sz w:val="36"/>
          <w:szCs w:val="28"/>
          <w:vertAlign w:val="superscript"/>
          <w:rtl/>
        </w:rPr>
        <w:footnoteReference w:id="6275"/>
      </w:r>
      <w:r w:rsidRPr="00007309">
        <w:rPr>
          <w:rFonts w:cs="Arial"/>
          <w:b/>
          <w:bCs/>
          <w:sz w:val="24"/>
          <w:szCs w:val="24"/>
          <w:rtl/>
        </w:rPr>
        <w:t xml:space="preserve">בֵּירָא דִּילָךְ אִתְבַּקְּעַת דְּאִיהִי יַמָּא דְּאוֹרַיְתָא. </w:t>
      </w:r>
      <w:r w:rsidRPr="00007309">
        <w:rPr>
          <w:rFonts w:cs="Arial"/>
          <w:b/>
          <w:bCs/>
          <w:sz w:val="36"/>
          <w:szCs w:val="28"/>
          <w:vertAlign w:val="superscript"/>
          <w:rtl/>
        </w:rPr>
        <w:footnoteReference w:id="6276"/>
      </w:r>
      <w:r w:rsidRPr="00007309">
        <w:rPr>
          <w:rFonts w:cs="Arial"/>
          <w:b/>
          <w:bCs/>
          <w:sz w:val="24"/>
          <w:szCs w:val="24"/>
          <w:rtl/>
        </w:rPr>
        <w:t xml:space="preserve">הָדָא הוּא דִּכְתִיב </w:t>
      </w:r>
      <w:r w:rsidRPr="00007309">
        <w:rPr>
          <w:rtl/>
        </w:rPr>
        <w:t>(שמות יד)</w:t>
      </w:r>
      <w:r w:rsidRPr="00007309">
        <w:rPr>
          <w:rFonts w:cs="Arial"/>
          <w:b/>
          <w:bCs/>
          <w:sz w:val="24"/>
          <w:szCs w:val="24"/>
          <w:rtl/>
        </w:rPr>
        <w:t xml:space="preserve"> וַיֵּט מֹשֶׁה יָדוֹ עַל הַיָּם וַיֹּלֵךְ ה' אֶת הַיָּם בְּרוּחַ קָדִים עַזָּה כָּל הַלַּיְלָה וַיָּשֶׂם אֶת הַיָּם לְחָרָבָה. ע"כ</w:t>
      </w:r>
      <w:r w:rsidRPr="00007309">
        <w:rPr>
          <w:rFonts w:cs="Arial"/>
          <w:b/>
          <w:bCs/>
          <w:sz w:val="24"/>
          <w:szCs w:val="24"/>
        </w:rPr>
        <w:t>:</w:t>
      </w:r>
    </w:p>
    <w:p w:rsidR="00007309" w:rsidRPr="00007309" w:rsidRDefault="00007309" w:rsidP="00007309">
      <w:pPr>
        <w:jc w:val="both"/>
        <w:rPr>
          <w:rFonts w:cs="Arial"/>
          <w:b/>
          <w:bCs/>
          <w:sz w:val="24"/>
          <w:szCs w:val="24"/>
          <w:rtl/>
        </w:rPr>
      </w:pPr>
      <w:r w:rsidRPr="00007309">
        <w:rPr>
          <w:rFonts w:cs="Arial"/>
          <w:b/>
          <w:bCs/>
          <w:sz w:val="36"/>
          <w:szCs w:val="28"/>
          <w:vertAlign w:val="superscript"/>
          <w:rtl/>
        </w:rPr>
        <w:footnoteReference w:id="6277"/>
      </w:r>
      <w:r w:rsidRPr="00007309">
        <w:rPr>
          <w:rFonts w:cs="Arial"/>
          <w:b/>
          <w:bCs/>
          <w:sz w:val="24"/>
          <w:szCs w:val="24"/>
          <w:rtl/>
        </w:rPr>
        <w:t xml:space="preserve">מִכָאן וָאֵילָךְ </w:t>
      </w:r>
      <w:r w:rsidRPr="00007309">
        <w:rPr>
          <w:rFonts w:cs="Arial"/>
          <w:b/>
          <w:bCs/>
          <w:sz w:val="36"/>
          <w:szCs w:val="28"/>
          <w:vertAlign w:val="superscript"/>
          <w:rtl/>
        </w:rPr>
        <w:footnoteReference w:id="6278"/>
      </w:r>
      <w:r w:rsidRPr="00007309">
        <w:rPr>
          <w:rFonts w:cs="Arial"/>
          <w:b/>
          <w:bCs/>
          <w:sz w:val="24"/>
          <w:szCs w:val="24"/>
          <w:rtl/>
        </w:rPr>
        <w:t xml:space="preserve">וַיִּבָּקְעוּ הַמַּיִם דִּילֵהּ </w:t>
      </w:r>
      <w:r w:rsidRPr="00007309">
        <w:rPr>
          <w:rFonts w:cs="Arial"/>
          <w:b/>
          <w:bCs/>
          <w:sz w:val="36"/>
          <w:szCs w:val="28"/>
          <w:vertAlign w:val="superscript"/>
          <w:rtl/>
        </w:rPr>
        <w:footnoteReference w:id="6279"/>
      </w:r>
      <w:r w:rsidRPr="00007309">
        <w:rPr>
          <w:rFonts w:cs="Arial"/>
          <w:b/>
          <w:bCs/>
          <w:sz w:val="24"/>
          <w:szCs w:val="24"/>
          <w:rtl/>
        </w:rPr>
        <w:t xml:space="preserve">לְגַבָּהּ. </w:t>
      </w:r>
      <w:r w:rsidRPr="00007309">
        <w:rPr>
          <w:rFonts w:cs="Arial"/>
          <w:b/>
          <w:bCs/>
          <w:sz w:val="36"/>
          <w:szCs w:val="28"/>
          <w:vertAlign w:val="superscript"/>
          <w:rtl/>
        </w:rPr>
        <w:footnoteReference w:id="6280"/>
      </w:r>
      <w:r w:rsidRPr="00007309">
        <w:rPr>
          <w:rFonts w:cs="Arial"/>
          <w:b/>
          <w:bCs/>
          <w:sz w:val="24"/>
          <w:szCs w:val="24"/>
          <w:rtl/>
        </w:rPr>
        <w:t xml:space="preserve">וְאִיהוּ עֵץ חַיִּים דְּאִתְּמַר בָּהּ </w:t>
      </w:r>
      <w:r w:rsidRPr="00007309">
        <w:rPr>
          <w:rtl/>
        </w:rPr>
        <w:t>(שם טו)</w:t>
      </w:r>
      <w:r w:rsidRPr="00007309">
        <w:rPr>
          <w:rFonts w:cs="Arial"/>
          <w:b/>
          <w:bCs/>
          <w:sz w:val="24"/>
          <w:szCs w:val="24"/>
          <w:rtl/>
        </w:rPr>
        <w:t xml:space="preserve"> וַיּוֹרֵהוּ ה' עֵץ </w:t>
      </w:r>
      <w:r w:rsidRPr="00007309">
        <w:rPr>
          <w:rFonts w:cs="Arial"/>
          <w:b/>
          <w:bCs/>
          <w:sz w:val="36"/>
          <w:szCs w:val="28"/>
          <w:vertAlign w:val="superscript"/>
          <w:rtl/>
        </w:rPr>
        <w:footnoteReference w:id="6281"/>
      </w:r>
      <w:r w:rsidRPr="00007309">
        <w:rPr>
          <w:rFonts w:cs="Arial"/>
          <w:b/>
          <w:bCs/>
          <w:sz w:val="24"/>
          <w:szCs w:val="24"/>
          <w:rtl/>
        </w:rPr>
        <w:t xml:space="preserve">וַיַּשְׁלֵךְ אֶל הַמַּיִם וַיִּמְתְּקוּ הַמַּיִם דְּאוֹרַיְתָא דִּבְעַל פֶּה, דְּאִתְּמַר בְּהוֹן </w:t>
      </w:r>
      <w:r w:rsidRPr="00007309">
        <w:rPr>
          <w:rtl/>
        </w:rPr>
        <w:t>(שם)</w:t>
      </w:r>
      <w:r w:rsidRPr="00007309">
        <w:rPr>
          <w:rFonts w:cs="Arial"/>
          <w:b/>
          <w:bCs/>
          <w:sz w:val="24"/>
          <w:szCs w:val="24"/>
          <w:rtl/>
        </w:rPr>
        <w:t xml:space="preserve"> וְלֹא יָכְלוּ לִשְׁתּוֹת מַיִם מִמָּרָה כִּי מָרִים הֵם </w:t>
      </w:r>
      <w:r w:rsidRPr="00007309">
        <w:rPr>
          <w:rtl/>
        </w:rPr>
        <w:t>(שמות א)</w:t>
      </w:r>
      <w:r w:rsidRPr="00007309">
        <w:rPr>
          <w:rFonts w:cs="Arial"/>
          <w:b/>
          <w:bCs/>
          <w:sz w:val="24"/>
          <w:szCs w:val="24"/>
          <w:rtl/>
        </w:rPr>
        <w:t xml:space="preserve">. כְּמָה דְּאוֹקְמוּהּ וַיְמָרַרוּ אֶת חַיֵּיהֶם בַּעֲבֹדָה קָשָׁה, דְּאִיהִי קוּשְׁיָא. וּבְהַהוּא זִמְנָא וַתֵּשְׁתְּ הָעֵדָה וּבְעִירָם. </w:t>
      </w:r>
      <w:r w:rsidRPr="00007309">
        <w:rPr>
          <w:rFonts w:cs="Arial"/>
          <w:b/>
          <w:bCs/>
          <w:sz w:val="36"/>
          <w:szCs w:val="28"/>
          <w:vertAlign w:val="superscript"/>
          <w:rtl/>
        </w:rPr>
        <w:footnoteReference w:id="6282"/>
      </w:r>
      <w:r w:rsidRPr="00007309">
        <w:rPr>
          <w:rFonts w:cs="Arial"/>
          <w:b/>
          <w:bCs/>
          <w:sz w:val="24"/>
          <w:szCs w:val="24"/>
          <w:rtl/>
        </w:rPr>
        <w:t xml:space="preserve">וְכַד אִתְגַּלֵּי לָךְ אִילָנָא דְּחַיֵּי בְּדָרָא בַּתְרָאָה, </w:t>
      </w:r>
      <w:r w:rsidRPr="00007309">
        <w:rPr>
          <w:rFonts w:cs="Arial"/>
          <w:b/>
          <w:bCs/>
          <w:sz w:val="36"/>
          <w:szCs w:val="28"/>
          <w:vertAlign w:val="superscript"/>
          <w:rtl/>
        </w:rPr>
        <w:footnoteReference w:id="6283"/>
      </w:r>
      <w:r w:rsidRPr="00007309">
        <w:rPr>
          <w:rFonts w:cs="Arial"/>
          <w:b/>
          <w:bCs/>
          <w:sz w:val="24"/>
          <w:szCs w:val="24"/>
          <w:rtl/>
        </w:rPr>
        <w:t xml:space="preserve">דְּאַתְּ עָתִיד לְאִתְגַּלָּאָה בֵּינַיְהוּ כְּמָה דְּאוֹקְמוּהּ </w:t>
      </w:r>
      <w:r w:rsidRPr="00007309">
        <w:rPr>
          <w:rtl/>
        </w:rPr>
        <w:t>(קהלת א)</w:t>
      </w:r>
      <w:r w:rsidRPr="00007309">
        <w:rPr>
          <w:rFonts w:cs="Arial"/>
          <w:b/>
          <w:bCs/>
          <w:sz w:val="24"/>
          <w:szCs w:val="24"/>
          <w:rtl/>
        </w:rPr>
        <w:t xml:space="preserve"> מַ'ה שֶּׁהָיָ'ה הוּ'א שֶׁיִּהְיֶ'ה. כַּמָּה </w:t>
      </w:r>
      <w:r w:rsidRPr="00007309">
        <w:rPr>
          <w:rFonts w:cs="Arial"/>
          <w:b/>
          <w:bCs/>
          <w:sz w:val="36"/>
          <w:szCs w:val="28"/>
          <w:vertAlign w:val="superscript"/>
          <w:rtl/>
        </w:rPr>
        <w:footnoteReference w:id="6284"/>
      </w:r>
      <w:r w:rsidRPr="00007309">
        <w:rPr>
          <w:rFonts w:cs="Arial"/>
          <w:b/>
          <w:bCs/>
          <w:sz w:val="24"/>
          <w:szCs w:val="24"/>
          <w:rtl/>
        </w:rPr>
        <w:t xml:space="preserve">נִסְיוֹנוֹת אִית לְאִתְנַסְּאָה יִשְׂרָאֵל, הָדָא הוּא דִּכְתִיב שָׁם שָׂם לוֹ חֹק וּמִשְׁפָּט וְשָׁם נִסָּהוּ לְמֹשֶׁה, וְאוֹרַיְתָא אִתְחַזְרַת לוֹן נִסָּיוֹן לְאִנּוּן דְּמִשְׁתַּדְּלִין בֵּהּ וְהַוְיָן בְּעָאקוּ סַגִּי. כְּגַוְנָא דְּמִצְרַיִם דְּאִתְּמַר בֵּהּ </w:t>
      </w:r>
      <w:r w:rsidRPr="00007309">
        <w:rPr>
          <w:rtl/>
        </w:rPr>
        <w:t>(שם א)</w:t>
      </w:r>
      <w:r w:rsidRPr="00007309">
        <w:rPr>
          <w:rFonts w:cs="Arial"/>
          <w:b/>
          <w:bCs/>
          <w:sz w:val="24"/>
          <w:szCs w:val="24"/>
          <w:rtl/>
        </w:rPr>
        <w:t xml:space="preserve"> כָּל הַבֵּן הַיִּלּוֹד הַיְאֹרָה תַּשְׁלִיכֻהוּ. </w:t>
      </w:r>
      <w:r w:rsidRPr="00007309">
        <w:rPr>
          <w:rFonts w:cs="Arial"/>
          <w:b/>
          <w:bCs/>
          <w:sz w:val="36"/>
          <w:szCs w:val="28"/>
          <w:vertAlign w:val="superscript"/>
          <w:rtl/>
        </w:rPr>
        <w:footnoteReference w:id="6285"/>
      </w:r>
      <w:r w:rsidRPr="00007309">
        <w:rPr>
          <w:rFonts w:cs="Arial"/>
          <w:b/>
          <w:bCs/>
          <w:sz w:val="24"/>
          <w:szCs w:val="24"/>
          <w:rtl/>
        </w:rPr>
        <w:t xml:space="preserve">וְדָא אוֹרַיְתָא דְּבִכְתָב. וְכָל הַבַּת תְּחַיּוּן </w:t>
      </w:r>
      <w:r w:rsidRPr="00007309">
        <w:rPr>
          <w:rFonts w:cs="Arial"/>
          <w:b/>
          <w:bCs/>
          <w:sz w:val="36"/>
          <w:szCs w:val="28"/>
          <w:vertAlign w:val="superscript"/>
          <w:rtl/>
        </w:rPr>
        <w:footnoteReference w:id="6286"/>
      </w:r>
      <w:r w:rsidRPr="00007309">
        <w:rPr>
          <w:rFonts w:cs="Arial"/>
          <w:b/>
          <w:bCs/>
          <w:sz w:val="24"/>
          <w:szCs w:val="24"/>
          <w:rtl/>
        </w:rPr>
        <w:t xml:space="preserve">אוֹרַיְתָא דִּבְעַל פֶּה, </w:t>
      </w:r>
      <w:r w:rsidRPr="00007309">
        <w:rPr>
          <w:rFonts w:cs="Arial"/>
          <w:b/>
          <w:bCs/>
          <w:sz w:val="36"/>
          <w:szCs w:val="28"/>
          <w:vertAlign w:val="superscript"/>
          <w:rtl/>
        </w:rPr>
        <w:footnoteReference w:id="6287"/>
      </w:r>
      <w:r w:rsidRPr="00007309">
        <w:rPr>
          <w:rFonts w:cs="Arial"/>
          <w:b/>
          <w:bCs/>
          <w:sz w:val="24"/>
          <w:szCs w:val="24"/>
          <w:rtl/>
        </w:rPr>
        <w:t xml:space="preserve">דְּתַרְוַיְהוּ אִנּוּן פֶּ'ה וּלְשׁוֹן, וּבְהוֹן תְּהֵא אַנְתְּ כְּבַד פֶּה וּכְבַד לָשׁוֹן, וְחַכִּימָא בִּרְמִיזָא. </w:t>
      </w:r>
      <w:r w:rsidRPr="00007309">
        <w:rPr>
          <w:rFonts w:cs="Arial"/>
          <w:b/>
          <w:bCs/>
          <w:sz w:val="36"/>
          <w:szCs w:val="28"/>
          <w:vertAlign w:val="superscript"/>
          <w:rtl/>
        </w:rPr>
        <w:footnoteReference w:id="6288"/>
      </w:r>
      <w:r w:rsidRPr="00007309">
        <w:rPr>
          <w:rFonts w:cs="Arial"/>
          <w:b/>
          <w:bCs/>
          <w:sz w:val="24"/>
          <w:szCs w:val="24"/>
          <w:rtl/>
        </w:rPr>
        <w:t>וְלֵית מִיתָה דְּמָארֵי דִּנְהוֹרָא</w:t>
      </w:r>
      <w:r w:rsidRPr="00007309">
        <w:rPr>
          <w:rFonts w:cs="Arial"/>
          <w:b/>
          <w:bCs/>
          <w:sz w:val="24"/>
          <w:szCs w:val="24"/>
        </w:rPr>
        <w:t xml:space="preserve"> </w:t>
      </w:r>
      <w:r w:rsidRPr="00007309">
        <w:rPr>
          <w:rFonts w:cs="Arial"/>
          <w:b/>
          <w:bCs/>
          <w:sz w:val="24"/>
          <w:szCs w:val="24"/>
          <w:rtl/>
        </w:rPr>
        <w:t xml:space="preserve">דְּאוֹרַיְתָא אֶלָּא עֲנִיּוּתָא. </w:t>
      </w:r>
    </w:p>
    <w:p w:rsidR="00007309" w:rsidRPr="00007309" w:rsidRDefault="00007309" w:rsidP="00007309">
      <w:pPr>
        <w:keepNext/>
        <w:spacing w:before="240" w:after="60"/>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[וילנא ח ע"ב]</w:t>
      </w:r>
    </w:p>
    <w:p w:rsidR="00007309" w:rsidRPr="00007309" w:rsidRDefault="00007309" w:rsidP="00007309">
      <w:pPr>
        <w:jc w:val="both"/>
        <w:rPr>
          <w:rFonts w:cs="Arial"/>
          <w:b/>
          <w:bCs/>
          <w:sz w:val="24"/>
          <w:szCs w:val="24"/>
          <w:rtl/>
        </w:rPr>
      </w:pPr>
      <w:r w:rsidRPr="00007309">
        <w:rPr>
          <w:rFonts w:cs="Arial"/>
          <w:b/>
          <w:bCs/>
          <w:sz w:val="36"/>
          <w:szCs w:val="28"/>
          <w:vertAlign w:val="superscript"/>
          <w:rtl/>
        </w:rPr>
        <w:footnoteReference w:id="6289"/>
      </w:r>
      <w:r w:rsidRPr="00007309">
        <w:rPr>
          <w:rFonts w:cs="Arial"/>
          <w:b/>
          <w:bCs/>
          <w:sz w:val="24"/>
          <w:szCs w:val="24"/>
          <w:rtl/>
        </w:rPr>
        <w:t xml:space="preserve">וּבְפֻרְקָנָא בַּתְרַיְתָא, אוֹרַיְתָא יְהֵא לְיִשְׂרָאֵל כְּגַוְנָא דְּיַמָּא, </w:t>
      </w:r>
      <w:r w:rsidRPr="00007309">
        <w:rPr>
          <w:rFonts w:cs="Arial"/>
          <w:b/>
          <w:bCs/>
          <w:sz w:val="36"/>
          <w:szCs w:val="28"/>
          <w:vertAlign w:val="superscript"/>
          <w:rtl/>
        </w:rPr>
        <w:footnoteReference w:id="6290"/>
      </w:r>
      <w:r w:rsidRPr="00007309">
        <w:rPr>
          <w:rFonts w:cs="Arial"/>
          <w:b/>
          <w:bCs/>
          <w:sz w:val="24"/>
          <w:szCs w:val="24"/>
          <w:rtl/>
        </w:rPr>
        <w:t xml:space="preserve">דְּאִתְּמַר בָּךְ, רָעֲיָא מְהֵימָנָא </w:t>
      </w:r>
      <w:r w:rsidRPr="00007309">
        <w:rPr>
          <w:rtl/>
        </w:rPr>
        <w:t>(שם ב)</w:t>
      </w:r>
      <w:r w:rsidRPr="00007309">
        <w:rPr>
          <w:rFonts w:cs="Arial"/>
          <w:b/>
          <w:bCs/>
          <w:sz w:val="24"/>
          <w:szCs w:val="24"/>
          <w:rtl/>
        </w:rPr>
        <w:t xml:space="preserve"> וַתָּשֶׂם בַּסּוּף עַל שְׂפַת הַיְאֹר </w:t>
      </w:r>
      <w:r w:rsidRPr="00007309">
        <w:rPr>
          <w:rtl/>
        </w:rPr>
        <w:t>(שמות ב')</w:t>
      </w:r>
      <w:r w:rsidRPr="00007309">
        <w:rPr>
          <w:rFonts w:cs="Arial"/>
          <w:b/>
          <w:bCs/>
          <w:sz w:val="24"/>
          <w:szCs w:val="24"/>
          <w:rtl/>
        </w:rPr>
        <w:t xml:space="preserve">. בְּסוֹ'ף פ"ו יוֹמִין דַּרְגָּא דְּפֻרְקָנָא אִתְּמַר בָּךְ וַתָּשֶׂם בַּסּוּף עַל שְׂפַת הַיְאֹר, דְּאִיהוּ נְהוֹרָא דְּאוֹרַיְתָא עַמּוּדָא דְּאֶמְצָעִיתָא. שָׂפָה דִּילֵהּ שְׁכִינְתָּא בְּהַהוּא זִמְנָא אִלֵּין טִפִּין דַּהֲווֹ נַפְקִין מִן הַסֶּלַע, דְּאִנּוּן פַּסְקֵי הֲלָכוֹת אִתְּמַר בְּהוֹן </w:t>
      </w:r>
      <w:r w:rsidRPr="00007309">
        <w:rPr>
          <w:rtl/>
        </w:rPr>
        <w:t>(תהלים צג)</w:t>
      </w:r>
      <w:r w:rsidRPr="00007309">
        <w:rPr>
          <w:rFonts w:cs="Arial"/>
          <w:b/>
          <w:bCs/>
          <w:sz w:val="24"/>
          <w:szCs w:val="24"/>
          <w:rtl/>
        </w:rPr>
        <w:t xml:space="preserve"> </w:t>
      </w:r>
      <w:r w:rsidRPr="00007309">
        <w:rPr>
          <w:rFonts w:cs="Arial"/>
          <w:b/>
          <w:bCs/>
          <w:sz w:val="36"/>
          <w:szCs w:val="28"/>
          <w:vertAlign w:val="superscript"/>
          <w:rtl/>
        </w:rPr>
        <w:footnoteReference w:id="6291"/>
      </w:r>
      <w:r w:rsidRPr="00007309">
        <w:rPr>
          <w:rFonts w:cs="Arial"/>
          <w:b/>
          <w:bCs/>
          <w:sz w:val="24"/>
          <w:szCs w:val="24"/>
          <w:rtl/>
        </w:rPr>
        <w:t xml:space="preserve">נָשְׂאוּ נְהָרוֹת ה'. </w:t>
      </w:r>
      <w:r w:rsidRPr="00007309">
        <w:rPr>
          <w:rFonts w:cs="Arial"/>
          <w:b/>
          <w:bCs/>
          <w:sz w:val="36"/>
          <w:szCs w:val="28"/>
          <w:vertAlign w:val="superscript"/>
          <w:rtl/>
        </w:rPr>
        <w:footnoteReference w:id="6292"/>
      </w:r>
      <w:r w:rsidRPr="00007309">
        <w:rPr>
          <w:rFonts w:cs="Arial"/>
          <w:b/>
          <w:bCs/>
          <w:sz w:val="24"/>
          <w:szCs w:val="24"/>
          <w:rtl/>
        </w:rPr>
        <w:t xml:space="preserve">תְּרֵין טִפִּין </w:t>
      </w:r>
      <w:r w:rsidRPr="00007309">
        <w:rPr>
          <w:rFonts w:cs="Arial"/>
          <w:b/>
          <w:bCs/>
          <w:sz w:val="36"/>
          <w:szCs w:val="28"/>
          <w:vertAlign w:val="superscript"/>
          <w:rtl/>
        </w:rPr>
        <w:footnoteReference w:id="6293"/>
      </w:r>
      <w:r w:rsidRPr="00007309">
        <w:rPr>
          <w:rFonts w:cs="Arial"/>
          <w:b/>
          <w:bCs/>
          <w:sz w:val="24"/>
          <w:szCs w:val="24"/>
          <w:rtl/>
        </w:rPr>
        <w:t xml:space="preserve">דְּאִנּוּן צרי </w:t>
      </w:r>
      <w:r w:rsidRPr="00007309">
        <w:rPr>
          <w:rFonts w:cs="Arial"/>
          <w:b/>
          <w:bCs/>
          <w:sz w:val="36"/>
          <w:szCs w:val="28"/>
          <w:vertAlign w:val="superscript"/>
          <w:rtl/>
        </w:rPr>
        <w:footnoteReference w:id="6294"/>
      </w:r>
      <w:r w:rsidRPr="00007309">
        <w:rPr>
          <w:rFonts w:cs="Arial"/>
          <w:b/>
          <w:bCs/>
          <w:sz w:val="24"/>
          <w:szCs w:val="24"/>
          <w:rtl/>
        </w:rPr>
        <w:t xml:space="preserve">סַלְקִין בִּתְרֵין וָוִין וְאִתְעֲבָדוּ נְהָרוֹת. </w:t>
      </w:r>
      <w:r w:rsidRPr="00007309">
        <w:rPr>
          <w:rFonts w:cs="Arial"/>
          <w:b/>
          <w:bCs/>
          <w:sz w:val="36"/>
          <w:szCs w:val="28"/>
          <w:vertAlign w:val="superscript"/>
          <w:rtl/>
        </w:rPr>
        <w:footnoteReference w:id="6295"/>
      </w:r>
      <w:r w:rsidRPr="00007309">
        <w:rPr>
          <w:rFonts w:cs="Arial"/>
          <w:b/>
          <w:bCs/>
          <w:sz w:val="24"/>
          <w:szCs w:val="24"/>
          <w:rtl/>
        </w:rPr>
        <w:t xml:space="preserve">וְהַהִיא נִקּוּדָא עִלָּאָה דְּאִיהִי סְגוֹלְתָּא אִסְתַּלְּקַת עַל גַּדְפַיְהוּ. </w:t>
      </w:r>
      <w:r w:rsidRPr="00007309">
        <w:rPr>
          <w:rFonts w:cs="Arial"/>
          <w:b/>
          <w:bCs/>
          <w:sz w:val="36"/>
          <w:szCs w:val="28"/>
          <w:vertAlign w:val="superscript"/>
          <w:rtl/>
        </w:rPr>
        <w:footnoteReference w:id="6296"/>
      </w:r>
      <w:r w:rsidRPr="00007309">
        <w:rPr>
          <w:rFonts w:cs="Arial"/>
          <w:b/>
          <w:bCs/>
          <w:sz w:val="24"/>
          <w:szCs w:val="24"/>
          <w:rtl/>
        </w:rPr>
        <w:t>וּסְלִיקוּ דִילהּ בְּאָן אֲתַר הֲוֵי, אֶלָּא אִלֵּין אִלֵּין תְּרֵין נְהָרוֹת אִנּוּן אַבָּא וְאִמָּא. מִסִּטְרָא דִּבְרַתָּא דְּמַלְכָּא טִפִּין אִתְקְרִיאוּ</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6297"/>
      </w:r>
      <w:r w:rsidRPr="00007309">
        <w:rPr>
          <w:rFonts w:cs="Arial"/>
          <w:b/>
          <w:bCs/>
          <w:sz w:val="24"/>
          <w:szCs w:val="24"/>
          <w:rtl/>
        </w:rPr>
        <w:t>דְּאִתְּמַר בְּהוֹן וַיִּצֶר, (ישעיה כה) כִּי בּ</w:t>
      </w:r>
      <w:r w:rsidRPr="00007309">
        <w:rPr>
          <w:rFonts w:cs="Arial" w:hint="cs"/>
          <w:b/>
          <w:bCs/>
          <w:sz w:val="24"/>
          <w:szCs w:val="24"/>
          <w:rtl/>
        </w:rPr>
        <w:t>י-</w:t>
      </w:r>
      <w:r w:rsidRPr="00007309">
        <w:rPr>
          <w:rFonts w:cs="Arial"/>
          <w:b/>
          <w:bCs/>
          <w:sz w:val="24"/>
          <w:szCs w:val="24"/>
          <w:rtl/>
        </w:rPr>
        <w:t xml:space="preserve">הּ ה' צוּר עוֹלָמִים. צִיֵּר </w:t>
      </w:r>
      <w:r w:rsidRPr="00007309">
        <w:rPr>
          <w:rFonts w:cs="Arial"/>
          <w:b/>
          <w:bCs/>
          <w:sz w:val="36"/>
          <w:szCs w:val="28"/>
          <w:vertAlign w:val="superscript"/>
          <w:rtl/>
        </w:rPr>
        <w:footnoteReference w:id="6298"/>
      </w:r>
      <w:r w:rsidRPr="00007309">
        <w:rPr>
          <w:rFonts w:cs="Arial"/>
          <w:b/>
          <w:bCs/>
          <w:sz w:val="24"/>
          <w:szCs w:val="24"/>
          <w:rtl/>
        </w:rPr>
        <w:t xml:space="preserve">תְּרֵין עָלְמִין דַּקִּיקִין. עָלְמִין דִּבְרַתָּא דְּמַלְכָּא אִנּוּן </w:t>
      </w:r>
      <w:r w:rsidRPr="00007309">
        <w:rPr>
          <w:rFonts w:cs="Arial"/>
          <w:b/>
          <w:bCs/>
          <w:sz w:val="36"/>
          <w:szCs w:val="28"/>
          <w:vertAlign w:val="superscript"/>
          <w:rtl/>
        </w:rPr>
        <w:footnoteReference w:id="6299"/>
      </w:r>
      <w:r w:rsidRPr="00007309">
        <w:rPr>
          <w:rFonts w:cs="Arial"/>
          <w:b/>
          <w:bCs/>
          <w:sz w:val="24"/>
          <w:szCs w:val="24"/>
          <w:rtl/>
        </w:rPr>
        <w:t>מִתַּתָּא</w:t>
      </w:r>
      <w:r w:rsidRPr="00007309">
        <w:rPr>
          <w:rFonts w:cs="Arial"/>
          <w:b/>
          <w:bCs/>
          <w:sz w:val="24"/>
          <w:szCs w:val="24"/>
        </w:rPr>
        <w:t xml:space="preserve"> </w:t>
      </w:r>
      <w:r w:rsidRPr="00007309">
        <w:rPr>
          <w:rFonts w:cs="Arial"/>
          <w:b/>
          <w:bCs/>
          <w:sz w:val="24"/>
          <w:szCs w:val="24"/>
          <w:rtl/>
        </w:rPr>
        <w:t xml:space="preserve">לְעֵלָּא. </w:t>
      </w:r>
      <w:r w:rsidRPr="00007309">
        <w:rPr>
          <w:rFonts w:cs="Arial"/>
          <w:b/>
          <w:bCs/>
          <w:sz w:val="36"/>
          <w:szCs w:val="28"/>
          <w:vertAlign w:val="superscript"/>
          <w:rtl/>
        </w:rPr>
        <w:footnoteReference w:id="6300"/>
      </w:r>
      <w:r w:rsidRPr="00007309">
        <w:rPr>
          <w:rFonts w:cs="Arial"/>
          <w:b/>
          <w:bCs/>
          <w:sz w:val="24"/>
          <w:szCs w:val="24"/>
          <w:rtl/>
        </w:rPr>
        <w:t>מִסִּטְרָא דְּעַמּוּדָא דְּאֶמְצָעִיתָא אִתְקְרִיאוּ נְהָרוֹת. וּבְגִין דָּא נָשְׂאוּ נְהָרוֹת. לְמָאן</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6301"/>
      </w:r>
      <w:r w:rsidRPr="00007309">
        <w:rPr>
          <w:rFonts w:cs="Arial"/>
          <w:b/>
          <w:bCs/>
          <w:sz w:val="24"/>
          <w:szCs w:val="24"/>
          <w:rtl/>
        </w:rPr>
        <w:t>לְהַהִיא סְגוֹלְתָּא, סַלְקִין לֵהּ כֶּתֶ"ר עַל גַּבַּיְהוּ</w:t>
      </w:r>
      <w:r w:rsidRPr="00007309">
        <w:rPr>
          <w:rFonts w:cs="Arial" w:hint="cs"/>
          <w:b/>
          <w:bCs/>
          <w:sz w:val="24"/>
          <w:szCs w:val="24"/>
          <w:rtl/>
        </w:rPr>
        <w:t>,</w:t>
      </w:r>
      <w:r w:rsidRPr="00007309">
        <w:rPr>
          <w:rFonts w:cs="Arial"/>
          <w:b/>
          <w:bCs/>
          <w:sz w:val="24"/>
          <w:szCs w:val="24"/>
          <w:rtl/>
        </w:rPr>
        <w:t xml:space="preserve"> לְמֶהֱוֵי </w:t>
      </w:r>
      <w:r w:rsidRPr="00007309">
        <w:rPr>
          <w:rFonts w:cs="Arial" w:hint="cs"/>
          <w:b/>
          <w:bCs/>
          <w:noProof/>
          <w:sz w:val="24"/>
          <w:szCs w:val="24"/>
          <w:rtl/>
        </w:rPr>
        <w:drawing>
          <wp:inline distT="0" distB="0" distL="0" distR="0" wp14:anchorId="262DD853" wp14:editId="47D0B926">
            <wp:extent cx="247619" cy="247619"/>
            <wp:effectExtent l="0" t="0" r="635" b="635"/>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ג יודין.bmp"/>
                    <pic:cNvPicPr/>
                  </pic:nvPicPr>
                  <pic:blipFill>
                    <a:blip r:embed="rId12">
                      <a:extLst>
                        <a:ext uri="{28A0092B-C50C-407E-A947-70E740481C1C}">
                          <a14:useLocalDpi xmlns:a14="http://schemas.microsoft.com/office/drawing/2010/main" val="0"/>
                        </a:ext>
                      </a:extLst>
                    </a:blip>
                    <a:stretch>
                      <a:fillRect/>
                    </a:stretch>
                  </pic:blipFill>
                  <pic:spPr>
                    <a:xfrm>
                      <a:off x="0" y="0"/>
                      <a:ext cx="247619" cy="247619"/>
                    </a:xfrm>
                    <a:prstGeom prst="rect">
                      <a:avLst/>
                    </a:prstGeom>
                  </pic:spPr>
                </pic:pic>
              </a:graphicData>
            </a:graphic>
          </wp:inline>
        </w:drawing>
      </w:r>
      <w:r w:rsidRPr="00007309">
        <w:rPr>
          <w:rFonts w:cs="Arial" w:hint="cs"/>
          <w:b/>
          <w:bCs/>
          <w:sz w:val="24"/>
          <w:szCs w:val="24"/>
          <w:rtl/>
        </w:rPr>
        <w:t xml:space="preserve"> </w:t>
      </w:r>
      <w:r w:rsidRPr="00007309">
        <w:rPr>
          <w:rFonts w:cs="Arial"/>
          <w:b/>
          <w:bCs/>
          <w:sz w:val="24"/>
          <w:szCs w:val="24"/>
          <w:rtl/>
        </w:rPr>
        <w:t xml:space="preserve">כָּלִיל סְגוֹלְתָּא, וּמִתְעַטְרָה בֵּהּ </w:t>
      </w:r>
      <w:r w:rsidRPr="00007309">
        <w:rPr>
          <w:rFonts w:cs="Arial"/>
          <w:b/>
          <w:bCs/>
          <w:sz w:val="36"/>
          <w:szCs w:val="28"/>
          <w:vertAlign w:val="superscript"/>
          <w:rtl/>
        </w:rPr>
        <w:footnoteReference w:id="6302"/>
      </w:r>
      <w:r w:rsidRPr="00007309">
        <w:rPr>
          <w:rFonts w:cs="Arial"/>
          <w:b/>
          <w:bCs/>
          <w:sz w:val="24"/>
          <w:szCs w:val="24"/>
          <w:rtl/>
        </w:rPr>
        <w:t xml:space="preserve">בִּתְלָת כִּתְרִין דְּאִנּוּן כֶּתֶר כְּהֻנָּה וְכֶתֶר מַלְכוּת </w:t>
      </w:r>
      <w:r w:rsidRPr="00007309">
        <w:rPr>
          <w:rFonts w:cs="Arial"/>
          <w:b/>
          <w:bCs/>
          <w:sz w:val="36"/>
          <w:szCs w:val="28"/>
          <w:vertAlign w:val="superscript"/>
          <w:rtl/>
        </w:rPr>
        <w:footnoteReference w:id="6303"/>
      </w:r>
      <w:r w:rsidRPr="00007309">
        <w:rPr>
          <w:rFonts w:cs="Arial"/>
          <w:b/>
          <w:bCs/>
          <w:sz w:val="24"/>
          <w:szCs w:val="24"/>
          <w:rtl/>
        </w:rPr>
        <w:t xml:space="preserve">וְכֶתֶר תּוֹרָה עַל </w:t>
      </w:r>
      <w:r w:rsidRPr="00007309">
        <w:rPr>
          <w:rFonts w:ascii="Cambria" w:hAnsi="Cambria" w:cs="Times New Roman" w:hint="cs"/>
          <w:b/>
          <w:bCs/>
          <w:i/>
          <w:iCs/>
          <w:color w:val="4F81BD"/>
          <w:sz w:val="24"/>
          <w:szCs w:val="24"/>
          <w:rtl/>
        </w:rPr>
        <w:t xml:space="preserve">(וילנא ח ע"ב) </w:t>
      </w:r>
      <w:r w:rsidRPr="00007309">
        <w:rPr>
          <w:rFonts w:cs="Arial"/>
          <w:b/>
          <w:bCs/>
          <w:sz w:val="24"/>
          <w:szCs w:val="24"/>
          <w:rtl/>
        </w:rPr>
        <w:t xml:space="preserve">גַּבֵּיהֶן. </w:t>
      </w:r>
    </w:p>
    <w:p w:rsidR="00007309" w:rsidRPr="00007309" w:rsidRDefault="00007309" w:rsidP="00007309">
      <w:pPr>
        <w:keepNext/>
        <w:outlineLvl w:val="1"/>
        <w:rPr>
          <w:rFonts w:ascii="Cambria" w:hAnsi="Cambria" w:cs="Times New Roman"/>
          <w:b/>
          <w:bCs/>
          <w:i/>
          <w:iCs/>
          <w:sz w:val="28"/>
          <w:szCs w:val="28"/>
          <w:rtl/>
        </w:rPr>
      </w:pPr>
      <w:r w:rsidRPr="00007309">
        <w:rPr>
          <w:rFonts w:ascii="Cambria" w:hAnsi="Cambria" w:cs="Times New Roman" w:hint="cs"/>
          <w:b/>
          <w:bCs/>
          <w:i/>
          <w:iCs/>
          <w:sz w:val="28"/>
          <w:szCs w:val="28"/>
          <w:rtl/>
        </w:rPr>
        <w:t>[דף עד ע"ב]</w:t>
      </w:r>
    </w:p>
    <w:p w:rsidR="00007309" w:rsidRPr="00007309" w:rsidRDefault="00007309" w:rsidP="00007309">
      <w:pPr>
        <w:jc w:val="both"/>
        <w:rPr>
          <w:rFonts w:cs="Arial"/>
          <w:b/>
          <w:bCs/>
          <w:sz w:val="24"/>
          <w:szCs w:val="24"/>
        </w:rPr>
      </w:pPr>
      <w:r w:rsidRPr="00007309">
        <w:rPr>
          <w:rFonts w:cs="Arial"/>
          <w:b/>
          <w:bCs/>
          <w:sz w:val="24"/>
          <w:szCs w:val="24"/>
          <w:rtl/>
        </w:rPr>
        <w:t xml:space="preserve">וְהָכֵי אִנּוּן תְּלָת נְהָרוֹת ו'ו'ו וּתְלָת יוֹדִין וּתְלָת וָוִין רְמִיזִין בִּתְלָת רֵישֵׁי תֵּבִין, </w:t>
      </w:r>
      <w:r w:rsidRPr="00007309">
        <w:rPr>
          <w:rFonts w:cs="Arial"/>
          <w:b/>
          <w:bCs/>
          <w:sz w:val="36"/>
          <w:szCs w:val="28"/>
          <w:vertAlign w:val="superscript"/>
          <w:rtl/>
        </w:rPr>
        <w:footnoteReference w:id="6304"/>
      </w:r>
      <w:r w:rsidRPr="00007309">
        <w:rPr>
          <w:rFonts w:cs="Arial"/>
          <w:b/>
          <w:bCs/>
          <w:sz w:val="24"/>
          <w:szCs w:val="24"/>
          <w:rtl/>
        </w:rPr>
        <w:t xml:space="preserve">דְּאִנּוּן וַ'יִּסַּע וַ'יָּבֹא וַ'יֵּט. תְּרֵין דְּאִנּוּן אַבָּא וְאִמָּא סַלְקִין כֶּתֶר עַל גַּדְפַיְהוּ. </w:t>
      </w:r>
      <w:r w:rsidRPr="00007309">
        <w:rPr>
          <w:rFonts w:cs="Arial"/>
          <w:b/>
          <w:bCs/>
          <w:sz w:val="36"/>
          <w:szCs w:val="28"/>
          <w:vertAlign w:val="superscript"/>
          <w:rtl/>
        </w:rPr>
        <w:footnoteReference w:id="6305"/>
      </w:r>
      <w:r w:rsidRPr="00007309">
        <w:rPr>
          <w:rFonts w:cs="Arial"/>
          <w:b/>
          <w:bCs/>
          <w:sz w:val="24"/>
          <w:szCs w:val="24"/>
          <w:rtl/>
        </w:rPr>
        <w:t xml:space="preserve">נָשְׂאוּ נְהָרוֹת קוֹלָם. אִנּוּן חֶסֶד גְּבוּרָה </w:t>
      </w:r>
      <w:r w:rsidRPr="00007309">
        <w:rPr>
          <w:rFonts w:cs="Arial"/>
          <w:b/>
          <w:bCs/>
          <w:sz w:val="36"/>
          <w:szCs w:val="28"/>
          <w:vertAlign w:val="superscript"/>
          <w:rtl/>
        </w:rPr>
        <w:footnoteReference w:id="6306"/>
      </w:r>
      <w:r w:rsidRPr="00007309">
        <w:rPr>
          <w:rFonts w:cs="Arial"/>
          <w:b/>
          <w:bCs/>
          <w:sz w:val="24"/>
          <w:szCs w:val="24"/>
          <w:rtl/>
        </w:rPr>
        <w:t xml:space="preserve">עָלַיְהוּ אִתְּמַר נָשְׂאוּ נְהָרוֹת קוֹלָם. מָאן קוֹלָם דָּא עַמּוּדָא דְּאֶמְצָעִיתָא </w:t>
      </w:r>
      <w:r w:rsidRPr="00007309">
        <w:rPr>
          <w:rFonts w:ascii="Cambria" w:hAnsi="Cambria" w:cs="Times New Roman" w:hint="cs"/>
          <w:b/>
          <w:bCs/>
          <w:i/>
          <w:iCs/>
          <w:color w:val="4F81BD"/>
          <w:sz w:val="24"/>
          <w:szCs w:val="24"/>
          <w:rtl/>
        </w:rPr>
        <w:t xml:space="preserve">(עה ע"ב) </w:t>
      </w:r>
      <w:r w:rsidRPr="00007309">
        <w:rPr>
          <w:rFonts w:cs="Arial"/>
          <w:b/>
          <w:bCs/>
          <w:sz w:val="36"/>
          <w:szCs w:val="28"/>
          <w:vertAlign w:val="superscript"/>
          <w:rtl/>
        </w:rPr>
        <w:footnoteReference w:id="6307"/>
      </w:r>
      <w:r w:rsidRPr="00007309">
        <w:rPr>
          <w:rFonts w:cs="Arial"/>
          <w:b/>
          <w:bCs/>
          <w:sz w:val="24"/>
          <w:szCs w:val="24"/>
          <w:rtl/>
        </w:rPr>
        <w:t xml:space="preserve">וְדָא רָזָא דְשׁוּרֻק לְעֵלָּא. שַׁלְשֶׁלֶת אִיהוּ כָּלִיל תְּלָת נִקּוּדִין בְּקִשּׁוּרָא חֲדָא דְּעַמּוּדָא דְּאֶמְצָעִיתָא. דְּעָלֵהּ אִתְּמַר </w:t>
      </w:r>
      <w:r w:rsidRPr="00007309">
        <w:rPr>
          <w:rtl/>
        </w:rPr>
        <w:t>(ירמיה ב)</w:t>
      </w:r>
      <w:r w:rsidRPr="00007309">
        <w:rPr>
          <w:rFonts w:cs="Arial"/>
          <w:b/>
          <w:bCs/>
          <w:sz w:val="24"/>
          <w:szCs w:val="24"/>
          <w:rtl/>
        </w:rPr>
        <w:t xml:space="preserve"> וְאָנֹכִי </w:t>
      </w:r>
      <w:r w:rsidRPr="00007309">
        <w:rPr>
          <w:rFonts w:cs="Arial"/>
          <w:b/>
          <w:bCs/>
          <w:sz w:val="36"/>
          <w:szCs w:val="28"/>
          <w:vertAlign w:val="superscript"/>
          <w:rtl/>
        </w:rPr>
        <w:footnoteReference w:id="6308"/>
      </w:r>
      <w:r w:rsidRPr="00007309">
        <w:rPr>
          <w:rFonts w:cs="Arial"/>
          <w:b/>
          <w:bCs/>
          <w:sz w:val="24"/>
          <w:szCs w:val="24"/>
          <w:rtl/>
        </w:rPr>
        <w:t xml:space="preserve">נְטַעְתִּיךְ שּורֵק כֻּלּוֹ זֶרַע אֱמֶת. יִשְּאוּ נְהָרוֹת דָכְיָם </w:t>
      </w:r>
      <w:r w:rsidRPr="00007309">
        <w:rPr>
          <w:rFonts w:cs="Arial"/>
          <w:b/>
          <w:bCs/>
          <w:sz w:val="36"/>
          <w:szCs w:val="28"/>
          <w:vertAlign w:val="superscript"/>
          <w:rtl/>
        </w:rPr>
        <w:footnoteReference w:id="6309"/>
      </w:r>
      <w:r w:rsidRPr="00007309">
        <w:rPr>
          <w:rFonts w:cs="Arial"/>
          <w:b/>
          <w:bCs/>
          <w:sz w:val="24"/>
          <w:szCs w:val="24"/>
          <w:rtl/>
        </w:rPr>
        <w:t xml:space="preserve">אִנּוּן נֶצַח וָהוֹד. </w:t>
      </w:r>
      <w:r w:rsidRPr="00007309">
        <w:rPr>
          <w:rFonts w:cs="Arial"/>
          <w:b/>
          <w:bCs/>
          <w:sz w:val="36"/>
          <w:szCs w:val="28"/>
          <w:vertAlign w:val="superscript"/>
          <w:rtl/>
        </w:rPr>
        <w:footnoteReference w:id="6310"/>
      </w:r>
      <w:r w:rsidRPr="00007309">
        <w:rPr>
          <w:rFonts w:cs="Arial"/>
          <w:b/>
          <w:bCs/>
          <w:sz w:val="24"/>
          <w:szCs w:val="24"/>
          <w:rtl/>
        </w:rPr>
        <w:t xml:space="preserve">נָשְׂאוּ לֹא כְּתִיב אֶלָּא יִשְּאוּ. </w:t>
      </w:r>
      <w:r w:rsidRPr="00007309">
        <w:rPr>
          <w:rFonts w:cs="Arial"/>
          <w:b/>
          <w:bCs/>
          <w:sz w:val="36"/>
          <w:szCs w:val="28"/>
          <w:vertAlign w:val="superscript"/>
          <w:rtl/>
        </w:rPr>
        <w:footnoteReference w:id="6311"/>
      </w:r>
      <w:r w:rsidRPr="00007309">
        <w:rPr>
          <w:rFonts w:cs="Arial"/>
          <w:b/>
          <w:bCs/>
          <w:sz w:val="24"/>
          <w:szCs w:val="24"/>
          <w:rtl/>
        </w:rPr>
        <w:t xml:space="preserve">וְאִנּוּן סֶגוֹ"ל </w:t>
      </w:r>
      <w:r w:rsidRPr="00007309">
        <w:rPr>
          <w:rFonts w:cs="Arial"/>
          <w:b/>
          <w:bCs/>
          <w:sz w:val="36"/>
          <w:szCs w:val="28"/>
          <w:vertAlign w:val="superscript"/>
          <w:rtl/>
        </w:rPr>
        <w:footnoteReference w:id="6312"/>
      </w:r>
      <w:r w:rsidRPr="00007309">
        <w:rPr>
          <w:rFonts w:cs="Arial"/>
          <w:b/>
          <w:bCs/>
          <w:sz w:val="24"/>
          <w:szCs w:val="24"/>
          <w:rtl/>
        </w:rPr>
        <w:t xml:space="preserve">דְּהִיא נְקֻדָּה דִּשְׁכִינְתָּא מִסִּטְרָא דְּצַדִּיק אִיהִי נְקֻדָּה לְתַתָּא תְּחוֹת רַגְלִין, </w:t>
      </w:r>
      <w:r w:rsidRPr="00007309">
        <w:rPr>
          <w:rFonts w:cs="Arial"/>
          <w:b/>
          <w:bCs/>
          <w:sz w:val="36"/>
          <w:szCs w:val="28"/>
          <w:vertAlign w:val="superscript"/>
          <w:rtl/>
        </w:rPr>
        <w:footnoteReference w:id="6313"/>
      </w:r>
      <w:r w:rsidRPr="00007309">
        <w:rPr>
          <w:rFonts w:cs="Arial"/>
          <w:b/>
          <w:bCs/>
          <w:sz w:val="24"/>
          <w:szCs w:val="24"/>
          <w:rtl/>
        </w:rPr>
        <w:t xml:space="preserve">דְּאִנּוּן יַרְכְּתֵי צָפוֹן. </w:t>
      </w:r>
      <w:r w:rsidRPr="00007309">
        <w:rPr>
          <w:rFonts w:cs="Arial"/>
          <w:b/>
          <w:bCs/>
          <w:sz w:val="36"/>
          <w:szCs w:val="28"/>
          <w:vertAlign w:val="superscript"/>
          <w:rtl/>
        </w:rPr>
        <w:footnoteReference w:id="6314"/>
      </w:r>
      <w:r w:rsidRPr="00007309">
        <w:rPr>
          <w:rFonts w:cs="Arial"/>
          <w:b/>
          <w:bCs/>
          <w:sz w:val="24"/>
          <w:szCs w:val="24"/>
          <w:rtl/>
        </w:rPr>
        <w:t xml:space="preserve">הָדָא הוּא דִּכְתִיב </w:t>
      </w:r>
      <w:r w:rsidRPr="00007309">
        <w:rPr>
          <w:rtl/>
        </w:rPr>
        <w:t>(תהלים מח)</w:t>
      </w:r>
      <w:r w:rsidRPr="00007309">
        <w:rPr>
          <w:rFonts w:cs="Arial"/>
          <w:b/>
          <w:bCs/>
          <w:sz w:val="24"/>
          <w:szCs w:val="24"/>
          <w:rtl/>
        </w:rPr>
        <w:t xml:space="preserve"> יְפֵה נוֹף מְשׂוֹשׂ כָּל הָאָרֶץ וְגוֹ'. </w:t>
      </w:r>
      <w:r w:rsidRPr="00007309">
        <w:rPr>
          <w:rFonts w:cs="Arial"/>
          <w:b/>
          <w:bCs/>
          <w:sz w:val="36"/>
          <w:szCs w:val="28"/>
          <w:vertAlign w:val="superscript"/>
          <w:rtl/>
        </w:rPr>
        <w:footnoteReference w:id="6315"/>
      </w:r>
      <w:r w:rsidRPr="00007309">
        <w:rPr>
          <w:rFonts w:cs="Arial"/>
          <w:b/>
          <w:bCs/>
          <w:sz w:val="24"/>
          <w:szCs w:val="24"/>
          <w:rtl/>
        </w:rPr>
        <w:t xml:space="preserve">כַּד אִיהִי נְקֻדָּה וְד' תְּחוֹת יְרֵכִי קְשׁוֹט אִתְקְרִיאַת הַר צִיּוֹן </w:t>
      </w:r>
      <w:r w:rsidRPr="00007309">
        <w:rPr>
          <w:rFonts w:cs="Arial"/>
          <w:b/>
          <w:bCs/>
          <w:sz w:val="36"/>
          <w:szCs w:val="28"/>
          <w:vertAlign w:val="superscript"/>
          <w:rtl/>
        </w:rPr>
        <w:footnoteReference w:id="6316"/>
      </w:r>
      <w:r w:rsidRPr="00007309">
        <w:rPr>
          <w:rFonts w:cs="Arial"/>
          <w:b/>
          <w:bCs/>
          <w:sz w:val="24"/>
          <w:szCs w:val="24"/>
          <w:rtl/>
        </w:rPr>
        <w:t xml:space="preserve">טוּרָא מָאִיךְ. </w:t>
      </w:r>
      <w:r w:rsidRPr="00007309">
        <w:rPr>
          <w:rFonts w:cs="Arial"/>
          <w:b/>
          <w:bCs/>
          <w:sz w:val="36"/>
          <w:szCs w:val="28"/>
          <w:vertAlign w:val="superscript"/>
          <w:rtl/>
        </w:rPr>
        <w:footnoteReference w:id="6317"/>
      </w:r>
      <w:r w:rsidRPr="00007309">
        <w:rPr>
          <w:rFonts w:cs="Arial"/>
          <w:b/>
          <w:bCs/>
          <w:sz w:val="24"/>
          <w:szCs w:val="24"/>
          <w:rtl/>
        </w:rPr>
        <w:t xml:space="preserve">וְאִתְקְרִיאַת מִסִּטְרָא דְּצַדִּיק, דָּכְיָ"ם ד"ך יָ"ם דַּךְ כָּלִיל מִכ"ד אַתְוָן </w:t>
      </w:r>
      <w:r w:rsidRPr="00007309">
        <w:rPr>
          <w:rFonts w:cs="Arial"/>
          <w:b/>
          <w:bCs/>
          <w:sz w:val="36"/>
          <w:szCs w:val="28"/>
          <w:vertAlign w:val="superscript"/>
          <w:rtl/>
        </w:rPr>
        <w:footnoteReference w:id="6318"/>
      </w:r>
      <w:r w:rsidRPr="00007309">
        <w:rPr>
          <w:rFonts w:cs="Arial"/>
          <w:b/>
          <w:bCs/>
          <w:sz w:val="24"/>
          <w:szCs w:val="24"/>
          <w:rtl/>
        </w:rPr>
        <w:t xml:space="preserve">דְּאִנּוּן בָּרוּךְ שֵׁם כְּבוֹד מַלְכוּתוֹ לְעוֹלָם וָעֶד, </w:t>
      </w:r>
      <w:r w:rsidRPr="00007309">
        <w:rPr>
          <w:rFonts w:cs="Arial"/>
          <w:b/>
          <w:bCs/>
          <w:sz w:val="36"/>
          <w:szCs w:val="28"/>
          <w:vertAlign w:val="superscript"/>
          <w:rtl/>
        </w:rPr>
        <w:footnoteReference w:id="6319"/>
      </w:r>
      <w:r w:rsidRPr="00007309">
        <w:rPr>
          <w:rFonts w:cs="Arial"/>
          <w:b/>
          <w:bCs/>
          <w:sz w:val="24"/>
          <w:szCs w:val="24"/>
          <w:rtl/>
        </w:rPr>
        <w:t>וּבְהוֹן אַל יָשׁוּב דַּךְ נִכְלָם. יָם אִתְקְרִיאַת מִסִּטְרָא דְּאִמָּא עִלָּאָה, כְּלִילָא מֵחַמְשִׁין אַתְוָן דִּכְלִילָן בִּקְרִיאַת שְׁמַע. בִּקְרָא קַדְמָאָה דִּמְיַחֲדִין לְקוּדְשָׁא בְּרִיךְ הוּא תְּרֵין זִמְנִין שְׁמַע</w:t>
      </w:r>
      <w:r w:rsidRPr="00007309">
        <w:rPr>
          <w:rFonts w:cs="Arial"/>
          <w:b/>
          <w:bCs/>
          <w:sz w:val="24"/>
          <w:szCs w:val="24"/>
        </w:rPr>
        <w:t xml:space="preserve"> </w:t>
      </w:r>
      <w:r w:rsidRPr="00007309">
        <w:rPr>
          <w:rFonts w:cs="Arial"/>
          <w:b/>
          <w:bCs/>
          <w:sz w:val="24"/>
          <w:szCs w:val="24"/>
          <w:rtl/>
        </w:rPr>
        <w:t xml:space="preserve">יִשְׂרָאֵל ה' אֱלֹהֵינוּ ה' אֶחָד. </w:t>
      </w:r>
      <w:r w:rsidRPr="00007309">
        <w:rPr>
          <w:rFonts w:cs="Arial"/>
          <w:b/>
          <w:bCs/>
          <w:sz w:val="36"/>
          <w:szCs w:val="28"/>
          <w:vertAlign w:val="superscript"/>
          <w:rtl/>
        </w:rPr>
        <w:footnoteReference w:id="6320"/>
      </w:r>
      <w:r w:rsidRPr="00007309">
        <w:rPr>
          <w:rFonts w:cs="Arial"/>
          <w:b/>
          <w:bCs/>
          <w:sz w:val="24"/>
          <w:szCs w:val="24"/>
          <w:rtl/>
        </w:rPr>
        <w:t xml:space="preserve">וּבְהוֹן וַיִּפֶן כֹּה וָכֹה </w:t>
      </w:r>
      <w:r w:rsidRPr="00007309">
        <w:rPr>
          <w:rFonts w:cs="Arial"/>
          <w:b/>
          <w:bCs/>
          <w:sz w:val="36"/>
          <w:szCs w:val="28"/>
          <w:vertAlign w:val="superscript"/>
          <w:rtl/>
        </w:rPr>
        <w:footnoteReference w:id="6321"/>
      </w:r>
      <w:r w:rsidRPr="00007309">
        <w:rPr>
          <w:rFonts w:cs="Arial"/>
          <w:b/>
          <w:bCs/>
          <w:sz w:val="24"/>
          <w:szCs w:val="24"/>
          <w:rtl/>
        </w:rPr>
        <w:t xml:space="preserve">וַיַּךְ אֶת הַמִּצְרִי. </w:t>
      </w:r>
      <w:r w:rsidRPr="00007309">
        <w:rPr>
          <w:rFonts w:cs="Arial"/>
          <w:b/>
          <w:bCs/>
          <w:sz w:val="36"/>
          <w:szCs w:val="28"/>
          <w:vertAlign w:val="superscript"/>
          <w:rtl/>
        </w:rPr>
        <w:footnoteReference w:id="6322"/>
      </w:r>
      <w:r w:rsidRPr="00007309">
        <w:rPr>
          <w:rFonts w:cs="Arial"/>
          <w:b/>
          <w:bCs/>
          <w:sz w:val="24"/>
          <w:szCs w:val="24"/>
          <w:rtl/>
        </w:rPr>
        <w:t xml:space="preserve">וּמִסִּטְרָא דְּאִמָּא עִלָּאָה אִיהוּ נִקּוּדָא עַל גַּדְפַיְהוּ </w:t>
      </w:r>
      <w:r w:rsidRPr="00007309">
        <w:rPr>
          <w:rFonts w:cs="Arial"/>
          <w:b/>
          <w:bCs/>
          <w:sz w:val="36"/>
          <w:szCs w:val="28"/>
          <w:vertAlign w:val="superscript"/>
          <w:rtl/>
        </w:rPr>
        <w:footnoteReference w:id="6323"/>
      </w:r>
      <w:r w:rsidRPr="00007309">
        <w:rPr>
          <w:rFonts w:cs="Arial"/>
          <w:b/>
          <w:bCs/>
          <w:sz w:val="24"/>
          <w:szCs w:val="24"/>
          <w:rtl/>
        </w:rPr>
        <w:t xml:space="preserve">קִרְיַת מֶלֶךְ רַב. </w:t>
      </w:r>
      <w:r w:rsidRPr="00007309">
        <w:rPr>
          <w:rFonts w:cs="Arial"/>
          <w:b/>
          <w:bCs/>
          <w:sz w:val="36"/>
          <w:szCs w:val="28"/>
          <w:vertAlign w:val="superscript"/>
          <w:rtl/>
        </w:rPr>
        <w:footnoteReference w:id="6324"/>
      </w:r>
      <w:r w:rsidRPr="00007309">
        <w:rPr>
          <w:rFonts w:cs="Arial"/>
          <w:b/>
          <w:bCs/>
          <w:sz w:val="24"/>
          <w:szCs w:val="24"/>
          <w:rtl/>
        </w:rPr>
        <w:t xml:space="preserve">וּכְעָן אִתְּמַר בֵּהּ </w:t>
      </w:r>
      <w:r w:rsidRPr="00007309">
        <w:rPr>
          <w:rtl/>
        </w:rPr>
        <w:t>(איכה א)</w:t>
      </w:r>
      <w:r w:rsidRPr="00007309">
        <w:rPr>
          <w:rFonts w:cs="Arial"/>
          <w:b/>
          <w:bCs/>
          <w:sz w:val="24"/>
          <w:szCs w:val="24"/>
          <w:rtl/>
        </w:rPr>
        <w:t xml:space="preserve"> </w:t>
      </w:r>
      <w:r w:rsidRPr="00007309">
        <w:rPr>
          <w:rFonts w:cs="Arial"/>
          <w:b/>
          <w:bCs/>
          <w:sz w:val="36"/>
          <w:szCs w:val="28"/>
          <w:vertAlign w:val="superscript"/>
          <w:rtl/>
        </w:rPr>
        <w:footnoteReference w:id="6325"/>
      </w:r>
      <w:r w:rsidRPr="00007309">
        <w:rPr>
          <w:rFonts w:cs="Arial"/>
          <w:b/>
          <w:bCs/>
          <w:sz w:val="24"/>
          <w:szCs w:val="24"/>
          <w:rtl/>
        </w:rPr>
        <w:t>הָעִיר רַבָּתִי עַם הָיְתָה כְּאַלְמָנָה</w:t>
      </w:r>
      <w:r w:rsidRPr="00007309">
        <w:rPr>
          <w:rFonts w:cs="Arial"/>
          <w:b/>
          <w:bCs/>
          <w:sz w:val="24"/>
          <w:szCs w:val="24"/>
        </w:rPr>
        <w:t>:</w:t>
      </w:r>
    </w:p>
    <w:p w:rsidR="00007309" w:rsidRPr="00007309" w:rsidRDefault="00007309" w:rsidP="00007309">
      <w:pPr>
        <w:keepNext/>
        <w:spacing w:before="240" w:after="60"/>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[וילנא ט ע"א]</w:t>
      </w:r>
    </w:p>
    <w:p w:rsidR="00007309" w:rsidRPr="00007309" w:rsidRDefault="00007309" w:rsidP="00007309">
      <w:pPr>
        <w:jc w:val="both"/>
        <w:rPr>
          <w:rFonts w:cs="Arial"/>
          <w:b/>
          <w:bCs/>
          <w:sz w:val="24"/>
          <w:szCs w:val="24"/>
        </w:rPr>
      </w:pPr>
      <w:r w:rsidRPr="00007309">
        <w:rPr>
          <w:rFonts w:cs="Arial"/>
          <w:b/>
          <w:bCs/>
          <w:sz w:val="24"/>
          <w:szCs w:val="24"/>
          <w:rtl/>
        </w:rPr>
        <w:t xml:space="preserve">קוּם עַמּוּדָא דְּאֶמְצָעִיתָא, </w:t>
      </w:r>
      <w:r w:rsidRPr="00007309">
        <w:rPr>
          <w:rFonts w:cs="Arial"/>
          <w:b/>
          <w:bCs/>
          <w:sz w:val="36"/>
          <w:szCs w:val="28"/>
          <w:vertAlign w:val="superscript"/>
          <w:rtl/>
        </w:rPr>
        <w:footnoteReference w:id="6326"/>
      </w:r>
      <w:r w:rsidRPr="00007309">
        <w:rPr>
          <w:rFonts w:cs="Arial"/>
          <w:b/>
          <w:bCs/>
          <w:sz w:val="24"/>
          <w:szCs w:val="24"/>
          <w:rtl/>
        </w:rPr>
        <w:t xml:space="preserve">דְּאַנְתְּ הוּא ו' כָּלִיל שִׁית סְפִירָן, וְאַנְתְּ אָחִיד </w:t>
      </w:r>
      <w:r w:rsidRPr="00007309">
        <w:rPr>
          <w:rFonts w:cs="Arial"/>
          <w:b/>
          <w:bCs/>
          <w:sz w:val="36"/>
          <w:szCs w:val="28"/>
          <w:vertAlign w:val="superscript"/>
          <w:rtl/>
        </w:rPr>
        <w:footnoteReference w:id="6327"/>
      </w:r>
      <w:r w:rsidRPr="00007309">
        <w:rPr>
          <w:rFonts w:cs="Arial"/>
          <w:b/>
          <w:bCs/>
          <w:sz w:val="24"/>
          <w:szCs w:val="24"/>
          <w:rtl/>
        </w:rPr>
        <w:t xml:space="preserve">בֵּין כֹּ"ה עִלָּאָה וּבֵין כֹּ"ה תַּתָּאָה, קוּם לְגַבֵּי סַמָּאֵ"ל דְּאִיהִי מִצְרִי בְּמָאנֵי קְרָבָא דִּילָךְ, </w:t>
      </w:r>
      <w:r w:rsidRPr="00007309">
        <w:rPr>
          <w:rFonts w:cs="Arial"/>
          <w:b/>
          <w:bCs/>
          <w:sz w:val="36"/>
          <w:szCs w:val="28"/>
          <w:vertAlign w:val="superscript"/>
          <w:rtl/>
        </w:rPr>
        <w:footnoteReference w:id="6328"/>
      </w:r>
      <w:r w:rsidRPr="00007309">
        <w:rPr>
          <w:rFonts w:cs="Arial"/>
          <w:b/>
          <w:bCs/>
          <w:sz w:val="24"/>
          <w:szCs w:val="24"/>
          <w:rtl/>
        </w:rPr>
        <w:t xml:space="preserve">דְּאִנּוּן שְׁכִינְתָּא תַּתָּאָה קוֹרְטָא תַּתָּאָה. וּשְׁכִינְתָּא עִלָּאָה קוֹרְטָא עִלָּאָה דְּעָלֵהּ אִתְּמַר </w:t>
      </w:r>
      <w:r w:rsidRPr="00007309">
        <w:rPr>
          <w:rtl/>
        </w:rPr>
        <w:t>(שמואל א, כה)</w:t>
      </w:r>
      <w:r w:rsidRPr="00007309">
        <w:rPr>
          <w:rFonts w:cs="Arial"/>
          <w:b/>
          <w:bCs/>
          <w:sz w:val="24"/>
          <w:szCs w:val="24"/>
          <w:rtl/>
        </w:rPr>
        <w:t xml:space="preserve"> וְאֶת נֶפֶשׁ אֹיְבֶיךָ יְקַלְּעֶנָּה בְּתוֹךְ כַּף הַקֶּלַע </w:t>
      </w:r>
      <w:r w:rsidRPr="00007309">
        <w:rPr>
          <w:rFonts w:cs="Arial"/>
          <w:b/>
          <w:bCs/>
          <w:sz w:val="36"/>
          <w:szCs w:val="28"/>
          <w:vertAlign w:val="superscript"/>
          <w:rtl/>
        </w:rPr>
        <w:footnoteReference w:id="6329"/>
      </w:r>
      <w:r w:rsidRPr="00007309">
        <w:rPr>
          <w:rFonts w:cs="Arial"/>
          <w:b/>
          <w:bCs/>
          <w:sz w:val="24"/>
          <w:szCs w:val="24"/>
          <w:rtl/>
        </w:rPr>
        <w:t xml:space="preserve">מָאן נֶפֶשׁ אוֹיְבֶיךָ, סַם מָוֶת נָחָשׁ אֵשֶׁת זְנוּנִים </w:t>
      </w:r>
      <w:r w:rsidRPr="00007309">
        <w:rPr>
          <w:rFonts w:cs="Arial"/>
          <w:b/>
          <w:bCs/>
          <w:sz w:val="36"/>
          <w:szCs w:val="28"/>
          <w:vertAlign w:val="superscript"/>
          <w:rtl/>
        </w:rPr>
        <w:footnoteReference w:id="6330"/>
      </w:r>
      <w:r w:rsidRPr="00007309">
        <w:rPr>
          <w:rFonts w:cs="Arial"/>
          <w:b/>
          <w:bCs/>
          <w:sz w:val="24"/>
          <w:szCs w:val="24"/>
          <w:rtl/>
        </w:rPr>
        <w:t xml:space="preserve">דִּמְקַנְּנָא בְּשֶׁבַע סְלָעִים </w:t>
      </w:r>
      <w:r w:rsidRPr="00007309">
        <w:rPr>
          <w:rFonts w:cs="Arial"/>
          <w:b/>
          <w:bCs/>
          <w:sz w:val="36"/>
          <w:szCs w:val="28"/>
          <w:vertAlign w:val="superscript"/>
          <w:rtl/>
        </w:rPr>
        <w:footnoteReference w:id="6331"/>
      </w:r>
      <w:r w:rsidRPr="00007309">
        <w:rPr>
          <w:rFonts w:cs="Arial"/>
          <w:b/>
          <w:bCs/>
          <w:sz w:val="24"/>
          <w:szCs w:val="24"/>
          <w:rtl/>
        </w:rPr>
        <w:t xml:space="preserve">וּבַעְלָהּ </w:t>
      </w:r>
      <w:r w:rsidRPr="00007309">
        <w:rPr>
          <w:rFonts w:cs="Arial"/>
          <w:b/>
          <w:bCs/>
          <w:sz w:val="36"/>
          <w:szCs w:val="28"/>
          <w:vertAlign w:val="superscript"/>
          <w:rtl/>
        </w:rPr>
        <w:footnoteReference w:id="6332"/>
      </w:r>
      <w:r w:rsidRPr="00007309">
        <w:rPr>
          <w:rFonts w:cs="Arial"/>
          <w:b/>
          <w:bCs/>
          <w:sz w:val="24"/>
          <w:szCs w:val="24"/>
          <w:rtl/>
        </w:rPr>
        <w:t xml:space="preserve">בְּ-ז' טוּרִין. </w:t>
      </w:r>
      <w:r w:rsidRPr="00007309">
        <w:rPr>
          <w:rFonts w:cs="Arial"/>
          <w:b/>
          <w:bCs/>
          <w:sz w:val="36"/>
          <w:szCs w:val="28"/>
          <w:vertAlign w:val="superscript"/>
          <w:rtl/>
        </w:rPr>
        <w:footnoteReference w:id="6333"/>
      </w:r>
      <w:r w:rsidRPr="00007309">
        <w:rPr>
          <w:rFonts w:cs="Arial"/>
          <w:b/>
          <w:bCs/>
          <w:sz w:val="24"/>
          <w:szCs w:val="24"/>
          <w:rtl/>
        </w:rPr>
        <w:t xml:space="preserve">קוּם בְּאַבְנִין דִּילָךְ </w:t>
      </w:r>
      <w:r w:rsidRPr="00007309">
        <w:rPr>
          <w:rFonts w:cs="Arial"/>
          <w:b/>
          <w:bCs/>
          <w:sz w:val="36"/>
          <w:szCs w:val="28"/>
          <w:vertAlign w:val="superscript"/>
          <w:rtl/>
        </w:rPr>
        <w:footnoteReference w:id="6334"/>
      </w:r>
      <w:r w:rsidRPr="00007309">
        <w:rPr>
          <w:rFonts w:cs="Arial"/>
          <w:b/>
          <w:bCs/>
          <w:sz w:val="24"/>
          <w:szCs w:val="24"/>
          <w:rtl/>
        </w:rPr>
        <w:t xml:space="preserve">דְּאִסְתְּלָקוּ בטורי' </w:t>
      </w:r>
      <w:r w:rsidRPr="00007309">
        <w:rPr>
          <w:rFonts w:cs="Arial"/>
          <w:b/>
          <w:bCs/>
          <w:sz w:val="36"/>
          <w:szCs w:val="28"/>
          <w:vertAlign w:val="superscript"/>
          <w:rtl/>
        </w:rPr>
        <w:footnoteReference w:id="6335"/>
      </w:r>
      <w:r w:rsidRPr="00007309">
        <w:rPr>
          <w:rFonts w:cs="Arial"/>
          <w:b/>
          <w:bCs/>
          <w:sz w:val="24"/>
          <w:szCs w:val="24"/>
          <w:rtl/>
        </w:rPr>
        <w:t xml:space="preserve">לְתַבְרָא טוּרִין וְסַלְעִין דְּחִוְיָא, וּבְגִין טוּרִין דִּילָךְ אִתְּמַר </w:t>
      </w:r>
      <w:r w:rsidRPr="00007309">
        <w:rPr>
          <w:rtl/>
        </w:rPr>
        <w:t>(תהלים צג)</w:t>
      </w:r>
      <w:r w:rsidRPr="00007309">
        <w:rPr>
          <w:rFonts w:cs="Arial"/>
          <w:b/>
          <w:bCs/>
          <w:sz w:val="24"/>
          <w:szCs w:val="24"/>
          <w:rtl/>
        </w:rPr>
        <w:t xml:space="preserve"> נָשְׂאוּ נְהָרוֹת ה'. </w:t>
      </w:r>
      <w:r w:rsidRPr="00007309">
        <w:rPr>
          <w:rFonts w:cs="Arial"/>
          <w:b/>
          <w:bCs/>
          <w:sz w:val="36"/>
          <w:szCs w:val="28"/>
          <w:vertAlign w:val="superscript"/>
          <w:rtl/>
        </w:rPr>
        <w:footnoteReference w:id="6336"/>
      </w:r>
      <w:r w:rsidRPr="00007309">
        <w:rPr>
          <w:rFonts w:cs="Arial"/>
          <w:b/>
          <w:bCs/>
          <w:sz w:val="24"/>
          <w:szCs w:val="24"/>
          <w:rtl/>
        </w:rPr>
        <w:t xml:space="preserve">וּבְהוֹן כָּל גֵּיא הַהוּא יִנָּשֵׂא </w:t>
      </w:r>
      <w:r w:rsidRPr="00007309">
        <w:rPr>
          <w:rFonts w:cs="Arial"/>
          <w:b/>
          <w:bCs/>
          <w:sz w:val="36"/>
          <w:szCs w:val="28"/>
          <w:vertAlign w:val="superscript"/>
          <w:rtl/>
        </w:rPr>
        <w:footnoteReference w:id="6337"/>
      </w:r>
      <w:r w:rsidRPr="00007309">
        <w:rPr>
          <w:rFonts w:cs="Arial"/>
          <w:b/>
          <w:bCs/>
          <w:sz w:val="24"/>
          <w:szCs w:val="24"/>
          <w:rtl/>
        </w:rPr>
        <w:t xml:space="preserve">דְּכֹלָּא כָּלִיל בֵּהּ. וְדָא רָעֲיָא מְהֵימָנָא דְּאִתְּמַר בֵּהּ </w:t>
      </w:r>
      <w:r w:rsidRPr="00007309">
        <w:rPr>
          <w:rtl/>
        </w:rPr>
        <w:t>(דברים לד)</w:t>
      </w:r>
      <w:r w:rsidRPr="00007309">
        <w:rPr>
          <w:rFonts w:cs="Arial"/>
          <w:b/>
          <w:bCs/>
          <w:sz w:val="24"/>
          <w:szCs w:val="24"/>
          <w:rtl/>
        </w:rPr>
        <w:t xml:space="preserve"> וַיִּקְבֹּר אוֹתוֹ בַּגַּיא. דִּבְגִינֵהּ אִתְּמַר </w:t>
      </w:r>
      <w:r w:rsidRPr="00007309">
        <w:rPr>
          <w:rtl/>
        </w:rPr>
        <w:t>(תהלים ס)</w:t>
      </w:r>
      <w:r w:rsidRPr="00007309">
        <w:rPr>
          <w:rFonts w:cs="Arial"/>
          <w:b/>
          <w:bCs/>
          <w:sz w:val="24"/>
          <w:szCs w:val="24"/>
          <w:rtl/>
        </w:rPr>
        <w:t xml:space="preserve"> </w:t>
      </w:r>
      <w:r w:rsidRPr="00007309">
        <w:rPr>
          <w:rFonts w:cs="Arial"/>
          <w:b/>
          <w:bCs/>
          <w:sz w:val="36"/>
          <w:szCs w:val="28"/>
          <w:vertAlign w:val="superscript"/>
          <w:rtl/>
        </w:rPr>
        <w:footnoteReference w:id="6338"/>
      </w:r>
      <w:r w:rsidRPr="00007309">
        <w:rPr>
          <w:rFonts w:cs="Arial"/>
          <w:b/>
          <w:bCs/>
          <w:sz w:val="24"/>
          <w:szCs w:val="24"/>
          <w:rtl/>
        </w:rPr>
        <w:t xml:space="preserve">וַיַּךְ אֶת אֱדוֹם בְּגֵיא מֶלַח. </w:t>
      </w:r>
      <w:r w:rsidRPr="00007309">
        <w:rPr>
          <w:rFonts w:cs="Arial"/>
          <w:b/>
          <w:bCs/>
          <w:sz w:val="36"/>
          <w:szCs w:val="28"/>
          <w:vertAlign w:val="superscript"/>
          <w:rtl/>
        </w:rPr>
        <w:footnoteReference w:id="6339"/>
      </w:r>
      <w:r w:rsidRPr="00007309">
        <w:rPr>
          <w:rFonts w:cs="Arial"/>
          <w:b/>
          <w:bCs/>
          <w:sz w:val="24"/>
          <w:szCs w:val="24"/>
          <w:rtl/>
        </w:rPr>
        <w:t xml:space="preserve">וְנִשְׁמָתֵהּ גָּנִיז' </w:t>
      </w:r>
      <w:r w:rsidRPr="00007309">
        <w:rPr>
          <w:rFonts w:cs="Arial"/>
          <w:b/>
          <w:bCs/>
          <w:sz w:val="36"/>
          <w:szCs w:val="28"/>
          <w:vertAlign w:val="superscript"/>
          <w:rtl/>
        </w:rPr>
        <w:footnoteReference w:id="6340"/>
      </w:r>
      <w:r w:rsidRPr="00007309">
        <w:rPr>
          <w:rFonts w:cs="Arial"/>
          <w:b/>
          <w:bCs/>
          <w:sz w:val="24"/>
          <w:szCs w:val="24"/>
          <w:rtl/>
        </w:rPr>
        <w:t xml:space="preserve">בְּגֵי"א מִן אבגית"ץ. ת' תּוֹרַת מֹשֶׁה צָפוֹנָה בְּצָדִ"י </w:t>
      </w:r>
      <w:r w:rsidRPr="00007309">
        <w:rPr>
          <w:rFonts w:cs="Arial"/>
          <w:b/>
          <w:bCs/>
          <w:sz w:val="36"/>
          <w:szCs w:val="28"/>
          <w:vertAlign w:val="superscript"/>
          <w:rtl/>
        </w:rPr>
        <w:footnoteReference w:id="6341"/>
      </w:r>
      <w:r w:rsidRPr="00007309">
        <w:rPr>
          <w:rFonts w:cs="Arial"/>
          <w:b/>
          <w:bCs/>
          <w:sz w:val="24"/>
          <w:szCs w:val="24"/>
          <w:rtl/>
        </w:rPr>
        <w:t xml:space="preserve">דְּאִיהוּ ץ'. דְּצָדִי אֲרִיכָא מִסִּטְרָא דְּעָלְמָא דְּאָתֵי, מִתַּמָּן הוּא טוֹב לַצַּדִּיקִים דְּעָלְמָא דְּאָתֵי. </w:t>
      </w:r>
      <w:r w:rsidRPr="00007309">
        <w:rPr>
          <w:rFonts w:cs="Arial"/>
          <w:b/>
          <w:bCs/>
          <w:sz w:val="36"/>
          <w:szCs w:val="28"/>
          <w:vertAlign w:val="superscript"/>
          <w:rtl/>
        </w:rPr>
        <w:footnoteReference w:id="6342"/>
      </w:r>
      <w:r w:rsidRPr="00007309">
        <w:rPr>
          <w:rFonts w:cs="Arial"/>
          <w:b/>
          <w:bCs/>
          <w:sz w:val="24"/>
          <w:szCs w:val="24"/>
          <w:rtl/>
        </w:rPr>
        <w:t xml:space="preserve">בְּגֵי"א </w:t>
      </w:r>
      <w:r w:rsidRPr="00007309">
        <w:rPr>
          <w:rFonts w:cs="Arial"/>
          <w:b/>
          <w:bCs/>
          <w:sz w:val="36"/>
          <w:szCs w:val="28"/>
          <w:vertAlign w:val="superscript"/>
          <w:rtl/>
        </w:rPr>
        <w:footnoteReference w:id="6343"/>
      </w:r>
      <w:r w:rsidRPr="00007309">
        <w:rPr>
          <w:rFonts w:cs="Arial"/>
          <w:b/>
          <w:bCs/>
          <w:sz w:val="24"/>
          <w:szCs w:val="24"/>
          <w:rtl/>
        </w:rPr>
        <w:t xml:space="preserve">אָב לְי"ג מְכִילִין, </w:t>
      </w:r>
      <w:r w:rsidRPr="00007309">
        <w:rPr>
          <w:rFonts w:cs="Arial"/>
          <w:b/>
          <w:bCs/>
          <w:sz w:val="36"/>
          <w:szCs w:val="28"/>
          <w:vertAlign w:val="superscript"/>
          <w:rtl/>
        </w:rPr>
        <w:footnoteReference w:id="6344"/>
      </w:r>
      <w:r w:rsidRPr="00007309">
        <w:rPr>
          <w:rFonts w:cs="Arial"/>
          <w:b/>
          <w:bCs/>
          <w:sz w:val="24"/>
          <w:szCs w:val="24"/>
          <w:rtl/>
        </w:rPr>
        <w:t xml:space="preserve">דְּאִנּוּן וָא"ו </w:t>
      </w:r>
      <w:r w:rsidRPr="00007309">
        <w:rPr>
          <w:rFonts w:cs="Arial"/>
          <w:b/>
          <w:bCs/>
          <w:sz w:val="36"/>
          <w:szCs w:val="28"/>
          <w:vertAlign w:val="superscript"/>
          <w:rtl/>
        </w:rPr>
        <w:footnoteReference w:id="6345"/>
      </w:r>
      <w:r w:rsidRPr="00007309">
        <w:rPr>
          <w:rFonts w:cs="Arial"/>
          <w:b/>
          <w:bCs/>
          <w:sz w:val="24"/>
          <w:szCs w:val="24"/>
          <w:rtl/>
        </w:rPr>
        <w:t xml:space="preserve">וַיַּעֲבֹר ה' עַל פָּנָיו. </w:t>
      </w:r>
      <w:r w:rsidRPr="00007309">
        <w:rPr>
          <w:rFonts w:cs="Arial"/>
          <w:b/>
          <w:bCs/>
          <w:sz w:val="36"/>
          <w:szCs w:val="28"/>
          <w:vertAlign w:val="superscript"/>
          <w:rtl/>
        </w:rPr>
        <w:footnoteReference w:id="6346"/>
      </w:r>
      <w:r w:rsidRPr="00007309">
        <w:rPr>
          <w:rFonts w:cs="Arial"/>
          <w:b/>
          <w:bCs/>
          <w:sz w:val="24"/>
          <w:szCs w:val="24"/>
          <w:rtl/>
        </w:rPr>
        <w:t xml:space="preserve">וַיַּעֲבֹר ע"ב רי"ו. ע"ב חֶסֶד. רי"ו גְּבוּרָה </w:t>
      </w:r>
      <w:r w:rsidRPr="00007309">
        <w:rPr>
          <w:rFonts w:cs="Arial"/>
          <w:b/>
          <w:bCs/>
          <w:sz w:val="36"/>
          <w:szCs w:val="28"/>
          <w:vertAlign w:val="superscript"/>
          <w:rtl/>
        </w:rPr>
        <w:footnoteReference w:id="6347"/>
      </w:r>
      <w:r w:rsidRPr="00007309">
        <w:rPr>
          <w:rFonts w:cs="Arial"/>
          <w:b/>
          <w:bCs/>
          <w:sz w:val="24"/>
          <w:szCs w:val="24"/>
          <w:rtl/>
        </w:rPr>
        <w:t xml:space="preserve">דְּבֵהּ קר"ע שט"ן מִן יַמָּא. וּבֵהּ עָתִיד לְמִקְרַע לֵהּ מִן יַמָּא דְּאוֹרַיְתָא. וּמִסִּטְרָא דְּחֶסֶד אִיהוּ אָב לְ-י"ג מְכִילָן, </w:t>
      </w:r>
      <w:r w:rsidRPr="00007309">
        <w:rPr>
          <w:rFonts w:cs="Arial"/>
          <w:b/>
          <w:bCs/>
          <w:sz w:val="36"/>
          <w:szCs w:val="28"/>
          <w:vertAlign w:val="superscript"/>
          <w:rtl/>
        </w:rPr>
        <w:footnoteReference w:id="6348"/>
      </w:r>
      <w:r w:rsidRPr="00007309">
        <w:rPr>
          <w:rFonts w:cs="Arial"/>
          <w:b/>
          <w:bCs/>
          <w:sz w:val="24"/>
          <w:szCs w:val="24"/>
          <w:rtl/>
        </w:rPr>
        <w:t xml:space="preserve">דְּבֵהּ </w:t>
      </w:r>
      <w:r w:rsidRPr="00007309">
        <w:rPr>
          <w:rFonts w:cs="Arial"/>
          <w:b/>
          <w:bCs/>
          <w:sz w:val="36"/>
          <w:szCs w:val="28"/>
          <w:vertAlign w:val="superscript"/>
          <w:rtl/>
        </w:rPr>
        <w:footnoteReference w:id="6349"/>
      </w:r>
      <w:r w:rsidRPr="00007309">
        <w:rPr>
          <w:rFonts w:cs="Arial"/>
          <w:b/>
          <w:bCs/>
          <w:sz w:val="24"/>
          <w:szCs w:val="24"/>
          <w:rtl/>
        </w:rPr>
        <w:t xml:space="preserve">אִיהוּ </w:t>
      </w:r>
      <w:r w:rsidRPr="00007309">
        <w:rPr>
          <w:rFonts w:ascii="Cambria" w:hAnsi="Cambria" w:cs="Times New Roman" w:hint="cs"/>
          <w:b/>
          <w:bCs/>
          <w:i/>
          <w:iCs/>
          <w:color w:val="4F81BD"/>
          <w:sz w:val="24"/>
          <w:szCs w:val="24"/>
          <w:rtl/>
        </w:rPr>
        <w:t xml:space="preserve">(וילנא ט ע"א) </w:t>
      </w:r>
      <w:r w:rsidRPr="00007309">
        <w:rPr>
          <w:rFonts w:cs="Arial"/>
          <w:b/>
          <w:bCs/>
          <w:sz w:val="24"/>
          <w:szCs w:val="24"/>
          <w:rtl/>
        </w:rPr>
        <w:t xml:space="preserve">יהו'ה עַמּוּדָא דְּאֶמְצָעִיתָא </w:t>
      </w:r>
      <w:r w:rsidRPr="00007309">
        <w:rPr>
          <w:rFonts w:cs="Arial"/>
          <w:b/>
          <w:bCs/>
          <w:sz w:val="36"/>
          <w:szCs w:val="28"/>
          <w:vertAlign w:val="superscript"/>
          <w:rtl/>
        </w:rPr>
        <w:footnoteReference w:id="6350"/>
      </w:r>
      <w:r w:rsidRPr="00007309">
        <w:rPr>
          <w:rFonts w:cs="Arial"/>
          <w:b/>
          <w:bCs/>
          <w:sz w:val="24"/>
          <w:szCs w:val="24"/>
          <w:rtl/>
        </w:rPr>
        <w:t xml:space="preserve">אֶרֶךְ אַפַּיִם, וּמַאֲרִיךְ בֵּהּ עַל בֵּינוֹנִים וּמַטֶה לוֹן כְּלַפֵּי חֶסֶד. </w:t>
      </w:r>
      <w:r w:rsidRPr="00007309">
        <w:rPr>
          <w:rFonts w:cs="Arial"/>
          <w:b/>
          <w:bCs/>
          <w:sz w:val="36"/>
          <w:szCs w:val="28"/>
          <w:vertAlign w:val="superscript"/>
          <w:rtl/>
        </w:rPr>
        <w:footnoteReference w:id="6351"/>
      </w:r>
      <w:r w:rsidRPr="00007309">
        <w:rPr>
          <w:rFonts w:cs="Arial"/>
          <w:b/>
          <w:bCs/>
          <w:sz w:val="24"/>
          <w:szCs w:val="24"/>
          <w:rtl/>
        </w:rPr>
        <w:t xml:space="preserve">וּבְאַתְוָן א"ת ב"ש. יהו"ה אִיהוּ מצפ"ץ אֵ"ל ת"ך, רחו"ם גספ"י וְהָכֵי עַד י"ג תֵּבִין. בְּאִלֵּין י"ג מַאֲרִיךְ עַל בֵּינוֹנִים דְּיַחְזְרוּן בִּתְשׁוּבָה. </w:t>
      </w:r>
      <w:r w:rsidRPr="00007309">
        <w:rPr>
          <w:rFonts w:cs="Arial"/>
          <w:b/>
          <w:bCs/>
          <w:sz w:val="36"/>
          <w:szCs w:val="28"/>
          <w:vertAlign w:val="superscript"/>
          <w:rtl/>
        </w:rPr>
        <w:footnoteReference w:id="6352"/>
      </w:r>
      <w:r w:rsidRPr="00007309">
        <w:rPr>
          <w:rFonts w:cs="Arial"/>
          <w:b/>
          <w:bCs/>
          <w:sz w:val="24"/>
          <w:szCs w:val="24"/>
          <w:rtl/>
        </w:rPr>
        <w:t xml:space="preserve">אֲבָל בקר'ע שט'ן יָדִין בַּגּוֹיִם מָלֵא גְּוִיּוֹת. דְּאִיהוּ שָׂטָן מָלֵא עַיְנִין. </w:t>
      </w:r>
      <w:r w:rsidRPr="00007309">
        <w:rPr>
          <w:rFonts w:cs="Arial"/>
          <w:b/>
          <w:bCs/>
          <w:sz w:val="36"/>
          <w:szCs w:val="28"/>
          <w:vertAlign w:val="superscript"/>
          <w:rtl/>
        </w:rPr>
        <w:footnoteReference w:id="6353"/>
      </w:r>
      <w:r w:rsidRPr="00007309">
        <w:rPr>
          <w:rFonts w:cs="Arial"/>
          <w:b/>
          <w:bCs/>
          <w:sz w:val="24"/>
          <w:szCs w:val="24"/>
          <w:rtl/>
        </w:rPr>
        <w:t xml:space="preserve">וּבְגִין דָּא אבגית"ץ </w:t>
      </w:r>
      <w:r w:rsidRPr="00007309">
        <w:rPr>
          <w:rFonts w:cs="Arial"/>
          <w:b/>
          <w:bCs/>
          <w:sz w:val="36"/>
          <w:szCs w:val="28"/>
          <w:vertAlign w:val="superscript"/>
          <w:rtl/>
        </w:rPr>
        <w:footnoteReference w:id="6354"/>
      </w:r>
      <w:r w:rsidRPr="00007309">
        <w:rPr>
          <w:rFonts w:cs="Arial"/>
          <w:b/>
          <w:bCs/>
          <w:sz w:val="24"/>
          <w:szCs w:val="24"/>
          <w:rtl/>
        </w:rPr>
        <w:t xml:space="preserve">אִתְקְרֵי חָכְמָה אָב לְי"ג מְכִילָן, דִּכְלִילָן בְּחֶסֶד דְּכָלִיל. ע'ב שְׁמָהָן דְּאִנּוּן </w:t>
      </w:r>
      <w:r w:rsidRPr="00007309">
        <w:rPr>
          <w:rFonts w:cs="Arial"/>
          <w:b/>
          <w:bCs/>
          <w:sz w:val="36"/>
          <w:szCs w:val="28"/>
          <w:vertAlign w:val="superscript"/>
          <w:rtl/>
        </w:rPr>
        <w:footnoteReference w:id="6355"/>
      </w:r>
      <w:r w:rsidRPr="00007309">
        <w:rPr>
          <w:rFonts w:cs="Arial"/>
          <w:b/>
          <w:bCs/>
          <w:sz w:val="24"/>
          <w:szCs w:val="24"/>
          <w:rtl/>
        </w:rPr>
        <w:t xml:space="preserve">כְּלָלָא דִּילְהוֹן וָהוּ אֲנִי וָהוּ וְחָכְמָה לִימִינָא. כד"א הָרוֹצֶה לְהַחְכִּים יַדְרִים. אִמָּא עִלָּאָה לִגְבוּרָה, </w:t>
      </w:r>
      <w:r w:rsidRPr="00007309">
        <w:rPr>
          <w:rFonts w:cs="Arial"/>
          <w:b/>
          <w:bCs/>
          <w:sz w:val="36"/>
          <w:szCs w:val="28"/>
          <w:vertAlign w:val="superscript"/>
          <w:rtl/>
        </w:rPr>
        <w:footnoteReference w:id="6356"/>
      </w:r>
      <w:r w:rsidRPr="00007309">
        <w:rPr>
          <w:rFonts w:cs="Arial"/>
          <w:b/>
          <w:bCs/>
          <w:sz w:val="24"/>
          <w:szCs w:val="24"/>
          <w:rtl/>
        </w:rPr>
        <w:t xml:space="preserve">בָּהּ קר"ע שט"ן מִן שְׂמָאלָא, וּבָהּ </w:t>
      </w:r>
      <w:r w:rsidRPr="00007309">
        <w:rPr>
          <w:rtl/>
        </w:rPr>
        <w:t>(שמות יד)</w:t>
      </w:r>
      <w:r w:rsidRPr="00007309">
        <w:rPr>
          <w:rFonts w:cs="Arial"/>
          <w:b/>
          <w:bCs/>
          <w:sz w:val="24"/>
          <w:szCs w:val="24"/>
          <w:rtl/>
        </w:rPr>
        <w:t xml:space="preserve"> וַיָּשֶׂם אֶת הַיָּם לְחָרָבָה, </w:t>
      </w:r>
      <w:r w:rsidRPr="00007309">
        <w:rPr>
          <w:rFonts w:cs="Arial"/>
          <w:b/>
          <w:bCs/>
          <w:sz w:val="36"/>
          <w:szCs w:val="28"/>
          <w:vertAlign w:val="superscript"/>
          <w:rtl/>
        </w:rPr>
        <w:footnoteReference w:id="6357"/>
      </w:r>
      <w:r w:rsidRPr="00007309">
        <w:rPr>
          <w:rFonts w:cs="Arial"/>
          <w:b/>
          <w:bCs/>
          <w:sz w:val="24"/>
          <w:szCs w:val="24"/>
          <w:rtl/>
        </w:rPr>
        <w:t xml:space="preserve">וּבָהּ קָרַע יַמָּא לְי"ב קְרָעִים, </w:t>
      </w:r>
      <w:r w:rsidRPr="00007309">
        <w:rPr>
          <w:rFonts w:cs="Arial"/>
          <w:b/>
          <w:bCs/>
          <w:sz w:val="36"/>
          <w:szCs w:val="28"/>
          <w:vertAlign w:val="superscript"/>
          <w:rtl/>
        </w:rPr>
        <w:footnoteReference w:id="6358"/>
      </w:r>
      <w:r w:rsidRPr="00007309">
        <w:rPr>
          <w:rFonts w:cs="Arial"/>
          <w:b/>
          <w:bCs/>
          <w:sz w:val="24"/>
          <w:szCs w:val="24"/>
          <w:rtl/>
        </w:rPr>
        <w:t xml:space="preserve">וּבָהּ רֹקַע הָאָרֶץ וְצֶאֱצָאֶיהָ, </w:t>
      </w:r>
      <w:r w:rsidRPr="00007309">
        <w:rPr>
          <w:rFonts w:cs="Arial"/>
          <w:b/>
          <w:bCs/>
          <w:sz w:val="36"/>
          <w:szCs w:val="28"/>
          <w:vertAlign w:val="superscript"/>
          <w:rtl/>
        </w:rPr>
        <w:footnoteReference w:id="6359"/>
      </w:r>
      <w:r w:rsidRPr="00007309">
        <w:rPr>
          <w:rFonts w:cs="Arial"/>
          <w:b/>
          <w:bCs/>
          <w:sz w:val="24"/>
          <w:szCs w:val="24"/>
          <w:rtl/>
        </w:rPr>
        <w:t xml:space="preserve">וּבָהּ עָקַר טוּרִין וְתָבַר טִינָרִין דְּחִוְיָא. הָדָא הוּא דִּכְתִיב </w:t>
      </w:r>
      <w:r w:rsidRPr="00007309">
        <w:rPr>
          <w:rtl/>
        </w:rPr>
        <w:t>(מלכים א, יט)</w:t>
      </w:r>
      <w:r w:rsidRPr="00007309">
        <w:rPr>
          <w:rFonts w:cs="Arial"/>
          <w:b/>
          <w:bCs/>
          <w:sz w:val="24"/>
          <w:szCs w:val="24"/>
          <w:rtl/>
        </w:rPr>
        <w:t xml:space="preserve"> וְהִנֵּה </w:t>
      </w:r>
      <w:r w:rsidRPr="00007309">
        <w:rPr>
          <w:rFonts w:cs="Arial"/>
          <w:b/>
          <w:bCs/>
          <w:sz w:val="36"/>
          <w:szCs w:val="28"/>
          <w:vertAlign w:val="superscript"/>
          <w:rtl/>
        </w:rPr>
        <w:footnoteReference w:id="6360"/>
      </w:r>
      <w:r w:rsidRPr="00007309">
        <w:rPr>
          <w:rFonts w:cs="Arial"/>
          <w:b/>
          <w:bCs/>
          <w:sz w:val="24"/>
          <w:szCs w:val="24"/>
          <w:rtl/>
        </w:rPr>
        <w:t xml:space="preserve">רוּחַ גְּדוֹלָה וְחָזָק מְפָרֵק הָרִים וּמְשַׁבֵּר סְלָעִים. </w:t>
      </w:r>
      <w:r w:rsidRPr="00007309">
        <w:rPr>
          <w:rFonts w:cs="Arial"/>
          <w:b/>
          <w:bCs/>
          <w:sz w:val="36"/>
          <w:szCs w:val="28"/>
          <w:vertAlign w:val="superscript"/>
          <w:rtl/>
        </w:rPr>
        <w:footnoteReference w:id="6361"/>
      </w:r>
      <w:r w:rsidRPr="00007309">
        <w:rPr>
          <w:rFonts w:cs="Arial"/>
          <w:b/>
          <w:bCs/>
          <w:sz w:val="24"/>
          <w:szCs w:val="24"/>
          <w:rtl/>
        </w:rPr>
        <w:t xml:space="preserve">דְּאִנּוּן טוּרִים וּסְלָעִים דְּחִוְיָא, דְּאִתְּמַר בֵּהּ דֶּרֶךְ נָחָשׁ </w:t>
      </w:r>
      <w:r w:rsidRPr="00007309">
        <w:rPr>
          <w:rFonts w:cs="Arial"/>
          <w:b/>
          <w:bCs/>
          <w:sz w:val="36"/>
          <w:szCs w:val="28"/>
          <w:vertAlign w:val="superscript"/>
          <w:rtl/>
        </w:rPr>
        <w:footnoteReference w:id="6362"/>
      </w:r>
      <w:r w:rsidRPr="00007309">
        <w:rPr>
          <w:rFonts w:cs="Arial"/>
          <w:b/>
          <w:bCs/>
          <w:sz w:val="24"/>
          <w:szCs w:val="24"/>
          <w:rtl/>
        </w:rPr>
        <w:t xml:space="preserve">עֲלֵי צוּר. וּבְהַאי שְׁמָא הֲוָה רָבָּה </w:t>
      </w:r>
      <w:r w:rsidRPr="00007309">
        <w:rPr>
          <w:rFonts w:cs="Arial"/>
          <w:b/>
          <w:bCs/>
          <w:sz w:val="36"/>
          <w:szCs w:val="28"/>
          <w:vertAlign w:val="superscript"/>
          <w:rtl/>
        </w:rPr>
        <w:footnoteReference w:id="6363"/>
      </w:r>
      <w:r w:rsidRPr="00007309">
        <w:rPr>
          <w:rFonts w:cs="Arial"/>
          <w:b/>
          <w:bCs/>
          <w:sz w:val="24"/>
          <w:szCs w:val="24"/>
          <w:rtl/>
        </w:rPr>
        <w:t xml:space="preserve">עוֹקֵר הָרִים </w:t>
      </w:r>
      <w:r w:rsidRPr="00007309">
        <w:rPr>
          <w:rFonts w:cs="Arial"/>
          <w:b/>
          <w:bCs/>
          <w:sz w:val="36"/>
          <w:szCs w:val="28"/>
          <w:vertAlign w:val="superscript"/>
          <w:rtl/>
        </w:rPr>
        <w:footnoteReference w:id="6364"/>
      </w:r>
      <w:r w:rsidRPr="00007309">
        <w:rPr>
          <w:rFonts w:cs="Arial"/>
          <w:b/>
          <w:bCs/>
          <w:sz w:val="24"/>
          <w:szCs w:val="24"/>
          <w:rtl/>
        </w:rPr>
        <w:t xml:space="preserve">בְּאוֹרַיְתָא דִּבְעַל פֶּה. כֶּתֶר עֶלְיוֹן אִיהוּ פֶּלֶא, וּבֵהּ עַמּוּדָא דְּאֶמְצָעִיתָא, דְּאִתְקְרֵי נוּרָא עָבִיד פְּלִיאָן. הָדָא הוּא דִּכְתִיב </w:t>
      </w:r>
      <w:r w:rsidRPr="00007309">
        <w:rPr>
          <w:rtl/>
        </w:rPr>
        <w:t>(שמות טו)</w:t>
      </w:r>
      <w:r w:rsidRPr="00007309">
        <w:rPr>
          <w:rFonts w:cs="Arial"/>
          <w:b/>
          <w:bCs/>
          <w:sz w:val="24"/>
          <w:szCs w:val="24"/>
          <w:rtl/>
        </w:rPr>
        <w:t xml:space="preserve"> נוֹרָא תְּהִלּוֹת עוֹשֶׂה פֶּלֶא. וּבֵהּ </w:t>
      </w:r>
      <w:r w:rsidRPr="00007309">
        <w:rPr>
          <w:rFonts w:cs="Arial"/>
          <w:b/>
          <w:bCs/>
          <w:sz w:val="36"/>
          <w:szCs w:val="28"/>
          <w:vertAlign w:val="superscript"/>
          <w:rtl/>
        </w:rPr>
        <w:footnoteReference w:id="6365"/>
      </w:r>
      <w:r w:rsidRPr="00007309">
        <w:rPr>
          <w:rFonts w:cs="Arial"/>
          <w:b/>
          <w:bCs/>
          <w:sz w:val="24"/>
          <w:szCs w:val="24"/>
          <w:rtl/>
        </w:rPr>
        <w:t xml:space="preserve">אָמַר מֹשֶׁה נֶגֶד כָּל עַמְּךָ אֶעֱשֶׂה נִפְלָאוֹת וְכוּ'. וְהַאי אִיהוּ נג"ד יכ"ש, נג"ד י"ש כ' דְּאִיהוּ כֶּתֶר. יֵ"ש לְהַנְחִיל אוֹהֲבַי יֵשׁ. וְאִנּוּן י' חָכְמָה ש' תְּשׁוּבָה. </w:t>
      </w:r>
      <w:r w:rsidRPr="00007309">
        <w:rPr>
          <w:rFonts w:cs="Arial"/>
          <w:b/>
          <w:bCs/>
          <w:sz w:val="36"/>
          <w:szCs w:val="28"/>
          <w:vertAlign w:val="superscript"/>
          <w:rtl/>
        </w:rPr>
        <w:footnoteReference w:id="6366"/>
      </w:r>
      <w:r w:rsidRPr="00007309">
        <w:rPr>
          <w:rFonts w:cs="Arial"/>
          <w:b/>
          <w:bCs/>
          <w:sz w:val="24"/>
          <w:szCs w:val="24"/>
          <w:rtl/>
        </w:rPr>
        <w:t xml:space="preserve">כֻּלְּהוּ כָּלִיל עַמּוּדָא דְּאֶמְצָעִיתָא </w:t>
      </w:r>
      <w:r w:rsidRPr="00007309">
        <w:rPr>
          <w:rFonts w:cs="Arial"/>
          <w:b/>
          <w:bCs/>
          <w:sz w:val="36"/>
          <w:szCs w:val="28"/>
          <w:vertAlign w:val="superscript"/>
          <w:rtl/>
        </w:rPr>
        <w:footnoteReference w:id="6367"/>
      </w:r>
      <w:r w:rsidRPr="00007309">
        <w:rPr>
          <w:rFonts w:cs="Arial"/>
          <w:b/>
          <w:bCs/>
          <w:sz w:val="24"/>
          <w:szCs w:val="24"/>
          <w:rtl/>
        </w:rPr>
        <w:t xml:space="preserve">שָׁמַיִם, </w:t>
      </w:r>
      <w:r w:rsidRPr="00007309">
        <w:rPr>
          <w:rFonts w:cs="Arial"/>
          <w:b/>
          <w:bCs/>
          <w:sz w:val="36"/>
          <w:szCs w:val="28"/>
          <w:vertAlign w:val="superscript"/>
          <w:rtl/>
        </w:rPr>
        <w:footnoteReference w:id="6368"/>
      </w:r>
      <w:r w:rsidRPr="00007309">
        <w:rPr>
          <w:rFonts w:cs="Arial"/>
          <w:b/>
          <w:bCs/>
          <w:sz w:val="24"/>
          <w:szCs w:val="24"/>
          <w:rtl/>
        </w:rPr>
        <w:t xml:space="preserve">דְּאִתְּמַר בֵּהּ </w:t>
      </w:r>
      <w:r w:rsidRPr="00007309">
        <w:rPr>
          <w:rtl/>
        </w:rPr>
        <w:t>(מלכים א, ח)</w:t>
      </w:r>
      <w:r w:rsidRPr="00007309">
        <w:rPr>
          <w:rFonts w:cs="Arial"/>
          <w:b/>
          <w:bCs/>
          <w:sz w:val="24"/>
          <w:szCs w:val="24"/>
          <w:rtl/>
        </w:rPr>
        <w:t xml:space="preserve"> וְאַתָּה תִּשְׁמַע הַשָּׁמַיִם </w:t>
      </w:r>
      <w:r w:rsidRPr="00007309">
        <w:rPr>
          <w:rFonts w:cs="Arial"/>
          <w:b/>
          <w:bCs/>
          <w:sz w:val="36"/>
          <w:szCs w:val="28"/>
          <w:vertAlign w:val="superscript"/>
          <w:rtl/>
        </w:rPr>
        <w:footnoteReference w:id="6369"/>
      </w:r>
      <w:r w:rsidRPr="00007309">
        <w:rPr>
          <w:rFonts w:cs="Arial"/>
          <w:b/>
          <w:bCs/>
          <w:sz w:val="24"/>
          <w:szCs w:val="24"/>
          <w:rtl/>
        </w:rPr>
        <w:t xml:space="preserve">שְׁמַע יִשְׂרָאֵל. בט"ר צת"ג דָּא נֶצַח </w:t>
      </w:r>
      <w:r w:rsidRPr="00007309">
        <w:rPr>
          <w:rFonts w:cs="Arial"/>
          <w:b/>
          <w:bCs/>
          <w:sz w:val="36"/>
          <w:szCs w:val="28"/>
          <w:vertAlign w:val="superscript"/>
          <w:rtl/>
        </w:rPr>
        <w:footnoteReference w:id="6370"/>
      </w:r>
      <w:r w:rsidRPr="00007309">
        <w:rPr>
          <w:rFonts w:cs="Arial"/>
          <w:b/>
          <w:bCs/>
          <w:sz w:val="24"/>
          <w:szCs w:val="24"/>
          <w:rtl/>
        </w:rPr>
        <w:t xml:space="preserve">וְאִית דְּאָמְרֵי לֵהּ גת"ץ רט"ב </w:t>
      </w:r>
      <w:r w:rsidRPr="00007309">
        <w:rPr>
          <w:rFonts w:cs="Arial"/>
          <w:b/>
          <w:bCs/>
          <w:sz w:val="36"/>
          <w:szCs w:val="28"/>
          <w:vertAlign w:val="superscript"/>
          <w:rtl/>
        </w:rPr>
        <w:footnoteReference w:id="6371"/>
      </w:r>
      <w:r w:rsidRPr="00007309">
        <w:rPr>
          <w:rFonts w:cs="Arial"/>
          <w:b/>
          <w:bCs/>
          <w:sz w:val="24"/>
          <w:szCs w:val="24"/>
          <w:rtl/>
        </w:rPr>
        <w:t xml:space="preserve">בֵּהּ וְהָיִיתָ כְּגַן רָטֹב. </w:t>
      </w:r>
      <w:r w:rsidRPr="00007309">
        <w:rPr>
          <w:rFonts w:cs="Arial"/>
          <w:b/>
          <w:bCs/>
          <w:sz w:val="36"/>
          <w:szCs w:val="28"/>
          <w:vertAlign w:val="superscript"/>
          <w:rtl/>
        </w:rPr>
        <w:footnoteReference w:id="6372"/>
      </w:r>
      <w:r w:rsidRPr="00007309">
        <w:rPr>
          <w:rFonts w:cs="Arial"/>
          <w:b/>
          <w:bCs/>
          <w:sz w:val="24"/>
          <w:szCs w:val="24"/>
          <w:rtl/>
        </w:rPr>
        <w:t xml:space="preserve">וְיִתְקַיֵּם בְּיִשְׂרָאֵל </w:t>
      </w:r>
      <w:r w:rsidRPr="00007309">
        <w:rPr>
          <w:rtl/>
        </w:rPr>
        <w:t>(ישעיה נח)</w:t>
      </w:r>
      <w:r w:rsidRPr="00007309">
        <w:rPr>
          <w:rFonts w:cs="Arial"/>
          <w:b/>
          <w:bCs/>
          <w:sz w:val="24"/>
          <w:szCs w:val="24"/>
          <w:rtl/>
        </w:rPr>
        <w:t xml:space="preserve"> וְהִשְׂבִּיעַ בְּצַחְצָחוֹת נַפְשֶׁךָ, מִסִּטְרָא דְּנֶצַח דְּאִיהוּ צַח </w:t>
      </w:r>
      <w:r w:rsidRPr="00007309">
        <w:rPr>
          <w:rtl/>
        </w:rPr>
        <w:t>(שם)</w:t>
      </w:r>
      <w:r w:rsidRPr="00007309">
        <w:rPr>
          <w:rFonts w:cs="Arial"/>
          <w:b/>
          <w:bCs/>
          <w:sz w:val="24"/>
          <w:szCs w:val="24"/>
          <w:rtl/>
        </w:rPr>
        <w:t xml:space="preserve"> וְעַצְמוֹתֶיךָ יַחֲלִיץ וְגוֹ'. </w:t>
      </w:r>
      <w:r w:rsidRPr="00007309">
        <w:rPr>
          <w:rFonts w:cs="Arial"/>
          <w:b/>
          <w:bCs/>
          <w:sz w:val="36"/>
          <w:szCs w:val="28"/>
          <w:vertAlign w:val="superscript"/>
          <w:rtl/>
        </w:rPr>
        <w:footnoteReference w:id="6373"/>
      </w:r>
      <w:r w:rsidRPr="00007309">
        <w:rPr>
          <w:rFonts w:cs="Arial"/>
          <w:b/>
          <w:bCs/>
          <w:sz w:val="24"/>
          <w:szCs w:val="24"/>
          <w:rtl/>
        </w:rPr>
        <w:t xml:space="preserve">וְאִתְּמַר בג' מִן גת"ץ וְהָיִיתָ כְּגַן רָטֹב אִיהוּ רַחֲמִים, ת' תִּפְאֶרֶת וּבֵהּ </w:t>
      </w:r>
      <w:r w:rsidRPr="00007309">
        <w:rPr>
          <w:rtl/>
        </w:rPr>
        <w:t>(בראשית א)</w:t>
      </w:r>
      <w:r w:rsidRPr="00007309">
        <w:rPr>
          <w:rFonts w:cs="Arial"/>
          <w:b/>
          <w:bCs/>
          <w:sz w:val="24"/>
          <w:szCs w:val="24"/>
          <w:rtl/>
        </w:rPr>
        <w:t xml:space="preserve"> תּוֹצֵא הָאָרֶץ דֶּשֶׁא עֵץ פְּרִי עוֹשֶׂה פְּרִי, לְיִשְׂרָאֵל </w:t>
      </w:r>
      <w:r w:rsidRPr="00007309">
        <w:rPr>
          <w:rFonts w:cs="Arial"/>
          <w:b/>
          <w:bCs/>
          <w:sz w:val="36"/>
          <w:szCs w:val="28"/>
          <w:vertAlign w:val="superscript"/>
          <w:rtl/>
        </w:rPr>
        <w:footnoteReference w:id="6374"/>
      </w:r>
      <w:r w:rsidRPr="00007309">
        <w:rPr>
          <w:rFonts w:cs="Arial"/>
          <w:b/>
          <w:bCs/>
          <w:sz w:val="24"/>
          <w:szCs w:val="24"/>
          <w:rtl/>
        </w:rPr>
        <w:t xml:space="preserve">בַּמִּדְבְּרָא, </w:t>
      </w:r>
      <w:r w:rsidRPr="00007309">
        <w:rPr>
          <w:rFonts w:cs="Arial"/>
          <w:b/>
          <w:bCs/>
          <w:sz w:val="36"/>
          <w:szCs w:val="28"/>
          <w:vertAlign w:val="superscript"/>
          <w:rtl/>
        </w:rPr>
        <w:footnoteReference w:id="6375"/>
      </w:r>
      <w:r w:rsidRPr="00007309">
        <w:rPr>
          <w:rFonts w:cs="Arial"/>
          <w:b/>
          <w:bCs/>
          <w:sz w:val="24"/>
          <w:szCs w:val="24"/>
          <w:rtl/>
        </w:rPr>
        <w:t xml:space="preserve">וְכַמָּה מַבּוּעִין דְּמַיָּא. חק"ב טנ"ע דָּא הוֹד בֵּהּ </w:t>
      </w:r>
      <w:r w:rsidRPr="00007309">
        <w:rPr>
          <w:rtl/>
        </w:rPr>
        <w:t>(שמות ט)</w:t>
      </w:r>
      <w:r w:rsidRPr="00007309">
        <w:rPr>
          <w:rFonts w:cs="Arial"/>
          <w:b/>
          <w:bCs/>
          <w:sz w:val="24"/>
          <w:szCs w:val="24"/>
          <w:rtl/>
        </w:rPr>
        <w:t xml:space="preserve"> שָׁם שָׂם לוֹ </w:t>
      </w:r>
      <w:r w:rsidRPr="00007309">
        <w:rPr>
          <w:rFonts w:cs="Arial"/>
          <w:b/>
          <w:bCs/>
          <w:sz w:val="36"/>
          <w:szCs w:val="28"/>
          <w:vertAlign w:val="superscript"/>
          <w:rtl/>
        </w:rPr>
        <w:footnoteReference w:id="6376"/>
      </w:r>
      <w:r w:rsidRPr="00007309">
        <w:rPr>
          <w:rFonts w:cs="Arial"/>
          <w:b/>
          <w:bCs/>
          <w:sz w:val="24"/>
          <w:szCs w:val="24"/>
          <w:rtl/>
        </w:rPr>
        <w:t xml:space="preserve">חֹק וּמִשְׁפָּט וְשָׁם נִסָּהוּ. דְּהוֹד אִתְקַשַּׁר בִּגְבוּרָה, נֶצַח בְּחֶסֶד </w:t>
      </w:r>
      <w:r w:rsidRPr="00007309">
        <w:rPr>
          <w:rFonts w:cs="Arial"/>
          <w:b/>
          <w:bCs/>
          <w:sz w:val="36"/>
          <w:szCs w:val="28"/>
          <w:vertAlign w:val="superscript"/>
          <w:rtl/>
        </w:rPr>
        <w:footnoteReference w:id="6377"/>
      </w:r>
      <w:r w:rsidRPr="00007309">
        <w:rPr>
          <w:rFonts w:cs="Arial"/>
          <w:b/>
          <w:bCs/>
          <w:sz w:val="24"/>
          <w:szCs w:val="24"/>
          <w:rtl/>
        </w:rPr>
        <w:t xml:space="preserve">וְאִתְּמַר בְּהוֹד נְתַנַּנִי שׁוֹמְמָה </w:t>
      </w:r>
      <w:r w:rsidRPr="00007309">
        <w:rPr>
          <w:rFonts w:cs="Arial"/>
          <w:b/>
          <w:bCs/>
          <w:sz w:val="36"/>
          <w:szCs w:val="28"/>
          <w:vertAlign w:val="superscript"/>
          <w:rtl/>
        </w:rPr>
        <w:footnoteReference w:id="6378"/>
      </w:r>
      <w:r w:rsidRPr="00007309">
        <w:rPr>
          <w:rFonts w:cs="Arial"/>
          <w:b/>
          <w:bCs/>
          <w:sz w:val="24"/>
          <w:szCs w:val="24"/>
          <w:rtl/>
        </w:rPr>
        <w:t xml:space="preserve">כָּל הַיּוֹם </w:t>
      </w:r>
      <w:r w:rsidRPr="00007309">
        <w:rPr>
          <w:rFonts w:cs="Arial"/>
          <w:b/>
          <w:bCs/>
          <w:sz w:val="36"/>
          <w:szCs w:val="28"/>
          <w:vertAlign w:val="superscript"/>
          <w:rtl/>
        </w:rPr>
        <w:footnoteReference w:id="6379"/>
      </w:r>
      <w:r w:rsidRPr="00007309">
        <w:rPr>
          <w:rFonts w:cs="Arial"/>
          <w:b/>
          <w:bCs/>
          <w:sz w:val="24"/>
          <w:szCs w:val="24"/>
          <w:rtl/>
        </w:rPr>
        <w:t xml:space="preserve">דָּוָה בֵּהּ אִסְתַּכַּל בְּחֻרְבָּנָא דְּמַקְדְּשָׁא, וְכַמָּה קְטִילִין דְּאִתְקְטָלוּ לְנַטְלָא נוּקְמִין מֵאֻמִּין דְּעָלְמָא. וּבֵהּ אִתְּמַר </w:t>
      </w:r>
      <w:r w:rsidRPr="00007309">
        <w:rPr>
          <w:rtl/>
        </w:rPr>
        <w:t>(בראשית לב)</w:t>
      </w:r>
      <w:r w:rsidRPr="00007309">
        <w:rPr>
          <w:rFonts w:cs="Arial"/>
          <w:b/>
          <w:bCs/>
          <w:sz w:val="24"/>
          <w:szCs w:val="24"/>
          <w:rtl/>
        </w:rPr>
        <w:t xml:space="preserve"> </w:t>
      </w:r>
      <w:r w:rsidRPr="00007309">
        <w:rPr>
          <w:rFonts w:cs="Arial"/>
          <w:b/>
          <w:bCs/>
          <w:sz w:val="36"/>
          <w:szCs w:val="28"/>
          <w:vertAlign w:val="superscript"/>
          <w:rtl/>
        </w:rPr>
        <w:footnoteReference w:id="6380"/>
      </w:r>
      <w:r w:rsidRPr="00007309">
        <w:rPr>
          <w:rFonts w:cs="Arial"/>
          <w:b/>
          <w:bCs/>
          <w:sz w:val="24"/>
          <w:szCs w:val="24"/>
          <w:rtl/>
        </w:rPr>
        <w:t xml:space="preserve">וְהוּא צוֹלֵעַ עַל יְרֵכוֹ. </w:t>
      </w:r>
      <w:r w:rsidRPr="00007309">
        <w:rPr>
          <w:rFonts w:cs="Arial"/>
          <w:b/>
          <w:bCs/>
          <w:sz w:val="36"/>
          <w:szCs w:val="28"/>
          <w:vertAlign w:val="superscript"/>
          <w:rtl/>
        </w:rPr>
        <w:footnoteReference w:id="6381"/>
      </w:r>
      <w:r w:rsidRPr="00007309">
        <w:rPr>
          <w:rFonts w:cs="Arial"/>
          <w:b/>
          <w:bCs/>
          <w:sz w:val="24"/>
          <w:szCs w:val="24"/>
          <w:rtl/>
        </w:rPr>
        <w:t xml:space="preserve">בְּהַהוּא זִמְנָא </w:t>
      </w:r>
      <w:r w:rsidRPr="00007309">
        <w:rPr>
          <w:rtl/>
        </w:rPr>
        <w:t>(ישעיה לה)</w:t>
      </w:r>
      <w:r w:rsidRPr="00007309">
        <w:rPr>
          <w:rFonts w:cs="Arial"/>
          <w:b/>
          <w:bCs/>
          <w:sz w:val="24"/>
          <w:szCs w:val="24"/>
          <w:rtl/>
        </w:rPr>
        <w:t xml:space="preserve"> אָז יְדַלֵּג כְּאַיִל פסח </w:t>
      </w:r>
      <w:r w:rsidRPr="00007309">
        <w:rPr>
          <w:rFonts w:cs="Arial"/>
          <w:b/>
          <w:bCs/>
          <w:sz w:val="36"/>
          <w:szCs w:val="28"/>
          <w:vertAlign w:val="superscript"/>
          <w:rtl/>
        </w:rPr>
        <w:footnoteReference w:id="6382"/>
      </w:r>
      <w:r w:rsidRPr="00007309">
        <w:rPr>
          <w:rFonts w:cs="Arial"/>
          <w:b/>
          <w:bCs/>
          <w:sz w:val="24"/>
          <w:szCs w:val="24"/>
          <w:rtl/>
        </w:rPr>
        <w:t xml:space="preserve">וְעוֹד טנ"ע בְּהִפּוּךְ אַתְוָן נָטַע </w:t>
      </w:r>
      <w:r w:rsidRPr="00007309">
        <w:rPr>
          <w:rFonts w:cs="Arial"/>
          <w:b/>
          <w:bCs/>
          <w:sz w:val="36"/>
          <w:szCs w:val="28"/>
          <w:vertAlign w:val="superscript"/>
          <w:rtl/>
        </w:rPr>
        <w:footnoteReference w:id="6383"/>
      </w:r>
      <w:r w:rsidRPr="00007309">
        <w:rPr>
          <w:rFonts w:cs="Arial"/>
          <w:b/>
          <w:bCs/>
          <w:sz w:val="24"/>
          <w:szCs w:val="24"/>
          <w:rtl/>
        </w:rPr>
        <w:t xml:space="preserve">בֵּהּ חָב אָדָם הָדָא הוּא דִּכְתִיב </w:t>
      </w:r>
      <w:r w:rsidRPr="00007309">
        <w:rPr>
          <w:rtl/>
        </w:rPr>
        <w:t>(שם יז)</w:t>
      </w:r>
      <w:r w:rsidRPr="00007309">
        <w:rPr>
          <w:rFonts w:cs="Arial"/>
          <w:b/>
          <w:bCs/>
          <w:sz w:val="24"/>
          <w:szCs w:val="24"/>
          <w:rtl/>
        </w:rPr>
        <w:t xml:space="preserve"> בְּיוֹם נִטְעֵךְ תְּשַׂגְשְׂגִי</w:t>
      </w:r>
      <w:r w:rsidRPr="00007309">
        <w:rPr>
          <w:rFonts w:cs="Arial"/>
          <w:b/>
          <w:bCs/>
          <w:sz w:val="24"/>
          <w:szCs w:val="24"/>
        </w:rPr>
        <w:t xml:space="preserve">: </w:t>
      </w:r>
    </w:p>
    <w:p w:rsidR="00007309" w:rsidRPr="00007309" w:rsidRDefault="00007309" w:rsidP="00007309">
      <w:pPr>
        <w:keepNext/>
        <w:outlineLvl w:val="1"/>
        <w:rPr>
          <w:rFonts w:ascii="Cambria" w:hAnsi="Cambria" w:cs="Times New Roman"/>
          <w:b/>
          <w:bCs/>
          <w:i/>
          <w:iCs/>
          <w:sz w:val="28"/>
          <w:szCs w:val="28"/>
          <w:rtl/>
        </w:rPr>
      </w:pPr>
      <w:r w:rsidRPr="00007309">
        <w:rPr>
          <w:rFonts w:ascii="Cambria" w:hAnsi="Cambria" w:cs="Times New Roman" w:hint="cs"/>
          <w:b/>
          <w:bCs/>
          <w:i/>
          <w:iCs/>
          <w:sz w:val="28"/>
          <w:szCs w:val="28"/>
          <w:rtl/>
        </w:rPr>
        <w:t>[דף עה ע"ג]</w:t>
      </w:r>
    </w:p>
    <w:p w:rsidR="00007309" w:rsidRPr="00007309" w:rsidRDefault="00007309" w:rsidP="00007309">
      <w:pPr>
        <w:keepNext/>
        <w:spacing w:before="240" w:after="60"/>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 xml:space="preserve"> [וילנא ט ע"ב]</w:t>
      </w:r>
    </w:p>
    <w:p w:rsidR="00007309" w:rsidRPr="00007309" w:rsidRDefault="00007309" w:rsidP="00007309">
      <w:pPr>
        <w:jc w:val="both"/>
        <w:rPr>
          <w:rFonts w:cs="Arial"/>
          <w:b/>
          <w:bCs/>
          <w:sz w:val="24"/>
          <w:szCs w:val="24"/>
        </w:rPr>
      </w:pPr>
      <w:r w:rsidRPr="00007309">
        <w:rPr>
          <w:rFonts w:cs="Arial"/>
          <w:b/>
          <w:bCs/>
          <w:sz w:val="24"/>
          <w:szCs w:val="24"/>
          <w:rtl/>
        </w:rPr>
        <w:t xml:space="preserve">וּבֵהּ אִתְנְטַע וְאִשְׁתְּרַשׁ בְּעָלְמָא הָדָא הוּא דִּכְתִיב </w:t>
      </w:r>
      <w:r w:rsidRPr="00007309">
        <w:rPr>
          <w:rtl/>
        </w:rPr>
        <w:t>(ישעיה ס)</w:t>
      </w:r>
      <w:r w:rsidRPr="00007309">
        <w:rPr>
          <w:rFonts w:cs="Arial"/>
          <w:b/>
          <w:bCs/>
          <w:sz w:val="24"/>
          <w:szCs w:val="24"/>
          <w:rtl/>
        </w:rPr>
        <w:t xml:space="preserve"> </w:t>
      </w:r>
      <w:r w:rsidRPr="00007309">
        <w:rPr>
          <w:rFonts w:cs="Arial"/>
          <w:b/>
          <w:bCs/>
          <w:sz w:val="36"/>
          <w:szCs w:val="28"/>
          <w:vertAlign w:val="superscript"/>
          <w:rtl/>
        </w:rPr>
        <w:footnoteReference w:id="6384"/>
      </w:r>
      <w:r w:rsidRPr="00007309">
        <w:rPr>
          <w:rFonts w:cs="Arial"/>
          <w:b/>
          <w:bCs/>
          <w:sz w:val="24"/>
          <w:szCs w:val="24"/>
          <w:rtl/>
        </w:rPr>
        <w:t xml:space="preserve">נֵצֶר מַטָעַי מַעֲשֵׂה יָדַי לְהִתְפָּאֵר. וְעוֹד חק"ב טנ"ע תַּמָּן בט"ן וְתַמָּן ע"ב. שְׁכִינְתָּא </w:t>
      </w:r>
      <w:r w:rsidRPr="00007309">
        <w:rPr>
          <w:rFonts w:cs="Arial"/>
          <w:b/>
          <w:bCs/>
          <w:sz w:val="36"/>
          <w:szCs w:val="28"/>
          <w:vertAlign w:val="superscript"/>
          <w:rtl/>
        </w:rPr>
        <w:footnoteReference w:id="6385"/>
      </w:r>
      <w:r w:rsidRPr="00007309">
        <w:rPr>
          <w:rFonts w:cs="Arial"/>
          <w:b/>
          <w:bCs/>
          <w:sz w:val="24"/>
          <w:szCs w:val="24"/>
          <w:rtl/>
        </w:rPr>
        <w:t xml:space="preserve">בֵּהּ אִתְקְרִיאַת בִּטְנֵךָ עֲרֵמַת חִטִים. דְּהָא כָּל שְׁמָא כָּלִיל שִׁית לִסְפִירָן וְתַמָּן ע"ב </w:t>
      </w:r>
      <w:r w:rsidRPr="00007309">
        <w:rPr>
          <w:rFonts w:cs="Arial"/>
          <w:b/>
          <w:bCs/>
          <w:sz w:val="36"/>
          <w:szCs w:val="28"/>
          <w:vertAlign w:val="superscript"/>
          <w:rtl/>
        </w:rPr>
        <w:footnoteReference w:id="6386"/>
      </w:r>
      <w:r w:rsidRPr="00007309">
        <w:rPr>
          <w:rFonts w:cs="Arial"/>
          <w:b/>
          <w:bCs/>
          <w:sz w:val="24"/>
          <w:szCs w:val="24"/>
          <w:rtl/>
        </w:rPr>
        <w:t xml:space="preserve">הָדָא הוּא דִּכְתִיב </w:t>
      </w:r>
      <w:r w:rsidRPr="00007309">
        <w:rPr>
          <w:rtl/>
        </w:rPr>
        <w:t>(ויקרא כג)</w:t>
      </w:r>
      <w:r w:rsidRPr="00007309">
        <w:rPr>
          <w:rFonts w:cs="Arial"/>
          <w:b/>
          <w:bCs/>
          <w:sz w:val="24"/>
          <w:szCs w:val="24"/>
          <w:rtl/>
        </w:rPr>
        <w:t xml:space="preserve"> וַעֲנַף עֵץ עָבוֹת. </w:t>
      </w:r>
      <w:r w:rsidRPr="00007309">
        <w:rPr>
          <w:rFonts w:cs="Arial"/>
          <w:b/>
          <w:bCs/>
          <w:sz w:val="36"/>
          <w:szCs w:val="28"/>
          <w:vertAlign w:val="superscript"/>
          <w:rtl/>
        </w:rPr>
        <w:footnoteReference w:id="6387"/>
      </w:r>
      <w:r w:rsidRPr="00007309">
        <w:rPr>
          <w:rFonts w:cs="Arial"/>
          <w:b/>
          <w:bCs/>
          <w:sz w:val="24"/>
          <w:szCs w:val="24"/>
          <w:rtl/>
        </w:rPr>
        <w:t>דְּנֶצַ</w:t>
      </w:r>
      <w:r w:rsidRPr="00007309">
        <w:rPr>
          <w:rFonts w:cs="Arial"/>
          <w:b/>
          <w:bCs/>
          <w:sz w:val="24"/>
          <w:szCs w:val="24"/>
        </w:rPr>
        <w:t>"</w:t>
      </w:r>
      <w:r w:rsidRPr="00007309">
        <w:rPr>
          <w:rFonts w:cs="Arial"/>
          <w:b/>
          <w:bCs/>
          <w:sz w:val="24"/>
          <w:szCs w:val="24"/>
          <w:rtl/>
        </w:rPr>
        <w:t xml:space="preserve">ח וְהוֹ"ד אִנּוּן עָבֵי שְׁחָקִים. </w:t>
      </w:r>
      <w:r w:rsidRPr="00007309">
        <w:rPr>
          <w:rFonts w:ascii="Cambria" w:hAnsi="Cambria" w:cs="Times New Roman" w:hint="cs"/>
          <w:b/>
          <w:bCs/>
          <w:i/>
          <w:iCs/>
          <w:color w:val="4F81BD"/>
          <w:sz w:val="24"/>
          <w:szCs w:val="24"/>
          <w:rtl/>
        </w:rPr>
        <w:t xml:space="preserve">(עה ע"ג) </w:t>
      </w:r>
      <w:r w:rsidRPr="00007309">
        <w:rPr>
          <w:rFonts w:cs="Arial"/>
          <w:b/>
          <w:bCs/>
          <w:sz w:val="36"/>
          <w:szCs w:val="28"/>
          <w:vertAlign w:val="superscript"/>
          <w:rtl/>
        </w:rPr>
        <w:footnoteReference w:id="6388"/>
      </w:r>
      <w:r w:rsidRPr="00007309">
        <w:rPr>
          <w:rFonts w:cs="Arial"/>
          <w:b/>
          <w:bCs/>
          <w:sz w:val="24"/>
          <w:szCs w:val="24"/>
          <w:rtl/>
        </w:rPr>
        <w:t xml:space="preserve">וְעָלַיְהוּ אִתְּמַר </w:t>
      </w:r>
      <w:r w:rsidRPr="00007309">
        <w:rPr>
          <w:rtl/>
        </w:rPr>
        <w:t>(שם)</w:t>
      </w:r>
      <w:r w:rsidRPr="00007309">
        <w:rPr>
          <w:rFonts w:cs="Arial"/>
          <w:b/>
          <w:bCs/>
          <w:sz w:val="24"/>
          <w:szCs w:val="24"/>
          <w:rtl/>
        </w:rPr>
        <w:t xml:space="preserve"> עַרְבֵי נַחַל </w:t>
      </w:r>
      <w:r w:rsidRPr="00007309">
        <w:rPr>
          <w:rtl/>
        </w:rPr>
        <w:t>(שם)</w:t>
      </w:r>
      <w:r w:rsidRPr="00007309">
        <w:rPr>
          <w:rFonts w:cs="Arial"/>
          <w:b/>
          <w:bCs/>
          <w:sz w:val="24"/>
          <w:szCs w:val="24"/>
          <w:rtl/>
        </w:rPr>
        <w:t xml:space="preserve">, </w:t>
      </w:r>
      <w:r w:rsidRPr="00007309">
        <w:rPr>
          <w:rFonts w:cs="Arial"/>
          <w:b/>
          <w:bCs/>
          <w:sz w:val="36"/>
          <w:szCs w:val="28"/>
          <w:vertAlign w:val="superscript"/>
          <w:rtl/>
        </w:rPr>
        <w:footnoteReference w:id="6389"/>
      </w:r>
      <w:r w:rsidRPr="00007309">
        <w:rPr>
          <w:rFonts w:cs="Arial"/>
          <w:b/>
          <w:bCs/>
          <w:sz w:val="24"/>
          <w:szCs w:val="24"/>
          <w:rtl/>
        </w:rPr>
        <w:t xml:space="preserve">דּוֹמְיָא דִּתְרֵין שִׂפְוָן </w:t>
      </w:r>
      <w:r w:rsidRPr="00007309">
        <w:rPr>
          <w:rFonts w:cs="Arial"/>
          <w:b/>
          <w:bCs/>
          <w:sz w:val="36"/>
          <w:szCs w:val="28"/>
          <w:vertAlign w:val="superscript"/>
          <w:rtl/>
        </w:rPr>
        <w:footnoteReference w:id="6390"/>
      </w:r>
      <w:r w:rsidRPr="00007309">
        <w:rPr>
          <w:rFonts w:cs="Arial"/>
          <w:b/>
          <w:bCs/>
          <w:sz w:val="24"/>
          <w:szCs w:val="24"/>
          <w:rtl/>
        </w:rPr>
        <w:t xml:space="preserve">וּתְלָת סְפִירָן, כָּל חַד כָּלִיל ע"ב אַתְוָן דְּאִנּוּן נֶצַח וָהוֹד יְסוֹד. כְּגַוְנָא דִּתְלָת אֲבָהָן </w:t>
      </w:r>
      <w:r w:rsidRPr="00007309">
        <w:rPr>
          <w:rFonts w:cs="Arial"/>
          <w:b/>
          <w:bCs/>
          <w:sz w:val="36"/>
          <w:szCs w:val="28"/>
          <w:vertAlign w:val="superscript"/>
          <w:rtl/>
        </w:rPr>
        <w:footnoteReference w:id="6391"/>
      </w:r>
      <w:r w:rsidRPr="00007309">
        <w:rPr>
          <w:rFonts w:cs="Arial"/>
          <w:b/>
          <w:bCs/>
          <w:sz w:val="24"/>
          <w:szCs w:val="24"/>
          <w:rtl/>
        </w:rPr>
        <w:t xml:space="preserve">וְכֻלְּהוּ תְּלָת כְּלִילָן שִׁבְעִין וּתְרֵין (נ"א מ"ב) אַתְוָן. יג"ל פז"ק דָּא אִיהוּ צַדִּיק אָלֶף שְׁתִיתָאָה </w:t>
      </w:r>
      <w:r w:rsidRPr="00007309">
        <w:rPr>
          <w:rFonts w:cs="Arial"/>
          <w:b/>
          <w:bCs/>
          <w:sz w:val="36"/>
          <w:szCs w:val="28"/>
          <w:vertAlign w:val="superscript"/>
          <w:rtl/>
        </w:rPr>
        <w:footnoteReference w:id="6392"/>
      </w:r>
      <w:r w:rsidRPr="00007309">
        <w:rPr>
          <w:rFonts w:cs="Arial"/>
          <w:b/>
          <w:bCs/>
          <w:sz w:val="24"/>
          <w:szCs w:val="24"/>
          <w:rtl/>
        </w:rPr>
        <w:t xml:space="preserve">דְּבֵהּ קוּדְשָׁא בְּרִיךְ הוּא יְגַלֶּ"ה פִּדְיוֹ"ן זֶרַ"ע קְדוֹשִׁי"ם. </w:t>
      </w:r>
      <w:r w:rsidRPr="00007309">
        <w:rPr>
          <w:rFonts w:cs="Arial"/>
          <w:b/>
          <w:bCs/>
          <w:sz w:val="36"/>
          <w:szCs w:val="28"/>
          <w:vertAlign w:val="superscript"/>
          <w:rtl/>
        </w:rPr>
        <w:footnoteReference w:id="6393"/>
      </w:r>
      <w:r w:rsidRPr="00007309">
        <w:rPr>
          <w:rFonts w:cs="Arial"/>
          <w:b/>
          <w:bCs/>
          <w:sz w:val="24"/>
          <w:szCs w:val="24"/>
          <w:rtl/>
        </w:rPr>
        <w:t xml:space="preserve">דְּאִיהוּ יְסוֹד עָלְמִין, </w:t>
      </w:r>
      <w:r w:rsidRPr="00007309">
        <w:rPr>
          <w:rFonts w:cs="Arial"/>
          <w:b/>
          <w:bCs/>
          <w:sz w:val="36"/>
          <w:szCs w:val="28"/>
          <w:vertAlign w:val="superscript"/>
          <w:rtl/>
        </w:rPr>
        <w:footnoteReference w:id="6394"/>
      </w:r>
      <w:r w:rsidRPr="00007309">
        <w:rPr>
          <w:rFonts w:cs="Arial"/>
          <w:b/>
          <w:bCs/>
          <w:sz w:val="24"/>
          <w:szCs w:val="24"/>
          <w:rtl/>
        </w:rPr>
        <w:t xml:space="preserve">אִיהוּ סוֹד דְּקֵץ דְּפֻרְקָנָא </w:t>
      </w:r>
      <w:r w:rsidRPr="00007309">
        <w:rPr>
          <w:rFonts w:ascii="Cambria" w:hAnsi="Cambria" w:cs="Times New Roman" w:hint="cs"/>
          <w:b/>
          <w:bCs/>
          <w:i/>
          <w:iCs/>
          <w:color w:val="4F81BD"/>
          <w:sz w:val="24"/>
          <w:szCs w:val="24"/>
          <w:rtl/>
        </w:rPr>
        <w:t xml:space="preserve">(וילנא ט ע"ב) </w:t>
      </w:r>
      <w:r w:rsidRPr="00007309">
        <w:rPr>
          <w:rFonts w:cs="Arial"/>
          <w:b/>
          <w:bCs/>
          <w:sz w:val="24"/>
          <w:szCs w:val="24"/>
          <w:rtl/>
        </w:rPr>
        <w:t>דְּאִתְרְמִיז בִּשְׁכִינְתָּא דְּאִתְקְרֵי שקוצי</w:t>
      </w:r>
      <w:r w:rsidRPr="00007309">
        <w:rPr>
          <w:rFonts w:cs="Arial"/>
          <w:b/>
          <w:bCs/>
          <w:sz w:val="24"/>
          <w:szCs w:val="24"/>
        </w:rPr>
        <w:t>"</w:t>
      </w:r>
      <w:r w:rsidRPr="00007309">
        <w:rPr>
          <w:rFonts w:cs="Arial"/>
          <w:b/>
          <w:bCs/>
          <w:sz w:val="24"/>
          <w:szCs w:val="24"/>
          <w:rtl/>
        </w:rPr>
        <w:t xml:space="preserve">ת, דְּתַמָּן שי"ת וק"ץ דְּאִיהִי שְׁכִינְתָּא שְׁבִיעִית לוֹן </w:t>
      </w:r>
      <w:r w:rsidRPr="00007309">
        <w:rPr>
          <w:rFonts w:cs="Arial"/>
          <w:b/>
          <w:bCs/>
          <w:sz w:val="36"/>
          <w:szCs w:val="28"/>
          <w:vertAlign w:val="superscript"/>
          <w:rtl/>
        </w:rPr>
        <w:footnoteReference w:id="6395"/>
      </w:r>
      <w:r w:rsidRPr="00007309">
        <w:rPr>
          <w:rFonts w:cs="Arial"/>
          <w:b/>
          <w:bCs/>
          <w:sz w:val="24"/>
          <w:szCs w:val="24"/>
          <w:rtl/>
        </w:rPr>
        <w:t xml:space="preserve">קֵץ דְּכֻלְּהוּ. עָלֵהּ אִתְּמַר </w:t>
      </w:r>
      <w:r w:rsidRPr="00007309">
        <w:rPr>
          <w:rtl/>
        </w:rPr>
        <w:t>(דניאל יב)</w:t>
      </w:r>
      <w:r w:rsidRPr="00007309">
        <w:rPr>
          <w:rFonts w:cs="Arial"/>
          <w:b/>
          <w:bCs/>
          <w:sz w:val="24"/>
          <w:szCs w:val="24"/>
          <w:rtl/>
        </w:rPr>
        <w:t xml:space="preserve"> וְאַתָּה לֵךְ לַקֵּץ וְתָנוּחַ וְתַעֲמֹד לְגֹרָלְךָ לְקֵץ הַיָּמִין. </w:t>
      </w:r>
      <w:r w:rsidRPr="00007309">
        <w:rPr>
          <w:rFonts w:cs="Arial"/>
          <w:b/>
          <w:bCs/>
          <w:sz w:val="36"/>
          <w:szCs w:val="28"/>
          <w:vertAlign w:val="superscript"/>
          <w:rtl/>
        </w:rPr>
        <w:footnoteReference w:id="6396"/>
      </w:r>
      <w:r w:rsidRPr="00007309">
        <w:rPr>
          <w:rFonts w:cs="Arial"/>
          <w:b/>
          <w:bCs/>
          <w:sz w:val="24"/>
          <w:szCs w:val="24"/>
          <w:rtl/>
        </w:rPr>
        <w:t>וְאִיהוּ קֵ"ץ דְּדָלִיג מִן ד' מֵאָה שְׁנִין, דַּהֲווֹ עֲתִידִין לְאִשְׁתַּעְבְּדָא בְּמִצְרַיִם הִיא וּבְנָהָא, וְאִשְׁתְּאֲרוּ רְד"וּ רְדוּ שָׁמָּה. מִסִּטְרָא דִּימִינָא אִתְקְרִיאַת קֵץ הַיָּמִין. וּמִסִּטְרָא דִּשְׂמָאלָא קֵץ כָּל בָּשָׂר. לְמָאן דְּחַבִּיל אוֹת בְּשַׂר קֹדֶשׁ, אִיהִי לֵהּ דִּינָא, קֵץ כָּל בָּשָׂר. וְאִיהִי סוֹף</w:t>
      </w:r>
      <w:r w:rsidRPr="00007309">
        <w:rPr>
          <w:rFonts w:cs="Arial"/>
          <w:b/>
          <w:bCs/>
          <w:sz w:val="24"/>
          <w:szCs w:val="24"/>
        </w:rPr>
        <w:t xml:space="preserve"> </w:t>
      </w:r>
      <w:r w:rsidRPr="00007309">
        <w:rPr>
          <w:rFonts w:cs="Arial"/>
          <w:b/>
          <w:bCs/>
          <w:sz w:val="24"/>
          <w:szCs w:val="24"/>
          <w:rtl/>
        </w:rPr>
        <w:t xml:space="preserve">פָּסוּק </w:t>
      </w:r>
      <w:r w:rsidRPr="00007309">
        <w:rPr>
          <w:rFonts w:cs="Arial"/>
          <w:b/>
          <w:bCs/>
          <w:sz w:val="36"/>
          <w:szCs w:val="28"/>
          <w:vertAlign w:val="superscript"/>
          <w:rtl/>
        </w:rPr>
        <w:footnoteReference w:id="6397"/>
      </w:r>
      <w:r w:rsidRPr="00007309">
        <w:rPr>
          <w:rFonts w:cs="Arial"/>
          <w:b/>
          <w:bCs/>
          <w:sz w:val="24"/>
          <w:szCs w:val="24"/>
          <w:rtl/>
        </w:rPr>
        <w:t xml:space="preserve">סוֹף פסק דַּהֲלָכוֹת. </w:t>
      </w:r>
      <w:r w:rsidRPr="00007309">
        <w:rPr>
          <w:rFonts w:cs="Arial"/>
          <w:b/>
          <w:bCs/>
          <w:sz w:val="36"/>
          <w:szCs w:val="28"/>
          <w:vertAlign w:val="superscript"/>
          <w:rtl/>
        </w:rPr>
        <w:footnoteReference w:id="6398"/>
      </w:r>
      <w:r w:rsidRPr="00007309">
        <w:rPr>
          <w:rFonts w:cs="Arial"/>
          <w:b/>
          <w:bCs/>
          <w:sz w:val="24"/>
          <w:szCs w:val="24"/>
          <w:rtl/>
        </w:rPr>
        <w:t xml:space="preserve">וּבְחִבּוּרָא דְּאָת ו' אִיהוּ פָּסוּק, אִיהִי </w:t>
      </w:r>
      <w:r w:rsidRPr="00007309">
        <w:rPr>
          <w:rFonts w:cs="Arial"/>
          <w:b/>
          <w:bCs/>
          <w:sz w:val="36"/>
          <w:szCs w:val="28"/>
          <w:vertAlign w:val="superscript"/>
          <w:rtl/>
        </w:rPr>
        <w:footnoteReference w:id="6399"/>
      </w:r>
      <w:r w:rsidRPr="00007309">
        <w:rPr>
          <w:rFonts w:cs="Arial"/>
          <w:b/>
          <w:bCs/>
          <w:sz w:val="24"/>
          <w:szCs w:val="24"/>
          <w:rtl/>
        </w:rPr>
        <w:t xml:space="preserve">פְּסָק כָּלִיל כָּל פִּסְקֵי הֲלָכוֹת, ודא אִיהִי שְׁכִינְתָּא, </w:t>
      </w:r>
      <w:r w:rsidRPr="00007309">
        <w:rPr>
          <w:rFonts w:cs="Arial"/>
          <w:b/>
          <w:bCs/>
          <w:sz w:val="36"/>
          <w:szCs w:val="28"/>
          <w:vertAlign w:val="superscript"/>
          <w:rtl/>
        </w:rPr>
        <w:footnoteReference w:id="6400"/>
      </w:r>
      <w:r w:rsidRPr="00007309">
        <w:rPr>
          <w:rFonts w:cs="Arial"/>
          <w:b/>
          <w:bCs/>
          <w:sz w:val="24"/>
          <w:szCs w:val="24"/>
          <w:rtl/>
        </w:rPr>
        <w:t xml:space="preserve">אוֹרַיְתָא דִּבְעַל פֶּה קָרֵינָן לַהּ, </w:t>
      </w:r>
      <w:r w:rsidRPr="00007309">
        <w:rPr>
          <w:rFonts w:cs="Arial"/>
          <w:b/>
          <w:bCs/>
          <w:sz w:val="36"/>
          <w:szCs w:val="28"/>
          <w:vertAlign w:val="superscript"/>
          <w:rtl/>
        </w:rPr>
        <w:footnoteReference w:id="6401"/>
      </w:r>
      <w:r w:rsidRPr="00007309">
        <w:rPr>
          <w:rFonts w:cs="Arial"/>
          <w:b/>
          <w:bCs/>
          <w:sz w:val="24"/>
          <w:szCs w:val="24"/>
          <w:rtl/>
        </w:rPr>
        <w:t xml:space="preserve">וְאִיהִי שְׁאֵלָה </w:t>
      </w:r>
      <w:r w:rsidRPr="00007309">
        <w:rPr>
          <w:rFonts w:cs="Arial"/>
          <w:b/>
          <w:bCs/>
          <w:sz w:val="36"/>
          <w:szCs w:val="28"/>
          <w:vertAlign w:val="superscript"/>
          <w:rtl/>
        </w:rPr>
        <w:footnoteReference w:id="6402"/>
      </w:r>
      <w:r w:rsidRPr="00007309">
        <w:rPr>
          <w:rFonts w:cs="Arial"/>
          <w:sz w:val="36"/>
          <w:szCs w:val="28"/>
          <w:rtl/>
        </w:rPr>
        <w:t>(ברכה)</w:t>
      </w:r>
      <w:r w:rsidRPr="00007309">
        <w:rPr>
          <w:rFonts w:cs="Arial"/>
          <w:b/>
          <w:bCs/>
          <w:sz w:val="24"/>
          <w:szCs w:val="24"/>
          <w:rtl/>
        </w:rPr>
        <w:t xml:space="preserve"> צריכא פְּסָק סייעתא וְאִיהוּ מִשְׁמַעְתָּא שָׁטָה תְּיוּבְתָּא תּוֹסֶפְתָּא הַגָּדָה תֵּיקוּ. תַּנְיָא קַבָּלָה הֲלָכָה מִשְׁנָה בָּרַיְתָא קוּשְׁיָא מַחֲלֹקֶת חֻמְרָא קֻלָּא, גזירה שוה אִיהִי שְׁאֵלָה </w:t>
      </w:r>
      <w:r w:rsidRPr="00007309">
        <w:rPr>
          <w:rFonts w:cs="Arial"/>
          <w:b/>
          <w:bCs/>
          <w:sz w:val="36"/>
          <w:szCs w:val="28"/>
          <w:vertAlign w:val="superscript"/>
          <w:rtl/>
        </w:rPr>
        <w:footnoteReference w:id="6403"/>
      </w:r>
      <w:r w:rsidRPr="00007309">
        <w:rPr>
          <w:rFonts w:cs="Arial"/>
          <w:b/>
          <w:bCs/>
          <w:sz w:val="24"/>
          <w:szCs w:val="24"/>
          <w:rtl/>
        </w:rPr>
        <w:t xml:space="preserve">דְּבָהּ חָכָם שׁוֹאֵל כָּעִנְיָן וּמֵשִׁיב </w:t>
      </w:r>
      <w:r w:rsidRPr="00007309">
        <w:rPr>
          <w:rFonts w:cs="Arial"/>
          <w:b/>
          <w:bCs/>
          <w:sz w:val="36"/>
          <w:szCs w:val="28"/>
          <w:vertAlign w:val="superscript"/>
          <w:rtl/>
        </w:rPr>
        <w:footnoteReference w:id="6404"/>
      </w:r>
      <w:r w:rsidRPr="00007309">
        <w:rPr>
          <w:rFonts w:cs="Arial"/>
          <w:b/>
          <w:bCs/>
          <w:sz w:val="24"/>
          <w:szCs w:val="24"/>
          <w:rtl/>
        </w:rPr>
        <w:t xml:space="preserve">כַּהֲלָכָה. וּבָהּ </w:t>
      </w:r>
      <w:r w:rsidRPr="00007309">
        <w:rPr>
          <w:rtl/>
        </w:rPr>
        <w:t>(שמות ג)</w:t>
      </w:r>
      <w:r w:rsidRPr="00007309">
        <w:rPr>
          <w:rFonts w:cs="Arial"/>
          <w:b/>
          <w:bCs/>
          <w:sz w:val="24"/>
          <w:szCs w:val="24"/>
          <w:rtl/>
        </w:rPr>
        <w:t xml:space="preserve"> </w:t>
      </w:r>
      <w:r w:rsidRPr="00007309">
        <w:rPr>
          <w:rFonts w:cs="Arial"/>
          <w:b/>
          <w:bCs/>
          <w:sz w:val="36"/>
          <w:szCs w:val="28"/>
          <w:vertAlign w:val="superscript"/>
          <w:rtl/>
        </w:rPr>
        <w:footnoteReference w:id="6405"/>
      </w:r>
      <w:r w:rsidRPr="00007309">
        <w:rPr>
          <w:rFonts w:cs="Arial"/>
          <w:b/>
          <w:bCs/>
          <w:sz w:val="24"/>
          <w:szCs w:val="24"/>
          <w:rtl/>
        </w:rPr>
        <w:t xml:space="preserve">וְשָׁאֲלָה אִשָּׁה מִשְּׁכֶנְתָּהּ וְגוֹ'. </w:t>
      </w:r>
      <w:r w:rsidRPr="00007309">
        <w:rPr>
          <w:rFonts w:cs="Arial"/>
          <w:b/>
          <w:bCs/>
          <w:sz w:val="36"/>
          <w:szCs w:val="28"/>
          <w:vertAlign w:val="superscript"/>
          <w:rtl/>
        </w:rPr>
        <w:footnoteReference w:id="6406"/>
      </w:r>
      <w:r w:rsidRPr="00007309">
        <w:rPr>
          <w:rFonts w:cs="Arial"/>
          <w:b/>
          <w:bCs/>
          <w:sz w:val="24"/>
          <w:szCs w:val="24"/>
          <w:rtl/>
        </w:rPr>
        <w:t xml:space="preserve">וּבָהּ </w:t>
      </w:r>
      <w:r w:rsidRPr="00007309">
        <w:rPr>
          <w:rtl/>
        </w:rPr>
        <w:t>(דברים לב)</w:t>
      </w:r>
      <w:r w:rsidRPr="00007309">
        <w:rPr>
          <w:rFonts w:cs="Arial"/>
          <w:b/>
          <w:bCs/>
          <w:sz w:val="24"/>
          <w:szCs w:val="24"/>
          <w:rtl/>
        </w:rPr>
        <w:t xml:space="preserve"> שְׁאַל אָבִיךָ וְיַגֶּדְךָ דְּאִיהִי הַגָּדָה, </w:t>
      </w:r>
      <w:r w:rsidRPr="00007309">
        <w:rPr>
          <w:rFonts w:cs="Arial"/>
          <w:b/>
          <w:bCs/>
          <w:sz w:val="36"/>
          <w:szCs w:val="28"/>
          <w:vertAlign w:val="superscript"/>
          <w:rtl/>
        </w:rPr>
        <w:footnoteReference w:id="6407"/>
      </w:r>
      <w:r w:rsidRPr="00007309">
        <w:rPr>
          <w:rFonts w:cs="Arial"/>
          <w:b/>
          <w:bCs/>
          <w:sz w:val="24"/>
          <w:szCs w:val="24"/>
          <w:rtl/>
        </w:rPr>
        <w:t xml:space="preserve">דְּבָהּ </w:t>
      </w:r>
      <w:r w:rsidRPr="00007309">
        <w:rPr>
          <w:rtl/>
        </w:rPr>
        <w:t>(שם כו)</w:t>
      </w:r>
      <w:r w:rsidRPr="00007309">
        <w:rPr>
          <w:rFonts w:cs="Arial"/>
          <w:b/>
          <w:bCs/>
          <w:sz w:val="24"/>
          <w:szCs w:val="24"/>
          <w:rtl/>
        </w:rPr>
        <w:t xml:space="preserve"> הִגַּדְתִּי הַיּוֹם לַה' אֱלֹהֶיךָ. </w:t>
      </w:r>
      <w:r w:rsidRPr="00007309">
        <w:rPr>
          <w:rFonts w:cs="Arial"/>
          <w:b/>
          <w:bCs/>
          <w:sz w:val="36"/>
          <w:szCs w:val="28"/>
          <w:vertAlign w:val="superscript"/>
          <w:rtl/>
        </w:rPr>
        <w:footnoteReference w:id="6408"/>
      </w:r>
      <w:r w:rsidRPr="00007309">
        <w:rPr>
          <w:rFonts w:cs="Arial"/>
          <w:b/>
          <w:bCs/>
          <w:sz w:val="24"/>
          <w:szCs w:val="24"/>
          <w:rtl/>
        </w:rPr>
        <w:t xml:space="preserve">שְׁאַל מִמֶּנִּי וְאֶתְּנָה גּוֹיִם נַחֲלָתֶךָ. וּבָהּ אָמַר לִשְׁלמֹה (מלכים א, ג) שְׁאַל מָה אֶתֵּן לָךְ </w:t>
      </w:r>
      <w:r w:rsidRPr="00007309">
        <w:rPr>
          <w:rFonts w:cs="Arial"/>
          <w:b/>
          <w:bCs/>
          <w:sz w:val="36"/>
          <w:szCs w:val="28"/>
          <w:vertAlign w:val="superscript"/>
          <w:rtl/>
        </w:rPr>
        <w:footnoteReference w:id="6409"/>
      </w:r>
      <w:r w:rsidRPr="00007309">
        <w:rPr>
          <w:rFonts w:cs="Arial"/>
          <w:b/>
          <w:bCs/>
          <w:sz w:val="24"/>
          <w:szCs w:val="24"/>
          <w:rtl/>
        </w:rPr>
        <w:t xml:space="preserve">וּבָהּ תַּקִּינוּ לְמִשְׁאַל שְׁאֵלְתֵּהּ בְּבִרְכָּאן אֶמְצָעִית דִּצְלוֹתָא, דְּבִשְׁאֵלָה זוֹ לֹא יַחֲזֹר רֵיקָנֵהּ בִּצְלוֹתֵהּ קַמֵּי מַלְכָּא דְּאִיהוּ עַמּוּדָא דְּאֶמְצָעִיתָא וּבְבִרְכָּאן קַדְמָאִין אִתְקְרִיאַת תֻּשְׁבְּחָתָא, דְּבֵהּ תַּקִּינוּ לְתַקְּנָא (נ"א לסדרא) בַּר נָשׁ שְׁבָחָא דְּמַלְכָּא. וּבִתְלָת בַּתְרָאִין אִתְקְרִיאַת </w:t>
      </w:r>
      <w:r w:rsidRPr="00007309">
        <w:rPr>
          <w:rFonts w:cs="Arial"/>
          <w:b/>
          <w:bCs/>
          <w:sz w:val="36"/>
          <w:szCs w:val="28"/>
          <w:vertAlign w:val="superscript"/>
          <w:rtl/>
        </w:rPr>
        <w:footnoteReference w:id="6410"/>
      </w:r>
      <w:r w:rsidRPr="00007309">
        <w:rPr>
          <w:rFonts w:cs="Arial"/>
          <w:b/>
          <w:bCs/>
          <w:sz w:val="24"/>
          <w:szCs w:val="24"/>
          <w:rtl/>
        </w:rPr>
        <w:t xml:space="preserve">קַבָּלָה דְּבָהּ עַבְדָּא דְּאִיהוּ מְטַטְרוֹ"ן אִיהוּ כְּעֶבֶד הַמְּקַבֵּל פְּרָס מֵרַבּוֹ וְהוֹלֵךְ לוֹ, וּבֵהּ יַהֲבִין אַגְרָא דִּצְלוֹתִין לְאִלֵּין דִּמְצַלִּין עַל מְנָת לָקֳבֵל פְּרָס. אֲבָל לְאִנּוּן (נ"א לבנין) דְּלָא מְצַלִּין אֶלָּא מִגּוֹ רְחִימוּ וּדְחִילוּ דְּמָארֵיהוֹן בְּצַדִּיק. יְסוֹד חַ"י עָלְמִין כָּלִיל חַ"י בִּרְכָּאִין מְקַבְּלִין. דְמִסִּטְרָא דְּצַדִּיק אִתְקְרִיאַת אִיהִי קַבָּלָה, אִיהִי בֵּית קִבּוּל לְיַרְתָּא נִשְׁמָתִין לְצַדִּיקַיָּא. הַצְרָכָה אִתְקְרִיאַת מִסִּטְרָא דְּעַמּוּדָא דְּאֶמְצָעִיתָא, כִּד נָטִיל מִגְּבוּרָה דְּאִיהוּ שׁוֹר דְּקָרִיב אָדָם קַדְמָאָה, </w:t>
      </w:r>
      <w:r w:rsidRPr="00007309">
        <w:rPr>
          <w:rFonts w:cs="Arial"/>
          <w:b/>
          <w:bCs/>
          <w:sz w:val="36"/>
          <w:szCs w:val="28"/>
          <w:vertAlign w:val="superscript"/>
          <w:rtl/>
        </w:rPr>
        <w:footnoteReference w:id="6411"/>
      </w:r>
      <w:r w:rsidRPr="00007309">
        <w:rPr>
          <w:rFonts w:cs="Arial"/>
          <w:b/>
          <w:bCs/>
          <w:sz w:val="24"/>
          <w:szCs w:val="24"/>
          <w:rtl/>
        </w:rPr>
        <w:t xml:space="preserve">דְּאִיהוּ חָכְמָה דִּמְמָנָא עַל כָּל קָרְבְּנִין. דְּכֶבֶשׂ אִיהוּ מִסִּטְרָא דִּימִינָא, וְשׁוֹר מִסִּטְרָא דִּשְׂמָאלָא. </w:t>
      </w:r>
      <w:r w:rsidRPr="00007309">
        <w:rPr>
          <w:rFonts w:cs="Arial"/>
          <w:b/>
          <w:bCs/>
          <w:sz w:val="36"/>
          <w:szCs w:val="28"/>
          <w:vertAlign w:val="superscript"/>
          <w:rtl/>
        </w:rPr>
        <w:footnoteReference w:id="6412"/>
      </w:r>
      <w:r w:rsidRPr="00007309">
        <w:rPr>
          <w:rFonts w:cs="Arial"/>
          <w:b/>
          <w:bCs/>
          <w:sz w:val="24"/>
          <w:szCs w:val="24"/>
          <w:rtl/>
        </w:rPr>
        <w:t xml:space="preserve">וּבְגִין דָּא שׁוֹר שֶׁהִקְרִיב אָדָם קַדְמָאָה אִתְּמַר בֵּהּ </w:t>
      </w:r>
      <w:r w:rsidRPr="00007309">
        <w:rPr>
          <w:rtl/>
        </w:rPr>
        <w:t>(תהלים</w:t>
      </w:r>
      <w:r w:rsidRPr="00007309">
        <w:rPr>
          <w:rFonts w:cs="Arial"/>
          <w:b/>
          <w:bCs/>
          <w:sz w:val="24"/>
          <w:szCs w:val="24"/>
          <w:rtl/>
        </w:rPr>
        <w:t xml:space="preserve"> </w:t>
      </w:r>
      <w:r w:rsidRPr="00007309">
        <w:rPr>
          <w:rtl/>
        </w:rPr>
        <w:t>סט)</w:t>
      </w:r>
      <w:r w:rsidRPr="00007309">
        <w:rPr>
          <w:rFonts w:cs="Arial"/>
          <w:b/>
          <w:bCs/>
          <w:sz w:val="24"/>
          <w:szCs w:val="24"/>
          <w:rtl/>
        </w:rPr>
        <w:t xml:space="preserve"> מִשּׁוֹר פָּר מַקְרִין מַפְרִיס. </w:t>
      </w:r>
      <w:r w:rsidRPr="00007309">
        <w:rPr>
          <w:rFonts w:cs="Arial"/>
          <w:b/>
          <w:bCs/>
          <w:sz w:val="36"/>
          <w:szCs w:val="28"/>
          <w:vertAlign w:val="superscript"/>
          <w:rtl/>
        </w:rPr>
        <w:footnoteReference w:id="6413"/>
      </w:r>
      <w:r w:rsidRPr="00007309">
        <w:rPr>
          <w:rFonts w:cs="Arial"/>
          <w:b/>
          <w:bCs/>
          <w:sz w:val="24"/>
          <w:szCs w:val="24"/>
          <w:rtl/>
        </w:rPr>
        <w:t xml:space="preserve">וְאִיהוּ מְמָנָא עַל מַדְבְּרָא וּבֵהּ </w:t>
      </w:r>
      <w:r w:rsidRPr="00007309">
        <w:rPr>
          <w:rFonts w:cs="Arial"/>
          <w:b/>
          <w:bCs/>
          <w:sz w:val="36"/>
          <w:szCs w:val="28"/>
          <w:vertAlign w:val="superscript"/>
          <w:rtl/>
        </w:rPr>
        <w:footnoteReference w:id="6414"/>
      </w:r>
      <w:r w:rsidRPr="00007309">
        <w:rPr>
          <w:rFonts w:cs="Arial"/>
          <w:b/>
          <w:bCs/>
          <w:sz w:val="24"/>
          <w:szCs w:val="24"/>
          <w:rtl/>
        </w:rPr>
        <w:t xml:space="preserve">סִפֵּק צָרְכֵיהוֹן בְּאָרַע מַדְבְּרָא. </w:t>
      </w:r>
      <w:r w:rsidRPr="00007309">
        <w:rPr>
          <w:rFonts w:cs="Arial"/>
          <w:b/>
          <w:bCs/>
          <w:sz w:val="36"/>
          <w:szCs w:val="28"/>
          <w:vertAlign w:val="superscript"/>
          <w:rtl/>
        </w:rPr>
        <w:footnoteReference w:id="6415"/>
      </w:r>
      <w:r w:rsidRPr="00007309">
        <w:rPr>
          <w:rFonts w:cs="Arial"/>
          <w:b/>
          <w:bCs/>
          <w:sz w:val="24"/>
          <w:szCs w:val="24"/>
          <w:rtl/>
        </w:rPr>
        <w:t xml:space="preserve">וּמִתַּמָּן אִתְקְרִיאַת שְׁכִינְתָּא הַצְרָכָה, </w:t>
      </w:r>
      <w:r w:rsidRPr="00007309">
        <w:rPr>
          <w:rFonts w:cs="Arial"/>
          <w:b/>
          <w:bCs/>
          <w:sz w:val="36"/>
          <w:szCs w:val="28"/>
          <w:vertAlign w:val="superscript"/>
          <w:rtl/>
        </w:rPr>
        <w:footnoteReference w:id="6416"/>
      </w:r>
      <w:r w:rsidRPr="00007309">
        <w:rPr>
          <w:rFonts w:cs="Arial"/>
          <w:b/>
          <w:bCs/>
          <w:sz w:val="24"/>
          <w:szCs w:val="24"/>
          <w:rtl/>
        </w:rPr>
        <w:t xml:space="preserve">וּמִנֵּהּ </w:t>
      </w:r>
      <w:r w:rsidRPr="00007309">
        <w:rPr>
          <w:rFonts w:cs="Arial"/>
          <w:b/>
          <w:bCs/>
          <w:sz w:val="36"/>
          <w:szCs w:val="28"/>
          <w:vertAlign w:val="superscript"/>
          <w:rtl/>
        </w:rPr>
        <w:footnoteReference w:id="6417"/>
      </w:r>
      <w:r w:rsidRPr="00007309">
        <w:rPr>
          <w:rFonts w:cs="Arial"/>
          <w:b/>
          <w:bCs/>
          <w:sz w:val="24"/>
          <w:szCs w:val="24"/>
          <w:rtl/>
        </w:rPr>
        <w:t xml:space="preserve">אִתְקְרִיאַת פְּסָק וּמִתַּמָּן פִּסְקֵי דִּינִין. </w:t>
      </w:r>
      <w:r w:rsidRPr="00007309">
        <w:rPr>
          <w:rFonts w:cs="Arial"/>
          <w:b/>
          <w:bCs/>
          <w:sz w:val="36"/>
          <w:szCs w:val="28"/>
          <w:vertAlign w:val="superscript"/>
          <w:rtl/>
        </w:rPr>
        <w:footnoteReference w:id="6418"/>
      </w:r>
      <w:r w:rsidRPr="00007309">
        <w:rPr>
          <w:rFonts w:cs="Arial"/>
          <w:b/>
          <w:bCs/>
          <w:sz w:val="24"/>
          <w:szCs w:val="24"/>
          <w:rtl/>
        </w:rPr>
        <w:t xml:space="preserve">וּמִתַּמָּן לָאוֵי דִּינִין לָא צְרִיכָא. </w:t>
      </w:r>
      <w:r w:rsidRPr="00007309">
        <w:rPr>
          <w:rFonts w:cs="Arial"/>
          <w:b/>
          <w:bCs/>
          <w:sz w:val="36"/>
          <w:szCs w:val="28"/>
          <w:vertAlign w:val="superscript"/>
          <w:rtl/>
        </w:rPr>
        <w:footnoteReference w:id="6419"/>
      </w:r>
      <w:r w:rsidRPr="00007309">
        <w:rPr>
          <w:rFonts w:cs="Arial"/>
          <w:b/>
          <w:bCs/>
          <w:sz w:val="24"/>
          <w:szCs w:val="24"/>
          <w:rtl/>
        </w:rPr>
        <w:t xml:space="preserve">וּבְגִין דָּא אִית לְאֵשֶׁת מוֹדַע לְבַר נָשׁ כָּל מִדָּה וּמִדָּה דְּאִיהִי שְׁאֵלָה וּתְשׁוּבָה </w:t>
      </w:r>
      <w:r w:rsidRPr="00007309">
        <w:rPr>
          <w:rFonts w:cs="Arial"/>
          <w:b/>
          <w:bCs/>
          <w:sz w:val="36"/>
          <w:szCs w:val="28"/>
          <w:vertAlign w:val="superscript"/>
          <w:rtl/>
        </w:rPr>
        <w:footnoteReference w:id="6420"/>
      </w:r>
      <w:r w:rsidRPr="00007309">
        <w:rPr>
          <w:rFonts w:cs="Arial"/>
          <w:b/>
          <w:bCs/>
          <w:sz w:val="24"/>
          <w:szCs w:val="24"/>
          <w:rtl/>
        </w:rPr>
        <w:t xml:space="preserve">דִּיהֵא בָּהּ שׁוֹאֵל וּמֵשִׁיב כַּהֲלָכָה. וְכָל רָז לָא אָנִיס לֵהּ. וְכָל עוּמְקָא דַּהֲלָכָה אִתְגַּלְּיָא לֵהּ. </w:t>
      </w:r>
      <w:r w:rsidRPr="00007309">
        <w:rPr>
          <w:rFonts w:cs="Arial"/>
          <w:b/>
          <w:bCs/>
          <w:sz w:val="36"/>
          <w:szCs w:val="28"/>
          <w:vertAlign w:val="superscript"/>
          <w:rtl/>
        </w:rPr>
        <w:footnoteReference w:id="6421"/>
      </w:r>
      <w:r w:rsidRPr="00007309">
        <w:rPr>
          <w:rFonts w:cs="Arial"/>
          <w:b/>
          <w:bCs/>
          <w:sz w:val="24"/>
          <w:szCs w:val="24"/>
          <w:rtl/>
        </w:rPr>
        <w:t xml:space="preserve">וצָרִיךְ לְאַחֲזָרָא עָלֵהּ דְּלָא יְהֵא בֵּהּ סְפֵיקָא בְּעָלְמָא שְׁאֵלָ"ה אִיהִי מִימִינָא </w:t>
      </w:r>
      <w:r w:rsidRPr="00007309">
        <w:rPr>
          <w:rFonts w:cs="Arial"/>
          <w:b/>
          <w:bCs/>
          <w:sz w:val="36"/>
          <w:szCs w:val="28"/>
          <w:vertAlign w:val="superscript"/>
          <w:rtl/>
        </w:rPr>
        <w:footnoteReference w:id="6422"/>
      </w:r>
      <w:r w:rsidRPr="00007309">
        <w:rPr>
          <w:rFonts w:cs="Arial"/>
          <w:b/>
          <w:bCs/>
          <w:sz w:val="24"/>
          <w:szCs w:val="24"/>
          <w:rtl/>
        </w:rPr>
        <w:t xml:space="preserve">דְּאִיהוּ אֵל, הָאֵל הַגָּדוֹל </w:t>
      </w:r>
      <w:r w:rsidRPr="00007309">
        <w:rPr>
          <w:rFonts w:cs="Arial"/>
          <w:b/>
          <w:bCs/>
          <w:sz w:val="36"/>
          <w:szCs w:val="28"/>
          <w:vertAlign w:val="superscript"/>
          <w:rtl/>
        </w:rPr>
        <w:footnoteReference w:id="6423"/>
      </w:r>
      <w:r w:rsidRPr="00007309">
        <w:rPr>
          <w:rFonts w:cs="Arial"/>
          <w:b/>
          <w:bCs/>
          <w:sz w:val="24"/>
          <w:szCs w:val="24"/>
          <w:rtl/>
        </w:rPr>
        <w:t xml:space="preserve">דְּתַמָּן חָכְמָה. וּמִתַּמָּן שָׁאִיל שְׁלֹמֹה חָכְמְתָא. כַּד אָמַר לֵהּ לְקוּדְשָׁא בְּרִיךְ הוּא </w:t>
      </w:r>
      <w:r w:rsidRPr="00007309">
        <w:rPr>
          <w:rtl/>
        </w:rPr>
        <w:t>(מלכים א, ג)</w:t>
      </w:r>
      <w:r w:rsidRPr="00007309">
        <w:rPr>
          <w:rFonts w:cs="Arial"/>
          <w:b/>
          <w:bCs/>
          <w:sz w:val="24"/>
          <w:szCs w:val="24"/>
          <w:rtl/>
        </w:rPr>
        <w:t xml:space="preserve"> שְׁאַל מָה אֶתֵּן לָךְ. </w:t>
      </w:r>
      <w:r w:rsidRPr="00007309">
        <w:rPr>
          <w:rFonts w:cs="Arial"/>
          <w:b/>
          <w:bCs/>
          <w:sz w:val="36"/>
          <w:szCs w:val="28"/>
          <w:vertAlign w:val="superscript"/>
          <w:rtl/>
        </w:rPr>
        <w:footnoteReference w:id="6424"/>
      </w:r>
      <w:r w:rsidRPr="00007309">
        <w:rPr>
          <w:rFonts w:cs="Arial"/>
          <w:b/>
          <w:bCs/>
          <w:sz w:val="24"/>
          <w:szCs w:val="24"/>
          <w:rtl/>
        </w:rPr>
        <w:t xml:space="preserve">וּמִתַּמָּן תַּנְיָא דִּמְסַיַּע לֵהּ, דְּבֵהּ וְה' נָתַן חָכְמָה לִשְׁלֹמֹה, </w:t>
      </w:r>
      <w:r w:rsidRPr="00007309">
        <w:rPr>
          <w:rFonts w:cs="Arial"/>
          <w:b/>
          <w:bCs/>
          <w:sz w:val="36"/>
          <w:szCs w:val="28"/>
          <w:vertAlign w:val="superscript"/>
          <w:rtl/>
        </w:rPr>
        <w:footnoteReference w:id="6425"/>
      </w:r>
      <w:r w:rsidRPr="00007309">
        <w:rPr>
          <w:rFonts w:cs="Arial"/>
          <w:b/>
          <w:bCs/>
          <w:sz w:val="24"/>
          <w:szCs w:val="24"/>
          <w:rtl/>
        </w:rPr>
        <w:t xml:space="preserve">מַאי תַּנְיָא, דָּא עַמּוּדָא דְּאֶמְצָעִיתָא. </w:t>
      </w:r>
      <w:r w:rsidRPr="00007309">
        <w:rPr>
          <w:rFonts w:cs="Arial"/>
          <w:b/>
          <w:bCs/>
          <w:sz w:val="36"/>
          <w:szCs w:val="28"/>
          <w:vertAlign w:val="superscript"/>
          <w:rtl/>
        </w:rPr>
        <w:footnoteReference w:id="6426"/>
      </w:r>
      <w:r w:rsidRPr="00007309">
        <w:rPr>
          <w:rFonts w:cs="Arial"/>
          <w:b/>
          <w:bCs/>
          <w:sz w:val="24"/>
          <w:szCs w:val="24"/>
          <w:rtl/>
        </w:rPr>
        <w:t xml:space="preserve">וּמִתַּמָּן אִתְקְרִיאַת סִיַּעְתָּא דִּשְׁמַיָּא דְּאִתְּמַר בָּהּ </w:t>
      </w:r>
      <w:r w:rsidRPr="00007309">
        <w:rPr>
          <w:rtl/>
        </w:rPr>
        <w:t>(שם ח)</w:t>
      </w:r>
      <w:r w:rsidRPr="00007309">
        <w:rPr>
          <w:rFonts w:cs="Arial"/>
          <w:b/>
          <w:bCs/>
          <w:sz w:val="24"/>
          <w:szCs w:val="24"/>
          <w:rtl/>
        </w:rPr>
        <w:t xml:space="preserve"> וְאַתָּה תִּשְׁמַע הַשָּׁמַיִם. צְרִיכָא הָא אוֹקִימְנָא לֵהּ מִסִּטְרָא דִּגְבוּרָה תְּיוּבְתָּא אִתְקְרִיאַת מִסִּטְרָא דְּבִינָה, דְּאִם בַּר נָשׁ לָאו מֵבִין הַהֲלָכָה, אֵיךְ יַחֲזִיר לָהּ וּמֵשִׁיב לַשּׁוֹאֵל. פָּסַק הָא אוֹקִימְנָא לֵהּ מִסִּטְרָא דְּדִינָא פְּסַק דִּין. </w:t>
      </w:r>
      <w:r w:rsidRPr="00007309">
        <w:rPr>
          <w:rFonts w:cs="Arial"/>
          <w:b/>
          <w:bCs/>
          <w:sz w:val="36"/>
          <w:szCs w:val="28"/>
          <w:vertAlign w:val="superscript"/>
          <w:rtl/>
        </w:rPr>
        <w:footnoteReference w:id="6427"/>
      </w:r>
      <w:r w:rsidRPr="00007309">
        <w:rPr>
          <w:rFonts w:cs="Arial"/>
          <w:b/>
          <w:bCs/>
          <w:sz w:val="24"/>
          <w:szCs w:val="24"/>
          <w:rtl/>
        </w:rPr>
        <w:t xml:space="preserve">מִשְּׁמַעְתָּא מַשְׁמָעוּת הַהֲלָכָה, מִסִּטְרָא דְּהַהוּא דְּאִתְּמַר בֵּהּ שְׁמַע יִשְׂרָאֵל דְּהַהוּא </w:t>
      </w:r>
      <w:r w:rsidRPr="00007309">
        <w:rPr>
          <w:rFonts w:cs="Arial"/>
          <w:b/>
          <w:bCs/>
          <w:sz w:val="36"/>
          <w:szCs w:val="28"/>
          <w:vertAlign w:val="superscript"/>
          <w:rtl/>
        </w:rPr>
        <w:footnoteReference w:id="6428"/>
      </w:r>
      <w:r w:rsidRPr="00007309">
        <w:rPr>
          <w:rFonts w:cs="Arial"/>
          <w:b/>
          <w:bCs/>
          <w:sz w:val="24"/>
          <w:szCs w:val="24"/>
          <w:rtl/>
        </w:rPr>
        <w:t>דְּאַרְבַּע אִנּוּן תִּקּוּפָן דַּהֲלָכָה דְּאִתְרְמִיזוּ בְּבַר נָשׁ. וְאִנּוּן י' רְאִיָּה. י'ה שְׁמִיעָה. יה'ו רֵיחָא. יהו'ה</w:t>
      </w:r>
      <w:r w:rsidRPr="00007309">
        <w:rPr>
          <w:rFonts w:cs="Arial"/>
          <w:b/>
          <w:bCs/>
          <w:sz w:val="24"/>
          <w:szCs w:val="24"/>
        </w:rPr>
        <w:t xml:space="preserve"> </w:t>
      </w:r>
      <w:r w:rsidRPr="00007309">
        <w:rPr>
          <w:rFonts w:cs="Arial"/>
          <w:b/>
          <w:bCs/>
          <w:sz w:val="24"/>
          <w:szCs w:val="24"/>
          <w:rtl/>
        </w:rPr>
        <w:t xml:space="preserve">דִּבּוּר. וְד' בְּגוּפָא כְּלִילָן מִד' אַתְוָן. לְקָבְלַיְהוּ א' שִׁמּוּשׁ. א"ד תְּנוּעָה. אד"נ מִשּׁוּשׁ. אֲדֹנָ"י הִלּוּךְ. דְּאִנּוּן שִׁמּוּשׁ בַּיָּדַיִם. תְּנוּעָה בְּגוּפָא. מִשּׁוּשׁ בַּבְּרִית. הֲלִיכָה בָּרַגְלַיִן. </w:t>
      </w:r>
      <w:r w:rsidRPr="00007309">
        <w:rPr>
          <w:rFonts w:cs="Arial"/>
          <w:b/>
          <w:bCs/>
          <w:sz w:val="36"/>
          <w:szCs w:val="28"/>
          <w:vertAlign w:val="superscript"/>
          <w:rtl/>
        </w:rPr>
        <w:footnoteReference w:id="6429"/>
      </w:r>
      <w:r w:rsidRPr="00007309">
        <w:rPr>
          <w:rFonts w:cs="Arial"/>
          <w:b/>
          <w:bCs/>
          <w:sz w:val="24"/>
          <w:szCs w:val="24"/>
          <w:rtl/>
        </w:rPr>
        <w:t>אִית דְּאָמְרֵי מִשּׁוּשׁ בַּיָּדַיִם. שִׁמּוּשׁ בַּבְּרִית. וְכֹלָּא קְשׁוֹט</w:t>
      </w:r>
      <w:r w:rsidRPr="00007309">
        <w:rPr>
          <w:rFonts w:cs="Arial"/>
          <w:b/>
          <w:bCs/>
          <w:sz w:val="24"/>
          <w:szCs w:val="24"/>
        </w:rPr>
        <w:t>:</w:t>
      </w:r>
    </w:p>
    <w:p w:rsidR="00007309" w:rsidRPr="00007309" w:rsidRDefault="00007309" w:rsidP="00007309">
      <w:pPr>
        <w:jc w:val="both"/>
        <w:rPr>
          <w:rFonts w:cs="Arial"/>
          <w:b/>
          <w:bCs/>
          <w:sz w:val="24"/>
          <w:szCs w:val="24"/>
        </w:rPr>
      </w:pPr>
      <w:r w:rsidRPr="00007309">
        <w:rPr>
          <w:rFonts w:cs="Arial"/>
          <w:b/>
          <w:bCs/>
          <w:sz w:val="24"/>
          <w:szCs w:val="24"/>
          <w:rtl/>
        </w:rPr>
        <w:fldChar w:fldCharType="begin"/>
      </w:r>
      <w:r w:rsidRPr="00007309">
        <w:rPr>
          <w:rFonts w:cs="Arial"/>
          <w:b/>
          <w:bCs/>
          <w:sz w:val="24"/>
          <w:szCs w:val="24"/>
          <w:rtl/>
        </w:rPr>
        <w:instrText xml:space="preserve"> </w:instrText>
      </w:r>
      <w:r w:rsidRPr="00007309">
        <w:rPr>
          <w:rFonts w:cs="Arial"/>
          <w:b/>
          <w:bCs/>
          <w:sz w:val="24"/>
          <w:szCs w:val="24"/>
        </w:rPr>
        <w:instrText>REF</w:instrText>
      </w:r>
      <w:r w:rsidRPr="00007309">
        <w:rPr>
          <w:rFonts w:cs="Arial"/>
          <w:b/>
          <w:bCs/>
          <w:sz w:val="24"/>
          <w:szCs w:val="24"/>
          <w:rtl/>
        </w:rPr>
        <w:instrText xml:space="preserve"> כאן_בלימוד \</w:instrText>
      </w:r>
      <w:r w:rsidRPr="00007309">
        <w:rPr>
          <w:rFonts w:cs="Arial"/>
          <w:b/>
          <w:bCs/>
          <w:sz w:val="24"/>
          <w:szCs w:val="24"/>
        </w:rPr>
        <w:instrText>h</w:instrText>
      </w:r>
      <w:r w:rsidRPr="00007309">
        <w:rPr>
          <w:rFonts w:cs="Arial"/>
          <w:b/>
          <w:bCs/>
          <w:sz w:val="24"/>
          <w:szCs w:val="24"/>
          <w:rtl/>
        </w:rPr>
        <w:instrText xml:space="preserve"> </w:instrText>
      </w:r>
      <w:r w:rsidRPr="00007309">
        <w:rPr>
          <w:rFonts w:cs="Arial"/>
          <w:b/>
          <w:bCs/>
          <w:sz w:val="24"/>
          <w:szCs w:val="24"/>
          <w:rtl/>
        </w:rPr>
      </w:r>
      <w:r w:rsidRPr="00007309">
        <w:rPr>
          <w:rFonts w:cs="Arial"/>
          <w:b/>
          <w:bCs/>
          <w:sz w:val="24"/>
          <w:szCs w:val="24"/>
          <w:rtl/>
        </w:rPr>
        <w:fldChar w:fldCharType="end"/>
      </w:r>
      <w:r w:rsidRPr="00007309">
        <w:rPr>
          <w:rFonts w:cs="Arial"/>
          <w:b/>
          <w:bCs/>
          <w:sz w:val="24"/>
          <w:szCs w:val="24"/>
          <w:rtl/>
        </w:rPr>
        <w:fldChar w:fldCharType="begin"/>
      </w:r>
      <w:r w:rsidRPr="00007309">
        <w:rPr>
          <w:rFonts w:cs="Arial"/>
          <w:b/>
          <w:bCs/>
          <w:sz w:val="24"/>
          <w:szCs w:val="24"/>
          <w:rtl/>
        </w:rPr>
        <w:instrText xml:space="preserve"> </w:instrText>
      </w:r>
      <w:r w:rsidRPr="00007309">
        <w:rPr>
          <w:rFonts w:cs="Arial"/>
          <w:b/>
          <w:bCs/>
          <w:sz w:val="24"/>
          <w:szCs w:val="24"/>
        </w:rPr>
        <w:instrText>REF</w:instrText>
      </w:r>
      <w:r w:rsidRPr="00007309">
        <w:rPr>
          <w:rFonts w:cs="Arial"/>
          <w:b/>
          <w:bCs/>
          <w:sz w:val="24"/>
          <w:szCs w:val="24"/>
          <w:rtl/>
        </w:rPr>
        <w:instrText xml:space="preserve"> כאן_בלימוד \</w:instrText>
      </w:r>
      <w:r w:rsidRPr="00007309">
        <w:rPr>
          <w:rFonts w:cs="Arial"/>
          <w:b/>
          <w:bCs/>
          <w:sz w:val="24"/>
          <w:szCs w:val="24"/>
        </w:rPr>
        <w:instrText>h</w:instrText>
      </w:r>
      <w:r w:rsidRPr="00007309">
        <w:rPr>
          <w:rFonts w:cs="Arial"/>
          <w:b/>
          <w:bCs/>
          <w:sz w:val="24"/>
          <w:szCs w:val="24"/>
          <w:rtl/>
        </w:rPr>
        <w:instrText xml:space="preserve"> </w:instrText>
      </w:r>
      <w:r w:rsidRPr="00007309">
        <w:rPr>
          <w:rFonts w:cs="Arial"/>
          <w:b/>
          <w:bCs/>
          <w:sz w:val="24"/>
          <w:szCs w:val="24"/>
          <w:rtl/>
        </w:rPr>
      </w:r>
      <w:r w:rsidRPr="00007309">
        <w:rPr>
          <w:rFonts w:cs="Arial"/>
          <w:b/>
          <w:bCs/>
          <w:sz w:val="24"/>
          <w:szCs w:val="24"/>
          <w:rtl/>
        </w:rPr>
        <w:fldChar w:fldCharType="end"/>
      </w:r>
      <w:r w:rsidRPr="00007309">
        <w:rPr>
          <w:rFonts w:cs="Arial"/>
          <w:b/>
          <w:bCs/>
          <w:sz w:val="24"/>
          <w:szCs w:val="24"/>
          <w:rtl/>
        </w:rPr>
        <w:fldChar w:fldCharType="begin"/>
      </w:r>
      <w:r w:rsidRPr="00007309">
        <w:rPr>
          <w:rFonts w:cs="Arial"/>
          <w:b/>
          <w:bCs/>
          <w:sz w:val="24"/>
          <w:szCs w:val="24"/>
          <w:rtl/>
        </w:rPr>
        <w:instrText xml:space="preserve"> </w:instrText>
      </w:r>
      <w:r w:rsidRPr="00007309">
        <w:rPr>
          <w:rFonts w:cs="Arial"/>
          <w:b/>
          <w:bCs/>
          <w:sz w:val="24"/>
          <w:szCs w:val="24"/>
        </w:rPr>
        <w:instrText>REF</w:instrText>
      </w:r>
      <w:r w:rsidRPr="00007309">
        <w:rPr>
          <w:rFonts w:cs="Arial"/>
          <w:b/>
          <w:bCs/>
          <w:sz w:val="24"/>
          <w:szCs w:val="24"/>
          <w:rtl/>
        </w:rPr>
        <w:instrText xml:space="preserve"> כאן_בלימוד \</w:instrText>
      </w:r>
      <w:r w:rsidRPr="00007309">
        <w:rPr>
          <w:rFonts w:cs="Arial"/>
          <w:b/>
          <w:bCs/>
          <w:sz w:val="24"/>
          <w:szCs w:val="24"/>
        </w:rPr>
        <w:instrText>h</w:instrText>
      </w:r>
      <w:r w:rsidRPr="00007309">
        <w:rPr>
          <w:rFonts w:cs="Arial"/>
          <w:b/>
          <w:bCs/>
          <w:sz w:val="24"/>
          <w:szCs w:val="24"/>
          <w:rtl/>
        </w:rPr>
        <w:instrText xml:space="preserve"> </w:instrText>
      </w:r>
      <w:r w:rsidRPr="00007309">
        <w:rPr>
          <w:rFonts w:cs="Arial"/>
          <w:b/>
          <w:bCs/>
          <w:sz w:val="24"/>
          <w:szCs w:val="24"/>
          <w:rtl/>
        </w:rPr>
      </w:r>
      <w:r w:rsidRPr="00007309">
        <w:rPr>
          <w:rFonts w:cs="Arial"/>
          <w:b/>
          <w:bCs/>
          <w:sz w:val="24"/>
          <w:szCs w:val="24"/>
          <w:rtl/>
        </w:rPr>
        <w:fldChar w:fldCharType="end"/>
      </w:r>
      <w:r w:rsidRPr="00007309">
        <w:rPr>
          <w:rFonts w:cs="Arial"/>
          <w:b/>
          <w:bCs/>
          <w:sz w:val="24"/>
          <w:szCs w:val="24"/>
          <w:rtl/>
        </w:rPr>
        <w:fldChar w:fldCharType="begin"/>
      </w:r>
      <w:r w:rsidRPr="00007309">
        <w:rPr>
          <w:rFonts w:cs="Arial"/>
          <w:b/>
          <w:bCs/>
          <w:sz w:val="24"/>
          <w:szCs w:val="24"/>
          <w:rtl/>
        </w:rPr>
        <w:instrText xml:space="preserve"> </w:instrText>
      </w:r>
      <w:r w:rsidRPr="00007309">
        <w:rPr>
          <w:rFonts w:cs="Arial"/>
          <w:b/>
          <w:bCs/>
          <w:sz w:val="24"/>
          <w:szCs w:val="24"/>
        </w:rPr>
        <w:instrText>REF</w:instrText>
      </w:r>
      <w:r w:rsidRPr="00007309">
        <w:rPr>
          <w:rFonts w:cs="Arial"/>
          <w:b/>
          <w:bCs/>
          <w:sz w:val="24"/>
          <w:szCs w:val="24"/>
          <w:rtl/>
        </w:rPr>
        <w:instrText xml:space="preserve"> כאן_בלימוד \</w:instrText>
      </w:r>
      <w:r w:rsidRPr="00007309">
        <w:rPr>
          <w:rFonts w:cs="Arial"/>
          <w:b/>
          <w:bCs/>
          <w:sz w:val="24"/>
          <w:szCs w:val="24"/>
        </w:rPr>
        <w:instrText>h</w:instrText>
      </w:r>
      <w:r w:rsidRPr="00007309">
        <w:rPr>
          <w:rFonts w:cs="Arial"/>
          <w:b/>
          <w:bCs/>
          <w:sz w:val="24"/>
          <w:szCs w:val="24"/>
          <w:rtl/>
        </w:rPr>
        <w:instrText xml:space="preserve"> </w:instrText>
      </w:r>
      <w:r w:rsidRPr="00007309">
        <w:rPr>
          <w:rFonts w:cs="Arial"/>
          <w:b/>
          <w:bCs/>
          <w:sz w:val="24"/>
          <w:szCs w:val="24"/>
          <w:rtl/>
        </w:rPr>
      </w:r>
      <w:r w:rsidRPr="00007309">
        <w:rPr>
          <w:rFonts w:cs="Arial"/>
          <w:b/>
          <w:bCs/>
          <w:sz w:val="24"/>
          <w:szCs w:val="24"/>
          <w:rtl/>
        </w:rPr>
        <w:fldChar w:fldCharType="end"/>
      </w:r>
      <w:r w:rsidRPr="00007309">
        <w:rPr>
          <w:rFonts w:cs="Arial"/>
          <w:b/>
          <w:bCs/>
          <w:sz w:val="36"/>
          <w:szCs w:val="28"/>
          <w:vertAlign w:val="superscript"/>
          <w:rtl/>
        </w:rPr>
        <w:footnoteReference w:id="6430"/>
      </w:r>
      <w:r w:rsidRPr="00007309">
        <w:rPr>
          <w:rFonts w:cs="Arial"/>
          <w:b/>
          <w:bCs/>
          <w:sz w:val="24"/>
          <w:szCs w:val="24"/>
          <w:rtl/>
        </w:rPr>
        <w:t xml:space="preserve">רְאִיָּה מִסִּטְרָא דְּאַרְיֵה, דְּאִיהוּ לִימִינָא דְּאִתְּמַר בֵּהּ </w:t>
      </w:r>
      <w:r w:rsidRPr="00007309">
        <w:rPr>
          <w:rtl/>
        </w:rPr>
        <w:t>(יחזקאל א)</w:t>
      </w:r>
      <w:r w:rsidRPr="00007309">
        <w:rPr>
          <w:rFonts w:cs="Arial"/>
          <w:b/>
          <w:bCs/>
          <w:sz w:val="24"/>
          <w:szCs w:val="24"/>
          <w:rtl/>
        </w:rPr>
        <w:t xml:space="preserve"> וּפְנֵי אַרְיֵה אֶל הַיָּמִין לְאַרְבַּעְתָּם. רְאִיָּה אַרְיֵה </w:t>
      </w:r>
      <w:r w:rsidRPr="00007309">
        <w:rPr>
          <w:rFonts w:cs="Arial"/>
          <w:b/>
          <w:bCs/>
          <w:sz w:val="36"/>
          <w:szCs w:val="28"/>
          <w:vertAlign w:val="superscript"/>
          <w:rtl/>
        </w:rPr>
        <w:footnoteReference w:id="6431"/>
      </w:r>
      <w:r w:rsidRPr="00007309">
        <w:rPr>
          <w:rFonts w:cs="Arial"/>
          <w:b/>
          <w:bCs/>
          <w:sz w:val="24"/>
          <w:szCs w:val="24"/>
          <w:rtl/>
        </w:rPr>
        <w:t xml:space="preserve">תּוֹסֶפֶת י' תִּנְיָנָא חָכְמָה. הָרוֹצֶה לְהַחְכִּים יַדְרִים. </w:t>
      </w:r>
      <w:r w:rsidRPr="00007309">
        <w:rPr>
          <w:rFonts w:cs="Arial"/>
          <w:b/>
          <w:bCs/>
          <w:sz w:val="36"/>
          <w:szCs w:val="28"/>
          <w:vertAlign w:val="superscript"/>
          <w:rtl/>
        </w:rPr>
        <w:footnoteReference w:id="6432"/>
      </w:r>
      <w:r w:rsidRPr="00007309">
        <w:rPr>
          <w:rFonts w:cs="Arial"/>
          <w:b/>
          <w:bCs/>
          <w:sz w:val="24"/>
          <w:szCs w:val="24"/>
          <w:rtl/>
        </w:rPr>
        <w:t xml:space="preserve">וּמִתַּמָּן רְאוּבֵן, </w:t>
      </w:r>
      <w:r w:rsidRPr="00007309">
        <w:rPr>
          <w:rFonts w:cs="Arial"/>
          <w:b/>
          <w:bCs/>
          <w:sz w:val="36"/>
          <w:szCs w:val="28"/>
          <w:vertAlign w:val="superscript"/>
          <w:rtl/>
        </w:rPr>
        <w:footnoteReference w:id="6433"/>
      </w:r>
      <w:r w:rsidRPr="00007309">
        <w:rPr>
          <w:rFonts w:cs="Arial"/>
          <w:b/>
          <w:bCs/>
          <w:sz w:val="24"/>
          <w:szCs w:val="24"/>
          <w:rtl/>
        </w:rPr>
        <w:t xml:space="preserve">או'ר ב'ן </w:t>
      </w:r>
      <w:r w:rsidRPr="00007309">
        <w:rPr>
          <w:rFonts w:cs="Arial"/>
          <w:b/>
          <w:bCs/>
          <w:sz w:val="36"/>
          <w:szCs w:val="28"/>
          <w:vertAlign w:val="superscript"/>
          <w:rtl/>
        </w:rPr>
        <w:footnoteReference w:id="6434"/>
      </w:r>
      <w:r w:rsidRPr="00007309">
        <w:rPr>
          <w:rFonts w:cs="Arial"/>
          <w:b/>
          <w:bCs/>
          <w:sz w:val="24"/>
          <w:szCs w:val="24"/>
          <w:rtl/>
        </w:rPr>
        <w:t>אוֹר דְּיוֹמָא קַדְמָאָה</w:t>
      </w:r>
      <w:r w:rsidRPr="00007309">
        <w:rPr>
          <w:rFonts w:cs="Arial"/>
          <w:b/>
          <w:bCs/>
          <w:sz w:val="24"/>
          <w:szCs w:val="24"/>
        </w:rPr>
        <w:t>:</w:t>
      </w:r>
    </w:p>
    <w:p w:rsidR="00007309" w:rsidRPr="00007309" w:rsidRDefault="00007309" w:rsidP="00007309">
      <w:pPr>
        <w:keepNext/>
        <w:outlineLvl w:val="1"/>
        <w:rPr>
          <w:rFonts w:ascii="Cambria" w:hAnsi="Cambria" w:cs="Times New Roman"/>
          <w:b/>
          <w:bCs/>
          <w:i/>
          <w:iCs/>
          <w:sz w:val="28"/>
          <w:szCs w:val="28"/>
          <w:rtl/>
        </w:rPr>
      </w:pPr>
      <w:r w:rsidRPr="00007309">
        <w:rPr>
          <w:rFonts w:ascii="Cambria" w:hAnsi="Cambria" w:cs="Times New Roman" w:hint="cs"/>
          <w:b/>
          <w:bCs/>
          <w:i/>
          <w:iCs/>
          <w:sz w:val="28"/>
          <w:szCs w:val="28"/>
          <w:rtl/>
        </w:rPr>
        <w:t>[דף עה ע"ד]</w:t>
      </w:r>
    </w:p>
    <w:p w:rsidR="00007309" w:rsidRPr="00007309" w:rsidRDefault="00007309" w:rsidP="00007309">
      <w:pPr>
        <w:keepNext/>
        <w:spacing w:before="240" w:after="60"/>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 xml:space="preserve"> [וילנא י ע"א]</w:t>
      </w:r>
    </w:p>
    <w:p w:rsidR="00007309" w:rsidRPr="00007309" w:rsidRDefault="00007309" w:rsidP="00007309">
      <w:pPr>
        <w:jc w:val="both"/>
        <w:rPr>
          <w:rFonts w:cs="Arial"/>
          <w:b/>
          <w:bCs/>
          <w:sz w:val="24"/>
          <w:szCs w:val="24"/>
        </w:rPr>
      </w:pPr>
      <w:r w:rsidRPr="00007309">
        <w:rPr>
          <w:rFonts w:ascii="Cambria" w:hAnsi="Cambria" w:cs="Times New Roman" w:hint="cs"/>
          <w:b/>
          <w:bCs/>
          <w:i/>
          <w:iCs/>
          <w:color w:val="4F81BD"/>
          <w:sz w:val="24"/>
          <w:szCs w:val="24"/>
          <w:rtl/>
        </w:rPr>
        <w:t xml:space="preserve">(וילנא י ע"א) </w:t>
      </w:r>
      <w:r w:rsidRPr="00007309">
        <w:rPr>
          <w:rFonts w:cs="Arial"/>
          <w:b/>
          <w:bCs/>
          <w:sz w:val="24"/>
          <w:szCs w:val="24"/>
          <w:rtl/>
        </w:rPr>
        <w:t xml:space="preserve">שְׁמִיעָה בְּשׁוֹר גְּבוּרָא דְּתַמָּן בִּינָה </w:t>
      </w:r>
      <w:r w:rsidRPr="00007309">
        <w:rPr>
          <w:rFonts w:cs="Arial"/>
          <w:b/>
          <w:bCs/>
          <w:sz w:val="36"/>
          <w:szCs w:val="28"/>
          <w:vertAlign w:val="superscript"/>
          <w:rtl/>
        </w:rPr>
        <w:footnoteReference w:id="6435"/>
      </w:r>
      <w:r w:rsidRPr="00007309">
        <w:rPr>
          <w:rFonts w:cs="Arial"/>
          <w:b/>
          <w:bCs/>
          <w:sz w:val="24"/>
          <w:szCs w:val="24"/>
          <w:rtl/>
        </w:rPr>
        <w:t>דְּאִיהוּ שְׁמִיעָה</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6436"/>
      </w:r>
      <w:r w:rsidRPr="00007309">
        <w:rPr>
          <w:rFonts w:cs="Arial"/>
          <w:b/>
          <w:bCs/>
          <w:sz w:val="24"/>
          <w:szCs w:val="24"/>
          <w:rtl/>
        </w:rPr>
        <w:t>בַּלַיְלָה</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6437"/>
      </w:r>
      <w:r w:rsidRPr="00007309">
        <w:rPr>
          <w:rFonts w:cs="Arial"/>
          <w:b/>
          <w:bCs/>
          <w:sz w:val="24"/>
          <w:szCs w:val="24"/>
          <w:rtl/>
        </w:rPr>
        <w:t xml:space="preserve">חַמְשִׁין אַתְוָן דִּקְרִיאַת שְׁמַע. </w:t>
      </w:r>
      <w:r w:rsidRPr="00007309">
        <w:rPr>
          <w:rFonts w:cs="Arial"/>
          <w:b/>
          <w:bCs/>
          <w:sz w:val="36"/>
          <w:szCs w:val="28"/>
          <w:vertAlign w:val="superscript"/>
          <w:rtl/>
        </w:rPr>
        <w:footnoteReference w:id="6438"/>
      </w:r>
      <w:r w:rsidRPr="00007309">
        <w:rPr>
          <w:rFonts w:cs="Arial"/>
          <w:b/>
          <w:bCs/>
          <w:sz w:val="24"/>
          <w:szCs w:val="24"/>
          <w:rtl/>
        </w:rPr>
        <w:t xml:space="preserve">וּבְגִין דָּא תַּקִּינוּ בֵּהּ קְרִיאַת שְׁמַע דְּשַׁחֲרִית וְעַרְבִית. </w:t>
      </w:r>
      <w:r w:rsidRPr="00007309">
        <w:rPr>
          <w:rFonts w:cs="Arial"/>
          <w:b/>
          <w:bCs/>
          <w:sz w:val="36"/>
          <w:szCs w:val="28"/>
          <w:vertAlign w:val="superscript"/>
          <w:rtl/>
        </w:rPr>
        <w:footnoteReference w:id="6439"/>
      </w:r>
      <w:r w:rsidRPr="00007309">
        <w:rPr>
          <w:rFonts w:cs="Arial"/>
          <w:b/>
          <w:bCs/>
          <w:sz w:val="24"/>
          <w:szCs w:val="24"/>
          <w:rtl/>
        </w:rPr>
        <w:t xml:space="preserve">וּבְגִינָהּ אָמַר הַנָּבִיא </w:t>
      </w:r>
      <w:r w:rsidRPr="00007309">
        <w:rPr>
          <w:rtl/>
        </w:rPr>
        <w:t>(חב</w:t>
      </w:r>
      <w:r w:rsidRPr="00007309">
        <w:rPr>
          <w:rFonts w:hint="cs"/>
          <w:rtl/>
        </w:rPr>
        <w:t>ק</w:t>
      </w:r>
      <w:r w:rsidRPr="00007309">
        <w:rPr>
          <w:rtl/>
        </w:rPr>
        <w:t>וק ג)</w:t>
      </w:r>
      <w:r w:rsidRPr="00007309">
        <w:rPr>
          <w:rFonts w:cs="Arial"/>
          <w:b/>
          <w:bCs/>
          <w:sz w:val="24"/>
          <w:szCs w:val="24"/>
          <w:rtl/>
        </w:rPr>
        <w:t xml:space="preserve"> ה' שָׁמַעְתִּי שִׁמְעֲךָ יָרֵאתִי וְאָמְרוּ מָארֵי מַתְנִיתִין הֲבִינוֹתִי מִבְּעֵי לֵהּ. </w:t>
      </w:r>
      <w:r w:rsidRPr="00007309">
        <w:rPr>
          <w:rFonts w:cs="Arial"/>
          <w:b/>
          <w:bCs/>
          <w:sz w:val="36"/>
          <w:szCs w:val="28"/>
          <w:vertAlign w:val="superscript"/>
          <w:rtl/>
        </w:rPr>
        <w:footnoteReference w:id="6440"/>
      </w:r>
      <w:r w:rsidRPr="00007309">
        <w:rPr>
          <w:rFonts w:cs="Arial"/>
          <w:b/>
          <w:bCs/>
          <w:sz w:val="24"/>
          <w:szCs w:val="24"/>
          <w:rtl/>
        </w:rPr>
        <w:t>וּבְגִינָהּ אָמַר</w:t>
      </w:r>
      <w:r w:rsidRPr="00007309">
        <w:rPr>
          <w:rtl/>
        </w:rPr>
        <w:t xml:space="preserve"> (ישעיה לז)</w:t>
      </w:r>
      <w:r w:rsidRPr="00007309">
        <w:rPr>
          <w:rFonts w:cs="Arial"/>
          <w:b/>
          <w:bCs/>
          <w:sz w:val="24"/>
          <w:szCs w:val="24"/>
          <w:rtl/>
        </w:rPr>
        <w:t xml:space="preserve"> הַטֵה ה' אָזְנְךָ וּשְׁמַע. וּמִסִּטְרָא דְּחֶסֶד כִּי עַיִ"ן בְּעַיִ"ן יִרְאוּ דְּאִיהוּ ע"ב חֶסֶד. אֲבָל מִסִּטְרָא דִּגְבוּרָא שָׁמַעְתִּי שִׁמְעֲךָ יָרֵאתִי </w:t>
      </w:r>
      <w:r w:rsidRPr="00007309">
        <w:rPr>
          <w:rFonts w:cs="Arial"/>
          <w:b/>
          <w:bCs/>
          <w:sz w:val="36"/>
          <w:szCs w:val="28"/>
          <w:vertAlign w:val="superscript"/>
          <w:rtl/>
        </w:rPr>
        <w:footnoteReference w:id="6441"/>
      </w:r>
      <w:r w:rsidRPr="00007309">
        <w:rPr>
          <w:rFonts w:cs="Arial"/>
          <w:b/>
          <w:bCs/>
          <w:sz w:val="24"/>
          <w:szCs w:val="24"/>
          <w:rtl/>
        </w:rPr>
        <w:t xml:space="preserve">דְּתַמָּן יִרְאָה דְּמִתַּמָּן אִיהִי שְׁכִינְתָּא תַּתָּאָה מִשְּׁמַעְתָּא, </w:t>
      </w:r>
      <w:r w:rsidRPr="00007309">
        <w:rPr>
          <w:rFonts w:ascii="Cambria" w:hAnsi="Cambria" w:cs="Times New Roman" w:hint="cs"/>
          <w:b/>
          <w:bCs/>
          <w:i/>
          <w:iCs/>
          <w:color w:val="4F81BD"/>
          <w:sz w:val="24"/>
          <w:szCs w:val="24"/>
          <w:rtl/>
        </w:rPr>
        <w:t xml:space="preserve">(עה ע"ד) </w:t>
      </w:r>
      <w:r w:rsidRPr="00007309">
        <w:rPr>
          <w:rFonts w:cs="Arial"/>
          <w:b/>
          <w:bCs/>
          <w:sz w:val="24"/>
          <w:szCs w:val="24"/>
          <w:rtl/>
        </w:rPr>
        <w:t>וּמִתַּמָּן שַׁמְעִין</w:t>
      </w:r>
      <w:r w:rsidRPr="00007309">
        <w:rPr>
          <w:rFonts w:cs="Arial"/>
          <w:b/>
          <w:bCs/>
          <w:sz w:val="24"/>
          <w:szCs w:val="24"/>
        </w:rPr>
        <w:t>:</w:t>
      </w:r>
    </w:p>
    <w:p w:rsidR="00007309" w:rsidRPr="00007309" w:rsidRDefault="00007309" w:rsidP="00007309">
      <w:pPr>
        <w:jc w:val="both"/>
        <w:rPr>
          <w:rFonts w:cs="Arial"/>
          <w:b/>
          <w:bCs/>
          <w:sz w:val="24"/>
          <w:szCs w:val="24"/>
        </w:rPr>
      </w:pPr>
      <w:r w:rsidRPr="00007309">
        <w:rPr>
          <w:rFonts w:cs="Arial"/>
          <w:b/>
          <w:bCs/>
          <w:sz w:val="24"/>
          <w:szCs w:val="24"/>
          <w:rtl/>
        </w:rPr>
        <w:t xml:space="preserve">רֵיחָא </w:t>
      </w:r>
      <w:r w:rsidRPr="00007309">
        <w:rPr>
          <w:rtl/>
        </w:rPr>
        <w:t>(יחזקאל א)</w:t>
      </w:r>
      <w:r w:rsidRPr="00007309">
        <w:rPr>
          <w:rFonts w:cs="Arial"/>
          <w:b/>
          <w:bCs/>
          <w:sz w:val="24"/>
          <w:szCs w:val="24"/>
          <w:rtl/>
        </w:rPr>
        <w:t xml:space="preserve"> וּפְנֵי נֶשֶׁר לְאַרְבַּעְתָּן. </w:t>
      </w:r>
      <w:r w:rsidRPr="00007309">
        <w:rPr>
          <w:rFonts w:cs="Arial"/>
          <w:b/>
          <w:bCs/>
          <w:sz w:val="36"/>
          <w:szCs w:val="28"/>
          <w:vertAlign w:val="superscript"/>
          <w:rtl/>
        </w:rPr>
        <w:footnoteReference w:id="6442"/>
      </w:r>
      <w:r w:rsidRPr="00007309">
        <w:rPr>
          <w:rFonts w:cs="Arial"/>
          <w:b/>
          <w:bCs/>
          <w:sz w:val="24"/>
          <w:szCs w:val="24"/>
          <w:rtl/>
        </w:rPr>
        <w:t xml:space="preserve">וּבֵהּ אִיהִי </w:t>
      </w:r>
      <w:r w:rsidRPr="00007309">
        <w:rPr>
          <w:rFonts w:cs="Arial"/>
          <w:b/>
          <w:bCs/>
          <w:sz w:val="36"/>
          <w:szCs w:val="28"/>
          <w:vertAlign w:val="superscript"/>
          <w:rtl/>
        </w:rPr>
        <w:footnoteReference w:id="6443"/>
      </w:r>
      <w:r w:rsidRPr="00007309">
        <w:rPr>
          <w:rFonts w:cs="Arial"/>
          <w:b/>
          <w:bCs/>
          <w:sz w:val="24"/>
          <w:szCs w:val="24"/>
          <w:rtl/>
        </w:rPr>
        <w:t xml:space="preserve">פַּרְחָא נִשְׁרָא, וּמִתַּמָּן אִתְקְרִיאַת שְׁכִינְתָּא נִשְׁרָא. הָדָא הוּא דִּכְתִיב </w:t>
      </w:r>
      <w:r w:rsidRPr="00007309">
        <w:rPr>
          <w:rtl/>
        </w:rPr>
        <w:t>(משלי ל)</w:t>
      </w:r>
      <w:r w:rsidRPr="00007309">
        <w:rPr>
          <w:rFonts w:cs="Arial"/>
          <w:b/>
          <w:bCs/>
          <w:sz w:val="24"/>
          <w:szCs w:val="24"/>
          <w:rtl/>
        </w:rPr>
        <w:t xml:space="preserve"> דֶּרֶךְ הַנֶּשֶׁר </w:t>
      </w:r>
      <w:r w:rsidRPr="00007309">
        <w:rPr>
          <w:rFonts w:cs="Arial"/>
          <w:b/>
          <w:bCs/>
          <w:sz w:val="36"/>
          <w:szCs w:val="28"/>
          <w:vertAlign w:val="superscript"/>
          <w:rtl/>
        </w:rPr>
        <w:footnoteReference w:id="6444"/>
      </w:r>
      <w:r w:rsidRPr="00007309">
        <w:rPr>
          <w:rFonts w:cs="Arial"/>
          <w:b/>
          <w:bCs/>
          <w:sz w:val="24"/>
          <w:szCs w:val="24"/>
          <w:rtl/>
        </w:rPr>
        <w:t>בַּשָּׁמַיִם. וּמִתַּמָּן לֵוִ"י</w:t>
      </w:r>
      <w:r w:rsidRPr="00007309">
        <w:rPr>
          <w:rFonts w:cs="Arial" w:hint="cs"/>
          <w:b/>
          <w:bCs/>
          <w:sz w:val="24"/>
          <w:szCs w:val="24"/>
          <w:rtl/>
        </w:rPr>
        <w:t>,</w:t>
      </w:r>
      <w:r w:rsidRPr="00007309">
        <w:rPr>
          <w:rFonts w:cs="Arial"/>
          <w:b/>
          <w:bCs/>
          <w:sz w:val="24"/>
          <w:szCs w:val="24"/>
          <w:rtl/>
        </w:rPr>
        <w:t xml:space="preserve"> לְוִיָּה</w:t>
      </w:r>
      <w:r w:rsidRPr="00007309">
        <w:rPr>
          <w:rFonts w:cs="Arial" w:hint="cs"/>
          <w:b/>
          <w:bCs/>
          <w:sz w:val="24"/>
          <w:szCs w:val="24"/>
          <w:rtl/>
        </w:rPr>
        <w:t>,</w:t>
      </w:r>
      <w:r w:rsidRPr="00007309">
        <w:rPr>
          <w:rFonts w:cs="Arial"/>
          <w:b/>
          <w:bCs/>
          <w:sz w:val="24"/>
          <w:szCs w:val="24"/>
          <w:rtl/>
        </w:rPr>
        <w:t xml:space="preserve"> דִּימִינָא וּשְׂמָאלָא חִבּוּרָא דְּתַרְוַיְהוּ</w:t>
      </w:r>
      <w:r w:rsidRPr="00007309">
        <w:rPr>
          <w:rFonts w:cs="Arial"/>
          <w:b/>
          <w:bCs/>
          <w:sz w:val="24"/>
          <w:szCs w:val="24"/>
        </w:rPr>
        <w:t>:</w:t>
      </w:r>
    </w:p>
    <w:p w:rsidR="00007309" w:rsidRPr="00007309" w:rsidRDefault="00007309" w:rsidP="00007309">
      <w:pPr>
        <w:jc w:val="both"/>
        <w:rPr>
          <w:rFonts w:cs="Arial"/>
          <w:b/>
          <w:bCs/>
          <w:sz w:val="24"/>
          <w:szCs w:val="24"/>
        </w:rPr>
      </w:pPr>
      <w:r w:rsidRPr="00007309">
        <w:rPr>
          <w:rFonts w:cs="Arial"/>
          <w:b/>
          <w:bCs/>
          <w:sz w:val="36"/>
          <w:szCs w:val="28"/>
          <w:vertAlign w:val="superscript"/>
          <w:rtl/>
        </w:rPr>
        <w:footnoteReference w:id="6445"/>
      </w:r>
      <w:r w:rsidRPr="00007309">
        <w:rPr>
          <w:rFonts w:cs="Arial"/>
          <w:b/>
          <w:bCs/>
          <w:sz w:val="24"/>
          <w:szCs w:val="24"/>
          <w:rtl/>
        </w:rPr>
        <w:t xml:space="preserve">דִּבּוּר </w:t>
      </w:r>
      <w:r w:rsidRPr="00007309">
        <w:rPr>
          <w:rtl/>
        </w:rPr>
        <w:t>(יחזקאל א)</w:t>
      </w:r>
      <w:r w:rsidRPr="00007309">
        <w:rPr>
          <w:rFonts w:cs="Arial"/>
          <w:b/>
          <w:bCs/>
          <w:sz w:val="24"/>
          <w:szCs w:val="24"/>
          <w:rtl/>
        </w:rPr>
        <w:t xml:space="preserve"> וּדְמוּת פְּנֵיהֶם פְּנֵי אָדָם</w:t>
      </w:r>
      <w:r w:rsidRPr="00007309">
        <w:rPr>
          <w:rFonts w:cs="Arial" w:hint="cs"/>
          <w:b/>
          <w:bCs/>
          <w:sz w:val="24"/>
          <w:szCs w:val="24"/>
          <w:rtl/>
        </w:rPr>
        <w:t>,</w:t>
      </w:r>
      <w:r w:rsidRPr="00007309">
        <w:rPr>
          <w:rFonts w:cs="Arial"/>
          <w:b/>
          <w:bCs/>
          <w:sz w:val="24"/>
          <w:szCs w:val="24"/>
          <w:rtl/>
        </w:rPr>
        <w:t xml:space="preserve"> וִיהוּדָה </w:t>
      </w:r>
      <w:r w:rsidRPr="00007309">
        <w:rPr>
          <w:rFonts w:cs="Arial"/>
          <w:b/>
          <w:bCs/>
          <w:sz w:val="36"/>
          <w:szCs w:val="28"/>
          <w:vertAlign w:val="superscript"/>
          <w:rtl/>
        </w:rPr>
        <w:footnoteReference w:id="6446"/>
      </w:r>
      <w:r w:rsidRPr="00007309">
        <w:rPr>
          <w:rFonts w:cs="Arial"/>
          <w:b/>
          <w:bCs/>
          <w:sz w:val="24"/>
          <w:szCs w:val="24"/>
          <w:rtl/>
        </w:rPr>
        <w:t xml:space="preserve">בָּהּ אוֹדֶה אֶת ה'. </w:t>
      </w:r>
      <w:r w:rsidRPr="00007309">
        <w:rPr>
          <w:rFonts w:cs="Arial"/>
          <w:b/>
          <w:bCs/>
          <w:sz w:val="36"/>
          <w:szCs w:val="28"/>
          <w:vertAlign w:val="superscript"/>
          <w:rtl/>
        </w:rPr>
        <w:footnoteReference w:id="6447"/>
      </w:r>
      <w:r w:rsidRPr="00007309">
        <w:rPr>
          <w:rFonts w:cs="Arial"/>
          <w:b/>
          <w:bCs/>
          <w:sz w:val="24"/>
          <w:szCs w:val="24"/>
          <w:rtl/>
        </w:rPr>
        <w:t xml:space="preserve">וּמִתַּמָּן אִתְקְרִיאַת שְׁכִינְתָּא אַגָּדָה. בְּגִין </w:t>
      </w:r>
      <w:r w:rsidRPr="00007309">
        <w:rPr>
          <w:rFonts w:cs="Arial"/>
          <w:b/>
          <w:bCs/>
          <w:sz w:val="36"/>
          <w:szCs w:val="28"/>
          <w:vertAlign w:val="superscript"/>
          <w:rtl/>
        </w:rPr>
        <w:footnoteReference w:id="6448"/>
      </w:r>
      <w:r w:rsidRPr="00007309">
        <w:rPr>
          <w:rFonts w:cs="Arial"/>
          <w:b/>
          <w:bCs/>
          <w:sz w:val="24"/>
          <w:szCs w:val="24"/>
          <w:rtl/>
        </w:rPr>
        <w:t xml:space="preserve">וַיַּגֵּד יַעֲקֹב לְרָחֵל. </w:t>
      </w:r>
      <w:r w:rsidRPr="00007309">
        <w:rPr>
          <w:rFonts w:cs="Arial"/>
          <w:b/>
          <w:bCs/>
          <w:sz w:val="36"/>
          <w:szCs w:val="28"/>
          <w:vertAlign w:val="superscript"/>
          <w:rtl/>
        </w:rPr>
        <w:footnoteReference w:id="6449"/>
      </w:r>
      <w:r w:rsidRPr="00007309">
        <w:rPr>
          <w:rFonts w:cs="Arial"/>
          <w:b/>
          <w:bCs/>
          <w:sz w:val="24"/>
          <w:szCs w:val="24"/>
          <w:rtl/>
        </w:rPr>
        <w:t xml:space="preserve">וְאִנּוּן תְּרֵין חָכְמָה עִלָּאָה וְחָכְמָה תַּתָּאָה. וּבְגִינַיְהוּ אִתְּמַר </w:t>
      </w:r>
      <w:r w:rsidRPr="00007309">
        <w:rPr>
          <w:rtl/>
        </w:rPr>
        <w:t>(איוב יא)</w:t>
      </w:r>
      <w:r w:rsidRPr="00007309">
        <w:rPr>
          <w:rFonts w:cs="Arial"/>
          <w:b/>
          <w:bCs/>
          <w:sz w:val="24"/>
          <w:szCs w:val="24"/>
          <w:rtl/>
        </w:rPr>
        <w:t xml:space="preserve"> </w:t>
      </w:r>
      <w:r w:rsidRPr="00007309">
        <w:rPr>
          <w:rFonts w:cs="Arial"/>
          <w:b/>
          <w:bCs/>
          <w:sz w:val="36"/>
          <w:szCs w:val="28"/>
          <w:vertAlign w:val="superscript"/>
          <w:rtl/>
        </w:rPr>
        <w:footnoteReference w:id="6450"/>
      </w:r>
      <w:r w:rsidRPr="00007309">
        <w:rPr>
          <w:rFonts w:cs="Arial"/>
          <w:b/>
          <w:bCs/>
          <w:sz w:val="24"/>
          <w:szCs w:val="24"/>
          <w:rtl/>
        </w:rPr>
        <w:t xml:space="preserve">וַיַּגֵּד לְךָ תַּעֲלֻמּוֹת חָכְמָה. </w:t>
      </w:r>
      <w:r w:rsidRPr="00007309">
        <w:rPr>
          <w:rFonts w:cs="Arial"/>
          <w:b/>
          <w:bCs/>
          <w:sz w:val="36"/>
          <w:szCs w:val="28"/>
          <w:vertAlign w:val="superscript"/>
          <w:rtl/>
        </w:rPr>
        <w:footnoteReference w:id="6451"/>
      </w:r>
      <w:r w:rsidRPr="00007309">
        <w:rPr>
          <w:rFonts w:cs="Arial"/>
          <w:b/>
          <w:bCs/>
          <w:sz w:val="24"/>
          <w:szCs w:val="24"/>
          <w:rtl/>
        </w:rPr>
        <w:t xml:space="preserve">פִּיהָ פָּתְחָה בְּחָכְמָה. דְּמִתַּתָּא לְעֵלָּא אִיהִי אָדָם הַקָּטָן, וְחָכְמָה עִלָּאָה אָדָם הַגָּדוֹל, וּמִסִּטְרָא דְּעַמּוּדָא דְּאֶמְצָעִיתָא ת"ת </w:t>
      </w:r>
      <w:r w:rsidRPr="00007309">
        <w:rPr>
          <w:rFonts w:cs="Arial"/>
          <w:b/>
          <w:bCs/>
          <w:sz w:val="36"/>
          <w:szCs w:val="28"/>
          <w:vertAlign w:val="superscript"/>
          <w:rtl/>
        </w:rPr>
        <w:footnoteReference w:id="6452"/>
      </w:r>
      <w:r w:rsidRPr="00007309">
        <w:rPr>
          <w:rFonts w:cs="Arial"/>
          <w:b/>
          <w:bCs/>
          <w:sz w:val="24"/>
          <w:szCs w:val="24"/>
          <w:rtl/>
        </w:rPr>
        <w:t xml:space="preserve">אָדָם כָּלִיל בֵּהּ (נ"א בין) תַּרְוַיְהוּ. </w:t>
      </w:r>
      <w:r w:rsidRPr="00007309">
        <w:rPr>
          <w:rFonts w:cs="Arial"/>
          <w:b/>
          <w:bCs/>
          <w:sz w:val="36"/>
          <w:szCs w:val="28"/>
          <w:vertAlign w:val="superscript"/>
          <w:rtl/>
        </w:rPr>
        <w:footnoteReference w:id="6453"/>
      </w:r>
      <w:r w:rsidRPr="00007309">
        <w:rPr>
          <w:rFonts w:cs="Arial"/>
          <w:b/>
          <w:bCs/>
          <w:sz w:val="24"/>
          <w:szCs w:val="24"/>
          <w:rtl/>
        </w:rPr>
        <w:t>שִׁיטָה אִתְקְרִיאַת מִסִּטְרָא דִּימִינָא</w:t>
      </w:r>
      <w:r w:rsidRPr="00007309">
        <w:rPr>
          <w:rFonts w:cs="Arial" w:hint="cs"/>
          <w:b/>
          <w:bCs/>
          <w:sz w:val="24"/>
          <w:szCs w:val="24"/>
          <w:rtl/>
        </w:rPr>
        <w:t>,</w:t>
      </w:r>
      <w:r w:rsidRPr="00007309">
        <w:rPr>
          <w:rFonts w:cs="Arial"/>
          <w:b/>
          <w:bCs/>
          <w:sz w:val="24"/>
          <w:szCs w:val="24"/>
          <w:rtl/>
        </w:rPr>
        <w:t xml:space="preserve"> כִּי יְמִינְךָ פְּשׁוּטָה</w:t>
      </w:r>
      <w:r w:rsidRPr="00007309">
        <w:rPr>
          <w:rFonts w:cs="Arial" w:hint="cs"/>
          <w:b/>
          <w:bCs/>
          <w:sz w:val="24"/>
          <w:szCs w:val="24"/>
          <w:rtl/>
        </w:rPr>
        <w:t>,</w:t>
      </w:r>
      <w:r w:rsidRPr="00007309">
        <w:rPr>
          <w:rFonts w:cs="Arial"/>
          <w:b/>
          <w:bCs/>
          <w:sz w:val="24"/>
          <w:szCs w:val="24"/>
          <w:rtl/>
        </w:rPr>
        <w:t xml:space="preserve"> וּכְגוֹן </w:t>
      </w:r>
      <w:r w:rsidRPr="00007309">
        <w:rPr>
          <w:rFonts w:cs="Arial"/>
          <w:b/>
          <w:bCs/>
          <w:sz w:val="36"/>
          <w:szCs w:val="28"/>
          <w:vertAlign w:val="superscript"/>
          <w:rtl/>
        </w:rPr>
        <w:footnoteReference w:id="6454"/>
      </w:r>
      <w:r w:rsidRPr="00007309">
        <w:rPr>
          <w:rFonts w:cs="Arial"/>
          <w:b/>
          <w:bCs/>
          <w:sz w:val="24"/>
          <w:szCs w:val="24"/>
          <w:rtl/>
        </w:rPr>
        <w:t>תְּקִיעָה פְּשׁוּטָה לְפָנֶיהָ וּלְאַחֲרֶיהָ</w:t>
      </w:r>
      <w:r w:rsidRPr="00007309">
        <w:rPr>
          <w:rFonts w:cs="Arial" w:hint="cs"/>
          <w:b/>
          <w:bCs/>
          <w:sz w:val="24"/>
          <w:szCs w:val="24"/>
          <w:rtl/>
        </w:rPr>
        <w:t>,</w:t>
      </w:r>
      <w:r w:rsidRPr="00007309">
        <w:rPr>
          <w:rFonts w:cs="Arial"/>
          <w:b/>
          <w:bCs/>
          <w:sz w:val="24"/>
          <w:szCs w:val="24"/>
          <w:rtl/>
        </w:rPr>
        <w:t xml:space="preserve"> רַחֲמֵי, </w:t>
      </w:r>
      <w:r w:rsidRPr="00007309">
        <w:rPr>
          <w:rFonts w:cs="Arial"/>
          <w:b/>
          <w:bCs/>
          <w:sz w:val="36"/>
          <w:szCs w:val="28"/>
          <w:vertAlign w:val="superscript"/>
          <w:rtl/>
        </w:rPr>
        <w:footnoteReference w:id="6455"/>
      </w:r>
      <w:r w:rsidRPr="00007309">
        <w:rPr>
          <w:rFonts w:cs="Arial"/>
          <w:b/>
          <w:bCs/>
          <w:sz w:val="24"/>
          <w:szCs w:val="24"/>
          <w:rtl/>
        </w:rPr>
        <w:t xml:space="preserve">דְּלֵית תַּמָּן קוּשְׁיָא דְּדִינָא. דְּקוּשְׁיָא אִיהִי וַדַּאי קַשְׁיָא מִסִּטְרָא דְּדִינָא מִדַּת הַדִּין הַקָּשָׁה מִדָּה דְּדִינָא קַשְׁיָא. </w:t>
      </w:r>
      <w:r w:rsidRPr="00007309">
        <w:rPr>
          <w:rFonts w:cs="Arial"/>
          <w:b/>
          <w:bCs/>
          <w:sz w:val="36"/>
          <w:szCs w:val="28"/>
          <w:vertAlign w:val="superscript"/>
          <w:rtl/>
        </w:rPr>
        <w:footnoteReference w:id="6456"/>
      </w:r>
      <w:r w:rsidRPr="00007309">
        <w:rPr>
          <w:rFonts w:cs="Arial"/>
          <w:b/>
          <w:bCs/>
          <w:sz w:val="24"/>
          <w:szCs w:val="24"/>
          <w:rtl/>
        </w:rPr>
        <w:t>וְכַד חֲזֵי דְּאִתְקָשֵׁהּ מִינֵהּ הֲלָכָה, אִשְׁתַּדַּל בְּפִקּוּדִין דַּעֲשֵׂה, וְיִתְּעַר</w:t>
      </w:r>
      <w:r w:rsidRPr="00007309">
        <w:rPr>
          <w:rFonts w:cs="Arial" w:hint="cs"/>
          <w:b/>
          <w:bCs/>
          <w:sz w:val="24"/>
          <w:szCs w:val="24"/>
          <w:rtl/>
        </w:rPr>
        <w:t>ב</w:t>
      </w:r>
      <w:r w:rsidRPr="00007309">
        <w:rPr>
          <w:rFonts w:cs="Arial"/>
          <w:b/>
          <w:bCs/>
          <w:sz w:val="24"/>
          <w:szCs w:val="24"/>
          <w:rtl/>
        </w:rPr>
        <w:t xml:space="preserve"> יְמִינָא בִּשְׂמָאלָא, רַחֲמֵי בְּדִינָא. דְּפִקּוּדִין דַּעֲשֵׂה הָא אוֹקְמוּהּ. וְזֶה זִכְרִי</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6457"/>
      </w:r>
      <w:r w:rsidRPr="00007309">
        <w:rPr>
          <w:rFonts w:cs="Arial"/>
          <w:b/>
          <w:bCs/>
          <w:sz w:val="24"/>
          <w:szCs w:val="24"/>
          <w:rtl/>
        </w:rPr>
        <w:t xml:space="preserve">דְּאִיהוּ </w:t>
      </w:r>
      <w:r w:rsidRPr="00007309">
        <w:rPr>
          <w:rFonts w:cs="Arial"/>
          <w:b/>
          <w:bCs/>
          <w:sz w:val="36"/>
          <w:szCs w:val="28"/>
          <w:vertAlign w:val="superscript"/>
          <w:rtl/>
        </w:rPr>
        <w:footnoteReference w:id="6458"/>
      </w:r>
      <w:r w:rsidRPr="00007309">
        <w:rPr>
          <w:rFonts w:cs="Arial"/>
          <w:b/>
          <w:bCs/>
          <w:sz w:val="24"/>
          <w:szCs w:val="24"/>
          <w:rtl/>
        </w:rPr>
        <w:t xml:space="preserve">וָ"ה עִם זִכְרִי </w:t>
      </w:r>
      <w:r w:rsidRPr="00007309">
        <w:rPr>
          <w:rFonts w:cs="Arial"/>
          <w:b/>
          <w:bCs/>
          <w:sz w:val="36"/>
          <w:szCs w:val="28"/>
          <w:vertAlign w:val="superscript"/>
          <w:rtl/>
        </w:rPr>
        <w:footnoteReference w:id="6459"/>
      </w:r>
      <w:r w:rsidRPr="00007309">
        <w:rPr>
          <w:rFonts w:cs="Arial"/>
          <w:b/>
          <w:bCs/>
          <w:sz w:val="24"/>
          <w:szCs w:val="24"/>
          <w:rtl/>
        </w:rPr>
        <w:t xml:space="preserve">רְמַ"ח, מִסִּטְרָא דְּאַבְרָהָם אָבִינוּ עָלָיו הַשָּׁלוֹם דְּדַרְגֵּהּ חֶסֶד </w:t>
      </w:r>
      <w:r w:rsidRPr="00007309">
        <w:rPr>
          <w:rFonts w:cs="Arial"/>
          <w:b/>
          <w:bCs/>
          <w:sz w:val="36"/>
          <w:szCs w:val="28"/>
          <w:vertAlign w:val="superscript"/>
          <w:rtl/>
        </w:rPr>
        <w:footnoteReference w:id="6460"/>
      </w:r>
      <w:r w:rsidRPr="00007309">
        <w:rPr>
          <w:rFonts w:cs="Arial"/>
          <w:b/>
          <w:bCs/>
          <w:sz w:val="24"/>
          <w:szCs w:val="24"/>
          <w:rtl/>
        </w:rPr>
        <w:t xml:space="preserve">כְּמָה דְּאוֹקְמוּהּ אַהֲבַת עוֹלָם אֲהַבְתִּיךְ עַל כֵּן מְשַׁכְתִּיךְ חֶסֶד. דְּמָאן גָּרִים דְּאִתְקַשְּׁיָא מִינֵהּ הֲלָכָה דְּאַעֲבַר עַל חַד מִשְּסָ"ה לֹא תַּעֲשֶׂה, דְּאִנּוּן מִשְּמָאלָא דְּאִתְּמַר בֵּהּ זֶה שְׁמִי </w:t>
      </w:r>
      <w:r w:rsidRPr="00007309">
        <w:rPr>
          <w:rFonts w:cs="Arial"/>
          <w:b/>
          <w:bCs/>
          <w:sz w:val="36"/>
          <w:szCs w:val="28"/>
          <w:vertAlign w:val="superscript"/>
          <w:rtl/>
        </w:rPr>
        <w:footnoteReference w:id="6461"/>
      </w:r>
      <w:r w:rsidRPr="00007309">
        <w:rPr>
          <w:rFonts w:cs="Arial"/>
          <w:b/>
          <w:bCs/>
          <w:sz w:val="24"/>
          <w:szCs w:val="24"/>
          <w:rtl/>
        </w:rPr>
        <w:t xml:space="preserve">עִם יָ"הּ שְסָ"ה. חֻמְרָא אִתְקְרֵי מִשְּמָאלָא קוּלָא מִימִינָא. </w:t>
      </w:r>
      <w:r w:rsidRPr="00007309">
        <w:rPr>
          <w:rFonts w:cs="Arial"/>
          <w:b/>
          <w:bCs/>
          <w:sz w:val="36"/>
          <w:szCs w:val="28"/>
          <w:vertAlign w:val="superscript"/>
          <w:rtl/>
        </w:rPr>
        <w:footnoteReference w:id="6462"/>
      </w:r>
      <w:r w:rsidRPr="00007309">
        <w:rPr>
          <w:rFonts w:cs="Arial"/>
          <w:b/>
          <w:bCs/>
          <w:sz w:val="24"/>
          <w:szCs w:val="24"/>
          <w:rtl/>
        </w:rPr>
        <w:t xml:space="preserve">וְהַאי אִיהוּ </w:t>
      </w:r>
      <w:r w:rsidRPr="00007309">
        <w:rPr>
          <w:rtl/>
        </w:rPr>
        <w:t>(שמות א)</w:t>
      </w:r>
      <w:r w:rsidRPr="00007309">
        <w:rPr>
          <w:rFonts w:cs="Arial"/>
          <w:b/>
          <w:bCs/>
          <w:sz w:val="24"/>
          <w:szCs w:val="24"/>
          <w:rtl/>
        </w:rPr>
        <w:t xml:space="preserve"> מִקַּל וָחֹמֶר. גְּזֵרָה שָׁוָה מִסִּטְרָא דְּעַמּוּדָא דְּאֶמְצָעִיתָא. וְהַאי אִיהוּ וַיְמָרַרוּ אֶת חַיֵּיהֶם בַּעֲבֹדָה קָשָׁה בְּחֹמֶר </w:t>
      </w:r>
      <w:r w:rsidRPr="00007309">
        <w:rPr>
          <w:rFonts w:cs="Arial"/>
          <w:b/>
          <w:bCs/>
          <w:sz w:val="36"/>
          <w:szCs w:val="28"/>
          <w:vertAlign w:val="superscript"/>
          <w:rtl/>
        </w:rPr>
        <w:footnoteReference w:id="6463"/>
      </w:r>
      <w:r w:rsidRPr="00007309">
        <w:rPr>
          <w:rFonts w:cs="Arial"/>
          <w:b/>
          <w:bCs/>
          <w:sz w:val="24"/>
          <w:szCs w:val="24"/>
          <w:rtl/>
        </w:rPr>
        <w:t>וּבִלְבֵנִים, בְּקַל וָחֹמֶר</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6464"/>
      </w:r>
      <w:r w:rsidRPr="00007309">
        <w:rPr>
          <w:rFonts w:cs="Arial"/>
          <w:b/>
          <w:bCs/>
          <w:sz w:val="24"/>
          <w:szCs w:val="24"/>
          <w:rtl/>
        </w:rPr>
        <w:t xml:space="preserve">וּבְכָל עֲבוֹדָה בַּשָּדֶה, בג"ש. </w:t>
      </w:r>
      <w:r w:rsidRPr="00007309">
        <w:rPr>
          <w:rFonts w:cs="Arial"/>
          <w:b/>
          <w:bCs/>
          <w:sz w:val="36"/>
          <w:szCs w:val="28"/>
          <w:vertAlign w:val="superscript"/>
          <w:rtl/>
        </w:rPr>
        <w:footnoteReference w:id="6465"/>
      </w:r>
      <w:r w:rsidRPr="00007309">
        <w:rPr>
          <w:rFonts w:cs="Arial"/>
          <w:b/>
          <w:bCs/>
          <w:sz w:val="24"/>
          <w:szCs w:val="24"/>
          <w:rtl/>
        </w:rPr>
        <w:t>וְחֻמְרָא מִשְּמָאלָא דְּתַמָּן סְטָר סַמָּאֵ"ל דְּאִיהוּ מְמונָא עַל לֹא תַעֲשֶׂה וְאִיהוּ חֻמְרָא מִסִּטְרָא דְּאֵל אַחֵר חָמוּר</w:t>
      </w:r>
      <w:r w:rsidRPr="00007309">
        <w:rPr>
          <w:rFonts w:cs="Arial" w:hint="cs"/>
          <w:b/>
          <w:bCs/>
          <w:sz w:val="24"/>
          <w:szCs w:val="24"/>
          <w:rtl/>
        </w:rPr>
        <w:t>.</w:t>
      </w:r>
      <w:r w:rsidRPr="00007309">
        <w:rPr>
          <w:rFonts w:cs="Arial"/>
          <w:b/>
          <w:bCs/>
          <w:sz w:val="24"/>
          <w:szCs w:val="24"/>
          <w:rtl/>
        </w:rPr>
        <w:t xml:space="preserve"> קולָא מִימִינָא דְּאִתְּמַר בֵּהּ וּבִלְבֵנִים בְּלִבּוּן הַהֲלָכָה. וְאִית דְּיֵמָּא הָכֵי חֻמְרָא מִימִינָא, דְּתַמָּן חֲמוֹר נוֹעֵר, דְּאִתְּמַר בֵּהּ </w:t>
      </w:r>
      <w:r w:rsidRPr="00007309">
        <w:rPr>
          <w:rtl/>
        </w:rPr>
        <w:t>(חבקוק ג)</w:t>
      </w:r>
      <w:r w:rsidRPr="00007309">
        <w:rPr>
          <w:rFonts w:cs="Arial"/>
          <w:b/>
          <w:bCs/>
          <w:sz w:val="24"/>
          <w:szCs w:val="24"/>
          <w:rtl/>
        </w:rPr>
        <w:t xml:space="preserve"> </w:t>
      </w:r>
      <w:r w:rsidRPr="00007309">
        <w:rPr>
          <w:rFonts w:cs="Arial"/>
          <w:b/>
          <w:bCs/>
          <w:sz w:val="36"/>
          <w:szCs w:val="28"/>
          <w:vertAlign w:val="superscript"/>
          <w:rtl/>
        </w:rPr>
        <w:footnoteReference w:id="6466"/>
      </w:r>
      <w:r w:rsidRPr="00007309">
        <w:rPr>
          <w:rFonts w:cs="Arial"/>
          <w:b/>
          <w:bCs/>
          <w:sz w:val="24"/>
          <w:szCs w:val="24"/>
          <w:rtl/>
        </w:rPr>
        <w:t xml:space="preserve">חֹמֶר מַיִם רַבִּים. קולָא מִשְּמָאלָא </w:t>
      </w:r>
      <w:r w:rsidRPr="00007309">
        <w:rPr>
          <w:rFonts w:cs="Arial"/>
          <w:b/>
          <w:bCs/>
          <w:sz w:val="36"/>
          <w:szCs w:val="28"/>
          <w:vertAlign w:val="superscript"/>
          <w:rtl/>
        </w:rPr>
        <w:footnoteReference w:id="6467"/>
      </w:r>
      <w:r w:rsidRPr="00007309">
        <w:rPr>
          <w:rFonts w:cs="Arial"/>
          <w:b/>
          <w:bCs/>
          <w:sz w:val="24"/>
          <w:szCs w:val="24"/>
          <w:rtl/>
        </w:rPr>
        <w:t xml:space="preserve">דְּתַמָּן שׁוֹר מוּעָד דִּנְזִיקִין, </w:t>
      </w:r>
      <w:r w:rsidRPr="00007309">
        <w:rPr>
          <w:rFonts w:cs="Arial"/>
          <w:b/>
          <w:bCs/>
          <w:sz w:val="36"/>
          <w:szCs w:val="28"/>
          <w:vertAlign w:val="superscript"/>
          <w:rtl/>
        </w:rPr>
        <w:footnoteReference w:id="6468"/>
      </w:r>
      <w:r w:rsidRPr="00007309">
        <w:rPr>
          <w:rFonts w:cs="Arial"/>
          <w:b/>
          <w:bCs/>
          <w:sz w:val="24"/>
          <w:szCs w:val="24"/>
          <w:rtl/>
        </w:rPr>
        <w:t xml:space="preserve">דְּאִיהוּ אֲבִי אָבוֹת דִּנְזִיקִין, </w:t>
      </w:r>
      <w:r w:rsidRPr="00007309">
        <w:rPr>
          <w:rFonts w:cs="Arial"/>
          <w:b/>
          <w:bCs/>
          <w:sz w:val="36"/>
          <w:szCs w:val="28"/>
          <w:vertAlign w:val="superscript"/>
          <w:rtl/>
        </w:rPr>
        <w:footnoteReference w:id="6469"/>
      </w:r>
      <w:r w:rsidRPr="00007309">
        <w:rPr>
          <w:rFonts w:cs="Arial"/>
          <w:b/>
          <w:bCs/>
          <w:sz w:val="24"/>
          <w:szCs w:val="24"/>
          <w:rtl/>
        </w:rPr>
        <w:t xml:space="preserve">אִיהוּ אֵשׁ דְּגֵיהִנֹּם. </w:t>
      </w:r>
      <w:r w:rsidRPr="00007309">
        <w:rPr>
          <w:rFonts w:cs="Arial"/>
          <w:b/>
          <w:bCs/>
          <w:sz w:val="36"/>
          <w:szCs w:val="28"/>
          <w:vertAlign w:val="superscript"/>
          <w:rtl/>
        </w:rPr>
        <w:footnoteReference w:id="6470"/>
      </w:r>
      <w:r w:rsidRPr="00007309">
        <w:rPr>
          <w:rFonts w:cs="Arial"/>
          <w:b/>
          <w:bCs/>
          <w:sz w:val="24"/>
          <w:szCs w:val="24"/>
          <w:rtl/>
        </w:rPr>
        <w:t xml:space="preserve">אֲבָל חֲמוֹר אִיהוּ אֲבִי אֲבוֹת הַטֻמְאָה. וּבְגִין דָּא צָרִיךְ בֵּהּ חֹמֶר יַתִּיר, </w:t>
      </w:r>
      <w:r w:rsidRPr="00007309">
        <w:rPr>
          <w:rFonts w:cs="Arial"/>
          <w:b/>
          <w:bCs/>
          <w:sz w:val="36"/>
          <w:szCs w:val="28"/>
          <w:vertAlign w:val="superscript"/>
          <w:rtl/>
        </w:rPr>
        <w:footnoteReference w:id="6471"/>
      </w:r>
      <w:r w:rsidRPr="00007309">
        <w:rPr>
          <w:rFonts w:cs="Arial"/>
          <w:b/>
          <w:bCs/>
          <w:sz w:val="24"/>
          <w:szCs w:val="24"/>
          <w:rtl/>
        </w:rPr>
        <w:t xml:space="preserve">וְאִתְּמַר בְּהוֹן </w:t>
      </w:r>
      <w:r w:rsidRPr="00007309">
        <w:rPr>
          <w:rtl/>
        </w:rPr>
        <w:t>(דברים כב)</w:t>
      </w:r>
      <w:r w:rsidRPr="00007309">
        <w:rPr>
          <w:rFonts w:cs="Arial"/>
          <w:b/>
          <w:bCs/>
          <w:sz w:val="24"/>
          <w:szCs w:val="24"/>
          <w:rtl/>
        </w:rPr>
        <w:t xml:space="preserve"> לֹא תַּחֲרֹשׁ בְּשׁוֹר וּבַחֲמוֹר יַחְדָּיו. ג"ש דָּא עַמּוּדָא דְּאֶמְצָעִיתָא, דְּאַפְלִיג בֵּינַיְהוּ מַחֲלֹקֶת לְאַפְרָשָׁא בֵּינַיְהוֹן, </w:t>
      </w:r>
      <w:r w:rsidRPr="00007309">
        <w:rPr>
          <w:rFonts w:cs="Arial"/>
          <w:b/>
          <w:bCs/>
          <w:sz w:val="36"/>
          <w:szCs w:val="28"/>
          <w:vertAlign w:val="superscript"/>
          <w:rtl/>
        </w:rPr>
        <w:footnoteReference w:id="6472"/>
      </w:r>
      <w:r w:rsidRPr="00007309">
        <w:rPr>
          <w:rFonts w:cs="Arial"/>
          <w:b/>
          <w:bCs/>
          <w:sz w:val="24"/>
          <w:szCs w:val="24"/>
          <w:rtl/>
        </w:rPr>
        <w:t>וְאִיהוּ שָׁוֶה בֵּין יְמִינָא וּשְׂמָאלָא דְּקֻדְשָׁא. וּבְגִין דָּא מַחֲלֹקֶת אִיהוּ עַמּוּדָא דְּאֶמְצָעִיתָא, בֵּין דַּרְגִּין דִּמְסָאֲבוּ, וְאִיהוּ פֵּרוּדָא בֵּינַיְהוּ. וְיִחוּדָא בְּדַרְגִּין קַדִּישִׁין</w:t>
      </w:r>
      <w:r w:rsidRPr="00007309">
        <w:rPr>
          <w:rFonts w:cs="Arial"/>
          <w:b/>
          <w:bCs/>
          <w:sz w:val="24"/>
          <w:szCs w:val="24"/>
        </w:rPr>
        <w:t xml:space="preserve">: </w:t>
      </w:r>
    </w:p>
    <w:p w:rsidR="00007309" w:rsidRPr="00007309" w:rsidRDefault="00007309" w:rsidP="00007309">
      <w:pPr>
        <w:jc w:val="both"/>
        <w:rPr>
          <w:rFonts w:cs="Arial"/>
          <w:b/>
          <w:bCs/>
          <w:sz w:val="24"/>
          <w:szCs w:val="24"/>
          <w:rtl/>
        </w:rPr>
      </w:pPr>
      <w:r w:rsidRPr="00007309">
        <w:rPr>
          <w:rFonts w:cs="Arial"/>
          <w:b/>
          <w:bCs/>
          <w:sz w:val="24"/>
          <w:szCs w:val="24"/>
          <w:rtl/>
        </w:rPr>
        <w:t xml:space="preserve">בָּרַיְתָא אִיהִי שְׁכִינְתָּא מִשְּמָאלָא, </w:t>
      </w:r>
      <w:r w:rsidRPr="00007309">
        <w:rPr>
          <w:rFonts w:cs="Arial"/>
          <w:b/>
          <w:bCs/>
          <w:sz w:val="36"/>
          <w:szCs w:val="28"/>
          <w:vertAlign w:val="superscript"/>
          <w:rtl/>
        </w:rPr>
        <w:footnoteReference w:id="6473"/>
      </w:r>
      <w:r w:rsidRPr="00007309">
        <w:rPr>
          <w:rFonts w:cs="Arial"/>
          <w:b/>
          <w:bCs/>
          <w:sz w:val="24"/>
          <w:szCs w:val="24"/>
          <w:rtl/>
        </w:rPr>
        <w:t xml:space="preserve">הָדָא הוּא דִּכְתִיב כִּי בַּשָּדֶה מְצָאָהּ. </w:t>
      </w:r>
      <w:r w:rsidRPr="00007309">
        <w:rPr>
          <w:rFonts w:cs="Arial"/>
          <w:b/>
          <w:bCs/>
          <w:sz w:val="36"/>
          <w:szCs w:val="28"/>
          <w:vertAlign w:val="superscript"/>
          <w:rtl/>
        </w:rPr>
        <w:footnoteReference w:id="6474"/>
      </w:r>
      <w:r w:rsidRPr="00007309">
        <w:rPr>
          <w:rFonts w:cs="Arial"/>
          <w:b/>
          <w:bCs/>
          <w:sz w:val="24"/>
          <w:szCs w:val="24"/>
          <w:rtl/>
        </w:rPr>
        <w:t xml:space="preserve">וּמִשְׁנָה מִסִּטְרָא דִּימִינָא, דְּיִחוּדָא דִּילֵהּ לָאו אִיהוּ אֶלָּא מִסִּטְרָא דְּעַמּוּדָא דְּאֶמְצָעִיתָא. וְאַמַּאי אִיהִי מִשְׁנָה וּבָרַיְתָא מִסִּטְרָא דִּימִינָא וּשְׂמָאלָא. </w:t>
      </w:r>
      <w:r w:rsidRPr="00007309">
        <w:rPr>
          <w:rFonts w:cs="Arial"/>
          <w:b/>
          <w:bCs/>
          <w:sz w:val="36"/>
          <w:szCs w:val="28"/>
          <w:vertAlign w:val="superscript"/>
          <w:rtl/>
        </w:rPr>
        <w:footnoteReference w:id="6475"/>
      </w:r>
      <w:r w:rsidRPr="00007309">
        <w:rPr>
          <w:rFonts w:cs="Arial"/>
          <w:b/>
          <w:bCs/>
          <w:sz w:val="24"/>
          <w:szCs w:val="24"/>
          <w:rtl/>
        </w:rPr>
        <w:t>בְּגִין חֲמוֹר וְשׁוֹר מוּעָדִים דְּאִנּוּן לִימִינָא וּשְׂמָאלָא</w:t>
      </w:r>
      <w:r w:rsidRPr="00007309">
        <w:rPr>
          <w:rFonts w:cs="Arial"/>
          <w:b/>
          <w:bCs/>
          <w:sz w:val="24"/>
          <w:szCs w:val="24"/>
        </w:rPr>
        <w:t>:</w:t>
      </w:r>
    </w:p>
    <w:p w:rsidR="00007309" w:rsidRPr="00007309" w:rsidRDefault="00007309" w:rsidP="00007309">
      <w:pPr>
        <w:keepNext/>
        <w:spacing w:before="240" w:after="60"/>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[וילנא י ע"ב]</w:t>
      </w:r>
    </w:p>
    <w:p w:rsidR="00007309" w:rsidRPr="00007309" w:rsidRDefault="00007309" w:rsidP="00007309">
      <w:pPr>
        <w:jc w:val="both"/>
        <w:rPr>
          <w:rFonts w:cs="Arial"/>
          <w:b/>
          <w:bCs/>
          <w:sz w:val="24"/>
          <w:szCs w:val="24"/>
        </w:rPr>
      </w:pPr>
      <w:r w:rsidRPr="00007309">
        <w:rPr>
          <w:rFonts w:cs="Arial"/>
          <w:b/>
          <w:bCs/>
          <w:sz w:val="24"/>
          <w:szCs w:val="24"/>
          <w:rtl/>
        </w:rPr>
        <w:t xml:space="preserve">תּוֹסֶפְתָּא אִתְקְרִיאַת מִסִּטְרָא דְּצַדִּיק, דְּאִיהוּ כָּלִיל כָּל מוּסָפִין, וּמִתַּמָּן אִיהִי שְׁכִינְתָּא קָרְבַּן הַמּוּסָפִין. </w:t>
      </w:r>
      <w:r w:rsidRPr="00007309">
        <w:rPr>
          <w:rFonts w:cs="Arial"/>
          <w:b/>
          <w:bCs/>
          <w:sz w:val="36"/>
          <w:szCs w:val="28"/>
          <w:vertAlign w:val="superscript"/>
          <w:rtl/>
        </w:rPr>
        <w:footnoteReference w:id="6476"/>
      </w:r>
      <w:r w:rsidRPr="00007309">
        <w:rPr>
          <w:rFonts w:cs="Arial"/>
          <w:b/>
          <w:bCs/>
          <w:sz w:val="24"/>
          <w:szCs w:val="24"/>
          <w:rtl/>
        </w:rPr>
        <w:t xml:space="preserve">וּבְגִינֵהּ אִתְּמַר </w:t>
      </w:r>
      <w:r w:rsidRPr="00007309">
        <w:rPr>
          <w:rtl/>
        </w:rPr>
        <w:t>(משלי יא)</w:t>
      </w:r>
      <w:r w:rsidRPr="00007309">
        <w:rPr>
          <w:rFonts w:cs="Arial"/>
          <w:b/>
          <w:bCs/>
          <w:sz w:val="24"/>
          <w:szCs w:val="24"/>
          <w:rtl/>
        </w:rPr>
        <w:t xml:space="preserve"> יֵשׁ מְפַזֵּר וְנוֹסָף עוֹד. בֵּהּ תּוֹסֶפְתָּא חָכְמָה וּבִינָה וָדַעַת וְכָל מִדּוֹת דְּקוּדְשָׁא בְּרִיךְ הוּא, </w:t>
      </w:r>
      <w:r w:rsidRPr="00007309">
        <w:rPr>
          <w:rFonts w:cs="Arial"/>
          <w:b/>
          <w:bCs/>
          <w:sz w:val="36"/>
          <w:szCs w:val="28"/>
          <w:vertAlign w:val="superscript"/>
          <w:rtl/>
        </w:rPr>
        <w:footnoteReference w:id="6477"/>
      </w:r>
      <w:r w:rsidRPr="00007309">
        <w:rPr>
          <w:rFonts w:cs="Arial"/>
          <w:b/>
          <w:bCs/>
          <w:sz w:val="24"/>
          <w:szCs w:val="24"/>
          <w:rtl/>
        </w:rPr>
        <w:t xml:space="preserve">וּמִנֵּהּ תּוֹסֶפֶת נְשָׁמָה יְתֵרָה, דְּאִתּוֹסָף בְּבַר נָשׁ מֵעֵרֶב שַׁבָּת לְעֵרֶב שַׁבָּת. </w:t>
      </w:r>
      <w:r w:rsidRPr="00007309">
        <w:rPr>
          <w:rFonts w:cs="Arial"/>
          <w:b/>
          <w:bCs/>
          <w:sz w:val="36"/>
          <w:szCs w:val="28"/>
          <w:vertAlign w:val="superscript"/>
          <w:rtl/>
        </w:rPr>
        <w:footnoteReference w:id="6478"/>
      </w:r>
      <w:r w:rsidRPr="00007309">
        <w:rPr>
          <w:rFonts w:cs="Arial"/>
          <w:b/>
          <w:bCs/>
          <w:sz w:val="24"/>
          <w:szCs w:val="24"/>
          <w:rtl/>
        </w:rPr>
        <w:t xml:space="preserve">וְאִיהוּ הַשַּׁבָּת, שְׁבִיעִי כָּל סְפִירָן אִתְקְרִיאוּ בֵּהּ שְׁבִיעִיּוֹת. וְכָל מָאן דְּאוֹסִיף בֵּהּ בְּשַׁבָּת בְּמַאֲכָלִין בְּעִנּוּגִין, מוּסָפִין לֵהּ. וּמַאי מַאֲכָלוֹת דִּילֵהּ. קָרְבְּנִין </w:t>
      </w:r>
      <w:r w:rsidRPr="00007309">
        <w:rPr>
          <w:rFonts w:ascii="Cambria" w:hAnsi="Cambria" w:cs="Times New Roman" w:hint="cs"/>
          <w:b/>
          <w:bCs/>
          <w:i/>
          <w:iCs/>
          <w:color w:val="4F81BD"/>
          <w:sz w:val="24"/>
          <w:szCs w:val="24"/>
          <w:rtl/>
        </w:rPr>
        <w:t>(וילנא י ע"ב)</w:t>
      </w:r>
      <w:r w:rsidRPr="00007309">
        <w:rPr>
          <w:rFonts w:cs="Arial" w:hint="cs"/>
          <w:b/>
          <w:bCs/>
          <w:sz w:val="24"/>
          <w:szCs w:val="24"/>
          <w:rtl/>
        </w:rPr>
        <w:t xml:space="preserve"> </w:t>
      </w:r>
      <w:r w:rsidRPr="00007309">
        <w:rPr>
          <w:rFonts w:cs="Arial"/>
          <w:b/>
          <w:bCs/>
          <w:sz w:val="24"/>
          <w:szCs w:val="24"/>
          <w:rtl/>
        </w:rPr>
        <w:t xml:space="preserve">דִּצְלוֹתָא דְּמוּסַף, דְּאִתּוֹסְפָן בֵּהּ עַמָּא קַדִּישָׁא יַתִּיר מִשְּׁאָר יוֹמִין דְּחֹל. </w:t>
      </w:r>
      <w:r w:rsidRPr="00007309">
        <w:rPr>
          <w:rFonts w:cs="Arial"/>
          <w:b/>
          <w:bCs/>
          <w:sz w:val="36"/>
          <w:szCs w:val="28"/>
          <w:vertAlign w:val="superscript"/>
          <w:rtl/>
        </w:rPr>
        <w:footnoteReference w:id="6479"/>
      </w:r>
      <w:r w:rsidRPr="00007309">
        <w:rPr>
          <w:rFonts w:cs="Arial"/>
          <w:b/>
          <w:bCs/>
          <w:sz w:val="24"/>
          <w:szCs w:val="24"/>
          <w:rtl/>
        </w:rPr>
        <w:t xml:space="preserve">תּוֹסֶפֶת קְדֻשָּׁה דְּקִדּוּשׁ </w:t>
      </w:r>
      <w:r w:rsidRPr="00007309">
        <w:rPr>
          <w:rFonts w:cs="Arial"/>
          <w:b/>
          <w:bCs/>
          <w:sz w:val="36"/>
          <w:szCs w:val="28"/>
          <w:vertAlign w:val="superscript"/>
          <w:rtl/>
        </w:rPr>
        <w:footnoteReference w:id="6480"/>
      </w:r>
      <w:r w:rsidRPr="00007309">
        <w:rPr>
          <w:rFonts w:cs="Arial"/>
          <w:b/>
          <w:bCs/>
          <w:sz w:val="24"/>
          <w:szCs w:val="24"/>
          <w:rtl/>
        </w:rPr>
        <w:t xml:space="preserve">עִנּוּג וְקָרָאתָ לַשַּׁבָּת עֹנֶג בִּתְלָת סְעֻדָּתָן. וּבְגִין דָּא כָּל הַמּוֹסִיף מוּסָפִין לֵהּ וְכָל הַגּוֹרֵעַ גּוֹרְעִין לוֹ. וְעוֹד שְׁכִינְתָּא אִתְקְרִיאַת תיק'ו, מִסִּטְרָא דְּהַהוּא דְּאִתְּמַר בֵּהּ בַּמֻּפְלָא מִמְּךָ אַל תִּדְרֹשׁ וּבַמְכֻסֶּה מִמְּךָ אַל תַּחֲקֹר. וּבְגִינֵהּ אוֹקְמוּהּ מִכָּל מָקוֹם שְׁתֹק כָּךְ </w:t>
      </w:r>
      <w:r w:rsidRPr="00007309">
        <w:rPr>
          <w:rFonts w:cs="Arial"/>
          <w:b/>
          <w:bCs/>
          <w:sz w:val="36"/>
          <w:szCs w:val="28"/>
          <w:vertAlign w:val="superscript"/>
          <w:rtl/>
        </w:rPr>
        <w:footnoteReference w:id="6481"/>
      </w:r>
      <w:r w:rsidRPr="00007309">
        <w:rPr>
          <w:rFonts w:cs="Arial"/>
          <w:b/>
          <w:bCs/>
          <w:sz w:val="24"/>
          <w:szCs w:val="24"/>
          <w:rtl/>
        </w:rPr>
        <w:t>עָלָה בְּמַחֲשָׁבָה</w:t>
      </w:r>
      <w:r w:rsidRPr="00007309">
        <w:rPr>
          <w:rFonts w:cs="Arial"/>
          <w:b/>
          <w:bCs/>
          <w:sz w:val="24"/>
          <w:szCs w:val="24"/>
        </w:rPr>
        <w:t>:</w:t>
      </w:r>
    </w:p>
    <w:p w:rsidR="00007309" w:rsidRPr="00007309" w:rsidRDefault="00007309" w:rsidP="00007309">
      <w:pPr>
        <w:jc w:val="both"/>
        <w:rPr>
          <w:rFonts w:cs="Arial"/>
          <w:b/>
          <w:bCs/>
          <w:sz w:val="24"/>
          <w:szCs w:val="24"/>
        </w:rPr>
      </w:pPr>
      <w:r w:rsidRPr="00007309">
        <w:rPr>
          <w:rFonts w:cs="Arial"/>
          <w:b/>
          <w:bCs/>
          <w:sz w:val="24"/>
          <w:szCs w:val="24"/>
          <w:rtl/>
        </w:rPr>
        <w:t xml:space="preserve">קָם רָעֲיָא מְהֵימָנָא וְאָמַר, </w:t>
      </w:r>
      <w:r w:rsidRPr="00007309">
        <w:rPr>
          <w:rFonts w:cs="Arial"/>
          <w:b/>
          <w:bCs/>
          <w:sz w:val="36"/>
          <w:szCs w:val="28"/>
          <w:vertAlign w:val="superscript"/>
          <w:rtl/>
        </w:rPr>
        <w:footnoteReference w:id="6482"/>
      </w:r>
      <w:r w:rsidRPr="00007309">
        <w:rPr>
          <w:rFonts w:cs="Arial"/>
          <w:b/>
          <w:bCs/>
          <w:sz w:val="24"/>
          <w:szCs w:val="24"/>
          <w:rtl/>
        </w:rPr>
        <w:t xml:space="preserve">סָבָא סָבָא עֲלָךְ אִתְּמַר </w:t>
      </w:r>
      <w:r w:rsidRPr="00007309">
        <w:rPr>
          <w:rtl/>
        </w:rPr>
        <w:t>(ויקרא יט)</w:t>
      </w:r>
      <w:r w:rsidRPr="00007309">
        <w:rPr>
          <w:rFonts w:cs="Arial"/>
          <w:b/>
          <w:bCs/>
          <w:sz w:val="24"/>
          <w:szCs w:val="24"/>
          <w:rtl/>
        </w:rPr>
        <w:t xml:space="preserve"> מִפְּנֵי שֵׂיבָה תָּקוּם. תָּקוּם בְּיִשְׂרָאֵל עִלָּאָה </w:t>
      </w:r>
      <w:r w:rsidRPr="00007309">
        <w:rPr>
          <w:rFonts w:cs="Arial"/>
          <w:b/>
          <w:bCs/>
          <w:sz w:val="36"/>
          <w:szCs w:val="28"/>
          <w:vertAlign w:val="superscript"/>
          <w:rtl/>
        </w:rPr>
        <w:footnoteReference w:id="6483"/>
      </w:r>
      <w:r w:rsidRPr="00007309">
        <w:rPr>
          <w:rFonts w:cs="Arial"/>
          <w:b/>
          <w:bCs/>
          <w:sz w:val="24"/>
          <w:szCs w:val="24"/>
          <w:rtl/>
        </w:rPr>
        <w:t xml:space="preserve">עַד דְּלֵית סוֹף לִסְלִיקוּ דִּילָךְ. </w:t>
      </w:r>
      <w:r w:rsidRPr="00007309">
        <w:rPr>
          <w:rFonts w:cs="Arial"/>
          <w:b/>
          <w:bCs/>
          <w:sz w:val="36"/>
          <w:szCs w:val="28"/>
          <w:vertAlign w:val="superscript"/>
          <w:rtl/>
        </w:rPr>
        <w:footnoteReference w:id="6484"/>
      </w:r>
      <w:r w:rsidRPr="00007309">
        <w:rPr>
          <w:rFonts w:cs="Arial"/>
          <w:b/>
          <w:bCs/>
          <w:sz w:val="24"/>
          <w:szCs w:val="24"/>
          <w:rtl/>
        </w:rPr>
        <w:t xml:space="preserve">עִלָּאִין וְתַתָּאִין מִתְבָּרְכִין בָּךְ וּמִשְׁתַּבְּחִין בָּךְ, דְּאִתְכְּלִילוּ בָּךְ כָּל מִדּוֹת אֲחוֹרִיִּים וּפְנִימִיִּים דְּקוּדְשָׁא בְּרִיךְ הוּא. אָמַר הָא זְרִיקַת </w:t>
      </w:r>
      <w:r w:rsidRPr="00007309">
        <w:rPr>
          <w:rFonts w:cs="Arial"/>
          <w:b/>
          <w:bCs/>
          <w:sz w:val="36"/>
          <w:szCs w:val="28"/>
          <w:vertAlign w:val="superscript"/>
          <w:rtl/>
        </w:rPr>
        <w:footnoteReference w:id="6485"/>
      </w:r>
      <w:r w:rsidRPr="00007309">
        <w:rPr>
          <w:rFonts w:cs="Arial"/>
          <w:b/>
          <w:bCs/>
          <w:sz w:val="24"/>
          <w:szCs w:val="24"/>
          <w:rtl/>
        </w:rPr>
        <w:t xml:space="preserve">קִירְטָא. אַבְנִין דְּקִירְטָא לְגַבָּאֵי, אִמָּא </w:t>
      </w:r>
      <w:r w:rsidRPr="00007309">
        <w:rPr>
          <w:rFonts w:cs="Arial"/>
          <w:b/>
          <w:bCs/>
          <w:sz w:val="36"/>
          <w:szCs w:val="28"/>
          <w:vertAlign w:val="superscript"/>
          <w:rtl/>
        </w:rPr>
        <w:footnoteReference w:id="6486"/>
      </w:r>
      <w:r w:rsidRPr="00007309">
        <w:rPr>
          <w:rFonts w:cs="Arial"/>
          <w:b/>
          <w:bCs/>
          <w:sz w:val="24"/>
          <w:szCs w:val="24"/>
          <w:rtl/>
        </w:rPr>
        <w:t>לְאִנּוּן דְּאָזְלִין בָּאֲוִירָא, דְּהָא אַבְנָא לְגַבַּיְהוּ</w:t>
      </w:r>
      <w:r w:rsidRPr="00007309">
        <w:rPr>
          <w:rFonts w:cs="Arial"/>
          <w:b/>
          <w:bCs/>
          <w:sz w:val="24"/>
          <w:szCs w:val="24"/>
        </w:rPr>
        <w:t>:</w:t>
      </w:r>
    </w:p>
    <w:p w:rsidR="00007309" w:rsidRPr="00007309" w:rsidRDefault="00007309" w:rsidP="00007309">
      <w:pPr>
        <w:jc w:val="both"/>
        <w:rPr>
          <w:rFonts w:cs="Arial"/>
          <w:b/>
          <w:bCs/>
          <w:sz w:val="24"/>
          <w:szCs w:val="24"/>
        </w:rPr>
      </w:pPr>
      <w:r w:rsidRPr="00007309">
        <w:rPr>
          <w:rFonts w:cs="Arial"/>
          <w:b/>
          <w:bCs/>
          <w:sz w:val="24"/>
          <w:szCs w:val="24"/>
          <w:rtl/>
        </w:rPr>
        <w:t xml:space="preserve">פָּתַח וְאָמַר זַרְקָא מֻקָּף שׁוֹפָר הוֹלֵךְ סְגוֹלְתָּא. </w:t>
      </w:r>
      <w:r w:rsidRPr="00007309">
        <w:rPr>
          <w:rFonts w:cs="Arial"/>
          <w:b/>
          <w:bCs/>
          <w:sz w:val="36"/>
          <w:szCs w:val="28"/>
          <w:vertAlign w:val="superscript"/>
          <w:rtl/>
        </w:rPr>
        <w:footnoteReference w:id="6487"/>
      </w:r>
      <w:r w:rsidRPr="00007309">
        <w:rPr>
          <w:rFonts w:cs="Arial"/>
          <w:b/>
          <w:bCs/>
          <w:sz w:val="24"/>
          <w:szCs w:val="24"/>
          <w:rtl/>
        </w:rPr>
        <w:t xml:space="preserve">מַלְאָכִין דְּאַתְוָן </w:t>
      </w:r>
      <w:r w:rsidRPr="00007309">
        <w:rPr>
          <w:rFonts w:cs="Arial"/>
          <w:b/>
          <w:bCs/>
          <w:sz w:val="36"/>
          <w:szCs w:val="28"/>
          <w:vertAlign w:val="superscript"/>
          <w:rtl/>
        </w:rPr>
        <w:footnoteReference w:id="6488"/>
      </w:r>
      <w:r w:rsidRPr="00007309">
        <w:rPr>
          <w:rFonts w:cs="Arial"/>
          <w:b/>
          <w:bCs/>
          <w:sz w:val="24"/>
          <w:szCs w:val="24"/>
          <w:rtl/>
        </w:rPr>
        <w:t xml:space="preserve">דְּעָלַיְכוּ אִתְּמַר </w:t>
      </w:r>
      <w:r w:rsidRPr="00007309">
        <w:rPr>
          <w:rtl/>
        </w:rPr>
        <w:t>(תהלים קד)</w:t>
      </w:r>
      <w:r w:rsidRPr="00007309">
        <w:rPr>
          <w:rFonts w:cs="Arial"/>
          <w:b/>
          <w:bCs/>
          <w:sz w:val="24"/>
          <w:szCs w:val="24"/>
          <w:rtl/>
        </w:rPr>
        <w:t xml:space="preserve"> עוֹשֶׂה מַלְאָכָיו רוּחוֹת מְשָׁרְתָיו אֵשׁ לוֹהֵט. </w:t>
      </w:r>
      <w:r w:rsidRPr="00007309">
        <w:rPr>
          <w:rFonts w:cs="Arial"/>
          <w:b/>
          <w:bCs/>
          <w:sz w:val="36"/>
          <w:szCs w:val="28"/>
          <w:vertAlign w:val="superscript"/>
          <w:rtl/>
        </w:rPr>
        <w:footnoteReference w:id="6489"/>
      </w:r>
      <w:r w:rsidRPr="00007309">
        <w:rPr>
          <w:rFonts w:cs="Arial"/>
          <w:b/>
          <w:bCs/>
          <w:sz w:val="24"/>
          <w:szCs w:val="24"/>
          <w:rtl/>
        </w:rPr>
        <w:t xml:space="preserve">קַבִּילוּ אַבְנִין אִלֵּין דְּאִנּוּן נִקּוּדִין דְּאִתְקְרִיאוּ </w:t>
      </w:r>
      <w:r w:rsidRPr="00007309">
        <w:rPr>
          <w:rFonts w:cs="Arial"/>
          <w:b/>
          <w:bCs/>
          <w:sz w:val="36"/>
          <w:szCs w:val="28"/>
          <w:vertAlign w:val="superscript"/>
          <w:rtl/>
        </w:rPr>
        <w:footnoteReference w:id="6490"/>
      </w:r>
      <w:r w:rsidRPr="00007309">
        <w:rPr>
          <w:rFonts w:cs="Arial"/>
          <w:b/>
          <w:bCs/>
          <w:sz w:val="24"/>
          <w:szCs w:val="24"/>
          <w:rtl/>
        </w:rPr>
        <w:t xml:space="preserve">עַל שִׁמְכֶם, </w:t>
      </w:r>
      <w:r w:rsidRPr="00007309">
        <w:rPr>
          <w:rFonts w:cs="Arial"/>
          <w:b/>
          <w:bCs/>
          <w:sz w:val="36"/>
          <w:szCs w:val="28"/>
          <w:vertAlign w:val="superscript"/>
          <w:rtl/>
        </w:rPr>
        <w:footnoteReference w:id="6491"/>
      </w:r>
      <w:r w:rsidRPr="00007309">
        <w:rPr>
          <w:rFonts w:cs="Arial"/>
          <w:b/>
          <w:bCs/>
          <w:sz w:val="24"/>
          <w:szCs w:val="24"/>
          <w:rtl/>
        </w:rPr>
        <w:t xml:space="preserve">דְּאִתְּמַר בְּהוֹן </w:t>
      </w:r>
      <w:r w:rsidRPr="00007309">
        <w:rPr>
          <w:rFonts w:ascii="Arial" w:hAnsi="Arial" w:cs="Arial"/>
          <w:rtl/>
        </w:rPr>
        <w:t>(דברים כז)</w:t>
      </w:r>
      <w:r w:rsidRPr="00007309">
        <w:rPr>
          <w:rFonts w:cs="Arial"/>
          <w:b/>
          <w:bCs/>
          <w:sz w:val="24"/>
          <w:szCs w:val="24"/>
          <w:rtl/>
        </w:rPr>
        <w:t xml:space="preserve"> אֲבָנִים שְׁלֵמוֹת תִּבְנֶה אֶת מִזְבַּח ה' אֱלֹהֶיךָ, אִלֵּין אִנּוּן</w:t>
      </w:r>
      <w:r w:rsidRPr="00007309">
        <w:rPr>
          <w:rFonts w:cs="Arial"/>
          <w:b/>
          <w:bCs/>
          <w:sz w:val="24"/>
          <w:szCs w:val="24"/>
        </w:rPr>
        <w:t>:</w:t>
      </w:r>
    </w:p>
    <w:p w:rsidR="00007309" w:rsidRPr="00007309" w:rsidRDefault="00007309" w:rsidP="00007309">
      <w:pPr>
        <w:keepNext/>
        <w:spacing w:before="240" w:after="60"/>
        <w:outlineLvl w:val="1"/>
        <w:rPr>
          <w:rFonts w:ascii="Cambria" w:hAnsi="Cambria" w:cs="Times New Roman"/>
          <w:b/>
          <w:bCs/>
          <w:i/>
          <w:iCs/>
          <w:sz w:val="28"/>
          <w:szCs w:val="28"/>
          <w:rtl/>
        </w:rPr>
      </w:pPr>
      <w:r w:rsidRPr="00007309">
        <w:rPr>
          <w:rFonts w:ascii="Cambria" w:hAnsi="Cambria" w:cs="Times New Roman" w:hint="cs"/>
          <w:b/>
          <w:bCs/>
          <w:i/>
          <w:iCs/>
          <w:sz w:val="28"/>
          <w:szCs w:val="28"/>
          <w:rtl/>
        </w:rPr>
        <w:t>[דף עו ע"א]</w:t>
      </w:r>
    </w:p>
    <w:p w:rsidR="00007309" w:rsidRPr="00007309" w:rsidRDefault="00007309" w:rsidP="00007309">
      <w:pPr>
        <w:jc w:val="both"/>
        <w:rPr>
          <w:rFonts w:cs="Arial"/>
          <w:b/>
          <w:bCs/>
          <w:sz w:val="24"/>
          <w:szCs w:val="24"/>
        </w:rPr>
      </w:pPr>
      <w:r w:rsidRPr="00007309">
        <w:rPr>
          <w:rFonts w:cs="Arial"/>
          <w:b/>
          <w:bCs/>
          <w:sz w:val="36"/>
          <w:szCs w:val="28"/>
          <w:vertAlign w:val="superscript"/>
          <w:rtl/>
        </w:rPr>
        <w:footnoteReference w:id="6492"/>
      </w:r>
      <w:r w:rsidRPr="00007309">
        <w:rPr>
          <w:rFonts w:cs="Arial"/>
          <w:b/>
          <w:bCs/>
          <w:sz w:val="24"/>
          <w:szCs w:val="24"/>
          <w:rtl/>
        </w:rPr>
        <w:t xml:space="preserve">קָמַץ. קדומיא"ל מלכיא"ל צוריא"ל. פָּתַח פרא"ל תומיא"ל חסדיא"ל. צֵרֵי צוריא"ל רָזִיאֵ"ל יופיאֵ"ל. </w:t>
      </w:r>
      <w:r w:rsidRPr="00007309">
        <w:rPr>
          <w:rFonts w:ascii="Cambria" w:hAnsi="Cambria" w:cs="Times New Roman" w:hint="cs"/>
          <w:b/>
          <w:bCs/>
          <w:i/>
          <w:iCs/>
          <w:color w:val="4F81BD"/>
          <w:sz w:val="24"/>
          <w:szCs w:val="24"/>
          <w:rtl/>
        </w:rPr>
        <w:t>(דף עו ע"א)</w:t>
      </w:r>
      <w:r w:rsidRPr="00007309">
        <w:rPr>
          <w:rFonts w:cs="Arial" w:hint="cs"/>
          <w:b/>
          <w:bCs/>
          <w:sz w:val="24"/>
          <w:szCs w:val="24"/>
          <w:rtl/>
        </w:rPr>
        <w:t xml:space="preserve"> </w:t>
      </w:r>
      <w:r w:rsidRPr="00007309">
        <w:rPr>
          <w:rFonts w:cs="Arial"/>
          <w:b/>
          <w:bCs/>
          <w:sz w:val="24"/>
          <w:szCs w:val="24"/>
          <w:rtl/>
        </w:rPr>
        <w:t>סֶגוֹל סטטורי"ה גזריא"ל לְמוּאֵ"ל. שְׁבָ"א שמעיא"ל ברכיא"ל אהניא"ל. חֹלָ"ם חניא"ל להריא"ל מהניא"ל. חִרִ"ק חזקיא"ל רהטיא"ל</w:t>
      </w:r>
      <w:r w:rsidRPr="00007309">
        <w:rPr>
          <w:rFonts w:cs="Arial"/>
          <w:b/>
          <w:bCs/>
          <w:sz w:val="24"/>
          <w:szCs w:val="24"/>
        </w:rPr>
        <w:t xml:space="preserve"> </w:t>
      </w:r>
      <w:r w:rsidRPr="00007309">
        <w:rPr>
          <w:rFonts w:cs="Arial"/>
          <w:b/>
          <w:bCs/>
          <w:sz w:val="24"/>
          <w:szCs w:val="24"/>
          <w:rtl/>
        </w:rPr>
        <w:t>קדושיא"ל. שֻׁרֻ"ק שמועא"ל רעמיא"ל קניא"ל. שֻׁרֻ"ק שמשיא"ל רפא"ל קרשיא"ל</w:t>
      </w:r>
      <w:r w:rsidRPr="00007309">
        <w:rPr>
          <w:rFonts w:cs="Arial"/>
          <w:b/>
          <w:bCs/>
          <w:sz w:val="24"/>
          <w:szCs w:val="24"/>
        </w:rPr>
        <w:t>:</w:t>
      </w:r>
    </w:p>
    <w:p w:rsidR="00007309" w:rsidRPr="00007309" w:rsidRDefault="00007309" w:rsidP="00007309">
      <w:pPr>
        <w:jc w:val="both"/>
        <w:rPr>
          <w:rFonts w:cs="Arial"/>
          <w:b/>
          <w:bCs/>
          <w:sz w:val="24"/>
          <w:szCs w:val="24"/>
        </w:rPr>
      </w:pPr>
      <w:r w:rsidRPr="00007309">
        <w:rPr>
          <w:rFonts w:cs="Arial"/>
          <w:b/>
          <w:bCs/>
          <w:sz w:val="24"/>
          <w:szCs w:val="24"/>
          <w:rtl/>
        </w:rPr>
        <w:t xml:space="preserve">וְהַמַּשְׂכִילִים אִלֵּין דְּאִית בְּהוֹן שֵׂכֶל לְאִשְׁתְּמוֹדְעָא בִּצְלוֹתָא, אֵיךְ סַלְקָא לָהּ בְּרַתָּא </w:t>
      </w:r>
      <w:r w:rsidRPr="00007309">
        <w:rPr>
          <w:rFonts w:cs="Arial"/>
          <w:b/>
          <w:bCs/>
          <w:sz w:val="36"/>
          <w:szCs w:val="28"/>
          <w:vertAlign w:val="superscript"/>
          <w:rtl/>
        </w:rPr>
        <w:footnoteReference w:id="6493"/>
      </w:r>
      <w:r w:rsidRPr="00007309">
        <w:rPr>
          <w:rFonts w:cs="Arial"/>
          <w:b/>
          <w:bCs/>
          <w:sz w:val="24"/>
          <w:szCs w:val="24"/>
          <w:rtl/>
        </w:rPr>
        <w:t xml:space="preserve">בְּאַתְוָן וּנְקֻדֵּי וְטַעֲמֵי. דְּכֻלְּהוּ אִנּוּן רְחִימוּ דִּבְרַתָּא דְּמַלְכָּא </w:t>
      </w:r>
      <w:r w:rsidRPr="00007309">
        <w:rPr>
          <w:rFonts w:cs="Arial"/>
          <w:b/>
          <w:bCs/>
          <w:sz w:val="36"/>
          <w:szCs w:val="28"/>
          <w:vertAlign w:val="superscript"/>
          <w:rtl/>
        </w:rPr>
        <w:footnoteReference w:id="6494"/>
      </w:r>
      <w:r w:rsidRPr="00007309">
        <w:rPr>
          <w:rFonts w:cs="Arial"/>
          <w:b/>
          <w:bCs/>
          <w:sz w:val="24"/>
          <w:szCs w:val="24"/>
          <w:rtl/>
        </w:rPr>
        <w:t xml:space="preserve">בְּחָתָן דִילָהּ, לְאַעֲלָא רְחִימוּ וּשְׁלָמָא וְחִבּוּרָא וְקוּרְבָא בֵּינַיְהוּ, בְּכָל מִדּוֹת דְּתַרְוַיְהוּ לְאַכְלָלָא לוֹן כַּחֲדָא בְּכֻלְּהוּ. וְאִנּוּן </w:t>
      </w:r>
      <w:r w:rsidRPr="00007309">
        <w:rPr>
          <w:rFonts w:cs="Arial"/>
          <w:b/>
          <w:bCs/>
          <w:sz w:val="36"/>
          <w:szCs w:val="28"/>
          <w:vertAlign w:val="superscript"/>
          <w:rtl/>
        </w:rPr>
        <w:footnoteReference w:id="6495"/>
      </w:r>
      <w:r w:rsidRPr="00007309">
        <w:rPr>
          <w:rFonts w:cs="Arial"/>
          <w:b/>
          <w:bCs/>
          <w:sz w:val="24"/>
          <w:szCs w:val="24"/>
          <w:rtl/>
        </w:rPr>
        <w:t>קְרָבָא לְסַמָּאֵ"ל וְנָחָשׁ וְשִׁבְעִין מְמָנָן</w:t>
      </w:r>
      <w:r w:rsidRPr="00007309">
        <w:rPr>
          <w:rFonts w:cs="Arial"/>
          <w:b/>
          <w:bCs/>
          <w:sz w:val="24"/>
          <w:szCs w:val="24"/>
        </w:rPr>
        <w:t>:</w:t>
      </w:r>
    </w:p>
    <w:p w:rsidR="00007309" w:rsidRPr="00007309" w:rsidRDefault="00007309" w:rsidP="00007309">
      <w:pPr>
        <w:jc w:val="both"/>
        <w:rPr>
          <w:rFonts w:cs="Arial"/>
          <w:b/>
          <w:bCs/>
          <w:sz w:val="24"/>
          <w:szCs w:val="24"/>
        </w:rPr>
      </w:pPr>
      <w:r w:rsidRPr="00007309">
        <w:rPr>
          <w:rFonts w:cs="Arial"/>
          <w:b/>
          <w:bCs/>
          <w:sz w:val="24"/>
          <w:szCs w:val="24"/>
          <w:rtl/>
        </w:rPr>
        <w:t xml:space="preserve">קָם רִבִּי שִׁמְעוֹן בּוּצִינָא קַדִּישָׁא עַל רַגְלוֹי, וְסָלִיק יְדוֹי לְמָארֵי עָלְמָא וְאָמַר, רִבּוֹן עָלְמָא יְהֵא רַעֲוָא דִּילָךְ, </w:t>
      </w:r>
      <w:r w:rsidRPr="00007309">
        <w:rPr>
          <w:rFonts w:cs="Arial"/>
          <w:b/>
          <w:bCs/>
          <w:sz w:val="36"/>
          <w:szCs w:val="28"/>
          <w:vertAlign w:val="superscript"/>
          <w:rtl/>
        </w:rPr>
        <w:footnoteReference w:id="6496"/>
      </w:r>
      <w:r w:rsidRPr="00007309">
        <w:rPr>
          <w:rFonts w:cs="Arial"/>
          <w:b/>
          <w:bCs/>
          <w:sz w:val="24"/>
          <w:szCs w:val="24"/>
          <w:rtl/>
        </w:rPr>
        <w:t xml:space="preserve">לְמֵיהַב לָן תָּקְפָא לִי וּלְכָל חַבְרַיָּא וּלְכָל דְּעָאלִין בִּקְרָבָא דָּא, </w:t>
      </w:r>
      <w:r w:rsidRPr="00007309">
        <w:rPr>
          <w:rFonts w:cs="Arial"/>
          <w:b/>
          <w:bCs/>
          <w:sz w:val="36"/>
          <w:szCs w:val="28"/>
          <w:vertAlign w:val="superscript"/>
          <w:rtl/>
        </w:rPr>
        <w:footnoteReference w:id="6497"/>
      </w:r>
      <w:r w:rsidRPr="00007309">
        <w:rPr>
          <w:rFonts w:cs="Arial"/>
          <w:b/>
          <w:bCs/>
          <w:sz w:val="24"/>
          <w:szCs w:val="24"/>
          <w:rtl/>
        </w:rPr>
        <w:t xml:space="preserve">דְּאִנּוּן מִסִּטְרָא דִּילָךְ לְאַעֲלָא בִּקְרָבָא דָּא בְּלָא כִּסּוּפָא קַמָּךְ, וּלְאַפָּקָא מִתַּמָּן בְּלֹא כִּסּוּפָא קַמָּךְ וְקַמֵּי </w:t>
      </w:r>
      <w:r w:rsidRPr="00007309">
        <w:rPr>
          <w:rFonts w:cs="Arial"/>
          <w:b/>
          <w:bCs/>
          <w:sz w:val="36"/>
          <w:szCs w:val="28"/>
          <w:vertAlign w:val="superscript"/>
          <w:rtl/>
        </w:rPr>
        <w:footnoteReference w:id="6498"/>
      </w:r>
      <w:r w:rsidRPr="00007309">
        <w:rPr>
          <w:rFonts w:cs="Arial"/>
          <w:b/>
          <w:bCs/>
          <w:sz w:val="24"/>
          <w:szCs w:val="24"/>
          <w:rtl/>
        </w:rPr>
        <w:t xml:space="preserve">מַטְרוֹנִיתָא עִלָּאָה. דְּכַד נַצְּחִין בְּנָהָא קְרָבִין, אִתְּמַר בָּהּ </w:t>
      </w:r>
      <w:r w:rsidRPr="00007309">
        <w:rPr>
          <w:rFonts w:ascii="Arial" w:hAnsi="Arial" w:cs="Arial"/>
          <w:rtl/>
        </w:rPr>
        <w:t>(תהלים קיג)</w:t>
      </w:r>
      <w:r w:rsidRPr="00007309">
        <w:rPr>
          <w:rFonts w:cs="Arial"/>
          <w:b/>
          <w:bCs/>
          <w:sz w:val="24"/>
          <w:szCs w:val="24"/>
          <w:rtl/>
        </w:rPr>
        <w:t xml:space="preserve"> אֵם הַבָּנִים שְׂמֵחָה. וְלֹא אָהָא בְּכִסּוּפָא קַמֵּי בְּרַתָּא דְּמַלְכָּא </w:t>
      </w:r>
      <w:r w:rsidRPr="00007309">
        <w:rPr>
          <w:rFonts w:cs="Arial"/>
          <w:b/>
          <w:bCs/>
          <w:sz w:val="36"/>
          <w:szCs w:val="28"/>
          <w:vertAlign w:val="superscript"/>
          <w:rtl/>
        </w:rPr>
        <w:footnoteReference w:id="6499"/>
      </w:r>
      <w:r w:rsidRPr="00007309">
        <w:rPr>
          <w:rFonts w:cs="Arial"/>
          <w:b/>
          <w:bCs/>
          <w:sz w:val="24"/>
          <w:szCs w:val="24"/>
          <w:rtl/>
        </w:rPr>
        <w:t xml:space="preserve">דְּאִתְּמַר בָּהּ </w:t>
      </w:r>
      <w:r w:rsidRPr="00007309">
        <w:rPr>
          <w:rFonts w:ascii="Arial" w:hAnsi="Arial" w:cs="Arial"/>
          <w:rtl/>
        </w:rPr>
        <w:t>(שם מה)</w:t>
      </w:r>
      <w:r w:rsidRPr="00007309">
        <w:rPr>
          <w:rFonts w:cs="Arial"/>
          <w:b/>
          <w:bCs/>
          <w:sz w:val="24"/>
          <w:szCs w:val="24"/>
          <w:rtl/>
        </w:rPr>
        <w:t xml:space="preserve"> כָּל כְּבוֹדָהּ בַּת מֶלֶךְ פְּנִימָה וְגוֹ'. דְּהָא כַּמָּה כָּרוֹזִין נַפְקִין בְּגִינַהּ. הָדָא הוּא דִּכְתִיב </w:t>
      </w:r>
      <w:r w:rsidRPr="00007309">
        <w:rPr>
          <w:rFonts w:ascii="Arial" w:hAnsi="Arial" w:cs="Arial"/>
          <w:rtl/>
        </w:rPr>
        <w:t>(משלי ח)</w:t>
      </w:r>
      <w:r w:rsidRPr="00007309">
        <w:rPr>
          <w:rFonts w:cs="Arial"/>
          <w:b/>
          <w:bCs/>
          <w:sz w:val="24"/>
          <w:szCs w:val="24"/>
          <w:rtl/>
        </w:rPr>
        <w:t xml:space="preserve"> בְּרֹאשׁ הוֹמִיּוֹת תִּקְרָא בְּפִתְחֵי שְׁעָרִים בְּעִיר </w:t>
      </w:r>
      <w:r w:rsidRPr="00007309">
        <w:rPr>
          <w:rFonts w:cs="Arial"/>
          <w:b/>
          <w:bCs/>
          <w:sz w:val="36"/>
          <w:szCs w:val="28"/>
          <w:vertAlign w:val="superscript"/>
          <w:rtl/>
        </w:rPr>
        <w:footnoteReference w:id="6500"/>
      </w:r>
      <w:r w:rsidRPr="00007309">
        <w:rPr>
          <w:rFonts w:cs="Arial"/>
          <w:b/>
          <w:bCs/>
          <w:sz w:val="24"/>
          <w:szCs w:val="24"/>
          <w:rtl/>
        </w:rPr>
        <w:t xml:space="preserve">אֲמָרֶיהָ תֹּאמַר. וּמַאי אַמְרִין כָּרוֹזִין </w:t>
      </w:r>
      <w:r w:rsidRPr="00007309">
        <w:rPr>
          <w:rFonts w:ascii="Arial" w:hAnsi="Arial" w:cs="Arial"/>
          <w:rtl/>
        </w:rPr>
        <w:t>(שם)</w:t>
      </w:r>
      <w:r w:rsidRPr="00007309">
        <w:rPr>
          <w:rFonts w:cs="Arial"/>
          <w:b/>
          <w:bCs/>
          <w:sz w:val="24"/>
          <w:szCs w:val="24"/>
          <w:rtl/>
        </w:rPr>
        <w:t xml:space="preserve"> אֲלֵיכֶם אִישִׁים אֶקְרָא וְקוֹלִי אֶל </w:t>
      </w:r>
      <w:r w:rsidRPr="00007309">
        <w:rPr>
          <w:rFonts w:cs="Arial"/>
          <w:b/>
          <w:bCs/>
          <w:sz w:val="36"/>
          <w:szCs w:val="28"/>
          <w:vertAlign w:val="superscript"/>
          <w:rtl/>
        </w:rPr>
        <w:footnoteReference w:id="6501"/>
      </w:r>
      <w:r w:rsidRPr="00007309">
        <w:rPr>
          <w:rFonts w:cs="Arial"/>
          <w:b/>
          <w:bCs/>
          <w:sz w:val="24"/>
          <w:szCs w:val="24"/>
          <w:rtl/>
        </w:rPr>
        <w:t xml:space="preserve">בְּנֵי אָדָם. דְּהָא כַּמָּה פָּרְשִׁין תַּקִּיפִין הֲווֹ מִתְכַּנְּשִׁין לְאַגָּחָא קְרָבָא עִם חִוְיָא נָחָשׁ הַקַּדְמוֹנִי, דְּקָטִיל לְאָדָם קַדְמָאָה, וְקָטִיל לְכָל דָּרִין דְּאַתְיָן אֲכַתְרֵהּ. מִנְּהוֹן הֲוָה אָכִיל בְּנוּרָא דִּילֵהּ דְּאִיהוּ גֵּיהִנֹּם, וּמִנְּהוֹן הֲוָה בָּלַע לוֹן חַיִּין כְּגַוְנָא דְּקֹרַח, דְּאִתְּמַר בְּהוֹן </w:t>
      </w:r>
      <w:r w:rsidRPr="00007309">
        <w:rPr>
          <w:rFonts w:ascii="Arial" w:hAnsi="Arial" w:cs="Arial"/>
          <w:rtl/>
        </w:rPr>
        <w:t>(במדבר טז)</w:t>
      </w:r>
      <w:r w:rsidRPr="00007309">
        <w:rPr>
          <w:rFonts w:cs="Arial"/>
          <w:b/>
          <w:bCs/>
          <w:sz w:val="24"/>
          <w:szCs w:val="24"/>
          <w:rtl/>
        </w:rPr>
        <w:t xml:space="preserve"> וְיָרְדוּ הֵם וְכָל אֲשֶׁר</w:t>
      </w:r>
      <w:r w:rsidRPr="00007309">
        <w:rPr>
          <w:rFonts w:cs="Arial"/>
          <w:b/>
          <w:bCs/>
          <w:sz w:val="24"/>
          <w:szCs w:val="24"/>
        </w:rPr>
        <w:t xml:space="preserve"> </w:t>
      </w:r>
      <w:r w:rsidRPr="00007309">
        <w:rPr>
          <w:rFonts w:cs="Arial"/>
          <w:b/>
          <w:bCs/>
          <w:sz w:val="24"/>
          <w:szCs w:val="24"/>
          <w:rtl/>
        </w:rPr>
        <w:t xml:space="preserve">לָהֶם חַיִּים שְׁאוֹלָה </w:t>
      </w:r>
      <w:r w:rsidRPr="00007309">
        <w:rPr>
          <w:rFonts w:ascii="Arial" w:hAnsi="Arial" w:cs="Arial"/>
          <w:rtl/>
        </w:rPr>
        <w:t>(במדבר ט"ז, ל"ג)</w:t>
      </w:r>
      <w:r w:rsidRPr="00007309">
        <w:rPr>
          <w:rFonts w:cs="Arial"/>
          <w:b/>
          <w:bCs/>
          <w:sz w:val="24"/>
          <w:szCs w:val="24"/>
          <w:rtl/>
        </w:rPr>
        <w:t xml:space="preserve">. מִנְּהוֹן קָטִיל בְּכַמָּה מִינֵי מִיתָה. דְּאִתְּמַר בְּהוֹן </w:t>
      </w:r>
      <w:r w:rsidRPr="00007309">
        <w:rPr>
          <w:rFonts w:ascii="Arial" w:hAnsi="Arial" w:cs="Arial"/>
          <w:rtl/>
        </w:rPr>
        <w:t>(תהלים סח)</w:t>
      </w:r>
      <w:r w:rsidRPr="00007309">
        <w:rPr>
          <w:rFonts w:cs="Arial"/>
          <w:b/>
          <w:bCs/>
          <w:sz w:val="24"/>
          <w:szCs w:val="24"/>
          <w:rtl/>
        </w:rPr>
        <w:t xml:space="preserve"> לַמָּוֶת תּוֹצָאוֹת. </w:t>
      </w:r>
      <w:r w:rsidRPr="00007309">
        <w:rPr>
          <w:rFonts w:cs="Arial"/>
          <w:b/>
          <w:bCs/>
          <w:sz w:val="36"/>
          <w:szCs w:val="28"/>
          <w:vertAlign w:val="superscript"/>
          <w:rtl/>
        </w:rPr>
        <w:footnoteReference w:id="6502"/>
      </w:r>
      <w:r w:rsidRPr="00007309">
        <w:rPr>
          <w:rFonts w:cs="Arial"/>
          <w:b/>
          <w:bCs/>
          <w:sz w:val="24"/>
          <w:szCs w:val="24"/>
          <w:rtl/>
        </w:rPr>
        <w:t xml:space="preserve">וְכַמָּה מָארֵי תְּרִיסִין הֲווֹ מִתְכַּנְּשִׁין לְגַבֵּהּ בְּבָתֵּי כְנֵסִיּוֹת וּבְבָתֵּי מִדְרָשׁוֹת </w:t>
      </w:r>
      <w:r w:rsidRPr="00007309">
        <w:rPr>
          <w:rFonts w:cs="Arial"/>
          <w:b/>
          <w:bCs/>
          <w:sz w:val="36"/>
          <w:szCs w:val="28"/>
          <w:vertAlign w:val="superscript"/>
          <w:rtl/>
        </w:rPr>
        <w:footnoteReference w:id="6503"/>
      </w:r>
      <w:r w:rsidRPr="00007309">
        <w:rPr>
          <w:rFonts w:cs="Arial"/>
          <w:b/>
          <w:bCs/>
          <w:sz w:val="24"/>
          <w:szCs w:val="24"/>
          <w:rtl/>
        </w:rPr>
        <w:t xml:space="preserve">וּפַסְקִין עָלֶיהָ כַּמָּה פְּסָקוֹת בְּקַלִּין וַחֲמוּרִין דִּילֵהּ </w:t>
      </w:r>
      <w:r w:rsidRPr="00007309">
        <w:rPr>
          <w:rFonts w:ascii="Arial" w:hAnsi="Arial" w:cs="Arial"/>
          <w:rtl/>
        </w:rPr>
        <w:t>(שמות ב)</w:t>
      </w:r>
      <w:r w:rsidRPr="00007309">
        <w:rPr>
          <w:rFonts w:cs="Arial"/>
          <w:b/>
          <w:bCs/>
          <w:sz w:val="24"/>
          <w:szCs w:val="24"/>
          <w:rtl/>
        </w:rPr>
        <w:t xml:space="preserve"> </w:t>
      </w:r>
      <w:r w:rsidRPr="00007309">
        <w:rPr>
          <w:rFonts w:cs="Arial"/>
          <w:b/>
          <w:bCs/>
          <w:sz w:val="36"/>
          <w:szCs w:val="28"/>
          <w:vertAlign w:val="superscript"/>
          <w:rtl/>
        </w:rPr>
        <w:footnoteReference w:id="6504"/>
      </w:r>
      <w:r w:rsidRPr="00007309">
        <w:rPr>
          <w:rFonts w:cs="Arial"/>
          <w:b/>
          <w:bCs/>
          <w:sz w:val="24"/>
          <w:szCs w:val="24"/>
          <w:rtl/>
        </w:rPr>
        <w:t xml:space="preserve">וַיִּפֶן כֹּ'ה וָכֹ'ה </w:t>
      </w:r>
      <w:r w:rsidRPr="00007309">
        <w:rPr>
          <w:rFonts w:cs="Arial"/>
          <w:b/>
          <w:bCs/>
          <w:sz w:val="36"/>
          <w:szCs w:val="28"/>
          <w:vertAlign w:val="superscript"/>
          <w:rtl/>
        </w:rPr>
        <w:footnoteReference w:id="6505"/>
      </w:r>
      <w:r w:rsidRPr="00007309">
        <w:rPr>
          <w:rFonts w:cs="Arial"/>
          <w:b/>
          <w:bCs/>
          <w:sz w:val="24"/>
          <w:szCs w:val="24"/>
          <w:rtl/>
        </w:rPr>
        <w:t xml:space="preserve">וַיַּרְא כִּי אֵין אִישׁ. לֵית בְּהוּ חַד דְּקָטִיל לְחִוְיָא וְכָרוֹזִין נַפְקִין מָאן דְּנָצַח קְרָבָא וְקָטִיל לְחִוְיָא יְהֵא הֲלָכָה דִּילֵהּ </w:t>
      </w:r>
      <w:r w:rsidRPr="00007309">
        <w:rPr>
          <w:rFonts w:cs="Arial"/>
          <w:b/>
          <w:bCs/>
          <w:sz w:val="36"/>
          <w:szCs w:val="28"/>
          <w:vertAlign w:val="superscript"/>
          <w:rtl/>
        </w:rPr>
        <w:footnoteReference w:id="6506"/>
      </w:r>
      <w:r w:rsidRPr="00007309">
        <w:rPr>
          <w:rFonts w:cs="Arial"/>
          <w:b/>
          <w:bCs/>
          <w:sz w:val="24"/>
          <w:szCs w:val="24"/>
          <w:rtl/>
        </w:rPr>
        <w:t xml:space="preserve">וְכַמָּה הֲלָכוֹת פְּסוּקוֹת אִנּוּן דְּאִתְּמַר בְּכָל חַד הֲלָכָה כִּפְלוֹנִי וְאִנּוּן </w:t>
      </w:r>
      <w:r w:rsidRPr="00007309">
        <w:rPr>
          <w:rFonts w:ascii="Arial" w:hAnsi="Arial" w:cs="Arial"/>
          <w:rtl/>
        </w:rPr>
        <w:t>(תהלים מא)</w:t>
      </w:r>
      <w:r w:rsidRPr="00007309">
        <w:rPr>
          <w:rFonts w:cs="Arial"/>
          <w:b/>
          <w:bCs/>
          <w:sz w:val="24"/>
          <w:szCs w:val="24"/>
          <w:rtl/>
        </w:rPr>
        <w:t xml:space="preserve"> בְּתוּלוֹת אַחֲרֶיהָ רְעוּתֶיהָ דִּבְרַתָּא דְּמַלְכָּא אֲבָל בְּרַתָּא דְּמַלְכָּא עֲלַהּ אִתְּמַר </w:t>
      </w:r>
      <w:r w:rsidRPr="00007309">
        <w:rPr>
          <w:rFonts w:ascii="Arial" w:hAnsi="Arial" w:cs="Arial"/>
          <w:rtl/>
        </w:rPr>
        <w:t>(משלי לא)</w:t>
      </w:r>
      <w:r w:rsidRPr="00007309">
        <w:rPr>
          <w:rFonts w:cs="Arial"/>
          <w:b/>
          <w:bCs/>
          <w:sz w:val="24"/>
          <w:szCs w:val="24"/>
          <w:rtl/>
        </w:rPr>
        <w:t xml:space="preserve"> </w:t>
      </w:r>
      <w:r w:rsidRPr="00007309">
        <w:rPr>
          <w:rFonts w:cs="Arial"/>
          <w:b/>
          <w:bCs/>
          <w:sz w:val="36"/>
          <w:szCs w:val="28"/>
          <w:vertAlign w:val="superscript"/>
          <w:rtl/>
        </w:rPr>
        <w:footnoteReference w:id="6507"/>
      </w:r>
      <w:r w:rsidRPr="00007309">
        <w:rPr>
          <w:rFonts w:cs="Arial"/>
          <w:b/>
          <w:bCs/>
          <w:sz w:val="24"/>
          <w:szCs w:val="24"/>
          <w:rtl/>
        </w:rPr>
        <w:t xml:space="preserve">רַבּוֹת בָּנוֹת עָשׂוּ חַיִל וְאַתְּ עָלִית עַל כֻּלָּנָה. </w:t>
      </w:r>
      <w:r w:rsidRPr="00007309">
        <w:rPr>
          <w:rFonts w:cs="Arial"/>
          <w:b/>
          <w:bCs/>
          <w:sz w:val="36"/>
          <w:szCs w:val="28"/>
          <w:vertAlign w:val="superscript"/>
          <w:rtl/>
        </w:rPr>
        <w:footnoteReference w:id="6508"/>
      </w:r>
      <w:r w:rsidRPr="00007309">
        <w:rPr>
          <w:rFonts w:cs="Arial"/>
          <w:b/>
          <w:bCs/>
          <w:sz w:val="24"/>
          <w:szCs w:val="24"/>
          <w:rtl/>
        </w:rPr>
        <w:t xml:space="preserve">וְאִיהִי אֲרוּסָה לְמֹשֶׁה הֲלָכָה לְמֹשֶׁה מִסִּינַי וְעַד לָאו אִיהִי נְשׂוּאָה לֵהּ </w:t>
      </w:r>
      <w:r w:rsidRPr="00007309">
        <w:rPr>
          <w:rFonts w:cs="Arial"/>
          <w:b/>
          <w:bCs/>
          <w:sz w:val="36"/>
          <w:szCs w:val="28"/>
          <w:vertAlign w:val="superscript"/>
          <w:rtl/>
        </w:rPr>
        <w:footnoteReference w:id="6509"/>
      </w:r>
      <w:r w:rsidRPr="00007309">
        <w:rPr>
          <w:rFonts w:cs="Arial"/>
          <w:b/>
          <w:bCs/>
          <w:sz w:val="24"/>
          <w:szCs w:val="24"/>
          <w:rtl/>
        </w:rPr>
        <w:t>עַד דְּיִקְטוֹל לְחִוְיָא</w:t>
      </w:r>
      <w:r w:rsidRPr="00007309">
        <w:rPr>
          <w:rFonts w:cs="Arial"/>
          <w:b/>
          <w:bCs/>
          <w:sz w:val="24"/>
          <w:szCs w:val="24"/>
        </w:rPr>
        <w:t xml:space="preserve"> </w:t>
      </w:r>
      <w:r w:rsidRPr="00007309">
        <w:rPr>
          <w:rFonts w:cs="Arial"/>
          <w:b/>
          <w:bCs/>
          <w:sz w:val="24"/>
          <w:szCs w:val="24"/>
          <w:rtl/>
        </w:rPr>
        <w:t>וְיֵעוּל לְאַרְעָא קַדִּישָׁא. דִּבְגִין דָּא לָא עָאל לְאַרְעָא קַדִּישָׁא עַד דְּיִזְכֶּה לָהּ דְּמִדִּתְרֵין לוּחִין אִתְּבָּרוּ פָּרְחָא מִנֵּהּ וּבְגָלוּתָא רְבִיעָאָה יִזְכֶּה לָהּ וּבְגִינָהּ יִזְכֶּה לְאַעֲלָא לְאַרְעָא קַדִּישָׁא</w:t>
      </w:r>
      <w:r w:rsidRPr="00007309">
        <w:rPr>
          <w:rFonts w:cs="Arial"/>
          <w:b/>
          <w:bCs/>
          <w:sz w:val="24"/>
          <w:szCs w:val="24"/>
        </w:rPr>
        <w:t>:</w:t>
      </w:r>
    </w:p>
    <w:p w:rsidR="00007309" w:rsidRPr="00007309" w:rsidRDefault="00007309" w:rsidP="00007309">
      <w:pPr>
        <w:jc w:val="both"/>
        <w:rPr>
          <w:rFonts w:cs="Arial"/>
          <w:b/>
          <w:bCs/>
          <w:sz w:val="24"/>
          <w:szCs w:val="24"/>
        </w:rPr>
      </w:pPr>
      <w:r w:rsidRPr="00007309">
        <w:rPr>
          <w:rFonts w:cs="Arial"/>
          <w:b/>
          <w:bCs/>
          <w:sz w:val="24"/>
          <w:szCs w:val="24"/>
          <w:rtl/>
        </w:rPr>
        <w:t xml:space="preserve">קוּם אַנְתְּ רָעֲיָא מְהֵימָנָא, דִּבְגִינָךְ אִתְּמַר </w:t>
      </w:r>
      <w:r w:rsidRPr="00007309">
        <w:rPr>
          <w:rFonts w:ascii="Arial" w:hAnsi="Arial" w:cs="Arial"/>
          <w:rtl/>
        </w:rPr>
        <w:t>(שמות ב)</w:t>
      </w:r>
      <w:r w:rsidRPr="00007309">
        <w:rPr>
          <w:rFonts w:cs="Arial"/>
          <w:b/>
          <w:bCs/>
          <w:sz w:val="24"/>
          <w:szCs w:val="24"/>
          <w:rtl/>
        </w:rPr>
        <w:t xml:space="preserve"> וַיִּפֶן כֹּה וָכֹה וַיַּךְ אֶת הַמִּצְרִי. דְּבִשְׁמָא דְּאִמָּא עִלָּאָה דְּאִיהִי </w:t>
      </w:r>
      <w:r w:rsidRPr="00007309">
        <w:rPr>
          <w:rFonts w:cs="Arial" w:hint="cs"/>
          <w:b/>
          <w:bCs/>
          <w:sz w:val="24"/>
          <w:szCs w:val="24"/>
          <w:rtl/>
        </w:rPr>
        <w:t>נ</w:t>
      </w:r>
      <w:r w:rsidRPr="00007309">
        <w:rPr>
          <w:rFonts w:cs="Arial"/>
          <w:b/>
          <w:bCs/>
          <w:sz w:val="24"/>
          <w:szCs w:val="24"/>
          <w:rtl/>
        </w:rPr>
        <w:t>' תַּרְעִין, מָחִית לֵהּ דְּאִתְרְמִיזוּ בְּכֹ"ה וָכֹ"ה אַתְוָן דִּמְיַחֲדִין בְּהוֹן לְקוּדְשָׁא בְּרִיךְ הוּא תְּרֵין</w:t>
      </w:r>
      <w:r w:rsidRPr="00007309">
        <w:rPr>
          <w:rFonts w:cs="Arial"/>
          <w:b/>
          <w:bCs/>
          <w:sz w:val="24"/>
          <w:szCs w:val="24"/>
        </w:rPr>
        <w:t xml:space="preserve"> </w:t>
      </w:r>
      <w:r w:rsidRPr="00007309">
        <w:rPr>
          <w:rFonts w:cs="Arial"/>
          <w:b/>
          <w:bCs/>
          <w:sz w:val="24"/>
          <w:szCs w:val="24"/>
          <w:rtl/>
        </w:rPr>
        <w:t xml:space="preserve">זִמְנִין בְּכָל יוֹמָא שְׁמַע יִשְׂרָאֵל ה' אֱלֹהֵינוּ ה' אֶחָד, דְּאִית בְּשִׁית תֵּיבִין כ"ה אַתְוָן, וּתְרֵין זִמְנִין אִנּוּן </w:t>
      </w:r>
      <w:r w:rsidRPr="00007309">
        <w:rPr>
          <w:rFonts w:cs="Arial" w:hint="cs"/>
          <w:b/>
          <w:bCs/>
          <w:sz w:val="24"/>
          <w:szCs w:val="24"/>
          <w:rtl/>
        </w:rPr>
        <w:t>נ</w:t>
      </w:r>
      <w:r w:rsidRPr="00007309">
        <w:rPr>
          <w:rFonts w:cs="Arial"/>
          <w:b/>
          <w:bCs/>
          <w:sz w:val="24"/>
          <w:szCs w:val="24"/>
          <w:rtl/>
        </w:rPr>
        <w:t xml:space="preserve">'. </w:t>
      </w:r>
      <w:r w:rsidRPr="00007309">
        <w:rPr>
          <w:rFonts w:cs="Arial"/>
          <w:b/>
          <w:bCs/>
          <w:sz w:val="36"/>
          <w:szCs w:val="28"/>
          <w:vertAlign w:val="superscript"/>
          <w:rtl/>
        </w:rPr>
        <w:footnoteReference w:id="6510"/>
      </w:r>
      <w:r w:rsidRPr="00007309">
        <w:rPr>
          <w:rFonts w:cs="Arial"/>
          <w:b/>
          <w:bCs/>
          <w:sz w:val="24"/>
          <w:szCs w:val="24"/>
          <w:rtl/>
        </w:rPr>
        <w:t>בְּאִלֵּין חַמְשִׁין מָחֵי לְפַרְעֹה וּבְכָל עֲבָדָיו חַמְשִׁין מַכּוֹת</w:t>
      </w:r>
      <w:r w:rsidRPr="00007309">
        <w:rPr>
          <w:rFonts w:cs="Arial"/>
          <w:b/>
          <w:bCs/>
          <w:sz w:val="24"/>
          <w:szCs w:val="24"/>
        </w:rPr>
        <w:t>:</w:t>
      </w:r>
    </w:p>
    <w:p w:rsidR="00007309" w:rsidRPr="00007309" w:rsidRDefault="00007309" w:rsidP="00007309">
      <w:pPr>
        <w:keepNext/>
        <w:spacing w:before="240" w:after="60"/>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[וילנא יא ע"א]</w:t>
      </w:r>
    </w:p>
    <w:p w:rsidR="00007309" w:rsidRPr="00007309" w:rsidRDefault="00007309" w:rsidP="00007309">
      <w:pPr>
        <w:jc w:val="both"/>
        <w:rPr>
          <w:rFonts w:cs="Arial"/>
          <w:b/>
          <w:bCs/>
          <w:sz w:val="24"/>
          <w:szCs w:val="24"/>
          <w:rtl/>
        </w:rPr>
      </w:pPr>
      <w:r w:rsidRPr="00007309">
        <w:rPr>
          <w:rFonts w:cs="Arial"/>
          <w:b/>
          <w:bCs/>
          <w:sz w:val="24"/>
          <w:szCs w:val="24"/>
          <w:rtl/>
        </w:rPr>
        <w:t xml:space="preserve">קוּם לְגַבֵּהּ </w:t>
      </w:r>
      <w:r w:rsidRPr="00007309">
        <w:rPr>
          <w:rFonts w:cs="Arial"/>
          <w:b/>
          <w:bCs/>
          <w:sz w:val="36"/>
          <w:szCs w:val="28"/>
          <w:vertAlign w:val="superscript"/>
          <w:rtl/>
        </w:rPr>
        <w:footnoteReference w:id="6511"/>
      </w:r>
      <w:r w:rsidRPr="00007309">
        <w:rPr>
          <w:rFonts w:cs="Arial"/>
          <w:b/>
          <w:bCs/>
          <w:sz w:val="24"/>
          <w:szCs w:val="24"/>
          <w:rtl/>
        </w:rPr>
        <w:t xml:space="preserve">בְּחוּטְרָא דִּילָךְ, לְמַחֲאָה לֵהּ כְּכַלְבָּא, דְּהָכֵי אוֹרְחָא דְּכַלְבָּא לְמַחֲאָה לֵהּ בְּחוּטְרָא. וְאוֹרְחָא דְּעַבְדָּא לְמַחֲאָה לֵהּ בְּחוּטְרָא כְּכַלְבָּא, בְּגִין </w:t>
      </w:r>
      <w:r w:rsidRPr="00007309">
        <w:rPr>
          <w:rFonts w:cs="Arial"/>
          <w:b/>
          <w:bCs/>
          <w:sz w:val="36"/>
          <w:szCs w:val="28"/>
          <w:vertAlign w:val="superscript"/>
          <w:rtl/>
        </w:rPr>
        <w:footnoteReference w:id="6512"/>
      </w:r>
      <w:r w:rsidRPr="00007309">
        <w:rPr>
          <w:rFonts w:cs="Arial"/>
          <w:b/>
          <w:bCs/>
          <w:sz w:val="24"/>
          <w:szCs w:val="24"/>
          <w:rtl/>
        </w:rPr>
        <w:t xml:space="preserve">דְּעָלֵהּ אִתְּמַר </w:t>
      </w:r>
      <w:r w:rsidRPr="00007309">
        <w:rPr>
          <w:rFonts w:ascii="Arial" w:hAnsi="Arial" w:cs="Arial"/>
          <w:rtl/>
        </w:rPr>
        <w:t>(משלי כט)</w:t>
      </w:r>
      <w:r w:rsidRPr="00007309">
        <w:rPr>
          <w:rFonts w:cs="Arial"/>
          <w:b/>
          <w:bCs/>
          <w:sz w:val="24"/>
          <w:szCs w:val="24"/>
          <w:rtl/>
        </w:rPr>
        <w:t xml:space="preserve"> בִּדְבָרִים לֹא יוסר עֶבֶד. בְּקַדְמִיתָא מָחִית לֵהּ עַל יַמָּא. כְּעָן קוּם</w:t>
      </w:r>
      <w:r w:rsidRPr="00007309">
        <w:rPr>
          <w:rFonts w:cs="Arial"/>
          <w:b/>
          <w:bCs/>
          <w:sz w:val="24"/>
          <w:szCs w:val="24"/>
        </w:rPr>
        <w:t xml:space="preserve"> </w:t>
      </w:r>
      <w:r w:rsidRPr="00007309">
        <w:rPr>
          <w:rFonts w:cs="Arial"/>
          <w:b/>
          <w:bCs/>
          <w:sz w:val="24"/>
          <w:szCs w:val="24"/>
          <w:rtl/>
        </w:rPr>
        <w:t>מָחֵי לֵהּ בְּיַמָּא דְּאוֹרַיְתָא</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6513"/>
      </w:r>
      <w:r w:rsidRPr="00007309">
        <w:rPr>
          <w:rFonts w:cs="Arial"/>
          <w:b/>
          <w:bCs/>
          <w:sz w:val="24"/>
          <w:szCs w:val="24"/>
          <w:rtl/>
        </w:rPr>
        <w:t>בְּקֻלְמוֹס דִּילָךְ</w:t>
      </w:r>
      <w:r w:rsidRPr="00007309">
        <w:rPr>
          <w:rFonts w:cs="Arial" w:hint="cs"/>
          <w:b/>
          <w:bCs/>
          <w:sz w:val="24"/>
          <w:szCs w:val="24"/>
          <w:rtl/>
        </w:rPr>
        <w:t>,</w:t>
      </w:r>
      <w:r w:rsidRPr="00007309">
        <w:rPr>
          <w:rFonts w:cs="Arial"/>
          <w:b/>
          <w:bCs/>
          <w:sz w:val="24"/>
          <w:szCs w:val="24"/>
          <w:rtl/>
        </w:rPr>
        <w:t xml:space="preserve"> בִּדְרוֹעָא דִּילָךְ</w:t>
      </w:r>
      <w:r w:rsidRPr="00007309">
        <w:rPr>
          <w:rFonts w:cs="Arial" w:hint="cs"/>
          <w:b/>
          <w:bCs/>
          <w:sz w:val="24"/>
          <w:szCs w:val="24"/>
          <w:rtl/>
        </w:rPr>
        <w:t>,</w:t>
      </w:r>
      <w:r w:rsidRPr="00007309">
        <w:rPr>
          <w:rFonts w:cs="Arial"/>
          <w:b/>
          <w:bCs/>
          <w:sz w:val="24"/>
          <w:szCs w:val="24"/>
          <w:rtl/>
        </w:rPr>
        <w:t xml:space="preserve"> בְּיָד דִּילָךְ </w:t>
      </w:r>
      <w:r w:rsidRPr="00007309">
        <w:rPr>
          <w:rFonts w:ascii="Cambria" w:hAnsi="Cambria" w:cs="Times New Roman" w:hint="cs"/>
          <w:b/>
          <w:bCs/>
          <w:i/>
          <w:iCs/>
          <w:color w:val="4F81BD"/>
          <w:sz w:val="24"/>
          <w:szCs w:val="24"/>
          <w:rtl/>
        </w:rPr>
        <w:t>(וילנא יא ע"א)</w:t>
      </w:r>
      <w:r w:rsidRPr="00007309">
        <w:rPr>
          <w:rFonts w:cs="Arial" w:hint="cs"/>
          <w:b/>
          <w:bCs/>
          <w:sz w:val="24"/>
          <w:szCs w:val="24"/>
          <w:rtl/>
        </w:rPr>
        <w:t xml:space="preserve"> </w:t>
      </w:r>
      <w:r w:rsidRPr="00007309">
        <w:rPr>
          <w:rFonts w:cs="Arial"/>
          <w:b/>
          <w:bCs/>
          <w:sz w:val="24"/>
          <w:szCs w:val="24"/>
          <w:rtl/>
        </w:rPr>
        <w:t xml:space="preserve">דְּאִתְּמַר בֵּהּ </w:t>
      </w:r>
      <w:r w:rsidRPr="00007309">
        <w:rPr>
          <w:rFonts w:ascii="Arial" w:hAnsi="Arial" w:cs="Arial"/>
          <w:rtl/>
        </w:rPr>
        <w:t>(שמות יד)</w:t>
      </w:r>
      <w:r w:rsidRPr="00007309">
        <w:rPr>
          <w:rFonts w:cs="Arial"/>
          <w:b/>
          <w:bCs/>
          <w:sz w:val="24"/>
          <w:szCs w:val="24"/>
          <w:rtl/>
        </w:rPr>
        <w:t xml:space="preserve"> וַיֵּט מֹשֶׁה אֶת יָדוֹ עַל הַיָּם דְּהָא </w:t>
      </w:r>
      <w:r w:rsidRPr="00007309">
        <w:rPr>
          <w:rFonts w:cs="Arial"/>
          <w:b/>
          <w:bCs/>
          <w:sz w:val="36"/>
          <w:szCs w:val="28"/>
          <w:vertAlign w:val="superscript"/>
          <w:rtl/>
        </w:rPr>
        <w:footnoteReference w:id="6514"/>
      </w:r>
      <w:r w:rsidRPr="00007309">
        <w:rPr>
          <w:rFonts w:cs="Arial"/>
          <w:b/>
          <w:bCs/>
          <w:sz w:val="24"/>
          <w:szCs w:val="24"/>
          <w:rtl/>
        </w:rPr>
        <w:t xml:space="preserve">בִּימִינָהּ אִתְבַּקְּעָא יַמָּא. </w:t>
      </w:r>
      <w:r w:rsidRPr="00007309">
        <w:rPr>
          <w:rFonts w:cs="Arial"/>
          <w:b/>
          <w:bCs/>
          <w:sz w:val="36"/>
          <w:szCs w:val="28"/>
          <w:vertAlign w:val="superscript"/>
          <w:rtl/>
        </w:rPr>
        <w:footnoteReference w:id="6515"/>
      </w:r>
      <w:r w:rsidRPr="00007309">
        <w:rPr>
          <w:rFonts w:cs="Arial"/>
          <w:b/>
          <w:bCs/>
          <w:sz w:val="24"/>
          <w:szCs w:val="24"/>
          <w:rtl/>
        </w:rPr>
        <w:t xml:space="preserve">בִּשְׂמָאלָא אִתְחַזְרַת יַבָּשָׁה. הָדָא הוּא דִּכְתִיב וּבְנֵי יִשְׂרָאֵל הָלְכוּ בַּיַּבָּשָׁה בְּתוֹךְ הַיָּם </w:t>
      </w:r>
      <w:r w:rsidRPr="00007309">
        <w:rPr>
          <w:rFonts w:ascii="Arial" w:hAnsi="Arial" w:cs="Arial"/>
          <w:rtl/>
        </w:rPr>
        <w:t>(שם)</w:t>
      </w:r>
      <w:r w:rsidRPr="00007309">
        <w:rPr>
          <w:rFonts w:cs="Arial"/>
          <w:b/>
          <w:bCs/>
          <w:sz w:val="24"/>
          <w:szCs w:val="24"/>
          <w:rtl/>
        </w:rPr>
        <w:t xml:space="preserve">. </w:t>
      </w:r>
      <w:r w:rsidRPr="00007309">
        <w:rPr>
          <w:rFonts w:cs="Arial"/>
          <w:b/>
          <w:bCs/>
          <w:sz w:val="36"/>
          <w:szCs w:val="28"/>
          <w:vertAlign w:val="superscript"/>
          <w:rtl/>
        </w:rPr>
        <w:footnoteReference w:id="6516"/>
      </w:r>
      <w:r w:rsidRPr="00007309">
        <w:rPr>
          <w:rFonts w:cs="Arial"/>
          <w:b/>
          <w:bCs/>
          <w:sz w:val="24"/>
          <w:szCs w:val="24"/>
          <w:rtl/>
        </w:rPr>
        <w:t xml:space="preserve">בְּעַמּוּדָא דְּאֶמְצָעִיתָא נָשַׁפְתָּ בְּרוּחֲךָ כִּסָּמוֹ יָם. קוּם נָצַח קְרָבִין דְּהָא בְּרַתָּא דְּמַלְכָּא דִּילָךְ אִיהִי </w:t>
      </w:r>
      <w:r w:rsidRPr="00007309">
        <w:rPr>
          <w:rFonts w:cs="Arial"/>
          <w:b/>
          <w:bCs/>
          <w:sz w:val="36"/>
          <w:szCs w:val="28"/>
          <w:vertAlign w:val="superscript"/>
          <w:rtl/>
        </w:rPr>
        <w:footnoteReference w:id="6517"/>
      </w:r>
      <w:r w:rsidRPr="00007309">
        <w:rPr>
          <w:rFonts w:cs="Arial"/>
          <w:b/>
          <w:bCs/>
          <w:sz w:val="24"/>
          <w:szCs w:val="24"/>
          <w:rtl/>
        </w:rPr>
        <w:t xml:space="preserve">וְלֵךְ אִתְחַזְרַת. </w:t>
      </w:r>
      <w:r w:rsidRPr="00007309">
        <w:rPr>
          <w:rFonts w:cs="Arial"/>
          <w:b/>
          <w:bCs/>
          <w:sz w:val="36"/>
          <w:szCs w:val="28"/>
          <w:vertAlign w:val="superscript"/>
          <w:rtl/>
        </w:rPr>
        <w:footnoteReference w:id="6518"/>
      </w:r>
      <w:r w:rsidRPr="00007309">
        <w:rPr>
          <w:rFonts w:cs="Arial"/>
          <w:b/>
          <w:bCs/>
          <w:sz w:val="24"/>
          <w:szCs w:val="24"/>
          <w:rtl/>
        </w:rPr>
        <w:t xml:space="preserve">וְלֹא עוֹד אֶלָּא כַּמָּה דֻּבִּים וּזְאֵבִים דְּעִרְבּוּבְיָא מִתְכַּנְּשִׁין בְּגָלוּתָא לְמֵיכַל </w:t>
      </w:r>
      <w:r w:rsidRPr="00007309">
        <w:rPr>
          <w:rFonts w:cs="Arial"/>
          <w:b/>
          <w:bCs/>
          <w:sz w:val="36"/>
          <w:szCs w:val="28"/>
          <w:vertAlign w:val="superscript"/>
          <w:rtl/>
        </w:rPr>
        <w:footnoteReference w:id="6519"/>
      </w:r>
      <w:r w:rsidRPr="00007309">
        <w:rPr>
          <w:rFonts w:cs="Arial"/>
          <w:b/>
          <w:bCs/>
          <w:sz w:val="24"/>
          <w:szCs w:val="24"/>
          <w:rtl/>
        </w:rPr>
        <w:t xml:space="preserve">עָאנָא דִּילָךְ, </w:t>
      </w:r>
      <w:r w:rsidRPr="00007309">
        <w:rPr>
          <w:rFonts w:cs="Arial"/>
          <w:b/>
          <w:bCs/>
          <w:sz w:val="36"/>
          <w:szCs w:val="28"/>
          <w:vertAlign w:val="superscript"/>
          <w:rtl/>
        </w:rPr>
        <w:footnoteReference w:id="6520"/>
      </w:r>
      <w:r w:rsidRPr="00007309">
        <w:rPr>
          <w:rFonts w:cs="Arial"/>
          <w:b/>
          <w:bCs/>
          <w:sz w:val="24"/>
          <w:szCs w:val="24"/>
          <w:rtl/>
        </w:rPr>
        <w:t xml:space="preserve">דְּאִתְּמַר בְּהוֹן </w:t>
      </w:r>
      <w:r w:rsidRPr="00007309">
        <w:rPr>
          <w:rFonts w:ascii="Arial" w:hAnsi="Arial" w:cs="Arial"/>
          <w:rtl/>
        </w:rPr>
        <w:t>(יחזקאל לד)</w:t>
      </w:r>
      <w:r w:rsidRPr="00007309">
        <w:rPr>
          <w:rFonts w:cs="Arial"/>
          <w:b/>
          <w:bCs/>
          <w:sz w:val="24"/>
          <w:szCs w:val="24"/>
          <w:rtl/>
        </w:rPr>
        <w:t xml:space="preserve"> וָאַתֶּן צֹאנִי צֹאן מַרְעִיתִי. קוּם נָטִיל </w:t>
      </w:r>
      <w:r w:rsidRPr="00007309">
        <w:rPr>
          <w:rFonts w:cs="Arial"/>
          <w:b/>
          <w:bCs/>
          <w:sz w:val="36"/>
          <w:szCs w:val="28"/>
          <w:vertAlign w:val="superscript"/>
          <w:rtl/>
        </w:rPr>
        <w:footnoteReference w:id="6521"/>
      </w:r>
      <w:r w:rsidRPr="00007309">
        <w:rPr>
          <w:rFonts w:cs="Arial"/>
          <w:b/>
          <w:bCs/>
          <w:sz w:val="24"/>
          <w:szCs w:val="24"/>
          <w:rtl/>
        </w:rPr>
        <w:t xml:space="preserve">קִירְטָא דִּילָךְ לְגַבַּיְהוּ דְּהָא קִירְטָא </w:t>
      </w:r>
      <w:r w:rsidRPr="00007309">
        <w:rPr>
          <w:rFonts w:cs="Arial" w:hint="cs"/>
          <w:b/>
          <w:bCs/>
          <w:sz w:val="24"/>
          <w:szCs w:val="24"/>
          <w:rtl/>
        </w:rPr>
        <w:t>ד</w:t>
      </w:r>
      <w:r w:rsidRPr="00007309">
        <w:rPr>
          <w:rFonts w:cs="Arial"/>
          <w:b/>
          <w:bCs/>
          <w:sz w:val="24"/>
          <w:szCs w:val="24"/>
          <w:rtl/>
        </w:rPr>
        <w:t xml:space="preserve">ְדָוִד אִתְּמַר בָּהּ </w:t>
      </w:r>
      <w:r w:rsidRPr="00007309">
        <w:rPr>
          <w:rFonts w:ascii="Arial" w:hAnsi="Arial" w:cs="Arial"/>
          <w:rtl/>
        </w:rPr>
        <w:t>(שמואל א, יז)</w:t>
      </w:r>
      <w:r w:rsidRPr="00007309">
        <w:rPr>
          <w:rFonts w:cs="Arial"/>
          <w:b/>
          <w:bCs/>
          <w:sz w:val="24"/>
          <w:szCs w:val="24"/>
          <w:rtl/>
        </w:rPr>
        <w:t xml:space="preserve"> וַיִּבְחַר לוֹ </w:t>
      </w:r>
      <w:r w:rsidRPr="00007309">
        <w:rPr>
          <w:rFonts w:cs="Arial"/>
          <w:b/>
          <w:bCs/>
          <w:sz w:val="36"/>
          <w:szCs w:val="28"/>
          <w:vertAlign w:val="superscript"/>
          <w:rtl/>
        </w:rPr>
        <w:footnoteReference w:id="6522"/>
      </w:r>
      <w:r w:rsidRPr="00007309">
        <w:rPr>
          <w:rFonts w:cs="Arial"/>
          <w:b/>
          <w:bCs/>
          <w:sz w:val="24"/>
          <w:szCs w:val="24"/>
          <w:rtl/>
        </w:rPr>
        <w:t xml:space="preserve">חֲמִשָּׁה חַלּוּקֵי אֲבָנִים מִן הַנַּחַל. נָטִיל לוֹן בַּחֲמִשָּׁה תֵּיבִין דְּאִנּוּן שְׁמַע יִשְׂרָאֵל ה' אֱלֹהֵינוּ ה'. </w:t>
      </w:r>
      <w:r w:rsidRPr="00007309">
        <w:rPr>
          <w:rFonts w:cs="Arial"/>
          <w:b/>
          <w:bCs/>
          <w:sz w:val="36"/>
          <w:szCs w:val="28"/>
          <w:vertAlign w:val="superscript"/>
          <w:rtl/>
        </w:rPr>
        <w:footnoteReference w:id="6523"/>
      </w:r>
      <w:r w:rsidRPr="00007309">
        <w:rPr>
          <w:rFonts w:cs="Arial"/>
          <w:b/>
          <w:bCs/>
          <w:sz w:val="24"/>
          <w:szCs w:val="24"/>
          <w:rtl/>
        </w:rPr>
        <w:t xml:space="preserve">וְכַד שַׁוֵּי לוֹן בְּקִירְטָא, אִתְעֲבִידוּ אֶחָד, אַבְנָא חֲדָא, וְקָטִיל לִפְלִישְׁתָּאָה. </w:t>
      </w:r>
    </w:p>
    <w:p w:rsidR="00007309" w:rsidRPr="00007309" w:rsidRDefault="00007309" w:rsidP="00007309">
      <w:pPr>
        <w:keepNext/>
        <w:spacing w:before="240" w:after="60"/>
        <w:outlineLvl w:val="1"/>
        <w:rPr>
          <w:rFonts w:ascii="Cambria" w:hAnsi="Cambria" w:cs="Times New Roman"/>
          <w:b/>
          <w:bCs/>
          <w:i/>
          <w:iCs/>
          <w:sz w:val="28"/>
          <w:szCs w:val="28"/>
          <w:rtl/>
        </w:rPr>
      </w:pPr>
      <w:r w:rsidRPr="00007309">
        <w:rPr>
          <w:rFonts w:ascii="Cambria" w:hAnsi="Cambria" w:cs="Times New Roman" w:hint="cs"/>
          <w:b/>
          <w:bCs/>
          <w:i/>
          <w:iCs/>
          <w:sz w:val="28"/>
          <w:szCs w:val="28"/>
          <w:rtl/>
        </w:rPr>
        <w:t>[דף עו ע"ב]</w:t>
      </w:r>
    </w:p>
    <w:p w:rsidR="00007309" w:rsidRPr="00007309" w:rsidRDefault="00007309" w:rsidP="00007309">
      <w:pPr>
        <w:jc w:val="both"/>
        <w:rPr>
          <w:rFonts w:cs="Arial"/>
          <w:b/>
          <w:bCs/>
          <w:sz w:val="24"/>
          <w:szCs w:val="24"/>
          <w:rtl/>
        </w:rPr>
      </w:pPr>
      <w:r w:rsidRPr="00007309">
        <w:rPr>
          <w:rFonts w:cs="Arial"/>
          <w:b/>
          <w:bCs/>
          <w:sz w:val="24"/>
          <w:szCs w:val="24"/>
          <w:rtl/>
        </w:rPr>
        <w:t xml:space="preserve">וְהַאי אַבְנָא עֲלַהּ אִתְּמַר </w:t>
      </w:r>
      <w:r w:rsidRPr="00007309">
        <w:rPr>
          <w:rFonts w:ascii="Arial" w:hAnsi="Arial" w:cs="Arial"/>
          <w:rtl/>
        </w:rPr>
        <w:t>(דניאל</w:t>
      </w:r>
      <w:r w:rsidRPr="00007309">
        <w:rPr>
          <w:rFonts w:ascii="Arial" w:hAnsi="Arial" w:cs="Arial"/>
        </w:rPr>
        <w:t xml:space="preserve"> </w:t>
      </w:r>
      <w:r w:rsidRPr="00007309">
        <w:rPr>
          <w:rFonts w:ascii="Arial" w:hAnsi="Arial" w:cs="Arial"/>
          <w:rtl/>
        </w:rPr>
        <w:t>ב)</w:t>
      </w:r>
      <w:r w:rsidRPr="00007309">
        <w:rPr>
          <w:rFonts w:cs="Arial"/>
          <w:b/>
          <w:bCs/>
          <w:sz w:val="24"/>
          <w:szCs w:val="24"/>
          <w:rtl/>
        </w:rPr>
        <w:t xml:space="preserve"> וְאַבְנָא דִּי מְחָת </w:t>
      </w:r>
      <w:r w:rsidRPr="00007309">
        <w:rPr>
          <w:rFonts w:cs="Arial"/>
          <w:b/>
          <w:bCs/>
          <w:sz w:val="36"/>
          <w:szCs w:val="28"/>
          <w:vertAlign w:val="superscript"/>
          <w:rtl/>
        </w:rPr>
        <w:footnoteReference w:id="6524"/>
      </w:r>
      <w:r w:rsidRPr="00007309">
        <w:rPr>
          <w:rFonts w:cs="Arial"/>
          <w:b/>
          <w:bCs/>
          <w:sz w:val="24"/>
          <w:szCs w:val="24"/>
          <w:rtl/>
        </w:rPr>
        <w:t xml:space="preserve">לְצַלְמָא הֲוַת לְטוּר רַב וּמָלְאָה כָּל אַרְעָא. הָדָא הוּא דִּכְתִיב </w:t>
      </w:r>
      <w:r w:rsidRPr="00007309">
        <w:rPr>
          <w:rFonts w:ascii="Arial" w:hAnsi="Arial" w:cs="Arial"/>
          <w:rtl/>
        </w:rPr>
        <w:t>(יחזקאל ג)</w:t>
      </w:r>
      <w:r w:rsidRPr="00007309">
        <w:rPr>
          <w:rFonts w:cs="Arial"/>
          <w:b/>
          <w:bCs/>
          <w:sz w:val="24"/>
          <w:szCs w:val="24"/>
          <w:rtl/>
        </w:rPr>
        <w:t xml:space="preserve"> מְלֹא כָל הָאָרֶץ כְּבוֹדוֹ</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6525"/>
      </w:r>
      <w:r w:rsidRPr="00007309">
        <w:rPr>
          <w:rFonts w:cs="Arial"/>
          <w:b/>
          <w:bCs/>
          <w:sz w:val="24"/>
          <w:szCs w:val="24"/>
          <w:rtl/>
        </w:rPr>
        <w:t xml:space="preserve">בָּרוּךְ כְּבוֹד ה' מִמְּקוֹמוֹ. </w:t>
      </w:r>
      <w:r w:rsidRPr="00007309">
        <w:rPr>
          <w:rFonts w:cs="Arial"/>
          <w:b/>
          <w:bCs/>
          <w:sz w:val="36"/>
          <w:szCs w:val="28"/>
          <w:vertAlign w:val="superscript"/>
          <w:rtl/>
        </w:rPr>
        <w:footnoteReference w:id="6526"/>
      </w:r>
      <w:r w:rsidRPr="00007309">
        <w:rPr>
          <w:rFonts w:cs="Arial"/>
          <w:b/>
          <w:bCs/>
          <w:sz w:val="24"/>
          <w:szCs w:val="24"/>
          <w:rtl/>
        </w:rPr>
        <w:t xml:space="preserve">וּבְגִינֵהּ אִתְּמַר </w:t>
      </w:r>
      <w:r w:rsidRPr="00007309">
        <w:rPr>
          <w:rFonts w:ascii="Arial" w:hAnsi="Arial" w:cs="Arial"/>
          <w:rtl/>
        </w:rPr>
        <w:t>(תהלים קיח)</w:t>
      </w:r>
      <w:r w:rsidRPr="00007309">
        <w:rPr>
          <w:rFonts w:cs="Arial"/>
          <w:b/>
          <w:bCs/>
          <w:sz w:val="24"/>
          <w:szCs w:val="24"/>
          <w:rtl/>
        </w:rPr>
        <w:t xml:space="preserve"> אֶבֶן מָאֲסוּ הַבּוֹנִים הָיְתָה לְרֹאשׁ פִּנָּה. מֵאֵת ה' הָיְתָה זֹאת. וּבְגִינָהּ אָמַר דָּוִד </w:t>
      </w:r>
      <w:r w:rsidRPr="00007309">
        <w:rPr>
          <w:rFonts w:ascii="Arial" w:hAnsi="Arial" w:cs="Arial"/>
          <w:rtl/>
        </w:rPr>
        <w:t>(שם כז)</w:t>
      </w:r>
      <w:r w:rsidRPr="00007309">
        <w:rPr>
          <w:rFonts w:cs="Arial"/>
          <w:b/>
          <w:bCs/>
          <w:sz w:val="24"/>
          <w:szCs w:val="24"/>
          <w:rtl/>
        </w:rPr>
        <w:t xml:space="preserve"> אִם תַּחֲנֶה עָלַי מַחֲנֶה לֹא יִירָא לִבִּי וְגוֹ' (שם). בָּזֹאת אֲנִי בּוֹטֵחַ וְאַל יִתְהַלֵּל הַמִּתְהַלֵּל כִּי אִם בָּזֹאת יִתְהַלֵּל הַמִּתְהַלֵּל. </w:t>
      </w:r>
      <w:r w:rsidRPr="00007309">
        <w:rPr>
          <w:rFonts w:ascii="Arial" w:hAnsi="Arial" w:cs="Arial"/>
          <w:rtl/>
        </w:rPr>
        <w:t>(איכה ג)</w:t>
      </w:r>
      <w:r w:rsidRPr="00007309">
        <w:rPr>
          <w:rFonts w:cs="Arial"/>
          <w:b/>
          <w:bCs/>
          <w:sz w:val="24"/>
          <w:szCs w:val="24"/>
          <w:rtl/>
        </w:rPr>
        <w:t xml:space="preserve"> זֹאת אָשִׁיב אֶל לִבִּי עַל כֵּן אוֹחִיל</w:t>
      </w:r>
      <w:r w:rsidRPr="00007309">
        <w:rPr>
          <w:rFonts w:cs="Arial"/>
          <w:b/>
          <w:bCs/>
          <w:sz w:val="24"/>
          <w:szCs w:val="24"/>
        </w:rPr>
        <w:t xml:space="preserve">. </w:t>
      </w:r>
      <w:r w:rsidRPr="00007309">
        <w:rPr>
          <w:rFonts w:cs="Arial"/>
          <w:b/>
          <w:bCs/>
          <w:sz w:val="24"/>
          <w:szCs w:val="24"/>
          <w:rtl/>
        </w:rPr>
        <w:t xml:space="preserve">וְיַעֲקֹב בְּגִין דַּהֲוָה יְדַע דְּאִיהִי עִקָּרָא דְּכֹלָּא, אוֹלִיף לֵהּ לִבְנוֹי. הָדָא הוּא דִּכְתִיב (בראשית מט) וְזֹאת אֲשֶׁר דִּבֵּר לָהֶם אֲבִיהֶם, וּמֹשֶׁה רַבֵּנוּ עָלָיו הַשָּׁלוֹם מִינֵהּ קַבִּיל אוֹרַיְתָא. הָדָא הוּא דִּכְתִיב (דברים מד) וְזֹאת הַתּוֹרָה אֲשֶׁר שָׂם מֹשֶׁה. וְאַהֲרֹן בָּהּ עָאל לְקֹדֶשׁ קָדְשִׁין, וְאִתְקַבֵּל קָרְבָּנֵהּ. הָדָא הוּא דִּכְתִיב (ויקרא טז) בְּזֹאת יָבֹא אֶל הַקֹּדֶשׁ. זֹאת אֲשֶׁר לַלְּוִיִּם. </w:t>
      </w:r>
      <w:r w:rsidRPr="00007309">
        <w:rPr>
          <w:rFonts w:cs="Arial"/>
          <w:b/>
          <w:bCs/>
          <w:sz w:val="36"/>
          <w:szCs w:val="28"/>
          <w:vertAlign w:val="superscript"/>
          <w:rtl/>
        </w:rPr>
        <w:footnoteReference w:id="6527"/>
      </w:r>
      <w:r w:rsidRPr="00007309">
        <w:rPr>
          <w:rFonts w:cs="Arial"/>
          <w:b/>
          <w:bCs/>
          <w:sz w:val="24"/>
          <w:szCs w:val="24"/>
          <w:rtl/>
        </w:rPr>
        <w:t xml:space="preserve">וּבְגִינַהּ </w:t>
      </w:r>
      <w:r w:rsidRPr="00007309">
        <w:rPr>
          <w:rFonts w:ascii="Cambria" w:hAnsi="Cambria" w:cs="Times New Roman" w:hint="cs"/>
          <w:b/>
          <w:bCs/>
          <w:i/>
          <w:iCs/>
          <w:color w:val="4F81BD"/>
          <w:sz w:val="24"/>
          <w:szCs w:val="24"/>
          <w:rtl/>
        </w:rPr>
        <w:t>(דף עו ע"ב)</w:t>
      </w:r>
      <w:r w:rsidRPr="00007309">
        <w:rPr>
          <w:rFonts w:cs="Arial" w:hint="cs"/>
          <w:b/>
          <w:bCs/>
          <w:sz w:val="24"/>
          <w:szCs w:val="24"/>
          <w:rtl/>
        </w:rPr>
        <w:t xml:space="preserve"> </w:t>
      </w:r>
      <w:r w:rsidRPr="00007309">
        <w:rPr>
          <w:rFonts w:cs="Arial"/>
          <w:b/>
          <w:bCs/>
          <w:sz w:val="24"/>
          <w:szCs w:val="24"/>
          <w:rtl/>
        </w:rPr>
        <w:t>אִתְּמַר (זכריה ג) מִשָּׁם רוֹעֶה אֶבֶן יִשְׂרָאֵל. (ב</w:t>
      </w:r>
      <w:r w:rsidRPr="00007309">
        <w:rPr>
          <w:rFonts w:cs="Arial" w:hint="cs"/>
          <w:b/>
          <w:bCs/>
          <w:sz w:val="24"/>
          <w:szCs w:val="24"/>
          <w:rtl/>
        </w:rPr>
        <w:t>ר</w:t>
      </w:r>
      <w:r w:rsidRPr="00007309">
        <w:rPr>
          <w:rFonts w:cs="Arial"/>
          <w:b/>
          <w:bCs/>
          <w:sz w:val="24"/>
          <w:szCs w:val="24"/>
          <w:rtl/>
        </w:rPr>
        <w:t xml:space="preserve">אשית מט) עַל אֶבֶן אַחַת שִׁבְעָה עֵינַיִם. זַכָּאָה אִיהוּ מָאן דְּשַׁוִּי לָהּ בְּקִירְטָא דִּילֵהּ, </w:t>
      </w:r>
      <w:r w:rsidRPr="00007309">
        <w:rPr>
          <w:rFonts w:cs="Arial"/>
          <w:b/>
          <w:bCs/>
          <w:sz w:val="36"/>
          <w:szCs w:val="28"/>
          <w:vertAlign w:val="superscript"/>
          <w:rtl/>
        </w:rPr>
        <w:footnoteReference w:id="6528"/>
      </w:r>
      <w:r w:rsidRPr="00007309">
        <w:rPr>
          <w:rFonts w:cs="Arial"/>
          <w:b/>
          <w:bCs/>
          <w:sz w:val="24"/>
          <w:szCs w:val="24"/>
          <w:rtl/>
        </w:rPr>
        <w:t xml:space="preserve">דְּאִיהִי פּוּמוֹי, בִּקְרִיאַת שְׁמַע, וְזָרִיק לָהּ לְגַבֵּי שָׁמַיִם דְּסַמָּאֵ"ל. דִּבְגִינֵהּ אִתְּמַר (ירמיה ב) </w:t>
      </w:r>
      <w:r w:rsidRPr="00007309">
        <w:rPr>
          <w:rFonts w:cs="Arial"/>
          <w:b/>
          <w:bCs/>
          <w:sz w:val="36"/>
          <w:szCs w:val="28"/>
          <w:vertAlign w:val="superscript"/>
          <w:rtl/>
        </w:rPr>
        <w:footnoteReference w:id="6529"/>
      </w:r>
      <w:r w:rsidRPr="00007309">
        <w:rPr>
          <w:rFonts w:cs="Arial"/>
          <w:b/>
          <w:bCs/>
          <w:sz w:val="24"/>
          <w:szCs w:val="24"/>
          <w:rtl/>
        </w:rPr>
        <w:t xml:space="preserve">שׁוֹמוּ שָׁמַיִם </w:t>
      </w:r>
      <w:r w:rsidRPr="00007309">
        <w:rPr>
          <w:rFonts w:cs="Arial"/>
          <w:b/>
          <w:bCs/>
          <w:sz w:val="36"/>
          <w:szCs w:val="28"/>
          <w:vertAlign w:val="superscript"/>
          <w:rtl/>
        </w:rPr>
        <w:footnoteReference w:id="6530"/>
      </w:r>
      <w:r w:rsidRPr="00007309">
        <w:rPr>
          <w:rFonts w:cs="Arial"/>
          <w:b/>
          <w:bCs/>
          <w:sz w:val="24"/>
          <w:szCs w:val="24"/>
          <w:rtl/>
        </w:rPr>
        <w:t xml:space="preserve">עַל זֹאת. וּבָהּ כִּי שָׁמַיִם דִּילֵהּ בֶּעָשָׁן נִמְלָחוּ וְהָאָרֶץ כַּבֶּגֶד תִּבְלֶה. </w:t>
      </w:r>
    </w:p>
    <w:p w:rsidR="00007309" w:rsidRPr="00007309" w:rsidRDefault="00007309" w:rsidP="00007309">
      <w:pPr>
        <w:jc w:val="both"/>
        <w:rPr>
          <w:rFonts w:cs="Arial"/>
          <w:b/>
          <w:bCs/>
          <w:sz w:val="24"/>
          <w:szCs w:val="24"/>
          <w:rtl/>
        </w:rPr>
      </w:pPr>
      <w:r w:rsidRPr="00007309">
        <w:rPr>
          <w:rFonts w:cs="Arial"/>
          <w:b/>
          <w:bCs/>
          <w:sz w:val="36"/>
          <w:szCs w:val="28"/>
          <w:vertAlign w:val="superscript"/>
          <w:rtl/>
        </w:rPr>
        <w:footnoteReference w:id="6531"/>
      </w:r>
      <w:r w:rsidRPr="00007309">
        <w:rPr>
          <w:rFonts w:cs="Arial"/>
          <w:b/>
          <w:bCs/>
          <w:sz w:val="24"/>
          <w:szCs w:val="24"/>
          <w:rtl/>
        </w:rPr>
        <w:t xml:space="preserve">וְאַנְתְּ רָעֲיָא מְהֵימָנָא, קוּם טֹל קִירְטָא דִּילָךְ. דְּלַאֲתַר עִלָּאָה אַנְתְּ סָלִיק לֵהּ, יַתִּיר מִדָּוִד </w:t>
      </w:r>
      <w:r w:rsidRPr="00007309">
        <w:rPr>
          <w:rFonts w:cs="Arial"/>
          <w:b/>
          <w:bCs/>
          <w:sz w:val="36"/>
          <w:szCs w:val="28"/>
          <w:vertAlign w:val="superscript"/>
          <w:rtl/>
        </w:rPr>
        <w:footnoteReference w:id="6532"/>
      </w:r>
      <w:r w:rsidRPr="00007309">
        <w:rPr>
          <w:rFonts w:cs="Arial"/>
          <w:b/>
          <w:bCs/>
          <w:sz w:val="24"/>
          <w:szCs w:val="24"/>
          <w:rtl/>
        </w:rPr>
        <w:t xml:space="preserve">וּמִכָּל נְבִיאַיָּא </w:t>
      </w:r>
      <w:r w:rsidRPr="00007309">
        <w:rPr>
          <w:rFonts w:cs="Arial"/>
          <w:b/>
          <w:bCs/>
          <w:sz w:val="36"/>
          <w:szCs w:val="28"/>
          <w:vertAlign w:val="superscript"/>
          <w:rtl/>
        </w:rPr>
        <w:footnoteReference w:id="6533"/>
      </w:r>
      <w:r w:rsidRPr="00007309">
        <w:rPr>
          <w:rFonts w:cs="Arial"/>
          <w:b/>
          <w:bCs/>
          <w:sz w:val="24"/>
          <w:szCs w:val="24"/>
          <w:rtl/>
        </w:rPr>
        <w:t xml:space="preserve">וְחַכְמַיָּא דְּכָל דָּרָא וְדָרָא. </w:t>
      </w:r>
      <w:r w:rsidRPr="00007309">
        <w:rPr>
          <w:rFonts w:cs="Arial"/>
          <w:b/>
          <w:bCs/>
          <w:sz w:val="36"/>
          <w:szCs w:val="28"/>
          <w:vertAlign w:val="superscript"/>
          <w:rtl/>
        </w:rPr>
        <w:footnoteReference w:id="6534"/>
      </w:r>
      <w:r w:rsidRPr="00007309">
        <w:rPr>
          <w:rFonts w:cs="Arial"/>
          <w:b/>
          <w:bCs/>
          <w:sz w:val="24"/>
          <w:szCs w:val="24"/>
          <w:rtl/>
        </w:rPr>
        <w:t xml:space="preserve">וְהַאי אִיהִי קִירְטָא דִּילָךְ. זַרְקָא מֻקָּף שׁוֹפָר הוֹלֵךְ סְגוֹלְתָּא. דְּאַבְנָא דָּא מִפּוּמָךְ סַלְקָא לְאָתָא דְּאִתְּמַר בֵּהּ בַּמֻּפְלָא מִמְּךָ אַל תִּדְרֹשׁ וּבַמְכֻסֶּה מִמְּךָ אַל תַּחֲקֹר. וְאִיהִי שְׁמָא דְּכֶתֶר עִלָּאָה </w:t>
      </w:r>
      <w:r w:rsidRPr="00007309">
        <w:rPr>
          <w:rFonts w:cs="Arial"/>
          <w:b/>
          <w:bCs/>
          <w:sz w:val="36"/>
          <w:szCs w:val="28"/>
          <w:vertAlign w:val="superscript"/>
          <w:rtl/>
        </w:rPr>
        <w:footnoteReference w:id="6535"/>
      </w:r>
      <w:r w:rsidRPr="00007309">
        <w:rPr>
          <w:rFonts w:cs="Arial"/>
          <w:b/>
          <w:bCs/>
          <w:sz w:val="24"/>
          <w:szCs w:val="24"/>
          <w:rtl/>
        </w:rPr>
        <w:t xml:space="preserve">דְּאִיהוּ חָכְמָה קְדוּמָה. </w:t>
      </w:r>
      <w:r w:rsidRPr="00007309">
        <w:rPr>
          <w:rFonts w:cs="Arial"/>
          <w:b/>
          <w:bCs/>
          <w:sz w:val="36"/>
          <w:szCs w:val="28"/>
          <w:vertAlign w:val="superscript"/>
          <w:rtl/>
        </w:rPr>
        <w:footnoteReference w:id="6536"/>
      </w:r>
      <w:r w:rsidRPr="00007309">
        <w:rPr>
          <w:rFonts w:cs="Arial"/>
          <w:b/>
          <w:bCs/>
          <w:sz w:val="24"/>
          <w:szCs w:val="24"/>
          <w:rtl/>
        </w:rPr>
        <w:t xml:space="preserve">דְּהָכֵי סָלִיק חָכְמָה לְחֻשְׁבַּן שְׁמָא קַדִּישָׁא, עִם עֶשֶׂר אַתְוָן בִּכְלָלָא, דְּאִנּוּן יוּ'ד הֵ'י וָא'ו הֵ'י. </w:t>
      </w:r>
      <w:r w:rsidRPr="00007309">
        <w:rPr>
          <w:rFonts w:cs="Arial"/>
          <w:b/>
          <w:bCs/>
          <w:sz w:val="36"/>
          <w:szCs w:val="28"/>
          <w:vertAlign w:val="superscript"/>
          <w:rtl/>
        </w:rPr>
        <w:footnoteReference w:id="6537"/>
      </w:r>
      <w:r w:rsidRPr="00007309">
        <w:rPr>
          <w:rFonts w:cs="Arial"/>
          <w:b/>
          <w:bCs/>
          <w:sz w:val="24"/>
          <w:szCs w:val="24"/>
          <w:rtl/>
        </w:rPr>
        <w:t xml:space="preserve">דְּתַמָּן תְּלָת יוּדִי"ן </w:t>
      </w:r>
      <w:r w:rsidRPr="00007309">
        <w:rPr>
          <w:rFonts w:cs="Arial"/>
          <w:b/>
          <w:bCs/>
          <w:sz w:val="36"/>
          <w:szCs w:val="28"/>
          <w:vertAlign w:val="superscript"/>
          <w:rtl/>
        </w:rPr>
        <w:footnoteReference w:id="6538"/>
      </w:r>
      <w:r w:rsidRPr="00007309">
        <w:rPr>
          <w:rFonts w:cs="Arial"/>
          <w:b/>
          <w:bCs/>
          <w:sz w:val="24"/>
          <w:szCs w:val="24"/>
          <w:rtl/>
        </w:rPr>
        <w:t>דְּאִנּוּן שְׁמָא דְּאַכְתַּר לִשְׁמָא דְּחָכְמָה זְעֵירָא. דָּא כָּלִיל עֶשֶׂר מֵעֵלָּא לְתַתָּא. וְחָכְמָה</w:t>
      </w:r>
      <w:r w:rsidRPr="00007309">
        <w:rPr>
          <w:rFonts w:cs="Arial"/>
          <w:b/>
          <w:bCs/>
          <w:sz w:val="24"/>
          <w:szCs w:val="24"/>
        </w:rPr>
        <w:t xml:space="preserve"> </w:t>
      </w:r>
      <w:r w:rsidRPr="00007309">
        <w:rPr>
          <w:rFonts w:cs="Arial"/>
          <w:b/>
          <w:bCs/>
          <w:sz w:val="24"/>
          <w:szCs w:val="24"/>
          <w:rtl/>
        </w:rPr>
        <w:t xml:space="preserve">זְעֵירָא כָּלִיל עֶשֶׂר מִתַּתָּא לְעֵלָּא. </w:t>
      </w:r>
      <w:r w:rsidRPr="00007309">
        <w:rPr>
          <w:rFonts w:cs="Arial"/>
          <w:b/>
          <w:bCs/>
          <w:sz w:val="36"/>
          <w:szCs w:val="28"/>
          <w:vertAlign w:val="superscript"/>
          <w:rtl/>
        </w:rPr>
        <w:footnoteReference w:id="6539"/>
      </w:r>
      <w:r w:rsidRPr="00007309">
        <w:rPr>
          <w:rFonts w:cs="Arial"/>
          <w:b/>
          <w:bCs/>
          <w:sz w:val="24"/>
          <w:szCs w:val="24"/>
          <w:rtl/>
        </w:rPr>
        <w:t xml:space="preserve">עֶשֶׂר בִּגְבוּרָא מֵעֵלָּא </w:t>
      </w:r>
      <w:r w:rsidRPr="00007309">
        <w:rPr>
          <w:rFonts w:cs="Arial"/>
          <w:b/>
          <w:bCs/>
          <w:sz w:val="36"/>
          <w:szCs w:val="28"/>
          <w:vertAlign w:val="superscript"/>
          <w:rtl/>
        </w:rPr>
        <w:footnoteReference w:id="6540"/>
      </w:r>
      <w:r w:rsidRPr="00007309">
        <w:rPr>
          <w:rFonts w:cs="Arial"/>
          <w:b/>
          <w:bCs/>
          <w:sz w:val="24"/>
          <w:szCs w:val="24"/>
          <w:rtl/>
        </w:rPr>
        <w:t xml:space="preserve">סְגוֹלְתָּא, </w:t>
      </w:r>
      <w:r w:rsidRPr="00007309">
        <w:rPr>
          <w:rFonts w:cs="Arial"/>
          <w:b/>
          <w:bCs/>
          <w:sz w:val="36"/>
          <w:szCs w:val="28"/>
          <w:vertAlign w:val="superscript"/>
          <w:rtl/>
        </w:rPr>
        <w:footnoteReference w:id="6541"/>
      </w:r>
      <w:r w:rsidRPr="00007309">
        <w:rPr>
          <w:rFonts w:cs="Arial"/>
          <w:b/>
          <w:bCs/>
          <w:sz w:val="24"/>
          <w:szCs w:val="24"/>
          <w:rtl/>
        </w:rPr>
        <w:t xml:space="preserve">דְּמִתַּמָּן אִתְקְרִיאַת שְׁכִינְתָּא </w:t>
      </w:r>
      <w:r w:rsidRPr="00007309">
        <w:rPr>
          <w:rFonts w:cs="Arial"/>
          <w:b/>
          <w:bCs/>
          <w:sz w:val="36"/>
          <w:szCs w:val="28"/>
          <w:vertAlign w:val="superscript"/>
          <w:rtl/>
        </w:rPr>
        <w:footnoteReference w:id="6542"/>
      </w:r>
      <w:r w:rsidRPr="00007309">
        <w:rPr>
          <w:rFonts w:cs="Arial"/>
          <w:b/>
          <w:bCs/>
          <w:sz w:val="24"/>
          <w:szCs w:val="24"/>
          <w:rtl/>
        </w:rPr>
        <w:t xml:space="preserve">סְגֻלַּת מְלָכִים, וְאִיהִי שַׂנָּאָה (שצאה) לְאֻמִּין דְּעָלְמָא. </w:t>
      </w:r>
      <w:r w:rsidRPr="00007309">
        <w:rPr>
          <w:rFonts w:cs="Arial"/>
          <w:b/>
          <w:bCs/>
          <w:sz w:val="36"/>
          <w:szCs w:val="28"/>
          <w:vertAlign w:val="superscript"/>
          <w:rtl/>
        </w:rPr>
        <w:footnoteReference w:id="6543"/>
      </w:r>
      <w:r w:rsidRPr="00007309">
        <w:rPr>
          <w:rFonts w:cs="Arial"/>
          <w:b/>
          <w:bCs/>
          <w:sz w:val="24"/>
          <w:szCs w:val="24"/>
          <w:rtl/>
        </w:rPr>
        <w:t xml:space="preserve">אִיהִי אַבְנָא חֲדָא כְּלִילָא מֵעֶשֶׂר אַתְוָן מִתַּתָּא לְעֵלָּא דִּרְמִיזִין בְּיוּ'ד הֵ'א וָא'ו הֵ'א. </w:t>
      </w:r>
      <w:r w:rsidRPr="00007309">
        <w:rPr>
          <w:rFonts w:cs="Arial"/>
          <w:b/>
          <w:bCs/>
          <w:sz w:val="36"/>
          <w:szCs w:val="28"/>
          <w:vertAlign w:val="superscript"/>
          <w:rtl/>
        </w:rPr>
        <w:footnoteReference w:id="6544"/>
      </w:r>
      <w:r w:rsidRPr="00007309">
        <w:rPr>
          <w:rFonts w:cs="Arial"/>
          <w:b/>
          <w:bCs/>
          <w:sz w:val="24"/>
          <w:szCs w:val="24"/>
          <w:rtl/>
        </w:rPr>
        <w:t xml:space="preserve">תְּלָת אַלְפִין אִלֵּין דְּחָכְמָה זְעֵירָא </w:t>
      </w:r>
      <w:r w:rsidRPr="00007309">
        <w:rPr>
          <w:rFonts w:cs="Arial"/>
          <w:b/>
          <w:bCs/>
          <w:sz w:val="36"/>
          <w:szCs w:val="28"/>
          <w:vertAlign w:val="superscript"/>
          <w:rtl/>
        </w:rPr>
        <w:footnoteReference w:id="6545"/>
      </w:r>
      <w:r w:rsidRPr="00007309">
        <w:rPr>
          <w:rFonts w:cs="Arial"/>
          <w:b/>
          <w:bCs/>
          <w:sz w:val="24"/>
          <w:szCs w:val="24"/>
          <w:rtl/>
        </w:rPr>
        <w:t>דְּתַמָּן כ"ח מ"ה. דְּהַאי אִיהוּ שְׁמָא דְּסָלִיק מָ"ה בְּחֻשְׁבָּן. וְתַלְיָן מִנֵּהּ כ"ח אַתְוָן דְּאִנּוּן יוּ'ד וָא'ו דָּלֶ'ת, הֵ'א אָלֶ'ף, וָא'ו אָלֶ'ף וָא'ו</w:t>
      </w:r>
      <w:r w:rsidRPr="00007309">
        <w:rPr>
          <w:rFonts w:cs="Arial" w:hint="cs"/>
          <w:b/>
          <w:bCs/>
          <w:sz w:val="24"/>
          <w:szCs w:val="24"/>
          <w:rtl/>
        </w:rPr>
        <w:t>,</w:t>
      </w:r>
      <w:r w:rsidRPr="00007309">
        <w:rPr>
          <w:rFonts w:cs="Arial"/>
          <w:b/>
          <w:bCs/>
          <w:sz w:val="24"/>
          <w:szCs w:val="24"/>
          <w:rtl/>
        </w:rPr>
        <w:t xml:space="preserve"> הֵ'א אָלֶ'ף. וּתְלָת אַלְפִין דְּהַאי שְׁמָא אִלֵּין </w:t>
      </w:r>
      <w:r w:rsidRPr="00007309">
        <w:rPr>
          <w:rFonts w:cs="Arial"/>
          <w:b/>
          <w:bCs/>
          <w:sz w:val="36"/>
          <w:szCs w:val="28"/>
          <w:vertAlign w:val="superscript"/>
          <w:rtl/>
        </w:rPr>
        <w:footnoteReference w:id="6546"/>
      </w:r>
      <w:r w:rsidRPr="00007309">
        <w:rPr>
          <w:rFonts w:cs="Arial"/>
          <w:b/>
          <w:bCs/>
          <w:sz w:val="24"/>
          <w:szCs w:val="24"/>
          <w:rtl/>
        </w:rPr>
        <w:t xml:space="preserve">דְּסַלְקִין אֶהְיֶה תְּלָת זִמְנִין, כְּחֻשְׁבָּן דְּרָמִיז קוּדְשָׁא בְּרִיךְ הוּא לֵךְ בִּשְׁלִיחוּתְךָ, לְאַפָּקָא לְיִשְׂרָאֵל מִמִּצְרַיִם. הָדָא הוּא דִּכְתִיב (שמות ג) וַיֹּאמֶר אֱלֹהִים אֶל מֹשֶׁה אֶהְיֶה אֲשֶׁר אֶהְיֶה כֹּה תֹּאמַר אֶל בְּנֵי יִשְׂרָאֵל אֶהְיֶה שַׁלְּחֵנִי אֲלֵיכֶם. </w:t>
      </w:r>
      <w:r w:rsidRPr="00007309">
        <w:rPr>
          <w:rFonts w:cs="Arial"/>
          <w:b/>
          <w:bCs/>
          <w:sz w:val="36"/>
          <w:szCs w:val="28"/>
          <w:vertAlign w:val="superscript"/>
          <w:rtl/>
        </w:rPr>
        <w:footnoteReference w:id="6547"/>
      </w:r>
      <w:r w:rsidRPr="00007309">
        <w:rPr>
          <w:rFonts w:cs="Arial"/>
          <w:b/>
          <w:bCs/>
          <w:sz w:val="24"/>
          <w:szCs w:val="24"/>
          <w:rtl/>
        </w:rPr>
        <w:t xml:space="preserve">וּבֵהּ אִשְׁתְּמוֹדַע </w:t>
      </w:r>
      <w:r w:rsidRPr="00007309">
        <w:rPr>
          <w:rFonts w:cs="Arial"/>
          <w:b/>
          <w:bCs/>
          <w:sz w:val="36"/>
          <w:szCs w:val="28"/>
          <w:vertAlign w:val="superscript"/>
          <w:rtl/>
        </w:rPr>
        <w:footnoteReference w:id="6548"/>
      </w:r>
      <w:r w:rsidRPr="00007309">
        <w:rPr>
          <w:rFonts w:cs="Arial"/>
          <w:b/>
          <w:bCs/>
          <w:sz w:val="24"/>
          <w:szCs w:val="24"/>
          <w:rtl/>
        </w:rPr>
        <w:t xml:space="preserve">דְּהוּא מֻפְלָא וּמְכֻסֶּה מִסִּטְרָא דְּעִלַּת כָּל עִלָּאִין, דְּאִתְּמַר בֵּהּ בְּג' יוֹדִין דִּסְגוֹלְתָּא </w:t>
      </w:r>
      <w:r w:rsidRPr="00007309">
        <w:rPr>
          <w:rFonts w:cs="Arial"/>
          <w:b/>
          <w:bCs/>
          <w:sz w:val="36"/>
          <w:szCs w:val="28"/>
          <w:vertAlign w:val="superscript"/>
          <w:rtl/>
        </w:rPr>
        <w:footnoteReference w:id="6549"/>
      </w:r>
      <w:r w:rsidRPr="00007309">
        <w:rPr>
          <w:rFonts w:cs="Arial"/>
          <w:b/>
          <w:bCs/>
          <w:sz w:val="24"/>
          <w:szCs w:val="24"/>
          <w:rtl/>
        </w:rPr>
        <w:t xml:space="preserve">אֲנִי רִאשׁוֹן וַאֲנִי אַחֲרוֹן וּמִבִּלְעֲדַי אֵין אֱלֹהִים. </w:t>
      </w:r>
    </w:p>
    <w:p w:rsidR="00007309" w:rsidRPr="00007309" w:rsidRDefault="00007309" w:rsidP="00007309">
      <w:pPr>
        <w:keepNext/>
        <w:spacing w:before="240" w:after="60"/>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[וילנא יא ע"ב]</w:t>
      </w:r>
    </w:p>
    <w:p w:rsidR="00007309" w:rsidRPr="00007309" w:rsidRDefault="00007309" w:rsidP="00007309">
      <w:pPr>
        <w:jc w:val="both"/>
        <w:rPr>
          <w:rFonts w:cs="Arial"/>
          <w:b/>
          <w:bCs/>
          <w:sz w:val="24"/>
          <w:szCs w:val="24"/>
        </w:rPr>
      </w:pPr>
      <w:r w:rsidRPr="00007309">
        <w:rPr>
          <w:rFonts w:cs="Arial"/>
          <w:b/>
          <w:bCs/>
          <w:sz w:val="36"/>
          <w:szCs w:val="28"/>
          <w:vertAlign w:val="superscript"/>
          <w:rtl/>
        </w:rPr>
        <w:footnoteReference w:id="6550"/>
      </w:r>
      <w:r w:rsidRPr="00007309">
        <w:rPr>
          <w:rFonts w:cs="Arial"/>
          <w:b/>
          <w:bCs/>
          <w:sz w:val="24"/>
          <w:szCs w:val="24"/>
          <w:rtl/>
        </w:rPr>
        <w:t xml:space="preserve">וּמִסִּטְרָא דְּעִלַּת כָּל עִלָּאִין אִתְקְרִיאַת שְׁכִינְתָּא אֱמוּנָה דְּיִשְׂרָאֵל. </w:t>
      </w:r>
      <w:r w:rsidRPr="00007309">
        <w:rPr>
          <w:rFonts w:cs="Arial"/>
          <w:b/>
          <w:bCs/>
          <w:sz w:val="36"/>
          <w:szCs w:val="28"/>
          <w:vertAlign w:val="superscript"/>
          <w:rtl/>
        </w:rPr>
        <w:footnoteReference w:id="6551"/>
      </w:r>
      <w:r w:rsidRPr="00007309">
        <w:rPr>
          <w:rFonts w:cs="Arial"/>
          <w:b/>
          <w:bCs/>
          <w:sz w:val="24"/>
          <w:szCs w:val="24"/>
          <w:rtl/>
        </w:rPr>
        <w:t xml:space="preserve">וְהַאי אַבְנָא חֲדָא י' </w:t>
      </w:r>
      <w:r w:rsidRPr="00007309">
        <w:rPr>
          <w:rFonts w:cs="Arial"/>
          <w:b/>
          <w:bCs/>
          <w:sz w:val="36"/>
          <w:szCs w:val="28"/>
          <w:vertAlign w:val="superscript"/>
          <w:rtl/>
        </w:rPr>
        <w:footnoteReference w:id="6552"/>
      </w:r>
      <w:r w:rsidRPr="00007309">
        <w:rPr>
          <w:rFonts w:cs="Arial"/>
          <w:b/>
          <w:bCs/>
          <w:sz w:val="24"/>
          <w:szCs w:val="24"/>
          <w:rtl/>
        </w:rPr>
        <w:t xml:space="preserve">בְּחֻשְׁבָּנָא עֶשֶׂר, וְאִית לָהּ קוֹצָא לְעֵלָּא וְקוֹצָא לְתַתָּא. וְנִקּוּדָא בְּאֶמְצָעִיתָא </w:t>
      </w:r>
      <w:r w:rsidRPr="00007309">
        <w:rPr>
          <w:rFonts w:cs="Arial"/>
          <w:b/>
          <w:bCs/>
          <w:sz w:val="36"/>
          <w:szCs w:val="28"/>
          <w:vertAlign w:val="superscript"/>
          <w:rtl/>
        </w:rPr>
        <w:footnoteReference w:id="6553"/>
      </w:r>
      <w:r w:rsidRPr="00007309">
        <w:rPr>
          <w:rFonts w:cs="Arial"/>
          <w:b/>
          <w:bCs/>
          <w:sz w:val="24"/>
          <w:szCs w:val="24"/>
          <w:rtl/>
        </w:rPr>
        <w:t xml:space="preserve">וְכֹלָּא אֶחָד. </w:t>
      </w:r>
      <w:r w:rsidRPr="00007309">
        <w:rPr>
          <w:rFonts w:cs="Arial"/>
          <w:b/>
          <w:bCs/>
          <w:sz w:val="36"/>
          <w:szCs w:val="28"/>
          <w:vertAlign w:val="superscript"/>
          <w:rtl/>
        </w:rPr>
        <w:footnoteReference w:id="6554"/>
      </w:r>
      <w:r w:rsidRPr="00007309">
        <w:rPr>
          <w:rFonts w:cs="Arial"/>
          <w:b/>
          <w:bCs/>
          <w:sz w:val="24"/>
          <w:szCs w:val="24"/>
          <w:rtl/>
        </w:rPr>
        <w:t xml:space="preserve">וּמִתַּמָּן </w:t>
      </w:r>
      <w:r w:rsidRPr="00007309">
        <w:rPr>
          <w:rFonts w:cs="Arial"/>
          <w:b/>
          <w:bCs/>
          <w:sz w:val="36"/>
          <w:szCs w:val="28"/>
          <w:vertAlign w:val="superscript"/>
          <w:rtl/>
        </w:rPr>
        <w:footnoteReference w:id="6555"/>
      </w:r>
      <w:r w:rsidRPr="00007309">
        <w:rPr>
          <w:rFonts w:cs="Arial"/>
          <w:b/>
          <w:bCs/>
          <w:sz w:val="24"/>
          <w:szCs w:val="24"/>
          <w:rtl/>
        </w:rPr>
        <w:t xml:space="preserve">קָרָא לְמֹשֶׁה לְעַמּוּדָא דְּאֶמְצָעִיתָא בְּי"ג מְכִילָן דְּרַחֲמֵי. </w:t>
      </w:r>
      <w:r w:rsidRPr="00007309">
        <w:rPr>
          <w:rFonts w:cs="Arial"/>
          <w:b/>
          <w:bCs/>
          <w:sz w:val="36"/>
          <w:szCs w:val="28"/>
          <w:vertAlign w:val="superscript"/>
          <w:rtl/>
        </w:rPr>
        <w:footnoteReference w:id="6556"/>
      </w:r>
      <w:r w:rsidRPr="00007309">
        <w:rPr>
          <w:rFonts w:cs="Arial"/>
          <w:b/>
          <w:bCs/>
          <w:sz w:val="24"/>
          <w:szCs w:val="24"/>
          <w:rtl/>
        </w:rPr>
        <w:t xml:space="preserve">דְּמָאן דְּקָרָא בְּאִלֵּין י"ג מְכִילָן דְּרַחֲמֵי לְעִלַּת כָּל הָעִלּוֹת לֹא יַחֲזֹר רֵיקָם בִּצְלוֹתֵהּ. </w:t>
      </w:r>
      <w:r w:rsidRPr="00007309">
        <w:rPr>
          <w:rFonts w:cs="Arial"/>
          <w:b/>
          <w:bCs/>
          <w:sz w:val="36"/>
          <w:szCs w:val="28"/>
          <w:vertAlign w:val="superscript"/>
          <w:rtl/>
        </w:rPr>
        <w:footnoteReference w:id="6557"/>
      </w:r>
      <w:r w:rsidRPr="00007309">
        <w:rPr>
          <w:rFonts w:cs="Arial"/>
          <w:b/>
          <w:bCs/>
          <w:sz w:val="24"/>
          <w:szCs w:val="24"/>
          <w:rtl/>
        </w:rPr>
        <w:t xml:space="preserve">וְכַד אִיהוּ רָכִיב עַל אַבְנָא חֲדָא </w:t>
      </w:r>
      <w:r w:rsidRPr="00007309">
        <w:rPr>
          <w:rFonts w:cs="Arial"/>
          <w:b/>
          <w:bCs/>
          <w:sz w:val="36"/>
          <w:szCs w:val="28"/>
          <w:vertAlign w:val="superscript"/>
          <w:rtl/>
        </w:rPr>
        <w:footnoteReference w:id="6558"/>
      </w:r>
      <w:r w:rsidRPr="00007309">
        <w:rPr>
          <w:rFonts w:cs="Arial"/>
          <w:b/>
          <w:bCs/>
          <w:sz w:val="24"/>
          <w:szCs w:val="24"/>
          <w:rtl/>
        </w:rPr>
        <w:t>לֵית מְמָנָא וְשֻׂלְטָן דְּבִשְׁמַיָּא וְאַרְעָא, דְּקַיְּמָא קַמֵּי הַאי אַבְנָא. דִּבְהַהוּא זִמְנָא אִתְּמַר בְּסַמָּאֵ"ל</w:t>
      </w:r>
      <w:r w:rsidRPr="00007309">
        <w:rPr>
          <w:rFonts w:ascii="Cambria" w:hAnsi="Cambria" w:cs="Times New Roman"/>
          <w:b/>
          <w:bCs/>
          <w:i/>
          <w:iCs/>
          <w:color w:val="4F81BD"/>
          <w:sz w:val="24"/>
          <w:szCs w:val="24"/>
          <w:rtl/>
        </w:rPr>
        <w:t xml:space="preserve"> </w:t>
      </w:r>
      <w:r w:rsidRPr="00007309">
        <w:rPr>
          <w:rFonts w:ascii="Cambria" w:hAnsi="Cambria" w:cs="Times New Roman" w:hint="cs"/>
          <w:b/>
          <w:bCs/>
          <w:i/>
          <w:iCs/>
          <w:color w:val="4F81BD"/>
          <w:sz w:val="24"/>
          <w:szCs w:val="24"/>
          <w:rtl/>
        </w:rPr>
        <w:t xml:space="preserve">(וילנא דף יא ע"ב) </w:t>
      </w:r>
      <w:r w:rsidRPr="00007309">
        <w:rPr>
          <w:rFonts w:cs="Arial"/>
          <w:b/>
          <w:bCs/>
          <w:sz w:val="24"/>
          <w:szCs w:val="24"/>
          <w:rtl/>
        </w:rPr>
        <w:t xml:space="preserve">(עובדיה א) </w:t>
      </w:r>
      <w:r w:rsidRPr="00007309">
        <w:rPr>
          <w:rFonts w:cs="Arial"/>
          <w:b/>
          <w:bCs/>
          <w:sz w:val="36"/>
          <w:szCs w:val="28"/>
          <w:vertAlign w:val="superscript"/>
          <w:rtl/>
        </w:rPr>
        <w:footnoteReference w:id="6559"/>
      </w:r>
      <w:r w:rsidRPr="00007309">
        <w:rPr>
          <w:rFonts w:cs="Arial"/>
          <w:b/>
          <w:bCs/>
          <w:sz w:val="24"/>
          <w:szCs w:val="24"/>
          <w:rtl/>
        </w:rPr>
        <w:t xml:space="preserve">אִם תַּגְבִּיהַּ כַּנֶּשֶׁר וְאִם בֵּין כּוֹכָבִים שִׂים קִנֶּךָ וְגוֹ'. וְהָכֵי י' תַּתָּאָה סְלִיקַת לְי"ג מְכִילָן, </w:t>
      </w:r>
      <w:r w:rsidRPr="00007309">
        <w:rPr>
          <w:rFonts w:cs="Arial"/>
          <w:b/>
          <w:bCs/>
          <w:sz w:val="36"/>
          <w:szCs w:val="28"/>
          <w:vertAlign w:val="superscript"/>
          <w:rtl/>
        </w:rPr>
        <w:footnoteReference w:id="6560"/>
      </w:r>
      <w:r w:rsidRPr="00007309">
        <w:rPr>
          <w:rFonts w:cs="Arial"/>
          <w:b/>
          <w:bCs/>
          <w:sz w:val="24"/>
          <w:szCs w:val="24"/>
          <w:rtl/>
        </w:rPr>
        <w:t>וּרְמִיזָן בְּאָת א'</w:t>
      </w:r>
      <w:r w:rsidRPr="00007309">
        <w:rPr>
          <w:rFonts w:cs="Arial" w:hint="cs"/>
          <w:b/>
          <w:bCs/>
          <w:sz w:val="24"/>
          <w:szCs w:val="24"/>
          <w:rtl/>
        </w:rPr>
        <w:t>,</w:t>
      </w:r>
      <w:r w:rsidRPr="00007309">
        <w:rPr>
          <w:rFonts w:cs="Arial"/>
          <w:b/>
          <w:bCs/>
          <w:sz w:val="24"/>
          <w:szCs w:val="24"/>
          <w:rtl/>
        </w:rPr>
        <w:t xml:space="preserve"> י' לְעֵלָּא </w:t>
      </w:r>
      <w:r w:rsidRPr="00007309">
        <w:rPr>
          <w:rFonts w:cs="Arial"/>
          <w:b/>
          <w:bCs/>
          <w:sz w:val="36"/>
          <w:szCs w:val="28"/>
          <w:vertAlign w:val="superscript"/>
          <w:rtl/>
        </w:rPr>
        <w:footnoteReference w:id="6561"/>
      </w:r>
      <w:r w:rsidRPr="00007309">
        <w:rPr>
          <w:rFonts w:cs="Arial"/>
          <w:b/>
          <w:bCs/>
          <w:sz w:val="24"/>
          <w:szCs w:val="24"/>
          <w:rtl/>
        </w:rPr>
        <w:t>וי' לְתַתָּא, חָכְמָה בָּרֹאשׁ וְחָכְמָה בַּסּוֹף</w:t>
      </w:r>
      <w:r w:rsidRPr="00007309">
        <w:rPr>
          <w:rFonts w:cs="Arial" w:hint="cs"/>
          <w:b/>
          <w:bCs/>
          <w:sz w:val="24"/>
          <w:szCs w:val="24"/>
          <w:rtl/>
        </w:rPr>
        <w:t>,</w:t>
      </w:r>
      <w:r w:rsidRPr="00007309">
        <w:rPr>
          <w:rFonts w:cs="Arial"/>
          <w:b/>
          <w:bCs/>
          <w:sz w:val="24"/>
          <w:szCs w:val="24"/>
          <w:rtl/>
        </w:rPr>
        <w:t xml:space="preserve"> ו' </w:t>
      </w:r>
      <w:r w:rsidRPr="00007309">
        <w:rPr>
          <w:rFonts w:cs="Arial"/>
          <w:b/>
          <w:bCs/>
          <w:sz w:val="36"/>
          <w:szCs w:val="28"/>
          <w:vertAlign w:val="superscript"/>
          <w:rtl/>
        </w:rPr>
        <w:footnoteReference w:id="6562"/>
      </w:r>
      <w:r w:rsidRPr="00007309">
        <w:rPr>
          <w:rFonts w:cs="Arial"/>
          <w:b/>
          <w:bCs/>
          <w:sz w:val="24"/>
          <w:szCs w:val="24"/>
          <w:rtl/>
        </w:rPr>
        <w:t>כְּרִיכָא דְּתַרְוַיְהוּ</w:t>
      </w:r>
      <w:r w:rsidRPr="00007309">
        <w:rPr>
          <w:rFonts w:cs="Arial"/>
          <w:b/>
          <w:bCs/>
          <w:sz w:val="24"/>
          <w:szCs w:val="24"/>
        </w:rPr>
        <w:t>:</w:t>
      </w:r>
    </w:p>
    <w:p w:rsidR="00007309" w:rsidRPr="00007309" w:rsidRDefault="00007309" w:rsidP="00007309">
      <w:pPr>
        <w:keepNext/>
        <w:spacing w:before="240" w:after="60"/>
        <w:outlineLvl w:val="1"/>
        <w:rPr>
          <w:rFonts w:ascii="Cambria" w:hAnsi="Cambria" w:cs="Times New Roman"/>
          <w:b/>
          <w:bCs/>
          <w:i/>
          <w:iCs/>
          <w:sz w:val="28"/>
          <w:szCs w:val="28"/>
          <w:rtl/>
        </w:rPr>
      </w:pPr>
      <w:r w:rsidRPr="00007309">
        <w:rPr>
          <w:rFonts w:ascii="Cambria" w:hAnsi="Cambria" w:cs="Times New Roman" w:hint="cs"/>
          <w:b/>
          <w:bCs/>
          <w:i/>
          <w:iCs/>
          <w:sz w:val="28"/>
          <w:szCs w:val="28"/>
          <w:rtl/>
        </w:rPr>
        <w:t>[דף עו ע"ג]</w:t>
      </w:r>
    </w:p>
    <w:p w:rsidR="00007309" w:rsidRPr="00007309" w:rsidRDefault="00007309" w:rsidP="00007309">
      <w:pPr>
        <w:jc w:val="both"/>
        <w:rPr>
          <w:rFonts w:cs="Arial"/>
          <w:b/>
          <w:bCs/>
          <w:sz w:val="24"/>
          <w:szCs w:val="24"/>
        </w:rPr>
      </w:pPr>
      <w:r w:rsidRPr="00007309">
        <w:rPr>
          <w:rFonts w:cs="Arial"/>
          <w:b/>
          <w:bCs/>
          <w:sz w:val="36"/>
          <w:szCs w:val="28"/>
          <w:vertAlign w:val="superscript"/>
          <w:rtl/>
        </w:rPr>
        <w:footnoteReference w:id="6563"/>
      </w:r>
      <w:r w:rsidRPr="00007309">
        <w:rPr>
          <w:rFonts w:cs="Arial"/>
          <w:b/>
          <w:bCs/>
          <w:sz w:val="24"/>
          <w:szCs w:val="24"/>
          <w:rtl/>
        </w:rPr>
        <w:t xml:space="preserve">קוּם נָטִיל אַבְנָא וְכָרִיךְ לָהּ </w:t>
      </w:r>
      <w:r w:rsidRPr="00007309">
        <w:rPr>
          <w:rFonts w:cs="Arial"/>
          <w:b/>
          <w:bCs/>
          <w:sz w:val="36"/>
          <w:szCs w:val="28"/>
          <w:vertAlign w:val="superscript"/>
          <w:rtl/>
        </w:rPr>
        <w:footnoteReference w:id="6564"/>
      </w:r>
      <w:r w:rsidRPr="00007309">
        <w:rPr>
          <w:rFonts w:cs="Arial"/>
          <w:b/>
          <w:bCs/>
          <w:sz w:val="24"/>
          <w:szCs w:val="24"/>
          <w:rtl/>
        </w:rPr>
        <w:t xml:space="preserve">בְּהַהוּא חוּט דְּזַרְקָא </w:t>
      </w:r>
      <w:r w:rsidRPr="00007309">
        <w:rPr>
          <w:rFonts w:cs="Arial"/>
          <w:b/>
          <w:bCs/>
          <w:sz w:val="36"/>
          <w:szCs w:val="28"/>
          <w:vertAlign w:val="superscript"/>
          <w:rtl/>
        </w:rPr>
        <w:footnoteReference w:id="6565"/>
      </w:r>
      <w:r w:rsidRPr="00007309">
        <w:rPr>
          <w:rFonts w:cs="Arial"/>
          <w:b/>
          <w:bCs/>
          <w:sz w:val="24"/>
          <w:szCs w:val="24"/>
          <w:rtl/>
        </w:rPr>
        <w:t xml:space="preserve">דְּאִיהוּ אָרִיךְ אַנְפִּין בַּעְלָהּ וַדַּאי וָא"ו אֲרִיכָא דְּאִם בַּר נָשׁ לָא </w:t>
      </w:r>
      <w:r w:rsidRPr="00007309">
        <w:rPr>
          <w:rFonts w:cs="Arial"/>
          <w:b/>
          <w:bCs/>
          <w:sz w:val="36"/>
          <w:szCs w:val="28"/>
          <w:vertAlign w:val="superscript"/>
          <w:rtl/>
        </w:rPr>
        <w:footnoteReference w:id="6566"/>
      </w:r>
      <w:r w:rsidRPr="00007309">
        <w:rPr>
          <w:rFonts w:cs="Arial"/>
          <w:b/>
          <w:bCs/>
          <w:sz w:val="24"/>
          <w:szCs w:val="24"/>
          <w:rtl/>
        </w:rPr>
        <w:t>כָּרִיךְ לָהּ בְּה' י'</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6567"/>
      </w:r>
      <w:r w:rsidRPr="00007309">
        <w:rPr>
          <w:rFonts w:cs="Arial"/>
          <w:b/>
          <w:bCs/>
          <w:sz w:val="24"/>
          <w:szCs w:val="24"/>
          <w:rtl/>
        </w:rPr>
        <w:t>בְּאַבְנִין</w:t>
      </w:r>
      <w:r w:rsidRPr="00007309">
        <w:rPr>
          <w:rFonts w:cs="Arial"/>
          <w:b/>
          <w:bCs/>
          <w:sz w:val="24"/>
          <w:szCs w:val="24"/>
        </w:rPr>
        <w:t xml:space="preserve"> </w:t>
      </w:r>
      <w:r w:rsidRPr="00007309">
        <w:rPr>
          <w:rFonts w:cs="Arial"/>
          <w:b/>
          <w:bCs/>
          <w:sz w:val="36"/>
          <w:szCs w:val="28"/>
          <w:vertAlign w:val="superscript"/>
          <w:rtl/>
        </w:rPr>
        <w:footnoteReference w:id="6568"/>
      </w:r>
      <w:r w:rsidRPr="00007309">
        <w:rPr>
          <w:rFonts w:cs="Arial"/>
          <w:b/>
          <w:bCs/>
          <w:sz w:val="24"/>
          <w:szCs w:val="24"/>
          <w:rtl/>
        </w:rPr>
        <w:t>בְּטַבַּעְתָּא דְּאִיהוּ כְּרִיכָא בְּרֵישׁ בְּאֶצְבְּעָא, דְּעָלֵהּ אִתְּמַר תְּהֵא מְקֻדֶּשֶׁת לִי בְּטַבַּעַת זֹאת</w:t>
      </w:r>
      <w:r w:rsidRPr="00007309">
        <w:rPr>
          <w:rFonts w:cs="Arial" w:hint="cs"/>
          <w:b/>
          <w:bCs/>
          <w:sz w:val="24"/>
          <w:szCs w:val="24"/>
          <w:rtl/>
        </w:rPr>
        <w:t>,</w:t>
      </w:r>
      <w:r w:rsidRPr="00007309">
        <w:rPr>
          <w:rFonts w:cs="Arial"/>
          <w:b/>
          <w:bCs/>
          <w:sz w:val="24"/>
          <w:szCs w:val="24"/>
          <w:rtl/>
        </w:rPr>
        <w:t xml:space="preserve"> וּבִרְצוּעָה דְּאִיהִי קֶשֶׁר תְּפִלִּין, תְּפִלָּה דְּי"ד לָא אִסְתַּלְּקַת. </w:t>
      </w:r>
      <w:r w:rsidRPr="00007309">
        <w:rPr>
          <w:rFonts w:cs="Arial"/>
          <w:b/>
          <w:bCs/>
          <w:sz w:val="36"/>
          <w:szCs w:val="28"/>
          <w:vertAlign w:val="superscript"/>
          <w:rtl/>
        </w:rPr>
        <w:footnoteReference w:id="6569"/>
      </w:r>
      <w:r w:rsidRPr="00007309">
        <w:rPr>
          <w:rFonts w:cs="Arial"/>
          <w:b/>
          <w:bCs/>
          <w:sz w:val="24"/>
          <w:szCs w:val="24"/>
          <w:rtl/>
        </w:rPr>
        <w:t xml:space="preserve">וְכַד אִיהִי כְּרִיכָא עַל רֵישָׁא דְּאָת ו' אִתְקְרִיאַת תָּגָא דס"ת. וּבְגִינַהּ אִתְּמַר כָּל הַמִּשְׁתַּמֵּשׁ בְּתָגָא חֲלָף. אִיהִי אֶבֶן מְכֻלֶּלֶת וּמְעֻטֶרֶת עַל כָּל אַתְוָן. אִיהִי עֲטָרָה עַל כָּל רֵישָׁא דְּצַדִּיק, כְּמָה דְּאוֹקְמוּהּ מ"מ, הָעוֹלָם הַבָּא אֵין בּוֹ לֹא אֲכִילָה וְלֹא שְׁתִיָּה אֶלָּא צַדִּיקִים יוֹשְׁבִים וְעַטְרוֹתֵיהֶם בְּרָאשֵׁיהֶם. </w:t>
      </w:r>
      <w:r w:rsidRPr="00007309">
        <w:rPr>
          <w:rFonts w:cs="Arial"/>
          <w:b/>
          <w:bCs/>
          <w:sz w:val="36"/>
          <w:szCs w:val="28"/>
          <w:vertAlign w:val="superscript"/>
          <w:rtl/>
        </w:rPr>
        <w:footnoteReference w:id="6570"/>
      </w:r>
      <w:r w:rsidRPr="00007309">
        <w:rPr>
          <w:rFonts w:cs="Arial"/>
          <w:b/>
          <w:bCs/>
          <w:sz w:val="24"/>
          <w:szCs w:val="24"/>
          <w:rtl/>
        </w:rPr>
        <w:t>וְאִיהִי כֶּתֶר תּוֹרָה וְכֶתֶר כְּהֻנָּה וְכֶתֶר מַלְכוּת בִּתְלָת אַנְפִּין דְּשִׁי"ן מִן מֹשֶׁה אִשְׁתְּמוֹדַע</w:t>
      </w:r>
      <w:r w:rsidRPr="00007309">
        <w:rPr>
          <w:rFonts w:cs="Arial" w:hint="cs"/>
          <w:b/>
          <w:bCs/>
          <w:sz w:val="24"/>
          <w:szCs w:val="24"/>
          <w:rtl/>
        </w:rPr>
        <w:t>,</w:t>
      </w:r>
      <w:r w:rsidRPr="00007309">
        <w:rPr>
          <w:rFonts w:cs="Arial"/>
          <w:b/>
          <w:bCs/>
          <w:sz w:val="24"/>
          <w:szCs w:val="24"/>
          <w:rtl/>
        </w:rPr>
        <w:t xml:space="preserve"> בִּשְׁמָךְ רָעֲיָא מְהֵימָנָא. </w:t>
      </w:r>
      <w:r w:rsidRPr="00007309">
        <w:rPr>
          <w:rFonts w:cs="Arial"/>
          <w:b/>
          <w:bCs/>
          <w:sz w:val="36"/>
          <w:szCs w:val="28"/>
          <w:vertAlign w:val="superscript"/>
          <w:rtl/>
        </w:rPr>
        <w:footnoteReference w:id="6571"/>
      </w:r>
      <w:r w:rsidRPr="00007309">
        <w:rPr>
          <w:rFonts w:cs="Arial"/>
          <w:b/>
          <w:bCs/>
          <w:sz w:val="24"/>
          <w:szCs w:val="24"/>
          <w:rtl/>
        </w:rPr>
        <w:t xml:space="preserve">בִּתְלָת אַתְוָן אִתְעַטְרַת לְמֶהֱוֵי כֶּתֶר עַל רֵישָׁא דְּכֻלְּהוּ דְּכֹהֲנִים וּלְוִיִּם וְיִשְׂרְאֵלִים אִתְעַטְרַת עַל כֻּלְּהוּ. </w:t>
      </w:r>
      <w:r w:rsidRPr="00007309">
        <w:rPr>
          <w:rFonts w:cs="Arial"/>
          <w:b/>
          <w:bCs/>
          <w:sz w:val="36"/>
          <w:szCs w:val="28"/>
          <w:vertAlign w:val="superscript"/>
          <w:rtl/>
        </w:rPr>
        <w:footnoteReference w:id="6572"/>
      </w:r>
      <w:r w:rsidRPr="00007309">
        <w:rPr>
          <w:rFonts w:cs="Arial"/>
          <w:b/>
          <w:bCs/>
          <w:sz w:val="24"/>
          <w:szCs w:val="24"/>
          <w:rtl/>
        </w:rPr>
        <w:t xml:space="preserve">וְכַד סְלִיקַת בְּמַחֲשָׁבָה אִיהִי אַבְנָא חֲדָא </w:t>
      </w:r>
      <w:r w:rsidRPr="00007309">
        <w:rPr>
          <w:rFonts w:cs="Arial"/>
          <w:b/>
          <w:bCs/>
          <w:sz w:val="36"/>
          <w:szCs w:val="28"/>
          <w:vertAlign w:val="superscript"/>
          <w:rtl/>
        </w:rPr>
        <w:footnoteReference w:id="6573"/>
      </w:r>
      <w:r w:rsidRPr="00007309">
        <w:rPr>
          <w:rFonts w:cs="Arial"/>
          <w:b/>
          <w:bCs/>
          <w:sz w:val="24"/>
          <w:szCs w:val="24"/>
          <w:rtl/>
        </w:rPr>
        <w:t xml:space="preserve">כְּלִילָא מֵעֶשֶׂר סְפִירָן דְּאִנּוּן יוּ"ד הֵ"א וָא"ו הֵ"א. </w:t>
      </w:r>
      <w:r w:rsidRPr="00007309">
        <w:rPr>
          <w:rFonts w:cs="Arial"/>
          <w:b/>
          <w:bCs/>
          <w:sz w:val="36"/>
          <w:szCs w:val="28"/>
          <w:vertAlign w:val="superscript"/>
          <w:rtl/>
        </w:rPr>
        <w:footnoteReference w:id="6574"/>
      </w:r>
      <w:r w:rsidRPr="00007309">
        <w:rPr>
          <w:rFonts w:cs="Arial"/>
          <w:b/>
          <w:bCs/>
          <w:sz w:val="24"/>
          <w:szCs w:val="24"/>
          <w:rtl/>
        </w:rPr>
        <w:t>מַחֲשָׁבָה וַדַּאי אִיהִי חָכְמָה מ"ה חש"ב וְתִשְׁכַּח לָהּ תַּמָּן</w:t>
      </w:r>
      <w:r w:rsidRPr="00007309">
        <w:rPr>
          <w:rFonts w:cs="Arial" w:hint="cs"/>
          <w:b/>
          <w:bCs/>
          <w:sz w:val="24"/>
          <w:szCs w:val="24"/>
          <w:rtl/>
        </w:rPr>
        <w:t xml:space="preserve">. </w:t>
      </w:r>
      <w:r w:rsidRPr="00007309">
        <w:rPr>
          <w:rFonts w:cs="Arial"/>
          <w:b/>
          <w:bCs/>
          <w:sz w:val="24"/>
          <w:szCs w:val="24"/>
          <w:rtl/>
        </w:rPr>
        <w:t xml:space="preserve">וּמִסִּטְרָא דְּכֶתֶר תָּגָא אִתְקְרִיאַת, </w:t>
      </w:r>
      <w:r w:rsidRPr="00007309">
        <w:rPr>
          <w:rFonts w:cs="Arial"/>
          <w:b/>
          <w:bCs/>
          <w:sz w:val="36"/>
          <w:szCs w:val="28"/>
          <w:vertAlign w:val="superscript"/>
          <w:rtl/>
        </w:rPr>
        <w:footnoteReference w:id="6575"/>
      </w:r>
      <w:r w:rsidRPr="00007309">
        <w:rPr>
          <w:rFonts w:cs="Arial"/>
          <w:b/>
          <w:bCs/>
          <w:sz w:val="24"/>
          <w:szCs w:val="24"/>
          <w:rtl/>
        </w:rPr>
        <w:t>וּבָהּ עָלוּ יִשְׂרָאֵל בְּמַחֲשָׁבָה</w:t>
      </w:r>
      <w:r w:rsidRPr="00007309">
        <w:rPr>
          <w:rFonts w:cs="Arial" w:hint="cs"/>
          <w:b/>
          <w:bCs/>
          <w:sz w:val="24"/>
          <w:szCs w:val="24"/>
          <w:rtl/>
        </w:rPr>
        <w:t>,</w:t>
      </w:r>
      <w:r w:rsidRPr="00007309">
        <w:rPr>
          <w:rFonts w:cs="Arial"/>
          <w:b/>
          <w:bCs/>
          <w:sz w:val="24"/>
          <w:szCs w:val="24"/>
          <w:rtl/>
        </w:rPr>
        <w:t xml:space="preserve"> דְּמַחֲשָׁבָה אִתְעֲבִידַת לֵהּ מֶרְכָּבָה. וְכַד סְלִיקָא לְגַבֵּי עִלַּת כָּל עִלָּאִין, אִתְעֲבִידַת תָּגָא בְּלֹא שִׁתּוּפָא </w:t>
      </w:r>
      <w:r w:rsidRPr="00007309">
        <w:rPr>
          <w:rFonts w:cs="Arial"/>
          <w:b/>
          <w:bCs/>
          <w:sz w:val="36"/>
          <w:szCs w:val="28"/>
          <w:vertAlign w:val="superscript"/>
          <w:rtl/>
        </w:rPr>
        <w:footnoteReference w:id="6576"/>
      </w:r>
      <w:r w:rsidRPr="00007309">
        <w:rPr>
          <w:rFonts w:cs="Arial"/>
          <w:b/>
          <w:bCs/>
          <w:sz w:val="24"/>
          <w:szCs w:val="24"/>
          <w:rtl/>
        </w:rPr>
        <w:t xml:space="preserve">דְּאִתְכְּלַל לְמֶהֱוֵי מֶרְכָּבָה </w:t>
      </w:r>
      <w:r w:rsidRPr="00007309">
        <w:rPr>
          <w:rFonts w:cs="Arial"/>
          <w:b/>
          <w:bCs/>
          <w:sz w:val="36"/>
          <w:szCs w:val="28"/>
          <w:vertAlign w:val="superscript"/>
          <w:rtl/>
        </w:rPr>
        <w:footnoteReference w:id="6577"/>
      </w:r>
      <w:r w:rsidRPr="00007309">
        <w:rPr>
          <w:rFonts w:cs="Arial"/>
          <w:b/>
          <w:bCs/>
          <w:sz w:val="24"/>
          <w:szCs w:val="24"/>
          <w:rtl/>
        </w:rPr>
        <w:t xml:space="preserve">לְהַהוּא דְּלֵית לֵהּ חֻשְׁבָּן וְשִׁתּוּף. וְכַד אִית בְּיִשְׂרָאֵל מַשְׂכִּילִים וְזַרְקִין לֵהּ בְּדִבּוּרָא דִּצְלוֹתָן בְּקִירְטָא דִּילְהוֹן, וְסַלְקִין לָהּ בְּמַחֲשָׁבָה </w:t>
      </w:r>
      <w:r w:rsidRPr="00007309">
        <w:rPr>
          <w:rFonts w:cs="Arial"/>
          <w:b/>
          <w:bCs/>
          <w:sz w:val="36"/>
          <w:szCs w:val="28"/>
          <w:vertAlign w:val="superscript"/>
          <w:rtl/>
        </w:rPr>
        <w:footnoteReference w:id="6578"/>
      </w:r>
      <w:r w:rsidRPr="00007309">
        <w:rPr>
          <w:rFonts w:cs="Arial"/>
          <w:b/>
          <w:bCs/>
          <w:sz w:val="24"/>
          <w:szCs w:val="24"/>
          <w:rtl/>
        </w:rPr>
        <w:t>עַד הַהוּא מֻפְלָא דְּאִיהוּ עַל הַכֶּתֶר, מִיָּד נַעֲנִים. הָדָא הוּא דִּכְתִיב (תהלים צא) כִּי יָדַע שמ'י</w:t>
      </w:r>
      <w:r w:rsidRPr="00007309">
        <w:rPr>
          <w:rFonts w:cs="Arial" w:hint="cs"/>
          <w:b/>
          <w:bCs/>
          <w:sz w:val="24"/>
          <w:szCs w:val="24"/>
          <w:rtl/>
        </w:rPr>
        <w:t>,</w:t>
      </w:r>
      <w:r w:rsidRPr="00007309">
        <w:rPr>
          <w:rFonts w:cs="Arial"/>
          <w:b/>
          <w:bCs/>
          <w:sz w:val="24"/>
          <w:szCs w:val="24"/>
          <w:rtl/>
        </w:rPr>
        <w:t xml:space="preserve"> שֵׁם י'</w:t>
      </w:r>
      <w:r w:rsidRPr="00007309">
        <w:rPr>
          <w:rFonts w:cs="Arial" w:hint="cs"/>
          <w:b/>
          <w:bCs/>
          <w:sz w:val="24"/>
          <w:szCs w:val="24"/>
          <w:rtl/>
        </w:rPr>
        <w:t>,</w:t>
      </w:r>
      <w:r w:rsidRPr="00007309">
        <w:rPr>
          <w:rFonts w:cs="Arial"/>
          <w:b/>
          <w:bCs/>
          <w:sz w:val="24"/>
          <w:szCs w:val="24"/>
          <w:rtl/>
        </w:rPr>
        <w:t xml:space="preserve"> תָּגָא דְּזַרְקָא, יִקְרָאֵנִי וְאֶעֱנֵהוּ עִמּוֹ אָנֹכִי וְגוֹ'. </w:t>
      </w:r>
      <w:r w:rsidRPr="00007309">
        <w:rPr>
          <w:rFonts w:cs="Arial"/>
          <w:b/>
          <w:bCs/>
          <w:sz w:val="36"/>
          <w:szCs w:val="28"/>
          <w:vertAlign w:val="superscript"/>
          <w:rtl/>
        </w:rPr>
        <w:footnoteReference w:id="6579"/>
      </w:r>
      <w:r w:rsidRPr="00007309">
        <w:rPr>
          <w:rFonts w:cs="Arial"/>
          <w:b/>
          <w:bCs/>
          <w:sz w:val="24"/>
          <w:szCs w:val="24"/>
          <w:rtl/>
        </w:rPr>
        <w:t>בְּהַהוּא חוּט דְּאִיהוּ כְּרִיכוּ דִּילָהּ, דְּבֵהּ צָרִיךְ לְאַרְכָה לָהּ</w:t>
      </w:r>
      <w:r w:rsidRPr="00007309">
        <w:rPr>
          <w:rFonts w:cs="Arial" w:hint="cs"/>
          <w:b/>
          <w:bCs/>
          <w:sz w:val="24"/>
          <w:szCs w:val="24"/>
          <w:rtl/>
        </w:rPr>
        <w:t>,</w:t>
      </w:r>
      <w:r w:rsidRPr="00007309">
        <w:rPr>
          <w:rFonts w:cs="Arial"/>
          <w:b/>
          <w:bCs/>
          <w:sz w:val="24"/>
          <w:szCs w:val="24"/>
          <w:rtl/>
        </w:rPr>
        <w:t xml:space="preserve"> עַד דְּסָלִיק לָהּ עַד עִלַּת כָּל עִלָּאִין, וְנָחִית בָּהּ לְקַבְּלָא צְלוֹתְהוֹן. זַכָּאָה אִיהוּ מָאן דְּסָלִיק תְּלָת צְלוֹתִין לְגַבֵּהּ</w:t>
      </w:r>
      <w:r w:rsidRPr="00007309">
        <w:rPr>
          <w:rFonts w:cs="Arial" w:hint="cs"/>
          <w:b/>
          <w:bCs/>
          <w:sz w:val="24"/>
          <w:szCs w:val="24"/>
          <w:rtl/>
        </w:rPr>
        <w:t>,</w:t>
      </w:r>
      <w:r w:rsidRPr="00007309">
        <w:rPr>
          <w:rFonts w:cs="Arial"/>
          <w:b/>
          <w:bCs/>
          <w:sz w:val="24"/>
          <w:szCs w:val="24"/>
          <w:rtl/>
        </w:rPr>
        <w:t xml:space="preserve"> בִּתְלָת נִקּוּדִין דִּסְגוֹלְתָּא</w:t>
      </w:r>
      <w:r w:rsidRPr="00007309">
        <w:rPr>
          <w:rFonts w:cs="Arial" w:hint="cs"/>
          <w:b/>
          <w:bCs/>
          <w:sz w:val="24"/>
          <w:szCs w:val="24"/>
          <w:rtl/>
        </w:rPr>
        <w:t>,</w:t>
      </w:r>
      <w:r w:rsidRPr="00007309">
        <w:rPr>
          <w:rFonts w:cs="Arial"/>
          <w:b/>
          <w:bCs/>
          <w:sz w:val="24"/>
          <w:szCs w:val="24"/>
          <w:rtl/>
        </w:rPr>
        <w:t xml:space="preserve"> דְּמִנְּהוֹן אִתְמְשָׁכוּ תְּלָת טִפִּין </w:t>
      </w:r>
      <w:r w:rsidRPr="00007309">
        <w:rPr>
          <w:rFonts w:cs="Arial"/>
          <w:b/>
          <w:bCs/>
          <w:sz w:val="36"/>
          <w:szCs w:val="28"/>
          <w:vertAlign w:val="superscript"/>
          <w:rtl/>
        </w:rPr>
        <w:footnoteReference w:id="6580"/>
      </w:r>
      <w:r w:rsidRPr="00007309">
        <w:rPr>
          <w:rFonts w:cs="Arial"/>
          <w:b/>
          <w:bCs/>
          <w:sz w:val="24"/>
          <w:szCs w:val="24"/>
          <w:rtl/>
        </w:rPr>
        <w:t>דִּתְלָת מֹחִין עִלָּאִין</w:t>
      </w:r>
      <w:r w:rsidRPr="00007309">
        <w:rPr>
          <w:rFonts w:cs="Arial" w:hint="cs"/>
          <w:b/>
          <w:bCs/>
          <w:sz w:val="24"/>
          <w:szCs w:val="24"/>
          <w:rtl/>
        </w:rPr>
        <w:t xml:space="preserve">. </w:t>
      </w:r>
      <w:r w:rsidRPr="00007309">
        <w:rPr>
          <w:rFonts w:cs="Arial"/>
          <w:b/>
          <w:bCs/>
          <w:sz w:val="24"/>
          <w:szCs w:val="24"/>
          <w:rtl/>
        </w:rPr>
        <w:t>דְּכַד בַּר נָשׁ אִתְמְשַׁךְ זֶרַע מִנֵּהּ, אִלֵּין טִפִּין דְּאִתְמְשָׁכוּ מִנֵּהּ, אִנּוּן</w:t>
      </w:r>
      <w:r w:rsidRPr="00007309">
        <w:rPr>
          <w:rFonts w:cs="Arial"/>
          <w:b/>
          <w:bCs/>
          <w:sz w:val="24"/>
          <w:szCs w:val="24"/>
        </w:rPr>
        <w:t xml:space="preserve"> </w:t>
      </w:r>
      <w:r w:rsidRPr="00007309">
        <w:rPr>
          <w:rFonts w:cs="Arial"/>
          <w:b/>
          <w:bCs/>
          <w:sz w:val="24"/>
          <w:szCs w:val="24"/>
          <w:rtl/>
        </w:rPr>
        <w:t xml:space="preserve">מִשּׁוּפְרֵי שׁוּפְרֵי דְּמֹחָא מֻבְחָר מִכֹּלָּא. הָכֵי כְּגַוְנָא דָּא, כַּד קוּדְשָׁא בְּרִיךְ הוּא אוֹרִית בְּבַר נָשׁ </w:t>
      </w:r>
      <w:r w:rsidRPr="00007309">
        <w:rPr>
          <w:rFonts w:cs="Arial"/>
          <w:b/>
          <w:bCs/>
          <w:sz w:val="36"/>
          <w:szCs w:val="28"/>
          <w:vertAlign w:val="superscript"/>
          <w:rtl/>
        </w:rPr>
        <w:footnoteReference w:id="6581"/>
      </w:r>
      <w:r w:rsidRPr="00007309">
        <w:rPr>
          <w:rFonts w:cs="Arial"/>
          <w:b/>
          <w:bCs/>
          <w:sz w:val="24"/>
          <w:szCs w:val="24"/>
          <w:rtl/>
        </w:rPr>
        <w:t>תְּלָת קְטִירִין</w:t>
      </w:r>
      <w:r w:rsidRPr="00007309">
        <w:rPr>
          <w:rFonts w:cs="Arial" w:hint="cs"/>
          <w:b/>
          <w:bCs/>
          <w:sz w:val="24"/>
          <w:szCs w:val="24"/>
          <w:rtl/>
        </w:rPr>
        <w:t>,</w:t>
      </w:r>
      <w:r w:rsidRPr="00007309">
        <w:rPr>
          <w:rFonts w:cs="Arial"/>
          <w:b/>
          <w:bCs/>
          <w:sz w:val="24"/>
          <w:szCs w:val="24"/>
          <w:rtl/>
        </w:rPr>
        <w:t xml:space="preserve"> דְּאִנּוּן נִשְׁמְתָא וְרוּחָא וְנַפְשָׁא</w:t>
      </w:r>
      <w:r w:rsidRPr="00007309">
        <w:rPr>
          <w:rFonts w:cs="Arial" w:hint="cs"/>
          <w:b/>
          <w:bCs/>
          <w:sz w:val="24"/>
          <w:szCs w:val="24"/>
          <w:rtl/>
        </w:rPr>
        <w:t>,</w:t>
      </w:r>
      <w:r w:rsidRPr="00007309">
        <w:rPr>
          <w:rFonts w:cs="Arial"/>
          <w:b/>
          <w:bCs/>
          <w:sz w:val="24"/>
          <w:szCs w:val="24"/>
          <w:rtl/>
        </w:rPr>
        <w:t xml:space="preserve"> מִשּׁוּפְרֵי שׁוּפְרֵי דִּילֵהּ יָהִיב לוֹן</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6582"/>
      </w:r>
      <w:r w:rsidRPr="00007309">
        <w:rPr>
          <w:rFonts w:cs="Arial"/>
          <w:b/>
          <w:bCs/>
          <w:sz w:val="24"/>
          <w:szCs w:val="24"/>
          <w:rtl/>
        </w:rPr>
        <w:t xml:space="preserve">דְּאִנּוּן מִתְּלָת </w:t>
      </w:r>
      <w:r w:rsidRPr="00007309">
        <w:rPr>
          <w:rFonts w:cs="Arial" w:hint="cs"/>
          <w:b/>
          <w:bCs/>
          <w:noProof/>
          <w:sz w:val="24"/>
          <w:szCs w:val="24"/>
          <w:rtl/>
        </w:rPr>
        <w:drawing>
          <wp:inline distT="0" distB="0" distL="0" distR="0" wp14:anchorId="2D5BCE35" wp14:editId="36029435">
            <wp:extent cx="247619" cy="247619"/>
            <wp:effectExtent l="0" t="0" r="635" b="635"/>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ג יודין.bmp"/>
                    <pic:cNvPicPr/>
                  </pic:nvPicPr>
                  <pic:blipFill>
                    <a:blip r:embed="rId12">
                      <a:extLst>
                        <a:ext uri="{28A0092B-C50C-407E-A947-70E740481C1C}">
                          <a14:useLocalDpi xmlns:a14="http://schemas.microsoft.com/office/drawing/2010/main" val="0"/>
                        </a:ext>
                      </a:extLst>
                    </a:blip>
                    <a:stretch>
                      <a:fillRect/>
                    </a:stretch>
                  </pic:blipFill>
                  <pic:spPr>
                    <a:xfrm>
                      <a:off x="0" y="0"/>
                      <a:ext cx="247619" cy="247619"/>
                    </a:xfrm>
                    <a:prstGeom prst="rect">
                      <a:avLst/>
                    </a:prstGeom>
                  </pic:spPr>
                </pic:pic>
              </a:graphicData>
            </a:graphic>
          </wp:inline>
        </w:drawing>
      </w:r>
      <w:r w:rsidRPr="00007309">
        <w:rPr>
          <w:rFonts w:cs="Arial" w:hint="cs"/>
          <w:b/>
          <w:bCs/>
          <w:sz w:val="24"/>
          <w:szCs w:val="24"/>
          <w:rtl/>
        </w:rPr>
        <w:t xml:space="preserve"> </w:t>
      </w:r>
      <w:r w:rsidRPr="00007309">
        <w:rPr>
          <w:rFonts w:cs="Arial"/>
          <w:b/>
          <w:bCs/>
          <w:sz w:val="24"/>
          <w:szCs w:val="24"/>
          <w:rtl/>
        </w:rPr>
        <w:t xml:space="preserve">דִּסְגוֹלְתָּא דְּאִתְרְמִיזוּ בְּשֵׁם יוּ"ד הֵ"י וָא"ו הֵ"י. וּבְגִין דָּא אָמַר </w:t>
      </w:r>
      <w:r w:rsidRPr="00007309">
        <w:rPr>
          <w:rFonts w:ascii="Cambria" w:hAnsi="Cambria" w:cs="Times New Roman" w:hint="cs"/>
          <w:b/>
          <w:bCs/>
          <w:i/>
          <w:iCs/>
          <w:color w:val="4F81BD"/>
          <w:sz w:val="24"/>
          <w:szCs w:val="24"/>
          <w:rtl/>
        </w:rPr>
        <w:t>(דף עו ע"ג)</w:t>
      </w:r>
      <w:r w:rsidRPr="00007309">
        <w:rPr>
          <w:rFonts w:cs="Arial" w:hint="cs"/>
          <w:b/>
          <w:bCs/>
          <w:sz w:val="24"/>
          <w:szCs w:val="24"/>
          <w:rtl/>
        </w:rPr>
        <w:t xml:space="preserve"> </w:t>
      </w:r>
      <w:r w:rsidRPr="00007309">
        <w:rPr>
          <w:rFonts w:cs="Arial"/>
          <w:b/>
          <w:bCs/>
          <w:sz w:val="24"/>
          <w:szCs w:val="24"/>
          <w:rtl/>
        </w:rPr>
        <w:t>לוֹן (דברים כו) וּבְךָ בָּחַר ה' לִהְיוֹת לוֹ לְעַם סְגֻלָּה</w:t>
      </w:r>
      <w:r w:rsidRPr="00007309">
        <w:rPr>
          <w:rFonts w:cs="Arial"/>
          <w:b/>
          <w:bCs/>
          <w:sz w:val="24"/>
          <w:szCs w:val="24"/>
        </w:rPr>
        <w:t>:</w:t>
      </w:r>
    </w:p>
    <w:p w:rsidR="00007309" w:rsidRPr="00007309" w:rsidRDefault="00007309" w:rsidP="00007309">
      <w:pPr>
        <w:jc w:val="both"/>
        <w:rPr>
          <w:rFonts w:cs="Arial"/>
          <w:b/>
          <w:bCs/>
          <w:sz w:val="24"/>
          <w:szCs w:val="24"/>
        </w:rPr>
      </w:pPr>
      <w:r w:rsidRPr="00007309">
        <w:rPr>
          <w:rFonts w:cs="Arial"/>
          <w:b/>
          <w:bCs/>
          <w:sz w:val="24"/>
          <w:szCs w:val="24"/>
          <w:rtl/>
        </w:rPr>
        <w:t xml:space="preserve">בְּהַהוּא זִמְנָא דְּנַפְקוּ מִלֵּין אִלֵּין מִפּוּמוֹי דְּבוּצִינָא קַדִּישָׁא, נְחִיתַת </w:t>
      </w:r>
      <w:r w:rsidRPr="00007309">
        <w:rPr>
          <w:rFonts w:cs="Arial"/>
          <w:b/>
          <w:bCs/>
          <w:sz w:val="36"/>
          <w:szCs w:val="28"/>
          <w:vertAlign w:val="superscript"/>
          <w:rtl/>
        </w:rPr>
        <w:footnoteReference w:id="6583"/>
      </w:r>
      <w:r w:rsidRPr="00007309">
        <w:rPr>
          <w:rFonts w:cs="Arial"/>
          <w:b/>
          <w:bCs/>
          <w:sz w:val="24"/>
          <w:szCs w:val="24"/>
          <w:rtl/>
        </w:rPr>
        <w:t>שְׁכִינְתָּא וּנְשִׁיקַת לֵהּ</w:t>
      </w:r>
      <w:r w:rsidRPr="00007309">
        <w:rPr>
          <w:rFonts w:cs="Arial"/>
          <w:b/>
          <w:bCs/>
          <w:sz w:val="24"/>
          <w:szCs w:val="24"/>
        </w:rPr>
        <w:t xml:space="preserve"> </w:t>
      </w:r>
      <w:r w:rsidRPr="00007309">
        <w:rPr>
          <w:rFonts w:cs="Arial"/>
          <w:b/>
          <w:bCs/>
          <w:sz w:val="24"/>
          <w:szCs w:val="24"/>
          <w:rtl/>
        </w:rPr>
        <w:t xml:space="preserve">וְכָל אִנּוּן מָארֵי מְתִיבָתָן בָּרִיכוּ לֵהּ, וְרָעֲיָא מְהֵימָנָא. בְּרִיךְ לֵהּ וְנָשִׁיק לֵהּ. בְּהַהוּא זִמְנָא סָבָא חֲדָא אִזְדְּמַן לְגַבֵּהּ. פָּתַח וְאָמַר </w:t>
      </w:r>
      <w:r w:rsidRPr="00007309">
        <w:rPr>
          <w:rFonts w:cs="Arial"/>
          <w:b/>
          <w:bCs/>
          <w:sz w:val="36"/>
          <w:szCs w:val="28"/>
          <w:vertAlign w:val="superscript"/>
          <w:rtl/>
        </w:rPr>
        <w:footnoteReference w:id="6584"/>
      </w:r>
      <w:r w:rsidRPr="00007309">
        <w:rPr>
          <w:rFonts w:cs="Arial"/>
          <w:b/>
          <w:bCs/>
          <w:sz w:val="24"/>
          <w:szCs w:val="24"/>
          <w:rtl/>
        </w:rPr>
        <w:t xml:space="preserve">נָשְׁקוּ בַּר דְּאִיהוּ סֹלֶת נְקִיָּה, טִפָּה קַדִּישָׁא </w:t>
      </w:r>
      <w:r w:rsidRPr="00007309">
        <w:rPr>
          <w:rFonts w:cs="Arial"/>
          <w:b/>
          <w:bCs/>
          <w:sz w:val="36"/>
          <w:szCs w:val="28"/>
          <w:vertAlign w:val="superscript"/>
          <w:rtl/>
        </w:rPr>
        <w:footnoteReference w:id="6585"/>
      </w:r>
      <w:r w:rsidRPr="00007309">
        <w:rPr>
          <w:rFonts w:cs="Arial"/>
          <w:b/>
          <w:bCs/>
          <w:sz w:val="24"/>
          <w:szCs w:val="24"/>
          <w:rtl/>
        </w:rPr>
        <w:t xml:space="preserve">דָּא דְּאוֹרַיְתָא דְּמֹשֶׁה דְּאִתְיְהִיב לָן עַל יְדֵהּ, דְּלָא הֲוָה בֵּהּ פְּסֹלֶת דְּמֹץ וְתֶבֶן. דְּמָאן דְּלֵית פְּסֹלֶת בְּנִשְׁמָתֵהּ, אִיהוּ בָּרָא דְּקוּדְשָׁא בְּרִיךְ הוּא וּשְׁכִינְתֵּהּ. דְּאִית בַּר </w:t>
      </w:r>
      <w:r w:rsidRPr="00007309">
        <w:rPr>
          <w:rFonts w:cs="Arial"/>
          <w:b/>
          <w:bCs/>
          <w:sz w:val="36"/>
          <w:szCs w:val="28"/>
          <w:vertAlign w:val="superscript"/>
          <w:rtl/>
        </w:rPr>
        <w:footnoteReference w:id="6586"/>
      </w:r>
      <w:r w:rsidRPr="00007309">
        <w:rPr>
          <w:rFonts w:cs="Arial"/>
          <w:b/>
          <w:bCs/>
          <w:sz w:val="24"/>
          <w:szCs w:val="24"/>
          <w:rtl/>
        </w:rPr>
        <w:t>מֵהַהוּא חִטָה דְּאִתְּמַר בָּהּ אִילָן דְּאָכַל אָדָם קַדְמָאָה חִטָה</w:t>
      </w:r>
      <w:r w:rsidRPr="00007309">
        <w:rPr>
          <w:rFonts w:cs="Arial"/>
          <w:b/>
          <w:bCs/>
          <w:sz w:val="24"/>
          <w:szCs w:val="24"/>
        </w:rPr>
        <w:t xml:space="preserve"> </w:t>
      </w:r>
      <w:r w:rsidRPr="00007309">
        <w:rPr>
          <w:rFonts w:cs="Arial"/>
          <w:b/>
          <w:bCs/>
          <w:sz w:val="24"/>
          <w:szCs w:val="24"/>
          <w:rtl/>
        </w:rPr>
        <w:t>הֲוָה</w:t>
      </w:r>
      <w:r w:rsidRPr="00007309">
        <w:rPr>
          <w:rFonts w:cs="Arial"/>
          <w:b/>
          <w:bCs/>
          <w:sz w:val="24"/>
          <w:szCs w:val="24"/>
        </w:rPr>
        <w:t>:</w:t>
      </w:r>
    </w:p>
    <w:p w:rsidR="00007309" w:rsidRPr="00007309" w:rsidRDefault="00007309" w:rsidP="00007309">
      <w:pPr>
        <w:jc w:val="both"/>
        <w:rPr>
          <w:rFonts w:cs="Arial"/>
          <w:b/>
          <w:bCs/>
          <w:sz w:val="24"/>
          <w:szCs w:val="24"/>
          <w:rtl/>
        </w:rPr>
      </w:pPr>
      <w:r w:rsidRPr="00007309">
        <w:rPr>
          <w:rFonts w:cs="Arial"/>
          <w:b/>
          <w:bCs/>
          <w:sz w:val="24"/>
          <w:szCs w:val="24"/>
          <w:rtl/>
        </w:rPr>
        <w:t>ח"ט מֹץ וְתֶבֶן. דִּבְגִינֵהּ אָמַר דָּוִד (תהלים נא) הֵן בְּעָוֹן חוֹלַלְתִּי וְגוֹ'. וּבְזִמְנָא דְּאָת ה'</w:t>
      </w:r>
      <w:r w:rsidRPr="00007309">
        <w:rPr>
          <w:rFonts w:cs="Arial" w:hint="cs"/>
          <w:b/>
          <w:bCs/>
          <w:sz w:val="24"/>
          <w:szCs w:val="24"/>
          <w:rtl/>
        </w:rPr>
        <w:t>,</w:t>
      </w:r>
      <w:r w:rsidRPr="00007309">
        <w:rPr>
          <w:rFonts w:cs="Arial"/>
          <w:b/>
          <w:bCs/>
          <w:sz w:val="24"/>
          <w:szCs w:val="24"/>
          <w:rtl/>
        </w:rPr>
        <w:t xml:space="preserve"> דְּאִיהִי חֲמִשָּׁה מִינֵי נַהֲמָא, אִיהִי </w:t>
      </w:r>
      <w:r w:rsidRPr="00007309">
        <w:rPr>
          <w:rFonts w:cs="Arial"/>
          <w:b/>
          <w:bCs/>
          <w:sz w:val="36"/>
          <w:szCs w:val="28"/>
          <w:vertAlign w:val="superscript"/>
          <w:rtl/>
        </w:rPr>
        <w:footnoteReference w:id="6587"/>
      </w:r>
      <w:r w:rsidRPr="00007309">
        <w:rPr>
          <w:rFonts w:cs="Arial"/>
          <w:b/>
          <w:bCs/>
          <w:sz w:val="24"/>
          <w:szCs w:val="24"/>
          <w:rtl/>
        </w:rPr>
        <w:t>בְּכִסּוּיָא</w:t>
      </w:r>
      <w:r w:rsidRPr="00007309">
        <w:rPr>
          <w:rFonts w:cs="Arial" w:hint="cs"/>
          <w:b/>
          <w:bCs/>
          <w:sz w:val="24"/>
          <w:szCs w:val="24"/>
          <w:rtl/>
        </w:rPr>
        <w:t>,</w:t>
      </w:r>
      <w:r w:rsidRPr="00007309">
        <w:rPr>
          <w:rFonts w:cs="Arial"/>
          <w:b/>
          <w:bCs/>
          <w:sz w:val="24"/>
          <w:szCs w:val="24"/>
          <w:rtl/>
        </w:rPr>
        <w:t xml:space="preserve"> דָּרַת בֵּין רַשִּׁיעַיָּא בְּגָלוּתָא, דְּאִתְּמַר עָלַיְהוּ (תהלים א) לֹא כֵן הָרְשָׁעִים כִּי אִם כַּמֹּץ אֲשֶׁר תִּדְּפֶנּוּ רוּחַ</w:t>
      </w:r>
      <w:r w:rsidRPr="00007309">
        <w:rPr>
          <w:rFonts w:cs="Arial" w:hint="cs"/>
          <w:b/>
          <w:bCs/>
          <w:sz w:val="24"/>
          <w:szCs w:val="24"/>
          <w:rtl/>
        </w:rPr>
        <w:t>,</w:t>
      </w:r>
      <w:r w:rsidRPr="00007309">
        <w:rPr>
          <w:rFonts w:cs="Arial"/>
          <w:b/>
          <w:bCs/>
          <w:sz w:val="24"/>
          <w:szCs w:val="24"/>
          <w:rtl/>
        </w:rPr>
        <w:t xml:space="preserve"> י' דְּאִיהִי </w:t>
      </w:r>
      <w:r w:rsidRPr="00007309">
        <w:rPr>
          <w:rFonts w:cs="Arial"/>
          <w:b/>
          <w:bCs/>
          <w:sz w:val="36"/>
          <w:szCs w:val="28"/>
          <w:vertAlign w:val="superscript"/>
          <w:rtl/>
        </w:rPr>
        <w:footnoteReference w:id="6588"/>
      </w:r>
      <w:r w:rsidRPr="00007309">
        <w:rPr>
          <w:rFonts w:cs="Arial"/>
          <w:b/>
          <w:bCs/>
          <w:sz w:val="24"/>
          <w:szCs w:val="24"/>
          <w:rtl/>
        </w:rPr>
        <w:t>מַעֲשֵׂ</w:t>
      </w:r>
      <w:r w:rsidRPr="00007309">
        <w:rPr>
          <w:rFonts w:cs="Arial" w:hint="cs"/>
          <w:b/>
          <w:bCs/>
          <w:sz w:val="24"/>
          <w:szCs w:val="24"/>
          <w:rtl/>
        </w:rPr>
        <w:t>ר</w:t>
      </w:r>
      <w:r w:rsidRPr="00007309">
        <w:rPr>
          <w:rFonts w:cs="Arial"/>
          <w:b/>
          <w:bCs/>
          <w:sz w:val="24"/>
          <w:szCs w:val="24"/>
          <w:rtl/>
        </w:rPr>
        <w:t xml:space="preserve"> דִּילַהּ לֹא אִתְחַבְּרַת עִמֵּהּ. וּבְגִין דָּא מֹץ וְתֶבֶן פְּטוּרִים מִן הַמַּעֲשֵׂר. וּבְגִין דָּא נָשְׁקוּ בַּר. </w:t>
      </w:r>
      <w:r w:rsidRPr="00007309">
        <w:rPr>
          <w:rFonts w:cs="Arial"/>
          <w:b/>
          <w:bCs/>
          <w:sz w:val="36"/>
          <w:szCs w:val="28"/>
          <w:vertAlign w:val="superscript"/>
          <w:rtl/>
        </w:rPr>
        <w:footnoteReference w:id="6589"/>
      </w:r>
      <w:r w:rsidRPr="00007309">
        <w:rPr>
          <w:rFonts w:cs="Arial"/>
          <w:b/>
          <w:bCs/>
          <w:sz w:val="24"/>
          <w:szCs w:val="24"/>
          <w:rtl/>
        </w:rPr>
        <w:t>נָשְׁקוּ דְּשִׂפְוָן עִלָּאִין דְּרָעֲיָא מְהֵימָנָא</w:t>
      </w:r>
      <w:r w:rsidRPr="00007309">
        <w:rPr>
          <w:rFonts w:cs="Arial" w:hint="cs"/>
          <w:b/>
          <w:bCs/>
          <w:sz w:val="24"/>
          <w:szCs w:val="24"/>
          <w:rtl/>
        </w:rPr>
        <w:t>,</w:t>
      </w:r>
      <w:r w:rsidRPr="00007309">
        <w:rPr>
          <w:rFonts w:cs="Arial"/>
          <w:b/>
          <w:bCs/>
          <w:sz w:val="24"/>
          <w:szCs w:val="24"/>
        </w:rPr>
        <w:t xml:space="preserve"> </w:t>
      </w:r>
      <w:r w:rsidRPr="00007309">
        <w:rPr>
          <w:rFonts w:cs="Arial"/>
          <w:b/>
          <w:bCs/>
          <w:sz w:val="24"/>
          <w:szCs w:val="24"/>
          <w:rtl/>
        </w:rPr>
        <w:t xml:space="preserve">דְּאִנּוּן שַׁקְיוּ דִּילְהוֹן בִּתְרֵי סַמְכֵי קְשׁוֹט, דְּאִנּוּן לִמּוּדֵי ה'. וְצַדִּיק אִיהוּ לְשׁוֹן לִמּוּדִים, אִיהוּ לָשׁוֹן לְעֵלָּא, וְאוֹת בְּרִית לְתַתָּא. וְעוֹד נָשְׁקוּ בַּר בְּשִׂפְוָן עִלָּאָה </w:t>
      </w:r>
      <w:r w:rsidRPr="00007309">
        <w:rPr>
          <w:rFonts w:cs="Arial"/>
          <w:b/>
          <w:bCs/>
          <w:sz w:val="36"/>
          <w:szCs w:val="28"/>
          <w:vertAlign w:val="superscript"/>
          <w:rtl/>
        </w:rPr>
        <w:footnoteReference w:id="6590"/>
      </w:r>
      <w:r w:rsidRPr="00007309">
        <w:rPr>
          <w:rFonts w:cs="Arial"/>
          <w:b/>
          <w:bCs/>
          <w:sz w:val="24"/>
          <w:szCs w:val="24"/>
          <w:rtl/>
        </w:rPr>
        <w:t xml:space="preserve">שְׁכִינְתָּא עִלָּאָה, דְּהָכֵי סְלִיקַת שְׁכִינָה כְּחֻשְׁבַּן שָׂפָ"ה. חוּט דְּאַסְחַר עָלֵהּ, אִיהוּ הַהוּא כְּרִיכוּ, חוּט </w:t>
      </w:r>
      <w:r w:rsidRPr="00007309">
        <w:rPr>
          <w:rFonts w:cs="Arial"/>
          <w:b/>
          <w:bCs/>
          <w:sz w:val="36"/>
          <w:szCs w:val="28"/>
          <w:vertAlign w:val="superscript"/>
          <w:rtl/>
        </w:rPr>
        <w:footnoteReference w:id="6591"/>
      </w:r>
      <w:r w:rsidRPr="00007309">
        <w:rPr>
          <w:rFonts w:cs="Arial"/>
          <w:b/>
          <w:bCs/>
          <w:sz w:val="24"/>
          <w:szCs w:val="24"/>
          <w:rtl/>
        </w:rPr>
        <w:t xml:space="preserve">דְּזַרְקָא דְּאַסְחַר שָׂפָה </w:t>
      </w:r>
      <w:r w:rsidRPr="00007309">
        <w:rPr>
          <w:rFonts w:cs="Arial"/>
          <w:b/>
          <w:bCs/>
          <w:sz w:val="36"/>
          <w:szCs w:val="28"/>
          <w:vertAlign w:val="superscript"/>
          <w:rtl/>
        </w:rPr>
        <w:footnoteReference w:id="6592"/>
      </w:r>
      <w:r w:rsidRPr="00007309">
        <w:rPr>
          <w:rFonts w:cs="Arial"/>
          <w:b/>
          <w:bCs/>
          <w:sz w:val="24"/>
          <w:szCs w:val="24"/>
          <w:rtl/>
        </w:rPr>
        <w:t xml:space="preserve">אִיהוּ חוּט שֶׁל חֶסֶד. וְאִיהוּ חוּט דְּדַהֲבָא. וְאִיהוּ קַו יָרֹק מִסִּטְרָא דִּתְיוּבְתָּא דְּאַסְחַר כָּל עָלְמָא. </w:t>
      </w:r>
      <w:r w:rsidRPr="00007309">
        <w:rPr>
          <w:rFonts w:cs="Arial"/>
          <w:b/>
          <w:bCs/>
          <w:sz w:val="36"/>
          <w:szCs w:val="28"/>
          <w:vertAlign w:val="superscript"/>
          <w:rtl/>
        </w:rPr>
        <w:footnoteReference w:id="6593"/>
      </w:r>
      <w:r w:rsidRPr="00007309">
        <w:rPr>
          <w:rFonts w:cs="Arial"/>
          <w:b/>
          <w:bCs/>
          <w:sz w:val="24"/>
          <w:szCs w:val="24"/>
          <w:rtl/>
        </w:rPr>
        <w:t xml:space="preserve">תְּלָת חוּטִין אִנּוּן לְעֵלָּא דְּסָחֲרִין לְבַת עֵינָא, דְּעָלַיְהוּ אִתְּמַר (שיר ז) עֵינַיִךְ בְּרֵכוֹת בְּחֶשְׁבּוֹן עַל שַׁעַר בַּת רַבִּים. מַאי בַּת רַבִּים, בַּת עַיִן אִלֵּין </w:t>
      </w:r>
      <w:r w:rsidRPr="00007309">
        <w:rPr>
          <w:rFonts w:cs="Arial"/>
          <w:b/>
          <w:bCs/>
          <w:sz w:val="36"/>
          <w:szCs w:val="28"/>
          <w:vertAlign w:val="superscript"/>
          <w:rtl/>
        </w:rPr>
        <w:footnoteReference w:id="6594"/>
      </w:r>
      <w:r w:rsidRPr="00007309">
        <w:rPr>
          <w:rFonts w:cs="Arial"/>
          <w:b/>
          <w:bCs/>
          <w:sz w:val="24"/>
          <w:szCs w:val="24"/>
          <w:rtl/>
        </w:rPr>
        <w:t xml:space="preserve">תְּלָת אֲבָהָן תְּלָת גְּוָנִין אִנּוּן דְּעֵינָא. </w:t>
      </w:r>
      <w:r w:rsidRPr="00007309">
        <w:rPr>
          <w:rFonts w:cs="Arial"/>
          <w:b/>
          <w:bCs/>
          <w:sz w:val="36"/>
          <w:szCs w:val="28"/>
          <w:vertAlign w:val="superscript"/>
          <w:rtl/>
        </w:rPr>
        <w:footnoteReference w:id="6595"/>
      </w:r>
      <w:r w:rsidRPr="00007309">
        <w:rPr>
          <w:rFonts w:cs="Arial"/>
          <w:b/>
          <w:bCs/>
          <w:sz w:val="24"/>
          <w:szCs w:val="24"/>
          <w:rtl/>
        </w:rPr>
        <w:t xml:space="preserve">עֵינָא דְּמַיָּא דְּלֵית לָהּ הֶפְסֵק עֵין הַמַּיִם. </w:t>
      </w:r>
      <w:r w:rsidRPr="00007309">
        <w:rPr>
          <w:rFonts w:cs="Arial"/>
          <w:b/>
          <w:bCs/>
          <w:sz w:val="36"/>
          <w:szCs w:val="28"/>
          <w:vertAlign w:val="superscript"/>
          <w:rtl/>
        </w:rPr>
        <w:footnoteReference w:id="6596"/>
      </w:r>
      <w:r w:rsidRPr="00007309">
        <w:rPr>
          <w:rFonts w:cs="Arial"/>
          <w:b/>
          <w:bCs/>
          <w:sz w:val="24"/>
          <w:szCs w:val="24"/>
          <w:rtl/>
        </w:rPr>
        <w:t xml:space="preserve">וּמִתַּמָּן נָשְׁקוּ בַּר לְאַנְהָרָא עָלְמִין בְּרָזִין סְתִימִין דְּאוֹרַיְתָא. </w:t>
      </w:r>
    </w:p>
    <w:p w:rsidR="00007309" w:rsidRPr="00007309" w:rsidRDefault="00007309" w:rsidP="00007309">
      <w:pPr>
        <w:keepNext/>
        <w:spacing w:before="240" w:after="60"/>
        <w:outlineLvl w:val="1"/>
        <w:rPr>
          <w:rFonts w:ascii="Cambria" w:hAnsi="Cambria" w:cs="Times New Roman"/>
          <w:b/>
          <w:bCs/>
          <w:i/>
          <w:iCs/>
          <w:sz w:val="28"/>
          <w:szCs w:val="28"/>
          <w:rtl/>
        </w:rPr>
      </w:pPr>
      <w:r w:rsidRPr="00007309">
        <w:rPr>
          <w:rFonts w:ascii="Cambria" w:hAnsi="Cambria" w:cs="Times New Roman" w:hint="cs"/>
          <w:b/>
          <w:bCs/>
          <w:i/>
          <w:iCs/>
          <w:sz w:val="28"/>
          <w:szCs w:val="28"/>
          <w:rtl/>
        </w:rPr>
        <w:t>[דף עו ע"ד]</w:t>
      </w:r>
    </w:p>
    <w:p w:rsidR="00007309" w:rsidRPr="00007309" w:rsidRDefault="00007309" w:rsidP="00007309">
      <w:pPr>
        <w:keepNext/>
        <w:spacing w:before="240" w:after="60"/>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 xml:space="preserve"> [וילנא יב ע"א]</w:t>
      </w:r>
    </w:p>
    <w:p w:rsidR="00007309" w:rsidRPr="00007309" w:rsidRDefault="00007309" w:rsidP="00007309">
      <w:pPr>
        <w:jc w:val="both"/>
        <w:rPr>
          <w:rFonts w:cs="Arial"/>
          <w:b/>
          <w:bCs/>
          <w:sz w:val="24"/>
          <w:szCs w:val="24"/>
          <w:rtl/>
        </w:rPr>
      </w:pPr>
      <w:r w:rsidRPr="00007309">
        <w:rPr>
          <w:rFonts w:cs="Arial"/>
          <w:b/>
          <w:bCs/>
          <w:sz w:val="24"/>
          <w:szCs w:val="24"/>
          <w:rtl/>
        </w:rPr>
        <w:t xml:space="preserve">בְּהַהוּא זִמְנָא קָם הַהוּא סָבָא וְנָטַל קִירְטָא בִּידוֹי. פָּתַח וְאָמַר, בּוּצִינָא קַדִּישָׁא </w:t>
      </w:r>
      <w:r w:rsidRPr="00007309">
        <w:rPr>
          <w:rFonts w:ascii="Cambria" w:hAnsi="Cambria" w:cs="Times New Roman" w:hint="cs"/>
          <w:b/>
          <w:bCs/>
          <w:i/>
          <w:iCs/>
          <w:color w:val="4F81BD"/>
          <w:sz w:val="24"/>
          <w:szCs w:val="24"/>
          <w:rtl/>
        </w:rPr>
        <w:t>(וילנא יב ע"א)</w:t>
      </w:r>
      <w:r w:rsidRPr="00007309">
        <w:rPr>
          <w:rFonts w:cs="Arial" w:hint="cs"/>
          <w:b/>
          <w:bCs/>
          <w:sz w:val="24"/>
          <w:szCs w:val="24"/>
          <w:rtl/>
        </w:rPr>
        <w:t xml:space="preserve"> </w:t>
      </w:r>
      <w:r w:rsidRPr="00007309">
        <w:rPr>
          <w:rFonts w:cs="Arial"/>
          <w:b/>
          <w:bCs/>
          <w:sz w:val="24"/>
          <w:szCs w:val="24"/>
          <w:rtl/>
        </w:rPr>
        <w:t xml:space="preserve">עַד כְּעַן הֲוָה קִירְטָא בִּידָךְ. </w:t>
      </w:r>
      <w:r w:rsidRPr="00007309">
        <w:rPr>
          <w:rFonts w:cs="Arial"/>
          <w:b/>
          <w:bCs/>
          <w:sz w:val="36"/>
          <w:szCs w:val="28"/>
          <w:vertAlign w:val="superscript"/>
          <w:rtl/>
        </w:rPr>
        <w:footnoteReference w:id="6597"/>
      </w:r>
      <w:r w:rsidRPr="00007309">
        <w:rPr>
          <w:rFonts w:cs="Arial"/>
          <w:b/>
          <w:bCs/>
          <w:sz w:val="24"/>
          <w:szCs w:val="24"/>
          <w:rtl/>
        </w:rPr>
        <w:t xml:space="preserve">מִכָּאן וְאֵילָךְ הָא אִסְתַּלְּקַת בְּעִלָּאִין. נָטוּר גַּרְמָךְ </w:t>
      </w:r>
      <w:r w:rsidRPr="00007309">
        <w:rPr>
          <w:rFonts w:cs="Arial"/>
          <w:b/>
          <w:bCs/>
          <w:sz w:val="36"/>
          <w:szCs w:val="28"/>
          <w:vertAlign w:val="superscript"/>
          <w:rtl/>
        </w:rPr>
        <w:footnoteReference w:id="6598"/>
      </w:r>
      <w:r w:rsidRPr="00007309">
        <w:rPr>
          <w:rFonts w:cs="Arial"/>
          <w:b/>
          <w:bCs/>
          <w:sz w:val="24"/>
          <w:szCs w:val="24"/>
          <w:rtl/>
        </w:rPr>
        <w:t xml:space="preserve">מֵאַבְנִין דִּילָהּ. </w:t>
      </w:r>
      <w:r w:rsidRPr="00007309">
        <w:rPr>
          <w:rFonts w:cs="Arial"/>
          <w:b/>
          <w:bCs/>
          <w:sz w:val="36"/>
          <w:szCs w:val="28"/>
          <w:vertAlign w:val="superscript"/>
          <w:rtl/>
        </w:rPr>
        <w:footnoteReference w:id="6599"/>
      </w:r>
      <w:r w:rsidRPr="00007309">
        <w:rPr>
          <w:rFonts w:cs="Arial"/>
          <w:b/>
          <w:bCs/>
          <w:sz w:val="24"/>
          <w:szCs w:val="24"/>
          <w:rtl/>
        </w:rPr>
        <w:t xml:space="preserve">דְּהָא בְּפוּמָא דְּצַדִּיקִים אִיהִי מִסְתַּלְּקָא בִּצְלוֹתִין דִּילְהוֹן לְגַבֵּי בַּעְלָהּ וּבְעוֹבָדִין דִּילְהוֹן </w:t>
      </w:r>
      <w:r w:rsidRPr="00007309">
        <w:rPr>
          <w:rFonts w:cs="Arial"/>
          <w:b/>
          <w:bCs/>
          <w:sz w:val="36"/>
          <w:szCs w:val="28"/>
          <w:vertAlign w:val="superscript"/>
          <w:rtl/>
        </w:rPr>
        <w:footnoteReference w:id="6600"/>
      </w:r>
      <w:r w:rsidRPr="00007309">
        <w:rPr>
          <w:rFonts w:cs="Arial"/>
          <w:b/>
          <w:bCs/>
          <w:sz w:val="24"/>
          <w:szCs w:val="24"/>
          <w:rtl/>
        </w:rPr>
        <w:t xml:space="preserve">דְּהַאי אַבְנָא כַּד נַחְתַּת לְתַתָּאה אִיהִי אֶבֶן בֹּחַן, דְּעָלֵהּ אִתְּמַר (תהלים יא) ה' צַדִּיק יִבְחַן וּבָהּ נִתְנַסּוּ אֲבָהָן. וּבְגִין דָּא אִתְּמַר (תהלים קיח) אֶבֶן מָאֲסוּ הַבּוֹנִים </w:t>
      </w:r>
      <w:r w:rsidRPr="00007309">
        <w:rPr>
          <w:rFonts w:cs="Arial"/>
          <w:b/>
          <w:bCs/>
          <w:sz w:val="36"/>
          <w:szCs w:val="28"/>
          <w:vertAlign w:val="superscript"/>
          <w:rtl/>
        </w:rPr>
        <w:footnoteReference w:id="6601"/>
      </w:r>
      <w:r w:rsidRPr="00007309">
        <w:rPr>
          <w:rFonts w:cs="Arial"/>
          <w:b/>
          <w:bCs/>
          <w:sz w:val="24"/>
          <w:szCs w:val="24"/>
          <w:rtl/>
        </w:rPr>
        <w:t xml:space="preserve">דְּאִנּוּן אֲבָהָן. </w:t>
      </w:r>
      <w:r w:rsidRPr="00007309">
        <w:rPr>
          <w:rFonts w:cs="Arial"/>
          <w:b/>
          <w:bCs/>
          <w:sz w:val="36"/>
          <w:szCs w:val="28"/>
          <w:vertAlign w:val="superscript"/>
          <w:rtl/>
        </w:rPr>
        <w:footnoteReference w:id="6602"/>
      </w:r>
      <w:r w:rsidRPr="00007309">
        <w:rPr>
          <w:rFonts w:cs="Arial"/>
          <w:b/>
          <w:bCs/>
          <w:sz w:val="24"/>
          <w:szCs w:val="24"/>
          <w:rtl/>
        </w:rPr>
        <w:t xml:space="preserve">וְכַד נַחְתַּת לְתַתָּא נַחְתַּת כְּגַוְנָא דָּא הוה'י </w:t>
      </w:r>
      <w:r w:rsidRPr="00007309">
        <w:rPr>
          <w:rFonts w:cs="Arial"/>
          <w:b/>
          <w:bCs/>
          <w:sz w:val="36"/>
          <w:szCs w:val="28"/>
          <w:vertAlign w:val="superscript"/>
          <w:rtl/>
        </w:rPr>
        <w:footnoteReference w:id="6603"/>
      </w:r>
      <w:r w:rsidRPr="00007309">
        <w:rPr>
          <w:rFonts w:cs="Arial"/>
          <w:b/>
          <w:bCs/>
          <w:sz w:val="24"/>
          <w:szCs w:val="24"/>
          <w:rtl/>
        </w:rPr>
        <w:t xml:space="preserve">וְכַד אִסְתַּלְּקַת, אִתְּמַר בָּהּ אֶבֶן מָאֲסוּ הַבּוֹנִים הָיְתָה לְרֹאשׁ פִּנָּה, כְּגַוְנָא דָּא יהו'ה. </w:t>
      </w:r>
      <w:r w:rsidRPr="00007309">
        <w:rPr>
          <w:rFonts w:cs="Arial"/>
          <w:b/>
          <w:bCs/>
          <w:sz w:val="36"/>
          <w:szCs w:val="28"/>
          <w:vertAlign w:val="superscript"/>
          <w:rtl/>
        </w:rPr>
        <w:footnoteReference w:id="6604"/>
      </w:r>
      <w:r w:rsidRPr="00007309">
        <w:rPr>
          <w:rFonts w:cs="Arial"/>
          <w:b/>
          <w:bCs/>
          <w:sz w:val="24"/>
          <w:szCs w:val="24"/>
          <w:rtl/>
        </w:rPr>
        <w:t xml:space="preserve">בָּהּ נִתְנַסָּה אַבְרָהָם בָּעֲשָׂרָה נִסְיוֹנוֹת. וּבְזִמְנָא דְנִתְנַסָּא בָּהּ בַּר נָשׁ, </w:t>
      </w:r>
      <w:r w:rsidRPr="00007309">
        <w:rPr>
          <w:rFonts w:cs="Arial"/>
          <w:b/>
          <w:bCs/>
          <w:sz w:val="36"/>
          <w:szCs w:val="28"/>
          <w:vertAlign w:val="superscript"/>
          <w:rtl/>
        </w:rPr>
        <w:footnoteReference w:id="6605"/>
      </w:r>
      <w:r w:rsidRPr="00007309">
        <w:rPr>
          <w:rFonts w:cs="Arial"/>
          <w:b/>
          <w:bCs/>
          <w:sz w:val="24"/>
          <w:szCs w:val="24"/>
          <w:rtl/>
        </w:rPr>
        <w:t xml:space="preserve">אִיהוּ מָאִיךְ. וּלְבָתַר דְּקָאִים בְּנִסְיוֹנָא דִילַהּ, אִיהִי אִסְתַּלְּקַת בֵּהּ </w:t>
      </w:r>
      <w:r w:rsidRPr="00007309">
        <w:rPr>
          <w:rFonts w:cs="Arial"/>
          <w:b/>
          <w:bCs/>
          <w:sz w:val="36"/>
          <w:szCs w:val="28"/>
          <w:vertAlign w:val="superscript"/>
          <w:rtl/>
        </w:rPr>
        <w:footnoteReference w:id="6606"/>
      </w:r>
      <w:r w:rsidRPr="00007309">
        <w:rPr>
          <w:rFonts w:cs="Arial"/>
          <w:b/>
          <w:bCs/>
          <w:sz w:val="24"/>
          <w:szCs w:val="24"/>
          <w:rtl/>
        </w:rPr>
        <w:t>לְגַבֵּי בַּעְלָהּ, דְּאִיהִי יהו'ה. בְּהַהוּא זִמְנָא אִסְתְּלַק בָּהּ בַּר נָשׁ עַל כָּל אִנּוּן דַּרְגִּין וממ</w:t>
      </w:r>
      <w:r w:rsidRPr="00007309">
        <w:rPr>
          <w:rFonts w:cs="Arial" w:hint="cs"/>
          <w:b/>
          <w:bCs/>
          <w:sz w:val="24"/>
          <w:szCs w:val="24"/>
          <w:rtl/>
        </w:rPr>
        <w:t>נ</w:t>
      </w:r>
      <w:r w:rsidRPr="00007309">
        <w:rPr>
          <w:rFonts w:cs="Arial"/>
          <w:b/>
          <w:bCs/>
          <w:sz w:val="24"/>
          <w:szCs w:val="24"/>
          <w:rtl/>
        </w:rPr>
        <w:t>ן דְּאִתְנַסֵּי בְּהוֹן בַּר נָשׁ. וְכַד חָזָא סַמָּאֵ"ל דְּיַהֲבִין לֵהּ רְשׁוּ עַל צַדִּיק לְמֶהֱוֵי לֵהּ נִסָּיוֹן וְחָזָא דְּאִיהוּ קָאִים בְּקִיּוּמָא</w:t>
      </w:r>
      <w:r w:rsidRPr="00007309">
        <w:rPr>
          <w:rFonts w:cs="Arial" w:hint="cs"/>
          <w:b/>
          <w:bCs/>
          <w:sz w:val="24"/>
          <w:szCs w:val="24"/>
          <w:rtl/>
        </w:rPr>
        <w:t>,</w:t>
      </w:r>
      <w:r w:rsidRPr="00007309">
        <w:rPr>
          <w:rFonts w:cs="Arial"/>
          <w:b/>
          <w:bCs/>
          <w:sz w:val="24"/>
          <w:szCs w:val="24"/>
          <w:rtl/>
        </w:rPr>
        <w:t xml:space="preserve"> אִיהוּ אָמַר (אסתר ה) </w:t>
      </w:r>
      <w:r w:rsidRPr="00007309">
        <w:rPr>
          <w:rFonts w:cs="Arial"/>
          <w:b/>
          <w:bCs/>
          <w:sz w:val="36"/>
          <w:szCs w:val="28"/>
          <w:vertAlign w:val="superscript"/>
          <w:rtl/>
        </w:rPr>
        <w:footnoteReference w:id="6607"/>
      </w:r>
      <w:r w:rsidRPr="00007309">
        <w:rPr>
          <w:rFonts w:cs="Arial"/>
          <w:b/>
          <w:bCs/>
          <w:sz w:val="24"/>
          <w:szCs w:val="24"/>
          <w:rtl/>
        </w:rPr>
        <w:t>וְכָל זֶ'ה אֵינֶנּ'וּ שׁוֶֹ'ה לִ'י. וְאִי תֵּימָא דְּעַל מָרְדְּכַי אָמַר לֵהּ הָמָן. וַדַּאי הָמָן דֻּגְמָא דְּסַמָּאֵ"ל הֲוָה לֵהּ, דְּבֵהּ אִתְלַבַּשׁ</w:t>
      </w:r>
      <w:r w:rsidRPr="00007309">
        <w:rPr>
          <w:rFonts w:cs="Arial" w:hint="cs"/>
          <w:b/>
          <w:bCs/>
          <w:sz w:val="24"/>
          <w:szCs w:val="24"/>
          <w:rtl/>
        </w:rPr>
        <w:t>,</w:t>
      </w:r>
      <w:r w:rsidRPr="00007309">
        <w:rPr>
          <w:rFonts w:cs="Arial"/>
          <w:b/>
          <w:bCs/>
          <w:sz w:val="24"/>
          <w:szCs w:val="24"/>
          <w:rtl/>
        </w:rPr>
        <w:t xml:space="preserve"> וַעֲשָׂרָה כִּתְרִין תַּתָּאִין אִתְלַבְּשׁוּ בְּעֶשֶׂר בְּנוֹי</w:t>
      </w:r>
      <w:r w:rsidRPr="00007309">
        <w:rPr>
          <w:rFonts w:cs="Arial" w:hint="cs"/>
          <w:b/>
          <w:bCs/>
          <w:sz w:val="24"/>
          <w:szCs w:val="24"/>
          <w:rtl/>
        </w:rPr>
        <w:t>,</w:t>
      </w:r>
      <w:r w:rsidRPr="00007309">
        <w:rPr>
          <w:rFonts w:cs="Arial"/>
          <w:b/>
          <w:bCs/>
          <w:sz w:val="24"/>
          <w:szCs w:val="24"/>
          <w:rtl/>
        </w:rPr>
        <w:t xml:space="preserve"> וּבְגִין דְּקָאִים מָרְדְּכַי בְּנִסְיוֹנָא, יָהַב לוֹן קוּדְשָׁא בְּרִיךְ הוּא בִּידֵהּ. עאכ"ו מָאן דְּאִתְנַסָּא בְּגִין שְׁכִינְתָּא בְּגָלוּתָא. בְּגִין דְּנָחְתִין עָלַהּ עֶשֶׂר סְגֻלּוֹת </w:t>
      </w:r>
      <w:r w:rsidRPr="00007309">
        <w:rPr>
          <w:rFonts w:cs="Arial"/>
          <w:b/>
          <w:bCs/>
          <w:sz w:val="36"/>
          <w:szCs w:val="28"/>
          <w:vertAlign w:val="superscript"/>
          <w:rtl/>
        </w:rPr>
        <w:footnoteReference w:id="6608"/>
      </w:r>
      <w:r w:rsidRPr="00007309">
        <w:rPr>
          <w:rFonts w:cs="Arial"/>
          <w:b/>
          <w:bCs/>
          <w:sz w:val="24"/>
          <w:szCs w:val="24"/>
          <w:rtl/>
        </w:rPr>
        <w:t>דִּשְׁמָא דְּכִתְרָא, דְּאִנּוּן יוּ"ד הֵ"י וָא"ו הֵ"י, דְּאִנּוּן סְפִירָן מַלְיָן סְגֻלּוֹת</w:t>
      </w:r>
      <w:r w:rsidRPr="00007309">
        <w:rPr>
          <w:rFonts w:cs="Arial" w:hint="cs"/>
          <w:b/>
          <w:bCs/>
          <w:sz w:val="24"/>
          <w:szCs w:val="24"/>
          <w:rtl/>
        </w:rPr>
        <w:t xml:space="preserve">, </w:t>
      </w:r>
      <w:r w:rsidRPr="00007309">
        <w:rPr>
          <w:rFonts w:cs="Arial"/>
          <w:b/>
          <w:bCs/>
          <w:sz w:val="24"/>
          <w:szCs w:val="24"/>
          <w:rtl/>
        </w:rPr>
        <w:t xml:space="preserve">דְּסָחֲרִין לְכִתְרָא עִלָּאָה דְּמַלְכָּא וּמַטְרוֹנִיתָא. וְהַאי אִיהוּ כֶּתֶר עִלָּאָה דְּאִתְּמַר בֵּהּ בְּיוֹם שַׁבָּת בִּקְדֻשָּׁה כֶּתֶר יִתְּנוּ לְךָ ה' אֱלֹהֵינוּ. מָאן ה' אֱלֹהֵינוּ, אַבָּא וְאִימָּא </w:t>
      </w:r>
      <w:r w:rsidRPr="00007309">
        <w:rPr>
          <w:rFonts w:cs="Arial"/>
          <w:b/>
          <w:bCs/>
          <w:sz w:val="36"/>
          <w:szCs w:val="28"/>
          <w:vertAlign w:val="superscript"/>
          <w:rtl/>
        </w:rPr>
        <w:footnoteReference w:id="6609"/>
      </w:r>
      <w:r w:rsidRPr="00007309">
        <w:rPr>
          <w:rFonts w:cs="Arial"/>
          <w:b/>
          <w:bCs/>
          <w:sz w:val="24"/>
          <w:szCs w:val="24"/>
          <w:rtl/>
        </w:rPr>
        <w:t>בֵּ</w:t>
      </w:r>
      <w:r w:rsidRPr="00007309">
        <w:rPr>
          <w:rFonts w:cs="Arial" w:hint="cs"/>
          <w:b/>
          <w:bCs/>
          <w:sz w:val="24"/>
          <w:szCs w:val="24"/>
          <w:rtl/>
        </w:rPr>
        <w:t>י</w:t>
      </w:r>
      <w:r w:rsidRPr="00007309">
        <w:rPr>
          <w:rFonts w:cs="Arial"/>
          <w:b/>
          <w:bCs/>
          <w:sz w:val="24"/>
          <w:szCs w:val="24"/>
          <w:rtl/>
        </w:rPr>
        <w:t xml:space="preserve">הּ מַכְתִּירִין לְעַמּוּדָא דְּאֶמְצָעִיתָא וּשְׁכִינְתָּא </w:t>
      </w:r>
      <w:r w:rsidRPr="00007309">
        <w:rPr>
          <w:rFonts w:cs="Arial"/>
          <w:b/>
          <w:bCs/>
          <w:sz w:val="36"/>
          <w:szCs w:val="28"/>
          <w:vertAlign w:val="superscript"/>
          <w:rtl/>
        </w:rPr>
        <w:footnoteReference w:id="6610"/>
      </w:r>
      <w:r w:rsidRPr="00007309">
        <w:rPr>
          <w:rFonts w:cs="Arial"/>
          <w:b/>
          <w:bCs/>
          <w:sz w:val="24"/>
          <w:szCs w:val="24"/>
          <w:rtl/>
        </w:rPr>
        <w:t>דְּאִיהִי קְדֻשָּׁה. וְאִתְּמַר בָּהּ קְדֻשָּׁה לְךָ</w:t>
      </w:r>
      <w:r w:rsidRPr="00007309">
        <w:rPr>
          <w:rFonts w:cs="Arial" w:hint="cs"/>
          <w:b/>
          <w:bCs/>
          <w:sz w:val="24"/>
          <w:szCs w:val="24"/>
          <w:rtl/>
        </w:rPr>
        <w:t xml:space="preserve"> </w:t>
      </w:r>
      <w:r w:rsidRPr="00007309">
        <w:rPr>
          <w:rFonts w:cs="Arial"/>
          <w:b/>
          <w:bCs/>
          <w:sz w:val="24"/>
          <w:szCs w:val="24"/>
          <w:rtl/>
        </w:rPr>
        <w:t xml:space="preserve">יְשַׁלְּשׁוּ. וְאִנּוּן </w:t>
      </w:r>
      <w:r w:rsidRPr="00007309">
        <w:rPr>
          <w:rFonts w:cs="Arial" w:hint="cs"/>
          <w:b/>
          <w:bCs/>
          <w:sz w:val="24"/>
          <w:szCs w:val="24"/>
          <w:rtl/>
        </w:rPr>
        <w:t xml:space="preserve">קדוש קדוש קדוש </w:t>
      </w:r>
      <w:r w:rsidRPr="00007309">
        <w:rPr>
          <w:rFonts w:cs="Arial"/>
          <w:b/>
          <w:bCs/>
          <w:sz w:val="24"/>
          <w:szCs w:val="24"/>
          <w:rtl/>
        </w:rPr>
        <w:t>תְּלָת אֲבָהָן</w:t>
      </w:r>
      <w:r w:rsidRPr="00007309">
        <w:rPr>
          <w:rFonts w:cs="Arial" w:hint="cs"/>
          <w:b/>
          <w:bCs/>
          <w:sz w:val="24"/>
          <w:szCs w:val="24"/>
          <w:rtl/>
        </w:rPr>
        <w:t>.</w:t>
      </w:r>
      <w:r w:rsidRPr="00007309">
        <w:rPr>
          <w:rFonts w:cs="Arial"/>
          <w:b/>
          <w:bCs/>
          <w:sz w:val="24"/>
          <w:szCs w:val="24"/>
          <w:rtl/>
        </w:rPr>
        <w:t xml:space="preserve"> ה' צְבָאוֹת</w:t>
      </w:r>
      <w:r w:rsidRPr="00007309">
        <w:rPr>
          <w:rFonts w:cs="Arial" w:hint="cs"/>
          <w:b/>
          <w:bCs/>
          <w:sz w:val="24"/>
          <w:szCs w:val="24"/>
          <w:rtl/>
        </w:rPr>
        <w:t>,</w:t>
      </w:r>
      <w:r w:rsidRPr="00007309">
        <w:rPr>
          <w:rFonts w:cs="Arial"/>
          <w:b/>
          <w:bCs/>
          <w:sz w:val="24"/>
          <w:szCs w:val="24"/>
          <w:rtl/>
        </w:rPr>
        <w:t xml:space="preserve"> מָאן צְבָאוֹת נֶצַח וָהוֹד. מְלֹא כֹּל, דָּא צַדִּיק, בֵּהּ מְלֹא כֹּל הָאָרֶץ כְּבוֹדוֹ דְּאִיהִי שְׁכִינְתָּא. </w:t>
      </w:r>
      <w:r w:rsidRPr="00007309">
        <w:rPr>
          <w:rFonts w:cs="Arial"/>
          <w:b/>
          <w:bCs/>
          <w:sz w:val="36"/>
          <w:szCs w:val="28"/>
          <w:vertAlign w:val="superscript"/>
          <w:rtl/>
        </w:rPr>
        <w:footnoteReference w:id="6611"/>
      </w:r>
      <w:r w:rsidRPr="00007309">
        <w:rPr>
          <w:rFonts w:cs="Arial"/>
          <w:b/>
          <w:bCs/>
          <w:sz w:val="24"/>
          <w:szCs w:val="24"/>
          <w:rtl/>
        </w:rPr>
        <w:t>וּמָאן דְּאִיהוּ</w:t>
      </w:r>
      <w:r w:rsidRPr="00007309">
        <w:rPr>
          <w:rFonts w:cs="Arial"/>
          <w:b/>
          <w:bCs/>
          <w:sz w:val="24"/>
          <w:szCs w:val="24"/>
        </w:rPr>
        <w:t xml:space="preserve"> </w:t>
      </w:r>
      <w:r w:rsidRPr="00007309">
        <w:rPr>
          <w:rFonts w:cs="Arial"/>
          <w:b/>
          <w:bCs/>
          <w:sz w:val="24"/>
          <w:szCs w:val="24"/>
          <w:rtl/>
        </w:rPr>
        <w:t xml:space="preserve">מִתְּלָת אֲבָהָן לֹא צָרִיךְ לְאִתְנַסְּאָה. דְּמָאן דְּאִיהוּ מִגִּזְעוֹי וּמִשָּׁרְשׁוֹי, לֵית בֵּהּ סְפֵקָא דְּקָאִים בְּנִסְיוֹנָא. </w:t>
      </w:r>
      <w:r w:rsidRPr="00007309">
        <w:rPr>
          <w:rFonts w:cs="Arial"/>
          <w:b/>
          <w:bCs/>
          <w:sz w:val="36"/>
          <w:szCs w:val="28"/>
          <w:vertAlign w:val="superscript"/>
          <w:rtl/>
        </w:rPr>
        <w:footnoteReference w:id="6612"/>
      </w:r>
      <w:r w:rsidRPr="00007309">
        <w:rPr>
          <w:rFonts w:cs="Arial"/>
          <w:b/>
          <w:bCs/>
          <w:sz w:val="24"/>
          <w:szCs w:val="24"/>
          <w:rtl/>
        </w:rPr>
        <w:t>וְאִי תֵּימָא דְּאַבְרָהָם לֹא אִתְנַסָּא בִּשְׁמָא דְּכִתְרָא אֶלָּא בְּמִדַּת חֶסֶד, וְיִצְחָק בְּמִדַּת גְּבוּרָה, וְיַעֲקֹב בְּמִדַּת תִּפְאֶרֶת, וּשְׁכִינְתָּא מֵאִלֵּין תְּלָת סִטְרִין אִתְקְרִיאַת לוֹן אֶבֶן בֹּחַן. שַׁפִּיר אִיהוּ</w:t>
      </w:r>
      <w:r w:rsidRPr="00007309">
        <w:rPr>
          <w:rFonts w:cs="Arial" w:hint="cs"/>
          <w:b/>
          <w:bCs/>
          <w:sz w:val="24"/>
          <w:szCs w:val="24"/>
          <w:rtl/>
        </w:rPr>
        <w:t>.</w:t>
      </w:r>
      <w:r w:rsidRPr="00007309">
        <w:rPr>
          <w:rFonts w:cs="Arial"/>
          <w:b/>
          <w:bCs/>
          <w:sz w:val="24"/>
          <w:szCs w:val="24"/>
          <w:rtl/>
        </w:rPr>
        <w:t xml:space="preserve"> וּמָאן דְּיִתְנַסֶּה </w:t>
      </w:r>
      <w:r w:rsidRPr="00007309">
        <w:rPr>
          <w:rFonts w:cs="Arial" w:hint="cs"/>
          <w:sz w:val="24"/>
          <w:szCs w:val="24"/>
          <w:rtl/>
        </w:rPr>
        <w:t>(</w:t>
      </w:r>
      <w:r w:rsidRPr="00007309">
        <w:rPr>
          <w:rFonts w:cs="Arial"/>
          <w:sz w:val="24"/>
          <w:szCs w:val="24"/>
          <w:rtl/>
        </w:rPr>
        <w:t>מִלּוּלָא</w:t>
      </w:r>
      <w:r w:rsidRPr="00007309">
        <w:rPr>
          <w:rFonts w:cs="Arial" w:hint="cs"/>
          <w:sz w:val="24"/>
          <w:szCs w:val="24"/>
          <w:rtl/>
        </w:rPr>
        <w:t>)</w:t>
      </w:r>
      <w:r w:rsidRPr="00007309">
        <w:rPr>
          <w:rFonts w:cs="Arial"/>
          <w:b/>
          <w:bCs/>
          <w:sz w:val="24"/>
          <w:szCs w:val="24"/>
          <w:rtl/>
        </w:rPr>
        <w:t xml:space="preserve"> מִלְ</w:t>
      </w:r>
      <w:r w:rsidRPr="00007309">
        <w:rPr>
          <w:rFonts w:cs="Arial" w:hint="cs"/>
          <w:b/>
          <w:bCs/>
          <w:sz w:val="24"/>
          <w:szCs w:val="24"/>
          <w:rtl/>
        </w:rPr>
        <w:t>ע</w:t>
      </w:r>
      <w:r w:rsidRPr="00007309">
        <w:rPr>
          <w:rFonts w:cs="Arial"/>
          <w:b/>
          <w:bCs/>
          <w:sz w:val="24"/>
          <w:szCs w:val="24"/>
          <w:rtl/>
        </w:rPr>
        <w:t>ֵ</w:t>
      </w:r>
      <w:r w:rsidRPr="00007309">
        <w:rPr>
          <w:rFonts w:cs="Arial" w:hint="cs"/>
          <w:b/>
          <w:bCs/>
          <w:sz w:val="24"/>
          <w:szCs w:val="24"/>
          <w:rtl/>
        </w:rPr>
        <w:t>י</w:t>
      </w:r>
      <w:r w:rsidRPr="00007309">
        <w:rPr>
          <w:rFonts w:cs="Arial"/>
          <w:b/>
          <w:bCs/>
          <w:sz w:val="24"/>
          <w:szCs w:val="24"/>
          <w:rtl/>
        </w:rPr>
        <w:t>לָא בַּעֲשָׂרָה אָתְוָן דְּסָחֲרִין לְכִתְרָא. וְכֵיוָן דְּהָכֵי, הוּא יָכִיל לְאִתְנַסְּאָה. וּמָאן דְּיִתְנַסָּא תַּמָּן, לֵית סוֹף לְנִסְיוֹנָא דִּילֵהּ. הָדָא הוּא דִּכְתִיב (איכה ב) מָה אֲעִידֵךְ מָה אֲדַמֶּה לָךְ. דְּלֵית יָכִיל לְאִתְדַּמְּאָה נִסְיוֹנָא דִּילָךְ לְמַ'ה</w:t>
      </w:r>
      <w:r w:rsidRPr="00007309">
        <w:rPr>
          <w:rFonts w:cs="Arial" w:hint="cs"/>
          <w:b/>
          <w:bCs/>
          <w:sz w:val="24"/>
          <w:szCs w:val="24"/>
          <w:rtl/>
        </w:rPr>
        <w:t>,</w:t>
      </w:r>
      <w:r w:rsidRPr="00007309">
        <w:rPr>
          <w:rFonts w:cs="Arial"/>
          <w:b/>
          <w:bCs/>
          <w:sz w:val="24"/>
          <w:szCs w:val="24"/>
          <w:rtl/>
        </w:rPr>
        <w:t xml:space="preserve"> דְּאִיהוּ יוּ"ד הֵ"א וָא"ו בִּתְלָת אֲבָהָן</w:t>
      </w:r>
      <w:r w:rsidRPr="00007309">
        <w:rPr>
          <w:rFonts w:cs="Arial" w:hint="cs"/>
          <w:b/>
          <w:bCs/>
          <w:sz w:val="24"/>
          <w:szCs w:val="24"/>
          <w:rtl/>
        </w:rPr>
        <w:t>,</w:t>
      </w:r>
      <w:r w:rsidRPr="00007309">
        <w:rPr>
          <w:rFonts w:cs="Arial"/>
          <w:b/>
          <w:bCs/>
          <w:sz w:val="24"/>
          <w:szCs w:val="24"/>
          <w:rtl/>
        </w:rPr>
        <w:t xml:space="preserve"> הֵ'א בְּמַלְכוּתָא</w:t>
      </w:r>
      <w:r w:rsidRPr="00007309">
        <w:rPr>
          <w:rFonts w:cs="Arial" w:hint="cs"/>
          <w:b/>
          <w:bCs/>
          <w:sz w:val="24"/>
          <w:szCs w:val="24"/>
          <w:rtl/>
        </w:rPr>
        <w:t>.</w:t>
      </w:r>
      <w:r w:rsidRPr="00007309">
        <w:rPr>
          <w:rFonts w:cs="Arial"/>
          <w:b/>
          <w:bCs/>
          <w:sz w:val="24"/>
          <w:szCs w:val="24"/>
          <w:rtl/>
        </w:rPr>
        <w:t xml:space="preserve"> בָּתַר דְּנִסְיוֹנָא דִּילָךְ בָּאֵין סוֹף (שם) כִּי גָּדוֹל כַּיָּ</w:t>
      </w:r>
      <w:r w:rsidRPr="00007309">
        <w:rPr>
          <w:rFonts w:cs="Arial" w:hint="cs"/>
          <w:b/>
          <w:bCs/>
          <w:sz w:val="24"/>
          <w:szCs w:val="24"/>
          <w:rtl/>
        </w:rPr>
        <w:t>"</w:t>
      </w:r>
      <w:r w:rsidRPr="00007309">
        <w:rPr>
          <w:rFonts w:cs="Arial"/>
          <w:b/>
          <w:bCs/>
          <w:sz w:val="24"/>
          <w:szCs w:val="24"/>
          <w:rtl/>
        </w:rPr>
        <w:t>ם שִׁבְרֵךְ מִ</w:t>
      </w:r>
      <w:r w:rsidRPr="00007309">
        <w:rPr>
          <w:rFonts w:cs="Arial" w:hint="cs"/>
          <w:b/>
          <w:bCs/>
          <w:sz w:val="24"/>
          <w:szCs w:val="24"/>
          <w:rtl/>
        </w:rPr>
        <w:t>"</w:t>
      </w:r>
      <w:r w:rsidRPr="00007309">
        <w:rPr>
          <w:rFonts w:cs="Arial"/>
          <w:b/>
          <w:bCs/>
          <w:sz w:val="24"/>
          <w:szCs w:val="24"/>
          <w:rtl/>
        </w:rPr>
        <w:t xml:space="preserve">י יִרְפָּא לָךְ. הַהוּא דְּאִיהוּ מֻפְלָא וּמְכֻסֶּה וּבֵהּ תִּסְתַּלַּק </w:t>
      </w:r>
      <w:r w:rsidRPr="00007309">
        <w:rPr>
          <w:rFonts w:cs="Arial"/>
          <w:b/>
          <w:bCs/>
          <w:sz w:val="36"/>
          <w:szCs w:val="28"/>
          <w:vertAlign w:val="superscript"/>
          <w:rtl/>
        </w:rPr>
        <w:footnoteReference w:id="6613"/>
      </w:r>
      <w:r w:rsidRPr="00007309">
        <w:rPr>
          <w:rFonts w:cs="Arial"/>
          <w:b/>
          <w:bCs/>
          <w:sz w:val="24"/>
          <w:szCs w:val="24"/>
          <w:rtl/>
        </w:rPr>
        <w:t>לְאֵ'ם, כְּמָא דִּתְבִירוּ דִּילָךְ לֵית לֵי</w:t>
      </w:r>
      <w:r w:rsidRPr="00007309">
        <w:rPr>
          <w:rFonts w:cs="Arial" w:hint="cs"/>
          <w:b/>
          <w:bCs/>
          <w:sz w:val="24"/>
          <w:szCs w:val="24"/>
          <w:rtl/>
        </w:rPr>
        <w:t>ה</w:t>
      </w:r>
      <w:r w:rsidRPr="00007309">
        <w:rPr>
          <w:rFonts w:cs="Arial"/>
          <w:b/>
          <w:bCs/>
          <w:sz w:val="24"/>
          <w:szCs w:val="24"/>
          <w:rtl/>
        </w:rPr>
        <w:t xml:space="preserve"> סוֹף. </w:t>
      </w:r>
      <w:r w:rsidRPr="00007309">
        <w:rPr>
          <w:rFonts w:cs="Arial" w:hint="cs"/>
          <w:sz w:val="24"/>
          <w:szCs w:val="24"/>
          <w:rtl/>
        </w:rPr>
        <w:t>(</w:t>
      </w:r>
      <w:r w:rsidRPr="00007309">
        <w:rPr>
          <w:rFonts w:cs="Arial"/>
          <w:sz w:val="24"/>
          <w:szCs w:val="24"/>
          <w:rtl/>
        </w:rPr>
        <w:t>וּכְעָן</w:t>
      </w:r>
      <w:r w:rsidRPr="00007309">
        <w:rPr>
          <w:rFonts w:cs="Arial" w:hint="cs"/>
          <w:sz w:val="24"/>
          <w:szCs w:val="24"/>
          <w:rtl/>
        </w:rPr>
        <w:t>)</w:t>
      </w:r>
      <w:r w:rsidRPr="00007309">
        <w:rPr>
          <w:rFonts w:cs="Arial"/>
          <w:b/>
          <w:bCs/>
          <w:sz w:val="24"/>
          <w:szCs w:val="24"/>
          <w:rtl/>
        </w:rPr>
        <w:t xml:space="preserve"> וכ</w:t>
      </w:r>
      <w:r w:rsidRPr="00007309">
        <w:rPr>
          <w:rFonts w:cs="Arial" w:hint="cs"/>
          <w:b/>
          <w:bCs/>
          <w:sz w:val="24"/>
          <w:szCs w:val="24"/>
          <w:rtl/>
        </w:rPr>
        <w:t>א</w:t>
      </w:r>
      <w:r w:rsidRPr="00007309">
        <w:rPr>
          <w:rFonts w:cs="Arial"/>
          <w:b/>
          <w:bCs/>
          <w:sz w:val="24"/>
          <w:szCs w:val="24"/>
          <w:rtl/>
        </w:rPr>
        <w:t>ן בּוּצִינָא קַדִּישָׁא, טֹל אַבְנָא לְגַבָּךְ דְּאַנְתְּ יָכִיל לְמִסְבַּל לַהּ, וְאִית לָךְ חֵילָא. וְאִי תֵּימָא דְּאַנְתְּ בִּלְחוֹדָךְ אִיהוּ דְּאַזְרִיקַת לָךְ. לֹא</w:t>
      </w:r>
      <w:r w:rsidRPr="00007309">
        <w:rPr>
          <w:rFonts w:cs="Arial" w:hint="cs"/>
          <w:b/>
          <w:bCs/>
          <w:sz w:val="24"/>
          <w:szCs w:val="24"/>
          <w:rtl/>
        </w:rPr>
        <w:t>,</w:t>
      </w:r>
      <w:r w:rsidRPr="00007309">
        <w:rPr>
          <w:rFonts w:cs="Arial"/>
          <w:b/>
          <w:bCs/>
          <w:sz w:val="24"/>
          <w:szCs w:val="24"/>
          <w:rtl/>
        </w:rPr>
        <w:t xml:space="preserve"> אֶלָּא אֲפִלּוּ לַאֲבָהָן וּלְכָל מַשִּׁרְיָן דְּנִשְׁמָתִין דִּמְקַנְּנִין עִמָּךָ בְּדִיּוֹקְנָא דִּילָךְ, כְּרָעֲיָא מְהֵימָנָא </w:t>
      </w:r>
      <w:r w:rsidRPr="00007309">
        <w:rPr>
          <w:rFonts w:cs="Arial"/>
          <w:b/>
          <w:bCs/>
          <w:sz w:val="36"/>
          <w:szCs w:val="28"/>
          <w:vertAlign w:val="superscript"/>
          <w:rtl/>
        </w:rPr>
        <w:footnoteReference w:id="6614"/>
      </w:r>
      <w:r w:rsidRPr="00007309">
        <w:rPr>
          <w:rFonts w:cs="Arial"/>
          <w:b/>
          <w:bCs/>
          <w:sz w:val="24"/>
          <w:szCs w:val="24"/>
          <w:rtl/>
        </w:rPr>
        <w:t xml:space="preserve">דְּאִית לֵהּ תְּרֵי פַּרְצוּפִין, חַד לְעֵלָּא וְחַד לְתַתָּא, לָקֳבֵל מֶרְכַּבְתָּא עִלָּאָה וּמֶרְכַּבְתָּא </w:t>
      </w:r>
      <w:r w:rsidRPr="00007309">
        <w:rPr>
          <w:rFonts w:ascii="Cambria" w:hAnsi="Cambria" w:cs="Times New Roman" w:hint="cs"/>
          <w:b/>
          <w:bCs/>
          <w:i/>
          <w:iCs/>
          <w:color w:val="4F81BD"/>
          <w:sz w:val="24"/>
          <w:szCs w:val="24"/>
          <w:rtl/>
        </w:rPr>
        <w:t>(דף עו ע"ד)</w:t>
      </w:r>
      <w:r w:rsidRPr="00007309">
        <w:rPr>
          <w:rFonts w:cs="Arial" w:hint="cs"/>
          <w:b/>
          <w:bCs/>
          <w:sz w:val="24"/>
          <w:szCs w:val="24"/>
          <w:rtl/>
        </w:rPr>
        <w:t xml:space="preserve"> </w:t>
      </w:r>
      <w:r w:rsidRPr="00007309">
        <w:rPr>
          <w:rFonts w:cs="Arial"/>
          <w:b/>
          <w:bCs/>
          <w:sz w:val="24"/>
          <w:szCs w:val="24"/>
          <w:rtl/>
        </w:rPr>
        <w:t>תַּתָּאָה. וּבְגִינַיְהוּ אִתְּמַר (בראשית א) וַיִּבְרָא אֱלֹהִים אֶת הָאָדָם בְּצַלְמוֹ בְּצֶלֶם אֱלֹהִים. בְּצַלְמוֹ בְּדִיּוֹקְנָא דִּלְעֵלָּא</w:t>
      </w:r>
      <w:r w:rsidRPr="00007309">
        <w:rPr>
          <w:rFonts w:cs="Arial" w:hint="cs"/>
          <w:b/>
          <w:bCs/>
          <w:sz w:val="24"/>
          <w:szCs w:val="24"/>
          <w:rtl/>
        </w:rPr>
        <w:t>,</w:t>
      </w:r>
      <w:r w:rsidRPr="00007309">
        <w:rPr>
          <w:rFonts w:cs="Arial"/>
          <w:b/>
          <w:bCs/>
          <w:sz w:val="24"/>
          <w:szCs w:val="24"/>
          <w:rtl/>
        </w:rPr>
        <w:t xml:space="preserve"> בְּצֶלֶם אֱלֹהִים דִּיּוֹקְנָא לְתַתָּא. וּבְגִין דָּא כָּפַל שְׁמֵהּ תְּרֵין זִמְנִין מֹשֶׁ"ה מֹשֶׁ"ה הָדָא הוּא דִּכְתִיב (שמות ב) וַיֹּאמֶר מֹשֶׁה מֹשֶׁה. וּכְמָה דְּכָלִיל פַּרְצוּפִין דִּבְרִיאָה הָכֵי כְּלִילָן בֵּהּ פַּרְצוּפִין דַּאֲצִילוּת. </w:t>
      </w:r>
    </w:p>
    <w:p w:rsidR="00007309" w:rsidRPr="00007309" w:rsidRDefault="00007309" w:rsidP="00007309">
      <w:pPr>
        <w:jc w:val="both"/>
        <w:rPr>
          <w:rFonts w:cs="Arial"/>
          <w:b/>
          <w:bCs/>
          <w:sz w:val="24"/>
          <w:szCs w:val="24"/>
        </w:rPr>
      </w:pPr>
      <w:r w:rsidRPr="00007309">
        <w:rPr>
          <w:rFonts w:cs="Arial"/>
          <w:b/>
          <w:bCs/>
          <w:sz w:val="24"/>
          <w:szCs w:val="24"/>
          <w:rtl/>
        </w:rPr>
        <w:t xml:space="preserve">אָמַר לֵהּ בּוּצִינָא קַדִּישָׁא </w:t>
      </w:r>
      <w:r w:rsidRPr="00007309">
        <w:rPr>
          <w:rFonts w:cs="Arial"/>
          <w:b/>
          <w:bCs/>
          <w:sz w:val="36"/>
          <w:szCs w:val="28"/>
          <w:vertAlign w:val="superscript"/>
          <w:rtl/>
        </w:rPr>
        <w:footnoteReference w:id="6615"/>
      </w:r>
      <w:r w:rsidRPr="00007309">
        <w:rPr>
          <w:rFonts w:cs="Arial"/>
          <w:b/>
          <w:bCs/>
          <w:sz w:val="24"/>
          <w:szCs w:val="24"/>
          <w:rtl/>
        </w:rPr>
        <w:t xml:space="preserve">סָבָא סָבָא, יְדַעְנָא בָּךְ דְּאַנְתְּ הוּא מִסִּטְרָא </w:t>
      </w:r>
      <w:r w:rsidRPr="00007309">
        <w:rPr>
          <w:rFonts w:cs="Arial"/>
          <w:b/>
          <w:bCs/>
          <w:sz w:val="36"/>
          <w:szCs w:val="28"/>
          <w:vertAlign w:val="superscript"/>
          <w:rtl/>
        </w:rPr>
        <w:footnoteReference w:id="6616"/>
      </w:r>
      <w:r w:rsidRPr="00007309">
        <w:rPr>
          <w:rFonts w:cs="Arial"/>
          <w:b/>
          <w:bCs/>
          <w:sz w:val="24"/>
          <w:szCs w:val="24"/>
          <w:rtl/>
        </w:rPr>
        <w:t xml:space="preserve">דְּסָבָא עִלָּאָה דְּאִיהוּ יִשְׂרָאֵל דִּלְעֵלָּא. וְהַאי </w:t>
      </w:r>
      <w:r w:rsidRPr="00007309">
        <w:rPr>
          <w:rFonts w:cs="Arial"/>
          <w:b/>
          <w:bCs/>
          <w:sz w:val="36"/>
          <w:szCs w:val="28"/>
          <w:vertAlign w:val="superscript"/>
          <w:rtl/>
        </w:rPr>
        <w:footnoteReference w:id="6617"/>
      </w:r>
      <w:r w:rsidRPr="00007309">
        <w:rPr>
          <w:rFonts w:cs="Arial"/>
          <w:b/>
          <w:bCs/>
          <w:sz w:val="24"/>
          <w:szCs w:val="24"/>
          <w:rtl/>
        </w:rPr>
        <w:t xml:space="preserve">אַבְנָא דִּילָךְ אֲנָן מְקַבְּלִין לַהּ </w:t>
      </w:r>
      <w:r w:rsidRPr="00007309">
        <w:rPr>
          <w:rFonts w:cs="Arial"/>
          <w:b/>
          <w:bCs/>
          <w:sz w:val="36"/>
          <w:szCs w:val="28"/>
          <w:vertAlign w:val="superscript"/>
          <w:rtl/>
        </w:rPr>
        <w:footnoteReference w:id="6618"/>
      </w:r>
      <w:r w:rsidRPr="00007309">
        <w:rPr>
          <w:rFonts w:cs="Arial"/>
          <w:b/>
          <w:bCs/>
          <w:sz w:val="24"/>
          <w:szCs w:val="24"/>
          <w:rtl/>
        </w:rPr>
        <w:t>בְּרַעֲוָא</w:t>
      </w:r>
      <w:r w:rsidRPr="00007309">
        <w:rPr>
          <w:rFonts w:cs="Arial" w:hint="cs"/>
          <w:b/>
          <w:bCs/>
          <w:sz w:val="24"/>
          <w:szCs w:val="24"/>
          <w:rtl/>
        </w:rPr>
        <w:t>,</w:t>
      </w:r>
      <w:r w:rsidRPr="00007309">
        <w:rPr>
          <w:rFonts w:cs="Arial"/>
          <w:b/>
          <w:bCs/>
          <w:sz w:val="24"/>
          <w:szCs w:val="24"/>
          <w:rtl/>
        </w:rPr>
        <w:t xml:space="preserve"> דְּלֵית סוֹף וְתַכְלִית לְנִסְיוֹנִין דִּילַהּ. בְּגִין יְקָרָא דִּשְׁכִינְתָּא</w:t>
      </w:r>
      <w:r w:rsidRPr="00007309">
        <w:rPr>
          <w:rFonts w:cs="Arial"/>
          <w:b/>
          <w:bCs/>
          <w:sz w:val="24"/>
          <w:szCs w:val="24"/>
        </w:rPr>
        <w:t xml:space="preserve"> </w:t>
      </w:r>
      <w:r w:rsidRPr="00007309">
        <w:rPr>
          <w:rFonts w:cs="Arial"/>
          <w:b/>
          <w:bCs/>
          <w:sz w:val="24"/>
          <w:szCs w:val="24"/>
          <w:rtl/>
        </w:rPr>
        <w:t xml:space="preserve">דְּאִתְּמַר בֵּהּ (בראשית מ) מִשָּׁם רוֹעֵה </w:t>
      </w:r>
      <w:r w:rsidRPr="00007309">
        <w:rPr>
          <w:rFonts w:cs="Arial"/>
          <w:b/>
          <w:bCs/>
          <w:sz w:val="36"/>
          <w:szCs w:val="28"/>
          <w:vertAlign w:val="superscript"/>
          <w:rtl/>
        </w:rPr>
        <w:footnoteReference w:id="6619"/>
      </w:r>
      <w:r w:rsidRPr="00007309">
        <w:rPr>
          <w:rFonts w:cs="Arial"/>
          <w:b/>
          <w:bCs/>
          <w:sz w:val="24"/>
          <w:szCs w:val="24"/>
          <w:rtl/>
        </w:rPr>
        <w:t xml:space="preserve">אֶבֶן יִשְׂרָאֵל. בְּגִין </w:t>
      </w:r>
      <w:r w:rsidRPr="00007309">
        <w:rPr>
          <w:rFonts w:cs="Arial"/>
          <w:b/>
          <w:bCs/>
          <w:sz w:val="36"/>
          <w:szCs w:val="28"/>
          <w:vertAlign w:val="superscript"/>
          <w:rtl/>
        </w:rPr>
        <w:footnoteReference w:id="6620"/>
      </w:r>
      <w:r w:rsidRPr="00007309">
        <w:rPr>
          <w:rFonts w:cs="Arial"/>
          <w:b/>
          <w:bCs/>
          <w:sz w:val="24"/>
          <w:szCs w:val="24"/>
          <w:rtl/>
        </w:rPr>
        <w:t xml:space="preserve">לְאַחֲזָרָא לָהּ סְגוֹלְתָּא </w:t>
      </w:r>
      <w:r w:rsidRPr="00007309">
        <w:rPr>
          <w:rFonts w:cs="Arial"/>
          <w:b/>
          <w:bCs/>
          <w:sz w:val="36"/>
          <w:szCs w:val="28"/>
          <w:vertAlign w:val="superscript"/>
          <w:rtl/>
        </w:rPr>
        <w:footnoteReference w:id="6621"/>
      </w:r>
      <w:r w:rsidRPr="00007309">
        <w:rPr>
          <w:rFonts w:cs="Arial"/>
          <w:b/>
          <w:bCs/>
          <w:sz w:val="24"/>
          <w:szCs w:val="24"/>
          <w:rtl/>
        </w:rPr>
        <w:t>לְשַׁרְיָא עֲלָךְ. וּבְגִין דְּיִשְׁרֵי עֲלַהּ עִלַּת עַל כָּל עִלָּאִין</w:t>
      </w:r>
      <w:r w:rsidRPr="00007309">
        <w:rPr>
          <w:rFonts w:cs="Arial"/>
          <w:b/>
          <w:bCs/>
          <w:sz w:val="24"/>
          <w:szCs w:val="24"/>
        </w:rPr>
        <w:t>:</w:t>
      </w:r>
    </w:p>
    <w:p w:rsidR="00007309" w:rsidRPr="00007309" w:rsidRDefault="00007309" w:rsidP="00007309">
      <w:pPr>
        <w:keepNext/>
        <w:spacing w:before="240" w:after="60"/>
        <w:jc w:val="right"/>
        <w:outlineLvl w:val="2"/>
        <w:rPr>
          <w:rFonts w:ascii="Cambria" w:hAnsi="Cambria" w:cs="Times New Roman"/>
          <w:b/>
          <w:bCs/>
          <w:sz w:val="26"/>
          <w:szCs w:val="26"/>
          <w:rtl/>
        </w:rPr>
      </w:pPr>
      <w:r w:rsidRPr="00007309">
        <w:rPr>
          <w:rFonts w:ascii="Cambria" w:hAnsi="Cambria" w:cs="Times New Roman" w:hint="cs"/>
          <w:b/>
          <w:bCs/>
          <w:sz w:val="26"/>
          <w:szCs w:val="26"/>
          <w:rtl/>
        </w:rPr>
        <w:t>[וילנא יב ע"ב]</w:t>
      </w:r>
    </w:p>
    <w:p w:rsidR="00007309" w:rsidRPr="00007309" w:rsidRDefault="00007309" w:rsidP="00007309">
      <w:pPr>
        <w:jc w:val="both"/>
        <w:rPr>
          <w:rFonts w:cs="Arial"/>
          <w:b/>
          <w:bCs/>
          <w:sz w:val="24"/>
          <w:szCs w:val="24"/>
          <w:rtl/>
        </w:rPr>
      </w:pPr>
      <w:r w:rsidRPr="00007309">
        <w:rPr>
          <w:rFonts w:cs="Arial"/>
          <w:b/>
          <w:bCs/>
          <w:sz w:val="24"/>
          <w:szCs w:val="24"/>
          <w:rtl/>
        </w:rPr>
        <w:t>אָמַר הַהוּא סָבָא</w:t>
      </w:r>
      <w:r w:rsidRPr="00007309">
        <w:rPr>
          <w:rFonts w:cs="Arial" w:hint="cs"/>
          <w:b/>
          <w:bCs/>
          <w:sz w:val="24"/>
          <w:szCs w:val="24"/>
          <w:rtl/>
        </w:rPr>
        <w:t>,</w:t>
      </w:r>
      <w:r w:rsidRPr="00007309">
        <w:rPr>
          <w:rFonts w:cs="Arial"/>
          <w:b/>
          <w:bCs/>
          <w:sz w:val="24"/>
          <w:szCs w:val="24"/>
          <w:rtl/>
        </w:rPr>
        <w:t xml:space="preserve"> בּוּצִינָא קַדִּישָׁא</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6622"/>
      </w:r>
      <w:r w:rsidRPr="00007309">
        <w:rPr>
          <w:rFonts w:cs="Arial"/>
          <w:b/>
          <w:bCs/>
          <w:sz w:val="24"/>
          <w:szCs w:val="24"/>
          <w:rtl/>
        </w:rPr>
        <w:t>יוּ"ד הֵ"י וָא"ו הֵ"י אִיהוּ עֶשֶׂר אַתְוָן</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6623"/>
      </w:r>
      <w:r w:rsidRPr="00007309">
        <w:rPr>
          <w:rFonts w:cs="Arial"/>
          <w:b/>
          <w:bCs/>
          <w:sz w:val="24"/>
          <w:szCs w:val="24"/>
          <w:rtl/>
        </w:rPr>
        <w:t xml:space="preserve">וְחֻשְׁבָּנֵהּ ס"ג. בֵּהּ נָטִיל נוּקְמָא </w:t>
      </w:r>
      <w:r w:rsidRPr="00007309">
        <w:rPr>
          <w:rFonts w:cs="Arial"/>
          <w:b/>
          <w:bCs/>
          <w:sz w:val="36"/>
          <w:szCs w:val="28"/>
          <w:vertAlign w:val="superscript"/>
          <w:rtl/>
        </w:rPr>
        <w:footnoteReference w:id="6624"/>
      </w:r>
      <w:r w:rsidRPr="00007309">
        <w:rPr>
          <w:rFonts w:cs="Arial"/>
          <w:b/>
          <w:bCs/>
          <w:sz w:val="24"/>
          <w:szCs w:val="24"/>
          <w:rtl/>
        </w:rPr>
        <w:t xml:space="preserve">מִן ג"ס רוּחָא דְּאִתְּמַר בֵּהּ </w:t>
      </w:r>
      <w:r w:rsidRPr="00007309">
        <w:rPr>
          <w:rFonts w:cs="Arial"/>
          <w:b/>
          <w:bCs/>
          <w:sz w:val="36"/>
          <w:szCs w:val="28"/>
          <w:vertAlign w:val="superscript"/>
          <w:rtl/>
        </w:rPr>
        <w:footnoteReference w:id="6625"/>
      </w:r>
      <w:r w:rsidRPr="00007309">
        <w:rPr>
          <w:rFonts w:cs="Arial"/>
          <w:b/>
          <w:bCs/>
          <w:sz w:val="24"/>
          <w:szCs w:val="24"/>
          <w:rtl/>
        </w:rPr>
        <w:t xml:space="preserve">כִּי גָאֹה גָאָה. </w:t>
      </w:r>
      <w:r w:rsidRPr="00007309">
        <w:rPr>
          <w:rFonts w:cs="Arial"/>
          <w:b/>
          <w:bCs/>
          <w:sz w:val="36"/>
          <w:szCs w:val="28"/>
          <w:vertAlign w:val="superscript"/>
          <w:rtl/>
        </w:rPr>
        <w:footnoteReference w:id="6626"/>
      </w:r>
      <w:r w:rsidRPr="00007309">
        <w:rPr>
          <w:rFonts w:cs="Arial"/>
          <w:b/>
          <w:bCs/>
          <w:sz w:val="24"/>
          <w:szCs w:val="24"/>
          <w:rtl/>
        </w:rPr>
        <w:t xml:space="preserve">בְּגִין דְּמִנֵּהּ קָא אַתְיָן עִרְבּוּבְיָא בִּישָׁא. דְּאִתְּמַר בְּהוֹן (תהלים נג) הַכֹּל סָג יַחְדָּיו נֶאֱלָחוּ אֵין עוֹשֶׂה טוֹב אֵין גַּם אֶחָד. וְעֶשֶׂר אַתְוָן עִם ס"ג הֵם ג"ע וְהַאי אִיהוּ שְׁלַח נָא יָדְךָ וג"ע </w:t>
      </w:r>
      <w:r w:rsidRPr="00007309">
        <w:rPr>
          <w:rFonts w:cs="Arial"/>
          <w:b/>
          <w:bCs/>
          <w:sz w:val="36"/>
          <w:szCs w:val="28"/>
          <w:vertAlign w:val="superscript"/>
          <w:rtl/>
        </w:rPr>
        <w:footnoteReference w:id="6627"/>
      </w:r>
      <w:r w:rsidRPr="00007309">
        <w:rPr>
          <w:rFonts w:cs="Arial"/>
          <w:b/>
          <w:bCs/>
          <w:sz w:val="24"/>
          <w:szCs w:val="24"/>
          <w:rtl/>
        </w:rPr>
        <w:t xml:space="preserve">בְּכָל אֲשֶׁר לוֹ. וּבוּצִינָא קַדִּישָׁא בָּתַר דְּקַבָּלְתוּן הַאי אֶבֶן טוֹלוּ לָהּ לְגַבַּיְכוּ, </w:t>
      </w:r>
      <w:r w:rsidRPr="00007309">
        <w:rPr>
          <w:rFonts w:cs="Arial"/>
          <w:b/>
          <w:bCs/>
          <w:sz w:val="36"/>
          <w:szCs w:val="28"/>
          <w:vertAlign w:val="superscript"/>
          <w:rtl/>
        </w:rPr>
        <w:footnoteReference w:id="6628"/>
      </w:r>
      <w:r w:rsidRPr="00007309">
        <w:rPr>
          <w:rFonts w:cs="Arial"/>
          <w:b/>
          <w:bCs/>
          <w:sz w:val="24"/>
          <w:szCs w:val="24"/>
          <w:rtl/>
        </w:rPr>
        <w:t>דְּלָא תָּזוּז מִנְּכוֹן. עֲלָהּ אִתְּמַר (תהלים סח) אִם תִּשְׁכְּבוּן בֵּין שְׂפָתַיִם. זַכָּאָה אִיהוּ מָאן דְּשָׁכִיב אִימָּא עִלָּאָה בֵּין שִׂפְוָן דִּילֵהּ וּבְגִינָהּ אִתְּמַר (שם סח) אִם תִּשְׁכְּבוּן בֵּין שְׂפָתַיִם</w:t>
      </w:r>
      <w:r w:rsidRPr="00007309">
        <w:rPr>
          <w:rFonts w:cs="Arial" w:hint="cs"/>
          <w:b/>
          <w:bCs/>
          <w:sz w:val="24"/>
          <w:szCs w:val="24"/>
          <w:rtl/>
        </w:rPr>
        <w:t>,</w:t>
      </w:r>
      <w:r w:rsidRPr="00007309">
        <w:rPr>
          <w:rFonts w:cs="Arial"/>
          <w:b/>
          <w:bCs/>
          <w:sz w:val="24"/>
          <w:szCs w:val="24"/>
          <w:rtl/>
        </w:rPr>
        <w:t xml:space="preserve"> אַל תִּקְרִי אִם אֶלָּא אֵם. </w:t>
      </w:r>
      <w:r w:rsidRPr="00007309">
        <w:rPr>
          <w:rFonts w:cs="Arial"/>
          <w:b/>
          <w:bCs/>
          <w:sz w:val="36"/>
          <w:szCs w:val="28"/>
          <w:vertAlign w:val="superscript"/>
          <w:rtl/>
        </w:rPr>
        <w:footnoteReference w:id="6629"/>
      </w:r>
      <w:r w:rsidRPr="00007309">
        <w:rPr>
          <w:rFonts w:cs="Arial"/>
          <w:b/>
          <w:bCs/>
          <w:sz w:val="24"/>
          <w:szCs w:val="24"/>
          <w:rtl/>
        </w:rPr>
        <w:t>וּתְרֵין אִנּוּן אֵם עִלָּאָה אֵם תַּתָּאָה</w:t>
      </w:r>
      <w:r w:rsidRPr="00007309">
        <w:rPr>
          <w:rFonts w:cs="Arial" w:hint="cs"/>
          <w:b/>
          <w:bCs/>
          <w:sz w:val="24"/>
          <w:szCs w:val="24"/>
          <w:rtl/>
        </w:rPr>
        <w:t>,</w:t>
      </w:r>
      <w:r w:rsidRPr="00007309">
        <w:rPr>
          <w:rFonts w:cs="Arial"/>
          <w:b/>
          <w:bCs/>
          <w:sz w:val="24"/>
          <w:szCs w:val="24"/>
          <w:rtl/>
        </w:rPr>
        <w:t xml:space="preserve"> שְׁכִינְתָּא עִלָּאָה שְׁכִינְתָּא תַּתָּאָה. דְּעָלַייהוּ אִתְּמַר (דברים כב) שְׁלַח תִּשְׁלָח</w:t>
      </w:r>
      <w:r w:rsidRPr="00007309">
        <w:rPr>
          <w:rFonts w:cs="Arial" w:hint="cs"/>
          <w:b/>
          <w:bCs/>
          <w:sz w:val="24"/>
          <w:szCs w:val="24"/>
          <w:rtl/>
        </w:rPr>
        <w:t>,</w:t>
      </w:r>
      <w:r w:rsidRPr="00007309">
        <w:rPr>
          <w:rFonts w:cs="Arial"/>
          <w:b/>
          <w:bCs/>
          <w:sz w:val="24"/>
          <w:szCs w:val="24"/>
          <w:rtl/>
        </w:rPr>
        <w:t xml:space="preserve"> תְּרֵין </w:t>
      </w:r>
      <w:r w:rsidRPr="00007309">
        <w:rPr>
          <w:rFonts w:ascii="Cambria" w:hAnsi="Cambria" w:cs="Times New Roman" w:hint="cs"/>
          <w:b/>
          <w:bCs/>
          <w:i/>
          <w:iCs/>
          <w:color w:val="4F81BD"/>
          <w:sz w:val="24"/>
          <w:szCs w:val="24"/>
          <w:rtl/>
        </w:rPr>
        <w:t>(וילנא יב ע"ב)</w:t>
      </w:r>
      <w:r w:rsidRPr="00007309">
        <w:rPr>
          <w:rFonts w:cs="Arial" w:hint="cs"/>
          <w:b/>
          <w:bCs/>
          <w:sz w:val="24"/>
          <w:szCs w:val="24"/>
          <w:rtl/>
        </w:rPr>
        <w:t xml:space="preserve"> </w:t>
      </w:r>
      <w:r w:rsidRPr="00007309">
        <w:rPr>
          <w:rFonts w:cs="Arial"/>
          <w:b/>
          <w:bCs/>
          <w:sz w:val="24"/>
          <w:szCs w:val="24"/>
          <w:rtl/>
        </w:rPr>
        <w:t xml:space="preserve">שְׁלוּחִין. </w:t>
      </w:r>
      <w:r w:rsidRPr="00007309">
        <w:rPr>
          <w:rFonts w:cs="Arial"/>
          <w:b/>
          <w:bCs/>
          <w:sz w:val="36"/>
          <w:szCs w:val="28"/>
          <w:vertAlign w:val="superscript"/>
          <w:rtl/>
        </w:rPr>
        <w:footnoteReference w:id="6630"/>
      </w:r>
      <w:r w:rsidRPr="00007309">
        <w:rPr>
          <w:rFonts w:cs="Arial"/>
          <w:b/>
          <w:bCs/>
          <w:sz w:val="24"/>
          <w:szCs w:val="24"/>
          <w:rtl/>
        </w:rPr>
        <w:t xml:space="preserve">לְקָבְלַיְהוּ אִתְּמַר (רות א) </w:t>
      </w:r>
      <w:r w:rsidRPr="00007309">
        <w:rPr>
          <w:rFonts w:cs="Arial"/>
          <w:b/>
          <w:bCs/>
          <w:sz w:val="36"/>
          <w:szCs w:val="28"/>
          <w:vertAlign w:val="superscript"/>
          <w:rtl/>
        </w:rPr>
        <w:footnoteReference w:id="6631"/>
      </w:r>
      <w:r w:rsidRPr="00007309">
        <w:rPr>
          <w:rFonts w:cs="Arial"/>
          <w:b/>
          <w:bCs/>
          <w:sz w:val="24"/>
          <w:szCs w:val="24"/>
          <w:rtl/>
        </w:rPr>
        <w:t xml:space="preserve">וַתֵּלַכְנָה שְׁתֵּיהֶן. זַכָּאָה אִיהוּ מָאן דְּשָׁכִיב לוֹן </w:t>
      </w:r>
      <w:r w:rsidRPr="00007309">
        <w:rPr>
          <w:rFonts w:cs="Arial"/>
          <w:b/>
          <w:bCs/>
          <w:sz w:val="36"/>
          <w:szCs w:val="28"/>
          <w:vertAlign w:val="superscript"/>
          <w:rtl/>
        </w:rPr>
        <w:footnoteReference w:id="6632"/>
      </w:r>
      <w:r w:rsidRPr="00007309">
        <w:rPr>
          <w:rFonts w:cs="Arial"/>
          <w:b/>
          <w:bCs/>
          <w:sz w:val="24"/>
          <w:szCs w:val="24"/>
          <w:rtl/>
        </w:rPr>
        <w:t>בְּשִׂפְוָן דִּילֵהּ, בִּצְלוֹתָא בְּאוֹרַיְתָא בִּקְרִיאַת שְׁמַע</w:t>
      </w:r>
      <w:r w:rsidRPr="00007309">
        <w:rPr>
          <w:rFonts w:cs="Arial" w:hint="cs"/>
          <w:b/>
          <w:bCs/>
          <w:sz w:val="24"/>
          <w:szCs w:val="24"/>
          <w:rtl/>
        </w:rPr>
        <w:t>.</w:t>
      </w:r>
      <w:r w:rsidRPr="00007309">
        <w:rPr>
          <w:rFonts w:cs="Arial"/>
          <w:b/>
          <w:bCs/>
          <w:sz w:val="24"/>
          <w:szCs w:val="24"/>
          <w:rtl/>
        </w:rPr>
        <w:t xml:space="preserve"> בִּצְלוֹתָא בְּהַשְׁכִּיבֵנוּ, </w:t>
      </w:r>
      <w:r w:rsidRPr="00007309">
        <w:rPr>
          <w:rFonts w:cs="Arial"/>
          <w:b/>
          <w:bCs/>
          <w:sz w:val="36"/>
          <w:szCs w:val="28"/>
          <w:vertAlign w:val="superscript"/>
          <w:rtl/>
        </w:rPr>
        <w:footnoteReference w:id="6633"/>
      </w:r>
      <w:r w:rsidRPr="00007309">
        <w:rPr>
          <w:rFonts w:cs="Arial"/>
          <w:b/>
          <w:bCs/>
          <w:sz w:val="24"/>
          <w:szCs w:val="24"/>
          <w:rtl/>
        </w:rPr>
        <w:t xml:space="preserve">דְּתַמָּן קוּדְשָׁא בְּרִיךְ הוּא דְּאִתְּמַר בֵּהּ הַשְׁכִּיבֵנוּ אָבִינוּ לְשָׁלוֹם וְגוֹ', </w:t>
      </w:r>
      <w:r w:rsidRPr="00007309">
        <w:rPr>
          <w:rFonts w:cs="Arial"/>
          <w:b/>
          <w:bCs/>
          <w:sz w:val="36"/>
          <w:szCs w:val="28"/>
          <w:vertAlign w:val="superscript"/>
          <w:rtl/>
        </w:rPr>
        <w:footnoteReference w:id="6634"/>
      </w:r>
      <w:r w:rsidRPr="00007309">
        <w:rPr>
          <w:rFonts w:cs="Arial"/>
          <w:b/>
          <w:bCs/>
          <w:sz w:val="24"/>
          <w:szCs w:val="24"/>
          <w:rtl/>
        </w:rPr>
        <w:t xml:space="preserve">וְעַל שְׁכִינְתָּא אִתְּמַר וּפְרֹשׂ עָלֵינוּ סֻכַּת שְׁלוֹמֶךָ, </w:t>
      </w:r>
      <w:r w:rsidRPr="00007309">
        <w:rPr>
          <w:rFonts w:cs="Arial"/>
          <w:b/>
          <w:bCs/>
          <w:sz w:val="36"/>
          <w:szCs w:val="28"/>
          <w:vertAlign w:val="superscript"/>
          <w:rtl/>
        </w:rPr>
        <w:footnoteReference w:id="6635"/>
      </w:r>
      <w:r w:rsidRPr="00007309">
        <w:rPr>
          <w:rFonts w:cs="Arial"/>
          <w:b/>
          <w:bCs/>
          <w:sz w:val="24"/>
          <w:szCs w:val="24"/>
          <w:rtl/>
        </w:rPr>
        <w:t xml:space="preserve">תְּרֵין שְׁלוֹמֵי חַד לָקֳבֵל שְׁכִינְתָּא עִלָּאָה, וְחַד לָקֳבֵל שְׁכִינְתָּא תַּתָּאָה. חַד אִיהוּ בַּעַל הַבַּיִת, וּבְגִינֵהּ אִתְּמַר הַשְׁכִּיבֵנוּ אָבִינוּ לְשָׁלוֹם וְדָא עַמּוּדָא דְּאֶמְצָעִיתָא. וְתִנְיָנָא אִיהוּ אֹרֵח. עַל תַּרְוַיְהוּ אִתְּמַר </w:t>
      </w:r>
      <w:r w:rsidRPr="00007309">
        <w:rPr>
          <w:rFonts w:cs="Arial"/>
          <w:b/>
          <w:bCs/>
          <w:sz w:val="36"/>
          <w:szCs w:val="28"/>
          <w:vertAlign w:val="superscript"/>
          <w:rtl/>
        </w:rPr>
        <w:footnoteReference w:id="6636"/>
      </w:r>
      <w:r w:rsidRPr="00007309">
        <w:rPr>
          <w:rFonts w:cs="Arial"/>
          <w:b/>
          <w:bCs/>
          <w:sz w:val="24"/>
          <w:szCs w:val="24"/>
          <w:rtl/>
        </w:rPr>
        <w:t xml:space="preserve">בַּעַל הַבַּיִת בּוֹצֵעַ וְאוֹרֵחַ מְבָרֵךְ. וּמִסִּטְרָא דְּאוֹרֵחַ אִתְקְרִיאַת שְׁכִינְתָּא מְלוֹן אוֹרְחִים. הָדָא הוּא דִּכְתִיב (ירמיה ט) מִי יִתְּנֵנִי בַּמִּדְבָּר </w:t>
      </w:r>
      <w:r w:rsidRPr="00007309">
        <w:rPr>
          <w:rFonts w:cs="Arial"/>
          <w:b/>
          <w:bCs/>
          <w:sz w:val="36"/>
          <w:szCs w:val="28"/>
          <w:vertAlign w:val="superscript"/>
          <w:rtl/>
        </w:rPr>
        <w:footnoteReference w:id="6637"/>
      </w:r>
      <w:r w:rsidRPr="00007309">
        <w:rPr>
          <w:rFonts w:cs="Arial"/>
          <w:b/>
          <w:bCs/>
          <w:sz w:val="24"/>
          <w:szCs w:val="24"/>
          <w:rtl/>
        </w:rPr>
        <w:t>מְלוֹן אוֹרְחִים. וּבְגִינֵהּ אִתְּמַר וַיָּלֶן שָׁם</w:t>
      </w:r>
      <w:r w:rsidRPr="00007309">
        <w:rPr>
          <w:rFonts w:cs="Arial" w:hint="cs"/>
          <w:b/>
          <w:bCs/>
          <w:sz w:val="24"/>
          <w:szCs w:val="24"/>
          <w:rtl/>
        </w:rPr>
        <w:t>.</w:t>
      </w:r>
      <w:r w:rsidRPr="00007309">
        <w:rPr>
          <w:rFonts w:cs="Arial"/>
          <w:b/>
          <w:bCs/>
          <w:sz w:val="24"/>
          <w:szCs w:val="24"/>
          <w:rtl/>
        </w:rPr>
        <w:t xml:space="preserve"> וְאַמַּאי כִּי בָא הַשֶּׁמֶשׁ, דְּאִתְכְּנַשׁ מִנֵּהּ הַהוּא דְּאִתְּמַר בֵּהּ (תהלים פד) </w:t>
      </w:r>
      <w:r w:rsidRPr="00007309">
        <w:rPr>
          <w:rFonts w:cs="Arial"/>
          <w:b/>
          <w:bCs/>
          <w:sz w:val="36"/>
          <w:szCs w:val="28"/>
          <w:vertAlign w:val="superscript"/>
          <w:rtl/>
        </w:rPr>
        <w:footnoteReference w:id="6638"/>
      </w:r>
      <w:r w:rsidRPr="00007309">
        <w:rPr>
          <w:rFonts w:cs="Arial"/>
          <w:b/>
          <w:bCs/>
          <w:sz w:val="24"/>
          <w:szCs w:val="24"/>
          <w:rtl/>
        </w:rPr>
        <w:t>כִּי שֶׁמֶשׁ וּמָגֵן ה' אֱלֹהִים</w:t>
      </w:r>
      <w:r w:rsidRPr="00007309">
        <w:rPr>
          <w:rFonts w:cs="Arial" w:hint="cs"/>
          <w:b/>
          <w:bCs/>
          <w:sz w:val="24"/>
          <w:szCs w:val="24"/>
          <w:rtl/>
        </w:rPr>
        <w:t xml:space="preserve"> </w:t>
      </w:r>
      <w:r w:rsidRPr="00007309">
        <w:rPr>
          <w:rFonts w:cs="Arial"/>
          <w:b/>
          <w:bCs/>
          <w:sz w:val="24"/>
          <w:szCs w:val="24"/>
          <w:rtl/>
        </w:rPr>
        <w:t xml:space="preserve">וְאִשְׁתְּאָרַת שְׁכִינְתָּא בַּחֲשׁוֹכָא בְּגָלוּתָא. </w:t>
      </w:r>
      <w:r w:rsidRPr="00007309">
        <w:rPr>
          <w:rFonts w:cs="Arial"/>
          <w:b/>
          <w:bCs/>
          <w:sz w:val="36"/>
          <w:szCs w:val="28"/>
          <w:vertAlign w:val="superscript"/>
          <w:rtl/>
        </w:rPr>
        <w:footnoteReference w:id="6639"/>
      </w:r>
      <w:r w:rsidRPr="00007309">
        <w:rPr>
          <w:rFonts w:cs="Arial"/>
          <w:b/>
          <w:bCs/>
          <w:sz w:val="24"/>
          <w:szCs w:val="24"/>
          <w:rtl/>
        </w:rPr>
        <w:t xml:space="preserve">וּמִסִּטְרָא דְּנֶצַח וָהוֹד </w:t>
      </w:r>
      <w:r w:rsidRPr="00007309">
        <w:rPr>
          <w:rFonts w:cs="Arial"/>
          <w:b/>
          <w:bCs/>
          <w:sz w:val="36"/>
          <w:szCs w:val="28"/>
          <w:vertAlign w:val="superscript"/>
          <w:rtl/>
        </w:rPr>
        <w:footnoteReference w:id="6640"/>
      </w:r>
      <w:r w:rsidRPr="00007309">
        <w:rPr>
          <w:rFonts w:cs="Arial"/>
          <w:b/>
          <w:bCs/>
          <w:sz w:val="24"/>
          <w:szCs w:val="24"/>
          <w:rtl/>
        </w:rPr>
        <w:t>אִתְקְרִיאַת נְבוּאָה. וּמִסִּטְרָא דִּתְלָת אֲבָהָן דְּאִתְקְרִיאוּ אֶל אֱלֹהִים ה', דְּאִנּוּן הָאֵל הַגָּדוֹל הַגִּבּוֹר וְהַנּוֹרָא, אתקריא</w:t>
      </w:r>
      <w:r w:rsidRPr="00007309">
        <w:rPr>
          <w:rFonts w:cs="Arial" w:hint="cs"/>
          <w:b/>
          <w:bCs/>
          <w:sz w:val="24"/>
          <w:szCs w:val="24"/>
          <w:rtl/>
        </w:rPr>
        <w:t>ת</w:t>
      </w:r>
      <w:r w:rsidRPr="00007309">
        <w:rPr>
          <w:rFonts w:cs="Arial"/>
          <w:b/>
          <w:bCs/>
          <w:sz w:val="24"/>
          <w:szCs w:val="24"/>
          <w:rtl/>
        </w:rPr>
        <w:t xml:space="preserve"> גְּדֻלָּה גְּבוּרָה</w:t>
      </w:r>
      <w:r w:rsidRPr="00007309">
        <w:rPr>
          <w:rFonts w:cs="Arial"/>
          <w:b/>
          <w:bCs/>
          <w:sz w:val="24"/>
          <w:szCs w:val="24"/>
        </w:rPr>
        <w:t xml:space="preserve"> </w:t>
      </w:r>
      <w:r w:rsidRPr="00007309">
        <w:rPr>
          <w:rFonts w:cs="Arial"/>
          <w:b/>
          <w:bCs/>
          <w:sz w:val="24"/>
          <w:szCs w:val="24"/>
          <w:rtl/>
        </w:rPr>
        <w:t>תִּפְאֶרֶת</w:t>
      </w:r>
      <w:r w:rsidRPr="00007309">
        <w:rPr>
          <w:rFonts w:cs="Arial" w:hint="cs"/>
          <w:b/>
          <w:bCs/>
          <w:sz w:val="24"/>
          <w:szCs w:val="24"/>
          <w:rtl/>
        </w:rPr>
        <w:t>.</w:t>
      </w:r>
      <w:r w:rsidRPr="00007309">
        <w:rPr>
          <w:rFonts w:cs="Arial"/>
          <w:b/>
          <w:bCs/>
          <w:sz w:val="24"/>
          <w:szCs w:val="24"/>
          <w:rtl/>
        </w:rPr>
        <w:t xml:space="preserve"> וּבְאִלֵּין תְּלָת שְׁמָהָן אִיהִי סַהִידַת </w:t>
      </w:r>
      <w:r w:rsidRPr="00007309">
        <w:rPr>
          <w:rFonts w:cs="Arial"/>
          <w:b/>
          <w:bCs/>
          <w:sz w:val="36"/>
          <w:szCs w:val="28"/>
          <w:vertAlign w:val="superscript"/>
          <w:rtl/>
        </w:rPr>
        <w:footnoteReference w:id="6641"/>
      </w:r>
      <w:r w:rsidRPr="00007309">
        <w:rPr>
          <w:rFonts w:cs="Arial"/>
          <w:b/>
          <w:bCs/>
          <w:sz w:val="24"/>
          <w:szCs w:val="24"/>
          <w:rtl/>
        </w:rPr>
        <w:t xml:space="preserve">עַל הַוָּיָתֵהּ, וֵאלֹהוּתֵהּ, </w:t>
      </w:r>
      <w:r w:rsidRPr="00007309">
        <w:rPr>
          <w:rFonts w:cs="Arial"/>
          <w:b/>
          <w:bCs/>
          <w:sz w:val="36"/>
          <w:szCs w:val="28"/>
          <w:vertAlign w:val="superscript"/>
          <w:rtl/>
        </w:rPr>
        <w:footnoteReference w:id="6642"/>
      </w:r>
      <w:r w:rsidRPr="00007309">
        <w:rPr>
          <w:rFonts w:cs="Arial"/>
          <w:b/>
          <w:bCs/>
          <w:sz w:val="24"/>
          <w:szCs w:val="24"/>
          <w:rtl/>
        </w:rPr>
        <w:t xml:space="preserve">וִיכוֹלְתֵהּ עַל כָּל עָלְמִין. וּמִסִּטְרָא דְּאִמָּא עִלָּאָה אִתְקְרִיאַת </w:t>
      </w:r>
      <w:r w:rsidRPr="00007309">
        <w:rPr>
          <w:rFonts w:cs="Arial"/>
          <w:b/>
          <w:bCs/>
          <w:sz w:val="36"/>
          <w:szCs w:val="28"/>
          <w:vertAlign w:val="superscript"/>
          <w:rtl/>
        </w:rPr>
        <w:footnoteReference w:id="6643"/>
      </w:r>
      <w:r w:rsidRPr="00007309">
        <w:rPr>
          <w:rFonts w:cs="Arial"/>
          <w:b/>
          <w:bCs/>
          <w:sz w:val="24"/>
          <w:szCs w:val="24"/>
          <w:rtl/>
        </w:rPr>
        <w:t xml:space="preserve">אֵם תְּשׁוּבָה </w:t>
      </w:r>
      <w:r w:rsidRPr="00007309">
        <w:rPr>
          <w:rFonts w:cs="Arial"/>
          <w:b/>
          <w:bCs/>
          <w:sz w:val="36"/>
          <w:szCs w:val="28"/>
          <w:vertAlign w:val="superscript"/>
          <w:rtl/>
        </w:rPr>
        <w:footnoteReference w:id="6644"/>
      </w:r>
      <w:r w:rsidRPr="00007309">
        <w:rPr>
          <w:rFonts w:cs="Arial"/>
          <w:b/>
          <w:bCs/>
          <w:sz w:val="24"/>
          <w:szCs w:val="24"/>
          <w:rtl/>
        </w:rPr>
        <w:t xml:space="preserve">יֱהֹוִה, </w:t>
      </w:r>
      <w:r w:rsidRPr="00007309">
        <w:rPr>
          <w:rFonts w:cs="Arial"/>
          <w:b/>
          <w:bCs/>
          <w:sz w:val="36"/>
          <w:szCs w:val="28"/>
          <w:vertAlign w:val="superscript"/>
          <w:rtl/>
        </w:rPr>
        <w:footnoteReference w:id="6645"/>
      </w:r>
      <w:r w:rsidRPr="00007309">
        <w:rPr>
          <w:rFonts w:cs="Arial"/>
          <w:b/>
          <w:bCs/>
          <w:sz w:val="24"/>
          <w:szCs w:val="24"/>
          <w:rtl/>
        </w:rPr>
        <w:t xml:space="preserve">דְּאַחֲזֵי עַל כִּנּוּי וַהֲוָיָה </w:t>
      </w:r>
      <w:r w:rsidRPr="00007309">
        <w:rPr>
          <w:rFonts w:cs="Arial"/>
          <w:b/>
          <w:bCs/>
          <w:sz w:val="36"/>
          <w:szCs w:val="28"/>
          <w:vertAlign w:val="superscript"/>
          <w:rtl/>
        </w:rPr>
        <w:footnoteReference w:id="6646"/>
      </w:r>
      <w:r w:rsidRPr="00007309">
        <w:rPr>
          <w:rFonts w:cs="Arial"/>
          <w:b/>
          <w:bCs/>
          <w:sz w:val="24"/>
          <w:szCs w:val="24"/>
          <w:rtl/>
        </w:rPr>
        <w:t>דְּמָארֵי עָלְמִין מָארֵי דְּכָל כִּנּוּיִין וְכָל הַוְיָן. דְּכָל כִּנּוּיִין וְכָל הַוְיָן אִנּוּן כִּנּוּיִין לֵ</w:t>
      </w:r>
      <w:r w:rsidRPr="00007309">
        <w:rPr>
          <w:rFonts w:cs="Arial" w:hint="cs"/>
          <w:b/>
          <w:bCs/>
          <w:sz w:val="24"/>
          <w:szCs w:val="24"/>
          <w:rtl/>
        </w:rPr>
        <w:t>י</w:t>
      </w:r>
      <w:r w:rsidRPr="00007309">
        <w:rPr>
          <w:rFonts w:cs="Arial"/>
          <w:b/>
          <w:bCs/>
          <w:sz w:val="24"/>
          <w:szCs w:val="24"/>
          <w:rtl/>
        </w:rPr>
        <w:t xml:space="preserve">הּ, וְאִיהוּ לָאו אִיהוּ כִּנּוּי. וְאִתְקְרִיאַת </w:t>
      </w:r>
      <w:r w:rsidRPr="00007309">
        <w:rPr>
          <w:rFonts w:cs="Arial"/>
          <w:b/>
          <w:bCs/>
          <w:sz w:val="36"/>
          <w:szCs w:val="28"/>
          <w:vertAlign w:val="superscript"/>
          <w:rtl/>
        </w:rPr>
        <w:footnoteReference w:id="6647"/>
      </w:r>
      <w:r w:rsidRPr="00007309">
        <w:rPr>
          <w:rFonts w:cs="Arial"/>
          <w:b/>
          <w:bCs/>
          <w:sz w:val="24"/>
          <w:szCs w:val="24"/>
          <w:rtl/>
        </w:rPr>
        <w:t xml:space="preserve">מָ"ה מִסִּטְרָא דְּחָכְמָה </w:t>
      </w:r>
      <w:r w:rsidRPr="00007309">
        <w:rPr>
          <w:rFonts w:cs="Arial"/>
          <w:b/>
          <w:bCs/>
          <w:sz w:val="36"/>
          <w:szCs w:val="28"/>
          <w:vertAlign w:val="superscript"/>
          <w:rtl/>
        </w:rPr>
        <w:footnoteReference w:id="6648"/>
      </w:r>
      <w:r w:rsidRPr="00007309">
        <w:rPr>
          <w:rFonts w:cs="Arial"/>
          <w:b/>
          <w:bCs/>
          <w:sz w:val="24"/>
          <w:szCs w:val="24"/>
          <w:rtl/>
        </w:rPr>
        <w:t xml:space="preserve">דְּאִתְּמַר (דברים י) מַה ה' אֱלֹהֶיךָ שֹׁאֵל מֵעִמָּךְ כִּי אִם לְיִרְאָה. דְּאִם לֵית חָכְמָה לֵית דְּחִילוּ. וְאִם לֵית דְּחִילוּ לֵית חָכְמָה. וּבְהַאי מָ"ה </w:t>
      </w:r>
      <w:r w:rsidRPr="00007309">
        <w:rPr>
          <w:rFonts w:cs="Arial"/>
          <w:b/>
          <w:bCs/>
          <w:sz w:val="36"/>
          <w:szCs w:val="28"/>
          <w:vertAlign w:val="superscript"/>
          <w:rtl/>
        </w:rPr>
        <w:footnoteReference w:id="6649"/>
      </w:r>
      <w:r w:rsidRPr="00007309">
        <w:rPr>
          <w:rFonts w:cs="Arial"/>
          <w:b/>
          <w:bCs/>
          <w:sz w:val="24"/>
          <w:szCs w:val="24"/>
          <w:rtl/>
        </w:rPr>
        <w:t>מֵעִיד עַל עִלַּת כָּל עִלָּאִין, כִּי לֹא יָדְעוּ מַ"ה הוּא. וּמִסִּטְרָא דְּחָכְמָה אִנּוּן נִקּוּדִין. כְּגַוְנָא דָּא י'</w:t>
      </w:r>
      <w:r w:rsidRPr="00007309">
        <w:rPr>
          <w:rFonts w:cs="Arial" w:hint="cs"/>
          <w:b/>
          <w:bCs/>
          <w:sz w:val="24"/>
          <w:szCs w:val="24"/>
          <w:rtl/>
        </w:rPr>
        <w:t>,</w:t>
      </w:r>
      <w:r w:rsidRPr="00007309">
        <w:rPr>
          <w:rFonts w:cs="Arial"/>
          <w:b/>
          <w:bCs/>
          <w:sz w:val="24"/>
          <w:szCs w:val="24"/>
          <w:rtl/>
        </w:rPr>
        <w:t xml:space="preserve"> קוֹצָא דִּלְתַתָּא וְקוֹצָא דִּלְעֵלָּא וְנִקּוּדָא דְּאֶמְצָעִיתָא</w:t>
      </w:r>
      <w:r w:rsidRPr="00007309">
        <w:rPr>
          <w:rFonts w:cs="Arial" w:hint="cs"/>
          <w:b/>
          <w:bCs/>
          <w:sz w:val="24"/>
          <w:szCs w:val="24"/>
          <w:rtl/>
        </w:rPr>
        <w:t>,</w:t>
      </w:r>
      <w:r w:rsidRPr="00007309">
        <w:rPr>
          <w:rFonts w:cs="Arial"/>
          <w:b/>
          <w:bCs/>
          <w:sz w:val="24"/>
          <w:szCs w:val="24"/>
          <w:rtl/>
        </w:rPr>
        <w:t xml:space="preserve"> אַחֲזֵי עַל כֶּתֶר עִלָּאָה, דְּבֵהּ תְּלָת קְטִירִין </w:t>
      </w:r>
      <w:r w:rsidRPr="00007309">
        <w:rPr>
          <w:rFonts w:cs="Arial" w:hint="cs"/>
          <w:b/>
          <w:bCs/>
          <w:noProof/>
          <w:sz w:val="24"/>
          <w:szCs w:val="24"/>
          <w:rtl/>
        </w:rPr>
        <w:drawing>
          <wp:inline distT="0" distB="0" distL="0" distR="0" wp14:anchorId="1BFC7DA3" wp14:editId="406C9B86">
            <wp:extent cx="247619" cy="247619"/>
            <wp:effectExtent l="0" t="0" r="635" b="635"/>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ג יודין.bmp"/>
                    <pic:cNvPicPr/>
                  </pic:nvPicPr>
                  <pic:blipFill>
                    <a:blip r:embed="rId12">
                      <a:extLst>
                        <a:ext uri="{28A0092B-C50C-407E-A947-70E740481C1C}">
                          <a14:useLocalDpi xmlns:a14="http://schemas.microsoft.com/office/drawing/2010/main" val="0"/>
                        </a:ext>
                      </a:extLst>
                    </a:blip>
                    <a:stretch>
                      <a:fillRect/>
                    </a:stretch>
                  </pic:blipFill>
                  <pic:spPr>
                    <a:xfrm>
                      <a:off x="0" y="0"/>
                      <a:ext cx="247619" cy="247619"/>
                    </a:xfrm>
                    <a:prstGeom prst="rect">
                      <a:avLst/>
                    </a:prstGeom>
                  </pic:spPr>
                </pic:pic>
              </a:graphicData>
            </a:graphic>
          </wp:inline>
        </w:drawing>
      </w:r>
      <w:r w:rsidRPr="00007309">
        <w:rPr>
          <w:rFonts w:cs="Arial" w:hint="cs"/>
          <w:b/>
          <w:bCs/>
          <w:sz w:val="24"/>
          <w:szCs w:val="24"/>
          <w:rtl/>
        </w:rPr>
        <w:t xml:space="preserve"> </w:t>
      </w:r>
      <w:r w:rsidRPr="00007309">
        <w:rPr>
          <w:rFonts w:cs="Arial"/>
          <w:b/>
          <w:bCs/>
          <w:sz w:val="24"/>
          <w:szCs w:val="24"/>
          <w:rtl/>
        </w:rPr>
        <w:t xml:space="preserve">וְאִנּוּן רְמִיזִין בְּיוּ"ד הֵ"י וָא"ו הֵ"י. </w:t>
      </w:r>
      <w:r w:rsidRPr="00007309">
        <w:rPr>
          <w:rFonts w:cs="Arial"/>
          <w:b/>
          <w:bCs/>
          <w:sz w:val="36"/>
          <w:szCs w:val="28"/>
          <w:vertAlign w:val="superscript"/>
          <w:rtl/>
        </w:rPr>
        <w:footnoteReference w:id="6650"/>
      </w:r>
      <w:r w:rsidRPr="00007309">
        <w:rPr>
          <w:rFonts w:cs="Arial"/>
          <w:b/>
          <w:bCs/>
          <w:sz w:val="24"/>
          <w:szCs w:val="24"/>
          <w:rtl/>
        </w:rPr>
        <w:t>וְכָל אָת אַחֲזֵי ד' אַתְוָן, דְּאִנּוּן יְבָרֶכְךָ יהו'ה יָאֶר יהו'ה יִשָּא יהו'ה</w:t>
      </w:r>
      <w:r w:rsidRPr="00007309">
        <w:rPr>
          <w:rFonts w:cs="Arial" w:hint="cs"/>
          <w:b/>
          <w:bCs/>
          <w:sz w:val="24"/>
          <w:szCs w:val="24"/>
          <w:rtl/>
        </w:rPr>
        <w:t>,</w:t>
      </w:r>
      <w:r w:rsidRPr="00007309">
        <w:rPr>
          <w:rFonts w:cs="Arial"/>
          <w:b/>
          <w:bCs/>
          <w:sz w:val="24"/>
          <w:szCs w:val="24"/>
          <w:rtl/>
        </w:rPr>
        <w:t xml:space="preserve"> י"ב אַתְוָן </w:t>
      </w:r>
      <w:r w:rsidRPr="00007309">
        <w:rPr>
          <w:rFonts w:cs="Arial"/>
          <w:b/>
          <w:bCs/>
          <w:sz w:val="36"/>
          <w:szCs w:val="28"/>
          <w:vertAlign w:val="superscript"/>
          <w:rtl/>
        </w:rPr>
        <w:footnoteReference w:id="6651"/>
      </w:r>
      <w:r w:rsidRPr="00007309">
        <w:rPr>
          <w:rFonts w:cs="Arial"/>
          <w:b/>
          <w:bCs/>
          <w:sz w:val="24"/>
          <w:szCs w:val="24"/>
          <w:rtl/>
        </w:rPr>
        <w:t>דְּתַלְיָן מִן י'</w:t>
      </w:r>
      <w:r w:rsidRPr="00007309">
        <w:rPr>
          <w:rFonts w:cs="Arial" w:hint="cs"/>
          <w:b/>
          <w:bCs/>
          <w:sz w:val="24"/>
          <w:szCs w:val="24"/>
          <w:rtl/>
        </w:rPr>
        <w:t>,</w:t>
      </w:r>
      <w:r w:rsidRPr="00007309">
        <w:rPr>
          <w:rFonts w:cs="Arial"/>
          <w:b/>
          <w:bCs/>
          <w:sz w:val="24"/>
          <w:szCs w:val="24"/>
          <w:rtl/>
        </w:rPr>
        <w:t xml:space="preserve"> וּבֵ</w:t>
      </w:r>
      <w:r w:rsidRPr="00007309">
        <w:rPr>
          <w:rFonts w:cs="Arial" w:hint="cs"/>
          <w:b/>
          <w:bCs/>
          <w:sz w:val="24"/>
          <w:szCs w:val="24"/>
          <w:rtl/>
        </w:rPr>
        <w:t>י</w:t>
      </w:r>
      <w:r w:rsidRPr="00007309">
        <w:rPr>
          <w:rFonts w:cs="Arial"/>
          <w:b/>
          <w:bCs/>
          <w:sz w:val="24"/>
          <w:szCs w:val="24"/>
          <w:rtl/>
        </w:rPr>
        <w:t xml:space="preserve">הּ אִנּוּן תְּלָת עֶשֶׂר מְכִילָן חַד. </w:t>
      </w:r>
      <w:r w:rsidRPr="00007309">
        <w:rPr>
          <w:rFonts w:cs="Arial"/>
          <w:b/>
          <w:bCs/>
          <w:sz w:val="36"/>
          <w:szCs w:val="28"/>
          <w:vertAlign w:val="superscript"/>
          <w:rtl/>
        </w:rPr>
        <w:footnoteReference w:id="6652"/>
      </w:r>
      <w:r w:rsidRPr="00007309">
        <w:rPr>
          <w:rFonts w:cs="Arial"/>
          <w:b/>
          <w:bCs/>
          <w:sz w:val="24"/>
          <w:szCs w:val="24"/>
          <w:rtl/>
        </w:rPr>
        <w:t>כְּגַוְנָא דָּא י'</w:t>
      </w:r>
      <w:r w:rsidRPr="00007309">
        <w:rPr>
          <w:rFonts w:cs="Arial" w:hint="cs"/>
          <w:b/>
          <w:bCs/>
          <w:sz w:val="24"/>
          <w:szCs w:val="24"/>
          <w:rtl/>
        </w:rPr>
        <w:t>,</w:t>
      </w:r>
      <w:r w:rsidRPr="00007309">
        <w:rPr>
          <w:rFonts w:cs="Arial"/>
          <w:b/>
          <w:bCs/>
          <w:sz w:val="24"/>
          <w:szCs w:val="24"/>
          <w:rtl/>
        </w:rPr>
        <w:t xml:space="preserve"> קוֹצָא לְעֵלָּא חַד, וְקוֹצָא לְתַתָּא תְּרֵין</w:t>
      </w:r>
      <w:r w:rsidRPr="00007309">
        <w:rPr>
          <w:rFonts w:cs="Arial" w:hint="cs"/>
          <w:b/>
          <w:bCs/>
          <w:sz w:val="24"/>
          <w:szCs w:val="24"/>
          <w:rtl/>
        </w:rPr>
        <w:t>,</w:t>
      </w:r>
      <w:r w:rsidRPr="00007309">
        <w:rPr>
          <w:rFonts w:cs="Arial"/>
          <w:b/>
          <w:bCs/>
          <w:sz w:val="24"/>
          <w:szCs w:val="24"/>
          <w:rtl/>
        </w:rPr>
        <w:t xml:space="preserve"> וּנְקֻדָּה בְּאֶמְצָעִיתָא הָא תְּלָת. וְאוֹת י' בְּחֻשְׁבָּנֵהּ עֶשֶׂר, </w:t>
      </w:r>
      <w:r w:rsidRPr="00007309">
        <w:rPr>
          <w:rFonts w:cs="Arial"/>
          <w:b/>
          <w:bCs/>
          <w:sz w:val="36"/>
          <w:szCs w:val="28"/>
          <w:vertAlign w:val="superscript"/>
          <w:rtl/>
        </w:rPr>
        <w:footnoteReference w:id="6653"/>
      </w:r>
      <w:r w:rsidRPr="00007309">
        <w:rPr>
          <w:rFonts w:cs="Arial"/>
          <w:b/>
          <w:bCs/>
          <w:sz w:val="24"/>
          <w:szCs w:val="24"/>
          <w:rtl/>
        </w:rPr>
        <w:t xml:space="preserve">הא י"ג מְכִילָן דְּרַחֲמֵי </w:t>
      </w:r>
      <w:r w:rsidRPr="00007309">
        <w:rPr>
          <w:rFonts w:cs="Arial"/>
          <w:b/>
          <w:bCs/>
          <w:sz w:val="36"/>
          <w:szCs w:val="28"/>
          <w:vertAlign w:val="superscript"/>
          <w:rtl/>
        </w:rPr>
        <w:footnoteReference w:id="6654"/>
      </w:r>
      <w:r w:rsidRPr="00007309">
        <w:rPr>
          <w:rFonts w:cs="Arial"/>
          <w:b/>
          <w:bCs/>
          <w:sz w:val="24"/>
          <w:szCs w:val="24"/>
          <w:rtl/>
        </w:rPr>
        <w:t>דְּאִתְּמַר בְּהוֹן בַּעֲשָׂרָה מַאֲמָרוֹת נִבְרָא הָעוֹלָם. וּמַה תַּלְמוּד</w:t>
      </w:r>
      <w:r w:rsidRPr="00007309">
        <w:rPr>
          <w:rFonts w:cs="Arial"/>
          <w:b/>
          <w:bCs/>
          <w:sz w:val="24"/>
          <w:szCs w:val="24"/>
        </w:rPr>
        <w:t xml:space="preserve"> </w:t>
      </w:r>
      <w:r w:rsidRPr="00007309">
        <w:rPr>
          <w:rFonts w:cs="Arial"/>
          <w:b/>
          <w:bCs/>
          <w:sz w:val="24"/>
          <w:szCs w:val="24"/>
          <w:rtl/>
        </w:rPr>
        <w:t xml:space="preserve">לוֹמַר וַהֲלֹא בְּמַאֲמָר אֶחָד יָכוֹל לְהִבָּרְאוֹת. וּמִסִּטְרָא דִּנְקֻדִּין אִתְקְרִיאַת שְׁכִינְתָּא תַּתָּאָה </w:t>
      </w:r>
      <w:r w:rsidRPr="00007309">
        <w:rPr>
          <w:rFonts w:cs="Arial"/>
          <w:b/>
          <w:bCs/>
          <w:sz w:val="36"/>
          <w:szCs w:val="28"/>
          <w:vertAlign w:val="superscript"/>
          <w:rtl/>
        </w:rPr>
        <w:footnoteReference w:id="6655"/>
      </w:r>
      <w:r w:rsidRPr="00007309">
        <w:rPr>
          <w:rFonts w:cs="Arial"/>
          <w:b/>
          <w:bCs/>
          <w:sz w:val="24"/>
          <w:szCs w:val="24"/>
          <w:rtl/>
        </w:rPr>
        <w:t xml:space="preserve">בַּת קוֹל, כְּמָא דְּאוֹקִימְנָא כְּגַוְנָא דָּא </w:t>
      </w:r>
      <w:r w:rsidRPr="00007309">
        <w:rPr>
          <w:rFonts w:cs="Arial"/>
          <w:b/>
          <w:bCs/>
          <w:noProof/>
          <w:sz w:val="24"/>
          <w:szCs w:val="24"/>
          <w:rtl/>
        </w:rPr>
        <w:drawing>
          <wp:inline distT="0" distB="0" distL="0" distR="0" wp14:anchorId="21973E32" wp14:editId="4239C7D3">
            <wp:extent cx="219075" cy="266700"/>
            <wp:effectExtent l="0" t="0" r="9525" b="0"/>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אלף חצי תחתון.jpg"/>
                    <pic:cNvPicPr/>
                  </pic:nvPicPr>
                  <pic:blipFill>
                    <a:blip r:embed="rId13">
                      <a:extLst>
                        <a:ext uri="{28A0092B-C50C-407E-A947-70E740481C1C}">
                          <a14:useLocalDpi xmlns:a14="http://schemas.microsoft.com/office/drawing/2010/main" val="0"/>
                        </a:ext>
                      </a:extLst>
                    </a:blip>
                    <a:stretch>
                      <a:fillRect/>
                    </a:stretch>
                  </pic:blipFill>
                  <pic:spPr>
                    <a:xfrm>
                      <a:off x="0" y="0"/>
                      <a:ext cx="219075" cy="266700"/>
                    </a:xfrm>
                    <a:prstGeom prst="rect">
                      <a:avLst/>
                    </a:prstGeom>
                  </pic:spPr>
                </pic:pic>
              </a:graphicData>
            </a:graphic>
          </wp:inline>
        </w:drawing>
      </w:r>
      <w:r w:rsidRPr="00007309">
        <w:rPr>
          <w:rFonts w:cs="Arial"/>
          <w:b/>
          <w:bCs/>
          <w:sz w:val="24"/>
          <w:szCs w:val="24"/>
          <w:rtl/>
        </w:rPr>
        <w:t xml:space="preserve">. </w:t>
      </w:r>
      <w:r w:rsidRPr="00007309">
        <w:rPr>
          <w:rFonts w:cs="Arial"/>
          <w:b/>
          <w:bCs/>
          <w:sz w:val="36"/>
          <w:szCs w:val="28"/>
          <w:vertAlign w:val="superscript"/>
          <w:rtl/>
        </w:rPr>
        <w:footnoteReference w:id="6656"/>
      </w:r>
      <w:r w:rsidRPr="00007309">
        <w:rPr>
          <w:rFonts w:cs="Arial"/>
          <w:b/>
          <w:bCs/>
          <w:sz w:val="24"/>
          <w:szCs w:val="24"/>
          <w:rtl/>
        </w:rPr>
        <w:t xml:space="preserve">וּמִסִּטְרָא דְּטַעֲמֵי אִתְקְרִיאַת שְׁכִינְתָּא מַחֲשָׁבָה כְּגַוְנָא דָּא </w:t>
      </w:r>
      <w:r w:rsidRPr="00007309">
        <w:rPr>
          <w:rFonts w:cs="Arial"/>
          <w:b/>
          <w:bCs/>
          <w:noProof/>
          <w:sz w:val="24"/>
          <w:szCs w:val="24"/>
          <w:rtl/>
        </w:rPr>
        <w:drawing>
          <wp:inline distT="0" distB="0" distL="0" distR="0" wp14:anchorId="3DB3C451" wp14:editId="347F2906">
            <wp:extent cx="200025" cy="257175"/>
            <wp:effectExtent l="0" t="0" r="9525" b="9525"/>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אלף חצי עליון.jpg"/>
                    <pic:cNvPicPr/>
                  </pic:nvPicPr>
                  <pic:blipFill>
                    <a:blip r:embed="rId14">
                      <a:extLst>
                        <a:ext uri="{28A0092B-C50C-407E-A947-70E740481C1C}">
                          <a14:useLocalDpi xmlns:a14="http://schemas.microsoft.com/office/drawing/2010/main" val="0"/>
                        </a:ext>
                      </a:extLst>
                    </a:blip>
                    <a:stretch>
                      <a:fillRect/>
                    </a:stretch>
                  </pic:blipFill>
                  <pic:spPr>
                    <a:xfrm>
                      <a:off x="0" y="0"/>
                      <a:ext cx="200025" cy="257175"/>
                    </a:xfrm>
                    <a:prstGeom prst="rect">
                      <a:avLst/>
                    </a:prstGeom>
                  </pic:spPr>
                </pic:pic>
              </a:graphicData>
            </a:graphic>
          </wp:inline>
        </w:drawing>
      </w:r>
      <w:r w:rsidRPr="00007309">
        <w:rPr>
          <w:rFonts w:cs="Arial"/>
          <w:b/>
          <w:bCs/>
          <w:sz w:val="24"/>
          <w:szCs w:val="24"/>
          <w:rtl/>
        </w:rPr>
        <w:t xml:space="preserve">. </w:t>
      </w:r>
      <w:r w:rsidRPr="00007309">
        <w:rPr>
          <w:rFonts w:cs="Arial"/>
          <w:b/>
          <w:bCs/>
          <w:sz w:val="36"/>
          <w:szCs w:val="28"/>
          <w:vertAlign w:val="superscript"/>
          <w:rtl/>
        </w:rPr>
        <w:footnoteReference w:id="6657"/>
      </w:r>
      <w:r w:rsidRPr="00007309">
        <w:rPr>
          <w:rFonts w:cs="Arial"/>
          <w:b/>
          <w:bCs/>
          <w:sz w:val="24"/>
          <w:szCs w:val="24"/>
          <w:rtl/>
        </w:rPr>
        <w:t>וְכֹלָּא אִתְרְמִיז בְּאָת אָלֶף. בָּהּ אִתְרְמִיזוּ טַעֲמֵי לְעֵלָּא</w:t>
      </w:r>
      <w:r w:rsidRPr="00007309">
        <w:rPr>
          <w:rFonts w:cs="Arial" w:hint="cs"/>
          <w:b/>
          <w:bCs/>
          <w:sz w:val="24"/>
          <w:szCs w:val="24"/>
          <w:rtl/>
        </w:rPr>
        <w:t>,</w:t>
      </w:r>
      <w:r w:rsidRPr="00007309">
        <w:rPr>
          <w:rFonts w:cs="Arial"/>
          <w:b/>
          <w:bCs/>
          <w:sz w:val="24"/>
          <w:szCs w:val="24"/>
          <w:rtl/>
        </w:rPr>
        <w:t xml:space="preserve"> נִקּוּדִין לְתַתָּא, אַתְוָן בְּאֶמְצָעִיתָא</w:t>
      </w:r>
      <w:r w:rsidRPr="00007309">
        <w:rPr>
          <w:rFonts w:cs="Arial" w:hint="cs"/>
          <w:b/>
          <w:bCs/>
          <w:sz w:val="24"/>
          <w:szCs w:val="24"/>
          <w:rtl/>
        </w:rPr>
        <w:t>.</w:t>
      </w:r>
      <w:r w:rsidRPr="00007309">
        <w:rPr>
          <w:rFonts w:cs="Arial"/>
          <w:b/>
          <w:bCs/>
          <w:sz w:val="24"/>
          <w:szCs w:val="24"/>
          <w:rtl/>
        </w:rPr>
        <w:t xml:space="preserve"> וְכֹלָּא אִיהוּ עֶשֶׂר אֲמִירָן עֲשֶׂרֶת הַדִּבְּרוֹת וְשִׁית יוֹמֵי בְּרֵאשִׁית</w:t>
      </w:r>
      <w:r w:rsidRPr="00007309">
        <w:rPr>
          <w:rFonts w:cs="Arial" w:hint="cs"/>
          <w:b/>
          <w:bCs/>
          <w:sz w:val="24"/>
          <w:szCs w:val="24"/>
          <w:rtl/>
        </w:rPr>
        <w:t>.</w:t>
      </w:r>
      <w:r w:rsidRPr="00007309">
        <w:rPr>
          <w:rFonts w:cs="Arial"/>
          <w:b/>
          <w:bCs/>
          <w:sz w:val="24"/>
          <w:szCs w:val="24"/>
          <w:rtl/>
        </w:rPr>
        <w:t xml:space="preserve"> וְאִנּוּן כ"ו כְּחֻשְׁבַּן יהו'ה, דְּכָלִיל טַעֲמֵי וְנִקּוּדֵי וְאַתְוָן כְּגַוְנָא דָּא יְהוָֹ"ה</w:t>
      </w:r>
      <w:r w:rsidRPr="00007309">
        <w:rPr>
          <w:rFonts w:cs="Arial" w:hint="cs"/>
          <w:b/>
          <w:bCs/>
          <w:sz w:val="24"/>
          <w:szCs w:val="24"/>
          <w:rtl/>
        </w:rPr>
        <w:t>.</w:t>
      </w:r>
      <w:r w:rsidRPr="00007309">
        <w:rPr>
          <w:rFonts w:cs="Arial"/>
          <w:b/>
          <w:bCs/>
          <w:sz w:val="24"/>
          <w:szCs w:val="24"/>
          <w:rtl/>
        </w:rPr>
        <w:t xml:space="preserve"> וְאִנּוּן טַעֲמֵי וְנִקּוּדֵי מַיִן עִלָּאֵי כְּגַוְנָא דָּא </w:t>
      </w:r>
      <w:r w:rsidRPr="00007309">
        <w:rPr>
          <w:rFonts w:cs="Arial"/>
          <w:b/>
          <w:bCs/>
          <w:noProof/>
          <w:sz w:val="24"/>
          <w:szCs w:val="24"/>
          <w:rtl/>
        </w:rPr>
        <w:drawing>
          <wp:inline distT="0" distB="0" distL="0" distR="0" wp14:anchorId="0D559D9B" wp14:editId="288BEF4B">
            <wp:extent cx="200025" cy="257175"/>
            <wp:effectExtent l="0" t="0" r="9525" b="9525"/>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אלף חצי עליון.jpg"/>
                    <pic:cNvPicPr/>
                  </pic:nvPicPr>
                  <pic:blipFill>
                    <a:blip r:embed="rId14">
                      <a:extLst>
                        <a:ext uri="{28A0092B-C50C-407E-A947-70E740481C1C}">
                          <a14:useLocalDpi xmlns:a14="http://schemas.microsoft.com/office/drawing/2010/main" val="0"/>
                        </a:ext>
                      </a:extLst>
                    </a:blip>
                    <a:stretch>
                      <a:fillRect/>
                    </a:stretch>
                  </pic:blipFill>
                  <pic:spPr>
                    <a:xfrm>
                      <a:off x="0" y="0"/>
                      <a:ext cx="200025" cy="257175"/>
                    </a:xfrm>
                    <a:prstGeom prst="rect">
                      <a:avLst/>
                    </a:prstGeom>
                  </pic:spPr>
                </pic:pic>
              </a:graphicData>
            </a:graphic>
          </wp:inline>
        </w:drawing>
      </w:r>
      <w:r w:rsidRPr="00007309">
        <w:rPr>
          <w:rFonts w:cs="Arial" w:hint="cs"/>
          <w:b/>
          <w:bCs/>
          <w:sz w:val="24"/>
          <w:szCs w:val="24"/>
          <w:rtl/>
        </w:rPr>
        <w:t>,</w:t>
      </w:r>
      <w:r w:rsidRPr="00007309">
        <w:rPr>
          <w:rFonts w:cs="Arial"/>
          <w:b/>
          <w:bCs/>
          <w:sz w:val="24"/>
          <w:szCs w:val="24"/>
          <w:rtl/>
        </w:rPr>
        <w:t xml:space="preserve"> מַיִן נוּקְבִין כְּגַוְנָא דָּא </w:t>
      </w:r>
      <w:r w:rsidRPr="00007309">
        <w:rPr>
          <w:rFonts w:cs="Arial"/>
          <w:b/>
          <w:bCs/>
          <w:noProof/>
          <w:sz w:val="24"/>
          <w:szCs w:val="24"/>
          <w:rtl/>
        </w:rPr>
        <w:drawing>
          <wp:inline distT="0" distB="0" distL="0" distR="0" wp14:anchorId="1B67DBA0" wp14:editId="7A61589F">
            <wp:extent cx="219075" cy="266700"/>
            <wp:effectExtent l="0" t="0" r="9525" b="0"/>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אלף חצי תחתון.jpg"/>
                    <pic:cNvPicPr/>
                  </pic:nvPicPr>
                  <pic:blipFill>
                    <a:blip r:embed="rId13">
                      <a:extLst>
                        <a:ext uri="{28A0092B-C50C-407E-A947-70E740481C1C}">
                          <a14:useLocalDpi xmlns:a14="http://schemas.microsoft.com/office/drawing/2010/main" val="0"/>
                        </a:ext>
                      </a:extLst>
                    </a:blip>
                    <a:stretch>
                      <a:fillRect/>
                    </a:stretch>
                  </pic:blipFill>
                  <pic:spPr>
                    <a:xfrm>
                      <a:off x="0" y="0"/>
                      <a:ext cx="219075" cy="266700"/>
                    </a:xfrm>
                    <a:prstGeom prst="rect">
                      <a:avLst/>
                    </a:prstGeom>
                  </pic:spPr>
                </pic:pic>
              </a:graphicData>
            </a:graphic>
          </wp:inline>
        </w:drawing>
      </w:r>
      <w:r w:rsidRPr="00007309">
        <w:rPr>
          <w:rFonts w:cs="Arial" w:hint="cs"/>
          <w:b/>
          <w:bCs/>
          <w:sz w:val="24"/>
          <w:szCs w:val="24"/>
          <w:rtl/>
        </w:rPr>
        <w:t>,</w:t>
      </w:r>
      <w:r w:rsidRPr="00007309">
        <w:rPr>
          <w:rFonts w:cs="Arial"/>
          <w:b/>
          <w:bCs/>
          <w:sz w:val="24"/>
          <w:szCs w:val="24"/>
          <w:rtl/>
        </w:rPr>
        <w:t xml:space="preserve"> רָקִיעַ דְּאֶמְצָעִיתָא כָּלִיל כָּל אַתְוָן בְּגִינֵהּ אִתְּמַר (בראשית א) </w:t>
      </w:r>
      <w:r w:rsidRPr="00007309">
        <w:rPr>
          <w:rFonts w:cs="Arial"/>
          <w:b/>
          <w:bCs/>
          <w:sz w:val="36"/>
          <w:szCs w:val="28"/>
          <w:vertAlign w:val="superscript"/>
          <w:rtl/>
        </w:rPr>
        <w:footnoteReference w:id="6658"/>
      </w:r>
      <w:r w:rsidRPr="00007309">
        <w:rPr>
          <w:rFonts w:cs="Arial"/>
          <w:b/>
          <w:bCs/>
          <w:sz w:val="24"/>
          <w:szCs w:val="24"/>
          <w:rtl/>
        </w:rPr>
        <w:t xml:space="preserve">יְהִי רָקִיעַ בְּתוֹךְ הַמַּיִם </w:t>
      </w:r>
      <w:r w:rsidRPr="00007309">
        <w:rPr>
          <w:rFonts w:cs="Arial"/>
          <w:b/>
          <w:bCs/>
          <w:sz w:val="36"/>
          <w:szCs w:val="28"/>
          <w:vertAlign w:val="superscript"/>
          <w:rtl/>
        </w:rPr>
        <w:footnoteReference w:id="6659"/>
      </w:r>
      <w:r w:rsidRPr="00007309">
        <w:rPr>
          <w:rFonts w:cs="Arial"/>
          <w:b/>
          <w:bCs/>
          <w:sz w:val="24"/>
          <w:szCs w:val="24"/>
          <w:rtl/>
        </w:rPr>
        <w:t>וִיהִי מַבְדִּיל בֵּין מַיִם לְמַיִם</w:t>
      </w:r>
      <w:r w:rsidRPr="00007309">
        <w:rPr>
          <w:rFonts w:cs="Arial" w:hint="cs"/>
          <w:b/>
          <w:bCs/>
          <w:sz w:val="24"/>
          <w:szCs w:val="24"/>
          <w:rtl/>
        </w:rPr>
        <w:t>,</w:t>
      </w:r>
      <w:r w:rsidRPr="00007309">
        <w:rPr>
          <w:rFonts w:cs="Arial"/>
          <w:b/>
          <w:bCs/>
          <w:sz w:val="24"/>
          <w:szCs w:val="24"/>
          <w:rtl/>
        </w:rPr>
        <w:t xml:space="preserve"> רָקִיעַ בְּהִפּוּךְ אַתְוָן עִ</w:t>
      </w:r>
      <w:r w:rsidRPr="00007309">
        <w:rPr>
          <w:rFonts w:cs="Arial" w:hint="cs"/>
          <w:b/>
          <w:bCs/>
          <w:sz w:val="24"/>
          <w:szCs w:val="24"/>
          <w:rtl/>
        </w:rPr>
        <w:t>י</w:t>
      </w:r>
      <w:r w:rsidRPr="00007309">
        <w:rPr>
          <w:rFonts w:cs="Arial"/>
          <w:b/>
          <w:bCs/>
          <w:sz w:val="24"/>
          <w:szCs w:val="24"/>
          <w:rtl/>
        </w:rPr>
        <w:t>קָּר</w:t>
      </w:r>
      <w:r w:rsidRPr="00007309">
        <w:rPr>
          <w:rFonts w:cs="Arial" w:hint="cs"/>
          <w:b/>
          <w:bCs/>
          <w:sz w:val="24"/>
          <w:szCs w:val="24"/>
          <w:rtl/>
        </w:rPr>
        <w:t>,</w:t>
      </w:r>
      <w:r w:rsidRPr="00007309">
        <w:rPr>
          <w:rFonts w:cs="Arial"/>
          <w:b/>
          <w:bCs/>
          <w:sz w:val="24"/>
          <w:szCs w:val="24"/>
          <w:rtl/>
        </w:rPr>
        <w:t xml:space="preserve"> וְהַאי אִיהוּ </w:t>
      </w:r>
      <w:r w:rsidRPr="00007309">
        <w:rPr>
          <w:rFonts w:cs="Arial"/>
          <w:b/>
          <w:bCs/>
          <w:sz w:val="36"/>
          <w:szCs w:val="28"/>
          <w:vertAlign w:val="superscript"/>
          <w:rtl/>
        </w:rPr>
        <w:footnoteReference w:id="6660"/>
      </w:r>
      <w:r w:rsidRPr="00007309">
        <w:rPr>
          <w:rFonts w:cs="Arial"/>
          <w:b/>
          <w:bCs/>
          <w:sz w:val="24"/>
          <w:szCs w:val="24"/>
          <w:rtl/>
        </w:rPr>
        <w:t>עִקַּר הָאֱמוּנָה</w:t>
      </w:r>
      <w:r w:rsidRPr="00007309">
        <w:rPr>
          <w:rFonts w:cs="Arial" w:hint="cs"/>
          <w:b/>
          <w:bCs/>
          <w:sz w:val="24"/>
          <w:szCs w:val="24"/>
          <w:rtl/>
        </w:rPr>
        <w:t>,</w:t>
      </w:r>
      <w:r w:rsidRPr="00007309">
        <w:rPr>
          <w:rFonts w:cs="Arial"/>
          <w:b/>
          <w:bCs/>
          <w:sz w:val="24"/>
          <w:szCs w:val="24"/>
          <w:rtl/>
        </w:rPr>
        <w:t xml:space="preserve"> וְעָלֵהּ אִתְּמַר (יחזקאל א) </w:t>
      </w:r>
      <w:r w:rsidRPr="00007309">
        <w:rPr>
          <w:rFonts w:cs="Arial"/>
          <w:b/>
          <w:bCs/>
          <w:sz w:val="36"/>
          <w:szCs w:val="28"/>
          <w:vertAlign w:val="superscript"/>
          <w:rtl/>
        </w:rPr>
        <w:footnoteReference w:id="6661"/>
      </w:r>
      <w:r w:rsidRPr="00007309">
        <w:rPr>
          <w:rFonts w:cs="Arial"/>
          <w:b/>
          <w:bCs/>
          <w:sz w:val="24"/>
          <w:szCs w:val="24"/>
          <w:rtl/>
        </w:rPr>
        <w:t xml:space="preserve">וּדְמוּת עַל רָאשֵׁי הַחַיָּה רָקִיעַ, </w:t>
      </w:r>
      <w:r w:rsidRPr="00007309">
        <w:rPr>
          <w:rFonts w:cs="Arial"/>
          <w:b/>
          <w:bCs/>
          <w:sz w:val="36"/>
          <w:szCs w:val="28"/>
          <w:vertAlign w:val="superscript"/>
          <w:rtl/>
        </w:rPr>
        <w:footnoteReference w:id="6662"/>
      </w:r>
      <w:r w:rsidRPr="00007309">
        <w:rPr>
          <w:rFonts w:cs="Arial"/>
          <w:b/>
          <w:bCs/>
          <w:sz w:val="24"/>
          <w:szCs w:val="24"/>
          <w:rtl/>
        </w:rPr>
        <w:t xml:space="preserve">דְּאִיהוּ רְקִיעָא דִּבְכִתְרָא עִלָּאָה, דְּאִיהוּ מֶרְכָּבָה לְהַהוּא </w:t>
      </w:r>
      <w:r w:rsidRPr="00007309">
        <w:rPr>
          <w:rFonts w:cs="Arial"/>
          <w:b/>
          <w:bCs/>
          <w:sz w:val="36"/>
          <w:szCs w:val="28"/>
          <w:vertAlign w:val="superscript"/>
          <w:rtl/>
        </w:rPr>
        <w:footnoteReference w:id="6663"/>
      </w:r>
      <w:r w:rsidRPr="00007309">
        <w:rPr>
          <w:rFonts w:cs="Arial"/>
          <w:b/>
          <w:bCs/>
          <w:sz w:val="24"/>
          <w:szCs w:val="24"/>
          <w:rtl/>
        </w:rPr>
        <w:t>דְּאִתְקְרֵי עִ</w:t>
      </w:r>
      <w:r w:rsidRPr="00007309">
        <w:rPr>
          <w:rFonts w:cs="Arial" w:hint="cs"/>
          <w:b/>
          <w:bCs/>
          <w:sz w:val="24"/>
          <w:szCs w:val="24"/>
          <w:rtl/>
        </w:rPr>
        <w:t>י</w:t>
      </w:r>
      <w:r w:rsidRPr="00007309">
        <w:rPr>
          <w:rFonts w:cs="Arial"/>
          <w:b/>
          <w:bCs/>
          <w:sz w:val="24"/>
          <w:szCs w:val="24"/>
          <w:rtl/>
        </w:rPr>
        <w:t>קַּר</w:t>
      </w:r>
      <w:r w:rsidRPr="00007309">
        <w:rPr>
          <w:rFonts w:cs="Arial"/>
          <w:b/>
          <w:bCs/>
          <w:sz w:val="24"/>
          <w:szCs w:val="24"/>
        </w:rPr>
        <w:t xml:space="preserve"> </w:t>
      </w:r>
      <w:r w:rsidRPr="00007309">
        <w:rPr>
          <w:rFonts w:cs="Arial"/>
          <w:b/>
          <w:bCs/>
          <w:sz w:val="24"/>
          <w:szCs w:val="24"/>
          <w:rtl/>
        </w:rPr>
        <w:t>הָאֱמוּנָה, עִלַּת עַל כָּל עִלָּאִין</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6664"/>
      </w:r>
      <w:r w:rsidRPr="00007309">
        <w:rPr>
          <w:rFonts w:cs="Arial"/>
          <w:b/>
          <w:bCs/>
          <w:sz w:val="24"/>
          <w:szCs w:val="24"/>
          <w:rtl/>
        </w:rPr>
        <w:t xml:space="preserve">טָמִיר </w:t>
      </w:r>
      <w:r w:rsidRPr="00007309">
        <w:rPr>
          <w:rFonts w:cs="Arial"/>
          <w:b/>
          <w:bCs/>
          <w:sz w:val="36"/>
          <w:szCs w:val="28"/>
          <w:vertAlign w:val="superscript"/>
          <w:rtl/>
        </w:rPr>
        <w:footnoteReference w:id="6665"/>
      </w:r>
      <w:r w:rsidRPr="00007309">
        <w:rPr>
          <w:rFonts w:cs="Arial"/>
          <w:b/>
          <w:bCs/>
          <w:sz w:val="24"/>
          <w:szCs w:val="24"/>
          <w:rtl/>
        </w:rPr>
        <w:t xml:space="preserve">וְגָנִיז. </w:t>
      </w:r>
    </w:p>
    <w:p w:rsidR="00007309" w:rsidRPr="00007309" w:rsidRDefault="00007309" w:rsidP="00007309">
      <w:pPr>
        <w:keepNext/>
        <w:outlineLvl w:val="1"/>
        <w:rPr>
          <w:rFonts w:ascii="Cambria" w:hAnsi="Cambria" w:cs="Times New Roman"/>
          <w:b/>
          <w:bCs/>
          <w:i/>
          <w:iCs/>
          <w:sz w:val="28"/>
          <w:szCs w:val="28"/>
          <w:rtl/>
        </w:rPr>
      </w:pPr>
      <w:r w:rsidRPr="00007309">
        <w:rPr>
          <w:rFonts w:ascii="Cambria" w:hAnsi="Cambria" w:cs="Times New Roman" w:hint="cs"/>
          <w:b/>
          <w:bCs/>
          <w:i/>
          <w:iCs/>
          <w:sz w:val="28"/>
          <w:szCs w:val="28"/>
          <w:rtl/>
        </w:rPr>
        <w:t>[דף עז ע"א]</w:t>
      </w:r>
    </w:p>
    <w:p w:rsidR="00007309" w:rsidRPr="00007309" w:rsidRDefault="00007309" w:rsidP="00007309">
      <w:pPr>
        <w:keepNext/>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[וילנא יג ע"א]</w:t>
      </w:r>
    </w:p>
    <w:p w:rsidR="00007309" w:rsidRPr="00007309" w:rsidRDefault="00007309" w:rsidP="00007309">
      <w:pPr>
        <w:jc w:val="both"/>
        <w:rPr>
          <w:rFonts w:cs="Arial"/>
          <w:b/>
          <w:bCs/>
          <w:sz w:val="24"/>
          <w:szCs w:val="24"/>
          <w:rtl/>
        </w:rPr>
      </w:pPr>
      <w:r w:rsidRPr="00007309">
        <w:rPr>
          <w:rFonts w:cs="Arial"/>
          <w:b/>
          <w:bCs/>
          <w:sz w:val="24"/>
          <w:szCs w:val="24"/>
          <w:rtl/>
        </w:rPr>
        <w:t>וְעוֹד</w:t>
      </w:r>
      <w:r w:rsidRPr="00007309">
        <w:rPr>
          <w:rFonts w:cs="Arial" w:hint="cs"/>
          <w:b/>
          <w:bCs/>
          <w:sz w:val="24"/>
          <w:szCs w:val="24"/>
          <w:rtl/>
        </w:rPr>
        <w:t xml:space="preserve"> </w:t>
      </w:r>
      <w:r w:rsidRPr="00007309">
        <w:rPr>
          <w:rFonts w:ascii="Cambria" w:hAnsi="Cambria" w:cs="Times New Roman" w:hint="cs"/>
          <w:b/>
          <w:bCs/>
          <w:i/>
          <w:iCs/>
          <w:color w:val="4F81BD"/>
          <w:sz w:val="24"/>
          <w:szCs w:val="24"/>
          <w:rtl/>
        </w:rPr>
        <w:t>(דף עז ע"א)</w:t>
      </w:r>
      <w:r w:rsidRPr="00007309">
        <w:rPr>
          <w:rFonts w:cs="Arial" w:hint="cs"/>
          <w:b/>
          <w:bCs/>
          <w:sz w:val="24"/>
          <w:szCs w:val="24"/>
          <w:rtl/>
        </w:rPr>
        <w:t xml:space="preserve"> </w:t>
      </w:r>
      <w:r w:rsidRPr="00007309">
        <w:rPr>
          <w:rFonts w:cs="Arial"/>
          <w:b/>
          <w:bCs/>
          <w:sz w:val="36"/>
          <w:szCs w:val="28"/>
          <w:vertAlign w:val="superscript"/>
          <w:rtl/>
        </w:rPr>
        <w:footnoteReference w:id="6666"/>
      </w:r>
      <w:r w:rsidRPr="00007309">
        <w:rPr>
          <w:rFonts w:cs="Arial"/>
          <w:b/>
          <w:bCs/>
          <w:sz w:val="24"/>
          <w:szCs w:val="24"/>
          <w:rtl/>
        </w:rPr>
        <w:t xml:space="preserve">שְׁכִינְתָּא מִסִּטְרָא דִּנְקֻדֵּי </w:t>
      </w:r>
      <w:r w:rsidRPr="00007309">
        <w:rPr>
          <w:rFonts w:cs="Arial"/>
          <w:b/>
          <w:bCs/>
          <w:sz w:val="36"/>
          <w:szCs w:val="28"/>
          <w:vertAlign w:val="superscript"/>
          <w:rtl/>
        </w:rPr>
        <w:footnoteReference w:id="6667"/>
      </w:r>
      <w:r w:rsidRPr="00007309">
        <w:rPr>
          <w:rFonts w:cs="Arial"/>
          <w:b/>
          <w:bCs/>
          <w:sz w:val="24"/>
          <w:szCs w:val="24"/>
          <w:rtl/>
        </w:rPr>
        <w:t xml:space="preserve">אִיהִי בְּרַתָּא דְּקוּדְשָׁא בְּרִיךְ הוּא הֲדֹם רַגְלָיו, וּמִסִּטְרָא דְּטַעֲמֵי אִתְקְרִיאַת </w:t>
      </w:r>
      <w:r w:rsidRPr="00007309">
        <w:rPr>
          <w:rFonts w:ascii="Cambria" w:hAnsi="Cambria" w:cs="Times New Roman" w:hint="cs"/>
          <w:b/>
          <w:bCs/>
          <w:i/>
          <w:iCs/>
          <w:color w:val="4F81BD"/>
          <w:sz w:val="24"/>
          <w:szCs w:val="24"/>
          <w:rtl/>
        </w:rPr>
        <w:t xml:space="preserve">(וילנא יג ע"א) </w:t>
      </w:r>
      <w:r w:rsidRPr="00007309">
        <w:rPr>
          <w:rFonts w:cs="Arial"/>
          <w:b/>
          <w:bCs/>
          <w:sz w:val="24"/>
          <w:szCs w:val="24"/>
          <w:rtl/>
        </w:rPr>
        <w:t xml:space="preserve">אֵשֶׁת חַיִל עֲטֶרֶת בַּעְלָהּ. וּבְצֵרוּפִין וְהַוְיָן אִשְׁתְּמוֹדְעַת בְּרַתָּא דְּמַלְכָּא כְּגַוְנָא דָּא הוה'י, מִסִּטְרָא דָּא אִיהִי </w:t>
      </w:r>
      <w:r w:rsidRPr="00007309">
        <w:rPr>
          <w:rFonts w:cs="Arial"/>
          <w:b/>
          <w:bCs/>
          <w:sz w:val="36"/>
          <w:szCs w:val="28"/>
          <w:vertAlign w:val="superscript"/>
          <w:rtl/>
        </w:rPr>
        <w:footnoteReference w:id="6668"/>
      </w:r>
      <w:r w:rsidRPr="00007309">
        <w:rPr>
          <w:rFonts w:cs="Arial"/>
          <w:b/>
          <w:bCs/>
          <w:sz w:val="24"/>
          <w:szCs w:val="24"/>
          <w:rtl/>
        </w:rPr>
        <w:t xml:space="preserve">הֲדֹם רַגְלָיו, וּמִסִּטְרָא דיהו'ה אִתְקְרִיאַת פַּרְצוּף </w:t>
      </w:r>
      <w:r w:rsidRPr="00007309">
        <w:rPr>
          <w:rFonts w:cs="Arial"/>
          <w:b/>
          <w:bCs/>
          <w:sz w:val="36"/>
          <w:szCs w:val="28"/>
          <w:vertAlign w:val="superscript"/>
          <w:rtl/>
        </w:rPr>
        <w:footnoteReference w:id="6669"/>
      </w:r>
      <w:r w:rsidRPr="00007309">
        <w:rPr>
          <w:rFonts w:cs="Arial"/>
          <w:b/>
          <w:bCs/>
          <w:sz w:val="24"/>
          <w:szCs w:val="24"/>
          <w:rtl/>
        </w:rPr>
        <w:t xml:space="preserve">וְאִתְקְרִיאַת אַנְפּוֹי. וּמִסִּטְרָא דִּתְרֵין נִקּוּדִין אִלֵּין דְּאִנּוּן פַּרְצוּף וְזָנָב אִתְקְרִיאַת </w:t>
      </w:r>
      <w:r w:rsidRPr="00007309">
        <w:rPr>
          <w:rFonts w:cs="Arial"/>
          <w:b/>
          <w:bCs/>
          <w:sz w:val="36"/>
          <w:szCs w:val="36"/>
          <w:rtl/>
        </w:rPr>
        <w:t>א</w:t>
      </w:r>
      <w:r w:rsidRPr="00007309">
        <w:rPr>
          <w:rFonts w:cs="Arial"/>
          <w:b/>
          <w:bCs/>
          <w:sz w:val="24"/>
          <w:szCs w:val="24"/>
          <w:rtl/>
        </w:rPr>
        <w:t xml:space="preserve">. בְּרֵישָׁא דִּנְקֻדָּא עִלָּאָה אִיהִי רֵישָׁא וּבִנְקֻדָּא תַּתָּאָה סֵיפָא. וְרָזָא דְּמִלָּה </w:t>
      </w:r>
      <w:r w:rsidRPr="00007309">
        <w:rPr>
          <w:rFonts w:cs="Arial"/>
          <w:b/>
          <w:bCs/>
          <w:sz w:val="36"/>
          <w:szCs w:val="28"/>
          <w:vertAlign w:val="superscript"/>
          <w:rtl/>
        </w:rPr>
        <w:footnoteReference w:id="6670"/>
      </w:r>
      <w:r w:rsidRPr="00007309">
        <w:rPr>
          <w:rFonts w:cs="Arial"/>
          <w:b/>
          <w:bCs/>
          <w:sz w:val="24"/>
          <w:szCs w:val="24"/>
          <w:rtl/>
        </w:rPr>
        <w:t xml:space="preserve">חָכְמָה בָּרֹאשׁ וְחָכְמָה בַּסּוֹף. בְּב' נִקּוּדִין אִלֵּין </w:t>
      </w:r>
      <w:r w:rsidRPr="00007309">
        <w:rPr>
          <w:rFonts w:cs="Arial"/>
          <w:b/>
          <w:bCs/>
          <w:sz w:val="36"/>
          <w:szCs w:val="28"/>
          <w:vertAlign w:val="superscript"/>
          <w:rtl/>
        </w:rPr>
        <w:footnoteReference w:id="6671"/>
      </w:r>
      <w:r w:rsidRPr="00007309">
        <w:rPr>
          <w:rFonts w:cs="Arial"/>
          <w:b/>
          <w:bCs/>
          <w:sz w:val="24"/>
          <w:szCs w:val="24"/>
          <w:rtl/>
        </w:rPr>
        <w:t xml:space="preserve">אַחֲזֵי עַל עִלַּת הָעִלּוֹת דְּאִיהוּ רִאשׁוֹן וְאַחֲרוֹן. הָדָא הוּא דִּכְתִיב (ישעיה מד) אֲנִי רִאשׁוֹן וַאֲנִי אַחֲרוֹן. וָא"ו בְּאֶמְצָעִיתָא דִּתְרֵין יוֹדִין אַחֲזֵי עַל עִלַּת כָּל עִלָּאִין דְּלֵית אֱלָהָא בַּר מִנֵּהּ. הָדָא הוּא דִּכְתִיב (שם) וּמִבִּלְעֲדַי אֵין אֱלֹהִים. וּבְגִין דִּשְׁכִינְתָּא אִיהִי כְּלִילָא מֵעִלָּאִין וְתַתָּאִין, אִתְקְרִיאַת בִּשְּׁמָא דְּעִלָּאִין וְתַתָּאִין. הָדָא הוּא דִּכְתִיב (שם מ) לְכֻלָּם בְּשֵׁם יִקְרָא. לְכֻלְּהוּ עִלָּאִין וְתַתָּאִין </w:t>
      </w:r>
      <w:r w:rsidRPr="00007309">
        <w:rPr>
          <w:rFonts w:cs="Arial"/>
          <w:b/>
          <w:bCs/>
          <w:sz w:val="36"/>
          <w:szCs w:val="28"/>
          <w:vertAlign w:val="superscript"/>
          <w:rtl/>
        </w:rPr>
        <w:footnoteReference w:id="6672"/>
      </w:r>
      <w:r w:rsidRPr="00007309">
        <w:rPr>
          <w:rFonts w:cs="Arial"/>
          <w:b/>
          <w:bCs/>
          <w:sz w:val="24"/>
          <w:szCs w:val="24"/>
          <w:rtl/>
        </w:rPr>
        <w:t xml:space="preserve">בִּשְׁכִינְתָּא אִתְקְרִיאוּ, דְּאִתְקְרִיאַת שָׁם דִּבְגִינֵהּ אָמַר לְמֹשֶׁה רַבֵּנוּ עָלָיו הַשָּׁלוֹם (שמות לג) וְאֶדָּעֲךָ בְּשֵׁם. אִישׁ לֹא נֶעְדָּר מִכֻּלְּהוּ עִלָּאִין וְתַתָּאִין דְּלָא אִתְקְרִיאַת בְּהוֹן. בְּעִלָּאִין הָא אוֹקִימְנָא דְּאִתְקְרִיאַת בִּשְׁמָא דְּכָל סְפִירָה וּסְפִירָה, </w:t>
      </w:r>
      <w:r w:rsidRPr="00007309">
        <w:rPr>
          <w:rFonts w:cs="Arial"/>
          <w:b/>
          <w:bCs/>
          <w:sz w:val="36"/>
          <w:szCs w:val="28"/>
          <w:vertAlign w:val="superscript"/>
          <w:rtl/>
        </w:rPr>
        <w:footnoteReference w:id="6673"/>
      </w:r>
      <w:r w:rsidRPr="00007309">
        <w:rPr>
          <w:rFonts w:cs="Arial"/>
          <w:b/>
          <w:bCs/>
          <w:sz w:val="24"/>
          <w:szCs w:val="24"/>
          <w:rtl/>
        </w:rPr>
        <w:t xml:space="preserve">בַּהֲוַיָּתָה בִּנְקֻדָּתָהּ וּבִשְׁמָהָן דְּכֻלְּהוּ כִּנּוּיִים. וְאִתְקְרִיאַת בִּשְׁמָא דְּתַתָּאִין כִּסֵּא </w:t>
      </w:r>
      <w:r w:rsidRPr="00007309">
        <w:rPr>
          <w:rFonts w:cs="Arial"/>
          <w:b/>
          <w:bCs/>
          <w:sz w:val="36"/>
          <w:szCs w:val="28"/>
          <w:vertAlign w:val="superscript"/>
          <w:rtl/>
        </w:rPr>
        <w:footnoteReference w:id="6674"/>
      </w:r>
      <w:r w:rsidRPr="00007309">
        <w:rPr>
          <w:rFonts w:cs="Arial"/>
          <w:b/>
          <w:bCs/>
          <w:sz w:val="24"/>
          <w:szCs w:val="24"/>
          <w:rtl/>
        </w:rPr>
        <w:t>שָׂרָף מַלְאָךְ אוֹפַן. כִּסֵּא</w:t>
      </w:r>
      <w:r w:rsidRPr="00007309">
        <w:rPr>
          <w:rFonts w:cs="Arial" w:hint="cs"/>
          <w:b/>
          <w:bCs/>
          <w:sz w:val="24"/>
          <w:szCs w:val="24"/>
          <w:rtl/>
        </w:rPr>
        <w:t>,</w:t>
      </w:r>
      <w:r w:rsidRPr="00007309">
        <w:rPr>
          <w:rFonts w:cs="Arial"/>
          <w:b/>
          <w:bCs/>
          <w:sz w:val="24"/>
          <w:szCs w:val="24"/>
          <w:rtl/>
        </w:rPr>
        <w:t xml:space="preserve"> (תהלים קג) ה' </w:t>
      </w:r>
      <w:r w:rsidRPr="00007309">
        <w:rPr>
          <w:rFonts w:cs="Arial"/>
          <w:b/>
          <w:bCs/>
          <w:sz w:val="36"/>
          <w:szCs w:val="28"/>
          <w:vertAlign w:val="superscript"/>
          <w:rtl/>
        </w:rPr>
        <w:footnoteReference w:id="6675"/>
      </w:r>
      <w:r w:rsidRPr="00007309">
        <w:rPr>
          <w:rFonts w:cs="Arial"/>
          <w:b/>
          <w:bCs/>
          <w:sz w:val="24"/>
          <w:szCs w:val="24"/>
          <w:rtl/>
        </w:rPr>
        <w:t xml:space="preserve">בַּשָּׁמַיִם הֵכִין כִּסְאוֹ. מַאי שָׁמַיִם, דָּא עַמּוּדָא דְּאֶמְצָעִיתָא. וּבְגִין דָּא סָמִיךְ לֵהּ (שם) וּמַלְכוּתוֹ בַּכֹּל מָשָׁלָה. מִסִּטְרָא דְּשָׁמַיִם אִתְקְרִיאַת שָׁמַיְמָה. הָדָא הוּא דִּכְתִיב (בראשית טו) </w:t>
      </w:r>
      <w:r w:rsidRPr="00007309">
        <w:rPr>
          <w:rFonts w:cs="Arial"/>
          <w:b/>
          <w:bCs/>
          <w:sz w:val="36"/>
          <w:szCs w:val="28"/>
          <w:vertAlign w:val="superscript"/>
          <w:rtl/>
        </w:rPr>
        <w:footnoteReference w:id="6676"/>
      </w:r>
      <w:r w:rsidRPr="00007309">
        <w:rPr>
          <w:rFonts w:cs="Arial"/>
          <w:b/>
          <w:bCs/>
          <w:sz w:val="24"/>
          <w:szCs w:val="24"/>
          <w:rtl/>
        </w:rPr>
        <w:t xml:space="preserve">הַבֵּט נָא הַשָּׁמַיְמָה. וּכְמָא דְּאִיהִי אִתְקְרִיאַת בִּשְׁמָא דְּעִלָּאִין וְתַתָּאִין, הָכֵי אִתְקְרֵי עַמּוּדָא דְּאֶמְצָעִיתָא בְּעִלָּאִין וְתַתָּאִין, </w:t>
      </w:r>
      <w:r w:rsidRPr="00007309">
        <w:rPr>
          <w:rFonts w:cs="Arial"/>
          <w:b/>
          <w:bCs/>
          <w:sz w:val="36"/>
          <w:szCs w:val="28"/>
          <w:vertAlign w:val="superscript"/>
          <w:rtl/>
        </w:rPr>
        <w:footnoteReference w:id="6677"/>
      </w:r>
      <w:r w:rsidRPr="00007309">
        <w:rPr>
          <w:rFonts w:cs="Arial"/>
          <w:b/>
          <w:bCs/>
          <w:sz w:val="24"/>
          <w:szCs w:val="24"/>
          <w:rtl/>
        </w:rPr>
        <w:t>דְּאִיהִי בְּכֹלָּא חַד כְּמִדָּתֵהּ וְאִיהִי שִׁעוּר קוֹמָתֵהּ. וְאִתְקְרִיאַת שָׂרָף</w:t>
      </w:r>
      <w:r w:rsidRPr="00007309">
        <w:rPr>
          <w:rFonts w:cs="Arial" w:hint="cs"/>
          <w:b/>
          <w:bCs/>
          <w:sz w:val="24"/>
          <w:szCs w:val="24"/>
          <w:rtl/>
        </w:rPr>
        <w:t>,</w:t>
      </w:r>
      <w:r w:rsidRPr="00007309">
        <w:rPr>
          <w:rFonts w:cs="Arial"/>
          <w:b/>
          <w:bCs/>
          <w:sz w:val="24"/>
          <w:szCs w:val="24"/>
          <w:rtl/>
        </w:rPr>
        <w:t xml:space="preserve"> הָדָא הוּא דִּכְתִיב (ישעיה ז) וַיָּעָף אֵלַי אֶחָד מִן הַשְּרָפִים</w:t>
      </w:r>
      <w:r w:rsidRPr="00007309">
        <w:rPr>
          <w:rFonts w:cs="Arial" w:hint="cs"/>
          <w:b/>
          <w:bCs/>
          <w:sz w:val="24"/>
          <w:szCs w:val="24"/>
          <w:rtl/>
        </w:rPr>
        <w:t>,</w:t>
      </w:r>
      <w:r w:rsidRPr="00007309">
        <w:rPr>
          <w:rFonts w:cs="Arial"/>
          <w:b/>
          <w:bCs/>
          <w:sz w:val="24"/>
          <w:szCs w:val="24"/>
          <w:rtl/>
        </w:rPr>
        <w:t xml:space="preserve"> כְּגַוְנָ</w:t>
      </w:r>
      <w:r w:rsidRPr="00007309">
        <w:rPr>
          <w:rFonts w:cs="Arial" w:hint="cs"/>
          <w:b/>
          <w:bCs/>
          <w:sz w:val="24"/>
          <w:szCs w:val="24"/>
          <w:rtl/>
        </w:rPr>
        <w:t>א</w:t>
      </w:r>
      <w:r w:rsidRPr="00007309">
        <w:rPr>
          <w:rFonts w:cs="Arial"/>
          <w:b/>
          <w:bCs/>
          <w:sz w:val="24"/>
          <w:szCs w:val="24"/>
          <w:rtl/>
        </w:rPr>
        <w:t xml:space="preserve"> דְּמַלְאָךְ דְּאִתְקְרֵי שָׂרָף</w:t>
      </w:r>
      <w:r w:rsidRPr="00007309">
        <w:rPr>
          <w:rFonts w:cs="Arial" w:hint="cs"/>
          <w:b/>
          <w:bCs/>
          <w:sz w:val="24"/>
          <w:szCs w:val="24"/>
          <w:rtl/>
        </w:rPr>
        <w:t>.</w:t>
      </w:r>
      <w:r w:rsidRPr="00007309">
        <w:rPr>
          <w:rFonts w:cs="Arial"/>
          <w:b/>
          <w:bCs/>
          <w:sz w:val="24"/>
          <w:szCs w:val="24"/>
          <w:rtl/>
        </w:rPr>
        <w:t xml:space="preserve"> וְאִתְקְרִיאַת מַלְאָךְ</w:t>
      </w:r>
      <w:r w:rsidRPr="00007309">
        <w:rPr>
          <w:rFonts w:cs="Arial" w:hint="cs"/>
          <w:b/>
          <w:bCs/>
          <w:sz w:val="24"/>
          <w:szCs w:val="24"/>
          <w:rtl/>
        </w:rPr>
        <w:t>,</w:t>
      </w:r>
      <w:r w:rsidRPr="00007309">
        <w:rPr>
          <w:rFonts w:cs="Arial"/>
          <w:b/>
          <w:bCs/>
          <w:sz w:val="24"/>
          <w:szCs w:val="24"/>
          <w:rtl/>
        </w:rPr>
        <w:t xml:space="preserve"> הָדָא הוּא דִּכְתִיב (בראשית מח) </w:t>
      </w:r>
      <w:r w:rsidRPr="00007309">
        <w:rPr>
          <w:rFonts w:cs="Arial"/>
          <w:b/>
          <w:bCs/>
          <w:sz w:val="36"/>
          <w:szCs w:val="28"/>
          <w:vertAlign w:val="superscript"/>
          <w:rtl/>
        </w:rPr>
        <w:footnoteReference w:id="6678"/>
      </w:r>
      <w:r w:rsidRPr="00007309">
        <w:rPr>
          <w:rFonts w:cs="Arial"/>
          <w:b/>
          <w:bCs/>
          <w:sz w:val="24"/>
          <w:szCs w:val="24"/>
          <w:rtl/>
        </w:rPr>
        <w:t xml:space="preserve">הַמַּלְאָךְ הַגֹּאֵל אוֹתִי מִכָּל רָע. </w:t>
      </w:r>
      <w:r w:rsidRPr="00007309">
        <w:rPr>
          <w:rFonts w:cs="Arial"/>
          <w:b/>
          <w:bCs/>
          <w:sz w:val="36"/>
          <w:szCs w:val="28"/>
          <w:vertAlign w:val="superscript"/>
          <w:rtl/>
        </w:rPr>
        <w:footnoteReference w:id="6679"/>
      </w:r>
      <w:r w:rsidRPr="00007309">
        <w:rPr>
          <w:rFonts w:cs="Arial"/>
          <w:b/>
          <w:bCs/>
          <w:sz w:val="24"/>
          <w:szCs w:val="24"/>
          <w:rtl/>
        </w:rPr>
        <w:t xml:space="preserve">וַיִּסַּע מַלְאַךְ הָאֱלֹהִים. </w:t>
      </w:r>
      <w:r w:rsidRPr="00007309">
        <w:rPr>
          <w:rFonts w:cs="Arial"/>
          <w:b/>
          <w:bCs/>
          <w:sz w:val="36"/>
          <w:szCs w:val="28"/>
          <w:vertAlign w:val="superscript"/>
          <w:rtl/>
        </w:rPr>
        <w:footnoteReference w:id="6680"/>
      </w:r>
      <w:r w:rsidRPr="00007309">
        <w:rPr>
          <w:rFonts w:cs="Arial"/>
          <w:b/>
          <w:bCs/>
          <w:sz w:val="24"/>
          <w:szCs w:val="24"/>
          <w:rtl/>
        </w:rPr>
        <w:t xml:space="preserve">וּמַלְאַךְ פָּנָיו הוֹשִׁיעָם. וְאִתְקְרִיאַת מַלְאָךְ עַל שֵׁם מְטַטְרוֹן </w:t>
      </w:r>
      <w:r w:rsidRPr="00007309">
        <w:rPr>
          <w:rFonts w:cs="Arial"/>
          <w:b/>
          <w:bCs/>
          <w:sz w:val="36"/>
          <w:szCs w:val="28"/>
          <w:vertAlign w:val="superscript"/>
          <w:rtl/>
        </w:rPr>
        <w:footnoteReference w:id="6681"/>
      </w:r>
      <w:r w:rsidRPr="00007309">
        <w:rPr>
          <w:rFonts w:cs="Arial"/>
          <w:b/>
          <w:bCs/>
          <w:sz w:val="24"/>
          <w:szCs w:val="24"/>
          <w:rtl/>
        </w:rPr>
        <w:t>כַּד אִיהִי עֲבִידְתָּא</w:t>
      </w:r>
      <w:r w:rsidRPr="00007309">
        <w:rPr>
          <w:rFonts w:cs="Arial"/>
          <w:b/>
          <w:bCs/>
          <w:sz w:val="24"/>
          <w:szCs w:val="24"/>
        </w:rPr>
        <w:t xml:space="preserve"> </w:t>
      </w:r>
      <w:r w:rsidRPr="00007309">
        <w:rPr>
          <w:rFonts w:cs="Arial"/>
          <w:b/>
          <w:bCs/>
          <w:sz w:val="24"/>
          <w:szCs w:val="24"/>
          <w:rtl/>
        </w:rPr>
        <w:t xml:space="preserve">בֵּהּ שְׁלִיחוּתָא דְּבַעְלָהּ. וְאִתְקְרִיאַת אוֹפַן עַל שֵׁם סנדלפו"ן כַּד שֻׁלְטָנוּתָהּ בֵּהּ עַל תַּתָּאִין. וְאִתְקְרִיאַת </w:t>
      </w:r>
      <w:r w:rsidRPr="00007309">
        <w:rPr>
          <w:rFonts w:cs="Arial"/>
          <w:b/>
          <w:bCs/>
          <w:sz w:val="36"/>
          <w:szCs w:val="28"/>
          <w:vertAlign w:val="superscript"/>
          <w:rtl/>
        </w:rPr>
        <w:footnoteReference w:id="6682"/>
      </w:r>
      <w:r w:rsidRPr="00007309">
        <w:rPr>
          <w:rFonts w:cs="Arial"/>
          <w:b/>
          <w:bCs/>
          <w:sz w:val="24"/>
          <w:szCs w:val="24"/>
          <w:rtl/>
        </w:rPr>
        <w:t xml:space="preserve">מֶרְכָּבָה עַל שֵׁם ד' חֵיוָן </w:t>
      </w:r>
      <w:r w:rsidRPr="00007309">
        <w:rPr>
          <w:rFonts w:cs="Arial"/>
          <w:b/>
          <w:bCs/>
          <w:sz w:val="36"/>
          <w:szCs w:val="28"/>
          <w:vertAlign w:val="superscript"/>
          <w:rtl/>
        </w:rPr>
        <w:footnoteReference w:id="6683"/>
      </w:r>
      <w:r w:rsidRPr="00007309">
        <w:rPr>
          <w:rFonts w:cs="Arial"/>
          <w:b/>
          <w:bCs/>
          <w:sz w:val="24"/>
          <w:szCs w:val="24"/>
          <w:rtl/>
        </w:rPr>
        <w:t>דְּמֶרְכַּבְתָּא דִּלְתַתָּא כַּד שֻׁלְטָנוּתָהּ עָלַיְהוּ</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6684"/>
      </w:r>
      <w:r w:rsidRPr="00007309">
        <w:rPr>
          <w:rFonts w:cs="Arial"/>
          <w:b/>
          <w:bCs/>
          <w:sz w:val="24"/>
          <w:szCs w:val="24"/>
          <w:rtl/>
        </w:rPr>
        <w:t xml:space="preserve">כְּמָא דְּאוֹקִימְנָא (תהלים קג) וּמַלְכוּתוֹ בַּכֹּל מָשָׁלָה. </w:t>
      </w:r>
      <w:r w:rsidRPr="00007309">
        <w:rPr>
          <w:rFonts w:cs="Arial"/>
          <w:b/>
          <w:bCs/>
          <w:sz w:val="36"/>
          <w:szCs w:val="28"/>
          <w:vertAlign w:val="superscript"/>
          <w:rtl/>
        </w:rPr>
        <w:footnoteReference w:id="6685"/>
      </w:r>
      <w:r w:rsidRPr="00007309">
        <w:rPr>
          <w:rFonts w:cs="Arial"/>
          <w:b/>
          <w:bCs/>
          <w:sz w:val="24"/>
          <w:szCs w:val="24"/>
          <w:rtl/>
        </w:rPr>
        <w:t>אִתְקְרִיאַת דְּמוּת אָדָם, דְּמוּת אַרְיֵה, דְּמוּת שׁוֹר, דְּמוּת נֶשֶׁר</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6686"/>
      </w:r>
      <w:r w:rsidRPr="00007309">
        <w:rPr>
          <w:rFonts w:cs="Arial"/>
          <w:b/>
          <w:bCs/>
          <w:sz w:val="24"/>
          <w:szCs w:val="24"/>
          <w:rtl/>
        </w:rPr>
        <w:t>בְּהוֹן</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6687"/>
      </w:r>
      <w:r w:rsidRPr="00007309">
        <w:rPr>
          <w:rFonts w:cs="Arial"/>
          <w:b/>
          <w:bCs/>
          <w:sz w:val="24"/>
          <w:szCs w:val="24"/>
          <w:rtl/>
        </w:rPr>
        <w:t>וּבְאִלֵּין דִּמְיוֹנוֹת אתחזיא</w:t>
      </w:r>
      <w:r w:rsidRPr="00007309">
        <w:rPr>
          <w:rFonts w:cs="Arial" w:hint="cs"/>
          <w:b/>
          <w:bCs/>
          <w:sz w:val="24"/>
          <w:szCs w:val="24"/>
          <w:rtl/>
        </w:rPr>
        <w:t>ת</w:t>
      </w:r>
      <w:r w:rsidRPr="00007309">
        <w:rPr>
          <w:rFonts w:cs="Arial"/>
          <w:b/>
          <w:bCs/>
          <w:sz w:val="24"/>
          <w:szCs w:val="24"/>
          <w:rtl/>
        </w:rPr>
        <w:t xml:space="preserve"> לְתַתָּאִין </w:t>
      </w:r>
      <w:r w:rsidRPr="00007309">
        <w:rPr>
          <w:rFonts w:cs="Arial"/>
          <w:b/>
          <w:bCs/>
          <w:sz w:val="36"/>
          <w:szCs w:val="28"/>
          <w:vertAlign w:val="superscript"/>
          <w:rtl/>
        </w:rPr>
        <w:footnoteReference w:id="6688"/>
      </w:r>
      <w:r w:rsidRPr="00007309">
        <w:rPr>
          <w:rFonts w:cs="Arial"/>
          <w:b/>
          <w:bCs/>
          <w:sz w:val="24"/>
          <w:szCs w:val="24"/>
          <w:rtl/>
        </w:rPr>
        <w:t xml:space="preserve">דְּאִנּוּן עֲבָדָיו הַנְּבִיאִים. הָדָא הוּא דִּכְתִיב (הושע יב) וּבְיַד נְבִיאִים אֲדַמֶּה. וְאִית נְבִיאִים </w:t>
      </w:r>
      <w:r w:rsidRPr="00007309">
        <w:rPr>
          <w:rFonts w:cs="Arial"/>
          <w:b/>
          <w:bCs/>
          <w:sz w:val="36"/>
          <w:szCs w:val="28"/>
          <w:vertAlign w:val="superscript"/>
          <w:rtl/>
        </w:rPr>
        <w:footnoteReference w:id="6689"/>
      </w:r>
      <w:r w:rsidRPr="00007309">
        <w:rPr>
          <w:rFonts w:cs="Arial"/>
          <w:b/>
          <w:bCs/>
          <w:sz w:val="24"/>
          <w:szCs w:val="24"/>
          <w:rtl/>
        </w:rPr>
        <w:t>דְּאִנּוּן מִמֶּרְכָּבָה עִלָּאָה דְּאִתְקְרִיאוּ בָּנִים כְּגַוְנָא דָּא</w:t>
      </w:r>
      <w:r w:rsidRPr="00007309">
        <w:rPr>
          <w:rFonts w:cs="Arial" w:hint="cs"/>
          <w:b/>
          <w:bCs/>
          <w:sz w:val="24"/>
          <w:szCs w:val="24"/>
          <w:rtl/>
        </w:rPr>
        <w:t>,</w:t>
      </w:r>
      <w:r w:rsidRPr="00007309">
        <w:rPr>
          <w:rFonts w:cs="Arial"/>
          <w:b/>
          <w:bCs/>
          <w:sz w:val="24"/>
          <w:szCs w:val="24"/>
          <w:rtl/>
        </w:rPr>
        <w:t xml:space="preserve"> מָאן דְּדָחִיל לְקוּדְשָׁא בְּרִיךְ הוּא</w:t>
      </w:r>
      <w:r w:rsidRPr="00007309">
        <w:rPr>
          <w:rFonts w:cs="Arial" w:hint="cs"/>
          <w:b/>
          <w:bCs/>
          <w:sz w:val="24"/>
          <w:szCs w:val="24"/>
          <w:rtl/>
        </w:rPr>
        <w:t>,</w:t>
      </w:r>
      <w:r w:rsidRPr="00007309">
        <w:rPr>
          <w:rFonts w:cs="Arial"/>
          <w:b/>
          <w:bCs/>
          <w:sz w:val="24"/>
          <w:szCs w:val="24"/>
          <w:rtl/>
        </w:rPr>
        <w:t xml:space="preserve"> שַׁרְיָא י' בְּמֹחֵהּ. וּמָאן דְּרָחִים לֵהּ שַׁרְיָא ה' בְּלִבֵּהּ. </w:t>
      </w:r>
      <w:r w:rsidRPr="00007309">
        <w:rPr>
          <w:rFonts w:cs="Arial"/>
          <w:b/>
          <w:bCs/>
          <w:sz w:val="36"/>
          <w:szCs w:val="28"/>
          <w:vertAlign w:val="superscript"/>
          <w:rtl/>
        </w:rPr>
        <w:footnoteReference w:id="6690"/>
      </w:r>
      <w:r w:rsidRPr="00007309">
        <w:rPr>
          <w:rFonts w:cs="Arial"/>
          <w:b/>
          <w:bCs/>
          <w:sz w:val="24"/>
          <w:szCs w:val="24"/>
          <w:rtl/>
        </w:rPr>
        <w:t>וְעַל אִלֵּין תְּרֵין אַתְוָן אִתְּמַר (דברים כט) הַנִּסְתָּרוֹת לַה' אֱלֹהֵינוּ. דְּמָאן דְּדָחִיל לְקוּדְשָׁא בְּרִיךְ הוּא</w:t>
      </w:r>
      <w:r w:rsidRPr="00007309">
        <w:rPr>
          <w:rFonts w:cs="Arial" w:hint="cs"/>
          <w:b/>
          <w:bCs/>
          <w:sz w:val="24"/>
          <w:szCs w:val="24"/>
          <w:rtl/>
        </w:rPr>
        <w:t>,</w:t>
      </w:r>
      <w:r w:rsidRPr="00007309">
        <w:rPr>
          <w:rFonts w:cs="Arial"/>
          <w:b/>
          <w:bCs/>
          <w:sz w:val="24"/>
          <w:szCs w:val="24"/>
          <w:rtl/>
        </w:rPr>
        <w:t xml:space="preserve"> אוֹ רָחִים לֵהּ</w:t>
      </w:r>
      <w:r w:rsidRPr="00007309">
        <w:rPr>
          <w:rFonts w:cs="Arial" w:hint="cs"/>
          <w:b/>
          <w:bCs/>
          <w:sz w:val="24"/>
          <w:szCs w:val="24"/>
          <w:rtl/>
        </w:rPr>
        <w:t>,</w:t>
      </w:r>
      <w:r w:rsidRPr="00007309">
        <w:rPr>
          <w:rFonts w:cs="Arial"/>
          <w:b/>
          <w:bCs/>
          <w:sz w:val="24"/>
          <w:szCs w:val="24"/>
          <w:rtl/>
        </w:rPr>
        <w:t xml:space="preserve"> סָתִים אִיהוּ מִבְּנֵי נָשָׁא. </w:t>
      </w:r>
      <w:r w:rsidRPr="00007309">
        <w:rPr>
          <w:rFonts w:cs="Arial"/>
          <w:b/>
          <w:bCs/>
          <w:sz w:val="36"/>
          <w:szCs w:val="28"/>
          <w:vertAlign w:val="superscript"/>
          <w:rtl/>
        </w:rPr>
        <w:footnoteReference w:id="6691"/>
      </w:r>
      <w:r w:rsidRPr="00007309">
        <w:rPr>
          <w:rFonts w:cs="Arial"/>
          <w:b/>
          <w:bCs/>
          <w:sz w:val="24"/>
          <w:szCs w:val="24"/>
          <w:rtl/>
        </w:rPr>
        <w:t xml:space="preserve">וְהַנִּגְלוֹת אִנּוּן ו'ה. מָאן דְּאִתְעַסָּק בַּתּוֹרָה שַׁרְיָא </w:t>
      </w:r>
      <w:r w:rsidRPr="00007309">
        <w:rPr>
          <w:rFonts w:cs="Arial"/>
          <w:b/>
          <w:bCs/>
          <w:sz w:val="36"/>
          <w:szCs w:val="28"/>
          <w:vertAlign w:val="superscript"/>
          <w:rtl/>
        </w:rPr>
        <w:footnoteReference w:id="6692"/>
      </w:r>
      <w:r w:rsidRPr="00007309">
        <w:rPr>
          <w:rFonts w:cs="Arial"/>
          <w:b/>
          <w:bCs/>
          <w:sz w:val="24"/>
          <w:szCs w:val="24"/>
          <w:rtl/>
        </w:rPr>
        <w:t xml:space="preserve">ו' בְּפוּמֵהּ. וּמָאן דְּעָסִיק בְּמִצְוָה שַׁרְיָא </w:t>
      </w:r>
      <w:r w:rsidRPr="00007309">
        <w:rPr>
          <w:rFonts w:cs="Arial"/>
          <w:b/>
          <w:bCs/>
          <w:sz w:val="36"/>
          <w:szCs w:val="28"/>
          <w:vertAlign w:val="superscript"/>
          <w:rtl/>
        </w:rPr>
        <w:footnoteReference w:id="6693"/>
      </w:r>
      <w:r w:rsidRPr="00007309">
        <w:rPr>
          <w:rFonts w:cs="Arial"/>
          <w:b/>
          <w:bCs/>
          <w:sz w:val="24"/>
          <w:szCs w:val="24"/>
          <w:rtl/>
        </w:rPr>
        <w:t xml:space="preserve">ה' בִּרְמַ"ח אֵבָרִים דִּילֵהּ. </w:t>
      </w:r>
    </w:p>
    <w:p w:rsidR="00007309" w:rsidRPr="00007309" w:rsidRDefault="00007309" w:rsidP="00007309">
      <w:pPr>
        <w:keepNext/>
        <w:spacing w:before="240" w:after="60"/>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[וילנא יג ע"ב]</w:t>
      </w:r>
    </w:p>
    <w:p w:rsidR="00007309" w:rsidRPr="00007309" w:rsidRDefault="00007309" w:rsidP="00007309">
      <w:pPr>
        <w:jc w:val="both"/>
        <w:rPr>
          <w:rFonts w:cs="Arial"/>
          <w:b/>
          <w:bCs/>
          <w:sz w:val="24"/>
          <w:szCs w:val="24"/>
          <w:rtl/>
        </w:rPr>
      </w:pPr>
      <w:r w:rsidRPr="00007309">
        <w:rPr>
          <w:rFonts w:cs="Arial"/>
          <w:b/>
          <w:bCs/>
          <w:sz w:val="36"/>
          <w:szCs w:val="28"/>
          <w:vertAlign w:val="superscript"/>
          <w:rtl/>
        </w:rPr>
        <w:footnoteReference w:id="6694"/>
      </w:r>
      <w:r w:rsidRPr="00007309">
        <w:rPr>
          <w:rFonts w:cs="Arial"/>
          <w:b/>
          <w:bCs/>
          <w:sz w:val="24"/>
          <w:szCs w:val="24"/>
          <w:rtl/>
        </w:rPr>
        <w:t xml:space="preserve">וּמִצְוָה כְּלִילָא מִדּ' אַתְוָן </w:t>
      </w:r>
      <w:r w:rsidRPr="00007309">
        <w:rPr>
          <w:rFonts w:cs="Arial"/>
          <w:b/>
          <w:bCs/>
          <w:sz w:val="36"/>
          <w:szCs w:val="28"/>
          <w:vertAlign w:val="superscript"/>
          <w:rtl/>
        </w:rPr>
        <w:footnoteReference w:id="6695"/>
      </w:r>
      <w:r w:rsidRPr="00007309">
        <w:rPr>
          <w:rFonts w:cs="Arial"/>
          <w:b/>
          <w:bCs/>
          <w:sz w:val="24"/>
          <w:szCs w:val="24"/>
          <w:rtl/>
        </w:rPr>
        <w:t>כְּגַוְנָא דְּצִיצִית דְּאִתְּמַר בֵּהּ (במדבר טז) וְעָשׂוּ לָהֶם צִיצִית, וְאוֹקְמוּהּ מ"מ</w:t>
      </w:r>
      <w:r w:rsidRPr="00007309">
        <w:rPr>
          <w:rFonts w:cs="Arial"/>
          <w:b/>
          <w:bCs/>
          <w:sz w:val="24"/>
          <w:szCs w:val="24"/>
        </w:rPr>
        <w:t xml:space="preserve"> </w:t>
      </w:r>
      <w:r w:rsidRPr="00007309">
        <w:rPr>
          <w:rFonts w:cs="Arial"/>
          <w:b/>
          <w:bCs/>
          <w:sz w:val="24"/>
          <w:szCs w:val="24"/>
          <w:rtl/>
        </w:rPr>
        <w:t xml:space="preserve">כָּל הַפּוֹחֵת לֹא יִפְחוֹת מִז' וְכָל הַמּוֹסִיף לֹא יוֹסִיף עַל י"ג. </w:t>
      </w:r>
      <w:r w:rsidRPr="00007309">
        <w:rPr>
          <w:rFonts w:cs="Arial"/>
          <w:b/>
          <w:bCs/>
          <w:sz w:val="36"/>
          <w:szCs w:val="28"/>
          <w:vertAlign w:val="superscript"/>
          <w:rtl/>
        </w:rPr>
        <w:footnoteReference w:id="6696"/>
      </w:r>
      <w:r w:rsidRPr="00007309">
        <w:rPr>
          <w:rFonts w:cs="Arial"/>
          <w:b/>
          <w:bCs/>
          <w:sz w:val="24"/>
          <w:szCs w:val="24"/>
          <w:rtl/>
        </w:rPr>
        <w:t>וְאִנּוּן חַ"י בֵּין קְשָׁרִים וְחֻלְיָן לְכֹל סִטְרָא</w:t>
      </w:r>
      <w:r w:rsidRPr="00007309">
        <w:rPr>
          <w:rFonts w:cs="Arial" w:hint="cs"/>
          <w:b/>
          <w:bCs/>
          <w:sz w:val="24"/>
          <w:szCs w:val="24"/>
          <w:rtl/>
        </w:rPr>
        <w:t>,</w:t>
      </w:r>
      <w:r w:rsidRPr="00007309">
        <w:rPr>
          <w:rFonts w:cs="Arial"/>
          <w:b/>
          <w:bCs/>
          <w:sz w:val="24"/>
          <w:szCs w:val="24"/>
          <w:rtl/>
        </w:rPr>
        <w:t xml:space="preserve"> סַלְקִין עָ"ב</w:t>
      </w:r>
      <w:r w:rsidRPr="00007309">
        <w:rPr>
          <w:rFonts w:cs="Arial" w:hint="cs"/>
          <w:b/>
          <w:bCs/>
          <w:sz w:val="24"/>
          <w:szCs w:val="24"/>
          <w:rtl/>
        </w:rPr>
        <w:t>,</w:t>
      </w:r>
      <w:r w:rsidRPr="00007309">
        <w:rPr>
          <w:rFonts w:cs="Arial"/>
          <w:b/>
          <w:bCs/>
          <w:sz w:val="24"/>
          <w:szCs w:val="24"/>
          <w:rtl/>
        </w:rPr>
        <w:t xml:space="preserve"> עָלַיְהוּ אִתְּמַר (ישעיה טז) וְהוּכַן בַּחֶסֶד </w:t>
      </w:r>
      <w:r w:rsidRPr="00007309">
        <w:rPr>
          <w:rFonts w:cs="Arial"/>
          <w:b/>
          <w:bCs/>
          <w:sz w:val="36"/>
          <w:szCs w:val="28"/>
          <w:vertAlign w:val="superscript"/>
          <w:rtl/>
        </w:rPr>
        <w:footnoteReference w:id="6697"/>
      </w:r>
      <w:r w:rsidRPr="00007309">
        <w:rPr>
          <w:rFonts w:cs="Arial"/>
          <w:b/>
          <w:bCs/>
          <w:sz w:val="24"/>
          <w:szCs w:val="24"/>
          <w:rtl/>
        </w:rPr>
        <w:t>כִּסֵּא</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6698"/>
      </w:r>
      <w:r w:rsidRPr="00007309">
        <w:rPr>
          <w:rFonts w:cs="Arial"/>
          <w:b/>
          <w:bCs/>
          <w:sz w:val="24"/>
          <w:szCs w:val="24"/>
          <w:rtl/>
        </w:rPr>
        <w:t xml:space="preserve">חֶסֶ'ד בְּגִימַטְרִיָּא עָ"ב. וּבוּצִינָא קַדִּישָׁא אָמַר </w:t>
      </w:r>
      <w:r w:rsidRPr="00007309">
        <w:rPr>
          <w:rFonts w:cs="Arial"/>
          <w:b/>
          <w:bCs/>
          <w:sz w:val="36"/>
          <w:szCs w:val="28"/>
          <w:vertAlign w:val="superscript"/>
          <w:rtl/>
        </w:rPr>
        <w:footnoteReference w:id="6699"/>
      </w:r>
      <w:r w:rsidRPr="00007309">
        <w:rPr>
          <w:rFonts w:cs="Arial"/>
          <w:b/>
          <w:bCs/>
          <w:sz w:val="24"/>
          <w:szCs w:val="24"/>
          <w:rtl/>
        </w:rPr>
        <w:t xml:space="preserve">כָּל מָאן דְּמַנַּח תְּפִלִּין וְצִיצִית כְּאִלּוּ מְקַיִּם תַּרְיַ"ג מִצְוֹת דְּאוֹרַיְתָא. וְלֹא עוֹד אֶלָּא בְּצִיצִית כְּאִלּוּ מְתַקֵּן כֻּרְסֵא לְקוּדְשָׁא בְּרִיךְ הוּא. בִּתְפִלִּין דְּאִנּוּן שֵׁם יהו'ה </w:t>
      </w:r>
      <w:r w:rsidRPr="00007309">
        <w:rPr>
          <w:rFonts w:cs="Arial"/>
          <w:b/>
          <w:bCs/>
          <w:sz w:val="36"/>
          <w:szCs w:val="28"/>
          <w:vertAlign w:val="superscript"/>
          <w:rtl/>
        </w:rPr>
        <w:footnoteReference w:id="6700"/>
      </w:r>
      <w:r w:rsidRPr="00007309">
        <w:rPr>
          <w:rFonts w:cs="Arial"/>
          <w:b/>
          <w:bCs/>
          <w:sz w:val="24"/>
          <w:szCs w:val="24"/>
          <w:rtl/>
        </w:rPr>
        <w:t xml:space="preserve">כְּאִלּוּ נָחִית יהו'ה עַל כֻּרְסֵא. </w:t>
      </w:r>
      <w:r w:rsidRPr="00007309">
        <w:rPr>
          <w:rFonts w:cs="Arial"/>
          <w:b/>
          <w:bCs/>
          <w:sz w:val="36"/>
          <w:szCs w:val="28"/>
          <w:vertAlign w:val="superscript"/>
          <w:rtl/>
        </w:rPr>
        <w:footnoteReference w:id="6701"/>
      </w:r>
      <w:r w:rsidRPr="00007309">
        <w:rPr>
          <w:rFonts w:cs="Arial"/>
          <w:b/>
          <w:bCs/>
          <w:sz w:val="24"/>
          <w:szCs w:val="24"/>
          <w:rtl/>
        </w:rPr>
        <w:t xml:space="preserve">אִי הָכֵי אַמַּאי אִתְּמַר אֵין חָבוּשׁ מַתִּיר עַצְמוֹ מִבֵּית הָאֲסוּרִים. אֶלָּא וַדַּאי תְּרֵין רָזִין עִלָּאִין הָכָא. חַד דְּפֻרְקָנָא דְּעַמּוּדָא דְּאֶמְצָעִיתָא וּשְׁכִינְתָּא וְאַבָּא וְאִימָּא דְּאִנּוּן יהו'ה, לֹא תַּלְיָא אֶלָּא בְּעִלַּת כָּל עִלָּאִין, דְּאִיהוּ מֻפְלָא וּמְכֻסֶּה בְּכִתְרָא עִלָּאָה. וְחַד </w:t>
      </w:r>
      <w:r w:rsidRPr="00007309">
        <w:rPr>
          <w:rFonts w:cs="Arial"/>
          <w:b/>
          <w:bCs/>
          <w:sz w:val="36"/>
          <w:szCs w:val="28"/>
          <w:vertAlign w:val="superscript"/>
          <w:rtl/>
        </w:rPr>
        <w:footnoteReference w:id="6702"/>
      </w:r>
      <w:r w:rsidRPr="00007309">
        <w:rPr>
          <w:rFonts w:cs="Arial"/>
          <w:b/>
          <w:bCs/>
          <w:sz w:val="24"/>
          <w:szCs w:val="24"/>
          <w:rtl/>
        </w:rPr>
        <w:t>דְמִסִּטְרָא דְּצַדִּיקִים גְּמוּרִים לָאו אִיהוּ חָבוּשׁ וְאָסוּר בְּגָלוּתָא, אֶלָּא אִיהוּ אָסוּר וְחָבוּשׁ עִמָּהֶם בִּרְחִימוּ, קָשִׁיר עִמְּהוֹן בַּחֲבִיבוּתָא. הָדָא הוּא דִּכְתִיב</w:t>
      </w:r>
      <w:r w:rsidRPr="00007309">
        <w:rPr>
          <w:rFonts w:cs="Arial" w:hint="cs"/>
          <w:b/>
          <w:bCs/>
          <w:sz w:val="24"/>
          <w:szCs w:val="24"/>
          <w:rtl/>
        </w:rPr>
        <w:t xml:space="preserve"> (</w:t>
      </w:r>
      <w:r w:rsidRPr="00007309">
        <w:rPr>
          <w:rFonts w:cs="Arial"/>
          <w:b/>
          <w:bCs/>
          <w:sz w:val="24"/>
          <w:szCs w:val="24"/>
          <w:rtl/>
        </w:rPr>
        <w:t>בראשית מד) וְנַפְשׁוֹ קְשׁוּרָה בְּנַפְשׁוֹ. חָבוּשׁ עִמְּהוֹן בְּכֻרְסֵא דִּמְתַקְּנִין לֵהּ</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6703"/>
      </w:r>
      <w:r w:rsidRPr="00007309">
        <w:rPr>
          <w:rFonts w:cs="Arial"/>
          <w:b/>
          <w:bCs/>
          <w:sz w:val="24"/>
          <w:szCs w:val="24"/>
          <w:rtl/>
        </w:rPr>
        <w:t xml:space="preserve">וּבְמֶרְכָּבָה דִּילֵהּ </w:t>
      </w:r>
      <w:r w:rsidRPr="00007309">
        <w:rPr>
          <w:rFonts w:cs="Arial"/>
          <w:b/>
          <w:bCs/>
          <w:sz w:val="36"/>
          <w:szCs w:val="28"/>
          <w:vertAlign w:val="superscript"/>
          <w:rtl/>
        </w:rPr>
        <w:footnoteReference w:id="6704"/>
      </w:r>
      <w:r w:rsidRPr="00007309">
        <w:rPr>
          <w:rFonts w:cs="Arial"/>
          <w:b/>
          <w:bCs/>
          <w:sz w:val="24"/>
          <w:szCs w:val="24"/>
          <w:rtl/>
        </w:rPr>
        <w:t>בְּכַמָּה שִׁירִין וְתֻשְׁבְּחָן</w:t>
      </w:r>
      <w:r w:rsidRPr="00007309">
        <w:rPr>
          <w:rFonts w:cs="Arial" w:hint="cs"/>
          <w:b/>
          <w:bCs/>
          <w:sz w:val="24"/>
          <w:szCs w:val="24"/>
          <w:rtl/>
        </w:rPr>
        <w:t>,</w:t>
      </w:r>
      <w:r w:rsidRPr="00007309">
        <w:rPr>
          <w:rFonts w:cs="Arial"/>
          <w:b/>
          <w:bCs/>
          <w:sz w:val="24"/>
          <w:szCs w:val="24"/>
          <w:rtl/>
        </w:rPr>
        <w:t xml:space="preserve"> דְּקָא נַחְתִּין עָלַיְהוּ כַּמָּה מַשִּׁרְיָן דְּקוּדְשָׁא בְּרִיךְ הוּא. דְּאִתְּמַר בְּהוֹן (יחזקאל א) וָאֶשְׁמַע </w:t>
      </w:r>
      <w:r w:rsidRPr="00007309">
        <w:rPr>
          <w:rFonts w:cs="Arial"/>
          <w:b/>
          <w:bCs/>
          <w:sz w:val="36"/>
          <w:szCs w:val="28"/>
          <w:vertAlign w:val="superscript"/>
          <w:rtl/>
        </w:rPr>
        <w:footnoteReference w:id="6705"/>
      </w:r>
      <w:r w:rsidRPr="00007309">
        <w:rPr>
          <w:rFonts w:cs="Arial"/>
          <w:b/>
          <w:bCs/>
          <w:sz w:val="24"/>
          <w:szCs w:val="24"/>
          <w:rtl/>
        </w:rPr>
        <w:t xml:space="preserve">אֶת קוֹל כַּנְפֵיהֶם. </w:t>
      </w:r>
      <w:r w:rsidRPr="00007309">
        <w:rPr>
          <w:rFonts w:cs="Arial"/>
          <w:b/>
          <w:bCs/>
          <w:sz w:val="36"/>
          <w:szCs w:val="28"/>
          <w:vertAlign w:val="superscript"/>
          <w:rtl/>
        </w:rPr>
        <w:footnoteReference w:id="6706"/>
      </w:r>
      <w:r w:rsidRPr="00007309">
        <w:rPr>
          <w:rFonts w:cs="Arial"/>
          <w:b/>
          <w:bCs/>
          <w:sz w:val="24"/>
          <w:szCs w:val="24"/>
          <w:rtl/>
        </w:rPr>
        <w:t xml:space="preserve">וּבְיִשְׁתַּבַּח אַתְיָן שְׂרָפִים, נַחְתִּין לֵהּ בְּכַמָּה מַשִּׁרְיָן, </w:t>
      </w:r>
      <w:r w:rsidRPr="00007309">
        <w:rPr>
          <w:rFonts w:cs="Arial"/>
          <w:b/>
          <w:bCs/>
          <w:sz w:val="36"/>
          <w:szCs w:val="28"/>
          <w:vertAlign w:val="superscript"/>
          <w:rtl/>
        </w:rPr>
        <w:footnoteReference w:id="6707"/>
      </w:r>
      <w:r w:rsidRPr="00007309">
        <w:rPr>
          <w:rFonts w:cs="Arial"/>
          <w:b/>
          <w:bCs/>
          <w:sz w:val="24"/>
          <w:szCs w:val="24"/>
          <w:rtl/>
        </w:rPr>
        <w:t xml:space="preserve">דְּאִנּוּן שְׂרָפִים וְחַיּוֹת וְאוֹפַנִּים. </w:t>
      </w:r>
      <w:r w:rsidRPr="00007309">
        <w:rPr>
          <w:rFonts w:cs="Arial"/>
          <w:b/>
          <w:bCs/>
          <w:sz w:val="36"/>
          <w:szCs w:val="28"/>
          <w:vertAlign w:val="superscript"/>
          <w:rtl/>
        </w:rPr>
        <w:footnoteReference w:id="6708"/>
      </w:r>
      <w:r w:rsidRPr="00007309">
        <w:rPr>
          <w:rFonts w:cs="Arial"/>
          <w:b/>
          <w:bCs/>
          <w:sz w:val="24"/>
          <w:szCs w:val="24"/>
          <w:rtl/>
        </w:rPr>
        <w:t xml:space="preserve">וּבִצְלוֹתָא קוֹל דְּמָמָה דַּקָּה. כְּמַה דְּאוֹקְמוּהּ (מלכים א, יח) </w:t>
      </w:r>
      <w:r w:rsidRPr="00007309">
        <w:rPr>
          <w:rFonts w:cs="Arial"/>
          <w:b/>
          <w:bCs/>
          <w:sz w:val="36"/>
          <w:szCs w:val="28"/>
          <w:vertAlign w:val="superscript"/>
          <w:rtl/>
        </w:rPr>
        <w:footnoteReference w:id="6709"/>
      </w:r>
      <w:r w:rsidRPr="00007309">
        <w:rPr>
          <w:rFonts w:cs="Arial"/>
          <w:b/>
          <w:bCs/>
          <w:sz w:val="24"/>
          <w:szCs w:val="24"/>
          <w:rtl/>
        </w:rPr>
        <w:t xml:space="preserve">וְהִנֵּה </w:t>
      </w:r>
      <w:r w:rsidRPr="00007309">
        <w:rPr>
          <w:rFonts w:cs="Arial" w:hint="cs"/>
          <w:sz w:val="24"/>
          <w:szCs w:val="24"/>
          <w:rtl/>
        </w:rPr>
        <w:t>(</w:t>
      </w:r>
      <w:r w:rsidRPr="00007309">
        <w:rPr>
          <w:rFonts w:cs="Arial"/>
          <w:sz w:val="24"/>
          <w:szCs w:val="24"/>
          <w:rtl/>
        </w:rPr>
        <w:t>ה' עוֹבֵר</w:t>
      </w:r>
      <w:r w:rsidRPr="00007309">
        <w:rPr>
          <w:rFonts w:cs="Arial" w:hint="cs"/>
          <w:sz w:val="24"/>
          <w:szCs w:val="24"/>
          <w:rtl/>
        </w:rPr>
        <w:t>)</w:t>
      </w:r>
      <w:r w:rsidRPr="00007309">
        <w:rPr>
          <w:rFonts w:cs="Arial"/>
          <w:b/>
          <w:bCs/>
          <w:sz w:val="24"/>
          <w:szCs w:val="24"/>
          <w:rtl/>
        </w:rPr>
        <w:t xml:space="preserve"> רוּחַ גְּדוֹלָה וְחָזָק מְפָרֵק </w:t>
      </w:r>
      <w:r w:rsidRPr="00007309">
        <w:rPr>
          <w:rFonts w:ascii="Cambria" w:hAnsi="Cambria" w:cs="Times New Roman" w:hint="cs"/>
          <w:b/>
          <w:bCs/>
          <w:i/>
          <w:iCs/>
          <w:color w:val="4F81BD"/>
          <w:sz w:val="24"/>
          <w:szCs w:val="24"/>
          <w:rtl/>
        </w:rPr>
        <w:t>(וילנא יג ע"ב)</w:t>
      </w:r>
      <w:r w:rsidRPr="00007309">
        <w:rPr>
          <w:rFonts w:cs="Arial" w:hint="cs"/>
          <w:b/>
          <w:bCs/>
          <w:sz w:val="24"/>
          <w:szCs w:val="24"/>
          <w:rtl/>
        </w:rPr>
        <w:t xml:space="preserve"> </w:t>
      </w:r>
      <w:r w:rsidRPr="00007309">
        <w:rPr>
          <w:rFonts w:cs="Arial"/>
          <w:b/>
          <w:bCs/>
          <w:sz w:val="24"/>
          <w:szCs w:val="24"/>
          <w:rtl/>
        </w:rPr>
        <w:t xml:space="preserve">הָרִים וְגוֹ'. דִּצְלוֹתָא בַּחֲשַׁאי אִיהִי קוֹל דְּמָמָה דַּקָּה. וּבְגִין דְּתַמָּן אָתָא מַלְכָּא, צָרִיךְ לְמֵיקָם בְּגִינֵהּ. וּבְגִין דָּא אִתְקְרִיאַת צְלוֹתָא עֲמִידָה. </w:t>
      </w:r>
      <w:r w:rsidRPr="00007309">
        <w:rPr>
          <w:rFonts w:cs="Arial"/>
          <w:b/>
          <w:bCs/>
          <w:sz w:val="36"/>
          <w:szCs w:val="28"/>
          <w:vertAlign w:val="superscript"/>
          <w:rtl/>
        </w:rPr>
        <w:footnoteReference w:id="6710"/>
      </w:r>
      <w:r w:rsidRPr="00007309">
        <w:rPr>
          <w:rFonts w:cs="Arial"/>
          <w:b/>
          <w:bCs/>
          <w:sz w:val="24"/>
          <w:szCs w:val="24"/>
          <w:rtl/>
        </w:rPr>
        <w:t xml:space="preserve">וּבְגִין דָּא חַי עָלְמִין כָּלִיל חַ"י בִּרְכָּאן, בֵּהּ מִתְיַחֵד קוּדְשָׁא בְּרִיךְ הוּא וּשְׁכִינְתֵּהּ. יאהדונהי דְּסָלִיק </w:t>
      </w:r>
      <w:r w:rsidRPr="00007309">
        <w:rPr>
          <w:rFonts w:cs="Arial"/>
          <w:b/>
          <w:bCs/>
          <w:sz w:val="36"/>
          <w:szCs w:val="28"/>
          <w:vertAlign w:val="superscript"/>
          <w:rtl/>
        </w:rPr>
        <w:footnoteReference w:id="6711"/>
      </w:r>
      <w:r w:rsidRPr="00007309">
        <w:rPr>
          <w:rFonts w:cs="Arial"/>
          <w:b/>
          <w:bCs/>
          <w:sz w:val="24"/>
          <w:szCs w:val="24"/>
          <w:rtl/>
        </w:rPr>
        <w:t xml:space="preserve">בְּחֻשְׁבַּן אָמֵן. </w:t>
      </w:r>
      <w:r w:rsidRPr="00007309">
        <w:rPr>
          <w:rFonts w:cs="Arial"/>
          <w:b/>
          <w:bCs/>
          <w:sz w:val="36"/>
          <w:szCs w:val="28"/>
          <w:vertAlign w:val="superscript"/>
          <w:rtl/>
        </w:rPr>
        <w:footnoteReference w:id="6712"/>
      </w:r>
      <w:r w:rsidRPr="00007309">
        <w:rPr>
          <w:rFonts w:cs="Arial"/>
          <w:b/>
          <w:bCs/>
          <w:sz w:val="24"/>
          <w:szCs w:val="24"/>
          <w:rtl/>
        </w:rPr>
        <w:t xml:space="preserve">וּבֵהּ צָרִיךְ לְמִכְרַע עַד שֶׁיִּתְפַּקְּקוּ </w:t>
      </w:r>
      <w:r w:rsidRPr="00007309">
        <w:rPr>
          <w:rFonts w:cs="Arial"/>
          <w:b/>
          <w:bCs/>
          <w:sz w:val="36"/>
          <w:szCs w:val="28"/>
          <w:vertAlign w:val="superscript"/>
          <w:rtl/>
        </w:rPr>
        <w:footnoteReference w:id="6713"/>
      </w:r>
      <w:r w:rsidRPr="00007309">
        <w:rPr>
          <w:rFonts w:cs="Arial"/>
          <w:b/>
          <w:bCs/>
          <w:sz w:val="24"/>
          <w:szCs w:val="24"/>
          <w:rtl/>
        </w:rPr>
        <w:t xml:space="preserve">חַ"י חֻלְיוֹת שֶׁבַּשִּׁדְרָה. </w:t>
      </w:r>
      <w:r w:rsidRPr="00007309">
        <w:rPr>
          <w:rFonts w:cs="Arial"/>
          <w:b/>
          <w:bCs/>
          <w:sz w:val="36"/>
          <w:szCs w:val="28"/>
          <w:vertAlign w:val="superscript"/>
          <w:rtl/>
        </w:rPr>
        <w:footnoteReference w:id="6714"/>
      </w:r>
      <w:r w:rsidRPr="00007309">
        <w:rPr>
          <w:rFonts w:cs="Arial"/>
          <w:b/>
          <w:bCs/>
          <w:sz w:val="24"/>
          <w:szCs w:val="24"/>
          <w:rtl/>
        </w:rPr>
        <w:t xml:space="preserve">וְהָכֵי אוֹקְמוּהּ מָארִי מַתְנִיתִין. </w:t>
      </w:r>
    </w:p>
    <w:p w:rsidR="00007309" w:rsidRPr="00007309" w:rsidRDefault="00007309" w:rsidP="00007309">
      <w:pPr>
        <w:keepNext/>
        <w:outlineLvl w:val="1"/>
        <w:rPr>
          <w:rFonts w:ascii="Cambria" w:hAnsi="Cambria" w:cs="Times New Roman"/>
          <w:b/>
          <w:bCs/>
          <w:i/>
          <w:iCs/>
          <w:sz w:val="28"/>
          <w:szCs w:val="28"/>
          <w:rtl/>
        </w:rPr>
      </w:pPr>
      <w:r w:rsidRPr="00007309">
        <w:rPr>
          <w:rFonts w:ascii="Cambria" w:hAnsi="Cambria" w:cs="Times New Roman" w:hint="cs"/>
          <w:b/>
          <w:bCs/>
          <w:i/>
          <w:iCs/>
          <w:sz w:val="28"/>
          <w:szCs w:val="28"/>
          <w:rtl/>
        </w:rPr>
        <w:t>[דף עז ע"ב]</w:t>
      </w:r>
    </w:p>
    <w:p w:rsidR="00007309" w:rsidRPr="00007309" w:rsidRDefault="00007309" w:rsidP="00007309">
      <w:pPr>
        <w:jc w:val="both"/>
        <w:rPr>
          <w:rFonts w:cs="Arial"/>
          <w:b/>
          <w:bCs/>
          <w:sz w:val="24"/>
          <w:szCs w:val="24"/>
          <w:rtl/>
        </w:rPr>
      </w:pPr>
      <w:r w:rsidRPr="00007309">
        <w:rPr>
          <w:rFonts w:cs="Arial"/>
          <w:b/>
          <w:bCs/>
          <w:sz w:val="36"/>
          <w:szCs w:val="28"/>
          <w:vertAlign w:val="superscript"/>
          <w:rtl/>
        </w:rPr>
        <w:footnoteReference w:id="6715"/>
      </w:r>
      <w:r w:rsidRPr="00007309">
        <w:rPr>
          <w:rFonts w:cs="Arial"/>
          <w:b/>
          <w:bCs/>
          <w:sz w:val="24"/>
          <w:szCs w:val="24"/>
          <w:rtl/>
        </w:rPr>
        <w:t>וּבִתְלָת קַדְמָאִין צָרִיךְ לְתַקְּנָא שִׁבְחוֹי</w:t>
      </w:r>
      <w:r w:rsidRPr="00007309">
        <w:rPr>
          <w:rFonts w:cs="Arial"/>
          <w:b/>
          <w:bCs/>
          <w:sz w:val="24"/>
          <w:szCs w:val="24"/>
        </w:rPr>
        <w:t xml:space="preserve">, </w:t>
      </w:r>
      <w:r w:rsidRPr="00007309">
        <w:rPr>
          <w:rFonts w:cs="Arial"/>
          <w:b/>
          <w:bCs/>
          <w:sz w:val="24"/>
          <w:szCs w:val="24"/>
          <w:rtl/>
        </w:rPr>
        <w:t>לְאַעֲלָא לְתַרְעָא דְּמַלְכָּא בְּהֵיכָלֵהּ, דְּאִיהִי אדנ'י</w:t>
      </w:r>
      <w:r w:rsidRPr="00007309">
        <w:rPr>
          <w:rFonts w:cs="Arial" w:hint="cs"/>
          <w:b/>
          <w:bCs/>
          <w:sz w:val="24"/>
          <w:szCs w:val="24"/>
          <w:rtl/>
        </w:rPr>
        <w:t>,</w:t>
      </w:r>
      <w:r w:rsidRPr="00007309">
        <w:rPr>
          <w:rFonts w:cs="Arial"/>
          <w:b/>
          <w:bCs/>
          <w:sz w:val="24"/>
          <w:szCs w:val="24"/>
          <w:rtl/>
        </w:rPr>
        <w:t xml:space="preserve"> דְּהָכֵי סָלִיק הֵיכָ"ל כְּחֻשְׁבַּן אֲדֹנָ"י. בָּתַר דְּעָאל תַּמָּן וְיִשְׁאַל שְׁאֵלָתוֹי בי"ב בִּרְכָּאן </w:t>
      </w:r>
      <w:r w:rsidRPr="00007309">
        <w:rPr>
          <w:rFonts w:cs="Arial"/>
          <w:b/>
          <w:bCs/>
          <w:sz w:val="36"/>
          <w:szCs w:val="28"/>
          <w:vertAlign w:val="superscript"/>
          <w:rtl/>
        </w:rPr>
        <w:footnoteReference w:id="6716"/>
      </w:r>
      <w:r w:rsidRPr="00007309">
        <w:rPr>
          <w:rFonts w:cs="Arial"/>
          <w:b/>
          <w:bCs/>
          <w:sz w:val="24"/>
          <w:szCs w:val="24"/>
          <w:rtl/>
        </w:rPr>
        <w:t xml:space="preserve">דְּאִנּוּן ו'ו. לְבָתַר </w:t>
      </w:r>
      <w:r w:rsidRPr="00007309">
        <w:rPr>
          <w:rFonts w:ascii="Cambria" w:hAnsi="Cambria" w:cs="Times New Roman" w:hint="cs"/>
          <w:b/>
          <w:bCs/>
          <w:i/>
          <w:iCs/>
          <w:color w:val="4F81BD"/>
          <w:sz w:val="24"/>
          <w:szCs w:val="24"/>
          <w:rtl/>
        </w:rPr>
        <w:t>(עז ע"ב)</w:t>
      </w:r>
      <w:r w:rsidRPr="00007309">
        <w:rPr>
          <w:rFonts w:cs="Arial" w:hint="cs"/>
          <w:b/>
          <w:bCs/>
          <w:sz w:val="24"/>
          <w:szCs w:val="24"/>
          <w:rtl/>
        </w:rPr>
        <w:t xml:space="preserve"> </w:t>
      </w:r>
      <w:r w:rsidRPr="00007309">
        <w:rPr>
          <w:rFonts w:cs="Arial"/>
          <w:b/>
          <w:bCs/>
          <w:sz w:val="24"/>
          <w:szCs w:val="24"/>
          <w:rtl/>
        </w:rPr>
        <w:t xml:space="preserve">יַהֲבִין לֵהּ שְׁאֵלָתוֹי בִּתְלָת בַּתְרָאִין, דְּתַמָּן צַדִּיק בֵּין תְּרֵין שִׂפְוָן לְשׁוֹן לִמּוּדִים, </w:t>
      </w:r>
      <w:r w:rsidRPr="00007309">
        <w:rPr>
          <w:rFonts w:cs="Arial"/>
          <w:b/>
          <w:bCs/>
          <w:sz w:val="36"/>
          <w:szCs w:val="28"/>
          <w:vertAlign w:val="superscript"/>
          <w:rtl/>
        </w:rPr>
        <w:footnoteReference w:id="6717"/>
      </w:r>
      <w:r w:rsidRPr="00007309">
        <w:rPr>
          <w:rFonts w:cs="Arial"/>
          <w:b/>
          <w:bCs/>
          <w:sz w:val="24"/>
          <w:szCs w:val="24"/>
          <w:rtl/>
        </w:rPr>
        <w:t xml:space="preserve">וּבֵהּ שְׁכִינְתָּא אִיהִי קַבָּלָה. </w:t>
      </w:r>
      <w:r w:rsidRPr="00007309">
        <w:rPr>
          <w:rFonts w:cs="Arial"/>
          <w:b/>
          <w:bCs/>
          <w:sz w:val="36"/>
          <w:szCs w:val="28"/>
          <w:vertAlign w:val="superscript"/>
          <w:rtl/>
        </w:rPr>
        <w:footnoteReference w:id="6718"/>
      </w:r>
      <w:r w:rsidRPr="00007309">
        <w:rPr>
          <w:rFonts w:cs="Arial"/>
          <w:b/>
          <w:bCs/>
          <w:sz w:val="24"/>
          <w:szCs w:val="24"/>
          <w:rtl/>
        </w:rPr>
        <w:t>מִסִּטְרָא דְּאִלֵּין צַדִּיקַיָּא אִיהוּ אָסוּר וְחָבוּשׁ</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6719"/>
      </w:r>
      <w:r w:rsidRPr="00007309">
        <w:rPr>
          <w:rFonts w:cs="Arial"/>
          <w:b/>
          <w:bCs/>
          <w:sz w:val="24"/>
          <w:szCs w:val="24"/>
          <w:rtl/>
        </w:rPr>
        <w:t xml:space="preserve">דִּמְתַקְּנִין לֵהּ </w:t>
      </w:r>
      <w:r w:rsidRPr="00007309">
        <w:rPr>
          <w:rFonts w:cs="Arial"/>
          <w:b/>
          <w:bCs/>
          <w:sz w:val="36"/>
          <w:szCs w:val="28"/>
          <w:vertAlign w:val="superscript"/>
          <w:rtl/>
        </w:rPr>
        <w:footnoteReference w:id="6720"/>
      </w:r>
      <w:r w:rsidRPr="00007309">
        <w:rPr>
          <w:rFonts w:cs="Arial"/>
          <w:b/>
          <w:bCs/>
          <w:sz w:val="24"/>
          <w:szCs w:val="24"/>
          <w:rtl/>
        </w:rPr>
        <w:t xml:space="preserve">כֻּרְסֵא </w:t>
      </w:r>
      <w:r w:rsidRPr="00007309">
        <w:rPr>
          <w:rFonts w:cs="Arial"/>
          <w:b/>
          <w:bCs/>
          <w:sz w:val="36"/>
          <w:szCs w:val="28"/>
          <w:vertAlign w:val="superscript"/>
          <w:rtl/>
        </w:rPr>
        <w:footnoteReference w:id="6721"/>
      </w:r>
      <w:r w:rsidRPr="00007309">
        <w:rPr>
          <w:rFonts w:cs="Arial"/>
          <w:b/>
          <w:bCs/>
          <w:sz w:val="24"/>
          <w:szCs w:val="24"/>
          <w:rtl/>
        </w:rPr>
        <w:t xml:space="preserve">עִם מֶרְכַּבְתָּא דִּילֵהּ </w:t>
      </w:r>
      <w:r w:rsidRPr="00007309">
        <w:rPr>
          <w:rFonts w:cs="Arial"/>
          <w:b/>
          <w:bCs/>
          <w:sz w:val="36"/>
          <w:szCs w:val="28"/>
          <w:vertAlign w:val="superscript"/>
          <w:rtl/>
        </w:rPr>
        <w:footnoteReference w:id="6722"/>
      </w:r>
      <w:r w:rsidRPr="00007309">
        <w:rPr>
          <w:rFonts w:cs="Arial"/>
          <w:b/>
          <w:bCs/>
          <w:sz w:val="24"/>
          <w:szCs w:val="24"/>
          <w:rtl/>
        </w:rPr>
        <w:t>וּמַשִּׁרְיָתָה</w:t>
      </w:r>
      <w:r w:rsidRPr="00007309">
        <w:rPr>
          <w:rFonts w:cs="Arial" w:hint="cs"/>
          <w:b/>
          <w:bCs/>
          <w:sz w:val="24"/>
          <w:szCs w:val="24"/>
          <w:rtl/>
        </w:rPr>
        <w:t>,</w:t>
      </w:r>
      <w:r w:rsidRPr="00007309">
        <w:rPr>
          <w:rFonts w:cs="Arial"/>
          <w:b/>
          <w:bCs/>
          <w:sz w:val="24"/>
          <w:szCs w:val="24"/>
          <w:rtl/>
        </w:rPr>
        <w:t xml:space="preserve"> מִסִּטְרָא דְּעֵץ הַחַיִּים. </w:t>
      </w:r>
      <w:r w:rsidRPr="00007309">
        <w:rPr>
          <w:rFonts w:cs="Arial"/>
          <w:b/>
          <w:bCs/>
          <w:sz w:val="36"/>
          <w:szCs w:val="28"/>
          <w:vertAlign w:val="superscript"/>
          <w:rtl/>
        </w:rPr>
        <w:footnoteReference w:id="6723"/>
      </w:r>
      <w:r w:rsidRPr="00007309">
        <w:rPr>
          <w:rFonts w:cs="Arial"/>
          <w:b/>
          <w:bCs/>
          <w:sz w:val="24"/>
          <w:szCs w:val="24"/>
          <w:rtl/>
        </w:rPr>
        <w:t>אֲבָל</w:t>
      </w:r>
      <w:r w:rsidRPr="00007309">
        <w:rPr>
          <w:rFonts w:cs="Arial"/>
          <w:b/>
          <w:bCs/>
          <w:sz w:val="24"/>
          <w:szCs w:val="24"/>
        </w:rPr>
        <w:t xml:space="preserve"> </w:t>
      </w:r>
      <w:r w:rsidRPr="00007309">
        <w:rPr>
          <w:rFonts w:cs="Arial"/>
          <w:b/>
          <w:bCs/>
          <w:sz w:val="24"/>
          <w:szCs w:val="24"/>
          <w:rtl/>
        </w:rPr>
        <w:t xml:space="preserve">מִסִּטְרָא דְּעֵץ הַדַּעַת טוֹב וָרָע, </w:t>
      </w:r>
      <w:r w:rsidRPr="00007309">
        <w:rPr>
          <w:rFonts w:cs="Arial"/>
          <w:b/>
          <w:bCs/>
          <w:sz w:val="36"/>
          <w:szCs w:val="28"/>
          <w:vertAlign w:val="superscript"/>
          <w:rtl/>
        </w:rPr>
        <w:footnoteReference w:id="6724"/>
      </w:r>
      <w:r w:rsidRPr="00007309">
        <w:rPr>
          <w:rFonts w:cs="Arial"/>
          <w:b/>
          <w:bCs/>
          <w:sz w:val="24"/>
          <w:szCs w:val="24"/>
          <w:rtl/>
        </w:rPr>
        <w:t xml:space="preserve">דְּקָשִׁיר לוֹן בַּיֵּצֶר הַטוֹב </w:t>
      </w:r>
      <w:r w:rsidRPr="00007309">
        <w:rPr>
          <w:rFonts w:cs="Arial"/>
          <w:b/>
          <w:bCs/>
          <w:sz w:val="36"/>
          <w:szCs w:val="28"/>
          <w:vertAlign w:val="superscript"/>
          <w:rtl/>
        </w:rPr>
        <w:footnoteReference w:id="6725"/>
      </w:r>
      <w:r w:rsidRPr="00007309">
        <w:rPr>
          <w:rFonts w:cs="Arial"/>
          <w:b/>
          <w:bCs/>
          <w:sz w:val="24"/>
          <w:szCs w:val="24"/>
          <w:rtl/>
        </w:rPr>
        <w:t xml:space="preserve">לְמֶהֱוֵי עֵזְר בַּהֲדַיְהוּ, </w:t>
      </w:r>
      <w:r w:rsidRPr="00007309">
        <w:rPr>
          <w:rFonts w:cs="Arial"/>
          <w:b/>
          <w:bCs/>
          <w:sz w:val="36"/>
          <w:szCs w:val="28"/>
          <w:vertAlign w:val="superscript"/>
          <w:rtl/>
        </w:rPr>
        <w:footnoteReference w:id="6726"/>
      </w:r>
      <w:r w:rsidRPr="00007309">
        <w:rPr>
          <w:rFonts w:cs="Arial"/>
          <w:b/>
          <w:bCs/>
          <w:sz w:val="24"/>
          <w:szCs w:val="24"/>
          <w:rtl/>
        </w:rPr>
        <w:t xml:space="preserve">וְקָשִׁיר לֵהּ לַיֵּצֶר הָרָע לְמֶהֱוֵי כַּחֲמוֹר </w:t>
      </w:r>
      <w:r w:rsidRPr="00007309">
        <w:rPr>
          <w:rFonts w:cs="Arial"/>
          <w:b/>
          <w:bCs/>
          <w:sz w:val="36"/>
          <w:szCs w:val="28"/>
          <w:vertAlign w:val="superscript"/>
          <w:rtl/>
        </w:rPr>
        <w:footnoteReference w:id="6727"/>
      </w:r>
      <w:r w:rsidRPr="00007309">
        <w:rPr>
          <w:rFonts w:cs="Arial"/>
          <w:b/>
          <w:bCs/>
          <w:sz w:val="24"/>
          <w:szCs w:val="24"/>
          <w:rtl/>
        </w:rPr>
        <w:t xml:space="preserve">לְמַשּאוֹי תְּחוֹתַיְהוּ, חֲמוֹר </w:t>
      </w:r>
      <w:r w:rsidRPr="00007309">
        <w:rPr>
          <w:rFonts w:cs="Arial"/>
          <w:b/>
          <w:bCs/>
          <w:sz w:val="36"/>
          <w:szCs w:val="28"/>
          <w:vertAlign w:val="superscript"/>
          <w:rtl/>
        </w:rPr>
        <w:footnoteReference w:id="6728"/>
      </w:r>
      <w:r w:rsidRPr="00007309">
        <w:rPr>
          <w:rFonts w:cs="Arial"/>
          <w:b/>
          <w:bCs/>
          <w:sz w:val="24"/>
          <w:szCs w:val="24"/>
          <w:rtl/>
        </w:rPr>
        <w:t xml:space="preserve">נוֹשֵׂא סְפָרִים. </w:t>
      </w:r>
      <w:r w:rsidRPr="00007309">
        <w:rPr>
          <w:rFonts w:cs="Arial"/>
          <w:b/>
          <w:bCs/>
          <w:sz w:val="36"/>
          <w:szCs w:val="28"/>
          <w:vertAlign w:val="superscript"/>
          <w:rtl/>
        </w:rPr>
        <w:footnoteReference w:id="6729"/>
      </w:r>
      <w:r w:rsidRPr="00007309">
        <w:rPr>
          <w:rFonts w:cs="Arial"/>
          <w:b/>
          <w:bCs/>
          <w:sz w:val="24"/>
          <w:szCs w:val="24"/>
          <w:rtl/>
        </w:rPr>
        <w:t xml:space="preserve">מִסִּטְרָא דְּבֵינוֹנִים אִיהוּ אָסוּר וְחָבוּשׁ בְּגָלוּתָא. </w:t>
      </w:r>
      <w:r w:rsidRPr="00007309">
        <w:rPr>
          <w:rFonts w:cs="Arial"/>
          <w:b/>
          <w:bCs/>
          <w:sz w:val="36"/>
          <w:szCs w:val="28"/>
          <w:vertAlign w:val="superscript"/>
          <w:rtl/>
        </w:rPr>
        <w:footnoteReference w:id="6730"/>
      </w:r>
      <w:r w:rsidRPr="00007309">
        <w:rPr>
          <w:rFonts w:cs="Arial"/>
          <w:b/>
          <w:bCs/>
          <w:sz w:val="24"/>
          <w:szCs w:val="24"/>
          <w:rtl/>
        </w:rPr>
        <w:t xml:space="preserve">דְּעָלַיְהוּ אִתְּמַר </w:t>
      </w:r>
      <w:r w:rsidRPr="00007309">
        <w:rPr>
          <w:rFonts w:cs="Arial"/>
          <w:b/>
          <w:bCs/>
          <w:sz w:val="36"/>
          <w:szCs w:val="28"/>
          <w:vertAlign w:val="superscript"/>
          <w:rtl/>
        </w:rPr>
        <w:footnoteReference w:id="6731"/>
      </w:r>
      <w:r w:rsidRPr="00007309">
        <w:rPr>
          <w:rFonts w:cs="Arial"/>
          <w:b/>
          <w:bCs/>
          <w:sz w:val="24"/>
          <w:szCs w:val="24"/>
          <w:rtl/>
        </w:rPr>
        <w:t xml:space="preserve">בְּיוֹמִין דְּחֹל הָיָה כְּשׁוֹר לַחֲרֹשׁ וְכַחֲמוֹר לְמַשּאוֹי. בְּרַשִּׁיעַיָּא אִתְּמַר (איכה א) </w:t>
      </w:r>
      <w:r w:rsidRPr="00007309">
        <w:rPr>
          <w:rFonts w:cs="Arial"/>
          <w:b/>
          <w:bCs/>
          <w:sz w:val="36"/>
          <w:szCs w:val="28"/>
          <w:vertAlign w:val="superscript"/>
          <w:rtl/>
        </w:rPr>
        <w:footnoteReference w:id="6732"/>
      </w:r>
      <w:r w:rsidRPr="00007309">
        <w:rPr>
          <w:rFonts w:cs="Arial"/>
          <w:b/>
          <w:bCs/>
          <w:sz w:val="24"/>
          <w:szCs w:val="24"/>
          <w:rtl/>
        </w:rPr>
        <w:t xml:space="preserve">נְתָנַנִי ה' בְּיָדִי לֹא אוּכַל קוּם. </w:t>
      </w:r>
      <w:r w:rsidRPr="00007309">
        <w:rPr>
          <w:rFonts w:cs="Arial"/>
          <w:b/>
          <w:bCs/>
          <w:sz w:val="36"/>
          <w:szCs w:val="28"/>
          <w:vertAlign w:val="superscript"/>
          <w:rtl/>
        </w:rPr>
        <w:footnoteReference w:id="6733"/>
      </w:r>
      <w:r w:rsidRPr="00007309">
        <w:rPr>
          <w:rFonts w:cs="Arial"/>
          <w:b/>
          <w:bCs/>
          <w:sz w:val="24"/>
          <w:szCs w:val="24"/>
          <w:rtl/>
        </w:rPr>
        <w:t>דִּרְצוּעִין דִּתְפִלִּין אִנּוּן כַּחֲבָלִים לְקַרְנוֹי דְּסַמָּאֵ"ל</w:t>
      </w:r>
      <w:r w:rsidRPr="00007309">
        <w:rPr>
          <w:rFonts w:cs="Arial" w:hint="cs"/>
          <w:b/>
          <w:bCs/>
          <w:sz w:val="24"/>
          <w:szCs w:val="24"/>
          <w:rtl/>
        </w:rPr>
        <w:t>,</w:t>
      </w:r>
      <w:r w:rsidRPr="00007309">
        <w:rPr>
          <w:rFonts w:cs="Arial"/>
          <w:b/>
          <w:bCs/>
          <w:sz w:val="24"/>
          <w:szCs w:val="24"/>
          <w:rtl/>
        </w:rPr>
        <w:t xml:space="preserve"> שׁוֹר מוּעָד</w:t>
      </w:r>
      <w:r w:rsidRPr="00007309">
        <w:rPr>
          <w:rFonts w:cs="Arial" w:hint="cs"/>
          <w:b/>
          <w:bCs/>
          <w:sz w:val="24"/>
          <w:szCs w:val="24"/>
          <w:rtl/>
        </w:rPr>
        <w:t>,</w:t>
      </w:r>
      <w:r w:rsidRPr="00007309">
        <w:rPr>
          <w:rFonts w:cs="Arial"/>
          <w:b/>
          <w:bCs/>
          <w:sz w:val="24"/>
          <w:szCs w:val="24"/>
          <w:rtl/>
        </w:rPr>
        <w:t xml:space="preserve"> דְּלָא יְשֵׁיצֵי לוֹן</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6734"/>
      </w:r>
      <w:r w:rsidRPr="00007309">
        <w:rPr>
          <w:rFonts w:cs="Arial"/>
          <w:b/>
          <w:bCs/>
          <w:sz w:val="24"/>
          <w:szCs w:val="24"/>
          <w:rtl/>
        </w:rPr>
        <w:t xml:space="preserve">וּתְפִלָּה דְּיָד קָשִׁיר </w:t>
      </w:r>
      <w:r w:rsidRPr="00007309">
        <w:rPr>
          <w:rFonts w:cs="Arial"/>
          <w:b/>
          <w:bCs/>
          <w:sz w:val="36"/>
          <w:szCs w:val="28"/>
          <w:vertAlign w:val="superscript"/>
          <w:rtl/>
        </w:rPr>
        <w:footnoteReference w:id="6735"/>
      </w:r>
      <w:r w:rsidRPr="00007309">
        <w:rPr>
          <w:rFonts w:cs="Arial"/>
          <w:b/>
          <w:bCs/>
          <w:sz w:val="24"/>
          <w:szCs w:val="24"/>
          <w:rtl/>
        </w:rPr>
        <w:t>לְרַגְלוֹי</w:t>
      </w:r>
      <w:r w:rsidRPr="00007309">
        <w:rPr>
          <w:rFonts w:cs="Arial" w:hint="cs"/>
          <w:b/>
          <w:bCs/>
          <w:sz w:val="24"/>
          <w:szCs w:val="24"/>
          <w:rtl/>
        </w:rPr>
        <w:t>.</w:t>
      </w:r>
      <w:r w:rsidRPr="00007309">
        <w:rPr>
          <w:rFonts w:cs="Arial"/>
          <w:b/>
          <w:bCs/>
          <w:sz w:val="24"/>
          <w:szCs w:val="24"/>
          <w:rtl/>
        </w:rPr>
        <w:t xml:space="preserve"> וּמָאן דְּלָא מָנַח תְּפִלִּין, עָלֵהּ אִתְּמַר מִשּׁוֹר מוּעָד הַרְחֵק מִמֶּנּוּ </w:t>
      </w:r>
      <w:r w:rsidRPr="00007309">
        <w:rPr>
          <w:rFonts w:cs="Arial"/>
          <w:b/>
          <w:bCs/>
          <w:sz w:val="36"/>
          <w:szCs w:val="28"/>
          <w:vertAlign w:val="superscript"/>
          <w:rtl/>
        </w:rPr>
        <w:footnoteReference w:id="6736"/>
      </w:r>
      <w:r w:rsidRPr="00007309">
        <w:rPr>
          <w:rFonts w:cs="Arial"/>
          <w:b/>
          <w:bCs/>
          <w:sz w:val="24"/>
          <w:szCs w:val="24"/>
          <w:rtl/>
        </w:rPr>
        <w:t xml:space="preserve">כִּמְלֹא עֵינָיו, </w:t>
      </w:r>
      <w:r w:rsidRPr="00007309">
        <w:rPr>
          <w:rFonts w:cs="Arial"/>
          <w:b/>
          <w:bCs/>
          <w:sz w:val="36"/>
          <w:szCs w:val="28"/>
          <w:vertAlign w:val="superscript"/>
          <w:rtl/>
        </w:rPr>
        <w:footnoteReference w:id="6737"/>
      </w:r>
      <w:r w:rsidRPr="00007309">
        <w:rPr>
          <w:rFonts w:cs="Arial"/>
          <w:b/>
          <w:bCs/>
          <w:sz w:val="24"/>
          <w:szCs w:val="24"/>
          <w:rtl/>
        </w:rPr>
        <w:t>דְּמִנֵּהּ תַּלְיָן אֲבוֹת נְזִיקִין</w:t>
      </w:r>
      <w:r w:rsidRPr="00007309">
        <w:rPr>
          <w:rFonts w:cs="Arial" w:hint="cs"/>
          <w:b/>
          <w:bCs/>
          <w:sz w:val="24"/>
          <w:szCs w:val="24"/>
          <w:rtl/>
        </w:rPr>
        <w:t>.</w:t>
      </w:r>
      <w:r w:rsidRPr="00007309">
        <w:rPr>
          <w:rFonts w:cs="Arial"/>
          <w:b/>
          <w:bCs/>
          <w:sz w:val="24"/>
          <w:szCs w:val="24"/>
          <w:rtl/>
        </w:rPr>
        <w:t xml:space="preserve"> צִיצִית מַשּאוֹי </w:t>
      </w:r>
      <w:r w:rsidRPr="00007309">
        <w:rPr>
          <w:rFonts w:cs="Arial"/>
          <w:b/>
          <w:bCs/>
          <w:sz w:val="36"/>
          <w:szCs w:val="28"/>
          <w:vertAlign w:val="superscript"/>
          <w:rtl/>
        </w:rPr>
        <w:footnoteReference w:id="6738"/>
      </w:r>
      <w:r w:rsidRPr="00007309">
        <w:rPr>
          <w:rFonts w:cs="Arial"/>
          <w:b/>
          <w:bCs/>
          <w:sz w:val="24"/>
          <w:szCs w:val="24"/>
          <w:rtl/>
        </w:rPr>
        <w:t xml:space="preserve">עַל חֲמוֹר נוֹאֵף. נָחָשׁ בְּגִינֵהּ אִתְּמַר אֲפִלּוּ נָחָשׁ </w:t>
      </w:r>
      <w:r w:rsidRPr="00007309">
        <w:rPr>
          <w:rFonts w:cs="Arial"/>
          <w:b/>
          <w:bCs/>
          <w:sz w:val="36"/>
          <w:szCs w:val="28"/>
          <w:vertAlign w:val="superscript"/>
          <w:rtl/>
        </w:rPr>
        <w:footnoteReference w:id="6739"/>
      </w:r>
      <w:r w:rsidRPr="00007309">
        <w:rPr>
          <w:rFonts w:cs="Arial"/>
          <w:b/>
          <w:bCs/>
          <w:sz w:val="24"/>
          <w:szCs w:val="24"/>
          <w:rtl/>
        </w:rPr>
        <w:t xml:space="preserve">כָּרוּךְ עַל עֲקֵבוֹ לֹא יַפְסִיק. </w:t>
      </w:r>
      <w:r w:rsidRPr="00007309">
        <w:rPr>
          <w:rFonts w:cs="Arial"/>
          <w:b/>
          <w:bCs/>
          <w:sz w:val="36"/>
          <w:szCs w:val="28"/>
          <w:vertAlign w:val="superscript"/>
          <w:rtl/>
        </w:rPr>
        <w:footnoteReference w:id="6740"/>
      </w:r>
      <w:r w:rsidRPr="00007309">
        <w:rPr>
          <w:rFonts w:cs="Arial"/>
          <w:b/>
          <w:bCs/>
          <w:sz w:val="24"/>
          <w:szCs w:val="24"/>
          <w:rtl/>
        </w:rPr>
        <w:t xml:space="preserve">וְד' בָּתֵּי תְּפִלִּין </w:t>
      </w:r>
      <w:r w:rsidRPr="00007309">
        <w:rPr>
          <w:rFonts w:cs="Arial"/>
          <w:b/>
          <w:bCs/>
          <w:sz w:val="36"/>
          <w:szCs w:val="28"/>
          <w:vertAlign w:val="superscript"/>
          <w:rtl/>
        </w:rPr>
        <w:footnoteReference w:id="6741"/>
      </w:r>
      <w:r w:rsidRPr="00007309">
        <w:rPr>
          <w:rFonts w:cs="Arial"/>
          <w:b/>
          <w:bCs/>
          <w:sz w:val="24"/>
          <w:szCs w:val="24"/>
          <w:rtl/>
        </w:rPr>
        <w:t>אִנּוּן כְּהֵיכָלָא לְד' אַתְוָן</w:t>
      </w:r>
      <w:r w:rsidRPr="00007309">
        <w:rPr>
          <w:rFonts w:cs="Arial" w:hint="cs"/>
          <w:b/>
          <w:bCs/>
          <w:sz w:val="24"/>
          <w:szCs w:val="24"/>
          <w:rtl/>
        </w:rPr>
        <w:t>.</w:t>
      </w:r>
      <w:r w:rsidRPr="00007309">
        <w:rPr>
          <w:rFonts w:cs="Arial"/>
          <w:b/>
          <w:bCs/>
          <w:sz w:val="24"/>
          <w:szCs w:val="24"/>
          <w:rtl/>
        </w:rPr>
        <w:t xml:space="preserve"> מָאן הֵיכָלָא</w:t>
      </w:r>
      <w:r w:rsidRPr="00007309">
        <w:rPr>
          <w:rFonts w:cs="Arial" w:hint="cs"/>
          <w:b/>
          <w:bCs/>
          <w:sz w:val="24"/>
          <w:szCs w:val="24"/>
          <w:rtl/>
        </w:rPr>
        <w:t>,</w:t>
      </w:r>
      <w:r w:rsidRPr="00007309">
        <w:rPr>
          <w:rFonts w:cs="Arial"/>
          <w:b/>
          <w:bCs/>
          <w:sz w:val="24"/>
          <w:szCs w:val="24"/>
          <w:rtl/>
        </w:rPr>
        <w:t xml:space="preserve"> דָּא אֲדֹנָ"י</w:t>
      </w:r>
      <w:r w:rsidRPr="00007309">
        <w:rPr>
          <w:rFonts w:cs="Arial" w:hint="cs"/>
          <w:b/>
          <w:bCs/>
          <w:sz w:val="24"/>
          <w:szCs w:val="24"/>
          <w:rtl/>
        </w:rPr>
        <w:t>,</w:t>
      </w:r>
      <w:r w:rsidRPr="00007309">
        <w:rPr>
          <w:rFonts w:cs="Arial"/>
          <w:b/>
          <w:bCs/>
          <w:sz w:val="24"/>
          <w:szCs w:val="24"/>
          <w:rtl/>
        </w:rPr>
        <w:t xml:space="preserve"> דְּהָכֵי סָלִיק כְּחֻשְׁבַּ"ן הֵיכָ"ל. וְאִנּוּן ד' פַּרְשַׁיָּן</w:t>
      </w:r>
      <w:r w:rsidRPr="00007309">
        <w:rPr>
          <w:rFonts w:cs="Arial" w:hint="cs"/>
          <w:b/>
          <w:bCs/>
          <w:sz w:val="24"/>
          <w:szCs w:val="24"/>
          <w:rtl/>
        </w:rPr>
        <w:t>,</w:t>
      </w:r>
      <w:r w:rsidRPr="00007309">
        <w:rPr>
          <w:rFonts w:cs="Arial"/>
          <w:b/>
          <w:bCs/>
          <w:sz w:val="24"/>
          <w:szCs w:val="24"/>
          <w:rtl/>
        </w:rPr>
        <w:t xml:space="preserve"> ד' אַתְוָן דיהו"ה</w:t>
      </w:r>
      <w:r w:rsidRPr="00007309">
        <w:rPr>
          <w:rFonts w:cs="Arial" w:hint="cs"/>
          <w:b/>
          <w:bCs/>
          <w:sz w:val="24"/>
          <w:szCs w:val="24"/>
          <w:rtl/>
        </w:rPr>
        <w:t>,</w:t>
      </w:r>
      <w:r w:rsidRPr="00007309">
        <w:rPr>
          <w:rFonts w:cs="Arial"/>
          <w:b/>
          <w:bCs/>
          <w:sz w:val="24"/>
          <w:szCs w:val="24"/>
          <w:rtl/>
        </w:rPr>
        <w:t xml:space="preserve"> כַּגְּוָנָא דְּאַנְפִּין דְּחֵיוָן</w:t>
      </w:r>
      <w:r w:rsidRPr="00007309">
        <w:rPr>
          <w:rFonts w:cs="Arial" w:hint="cs"/>
          <w:b/>
          <w:bCs/>
          <w:sz w:val="24"/>
          <w:szCs w:val="24"/>
          <w:rtl/>
        </w:rPr>
        <w:t xml:space="preserve">. </w:t>
      </w:r>
      <w:r w:rsidRPr="00007309">
        <w:rPr>
          <w:rFonts w:cs="Arial"/>
          <w:b/>
          <w:bCs/>
          <w:sz w:val="24"/>
          <w:szCs w:val="24"/>
          <w:rtl/>
        </w:rPr>
        <w:t>וּבָתִּים ד' לָקֳבֵל גַּדְפִּין</w:t>
      </w:r>
      <w:r w:rsidRPr="00007309">
        <w:rPr>
          <w:rFonts w:cs="Arial"/>
          <w:b/>
          <w:bCs/>
          <w:sz w:val="24"/>
          <w:szCs w:val="24"/>
        </w:rPr>
        <w:t xml:space="preserve"> </w:t>
      </w:r>
      <w:r w:rsidRPr="00007309">
        <w:rPr>
          <w:rFonts w:cs="Arial"/>
          <w:b/>
          <w:bCs/>
          <w:sz w:val="24"/>
          <w:szCs w:val="24"/>
          <w:rtl/>
        </w:rPr>
        <w:t>דְּחֵיוָן, וְאִנּוּן כְּגַוְנָא דְּנִקּוּדִין וְאַתְוָן</w:t>
      </w:r>
      <w:r w:rsidRPr="00007309">
        <w:rPr>
          <w:rFonts w:cs="Arial" w:hint="cs"/>
          <w:b/>
          <w:bCs/>
          <w:sz w:val="24"/>
          <w:szCs w:val="24"/>
          <w:rtl/>
        </w:rPr>
        <w:t>,</w:t>
      </w:r>
      <w:r w:rsidRPr="00007309">
        <w:rPr>
          <w:rFonts w:cs="Arial"/>
          <w:b/>
          <w:bCs/>
          <w:sz w:val="24"/>
          <w:szCs w:val="24"/>
          <w:rtl/>
        </w:rPr>
        <w:t xml:space="preserve"> דְּאִנּוּן דְּכַר וְנוּקְבָא. תְּרֵין רְצוּעִין לָקֳבֵל כַּנְפֵי יוֹנָה</w:t>
      </w:r>
      <w:r w:rsidRPr="00007309">
        <w:rPr>
          <w:rFonts w:cs="Arial" w:hint="cs"/>
          <w:b/>
          <w:bCs/>
          <w:sz w:val="24"/>
          <w:szCs w:val="24"/>
          <w:rtl/>
        </w:rPr>
        <w:t>.</w:t>
      </w:r>
      <w:r w:rsidRPr="00007309">
        <w:rPr>
          <w:rFonts w:cs="Arial"/>
          <w:b/>
          <w:bCs/>
          <w:sz w:val="24"/>
          <w:szCs w:val="24"/>
          <w:rtl/>
        </w:rPr>
        <w:t xml:space="preserve"> רְצוּעָה דְּיָד </w:t>
      </w:r>
      <w:r w:rsidRPr="00007309">
        <w:rPr>
          <w:rFonts w:cs="Arial"/>
          <w:b/>
          <w:bCs/>
          <w:sz w:val="36"/>
          <w:szCs w:val="28"/>
          <w:vertAlign w:val="superscript"/>
          <w:rtl/>
        </w:rPr>
        <w:footnoteReference w:id="6742"/>
      </w:r>
      <w:r w:rsidRPr="00007309">
        <w:rPr>
          <w:rFonts w:cs="Arial"/>
          <w:b/>
          <w:bCs/>
          <w:sz w:val="24"/>
          <w:szCs w:val="24"/>
          <w:rtl/>
        </w:rPr>
        <w:t>לְקַשְׁרָא לָהּ</w:t>
      </w:r>
      <w:r w:rsidRPr="00007309">
        <w:rPr>
          <w:rFonts w:cs="Arial" w:hint="cs"/>
          <w:b/>
          <w:bCs/>
          <w:sz w:val="24"/>
          <w:szCs w:val="24"/>
          <w:rtl/>
        </w:rPr>
        <w:t>,</w:t>
      </w:r>
      <w:r w:rsidRPr="00007309">
        <w:rPr>
          <w:rFonts w:cs="Arial"/>
          <w:b/>
          <w:bCs/>
          <w:sz w:val="24"/>
          <w:szCs w:val="24"/>
          <w:rtl/>
        </w:rPr>
        <w:t xml:space="preserve"> וְדָא שְׁכִינְתָּא דְּאִתְּמַר בָּהּ יוֹנָתִי. </w:t>
      </w:r>
      <w:r w:rsidRPr="00007309">
        <w:rPr>
          <w:rFonts w:cs="Arial"/>
          <w:b/>
          <w:bCs/>
          <w:sz w:val="36"/>
          <w:szCs w:val="28"/>
          <w:vertAlign w:val="superscript"/>
          <w:rtl/>
        </w:rPr>
        <w:footnoteReference w:id="6743"/>
      </w:r>
      <w:r w:rsidRPr="00007309">
        <w:rPr>
          <w:rFonts w:cs="Arial"/>
          <w:b/>
          <w:bCs/>
          <w:sz w:val="24"/>
          <w:szCs w:val="24"/>
          <w:rtl/>
        </w:rPr>
        <w:t>וּתְרֵין אִנּוּן יוֹנִים דְּכַר וְנוּקְבָא. מָאן דְּבָעֵי לְצַיְּדָא לֵהּ צֵדָה דְּתַרְוַיְהוּ, נָטִיל נוּקְבָא וְקָשִׁיר לָהּ עִמֵּהּ</w:t>
      </w:r>
      <w:r w:rsidRPr="00007309">
        <w:rPr>
          <w:rFonts w:cs="Arial" w:hint="cs"/>
          <w:b/>
          <w:bCs/>
          <w:sz w:val="24"/>
          <w:szCs w:val="24"/>
          <w:rtl/>
        </w:rPr>
        <w:t>,</w:t>
      </w:r>
      <w:r w:rsidRPr="00007309">
        <w:rPr>
          <w:rFonts w:cs="Arial"/>
          <w:b/>
          <w:bCs/>
          <w:sz w:val="24"/>
          <w:szCs w:val="24"/>
          <w:rtl/>
        </w:rPr>
        <w:t xml:space="preserve"> וּמִיָּד יִקְרֵי לִדְ</w:t>
      </w:r>
      <w:r w:rsidRPr="00007309">
        <w:rPr>
          <w:rFonts w:cs="Arial" w:hint="cs"/>
          <w:b/>
          <w:bCs/>
          <w:sz w:val="24"/>
          <w:szCs w:val="24"/>
          <w:rtl/>
        </w:rPr>
        <w:t>כ</w:t>
      </w:r>
      <w:r w:rsidRPr="00007309">
        <w:rPr>
          <w:rFonts w:cs="Arial"/>
          <w:b/>
          <w:bCs/>
          <w:sz w:val="24"/>
          <w:szCs w:val="24"/>
          <w:rtl/>
        </w:rPr>
        <w:t xml:space="preserve">וּרָא וְיֵתֵי. וְהָכֵי צְרִיכִין יִשְׂרָאֵל </w:t>
      </w:r>
      <w:r w:rsidRPr="00007309">
        <w:rPr>
          <w:rFonts w:cs="Arial"/>
          <w:b/>
          <w:bCs/>
          <w:sz w:val="36"/>
          <w:szCs w:val="28"/>
          <w:vertAlign w:val="superscript"/>
          <w:rtl/>
        </w:rPr>
        <w:footnoteReference w:id="6744"/>
      </w:r>
      <w:r w:rsidRPr="00007309">
        <w:rPr>
          <w:rFonts w:cs="Arial"/>
          <w:b/>
          <w:bCs/>
          <w:sz w:val="24"/>
          <w:szCs w:val="24"/>
          <w:rtl/>
        </w:rPr>
        <w:t>לְנַטְלָא יוֹנָה קַדִּישָׁא</w:t>
      </w:r>
      <w:r w:rsidRPr="00007309">
        <w:rPr>
          <w:rFonts w:cs="Arial" w:hint="cs"/>
          <w:b/>
          <w:bCs/>
          <w:sz w:val="24"/>
          <w:szCs w:val="24"/>
          <w:rtl/>
        </w:rPr>
        <w:t>,</w:t>
      </w:r>
      <w:r w:rsidRPr="00007309">
        <w:rPr>
          <w:rFonts w:cs="Arial"/>
          <w:b/>
          <w:bCs/>
          <w:sz w:val="24"/>
          <w:szCs w:val="24"/>
          <w:rtl/>
        </w:rPr>
        <w:t xml:space="preserve"> מִצְוָה</w:t>
      </w:r>
      <w:r w:rsidRPr="00007309">
        <w:rPr>
          <w:rFonts w:cs="Arial" w:hint="cs"/>
          <w:b/>
          <w:bCs/>
          <w:sz w:val="24"/>
          <w:szCs w:val="24"/>
          <w:rtl/>
        </w:rPr>
        <w:t>,</w:t>
      </w:r>
      <w:r w:rsidRPr="00007309">
        <w:rPr>
          <w:rFonts w:cs="Arial"/>
          <w:b/>
          <w:bCs/>
          <w:sz w:val="24"/>
          <w:szCs w:val="24"/>
          <w:rtl/>
        </w:rPr>
        <w:t xml:space="preserve"> שְׁכִינְתָּא, לְקַשְּׁרָה לָהּ בְּקִשּׁוּרָא דִּתְפִלִּין</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6745"/>
      </w:r>
      <w:r w:rsidRPr="00007309">
        <w:rPr>
          <w:rFonts w:cs="Arial"/>
          <w:b/>
          <w:bCs/>
          <w:sz w:val="24"/>
          <w:szCs w:val="24"/>
          <w:rtl/>
        </w:rPr>
        <w:t>וּמִיָּד יְקָרֵי לְבַעְלָהּ</w:t>
      </w:r>
      <w:r w:rsidRPr="00007309">
        <w:rPr>
          <w:rFonts w:cs="Arial" w:hint="cs"/>
          <w:b/>
          <w:bCs/>
          <w:sz w:val="24"/>
          <w:szCs w:val="24"/>
          <w:rtl/>
        </w:rPr>
        <w:t>,</w:t>
      </w:r>
      <w:r w:rsidRPr="00007309">
        <w:rPr>
          <w:rFonts w:cs="Arial"/>
          <w:b/>
          <w:bCs/>
          <w:sz w:val="24"/>
          <w:szCs w:val="24"/>
          <w:rtl/>
        </w:rPr>
        <w:t xml:space="preserve"> דְּאִיהוּ יִשְׂרָאֵל דִּלְעֵלָּא</w:t>
      </w:r>
      <w:r w:rsidRPr="00007309">
        <w:rPr>
          <w:rFonts w:cs="Arial" w:hint="cs"/>
          <w:b/>
          <w:bCs/>
          <w:sz w:val="24"/>
          <w:szCs w:val="24"/>
          <w:rtl/>
        </w:rPr>
        <w:t>,</w:t>
      </w:r>
      <w:r w:rsidRPr="00007309">
        <w:rPr>
          <w:rFonts w:cs="Arial"/>
          <w:b/>
          <w:bCs/>
          <w:sz w:val="24"/>
          <w:szCs w:val="24"/>
          <w:rtl/>
        </w:rPr>
        <w:t xml:space="preserve"> עַמּוּדָא דְּאֶמְצָעִיתָא. </w:t>
      </w:r>
      <w:r w:rsidRPr="00007309">
        <w:rPr>
          <w:rFonts w:cs="Arial"/>
          <w:b/>
          <w:bCs/>
          <w:sz w:val="36"/>
          <w:szCs w:val="28"/>
          <w:vertAlign w:val="superscript"/>
          <w:rtl/>
        </w:rPr>
        <w:footnoteReference w:id="6746"/>
      </w:r>
      <w:r w:rsidRPr="00007309">
        <w:rPr>
          <w:rFonts w:cs="Arial"/>
          <w:b/>
          <w:bCs/>
          <w:sz w:val="24"/>
          <w:szCs w:val="24"/>
          <w:rtl/>
        </w:rPr>
        <w:t xml:space="preserve">וּבְגִין דָּא תַּקִּינוּ לְמִקְרֵי שְׁמַע יִשְׂרָאֵל בְּקָלָא </w:t>
      </w:r>
      <w:r w:rsidRPr="00007309">
        <w:rPr>
          <w:rFonts w:cs="Arial"/>
          <w:b/>
          <w:bCs/>
          <w:sz w:val="36"/>
          <w:szCs w:val="28"/>
          <w:vertAlign w:val="superscript"/>
          <w:rtl/>
        </w:rPr>
        <w:footnoteReference w:id="6747"/>
      </w:r>
      <w:r w:rsidRPr="00007309">
        <w:rPr>
          <w:rFonts w:cs="Arial"/>
          <w:b/>
          <w:bCs/>
          <w:sz w:val="24"/>
          <w:szCs w:val="24"/>
          <w:rtl/>
        </w:rPr>
        <w:t xml:space="preserve">עִם מִצְוַת תְּפִלִּין. וּמִיָּד דְּנָחִית לְגַבָּהּ, </w:t>
      </w:r>
      <w:r w:rsidRPr="00007309">
        <w:rPr>
          <w:rFonts w:cs="Arial"/>
          <w:b/>
          <w:bCs/>
          <w:sz w:val="36"/>
          <w:szCs w:val="28"/>
          <w:vertAlign w:val="superscript"/>
          <w:rtl/>
        </w:rPr>
        <w:footnoteReference w:id="6748"/>
      </w:r>
      <w:r w:rsidRPr="00007309">
        <w:rPr>
          <w:rFonts w:cs="Arial"/>
          <w:b/>
          <w:bCs/>
          <w:sz w:val="24"/>
          <w:szCs w:val="24"/>
          <w:rtl/>
        </w:rPr>
        <w:t>צָרִיךְ לְקַשְּׁרָא לֵהּ עִמֵּהּ</w:t>
      </w:r>
      <w:r w:rsidRPr="00007309">
        <w:rPr>
          <w:rFonts w:cs="Arial" w:hint="cs"/>
          <w:b/>
          <w:bCs/>
          <w:sz w:val="24"/>
          <w:szCs w:val="24"/>
          <w:rtl/>
        </w:rPr>
        <w:t>,</w:t>
      </w:r>
      <w:r w:rsidRPr="00007309">
        <w:rPr>
          <w:rFonts w:cs="Arial"/>
          <w:b/>
          <w:bCs/>
          <w:sz w:val="24"/>
          <w:szCs w:val="24"/>
          <w:rtl/>
        </w:rPr>
        <w:t xml:space="preserve"> לְמֶהֱוֵי חָבוּשׁ עִמֵּהּ בִּרְצוּעָה דִּתְפִלִּין דְּיָד, כְּמָא דְּאוֹקְמוּהּ מ"מ. (יחזקאל כד) </w:t>
      </w:r>
      <w:r w:rsidRPr="00007309">
        <w:rPr>
          <w:rFonts w:cs="Arial"/>
          <w:b/>
          <w:bCs/>
          <w:sz w:val="36"/>
          <w:szCs w:val="28"/>
          <w:vertAlign w:val="superscript"/>
          <w:rtl/>
        </w:rPr>
        <w:footnoteReference w:id="6749"/>
      </w:r>
      <w:r w:rsidRPr="00007309">
        <w:rPr>
          <w:rFonts w:cs="Arial"/>
          <w:b/>
          <w:bCs/>
          <w:sz w:val="24"/>
          <w:szCs w:val="24"/>
          <w:rtl/>
        </w:rPr>
        <w:t>פְּאֵרְךָ חָבוּשׁ עָלֶיךָ, אֵלּוּ תְּפִלִּין כְּמָא דְּאוֹקְמוּהּ לְעֵיל. וּמִיָּד דְּקָשִׁיר לוֹן צָרִיךְ לְיַחֲדָא לוֹן בְּיִחוּדָא דְּאֶחָד</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6750"/>
      </w:r>
      <w:r w:rsidRPr="00007309">
        <w:rPr>
          <w:rFonts w:cs="Arial"/>
          <w:b/>
          <w:bCs/>
          <w:sz w:val="24"/>
          <w:szCs w:val="24"/>
          <w:rtl/>
        </w:rPr>
        <w:t xml:space="preserve">א"ח עִם ד', </w:t>
      </w:r>
      <w:r w:rsidRPr="00007309">
        <w:rPr>
          <w:rFonts w:cs="Arial"/>
          <w:b/>
          <w:bCs/>
          <w:sz w:val="36"/>
          <w:szCs w:val="28"/>
          <w:vertAlign w:val="superscript"/>
          <w:rtl/>
        </w:rPr>
        <w:footnoteReference w:id="6751"/>
      </w:r>
      <w:r w:rsidRPr="00007309">
        <w:rPr>
          <w:rFonts w:cs="Arial"/>
          <w:b/>
          <w:bCs/>
          <w:sz w:val="24"/>
          <w:szCs w:val="24"/>
          <w:rtl/>
        </w:rPr>
        <w:t xml:space="preserve">דְּאִיהִי כְּלִילָא מֵאַרְבַּע פַּרְשִׁיַּן דִּתְפִלִּין, וְאִיהִי רְבִיעִית </w:t>
      </w:r>
      <w:r w:rsidRPr="00007309">
        <w:rPr>
          <w:rFonts w:cs="Arial"/>
          <w:b/>
          <w:bCs/>
          <w:sz w:val="36"/>
          <w:szCs w:val="28"/>
          <w:vertAlign w:val="superscript"/>
          <w:rtl/>
        </w:rPr>
        <w:footnoteReference w:id="6752"/>
      </w:r>
      <w:r w:rsidRPr="00007309">
        <w:rPr>
          <w:rFonts w:cs="Arial"/>
          <w:b/>
          <w:bCs/>
          <w:sz w:val="24"/>
          <w:szCs w:val="24"/>
          <w:rtl/>
        </w:rPr>
        <w:t>לְד' אַתְוָן דְּקוּדְשָׁא בְּרִיךְ הוּא. ה' רְבִיעָאָה</w:t>
      </w:r>
      <w:r w:rsidRPr="00007309">
        <w:rPr>
          <w:rFonts w:cs="Arial" w:hint="cs"/>
          <w:b/>
          <w:bCs/>
          <w:sz w:val="24"/>
          <w:szCs w:val="24"/>
          <w:rtl/>
        </w:rPr>
        <w:t>,</w:t>
      </w:r>
      <w:r w:rsidRPr="00007309">
        <w:rPr>
          <w:rFonts w:cs="Arial"/>
          <w:b/>
          <w:bCs/>
          <w:sz w:val="24"/>
          <w:szCs w:val="24"/>
          <w:rtl/>
        </w:rPr>
        <w:t xml:space="preserve"> שְׁלִימוּ דְּשֵׁם יהו'ה, </w:t>
      </w:r>
      <w:r w:rsidRPr="00007309">
        <w:rPr>
          <w:rFonts w:cs="Arial"/>
          <w:b/>
          <w:bCs/>
          <w:sz w:val="36"/>
          <w:szCs w:val="28"/>
          <w:vertAlign w:val="superscript"/>
          <w:rtl/>
        </w:rPr>
        <w:footnoteReference w:id="6753"/>
      </w:r>
      <w:r w:rsidRPr="00007309">
        <w:rPr>
          <w:rFonts w:cs="Arial"/>
          <w:b/>
          <w:bCs/>
          <w:sz w:val="24"/>
          <w:szCs w:val="24"/>
          <w:rtl/>
        </w:rPr>
        <w:t>וְאִיהִי קוֹצָא דְּאָת דָּלֶ"ת</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6754"/>
      </w:r>
      <w:r w:rsidRPr="00007309">
        <w:rPr>
          <w:rFonts w:cs="Arial"/>
          <w:b/>
          <w:bCs/>
          <w:sz w:val="24"/>
          <w:szCs w:val="24"/>
          <w:rtl/>
        </w:rPr>
        <w:t xml:space="preserve">עֲשִׂירִית לא"ח, דְּאִיהוּ תֵּשַׁע בְּחֻשְׁבָּן, וּבָהּ אִשְׁתְּלִים לַעֲשָׂרָה. כְּגַוְנָא דָּא יוּ"ד הֵ"א וָא"ו הֵ"א, וְהָא אוֹקְמוּהּ. </w:t>
      </w:r>
      <w:r w:rsidRPr="00007309">
        <w:rPr>
          <w:rFonts w:cs="Arial"/>
          <w:b/>
          <w:bCs/>
          <w:sz w:val="36"/>
          <w:szCs w:val="28"/>
          <w:vertAlign w:val="superscript"/>
          <w:rtl/>
        </w:rPr>
        <w:footnoteReference w:id="6755"/>
      </w:r>
      <w:r w:rsidRPr="00007309">
        <w:rPr>
          <w:rFonts w:cs="Arial"/>
          <w:b/>
          <w:bCs/>
          <w:sz w:val="24"/>
          <w:szCs w:val="24"/>
          <w:rtl/>
        </w:rPr>
        <w:t xml:space="preserve">וּבְגִין דָּא תַּקִּינוּ לְמִקְרֵי קְרִיאַת שְׁמַע בִּתְפִלִּין. וְאוֹקְמוּהּ מ"מ, דְּמָאן דְּקָארֵי קְרִיאַת שְׁמַע בְּלֹא תְּפִלִּין, כְּאִלּוּ </w:t>
      </w:r>
      <w:r w:rsidRPr="00007309">
        <w:rPr>
          <w:rFonts w:cs="Arial"/>
          <w:b/>
          <w:bCs/>
          <w:sz w:val="36"/>
          <w:szCs w:val="28"/>
          <w:vertAlign w:val="superscript"/>
          <w:rtl/>
        </w:rPr>
        <w:footnoteReference w:id="6756"/>
      </w:r>
      <w:r w:rsidRPr="00007309">
        <w:rPr>
          <w:rFonts w:cs="Arial"/>
          <w:b/>
          <w:bCs/>
          <w:sz w:val="24"/>
          <w:szCs w:val="24"/>
          <w:rtl/>
        </w:rPr>
        <w:t>סָהִי</w:t>
      </w:r>
      <w:r w:rsidRPr="00007309">
        <w:rPr>
          <w:rFonts w:cs="Arial" w:hint="cs"/>
          <w:b/>
          <w:bCs/>
          <w:sz w:val="24"/>
          <w:szCs w:val="24"/>
          <w:rtl/>
        </w:rPr>
        <w:t>ד</w:t>
      </w:r>
      <w:r w:rsidRPr="00007309">
        <w:rPr>
          <w:rFonts w:cs="Arial"/>
          <w:b/>
          <w:bCs/>
          <w:sz w:val="24"/>
          <w:szCs w:val="24"/>
          <w:rtl/>
        </w:rPr>
        <w:t xml:space="preserve"> סַהֲ</w:t>
      </w:r>
      <w:r w:rsidRPr="00007309">
        <w:rPr>
          <w:rFonts w:cs="Arial" w:hint="cs"/>
          <w:b/>
          <w:bCs/>
          <w:sz w:val="24"/>
          <w:szCs w:val="24"/>
          <w:rtl/>
        </w:rPr>
        <w:t>ד</w:t>
      </w:r>
      <w:r w:rsidRPr="00007309">
        <w:rPr>
          <w:rFonts w:cs="Arial"/>
          <w:b/>
          <w:bCs/>
          <w:sz w:val="24"/>
          <w:szCs w:val="24"/>
          <w:rtl/>
        </w:rPr>
        <w:t>וּתָא דְּשִׁקְרָא. וְקִשּׁוּרָא דְּקוּדְשָׁא בְּרִיךְ הוּא וּשְׁכִינְתָּא</w:t>
      </w:r>
      <w:r w:rsidRPr="00007309">
        <w:rPr>
          <w:rFonts w:cs="Arial" w:hint="cs"/>
          <w:b/>
          <w:bCs/>
          <w:sz w:val="24"/>
          <w:szCs w:val="24"/>
          <w:rtl/>
        </w:rPr>
        <w:t>,</w:t>
      </w:r>
      <w:r w:rsidRPr="00007309">
        <w:rPr>
          <w:rFonts w:cs="Arial"/>
          <w:b/>
          <w:bCs/>
          <w:sz w:val="24"/>
          <w:szCs w:val="24"/>
          <w:rtl/>
        </w:rPr>
        <w:t xml:space="preserve"> צַדִּיק</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6757"/>
      </w:r>
      <w:r w:rsidRPr="00007309">
        <w:rPr>
          <w:rFonts w:cs="Arial"/>
          <w:b/>
          <w:bCs/>
          <w:sz w:val="24"/>
          <w:szCs w:val="24"/>
          <w:rtl/>
        </w:rPr>
        <w:t xml:space="preserve">אוֹת דִּתְפִלִּין. וּבְהַהוּא זִמְנָא דְּקָשִׁיר לוֹן בֵּהּ לְקוּדְשָׁא בְּרִיךְ הוּא וּשְׁכִינְתֵּהּ, </w:t>
      </w:r>
      <w:r w:rsidRPr="00007309">
        <w:rPr>
          <w:rFonts w:cs="Arial"/>
          <w:b/>
          <w:bCs/>
          <w:sz w:val="36"/>
          <w:szCs w:val="28"/>
          <w:vertAlign w:val="superscript"/>
          <w:rtl/>
        </w:rPr>
        <w:footnoteReference w:id="6758"/>
      </w:r>
      <w:r w:rsidRPr="00007309">
        <w:rPr>
          <w:rFonts w:cs="Arial"/>
          <w:b/>
          <w:bCs/>
          <w:sz w:val="24"/>
          <w:szCs w:val="24"/>
          <w:rtl/>
        </w:rPr>
        <w:t xml:space="preserve">מָאן דְּשָׂח בֵּינְתַיִם עֲבֵרָה הִיא בְּיָדוֹ. </w:t>
      </w:r>
    </w:p>
    <w:p w:rsidR="00007309" w:rsidRPr="00007309" w:rsidRDefault="00007309" w:rsidP="00007309">
      <w:pPr>
        <w:keepNext/>
        <w:spacing w:before="240" w:after="60"/>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[וילנא יד ע"א]</w:t>
      </w:r>
    </w:p>
    <w:p w:rsidR="00007309" w:rsidRPr="00007309" w:rsidRDefault="00007309" w:rsidP="00007309">
      <w:pPr>
        <w:jc w:val="both"/>
        <w:rPr>
          <w:rFonts w:cs="Arial"/>
          <w:b/>
          <w:bCs/>
          <w:sz w:val="24"/>
          <w:szCs w:val="24"/>
          <w:rtl/>
        </w:rPr>
      </w:pPr>
      <w:r w:rsidRPr="00007309">
        <w:rPr>
          <w:rFonts w:cs="Arial"/>
          <w:b/>
          <w:bCs/>
          <w:sz w:val="24"/>
          <w:szCs w:val="24"/>
          <w:rtl/>
        </w:rPr>
        <w:t xml:space="preserve">וּתְפִלִּין דְּרֵישָׁא אִיהוּ תְּפִלִּין אִימָּא </w:t>
      </w:r>
      <w:r w:rsidRPr="00007309">
        <w:rPr>
          <w:rFonts w:cs="Arial" w:hint="cs"/>
          <w:sz w:val="24"/>
          <w:szCs w:val="24"/>
          <w:rtl/>
        </w:rPr>
        <w:t>(</w:t>
      </w:r>
      <w:r w:rsidRPr="00007309">
        <w:rPr>
          <w:rFonts w:cs="Arial"/>
          <w:sz w:val="24"/>
          <w:szCs w:val="24"/>
          <w:rtl/>
        </w:rPr>
        <w:t>דְּקַשְּׁרַת לֵהּ לְקוּדְשָׁא בְּרִיךְ הוּא</w:t>
      </w:r>
      <w:r w:rsidRPr="00007309">
        <w:rPr>
          <w:rFonts w:cs="Arial" w:hint="cs"/>
          <w:sz w:val="24"/>
          <w:szCs w:val="24"/>
          <w:rtl/>
        </w:rPr>
        <w:t>)</w:t>
      </w:r>
      <w:r w:rsidRPr="00007309">
        <w:rPr>
          <w:rFonts w:cs="Arial"/>
          <w:b/>
          <w:bCs/>
          <w:sz w:val="24"/>
          <w:szCs w:val="24"/>
          <w:rtl/>
        </w:rPr>
        <w:t xml:space="preserve"> דְּקוּדְשָׁא בְּרִיךְ הוּא. </w:t>
      </w:r>
      <w:r w:rsidRPr="00007309">
        <w:rPr>
          <w:rFonts w:cs="Arial"/>
          <w:b/>
          <w:bCs/>
          <w:sz w:val="36"/>
          <w:szCs w:val="28"/>
          <w:vertAlign w:val="superscript"/>
          <w:rtl/>
        </w:rPr>
        <w:footnoteReference w:id="6759"/>
      </w:r>
      <w:r w:rsidRPr="00007309">
        <w:rPr>
          <w:rFonts w:cs="Arial"/>
          <w:b/>
          <w:bCs/>
          <w:sz w:val="24"/>
          <w:szCs w:val="24"/>
          <w:rtl/>
        </w:rPr>
        <w:t>עֲלָהּ אִתְּמַר וּבִזְרוֹעַ עֻזּוֹ</w:t>
      </w:r>
      <w:r w:rsidRPr="00007309">
        <w:rPr>
          <w:rFonts w:cs="Arial" w:hint="cs"/>
          <w:b/>
          <w:bCs/>
          <w:sz w:val="24"/>
          <w:szCs w:val="24"/>
          <w:rtl/>
        </w:rPr>
        <w:t>,</w:t>
      </w:r>
      <w:r w:rsidRPr="00007309">
        <w:rPr>
          <w:rFonts w:cs="Arial"/>
          <w:b/>
          <w:bCs/>
          <w:sz w:val="24"/>
          <w:szCs w:val="24"/>
          <w:rtl/>
        </w:rPr>
        <w:t xml:space="preserve"> כְּמָא דְּאוֹקְמוּהוּ מ"מ (ישעיה סב) נִשְׁבַּע ה' בִּימִינוֹ זוֹ תּוֹרָה, וּבִזְרוֹעַ עֻזּוֹ אֵלּוּ תְּפִלִּין שֶׁבָּרֹאשׁ. גְּבוּרָה </w:t>
      </w:r>
      <w:r w:rsidRPr="00007309">
        <w:rPr>
          <w:rFonts w:cs="Arial"/>
          <w:b/>
          <w:bCs/>
          <w:sz w:val="36"/>
          <w:szCs w:val="28"/>
          <w:vertAlign w:val="superscript"/>
          <w:rtl/>
        </w:rPr>
        <w:footnoteReference w:id="6760"/>
      </w:r>
      <w:r w:rsidRPr="00007309">
        <w:rPr>
          <w:rFonts w:cs="Arial"/>
          <w:b/>
          <w:bCs/>
          <w:sz w:val="24"/>
          <w:szCs w:val="24"/>
          <w:rtl/>
        </w:rPr>
        <w:t>אִיהִי זְרוֹע דִּילֵהּ וְאִיהִי</w:t>
      </w:r>
      <w:r w:rsidRPr="00007309">
        <w:rPr>
          <w:rFonts w:cs="Arial" w:hint="cs"/>
          <w:b/>
          <w:bCs/>
          <w:sz w:val="24"/>
          <w:szCs w:val="24"/>
          <w:rtl/>
        </w:rPr>
        <w:t xml:space="preserve"> </w:t>
      </w:r>
      <w:r w:rsidRPr="00007309">
        <w:rPr>
          <w:rFonts w:ascii="Cambria" w:hAnsi="Cambria" w:cs="Times New Roman" w:hint="cs"/>
          <w:b/>
          <w:bCs/>
          <w:i/>
          <w:iCs/>
          <w:color w:val="4F81BD"/>
          <w:sz w:val="24"/>
          <w:szCs w:val="24"/>
          <w:rtl/>
        </w:rPr>
        <w:t>(וילנא יד ע"א)</w:t>
      </w:r>
      <w:r w:rsidRPr="00007309">
        <w:rPr>
          <w:rFonts w:cs="Arial" w:hint="cs"/>
          <w:b/>
          <w:bCs/>
          <w:sz w:val="24"/>
          <w:szCs w:val="24"/>
          <w:rtl/>
        </w:rPr>
        <w:t xml:space="preserve"> </w:t>
      </w:r>
      <w:r w:rsidRPr="00007309">
        <w:rPr>
          <w:rFonts w:cs="Arial"/>
          <w:b/>
          <w:bCs/>
          <w:sz w:val="24"/>
          <w:szCs w:val="24"/>
          <w:rtl/>
        </w:rPr>
        <w:t>עֻזּוֹ, וְהָא אוֹקְמוּהּ</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6761"/>
      </w:r>
      <w:r w:rsidRPr="00007309">
        <w:rPr>
          <w:rFonts w:cs="Arial"/>
          <w:b/>
          <w:bCs/>
          <w:sz w:val="24"/>
          <w:szCs w:val="24"/>
          <w:rtl/>
        </w:rPr>
        <w:t xml:space="preserve">וּשְׁכִינַת עֻזּוֹ </w:t>
      </w:r>
      <w:r w:rsidRPr="00007309">
        <w:rPr>
          <w:rFonts w:cs="Arial"/>
          <w:b/>
          <w:bCs/>
          <w:sz w:val="36"/>
          <w:szCs w:val="28"/>
          <w:vertAlign w:val="superscript"/>
          <w:rtl/>
        </w:rPr>
        <w:footnoteReference w:id="6762"/>
      </w:r>
      <w:r w:rsidRPr="00007309">
        <w:rPr>
          <w:rFonts w:cs="Arial"/>
          <w:b/>
          <w:bCs/>
          <w:sz w:val="24"/>
          <w:szCs w:val="24"/>
          <w:rtl/>
        </w:rPr>
        <w:t xml:space="preserve">בְּגַבְהֵי מְרוֹמִים </w:t>
      </w:r>
      <w:r w:rsidRPr="00007309">
        <w:rPr>
          <w:rFonts w:cs="Arial"/>
          <w:b/>
          <w:bCs/>
          <w:sz w:val="36"/>
          <w:szCs w:val="28"/>
          <w:vertAlign w:val="superscript"/>
          <w:rtl/>
        </w:rPr>
        <w:footnoteReference w:id="6763"/>
      </w:r>
      <w:r w:rsidRPr="00007309">
        <w:rPr>
          <w:rFonts w:cs="Arial"/>
          <w:b/>
          <w:bCs/>
          <w:sz w:val="24"/>
          <w:szCs w:val="24"/>
          <w:rtl/>
        </w:rPr>
        <w:t>הוּא אֱלֹהֵינוּ</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6764"/>
      </w:r>
      <w:r w:rsidRPr="00007309">
        <w:rPr>
          <w:rFonts w:cs="Arial"/>
          <w:b/>
          <w:bCs/>
          <w:sz w:val="24"/>
          <w:szCs w:val="24"/>
          <w:rtl/>
        </w:rPr>
        <w:t>מִסִּטְרָא דִּילֵהּ תְּפִלָּה דְּיָד אֵינָהּ מְעַכֶּבֶת שֶׁל רֹאשׁ וְכוּ'</w:t>
      </w:r>
      <w:r w:rsidRPr="00007309">
        <w:rPr>
          <w:rFonts w:cs="Arial" w:hint="cs"/>
          <w:b/>
          <w:bCs/>
          <w:sz w:val="24"/>
          <w:szCs w:val="24"/>
          <w:rtl/>
        </w:rPr>
        <w:t>,</w:t>
      </w:r>
      <w:r w:rsidRPr="00007309">
        <w:rPr>
          <w:rFonts w:cs="Arial"/>
          <w:b/>
          <w:bCs/>
          <w:sz w:val="24"/>
          <w:szCs w:val="24"/>
          <w:rtl/>
        </w:rPr>
        <w:t xml:space="preserve"> דְּכָל חַד אִיהִי מִצְוָה בִּפְנֵי עַצְמָהּ. מִסִּטְרָא דְּאִמָּא אִנּוּן הֲוָיוֹת בְּאֶמְצַע כְּמָא דְּאוֹקְמוּהּ. וְהָא אִתְּמַר. </w:t>
      </w:r>
      <w:r w:rsidRPr="00007309">
        <w:rPr>
          <w:rFonts w:cs="Arial"/>
          <w:b/>
          <w:bCs/>
          <w:sz w:val="36"/>
          <w:szCs w:val="28"/>
          <w:vertAlign w:val="superscript"/>
          <w:rtl/>
        </w:rPr>
        <w:footnoteReference w:id="6765"/>
      </w:r>
      <w:r w:rsidRPr="00007309">
        <w:rPr>
          <w:rFonts w:cs="Arial"/>
          <w:b/>
          <w:bCs/>
          <w:sz w:val="24"/>
          <w:szCs w:val="24"/>
          <w:rtl/>
        </w:rPr>
        <w:t xml:space="preserve">וּבְגִין דְּלָא בְּקִיאִין אִלֵּין דְּדָרָא בַּתְרָאָה, שַׁוְיָן תְּרֵין זוּגִין דִּתְפִלִּין, דְּלָא יַדְעִין בְּרָזָא דָּא [דתרוויהו אצטריכו </w:t>
      </w:r>
      <w:r w:rsidRPr="00007309">
        <w:rPr>
          <w:rFonts w:cs="Arial"/>
          <w:sz w:val="24"/>
          <w:szCs w:val="24"/>
          <w:rtl/>
        </w:rPr>
        <w:t>(כ"ה הנוסחא בס' מצת שמורים ע"ש)</w:t>
      </w:r>
      <w:r w:rsidRPr="00007309">
        <w:rPr>
          <w:rFonts w:cs="Arial"/>
          <w:b/>
          <w:bCs/>
          <w:sz w:val="24"/>
          <w:szCs w:val="24"/>
          <w:rtl/>
        </w:rPr>
        <w:t>].</w:t>
      </w:r>
    </w:p>
    <w:p w:rsidR="00007309" w:rsidRPr="00007309" w:rsidRDefault="00007309" w:rsidP="00007309">
      <w:pPr>
        <w:jc w:val="both"/>
        <w:rPr>
          <w:rFonts w:cs="Arial"/>
          <w:b/>
          <w:bCs/>
          <w:sz w:val="24"/>
          <w:szCs w:val="24"/>
          <w:rtl/>
        </w:rPr>
      </w:pPr>
      <w:r w:rsidRPr="00007309">
        <w:rPr>
          <w:rFonts w:cs="Arial"/>
          <w:b/>
          <w:bCs/>
          <w:sz w:val="36"/>
          <w:szCs w:val="28"/>
          <w:vertAlign w:val="superscript"/>
          <w:rtl/>
        </w:rPr>
        <w:footnoteReference w:id="6766"/>
      </w:r>
      <w:r w:rsidRPr="00007309">
        <w:rPr>
          <w:rFonts w:cs="Arial"/>
          <w:b/>
          <w:bCs/>
          <w:sz w:val="24"/>
          <w:szCs w:val="24"/>
          <w:rtl/>
        </w:rPr>
        <w:t xml:space="preserve">וְעוֹד מָאן דְּשַׁוֵּי תְּפִלִּין כַּדְקָא חֲזֵי, הַאי אִיהוּ מְקַיִּם מִצְוָה בְּמַאֲמָרָהּ. </w:t>
      </w:r>
      <w:r w:rsidRPr="00007309">
        <w:rPr>
          <w:rFonts w:cs="Arial"/>
          <w:b/>
          <w:bCs/>
          <w:sz w:val="36"/>
          <w:szCs w:val="28"/>
          <w:vertAlign w:val="superscript"/>
          <w:rtl/>
        </w:rPr>
        <w:footnoteReference w:id="6767"/>
      </w:r>
      <w:r w:rsidRPr="00007309">
        <w:rPr>
          <w:rFonts w:cs="Arial"/>
          <w:b/>
          <w:bCs/>
          <w:sz w:val="24"/>
          <w:szCs w:val="24"/>
          <w:rtl/>
        </w:rPr>
        <w:t xml:space="preserve">וּכְגַוְנָא דְּצַדִּיק אִיהוּ אוֹת דְּאָחִיד בֵּין קוּדְשָׁא בְּרִיךְ הוּא וּשְׁכִינְתֵּהּ, הָכֵי אִיהוּ אָחִיד בְּתַרְוַיְהוּ בְּחַ"י בִּרְכָּאן דִּצְלוֹתָא. וְאִתְּמַר בִּתְפִלִּין שָׂח בֵּינְתַיִם עֲבֵרָה הִיא בְּיָדוֹ. וְאִתְּמַר בִּצְלוֹתָא וַאֲפִלּוּ נָחָשׁ </w:t>
      </w:r>
      <w:r w:rsidRPr="00007309">
        <w:rPr>
          <w:rFonts w:cs="Arial" w:hint="cs"/>
          <w:b/>
          <w:bCs/>
          <w:sz w:val="24"/>
          <w:szCs w:val="24"/>
          <w:rtl/>
        </w:rPr>
        <w:t xml:space="preserve">כרוך </w:t>
      </w:r>
      <w:r w:rsidRPr="00007309">
        <w:rPr>
          <w:rFonts w:cs="Arial"/>
          <w:b/>
          <w:bCs/>
          <w:sz w:val="24"/>
          <w:szCs w:val="24"/>
          <w:rtl/>
        </w:rPr>
        <w:t xml:space="preserve">עַל עֲקֵבוֹ לֹא יַפְסִיק. זַכָּאָה פּוּמָא דְּבִצְלוֹתָא עָבִיד בֵּהּ מִשְׁכָּב </w:t>
      </w:r>
      <w:r w:rsidRPr="00007309">
        <w:rPr>
          <w:rFonts w:cs="Arial"/>
          <w:b/>
          <w:bCs/>
          <w:sz w:val="36"/>
          <w:szCs w:val="28"/>
          <w:vertAlign w:val="superscript"/>
          <w:rtl/>
        </w:rPr>
        <w:footnoteReference w:id="6768"/>
      </w:r>
      <w:r w:rsidRPr="00007309">
        <w:rPr>
          <w:rFonts w:cs="Arial"/>
          <w:b/>
          <w:bCs/>
          <w:sz w:val="24"/>
          <w:szCs w:val="24"/>
          <w:rtl/>
        </w:rPr>
        <w:t>לִשְׁכִינְתָּא</w:t>
      </w:r>
      <w:r w:rsidRPr="00007309">
        <w:rPr>
          <w:rFonts w:cs="Arial" w:hint="cs"/>
          <w:b/>
          <w:bCs/>
          <w:sz w:val="24"/>
          <w:szCs w:val="24"/>
          <w:rtl/>
        </w:rPr>
        <w:t>,</w:t>
      </w:r>
      <w:r w:rsidRPr="00007309">
        <w:rPr>
          <w:rFonts w:cs="Arial"/>
          <w:b/>
          <w:bCs/>
          <w:sz w:val="24"/>
          <w:szCs w:val="24"/>
          <w:rtl/>
        </w:rPr>
        <w:t xml:space="preserve"> וְהָא אִיהוּ (תהלים סח) אֵם תִּשְׁכְּבוּן בֵּין שְׁפַתָּיִם</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6769"/>
      </w:r>
      <w:r w:rsidRPr="00007309">
        <w:rPr>
          <w:rFonts w:cs="Arial"/>
          <w:b/>
          <w:bCs/>
          <w:sz w:val="24"/>
          <w:szCs w:val="24"/>
          <w:rtl/>
        </w:rPr>
        <w:t xml:space="preserve">דִּבְהוֹן אֲדֹנָי שְׂפָתַי תִּפְתָּח לְמִשְׁכְּבָא בְּהוֹן אִימָּא עִלָּאָה דְּאִתְּמַר בַּהּ (דברים כב) וְהָאֵם רוֹבֶצֶת עַל הָאֶפְרוֹחִים. דִּבְזִמְנָא דְּאִיהִי פְּרִישַׁת גַּדְפָּהָא עַל גּוֹזָלַיָּא, דְּאִנּוּן יִשְׂרָאֵל, בְּשַׁבָּתוֹת וְיוֹמִין טָבִין כְּמָא דְּאוֹקְמוּהּ הַפּוֹרֵשׂ סֻכַּת שָׁלוֹם עָלֵינוּ, </w:t>
      </w:r>
      <w:r w:rsidRPr="00007309">
        <w:rPr>
          <w:rFonts w:cs="Arial"/>
          <w:b/>
          <w:bCs/>
          <w:sz w:val="36"/>
          <w:szCs w:val="28"/>
          <w:vertAlign w:val="superscript"/>
          <w:rtl/>
        </w:rPr>
        <w:footnoteReference w:id="6770"/>
      </w:r>
      <w:r w:rsidRPr="00007309">
        <w:rPr>
          <w:rFonts w:cs="Arial"/>
          <w:b/>
          <w:bCs/>
          <w:sz w:val="24"/>
          <w:szCs w:val="24"/>
          <w:rtl/>
        </w:rPr>
        <w:t>אִשְׁתְּכָחוּ בְּחֵירוּ מִכָּל אֻמִּין דְּעָלְמָא</w:t>
      </w:r>
      <w:r w:rsidRPr="00007309">
        <w:rPr>
          <w:rFonts w:cs="Arial" w:hint="cs"/>
          <w:b/>
          <w:bCs/>
          <w:sz w:val="24"/>
          <w:szCs w:val="24"/>
          <w:rtl/>
        </w:rPr>
        <w:t xml:space="preserve"> </w:t>
      </w:r>
      <w:r w:rsidRPr="00007309">
        <w:rPr>
          <w:rFonts w:cs="Arial"/>
          <w:b/>
          <w:bCs/>
          <w:sz w:val="24"/>
          <w:szCs w:val="24"/>
          <w:rtl/>
        </w:rPr>
        <w:t>פָּלְחֵי</w:t>
      </w:r>
      <w:r w:rsidRPr="00007309">
        <w:rPr>
          <w:rFonts w:cs="Arial"/>
          <w:b/>
          <w:bCs/>
          <w:sz w:val="24"/>
          <w:szCs w:val="24"/>
        </w:rPr>
        <w:t xml:space="preserve"> </w:t>
      </w:r>
      <w:r w:rsidRPr="00007309">
        <w:rPr>
          <w:rFonts w:cs="Arial"/>
          <w:b/>
          <w:bCs/>
          <w:sz w:val="24"/>
          <w:szCs w:val="24"/>
          <w:rtl/>
        </w:rPr>
        <w:t>כּוֹכְבַיָּא. וּבְגִין דָּא בְּשַׁבָּתוֹת וְיוֹמִין טָבִין דְּאִיהִי רוֹבֶצֶת עַל יִשְׂרָאֵל, לֵית לוֹן דְּחִילוּ מִכָּל מְקַטְרְגִין דְּעָלְמָא. וְכַד יֵיתֵי יוֹמִין דְּחֹל אִתְּמַר בּוֹ (שם) שַׁלַּח תְּשַׁלַּח אֶת הָאֵם.</w:t>
      </w:r>
    </w:p>
    <w:p w:rsidR="00007309" w:rsidRPr="00007309" w:rsidRDefault="00007309" w:rsidP="00007309">
      <w:pPr>
        <w:keepNext/>
        <w:outlineLvl w:val="1"/>
        <w:rPr>
          <w:rFonts w:ascii="Cambria" w:hAnsi="Cambria" w:cs="Times New Roman"/>
          <w:b/>
          <w:bCs/>
          <w:i/>
          <w:iCs/>
          <w:sz w:val="28"/>
          <w:szCs w:val="28"/>
          <w:rtl/>
        </w:rPr>
      </w:pPr>
      <w:r w:rsidRPr="00007309">
        <w:rPr>
          <w:rFonts w:ascii="Cambria" w:hAnsi="Cambria" w:cs="Times New Roman" w:hint="cs"/>
          <w:b/>
          <w:bCs/>
          <w:i/>
          <w:iCs/>
          <w:sz w:val="28"/>
          <w:szCs w:val="28"/>
          <w:rtl/>
        </w:rPr>
        <w:t>[דף עז ע"ג]</w:t>
      </w:r>
    </w:p>
    <w:p w:rsidR="00007309" w:rsidRPr="00007309" w:rsidRDefault="00007309" w:rsidP="00007309">
      <w:pPr>
        <w:jc w:val="both"/>
        <w:rPr>
          <w:rFonts w:cs="Arial"/>
          <w:b/>
          <w:bCs/>
          <w:sz w:val="24"/>
          <w:szCs w:val="24"/>
          <w:rtl/>
        </w:rPr>
      </w:pPr>
      <w:r w:rsidRPr="00007309">
        <w:rPr>
          <w:rFonts w:cs="Arial"/>
          <w:b/>
          <w:bCs/>
          <w:sz w:val="36"/>
          <w:szCs w:val="28"/>
          <w:vertAlign w:val="superscript"/>
          <w:rtl/>
        </w:rPr>
        <w:footnoteReference w:id="6771"/>
      </w:r>
      <w:r w:rsidRPr="00007309">
        <w:rPr>
          <w:rFonts w:cs="Arial"/>
          <w:b/>
          <w:bCs/>
          <w:sz w:val="24"/>
          <w:szCs w:val="24"/>
          <w:rtl/>
        </w:rPr>
        <w:t>וּמַאי אִית בֵּין שְׁכִינְתָּא עִלָּאָה לְתַתָּאה</w:t>
      </w:r>
      <w:r w:rsidRPr="00007309">
        <w:rPr>
          <w:rFonts w:cs="Arial" w:hint="cs"/>
          <w:b/>
          <w:bCs/>
          <w:sz w:val="24"/>
          <w:szCs w:val="24"/>
          <w:rtl/>
        </w:rPr>
        <w:t>,</w:t>
      </w:r>
      <w:r w:rsidRPr="00007309">
        <w:rPr>
          <w:rFonts w:cs="Arial"/>
          <w:b/>
          <w:bCs/>
          <w:sz w:val="24"/>
          <w:szCs w:val="24"/>
          <w:rtl/>
        </w:rPr>
        <w:t xml:space="preserve"> דְּכֹלָּא חַד</w:t>
      </w:r>
      <w:r w:rsidRPr="00007309">
        <w:rPr>
          <w:rFonts w:cs="Arial" w:hint="cs"/>
          <w:b/>
          <w:bCs/>
          <w:sz w:val="24"/>
          <w:szCs w:val="24"/>
          <w:rtl/>
        </w:rPr>
        <w:t>,</w:t>
      </w:r>
      <w:r w:rsidRPr="00007309">
        <w:rPr>
          <w:rFonts w:cs="Arial"/>
          <w:b/>
          <w:bCs/>
          <w:sz w:val="24"/>
          <w:szCs w:val="24"/>
          <w:rtl/>
        </w:rPr>
        <w:t xml:space="preserve"> אֶלָּא שְׁכִינְתָּא תַּתָּאָה אִיהִי כְּיוֹנָה, וְאִתְּמַר בָּהּ (תהלים סח) כַּנְפֵי יוֹנָה נֶחְפָּה בַּכֶּסֶף, צָרִיךְ לְכַסָּאָה לָהּ, דְּאִיהִי יִרְאָה וּדְחִילוּ אִשְׁתְּכַח מִסִּטְרָאָה. בְּגִין דְּאִנְטִילַת מִסִּטְרָא דִּגְבוּרָה, דְּתַמָּן סַמָּאֵ"ל לְמִתְבַּע דִּינִין. וּבְגִין דָּא צָרִיךְ לְכַסָּאָה לָהּ מִכַּמָּה מָארֵי דְּדִינִין, דְּלָא אִשְׁתְּמוֹדְעִין בֵּהּ. וּבְמַאי</w:t>
      </w:r>
      <w:r w:rsidRPr="00007309">
        <w:rPr>
          <w:rFonts w:cs="Arial" w:hint="cs"/>
          <w:b/>
          <w:bCs/>
          <w:sz w:val="24"/>
          <w:szCs w:val="24"/>
          <w:rtl/>
        </w:rPr>
        <w:t>,</w:t>
      </w:r>
      <w:r w:rsidRPr="00007309">
        <w:rPr>
          <w:rFonts w:cs="Arial"/>
          <w:b/>
          <w:bCs/>
          <w:sz w:val="24"/>
          <w:szCs w:val="24"/>
          <w:rtl/>
        </w:rPr>
        <w:t xml:space="preserve"> בְּכֶסֶף</w:t>
      </w:r>
      <w:r w:rsidRPr="00007309">
        <w:rPr>
          <w:rFonts w:cs="Arial" w:hint="cs"/>
          <w:b/>
          <w:bCs/>
          <w:sz w:val="24"/>
          <w:szCs w:val="24"/>
          <w:rtl/>
        </w:rPr>
        <w:t>,</w:t>
      </w:r>
      <w:r w:rsidRPr="00007309">
        <w:rPr>
          <w:rFonts w:cs="Arial"/>
          <w:b/>
          <w:bCs/>
          <w:sz w:val="24"/>
          <w:szCs w:val="24"/>
          <w:rtl/>
        </w:rPr>
        <w:t xml:space="preserve"> דְּאִיהוּ יְמִינָא. דִּבְגִינֵהּ אִתְּמַר כָּל הָעוֹסֵק </w:t>
      </w:r>
      <w:r w:rsidRPr="00007309">
        <w:rPr>
          <w:rFonts w:cs="Arial"/>
          <w:b/>
          <w:bCs/>
          <w:sz w:val="36"/>
          <w:szCs w:val="28"/>
          <w:vertAlign w:val="superscript"/>
          <w:rtl/>
        </w:rPr>
        <w:footnoteReference w:id="6772"/>
      </w:r>
      <w:r w:rsidRPr="00007309">
        <w:rPr>
          <w:rFonts w:cs="Arial"/>
          <w:b/>
          <w:bCs/>
          <w:sz w:val="24"/>
          <w:szCs w:val="24"/>
          <w:rtl/>
        </w:rPr>
        <w:t xml:space="preserve">בַּתּוֹרָה בַּלַּיְלָה הַקּוּדְשָׁא בְּרִיךְ הוּא מוֹשֵׁךְ עָלָיו שֶׁל חוּט חֶסֶד בַּיּוֹם. וּבְגִין דָּא נֶחְפָּה בַּכֶּסֶף לְרַשְּׁמָא לָהּ מִסִּטְרָא דְּרַחֲמֵי, דְּלָא יִשְׁתְּמוֹדָעִין בָּהּ מָארֵי דְּדִינָא. אֲבָל אִימָּא עִלָּאָה אִיהִי כְּנִשְׁרָא דְּלָא דְּחִילַת מִכָּל עוֹפִין דִּלְעֵלָּא. </w:t>
      </w:r>
      <w:r w:rsidRPr="00007309">
        <w:rPr>
          <w:rFonts w:cs="Arial"/>
          <w:b/>
          <w:bCs/>
          <w:sz w:val="36"/>
          <w:szCs w:val="28"/>
          <w:vertAlign w:val="superscript"/>
          <w:rtl/>
        </w:rPr>
        <w:footnoteReference w:id="6773"/>
      </w:r>
      <w:r w:rsidRPr="00007309">
        <w:rPr>
          <w:rFonts w:cs="Arial"/>
          <w:b/>
          <w:bCs/>
          <w:sz w:val="24"/>
          <w:szCs w:val="24"/>
          <w:rtl/>
        </w:rPr>
        <w:t xml:space="preserve">וְגַדְפִּין דִּילַהּ אִנּוּן מִסּוֹף עָלְמָא וְעַד סוֹף </w:t>
      </w:r>
      <w:r w:rsidRPr="00007309">
        <w:rPr>
          <w:rFonts w:ascii="Cambria" w:hAnsi="Cambria" w:cs="Times New Roman" w:hint="cs"/>
          <w:b/>
          <w:bCs/>
          <w:i/>
          <w:iCs/>
          <w:color w:val="4F81BD"/>
          <w:sz w:val="24"/>
          <w:szCs w:val="24"/>
          <w:rtl/>
        </w:rPr>
        <w:t>(דף עז ע"ג)</w:t>
      </w:r>
      <w:r w:rsidRPr="00007309">
        <w:rPr>
          <w:rFonts w:cs="Arial" w:hint="cs"/>
          <w:b/>
          <w:bCs/>
          <w:sz w:val="24"/>
          <w:szCs w:val="24"/>
          <w:rtl/>
        </w:rPr>
        <w:t xml:space="preserve"> </w:t>
      </w:r>
      <w:r w:rsidRPr="00007309">
        <w:rPr>
          <w:rFonts w:cs="Arial"/>
          <w:b/>
          <w:bCs/>
          <w:sz w:val="24"/>
          <w:szCs w:val="24"/>
          <w:rtl/>
        </w:rPr>
        <w:t xml:space="preserve">עָלְמָא. וּבְגִינַהּ אִתְּמַר (דברים לב) כַּנֶּשֶׁר יָעִיר קִנּוֹ, וְדָא יְרוּשָׁלַםִ. וְעָלֵהּ אִתְּמַר (שם כב) כִּי יִקָּרֵא קַן צִפּוֹר. דְּקֵן דִּילַהּ אִיהִי יְרוּשָׁלַםִ דִּלְעֵלָּא. וְקֵן דְּצִפּוֹר יְרוּשָׁלַםִ דִּלְתַתָּא. זַכָּאָה פּוּמָא דְּאִיהוּ קֵן דִּילַהּ. זַכָּאָה אוֹרַיְתָא וּצְלוֹתָא דְּאִיהִי קֵן לָהּ. זַכָּאָה נִשְׁמָתָא דְּאִיהִי קֵן דִּילַהּ. דְּכַד אִיהִי מְקַנְּנָא תַּמָּן לֹא דְּחִילַת מִכָּל מְקַטְרְגִין דְּעָלְמָא. וּבְגִין דָּא </w:t>
      </w:r>
      <w:r w:rsidRPr="00007309">
        <w:rPr>
          <w:rFonts w:cs="Arial"/>
          <w:b/>
          <w:bCs/>
          <w:sz w:val="36"/>
          <w:szCs w:val="28"/>
          <w:vertAlign w:val="superscript"/>
          <w:rtl/>
        </w:rPr>
        <w:footnoteReference w:id="6774"/>
      </w:r>
      <w:r w:rsidRPr="00007309">
        <w:rPr>
          <w:rFonts w:cs="Arial"/>
          <w:b/>
          <w:bCs/>
          <w:sz w:val="24"/>
          <w:szCs w:val="24"/>
          <w:rtl/>
        </w:rPr>
        <w:t>אִתְקְרִיאַת נִשְׁמַת כָּל</w:t>
      </w:r>
      <w:r w:rsidRPr="00007309">
        <w:rPr>
          <w:rFonts w:cs="Arial"/>
          <w:b/>
          <w:bCs/>
          <w:sz w:val="24"/>
          <w:szCs w:val="24"/>
        </w:rPr>
        <w:t xml:space="preserve"> </w:t>
      </w:r>
      <w:r w:rsidRPr="00007309">
        <w:rPr>
          <w:rFonts w:cs="Arial"/>
          <w:b/>
          <w:bCs/>
          <w:sz w:val="24"/>
          <w:szCs w:val="24"/>
          <w:rtl/>
        </w:rPr>
        <w:t>חַי</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6775"/>
      </w:r>
      <w:r w:rsidRPr="00007309">
        <w:rPr>
          <w:rFonts w:cs="Arial"/>
          <w:b/>
          <w:bCs/>
          <w:sz w:val="24"/>
          <w:szCs w:val="24"/>
          <w:rtl/>
        </w:rPr>
        <w:t>אִיהִי מְקַנֶּנֶת בִּצְלוֹתָא דְּשַׁבָּת</w:t>
      </w:r>
      <w:r w:rsidRPr="00007309">
        <w:rPr>
          <w:rFonts w:cs="Arial" w:hint="cs"/>
          <w:b/>
          <w:bCs/>
          <w:sz w:val="24"/>
          <w:szCs w:val="24"/>
          <w:rtl/>
        </w:rPr>
        <w:t>,</w:t>
      </w:r>
      <w:r w:rsidRPr="00007309">
        <w:rPr>
          <w:rFonts w:cs="Arial"/>
          <w:b/>
          <w:bCs/>
          <w:sz w:val="24"/>
          <w:szCs w:val="24"/>
          <w:rtl/>
        </w:rPr>
        <w:t xml:space="preserve"> וְצַדִּיק מִסִּטְרָא דִּילֵהּ אִתְקְרֵי יוֹם הַשְּׁבִיעִי</w:t>
      </w:r>
      <w:r w:rsidRPr="00007309">
        <w:rPr>
          <w:rFonts w:cs="Arial" w:hint="cs"/>
          <w:b/>
          <w:bCs/>
          <w:sz w:val="24"/>
          <w:szCs w:val="24"/>
          <w:rtl/>
        </w:rPr>
        <w:t>,</w:t>
      </w:r>
      <w:r w:rsidRPr="00007309">
        <w:rPr>
          <w:rFonts w:cs="Arial"/>
          <w:b/>
          <w:bCs/>
          <w:sz w:val="24"/>
          <w:szCs w:val="24"/>
          <w:rtl/>
        </w:rPr>
        <w:t xml:space="preserve"> כַּד חָשְׁבִין יוֹמִין מֵאִימָּא עִלָּאָה. </w:t>
      </w:r>
      <w:r w:rsidRPr="00007309">
        <w:rPr>
          <w:rFonts w:cs="Arial"/>
          <w:b/>
          <w:bCs/>
          <w:sz w:val="36"/>
          <w:szCs w:val="28"/>
          <w:vertAlign w:val="superscript"/>
          <w:rtl/>
        </w:rPr>
        <w:footnoteReference w:id="6776"/>
      </w:r>
      <w:r w:rsidRPr="00007309">
        <w:rPr>
          <w:rFonts w:cs="Arial"/>
          <w:b/>
          <w:bCs/>
          <w:sz w:val="24"/>
          <w:szCs w:val="24"/>
          <w:rtl/>
        </w:rPr>
        <w:t xml:space="preserve">וְאִיהִי יוֹמָא קַדְמָאָה דְּפֶסַח וְיוֹמָא קַדְמָאָה דְּסֻכּוֹת. </w:t>
      </w:r>
      <w:r w:rsidRPr="00007309">
        <w:rPr>
          <w:rFonts w:cs="Arial"/>
          <w:b/>
          <w:bCs/>
          <w:sz w:val="36"/>
          <w:szCs w:val="28"/>
          <w:vertAlign w:val="superscript"/>
          <w:rtl/>
        </w:rPr>
        <w:footnoteReference w:id="6777"/>
      </w:r>
      <w:r w:rsidRPr="00007309">
        <w:rPr>
          <w:rFonts w:cs="Arial"/>
          <w:b/>
          <w:bCs/>
          <w:sz w:val="24"/>
          <w:szCs w:val="24"/>
          <w:rtl/>
        </w:rPr>
        <w:t xml:space="preserve">וּשְׁכִינְתָּא תַּתָּאָה חַג שְׁמִינִי עֲצֶרֶת </w:t>
      </w:r>
      <w:r w:rsidRPr="00007309">
        <w:rPr>
          <w:rFonts w:cs="Arial"/>
          <w:b/>
          <w:bCs/>
          <w:sz w:val="36"/>
          <w:szCs w:val="28"/>
          <w:vertAlign w:val="superscript"/>
          <w:rtl/>
        </w:rPr>
        <w:footnoteReference w:id="6778"/>
      </w:r>
      <w:r w:rsidRPr="00007309">
        <w:rPr>
          <w:rFonts w:cs="Arial"/>
          <w:b/>
          <w:bCs/>
          <w:sz w:val="24"/>
          <w:szCs w:val="24"/>
          <w:rtl/>
        </w:rPr>
        <w:t xml:space="preserve">וְאִיהִי </w:t>
      </w:r>
      <w:r w:rsidRPr="00007309">
        <w:rPr>
          <w:rFonts w:cs="Arial"/>
          <w:b/>
          <w:bCs/>
          <w:sz w:val="36"/>
          <w:szCs w:val="28"/>
          <w:vertAlign w:val="superscript"/>
          <w:rtl/>
        </w:rPr>
        <w:footnoteReference w:id="6779"/>
      </w:r>
      <w:r w:rsidRPr="00007309">
        <w:rPr>
          <w:rFonts w:cs="Arial"/>
          <w:b/>
          <w:bCs/>
          <w:sz w:val="24"/>
          <w:szCs w:val="24"/>
          <w:rtl/>
        </w:rPr>
        <w:t xml:space="preserve">יוֹם מַתַּן תּוֹרָה </w:t>
      </w:r>
      <w:r w:rsidRPr="00007309">
        <w:rPr>
          <w:rFonts w:cs="Arial"/>
          <w:b/>
          <w:bCs/>
          <w:sz w:val="36"/>
          <w:szCs w:val="28"/>
          <w:vertAlign w:val="superscript"/>
          <w:rtl/>
        </w:rPr>
        <w:footnoteReference w:id="6780"/>
      </w:r>
      <w:r w:rsidRPr="00007309">
        <w:rPr>
          <w:rFonts w:cs="Arial"/>
          <w:b/>
          <w:bCs/>
          <w:sz w:val="24"/>
          <w:szCs w:val="24"/>
          <w:rtl/>
        </w:rPr>
        <w:t xml:space="preserve">וְאִיהִי יוֹם הַכִּפּוּרִים. כָּל צְלוֹתִין דְּכָל שַׁבָּתוֹת וְיוֹמִין טָבִין צְרִיכִין לְמֶעֱבַד לַהּ. וְהַאי אִיהוּ דְּאָמַר קְרָא (ויקרא כג) אֵלֶּה מוֹעֲדֵי ה' מִקְרָאֵי קֹדֶשׁ אֲשֶׁר תִּקְרְאוּ אוֹתָם בְּמוֹעֲדָם. </w:t>
      </w:r>
      <w:r w:rsidRPr="00007309">
        <w:rPr>
          <w:rFonts w:cs="Arial"/>
          <w:b/>
          <w:bCs/>
          <w:sz w:val="36"/>
          <w:szCs w:val="28"/>
          <w:vertAlign w:val="superscript"/>
          <w:rtl/>
        </w:rPr>
        <w:footnoteReference w:id="6781"/>
      </w:r>
      <w:r w:rsidRPr="00007309">
        <w:rPr>
          <w:rFonts w:cs="Arial"/>
          <w:b/>
          <w:bCs/>
          <w:sz w:val="24"/>
          <w:szCs w:val="24"/>
          <w:rtl/>
        </w:rPr>
        <w:t>מַאי מוֹעֲדָם</w:t>
      </w:r>
      <w:r w:rsidRPr="00007309">
        <w:rPr>
          <w:rFonts w:cs="Arial" w:hint="cs"/>
          <w:b/>
          <w:bCs/>
          <w:sz w:val="24"/>
          <w:szCs w:val="24"/>
          <w:rtl/>
        </w:rPr>
        <w:t>,</w:t>
      </w:r>
      <w:r w:rsidRPr="00007309">
        <w:rPr>
          <w:rFonts w:cs="Arial"/>
          <w:b/>
          <w:bCs/>
          <w:sz w:val="24"/>
          <w:szCs w:val="24"/>
          <w:rtl/>
        </w:rPr>
        <w:t xml:space="preserve"> אִימָּא עִלָּאָה. וְצָרִיךְ לְאַכְלְלָא בָּהּ עֶשֶׂר סְפִירוֹת. וְכַד אִיהִי סְלִיקַת, אִיהִי סְלִיקַת עַל עַמּוּדָא דְּאֶמְצָעִיתָא. וּבְגִין דָּא אָמַר שְׁלֹמֹה (משלי ל) דֶּרֶךְ הַנֶּשֶׁר בַּשָּׁמַיִם</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6782"/>
      </w:r>
      <w:r w:rsidRPr="00007309">
        <w:rPr>
          <w:rFonts w:cs="Arial"/>
          <w:b/>
          <w:bCs/>
          <w:sz w:val="24"/>
          <w:szCs w:val="24"/>
          <w:rtl/>
        </w:rPr>
        <w:t>עֲבִידַת אוֹרְחָא תַּמָּן</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6783"/>
      </w:r>
      <w:r w:rsidRPr="00007309">
        <w:rPr>
          <w:rFonts w:cs="Arial"/>
          <w:b/>
          <w:bCs/>
          <w:sz w:val="24"/>
          <w:szCs w:val="24"/>
          <w:rtl/>
        </w:rPr>
        <w:t>וְלֹא אִשְׁתְּמוֹדְעַת בֵּהּ אֶלָּא לְבַעְלָהּ</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6784"/>
      </w:r>
      <w:r w:rsidRPr="00007309">
        <w:rPr>
          <w:rFonts w:cs="Arial"/>
          <w:b/>
          <w:bCs/>
          <w:sz w:val="24"/>
          <w:szCs w:val="24"/>
          <w:rtl/>
        </w:rPr>
        <w:t>וַיֵּדַע אָדָם עוֹד אֶת אִשְׁתּוֹ</w:t>
      </w:r>
      <w:r w:rsidRPr="00007309">
        <w:rPr>
          <w:rFonts w:cs="Arial" w:hint="cs"/>
          <w:b/>
          <w:bCs/>
          <w:sz w:val="24"/>
          <w:szCs w:val="24"/>
          <w:rtl/>
        </w:rPr>
        <w:t>,</w:t>
      </w:r>
      <w:r w:rsidRPr="00007309">
        <w:rPr>
          <w:rFonts w:cs="Arial"/>
          <w:b/>
          <w:bCs/>
          <w:sz w:val="24"/>
          <w:szCs w:val="24"/>
          <w:rtl/>
        </w:rPr>
        <w:t xml:space="preserve"> אֶלָּא דְּסָלִיק לַהּ עִטְרָא עַל רֵישֵׁהּ</w:t>
      </w:r>
      <w:r w:rsidRPr="00007309">
        <w:rPr>
          <w:rFonts w:cs="Arial" w:hint="cs"/>
          <w:b/>
          <w:bCs/>
          <w:sz w:val="24"/>
          <w:szCs w:val="24"/>
          <w:rtl/>
        </w:rPr>
        <w:t>,</w:t>
      </w:r>
      <w:r w:rsidRPr="00007309">
        <w:rPr>
          <w:rFonts w:cs="Arial"/>
          <w:b/>
          <w:bCs/>
          <w:sz w:val="24"/>
          <w:szCs w:val="24"/>
          <w:rtl/>
        </w:rPr>
        <w:t xml:space="preserve"> תְּפִלִּין עַל הָרֹאשׁ. וְכַד סְלִיקַת כַּמָּה חַיָּלִין סְלִיקִין עִמַּהּ</w:t>
      </w:r>
      <w:r w:rsidRPr="00007309">
        <w:rPr>
          <w:rFonts w:cs="Arial" w:hint="cs"/>
          <w:b/>
          <w:bCs/>
          <w:sz w:val="24"/>
          <w:szCs w:val="24"/>
          <w:rtl/>
        </w:rPr>
        <w:t>,</w:t>
      </w:r>
      <w:r w:rsidRPr="00007309">
        <w:rPr>
          <w:rFonts w:cs="Arial"/>
          <w:b/>
          <w:bCs/>
          <w:sz w:val="24"/>
          <w:szCs w:val="24"/>
          <w:rtl/>
        </w:rPr>
        <w:t xml:space="preserve"> וְכַד נְחִיתַת כַּמָּה חַיָּלִין נַחְתִּין עִמָּהּ, וְאִתְקְרִיאוּ נְשָׁמוֹת יְתֵרוֹת דְּיַרְתִין עַמָּא קַדִּישָׁא. </w:t>
      </w:r>
      <w:r w:rsidRPr="00007309">
        <w:rPr>
          <w:rFonts w:cs="Arial"/>
          <w:b/>
          <w:bCs/>
          <w:sz w:val="36"/>
          <w:szCs w:val="28"/>
          <w:vertAlign w:val="superscript"/>
          <w:rtl/>
        </w:rPr>
        <w:footnoteReference w:id="6785"/>
      </w:r>
      <w:r w:rsidRPr="00007309">
        <w:rPr>
          <w:rFonts w:cs="Arial"/>
          <w:b/>
          <w:bCs/>
          <w:sz w:val="24"/>
          <w:szCs w:val="24"/>
          <w:rtl/>
        </w:rPr>
        <w:t xml:space="preserve">וּבְהוֹן אִית לוֹן נַיְיחָא לְיִשְׂרָאֵל בְּשַׁבָּתוֹת וְיוֹמִין טָבִין. </w:t>
      </w:r>
    </w:p>
    <w:p w:rsidR="00007309" w:rsidRPr="00007309" w:rsidRDefault="00007309" w:rsidP="00007309">
      <w:pPr>
        <w:jc w:val="both"/>
        <w:rPr>
          <w:rFonts w:cs="Arial"/>
          <w:b/>
          <w:bCs/>
          <w:sz w:val="24"/>
          <w:szCs w:val="24"/>
          <w:rtl/>
        </w:rPr>
      </w:pPr>
      <w:r w:rsidRPr="00007309">
        <w:rPr>
          <w:rFonts w:cs="Arial"/>
          <w:b/>
          <w:bCs/>
          <w:sz w:val="36"/>
          <w:szCs w:val="28"/>
          <w:vertAlign w:val="superscript"/>
          <w:rtl/>
        </w:rPr>
        <w:footnoteReference w:id="6786"/>
      </w:r>
      <w:r w:rsidRPr="00007309">
        <w:rPr>
          <w:rFonts w:cs="Arial"/>
          <w:b/>
          <w:bCs/>
          <w:sz w:val="24"/>
          <w:szCs w:val="24"/>
          <w:rtl/>
        </w:rPr>
        <w:t>וְיוֹנָה קַדִּישָׁא בְּכָל שִׁית יוֹמִין דְּחֹל אַזְלָא מְנַדְּדָא מִדּוֹךְ לְדוֹךְ</w:t>
      </w:r>
      <w:r w:rsidRPr="00007309">
        <w:rPr>
          <w:rFonts w:cs="Arial" w:hint="cs"/>
          <w:b/>
          <w:bCs/>
          <w:sz w:val="24"/>
          <w:szCs w:val="24"/>
          <w:rtl/>
        </w:rPr>
        <w:t xml:space="preserve">. </w:t>
      </w:r>
      <w:r w:rsidRPr="00007309">
        <w:rPr>
          <w:rFonts w:cs="Arial"/>
          <w:b/>
          <w:bCs/>
          <w:sz w:val="24"/>
          <w:szCs w:val="24"/>
          <w:rtl/>
        </w:rPr>
        <w:t>וְאִם אַשְׁכְּחַת צַדִּיק בְּעָלְמָא אִתְדַּבְּקַת בֵהּ. אִם לָאו</w:t>
      </w:r>
      <w:r w:rsidRPr="00007309">
        <w:rPr>
          <w:rFonts w:cs="Arial" w:hint="cs"/>
          <w:b/>
          <w:bCs/>
          <w:sz w:val="24"/>
          <w:szCs w:val="24"/>
          <w:rtl/>
        </w:rPr>
        <w:t>,</w:t>
      </w:r>
      <w:r w:rsidRPr="00007309">
        <w:rPr>
          <w:rFonts w:cs="Arial"/>
          <w:b/>
          <w:bCs/>
          <w:sz w:val="24"/>
          <w:szCs w:val="24"/>
          <w:rtl/>
        </w:rPr>
        <w:t xml:space="preserve"> אִתְחַזְרַת לְקִנָּהָא וְאִתְטַמְּרָה תַּמָּן, בְּהַהוּא אֲתַר דְּאִתְקְרֵי קַן צִפּוֹר. וּמַאי נִיהוּ קֵן דִּילַהּ </w:t>
      </w:r>
      <w:r w:rsidRPr="00007309">
        <w:rPr>
          <w:rFonts w:cs="Arial"/>
          <w:b/>
          <w:bCs/>
          <w:sz w:val="36"/>
          <w:szCs w:val="28"/>
          <w:vertAlign w:val="superscript"/>
          <w:rtl/>
        </w:rPr>
        <w:footnoteReference w:id="6787"/>
      </w:r>
      <w:r w:rsidRPr="00007309">
        <w:rPr>
          <w:rFonts w:cs="Arial"/>
          <w:b/>
          <w:bCs/>
          <w:sz w:val="24"/>
          <w:szCs w:val="24"/>
          <w:rtl/>
        </w:rPr>
        <w:t xml:space="preserve">מְטַטְרוֹ"ן </w:t>
      </w:r>
      <w:r w:rsidRPr="00007309">
        <w:rPr>
          <w:rFonts w:cs="Arial"/>
          <w:b/>
          <w:bCs/>
          <w:sz w:val="36"/>
          <w:szCs w:val="28"/>
          <w:vertAlign w:val="superscript"/>
          <w:rtl/>
        </w:rPr>
        <w:footnoteReference w:id="6788"/>
      </w:r>
      <w:r w:rsidRPr="00007309">
        <w:rPr>
          <w:rFonts w:cs="Arial"/>
          <w:b/>
          <w:bCs/>
          <w:sz w:val="24"/>
          <w:szCs w:val="24"/>
          <w:rtl/>
        </w:rPr>
        <w:t>דִּי שְׁמֵהּ שַׁדָּ"י, דְּאִיהוּ נָטִיר תַּרְעָא דְּאִתְּמַר בֵּהּ (תהלים קיח) זֶה הַשַּׁעַר לַה'. וּבְגִין דָּא בִּמְזוּזָה</w:t>
      </w:r>
      <w:r w:rsidRPr="00007309">
        <w:rPr>
          <w:rFonts w:cs="Arial" w:hint="cs"/>
          <w:b/>
          <w:bCs/>
          <w:sz w:val="24"/>
          <w:szCs w:val="24"/>
          <w:rtl/>
        </w:rPr>
        <w:t>,</w:t>
      </w:r>
      <w:r w:rsidRPr="00007309">
        <w:rPr>
          <w:rFonts w:cs="Arial"/>
          <w:b/>
          <w:bCs/>
          <w:sz w:val="24"/>
          <w:szCs w:val="24"/>
          <w:rtl/>
        </w:rPr>
        <w:t xml:space="preserve"> שַׁדָּי מִלְּבַר</w:t>
      </w:r>
      <w:r w:rsidRPr="00007309">
        <w:rPr>
          <w:rFonts w:cs="Arial" w:hint="cs"/>
          <w:b/>
          <w:bCs/>
          <w:sz w:val="24"/>
          <w:szCs w:val="24"/>
          <w:rtl/>
        </w:rPr>
        <w:t>,</w:t>
      </w:r>
      <w:r w:rsidRPr="00007309">
        <w:rPr>
          <w:rFonts w:cs="Arial"/>
          <w:b/>
          <w:bCs/>
          <w:sz w:val="24"/>
          <w:szCs w:val="24"/>
          <w:rtl/>
        </w:rPr>
        <w:t xml:space="preserve"> יהו'ה מִלְּגָאו. </w:t>
      </w:r>
      <w:r w:rsidRPr="00007309">
        <w:rPr>
          <w:rFonts w:cs="Arial"/>
          <w:b/>
          <w:bCs/>
          <w:sz w:val="36"/>
          <w:szCs w:val="28"/>
          <w:vertAlign w:val="superscript"/>
          <w:rtl/>
        </w:rPr>
        <w:footnoteReference w:id="6789"/>
      </w:r>
      <w:r w:rsidRPr="00007309">
        <w:rPr>
          <w:rFonts w:cs="Arial"/>
          <w:b/>
          <w:bCs/>
          <w:sz w:val="24"/>
          <w:szCs w:val="24"/>
          <w:rtl/>
        </w:rPr>
        <w:t>דשס"</w:t>
      </w:r>
      <w:r w:rsidRPr="00007309">
        <w:rPr>
          <w:rFonts w:cs="Arial" w:hint="cs"/>
          <w:b/>
          <w:bCs/>
          <w:sz w:val="24"/>
          <w:szCs w:val="24"/>
          <w:rtl/>
        </w:rPr>
        <w:t>ה</w:t>
      </w:r>
      <w:r w:rsidRPr="00007309">
        <w:rPr>
          <w:rFonts w:cs="Arial"/>
          <w:b/>
          <w:bCs/>
          <w:sz w:val="24"/>
          <w:szCs w:val="24"/>
          <w:rtl/>
        </w:rPr>
        <w:t xml:space="preserve"> מַלְאֲכֵי חַבָּלָה אִנּוּן כְּחֻשְׁבַּן יוֹמֵי שִׁתָּא שס"</w:t>
      </w:r>
      <w:r w:rsidRPr="00007309">
        <w:rPr>
          <w:rFonts w:cs="Arial" w:hint="cs"/>
          <w:b/>
          <w:bCs/>
          <w:sz w:val="24"/>
          <w:szCs w:val="24"/>
          <w:rtl/>
        </w:rPr>
        <w:t>ד,</w:t>
      </w:r>
      <w:r w:rsidRPr="00007309">
        <w:rPr>
          <w:rFonts w:cs="Arial"/>
          <w:b/>
          <w:bCs/>
          <w:sz w:val="24"/>
          <w:szCs w:val="24"/>
          <w:rtl/>
        </w:rPr>
        <w:t xml:space="preserve"> חָסֵר חַד דָּא אִיהוּ יוֹם הַכִּפּוּרִים</w:t>
      </w:r>
      <w:r w:rsidRPr="00007309">
        <w:rPr>
          <w:rFonts w:cs="Arial" w:hint="cs"/>
          <w:b/>
          <w:bCs/>
          <w:sz w:val="24"/>
          <w:szCs w:val="24"/>
          <w:rtl/>
        </w:rPr>
        <w:t>,</w:t>
      </w:r>
      <w:r w:rsidRPr="00007309">
        <w:rPr>
          <w:rFonts w:cs="Arial"/>
          <w:b/>
          <w:bCs/>
          <w:sz w:val="24"/>
          <w:szCs w:val="24"/>
          <w:rtl/>
        </w:rPr>
        <w:t xml:space="preserve"> דְּלֵית לַשָּטָן שׁוֹלְטָן עָלֵהּ</w:t>
      </w:r>
      <w:r w:rsidRPr="00007309">
        <w:rPr>
          <w:rFonts w:cs="Arial" w:hint="cs"/>
          <w:b/>
          <w:bCs/>
          <w:sz w:val="24"/>
          <w:szCs w:val="24"/>
          <w:rtl/>
        </w:rPr>
        <w:t>,</w:t>
      </w:r>
      <w:r w:rsidRPr="00007309">
        <w:rPr>
          <w:rFonts w:cs="Arial"/>
          <w:b/>
          <w:bCs/>
          <w:sz w:val="24"/>
          <w:szCs w:val="24"/>
          <w:rtl/>
        </w:rPr>
        <w:t xml:space="preserve"> הַשָּטָן הָכֵי</w:t>
      </w:r>
      <w:r w:rsidRPr="00007309">
        <w:rPr>
          <w:rFonts w:cs="Arial"/>
          <w:b/>
          <w:bCs/>
          <w:sz w:val="24"/>
          <w:szCs w:val="24"/>
        </w:rPr>
        <w:t xml:space="preserve"> </w:t>
      </w:r>
      <w:r w:rsidRPr="00007309">
        <w:rPr>
          <w:rFonts w:cs="Arial"/>
          <w:b/>
          <w:bCs/>
          <w:sz w:val="24"/>
          <w:szCs w:val="24"/>
          <w:rtl/>
        </w:rPr>
        <w:t xml:space="preserve">סָלִיק שס"ד. בַּאֲתַר דִּמְזוּזָה תַּמָּן, לֹא אִית לֵהּ רְשׁוּ לְקָרְבָא. וּבְגִין דָּא (דברים יא) וּכְתַבְתָּם עַל מְזוּזוֹת בֵּיתֶךָ </w:t>
      </w:r>
      <w:r w:rsidRPr="00007309">
        <w:rPr>
          <w:rFonts w:cs="Arial"/>
          <w:b/>
          <w:bCs/>
          <w:sz w:val="36"/>
          <w:szCs w:val="28"/>
          <w:vertAlign w:val="superscript"/>
          <w:rtl/>
        </w:rPr>
        <w:footnoteReference w:id="6790"/>
      </w:r>
      <w:r w:rsidRPr="00007309">
        <w:rPr>
          <w:rFonts w:cs="Arial"/>
          <w:b/>
          <w:bCs/>
          <w:sz w:val="24"/>
          <w:szCs w:val="24"/>
          <w:rtl/>
        </w:rPr>
        <w:t>מְזוּזֹת</w:t>
      </w:r>
      <w:r w:rsidRPr="00007309">
        <w:rPr>
          <w:rFonts w:cs="Arial" w:hint="cs"/>
          <w:b/>
          <w:bCs/>
          <w:sz w:val="24"/>
          <w:szCs w:val="24"/>
          <w:rtl/>
        </w:rPr>
        <w:t>,</w:t>
      </w:r>
      <w:r w:rsidRPr="00007309">
        <w:rPr>
          <w:rFonts w:cs="Arial"/>
          <w:b/>
          <w:bCs/>
          <w:sz w:val="24"/>
          <w:szCs w:val="24"/>
          <w:rtl/>
        </w:rPr>
        <w:t xml:space="preserve"> זָז מָוֶת. וּבְגִין דָּא</w:t>
      </w:r>
      <w:r w:rsidRPr="00007309">
        <w:rPr>
          <w:rFonts w:cs="Arial" w:hint="cs"/>
          <w:b/>
          <w:bCs/>
          <w:sz w:val="24"/>
          <w:szCs w:val="24"/>
          <w:rtl/>
        </w:rPr>
        <w:t>,</w:t>
      </w:r>
      <w:r w:rsidRPr="00007309">
        <w:rPr>
          <w:rFonts w:cs="Arial"/>
          <w:b/>
          <w:bCs/>
          <w:sz w:val="24"/>
          <w:szCs w:val="24"/>
          <w:rtl/>
        </w:rPr>
        <w:t xml:space="preserve"> כַּד לָא אַשְׁכַּחַת אֲתַר, אִתְחַזְרַת לְקִנָּהָא דְּאִיהוּ מְטַטְרוֹ"ן, דְּחֻשְׁבָּנֵהּ שַׁדָּ"י, דְּתַמָּן יהו'ה מָארֵי דְּיוֹנָה קַדִּישָׁא. </w:t>
      </w:r>
    </w:p>
    <w:p w:rsidR="00007309" w:rsidRPr="00007309" w:rsidRDefault="00007309" w:rsidP="00007309">
      <w:pPr>
        <w:keepNext/>
        <w:spacing w:before="240" w:after="60"/>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[וילנא יד ע"ב]</w:t>
      </w:r>
    </w:p>
    <w:p w:rsidR="00007309" w:rsidRPr="00007309" w:rsidRDefault="00007309" w:rsidP="00007309">
      <w:pPr>
        <w:jc w:val="both"/>
        <w:rPr>
          <w:rFonts w:cs="Arial"/>
          <w:b/>
          <w:bCs/>
          <w:sz w:val="24"/>
          <w:szCs w:val="24"/>
          <w:rtl/>
        </w:rPr>
      </w:pPr>
      <w:r w:rsidRPr="00007309">
        <w:rPr>
          <w:rFonts w:cs="Arial"/>
          <w:b/>
          <w:bCs/>
          <w:sz w:val="24"/>
          <w:szCs w:val="24"/>
          <w:rtl/>
        </w:rPr>
        <w:t xml:space="preserve">ּבְשַׁבָּת דְּתַמָּן צַדִּיק, וַתָּבֹא אֵלָיו הַיּוֹנָה </w:t>
      </w:r>
      <w:r w:rsidRPr="00007309">
        <w:rPr>
          <w:rFonts w:cs="Arial"/>
          <w:b/>
          <w:bCs/>
          <w:sz w:val="36"/>
          <w:szCs w:val="28"/>
          <w:vertAlign w:val="superscript"/>
          <w:rtl/>
        </w:rPr>
        <w:footnoteReference w:id="6791"/>
      </w:r>
      <w:r w:rsidRPr="00007309">
        <w:rPr>
          <w:rFonts w:cs="Arial"/>
          <w:b/>
          <w:bCs/>
          <w:sz w:val="24"/>
          <w:szCs w:val="24"/>
          <w:rtl/>
        </w:rPr>
        <w:t xml:space="preserve">לְעֵת עֶרֶב. בְּגִין דְּאִיהוּ יִחוּדָא דְּקוּדְשָׁא בְּרִיךְ הוּא וּשְׁכִינְתֵּהּ. </w:t>
      </w:r>
      <w:r w:rsidRPr="00007309">
        <w:rPr>
          <w:rFonts w:cs="Arial"/>
          <w:b/>
          <w:bCs/>
          <w:sz w:val="36"/>
          <w:szCs w:val="28"/>
          <w:vertAlign w:val="superscript"/>
          <w:rtl/>
        </w:rPr>
        <w:footnoteReference w:id="6792"/>
      </w:r>
      <w:r w:rsidRPr="00007309">
        <w:rPr>
          <w:rFonts w:cs="Arial"/>
          <w:b/>
          <w:bCs/>
          <w:sz w:val="24"/>
          <w:szCs w:val="24"/>
          <w:rtl/>
        </w:rPr>
        <w:t>וְכַד אִית צַדִּיק לְתַתָּא, אִיהוּ בַּאֲתַר דְּיוֹם</w:t>
      </w:r>
      <w:r w:rsidRPr="00007309">
        <w:rPr>
          <w:rFonts w:cs="Arial"/>
          <w:b/>
          <w:bCs/>
          <w:sz w:val="24"/>
          <w:szCs w:val="24"/>
        </w:rPr>
        <w:t xml:space="preserve"> </w:t>
      </w:r>
      <w:r w:rsidRPr="00007309">
        <w:rPr>
          <w:rFonts w:cs="Arial"/>
          <w:b/>
          <w:bCs/>
          <w:sz w:val="24"/>
          <w:szCs w:val="24"/>
          <w:rtl/>
        </w:rPr>
        <w:t xml:space="preserve">הַשַּׁבָּת, דְּאִיהוּ </w:t>
      </w:r>
      <w:r w:rsidRPr="00007309">
        <w:rPr>
          <w:rFonts w:cs="Arial"/>
          <w:b/>
          <w:bCs/>
          <w:sz w:val="36"/>
          <w:szCs w:val="28"/>
          <w:vertAlign w:val="superscript"/>
          <w:rtl/>
        </w:rPr>
        <w:footnoteReference w:id="6793"/>
      </w:r>
      <w:r w:rsidRPr="00007309">
        <w:rPr>
          <w:rFonts w:cs="Arial"/>
          <w:b/>
          <w:bCs/>
          <w:sz w:val="24"/>
          <w:szCs w:val="24"/>
          <w:rtl/>
        </w:rPr>
        <w:t xml:space="preserve">שַׁדָּי דִּלְעֵלָּא, </w:t>
      </w:r>
      <w:r w:rsidRPr="00007309">
        <w:rPr>
          <w:rFonts w:cs="Arial"/>
          <w:b/>
          <w:bCs/>
          <w:sz w:val="36"/>
          <w:szCs w:val="28"/>
          <w:vertAlign w:val="superscript"/>
          <w:rtl/>
        </w:rPr>
        <w:footnoteReference w:id="6794"/>
      </w:r>
      <w:r w:rsidRPr="00007309">
        <w:rPr>
          <w:rFonts w:cs="Arial"/>
          <w:b/>
          <w:bCs/>
          <w:sz w:val="24"/>
          <w:szCs w:val="24"/>
          <w:rtl/>
        </w:rPr>
        <w:t xml:space="preserve">וּבֵהּ אִתְיַחֲדַת </w:t>
      </w:r>
      <w:r w:rsidRPr="00007309">
        <w:rPr>
          <w:rFonts w:cs="Arial" w:hint="cs"/>
          <w:b/>
          <w:bCs/>
          <w:sz w:val="24"/>
          <w:szCs w:val="24"/>
          <w:rtl/>
        </w:rPr>
        <w:t xml:space="preserve">עם </w:t>
      </w:r>
      <w:r w:rsidRPr="00007309">
        <w:rPr>
          <w:rFonts w:cs="Arial"/>
          <w:b/>
          <w:bCs/>
          <w:sz w:val="24"/>
          <w:szCs w:val="24"/>
          <w:rtl/>
        </w:rPr>
        <w:t>קוּדְשָׁא בְּרִיךְ הוּא</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6795"/>
      </w:r>
      <w:r w:rsidRPr="00007309">
        <w:rPr>
          <w:rFonts w:cs="Arial"/>
          <w:b/>
          <w:bCs/>
          <w:sz w:val="24"/>
          <w:szCs w:val="24"/>
          <w:rtl/>
        </w:rPr>
        <w:t>וְתַמָּן אַשְׁכַּחַת נַיְיחָא, וְלָא אַזְלַת מְטַלְטְלָא מִדּוֹךְ לְדוֹךְ וּמֵאֲתַר לַאֲתַר. וּמָאן אִיהוּ צַדִּיק דְּאִיהִי אִתְדַּבְּקַת בֵּהּ</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6796"/>
      </w:r>
      <w:r w:rsidRPr="00007309">
        <w:rPr>
          <w:rFonts w:cs="Arial"/>
          <w:b/>
          <w:bCs/>
          <w:sz w:val="24"/>
          <w:szCs w:val="24"/>
          <w:rtl/>
        </w:rPr>
        <w:t xml:space="preserve">הַהוּא דְּאִיהוּ כְּלִיל מִכָּל מִדּוֹת דְּקוּדְשָׁא בְּרִיךְ הוּא. </w:t>
      </w:r>
      <w:r w:rsidRPr="00007309">
        <w:rPr>
          <w:rFonts w:ascii="Cambria" w:hAnsi="Cambria" w:cs="Times New Roman" w:hint="cs"/>
          <w:b/>
          <w:bCs/>
          <w:i/>
          <w:iCs/>
          <w:color w:val="4F81BD"/>
          <w:sz w:val="24"/>
          <w:szCs w:val="24"/>
          <w:rtl/>
        </w:rPr>
        <w:t>(וילנא יד ע"ב)</w:t>
      </w:r>
      <w:r w:rsidRPr="00007309">
        <w:rPr>
          <w:rFonts w:cs="Arial" w:hint="cs"/>
          <w:b/>
          <w:bCs/>
          <w:sz w:val="24"/>
          <w:szCs w:val="24"/>
          <w:rtl/>
        </w:rPr>
        <w:t xml:space="preserve"> </w:t>
      </w:r>
      <w:r w:rsidRPr="00007309">
        <w:rPr>
          <w:rFonts w:cs="Arial"/>
          <w:b/>
          <w:bCs/>
          <w:sz w:val="36"/>
          <w:szCs w:val="28"/>
          <w:vertAlign w:val="superscript"/>
          <w:rtl/>
        </w:rPr>
        <w:footnoteReference w:id="6797"/>
      </w:r>
      <w:r w:rsidRPr="00007309">
        <w:rPr>
          <w:rFonts w:cs="Arial"/>
          <w:b/>
          <w:bCs/>
          <w:sz w:val="24"/>
          <w:szCs w:val="24"/>
          <w:rtl/>
        </w:rPr>
        <w:t>דְּאִתְּמַר בֵּהּ וַיְכֻלּוּ כָּלִיל כֹּלָּא</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6798"/>
      </w:r>
      <w:r w:rsidRPr="00007309">
        <w:rPr>
          <w:rFonts w:cs="Arial"/>
          <w:b/>
          <w:bCs/>
          <w:sz w:val="24"/>
          <w:szCs w:val="24"/>
          <w:rtl/>
        </w:rPr>
        <w:t>דְּכָל סְפִירָן בֵּהּ אִתְכְּלִילוּ</w:t>
      </w:r>
      <w:r w:rsidRPr="00007309">
        <w:rPr>
          <w:rFonts w:cs="Arial" w:hint="cs"/>
          <w:b/>
          <w:bCs/>
          <w:sz w:val="24"/>
          <w:szCs w:val="24"/>
          <w:rtl/>
        </w:rPr>
        <w:t>,</w:t>
      </w:r>
      <w:r w:rsidRPr="00007309">
        <w:rPr>
          <w:rFonts w:cs="Arial"/>
          <w:b/>
          <w:bCs/>
          <w:sz w:val="24"/>
          <w:szCs w:val="24"/>
          <w:rtl/>
        </w:rPr>
        <w:t xml:space="preserve"> דְּאִיהוּ חָסִיד וְגָמִיל חֶסֶד עִם שְׁכִינְתָּא, וְיָהִיב לָהּ תֻּקְפָא בִּגְבוּרָה</w:t>
      </w:r>
      <w:r w:rsidRPr="00007309">
        <w:rPr>
          <w:rFonts w:cs="Arial" w:hint="cs"/>
          <w:b/>
          <w:bCs/>
          <w:sz w:val="24"/>
          <w:szCs w:val="24"/>
          <w:rtl/>
        </w:rPr>
        <w:t>,</w:t>
      </w:r>
      <w:r w:rsidRPr="00007309">
        <w:rPr>
          <w:rFonts w:cs="Arial"/>
          <w:b/>
          <w:bCs/>
          <w:sz w:val="24"/>
          <w:szCs w:val="24"/>
          <w:rtl/>
        </w:rPr>
        <w:t xml:space="preserve"> וְהָכֵי בְּכָל סְפִירָה וּסְפִירָה</w:t>
      </w:r>
      <w:r w:rsidRPr="00007309">
        <w:rPr>
          <w:rFonts w:cs="Arial" w:hint="cs"/>
          <w:b/>
          <w:bCs/>
          <w:sz w:val="24"/>
          <w:szCs w:val="24"/>
          <w:rtl/>
        </w:rPr>
        <w:t>,</w:t>
      </w:r>
      <w:r w:rsidRPr="00007309">
        <w:rPr>
          <w:rFonts w:cs="Arial"/>
          <w:b/>
          <w:bCs/>
          <w:sz w:val="24"/>
          <w:szCs w:val="24"/>
          <w:rtl/>
        </w:rPr>
        <w:t xml:space="preserve"> יָהִיב לָהּ תֻּקְפָא. אִיהִי אִתְדַּבְּקַת וְלֹא תָּזוּז מִנֵּהּ </w:t>
      </w:r>
      <w:r w:rsidRPr="00007309">
        <w:rPr>
          <w:rFonts w:cs="Arial"/>
          <w:b/>
          <w:bCs/>
          <w:sz w:val="36"/>
          <w:szCs w:val="28"/>
          <w:vertAlign w:val="superscript"/>
          <w:rtl/>
        </w:rPr>
        <w:footnoteReference w:id="6799"/>
      </w:r>
      <w:r w:rsidRPr="00007309">
        <w:rPr>
          <w:rFonts w:cs="Arial"/>
          <w:b/>
          <w:bCs/>
          <w:sz w:val="24"/>
          <w:szCs w:val="24"/>
          <w:rtl/>
        </w:rPr>
        <w:t>בְּכָל שִׁית יוֹמֵי שַׁבְּתָא. וּבְגִינֵהּ אִתְּמַר עַל צַדִּיק א</w:t>
      </w:r>
      <w:r w:rsidRPr="00007309">
        <w:rPr>
          <w:rFonts w:cs="Arial" w:hint="cs"/>
          <w:b/>
          <w:bCs/>
          <w:sz w:val="24"/>
          <w:szCs w:val="24"/>
          <w:rtl/>
        </w:rPr>
        <w:t>חד</w:t>
      </w:r>
      <w:r w:rsidRPr="00007309">
        <w:rPr>
          <w:rFonts w:cs="Arial"/>
          <w:b/>
          <w:bCs/>
          <w:sz w:val="24"/>
          <w:szCs w:val="24"/>
          <w:rtl/>
        </w:rPr>
        <w:t xml:space="preserve"> הָעוֹלָם עוֹמֵד. </w:t>
      </w:r>
      <w:r w:rsidRPr="00007309">
        <w:rPr>
          <w:rFonts w:cs="Arial"/>
          <w:b/>
          <w:bCs/>
          <w:sz w:val="36"/>
          <w:szCs w:val="28"/>
          <w:vertAlign w:val="superscript"/>
          <w:rtl/>
        </w:rPr>
        <w:footnoteReference w:id="6800"/>
      </w:r>
      <w:r w:rsidRPr="00007309">
        <w:rPr>
          <w:rFonts w:cs="Arial"/>
          <w:b/>
          <w:bCs/>
          <w:sz w:val="24"/>
          <w:szCs w:val="24"/>
          <w:rtl/>
        </w:rPr>
        <w:t xml:space="preserve">אִיהוּ עַמּוּד סָבִיל כֹּלָּא. </w:t>
      </w:r>
      <w:r w:rsidRPr="00007309">
        <w:rPr>
          <w:rFonts w:cs="Arial"/>
          <w:b/>
          <w:bCs/>
          <w:sz w:val="36"/>
          <w:szCs w:val="28"/>
          <w:vertAlign w:val="superscript"/>
          <w:rtl/>
        </w:rPr>
        <w:footnoteReference w:id="6801"/>
      </w:r>
      <w:r w:rsidRPr="00007309">
        <w:rPr>
          <w:rFonts w:cs="Arial"/>
          <w:b/>
          <w:bCs/>
          <w:sz w:val="24"/>
          <w:szCs w:val="24"/>
          <w:rtl/>
        </w:rPr>
        <w:t xml:space="preserve">וּבֵהּ כַּנְפֵי יוֹנָה נֶחְפָּה בַּכֶּסֶף אִיהִי מְכַסִּיאַת עָלֵהּ בְּגַדְפָּהָא, וְאַגִּינַת עָלֵהּ מִכָּל מְקַטְרְגִין דְּעָלְמָא. </w:t>
      </w:r>
      <w:r w:rsidRPr="00007309">
        <w:rPr>
          <w:rFonts w:cs="Arial"/>
          <w:b/>
          <w:bCs/>
          <w:sz w:val="36"/>
          <w:szCs w:val="28"/>
          <w:vertAlign w:val="superscript"/>
          <w:rtl/>
        </w:rPr>
        <w:footnoteReference w:id="6802"/>
      </w:r>
      <w:r w:rsidRPr="00007309">
        <w:rPr>
          <w:rFonts w:cs="Arial"/>
          <w:b/>
          <w:bCs/>
          <w:sz w:val="24"/>
          <w:szCs w:val="24"/>
          <w:rtl/>
        </w:rPr>
        <w:t xml:space="preserve">וּבְגִינֵהּ אִתְּמַר (תהלים כה) לֹא יִתֵּן לְעוֹלָם מוֹט לַצַּדִּיק. לֹא יְאֻנֶּה לַצַּדִּיק כָּל אָוֶן. לֹא רָאִיתִי צַדִּיק נֶעֱזָב וְזַרְעוֹ מְבַקֵּשׁ לָחֶם. </w:t>
      </w:r>
      <w:r w:rsidRPr="00007309">
        <w:rPr>
          <w:rFonts w:cs="Arial"/>
          <w:b/>
          <w:bCs/>
          <w:sz w:val="36"/>
          <w:szCs w:val="28"/>
          <w:vertAlign w:val="superscript"/>
          <w:rtl/>
        </w:rPr>
        <w:footnoteReference w:id="6803"/>
      </w:r>
      <w:r w:rsidRPr="00007309">
        <w:rPr>
          <w:rFonts w:cs="Arial"/>
          <w:b/>
          <w:bCs/>
          <w:sz w:val="24"/>
          <w:szCs w:val="24"/>
          <w:rtl/>
        </w:rPr>
        <w:t xml:space="preserve">וּבֵהּ אִתְחֲזֵי קֶשֶׁת דְּפֻרְקָנָא בְּגַוְנוֹי נְהִירִין. וּמִיָּד (בראשית ט) וּרְאִיתִיהָ לִזְכֹּר בְּרִית עוֹלָם. </w:t>
      </w:r>
      <w:r w:rsidRPr="00007309">
        <w:rPr>
          <w:rFonts w:cs="Arial"/>
          <w:b/>
          <w:bCs/>
          <w:sz w:val="36"/>
          <w:szCs w:val="28"/>
          <w:vertAlign w:val="superscript"/>
          <w:rtl/>
        </w:rPr>
        <w:footnoteReference w:id="6804"/>
      </w:r>
      <w:r w:rsidRPr="00007309">
        <w:rPr>
          <w:rFonts w:cs="Arial"/>
          <w:b/>
          <w:bCs/>
          <w:sz w:val="24"/>
          <w:szCs w:val="24"/>
          <w:rtl/>
        </w:rPr>
        <w:t xml:space="preserve">וְלֹא תֵצֵא כְּצֵאת הָעֲבָדִים מִסִּטְרָא דְּקֶשֶׁת דְּאִיהוּ עֶבֶד. </w:t>
      </w:r>
    </w:p>
    <w:p w:rsidR="00007309" w:rsidRPr="00007309" w:rsidRDefault="00007309" w:rsidP="00007309">
      <w:pPr>
        <w:jc w:val="both"/>
        <w:rPr>
          <w:rFonts w:cs="Arial"/>
          <w:b/>
          <w:bCs/>
          <w:sz w:val="24"/>
          <w:szCs w:val="24"/>
          <w:rtl/>
        </w:rPr>
      </w:pPr>
      <w:r w:rsidRPr="00007309">
        <w:rPr>
          <w:rFonts w:cs="Arial"/>
          <w:b/>
          <w:bCs/>
          <w:sz w:val="24"/>
          <w:szCs w:val="24"/>
          <w:rtl/>
        </w:rPr>
        <w:t>וְעוֹד זַרְקָא. הָא אֵלִיָּהוּ נָחִית וְכַמָּה מַשִּׁרְיָן עִמֵּהּ דְּמַלְאָכִין וְנִשְׁמָתִין</w:t>
      </w:r>
      <w:r w:rsidRPr="00007309">
        <w:rPr>
          <w:rFonts w:cs="Arial" w:hint="cs"/>
          <w:b/>
          <w:bCs/>
          <w:sz w:val="24"/>
          <w:szCs w:val="24"/>
          <w:rtl/>
        </w:rPr>
        <w:t xml:space="preserve">. </w:t>
      </w:r>
      <w:r w:rsidRPr="00007309">
        <w:rPr>
          <w:rFonts w:cs="Arial"/>
          <w:b/>
          <w:bCs/>
          <w:sz w:val="24"/>
          <w:szCs w:val="24"/>
          <w:rtl/>
        </w:rPr>
        <w:t>פָּתַח וְאָמַר</w:t>
      </w:r>
      <w:r w:rsidRPr="00007309">
        <w:rPr>
          <w:rFonts w:cs="Arial" w:hint="cs"/>
          <w:b/>
          <w:bCs/>
          <w:sz w:val="24"/>
          <w:szCs w:val="24"/>
          <w:rtl/>
        </w:rPr>
        <w:t>,</w:t>
      </w:r>
      <w:r w:rsidRPr="00007309">
        <w:rPr>
          <w:rFonts w:cs="Arial"/>
          <w:b/>
          <w:bCs/>
          <w:sz w:val="24"/>
          <w:szCs w:val="24"/>
          <w:rtl/>
        </w:rPr>
        <w:t xml:space="preserve"> בּוּצִינָא קַדִּישָׁא</w:t>
      </w:r>
      <w:r w:rsidRPr="00007309">
        <w:rPr>
          <w:rFonts w:cs="Arial" w:hint="cs"/>
          <w:b/>
          <w:bCs/>
          <w:sz w:val="24"/>
          <w:szCs w:val="24"/>
          <w:rtl/>
        </w:rPr>
        <w:t>,</w:t>
      </w:r>
      <w:r w:rsidRPr="00007309">
        <w:rPr>
          <w:rFonts w:cs="Arial"/>
          <w:b/>
          <w:bCs/>
          <w:sz w:val="24"/>
          <w:szCs w:val="24"/>
          <w:rtl/>
        </w:rPr>
        <w:t xml:space="preserve"> הָא כַּמָּה מַשִּׁרְיָן דְּמַלְאֲכֵי חַבָּלָה קָא מַחְתִּין עַל עָאנָא. </w:t>
      </w:r>
      <w:r w:rsidRPr="00007309">
        <w:rPr>
          <w:rFonts w:cs="Arial"/>
          <w:b/>
          <w:bCs/>
          <w:sz w:val="36"/>
          <w:szCs w:val="28"/>
          <w:vertAlign w:val="superscript"/>
          <w:rtl/>
        </w:rPr>
        <w:footnoteReference w:id="6805"/>
      </w:r>
      <w:r w:rsidRPr="00007309">
        <w:rPr>
          <w:rFonts w:cs="Arial"/>
          <w:b/>
          <w:bCs/>
          <w:sz w:val="24"/>
          <w:szCs w:val="24"/>
          <w:rtl/>
        </w:rPr>
        <w:t xml:space="preserve">אִימָּא לְרָעֲיָא דְּזָרִיק אַבְנָא מִקִּירְטָא קַדִּישָׁא לְגַבַּיְהוּ. (חסר כאן) </w:t>
      </w:r>
      <w:r w:rsidRPr="00007309">
        <w:rPr>
          <w:rFonts w:cs="Arial"/>
          <w:b/>
          <w:bCs/>
          <w:sz w:val="36"/>
          <w:szCs w:val="28"/>
          <w:vertAlign w:val="superscript"/>
          <w:rtl/>
        </w:rPr>
        <w:footnoteReference w:id="6806"/>
      </w:r>
      <w:r w:rsidRPr="00007309">
        <w:rPr>
          <w:rFonts w:cs="Arial"/>
          <w:b/>
          <w:bCs/>
          <w:sz w:val="24"/>
          <w:szCs w:val="24"/>
          <w:rtl/>
        </w:rPr>
        <w:t xml:space="preserve">אִתְרְמִיז בְּכֶתֶר עִלָּאָה </w:t>
      </w:r>
      <w:r w:rsidRPr="00007309">
        <w:rPr>
          <w:rFonts w:cs="Arial"/>
          <w:b/>
          <w:bCs/>
          <w:sz w:val="36"/>
          <w:szCs w:val="28"/>
          <w:vertAlign w:val="superscript"/>
          <w:rtl/>
        </w:rPr>
        <w:footnoteReference w:id="6807"/>
      </w:r>
      <w:r w:rsidRPr="00007309">
        <w:rPr>
          <w:rFonts w:cs="Arial"/>
          <w:b/>
          <w:bCs/>
          <w:sz w:val="24"/>
          <w:szCs w:val="24"/>
          <w:rtl/>
        </w:rPr>
        <w:t xml:space="preserve">כְּגַוְנָא דָּא יוּ'ד הֵ'י וָא'ו הֵ'י דְּסָלִיק אֶהְיֶה תְּלָת זִמְנִין. </w:t>
      </w:r>
      <w:r w:rsidRPr="00007309">
        <w:rPr>
          <w:rFonts w:cs="Arial"/>
          <w:b/>
          <w:bCs/>
          <w:sz w:val="36"/>
          <w:szCs w:val="28"/>
          <w:vertAlign w:val="superscript"/>
          <w:rtl/>
        </w:rPr>
        <w:footnoteReference w:id="6808"/>
      </w:r>
      <w:r w:rsidRPr="00007309">
        <w:rPr>
          <w:rFonts w:cs="Arial"/>
          <w:b/>
          <w:bCs/>
          <w:sz w:val="24"/>
          <w:szCs w:val="24"/>
          <w:rtl/>
        </w:rPr>
        <w:t>וְאִיהוּ אֲשֶׁ"ר</w:t>
      </w:r>
      <w:r w:rsidRPr="00007309">
        <w:rPr>
          <w:rFonts w:cs="Arial" w:hint="cs"/>
          <w:b/>
          <w:bCs/>
          <w:sz w:val="24"/>
          <w:szCs w:val="24"/>
          <w:rtl/>
        </w:rPr>
        <w:t>,</w:t>
      </w:r>
      <w:r w:rsidRPr="00007309">
        <w:rPr>
          <w:rFonts w:cs="Arial"/>
          <w:b/>
          <w:bCs/>
          <w:sz w:val="24"/>
          <w:szCs w:val="24"/>
          <w:rtl/>
        </w:rPr>
        <w:t xml:space="preserve"> רֹא"שׁ דְּאֶהְיֶ"ה אֶהְיֶ"ה</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6809"/>
      </w:r>
      <w:r w:rsidRPr="00007309">
        <w:rPr>
          <w:rFonts w:cs="Arial"/>
          <w:b/>
          <w:bCs/>
          <w:sz w:val="24"/>
          <w:szCs w:val="24"/>
          <w:rtl/>
        </w:rPr>
        <w:t xml:space="preserve">כְּלָלָא דְּמ"ב. וְאִיהוּ כָּלִיל עֶשֶׂר אֲמִירָן. כְּגַוְנָא דָּא אָלֶ"ף הֵ"א יוּ"ד הֵ"א. </w:t>
      </w:r>
    </w:p>
    <w:p w:rsidR="00007309" w:rsidRPr="00007309" w:rsidRDefault="00007309" w:rsidP="00007309">
      <w:pPr>
        <w:keepNext/>
        <w:spacing w:before="240" w:after="60"/>
        <w:outlineLvl w:val="1"/>
        <w:rPr>
          <w:rFonts w:ascii="Cambria" w:hAnsi="Cambria" w:cs="Times New Roman"/>
          <w:b/>
          <w:bCs/>
          <w:i/>
          <w:iCs/>
          <w:sz w:val="28"/>
          <w:szCs w:val="28"/>
          <w:rtl/>
        </w:rPr>
      </w:pPr>
      <w:r w:rsidRPr="00007309">
        <w:rPr>
          <w:rFonts w:ascii="Cambria" w:hAnsi="Cambria" w:cs="Times New Roman"/>
          <w:b/>
          <w:bCs/>
          <w:i/>
          <w:iCs/>
          <w:sz w:val="28"/>
          <w:szCs w:val="28"/>
          <w:rtl/>
        </w:rPr>
        <w:t>[</w:t>
      </w:r>
      <w:r w:rsidRPr="00007309">
        <w:rPr>
          <w:rFonts w:ascii="Cambria" w:hAnsi="Cambria" w:cs="Times New Roman" w:hint="cs"/>
          <w:b/>
          <w:bCs/>
          <w:i/>
          <w:iCs/>
          <w:sz w:val="28"/>
          <w:szCs w:val="28"/>
          <w:rtl/>
        </w:rPr>
        <w:t>דף</w:t>
      </w:r>
      <w:r w:rsidRPr="00007309">
        <w:rPr>
          <w:rFonts w:ascii="Cambria" w:hAnsi="Cambria" w:cs="Times New Roman"/>
          <w:b/>
          <w:bCs/>
          <w:i/>
          <w:iCs/>
          <w:sz w:val="28"/>
          <w:szCs w:val="28"/>
          <w:rtl/>
        </w:rPr>
        <w:t xml:space="preserve"> עז ע"ד]</w:t>
      </w:r>
    </w:p>
    <w:p w:rsidR="00007309" w:rsidRPr="00007309" w:rsidRDefault="00007309" w:rsidP="00007309">
      <w:pPr>
        <w:jc w:val="both"/>
        <w:rPr>
          <w:rFonts w:cs="Arial"/>
          <w:b/>
          <w:bCs/>
          <w:sz w:val="24"/>
          <w:szCs w:val="24"/>
          <w:rtl/>
        </w:rPr>
      </w:pPr>
      <w:r w:rsidRPr="00007309">
        <w:rPr>
          <w:rFonts w:cs="Arial"/>
          <w:b/>
          <w:bCs/>
          <w:sz w:val="36"/>
          <w:szCs w:val="28"/>
          <w:vertAlign w:val="superscript"/>
          <w:rtl/>
        </w:rPr>
        <w:footnoteReference w:id="6810"/>
      </w:r>
      <w:r w:rsidRPr="00007309">
        <w:rPr>
          <w:rFonts w:cs="Arial"/>
          <w:b/>
          <w:bCs/>
          <w:sz w:val="24"/>
          <w:szCs w:val="24"/>
          <w:rtl/>
        </w:rPr>
        <w:t xml:space="preserve">וְכַמָּה אִנּוּן סְפִירָן פְּנִימָאִין וְכַמָּה סְפִירָן אֲחוֹרִיִּים, וְאִנּוּן דָּא עַל גַּב דָּא. הָדָא הוּא דִּכְתִיב </w:t>
      </w:r>
      <w:r w:rsidRPr="00007309">
        <w:rPr>
          <w:rFonts w:cs="Arial"/>
          <w:b/>
          <w:bCs/>
          <w:sz w:val="36"/>
          <w:szCs w:val="28"/>
          <w:vertAlign w:val="superscript"/>
          <w:rtl/>
        </w:rPr>
        <w:footnoteReference w:id="6811"/>
      </w:r>
      <w:r w:rsidRPr="00007309">
        <w:rPr>
          <w:rFonts w:cs="Arial"/>
          <w:b/>
          <w:bCs/>
          <w:sz w:val="24"/>
          <w:szCs w:val="24"/>
          <w:rtl/>
        </w:rPr>
        <w:t xml:space="preserve">כִּי גָּבֹהַּ מֵעַל גָּבֹהַּ שׁוֹמֵר וּגְבוֹהִים עֲלֵיהֶם. וּבְגִינַיְהוּ אִתְּמַר וְכַמָּה פָּנִים לַפָּנִים הַנִּרְאִים, וְכַמָּה אֲחוֹרִיִּים לַאֲחוֹרִים </w:t>
      </w:r>
      <w:r w:rsidRPr="00007309">
        <w:rPr>
          <w:rFonts w:cs="Arial"/>
          <w:b/>
          <w:bCs/>
          <w:sz w:val="36"/>
          <w:szCs w:val="28"/>
          <w:vertAlign w:val="superscript"/>
          <w:rtl/>
        </w:rPr>
        <w:footnoteReference w:id="6812"/>
      </w:r>
      <w:r w:rsidRPr="00007309">
        <w:rPr>
          <w:rFonts w:cs="Arial"/>
          <w:b/>
          <w:bCs/>
          <w:sz w:val="24"/>
          <w:szCs w:val="24"/>
          <w:rtl/>
        </w:rPr>
        <w:t xml:space="preserve">דְּלָאו הַנִּרְאִים, </w:t>
      </w:r>
      <w:r w:rsidRPr="00007309">
        <w:rPr>
          <w:rFonts w:cs="Arial"/>
          <w:b/>
          <w:bCs/>
          <w:sz w:val="36"/>
          <w:szCs w:val="28"/>
          <w:vertAlign w:val="superscript"/>
          <w:rtl/>
        </w:rPr>
        <w:footnoteReference w:id="6813"/>
      </w:r>
      <w:r w:rsidRPr="00007309">
        <w:rPr>
          <w:rFonts w:cs="Arial"/>
          <w:b/>
          <w:bCs/>
          <w:sz w:val="24"/>
          <w:szCs w:val="24"/>
          <w:rtl/>
        </w:rPr>
        <w:t>וְאִנּוּן פְּנִימִיִּים אִלֵּין</w:t>
      </w:r>
      <w:r w:rsidRPr="00007309">
        <w:rPr>
          <w:rFonts w:cs="Arial" w:hint="cs"/>
          <w:b/>
          <w:bCs/>
          <w:sz w:val="24"/>
          <w:szCs w:val="24"/>
          <w:rtl/>
        </w:rPr>
        <w:t>:</w:t>
      </w:r>
      <w:r w:rsidRPr="00007309">
        <w:rPr>
          <w:rFonts w:cs="Arial"/>
          <w:b/>
          <w:bCs/>
          <w:sz w:val="24"/>
          <w:szCs w:val="24"/>
          <w:rtl/>
        </w:rPr>
        <w:t xml:space="preserve"> יוּ'ד הֵ'י וָא'ו הֵ'י</w:t>
      </w:r>
      <w:r w:rsidRPr="00007309">
        <w:rPr>
          <w:rFonts w:cs="Arial"/>
          <w:b/>
          <w:bCs/>
          <w:sz w:val="24"/>
          <w:szCs w:val="24"/>
        </w:rPr>
        <w:t xml:space="preserve">. </w:t>
      </w:r>
      <w:r w:rsidRPr="00007309">
        <w:rPr>
          <w:rFonts w:cs="Arial"/>
          <w:b/>
          <w:bCs/>
          <w:sz w:val="24"/>
          <w:szCs w:val="24"/>
          <w:rtl/>
        </w:rPr>
        <w:t>יוּ'ד הֵ'י וָי'ו הֵ'י. יוּ'ד הֵ'א וָא'ו הֵ'א</w:t>
      </w:r>
      <w:r w:rsidRPr="00007309">
        <w:rPr>
          <w:rFonts w:cs="Arial" w:hint="cs"/>
          <w:b/>
          <w:bCs/>
          <w:sz w:val="24"/>
          <w:szCs w:val="24"/>
          <w:rtl/>
        </w:rPr>
        <w:t>.</w:t>
      </w:r>
      <w:r w:rsidRPr="00007309">
        <w:rPr>
          <w:rFonts w:cs="Arial"/>
          <w:b/>
          <w:bCs/>
          <w:sz w:val="24"/>
          <w:szCs w:val="24"/>
          <w:rtl/>
        </w:rPr>
        <w:t xml:space="preserve"> אֲחוֹרִים אִנּוּן</w:t>
      </w:r>
      <w:r w:rsidRPr="00007309">
        <w:rPr>
          <w:rFonts w:cs="Arial" w:hint="cs"/>
          <w:b/>
          <w:bCs/>
          <w:sz w:val="24"/>
          <w:szCs w:val="24"/>
          <w:rtl/>
        </w:rPr>
        <w:t>:</w:t>
      </w:r>
      <w:r w:rsidRPr="00007309">
        <w:rPr>
          <w:rFonts w:cs="Arial"/>
          <w:b/>
          <w:bCs/>
          <w:sz w:val="24"/>
          <w:szCs w:val="24"/>
          <w:rtl/>
        </w:rPr>
        <w:t xml:space="preserve"> י' י'ה יה'ו יהו'ה</w:t>
      </w:r>
      <w:r w:rsidRPr="00007309">
        <w:rPr>
          <w:rFonts w:cs="Arial" w:hint="cs"/>
          <w:b/>
          <w:bCs/>
          <w:sz w:val="24"/>
          <w:szCs w:val="24"/>
          <w:rtl/>
        </w:rPr>
        <w:t>,</w:t>
      </w:r>
      <w:r w:rsidRPr="00007309">
        <w:rPr>
          <w:rFonts w:cs="Arial"/>
          <w:b/>
          <w:bCs/>
          <w:sz w:val="24"/>
          <w:szCs w:val="24"/>
          <w:rtl/>
        </w:rPr>
        <w:t xml:space="preserve"> א' א"ה אה"י אהי'ה</w:t>
      </w:r>
      <w:r w:rsidRPr="00007309">
        <w:rPr>
          <w:rFonts w:cs="Arial" w:hint="cs"/>
          <w:b/>
          <w:bCs/>
          <w:sz w:val="24"/>
          <w:szCs w:val="24"/>
          <w:rtl/>
        </w:rPr>
        <w:t>,</w:t>
      </w:r>
      <w:r w:rsidRPr="00007309">
        <w:rPr>
          <w:rFonts w:cs="Arial"/>
          <w:b/>
          <w:bCs/>
          <w:sz w:val="24"/>
          <w:szCs w:val="24"/>
          <w:rtl/>
        </w:rPr>
        <w:t xml:space="preserve"> א' א'ד אד'נ אדנ'י. כַּד אִנּוּן פְּנִימִיִּים מִלְּעֵלָּא</w:t>
      </w:r>
      <w:r w:rsidRPr="00007309">
        <w:rPr>
          <w:rFonts w:cs="Arial" w:hint="cs"/>
          <w:b/>
          <w:bCs/>
          <w:sz w:val="24"/>
          <w:szCs w:val="24"/>
          <w:rtl/>
        </w:rPr>
        <w:t>,</w:t>
      </w:r>
      <w:r w:rsidRPr="00007309">
        <w:rPr>
          <w:rFonts w:cs="Arial"/>
          <w:b/>
          <w:bCs/>
          <w:sz w:val="24"/>
          <w:szCs w:val="24"/>
          <w:rtl/>
        </w:rPr>
        <w:t xml:space="preserve"> כְּגוֹן טַעֲמֵי עַל אַתְוָן, אִנּוּן דְּכוֹרִין. וְכַד פְּנִימִיִּים אִנּוּן לְתַתָּא</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6814"/>
      </w:r>
      <w:r w:rsidRPr="00007309">
        <w:rPr>
          <w:rFonts w:cs="Arial"/>
          <w:b/>
          <w:bCs/>
          <w:sz w:val="24"/>
          <w:szCs w:val="24"/>
          <w:rtl/>
        </w:rPr>
        <w:t>כְּגוֹן נִקּוּדִין תְּחוֹת אַתְוָן, אִנּוּן נוּקְבִין. וְכֻלְּהוּ אִשְׁתְּמוֹדָעוּ בְּרָזָא דָּא. כַּד אֶהְיֶ'ה עַל יהו'ה אִנּוּן נוּקְבָא</w:t>
      </w:r>
      <w:r w:rsidRPr="00007309">
        <w:rPr>
          <w:rFonts w:cs="Arial" w:hint="cs"/>
          <w:b/>
          <w:bCs/>
          <w:sz w:val="24"/>
          <w:szCs w:val="24"/>
          <w:rtl/>
        </w:rPr>
        <w:t xml:space="preserve"> </w:t>
      </w:r>
      <w:r w:rsidRPr="00007309">
        <w:rPr>
          <w:rFonts w:cs="Arial"/>
          <w:b/>
          <w:bCs/>
          <w:sz w:val="36"/>
          <w:szCs w:val="28"/>
          <w:vertAlign w:val="superscript"/>
          <w:rtl/>
        </w:rPr>
        <w:footnoteReference w:id="6815"/>
      </w:r>
      <w:r w:rsidRPr="00007309">
        <w:rPr>
          <w:rFonts w:cs="Arial"/>
          <w:b/>
          <w:bCs/>
          <w:sz w:val="24"/>
          <w:szCs w:val="24"/>
          <w:rtl/>
        </w:rPr>
        <w:t>כֶּתֶר יִתְּנוּ</w:t>
      </w:r>
      <w:r w:rsidRPr="00007309">
        <w:rPr>
          <w:rFonts w:cs="Arial"/>
          <w:b/>
          <w:bCs/>
          <w:sz w:val="24"/>
          <w:szCs w:val="24"/>
        </w:rPr>
        <w:t xml:space="preserve"> </w:t>
      </w:r>
      <w:r w:rsidRPr="00007309">
        <w:rPr>
          <w:rFonts w:cs="Arial"/>
          <w:b/>
          <w:bCs/>
          <w:sz w:val="24"/>
          <w:szCs w:val="24"/>
          <w:rtl/>
        </w:rPr>
        <w:t xml:space="preserve">לְךָ ה' אֱלֹהֵינוּ. </w:t>
      </w:r>
      <w:r w:rsidRPr="00007309">
        <w:rPr>
          <w:rFonts w:cs="Arial"/>
          <w:b/>
          <w:bCs/>
          <w:sz w:val="36"/>
          <w:szCs w:val="28"/>
          <w:vertAlign w:val="superscript"/>
          <w:rtl/>
        </w:rPr>
        <w:footnoteReference w:id="6816"/>
      </w:r>
      <w:r w:rsidRPr="00007309">
        <w:rPr>
          <w:rFonts w:cs="Arial"/>
          <w:b/>
          <w:bCs/>
          <w:sz w:val="24"/>
          <w:szCs w:val="24"/>
          <w:rtl/>
        </w:rPr>
        <w:t xml:space="preserve">וּבְכָל אֲתַר כֶּתֶר אִימָּא, וְתַרְוַיְהוּ אִתְרְמִיזוּ </w:t>
      </w:r>
      <w:r w:rsidRPr="00007309">
        <w:rPr>
          <w:rFonts w:cs="Arial"/>
          <w:b/>
          <w:bCs/>
          <w:sz w:val="36"/>
          <w:szCs w:val="28"/>
          <w:vertAlign w:val="superscript"/>
          <w:rtl/>
        </w:rPr>
        <w:footnoteReference w:id="6817"/>
      </w:r>
      <w:r w:rsidRPr="00007309">
        <w:rPr>
          <w:rFonts w:cs="Arial"/>
          <w:b/>
          <w:bCs/>
          <w:sz w:val="24"/>
          <w:szCs w:val="24"/>
          <w:rtl/>
        </w:rPr>
        <w:t>בְּשֵׁם אֲדֹנָ"י</w:t>
      </w:r>
      <w:r w:rsidRPr="00007309">
        <w:rPr>
          <w:rFonts w:cs="Arial" w:hint="cs"/>
          <w:b/>
          <w:bCs/>
          <w:sz w:val="24"/>
          <w:szCs w:val="24"/>
          <w:rtl/>
        </w:rPr>
        <w:t>,</w:t>
      </w:r>
      <w:r w:rsidRPr="00007309">
        <w:rPr>
          <w:rFonts w:cs="Arial"/>
          <w:b/>
          <w:bCs/>
          <w:sz w:val="24"/>
          <w:szCs w:val="24"/>
          <w:rtl/>
        </w:rPr>
        <w:t xml:space="preserve"> א' אֶהְיֶ'ה</w:t>
      </w:r>
      <w:r w:rsidRPr="00007309">
        <w:rPr>
          <w:rFonts w:cs="Arial" w:hint="cs"/>
          <w:b/>
          <w:bCs/>
          <w:sz w:val="24"/>
          <w:szCs w:val="24"/>
          <w:rtl/>
        </w:rPr>
        <w:t>,</w:t>
      </w:r>
      <w:r w:rsidRPr="00007309">
        <w:rPr>
          <w:rFonts w:cs="Arial"/>
          <w:b/>
          <w:bCs/>
          <w:sz w:val="24"/>
          <w:szCs w:val="24"/>
          <w:rtl/>
        </w:rPr>
        <w:t xml:space="preserve"> י' יהו'ה. </w:t>
      </w:r>
      <w:r w:rsidRPr="00007309">
        <w:rPr>
          <w:rFonts w:cs="Arial"/>
          <w:b/>
          <w:bCs/>
          <w:sz w:val="36"/>
          <w:szCs w:val="28"/>
          <w:vertAlign w:val="superscript"/>
          <w:rtl/>
        </w:rPr>
        <w:footnoteReference w:id="6818"/>
      </w:r>
      <w:r w:rsidRPr="00007309">
        <w:rPr>
          <w:rFonts w:cs="Arial"/>
          <w:b/>
          <w:bCs/>
          <w:sz w:val="24"/>
          <w:szCs w:val="24"/>
          <w:rtl/>
        </w:rPr>
        <w:t>וְהָכֵי כַּד אדנ'י עַל יהו'ה אִיהוּ נוּקְבָא</w:t>
      </w:r>
      <w:r w:rsidRPr="00007309">
        <w:rPr>
          <w:rFonts w:cs="Arial" w:hint="cs"/>
          <w:b/>
          <w:bCs/>
          <w:sz w:val="24"/>
          <w:szCs w:val="24"/>
          <w:rtl/>
        </w:rPr>
        <w:t>,</w:t>
      </w:r>
      <w:r w:rsidRPr="00007309">
        <w:rPr>
          <w:rFonts w:cs="Arial"/>
          <w:b/>
          <w:bCs/>
          <w:sz w:val="24"/>
          <w:szCs w:val="24"/>
          <w:rtl/>
        </w:rPr>
        <w:t xml:space="preserve"> בַּת. </w:t>
      </w:r>
      <w:r w:rsidRPr="00007309">
        <w:rPr>
          <w:rFonts w:cs="Arial"/>
          <w:b/>
          <w:bCs/>
          <w:sz w:val="36"/>
          <w:szCs w:val="28"/>
          <w:vertAlign w:val="superscript"/>
          <w:rtl/>
        </w:rPr>
        <w:footnoteReference w:id="6819"/>
      </w:r>
      <w:r w:rsidRPr="00007309">
        <w:rPr>
          <w:rFonts w:cs="Arial"/>
          <w:b/>
          <w:bCs/>
          <w:sz w:val="24"/>
          <w:szCs w:val="24"/>
          <w:rtl/>
        </w:rPr>
        <w:t xml:space="preserve">כְּגַוְנָא דְּטִפָּה דִּדְכוֹרָא כַּד אַקְדִּים לְטִפָּה דְּנוּקְבָא, אִיהוּ בַּת. וְכַד נוּקְבָא אַקְדִימַת לִדְכוֹרָא אִיהוּ בֵּן. הָדָא הוּא דִּכְתִיב </w:t>
      </w:r>
      <w:r w:rsidRPr="00007309">
        <w:rPr>
          <w:rFonts w:ascii="Cambria" w:hAnsi="Cambria" w:cs="Times New Roman"/>
          <w:b/>
          <w:bCs/>
          <w:i/>
          <w:iCs/>
          <w:color w:val="4F81BD"/>
          <w:sz w:val="24"/>
          <w:szCs w:val="24"/>
          <w:rtl/>
        </w:rPr>
        <w:t>(עז ע"ד)</w:t>
      </w:r>
      <w:r w:rsidRPr="00007309">
        <w:rPr>
          <w:rFonts w:cs="Arial"/>
          <w:sz w:val="36"/>
          <w:szCs w:val="24"/>
          <w:rtl/>
        </w:rPr>
        <w:t xml:space="preserve"> </w:t>
      </w:r>
      <w:r w:rsidRPr="00007309">
        <w:rPr>
          <w:rFonts w:cs="Arial"/>
          <w:b/>
          <w:bCs/>
          <w:sz w:val="24"/>
          <w:szCs w:val="24"/>
          <w:rtl/>
        </w:rPr>
        <w:t xml:space="preserve">(בראשית ב) </w:t>
      </w:r>
      <w:r w:rsidRPr="00007309">
        <w:rPr>
          <w:rFonts w:cs="Arial"/>
          <w:b/>
          <w:bCs/>
          <w:sz w:val="36"/>
          <w:szCs w:val="28"/>
          <w:vertAlign w:val="superscript"/>
          <w:rtl/>
        </w:rPr>
        <w:footnoteReference w:id="6820"/>
      </w:r>
      <w:r w:rsidRPr="00007309">
        <w:rPr>
          <w:rFonts w:cs="Arial"/>
          <w:b/>
          <w:bCs/>
          <w:sz w:val="24"/>
          <w:szCs w:val="24"/>
          <w:rtl/>
        </w:rPr>
        <w:t xml:space="preserve">בְּיוֹם עֲשׂוֹת יהו'ה אֱלֹהִי"ם אֶרֶץ וְשָׁמַיִם. וּבְגִין דָּא עֶשֶׂר סְפִירוֹת מִסִּטְרָא דְּאֶהְיֶה מַתְחִילִים בְּאָת א', </w:t>
      </w:r>
      <w:r w:rsidRPr="00007309">
        <w:rPr>
          <w:rFonts w:cs="Arial"/>
          <w:b/>
          <w:bCs/>
          <w:sz w:val="36"/>
          <w:szCs w:val="28"/>
          <w:vertAlign w:val="superscript"/>
          <w:rtl/>
        </w:rPr>
        <w:footnoteReference w:id="6821"/>
      </w:r>
      <w:r w:rsidRPr="00007309">
        <w:rPr>
          <w:rFonts w:cs="Arial"/>
          <w:b/>
          <w:bCs/>
          <w:sz w:val="24"/>
          <w:szCs w:val="24"/>
          <w:rtl/>
        </w:rPr>
        <w:t xml:space="preserve">וְאִיהוּ </w:t>
      </w:r>
      <w:r w:rsidRPr="00007309">
        <w:rPr>
          <w:rFonts w:cs="Arial" w:hint="cs"/>
          <w:b/>
          <w:bCs/>
          <w:sz w:val="24"/>
          <w:szCs w:val="24"/>
          <w:rtl/>
        </w:rPr>
        <w:t>כ</w:t>
      </w:r>
      <w:r w:rsidRPr="00007309">
        <w:rPr>
          <w:rFonts w:cs="Arial"/>
          <w:b/>
          <w:bCs/>
          <w:sz w:val="24"/>
          <w:szCs w:val="24"/>
          <w:rtl/>
        </w:rPr>
        <w:t>'</w:t>
      </w:r>
      <w:r w:rsidRPr="00007309">
        <w:rPr>
          <w:rFonts w:cs="Arial" w:hint="cs"/>
          <w:b/>
          <w:bCs/>
          <w:sz w:val="24"/>
          <w:szCs w:val="24"/>
          <w:rtl/>
        </w:rPr>
        <w:t>,</w:t>
      </w:r>
      <w:r w:rsidRPr="00007309">
        <w:rPr>
          <w:rFonts w:cs="Arial"/>
          <w:b/>
          <w:bCs/>
          <w:sz w:val="24"/>
          <w:szCs w:val="24"/>
          <w:rtl/>
        </w:rPr>
        <w:t xml:space="preserve"> כֶּתֶר</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6822"/>
      </w:r>
      <w:r w:rsidRPr="00007309">
        <w:rPr>
          <w:rFonts w:cs="Arial"/>
          <w:b/>
          <w:bCs/>
          <w:sz w:val="24"/>
          <w:szCs w:val="24"/>
          <w:rtl/>
        </w:rPr>
        <w:t xml:space="preserve">כְּחֻשְׁבַּן </w:t>
      </w:r>
      <w:r w:rsidRPr="00007309">
        <w:rPr>
          <w:rFonts w:cs="Arial" w:hint="cs"/>
          <w:b/>
          <w:bCs/>
          <w:sz w:val="24"/>
          <w:szCs w:val="24"/>
          <w:rtl/>
        </w:rPr>
        <w:t>ה</w:t>
      </w:r>
      <w:r w:rsidRPr="00007309">
        <w:rPr>
          <w:rFonts w:cs="Arial"/>
          <w:b/>
          <w:bCs/>
          <w:sz w:val="24"/>
          <w:szCs w:val="24"/>
          <w:rtl/>
        </w:rPr>
        <w:t>ָיָּ'ה</w:t>
      </w:r>
      <w:r w:rsidRPr="00007309">
        <w:rPr>
          <w:rFonts w:cs="Arial" w:hint="cs"/>
          <w:b/>
          <w:bCs/>
          <w:sz w:val="24"/>
          <w:szCs w:val="24"/>
          <w:rtl/>
        </w:rPr>
        <w:t>,</w:t>
      </w:r>
      <w:r w:rsidRPr="00007309">
        <w:rPr>
          <w:rFonts w:cs="Arial"/>
          <w:b/>
          <w:bCs/>
          <w:sz w:val="24"/>
          <w:szCs w:val="24"/>
          <w:rtl/>
        </w:rPr>
        <w:t xml:space="preserve"> וּמִתְפַּשְּׁטִין מִנֵּהּ עֶשֶׂר הַוְיָן, </w:t>
      </w:r>
      <w:r w:rsidRPr="00007309">
        <w:rPr>
          <w:rFonts w:cs="Arial"/>
          <w:b/>
          <w:bCs/>
          <w:sz w:val="36"/>
          <w:szCs w:val="28"/>
          <w:vertAlign w:val="superscript"/>
          <w:rtl/>
        </w:rPr>
        <w:footnoteReference w:id="6823"/>
      </w:r>
      <w:r w:rsidRPr="00007309">
        <w:rPr>
          <w:rFonts w:cs="Arial"/>
          <w:b/>
          <w:bCs/>
          <w:sz w:val="24"/>
          <w:szCs w:val="24"/>
          <w:rtl/>
        </w:rPr>
        <w:t>וְאִנּוּן הֹוֶה הָיָה אֶהְיֶה</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6824"/>
      </w:r>
      <w:r w:rsidRPr="00007309">
        <w:rPr>
          <w:rFonts w:cs="Arial"/>
          <w:b/>
          <w:bCs/>
          <w:sz w:val="24"/>
          <w:szCs w:val="24"/>
          <w:rtl/>
        </w:rPr>
        <w:t xml:space="preserve">כְּגַוְנָא דְּאַתְוָן דְּאִנּוּן </w:t>
      </w:r>
      <w:r w:rsidRPr="00007309">
        <w:rPr>
          <w:rFonts w:cs="Arial"/>
          <w:b/>
          <w:bCs/>
          <w:sz w:val="36"/>
          <w:szCs w:val="28"/>
          <w:vertAlign w:val="superscript"/>
          <w:rtl/>
        </w:rPr>
        <w:footnoteReference w:id="6825"/>
      </w:r>
      <w:r w:rsidRPr="00007309">
        <w:rPr>
          <w:rFonts w:cs="Arial"/>
          <w:b/>
          <w:bCs/>
          <w:sz w:val="24"/>
          <w:szCs w:val="24"/>
          <w:rtl/>
        </w:rPr>
        <w:t>יְהוָֹ"ה מֶלֶךְ יְהוָֹ"ה מֶלֶךְ יְהוָֹ"ה יִמְלֹךְ</w:t>
      </w:r>
      <w:r w:rsidRPr="00007309">
        <w:rPr>
          <w:rFonts w:cs="Arial" w:hint="cs"/>
          <w:b/>
          <w:bCs/>
          <w:sz w:val="24"/>
          <w:szCs w:val="24"/>
          <w:rtl/>
        </w:rPr>
        <w:t>,</w:t>
      </w:r>
      <w:r w:rsidRPr="00007309">
        <w:rPr>
          <w:rFonts w:cs="Arial"/>
          <w:b/>
          <w:bCs/>
          <w:sz w:val="24"/>
          <w:szCs w:val="24"/>
          <w:rtl/>
        </w:rPr>
        <w:t xml:space="preserve"> הֹוֶה הָיָה וְיִהְיֶה</w:t>
      </w:r>
      <w:r w:rsidRPr="00007309">
        <w:rPr>
          <w:rFonts w:cs="Arial" w:hint="cs"/>
          <w:b/>
          <w:bCs/>
          <w:sz w:val="24"/>
          <w:szCs w:val="24"/>
          <w:rtl/>
        </w:rPr>
        <w:t>,</w:t>
      </w:r>
      <w:r w:rsidRPr="00007309">
        <w:rPr>
          <w:rFonts w:cs="Arial"/>
          <w:b/>
          <w:bCs/>
          <w:sz w:val="24"/>
          <w:szCs w:val="24"/>
          <w:rtl/>
        </w:rPr>
        <w:t xml:space="preserve"> דִּנְקֻדָּה דִּלְהוֹן דַּהֲוָיָה דָּא מַסְהִיד </w:t>
      </w:r>
      <w:r w:rsidRPr="00007309">
        <w:rPr>
          <w:rFonts w:cs="Arial"/>
          <w:b/>
          <w:bCs/>
          <w:sz w:val="36"/>
          <w:szCs w:val="28"/>
          <w:vertAlign w:val="superscript"/>
          <w:rtl/>
        </w:rPr>
        <w:footnoteReference w:id="6826"/>
      </w:r>
      <w:r w:rsidRPr="00007309">
        <w:rPr>
          <w:rFonts w:cs="Arial"/>
          <w:b/>
          <w:bCs/>
          <w:sz w:val="24"/>
          <w:szCs w:val="24"/>
          <w:rtl/>
        </w:rPr>
        <w:t xml:space="preserve">עַל עִלַּת כָּל עִלָּאִין, דְּאִיהוּ הָיָה קֹדֶם כֹּל הֲוָיָה, וְיִהְיֶה בָּתַר כָּל הֹוֶה עַד אֵין סוֹף. </w:t>
      </w:r>
      <w:r w:rsidRPr="00007309">
        <w:rPr>
          <w:rFonts w:cs="Arial"/>
          <w:b/>
          <w:bCs/>
          <w:sz w:val="36"/>
          <w:szCs w:val="28"/>
          <w:vertAlign w:val="superscript"/>
          <w:rtl/>
        </w:rPr>
        <w:footnoteReference w:id="6827"/>
      </w:r>
      <w:r w:rsidRPr="00007309">
        <w:rPr>
          <w:rFonts w:cs="Arial"/>
          <w:b/>
          <w:bCs/>
          <w:sz w:val="24"/>
          <w:szCs w:val="24"/>
          <w:rtl/>
        </w:rPr>
        <w:t>וּמִסִּטְרָא דַּאֲדֹנָ"י אִתְקְרֵי אֵין דְּאִתְרְמִיז בַּאֲ</w:t>
      </w:r>
      <w:r w:rsidRPr="00007309">
        <w:rPr>
          <w:rFonts w:cs="Arial" w:hint="cs"/>
          <w:b/>
          <w:bCs/>
          <w:sz w:val="24"/>
          <w:szCs w:val="24"/>
          <w:rtl/>
        </w:rPr>
        <w:t>ד</w:t>
      </w:r>
      <w:r w:rsidRPr="00007309">
        <w:rPr>
          <w:rFonts w:cs="Arial"/>
          <w:b/>
          <w:bCs/>
          <w:sz w:val="24"/>
          <w:szCs w:val="24"/>
          <w:rtl/>
        </w:rPr>
        <w:t>ֹנָ"י דְּאַסְהִיד עָלֵהּ דְּאִיהוּ אַחֲרִית עַד אֵין סוֹף וְתַכְלִית. וְאֶהְיֶ'ה סָהִי</w:t>
      </w:r>
      <w:r w:rsidRPr="00007309">
        <w:rPr>
          <w:rFonts w:cs="Arial" w:hint="cs"/>
          <w:b/>
          <w:bCs/>
          <w:sz w:val="24"/>
          <w:szCs w:val="24"/>
          <w:rtl/>
        </w:rPr>
        <w:t>ד</w:t>
      </w:r>
      <w:r w:rsidRPr="00007309">
        <w:rPr>
          <w:rFonts w:cs="Arial"/>
          <w:b/>
          <w:bCs/>
          <w:sz w:val="24"/>
          <w:szCs w:val="24"/>
          <w:rtl/>
        </w:rPr>
        <w:t xml:space="preserve"> עַל קַדְמוּתוֹ דְּלֵית קַדְמוֹן עָלֵהּ.</w:t>
      </w:r>
    </w:p>
    <w:p w:rsidR="00007309" w:rsidRPr="00007309" w:rsidRDefault="00007309" w:rsidP="00007309">
      <w:pPr>
        <w:keepNext/>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[וילנא טו ע"א]</w:t>
      </w:r>
    </w:p>
    <w:p w:rsidR="00007309" w:rsidRPr="00007309" w:rsidRDefault="00007309" w:rsidP="00007309">
      <w:pPr>
        <w:jc w:val="both"/>
        <w:rPr>
          <w:rFonts w:cs="Arial"/>
          <w:b/>
          <w:bCs/>
          <w:sz w:val="24"/>
          <w:szCs w:val="24"/>
          <w:rtl/>
        </w:rPr>
      </w:pPr>
      <w:r w:rsidRPr="00007309">
        <w:rPr>
          <w:rFonts w:cs="Arial"/>
          <w:b/>
          <w:bCs/>
          <w:sz w:val="36"/>
          <w:szCs w:val="28"/>
          <w:vertAlign w:val="superscript"/>
          <w:rtl/>
        </w:rPr>
        <w:footnoteReference w:id="6828"/>
      </w:r>
      <w:r w:rsidRPr="00007309">
        <w:rPr>
          <w:rFonts w:cs="Arial"/>
          <w:b/>
          <w:bCs/>
          <w:sz w:val="24"/>
          <w:szCs w:val="24"/>
          <w:rtl/>
        </w:rPr>
        <w:t>וְסִימָנִיךְ דַּאֲחוֹרַי</w:t>
      </w:r>
      <w:r w:rsidRPr="00007309">
        <w:rPr>
          <w:rFonts w:cs="Arial" w:hint="cs"/>
          <w:b/>
          <w:bCs/>
          <w:sz w:val="24"/>
          <w:szCs w:val="24"/>
          <w:rtl/>
        </w:rPr>
        <w:t>ם</w:t>
      </w:r>
      <w:r w:rsidRPr="00007309">
        <w:rPr>
          <w:rFonts w:cs="Arial"/>
          <w:b/>
          <w:bCs/>
          <w:sz w:val="24"/>
          <w:szCs w:val="24"/>
          <w:rtl/>
        </w:rPr>
        <w:t xml:space="preserve"> א"י א"י</w:t>
      </w:r>
      <w:r w:rsidRPr="00007309">
        <w:rPr>
          <w:rFonts w:cs="Arial" w:hint="cs"/>
          <w:b/>
          <w:bCs/>
          <w:sz w:val="24"/>
          <w:szCs w:val="24"/>
          <w:rtl/>
        </w:rPr>
        <w:t>.</w:t>
      </w:r>
      <w:r w:rsidRPr="00007309">
        <w:rPr>
          <w:rFonts w:cs="Arial"/>
          <w:b/>
          <w:bCs/>
          <w:sz w:val="24"/>
          <w:szCs w:val="24"/>
          <w:rtl/>
        </w:rPr>
        <w:t xml:space="preserve"> אֶהְיֶ"ה יְהוָֹ"ה אֲדֹנָ"י יְהוָֹה. </w:t>
      </w:r>
      <w:r w:rsidRPr="00007309">
        <w:rPr>
          <w:rFonts w:cs="Arial"/>
          <w:b/>
          <w:bCs/>
          <w:sz w:val="36"/>
          <w:szCs w:val="28"/>
          <w:vertAlign w:val="superscript"/>
          <w:rtl/>
        </w:rPr>
        <w:footnoteReference w:id="6829"/>
      </w:r>
      <w:r w:rsidRPr="00007309">
        <w:rPr>
          <w:rFonts w:cs="Arial"/>
          <w:b/>
          <w:bCs/>
          <w:sz w:val="24"/>
          <w:szCs w:val="24"/>
          <w:rtl/>
        </w:rPr>
        <w:t xml:space="preserve">אִנּוּן </w:t>
      </w:r>
      <w:r w:rsidRPr="00007309">
        <w:rPr>
          <w:rFonts w:cs="Arial"/>
          <w:b/>
          <w:bCs/>
          <w:sz w:val="36"/>
          <w:szCs w:val="28"/>
          <w:vertAlign w:val="superscript"/>
          <w:rtl/>
        </w:rPr>
        <w:footnoteReference w:id="6830"/>
      </w:r>
      <w:r w:rsidRPr="00007309">
        <w:rPr>
          <w:rFonts w:cs="Arial"/>
          <w:b/>
          <w:bCs/>
          <w:sz w:val="24"/>
          <w:szCs w:val="24"/>
          <w:rtl/>
        </w:rPr>
        <w:t xml:space="preserve">עֲשָׂרָה עֲשָׂרָה אַרְבַּע אַרְבַּע. </w:t>
      </w:r>
      <w:r w:rsidRPr="00007309">
        <w:rPr>
          <w:rFonts w:cs="Arial"/>
          <w:b/>
          <w:bCs/>
          <w:sz w:val="36"/>
          <w:szCs w:val="28"/>
          <w:vertAlign w:val="superscript"/>
          <w:rtl/>
        </w:rPr>
        <w:footnoteReference w:id="6831"/>
      </w:r>
      <w:r w:rsidRPr="00007309">
        <w:rPr>
          <w:rFonts w:cs="Arial"/>
          <w:b/>
          <w:bCs/>
          <w:sz w:val="24"/>
          <w:szCs w:val="24"/>
          <w:rtl/>
        </w:rPr>
        <w:t xml:space="preserve">אַרְבַּע רָשֻׁיּוֹת דְּשַׁבָּת </w:t>
      </w:r>
      <w:r w:rsidRPr="00007309">
        <w:rPr>
          <w:rFonts w:cs="Arial"/>
          <w:b/>
          <w:bCs/>
          <w:sz w:val="36"/>
          <w:szCs w:val="28"/>
          <w:vertAlign w:val="superscript"/>
          <w:rtl/>
        </w:rPr>
        <w:footnoteReference w:id="6832"/>
      </w:r>
      <w:r w:rsidRPr="00007309">
        <w:rPr>
          <w:rFonts w:cs="Arial"/>
          <w:b/>
          <w:bCs/>
          <w:sz w:val="24"/>
          <w:szCs w:val="24"/>
          <w:rtl/>
        </w:rPr>
        <w:t xml:space="preserve">דְּלֵית זָר בֵּינַיְהוּ, </w:t>
      </w:r>
      <w:r w:rsidRPr="00007309">
        <w:rPr>
          <w:rFonts w:cs="Arial"/>
          <w:b/>
          <w:bCs/>
          <w:sz w:val="36"/>
          <w:szCs w:val="28"/>
          <w:vertAlign w:val="superscript"/>
          <w:rtl/>
        </w:rPr>
        <w:footnoteReference w:id="6833"/>
      </w:r>
      <w:r w:rsidRPr="00007309">
        <w:rPr>
          <w:rFonts w:cs="Arial"/>
          <w:b/>
          <w:bCs/>
          <w:sz w:val="24"/>
          <w:szCs w:val="24"/>
          <w:rtl/>
        </w:rPr>
        <w:t>וְאִנּוּן תְּרֵין</w:t>
      </w:r>
      <w:r w:rsidRPr="00007309">
        <w:rPr>
          <w:rFonts w:cs="Arial" w:hint="cs"/>
          <w:b/>
          <w:bCs/>
          <w:sz w:val="24"/>
          <w:szCs w:val="24"/>
          <w:rtl/>
        </w:rPr>
        <w:t>.</w:t>
      </w:r>
      <w:r w:rsidRPr="00007309">
        <w:rPr>
          <w:rFonts w:cs="Arial"/>
          <w:b/>
          <w:bCs/>
          <w:sz w:val="24"/>
          <w:szCs w:val="24"/>
          <w:rtl/>
        </w:rPr>
        <w:t xml:space="preserve"> דְּכַר וְנוּקְבָא חַד לִימִינָא. וּדְכַר וְנוּקְבָא חַד לִשְׂמָאלָא. </w:t>
      </w:r>
      <w:r w:rsidRPr="00007309">
        <w:rPr>
          <w:rFonts w:cs="Arial"/>
          <w:b/>
          <w:bCs/>
          <w:sz w:val="36"/>
          <w:szCs w:val="28"/>
          <w:vertAlign w:val="superscript"/>
          <w:rtl/>
        </w:rPr>
        <w:footnoteReference w:id="6834"/>
      </w:r>
      <w:r w:rsidRPr="00007309">
        <w:rPr>
          <w:rFonts w:cs="Arial"/>
          <w:b/>
          <w:bCs/>
          <w:sz w:val="24"/>
          <w:szCs w:val="24"/>
          <w:rtl/>
        </w:rPr>
        <w:t xml:space="preserve">וּפָנַי </w:t>
      </w:r>
      <w:r w:rsidRPr="00007309">
        <w:rPr>
          <w:rFonts w:cs="Arial"/>
          <w:b/>
          <w:bCs/>
          <w:sz w:val="36"/>
          <w:szCs w:val="28"/>
          <w:vertAlign w:val="superscript"/>
          <w:rtl/>
        </w:rPr>
        <w:footnoteReference w:id="6835"/>
      </w:r>
      <w:r w:rsidRPr="00007309">
        <w:rPr>
          <w:rFonts w:cs="Arial"/>
          <w:b/>
          <w:bCs/>
          <w:sz w:val="24"/>
          <w:szCs w:val="24"/>
          <w:rtl/>
        </w:rPr>
        <w:t>לֹא יֵרָאוּ</w:t>
      </w:r>
      <w:r w:rsidRPr="00007309">
        <w:rPr>
          <w:rFonts w:cs="Arial" w:hint="cs"/>
          <w:b/>
          <w:bCs/>
          <w:sz w:val="24"/>
          <w:szCs w:val="24"/>
          <w:rtl/>
        </w:rPr>
        <w:t>,</w:t>
      </w:r>
      <w:r w:rsidRPr="00007309">
        <w:rPr>
          <w:rFonts w:cs="Arial"/>
          <w:b/>
          <w:bCs/>
          <w:sz w:val="24"/>
          <w:szCs w:val="24"/>
          <w:rtl/>
        </w:rPr>
        <w:t xml:space="preserve"> י'א י'א</w:t>
      </w:r>
      <w:r w:rsidRPr="00007309">
        <w:rPr>
          <w:rFonts w:cs="Arial" w:hint="cs"/>
          <w:b/>
          <w:bCs/>
          <w:sz w:val="24"/>
          <w:szCs w:val="24"/>
          <w:rtl/>
        </w:rPr>
        <w:t>,</w:t>
      </w:r>
      <w:r w:rsidRPr="00007309">
        <w:rPr>
          <w:rFonts w:cs="Arial"/>
          <w:b/>
          <w:bCs/>
          <w:sz w:val="24"/>
          <w:szCs w:val="24"/>
          <w:rtl/>
        </w:rPr>
        <w:t xml:space="preserve"> יְהוָֹה אֱלֹהֵינוּ יְהוָֹה אֶחָד</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6836"/>
      </w:r>
      <w:r w:rsidRPr="00007309">
        <w:rPr>
          <w:rFonts w:cs="Arial"/>
          <w:b/>
          <w:bCs/>
          <w:sz w:val="24"/>
          <w:szCs w:val="24"/>
          <w:rtl/>
        </w:rPr>
        <w:t>וְכָל שְׁמָא רָחְבּוֹ אַרְבַּע וְגָבְהוֹ עֲשָׂרָה</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6837"/>
      </w:r>
      <w:r w:rsidRPr="00007309">
        <w:rPr>
          <w:rFonts w:cs="Arial"/>
          <w:b/>
          <w:bCs/>
          <w:sz w:val="24"/>
          <w:szCs w:val="24"/>
          <w:rtl/>
        </w:rPr>
        <w:t>וְסַלְקִין אַרְבַּע אַרְבַּע לע"ב</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6838"/>
      </w:r>
      <w:r w:rsidRPr="00007309">
        <w:rPr>
          <w:rFonts w:cs="Arial"/>
          <w:b/>
          <w:bCs/>
          <w:sz w:val="24"/>
          <w:szCs w:val="24"/>
          <w:rtl/>
        </w:rPr>
        <w:t>וְתַלְיָן מֵעֶשֶׂר</w:t>
      </w:r>
      <w:r w:rsidRPr="00007309">
        <w:rPr>
          <w:rFonts w:cs="Arial" w:hint="cs"/>
          <w:b/>
          <w:bCs/>
          <w:sz w:val="24"/>
          <w:szCs w:val="24"/>
          <w:rtl/>
        </w:rPr>
        <w:t>,</w:t>
      </w:r>
      <w:r w:rsidRPr="00007309">
        <w:rPr>
          <w:rFonts w:cs="Arial"/>
          <w:b/>
          <w:bCs/>
          <w:sz w:val="24"/>
          <w:szCs w:val="24"/>
          <w:rtl/>
        </w:rPr>
        <w:t xml:space="preserve"> כְּגַוְנָא דָּא יוּ"ד הֵ"י וָי"ו הֵ"י. וְאִנּוּן יוּ"ד עֶשְׂרִין. ה'י ה'י תְּלָתִין. וָי"ו עֶשְׂרִין וּתְרֵין. סַלְקִין ע"ב. כְּגַוְנָא דְּעֶשֶׂר אַתְוָן דְּאִנּוּן י' י'ה יה'ו הו'ה וְסַלְקִין לע"ב. לֵית</w:t>
      </w:r>
      <w:r w:rsidRPr="00007309">
        <w:rPr>
          <w:rFonts w:cs="Arial" w:hint="cs"/>
          <w:b/>
          <w:bCs/>
          <w:sz w:val="24"/>
          <w:szCs w:val="24"/>
          <w:rtl/>
        </w:rPr>
        <w:t xml:space="preserve"> </w:t>
      </w:r>
      <w:r w:rsidRPr="00007309">
        <w:rPr>
          <w:rFonts w:ascii="Cambria" w:hAnsi="Cambria" w:cs="Times New Roman" w:hint="cs"/>
          <w:b/>
          <w:bCs/>
          <w:i/>
          <w:iCs/>
          <w:color w:val="4F81BD"/>
          <w:sz w:val="24"/>
          <w:szCs w:val="24"/>
          <w:rtl/>
        </w:rPr>
        <w:t>(וילנא טו ע"א)</w:t>
      </w:r>
      <w:r w:rsidRPr="00007309">
        <w:rPr>
          <w:rFonts w:cs="Arial" w:hint="cs"/>
          <w:b/>
          <w:bCs/>
          <w:sz w:val="24"/>
          <w:szCs w:val="24"/>
          <w:rtl/>
        </w:rPr>
        <w:t xml:space="preserve"> </w:t>
      </w:r>
      <w:r w:rsidRPr="00007309">
        <w:rPr>
          <w:rFonts w:cs="Arial"/>
          <w:b/>
          <w:bCs/>
          <w:sz w:val="24"/>
          <w:szCs w:val="24"/>
          <w:rtl/>
        </w:rPr>
        <w:t xml:space="preserve">שְׁמָא בֵּין מע"ב בֵּין ממ"ב דְּלָא תַּלְיָא מֵעֶשֶׂר סְפִירָן. </w:t>
      </w:r>
      <w:r w:rsidRPr="00007309">
        <w:rPr>
          <w:rFonts w:cs="Arial"/>
          <w:b/>
          <w:bCs/>
          <w:sz w:val="36"/>
          <w:szCs w:val="28"/>
          <w:vertAlign w:val="superscript"/>
          <w:rtl/>
        </w:rPr>
        <w:footnoteReference w:id="6839"/>
      </w:r>
      <w:r w:rsidRPr="00007309">
        <w:rPr>
          <w:rFonts w:cs="Arial"/>
          <w:b/>
          <w:bCs/>
          <w:sz w:val="24"/>
          <w:szCs w:val="24"/>
          <w:rtl/>
        </w:rPr>
        <w:t>כְּגַוְנָא דְּכָל סְפִירָ</w:t>
      </w:r>
      <w:r w:rsidRPr="00007309">
        <w:rPr>
          <w:rFonts w:cs="Arial" w:hint="cs"/>
          <w:b/>
          <w:bCs/>
          <w:sz w:val="24"/>
          <w:szCs w:val="24"/>
          <w:rtl/>
        </w:rPr>
        <w:t>ה</w:t>
      </w:r>
      <w:r w:rsidRPr="00007309">
        <w:rPr>
          <w:rFonts w:cs="Arial"/>
          <w:b/>
          <w:bCs/>
          <w:sz w:val="24"/>
          <w:szCs w:val="24"/>
          <w:rtl/>
        </w:rPr>
        <w:t xml:space="preserve"> אִתְכְּלִילָא מֵעֶשֶׂר סְפִירָן. אֲבָל עכ"ד דְּתַלְיָן מֵעֶשֶׂר סְפִירָן, כָּל שְׁמָהָן צָרִיךְ כָּל חַד לְאִשְׁתְּמוֹדְעָא לֵהּ בִּסְפִירָ</w:t>
      </w:r>
      <w:r w:rsidRPr="00007309">
        <w:rPr>
          <w:rFonts w:cs="Arial" w:hint="cs"/>
          <w:b/>
          <w:bCs/>
          <w:sz w:val="24"/>
          <w:szCs w:val="24"/>
          <w:rtl/>
        </w:rPr>
        <w:t>ה</w:t>
      </w:r>
      <w:r w:rsidRPr="00007309">
        <w:rPr>
          <w:rFonts w:cs="Arial"/>
          <w:b/>
          <w:bCs/>
          <w:sz w:val="24"/>
          <w:szCs w:val="24"/>
          <w:rtl/>
        </w:rPr>
        <w:t xml:space="preserve"> דִּילֵהּ. כְּגוֹן חֶסֶ'ד דְּסָלִיק ע'ב, בֵּהּ צָרִיךְ לְאִשְׁתְּמוֹדְעָא ע'ב הֲוָיוֹת דְּאִשְׁתְּכָחוּ מִשְּׁמָא דָּא, דְּאִיהוּ יוּד הֶי וָיו הֶי </w:t>
      </w:r>
      <w:r w:rsidRPr="00007309">
        <w:rPr>
          <w:rFonts w:cs="Arial"/>
          <w:b/>
          <w:bCs/>
          <w:sz w:val="36"/>
          <w:szCs w:val="28"/>
          <w:vertAlign w:val="superscript"/>
          <w:rtl/>
        </w:rPr>
        <w:footnoteReference w:id="6840"/>
      </w:r>
      <w:r w:rsidRPr="00007309">
        <w:rPr>
          <w:rFonts w:cs="Arial"/>
          <w:b/>
          <w:bCs/>
          <w:sz w:val="24"/>
          <w:szCs w:val="24"/>
          <w:rtl/>
        </w:rPr>
        <w:t xml:space="preserve">וְאִלֵּין אִנּוּן </w:t>
      </w:r>
      <w:r w:rsidRPr="00007309">
        <w:rPr>
          <w:rFonts w:cs="Arial"/>
          <w:sz w:val="36"/>
          <w:szCs w:val="24"/>
          <w:rtl/>
        </w:rPr>
        <w:t>(אמ"ז</w:t>
      </w:r>
      <w:r w:rsidRPr="00007309">
        <w:rPr>
          <w:rFonts w:cs="Arial" w:hint="cs"/>
          <w:sz w:val="36"/>
          <w:szCs w:val="24"/>
          <w:rtl/>
        </w:rPr>
        <w:t>:</w:t>
      </w:r>
      <w:r w:rsidRPr="00007309">
        <w:rPr>
          <w:rFonts w:cs="Arial"/>
          <w:sz w:val="36"/>
          <w:szCs w:val="24"/>
          <w:rtl/>
        </w:rPr>
        <w:t xml:space="preserve"> עיין בתיקונים ת"א יש עוד ב' נוסחאות אחרות. גם בס' הפרדס שער פרטי השמות דף קכ"ג יש דרך אחר</w:t>
      </w:r>
      <w:r w:rsidRPr="00007309">
        <w:rPr>
          <w:rFonts w:cs="Arial" w:hint="cs"/>
          <w:sz w:val="36"/>
          <w:szCs w:val="24"/>
          <w:rtl/>
        </w:rPr>
        <w:t>.</w:t>
      </w:r>
      <w:r w:rsidRPr="00007309">
        <w:rPr>
          <w:rFonts w:cs="Arial"/>
          <w:sz w:val="36"/>
          <w:szCs w:val="24"/>
          <w:rtl/>
        </w:rPr>
        <w:t xml:space="preserve"> ואולי שהם בחינות שונות זו מזו אבל מה שצ"ע הוא שלא יש בנוס' זה כי אם ע"א שמות).</w:t>
      </w:r>
    </w:p>
    <w:p w:rsidR="00007309" w:rsidRPr="00007309" w:rsidRDefault="00007309" w:rsidP="00007309">
      <w:pPr>
        <w:jc w:val="both"/>
        <w:rPr>
          <w:rFonts w:cs="Arial"/>
          <w:b/>
          <w:bCs/>
          <w:sz w:val="36"/>
          <w:szCs w:val="28"/>
          <w:rtl/>
        </w:rPr>
      </w:pPr>
      <w:r w:rsidRPr="00007309">
        <w:rPr>
          <w:rFonts w:cs="Arial"/>
          <w:b/>
          <w:bCs/>
          <w:sz w:val="36"/>
          <w:szCs w:val="28"/>
          <w:rtl/>
        </w:rPr>
        <w:t xml:space="preserve">יהו </w:t>
      </w:r>
      <w:r w:rsidRPr="00007309">
        <w:rPr>
          <w:rFonts w:cs="Arial" w:hint="cs"/>
          <w:b/>
          <w:bCs/>
          <w:sz w:val="36"/>
          <w:szCs w:val="28"/>
          <w:rtl/>
        </w:rPr>
        <w:tab/>
      </w:r>
      <w:r w:rsidRPr="00007309">
        <w:rPr>
          <w:rFonts w:cs="Arial"/>
          <w:b/>
          <w:bCs/>
          <w:sz w:val="36"/>
          <w:szCs w:val="28"/>
          <w:rtl/>
        </w:rPr>
        <w:t xml:space="preserve">הוה </w:t>
      </w:r>
      <w:r w:rsidRPr="00007309">
        <w:rPr>
          <w:rFonts w:cs="Arial" w:hint="cs"/>
          <w:b/>
          <w:bCs/>
          <w:sz w:val="36"/>
          <w:szCs w:val="28"/>
          <w:rtl/>
        </w:rPr>
        <w:tab/>
      </w:r>
      <w:r w:rsidRPr="00007309">
        <w:rPr>
          <w:rFonts w:cs="Arial"/>
          <w:b/>
          <w:bCs/>
          <w:sz w:val="36"/>
          <w:szCs w:val="28"/>
          <w:rtl/>
        </w:rPr>
        <w:t xml:space="preserve">והי </w:t>
      </w:r>
      <w:r w:rsidRPr="00007309">
        <w:rPr>
          <w:rFonts w:cs="Arial" w:hint="cs"/>
          <w:b/>
          <w:bCs/>
          <w:sz w:val="36"/>
          <w:szCs w:val="28"/>
          <w:rtl/>
        </w:rPr>
        <w:tab/>
      </w:r>
      <w:r w:rsidRPr="00007309">
        <w:rPr>
          <w:rFonts w:cs="Arial"/>
          <w:b/>
          <w:bCs/>
          <w:sz w:val="36"/>
          <w:szCs w:val="28"/>
          <w:rtl/>
        </w:rPr>
        <w:t xml:space="preserve">היה </w:t>
      </w:r>
      <w:r w:rsidRPr="00007309">
        <w:rPr>
          <w:rFonts w:cs="Arial" w:hint="cs"/>
          <w:b/>
          <w:bCs/>
          <w:sz w:val="36"/>
          <w:szCs w:val="28"/>
          <w:rtl/>
        </w:rPr>
        <w:tab/>
      </w:r>
      <w:r w:rsidRPr="00007309">
        <w:rPr>
          <w:rFonts w:cs="Arial"/>
          <w:b/>
          <w:bCs/>
          <w:sz w:val="36"/>
          <w:szCs w:val="28"/>
          <w:rtl/>
        </w:rPr>
        <w:t xml:space="preserve">והו </w:t>
      </w:r>
      <w:r w:rsidRPr="00007309">
        <w:rPr>
          <w:rFonts w:cs="Arial" w:hint="cs"/>
          <w:b/>
          <w:bCs/>
          <w:sz w:val="36"/>
          <w:szCs w:val="28"/>
          <w:rtl/>
        </w:rPr>
        <w:tab/>
      </w:r>
      <w:r w:rsidRPr="00007309">
        <w:rPr>
          <w:rFonts w:cs="Arial"/>
          <w:b/>
          <w:bCs/>
          <w:sz w:val="36"/>
          <w:szCs w:val="28"/>
          <w:rtl/>
        </w:rPr>
        <w:t xml:space="preserve">הוי </w:t>
      </w:r>
      <w:r w:rsidRPr="00007309">
        <w:rPr>
          <w:rFonts w:cs="Arial" w:hint="cs"/>
          <w:b/>
          <w:bCs/>
          <w:sz w:val="36"/>
          <w:szCs w:val="28"/>
          <w:rtl/>
        </w:rPr>
        <w:tab/>
      </w:r>
      <w:r w:rsidRPr="00007309">
        <w:rPr>
          <w:rFonts w:cs="Arial"/>
          <w:b/>
          <w:bCs/>
          <w:sz w:val="36"/>
          <w:szCs w:val="28"/>
          <w:rtl/>
        </w:rPr>
        <w:t xml:space="preserve">ויו </w:t>
      </w:r>
      <w:r w:rsidRPr="00007309">
        <w:rPr>
          <w:rFonts w:cs="Arial" w:hint="cs"/>
          <w:b/>
          <w:bCs/>
          <w:sz w:val="36"/>
          <w:szCs w:val="28"/>
          <w:rtl/>
        </w:rPr>
        <w:tab/>
      </w:r>
      <w:r w:rsidRPr="00007309">
        <w:rPr>
          <w:rFonts w:cs="Arial"/>
          <w:b/>
          <w:bCs/>
          <w:sz w:val="36"/>
          <w:szCs w:val="28"/>
          <w:rtl/>
        </w:rPr>
        <w:t xml:space="preserve">יוה </w:t>
      </w:r>
      <w:r w:rsidRPr="00007309">
        <w:rPr>
          <w:rFonts w:cs="Arial" w:hint="cs"/>
          <w:b/>
          <w:bCs/>
          <w:sz w:val="36"/>
          <w:szCs w:val="28"/>
          <w:rtl/>
        </w:rPr>
        <w:tab/>
      </w:r>
      <w:r w:rsidRPr="00007309">
        <w:rPr>
          <w:rFonts w:cs="Arial"/>
          <w:b/>
          <w:bCs/>
          <w:sz w:val="36"/>
          <w:szCs w:val="28"/>
          <w:rtl/>
        </w:rPr>
        <w:t xml:space="preserve">והו </w:t>
      </w:r>
      <w:r w:rsidRPr="00007309">
        <w:rPr>
          <w:rFonts w:cs="Arial" w:hint="cs"/>
          <w:b/>
          <w:bCs/>
          <w:sz w:val="36"/>
          <w:szCs w:val="28"/>
          <w:rtl/>
        </w:rPr>
        <w:tab/>
      </w:r>
      <w:r w:rsidRPr="00007309">
        <w:rPr>
          <w:rFonts w:cs="Arial"/>
          <w:b/>
          <w:bCs/>
          <w:sz w:val="36"/>
          <w:szCs w:val="28"/>
          <w:rtl/>
        </w:rPr>
        <w:t xml:space="preserve">ויה </w:t>
      </w:r>
      <w:r w:rsidRPr="00007309">
        <w:rPr>
          <w:rFonts w:cs="Arial" w:hint="cs"/>
          <w:b/>
          <w:bCs/>
          <w:sz w:val="36"/>
          <w:szCs w:val="28"/>
          <w:rtl/>
        </w:rPr>
        <w:tab/>
      </w:r>
      <w:r w:rsidRPr="00007309">
        <w:rPr>
          <w:rFonts w:cs="Arial"/>
          <w:b/>
          <w:bCs/>
          <w:sz w:val="36"/>
          <w:szCs w:val="28"/>
          <w:rtl/>
        </w:rPr>
        <w:t xml:space="preserve">יהי </w:t>
      </w:r>
      <w:r w:rsidRPr="00007309">
        <w:rPr>
          <w:rFonts w:cs="Arial" w:hint="cs"/>
          <w:b/>
          <w:bCs/>
          <w:sz w:val="36"/>
          <w:szCs w:val="28"/>
          <w:rtl/>
        </w:rPr>
        <w:tab/>
      </w:r>
      <w:r w:rsidRPr="00007309">
        <w:rPr>
          <w:rFonts w:cs="Arial"/>
          <w:b/>
          <w:bCs/>
          <w:sz w:val="36"/>
          <w:szCs w:val="28"/>
          <w:rtl/>
        </w:rPr>
        <w:t xml:space="preserve">היו </w:t>
      </w:r>
    </w:p>
    <w:p w:rsidR="00007309" w:rsidRPr="00007309" w:rsidRDefault="00007309" w:rsidP="00007309">
      <w:pPr>
        <w:jc w:val="both"/>
        <w:rPr>
          <w:rFonts w:cs="Arial"/>
          <w:b/>
          <w:bCs/>
          <w:sz w:val="36"/>
          <w:szCs w:val="28"/>
          <w:rtl/>
        </w:rPr>
      </w:pPr>
      <w:r w:rsidRPr="00007309">
        <w:rPr>
          <w:rFonts w:cs="Arial"/>
          <w:b/>
          <w:bCs/>
          <w:sz w:val="36"/>
          <w:szCs w:val="28"/>
          <w:rtl/>
        </w:rPr>
        <w:t xml:space="preserve">יוי </w:t>
      </w:r>
      <w:r w:rsidRPr="00007309">
        <w:rPr>
          <w:rFonts w:cs="Arial" w:hint="cs"/>
          <w:b/>
          <w:bCs/>
          <w:sz w:val="36"/>
          <w:szCs w:val="28"/>
          <w:rtl/>
        </w:rPr>
        <w:tab/>
      </w:r>
      <w:r w:rsidRPr="00007309">
        <w:rPr>
          <w:rFonts w:cs="Arial"/>
          <w:b/>
          <w:bCs/>
          <w:sz w:val="36"/>
          <w:szCs w:val="28"/>
          <w:rtl/>
        </w:rPr>
        <w:t xml:space="preserve">הוה </w:t>
      </w:r>
      <w:r w:rsidRPr="00007309">
        <w:rPr>
          <w:rFonts w:cs="Arial" w:hint="cs"/>
          <w:b/>
          <w:bCs/>
          <w:sz w:val="36"/>
          <w:szCs w:val="28"/>
          <w:rtl/>
        </w:rPr>
        <w:tab/>
      </w:r>
      <w:r w:rsidRPr="00007309">
        <w:rPr>
          <w:rFonts w:cs="Arial"/>
          <w:b/>
          <w:bCs/>
          <w:sz w:val="36"/>
          <w:szCs w:val="28"/>
          <w:rtl/>
        </w:rPr>
        <w:t xml:space="preserve">והו </w:t>
      </w:r>
      <w:r w:rsidRPr="00007309">
        <w:rPr>
          <w:rFonts w:cs="Arial" w:hint="cs"/>
          <w:b/>
          <w:bCs/>
          <w:sz w:val="36"/>
          <w:szCs w:val="28"/>
          <w:rtl/>
        </w:rPr>
        <w:tab/>
      </w:r>
      <w:r w:rsidRPr="00007309">
        <w:rPr>
          <w:rFonts w:cs="Arial"/>
          <w:b/>
          <w:bCs/>
          <w:sz w:val="36"/>
          <w:szCs w:val="28"/>
          <w:rtl/>
        </w:rPr>
        <w:t xml:space="preserve">והי </w:t>
      </w:r>
      <w:r w:rsidRPr="00007309">
        <w:rPr>
          <w:rFonts w:cs="Arial" w:hint="cs"/>
          <w:b/>
          <w:bCs/>
          <w:sz w:val="36"/>
          <w:szCs w:val="28"/>
          <w:rtl/>
        </w:rPr>
        <w:tab/>
      </w:r>
      <w:r w:rsidRPr="00007309">
        <w:rPr>
          <w:rFonts w:cs="Arial"/>
          <w:b/>
          <w:bCs/>
          <w:sz w:val="36"/>
          <w:szCs w:val="28"/>
          <w:rtl/>
        </w:rPr>
        <w:t xml:space="preserve">ויו </w:t>
      </w:r>
      <w:r w:rsidRPr="00007309">
        <w:rPr>
          <w:rFonts w:cs="Arial" w:hint="cs"/>
          <w:b/>
          <w:bCs/>
          <w:sz w:val="36"/>
          <w:szCs w:val="28"/>
          <w:rtl/>
        </w:rPr>
        <w:tab/>
      </w:r>
      <w:r w:rsidRPr="00007309">
        <w:rPr>
          <w:rFonts w:cs="Arial"/>
          <w:b/>
          <w:bCs/>
          <w:sz w:val="36"/>
          <w:szCs w:val="28"/>
          <w:rtl/>
        </w:rPr>
        <w:t xml:space="preserve">יוי </w:t>
      </w:r>
      <w:r w:rsidRPr="00007309">
        <w:rPr>
          <w:rFonts w:cs="Arial" w:hint="cs"/>
          <w:b/>
          <w:bCs/>
          <w:sz w:val="36"/>
          <w:szCs w:val="28"/>
          <w:rtl/>
        </w:rPr>
        <w:tab/>
      </w:r>
      <w:r w:rsidRPr="00007309">
        <w:rPr>
          <w:rFonts w:cs="Arial"/>
          <w:b/>
          <w:bCs/>
          <w:sz w:val="36"/>
          <w:szCs w:val="28"/>
          <w:rtl/>
        </w:rPr>
        <w:t xml:space="preserve">היו </w:t>
      </w:r>
      <w:r w:rsidRPr="00007309">
        <w:rPr>
          <w:rFonts w:cs="Arial" w:hint="cs"/>
          <w:b/>
          <w:bCs/>
          <w:sz w:val="36"/>
          <w:szCs w:val="28"/>
          <w:rtl/>
        </w:rPr>
        <w:tab/>
      </w:r>
      <w:r w:rsidRPr="00007309">
        <w:rPr>
          <w:rFonts w:cs="Arial"/>
          <w:b/>
          <w:bCs/>
          <w:sz w:val="36"/>
          <w:szCs w:val="28"/>
          <w:rtl/>
        </w:rPr>
        <w:t xml:space="preserve">יהה </w:t>
      </w:r>
      <w:r w:rsidRPr="00007309">
        <w:rPr>
          <w:rFonts w:cs="Arial" w:hint="cs"/>
          <w:b/>
          <w:bCs/>
          <w:sz w:val="36"/>
          <w:szCs w:val="28"/>
          <w:rtl/>
        </w:rPr>
        <w:tab/>
      </w:r>
      <w:r w:rsidRPr="00007309">
        <w:rPr>
          <w:rFonts w:cs="Arial"/>
          <w:b/>
          <w:bCs/>
          <w:sz w:val="36"/>
          <w:szCs w:val="28"/>
          <w:rtl/>
        </w:rPr>
        <w:t xml:space="preserve">הוי </w:t>
      </w:r>
      <w:r w:rsidRPr="00007309">
        <w:rPr>
          <w:rFonts w:cs="Arial" w:hint="cs"/>
          <w:b/>
          <w:bCs/>
          <w:sz w:val="36"/>
          <w:szCs w:val="28"/>
          <w:rtl/>
        </w:rPr>
        <w:tab/>
      </w:r>
      <w:r w:rsidRPr="00007309">
        <w:rPr>
          <w:rFonts w:cs="Arial"/>
          <w:b/>
          <w:bCs/>
          <w:sz w:val="36"/>
          <w:szCs w:val="28"/>
          <w:rtl/>
        </w:rPr>
        <w:t xml:space="preserve">והה </w:t>
      </w:r>
      <w:r w:rsidRPr="00007309">
        <w:rPr>
          <w:rFonts w:cs="Arial" w:hint="cs"/>
          <w:b/>
          <w:bCs/>
          <w:sz w:val="36"/>
          <w:szCs w:val="28"/>
          <w:rtl/>
        </w:rPr>
        <w:t xml:space="preserve"> </w:t>
      </w:r>
      <w:r w:rsidRPr="00007309">
        <w:rPr>
          <w:rFonts w:cs="Arial" w:hint="cs"/>
          <w:b/>
          <w:bCs/>
          <w:sz w:val="36"/>
          <w:szCs w:val="28"/>
          <w:rtl/>
        </w:rPr>
        <w:tab/>
      </w:r>
      <w:r w:rsidRPr="00007309">
        <w:rPr>
          <w:rFonts w:cs="Arial"/>
          <w:b/>
          <w:bCs/>
          <w:sz w:val="36"/>
          <w:szCs w:val="28"/>
          <w:rtl/>
        </w:rPr>
        <w:t xml:space="preserve">הוו </w:t>
      </w:r>
      <w:r w:rsidRPr="00007309">
        <w:rPr>
          <w:rFonts w:cs="Arial" w:hint="cs"/>
          <w:b/>
          <w:bCs/>
          <w:sz w:val="36"/>
          <w:szCs w:val="28"/>
          <w:rtl/>
        </w:rPr>
        <w:t xml:space="preserve"> </w:t>
      </w:r>
      <w:r w:rsidRPr="00007309">
        <w:rPr>
          <w:rFonts w:cs="Arial"/>
          <w:b/>
          <w:bCs/>
          <w:sz w:val="36"/>
          <w:szCs w:val="28"/>
          <w:rtl/>
        </w:rPr>
        <w:t>ויה יוו</w:t>
      </w:r>
    </w:p>
    <w:p w:rsidR="00007309" w:rsidRPr="00007309" w:rsidRDefault="00007309" w:rsidP="00007309">
      <w:pPr>
        <w:jc w:val="both"/>
        <w:rPr>
          <w:rFonts w:cs="Arial"/>
          <w:b/>
          <w:bCs/>
          <w:sz w:val="36"/>
          <w:szCs w:val="28"/>
          <w:rtl/>
        </w:rPr>
      </w:pPr>
      <w:r w:rsidRPr="00007309">
        <w:rPr>
          <w:rFonts w:cs="Arial"/>
          <w:b/>
          <w:bCs/>
          <w:sz w:val="36"/>
          <w:szCs w:val="28"/>
          <w:rtl/>
        </w:rPr>
        <w:t xml:space="preserve">יוה </w:t>
      </w:r>
      <w:r w:rsidRPr="00007309">
        <w:rPr>
          <w:rFonts w:cs="Arial" w:hint="cs"/>
          <w:b/>
          <w:bCs/>
          <w:sz w:val="36"/>
          <w:szCs w:val="28"/>
          <w:rtl/>
        </w:rPr>
        <w:tab/>
      </w:r>
      <w:r w:rsidRPr="00007309">
        <w:rPr>
          <w:rFonts w:cs="Arial"/>
          <w:b/>
          <w:bCs/>
          <w:sz w:val="36"/>
          <w:szCs w:val="28"/>
          <w:rtl/>
        </w:rPr>
        <w:t xml:space="preserve">ויי </w:t>
      </w:r>
      <w:r w:rsidRPr="00007309">
        <w:rPr>
          <w:rFonts w:cs="Arial" w:hint="cs"/>
          <w:b/>
          <w:bCs/>
          <w:sz w:val="36"/>
          <w:szCs w:val="28"/>
          <w:rtl/>
        </w:rPr>
        <w:tab/>
      </w:r>
      <w:r w:rsidRPr="00007309">
        <w:rPr>
          <w:rFonts w:cs="Arial"/>
          <w:b/>
          <w:bCs/>
          <w:sz w:val="36"/>
          <w:szCs w:val="28"/>
          <w:rtl/>
        </w:rPr>
        <w:t xml:space="preserve">יהו </w:t>
      </w:r>
      <w:r w:rsidRPr="00007309">
        <w:rPr>
          <w:rFonts w:cs="Arial" w:hint="cs"/>
          <w:b/>
          <w:bCs/>
          <w:sz w:val="36"/>
          <w:szCs w:val="28"/>
          <w:rtl/>
        </w:rPr>
        <w:tab/>
      </w:r>
      <w:r w:rsidRPr="00007309">
        <w:rPr>
          <w:rFonts w:cs="Arial"/>
          <w:b/>
          <w:bCs/>
          <w:sz w:val="36"/>
          <w:szCs w:val="28"/>
          <w:rtl/>
        </w:rPr>
        <w:t>היי</w:t>
      </w:r>
      <w:r w:rsidRPr="00007309">
        <w:rPr>
          <w:rFonts w:cs="Arial"/>
          <w:b/>
          <w:bCs/>
          <w:sz w:val="36"/>
          <w:szCs w:val="28"/>
        </w:rPr>
        <w:t xml:space="preserve"> </w:t>
      </w:r>
      <w:r w:rsidRPr="00007309">
        <w:rPr>
          <w:rFonts w:cs="Arial"/>
          <w:b/>
          <w:bCs/>
          <w:sz w:val="36"/>
          <w:szCs w:val="28"/>
        </w:rPr>
        <w:tab/>
      </w:r>
      <w:r w:rsidRPr="00007309">
        <w:rPr>
          <w:rFonts w:cs="Arial"/>
          <w:b/>
          <w:bCs/>
          <w:sz w:val="36"/>
          <w:szCs w:val="28"/>
          <w:rtl/>
        </w:rPr>
        <w:t xml:space="preserve">ייה </w:t>
      </w:r>
      <w:r w:rsidRPr="00007309">
        <w:rPr>
          <w:rFonts w:cs="Arial" w:hint="cs"/>
          <w:b/>
          <w:bCs/>
          <w:sz w:val="36"/>
          <w:szCs w:val="28"/>
          <w:rtl/>
        </w:rPr>
        <w:tab/>
      </w:r>
      <w:r w:rsidRPr="00007309">
        <w:rPr>
          <w:rFonts w:cs="Arial"/>
          <w:b/>
          <w:bCs/>
          <w:sz w:val="36"/>
          <w:szCs w:val="28"/>
          <w:rtl/>
        </w:rPr>
        <w:t xml:space="preserve">יהה </w:t>
      </w:r>
      <w:r w:rsidRPr="00007309">
        <w:rPr>
          <w:rFonts w:cs="Arial" w:hint="cs"/>
          <w:b/>
          <w:bCs/>
          <w:sz w:val="36"/>
          <w:szCs w:val="28"/>
          <w:rtl/>
        </w:rPr>
        <w:tab/>
      </w:r>
      <w:r w:rsidRPr="00007309">
        <w:rPr>
          <w:rFonts w:cs="Arial"/>
          <w:b/>
          <w:bCs/>
          <w:sz w:val="36"/>
          <w:szCs w:val="28"/>
          <w:rtl/>
        </w:rPr>
        <w:t xml:space="preserve">והה </w:t>
      </w:r>
      <w:r w:rsidRPr="00007309">
        <w:rPr>
          <w:rFonts w:cs="Arial" w:hint="cs"/>
          <w:b/>
          <w:bCs/>
          <w:sz w:val="36"/>
          <w:szCs w:val="28"/>
          <w:rtl/>
        </w:rPr>
        <w:tab/>
      </w:r>
      <w:r w:rsidRPr="00007309">
        <w:rPr>
          <w:rFonts w:cs="Arial"/>
          <w:b/>
          <w:bCs/>
          <w:sz w:val="36"/>
          <w:szCs w:val="28"/>
          <w:rtl/>
        </w:rPr>
        <w:t xml:space="preserve">יוו </w:t>
      </w:r>
      <w:r w:rsidRPr="00007309">
        <w:rPr>
          <w:rFonts w:cs="Arial" w:hint="cs"/>
          <w:b/>
          <w:bCs/>
          <w:sz w:val="36"/>
          <w:szCs w:val="28"/>
          <w:rtl/>
        </w:rPr>
        <w:tab/>
      </w:r>
      <w:r w:rsidRPr="00007309">
        <w:rPr>
          <w:rFonts w:cs="Arial"/>
          <w:b/>
          <w:bCs/>
          <w:sz w:val="36"/>
          <w:szCs w:val="28"/>
          <w:rtl/>
        </w:rPr>
        <w:t xml:space="preserve">ויי </w:t>
      </w:r>
      <w:r w:rsidRPr="00007309">
        <w:rPr>
          <w:rFonts w:cs="Arial" w:hint="cs"/>
          <w:b/>
          <w:bCs/>
          <w:sz w:val="36"/>
          <w:szCs w:val="28"/>
          <w:rtl/>
        </w:rPr>
        <w:tab/>
      </w:r>
      <w:r w:rsidRPr="00007309">
        <w:rPr>
          <w:rFonts w:cs="Arial"/>
          <w:b/>
          <w:bCs/>
          <w:sz w:val="36"/>
          <w:szCs w:val="28"/>
          <w:rtl/>
        </w:rPr>
        <w:t xml:space="preserve">ההי </w:t>
      </w:r>
      <w:r w:rsidRPr="00007309">
        <w:rPr>
          <w:rFonts w:cs="Arial" w:hint="cs"/>
          <w:b/>
          <w:bCs/>
          <w:sz w:val="36"/>
          <w:szCs w:val="28"/>
          <w:rtl/>
        </w:rPr>
        <w:tab/>
      </w:r>
      <w:r w:rsidRPr="00007309">
        <w:rPr>
          <w:rFonts w:cs="Arial"/>
          <w:b/>
          <w:bCs/>
          <w:sz w:val="36"/>
          <w:szCs w:val="28"/>
          <w:rtl/>
        </w:rPr>
        <w:t xml:space="preserve">יוה </w:t>
      </w:r>
      <w:r w:rsidRPr="00007309">
        <w:rPr>
          <w:rFonts w:cs="Arial" w:hint="cs"/>
          <w:b/>
          <w:bCs/>
          <w:sz w:val="36"/>
          <w:szCs w:val="28"/>
          <w:rtl/>
        </w:rPr>
        <w:t xml:space="preserve"> </w:t>
      </w:r>
      <w:r w:rsidRPr="00007309">
        <w:rPr>
          <w:rFonts w:cs="Arial"/>
          <w:b/>
          <w:bCs/>
          <w:sz w:val="36"/>
          <w:szCs w:val="28"/>
          <w:rtl/>
        </w:rPr>
        <w:t>ההו</w:t>
      </w:r>
    </w:p>
    <w:p w:rsidR="00007309" w:rsidRPr="00007309" w:rsidRDefault="00007309" w:rsidP="00007309">
      <w:pPr>
        <w:jc w:val="both"/>
        <w:rPr>
          <w:rFonts w:cs="Arial"/>
          <w:b/>
          <w:bCs/>
          <w:sz w:val="36"/>
          <w:szCs w:val="28"/>
          <w:rtl/>
        </w:rPr>
      </w:pPr>
      <w:r w:rsidRPr="00007309">
        <w:rPr>
          <w:rFonts w:cs="Arial"/>
          <w:b/>
          <w:bCs/>
          <w:sz w:val="36"/>
          <w:szCs w:val="28"/>
          <w:rtl/>
        </w:rPr>
        <w:t xml:space="preserve">ויה </w:t>
      </w:r>
      <w:r w:rsidRPr="00007309">
        <w:rPr>
          <w:rFonts w:cs="Arial" w:hint="cs"/>
          <w:b/>
          <w:bCs/>
          <w:sz w:val="36"/>
          <w:szCs w:val="28"/>
          <w:rtl/>
        </w:rPr>
        <w:tab/>
      </w:r>
      <w:r w:rsidRPr="00007309">
        <w:rPr>
          <w:rFonts w:cs="Arial"/>
          <w:b/>
          <w:bCs/>
          <w:sz w:val="36"/>
          <w:szCs w:val="28"/>
          <w:rtl/>
        </w:rPr>
        <w:t xml:space="preserve">היו </w:t>
      </w:r>
      <w:r w:rsidRPr="00007309">
        <w:rPr>
          <w:rFonts w:cs="Arial" w:hint="cs"/>
          <w:b/>
          <w:bCs/>
          <w:sz w:val="36"/>
          <w:szCs w:val="28"/>
          <w:rtl/>
        </w:rPr>
        <w:tab/>
      </w:r>
      <w:r w:rsidRPr="00007309">
        <w:rPr>
          <w:rFonts w:cs="Arial"/>
          <w:b/>
          <w:bCs/>
          <w:sz w:val="36"/>
          <w:szCs w:val="28"/>
          <w:rtl/>
        </w:rPr>
        <w:t xml:space="preserve">ווי </w:t>
      </w:r>
      <w:r w:rsidRPr="00007309">
        <w:rPr>
          <w:rFonts w:cs="Arial" w:hint="cs"/>
          <w:b/>
          <w:bCs/>
          <w:sz w:val="36"/>
          <w:szCs w:val="28"/>
          <w:rtl/>
        </w:rPr>
        <w:tab/>
      </w:r>
      <w:r w:rsidRPr="00007309">
        <w:rPr>
          <w:rFonts w:cs="Arial"/>
          <w:b/>
          <w:bCs/>
          <w:sz w:val="36"/>
          <w:szCs w:val="28"/>
          <w:rtl/>
        </w:rPr>
        <w:t xml:space="preserve">יהו </w:t>
      </w:r>
      <w:r w:rsidRPr="00007309">
        <w:rPr>
          <w:rFonts w:cs="Arial" w:hint="cs"/>
          <w:b/>
          <w:bCs/>
          <w:sz w:val="36"/>
          <w:szCs w:val="28"/>
          <w:rtl/>
        </w:rPr>
        <w:tab/>
      </w:r>
      <w:r w:rsidRPr="00007309">
        <w:rPr>
          <w:rFonts w:cs="Arial"/>
          <w:b/>
          <w:bCs/>
          <w:sz w:val="36"/>
          <w:szCs w:val="28"/>
          <w:rtl/>
        </w:rPr>
        <w:t xml:space="preserve">ייו </w:t>
      </w:r>
      <w:r w:rsidRPr="00007309">
        <w:rPr>
          <w:rFonts w:cs="Arial" w:hint="cs"/>
          <w:b/>
          <w:bCs/>
          <w:sz w:val="36"/>
          <w:szCs w:val="28"/>
          <w:rtl/>
        </w:rPr>
        <w:tab/>
      </w:r>
      <w:r w:rsidRPr="00007309">
        <w:rPr>
          <w:rFonts w:cs="Arial"/>
          <w:b/>
          <w:bCs/>
          <w:sz w:val="36"/>
          <w:szCs w:val="28"/>
          <w:rtl/>
        </w:rPr>
        <w:t xml:space="preserve">ייה </w:t>
      </w:r>
      <w:r w:rsidRPr="00007309">
        <w:rPr>
          <w:rFonts w:cs="Arial" w:hint="cs"/>
          <w:b/>
          <w:bCs/>
          <w:sz w:val="36"/>
          <w:szCs w:val="28"/>
          <w:rtl/>
        </w:rPr>
        <w:tab/>
      </w:r>
      <w:r w:rsidRPr="00007309">
        <w:rPr>
          <w:rFonts w:cs="Arial"/>
          <w:b/>
          <w:bCs/>
          <w:sz w:val="36"/>
          <w:szCs w:val="28"/>
          <w:rtl/>
        </w:rPr>
        <w:t xml:space="preserve">הוי </w:t>
      </w:r>
      <w:r w:rsidRPr="00007309">
        <w:rPr>
          <w:rFonts w:cs="Arial" w:hint="cs"/>
          <w:b/>
          <w:bCs/>
          <w:sz w:val="36"/>
          <w:szCs w:val="28"/>
          <w:rtl/>
        </w:rPr>
        <w:tab/>
      </w:r>
      <w:r w:rsidRPr="00007309">
        <w:rPr>
          <w:rFonts w:cs="Arial"/>
          <w:b/>
          <w:bCs/>
          <w:sz w:val="36"/>
          <w:szCs w:val="28"/>
          <w:rtl/>
        </w:rPr>
        <w:t xml:space="preserve">ההי </w:t>
      </w:r>
      <w:r w:rsidRPr="00007309">
        <w:rPr>
          <w:rFonts w:cs="Arial" w:hint="cs"/>
          <w:b/>
          <w:bCs/>
          <w:sz w:val="36"/>
          <w:szCs w:val="28"/>
          <w:rtl/>
        </w:rPr>
        <w:tab/>
      </w:r>
      <w:r w:rsidRPr="00007309">
        <w:rPr>
          <w:rFonts w:cs="Arial"/>
          <w:b/>
          <w:bCs/>
          <w:sz w:val="36"/>
          <w:szCs w:val="28"/>
          <w:rtl/>
        </w:rPr>
        <w:t xml:space="preserve">ייה </w:t>
      </w:r>
      <w:r w:rsidRPr="00007309">
        <w:rPr>
          <w:rFonts w:cs="Arial" w:hint="cs"/>
          <w:b/>
          <w:bCs/>
          <w:sz w:val="36"/>
          <w:szCs w:val="28"/>
          <w:rtl/>
        </w:rPr>
        <w:t xml:space="preserve"> </w:t>
      </w:r>
      <w:r w:rsidRPr="00007309">
        <w:rPr>
          <w:rFonts w:cs="Arial"/>
          <w:b/>
          <w:bCs/>
          <w:sz w:val="36"/>
          <w:szCs w:val="28"/>
          <w:rtl/>
        </w:rPr>
        <w:t xml:space="preserve">ווה ההו </w:t>
      </w:r>
      <w:r w:rsidRPr="00007309">
        <w:rPr>
          <w:rFonts w:cs="Arial" w:hint="cs"/>
          <w:b/>
          <w:bCs/>
          <w:sz w:val="36"/>
          <w:szCs w:val="28"/>
          <w:rtl/>
        </w:rPr>
        <w:tab/>
      </w:r>
      <w:r w:rsidRPr="00007309">
        <w:rPr>
          <w:rFonts w:cs="Arial"/>
          <w:b/>
          <w:bCs/>
          <w:sz w:val="36"/>
          <w:szCs w:val="28"/>
          <w:rtl/>
        </w:rPr>
        <w:t>ייו ווי היו</w:t>
      </w:r>
    </w:p>
    <w:p w:rsidR="00007309" w:rsidRPr="00007309" w:rsidRDefault="00007309" w:rsidP="00007309">
      <w:pPr>
        <w:jc w:val="both"/>
        <w:rPr>
          <w:rFonts w:cs="Arial"/>
          <w:b/>
          <w:bCs/>
          <w:sz w:val="36"/>
          <w:szCs w:val="28"/>
          <w:rtl/>
        </w:rPr>
      </w:pPr>
      <w:r w:rsidRPr="00007309">
        <w:rPr>
          <w:rFonts w:cs="Arial"/>
          <w:b/>
          <w:bCs/>
          <w:sz w:val="36"/>
          <w:szCs w:val="28"/>
          <w:rtl/>
        </w:rPr>
        <w:t xml:space="preserve">ווה </w:t>
      </w:r>
      <w:r w:rsidRPr="00007309">
        <w:rPr>
          <w:rFonts w:cs="Arial" w:hint="cs"/>
          <w:b/>
          <w:bCs/>
          <w:sz w:val="36"/>
          <w:szCs w:val="28"/>
          <w:rtl/>
        </w:rPr>
        <w:tab/>
      </w:r>
      <w:r w:rsidRPr="00007309">
        <w:rPr>
          <w:rFonts w:cs="Arial"/>
          <w:b/>
          <w:bCs/>
          <w:sz w:val="36"/>
          <w:szCs w:val="28"/>
          <w:rtl/>
        </w:rPr>
        <w:t xml:space="preserve">יהו </w:t>
      </w:r>
      <w:r w:rsidRPr="00007309">
        <w:rPr>
          <w:rFonts w:cs="Arial" w:hint="cs"/>
          <w:b/>
          <w:bCs/>
          <w:sz w:val="36"/>
          <w:szCs w:val="28"/>
          <w:rtl/>
        </w:rPr>
        <w:tab/>
      </w:r>
      <w:r w:rsidRPr="00007309">
        <w:rPr>
          <w:rFonts w:cs="Arial"/>
          <w:b/>
          <w:bCs/>
          <w:sz w:val="36"/>
          <w:szCs w:val="28"/>
          <w:rtl/>
        </w:rPr>
        <w:t xml:space="preserve">ייה </w:t>
      </w:r>
      <w:r w:rsidRPr="00007309">
        <w:rPr>
          <w:rFonts w:cs="Arial" w:hint="cs"/>
          <w:b/>
          <w:bCs/>
          <w:sz w:val="36"/>
          <w:szCs w:val="28"/>
          <w:rtl/>
        </w:rPr>
        <w:tab/>
      </w:r>
      <w:r w:rsidRPr="00007309">
        <w:rPr>
          <w:rFonts w:cs="Arial"/>
          <w:b/>
          <w:bCs/>
          <w:sz w:val="36"/>
          <w:szCs w:val="28"/>
          <w:rtl/>
        </w:rPr>
        <w:t xml:space="preserve">הוי </w:t>
      </w:r>
      <w:r w:rsidRPr="00007309">
        <w:rPr>
          <w:rFonts w:cs="Arial" w:hint="cs"/>
          <w:b/>
          <w:bCs/>
          <w:sz w:val="36"/>
          <w:szCs w:val="28"/>
          <w:rtl/>
        </w:rPr>
        <w:tab/>
      </w:r>
      <w:r w:rsidRPr="00007309">
        <w:rPr>
          <w:rFonts w:cs="Arial"/>
          <w:b/>
          <w:bCs/>
          <w:sz w:val="36"/>
          <w:szCs w:val="28"/>
          <w:rtl/>
        </w:rPr>
        <w:t xml:space="preserve">והי </w:t>
      </w:r>
      <w:r w:rsidRPr="00007309">
        <w:rPr>
          <w:rFonts w:cs="Arial" w:hint="cs"/>
          <w:b/>
          <w:bCs/>
          <w:sz w:val="36"/>
          <w:szCs w:val="28"/>
          <w:rtl/>
        </w:rPr>
        <w:tab/>
      </w:r>
      <w:r w:rsidRPr="00007309">
        <w:rPr>
          <w:rFonts w:cs="Arial"/>
          <w:b/>
          <w:bCs/>
          <w:sz w:val="36"/>
          <w:szCs w:val="28"/>
          <w:rtl/>
        </w:rPr>
        <w:t xml:space="preserve">ייו </w:t>
      </w:r>
      <w:r w:rsidRPr="00007309">
        <w:rPr>
          <w:rFonts w:cs="Arial" w:hint="cs"/>
          <w:b/>
          <w:bCs/>
          <w:sz w:val="36"/>
          <w:szCs w:val="28"/>
          <w:rtl/>
        </w:rPr>
        <w:tab/>
      </w:r>
      <w:r w:rsidRPr="00007309">
        <w:rPr>
          <w:rFonts w:cs="Arial"/>
          <w:b/>
          <w:bCs/>
          <w:sz w:val="36"/>
          <w:szCs w:val="28"/>
          <w:rtl/>
        </w:rPr>
        <w:t xml:space="preserve">ייה </w:t>
      </w:r>
      <w:r w:rsidRPr="00007309">
        <w:rPr>
          <w:rFonts w:cs="Arial" w:hint="cs"/>
          <w:b/>
          <w:bCs/>
          <w:sz w:val="36"/>
          <w:szCs w:val="28"/>
          <w:rtl/>
        </w:rPr>
        <w:tab/>
      </w:r>
      <w:r w:rsidRPr="00007309">
        <w:rPr>
          <w:rFonts w:cs="Arial"/>
          <w:b/>
          <w:bCs/>
          <w:sz w:val="36"/>
          <w:szCs w:val="28"/>
          <w:rtl/>
        </w:rPr>
        <w:t xml:space="preserve">הוי </w:t>
      </w:r>
      <w:r w:rsidRPr="00007309">
        <w:rPr>
          <w:rFonts w:cs="Arial" w:hint="cs"/>
          <w:b/>
          <w:bCs/>
          <w:sz w:val="36"/>
          <w:szCs w:val="28"/>
          <w:rtl/>
        </w:rPr>
        <w:tab/>
      </w:r>
      <w:r w:rsidRPr="00007309">
        <w:rPr>
          <w:rFonts w:cs="Arial"/>
          <w:b/>
          <w:bCs/>
          <w:sz w:val="36"/>
          <w:szCs w:val="28"/>
          <w:rtl/>
        </w:rPr>
        <w:t xml:space="preserve">ייו </w:t>
      </w:r>
      <w:r w:rsidRPr="00007309">
        <w:rPr>
          <w:rFonts w:cs="Arial" w:hint="cs"/>
          <w:b/>
          <w:bCs/>
          <w:sz w:val="36"/>
          <w:szCs w:val="28"/>
          <w:rtl/>
        </w:rPr>
        <w:tab/>
      </w:r>
      <w:r w:rsidRPr="00007309">
        <w:rPr>
          <w:rFonts w:cs="Arial"/>
          <w:b/>
          <w:bCs/>
          <w:sz w:val="36"/>
          <w:szCs w:val="28"/>
          <w:rtl/>
        </w:rPr>
        <w:t xml:space="preserve">ייה </w:t>
      </w:r>
      <w:r w:rsidRPr="00007309">
        <w:rPr>
          <w:rFonts w:cs="Arial" w:hint="cs"/>
          <w:b/>
          <w:bCs/>
          <w:sz w:val="36"/>
          <w:szCs w:val="28"/>
          <w:rtl/>
        </w:rPr>
        <w:tab/>
      </w:r>
      <w:r w:rsidRPr="00007309">
        <w:rPr>
          <w:rFonts w:cs="Arial"/>
          <w:b/>
          <w:bCs/>
          <w:sz w:val="36"/>
          <w:szCs w:val="28"/>
          <w:rtl/>
        </w:rPr>
        <w:t>הוי והי ייו</w:t>
      </w:r>
    </w:p>
    <w:p w:rsidR="00007309" w:rsidRPr="00007309" w:rsidRDefault="00007309" w:rsidP="00007309">
      <w:pPr>
        <w:jc w:val="both"/>
        <w:rPr>
          <w:rFonts w:cs="Arial"/>
          <w:b/>
          <w:bCs/>
          <w:sz w:val="36"/>
          <w:szCs w:val="28"/>
          <w:rtl/>
        </w:rPr>
      </w:pPr>
      <w:r w:rsidRPr="00007309">
        <w:rPr>
          <w:rFonts w:cs="Arial"/>
          <w:b/>
          <w:bCs/>
          <w:sz w:val="36"/>
          <w:szCs w:val="28"/>
          <w:rtl/>
        </w:rPr>
        <w:t xml:space="preserve">ייו </w:t>
      </w:r>
      <w:r w:rsidRPr="00007309">
        <w:rPr>
          <w:rFonts w:cs="Arial" w:hint="cs"/>
          <w:b/>
          <w:bCs/>
          <w:sz w:val="36"/>
          <w:szCs w:val="28"/>
          <w:rtl/>
        </w:rPr>
        <w:tab/>
      </w:r>
      <w:r w:rsidRPr="00007309">
        <w:rPr>
          <w:rFonts w:cs="Arial"/>
          <w:b/>
          <w:bCs/>
          <w:sz w:val="36"/>
          <w:szCs w:val="28"/>
          <w:rtl/>
        </w:rPr>
        <w:t xml:space="preserve">ויי </w:t>
      </w:r>
      <w:r w:rsidRPr="00007309">
        <w:rPr>
          <w:rFonts w:cs="Arial" w:hint="cs"/>
          <w:b/>
          <w:bCs/>
          <w:sz w:val="36"/>
          <w:szCs w:val="28"/>
          <w:rtl/>
        </w:rPr>
        <w:tab/>
      </w:r>
      <w:r w:rsidRPr="00007309">
        <w:rPr>
          <w:rFonts w:cs="Arial"/>
          <w:b/>
          <w:bCs/>
          <w:sz w:val="36"/>
          <w:szCs w:val="28"/>
          <w:rtl/>
        </w:rPr>
        <w:t xml:space="preserve">ההו </w:t>
      </w:r>
      <w:r w:rsidRPr="00007309">
        <w:rPr>
          <w:rFonts w:cs="Arial" w:hint="cs"/>
          <w:b/>
          <w:bCs/>
          <w:sz w:val="36"/>
          <w:szCs w:val="28"/>
          <w:rtl/>
        </w:rPr>
        <w:tab/>
      </w:r>
      <w:r w:rsidRPr="00007309">
        <w:rPr>
          <w:rFonts w:cs="Arial"/>
          <w:b/>
          <w:bCs/>
          <w:sz w:val="36"/>
          <w:szCs w:val="28"/>
          <w:rtl/>
        </w:rPr>
        <w:t xml:space="preserve">ייה </w:t>
      </w:r>
      <w:r w:rsidRPr="00007309">
        <w:rPr>
          <w:rFonts w:cs="Arial" w:hint="cs"/>
          <w:b/>
          <w:bCs/>
          <w:sz w:val="36"/>
          <w:szCs w:val="28"/>
          <w:rtl/>
        </w:rPr>
        <w:tab/>
      </w:r>
      <w:r w:rsidRPr="00007309">
        <w:rPr>
          <w:rFonts w:cs="Arial"/>
          <w:b/>
          <w:bCs/>
          <w:sz w:val="36"/>
          <w:szCs w:val="28"/>
          <w:rtl/>
        </w:rPr>
        <w:t xml:space="preserve">(והה) </w:t>
      </w:r>
      <w:r w:rsidRPr="00007309">
        <w:rPr>
          <w:rFonts w:cs="Arial" w:hint="cs"/>
          <w:b/>
          <w:bCs/>
          <w:sz w:val="36"/>
          <w:szCs w:val="28"/>
          <w:rtl/>
        </w:rPr>
        <w:tab/>
      </w:r>
      <w:r w:rsidRPr="00007309">
        <w:rPr>
          <w:rFonts w:cs="Arial"/>
          <w:b/>
          <w:bCs/>
          <w:sz w:val="36"/>
          <w:szCs w:val="28"/>
          <w:rtl/>
        </w:rPr>
        <w:t xml:space="preserve">ווה </w:t>
      </w:r>
      <w:r w:rsidRPr="00007309">
        <w:rPr>
          <w:rFonts w:cs="Arial" w:hint="cs"/>
          <w:b/>
          <w:bCs/>
          <w:sz w:val="36"/>
          <w:szCs w:val="28"/>
          <w:rtl/>
        </w:rPr>
        <w:tab/>
      </w:r>
      <w:r w:rsidRPr="00007309">
        <w:rPr>
          <w:rFonts w:cs="Arial"/>
          <w:b/>
          <w:bCs/>
          <w:sz w:val="36"/>
          <w:szCs w:val="28"/>
          <w:rtl/>
        </w:rPr>
        <w:t xml:space="preserve">ההו </w:t>
      </w:r>
      <w:r w:rsidRPr="00007309">
        <w:rPr>
          <w:rFonts w:cs="Arial" w:hint="cs"/>
          <w:b/>
          <w:bCs/>
          <w:sz w:val="36"/>
          <w:szCs w:val="28"/>
          <w:rtl/>
        </w:rPr>
        <w:tab/>
      </w:r>
      <w:r w:rsidRPr="00007309">
        <w:rPr>
          <w:rFonts w:cs="Arial"/>
          <w:b/>
          <w:bCs/>
          <w:sz w:val="36"/>
          <w:szCs w:val="28"/>
          <w:rtl/>
        </w:rPr>
        <w:t xml:space="preserve">ייו </w:t>
      </w:r>
      <w:r w:rsidRPr="00007309">
        <w:rPr>
          <w:rFonts w:cs="Arial" w:hint="cs"/>
          <w:b/>
          <w:bCs/>
          <w:sz w:val="36"/>
          <w:szCs w:val="28"/>
          <w:rtl/>
        </w:rPr>
        <w:tab/>
      </w:r>
      <w:r w:rsidRPr="00007309">
        <w:rPr>
          <w:rFonts w:cs="Arial"/>
          <w:b/>
          <w:bCs/>
          <w:sz w:val="36"/>
          <w:szCs w:val="28"/>
          <w:rtl/>
        </w:rPr>
        <w:t>ויו</w:t>
      </w:r>
    </w:p>
    <w:p w:rsidR="00007309" w:rsidRPr="00007309" w:rsidRDefault="00007309" w:rsidP="00007309">
      <w:pPr>
        <w:jc w:val="both"/>
        <w:rPr>
          <w:rFonts w:cs="Arial"/>
          <w:b/>
          <w:bCs/>
          <w:sz w:val="24"/>
          <w:szCs w:val="24"/>
          <w:rtl/>
        </w:rPr>
      </w:pPr>
      <w:r w:rsidRPr="00007309">
        <w:rPr>
          <w:rFonts w:cs="Arial"/>
          <w:b/>
          <w:bCs/>
          <w:sz w:val="24"/>
          <w:szCs w:val="24"/>
          <w:rtl/>
        </w:rPr>
        <w:t>הָא הָכָא עָ"ב הַוְיָן</w:t>
      </w:r>
      <w:r w:rsidRPr="00007309">
        <w:rPr>
          <w:rFonts w:cs="Arial" w:hint="cs"/>
          <w:b/>
          <w:bCs/>
          <w:sz w:val="24"/>
          <w:szCs w:val="24"/>
          <w:rtl/>
        </w:rPr>
        <w:t>,</w:t>
      </w:r>
      <w:r w:rsidRPr="00007309">
        <w:rPr>
          <w:rFonts w:cs="Arial"/>
          <w:b/>
          <w:bCs/>
          <w:sz w:val="24"/>
          <w:szCs w:val="24"/>
          <w:rtl/>
        </w:rPr>
        <w:t xml:space="preserve"> דְּאִתְּמַר בְּהוֹן </w:t>
      </w:r>
      <w:r w:rsidRPr="00007309">
        <w:rPr>
          <w:rFonts w:cs="Arial"/>
          <w:b/>
          <w:bCs/>
          <w:sz w:val="36"/>
          <w:szCs w:val="28"/>
          <w:vertAlign w:val="superscript"/>
          <w:rtl/>
        </w:rPr>
        <w:footnoteReference w:id="6841"/>
      </w:r>
      <w:r w:rsidRPr="00007309">
        <w:rPr>
          <w:rFonts w:cs="Arial"/>
          <w:b/>
          <w:bCs/>
          <w:sz w:val="24"/>
          <w:szCs w:val="24"/>
          <w:rtl/>
        </w:rPr>
        <w:t xml:space="preserve">יְהִי כָּךְ וִיהִי כָּךְ. אִלֵּין אִנּוּן בִּנְיָנָא דְּנִשְׁמָתָא. וְעָלַיְהוּ אִתְּמַר (תהלים כט) אָמַרְתִּי עוֹלָם </w:t>
      </w:r>
      <w:r w:rsidRPr="00007309">
        <w:rPr>
          <w:rFonts w:cs="Arial"/>
          <w:b/>
          <w:bCs/>
          <w:sz w:val="36"/>
          <w:szCs w:val="28"/>
          <w:vertAlign w:val="superscript"/>
          <w:rtl/>
        </w:rPr>
        <w:footnoteReference w:id="6842"/>
      </w:r>
      <w:r w:rsidRPr="00007309">
        <w:rPr>
          <w:rFonts w:cs="Arial"/>
          <w:b/>
          <w:bCs/>
          <w:sz w:val="24"/>
          <w:szCs w:val="24"/>
          <w:rtl/>
        </w:rPr>
        <w:t xml:space="preserve">חֶסֶד יִבָּנֶה. </w:t>
      </w:r>
      <w:r w:rsidRPr="00007309">
        <w:rPr>
          <w:rFonts w:cs="Arial"/>
          <w:b/>
          <w:bCs/>
          <w:sz w:val="36"/>
          <w:szCs w:val="28"/>
          <w:vertAlign w:val="superscript"/>
          <w:rtl/>
        </w:rPr>
        <w:footnoteReference w:id="6843"/>
      </w:r>
      <w:r w:rsidRPr="00007309">
        <w:rPr>
          <w:rFonts w:cs="Arial"/>
          <w:b/>
          <w:bCs/>
          <w:sz w:val="24"/>
          <w:szCs w:val="24"/>
          <w:rtl/>
        </w:rPr>
        <w:t xml:space="preserve">כָּל י' אִיהִי אַבְנָא וְאִיהִי יְסוֹדָא דְּבִנְיָנָא מִסִּטְרָא דְּצַדִּיק יְסוֹד עוֹלָם, דְּאִיהוּ יוֹם הַז' דְּבֵהּ וַיְכֻלּוּ, </w:t>
      </w:r>
      <w:r w:rsidRPr="00007309">
        <w:rPr>
          <w:rFonts w:cs="Arial"/>
          <w:b/>
          <w:bCs/>
          <w:sz w:val="36"/>
          <w:szCs w:val="28"/>
          <w:vertAlign w:val="superscript"/>
          <w:rtl/>
        </w:rPr>
        <w:footnoteReference w:id="6844"/>
      </w:r>
      <w:r w:rsidRPr="00007309">
        <w:rPr>
          <w:rFonts w:cs="Arial"/>
          <w:b/>
          <w:bCs/>
          <w:sz w:val="24"/>
          <w:szCs w:val="24"/>
          <w:rtl/>
        </w:rPr>
        <w:t xml:space="preserve">אִיהוּ כָּלִיל עָ"ב הֲוָיוֹת. וְכָל ה' בִּנְיָנָא דְּבֵיתָא. </w:t>
      </w:r>
      <w:r w:rsidRPr="00007309">
        <w:rPr>
          <w:rFonts w:cs="Arial"/>
          <w:b/>
          <w:bCs/>
          <w:sz w:val="36"/>
          <w:szCs w:val="28"/>
          <w:vertAlign w:val="superscript"/>
          <w:rtl/>
        </w:rPr>
        <w:footnoteReference w:id="6845"/>
      </w:r>
      <w:r w:rsidRPr="00007309">
        <w:rPr>
          <w:rFonts w:cs="Arial"/>
          <w:b/>
          <w:bCs/>
          <w:sz w:val="24"/>
          <w:szCs w:val="24"/>
          <w:rtl/>
        </w:rPr>
        <w:t xml:space="preserve">כְּגוֹן בְּחָכְמָה יִבְנֶה בַּיִת. דְּצַדִּיק קִשּׁוּרָא דִּילֵהּ בְּחָכְמָה דְּאִיהִי י' עִלָּאָה. וְצַדִּיק אִיהוּ י' זְעֵירָא. שְׁכִינְתָּא תַּתָּאָה בֵּית ה' תַּתָּאָה וְדָא אִתְבְּנִיאַת בְּה' עִלָּאָה. ו' עַמּוּד סָבִיל כֹּלָּא </w:t>
      </w:r>
      <w:r w:rsidRPr="00007309">
        <w:rPr>
          <w:rFonts w:cs="Arial"/>
          <w:b/>
          <w:bCs/>
          <w:sz w:val="36"/>
          <w:szCs w:val="28"/>
          <w:vertAlign w:val="superscript"/>
          <w:rtl/>
        </w:rPr>
        <w:footnoteReference w:id="6846"/>
      </w:r>
      <w:r w:rsidRPr="00007309">
        <w:rPr>
          <w:rFonts w:cs="Arial"/>
          <w:b/>
          <w:bCs/>
          <w:sz w:val="24"/>
          <w:szCs w:val="24"/>
          <w:rtl/>
        </w:rPr>
        <w:t xml:space="preserve">וְאִיהוּ עַמּוּדָא דְּאֶמְצָעִיתָא אָרֹךְ בֵּין אַבָּא וְאִמָּא. וְאִיהוּ ו' זְעֵירָא בְּצַדִּיק. </w:t>
      </w:r>
      <w:r w:rsidRPr="00007309">
        <w:rPr>
          <w:rFonts w:cs="Arial"/>
          <w:b/>
          <w:bCs/>
          <w:sz w:val="36"/>
          <w:szCs w:val="28"/>
          <w:vertAlign w:val="superscript"/>
          <w:rtl/>
        </w:rPr>
        <w:footnoteReference w:id="6847"/>
      </w:r>
      <w:r w:rsidRPr="00007309">
        <w:rPr>
          <w:rFonts w:cs="Arial"/>
          <w:b/>
          <w:bCs/>
          <w:sz w:val="24"/>
          <w:szCs w:val="24"/>
          <w:rtl/>
        </w:rPr>
        <w:t>ה' דְּאִיהִי בֵּית ב'. אֶלָּא כְּגַוְנָא דְּאִית ג' גגין בְּדָא, הָכֵי אִית תְּלָת גַּגִּין בְּדָא</w:t>
      </w:r>
      <w:r w:rsidRPr="00007309">
        <w:rPr>
          <w:rFonts w:cs="Arial" w:hint="cs"/>
          <w:b/>
          <w:bCs/>
          <w:sz w:val="24"/>
          <w:szCs w:val="24"/>
          <w:rtl/>
        </w:rPr>
        <w:t>.</w:t>
      </w:r>
    </w:p>
    <w:p w:rsidR="00007309" w:rsidRPr="00007309" w:rsidRDefault="00007309" w:rsidP="00007309">
      <w:pPr>
        <w:jc w:val="both"/>
        <w:rPr>
          <w:rFonts w:cs="Arial"/>
          <w:b/>
          <w:bCs/>
          <w:sz w:val="24"/>
          <w:szCs w:val="24"/>
          <w:rtl/>
        </w:rPr>
      </w:pPr>
      <w:r w:rsidRPr="00007309">
        <w:rPr>
          <w:rFonts w:cs="Arial"/>
          <w:b/>
          <w:bCs/>
          <w:sz w:val="36"/>
          <w:szCs w:val="28"/>
          <w:vertAlign w:val="superscript"/>
          <w:rtl/>
        </w:rPr>
        <w:footnoteReference w:id="6848"/>
      </w:r>
      <w:r w:rsidRPr="00007309">
        <w:rPr>
          <w:rFonts w:cs="Arial"/>
          <w:b/>
          <w:bCs/>
          <w:sz w:val="24"/>
          <w:szCs w:val="24"/>
          <w:rtl/>
        </w:rPr>
        <w:t xml:space="preserve">וְכָל נְקֻדָּה בְּאֶמְצָעִיתָא דְּכָל תֵּבָה, צָרִיךְ לְאַרְכָּא בָּהּ וּלְסַלְקָא בְּתִפְאֶרֶת </w:t>
      </w:r>
      <w:r w:rsidRPr="00007309">
        <w:rPr>
          <w:rFonts w:cs="Arial"/>
          <w:b/>
          <w:bCs/>
          <w:sz w:val="36"/>
          <w:szCs w:val="28"/>
          <w:vertAlign w:val="superscript"/>
          <w:rtl/>
        </w:rPr>
        <w:footnoteReference w:id="6849"/>
      </w:r>
      <w:r w:rsidRPr="00007309">
        <w:rPr>
          <w:rFonts w:cs="Arial"/>
          <w:b/>
          <w:bCs/>
          <w:sz w:val="24"/>
          <w:szCs w:val="24"/>
          <w:rtl/>
        </w:rPr>
        <w:t xml:space="preserve">וּלְאַכְלְלָא בָּהּ עֶשֶׂר סְפִירוֹת. </w:t>
      </w:r>
      <w:r w:rsidRPr="00007309">
        <w:rPr>
          <w:rFonts w:cs="Arial"/>
          <w:b/>
          <w:bCs/>
          <w:sz w:val="36"/>
          <w:szCs w:val="28"/>
          <w:vertAlign w:val="superscript"/>
          <w:rtl/>
        </w:rPr>
        <w:footnoteReference w:id="6850"/>
      </w:r>
      <w:r w:rsidRPr="00007309">
        <w:rPr>
          <w:rFonts w:cs="Arial"/>
          <w:b/>
          <w:bCs/>
          <w:sz w:val="24"/>
          <w:szCs w:val="24"/>
          <w:rtl/>
        </w:rPr>
        <w:t xml:space="preserve">וְכָל נְקֻדָּה לְעֵלָּא מִן תֵּבָה צָרִיךְ לְסַלְקָא מַחֲשָׁבתֵהּ בְּכֶתֶר, וּלְנַחְתָּא לָהּ עַד מַלְכוּת. </w:t>
      </w:r>
      <w:r w:rsidRPr="00007309">
        <w:rPr>
          <w:rFonts w:cs="Arial"/>
          <w:b/>
          <w:bCs/>
          <w:sz w:val="36"/>
          <w:szCs w:val="28"/>
          <w:vertAlign w:val="superscript"/>
          <w:rtl/>
        </w:rPr>
        <w:footnoteReference w:id="6851"/>
      </w:r>
      <w:r w:rsidRPr="00007309">
        <w:rPr>
          <w:rFonts w:cs="Arial"/>
          <w:b/>
          <w:bCs/>
          <w:sz w:val="24"/>
          <w:szCs w:val="24"/>
          <w:rtl/>
        </w:rPr>
        <w:t xml:space="preserve">וְהָכֵי בְּכָל תֵּבָה וְתֵבָה. דִּתְנוּעָה דְּנִקּוּדֵי אִנּוּן בַּאֲתַר דְּטַעֲמֵי. וְכַד אִית טַעֲמֵי דְּאִנּוּן כִּתְרִין עַל אַתְוָן, לֹא צָרִיךְ לְמֶעֱבַד תְּנוּעָה בְּאָת מִן תֵּבָה, אֶלָּא בְּהַהִיא דְּתָגָא עָלַהּ. </w:t>
      </w:r>
    </w:p>
    <w:p w:rsidR="00007309" w:rsidRPr="00007309" w:rsidRDefault="00007309" w:rsidP="00007309">
      <w:pPr>
        <w:jc w:val="both"/>
        <w:rPr>
          <w:rFonts w:cs="Arial"/>
          <w:b/>
          <w:bCs/>
          <w:sz w:val="24"/>
          <w:szCs w:val="24"/>
          <w:rtl/>
        </w:rPr>
      </w:pPr>
      <w:r w:rsidRPr="00007309">
        <w:rPr>
          <w:rFonts w:cs="Arial"/>
          <w:b/>
          <w:bCs/>
          <w:sz w:val="24"/>
          <w:szCs w:val="24"/>
          <w:rtl/>
        </w:rPr>
        <w:t xml:space="preserve">וְעוֹד שְׁכִינְתָּא אע"ג דְּאִיהִי כְּלִילָא מֵעֶשֶׂר סְפִירוֹת וּבָהּ אִתְקְרִיאוּ כֻּלְּהוּ אֲחוֹרַיִם. הָכֵי כַּד מִתְיַחֲדִים בָּהּ סְפִירָן דְּאִנּוּן פְּנִימִיִּים, כָּל סְפִירָאָן אִתְקְרִיאוּ מִסִּטְרָא פְּנִימִיִּים. וְאִית סְפִירָאָן דְּאִנּוּן לִפְנַי לִפְנִים. וְכַד אִתְכְּלִילָן בָּהּ כָּל סְפִירָן, אִתְקְרִיאוּ לִפְנַי וְלִפְנִים. וּפְנִימִיִּים וּפְנִימִיִּים דִּפְנִימִיִּים וַאֲחוֹרִיִּים כֻּלְּהוּ אִנּוּן חַד. וְלָאו אִנּוּן כְּגַוְנָא דְּבַר נָשׁ דְּגוּפֵהּ מִינָא חֲדָא, וְנִשְׁמָתֵהּ מִינָא אָחֳרָא, אֲבָל לְעֵלָּא כֹּלָּא חַד. אֶלָּא כָּל נְהוֹרָא וְכָל דַּרְגָּא דְּאִיהִי יַתִּיר, קְרִיבָא לְעִלַּת כָּל עִלָּאִין. אִתְקְרִיאַת לִפְנַי וְלִפְנִים. </w:t>
      </w:r>
    </w:p>
    <w:p w:rsidR="00007309" w:rsidRPr="00007309" w:rsidRDefault="00007309" w:rsidP="00007309">
      <w:pPr>
        <w:keepNext/>
        <w:outlineLvl w:val="1"/>
        <w:rPr>
          <w:rFonts w:ascii="Cambria" w:hAnsi="Cambria" w:cs="Times New Roman"/>
          <w:b/>
          <w:bCs/>
          <w:i/>
          <w:iCs/>
          <w:sz w:val="28"/>
          <w:szCs w:val="28"/>
          <w:rtl/>
        </w:rPr>
      </w:pPr>
      <w:r w:rsidRPr="00007309">
        <w:rPr>
          <w:rFonts w:ascii="Cambria" w:hAnsi="Cambria" w:cs="Times New Roman"/>
          <w:b/>
          <w:bCs/>
          <w:i/>
          <w:iCs/>
          <w:sz w:val="28"/>
          <w:szCs w:val="28"/>
          <w:rtl/>
        </w:rPr>
        <w:t>[</w:t>
      </w:r>
      <w:r w:rsidRPr="00007309">
        <w:rPr>
          <w:rFonts w:ascii="Cambria" w:hAnsi="Cambria" w:cs="Times New Roman" w:hint="cs"/>
          <w:b/>
          <w:bCs/>
          <w:i/>
          <w:iCs/>
          <w:sz w:val="28"/>
          <w:szCs w:val="28"/>
          <w:rtl/>
        </w:rPr>
        <w:t>דף</w:t>
      </w:r>
      <w:r w:rsidRPr="00007309">
        <w:rPr>
          <w:rFonts w:ascii="Cambria" w:hAnsi="Cambria" w:cs="Times New Roman"/>
          <w:b/>
          <w:bCs/>
          <w:i/>
          <w:iCs/>
          <w:sz w:val="28"/>
          <w:szCs w:val="28"/>
          <w:rtl/>
        </w:rPr>
        <w:t xml:space="preserve"> ע</w:t>
      </w:r>
      <w:r w:rsidRPr="00007309">
        <w:rPr>
          <w:rFonts w:ascii="Cambria" w:hAnsi="Cambria" w:cs="Times New Roman" w:hint="cs"/>
          <w:b/>
          <w:bCs/>
          <w:i/>
          <w:iCs/>
          <w:sz w:val="28"/>
          <w:szCs w:val="28"/>
          <w:rtl/>
        </w:rPr>
        <w:t>ח</w:t>
      </w:r>
      <w:r w:rsidRPr="00007309">
        <w:rPr>
          <w:rFonts w:ascii="Cambria" w:hAnsi="Cambria" w:cs="Times New Roman"/>
          <w:b/>
          <w:bCs/>
          <w:i/>
          <w:iCs/>
          <w:sz w:val="28"/>
          <w:szCs w:val="28"/>
          <w:rtl/>
        </w:rPr>
        <w:t xml:space="preserve"> ע"</w:t>
      </w:r>
      <w:r w:rsidRPr="00007309">
        <w:rPr>
          <w:rFonts w:ascii="Cambria" w:hAnsi="Cambria" w:cs="Times New Roman" w:hint="cs"/>
          <w:b/>
          <w:bCs/>
          <w:i/>
          <w:iCs/>
          <w:sz w:val="28"/>
          <w:szCs w:val="28"/>
          <w:rtl/>
        </w:rPr>
        <w:t>א</w:t>
      </w:r>
      <w:r w:rsidRPr="00007309">
        <w:rPr>
          <w:rFonts w:ascii="Cambria" w:hAnsi="Cambria" w:cs="Times New Roman"/>
          <w:b/>
          <w:bCs/>
          <w:i/>
          <w:iCs/>
          <w:sz w:val="28"/>
          <w:szCs w:val="28"/>
          <w:rtl/>
        </w:rPr>
        <w:t>]</w:t>
      </w:r>
    </w:p>
    <w:p w:rsidR="00007309" w:rsidRPr="00007309" w:rsidRDefault="00007309" w:rsidP="00007309">
      <w:pPr>
        <w:jc w:val="both"/>
        <w:rPr>
          <w:rFonts w:cs="Arial"/>
          <w:b/>
          <w:bCs/>
          <w:sz w:val="24"/>
          <w:szCs w:val="24"/>
          <w:rtl/>
        </w:rPr>
      </w:pPr>
      <w:r w:rsidRPr="00007309">
        <w:rPr>
          <w:rFonts w:cs="Arial"/>
          <w:b/>
          <w:bCs/>
          <w:sz w:val="24"/>
          <w:szCs w:val="24"/>
          <w:rtl/>
        </w:rPr>
        <w:t xml:space="preserve">וְעוֹד שְׁכִינְתָּא אִתְקְרִיאַת </w:t>
      </w:r>
      <w:r w:rsidRPr="00007309">
        <w:rPr>
          <w:rFonts w:cs="Arial"/>
          <w:b/>
          <w:bCs/>
          <w:sz w:val="36"/>
          <w:szCs w:val="28"/>
          <w:vertAlign w:val="superscript"/>
          <w:rtl/>
        </w:rPr>
        <w:footnoteReference w:id="6852"/>
      </w:r>
      <w:r w:rsidRPr="00007309">
        <w:rPr>
          <w:rFonts w:cs="Arial"/>
          <w:b/>
          <w:bCs/>
          <w:sz w:val="24"/>
          <w:szCs w:val="24"/>
          <w:rtl/>
        </w:rPr>
        <w:t>פַּרְדֵּס דְּאוֹרַיְתָא, עַל שֵׁם דְּאִיהִי כְּלִילָא מִ</w:t>
      </w:r>
      <w:r w:rsidRPr="00007309">
        <w:rPr>
          <w:rFonts w:cs="Arial" w:hint="cs"/>
          <w:b/>
          <w:bCs/>
          <w:sz w:val="24"/>
          <w:szCs w:val="24"/>
          <w:rtl/>
        </w:rPr>
        <w:t>'</w:t>
      </w:r>
      <w:r w:rsidRPr="00007309">
        <w:rPr>
          <w:rFonts w:cs="Arial"/>
          <w:b/>
          <w:bCs/>
          <w:sz w:val="24"/>
          <w:szCs w:val="24"/>
          <w:rtl/>
        </w:rPr>
        <w:t>פְּשָׁט 'רְאִיָּה 'דְּרָשָׁה 'סוֹד</w:t>
      </w:r>
      <w:r w:rsidRPr="00007309">
        <w:rPr>
          <w:rFonts w:cs="Arial"/>
          <w:b/>
          <w:bCs/>
          <w:sz w:val="24"/>
          <w:szCs w:val="24"/>
        </w:rPr>
        <w:t xml:space="preserve"> </w:t>
      </w:r>
      <w:r w:rsidRPr="00007309">
        <w:rPr>
          <w:rFonts w:cs="Arial"/>
          <w:b/>
          <w:bCs/>
          <w:sz w:val="24"/>
          <w:szCs w:val="24"/>
          <w:rtl/>
        </w:rPr>
        <w:t xml:space="preserve">דְּאוֹרַיְתָא </w:t>
      </w:r>
      <w:r w:rsidRPr="00007309">
        <w:rPr>
          <w:rFonts w:cs="Arial"/>
          <w:b/>
          <w:bCs/>
          <w:sz w:val="36"/>
          <w:szCs w:val="28"/>
          <w:vertAlign w:val="superscript"/>
          <w:rtl/>
        </w:rPr>
        <w:footnoteReference w:id="6853"/>
      </w:r>
      <w:r w:rsidRPr="00007309">
        <w:rPr>
          <w:rFonts w:cs="Arial"/>
          <w:b/>
          <w:bCs/>
          <w:sz w:val="24"/>
          <w:szCs w:val="24"/>
          <w:rtl/>
        </w:rPr>
        <w:t xml:space="preserve">דָּא הוּא סִימָן פַּרְדֵּס. </w:t>
      </w:r>
      <w:r w:rsidRPr="00007309">
        <w:rPr>
          <w:rFonts w:cs="Arial"/>
          <w:b/>
          <w:bCs/>
          <w:sz w:val="36"/>
          <w:szCs w:val="28"/>
          <w:vertAlign w:val="superscript"/>
          <w:rtl/>
        </w:rPr>
        <w:footnoteReference w:id="6854"/>
      </w:r>
      <w:r w:rsidRPr="00007309">
        <w:rPr>
          <w:rFonts w:cs="Arial"/>
          <w:b/>
          <w:bCs/>
          <w:sz w:val="24"/>
          <w:szCs w:val="24"/>
          <w:rtl/>
        </w:rPr>
        <w:t xml:space="preserve">וְאִתְקְרִיאַת עֵץ חַיִּים מִסִּטְרָא דְּצַדִּיקִים גְּמוּרִים דְּלֵית בְּהוֹן פְּסֹלֶת. </w:t>
      </w:r>
      <w:r w:rsidRPr="00007309">
        <w:rPr>
          <w:rFonts w:cs="Arial"/>
          <w:b/>
          <w:bCs/>
          <w:sz w:val="36"/>
          <w:szCs w:val="28"/>
          <w:vertAlign w:val="superscript"/>
          <w:rtl/>
        </w:rPr>
        <w:footnoteReference w:id="6855"/>
      </w:r>
      <w:r w:rsidRPr="00007309">
        <w:rPr>
          <w:rFonts w:cs="Arial"/>
          <w:b/>
          <w:bCs/>
          <w:sz w:val="24"/>
          <w:szCs w:val="24"/>
          <w:rtl/>
        </w:rPr>
        <w:t xml:space="preserve">וּמִסִּטְרָא דְּכַמָּה אִילָנִין אִנּוּן, </w:t>
      </w:r>
      <w:r w:rsidRPr="00007309">
        <w:rPr>
          <w:rFonts w:ascii="Cambria" w:hAnsi="Cambria" w:cs="Times New Roman" w:hint="cs"/>
          <w:b/>
          <w:bCs/>
          <w:i/>
          <w:iCs/>
          <w:color w:val="4F81BD"/>
          <w:sz w:val="24"/>
          <w:szCs w:val="24"/>
          <w:rtl/>
        </w:rPr>
        <w:t>(עח ע"א)</w:t>
      </w:r>
      <w:r w:rsidRPr="00007309">
        <w:rPr>
          <w:rFonts w:cs="Arial" w:hint="cs"/>
          <w:b/>
          <w:bCs/>
          <w:sz w:val="24"/>
          <w:szCs w:val="24"/>
          <w:rtl/>
        </w:rPr>
        <w:t xml:space="preserve"> </w:t>
      </w:r>
      <w:r w:rsidRPr="00007309">
        <w:rPr>
          <w:rFonts w:cs="Arial"/>
          <w:b/>
          <w:bCs/>
          <w:sz w:val="24"/>
          <w:szCs w:val="24"/>
          <w:rtl/>
        </w:rPr>
        <w:t xml:space="preserve">דִּמְאִיבָא דִּילְהוֹן אִשְׁתְּמוֹדְעַת שְׁכִינְתָּא בֵּינְהוֹן </w:t>
      </w:r>
      <w:r w:rsidRPr="00007309">
        <w:rPr>
          <w:rFonts w:cs="Arial"/>
          <w:b/>
          <w:bCs/>
          <w:sz w:val="36"/>
          <w:szCs w:val="28"/>
          <w:vertAlign w:val="superscript"/>
          <w:rtl/>
        </w:rPr>
        <w:footnoteReference w:id="6856"/>
      </w:r>
      <w:r w:rsidRPr="00007309">
        <w:rPr>
          <w:rFonts w:cs="Arial"/>
          <w:b/>
          <w:bCs/>
          <w:sz w:val="24"/>
          <w:szCs w:val="24"/>
          <w:rtl/>
        </w:rPr>
        <w:t>כְּפוּם עוֹבָדֵיהוֹן. כְּגוֹן אֱגוֹז דְּאִיבָא דִּילָהּ סְתִימָא וַחֲתוּמָה, הַאי אִיהוּ רָמִיז לִשְׁכִינְתָּא דְּאִתְּמַר בָּהּ (שיר ד) גַּן נָעוּל אֲחֹתִי כַּלָּה גַּל נָעוּל מַעְיָן חָתוּם. כְּגָוָן יַיִן דְּאִיהוּ סָתוּם וְחָתוּם, דְּלָא אִתְהַנְּיָן מִנֵּהּ רַשִּׁיעַיָּא, וְלָא אִתְנְ</w:t>
      </w:r>
      <w:r w:rsidRPr="00007309">
        <w:rPr>
          <w:rFonts w:cs="Arial" w:hint="cs"/>
          <w:b/>
          <w:bCs/>
          <w:sz w:val="24"/>
          <w:szCs w:val="24"/>
          <w:rtl/>
        </w:rPr>
        <w:t>ס</w:t>
      </w:r>
      <w:r w:rsidRPr="00007309">
        <w:rPr>
          <w:rFonts w:cs="Arial"/>
          <w:b/>
          <w:bCs/>
          <w:sz w:val="24"/>
          <w:szCs w:val="24"/>
          <w:rtl/>
        </w:rPr>
        <w:t>ַךְ, הָכֵי נַמֵּי אִיהִי שְׁכִינְתָּא סְתִימָא וַחֲתִימָא בֵּין רַשִּׁיעַיָּא דְּלָא אִתְהַנְּיָן מִנַּהּ. וְאוֹר דִּילַהּ אִתְּמַר בֵּהּ (שמות ב) וַתֵּרֶא אֹתוֹ כִּי טוֹב הוּא וַתִּצְפְּנֵהוּ. וְהָכֵי אוֹרַיְתָא</w:t>
      </w:r>
      <w:r w:rsidRPr="00007309">
        <w:rPr>
          <w:rFonts w:cs="Arial" w:hint="cs"/>
          <w:b/>
          <w:bCs/>
          <w:sz w:val="24"/>
          <w:szCs w:val="24"/>
          <w:rtl/>
        </w:rPr>
        <w:t>,</w:t>
      </w:r>
      <w:r w:rsidRPr="00007309">
        <w:rPr>
          <w:rFonts w:cs="Arial"/>
          <w:b/>
          <w:bCs/>
          <w:sz w:val="24"/>
          <w:szCs w:val="24"/>
          <w:rtl/>
        </w:rPr>
        <w:t xml:space="preserve"> רָזִין דִילָהּ סְתִימִין וַחֲתִימִין</w:t>
      </w:r>
      <w:r w:rsidRPr="00007309">
        <w:rPr>
          <w:rFonts w:cs="Arial" w:hint="cs"/>
          <w:b/>
          <w:bCs/>
          <w:sz w:val="24"/>
          <w:szCs w:val="24"/>
          <w:rtl/>
        </w:rPr>
        <w:t>,</w:t>
      </w:r>
      <w:r w:rsidRPr="00007309">
        <w:rPr>
          <w:rFonts w:cs="Arial"/>
          <w:b/>
          <w:bCs/>
          <w:sz w:val="24"/>
          <w:szCs w:val="24"/>
          <w:rtl/>
        </w:rPr>
        <w:t xml:space="preserve"> דְּלָא אִתְהַנְּיָן מִנְּהוֹן רַשִּׁיעַיָּא. וּבְגִין דָּא אֱכֹל דְּבַשׁ וְשָׁתֵי חַמְרָא וְאַל תְּלַמְּדֵהוּ לַגּוֹי. </w:t>
      </w:r>
      <w:r w:rsidRPr="00007309">
        <w:rPr>
          <w:rFonts w:cs="Arial"/>
          <w:b/>
          <w:bCs/>
          <w:sz w:val="36"/>
          <w:szCs w:val="28"/>
          <w:vertAlign w:val="superscript"/>
          <w:rtl/>
        </w:rPr>
        <w:footnoteReference w:id="6857"/>
      </w:r>
      <w:r w:rsidRPr="00007309">
        <w:rPr>
          <w:rFonts w:cs="Arial"/>
          <w:b/>
          <w:bCs/>
          <w:sz w:val="24"/>
          <w:szCs w:val="24"/>
          <w:rtl/>
        </w:rPr>
        <w:t>ועכ"ד, דְּבַשׁ מָצָאתָ אָכֹל דַּיֶּךָ</w:t>
      </w:r>
      <w:r w:rsidRPr="00007309">
        <w:rPr>
          <w:rFonts w:cs="Arial" w:hint="cs"/>
          <w:b/>
          <w:bCs/>
          <w:sz w:val="24"/>
          <w:szCs w:val="24"/>
          <w:rtl/>
        </w:rPr>
        <w:t xml:space="preserve"> </w:t>
      </w:r>
      <w:r w:rsidRPr="00007309">
        <w:rPr>
          <w:rFonts w:cs="Arial"/>
          <w:b/>
          <w:bCs/>
          <w:sz w:val="24"/>
          <w:szCs w:val="24"/>
          <w:rtl/>
        </w:rPr>
        <w:t xml:space="preserve">(משלי כה). דִּבְמַה שֶּׁהֻרְשֵׁיתָ הִתְבּוֹנֵן וְאֵין לְךָ עֵסֶק בַּנִּסְתָּרוֹת. </w:t>
      </w:r>
    </w:p>
    <w:p w:rsidR="00007309" w:rsidRPr="00007309" w:rsidRDefault="00007309" w:rsidP="00007309">
      <w:pPr>
        <w:keepNext/>
        <w:spacing w:before="240" w:after="60"/>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[וילנא טו ע"ב]</w:t>
      </w:r>
    </w:p>
    <w:p w:rsidR="00007309" w:rsidRPr="00007309" w:rsidRDefault="00007309" w:rsidP="00007309">
      <w:pPr>
        <w:jc w:val="both"/>
        <w:rPr>
          <w:rFonts w:cs="Arial"/>
          <w:b/>
          <w:bCs/>
          <w:sz w:val="24"/>
          <w:szCs w:val="24"/>
          <w:rtl/>
        </w:rPr>
      </w:pPr>
      <w:r w:rsidRPr="00007309">
        <w:rPr>
          <w:rFonts w:cs="Arial"/>
          <w:b/>
          <w:bCs/>
          <w:sz w:val="36"/>
          <w:szCs w:val="28"/>
          <w:vertAlign w:val="superscript"/>
          <w:rtl/>
        </w:rPr>
        <w:footnoteReference w:id="6858"/>
      </w:r>
      <w:r w:rsidRPr="00007309">
        <w:rPr>
          <w:rFonts w:cs="Arial"/>
          <w:b/>
          <w:bCs/>
          <w:sz w:val="24"/>
          <w:szCs w:val="24"/>
          <w:rtl/>
        </w:rPr>
        <w:t xml:space="preserve">וּכְגַוְנָא דְּמֹחָא דֶּאֱגוֹז סָתִים הָכֵי אִיהִי שְׁכִינְתָּא סְתִימָא. וְאִיהִי אֲסוּרָא בְּגָלוּתָא בֵּין רַשִּׁיעַיָּא. וּבְגִינַיְהוּ אִתְּמַר (איכה א) נְתָנַנִי ה' בִּידֵי לֹא אוּכַל קוּם. דִּבְהוֹן אִיהִי סוֹגֶרֶת וּמְסֻגֶּרֶת. </w:t>
      </w:r>
      <w:r w:rsidRPr="00007309">
        <w:rPr>
          <w:rFonts w:cs="Arial"/>
          <w:b/>
          <w:bCs/>
          <w:sz w:val="36"/>
          <w:szCs w:val="28"/>
          <w:vertAlign w:val="superscript"/>
          <w:rtl/>
        </w:rPr>
        <w:footnoteReference w:id="6859"/>
      </w:r>
      <w:r w:rsidRPr="00007309">
        <w:rPr>
          <w:rFonts w:cs="Arial"/>
          <w:b/>
          <w:bCs/>
          <w:sz w:val="24"/>
          <w:szCs w:val="24"/>
          <w:rtl/>
        </w:rPr>
        <w:t xml:space="preserve">וּבֵין צַדִּיקַיָּא לֵית בָּהּ פְּסֹלֶת. </w:t>
      </w:r>
      <w:r w:rsidRPr="00007309">
        <w:rPr>
          <w:rFonts w:cs="Arial"/>
          <w:b/>
          <w:bCs/>
          <w:sz w:val="36"/>
          <w:szCs w:val="28"/>
          <w:vertAlign w:val="superscript"/>
          <w:rtl/>
        </w:rPr>
        <w:footnoteReference w:id="6860"/>
      </w:r>
      <w:r w:rsidRPr="00007309">
        <w:rPr>
          <w:rFonts w:cs="Arial"/>
          <w:b/>
          <w:bCs/>
          <w:sz w:val="24"/>
          <w:szCs w:val="24"/>
          <w:rtl/>
        </w:rPr>
        <w:t>וּבַבֵּינוֹנִיִּים</w:t>
      </w:r>
      <w:r w:rsidRPr="00007309">
        <w:rPr>
          <w:rFonts w:cs="Arial" w:hint="cs"/>
          <w:b/>
          <w:bCs/>
          <w:sz w:val="24"/>
          <w:szCs w:val="24"/>
          <w:rtl/>
        </w:rPr>
        <w:t>,</w:t>
      </w:r>
      <w:r w:rsidRPr="00007309">
        <w:rPr>
          <w:rFonts w:cs="Arial"/>
          <w:b/>
          <w:bCs/>
          <w:sz w:val="24"/>
          <w:szCs w:val="24"/>
          <w:rtl/>
        </w:rPr>
        <w:t xml:space="preserve"> מָארֵי תְּיוּבְתָּא</w:t>
      </w:r>
      <w:r w:rsidRPr="00007309">
        <w:rPr>
          <w:rFonts w:cs="Arial" w:hint="cs"/>
          <w:b/>
          <w:bCs/>
          <w:sz w:val="24"/>
          <w:szCs w:val="24"/>
          <w:rtl/>
        </w:rPr>
        <w:t>,</w:t>
      </w:r>
      <w:r w:rsidRPr="00007309">
        <w:rPr>
          <w:rFonts w:cs="Arial"/>
          <w:b/>
          <w:bCs/>
          <w:sz w:val="24"/>
          <w:szCs w:val="24"/>
          <w:rtl/>
        </w:rPr>
        <w:t xml:space="preserve"> אִיהִי סַמָּאֵ"ל אָסִיר בַּפְּסֹלֶת דְּתַמְרָא</w:t>
      </w:r>
      <w:r w:rsidRPr="00007309">
        <w:rPr>
          <w:rFonts w:cs="Arial" w:hint="cs"/>
          <w:b/>
          <w:bCs/>
          <w:sz w:val="24"/>
          <w:szCs w:val="24"/>
          <w:rtl/>
        </w:rPr>
        <w:t>,</w:t>
      </w:r>
      <w:r w:rsidRPr="00007309">
        <w:rPr>
          <w:rFonts w:cs="Arial"/>
          <w:b/>
          <w:bCs/>
          <w:sz w:val="24"/>
          <w:szCs w:val="24"/>
          <w:rtl/>
        </w:rPr>
        <w:t xml:space="preserve"> דְּאִיהוּ אָסִיר וְסָתִים מִלְּגָאו</w:t>
      </w:r>
      <w:r w:rsidRPr="00007309">
        <w:rPr>
          <w:rFonts w:cs="Arial" w:hint="cs"/>
          <w:b/>
          <w:bCs/>
          <w:sz w:val="24"/>
          <w:szCs w:val="24"/>
          <w:rtl/>
        </w:rPr>
        <w:t>,</w:t>
      </w:r>
      <w:r w:rsidRPr="00007309">
        <w:rPr>
          <w:rFonts w:cs="Arial"/>
          <w:b/>
          <w:bCs/>
          <w:sz w:val="24"/>
          <w:szCs w:val="24"/>
          <w:rtl/>
        </w:rPr>
        <w:t xml:space="preserve"> וְלֵית לֵהּ רְשׁוּ לְשַׁלְטָאָה. וְעוֹד מִסִּטְרָא דְּבֵינוֹנִיִּים אִיהִי כְּשׁוֹשַׁנָּה בֵּין הַחוֹחִים, כְּגַוְנָא דִּירוּשְׁלֵם דְּאִתְּמַר (יחזקאל ה) זֹאת יְרוּשָׁלַםִ בֵּין הַגּוֹיִם שַׂמְתִּיהָ וּסְבִיבוֹתֶיהָ אֲרָצוֹת. דָּא הִיא שְׁכִינְתָּא</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6861"/>
      </w:r>
      <w:r w:rsidRPr="00007309">
        <w:rPr>
          <w:rFonts w:cs="Arial"/>
          <w:b/>
          <w:bCs/>
          <w:sz w:val="24"/>
          <w:szCs w:val="24"/>
          <w:rtl/>
        </w:rPr>
        <w:t xml:space="preserve">שָׁרְשָׁא דְּאִילָנָא בְּגוֹ גּוֹבִין, דְּאִנּוּן עֶשֶׂר כִּתְרִין תַּתָּאִין, דְּאִתְּמַר בְּהוֹן הַשּׁוֹכֵן אִתָּם בְּתוֹךְ טֻמְאָתָם. וְאִנּוּן אַרְעִין דְּשִׁפְחָה </w:t>
      </w:r>
      <w:r w:rsidRPr="00007309">
        <w:rPr>
          <w:rFonts w:cs="Arial" w:hint="cs"/>
          <w:b/>
          <w:bCs/>
          <w:sz w:val="24"/>
          <w:szCs w:val="24"/>
          <w:rtl/>
        </w:rPr>
        <w:t>ד</w:t>
      </w:r>
      <w:r w:rsidRPr="00007309">
        <w:rPr>
          <w:rFonts w:cs="Arial"/>
          <w:b/>
          <w:bCs/>
          <w:sz w:val="24"/>
          <w:szCs w:val="24"/>
          <w:rtl/>
        </w:rPr>
        <w:t xml:space="preserve">ֶמַּטְרוֹנִיתָא, דְּעָלַיְהוּ אִתְּמַר וּסְבִיבוֹתֶיהָ אֲרָצוֹת. </w:t>
      </w:r>
      <w:r w:rsidRPr="00007309">
        <w:rPr>
          <w:rFonts w:cs="Arial"/>
          <w:b/>
          <w:bCs/>
          <w:sz w:val="36"/>
          <w:szCs w:val="28"/>
          <w:vertAlign w:val="superscript"/>
          <w:rtl/>
        </w:rPr>
        <w:footnoteReference w:id="6862"/>
      </w:r>
      <w:r w:rsidRPr="00007309">
        <w:rPr>
          <w:rFonts w:cs="Arial"/>
          <w:b/>
          <w:bCs/>
          <w:sz w:val="24"/>
          <w:szCs w:val="24"/>
          <w:rtl/>
        </w:rPr>
        <w:t xml:space="preserve">וְלֹא עוֹד אֶלָּא כָּל מְזוֹנִין דְּחַמְרֵי וְכַלְבֵי, דְּאִנּוּן חַיָּלִין דְּסַמָּאֵ"ל וְנָחָשׁ דְּשָׁלְטִין בְּמִשְׁמָרוֹת דְּלֵילְיָא, כְּמָא דְּאוֹקְמוּהּ מ"מ, מִשְׁמָרָה רִאשׁוֹנָה </w:t>
      </w:r>
      <w:r w:rsidRPr="00007309">
        <w:rPr>
          <w:rFonts w:cs="Arial"/>
          <w:b/>
          <w:bCs/>
          <w:sz w:val="36"/>
          <w:szCs w:val="28"/>
          <w:vertAlign w:val="superscript"/>
          <w:rtl/>
        </w:rPr>
        <w:footnoteReference w:id="6863"/>
      </w:r>
      <w:r w:rsidRPr="00007309">
        <w:rPr>
          <w:rFonts w:cs="Arial"/>
          <w:b/>
          <w:bCs/>
          <w:sz w:val="24"/>
          <w:szCs w:val="24"/>
          <w:rtl/>
        </w:rPr>
        <w:t>חֲמוֹר נוֹעֵר</w:t>
      </w:r>
      <w:r w:rsidRPr="00007309">
        <w:rPr>
          <w:rFonts w:cs="Arial" w:hint="cs"/>
          <w:b/>
          <w:bCs/>
          <w:sz w:val="24"/>
          <w:szCs w:val="24"/>
          <w:rtl/>
        </w:rPr>
        <w:t>,</w:t>
      </w:r>
      <w:r w:rsidRPr="00007309">
        <w:rPr>
          <w:rFonts w:cs="Arial"/>
          <w:b/>
          <w:bCs/>
          <w:sz w:val="24"/>
          <w:szCs w:val="24"/>
          <w:rtl/>
        </w:rPr>
        <w:t xml:space="preserve"> שְׁנִיָּה </w:t>
      </w:r>
      <w:r w:rsidRPr="00007309">
        <w:rPr>
          <w:rFonts w:cs="Arial"/>
          <w:b/>
          <w:bCs/>
          <w:sz w:val="36"/>
          <w:szCs w:val="28"/>
          <w:vertAlign w:val="superscript"/>
          <w:rtl/>
        </w:rPr>
        <w:footnoteReference w:id="6864"/>
      </w:r>
      <w:r w:rsidRPr="00007309">
        <w:rPr>
          <w:rFonts w:cs="Arial"/>
          <w:b/>
          <w:bCs/>
          <w:sz w:val="24"/>
          <w:szCs w:val="24"/>
          <w:rtl/>
        </w:rPr>
        <w:t xml:space="preserve">כְּלָבִים צוֹעֲקִים, כֻּלְּהוּ </w:t>
      </w:r>
      <w:r w:rsidRPr="00007309">
        <w:rPr>
          <w:rFonts w:ascii="Cambria" w:hAnsi="Cambria" w:cs="Times New Roman" w:hint="cs"/>
          <w:b/>
          <w:bCs/>
          <w:i/>
          <w:iCs/>
          <w:color w:val="4F81BD"/>
          <w:sz w:val="24"/>
          <w:szCs w:val="24"/>
          <w:rtl/>
        </w:rPr>
        <w:t>(וילנא טו ע"ב)</w:t>
      </w:r>
      <w:r w:rsidRPr="00007309">
        <w:rPr>
          <w:rFonts w:cs="Arial" w:hint="cs"/>
          <w:b/>
          <w:bCs/>
          <w:sz w:val="24"/>
          <w:szCs w:val="24"/>
          <w:rtl/>
        </w:rPr>
        <w:t xml:space="preserve"> </w:t>
      </w:r>
      <w:r w:rsidRPr="00007309">
        <w:rPr>
          <w:rFonts w:cs="Arial"/>
          <w:b/>
          <w:bCs/>
          <w:sz w:val="24"/>
          <w:szCs w:val="24"/>
          <w:rtl/>
        </w:rPr>
        <w:t>הֲווֹ צָוְחִין לְגַבֵּי מַטְרוֹנִיתָא לְמֵיהַב לוֹן מְזוֹנָא</w:t>
      </w:r>
      <w:r w:rsidRPr="00007309">
        <w:rPr>
          <w:rFonts w:cs="Arial" w:hint="cs"/>
          <w:b/>
          <w:bCs/>
          <w:sz w:val="24"/>
          <w:szCs w:val="24"/>
          <w:rtl/>
        </w:rPr>
        <w:t xml:space="preserve">, </w:t>
      </w:r>
      <w:r w:rsidRPr="00007309">
        <w:rPr>
          <w:rFonts w:cs="Arial"/>
          <w:b/>
          <w:bCs/>
          <w:sz w:val="24"/>
          <w:szCs w:val="24"/>
          <w:rtl/>
        </w:rPr>
        <w:t>לְקַיִּם בְּהוֹן וּמַלְכוּתוֹ בַּכֹּל מָשָׁלָה. הָא שְׁכִינְתָּא כְּלִילָא מֵעִלָּאִין וְתַתָּאִין</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6865"/>
      </w:r>
      <w:r w:rsidRPr="00007309">
        <w:rPr>
          <w:rFonts w:cs="Arial"/>
          <w:b/>
          <w:bCs/>
          <w:sz w:val="24"/>
          <w:szCs w:val="24"/>
          <w:rtl/>
        </w:rPr>
        <w:t>אִיהִי מַבּוּעָא דְּאִילָנָא מִסִּטְרָא דְּאָת י'. וְאִיהִי מְקוֹר מַיִם חַיִּים מִסִּטְרָא דְּכֶתֶר, מְקוֹרָא דְּלֵית לֵהּ סוֹף. וְאִיהִי יַמָּא דְּאוֹרַיְתָא מִסִּטְרָא דְּאִמָּא עִלָּאָה, וּבָהּ מִתְפַּלְּגִין שֶׁבַע סְפִירָן לְז' נַחֲלִין. הָדָא הוּא דִּכְתִיב (ישעיה יא) וְהִכָּהוּ לְשִׁבְעָה נְחָלִים. וְאִיהִי איבא דְּאִילָנָא מִסִּטְרָא דְּאָת י'. וְאִיהִי גּוּפָא דְּאִילָנָא מִסִּטְרָא דְּאָת ו'. וְאִיהִי עַנְפִּין דְּאִילָנָא מִסִּטְרָא דְּאָת ה' עִלָּאָה. וְאִיהִי שֹׁרֶשׁ</w:t>
      </w:r>
      <w:r w:rsidRPr="00007309">
        <w:rPr>
          <w:rFonts w:cs="Arial" w:hint="cs"/>
          <w:b/>
          <w:bCs/>
          <w:sz w:val="24"/>
          <w:szCs w:val="24"/>
          <w:rtl/>
        </w:rPr>
        <w:t>א</w:t>
      </w:r>
      <w:r w:rsidRPr="00007309">
        <w:rPr>
          <w:rFonts w:cs="Arial"/>
          <w:b/>
          <w:bCs/>
          <w:sz w:val="24"/>
          <w:szCs w:val="24"/>
          <w:rtl/>
        </w:rPr>
        <w:t xml:space="preserve"> דְּאִילָנָא מִסִּטְרָא דְּאָת ה' תַּתָּאָה</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6866"/>
      </w:r>
      <w:r w:rsidRPr="00007309">
        <w:rPr>
          <w:rFonts w:cs="Arial"/>
          <w:b/>
          <w:bCs/>
          <w:sz w:val="24"/>
          <w:szCs w:val="24"/>
          <w:rtl/>
        </w:rPr>
        <w:t xml:space="preserve">דְּאִיהִי גַּן, דְּבֵהּ נָטַע אִילָנָא מִסִּטְרָא דַּאֲדֹנָ"י. </w:t>
      </w:r>
      <w:r w:rsidRPr="00007309">
        <w:rPr>
          <w:rFonts w:cs="Arial"/>
          <w:b/>
          <w:bCs/>
          <w:sz w:val="36"/>
          <w:szCs w:val="28"/>
          <w:vertAlign w:val="superscript"/>
          <w:rtl/>
        </w:rPr>
        <w:footnoteReference w:id="6867"/>
      </w:r>
      <w:r w:rsidRPr="00007309">
        <w:rPr>
          <w:rFonts w:cs="Arial"/>
          <w:b/>
          <w:bCs/>
          <w:sz w:val="24"/>
          <w:szCs w:val="24"/>
          <w:rtl/>
        </w:rPr>
        <w:t>וְאִיהִי אָדָם דְּאִתְּמַר בֵּהּ (בראשית י) וַיִּטַע ה' אֱלֹהִים גַּן בְּעֵדֶן מִקֶּדֶם וַיָּשֶׂם שָׁם אֶת הָאָדָם אֲשֶׁר יָצַר. אִיהִי אָדָם מִסִּטְרָא דִּשְׁמָא מְפָרֵשׁ יוּ"ד הֵ"א וָא"ו הֵ"א</w:t>
      </w:r>
      <w:r w:rsidRPr="00007309">
        <w:rPr>
          <w:rFonts w:cs="Arial" w:hint="cs"/>
          <w:b/>
          <w:bCs/>
          <w:sz w:val="24"/>
          <w:szCs w:val="24"/>
          <w:rtl/>
        </w:rPr>
        <w:t>.</w:t>
      </w:r>
      <w:r w:rsidRPr="00007309">
        <w:rPr>
          <w:rFonts w:cs="Arial"/>
          <w:b/>
          <w:bCs/>
          <w:sz w:val="24"/>
          <w:szCs w:val="24"/>
          <w:rtl/>
        </w:rPr>
        <w:t xml:space="preserve"> אִיהִי כְּלִילָא מִכָּל שְׁמָהָן עִלָּאִין. וּבְגִין דְּאִיהִי כְּלִילָא מֵעִלָּאִין וְתַתָּאִין, שַׁרְיָא עָלַהּ עִלַּת כָּל עִלָּאִין</w:t>
      </w:r>
      <w:r w:rsidRPr="00007309">
        <w:rPr>
          <w:rFonts w:cs="Arial" w:hint="cs"/>
          <w:b/>
          <w:bCs/>
          <w:sz w:val="24"/>
          <w:szCs w:val="24"/>
          <w:rtl/>
        </w:rPr>
        <w:t>,</w:t>
      </w:r>
      <w:r w:rsidRPr="00007309">
        <w:rPr>
          <w:rFonts w:cs="Arial"/>
          <w:b/>
          <w:bCs/>
          <w:sz w:val="24"/>
          <w:szCs w:val="24"/>
          <w:rtl/>
        </w:rPr>
        <w:t xml:space="preserve"> ובי' שֻׁלְטָנוּתָא עַל כֹּלָּא. </w:t>
      </w:r>
    </w:p>
    <w:p w:rsidR="00007309" w:rsidRPr="00007309" w:rsidRDefault="00007309" w:rsidP="00007309">
      <w:pPr>
        <w:jc w:val="both"/>
        <w:rPr>
          <w:rFonts w:cs="Arial"/>
          <w:b/>
          <w:bCs/>
          <w:sz w:val="24"/>
          <w:szCs w:val="24"/>
        </w:rPr>
      </w:pPr>
      <w:r w:rsidRPr="00007309">
        <w:rPr>
          <w:rFonts w:cs="Arial"/>
          <w:b/>
          <w:bCs/>
          <w:sz w:val="24"/>
          <w:szCs w:val="24"/>
          <w:rtl/>
        </w:rPr>
        <w:t xml:space="preserve">קוּם אֵלִיָּהוּ לְשַׁבְּחָא לְעִלַּת כָּל עִלָּאִין, </w:t>
      </w:r>
      <w:r w:rsidRPr="00007309">
        <w:rPr>
          <w:rFonts w:cs="Arial"/>
          <w:b/>
          <w:bCs/>
          <w:sz w:val="36"/>
          <w:szCs w:val="28"/>
          <w:vertAlign w:val="superscript"/>
          <w:rtl/>
        </w:rPr>
        <w:footnoteReference w:id="6868"/>
      </w:r>
      <w:r w:rsidRPr="00007309">
        <w:rPr>
          <w:rFonts w:cs="Arial"/>
          <w:b/>
          <w:bCs/>
          <w:sz w:val="24"/>
          <w:szCs w:val="24"/>
          <w:rtl/>
        </w:rPr>
        <w:t xml:space="preserve">דְּאַתְּ תְּהֵא אַקְדִּים לְכָל נְבִיאָה בְּדָרָא דִּמְשִׁיחָא. </w:t>
      </w:r>
      <w:r w:rsidRPr="00007309">
        <w:rPr>
          <w:rFonts w:cs="Arial"/>
          <w:b/>
          <w:bCs/>
          <w:sz w:val="36"/>
          <w:szCs w:val="28"/>
          <w:vertAlign w:val="superscript"/>
          <w:rtl/>
        </w:rPr>
        <w:footnoteReference w:id="6869"/>
      </w:r>
      <w:r w:rsidRPr="00007309">
        <w:rPr>
          <w:rFonts w:cs="Arial"/>
          <w:b/>
          <w:bCs/>
          <w:sz w:val="24"/>
          <w:szCs w:val="24"/>
          <w:rtl/>
        </w:rPr>
        <w:t xml:space="preserve">דְּאִית לְמָאן דְּאַתְּ עָתִיד לְאִתְגַּלָּאָה לֵהּ מִסִּטְרָא דְּנִשְׁמָתֵהּ בַּשֵּכֶל דִּילֵהּ. וְאִית לְמָאן דְּאַתְּ עָתִיד לְאִתְגַּלְּיָא לֵהּ </w:t>
      </w:r>
      <w:r w:rsidRPr="00007309">
        <w:rPr>
          <w:rFonts w:cs="Arial" w:hint="cs"/>
          <w:b/>
          <w:bCs/>
          <w:sz w:val="24"/>
          <w:szCs w:val="24"/>
          <w:rtl/>
        </w:rPr>
        <w:t>ב</w:t>
      </w:r>
      <w:r w:rsidRPr="00007309">
        <w:rPr>
          <w:rFonts w:cs="Arial"/>
          <w:b/>
          <w:bCs/>
          <w:sz w:val="24"/>
          <w:szCs w:val="24"/>
          <w:rtl/>
        </w:rPr>
        <w:t>ְּ</w:t>
      </w:r>
      <w:r w:rsidRPr="00007309">
        <w:rPr>
          <w:rFonts w:cs="Arial" w:hint="cs"/>
          <w:b/>
          <w:bCs/>
          <w:sz w:val="24"/>
          <w:szCs w:val="24"/>
          <w:rtl/>
        </w:rPr>
        <w:t>ח</w:t>
      </w:r>
      <w:r w:rsidRPr="00007309">
        <w:rPr>
          <w:rFonts w:cs="Arial"/>
          <w:b/>
          <w:bCs/>
          <w:sz w:val="24"/>
          <w:szCs w:val="24"/>
          <w:rtl/>
        </w:rPr>
        <w:t>ָ</w:t>
      </w:r>
      <w:r w:rsidRPr="00007309">
        <w:rPr>
          <w:rFonts w:cs="Arial" w:hint="cs"/>
          <w:b/>
          <w:bCs/>
          <w:sz w:val="24"/>
          <w:szCs w:val="24"/>
          <w:rtl/>
        </w:rPr>
        <w:t>כ</w:t>
      </w:r>
      <w:r w:rsidRPr="00007309">
        <w:rPr>
          <w:rFonts w:cs="Arial"/>
          <w:b/>
          <w:bCs/>
          <w:sz w:val="24"/>
          <w:szCs w:val="24"/>
          <w:rtl/>
        </w:rPr>
        <w:t>ְ</w:t>
      </w:r>
      <w:r w:rsidRPr="00007309">
        <w:rPr>
          <w:rFonts w:cs="Arial" w:hint="cs"/>
          <w:b/>
          <w:bCs/>
          <w:sz w:val="24"/>
          <w:szCs w:val="24"/>
          <w:rtl/>
        </w:rPr>
        <w:t>מ</w:t>
      </w:r>
      <w:r w:rsidRPr="00007309">
        <w:rPr>
          <w:rFonts w:cs="Arial"/>
          <w:b/>
          <w:bCs/>
          <w:sz w:val="24"/>
          <w:szCs w:val="24"/>
          <w:rtl/>
        </w:rPr>
        <w:t>ָ</w:t>
      </w:r>
      <w:r w:rsidRPr="00007309">
        <w:rPr>
          <w:rFonts w:cs="Arial" w:hint="cs"/>
          <w:b/>
          <w:bCs/>
          <w:sz w:val="24"/>
          <w:szCs w:val="24"/>
          <w:rtl/>
        </w:rPr>
        <w:t>ת</w:t>
      </w:r>
      <w:r w:rsidRPr="00007309">
        <w:rPr>
          <w:rFonts w:cs="Arial"/>
          <w:b/>
          <w:bCs/>
          <w:sz w:val="24"/>
          <w:szCs w:val="24"/>
          <w:rtl/>
        </w:rPr>
        <w:t>ֵהּ</w:t>
      </w:r>
      <w:r w:rsidRPr="00007309">
        <w:rPr>
          <w:rFonts w:cs="Arial" w:hint="cs"/>
          <w:b/>
          <w:bCs/>
          <w:sz w:val="24"/>
          <w:szCs w:val="24"/>
          <w:rtl/>
        </w:rPr>
        <w:t xml:space="preserve">. </w:t>
      </w:r>
      <w:r w:rsidRPr="00007309">
        <w:rPr>
          <w:rFonts w:cs="Arial"/>
          <w:b/>
          <w:bCs/>
          <w:sz w:val="24"/>
          <w:szCs w:val="24"/>
          <w:rtl/>
        </w:rPr>
        <w:t xml:space="preserve">וְאִית לְמָאן דְּאַתְּ עָתִיד לְאִתְגַּלְּיָא לֵהּ פָּנִים בְּפָנִים מִסִּטְרָא </w:t>
      </w:r>
      <w:r w:rsidRPr="00007309">
        <w:rPr>
          <w:rFonts w:cs="Arial" w:hint="cs"/>
          <w:b/>
          <w:bCs/>
          <w:sz w:val="24"/>
          <w:szCs w:val="24"/>
          <w:rtl/>
        </w:rPr>
        <w:t>ב</w:t>
      </w:r>
      <w:r w:rsidRPr="00007309">
        <w:rPr>
          <w:rFonts w:cs="Arial"/>
          <w:b/>
          <w:bCs/>
          <w:sz w:val="24"/>
          <w:szCs w:val="24"/>
          <w:rtl/>
        </w:rPr>
        <w:t>ְּגוּפֵהּ</w:t>
      </w:r>
      <w:r w:rsidRPr="00007309">
        <w:rPr>
          <w:rFonts w:cs="Arial" w:hint="cs"/>
          <w:b/>
          <w:bCs/>
          <w:sz w:val="24"/>
          <w:szCs w:val="24"/>
          <w:rtl/>
        </w:rPr>
        <w:t xml:space="preserve">. </w:t>
      </w:r>
      <w:r w:rsidRPr="00007309">
        <w:rPr>
          <w:rFonts w:cs="Arial"/>
          <w:b/>
          <w:bCs/>
          <w:sz w:val="24"/>
          <w:szCs w:val="24"/>
          <w:rtl/>
        </w:rPr>
        <w:t>קוּם אַפְתַּח מִלִּין קַמֵּי שְׁכִינְתָּא. מִיָּד פָּתַח וְאָמַר</w:t>
      </w:r>
      <w:r w:rsidRPr="00007309">
        <w:rPr>
          <w:rFonts w:cs="Arial"/>
          <w:b/>
          <w:bCs/>
          <w:sz w:val="24"/>
          <w:szCs w:val="24"/>
        </w:rPr>
        <w:t>:</w:t>
      </w:r>
    </w:p>
    <w:p w:rsidR="00007309" w:rsidRPr="00007309" w:rsidRDefault="00007309" w:rsidP="00007309">
      <w:pPr>
        <w:jc w:val="both"/>
        <w:rPr>
          <w:rFonts w:cs="Arial"/>
          <w:b/>
          <w:bCs/>
          <w:sz w:val="24"/>
          <w:szCs w:val="24"/>
          <w:rtl/>
        </w:rPr>
      </w:pPr>
      <w:r w:rsidRPr="00007309">
        <w:rPr>
          <w:rFonts w:cs="Arial"/>
          <w:b/>
          <w:bCs/>
          <w:sz w:val="24"/>
          <w:szCs w:val="24"/>
          <w:rtl/>
        </w:rPr>
        <w:t>וְהַמַּשְׂכִילִים יַזְהִרוּ. מָאן מַשְׂכִּילִים. אִלֵּין דְּאִית בְּהוֹן שֵׂכֶל לְמִנְדַּע לְמָארֵי עָלְמִין, דְּאִיהוּ עִילַת כָּל עִלָּאִין</w:t>
      </w:r>
      <w:r w:rsidRPr="00007309">
        <w:rPr>
          <w:rFonts w:cs="Arial" w:hint="cs"/>
          <w:b/>
          <w:bCs/>
          <w:sz w:val="24"/>
          <w:szCs w:val="24"/>
          <w:rtl/>
        </w:rPr>
        <w:t>,</w:t>
      </w:r>
      <w:r w:rsidRPr="00007309">
        <w:rPr>
          <w:rFonts w:cs="Arial"/>
          <w:b/>
          <w:bCs/>
          <w:sz w:val="24"/>
          <w:szCs w:val="24"/>
          <w:rtl/>
        </w:rPr>
        <w:t xml:space="preserve"> בִּשְׁכִינְתָּא דְּאִתְּמַר בָּהּ (תהלים קיח) זֶה הַשַּׁעַר לַה' צַדִּיקִים יָבֹאוּ בּוֹ. שַׁעַר בְּהִפּוּךְ אַתְוָן עֶשֶׂר</w:t>
      </w:r>
      <w:r w:rsidRPr="00007309">
        <w:rPr>
          <w:rFonts w:cs="Arial" w:hint="cs"/>
          <w:b/>
          <w:bCs/>
          <w:sz w:val="24"/>
          <w:szCs w:val="24"/>
          <w:rtl/>
        </w:rPr>
        <w:t>,</w:t>
      </w:r>
      <w:r w:rsidRPr="00007309">
        <w:rPr>
          <w:rFonts w:cs="Arial"/>
          <w:b/>
          <w:bCs/>
          <w:sz w:val="24"/>
          <w:szCs w:val="24"/>
          <w:rtl/>
        </w:rPr>
        <w:t xml:space="preserve"> כְּלִילָא מֵעֶשֶׂר סְפִירָן. וּמִסִּטְרָא דִּילְהוֹן </w:t>
      </w:r>
      <w:r w:rsidRPr="00007309">
        <w:rPr>
          <w:rFonts w:cs="Arial"/>
          <w:b/>
          <w:bCs/>
          <w:sz w:val="36"/>
          <w:szCs w:val="28"/>
          <w:vertAlign w:val="superscript"/>
          <w:rtl/>
        </w:rPr>
        <w:footnoteReference w:id="6870"/>
      </w:r>
      <w:r w:rsidRPr="00007309">
        <w:rPr>
          <w:rFonts w:cs="Arial"/>
          <w:b/>
          <w:bCs/>
          <w:sz w:val="24"/>
          <w:szCs w:val="24"/>
          <w:rtl/>
        </w:rPr>
        <w:t xml:space="preserve">אִיהִי גְּבוּל. כְּגוֹן יַמָּא דְּאִתְּמַר בֵּהּ (ירמיה ה) אֲשֶׁר שַׂמְתִּי חוֹל גְּבוּל לַיָּם. הָכֵי אִיהִי גְּבוּל וּתְחוּם לִשְׁמָא דיהו'ה, דְּאִיהִי רְשׁוּת הַיָּחִיד דִּתְחוּמֵהּ אִיהוּ </w:t>
      </w:r>
      <w:r w:rsidRPr="00007309">
        <w:rPr>
          <w:rFonts w:cs="Arial"/>
          <w:b/>
          <w:bCs/>
          <w:sz w:val="36"/>
          <w:szCs w:val="28"/>
          <w:vertAlign w:val="superscript"/>
          <w:rtl/>
        </w:rPr>
        <w:footnoteReference w:id="6871"/>
      </w:r>
      <w:r w:rsidRPr="00007309">
        <w:rPr>
          <w:rFonts w:cs="Arial"/>
          <w:b/>
          <w:bCs/>
          <w:sz w:val="24"/>
          <w:szCs w:val="24"/>
          <w:rtl/>
        </w:rPr>
        <w:t>שְׁמוֹנָה</w:t>
      </w:r>
      <w:r w:rsidRPr="00007309">
        <w:rPr>
          <w:rFonts w:cs="Arial"/>
          <w:b/>
          <w:bCs/>
          <w:sz w:val="24"/>
          <w:szCs w:val="24"/>
        </w:rPr>
        <w:t xml:space="preserve"> </w:t>
      </w:r>
      <w:r w:rsidRPr="00007309">
        <w:rPr>
          <w:rFonts w:cs="Arial"/>
          <w:b/>
          <w:bCs/>
          <w:sz w:val="24"/>
          <w:szCs w:val="24"/>
          <w:rtl/>
        </w:rPr>
        <w:t>אֲלָפִים אַמָּה, אַלְפַּים לְכָל סִטְרָא</w:t>
      </w:r>
      <w:r w:rsidRPr="00007309">
        <w:rPr>
          <w:rFonts w:cs="Arial" w:hint="cs"/>
          <w:b/>
          <w:bCs/>
          <w:sz w:val="24"/>
          <w:szCs w:val="24"/>
          <w:rtl/>
        </w:rPr>
        <w:t>,</w:t>
      </w:r>
      <w:r w:rsidRPr="00007309">
        <w:rPr>
          <w:rFonts w:cs="Arial"/>
          <w:b/>
          <w:bCs/>
          <w:sz w:val="24"/>
          <w:szCs w:val="24"/>
          <w:rtl/>
        </w:rPr>
        <w:t xml:space="preserve"> וְאִנּוּן</w:t>
      </w:r>
      <w:r w:rsidRPr="00007309">
        <w:rPr>
          <w:rFonts w:cs="Arial" w:hint="cs"/>
          <w:b/>
          <w:bCs/>
          <w:sz w:val="24"/>
          <w:szCs w:val="24"/>
          <w:rtl/>
        </w:rPr>
        <w:t xml:space="preserve"> </w:t>
      </w:r>
      <w:r w:rsidRPr="00007309">
        <w:rPr>
          <w:rFonts w:cs="Arial"/>
          <w:b/>
          <w:bCs/>
          <w:sz w:val="24"/>
          <w:szCs w:val="24"/>
          <w:rtl/>
        </w:rPr>
        <w:t>יאהדונהי. וּרְשׁוּת אִיהִי לַיָּחִיד דְּאִיהוּ רָחְבּוֹ ד</w:t>
      </w:r>
      <w:r w:rsidRPr="00007309">
        <w:rPr>
          <w:rFonts w:cs="Arial" w:hint="cs"/>
          <w:b/>
          <w:bCs/>
          <w:sz w:val="24"/>
          <w:szCs w:val="24"/>
          <w:rtl/>
        </w:rPr>
        <w:t>'</w:t>
      </w:r>
      <w:r w:rsidRPr="00007309">
        <w:rPr>
          <w:rFonts w:cs="Arial"/>
          <w:b/>
          <w:bCs/>
          <w:sz w:val="24"/>
          <w:szCs w:val="24"/>
          <w:rtl/>
        </w:rPr>
        <w:t xml:space="preserve"> וְגָבְהוֹ עֲשָׂרָה</w:t>
      </w:r>
      <w:r w:rsidRPr="00007309">
        <w:rPr>
          <w:rFonts w:cs="Arial" w:hint="cs"/>
          <w:b/>
          <w:bCs/>
          <w:sz w:val="24"/>
          <w:szCs w:val="24"/>
          <w:rtl/>
        </w:rPr>
        <w:t>.</w:t>
      </w:r>
      <w:r w:rsidRPr="00007309">
        <w:rPr>
          <w:rFonts w:cs="Arial"/>
          <w:b/>
          <w:bCs/>
          <w:sz w:val="24"/>
          <w:szCs w:val="24"/>
          <w:rtl/>
        </w:rPr>
        <w:t xml:space="preserve"> אִיהִי גְּבוּל לְיַמָּא דְּאוֹרַיְתָא, דְּאִיהִי אִימָּא</w:t>
      </w:r>
      <w:r w:rsidRPr="00007309">
        <w:rPr>
          <w:rFonts w:cs="Arial"/>
          <w:b/>
          <w:bCs/>
          <w:sz w:val="24"/>
          <w:szCs w:val="24"/>
        </w:rPr>
        <w:t xml:space="preserve"> </w:t>
      </w:r>
      <w:r w:rsidRPr="00007309">
        <w:rPr>
          <w:rFonts w:cs="Arial"/>
          <w:b/>
          <w:bCs/>
          <w:sz w:val="24"/>
          <w:szCs w:val="24"/>
          <w:rtl/>
        </w:rPr>
        <w:t xml:space="preserve">עִלָּאָה </w:t>
      </w:r>
      <w:r w:rsidRPr="00007309">
        <w:rPr>
          <w:rFonts w:cs="Arial"/>
          <w:b/>
          <w:bCs/>
          <w:sz w:val="36"/>
          <w:szCs w:val="28"/>
          <w:vertAlign w:val="superscript"/>
          <w:rtl/>
        </w:rPr>
        <w:footnoteReference w:id="6872"/>
      </w:r>
      <w:r w:rsidRPr="00007309">
        <w:rPr>
          <w:rFonts w:cs="Arial"/>
          <w:b/>
          <w:bCs/>
          <w:sz w:val="24"/>
          <w:szCs w:val="24"/>
          <w:rtl/>
        </w:rPr>
        <w:t xml:space="preserve">דְּגַלּוֹי דְּאִשְׁתְּכָחוּ מִן חָכְמָה, </w:t>
      </w:r>
      <w:r w:rsidRPr="00007309">
        <w:rPr>
          <w:rFonts w:cs="Arial"/>
          <w:b/>
          <w:bCs/>
          <w:sz w:val="36"/>
          <w:szCs w:val="28"/>
          <w:vertAlign w:val="superscript"/>
          <w:rtl/>
        </w:rPr>
        <w:footnoteReference w:id="6873"/>
      </w:r>
      <w:r w:rsidRPr="00007309">
        <w:rPr>
          <w:rFonts w:cs="Arial"/>
          <w:b/>
          <w:bCs/>
          <w:sz w:val="24"/>
          <w:szCs w:val="24"/>
          <w:rtl/>
        </w:rPr>
        <w:t xml:space="preserve">דְּאִיהִי </w:t>
      </w:r>
      <w:r w:rsidRPr="00007309">
        <w:rPr>
          <w:rFonts w:cs="Arial" w:hint="cs"/>
          <w:b/>
          <w:bCs/>
          <w:sz w:val="24"/>
          <w:szCs w:val="24"/>
          <w:rtl/>
        </w:rPr>
        <w:t xml:space="preserve">כ"ח מ"ה, לא עברין עוד מנה. </w:t>
      </w:r>
      <w:r w:rsidRPr="00007309">
        <w:rPr>
          <w:rFonts w:cs="Arial"/>
          <w:b/>
          <w:bCs/>
          <w:sz w:val="24"/>
          <w:szCs w:val="24"/>
          <w:rtl/>
        </w:rPr>
        <w:t>אֲבָל מִסִּטְרָא דְּעִלַּת כִּלְ הָעִלּוֹת</w:t>
      </w:r>
      <w:r w:rsidRPr="00007309">
        <w:rPr>
          <w:rFonts w:cs="Arial" w:hint="cs"/>
          <w:b/>
          <w:bCs/>
          <w:sz w:val="24"/>
          <w:szCs w:val="24"/>
          <w:rtl/>
        </w:rPr>
        <w:t xml:space="preserve">, </w:t>
      </w:r>
      <w:r w:rsidRPr="00007309">
        <w:rPr>
          <w:rFonts w:cs="Arial"/>
          <w:b/>
          <w:bCs/>
          <w:sz w:val="24"/>
          <w:szCs w:val="24"/>
          <w:rtl/>
        </w:rPr>
        <w:t>דְּלֵית לְעֵלָּא מִנֵּהּ, לֵית לָהּ גְּבוּל מִסִּטְרֵהּ, וְלֵית לָהּ תְּחוּם מִסִּטְרֵהּ</w:t>
      </w:r>
      <w:r w:rsidRPr="00007309">
        <w:rPr>
          <w:rFonts w:cs="Arial" w:hint="cs"/>
          <w:b/>
          <w:bCs/>
          <w:sz w:val="24"/>
          <w:szCs w:val="24"/>
          <w:rtl/>
        </w:rPr>
        <w:t>,</w:t>
      </w:r>
      <w:r w:rsidRPr="00007309">
        <w:rPr>
          <w:rFonts w:cs="Arial"/>
          <w:b/>
          <w:bCs/>
          <w:sz w:val="24"/>
          <w:szCs w:val="24"/>
          <w:rtl/>
        </w:rPr>
        <w:t xml:space="preserve"> וְלֹא רְשׁוּת עָלֵהּ, וְלֹא בַּר מִנֵּהּ. וְלֵית לֵהּ מִדָּה וְשִׁעוּר. וְלֹא עוֹד אֶלָּא מִסִּטְרָא דְּעַמּוּדָא דְּאֶמְצָעִיתָא אִית לָהּ שִׁתּוּף וְחִבּוּר, כְּגוֹן דְּכַר וְנוּקְבָא</w:t>
      </w:r>
      <w:r w:rsidRPr="00007309">
        <w:rPr>
          <w:rFonts w:cs="Arial" w:hint="cs"/>
          <w:b/>
          <w:bCs/>
          <w:sz w:val="24"/>
          <w:szCs w:val="24"/>
          <w:rtl/>
        </w:rPr>
        <w:t>.</w:t>
      </w:r>
      <w:r w:rsidRPr="00007309">
        <w:rPr>
          <w:rFonts w:cs="Arial"/>
          <w:b/>
          <w:bCs/>
          <w:sz w:val="24"/>
          <w:szCs w:val="24"/>
          <w:rtl/>
        </w:rPr>
        <w:t xml:space="preserve"> דְּאִיהִי ד</w:t>
      </w:r>
      <w:r w:rsidRPr="00007309">
        <w:rPr>
          <w:rFonts w:cs="Arial" w:hint="cs"/>
          <w:b/>
          <w:bCs/>
          <w:sz w:val="24"/>
          <w:szCs w:val="24"/>
          <w:rtl/>
        </w:rPr>
        <w:t>',</w:t>
      </w:r>
      <w:r w:rsidRPr="00007309">
        <w:rPr>
          <w:rFonts w:cs="Arial"/>
          <w:b/>
          <w:bCs/>
          <w:sz w:val="24"/>
          <w:szCs w:val="24"/>
          <w:rtl/>
        </w:rPr>
        <w:t xml:space="preserve"> וְשִׁתּוּפָא דִּילֵהּ א'ח</w:t>
      </w:r>
      <w:r w:rsidRPr="00007309">
        <w:rPr>
          <w:rFonts w:cs="Arial" w:hint="cs"/>
          <w:b/>
          <w:bCs/>
          <w:sz w:val="24"/>
          <w:szCs w:val="24"/>
          <w:rtl/>
        </w:rPr>
        <w:t>,</w:t>
      </w:r>
      <w:r w:rsidRPr="00007309">
        <w:rPr>
          <w:rFonts w:cs="Arial"/>
          <w:b/>
          <w:bCs/>
          <w:sz w:val="24"/>
          <w:szCs w:val="24"/>
          <w:rtl/>
        </w:rPr>
        <w:t xml:space="preserve"> וְתַרְוַיְהוּ אֶחָ</w:t>
      </w:r>
      <w:r w:rsidRPr="00007309">
        <w:rPr>
          <w:rFonts w:cs="Arial" w:hint="cs"/>
          <w:b/>
          <w:bCs/>
          <w:sz w:val="24"/>
          <w:szCs w:val="24"/>
          <w:rtl/>
        </w:rPr>
        <w:t>"</w:t>
      </w:r>
      <w:r w:rsidRPr="00007309">
        <w:rPr>
          <w:rFonts w:cs="Arial"/>
          <w:b/>
          <w:bCs/>
          <w:sz w:val="24"/>
          <w:szCs w:val="24"/>
          <w:rtl/>
        </w:rPr>
        <w:t>ד</w:t>
      </w:r>
      <w:r w:rsidRPr="00007309">
        <w:rPr>
          <w:rFonts w:cs="Arial" w:hint="cs"/>
          <w:b/>
          <w:bCs/>
          <w:sz w:val="24"/>
          <w:szCs w:val="24"/>
          <w:rtl/>
        </w:rPr>
        <w:t>.</w:t>
      </w:r>
      <w:r w:rsidRPr="00007309">
        <w:rPr>
          <w:rFonts w:cs="Arial"/>
          <w:b/>
          <w:bCs/>
          <w:sz w:val="24"/>
          <w:szCs w:val="24"/>
          <w:rtl/>
        </w:rPr>
        <w:t xml:space="preserve"> אֲבָל מִסִּטְרָא דְּעִלַּת כִּלְ הָעִלּוֹת</w:t>
      </w:r>
      <w:r w:rsidRPr="00007309">
        <w:rPr>
          <w:rFonts w:cs="Arial" w:hint="cs"/>
          <w:b/>
          <w:bCs/>
          <w:sz w:val="24"/>
          <w:szCs w:val="24"/>
          <w:rtl/>
        </w:rPr>
        <w:t xml:space="preserve"> </w:t>
      </w:r>
      <w:r w:rsidRPr="00007309">
        <w:rPr>
          <w:rFonts w:cs="Arial"/>
          <w:b/>
          <w:bCs/>
          <w:sz w:val="24"/>
          <w:szCs w:val="24"/>
          <w:rtl/>
        </w:rPr>
        <w:t xml:space="preserve">אִיהִי אֶחָד בְּלֹא שִׁתּוּף. וְלֹא עוֹד אֶלָּא מִסִּטְרָא דְּאֶחָד אִיהִי </w:t>
      </w:r>
      <w:r w:rsidRPr="00007309">
        <w:rPr>
          <w:rFonts w:cs="Arial"/>
          <w:b/>
          <w:bCs/>
          <w:sz w:val="36"/>
          <w:szCs w:val="28"/>
          <w:vertAlign w:val="superscript"/>
          <w:rtl/>
        </w:rPr>
        <w:footnoteReference w:id="6874"/>
      </w:r>
      <w:r w:rsidRPr="00007309">
        <w:rPr>
          <w:rFonts w:cs="Arial"/>
          <w:b/>
          <w:bCs/>
          <w:sz w:val="24"/>
          <w:szCs w:val="24"/>
          <w:rtl/>
        </w:rPr>
        <w:t>ד'</w:t>
      </w:r>
      <w:r w:rsidRPr="00007309">
        <w:rPr>
          <w:rFonts w:cs="Arial" w:hint="cs"/>
          <w:b/>
          <w:bCs/>
          <w:sz w:val="24"/>
          <w:szCs w:val="24"/>
          <w:rtl/>
        </w:rPr>
        <w:t>,</w:t>
      </w:r>
      <w:r w:rsidRPr="00007309">
        <w:rPr>
          <w:rFonts w:cs="Arial"/>
          <w:b/>
          <w:bCs/>
          <w:sz w:val="24"/>
          <w:szCs w:val="24"/>
          <w:rtl/>
        </w:rPr>
        <w:t xml:space="preserve"> י"ג</w:t>
      </w:r>
      <w:r w:rsidRPr="00007309">
        <w:rPr>
          <w:rFonts w:cs="Arial" w:hint="cs"/>
          <w:b/>
          <w:bCs/>
          <w:sz w:val="24"/>
          <w:szCs w:val="24"/>
          <w:rtl/>
        </w:rPr>
        <w:t>,</w:t>
      </w:r>
      <w:r w:rsidRPr="00007309">
        <w:rPr>
          <w:rFonts w:cs="Arial"/>
          <w:b/>
          <w:bCs/>
          <w:sz w:val="24"/>
          <w:szCs w:val="24"/>
          <w:rtl/>
        </w:rPr>
        <w:t xml:space="preserve"> אֶחָד הַמָּנוּי. אֲבָל מִסִּטְרָא דְּעִלַּת עַל כָּל עִלָּאִין אִיהִי אֶחָד</w:t>
      </w:r>
      <w:r w:rsidRPr="00007309">
        <w:rPr>
          <w:rFonts w:cs="Arial" w:hint="cs"/>
          <w:b/>
          <w:bCs/>
          <w:sz w:val="24"/>
          <w:szCs w:val="24"/>
          <w:rtl/>
        </w:rPr>
        <w:t>,</w:t>
      </w:r>
      <w:r w:rsidRPr="00007309">
        <w:rPr>
          <w:rFonts w:cs="Arial"/>
          <w:b/>
          <w:bCs/>
          <w:sz w:val="24"/>
          <w:szCs w:val="24"/>
          <w:rtl/>
        </w:rPr>
        <w:t xml:space="preserve"> וְלֹא כְּכָל אֶחָד </w:t>
      </w:r>
      <w:r w:rsidRPr="00007309">
        <w:rPr>
          <w:rFonts w:cs="Arial"/>
          <w:b/>
          <w:bCs/>
          <w:sz w:val="36"/>
          <w:szCs w:val="28"/>
          <w:vertAlign w:val="superscript"/>
          <w:rtl/>
        </w:rPr>
        <w:footnoteReference w:id="6875"/>
      </w:r>
      <w:r w:rsidRPr="00007309">
        <w:rPr>
          <w:rFonts w:cs="Arial"/>
          <w:b/>
          <w:bCs/>
          <w:sz w:val="24"/>
          <w:szCs w:val="24"/>
          <w:rtl/>
        </w:rPr>
        <w:t>הַכִּנּוּי וְהַמָּנּוּי</w:t>
      </w:r>
      <w:r w:rsidRPr="00007309">
        <w:rPr>
          <w:rFonts w:cs="Arial" w:hint="cs"/>
          <w:b/>
          <w:bCs/>
          <w:sz w:val="24"/>
          <w:szCs w:val="24"/>
          <w:rtl/>
        </w:rPr>
        <w:t>,</w:t>
      </w:r>
      <w:r w:rsidRPr="00007309">
        <w:rPr>
          <w:rFonts w:cs="Arial"/>
          <w:b/>
          <w:bCs/>
          <w:sz w:val="24"/>
          <w:szCs w:val="24"/>
          <w:rtl/>
        </w:rPr>
        <w:t xml:space="preserve"> דְּאִיהוּ כִּנּוּי ליהו'ה</w:t>
      </w:r>
      <w:r w:rsidRPr="00007309">
        <w:rPr>
          <w:rFonts w:cs="Arial" w:hint="cs"/>
          <w:b/>
          <w:bCs/>
          <w:sz w:val="24"/>
          <w:szCs w:val="24"/>
          <w:rtl/>
        </w:rPr>
        <w:t>,</w:t>
      </w:r>
      <w:r w:rsidRPr="00007309">
        <w:rPr>
          <w:rFonts w:cs="Arial"/>
          <w:b/>
          <w:bCs/>
          <w:sz w:val="24"/>
          <w:szCs w:val="24"/>
          <w:rtl/>
        </w:rPr>
        <w:t xml:space="preserve"> אֱלֹהִים וַדַּאי</w:t>
      </w:r>
      <w:r w:rsidRPr="00007309">
        <w:rPr>
          <w:rFonts w:cs="Arial" w:hint="cs"/>
          <w:b/>
          <w:bCs/>
          <w:sz w:val="24"/>
          <w:szCs w:val="24"/>
          <w:rtl/>
        </w:rPr>
        <w:t>,</w:t>
      </w:r>
      <w:r w:rsidRPr="00007309">
        <w:rPr>
          <w:rFonts w:cs="Arial"/>
          <w:b/>
          <w:bCs/>
          <w:sz w:val="24"/>
          <w:szCs w:val="24"/>
          <w:rtl/>
        </w:rPr>
        <w:t xml:space="preserve"> הָכֵי סְלִיקַת בְּחֻשְׁבָּן כִּנּוּ"י. וּמִסִּטְרָא דְּמָארֵי עַל כֹּלָּא לֵית לֵהּ כִּנּוּ"י. </w:t>
      </w:r>
    </w:p>
    <w:p w:rsidR="00007309" w:rsidRPr="00007309" w:rsidRDefault="00007309" w:rsidP="00007309">
      <w:pPr>
        <w:keepNext/>
        <w:outlineLvl w:val="1"/>
        <w:rPr>
          <w:rFonts w:ascii="Cambria" w:hAnsi="Cambria" w:cs="Times New Roman"/>
          <w:b/>
          <w:bCs/>
          <w:i/>
          <w:iCs/>
          <w:sz w:val="28"/>
          <w:szCs w:val="28"/>
          <w:rtl/>
        </w:rPr>
      </w:pPr>
      <w:r w:rsidRPr="00007309">
        <w:rPr>
          <w:rFonts w:ascii="Cambria" w:hAnsi="Cambria" w:cs="Times New Roman"/>
          <w:b/>
          <w:bCs/>
          <w:i/>
          <w:iCs/>
          <w:sz w:val="28"/>
          <w:szCs w:val="28"/>
          <w:rtl/>
        </w:rPr>
        <w:t>[</w:t>
      </w:r>
      <w:r w:rsidRPr="00007309">
        <w:rPr>
          <w:rFonts w:ascii="Cambria" w:hAnsi="Cambria" w:cs="Times New Roman" w:hint="cs"/>
          <w:b/>
          <w:bCs/>
          <w:i/>
          <w:iCs/>
          <w:sz w:val="28"/>
          <w:szCs w:val="28"/>
          <w:rtl/>
        </w:rPr>
        <w:t>דף</w:t>
      </w:r>
      <w:r w:rsidRPr="00007309">
        <w:rPr>
          <w:rFonts w:ascii="Cambria" w:hAnsi="Cambria" w:cs="Times New Roman"/>
          <w:b/>
          <w:bCs/>
          <w:i/>
          <w:iCs/>
          <w:sz w:val="28"/>
          <w:szCs w:val="28"/>
          <w:rtl/>
        </w:rPr>
        <w:t xml:space="preserve"> ע</w:t>
      </w:r>
      <w:r w:rsidRPr="00007309">
        <w:rPr>
          <w:rFonts w:ascii="Cambria" w:hAnsi="Cambria" w:cs="Times New Roman" w:hint="cs"/>
          <w:b/>
          <w:bCs/>
          <w:i/>
          <w:iCs/>
          <w:sz w:val="28"/>
          <w:szCs w:val="28"/>
          <w:rtl/>
        </w:rPr>
        <w:t>ח</w:t>
      </w:r>
      <w:r w:rsidRPr="00007309">
        <w:rPr>
          <w:rFonts w:ascii="Cambria" w:hAnsi="Cambria" w:cs="Times New Roman"/>
          <w:b/>
          <w:bCs/>
          <w:i/>
          <w:iCs/>
          <w:sz w:val="28"/>
          <w:szCs w:val="28"/>
          <w:rtl/>
        </w:rPr>
        <w:t xml:space="preserve"> ע"</w:t>
      </w:r>
      <w:r w:rsidRPr="00007309">
        <w:rPr>
          <w:rFonts w:ascii="Cambria" w:hAnsi="Cambria" w:cs="Times New Roman" w:hint="cs"/>
          <w:b/>
          <w:bCs/>
          <w:i/>
          <w:iCs/>
          <w:sz w:val="28"/>
          <w:szCs w:val="28"/>
          <w:rtl/>
        </w:rPr>
        <w:t>ב</w:t>
      </w:r>
      <w:r w:rsidRPr="00007309">
        <w:rPr>
          <w:rFonts w:ascii="Cambria" w:hAnsi="Cambria" w:cs="Times New Roman"/>
          <w:b/>
          <w:bCs/>
          <w:i/>
          <w:iCs/>
          <w:sz w:val="28"/>
          <w:szCs w:val="28"/>
          <w:rtl/>
        </w:rPr>
        <w:t>]</w:t>
      </w:r>
    </w:p>
    <w:p w:rsidR="00007309" w:rsidRPr="00007309" w:rsidRDefault="00007309" w:rsidP="00007309">
      <w:pPr>
        <w:jc w:val="both"/>
        <w:rPr>
          <w:rFonts w:cs="Arial"/>
          <w:b/>
          <w:bCs/>
          <w:sz w:val="24"/>
          <w:szCs w:val="24"/>
          <w:rtl/>
        </w:rPr>
      </w:pPr>
      <w:r w:rsidRPr="00007309">
        <w:rPr>
          <w:rFonts w:cs="Arial"/>
          <w:b/>
          <w:bCs/>
          <w:sz w:val="24"/>
          <w:szCs w:val="24"/>
          <w:rtl/>
        </w:rPr>
        <w:t>וְעֹד מִסִּטְרָא דְּעַמּוּדָא</w:t>
      </w:r>
      <w:r w:rsidRPr="00007309">
        <w:rPr>
          <w:rFonts w:cs="Arial"/>
          <w:b/>
          <w:bCs/>
          <w:sz w:val="24"/>
          <w:szCs w:val="24"/>
        </w:rPr>
        <w:t xml:space="preserve"> </w:t>
      </w:r>
      <w:r w:rsidRPr="00007309">
        <w:rPr>
          <w:rFonts w:cs="Arial"/>
          <w:b/>
          <w:bCs/>
          <w:sz w:val="24"/>
          <w:szCs w:val="24"/>
          <w:rtl/>
        </w:rPr>
        <w:t>דְּאֶמְצָעִיתָא אִתְקְרִיאַת בֵּית קִבּוּל</w:t>
      </w:r>
      <w:r w:rsidRPr="00007309">
        <w:rPr>
          <w:rFonts w:cs="Arial" w:hint="cs"/>
          <w:b/>
          <w:bCs/>
          <w:sz w:val="24"/>
          <w:szCs w:val="24"/>
          <w:rtl/>
        </w:rPr>
        <w:t>,</w:t>
      </w:r>
      <w:r w:rsidRPr="00007309">
        <w:rPr>
          <w:rFonts w:cs="Arial"/>
          <w:b/>
          <w:bCs/>
          <w:sz w:val="24"/>
          <w:szCs w:val="24"/>
          <w:rtl/>
        </w:rPr>
        <w:t xml:space="preserve"> דִּלְזִמְנִין נָחִית לָהּ נְבִיעוּ </w:t>
      </w:r>
      <w:r w:rsidRPr="00007309">
        <w:rPr>
          <w:rFonts w:cs="Arial"/>
          <w:b/>
          <w:bCs/>
          <w:sz w:val="36"/>
          <w:szCs w:val="28"/>
          <w:vertAlign w:val="superscript"/>
          <w:rtl/>
        </w:rPr>
        <w:footnoteReference w:id="6876"/>
      </w:r>
      <w:r w:rsidRPr="00007309">
        <w:rPr>
          <w:rFonts w:cs="Arial"/>
          <w:b/>
          <w:bCs/>
          <w:sz w:val="24"/>
          <w:szCs w:val="24"/>
          <w:rtl/>
        </w:rPr>
        <w:t>וְאִיהִי מְלֵאָה</w:t>
      </w:r>
      <w:r w:rsidRPr="00007309">
        <w:rPr>
          <w:rFonts w:cs="Arial" w:hint="cs"/>
          <w:b/>
          <w:bCs/>
          <w:sz w:val="24"/>
          <w:szCs w:val="24"/>
          <w:rtl/>
        </w:rPr>
        <w:t>.</w:t>
      </w:r>
      <w:r w:rsidRPr="00007309">
        <w:rPr>
          <w:rFonts w:cs="Arial"/>
          <w:b/>
          <w:bCs/>
          <w:sz w:val="24"/>
          <w:szCs w:val="24"/>
          <w:rtl/>
        </w:rPr>
        <w:t xml:space="preserve"> דְּהָכֵי אַתְוָן דֵּאלֹהִים</w:t>
      </w:r>
      <w:r w:rsidRPr="00007309">
        <w:rPr>
          <w:rFonts w:cs="Arial" w:hint="cs"/>
          <w:b/>
          <w:bCs/>
          <w:sz w:val="24"/>
          <w:szCs w:val="24"/>
          <w:rtl/>
        </w:rPr>
        <w:t>,</w:t>
      </w:r>
      <w:r w:rsidRPr="00007309">
        <w:rPr>
          <w:rFonts w:cs="Arial"/>
          <w:b/>
          <w:bCs/>
          <w:sz w:val="24"/>
          <w:szCs w:val="24"/>
          <w:rtl/>
        </w:rPr>
        <w:t xml:space="preserve"> מְלֵאָ"ה. וּלְזִמְנִין אִיהִי יְבֵשָׁה כְּגוֹן (רות א) </w:t>
      </w:r>
      <w:r w:rsidRPr="00007309">
        <w:rPr>
          <w:rFonts w:cs="Arial"/>
          <w:b/>
          <w:bCs/>
          <w:sz w:val="36"/>
          <w:szCs w:val="28"/>
          <w:vertAlign w:val="superscript"/>
          <w:rtl/>
        </w:rPr>
        <w:footnoteReference w:id="6877"/>
      </w:r>
      <w:r w:rsidRPr="00007309">
        <w:rPr>
          <w:rFonts w:cs="Arial"/>
          <w:b/>
          <w:bCs/>
          <w:sz w:val="24"/>
          <w:szCs w:val="24"/>
          <w:rtl/>
        </w:rPr>
        <w:t xml:space="preserve">אֲנִי מְלֵאָה הָלַכְתִּי וְרֵיקָם </w:t>
      </w:r>
      <w:r w:rsidRPr="00007309">
        <w:rPr>
          <w:rFonts w:ascii="Cambria" w:hAnsi="Cambria" w:cs="Times New Roman" w:hint="cs"/>
          <w:b/>
          <w:bCs/>
          <w:i/>
          <w:iCs/>
          <w:color w:val="4F81BD"/>
          <w:sz w:val="24"/>
          <w:szCs w:val="24"/>
          <w:rtl/>
        </w:rPr>
        <w:t>(עח ע"ב)</w:t>
      </w:r>
      <w:r w:rsidRPr="00007309">
        <w:rPr>
          <w:rFonts w:cs="Arial" w:hint="cs"/>
          <w:b/>
          <w:bCs/>
          <w:sz w:val="24"/>
          <w:szCs w:val="24"/>
          <w:rtl/>
        </w:rPr>
        <w:t xml:space="preserve"> </w:t>
      </w:r>
      <w:r w:rsidRPr="00007309">
        <w:rPr>
          <w:rFonts w:cs="Arial"/>
          <w:b/>
          <w:bCs/>
          <w:sz w:val="24"/>
          <w:szCs w:val="24"/>
          <w:rtl/>
        </w:rPr>
        <w:t xml:space="preserve">הֱשִׁיבַנִי ה'. וּמִסִּטְרָא דְּעִלַּת עַל כָּל עִלָּאִין לֹא יֶחְסַר וְלֹא יַעְדִּיף נְבִיעוּ </w:t>
      </w:r>
      <w:r w:rsidRPr="00007309">
        <w:rPr>
          <w:rFonts w:cs="Arial" w:hint="cs"/>
          <w:b/>
          <w:bCs/>
          <w:sz w:val="24"/>
          <w:szCs w:val="24"/>
          <w:rtl/>
        </w:rPr>
        <w:t>ד</w:t>
      </w:r>
      <w:r w:rsidRPr="00007309">
        <w:rPr>
          <w:rFonts w:cs="Arial"/>
          <w:b/>
          <w:bCs/>
          <w:sz w:val="24"/>
          <w:szCs w:val="24"/>
          <w:rtl/>
        </w:rPr>
        <w:t>נְהוֹר</w:t>
      </w:r>
      <w:r w:rsidRPr="00007309">
        <w:rPr>
          <w:rFonts w:cs="Arial" w:hint="cs"/>
          <w:b/>
          <w:bCs/>
          <w:sz w:val="24"/>
          <w:szCs w:val="24"/>
          <w:rtl/>
        </w:rPr>
        <w:t>א,</w:t>
      </w:r>
      <w:r w:rsidRPr="00007309">
        <w:rPr>
          <w:rFonts w:cs="Arial"/>
          <w:b/>
          <w:bCs/>
          <w:sz w:val="24"/>
          <w:szCs w:val="24"/>
          <w:rtl/>
        </w:rPr>
        <w:t xml:space="preserve"> דְּכָל סְפִירָן מְקַבְּלִין דֵּין מִדֵּין. וְיַכְלִינָן לְמֶעֱבַד תַּמָּן דִּמְיוֹן כְּגַוְנָא דִּנְבִיעוּ דְּמַיִן, דְּאַשְׁקֵי לְאִילָנָא</w:t>
      </w:r>
      <w:r w:rsidRPr="00007309">
        <w:rPr>
          <w:rFonts w:cs="Arial" w:hint="cs"/>
          <w:b/>
          <w:bCs/>
          <w:sz w:val="24"/>
          <w:szCs w:val="24"/>
          <w:rtl/>
        </w:rPr>
        <w:t>.</w:t>
      </w:r>
      <w:r w:rsidRPr="00007309">
        <w:rPr>
          <w:rFonts w:cs="Arial"/>
          <w:b/>
          <w:bCs/>
          <w:sz w:val="24"/>
          <w:szCs w:val="24"/>
          <w:rtl/>
        </w:rPr>
        <w:t xml:space="preserve"> וְאִם חָסֵר הַהוּא נְבִיעוּ מִנֵּהּ, אִיהוּ חָרֵב וְיָבֵשׁ. כְּגַוְנָא דְּנָהָר דְּאִתְּמַר בֵּהּ אָזְלוּ מַיִם מִנִּי יָם וְגוֹ'. </w:t>
      </w:r>
      <w:r w:rsidRPr="00007309">
        <w:rPr>
          <w:rFonts w:cs="Arial"/>
          <w:b/>
          <w:bCs/>
          <w:sz w:val="36"/>
          <w:szCs w:val="28"/>
          <w:vertAlign w:val="superscript"/>
          <w:rtl/>
        </w:rPr>
        <w:footnoteReference w:id="6878"/>
      </w:r>
      <w:r w:rsidRPr="00007309">
        <w:rPr>
          <w:rFonts w:cs="Arial"/>
          <w:b/>
          <w:bCs/>
          <w:sz w:val="24"/>
          <w:szCs w:val="24"/>
          <w:rtl/>
        </w:rPr>
        <w:t>אֲבָל בְּעִלַּת עַל כָּל עִלָּאִין לֵית לְעֵלָּא מִנֵּהּ דְּאוֹסִיף בֵּיהּ וְגָרַע בֵּיהּ</w:t>
      </w:r>
      <w:r w:rsidRPr="00007309">
        <w:rPr>
          <w:rFonts w:cs="Arial" w:hint="cs"/>
          <w:b/>
          <w:bCs/>
          <w:sz w:val="24"/>
          <w:szCs w:val="24"/>
          <w:rtl/>
        </w:rPr>
        <w:t>,</w:t>
      </w:r>
      <w:r w:rsidRPr="00007309">
        <w:rPr>
          <w:rFonts w:cs="Arial"/>
          <w:b/>
          <w:bCs/>
          <w:sz w:val="24"/>
          <w:szCs w:val="24"/>
          <w:rtl/>
        </w:rPr>
        <w:t xml:space="preserve"> דִּבְכָל סְפִירָן אִיהוּ גָּרַע נְבִיעוּ מִנְּהוֹן, וְאוֹסִיף לוֹן נְבִיעוּ. כְּגַוְנָא דִּשְׁכִינְתָּא דִּלְזִמְנִין אִיהִי מְלֵאָה</w:t>
      </w:r>
      <w:r w:rsidRPr="00007309">
        <w:rPr>
          <w:rFonts w:cs="Arial" w:hint="cs"/>
          <w:b/>
          <w:bCs/>
          <w:sz w:val="24"/>
          <w:szCs w:val="24"/>
          <w:rtl/>
        </w:rPr>
        <w:t>,</w:t>
      </w:r>
      <w:r w:rsidRPr="00007309">
        <w:rPr>
          <w:rFonts w:cs="Arial"/>
          <w:b/>
          <w:bCs/>
          <w:sz w:val="24"/>
          <w:szCs w:val="24"/>
          <w:rtl/>
        </w:rPr>
        <w:t xml:space="preserve"> וּלְזִמְנִין אִיהִי חֲסֵרָה</w:t>
      </w:r>
      <w:r w:rsidRPr="00007309">
        <w:rPr>
          <w:rFonts w:cs="Arial" w:hint="cs"/>
          <w:b/>
          <w:bCs/>
          <w:sz w:val="24"/>
          <w:szCs w:val="24"/>
          <w:rtl/>
        </w:rPr>
        <w:t>,</w:t>
      </w:r>
      <w:r w:rsidRPr="00007309">
        <w:rPr>
          <w:rFonts w:cs="Arial"/>
          <w:b/>
          <w:bCs/>
          <w:sz w:val="24"/>
          <w:szCs w:val="24"/>
          <w:rtl/>
        </w:rPr>
        <w:t xml:space="preserve"> הָכֵי כָּל סְפִירָה וּסְפִירָה</w:t>
      </w:r>
      <w:r w:rsidRPr="00007309">
        <w:rPr>
          <w:rFonts w:cs="Arial" w:hint="cs"/>
          <w:b/>
          <w:bCs/>
          <w:sz w:val="24"/>
          <w:szCs w:val="24"/>
          <w:rtl/>
        </w:rPr>
        <w:t xml:space="preserve">. </w:t>
      </w:r>
      <w:r w:rsidRPr="00007309">
        <w:rPr>
          <w:rFonts w:cs="Arial"/>
          <w:b/>
          <w:bCs/>
          <w:sz w:val="24"/>
          <w:szCs w:val="24"/>
          <w:rtl/>
        </w:rPr>
        <w:t>וְאִיהוּ דְּאוֹסִיף וְגָרַע בְּכֻלְּהוּ, וְלֵית עָלֵהּ דְּאוֹסִיף וְגָרַע. וְלֹא עֹד אֶלָּא אֲפִלּוּ תֵּשַׁע סְפִירָן דְּאִנּוּן כְּלָלָא דא"ח, דְּאִיהוּ עַמּוּדָא דְּאֶמְצָעִיתָא כָּלִיל מֵאִנּוּן תֵּשַׁע</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6879"/>
      </w:r>
      <w:r w:rsidRPr="00007309">
        <w:rPr>
          <w:rFonts w:cs="Arial"/>
          <w:b/>
          <w:bCs/>
          <w:sz w:val="24"/>
          <w:szCs w:val="24"/>
          <w:rtl/>
        </w:rPr>
        <w:t>עִלַּת עַל כָּל עִלָּאִין לֹא נָחִית עָלֵהּ יִחוּדֵהּ, עַד דְּאַפִּיק לֵהּ בַּת זוּגֵהּ כְּלִילָא מֵעֶשֶׂר סְפִירָן</w:t>
      </w:r>
      <w:r w:rsidRPr="00007309">
        <w:rPr>
          <w:rFonts w:cs="Arial" w:hint="cs"/>
          <w:b/>
          <w:bCs/>
          <w:sz w:val="24"/>
          <w:szCs w:val="24"/>
          <w:rtl/>
        </w:rPr>
        <w:t>.</w:t>
      </w:r>
      <w:r w:rsidRPr="00007309">
        <w:rPr>
          <w:rFonts w:cs="Arial"/>
          <w:b/>
          <w:bCs/>
          <w:sz w:val="24"/>
          <w:szCs w:val="24"/>
          <w:rtl/>
        </w:rPr>
        <w:t xml:space="preserve"> וּבְגִינַהּ נָחִית עָלֶיהָ יִחוּדֵהּ בְּגִין דְּתְהֵא חֲבִיבָה עָלֵהּ. וְאִיהוּ דְּאָחִיד בְּתַרְוַיְהוּ. וּבְגִין כָּךְ אִנּוּן חַד מִסִּטְרֵיה בְּלֹא חוּשְבָּן</w:t>
      </w:r>
      <w:r w:rsidRPr="00007309">
        <w:rPr>
          <w:rFonts w:cs="Arial" w:hint="cs"/>
          <w:b/>
          <w:bCs/>
          <w:sz w:val="24"/>
          <w:szCs w:val="24"/>
          <w:rtl/>
        </w:rPr>
        <w:t>.</w:t>
      </w:r>
      <w:r w:rsidRPr="00007309">
        <w:rPr>
          <w:rFonts w:cs="Arial"/>
          <w:b/>
          <w:bCs/>
          <w:sz w:val="24"/>
          <w:szCs w:val="24"/>
          <w:rtl/>
        </w:rPr>
        <w:t xml:space="preserve"> וּבְזִמְנָא דְּאִיהוּ אָחִיד בְּתַרְוַיְהוּ לֵית תַּמָּן פֵּרוּדָא. </w:t>
      </w:r>
      <w:r w:rsidRPr="00007309">
        <w:rPr>
          <w:rFonts w:cs="Arial"/>
          <w:b/>
          <w:bCs/>
          <w:sz w:val="36"/>
          <w:szCs w:val="28"/>
          <w:vertAlign w:val="superscript"/>
          <w:rtl/>
        </w:rPr>
        <w:footnoteReference w:id="6880"/>
      </w:r>
      <w:r w:rsidRPr="00007309">
        <w:rPr>
          <w:rFonts w:cs="Arial"/>
          <w:b/>
          <w:bCs/>
          <w:sz w:val="24"/>
          <w:szCs w:val="24"/>
          <w:rtl/>
        </w:rPr>
        <w:t>וכַד אִיהוּ לֹא אָחִיד בְּתַרְוַיְהוּ אִנּוּן א"ח ד'. דְּאִית שִׁתּוּפָא דְּתַרְוַיְהוּ כְּגוֹן צַדִּיק דְּאִתְּמַר בֵּהּ כִּי כֹּל בַּשָּׁמַיִם וּבָאָרֶץ, וְתִרְגֵּם דְּאָחִיד בִּשְׁמַיָּא וּבְאַרְעָא. שִׁתּוּפָא דִּילֵהּ כְּגַוְנָא דִּבְרִית מִלָּה דְּאָחִיד בִּדְכַר וְנוּקְבָא</w:t>
      </w:r>
      <w:r w:rsidRPr="00007309">
        <w:rPr>
          <w:rFonts w:cs="Arial" w:hint="cs"/>
          <w:b/>
          <w:bCs/>
          <w:sz w:val="24"/>
          <w:szCs w:val="24"/>
          <w:rtl/>
        </w:rPr>
        <w:t>.</w:t>
      </w:r>
      <w:r w:rsidRPr="00007309">
        <w:rPr>
          <w:rFonts w:cs="Arial"/>
          <w:b/>
          <w:bCs/>
          <w:sz w:val="24"/>
          <w:szCs w:val="24"/>
          <w:rtl/>
        </w:rPr>
        <w:t xml:space="preserve"> וְאִיהוּ</w:t>
      </w:r>
      <w:r w:rsidRPr="00007309">
        <w:rPr>
          <w:rFonts w:cs="Arial" w:hint="cs"/>
          <w:b/>
          <w:bCs/>
          <w:sz w:val="24"/>
          <w:szCs w:val="24"/>
          <w:rtl/>
        </w:rPr>
        <w:t>,</w:t>
      </w:r>
      <w:r w:rsidRPr="00007309">
        <w:rPr>
          <w:rFonts w:cs="Arial"/>
          <w:b/>
          <w:bCs/>
          <w:sz w:val="24"/>
          <w:szCs w:val="24"/>
          <w:rtl/>
        </w:rPr>
        <w:t xml:space="preserve"> לְזִמְנִין יְדִיעָן אִית זִוּוּגָא, וּלְזִמְנִין אַפְרָשׁוּתָא. </w:t>
      </w:r>
      <w:r w:rsidRPr="00007309">
        <w:rPr>
          <w:rFonts w:cs="Arial"/>
          <w:b/>
          <w:bCs/>
          <w:sz w:val="36"/>
          <w:szCs w:val="28"/>
          <w:vertAlign w:val="superscript"/>
          <w:rtl/>
        </w:rPr>
        <w:footnoteReference w:id="6881"/>
      </w:r>
      <w:r w:rsidRPr="00007309">
        <w:rPr>
          <w:rFonts w:cs="Arial"/>
          <w:b/>
          <w:bCs/>
          <w:sz w:val="24"/>
          <w:szCs w:val="24"/>
          <w:rtl/>
        </w:rPr>
        <w:t>כְּגוֹן אַהֲרֹן כַּהֲנָא דְּאִתְּמַר בֵּהּ (ויקרא טז) וְאַל יָבֹא בְּכָל עֵת אֶל הַקֹּדֶשׁ. וְזִמְנִין בְּזֹאת יָבוֹא אַהֲרֹן אֶל הַקֹּדֶשׁ כְּגַוְנָא דְּאִתְּתָא דִּלְזִמְנִין אִיהִי נִדָּה מְרַחֲקָא מִבַּעְלָהּ, וּלְזִמְנִין אִיהִי דַּכְיָא מֻתֶּרֶת לְבַעְלָהּ</w:t>
      </w:r>
      <w:r w:rsidRPr="00007309">
        <w:rPr>
          <w:rFonts w:cs="Arial" w:hint="cs"/>
          <w:b/>
          <w:bCs/>
          <w:sz w:val="24"/>
          <w:szCs w:val="24"/>
          <w:rtl/>
        </w:rPr>
        <w:t>.</w:t>
      </w:r>
      <w:r w:rsidRPr="00007309">
        <w:rPr>
          <w:rFonts w:cs="Arial"/>
          <w:b/>
          <w:bCs/>
          <w:sz w:val="24"/>
          <w:szCs w:val="24"/>
          <w:rtl/>
        </w:rPr>
        <w:t xml:space="preserve"> אֲבָל כַּד עִלַּת עַל כָּל עִלָּאִין בֵּינַיְהוּ</w:t>
      </w:r>
      <w:r w:rsidRPr="00007309">
        <w:rPr>
          <w:rFonts w:cs="Arial" w:hint="cs"/>
          <w:b/>
          <w:bCs/>
          <w:sz w:val="24"/>
          <w:szCs w:val="24"/>
          <w:rtl/>
        </w:rPr>
        <w:t>,</w:t>
      </w:r>
      <w:r w:rsidRPr="00007309">
        <w:rPr>
          <w:rFonts w:cs="Arial"/>
          <w:b/>
          <w:bCs/>
          <w:sz w:val="24"/>
          <w:szCs w:val="24"/>
          <w:rtl/>
        </w:rPr>
        <w:t xml:space="preserve"> לֵית תַּמָּן נִדּוֹת וְלֹא רִחוּק, וְלֹא קִצּוּץ, וְלֹא פֵּרוּד</w:t>
      </w:r>
      <w:r w:rsidRPr="00007309">
        <w:rPr>
          <w:rFonts w:cs="Arial" w:hint="cs"/>
          <w:b/>
          <w:bCs/>
          <w:sz w:val="24"/>
          <w:szCs w:val="24"/>
          <w:rtl/>
        </w:rPr>
        <w:t>.</w:t>
      </w:r>
      <w:r w:rsidRPr="00007309">
        <w:rPr>
          <w:rFonts w:cs="Arial"/>
          <w:b/>
          <w:bCs/>
          <w:sz w:val="24"/>
          <w:szCs w:val="24"/>
          <w:rtl/>
        </w:rPr>
        <w:t xml:space="preserve"> וְאִיהוּ</w:t>
      </w:r>
      <w:r w:rsidRPr="00007309">
        <w:rPr>
          <w:rFonts w:cs="Arial"/>
          <w:b/>
          <w:bCs/>
          <w:sz w:val="24"/>
          <w:szCs w:val="24"/>
        </w:rPr>
        <w:t xml:space="preserve"> </w:t>
      </w:r>
      <w:r w:rsidRPr="00007309">
        <w:rPr>
          <w:rFonts w:cs="Arial"/>
          <w:b/>
          <w:bCs/>
          <w:sz w:val="24"/>
          <w:szCs w:val="24"/>
          <w:rtl/>
        </w:rPr>
        <w:t>דְּקָשַׁר עֶשֶׂר סְפִירָן פְּנִימִיִּים וְעֶשֶׂר סְפִירָן חִיצוֹנִיִּים לְגַבַּיְהוּ. וּבְגִין דְּאִיהוּ מִלְּגָאו</w:t>
      </w:r>
      <w:r w:rsidRPr="00007309">
        <w:rPr>
          <w:rFonts w:cs="Arial" w:hint="cs"/>
          <w:b/>
          <w:bCs/>
          <w:sz w:val="24"/>
          <w:szCs w:val="24"/>
          <w:rtl/>
        </w:rPr>
        <w:t>,</w:t>
      </w:r>
      <w:r w:rsidRPr="00007309">
        <w:rPr>
          <w:rFonts w:cs="Arial"/>
          <w:b/>
          <w:bCs/>
          <w:sz w:val="24"/>
          <w:szCs w:val="24"/>
          <w:rtl/>
        </w:rPr>
        <w:t xml:space="preserve"> שַׁוֵּי </w:t>
      </w:r>
      <w:r w:rsidRPr="00007309">
        <w:rPr>
          <w:rFonts w:cs="Arial"/>
          <w:b/>
          <w:bCs/>
          <w:sz w:val="36"/>
          <w:szCs w:val="28"/>
          <w:vertAlign w:val="superscript"/>
          <w:rtl/>
        </w:rPr>
        <w:footnoteReference w:id="6882"/>
      </w:r>
      <w:r w:rsidRPr="00007309">
        <w:rPr>
          <w:rFonts w:cs="Arial"/>
          <w:b/>
          <w:bCs/>
          <w:sz w:val="24"/>
          <w:szCs w:val="24"/>
          <w:rtl/>
        </w:rPr>
        <w:t>אֱמוּנָה דְּיִשְׂרָאֵל בְּהוֹן, בְּהַהִיא דְּהִיא קִשּׁוּרָא בְּכֻלְּהוּ פְּנִימִיִּים וְחִיצוֹנִיִּים</w:t>
      </w:r>
      <w:r w:rsidRPr="00007309">
        <w:rPr>
          <w:rFonts w:cs="Arial" w:hint="cs"/>
          <w:b/>
          <w:bCs/>
          <w:sz w:val="24"/>
          <w:szCs w:val="24"/>
          <w:rtl/>
        </w:rPr>
        <w:t>,</w:t>
      </w:r>
      <w:r w:rsidRPr="00007309">
        <w:rPr>
          <w:rFonts w:cs="Arial"/>
          <w:b/>
          <w:bCs/>
          <w:sz w:val="24"/>
          <w:szCs w:val="24"/>
          <w:rtl/>
        </w:rPr>
        <w:t xml:space="preserve"> דְּאִיהִי כְּלִילָא מֵעִלָּאִין וְתַתָּאִין, עַד דְּלֵית סוֹף וְתַכְלִית. וּבְגִין דָּא קָרָא לָהּ אֱמוּנָה דְּיִשְׂרָאֵל</w:t>
      </w:r>
      <w:r w:rsidRPr="00007309">
        <w:rPr>
          <w:rFonts w:cs="Arial" w:hint="cs"/>
          <w:b/>
          <w:bCs/>
          <w:sz w:val="24"/>
          <w:szCs w:val="24"/>
          <w:rtl/>
        </w:rPr>
        <w:t>,</w:t>
      </w:r>
      <w:r w:rsidRPr="00007309">
        <w:rPr>
          <w:rFonts w:cs="Arial"/>
          <w:b/>
          <w:bCs/>
          <w:sz w:val="24"/>
          <w:szCs w:val="24"/>
          <w:rtl/>
        </w:rPr>
        <w:t xml:space="preserve"> דְּבָהּ אִשְׁתְּמוֹדָעוּ עִלָּאִין וְתַתָּאִין, וְעִלַּת עַל כָּל עִלָּאִין. וּמָאן דִּמְיַחֵד לֵהּ בָּהּ, כְּאִלּוּ מְיַחֵד לֵהּ וְאַמְלִיךְ לֵהּ עַל כָּל עִלָּאִין וְתַתָּאִין</w:t>
      </w:r>
      <w:r w:rsidRPr="00007309">
        <w:rPr>
          <w:rFonts w:cs="Arial" w:hint="cs"/>
          <w:b/>
          <w:bCs/>
          <w:sz w:val="24"/>
          <w:szCs w:val="24"/>
          <w:rtl/>
        </w:rPr>
        <w:t>:</w:t>
      </w:r>
    </w:p>
    <w:p w:rsidR="00007309" w:rsidRPr="00007309" w:rsidRDefault="00007309" w:rsidP="00007309">
      <w:pPr>
        <w:jc w:val="both"/>
        <w:rPr>
          <w:rFonts w:cs="Arial"/>
          <w:b/>
          <w:bCs/>
          <w:sz w:val="24"/>
          <w:szCs w:val="24"/>
        </w:rPr>
      </w:pPr>
      <w:r w:rsidRPr="00007309">
        <w:rPr>
          <w:rFonts w:cs="Arial"/>
          <w:b/>
          <w:bCs/>
          <w:sz w:val="24"/>
          <w:szCs w:val="24"/>
          <w:rtl/>
        </w:rPr>
        <w:t>קָמַת שְׁכִינְתָּא</w:t>
      </w:r>
      <w:r w:rsidRPr="00007309">
        <w:rPr>
          <w:rFonts w:cs="Arial"/>
          <w:b/>
          <w:bCs/>
          <w:sz w:val="24"/>
          <w:szCs w:val="24"/>
        </w:rPr>
        <w:t xml:space="preserve"> </w:t>
      </w:r>
      <w:r w:rsidRPr="00007309">
        <w:rPr>
          <w:rFonts w:cs="Arial"/>
          <w:b/>
          <w:bCs/>
          <w:sz w:val="24"/>
          <w:szCs w:val="24"/>
          <w:rtl/>
        </w:rPr>
        <w:t>מִכֻּרְסַ</w:t>
      </w:r>
      <w:r w:rsidRPr="00007309">
        <w:rPr>
          <w:rFonts w:cs="Arial" w:hint="cs"/>
          <w:b/>
          <w:bCs/>
          <w:sz w:val="24"/>
          <w:szCs w:val="24"/>
          <w:rtl/>
        </w:rPr>
        <w:t>יי</w:t>
      </w:r>
      <w:r w:rsidRPr="00007309">
        <w:rPr>
          <w:rFonts w:cs="Arial"/>
          <w:b/>
          <w:bCs/>
          <w:sz w:val="24"/>
          <w:szCs w:val="24"/>
          <w:rtl/>
        </w:rPr>
        <w:t>א דִּילַהּ</w:t>
      </w:r>
      <w:r w:rsidRPr="00007309">
        <w:rPr>
          <w:rFonts w:cs="Arial" w:hint="cs"/>
          <w:b/>
          <w:bCs/>
          <w:sz w:val="24"/>
          <w:szCs w:val="24"/>
          <w:rtl/>
        </w:rPr>
        <w:t>,</w:t>
      </w:r>
      <w:r w:rsidRPr="00007309">
        <w:rPr>
          <w:rFonts w:cs="Arial"/>
          <w:b/>
          <w:bCs/>
          <w:sz w:val="24"/>
          <w:szCs w:val="24"/>
          <w:rtl/>
        </w:rPr>
        <w:t xml:space="preserve"> וּנְשִׁיקַת לֵהּ</w:t>
      </w:r>
      <w:r w:rsidRPr="00007309">
        <w:rPr>
          <w:rFonts w:cs="Arial" w:hint="cs"/>
          <w:b/>
          <w:bCs/>
          <w:sz w:val="24"/>
          <w:szCs w:val="24"/>
          <w:rtl/>
        </w:rPr>
        <w:t>.</w:t>
      </w:r>
      <w:r w:rsidRPr="00007309">
        <w:rPr>
          <w:rFonts w:cs="Arial"/>
          <w:b/>
          <w:bCs/>
          <w:sz w:val="24"/>
          <w:szCs w:val="24"/>
          <w:rtl/>
        </w:rPr>
        <w:t xml:space="preserve"> וְרָעֲיָא מְהֵימָנָא נָשִׁיק לֵהּ</w:t>
      </w:r>
      <w:r w:rsidRPr="00007309">
        <w:rPr>
          <w:rFonts w:cs="Arial" w:hint="cs"/>
          <w:b/>
          <w:bCs/>
          <w:sz w:val="24"/>
          <w:szCs w:val="24"/>
          <w:rtl/>
        </w:rPr>
        <w:t>.</w:t>
      </w:r>
      <w:r w:rsidRPr="00007309">
        <w:rPr>
          <w:rFonts w:cs="Arial"/>
          <w:b/>
          <w:bCs/>
          <w:sz w:val="24"/>
          <w:szCs w:val="24"/>
          <w:rtl/>
        </w:rPr>
        <w:t xml:space="preserve"> וְכָל עִלָּאִין וְתַתָּאִין בָּרִיכוּ לֵהּ</w:t>
      </w:r>
      <w:r w:rsidRPr="00007309">
        <w:rPr>
          <w:rFonts w:cs="Arial" w:hint="cs"/>
          <w:b/>
          <w:bCs/>
          <w:sz w:val="24"/>
          <w:szCs w:val="24"/>
          <w:rtl/>
        </w:rPr>
        <w:t>,</w:t>
      </w:r>
      <w:r w:rsidRPr="00007309">
        <w:rPr>
          <w:rFonts w:cs="Arial"/>
          <w:b/>
          <w:bCs/>
          <w:sz w:val="24"/>
          <w:szCs w:val="24"/>
          <w:rtl/>
        </w:rPr>
        <w:t xml:space="preserve"> וִיהָבוּ לֵהּ נַבְזַבְזָן. ע"כ רָזָא דְּיִחוּדָא. </w:t>
      </w:r>
      <w:r w:rsidRPr="00007309">
        <w:rPr>
          <w:rFonts w:cs="Arial"/>
          <w:b/>
          <w:bCs/>
          <w:sz w:val="36"/>
          <w:szCs w:val="28"/>
          <w:vertAlign w:val="superscript"/>
          <w:rtl/>
        </w:rPr>
        <w:footnoteReference w:id="6883"/>
      </w:r>
      <w:r w:rsidRPr="00007309">
        <w:rPr>
          <w:rFonts w:cs="Arial"/>
          <w:b/>
          <w:bCs/>
          <w:sz w:val="24"/>
          <w:szCs w:val="24"/>
          <w:rtl/>
        </w:rPr>
        <w:t>מִכָּאן וְאֵילָךְ סִתְרֵי אוֹרַיְתָא וְטַעֲמֵי אוֹרַיְתָא</w:t>
      </w:r>
      <w:r w:rsidRPr="00007309">
        <w:rPr>
          <w:rFonts w:cs="Arial"/>
          <w:b/>
          <w:bCs/>
          <w:sz w:val="24"/>
          <w:szCs w:val="24"/>
        </w:rPr>
        <w:t>:</w:t>
      </w:r>
    </w:p>
    <w:p w:rsidR="00007309" w:rsidRPr="00007309" w:rsidRDefault="00007309" w:rsidP="00007309">
      <w:pPr>
        <w:keepNext/>
        <w:spacing w:before="240" w:after="60"/>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[וילנא טז ע"א]</w:t>
      </w:r>
    </w:p>
    <w:p w:rsidR="00007309" w:rsidRPr="00007309" w:rsidRDefault="00007309" w:rsidP="00007309">
      <w:pPr>
        <w:jc w:val="both"/>
        <w:rPr>
          <w:rFonts w:cs="Arial"/>
          <w:b/>
          <w:bCs/>
          <w:sz w:val="24"/>
          <w:szCs w:val="24"/>
        </w:rPr>
      </w:pPr>
      <w:r w:rsidRPr="00007309">
        <w:rPr>
          <w:rFonts w:cs="Arial"/>
          <w:b/>
          <w:bCs/>
          <w:sz w:val="24"/>
          <w:szCs w:val="24"/>
          <w:rtl/>
        </w:rPr>
        <w:t>קוּם בּוּצִינָא קַדִּישָׁא</w:t>
      </w:r>
      <w:r w:rsidRPr="00007309">
        <w:rPr>
          <w:rFonts w:cs="Arial" w:hint="cs"/>
          <w:b/>
          <w:bCs/>
          <w:sz w:val="24"/>
          <w:szCs w:val="24"/>
          <w:rtl/>
        </w:rPr>
        <w:t>,</w:t>
      </w:r>
      <w:r w:rsidRPr="00007309">
        <w:rPr>
          <w:rFonts w:cs="Arial"/>
          <w:b/>
          <w:bCs/>
          <w:sz w:val="24"/>
          <w:szCs w:val="24"/>
          <w:rtl/>
        </w:rPr>
        <w:t xml:space="preserve"> אַפְתַּח מִלִּין קַמֵּי שְׁכִינְתָּא, לְנַחְתָּא נְבִיעוּ לְגַבָּהּ </w:t>
      </w:r>
      <w:r w:rsidRPr="00007309">
        <w:rPr>
          <w:rFonts w:cs="Arial"/>
          <w:b/>
          <w:bCs/>
          <w:sz w:val="36"/>
          <w:szCs w:val="28"/>
          <w:vertAlign w:val="superscript"/>
          <w:rtl/>
        </w:rPr>
        <w:footnoteReference w:id="6884"/>
      </w:r>
      <w:r w:rsidRPr="00007309">
        <w:rPr>
          <w:rFonts w:cs="Arial"/>
          <w:b/>
          <w:bCs/>
          <w:sz w:val="24"/>
          <w:szCs w:val="24"/>
          <w:rtl/>
        </w:rPr>
        <w:t xml:space="preserve">מִמִּשְׁחָא קַדִּישָׁא, </w:t>
      </w:r>
      <w:r w:rsidRPr="00007309">
        <w:rPr>
          <w:rFonts w:cs="Arial"/>
          <w:b/>
          <w:bCs/>
          <w:sz w:val="36"/>
          <w:szCs w:val="28"/>
          <w:vertAlign w:val="superscript"/>
          <w:rtl/>
        </w:rPr>
        <w:footnoteReference w:id="6885"/>
      </w:r>
      <w:r w:rsidRPr="00007309">
        <w:rPr>
          <w:rFonts w:cs="Arial"/>
          <w:b/>
          <w:bCs/>
          <w:sz w:val="24"/>
          <w:szCs w:val="24"/>
          <w:rtl/>
        </w:rPr>
        <w:t xml:space="preserve">דְּאִתְּמַר בֵּהּ (שמות כז) שֶׁמֶן זַיִת </w:t>
      </w:r>
      <w:r w:rsidRPr="00007309">
        <w:rPr>
          <w:rFonts w:ascii="Cambria" w:hAnsi="Cambria" w:cs="Times New Roman" w:hint="cs"/>
          <w:b/>
          <w:bCs/>
          <w:i/>
          <w:iCs/>
          <w:color w:val="4F81BD"/>
          <w:sz w:val="24"/>
          <w:szCs w:val="24"/>
          <w:rtl/>
        </w:rPr>
        <w:t>(וילנא טז ע"א)</w:t>
      </w:r>
      <w:r w:rsidRPr="00007309">
        <w:rPr>
          <w:rFonts w:cs="Arial" w:hint="cs"/>
          <w:b/>
          <w:bCs/>
          <w:sz w:val="24"/>
          <w:szCs w:val="24"/>
          <w:rtl/>
        </w:rPr>
        <w:t xml:space="preserve"> </w:t>
      </w:r>
      <w:r w:rsidRPr="00007309">
        <w:rPr>
          <w:rFonts w:cs="Arial"/>
          <w:b/>
          <w:bCs/>
          <w:sz w:val="24"/>
          <w:szCs w:val="24"/>
          <w:rtl/>
        </w:rPr>
        <w:t xml:space="preserve">זַךְ כַּתִּית לַמָּאוֹר לְהַעֲלוֹת נֵר תָּמִיד. דְּאִיהִי שְׁכִינְתָּא דְּאִתְּמַר בָּהּ (משלי כו) </w:t>
      </w:r>
      <w:r w:rsidRPr="00007309">
        <w:rPr>
          <w:rFonts w:cs="Arial"/>
          <w:b/>
          <w:bCs/>
          <w:sz w:val="36"/>
          <w:szCs w:val="28"/>
          <w:vertAlign w:val="superscript"/>
          <w:rtl/>
        </w:rPr>
        <w:footnoteReference w:id="6886"/>
      </w:r>
      <w:r w:rsidRPr="00007309">
        <w:rPr>
          <w:rFonts w:cs="Arial"/>
          <w:b/>
          <w:bCs/>
          <w:sz w:val="24"/>
          <w:szCs w:val="24"/>
          <w:rtl/>
        </w:rPr>
        <w:t xml:space="preserve">נֵר ה' נִשְׁמַת אָדָם. </w:t>
      </w:r>
      <w:r w:rsidRPr="00007309">
        <w:rPr>
          <w:rFonts w:cs="Arial"/>
          <w:b/>
          <w:bCs/>
          <w:sz w:val="36"/>
          <w:szCs w:val="28"/>
          <w:vertAlign w:val="superscript"/>
          <w:rtl/>
        </w:rPr>
        <w:footnoteReference w:id="6887"/>
      </w:r>
      <w:r w:rsidRPr="00007309">
        <w:rPr>
          <w:rFonts w:cs="Arial"/>
          <w:b/>
          <w:bCs/>
          <w:sz w:val="24"/>
          <w:szCs w:val="24"/>
          <w:rtl/>
        </w:rPr>
        <w:t xml:space="preserve">בְּגִינַהּ אִתְּמַר אֵשׁ תָּמִיד תּוּקַד עַל הַמִּזְבֵּחַ לֹא תִכְבֶּה. וְהָכֵי לֹא תִכְבֶּה נִשְׁמָתֵהּ דְּמָאן דְּיִתְעַסֵּק בָּהּ תָּמִיד. אַל תִּתְּנוּ דֹּמִּי לְקוּדְשָׁא בְּרִיךְ הוּא </w:t>
      </w:r>
      <w:r w:rsidRPr="00007309">
        <w:rPr>
          <w:rFonts w:cs="Arial"/>
          <w:b/>
          <w:bCs/>
          <w:sz w:val="36"/>
          <w:szCs w:val="28"/>
          <w:vertAlign w:val="superscript"/>
          <w:rtl/>
        </w:rPr>
        <w:footnoteReference w:id="6888"/>
      </w:r>
      <w:r w:rsidRPr="00007309">
        <w:rPr>
          <w:rFonts w:cs="Arial"/>
          <w:b/>
          <w:bCs/>
          <w:sz w:val="24"/>
          <w:szCs w:val="24"/>
          <w:rtl/>
        </w:rPr>
        <w:t>עַד דְּיִתְּעַר לְגַבָּהּ</w:t>
      </w:r>
      <w:r w:rsidRPr="00007309">
        <w:rPr>
          <w:rFonts w:cs="Arial" w:hint="cs"/>
          <w:b/>
          <w:bCs/>
          <w:sz w:val="24"/>
          <w:szCs w:val="24"/>
          <w:rtl/>
        </w:rPr>
        <w:t>.</w:t>
      </w:r>
      <w:r w:rsidRPr="00007309">
        <w:rPr>
          <w:rFonts w:cs="Arial"/>
          <w:b/>
          <w:bCs/>
          <w:sz w:val="24"/>
          <w:szCs w:val="24"/>
          <w:rtl/>
        </w:rPr>
        <w:t xml:space="preserve"> דְּשְׂרַגָּא </w:t>
      </w:r>
      <w:r w:rsidRPr="00007309">
        <w:rPr>
          <w:rFonts w:cs="Arial"/>
          <w:b/>
          <w:bCs/>
          <w:sz w:val="36"/>
          <w:szCs w:val="28"/>
          <w:vertAlign w:val="superscript"/>
          <w:rtl/>
        </w:rPr>
        <w:footnoteReference w:id="6889"/>
      </w:r>
      <w:r w:rsidRPr="00007309">
        <w:rPr>
          <w:rFonts w:cs="Arial"/>
          <w:b/>
          <w:bCs/>
          <w:sz w:val="24"/>
          <w:szCs w:val="24"/>
          <w:rtl/>
        </w:rPr>
        <w:t>לֵית שְׁכִיבוּ לַגַּבֵּהּ</w:t>
      </w:r>
      <w:r w:rsidRPr="00007309">
        <w:rPr>
          <w:rFonts w:cs="Arial" w:hint="cs"/>
          <w:b/>
          <w:bCs/>
          <w:sz w:val="24"/>
          <w:szCs w:val="24"/>
          <w:rtl/>
        </w:rPr>
        <w:t>,</w:t>
      </w:r>
      <w:r w:rsidRPr="00007309">
        <w:rPr>
          <w:rFonts w:cs="Arial"/>
          <w:b/>
          <w:bCs/>
          <w:sz w:val="24"/>
          <w:szCs w:val="24"/>
          <w:rtl/>
        </w:rPr>
        <w:t xml:space="preserve"> הָדָא הוּא דִּכְתִיב לְמַעַן יְזַמֶּרְךָ כָּבוֹד וְלֹא יִדֹּם</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6890"/>
      </w:r>
      <w:r w:rsidRPr="00007309">
        <w:rPr>
          <w:rFonts w:cs="Arial"/>
          <w:b/>
          <w:bCs/>
          <w:sz w:val="24"/>
          <w:szCs w:val="24"/>
          <w:rtl/>
        </w:rPr>
        <w:t>דְּאִיהִי כָּבוֹד דִּילֵהּ</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6891"/>
      </w:r>
      <w:r w:rsidRPr="00007309">
        <w:rPr>
          <w:rFonts w:cs="Arial" w:hint="cs"/>
          <w:b/>
          <w:bCs/>
          <w:sz w:val="24"/>
          <w:szCs w:val="24"/>
          <w:rtl/>
        </w:rPr>
        <w:t xml:space="preserve">יקרא </w:t>
      </w:r>
      <w:r w:rsidRPr="00007309">
        <w:rPr>
          <w:rFonts w:cs="Arial"/>
          <w:b/>
          <w:bCs/>
          <w:sz w:val="24"/>
          <w:szCs w:val="24"/>
          <w:rtl/>
        </w:rPr>
        <w:t>דִּילֵהּ</w:t>
      </w:r>
      <w:r w:rsidRPr="00007309">
        <w:rPr>
          <w:rFonts w:cs="Arial" w:hint="cs"/>
          <w:b/>
          <w:bCs/>
          <w:sz w:val="24"/>
          <w:szCs w:val="24"/>
          <w:rtl/>
        </w:rPr>
        <w:t>,</w:t>
      </w:r>
      <w:r w:rsidRPr="00007309">
        <w:rPr>
          <w:rFonts w:cs="Arial"/>
          <w:b/>
          <w:bCs/>
          <w:sz w:val="24"/>
          <w:szCs w:val="24"/>
          <w:rtl/>
        </w:rPr>
        <w:t xml:space="preserve"> יְקָרָה הִיא מִפְּנִינִים </w:t>
      </w:r>
      <w:r w:rsidRPr="00007309">
        <w:rPr>
          <w:rFonts w:cs="Arial"/>
          <w:sz w:val="36"/>
          <w:szCs w:val="28"/>
          <w:rtl/>
        </w:rPr>
        <w:t>(משלי ג טו),</w:t>
      </w:r>
      <w:r w:rsidRPr="00007309">
        <w:rPr>
          <w:rFonts w:cs="Arial"/>
          <w:b/>
          <w:bCs/>
          <w:sz w:val="24"/>
          <w:szCs w:val="24"/>
          <w:rtl/>
        </w:rPr>
        <w:t xml:space="preserve"> וְכָל חֲפֵצִים לֹא יִשְׁווּ בָּהּ </w:t>
      </w:r>
      <w:r w:rsidRPr="00007309">
        <w:rPr>
          <w:sz w:val="24"/>
          <w:szCs w:val="24"/>
          <w:rtl/>
        </w:rPr>
        <w:t>(משלי ח יא)</w:t>
      </w:r>
      <w:r w:rsidRPr="00007309">
        <w:rPr>
          <w:sz w:val="24"/>
          <w:szCs w:val="24"/>
        </w:rPr>
        <w:t>:</w:t>
      </w:r>
    </w:p>
    <w:p w:rsidR="00007309" w:rsidRPr="00007309" w:rsidRDefault="00007309" w:rsidP="00007309">
      <w:pPr>
        <w:jc w:val="both"/>
        <w:rPr>
          <w:rFonts w:cs="Arial"/>
          <w:b/>
          <w:bCs/>
          <w:sz w:val="24"/>
          <w:szCs w:val="24"/>
        </w:rPr>
      </w:pPr>
      <w:r w:rsidRPr="00007309">
        <w:rPr>
          <w:rFonts w:cs="Arial"/>
          <w:b/>
          <w:bCs/>
          <w:sz w:val="24"/>
          <w:szCs w:val="24"/>
          <w:rtl/>
        </w:rPr>
        <w:t>קָם בּוּצִינָא קַדִּישָׁא</w:t>
      </w:r>
      <w:r w:rsidRPr="00007309">
        <w:rPr>
          <w:rFonts w:cs="Arial" w:hint="cs"/>
          <w:b/>
          <w:bCs/>
          <w:sz w:val="24"/>
          <w:szCs w:val="24"/>
          <w:rtl/>
        </w:rPr>
        <w:t>,</w:t>
      </w:r>
      <w:r w:rsidRPr="00007309">
        <w:rPr>
          <w:rFonts w:cs="Arial"/>
          <w:b/>
          <w:bCs/>
          <w:sz w:val="24"/>
          <w:szCs w:val="24"/>
          <w:rtl/>
        </w:rPr>
        <w:t xml:space="preserve"> פָּתַח וְאָמַר, בְּרֵאשִׁית בָּרָא אֱלֹהִים. רִבּוֹן עָלְמָא יְהֵא רַעֲוָא דִּילָךְ לְקַיְּמָא בִּי וְאָנֹכִי אֶהְיֶה עִם פִּיךָ וְהוֹרֵתִי אֲשֶׁר תְּדַבֵּר. דְּלֹא בְּגִין יְקָרָא דִּילִי עֲבִידְנָא, אֶלָּא לְאַפְתְּחָא מִלִּין קַמֵּי שְׁכִינְתָּךְ. פָּתַח וְאָמַר זִמְנָא תִּנְיָנָא</w:t>
      </w:r>
      <w:r w:rsidRPr="00007309">
        <w:rPr>
          <w:rFonts w:cs="Arial" w:hint="cs"/>
          <w:b/>
          <w:bCs/>
          <w:sz w:val="24"/>
          <w:szCs w:val="24"/>
          <w:rtl/>
        </w:rPr>
        <w:t>,</w:t>
      </w:r>
      <w:r w:rsidRPr="00007309">
        <w:rPr>
          <w:rFonts w:cs="Arial"/>
          <w:b/>
          <w:bCs/>
          <w:sz w:val="24"/>
          <w:szCs w:val="24"/>
          <w:rtl/>
        </w:rPr>
        <w:t xml:space="preserve"> סוֹ'ד ה' לִירֵאָיו</w:t>
      </w:r>
      <w:r w:rsidRPr="00007309">
        <w:rPr>
          <w:rFonts w:cs="Arial" w:hint="cs"/>
          <w:b/>
          <w:bCs/>
          <w:sz w:val="24"/>
          <w:szCs w:val="24"/>
          <w:rtl/>
        </w:rPr>
        <w:t>,</w:t>
      </w:r>
      <w:r w:rsidRPr="00007309">
        <w:rPr>
          <w:rFonts w:cs="Arial"/>
          <w:b/>
          <w:bCs/>
          <w:sz w:val="24"/>
          <w:szCs w:val="24"/>
          <w:rtl/>
        </w:rPr>
        <w:t xml:space="preserve"> אִיהוּ </w:t>
      </w:r>
      <w:r w:rsidRPr="00007309">
        <w:rPr>
          <w:rFonts w:cs="Arial"/>
          <w:b/>
          <w:bCs/>
          <w:sz w:val="36"/>
          <w:szCs w:val="28"/>
          <w:vertAlign w:val="superscript"/>
          <w:rtl/>
        </w:rPr>
        <w:footnoteReference w:id="6892"/>
      </w:r>
      <w:r w:rsidRPr="00007309">
        <w:rPr>
          <w:rFonts w:cs="Arial"/>
          <w:b/>
          <w:bCs/>
          <w:sz w:val="24"/>
          <w:szCs w:val="24"/>
          <w:rtl/>
        </w:rPr>
        <w:t>ע' אַנְפִּין דְּסִתְרֵי תּוֹרָה</w:t>
      </w:r>
      <w:r w:rsidRPr="00007309">
        <w:rPr>
          <w:rFonts w:cs="Arial" w:hint="cs"/>
          <w:b/>
          <w:bCs/>
          <w:sz w:val="24"/>
          <w:szCs w:val="24"/>
          <w:rtl/>
        </w:rPr>
        <w:t>,</w:t>
      </w:r>
      <w:r w:rsidRPr="00007309">
        <w:rPr>
          <w:rFonts w:cs="Arial"/>
          <w:b/>
          <w:bCs/>
          <w:sz w:val="24"/>
          <w:szCs w:val="24"/>
          <w:rtl/>
        </w:rPr>
        <w:t xml:space="preserve"> דְּצָרִיךְ לְפָרְשָׁא בְּהוֹן ע' זִמְנִין בְּעוֹבָדָא דְּפָרָשָׁתָא דָּא דִּבְרֵאשִׁית</w:t>
      </w:r>
      <w:r w:rsidRPr="00007309">
        <w:rPr>
          <w:rFonts w:cs="Arial"/>
          <w:b/>
          <w:bCs/>
          <w:sz w:val="24"/>
          <w:szCs w:val="24"/>
        </w:rPr>
        <w:t>:</w:t>
      </w:r>
    </w:p>
    <w:p w:rsidR="00007309" w:rsidRPr="00007309" w:rsidRDefault="00007309" w:rsidP="00007309">
      <w:pPr>
        <w:keepNext/>
        <w:spacing w:before="240" w:after="60"/>
        <w:outlineLvl w:val="0"/>
        <w:rPr>
          <w:rFonts w:ascii="Cambria" w:hAnsi="Cambria" w:cs="Times New Roman"/>
          <w:b/>
          <w:bCs/>
          <w:kern w:val="32"/>
          <w:sz w:val="32"/>
          <w:szCs w:val="32"/>
        </w:rPr>
      </w:pPr>
      <w:r w:rsidRPr="00007309">
        <w:rPr>
          <w:rFonts w:ascii="Cambria" w:hAnsi="Cambria" w:cs="Times New Roman"/>
          <w:b/>
          <w:bCs/>
          <w:kern w:val="32"/>
          <w:sz w:val="32"/>
          <w:szCs w:val="32"/>
          <w:rtl/>
        </w:rPr>
        <w:t>תיקונא קדמאה</w:t>
      </w:r>
    </w:p>
    <w:p w:rsidR="00007309" w:rsidRPr="00007309" w:rsidRDefault="00007309" w:rsidP="00007309">
      <w:pPr>
        <w:jc w:val="both"/>
        <w:rPr>
          <w:rFonts w:cs="Arial"/>
          <w:b/>
          <w:bCs/>
          <w:sz w:val="24"/>
          <w:szCs w:val="24"/>
          <w:rtl/>
        </w:rPr>
      </w:pPr>
      <w:r w:rsidRPr="00007309">
        <w:rPr>
          <w:rFonts w:cs="Arial"/>
          <w:b/>
          <w:bCs/>
          <w:sz w:val="24"/>
          <w:szCs w:val="24"/>
          <w:rtl/>
        </w:rPr>
        <w:t>בְּרֵאשִׁית</w:t>
      </w:r>
      <w:r w:rsidRPr="00007309">
        <w:rPr>
          <w:rFonts w:cs="Arial" w:hint="cs"/>
          <w:b/>
          <w:bCs/>
          <w:sz w:val="24"/>
          <w:szCs w:val="24"/>
          <w:rtl/>
        </w:rPr>
        <w:t>,</w:t>
      </w:r>
      <w:r w:rsidRPr="00007309">
        <w:rPr>
          <w:rFonts w:cs="Arial"/>
          <w:b/>
          <w:bCs/>
          <w:sz w:val="24"/>
          <w:szCs w:val="24"/>
          <w:rtl/>
        </w:rPr>
        <w:t xml:space="preserve"> זִמְנִין סַגִּיאִין אִנּוּן בְּאוֹרַיְתָא רֵאשִׁית, וְכָל חַד אִתְפְּרַשׁ בְּאַתְרֵהּ. קַדְמָאָה אִיהוּ (משלי ח) ה' קָנָנִי רֵאשִׁית דַּרְכּוֹ</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6893"/>
      </w:r>
      <w:r w:rsidRPr="00007309">
        <w:rPr>
          <w:rFonts w:cs="Arial"/>
          <w:b/>
          <w:bCs/>
          <w:sz w:val="24"/>
          <w:szCs w:val="24"/>
          <w:rtl/>
        </w:rPr>
        <w:t>דָּא אוֹרַיְתָא</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6894"/>
      </w:r>
      <w:r w:rsidRPr="00007309">
        <w:rPr>
          <w:rFonts w:cs="Arial"/>
          <w:b/>
          <w:bCs/>
          <w:sz w:val="24"/>
          <w:szCs w:val="24"/>
          <w:rtl/>
        </w:rPr>
        <w:t>דְּאִית בֵּהּ טַעֲמֵי וְנִקּוּדֵי וְאַתְוָן</w:t>
      </w:r>
      <w:r w:rsidRPr="00007309">
        <w:rPr>
          <w:rFonts w:cs="Arial" w:hint="cs"/>
          <w:b/>
          <w:bCs/>
          <w:sz w:val="24"/>
          <w:szCs w:val="24"/>
          <w:rtl/>
        </w:rPr>
        <w:t>,</w:t>
      </w:r>
      <w:r w:rsidRPr="00007309">
        <w:rPr>
          <w:rFonts w:cs="Arial"/>
          <w:b/>
          <w:bCs/>
          <w:sz w:val="24"/>
          <w:szCs w:val="24"/>
          <w:rtl/>
        </w:rPr>
        <w:t xml:space="preserve"> וְכַמָּה פִּקּוּדִין דַּעֲשֵׂה וְלֹא תַעֲשֶׂה</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6895"/>
      </w:r>
      <w:r w:rsidRPr="00007309">
        <w:rPr>
          <w:rFonts w:cs="Arial"/>
          <w:b/>
          <w:bCs/>
          <w:sz w:val="24"/>
          <w:szCs w:val="24"/>
          <w:rtl/>
        </w:rPr>
        <w:t>דְּכֻלְּהוּ תַּלְיָן בְּשֵׁם יהו'ה. הָדָא הוּא דִּכְתִיב זֶה שְׁמִי לְעֹלָם וְזֶה זִכְרִי לְדֹר וָדֹר. שְׁמִי עִם י'</w:t>
      </w:r>
      <w:r w:rsidRPr="00007309">
        <w:rPr>
          <w:rFonts w:cs="Arial" w:hint="cs"/>
          <w:b/>
          <w:bCs/>
          <w:sz w:val="24"/>
          <w:szCs w:val="24"/>
          <w:rtl/>
        </w:rPr>
        <w:t>ה</w:t>
      </w:r>
      <w:r w:rsidRPr="00007309">
        <w:rPr>
          <w:rFonts w:cs="Arial"/>
          <w:b/>
          <w:bCs/>
          <w:sz w:val="24"/>
          <w:szCs w:val="24"/>
          <w:rtl/>
        </w:rPr>
        <w:t xml:space="preserve"> שְסָ"ה. זִכְרִי עִם ו'ה רמ"ח. שְסָ"ה מִשְּמָאלָא, </w:t>
      </w:r>
      <w:r w:rsidRPr="00007309">
        <w:rPr>
          <w:rFonts w:cs="Arial"/>
          <w:b/>
          <w:bCs/>
          <w:sz w:val="36"/>
          <w:szCs w:val="28"/>
          <w:vertAlign w:val="superscript"/>
          <w:rtl/>
        </w:rPr>
        <w:footnoteReference w:id="6896"/>
      </w:r>
      <w:r w:rsidRPr="00007309">
        <w:rPr>
          <w:rFonts w:cs="Arial"/>
          <w:b/>
          <w:bCs/>
          <w:sz w:val="24"/>
          <w:szCs w:val="24"/>
          <w:rtl/>
        </w:rPr>
        <w:t>מִדְּחִילוּ דִּגְבוּרָה אִתְיְהִיבוּ</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6897"/>
      </w:r>
      <w:r w:rsidRPr="00007309">
        <w:rPr>
          <w:rFonts w:cs="Arial"/>
          <w:b/>
          <w:bCs/>
          <w:sz w:val="24"/>
          <w:szCs w:val="24"/>
          <w:rtl/>
        </w:rPr>
        <w:t>פַּחַד יִצְחָק</w:t>
      </w:r>
      <w:r w:rsidRPr="00007309">
        <w:rPr>
          <w:rFonts w:cs="Arial" w:hint="cs"/>
          <w:b/>
          <w:bCs/>
          <w:sz w:val="24"/>
          <w:szCs w:val="24"/>
          <w:rtl/>
        </w:rPr>
        <w:t xml:space="preserve"> </w:t>
      </w:r>
      <w:r w:rsidRPr="00007309">
        <w:rPr>
          <w:rFonts w:cs="Arial" w:hint="cs"/>
          <w:sz w:val="24"/>
          <w:szCs w:val="24"/>
          <w:rtl/>
        </w:rPr>
        <w:t>(בראשית לא מב,נג)</w:t>
      </w:r>
      <w:r w:rsidRPr="00007309">
        <w:rPr>
          <w:rFonts w:cs="Arial"/>
          <w:b/>
          <w:bCs/>
          <w:sz w:val="24"/>
          <w:szCs w:val="24"/>
          <w:rtl/>
        </w:rPr>
        <w:t>. רמ"ח מִימִינָא, מֵרְחִימוּ</w:t>
      </w:r>
      <w:r w:rsidRPr="00007309">
        <w:rPr>
          <w:rFonts w:cs="Arial" w:hint="cs"/>
          <w:b/>
          <w:bCs/>
          <w:sz w:val="24"/>
          <w:szCs w:val="24"/>
          <w:rtl/>
        </w:rPr>
        <w:t>,</w:t>
      </w:r>
      <w:r w:rsidRPr="00007309">
        <w:rPr>
          <w:rFonts w:cs="Arial"/>
          <w:b/>
          <w:bCs/>
          <w:sz w:val="24"/>
          <w:szCs w:val="24"/>
          <w:rtl/>
        </w:rPr>
        <w:t xml:space="preserve"> דַרְגָּא דְּאַבְרָהָם </w:t>
      </w:r>
      <w:r w:rsidRPr="00007309">
        <w:rPr>
          <w:rFonts w:cs="Arial"/>
          <w:b/>
          <w:bCs/>
          <w:sz w:val="36"/>
          <w:szCs w:val="28"/>
          <w:vertAlign w:val="superscript"/>
          <w:rtl/>
        </w:rPr>
        <w:footnoteReference w:id="6898"/>
      </w:r>
      <w:r w:rsidRPr="00007309">
        <w:rPr>
          <w:rFonts w:cs="Arial"/>
          <w:b/>
          <w:bCs/>
          <w:sz w:val="24"/>
          <w:szCs w:val="24"/>
          <w:rtl/>
        </w:rPr>
        <w:t xml:space="preserve">דְּאִתְּמַר בֵּהּ (ירמיה ב) אַהֲבַת עוֹלָם אֲהַבְתִּיךְ עַל כֵּן מְשַׁכְתִּיךְ חֶסֶד. עַמּוּדָא דְּאֶמְצָעִיתָא כָּלִיל תַּרְוַיְהוּ. </w:t>
      </w:r>
      <w:r w:rsidRPr="00007309">
        <w:rPr>
          <w:rFonts w:cs="Arial"/>
          <w:b/>
          <w:bCs/>
          <w:sz w:val="36"/>
          <w:szCs w:val="28"/>
          <w:vertAlign w:val="superscript"/>
          <w:rtl/>
        </w:rPr>
        <w:footnoteReference w:id="6899"/>
      </w:r>
      <w:r w:rsidRPr="00007309">
        <w:rPr>
          <w:rFonts w:cs="Arial"/>
          <w:b/>
          <w:bCs/>
          <w:sz w:val="24"/>
          <w:szCs w:val="24"/>
          <w:rtl/>
        </w:rPr>
        <w:t>וּבְגִין דָּא אִתְקְרֵי בְּשֵׁם יהו'ה. אֲבָל יְמִינָא אֵ"ל נָטִיל עִמֵּהּ וָ"ה</w:t>
      </w:r>
      <w:r w:rsidRPr="00007309">
        <w:rPr>
          <w:rFonts w:cs="Arial" w:hint="cs"/>
          <w:b/>
          <w:bCs/>
          <w:sz w:val="24"/>
          <w:szCs w:val="24"/>
          <w:rtl/>
        </w:rPr>
        <w:t>,</w:t>
      </w:r>
      <w:r w:rsidRPr="00007309">
        <w:rPr>
          <w:rFonts w:cs="Arial"/>
          <w:b/>
          <w:bCs/>
          <w:sz w:val="24"/>
          <w:szCs w:val="24"/>
          <w:rtl/>
        </w:rPr>
        <w:t xml:space="preserve"> הָדָא הוּא דִּכְתִיב אֱלוֹהַּ מִתֵּימָן יָבוֹא. שְׂמָאלָא נָטִיל עִמֵּהּ י'ה מִן אֱלֹהִים, עַמּוּדָא דְּאֶמְצָעִיתָא נָטִיל שְׁמָא שְׁלִים. וּבְגִין דָּא אֵל אֱלֹהִים ה' דִּבֵּר וַיִּקְרָא אָרֶץ. </w:t>
      </w:r>
      <w:r w:rsidRPr="00007309">
        <w:rPr>
          <w:rFonts w:cs="Arial"/>
          <w:b/>
          <w:bCs/>
          <w:sz w:val="36"/>
          <w:szCs w:val="28"/>
          <w:vertAlign w:val="superscript"/>
          <w:rtl/>
        </w:rPr>
        <w:footnoteReference w:id="6900"/>
      </w:r>
      <w:r w:rsidRPr="00007309">
        <w:rPr>
          <w:rFonts w:cs="Arial"/>
          <w:b/>
          <w:bCs/>
          <w:sz w:val="24"/>
          <w:szCs w:val="24"/>
          <w:rtl/>
        </w:rPr>
        <w:t xml:space="preserve">כָּלִיל לוֹן בְּהַאי קְרָא. </w:t>
      </w:r>
      <w:r w:rsidRPr="00007309">
        <w:rPr>
          <w:rFonts w:cs="Arial"/>
          <w:b/>
          <w:bCs/>
          <w:sz w:val="36"/>
          <w:szCs w:val="28"/>
          <w:vertAlign w:val="superscript"/>
          <w:rtl/>
        </w:rPr>
        <w:footnoteReference w:id="6901"/>
      </w:r>
      <w:r w:rsidRPr="00007309">
        <w:rPr>
          <w:rFonts w:cs="Arial"/>
          <w:b/>
          <w:bCs/>
          <w:sz w:val="24"/>
          <w:szCs w:val="24"/>
          <w:rtl/>
        </w:rPr>
        <w:t xml:space="preserve">וְכָל פִּקּוּדָא אִית לֵהּ טַעְמָא יְדִיעָא לְעֵלָּא, </w:t>
      </w:r>
      <w:r w:rsidRPr="00007309">
        <w:rPr>
          <w:rFonts w:cs="Arial"/>
          <w:b/>
          <w:bCs/>
          <w:sz w:val="36"/>
          <w:szCs w:val="28"/>
          <w:vertAlign w:val="superscript"/>
          <w:rtl/>
        </w:rPr>
        <w:footnoteReference w:id="6902"/>
      </w:r>
      <w:r w:rsidRPr="00007309">
        <w:rPr>
          <w:rFonts w:cs="Arial"/>
          <w:b/>
          <w:bCs/>
          <w:sz w:val="24"/>
          <w:szCs w:val="24"/>
          <w:rtl/>
        </w:rPr>
        <w:t xml:space="preserve">וְאַגְרָא דִּילֵהּ יְדִיעַ לְאִנּוּן דְּיַדְעִין רָזִין סְתִימִין </w:t>
      </w:r>
      <w:r w:rsidRPr="00007309">
        <w:rPr>
          <w:rFonts w:cs="Arial"/>
          <w:b/>
          <w:bCs/>
          <w:sz w:val="36"/>
          <w:szCs w:val="28"/>
          <w:vertAlign w:val="superscript"/>
          <w:rtl/>
        </w:rPr>
        <w:footnoteReference w:id="6903"/>
      </w:r>
      <w:r w:rsidRPr="00007309">
        <w:rPr>
          <w:rFonts w:cs="Arial"/>
          <w:b/>
          <w:bCs/>
          <w:sz w:val="24"/>
          <w:szCs w:val="24"/>
          <w:rtl/>
        </w:rPr>
        <w:t xml:space="preserve">דְּמָארֵיהוֹן. לָא אִתְכַּסְּיָא מִנְּהוֹן כָּל רָז. </w:t>
      </w:r>
      <w:r w:rsidRPr="00007309">
        <w:rPr>
          <w:rFonts w:cs="Arial"/>
          <w:b/>
          <w:bCs/>
          <w:sz w:val="36"/>
          <w:szCs w:val="28"/>
          <w:vertAlign w:val="superscript"/>
          <w:rtl/>
        </w:rPr>
        <w:footnoteReference w:id="6904"/>
      </w:r>
      <w:r w:rsidRPr="00007309">
        <w:rPr>
          <w:rFonts w:cs="Arial"/>
          <w:b/>
          <w:bCs/>
          <w:sz w:val="24"/>
          <w:szCs w:val="24"/>
          <w:rtl/>
        </w:rPr>
        <w:t xml:space="preserve">הָדָא הוּא דִּכְתִיב (דניאל ד) וְכָל רָז לָא אָנִיס לָךְ. </w:t>
      </w:r>
      <w:r w:rsidRPr="00007309">
        <w:rPr>
          <w:rFonts w:cs="Arial"/>
          <w:b/>
          <w:bCs/>
          <w:sz w:val="36"/>
          <w:szCs w:val="28"/>
          <w:vertAlign w:val="superscript"/>
          <w:rtl/>
        </w:rPr>
        <w:footnoteReference w:id="6905"/>
      </w:r>
      <w:r w:rsidRPr="00007309">
        <w:rPr>
          <w:rFonts w:cs="Arial"/>
          <w:b/>
          <w:bCs/>
          <w:sz w:val="24"/>
          <w:szCs w:val="24"/>
          <w:rtl/>
        </w:rPr>
        <w:t xml:space="preserve">וְכָל אוֹת וְאוֹת דְּאוֹרַיְתָא, וְקוֹצָא דִּילֵהּ וּנְקֻדָּה דִּילֵהּ וְטַעְמֵי דִּילֵהּ, אִית לוֹן רָזִין סְתִימִין לְעֵלָּא. </w:t>
      </w:r>
    </w:p>
    <w:p w:rsidR="00007309" w:rsidRPr="00007309" w:rsidRDefault="00007309" w:rsidP="00007309">
      <w:pPr>
        <w:keepNext/>
        <w:outlineLvl w:val="1"/>
        <w:rPr>
          <w:rFonts w:ascii="Cambria" w:hAnsi="Cambria" w:cs="Times New Roman"/>
          <w:b/>
          <w:bCs/>
          <w:i/>
          <w:iCs/>
          <w:sz w:val="28"/>
          <w:szCs w:val="28"/>
          <w:rtl/>
        </w:rPr>
      </w:pPr>
      <w:r w:rsidRPr="00007309">
        <w:rPr>
          <w:rFonts w:ascii="Cambria" w:hAnsi="Cambria" w:cs="Times New Roman"/>
          <w:b/>
          <w:bCs/>
          <w:i/>
          <w:iCs/>
          <w:sz w:val="28"/>
          <w:szCs w:val="28"/>
          <w:rtl/>
        </w:rPr>
        <w:t>[</w:t>
      </w:r>
      <w:r w:rsidRPr="00007309">
        <w:rPr>
          <w:rFonts w:ascii="Cambria" w:hAnsi="Cambria" w:cs="Times New Roman" w:hint="cs"/>
          <w:b/>
          <w:bCs/>
          <w:i/>
          <w:iCs/>
          <w:sz w:val="28"/>
          <w:szCs w:val="28"/>
          <w:rtl/>
        </w:rPr>
        <w:t>דף</w:t>
      </w:r>
      <w:r w:rsidRPr="00007309">
        <w:rPr>
          <w:rFonts w:ascii="Cambria" w:hAnsi="Cambria" w:cs="Times New Roman"/>
          <w:b/>
          <w:bCs/>
          <w:i/>
          <w:iCs/>
          <w:sz w:val="28"/>
          <w:szCs w:val="28"/>
          <w:rtl/>
        </w:rPr>
        <w:t xml:space="preserve"> ע</w:t>
      </w:r>
      <w:r w:rsidRPr="00007309">
        <w:rPr>
          <w:rFonts w:ascii="Cambria" w:hAnsi="Cambria" w:cs="Times New Roman" w:hint="cs"/>
          <w:b/>
          <w:bCs/>
          <w:i/>
          <w:iCs/>
          <w:sz w:val="28"/>
          <w:szCs w:val="28"/>
          <w:rtl/>
        </w:rPr>
        <w:t>ח</w:t>
      </w:r>
      <w:r w:rsidRPr="00007309">
        <w:rPr>
          <w:rFonts w:ascii="Cambria" w:hAnsi="Cambria" w:cs="Times New Roman"/>
          <w:b/>
          <w:bCs/>
          <w:i/>
          <w:iCs/>
          <w:sz w:val="28"/>
          <w:szCs w:val="28"/>
          <w:rtl/>
        </w:rPr>
        <w:t xml:space="preserve"> ע"</w:t>
      </w:r>
      <w:r w:rsidRPr="00007309">
        <w:rPr>
          <w:rFonts w:ascii="Cambria" w:hAnsi="Cambria" w:cs="Times New Roman" w:hint="cs"/>
          <w:b/>
          <w:bCs/>
          <w:i/>
          <w:iCs/>
          <w:sz w:val="28"/>
          <w:szCs w:val="28"/>
          <w:rtl/>
        </w:rPr>
        <w:t>ג</w:t>
      </w:r>
      <w:r w:rsidRPr="00007309">
        <w:rPr>
          <w:rFonts w:ascii="Cambria" w:hAnsi="Cambria" w:cs="Times New Roman"/>
          <w:b/>
          <w:bCs/>
          <w:i/>
          <w:iCs/>
          <w:sz w:val="28"/>
          <w:szCs w:val="28"/>
          <w:rtl/>
        </w:rPr>
        <w:t>]</w:t>
      </w:r>
    </w:p>
    <w:p w:rsidR="00007309" w:rsidRPr="00007309" w:rsidRDefault="00007309" w:rsidP="00007309">
      <w:pPr>
        <w:jc w:val="both"/>
        <w:rPr>
          <w:rFonts w:cs="Arial"/>
          <w:b/>
          <w:bCs/>
          <w:sz w:val="24"/>
          <w:szCs w:val="24"/>
          <w:rtl/>
        </w:rPr>
      </w:pPr>
      <w:r w:rsidRPr="00007309">
        <w:rPr>
          <w:rFonts w:cs="Arial"/>
          <w:b/>
          <w:bCs/>
          <w:sz w:val="36"/>
          <w:szCs w:val="28"/>
          <w:vertAlign w:val="superscript"/>
          <w:rtl/>
        </w:rPr>
        <w:footnoteReference w:id="6906"/>
      </w:r>
      <w:r w:rsidRPr="00007309">
        <w:rPr>
          <w:rFonts w:cs="Arial"/>
          <w:b/>
          <w:bCs/>
          <w:sz w:val="24"/>
          <w:szCs w:val="24"/>
          <w:rtl/>
        </w:rPr>
        <w:t>וְהַמַּשְׂכִּילִים אִשְׁתְּמוֹדְעָן בְּהוֹן</w:t>
      </w:r>
      <w:r w:rsidRPr="00007309">
        <w:rPr>
          <w:rFonts w:cs="Arial" w:hint="cs"/>
          <w:b/>
          <w:bCs/>
          <w:sz w:val="24"/>
          <w:szCs w:val="24"/>
          <w:rtl/>
        </w:rPr>
        <w:t>,</w:t>
      </w:r>
      <w:r w:rsidRPr="00007309">
        <w:rPr>
          <w:rFonts w:cs="Arial"/>
          <w:b/>
          <w:bCs/>
          <w:sz w:val="24"/>
          <w:szCs w:val="24"/>
          <w:rtl/>
        </w:rPr>
        <w:t xml:space="preserve"> דְּאִית בְּהוֹן חֵילָא לְמֵיקָם בְּהֵיכָלָא דְּמַלְכָּא. </w:t>
      </w:r>
      <w:r w:rsidRPr="00007309">
        <w:rPr>
          <w:rFonts w:cs="Arial"/>
          <w:b/>
          <w:bCs/>
          <w:sz w:val="36"/>
          <w:szCs w:val="28"/>
          <w:vertAlign w:val="superscript"/>
          <w:rtl/>
        </w:rPr>
        <w:footnoteReference w:id="6907"/>
      </w:r>
      <w:r w:rsidRPr="00007309">
        <w:rPr>
          <w:rFonts w:cs="Arial"/>
          <w:b/>
          <w:bCs/>
          <w:sz w:val="24"/>
          <w:szCs w:val="24"/>
          <w:rtl/>
        </w:rPr>
        <w:t xml:space="preserve">כְּגַוְנָא דְּאִתְּמַר </w:t>
      </w:r>
      <w:r w:rsidRPr="00007309">
        <w:rPr>
          <w:rFonts w:ascii="Cambria" w:hAnsi="Cambria" w:cs="Times New Roman" w:hint="cs"/>
          <w:b/>
          <w:bCs/>
          <w:i/>
          <w:iCs/>
          <w:color w:val="4F81BD"/>
          <w:sz w:val="24"/>
          <w:szCs w:val="24"/>
          <w:rtl/>
        </w:rPr>
        <w:t>(עח ע"ג)</w:t>
      </w:r>
      <w:r w:rsidRPr="00007309">
        <w:rPr>
          <w:rFonts w:cs="Arial" w:hint="cs"/>
          <w:b/>
          <w:bCs/>
          <w:sz w:val="24"/>
          <w:szCs w:val="24"/>
          <w:rtl/>
        </w:rPr>
        <w:t xml:space="preserve"> </w:t>
      </w:r>
      <w:r w:rsidRPr="00007309">
        <w:rPr>
          <w:rFonts w:cs="Arial"/>
          <w:b/>
          <w:bCs/>
          <w:sz w:val="24"/>
          <w:szCs w:val="24"/>
          <w:rtl/>
        </w:rPr>
        <w:t>בַּחֲנַנְיָה מִישָׁאֵל וַעֲזַרְיָה (שם א) וַאֲשֶׁר כֹּחַ בָּהֶם לַעֲמֹד בְּהֵיכַל הַמֶּלֶךְ, בַּעֲמִידָה דִּצְלוֹתָא דְּאִיהִי הֵיכַל הַמֶּלֶךְ, כְּלִילָא מִכָּל טַעְמֵי וְנִקּוּדֵי וְאַתְוָן</w:t>
      </w:r>
      <w:r w:rsidRPr="00007309">
        <w:rPr>
          <w:rFonts w:cs="Arial" w:hint="cs"/>
          <w:b/>
          <w:bCs/>
          <w:sz w:val="24"/>
          <w:szCs w:val="24"/>
          <w:rtl/>
        </w:rPr>
        <w:t xml:space="preserve">. </w:t>
      </w:r>
      <w:r w:rsidRPr="00007309">
        <w:rPr>
          <w:rFonts w:cs="Arial"/>
          <w:b/>
          <w:bCs/>
          <w:sz w:val="36"/>
          <w:szCs w:val="28"/>
          <w:vertAlign w:val="superscript"/>
          <w:rtl/>
        </w:rPr>
        <w:footnoteReference w:id="6908"/>
      </w:r>
      <w:r w:rsidRPr="00007309">
        <w:rPr>
          <w:rFonts w:cs="Arial"/>
          <w:b/>
          <w:bCs/>
          <w:sz w:val="24"/>
          <w:szCs w:val="24"/>
          <w:rtl/>
        </w:rPr>
        <w:t xml:space="preserve">דְּלֵית יְדִיעָה כִּידִיעָה דִּנְקֻדֵּי וְטַעְמֵי וְאַתְוָן </w:t>
      </w:r>
      <w:r w:rsidRPr="00007309">
        <w:rPr>
          <w:rFonts w:cs="Arial"/>
          <w:b/>
          <w:bCs/>
          <w:sz w:val="36"/>
          <w:szCs w:val="28"/>
          <w:vertAlign w:val="superscript"/>
          <w:rtl/>
        </w:rPr>
        <w:footnoteReference w:id="6909"/>
      </w:r>
      <w:r w:rsidRPr="00007309">
        <w:rPr>
          <w:rFonts w:cs="Arial"/>
          <w:b/>
          <w:bCs/>
          <w:sz w:val="24"/>
          <w:szCs w:val="24"/>
          <w:rtl/>
        </w:rPr>
        <w:t>לְאִשְׁתְּמוֹדְעָא בְּהוֹן</w:t>
      </w:r>
      <w:r w:rsidRPr="00007309">
        <w:rPr>
          <w:rFonts w:cs="Arial" w:hint="cs"/>
          <w:b/>
          <w:bCs/>
          <w:sz w:val="24"/>
          <w:szCs w:val="24"/>
          <w:rtl/>
        </w:rPr>
        <w:t>.</w:t>
      </w:r>
      <w:r w:rsidRPr="00007309">
        <w:rPr>
          <w:rFonts w:cs="Arial"/>
          <w:b/>
          <w:bCs/>
          <w:sz w:val="24"/>
          <w:szCs w:val="24"/>
          <w:rtl/>
        </w:rPr>
        <w:t xml:space="preserve"> סְגוֹלְתָּא דְּאִתְּמַר בֵּהּ זַרְקָא מֻקָּף שׁוֹפָר הוֹלֵךְ סְגוֹלְתָא. </w:t>
      </w:r>
      <w:r w:rsidRPr="00007309">
        <w:rPr>
          <w:rFonts w:cs="Arial"/>
          <w:b/>
          <w:bCs/>
          <w:sz w:val="36"/>
          <w:szCs w:val="28"/>
          <w:vertAlign w:val="superscript"/>
          <w:rtl/>
        </w:rPr>
        <w:footnoteReference w:id="6910"/>
      </w:r>
      <w:r w:rsidRPr="00007309">
        <w:rPr>
          <w:rFonts w:cs="Arial"/>
          <w:b/>
          <w:bCs/>
          <w:sz w:val="24"/>
          <w:szCs w:val="24"/>
          <w:rtl/>
        </w:rPr>
        <w:t xml:space="preserve">וְכֻלְּהוּ אִתְרְמִיזוּ בְּהַוְיָן </w:t>
      </w:r>
      <w:r w:rsidRPr="00007309">
        <w:rPr>
          <w:rFonts w:cs="Arial"/>
          <w:b/>
          <w:bCs/>
          <w:sz w:val="36"/>
          <w:szCs w:val="28"/>
          <w:vertAlign w:val="superscript"/>
          <w:rtl/>
        </w:rPr>
        <w:footnoteReference w:id="6911"/>
      </w:r>
      <w:r w:rsidRPr="00007309">
        <w:rPr>
          <w:rFonts w:cs="Arial"/>
          <w:b/>
          <w:bCs/>
          <w:sz w:val="24"/>
          <w:szCs w:val="24"/>
          <w:rtl/>
        </w:rPr>
        <w:t>כְּגַוְנָא דָּא</w:t>
      </w:r>
      <w:r w:rsidRPr="00007309">
        <w:rPr>
          <w:rFonts w:cs="Arial" w:hint="cs"/>
          <w:b/>
          <w:bCs/>
          <w:sz w:val="24"/>
          <w:szCs w:val="24"/>
          <w:rtl/>
        </w:rPr>
        <w:t>,</w:t>
      </w:r>
      <w:r w:rsidRPr="00007309">
        <w:rPr>
          <w:rFonts w:cs="Arial"/>
          <w:b/>
          <w:bCs/>
          <w:sz w:val="24"/>
          <w:szCs w:val="24"/>
          <w:rtl/>
        </w:rPr>
        <w:t xml:space="preserve"> י'י'י' ה'ה'ה' ו'ו'ו' ה'ה'ה'. בְּכָל אֲתַר דאנון תְּלָת יוּדִי"ן כַּחֲדָא</w:t>
      </w:r>
      <w:r w:rsidRPr="00007309">
        <w:rPr>
          <w:rFonts w:cs="Arial" w:hint="cs"/>
          <w:b/>
          <w:bCs/>
          <w:sz w:val="24"/>
          <w:szCs w:val="24"/>
          <w:rtl/>
        </w:rPr>
        <w:t>,</w:t>
      </w:r>
      <w:r w:rsidRPr="00007309">
        <w:rPr>
          <w:rFonts w:cs="Arial"/>
          <w:b/>
          <w:bCs/>
          <w:sz w:val="24"/>
          <w:szCs w:val="24"/>
          <w:rtl/>
        </w:rPr>
        <w:t xml:space="preserve"> רְמִיזִין </w:t>
      </w:r>
      <w:r w:rsidRPr="00007309">
        <w:rPr>
          <w:rFonts w:cs="Arial"/>
          <w:b/>
          <w:bCs/>
          <w:noProof/>
          <w:sz w:val="24"/>
          <w:szCs w:val="24"/>
          <w:rtl/>
        </w:rPr>
        <w:drawing>
          <wp:inline distT="0" distB="0" distL="0" distR="0" wp14:anchorId="0391C141" wp14:editId="09AF86E6">
            <wp:extent cx="247619" cy="247619"/>
            <wp:effectExtent l="0" t="0" r="635" b="635"/>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סגולתא.bmp"/>
                    <pic:cNvPicPr/>
                  </pic:nvPicPr>
                  <pic:blipFill>
                    <a:blip r:embed="rId15">
                      <a:extLst>
                        <a:ext uri="{28A0092B-C50C-407E-A947-70E740481C1C}">
                          <a14:useLocalDpi xmlns:a14="http://schemas.microsoft.com/office/drawing/2010/main" val="0"/>
                        </a:ext>
                      </a:extLst>
                    </a:blip>
                    <a:stretch>
                      <a:fillRect/>
                    </a:stretch>
                  </pic:blipFill>
                  <pic:spPr>
                    <a:xfrm>
                      <a:off x="0" y="0"/>
                      <a:ext cx="247619" cy="247619"/>
                    </a:xfrm>
                    <a:prstGeom prst="rect">
                      <a:avLst/>
                    </a:prstGeom>
                  </pic:spPr>
                </pic:pic>
              </a:graphicData>
            </a:graphic>
          </wp:inline>
        </w:drawing>
      </w:r>
      <w:r w:rsidRPr="00007309">
        <w:rPr>
          <w:rFonts w:cs="Arial"/>
          <w:b/>
          <w:bCs/>
          <w:sz w:val="24"/>
          <w:szCs w:val="24"/>
          <w:rtl/>
        </w:rPr>
        <w:t xml:space="preserve"> לִסְגוֹלְתָא, דְּאִיהִי שְׁכִינְתָּא כְּלִילָא מִן חָכְמָה חֶסֶד נֶצַח</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6912"/>
      </w:r>
      <w:r w:rsidRPr="00007309">
        <w:rPr>
          <w:rFonts w:cs="Arial"/>
          <w:b/>
          <w:bCs/>
          <w:sz w:val="24"/>
          <w:szCs w:val="24"/>
          <w:rtl/>
        </w:rPr>
        <w:t>חָכְמוֹת בַּחוּץ תָּרֹנָּה</w:t>
      </w:r>
      <w:r w:rsidRPr="00007309">
        <w:rPr>
          <w:rFonts w:cs="Arial" w:hint="cs"/>
          <w:b/>
          <w:bCs/>
          <w:sz w:val="24"/>
          <w:szCs w:val="24"/>
          <w:rtl/>
        </w:rPr>
        <w:t xml:space="preserve"> (משלי א כ),</w:t>
      </w:r>
      <w:r w:rsidRPr="00007309">
        <w:rPr>
          <w:rFonts w:cs="Arial"/>
          <w:b/>
          <w:bCs/>
          <w:sz w:val="24"/>
          <w:szCs w:val="24"/>
          <w:rtl/>
        </w:rPr>
        <w:t xml:space="preserve"> וּבְגִינַיְהוּ אוּקְמוּהּ מָארֵי מַתְנִיתִין הָרוֹצֶה לְהַחְכִּים יַדְרִים. דְּכֻלְּהוּ תְּלָתָא אִנּוּן דְּרוֹמִיִּים. </w:t>
      </w:r>
      <w:r w:rsidRPr="00007309">
        <w:rPr>
          <w:rFonts w:cs="Arial"/>
          <w:b/>
          <w:bCs/>
          <w:sz w:val="36"/>
          <w:szCs w:val="28"/>
          <w:vertAlign w:val="superscript"/>
          <w:rtl/>
        </w:rPr>
        <w:footnoteReference w:id="6913"/>
      </w:r>
      <w:r w:rsidRPr="00007309">
        <w:rPr>
          <w:rFonts w:cs="Arial"/>
          <w:b/>
          <w:bCs/>
          <w:sz w:val="24"/>
          <w:szCs w:val="24"/>
          <w:rtl/>
        </w:rPr>
        <w:t>הה"</w:t>
      </w:r>
      <w:r w:rsidRPr="00007309">
        <w:rPr>
          <w:rFonts w:cs="Arial" w:hint="cs"/>
          <w:b/>
          <w:bCs/>
          <w:sz w:val="24"/>
          <w:szCs w:val="24"/>
          <w:rtl/>
        </w:rPr>
        <w:t>ה</w:t>
      </w:r>
      <w:r w:rsidRPr="00007309">
        <w:rPr>
          <w:rFonts w:cs="Arial"/>
          <w:b/>
          <w:bCs/>
          <w:sz w:val="24"/>
          <w:szCs w:val="24"/>
          <w:rtl/>
        </w:rPr>
        <w:t xml:space="preserve"> בינה גְּבוּרָא הוֹד. וְכֻלְּהוּ לְצָפוֹן. וּבְגִינַיְהוּ אִתְּמַר </w:t>
      </w:r>
      <w:r w:rsidRPr="00007309">
        <w:rPr>
          <w:rFonts w:cs="Arial"/>
          <w:b/>
          <w:bCs/>
          <w:sz w:val="36"/>
          <w:szCs w:val="28"/>
          <w:vertAlign w:val="superscript"/>
          <w:rtl/>
        </w:rPr>
        <w:footnoteReference w:id="6914"/>
      </w:r>
      <w:r w:rsidRPr="00007309">
        <w:rPr>
          <w:rFonts w:cs="Arial"/>
          <w:b/>
          <w:bCs/>
          <w:sz w:val="24"/>
          <w:szCs w:val="24"/>
          <w:rtl/>
        </w:rPr>
        <w:t xml:space="preserve">הָרוֹצֶה לְהַעֲשִׁיר יַצְפִּין. זַכָּאָה אִיהוּ מָאן דִּמְכַוֵּן בְּהוֹן. לְנַחְתָּא חָכְמְתָא וְעוּתְרָא לִשְׁכִינְתָּא, דְּאִתְּמַר בָּהּ </w:t>
      </w:r>
      <w:r w:rsidRPr="00007309">
        <w:rPr>
          <w:rFonts w:cs="Arial"/>
          <w:b/>
          <w:bCs/>
          <w:sz w:val="36"/>
          <w:szCs w:val="28"/>
          <w:vertAlign w:val="superscript"/>
          <w:rtl/>
        </w:rPr>
        <w:footnoteReference w:id="6915"/>
      </w:r>
      <w:r w:rsidRPr="00007309">
        <w:rPr>
          <w:rFonts w:cs="Arial"/>
          <w:b/>
          <w:bCs/>
          <w:sz w:val="24"/>
          <w:szCs w:val="24"/>
          <w:rtl/>
        </w:rPr>
        <w:t xml:space="preserve">קְדֻשָּׁה לְךָ יְשַׁלְּשׁוּ. דְּהָכֵי אִיהוּ סְגוֹלְתָא דִּילְהוֹן לְנַחְתָּא חָכְמְתָא וְעוּתְרָא לִשְׁכִינְתָּא. </w:t>
      </w:r>
    </w:p>
    <w:p w:rsidR="00007309" w:rsidRPr="00007309" w:rsidRDefault="00007309" w:rsidP="00007309">
      <w:pPr>
        <w:keepNext/>
        <w:spacing w:before="240" w:after="60"/>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[וילנא טז ע"ב]</w:t>
      </w:r>
    </w:p>
    <w:p w:rsidR="00007309" w:rsidRPr="00007309" w:rsidRDefault="00007309" w:rsidP="00007309">
      <w:pPr>
        <w:jc w:val="both"/>
        <w:rPr>
          <w:rFonts w:cs="Arial"/>
          <w:b/>
          <w:bCs/>
          <w:sz w:val="24"/>
          <w:szCs w:val="24"/>
          <w:rtl/>
        </w:rPr>
      </w:pPr>
      <w:r w:rsidRPr="00007309">
        <w:rPr>
          <w:rFonts w:cs="Arial"/>
          <w:b/>
          <w:bCs/>
          <w:sz w:val="24"/>
          <w:szCs w:val="24"/>
          <w:rtl/>
        </w:rPr>
        <w:t xml:space="preserve">זַכָּאָה אִיהוּ מָאן דְּלָא נָטִיל אִיהוּ אַגְרָא לְגַרְמֵהּ, אֶלָּא </w:t>
      </w:r>
      <w:r w:rsidRPr="00007309">
        <w:rPr>
          <w:rFonts w:cs="Arial"/>
          <w:b/>
          <w:bCs/>
          <w:sz w:val="36"/>
          <w:szCs w:val="28"/>
          <w:vertAlign w:val="superscript"/>
          <w:rtl/>
        </w:rPr>
        <w:footnoteReference w:id="6916"/>
      </w:r>
      <w:r w:rsidRPr="00007309">
        <w:rPr>
          <w:rFonts w:cs="Arial"/>
          <w:b/>
          <w:bCs/>
          <w:sz w:val="24"/>
          <w:szCs w:val="24"/>
          <w:rtl/>
        </w:rPr>
        <w:t>דְּאוֹלִיף סְגֻלּוֹת אִלֵּין לְגַבֵּי שְׁכִינְתָּא</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6917"/>
      </w:r>
      <w:r w:rsidRPr="00007309">
        <w:rPr>
          <w:rFonts w:cs="Arial"/>
          <w:b/>
          <w:bCs/>
          <w:sz w:val="24"/>
          <w:szCs w:val="24"/>
          <w:rtl/>
        </w:rPr>
        <w:t>דְּאִנּוּן סְגֻלּוֹת</w:t>
      </w:r>
      <w:r w:rsidRPr="00007309">
        <w:rPr>
          <w:rFonts w:cs="Arial" w:hint="cs"/>
          <w:b/>
          <w:bCs/>
          <w:sz w:val="24"/>
          <w:szCs w:val="24"/>
          <w:rtl/>
        </w:rPr>
        <w:t>,</w:t>
      </w:r>
      <w:r w:rsidRPr="00007309">
        <w:rPr>
          <w:rFonts w:cs="Arial"/>
          <w:b/>
          <w:bCs/>
          <w:sz w:val="24"/>
          <w:szCs w:val="24"/>
          <w:rtl/>
        </w:rPr>
        <w:t xml:space="preserve"> אִלֵּין דְּבַעְלָהּ</w:t>
      </w:r>
      <w:r w:rsidRPr="00007309">
        <w:rPr>
          <w:rFonts w:cs="Arial" w:hint="cs"/>
          <w:b/>
          <w:bCs/>
          <w:sz w:val="24"/>
          <w:szCs w:val="24"/>
          <w:rtl/>
        </w:rPr>
        <w:t>,</w:t>
      </w:r>
      <w:r w:rsidRPr="00007309">
        <w:rPr>
          <w:rFonts w:cs="Arial"/>
          <w:b/>
          <w:bCs/>
          <w:sz w:val="24"/>
          <w:szCs w:val="24"/>
          <w:rtl/>
        </w:rPr>
        <w:t xml:space="preserve"> דְּנָחְתָא לוֹן לְגַבָּהּ. ו'ו'ו' כֶּתֶר תִּפְאֶרֶת יְסוֹד. בְּגִין </w:t>
      </w:r>
      <w:r w:rsidRPr="00007309">
        <w:rPr>
          <w:rFonts w:cs="Arial"/>
          <w:b/>
          <w:bCs/>
          <w:sz w:val="36"/>
          <w:szCs w:val="28"/>
          <w:vertAlign w:val="superscript"/>
          <w:rtl/>
        </w:rPr>
        <w:footnoteReference w:id="6918"/>
      </w:r>
      <w:r w:rsidRPr="00007309">
        <w:rPr>
          <w:rFonts w:cs="Arial"/>
          <w:b/>
          <w:bCs/>
          <w:sz w:val="24"/>
          <w:szCs w:val="24"/>
          <w:rtl/>
        </w:rPr>
        <w:t>דְּכֶתֶר אִיהוּ יוּ"ד דְּסָלִיק לְחֻשְׁבָּן כ' דְּתַמָּן ו'</w:t>
      </w:r>
      <w:r w:rsidRPr="00007309">
        <w:rPr>
          <w:rFonts w:cs="Arial" w:hint="cs"/>
          <w:b/>
          <w:bCs/>
          <w:sz w:val="24"/>
          <w:szCs w:val="24"/>
          <w:rtl/>
        </w:rPr>
        <w:t>.</w:t>
      </w:r>
      <w:r w:rsidRPr="00007309">
        <w:rPr>
          <w:rFonts w:cs="Arial"/>
          <w:b/>
          <w:bCs/>
          <w:sz w:val="24"/>
          <w:szCs w:val="24"/>
          <w:rtl/>
        </w:rPr>
        <w:t xml:space="preserve"> תְּרֵין וָוִי"ן רְמִיזִין </w:t>
      </w:r>
      <w:r w:rsidRPr="00007309">
        <w:rPr>
          <w:rFonts w:cs="Arial"/>
          <w:b/>
          <w:bCs/>
          <w:sz w:val="36"/>
          <w:szCs w:val="28"/>
          <w:vertAlign w:val="superscript"/>
          <w:rtl/>
        </w:rPr>
        <w:footnoteReference w:id="6919"/>
      </w:r>
      <w:r w:rsidRPr="00007309">
        <w:rPr>
          <w:rFonts w:cs="Arial"/>
          <w:b/>
          <w:bCs/>
          <w:sz w:val="24"/>
          <w:szCs w:val="24"/>
          <w:rtl/>
        </w:rPr>
        <w:t xml:space="preserve">בְּאָת וָא"ו. וְכֻלְּהוּ תְּלָת וָוִין כְּלִילָן בְּצַדִּיק חַי עָלְמִין. דְּהָכֵי סַלְקִין תְּלָת וָוִין כְּחֻשְׁבָּן חַ"י. וְהַאי אִיהוּ </w:t>
      </w:r>
      <w:r w:rsidRPr="00007309">
        <w:rPr>
          <w:rFonts w:cs="Arial"/>
          <w:b/>
          <w:bCs/>
          <w:sz w:val="36"/>
          <w:szCs w:val="28"/>
          <w:vertAlign w:val="superscript"/>
          <w:rtl/>
        </w:rPr>
        <w:footnoteReference w:id="6920"/>
      </w:r>
      <w:r w:rsidRPr="00007309">
        <w:rPr>
          <w:rFonts w:cs="Arial"/>
          <w:b/>
          <w:bCs/>
          <w:sz w:val="24"/>
          <w:szCs w:val="24"/>
          <w:rtl/>
        </w:rPr>
        <w:t>וּבְרָכוֹת לְרֹאשׁ צַדִּיק. וְאִלֵּין תְּלָת וָוִין</w:t>
      </w:r>
      <w:r w:rsidRPr="00007309">
        <w:rPr>
          <w:rFonts w:cs="Arial" w:hint="cs"/>
          <w:b/>
          <w:bCs/>
          <w:sz w:val="24"/>
          <w:szCs w:val="24"/>
          <w:rtl/>
        </w:rPr>
        <w:t>,</w:t>
      </w:r>
      <w:r w:rsidRPr="00007309">
        <w:rPr>
          <w:rFonts w:cs="Arial"/>
          <w:b/>
          <w:bCs/>
          <w:sz w:val="24"/>
          <w:szCs w:val="24"/>
          <w:rtl/>
        </w:rPr>
        <w:t xml:space="preserve"> סְגֻלָּה דִּילְהוֹן לְיַחֲדָא שְׁכִינְתָּא עִם קוּדְשָׁא בְּרִיךְ הוּא. </w:t>
      </w:r>
      <w:r w:rsidRPr="00007309">
        <w:rPr>
          <w:rFonts w:cs="Arial"/>
          <w:b/>
          <w:bCs/>
          <w:sz w:val="36"/>
          <w:szCs w:val="28"/>
          <w:vertAlign w:val="superscript"/>
          <w:rtl/>
        </w:rPr>
        <w:footnoteReference w:id="6921"/>
      </w:r>
      <w:r w:rsidRPr="00007309">
        <w:rPr>
          <w:rFonts w:cs="Arial"/>
          <w:b/>
          <w:bCs/>
          <w:sz w:val="24"/>
          <w:szCs w:val="24"/>
          <w:rtl/>
        </w:rPr>
        <w:t xml:space="preserve">וְהַאי אִיהוּ לְקָרֵב רְחוֹקִים </w:t>
      </w:r>
      <w:r w:rsidRPr="00007309">
        <w:rPr>
          <w:rFonts w:cs="Arial"/>
          <w:b/>
          <w:bCs/>
          <w:sz w:val="36"/>
          <w:szCs w:val="28"/>
          <w:vertAlign w:val="superscript"/>
          <w:rtl/>
        </w:rPr>
        <w:footnoteReference w:id="6922"/>
      </w:r>
      <w:r w:rsidRPr="00007309">
        <w:rPr>
          <w:rFonts w:cs="Arial"/>
          <w:b/>
          <w:bCs/>
          <w:sz w:val="24"/>
          <w:szCs w:val="24"/>
          <w:rtl/>
        </w:rPr>
        <w:t xml:space="preserve">דְּאִנּוּן אוֹרְחִים, דִּבְהוֹן </w:t>
      </w:r>
      <w:r w:rsidRPr="00007309">
        <w:rPr>
          <w:rFonts w:cs="Arial"/>
          <w:b/>
          <w:bCs/>
          <w:sz w:val="36"/>
          <w:szCs w:val="28"/>
          <w:vertAlign w:val="superscript"/>
          <w:rtl/>
        </w:rPr>
        <w:footnoteReference w:id="6923"/>
      </w:r>
      <w:r w:rsidRPr="00007309">
        <w:rPr>
          <w:rFonts w:cs="Arial"/>
          <w:b/>
          <w:bCs/>
          <w:sz w:val="24"/>
          <w:szCs w:val="24"/>
          <w:rtl/>
        </w:rPr>
        <w:t xml:space="preserve">קָפְצָה אַרְעָא לְיַעֲקֹב. דְּאָת ו' דֶּרֶךְ אִיהוּ. הָדָא הוּא דִּכְתִיב (במדבר כד) </w:t>
      </w:r>
      <w:r w:rsidRPr="00007309">
        <w:rPr>
          <w:rFonts w:cs="Arial"/>
          <w:b/>
          <w:bCs/>
          <w:sz w:val="36"/>
          <w:szCs w:val="28"/>
          <w:vertAlign w:val="superscript"/>
          <w:rtl/>
        </w:rPr>
        <w:footnoteReference w:id="6924"/>
      </w:r>
      <w:r w:rsidRPr="00007309">
        <w:rPr>
          <w:rFonts w:cs="Arial"/>
          <w:b/>
          <w:bCs/>
          <w:sz w:val="24"/>
          <w:szCs w:val="24"/>
          <w:rtl/>
        </w:rPr>
        <w:t xml:space="preserve">דָּרַךְ כּוֹכָב מִיַּעֲקֹב. </w:t>
      </w:r>
      <w:r w:rsidRPr="00007309">
        <w:rPr>
          <w:rFonts w:cs="Arial"/>
          <w:b/>
          <w:bCs/>
          <w:sz w:val="36"/>
          <w:szCs w:val="28"/>
          <w:vertAlign w:val="superscript"/>
          <w:rtl/>
        </w:rPr>
        <w:footnoteReference w:id="6925"/>
      </w:r>
      <w:r w:rsidRPr="00007309">
        <w:rPr>
          <w:rFonts w:cs="Arial"/>
          <w:b/>
          <w:bCs/>
          <w:sz w:val="24"/>
          <w:szCs w:val="24"/>
          <w:rtl/>
        </w:rPr>
        <w:t xml:space="preserve">דֶּרֶךְ הַנֶּשֶׁר בַּשָּׁמַיִם. קְפִיצַת הַדֶּרֶךְ שְׁכִינְתָּא. דִּבְאִלֵּין וָוִין קָפְצַת אוֹרְחָא לְגַבֵּי בַּעְלָהּ. וְאִיהוּ יָשִׂישׂ כְּגִבּוֹר לָרוּץ אֹרַח לְגַבָּהּ. וּבְגִינַיְהוּ אִתְּמַר (משלי ג) </w:t>
      </w:r>
      <w:r w:rsidRPr="00007309">
        <w:rPr>
          <w:rFonts w:cs="Arial"/>
          <w:b/>
          <w:bCs/>
          <w:sz w:val="36"/>
          <w:szCs w:val="28"/>
          <w:vertAlign w:val="superscript"/>
          <w:rtl/>
        </w:rPr>
        <w:footnoteReference w:id="6926"/>
      </w:r>
      <w:r w:rsidRPr="00007309">
        <w:rPr>
          <w:rFonts w:cs="Arial"/>
          <w:b/>
          <w:bCs/>
          <w:sz w:val="24"/>
          <w:szCs w:val="24"/>
          <w:rtl/>
        </w:rPr>
        <w:t xml:space="preserve">דְּרָכֶיהָ דַּרְכֵי נֹעַם. וּמִסִּטְרָא </w:t>
      </w:r>
      <w:r w:rsidRPr="00007309">
        <w:rPr>
          <w:rFonts w:ascii="Cambria" w:hAnsi="Cambria" w:cs="Times New Roman" w:hint="cs"/>
          <w:b/>
          <w:bCs/>
          <w:i/>
          <w:iCs/>
          <w:color w:val="4F81BD"/>
          <w:sz w:val="24"/>
          <w:szCs w:val="24"/>
          <w:rtl/>
        </w:rPr>
        <w:t>(וילנא טז ע"ב)</w:t>
      </w:r>
      <w:r w:rsidRPr="00007309">
        <w:rPr>
          <w:rFonts w:cs="Arial" w:hint="cs"/>
          <w:b/>
          <w:bCs/>
          <w:sz w:val="24"/>
          <w:szCs w:val="24"/>
          <w:rtl/>
        </w:rPr>
        <w:t xml:space="preserve"> </w:t>
      </w:r>
      <w:r w:rsidRPr="00007309">
        <w:rPr>
          <w:rFonts w:cs="Arial"/>
          <w:b/>
          <w:bCs/>
          <w:sz w:val="36"/>
          <w:szCs w:val="28"/>
          <w:vertAlign w:val="superscript"/>
          <w:rtl/>
        </w:rPr>
        <w:footnoteReference w:id="6927"/>
      </w:r>
      <w:r w:rsidRPr="00007309">
        <w:rPr>
          <w:rFonts w:cs="Arial"/>
          <w:b/>
          <w:bCs/>
          <w:sz w:val="24"/>
          <w:szCs w:val="24"/>
          <w:rtl/>
        </w:rPr>
        <w:t>דְּאָת וָא"ו מִן שֵׁם בֵּן עָ"ב עָבִיד י"ב אוֹרְ</w:t>
      </w:r>
      <w:r w:rsidRPr="00007309">
        <w:rPr>
          <w:rFonts w:cs="Arial" w:hint="cs"/>
          <w:b/>
          <w:bCs/>
          <w:sz w:val="24"/>
          <w:szCs w:val="24"/>
          <w:rtl/>
        </w:rPr>
        <w:t>ח</w:t>
      </w:r>
      <w:r w:rsidRPr="00007309">
        <w:rPr>
          <w:rFonts w:cs="Arial"/>
          <w:b/>
          <w:bCs/>
          <w:sz w:val="24"/>
          <w:szCs w:val="24"/>
          <w:rtl/>
        </w:rPr>
        <w:t xml:space="preserve">ין בְּיַמָּא, דְּאִתְעֲבָרוּ בֵּינַיְהוּ </w:t>
      </w:r>
      <w:r w:rsidRPr="00007309">
        <w:rPr>
          <w:rFonts w:cs="Arial"/>
          <w:b/>
          <w:bCs/>
          <w:sz w:val="36"/>
          <w:szCs w:val="28"/>
          <w:vertAlign w:val="superscript"/>
          <w:rtl/>
        </w:rPr>
        <w:footnoteReference w:id="6928"/>
      </w:r>
      <w:r w:rsidRPr="00007309">
        <w:rPr>
          <w:rFonts w:cs="Arial"/>
          <w:b/>
          <w:bCs/>
          <w:sz w:val="24"/>
          <w:szCs w:val="24"/>
          <w:rtl/>
        </w:rPr>
        <w:t>י"ב שְׁבָטִין</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6929"/>
      </w:r>
      <w:r w:rsidRPr="00007309">
        <w:rPr>
          <w:rFonts w:cs="Arial"/>
          <w:b/>
          <w:bCs/>
          <w:sz w:val="24"/>
          <w:szCs w:val="24"/>
          <w:rtl/>
        </w:rPr>
        <w:t>דִּתְלָת שְׁמָהָן אִנּוּן, בְּוַיִּסַּע וַיָּבֹא וַיֵּט. וְאִנּוּן וה"ו אנ"י וה"ו. וְרֵישֵׁי תֵּבִין דִּילְהוֹן וָא</w:t>
      </w:r>
      <w:r w:rsidRPr="00007309">
        <w:rPr>
          <w:rFonts w:cs="Arial"/>
          <w:b/>
          <w:bCs/>
          <w:sz w:val="24"/>
          <w:szCs w:val="24"/>
        </w:rPr>
        <w:t>"</w:t>
      </w:r>
      <w:r w:rsidRPr="00007309">
        <w:rPr>
          <w:rFonts w:cs="Arial"/>
          <w:b/>
          <w:bCs/>
          <w:sz w:val="24"/>
          <w:szCs w:val="24"/>
          <w:rtl/>
        </w:rPr>
        <w:t xml:space="preserve">ו. </w:t>
      </w:r>
      <w:r w:rsidRPr="00007309">
        <w:rPr>
          <w:rFonts w:cs="Arial"/>
          <w:b/>
          <w:bCs/>
          <w:sz w:val="36"/>
          <w:szCs w:val="28"/>
          <w:vertAlign w:val="superscript"/>
          <w:rtl/>
        </w:rPr>
        <w:footnoteReference w:id="6930"/>
      </w:r>
      <w:r w:rsidRPr="00007309">
        <w:rPr>
          <w:rFonts w:cs="Arial"/>
          <w:b/>
          <w:bCs/>
          <w:sz w:val="24"/>
          <w:szCs w:val="24"/>
          <w:rtl/>
        </w:rPr>
        <w:t>יַמָּא בְּאֶמְצָעִיתָא</w:t>
      </w:r>
      <w:r w:rsidRPr="00007309">
        <w:rPr>
          <w:rFonts w:cs="Arial" w:hint="cs"/>
          <w:b/>
          <w:bCs/>
          <w:sz w:val="24"/>
          <w:szCs w:val="24"/>
          <w:rtl/>
        </w:rPr>
        <w:t>,</w:t>
      </w:r>
      <w:r w:rsidRPr="00007309">
        <w:rPr>
          <w:rFonts w:cs="Arial"/>
          <w:b/>
          <w:bCs/>
          <w:sz w:val="24"/>
          <w:szCs w:val="24"/>
          <w:rtl/>
        </w:rPr>
        <w:t xml:space="preserve"> א'</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6931"/>
      </w:r>
      <w:r w:rsidRPr="00007309">
        <w:rPr>
          <w:rFonts w:cs="Arial"/>
          <w:b/>
          <w:bCs/>
          <w:sz w:val="24"/>
          <w:szCs w:val="24"/>
          <w:rtl/>
        </w:rPr>
        <w:t>אָלֶף בִּינָה וְתִשְׁכַּח לָהּ. וּבְתֻקְפָּא דִּתְרֵין וָוִי"ן אִלֵּין, בָּקַע שִׁמְשָׁא רְקִיעִין</w:t>
      </w:r>
      <w:r w:rsidRPr="00007309">
        <w:rPr>
          <w:rFonts w:cs="Arial" w:hint="cs"/>
          <w:b/>
          <w:bCs/>
          <w:sz w:val="24"/>
          <w:szCs w:val="24"/>
          <w:rtl/>
        </w:rPr>
        <w:t>,</w:t>
      </w:r>
      <w:r w:rsidRPr="00007309">
        <w:rPr>
          <w:rFonts w:cs="Arial"/>
          <w:b/>
          <w:bCs/>
          <w:sz w:val="24"/>
          <w:szCs w:val="24"/>
          <w:rtl/>
        </w:rPr>
        <w:t xml:space="preserve"> וְעָבִיד בְּהוֹן י"ב אוֹרְחִין בָּרָקִיעַ </w:t>
      </w:r>
      <w:r w:rsidRPr="00007309">
        <w:rPr>
          <w:rFonts w:cs="Arial"/>
          <w:b/>
          <w:bCs/>
          <w:sz w:val="36"/>
          <w:szCs w:val="28"/>
          <w:vertAlign w:val="superscript"/>
          <w:rtl/>
        </w:rPr>
        <w:footnoteReference w:id="6932"/>
      </w:r>
      <w:r w:rsidRPr="00007309">
        <w:rPr>
          <w:rFonts w:cs="Arial"/>
          <w:b/>
          <w:bCs/>
          <w:sz w:val="24"/>
          <w:szCs w:val="24"/>
          <w:rtl/>
        </w:rPr>
        <w:t xml:space="preserve">דְּאִתְּמַר בֵּהּ וְאַתָּה תִּשְׁמַע הַשָּׁמַיִם. </w:t>
      </w:r>
      <w:r w:rsidRPr="00007309">
        <w:rPr>
          <w:rFonts w:cs="Arial"/>
          <w:b/>
          <w:bCs/>
          <w:sz w:val="36"/>
          <w:szCs w:val="28"/>
          <w:vertAlign w:val="superscript"/>
          <w:rtl/>
        </w:rPr>
        <w:footnoteReference w:id="6933"/>
      </w:r>
      <w:r w:rsidRPr="00007309">
        <w:rPr>
          <w:rFonts w:cs="Arial"/>
          <w:b/>
          <w:bCs/>
          <w:sz w:val="24"/>
          <w:szCs w:val="24"/>
          <w:rtl/>
        </w:rPr>
        <w:t>וְחָמֵשׁ סָרֵי יָ'הּ</w:t>
      </w:r>
      <w:r w:rsidRPr="00007309">
        <w:rPr>
          <w:rFonts w:cs="Arial" w:hint="cs"/>
          <w:b/>
          <w:bCs/>
          <w:sz w:val="24"/>
          <w:szCs w:val="24"/>
          <w:rtl/>
        </w:rPr>
        <w:t>,</w:t>
      </w:r>
      <w:r w:rsidRPr="00007309">
        <w:rPr>
          <w:rFonts w:cs="Arial"/>
          <w:b/>
          <w:bCs/>
          <w:sz w:val="24"/>
          <w:szCs w:val="24"/>
          <w:rtl/>
        </w:rPr>
        <w:t xml:space="preserve"> וְחַד סְרֵי וָ'הּ</w:t>
      </w:r>
      <w:r w:rsidRPr="00007309">
        <w:rPr>
          <w:rFonts w:cs="Arial" w:hint="cs"/>
          <w:b/>
          <w:bCs/>
          <w:sz w:val="24"/>
          <w:szCs w:val="24"/>
          <w:rtl/>
        </w:rPr>
        <w:t>,</w:t>
      </w:r>
      <w:r w:rsidRPr="00007309">
        <w:rPr>
          <w:rFonts w:cs="Arial"/>
          <w:b/>
          <w:bCs/>
          <w:sz w:val="24"/>
          <w:szCs w:val="24"/>
          <w:rtl/>
        </w:rPr>
        <w:t xml:space="preserve"> סַלְקִין חֻשְׁבָּנֵיהוֹן שמ"ו. </w:t>
      </w:r>
      <w:r w:rsidRPr="00007309">
        <w:rPr>
          <w:rFonts w:cs="Arial"/>
          <w:sz w:val="36"/>
          <w:szCs w:val="28"/>
          <w:vertAlign w:val="superscript"/>
          <w:rtl/>
        </w:rPr>
        <w:footnoteReference w:id="6934"/>
      </w:r>
      <w:r w:rsidRPr="00007309">
        <w:rPr>
          <w:rFonts w:cs="Arial"/>
          <w:sz w:val="24"/>
          <w:szCs w:val="24"/>
          <w:rtl/>
        </w:rPr>
        <w:t>(פָּעַל בְּכֹ"ח דְּסַלְקִין לְחֻשְׁבַּן שָׁמַיִם לְעֵלָּא י' מִינֵי תִּלִּים דִּכְלִילָן בְּעֶשֶׂר אַתְוָן דִּשְׁמָא מְפָרֵשׁ וְסַלְקִין מ"ה וְעִם שמ"ו שס"א (נ"ל שצ"א))</w:t>
      </w:r>
      <w:r w:rsidRPr="00007309">
        <w:rPr>
          <w:rFonts w:cs="Arial"/>
          <w:b/>
          <w:bCs/>
          <w:sz w:val="24"/>
          <w:szCs w:val="24"/>
          <w:rtl/>
        </w:rPr>
        <w:t xml:space="preserve"> </w:t>
      </w:r>
      <w:r w:rsidRPr="00007309">
        <w:rPr>
          <w:rFonts w:cs="Arial"/>
          <w:b/>
          <w:bCs/>
          <w:sz w:val="36"/>
          <w:szCs w:val="28"/>
          <w:vertAlign w:val="superscript"/>
          <w:rtl/>
        </w:rPr>
        <w:footnoteReference w:id="6935"/>
      </w:r>
      <w:r w:rsidRPr="00007309">
        <w:rPr>
          <w:rFonts w:cs="Arial"/>
          <w:b/>
          <w:bCs/>
          <w:sz w:val="24"/>
          <w:szCs w:val="24"/>
          <w:rtl/>
        </w:rPr>
        <w:t xml:space="preserve">וְהַאי אִיהוּ וְאָמְרוּ לִי מַ"ה שְּׁמ"וֹ. כִּי לֹא יִטֹשׁ ה' אֶת עַמּוֹ בַּעֲבוּר שְׁמוֹ הַגָּדוֹל. </w:t>
      </w:r>
      <w:r w:rsidRPr="00007309">
        <w:rPr>
          <w:rFonts w:cs="Arial"/>
          <w:sz w:val="24"/>
          <w:szCs w:val="24"/>
          <w:rtl/>
        </w:rPr>
        <w:t>(דָּלִיג מ'ה מ'ה מִשְּׁמוֹ אִשְׁתְּאַר רנ"ו)</w:t>
      </w:r>
      <w:r w:rsidRPr="00007309">
        <w:rPr>
          <w:rFonts w:cs="Arial"/>
          <w:b/>
          <w:bCs/>
          <w:sz w:val="24"/>
          <w:szCs w:val="24"/>
          <w:rtl/>
        </w:rPr>
        <w:t xml:space="preserve"> </w:t>
      </w:r>
      <w:r w:rsidRPr="00007309">
        <w:rPr>
          <w:rFonts w:cs="Arial"/>
          <w:b/>
          <w:bCs/>
          <w:sz w:val="36"/>
          <w:szCs w:val="28"/>
          <w:vertAlign w:val="superscript"/>
          <w:rtl/>
        </w:rPr>
        <w:footnoteReference w:id="6936"/>
      </w:r>
      <w:r w:rsidRPr="00007309">
        <w:rPr>
          <w:rFonts w:cs="Arial"/>
          <w:b/>
          <w:bCs/>
          <w:sz w:val="24"/>
          <w:szCs w:val="24"/>
          <w:rtl/>
        </w:rPr>
        <w:t>(שֶׁמָּא דְּאִיהוּ י'ו י'ו שִׁית עָשָׂר זִמְנִין י'ו וְשִׁית עֲשָׂר זִמְנִין ו'י רָמִיז דִּילְהוֹן בְּאָת א' כְּגַוְנָא דָּא א' רָמִיז יוי דָּא אִיהוּ א ויי וַיִּיצֶר (חסר כאן))</w:t>
      </w:r>
      <w:r w:rsidRPr="00007309">
        <w:rPr>
          <w:rFonts w:cs="Arial" w:hint="cs"/>
          <w:b/>
          <w:bCs/>
          <w:sz w:val="24"/>
          <w:szCs w:val="24"/>
          <w:rtl/>
        </w:rPr>
        <w:t>.</w:t>
      </w:r>
    </w:p>
    <w:p w:rsidR="00007309" w:rsidRPr="00007309" w:rsidRDefault="00007309" w:rsidP="00007309">
      <w:pPr>
        <w:jc w:val="both"/>
        <w:rPr>
          <w:rFonts w:cs="Arial"/>
          <w:b/>
          <w:bCs/>
          <w:sz w:val="24"/>
          <w:szCs w:val="24"/>
        </w:rPr>
      </w:pPr>
      <w:r w:rsidRPr="00007309">
        <w:rPr>
          <w:rFonts w:cs="Arial"/>
          <w:b/>
          <w:bCs/>
          <w:sz w:val="36"/>
          <w:szCs w:val="28"/>
          <w:vertAlign w:val="superscript"/>
          <w:rtl/>
        </w:rPr>
        <w:footnoteReference w:id="6937"/>
      </w:r>
      <w:r w:rsidRPr="00007309">
        <w:rPr>
          <w:rFonts w:cs="Arial"/>
          <w:b/>
          <w:bCs/>
          <w:sz w:val="24"/>
          <w:szCs w:val="24"/>
          <w:rtl/>
        </w:rPr>
        <w:t xml:space="preserve">חָסֵר מ"ד משמים חשבונו שמו. (ונ"א א' מן מ"ה נשאר דם אֶחָד שְׁמוֹ לְחֻשְׁבַּן שָׁמַיִם) בֵּהּ אֻמָּאָה (ישעיה סג) כִּי יוֹם נָקָם בְּלִבִּ'י כְּחֻשְׁבַּן ד'ם, לְקַיֵּם בֵּהּ כִּי דַּם עֲבָדָיו יִקֹּם. שמ'ו עִם דָּם שָׁמַיִם. חָסֵר חַד למ"ה חַד </w:t>
      </w:r>
      <w:r w:rsidRPr="00007309">
        <w:rPr>
          <w:rFonts w:cs="Arial"/>
          <w:b/>
          <w:bCs/>
          <w:sz w:val="36"/>
          <w:szCs w:val="28"/>
          <w:vertAlign w:val="superscript"/>
          <w:rtl/>
        </w:rPr>
        <w:footnoteReference w:id="6938"/>
      </w:r>
      <w:r w:rsidRPr="00007309">
        <w:rPr>
          <w:rFonts w:cs="Arial"/>
          <w:b/>
          <w:bCs/>
          <w:sz w:val="24"/>
          <w:szCs w:val="24"/>
          <w:rtl/>
        </w:rPr>
        <w:t>בְּתוֹסֶפֶת א' לְאַחֲזָאָה דְּכֹלָּא חַד. הָא הָכָא רָזָא דִּתְלַת שְׁמָהָן</w:t>
      </w:r>
      <w:r w:rsidRPr="00007309">
        <w:rPr>
          <w:rFonts w:cs="Arial" w:hint="cs"/>
          <w:b/>
          <w:bCs/>
          <w:sz w:val="24"/>
          <w:szCs w:val="24"/>
          <w:rtl/>
        </w:rPr>
        <w:t>,</w:t>
      </w:r>
      <w:r w:rsidRPr="00007309">
        <w:rPr>
          <w:rFonts w:cs="Arial"/>
          <w:b/>
          <w:bCs/>
          <w:sz w:val="24"/>
          <w:szCs w:val="24"/>
          <w:rtl/>
        </w:rPr>
        <w:t xml:space="preserve"> יְה"וּ מְשֻׁלָּשִׁים. וּמִתַּמָּן בָּנֵי חַיֵּי וּמְזוֹנֵי. חַיֵּי, וְהָחָכְמָה תְּחַיֶּה בְּעָלֶיהָ. מְזוֹנֵי</w:t>
      </w:r>
      <w:r w:rsidRPr="00007309">
        <w:rPr>
          <w:rFonts w:cs="Arial" w:hint="cs"/>
          <w:b/>
          <w:bCs/>
          <w:sz w:val="24"/>
          <w:szCs w:val="24"/>
          <w:rtl/>
        </w:rPr>
        <w:t>,</w:t>
      </w:r>
      <w:r w:rsidRPr="00007309">
        <w:rPr>
          <w:rFonts w:cs="Arial"/>
          <w:b/>
          <w:bCs/>
          <w:sz w:val="24"/>
          <w:szCs w:val="24"/>
          <w:rtl/>
        </w:rPr>
        <w:t xml:space="preserve"> פּוֹתֵחַ אֶת יָדֶיךָ וּמַשְׂבִּיעַ לְכָל חַי רָצוֹן</w:t>
      </w:r>
      <w:r w:rsidRPr="00007309">
        <w:rPr>
          <w:rFonts w:cs="Arial" w:hint="cs"/>
          <w:b/>
          <w:bCs/>
          <w:sz w:val="24"/>
          <w:szCs w:val="24"/>
          <w:rtl/>
        </w:rPr>
        <w:t xml:space="preserve">, </w:t>
      </w:r>
      <w:r w:rsidRPr="00007309">
        <w:rPr>
          <w:rFonts w:cs="Arial"/>
          <w:b/>
          <w:bCs/>
          <w:sz w:val="36"/>
          <w:szCs w:val="28"/>
          <w:vertAlign w:val="superscript"/>
          <w:rtl/>
        </w:rPr>
        <w:footnoteReference w:id="6939"/>
      </w:r>
      <w:r w:rsidRPr="00007309">
        <w:rPr>
          <w:rFonts w:cs="Arial"/>
          <w:b/>
          <w:bCs/>
          <w:sz w:val="24"/>
          <w:szCs w:val="24"/>
          <w:rtl/>
        </w:rPr>
        <w:t xml:space="preserve">וְאִיהוּ אִמָּא עִלָּאָה. </w:t>
      </w:r>
      <w:r w:rsidRPr="00007309">
        <w:rPr>
          <w:rFonts w:cs="Arial"/>
          <w:b/>
          <w:bCs/>
          <w:sz w:val="36"/>
          <w:szCs w:val="28"/>
          <w:vertAlign w:val="superscript"/>
          <w:rtl/>
        </w:rPr>
        <w:footnoteReference w:id="6940"/>
      </w:r>
      <w:r w:rsidRPr="00007309">
        <w:rPr>
          <w:rFonts w:cs="Arial"/>
          <w:b/>
          <w:bCs/>
          <w:sz w:val="24"/>
          <w:szCs w:val="24"/>
          <w:rtl/>
        </w:rPr>
        <w:t xml:space="preserve">בָּנֵי, </w:t>
      </w:r>
      <w:r w:rsidRPr="00007309">
        <w:rPr>
          <w:rFonts w:cs="Arial" w:hint="cs"/>
          <w:b/>
          <w:bCs/>
          <w:sz w:val="24"/>
          <w:szCs w:val="24"/>
          <w:rtl/>
        </w:rPr>
        <w:t>ב</w:t>
      </w:r>
      <w:r w:rsidRPr="00007309">
        <w:rPr>
          <w:rFonts w:cs="Arial"/>
          <w:b/>
          <w:bCs/>
          <w:sz w:val="24"/>
          <w:szCs w:val="24"/>
          <w:rtl/>
        </w:rPr>
        <w:t xml:space="preserve">ֵּן יָהּ. </w:t>
      </w:r>
      <w:r w:rsidRPr="00007309">
        <w:rPr>
          <w:rFonts w:cs="Arial"/>
          <w:b/>
          <w:bCs/>
          <w:sz w:val="36"/>
          <w:szCs w:val="28"/>
          <w:vertAlign w:val="superscript"/>
          <w:rtl/>
        </w:rPr>
        <w:footnoteReference w:id="6941"/>
      </w:r>
      <w:r w:rsidRPr="00007309">
        <w:rPr>
          <w:rFonts w:cs="Arial"/>
          <w:b/>
          <w:bCs/>
          <w:sz w:val="24"/>
          <w:szCs w:val="24"/>
          <w:rtl/>
        </w:rPr>
        <w:t>וְאִיהוּ יָד רָמָה</w:t>
      </w:r>
      <w:r w:rsidRPr="00007309">
        <w:rPr>
          <w:rFonts w:cs="Arial" w:hint="cs"/>
          <w:b/>
          <w:bCs/>
          <w:sz w:val="24"/>
          <w:szCs w:val="24"/>
          <w:rtl/>
        </w:rPr>
        <w:t>,</w:t>
      </w:r>
      <w:r w:rsidRPr="00007309">
        <w:rPr>
          <w:rFonts w:cs="Arial"/>
          <w:b/>
          <w:bCs/>
          <w:sz w:val="24"/>
          <w:szCs w:val="24"/>
          <w:rtl/>
        </w:rPr>
        <w:t xml:space="preserve"> בִּינָה</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6942"/>
      </w:r>
      <w:r w:rsidRPr="00007309">
        <w:rPr>
          <w:rFonts w:cs="Arial"/>
          <w:b/>
          <w:bCs/>
          <w:sz w:val="24"/>
          <w:szCs w:val="24"/>
          <w:rtl/>
        </w:rPr>
        <w:t>דְּאַתְוָן דִּילָהּ יה'ו</w:t>
      </w:r>
      <w:r w:rsidRPr="00007309">
        <w:rPr>
          <w:rFonts w:cs="Arial" w:hint="cs"/>
          <w:b/>
          <w:bCs/>
          <w:sz w:val="24"/>
          <w:szCs w:val="24"/>
          <w:rtl/>
        </w:rPr>
        <w:t>.</w:t>
      </w:r>
      <w:r w:rsidRPr="00007309">
        <w:rPr>
          <w:rFonts w:cs="Arial"/>
          <w:b/>
          <w:bCs/>
          <w:sz w:val="24"/>
          <w:szCs w:val="24"/>
          <w:rtl/>
        </w:rPr>
        <w:t xml:space="preserve"> וּמִן</w:t>
      </w:r>
      <w:r w:rsidRPr="00007309">
        <w:rPr>
          <w:rFonts w:cs="Arial" w:hint="cs"/>
          <w:b/>
          <w:bCs/>
          <w:sz w:val="24"/>
          <w:szCs w:val="24"/>
          <w:rtl/>
        </w:rPr>
        <w:t xml:space="preserve"> </w:t>
      </w:r>
      <w:r w:rsidRPr="00007309">
        <w:rPr>
          <w:rFonts w:cs="Arial"/>
          <w:b/>
          <w:bCs/>
          <w:sz w:val="36"/>
          <w:szCs w:val="28"/>
          <w:vertAlign w:val="superscript"/>
          <w:rtl/>
        </w:rPr>
        <w:footnoteReference w:id="6943"/>
      </w:r>
      <w:r w:rsidRPr="00007309">
        <w:rPr>
          <w:rFonts w:cs="Arial"/>
          <w:b/>
          <w:bCs/>
          <w:sz w:val="24"/>
          <w:szCs w:val="24"/>
          <w:rtl/>
        </w:rPr>
        <w:t xml:space="preserve">יו"ד נָפִיק יהו'ה. </w:t>
      </w:r>
      <w:r w:rsidRPr="00007309">
        <w:rPr>
          <w:rFonts w:cs="Arial"/>
          <w:b/>
          <w:bCs/>
          <w:sz w:val="36"/>
          <w:szCs w:val="28"/>
          <w:vertAlign w:val="superscript"/>
          <w:rtl/>
        </w:rPr>
        <w:footnoteReference w:id="6944"/>
      </w:r>
      <w:r w:rsidRPr="00007309">
        <w:rPr>
          <w:rFonts w:cs="Arial"/>
          <w:b/>
          <w:bCs/>
          <w:sz w:val="24"/>
          <w:szCs w:val="24"/>
          <w:rtl/>
        </w:rPr>
        <w:t>וּמִן ה' נָפִיק אֱלֹהֵינוּ</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6945"/>
      </w:r>
      <w:r w:rsidRPr="00007309">
        <w:rPr>
          <w:rFonts w:cs="Arial"/>
          <w:b/>
          <w:bCs/>
          <w:sz w:val="24"/>
          <w:szCs w:val="24"/>
          <w:rtl/>
        </w:rPr>
        <w:t>וּמִן וָא"ו</w:t>
      </w:r>
      <w:r w:rsidRPr="00007309">
        <w:rPr>
          <w:rFonts w:cs="Arial" w:hint="cs"/>
          <w:b/>
          <w:bCs/>
          <w:sz w:val="24"/>
          <w:szCs w:val="24"/>
          <w:rtl/>
        </w:rPr>
        <w:t xml:space="preserve"> </w:t>
      </w:r>
      <w:r w:rsidRPr="00007309">
        <w:rPr>
          <w:rFonts w:cs="Arial"/>
          <w:b/>
          <w:bCs/>
          <w:sz w:val="24"/>
          <w:szCs w:val="24"/>
          <w:rtl/>
        </w:rPr>
        <w:t>יהו'ה</w:t>
      </w:r>
      <w:r w:rsidRPr="00007309">
        <w:rPr>
          <w:rFonts w:cs="Arial" w:hint="cs"/>
          <w:b/>
          <w:bCs/>
          <w:sz w:val="24"/>
          <w:szCs w:val="24"/>
          <w:rtl/>
        </w:rPr>
        <w:t>.</w:t>
      </w:r>
      <w:r w:rsidRPr="00007309">
        <w:rPr>
          <w:rFonts w:cs="Arial"/>
          <w:b/>
          <w:bCs/>
          <w:sz w:val="24"/>
          <w:szCs w:val="24"/>
          <w:rtl/>
        </w:rPr>
        <w:t xml:space="preserve"> דְּאִנּוּן י"ד אַתְוָן, וּרְמִיזִין בִּקְרִיאַת שְׁמַע</w:t>
      </w:r>
      <w:r w:rsidRPr="00007309">
        <w:rPr>
          <w:rFonts w:cs="Arial" w:hint="cs"/>
          <w:b/>
          <w:bCs/>
          <w:sz w:val="24"/>
          <w:szCs w:val="24"/>
          <w:rtl/>
        </w:rPr>
        <w:t>,</w:t>
      </w:r>
      <w:r w:rsidRPr="00007309">
        <w:rPr>
          <w:rFonts w:cs="Arial"/>
          <w:b/>
          <w:bCs/>
          <w:sz w:val="24"/>
          <w:szCs w:val="24"/>
          <w:rtl/>
        </w:rPr>
        <w:t xml:space="preserve"> דְּתַמָּן יהו'ה אֱלֹהֵינוּ יהו'ה</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6946"/>
      </w:r>
      <w:r w:rsidRPr="00007309">
        <w:rPr>
          <w:rFonts w:cs="Arial"/>
          <w:b/>
          <w:bCs/>
          <w:sz w:val="24"/>
          <w:szCs w:val="24"/>
          <w:rtl/>
        </w:rPr>
        <w:t xml:space="preserve">וְכֹלָּא אֶחָד. </w:t>
      </w:r>
      <w:r w:rsidRPr="00007309">
        <w:rPr>
          <w:rFonts w:cs="Arial"/>
          <w:b/>
          <w:bCs/>
          <w:sz w:val="36"/>
          <w:szCs w:val="28"/>
          <w:vertAlign w:val="superscript"/>
          <w:rtl/>
        </w:rPr>
        <w:footnoteReference w:id="6947"/>
      </w:r>
      <w:r w:rsidRPr="00007309">
        <w:rPr>
          <w:rFonts w:cs="Arial"/>
          <w:b/>
          <w:bCs/>
          <w:sz w:val="24"/>
          <w:szCs w:val="24"/>
          <w:rtl/>
        </w:rPr>
        <w:t>ה'ה'ה' שְׁכִינְתָּא תַּתָּאָה</w:t>
      </w:r>
      <w:r w:rsidRPr="00007309">
        <w:rPr>
          <w:rFonts w:cs="Arial" w:hint="cs"/>
          <w:b/>
          <w:bCs/>
          <w:sz w:val="24"/>
          <w:szCs w:val="24"/>
          <w:rtl/>
        </w:rPr>
        <w:t>,</w:t>
      </w:r>
      <w:r w:rsidRPr="00007309">
        <w:rPr>
          <w:rFonts w:cs="Arial"/>
          <w:b/>
          <w:bCs/>
          <w:sz w:val="24"/>
          <w:szCs w:val="24"/>
          <w:rtl/>
        </w:rPr>
        <w:t xml:space="preserve"> שְׁלִימוּ דִּתְלָת יְה"וּ יְה"וּ יְה"וּ, דִּרְמִיזוּ דִּילְהוֹן אֶהְיֶ"ה אֶהְיֶ"ה אֶהְיֶ"ה</w:t>
      </w:r>
      <w:r w:rsidRPr="00007309">
        <w:rPr>
          <w:rFonts w:cs="Arial" w:hint="cs"/>
          <w:b/>
          <w:bCs/>
          <w:sz w:val="24"/>
          <w:szCs w:val="24"/>
          <w:rtl/>
        </w:rPr>
        <w:t>,</w:t>
      </w:r>
      <w:r w:rsidRPr="00007309">
        <w:rPr>
          <w:rFonts w:cs="Arial"/>
          <w:b/>
          <w:bCs/>
          <w:sz w:val="24"/>
          <w:szCs w:val="24"/>
          <w:rtl/>
        </w:rPr>
        <w:t xml:space="preserve"> דְּאִתְּ</w:t>
      </w:r>
      <w:r w:rsidRPr="00007309">
        <w:rPr>
          <w:rFonts w:cs="Arial" w:hint="cs"/>
          <w:b/>
          <w:bCs/>
          <w:sz w:val="24"/>
          <w:szCs w:val="24"/>
          <w:rtl/>
        </w:rPr>
        <w:t>א</w:t>
      </w:r>
      <w:r w:rsidRPr="00007309">
        <w:rPr>
          <w:rFonts w:cs="Arial"/>
          <w:b/>
          <w:bCs/>
          <w:sz w:val="24"/>
          <w:szCs w:val="24"/>
          <w:rtl/>
        </w:rPr>
        <w:t>ַמַר לְמֹשֶׁה רְמִיזוּ דִּילְהוֹן בִּקְרָא דָּא (שמות ג) וַיֹּאמֶר</w:t>
      </w:r>
      <w:r w:rsidRPr="00007309">
        <w:rPr>
          <w:rFonts w:cs="Arial"/>
          <w:b/>
          <w:bCs/>
          <w:sz w:val="24"/>
          <w:szCs w:val="24"/>
        </w:rPr>
        <w:t xml:space="preserve"> </w:t>
      </w:r>
      <w:r w:rsidRPr="00007309">
        <w:rPr>
          <w:rFonts w:cs="Arial"/>
          <w:b/>
          <w:bCs/>
          <w:sz w:val="24"/>
          <w:szCs w:val="24"/>
          <w:rtl/>
        </w:rPr>
        <w:t>אֱלֹהִים אֶל מֹשֶׁה אֶהְיֶ"ה אֲשֶׁר אֶהְיֶ"ה וַיֹּאמֶר כֹּה תֹּאמַר אֶל בְּנֵי יִשְׂרָאֵל אֶהְיֶ"ה שְׁלַחַנִי אֲלֵיכֶם</w:t>
      </w:r>
      <w:r w:rsidRPr="00007309">
        <w:rPr>
          <w:rFonts w:cs="Arial" w:hint="cs"/>
          <w:b/>
          <w:bCs/>
          <w:sz w:val="24"/>
          <w:szCs w:val="24"/>
          <w:rtl/>
        </w:rPr>
        <w:t xml:space="preserve">: </w:t>
      </w:r>
      <w:r w:rsidRPr="00007309">
        <w:rPr>
          <w:rFonts w:cs="Arial" w:hint="cs"/>
          <w:sz w:val="24"/>
          <w:szCs w:val="24"/>
          <w:rtl/>
        </w:rPr>
        <w:t>(השורה שהיתה פה: שמא דאיהו י"ו וכו', תמצאנה לעיל לפני הפסקה הקודמת)</w:t>
      </w:r>
      <w:r w:rsidRPr="00007309">
        <w:rPr>
          <w:rFonts w:cs="Arial" w:hint="cs"/>
          <w:b/>
          <w:bCs/>
          <w:sz w:val="24"/>
          <w:szCs w:val="24"/>
          <w:rtl/>
        </w:rPr>
        <w:t>.</w:t>
      </w:r>
    </w:p>
    <w:p w:rsidR="00007309" w:rsidRPr="00007309" w:rsidRDefault="00007309" w:rsidP="00007309">
      <w:pPr>
        <w:jc w:val="both"/>
        <w:rPr>
          <w:rFonts w:cs="Arial"/>
          <w:b/>
          <w:bCs/>
          <w:sz w:val="24"/>
          <w:szCs w:val="24"/>
        </w:rPr>
      </w:pPr>
      <w:r w:rsidRPr="00007309">
        <w:rPr>
          <w:rFonts w:cs="Arial"/>
          <w:b/>
          <w:bCs/>
          <w:sz w:val="24"/>
          <w:szCs w:val="24"/>
          <w:rtl/>
        </w:rPr>
        <w:t xml:space="preserve">וְעוֹד וְהַמַּשְׂכִּילִים יַזְהִרוּ, </w:t>
      </w:r>
      <w:r w:rsidRPr="00007309">
        <w:rPr>
          <w:rFonts w:cs="Arial"/>
          <w:b/>
          <w:bCs/>
          <w:sz w:val="36"/>
          <w:szCs w:val="28"/>
          <w:vertAlign w:val="superscript"/>
          <w:rtl/>
        </w:rPr>
        <w:footnoteReference w:id="6948"/>
      </w:r>
      <w:r w:rsidRPr="00007309">
        <w:rPr>
          <w:rFonts w:cs="Arial"/>
          <w:b/>
          <w:bCs/>
          <w:sz w:val="24"/>
          <w:szCs w:val="24"/>
          <w:rtl/>
        </w:rPr>
        <w:t xml:space="preserve">אִלֵּין ס' רִבּוֹא מָארֵי מַתְנִיתִין דִּלְעֵלָּא. </w:t>
      </w:r>
      <w:r w:rsidRPr="00007309">
        <w:rPr>
          <w:rFonts w:cs="Arial"/>
          <w:b/>
          <w:bCs/>
          <w:sz w:val="36"/>
          <w:szCs w:val="28"/>
          <w:vertAlign w:val="superscript"/>
          <w:rtl/>
        </w:rPr>
        <w:footnoteReference w:id="6949"/>
      </w:r>
      <w:r w:rsidRPr="00007309">
        <w:rPr>
          <w:rFonts w:cs="Arial"/>
          <w:b/>
          <w:bCs/>
          <w:sz w:val="24"/>
          <w:szCs w:val="24"/>
          <w:rtl/>
        </w:rPr>
        <w:t>וְאִלֵּין ס' רִבּוֹא מָארֵי מַתְנִיתִין דִּלְתַתָּא. וְאִלֵּין ס' רִבּוֹא דְּמַלְאָכִין. וְאִלֵּין ס' רִבּוֹא דְּכוֹכְבַיָּא</w:t>
      </w:r>
      <w:r w:rsidRPr="00007309">
        <w:rPr>
          <w:rFonts w:cs="Arial"/>
          <w:b/>
          <w:bCs/>
          <w:sz w:val="24"/>
          <w:szCs w:val="24"/>
        </w:rPr>
        <w:t>.</w:t>
      </w:r>
      <w:r w:rsidRPr="00007309">
        <w:rPr>
          <w:rFonts w:cs="Arial" w:hint="cs"/>
          <w:b/>
          <w:bCs/>
          <w:sz w:val="24"/>
          <w:szCs w:val="24"/>
          <w:rtl/>
        </w:rPr>
        <w:t xml:space="preserve"> </w:t>
      </w:r>
      <w:r w:rsidRPr="00007309">
        <w:rPr>
          <w:rFonts w:cs="Arial"/>
          <w:b/>
          <w:bCs/>
          <w:sz w:val="24"/>
          <w:szCs w:val="24"/>
          <w:rtl/>
        </w:rPr>
        <w:t xml:space="preserve">כֻּלְּהוּ יַזְהִרוּ </w:t>
      </w:r>
      <w:r w:rsidRPr="00007309">
        <w:rPr>
          <w:rFonts w:cs="Arial"/>
          <w:b/>
          <w:bCs/>
          <w:sz w:val="36"/>
          <w:szCs w:val="28"/>
          <w:vertAlign w:val="superscript"/>
          <w:rtl/>
        </w:rPr>
        <w:footnoteReference w:id="6950"/>
      </w:r>
      <w:r w:rsidRPr="00007309">
        <w:rPr>
          <w:rFonts w:cs="Arial" w:hint="cs"/>
          <w:b/>
          <w:bCs/>
          <w:sz w:val="24"/>
          <w:szCs w:val="24"/>
          <w:rtl/>
        </w:rPr>
        <w:t>כ</w:t>
      </w:r>
      <w:r w:rsidRPr="00007309">
        <w:rPr>
          <w:rFonts w:cs="Arial"/>
          <w:b/>
          <w:bCs/>
          <w:sz w:val="24"/>
          <w:szCs w:val="24"/>
          <w:rtl/>
        </w:rPr>
        <w:t xml:space="preserve">ְּהַהוּא דְּאִתְּמַר פְּנֵי מֹשֶׁה כִּפְנֵי חַמָּה. כֻּלְּהוּ יַזְהִרוּ בְּחִבּוּרָא דָּא. </w:t>
      </w:r>
      <w:r w:rsidRPr="00007309">
        <w:rPr>
          <w:rFonts w:cs="Arial"/>
          <w:b/>
          <w:bCs/>
          <w:sz w:val="36"/>
          <w:szCs w:val="28"/>
          <w:vertAlign w:val="superscript"/>
          <w:rtl/>
        </w:rPr>
        <w:footnoteReference w:id="6951"/>
      </w:r>
      <w:r w:rsidRPr="00007309">
        <w:rPr>
          <w:rFonts w:cs="Arial"/>
          <w:b/>
          <w:bCs/>
          <w:sz w:val="24"/>
          <w:szCs w:val="24"/>
          <w:rtl/>
        </w:rPr>
        <w:t>בֵּהּ יַזְהִרוּ בְּמִלּוּלֵהּ. כֻּלְּהוּ יַזְהִרוּ בִּכְתִיבָתֵהּ. בְּהַאי סִפְרָא כְּזֹהַר הָרָקִיעַ. וְעַל שְׁמֵהּ אִתְקְרֵי סֵפֶר הַזֹּהַר</w:t>
      </w:r>
      <w:r w:rsidRPr="00007309">
        <w:rPr>
          <w:rFonts w:cs="Arial" w:hint="cs"/>
          <w:b/>
          <w:bCs/>
          <w:sz w:val="24"/>
          <w:szCs w:val="24"/>
          <w:rtl/>
        </w:rPr>
        <w:t>,</w:t>
      </w:r>
      <w:r w:rsidRPr="00007309">
        <w:rPr>
          <w:rFonts w:cs="Arial"/>
          <w:b/>
          <w:bCs/>
          <w:sz w:val="24"/>
          <w:szCs w:val="24"/>
          <w:rtl/>
        </w:rPr>
        <w:t xml:space="preserve"> בְּדִיּוֹקְנָא דְּעַמּוּדָא דְּאֶמְצָעִיתָא, </w:t>
      </w:r>
      <w:r w:rsidRPr="00007309">
        <w:rPr>
          <w:rFonts w:cs="Arial"/>
          <w:b/>
          <w:bCs/>
          <w:sz w:val="36"/>
          <w:szCs w:val="28"/>
          <w:vertAlign w:val="superscript"/>
          <w:rtl/>
        </w:rPr>
        <w:footnoteReference w:id="6952"/>
      </w:r>
      <w:r w:rsidRPr="00007309">
        <w:rPr>
          <w:rFonts w:cs="Arial"/>
          <w:b/>
          <w:bCs/>
          <w:sz w:val="24"/>
          <w:szCs w:val="24"/>
          <w:rtl/>
        </w:rPr>
        <w:t xml:space="preserve">דְּאִיהוּ סֵפֶר דְּזֹהַר דִּילֵהּ מֵאִמָּא עִלָּאָה דְּאִיהוּ זֹהַר. </w:t>
      </w:r>
      <w:r w:rsidRPr="00007309">
        <w:rPr>
          <w:rFonts w:cs="Arial"/>
          <w:b/>
          <w:bCs/>
          <w:sz w:val="36"/>
          <w:szCs w:val="28"/>
          <w:vertAlign w:val="superscript"/>
          <w:rtl/>
        </w:rPr>
        <w:footnoteReference w:id="6953"/>
      </w:r>
      <w:r w:rsidRPr="00007309">
        <w:rPr>
          <w:rFonts w:cs="Arial"/>
          <w:b/>
          <w:bCs/>
          <w:sz w:val="24"/>
          <w:szCs w:val="24"/>
          <w:rtl/>
        </w:rPr>
        <w:t xml:space="preserve">וּבֵהּ אוֹקְמוּהּ רַבָּנָן אֵיזֶהוּ חָכָם הַמֵּבִין דָּבָר מִתּוֹךְ דָּבָר. וְאִיהוּ זֹהַר דְּנַהֲרָא </w:t>
      </w:r>
      <w:r w:rsidRPr="00007309">
        <w:rPr>
          <w:rFonts w:cs="Arial"/>
          <w:b/>
          <w:bCs/>
          <w:sz w:val="36"/>
          <w:szCs w:val="28"/>
          <w:vertAlign w:val="superscript"/>
          <w:rtl/>
        </w:rPr>
        <w:footnoteReference w:id="6954"/>
      </w:r>
      <w:r w:rsidRPr="00007309">
        <w:rPr>
          <w:rFonts w:cs="Arial"/>
          <w:b/>
          <w:bCs/>
          <w:sz w:val="24"/>
          <w:szCs w:val="24"/>
          <w:rtl/>
        </w:rPr>
        <w:t xml:space="preserve">בְּלֵב דְּרָעֲיָא מְהֵימָנָא, זָהֳרָא </w:t>
      </w:r>
      <w:r w:rsidRPr="00007309">
        <w:rPr>
          <w:rFonts w:cs="Arial"/>
          <w:b/>
          <w:bCs/>
          <w:sz w:val="36"/>
          <w:szCs w:val="28"/>
          <w:vertAlign w:val="superscript"/>
          <w:rtl/>
        </w:rPr>
        <w:footnoteReference w:id="6955"/>
      </w:r>
      <w:r w:rsidRPr="00007309">
        <w:rPr>
          <w:rFonts w:cs="Arial"/>
          <w:b/>
          <w:bCs/>
          <w:sz w:val="24"/>
          <w:szCs w:val="24"/>
          <w:rtl/>
        </w:rPr>
        <w:t>בְּל</w:t>
      </w:r>
      <w:r w:rsidRPr="00007309">
        <w:rPr>
          <w:rFonts w:cs="Arial"/>
          <w:b/>
          <w:bCs/>
          <w:sz w:val="24"/>
          <w:szCs w:val="24"/>
        </w:rPr>
        <w:t>"</w:t>
      </w:r>
      <w:r w:rsidRPr="00007309">
        <w:rPr>
          <w:rFonts w:cs="Arial"/>
          <w:b/>
          <w:bCs/>
          <w:sz w:val="24"/>
          <w:szCs w:val="24"/>
          <w:rtl/>
        </w:rPr>
        <w:t xml:space="preserve">ב אֱלֹהִים דְּעוֹבָדָא דִּבְרֵאשִׁית. </w:t>
      </w:r>
      <w:r w:rsidRPr="00007309">
        <w:rPr>
          <w:rFonts w:cs="Arial"/>
          <w:b/>
          <w:bCs/>
          <w:sz w:val="36"/>
          <w:szCs w:val="28"/>
          <w:vertAlign w:val="superscript"/>
          <w:rtl/>
        </w:rPr>
        <w:footnoteReference w:id="6956"/>
      </w:r>
      <w:r w:rsidRPr="00007309">
        <w:rPr>
          <w:rFonts w:cs="Arial"/>
          <w:b/>
          <w:bCs/>
          <w:sz w:val="24"/>
          <w:szCs w:val="24"/>
          <w:rtl/>
        </w:rPr>
        <w:t xml:space="preserve">וְעַמּוּדָא דְּאֶמְצָעִיתָא אִתְקְרֵי עִלָּאָה עַל שִׁית רְקִיעִין, תְּלָת מִכָּאן וּתְלָת מִכָּאן, </w:t>
      </w:r>
      <w:r w:rsidRPr="00007309">
        <w:rPr>
          <w:rFonts w:cs="Arial"/>
          <w:b/>
          <w:bCs/>
          <w:sz w:val="36"/>
          <w:szCs w:val="28"/>
          <w:vertAlign w:val="superscript"/>
          <w:rtl/>
        </w:rPr>
        <w:footnoteReference w:id="6957"/>
      </w:r>
      <w:r w:rsidRPr="00007309">
        <w:rPr>
          <w:rFonts w:cs="Arial"/>
          <w:b/>
          <w:bCs/>
          <w:sz w:val="24"/>
          <w:szCs w:val="24"/>
          <w:rtl/>
        </w:rPr>
        <w:t xml:space="preserve">וְאִיהוּ בְּאֶמְצָעִיתָא, רְבִיעָאָה לְכָל תְּלָת וּשְׁבִיעָאָה לְכָל שִׁית. וְעָלֵהּ אִתְּמַר (בראשית א) וַיִּקְרָא אֱלֹהִים לָרָקִיעַ שָׁמַיִם, </w:t>
      </w:r>
      <w:r w:rsidRPr="00007309">
        <w:rPr>
          <w:rFonts w:cs="Arial"/>
          <w:b/>
          <w:bCs/>
          <w:sz w:val="36"/>
          <w:szCs w:val="28"/>
          <w:vertAlign w:val="superscript"/>
          <w:rtl/>
        </w:rPr>
        <w:footnoteReference w:id="6958"/>
      </w:r>
      <w:r w:rsidRPr="00007309">
        <w:rPr>
          <w:rFonts w:cs="Arial"/>
          <w:b/>
          <w:bCs/>
          <w:sz w:val="24"/>
          <w:szCs w:val="24"/>
          <w:rtl/>
        </w:rPr>
        <w:t xml:space="preserve">כָּלִיל אֵשׁ וּמַיִם, </w:t>
      </w:r>
      <w:r w:rsidRPr="00007309">
        <w:rPr>
          <w:rFonts w:cs="Arial"/>
          <w:b/>
          <w:bCs/>
          <w:sz w:val="36"/>
          <w:szCs w:val="28"/>
          <w:vertAlign w:val="superscript"/>
          <w:rtl/>
        </w:rPr>
        <w:footnoteReference w:id="6959"/>
      </w:r>
      <w:r w:rsidRPr="00007309">
        <w:rPr>
          <w:rFonts w:cs="Arial"/>
          <w:b/>
          <w:bCs/>
          <w:sz w:val="24"/>
          <w:szCs w:val="24"/>
          <w:rtl/>
        </w:rPr>
        <w:t>מַה דְּלָא קָרָא הָכֵי לִשְׁאָר רְקִיעִים אֶלָּא לֵהּ מַמָּשׁ וְרָעֲיָא מְהֵימָנָא בְּדִיּוֹקְנֵהּ</w:t>
      </w:r>
      <w:r w:rsidRPr="00007309">
        <w:rPr>
          <w:rFonts w:cs="Arial"/>
          <w:b/>
          <w:bCs/>
          <w:sz w:val="24"/>
          <w:szCs w:val="24"/>
        </w:rPr>
        <w:t>:</w:t>
      </w:r>
    </w:p>
    <w:p w:rsidR="00007309" w:rsidRPr="00007309" w:rsidRDefault="00007309" w:rsidP="00007309">
      <w:pPr>
        <w:keepNext/>
        <w:outlineLvl w:val="1"/>
        <w:rPr>
          <w:rFonts w:ascii="Cambria" w:hAnsi="Cambria" w:cs="Times New Roman"/>
          <w:b/>
          <w:bCs/>
          <w:i/>
          <w:iCs/>
          <w:sz w:val="28"/>
          <w:szCs w:val="28"/>
          <w:rtl/>
        </w:rPr>
      </w:pPr>
      <w:r w:rsidRPr="00007309">
        <w:rPr>
          <w:rFonts w:ascii="Cambria" w:hAnsi="Cambria" w:cs="Times New Roman"/>
          <w:b/>
          <w:bCs/>
          <w:i/>
          <w:iCs/>
          <w:sz w:val="28"/>
          <w:szCs w:val="28"/>
          <w:rtl/>
        </w:rPr>
        <w:t>[</w:t>
      </w:r>
      <w:r w:rsidRPr="00007309">
        <w:rPr>
          <w:rFonts w:ascii="Cambria" w:hAnsi="Cambria" w:cs="Times New Roman" w:hint="cs"/>
          <w:b/>
          <w:bCs/>
          <w:i/>
          <w:iCs/>
          <w:sz w:val="28"/>
          <w:szCs w:val="28"/>
          <w:rtl/>
        </w:rPr>
        <w:t>דף</w:t>
      </w:r>
      <w:r w:rsidRPr="00007309">
        <w:rPr>
          <w:rFonts w:ascii="Cambria" w:hAnsi="Cambria" w:cs="Times New Roman"/>
          <w:b/>
          <w:bCs/>
          <w:i/>
          <w:iCs/>
          <w:sz w:val="28"/>
          <w:szCs w:val="28"/>
          <w:rtl/>
        </w:rPr>
        <w:t xml:space="preserve"> ע</w:t>
      </w:r>
      <w:r w:rsidRPr="00007309">
        <w:rPr>
          <w:rFonts w:ascii="Cambria" w:hAnsi="Cambria" w:cs="Times New Roman" w:hint="cs"/>
          <w:b/>
          <w:bCs/>
          <w:i/>
          <w:iCs/>
          <w:sz w:val="28"/>
          <w:szCs w:val="28"/>
          <w:rtl/>
        </w:rPr>
        <w:t>ח</w:t>
      </w:r>
      <w:r w:rsidRPr="00007309">
        <w:rPr>
          <w:rFonts w:ascii="Cambria" w:hAnsi="Cambria" w:cs="Times New Roman"/>
          <w:b/>
          <w:bCs/>
          <w:i/>
          <w:iCs/>
          <w:sz w:val="28"/>
          <w:szCs w:val="28"/>
          <w:rtl/>
        </w:rPr>
        <w:t xml:space="preserve"> ע"</w:t>
      </w:r>
      <w:r w:rsidRPr="00007309">
        <w:rPr>
          <w:rFonts w:ascii="Cambria" w:hAnsi="Cambria" w:cs="Times New Roman" w:hint="cs"/>
          <w:b/>
          <w:bCs/>
          <w:i/>
          <w:iCs/>
          <w:sz w:val="28"/>
          <w:szCs w:val="28"/>
          <w:rtl/>
        </w:rPr>
        <w:t>ד</w:t>
      </w:r>
      <w:r w:rsidRPr="00007309">
        <w:rPr>
          <w:rFonts w:ascii="Cambria" w:hAnsi="Cambria" w:cs="Times New Roman"/>
          <w:b/>
          <w:bCs/>
          <w:i/>
          <w:iCs/>
          <w:sz w:val="28"/>
          <w:szCs w:val="28"/>
          <w:rtl/>
        </w:rPr>
        <w:t>]</w:t>
      </w:r>
    </w:p>
    <w:p w:rsidR="00007309" w:rsidRPr="00007309" w:rsidRDefault="00007309" w:rsidP="00007309">
      <w:pPr>
        <w:keepNext/>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 xml:space="preserve"> [וילנא יז ע"א]</w:t>
      </w:r>
    </w:p>
    <w:p w:rsidR="00007309" w:rsidRPr="00007309" w:rsidRDefault="00007309" w:rsidP="00007309">
      <w:pPr>
        <w:jc w:val="both"/>
        <w:rPr>
          <w:rFonts w:cs="Arial"/>
          <w:b/>
          <w:bCs/>
          <w:sz w:val="24"/>
          <w:szCs w:val="24"/>
        </w:rPr>
      </w:pPr>
      <w:r w:rsidRPr="00007309">
        <w:rPr>
          <w:rFonts w:cs="Arial"/>
          <w:b/>
          <w:bCs/>
          <w:sz w:val="24"/>
          <w:szCs w:val="24"/>
          <w:rtl/>
        </w:rPr>
        <w:t>פָּתַח וְאָמַר רִבּוֹן עָלְמִין יְהֵא רַעֲוָא דִּילָךְ לְאַכְלְלָא עִלָּאִין וְתַתָּאִין בְּסִפְרָא דָּא</w:t>
      </w:r>
      <w:r w:rsidRPr="00007309">
        <w:rPr>
          <w:rFonts w:cs="Arial" w:hint="cs"/>
          <w:b/>
          <w:bCs/>
          <w:sz w:val="24"/>
          <w:szCs w:val="24"/>
          <w:rtl/>
        </w:rPr>
        <w:t xml:space="preserve">, </w:t>
      </w:r>
      <w:r w:rsidRPr="00007309">
        <w:rPr>
          <w:rFonts w:cs="Arial"/>
          <w:b/>
          <w:bCs/>
          <w:sz w:val="24"/>
          <w:szCs w:val="24"/>
          <w:rtl/>
        </w:rPr>
        <w:t>וּלְאִשְׁתַּכְּחָא כָּל חַד וְחַד בֵּהּ</w:t>
      </w:r>
      <w:r w:rsidRPr="00007309">
        <w:rPr>
          <w:rFonts w:cs="Arial" w:hint="cs"/>
          <w:b/>
          <w:bCs/>
          <w:sz w:val="24"/>
          <w:szCs w:val="24"/>
          <w:rtl/>
        </w:rPr>
        <w:t>,</w:t>
      </w:r>
      <w:r w:rsidRPr="00007309">
        <w:rPr>
          <w:rFonts w:cs="Arial"/>
          <w:b/>
          <w:bCs/>
          <w:sz w:val="24"/>
          <w:szCs w:val="24"/>
          <w:rtl/>
        </w:rPr>
        <w:t xml:space="preserve"> בֵּין בִּכְתִיבָה בֵּין בְּדִבּוּרָא, בְּחֵילָא </w:t>
      </w:r>
      <w:r w:rsidRPr="00007309">
        <w:rPr>
          <w:rFonts w:ascii="Cambria" w:hAnsi="Cambria" w:cs="Times New Roman" w:hint="cs"/>
          <w:b/>
          <w:bCs/>
          <w:i/>
          <w:iCs/>
          <w:color w:val="4F81BD"/>
          <w:sz w:val="24"/>
          <w:szCs w:val="24"/>
          <w:rtl/>
        </w:rPr>
        <w:t>(עח ע"ד)</w:t>
      </w:r>
      <w:r w:rsidRPr="00007309">
        <w:rPr>
          <w:rFonts w:cs="Arial" w:hint="cs"/>
          <w:b/>
          <w:bCs/>
          <w:sz w:val="24"/>
          <w:szCs w:val="24"/>
          <w:rtl/>
        </w:rPr>
        <w:t xml:space="preserve"> </w:t>
      </w:r>
      <w:r w:rsidRPr="00007309">
        <w:rPr>
          <w:rFonts w:cs="Arial"/>
          <w:b/>
          <w:bCs/>
          <w:sz w:val="24"/>
          <w:szCs w:val="24"/>
          <w:rtl/>
        </w:rPr>
        <w:t>דִּשְׁמָךְ יהו'ה</w:t>
      </w:r>
      <w:r w:rsidRPr="00007309">
        <w:rPr>
          <w:rFonts w:cs="Arial" w:hint="cs"/>
          <w:b/>
          <w:bCs/>
          <w:sz w:val="24"/>
          <w:szCs w:val="24"/>
          <w:rtl/>
        </w:rPr>
        <w:t>,</w:t>
      </w:r>
      <w:r w:rsidRPr="00007309">
        <w:rPr>
          <w:rFonts w:cs="Arial"/>
          <w:b/>
          <w:bCs/>
          <w:sz w:val="24"/>
          <w:szCs w:val="24"/>
          <w:rtl/>
        </w:rPr>
        <w:t xml:space="preserve"> וּבְכָל הַוְיָן דְּנָהֲרִין מִנֵּהּ, וּבְכָל שְׁמָהָן וְכִנּוּיִין דִּילֵהּ</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6960"/>
      </w:r>
      <w:r w:rsidRPr="00007309">
        <w:rPr>
          <w:rFonts w:cs="Arial"/>
          <w:b/>
          <w:bCs/>
          <w:sz w:val="24"/>
          <w:szCs w:val="24"/>
          <w:rtl/>
        </w:rPr>
        <w:t xml:space="preserve">דְּכֻלְּהוּ יַזְהִרוּ מִנֵּהּ. </w:t>
      </w:r>
      <w:r w:rsidRPr="00007309">
        <w:rPr>
          <w:rFonts w:cs="Arial"/>
          <w:b/>
          <w:bCs/>
          <w:sz w:val="36"/>
          <w:szCs w:val="28"/>
          <w:vertAlign w:val="superscript"/>
          <w:rtl/>
        </w:rPr>
        <w:footnoteReference w:id="6961"/>
      </w:r>
      <w:r w:rsidRPr="00007309">
        <w:rPr>
          <w:rFonts w:cs="Arial" w:hint="cs"/>
          <w:b/>
          <w:bCs/>
          <w:sz w:val="24"/>
          <w:szCs w:val="24"/>
          <w:rtl/>
        </w:rPr>
        <w:t>ה</w:t>
      </w:r>
      <w:r w:rsidRPr="00007309">
        <w:rPr>
          <w:rFonts w:cs="Arial"/>
          <w:b/>
          <w:bCs/>
          <w:sz w:val="24"/>
          <w:szCs w:val="24"/>
          <w:rtl/>
        </w:rPr>
        <w:t>כי יְהוֹן כֻּלְּהוֹן עִלָּאִין וְתַתָּאִין דְּאִדְכְּרוּן בְּהַאי חִבּוּרָא, זְהִירִין מִשְּׁמָךְ וּמְהַוַיָן דִּילֵהּ</w:t>
      </w:r>
      <w:r w:rsidRPr="00007309">
        <w:rPr>
          <w:rFonts w:cs="Arial" w:hint="cs"/>
          <w:b/>
          <w:bCs/>
          <w:sz w:val="24"/>
          <w:szCs w:val="24"/>
          <w:rtl/>
        </w:rPr>
        <w:t>,</w:t>
      </w:r>
      <w:r w:rsidRPr="00007309">
        <w:rPr>
          <w:rFonts w:cs="Arial"/>
          <w:b/>
          <w:bCs/>
          <w:sz w:val="24"/>
          <w:szCs w:val="24"/>
          <w:rtl/>
        </w:rPr>
        <w:t xml:space="preserve"> כְּזֹהַר דְּנָהִיר בִּרְקִיעָא. וְהָב רְשׁוּ לְכָל מָאן דְּאַדְכִּיר בְּסִפְרָא דָּא בְּחֵילָא דִּשְׁמָךְ, לְאִזְדַּמְּנָא מִיָּד בֵּהּ כְּהֶרֶף עַיִן לְגַלָּאָה בֵּהּ כָּל חַד וְחַד מִלִּין יַקִּירִין וְרָזִין גְּנִיזִין, קַמֵּי שְׁכִינְתָּא דְּאִיהִי יְחִידָה בְּגָלוּתָא, לְאַנְהָרָא מִשְּׁמָךְ בְּהַאי חִבּוּרָא וּלְאִתְחַבְּרָא עִמָּךְ בְּהַאי חִבּוּרָא, </w:t>
      </w:r>
      <w:r w:rsidRPr="00007309">
        <w:rPr>
          <w:rFonts w:ascii="Cambria" w:hAnsi="Cambria" w:cs="Times New Roman" w:hint="cs"/>
          <w:b/>
          <w:bCs/>
          <w:i/>
          <w:iCs/>
          <w:color w:val="4F81BD"/>
          <w:sz w:val="24"/>
          <w:szCs w:val="24"/>
          <w:rtl/>
        </w:rPr>
        <w:t>(וילנא יז ע"א)</w:t>
      </w:r>
      <w:r w:rsidRPr="00007309">
        <w:rPr>
          <w:rFonts w:cs="Arial" w:hint="cs"/>
          <w:b/>
          <w:bCs/>
          <w:sz w:val="24"/>
          <w:szCs w:val="24"/>
          <w:rtl/>
        </w:rPr>
        <w:t xml:space="preserve"> </w:t>
      </w:r>
      <w:r w:rsidRPr="00007309">
        <w:rPr>
          <w:rFonts w:cs="Arial"/>
          <w:b/>
          <w:bCs/>
          <w:sz w:val="24"/>
          <w:szCs w:val="24"/>
          <w:rtl/>
        </w:rPr>
        <w:t>לְאִתְקַשְּׁרָא בֵּהּ לְגַבָּךְ בַּכְּמָה קִשּׁוּטִין, לְקַיִּם בֵּהּ (בראשית מ) וּרְאִיתִיהָ לִזְכֹּר בְּרִית עוֹלָם</w:t>
      </w:r>
      <w:r w:rsidRPr="00007309">
        <w:rPr>
          <w:rFonts w:cs="Arial"/>
          <w:b/>
          <w:bCs/>
          <w:sz w:val="24"/>
          <w:szCs w:val="24"/>
        </w:rPr>
        <w:t>:</w:t>
      </w:r>
    </w:p>
    <w:p w:rsidR="00007309" w:rsidRPr="00007309" w:rsidRDefault="00007309" w:rsidP="00007309">
      <w:pPr>
        <w:jc w:val="both"/>
        <w:rPr>
          <w:rFonts w:cs="Arial"/>
          <w:b/>
          <w:bCs/>
          <w:sz w:val="24"/>
          <w:szCs w:val="24"/>
          <w:rtl/>
        </w:rPr>
      </w:pPr>
      <w:r w:rsidRPr="00007309">
        <w:rPr>
          <w:rFonts w:cs="Arial"/>
          <w:b/>
          <w:bCs/>
          <w:sz w:val="24"/>
          <w:szCs w:val="24"/>
          <w:rtl/>
        </w:rPr>
        <w:t xml:space="preserve">קָם רָעֲיָא מְהֵימָנָא עַל רַגְלוֹי וְאָמַר </w:t>
      </w:r>
      <w:r w:rsidRPr="00007309">
        <w:rPr>
          <w:rFonts w:cs="Arial"/>
          <w:b/>
          <w:bCs/>
          <w:sz w:val="36"/>
          <w:szCs w:val="28"/>
          <w:vertAlign w:val="superscript"/>
          <w:rtl/>
        </w:rPr>
        <w:footnoteReference w:id="6962"/>
      </w:r>
      <w:r w:rsidRPr="00007309">
        <w:rPr>
          <w:rFonts w:cs="Arial"/>
          <w:b/>
          <w:bCs/>
          <w:sz w:val="24"/>
          <w:szCs w:val="24"/>
          <w:rtl/>
        </w:rPr>
        <w:t>רַעְיָן קַדִּישִׁין</w:t>
      </w:r>
      <w:r w:rsidRPr="00007309">
        <w:rPr>
          <w:rFonts w:cs="Arial" w:hint="cs"/>
          <w:b/>
          <w:bCs/>
          <w:sz w:val="24"/>
          <w:szCs w:val="24"/>
          <w:rtl/>
        </w:rPr>
        <w:t>,</w:t>
      </w:r>
      <w:r w:rsidRPr="00007309">
        <w:rPr>
          <w:rFonts w:cs="Arial"/>
          <w:b/>
          <w:bCs/>
          <w:sz w:val="24"/>
          <w:szCs w:val="24"/>
          <w:rtl/>
        </w:rPr>
        <w:t xml:space="preserve"> אַבְרָהָם יִצְחָק וְיַעֲקֹב וְאָדָם קַדְמָאָה וְאַהֲרֹן וְדָוִד וּשְׁלֹמֹה</w:t>
      </w:r>
      <w:r w:rsidRPr="00007309">
        <w:rPr>
          <w:rFonts w:cs="Arial" w:hint="cs"/>
          <w:b/>
          <w:bCs/>
          <w:sz w:val="24"/>
          <w:szCs w:val="24"/>
          <w:rtl/>
        </w:rPr>
        <w:t>,</w:t>
      </w:r>
      <w:r w:rsidRPr="00007309">
        <w:rPr>
          <w:rFonts w:cs="Arial"/>
          <w:b/>
          <w:bCs/>
          <w:sz w:val="24"/>
          <w:szCs w:val="24"/>
          <w:rtl/>
        </w:rPr>
        <w:t xml:space="preserve"> וְאַתְוָן דְּמִיכִין</w:t>
      </w:r>
      <w:r w:rsidRPr="00007309">
        <w:rPr>
          <w:rFonts w:cs="Arial" w:hint="cs"/>
          <w:b/>
          <w:bCs/>
          <w:sz w:val="24"/>
          <w:szCs w:val="24"/>
          <w:rtl/>
        </w:rPr>
        <w:t>,</w:t>
      </w:r>
      <w:r w:rsidRPr="00007309">
        <w:rPr>
          <w:rFonts w:cs="Arial"/>
          <w:b/>
          <w:bCs/>
          <w:sz w:val="24"/>
          <w:szCs w:val="24"/>
          <w:rtl/>
        </w:rPr>
        <w:t xml:space="preserve"> אִתְּעָרוּ לְגַבֵּי שְׁכִינְתָּא דְּאִתְּמַר בָּהּ</w:t>
      </w:r>
      <w:r w:rsidRPr="00007309">
        <w:rPr>
          <w:rFonts w:cs="Arial"/>
          <w:b/>
          <w:bCs/>
          <w:sz w:val="24"/>
          <w:szCs w:val="24"/>
        </w:rPr>
        <w:t xml:space="preserve">, </w:t>
      </w:r>
      <w:r w:rsidRPr="00007309">
        <w:rPr>
          <w:rFonts w:cs="Arial"/>
          <w:b/>
          <w:bCs/>
          <w:sz w:val="24"/>
          <w:szCs w:val="24"/>
          <w:rtl/>
        </w:rPr>
        <w:t>אֲנִי יְשֵׁנָה בְּגָלוּתָא בְּאִלֵּין דְּעַבְרִין עַל שְסָ"ה פִּקּוּדִין כְּחֻשְׁבַּן יְשֵׁנָ"ה. דְּהָא חֵיוָן בִּישִׁין וְדֻבִּין קָא אַתְיָן לְמֵיכַל עָאנָא דְּקוּדְשָׁא בְּרִיךְ הוּא דְּאִתְּמַר בְּהוֹן (יחזקאל לד) וָאֶתְּנָה צֹאנִי צֹאן מַרְעִיתִי. דִּכְעָן מָטָא זִמְנָא דְּאִתְּמַר בְּהוֹן (ישעיה ט) וַיֹּאכְלוּ אֶת יִשְׂרָאֵל בְּכָל פֶּה. דְּהָא בְּכָל דָּרָא וְדָרָא אַתּוּן סַבְלִין כַּמָּה דַּחֲקִין בְּגִינַיְהוּ בְּאֹרַח נִסְתָּר. וּבְחֵילָא דְּשֵׁם יהו'ה וּבְכָל הַוְיָן דִּילֵהּ, וּבְכָל כִּנּוּיִין קַדִּישִׁין וּדְכָיִ</w:t>
      </w:r>
      <w:r w:rsidRPr="00007309">
        <w:rPr>
          <w:rFonts w:cs="Arial" w:hint="cs"/>
          <w:b/>
          <w:bCs/>
          <w:sz w:val="24"/>
          <w:szCs w:val="24"/>
          <w:rtl/>
        </w:rPr>
        <w:t>ן</w:t>
      </w:r>
      <w:r w:rsidRPr="00007309">
        <w:rPr>
          <w:rFonts w:cs="Arial"/>
          <w:b/>
          <w:bCs/>
          <w:sz w:val="24"/>
          <w:szCs w:val="24"/>
          <w:rtl/>
        </w:rPr>
        <w:t xml:space="preserve"> דִּילֵהּ, יִתְעֲרוּן עִמְּכוֹן ס' רִבּוֹא מ"מ</w:t>
      </w:r>
      <w:r w:rsidRPr="00007309">
        <w:rPr>
          <w:rFonts w:cs="Arial" w:hint="cs"/>
          <w:b/>
          <w:bCs/>
          <w:sz w:val="24"/>
          <w:szCs w:val="24"/>
          <w:rtl/>
        </w:rPr>
        <w:t>,</w:t>
      </w:r>
      <w:r w:rsidRPr="00007309">
        <w:rPr>
          <w:rFonts w:cs="Arial"/>
          <w:b/>
          <w:bCs/>
          <w:sz w:val="24"/>
          <w:szCs w:val="24"/>
          <w:rtl/>
        </w:rPr>
        <w:t xml:space="preserve"> ס' רִבּוֹא דְּמַלְאָכִין עִלָּאִין וְתַתָּאִין. וְס' רִבּוֹא נְבִיאִים. לְמֶהֱוֵי כֻּלְּהוֹן אוֹלְפִין זָכוּ עַל יִשְׂרָאֵל, לְשֵׁיזָבָא לוֹן מֵאִלֵּין חֵיוָן בִּישִׁין, לְמֶהֱוֵי מָחִיל לְהוֹן כָּל חוֹבֵיהוֹן, וּלְמִפְרָק לוֹן וּלְקַיֵּם בְּהוֹן מְדַלֵּג עַל הֶהָרִים דְּאִנּוּן קצים. אַל תִּתְּנוּ דומי לוֹ עַד יערה לְגַבַּיְהוּ קוּדְשָׁא בְּרִיךְ הוּא בְּרַחֲמֵי. קוּם אֵלִיָּהוּ דְּאַנְתְּ דָּלִיג עָלְמָא </w:t>
      </w:r>
      <w:r w:rsidRPr="00007309">
        <w:rPr>
          <w:rFonts w:cs="Arial"/>
          <w:b/>
          <w:bCs/>
          <w:sz w:val="36"/>
          <w:szCs w:val="28"/>
          <w:vertAlign w:val="superscript"/>
          <w:rtl/>
        </w:rPr>
        <w:footnoteReference w:id="6963"/>
      </w:r>
      <w:r w:rsidRPr="00007309">
        <w:rPr>
          <w:rFonts w:cs="Arial"/>
          <w:b/>
          <w:bCs/>
          <w:sz w:val="24"/>
          <w:szCs w:val="24"/>
          <w:rtl/>
        </w:rPr>
        <w:t>בְּאַרְבַּע טָסִין</w:t>
      </w:r>
      <w:r w:rsidRPr="00007309">
        <w:rPr>
          <w:rFonts w:cs="Arial" w:hint="cs"/>
          <w:b/>
          <w:bCs/>
          <w:sz w:val="24"/>
          <w:szCs w:val="24"/>
          <w:rtl/>
        </w:rPr>
        <w:t>,</w:t>
      </w:r>
      <w:r w:rsidRPr="00007309">
        <w:rPr>
          <w:rFonts w:cs="Arial"/>
          <w:b/>
          <w:bCs/>
          <w:sz w:val="24"/>
          <w:szCs w:val="24"/>
          <w:rtl/>
        </w:rPr>
        <w:t xml:space="preserve"> לְאִשְׁתַּכְּחָא בְּכָל חַד וְחַד מִיִּשְׂרָאֵל </w:t>
      </w:r>
      <w:r w:rsidRPr="00007309">
        <w:rPr>
          <w:rFonts w:cs="Arial"/>
          <w:b/>
          <w:bCs/>
          <w:sz w:val="36"/>
          <w:szCs w:val="28"/>
          <w:vertAlign w:val="superscript"/>
          <w:rtl/>
        </w:rPr>
        <w:footnoteReference w:id="6964"/>
      </w:r>
      <w:r w:rsidRPr="00007309">
        <w:rPr>
          <w:rFonts w:cs="Arial"/>
          <w:b/>
          <w:bCs/>
          <w:sz w:val="24"/>
          <w:szCs w:val="24"/>
          <w:rtl/>
        </w:rPr>
        <w:t>דִּמְקַיְּמִין אוֹת בְּרִית מִילָה. בְּחֵילָא דִּשְׁמָא דיהו'ה</w:t>
      </w:r>
      <w:r w:rsidRPr="00007309">
        <w:rPr>
          <w:rFonts w:cs="Arial" w:hint="cs"/>
          <w:b/>
          <w:bCs/>
          <w:sz w:val="24"/>
          <w:szCs w:val="24"/>
          <w:rtl/>
        </w:rPr>
        <w:t>,</w:t>
      </w:r>
      <w:r w:rsidRPr="00007309">
        <w:rPr>
          <w:rFonts w:cs="Arial"/>
          <w:b/>
          <w:bCs/>
          <w:sz w:val="24"/>
          <w:szCs w:val="24"/>
          <w:rtl/>
        </w:rPr>
        <w:t xml:space="preserve"> וְכָל הַוְיָן וְכִנּוּיִין דִּילֵהּ, לָא תִּתְעַכֵּב לְנַטְלָא רְשׁוּ מִקּוּדְשָׁא בְּרִיךְ הוּא</w:t>
      </w:r>
      <w:r w:rsidRPr="00007309">
        <w:rPr>
          <w:rFonts w:cs="Arial" w:hint="cs"/>
          <w:b/>
          <w:bCs/>
          <w:sz w:val="24"/>
          <w:szCs w:val="24"/>
          <w:rtl/>
        </w:rPr>
        <w:t>,</w:t>
      </w:r>
      <w:r w:rsidRPr="00007309">
        <w:rPr>
          <w:rFonts w:cs="Arial"/>
          <w:b/>
          <w:bCs/>
          <w:sz w:val="24"/>
          <w:szCs w:val="24"/>
          <w:rtl/>
        </w:rPr>
        <w:t xml:space="preserve"> לְנַחְתָּא לְנַטְרָא עָאנָא. וְתִתְעַטַר בְּכָל שְׁמָהָן דְּקוּדְשָׁא בְּרִיךְ הוּא לְאַגָּנָא בְּהוֹן עָלֵהוּ, וּלְנַחְתָּא בְּהַאי חִבּוּרָא לְגַלָּאָה בֵּהּ רָזִין טְמִירִין קַמֵּי שְׁכִינְתָּא, לְאַנְהָרָא לָהּ בְּרָזָא דְּאוֹרַיְתָא, דְּאִיהוּ כְּחֻשְׁבָּן ר"ז, דְּבֵהּ וְהַמַּשְׂכִּילִים יַזְהִרוּ כְּזֹהַר הָרָקִיעַ, כְּזֹהַר </w:t>
      </w:r>
      <w:r w:rsidRPr="00007309">
        <w:rPr>
          <w:rFonts w:cs="Arial"/>
          <w:b/>
          <w:bCs/>
          <w:sz w:val="36"/>
          <w:szCs w:val="28"/>
          <w:vertAlign w:val="superscript"/>
          <w:rtl/>
        </w:rPr>
        <w:footnoteReference w:id="6965"/>
      </w:r>
      <w:r w:rsidRPr="00007309">
        <w:rPr>
          <w:rFonts w:cs="Arial"/>
          <w:b/>
          <w:bCs/>
          <w:sz w:val="24"/>
          <w:szCs w:val="24"/>
          <w:rtl/>
        </w:rPr>
        <w:t>דְּבֵהּ כ'ו ר'ז</w:t>
      </w:r>
      <w:r w:rsidRPr="00007309">
        <w:rPr>
          <w:rFonts w:cs="Arial" w:hint="cs"/>
          <w:b/>
          <w:bCs/>
          <w:sz w:val="24"/>
          <w:szCs w:val="24"/>
          <w:rtl/>
        </w:rPr>
        <w:t>.</w:t>
      </w:r>
      <w:r w:rsidRPr="00007309">
        <w:rPr>
          <w:rFonts w:cs="Arial"/>
          <w:b/>
          <w:bCs/>
          <w:sz w:val="24"/>
          <w:szCs w:val="24"/>
          <w:rtl/>
        </w:rPr>
        <w:t xml:space="preserve"> כ'ה אַתְוָן דְּיִחוּדָא. וּבֵהּ ז'ו דְּאִיהוּ אֶחָד. וִיקוּמוּן עִמָּךְ בּוּצִינָא קַדִּישָׁא וְשִׁית חַבְרוֹי</w:t>
      </w:r>
      <w:r w:rsidRPr="00007309">
        <w:rPr>
          <w:rFonts w:cs="Arial" w:hint="cs"/>
          <w:b/>
          <w:bCs/>
          <w:sz w:val="24"/>
          <w:szCs w:val="24"/>
          <w:rtl/>
        </w:rPr>
        <w:t>,</w:t>
      </w:r>
      <w:r w:rsidRPr="00007309">
        <w:rPr>
          <w:rFonts w:cs="Arial"/>
          <w:b/>
          <w:bCs/>
          <w:sz w:val="24"/>
          <w:szCs w:val="24"/>
          <w:rtl/>
        </w:rPr>
        <w:t xml:space="preserve"> דְּאִתְכָּנְשׁוּ </w:t>
      </w:r>
      <w:r w:rsidRPr="00007309">
        <w:rPr>
          <w:rFonts w:cs="Arial"/>
          <w:b/>
          <w:bCs/>
          <w:sz w:val="36"/>
          <w:szCs w:val="28"/>
          <w:vertAlign w:val="superscript"/>
          <w:rtl/>
        </w:rPr>
        <w:footnoteReference w:id="6966"/>
      </w:r>
      <w:r w:rsidRPr="00007309">
        <w:rPr>
          <w:rFonts w:cs="Arial"/>
          <w:b/>
          <w:bCs/>
          <w:sz w:val="24"/>
          <w:szCs w:val="24"/>
          <w:rtl/>
        </w:rPr>
        <w:t>בְּקַדְמִיתָא בְּהַאי זֹהַר, לְחַדְּשָׁא בֵּהּ מִלִּין כַּד בְּקַדְמִיתָא</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6967"/>
      </w:r>
      <w:r w:rsidRPr="00007309">
        <w:rPr>
          <w:rFonts w:cs="Arial"/>
          <w:b/>
          <w:bCs/>
          <w:sz w:val="24"/>
          <w:szCs w:val="24"/>
          <w:rtl/>
        </w:rPr>
        <w:t xml:space="preserve">דְּעָלַיְהוּ שְׁכִינְתָּא נַהֲרָא מִז' רְקִיעִין, וּבְהוֹן נַהֲרָא מִז' אַרְעִין דְּאָמַר עָלַיְהוּ דָּוִד (תהלים קטז) אֶתְהַלֵּךְ לִפְנֵי ה' בְּאַרְצוֹת הַחַיִּים. </w:t>
      </w:r>
    </w:p>
    <w:p w:rsidR="00007309" w:rsidRPr="00007309" w:rsidRDefault="00007309" w:rsidP="00007309">
      <w:pPr>
        <w:jc w:val="both"/>
        <w:rPr>
          <w:rFonts w:cs="Arial"/>
          <w:b/>
          <w:bCs/>
          <w:sz w:val="24"/>
          <w:szCs w:val="24"/>
        </w:rPr>
      </w:pPr>
      <w:r w:rsidRPr="00007309">
        <w:rPr>
          <w:rFonts w:cs="Arial"/>
          <w:b/>
          <w:bCs/>
          <w:sz w:val="24"/>
          <w:szCs w:val="24"/>
          <w:rtl/>
        </w:rPr>
        <w:t>קוּם רִבִּי שִׁמְעוֹן אַפְתַּח מִלִּין קַמֵּי שְׁכִינְתָּא. פָּתַח וְאָמַר וְהַמַּשְׂכִּילִים יַזְהִרוּ כְּזֹהַר הָרָקִיעַ וּמַצְדִּיקֵי הָרַבִּים כַּכּוֹכָבִים לְעוֹלָם וָעֶד. וְהַמַּשְׂכִּילִים אִלֵּין רִבִּי שִׁמְעוֹן וְכוּ' כַּכָּתוּב בַּדְּפוּס אמסטרדם בְּרֵישׁ הַתִּקּוּנִים:</w:t>
      </w:r>
    </w:p>
    <w:p w:rsidR="00007309" w:rsidRPr="00007309" w:rsidRDefault="00007309" w:rsidP="00007309">
      <w:pPr>
        <w:keepNext/>
        <w:spacing w:before="240" w:after="60"/>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[וילנא יז ע"ב]</w:t>
      </w:r>
    </w:p>
    <w:p w:rsidR="00007309" w:rsidRPr="00007309" w:rsidRDefault="00007309" w:rsidP="00007309">
      <w:pPr>
        <w:jc w:val="both"/>
        <w:rPr>
          <w:rFonts w:cs="Arial"/>
          <w:b/>
          <w:bCs/>
          <w:sz w:val="24"/>
          <w:szCs w:val="24"/>
        </w:rPr>
      </w:pPr>
      <w:r w:rsidRPr="00007309">
        <w:rPr>
          <w:rFonts w:cs="Arial"/>
          <w:b/>
          <w:bCs/>
          <w:sz w:val="24"/>
          <w:szCs w:val="24"/>
          <w:rtl/>
        </w:rPr>
        <w:t xml:space="preserve">וְהַמַּשְׂכִילִים יַזְהִרוּ. </w:t>
      </w:r>
      <w:r w:rsidRPr="00007309">
        <w:rPr>
          <w:rFonts w:cs="Arial"/>
          <w:b/>
          <w:bCs/>
          <w:sz w:val="36"/>
          <w:szCs w:val="28"/>
          <w:vertAlign w:val="superscript"/>
          <w:rtl/>
        </w:rPr>
        <w:footnoteReference w:id="6968"/>
      </w:r>
      <w:r w:rsidRPr="00007309">
        <w:rPr>
          <w:rFonts w:cs="Arial"/>
          <w:b/>
          <w:bCs/>
          <w:sz w:val="24"/>
          <w:szCs w:val="24"/>
          <w:rtl/>
        </w:rPr>
        <w:t>וְהַמַּשְׂכִּילִים לְאַפִּיקוּ דְּאַתְוָן</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6969"/>
      </w:r>
      <w:r w:rsidRPr="00007309">
        <w:rPr>
          <w:rFonts w:cs="Arial"/>
          <w:b/>
          <w:bCs/>
          <w:sz w:val="24"/>
          <w:szCs w:val="24"/>
          <w:rtl/>
        </w:rPr>
        <w:t>דְּאִתְמְשַׁח בְּמִשְׁחָתָא, רֵישָׁא וְגוּפָא וְשׁוּלֵי דְּזַנְבֵי</w:t>
      </w:r>
      <w:r w:rsidRPr="00007309">
        <w:rPr>
          <w:rFonts w:cs="Arial" w:hint="cs"/>
          <w:b/>
          <w:bCs/>
          <w:sz w:val="24"/>
          <w:szCs w:val="24"/>
          <w:rtl/>
        </w:rPr>
        <w:t>.</w:t>
      </w:r>
      <w:r w:rsidRPr="00007309">
        <w:rPr>
          <w:rFonts w:cs="Arial"/>
          <w:b/>
          <w:bCs/>
          <w:sz w:val="24"/>
          <w:szCs w:val="24"/>
          <w:rtl/>
        </w:rPr>
        <w:t xml:space="preserve"> טוּרֵיהוֹן </w:t>
      </w:r>
      <w:r w:rsidRPr="00007309">
        <w:rPr>
          <w:rFonts w:cs="Arial"/>
          <w:b/>
          <w:bCs/>
          <w:sz w:val="36"/>
          <w:szCs w:val="28"/>
          <w:vertAlign w:val="superscript"/>
          <w:rtl/>
        </w:rPr>
        <w:footnoteReference w:id="6970"/>
      </w:r>
      <w:r w:rsidRPr="00007309">
        <w:rPr>
          <w:rFonts w:cs="Arial"/>
          <w:b/>
          <w:bCs/>
          <w:sz w:val="24"/>
          <w:szCs w:val="24"/>
          <w:rtl/>
        </w:rPr>
        <w:t xml:space="preserve">יָתְבֵי כְּגוּפָא בְּלָא רוּחָא. </w:t>
      </w:r>
      <w:r w:rsidRPr="00007309">
        <w:rPr>
          <w:rFonts w:cs="Arial"/>
          <w:b/>
          <w:bCs/>
          <w:sz w:val="36"/>
          <w:szCs w:val="28"/>
          <w:vertAlign w:val="superscript"/>
          <w:rtl/>
        </w:rPr>
        <w:footnoteReference w:id="6971"/>
      </w:r>
      <w:r w:rsidRPr="00007309">
        <w:rPr>
          <w:rFonts w:cs="Arial"/>
          <w:b/>
          <w:bCs/>
          <w:sz w:val="24"/>
          <w:szCs w:val="24"/>
          <w:rtl/>
        </w:rPr>
        <w:t>נַפְשָׁא בְּסָכְלְתָנוּ</w:t>
      </w:r>
      <w:r w:rsidRPr="00007309">
        <w:rPr>
          <w:rFonts w:cs="Arial" w:hint="cs"/>
          <w:b/>
          <w:bCs/>
          <w:sz w:val="24"/>
          <w:szCs w:val="24"/>
          <w:rtl/>
        </w:rPr>
        <w:t>,</w:t>
      </w:r>
      <w:r w:rsidRPr="00007309">
        <w:rPr>
          <w:rFonts w:cs="Arial"/>
          <w:b/>
          <w:bCs/>
          <w:sz w:val="24"/>
          <w:szCs w:val="24"/>
          <w:rtl/>
        </w:rPr>
        <w:t xml:space="preserve"> דגשא וְרַפְיָא, זְמִ</w:t>
      </w:r>
      <w:r w:rsidRPr="00007309">
        <w:rPr>
          <w:rFonts w:cs="Arial" w:hint="cs"/>
          <w:b/>
          <w:bCs/>
          <w:sz w:val="24"/>
          <w:szCs w:val="24"/>
          <w:rtl/>
        </w:rPr>
        <w:t>י</w:t>
      </w:r>
      <w:r w:rsidRPr="00007309">
        <w:rPr>
          <w:rFonts w:cs="Arial"/>
          <w:b/>
          <w:bCs/>
          <w:sz w:val="24"/>
          <w:szCs w:val="24"/>
          <w:rtl/>
        </w:rPr>
        <w:t>נִין לָקָבְלֵהּ</w:t>
      </w:r>
      <w:r w:rsidRPr="00007309">
        <w:rPr>
          <w:rFonts w:cs="Arial"/>
          <w:b/>
          <w:bCs/>
          <w:sz w:val="24"/>
          <w:szCs w:val="28"/>
        </w:rPr>
        <w:t xml:space="preserve"> </w:t>
      </w:r>
      <w:r w:rsidRPr="00007309">
        <w:rPr>
          <w:rFonts w:cs="Arial"/>
          <w:b/>
          <w:bCs/>
          <w:sz w:val="24"/>
          <w:szCs w:val="24"/>
          <w:rtl/>
        </w:rPr>
        <w:t xml:space="preserve">רוּחָא. </w:t>
      </w:r>
      <w:r w:rsidRPr="00007309">
        <w:rPr>
          <w:rFonts w:cs="Arial"/>
          <w:b/>
          <w:bCs/>
          <w:sz w:val="36"/>
          <w:szCs w:val="28"/>
          <w:vertAlign w:val="superscript"/>
          <w:rtl/>
        </w:rPr>
        <w:footnoteReference w:id="6972"/>
      </w:r>
      <w:r w:rsidRPr="00007309">
        <w:rPr>
          <w:rFonts w:cs="Arial"/>
          <w:b/>
          <w:bCs/>
          <w:sz w:val="24"/>
          <w:szCs w:val="24"/>
          <w:rtl/>
        </w:rPr>
        <w:t>רוּחָא</w:t>
      </w:r>
      <w:r w:rsidRPr="00007309">
        <w:rPr>
          <w:rFonts w:cs="Arial" w:hint="cs"/>
          <w:b/>
          <w:bCs/>
          <w:sz w:val="24"/>
          <w:szCs w:val="24"/>
          <w:rtl/>
        </w:rPr>
        <w:t>,</w:t>
      </w:r>
      <w:r w:rsidRPr="00007309">
        <w:rPr>
          <w:rFonts w:cs="Arial"/>
          <w:b/>
          <w:bCs/>
          <w:sz w:val="24"/>
          <w:szCs w:val="24"/>
          <w:rtl/>
        </w:rPr>
        <w:t xml:space="preserve"> נִקּוּדֵי דְּאִתְתַחְמָן בִּתְחוּמֵיהוֹן, לְאָחַיָּא גּוּפָא וּלְמֵיקָם לֵהּ עַל רַגְלַיָּא</w:t>
      </w:r>
      <w:r w:rsidRPr="00007309">
        <w:rPr>
          <w:rFonts w:cs="Arial"/>
          <w:b/>
          <w:bCs/>
          <w:sz w:val="24"/>
          <w:szCs w:val="24"/>
        </w:rPr>
        <w:t xml:space="preserve"> </w:t>
      </w:r>
      <w:r w:rsidRPr="00007309">
        <w:rPr>
          <w:rFonts w:cs="Arial"/>
          <w:b/>
          <w:bCs/>
          <w:sz w:val="24"/>
          <w:szCs w:val="24"/>
          <w:rtl/>
        </w:rPr>
        <w:t xml:space="preserve">לְאַעֲנָאָה בְּאוֹרְחָא. וְלָא יָדְעֵי לְמֵיהַךְ לִימִינָא וְלִשְׂמָאלָא לְקַמָּא וְלַאֲחוֹרָא. יַזְהִרוּ </w:t>
      </w:r>
      <w:r w:rsidRPr="00007309">
        <w:rPr>
          <w:rFonts w:cs="Arial"/>
          <w:b/>
          <w:bCs/>
          <w:sz w:val="36"/>
          <w:szCs w:val="28"/>
          <w:vertAlign w:val="superscript"/>
          <w:rtl/>
        </w:rPr>
        <w:footnoteReference w:id="6973"/>
      </w:r>
      <w:r w:rsidRPr="00007309">
        <w:rPr>
          <w:rFonts w:cs="Arial"/>
          <w:b/>
          <w:bCs/>
          <w:sz w:val="24"/>
          <w:szCs w:val="24"/>
          <w:rtl/>
        </w:rPr>
        <w:t>כְּזוֹהֲרָא</w:t>
      </w:r>
      <w:r w:rsidRPr="00007309">
        <w:rPr>
          <w:rFonts w:cs="Arial" w:hint="cs"/>
          <w:b/>
          <w:bCs/>
          <w:sz w:val="24"/>
          <w:szCs w:val="24"/>
          <w:rtl/>
        </w:rPr>
        <w:t>,</w:t>
      </w:r>
      <w:r w:rsidRPr="00007309">
        <w:rPr>
          <w:rFonts w:cs="Arial"/>
          <w:b/>
          <w:bCs/>
          <w:sz w:val="24"/>
          <w:szCs w:val="24"/>
          <w:rtl/>
        </w:rPr>
        <w:t xml:space="preserve"> דְּנִשְׁמָתָא אִנּוּן תְּנוּעֵי</w:t>
      </w:r>
      <w:r w:rsidRPr="00007309">
        <w:rPr>
          <w:rFonts w:cs="Arial" w:hint="cs"/>
          <w:b/>
          <w:bCs/>
          <w:sz w:val="24"/>
          <w:szCs w:val="24"/>
          <w:rtl/>
        </w:rPr>
        <w:t>,</w:t>
      </w:r>
      <w:r w:rsidRPr="00007309">
        <w:rPr>
          <w:rFonts w:cs="Arial"/>
          <w:b/>
          <w:bCs/>
          <w:sz w:val="24"/>
          <w:szCs w:val="24"/>
          <w:rtl/>
        </w:rPr>
        <w:t xml:space="preserve"> לְמֵילַף אוֹרְחָא לִימִינָא וְלִשְׂמָאלָא, וּלְמֵיהַךְ בְּאֹרַח קְשׁוֹט דְּלָא יִסְטוּן מִנֵּהּ. </w:t>
      </w:r>
      <w:r w:rsidRPr="00007309">
        <w:rPr>
          <w:rFonts w:cs="Arial"/>
          <w:b/>
          <w:bCs/>
          <w:sz w:val="36"/>
          <w:szCs w:val="28"/>
          <w:vertAlign w:val="superscript"/>
          <w:rtl/>
        </w:rPr>
        <w:footnoteReference w:id="6974"/>
      </w:r>
      <w:r w:rsidRPr="00007309">
        <w:rPr>
          <w:rFonts w:cs="Arial"/>
          <w:b/>
          <w:bCs/>
          <w:sz w:val="24"/>
          <w:szCs w:val="24"/>
          <w:rtl/>
        </w:rPr>
        <w:t>כְּזֹהַר הָרָקִיעַ</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6975"/>
      </w:r>
      <w:r w:rsidRPr="00007309">
        <w:rPr>
          <w:rFonts w:cs="Arial"/>
          <w:b/>
          <w:bCs/>
          <w:sz w:val="24"/>
          <w:szCs w:val="24"/>
          <w:rtl/>
        </w:rPr>
        <w:t>דְּאִיהוּ כִּגְלִידָא תַּקִּיפָא דְּעַל גַּבֵּי חֵיוָתָא, דְּאִיהוּ קָאִים בְּשִׁעוּרָא סָתִים</w:t>
      </w:r>
      <w:r w:rsidRPr="00007309">
        <w:rPr>
          <w:rFonts w:cs="Arial" w:hint="cs"/>
          <w:b/>
          <w:bCs/>
          <w:sz w:val="24"/>
          <w:szCs w:val="24"/>
          <w:rtl/>
        </w:rPr>
        <w:t>,</w:t>
      </w:r>
      <w:r w:rsidRPr="00007309">
        <w:rPr>
          <w:rFonts w:cs="Arial"/>
          <w:b/>
          <w:bCs/>
          <w:sz w:val="24"/>
          <w:szCs w:val="24"/>
          <w:rtl/>
        </w:rPr>
        <w:t xml:space="preserve"> וּלְתַתָּא בְּרָזָא דְּמִשְׁחָתָא דְּבוּצִינָא. </w:t>
      </w:r>
      <w:r w:rsidRPr="00007309">
        <w:rPr>
          <w:rFonts w:cs="Arial"/>
          <w:b/>
          <w:bCs/>
          <w:sz w:val="36"/>
          <w:szCs w:val="28"/>
          <w:vertAlign w:val="superscript"/>
          <w:rtl/>
        </w:rPr>
        <w:footnoteReference w:id="6976"/>
      </w:r>
      <w:r w:rsidRPr="00007309">
        <w:rPr>
          <w:rFonts w:cs="Arial"/>
          <w:b/>
          <w:bCs/>
          <w:sz w:val="24"/>
          <w:szCs w:val="24"/>
          <w:rtl/>
        </w:rPr>
        <w:t>וּמַצְדִּיקֵי הָרַבִּים אִנּוּן פְּסִיקֵי תְּנוּעֵי</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6977"/>
      </w:r>
      <w:r w:rsidRPr="00007309">
        <w:rPr>
          <w:rFonts w:cs="Arial"/>
          <w:b/>
          <w:bCs/>
          <w:sz w:val="24"/>
          <w:szCs w:val="24"/>
          <w:rtl/>
        </w:rPr>
        <w:t xml:space="preserve">דְּאִנּוּן </w:t>
      </w:r>
      <w:r w:rsidRPr="00007309">
        <w:rPr>
          <w:rFonts w:ascii="Cambria" w:hAnsi="Cambria" w:cs="Times New Roman" w:hint="cs"/>
          <w:b/>
          <w:bCs/>
          <w:i/>
          <w:iCs/>
          <w:color w:val="4F81BD"/>
          <w:sz w:val="24"/>
          <w:szCs w:val="24"/>
          <w:rtl/>
        </w:rPr>
        <w:t>(וילנא יז ע"ב)</w:t>
      </w:r>
      <w:r w:rsidRPr="00007309">
        <w:rPr>
          <w:rFonts w:cs="Arial" w:hint="cs"/>
          <w:b/>
          <w:bCs/>
          <w:sz w:val="24"/>
          <w:szCs w:val="24"/>
          <w:rtl/>
        </w:rPr>
        <w:t xml:space="preserve"> </w:t>
      </w:r>
      <w:r w:rsidRPr="00007309">
        <w:rPr>
          <w:rFonts w:cs="Arial"/>
          <w:b/>
          <w:bCs/>
          <w:sz w:val="24"/>
          <w:szCs w:val="24"/>
          <w:rtl/>
        </w:rPr>
        <w:t xml:space="preserve">מַצְדִּיקֵי הָרַבִּים וְלָא לְכֹלָּא. כַּכּוֹכָבִים </w:t>
      </w:r>
      <w:r w:rsidRPr="00007309">
        <w:rPr>
          <w:rFonts w:cs="Arial" w:hint="cs"/>
          <w:b/>
          <w:bCs/>
          <w:sz w:val="24"/>
          <w:szCs w:val="24"/>
          <w:rtl/>
        </w:rPr>
        <w:t>שבעה</w:t>
      </w:r>
      <w:r w:rsidRPr="00007309">
        <w:rPr>
          <w:rFonts w:cs="Arial"/>
          <w:b/>
          <w:bCs/>
          <w:sz w:val="24"/>
          <w:szCs w:val="24"/>
          <w:rtl/>
        </w:rPr>
        <w:t xml:space="preserve"> דְּנָהֲרִין וְנָטְלִין לְאַעֲנָאָה עָלְמָא, מִנְּהוֹן לִימִינָא וּמִנְּהוֹן לִשְׂמָאלָא. זַנְבֵי שׁוּלֵיהוֹן כְּשׁוּלֵי קְדֵרָה דְּקַיְּמָא עַל נוּרָא דְּלָא אֻכָּלָא, וְהִיא אֶשָּׁא דְּאַסְנָא דְּאִתְחֲזֵי וְלָא אָכלָה. אִית אֶשָּׁא סָבִיל אֶשָּׁא, וְאִית אֶשָּׁא אָכלָה אֶשָּׁא. ז' נָטְלֵי וְז' קַיְּמֵי. תְּמִינָאָה אִתְחֲזֵי בְּהוּ. </w:t>
      </w:r>
      <w:r w:rsidRPr="00007309">
        <w:rPr>
          <w:rFonts w:cs="Arial"/>
          <w:b/>
          <w:bCs/>
          <w:sz w:val="36"/>
          <w:szCs w:val="28"/>
          <w:vertAlign w:val="superscript"/>
          <w:rtl/>
        </w:rPr>
        <w:footnoteReference w:id="6978"/>
      </w:r>
      <w:r w:rsidRPr="00007309">
        <w:rPr>
          <w:rFonts w:cs="Arial"/>
          <w:b/>
          <w:bCs/>
          <w:sz w:val="24"/>
          <w:szCs w:val="24"/>
          <w:rtl/>
        </w:rPr>
        <w:t>תְּשִׁיעָאָה נָטִיל לוֹן</w:t>
      </w:r>
      <w:r w:rsidRPr="00007309">
        <w:rPr>
          <w:rFonts w:cs="Arial"/>
          <w:b/>
          <w:bCs/>
          <w:sz w:val="24"/>
          <w:szCs w:val="24"/>
        </w:rPr>
        <w:t>:</w:t>
      </w:r>
    </w:p>
    <w:p w:rsidR="00007309" w:rsidRPr="00007309" w:rsidRDefault="00007309" w:rsidP="00007309">
      <w:pPr>
        <w:keepNext/>
        <w:outlineLvl w:val="1"/>
        <w:rPr>
          <w:rFonts w:ascii="Cambria" w:hAnsi="Cambria" w:cs="Times New Roman"/>
          <w:b/>
          <w:bCs/>
          <w:i/>
          <w:iCs/>
          <w:sz w:val="28"/>
          <w:szCs w:val="28"/>
          <w:rtl/>
        </w:rPr>
      </w:pPr>
      <w:r w:rsidRPr="00007309">
        <w:rPr>
          <w:rFonts w:ascii="Cambria" w:hAnsi="Cambria" w:cs="Times New Roman"/>
          <w:b/>
          <w:bCs/>
          <w:i/>
          <w:iCs/>
          <w:sz w:val="28"/>
          <w:szCs w:val="28"/>
          <w:rtl/>
        </w:rPr>
        <w:t>[</w:t>
      </w:r>
      <w:r w:rsidRPr="00007309">
        <w:rPr>
          <w:rFonts w:ascii="Cambria" w:hAnsi="Cambria" w:cs="Times New Roman" w:hint="cs"/>
          <w:b/>
          <w:bCs/>
          <w:i/>
          <w:iCs/>
          <w:sz w:val="28"/>
          <w:szCs w:val="28"/>
          <w:rtl/>
        </w:rPr>
        <w:t>דף</w:t>
      </w:r>
      <w:r w:rsidRPr="00007309">
        <w:rPr>
          <w:rFonts w:ascii="Cambria" w:hAnsi="Cambria" w:cs="Times New Roman"/>
          <w:b/>
          <w:bCs/>
          <w:i/>
          <w:iCs/>
          <w:sz w:val="28"/>
          <w:szCs w:val="28"/>
          <w:rtl/>
        </w:rPr>
        <w:t xml:space="preserve"> ע</w:t>
      </w:r>
      <w:r w:rsidRPr="00007309">
        <w:rPr>
          <w:rFonts w:ascii="Cambria" w:hAnsi="Cambria" w:cs="Times New Roman" w:hint="cs"/>
          <w:b/>
          <w:bCs/>
          <w:i/>
          <w:iCs/>
          <w:sz w:val="28"/>
          <w:szCs w:val="28"/>
          <w:rtl/>
        </w:rPr>
        <w:t>ט</w:t>
      </w:r>
      <w:r w:rsidRPr="00007309">
        <w:rPr>
          <w:rFonts w:ascii="Cambria" w:hAnsi="Cambria" w:cs="Times New Roman"/>
          <w:b/>
          <w:bCs/>
          <w:i/>
          <w:iCs/>
          <w:sz w:val="28"/>
          <w:szCs w:val="28"/>
          <w:rtl/>
        </w:rPr>
        <w:t xml:space="preserve"> ע"</w:t>
      </w:r>
      <w:r w:rsidRPr="00007309">
        <w:rPr>
          <w:rFonts w:ascii="Cambria" w:hAnsi="Cambria" w:cs="Times New Roman" w:hint="cs"/>
          <w:b/>
          <w:bCs/>
          <w:i/>
          <w:iCs/>
          <w:sz w:val="28"/>
          <w:szCs w:val="28"/>
          <w:rtl/>
        </w:rPr>
        <w:t>א</w:t>
      </w:r>
      <w:r w:rsidRPr="00007309">
        <w:rPr>
          <w:rFonts w:ascii="Cambria" w:hAnsi="Cambria" w:cs="Times New Roman"/>
          <w:b/>
          <w:bCs/>
          <w:i/>
          <w:iCs/>
          <w:sz w:val="28"/>
          <w:szCs w:val="28"/>
          <w:rtl/>
        </w:rPr>
        <w:t>]</w:t>
      </w:r>
    </w:p>
    <w:p w:rsidR="00007309" w:rsidRPr="00007309" w:rsidRDefault="00007309" w:rsidP="00007309">
      <w:pPr>
        <w:jc w:val="both"/>
        <w:rPr>
          <w:rFonts w:cs="Arial"/>
          <w:b/>
          <w:bCs/>
          <w:sz w:val="24"/>
          <w:szCs w:val="24"/>
        </w:rPr>
      </w:pPr>
      <w:r w:rsidRPr="00007309">
        <w:rPr>
          <w:rFonts w:cs="Arial"/>
          <w:b/>
          <w:bCs/>
          <w:sz w:val="36"/>
          <w:szCs w:val="28"/>
          <w:vertAlign w:val="superscript"/>
          <w:rtl/>
        </w:rPr>
        <w:footnoteReference w:id="6979"/>
      </w:r>
      <w:r w:rsidRPr="00007309">
        <w:rPr>
          <w:rFonts w:cs="Arial"/>
          <w:b/>
          <w:bCs/>
          <w:sz w:val="24"/>
          <w:szCs w:val="24"/>
          <w:rtl/>
        </w:rPr>
        <w:t xml:space="preserve">וְהַמַּשְׂכִילִים עֶשֶׂר נִקּוּדִין דְּקַיְּמִין לְאַעֲנָאָה, ה' מִימִינָא וְה' מִשְּמָאלָא אוֹרְחָא דְּאִלֵּין לָקֳבֵל אִלֵּין. חָמֵשׁ אִנּוּן רַבְרְבִין בְּהַהוּא גַּוְנָא זְעִירִין. אָ אֵ אֹ אּ אִ יְמִינָא. אַ אֶ אֳ אֻ אְ </w:t>
      </w:r>
      <w:r w:rsidRPr="00007309">
        <w:rPr>
          <w:rFonts w:cs="Arial"/>
          <w:sz w:val="24"/>
          <w:szCs w:val="24"/>
          <w:rtl/>
        </w:rPr>
        <w:t>(נ"ל בחיריק והם ה' נק</w:t>
      </w:r>
      <w:r w:rsidRPr="00007309">
        <w:rPr>
          <w:rFonts w:cs="Arial" w:hint="cs"/>
          <w:sz w:val="24"/>
          <w:szCs w:val="24"/>
          <w:rtl/>
        </w:rPr>
        <w:t>ו</w:t>
      </w:r>
      <w:r w:rsidRPr="00007309">
        <w:rPr>
          <w:rFonts w:cs="Arial"/>
          <w:sz w:val="24"/>
          <w:szCs w:val="24"/>
          <w:rtl/>
        </w:rPr>
        <w:t>דות קטנות)</w:t>
      </w:r>
      <w:r w:rsidRPr="00007309">
        <w:rPr>
          <w:rFonts w:cs="Arial"/>
          <w:sz w:val="36"/>
          <w:szCs w:val="28"/>
          <w:rtl/>
        </w:rPr>
        <w:t xml:space="preserve"> </w:t>
      </w:r>
      <w:r w:rsidRPr="00007309">
        <w:rPr>
          <w:rFonts w:cs="Arial"/>
          <w:b/>
          <w:bCs/>
          <w:sz w:val="24"/>
          <w:szCs w:val="24"/>
          <w:rtl/>
        </w:rPr>
        <w:t xml:space="preserve">שְׂמָאלָא. </w:t>
      </w:r>
      <w:r w:rsidRPr="00007309">
        <w:rPr>
          <w:rFonts w:cs="Arial"/>
          <w:b/>
          <w:bCs/>
          <w:sz w:val="36"/>
          <w:szCs w:val="28"/>
          <w:vertAlign w:val="superscript"/>
          <w:rtl/>
        </w:rPr>
        <w:footnoteReference w:id="6980"/>
      </w:r>
      <w:r w:rsidRPr="00007309">
        <w:rPr>
          <w:rFonts w:cs="Arial"/>
          <w:b/>
          <w:bCs/>
          <w:sz w:val="24"/>
          <w:szCs w:val="24"/>
          <w:rtl/>
        </w:rPr>
        <w:t xml:space="preserve">אִתְכְּלָלוּ אִלֵּין בְּאִלֵּין לְאַעֲנָאָה גּוּפָא. חָמֵשׁ מִשְּמָאלָא נֶפֶשׁ. חָמֵשׁ מִימִינָא רוּחַ. וְאִנּוּן חָמֵשׁ גּוֹ חָמֵשׁ. </w:t>
      </w:r>
      <w:r w:rsidRPr="00007309">
        <w:rPr>
          <w:rFonts w:cs="Arial"/>
          <w:b/>
          <w:bCs/>
          <w:sz w:val="36"/>
          <w:szCs w:val="28"/>
          <w:vertAlign w:val="superscript"/>
          <w:rtl/>
        </w:rPr>
        <w:footnoteReference w:id="6981"/>
      </w:r>
      <w:r w:rsidRPr="00007309">
        <w:rPr>
          <w:rFonts w:cs="Arial"/>
          <w:b/>
          <w:bCs/>
          <w:sz w:val="24"/>
          <w:szCs w:val="24"/>
          <w:rtl/>
        </w:rPr>
        <w:t xml:space="preserve">תְּרֵין טְמִירִין וְלָא אִתְגַּלְּיָן. שַׁרְיָא לְאַעֲנָאָה </w:t>
      </w:r>
      <w:r w:rsidRPr="00007309">
        <w:rPr>
          <w:rFonts w:cs="Arial"/>
          <w:b/>
          <w:bCs/>
          <w:sz w:val="36"/>
          <w:szCs w:val="28"/>
          <w:vertAlign w:val="superscript"/>
          <w:rtl/>
        </w:rPr>
        <w:footnoteReference w:id="6982"/>
      </w:r>
      <w:r w:rsidRPr="00007309">
        <w:rPr>
          <w:rFonts w:cs="Arial"/>
          <w:b/>
          <w:bCs/>
          <w:sz w:val="24"/>
          <w:szCs w:val="24"/>
          <w:rtl/>
        </w:rPr>
        <w:t xml:space="preserve">נְקֻדָּה דְּאַבְרָהָם אָ כְּלָלָא דְּכֹלָּא. הַאי נְקֻדָּה דְּאַבְרָהָם </w:t>
      </w:r>
      <w:r w:rsidRPr="00007309">
        <w:rPr>
          <w:rFonts w:cs="Arial"/>
          <w:b/>
          <w:bCs/>
          <w:sz w:val="36"/>
          <w:szCs w:val="28"/>
          <w:vertAlign w:val="superscript"/>
          <w:rtl/>
        </w:rPr>
        <w:footnoteReference w:id="6983"/>
      </w:r>
      <w:r w:rsidRPr="00007309">
        <w:rPr>
          <w:rFonts w:cs="Arial"/>
          <w:b/>
          <w:bCs/>
          <w:sz w:val="24"/>
          <w:szCs w:val="24"/>
          <w:rtl/>
        </w:rPr>
        <w:t>מָשִׁיךְ אִנּוּן טְמִירִין וְכָלִיל לוֹן. בְּגִין כָּל אִנּוּן דִּלְתַתָּא עָאלִין בֵּ</w:t>
      </w:r>
      <w:r w:rsidRPr="00007309">
        <w:rPr>
          <w:rFonts w:cs="Arial" w:hint="cs"/>
          <w:b/>
          <w:bCs/>
          <w:sz w:val="24"/>
          <w:szCs w:val="24"/>
          <w:rtl/>
        </w:rPr>
        <w:t>י</w:t>
      </w:r>
      <w:r w:rsidRPr="00007309">
        <w:rPr>
          <w:rFonts w:cs="Arial"/>
          <w:b/>
          <w:bCs/>
          <w:sz w:val="24"/>
          <w:szCs w:val="24"/>
          <w:rtl/>
        </w:rPr>
        <w:t xml:space="preserve">הּ. </w:t>
      </w:r>
      <w:r w:rsidRPr="00007309">
        <w:rPr>
          <w:rFonts w:ascii="Cambria" w:hAnsi="Cambria" w:cs="Times New Roman" w:hint="cs"/>
          <w:b/>
          <w:bCs/>
          <w:i/>
          <w:iCs/>
          <w:color w:val="4F81BD"/>
          <w:sz w:val="24"/>
          <w:szCs w:val="24"/>
          <w:rtl/>
        </w:rPr>
        <w:t>(עט ע"א)</w:t>
      </w:r>
      <w:r w:rsidRPr="00007309">
        <w:rPr>
          <w:rFonts w:cs="Arial" w:hint="cs"/>
          <w:b/>
          <w:bCs/>
          <w:sz w:val="24"/>
          <w:szCs w:val="24"/>
          <w:rtl/>
        </w:rPr>
        <w:t xml:space="preserve"> </w:t>
      </w:r>
      <w:r w:rsidRPr="00007309">
        <w:rPr>
          <w:rFonts w:cs="Arial"/>
          <w:b/>
          <w:bCs/>
          <w:sz w:val="24"/>
          <w:szCs w:val="24"/>
          <w:rtl/>
        </w:rPr>
        <w:t xml:space="preserve">וְדָא נְקֻדָּה </w:t>
      </w:r>
      <w:r w:rsidRPr="00007309">
        <w:rPr>
          <w:rFonts w:cs="Arial"/>
          <w:b/>
          <w:bCs/>
          <w:sz w:val="36"/>
          <w:szCs w:val="28"/>
          <w:vertAlign w:val="superscript"/>
          <w:rtl/>
        </w:rPr>
        <w:footnoteReference w:id="6984"/>
      </w:r>
      <w:r w:rsidRPr="00007309">
        <w:rPr>
          <w:rFonts w:cs="Arial"/>
          <w:b/>
          <w:bCs/>
          <w:sz w:val="24"/>
          <w:szCs w:val="24"/>
          <w:rtl/>
        </w:rPr>
        <w:t xml:space="preserve">דְּנָהִיר מִסַּיְפֵי עָלְמָא עַד סַיְפֵי עָלְמָא. אָ </w:t>
      </w:r>
      <w:r w:rsidRPr="00007309">
        <w:rPr>
          <w:rFonts w:cs="Arial"/>
          <w:b/>
          <w:bCs/>
          <w:sz w:val="36"/>
          <w:szCs w:val="28"/>
          <w:vertAlign w:val="superscript"/>
          <w:rtl/>
        </w:rPr>
        <w:footnoteReference w:id="6985"/>
      </w:r>
      <w:r w:rsidRPr="00007309">
        <w:rPr>
          <w:rFonts w:cs="Arial"/>
          <w:b/>
          <w:bCs/>
          <w:sz w:val="24"/>
          <w:szCs w:val="24"/>
          <w:rtl/>
        </w:rPr>
        <w:t xml:space="preserve">רָזָא דִּשְׁמָא גְּלִיפָא. </w:t>
      </w:r>
      <w:r w:rsidRPr="00007309">
        <w:rPr>
          <w:rFonts w:cs="Arial"/>
          <w:b/>
          <w:bCs/>
          <w:sz w:val="36"/>
          <w:szCs w:val="28"/>
          <w:vertAlign w:val="superscript"/>
          <w:rtl/>
        </w:rPr>
        <w:footnoteReference w:id="6986"/>
      </w:r>
      <w:r w:rsidRPr="00007309">
        <w:rPr>
          <w:rFonts w:cs="Arial"/>
          <w:b/>
          <w:bCs/>
          <w:sz w:val="24"/>
          <w:szCs w:val="24"/>
          <w:rtl/>
        </w:rPr>
        <w:t xml:space="preserve">מָשִׁיךְ בּוּצִינָא וְרָשִׁים נִקּוּדָה חֲשׁוֹכָא בְּלָא נְהִירוּ כְּלָל. וְדָא נְקֻדָּה דְּיִצְחָק. אַ דָּא אִקְּרֵי שֵׁבֶט לְגֵו חֲסַר לֵב. </w:t>
      </w:r>
      <w:r w:rsidRPr="00007309">
        <w:rPr>
          <w:rFonts w:cs="Arial"/>
          <w:b/>
          <w:bCs/>
          <w:sz w:val="36"/>
          <w:szCs w:val="28"/>
          <w:vertAlign w:val="superscript"/>
          <w:rtl/>
        </w:rPr>
        <w:footnoteReference w:id="6987"/>
      </w:r>
      <w:r w:rsidRPr="00007309">
        <w:rPr>
          <w:rFonts w:cs="Arial"/>
          <w:b/>
          <w:bCs/>
          <w:sz w:val="24"/>
          <w:szCs w:val="24"/>
          <w:rtl/>
        </w:rPr>
        <w:t>מְגַלֶּה עֲמֻקּוֹת מִנִּי חֹשֶׁךְ. וּבְגִין כָּךְ סָלִיק כִּשְׁמָא. נְקֻדָּה דְּיַעֲקֹב</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6988"/>
      </w:r>
      <w:r w:rsidRPr="00007309">
        <w:rPr>
          <w:rFonts w:cs="Arial"/>
          <w:b/>
          <w:bCs/>
          <w:sz w:val="24"/>
          <w:szCs w:val="24"/>
          <w:rtl/>
        </w:rPr>
        <w:t>לָא מָשְׁכָא בֵּהּ בּוּצִינָא</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6989"/>
      </w:r>
      <w:r w:rsidRPr="00007309">
        <w:rPr>
          <w:rFonts w:cs="Arial"/>
          <w:b/>
          <w:bCs/>
          <w:sz w:val="24"/>
          <w:szCs w:val="24"/>
          <w:rtl/>
        </w:rPr>
        <w:t xml:space="preserve">אָחִיד לִתְרֵין סִטְרִין, </w:t>
      </w:r>
      <w:r w:rsidRPr="00007309">
        <w:rPr>
          <w:rFonts w:cs="Arial"/>
          <w:b/>
          <w:bCs/>
          <w:sz w:val="36"/>
          <w:szCs w:val="28"/>
          <w:vertAlign w:val="superscript"/>
          <w:rtl/>
        </w:rPr>
        <w:footnoteReference w:id="6990"/>
      </w:r>
      <w:r w:rsidRPr="00007309">
        <w:rPr>
          <w:rFonts w:cs="Arial"/>
          <w:b/>
          <w:bCs/>
          <w:sz w:val="24"/>
          <w:szCs w:val="24"/>
          <w:rtl/>
        </w:rPr>
        <w:t>וְאִיהוּ לָא אִתְחֲזֵי. אֵ יוֹמָא תְּלִיתָאָה דִּבְרֵאשִׁית</w:t>
      </w:r>
      <w:r w:rsidRPr="00007309">
        <w:rPr>
          <w:rFonts w:cs="Arial" w:hint="cs"/>
          <w:b/>
          <w:bCs/>
          <w:sz w:val="24"/>
          <w:szCs w:val="24"/>
          <w:rtl/>
        </w:rPr>
        <w:t>,</w:t>
      </w:r>
      <w:r w:rsidRPr="00007309">
        <w:rPr>
          <w:rFonts w:cs="Arial"/>
          <w:b/>
          <w:bCs/>
          <w:sz w:val="24"/>
          <w:szCs w:val="24"/>
          <w:rtl/>
        </w:rPr>
        <w:t xml:space="preserve"> כִּי טוֹב כִּי טוֹב תְּרֵי זִמְנֵי, אִיהוּ גָּנִיז דְּלָא יְדִיעַ בְּגַוַּיְיהוּ, בּוּצִינָא לָא מָשִׁיךְ בֵּהּ כְּלָל. אִיהוּ טָמִיר וְגָנִיז וְלָא אִתְחֲזֵי. </w:t>
      </w:r>
      <w:r w:rsidRPr="00007309">
        <w:rPr>
          <w:rFonts w:cs="Arial"/>
          <w:b/>
          <w:bCs/>
          <w:sz w:val="36"/>
          <w:szCs w:val="28"/>
          <w:vertAlign w:val="superscript"/>
          <w:rtl/>
        </w:rPr>
        <w:footnoteReference w:id="6991"/>
      </w:r>
      <w:r w:rsidRPr="00007309">
        <w:rPr>
          <w:rFonts w:cs="Arial"/>
          <w:b/>
          <w:bCs/>
          <w:sz w:val="24"/>
          <w:szCs w:val="24"/>
          <w:rtl/>
        </w:rPr>
        <w:t xml:space="preserve">עֲרָבוֹת אַגְּנִיז בַּתְרַיְהוּ </w:t>
      </w:r>
      <w:r w:rsidRPr="00007309">
        <w:rPr>
          <w:rFonts w:cs="Arial"/>
          <w:b/>
          <w:bCs/>
          <w:sz w:val="36"/>
          <w:szCs w:val="28"/>
          <w:vertAlign w:val="superscript"/>
          <w:rtl/>
        </w:rPr>
        <w:footnoteReference w:id="6992"/>
      </w:r>
      <w:r w:rsidRPr="00007309">
        <w:rPr>
          <w:rFonts w:cs="Arial"/>
          <w:b/>
          <w:bCs/>
          <w:sz w:val="24"/>
          <w:szCs w:val="24"/>
          <w:rtl/>
        </w:rPr>
        <w:t xml:space="preserve">לְאַתְקַנָּא בֵּהּ סָתִים מִכֹּלָּא. </w:t>
      </w:r>
      <w:r w:rsidRPr="00007309">
        <w:rPr>
          <w:rFonts w:cs="Arial"/>
          <w:b/>
          <w:bCs/>
          <w:sz w:val="36"/>
          <w:szCs w:val="28"/>
          <w:vertAlign w:val="superscript"/>
          <w:rtl/>
        </w:rPr>
        <w:footnoteReference w:id="6993"/>
      </w:r>
      <w:r w:rsidRPr="00007309">
        <w:rPr>
          <w:rFonts w:cs="Arial"/>
          <w:b/>
          <w:bCs/>
          <w:sz w:val="24"/>
          <w:szCs w:val="24"/>
          <w:rtl/>
        </w:rPr>
        <w:t>וּבְגִין דְּטָמִיר וְסָתִים עָלֵהּ</w:t>
      </w:r>
      <w:r w:rsidRPr="00007309">
        <w:rPr>
          <w:rFonts w:cs="Arial" w:hint="cs"/>
          <w:b/>
          <w:bCs/>
          <w:sz w:val="24"/>
          <w:szCs w:val="24"/>
          <w:rtl/>
        </w:rPr>
        <w:t>,</w:t>
      </w:r>
      <w:r w:rsidRPr="00007309">
        <w:rPr>
          <w:rFonts w:cs="Arial"/>
          <w:b/>
          <w:bCs/>
          <w:sz w:val="24"/>
          <w:szCs w:val="24"/>
          <w:rtl/>
        </w:rPr>
        <w:t xml:space="preserve"> דְּלָא יְדִיעַ כְּלָל</w:t>
      </w:r>
      <w:r w:rsidRPr="00007309">
        <w:rPr>
          <w:rFonts w:cs="Arial" w:hint="cs"/>
          <w:b/>
          <w:bCs/>
          <w:sz w:val="24"/>
          <w:szCs w:val="24"/>
          <w:rtl/>
        </w:rPr>
        <w:t>,</w:t>
      </w:r>
      <w:r w:rsidRPr="00007309">
        <w:rPr>
          <w:rFonts w:cs="Arial"/>
          <w:b/>
          <w:bCs/>
          <w:sz w:val="24"/>
          <w:szCs w:val="24"/>
          <w:rtl/>
        </w:rPr>
        <w:t xml:space="preserve"> כֹּלָּא גָּנִיז. </w:t>
      </w:r>
      <w:r w:rsidRPr="00007309">
        <w:rPr>
          <w:rFonts w:cs="Arial"/>
          <w:b/>
          <w:bCs/>
          <w:sz w:val="36"/>
          <w:szCs w:val="28"/>
          <w:vertAlign w:val="superscript"/>
          <w:rtl/>
        </w:rPr>
        <w:footnoteReference w:id="6994"/>
      </w:r>
      <w:r w:rsidRPr="00007309">
        <w:rPr>
          <w:rFonts w:cs="Arial"/>
          <w:b/>
          <w:bCs/>
          <w:sz w:val="24"/>
          <w:szCs w:val="24"/>
          <w:rtl/>
        </w:rPr>
        <w:t xml:space="preserve">קַרְקַע עֲרָבוֹת אִתְחֲזֵי, וְאַף עַל גַּב דְּסָתִים אִיהוּ. אֶ נְקֻדָּה דְּתַלְיָא תְּחוֹת תְּרֵין אִיהִי קַרְקַע עֲרָבוֹת. </w:t>
      </w:r>
      <w:r w:rsidRPr="00007309">
        <w:rPr>
          <w:rFonts w:cs="Arial"/>
          <w:b/>
          <w:bCs/>
          <w:sz w:val="36"/>
          <w:szCs w:val="28"/>
          <w:vertAlign w:val="superscript"/>
          <w:rtl/>
        </w:rPr>
        <w:footnoteReference w:id="6995"/>
      </w:r>
      <w:r w:rsidRPr="00007309">
        <w:rPr>
          <w:rFonts w:cs="Arial"/>
          <w:b/>
          <w:bCs/>
          <w:sz w:val="24"/>
          <w:szCs w:val="24"/>
          <w:rtl/>
        </w:rPr>
        <w:t>עֲרָבוֹת הוּא גָּנִיז וְסָתִים עָלֵהּ דְּלָא אִתְיְדִיעַ בֵּין תְּרֵין</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6996"/>
      </w:r>
      <w:r w:rsidRPr="00007309">
        <w:rPr>
          <w:rFonts w:cs="Arial"/>
          <w:b/>
          <w:bCs/>
          <w:sz w:val="24"/>
          <w:szCs w:val="24"/>
          <w:rtl/>
        </w:rPr>
        <w:t>לְבָתַר דְּרָכִיב בֵּהּ הַהוּא טְמִירָא דְּכֹלָּא, אַפִּיק לֵהּ שַׁלִּיט קַרְקַע עֲרָבוֹת כֹּלָּא</w:t>
      </w:r>
      <w:r w:rsidRPr="00007309">
        <w:rPr>
          <w:rFonts w:cs="Arial"/>
          <w:b/>
          <w:bCs/>
          <w:sz w:val="24"/>
          <w:szCs w:val="24"/>
        </w:rPr>
        <w:t>:</w:t>
      </w:r>
    </w:p>
    <w:p w:rsidR="00007309" w:rsidRPr="00007309" w:rsidRDefault="00007309" w:rsidP="00007309">
      <w:pPr>
        <w:keepNext/>
        <w:spacing w:before="240" w:after="60"/>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[וילנא יח ע"א]</w:t>
      </w:r>
    </w:p>
    <w:p w:rsidR="00007309" w:rsidRPr="00007309" w:rsidRDefault="00007309" w:rsidP="00007309">
      <w:pPr>
        <w:jc w:val="both"/>
        <w:rPr>
          <w:rFonts w:cs="Arial"/>
          <w:b/>
          <w:bCs/>
          <w:sz w:val="24"/>
          <w:szCs w:val="24"/>
          <w:rtl/>
        </w:rPr>
      </w:pPr>
      <w:r w:rsidRPr="00007309">
        <w:rPr>
          <w:rFonts w:cs="Arial"/>
          <w:b/>
          <w:bCs/>
          <w:sz w:val="36"/>
          <w:szCs w:val="28"/>
          <w:vertAlign w:val="superscript"/>
          <w:rtl/>
        </w:rPr>
        <w:footnoteReference w:id="6997"/>
      </w:r>
      <w:r w:rsidRPr="00007309">
        <w:rPr>
          <w:rFonts w:cs="Arial"/>
          <w:b/>
          <w:bCs/>
          <w:sz w:val="24"/>
          <w:szCs w:val="24"/>
          <w:rtl/>
        </w:rPr>
        <w:t>וְהַמַּשְׂכִילִים יַזְהִרוּ. וְהַמַּשְׂכִּילִים כד"א (משלי טז) מַשְׂכִּיל עַל דָּבָר יִמְצָא טוֹב. הָיִינוּ יַזְהִרוּ כְּזֹהַר הָרָקִיעַ. כְּזֹהַר</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6998"/>
      </w:r>
      <w:r w:rsidRPr="00007309">
        <w:rPr>
          <w:rFonts w:cs="Arial"/>
          <w:b/>
          <w:bCs/>
          <w:sz w:val="24"/>
          <w:szCs w:val="24"/>
          <w:rtl/>
        </w:rPr>
        <w:t>זֹהַר זָהֳרָא דְּזָהֳרִין בִּסְלִיקוּ</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6999"/>
      </w:r>
      <w:r w:rsidRPr="00007309">
        <w:rPr>
          <w:rFonts w:cs="Arial"/>
          <w:b/>
          <w:bCs/>
          <w:sz w:val="24"/>
          <w:szCs w:val="24"/>
          <w:rtl/>
        </w:rPr>
        <w:t xml:space="preserve">זוֹהֲרָא זָהִיר וְאַנְהִיר וְאַדְלִיק נָצִיץ לְכַמָּה סִטְרִין זְהִירִין. </w:t>
      </w:r>
      <w:r w:rsidRPr="00007309">
        <w:rPr>
          <w:rFonts w:cs="Arial"/>
          <w:b/>
          <w:bCs/>
          <w:sz w:val="36"/>
          <w:szCs w:val="28"/>
          <w:vertAlign w:val="superscript"/>
          <w:rtl/>
        </w:rPr>
        <w:footnoteReference w:id="7000"/>
      </w:r>
      <w:r w:rsidRPr="00007309">
        <w:rPr>
          <w:rFonts w:cs="Arial"/>
          <w:b/>
          <w:bCs/>
          <w:sz w:val="24"/>
          <w:szCs w:val="24"/>
          <w:rtl/>
        </w:rPr>
        <w:t>זֹהַר סָלִיק וְנָחִית</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001"/>
      </w:r>
      <w:r w:rsidRPr="00007309">
        <w:rPr>
          <w:rFonts w:cs="Arial"/>
          <w:b/>
          <w:bCs/>
          <w:sz w:val="24"/>
          <w:szCs w:val="24"/>
          <w:rtl/>
        </w:rPr>
        <w:t xml:space="preserve">זֹהַר נָצִיץ לְכָל עֵיבָר. </w:t>
      </w:r>
      <w:r w:rsidRPr="00007309">
        <w:rPr>
          <w:rFonts w:cs="Arial"/>
          <w:b/>
          <w:bCs/>
          <w:sz w:val="36"/>
          <w:szCs w:val="28"/>
          <w:vertAlign w:val="superscript"/>
          <w:rtl/>
        </w:rPr>
        <w:footnoteReference w:id="7002"/>
      </w:r>
      <w:r w:rsidRPr="00007309">
        <w:rPr>
          <w:rFonts w:cs="Arial"/>
          <w:b/>
          <w:bCs/>
          <w:sz w:val="24"/>
          <w:szCs w:val="24"/>
          <w:rtl/>
        </w:rPr>
        <w:t xml:space="preserve">זֹהַר נָגִיד וְנָפִיק. </w:t>
      </w:r>
      <w:r w:rsidRPr="00007309">
        <w:rPr>
          <w:rFonts w:cs="Arial"/>
          <w:b/>
          <w:bCs/>
          <w:sz w:val="36"/>
          <w:szCs w:val="28"/>
          <w:vertAlign w:val="superscript"/>
          <w:rtl/>
        </w:rPr>
        <w:footnoteReference w:id="7003"/>
      </w:r>
      <w:r w:rsidRPr="00007309">
        <w:rPr>
          <w:rFonts w:cs="Arial"/>
          <w:b/>
          <w:bCs/>
          <w:sz w:val="24"/>
          <w:szCs w:val="24"/>
          <w:rtl/>
        </w:rPr>
        <w:t xml:space="preserve">זֹהַר דְּלָא פָּסִיק לְעָלְמִין. </w:t>
      </w:r>
      <w:r w:rsidRPr="00007309">
        <w:rPr>
          <w:rFonts w:cs="Arial"/>
          <w:b/>
          <w:bCs/>
          <w:sz w:val="36"/>
          <w:szCs w:val="28"/>
          <w:vertAlign w:val="superscript"/>
          <w:rtl/>
        </w:rPr>
        <w:footnoteReference w:id="7004"/>
      </w:r>
      <w:r w:rsidRPr="00007309">
        <w:rPr>
          <w:rFonts w:cs="Arial"/>
          <w:b/>
          <w:bCs/>
          <w:sz w:val="24"/>
          <w:szCs w:val="24"/>
          <w:rtl/>
        </w:rPr>
        <w:t xml:space="preserve">זֹהַר דְּעָבִיד תּוּלְדִין. </w:t>
      </w:r>
      <w:r w:rsidRPr="00007309">
        <w:rPr>
          <w:rFonts w:ascii="Cambria" w:hAnsi="Cambria" w:cs="Times New Roman" w:hint="cs"/>
          <w:b/>
          <w:bCs/>
          <w:i/>
          <w:iCs/>
          <w:color w:val="4F81BD"/>
          <w:sz w:val="24"/>
          <w:szCs w:val="24"/>
          <w:rtl/>
        </w:rPr>
        <w:t>(וילנא יח ע"א)</w:t>
      </w:r>
      <w:r w:rsidRPr="00007309">
        <w:rPr>
          <w:rFonts w:cs="Arial" w:hint="cs"/>
          <w:b/>
          <w:bCs/>
          <w:sz w:val="24"/>
          <w:szCs w:val="24"/>
          <w:rtl/>
        </w:rPr>
        <w:t xml:space="preserve"> </w:t>
      </w:r>
      <w:r w:rsidRPr="00007309">
        <w:rPr>
          <w:rFonts w:cs="Arial"/>
          <w:b/>
          <w:bCs/>
          <w:sz w:val="36"/>
          <w:szCs w:val="28"/>
          <w:vertAlign w:val="superscript"/>
          <w:rtl/>
        </w:rPr>
        <w:footnoteReference w:id="7005"/>
      </w:r>
      <w:r w:rsidRPr="00007309">
        <w:rPr>
          <w:rFonts w:cs="Arial"/>
          <w:b/>
          <w:bCs/>
          <w:sz w:val="24"/>
          <w:szCs w:val="24"/>
          <w:rtl/>
        </w:rPr>
        <w:t>זֹהַר זָהֳרָא דְּתָמִיר וְגָנִיז נְצִיצוּ דְּכָל נְצִיצוּ</w:t>
      </w:r>
      <w:r w:rsidRPr="00007309">
        <w:rPr>
          <w:rFonts w:cs="Arial" w:hint="cs"/>
          <w:b/>
          <w:bCs/>
          <w:sz w:val="24"/>
          <w:szCs w:val="24"/>
          <w:rtl/>
        </w:rPr>
        <w:t>,</w:t>
      </w:r>
      <w:r w:rsidRPr="00007309">
        <w:rPr>
          <w:rFonts w:cs="Arial"/>
          <w:b/>
          <w:bCs/>
          <w:sz w:val="24"/>
          <w:szCs w:val="24"/>
          <w:rtl/>
        </w:rPr>
        <w:t xml:space="preserve"> דַּרְגִּין כֹּלָּא בֵּהּ</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006"/>
      </w:r>
      <w:r w:rsidRPr="00007309">
        <w:rPr>
          <w:rFonts w:cs="Arial"/>
          <w:b/>
          <w:bCs/>
          <w:sz w:val="24"/>
          <w:szCs w:val="24"/>
          <w:rtl/>
        </w:rPr>
        <w:t xml:space="preserve">נָפִיק וְטָמִיר, סָתִים וְגַלְיָא, חֲזֵי וְלָא חֲזֵי, סֵיפְתָּא בְּעִקּוּרָא מַבּוּעָא דְּבֵירָא, נָפִיק בִּימָמָא וְטָמִיר בְּלֵילְיָא. </w:t>
      </w:r>
      <w:r w:rsidRPr="00007309">
        <w:rPr>
          <w:rFonts w:cs="Arial"/>
          <w:b/>
          <w:bCs/>
          <w:sz w:val="36"/>
          <w:szCs w:val="28"/>
          <w:vertAlign w:val="superscript"/>
          <w:rtl/>
        </w:rPr>
        <w:footnoteReference w:id="7007"/>
      </w:r>
      <w:r w:rsidRPr="00007309">
        <w:rPr>
          <w:rFonts w:cs="Arial"/>
          <w:b/>
          <w:bCs/>
          <w:sz w:val="24"/>
          <w:szCs w:val="24"/>
          <w:rtl/>
        </w:rPr>
        <w:t xml:space="preserve">אִשְׁתַּעֲשַׁע בְּפַלְגּוּ דְּלֵילְיָא תּוֹלָדִין דְּאַפִּיק. </w:t>
      </w:r>
      <w:r w:rsidRPr="00007309">
        <w:rPr>
          <w:rFonts w:cs="Arial"/>
          <w:b/>
          <w:bCs/>
          <w:sz w:val="36"/>
          <w:szCs w:val="28"/>
          <w:vertAlign w:val="superscript"/>
          <w:rtl/>
        </w:rPr>
        <w:footnoteReference w:id="7008"/>
      </w:r>
      <w:r w:rsidRPr="00007309">
        <w:rPr>
          <w:rFonts w:cs="Arial"/>
          <w:b/>
          <w:bCs/>
          <w:sz w:val="24"/>
          <w:szCs w:val="24"/>
          <w:rtl/>
        </w:rPr>
        <w:t xml:space="preserve">זֹהַר דְּזָהִיר וְאַנְהִיר לְכֹלָּא כְּלָלָא דְּאוֹרַיְתָא, </w:t>
      </w:r>
      <w:r w:rsidRPr="00007309">
        <w:rPr>
          <w:rFonts w:cs="Arial"/>
          <w:b/>
          <w:bCs/>
          <w:sz w:val="36"/>
          <w:szCs w:val="28"/>
          <w:vertAlign w:val="superscript"/>
          <w:rtl/>
        </w:rPr>
        <w:footnoteReference w:id="7009"/>
      </w:r>
      <w:r w:rsidRPr="00007309">
        <w:rPr>
          <w:rFonts w:cs="Arial"/>
          <w:b/>
          <w:bCs/>
          <w:sz w:val="24"/>
          <w:szCs w:val="24"/>
          <w:rtl/>
        </w:rPr>
        <w:t xml:space="preserve">וְדָא אִיהוּ זֹהַר הָרָקִיעַ. הָרָקִיעַ דְּבֵהּ תַּלְיָן שִׁמְשָׁא וְסִיהֲרָא כּוֹכְבַיָּא וּמַזָּלֵי, </w:t>
      </w:r>
      <w:r w:rsidRPr="00007309">
        <w:rPr>
          <w:rFonts w:cs="Arial"/>
          <w:b/>
          <w:bCs/>
          <w:sz w:val="36"/>
          <w:szCs w:val="28"/>
          <w:vertAlign w:val="superscript"/>
          <w:rtl/>
        </w:rPr>
        <w:footnoteReference w:id="7010"/>
      </w:r>
      <w:r w:rsidRPr="00007309">
        <w:rPr>
          <w:rFonts w:cs="Arial"/>
          <w:b/>
          <w:bCs/>
          <w:sz w:val="24"/>
          <w:szCs w:val="24"/>
          <w:rtl/>
        </w:rPr>
        <w:t xml:space="preserve">דָּא אִקְּרֵי זָהֳרָא דְּאַסְפַּקְלַרְיָא דְּנַהֲרָא, דְּלֹא זָכָה בֵּהּ בַּר נָשׁ, בַּר רָעֲיָא </w:t>
      </w:r>
      <w:r w:rsidRPr="00007309">
        <w:rPr>
          <w:rFonts w:cs="Arial"/>
          <w:b/>
          <w:bCs/>
          <w:sz w:val="36"/>
          <w:szCs w:val="28"/>
          <w:vertAlign w:val="superscript"/>
          <w:rtl/>
        </w:rPr>
        <w:footnoteReference w:id="7011"/>
      </w:r>
      <w:r w:rsidRPr="00007309">
        <w:rPr>
          <w:rFonts w:cs="Arial"/>
          <w:b/>
          <w:bCs/>
          <w:sz w:val="24"/>
          <w:szCs w:val="24"/>
          <w:rtl/>
        </w:rPr>
        <w:t xml:space="preserve">מְהֵימָנָא דְּכָל בֵּיתָא, </w:t>
      </w:r>
      <w:r w:rsidRPr="00007309">
        <w:rPr>
          <w:rFonts w:cs="Arial"/>
          <w:b/>
          <w:bCs/>
          <w:sz w:val="36"/>
          <w:szCs w:val="28"/>
          <w:vertAlign w:val="superscript"/>
          <w:rtl/>
        </w:rPr>
        <w:footnoteReference w:id="7012"/>
      </w:r>
      <w:r w:rsidRPr="00007309">
        <w:rPr>
          <w:rFonts w:cs="Arial"/>
          <w:b/>
          <w:bCs/>
          <w:sz w:val="24"/>
          <w:szCs w:val="24"/>
          <w:rtl/>
        </w:rPr>
        <w:t>דְּלָא אַנְהִיר סִיהֲרָא</w:t>
      </w:r>
      <w:r w:rsidRPr="00007309">
        <w:rPr>
          <w:rFonts w:cs="Arial" w:hint="cs"/>
          <w:b/>
          <w:bCs/>
          <w:sz w:val="24"/>
          <w:szCs w:val="24"/>
          <w:rtl/>
        </w:rPr>
        <w:t>,</w:t>
      </w:r>
      <w:r w:rsidRPr="00007309">
        <w:rPr>
          <w:rFonts w:cs="Arial"/>
          <w:b/>
          <w:bCs/>
          <w:sz w:val="24"/>
          <w:szCs w:val="24"/>
          <w:rtl/>
        </w:rPr>
        <w:t xml:space="preserve"> אַסְפַּקְלַרְיָא דְּלָא נַהֲרָא</w:t>
      </w:r>
      <w:r w:rsidRPr="00007309">
        <w:rPr>
          <w:rFonts w:cs="Arial" w:hint="cs"/>
          <w:b/>
          <w:bCs/>
          <w:sz w:val="24"/>
          <w:szCs w:val="24"/>
          <w:rtl/>
        </w:rPr>
        <w:t>,</w:t>
      </w:r>
      <w:r w:rsidRPr="00007309">
        <w:rPr>
          <w:rFonts w:cs="Arial"/>
          <w:b/>
          <w:bCs/>
          <w:sz w:val="24"/>
          <w:szCs w:val="24"/>
          <w:rtl/>
        </w:rPr>
        <w:t xml:space="preserve"> בַּר מִנֵּהּ</w:t>
      </w:r>
      <w:r w:rsidRPr="00007309">
        <w:rPr>
          <w:rFonts w:cs="Arial" w:hint="cs"/>
          <w:b/>
          <w:bCs/>
          <w:sz w:val="24"/>
          <w:szCs w:val="24"/>
          <w:rtl/>
        </w:rPr>
        <w:t>.</w:t>
      </w:r>
      <w:r w:rsidRPr="00007309">
        <w:rPr>
          <w:rFonts w:cs="Arial"/>
          <w:b/>
          <w:bCs/>
          <w:sz w:val="24"/>
          <w:szCs w:val="24"/>
          <w:rtl/>
        </w:rPr>
        <w:t xml:space="preserve"> דְּזָכָה בְּאַסְפַּקְלַרְיָא דְּנַהֲרָא.</w:t>
      </w:r>
    </w:p>
    <w:p w:rsidR="00007309" w:rsidRPr="00007309" w:rsidRDefault="00007309" w:rsidP="00007309">
      <w:pPr>
        <w:keepNext/>
        <w:spacing w:before="240" w:after="60"/>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[וילנא יט ע"א]</w:t>
      </w:r>
    </w:p>
    <w:p w:rsidR="00007309" w:rsidRPr="00007309" w:rsidRDefault="00007309" w:rsidP="00007309">
      <w:pPr>
        <w:jc w:val="both"/>
        <w:rPr>
          <w:rFonts w:cs="Arial"/>
          <w:sz w:val="22"/>
          <w:szCs w:val="22"/>
          <w:rtl/>
        </w:rPr>
      </w:pPr>
      <w:r w:rsidRPr="00007309">
        <w:rPr>
          <w:rFonts w:cs="Arial"/>
          <w:b/>
          <w:bCs/>
          <w:sz w:val="36"/>
          <w:szCs w:val="28"/>
          <w:vertAlign w:val="superscript"/>
          <w:rtl/>
        </w:rPr>
        <w:footnoteReference w:id="7013"/>
      </w:r>
      <w:r w:rsidRPr="00007309">
        <w:rPr>
          <w:rFonts w:cs="Arial"/>
          <w:b/>
          <w:bCs/>
          <w:szCs w:val="24"/>
          <w:rtl/>
        </w:rPr>
        <w:t>זֹהַר הָרָקִיעַ</w:t>
      </w:r>
      <w:r w:rsidRPr="00007309">
        <w:rPr>
          <w:rFonts w:cs="Arial" w:hint="cs"/>
          <w:b/>
          <w:bCs/>
          <w:szCs w:val="24"/>
          <w:rtl/>
        </w:rPr>
        <w:t>,</w:t>
      </w:r>
      <w:r w:rsidRPr="00007309">
        <w:rPr>
          <w:rFonts w:cs="Arial"/>
          <w:b/>
          <w:bCs/>
          <w:szCs w:val="24"/>
          <w:rtl/>
        </w:rPr>
        <w:t xml:space="preserve"> סָתִים עִלָּאָה</w:t>
      </w:r>
      <w:r w:rsidRPr="00007309">
        <w:rPr>
          <w:rFonts w:cs="Arial" w:hint="cs"/>
          <w:b/>
          <w:bCs/>
          <w:szCs w:val="24"/>
          <w:rtl/>
        </w:rPr>
        <w:t>,</w:t>
      </w:r>
      <w:r w:rsidRPr="00007309">
        <w:rPr>
          <w:rFonts w:cs="Arial"/>
          <w:b/>
          <w:bCs/>
          <w:szCs w:val="24"/>
          <w:rtl/>
        </w:rPr>
        <w:t xml:space="preserve"> דְּנָהִיר וְלָא יְדִיעַ, אַדְלִיק וְלָא אִתְחֲזֵי, וּמָאן דְּנָטִיל לָא יְדַע מִמָּאן נָטִיל. </w:t>
      </w:r>
      <w:r w:rsidRPr="00007309">
        <w:rPr>
          <w:rFonts w:cs="Arial"/>
          <w:b/>
          <w:bCs/>
          <w:sz w:val="36"/>
          <w:szCs w:val="28"/>
          <w:vertAlign w:val="superscript"/>
          <w:rtl/>
        </w:rPr>
        <w:footnoteReference w:id="7014"/>
      </w:r>
      <w:r w:rsidRPr="00007309">
        <w:rPr>
          <w:rFonts w:cs="Arial"/>
          <w:b/>
          <w:bCs/>
          <w:szCs w:val="24"/>
          <w:rtl/>
        </w:rPr>
        <w:t>סְתִימוּ דִּילֵהּ סָתִים (נ"א טמיר) וְגָנִיז שִׁבְטָא דְּיוֹסֵף צַדִּיקָא</w:t>
      </w:r>
      <w:r w:rsidRPr="00007309">
        <w:rPr>
          <w:rFonts w:cs="Arial" w:hint="cs"/>
          <w:b/>
          <w:bCs/>
          <w:szCs w:val="24"/>
          <w:rtl/>
        </w:rPr>
        <w:t>,</w:t>
      </w:r>
      <w:r w:rsidRPr="00007309">
        <w:rPr>
          <w:rFonts w:cs="Arial"/>
          <w:b/>
          <w:bCs/>
          <w:szCs w:val="24"/>
          <w:rtl/>
        </w:rPr>
        <w:t xml:space="preserve"> </w:t>
      </w:r>
      <w:r w:rsidRPr="00007309">
        <w:rPr>
          <w:rFonts w:cs="Arial"/>
          <w:b/>
          <w:bCs/>
          <w:sz w:val="36"/>
          <w:szCs w:val="28"/>
          <w:vertAlign w:val="superscript"/>
          <w:rtl/>
        </w:rPr>
        <w:footnoteReference w:id="7015"/>
      </w:r>
      <w:r w:rsidRPr="00007309">
        <w:rPr>
          <w:rFonts w:cs="Arial"/>
          <w:b/>
          <w:bCs/>
          <w:szCs w:val="24"/>
          <w:rtl/>
        </w:rPr>
        <w:t xml:space="preserve">סָתִים בְּד' גְּוָנִין, זֹהַר דְּנָצִיץ </w:t>
      </w:r>
      <w:r w:rsidRPr="00007309">
        <w:rPr>
          <w:rFonts w:cs="Arial"/>
          <w:b/>
          <w:bCs/>
          <w:sz w:val="36"/>
          <w:szCs w:val="28"/>
          <w:vertAlign w:val="superscript"/>
          <w:rtl/>
        </w:rPr>
        <w:footnoteReference w:id="7016"/>
      </w:r>
      <w:r w:rsidRPr="00007309">
        <w:rPr>
          <w:rFonts w:cs="Arial"/>
          <w:b/>
          <w:bCs/>
          <w:szCs w:val="24"/>
          <w:rtl/>
        </w:rPr>
        <w:t>בִּתְרֵיסַר חֵיוָן</w:t>
      </w:r>
      <w:r w:rsidRPr="00007309">
        <w:rPr>
          <w:rFonts w:cs="Arial" w:hint="cs"/>
          <w:b/>
          <w:bCs/>
          <w:szCs w:val="24"/>
          <w:rtl/>
        </w:rPr>
        <w:t>,</w:t>
      </w:r>
      <w:r w:rsidRPr="00007309">
        <w:rPr>
          <w:rFonts w:cs="Arial"/>
          <w:b/>
          <w:bCs/>
          <w:szCs w:val="24"/>
          <w:rtl/>
        </w:rPr>
        <w:t xml:space="preserve"> זִוְיָן וּנְהוֹרִין נַצְצִין מִנֵּהּ תְּלֵיסַר אִנּוּן בְּרָזָא דִּשְׁמָא קַדִּישָׁא </w:t>
      </w:r>
      <w:r w:rsidRPr="00007309">
        <w:rPr>
          <w:rFonts w:ascii="Cambria" w:hAnsi="Cambria" w:cs="Times New Roman" w:hint="cs"/>
          <w:b/>
          <w:bCs/>
          <w:i/>
          <w:iCs/>
          <w:color w:val="4F81BD"/>
          <w:sz w:val="24"/>
          <w:szCs w:val="24"/>
          <w:rtl/>
        </w:rPr>
        <w:t>(וילנא יט ע"א)</w:t>
      </w:r>
      <w:r w:rsidRPr="00007309">
        <w:rPr>
          <w:rFonts w:cs="Arial" w:hint="cs"/>
          <w:b/>
          <w:bCs/>
          <w:szCs w:val="24"/>
          <w:rtl/>
        </w:rPr>
        <w:t xml:space="preserve"> </w:t>
      </w:r>
      <w:r w:rsidRPr="00007309">
        <w:rPr>
          <w:rFonts w:cs="Arial"/>
          <w:b/>
          <w:bCs/>
          <w:szCs w:val="24"/>
          <w:rtl/>
        </w:rPr>
        <w:t>וְגוֹ</w:t>
      </w:r>
      <w:r w:rsidRPr="00007309">
        <w:rPr>
          <w:rFonts w:cs="Arial" w:hint="cs"/>
          <w:b/>
          <w:bCs/>
          <w:szCs w:val="24"/>
          <w:rtl/>
        </w:rPr>
        <w:t>'</w:t>
      </w:r>
      <w:r w:rsidRPr="00007309">
        <w:rPr>
          <w:rFonts w:cs="Arial"/>
          <w:b/>
          <w:bCs/>
          <w:szCs w:val="24"/>
          <w:rtl/>
        </w:rPr>
        <w:t xml:space="preserve"> רָזָא דְּאֵין סוֹף. אֵין סוֹף דְּלֵית שִׁיעוּרָא. </w:t>
      </w:r>
      <w:r w:rsidRPr="00007309">
        <w:rPr>
          <w:rFonts w:cs="Arial" w:hint="cs"/>
          <w:sz w:val="22"/>
          <w:szCs w:val="22"/>
          <w:rtl/>
        </w:rPr>
        <w:t>(ג.פ: הוצאנו את ביאורו מכאן, ושמנו ב'מאמר קו המידה', אשר שמנו בשלמות, בסוף).</w:t>
      </w:r>
    </w:p>
    <w:p w:rsidR="00007309" w:rsidRPr="00007309" w:rsidRDefault="00007309" w:rsidP="00007309">
      <w:pPr>
        <w:jc w:val="both"/>
        <w:rPr>
          <w:rFonts w:cs="Arial"/>
          <w:b/>
          <w:bCs/>
          <w:sz w:val="24"/>
          <w:szCs w:val="24"/>
          <w:rtl/>
        </w:rPr>
      </w:pPr>
      <w:r w:rsidRPr="00007309">
        <w:rPr>
          <w:rFonts w:cs="Arial"/>
          <w:b/>
          <w:bCs/>
          <w:sz w:val="24"/>
          <w:szCs w:val="24"/>
          <w:vertAlign w:val="superscript"/>
          <w:rtl/>
        </w:rPr>
        <w:footnoteReference w:id="7017"/>
      </w:r>
      <w:r w:rsidRPr="00007309">
        <w:rPr>
          <w:rFonts w:cs="Arial"/>
          <w:b/>
          <w:bCs/>
          <w:sz w:val="24"/>
          <w:szCs w:val="24"/>
          <w:rtl/>
        </w:rPr>
        <w:t xml:space="preserve">תֵּשַׁע נִקּוּדִין בְּאוֹרַיְתָא נָפְקִין אִתְפַּלְּגִין בְּאַתְוָן. אַתְוָן בְּהוֹן נָטְלִין מַטְלָנִין דַּקִּיקִין בְּרָזִין פַּלְגִין. אִלֵּין ט' שַׁלִּיטִין עַל אַתְוָן </w:t>
      </w:r>
      <w:r w:rsidRPr="00007309">
        <w:rPr>
          <w:rFonts w:cs="Arial"/>
          <w:b/>
          <w:bCs/>
          <w:sz w:val="24"/>
          <w:szCs w:val="24"/>
          <w:vertAlign w:val="superscript"/>
          <w:rtl/>
        </w:rPr>
        <w:footnoteReference w:id="7018"/>
      </w:r>
      <w:r w:rsidRPr="00007309">
        <w:rPr>
          <w:rFonts w:cs="Arial"/>
          <w:b/>
          <w:bCs/>
          <w:sz w:val="24"/>
          <w:szCs w:val="24"/>
          <w:rtl/>
        </w:rPr>
        <w:t xml:space="preserve">אָתְוָן מִנְּהוֹן אִתְפְּשָׁטוּ. אִשְׁתְּאֲרוּ נִקּוּדִין לְאַעֲנָאָה לוֹן. לָא נָטְלִין בַּר כַּד אִנּוּן נָפְקִין, אִלֵּין אִקְּרוּן אֵין סוֹף. </w:t>
      </w:r>
      <w:r w:rsidRPr="00007309">
        <w:rPr>
          <w:rFonts w:cs="Arial"/>
          <w:b/>
          <w:bCs/>
          <w:sz w:val="24"/>
          <w:szCs w:val="24"/>
          <w:vertAlign w:val="superscript"/>
          <w:rtl/>
        </w:rPr>
        <w:footnoteReference w:id="7019"/>
      </w:r>
      <w:r w:rsidRPr="00007309">
        <w:rPr>
          <w:rFonts w:cs="Arial"/>
          <w:b/>
          <w:bCs/>
          <w:sz w:val="24"/>
          <w:szCs w:val="24"/>
          <w:rtl/>
        </w:rPr>
        <w:t>כֻּלְּהוּ אַתְוָן מַטְלָנִין בְּאֵין סוֹף. כְּמָא דְּאִנּוּן נָטְלִין לוֹן, הָכֵי נָטְלִין</w:t>
      </w:r>
      <w:r w:rsidRPr="00007309">
        <w:rPr>
          <w:rFonts w:cs="Arial" w:hint="cs"/>
          <w:b/>
          <w:bCs/>
          <w:sz w:val="24"/>
          <w:szCs w:val="24"/>
          <w:rtl/>
        </w:rPr>
        <w:t>.</w:t>
      </w:r>
      <w:r w:rsidRPr="00007309">
        <w:rPr>
          <w:rFonts w:cs="Arial"/>
          <w:b/>
          <w:bCs/>
          <w:sz w:val="24"/>
          <w:szCs w:val="24"/>
          <w:rtl/>
        </w:rPr>
        <w:t xml:space="preserve"> </w:t>
      </w:r>
      <w:r w:rsidRPr="00007309">
        <w:rPr>
          <w:rFonts w:cs="Arial"/>
          <w:b/>
          <w:bCs/>
          <w:sz w:val="24"/>
          <w:szCs w:val="24"/>
          <w:vertAlign w:val="superscript"/>
          <w:rtl/>
        </w:rPr>
        <w:footnoteReference w:id="7020"/>
      </w:r>
      <w:r w:rsidRPr="00007309">
        <w:rPr>
          <w:rFonts w:cs="Arial"/>
          <w:b/>
          <w:bCs/>
          <w:sz w:val="24"/>
          <w:szCs w:val="24"/>
          <w:rtl/>
        </w:rPr>
        <w:t>אִלֵּין סְתִימִין</w:t>
      </w:r>
      <w:r w:rsidRPr="00007309">
        <w:rPr>
          <w:rFonts w:cs="Arial" w:hint="cs"/>
          <w:b/>
          <w:bCs/>
          <w:sz w:val="24"/>
          <w:szCs w:val="24"/>
          <w:rtl/>
        </w:rPr>
        <w:t>,</w:t>
      </w:r>
      <w:r w:rsidRPr="00007309">
        <w:rPr>
          <w:rFonts w:cs="Arial"/>
          <w:b/>
          <w:bCs/>
          <w:sz w:val="24"/>
          <w:szCs w:val="24"/>
          <w:rtl/>
        </w:rPr>
        <w:t xml:space="preserve"> אַתְוָן גַּלְיָן</w:t>
      </w:r>
      <w:r w:rsidRPr="00007309">
        <w:rPr>
          <w:rFonts w:cs="Arial" w:hint="cs"/>
          <w:b/>
          <w:bCs/>
          <w:sz w:val="24"/>
          <w:szCs w:val="24"/>
          <w:rtl/>
        </w:rPr>
        <w:t>.</w:t>
      </w:r>
      <w:r w:rsidRPr="00007309">
        <w:rPr>
          <w:rFonts w:cs="Arial"/>
          <w:b/>
          <w:bCs/>
          <w:sz w:val="24"/>
          <w:szCs w:val="24"/>
          <w:rtl/>
        </w:rPr>
        <w:t xml:space="preserve"> </w:t>
      </w:r>
      <w:r w:rsidRPr="00007309">
        <w:rPr>
          <w:rFonts w:cs="Arial"/>
          <w:b/>
          <w:bCs/>
          <w:sz w:val="24"/>
          <w:szCs w:val="24"/>
          <w:vertAlign w:val="superscript"/>
          <w:rtl/>
        </w:rPr>
        <w:footnoteReference w:id="7021"/>
      </w:r>
      <w:r w:rsidRPr="00007309">
        <w:rPr>
          <w:rFonts w:cs="Arial"/>
          <w:b/>
          <w:bCs/>
          <w:sz w:val="24"/>
          <w:szCs w:val="24"/>
          <w:rtl/>
        </w:rPr>
        <w:t>קָלִין דְּקָלַיָּא</w:t>
      </w:r>
      <w:r w:rsidRPr="00007309">
        <w:rPr>
          <w:rFonts w:cs="Arial" w:hint="cs"/>
          <w:b/>
          <w:bCs/>
          <w:sz w:val="24"/>
          <w:szCs w:val="24"/>
          <w:rtl/>
        </w:rPr>
        <w:t xml:space="preserve">, </w:t>
      </w:r>
      <w:r w:rsidRPr="00007309">
        <w:rPr>
          <w:rFonts w:cs="Arial"/>
          <w:b/>
          <w:bCs/>
          <w:sz w:val="24"/>
          <w:szCs w:val="24"/>
          <w:rtl/>
        </w:rPr>
        <w:t xml:space="preserve">אִשְׁתְּנִין מִגּוֹ נְקֻדָּה חֲדָא דְּנָפְקָא מֵאִלֵּין נִקּוּדִין, דְּאִקְּרוּן אֵין סוֹף. </w:t>
      </w:r>
      <w:r w:rsidRPr="00007309">
        <w:rPr>
          <w:rFonts w:cs="Arial"/>
          <w:b/>
          <w:bCs/>
          <w:sz w:val="24"/>
          <w:szCs w:val="24"/>
          <w:vertAlign w:val="superscript"/>
          <w:rtl/>
        </w:rPr>
        <w:footnoteReference w:id="7022"/>
      </w:r>
      <w:r w:rsidRPr="00007309">
        <w:rPr>
          <w:rFonts w:cs="Arial"/>
          <w:b/>
          <w:bCs/>
          <w:sz w:val="24"/>
          <w:szCs w:val="24"/>
          <w:rtl/>
        </w:rPr>
        <w:t>וּמֵהַהִיא נְקֻדָּה</w:t>
      </w:r>
      <w:r w:rsidRPr="00007309">
        <w:rPr>
          <w:rFonts w:cs="Arial"/>
          <w:b/>
          <w:bCs/>
          <w:sz w:val="24"/>
          <w:szCs w:val="24"/>
        </w:rPr>
        <w:t xml:space="preserve"> </w:t>
      </w:r>
      <w:r w:rsidRPr="00007309">
        <w:rPr>
          <w:rFonts w:cs="Arial"/>
          <w:b/>
          <w:bCs/>
          <w:sz w:val="24"/>
          <w:szCs w:val="24"/>
          <w:rtl/>
        </w:rPr>
        <w:t xml:space="preserve">אַתְוָן אִתְפְּשָׁטוּ כֻּלְּהוּ. </w:t>
      </w:r>
      <w:r w:rsidRPr="00007309">
        <w:rPr>
          <w:rFonts w:cs="Arial"/>
          <w:b/>
          <w:bCs/>
          <w:sz w:val="24"/>
          <w:szCs w:val="24"/>
          <w:vertAlign w:val="superscript"/>
          <w:rtl/>
        </w:rPr>
        <w:footnoteReference w:id="7023"/>
      </w:r>
      <w:r w:rsidRPr="00007309">
        <w:rPr>
          <w:rFonts w:cs="Arial"/>
          <w:b/>
          <w:bCs/>
          <w:sz w:val="24"/>
          <w:szCs w:val="24"/>
          <w:rtl/>
        </w:rPr>
        <w:t xml:space="preserve">לְבָתַר אִלֵּין נִקּוּדִין אִסְתִּימוּ בְּגוֹ סְתִימוּ, וְנָטְלֵי לוֹן בְּכָל מַטְלָנִין. </w:t>
      </w:r>
      <w:r w:rsidRPr="00007309">
        <w:rPr>
          <w:rFonts w:cs="Arial"/>
          <w:b/>
          <w:bCs/>
          <w:sz w:val="24"/>
          <w:szCs w:val="24"/>
          <w:vertAlign w:val="superscript"/>
          <w:rtl/>
        </w:rPr>
        <w:footnoteReference w:id="7024"/>
      </w:r>
      <w:r w:rsidRPr="00007309">
        <w:rPr>
          <w:rFonts w:cs="Arial"/>
          <w:b/>
          <w:bCs/>
          <w:sz w:val="24"/>
          <w:szCs w:val="24"/>
          <w:rtl/>
        </w:rPr>
        <w:t xml:space="preserve">מֵאֵין סוֹף נָפְקָא </w:t>
      </w:r>
      <w:r w:rsidRPr="00007309">
        <w:rPr>
          <w:rFonts w:cs="Arial"/>
          <w:b/>
          <w:bCs/>
          <w:sz w:val="24"/>
          <w:szCs w:val="24"/>
          <w:vertAlign w:val="superscript"/>
          <w:rtl/>
        </w:rPr>
        <w:footnoteReference w:id="7025"/>
      </w:r>
      <w:r w:rsidRPr="00007309">
        <w:rPr>
          <w:rFonts w:cs="Arial"/>
          <w:b/>
          <w:bCs/>
          <w:sz w:val="24"/>
          <w:szCs w:val="24"/>
          <w:rtl/>
        </w:rPr>
        <w:t xml:space="preserve">בּוּצִינָא דְּקַרְדִּינוּתָא, </w:t>
      </w:r>
      <w:r w:rsidRPr="00007309">
        <w:rPr>
          <w:rFonts w:cs="Arial"/>
          <w:b/>
          <w:bCs/>
          <w:sz w:val="24"/>
          <w:szCs w:val="24"/>
          <w:vertAlign w:val="superscript"/>
          <w:rtl/>
        </w:rPr>
        <w:footnoteReference w:id="7026"/>
      </w:r>
      <w:r w:rsidRPr="00007309">
        <w:rPr>
          <w:rFonts w:cs="Arial"/>
          <w:b/>
          <w:bCs/>
          <w:sz w:val="24"/>
          <w:szCs w:val="24"/>
          <w:rtl/>
        </w:rPr>
        <w:t xml:space="preserve">לְאַעְטְרָא לְכֹלָּא, </w:t>
      </w:r>
      <w:r w:rsidRPr="00007309">
        <w:rPr>
          <w:rFonts w:cs="Arial"/>
          <w:b/>
          <w:bCs/>
          <w:sz w:val="24"/>
          <w:szCs w:val="24"/>
          <w:vertAlign w:val="superscript"/>
          <w:rtl/>
        </w:rPr>
        <w:footnoteReference w:id="7027"/>
      </w:r>
      <w:r w:rsidRPr="00007309">
        <w:rPr>
          <w:rFonts w:cs="Arial"/>
          <w:b/>
          <w:bCs/>
          <w:sz w:val="24"/>
          <w:szCs w:val="24"/>
          <w:rtl/>
        </w:rPr>
        <w:t xml:space="preserve">לְאַנְהָגָא לימא רַבָּא דְּלָא יִפּוּק מִשִּׁעוּרָא לְבַר. </w:t>
      </w:r>
      <w:r w:rsidRPr="00007309">
        <w:rPr>
          <w:rFonts w:cs="Arial"/>
          <w:b/>
          <w:bCs/>
          <w:sz w:val="24"/>
          <w:szCs w:val="24"/>
          <w:vertAlign w:val="superscript"/>
          <w:rtl/>
        </w:rPr>
        <w:footnoteReference w:id="7028"/>
      </w:r>
      <w:r w:rsidRPr="00007309">
        <w:rPr>
          <w:rFonts w:cs="Arial"/>
          <w:b/>
          <w:bCs/>
          <w:sz w:val="24"/>
          <w:szCs w:val="24"/>
          <w:rtl/>
        </w:rPr>
        <w:t xml:space="preserve">הָדָא הוּא דִּכְתִיב (איוב לח) עַד פֹּה תָּבֹא וְלא תּוֹסִיף וּפֹה יָשִׁית בְּגָאוֹן גַּלֶּיךָ. </w:t>
      </w:r>
      <w:r w:rsidRPr="00007309">
        <w:rPr>
          <w:rFonts w:cs="Arial"/>
          <w:b/>
          <w:bCs/>
          <w:sz w:val="24"/>
          <w:szCs w:val="24"/>
          <w:vertAlign w:val="superscript"/>
          <w:rtl/>
        </w:rPr>
        <w:footnoteReference w:id="7029"/>
      </w:r>
      <w:r w:rsidRPr="00007309">
        <w:rPr>
          <w:rFonts w:cs="Arial"/>
          <w:b/>
          <w:bCs/>
          <w:sz w:val="24"/>
          <w:szCs w:val="24"/>
          <w:rtl/>
        </w:rPr>
        <w:t>פֹּ"ה שִׁיעוּרָא דְּבוּצִינָא</w:t>
      </w:r>
      <w:r w:rsidRPr="00007309">
        <w:rPr>
          <w:rFonts w:cs="Arial" w:hint="cs"/>
          <w:b/>
          <w:bCs/>
          <w:sz w:val="24"/>
          <w:szCs w:val="24"/>
          <w:rtl/>
        </w:rPr>
        <w:t>,</w:t>
      </w:r>
      <w:r w:rsidRPr="00007309">
        <w:rPr>
          <w:rFonts w:cs="Arial"/>
          <w:b/>
          <w:bCs/>
          <w:sz w:val="24"/>
          <w:szCs w:val="24"/>
          <w:rtl/>
        </w:rPr>
        <w:t xml:space="preserve"> פ' תְּמָנִין מַטְלָנִין, מִגּוֹ שֵׁירוּתָא דְּעִגּוּלָא גּוֹ עוּמְקָא. </w:t>
      </w:r>
      <w:r w:rsidRPr="00007309">
        <w:rPr>
          <w:rFonts w:cs="Arial"/>
          <w:b/>
          <w:bCs/>
          <w:sz w:val="24"/>
          <w:szCs w:val="24"/>
          <w:vertAlign w:val="superscript"/>
          <w:rtl/>
        </w:rPr>
        <w:footnoteReference w:id="7030"/>
      </w:r>
      <w:r w:rsidRPr="00007309">
        <w:rPr>
          <w:rFonts w:cs="Arial"/>
          <w:b/>
          <w:bCs/>
          <w:sz w:val="24"/>
          <w:szCs w:val="24"/>
          <w:rtl/>
        </w:rPr>
        <w:t>כ' עִגּוּלָא</w:t>
      </w:r>
      <w:r w:rsidRPr="00007309">
        <w:rPr>
          <w:rFonts w:cs="Arial" w:hint="cs"/>
          <w:b/>
          <w:bCs/>
          <w:sz w:val="24"/>
          <w:szCs w:val="24"/>
          <w:rtl/>
        </w:rPr>
        <w:t>,</w:t>
      </w:r>
      <w:r w:rsidRPr="00007309">
        <w:rPr>
          <w:rFonts w:cs="Arial"/>
          <w:b/>
          <w:bCs/>
          <w:sz w:val="24"/>
          <w:szCs w:val="24"/>
          <w:rtl/>
        </w:rPr>
        <w:t xml:space="preserve"> עוּמְקָא דְּעָאִיל לְגוֹ בְּהַהוּא עִגּוּלָא ו</w:t>
      </w:r>
      <w:r w:rsidRPr="00007309">
        <w:rPr>
          <w:rFonts w:cs="Arial" w:hint="cs"/>
          <w:b/>
          <w:bCs/>
          <w:sz w:val="24"/>
          <w:szCs w:val="24"/>
          <w:rtl/>
        </w:rPr>
        <w:t xml:space="preserve">', </w:t>
      </w:r>
      <w:r w:rsidRPr="00007309">
        <w:rPr>
          <w:rFonts w:cs="Arial"/>
          <w:b/>
          <w:bCs/>
          <w:sz w:val="24"/>
          <w:szCs w:val="24"/>
          <w:rtl/>
        </w:rPr>
        <w:t>בְּדִיּוֹקְנָא דְּהַאי כ"ו, וְהַאי פ' עי</w:t>
      </w:r>
      <w:r w:rsidRPr="00007309">
        <w:rPr>
          <w:rFonts w:cs="Arial" w:hint="cs"/>
          <w:b/>
          <w:bCs/>
          <w:sz w:val="24"/>
          <w:szCs w:val="24"/>
          <w:rtl/>
        </w:rPr>
        <w:t>ג</w:t>
      </w:r>
      <w:r w:rsidRPr="00007309">
        <w:rPr>
          <w:rFonts w:cs="Arial"/>
          <w:b/>
          <w:bCs/>
          <w:sz w:val="24"/>
          <w:szCs w:val="24"/>
          <w:rtl/>
        </w:rPr>
        <w:t>ולא וְעוּמְקָא. רִבּוּעָא גּוֹ חַמְשִׁין מַטְלָנִין ה'</w:t>
      </w:r>
      <w:r w:rsidRPr="00007309">
        <w:rPr>
          <w:rFonts w:cs="Arial" w:hint="cs"/>
          <w:b/>
          <w:bCs/>
          <w:sz w:val="24"/>
          <w:szCs w:val="24"/>
          <w:rtl/>
        </w:rPr>
        <w:t>,</w:t>
      </w:r>
      <w:r w:rsidRPr="00007309">
        <w:rPr>
          <w:rFonts w:cs="Arial"/>
          <w:b/>
          <w:bCs/>
          <w:sz w:val="24"/>
          <w:szCs w:val="24"/>
          <w:rtl/>
        </w:rPr>
        <w:t xml:space="preserve"> רִבּוּעָא גּוֹ מִשְׁחָתָא ו'</w:t>
      </w:r>
      <w:r w:rsidRPr="00007309">
        <w:rPr>
          <w:rFonts w:cs="Arial" w:hint="cs"/>
          <w:b/>
          <w:bCs/>
          <w:sz w:val="24"/>
          <w:szCs w:val="24"/>
          <w:rtl/>
        </w:rPr>
        <w:t>,</w:t>
      </w:r>
      <w:r w:rsidRPr="00007309">
        <w:rPr>
          <w:rFonts w:cs="Arial"/>
          <w:b/>
          <w:bCs/>
          <w:sz w:val="24"/>
          <w:szCs w:val="24"/>
          <w:rtl/>
        </w:rPr>
        <w:t xml:space="preserve"> </w:t>
      </w:r>
      <w:r w:rsidRPr="00007309">
        <w:rPr>
          <w:rFonts w:cs="Arial" w:hint="cs"/>
          <w:b/>
          <w:bCs/>
          <w:sz w:val="24"/>
          <w:szCs w:val="24"/>
          <w:rtl/>
        </w:rPr>
        <w:t>כ</w:t>
      </w:r>
      <w:r w:rsidRPr="00007309">
        <w:rPr>
          <w:rFonts w:cs="Arial"/>
          <w:b/>
          <w:bCs/>
          <w:sz w:val="24"/>
          <w:szCs w:val="24"/>
          <w:rtl/>
        </w:rPr>
        <w:t xml:space="preserve">ְּדִיּוֹקְנָא דְּאָעִיל בְּעִגּוּלָא הַהוּא דִּיּוֹקְנָא מַמָּשׁ אָעִיל בְּרִבּוּעָא. </w:t>
      </w:r>
    </w:p>
    <w:p w:rsidR="00007309" w:rsidRPr="00007309" w:rsidRDefault="00007309" w:rsidP="00007309">
      <w:pPr>
        <w:keepNext/>
        <w:outlineLvl w:val="1"/>
        <w:rPr>
          <w:rFonts w:ascii="Cambria" w:hAnsi="Cambria" w:cs="Times New Roman"/>
          <w:b/>
          <w:bCs/>
          <w:i/>
          <w:iCs/>
          <w:sz w:val="28"/>
          <w:szCs w:val="28"/>
          <w:rtl/>
        </w:rPr>
      </w:pPr>
      <w:r w:rsidRPr="00007309">
        <w:rPr>
          <w:rFonts w:ascii="Cambria" w:hAnsi="Cambria" w:cs="Times New Roman"/>
          <w:b/>
          <w:bCs/>
          <w:i/>
          <w:iCs/>
          <w:sz w:val="28"/>
          <w:szCs w:val="28"/>
          <w:rtl/>
        </w:rPr>
        <w:t>[</w:t>
      </w:r>
      <w:r w:rsidRPr="00007309">
        <w:rPr>
          <w:rFonts w:ascii="Cambria" w:hAnsi="Cambria" w:cs="Times New Roman" w:hint="cs"/>
          <w:b/>
          <w:bCs/>
          <w:i/>
          <w:iCs/>
          <w:sz w:val="28"/>
          <w:szCs w:val="28"/>
          <w:rtl/>
        </w:rPr>
        <w:t>דף</w:t>
      </w:r>
      <w:r w:rsidRPr="00007309">
        <w:rPr>
          <w:rFonts w:ascii="Cambria" w:hAnsi="Cambria" w:cs="Times New Roman"/>
          <w:b/>
          <w:bCs/>
          <w:i/>
          <w:iCs/>
          <w:sz w:val="28"/>
          <w:szCs w:val="28"/>
          <w:rtl/>
        </w:rPr>
        <w:t xml:space="preserve"> ע</w:t>
      </w:r>
      <w:r w:rsidRPr="00007309">
        <w:rPr>
          <w:rFonts w:ascii="Cambria" w:hAnsi="Cambria" w:cs="Times New Roman" w:hint="cs"/>
          <w:b/>
          <w:bCs/>
          <w:i/>
          <w:iCs/>
          <w:sz w:val="28"/>
          <w:szCs w:val="28"/>
          <w:rtl/>
        </w:rPr>
        <w:t>ט</w:t>
      </w:r>
      <w:r w:rsidRPr="00007309">
        <w:rPr>
          <w:rFonts w:ascii="Cambria" w:hAnsi="Cambria" w:cs="Times New Roman"/>
          <w:b/>
          <w:bCs/>
          <w:i/>
          <w:iCs/>
          <w:sz w:val="28"/>
          <w:szCs w:val="28"/>
          <w:rtl/>
        </w:rPr>
        <w:t xml:space="preserve"> ע"</w:t>
      </w:r>
      <w:r w:rsidRPr="00007309">
        <w:rPr>
          <w:rFonts w:ascii="Cambria" w:hAnsi="Cambria" w:cs="Times New Roman" w:hint="cs"/>
          <w:b/>
          <w:bCs/>
          <w:i/>
          <w:iCs/>
          <w:sz w:val="28"/>
          <w:szCs w:val="28"/>
          <w:rtl/>
        </w:rPr>
        <w:t>ב</w:t>
      </w:r>
      <w:r w:rsidRPr="00007309">
        <w:rPr>
          <w:rFonts w:ascii="Cambria" w:hAnsi="Cambria" w:cs="Times New Roman"/>
          <w:b/>
          <w:bCs/>
          <w:i/>
          <w:iCs/>
          <w:sz w:val="28"/>
          <w:szCs w:val="28"/>
          <w:rtl/>
        </w:rPr>
        <w:t>]</w:t>
      </w:r>
    </w:p>
    <w:p w:rsidR="00007309" w:rsidRPr="00007309" w:rsidRDefault="00007309" w:rsidP="00007309">
      <w:pPr>
        <w:keepNext/>
        <w:spacing w:before="240" w:after="60"/>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 xml:space="preserve"> [וילנא יט ע"ב]</w:t>
      </w:r>
    </w:p>
    <w:p w:rsidR="00007309" w:rsidRPr="00007309" w:rsidRDefault="00007309" w:rsidP="00007309">
      <w:pPr>
        <w:jc w:val="both"/>
        <w:rPr>
          <w:rFonts w:cs="Arial"/>
          <w:b/>
          <w:bCs/>
          <w:sz w:val="24"/>
          <w:szCs w:val="24"/>
          <w:rtl/>
        </w:rPr>
      </w:pPr>
      <w:r w:rsidRPr="00007309">
        <w:rPr>
          <w:rFonts w:cs="Arial"/>
          <w:b/>
          <w:bCs/>
          <w:sz w:val="24"/>
          <w:szCs w:val="24"/>
          <w:rtl/>
        </w:rPr>
        <w:t xml:space="preserve">בּוּצִינָא דְּקַרְדִּינוּתָא אִתְפְּשַׁט בְּכָל אִנּוּן קִשְׁרִין </w:t>
      </w:r>
      <w:r w:rsidRPr="00007309">
        <w:rPr>
          <w:rFonts w:cs="Arial"/>
          <w:b/>
          <w:bCs/>
          <w:sz w:val="24"/>
          <w:szCs w:val="24"/>
          <w:vertAlign w:val="superscript"/>
          <w:rtl/>
        </w:rPr>
        <w:footnoteReference w:id="7031"/>
      </w:r>
      <w:r w:rsidRPr="00007309">
        <w:rPr>
          <w:rFonts w:cs="Arial"/>
          <w:b/>
          <w:bCs/>
          <w:sz w:val="24"/>
          <w:szCs w:val="24"/>
          <w:rtl/>
        </w:rPr>
        <w:t>וְסִימָנֵהוֹן חוֹ"ל. ח' לְעֵלָּא, ו' בְּאֶמְצַע, ל' בְּכֻלְּהוּ</w:t>
      </w:r>
      <w:r w:rsidRPr="00007309">
        <w:rPr>
          <w:rFonts w:cs="Arial" w:hint="cs"/>
          <w:b/>
          <w:bCs/>
          <w:sz w:val="24"/>
          <w:szCs w:val="24"/>
          <w:rtl/>
        </w:rPr>
        <w:t>.</w:t>
      </w:r>
      <w:r w:rsidRPr="00007309">
        <w:rPr>
          <w:rFonts w:cs="Arial"/>
          <w:b/>
          <w:bCs/>
          <w:sz w:val="24"/>
          <w:szCs w:val="24"/>
          <w:rtl/>
        </w:rPr>
        <w:t xml:space="preserve"> כַּד אִתְפַּשְּׁטַת בּוּצִינָא, </w:t>
      </w:r>
      <w:r w:rsidRPr="00007309">
        <w:rPr>
          <w:rFonts w:cs="Arial"/>
          <w:b/>
          <w:bCs/>
          <w:sz w:val="24"/>
          <w:szCs w:val="24"/>
          <w:vertAlign w:val="superscript"/>
          <w:rtl/>
        </w:rPr>
        <w:footnoteReference w:id="7032"/>
      </w:r>
      <w:r w:rsidRPr="00007309">
        <w:rPr>
          <w:rFonts w:cs="Arial"/>
          <w:b/>
          <w:bCs/>
          <w:sz w:val="24"/>
          <w:szCs w:val="24"/>
          <w:rtl/>
        </w:rPr>
        <w:t xml:space="preserve">כָּל חַד וְחַד עָבִיד תְּחוּמָא לְתַבְרָא גָּלוּי דְּיַמָּא. שָׁרָאָן גַּלְיָן וְסַלְקִין רֻגְזִין, </w:t>
      </w:r>
      <w:r w:rsidRPr="00007309">
        <w:rPr>
          <w:rFonts w:cs="Arial"/>
          <w:b/>
          <w:bCs/>
          <w:sz w:val="24"/>
          <w:szCs w:val="24"/>
          <w:vertAlign w:val="superscript"/>
          <w:rtl/>
        </w:rPr>
        <w:footnoteReference w:id="7033"/>
      </w:r>
      <w:r w:rsidRPr="00007309">
        <w:rPr>
          <w:rFonts w:cs="Arial"/>
          <w:b/>
          <w:bCs/>
          <w:sz w:val="24"/>
          <w:szCs w:val="24"/>
          <w:rtl/>
        </w:rPr>
        <w:t>נָפְקָא ח' קִשְׁרָא בְּרָזוֹי וּבָטַשׁ</w:t>
      </w:r>
      <w:r w:rsidRPr="00007309">
        <w:rPr>
          <w:rFonts w:cs="Arial"/>
          <w:b/>
          <w:bCs/>
          <w:sz w:val="24"/>
          <w:szCs w:val="24"/>
        </w:rPr>
        <w:t xml:space="preserve"> </w:t>
      </w:r>
      <w:r w:rsidRPr="00007309">
        <w:rPr>
          <w:rFonts w:cs="Arial"/>
          <w:b/>
          <w:bCs/>
          <w:sz w:val="24"/>
          <w:szCs w:val="24"/>
          <w:rtl/>
        </w:rPr>
        <w:t>לּוֹן וְרָשִׁים בְּמִשְׁחָתָא וְאַהַדְרוּ גַּלְיָן לִסְטָר מִזְרָח</w:t>
      </w:r>
      <w:r w:rsidRPr="00007309">
        <w:rPr>
          <w:rFonts w:cs="Arial" w:hint="cs"/>
          <w:b/>
          <w:bCs/>
          <w:sz w:val="24"/>
          <w:szCs w:val="24"/>
          <w:rtl/>
        </w:rPr>
        <w:t>,</w:t>
      </w:r>
      <w:r w:rsidRPr="00007309">
        <w:rPr>
          <w:rFonts w:cs="Arial"/>
          <w:b/>
          <w:bCs/>
          <w:sz w:val="24"/>
          <w:szCs w:val="24"/>
          <w:rtl/>
        </w:rPr>
        <w:t xml:space="preserve"> שְׁרָאָן גַּלְיָן לִסְטַר צָפוֹן רָגְזִין וְסָלְקִין וְרָעֲשִׁין</w:t>
      </w:r>
      <w:r w:rsidRPr="00007309">
        <w:rPr>
          <w:rFonts w:cs="Arial" w:hint="cs"/>
          <w:b/>
          <w:bCs/>
          <w:sz w:val="24"/>
          <w:szCs w:val="24"/>
          <w:rtl/>
        </w:rPr>
        <w:t>,</w:t>
      </w:r>
      <w:r w:rsidRPr="00007309">
        <w:rPr>
          <w:rFonts w:cs="Arial"/>
          <w:b/>
          <w:bCs/>
          <w:sz w:val="24"/>
          <w:szCs w:val="24"/>
          <w:rtl/>
        </w:rPr>
        <w:t xml:space="preserve"> </w:t>
      </w:r>
      <w:r w:rsidRPr="00007309">
        <w:rPr>
          <w:rFonts w:cs="Arial"/>
          <w:b/>
          <w:bCs/>
          <w:sz w:val="24"/>
          <w:szCs w:val="24"/>
          <w:vertAlign w:val="superscript"/>
          <w:rtl/>
        </w:rPr>
        <w:footnoteReference w:id="7034"/>
      </w:r>
      <w:r w:rsidRPr="00007309">
        <w:rPr>
          <w:rFonts w:cs="Arial"/>
          <w:b/>
          <w:bCs/>
          <w:sz w:val="24"/>
          <w:szCs w:val="24"/>
          <w:rtl/>
        </w:rPr>
        <w:t>וְנָפְקָא רָזָא דְּקִשְׁרָא ו' בְּכָל אִנּוּן רְשִׁימִין וּבָטַשׁ לוֹן</w:t>
      </w:r>
      <w:r w:rsidRPr="00007309">
        <w:rPr>
          <w:rFonts w:cs="Arial" w:hint="cs"/>
          <w:b/>
          <w:bCs/>
          <w:sz w:val="24"/>
          <w:szCs w:val="24"/>
          <w:rtl/>
        </w:rPr>
        <w:t>,</w:t>
      </w:r>
      <w:r w:rsidRPr="00007309">
        <w:rPr>
          <w:rFonts w:cs="Arial"/>
          <w:b/>
          <w:bCs/>
          <w:sz w:val="24"/>
          <w:szCs w:val="24"/>
          <w:rtl/>
        </w:rPr>
        <w:t xml:space="preserve"> רָשִׁים בִּרְשִׁימוּ גּוֹ מִשְׁחָתָא וְאַהְדְּרוּ גַּלְיָן לִסְטָר דָּרוֹם</w:t>
      </w:r>
      <w:r w:rsidRPr="00007309">
        <w:rPr>
          <w:rFonts w:cs="Arial" w:hint="cs"/>
          <w:b/>
          <w:bCs/>
          <w:sz w:val="24"/>
          <w:szCs w:val="24"/>
          <w:rtl/>
        </w:rPr>
        <w:t>,</w:t>
      </w:r>
      <w:r w:rsidRPr="00007309">
        <w:rPr>
          <w:rFonts w:cs="Arial"/>
          <w:b/>
          <w:bCs/>
          <w:sz w:val="24"/>
          <w:szCs w:val="24"/>
          <w:rtl/>
        </w:rPr>
        <w:t xml:space="preserve"> שָׁרָאָן גַּלְיָן וְסָלְקִין וְרָגְזִין וְרָעֲשִׁין סַלְקִין וְנַחְתִּין</w:t>
      </w:r>
      <w:r w:rsidRPr="00007309">
        <w:rPr>
          <w:rFonts w:cs="Arial" w:hint="cs"/>
          <w:b/>
          <w:bCs/>
          <w:sz w:val="24"/>
          <w:szCs w:val="24"/>
          <w:rtl/>
        </w:rPr>
        <w:t>,</w:t>
      </w:r>
      <w:r w:rsidRPr="00007309">
        <w:rPr>
          <w:rFonts w:cs="Arial"/>
          <w:b/>
          <w:bCs/>
          <w:sz w:val="24"/>
          <w:szCs w:val="24"/>
          <w:rtl/>
        </w:rPr>
        <w:t xml:space="preserve"> </w:t>
      </w:r>
      <w:r w:rsidRPr="00007309">
        <w:rPr>
          <w:rFonts w:cs="Arial"/>
          <w:b/>
          <w:bCs/>
          <w:sz w:val="24"/>
          <w:szCs w:val="24"/>
          <w:vertAlign w:val="superscript"/>
          <w:rtl/>
        </w:rPr>
        <w:footnoteReference w:id="7035"/>
      </w:r>
      <w:r w:rsidRPr="00007309">
        <w:rPr>
          <w:rFonts w:cs="Arial"/>
          <w:b/>
          <w:bCs/>
          <w:sz w:val="24"/>
          <w:szCs w:val="24"/>
          <w:rtl/>
        </w:rPr>
        <w:t>נָפְקָא ל' קִשְׁרָא דְּאִתְעֲבִיד בְּכֻלְּהוּ קִשְׁרִין</w:t>
      </w:r>
      <w:r w:rsidRPr="00007309">
        <w:rPr>
          <w:rFonts w:cs="Arial" w:hint="cs"/>
          <w:b/>
          <w:bCs/>
          <w:sz w:val="24"/>
          <w:szCs w:val="24"/>
          <w:rtl/>
        </w:rPr>
        <w:t>,</w:t>
      </w:r>
      <w:r w:rsidRPr="00007309">
        <w:rPr>
          <w:rFonts w:cs="Arial"/>
          <w:b/>
          <w:bCs/>
          <w:sz w:val="24"/>
          <w:szCs w:val="24"/>
          <w:rtl/>
        </w:rPr>
        <w:t xml:space="preserve"> מַגְדְּלָא בְּשׁוּרוֹי, </w:t>
      </w:r>
      <w:r w:rsidRPr="00007309">
        <w:rPr>
          <w:rFonts w:cs="Arial"/>
          <w:b/>
          <w:bCs/>
          <w:sz w:val="24"/>
          <w:szCs w:val="24"/>
          <w:vertAlign w:val="superscript"/>
          <w:rtl/>
        </w:rPr>
        <w:footnoteReference w:id="7036"/>
      </w:r>
      <w:r w:rsidRPr="00007309">
        <w:rPr>
          <w:rFonts w:cs="Arial"/>
          <w:b/>
          <w:bCs/>
          <w:sz w:val="24"/>
          <w:szCs w:val="24"/>
          <w:rtl/>
        </w:rPr>
        <w:t>מַקָּפָן בְּעַבְרִין ו</w:t>
      </w:r>
      <w:r w:rsidRPr="00007309">
        <w:rPr>
          <w:rFonts w:cs="Arial" w:hint="cs"/>
          <w:b/>
          <w:bCs/>
          <w:sz w:val="24"/>
          <w:szCs w:val="24"/>
          <w:rtl/>
        </w:rPr>
        <w:t>ד</w:t>
      </w:r>
      <w:r w:rsidRPr="00007309">
        <w:rPr>
          <w:rFonts w:cs="Arial"/>
          <w:b/>
          <w:bCs/>
          <w:sz w:val="24"/>
          <w:szCs w:val="24"/>
          <w:rtl/>
        </w:rPr>
        <w:t>שין</w:t>
      </w:r>
      <w:r w:rsidRPr="00007309">
        <w:rPr>
          <w:rFonts w:cs="Arial" w:hint="cs"/>
          <w:b/>
          <w:bCs/>
          <w:sz w:val="24"/>
          <w:szCs w:val="24"/>
          <w:rtl/>
        </w:rPr>
        <w:t>,</w:t>
      </w:r>
      <w:r w:rsidRPr="00007309">
        <w:rPr>
          <w:rFonts w:cs="Arial"/>
          <w:b/>
          <w:bCs/>
          <w:sz w:val="24"/>
          <w:szCs w:val="24"/>
          <w:rtl/>
        </w:rPr>
        <w:t xml:space="preserve"> וְרָשִׁים בִּתְחוּמָא</w:t>
      </w:r>
      <w:r w:rsidRPr="00007309">
        <w:rPr>
          <w:rFonts w:cs="Arial" w:hint="cs"/>
          <w:b/>
          <w:bCs/>
          <w:sz w:val="24"/>
          <w:szCs w:val="24"/>
          <w:rtl/>
        </w:rPr>
        <w:t>,</w:t>
      </w:r>
      <w:r w:rsidRPr="00007309">
        <w:rPr>
          <w:rFonts w:cs="Arial"/>
          <w:b/>
          <w:bCs/>
          <w:sz w:val="24"/>
          <w:szCs w:val="24"/>
          <w:rtl/>
        </w:rPr>
        <w:t xml:space="preserve"> וְגַלְיָן </w:t>
      </w:r>
      <w:r w:rsidRPr="00007309">
        <w:rPr>
          <w:rFonts w:cs="Arial"/>
          <w:b/>
          <w:bCs/>
          <w:sz w:val="24"/>
          <w:szCs w:val="24"/>
          <w:vertAlign w:val="superscript"/>
          <w:rtl/>
        </w:rPr>
        <w:footnoteReference w:id="7037"/>
      </w:r>
      <w:r w:rsidRPr="00007309">
        <w:rPr>
          <w:rFonts w:cs="Arial"/>
          <w:b/>
          <w:bCs/>
          <w:sz w:val="24"/>
          <w:szCs w:val="24"/>
          <w:rtl/>
        </w:rPr>
        <w:t xml:space="preserve">אַהְדְּרוּ לִסְטָר צָפוֹן לִסְטָר מִזְרָח לִסְטָר דָּרוֹם וְאִתְּבָּרוּ וְאִשְׁתְּכַךְ רֻגְזָא. הָדָא הוּא דִּכְתִיב (ירמיה ה) אֲשֶׁר שַׂמְתִּי חוֹל גְּבוּל לַיָּם. ח"ל סַלְקִין בָּאֲוֵירָא אִתְעָרְבוּ בְּאַתְוָן, וְאַתְוָן שָׁרָאָן עלון לְנָפְקָא בְּהוֹן קָלִין דְּקָלַיָּא, </w:t>
      </w:r>
      <w:r w:rsidRPr="00007309">
        <w:rPr>
          <w:rFonts w:cs="Arial"/>
          <w:b/>
          <w:bCs/>
          <w:sz w:val="24"/>
          <w:szCs w:val="24"/>
          <w:vertAlign w:val="superscript"/>
          <w:rtl/>
        </w:rPr>
        <w:footnoteReference w:id="7038"/>
      </w:r>
      <w:r w:rsidRPr="00007309">
        <w:rPr>
          <w:rFonts w:cs="Arial"/>
          <w:b/>
          <w:bCs/>
          <w:sz w:val="24"/>
          <w:szCs w:val="24"/>
          <w:rtl/>
        </w:rPr>
        <w:t xml:space="preserve">וְאִלֵּין אִנּוּן תְּחוּמָא לְשַׁכְלוּלָא דְּרָזָא דִּמְהֵימְנוּתָא. וְאִלֵּין חֵי"ךְ וְלִישָׁ"ן וּמַגְדְּלָא דְּשִׁנִּין, עַל אִלֵּין שַׁרְיָאן כֹּלָּא. </w:t>
      </w:r>
      <w:r w:rsidRPr="00007309">
        <w:rPr>
          <w:rFonts w:cs="Arial"/>
          <w:b/>
          <w:bCs/>
          <w:sz w:val="24"/>
          <w:szCs w:val="24"/>
          <w:vertAlign w:val="superscript"/>
          <w:rtl/>
        </w:rPr>
        <w:footnoteReference w:id="7039"/>
      </w:r>
      <w:r w:rsidRPr="00007309">
        <w:rPr>
          <w:rFonts w:cs="Arial"/>
          <w:b/>
          <w:bCs/>
          <w:sz w:val="24"/>
          <w:szCs w:val="24"/>
          <w:rtl/>
        </w:rPr>
        <w:t>וְאִלֵּין אִנּוּן דְּאִתְכַּסְּיָן בְּקָלָא פְּנִימָאָה, וּבְקָלָא דְּאִשְׁתְּמַע</w:t>
      </w:r>
      <w:r w:rsidRPr="00007309">
        <w:rPr>
          <w:rFonts w:cs="Arial" w:hint="cs"/>
          <w:b/>
          <w:bCs/>
          <w:sz w:val="24"/>
          <w:szCs w:val="24"/>
          <w:rtl/>
        </w:rPr>
        <w:t>,</w:t>
      </w:r>
      <w:r w:rsidRPr="00007309">
        <w:rPr>
          <w:rFonts w:cs="Arial"/>
          <w:b/>
          <w:bCs/>
          <w:sz w:val="24"/>
          <w:szCs w:val="24"/>
          <w:rtl/>
        </w:rPr>
        <w:t xml:space="preserve"> וּבְמִלּוּלָא. וְאִלֵּין </w:t>
      </w:r>
      <w:r w:rsidRPr="00007309">
        <w:rPr>
          <w:rFonts w:ascii="Cambria" w:hAnsi="Cambria" w:cs="Times New Roman" w:hint="cs"/>
          <w:b/>
          <w:bCs/>
          <w:i/>
          <w:iCs/>
          <w:color w:val="4F81BD"/>
          <w:sz w:val="24"/>
          <w:szCs w:val="24"/>
          <w:rtl/>
        </w:rPr>
        <w:t>(וילנא יט ע"ב)</w:t>
      </w:r>
      <w:r w:rsidRPr="00007309">
        <w:rPr>
          <w:rFonts w:cs="Arial" w:hint="cs"/>
          <w:b/>
          <w:bCs/>
          <w:sz w:val="24"/>
          <w:szCs w:val="24"/>
          <w:rtl/>
        </w:rPr>
        <w:t xml:space="preserve"> </w:t>
      </w:r>
      <w:r w:rsidRPr="00007309">
        <w:rPr>
          <w:rFonts w:cs="Arial"/>
          <w:b/>
          <w:bCs/>
          <w:sz w:val="24"/>
          <w:szCs w:val="24"/>
          <w:rtl/>
        </w:rPr>
        <w:t xml:space="preserve">אִנּוּן תְּחוּמָא לְאִלֵּין. </w:t>
      </w:r>
      <w:r w:rsidRPr="00007309">
        <w:rPr>
          <w:rFonts w:cs="Arial"/>
          <w:b/>
          <w:bCs/>
          <w:sz w:val="24"/>
          <w:szCs w:val="24"/>
          <w:vertAlign w:val="superscript"/>
          <w:rtl/>
        </w:rPr>
        <w:footnoteReference w:id="7040"/>
      </w:r>
      <w:r w:rsidRPr="00007309">
        <w:rPr>
          <w:rFonts w:cs="Arial"/>
          <w:b/>
          <w:bCs/>
          <w:sz w:val="24"/>
          <w:szCs w:val="24"/>
          <w:rtl/>
        </w:rPr>
        <w:t xml:space="preserve">אִלֵּין מְשַׁנְיָן לְכִתְרָא קַדְמָאָה דַּהֲוָה בִּסְתִימוּ. </w:t>
      </w:r>
      <w:r w:rsidRPr="00007309">
        <w:rPr>
          <w:rFonts w:cs="Arial"/>
          <w:b/>
          <w:bCs/>
          <w:sz w:val="24"/>
          <w:szCs w:val="24"/>
          <w:vertAlign w:val="superscript"/>
          <w:rtl/>
        </w:rPr>
        <w:footnoteReference w:id="7041"/>
      </w:r>
      <w:r w:rsidRPr="00007309">
        <w:rPr>
          <w:rFonts w:cs="Arial"/>
          <w:b/>
          <w:bCs/>
          <w:sz w:val="24"/>
          <w:szCs w:val="24"/>
          <w:rtl/>
        </w:rPr>
        <w:t xml:space="preserve">וְכַד אִתְפְּשַׁט מָטָאת לְחַד מֵאִלֵּין, וְאִשְׁתַּנֵּי </w:t>
      </w:r>
      <w:r w:rsidRPr="00007309">
        <w:rPr>
          <w:rFonts w:cs="Arial"/>
          <w:b/>
          <w:bCs/>
          <w:sz w:val="24"/>
          <w:szCs w:val="24"/>
          <w:vertAlign w:val="superscript"/>
          <w:rtl/>
        </w:rPr>
        <w:footnoteReference w:id="7042"/>
      </w:r>
      <w:r w:rsidRPr="00007309">
        <w:rPr>
          <w:rFonts w:cs="Arial"/>
          <w:b/>
          <w:bCs/>
          <w:sz w:val="24"/>
          <w:szCs w:val="24"/>
          <w:rtl/>
        </w:rPr>
        <w:t>וְאִתְעֲבִיד רוח</w:t>
      </w:r>
      <w:r w:rsidRPr="00007309">
        <w:rPr>
          <w:rFonts w:cs="Arial" w:hint="cs"/>
          <w:b/>
          <w:bCs/>
          <w:sz w:val="24"/>
          <w:szCs w:val="24"/>
          <w:rtl/>
        </w:rPr>
        <w:t>א</w:t>
      </w:r>
      <w:r w:rsidRPr="00007309">
        <w:rPr>
          <w:rFonts w:cs="Arial"/>
          <w:b/>
          <w:bCs/>
          <w:sz w:val="24"/>
          <w:szCs w:val="24"/>
          <w:rtl/>
        </w:rPr>
        <w:t xml:space="preserve"> דְּלָא שָׁכִיךְ לְעָלְמִין וּנְבִיעוּ תָּדִיר. </w:t>
      </w:r>
      <w:r w:rsidRPr="00007309">
        <w:rPr>
          <w:rFonts w:cs="Arial"/>
          <w:b/>
          <w:bCs/>
          <w:sz w:val="24"/>
          <w:szCs w:val="24"/>
          <w:vertAlign w:val="superscript"/>
          <w:rtl/>
        </w:rPr>
        <w:footnoteReference w:id="7043"/>
      </w:r>
      <w:r w:rsidRPr="00007309">
        <w:rPr>
          <w:rFonts w:cs="Arial"/>
          <w:b/>
          <w:bCs/>
          <w:sz w:val="24"/>
          <w:szCs w:val="24"/>
          <w:rtl/>
        </w:rPr>
        <w:t xml:space="preserve">בְּגִין דְּהַהוּא קִשְׁרָא דְּאִיהוּ תְּחוּמָא </w:t>
      </w:r>
      <w:r w:rsidRPr="00007309">
        <w:rPr>
          <w:rFonts w:ascii="Cambria" w:hAnsi="Cambria" w:cs="Times New Roman" w:hint="cs"/>
          <w:b/>
          <w:bCs/>
          <w:i/>
          <w:iCs/>
          <w:color w:val="4F81BD"/>
          <w:sz w:val="24"/>
          <w:szCs w:val="24"/>
          <w:rtl/>
        </w:rPr>
        <w:t>(עט ע"ב)</w:t>
      </w:r>
      <w:r w:rsidRPr="00007309">
        <w:rPr>
          <w:rFonts w:cs="Arial" w:hint="cs"/>
          <w:b/>
          <w:bCs/>
          <w:sz w:val="24"/>
          <w:szCs w:val="24"/>
          <w:rtl/>
        </w:rPr>
        <w:t xml:space="preserve"> </w:t>
      </w:r>
      <w:r w:rsidRPr="00007309">
        <w:rPr>
          <w:rFonts w:cs="Arial"/>
          <w:b/>
          <w:bCs/>
          <w:sz w:val="24"/>
          <w:szCs w:val="24"/>
          <w:rtl/>
        </w:rPr>
        <w:t xml:space="preserve">דְּבוּצִינָא, בָּטַשׁ בֵּהּ, וּבְגִינֵהּ נָבִיעַ </w:t>
      </w:r>
      <w:r w:rsidRPr="00007309">
        <w:rPr>
          <w:rFonts w:cs="Arial" w:hint="cs"/>
          <w:b/>
          <w:bCs/>
          <w:sz w:val="24"/>
          <w:szCs w:val="24"/>
          <w:rtl/>
        </w:rPr>
        <w:t>ב</w:t>
      </w:r>
      <w:r w:rsidRPr="00007309">
        <w:rPr>
          <w:rFonts w:cs="Arial"/>
          <w:b/>
          <w:bCs/>
          <w:sz w:val="24"/>
          <w:szCs w:val="24"/>
          <w:rtl/>
        </w:rPr>
        <w:t xml:space="preserve">ַּחֲשַׁאי, וְדָא רָזָא ח' חֵיךְ, הָכֵי אִתְקְרֵי. </w:t>
      </w:r>
      <w:r w:rsidRPr="00007309">
        <w:rPr>
          <w:rFonts w:cs="Arial"/>
          <w:b/>
          <w:bCs/>
          <w:sz w:val="24"/>
          <w:szCs w:val="24"/>
          <w:vertAlign w:val="superscript"/>
          <w:rtl/>
        </w:rPr>
        <w:footnoteReference w:id="7044"/>
      </w:r>
      <w:r w:rsidRPr="00007309">
        <w:rPr>
          <w:rFonts w:cs="Arial"/>
          <w:b/>
          <w:bCs/>
          <w:sz w:val="24"/>
          <w:szCs w:val="24"/>
          <w:rtl/>
        </w:rPr>
        <w:t>דָּא עָבִיד בִּנְיָנָא בְּגָרוֹן דְּבַר נָשׁ. וְדָא הוּא תְּחוּמָא קַדְמָאָה</w:t>
      </w:r>
      <w:r w:rsidRPr="00007309">
        <w:rPr>
          <w:rFonts w:cs="Arial" w:hint="cs"/>
          <w:b/>
          <w:bCs/>
          <w:sz w:val="24"/>
          <w:szCs w:val="24"/>
          <w:rtl/>
        </w:rPr>
        <w:t>.</w:t>
      </w:r>
    </w:p>
    <w:p w:rsidR="00007309" w:rsidRPr="00007309" w:rsidRDefault="00007309" w:rsidP="00007309">
      <w:pPr>
        <w:keepNext/>
        <w:spacing w:before="240" w:after="60"/>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[וילנא כ ע"א]</w:t>
      </w:r>
    </w:p>
    <w:p w:rsidR="00007309" w:rsidRPr="00007309" w:rsidRDefault="00007309" w:rsidP="00007309">
      <w:pPr>
        <w:jc w:val="both"/>
        <w:rPr>
          <w:rFonts w:cs="Arial"/>
          <w:b/>
          <w:bCs/>
          <w:sz w:val="24"/>
          <w:szCs w:val="24"/>
          <w:rtl/>
        </w:rPr>
      </w:pPr>
      <w:r w:rsidRPr="00007309">
        <w:rPr>
          <w:rFonts w:cs="Arial"/>
          <w:b/>
          <w:bCs/>
          <w:sz w:val="24"/>
          <w:szCs w:val="24"/>
          <w:vertAlign w:val="superscript"/>
          <w:rtl/>
        </w:rPr>
        <w:footnoteReference w:id="7045"/>
      </w:r>
      <w:r w:rsidRPr="00007309">
        <w:rPr>
          <w:rFonts w:cs="Arial"/>
          <w:b/>
          <w:bCs/>
          <w:sz w:val="24"/>
          <w:szCs w:val="24"/>
          <w:rtl/>
        </w:rPr>
        <w:t xml:space="preserve">כַּד בָּעָא לְאִתְפַּשְּׁטָא הַהוּא נְקֻדָּה, סָלִיק הַאי קִשְׁרָא וְנָטִיל לֵהּ מֵהַאי אֲתַר, וְשָׁנֵי לֵהּ בִּתְלָת גְּוָנִין, בְּאֶשָּׁא בְּרוּחָא בְּמַיָּא. </w:t>
      </w:r>
      <w:r w:rsidRPr="00007309">
        <w:rPr>
          <w:rFonts w:cs="Arial"/>
          <w:b/>
          <w:bCs/>
          <w:sz w:val="36"/>
          <w:szCs w:val="28"/>
          <w:vertAlign w:val="superscript"/>
          <w:rtl/>
        </w:rPr>
        <w:footnoteReference w:id="7046"/>
      </w:r>
      <w:r w:rsidRPr="00007309">
        <w:rPr>
          <w:rFonts w:cs="Arial"/>
          <w:b/>
          <w:bCs/>
          <w:sz w:val="24"/>
          <w:szCs w:val="24"/>
          <w:rtl/>
        </w:rPr>
        <w:t xml:space="preserve">בְּגִין דְּהַאי קִשְׁרָא כַּד אִתְקַשַּׁר מֵאֵין סוֹף בְּבוּצִינָא, הָכֵי אִתְקַשַּׁר. </w:t>
      </w:r>
      <w:r w:rsidRPr="00007309">
        <w:rPr>
          <w:rFonts w:cs="Arial"/>
          <w:b/>
          <w:bCs/>
          <w:sz w:val="36"/>
          <w:szCs w:val="28"/>
          <w:vertAlign w:val="superscript"/>
          <w:rtl/>
        </w:rPr>
        <w:footnoteReference w:id="7047"/>
      </w:r>
      <w:r w:rsidRPr="00007309">
        <w:rPr>
          <w:rFonts w:cs="Arial"/>
          <w:b/>
          <w:bCs/>
          <w:sz w:val="24"/>
          <w:szCs w:val="24"/>
          <w:rtl/>
        </w:rPr>
        <w:t xml:space="preserve">וְכַד אַפִּיק קָלָא דְּאִשְׁתְּמַע מִגּוֹ דְּחִיקוּ דְּפָשִׁיט דְּמַחֲשָׁבָה, הַאי קִשְׁרָא דָּחִיק לֵהּ, </w:t>
      </w:r>
      <w:r w:rsidRPr="00007309">
        <w:rPr>
          <w:rFonts w:cs="Arial"/>
          <w:b/>
          <w:bCs/>
          <w:sz w:val="36"/>
          <w:szCs w:val="28"/>
          <w:vertAlign w:val="superscript"/>
          <w:rtl/>
        </w:rPr>
        <w:footnoteReference w:id="7048"/>
      </w:r>
      <w:r w:rsidRPr="00007309">
        <w:rPr>
          <w:rFonts w:cs="Arial"/>
          <w:b/>
          <w:bCs/>
          <w:sz w:val="24"/>
          <w:szCs w:val="24"/>
          <w:rtl/>
        </w:rPr>
        <w:t>וְשָׁדַר לֵהּ לְקִשְׁרָא תִּנְיָנָא בְּרָזָא דוא'ו דְּאִיהוּ לִישָׁן, וּבָטַשׁ הַהוּא קָלָא בֵּהּ, וְאִשְׁתְּמַע מֵהַאי סִטְרָא וְשַׁרְיָא עַל הַאי סִטְרָא דְּלִישָׁן</w:t>
      </w:r>
      <w:r w:rsidRPr="00007309">
        <w:rPr>
          <w:rFonts w:cs="Arial" w:hint="cs"/>
          <w:b/>
          <w:bCs/>
          <w:sz w:val="24"/>
          <w:szCs w:val="24"/>
          <w:rtl/>
        </w:rPr>
        <w:t>,</w:t>
      </w:r>
      <w:r w:rsidRPr="00007309">
        <w:rPr>
          <w:rFonts w:cs="Arial"/>
          <w:b/>
          <w:bCs/>
          <w:sz w:val="24"/>
          <w:szCs w:val="24"/>
          <w:rtl/>
        </w:rPr>
        <w:t xml:space="preserve"> וּבְגִין כָּךְ אִקְּרֵי הַאי קָלָא ו' לִישָׁן. </w:t>
      </w:r>
      <w:r w:rsidRPr="00007309">
        <w:rPr>
          <w:rFonts w:cs="Arial"/>
          <w:b/>
          <w:bCs/>
          <w:sz w:val="36"/>
          <w:szCs w:val="28"/>
          <w:vertAlign w:val="superscript"/>
          <w:rtl/>
        </w:rPr>
        <w:footnoteReference w:id="7049"/>
      </w:r>
      <w:r w:rsidRPr="00007309">
        <w:rPr>
          <w:rFonts w:cs="Arial"/>
          <w:b/>
          <w:bCs/>
          <w:sz w:val="24"/>
          <w:szCs w:val="24"/>
          <w:rtl/>
        </w:rPr>
        <w:t>הַאי קִשְׁרָא</w:t>
      </w:r>
      <w:r w:rsidRPr="00007309">
        <w:rPr>
          <w:rFonts w:cs="Arial"/>
          <w:b/>
          <w:bCs/>
          <w:sz w:val="24"/>
          <w:szCs w:val="24"/>
        </w:rPr>
        <w:t xml:space="preserve"> </w:t>
      </w:r>
      <w:r w:rsidRPr="00007309">
        <w:rPr>
          <w:rFonts w:cs="Arial"/>
          <w:b/>
          <w:bCs/>
          <w:sz w:val="24"/>
          <w:szCs w:val="24"/>
          <w:rtl/>
        </w:rPr>
        <w:t>דְּאִיהוּ לִישָׁן שָׁדַר לֵהּ לְגוֹ קִשְׁרָא תַּקִּיפָא, מַגְדְּלָא</w:t>
      </w:r>
      <w:r w:rsidRPr="00007309">
        <w:rPr>
          <w:rFonts w:cs="Arial" w:hint="cs"/>
          <w:b/>
          <w:bCs/>
          <w:sz w:val="24"/>
          <w:szCs w:val="24"/>
          <w:rtl/>
        </w:rPr>
        <w:t>,</w:t>
      </w:r>
      <w:r w:rsidRPr="00007309">
        <w:rPr>
          <w:rFonts w:cs="Arial"/>
          <w:b/>
          <w:bCs/>
          <w:sz w:val="24"/>
          <w:szCs w:val="24"/>
          <w:rtl/>
        </w:rPr>
        <w:t xml:space="preserve"> כְּלָלָא </w:t>
      </w:r>
      <w:r w:rsidRPr="00007309">
        <w:rPr>
          <w:rFonts w:cs="Arial"/>
          <w:b/>
          <w:bCs/>
          <w:sz w:val="36"/>
          <w:szCs w:val="28"/>
          <w:vertAlign w:val="superscript"/>
          <w:rtl/>
        </w:rPr>
        <w:footnoteReference w:id="7050"/>
      </w:r>
      <w:bookmarkStart w:id="365" w:name="כאן_המשך_אחרי_הפסקה"/>
      <w:bookmarkEnd w:id="365"/>
      <w:r w:rsidRPr="00007309">
        <w:rPr>
          <w:rFonts w:cs="Arial"/>
          <w:b/>
          <w:bCs/>
          <w:sz w:val="24"/>
          <w:szCs w:val="24"/>
          <w:rtl/>
        </w:rPr>
        <w:t xml:space="preserve">דְּעֶשְׂרִין וּתְרֵין שׁוּרִין, וּכְדֵין </w:t>
      </w:r>
      <w:r w:rsidRPr="00007309">
        <w:rPr>
          <w:rFonts w:cs="Arial"/>
          <w:b/>
          <w:bCs/>
          <w:sz w:val="36"/>
          <w:szCs w:val="28"/>
          <w:vertAlign w:val="superscript"/>
          <w:rtl/>
        </w:rPr>
        <w:footnoteReference w:id="7051"/>
      </w:r>
      <w:r w:rsidRPr="00007309">
        <w:rPr>
          <w:rFonts w:cs="Arial"/>
          <w:b/>
          <w:bCs/>
          <w:sz w:val="24"/>
          <w:szCs w:val="24"/>
          <w:rtl/>
        </w:rPr>
        <w:t xml:space="preserve">הַהוּא קָלָא אִשְׁתְּכַךְ </w:t>
      </w:r>
      <w:r w:rsidRPr="00007309">
        <w:rPr>
          <w:rFonts w:ascii="Cambria" w:hAnsi="Cambria" w:cs="Times New Roman" w:hint="cs"/>
          <w:b/>
          <w:bCs/>
          <w:i/>
          <w:iCs/>
          <w:color w:val="4F81BD"/>
          <w:sz w:val="24"/>
          <w:szCs w:val="24"/>
          <w:rtl/>
        </w:rPr>
        <w:t>(וילנא כ ע"א)</w:t>
      </w:r>
      <w:r w:rsidRPr="00007309">
        <w:rPr>
          <w:rFonts w:cs="Arial" w:hint="cs"/>
          <w:b/>
          <w:bCs/>
          <w:sz w:val="24"/>
          <w:szCs w:val="24"/>
          <w:rtl/>
        </w:rPr>
        <w:t xml:space="preserve"> </w:t>
      </w:r>
      <w:r w:rsidRPr="00007309">
        <w:rPr>
          <w:rFonts w:cs="Arial"/>
          <w:b/>
          <w:bCs/>
          <w:sz w:val="24"/>
          <w:szCs w:val="24"/>
          <w:rtl/>
        </w:rPr>
        <w:t>לְגוֹ מִלָּה</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052"/>
      </w:r>
      <w:r w:rsidRPr="00007309">
        <w:rPr>
          <w:rFonts w:cs="Arial"/>
          <w:b/>
          <w:bCs/>
          <w:sz w:val="24"/>
          <w:szCs w:val="24"/>
          <w:rtl/>
        </w:rPr>
        <w:t>בְּשִׁיעוּרָא</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053"/>
      </w:r>
      <w:r w:rsidRPr="00007309">
        <w:rPr>
          <w:rFonts w:cs="Arial"/>
          <w:b/>
          <w:bCs/>
          <w:sz w:val="24"/>
          <w:szCs w:val="24"/>
          <w:rtl/>
        </w:rPr>
        <w:t xml:space="preserve">גּוֹ תְּהוֹמָא כַּדְקָא יָאוּת. וְאִלֵּין ג' קִשְׁרִין אִנּוּן תְּחוּמָא לְאַעֲנָאָה לְקָלָא וּלְמִלָּה, וּלְכָל אִנּוּן סִטְרִין דְּנָפְקִין מִקָּלָא וּמִלָּה </w:t>
      </w:r>
      <w:r w:rsidRPr="00007309">
        <w:rPr>
          <w:rFonts w:cs="Arial"/>
          <w:b/>
          <w:bCs/>
          <w:sz w:val="36"/>
          <w:szCs w:val="28"/>
          <w:vertAlign w:val="superscript"/>
          <w:rtl/>
        </w:rPr>
        <w:footnoteReference w:id="7054"/>
      </w:r>
      <w:r w:rsidRPr="00007309">
        <w:rPr>
          <w:rFonts w:cs="Arial"/>
          <w:b/>
          <w:bCs/>
          <w:sz w:val="24"/>
          <w:szCs w:val="24"/>
          <w:rtl/>
        </w:rPr>
        <w:t xml:space="preserve">דְּאִקְּרוּן יְמֵי קֶדֶם. וְאִלֵּין אַסְגִּין יוֹמֵי בְּשִׁעוּרָא כַּדְקָא יָאוּת, לְקָלָא וּמִלָּה. וְרָזָא דָּא (איוב כט) וְכַחוֹל אַרְבֶּה יַמִּים. בְּגִין חוֹל </w:t>
      </w:r>
      <w:r w:rsidRPr="00007309">
        <w:rPr>
          <w:rFonts w:cs="Arial"/>
          <w:b/>
          <w:bCs/>
          <w:sz w:val="36"/>
          <w:szCs w:val="28"/>
          <w:vertAlign w:val="superscript"/>
          <w:rtl/>
        </w:rPr>
        <w:footnoteReference w:id="7055"/>
      </w:r>
      <w:r w:rsidRPr="00007309">
        <w:rPr>
          <w:rFonts w:cs="Arial"/>
          <w:b/>
          <w:bCs/>
          <w:sz w:val="24"/>
          <w:szCs w:val="24"/>
          <w:rtl/>
        </w:rPr>
        <w:t xml:space="preserve">אַסְגִּיאוּ יוֹמִין גּוֹ שִׁיעוּרָא דְּבוּצִינָא כַּדְקָא חֲזֵי, וְכֹלָּא מֵאֵין סוֹף. </w:t>
      </w:r>
    </w:p>
    <w:p w:rsidR="00007309" w:rsidRPr="00007309" w:rsidRDefault="00007309" w:rsidP="00007309">
      <w:pPr>
        <w:keepNext/>
        <w:spacing w:before="240" w:after="60"/>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[וילנא כ ע"ב]</w:t>
      </w:r>
    </w:p>
    <w:p w:rsidR="00007309" w:rsidRPr="00007309" w:rsidRDefault="00007309" w:rsidP="00007309">
      <w:pPr>
        <w:jc w:val="both"/>
        <w:rPr>
          <w:rFonts w:cs="Arial"/>
          <w:b/>
          <w:bCs/>
          <w:sz w:val="24"/>
          <w:szCs w:val="24"/>
        </w:rPr>
      </w:pPr>
      <w:r w:rsidRPr="00007309">
        <w:rPr>
          <w:rFonts w:cs="Arial"/>
          <w:b/>
          <w:bCs/>
          <w:sz w:val="36"/>
          <w:szCs w:val="28"/>
          <w:vertAlign w:val="superscript"/>
          <w:rtl/>
        </w:rPr>
        <w:footnoteReference w:id="7056"/>
      </w:r>
      <w:r w:rsidRPr="00007309">
        <w:rPr>
          <w:rFonts w:cs="Arial"/>
          <w:b/>
          <w:bCs/>
          <w:sz w:val="24"/>
          <w:szCs w:val="24"/>
          <w:rtl/>
        </w:rPr>
        <w:t>אֵין סוֹף</w:t>
      </w:r>
      <w:r w:rsidRPr="00007309">
        <w:rPr>
          <w:rFonts w:cs="Arial" w:hint="cs"/>
          <w:b/>
          <w:bCs/>
          <w:sz w:val="24"/>
          <w:szCs w:val="24"/>
          <w:rtl/>
        </w:rPr>
        <w:t>,</w:t>
      </w:r>
      <w:r w:rsidRPr="00007309">
        <w:rPr>
          <w:rFonts w:cs="Arial"/>
          <w:b/>
          <w:bCs/>
          <w:sz w:val="24"/>
          <w:szCs w:val="24"/>
          <w:rtl/>
        </w:rPr>
        <w:t xml:space="preserve"> כֻּלְּהוּ נִקּוּדִין דְּאוֹרַיְתָא, קִשְׁרִין אִלֵּין תְּלַת קִשְׁרִין דְּקָא </w:t>
      </w:r>
      <w:r w:rsidRPr="00007309">
        <w:rPr>
          <w:rFonts w:ascii="Cambria" w:hAnsi="Cambria" w:cs="Times New Roman" w:hint="cs"/>
          <w:b/>
          <w:bCs/>
          <w:i/>
          <w:iCs/>
          <w:color w:val="4F81BD"/>
          <w:sz w:val="24"/>
          <w:szCs w:val="24"/>
          <w:rtl/>
        </w:rPr>
        <w:t>(וילנא כ ע"ב)</w:t>
      </w:r>
      <w:r w:rsidRPr="00007309">
        <w:rPr>
          <w:rFonts w:cs="Arial" w:hint="cs"/>
          <w:b/>
          <w:bCs/>
          <w:sz w:val="24"/>
          <w:szCs w:val="24"/>
          <w:rtl/>
        </w:rPr>
        <w:t xml:space="preserve"> </w:t>
      </w:r>
      <w:r w:rsidRPr="00007309">
        <w:rPr>
          <w:rFonts w:cs="Arial"/>
          <w:b/>
          <w:bCs/>
          <w:sz w:val="24"/>
          <w:szCs w:val="24"/>
          <w:rtl/>
        </w:rPr>
        <w:t>אֲמָרָן, בְּשִׁיעוּרָא</w:t>
      </w:r>
      <w:r w:rsidRPr="00007309">
        <w:rPr>
          <w:rFonts w:cs="Arial" w:hint="cs"/>
          <w:b/>
          <w:bCs/>
          <w:sz w:val="24"/>
          <w:szCs w:val="24"/>
          <w:rtl/>
        </w:rPr>
        <w:t>,</w:t>
      </w:r>
      <w:r w:rsidRPr="00007309">
        <w:rPr>
          <w:rFonts w:cs="Arial"/>
          <w:b/>
          <w:bCs/>
          <w:sz w:val="24"/>
          <w:szCs w:val="24"/>
          <w:rtl/>
        </w:rPr>
        <w:t xml:space="preserve"> רָזָא דְּחוֹל</w:t>
      </w:r>
      <w:r w:rsidRPr="00007309">
        <w:rPr>
          <w:rFonts w:cs="Arial" w:hint="cs"/>
          <w:b/>
          <w:bCs/>
          <w:sz w:val="24"/>
          <w:szCs w:val="24"/>
          <w:rtl/>
        </w:rPr>
        <w:t>.</w:t>
      </w:r>
      <w:r w:rsidRPr="00007309">
        <w:rPr>
          <w:rFonts w:cs="Arial"/>
          <w:b/>
          <w:bCs/>
          <w:sz w:val="24"/>
          <w:szCs w:val="24"/>
          <w:rtl/>
        </w:rPr>
        <w:t xml:space="preserve"> וְאִנּוּן </w:t>
      </w:r>
      <w:r w:rsidRPr="00007309">
        <w:rPr>
          <w:rFonts w:cs="Arial"/>
          <w:b/>
          <w:bCs/>
          <w:sz w:val="36"/>
          <w:szCs w:val="28"/>
          <w:vertAlign w:val="superscript"/>
          <w:rtl/>
        </w:rPr>
        <w:footnoteReference w:id="7057"/>
      </w:r>
      <w:r w:rsidRPr="00007309">
        <w:rPr>
          <w:rFonts w:cs="Arial"/>
          <w:b/>
          <w:bCs/>
          <w:sz w:val="24"/>
          <w:szCs w:val="24"/>
          <w:rtl/>
        </w:rPr>
        <w:t>תְּלָת נִקּוּדִין דְּשַׁרְיָן עַל אַתְוָן, לְעֵלָּא וּלְאֶמְצָעִיתָא וּלְתַתָּא, וְאִנּוּן חוֹ"ל דְּקָאָמַרָן. קַדְמָאָה שַׁרְיָא לְעֵלָּא וְאִקְּרֵי בְּכֻלְּהוּ. שַׁרְיָא תִּנְיָנָא בְּאֶמְצָעִיתָא, וְשָׁנֵי שְׁמָא וְאִתְקַשַּׁר בֵּין ע</w:t>
      </w:r>
      <w:r w:rsidRPr="00007309">
        <w:rPr>
          <w:rFonts w:cs="Arial" w:hint="cs"/>
          <w:b/>
          <w:bCs/>
          <w:sz w:val="24"/>
          <w:szCs w:val="24"/>
          <w:rtl/>
        </w:rPr>
        <w:t>י</w:t>
      </w:r>
      <w:r w:rsidRPr="00007309">
        <w:rPr>
          <w:rFonts w:cs="Arial"/>
          <w:b/>
          <w:bCs/>
          <w:sz w:val="24"/>
          <w:szCs w:val="24"/>
          <w:rtl/>
        </w:rPr>
        <w:t>לא וְתַתָּא. תְּלִיתָאָה דְּאִיהוּ תַּקִּיפָא אִקְּרֵי בִּשְׁמָא אָחֳרָא. וְעַל דָּא הַנֵּי תְּלָתָא אִקְּרוּ גְּבוּל</w:t>
      </w:r>
      <w:r w:rsidRPr="00007309">
        <w:rPr>
          <w:rFonts w:cs="Arial" w:hint="cs"/>
          <w:b/>
          <w:bCs/>
          <w:sz w:val="24"/>
          <w:szCs w:val="24"/>
          <w:rtl/>
        </w:rPr>
        <w:t>,</w:t>
      </w:r>
      <w:r w:rsidRPr="00007309">
        <w:rPr>
          <w:rFonts w:cs="Arial"/>
          <w:b/>
          <w:bCs/>
          <w:sz w:val="24"/>
          <w:szCs w:val="24"/>
          <w:rtl/>
        </w:rPr>
        <w:t xml:space="preserve"> תְּחוּמָא דְּקוּלְפִין, סִטְרוֹי דְּבוּצִינָא לְשַׁוָּאָה תְּחוּמָא לְכֹלָּא לְעֵלָּא וְתַתָּא. </w:t>
      </w:r>
      <w:r w:rsidRPr="00007309">
        <w:rPr>
          <w:rFonts w:cs="Arial"/>
          <w:b/>
          <w:bCs/>
          <w:sz w:val="36"/>
          <w:szCs w:val="28"/>
          <w:vertAlign w:val="superscript"/>
          <w:rtl/>
        </w:rPr>
        <w:footnoteReference w:id="7058"/>
      </w:r>
      <w:r w:rsidRPr="00007309">
        <w:rPr>
          <w:rFonts w:cs="Arial"/>
          <w:b/>
          <w:bCs/>
          <w:sz w:val="24"/>
          <w:szCs w:val="24"/>
          <w:rtl/>
        </w:rPr>
        <w:t xml:space="preserve">מִקִּשְׁרָא תְּלִיתָאָה נָפִיק הַאי זֹהַר, וְאִיהוּ זֹהַר הָרָקִיעַ </w:t>
      </w:r>
      <w:r w:rsidRPr="00007309">
        <w:rPr>
          <w:rFonts w:cs="Arial"/>
          <w:b/>
          <w:bCs/>
          <w:sz w:val="36"/>
          <w:szCs w:val="28"/>
          <w:vertAlign w:val="superscript"/>
          <w:rtl/>
        </w:rPr>
        <w:footnoteReference w:id="7059"/>
      </w:r>
      <w:r w:rsidRPr="00007309">
        <w:rPr>
          <w:rFonts w:cs="Arial"/>
          <w:b/>
          <w:bCs/>
          <w:sz w:val="24"/>
          <w:szCs w:val="24"/>
          <w:rtl/>
        </w:rPr>
        <w:t xml:space="preserve">דְּבֵהּ שִׁמְשָׁא וְסִיהֲרָא כְּכוֹכָבִים וּמַזָּלֵי לְאַנְהָרָא. </w:t>
      </w:r>
      <w:r w:rsidRPr="00007309">
        <w:rPr>
          <w:rFonts w:cs="Arial"/>
          <w:b/>
          <w:bCs/>
          <w:sz w:val="36"/>
          <w:szCs w:val="28"/>
          <w:vertAlign w:val="superscript"/>
          <w:rtl/>
        </w:rPr>
        <w:footnoteReference w:id="7060"/>
      </w:r>
      <w:r w:rsidRPr="00007309">
        <w:rPr>
          <w:rFonts w:cs="Arial"/>
          <w:b/>
          <w:bCs/>
          <w:sz w:val="24"/>
          <w:szCs w:val="24"/>
          <w:rtl/>
        </w:rPr>
        <w:t>כַּד הַאי זֹהַר נָהִיר וּבָטַשׁ בְּכָל אִנּוּן טוּרִין, וְרָשִׁים לוֹן וְאָפִישׁ לוֹן וְאַסְגֵּי לוֹן</w:t>
      </w:r>
      <w:r w:rsidRPr="00007309">
        <w:rPr>
          <w:rFonts w:cs="Arial"/>
          <w:b/>
          <w:bCs/>
          <w:sz w:val="24"/>
          <w:szCs w:val="28"/>
        </w:rPr>
        <w:t xml:space="preserve"> </w:t>
      </w:r>
      <w:r w:rsidRPr="00007309">
        <w:rPr>
          <w:rFonts w:cs="Arial"/>
          <w:b/>
          <w:bCs/>
          <w:sz w:val="24"/>
          <w:szCs w:val="24"/>
          <w:rtl/>
        </w:rPr>
        <w:t>וּכְדֵין אִשְׁתְּלִימוּ כֻּלְּהוּ</w:t>
      </w:r>
      <w:r w:rsidRPr="00007309">
        <w:rPr>
          <w:rFonts w:cs="Arial"/>
          <w:b/>
          <w:bCs/>
          <w:sz w:val="24"/>
          <w:szCs w:val="24"/>
        </w:rPr>
        <w:t>:</w:t>
      </w:r>
    </w:p>
    <w:p w:rsidR="00007309" w:rsidRPr="00007309" w:rsidRDefault="00007309" w:rsidP="00007309">
      <w:pPr>
        <w:jc w:val="both"/>
        <w:rPr>
          <w:rFonts w:cs="Arial"/>
          <w:b/>
          <w:bCs/>
          <w:sz w:val="24"/>
          <w:szCs w:val="24"/>
        </w:rPr>
      </w:pPr>
      <w:r w:rsidRPr="00007309">
        <w:rPr>
          <w:rFonts w:cs="Arial"/>
          <w:b/>
          <w:bCs/>
          <w:sz w:val="24"/>
          <w:szCs w:val="24"/>
          <w:rtl/>
        </w:rPr>
        <w:t xml:space="preserve">וְהַמַּשְׂכִילִים יַזְהִרוּ כְּזֹהַר הָרָקִיעַ. </w:t>
      </w:r>
      <w:r w:rsidRPr="00007309">
        <w:rPr>
          <w:rFonts w:cs="Arial"/>
          <w:b/>
          <w:bCs/>
          <w:sz w:val="36"/>
          <w:szCs w:val="28"/>
          <w:vertAlign w:val="superscript"/>
          <w:rtl/>
        </w:rPr>
        <w:footnoteReference w:id="7061"/>
      </w:r>
      <w:r w:rsidRPr="00007309">
        <w:rPr>
          <w:rFonts w:cs="Arial"/>
          <w:b/>
          <w:bCs/>
          <w:sz w:val="24"/>
          <w:szCs w:val="24"/>
          <w:rtl/>
        </w:rPr>
        <w:t xml:space="preserve">הַאי זֹהַר אַפִּיק אַתְוָן דַּקִּיקִין כְּחִיזוּ דְּאִנּוּן עִלָּאִין, אַתְוָן עִלָּאִין אַתְוָן דַּקִּיקִין, וְכֻלְּהוּ </w:t>
      </w:r>
      <w:r w:rsidRPr="00007309">
        <w:rPr>
          <w:rFonts w:cs="Arial"/>
          <w:b/>
          <w:bCs/>
          <w:sz w:val="36"/>
          <w:szCs w:val="28"/>
          <w:vertAlign w:val="superscript"/>
          <w:rtl/>
        </w:rPr>
        <w:footnoteReference w:id="7062"/>
      </w:r>
      <w:r w:rsidRPr="00007309">
        <w:rPr>
          <w:rFonts w:cs="Arial"/>
          <w:b/>
          <w:bCs/>
          <w:sz w:val="24"/>
          <w:szCs w:val="24"/>
          <w:rtl/>
        </w:rPr>
        <w:t>בְּרָזָא עִלָּאָה כַּדְקָא חֲזֵי</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063"/>
      </w:r>
      <w:r w:rsidRPr="00007309">
        <w:rPr>
          <w:rFonts w:cs="Arial"/>
          <w:b/>
          <w:bCs/>
          <w:sz w:val="24"/>
          <w:szCs w:val="24"/>
          <w:rtl/>
        </w:rPr>
        <w:t>מִקִּשְׁרָא תִּנְיָנָא אֶמְצָעִיתָא נָפְקֵי מַזָּלוֹת</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064"/>
      </w:r>
      <w:r w:rsidRPr="00007309">
        <w:rPr>
          <w:rFonts w:cs="Arial"/>
          <w:b/>
          <w:bCs/>
          <w:sz w:val="24"/>
          <w:szCs w:val="24"/>
          <w:rtl/>
        </w:rPr>
        <w:t xml:space="preserve">דְּזָהֲרִין לְאִסְתַּכְּלָא בְּהַהוּא זֹהַר עִלָּאָה. </w:t>
      </w:r>
      <w:r w:rsidRPr="00007309">
        <w:rPr>
          <w:rFonts w:cs="Arial"/>
          <w:b/>
          <w:bCs/>
          <w:sz w:val="36"/>
          <w:szCs w:val="28"/>
          <w:vertAlign w:val="superscript"/>
          <w:rtl/>
        </w:rPr>
        <w:footnoteReference w:id="7065"/>
      </w:r>
      <w:r w:rsidRPr="00007309">
        <w:rPr>
          <w:rFonts w:cs="Arial"/>
          <w:b/>
          <w:bCs/>
          <w:sz w:val="24"/>
          <w:szCs w:val="24"/>
          <w:rtl/>
        </w:rPr>
        <w:t>מִקִּשְׁרָא תְּלִיתָאָה נָפְקֵי כּוֹכְבַיָּא לְאִשְׁתַּמְּשָׁא</w:t>
      </w:r>
      <w:r w:rsidRPr="00007309">
        <w:rPr>
          <w:rFonts w:cs="Arial" w:hint="cs"/>
          <w:b/>
          <w:bCs/>
          <w:sz w:val="24"/>
          <w:szCs w:val="24"/>
          <w:rtl/>
        </w:rPr>
        <w:t>,</w:t>
      </w:r>
      <w:r w:rsidRPr="00007309">
        <w:rPr>
          <w:rFonts w:cs="Arial"/>
          <w:b/>
          <w:bCs/>
          <w:sz w:val="24"/>
          <w:szCs w:val="24"/>
          <w:rtl/>
        </w:rPr>
        <w:t xml:space="preserve"> וְעַל דָּא (דניאל יב) וּמַצְדִּיקֵי הָרַבִּים כַּכּוֹכָבִים לְעוֹלָם וָעֶד. וּמַצְדִּיקֵי דַּיְקָא, וְאִנּוּן כְּכוֹכְבַיָּא דְּצֶדֶק. וְכֻלְּהוּ תַּלְיָן בְּהַאי זֹהַר. </w:t>
      </w:r>
      <w:r w:rsidRPr="00007309">
        <w:rPr>
          <w:rFonts w:cs="Arial"/>
          <w:b/>
          <w:bCs/>
          <w:sz w:val="36"/>
          <w:szCs w:val="28"/>
          <w:vertAlign w:val="superscript"/>
          <w:rtl/>
        </w:rPr>
        <w:footnoteReference w:id="7066"/>
      </w:r>
      <w:r w:rsidRPr="00007309">
        <w:rPr>
          <w:rFonts w:cs="Arial"/>
          <w:b/>
          <w:bCs/>
          <w:sz w:val="24"/>
          <w:szCs w:val="24"/>
          <w:rtl/>
        </w:rPr>
        <w:t>תֵּשַׁע נַהֲרִין לָא מִתְפַּשְּׁטִין מִנַּיְהוּ אַתְוָן</w:t>
      </w:r>
      <w:r w:rsidRPr="00007309">
        <w:rPr>
          <w:rFonts w:cs="Arial" w:hint="cs"/>
          <w:b/>
          <w:bCs/>
          <w:sz w:val="24"/>
          <w:szCs w:val="24"/>
          <w:rtl/>
        </w:rPr>
        <w:t>,</w:t>
      </w:r>
      <w:r w:rsidRPr="00007309">
        <w:rPr>
          <w:rFonts w:cs="Arial"/>
          <w:b/>
          <w:bCs/>
          <w:sz w:val="24"/>
          <w:szCs w:val="24"/>
          <w:rtl/>
        </w:rPr>
        <w:t xml:space="preserve"> כְּהֲנֵי דְּנָפְקֵי מִגּוֹ נְקֻדָּה אָחֳרָא. אִלֵּין לָא מִתְפַּשְּׁטֵי אֶלָּא פְּשִׁיטוּ דַּקִּיק וְאִשְׁתְּאֲרוּ אִלֵּין בְּקִיּוּמַיְהוּ. וְהַהוּא פְּשִׁיטוּ דְּמִתְפַּשְּׁטֵי</w:t>
      </w:r>
      <w:r w:rsidRPr="00007309">
        <w:rPr>
          <w:rFonts w:cs="Arial" w:hint="cs"/>
          <w:b/>
          <w:bCs/>
          <w:sz w:val="24"/>
          <w:szCs w:val="24"/>
          <w:rtl/>
        </w:rPr>
        <w:t>,</w:t>
      </w:r>
      <w:r w:rsidRPr="00007309">
        <w:rPr>
          <w:rFonts w:cs="Arial"/>
          <w:b/>
          <w:bCs/>
          <w:sz w:val="24"/>
          <w:szCs w:val="24"/>
          <w:rtl/>
        </w:rPr>
        <w:t xml:space="preserve"> אִנּוּן טַעֲמֵי דְּאוֹרַיְתָא</w:t>
      </w:r>
      <w:r w:rsidRPr="00007309">
        <w:rPr>
          <w:rFonts w:cs="Arial" w:hint="cs"/>
          <w:b/>
          <w:bCs/>
          <w:sz w:val="24"/>
          <w:szCs w:val="24"/>
          <w:rtl/>
        </w:rPr>
        <w:t>,</w:t>
      </w:r>
      <w:r w:rsidRPr="00007309">
        <w:rPr>
          <w:rFonts w:cs="Arial"/>
          <w:b/>
          <w:bCs/>
          <w:sz w:val="24"/>
          <w:szCs w:val="24"/>
          <w:rtl/>
        </w:rPr>
        <w:t xml:space="preserve"> דְּנָפְקֵי לְנַגְּנָא בְּהוּ. תְּלָת קִשְׁרִין קַדְמָאִין דְּקָא אֲמָרָן, </w:t>
      </w:r>
      <w:r w:rsidRPr="00007309">
        <w:rPr>
          <w:rFonts w:cs="Arial"/>
          <w:b/>
          <w:bCs/>
          <w:sz w:val="36"/>
          <w:szCs w:val="28"/>
          <w:vertAlign w:val="superscript"/>
          <w:rtl/>
        </w:rPr>
        <w:footnoteReference w:id="7067"/>
      </w:r>
      <w:r w:rsidRPr="00007309">
        <w:rPr>
          <w:rFonts w:cs="Arial"/>
          <w:b/>
          <w:bCs/>
          <w:sz w:val="24"/>
          <w:szCs w:val="24"/>
          <w:rtl/>
        </w:rPr>
        <w:t xml:space="preserve">קִשְׁרָא קַדְמָאָה אִשְׁתְּאַר עַל אַתְוָן לְעֵלָּא לִנְקֻדָּה, וְאִשְׁתְּאַר לְמֶהֱוֵי טַעְמָא לְעֵלָּא. </w:t>
      </w:r>
      <w:r w:rsidRPr="00007309">
        <w:rPr>
          <w:rFonts w:cs="Arial"/>
          <w:b/>
          <w:bCs/>
          <w:sz w:val="36"/>
          <w:szCs w:val="28"/>
          <w:vertAlign w:val="superscript"/>
          <w:rtl/>
        </w:rPr>
        <w:footnoteReference w:id="7068"/>
      </w:r>
      <w:r w:rsidRPr="00007309">
        <w:rPr>
          <w:rFonts w:cs="Arial"/>
          <w:b/>
          <w:bCs/>
          <w:sz w:val="24"/>
          <w:szCs w:val="24"/>
          <w:rtl/>
        </w:rPr>
        <w:t xml:space="preserve">תְּרֵי אָחֳרָנִין קַיְּמִין לְטַעְמָא חֲדָא, וְאִנּוּן תְּרֵין נִקּוּדִין גּוֹ דִּיּוֹקְנָא דו'ו. </w:t>
      </w:r>
      <w:r w:rsidRPr="00007309">
        <w:rPr>
          <w:rFonts w:cs="Arial"/>
          <w:b/>
          <w:bCs/>
          <w:sz w:val="36"/>
          <w:szCs w:val="28"/>
          <w:vertAlign w:val="superscript"/>
          <w:rtl/>
        </w:rPr>
        <w:footnoteReference w:id="7069"/>
      </w:r>
      <w:r w:rsidRPr="00007309">
        <w:rPr>
          <w:rFonts w:cs="Arial"/>
          <w:b/>
          <w:bCs/>
          <w:sz w:val="24"/>
          <w:szCs w:val="24"/>
          <w:rtl/>
        </w:rPr>
        <w:t>ג' אִלֵּין לָא מִתְפַּשְּׁטֵי יַתִּיר, אֶלָּא קַיְּמֵי בְּקִיּוּמַיְהוּ</w:t>
      </w:r>
      <w:r w:rsidRPr="00007309">
        <w:rPr>
          <w:rFonts w:cs="Arial" w:hint="cs"/>
          <w:b/>
          <w:bCs/>
          <w:sz w:val="24"/>
          <w:szCs w:val="24"/>
          <w:rtl/>
        </w:rPr>
        <w:t>,</w:t>
      </w:r>
      <w:r w:rsidRPr="00007309">
        <w:rPr>
          <w:rFonts w:cs="Arial"/>
          <w:b/>
          <w:bCs/>
          <w:sz w:val="24"/>
          <w:szCs w:val="24"/>
          <w:rtl/>
        </w:rPr>
        <w:t xml:space="preserve"> ג' נִקּוּדִין ג' קְשָׁרִים, לְאַעֲנָאָה כֹּלָּא בְּכָל אִנּוּן רָזִין דְּקָא אֲמָרָן. </w:t>
      </w:r>
      <w:r w:rsidRPr="00007309">
        <w:rPr>
          <w:rFonts w:cs="Arial"/>
          <w:b/>
          <w:bCs/>
          <w:sz w:val="36"/>
          <w:szCs w:val="28"/>
          <w:vertAlign w:val="superscript"/>
          <w:rtl/>
        </w:rPr>
        <w:footnoteReference w:id="7070"/>
      </w:r>
      <w:r w:rsidRPr="00007309">
        <w:rPr>
          <w:rFonts w:cs="Arial"/>
          <w:b/>
          <w:bCs/>
          <w:sz w:val="24"/>
          <w:szCs w:val="24"/>
          <w:rtl/>
        </w:rPr>
        <w:t xml:space="preserve">וְכֻלְּהוּ אִיהוּ רָזָא דְּאוֹרַיְתָא </w:t>
      </w:r>
      <w:r w:rsidRPr="00007309">
        <w:rPr>
          <w:rFonts w:cs="Arial" w:hint="cs"/>
          <w:b/>
          <w:bCs/>
          <w:sz w:val="24"/>
          <w:szCs w:val="24"/>
          <w:rtl/>
        </w:rPr>
        <w:t>ל</w:t>
      </w:r>
      <w:r w:rsidRPr="00007309">
        <w:rPr>
          <w:rFonts w:cs="Arial"/>
          <w:b/>
          <w:bCs/>
          <w:sz w:val="24"/>
          <w:szCs w:val="24"/>
          <w:rtl/>
        </w:rPr>
        <w:t>ְאִסְתַּמְּכָא, בְּגִין דְּאִית לְאוֹרַיְתָא עַל דְּיִסְתְּמַךְ</w:t>
      </w:r>
      <w:r w:rsidRPr="00007309">
        <w:rPr>
          <w:rFonts w:cs="Arial" w:hint="cs"/>
          <w:b/>
          <w:bCs/>
          <w:sz w:val="24"/>
          <w:szCs w:val="24"/>
          <w:rtl/>
        </w:rPr>
        <w:t>,</w:t>
      </w:r>
      <w:r w:rsidRPr="00007309">
        <w:rPr>
          <w:rFonts w:cs="Arial"/>
          <w:b/>
          <w:bCs/>
          <w:sz w:val="24"/>
          <w:szCs w:val="24"/>
          <w:rtl/>
        </w:rPr>
        <w:t xml:space="preserve"> סְמִיכוּ סָתִים פְּנִימָאָה</w:t>
      </w:r>
      <w:r w:rsidRPr="00007309">
        <w:rPr>
          <w:rFonts w:cs="Arial" w:hint="cs"/>
          <w:b/>
          <w:bCs/>
          <w:sz w:val="24"/>
          <w:szCs w:val="24"/>
          <w:rtl/>
        </w:rPr>
        <w:t>,</w:t>
      </w:r>
      <w:r w:rsidRPr="00007309">
        <w:rPr>
          <w:rFonts w:cs="Arial"/>
          <w:b/>
          <w:bCs/>
          <w:sz w:val="24"/>
          <w:szCs w:val="24"/>
          <w:rtl/>
        </w:rPr>
        <w:t xml:space="preserve"> וּסְמִיכוּ דְּגַלֵּי יַתִּיר</w:t>
      </w:r>
      <w:r w:rsidRPr="00007309">
        <w:rPr>
          <w:rFonts w:cs="Arial" w:hint="cs"/>
          <w:b/>
          <w:bCs/>
          <w:sz w:val="24"/>
          <w:szCs w:val="24"/>
          <w:rtl/>
        </w:rPr>
        <w:t>,</w:t>
      </w:r>
      <w:r w:rsidRPr="00007309">
        <w:rPr>
          <w:rFonts w:cs="Arial"/>
          <w:b/>
          <w:bCs/>
          <w:sz w:val="24"/>
          <w:szCs w:val="24"/>
          <w:rtl/>
        </w:rPr>
        <w:t xml:space="preserve"> וְעָבִיד מַטְלָנוֹי דְּאוֹרַיְתָא לְמֵיהַךְ וְלָא תִּפּוֹק לְבַר. </w:t>
      </w:r>
      <w:r w:rsidRPr="00007309">
        <w:rPr>
          <w:rFonts w:cs="Arial"/>
          <w:b/>
          <w:bCs/>
          <w:sz w:val="36"/>
          <w:szCs w:val="28"/>
          <w:vertAlign w:val="superscript"/>
          <w:rtl/>
        </w:rPr>
        <w:footnoteReference w:id="7071"/>
      </w:r>
      <w:r w:rsidRPr="00007309">
        <w:rPr>
          <w:rFonts w:cs="Arial"/>
          <w:b/>
          <w:bCs/>
          <w:sz w:val="24"/>
          <w:szCs w:val="24"/>
          <w:rtl/>
        </w:rPr>
        <w:t>אוֹרַיְתָא בְּלָא סְמִיכוּ דָּא פְּנִימָאָה</w:t>
      </w:r>
      <w:r w:rsidRPr="00007309">
        <w:rPr>
          <w:rFonts w:cs="Arial" w:hint="cs"/>
          <w:b/>
          <w:bCs/>
          <w:sz w:val="24"/>
          <w:szCs w:val="24"/>
          <w:rtl/>
        </w:rPr>
        <w:t>,</w:t>
      </w:r>
      <w:r w:rsidRPr="00007309">
        <w:rPr>
          <w:rFonts w:cs="Arial"/>
          <w:b/>
          <w:bCs/>
          <w:sz w:val="24"/>
          <w:szCs w:val="24"/>
          <w:rtl/>
        </w:rPr>
        <w:t xml:space="preserve"> לָאו סְמִיכוּ</w:t>
      </w:r>
      <w:r w:rsidRPr="00007309">
        <w:rPr>
          <w:rFonts w:cs="Arial" w:hint="cs"/>
          <w:b/>
          <w:bCs/>
          <w:sz w:val="24"/>
          <w:szCs w:val="24"/>
          <w:rtl/>
        </w:rPr>
        <w:t>,</w:t>
      </w:r>
      <w:r w:rsidRPr="00007309">
        <w:rPr>
          <w:rFonts w:cs="Arial"/>
          <w:b/>
          <w:bCs/>
          <w:sz w:val="24"/>
          <w:szCs w:val="24"/>
          <w:rtl/>
        </w:rPr>
        <w:t xml:space="preserve"> וְלָא אִשְׁתְּכָחַת לְמֶהֱוֵי אוֹרַיְתָא</w:t>
      </w:r>
      <w:r w:rsidRPr="00007309">
        <w:rPr>
          <w:rFonts w:cs="Arial" w:hint="cs"/>
          <w:b/>
          <w:bCs/>
          <w:sz w:val="24"/>
          <w:szCs w:val="24"/>
          <w:rtl/>
        </w:rPr>
        <w:t>.</w:t>
      </w:r>
      <w:r w:rsidRPr="00007309">
        <w:rPr>
          <w:rFonts w:cs="Arial"/>
          <w:b/>
          <w:bCs/>
          <w:sz w:val="24"/>
          <w:szCs w:val="24"/>
          <w:rtl/>
        </w:rPr>
        <w:t xml:space="preserve"> וְכֹלָּא מֵאֵין סוֹף</w:t>
      </w:r>
      <w:r w:rsidRPr="00007309">
        <w:rPr>
          <w:rFonts w:cs="Arial" w:hint="cs"/>
          <w:b/>
          <w:bCs/>
          <w:sz w:val="24"/>
          <w:szCs w:val="24"/>
          <w:rtl/>
        </w:rPr>
        <w:t>,</w:t>
      </w:r>
      <w:r w:rsidRPr="00007309">
        <w:rPr>
          <w:rFonts w:cs="Arial"/>
          <w:b/>
          <w:bCs/>
          <w:sz w:val="24"/>
          <w:szCs w:val="24"/>
          <w:rtl/>
        </w:rPr>
        <w:t xml:space="preserve"> עֶשְׂרִין וּתְרֵין אַתְוָן אִלֵּין </w:t>
      </w:r>
      <w:r w:rsidRPr="00007309">
        <w:rPr>
          <w:rFonts w:cs="Arial"/>
          <w:b/>
          <w:bCs/>
          <w:sz w:val="36"/>
          <w:szCs w:val="28"/>
          <w:vertAlign w:val="superscript"/>
          <w:rtl/>
        </w:rPr>
        <w:footnoteReference w:id="7072"/>
      </w:r>
      <w:r w:rsidRPr="00007309">
        <w:rPr>
          <w:rFonts w:cs="Arial"/>
          <w:b/>
          <w:bCs/>
          <w:sz w:val="24"/>
          <w:szCs w:val="24"/>
          <w:rtl/>
        </w:rPr>
        <w:t xml:space="preserve">מֵהַאי נְקֻדָּה דְּנָפְקָא מֵאֵין סוֹף. </w:t>
      </w:r>
      <w:r w:rsidRPr="00007309">
        <w:rPr>
          <w:rFonts w:cs="Arial"/>
          <w:b/>
          <w:bCs/>
          <w:sz w:val="36"/>
          <w:szCs w:val="28"/>
          <w:vertAlign w:val="superscript"/>
          <w:rtl/>
        </w:rPr>
        <w:footnoteReference w:id="7073"/>
      </w:r>
      <w:r w:rsidRPr="00007309">
        <w:rPr>
          <w:rFonts w:cs="Arial"/>
          <w:b/>
          <w:bCs/>
          <w:sz w:val="24"/>
          <w:szCs w:val="24"/>
          <w:rtl/>
        </w:rPr>
        <w:t>תֵּשַׁע נִקּוּדִין דְּשָׁלְטִין עַל אַתְוָן</w:t>
      </w:r>
      <w:r w:rsidRPr="00007309">
        <w:rPr>
          <w:rFonts w:cs="Arial" w:hint="cs"/>
          <w:b/>
          <w:bCs/>
          <w:sz w:val="24"/>
          <w:szCs w:val="24"/>
          <w:rtl/>
        </w:rPr>
        <w:t>,</w:t>
      </w:r>
      <w:r w:rsidRPr="00007309">
        <w:rPr>
          <w:rFonts w:cs="Arial"/>
          <w:b/>
          <w:bCs/>
          <w:sz w:val="24"/>
          <w:szCs w:val="24"/>
          <w:rtl/>
        </w:rPr>
        <w:t xml:space="preserve"> אִנּוּן אֵין סוֹף</w:t>
      </w:r>
      <w:r w:rsidRPr="00007309">
        <w:rPr>
          <w:rFonts w:cs="Arial" w:hint="cs"/>
          <w:b/>
          <w:bCs/>
          <w:sz w:val="24"/>
          <w:szCs w:val="24"/>
          <w:rtl/>
        </w:rPr>
        <w:t>,</w:t>
      </w:r>
      <w:r w:rsidRPr="00007309">
        <w:rPr>
          <w:rFonts w:cs="Arial"/>
          <w:b/>
          <w:bCs/>
          <w:sz w:val="24"/>
          <w:szCs w:val="24"/>
          <w:rtl/>
        </w:rPr>
        <w:t xml:space="preserve"> וְשַׁלִּיטִין עַל כֹּלָּא. </w:t>
      </w:r>
      <w:r w:rsidRPr="00007309">
        <w:rPr>
          <w:rFonts w:cs="Arial"/>
          <w:b/>
          <w:bCs/>
          <w:sz w:val="36"/>
          <w:szCs w:val="28"/>
          <w:vertAlign w:val="superscript"/>
          <w:rtl/>
        </w:rPr>
        <w:footnoteReference w:id="7074"/>
      </w:r>
      <w:r w:rsidRPr="00007309">
        <w:rPr>
          <w:rFonts w:cs="Arial"/>
          <w:b/>
          <w:bCs/>
          <w:sz w:val="24"/>
          <w:szCs w:val="24"/>
          <w:rtl/>
        </w:rPr>
        <w:t>תְּלֵיסַר טַעְמֵי דְּאוֹרַיְתָא אִתְפַּשְּׁטוּ מִנַּיְהוּ, וְכֻלְּהוּ כ"ב כְּחֻשְׁבָּן אַתְוָן דְּאוֹרַיְתָא. אִלֵּין כ"ב נִקּוּדִין וְטַעֲמֵי דְּאוֹרַיְתָא</w:t>
      </w:r>
      <w:r w:rsidRPr="00007309">
        <w:rPr>
          <w:rFonts w:cs="Arial" w:hint="cs"/>
          <w:b/>
          <w:bCs/>
          <w:sz w:val="24"/>
          <w:szCs w:val="24"/>
          <w:rtl/>
        </w:rPr>
        <w:t>,</w:t>
      </w:r>
      <w:r w:rsidRPr="00007309">
        <w:rPr>
          <w:rFonts w:cs="Arial"/>
          <w:b/>
          <w:bCs/>
          <w:sz w:val="24"/>
          <w:szCs w:val="24"/>
          <w:rtl/>
        </w:rPr>
        <w:t xml:space="preserve"> אִנּוּן רָזָא דְּבוּצִינָא דְּקַרְדִּינוּתָא</w:t>
      </w:r>
      <w:r w:rsidRPr="00007309">
        <w:rPr>
          <w:rFonts w:cs="Arial" w:hint="cs"/>
          <w:b/>
          <w:bCs/>
          <w:sz w:val="24"/>
          <w:szCs w:val="24"/>
          <w:rtl/>
        </w:rPr>
        <w:t>,</w:t>
      </w:r>
      <w:r w:rsidRPr="00007309">
        <w:rPr>
          <w:rFonts w:cs="Arial"/>
          <w:b/>
          <w:bCs/>
          <w:sz w:val="24"/>
          <w:szCs w:val="24"/>
          <w:rtl/>
        </w:rPr>
        <w:t xml:space="preserve"> לְמִשְׁחָתָא דְּכֹלָּא בְּרָזָא דָּא כָּל מִשְׁחָתָא</w:t>
      </w:r>
      <w:r w:rsidRPr="00007309">
        <w:rPr>
          <w:rFonts w:cs="Arial" w:hint="cs"/>
          <w:b/>
          <w:bCs/>
          <w:sz w:val="24"/>
          <w:szCs w:val="24"/>
          <w:rtl/>
        </w:rPr>
        <w:t>,</w:t>
      </w:r>
      <w:r w:rsidRPr="00007309">
        <w:rPr>
          <w:rFonts w:cs="Arial"/>
          <w:b/>
          <w:bCs/>
          <w:sz w:val="24"/>
          <w:szCs w:val="24"/>
          <w:rtl/>
        </w:rPr>
        <w:t xml:space="preserve"> לְאָרְכָּא וּלְפוּתְיָא</w:t>
      </w:r>
      <w:r w:rsidRPr="00007309">
        <w:rPr>
          <w:rFonts w:cs="Arial" w:hint="cs"/>
          <w:b/>
          <w:bCs/>
          <w:sz w:val="24"/>
          <w:szCs w:val="24"/>
          <w:rtl/>
        </w:rPr>
        <w:t>,</w:t>
      </w:r>
      <w:r w:rsidRPr="00007309">
        <w:rPr>
          <w:rFonts w:cs="Arial"/>
          <w:b/>
          <w:bCs/>
          <w:sz w:val="24"/>
          <w:szCs w:val="24"/>
          <w:rtl/>
        </w:rPr>
        <w:t xml:space="preserve"> לְעָמְקָא וּלְרוּמָא</w:t>
      </w:r>
      <w:r w:rsidRPr="00007309">
        <w:rPr>
          <w:rFonts w:cs="Arial" w:hint="cs"/>
          <w:b/>
          <w:bCs/>
          <w:sz w:val="24"/>
          <w:szCs w:val="24"/>
          <w:rtl/>
        </w:rPr>
        <w:t>,</w:t>
      </w:r>
      <w:r w:rsidRPr="00007309">
        <w:rPr>
          <w:rFonts w:cs="Arial"/>
          <w:b/>
          <w:bCs/>
          <w:sz w:val="24"/>
          <w:szCs w:val="24"/>
          <w:rtl/>
        </w:rPr>
        <w:t xml:space="preserve"> לֵית מִשְׁחָתָא דְּנָפִיק מִשִּׁיעוּרָא דָּא, מֵרָזָא דְּתֵשַׁע נִקּוּדֵי וּתְלֵיסַר טַעֲמִין</w:t>
      </w:r>
      <w:r w:rsidRPr="00007309">
        <w:rPr>
          <w:rFonts w:cs="Arial" w:hint="cs"/>
          <w:b/>
          <w:bCs/>
          <w:sz w:val="24"/>
          <w:szCs w:val="24"/>
          <w:rtl/>
        </w:rPr>
        <w:t>,</w:t>
      </w:r>
      <w:r w:rsidRPr="00007309">
        <w:rPr>
          <w:rFonts w:cs="Arial"/>
          <w:b/>
          <w:bCs/>
          <w:sz w:val="24"/>
          <w:szCs w:val="24"/>
          <w:rtl/>
        </w:rPr>
        <w:t xml:space="preserve"> עַל רָזָא דָּא אוֹרַיְתָא קַיְּמָא בְּכָל סִטְרוֹי</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075"/>
      </w:r>
      <w:r w:rsidRPr="00007309">
        <w:rPr>
          <w:rFonts w:cs="Arial"/>
          <w:b/>
          <w:bCs/>
          <w:sz w:val="24"/>
          <w:szCs w:val="24"/>
          <w:rtl/>
        </w:rPr>
        <w:t>וְכָל רָזִין וְכָל עֲמִיקִין דְּאוֹרַיְתָא לָא נָפְקוּ מֵרָזָא דָּא לְבַר. בּוּצִינָא דְּקַרְדִּינוּתָא בְּרָזָא דָּא עָבִיד מִשְׁחָתָא לְכָל אִנּוּן מִשְׁחָתִין, וְרָזָא דָּא לָא אִתְיְהִיב לְגַלָּאָה בַּר לְדַחֲלֵי חַטָאָה, דִּי רָזָא דִּמְהֵמְנוּתָא בִּידַיְהוּ</w:t>
      </w:r>
      <w:r w:rsidRPr="00007309">
        <w:rPr>
          <w:rFonts w:cs="Arial" w:hint="cs"/>
          <w:b/>
          <w:bCs/>
          <w:sz w:val="24"/>
          <w:szCs w:val="24"/>
          <w:rtl/>
        </w:rPr>
        <w:t>,</w:t>
      </w:r>
      <w:r w:rsidRPr="00007309">
        <w:rPr>
          <w:rFonts w:cs="Arial"/>
          <w:b/>
          <w:bCs/>
          <w:sz w:val="24"/>
          <w:szCs w:val="24"/>
          <w:rtl/>
        </w:rPr>
        <w:t xml:space="preserve"> וְאִנּוּן כְּשָׁרָאָן לְגַלָּאָה לוֹן. </w:t>
      </w:r>
      <w:r w:rsidRPr="00007309">
        <w:rPr>
          <w:rFonts w:cs="Arial"/>
          <w:b/>
          <w:bCs/>
          <w:sz w:val="36"/>
          <w:szCs w:val="28"/>
          <w:vertAlign w:val="superscript"/>
          <w:rtl/>
        </w:rPr>
        <w:footnoteReference w:id="7076"/>
      </w:r>
      <w:r w:rsidRPr="00007309">
        <w:rPr>
          <w:rFonts w:cs="Arial"/>
          <w:b/>
          <w:bCs/>
          <w:sz w:val="24"/>
          <w:szCs w:val="24"/>
          <w:rtl/>
        </w:rPr>
        <w:t xml:space="preserve">אִלֵּין מַפְתְּחִין דְּאִנּוּן כ"ב </w:t>
      </w:r>
      <w:r w:rsidRPr="00007309">
        <w:rPr>
          <w:rFonts w:cs="Arial"/>
          <w:b/>
          <w:bCs/>
          <w:sz w:val="36"/>
          <w:szCs w:val="28"/>
          <w:vertAlign w:val="superscript"/>
          <w:rtl/>
        </w:rPr>
        <w:footnoteReference w:id="7077"/>
      </w:r>
      <w:r w:rsidRPr="00007309">
        <w:rPr>
          <w:rFonts w:cs="Arial"/>
          <w:b/>
          <w:bCs/>
          <w:sz w:val="24"/>
          <w:szCs w:val="24"/>
          <w:rtl/>
        </w:rPr>
        <w:t>דְּשָׁלְטִין עַל אוֹרַיְתָא, וּמֵאִלֵּין מִתְפָּרְשָׁן כָּל רָזִין וְכָל עָמְקִין דְּאוֹרַיְתָא, וְכָל מְדִידוּ דְּכָל מִשְׁחָתִין בְּכָל אִנּוּן סִטְרִין. אִלֵּין מַפְתְּחָן אִתְמְסָרוּ לֵהּ לְמֹשֶׁה בְּסִינַי בְּשַׁעֲתָא דְּקָרַן עוֹר פָּנָיו, וּמָסַר לוֹן בְּרָזָא דִּלְחִישׁוּ לִיהוֹשֻׁעַ וְכָל אִנּוּן סָבִין, עַד דְּמָטוּ לְמָארֵי מְהֵימְנוּתָא לְמִנְדַּע. זַכָּאָה חוּלָקֵהוֹן בְּעָלְמָא דֵּין וּבְעָלְמָא דְּאָתֵי</w:t>
      </w:r>
      <w:r w:rsidRPr="00007309">
        <w:rPr>
          <w:rFonts w:cs="Arial"/>
          <w:b/>
          <w:bCs/>
          <w:sz w:val="24"/>
          <w:szCs w:val="24"/>
        </w:rPr>
        <w:t>:</w:t>
      </w:r>
    </w:p>
    <w:p w:rsidR="00007309" w:rsidRPr="00007309" w:rsidRDefault="00007309" w:rsidP="00007309">
      <w:pPr>
        <w:keepNext/>
        <w:outlineLvl w:val="1"/>
        <w:rPr>
          <w:rFonts w:ascii="Cambria" w:hAnsi="Cambria" w:cs="Times New Roman"/>
          <w:b/>
          <w:bCs/>
          <w:i/>
          <w:iCs/>
          <w:sz w:val="28"/>
          <w:szCs w:val="28"/>
          <w:rtl/>
        </w:rPr>
      </w:pPr>
      <w:r w:rsidRPr="00007309">
        <w:rPr>
          <w:rFonts w:ascii="Cambria" w:hAnsi="Cambria" w:cs="Times New Roman"/>
          <w:b/>
          <w:bCs/>
          <w:i/>
          <w:iCs/>
          <w:sz w:val="28"/>
          <w:szCs w:val="28"/>
          <w:rtl/>
        </w:rPr>
        <w:t>[</w:t>
      </w:r>
      <w:r w:rsidRPr="00007309">
        <w:rPr>
          <w:rFonts w:ascii="Cambria" w:hAnsi="Cambria" w:cs="Times New Roman" w:hint="cs"/>
          <w:b/>
          <w:bCs/>
          <w:i/>
          <w:iCs/>
          <w:sz w:val="28"/>
          <w:szCs w:val="28"/>
          <w:rtl/>
        </w:rPr>
        <w:t>דף</w:t>
      </w:r>
      <w:r w:rsidRPr="00007309">
        <w:rPr>
          <w:rFonts w:ascii="Cambria" w:hAnsi="Cambria" w:cs="Times New Roman"/>
          <w:b/>
          <w:bCs/>
          <w:i/>
          <w:iCs/>
          <w:sz w:val="28"/>
          <w:szCs w:val="28"/>
          <w:rtl/>
        </w:rPr>
        <w:t xml:space="preserve"> ע</w:t>
      </w:r>
      <w:r w:rsidRPr="00007309">
        <w:rPr>
          <w:rFonts w:ascii="Cambria" w:hAnsi="Cambria" w:cs="Times New Roman" w:hint="cs"/>
          <w:b/>
          <w:bCs/>
          <w:i/>
          <w:iCs/>
          <w:sz w:val="28"/>
          <w:szCs w:val="28"/>
          <w:rtl/>
        </w:rPr>
        <w:t>ט</w:t>
      </w:r>
      <w:r w:rsidRPr="00007309">
        <w:rPr>
          <w:rFonts w:ascii="Cambria" w:hAnsi="Cambria" w:cs="Times New Roman"/>
          <w:b/>
          <w:bCs/>
          <w:i/>
          <w:iCs/>
          <w:sz w:val="28"/>
          <w:szCs w:val="28"/>
          <w:rtl/>
        </w:rPr>
        <w:t xml:space="preserve"> ע"</w:t>
      </w:r>
      <w:r w:rsidRPr="00007309">
        <w:rPr>
          <w:rFonts w:ascii="Cambria" w:hAnsi="Cambria" w:cs="Times New Roman" w:hint="cs"/>
          <w:b/>
          <w:bCs/>
          <w:i/>
          <w:iCs/>
          <w:sz w:val="28"/>
          <w:szCs w:val="28"/>
          <w:rtl/>
        </w:rPr>
        <w:t>ג</w:t>
      </w:r>
      <w:r w:rsidRPr="00007309">
        <w:rPr>
          <w:rFonts w:ascii="Cambria" w:hAnsi="Cambria" w:cs="Times New Roman"/>
          <w:b/>
          <w:bCs/>
          <w:i/>
          <w:iCs/>
          <w:sz w:val="28"/>
          <w:szCs w:val="28"/>
          <w:rtl/>
        </w:rPr>
        <w:t>]</w:t>
      </w:r>
    </w:p>
    <w:p w:rsidR="00007309" w:rsidRPr="00007309" w:rsidRDefault="00007309" w:rsidP="00007309">
      <w:pPr>
        <w:keepNext/>
        <w:spacing w:before="240" w:after="60"/>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 xml:space="preserve"> [וילנא כא ע"א]</w:t>
      </w:r>
    </w:p>
    <w:p w:rsidR="00007309" w:rsidRPr="00007309" w:rsidRDefault="00007309" w:rsidP="00007309">
      <w:pPr>
        <w:jc w:val="both"/>
        <w:rPr>
          <w:rFonts w:cs="Arial"/>
          <w:b/>
          <w:bCs/>
          <w:sz w:val="24"/>
          <w:szCs w:val="24"/>
          <w:rtl/>
        </w:rPr>
      </w:pPr>
      <w:r w:rsidRPr="00007309">
        <w:rPr>
          <w:rFonts w:cs="Arial"/>
          <w:b/>
          <w:bCs/>
          <w:sz w:val="36"/>
          <w:szCs w:val="28"/>
          <w:vertAlign w:val="superscript"/>
          <w:rtl/>
        </w:rPr>
        <w:footnoteReference w:id="7078"/>
      </w:r>
      <w:r w:rsidRPr="00007309">
        <w:rPr>
          <w:rFonts w:cs="Arial"/>
          <w:b/>
          <w:bCs/>
          <w:sz w:val="24"/>
          <w:szCs w:val="24"/>
          <w:rtl/>
        </w:rPr>
        <w:t xml:space="preserve">מַתְנִיתִין בְּאַרְבַּע תַּקִּיפִין דְּרוּחֵי דְּעָלְמָא. וְהַמַּשְׂכִּילִים יַזְהִרוּ. מָאן מַשְׂכִּילִים, אִלֵּין דְּיַדְעֵי לְאִסְתַּכְּלָא בִּיקָרָא דְּמָארֵהוֹן, </w:t>
      </w:r>
      <w:r w:rsidRPr="00007309">
        <w:rPr>
          <w:rFonts w:ascii="Cambria" w:hAnsi="Cambria" w:cs="Times New Roman" w:hint="cs"/>
          <w:b/>
          <w:bCs/>
          <w:i/>
          <w:iCs/>
          <w:color w:val="4F81BD"/>
          <w:sz w:val="24"/>
          <w:szCs w:val="24"/>
          <w:rtl/>
        </w:rPr>
        <w:t>(וילנא כא ע"א)</w:t>
      </w:r>
      <w:r w:rsidRPr="00007309">
        <w:rPr>
          <w:rFonts w:cs="Arial" w:hint="cs"/>
          <w:b/>
          <w:bCs/>
          <w:sz w:val="24"/>
          <w:szCs w:val="24"/>
          <w:rtl/>
        </w:rPr>
        <w:t xml:space="preserve"> </w:t>
      </w:r>
      <w:r w:rsidRPr="00007309">
        <w:rPr>
          <w:rFonts w:cs="Arial"/>
          <w:b/>
          <w:bCs/>
          <w:sz w:val="24"/>
          <w:szCs w:val="24"/>
          <w:rtl/>
        </w:rPr>
        <w:t xml:space="preserve">וְיַדְעֵי רָזָא דְּחָכְמְתָא לְמֵיעַל בְּלָא כִּסּוּפָא לְעָלְמָא דְּאָתֵי, אִלֵּין זְהִירִין כְּזוֹהֲרָא עִלָּאָה. וּמַה דְּאָמַר </w:t>
      </w:r>
      <w:r w:rsidRPr="00007309">
        <w:rPr>
          <w:rFonts w:ascii="Cambria" w:hAnsi="Cambria" w:cs="Times New Roman" w:hint="cs"/>
          <w:b/>
          <w:bCs/>
          <w:i/>
          <w:iCs/>
          <w:color w:val="4F81BD"/>
          <w:sz w:val="24"/>
          <w:szCs w:val="24"/>
          <w:rtl/>
        </w:rPr>
        <w:t>(עט ע"ג)</w:t>
      </w:r>
      <w:r w:rsidRPr="00007309">
        <w:rPr>
          <w:rFonts w:cs="Arial" w:hint="cs"/>
          <w:b/>
          <w:bCs/>
          <w:sz w:val="24"/>
          <w:szCs w:val="24"/>
          <w:rtl/>
        </w:rPr>
        <w:t xml:space="preserve"> </w:t>
      </w:r>
      <w:r w:rsidRPr="00007309">
        <w:rPr>
          <w:rFonts w:cs="Arial"/>
          <w:b/>
          <w:bCs/>
          <w:sz w:val="24"/>
          <w:szCs w:val="24"/>
          <w:rtl/>
        </w:rPr>
        <w:t xml:space="preserve">וְהַמַּשְׂכִּילִים וְלָא אָמַר וְהַיּוֹדְעִים, </w:t>
      </w:r>
      <w:r w:rsidRPr="00007309">
        <w:rPr>
          <w:rFonts w:cs="Arial"/>
          <w:b/>
          <w:bCs/>
          <w:sz w:val="36"/>
          <w:szCs w:val="28"/>
          <w:vertAlign w:val="superscript"/>
          <w:rtl/>
        </w:rPr>
        <w:footnoteReference w:id="7079"/>
      </w:r>
      <w:r w:rsidRPr="00007309">
        <w:rPr>
          <w:rFonts w:cs="Arial"/>
          <w:b/>
          <w:bCs/>
          <w:sz w:val="24"/>
          <w:szCs w:val="24"/>
          <w:rtl/>
        </w:rPr>
        <w:t>אִלֵּין וַדַּאי אִנּוּן דְּמִסְתַּכְּלָאן בְּרָזִין פְּנִימָאִין סְתִימִין דְּלָא קַיְּמִין בְּגִלּוּיָא, וְלָא אִתְמְסָרוּ לְכָל בְּנֵי נָשָׁא. מָאן דְּזָכֵי לְאִסְתַּכְּלָא בְּהוּ</w:t>
      </w:r>
      <w:r w:rsidRPr="00007309">
        <w:rPr>
          <w:rFonts w:cs="Arial" w:hint="cs"/>
          <w:b/>
          <w:bCs/>
          <w:sz w:val="24"/>
          <w:szCs w:val="24"/>
          <w:rtl/>
        </w:rPr>
        <w:t>,</w:t>
      </w:r>
      <w:r w:rsidRPr="00007309">
        <w:rPr>
          <w:rFonts w:cs="Arial"/>
          <w:b/>
          <w:bCs/>
          <w:sz w:val="24"/>
          <w:szCs w:val="24"/>
          <w:rtl/>
        </w:rPr>
        <w:t xml:space="preserve"> בְּסָכְלְתָנוּ דָּא</w:t>
      </w:r>
      <w:r w:rsidRPr="00007309">
        <w:rPr>
          <w:rFonts w:cs="Arial" w:hint="cs"/>
          <w:b/>
          <w:bCs/>
          <w:sz w:val="24"/>
          <w:szCs w:val="24"/>
          <w:rtl/>
        </w:rPr>
        <w:t>,</w:t>
      </w:r>
      <w:r w:rsidRPr="00007309">
        <w:rPr>
          <w:rFonts w:cs="Arial"/>
          <w:b/>
          <w:bCs/>
          <w:sz w:val="24"/>
          <w:szCs w:val="24"/>
          <w:rtl/>
        </w:rPr>
        <w:t xml:space="preserve"> אַזְהִיר דְּנָצִיץ בְּעִטוּרָא דְּזִהֲרָא עִלָּאָה עַל כֹּלָּא. לֵית זִהֲרָא דְּאַזְהַר כְּדָא. לֵית זִיהֲרָא דְּנָצִיץ לְהַהוּא עָלְמָא</w:t>
      </w:r>
      <w:r w:rsidRPr="00007309">
        <w:rPr>
          <w:rFonts w:cs="Arial"/>
          <w:b/>
          <w:bCs/>
          <w:sz w:val="24"/>
          <w:szCs w:val="24"/>
        </w:rPr>
        <w:t xml:space="preserve"> </w:t>
      </w:r>
      <w:r w:rsidRPr="00007309">
        <w:rPr>
          <w:rFonts w:cs="Arial"/>
          <w:b/>
          <w:bCs/>
          <w:sz w:val="24"/>
          <w:szCs w:val="24"/>
          <w:rtl/>
        </w:rPr>
        <w:t>כְּהַאי זִיהֲרָא. דָּא זֹהַר דְּאוֹרַיְתָא דָּא זֹהַר דְּמָארֵיהוֹן דְּחָכְמְתָא</w:t>
      </w:r>
      <w:r w:rsidRPr="00007309">
        <w:rPr>
          <w:rFonts w:cs="Arial" w:hint="cs"/>
          <w:b/>
          <w:bCs/>
          <w:sz w:val="24"/>
          <w:szCs w:val="24"/>
          <w:rtl/>
        </w:rPr>
        <w:t>,</w:t>
      </w:r>
      <w:r w:rsidRPr="00007309">
        <w:rPr>
          <w:rFonts w:cs="Arial"/>
          <w:b/>
          <w:bCs/>
          <w:sz w:val="24"/>
          <w:szCs w:val="24"/>
          <w:rtl/>
        </w:rPr>
        <w:t xml:space="preserve"> דְּיַרְתִין הַהוּא עָלְמָא עַל כֹּלָּא. אִנּוּן נָפְקִין וְעָאלִין בְּכָל גִּנְזֵי דְּמָארֵיהוֹן. וְלֵית מָאן דְּיִמְחֵי בִּידֵיהוֹן. כֹּלָּא כְּסִיפַן מִזּוֹהֲרָא דִּילְהוֹן. זֹהַר דָּא נָצִיץ לְכָל סְטָר. וּמַצְדִּיקֵי הָרַבִּים, הָרַבִּים וְלָא כֹּלָּא. כְּגַוְנָא (דניאל יב) וְרַבִּים מִישֵׁנֵי אַדְמַת עָפָר יָקִיצוּ. מַאי וְרַבִּים בְּגִין דְּאִית דְּלָא יְקוּמוּן. וְדָא הִיא אַדְמַת עָפָר. מַאי אַדְמַת עָפָר. אֶלָּא אַדְמַת דְּהִיא מֵעָפָר, וְדָא הִיא אַרְעָא דְּיִשְׂרָאֵל דְּאִיהִי אַדְמַת </w:t>
      </w:r>
      <w:r w:rsidRPr="00007309">
        <w:rPr>
          <w:rFonts w:cs="Arial"/>
          <w:b/>
          <w:bCs/>
          <w:sz w:val="36"/>
          <w:szCs w:val="28"/>
          <w:vertAlign w:val="superscript"/>
          <w:rtl/>
        </w:rPr>
        <w:footnoteReference w:id="7080"/>
      </w:r>
      <w:r w:rsidRPr="00007309">
        <w:rPr>
          <w:rFonts w:cs="Arial"/>
          <w:b/>
          <w:bCs/>
          <w:sz w:val="24"/>
          <w:szCs w:val="24"/>
          <w:rtl/>
        </w:rPr>
        <w:t>מֵהַהוּא עָפָר דִּכְתִיב בֵּהּ (קהלת ג) הַכֹּל הָיָה מִן הֶעָפָר וַאֲפִלּוּ גַּלְגַּל חַמָּה. וְאִתְנַעֲרִין שְׁאָר חַיָּבִין מִנַּהּ וְלָא יְקוּמוּן. וּבְגִין כָּךְ וְרַבִּים אִלֵּין</w:t>
      </w:r>
      <w:r w:rsidRPr="00007309">
        <w:rPr>
          <w:rFonts w:cs="Arial"/>
          <w:b/>
          <w:bCs/>
          <w:sz w:val="24"/>
          <w:szCs w:val="28"/>
        </w:rPr>
        <w:t xml:space="preserve"> </w:t>
      </w:r>
      <w:r w:rsidRPr="00007309">
        <w:rPr>
          <w:rFonts w:cs="Arial"/>
          <w:b/>
          <w:bCs/>
          <w:sz w:val="24"/>
          <w:szCs w:val="24"/>
          <w:rtl/>
        </w:rPr>
        <w:t xml:space="preserve">יִשְׂרָאֵל. אוֹף הָכָא וּמַצְדִּיקֵי הָרַבִּים כַּכּוֹכָבִים לְעוֹלָם וָעֶד. אִלֵּין יִשְׂרָאֵל דְּזָכוּן לְאוֹרַיְתָא דִּנְקֻדָּה דְּסָתִים. </w:t>
      </w:r>
    </w:p>
    <w:p w:rsidR="00007309" w:rsidRPr="00007309" w:rsidRDefault="00007309" w:rsidP="00007309">
      <w:pPr>
        <w:jc w:val="both"/>
        <w:rPr>
          <w:rFonts w:cs="Arial"/>
          <w:b/>
          <w:bCs/>
          <w:sz w:val="24"/>
          <w:szCs w:val="24"/>
          <w:rtl/>
        </w:rPr>
      </w:pPr>
      <w:r w:rsidRPr="00007309">
        <w:rPr>
          <w:rFonts w:cs="Arial"/>
          <w:b/>
          <w:bCs/>
          <w:sz w:val="24"/>
          <w:szCs w:val="24"/>
          <w:rtl/>
        </w:rPr>
        <w:t>וְאוֹרַיְתָא כְּלָלָא דִּנְבִיאִים וּכְתוּבִים. כְּלָלָא דְּאוֹרַיְתָא דִּבְעַל פֶּה. וּבְגִין דְּאִיהִי כְּלָלָא</w:t>
      </w:r>
      <w:r w:rsidRPr="00007309">
        <w:rPr>
          <w:rFonts w:cs="Arial"/>
          <w:b/>
          <w:bCs/>
          <w:sz w:val="24"/>
          <w:szCs w:val="24"/>
        </w:rPr>
        <w:t xml:space="preserve"> </w:t>
      </w:r>
      <w:r w:rsidRPr="00007309">
        <w:rPr>
          <w:rFonts w:cs="Arial"/>
          <w:b/>
          <w:bCs/>
          <w:sz w:val="24"/>
          <w:szCs w:val="24"/>
          <w:rtl/>
        </w:rPr>
        <w:t xml:space="preserve">דְּכֹלָּא מָאן דְּזָכָה בָּהּ זָכֵי בְּכֹלָּא. כַּכּוֹכָבִים. </w:t>
      </w:r>
      <w:r w:rsidRPr="00007309">
        <w:rPr>
          <w:rFonts w:cs="Arial"/>
          <w:b/>
          <w:bCs/>
          <w:sz w:val="36"/>
          <w:szCs w:val="28"/>
          <w:vertAlign w:val="superscript"/>
          <w:rtl/>
        </w:rPr>
        <w:footnoteReference w:id="7081"/>
      </w:r>
      <w:r w:rsidRPr="00007309">
        <w:rPr>
          <w:rFonts w:cs="Arial"/>
          <w:b/>
          <w:bCs/>
          <w:sz w:val="24"/>
          <w:szCs w:val="24"/>
          <w:rtl/>
        </w:rPr>
        <w:t>אִית כּוֹכָבִים דְּאִתְחֲזוּן לִסְטָר מִזְרָח</w:t>
      </w:r>
      <w:r w:rsidRPr="00007309">
        <w:rPr>
          <w:rFonts w:cs="Arial" w:hint="cs"/>
          <w:b/>
          <w:bCs/>
          <w:sz w:val="24"/>
          <w:szCs w:val="24"/>
          <w:rtl/>
        </w:rPr>
        <w:t>,</w:t>
      </w:r>
      <w:r w:rsidRPr="00007309">
        <w:rPr>
          <w:rFonts w:cs="Arial"/>
          <w:b/>
          <w:bCs/>
          <w:sz w:val="24"/>
          <w:szCs w:val="24"/>
          <w:rtl/>
        </w:rPr>
        <w:t xml:space="preserve"> כּוֹכָבִים לִסְטָר צָפוֹן</w:t>
      </w:r>
      <w:r w:rsidRPr="00007309">
        <w:rPr>
          <w:rFonts w:cs="Arial" w:hint="cs"/>
          <w:b/>
          <w:bCs/>
          <w:sz w:val="24"/>
          <w:szCs w:val="24"/>
          <w:rtl/>
        </w:rPr>
        <w:t>,</w:t>
      </w:r>
      <w:r w:rsidRPr="00007309">
        <w:rPr>
          <w:rFonts w:cs="Arial"/>
          <w:b/>
          <w:bCs/>
          <w:sz w:val="24"/>
          <w:szCs w:val="24"/>
          <w:rtl/>
        </w:rPr>
        <w:t xml:space="preserve"> כּוֹכָבִים לִסְטָר דָּרוֹם</w:t>
      </w:r>
      <w:r w:rsidRPr="00007309">
        <w:rPr>
          <w:rFonts w:cs="Arial" w:hint="cs"/>
          <w:b/>
          <w:bCs/>
          <w:sz w:val="24"/>
          <w:szCs w:val="24"/>
          <w:rtl/>
        </w:rPr>
        <w:t>,</w:t>
      </w:r>
      <w:r w:rsidRPr="00007309">
        <w:rPr>
          <w:rFonts w:cs="Arial"/>
          <w:b/>
          <w:bCs/>
          <w:sz w:val="24"/>
          <w:szCs w:val="24"/>
          <w:rtl/>
        </w:rPr>
        <w:t xml:space="preserve"> כּוֹכָבִים לִסְטָר מַעֲרָב. אִי קִיסְטוֹן בְּקוּלְפוֹן תְּלָת לְכָל סְטָר דַּקִּיקַיָּא נַצְצִין, וּתְרֵין כְּקִיטְפָא</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082"/>
      </w:r>
      <w:r w:rsidRPr="00007309">
        <w:rPr>
          <w:rFonts w:cs="Arial"/>
          <w:b/>
          <w:bCs/>
          <w:sz w:val="24"/>
          <w:szCs w:val="24"/>
          <w:rtl/>
        </w:rPr>
        <w:t xml:space="preserve">כּוֹכָבָא דְּזִיהֲרָא זָהִיר וְסָתִים גּוֹ תּוּקְפוֹי דְּעֶגְלָא. </w:t>
      </w:r>
      <w:r w:rsidRPr="00007309">
        <w:rPr>
          <w:rFonts w:cs="Arial"/>
          <w:b/>
          <w:bCs/>
          <w:sz w:val="36"/>
          <w:szCs w:val="28"/>
          <w:vertAlign w:val="superscript"/>
          <w:rtl/>
        </w:rPr>
        <w:footnoteReference w:id="7083"/>
      </w:r>
      <w:r w:rsidRPr="00007309">
        <w:rPr>
          <w:rFonts w:cs="Arial"/>
          <w:b/>
          <w:bCs/>
          <w:sz w:val="24"/>
          <w:szCs w:val="24"/>
          <w:rtl/>
        </w:rPr>
        <w:t>כּוֹכָבָא נָהִיר וְזָהִיר בְּחִוְ</w:t>
      </w:r>
      <w:r w:rsidRPr="00007309">
        <w:rPr>
          <w:rFonts w:cs="Arial" w:hint="cs"/>
          <w:b/>
          <w:bCs/>
          <w:sz w:val="24"/>
          <w:szCs w:val="24"/>
          <w:rtl/>
        </w:rPr>
        <w:t>ר</w:t>
      </w:r>
      <w:r w:rsidRPr="00007309">
        <w:rPr>
          <w:rFonts w:cs="Arial"/>
          <w:b/>
          <w:bCs/>
          <w:sz w:val="24"/>
          <w:szCs w:val="24"/>
          <w:rtl/>
        </w:rPr>
        <w:t>וּ</w:t>
      </w:r>
      <w:r w:rsidRPr="00007309">
        <w:rPr>
          <w:rFonts w:cs="Arial" w:hint="cs"/>
          <w:b/>
          <w:bCs/>
          <w:sz w:val="24"/>
          <w:szCs w:val="24"/>
          <w:rtl/>
        </w:rPr>
        <w:t xml:space="preserve"> </w:t>
      </w:r>
      <w:r w:rsidRPr="00007309">
        <w:rPr>
          <w:rFonts w:cs="Arial"/>
          <w:b/>
          <w:bCs/>
          <w:sz w:val="24"/>
          <w:szCs w:val="24"/>
          <w:rtl/>
        </w:rPr>
        <w:t>מֵהַאי סִטְרָא</w:t>
      </w:r>
      <w:r w:rsidRPr="00007309">
        <w:rPr>
          <w:rFonts w:cs="Arial" w:hint="cs"/>
          <w:b/>
          <w:bCs/>
          <w:sz w:val="24"/>
          <w:szCs w:val="24"/>
          <w:rtl/>
        </w:rPr>
        <w:t>,</w:t>
      </w:r>
      <w:r w:rsidRPr="00007309">
        <w:rPr>
          <w:rFonts w:cs="Arial"/>
          <w:b/>
          <w:bCs/>
          <w:sz w:val="24"/>
          <w:szCs w:val="24"/>
          <w:rtl/>
        </w:rPr>
        <w:t xml:space="preserve"> כּוֹכָבָא אָחֳרָא נָהִיר וְזָהִיר סֻמָּקָא</w:t>
      </w:r>
      <w:r w:rsidRPr="00007309">
        <w:rPr>
          <w:rFonts w:cs="Arial" w:hint="cs"/>
          <w:b/>
          <w:bCs/>
          <w:sz w:val="24"/>
          <w:szCs w:val="24"/>
          <w:rtl/>
        </w:rPr>
        <w:t>,</w:t>
      </w:r>
      <w:r w:rsidRPr="00007309">
        <w:rPr>
          <w:rFonts w:cs="Arial"/>
          <w:b/>
          <w:bCs/>
          <w:sz w:val="24"/>
          <w:szCs w:val="24"/>
          <w:rtl/>
        </w:rPr>
        <w:t xml:space="preserve"> דָּא חַיִּין דָּא מוֹתָא</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084"/>
      </w:r>
      <w:r w:rsidRPr="00007309">
        <w:rPr>
          <w:rFonts w:cs="Arial"/>
          <w:b/>
          <w:bCs/>
          <w:sz w:val="24"/>
          <w:szCs w:val="24"/>
          <w:rtl/>
        </w:rPr>
        <w:t>סָמִיךְ לְהַאי</w:t>
      </w:r>
      <w:r w:rsidRPr="00007309">
        <w:rPr>
          <w:rFonts w:cs="Arial" w:hint="cs"/>
          <w:b/>
          <w:bCs/>
          <w:sz w:val="24"/>
          <w:szCs w:val="24"/>
          <w:rtl/>
        </w:rPr>
        <w:t>,</w:t>
      </w:r>
      <w:r w:rsidRPr="00007309">
        <w:rPr>
          <w:rFonts w:cs="Arial"/>
          <w:b/>
          <w:bCs/>
          <w:sz w:val="24"/>
          <w:szCs w:val="24"/>
          <w:rtl/>
        </w:rPr>
        <w:t xml:space="preserve"> דַּהֲבָא דַּקִּיק</w:t>
      </w:r>
      <w:r w:rsidRPr="00007309">
        <w:rPr>
          <w:rFonts w:cs="Arial"/>
          <w:b/>
          <w:bCs/>
          <w:sz w:val="24"/>
          <w:szCs w:val="24"/>
        </w:rPr>
        <w:t xml:space="preserve"> </w:t>
      </w:r>
      <w:r w:rsidRPr="00007309">
        <w:rPr>
          <w:rFonts w:cs="Arial"/>
          <w:b/>
          <w:bCs/>
          <w:sz w:val="24"/>
          <w:szCs w:val="24"/>
          <w:rtl/>
        </w:rPr>
        <w:t>דְּלָא נָהִיר</w:t>
      </w:r>
      <w:r w:rsidRPr="00007309">
        <w:rPr>
          <w:rFonts w:cs="Arial" w:hint="cs"/>
          <w:b/>
          <w:bCs/>
          <w:sz w:val="24"/>
          <w:szCs w:val="24"/>
          <w:rtl/>
        </w:rPr>
        <w:t>,</w:t>
      </w:r>
      <w:r w:rsidRPr="00007309">
        <w:rPr>
          <w:rFonts w:cs="Arial"/>
          <w:b/>
          <w:bCs/>
          <w:sz w:val="24"/>
          <w:szCs w:val="24"/>
          <w:rtl/>
        </w:rPr>
        <w:t xml:space="preserve"> וְלָא נָפִיק קִיטְטָא דִּיקְטָטָא (נ"א דקנטא) גּוֹ הֵיכָלָא דְּאַתְוָן דַּקִּיקִין</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085"/>
      </w:r>
      <w:r w:rsidRPr="00007309">
        <w:rPr>
          <w:rFonts w:cs="Arial"/>
          <w:b/>
          <w:bCs/>
          <w:sz w:val="24"/>
          <w:szCs w:val="24"/>
          <w:rtl/>
        </w:rPr>
        <w:t xml:space="preserve">שֶׁבַע טַעְמֵי דְּאוֹרַיְתָא תַּלְיָן בְּהוֹן. </w:t>
      </w:r>
      <w:r w:rsidRPr="00007309">
        <w:rPr>
          <w:rFonts w:cs="Arial"/>
          <w:b/>
          <w:bCs/>
          <w:sz w:val="36"/>
          <w:szCs w:val="28"/>
          <w:vertAlign w:val="superscript"/>
          <w:rtl/>
        </w:rPr>
        <w:footnoteReference w:id="7086"/>
      </w:r>
      <w:r w:rsidRPr="00007309">
        <w:rPr>
          <w:rFonts w:cs="Arial"/>
          <w:b/>
          <w:bCs/>
          <w:sz w:val="24"/>
          <w:szCs w:val="24"/>
          <w:rtl/>
        </w:rPr>
        <w:t xml:space="preserve">וְאִלֵּין טַעֲמִין דְּאִתְפְּרָשׁוּ מֵאִנּוּן טַעֲמִין אָחֳרָנִין תְּלֵיסַר דְּקַיְּמִין לְאַעֲנָאָה וּלְנַגְּנָא, וְאִלֵּין שֶׁבַע מִתְפָּרְשָׁן לְי"ג אָחֳרָנִין, לְאַעֲנָאָה וּלְנַגְּנָא לַכְּתוּבִים. </w:t>
      </w:r>
      <w:r w:rsidRPr="00007309">
        <w:rPr>
          <w:rFonts w:cs="Arial"/>
          <w:b/>
          <w:bCs/>
          <w:sz w:val="36"/>
          <w:szCs w:val="28"/>
          <w:vertAlign w:val="superscript"/>
          <w:rtl/>
        </w:rPr>
        <w:footnoteReference w:id="7087"/>
      </w:r>
      <w:r w:rsidRPr="00007309">
        <w:rPr>
          <w:rFonts w:cs="Arial"/>
          <w:b/>
          <w:bCs/>
          <w:sz w:val="24"/>
          <w:szCs w:val="24"/>
          <w:rtl/>
        </w:rPr>
        <w:t xml:space="preserve">וְאִלֵּין יְחִידָאֵי לַאֲתַר דָּא </w:t>
      </w:r>
      <w:r w:rsidRPr="00007309">
        <w:rPr>
          <w:rFonts w:cs="Arial"/>
          <w:b/>
          <w:bCs/>
          <w:sz w:val="36"/>
          <w:szCs w:val="28"/>
          <w:vertAlign w:val="superscript"/>
          <w:rtl/>
        </w:rPr>
        <w:footnoteReference w:id="7088"/>
      </w:r>
      <w:r w:rsidRPr="00007309">
        <w:rPr>
          <w:rFonts w:cs="Arial"/>
          <w:b/>
          <w:bCs/>
          <w:sz w:val="24"/>
          <w:szCs w:val="24"/>
          <w:rtl/>
        </w:rPr>
        <w:t xml:space="preserve">בְּז' הֵיכָלִין דִּכְתוּבִים </w:t>
      </w:r>
      <w:r w:rsidRPr="00007309">
        <w:rPr>
          <w:rFonts w:cs="Arial"/>
          <w:b/>
          <w:bCs/>
          <w:sz w:val="36"/>
          <w:szCs w:val="28"/>
          <w:vertAlign w:val="superscript"/>
          <w:rtl/>
        </w:rPr>
        <w:footnoteReference w:id="7089"/>
      </w:r>
      <w:r w:rsidRPr="00007309">
        <w:rPr>
          <w:rFonts w:cs="Arial"/>
          <w:b/>
          <w:bCs/>
          <w:sz w:val="24"/>
          <w:szCs w:val="24"/>
          <w:rtl/>
        </w:rPr>
        <w:t xml:space="preserve">וְאִלֵּין שֶׁבַע מִתְפָּרְשָׁן מֵאִנּוּן אָחֳרָנִין. </w:t>
      </w:r>
      <w:r w:rsidRPr="00007309">
        <w:rPr>
          <w:rFonts w:cs="Arial"/>
          <w:b/>
          <w:bCs/>
          <w:sz w:val="36"/>
          <w:szCs w:val="28"/>
          <w:vertAlign w:val="superscript"/>
          <w:rtl/>
        </w:rPr>
        <w:footnoteReference w:id="7090"/>
      </w:r>
      <w:r w:rsidRPr="00007309">
        <w:rPr>
          <w:rFonts w:cs="Arial"/>
          <w:b/>
          <w:bCs/>
          <w:sz w:val="24"/>
          <w:szCs w:val="24"/>
          <w:rtl/>
        </w:rPr>
        <w:t xml:space="preserve">וְכַד שָׁרָאן בַּכְּתוּבִים מִתְפָּרְשָׁן לְעֶשֶׂר, </w:t>
      </w:r>
      <w:r w:rsidRPr="00007309">
        <w:rPr>
          <w:rFonts w:cs="Arial"/>
          <w:b/>
          <w:bCs/>
          <w:sz w:val="36"/>
          <w:szCs w:val="28"/>
          <w:vertAlign w:val="superscript"/>
          <w:rtl/>
        </w:rPr>
        <w:footnoteReference w:id="7091"/>
      </w:r>
      <w:r w:rsidRPr="00007309">
        <w:rPr>
          <w:rFonts w:cs="Arial"/>
          <w:b/>
          <w:bCs/>
          <w:sz w:val="24"/>
          <w:szCs w:val="24"/>
          <w:rtl/>
        </w:rPr>
        <w:t xml:space="preserve">וְעָלַיְהוּ אִקְּרֵי סֵפֶר כְּתוּבִים סֵפֶר אֱמוּנִים. </w:t>
      </w:r>
      <w:r w:rsidRPr="00007309">
        <w:rPr>
          <w:rFonts w:cs="Arial"/>
          <w:b/>
          <w:bCs/>
          <w:sz w:val="36"/>
          <w:szCs w:val="28"/>
          <w:vertAlign w:val="superscript"/>
          <w:rtl/>
        </w:rPr>
        <w:footnoteReference w:id="7092"/>
      </w:r>
      <w:r w:rsidRPr="00007309">
        <w:rPr>
          <w:rFonts w:cs="Arial"/>
          <w:b/>
          <w:bCs/>
          <w:sz w:val="24"/>
          <w:szCs w:val="24"/>
          <w:rtl/>
        </w:rPr>
        <w:t xml:space="preserve">וְעֶשֶׂר אֱמוּנִים עָלַיְהוּ אִנּוּן. </w:t>
      </w:r>
      <w:r w:rsidRPr="00007309">
        <w:rPr>
          <w:rFonts w:cs="Arial"/>
          <w:b/>
          <w:bCs/>
          <w:sz w:val="36"/>
          <w:szCs w:val="28"/>
          <w:vertAlign w:val="superscript"/>
          <w:rtl/>
        </w:rPr>
        <w:footnoteReference w:id="7093"/>
      </w:r>
      <w:r w:rsidRPr="00007309">
        <w:rPr>
          <w:rFonts w:cs="Arial"/>
          <w:b/>
          <w:bCs/>
          <w:sz w:val="24"/>
          <w:szCs w:val="24"/>
          <w:rtl/>
        </w:rPr>
        <w:t xml:space="preserve">לְבָתַר מִתְפָּרְשָׁן לְי"ג, </w:t>
      </w:r>
      <w:r w:rsidRPr="00007309">
        <w:rPr>
          <w:rFonts w:cs="Arial"/>
          <w:b/>
          <w:bCs/>
          <w:sz w:val="36"/>
          <w:szCs w:val="28"/>
          <w:vertAlign w:val="superscript"/>
          <w:rtl/>
        </w:rPr>
        <w:footnoteReference w:id="7094"/>
      </w:r>
      <w:r w:rsidRPr="00007309">
        <w:rPr>
          <w:rFonts w:cs="Arial"/>
          <w:b/>
          <w:bCs/>
          <w:sz w:val="24"/>
          <w:szCs w:val="24"/>
          <w:rtl/>
        </w:rPr>
        <w:t xml:space="preserve">וְכֹלָּא כְּגַוְנָא דִּלְעֵלָּא בְּאוֹרַיְתָא, </w:t>
      </w:r>
      <w:r w:rsidRPr="00007309">
        <w:rPr>
          <w:rFonts w:cs="Arial"/>
          <w:b/>
          <w:bCs/>
          <w:sz w:val="36"/>
          <w:szCs w:val="28"/>
          <w:vertAlign w:val="superscript"/>
          <w:rtl/>
        </w:rPr>
        <w:footnoteReference w:id="7095"/>
      </w:r>
      <w:r w:rsidRPr="00007309">
        <w:rPr>
          <w:rFonts w:cs="Arial"/>
          <w:b/>
          <w:bCs/>
          <w:sz w:val="24"/>
          <w:szCs w:val="24"/>
          <w:rtl/>
        </w:rPr>
        <w:t xml:space="preserve">נְבִיאִים שָׁרָאָן בְּדוּכְתַיְהוּ </w:t>
      </w:r>
      <w:r w:rsidRPr="00007309">
        <w:rPr>
          <w:rFonts w:cs="Arial"/>
          <w:b/>
          <w:bCs/>
          <w:sz w:val="36"/>
          <w:szCs w:val="28"/>
          <w:vertAlign w:val="superscript"/>
          <w:rtl/>
        </w:rPr>
        <w:footnoteReference w:id="7096"/>
      </w:r>
      <w:r w:rsidRPr="00007309">
        <w:rPr>
          <w:rFonts w:cs="Arial"/>
          <w:b/>
          <w:bCs/>
          <w:sz w:val="24"/>
          <w:szCs w:val="24"/>
          <w:rtl/>
        </w:rPr>
        <w:t xml:space="preserve">וְכֹלָּא בְּרָזָא דְּאוֹרַיְתָא אַזְלָא. </w:t>
      </w:r>
    </w:p>
    <w:p w:rsidR="00007309" w:rsidRPr="00007309" w:rsidRDefault="00007309" w:rsidP="00007309">
      <w:pPr>
        <w:keepNext/>
        <w:spacing w:before="240" w:after="60"/>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[וילנא כא ע"ב]</w:t>
      </w:r>
    </w:p>
    <w:p w:rsidR="00007309" w:rsidRPr="00007309" w:rsidRDefault="00007309" w:rsidP="00007309">
      <w:pPr>
        <w:jc w:val="both"/>
        <w:rPr>
          <w:rFonts w:cs="Arial"/>
          <w:b/>
          <w:bCs/>
          <w:sz w:val="24"/>
          <w:szCs w:val="24"/>
        </w:rPr>
      </w:pPr>
      <w:r w:rsidRPr="00007309">
        <w:rPr>
          <w:rFonts w:cs="Arial"/>
          <w:b/>
          <w:bCs/>
          <w:sz w:val="24"/>
          <w:szCs w:val="24"/>
          <w:rtl/>
        </w:rPr>
        <w:t>בּוּצִינָא דְּקָ</w:t>
      </w:r>
      <w:r w:rsidRPr="00007309">
        <w:rPr>
          <w:rFonts w:cs="Arial" w:hint="cs"/>
          <w:b/>
          <w:bCs/>
          <w:sz w:val="24"/>
          <w:szCs w:val="24"/>
          <w:rtl/>
        </w:rPr>
        <w:t>ר</w:t>
      </w:r>
      <w:r w:rsidRPr="00007309">
        <w:rPr>
          <w:rFonts w:cs="Arial"/>
          <w:b/>
          <w:bCs/>
          <w:sz w:val="24"/>
          <w:szCs w:val="24"/>
          <w:rtl/>
        </w:rPr>
        <w:t>דִינוּתָא עָבִיד מִשְׁחָתָא בִּמְדִידוּ דְּקָא אֲמָרָן. וְכֹלָּא בְּרָזָא דְּאֵין סוֹף</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097"/>
      </w:r>
      <w:r w:rsidRPr="00007309">
        <w:rPr>
          <w:rFonts w:cs="Arial"/>
          <w:b/>
          <w:bCs/>
          <w:sz w:val="24"/>
          <w:szCs w:val="24"/>
          <w:rtl/>
        </w:rPr>
        <w:t xml:space="preserve">בְּנִגּוּנָא דְּטַעֲמֵי שָׁארֵי וּבָטַשׁ אֲוִירָא דִּילְהוֹן. דְּהַהוּא אֲוִירָא נָפְקָא מֵאֵין סוֹף וּבָטַשׁ גּוֹ מֹחָא, וּמֹחָא אַפִּיק אֲוִירָא וּבָטַשׁ בִּגְרוֹנָא, דְּמִתַּמָּן נָפַק אֲוִירָא אָחֳרָא לְבַר. </w:t>
      </w:r>
      <w:r w:rsidRPr="00007309">
        <w:rPr>
          <w:rFonts w:cs="Arial"/>
          <w:b/>
          <w:bCs/>
          <w:sz w:val="36"/>
          <w:szCs w:val="28"/>
          <w:vertAlign w:val="superscript"/>
          <w:rtl/>
        </w:rPr>
        <w:footnoteReference w:id="7098"/>
      </w:r>
      <w:r w:rsidRPr="00007309">
        <w:rPr>
          <w:rFonts w:cs="Arial"/>
          <w:b/>
          <w:bCs/>
          <w:sz w:val="24"/>
          <w:szCs w:val="24"/>
          <w:rtl/>
        </w:rPr>
        <w:t>אִשְׁתְּכָחוּ תְּלָת אֲוִירִין וְאִתְכְּלִילוּ בְּחַד</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099"/>
      </w:r>
      <w:r w:rsidRPr="00007309">
        <w:rPr>
          <w:rFonts w:cs="Arial"/>
          <w:b/>
          <w:bCs/>
          <w:sz w:val="24"/>
          <w:szCs w:val="24"/>
          <w:rtl/>
        </w:rPr>
        <w:t>אִלֵּין שְׁרָאָן בִּתְלָת קִשְׁרִין דְּקָא אֲמָרָן</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100"/>
      </w:r>
      <w:r w:rsidRPr="00007309">
        <w:rPr>
          <w:rFonts w:cs="Arial"/>
          <w:b/>
          <w:bCs/>
          <w:sz w:val="24"/>
          <w:szCs w:val="24"/>
          <w:rtl/>
        </w:rPr>
        <w:t>וְשָׁארֵי מִבּוּצִינָא פְּשִׁיטוּ לְאִתְפַּשְּׁטָא, וּמָדִיד לְאָרְכָּא וּפוּתְיָא לְעָמְקָא וְרוּמָא</w:t>
      </w:r>
      <w:r w:rsidRPr="00007309">
        <w:rPr>
          <w:rFonts w:cs="Arial" w:hint="cs"/>
          <w:b/>
          <w:bCs/>
          <w:sz w:val="24"/>
          <w:szCs w:val="24"/>
          <w:rtl/>
        </w:rPr>
        <w:t>,</w:t>
      </w:r>
      <w:r w:rsidRPr="00007309">
        <w:rPr>
          <w:rFonts w:cs="Arial"/>
          <w:b/>
          <w:bCs/>
          <w:sz w:val="24"/>
          <w:szCs w:val="24"/>
          <w:rtl/>
        </w:rPr>
        <w:t xml:space="preserve"> לְאִנּוּן </w:t>
      </w:r>
      <w:r w:rsidRPr="00007309">
        <w:rPr>
          <w:rFonts w:cs="Arial"/>
          <w:b/>
          <w:bCs/>
          <w:sz w:val="36"/>
          <w:szCs w:val="28"/>
          <w:vertAlign w:val="superscript"/>
          <w:rtl/>
        </w:rPr>
        <w:footnoteReference w:id="7101"/>
      </w:r>
      <w:r w:rsidRPr="00007309">
        <w:rPr>
          <w:rFonts w:cs="Arial"/>
          <w:b/>
          <w:bCs/>
          <w:sz w:val="24"/>
          <w:szCs w:val="24"/>
          <w:rtl/>
        </w:rPr>
        <w:t>כ"ב מַפְתְּחָן עִלָּאִין</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102"/>
      </w:r>
      <w:r w:rsidRPr="00007309">
        <w:rPr>
          <w:rFonts w:cs="Arial"/>
          <w:b/>
          <w:bCs/>
          <w:sz w:val="24"/>
          <w:szCs w:val="24"/>
          <w:rtl/>
        </w:rPr>
        <w:t xml:space="preserve">וּמָדִיד כ"ב אַתְוָן. </w:t>
      </w:r>
      <w:r w:rsidRPr="00007309">
        <w:rPr>
          <w:rFonts w:cs="Arial"/>
          <w:b/>
          <w:bCs/>
          <w:sz w:val="36"/>
          <w:szCs w:val="28"/>
          <w:vertAlign w:val="superscript"/>
          <w:rtl/>
        </w:rPr>
        <w:footnoteReference w:id="7103"/>
      </w:r>
      <w:r w:rsidRPr="00007309">
        <w:rPr>
          <w:rFonts w:cs="Arial"/>
          <w:b/>
          <w:bCs/>
          <w:sz w:val="24"/>
          <w:szCs w:val="24"/>
          <w:rtl/>
        </w:rPr>
        <w:t>וְכָל רָזָא וְעוּמְקָא וּסְתִימוּ דִּילְהוֹן, לָקֳבֵל ג' אֲוִירִין</w:t>
      </w:r>
      <w:r w:rsidRPr="00007309">
        <w:rPr>
          <w:rFonts w:cs="Arial" w:hint="cs"/>
          <w:b/>
          <w:bCs/>
          <w:sz w:val="24"/>
          <w:szCs w:val="24"/>
          <w:rtl/>
        </w:rPr>
        <w:t>,</w:t>
      </w:r>
      <w:r w:rsidRPr="00007309">
        <w:rPr>
          <w:rFonts w:cs="Arial"/>
          <w:b/>
          <w:bCs/>
          <w:sz w:val="24"/>
          <w:szCs w:val="24"/>
          <w:rtl/>
        </w:rPr>
        <w:t xml:space="preserve"> ג' קִשְׁרִין, יהו'ה אֱלֹהֵינוּ יהו'ה. וְכֹלָּא בְּרָזָא לְמֹשֶׁה מִסִּינַי. וְכֵיוָן דְּאַדְכָּרוּ (נ"א דאתחברו) בְּפוּמָא, נָפְקָא בּוּצִינָא וְאִצְטְרִיךְ לְמַדִּיד לוֹן לְהַנֵּי שְׁמָהָן גּוֹ מִשְׁחָתָא, </w:t>
      </w:r>
      <w:r w:rsidRPr="00007309">
        <w:rPr>
          <w:rFonts w:cs="Arial"/>
          <w:b/>
          <w:bCs/>
          <w:sz w:val="36"/>
          <w:szCs w:val="28"/>
          <w:vertAlign w:val="superscript"/>
          <w:rtl/>
        </w:rPr>
        <w:footnoteReference w:id="7104"/>
      </w:r>
      <w:r w:rsidRPr="00007309">
        <w:rPr>
          <w:rFonts w:cs="Arial"/>
          <w:b/>
          <w:bCs/>
          <w:sz w:val="24"/>
          <w:szCs w:val="24"/>
          <w:rtl/>
        </w:rPr>
        <w:t>וּמִשְׁחָתָא דִּילְהוֹן אֶחָד</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105"/>
      </w:r>
      <w:r w:rsidRPr="00007309">
        <w:rPr>
          <w:rFonts w:cs="Arial"/>
          <w:b/>
          <w:bCs/>
          <w:sz w:val="24"/>
          <w:szCs w:val="24"/>
          <w:rtl/>
        </w:rPr>
        <w:t xml:space="preserve">בִּמְדִידוּ דְּאָרְכָּא וּפוּתְיָא, עוּמְקָא וְרוּמָא, עִגּוּלָא וְרִבּוּעָא. וְהָכֵי אִצְטְרִיךְ, בְּגִין דְּרָזָא דִּשְׁמָהָן בָּעָאן לְאִסְתַּמְּכָא עַל אֵין סוֹף, וּלְאִתְקַיְּמָא בְּקִיּוּמָא שְׁלִים גּוֹ מִשְׁחָתָא דְּבוּצִינָא, בְּנִקּוּדֵי וְטַעֲמֵי בְּנִגּוּנָא. דְּדָא שְׁלִימוּ דְּרָזָא דְּיִחוּדָא כַּדְקָא חֲזֵי. וְלֵית מָאן דְּיָדַע עַל מַה </w:t>
      </w:r>
      <w:r w:rsidRPr="00007309">
        <w:rPr>
          <w:rFonts w:ascii="Cambria" w:hAnsi="Cambria" w:cs="Times New Roman" w:hint="cs"/>
          <w:b/>
          <w:bCs/>
          <w:i/>
          <w:iCs/>
          <w:color w:val="4F81BD"/>
          <w:sz w:val="24"/>
          <w:szCs w:val="24"/>
          <w:rtl/>
        </w:rPr>
        <w:t>(וילנא כא ע"ב)</w:t>
      </w:r>
      <w:r w:rsidRPr="00007309">
        <w:rPr>
          <w:rFonts w:cs="Arial" w:hint="cs"/>
          <w:b/>
          <w:bCs/>
          <w:sz w:val="24"/>
          <w:szCs w:val="24"/>
          <w:rtl/>
        </w:rPr>
        <w:t xml:space="preserve"> </w:t>
      </w:r>
      <w:r w:rsidRPr="00007309">
        <w:rPr>
          <w:rFonts w:cs="Arial"/>
          <w:b/>
          <w:bCs/>
          <w:sz w:val="24"/>
          <w:szCs w:val="24"/>
          <w:rtl/>
        </w:rPr>
        <w:t>קִיּוּמָא דְּכֹלָּא, בַּר מָארֵי מְהֵמְנוּתָא</w:t>
      </w:r>
      <w:r w:rsidRPr="00007309">
        <w:rPr>
          <w:rFonts w:cs="Arial"/>
          <w:b/>
          <w:bCs/>
          <w:sz w:val="24"/>
          <w:szCs w:val="24"/>
        </w:rPr>
        <w:t xml:space="preserve"> </w:t>
      </w:r>
      <w:r w:rsidRPr="00007309">
        <w:rPr>
          <w:rFonts w:cs="Arial"/>
          <w:b/>
          <w:bCs/>
          <w:sz w:val="24"/>
          <w:szCs w:val="24"/>
          <w:rtl/>
        </w:rPr>
        <w:t>וּזְעִירִין אִנּוּן. אֶחָ"ד</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106"/>
      </w:r>
      <w:r w:rsidRPr="00007309">
        <w:rPr>
          <w:rFonts w:cs="Arial"/>
          <w:b/>
          <w:bCs/>
          <w:sz w:val="24"/>
          <w:szCs w:val="24"/>
          <w:rtl/>
        </w:rPr>
        <w:t xml:space="preserve">א' בַּחֲטֵיפָא רָזָא לְאִתְקַשְּׁרָא בּוּצִינָא בְּאִנּוּן קִשְׁרִין, וְעָבִיד מִשְׁחָתָא אוֹרַיְתָא דְּמֹשֶׁה </w:t>
      </w:r>
      <w:r w:rsidRPr="00007309">
        <w:rPr>
          <w:rFonts w:cs="Arial"/>
          <w:b/>
          <w:bCs/>
          <w:sz w:val="36"/>
          <w:szCs w:val="28"/>
          <w:vertAlign w:val="superscript"/>
          <w:rtl/>
        </w:rPr>
        <w:footnoteReference w:id="7107"/>
      </w:r>
      <w:r w:rsidRPr="00007309">
        <w:rPr>
          <w:rFonts w:cs="Arial"/>
          <w:b/>
          <w:bCs/>
          <w:sz w:val="24"/>
          <w:szCs w:val="24"/>
          <w:rtl/>
        </w:rPr>
        <w:t xml:space="preserve">נְקֻדָּה חֲדָא דְּנַפְקָא מֵאַין. </w:t>
      </w:r>
      <w:r w:rsidRPr="00007309">
        <w:rPr>
          <w:rFonts w:cs="Arial"/>
          <w:b/>
          <w:bCs/>
          <w:sz w:val="36"/>
          <w:szCs w:val="28"/>
          <w:vertAlign w:val="superscript"/>
          <w:rtl/>
        </w:rPr>
        <w:footnoteReference w:id="7108"/>
      </w:r>
      <w:r w:rsidRPr="00007309">
        <w:rPr>
          <w:rFonts w:cs="Arial"/>
          <w:b/>
          <w:bCs/>
          <w:sz w:val="24"/>
          <w:szCs w:val="24"/>
          <w:rtl/>
        </w:rPr>
        <w:t>נְבִיאִים מֵהַהוּא נְקֻדָּה אִתְפְּשָׁטוּ וְאִתְכְּלִילוּ בָּהּ, וְנַחְתֵּי לְתַתָּא, וְאִלֵּין אִסְתְּמָכוּ עַל קְיָמָא דְּסָתִים מֵאֵין סוֹף</w:t>
      </w:r>
      <w:r w:rsidRPr="00007309">
        <w:rPr>
          <w:rFonts w:cs="Arial" w:hint="cs"/>
          <w:b/>
          <w:bCs/>
          <w:sz w:val="24"/>
          <w:szCs w:val="24"/>
          <w:rtl/>
        </w:rPr>
        <w:t>,</w:t>
      </w:r>
      <w:r w:rsidRPr="00007309">
        <w:rPr>
          <w:rFonts w:cs="Arial"/>
          <w:b/>
          <w:bCs/>
          <w:sz w:val="24"/>
          <w:szCs w:val="24"/>
          <w:rtl/>
        </w:rPr>
        <w:t xml:space="preserve"> ג' קִשְׁרִין כַּדְקָא אֲמָרָן</w:t>
      </w:r>
      <w:r w:rsidRPr="00007309">
        <w:rPr>
          <w:rFonts w:cs="Arial"/>
          <w:b/>
          <w:bCs/>
          <w:sz w:val="24"/>
          <w:szCs w:val="24"/>
        </w:rPr>
        <w:t>:</w:t>
      </w:r>
    </w:p>
    <w:p w:rsidR="00007309" w:rsidRPr="00007309" w:rsidRDefault="00007309" w:rsidP="00007309">
      <w:pPr>
        <w:keepNext/>
        <w:outlineLvl w:val="1"/>
        <w:rPr>
          <w:rFonts w:ascii="Cambria" w:hAnsi="Cambria" w:cs="Times New Roman"/>
          <w:b/>
          <w:bCs/>
          <w:i/>
          <w:iCs/>
          <w:sz w:val="28"/>
          <w:szCs w:val="28"/>
          <w:rtl/>
        </w:rPr>
      </w:pPr>
      <w:r w:rsidRPr="00007309">
        <w:rPr>
          <w:rFonts w:ascii="Cambria" w:hAnsi="Cambria" w:cs="Times New Roman"/>
          <w:b/>
          <w:bCs/>
          <w:i/>
          <w:iCs/>
          <w:sz w:val="28"/>
          <w:szCs w:val="28"/>
          <w:rtl/>
        </w:rPr>
        <w:t>[</w:t>
      </w:r>
      <w:r w:rsidRPr="00007309">
        <w:rPr>
          <w:rFonts w:ascii="Cambria" w:hAnsi="Cambria" w:cs="Times New Roman" w:hint="cs"/>
          <w:b/>
          <w:bCs/>
          <w:i/>
          <w:iCs/>
          <w:sz w:val="28"/>
          <w:szCs w:val="28"/>
          <w:rtl/>
        </w:rPr>
        <w:t>דף</w:t>
      </w:r>
      <w:r w:rsidRPr="00007309">
        <w:rPr>
          <w:rFonts w:ascii="Cambria" w:hAnsi="Cambria" w:cs="Times New Roman"/>
          <w:b/>
          <w:bCs/>
          <w:i/>
          <w:iCs/>
          <w:sz w:val="28"/>
          <w:szCs w:val="28"/>
          <w:rtl/>
        </w:rPr>
        <w:t xml:space="preserve"> ע</w:t>
      </w:r>
      <w:r w:rsidRPr="00007309">
        <w:rPr>
          <w:rFonts w:ascii="Cambria" w:hAnsi="Cambria" w:cs="Times New Roman" w:hint="cs"/>
          <w:b/>
          <w:bCs/>
          <w:i/>
          <w:iCs/>
          <w:sz w:val="28"/>
          <w:szCs w:val="28"/>
          <w:rtl/>
        </w:rPr>
        <w:t>ט</w:t>
      </w:r>
      <w:r w:rsidRPr="00007309">
        <w:rPr>
          <w:rFonts w:ascii="Cambria" w:hAnsi="Cambria" w:cs="Times New Roman"/>
          <w:b/>
          <w:bCs/>
          <w:i/>
          <w:iCs/>
          <w:sz w:val="28"/>
          <w:szCs w:val="28"/>
          <w:rtl/>
        </w:rPr>
        <w:t xml:space="preserve"> ע"</w:t>
      </w:r>
      <w:r w:rsidRPr="00007309">
        <w:rPr>
          <w:rFonts w:ascii="Cambria" w:hAnsi="Cambria" w:cs="Times New Roman" w:hint="cs"/>
          <w:b/>
          <w:bCs/>
          <w:i/>
          <w:iCs/>
          <w:sz w:val="28"/>
          <w:szCs w:val="28"/>
          <w:rtl/>
        </w:rPr>
        <w:t>ד</w:t>
      </w:r>
      <w:r w:rsidRPr="00007309">
        <w:rPr>
          <w:rFonts w:ascii="Cambria" w:hAnsi="Cambria" w:cs="Times New Roman"/>
          <w:b/>
          <w:bCs/>
          <w:i/>
          <w:iCs/>
          <w:sz w:val="28"/>
          <w:szCs w:val="28"/>
          <w:rtl/>
        </w:rPr>
        <w:t>]</w:t>
      </w:r>
    </w:p>
    <w:p w:rsidR="00007309" w:rsidRPr="00007309" w:rsidRDefault="00007309" w:rsidP="00007309">
      <w:pPr>
        <w:jc w:val="both"/>
        <w:rPr>
          <w:rFonts w:cs="Arial"/>
          <w:b/>
          <w:bCs/>
          <w:sz w:val="24"/>
          <w:szCs w:val="24"/>
        </w:rPr>
      </w:pPr>
      <w:r w:rsidRPr="00007309">
        <w:rPr>
          <w:rFonts w:cs="Arial"/>
          <w:b/>
          <w:bCs/>
          <w:sz w:val="36"/>
          <w:szCs w:val="28"/>
          <w:vertAlign w:val="superscript"/>
          <w:rtl/>
        </w:rPr>
        <w:footnoteReference w:id="7109"/>
      </w:r>
      <w:r w:rsidRPr="00007309">
        <w:rPr>
          <w:rFonts w:cs="Arial"/>
          <w:b/>
          <w:bCs/>
          <w:sz w:val="24"/>
          <w:szCs w:val="24"/>
          <w:rtl/>
        </w:rPr>
        <w:t>מַתְנִיתִין</w:t>
      </w:r>
      <w:r w:rsidRPr="00007309">
        <w:rPr>
          <w:rFonts w:cs="Arial" w:hint="cs"/>
          <w:b/>
          <w:bCs/>
          <w:sz w:val="24"/>
          <w:szCs w:val="24"/>
          <w:rtl/>
        </w:rPr>
        <w:t>.</w:t>
      </w:r>
      <w:r w:rsidRPr="00007309">
        <w:rPr>
          <w:rFonts w:cs="Arial"/>
          <w:b/>
          <w:bCs/>
          <w:sz w:val="24"/>
          <w:szCs w:val="24"/>
          <w:rtl/>
        </w:rPr>
        <w:t xml:space="preserve"> קִטוּפֵי דְּקִטְרִין מָארֵי דַּחֲרִיכִין, פְּקִיחִין דְּעַיְנִין מָאֵרי דְּלִבָּא בְּסָכְלְתָנוּ קְרִיבוּ שְׁמָעוּ, מָאן מִנְּכוֹן דְּשָׁמַע </w:t>
      </w:r>
      <w:r w:rsidRPr="00007309">
        <w:rPr>
          <w:rFonts w:cs="Arial"/>
          <w:b/>
          <w:bCs/>
          <w:sz w:val="36"/>
          <w:szCs w:val="28"/>
          <w:vertAlign w:val="superscript"/>
          <w:rtl/>
        </w:rPr>
        <w:footnoteReference w:id="7110"/>
      </w:r>
      <w:r w:rsidRPr="00007309">
        <w:rPr>
          <w:rFonts w:cs="Arial"/>
          <w:b/>
          <w:bCs/>
          <w:sz w:val="24"/>
          <w:szCs w:val="24"/>
          <w:rtl/>
        </w:rPr>
        <w:t xml:space="preserve">קָל גַּלְגַּלָּא דְּנָהִים וְאַסְחַר בְּגִלְגּוּלָא, סַלְקָא וְנַחְתָּא וְרָמֵי קָלִין </w:t>
      </w:r>
      <w:r w:rsidRPr="00007309">
        <w:rPr>
          <w:rFonts w:cs="Arial"/>
          <w:b/>
          <w:bCs/>
          <w:sz w:val="36"/>
          <w:szCs w:val="28"/>
          <w:vertAlign w:val="superscript"/>
          <w:rtl/>
        </w:rPr>
        <w:footnoteReference w:id="7111"/>
      </w:r>
      <w:r w:rsidRPr="00007309">
        <w:rPr>
          <w:rFonts w:cs="Arial"/>
          <w:b/>
          <w:bCs/>
          <w:sz w:val="24"/>
          <w:szCs w:val="24"/>
          <w:rtl/>
        </w:rPr>
        <w:t xml:space="preserve">בְּקָל נְעִימוּ, </w:t>
      </w:r>
      <w:r w:rsidRPr="00007309">
        <w:rPr>
          <w:rFonts w:cs="Arial"/>
          <w:b/>
          <w:bCs/>
          <w:sz w:val="36"/>
          <w:szCs w:val="28"/>
          <w:vertAlign w:val="superscript"/>
          <w:rtl/>
        </w:rPr>
        <w:footnoteReference w:id="7112"/>
      </w:r>
      <w:r w:rsidRPr="00007309">
        <w:rPr>
          <w:rFonts w:cs="Arial"/>
          <w:b/>
          <w:bCs/>
          <w:sz w:val="24"/>
          <w:szCs w:val="24"/>
          <w:rtl/>
        </w:rPr>
        <w:t xml:space="preserve">וּתְלָת נְצִיצִין נָפְקִין מֵאֵפוּתָא דְּכָל קָלָא. וְהַהוּא גַּלְגַּלָּא אַסְחַר לְעֵלָּא וּלְתַתָּא, </w:t>
      </w:r>
      <w:r w:rsidRPr="00007309">
        <w:rPr>
          <w:rFonts w:cs="Arial"/>
          <w:b/>
          <w:bCs/>
          <w:sz w:val="36"/>
          <w:szCs w:val="28"/>
          <w:vertAlign w:val="superscript"/>
          <w:rtl/>
        </w:rPr>
        <w:footnoteReference w:id="7113"/>
      </w:r>
      <w:r w:rsidRPr="00007309">
        <w:rPr>
          <w:rFonts w:cs="Arial"/>
          <w:b/>
          <w:bCs/>
          <w:sz w:val="24"/>
          <w:szCs w:val="24"/>
          <w:rtl/>
        </w:rPr>
        <w:t>וְנַפְקָא נְצִיצָא וְלָהִיט לָהּ לְגַלְגַּלָּא. וּכְדֵין אַפִּיק אֶשָּׁא מְלַהֲטָא בְּקוּלְפִין. הַהוּא גַּלְגַּלָּא</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114"/>
      </w:r>
      <w:r w:rsidRPr="00007309">
        <w:rPr>
          <w:rFonts w:cs="Arial"/>
          <w:b/>
          <w:bCs/>
          <w:sz w:val="24"/>
          <w:szCs w:val="24"/>
          <w:rtl/>
        </w:rPr>
        <w:t xml:space="preserve">כַּד אִתְפְּשַׁט בּוּצִינָא לְמִשְׁחָתָא, נָפְקָא אֲוִירָא דַּכְיָא דְּלָהִיט בְּאִנּוּן תְּלָת אֲוִירִין דְּקָאָמְרָן, </w:t>
      </w:r>
      <w:r w:rsidRPr="00007309">
        <w:rPr>
          <w:rFonts w:cs="Arial"/>
          <w:b/>
          <w:bCs/>
          <w:sz w:val="36"/>
          <w:szCs w:val="28"/>
          <w:vertAlign w:val="superscript"/>
          <w:rtl/>
        </w:rPr>
        <w:footnoteReference w:id="7115"/>
      </w:r>
      <w:r w:rsidRPr="00007309">
        <w:rPr>
          <w:rFonts w:cs="Arial"/>
          <w:b/>
          <w:bCs/>
          <w:sz w:val="24"/>
          <w:szCs w:val="24"/>
          <w:rtl/>
        </w:rPr>
        <w:t>וְלַהֲטִין כַּחֲדָא. וּמֵהַהוּא לְהִיטוּ נָפְקָא גַּלְגַּלָּא דָּא דְּאַסְחַר</w:t>
      </w:r>
      <w:r w:rsidRPr="00007309">
        <w:rPr>
          <w:rFonts w:cs="Arial" w:hint="cs"/>
          <w:b/>
          <w:bCs/>
          <w:sz w:val="24"/>
          <w:szCs w:val="24"/>
          <w:rtl/>
        </w:rPr>
        <w:t xml:space="preserve"> </w:t>
      </w:r>
      <w:r w:rsidRPr="00007309">
        <w:rPr>
          <w:rFonts w:cs="Arial"/>
          <w:b/>
          <w:bCs/>
          <w:sz w:val="24"/>
          <w:szCs w:val="24"/>
          <w:rtl/>
        </w:rPr>
        <w:t xml:space="preserve">וְסַלְקָא וְנַחְתָּא. וְכַד מִשְׁחָתָא דְּבוּצִינָא נַפְקָא וּמָדִיד מֵעֵלָּא לְתַתָּא, הַאי גַּלְגַּלָּא כָּנִישׁ כָּל מַשִּׁרְיָן. וְכַד שָׁארָא מִשְׁחָתָא הַאי גַּלְגַּלָּא נָהִים בִּנְעִימוּ </w:t>
      </w:r>
      <w:r w:rsidRPr="00007309">
        <w:rPr>
          <w:rFonts w:cs="Arial"/>
          <w:b/>
          <w:bCs/>
          <w:sz w:val="36"/>
          <w:szCs w:val="28"/>
          <w:vertAlign w:val="superscript"/>
          <w:rtl/>
        </w:rPr>
        <w:footnoteReference w:id="7116"/>
      </w:r>
      <w:r w:rsidRPr="00007309">
        <w:rPr>
          <w:rFonts w:cs="Arial"/>
          <w:b/>
          <w:bCs/>
          <w:sz w:val="24"/>
          <w:szCs w:val="24"/>
          <w:rtl/>
        </w:rPr>
        <w:t xml:space="preserve">וְאַפִּיק אַתְוָן נְצִיצִין דַּקִּיקִין לְפָרְשָׁא בְּאַתְוָן דְּאוֹרַיְתָא וּכְדֵין אִקְּרֵי מָסֹרֶת. מֵהַאי גַּלְגַּלָּא </w:t>
      </w:r>
      <w:r w:rsidRPr="00007309">
        <w:rPr>
          <w:rFonts w:cs="Arial"/>
          <w:b/>
          <w:bCs/>
          <w:sz w:val="36"/>
          <w:szCs w:val="28"/>
          <w:vertAlign w:val="superscript"/>
          <w:rtl/>
        </w:rPr>
        <w:footnoteReference w:id="7117"/>
      </w:r>
      <w:r w:rsidRPr="00007309">
        <w:rPr>
          <w:rFonts w:cs="Arial"/>
          <w:b/>
          <w:bCs/>
          <w:sz w:val="24"/>
          <w:szCs w:val="24"/>
          <w:rtl/>
        </w:rPr>
        <w:t xml:space="preserve">לָהִיט אָחֳרָא תַּתָּאָה, וְאִתְפְּשַׁט וְלָהִיט אַתְוָן אָחֳרָנִין לְפָרְשָׁא </w:t>
      </w:r>
      <w:r w:rsidRPr="00007309">
        <w:rPr>
          <w:rFonts w:ascii="Cambria" w:hAnsi="Cambria" w:cs="Times New Roman" w:hint="cs"/>
          <w:b/>
          <w:bCs/>
          <w:i/>
          <w:iCs/>
          <w:color w:val="4F81BD"/>
          <w:sz w:val="24"/>
          <w:szCs w:val="24"/>
          <w:rtl/>
        </w:rPr>
        <w:t>(עט ע"ד)</w:t>
      </w:r>
      <w:r w:rsidRPr="00007309">
        <w:rPr>
          <w:rFonts w:cs="Arial" w:hint="cs"/>
          <w:b/>
          <w:bCs/>
          <w:sz w:val="24"/>
          <w:szCs w:val="24"/>
          <w:rtl/>
        </w:rPr>
        <w:t xml:space="preserve"> </w:t>
      </w:r>
      <w:r w:rsidRPr="00007309">
        <w:rPr>
          <w:rFonts w:cs="Arial"/>
          <w:b/>
          <w:bCs/>
          <w:sz w:val="24"/>
          <w:szCs w:val="24"/>
          <w:rtl/>
        </w:rPr>
        <w:t>וְלֹא כְּאִנּוּן קַדְמָאֵי וְאִקְּרֵי מָסֹרֶת זְעֵירָא. אִלֵּין תְּרֵין גַּלְגַּלִּין אִקְּרוּן מָסֹרֶת זְעִירָא</w:t>
      </w:r>
      <w:r w:rsidRPr="00007309">
        <w:rPr>
          <w:rFonts w:cs="Arial"/>
          <w:b/>
          <w:bCs/>
          <w:sz w:val="24"/>
          <w:szCs w:val="24"/>
        </w:rPr>
        <w:t xml:space="preserve"> </w:t>
      </w:r>
      <w:r w:rsidRPr="00007309">
        <w:rPr>
          <w:rFonts w:cs="Arial"/>
          <w:b/>
          <w:bCs/>
          <w:sz w:val="24"/>
          <w:szCs w:val="24"/>
          <w:rtl/>
        </w:rPr>
        <w:t>וּמָסֹרֶת רַבְרְבָא. אִלֵּין תְּרֵין מָסֹרֶת אִתְמְסָרוּ לִידוֹי דְּרָעֲיָא מְהֵימָנָא, לְמִנְדַּע וּלְאִסְתַּכְּלָא, עַד דְּנַחְתּוּ אַתְוָן וְאִתְחֲקָקוּ עַל לוּחֵי אַבְנִין. כַּד גַּלְגַּלֵּי שָׁארֵי וְאַסְחַר</w:t>
      </w:r>
      <w:r w:rsidRPr="00007309">
        <w:rPr>
          <w:rFonts w:cs="Arial" w:hint="cs"/>
          <w:b/>
          <w:bCs/>
          <w:sz w:val="24"/>
          <w:szCs w:val="24"/>
          <w:rtl/>
        </w:rPr>
        <w:t>,</w:t>
      </w:r>
      <w:r w:rsidRPr="00007309">
        <w:rPr>
          <w:rFonts w:cs="Arial"/>
          <w:b/>
          <w:bCs/>
          <w:sz w:val="24"/>
          <w:szCs w:val="24"/>
          <w:rtl/>
        </w:rPr>
        <w:t xml:space="preserve"> כַּמָּה חַיָּלִין וְכַמָּה מַשִּׁרְיָן מָארֵיהוֹן דְּגַדְפִין טָאסִין</w:t>
      </w:r>
      <w:r w:rsidRPr="00007309">
        <w:rPr>
          <w:rFonts w:cs="Arial" w:hint="cs"/>
          <w:b/>
          <w:bCs/>
          <w:sz w:val="24"/>
          <w:szCs w:val="24"/>
          <w:rtl/>
        </w:rPr>
        <w:t xml:space="preserve"> </w:t>
      </w:r>
      <w:r w:rsidRPr="00007309">
        <w:rPr>
          <w:rFonts w:cs="Arial"/>
          <w:b/>
          <w:bCs/>
          <w:sz w:val="24"/>
          <w:szCs w:val="24"/>
          <w:rtl/>
        </w:rPr>
        <w:t>בְּאִנּוּן רְקִיעִין, וְאִנּוּן אַתְוָן דְּנָפְקֵי אִתְמְסָרוּ לְהַהוּא מְמָנָא קַדִּישָׁא דְאִקְּרֵי יופיאֵ"ל מָארֵי דְּחָכְמְתָא</w:t>
      </w:r>
      <w:r w:rsidRPr="00007309">
        <w:rPr>
          <w:rFonts w:cs="Arial" w:hint="cs"/>
          <w:b/>
          <w:bCs/>
          <w:sz w:val="24"/>
          <w:szCs w:val="24"/>
          <w:rtl/>
        </w:rPr>
        <w:t>,</w:t>
      </w:r>
      <w:r w:rsidRPr="00007309">
        <w:rPr>
          <w:rFonts w:cs="Arial"/>
          <w:b/>
          <w:bCs/>
          <w:sz w:val="24"/>
          <w:szCs w:val="24"/>
          <w:rtl/>
        </w:rPr>
        <w:t xml:space="preserve"> וּכְדֵין אָזִיל </w:t>
      </w:r>
      <w:r w:rsidRPr="00007309">
        <w:rPr>
          <w:rFonts w:cs="Arial"/>
          <w:b/>
          <w:bCs/>
          <w:sz w:val="36"/>
          <w:szCs w:val="28"/>
          <w:vertAlign w:val="superscript"/>
          <w:rtl/>
        </w:rPr>
        <w:footnoteReference w:id="7118"/>
      </w:r>
      <w:r w:rsidRPr="00007309">
        <w:rPr>
          <w:rFonts w:cs="Arial"/>
          <w:b/>
          <w:bCs/>
          <w:sz w:val="24"/>
          <w:szCs w:val="24"/>
          <w:rtl/>
        </w:rPr>
        <w:t>וְחָקִיק לוֹן סַחֲרָנֵי דְּאַתְוָן</w:t>
      </w:r>
      <w:r w:rsidRPr="00007309">
        <w:rPr>
          <w:rFonts w:cs="Arial" w:hint="cs"/>
          <w:b/>
          <w:bCs/>
          <w:sz w:val="24"/>
          <w:szCs w:val="24"/>
          <w:rtl/>
        </w:rPr>
        <w:t>,</w:t>
      </w:r>
      <w:r w:rsidRPr="00007309">
        <w:rPr>
          <w:rFonts w:cs="Arial"/>
          <w:b/>
          <w:bCs/>
          <w:sz w:val="24"/>
          <w:szCs w:val="24"/>
          <w:rtl/>
        </w:rPr>
        <w:t xml:space="preserve"> וְהַאי מְמָנָא קַדִּישָׁא מָסַר לוֹן לִמְהֵימָנָא קַדִּישָׁא</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119"/>
      </w:r>
      <w:r w:rsidRPr="00007309">
        <w:rPr>
          <w:rFonts w:cs="Arial"/>
          <w:b/>
          <w:bCs/>
          <w:sz w:val="24"/>
          <w:szCs w:val="24"/>
          <w:rtl/>
        </w:rPr>
        <w:t>כד"א (שמות כד) עֲלֵה אֵלַי הֶהָרָה וֶהְיֵה שָם וְגוֹ</w:t>
      </w:r>
      <w:r w:rsidRPr="00007309">
        <w:rPr>
          <w:rFonts w:cs="Arial" w:hint="cs"/>
          <w:b/>
          <w:bCs/>
          <w:sz w:val="24"/>
          <w:szCs w:val="24"/>
          <w:rtl/>
        </w:rPr>
        <w:t>':</w:t>
      </w:r>
    </w:p>
    <w:p w:rsidR="00007309" w:rsidRPr="00007309" w:rsidRDefault="00007309" w:rsidP="00007309">
      <w:pPr>
        <w:jc w:val="both"/>
        <w:rPr>
          <w:rFonts w:cs="Arial"/>
          <w:b/>
          <w:bCs/>
          <w:sz w:val="24"/>
          <w:szCs w:val="24"/>
        </w:rPr>
      </w:pPr>
      <w:r w:rsidRPr="00007309">
        <w:rPr>
          <w:rFonts w:cs="Arial"/>
          <w:b/>
          <w:bCs/>
          <w:sz w:val="24"/>
          <w:szCs w:val="24"/>
          <w:rtl/>
        </w:rPr>
        <w:t>וְהַמַּשְׂכִילִים יַזְהִרוּ כְּזֹהַר הָרָקִיעַ</w:t>
      </w:r>
      <w:r w:rsidRPr="00007309">
        <w:rPr>
          <w:rFonts w:cs="Arial" w:hint="cs"/>
          <w:b/>
          <w:bCs/>
          <w:sz w:val="24"/>
          <w:szCs w:val="24"/>
          <w:rtl/>
        </w:rPr>
        <w:t>,</w:t>
      </w:r>
      <w:r w:rsidRPr="00007309">
        <w:rPr>
          <w:rFonts w:cs="Arial"/>
          <w:b/>
          <w:bCs/>
          <w:sz w:val="24"/>
          <w:szCs w:val="24"/>
          <w:rtl/>
        </w:rPr>
        <w:t xml:space="preserve"> אִלֵּין אִנּוּן דְּמִשְׁתַּדְּלֵי בְּאוֹרַיְתָא, וְאִסְתַּכְּלִין בְּמִלֵּי דְּאוֹרַיְתָא בִּרְעוּתָא בְּהִרְהוּרָא דְּלִבָּא. וְהַמַּשְׂכִּילִים</w:t>
      </w:r>
      <w:r w:rsidRPr="00007309">
        <w:rPr>
          <w:rFonts w:cs="Arial" w:hint="cs"/>
          <w:b/>
          <w:bCs/>
          <w:sz w:val="24"/>
          <w:szCs w:val="24"/>
          <w:rtl/>
        </w:rPr>
        <w:t>,</w:t>
      </w:r>
      <w:r w:rsidRPr="00007309">
        <w:rPr>
          <w:rFonts w:cs="Arial"/>
          <w:b/>
          <w:bCs/>
          <w:sz w:val="24"/>
          <w:szCs w:val="24"/>
          <w:rtl/>
        </w:rPr>
        <w:t xml:space="preserve"> דְּמִסְתַּכְּלָן, וְלָא מִסְתַּכְּלָן בְּמִלָּה בִּלְחוּדָהָא</w:t>
      </w:r>
      <w:r w:rsidRPr="00007309">
        <w:rPr>
          <w:rFonts w:cs="Arial" w:hint="cs"/>
          <w:b/>
          <w:bCs/>
          <w:sz w:val="24"/>
          <w:szCs w:val="24"/>
          <w:rtl/>
        </w:rPr>
        <w:t>,</w:t>
      </w:r>
      <w:r w:rsidRPr="00007309">
        <w:rPr>
          <w:rFonts w:cs="Arial"/>
          <w:b/>
          <w:bCs/>
          <w:sz w:val="24"/>
          <w:szCs w:val="24"/>
          <w:rtl/>
        </w:rPr>
        <w:t xml:space="preserve"> אֶלָּא דְּמִסְתַּכְּלָן בַּאֲתַר דְּתָלִי הַהוּא מִלָּה. בְּגִין דְּלֵית מִלָּה דְּלָא תַּלְיָא עַל רָזָא אָחֳרָא עִלָּאָה. וְיִשְׁכַּח בְּמִלָּה דָּא מִלָּה אָחֳרָא דְּרָזָא עִלָּאָה, מִגּוֹ אַסְפַּקְלַרְיָא דְּלָא נַהֲרָא, יִשְׁכַּח וְיֶחֱמֵי בַּר נָשׁ רָזָא דְּאַסְפַּקְלַרְיָא דְּנַהֲרָא. </w:t>
      </w:r>
      <w:r w:rsidRPr="00007309">
        <w:rPr>
          <w:rFonts w:cs="Arial"/>
          <w:b/>
          <w:bCs/>
          <w:sz w:val="36"/>
          <w:szCs w:val="28"/>
          <w:vertAlign w:val="superscript"/>
          <w:rtl/>
        </w:rPr>
        <w:footnoteReference w:id="7120"/>
      </w:r>
      <w:r w:rsidRPr="00007309">
        <w:rPr>
          <w:rFonts w:cs="Arial"/>
          <w:b/>
          <w:bCs/>
          <w:sz w:val="24"/>
          <w:szCs w:val="24"/>
          <w:rtl/>
        </w:rPr>
        <w:t xml:space="preserve">וְסִימָנִיךְ (משלי טז) מַשְׂכִּיל עַל דָּבָר יִמְצָא טוֹב. דָּבָר, דָּא אַסְפַּקְלַרְיָא דְּלָא נַהֲרָא. יִמְצָא טוֹב, דָּא אַסְפַּקְלַרְיָא דְּנַהֲרָא. מַשְׂכִּיל עַל דָּבָר, וְלָא כְּתִיב מַשְׂכִּיל דָּבָר, אֶלָּא עַל דָּבָר, דְּבָעֵי לְאִסְתַּכְּלָא עָלֵהּ לְעֵלָּא. וְדָא הוּא כְּזֹהַר הָרָקִיעַ, </w:t>
      </w:r>
      <w:r w:rsidRPr="00007309">
        <w:rPr>
          <w:rFonts w:cs="Arial"/>
          <w:b/>
          <w:bCs/>
          <w:sz w:val="36"/>
          <w:szCs w:val="28"/>
          <w:vertAlign w:val="superscript"/>
          <w:rtl/>
        </w:rPr>
        <w:footnoteReference w:id="7121"/>
      </w:r>
      <w:r w:rsidRPr="00007309">
        <w:rPr>
          <w:rFonts w:cs="Arial"/>
          <w:b/>
          <w:bCs/>
          <w:sz w:val="24"/>
          <w:szCs w:val="24"/>
          <w:rtl/>
        </w:rPr>
        <w:t>דָּא הוּא רָקִיעַ דְּאִשְׁתְּמוֹדְעָא עַל חֵיוָן לְתַתָּא</w:t>
      </w:r>
      <w:r w:rsidRPr="00007309">
        <w:rPr>
          <w:rFonts w:cs="Arial" w:hint="cs"/>
          <w:b/>
          <w:bCs/>
          <w:sz w:val="24"/>
          <w:szCs w:val="24"/>
          <w:rtl/>
        </w:rPr>
        <w:t>,</w:t>
      </w:r>
      <w:r w:rsidRPr="00007309">
        <w:rPr>
          <w:rFonts w:cs="Arial"/>
          <w:b/>
          <w:bCs/>
          <w:sz w:val="24"/>
          <w:szCs w:val="24"/>
          <w:rtl/>
        </w:rPr>
        <w:t xml:space="preserve"> דְּמִגּוֹ הַאי רָקִיעַ יִסְתַּכַּל </w:t>
      </w:r>
      <w:r w:rsidRPr="00007309">
        <w:rPr>
          <w:rFonts w:cs="Arial"/>
          <w:b/>
          <w:bCs/>
          <w:sz w:val="36"/>
          <w:szCs w:val="28"/>
          <w:vertAlign w:val="superscript"/>
          <w:rtl/>
        </w:rPr>
        <w:footnoteReference w:id="7122"/>
      </w:r>
      <w:r w:rsidRPr="00007309">
        <w:rPr>
          <w:rFonts w:cs="Arial"/>
          <w:b/>
          <w:bCs/>
          <w:sz w:val="24"/>
          <w:szCs w:val="24"/>
          <w:rtl/>
        </w:rPr>
        <w:t>בְּהַהוּא זֹהַר דְּנָצִיץ</w:t>
      </w:r>
      <w:r w:rsidRPr="00007309">
        <w:rPr>
          <w:rFonts w:cs="Arial" w:hint="cs"/>
          <w:b/>
          <w:bCs/>
          <w:sz w:val="24"/>
          <w:szCs w:val="24"/>
          <w:rtl/>
        </w:rPr>
        <w:t>,</w:t>
      </w:r>
      <w:r w:rsidRPr="00007309">
        <w:rPr>
          <w:rFonts w:cs="Arial"/>
          <w:b/>
          <w:bCs/>
          <w:sz w:val="24"/>
          <w:szCs w:val="24"/>
          <w:rtl/>
        </w:rPr>
        <w:t xml:space="preserve"> זִהֳרָא דְּזָהֲרִין עִלָּאִין, זִהֳרָא דְּנָפִיק מִגּוֹ נְקֻדָּה עִלָּאָה, </w:t>
      </w:r>
      <w:r w:rsidRPr="00007309">
        <w:rPr>
          <w:rFonts w:cs="Arial"/>
          <w:b/>
          <w:bCs/>
          <w:sz w:val="36"/>
          <w:szCs w:val="28"/>
          <w:vertAlign w:val="superscript"/>
          <w:rtl/>
        </w:rPr>
        <w:footnoteReference w:id="7123"/>
      </w:r>
      <w:r w:rsidRPr="00007309">
        <w:rPr>
          <w:rFonts w:cs="Arial"/>
          <w:b/>
          <w:bCs/>
          <w:sz w:val="24"/>
          <w:szCs w:val="24"/>
          <w:rtl/>
        </w:rPr>
        <w:t>יַזְהִיר וְיִתְנְצִיץ בִּנְצִיצוּ דִּשְׁאָר נְהוֹרִין לְכָל סְטָר. וּמַצְדִּיקֵי הָרַבִּים כַּכּוֹכָבִים לְעוֹלָם וָעֶד</w:t>
      </w:r>
      <w:r w:rsidRPr="00007309">
        <w:rPr>
          <w:rFonts w:cs="Arial" w:hint="cs"/>
          <w:b/>
          <w:bCs/>
          <w:sz w:val="24"/>
          <w:szCs w:val="24"/>
          <w:rtl/>
        </w:rPr>
        <w:t>,</w:t>
      </w:r>
      <w:r w:rsidRPr="00007309">
        <w:rPr>
          <w:rFonts w:cs="Arial"/>
          <w:b/>
          <w:bCs/>
          <w:sz w:val="24"/>
          <w:szCs w:val="24"/>
          <w:rtl/>
        </w:rPr>
        <w:t xml:space="preserve"> מַה כּוֹכָבִים דְּקַיְּמָן תָּדִיר </w:t>
      </w:r>
      <w:r w:rsidRPr="00007309">
        <w:rPr>
          <w:rFonts w:cs="Arial"/>
          <w:b/>
          <w:bCs/>
          <w:sz w:val="36"/>
          <w:szCs w:val="28"/>
          <w:vertAlign w:val="superscript"/>
          <w:rtl/>
        </w:rPr>
        <w:footnoteReference w:id="7124"/>
      </w:r>
      <w:r w:rsidRPr="00007309">
        <w:rPr>
          <w:rFonts w:cs="Arial"/>
          <w:b/>
          <w:bCs/>
          <w:sz w:val="24"/>
          <w:szCs w:val="24"/>
          <w:rtl/>
        </w:rPr>
        <w:t xml:space="preserve">בְּקִיּוּמָא דְּאִנּוּן נִימוּסֵי שְׁמַיָּא לְאַנְהֲרָא תָּדִיר </w:t>
      </w:r>
      <w:r w:rsidRPr="00007309">
        <w:rPr>
          <w:rFonts w:cs="Arial"/>
          <w:b/>
          <w:bCs/>
          <w:sz w:val="36"/>
          <w:szCs w:val="28"/>
          <w:vertAlign w:val="superscript"/>
          <w:rtl/>
        </w:rPr>
        <w:footnoteReference w:id="7125"/>
      </w:r>
      <w:r w:rsidRPr="00007309">
        <w:rPr>
          <w:rFonts w:cs="Arial"/>
          <w:b/>
          <w:bCs/>
          <w:sz w:val="24"/>
          <w:szCs w:val="24"/>
          <w:rtl/>
        </w:rPr>
        <w:t xml:space="preserve">כמד"א </w:t>
      </w:r>
      <w:r w:rsidRPr="00007309">
        <w:rPr>
          <w:rFonts w:cs="Arial" w:hint="cs"/>
          <w:b/>
          <w:bCs/>
          <w:sz w:val="24"/>
          <w:szCs w:val="24"/>
          <w:rtl/>
        </w:rPr>
        <w:t xml:space="preserve">(בראשית א טז) </w:t>
      </w:r>
      <w:r w:rsidRPr="00007309">
        <w:rPr>
          <w:rFonts w:cs="Arial"/>
          <w:b/>
          <w:bCs/>
          <w:sz w:val="24"/>
          <w:szCs w:val="24"/>
          <w:rtl/>
        </w:rPr>
        <w:t>וְאֶת הַכּוֹכָבִים, אִלֵּין כּוֹכָבִים דְּנָהֲרִין. וּמַצְדִּיקֵי הָרַבִּים</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126"/>
      </w:r>
      <w:r w:rsidRPr="00007309">
        <w:rPr>
          <w:rFonts w:cs="Arial"/>
          <w:b/>
          <w:bCs/>
          <w:sz w:val="24"/>
          <w:szCs w:val="24"/>
          <w:rtl/>
        </w:rPr>
        <w:t>דְּדַחֲקֵי לוֹן וְאַלְקֵי לוֹן לְמֵיטַר אוֹרְחוֹי דְּאוֹרַיְתָא. כַּכּוֹכָבִים, אִלֵּין אִנּוּן דְּגֵשִׁים דְּאַתְוָן דְּדַחֲקֵי לוֹן, וּמַפְקֵי לוֹן לִנְהוֹרָא</w:t>
      </w:r>
      <w:r w:rsidRPr="00007309">
        <w:rPr>
          <w:rFonts w:cs="Arial" w:hint="cs"/>
          <w:b/>
          <w:bCs/>
          <w:sz w:val="24"/>
          <w:szCs w:val="24"/>
          <w:rtl/>
        </w:rPr>
        <w:t>,</w:t>
      </w:r>
      <w:r w:rsidRPr="00007309">
        <w:rPr>
          <w:rFonts w:cs="Arial"/>
          <w:b/>
          <w:bCs/>
          <w:sz w:val="24"/>
          <w:szCs w:val="24"/>
          <w:rtl/>
        </w:rPr>
        <w:t xml:space="preserve"> וְאִלֵּין אִנּוּן כּוֹכְבֵי דְּשַׁרְבִיטָא</w:t>
      </w:r>
      <w:r w:rsidRPr="00007309">
        <w:rPr>
          <w:rFonts w:cs="Arial" w:hint="cs"/>
          <w:b/>
          <w:bCs/>
          <w:sz w:val="24"/>
          <w:szCs w:val="24"/>
          <w:rtl/>
        </w:rPr>
        <w:t>,</w:t>
      </w:r>
      <w:r w:rsidRPr="00007309">
        <w:rPr>
          <w:rFonts w:cs="Arial"/>
          <w:b/>
          <w:bCs/>
          <w:sz w:val="24"/>
          <w:szCs w:val="24"/>
          <w:rtl/>
        </w:rPr>
        <w:t xml:space="preserve"> מְפָקֵי רוּחָא וּנְהוֹרָא כַּחֲדָא, וְאַנְהִירוּ לְרָזָא דְּאַתְוָן. </w:t>
      </w:r>
      <w:r w:rsidRPr="00007309">
        <w:rPr>
          <w:rFonts w:cs="Arial"/>
          <w:b/>
          <w:bCs/>
          <w:sz w:val="36"/>
          <w:szCs w:val="28"/>
          <w:vertAlign w:val="superscript"/>
          <w:rtl/>
        </w:rPr>
        <w:footnoteReference w:id="7127"/>
      </w:r>
      <w:r w:rsidRPr="00007309">
        <w:rPr>
          <w:rFonts w:cs="Arial"/>
          <w:b/>
          <w:bCs/>
          <w:sz w:val="24"/>
          <w:szCs w:val="24"/>
          <w:rtl/>
        </w:rPr>
        <w:t>כְּזֹהַר הָרָקִיעַ</w:t>
      </w:r>
      <w:r w:rsidRPr="00007309">
        <w:rPr>
          <w:rFonts w:cs="Arial" w:hint="cs"/>
          <w:b/>
          <w:bCs/>
          <w:sz w:val="24"/>
          <w:szCs w:val="24"/>
          <w:rtl/>
        </w:rPr>
        <w:t>,</w:t>
      </w:r>
      <w:r w:rsidRPr="00007309">
        <w:rPr>
          <w:rFonts w:cs="Arial"/>
          <w:b/>
          <w:bCs/>
          <w:sz w:val="24"/>
          <w:szCs w:val="24"/>
          <w:rtl/>
        </w:rPr>
        <w:t xml:space="preserve"> דָּא נְקֻדָּה דְּשַׁרְיָא עַל אַתְוָן לְנַגְּנָא וּלְאִתְפַּשְּׁטָא, וְדָא אִיהִי נְקֻדָּה דְּאִיהִי רְבִיעַ עַל אַתְוָן כְּאִמָּא עַל בְּנִין</w:t>
      </w:r>
      <w:r w:rsidRPr="00007309">
        <w:rPr>
          <w:rFonts w:cs="Arial" w:hint="cs"/>
          <w:b/>
          <w:bCs/>
          <w:sz w:val="24"/>
          <w:szCs w:val="24"/>
          <w:rtl/>
        </w:rPr>
        <w:t>.</w:t>
      </w:r>
      <w:r w:rsidRPr="00007309">
        <w:rPr>
          <w:rFonts w:cs="Arial"/>
          <w:b/>
          <w:bCs/>
          <w:sz w:val="24"/>
          <w:szCs w:val="24"/>
          <w:rtl/>
        </w:rPr>
        <w:t xml:space="preserve"> וְאַף עַל גַּב דְּאִיהוּ נְקֻדָּה חֲדָא</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128"/>
      </w:r>
      <w:r w:rsidRPr="00007309">
        <w:rPr>
          <w:rFonts w:cs="Arial"/>
          <w:b/>
          <w:bCs/>
          <w:sz w:val="24"/>
          <w:szCs w:val="24"/>
          <w:rtl/>
        </w:rPr>
        <w:t>אִתְפַּשְּׁטַת לְנִגּוּנָא וְלָא אִתְפַּשְּׁטַת בחזות</w:t>
      </w:r>
      <w:r w:rsidRPr="00007309">
        <w:rPr>
          <w:rFonts w:cs="Arial" w:hint="cs"/>
          <w:b/>
          <w:bCs/>
          <w:sz w:val="24"/>
          <w:szCs w:val="24"/>
          <w:rtl/>
        </w:rPr>
        <w:t>א,</w:t>
      </w:r>
      <w:r w:rsidRPr="00007309">
        <w:rPr>
          <w:rFonts w:cs="Arial"/>
          <w:b/>
          <w:bCs/>
          <w:sz w:val="24"/>
          <w:szCs w:val="24"/>
          <w:rtl/>
        </w:rPr>
        <w:t xml:space="preserve"> </w:t>
      </w:r>
      <w:r w:rsidRPr="00007309">
        <w:rPr>
          <w:rFonts w:cs="Arial"/>
          <w:b/>
          <w:bCs/>
          <w:sz w:val="36"/>
          <w:szCs w:val="28"/>
          <w:vertAlign w:val="superscript"/>
          <w:rtl/>
        </w:rPr>
        <w:footnoteReference w:id="7129"/>
      </w:r>
      <w:r w:rsidRPr="00007309">
        <w:rPr>
          <w:rFonts w:cs="Arial"/>
          <w:b/>
          <w:bCs/>
          <w:sz w:val="24"/>
          <w:szCs w:val="24"/>
          <w:rtl/>
        </w:rPr>
        <w:t xml:space="preserve">וְדָא אִיהוּ רָזָא דִּכְתִיב (תהלים </w:t>
      </w:r>
      <w:r w:rsidRPr="00007309">
        <w:rPr>
          <w:rFonts w:cs="Arial" w:hint="cs"/>
          <w:b/>
          <w:bCs/>
          <w:sz w:val="24"/>
          <w:szCs w:val="24"/>
          <w:rtl/>
        </w:rPr>
        <w:t>צ</w:t>
      </w:r>
      <w:r w:rsidRPr="00007309">
        <w:rPr>
          <w:rFonts w:cs="Arial"/>
          <w:b/>
          <w:bCs/>
          <w:sz w:val="24"/>
          <w:szCs w:val="24"/>
          <w:rtl/>
        </w:rPr>
        <w:t>ב) מִזְמוֹר שִׁיר לְיוֹם הַשַּׁבָּת</w:t>
      </w:r>
      <w:r w:rsidRPr="00007309">
        <w:rPr>
          <w:rFonts w:cs="Arial" w:hint="cs"/>
          <w:b/>
          <w:bCs/>
          <w:sz w:val="24"/>
          <w:szCs w:val="24"/>
          <w:rtl/>
        </w:rPr>
        <w:t>,</w:t>
      </w:r>
      <w:r w:rsidRPr="00007309">
        <w:rPr>
          <w:rFonts w:cs="Arial"/>
          <w:b/>
          <w:bCs/>
          <w:sz w:val="24"/>
          <w:szCs w:val="24"/>
          <w:rtl/>
        </w:rPr>
        <w:t xml:space="preserve"> דְּהָא יוֹם הַשַּׁבָּת בְּהַאי סָלְקָא</w:t>
      </w:r>
      <w:r w:rsidRPr="00007309">
        <w:rPr>
          <w:rFonts w:cs="Arial" w:hint="cs"/>
          <w:b/>
          <w:bCs/>
          <w:sz w:val="24"/>
          <w:szCs w:val="24"/>
          <w:rtl/>
        </w:rPr>
        <w:t>,</w:t>
      </w:r>
      <w:r w:rsidRPr="00007309">
        <w:rPr>
          <w:rFonts w:cs="Arial"/>
          <w:b/>
          <w:bCs/>
          <w:sz w:val="24"/>
          <w:szCs w:val="24"/>
          <w:rtl/>
        </w:rPr>
        <w:t xml:space="preserve"> וְעַל דָּא נִגּוּנָא דְּהַאי נְקֻדָּה סָלְקָא בְּנַיְחָא</w:t>
      </w:r>
      <w:r w:rsidRPr="00007309">
        <w:rPr>
          <w:rFonts w:cs="Arial" w:hint="cs"/>
          <w:b/>
          <w:bCs/>
          <w:sz w:val="24"/>
          <w:szCs w:val="24"/>
          <w:rtl/>
        </w:rPr>
        <w:t>,</w:t>
      </w:r>
      <w:r w:rsidRPr="00007309">
        <w:rPr>
          <w:rFonts w:cs="Arial"/>
          <w:b/>
          <w:bCs/>
          <w:sz w:val="24"/>
          <w:szCs w:val="24"/>
          <w:rtl/>
        </w:rPr>
        <w:t xml:space="preserve"> וְדָא אִיהוּ זֹהַר </w:t>
      </w:r>
      <w:r w:rsidRPr="00007309">
        <w:rPr>
          <w:rFonts w:cs="Arial"/>
          <w:b/>
          <w:bCs/>
          <w:sz w:val="36"/>
          <w:szCs w:val="28"/>
          <w:vertAlign w:val="superscript"/>
          <w:rtl/>
        </w:rPr>
        <w:footnoteReference w:id="7130"/>
      </w:r>
      <w:r w:rsidRPr="00007309">
        <w:rPr>
          <w:rFonts w:cs="Arial"/>
          <w:b/>
          <w:bCs/>
          <w:sz w:val="24"/>
          <w:szCs w:val="24"/>
          <w:rtl/>
        </w:rPr>
        <w:t>דְּהַאי רָקִיעַ דְאִקְּרֵי יוֹם הַשַּׁבָּת</w:t>
      </w:r>
      <w:r w:rsidRPr="00007309">
        <w:rPr>
          <w:rFonts w:cs="Arial"/>
          <w:b/>
          <w:bCs/>
          <w:sz w:val="24"/>
          <w:szCs w:val="24"/>
        </w:rPr>
        <w:t>:</w:t>
      </w:r>
    </w:p>
    <w:p w:rsidR="00007309" w:rsidRPr="00007309" w:rsidRDefault="00007309" w:rsidP="00007309">
      <w:pPr>
        <w:keepNext/>
        <w:spacing w:before="240" w:after="60"/>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[וילנא כב ע"א]</w:t>
      </w:r>
    </w:p>
    <w:p w:rsidR="00007309" w:rsidRPr="00007309" w:rsidRDefault="00007309" w:rsidP="00007309">
      <w:pPr>
        <w:jc w:val="both"/>
        <w:rPr>
          <w:rFonts w:cs="Arial"/>
          <w:b/>
          <w:bCs/>
          <w:sz w:val="24"/>
          <w:szCs w:val="24"/>
        </w:rPr>
      </w:pPr>
      <w:r w:rsidRPr="00007309">
        <w:rPr>
          <w:rFonts w:cs="Arial"/>
          <w:b/>
          <w:bCs/>
          <w:sz w:val="24"/>
          <w:szCs w:val="24"/>
          <w:rtl/>
        </w:rPr>
        <w:t xml:space="preserve">וְעוֹד יַזְהִרוּ אִנּוּן מַשְׂכִּילִים בְּהַהוּא זֹהַר דְּסָלְקָא בֵּהּ הַהוּא רְקִיעָא. וּבְגִין דְּהַהוּא </w:t>
      </w:r>
      <w:r w:rsidRPr="00007309">
        <w:rPr>
          <w:rFonts w:cs="Arial"/>
          <w:b/>
          <w:bCs/>
          <w:sz w:val="36"/>
          <w:szCs w:val="28"/>
          <w:vertAlign w:val="superscript"/>
          <w:rtl/>
        </w:rPr>
        <w:footnoteReference w:id="7131"/>
      </w:r>
      <w:r w:rsidRPr="00007309">
        <w:rPr>
          <w:rFonts w:cs="Arial"/>
          <w:b/>
          <w:bCs/>
          <w:sz w:val="24"/>
          <w:szCs w:val="24"/>
          <w:rtl/>
        </w:rPr>
        <w:t>רְקִיעָא זְעֵירָא מִכָּל רְקִיעִין, הַאי נְקֻדָּה דְּסָלְקָא בֵּהּ הַהוּא אִתְפַּשְּׁטוּתָא דְּנִגּוּנָא</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132"/>
      </w:r>
      <w:r w:rsidRPr="00007309">
        <w:rPr>
          <w:rFonts w:cs="Arial"/>
          <w:b/>
          <w:bCs/>
          <w:sz w:val="24"/>
          <w:szCs w:val="24"/>
          <w:rtl/>
        </w:rPr>
        <w:t xml:space="preserve">זְעֵיר בְּנַיְחָא וְלָא סַגְיָא, </w:t>
      </w:r>
      <w:r w:rsidRPr="00007309">
        <w:rPr>
          <w:rFonts w:cs="Arial"/>
          <w:b/>
          <w:bCs/>
          <w:sz w:val="36"/>
          <w:szCs w:val="28"/>
          <w:vertAlign w:val="superscript"/>
          <w:rtl/>
        </w:rPr>
        <w:footnoteReference w:id="7133"/>
      </w:r>
      <w:r w:rsidRPr="00007309">
        <w:rPr>
          <w:rFonts w:cs="Arial"/>
          <w:b/>
          <w:bCs/>
          <w:sz w:val="24"/>
          <w:szCs w:val="24"/>
          <w:rtl/>
        </w:rPr>
        <w:t xml:space="preserve">וְשִׁעוּרָא דִּילֵהּ בְּנִגּוּנָא כַּד אוֹשִׁיטוּ דִּימִינָא וּשְׂמָאלָא לְגַבֵּי הַאי רָקִיעַ </w:t>
      </w:r>
      <w:r w:rsidRPr="00007309">
        <w:rPr>
          <w:rFonts w:cs="Arial"/>
          <w:b/>
          <w:bCs/>
          <w:sz w:val="36"/>
          <w:szCs w:val="28"/>
          <w:vertAlign w:val="superscript"/>
          <w:rtl/>
        </w:rPr>
        <w:footnoteReference w:id="7134"/>
      </w:r>
      <w:r w:rsidRPr="00007309">
        <w:rPr>
          <w:rFonts w:cs="Arial"/>
          <w:b/>
          <w:bCs/>
          <w:sz w:val="24"/>
          <w:szCs w:val="24"/>
          <w:rtl/>
        </w:rPr>
        <w:t>כְּדֵי דְּחִיָּא</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135"/>
      </w:r>
      <w:r w:rsidRPr="00007309">
        <w:rPr>
          <w:rFonts w:cs="Arial"/>
          <w:b/>
          <w:bCs/>
          <w:sz w:val="24"/>
          <w:szCs w:val="24"/>
          <w:rtl/>
        </w:rPr>
        <w:t>וְעַל דָּא בֵּהּ תַּרְוַיְהוּ</w:t>
      </w:r>
      <w:r w:rsidRPr="00007309">
        <w:rPr>
          <w:rFonts w:cs="Arial" w:hint="cs"/>
          <w:b/>
          <w:bCs/>
          <w:sz w:val="24"/>
          <w:szCs w:val="24"/>
          <w:rtl/>
        </w:rPr>
        <w:t>,</w:t>
      </w:r>
      <w:r w:rsidRPr="00007309">
        <w:rPr>
          <w:rFonts w:cs="Arial"/>
          <w:b/>
          <w:bCs/>
          <w:sz w:val="24"/>
          <w:szCs w:val="24"/>
          <w:rtl/>
        </w:rPr>
        <w:t xml:space="preserve"> תְּרֵין רוּחִין אִתְפַּשְּׁטַת בְּנִגּוּנָא כְּדֵי דְּחִיָּא</w:t>
      </w:r>
      <w:r w:rsidRPr="00007309">
        <w:rPr>
          <w:rFonts w:cs="Arial" w:hint="cs"/>
          <w:b/>
          <w:bCs/>
          <w:sz w:val="24"/>
          <w:szCs w:val="24"/>
          <w:rtl/>
        </w:rPr>
        <w:t>,</w:t>
      </w:r>
      <w:r w:rsidRPr="00007309">
        <w:rPr>
          <w:rFonts w:cs="Arial"/>
          <w:b/>
          <w:bCs/>
          <w:sz w:val="36"/>
          <w:szCs w:val="28"/>
          <w:vertAlign w:val="superscript"/>
          <w:rtl/>
        </w:rPr>
        <w:t xml:space="preserve"> </w:t>
      </w:r>
      <w:r w:rsidRPr="00007309">
        <w:rPr>
          <w:rFonts w:cs="Arial"/>
          <w:b/>
          <w:bCs/>
          <w:sz w:val="36"/>
          <w:szCs w:val="28"/>
          <w:vertAlign w:val="superscript"/>
          <w:rtl/>
        </w:rPr>
        <w:footnoteReference w:id="7136"/>
      </w:r>
      <w:r w:rsidRPr="00007309">
        <w:rPr>
          <w:rFonts w:cs="Arial"/>
          <w:b/>
          <w:bCs/>
          <w:sz w:val="24"/>
          <w:szCs w:val="24"/>
          <w:rtl/>
        </w:rPr>
        <w:t>וְאָתֵי רוּחָא זְעֵיר בְּנַיְחָא</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137"/>
      </w:r>
      <w:r w:rsidRPr="00007309">
        <w:rPr>
          <w:rFonts w:cs="Arial"/>
          <w:b/>
          <w:bCs/>
          <w:sz w:val="24"/>
          <w:szCs w:val="24"/>
          <w:rtl/>
        </w:rPr>
        <w:t xml:space="preserve">לְבָתַר הַאי נִקּוּדָא אִטַמְרַת בְּגַוָּהּ, וְאִתְחַפְיָא וְאִתְפַּשְּׁטַת בְּאִתְפַּשְּׁטוּתָא </w:t>
      </w:r>
      <w:r w:rsidRPr="00007309">
        <w:rPr>
          <w:rFonts w:cs="Arial"/>
          <w:b/>
          <w:bCs/>
          <w:sz w:val="36"/>
          <w:szCs w:val="28"/>
          <w:vertAlign w:val="superscript"/>
          <w:rtl/>
        </w:rPr>
        <w:footnoteReference w:id="7138"/>
      </w:r>
      <w:r w:rsidRPr="00007309">
        <w:rPr>
          <w:rFonts w:cs="Arial"/>
          <w:b/>
          <w:bCs/>
          <w:sz w:val="24"/>
          <w:szCs w:val="24"/>
          <w:rtl/>
        </w:rPr>
        <w:t xml:space="preserve">כְּהַאי תּוֹלַעְתָּא דְּאִתְחַפְיָא, </w:t>
      </w:r>
      <w:r w:rsidRPr="00007309">
        <w:rPr>
          <w:rFonts w:cs="Arial"/>
          <w:b/>
          <w:bCs/>
          <w:sz w:val="36"/>
          <w:szCs w:val="28"/>
          <w:vertAlign w:val="superscript"/>
          <w:rtl/>
        </w:rPr>
        <w:footnoteReference w:id="7139"/>
      </w:r>
      <w:r w:rsidRPr="00007309">
        <w:rPr>
          <w:rFonts w:cs="Arial"/>
          <w:b/>
          <w:bCs/>
          <w:sz w:val="24"/>
          <w:szCs w:val="24"/>
          <w:rtl/>
        </w:rPr>
        <w:t>וּבָתַר דְּאִתְחַפְיָא בְּגַוֵהּ</w:t>
      </w:r>
      <w:r w:rsidRPr="00007309">
        <w:rPr>
          <w:rFonts w:cs="Arial" w:hint="cs"/>
          <w:b/>
          <w:bCs/>
          <w:sz w:val="24"/>
          <w:szCs w:val="24"/>
          <w:rtl/>
        </w:rPr>
        <w:t>,</w:t>
      </w:r>
      <w:r w:rsidRPr="00007309">
        <w:rPr>
          <w:rFonts w:cs="Arial"/>
          <w:b/>
          <w:bCs/>
          <w:sz w:val="24"/>
          <w:szCs w:val="24"/>
          <w:rtl/>
        </w:rPr>
        <w:t xml:space="preserve"> אִזְדְּרִיק לְתַתָּא לְנִגּוּנָא, וְדָא </w:t>
      </w:r>
      <w:r w:rsidRPr="00007309">
        <w:rPr>
          <w:rFonts w:ascii="Cambria" w:hAnsi="Cambria" w:cs="Times New Roman" w:hint="cs"/>
          <w:b/>
          <w:bCs/>
          <w:i/>
          <w:iCs/>
          <w:color w:val="4F81BD"/>
          <w:sz w:val="24"/>
          <w:szCs w:val="24"/>
          <w:rtl/>
        </w:rPr>
        <w:t>(וילנא כב ע"א)</w:t>
      </w:r>
      <w:r w:rsidRPr="00007309">
        <w:rPr>
          <w:rFonts w:cs="Arial" w:hint="cs"/>
          <w:b/>
          <w:bCs/>
          <w:sz w:val="24"/>
          <w:szCs w:val="24"/>
          <w:rtl/>
        </w:rPr>
        <w:t xml:space="preserve"> </w:t>
      </w:r>
      <w:r w:rsidRPr="00007309">
        <w:rPr>
          <w:rFonts w:cs="Arial"/>
          <w:b/>
          <w:bCs/>
          <w:sz w:val="24"/>
          <w:szCs w:val="24"/>
          <w:rtl/>
        </w:rPr>
        <w:t xml:space="preserve">אִקְּרֵי </w:t>
      </w:r>
      <w:r w:rsidRPr="00007309">
        <w:rPr>
          <w:rFonts w:cs="Arial"/>
          <w:b/>
          <w:bCs/>
          <w:sz w:val="36"/>
          <w:szCs w:val="28"/>
          <w:vertAlign w:val="superscript"/>
          <w:rtl/>
        </w:rPr>
        <w:footnoteReference w:id="7140"/>
      </w:r>
      <w:r w:rsidRPr="00007309">
        <w:rPr>
          <w:rFonts w:cs="Arial"/>
          <w:b/>
          <w:bCs/>
          <w:sz w:val="24"/>
          <w:szCs w:val="24"/>
          <w:rtl/>
        </w:rPr>
        <w:t xml:space="preserve">זְרִיקָא דְּהַאי נְקֻדָּה, </w:t>
      </w:r>
      <w:r w:rsidRPr="00007309">
        <w:rPr>
          <w:rFonts w:cs="Arial"/>
          <w:b/>
          <w:bCs/>
          <w:sz w:val="36"/>
          <w:szCs w:val="28"/>
          <w:vertAlign w:val="superscript"/>
          <w:rtl/>
        </w:rPr>
        <w:footnoteReference w:id="7141"/>
      </w:r>
      <w:r w:rsidRPr="00007309">
        <w:rPr>
          <w:rFonts w:cs="Arial"/>
          <w:b/>
          <w:bCs/>
          <w:sz w:val="24"/>
          <w:szCs w:val="24"/>
          <w:rtl/>
        </w:rPr>
        <w:t xml:space="preserve">בְּגִין דְּאִתְיַשְּׁבַת בְּהַאי בִּימִינָא, וְכַד אִתְפַּשְּׁטַת הַאי נְקֻדָּה לְנַגְּנָא אֲחִידַת אַבּוּצִינָא דְּקַרְדִּינוּתָא לְאִתְיַשְּׁבָא וְנָהִיר וְנָצִיץ, וּכְדֵין וְהַמַּשְׂכִּילִים יַזְהִרוּ כְּזֹהַר </w:t>
      </w:r>
      <w:r w:rsidRPr="00007309">
        <w:rPr>
          <w:rFonts w:cs="Arial"/>
          <w:b/>
          <w:bCs/>
          <w:sz w:val="36"/>
          <w:szCs w:val="28"/>
          <w:vertAlign w:val="superscript"/>
          <w:rtl/>
        </w:rPr>
        <w:footnoteReference w:id="7142"/>
      </w:r>
      <w:r w:rsidRPr="00007309">
        <w:rPr>
          <w:rFonts w:cs="Arial"/>
          <w:b/>
          <w:bCs/>
          <w:sz w:val="24"/>
          <w:szCs w:val="24"/>
          <w:rtl/>
        </w:rPr>
        <w:t xml:space="preserve">כְּהַהוּא זֹהַר מַמָּשׁ דְּאִתְפְּשַׁט וְאִזְדְּרִיק נְצִיצוּ לְאִתְיַשְּׁבָא, </w:t>
      </w:r>
      <w:r w:rsidRPr="00007309">
        <w:rPr>
          <w:rFonts w:cs="Arial"/>
          <w:b/>
          <w:bCs/>
          <w:sz w:val="36"/>
          <w:szCs w:val="28"/>
          <w:vertAlign w:val="superscript"/>
          <w:rtl/>
        </w:rPr>
        <w:footnoteReference w:id="7143"/>
      </w:r>
      <w:r w:rsidRPr="00007309">
        <w:rPr>
          <w:rFonts w:cs="Arial"/>
          <w:b/>
          <w:bCs/>
          <w:sz w:val="24"/>
          <w:szCs w:val="24"/>
          <w:rtl/>
        </w:rPr>
        <w:t>וְדָא מַשְׂכִּיל עַל דָּבָר וַדַּאי בְּגִין דְּאִיהִי קְיָמָא עַל דָּבָר</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144"/>
      </w:r>
      <w:r w:rsidRPr="00007309">
        <w:rPr>
          <w:rFonts w:cs="Arial"/>
          <w:b/>
          <w:bCs/>
          <w:sz w:val="24"/>
          <w:szCs w:val="24"/>
          <w:rtl/>
        </w:rPr>
        <w:t xml:space="preserve">יִמְצָא טוֹב, אִתְפַּשְּׁטוּתָא דְּזֹהַר דָּא דְּאִיהוּ נְצִיצוּ וּזְהִירוּ לְאִסְתַּכְּלָא, וְרָזָא דָּא אִיהוּ </w:t>
      </w:r>
      <w:r w:rsidRPr="00007309">
        <w:rPr>
          <w:rFonts w:cs="Arial"/>
          <w:b/>
          <w:bCs/>
          <w:sz w:val="36"/>
          <w:szCs w:val="28"/>
          <w:vertAlign w:val="superscript"/>
          <w:rtl/>
        </w:rPr>
        <w:footnoteReference w:id="7145"/>
      </w:r>
      <w:r w:rsidRPr="00007309">
        <w:rPr>
          <w:rFonts w:cs="Arial"/>
          <w:b/>
          <w:bCs/>
          <w:sz w:val="24"/>
          <w:szCs w:val="24"/>
          <w:rtl/>
        </w:rPr>
        <w:t xml:space="preserve">עוּמְקָא וְרוּמָא לְאִתְיַשְּׁבָא בְּרָזָא דְּבוּצִינָא </w:t>
      </w:r>
      <w:r w:rsidRPr="00007309">
        <w:rPr>
          <w:rFonts w:cs="Arial"/>
          <w:b/>
          <w:bCs/>
          <w:sz w:val="36"/>
          <w:szCs w:val="28"/>
          <w:vertAlign w:val="superscript"/>
          <w:rtl/>
        </w:rPr>
        <w:footnoteReference w:id="7146"/>
      </w:r>
      <w:r w:rsidRPr="00007309">
        <w:rPr>
          <w:rFonts w:cs="Arial"/>
          <w:b/>
          <w:bCs/>
          <w:sz w:val="24"/>
          <w:szCs w:val="24"/>
          <w:rtl/>
        </w:rPr>
        <w:t>בְּהַהוּא דָּבָר</w:t>
      </w:r>
      <w:r w:rsidRPr="00007309">
        <w:rPr>
          <w:rFonts w:cs="Arial"/>
          <w:b/>
          <w:bCs/>
          <w:sz w:val="24"/>
          <w:szCs w:val="24"/>
        </w:rPr>
        <w:t>:</w:t>
      </w:r>
    </w:p>
    <w:p w:rsidR="00007309" w:rsidRPr="00007309" w:rsidRDefault="00007309" w:rsidP="00007309">
      <w:pPr>
        <w:keepNext/>
        <w:outlineLvl w:val="1"/>
        <w:rPr>
          <w:rFonts w:ascii="Cambria" w:hAnsi="Cambria" w:cs="Times New Roman"/>
          <w:b/>
          <w:bCs/>
          <w:i/>
          <w:iCs/>
          <w:sz w:val="28"/>
          <w:szCs w:val="28"/>
          <w:rtl/>
        </w:rPr>
      </w:pPr>
      <w:r w:rsidRPr="00007309">
        <w:rPr>
          <w:rFonts w:ascii="Cambria" w:hAnsi="Cambria" w:cs="Times New Roman"/>
          <w:b/>
          <w:bCs/>
          <w:i/>
          <w:iCs/>
          <w:sz w:val="28"/>
          <w:szCs w:val="28"/>
          <w:rtl/>
        </w:rPr>
        <w:t>[</w:t>
      </w:r>
      <w:r w:rsidRPr="00007309">
        <w:rPr>
          <w:rFonts w:ascii="Cambria" w:hAnsi="Cambria" w:cs="Times New Roman" w:hint="cs"/>
          <w:b/>
          <w:bCs/>
          <w:i/>
          <w:iCs/>
          <w:sz w:val="28"/>
          <w:szCs w:val="28"/>
          <w:rtl/>
        </w:rPr>
        <w:t>דף</w:t>
      </w:r>
      <w:r w:rsidRPr="00007309">
        <w:rPr>
          <w:rFonts w:ascii="Cambria" w:hAnsi="Cambria" w:cs="Times New Roman"/>
          <w:b/>
          <w:bCs/>
          <w:i/>
          <w:iCs/>
          <w:sz w:val="28"/>
          <w:szCs w:val="28"/>
          <w:rtl/>
        </w:rPr>
        <w:t xml:space="preserve"> </w:t>
      </w:r>
      <w:r w:rsidRPr="00007309">
        <w:rPr>
          <w:rFonts w:ascii="Cambria" w:hAnsi="Cambria" w:cs="Times New Roman" w:hint="cs"/>
          <w:b/>
          <w:bCs/>
          <w:i/>
          <w:iCs/>
          <w:sz w:val="28"/>
          <w:szCs w:val="28"/>
          <w:rtl/>
        </w:rPr>
        <w:t>פ</w:t>
      </w:r>
      <w:r w:rsidRPr="00007309">
        <w:rPr>
          <w:rFonts w:ascii="Cambria" w:hAnsi="Cambria" w:cs="Times New Roman"/>
          <w:b/>
          <w:bCs/>
          <w:i/>
          <w:iCs/>
          <w:sz w:val="28"/>
          <w:szCs w:val="28"/>
          <w:rtl/>
        </w:rPr>
        <w:t xml:space="preserve"> ע"</w:t>
      </w:r>
      <w:r w:rsidRPr="00007309">
        <w:rPr>
          <w:rFonts w:ascii="Cambria" w:hAnsi="Cambria" w:cs="Times New Roman" w:hint="cs"/>
          <w:b/>
          <w:bCs/>
          <w:i/>
          <w:iCs/>
          <w:sz w:val="28"/>
          <w:szCs w:val="28"/>
          <w:rtl/>
        </w:rPr>
        <w:t>א</w:t>
      </w:r>
      <w:r w:rsidRPr="00007309">
        <w:rPr>
          <w:rFonts w:ascii="Cambria" w:hAnsi="Cambria" w:cs="Times New Roman"/>
          <w:b/>
          <w:bCs/>
          <w:i/>
          <w:iCs/>
          <w:sz w:val="28"/>
          <w:szCs w:val="28"/>
          <w:rtl/>
        </w:rPr>
        <w:t>]</w:t>
      </w:r>
    </w:p>
    <w:p w:rsidR="00007309" w:rsidRPr="00007309" w:rsidRDefault="00007309" w:rsidP="00007309">
      <w:pPr>
        <w:jc w:val="both"/>
        <w:rPr>
          <w:rFonts w:cs="Arial"/>
          <w:b/>
          <w:bCs/>
          <w:sz w:val="24"/>
          <w:szCs w:val="24"/>
        </w:rPr>
      </w:pPr>
      <w:r w:rsidRPr="00007309">
        <w:rPr>
          <w:rFonts w:cs="Arial"/>
          <w:b/>
          <w:bCs/>
          <w:sz w:val="36"/>
          <w:szCs w:val="28"/>
          <w:vertAlign w:val="superscript"/>
          <w:rtl/>
        </w:rPr>
        <w:footnoteReference w:id="7147"/>
      </w:r>
      <w:r w:rsidRPr="00007309">
        <w:rPr>
          <w:rFonts w:cs="Arial"/>
          <w:b/>
          <w:bCs/>
          <w:sz w:val="24"/>
          <w:szCs w:val="24"/>
          <w:rtl/>
        </w:rPr>
        <w:t xml:space="preserve">וְהַמַּשְׂכִילִים יַזְהִרוּ כְּזֹהַר הָרָקִיעַ, דָּא רְקִיעָא דְּבֵהּ שִׁמְשָׁא וְסִיהֲרָא כּוֹכְבַיָּא וּמַזָּלֵי. הָכָא פְּשִׁיטוּ דְּבוּצִינָא לְנַגְּנָא, </w:t>
      </w:r>
      <w:r w:rsidRPr="00007309">
        <w:rPr>
          <w:rFonts w:cs="Arial"/>
          <w:b/>
          <w:bCs/>
          <w:sz w:val="36"/>
          <w:szCs w:val="28"/>
          <w:vertAlign w:val="superscript"/>
          <w:rtl/>
        </w:rPr>
        <w:footnoteReference w:id="7148"/>
      </w:r>
      <w:r w:rsidRPr="00007309">
        <w:rPr>
          <w:rFonts w:cs="Arial"/>
          <w:b/>
          <w:bCs/>
          <w:sz w:val="24"/>
          <w:szCs w:val="24"/>
          <w:rtl/>
        </w:rPr>
        <w:t xml:space="preserve">ע"ד בִּתְמִיהוּ בִּסְלִיקוּ עַל כֹּלָּא. </w:t>
      </w:r>
      <w:r w:rsidRPr="00007309">
        <w:rPr>
          <w:rFonts w:cs="Arial"/>
          <w:b/>
          <w:bCs/>
          <w:sz w:val="36"/>
          <w:szCs w:val="28"/>
          <w:vertAlign w:val="superscript"/>
          <w:rtl/>
        </w:rPr>
        <w:footnoteReference w:id="7149"/>
      </w:r>
      <w:r w:rsidRPr="00007309">
        <w:rPr>
          <w:rFonts w:cs="Arial"/>
          <w:b/>
          <w:bCs/>
          <w:sz w:val="24"/>
          <w:szCs w:val="24"/>
          <w:rtl/>
        </w:rPr>
        <w:t xml:space="preserve">וְסִימָנִיךְ (תהלים קיב) פִּזַּר נָתַן לָאֶבְיוֹנִים. דְּהָא אִיהוּ יְהִיב לְכֻלְּהוּ תַּתָּאֵי, וּמִשְׁחָתָא דְּבוּצִינָא </w:t>
      </w:r>
      <w:r w:rsidRPr="00007309">
        <w:rPr>
          <w:rFonts w:cs="Arial"/>
          <w:b/>
          <w:bCs/>
          <w:sz w:val="36"/>
          <w:szCs w:val="28"/>
          <w:vertAlign w:val="superscript"/>
          <w:rtl/>
        </w:rPr>
        <w:footnoteReference w:id="7150"/>
      </w:r>
      <w:r w:rsidRPr="00007309">
        <w:rPr>
          <w:rFonts w:cs="Arial"/>
          <w:b/>
          <w:bCs/>
          <w:sz w:val="24"/>
          <w:szCs w:val="24"/>
          <w:rtl/>
        </w:rPr>
        <w:t>פַּזֵ</w:t>
      </w:r>
      <w:r w:rsidRPr="00007309">
        <w:rPr>
          <w:rFonts w:cs="Arial" w:hint="cs"/>
          <w:b/>
          <w:bCs/>
          <w:sz w:val="24"/>
          <w:szCs w:val="24"/>
          <w:rtl/>
        </w:rPr>
        <w:t>ר</w:t>
      </w:r>
      <w:r w:rsidRPr="00007309">
        <w:rPr>
          <w:rFonts w:cs="Arial"/>
          <w:b/>
          <w:bCs/>
          <w:sz w:val="24"/>
          <w:szCs w:val="24"/>
          <w:rtl/>
        </w:rPr>
        <w:t xml:space="preserve"> רַבְרְבָא. דְּכַד מִשְׁחָתָא סָלְקָא וְאִתְרַבְרְבָא</w:t>
      </w:r>
      <w:r w:rsidRPr="00007309">
        <w:rPr>
          <w:rFonts w:cs="Arial" w:hint="cs"/>
          <w:b/>
          <w:bCs/>
          <w:sz w:val="24"/>
          <w:szCs w:val="24"/>
          <w:rtl/>
        </w:rPr>
        <w:t>,</w:t>
      </w:r>
      <w:r w:rsidRPr="00007309">
        <w:rPr>
          <w:rFonts w:cs="Arial"/>
          <w:b/>
          <w:bCs/>
          <w:sz w:val="24"/>
          <w:szCs w:val="24"/>
          <w:rtl/>
        </w:rPr>
        <w:t xml:space="preserve"> כְּדֵין אִיהוּ סָלִיק וְאוֹשִׁיט שִׁית אַמִּין, </w:t>
      </w:r>
      <w:r w:rsidRPr="00007309">
        <w:rPr>
          <w:rFonts w:cs="Arial"/>
          <w:b/>
          <w:bCs/>
          <w:sz w:val="36"/>
          <w:szCs w:val="28"/>
          <w:vertAlign w:val="superscript"/>
          <w:rtl/>
        </w:rPr>
        <w:footnoteReference w:id="7151"/>
      </w:r>
      <w:r w:rsidRPr="00007309">
        <w:rPr>
          <w:rFonts w:cs="Arial"/>
          <w:b/>
          <w:bCs/>
          <w:sz w:val="24"/>
          <w:szCs w:val="24"/>
          <w:rtl/>
        </w:rPr>
        <w:t>בְּשִׁיעוּרָא דְּשִׁית נִקּוּדִין לְאָרְכָּא</w:t>
      </w:r>
      <w:r w:rsidRPr="00007309">
        <w:rPr>
          <w:rFonts w:cs="Arial"/>
          <w:b/>
          <w:bCs/>
          <w:sz w:val="24"/>
          <w:szCs w:val="28"/>
        </w:rPr>
        <w:t xml:space="preserve"> </w:t>
      </w:r>
      <w:r w:rsidRPr="00007309">
        <w:rPr>
          <w:rFonts w:cs="Arial"/>
          <w:b/>
          <w:bCs/>
          <w:sz w:val="24"/>
          <w:szCs w:val="24"/>
          <w:rtl/>
        </w:rPr>
        <w:t xml:space="preserve">וּלְפוּתְיָא כְּחִיזוּ דָּא </w:t>
      </w:r>
      <w:r w:rsidRPr="00007309">
        <w:rPr>
          <w:rFonts w:cs="Arial" w:hint="cs"/>
          <w:b/>
          <w:bCs/>
          <w:noProof/>
          <w:sz w:val="24"/>
          <w:szCs w:val="24"/>
          <w:rtl/>
        </w:rPr>
        <w:drawing>
          <wp:inline distT="0" distB="0" distL="0" distR="0" wp14:anchorId="2DD6E672" wp14:editId="2853626E">
            <wp:extent cx="190500" cy="219075"/>
            <wp:effectExtent l="0" t="0" r="0" b="9525"/>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דלת הפוכה.JPG"/>
                    <pic:cNvPicPr/>
                  </pic:nvPicPr>
                  <pic:blipFill>
                    <a:blip r:embed="rId16">
                      <a:extLst>
                        <a:ext uri="{28A0092B-C50C-407E-A947-70E740481C1C}">
                          <a14:useLocalDpi xmlns:a14="http://schemas.microsoft.com/office/drawing/2010/main" val="0"/>
                        </a:ext>
                      </a:extLst>
                    </a:blip>
                    <a:stretch>
                      <a:fillRect/>
                    </a:stretch>
                  </pic:blipFill>
                  <pic:spPr>
                    <a:xfrm>
                      <a:off x="0" y="0"/>
                      <a:ext cx="190500" cy="219075"/>
                    </a:xfrm>
                    <a:prstGeom prst="rect">
                      <a:avLst/>
                    </a:prstGeom>
                  </pic:spPr>
                </pic:pic>
              </a:graphicData>
            </a:graphic>
          </wp:inline>
        </w:drawing>
      </w:r>
      <w:r w:rsidRPr="00007309">
        <w:rPr>
          <w:rFonts w:cs="Arial" w:hint="cs"/>
          <w:b/>
          <w:bCs/>
          <w:sz w:val="24"/>
          <w:szCs w:val="24"/>
          <w:rtl/>
        </w:rPr>
        <w:t xml:space="preserve"> </w:t>
      </w:r>
      <w:r w:rsidRPr="00007309">
        <w:rPr>
          <w:rFonts w:cs="Arial"/>
          <w:b/>
          <w:bCs/>
          <w:sz w:val="24"/>
          <w:szCs w:val="24"/>
          <w:rtl/>
        </w:rPr>
        <w:t>דְּאִיהוּ פַּזֵ</w:t>
      </w:r>
      <w:r w:rsidRPr="00007309">
        <w:rPr>
          <w:rFonts w:cs="Arial" w:hint="cs"/>
          <w:b/>
          <w:bCs/>
          <w:sz w:val="24"/>
          <w:szCs w:val="24"/>
          <w:rtl/>
        </w:rPr>
        <w:t>ר</w:t>
      </w:r>
      <w:r w:rsidRPr="00007309">
        <w:rPr>
          <w:rFonts w:cs="Arial"/>
          <w:b/>
          <w:bCs/>
          <w:sz w:val="24"/>
          <w:szCs w:val="24"/>
          <w:rtl/>
        </w:rPr>
        <w:t xml:space="preserve">, וְהַאי אִיהוּ סִימָנִיךְ (אתסר ה) וַיֹּשֶׁט </w:t>
      </w:r>
      <w:r w:rsidRPr="00007309">
        <w:rPr>
          <w:rFonts w:cs="Arial"/>
          <w:b/>
          <w:bCs/>
          <w:sz w:val="36"/>
          <w:szCs w:val="28"/>
          <w:vertAlign w:val="superscript"/>
          <w:rtl/>
        </w:rPr>
        <w:footnoteReference w:id="7152"/>
      </w:r>
      <w:r w:rsidRPr="00007309">
        <w:rPr>
          <w:rFonts w:cs="Arial"/>
          <w:b/>
          <w:bCs/>
          <w:sz w:val="24"/>
          <w:szCs w:val="24"/>
          <w:rtl/>
        </w:rPr>
        <w:t>הַמֶּלֶךְ לְאֶסְתֵּר אֶת שַׁרְבִיט הַזָּהָב</w:t>
      </w:r>
      <w:r w:rsidRPr="00007309">
        <w:rPr>
          <w:rFonts w:cs="Arial" w:hint="cs"/>
          <w:b/>
          <w:bCs/>
          <w:noProof/>
          <w:sz w:val="24"/>
          <w:szCs w:val="24"/>
          <w:rtl/>
        </w:rPr>
        <w:t xml:space="preserve">, </w:t>
      </w:r>
      <w:r w:rsidRPr="00007309">
        <w:rPr>
          <w:rFonts w:cs="Arial"/>
          <w:b/>
          <w:bCs/>
          <w:sz w:val="24"/>
          <w:szCs w:val="24"/>
          <w:rtl/>
        </w:rPr>
        <w:t>וְתָנֵינָן שִׁית אַמִּין אוֹשִׁיט לְקִבְלָה מֵהַאי פַּזֵ</w:t>
      </w:r>
      <w:r w:rsidRPr="00007309">
        <w:rPr>
          <w:rFonts w:cs="Arial" w:hint="cs"/>
          <w:b/>
          <w:bCs/>
          <w:sz w:val="24"/>
          <w:szCs w:val="24"/>
          <w:rtl/>
        </w:rPr>
        <w:t>ר</w:t>
      </w:r>
      <w:r w:rsidRPr="00007309">
        <w:rPr>
          <w:rFonts w:cs="Arial"/>
          <w:b/>
          <w:bCs/>
          <w:sz w:val="24"/>
          <w:szCs w:val="24"/>
          <w:rtl/>
        </w:rPr>
        <w:t xml:space="preserve"> מַלְיָא מַבּוּעִי</w:t>
      </w:r>
      <w:r w:rsidRPr="00007309">
        <w:rPr>
          <w:rFonts w:cs="Arial" w:hint="cs"/>
          <w:b/>
          <w:bCs/>
          <w:sz w:val="24"/>
          <w:szCs w:val="24"/>
          <w:rtl/>
        </w:rPr>
        <w:t>ן</w:t>
      </w:r>
      <w:r w:rsidRPr="00007309">
        <w:rPr>
          <w:rFonts w:cs="Arial"/>
          <w:b/>
          <w:bCs/>
          <w:sz w:val="24"/>
          <w:szCs w:val="24"/>
          <w:rtl/>
        </w:rPr>
        <w:t xml:space="preserve"> וְיָהִיב למסכיני. </w:t>
      </w:r>
      <w:r w:rsidRPr="00007309">
        <w:rPr>
          <w:rFonts w:cs="Arial"/>
          <w:b/>
          <w:bCs/>
          <w:sz w:val="36"/>
          <w:szCs w:val="28"/>
          <w:vertAlign w:val="superscript"/>
          <w:rtl/>
        </w:rPr>
        <w:footnoteReference w:id="7153"/>
      </w:r>
      <w:r w:rsidRPr="00007309">
        <w:rPr>
          <w:rFonts w:cs="Arial"/>
          <w:b/>
          <w:bCs/>
          <w:sz w:val="24"/>
          <w:szCs w:val="24"/>
          <w:rtl/>
        </w:rPr>
        <w:t xml:space="preserve">וְהַאי אִיהוּ שַׁרְבִיטָא דְּאִתְתְּקַן בְּמִשְׁחָתָא דָּא. וּבְנִגּוּנָא דְּמִשְׁחָתָא דָּא סָלְקָן וְאִתַּתְקְנָן כַּדְקָא יָאוּת וּכְדֵין וְהַמַּשְׂכִּילִים וְגוֹ'. שִׁעוּרָא דָּא כְּשִׁעוּרָא דְּשִׁית נִקּוּדִין לְנַגְּנָא תְּלָת לְאָרְכָּא וּתְלָת לְפוּתְיָא. בְּגִין דְּאִיהוּ רָזָא דְּשִׁית. שִׁית אִנּוּן, </w:t>
      </w:r>
      <w:r w:rsidRPr="00007309">
        <w:rPr>
          <w:rFonts w:cs="Arial"/>
          <w:b/>
          <w:bCs/>
          <w:sz w:val="36"/>
          <w:szCs w:val="28"/>
          <w:vertAlign w:val="superscript"/>
          <w:rtl/>
        </w:rPr>
        <w:footnoteReference w:id="7154"/>
      </w:r>
      <w:r w:rsidRPr="00007309">
        <w:rPr>
          <w:rFonts w:cs="Arial"/>
          <w:b/>
          <w:bCs/>
          <w:sz w:val="24"/>
          <w:szCs w:val="24"/>
          <w:rtl/>
        </w:rPr>
        <w:t>וְאִנּוּן חָמֵשׁ</w:t>
      </w:r>
      <w:r w:rsidRPr="00007309">
        <w:rPr>
          <w:rFonts w:cs="Arial" w:hint="cs"/>
          <w:b/>
          <w:bCs/>
          <w:sz w:val="24"/>
          <w:szCs w:val="24"/>
          <w:rtl/>
        </w:rPr>
        <w:t>,</w:t>
      </w:r>
      <w:r w:rsidRPr="00007309">
        <w:rPr>
          <w:rFonts w:cs="Arial"/>
          <w:b/>
          <w:bCs/>
          <w:sz w:val="24"/>
          <w:szCs w:val="24"/>
          <w:rtl/>
        </w:rPr>
        <w:t xml:space="preserve"> תְּלָת לְאָרְכָּא תְּרֵין לְפוּתְיָא</w:t>
      </w:r>
      <w:r w:rsidRPr="00007309">
        <w:rPr>
          <w:rFonts w:cs="Arial" w:hint="cs"/>
          <w:b/>
          <w:bCs/>
          <w:sz w:val="24"/>
          <w:szCs w:val="24"/>
          <w:rtl/>
        </w:rPr>
        <w:t>,</w:t>
      </w:r>
      <w:r w:rsidRPr="00007309">
        <w:rPr>
          <w:rFonts w:cs="Arial"/>
          <w:b/>
          <w:bCs/>
          <w:sz w:val="24"/>
          <w:szCs w:val="24"/>
          <w:rtl/>
        </w:rPr>
        <w:t xml:space="preserve"> כַּד מִסְתַּכְּלָאָן ג' לְסִטְרָא דָּא וְג' לְסִטְרָא דָּא. וּכְדֵין וּמַצְדִּיקֵי הָרַבִּים כַּכּוֹכָבִים לְעוֹלָם וָעֶד. אִלֵּן אִנּוּן שִׁית נִקּוּדִין דְּאִנּוּן נְצִיצִין וְנָהֲרִין לְתַתָּא. וְאִנּוּן כּוֹכָבִים טְמִירִין לְאַנְהֲרָא, </w:t>
      </w:r>
      <w:r w:rsidRPr="00007309">
        <w:rPr>
          <w:rFonts w:ascii="Cambria" w:hAnsi="Cambria" w:cs="Times New Roman" w:hint="cs"/>
          <w:b/>
          <w:bCs/>
          <w:i/>
          <w:iCs/>
          <w:color w:val="4F81BD"/>
          <w:sz w:val="24"/>
          <w:szCs w:val="24"/>
          <w:rtl/>
        </w:rPr>
        <w:t>(פ ע"א)</w:t>
      </w:r>
      <w:r w:rsidRPr="00007309">
        <w:rPr>
          <w:rFonts w:cs="Arial" w:hint="cs"/>
          <w:b/>
          <w:bCs/>
          <w:sz w:val="24"/>
          <w:szCs w:val="24"/>
          <w:rtl/>
        </w:rPr>
        <w:t xml:space="preserve"> </w:t>
      </w:r>
      <w:r w:rsidRPr="00007309">
        <w:rPr>
          <w:rFonts w:cs="Arial"/>
          <w:b/>
          <w:bCs/>
          <w:sz w:val="24"/>
          <w:szCs w:val="24"/>
          <w:rtl/>
        </w:rPr>
        <w:t>וְסִיהֲרָא אִתְנְהִירַת בְּכָל חַד וְחַד מִמִּשְׁחָתָא דִּילְהוֹן דְּאִתְנָעִיצָאן בְּבוּצִיצָא</w:t>
      </w:r>
      <w:r w:rsidRPr="00007309">
        <w:rPr>
          <w:rFonts w:cs="Arial"/>
          <w:b/>
          <w:bCs/>
          <w:sz w:val="24"/>
          <w:szCs w:val="24"/>
        </w:rPr>
        <w:t>:</w:t>
      </w:r>
    </w:p>
    <w:p w:rsidR="00007309" w:rsidRPr="00007309" w:rsidRDefault="00007309" w:rsidP="00007309">
      <w:pPr>
        <w:jc w:val="both"/>
        <w:rPr>
          <w:rFonts w:cs="Arial"/>
          <w:b/>
          <w:bCs/>
          <w:sz w:val="24"/>
          <w:szCs w:val="24"/>
        </w:rPr>
      </w:pPr>
      <w:r w:rsidRPr="00007309">
        <w:rPr>
          <w:rFonts w:cs="Arial"/>
          <w:b/>
          <w:bCs/>
          <w:sz w:val="24"/>
          <w:szCs w:val="24"/>
          <w:rtl/>
        </w:rPr>
        <w:t>וְהַמַּשְׂכִילִים יַזְהִרוּ כְּזֹהַר הָרָקִיעַ</w:t>
      </w:r>
      <w:r w:rsidRPr="00007309">
        <w:rPr>
          <w:rFonts w:cs="Arial" w:hint="cs"/>
          <w:b/>
          <w:bCs/>
          <w:sz w:val="24"/>
          <w:szCs w:val="24"/>
          <w:rtl/>
        </w:rPr>
        <w:t>,</w:t>
      </w:r>
      <w:r w:rsidRPr="00007309">
        <w:rPr>
          <w:rFonts w:cs="Arial"/>
          <w:b/>
          <w:bCs/>
          <w:sz w:val="24"/>
          <w:szCs w:val="24"/>
          <w:rtl/>
        </w:rPr>
        <w:t xml:space="preserve"> דָּא </w:t>
      </w:r>
      <w:r w:rsidRPr="00007309">
        <w:rPr>
          <w:rFonts w:cs="Arial"/>
          <w:b/>
          <w:bCs/>
          <w:sz w:val="36"/>
          <w:szCs w:val="28"/>
          <w:vertAlign w:val="superscript"/>
          <w:rtl/>
        </w:rPr>
        <w:footnoteReference w:id="7155"/>
      </w:r>
      <w:r w:rsidRPr="00007309">
        <w:rPr>
          <w:rFonts w:cs="Arial"/>
          <w:b/>
          <w:bCs/>
          <w:sz w:val="24"/>
          <w:szCs w:val="24"/>
          <w:rtl/>
        </w:rPr>
        <w:t>רָקִיעַ דְּחֵיוָן דְּקַיְּמִין</w:t>
      </w:r>
      <w:r w:rsidRPr="00007309">
        <w:rPr>
          <w:rFonts w:cs="Arial" w:hint="cs"/>
          <w:b/>
          <w:bCs/>
          <w:sz w:val="24"/>
          <w:szCs w:val="24"/>
          <w:rtl/>
        </w:rPr>
        <w:t>,</w:t>
      </w:r>
      <w:r w:rsidRPr="00007309">
        <w:rPr>
          <w:rFonts w:cs="Arial"/>
          <w:b/>
          <w:bCs/>
          <w:sz w:val="24"/>
          <w:szCs w:val="24"/>
          <w:rtl/>
        </w:rPr>
        <w:t xml:space="preserve"> אִתְפְּשַׁט בּוּצִיצָא וּמָדִיד לְאָרְכָּא</w:t>
      </w:r>
      <w:r w:rsidRPr="00007309">
        <w:rPr>
          <w:rFonts w:cs="Arial" w:hint="cs"/>
          <w:b/>
          <w:bCs/>
          <w:sz w:val="24"/>
          <w:szCs w:val="24"/>
          <w:rtl/>
        </w:rPr>
        <w:t>,</w:t>
      </w:r>
      <w:r w:rsidRPr="00007309">
        <w:rPr>
          <w:rFonts w:cs="Arial"/>
          <w:b/>
          <w:bCs/>
          <w:sz w:val="24"/>
          <w:szCs w:val="24"/>
          <w:rtl/>
        </w:rPr>
        <w:t xml:space="preserve"> ג' קִשְׁרִין לִימִינָא וְג' קִשְׁרִין לִשְׂמָאלָא. אִלֵּין תְּלָת קִשְׁרִין חַד קְיָמָא. וְאִלֵּין תְּלָת חַד קְיָמָא. וְאִלֵּין תְּלָת נִקּוּדִין דְּקַיְּמִין דָּא עַל דָּא</w:t>
      </w:r>
      <w:r w:rsidRPr="00007309">
        <w:rPr>
          <w:rFonts w:cs="Arial" w:hint="cs"/>
          <w:b/>
          <w:bCs/>
          <w:sz w:val="24"/>
          <w:szCs w:val="24"/>
          <w:rtl/>
        </w:rPr>
        <w:t>,</w:t>
      </w:r>
      <w:r w:rsidRPr="00007309">
        <w:rPr>
          <w:rFonts w:cs="Arial"/>
          <w:b/>
          <w:bCs/>
          <w:sz w:val="24"/>
          <w:szCs w:val="24"/>
          <w:rtl/>
        </w:rPr>
        <w:t xml:space="preserve"> בֵּין לְסִטְרָא דָּא בֵּין לְסִטְרָא דָּא. מְדִידוּ דְּבוּצִיצָא שִׁיעוּר לְנַגְּנָא </w:t>
      </w:r>
      <w:r w:rsidRPr="00007309">
        <w:rPr>
          <w:rFonts w:cs="Arial"/>
          <w:b/>
          <w:bCs/>
          <w:sz w:val="36"/>
          <w:szCs w:val="28"/>
          <w:vertAlign w:val="superscript"/>
          <w:rtl/>
        </w:rPr>
        <w:footnoteReference w:id="7156"/>
      </w:r>
      <w:r w:rsidRPr="00007309">
        <w:rPr>
          <w:rFonts w:cs="Arial"/>
          <w:b/>
          <w:bCs/>
          <w:sz w:val="24"/>
          <w:szCs w:val="24"/>
          <w:rtl/>
        </w:rPr>
        <w:t xml:space="preserve">תְּרֵין טַעֲמִין, דְּקַיְּמִין בְּחֵיזוּ דְּקַיְמִין נִגּוּנָא דְּמִשְׁחָתָא דְּמָדִיד בַּתְרֵי יַרְכִין דְּקַיְּמִין. </w:t>
      </w:r>
      <w:r w:rsidRPr="00007309">
        <w:rPr>
          <w:rFonts w:cs="Arial"/>
          <w:b/>
          <w:bCs/>
          <w:sz w:val="36"/>
          <w:szCs w:val="28"/>
          <w:vertAlign w:val="superscript"/>
          <w:rtl/>
        </w:rPr>
        <w:footnoteReference w:id="7157"/>
      </w:r>
      <w:r w:rsidRPr="00007309">
        <w:rPr>
          <w:rFonts w:cs="Arial"/>
          <w:b/>
          <w:bCs/>
          <w:sz w:val="24"/>
          <w:szCs w:val="24"/>
          <w:rtl/>
        </w:rPr>
        <w:t xml:space="preserve">יַעֲקֹב דְּאִיהוּ גּוּפָא, אִסְתְּמִיךְ עַל קִיּוּמִין בִּמְדִידוּ דְּבוּצִיצָא </w:t>
      </w:r>
      <w:r w:rsidRPr="00007309">
        <w:rPr>
          <w:rFonts w:cs="Arial"/>
          <w:b/>
          <w:bCs/>
          <w:sz w:val="36"/>
          <w:szCs w:val="28"/>
          <w:vertAlign w:val="superscript"/>
          <w:rtl/>
        </w:rPr>
        <w:footnoteReference w:id="7158"/>
      </w:r>
      <w:r w:rsidRPr="00007309">
        <w:rPr>
          <w:rFonts w:cs="Arial"/>
          <w:b/>
          <w:bCs/>
          <w:sz w:val="24"/>
          <w:szCs w:val="24"/>
          <w:rtl/>
        </w:rPr>
        <w:t>כַּד עָאל לַאֲבוּה</w:t>
      </w:r>
      <w:r w:rsidRPr="00007309">
        <w:rPr>
          <w:rFonts w:cs="Arial" w:hint="cs"/>
          <w:b/>
          <w:bCs/>
          <w:sz w:val="24"/>
          <w:szCs w:val="24"/>
          <w:rtl/>
        </w:rPr>
        <w:t>,</w:t>
      </w:r>
      <w:r w:rsidRPr="00007309">
        <w:rPr>
          <w:rFonts w:cs="Arial"/>
          <w:b/>
          <w:bCs/>
          <w:sz w:val="24"/>
          <w:szCs w:val="24"/>
          <w:rtl/>
        </w:rPr>
        <w:t xml:space="preserve"> רָזָא דְּוַיָּבֵא לוֹ יַיִן וַיֵּשְׁתְּ</w:t>
      </w:r>
      <w:r w:rsidRPr="00007309">
        <w:rPr>
          <w:rFonts w:cs="Arial" w:hint="cs"/>
          <w:b/>
          <w:bCs/>
          <w:sz w:val="24"/>
          <w:szCs w:val="24"/>
          <w:rtl/>
        </w:rPr>
        <w:t>,</w:t>
      </w:r>
      <w:r w:rsidRPr="00007309">
        <w:rPr>
          <w:rFonts w:cs="Arial"/>
          <w:b/>
          <w:bCs/>
          <w:sz w:val="24"/>
          <w:szCs w:val="24"/>
          <w:rtl/>
        </w:rPr>
        <w:t xml:space="preserve"> וְגוּפָא אִתְקְיַם בְּקִיּוּמֵהּ. וְעַל דָּא וְהַמַּשְׂכִּילִים יַזְהִרוּ כְּזֹהַר הָרָקִיעַ וְגוֹ'. וְהַמַּשְׂכִּילִים יַזְהִרוּ כְּזֹהַר הָרָקִיעַ דְּמִתְפַּשְּׁטִין וְנָהֲרִין לְתַתָּא, כַּד שַׁרְבִיטָא אִתְקְיַם בְּרָזָא דְּפַּזֵ</w:t>
      </w:r>
      <w:r w:rsidRPr="00007309">
        <w:rPr>
          <w:rFonts w:cs="Arial" w:hint="cs"/>
          <w:b/>
          <w:bCs/>
          <w:sz w:val="24"/>
          <w:szCs w:val="24"/>
          <w:rtl/>
        </w:rPr>
        <w:t>ר</w:t>
      </w:r>
      <w:r w:rsidRPr="00007309">
        <w:rPr>
          <w:rFonts w:cs="Arial"/>
          <w:b/>
          <w:bCs/>
          <w:sz w:val="24"/>
          <w:szCs w:val="24"/>
          <w:rtl/>
        </w:rPr>
        <w:t>, וְיָהִיב וְעָאל בְּמִשְׁחָתָא וּמָדִיד</w:t>
      </w:r>
      <w:r w:rsidRPr="00007309">
        <w:rPr>
          <w:rFonts w:cs="Arial" w:hint="cs"/>
          <w:b/>
          <w:bCs/>
          <w:sz w:val="24"/>
          <w:szCs w:val="24"/>
          <w:rtl/>
        </w:rPr>
        <w:t>,</w:t>
      </w:r>
      <w:r w:rsidRPr="00007309">
        <w:rPr>
          <w:rFonts w:cs="Arial"/>
          <w:b/>
          <w:bCs/>
          <w:sz w:val="24"/>
          <w:szCs w:val="24"/>
          <w:rtl/>
        </w:rPr>
        <w:t xml:space="preserve"> וְאִתְתְּקָנוּ אִלֵּין תְּרֵין קַיְּמִין בְּמִשְׁחָתָא לְתַתָּא, וְאִתְתְּקַן בּוּצִיצָא וּמָדִיד דָּא עִם דָּא</w:t>
      </w:r>
      <w:r w:rsidRPr="00007309">
        <w:rPr>
          <w:rFonts w:cs="Arial" w:hint="cs"/>
          <w:b/>
          <w:bCs/>
          <w:sz w:val="24"/>
          <w:szCs w:val="24"/>
          <w:rtl/>
        </w:rPr>
        <w:t>,</w:t>
      </w:r>
      <w:r w:rsidRPr="00007309">
        <w:rPr>
          <w:rFonts w:cs="Arial"/>
          <w:b/>
          <w:bCs/>
          <w:sz w:val="24"/>
          <w:szCs w:val="24"/>
          <w:rtl/>
        </w:rPr>
        <w:t xml:space="preserve"> כְּדֵין וְהַמַּשְׂכִּילִים יַזְהִרו</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159"/>
      </w:r>
      <w:r w:rsidRPr="00007309">
        <w:rPr>
          <w:rFonts w:cs="Arial"/>
          <w:b/>
          <w:bCs/>
          <w:sz w:val="24"/>
          <w:szCs w:val="24"/>
          <w:rtl/>
        </w:rPr>
        <w:t xml:space="preserve">דְּהָא לְתַתָּא אִתְתְּקָנַת בְּתִקּוּנָא דְּנוּקְבָא לְקַבְּלָא דְּכוּרָא, וְיַרְכִין אִתְתְּקָנוּ בְּלָא פְּשִׁיטוּ. </w:t>
      </w:r>
      <w:r w:rsidRPr="00007309">
        <w:rPr>
          <w:rFonts w:cs="Arial"/>
          <w:b/>
          <w:bCs/>
          <w:sz w:val="36"/>
          <w:szCs w:val="28"/>
          <w:vertAlign w:val="superscript"/>
          <w:rtl/>
        </w:rPr>
        <w:footnoteReference w:id="7160"/>
      </w:r>
      <w:r w:rsidRPr="00007309">
        <w:rPr>
          <w:rFonts w:cs="Arial"/>
          <w:b/>
          <w:bCs/>
          <w:sz w:val="24"/>
          <w:szCs w:val="24"/>
          <w:rtl/>
        </w:rPr>
        <w:t>וְהָכָא לָאו נִגּוּנָא בְּגוֹ</w:t>
      </w:r>
      <w:r w:rsidRPr="00007309">
        <w:rPr>
          <w:rFonts w:cs="Arial"/>
          <w:b/>
          <w:bCs/>
          <w:sz w:val="24"/>
          <w:szCs w:val="24"/>
        </w:rPr>
        <w:t xml:space="preserve"> </w:t>
      </w:r>
      <w:r w:rsidRPr="00007309">
        <w:rPr>
          <w:rFonts w:cs="Arial"/>
          <w:b/>
          <w:bCs/>
          <w:sz w:val="24"/>
          <w:szCs w:val="24"/>
          <w:rtl/>
        </w:rPr>
        <w:t>מִשְׁחָתָא דָּא וְאִקְּרֵי אֶתְנַחְתָּא</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161"/>
      </w:r>
      <w:r w:rsidRPr="00007309">
        <w:rPr>
          <w:rFonts w:cs="Arial"/>
          <w:b/>
          <w:bCs/>
          <w:sz w:val="24"/>
          <w:szCs w:val="24"/>
          <w:rtl/>
        </w:rPr>
        <w:t>לָקֳבֵל תְּרֵי טַעֲמֵי רָזָא דְּנוּקְבָא דִּפְתִיחָא לָקֳבֵל דְּכוּרָא</w:t>
      </w:r>
      <w:r w:rsidRPr="00007309">
        <w:rPr>
          <w:rFonts w:cs="Arial" w:hint="cs"/>
          <w:b/>
          <w:bCs/>
          <w:sz w:val="24"/>
          <w:szCs w:val="24"/>
          <w:rtl/>
        </w:rPr>
        <w:t>,</w:t>
      </w:r>
      <w:r w:rsidRPr="00007309">
        <w:rPr>
          <w:rFonts w:cs="Arial"/>
          <w:b/>
          <w:bCs/>
          <w:sz w:val="24"/>
          <w:szCs w:val="24"/>
          <w:rtl/>
        </w:rPr>
        <w:t xml:space="preserve"> וְהָכָא לָאו נִגּוּנָא </w:t>
      </w:r>
      <w:r w:rsidRPr="00007309">
        <w:rPr>
          <w:rFonts w:cs="Arial"/>
          <w:b/>
          <w:bCs/>
          <w:sz w:val="36"/>
          <w:szCs w:val="28"/>
          <w:vertAlign w:val="superscript"/>
          <w:rtl/>
        </w:rPr>
        <w:footnoteReference w:id="7162"/>
      </w:r>
      <w:r w:rsidRPr="00007309">
        <w:rPr>
          <w:rFonts w:cs="Arial"/>
          <w:b/>
          <w:bCs/>
          <w:sz w:val="24"/>
          <w:szCs w:val="24"/>
          <w:rtl/>
        </w:rPr>
        <w:t xml:space="preserve">דְּכֹלָּא בְּנַיְיחָא. מִשְׁחָתָא דָּא טְמִירָא, </w:t>
      </w:r>
      <w:r w:rsidRPr="00007309">
        <w:rPr>
          <w:rFonts w:cs="Arial"/>
          <w:b/>
          <w:bCs/>
          <w:sz w:val="36"/>
          <w:szCs w:val="28"/>
          <w:vertAlign w:val="superscript"/>
          <w:rtl/>
        </w:rPr>
        <w:footnoteReference w:id="7163"/>
      </w:r>
      <w:r w:rsidRPr="00007309">
        <w:rPr>
          <w:rFonts w:cs="Arial"/>
          <w:b/>
          <w:bCs/>
          <w:sz w:val="24"/>
          <w:szCs w:val="24"/>
          <w:rtl/>
        </w:rPr>
        <w:t>כְּדֵין וְהַמַּשְׂכִּילִים יַזְהִרוּ כְּזֹהַר הָרָקִיעַ דָּא רָקִיעַ דִּימִינָא דְּזָהִיר וְנָהִיר וְאַתְקִיף בְּתֻקְפֵּהּ. שָׁארֵי בּוּצִיצָא וְאִתְפְּשַׁט לְאַנְהָרָא, וְנִגּוּנָא דְּקָא אָזְלָא מִסְּטָר יְמִינָא</w:t>
      </w:r>
      <w:r w:rsidRPr="00007309">
        <w:rPr>
          <w:rFonts w:cs="Arial" w:hint="cs"/>
          <w:b/>
          <w:bCs/>
          <w:sz w:val="24"/>
          <w:szCs w:val="24"/>
          <w:rtl/>
        </w:rPr>
        <w:t>,</w:t>
      </w:r>
      <w:r w:rsidRPr="00007309">
        <w:rPr>
          <w:rFonts w:cs="Arial"/>
          <w:b/>
          <w:bCs/>
          <w:sz w:val="24"/>
          <w:szCs w:val="24"/>
          <w:rtl/>
        </w:rPr>
        <w:t xml:space="preserve"> תרצתא</w:t>
      </w:r>
      <w:r w:rsidRPr="00007309">
        <w:rPr>
          <w:rFonts w:cs="Arial" w:hint="cs"/>
          <w:b/>
          <w:bCs/>
          <w:sz w:val="24"/>
          <w:szCs w:val="24"/>
          <w:rtl/>
        </w:rPr>
        <w:t>,</w:t>
      </w:r>
      <w:r w:rsidRPr="00007309">
        <w:rPr>
          <w:rFonts w:cs="Arial"/>
          <w:b/>
          <w:bCs/>
          <w:sz w:val="24"/>
          <w:szCs w:val="24"/>
          <w:rtl/>
        </w:rPr>
        <w:t xml:space="preserve"> הַאי נִגּוּנָא דַּחֲבִיבוּ לְמֵיזָל בְּנִגּוּנָא דָּא מְחַבְּקָא. </w:t>
      </w:r>
      <w:r w:rsidRPr="00007309">
        <w:rPr>
          <w:rFonts w:cs="Arial"/>
          <w:b/>
          <w:bCs/>
          <w:sz w:val="36"/>
          <w:szCs w:val="28"/>
          <w:vertAlign w:val="superscript"/>
          <w:rtl/>
        </w:rPr>
        <w:footnoteReference w:id="7164"/>
      </w:r>
      <w:r w:rsidRPr="00007309">
        <w:rPr>
          <w:rFonts w:cs="Arial"/>
          <w:b/>
          <w:bCs/>
          <w:sz w:val="24"/>
          <w:szCs w:val="24"/>
          <w:rtl/>
        </w:rPr>
        <w:t xml:space="preserve">ותלשת' קָא סָטִיר </w:t>
      </w:r>
      <w:r w:rsidRPr="00007309">
        <w:rPr>
          <w:rFonts w:cs="Arial"/>
          <w:b/>
          <w:bCs/>
          <w:sz w:val="36"/>
          <w:szCs w:val="28"/>
          <w:vertAlign w:val="superscript"/>
          <w:rtl/>
        </w:rPr>
        <w:footnoteReference w:id="7165"/>
      </w:r>
      <w:r w:rsidRPr="00007309">
        <w:rPr>
          <w:rFonts w:cs="Arial"/>
          <w:b/>
          <w:bCs/>
          <w:sz w:val="24"/>
          <w:szCs w:val="24"/>
          <w:rtl/>
        </w:rPr>
        <w:t>לְקַשְּׁרָא קִשְׁרָא</w:t>
      </w:r>
      <w:r w:rsidRPr="00007309">
        <w:rPr>
          <w:rFonts w:cs="Arial" w:hint="cs"/>
          <w:b/>
          <w:bCs/>
          <w:sz w:val="24"/>
          <w:szCs w:val="24"/>
          <w:rtl/>
        </w:rPr>
        <w:t xml:space="preserve">. </w:t>
      </w:r>
      <w:r w:rsidRPr="00007309">
        <w:rPr>
          <w:rFonts w:cs="Arial"/>
          <w:b/>
          <w:bCs/>
          <w:sz w:val="36"/>
          <w:szCs w:val="28"/>
          <w:vertAlign w:val="superscript"/>
          <w:rtl/>
        </w:rPr>
        <w:footnoteReference w:id="7166"/>
      </w:r>
      <w:r w:rsidRPr="00007309">
        <w:rPr>
          <w:rFonts w:cs="Arial"/>
          <w:b/>
          <w:bCs/>
          <w:sz w:val="24"/>
          <w:szCs w:val="24"/>
          <w:rtl/>
        </w:rPr>
        <w:t xml:space="preserve">הַאי אַחִיד וְהַאי כָּפוּף, וְאִתְיָעִיף </w:t>
      </w:r>
      <w:r w:rsidRPr="00007309">
        <w:rPr>
          <w:rFonts w:cs="Arial"/>
          <w:b/>
          <w:bCs/>
          <w:sz w:val="36"/>
          <w:szCs w:val="28"/>
          <w:vertAlign w:val="superscript"/>
          <w:rtl/>
        </w:rPr>
        <w:footnoteReference w:id="7167"/>
      </w:r>
      <w:r w:rsidRPr="00007309">
        <w:rPr>
          <w:rFonts w:cs="Arial"/>
          <w:b/>
          <w:bCs/>
          <w:sz w:val="24"/>
          <w:szCs w:val="24"/>
          <w:rtl/>
        </w:rPr>
        <w:t xml:space="preserve">לְקִבְלָא דְּסַנְטוּרָא בְּקַנְטוּפָא </w:t>
      </w:r>
      <w:r w:rsidRPr="00007309">
        <w:rPr>
          <w:rFonts w:cs="Arial"/>
          <w:b/>
          <w:bCs/>
          <w:sz w:val="36"/>
          <w:szCs w:val="28"/>
          <w:vertAlign w:val="superscript"/>
          <w:rtl/>
        </w:rPr>
        <w:footnoteReference w:id="7168"/>
      </w:r>
      <w:r w:rsidRPr="00007309">
        <w:rPr>
          <w:rFonts w:cs="Arial"/>
          <w:b/>
          <w:bCs/>
          <w:sz w:val="24"/>
          <w:szCs w:val="24"/>
          <w:rtl/>
        </w:rPr>
        <w:t>וְאִתְפְּשָׁטוּ תְּרֵין דְּרוֹעִין כַּחֲדָא, בְּרָזָא דְּאָזְלָא וְגָרִישׁ דקטור שְׂמָאלָא. וְהַמַּשְׂכִּילִים יַזְהִרוּ כַּד פָּסַק נְהוֹרָא וּבוּצִיצָא פָּסְקָה, וְלָא מָדִיד בְּאָרְכָּא וְפוּתְיָא מִתַּתָּא לְעֵלָּא, אִתְפְּשַׁט בּוּצִיצָא וְאָחִיד מֵעֵלָּא לְתַתָּא בְּרָזָא דְּקָשִׁירוּ, וְאִתְבָּרְכָאן עִלָּאִין וְתַתָּאִין בְּהַאי מְדִידוּ דְּבוּצִי</w:t>
      </w:r>
      <w:r w:rsidRPr="00007309">
        <w:rPr>
          <w:rFonts w:cs="Arial" w:hint="cs"/>
          <w:b/>
          <w:bCs/>
          <w:sz w:val="24"/>
          <w:szCs w:val="24"/>
          <w:rtl/>
        </w:rPr>
        <w:t>צ</w:t>
      </w:r>
      <w:r w:rsidRPr="00007309">
        <w:rPr>
          <w:rFonts w:cs="Arial"/>
          <w:b/>
          <w:bCs/>
          <w:sz w:val="24"/>
          <w:szCs w:val="24"/>
          <w:rtl/>
        </w:rPr>
        <w:t>ָא. (נ"א דנגונא) לְכֻלְּהוּ מִשְׁחָתִין, וְאִתְעֲבִיד כֹּלָּא מִשְׁחָתָא</w:t>
      </w:r>
      <w:r w:rsidRPr="00007309">
        <w:rPr>
          <w:rFonts w:cs="Arial"/>
          <w:b/>
          <w:bCs/>
          <w:sz w:val="24"/>
          <w:szCs w:val="24"/>
        </w:rPr>
        <w:t xml:space="preserve"> </w:t>
      </w:r>
      <w:r w:rsidRPr="00007309">
        <w:rPr>
          <w:rFonts w:cs="Arial"/>
          <w:b/>
          <w:bCs/>
          <w:sz w:val="24"/>
          <w:szCs w:val="24"/>
          <w:rtl/>
        </w:rPr>
        <w:t>חַד דְּקַיְּמָא וְאִסְתְּמִיךְ כֹּלָּא ע"ד. וּבְגִין כָּךְ כַּד עוֹבָדִין מִתְכַּשְּׁרִין לְתַתָּא, וְאִתְכַּשְּׁרָן בְּעוֹבָדִין טָבִין, בְּעוֹבָדִין דְּאוֹרַיְתָא, כְּדֵין כֹּלָּא אִתְתְּקַן עַד הַאי אֲתַר. דְּהָא הָכָא אִשְׁתְּכַח וְאִזְדְּמַן בְּגִלּוּיָא וּבְכִסּוּיָא רָזָא דִּמְהֵמְנוּתָא וְנָטְלָא עַד הָכָא</w:t>
      </w:r>
      <w:r w:rsidRPr="00007309">
        <w:rPr>
          <w:rFonts w:cs="Arial"/>
          <w:b/>
          <w:bCs/>
          <w:sz w:val="24"/>
          <w:szCs w:val="24"/>
        </w:rPr>
        <w:t>:</w:t>
      </w:r>
    </w:p>
    <w:p w:rsidR="00007309" w:rsidRPr="00007309" w:rsidRDefault="00007309" w:rsidP="00007309">
      <w:pPr>
        <w:keepNext/>
        <w:spacing w:before="240" w:after="60"/>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[וילנא כב ע"ב]</w:t>
      </w:r>
    </w:p>
    <w:p w:rsidR="00007309" w:rsidRPr="00007309" w:rsidRDefault="00007309" w:rsidP="00007309">
      <w:pPr>
        <w:jc w:val="both"/>
        <w:rPr>
          <w:rFonts w:cs="Arial"/>
          <w:b/>
          <w:bCs/>
          <w:sz w:val="24"/>
          <w:szCs w:val="24"/>
        </w:rPr>
      </w:pPr>
      <w:r w:rsidRPr="00007309">
        <w:rPr>
          <w:rFonts w:ascii="Cambria" w:hAnsi="Cambria" w:cs="Times New Roman" w:hint="cs"/>
          <w:b/>
          <w:bCs/>
          <w:i/>
          <w:iCs/>
          <w:color w:val="4F81BD"/>
          <w:sz w:val="24"/>
          <w:szCs w:val="24"/>
          <w:rtl/>
        </w:rPr>
        <w:t xml:space="preserve"> (וילנא כב ע"ב)</w:t>
      </w:r>
      <w:r w:rsidRPr="00007309">
        <w:rPr>
          <w:rFonts w:cs="Arial" w:hint="cs"/>
          <w:b/>
          <w:bCs/>
          <w:sz w:val="24"/>
          <w:szCs w:val="24"/>
          <w:rtl/>
        </w:rPr>
        <w:t xml:space="preserve"> </w:t>
      </w:r>
      <w:r w:rsidRPr="00007309">
        <w:rPr>
          <w:rFonts w:cs="Arial"/>
          <w:b/>
          <w:bCs/>
          <w:sz w:val="24"/>
          <w:szCs w:val="24"/>
          <w:rtl/>
        </w:rPr>
        <w:t>וְהַמַּשְׂכִילִים יַזְהִרוּ</w:t>
      </w:r>
      <w:r w:rsidRPr="00007309">
        <w:rPr>
          <w:rFonts w:cs="Arial" w:hint="cs"/>
          <w:b/>
          <w:bCs/>
          <w:sz w:val="24"/>
          <w:szCs w:val="24"/>
          <w:rtl/>
        </w:rPr>
        <w:t>.</w:t>
      </w:r>
      <w:r w:rsidRPr="00007309">
        <w:rPr>
          <w:rFonts w:cs="Arial"/>
          <w:b/>
          <w:bCs/>
          <w:sz w:val="24"/>
          <w:szCs w:val="24"/>
          <w:rtl/>
        </w:rPr>
        <w:t xml:space="preserve"> כַּד עוֹבָדִין מִתַּתְקְנָן</w:t>
      </w:r>
      <w:r w:rsidRPr="00007309">
        <w:rPr>
          <w:rFonts w:cs="Arial" w:hint="cs"/>
          <w:b/>
          <w:bCs/>
          <w:sz w:val="24"/>
          <w:szCs w:val="24"/>
          <w:rtl/>
        </w:rPr>
        <w:t>,</w:t>
      </w:r>
      <w:r w:rsidRPr="00007309">
        <w:rPr>
          <w:rFonts w:cs="Arial"/>
          <w:b/>
          <w:bCs/>
          <w:sz w:val="24"/>
          <w:szCs w:val="24"/>
          <w:rtl/>
        </w:rPr>
        <w:t xml:space="preserve"> וְאָחִיד מִשְׁחָתָא אָחֳרָא בִּסְתִימוּ, </w:t>
      </w:r>
      <w:r w:rsidRPr="00007309">
        <w:rPr>
          <w:rFonts w:cs="Arial"/>
          <w:b/>
          <w:bCs/>
          <w:sz w:val="36"/>
          <w:szCs w:val="28"/>
          <w:vertAlign w:val="superscript"/>
          <w:rtl/>
        </w:rPr>
        <w:footnoteReference w:id="7169"/>
      </w:r>
      <w:r w:rsidRPr="00007309">
        <w:rPr>
          <w:rFonts w:cs="Arial"/>
          <w:b/>
          <w:bCs/>
          <w:sz w:val="24"/>
          <w:szCs w:val="24"/>
          <w:rtl/>
        </w:rPr>
        <w:t>וּפָסְקָה בֵּין מִשְׁחָתָא דִּלְתַתָּא לְמִשְׁחָתָא עִלָּאָה</w:t>
      </w:r>
      <w:r w:rsidRPr="00007309">
        <w:rPr>
          <w:rFonts w:cs="Arial" w:hint="cs"/>
          <w:b/>
          <w:bCs/>
          <w:sz w:val="24"/>
          <w:szCs w:val="24"/>
          <w:rtl/>
        </w:rPr>
        <w:t>,</w:t>
      </w:r>
      <w:r w:rsidRPr="00007309">
        <w:rPr>
          <w:rFonts w:cs="Arial"/>
          <w:b/>
          <w:bCs/>
          <w:sz w:val="24"/>
          <w:szCs w:val="24"/>
          <w:rtl/>
        </w:rPr>
        <w:t xml:space="preserve"> מִשְׁחָתָא עִלָּאָה אִיהִי מִשְׁחָתָא וְלָא מִשְׁחָתָא, לָא מִשְׁחָתָא כְּלָל</w:t>
      </w:r>
      <w:r w:rsidRPr="00007309">
        <w:rPr>
          <w:rFonts w:cs="Arial" w:hint="cs"/>
          <w:b/>
          <w:bCs/>
          <w:sz w:val="24"/>
          <w:szCs w:val="24"/>
          <w:rtl/>
        </w:rPr>
        <w:t>,</w:t>
      </w:r>
      <w:r w:rsidRPr="00007309">
        <w:rPr>
          <w:rFonts w:cs="Arial"/>
          <w:b/>
          <w:bCs/>
          <w:sz w:val="24"/>
          <w:szCs w:val="24"/>
          <w:rtl/>
        </w:rPr>
        <w:t xml:space="preserve"> וּבְגִין כָּךְ פָּסְקָה מִתַּתָּא לְעֵלָּא, וּמַפְסְקָא מֵעֵלָּא לְתַתָּא. וְרָזָא דָּא יהו'ה ו' יהו'ה פָּסְקָה בְּגַוַּיְהוּ, וְכֹלָּא חַד בְּרָזָא דְּבוּצִינָא. וְהַמַּשְׂכִּילִים יַזְהִרוּ, כַּד עוֹבָדִין לָא מִתְכַּשְּׁרָן וּבוּצִינָא לָא אִתְפַּשְּׁטַת, כְּדֵין </w:t>
      </w:r>
      <w:r w:rsidRPr="00007309">
        <w:rPr>
          <w:rFonts w:cs="Arial"/>
          <w:b/>
          <w:bCs/>
          <w:sz w:val="36"/>
          <w:szCs w:val="28"/>
          <w:vertAlign w:val="superscript"/>
          <w:rtl/>
        </w:rPr>
        <w:footnoteReference w:id="7170"/>
      </w:r>
      <w:r w:rsidRPr="00007309">
        <w:rPr>
          <w:rFonts w:cs="Arial"/>
          <w:b/>
          <w:bCs/>
          <w:sz w:val="24"/>
          <w:szCs w:val="24"/>
          <w:rtl/>
        </w:rPr>
        <w:t>שׁוֹפָרָא אִתְהַפַּךְ</w:t>
      </w:r>
      <w:r w:rsidRPr="00007309">
        <w:rPr>
          <w:rFonts w:cs="Arial" w:hint="cs"/>
          <w:b/>
          <w:bCs/>
          <w:sz w:val="24"/>
          <w:szCs w:val="24"/>
          <w:rtl/>
        </w:rPr>
        <w:t>,</w:t>
      </w:r>
      <w:r w:rsidRPr="00007309">
        <w:rPr>
          <w:rFonts w:cs="Arial"/>
          <w:b/>
          <w:bCs/>
          <w:sz w:val="24"/>
          <w:szCs w:val="24"/>
          <w:rtl/>
        </w:rPr>
        <w:t xml:space="preserve"> וְכֹלָּא אִתְעַכָּב וּקְיָמָא בְּדוּכְתֵהּ, וְלָא נָגִיד לַתַּתָּא. וּלְזִמְנִין דְּהָא נָגִיד </w:t>
      </w:r>
      <w:r w:rsidRPr="00007309">
        <w:rPr>
          <w:rFonts w:cs="Arial"/>
          <w:b/>
          <w:bCs/>
          <w:sz w:val="36"/>
          <w:szCs w:val="28"/>
          <w:vertAlign w:val="superscript"/>
          <w:rtl/>
        </w:rPr>
        <w:footnoteReference w:id="7171"/>
      </w:r>
      <w:r w:rsidRPr="00007309">
        <w:rPr>
          <w:rFonts w:cs="Arial"/>
          <w:b/>
          <w:bCs/>
          <w:sz w:val="24"/>
          <w:szCs w:val="24"/>
          <w:rtl/>
        </w:rPr>
        <w:t>עַד דְּמָטֵי לְשַׁרְבִיטָא וְקַיְּמָא תַּמָּן, וְלָא נָגִיד לַתַּתָּא וְאִתְעַכָּב</w:t>
      </w:r>
      <w:r w:rsidRPr="00007309">
        <w:rPr>
          <w:rFonts w:cs="Arial" w:hint="cs"/>
          <w:b/>
          <w:bCs/>
          <w:sz w:val="24"/>
          <w:szCs w:val="24"/>
          <w:rtl/>
        </w:rPr>
        <w:t xml:space="preserve">. </w:t>
      </w:r>
      <w:r w:rsidRPr="00007309">
        <w:rPr>
          <w:rFonts w:cs="Arial"/>
          <w:b/>
          <w:bCs/>
          <w:sz w:val="24"/>
          <w:szCs w:val="24"/>
          <w:rtl/>
        </w:rPr>
        <w:t>וְנִגּוּנָא קַיְמָא וּבָטַשׁ בַּדַּרְגָּא דְּאִיהוּ קַדְמָאָה, וּבוּצִינָא קַיְּמָא תַּמָּן וְלָא מָדִיד וְלָא פָּשִׁיט מִשְׁחָתָא. וְכָל דָּא בְּגִין דְּשׁוֹפָרָא אִתְהַפָּךְ מִתַּתָּאֵי עַל עוֹבָדֵיהוֹן דְּלָא כָּשֵׁרָן</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172"/>
      </w:r>
      <w:r w:rsidRPr="00007309">
        <w:rPr>
          <w:rFonts w:cs="Arial"/>
          <w:b/>
          <w:bCs/>
          <w:sz w:val="24"/>
          <w:szCs w:val="24"/>
          <w:rtl/>
        </w:rPr>
        <w:t>וְכַד בּוּצִיצָא אִתְפַּשְּׁטַת וּמָדִיד</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173"/>
      </w:r>
      <w:r w:rsidRPr="00007309">
        <w:rPr>
          <w:rFonts w:cs="Arial"/>
          <w:b/>
          <w:bCs/>
          <w:sz w:val="24"/>
          <w:szCs w:val="24"/>
          <w:rtl/>
        </w:rPr>
        <w:t>כְּדֵין שׁוֹפָרָא אָזְלַת</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174"/>
      </w:r>
      <w:r w:rsidRPr="00007309">
        <w:rPr>
          <w:rFonts w:cs="Arial"/>
          <w:b/>
          <w:bCs/>
          <w:sz w:val="24"/>
          <w:szCs w:val="24"/>
          <w:rtl/>
        </w:rPr>
        <w:t>וּתְלָת קִשְׁרִין קַיְּמִין בְּדוּכְתֵהּ</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175"/>
      </w:r>
      <w:r w:rsidRPr="00007309">
        <w:rPr>
          <w:rFonts w:cs="Arial"/>
          <w:b/>
          <w:bCs/>
          <w:sz w:val="24"/>
          <w:szCs w:val="24"/>
          <w:rtl/>
        </w:rPr>
        <w:t>וְאַף עַל גַּב דִּבְרָזָא אָחֳרָא קְיָמָא</w:t>
      </w:r>
      <w:r w:rsidRPr="00007309">
        <w:rPr>
          <w:rFonts w:cs="Arial" w:hint="cs"/>
          <w:b/>
          <w:bCs/>
          <w:sz w:val="24"/>
          <w:szCs w:val="24"/>
          <w:rtl/>
        </w:rPr>
        <w:t>,</w:t>
      </w:r>
      <w:r w:rsidRPr="00007309">
        <w:rPr>
          <w:rFonts w:cs="Arial"/>
          <w:b/>
          <w:bCs/>
          <w:sz w:val="24"/>
          <w:szCs w:val="24"/>
          <w:rtl/>
        </w:rPr>
        <w:t xml:space="preserve"> כֹּלָּא אִיהוּ בְּרָזָא חֲדָא</w:t>
      </w:r>
      <w:r w:rsidRPr="00007309">
        <w:rPr>
          <w:rFonts w:cs="Arial" w:hint="cs"/>
          <w:b/>
          <w:bCs/>
          <w:sz w:val="24"/>
          <w:szCs w:val="24"/>
          <w:rtl/>
        </w:rPr>
        <w:t>,</w:t>
      </w:r>
      <w:r w:rsidRPr="00007309">
        <w:rPr>
          <w:rFonts w:cs="Arial"/>
          <w:b/>
          <w:bCs/>
          <w:sz w:val="24"/>
          <w:szCs w:val="24"/>
          <w:rtl/>
        </w:rPr>
        <w:t xml:space="preserve"> דְּהָא ג' קִשְׁרִין אִלֵּין דְּקַיְּמִין בְּדוּכְתֵּהּ</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176"/>
      </w:r>
      <w:r w:rsidRPr="00007309">
        <w:rPr>
          <w:rFonts w:cs="Arial"/>
          <w:b/>
          <w:bCs/>
          <w:sz w:val="24"/>
          <w:szCs w:val="24"/>
          <w:rtl/>
        </w:rPr>
        <w:t>תְּחוֹת גַּדְפוֹי דְּהַהוּא שׁוֹפָרָא בּוּצִינָא קַיְּמָא</w:t>
      </w:r>
      <w:r w:rsidRPr="00007309">
        <w:rPr>
          <w:rFonts w:cs="Arial"/>
          <w:b/>
          <w:bCs/>
          <w:sz w:val="24"/>
          <w:szCs w:val="28"/>
        </w:rPr>
        <w:t xml:space="preserve"> </w:t>
      </w:r>
      <w:r w:rsidRPr="00007309">
        <w:rPr>
          <w:rFonts w:cs="Arial"/>
          <w:b/>
          <w:bCs/>
          <w:sz w:val="24"/>
          <w:szCs w:val="24"/>
          <w:rtl/>
        </w:rPr>
        <w:t>תַּמָּן</w:t>
      </w:r>
      <w:r w:rsidRPr="00007309">
        <w:rPr>
          <w:rFonts w:cs="Arial" w:hint="cs"/>
          <w:b/>
          <w:bCs/>
          <w:sz w:val="24"/>
          <w:szCs w:val="24"/>
          <w:rtl/>
        </w:rPr>
        <w:t>,</w:t>
      </w:r>
      <w:r w:rsidRPr="00007309">
        <w:rPr>
          <w:rFonts w:cs="Arial"/>
          <w:b/>
          <w:bCs/>
          <w:sz w:val="24"/>
          <w:szCs w:val="24"/>
          <w:rtl/>
        </w:rPr>
        <w:t xml:space="preserve"> וְאִתְבָּרְכָן גּוֹ חֲבִיבוּ</w:t>
      </w:r>
      <w:r w:rsidRPr="00007309">
        <w:rPr>
          <w:rFonts w:cs="Arial" w:hint="cs"/>
          <w:b/>
          <w:bCs/>
          <w:sz w:val="24"/>
          <w:szCs w:val="24"/>
          <w:rtl/>
        </w:rPr>
        <w:t>,</w:t>
      </w:r>
      <w:r w:rsidRPr="00007309">
        <w:rPr>
          <w:rFonts w:cs="Arial"/>
          <w:b/>
          <w:bCs/>
          <w:sz w:val="24"/>
          <w:szCs w:val="24"/>
          <w:rtl/>
        </w:rPr>
        <w:t xml:space="preserve"> סְגוֹלְתָּא</w:t>
      </w:r>
      <w:r w:rsidRPr="00007309">
        <w:rPr>
          <w:rFonts w:cs="Arial" w:hint="cs"/>
          <w:b/>
          <w:bCs/>
          <w:sz w:val="24"/>
          <w:szCs w:val="24"/>
          <w:rtl/>
        </w:rPr>
        <w:t>,</w:t>
      </w:r>
      <w:r w:rsidRPr="00007309">
        <w:rPr>
          <w:rFonts w:cs="Arial"/>
          <w:b/>
          <w:bCs/>
          <w:sz w:val="24"/>
          <w:szCs w:val="24"/>
          <w:rtl/>
        </w:rPr>
        <w:t xml:space="preserve"> בְּרָזָא דִּתְלָת אֲבָהָן דְּקַיְּמָ</w:t>
      </w:r>
      <w:r w:rsidRPr="00007309">
        <w:rPr>
          <w:rFonts w:cs="Arial" w:hint="cs"/>
          <w:b/>
          <w:bCs/>
          <w:sz w:val="24"/>
          <w:szCs w:val="24"/>
          <w:rtl/>
        </w:rPr>
        <w:t>ן</w:t>
      </w:r>
      <w:r w:rsidRPr="00007309">
        <w:rPr>
          <w:rFonts w:cs="Arial"/>
          <w:b/>
          <w:bCs/>
          <w:sz w:val="24"/>
          <w:szCs w:val="24"/>
          <w:rtl/>
        </w:rPr>
        <w:t xml:space="preserve"> גּוֹ שׁוֹפָרָא, הָכָא בּוּצִינָא מָדִיד מִשְׁחָתָא דָּא בְּכֻלְּהוּ</w:t>
      </w:r>
      <w:r w:rsidRPr="00007309">
        <w:rPr>
          <w:rFonts w:cs="Arial" w:hint="cs"/>
          <w:b/>
          <w:bCs/>
          <w:sz w:val="24"/>
          <w:szCs w:val="24"/>
          <w:rtl/>
        </w:rPr>
        <w:t>,</w:t>
      </w:r>
      <w:r w:rsidRPr="00007309">
        <w:rPr>
          <w:rFonts w:cs="Arial"/>
          <w:b/>
          <w:bCs/>
          <w:sz w:val="24"/>
          <w:szCs w:val="24"/>
          <w:rtl/>
        </w:rPr>
        <w:t xml:space="preserve"> בְּאָרְכָּא ופותיי' עוּמְקָא וְרוּמָא וְעִגּוּלָא, </w:t>
      </w:r>
      <w:r w:rsidRPr="00007309">
        <w:rPr>
          <w:rFonts w:cs="Arial"/>
          <w:b/>
          <w:bCs/>
          <w:sz w:val="36"/>
          <w:szCs w:val="28"/>
          <w:vertAlign w:val="superscript"/>
          <w:rtl/>
        </w:rPr>
        <w:footnoteReference w:id="7177"/>
      </w:r>
      <w:r w:rsidRPr="00007309">
        <w:rPr>
          <w:rFonts w:cs="Arial"/>
          <w:b/>
          <w:bCs/>
          <w:sz w:val="24"/>
          <w:szCs w:val="24"/>
          <w:rtl/>
        </w:rPr>
        <w:t>וְלָא קַיְּמָא הָכָא מִשְׁחָתָא לְאִתְגַּלְּיָא</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178"/>
      </w:r>
      <w:r w:rsidRPr="00007309">
        <w:rPr>
          <w:rFonts w:cs="Arial"/>
          <w:b/>
          <w:bCs/>
          <w:sz w:val="24"/>
          <w:szCs w:val="24"/>
          <w:rtl/>
        </w:rPr>
        <w:t>וּכְדֵין כְּזֹהַר הָרָקִיעַ</w:t>
      </w:r>
      <w:r w:rsidRPr="00007309">
        <w:rPr>
          <w:rFonts w:cs="Arial" w:hint="cs"/>
          <w:b/>
          <w:bCs/>
          <w:sz w:val="24"/>
          <w:szCs w:val="24"/>
          <w:rtl/>
        </w:rPr>
        <w:t>,</w:t>
      </w:r>
      <w:r w:rsidRPr="00007309">
        <w:rPr>
          <w:rFonts w:cs="Arial"/>
          <w:b/>
          <w:bCs/>
          <w:sz w:val="24"/>
          <w:szCs w:val="24"/>
          <w:rtl/>
        </w:rPr>
        <w:t xml:space="preserve"> רְקִיעָא סְתִימָאָה דְּלָא אִתְגַּלְּיָא כְּלָל</w:t>
      </w:r>
      <w:r w:rsidRPr="00007309">
        <w:rPr>
          <w:rFonts w:cs="Arial" w:hint="cs"/>
          <w:b/>
          <w:bCs/>
          <w:sz w:val="24"/>
          <w:szCs w:val="24"/>
          <w:rtl/>
        </w:rPr>
        <w:t>.</w:t>
      </w:r>
      <w:r w:rsidRPr="00007309">
        <w:rPr>
          <w:rFonts w:cs="Arial"/>
          <w:b/>
          <w:bCs/>
          <w:sz w:val="24"/>
          <w:szCs w:val="24"/>
          <w:rtl/>
        </w:rPr>
        <w:t xml:space="preserve"> וְקַיְּמָא </w:t>
      </w:r>
      <w:r w:rsidRPr="00007309">
        <w:rPr>
          <w:rFonts w:cs="Arial"/>
          <w:b/>
          <w:bCs/>
          <w:sz w:val="36"/>
          <w:szCs w:val="28"/>
          <w:vertAlign w:val="superscript"/>
          <w:rtl/>
        </w:rPr>
        <w:footnoteReference w:id="7179"/>
      </w:r>
      <w:r w:rsidRPr="00007309">
        <w:rPr>
          <w:rFonts w:cs="Arial"/>
          <w:b/>
          <w:bCs/>
          <w:sz w:val="24"/>
          <w:szCs w:val="24"/>
          <w:rtl/>
        </w:rPr>
        <w:t xml:space="preserve">עַל רֵישֵׁי דְּחֵיוָן קְדוֹשִׁים דְּקַיְּמָן בְּרָזָא דַּאֲבָהָן. וְהַאי רְקִיעָא סְתִימָאָה עָלֵהּ קַיְּמָא עָלַיְהוּ. </w:t>
      </w:r>
      <w:r w:rsidRPr="00007309">
        <w:rPr>
          <w:rFonts w:cs="Arial"/>
          <w:b/>
          <w:bCs/>
          <w:sz w:val="36"/>
          <w:szCs w:val="28"/>
          <w:vertAlign w:val="superscript"/>
          <w:rtl/>
        </w:rPr>
        <w:footnoteReference w:id="7180"/>
      </w:r>
      <w:r w:rsidRPr="00007309">
        <w:rPr>
          <w:rFonts w:cs="Arial"/>
          <w:b/>
          <w:bCs/>
          <w:sz w:val="24"/>
          <w:szCs w:val="24"/>
          <w:rtl/>
        </w:rPr>
        <w:t xml:space="preserve">וְאַפִּיק מִנֵּהּ זֹהַר דְּנָהִיר </w:t>
      </w:r>
      <w:r w:rsidRPr="00007309">
        <w:rPr>
          <w:rFonts w:cs="Arial"/>
          <w:b/>
          <w:bCs/>
          <w:sz w:val="36"/>
          <w:szCs w:val="28"/>
          <w:vertAlign w:val="superscript"/>
          <w:rtl/>
        </w:rPr>
        <w:footnoteReference w:id="7181"/>
      </w:r>
      <w:r w:rsidRPr="00007309">
        <w:rPr>
          <w:rFonts w:cs="Arial"/>
          <w:b/>
          <w:bCs/>
          <w:sz w:val="24"/>
          <w:szCs w:val="24"/>
          <w:rtl/>
        </w:rPr>
        <w:t xml:space="preserve">לְכֻלְּהוּ חֵיוָן. וּכְדֵין קַיְּמָא בּוּצִיצָא דְּנָהָר וּבָטַשׁ בְּכֻלְּהוּ לְאִזְדְּהַר, וְעַל דָּא </w:t>
      </w:r>
      <w:r w:rsidRPr="00007309">
        <w:rPr>
          <w:rFonts w:cs="Arial"/>
          <w:b/>
          <w:bCs/>
          <w:sz w:val="36"/>
          <w:szCs w:val="28"/>
          <w:vertAlign w:val="superscript"/>
          <w:rtl/>
        </w:rPr>
        <w:footnoteReference w:id="7182"/>
      </w:r>
      <w:r w:rsidRPr="00007309">
        <w:rPr>
          <w:rFonts w:cs="Arial"/>
          <w:b/>
          <w:bCs/>
          <w:sz w:val="24"/>
          <w:szCs w:val="24"/>
          <w:rtl/>
        </w:rPr>
        <w:t>כֹּלָּא בְּרָזָא דְּמִשְׁחָתָא קַיְּמָא לְנַגְּנָא בְּשִׁעוּרָא דְּנִגּוּנָא מָדִיד בּוּצִינָא. לֵית מָאן דְּיָדַע לֵהּ לְהַאי רָזָא, בַּר אִנּוּן לְוָאֵי דְּקַיְּמָן עַל נִגּוּנָא</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183"/>
      </w:r>
      <w:r w:rsidRPr="00007309">
        <w:rPr>
          <w:rFonts w:cs="Arial"/>
          <w:b/>
          <w:bCs/>
          <w:sz w:val="24"/>
          <w:szCs w:val="24"/>
          <w:rtl/>
        </w:rPr>
        <w:t>וְלָא גַּרְעֵי וְלָא מִתְפַּשְּׁטֵי לְבַר, אֶלָּא כֹּלָּא גּוֹ מִשְׁחָתָא דְּרָזָא דְּבוּצִינָא. אִנּוּן ג' קִשְׁרִין קַדְמָאֵי דְּקָאָמַרָן</w:t>
      </w:r>
      <w:r w:rsidRPr="00007309">
        <w:rPr>
          <w:rFonts w:cs="Arial" w:hint="cs"/>
          <w:b/>
          <w:bCs/>
          <w:sz w:val="24"/>
          <w:szCs w:val="24"/>
          <w:rtl/>
        </w:rPr>
        <w:t>,</w:t>
      </w:r>
      <w:r w:rsidRPr="00007309">
        <w:rPr>
          <w:rFonts w:cs="Arial"/>
          <w:b/>
          <w:bCs/>
          <w:sz w:val="24"/>
          <w:szCs w:val="24"/>
          <w:rtl/>
        </w:rPr>
        <w:t xml:space="preserve"> דְּקִשְׁרָא קַדְמָאָה אִשְׁתְּאַר עַל אַתְוָן לְנַקְּדָא לְמֶהֱוֵי טַעְמָא לְעֵלָּא. לַזִּמְנִין</w:t>
      </w:r>
      <w:r w:rsidRPr="00007309">
        <w:rPr>
          <w:rFonts w:cs="Arial"/>
          <w:b/>
          <w:bCs/>
          <w:sz w:val="24"/>
          <w:szCs w:val="24"/>
        </w:rPr>
        <w:t xml:space="preserve"> </w:t>
      </w:r>
      <w:r w:rsidRPr="00007309">
        <w:rPr>
          <w:rFonts w:cs="Arial"/>
          <w:b/>
          <w:bCs/>
          <w:sz w:val="24"/>
          <w:szCs w:val="24"/>
          <w:rtl/>
        </w:rPr>
        <w:t xml:space="preserve">הַאי נְקֻדָּה דְּקַיְּמָא לְטַעְמָא לְעֵלָּא, בּוּצִינָא נָחִית לֵהּ לְתַתָּא לְהַאי קִשְׁרָא, לְמֶעֱבַד בֵּהּ מְדִידוּ לְתַתָּא. </w:t>
      </w:r>
      <w:r w:rsidRPr="00007309">
        <w:rPr>
          <w:rFonts w:cs="Arial"/>
          <w:b/>
          <w:bCs/>
          <w:sz w:val="36"/>
          <w:szCs w:val="28"/>
          <w:vertAlign w:val="superscript"/>
          <w:rtl/>
        </w:rPr>
        <w:footnoteReference w:id="7184"/>
      </w:r>
      <w:r w:rsidRPr="00007309">
        <w:rPr>
          <w:rFonts w:cs="Arial"/>
          <w:b/>
          <w:bCs/>
          <w:sz w:val="24"/>
          <w:szCs w:val="24"/>
          <w:rtl/>
        </w:rPr>
        <w:t xml:space="preserve">וְכֹלָּא בְּרָזָא דְּדִיּוֹקְנָא דְּוָא'ו נָחִית אִקְּרֵי תביר'. </w:t>
      </w:r>
      <w:r w:rsidRPr="00007309">
        <w:rPr>
          <w:rFonts w:cs="Arial"/>
          <w:b/>
          <w:bCs/>
          <w:sz w:val="36"/>
          <w:szCs w:val="28"/>
          <w:vertAlign w:val="superscript"/>
          <w:rtl/>
        </w:rPr>
        <w:footnoteReference w:id="7185"/>
      </w:r>
      <w:r w:rsidRPr="00007309">
        <w:rPr>
          <w:rFonts w:cs="Arial"/>
          <w:b/>
          <w:bCs/>
          <w:sz w:val="24"/>
          <w:szCs w:val="24"/>
          <w:rtl/>
        </w:rPr>
        <w:t xml:space="preserve">וְכַד נָחִית וּקְיָמָא עַל אַתְוָן הָא אִתְּמַר. </w:t>
      </w:r>
      <w:r w:rsidRPr="00007309">
        <w:rPr>
          <w:rFonts w:cs="Arial"/>
          <w:b/>
          <w:bCs/>
          <w:sz w:val="36"/>
          <w:szCs w:val="28"/>
          <w:vertAlign w:val="superscript"/>
          <w:rtl/>
        </w:rPr>
        <w:footnoteReference w:id="7186"/>
      </w:r>
      <w:r w:rsidRPr="00007309">
        <w:rPr>
          <w:rFonts w:cs="Arial"/>
          <w:b/>
          <w:bCs/>
          <w:sz w:val="24"/>
          <w:szCs w:val="24"/>
          <w:rtl/>
        </w:rPr>
        <w:t>וְאִנּוּן שְׁנֵי קִשְׁרִין אָחֳרָנִין דְּקָא אַמַרַ</w:t>
      </w:r>
      <w:r w:rsidRPr="00007309">
        <w:rPr>
          <w:rFonts w:cs="Arial" w:hint="cs"/>
          <w:b/>
          <w:bCs/>
          <w:sz w:val="24"/>
          <w:szCs w:val="24"/>
          <w:rtl/>
        </w:rPr>
        <w:t>ן</w:t>
      </w:r>
      <w:r w:rsidRPr="00007309">
        <w:rPr>
          <w:rFonts w:cs="Arial"/>
          <w:b/>
          <w:bCs/>
          <w:sz w:val="24"/>
          <w:szCs w:val="24"/>
          <w:rtl/>
        </w:rPr>
        <w:t xml:space="preserve"> דְאִשְׁתְּאֲרוּ קַיְּמִין עַל אַתְוָן</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187"/>
      </w:r>
      <w:r w:rsidRPr="00007309">
        <w:rPr>
          <w:rFonts w:cs="Arial"/>
          <w:b/>
          <w:bCs/>
          <w:sz w:val="24"/>
          <w:szCs w:val="24"/>
          <w:rtl/>
        </w:rPr>
        <w:t>וְאִתְפְּשַׁט בּוּצִיצָא בְּרָזָא דְּוָא'ו וְאָחִיד לוֹן</w:t>
      </w:r>
      <w:r w:rsidRPr="00007309">
        <w:rPr>
          <w:rFonts w:cs="Arial" w:hint="cs"/>
          <w:b/>
          <w:bCs/>
          <w:sz w:val="24"/>
          <w:szCs w:val="24"/>
          <w:rtl/>
        </w:rPr>
        <w:t>,</w:t>
      </w:r>
      <w:r w:rsidRPr="00007309">
        <w:rPr>
          <w:rFonts w:cs="Arial"/>
          <w:b/>
          <w:bCs/>
          <w:sz w:val="24"/>
          <w:szCs w:val="24"/>
          <w:rtl/>
        </w:rPr>
        <w:t xml:space="preserve"> וּכְדֵין אִקְּרֵי זָקֵף רַב</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188"/>
      </w:r>
      <w:r w:rsidRPr="00007309">
        <w:rPr>
          <w:rFonts w:cs="Arial"/>
          <w:b/>
          <w:bCs/>
          <w:sz w:val="24"/>
          <w:szCs w:val="24"/>
          <w:rtl/>
        </w:rPr>
        <w:t xml:space="preserve">וְכַד לֹא קַיְּמָא פְּשִׁיטוּ דָּא בְּהַנֵּי תְּרֵי קִשְׁרִין, אִקְּרֵי זְקִיפָא זְעֵיר, </w:t>
      </w:r>
      <w:r w:rsidRPr="00007309">
        <w:rPr>
          <w:rFonts w:cs="Arial"/>
          <w:b/>
          <w:bCs/>
          <w:sz w:val="36"/>
          <w:szCs w:val="28"/>
          <w:vertAlign w:val="superscript"/>
          <w:rtl/>
        </w:rPr>
        <w:footnoteReference w:id="7189"/>
      </w:r>
      <w:r w:rsidRPr="00007309">
        <w:rPr>
          <w:rFonts w:cs="Arial"/>
          <w:b/>
          <w:bCs/>
          <w:sz w:val="24"/>
          <w:szCs w:val="24"/>
          <w:rtl/>
        </w:rPr>
        <w:t>וְאַף עַל גַּב דְּהָא כֹּלָּא בְּרָזָא חֲדָא קַיְּמָא</w:t>
      </w:r>
      <w:r w:rsidRPr="00007309">
        <w:rPr>
          <w:rFonts w:cs="Arial"/>
          <w:b/>
          <w:bCs/>
          <w:sz w:val="24"/>
          <w:szCs w:val="24"/>
        </w:rPr>
        <w:t>:</w:t>
      </w:r>
    </w:p>
    <w:p w:rsidR="00007309" w:rsidRPr="00007309" w:rsidRDefault="00007309" w:rsidP="00007309">
      <w:pPr>
        <w:keepNext/>
        <w:outlineLvl w:val="1"/>
        <w:rPr>
          <w:rFonts w:ascii="Cambria" w:hAnsi="Cambria" w:cs="Times New Roman"/>
          <w:b/>
          <w:bCs/>
          <w:i/>
          <w:iCs/>
          <w:sz w:val="28"/>
          <w:szCs w:val="28"/>
          <w:rtl/>
        </w:rPr>
      </w:pPr>
      <w:r w:rsidRPr="00007309">
        <w:rPr>
          <w:rFonts w:ascii="Cambria" w:hAnsi="Cambria" w:cs="Times New Roman"/>
          <w:b/>
          <w:bCs/>
          <w:i/>
          <w:iCs/>
          <w:sz w:val="28"/>
          <w:szCs w:val="28"/>
          <w:rtl/>
        </w:rPr>
        <w:t>[</w:t>
      </w:r>
      <w:r w:rsidRPr="00007309">
        <w:rPr>
          <w:rFonts w:ascii="Cambria" w:hAnsi="Cambria" w:cs="Times New Roman" w:hint="cs"/>
          <w:b/>
          <w:bCs/>
          <w:i/>
          <w:iCs/>
          <w:sz w:val="28"/>
          <w:szCs w:val="28"/>
          <w:rtl/>
        </w:rPr>
        <w:t>דף</w:t>
      </w:r>
      <w:r w:rsidRPr="00007309">
        <w:rPr>
          <w:rFonts w:ascii="Cambria" w:hAnsi="Cambria" w:cs="Times New Roman"/>
          <w:b/>
          <w:bCs/>
          <w:i/>
          <w:iCs/>
          <w:sz w:val="28"/>
          <w:szCs w:val="28"/>
          <w:rtl/>
        </w:rPr>
        <w:t xml:space="preserve"> </w:t>
      </w:r>
      <w:r w:rsidRPr="00007309">
        <w:rPr>
          <w:rFonts w:ascii="Cambria" w:hAnsi="Cambria" w:cs="Times New Roman" w:hint="cs"/>
          <w:b/>
          <w:bCs/>
          <w:i/>
          <w:iCs/>
          <w:sz w:val="28"/>
          <w:szCs w:val="28"/>
          <w:rtl/>
        </w:rPr>
        <w:t>פ</w:t>
      </w:r>
      <w:r w:rsidRPr="00007309">
        <w:rPr>
          <w:rFonts w:ascii="Cambria" w:hAnsi="Cambria" w:cs="Times New Roman"/>
          <w:b/>
          <w:bCs/>
          <w:i/>
          <w:iCs/>
          <w:sz w:val="28"/>
          <w:szCs w:val="28"/>
          <w:rtl/>
        </w:rPr>
        <w:t xml:space="preserve"> ע"</w:t>
      </w:r>
      <w:r w:rsidRPr="00007309">
        <w:rPr>
          <w:rFonts w:ascii="Cambria" w:hAnsi="Cambria" w:cs="Times New Roman" w:hint="cs"/>
          <w:b/>
          <w:bCs/>
          <w:i/>
          <w:iCs/>
          <w:sz w:val="28"/>
          <w:szCs w:val="28"/>
          <w:rtl/>
        </w:rPr>
        <w:t>ב</w:t>
      </w:r>
      <w:r w:rsidRPr="00007309">
        <w:rPr>
          <w:rFonts w:ascii="Cambria" w:hAnsi="Cambria" w:cs="Times New Roman"/>
          <w:b/>
          <w:bCs/>
          <w:i/>
          <w:iCs/>
          <w:sz w:val="28"/>
          <w:szCs w:val="28"/>
          <w:rtl/>
        </w:rPr>
        <w:t>]</w:t>
      </w:r>
    </w:p>
    <w:p w:rsidR="00007309" w:rsidRPr="00007309" w:rsidRDefault="00007309" w:rsidP="00007309">
      <w:pPr>
        <w:jc w:val="both"/>
        <w:rPr>
          <w:rFonts w:cs="Arial"/>
          <w:b/>
          <w:bCs/>
          <w:sz w:val="24"/>
          <w:szCs w:val="24"/>
        </w:rPr>
      </w:pPr>
      <w:r w:rsidRPr="00007309">
        <w:rPr>
          <w:rFonts w:ascii="Cambria" w:hAnsi="Cambria" w:cs="Times New Roman" w:hint="cs"/>
          <w:b/>
          <w:bCs/>
          <w:i/>
          <w:iCs/>
          <w:color w:val="4F81BD"/>
          <w:sz w:val="24"/>
          <w:szCs w:val="24"/>
          <w:rtl/>
        </w:rPr>
        <w:t xml:space="preserve"> (פ ע"ב)</w:t>
      </w:r>
      <w:r w:rsidRPr="00007309">
        <w:rPr>
          <w:rFonts w:cs="Arial" w:hint="cs"/>
          <w:b/>
          <w:bCs/>
          <w:sz w:val="24"/>
          <w:szCs w:val="24"/>
          <w:rtl/>
        </w:rPr>
        <w:t xml:space="preserve"> </w:t>
      </w:r>
      <w:r w:rsidRPr="00007309">
        <w:rPr>
          <w:rFonts w:cs="Arial"/>
          <w:b/>
          <w:bCs/>
          <w:sz w:val="24"/>
          <w:szCs w:val="24"/>
          <w:rtl/>
        </w:rPr>
        <w:t>וְהַמַּשְׂכִילִים יַזְהִ</w:t>
      </w:r>
      <w:r w:rsidRPr="00007309">
        <w:rPr>
          <w:rFonts w:cs="Arial" w:hint="cs"/>
          <w:b/>
          <w:bCs/>
          <w:sz w:val="24"/>
          <w:szCs w:val="24"/>
          <w:rtl/>
        </w:rPr>
        <w:t>י</w:t>
      </w:r>
      <w:r w:rsidRPr="00007309">
        <w:rPr>
          <w:rFonts w:cs="Arial"/>
          <w:b/>
          <w:bCs/>
          <w:sz w:val="24"/>
          <w:szCs w:val="24"/>
          <w:rtl/>
        </w:rPr>
        <w:t>רוּ</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190"/>
      </w:r>
      <w:r w:rsidRPr="00007309">
        <w:rPr>
          <w:rFonts w:cs="Arial"/>
          <w:b/>
          <w:bCs/>
          <w:sz w:val="24"/>
          <w:szCs w:val="24"/>
          <w:rtl/>
        </w:rPr>
        <w:t>יַעַבְדוּן נִגּוּנָא בְּרָזָא דָּא כַּדְקָא חֲזֵי</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191"/>
      </w:r>
      <w:r w:rsidRPr="00007309">
        <w:rPr>
          <w:rFonts w:cs="Arial"/>
          <w:b/>
          <w:bCs/>
          <w:sz w:val="24"/>
          <w:szCs w:val="24"/>
          <w:rtl/>
        </w:rPr>
        <w:t>יַזְהִ</w:t>
      </w:r>
      <w:r w:rsidRPr="00007309">
        <w:rPr>
          <w:rFonts w:cs="Arial" w:hint="cs"/>
          <w:b/>
          <w:bCs/>
          <w:sz w:val="24"/>
          <w:szCs w:val="24"/>
          <w:rtl/>
        </w:rPr>
        <w:t>י</w:t>
      </w:r>
      <w:r w:rsidRPr="00007309">
        <w:rPr>
          <w:rFonts w:cs="Arial"/>
          <w:b/>
          <w:bCs/>
          <w:sz w:val="24"/>
          <w:szCs w:val="24"/>
          <w:rtl/>
        </w:rPr>
        <w:t>רוּ לְעֵלָּא יַזְהִ</w:t>
      </w:r>
      <w:r w:rsidRPr="00007309">
        <w:rPr>
          <w:rFonts w:cs="Arial" w:hint="cs"/>
          <w:b/>
          <w:bCs/>
          <w:sz w:val="24"/>
          <w:szCs w:val="24"/>
          <w:rtl/>
        </w:rPr>
        <w:t>י</w:t>
      </w:r>
      <w:r w:rsidRPr="00007309">
        <w:rPr>
          <w:rFonts w:cs="Arial"/>
          <w:b/>
          <w:bCs/>
          <w:sz w:val="24"/>
          <w:szCs w:val="24"/>
          <w:rtl/>
        </w:rPr>
        <w:t>רוּ לְתַתָּא, לְקַיְּמָא קִיּוּמָא דְּרָזָא דִּמְהֵמְנוּתָא, וְסָמְכִין לָהּ וְנַהֲרִין לָהּ. יַזְהִ</w:t>
      </w:r>
      <w:r w:rsidRPr="00007309">
        <w:rPr>
          <w:rFonts w:cs="Arial" w:hint="cs"/>
          <w:b/>
          <w:bCs/>
          <w:sz w:val="24"/>
          <w:szCs w:val="24"/>
          <w:rtl/>
        </w:rPr>
        <w:t>י</w:t>
      </w:r>
      <w:r w:rsidRPr="00007309">
        <w:rPr>
          <w:rFonts w:cs="Arial"/>
          <w:b/>
          <w:bCs/>
          <w:sz w:val="24"/>
          <w:szCs w:val="24"/>
          <w:rtl/>
        </w:rPr>
        <w:t>רוּ בְּהַהוּא נִגּוּנָא</w:t>
      </w:r>
      <w:r w:rsidRPr="00007309">
        <w:rPr>
          <w:rFonts w:cs="Arial" w:hint="cs"/>
          <w:b/>
          <w:bCs/>
          <w:sz w:val="24"/>
          <w:szCs w:val="24"/>
          <w:rtl/>
        </w:rPr>
        <w:t>,</w:t>
      </w:r>
      <w:r w:rsidRPr="00007309">
        <w:rPr>
          <w:rFonts w:cs="Arial"/>
          <w:b/>
          <w:bCs/>
          <w:sz w:val="24"/>
          <w:szCs w:val="24"/>
          <w:rtl/>
        </w:rPr>
        <w:t xml:space="preserve"> רוּחָא בָּתַר רוּחָא וּנְעִימוּ דָּא בָּתַר דָּא. </w:t>
      </w:r>
      <w:r w:rsidRPr="00007309">
        <w:rPr>
          <w:rFonts w:cs="Arial"/>
          <w:b/>
          <w:bCs/>
          <w:sz w:val="36"/>
          <w:szCs w:val="28"/>
          <w:vertAlign w:val="superscript"/>
          <w:rtl/>
        </w:rPr>
        <w:footnoteReference w:id="7192"/>
      </w:r>
      <w:r w:rsidRPr="00007309">
        <w:rPr>
          <w:rFonts w:cs="Arial"/>
          <w:b/>
          <w:bCs/>
          <w:sz w:val="24"/>
          <w:szCs w:val="24"/>
          <w:rtl/>
        </w:rPr>
        <w:t>כַּד מִתְחַבְּרָן כֹּלָּא בְּרָזָא דָּא, מִשְׁחָתָא סָלִיק כְּחֻשְׁבָּן יַזְהִ</w:t>
      </w:r>
      <w:r w:rsidRPr="00007309">
        <w:rPr>
          <w:rFonts w:cs="Arial" w:hint="cs"/>
          <w:b/>
          <w:bCs/>
          <w:sz w:val="24"/>
          <w:szCs w:val="24"/>
          <w:rtl/>
        </w:rPr>
        <w:t>י</w:t>
      </w:r>
      <w:r w:rsidRPr="00007309">
        <w:rPr>
          <w:rFonts w:cs="Arial"/>
          <w:b/>
          <w:bCs/>
          <w:sz w:val="24"/>
          <w:szCs w:val="24"/>
          <w:rtl/>
        </w:rPr>
        <w:t>רוּ. בְּגִין דְּהַאי יַזְהִ</w:t>
      </w:r>
      <w:r w:rsidRPr="00007309">
        <w:rPr>
          <w:rFonts w:cs="Arial" w:hint="cs"/>
          <w:b/>
          <w:bCs/>
          <w:sz w:val="24"/>
          <w:szCs w:val="24"/>
          <w:rtl/>
        </w:rPr>
        <w:t>י</w:t>
      </w:r>
      <w:r w:rsidRPr="00007309">
        <w:rPr>
          <w:rFonts w:cs="Arial"/>
          <w:b/>
          <w:bCs/>
          <w:sz w:val="24"/>
          <w:szCs w:val="24"/>
          <w:rtl/>
        </w:rPr>
        <w:t xml:space="preserve">רוּ הוּא כְּחֻשְׁבָּן רל"ח, דְּהַנֵּי רוּחֵי וּתְנוּעֵי לְנַגְּנָא לְאִתְפַּשְּׁטָא בּוּצִינָא בְּכֻלְּהוּ נְהוֹרִין, גּוֹ מִשְׁחָתָא לְאִסְתְּמָכָא אוֹרַיְתָא. </w:t>
      </w:r>
      <w:r w:rsidRPr="00007309">
        <w:rPr>
          <w:rFonts w:cs="Arial"/>
          <w:b/>
          <w:bCs/>
          <w:sz w:val="36"/>
          <w:szCs w:val="28"/>
          <w:vertAlign w:val="superscript"/>
          <w:rtl/>
        </w:rPr>
        <w:footnoteReference w:id="7193"/>
      </w:r>
      <w:r w:rsidRPr="00007309">
        <w:rPr>
          <w:rFonts w:cs="Arial"/>
          <w:b/>
          <w:bCs/>
          <w:sz w:val="24"/>
          <w:szCs w:val="24"/>
          <w:rtl/>
        </w:rPr>
        <w:t xml:space="preserve">וּבְגִין דָּא יַזְהִרוּ </w:t>
      </w:r>
      <w:r w:rsidRPr="00007309">
        <w:rPr>
          <w:rFonts w:cs="Arial"/>
          <w:b/>
          <w:bCs/>
          <w:sz w:val="36"/>
          <w:szCs w:val="28"/>
          <w:vertAlign w:val="superscript"/>
          <w:rtl/>
        </w:rPr>
        <w:footnoteReference w:id="7194"/>
      </w:r>
      <w:r w:rsidRPr="00007309">
        <w:rPr>
          <w:rFonts w:cs="Arial"/>
          <w:b/>
          <w:bCs/>
          <w:sz w:val="24"/>
          <w:szCs w:val="24"/>
          <w:rtl/>
        </w:rPr>
        <w:t>כְּז</w:t>
      </w:r>
      <w:r w:rsidRPr="00007309">
        <w:rPr>
          <w:rFonts w:cs="Arial" w:hint="cs"/>
          <w:b/>
          <w:bCs/>
          <w:sz w:val="24"/>
          <w:szCs w:val="24"/>
          <w:rtl/>
        </w:rPr>
        <w:t>ו</w:t>
      </w:r>
      <w:r w:rsidRPr="00007309">
        <w:rPr>
          <w:rFonts w:cs="Arial"/>
          <w:b/>
          <w:bCs/>
          <w:sz w:val="24"/>
          <w:szCs w:val="24"/>
          <w:rtl/>
        </w:rPr>
        <w:t>ֹהַ"ר</w:t>
      </w:r>
      <w:r w:rsidRPr="00007309">
        <w:rPr>
          <w:rFonts w:cs="Arial" w:hint="cs"/>
          <w:b/>
          <w:bCs/>
          <w:sz w:val="24"/>
          <w:szCs w:val="24"/>
          <w:rtl/>
        </w:rPr>
        <w:t>,</w:t>
      </w:r>
      <w:r w:rsidRPr="00007309">
        <w:rPr>
          <w:rFonts w:cs="Arial"/>
          <w:b/>
          <w:bCs/>
          <w:sz w:val="24"/>
          <w:szCs w:val="24"/>
          <w:rtl/>
        </w:rPr>
        <w:t xml:space="preserve"> הָכֵי הוּא לְחֻשְׁבָּנָא יַזְהִיר"ו. </w:t>
      </w:r>
      <w:r w:rsidRPr="00007309">
        <w:rPr>
          <w:rFonts w:cs="Arial"/>
          <w:b/>
          <w:bCs/>
          <w:sz w:val="36"/>
          <w:szCs w:val="28"/>
          <w:vertAlign w:val="superscript"/>
          <w:rtl/>
        </w:rPr>
        <w:footnoteReference w:id="7195"/>
      </w:r>
      <w:r w:rsidRPr="00007309">
        <w:rPr>
          <w:rFonts w:cs="Arial"/>
          <w:b/>
          <w:bCs/>
          <w:sz w:val="24"/>
          <w:szCs w:val="24"/>
          <w:rtl/>
        </w:rPr>
        <w:t>יַזְהִ</w:t>
      </w:r>
      <w:r w:rsidRPr="00007309">
        <w:rPr>
          <w:rFonts w:cs="Arial" w:hint="cs"/>
          <w:b/>
          <w:bCs/>
          <w:sz w:val="24"/>
          <w:szCs w:val="24"/>
          <w:rtl/>
        </w:rPr>
        <w:t>י</w:t>
      </w:r>
      <w:r w:rsidRPr="00007309">
        <w:rPr>
          <w:rFonts w:cs="Arial"/>
          <w:b/>
          <w:bCs/>
          <w:sz w:val="24"/>
          <w:szCs w:val="24"/>
          <w:rtl/>
        </w:rPr>
        <w:t>רוּ כְּז</w:t>
      </w:r>
      <w:r w:rsidRPr="00007309">
        <w:rPr>
          <w:rFonts w:cs="Arial" w:hint="cs"/>
          <w:b/>
          <w:bCs/>
          <w:sz w:val="24"/>
          <w:szCs w:val="24"/>
          <w:rtl/>
        </w:rPr>
        <w:t>ו</w:t>
      </w:r>
      <w:r w:rsidRPr="00007309">
        <w:rPr>
          <w:rFonts w:cs="Arial"/>
          <w:b/>
          <w:bCs/>
          <w:sz w:val="24"/>
          <w:szCs w:val="24"/>
          <w:rtl/>
        </w:rPr>
        <w:t xml:space="preserve">ֹהַר חַד הוּא. מַה בֵּין הַאי לְהַאי. </w:t>
      </w:r>
      <w:r w:rsidRPr="00007309">
        <w:rPr>
          <w:rFonts w:cs="Arial"/>
          <w:b/>
          <w:bCs/>
          <w:sz w:val="36"/>
          <w:szCs w:val="28"/>
          <w:vertAlign w:val="superscript"/>
          <w:rtl/>
        </w:rPr>
        <w:footnoteReference w:id="7196"/>
      </w:r>
      <w:r w:rsidRPr="00007309">
        <w:rPr>
          <w:rFonts w:cs="Arial"/>
          <w:b/>
          <w:bCs/>
          <w:sz w:val="24"/>
          <w:szCs w:val="24"/>
          <w:rtl/>
        </w:rPr>
        <w:t>אֶלָּא כְּמָה דְּאִתְּמַר דִּרְקִיעָא עִלָּאָה סְתִימָאָה עַל כֹּלָּא, מִשְׁחָתָא גּוֹ בּוּצִינָא דְּקַיְּמָא בְּהַאי רָקִיעַ, בְּכֻלְּהוּ מִשְׁחָתֵי דְּחֵיוָן קַדִּישִׁין עִלָּאִין וְתַתָּאִין</w:t>
      </w:r>
      <w:r w:rsidRPr="00007309">
        <w:rPr>
          <w:rFonts w:cs="Arial" w:hint="cs"/>
          <w:b/>
          <w:bCs/>
          <w:sz w:val="24"/>
          <w:szCs w:val="24"/>
          <w:rtl/>
        </w:rPr>
        <w:t>,</w:t>
      </w:r>
      <w:r w:rsidRPr="00007309">
        <w:rPr>
          <w:rFonts w:cs="Arial"/>
          <w:b/>
          <w:bCs/>
          <w:sz w:val="24"/>
          <w:szCs w:val="24"/>
          <w:rtl/>
        </w:rPr>
        <w:t xml:space="preserve"> וּבְגִין כָּךְ יַזְהִרוּ כְּזֹהַר בְּכָל אִנּוּן חֵיוָן עִלָּאִין וְתַתָּאִין</w:t>
      </w:r>
      <w:r w:rsidRPr="00007309">
        <w:rPr>
          <w:rFonts w:cs="Arial" w:hint="cs"/>
          <w:b/>
          <w:bCs/>
          <w:sz w:val="24"/>
          <w:szCs w:val="24"/>
          <w:rtl/>
        </w:rPr>
        <w:t>,</w:t>
      </w:r>
      <w:r w:rsidRPr="00007309">
        <w:rPr>
          <w:rFonts w:cs="Arial"/>
          <w:b/>
          <w:bCs/>
          <w:sz w:val="24"/>
          <w:szCs w:val="24"/>
          <w:rtl/>
        </w:rPr>
        <w:t xml:space="preserve"> כְּזֹהַר בְּהַהוּא רָקִיעַ דְּקַיְּמָא עָלַיְהוּ, וְכֹלָּא דָּא לָקֳבֵל דָּא. </w:t>
      </w:r>
      <w:r w:rsidRPr="00007309">
        <w:rPr>
          <w:rFonts w:cs="Arial"/>
          <w:b/>
          <w:bCs/>
          <w:sz w:val="36"/>
          <w:szCs w:val="28"/>
          <w:vertAlign w:val="superscript"/>
          <w:rtl/>
        </w:rPr>
        <w:footnoteReference w:id="7197"/>
      </w:r>
      <w:r w:rsidRPr="00007309">
        <w:rPr>
          <w:rFonts w:cs="Arial"/>
          <w:b/>
          <w:bCs/>
          <w:sz w:val="24"/>
          <w:szCs w:val="24"/>
          <w:rtl/>
        </w:rPr>
        <w:t>וְסִימָנָא דְּכָל רָזִין אִלֵּין בְּהַאי קַיְּמָא יַזְהִרוּ כְּזֹהַר</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198"/>
      </w:r>
      <w:r w:rsidRPr="00007309">
        <w:rPr>
          <w:rFonts w:cs="Arial"/>
          <w:b/>
          <w:bCs/>
          <w:sz w:val="24"/>
          <w:szCs w:val="24"/>
          <w:rtl/>
        </w:rPr>
        <w:t>סִימָנָא דָּא וְרָזָא דָּא לָא אִתְיְהִיב אֶלָּא לְמָארֵי מִדִּין דְּיַדְעֵי בְּרָזָא דָּא דְּבּוּצִינָא. זַכָּאִין אִנּוּן צַדִּיקַיָּא בְּעָלְמָא דֵּין וּבְעָלְמָא דְּאָתֵי</w:t>
      </w:r>
      <w:r w:rsidRPr="00007309">
        <w:rPr>
          <w:rFonts w:cs="Arial"/>
          <w:b/>
          <w:bCs/>
          <w:sz w:val="24"/>
          <w:szCs w:val="24"/>
        </w:rPr>
        <w:t>:</w:t>
      </w:r>
    </w:p>
    <w:p w:rsidR="00007309" w:rsidRPr="00007309" w:rsidRDefault="00007309" w:rsidP="00007309">
      <w:pPr>
        <w:keepNext/>
        <w:spacing w:before="240" w:after="60"/>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[וילנא כג ע"א]</w:t>
      </w:r>
    </w:p>
    <w:p w:rsidR="00007309" w:rsidRPr="00007309" w:rsidRDefault="00007309" w:rsidP="00007309">
      <w:pPr>
        <w:jc w:val="both"/>
        <w:rPr>
          <w:rFonts w:cs="Arial"/>
          <w:b/>
          <w:bCs/>
          <w:sz w:val="24"/>
          <w:szCs w:val="24"/>
          <w:rtl/>
        </w:rPr>
      </w:pPr>
      <w:r w:rsidRPr="00007309">
        <w:rPr>
          <w:rFonts w:ascii="Cambria" w:hAnsi="Cambria" w:cs="Times New Roman" w:hint="cs"/>
          <w:b/>
          <w:bCs/>
          <w:i/>
          <w:iCs/>
          <w:color w:val="4F81BD"/>
          <w:sz w:val="24"/>
          <w:szCs w:val="24"/>
          <w:rtl/>
        </w:rPr>
        <w:t xml:space="preserve"> (וילנא כג ע"א)</w:t>
      </w:r>
      <w:r w:rsidRPr="00007309">
        <w:rPr>
          <w:rFonts w:cs="Arial" w:hint="cs"/>
          <w:b/>
          <w:bCs/>
          <w:sz w:val="24"/>
          <w:szCs w:val="24"/>
          <w:rtl/>
        </w:rPr>
        <w:t xml:space="preserve"> </w:t>
      </w:r>
      <w:r w:rsidRPr="00007309">
        <w:rPr>
          <w:rFonts w:cs="Arial"/>
          <w:b/>
          <w:bCs/>
          <w:sz w:val="24"/>
          <w:szCs w:val="24"/>
          <w:rtl/>
        </w:rPr>
        <w:t>תָּא חֲזֵי</w:t>
      </w:r>
      <w:r w:rsidRPr="00007309">
        <w:rPr>
          <w:rFonts w:cs="Arial" w:hint="cs"/>
          <w:b/>
          <w:bCs/>
          <w:sz w:val="24"/>
          <w:szCs w:val="24"/>
          <w:rtl/>
        </w:rPr>
        <w:t>,</w:t>
      </w:r>
      <w:r w:rsidRPr="00007309">
        <w:rPr>
          <w:rFonts w:cs="Arial"/>
          <w:b/>
          <w:bCs/>
          <w:sz w:val="24"/>
          <w:szCs w:val="24"/>
          <w:rtl/>
        </w:rPr>
        <w:t xml:space="preserve"> וְהַמַּשְׂכִּילִים יַזְהִרוּ וְכוּ'. וְהַמַּשְׂכִּילִים יַזְהִרוּ אִלֵּין אִנּוּן דְּמִסְתַּכְּלֵי בְּרָזָא דְּחָכְמְתָא</w:t>
      </w:r>
      <w:r w:rsidRPr="00007309">
        <w:rPr>
          <w:rFonts w:cs="Arial" w:hint="cs"/>
          <w:b/>
          <w:bCs/>
          <w:sz w:val="24"/>
          <w:szCs w:val="24"/>
          <w:rtl/>
        </w:rPr>
        <w:t>,</w:t>
      </w:r>
      <w:r w:rsidRPr="00007309">
        <w:rPr>
          <w:rFonts w:cs="Arial"/>
          <w:b/>
          <w:bCs/>
          <w:sz w:val="24"/>
          <w:szCs w:val="24"/>
          <w:rtl/>
        </w:rPr>
        <w:t xml:space="preserve"> בְּסִתְרֵי רָזִין דְּאוֹרַיְתָא</w:t>
      </w:r>
      <w:r w:rsidRPr="00007309">
        <w:rPr>
          <w:rFonts w:cs="Arial" w:hint="cs"/>
          <w:b/>
          <w:bCs/>
          <w:sz w:val="24"/>
          <w:szCs w:val="24"/>
          <w:rtl/>
        </w:rPr>
        <w:t>.</w:t>
      </w:r>
      <w:r w:rsidRPr="00007309">
        <w:rPr>
          <w:rFonts w:cs="Arial"/>
          <w:b/>
          <w:bCs/>
          <w:sz w:val="24"/>
          <w:szCs w:val="24"/>
          <w:rtl/>
        </w:rPr>
        <w:t xml:space="preserve"> אִלֵּין צַדִּיקַיָּא דְּעָבְדִין רְעוּתָא דְּמָארֵיהוֹן</w:t>
      </w:r>
      <w:r w:rsidRPr="00007309">
        <w:rPr>
          <w:rFonts w:cs="Arial" w:hint="cs"/>
          <w:b/>
          <w:bCs/>
          <w:sz w:val="24"/>
          <w:szCs w:val="24"/>
          <w:rtl/>
        </w:rPr>
        <w:t>,</w:t>
      </w:r>
      <w:r w:rsidRPr="00007309">
        <w:rPr>
          <w:rFonts w:cs="Arial"/>
          <w:b/>
          <w:bCs/>
          <w:sz w:val="24"/>
          <w:szCs w:val="24"/>
          <w:rtl/>
        </w:rPr>
        <w:t xml:space="preserve"> וּמִשְׁתַּדְּלֵי בְּאוֹרַיְתָא יְמָמָא וְלֵילֵי. וְאִלֵּין אִנּוּן מַשְׂכִּילִים</w:t>
      </w:r>
      <w:r w:rsidRPr="00007309">
        <w:rPr>
          <w:rFonts w:cs="Arial" w:hint="cs"/>
          <w:b/>
          <w:bCs/>
          <w:sz w:val="24"/>
          <w:szCs w:val="24"/>
          <w:rtl/>
        </w:rPr>
        <w:t>,</w:t>
      </w:r>
      <w:r w:rsidRPr="00007309">
        <w:rPr>
          <w:rFonts w:cs="Arial"/>
          <w:b/>
          <w:bCs/>
          <w:sz w:val="24"/>
          <w:szCs w:val="24"/>
          <w:rtl/>
        </w:rPr>
        <w:t xml:space="preserve"> דְּאִנּוּן מַשְׂכִּילִים בִּרְעוּתָא דְּמָארֵיהוֹן תָּדִיר</w:t>
      </w:r>
      <w:r w:rsidRPr="00007309">
        <w:rPr>
          <w:rFonts w:cs="Arial" w:hint="cs"/>
          <w:b/>
          <w:bCs/>
          <w:sz w:val="24"/>
          <w:szCs w:val="24"/>
          <w:rtl/>
        </w:rPr>
        <w:t>,</w:t>
      </w:r>
      <w:r w:rsidRPr="00007309">
        <w:rPr>
          <w:rFonts w:cs="Arial"/>
          <w:b/>
          <w:bCs/>
          <w:sz w:val="24"/>
          <w:szCs w:val="24"/>
          <w:rtl/>
        </w:rPr>
        <w:t xml:space="preserve"> וְהָא אוֹקִימְנָא דְּלֵית דַּרְגָּא כְּדַרְגָּא דִּידְהוּ. בְּגִין כָּךְ כָּל אִנּוּן דְּמִשְׁתַּדְּלֵי בְּאוֹרַיְתָא אִקְּרוּן מַשְׂכִּילִים</w:t>
      </w:r>
      <w:r w:rsidRPr="00007309">
        <w:rPr>
          <w:rFonts w:cs="Arial" w:hint="cs"/>
          <w:b/>
          <w:bCs/>
          <w:sz w:val="24"/>
          <w:szCs w:val="24"/>
          <w:rtl/>
        </w:rPr>
        <w:t>.</w:t>
      </w:r>
      <w:r w:rsidRPr="00007309">
        <w:rPr>
          <w:rFonts w:cs="Arial"/>
          <w:b/>
          <w:bCs/>
          <w:sz w:val="24"/>
          <w:szCs w:val="24"/>
          <w:rtl/>
        </w:rPr>
        <w:t xml:space="preserve"> מִסְתַּכְּלָן בְּחָכְמְתָא</w:t>
      </w:r>
      <w:r w:rsidRPr="00007309">
        <w:rPr>
          <w:rFonts w:cs="Arial" w:hint="cs"/>
          <w:b/>
          <w:bCs/>
          <w:sz w:val="24"/>
          <w:szCs w:val="24"/>
          <w:rtl/>
        </w:rPr>
        <w:t>,</w:t>
      </w:r>
      <w:r w:rsidRPr="00007309">
        <w:rPr>
          <w:rFonts w:cs="Arial"/>
          <w:b/>
          <w:bCs/>
          <w:sz w:val="24"/>
          <w:szCs w:val="24"/>
          <w:rtl/>
        </w:rPr>
        <w:t xml:space="preserve"> מִסְתַּכְּלָאָן בְּרָזָא דְּחָכְמְתָא עִלָּאָה</w:t>
      </w:r>
      <w:r w:rsidRPr="00007309">
        <w:rPr>
          <w:rFonts w:cs="Arial" w:hint="cs"/>
          <w:b/>
          <w:bCs/>
          <w:sz w:val="24"/>
          <w:szCs w:val="24"/>
          <w:rtl/>
        </w:rPr>
        <w:t>,</w:t>
      </w:r>
      <w:r w:rsidRPr="00007309">
        <w:rPr>
          <w:rFonts w:cs="Arial"/>
          <w:b/>
          <w:bCs/>
          <w:sz w:val="24"/>
          <w:szCs w:val="24"/>
          <w:rtl/>
        </w:rPr>
        <w:t xml:space="preserve"> אֵין סוֹף אִתְפְּשַׁט נְהִירוּ סָתִים דְּלָא יְדִיעַ, וְהַאי נָפְקָא </w:t>
      </w:r>
      <w:r w:rsidRPr="00007309">
        <w:rPr>
          <w:rFonts w:cs="Arial" w:hint="cs"/>
          <w:b/>
          <w:bCs/>
          <w:sz w:val="24"/>
          <w:szCs w:val="24"/>
          <w:rtl/>
        </w:rPr>
        <w:t>ד</w:t>
      </w:r>
      <w:r w:rsidRPr="00007309">
        <w:rPr>
          <w:rFonts w:cs="Arial"/>
          <w:b/>
          <w:bCs/>
          <w:sz w:val="24"/>
          <w:szCs w:val="24"/>
          <w:rtl/>
        </w:rPr>
        <w:t xml:space="preserve">אֵין סוֹף קַיְּמָא לְקַיְּמָא. </w:t>
      </w:r>
    </w:p>
    <w:p w:rsidR="00007309" w:rsidRPr="00007309" w:rsidRDefault="00007309" w:rsidP="00007309">
      <w:pPr>
        <w:keepNext/>
        <w:spacing w:before="240" w:after="60"/>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[וילנא כג ע"ב]</w:t>
      </w:r>
    </w:p>
    <w:p w:rsidR="00007309" w:rsidRPr="00007309" w:rsidRDefault="00007309" w:rsidP="00007309">
      <w:pPr>
        <w:jc w:val="both"/>
        <w:rPr>
          <w:rFonts w:cs="Arial"/>
          <w:b/>
          <w:bCs/>
          <w:sz w:val="24"/>
          <w:szCs w:val="24"/>
          <w:rtl/>
        </w:rPr>
      </w:pPr>
      <w:r w:rsidRPr="00007309">
        <w:rPr>
          <w:rFonts w:cs="Arial"/>
          <w:b/>
          <w:bCs/>
          <w:sz w:val="24"/>
          <w:szCs w:val="24"/>
          <w:rtl/>
        </w:rPr>
        <w:t>וְהַמַּשְׂכִּילִים יַזְהִרוּ כְּזֹהַר הָרָקִיעַ, אִלֵּין אִנּוּן דְּמִסְתַּכְּלֵי בְּרָזָא דְּחָכְמְתָא, בְּסִתְרֵי בְּרָזָא דְּאוֹרַיְתָא</w:t>
      </w:r>
      <w:r w:rsidRPr="00007309">
        <w:rPr>
          <w:rFonts w:cs="Arial" w:hint="cs"/>
          <w:b/>
          <w:bCs/>
          <w:sz w:val="24"/>
          <w:szCs w:val="24"/>
          <w:rtl/>
        </w:rPr>
        <w:t>,</w:t>
      </w:r>
      <w:r w:rsidRPr="00007309">
        <w:rPr>
          <w:rFonts w:cs="Arial"/>
          <w:b/>
          <w:bCs/>
          <w:sz w:val="24"/>
          <w:szCs w:val="24"/>
          <w:rtl/>
        </w:rPr>
        <w:t xml:space="preserve"> אִלֵּין אִנּוּן דְּיָדְעִי בְּרָזָא דְּרָזִין, וּמִסְתַּכְּלָן וְתֶחֱזוּ לְאִזְדַּהֲרָא בְּהַהוּא זְהִירוּ דְּנָגִיד וְנָפִיק</w:t>
      </w:r>
      <w:r w:rsidRPr="00007309">
        <w:rPr>
          <w:rFonts w:cs="Arial" w:hint="cs"/>
          <w:b/>
          <w:bCs/>
          <w:sz w:val="24"/>
          <w:szCs w:val="24"/>
          <w:rtl/>
        </w:rPr>
        <w:t>,</w:t>
      </w:r>
      <w:r w:rsidRPr="00007309">
        <w:rPr>
          <w:rFonts w:cs="Arial"/>
          <w:b/>
          <w:bCs/>
          <w:sz w:val="24"/>
          <w:szCs w:val="24"/>
          <w:rtl/>
        </w:rPr>
        <w:t xml:space="preserve"> וְקַיְּמֵי בְּרָזֵי דְּאוֹרַיְתָא, וְיָדְעֵי לְאִסְתַּכְּלָא בְּסִתְרָהָא. כְּזֹהַר הָרָקִיעַ, דָּא אִיהוּ רְקִיעָא דְּקָאִים לְאַנְהֲרָא לְתַתָּא, וְאִתְעַטַר לְעֵלָּא וְנָהִיר לְתַתָּא. וְהַהוּא זֹהַר נָגִיד וְאִתְמְשַׁךְ לְתַתָּאֵי</w:t>
      </w:r>
      <w:r w:rsidRPr="00007309">
        <w:rPr>
          <w:rFonts w:cs="Arial" w:hint="cs"/>
          <w:b/>
          <w:bCs/>
          <w:sz w:val="24"/>
          <w:szCs w:val="24"/>
          <w:rtl/>
        </w:rPr>
        <w:t>,</w:t>
      </w:r>
      <w:r w:rsidRPr="00007309">
        <w:rPr>
          <w:rFonts w:cs="Arial"/>
          <w:b/>
          <w:bCs/>
          <w:sz w:val="24"/>
          <w:szCs w:val="24"/>
          <w:rtl/>
        </w:rPr>
        <w:t xml:space="preserve"> וּמֵהַהוּא זֹהַר </w:t>
      </w:r>
      <w:r w:rsidRPr="00007309">
        <w:rPr>
          <w:rFonts w:ascii="Cambria" w:hAnsi="Cambria" w:cs="Times New Roman" w:hint="cs"/>
          <w:b/>
          <w:bCs/>
          <w:i/>
          <w:iCs/>
          <w:color w:val="4F81BD"/>
          <w:sz w:val="24"/>
          <w:szCs w:val="24"/>
          <w:rtl/>
        </w:rPr>
        <w:t>(וילנא כג ע"ב)</w:t>
      </w:r>
      <w:r w:rsidRPr="00007309">
        <w:rPr>
          <w:rFonts w:cs="Arial" w:hint="cs"/>
          <w:b/>
          <w:bCs/>
          <w:sz w:val="24"/>
          <w:szCs w:val="24"/>
          <w:rtl/>
        </w:rPr>
        <w:t xml:space="preserve"> </w:t>
      </w:r>
      <w:r w:rsidRPr="00007309">
        <w:rPr>
          <w:rFonts w:cs="Arial"/>
          <w:b/>
          <w:bCs/>
          <w:sz w:val="24"/>
          <w:szCs w:val="24"/>
          <w:rtl/>
        </w:rPr>
        <w:t>אִתְּזָנוּ, וְקַיְּמֵי בְּקִיּוּמַיְהוּ</w:t>
      </w:r>
      <w:r w:rsidRPr="00007309">
        <w:rPr>
          <w:rFonts w:cs="Arial" w:hint="cs"/>
          <w:b/>
          <w:bCs/>
          <w:sz w:val="24"/>
          <w:szCs w:val="24"/>
          <w:rtl/>
        </w:rPr>
        <w:t>,</w:t>
      </w:r>
      <w:r w:rsidRPr="00007309">
        <w:rPr>
          <w:rFonts w:cs="Arial"/>
          <w:b/>
          <w:bCs/>
          <w:sz w:val="24"/>
          <w:szCs w:val="24"/>
          <w:rtl/>
        </w:rPr>
        <w:t xml:space="preserve"> וְאָזְלֵי וְשָׁאטָן וְנַצְּחֵי גִּבּוֹרֵי שְׁמַיָּא</w:t>
      </w:r>
      <w:r w:rsidRPr="00007309">
        <w:rPr>
          <w:rFonts w:cs="Arial" w:hint="cs"/>
          <w:b/>
          <w:bCs/>
          <w:sz w:val="24"/>
          <w:szCs w:val="24"/>
          <w:rtl/>
        </w:rPr>
        <w:t>,</w:t>
      </w:r>
      <w:r w:rsidRPr="00007309">
        <w:rPr>
          <w:rFonts w:cs="Arial"/>
          <w:b/>
          <w:bCs/>
          <w:sz w:val="24"/>
          <w:szCs w:val="24"/>
          <w:rtl/>
        </w:rPr>
        <w:t xml:space="preserve"> וְדַיְּנֵי גְּבוּרְתֵּי טְסִיסִין. וּמַצְדִּיקֵי הָרַבִּים כַּכּוֹכָבִים לְעוֹלָם וָעֶד. כַּד נָהֲרִין כּוֹכָבַיָּא בִּנְהִירוּ דְּנָצִיץ</w:t>
      </w:r>
      <w:r w:rsidRPr="00007309">
        <w:rPr>
          <w:rFonts w:cs="Arial" w:hint="cs"/>
          <w:b/>
          <w:bCs/>
          <w:sz w:val="24"/>
          <w:szCs w:val="24"/>
          <w:rtl/>
        </w:rPr>
        <w:t>,</w:t>
      </w:r>
      <w:r w:rsidRPr="00007309">
        <w:rPr>
          <w:rFonts w:cs="Arial"/>
          <w:b/>
          <w:bCs/>
          <w:sz w:val="24"/>
          <w:szCs w:val="24"/>
          <w:rtl/>
        </w:rPr>
        <w:t xml:space="preserve"> וְנָטְלֵי בְּמַטְלָנוֹי לְאִתְנַהֲרָא מִגּוֹ דַּרְגִּין יְדִיעָאָן, כּוֹכָבָא דְּנָהִיר מִסְּטָר דְּמִזְרָח</w:t>
      </w:r>
      <w:r w:rsidRPr="00007309">
        <w:rPr>
          <w:rFonts w:cs="Arial" w:hint="cs"/>
          <w:b/>
          <w:bCs/>
          <w:sz w:val="24"/>
          <w:szCs w:val="24"/>
          <w:rtl/>
        </w:rPr>
        <w:t>,</w:t>
      </w:r>
      <w:r w:rsidRPr="00007309">
        <w:rPr>
          <w:rFonts w:cs="Arial"/>
          <w:b/>
          <w:bCs/>
          <w:sz w:val="24"/>
          <w:szCs w:val="24"/>
          <w:rtl/>
        </w:rPr>
        <w:t xml:space="preserve"> כַּמָּה אִנּוּן מַשִּׁרְיָן מולגן קַיְּמָאן בְּקִסְטוֹרַיְהוּ. הַאי כּוֹכָבָא נָצִיץ תְּלָת זִמְנֵי</w:t>
      </w:r>
      <w:r w:rsidRPr="00007309">
        <w:rPr>
          <w:rFonts w:cs="Arial" w:hint="cs"/>
          <w:b/>
          <w:bCs/>
          <w:sz w:val="24"/>
          <w:szCs w:val="24"/>
          <w:rtl/>
        </w:rPr>
        <w:t>,</w:t>
      </w:r>
      <w:r w:rsidRPr="00007309">
        <w:rPr>
          <w:rFonts w:cs="Arial"/>
          <w:b/>
          <w:bCs/>
          <w:sz w:val="24"/>
          <w:szCs w:val="24"/>
          <w:rtl/>
        </w:rPr>
        <w:t xml:space="preserve"> וּבָטַשׁ נְצִיצוּ דִּילֵהּ בִּרְבִיעָתָא</w:t>
      </w:r>
      <w:r w:rsidRPr="00007309">
        <w:rPr>
          <w:rFonts w:cs="Arial" w:hint="cs"/>
          <w:b/>
          <w:bCs/>
          <w:sz w:val="24"/>
          <w:szCs w:val="24"/>
          <w:rtl/>
        </w:rPr>
        <w:t>,</w:t>
      </w:r>
      <w:r w:rsidRPr="00007309">
        <w:rPr>
          <w:rFonts w:cs="Arial"/>
          <w:b/>
          <w:bCs/>
          <w:sz w:val="24"/>
          <w:szCs w:val="24"/>
          <w:rtl/>
        </w:rPr>
        <w:t xml:space="preserve"> לְקַבְּלָא נְצִיצוּ דְּחַד קִטְרָא וְטַהֲרוּרָא דְּקַיְּמָא לְעֵלָּא. וּבָתַר</w:t>
      </w:r>
      <w:r w:rsidRPr="00007309">
        <w:rPr>
          <w:rFonts w:cs="Arial"/>
          <w:b/>
          <w:bCs/>
          <w:sz w:val="24"/>
          <w:szCs w:val="24"/>
        </w:rPr>
        <w:t xml:space="preserve"> </w:t>
      </w:r>
      <w:r w:rsidRPr="00007309">
        <w:rPr>
          <w:rFonts w:cs="Arial"/>
          <w:b/>
          <w:bCs/>
          <w:sz w:val="24"/>
          <w:szCs w:val="24"/>
          <w:rtl/>
        </w:rPr>
        <w:t xml:space="preserve">שָׁכִיךְ וְאִתְנַצְּצָן כָּל אִנּוּן אָחֳרָנִין </w:t>
      </w:r>
      <w:r w:rsidRPr="00007309">
        <w:rPr>
          <w:rFonts w:cs="Arial" w:hint="cs"/>
          <w:sz w:val="24"/>
          <w:szCs w:val="24"/>
          <w:rtl/>
        </w:rPr>
        <w:t>(</w:t>
      </w:r>
      <w:r w:rsidRPr="00007309">
        <w:rPr>
          <w:rFonts w:cs="Arial"/>
          <w:sz w:val="24"/>
          <w:szCs w:val="24"/>
          <w:rtl/>
        </w:rPr>
        <w:t>וְאִיהוּ</w:t>
      </w:r>
      <w:r w:rsidRPr="00007309">
        <w:rPr>
          <w:rFonts w:cs="Arial" w:hint="cs"/>
          <w:sz w:val="24"/>
          <w:szCs w:val="24"/>
          <w:rtl/>
        </w:rPr>
        <w:t>)</w:t>
      </w:r>
      <w:r w:rsidRPr="00007309">
        <w:rPr>
          <w:rFonts w:cs="Arial"/>
          <w:b/>
          <w:bCs/>
          <w:sz w:val="24"/>
          <w:szCs w:val="24"/>
          <w:rtl/>
        </w:rPr>
        <w:t xml:space="preserve"> </w:t>
      </w:r>
      <w:r w:rsidRPr="00007309">
        <w:rPr>
          <w:rFonts w:cs="Arial" w:hint="cs"/>
          <w:b/>
          <w:bCs/>
          <w:sz w:val="24"/>
          <w:szCs w:val="24"/>
          <w:rtl/>
        </w:rPr>
        <w:t>ד</w:t>
      </w:r>
      <w:r w:rsidRPr="00007309">
        <w:rPr>
          <w:rFonts w:cs="Arial"/>
          <w:b/>
          <w:bCs/>
          <w:sz w:val="24"/>
          <w:szCs w:val="24"/>
          <w:rtl/>
        </w:rPr>
        <w:t>ְאִיהוּ סָתִים בְּאַתְרַיְהוּ. וְהַאי אִקְּרֵי כְּכוֹכְבָא אוּמָנָא</w:t>
      </w:r>
      <w:r w:rsidRPr="00007309">
        <w:rPr>
          <w:rFonts w:cs="Arial" w:hint="cs"/>
          <w:b/>
          <w:bCs/>
          <w:sz w:val="24"/>
          <w:szCs w:val="24"/>
          <w:rtl/>
        </w:rPr>
        <w:t>.</w:t>
      </w:r>
    </w:p>
    <w:p w:rsidR="00007309" w:rsidRPr="00007309" w:rsidRDefault="00007309" w:rsidP="00007309">
      <w:pPr>
        <w:keepNext/>
        <w:spacing w:before="240" w:after="60"/>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[וילנא כד ע"א]</w:t>
      </w:r>
    </w:p>
    <w:p w:rsidR="00007309" w:rsidRPr="00007309" w:rsidRDefault="00007309" w:rsidP="00007309">
      <w:pPr>
        <w:jc w:val="both"/>
        <w:rPr>
          <w:rFonts w:cs="Arial"/>
          <w:b/>
          <w:bCs/>
          <w:sz w:val="24"/>
          <w:szCs w:val="24"/>
          <w:rtl/>
        </w:rPr>
      </w:pPr>
      <w:r w:rsidRPr="00007309">
        <w:rPr>
          <w:rFonts w:cs="Arial"/>
          <w:b/>
          <w:bCs/>
          <w:sz w:val="24"/>
          <w:szCs w:val="24"/>
          <w:rtl/>
        </w:rPr>
        <w:t xml:space="preserve">לְבָתַר נָפְקָא לִסְטָר דָרוֹם כּוֹכָבָא אָחֳרָא, וְדָא נָצִיץ בְּד' כּוֹכָבִים דְּרָהֲטֵי וְאָזְלֵי וְאוֹשִׁיטוּ נְהוֹרָא דִּילְהוֹן לְאַרְבַּע סִטְרִין דְּעָלְמָא, וְהַאי </w:t>
      </w:r>
      <w:r w:rsidRPr="00007309">
        <w:rPr>
          <w:rFonts w:ascii="Cambria" w:hAnsi="Cambria" w:cs="Times New Roman" w:hint="cs"/>
          <w:b/>
          <w:bCs/>
          <w:i/>
          <w:iCs/>
          <w:color w:val="4F81BD"/>
          <w:sz w:val="24"/>
          <w:szCs w:val="24"/>
          <w:rtl/>
        </w:rPr>
        <w:t>(וילנא כד ע"א)</w:t>
      </w:r>
      <w:r w:rsidRPr="00007309">
        <w:rPr>
          <w:rFonts w:cs="Arial" w:hint="cs"/>
          <w:b/>
          <w:bCs/>
          <w:sz w:val="24"/>
          <w:szCs w:val="24"/>
          <w:rtl/>
        </w:rPr>
        <w:t xml:space="preserve"> </w:t>
      </w:r>
      <w:r w:rsidRPr="00007309">
        <w:rPr>
          <w:rFonts w:cs="Arial"/>
          <w:b/>
          <w:bCs/>
          <w:sz w:val="24"/>
          <w:szCs w:val="24"/>
          <w:rtl/>
        </w:rPr>
        <w:t>אִקְּרֵי כּוֹכָבָא דְּנָצִיץ מִתְּרֵי סִטְרֵי</w:t>
      </w:r>
      <w:r w:rsidRPr="00007309">
        <w:rPr>
          <w:rFonts w:cs="Arial" w:hint="cs"/>
          <w:b/>
          <w:bCs/>
          <w:sz w:val="24"/>
          <w:szCs w:val="24"/>
          <w:rtl/>
        </w:rPr>
        <w:t>,</w:t>
      </w:r>
      <w:r w:rsidRPr="00007309">
        <w:rPr>
          <w:rFonts w:cs="Arial"/>
          <w:b/>
          <w:bCs/>
          <w:sz w:val="24"/>
          <w:szCs w:val="24"/>
          <w:rtl/>
        </w:rPr>
        <w:t xml:space="preserve"> דָּרוֹם וּמִזְרָח. מִתְנַהֲרֵי אֶלֶף וְרִבּוֹא רִבְוָן כּוֹכְבַיָּא</w:t>
      </w:r>
      <w:r w:rsidRPr="00007309">
        <w:rPr>
          <w:rFonts w:cs="Arial" w:hint="cs"/>
          <w:b/>
          <w:bCs/>
          <w:sz w:val="24"/>
          <w:szCs w:val="24"/>
          <w:rtl/>
        </w:rPr>
        <w:t>,</w:t>
      </w:r>
      <w:r w:rsidRPr="00007309">
        <w:rPr>
          <w:rFonts w:cs="Arial"/>
          <w:b/>
          <w:bCs/>
          <w:sz w:val="24"/>
          <w:szCs w:val="24"/>
          <w:rtl/>
        </w:rPr>
        <w:t xml:space="preserve"> דְּנָטְלֵי זִיהֲרָא וּנְצִיצוּ מִגּוֹ נְצִיצוּ דְּנָהִיר מִן </w:t>
      </w:r>
      <w:r w:rsidRPr="00007309">
        <w:rPr>
          <w:rFonts w:cs="Arial" w:hint="cs"/>
          <w:sz w:val="24"/>
          <w:szCs w:val="24"/>
          <w:rtl/>
        </w:rPr>
        <w:t>(</w:t>
      </w:r>
      <w:r w:rsidRPr="00007309">
        <w:rPr>
          <w:rFonts w:cs="Arial"/>
          <w:sz w:val="24"/>
          <w:szCs w:val="24"/>
          <w:rtl/>
        </w:rPr>
        <w:t>מֵם</w:t>
      </w:r>
      <w:r w:rsidRPr="00007309">
        <w:rPr>
          <w:rFonts w:cs="Arial" w:hint="cs"/>
          <w:sz w:val="24"/>
          <w:szCs w:val="24"/>
          <w:rtl/>
        </w:rPr>
        <w:t>)</w:t>
      </w:r>
      <w:r w:rsidRPr="00007309">
        <w:rPr>
          <w:rFonts w:cs="Arial"/>
          <w:b/>
          <w:bCs/>
          <w:sz w:val="24"/>
          <w:szCs w:val="24"/>
          <w:rtl/>
        </w:rPr>
        <w:t xml:space="preserve"> שִׁמְשָׁא. שִׁמְשָׁא דְּמַשְׁקוֹפָא (נ"א משקופא דשמשא) כַּד נָהִיר בְּמַטְלָנוֹי נָהֲרִין מִנֵּהּ כָּל אִנּוּן כּוֹכָבַיָּא דְּנָהֲרִין וְנָצְצִין כָּל אִנּוּן כּוֹכָבָא אוּמָנָא. אַף עַל גַּב דְּסָתִים</w:t>
      </w:r>
      <w:r w:rsidRPr="00007309">
        <w:rPr>
          <w:rFonts w:cs="Arial" w:hint="cs"/>
          <w:b/>
          <w:bCs/>
          <w:sz w:val="24"/>
          <w:szCs w:val="24"/>
          <w:rtl/>
        </w:rPr>
        <w:t>,</w:t>
      </w:r>
      <w:r w:rsidRPr="00007309">
        <w:rPr>
          <w:rFonts w:cs="Arial"/>
          <w:b/>
          <w:bCs/>
          <w:sz w:val="24"/>
          <w:szCs w:val="24"/>
          <w:rtl/>
        </w:rPr>
        <w:t xml:space="preserve"> לְבָתַר נָפִיק וְזָהִיר עָלֵהּ חַד מְמָנָא ויגזרי</w:t>
      </w:r>
      <w:r w:rsidRPr="00007309">
        <w:rPr>
          <w:rFonts w:cs="Arial" w:hint="cs"/>
          <w:b/>
          <w:bCs/>
          <w:sz w:val="24"/>
          <w:szCs w:val="24"/>
          <w:rtl/>
        </w:rPr>
        <w:t>ד</w:t>
      </w:r>
      <w:r w:rsidRPr="00007309">
        <w:rPr>
          <w:rFonts w:cs="Arial"/>
          <w:b/>
          <w:bCs/>
          <w:sz w:val="24"/>
          <w:szCs w:val="24"/>
          <w:rtl/>
        </w:rPr>
        <w:t xml:space="preserve">א"ל שְׁמֵהּ. וְכַד הַאי כּוֹכָבָא אוּמָנָא נָפִיק וְנָצִיץ וְלָא אַסְתִּים, כְּדֵין הַהוּא מְמָנָא נָחִית (נ"א נפיק) שְׁלָמָא לְהַהוּא סִטְרָא. </w:t>
      </w:r>
    </w:p>
    <w:p w:rsidR="00007309" w:rsidRPr="00007309" w:rsidRDefault="00007309" w:rsidP="00007309">
      <w:pPr>
        <w:keepNext/>
        <w:spacing w:before="240" w:after="60"/>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[וילנא כד ע"ב]</w:t>
      </w:r>
    </w:p>
    <w:p w:rsidR="00007309" w:rsidRPr="00007309" w:rsidRDefault="00007309" w:rsidP="00007309">
      <w:pPr>
        <w:jc w:val="both"/>
        <w:rPr>
          <w:rFonts w:cs="Arial"/>
          <w:b/>
          <w:bCs/>
          <w:sz w:val="24"/>
          <w:szCs w:val="24"/>
        </w:rPr>
      </w:pPr>
      <w:r w:rsidRPr="00007309">
        <w:rPr>
          <w:rFonts w:cs="Arial"/>
          <w:b/>
          <w:bCs/>
          <w:sz w:val="24"/>
          <w:szCs w:val="24"/>
          <w:rtl/>
        </w:rPr>
        <w:t xml:space="preserve">וְכַד בּוּצִינָא דְּקַרְדִּינוּתָא כַּד עָבִיד מִשְׁחָתָא לְעֵלָּא וְתַתָּא, וְכֹלָּא אִסְתָּמִיךְ וְאַנְהִיר וּנְגִיד אִתְּעָרוּתָא דִּרְקִיעָא עִלָּאָה לָקָבְלֵהּ דְּמִזְרָח, וְאִיהוּ אִתְּעַר לְקָבְלֵהּ דְּמַעֲרָב, וְסִימָנִיךְ (ישעיה מא) מִי הֵעִיר מִמִּזְרָח צֶדֶק יִקְרָאֻהוּ </w:t>
      </w:r>
      <w:r w:rsidRPr="00007309">
        <w:rPr>
          <w:rFonts w:ascii="Cambria" w:hAnsi="Cambria" w:cs="Times New Roman" w:hint="cs"/>
          <w:b/>
          <w:bCs/>
          <w:i/>
          <w:iCs/>
          <w:color w:val="4F81BD"/>
          <w:sz w:val="24"/>
          <w:szCs w:val="24"/>
          <w:rtl/>
        </w:rPr>
        <w:t>(וילנא כד ע"ב)</w:t>
      </w:r>
      <w:r w:rsidRPr="00007309">
        <w:rPr>
          <w:rFonts w:cs="Arial" w:hint="cs"/>
          <w:b/>
          <w:bCs/>
          <w:sz w:val="24"/>
          <w:szCs w:val="24"/>
          <w:rtl/>
        </w:rPr>
        <w:t xml:space="preserve"> </w:t>
      </w:r>
      <w:r w:rsidRPr="00007309">
        <w:rPr>
          <w:rFonts w:cs="Arial"/>
          <w:b/>
          <w:bCs/>
          <w:sz w:val="24"/>
          <w:szCs w:val="24"/>
          <w:rtl/>
        </w:rPr>
        <w:t>לְרַגְלוֹ. כְּדֵין כָּל אִנּוּן מְמָנָן דְּקַיְּמִין עַל כּוֹכָבַיָּא, כֻּלְּהוּ יוֹבִילוּן נְהִירוּ דְּאַנְפִּין מִגּוֹ שִׁמְשָׁא, כַּד נָטִיל שִׁמְשָׁא לַמַּשְׁקוֹפָא חֲדָא דְּא</w:t>
      </w:r>
      <w:r w:rsidRPr="00007309">
        <w:rPr>
          <w:rFonts w:cs="Arial" w:hint="cs"/>
          <w:b/>
          <w:bCs/>
          <w:sz w:val="24"/>
          <w:szCs w:val="24"/>
          <w:rtl/>
        </w:rPr>
        <w:t>קרי</w:t>
      </w:r>
      <w:r w:rsidRPr="00007309">
        <w:rPr>
          <w:rFonts w:cs="Arial"/>
          <w:b/>
          <w:bCs/>
          <w:sz w:val="24"/>
          <w:szCs w:val="24"/>
          <w:rtl/>
        </w:rPr>
        <w:t xml:space="preserve"> מַשְׁקוֹפָא דבילג'. כְּדֵין הַהוּא כּוֹכָבָא דְּנָצִיץ נָהִיר מִגּוֹ חֵילָא דְּחַד מְמָנָא דְּנָטִיל כַּד נָטִיל שִׁמְשָׁא</w:t>
      </w:r>
      <w:r w:rsidRPr="00007309">
        <w:rPr>
          <w:rFonts w:cs="Arial"/>
          <w:b/>
          <w:bCs/>
          <w:sz w:val="24"/>
          <w:szCs w:val="24"/>
        </w:rPr>
        <w:t>:</w:t>
      </w:r>
    </w:p>
    <w:p w:rsidR="00007309" w:rsidRPr="00007309" w:rsidRDefault="00007309" w:rsidP="00007309">
      <w:pPr>
        <w:jc w:val="both"/>
        <w:rPr>
          <w:rFonts w:cs="Arial"/>
          <w:sz w:val="24"/>
          <w:szCs w:val="24"/>
        </w:rPr>
      </w:pPr>
      <w:r w:rsidRPr="00007309">
        <w:rPr>
          <w:rFonts w:cs="Arial"/>
          <w:sz w:val="24"/>
          <w:szCs w:val="24"/>
          <w:rtl/>
        </w:rPr>
        <w:t>(עכ"מ וכאן תחלת ענין ונראה שצריך להתחיל)</w:t>
      </w:r>
      <w:r w:rsidRPr="00007309">
        <w:rPr>
          <w:rFonts w:cs="Arial" w:hint="cs"/>
          <w:sz w:val="24"/>
          <w:szCs w:val="24"/>
          <w:rtl/>
        </w:rPr>
        <w:t>:</w:t>
      </w:r>
    </w:p>
    <w:p w:rsidR="00007309" w:rsidRPr="00007309" w:rsidRDefault="00007309" w:rsidP="00007309">
      <w:pPr>
        <w:keepNext/>
        <w:outlineLvl w:val="1"/>
        <w:rPr>
          <w:rFonts w:ascii="Cambria" w:hAnsi="Cambria" w:cs="Times New Roman"/>
          <w:b/>
          <w:bCs/>
          <w:i/>
          <w:iCs/>
          <w:sz w:val="28"/>
          <w:szCs w:val="28"/>
          <w:rtl/>
        </w:rPr>
      </w:pPr>
      <w:r w:rsidRPr="00007309">
        <w:rPr>
          <w:rFonts w:ascii="Cambria" w:hAnsi="Cambria" w:cs="Times New Roman"/>
          <w:b/>
          <w:bCs/>
          <w:i/>
          <w:iCs/>
          <w:sz w:val="28"/>
          <w:szCs w:val="28"/>
          <w:rtl/>
        </w:rPr>
        <w:t>[</w:t>
      </w:r>
      <w:r w:rsidRPr="00007309">
        <w:rPr>
          <w:rFonts w:ascii="Cambria" w:hAnsi="Cambria" w:cs="Times New Roman" w:hint="cs"/>
          <w:b/>
          <w:bCs/>
          <w:i/>
          <w:iCs/>
          <w:sz w:val="28"/>
          <w:szCs w:val="28"/>
          <w:rtl/>
        </w:rPr>
        <w:t>דף</w:t>
      </w:r>
      <w:r w:rsidRPr="00007309">
        <w:rPr>
          <w:rFonts w:ascii="Cambria" w:hAnsi="Cambria" w:cs="Times New Roman"/>
          <w:b/>
          <w:bCs/>
          <w:i/>
          <w:iCs/>
          <w:sz w:val="28"/>
          <w:szCs w:val="28"/>
          <w:rtl/>
        </w:rPr>
        <w:t xml:space="preserve"> </w:t>
      </w:r>
      <w:r w:rsidRPr="00007309">
        <w:rPr>
          <w:rFonts w:ascii="Cambria" w:hAnsi="Cambria" w:cs="Times New Roman" w:hint="cs"/>
          <w:b/>
          <w:bCs/>
          <w:i/>
          <w:iCs/>
          <w:sz w:val="28"/>
          <w:szCs w:val="28"/>
          <w:rtl/>
        </w:rPr>
        <w:t>פ</w:t>
      </w:r>
      <w:r w:rsidRPr="00007309">
        <w:rPr>
          <w:rFonts w:ascii="Cambria" w:hAnsi="Cambria" w:cs="Times New Roman"/>
          <w:b/>
          <w:bCs/>
          <w:i/>
          <w:iCs/>
          <w:sz w:val="28"/>
          <w:szCs w:val="28"/>
          <w:rtl/>
        </w:rPr>
        <w:t xml:space="preserve"> ע"</w:t>
      </w:r>
      <w:r w:rsidRPr="00007309">
        <w:rPr>
          <w:rFonts w:ascii="Cambria" w:hAnsi="Cambria" w:cs="Times New Roman" w:hint="cs"/>
          <w:b/>
          <w:bCs/>
          <w:i/>
          <w:iCs/>
          <w:sz w:val="28"/>
          <w:szCs w:val="28"/>
          <w:rtl/>
        </w:rPr>
        <w:t>ג</w:t>
      </w:r>
      <w:r w:rsidRPr="00007309">
        <w:rPr>
          <w:rFonts w:ascii="Cambria" w:hAnsi="Cambria" w:cs="Times New Roman"/>
          <w:b/>
          <w:bCs/>
          <w:i/>
          <w:iCs/>
          <w:sz w:val="28"/>
          <w:szCs w:val="28"/>
          <w:rtl/>
        </w:rPr>
        <w:t>]</w:t>
      </w:r>
    </w:p>
    <w:p w:rsidR="00007309" w:rsidRPr="00007309" w:rsidRDefault="00007309" w:rsidP="00007309">
      <w:pPr>
        <w:jc w:val="both"/>
        <w:rPr>
          <w:rFonts w:cs="Arial"/>
          <w:b/>
          <w:bCs/>
          <w:sz w:val="24"/>
          <w:szCs w:val="24"/>
        </w:rPr>
      </w:pPr>
      <w:r w:rsidRPr="00007309">
        <w:rPr>
          <w:rFonts w:cs="Arial"/>
          <w:b/>
          <w:bCs/>
          <w:sz w:val="36"/>
          <w:szCs w:val="28"/>
          <w:vertAlign w:val="superscript"/>
          <w:rtl/>
        </w:rPr>
        <w:footnoteReference w:id="7199"/>
      </w:r>
      <w:r w:rsidRPr="00007309">
        <w:rPr>
          <w:rFonts w:cs="Arial"/>
          <w:b/>
          <w:bCs/>
          <w:sz w:val="24"/>
          <w:szCs w:val="24"/>
          <w:rtl/>
        </w:rPr>
        <w:t>וַיְהִי לִי שׁוֹר וַחֲמוֹר מִסִּטְרָא דִּתְפִלִּין דְּרֵישָׁא</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200"/>
      </w:r>
      <w:r w:rsidRPr="00007309">
        <w:rPr>
          <w:rFonts w:cs="Arial"/>
          <w:b/>
          <w:bCs/>
          <w:sz w:val="24"/>
          <w:szCs w:val="24"/>
          <w:rtl/>
        </w:rPr>
        <w:t>צֹאן וְעֶבֶד וְשִׁפְחָה מִסִּטְרָא דִּתְפִלִּין דְּיָד</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201"/>
      </w:r>
      <w:r w:rsidRPr="00007309">
        <w:rPr>
          <w:rFonts w:cs="Arial"/>
          <w:b/>
          <w:bCs/>
          <w:sz w:val="24"/>
          <w:szCs w:val="24"/>
          <w:rtl/>
        </w:rPr>
        <w:t>וְהָיָה כְּעֵץ שָׁתוּל עַל פַּלְגֵּי מַיִם</w:t>
      </w:r>
      <w:r w:rsidRPr="00007309">
        <w:rPr>
          <w:rFonts w:cs="Arial" w:hint="cs"/>
          <w:b/>
          <w:bCs/>
          <w:sz w:val="24"/>
          <w:szCs w:val="24"/>
          <w:rtl/>
        </w:rPr>
        <w:t xml:space="preserve"> (תהלים א)</w:t>
      </w:r>
      <w:r w:rsidRPr="00007309">
        <w:rPr>
          <w:rFonts w:cs="Arial"/>
          <w:b/>
          <w:bCs/>
          <w:sz w:val="24"/>
          <w:szCs w:val="24"/>
          <w:rtl/>
        </w:rPr>
        <w:t>, וְהָא אוֹקְמוּהּ</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202"/>
      </w:r>
      <w:r w:rsidRPr="00007309">
        <w:rPr>
          <w:rFonts w:cs="Arial"/>
          <w:b/>
          <w:bCs/>
          <w:sz w:val="24"/>
          <w:szCs w:val="24"/>
          <w:rtl/>
        </w:rPr>
        <w:t xml:space="preserve">כִּי הָאָדָם עֵץ הַשָּדֶה </w:t>
      </w:r>
      <w:r w:rsidRPr="00007309">
        <w:rPr>
          <w:rFonts w:cs="Arial"/>
          <w:b/>
          <w:bCs/>
          <w:sz w:val="36"/>
          <w:szCs w:val="28"/>
          <w:vertAlign w:val="superscript"/>
          <w:rtl/>
        </w:rPr>
        <w:footnoteReference w:id="7203"/>
      </w:r>
      <w:r w:rsidRPr="00007309">
        <w:rPr>
          <w:rFonts w:cs="Arial"/>
          <w:b/>
          <w:bCs/>
          <w:sz w:val="24"/>
          <w:szCs w:val="24"/>
          <w:rtl/>
        </w:rPr>
        <w:t xml:space="preserve">דִּצְרִיכִין לְשָׁלֹשׁ גִּלְגּוּלִין לְגַבֵּהּ, </w:t>
      </w:r>
      <w:r w:rsidRPr="00007309">
        <w:rPr>
          <w:rFonts w:cs="Arial"/>
          <w:b/>
          <w:bCs/>
          <w:sz w:val="36"/>
          <w:szCs w:val="28"/>
          <w:vertAlign w:val="superscript"/>
          <w:rtl/>
        </w:rPr>
        <w:footnoteReference w:id="7204"/>
      </w:r>
      <w:r w:rsidRPr="00007309">
        <w:rPr>
          <w:rFonts w:cs="Arial"/>
          <w:b/>
          <w:bCs/>
          <w:sz w:val="24"/>
          <w:szCs w:val="24"/>
          <w:rtl/>
        </w:rPr>
        <w:t xml:space="preserve">כְּמָא דְּאוֹקְמוּהּ יְשַׁלֵּשׁ אָדָם שְׁנוֹתָיו וְגוֹ'. </w:t>
      </w:r>
      <w:r w:rsidRPr="00007309">
        <w:rPr>
          <w:rFonts w:cs="Arial"/>
          <w:b/>
          <w:bCs/>
          <w:sz w:val="36"/>
          <w:szCs w:val="28"/>
          <w:vertAlign w:val="superscript"/>
          <w:rtl/>
        </w:rPr>
        <w:footnoteReference w:id="7205"/>
      </w:r>
      <w:r w:rsidRPr="00007309">
        <w:rPr>
          <w:rFonts w:cs="Arial"/>
          <w:b/>
          <w:bCs/>
          <w:sz w:val="24"/>
          <w:szCs w:val="24"/>
          <w:rtl/>
        </w:rPr>
        <w:t>וְאוֹקְמוּהּ מָארֵי מַתְנִיתִין</w:t>
      </w:r>
      <w:r w:rsidRPr="00007309">
        <w:rPr>
          <w:rFonts w:cs="Arial" w:hint="cs"/>
          <w:b/>
          <w:bCs/>
          <w:sz w:val="24"/>
          <w:szCs w:val="24"/>
          <w:rtl/>
        </w:rPr>
        <w:t>,</w:t>
      </w:r>
      <w:r w:rsidRPr="00007309">
        <w:rPr>
          <w:rFonts w:cs="Arial"/>
          <w:b/>
          <w:bCs/>
          <w:sz w:val="24"/>
          <w:szCs w:val="24"/>
          <w:rtl/>
        </w:rPr>
        <w:t xml:space="preserve"> בְּשַׁבָּת אֵין עוֹלִין בָּאִילָן, וְאֵין רוֹכְבִין (נ"א סומכין) בָּאִילָן, וְאֵין מִשְׁתַּמְּשִׁין בָּאִילָן. הַאי בְּאֹרַח רָזָא אֲנָא שָׁאִיל לָךְ בּוּצִינָא קַדִּישָׁא</w:t>
      </w:r>
      <w:r w:rsidRPr="00007309">
        <w:rPr>
          <w:rFonts w:cs="Arial" w:hint="cs"/>
          <w:b/>
          <w:bCs/>
          <w:sz w:val="24"/>
          <w:szCs w:val="24"/>
          <w:rtl/>
        </w:rPr>
        <w:t>,</w:t>
      </w:r>
      <w:r w:rsidRPr="00007309">
        <w:rPr>
          <w:rFonts w:cs="Arial"/>
          <w:b/>
          <w:bCs/>
          <w:sz w:val="24"/>
          <w:szCs w:val="24"/>
          <w:rtl/>
        </w:rPr>
        <w:t xml:space="preserve"> וְלָאו בִּפְשִׁיטוּ דְּמָארֵי מַתְנִיתִין גּוּפָנִיִּים</w:t>
      </w:r>
      <w:r w:rsidRPr="00007309">
        <w:rPr>
          <w:rFonts w:cs="Arial" w:hint="cs"/>
          <w:b/>
          <w:bCs/>
          <w:sz w:val="24"/>
          <w:szCs w:val="24"/>
          <w:rtl/>
        </w:rPr>
        <w:t>,</w:t>
      </w:r>
      <w:r w:rsidRPr="00007309">
        <w:rPr>
          <w:rFonts w:cs="Arial"/>
          <w:b/>
          <w:bCs/>
          <w:sz w:val="24"/>
          <w:szCs w:val="24"/>
          <w:rtl/>
        </w:rPr>
        <w:t xml:space="preserve"> אֶלָּא דְּמָארֵי מַתְנִיתִין שִׂכְלִיִּים</w:t>
      </w:r>
      <w:r w:rsidRPr="00007309">
        <w:rPr>
          <w:rFonts w:cs="Arial" w:hint="cs"/>
          <w:b/>
          <w:bCs/>
          <w:sz w:val="24"/>
          <w:szCs w:val="24"/>
          <w:rtl/>
        </w:rPr>
        <w:t>,</w:t>
      </w:r>
      <w:r w:rsidRPr="00007309">
        <w:rPr>
          <w:rFonts w:cs="Arial"/>
          <w:b/>
          <w:bCs/>
          <w:sz w:val="24"/>
          <w:szCs w:val="24"/>
          <w:rtl/>
        </w:rPr>
        <w:t xml:space="preserve"> דְּאִתְּמַר עָלַיְהוּ וְהַמַּשְׂכִּילִים יַזְהִרוּ. א"ל סָבָא סָבָא אֵמָּא אַנְתְּ דְּאַנְתְ מִסִּטְרָא דְּאִילָנָא דְאִקְּרִי אִילָנָא דְּחַיֵּי, </w:t>
      </w:r>
      <w:r w:rsidRPr="00007309">
        <w:rPr>
          <w:rFonts w:cs="Arial"/>
          <w:b/>
          <w:bCs/>
          <w:sz w:val="36"/>
          <w:szCs w:val="28"/>
          <w:vertAlign w:val="superscript"/>
          <w:rtl/>
        </w:rPr>
        <w:footnoteReference w:id="7206"/>
      </w:r>
      <w:r w:rsidRPr="00007309">
        <w:rPr>
          <w:rFonts w:cs="Arial"/>
          <w:b/>
          <w:bCs/>
          <w:sz w:val="24"/>
          <w:szCs w:val="24"/>
          <w:rtl/>
        </w:rPr>
        <w:t>דְּנָטִיעַ בְּשַׁבָּת מַלְכְּתָא, דְּלָא צָרִיךְ שׁוּם בַּר נָשׁ לְאִשְׁתַּמְּשָׁא בָּהּ</w:t>
      </w:r>
      <w:r w:rsidRPr="00007309">
        <w:rPr>
          <w:rFonts w:cs="Arial" w:hint="cs"/>
          <w:b/>
          <w:bCs/>
          <w:sz w:val="24"/>
          <w:szCs w:val="24"/>
          <w:rtl/>
        </w:rPr>
        <w:t>,</w:t>
      </w:r>
      <w:r w:rsidRPr="00007309">
        <w:rPr>
          <w:rFonts w:cs="Arial"/>
          <w:b/>
          <w:bCs/>
          <w:sz w:val="24"/>
          <w:szCs w:val="24"/>
          <w:rtl/>
        </w:rPr>
        <w:t xml:space="preserve"> כְּמָה דְּאוֹקְמוּהּ כָּל הַמִּשְׁתַּמֵּשׁ בְּתָגָא חֲלָף </w:t>
      </w:r>
      <w:r w:rsidRPr="00007309">
        <w:rPr>
          <w:rFonts w:ascii="Cambria" w:hAnsi="Cambria" w:cs="Times New Roman" w:hint="cs"/>
          <w:b/>
          <w:bCs/>
          <w:i/>
          <w:iCs/>
          <w:color w:val="4F81BD"/>
          <w:sz w:val="24"/>
          <w:szCs w:val="24"/>
          <w:rtl/>
        </w:rPr>
        <w:t>(פ ע"ג)</w:t>
      </w:r>
      <w:r w:rsidRPr="00007309">
        <w:rPr>
          <w:rFonts w:cs="Arial" w:hint="cs"/>
          <w:b/>
          <w:bCs/>
          <w:sz w:val="24"/>
          <w:szCs w:val="24"/>
          <w:rtl/>
        </w:rPr>
        <w:t xml:space="preserve"> </w:t>
      </w:r>
      <w:r w:rsidRPr="00007309">
        <w:rPr>
          <w:rFonts w:cs="Arial"/>
          <w:b/>
          <w:bCs/>
          <w:sz w:val="36"/>
          <w:szCs w:val="28"/>
          <w:vertAlign w:val="superscript"/>
          <w:rtl/>
        </w:rPr>
        <w:footnoteReference w:id="7207"/>
      </w:r>
      <w:r w:rsidRPr="00007309">
        <w:rPr>
          <w:rFonts w:cs="Arial"/>
          <w:b/>
          <w:bCs/>
          <w:sz w:val="24"/>
          <w:szCs w:val="24"/>
          <w:rtl/>
        </w:rPr>
        <w:t>וְדָא שְׁמָא מְפָרַשׁ דְּסָלִיק לְחֻשְׁבַּן אָדָם</w:t>
      </w:r>
      <w:r w:rsidRPr="00007309">
        <w:rPr>
          <w:rFonts w:cs="Arial" w:hint="cs"/>
          <w:b/>
          <w:bCs/>
          <w:sz w:val="24"/>
          <w:szCs w:val="24"/>
          <w:rtl/>
        </w:rPr>
        <w:t>,</w:t>
      </w:r>
      <w:r w:rsidRPr="00007309">
        <w:rPr>
          <w:rFonts w:cs="Arial"/>
          <w:b/>
          <w:bCs/>
          <w:sz w:val="24"/>
          <w:szCs w:val="24"/>
          <w:rtl/>
        </w:rPr>
        <w:t xml:space="preserve"> וְאוֹקְמוּהּ רַבָּנָן כָּל הַמִּשְׁתַּמֵּשׁ בַּשֵּׁם הַמְפֹרָשׁ נֶעֱקָר מִן הָעוֹלָם. א"ל בְּרִיךְ אַנְתְּ בּוּצִינָא קַדִּישָׁא, דִּבְוַדַּאי הָכֵי הוּא, </w:t>
      </w:r>
      <w:r w:rsidRPr="00007309">
        <w:rPr>
          <w:rFonts w:cs="Arial"/>
          <w:b/>
          <w:bCs/>
          <w:sz w:val="36"/>
          <w:szCs w:val="28"/>
          <w:vertAlign w:val="superscript"/>
          <w:rtl/>
        </w:rPr>
        <w:footnoteReference w:id="7208"/>
      </w:r>
      <w:r w:rsidRPr="00007309">
        <w:rPr>
          <w:rFonts w:cs="Arial"/>
          <w:b/>
          <w:bCs/>
          <w:sz w:val="24"/>
          <w:szCs w:val="24"/>
          <w:rtl/>
        </w:rPr>
        <w:t xml:space="preserve">דִּבְיוֹמֵי דְּחֹל שָׁלְטָא עֵץ הַדַּעַת טוֹב וָרָע, </w:t>
      </w:r>
      <w:r w:rsidRPr="00007309">
        <w:rPr>
          <w:rFonts w:cs="Arial"/>
          <w:b/>
          <w:bCs/>
          <w:sz w:val="36"/>
          <w:szCs w:val="28"/>
          <w:vertAlign w:val="superscript"/>
          <w:rtl/>
        </w:rPr>
        <w:footnoteReference w:id="7209"/>
      </w:r>
      <w:r w:rsidRPr="00007309">
        <w:rPr>
          <w:rFonts w:cs="Arial"/>
          <w:b/>
          <w:bCs/>
          <w:sz w:val="24"/>
          <w:szCs w:val="24"/>
          <w:rtl/>
        </w:rPr>
        <w:t>דְּאִיהוּ אָדָם דְּוַיִּיצֶר</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210"/>
      </w:r>
      <w:r w:rsidRPr="00007309">
        <w:rPr>
          <w:rFonts w:cs="Arial"/>
          <w:b/>
          <w:bCs/>
          <w:sz w:val="24"/>
          <w:szCs w:val="24"/>
          <w:rtl/>
        </w:rPr>
        <w:t xml:space="preserve">בַּיֵּצֶר הַטוֹב וּבַיֵּצֶר הָרָע, הָדָא הוּא דִּכְתִיב (בראשית ב) וַיִּיצֶר ה' אֱלֹהִים אֶת הָאָדָם. </w:t>
      </w:r>
      <w:r w:rsidRPr="00007309">
        <w:rPr>
          <w:rFonts w:cs="Arial"/>
          <w:b/>
          <w:bCs/>
          <w:sz w:val="36"/>
          <w:szCs w:val="28"/>
          <w:vertAlign w:val="superscript"/>
          <w:rtl/>
        </w:rPr>
        <w:footnoteReference w:id="7211"/>
      </w:r>
      <w:r w:rsidRPr="00007309">
        <w:rPr>
          <w:rFonts w:cs="Arial"/>
          <w:b/>
          <w:bCs/>
          <w:sz w:val="24"/>
          <w:szCs w:val="24"/>
          <w:rtl/>
        </w:rPr>
        <w:t xml:space="preserve">וְאִיהוּ עֵץ הַדַּעַת טוֹב וָרָע </w:t>
      </w:r>
      <w:r w:rsidRPr="00007309">
        <w:rPr>
          <w:rFonts w:cs="Arial"/>
          <w:b/>
          <w:bCs/>
          <w:sz w:val="36"/>
          <w:szCs w:val="28"/>
          <w:vertAlign w:val="superscript"/>
          <w:rtl/>
        </w:rPr>
        <w:footnoteReference w:id="7212"/>
      </w:r>
      <w:r w:rsidRPr="00007309">
        <w:rPr>
          <w:rFonts w:cs="Arial"/>
          <w:b/>
          <w:bCs/>
          <w:sz w:val="24"/>
          <w:szCs w:val="24"/>
          <w:rtl/>
        </w:rPr>
        <w:t xml:space="preserve">דְּחָב בֵּהּ אָדָם. </w:t>
      </w:r>
      <w:r w:rsidRPr="00007309">
        <w:rPr>
          <w:rFonts w:cs="Arial"/>
          <w:b/>
          <w:bCs/>
          <w:sz w:val="36"/>
          <w:szCs w:val="28"/>
          <w:vertAlign w:val="superscript"/>
          <w:rtl/>
        </w:rPr>
        <w:footnoteReference w:id="7213"/>
      </w:r>
      <w:r w:rsidRPr="00007309">
        <w:rPr>
          <w:rFonts w:cs="Arial"/>
          <w:b/>
          <w:bCs/>
          <w:sz w:val="24"/>
          <w:szCs w:val="24"/>
          <w:rtl/>
        </w:rPr>
        <w:t>וְדָא הוּא מְטַטְרוֹ"ן</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214"/>
      </w:r>
      <w:r w:rsidRPr="00007309">
        <w:rPr>
          <w:rFonts w:cs="Arial"/>
          <w:b/>
          <w:bCs/>
          <w:sz w:val="24"/>
          <w:szCs w:val="24"/>
          <w:rtl/>
        </w:rPr>
        <w:t xml:space="preserve">דְּאִיהוּ עֶבֶד </w:t>
      </w:r>
      <w:r w:rsidRPr="00007309">
        <w:rPr>
          <w:rFonts w:cs="Arial"/>
          <w:b/>
          <w:bCs/>
          <w:sz w:val="36"/>
          <w:szCs w:val="28"/>
          <w:vertAlign w:val="superscript"/>
          <w:rtl/>
        </w:rPr>
        <w:footnoteReference w:id="7215"/>
      </w:r>
      <w:r w:rsidRPr="00007309">
        <w:rPr>
          <w:rFonts w:cs="Arial"/>
          <w:b/>
          <w:bCs/>
          <w:sz w:val="24"/>
          <w:szCs w:val="24"/>
          <w:rtl/>
        </w:rPr>
        <w:t>דְּשַׁלִּיט בְּשִׁית סִדְרֵי מִשְׁנָה</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216"/>
      </w:r>
      <w:r w:rsidRPr="00007309">
        <w:rPr>
          <w:rFonts w:cs="Arial"/>
          <w:b/>
          <w:bCs/>
          <w:sz w:val="24"/>
          <w:szCs w:val="24"/>
          <w:rtl/>
        </w:rPr>
        <w:t xml:space="preserve">וְאִיהוּ גּוּפָנִי, </w:t>
      </w:r>
      <w:r w:rsidRPr="00007309">
        <w:rPr>
          <w:rFonts w:cs="Arial"/>
          <w:b/>
          <w:bCs/>
          <w:sz w:val="36"/>
          <w:szCs w:val="28"/>
          <w:vertAlign w:val="superscript"/>
          <w:rtl/>
        </w:rPr>
        <w:footnoteReference w:id="7217"/>
      </w:r>
      <w:r w:rsidRPr="00007309">
        <w:rPr>
          <w:rFonts w:cs="Arial"/>
          <w:b/>
          <w:bCs/>
          <w:sz w:val="24"/>
          <w:szCs w:val="24"/>
          <w:rtl/>
        </w:rPr>
        <w:t>וְשַׁלִּיט בְּשִׁית יוֹמִין דְּחֹל</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218"/>
      </w:r>
      <w:r w:rsidRPr="00007309">
        <w:rPr>
          <w:rFonts w:cs="Arial"/>
          <w:b/>
          <w:bCs/>
          <w:sz w:val="24"/>
          <w:szCs w:val="24"/>
          <w:rtl/>
        </w:rPr>
        <w:t xml:space="preserve">דְּאִנּוּן חוּלִין דְּטֻמְאָה וְחוּלִין דְּטָהֳרָה. וּמִנֵּהּ אִתְיְהִיבוּ שִׁית סִדְרֵי מִשְׁנָה </w:t>
      </w:r>
      <w:r w:rsidRPr="00007309">
        <w:rPr>
          <w:rFonts w:cs="Arial"/>
          <w:b/>
          <w:bCs/>
          <w:sz w:val="36"/>
          <w:szCs w:val="28"/>
          <w:vertAlign w:val="superscript"/>
          <w:rtl/>
        </w:rPr>
        <w:footnoteReference w:id="7219"/>
      </w:r>
      <w:r w:rsidRPr="00007309">
        <w:rPr>
          <w:rFonts w:cs="Arial"/>
          <w:b/>
          <w:bCs/>
          <w:sz w:val="24"/>
          <w:szCs w:val="24"/>
          <w:rtl/>
        </w:rPr>
        <w:t xml:space="preserve">בְּאִסּוּר וְהֶתֵּר, טֻמְאָה וְטָהֳרָה, כָּשֵׁר וּפָסוּל. </w:t>
      </w:r>
      <w:r w:rsidRPr="00007309">
        <w:rPr>
          <w:rFonts w:cs="Arial"/>
          <w:b/>
          <w:bCs/>
          <w:sz w:val="36"/>
          <w:szCs w:val="28"/>
          <w:vertAlign w:val="superscript"/>
          <w:rtl/>
        </w:rPr>
        <w:footnoteReference w:id="7220"/>
      </w:r>
      <w:r w:rsidRPr="00007309">
        <w:rPr>
          <w:rFonts w:cs="Arial"/>
          <w:b/>
          <w:bCs/>
          <w:sz w:val="24"/>
          <w:szCs w:val="24"/>
          <w:rtl/>
        </w:rPr>
        <w:t>וּבֵהּ שֵׁשֶׁת יָמִים תַּעֲבֹד וְעָשִׂיתָ כָּל מְלַאכְתֶּךָ</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221"/>
      </w:r>
      <w:r w:rsidRPr="00007309">
        <w:rPr>
          <w:rFonts w:cs="Arial"/>
          <w:b/>
          <w:bCs/>
          <w:sz w:val="24"/>
          <w:szCs w:val="24"/>
          <w:rtl/>
        </w:rPr>
        <w:t xml:space="preserve">וְלֵית עֲבוֹדָה אֶלָּא צְלוֹתָא, </w:t>
      </w:r>
      <w:r w:rsidRPr="00007309">
        <w:rPr>
          <w:rFonts w:cs="Arial"/>
          <w:b/>
          <w:bCs/>
          <w:sz w:val="36"/>
          <w:szCs w:val="28"/>
          <w:vertAlign w:val="superscript"/>
          <w:rtl/>
        </w:rPr>
        <w:footnoteReference w:id="7222"/>
      </w:r>
      <w:r w:rsidRPr="00007309">
        <w:rPr>
          <w:rFonts w:cs="Arial"/>
          <w:b/>
          <w:bCs/>
          <w:sz w:val="24"/>
          <w:szCs w:val="24"/>
          <w:rtl/>
        </w:rPr>
        <w:t>דְּבֵהּ צָרִיךְ בַּר נָשׁ לְמֶהֱוֵי כְּעֶבֶד הַמְסַדֵּר שְׁבָחָיו לִפְנֵי רַבּוֹ, וּכְעֶבֶד הַשּׁוֹאֵל פְּרָס מֵרַבּוֹ, וּכְעֶבֶד הַמְקַבֵּל פְּרָס מֵרַבּוֹ וְהוֹלֵךְ לוֹ. אֲבָל בְּשַׁבַּת מַלְכְּתָא דְּשָׁלְטָא בֵּהּ אִילָנָא דְּחַיֵּי וְלֹא עֵץ הַדַּעַת טוֹב וָרָע</w:t>
      </w:r>
      <w:r w:rsidRPr="00007309">
        <w:rPr>
          <w:rFonts w:cs="Arial" w:hint="cs"/>
          <w:b/>
          <w:bCs/>
          <w:sz w:val="24"/>
          <w:szCs w:val="24"/>
          <w:rtl/>
        </w:rPr>
        <w:t>,</w:t>
      </w:r>
      <w:r w:rsidRPr="00007309">
        <w:rPr>
          <w:rFonts w:cs="Arial"/>
          <w:b/>
          <w:bCs/>
          <w:sz w:val="24"/>
          <w:szCs w:val="24"/>
          <w:rtl/>
        </w:rPr>
        <w:t xml:space="preserve"> אוֹקְמוּהּ דְּאֵין מִשְׁתַּמְּשִׁין בָּאִילָן שׁוּם שִׁמּוּשׁ, וְכָל הַמִּשְׁתַּמֵּשׁ בְּתָגָא</w:t>
      </w:r>
      <w:r w:rsidRPr="00007309">
        <w:rPr>
          <w:rFonts w:cs="Arial"/>
          <w:b/>
          <w:bCs/>
          <w:sz w:val="24"/>
          <w:szCs w:val="24"/>
        </w:rPr>
        <w:t xml:space="preserve"> </w:t>
      </w:r>
      <w:r w:rsidRPr="00007309">
        <w:rPr>
          <w:rFonts w:cs="Arial"/>
          <w:b/>
          <w:bCs/>
          <w:sz w:val="24"/>
          <w:szCs w:val="24"/>
          <w:rtl/>
        </w:rPr>
        <w:t>חֲלָף</w:t>
      </w:r>
      <w:r w:rsidRPr="00007309">
        <w:rPr>
          <w:rFonts w:cs="Arial" w:hint="cs"/>
          <w:b/>
          <w:bCs/>
          <w:sz w:val="24"/>
          <w:szCs w:val="24"/>
          <w:rtl/>
        </w:rPr>
        <w:t>,</w:t>
      </w:r>
      <w:r w:rsidRPr="00007309">
        <w:rPr>
          <w:rFonts w:cs="Arial"/>
          <w:b/>
          <w:bCs/>
          <w:sz w:val="24"/>
          <w:szCs w:val="24"/>
          <w:rtl/>
        </w:rPr>
        <w:t xml:space="preserve"> וְלֹא עוֹלִין בֵּהּ וְלֹא סוֹמְכִין בֵּהּ לְאִשְׁתַּמְּשָׁא, </w:t>
      </w:r>
      <w:r w:rsidRPr="00007309">
        <w:rPr>
          <w:rFonts w:cs="Arial"/>
          <w:b/>
          <w:bCs/>
          <w:sz w:val="36"/>
          <w:szCs w:val="28"/>
          <w:vertAlign w:val="superscript"/>
          <w:rtl/>
        </w:rPr>
        <w:footnoteReference w:id="7223"/>
      </w:r>
      <w:r w:rsidRPr="00007309">
        <w:rPr>
          <w:rFonts w:cs="Arial"/>
          <w:b/>
          <w:bCs/>
          <w:sz w:val="24"/>
          <w:szCs w:val="24"/>
          <w:rtl/>
        </w:rPr>
        <w:t>דְּלָא מְקַצְּצִין בַּנְּטִיעוֹת, דְּלֵית תַּמָּן קִצּוּץ וּפֵרוּד בְּאִילָנָא דְּחַיֵּי</w:t>
      </w:r>
      <w:r w:rsidRPr="00007309">
        <w:rPr>
          <w:rFonts w:cs="Arial"/>
          <w:b/>
          <w:bCs/>
          <w:sz w:val="24"/>
          <w:szCs w:val="24"/>
        </w:rPr>
        <w:t>:</w:t>
      </w:r>
    </w:p>
    <w:p w:rsidR="00007309" w:rsidRPr="00007309" w:rsidRDefault="00007309" w:rsidP="00007309">
      <w:pPr>
        <w:keepNext/>
        <w:spacing w:before="240" w:after="60"/>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[וילנא כה ע"א]</w:t>
      </w:r>
    </w:p>
    <w:p w:rsidR="00007309" w:rsidRPr="00007309" w:rsidRDefault="00007309" w:rsidP="00007309">
      <w:pPr>
        <w:jc w:val="both"/>
        <w:rPr>
          <w:rFonts w:cs="Arial"/>
          <w:b/>
          <w:bCs/>
          <w:sz w:val="24"/>
          <w:szCs w:val="24"/>
        </w:rPr>
      </w:pPr>
      <w:r w:rsidRPr="00007309">
        <w:rPr>
          <w:rFonts w:cs="Arial"/>
          <w:b/>
          <w:bCs/>
          <w:sz w:val="24"/>
          <w:szCs w:val="24"/>
          <w:rtl/>
        </w:rPr>
        <w:t>וְאִילָנָא דְּעֵץ הַדַּעַת טוֹב וָרָע</w:t>
      </w:r>
      <w:r w:rsidRPr="00007309">
        <w:rPr>
          <w:rFonts w:cs="Arial" w:hint="cs"/>
          <w:b/>
          <w:bCs/>
          <w:sz w:val="24"/>
          <w:szCs w:val="24"/>
          <w:rtl/>
        </w:rPr>
        <w:t>,</w:t>
      </w:r>
      <w:r w:rsidRPr="00007309">
        <w:rPr>
          <w:rFonts w:cs="Arial"/>
          <w:b/>
          <w:bCs/>
          <w:sz w:val="24"/>
          <w:szCs w:val="24"/>
          <w:rtl/>
        </w:rPr>
        <w:t xml:space="preserve"> צָרִיךְ לְמֶעֱבַד בֵּהּ פֵּרוּד בֵּין טוֹב לָרָע</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224"/>
      </w:r>
      <w:r w:rsidRPr="00007309">
        <w:rPr>
          <w:rFonts w:cs="Arial"/>
          <w:b/>
          <w:bCs/>
          <w:sz w:val="24"/>
          <w:szCs w:val="24"/>
          <w:rtl/>
        </w:rPr>
        <w:t>הָדָא הוּא דִּכְתִיב (בראשית א, ד) וַיַּבְדֵּל אֱלֹהִים בֵּין הָאוֹר וּבֵין הַחֹשֶׁךְ</w:t>
      </w:r>
      <w:r w:rsidRPr="00007309">
        <w:rPr>
          <w:rFonts w:cs="Arial" w:hint="cs"/>
          <w:b/>
          <w:bCs/>
          <w:sz w:val="24"/>
          <w:szCs w:val="24"/>
          <w:rtl/>
        </w:rPr>
        <w:t>.</w:t>
      </w:r>
      <w:r w:rsidRPr="00007309">
        <w:rPr>
          <w:rFonts w:cs="Arial"/>
          <w:b/>
          <w:bCs/>
          <w:sz w:val="24"/>
          <w:szCs w:val="24"/>
          <w:rtl/>
        </w:rPr>
        <w:t xml:space="preserve"> וְצָרִיךְ לְמֶעֱבַד קִצּוּץ בֵּהּ </w:t>
      </w:r>
      <w:r w:rsidRPr="00007309">
        <w:rPr>
          <w:rFonts w:ascii="Cambria" w:hAnsi="Cambria" w:cs="Times New Roman" w:hint="cs"/>
          <w:b/>
          <w:bCs/>
          <w:i/>
          <w:iCs/>
          <w:color w:val="4F81BD"/>
          <w:sz w:val="24"/>
          <w:szCs w:val="24"/>
          <w:rtl/>
        </w:rPr>
        <w:t>(וילנא כה ע"א)</w:t>
      </w:r>
      <w:r w:rsidRPr="00007309">
        <w:rPr>
          <w:rFonts w:cs="Arial" w:hint="cs"/>
          <w:b/>
          <w:bCs/>
          <w:sz w:val="24"/>
          <w:szCs w:val="24"/>
          <w:rtl/>
        </w:rPr>
        <w:t xml:space="preserve"> </w:t>
      </w:r>
      <w:r w:rsidRPr="00007309">
        <w:rPr>
          <w:rFonts w:cs="Arial"/>
          <w:b/>
          <w:bCs/>
          <w:sz w:val="24"/>
          <w:szCs w:val="24"/>
          <w:rtl/>
        </w:rPr>
        <w:t xml:space="preserve">לְמֶהֱוֵי בַּר נָשׁ בְּלֹא יֵצֶר הָרָע, </w:t>
      </w:r>
      <w:r w:rsidRPr="00007309">
        <w:rPr>
          <w:rFonts w:cs="Arial"/>
          <w:b/>
          <w:bCs/>
          <w:sz w:val="36"/>
          <w:szCs w:val="28"/>
          <w:vertAlign w:val="superscript"/>
          <w:rtl/>
        </w:rPr>
        <w:footnoteReference w:id="7225"/>
      </w:r>
      <w:r w:rsidRPr="00007309">
        <w:rPr>
          <w:rFonts w:cs="Arial"/>
          <w:b/>
          <w:bCs/>
          <w:sz w:val="24"/>
          <w:szCs w:val="24"/>
          <w:rtl/>
        </w:rPr>
        <w:t>כְּגַוְנָא דְּ</w:t>
      </w:r>
      <w:r w:rsidRPr="00007309">
        <w:rPr>
          <w:rFonts w:cs="Arial" w:hint="cs"/>
          <w:b/>
          <w:bCs/>
          <w:sz w:val="24"/>
          <w:szCs w:val="24"/>
          <w:rtl/>
        </w:rPr>
        <w:t>ד</w:t>
      </w:r>
      <w:r w:rsidRPr="00007309">
        <w:rPr>
          <w:rFonts w:cs="Arial"/>
          <w:b/>
          <w:bCs/>
          <w:sz w:val="24"/>
          <w:szCs w:val="24"/>
          <w:rtl/>
        </w:rPr>
        <w:t>ָ</w:t>
      </w:r>
      <w:r w:rsidRPr="00007309">
        <w:rPr>
          <w:rFonts w:cs="Arial" w:hint="cs"/>
          <w:b/>
          <w:bCs/>
          <w:sz w:val="24"/>
          <w:szCs w:val="24"/>
          <w:rtl/>
        </w:rPr>
        <w:t>ו</w:t>
      </w:r>
      <w:r w:rsidRPr="00007309">
        <w:rPr>
          <w:rFonts w:cs="Arial"/>
          <w:b/>
          <w:bCs/>
          <w:sz w:val="24"/>
          <w:szCs w:val="24"/>
          <w:rtl/>
        </w:rPr>
        <w:t>ִ</w:t>
      </w:r>
      <w:r w:rsidRPr="00007309">
        <w:rPr>
          <w:rFonts w:cs="Arial" w:hint="cs"/>
          <w:b/>
          <w:bCs/>
          <w:sz w:val="24"/>
          <w:szCs w:val="24"/>
          <w:rtl/>
        </w:rPr>
        <w:t xml:space="preserve">ד </w:t>
      </w:r>
      <w:r w:rsidRPr="00007309">
        <w:rPr>
          <w:rFonts w:cs="Arial"/>
          <w:b/>
          <w:bCs/>
          <w:sz w:val="24"/>
          <w:szCs w:val="24"/>
          <w:rtl/>
        </w:rPr>
        <w:t xml:space="preserve">דְּקָצִיץ לֵהּ מִנֵּהּ וַהֲרָגֵהּ בְּגַרְסָתֵהּ, </w:t>
      </w:r>
      <w:r w:rsidRPr="00007309">
        <w:rPr>
          <w:rFonts w:cs="Arial"/>
          <w:b/>
          <w:bCs/>
          <w:sz w:val="36"/>
          <w:szCs w:val="28"/>
          <w:vertAlign w:val="superscript"/>
          <w:rtl/>
        </w:rPr>
        <w:footnoteReference w:id="7226"/>
      </w:r>
      <w:r w:rsidRPr="00007309">
        <w:rPr>
          <w:rFonts w:cs="Arial"/>
          <w:b/>
          <w:bCs/>
          <w:sz w:val="24"/>
          <w:szCs w:val="24"/>
          <w:rtl/>
        </w:rPr>
        <w:t>הָדָא הוּא דִּכְתִיב (תהלים קו) לִבִּי חָלָל</w:t>
      </w:r>
      <w:r w:rsidRPr="00007309">
        <w:rPr>
          <w:rFonts w:cs="Arial"/>
          <w:b/>
          <w:bCs/>
          <w:sz w:val="24"/>
          <w:szCs w:val="24"/>
        </w:rPr>
        <w:t xml:space="preserve"> </w:t>
      </w:r>
      <w:r w:rsidRPr="00007309">
        <w:rPr>
          <w:rFonts w:cs="Arial"/>
          <w:b/>
          <w:bCs/>
          <w:sz w:val="24"/>
          <w:szCs w:val="24"/>
          <w:rtl/>
        </w:rPr>
        <w:t xml:space="preserve">בְּקִרְבִּי. </w:t>
      </w:r>
      <w:r w:rsidRPr="00007309">
        <w:rPr>
          <w:rFonts w:cs="Arial"/>
          <w:b/>
          <w:bCs/>
          <w:sz w:val="36"/>
          <w:szCs w:val="28"/>
          <w:vertAlign w:val="superscript"/>
          <w:rtl/>
        </w:rPr>
        <w:footnoteReference w:id="7227"/>
      </w:r>
      <w:r w:rsidRPr="00007309">
        <w:rPr>
          <w:rFonts w:cs="Arial"/>
          <w:b/>
          <w:bCs/>
          <w:sz w:val="24"/>
          <w:szCs w:val="24"/>
          <w:rtl/>
        </w:rPr>
        <w:t>וְלָקֳבֵל מ"ט מִן מְטַטְרוֹ"ן אִנּוּן מ"ט פָּנִים טָהוֹר. וּמִסִּטְרָא דְּסַמָּאֵ"ל מ"ט פָּנִים</w:t>
      </w:r>
      <w:r w:rsidRPr="00007309">
        <w:rPr>
          <w:rFonts w:cs="Arial"/>
          <w:b/>
          <w:bCs/>
          <w:sz w:val="24"/>
          <w:szCs w:val="28"/>
        </w:rPr>
        <w:t xml:space="preserve"> </w:t>
      </w:r>
      <w:r w:rsidRPr="00007309">
        <w:rPr>
          <w:rFonts w:cs="Arial"/>
          <w:b/>
          <w:bCs/>
          <w:sz w:val="24"/>
          <w:szCs w:val="24"/>
          <w:rtl/>
        </w:rPr>
        <w:t xml:space="preserve">טָמֵא. וּמָאן דְּזָכֵי </w:t>
      </w:r>
      <w:r w:rsidRPr="00007309">
        <w:rPr>
          <w:rFonts w:cs="Arial"/>
          <w:b/>
          <w:bCs/>
          <w:sz w:val="36"/>
          <w:szCs w:val="28"/>
          <w:vertAlign w:val="superscript"/>
          <w:rtl/>
        </w:rPr>
        <w:footnoteReference w:id="7228"/>
      </w:r>
      <w:r w:rsidRPr="00007309">
        <w:rPr>
          <w:rFonts w:cs="Arial"/>
          <w:b/>
          <w:bCs/>
          <w:sz w:val="24"/>
          <w:szCs w:val="24"/>
          <w:rtl/>
        </w:rPr>
        <w:t>לְחַבְּרָא ה' למ"ט פָּנִים דְּטָהוֹר דְּאִיהוּ חֲמִשָּׁא חֻמְשֵׁי תּוֹרָה, אִתְעָבִיד מטה</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229"/>
      </w:r>
      <w:r w:rsidRPr="00007309">
        <w:rPr>
          <w:rFonts w:cs="Arial"/>
          <w:b/>
          <w:bCs/>
          <w:sz w:val="24"/>
          <w:szCs w:val="24"/>
          <w:rtl/>
        </w:rPr>
        <w:t xml:space="preserve">לְמַחֲאָה בֵּהּ לְיִצְרֵהּ בְּאָת י' </w:t>
      </w:r>
      <w:r w:rsidRPr="00007309">
        <w:rPr>
          <w:rFonts w:cs="Arial"/>
          <w:b/>
          <w:bCs/>
          <w:sz w:val="36"/>
          <w:szCs w:val="28"/>
          <w:vertAlign w:val="superscript"/>
          <w:rtl/>
        </w:rPr>
        <w:footnoteReference w:id="7230"/>
      </w:r>
      <w:r w:rsidRPr="00007309">
        <w:rPr>
          <w:rFonts w:cs="Arial"/>
          <w:b/>
          <w:bCs/>
          <w:sz w:val="24"/>
          <w:szCs w:val="24"/>
          <w:rtl/>
        </w:rPr>
        <w:t>דְּאִיהִי עֶשֶׂר מְחָאָן</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231"/>
      </w:r>
      <w:r w:rsidRPr="00007309">
        <w:rPr>
          <w:rFonts w:cs="Arial"/>
          <w:b/>
          <w:bCs/>
          <w:sz w:val="24"/>
          <w:szCs w:val="24"/>
          <w:rtl/>
        </w:rPr>
        <w:t xml:space="preserve">וְהַיְנוּ, הֵ"י מִן אֱלֹהִים. וּבְגִין דָּא אִתְקְרֵי מַטֵה הָאֱלֹהִים. </w:t>
      </w:r>
      <w:r w:rsidRPr="00007309">
        <w:rPr>
          <w:rFonts w:cs="Arial"/>
          <w:b/>
          <w:bCs/>
          <w:sz w:val="36"/>
          <w:szCs w:val="28"/>
          <w:vertAlign w:val="superscript"/>
          <w:rtl/>
        </w:rPr>
        <w:footnoteReference w:id="7232"/>
      </w:r>
      <w:r w:rsidRPr="00007309">
        <w:rPr>
          <w:rFonts w:cs="Arial"/>
          <w:b/>
          <w:bCs/>
          <w:sz w:val="24"/>
          <w:szCs w:val="24"/>
          <w:rtl/>
        </w:rPr>
        <w:t xml:space="preserve">וּבַעַל הַאי מַטֶה אִיהוּ ו' </w:t>
      </w:r>
      <w:r w:rsidRPr="00007309">
        <w:rPr>
          <w:rFonts w:cs="Arial"/>
          <w:b/>
          <w:bCs/>
          <w:sz w:val="36"/>
          <w:szCs w:val="28"/>
          <w:vertAlign w:val="superscript"/>
          <w:rtl/>
        </w:rPr>
        <w:footnoteReference w:id="7233"/>
      </w:r>
      <w:r w:rsidRPr="00007309">
        <w:rPr>
          <w:rFonts w:cs="Arial"/>
          <w:b/>
          <w:bCs/>
          <w:sz w:val="24"/>
          <w:szCs w:val="24"/>
          <w:rtl/>
        </w:rPr>
        <w:t xml:space="preserve">דְּאִתְּמַר בֵּהּ (שמות לד) הִנֵּה אָנֹכִי כּוֹרֵת בְּרִית נֶגֶד כָּל עַמְּךָ, </w:t>
      </w:r>
      <w:r w:rsidRPr="00007309">
        <w:rPr>
          <w:rFonts w:cs="Arial"/>
          <w:b/>
          <w:bCs/>
          <w:sz w:val="36"/>
          <w:szCs w:val="28"/>
          <w:vertAlign w:val="superscript"/>
          <w:rtl/>
        </w:rPr>
        <w:footnoteReference w:id="7234"/>
      </w:r>
      <w:r w:rsidRPr="00007309">
        <w:rPr>
          <w:rFonts w:cs="Arial"/>
          <w:b/>
          <w:bCs/>
          <w:sz w:val="24"/>
          <w:szCs w:val="24"/>
          <w:rtl/>
        </w:rPr>
        <w:t>דְּכָרַת עִמֵּהּ י"ג מְכִילָן דְּרַחֲמֵי דְּלֹא</w:t>
      </w:r>
      <w:r w:rsidRPr="00007309">
        <w:rPr>
          <w:rFonts w:cs="Arial"/>
          <w:b/>
          <w:bCs/>
          <w:sz w:val="24"/>
          <w:szCs w:val="24"/>
        </w:rPr>
        <w:t xml:space="preserve"> </w:t>
      </w:r>
      <w:r w:rsidRPr="00007309">
        <w:rPr>
          <w:rFonts w:cs="Arial"/>
          <w:b/>
          <w:bCs/>
          <w:sz w:val="24"/>
          <w:szCs w:val="24"/>
          <w:rtl/>
        </w:rPr>
        <w:t xml:space="preserve">יַחֲזֹר רֵיקָם בִּצְלוֹתֵהּ. </w:t>
      </w:r>
      <w:r w:rsidRPr="00007309">
        <w:rPr>
          <w:rFonts w:cs="Arial"/>
          <w:b/>
          <w:bCs/>
          <w:sz w:val="36"/>
          <w:szCs w:val="28"/>
          <w:vertAlign w:val="superscript"/>
          <w:rtl/>
        </w:rPr>
        <w:footnoteReference w:id="7235"/>
      </w:r>
      <w:r w:rsidRPr="00007309">
        <w:rPr>
          <w:rFonts w:cs="Arial"/>
          <w:b/>
          <w:bCs/>
          <w:sz w:val="24"/>
          <w:szCs w:val="24"/>
          <w:rtl/>
        </w:rPr>
        <w:t>דְּאלם בְּלֹא ה"י אִ</w:t>
      </w:r>
      <w:r w:rsidRPr="00007309">
        <w:rPr>
          <w:rFonts w:cs="Arial" w:hint="cs"/>
          <w:b/>
          <w:bCs/>
          <w:sz w:val="24"/>
          <w:szCs w:val="24"/>
          <w:rtl/>
        </w:rPr>
        <w:t>יה</w:t>
      </w:r>
      <w:r w:rsidRPr="00007309">
        <w:rPr>
          <w:rFonts w:cs="Arial"/>
          <w:b/>
          <w:bCs/>
          <w:sz w:val="24"/>
          <w:szCs w:val="24"/>
          <w:rtl/>
        </w:rPr>
        <w:t xml:space="preserve">ִי רֵיקָם. וְדָא הוּא דְּאָמַר יַעֲקֹב </w:t>
      </w:r>
      <w:r w:rsidRPr="00007309">
        <w:rPr>
          <w:rFonts w:cs="Arial"/>
          <w:b/>
          <w:bCs/>
          <w:sz w:val="36"/>
          <w:szCs w:val="28"/>
          <w:vertAlign w:val="superscript"/>
          <w:rtl/>
        </w:rPr>
        <w:footnoteReference w:id="7236"/>
      </w:r>
      <w:r w:rsidRPr="00007309">
        <w:rPr>
          <w:rFonts w:cs="Arial"/>
          <w:b/>
          <w:bCs/>
          <w:sz w:val="24"/>
          <w:szCs w:val="24"/>
          <w:rtl/>
        </w:rPr>
        <w:t xml:space="preserve">לוּלֵי אֱלֹהֵי אָבִי אֱלֹהֵי אַבְרָהָם וּפַחַד יִצְחָק הָיָה לִי כִּי עַתָּה </w:t>
      </w:r>
      <w:r w:rsidRPr="00007309">
        <w:rPr>
          <w:rFonts w:cs="Arial"/>
          <w:b/>
          <w:bCs/>
          <w:sz w:val="36"/>
          <w:szCs w:val="28"/>
          <w:vertAlign w:val="superscript"/>
          <w:rtl/>
        </w:rPr>
        <w:footnoteReference w:id="7237"/>
      </w:r>
      <w:r w:rsidRPr="00007309">
        <w:rPr>
          <w:rFonts w:cs="Arial"/>
          <w:b/>
          <w:bCs/>
          <w:sz w:val="24"/>
          <w:szCs w:val="24"/>
          <w:rtl/>
        </w:rPr>
        <w:t>רֵיקָם שְׁלַחְתַּנִי (</w:t>
      </w:r>
      <w:r w:rsidRPr="00007309">
        <w:rPr>
          <w:rFonts w:cs="Arial" w:hint="cs"/>
          <w:b/>
          <w:bCs/>
          <w:sz w:val="24"/>
          <w:szCs w:val="24"/>
          <w:rtl/>
        </w:rPr>
        <w:t>בראשית</w:t>
      </w:r>
      <w:r w:rsidRPr="00007309">
        <w:rPr>
          <w:rFonts w:cs="Arial"/>
          <w:b/>
          <w:bCs/>
          <w:sz w:val="24"/>
          <w:szCs w:val="24"/>
          <w:rtl/>
        </w:rPr>
        <w:t xml:space="preserve"> לא). וְאַמַּאי בְּגִין דאִתְּמַר בְּלָבָן וַתַּחֲלֵף אֶת מַשְׂכֻּרְתִּי עֲשֶׂרֶת מוֹנִים (שם ל"א מ"א)</w:t>
      </w:r>
      <w:r w:rsidRPr="00007309">
        <w:rPr>
          <w:rFonts w:cs="Arial" w:hint="cs"/>
          <w:b/>
          <w:bCs/>
          <w:sz w:val="24"/>
          <w:szCs w:val="24"/>
          <w:rtl/>
        </w:rPr>
        <w:t>,</w:t>
      </w:r>
      <w:r w:rsidRPr="00007309">
        <w:rPr>
          <w:rFonts w:cs="Arial"/>
          <w:b/>
          <w:bCs/>
          <w:sz w:val="24"/>
          <w:szCs w:val="24"/>
          <w:rtl/>
        </w:rPr>
        <w:t xml:space="preserve"> וּבְאָת י' אִתְעָבִיד לִיהַ נֵס. </w:t>
      </w:r>
      <w:r w:rsidRPr="00007309">
        <w:rPr>
          <w:rFonts w:cs="Arial"/>
          <w:b/>
          <w:bCs/>
          <w:sz w:val="36"/>
          <w:szCs w:val="28"/>
          <w:vertAlign w:val="superscript"/>
          <w:rtl/>
        </w:rPr>
        <w:footnoteReference w:id="7238"/>
      </w:r>
      <w:r w:rsidRPr="00007309">
        <w:rPr>
          <w:rFonts w:cs="Arial"/>
          <w:b/>
          <w:bCs/>
          <w:sz w:val="24"/>
          <w:szCs w:val="24"/>
          <w:rtl/>
        </w:rPr>
        <w:t>דֶּאֱלֹהִים אַפִּיק מִנֵּהּ הֵ"י, נִשְׁאָר אל"ם</w:t>
      </w:r>
      <w:r w:rsidRPr="00007309">
        <w:rPr>
          <w:rFonts w:cs="Arial" w:hint="cs"/>
          <w:b/>
          <w:bCs/>
          <w:sz w:val="24"/>
          <w:szCs w:val="24"/>
          <w:rtl/>
        </w:rPr>
        <w:t>,</w:t>
      </w:r>
      <w:r w:rsidRPr="00007309">
        <w:rPr>
          <w:rFonts w:cs="Arial"/>
          <w:b/>
          <w:bCs/>
          <w:sz w:val="24"/>
          <w:szCs w:val="24"/>
          <w:rtl/>
        </w:rPr>
        <w:t xml:space="preserve"> רֵיק </w:t>
      </w:r>
      <w:r w:rsidRPr="00007309">
        <w:rPr>
          <w:rFonts w:cs="Arial"/>
          <w:b/>
          <w:bCs/>
          <w:sz w:val="36"/>
          <w:szCs w:val="28"/>
          <w:vertAlign w:val="superscript"/>
          <w:rtl/>
        </w:rPr>
        <w:footnoteReference w:id="7239"/>
      </w:r>
      <w:r w:rsidRPr="00007309">
        <w:rPr>
          <w:rFonts w:cs="Arial"/>
          <w:b/>
          <w:bCs/>
          <w:sz w:val="24"/>
          <w:szCs w:val="24"/>
          <w:rtl/>
        </w:rPr>
        <w:t xml:space="preserve">בְּלֹא אוֹרַיְתָא דִּבְעַל פֶּה. אֲבָל מָאן דְּצַלֵּי צְלוֹתָא לְאִילָנָא דְּחַיֵּי, לֹא יַחֲזֹר רֵיקָם בִּצְלוֹתֵהּ לְעוֹלָם. </w:t>
      </w:r>
      <w:r w:rsidRPr="00007309">
        <w:rPr>
          <w:rFonts w:cs="Arial"/>
          <w:b/>
          <w:bCs/>
          <w:sz w:val="36"/>
          <w:szCs w:val="28"/>
          <w:vertAlign w:val="superscript"/>
          <w:rtl/>
        </w:rPr>
        <w:footnoteReference w:id="7240"/>
      </w:r>
      <w:r w:rsidRPr="00007309">
        <w:rPr>
          <w:rFonts w:cs="Arial"/>
          <w:b/>
          <w:bCs/>
          <w:sz w:val="24"/>
          <w:szCs w:val="24"/>
          <w:rtl/>
        </w:rPr>
        <w:t xml:space="preserve">וּבְגִין דָּא אִית אֱלֹהִים מִסִּטְרָא דְּעֵץ הַדַּעַת טוֹב וָרָע, </w:t>
      </w:r>
      <w:r w:rsidRPr="00007309">
        <w:rPr>
          <w:rFonts w:cs="Arial"/>
          <w:b/>
          <w:bCs/>
          <w:sz w:val="36"/>
          <w:szCs w:val="28"/>
          <w:vertAlign w:val="superscript"/>
          <w:rtl/>
        </w:rPr>
        <w:footnoteReference w:id="7241"/>
      </w:r>
      <w:r w:rsidRPr="00007309">
        <w:rPr>
          <w:rFonts w:cs="Arial"/>
          <w:b/>
          <w:bCs/>
          <w:sz w:val="24"/>
          <w:szCs w:val="24"/>
          <w:rtl/>
        </w:rPr>
        <w:t>וְאִית אֱלֹהִים חַיִּים וּמֶלֶךְ עוֹלָם מִסִּטְרָא דְּאִילָנָא דְּחַיֵּי</w:t>
      </w:r>
      <w:r w:rsidRPr="00007309">
        <w:rPr>
          <w:rFonts w:cs="Arial" w:hint="cs"/>
          <w:b/>
          <w:bCs/>
          <w:sz w:val="24"/>
          <w:szCs w:val="24"/>
          <w:rtl/>
        </w:rPr>
        <w:t>.</w:t>
      </w:r>
      <w:r w:rsidRPr="00007309">
        <w:rPr>
          <w:rFonts w:cs="Arial"/>
          <w:b/>
          <w:bCs/>
          <w:sz w:val="24"/>
          <w:szCs w:val="24"/>
          <w:rtl/>
        </w:rPr>
        <w:t xml:space="preserve"> וְלֹא זָכִין לֵהּ אֶלָּא מָארֵי קַבָּלָה דְּיָדְעִין רָזִין דְּאוֹרַיְתָא. א"ל בּוּצִינָא קַדִּישָׁא לְהַהוּא סָבָא </w:t>
      </w:r>
      <w:r w:rsidRPr="00007309">
        <w:rPr>
          <w:rFonts w:cs="Arial"/>
          <w:b/>
          <w:bCs/>
          <w:sz w:val="36"/>
          <w:szCs w:val="28"/>
          <w:vertAlign w:val="superscript"/>
          <w:rtl/>
        </w:rPr>
        <w:footnoteReference w:id="7242"/>
      </w:r>
      <w:r w:rsidRPr="00007309">
        <w:rPr>
          <w:rFonts w:cs="Arial"/>
          <w:b/>
          <w:bCs/>
          <w:sz w:val="24"/>
          <w:szCs w:val="24"/>
          <w:rtl/>
        </w:rPr>
        <w:t>בְּמַאי אִשְׁתְּמוֹדַע מָאן דְּאִיהוּ בְּאִילָנָא דְּחַיֵּי</w:t>
      </w:r>
      <w:r w:rsidRPr="00007309">
        <w:rPr>
          <w:rFonts w:cs="Arial" w:hint="cs"/>
          <w:b/>
          <w:bCs/>
          <w:sz w:val="24"/>
          <w:szCs w:val="24"/>
          <w:rtl/>
        </w:rPr>
        <w:t>,</w:t>
      </w:r>
      <w:r w:rsidRPr="00007309">
        <w:rPr>
          <w:rFonts w:cs="Arial"/>
          <w:b/>
          <w:bCs/>
          <w:sz w:val="24"/>
          <w:szCs w:val="24"/>
          <w:rtl/>
        </w:rPr>
        <w:t xml:space="preserve"> דְּאִיהוּ </w:t>
      </w:r>
      <w:r w:rsidRPr="00007309">
        <w:rPr>
          <w:rFonts w:cs="Arial"/>
          <w:b/>
          <w:bCs/>
          <w:sz w:val="36"/>
          <w:szCs w:val="28"/>
          <w:vertAlign w:val="superscript"/>
          <w:rtl/>
        </w:rPr>
        <w:footnoteReference w:id="7243"/>
      </w:r>
      <w:r w:rsidRPr="00007309">
        <w:rPr>
          <w:rFonts w:cs="Arial"/>
          <w:b/>
          <w:bCs/>
          <w:sz w:val="24"/>
          <w:szCs w:val="24"/>
          <w:rtl/>
        </w:rPr>
        <w:t>עֶשֶׂר סְפִירוֹת בְּלִימָ"ה</w:t>
      </w:r>
      <w:r w:rsidRPr="00007309">
        <w:rPr>
          <w:rFonts w:cs="Arial" w:hint="cs"/>
          <w:b/>
          <w:bCs/>
          <w:sz w:val="24"/>
          <w:szCs w:val="24"/>
          <w:rtl/>
        </w:rPr>
        <w:t>,</w:t>
      </w:r>
      <w:r w:rsidRPr="00007309">
        <w:rPr>
          <w:rFonts w:cs="Arial"/>
          <w:b/>
          <w:bCs/>
          <w:sz w:val="24"/>
          <w:szCs w:val="24"/>
          <w:rtl/>
        </w:rPr>
        <w:t xml:space="preserve"> בְּיוּ"ד אַתְוָן דִּשְׁמָא מְפֹרָשׁ</w:t>
      </w:r>
      <w:r w:rsidRPr="00007309">
        <w:rPr>
          <w:rFonts w:cs="Arial" w:hint="cs"/>
          <w:b/>
          <w:bCs/>
          <w:sz w:val="24"/>
          <w:szCs w:val="24"/>
          <w:rtl/>
        </w:rPr>
        <w:t>,</w:t>
      </w:r>
      <w:r w:rsidRPr="00007309">
        <w:rPr>
          <w:rFonts w:cs="Arial"/>
          <w:b/>
          <w:bCs/>
          <w:sz w:val="24"/>
          <w:szCs w:val="24"/>
          <w:rtl/>
        </w:rPr>
        <w:t xml:space="preserve"> דְּאִיהוּ אָדָם דַּאֲצִילוּת</w:t>
      </w:r>
      <w:r w:rsidRPr="00007309">
        <w:rPr>
          <w:rFonts w:cs="Arial" w:hint="cs"/>
          <w:b/>
          <w:bCs/>
          <w:sz w:val="24"/>
          <w:szCs w:val="24"/>
          <w:rtl/>
        </w:rPr>
        <w:t>,</w:t>
      </w:r>
      <w:r w:rsidRPr="00007309">
        <w:rPr>
          <w:rFonts w:cs="Arial"/>
          <w:b/>
          <w:bCs/>
          <w:sz w:val="24"/>
          <w:szCs w:val="24"/>
          <w:rtl/>
        </w:rPr>
        <w:t xml:space="preserve"> דְּהָכֵי סָלִיק יוּ"ד הֵ"א וָא"ו הֵ"א לְחֻשְׁבַּן אָדָם</w:t>
      </w:r>
      <w:r w:rsidRPr="00007309">
        <w:rPr>
          <w:rFonts w:cs="Arial"/>
          <w:b/>
          <w:bCs/>
          <w:sz w:val="24"/>
          <w:szCs w:val="24"/>
        </w:rPr>
        <w:t>:</w:t>
      </w:r>
    </w:p>
    <w:p w:rsidR="00007309" w:rsidRPr="00007309" w:rsidRDefault="00007309" w:rsidP="00007309">
      <w:pPr>
        <w:keepNext/>
        <w:spacing w:before="240" w:after="60"/>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[וילנא כה ע"ב]</w:t>
      </w:r>
    </w:p>
    <w:p w:rsidR="00007309" w:rsidRPr="00007309" w:rsidRDefault="00007309" w:rsidP="00007309">
      <w:pPr>
        <w:jc w:val="both"/>
        <w:rPr>
          <w:rFonts w:cs="Arial"/>
          <w:b/>
          <w:bCs/>
          <w:sz w:val="24"/>
          <w:szCs w:val="24"/>
          <w:rtl/>
        </w:rPr>
      </w:pPr>
      <w:r w:rsidRPr="00007309">
        <w:rPr>
          <w:rFonts w:cs="Arial"/>
          <w:b/>
          <w:bCs/>
          <w:sz w:val="24"/>
          <w:szCs w:val="24"/>
          <w:rtl/>
        </w:rPr>
        <w:t>לְמָאן דְּאִיהוּ מִסִּטְרָא דְּאָדָם דְּעֵץ הַדַּעַת טוֹב וָרָע</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244"/>
      </w:r>
      <w:r w:rsidRPr="00007309">
        <w:rPr>
          <w:rFonts w:cs="Arial"/>
          <w:b/>
          <w:bCs/>
          <w:sz w:val="24"/>
          <w:szCs w:val="24"/>
          <w:rtl/>
        </w:rPr>
        <w:t>דְּאִית בֵּהּ אָדָם טוֹב וְאָדָם בְּלִיַּעַל. א"ל בּוּצִינָא קַדִּישָׁא בֵּין אָדָם טוֹב דְּעֵץ הַדַּעַת, לְאָדָם דְּאִילָנָא דְּחַיֵּי, אִית חִלּוּף בְּהוֹן</w:t>
      </w:r>
      <w:r w:rsidRPr="00007309">
        <w:rPr>
          <w:rFonts w:cs="Arial" w:hint="cs"/>
          <w:b/>
          <w:bCs/>
          <w:sz w:val="24"/>
          <w:szCs w:val="24"/>
          <w:rtl/>
        </w:rPr>
        <w:t>,</w:t>
      </w:r>
      <w:r w:rsidRPr="00007309">
        <w:rPr>
          <w:rFonts w:cs="Arial"/>
          <w:b/>
          <w:bCs/>
          <w:sz w:val="24"/>
          <w:szCs w:val="24"/>
          <w:rtl/>
        </w:rPr>
        <w:t xml:space="preserve"> כְּגוֹן וְהִבְדִּילָה הַפָּרֹכֶת לָכֶם וְגוֹ'</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245"/>
      </w:r>
      <w:r w:rsidRPr="00007309">
        <w:rPr>
          <w:rFonts w:cs="Arial"/>
          <w:b/>
          <w:bCs/>
          <w:sz w:val="24"/>
          <w:szCs w:val="24"/>
          <w:rtl/>
        </w:rPr>
        <w:t>דְּדָא בַּבְּרִיאָה וְדָא בָּאֲצִילוּת</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246"/>
      </w:r>
      <w:r w:rsidRPr="00007309">
        <w:rPr>
          <w:rFonts w:cs="Arial"/>
          <w:b/>
          <w:bCs/>
          <w:sz w:val="24"/>
          <w:szCs w:val="24"/>
          <w:rtl/>
        </w:rPr>
        <w:t>אִשְׁתְּמוֹדַע</w:t>
      </w:r>
      <w:r w:rsidRPr="00007309">
        <w:rPr>
          <w:rFonts w:cs="Arial" w:hint="cs"/>
          <w:b/>
          <w:bCs/>
          <w:sz w:val="24"/>
          <w:szCs w:val="24"/>
          <w:rtl/>
        </w:rPr>
        <w:t>,</w:t>
      </w:r>
      <w:r w:rsidRPr="00007309">
        <w:rPr>
          <w:rFonts w:cs="Arial"/>
          <w:b/>
          <w:bCs/>
          <w:sz w:val="24"/>
          <w:szCs w:val="24"/>
          <w:rtl/>
        </w:rPr>
        <w:t xml:space="preserve"> מָאן דְּאִיהוּ מֵאִילָנָא דְּחַיֵּי</w:t>
      </w:r>
      <w:r w:rsidRPr="00007309">
        <w:rPr>
          <w:rFonts w:cs="Arial" w:hint="cs"/>
          <w:b/>
          <w:bCs/>
          <w:sz w:val="24"/>
          <w:szCs w:val="24"/>
          <w:rtl/>
        </w:rPr>
        <w:t>,</w:t>
      </w:r>
      <w:r w:rsidRPr="00007309">
        <w:rPr>
          <w:rFonts w:cs="Arial"/>
          <w:b/>
          <w:bCs/>
          <w:sz w:val="24"/>
          <w:szCs w:val="24"/>
          <w:rtl/>
        </w:rPr>
        <w:t xml:space="preserve"> נִשְׁמָתֵהּ וַדַּאי כַּד מָנַח תְּפִלִּין עַל רֵישֵׁהּ מִתְכַּוֵּן לְאַעֲלָא </w:t>
      </w:r>
      <w:r w:rsidRPr="00007309">
        <w:rPr>
          <w:rFonts w:cs="Arial"/>
          <w:b/>
          <w:bCs/>
          <w:sz w:val="36"/>
          <w:szCs w:val="28"/>
          <w:vertAlign w:val="superscript"/>
          <w:rtl/>
        </w:rPr>
        <w:footnoteReference w:id="7247"/>
      </w:r>
      <w:r w:rsidRPr="00007309">
        <w:rPr>
          <w:rFonts w:cs="Arial"/>
          <w:b/>
          <w:bCs/>
          <w:sz w:val="24"/>
          <w:szCs w:val="24"/>
          <w:rtl/>
        </w:rPr>
        <w:t>כָּל אֱלֹהִים אֲחֵרִים תְּחוֹת שֻׁלְטָנוּתָא דִּשְׁכִינְתָּא עִלָּאָה</w:t>
      </w:r>
      <w:r w:rsidRPr="00007309">
        <w:rPr>
          <w:rFonts w:cs="Arial" w:hint="cs"/>
          <w:b/>
          <w:bCs/>
          <w:sz w:val="24"/>
          <w:szCs w:val="24"/>
          <w:rtl/>
        </w:rPr>
        <w:t>,</w:t>
      </w:r>
      <w:r w:rsidRPr="00007309">
        <w:rPr>
          <w:rFonts w:cs="Arial"/>
          <w:b/>
          <w:bCs/>
          <w:sz w:val="24"/>
          <w:szCs w:val="24"/>
          <w:rtl/>
        </w:rPr>
        <w:t xml:space="preserve"> דְּאִיהִי תְּפִלִּין דְּרֵישָׁא דְּבַר נָשׁ, וּלְאַעֲלָא כָּל אֻמִּין </w:t>
      </w:r>
      <w:r w:rsidRPr="00007309">
        <w:rPr>
          <w:rFonts w:cs="Arial"/>
          <w:b/>
          <w:bCs/>
          <w:sz w:val="36"/>
          <w:szCs w:val="28"/>
          <w:vertAlign w:val="superscript"/>
          <w:rtl/>
        </w:rPr>
        <w:footnoteReference w:id="7248"/>
      </w:r>
      <w:r w:rsidRPr="00007309">
        <w:rPr>
          <w:rFonts w:cs="Arial"/>
          <w:b/>
          <w:bCs/>
          <w:sz w:val="24"/>
          <w:szCs w:val="24"/>
          <w:rtl/>
        </w:rPr>
        <w:t xml:space="preserve">תְּחוֹת יַד ה' </w:t>
      </w:r>
      <w:r w:rsidRPr="00007309">
        <w:rPr>
          <w:rFonts w:cs="Arial"/>
          <w:b/>
          <w:bCs/>
          <w:sz w:val="36"/>
          <w:szCs w:val="28"/>
          <w:vertAlign w:val="superscript"/>
          <w:rtl/>
        </w:rPr>
        <w:footnoteReference w:id="7249"/>
      </w:r>
      <w:r w:rsidRPr="00007309">
        <w:rPr>
          <w:rFonts w:cs="Arial"/>
          <w:b/>
          <w:bCs/>
          <w:sz w:val="24"/>
          <w:szCs w:val="24"/>
          <w:rtl/>
        </w:rPr>
        <w:t>דְּאִיהִי שְׁכִינְתָּא תַּתָּאָה</w:t>
      </w:r>
      <w:r w:rsidRPr="00007309">
        <w:rPr>
          <w:rFonts w:cs="Arial" w:hint="cs"/>
          <w:b/>
          <w:bCs/>
          <w:sz w:val="24"/>
          <w:szCs w:val="24"/>
          <w:rtl/>
        </w:rPr>
        <w:t>,</w:t>
      </w:r>
      <w:r w:rsidRPr="00007309">
        <w:rPr>
          <w:rFonts w:cs="Arial"/>
          <w:b/>
          <w:bCs/>
          <w:sz w:val="24"/>
          <w:szCs w:val="24"/>
          <w:rtl/>
        </w:rPr>
        <w:t xml:space="preserve"> בְּגִין דִּבְגָלוּתָא אִתְּמַר </w:t>
      </w:r>
      <w:r w:rsidRPr="00007309">
        <w:rPr>
          <w:rFonts w:cs="Arial" w:hint="cs"/>
          <w:b/>
          <w:bCs/>
          <w:sz w:val="24"/>
          <w:szCs w:val="24"/>
          <w:rtl/>
        </w:rPr>
        <w:t xml:space="preserve">(משלי ל) </w:t>
      </w:r>
      <w:r w:rsidRPr="00007309">
        <w:rPr>
          <w:rFonts w:cs="Arial"/>
          <w:b/>
          <w:bCs/>
          <w:sz w:val="24"/>
          <w:szCs w:val="24"/>
          <w:rtl/>
        </w:rPr>
        <w:t>תַּחַת שָׁלֹשׁ רָגְזָה הָאָרֶץ, תַּחַת עֶבֶד כִּי יִמְלוֹךְ</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250"/>
      </w:r>
      <w:r w:rsidRPr="00007309">
        <w:rPr>
          <w:rFonts w:cs="Arial"/>
          <w:b/>
          <w:bCs/>
          <w:sz w:val="24"/>
          <w:szCs w:val="24"/>
          <w:rtl/>
        </w:rPr>
        <w:t xml:space="preserve">וְנָבָל כִּי יִשְׂבַּע לֶחֶם, וְשִׁפְחָה כִּי תִירַשׁ גְּבִרְתָּא. וּבְגִין דָּא תְּפִלִּין דְּרֵישָׁא וְיָד </w:t>
      </w:r>
      <w:r w:rsidRPr="00007309">
        <w:rPr>
          <w:rFonts w:cs="Arial"/>
          <w:b/>
          <w:bCs/>
          <w:sz w:val="36"/>
          <w:szCs w:val="28"/>
          <w:vertAlign w:val="superscript"/>
          <w:rtl/>
        </w:rPr>
        <w:footnoteReference w:id="7251"/>
      </w:r>
      <w:r w:rsidRPr="00007309">
        <w:rPr>
          <w:rFonts w:cs="Arial"/>
          <w:b/>
          <w:bCs/>
          <w:sz w:val="24"/>
          <w:szCs w:val="24"/>
          <w:rtl/>
        </w:rPr>
        <w:t xml:space="preserve">לְאַעֲלָא שִׁפְחָה תְּחוֹת גְּבִרְתָּהּ עֵלָּא וְתַתָּא. וּבַהַזְכָּרוֹת דִּלְגָאו </w:t>
      </w:r>
      <w:r w:rsidRPr="00007309">
        <w:rPr>
          <w:rFonts w:cs="Arial"/>
          <w:b/>
          <w:bCs/>
          <w:sz w:val="36"/>
          <w:szCs w:val="28"/>
          <w:vertAlign w:val="superscript"/>
          <w:rtl/>
        </w:rPr>
        <w:footnoteReference w:id="7252"/>
      </w:r>
      <w:r w:rsidRPr="00007309">
        <w:rPr>
          <w:rFonts w:cs="Arial"/>
          <w:b/>
          <w:bCs/>
          <w:sz w:val="24"/>
          <w:szCs w:val="24"/>
          <w:rtl/>
        </w:rPr>
        <w:t>דִּכְלִילָן בְּהוֹן</w:t>
      </w:r>
      <w:r w:rsidRPr="00007309">
        <w:rPr>
          <w:rFonts w:cs="Arial" w:hint="cs"/>
          <w:b/>
          <w:bCs/>
          <w:sz w:val="24"/>
          <w:szCs w:val="24"/>
          <w:rtl/>
        </w:rPr>
        <w:t>,</w:t>
      </w:r>
      <w:r w:rsidRPr="00007309">
        <w:rPr>
          <w:rFonts w:cs="Arial"/>
          <w:b/>
          <w:bCs/>
          <w:sz w:val="24"/>
          <w:szCs w:val="24"/>
          <w:rtl/>
        </w:rPr>
        <w:t xml:space="preserve"> דְּאִיהוּ </w:t>
      </w:r>
      <w:r w:rsidRPr="00007309">
        <w:rPr>
          <w:rFonts w:cs="Arial"/>
          <w:b/>
          <w:bCs/>
          <w:sz w:val="36"/>
          <w:szCs w:val="28"/>
          <w:vertAlign w:val="superscript"/>
          <w:rtl/>
        </w:rPr>
        <w:footnoteReference w:id="7253"/>
      </w:r>
      <w:r w:rsidRPr="00007309">
        <w:rPr>
          <w:rFonts w:cs="Arial"/>
          <w:b/>
          <w:bCs/>
          <w:sz w:val="24"/>
          <w:szCs w:val="24"/>
          <w:rtl/>
        </w:rPr>
        <w:t xml:space="preserve">שָׁקוּל לְאוֹרַיְתָא, צָרִיךְ </w:t>
      </w:r>
      <w:r w:rsidRPr="00007309">
        <w:rPr>
          <w:rFonts w:cs="Arial"/>
          <w:b/>
          <w:bCs/>
          <w:sz w:val="36"/>
          <w:szCs w:val="28"/>
          <w:vertAlign w:val="superscript"/>
          <w:rtl/>
        </w:rPr>
        <w:footnoteReference w:id="7254"/>
      </w:r>
      <w:r w:rsidRPr="00007309">
        <w:rPr>
          <w:rFonts w:cs="Arial"/>
          <w:b/>
          <w:bCs/>
          <w:sz w:val="24"/>
          <w:szCs w:val="24"/>
          <w:rtl/>
        </w:rPr>
        <w:t xml:space="preserve">לְאַעֲלָא עֶבֶד תַּחַת רַבּוֹ עֵלָּא וְתַתָּא. וְדָא אִקְּרֵי בָּרָא דְּקֻדְשָׁא בְּרִיךְ הוּא וּשְׁכִינְתֵּהּ. </w:t>
      </w:r>
      <w:r w:rsidRPr="00007309">
        <w:rPr>
          <w:rFonts w:cs="Arial"/>
          <w:b/>
          <w:bCs/>
          <w:sz w:val="36"/>
          <w:szCs w:val="28"/>
          <w:vertAlign w:val="superscript"/>
          <w:rtl/>
        </w:rPr>
        <w:footnoteReference w:id="7255"/>
      </w:r>
      <w:r w:rsidRPr="00007309">
        <w:rPr>
          <w:rFonts w:cs="Arial"/>
          <w:b/>
          <w:bCs/>
          <w:sz w:val="24"/>
          <w:szCs w:val="24"/>
          <w:rtl/>
        </w:rPr>
        <w:t xml:space="preserve">הָדָא הוּא דִּכְתִיב </w:t>
      </w:r>
      <w:r w:rsidRPr="00007309">
        <w:rPr>
          <w:rFonts w:cs="Arial" w:hint="cs"/>
          <w:b/>
          <w:bCs/>
          <w:sz w:val="24"/>
          <w:szCs w:val="24"/>
          <w:rtl/>
        </w:rPr>
        <w:t xml:space="preserve">(שמות ב) </w:t>
      </w:r>
      <w:r w:rsidRPr="00007309">
        <w:rPr>
          <w:rFonts w:cs="Arial"/>
          <w:b/>
          <w:bCs/>
          <w:sz w:val="24"/>
          <w:szCs w:val="24"/>
          <w:rtl/>
        </w:rPr>
        <w:t xml:space="preserve">כֹּה אָמַר ה' בְּנִי בְּכֹרִי יִשְׂרָאֵל. וְאִלֵּין דְּעָבְדִין דָּא אִתְּמַר בְּהוֹן </w:t>
      </w:r>
      <w:r w:rsidRPr="00007309">
        <w:rPr>
          <w:rFonts w:cs="Arial" w:hint="cs"/>
          <w:b/>
          <w:bCs/>
          <w:sz w:val="24"/>
          <w:szCs w:val="24"/>
          <w:rtl/>
        </w:rPr>
        <w:t xml:space="preserve">(דברים יד) </w:t>
      </w:r>
      <w:r w:rsidRPr="00007309">
        <w:rPr>
          <w:rFonts w:cs="Arial"/>
          <w:b/>
          <w:bCs/>
          <w:sz w:val="36"/>
          <w:szCs w:val="28"/>
          <w:vertAlign w:val="superscript"/>
          <w:rtl/>
        </w:rPr>
        <w:footnoteReference w:id="7256"/>
      </w:r>
      <w:r w:rsidRPr="00007309">
        <w:rPr>
          <w:rFonts w:cs="Arial"/>
          <w:b/>
          <w:bCs/>
          <w:sz w:val="24"/>
          <w:szCs w:val="24"/>
          <w:rtl/>
        </w:rPr>
        <w:t xml:space="preserve">בָּנִים אַתֶּם לַה' אֱלֹהֵיכֶם. וּבְגִין דָּא אָמַר </w:t>
      </w:r>
      <w:r w:rsidRPr="00007309">
        <w:rPr>
          <w:rFonts w:ascii="Cambria" w:hAnsi="Cambria" w:cs="Times New Roman" w:hint="cs"/>
          <w:b/>
          <w:bCs/>
          <w:i/>
          <w:iCs/>
          <w:color w:val="4F81BD"/>
          <w:sz w:val="24"/>
          <w:szCs w:val="24"/>
          <w:rtl/>
        </w:rPr>
        <w:t>(וילנא כה ע"ב)</w:t>
      </w:r>
      <w:r w:rsidRPr="00007309">
        <w:rPr>
          <w:rFonts w:cs="Arial" w:hint="cs"/>
          <w:b/>
          <w:bCs/>
          <w:sz w:val="24"/>
          <w:szCs w:val="24"/>
          <w:rtl/>
        </w:rPr>
        <w:t xml:space="preserve"> </w:t>
      </w:r>
      <w:r w:rsidRPr="00007309">
        <w:rPr>
          <w:rFonts w:cs="Arial"/>
          <w:b/>
          <w:bCs/>
          <w:sz w:val="24"/>
          <w:szCs w:val="24"/>
          <w:rtl/>
        </w:rPr>
        <w:t>(פרקי אבות</w:t>
      </w:r>
      <w:r w:rsidRPr="00007309">
        <w:rPr>
          <w:rFonts w:cs="Arial" w:hint="cs"/>
          <w:b/>
          <w:bCs/>
          <w:sz w:val="24"/>
          <w:szCs w:val="24"/>
          <w:rtl/>
        </w:rPr>
        <w:t xml:space="preserve"> א</w:t>
      </w:r>
      <w:r w:rsidRPr="00007309">
        <w:rPr>
          <w:rFonts w:cs="Arial"/>
          <w:b/>
          <w:bCs/>
          <w:sz w:val="24"/>
          <w:szCs w:val="24"/>
          <w:rtl/>
        </w:rPr>
        <w:t xml:space="preserve">) אַל תִּהְיוּ כַּעֲבָדִים הַמְשַׁמְּשִׁים אֶת הָרַב עַל מְנָת לְקַבֵּל פְּרָס. וּמָאן דְּעָבִיד פִּקּוּדָא דָּא עַל מְנָת לְקַשֵּׁר אֱלֹהִים אֲחֵרִים דַּעֲבוֹדָה זָרָה לְמֶהֱוֵי לְשִׁעְבּוּדֵהּ, וְאֻמִּין דִּלְתַתָּא לִישַׁוֵּי תְּחוֹת יְדֵהּ, לָא יָהֲבִין לֵהּ נְשָׁמָה אֶלָּא מִסִּטְרָא דְּהַאי עֶבֶד. </w:t>
      </w:r>
      <w:r w:rsidRPr="00007309">
        <w:rPr>
          <w:rFonts w:cs="Arial"/>
          <w:b/>
          <w:bCs/>
          <w:sz w:val="36"/>
          <w:szCs w:val="28"/>
          <w:vertAlign w:val="superscript"/>
          <w:rtl/>
        </w:rPr>
        <w:footnoteReference w:id="7257"/>
      </w:r>
      <w:r w:rsidRPr="00007309">
        <w:rPr>
          <w:rFonts w:cs="Arial"/>
          <w:b/>
          <w:bCs/>
          <w:sz w:val="24"/>
          <w:szCs w:val="24"/>
          <w:rtl/>
        </w:rPr>
        <w:t>וּבְגִין דָּא</w:t>
      </w:r>
      <w:r w:rsidRPr="00007309">
        <w:rPr>
          <w:rFonts w:cs="Arial" w:hint="cs"/>
          <w:b/>
          <w:bCs/>
          <w:sz w:val="24"/>
          <w:szCs w:val="24"/>
          <w:rtl/>
        </w:rPr>
        <w:t>,</w:t>
      </w:r>
      <w:r w:rsidRPr="00007309">
        <w:rPr>
          <w:rFonts w:cs="Arial"/>
          <w:b/>
          <w:bCs/>
          <w:sz w:val="24"/>
          <w:szCs w:val="24"/>
          <w:rtl/>
        </w:rPr>
        <w:t xml:space="preserve"> אִם</w:t>
      </w:r>
      <w:r w:rsidRPr="00007309">
        <w:rPr>
          <w:rFonts w:cs="Arial" w:hint="cs"/>
          <w:b/>
          <w:bCs/>
          <w:sz w:val="24"/>
          <w:szCs w:val="24"/>
          <w:rtl/>
        </w:rPr>
        <w:t xml:space="preserve"> </w:t>
      </w:r>
      <w:r w:rsidRPr="00007309">
        <w:rPr>
          <w:rFonts w:cs="Arial"/>
          <w:b/>
          <w:bCs/>
          <w:sz w:val="24"/>
          <w:szCs w:val="24"/>
          <w:rtl/>
        </w:rPr>
        <w:t xml:space="preserve">כְּבָנִים אִם כָּעֲבָדִים. </w:t>
      </w:r>
      <w:r w:rsidRPr="00007309">
        <w:rPr>
          <w:rFonts w:cs="Arial"/>
          <w:b/>
          <w:bCs/>
          <w:sz w:val="36"/>
          <w:szCs w:val="28"/>
          <w:vertAlign w:val="superscript"/>
          <w:rtl/>
        </w:rPr>
        <w:footnoteReference w:id="7258"/>
      </w:r>
      <w:r w:rsidRPr="00007309">
        <w:rPr>
          <w:rFonts w:cs="Arial"/>
          <w:b/>
          <w:bCs/>
          <w:sz w:val="24"/>
          <w:szCs w:val="24"/>
          <w:rtl/>
        </w:rPr>
        <w:t>וּבְגִין דָּא (תהלים א) כִּי אִם בְּתוֹרַת ה' חֶפְצוֹ</w:t>
      </w:r>
      <w:r w:rsidRPr="00007309">
        <w:rPr>
          <w:rFonts w:cs="Arial" w:hint="cs"/>
          <w:b/>
          <w:bCs/>
          <w:sz w:val="24"/>
          <w:szCs w:val="24"/>
          <w:rtl/>
        </w:rPr>
        <w:t>,</w:t>
      </w:r>
      <w:r w:rsidRPr="00007309">
        <w:rPr>
          <w:rFonts w:cs="Arial"/>
          <w:b/>
          <w:bCs/>
          <w:sz w:val="24"/>
          <w:szCs w:val="24"/>
          <w:rtl/>
        </w:rPr>
        <w:t xml:space="preserve"> וְאוֹקְמוּהּ רַבָּנָן דְּלֵית לְאִתְעַסְּקָא בַּר נָשׁ בְּאוֹרַיְתָא אֶלָּא בְּמַה שֶּׁלִּבּוֹ חָפֵץ</w:t>
      </w:r>
      <w:r w:rsidRPr="00007309">
        <w:rPr>
          <w:rFonts w:cs="Arial" w:hint="cs"/>
          <w:b/>
          <w:bCs/>
          <w:sz w:val="24"/>
          <w:szCs w:val="24"/>
          <w:rtl/>
        </w:rPr>
        <w:t>,</w:t>
      </w:r>
      <w:r w:rsidRPr="00007309">
        <w:rPr>
          <w:rFonts w:cs="Arial"/>
          <w:b/>
          <w:bCs/>
          <w:sz w:val="24"/>
          <w:szCs w:val="24"/>
          <w:rtl/>
        </w:rPr>
        <w:t xml:space="preserve"> אִית שֶׁלִּבּוֹ חָפֵץ בְּסִתְרֵי אוֹרַיְתָא בְּעוֹבָדָא דִּבְרֵאשִׁית וּבְמַעֲשֵׂה מֶרְכָּבָה</w:t>
      </w:r>
      <w:r w:rsidRPr="00007309">
        <w:rPr>
          <w:rFonts w:cs="Arial" w:hint="cs"/>
          <w:b/>
          <w:bCs/>
          <w:sz w:val="24"/>
          <w:szCs w:val="24"/>
          <w:rtl/>
        </w:rPr>
        <w:t>,</w:t>
      </w:r>
      <w:r w:rsidRPr="00007309">
        <w:rPr>
          <w:rFonts w:cs="Arial"/>
          <w:b/>
          <w:bCs/>
          <w:sz w:val="24"/>
          <w:szCs w:val="24"/>
          <w:rtl/>
        </w:rPr>
        <w:t xml:space="preserve"> וְאִית דְּלָא בָּעֵי אֶלָּא בִּפְשָׁטֵי אוֹרַיְתָא</w:t>
      </w:r>
      <w:r w:rsidRPr="00007309">
        <w:rPr>
          <w:rFonts w:cs="Arial" w:hint="cs"/>
          <w:b/>
          <w:bCs/>
          <w:sz w:val="24"/>
          <w:szCs w:val="24"/>
          <w:rtl/>
        </w:rPr>
        <w:t>.</w:t>
      </w:r>
      <w:r w:rsidRPr="00007309">
        <w:rPr>
          <w:rFonts w:cs="Arial"/>
          <w:b/>
          <w:bCs/>
          <w:sz w:val="24"/>
          <w:szCs w:val="24"/>
          <w:rtl/>
        </w:rPr>
        <w:t xml:space="preserve"> דְּפָשְׁטִין אִנּוּן מִסִּטְרָא דְּעֶבֶד וְרָזִין מִסִּטְרָא דְּמַלְכָּא</w:t>
      </w:r>
      <w:r w:rsidRPr="00007309">
        <w:rPr>
          <w:rFonts w:cs="Arial" w:hint="cs"/>
          <w:b/>
          <w:bCs/>
          <w:sz w:val="24"/>
          <w:szCs w:val="24"/>
          <w:rtl/>
        </w:rPr>
        <w:t>.</w:t>
      </w:r>
      <w:r w:rsidRPr="00007309">
        <w:rPr>
          <w:rFonts w:cs="Arial"/>
          <w:b/>
          <w:bCs/>
          <w:sz w:val="24"/>
          <w:szCs w:val="24"/>
          <w:rtl/>
        </w:rPr>
        <w:t xml:space="preserve"> אָדוֹן וְעֶבֶד. </w:t>
      </w:r>
      <w:r w:rsidRPr="00007309">
        <w:rPr>
          <w:rFonts w:cs="Arial"/>
          <w:b/>
          <w:bCs/>
          <w:sz w:val="36"/>
          <w:szCs w:val="28"/>
          <w:vertAlign w:val="superscript"/>
          <w:rtl/>
        </w:rPr>
        <w:footnoteReference w:id="7259"/>
      </w:r>
      <w:r w:rsidRPr="00007309">
        <w:rPr>
          <w:rFonts w:cs="Arial"/>
          <w:b/>
          <w:bCs/>
          <w:sz w:val="24"/>
          <w:szCs w:val="24"/>
          <w:rtl/>
        </w:rPr>
        <w:t>וּבְגִין דָּא</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260"/>
      </w:r>
      <w:r w:rsidRPr="00007309">
        <w:rPr>
          <w:rFonts w:cs="Arial"/>
          <w:b/>
          <w:bCs/>
          <w:sz w:val="24"/>
          <w:szCs w:val="24"/>
          <w:rtl/>
        </w:rPr>
        <w:t xml:space="preserve">לְדָא אִתְקְרֵי שְׁתִילָא וּלְדָא נָטוּעַ. שָׁתִיל </w:t>
      </w:r>
      <w:r w:rsidRPr="00007309">
        <w:rPr>
          <w:rFonts w:cs="Arial"/>
          <w:b/>
          <w:bCs/>
          <w:sz w:val="36"/>
          <w:szCs w:val="28"/>
          <w:vertAlign w:val="superscript"/>
          <w:rtl/>
        </w:rPr>
        <w:footnoteReference w:id="7261"/>
      </w:r>
      <w:r w:rsidRPr="00007309">
        <w:rPr>
          <w:rFonts w:cs="Arial"/>
          <w:b/>
          <w:bCs/>
          <w:sz w:val="24"/>
          <w:szCs w:val="24"/>
          <w:rtl/>
        </w:rPr>
        <w:t>דְּלֵית לֵהּ קִשּׁוּרָא</w:t>
      </w:r>
      <w:r w:rsidRPr="00007309">
        <w:rPr>
          <w:rFonts w:cs="Arial" w:hint="cs"/>
          <w:b/>
          <w:bCs/>
          <w:sz w:val="24"/>
          <w:szCs w:val="24"/>
          <w:rtl/>
        </w:rPr>
        <w:t xml:space="preserve">, </w:t>
      </w:r>
      <w:r w:rsidRPr="00007309">
        <w:rPr>
          <w:rFonts w:cs="Arial"/>
          <w:b/>
          <w:bCs/>
          <w:sz w:val="24"/>
          <w:szCs w:val="24"/>
          <w:rtl/>
        </w:rPr>
        <w:t xml:space="preserve">וְנָטוּעַ דְּלֵית לֵהּ עֲקִירָא וַהֲנָחָה </w:t>
      </w:r>
      <w:r w:rsidRPr="00007309">
        <w:rPr>
          <w:rFonts w:cs="Arial"/>
          <w:b/>
          <w:bCs/>
          <w:sz w:val="36"/>
          <w:szCs w:val="28"/>
          <w:vertAlign w:val="superscript"/>
          <w:rtl/>
        </w:rPr>
        <w:footnoteReference w:id="7262"/>
      </w:r>
      <w:r w:rsidRPr="00007309">
        <w:rPr>
          <w:rFonts w:cs="Arial"/>
          <w:b/>
          <w:bCs/>
          <w:sz w:val="24"/>
          <w:szCs w:val="24"/>
          <w:rtl/>
        </w:rPr>
        <w:t>דְּשַׁבָּת בִּרְשׁוּת יְחִידוֹ שֶׁל עוֹלָם, אִיהִי שְׁכִינְתָּא</w:t>
      </w:r>
      <w:r w:rsidRPr="00007309">
        <w:rPr>
          <w:rFonts w:cs="Arial" w:hint="cs"/>
          <w:b/>
          <w:bCs/>
          <w:sz w:val="24"/>
          <w:szCs w:val="24"/>
          <w:rtl/>
        </w:rPr>
        <w:t>,</w:t>
      </w:r>
      <w:r w:rsidRPr="00007309">
        <w:rPr>
          <w:rFonts w:cs="Arial"/>
          <w:b/>
          <w:bCs/>
          <w:sz w:val="24"/>
          <w:szCs w:val="24"/>
          <w:rtl/>
        </w:rPr>
        <w:t xml:space="preserve"> שַׁבַּת מַלְכְּתָא, לֹא צָרִיךְ לְמֶעֱבַד בֵּהּ עֲקִירָא מֵהַהוּא חֵפֶץ </w:t>
      </w:r>
      <w:r w:rsidRPr="00007309">
        <w:rPr>
          <w:rFonts w:cs="Arial"/>
          <w:b/>
          <w:bCs/>
          <w:sz w:val="36"/>
          <w:szCs w:val="28"/>
          <w:vertAlign w:val="superscript"/>
          <w:rtl/>
        </w:rPr>
        <w:footnoteReference w:id="7263"/>
      </w:r>
      <w:r w:rsidRPr="00007309">
        <w:rPr>
          <w:rFonts w:cs="Arial"/>
          <w:b/>
          <w:bCs/>
          <w:sz w:val="24"/>
          <w:szCs w:val="24"/>
          <w:rtl/>
        </w:rPr>
        <w:t>דְּאִתְּמַר בֵּהּ כִּי אִם בְּתוֹרַת ה' חֶפְצוֹ</w:t>
      </w:r>
      <w:r w:rsidRPr="00007309">
        <w:rPr>
          <w:rFonts w:cs="Arial" w:hint="cs"/>
          <w:b/>
          <w:bCs/>
          <w:sz w:val="24"/>
          <w:szCs w:val="24"/>
          <w:rtl/>
        </w:rPr>
        <w:t>,</w:t>
      </w:r>
      <w:r w:rsidRPr="00007309">
        <w:rPr>
          <w:rFonts w:cs="Arial"/>
          <w:b/>
          <w:bCs/>
          <w:sz w:val="24"/>
          <w:szCs w:val="24"/>
          <w:rtl/>
        </w:rPr>
        <w:t xml:space="preserve"> וְאוֹקְמוּהּ רַבָּנָן</w:t>
      </w:r>
      <w:r w:rsidRPr="00007309">
        <w:rPr>
          <w:rFonts w:cs="Arial" w:hint="cs"/>
          <w:b/>
          <w:bCs/>
          <w:sz w:val="24"/>
          <w:szCs w:val="24"/>
          <w:rtl/>
        </w:rPr>
        <w:t>,</w:t>
      </w:r>
      <w:r w:rsidRPr="00007309">
        <w:rPr>
          <w:rFonts w:cs="Arial"/>
          <w:b/>
          <w:bCs/>
          <w:sz w:val="24"/>
          <w:szCs w:val="24"/>
          <w:rtl/>
        </w:rPr>
        <w:t xml:space="preserve"> אֶלָּא </w:t>
      </w:r>
      <w:r w:rsidRPr="00007309">
        <w:rPr>
          <w:rFonts w:cs="Arial"/>
          <w:b/>
          <w:bCs/>
          <w:sz w:val="36"/>
          <w:szCs w:val="28"/>
          <w:vertAlign w:val="superscript"/>
          <w:rtl/>
        </w:rPr>
        <w:footnoteReference w:id="7264"/>
      </w:r>
      <w:r w:rsidRPr="00007309">
        <w:rPr>
          <w:rFonts w:cs="Arial"/>
          <w:b/>
          <w:bCs/>
          <w:sz w:val="24"/>
          <w:szCs w:val="24"/>
          <w:rtl/>
        </w:rPr>
        <w:t xml:space="preserve">לְמֶהֱוֵי בֵּהּ קָבוּעַ. </w:t>
      </w:r>
    </w:p>
    <w:p w:rsidR="00007309" w:rsidRPr="00007309" w:rsidRDefault="00007309" w:rsidP="00007309">
      <w:pPr>
        <w:keepNext/>
        <w:outlineLvl w:val="1"/>
        <w:rPr>
          <w:rFonts w:ascii="Cambria" w:hAnsi="Cambria" w:cs="Times New Roman"/>
          <w:b/>
          <w:bCs/>
          <w:i/>
          <w:iCs/>
          <w:sz w:val="28"/>
          <w:szCs w:val="28"/>
          <w:rtl/>
        </w:rPr>
      </w:pPr>
      <w:r w:rsidRPr="00007309">
        <w:rPr>
          <w:rFonts w:ascii="Cambria" w:hAnsi="Cambria" w:cs="Times New Roman"/>
          <w:b/>
          <w:bCs/>
          <w:i/>
          <w:iCs/>
          <w:sz w:val="28"/>
          <w:szCs w:val="28"/>
          <w:rtl/>
        </w:rPr>
        <w:t>[</w:t>
      </w:r>
      <w:r w:rsidRPr="00007309">
        <w:rPr>
          <w:rFonts w:ascii="Cambria" w:hAnsi="Cambria" w:cs="Times New Roman" w:hint="cs"/>
          <w:b/>
          <w:bCs/>
          <w:i/>
          <w:iCs/>
          <w:sz w:val="28"/>
          <w:szCs w:val="28"/>
          <w:rtl/>
        </w:rPr>
        <w:t>דף</w:t>
      </w:r>
      <w:r w:rsidRPr="00007309">
        <w:rPr>
          <w:rFonts w:ascii="Cambria" w:hAnsi="Cambria" w:cs="Times New Roman"/>
          <w:b/>
          <w:bCs/>
          <w:i/>
          <w:iCs/>
          <w:sz w:val="28"/>
          <w:szCs w:val="28"/>
          <w:rtl/>
        </w:rPr>
        <w:t xml:space="preserve"> </w:t>
      </w:r>
      <w:r w:rsidRPr="00007309">
        <w:rPr>
          <w:rFonts w:ascii="Cambria" w:hAnsi="Cambria" w:cs="Times New Roman" w:hint="cs"/>
          <w:b/>
          <w:bCs/>
          <w:i/>
          <w:iCs/>
          <w:sz w:val="28"/>
          <w:szCs w:val="28"/>
          <w:rtl/>
        </w:rPr>
        <w:t>פ</w:t>
      </w:r>
      <w:r w:rsidRPr="00007309">
        <w:rPr>
          <w:rFonts w:ascii="Cambria" w:hAnsi="Cambria" w:cs="Times New Roman"/>
          <w:b/>
          <w:bCs/>
          <w:i/>
          <w:iCs/>
          <w:sz w:val="28"/>
          <w:szCs w:val="28"/>
          <w:rtl/>
        </w:rPr>
        <w:t xml:space="preserve"> ע"</w:t>
      </w:r>
      <w:r w:rsidRPr="00007309">
        <w:rPr>
          <w:rFonts w:ascii="Cambria" w:hAnsi="Cambria" w:cs="Times New Roman" w:hint="cs"/>
          <w:b/>
          <w:bCs/>
          <w:i/>
          <w:iCs/>
          <w:sz w:val="28"/>
          <w:szCs w:val="28"/>
          <w:rtl/>
        </w:rPr>
        <w:t>ד</w:t>
      </w:r>
      <w:r w:rsidRPr="00007309">
        <w:rPr>
          <w:rFonts w:ascii="Cambria" w:hAnsi="Cambria" w:cs="Times New Roman"/>
          <w:b/>
          <w:bCs/>
          <w:i/>
          <w:iCs/>
          <w:sz w:val="28"/>
          <w:szCs w:val="28"/>
          <w:rtl/>
        </w:rPr>
        <w:t>]</w:t>
      </w:r>
    </w:p>
    <w:p w:rsidR="00007309" w:rsidRPr="00007309" w:rsidRDefault="00007309" w:rsidP="00007309">
      <w:pPr>
        <w:jc w:val="both"/>
        <w:rPr>
          <w:rFonts w:cs="Arial"/>
          <w:b/>
          <w:bCs/>
          <w:sz w:val="24"/>
          <w:szCs w:val="24"/>
        </w:rPr>
      </w:pPr>
      <w:r w:rsidRPr="00007309">
        <w:rPr>
          <w:rFonts w:cs="Arial"/>
          <w:b/>
          <w:bCs/>
          <w:sz w:val="24"/>
          <w:szCs w:val="24"/>
          <w:rtl/>
        </w:rPr>
        <w:t>אֲבָל מִסִּטְרָא דְּעֵץ הַדַּעַת טוֹב וָרָע, צָרִיךְ לְמֶעֱבַד בֵּהּ עֲקִירָא</w:t>
      </w:r>
      <w:r w:rsidRPr="00007309">
        <w:rPr>
          <w:rFonts w:cs="Arial" w:hint="cs"/>
          <w:b/>
          <w:bCs/>
          <w:sz w:val="24"/>
          <w:szCs w:val="24"/>
          <w:rtl/>
        </w:rPr>
        <w:t>,</w:t>
      </w:r>
      <w:r w:rsidRPr="00007309">
        <w:rPr>
          <w:rFonts w:cs="Arial"/>
          <w:b/>
          <w:bCs/>
          <w:sz w:val="24"/>
          <w:szCs w:val="24"/>
          <w:rtl/>
        </w:rPr>
        <w:t xml:space="preserve"> לְמֶהֱוֵי מְטֻלְטָל וְגַלֵּי מֵאֲתַר לַאֲתַר, </w:t>
      </w:r>
      <w:r w:rsidRPr="00007309">
        <w:rPr>
          <w:rFonts w:cs="Arial"/>
          <w:b/>
          <w:bCs/>
          <w:sz w:val="36"/>
          <w:szCs w:val="28"/>
          <w:vertAlign w:val="superscript"/>
          <w:rtl/>
        </w:rPr>
        <w:footnoteReference w:id="7265"/>
      </w:r>
      <w:r w:rsidRPr="00007309">
        <w:rPr>
          <w:rFonts w:cs="Arial"/>
          <w:b/>
          <w:bCs/>
          <w:sz w:val="24"/>
          <w:szCs w:val="24"/>
          <w:rtl/>
        </w:rPr>
        <w:t xml:space="preserve">כְּמָה דְּאוֹקְמוּהּ רַבָּנָן </w:t>
      </w:r>
      <w:r w:rsidRPr="00007309">
        <w:rPr>
          <w:rFonts w:ascii="Cambria" w:hAnsi="Cambria" w:cs="Times New Roman" w:hint="cs"/>
          <w:b/>
          <w:bCs/>
          <w:i/>
          <w:iCs/>
          <w:color w:val="4F81BD"/>
          <w:sz w:val="24"/>
          <w:szCs w:val="24"/>
          <w:rtl/>
        </w:rPr>
        <w:t>(פ ע"ד)</w:t>
      </w:r>
      <w:r w:rsidRPr="00007309">
        <w:rPr>
          <w:rFonts w:cs="Arial" w:hint="cs"/>
          <w:b/>
          <w:bCs/>
          <w:sz w:val="24"/>
          <w:szCs w:val="24"/>
          <w:rtl/>
        </w:rPr>
        <w:t xml:space="preserve"> </w:t>
      </w:r>
      <w:r w:rsidRPr="00007309">
        <w:rPr>
          <w:rFonts w:cs="Arial"/>
          <w:b/>
          <w:bCs/>
          <w:sz w:val="24"/>
          <w:szCs w:val="24"/>
          <w:rtl/>
        </w:rPr>
        <w:t>דְּמַתְנִיתִין</w:t>
      </w:r>
      <w:r w:rsidRPr="00007309">
        <w:rPr>
          <w:rFonts w:cs="Arial" w:hint="cs"/>
          <w:b/>
          <w:bCs/>
          <w:sz w:val="24"/>
          <w:szCs w:val="24"/>
          <w:rtl/>
        </w:rPr>
        <w:t>, (דברים לג)</w:t>
      </w:r>
      <w:r w:rsidRPr="00007309">
        <w:rPr>
          <w:rFonts w:cs="Arial"/>
          <w:b/>
          <w:bCs/>
          <w:sz w:val="24"/>
          <w:szCs w:val="24"/>
          <w:rtl/>
        </w:rPr>
        <w:t xml:space="preserve"> אַף חוֹבֵב עַמִּים וְגוֹ'</w:t>
      </w:r>
      <w:r w:rsidRPr="00007309">
        <w:rPr>
          <w:rFonts w:cs="Arial" w:hint="cs"/>
          <w:b/>
          <w:bCs/>
          <w:sz w:val="24"/>
          <w:szCs w:val="24"/>
          <w:rtl/>
        </w:rPr>
        <w:t>,</w:t>
      </w:r>
      <w:r w:rsidRPr="00007309">
        <w:rPr>
          <w:rFonts w:cs="Arial"/>
          <w:b/>
          <w:bCs/>
          <w:sz w:val="24"/>
          <w:szCs w:val="24"/>
          <w:rtl/>
        </w:rPr>
        <w:t xml:space="preserve"> אִלֵּין אִנּוּן דִּמְכַתְּתִין רַגְלֵיהוֹן מִמְּדִינָה לִמְדִינָה</w:t>
      </w:r>
      <w:r w:rsidRPr="00007309">
        <w:rPr>
          <w:rFonts w:cs="Arial" w:hint="cs"/>
          <w:b/>
          <w:bCs/>
          <w:sz w:val="24"/>
          <w:szCs w:val="24"/>
          <w:rtl/>
        </w:rPr>
        <w:t>,</w:t>
      </w:r>
      <w:r w:rsidRPr="00007309">
        <w:rPr>
          <w:rFonts w:cs="Arial"/>
          <w:b/>
          <w:bCs/>
          <w:sz w:val="24"/>
          <w:szCs w:val="24"/>
          <w:rtl/>
        </w:rPr>
        <w:t xml:space="preserve"> וְדַרְשִׁינָן לֵהּ דה</w:t>
      </w:r>
      <w:r w:rsidRPr="00007309">
        <w:rPr>
          <w:rFonts w:cs="Arial" w:hint="cs"/>
          <w:b/>
          <w:bCs/>
          <w:sz w:val="24"/>
          <w:szCs w:val="24"/>
          <w:rtl/>
        </w:rPr>
        <w:t>כי קאמר,</w:t>
      </w:r>
      <w:r w:rsidRPr="00007309">
        <w:rPr>
          <w:rFonts w:cs="Arial"/>
          <w:b/>
          <w:bCs/>
          <w:sz w:val="24"/>
          <w:szCs w:val="24"/>
          <w:rtl/>
        </w:rPr>
        <w:t xml:space="preserve"> בְּזִמְנָא דְּאַתְּ חוֹבֵב עַמִּים בְּגָלוּתָא בְּחוֹבִין דְּדָרָא</w:t>
      </w:r>
      <w:r w:rsidRPr="00007309">
        <w:rPr>
          <w:rFonts w:cs="Arial" w:hint="cs"/>
          <w:b/>
          <w:bCs/>
          <w:sz w:val="24"/>
          <w:szCs w:val="24"/>
          <w:rtl/>
        </w:rPr>
        <w:t>,</w:t>
      </w:r>
      <w:r w:rsidRPr="00007309">
        <w:rPr>
          <w:rFonts w:cs="Arial"/>
          <w:b/>
          <w:bCs/>
          <w:sz w:val="24"/>
          <w:szCs w:val="24"/>
          <w:rtl/>
        </w:rPr>
        <w:t xml:space="preserve"> כָּל קְדוֹשָׁיו יִהְיוּ בְּיָדֶךָ, וּלְבָתַר אָמַר</w:t>
      </w:r>
      <w:r w:rsidRPr="00007309">
        <w:rPr>
          <w:rFonts w:cs="Arial" w:hint="cs"/>
          <w:b/>
          <w:bCs/>
          <w:sz w:val="24"/>
          <w:szCs w:val="24"/>
          <w:rtl/>
        </w:rPr>
        <w:t>,</w:t>
      </w:r>
      <w:r w:rsidRPr="00007309">
        <w:rPr>
          <w:rFonts w:cs="Arial"/>
          <w:b/>
          <w:bCs/>
          <w:sz w:val="24"/>
          <w:szCs w:val="24"/>
          <w:rtl/>
        </w:rPr>
        <w:t xml:space="preserve"> וְהֵם תֻּכּוּ לְרַגְלֶיךָ, אִלֵּין אִנּוּן דִּמְכַתְּתִין רַגְלֵיהוֹן מִמְּדִינָה לִמְדִינָה וּמֵאֲתַר לַאֲתַר, לִשָּא וְלִתֵּן בְּמַשָּא וּבְמַתָּן דְּאוֹרַיְתָא, דְּאָזְלִין מְטֻלְטָלִין מֵאֲתַר לַאֲתַר</w:t>
      </w:r>
      <w:r w:rsidRPr="00007309">
        <w:rPr>
          <w:rFonts w:cs="Arial" w:hint="cs"/>
          <w:b/>
          <w:bCs/>
          <w:sz w:val="24"/>
          <w:szCs w:val="24"/>
          <w:rtl/>
        </w:rPr>
        <w:t>,</w:t>
      </w:r>
      <w:r w:rsidRPr="00007309">
        <w:rPr>
          <w:rFonts w:cs="Arial"/>
          <w:b/>
          <w:bCs/>
          <w:sz w:val="24"/>
          <w:szCs w:val="24"/>
          <w:rtl/>
        </w:rPr>
        <w:t xml:space="preserve"> אִתְחֲשִׁיב לוֹן כְּגִלְגּוּל</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266"/>
      </w:r>
      <w:r w:rsidRPr="00007309">
        <w:rPr>
          <w:rFonts w:cs="Arial"/>
          <w:b/>
          <w:bCs/>
          <w:sz w:val="24"/>
          <w:szCs w:val="24"/>
          <w:rtl/>
        </w:rPr>
        <w:t xml:space="preserve">דְשֶׁבַע מִינֵי עֲנִיּוֹת אִתְחֲשִׁיב לֵהּ לְבַר נָשׁ כְּשֶׁבַע מְדוֹרִין דְּגֵיהִינֹּם, </w:t>
      </w:r>
      <w:r w:rsidRPr="00007309">
        <w:rPr>
          <w:rFonts w:cs="Arial"/>
          <w:b/>
          <w:bCs/>
          <w:sz w:val="36"/>
          <w:szCs w:val="28"/>
          <w:vertAlign w:val="superscript"/>
          <w:rtl/>
        </w:rPr>
        <w:footnoteReference w:id="7267"/>
      </w:r>
      <w:r w:rsidRPr="00007309">
        <w:rPr>
          <w:rFonts w:cs="Arial"/>
          <w:b/>
          <w:bCs/>
          <w:sz w:val="24"/>
          <w:szCs w:val="24"/>
          <w:rtl/>
        </w:rPr>
        <w:t>דִּלְכֻלְּהוּ נָחִית אָדָם</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268"/>
      </w:r>
      <w:r w:rsidRPr="00007309">
        <w:rPr>
          <w:rFonts w:cs="Arial"/>
          <w:b/>
          <w:bCs/>
          <w:sz w:val="24"/>
          <w:szCs w:val="24"/>
          <w:rtl/>
        </w:rPr>
        <w:t xml:space="preserve">בִּתְיוּבְתָּא סָלִיק, דְּעָלַיְהוּ אִתְּמַר וְיִסַּרְתִּי אֶתְכֶם אַף אֲנִי שֶׁבַע כְּחַטֹאתֵיכֶם. בְּגִין דְּחָב אָדָם </w:t>
      </w:r>
      <w:r w:rsidRPr="00007309">
        <w:rPr>
          <w:rFonts w:cs="Arial"/>
          <w:b/>
          <w:bCs/>
          <w:sz w:val="36"/>
          <w:szCs w:val="28"/>
          <w:vertAlign w:val="superscript"/>
          <w:rtl/>
        </w:rPr>
        <w:footnoteReference w:id="7269"/>
      </w:r>
      <w:r w:rsidRPr="00007309">
        <w:rPr>
          <w:rFonts w:cs="Arial"/>
          <w:b/>
          <w:bCs/>
          <w:sz w:val="24"/>
          <w:szCs w:val="24"/>
          <w:rtl/>
        </w:rPr>
        <w:t xml:space="preserve">בְּז' מִינִין </w:t>
      </w:r>
      <w:r w:rsidRPr="00007309">
        <w:rPr>
          <w:rFonts w:cs="Arial"/>
          <w:b/>
          <w:bCs/>
          <w:sz w:val="36"/>
          <w:szCs w:val="28"/>
          <w:vertAlign w:val="superscript"/>
          <w:rtl/>
        </w:rPr>
        <w:footnoteReference w:id="7270"/>
      </w:r>
      <w:r w:rsidRPr="00007309">
        <w:rPr>
          <w:rFonts w:cs="Arial"/>
          <w:b/>
          <w:bCs/>
          <w:sz w:val="24"/>
          <w:szCs w:val="24"/>
          <w:rtl/>
        </w:rPr>
        <w:t>דְּאִנּוּן חִטָה וּשְׂעוֹרָה וְגֶפֶן וּתְאֵנָה וְרִמּוֹן זֵית שֶׁמֶן וּדְבַשׁ</w:t>
      </w:r>
      <w:r w:rsidRPr="00007309">
        <w:rPr>
          <w:rFonts w:cs="Arial" w:hint="cs"/>
          <w:b/>
          <w:bCs/>
          <w:sz w:val="24"/>
          <w:szCs w:val="24"/>
          <w:rtl/>
        </w:rPr>
        <w:t>.</w:t>
      </w:r>
    </w:p>
    <w:p w:rsidR="00007309" w:rsidRPr="00007309" w:rsidRDefault="00007309" w:rsidP="00007309">
      <w:pPr>
        <w:jc w:val="both"/>
        <w:rPr>
          <w:rFonts w:cs="Arial"/>
          <w:b/>
          <w:bCs/>
          <w:sz w:val="24"/>
          <w:szCs w:val="24"/>
          <w:rtl/>
        </w:rPr>
      </w:pPr>
      <w:r w:rsidRPr="00007309">
        <w:rPr>
          <w:rFonts w:cs="Arial"/>
          <w:b/>
          <w:bCs/>
          <w:sz w:val="24"/>
          <w:szCs w:val="24"/>
          <w:rtl/>
        </w:rPr>
        <w:t>וּבְגִין דָּא הֲווֹ אָמְרֵי רַבָּנָן דמתני' אִילָן שֶׁאָכַל אָדָם הָרִאשׁוֹן חִטָה הָיָה</w:t>
      </w:r>
      <w:r w:rsidRPr="00007309">
        <w:rPr>
          <w:rFonts w:cs="Arial" w:hint="cs"/>
          <w:b/>
          <w:bCs/>
          <w:sz w:val="24"/>
          <w:szCs w:val="24"/>
          <w:rtl/>
        </w:rPr>
        <w:t>,</w:t>
      </w:r>
      <w:r w:rsidRPr="00007309">
        <w:rPr>
          <w:rFonts w:cs="Arial"/>
          <w:b/>
          <w:bCs/>
          <w:sz w:val="24"/>
          <w:szCs w:val="24"/>
          <w:rtl/>
        </w:rPr>
        <w:t xml:space="preserve"> וְאָחֳרָנִין אָמְרִין גֶּפֶן הֲוָה</w:t>
      </w:r>
      <w:r w:rsidRPr="00007309">
        <w:rPr>
          <w:rFonts w:cs="Arial" w:hint="cs"/>
          <w:b/>
          <w:bCs/>
          <w:sz w:val="24"/>
          <w:szCs w:val="24"/>
          <w:rtl/>
        </w:rPr>
        <w:t>,</w:t>
      </w:r>
      <w:r w:rsidRPr="00007309">
        <w:rPr>
          <w:rFonts w:cs="Arial"/>
          <w:b/>
          <w:bCs/>
          <w:sz w:val="24"/>
          <w:szCs w:val="24"/>
          <w:rtl/>
        </w:rPr>
        <w:t xml:space="preserve"> וְאָחֳרָנִין אָמְרִין תְאֵנָה הָיְתָה, וְלֹא הֲווֹ חוֹלְקִין בְּמִלּוּלַיְהוּ, דְּכֹלָּא קְשׁוֹט</w:t>
      </w:r>
      <w:r w:rsidRPr="00007309">
        <w:rPr>
          <w:rFonts w:cs="Arial" w:hint="cs"/>
          <w:b/>
          <w:bCs/>
          <w:sz w:val="24"/>
          <w:szCs w:val="24"/>
          <w:rtl/>
        </w:rPr>
        <w:t>,</w:t>
      </w:r>
      <w:r w:rsidRPr="00007309">
        <w:rPr>
          <w:rFonts w:cs="Arial"/>
          <w:b/>
          <w:bCs/>
          <w:sz w:val="24"/>
          <w:szCs w:val="24"/>
          <w:rtl/>
        </w:rPr>
        <w:t xml:space="preserve"> דְּשִׁבְעַת מִינִין נְטוּעִין בָּאָרֶץ, חִטָה וּשְׂעוֹרָה. </w:t>
      </w:r>
      <w:r w:rsidRPr="00007309">
        <w:rPr>
          <w:rFonts w:cs="Arial"/>
          <w:b/>
          <w:bCs/>
          <w:sz w:val="36"/>
          <w:szCs w:val="28"/>
          <w:vertAlign w:val="superscript"/>
          <w:rtl/>
        </w:rPr>
        <w:footnoteReference w:id="7271"/>
      </w:r>
      <w:r w:rsidRPr="00007309">
        <w:rPr>
          <w:rFonts w:cs="Arial"/>
          <w:b/>
          <w:bCs/>
          <w:sz w:val="24"/>
          <w:szCs w:val="24"/>
          <w:rtl/>
        </w:rPr>
        <w:t>וְהַיְנוּ דִּתְנָן, בָּעֲצֶרֶת עַל פֵּרוֹת הָאִילָן</w:t>
      </w:r>
      <w:r w:rsidRPr="00007309">
        <w:rPr>
          <w:rFonts w:cs="Arial" w:hint="cs"/>
          <w:b/>
          <w:bCs/>
          <w:sz w:val="24"/>
          <w:szCs w:val="24"/>
          <w:rtl/>
        </w:rPr>
        <w:t>,</w:t>
      </w:r>
      <w:r w:rsidRPr="00007309">
        <w:rPr>
          <w:rFonts w:cs="Arial"/>
          <w:b/>
          <w:bCs/>
          <w:sz w:val="24"/>
          <w:szCs w:val="24"/>
          <w:rtl/>
        </w:rPr>
        <w:t xml:space="preserve"> נִדּוֹן כָּל עָלְמָא</w:t>
      </w:r>
      <w:r w:rsidRPr="00007309">
        <w:rPr>
          <w:rFonts w:cs="Arial" w:hint="cs"/>
          <w:b/>
          <w:bCs/>
          <w:sz w:val="24"/>
          <w:szCs w:val="24"/>
          <w:rtl/>
        </w:rPr>
        <w:t>,</w:t>
      </w:r>
      <w:r w:rsidRPr="00007309">
        <w:rPr>
          <w:rFonts w:cs="Arial"/>
          <w:b/>
          <w:bCs/>
          <w:sz w:val="24"/>
          <w:szCs w:val="24"/>
          <w:rtl/>
        </w:rPr>
        <w:t xml:space="preserve"> כֻּלְּהוּ קָרָא לוֹן אִילָן חַד</w:t>
      </w:r>
      <w:r w:rsidRPr="00007309">
        <w:rPr>
          <w:rFonts w:cs="Arial" w:hint="cs"/>
          <w:b/>
          <w:bCs/>
          <w:sz w:val="24"/>
          <w:szCs w:val="24"/>
          <w:rtl/>
        </w:rPr>
        <w:t>,</w:t>
      </w:r>
      <w:r w:rsidRPr="00007309">
        <w:rPr>
          <w:rFonts w:cs="Arial"/>
          <w:b/>
          <w:bCs/>
          <w:sz w:val="24"/>
          <w:szCs w:val="24"/>
          <w:rtl/>
        </w:rPr>
        <w:t xml:space="preserve"> מִסִּטְרָא חַד. </w:t>
      </w:r>
      <w:r w:rsidRPr="00007309">
        <w:rPr>
          <w:rFonts w:cs="Arial"/>
          <w:b/>
          <w:bCs/>
          <w:sz w:val="36"/>
          <w:szCs w:val="28"/>
          <w:vertAlign w:val="superscript"/>
          <w:rtl/>
        </w:rPr>
        <w:footnoteReference w:id="7272"/>
      </w:r>
      <w:r w:rsidRPr="00007309">
        <w:rPr>
          <w:rFonts w:cs="Arial"/>
          <w:b/>
          <w:bCs/>
          <w:sz w:val="24"/>
          <w:szCs w:val="24"/>
          <w:rtl/>
        </w:rPr>
        <w:t>וּמִסִּטְרָא אָחֳרָא מִתְפָּרְשָׁן לְז' מִינִין</w:t>
      </w:r>
      <w:r w:rsidRPr="00007309">
        <w:rPr>
          <w:rFonts w:cs="Arial" w:hint="cs"/>
          <w:b/>
          <w:bCs/>
          <w:sz w:val="24"/>
          <w:szCs w:val="24"/>
          <w:rtl/>
        </w:rPr>
        <w:t>.</w:t>
      </w:r>
      <w:r w:rsidRPr="00007309">
        <w:rPr>
          <w:rFonts w:cs="Arial"/>
          <w:b/>
          <w:bCs/>
          <w:sz w:val="24"/>
          <w:szCs w:val="24"/>
          <w:rtl/>
        </w:rPr>
        <w:t xml:space="preserve"> כְּגוֹן לוּלָב</w:t>
      </w:r>
      <w:r w:rsidRPr="00007309">
        <w:rPr>
          <w:rFonts w:cs="Arial" w:hint="cs"/>
          <w:b/>
          <w:bCs/>
          <w:sz w:val="24"/>
          <w:szCs w:val="24"/>
          <w:rtl/>
        </w:rPr>
        <w:t>,</w:t>
      </w:r>
      <w:r w:rsidRPr="00007309">
        <w:rPr>
          <w:rFonts w:cs="Arial"/>
          <w:b/>
          <w:bCs/>
          <w:sz w:val="24"/>
          <w:szCs w:val="24"/>
          <w:rtl/>
        </w:rPr>
        <w:t xml:space="preserve"> דְּאִיהוּ אֲגֻדָּה חֲדָא לְתַתָּא וּלְעֵלָּא מִתְפָּרְשָׁן מִינִין כָּל חַד לְחוּלָקֵהּ. כְּגַוְנָא דְּחֵיוָן דְּאִתְּמַר בְּהוּ (יחזקאל א) </w:t>
      </w:r>
      <w:r w:rsidRPr="00007309">
        <w:rPr>
          <w:rFonts w:cs="Arial"/>
          <w:b/>
          <w:bCs/>
          <w:sz w:val="36"/>
          <w:szCs w:val="28"/>
          <w:vertAlign w:val="superscript"/>
          <w:rtl/>
        </w:rPr>
        <w:footnoteReference w:id="7273"/>
      </w:r>
      <w:r w:rsidRPr="00007309">
        <w:rPr>
          <w:rFonts w:cs="Arial"/>
          <w:b/>
          <w:bCs/>
          <w:sz w:val="24"/>
          <w:szCs w:val="24"/>
          <w:rtl/>
        </w:rPr>
        <w:t xml:space="preserve">וּפְנֵיהֶם </w:t>
      </w:r>
      <w:r w:rsidRPr="00007309">
        <w:rPr>
          <w:rFonts w:cs="Arial"/>
          <w:b/>
          <w:bCs/>
          <w:sz w:val="36"/>
          <w:szCs w:val="28"/>
          <w:vertAlign w:val="superscript"/>
          <w:rtl/>
        </w:rPr>
        <w:footnoteReference w:id="7274"/>
      </w:r>
      <w:r w:rsidRPr="00007309">
        <w:rPr>
          <w:rFonts w:cs="Arial"/>
          <w:b/>
          <w:bCs/>
          <w:sz w:val="24"/>
          <w:szCs w:val="24"/>
          <w:rtl/>
        </w:rPr>
        <w:t>וְכַנְפֵיהֶם פְּרוּדוֹת מִלְּמַעְלָה</w:t>
      </w:r>
      <w:r w:rsidRPr="00007309">
        <w:rPr>
          <w:rFonts w:cs="Arial" w:hint="cs"/>
          <w:b/>
          <w:bCs/>
          <w:sz w:val="24"/>
          <w:szCs w:val="24"/>
          <w:rtl/>
        </w:rPr>
        <w:t>,</w:t>
      </w:r>
      <w:r w:rsidRPr="00007309">
        <w:rPr>
          <w:rFonts w:cs="Arial"/>
          <w:b/>
          <w:bCs/>
          <w:sz w:val="24"/>
          <w:szCs w:val="24"/>
          <w:rtl/>
        </w:rPr>
        <w:t xml:space="preserve"> וּלְתַתָּא שְׁתַּיִם חֹבְרֹת אִישׁ</w:t>
      </w:r>
      <w:r w:rsidRPr="00007309">
        <w:rPr>
          <w:rFonts w:cs="Arial" w:hint="cs"/>
          <w:b/>
          <w:bCs/>
          <w:sz w:val="24"/>
          <w:szCs w:val="24"/>
          <w:rtl/>
        </w:rPr>
        <w:t>,</w:t>
      </w:r>
      <w:r w:rsidRPr="00007309">
        <w:rPr>
          <w:rFonts w:cs="Arial"/>
          <w:b/>
          <w:bCs/>
          <w:sz w:val="24"/>
          <w:szCs w:val="24"/>
          <w:rtl/>
        </w:rPr>
        <w:t xml:space="preserve"> וּשְׁתַּיִם מְכַסּוֹת אֶת גויותיהנה. </w:t>
      </w:r>
      <w:r w:rsidRPr="00007309">
        <w:rPr>
          <w:rFonts w:cs="Arial"/>
          <w:b/>
          <w:bCs/>
          <w:sz w:val="36"/>
          <w:szCs w:val="28"/>
          <w:vertAlign w:val="superscript"/>
          <w:rtl/>
        </w:rPr>
        <w:footnoteReference w:id="7275"/>
      </w:r>
      <w:r w:rsidRPr="00007309">
        <w:rPr>
          <w:rFonts w:cs="Arial"/>
          <w:b/>
          <w:bCs/>
          <w:sz w:val="24"/>
          <w:szCs w:val="24"/>
          <w:rtl/>
        </w:rPr>
        <w:t>זַכָּאָה אִיהוּ עֵץ דְּאִיהוּ שָׁתוּל עַל פַּלְגֵּי מַיִם דְּאוֹרַיְתָא. וְיַתִּיר מָאן דְּאִיהוּ מִסִּטְרָא דְּאִילָנָא דְּחַיֵּי, דאִתְּמַר בֵּהּ אֲשֶׁר פִּרְיוֹ יִתֵּן בְּעִתּ"וֹ, וְדָא שְׁכִינְתָּא</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276"/>
      </w:r>
      <w:r w:rsidRPr="00007309">
        <w:rPr>
          <w:rFonts w:cs="Arial"/>
          <w:b/>
          <w:bCs/>
          <w:sz w:val="24"/>
          <w:szCs w:val="24"/>
          <w:rtl/>
        </w:rPr>
        <w:t xml:space="preserve">וְלָא אַפִּיק מֵעֵת דִּילֵהּ. </w:t>
      </w:r>
      <w:r w:rsidRPr="00007309">
        <w:rPr>
          <w:rFonts w:cs="Arial"/>
          <w:b/>
          <w:bCs/>
          <w:sz w:val="36"/>
          <w:szCs w:val="28"/>
          <w:vertAlign w:val="superscript"/>
          <w:rtl/>
        </w:rPr>
        <w:footnoteReference w:id="7277"/>
      </w:r>
      <w:r w:rsidRPr="00007309">
        <w:rPr>
          <w:rFonts w:cs="Arial"/>
          <w:b/>
          <w:bCs/>
          <w:sz w:val="24"/>
          <w:szCs w:val="24"/>
          <w:rtl/>
        </w:rPr>
        <w:t>אֲנִי ה' בְּעִתָּ"הּ אֲחִישֶׁנָּה</w:t>
      </w:r>
      <w:r w:rsidRPr="00007309">
        <w:rPr>
          <w:rFonts w:cs="Arial" w:hint="cs"/>
          <w:b/>
          <w:bCs/>
          <w:sz w:val="24"/>
          <w:szCs w:val="24"/>
          <w:rtl/>
        </w:rPr>
        <w:t xml:space="preserve"> (ישעיה ס)</w:t>
      </w:r>
      <w:r w:rsidRPr="00007309">
        <w:rPr>
          <w:rFonts w:cs="Arial"/>
          <w:b/>
          <w:bCs/>
          <w:sz w:val="24"/>
          <w:szCs w:val="24"/>
          <w:rtl/>
        </w:rPr>
        <w:t>. בְּעִתָּהּ</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278"/>
      </w:r>
      <w:r w:rsidRPr="00007309">
        <w:rPr>
          <w:rFonts w:cs="Arial"/>
          <w:b/>
          <w:bCs/>
          <w:sz w:val="24"/>
          <w:szCs w:val="24"/>
          <w:rtl/>
        </w:rPr>
        <w:t xml:space="preserve">ע"ב פָּנִים </w:t>
      </w:r>
      <w:r w:rsidRPr="00007309">
        <w:rPr>
          <w:rFonts w:cs="Arial"/>
          <w:b/>
          <w:bCs/>
          <w:sz w:val="36"/>
          <w:szCs w:val="28"/>
          <w:vertAlign w:val="superscript"/>
          <w:rtl/>
        </w:rPr>
        <w:footnoteReference w:id="7279"/>
      </w:r>
      <w:r w:rsidRPr="00007309">
        <w:rPr>
          <w:rFonts w:cs="Arial"/>
          <w:b/>
          <w:bCs/>
          <w:sz w:val="24"/>
          <w:szCs w:val="24"/>
          <w:rtl/>
        </w:rPr>
        <w:t>לַתּוֹרָה, דְּאִיהוּ ת' מִן עֵת</w:t>
      </w:r>
      <w:r w:rsidRPr="00007309">
        <w:rPr>
          <w:rFonts w:cs="Arial" w:hint="cs"/>
          <w:b/>
          <w:bCs/>
          <w:sz w:val="24"/>
          <w:szCs w:val="24"/>
          <w:rtl/>
        </w:rPr>
        <w:t>.</w:t>
      </w:r>
      <w:r w:rsidRPr="00007309">
        <w:rPr>
          <w:rFonts w:cs="Arial"/>
          <w:b/>
          <w:bCs/>
          <w:sz w:val="24"/>
          <w:szCs w:val="24"/>
          <w:rtl/>
        </w:rPr>
        <w:t xml:space="preserve"> וְעָלֵהוּ לֹא יִבּוֹל</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280"/>
      </w:r>
      <w:r w:rsidRPr="00007309">
        <w:rPr>
          <w:rFonts w:cs="Arial"/>
          <w:b/>
          <w:bCs/>
          <w:sz w:val="24"/>
          <w:szCs w:val="24"/>
          <w:rtl/>
        </w:rPr>
        <w:t>כְּגוֹן שִׂמְלָתְךָ לֹא בָּלְתָה מֵעָלֶיךָ. וְכָל אֲשֶׁר יַעֲשֶׂה יַצְלִיחַ (תהלים א'). אִלֵּין פִּקּוּדִין דַּעֲשֵׂה</w:t>
      </w:r>
      <w:r w:rsidRPr="00007309">
        <w:rPr>
          <w:rFonts w:cs="Arial" w:hint="cs"/>
          <w:b/>
          <w:bCs/>
          <w:sz w:val="24"/>
          <w:szCs w:val="24"/>
          <w:rtl/>
        </w:rPr>
        <w:t>,</w:t>
      </w:r>
      <w:r w:rsidRPr="00007309">
        <w:rPr>
          <w:rFonts w:cs="Arial"/>
          <w:b/>
          <w:bCs/>
          <w:sz w:val="24"/>
          <w:szCs w:val="24"/>
          <w:rtl/>
        </w:rPr>
        <w:t xml:space="preserve"> דְּאִתְּמַר עָלַיְהוּ </w:t>
      </w:r>
      <w:r w:rsidRPr="00007309">
        <w:rPr>
          <w:rFonts w:cs="Arial" w:hint="cs"/>
          <w:b/>
          <w:bCs/>
          <w:sz w:val="24"/>
          <w:szCs w:val="24"/>
          <w:rtl/>
        </w:rPr>
        <w:t xml:space="preserve">(בראשית לט) </w:t>
      </w:r>
      <w:r w:rsidRPr="00007309">
        <w:rPr>
          <w:rFonts w:cs="Arial"/>
          <w:b/>
          <w:bCs/>
          <w:sz w:val="24"/>
          <w:szCs w:val="24"/>
          <w:rtl/>
        </w:rPr>
        <w:t>וְכָל אֲשֶׁר הוּא עוֹשֶׂה ה' מַצְלִיחַ בְּיָדוֹ</w:t>
      </w:r>
      <w:r w:rsidRPr="00007309">
        <w:rPr>
          <w:rFonts w:cs="Arial" w:hint="cs"/>
          <w:b/>
          <w:bCs/>
          <w:sz w:val="24"/>
          <w:szCs w:val="24"/>
          <w:rtl/>
        </w:rPr>
        <w:t>.</w:t>
      </w:r>
    </w:p>
    <w:p w:rsidR="00007309" w:rsidRPr="00007309" w:rsidRDefault="00007309" w:rsidP="00007309">
      <w:pPr>
        <w:jc w:val="both"/>
        <w:rPr>
          <w:rFonts w:cs="Arial"/>
          <w:b/>
          <w:bCs/>
          <w:sz w:val="24"/>
          <w:szCs w:val="24"/>
          <w:rtl/>
        </w:rPr>
      </w:pPr>
      <w:r w:rsidRPr="00007309">
        <w:rPr>
          <w:rFonts w:cs="Arial"/>
          <w:b/>
          <w:bCs/>
          <w:sz w:val="36"/>
          <w:szCs w:val="28"/>
          <w:vertAlign w:val="superscript"/>
          <w:rtl/>
        </w:rPr>
        <w:footnoteReference w:id="7281"/>
      </w:r>
      <w:r w:rsidRPr="00007309">
        <w:rPr>
          <w:rFonts w:cs="Arial"/>
          <w:b/>
          <w:bCs/>
          <w:sz w:val="24"/>
          <w:szCs w:val="24"/>
          <w:rtl/>
        </w:rPr>
        <w:t xml:space="preserve">וְאוֹקְמוּהּ מ"מ </w:t>
      </w:r>
      <w:r w:rsidRPr="00007309">
        <w:rPr>
          <w:rFonts w:cs="Arial"/>
          <w:b/>
          <w:bCs/>
          <w:sz w:val="36"/>
          <w:szCs w:val="28"/>
          <w:vertAlign w:val="superscript"/>
          <w:rtl/>
        </w:rPr>
        <w:footnoteReference w:id="7282"/>
      </w:r>
      <w:r w:rsidRPr="00007309">
        <w:rPr>
          <w:rFonts w:cs="Arial"/>
          <w:b/>
          <w:bCs/>
          <w:sz w:val="24"/>
          <w:szCs w:val="24"/>
          <w:rtl/>
        </w:rPr>
        <w:t xml:space="preserve">דְּאִיהִי אוֹרַיְתָא דאִתְּמַר בֵּהּ </w:t>
      </w:r>
      <w:r w:rsidRPr="00007309">
        <w:rPr>
          <w:rFonts w:cs="Arial" w:hint="cs"/>
          <w:b/>
          <w:bCs/>
          <w:sz w:val="24"/>
          <w:szCs w:val="24"/>
          <w:rtl/>
        </w:rPr>
        <w:t xml:space="preserve">(משלי ה) </w:t>
      </w:r>
      <w:r w:rsidRPr="00007309">
        <w:rPr>
          <w:rFonts w:cs="Arial"/>
          <w:b/>
          <w:bCs/>
          <w:sz w:val="24"/>
          <w:szCs w:val="24"/>
          <w:rtl/>
        </w:rPr>
        <w:t>שְׁתֵה מַיִם מִבּוֹרֶךָ וְגוֹ'</w:t>
      </w:r>
      <w:r w:rsidRPr="00007309">
        <w:rPr>
          <w:rFonts w:cs="Arial" w:hint="cs"/>
          <w:b/>
          <w:bCs/>
          <w:sz w:val="24"/>
          <w:szCs w:val="24"/>
          <w:rtl/>
        </w:rPr>
        <w:t>,</w:t>
      </w:r>
      <w:r w:rsidRPr="00007309">
        <w:rPr>
          <w:rFonts w:cs="Arial"/>
          <w:b/>
          <w:bCs/>
          <w:sz w:val="24"/>
          <w:szCs w:val="24"/>
          <w:rtl/>
        </w:rPr>
        <w:t xml:space="preserve"> וְאוֹקְמוּהּ בּוֹר מַיִם מְכֻנָּסִים</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283"/>
      </w:r>
      <w:r w:rsidRPr="00007309">
        <w:rPr>
          <w:rFonts w:cs="Arial"/>
          <w:b/>
          <w:bCs/>
          <w:sz w:val="24"/>
          <w:szCs w:val="24"/>
          <w:rtl/>
        </w:rPr>
        <w:t>בְּאֵר מַיִם חַיִּים</w:t>
      </w:r>
      <w:r w:rsidRPr="00007309">
        <w:rPr>
          <w:rFonts w:cs="Arial" w:hint="cs"/>
          <w:b/>
          <w:bCs/>
          <w:sz w:val="24"/>
          <w:szCs w:val="24"/>
          <w:rtl/>
        </w:rPr>
        <w:t>,</w:t>
      </w:r>
      <w:r w:rsidRPr="00007309">
        <w:rPr>
          <w:rFonts w:cs="Arial"/>
          <w:b/>
          <w:bCs/>
          <w:sz w:val="24"/>
          <w:szCs w:val="24"/>
          <w:rtl/>
        </w:rPr>
        <w:t xml:space="preserve"> הָדָא הוּא דִּכְתִיב </w:t>
      </w:r>
      <w:r w:rsidRPr="00007309">
        <w:rPr>
          <w:rFonts w:cs="Arial" w:hint="cs"/>
          <w:b/>
          <w:bCs/>
          <w:sz w:val="24"/>
          <w:szCs w:val="24"/>
          <w:rtl/>
        </w:rPr>
        <w:t xml:space="preserve">(שיר ד) </w:t>
      </w:r>
      <w:r w:rsidRPr="00007309">
        <w:rPr>
          <w:rFonts w:cs="Arial"/>
          <w:b/>
          <w:bCs/>
          <w:sz w:val="24"/>
          <w:szCs w:val="24"/>
          <w:rtl/>
        </w:rPr>
        <w:t>מַעְיַן גַּנִּים בְּאֵר מַיִם חַיִּים. מִסִּטְרָא דְּעֵץ הַדַּעַת טוֹב וָרָע, אִיהִי מַיִם מְכֻנָּסִים לְמִקְוֶה</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284"/>
      </w:r>
      <w:r w:rsidRPr="00007309">
        <w:rPr>
          <w:rFonts w:cs="Arial"/>
          <w:b/>
          <w:bCs/>
          <w:sz w:val="24"/>
          <w:szCs w:val="24"/>
          <w:rtl/>
        </w:rPr>
        <w:t>מַיִם מְכֻנָּסִים סְרוּחִים. אִלֵּין מִסִּטְרָא דְּטוֹב וְאִלֵּין מִסִּטְרָא דְּרַע. וּמַיִם מְכֻנָּסִים אִלֵּין הֲלָכוֹת וּלְקוּטוֹת</w:t>
      </w:r>
      <w:r w:rsidRPr="00007309">
        <w:rPr>
          <w:rFonts w:cs="Arial" w:hint="cs"/>
          <w:b/>
          <w:bCs/>
          <w:sz w:val="24"/>
          <w:szCs w:val="24"/>
          <w:rtl/>
        </w:rPr>
        <w:t>,</w:t>
      </w:r>
      <w:r w:rsidRPr="00007309">
        <w:rPr>
          <w:rFonts w:cs="Arial"/>
          <w:b/>
          <w:bCs/>
          <w:sz w:val="24"/>
          <w:szCs w:val="24"/>
          <w:rtl/>
        </w:rPr>
        <w:t xml:space="preserve"> דְּאִנּוּן כְּגוֹן לֶקֶט שִׁכְחָה וּפֵאָה דְּעָנִי</w:t>
      </w:r>
      <w:r w:rsidRPr="00007309">
        <w:rPr>
          <w:rFonts w:cs="Arial" w:hint="cs"/>
          <w:b/>
          <w:bCs/>
          <w:sz w:val="24"/>
          <w:szCs w:val="24"/>
          <w:rtl/>
        </w:rPr>
        <w:t>,</w:t>
      </w:r>
      <w:r w:rsidRPr="00007309">
        <w:rPr>
          <w:rFonts w:cs="Arial"/>
          <w:b/>
          <w:bCs/>
          <w:sz w:val="24"/>
          <w:szCs w:val="24"/>
          <w:rtl/>
        </w:rPr>
        <w:t xml:space="preserve"> הָכֵי מַיִם מְכֻנָּסִים </w:t>
      </w:r>
      <w:r w:rsidRPr="00007309">
        <w:rPr>
          <w:rFonts w:cs="Arial"/>
          <w:b/>
          <w:bCs/>
          <w:sz w:val="36"/>
          <w:szCs w:val="28"/>
          <w:vertAlign w:val="superscript"/>
          <w:rtl/>
        </w:rPr>
        <w:footnoteReference w:id="7285"/>
      </w:r>
      <w:r w:rsidRPr="00007309">
        <w:rPr>
          <w:rFonts w:cs="Arial"/>
          <w:b/>
          <w:bCs/>
          <w:sz w:val="24"/>
          <w:szCs w:val="24"/>
          <w:rtl/>
        </w:rPr>
        <w:t xml:space="preserve">לְהַהוּא דְאִקְּרֵי עָנִי בְּאוֹרַיְתָא וּבְפִקּוּדִין דִּילֵהּ, דְּלֵית לֵהּ אֶלָּא מָא דְּיָהֲבִין לֵהּ, </w:t>
      </w:r>
      <w:r w:rsidRPr="00007309">
        <w:rPr>
          <w:rFonts w:cs="Arial"/>
          <w:b/>
          <w:bCs/>
          <w:sz w:val="36"/>
          <w:szCs w:val="28"/>
          <w:vertAlign w:val="superscript"/>
          <w:rtl/>
        </w:rPr>
        <w:footnoteReference w:id="7286"/>
      </w:r>
      <w:r w:rsidRPr="00007309">
        <w:rPr>
          <w:rFonts w:cs="Arial"/>
          <w:b/>
          <w:bCs/>
          <w:sz w:val="24"/>
          <w:szCs w:val="24"/>
          <w:rtl/>
        </w:rPr>
        <w:t>דְּאִשְׁתַּקְּיָא מִלְּבַר ע"י אָחֳרָא.</w:t>
      </w:r>
    </w:p>
    <w:p w:rsidR="00007309" w:rsidRPr="00007309" w:rsidRDefault="00007309" w:rsidP="00007309">
      <w:pPr>
        <w:keepNext/>
        <w:spacing w:before="240" w:after="60"/>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[וילנא כו ע"א]</w:t>
      </w:r>
    </w:p>
    <w:p w:rsidR="00007309" w:rsidRPr="00007309" w:rsidRDefault="00007309" w:rsidP="00007309">
      <w:pPr>
        <w:jc w:val="both"/>
        <w:rPr>
          <w:rFonts w:cs="Arial"/>
          <w:b/>
          <w:bCs/>
          <w:sz w:val="24"/>
          <w:szCs w:val="24"/>
          <w:rtl/>
        </w:rPr>
      </w:pPr>
      <w:r w:rsidRPr="00007309">
        <w:rPr>
          <w:rFonts w:cs="Arial"/>
          <w:b/>
          <w:bCs/>
          <w:sz w:val="24"/>
          <w:szCs w:val="24"/>
          <w:rtl/>
        </w:rPr>
        <w:t>וְכָל (נ"א א</w:t>
      </w:r>
      <w:r w:rsidRPr="00007309">
        <w:rPr>
          <w:rFonts w:cs="Arial" w:hint="cs"/>
          <w:b/>
          <w:bCs/>
          <w:sz w:val="24"/>
          <w:szCs w:val="24"/>
          <w:rtl/>
        </w:rPr>
        <w:t>ב</w:t>
      </w:r>
      <w:r w:rsidRPr="00007309">
        <w:rPr>
          <w:rFonts w:cs="Arial"/>
          <w:b/>
          <w:bCs/>
          <w:sz w:val="24"/>
          <w:szCs w:val="24"/>
          <w:rtl/>
        </w:rPr>
        <w:t xml:space="preserve">ל) אִלֵּין דְּסִטְרָא דְּאִילָנָא דְּחַיֵּי, אִנּוּן דַּמְיָן לִבְאֵר מַיִם חַיִּים, דְּלֵית לְהוּ פְּסִיקוּ, </w:t>
      </w:r>
      <w:r w:rsidRPr="00007309">
        <w:rPr>
          <w:rFonts w:cs="Arial"/>
          <w:b/>
          <w:bCs/>
          <w:sz w:val="36"/>
          <w:szCs w:val="28"/>
          <w:vertAlign w:val="superscript"/>
          <w:rtl/>
        </w:rPr>
        <w:footnoteReference w:id="7287"/>
      </w:r>
      <w:r w:rsidRPr="00007309">
        <w:rPr>
          <w:rFonts w:cs="Arial"/>
          <w:b/>
          <w:bCs/>
          <w:sz w:val="24"/>
          <w:szCs w:val="24"/>
          <w:rtl/>
        </w:rPr>
        <w:t>וְדַמְיָן לְעֵץ דְּאִיהוּ נָטוּעַ עַל פַּלְגֵּי מַיִם, אוֹ שָׁתוּל</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288"/>
      </w:r>
      <w:r w:rsidRPr="00007309">
        <w:rPr>
          <w:rFonts w:cs="Arial"/>
          <w:b/>
          <w:bCs/>
          <w:sz w:val="24"/>
          <w:szCs w:val="24"/>
          <w:rtl/>
        </w:rPr>
        <w:t xml:space="preserve">דְּאַעֲקָרוּ הַהוּא אִילָנָא מֵאֲתַר דְּיַבָּשָׁה </w:t>
      </w:r>
      <w:r w:rsidRPr="00007309">
        <w:rPr>
          <w:rFonts w:ascii="Cambria" w:hAnsi="Cambria" w:cs="Times New Roman" w:hint="cs"/>
          <w:b/>
          <w:bCs/>
          <w:i/>
          <w:iCs/>
          <w:color w:val="4F81BD"/>
          <w:sz w:val="24"/>
          <w:szCs w:val="24"/>
          <w:rtl/>
        </w:rPr>
        <w:t>(וילנא כו ע"א)</w:t>
      </w:r>
      <w:r w:rsidRPr="00007309">
        <w:rPr>
          <w:rFonts w:cs="Arial" w:hint="cs"/>
          <w:b/>
          <w:bCs/>
          <w:sz w:val="24"/>
          <w:szCs w:val="24"/>
          <w:rtl/>
        </w:rPr>
        <w:t xml:space="preserve"> </w:t>
      </w:r>
      <w:r w:rsidRPr="00007309">
        <w:rPr>
          <w:rFonts w:cs="Arial"/>
          <w:b/>
          <w:bCs/>
          <w:sz w:val="24"/>
          <w:szCs w:val="24"/>
          <w:rtl/>
        </w:rPr>
        <w:t>וּשְׁתָלוּ לֵהּ עַל פַּלְגֵּי מַיִם, דְּאִנּוּן מְשֻׁלָּשִׁים בְּאוֹרַיְתָא</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289"/>
      </w:r>
      <w:r w:rsidRPr="00007309">
        <w:rPr>
          <w:rFonts w:cs="Arial"/>
          <w:b/>
          <w:bCs/>
          <w:sz w:val="24"/>
          <w:szCs w:val="24"/>
          <w:rtl/>
        </w:rPr>
        <w:t xml:space="preserve">וְאִתְקְרִיאוּ פַּלְגֵּי מַיִם, עַל שֵׁם דְּאִית לְהוּ </w:t>
      </w:r>
      <w:r w:rsidRPr="00007309">
        <w:rPr>
          <w:rFonts w:cs="Arial"/>
          <w:b/>
          <w:bCs/>
          <w:sz w:val="36"/>
          <w:szCs w:val="28"/>
          <w:vertAlign w:val="superscript"/>
          <w:rtl/>
        </w:rPr>
        <w:footnoteReference w:id="7290"/>
      </w:r>
      <w:r w:rsidRPr="00007309">
        <w:rPr>
          <w:rFonts w:cs="Arial"/>
          <w:b/>
          <w:bCs/>
          <w:sz w:val="24"/>
          <w:szCs w:val="24"/>
          <w:rtl/>
        </w:rPr>
        <w:t>פְּלֻגְתָּא דְּמַתְנִיתִין דִּילְהוֹן</w:t>
      </w:r>
      <w:r w:rsidRPr="00007309">
        <w:rPr>
          <w:rFonts w:cs="Arial" w:hint="cs"/>
          <w:b/>
          <w:bCs/>
          <w:sz w:val="24"/>
          <w:szCs w:val="24"/>
          <w:rtl/>
        </w:rPr>
        <w:t>,</w:t>
      </w:r>
      <w:r w:rsidRPr="00007309">
        <w:rPr>
          <w:rFonts w:cs="Arial"/>
          <w:b/>
          <w:bCs/>
          <w:sz w:val="24"/>
          <w:szCs w:val="24"/>
          <w:rtl/>
        </w:rPr>
        <w:t xml:space="preserve"> וְהָכֵי (נ"א וההוא) פְּלֻגְתָּא דְּאִילָנָא דְּחַיֵּי, אִיהוּ </w:t>
      </w:r>
      <w:r w:rsidRPr="00007309">
        <w:rPr>
          <w:rFonts w:cs="Arial"/>
          <w:b/>
          <w:bCs/>
          <w:sz w:val="36"/>
          <w:szCs w:val="28"/>
          <w:vertAlign w:val="superscript"/>
          <w:rtl/>
        </w:rPr>
        <w:footnoteReference w:id="7291"/>
      </w:r>
      <w:r w:rsidRPr="00007309">
        <w:rPr>
          <w:rFonts w:cs="Arial"/>
          <w:b/>
          <w:bCs/>
          <w:sz w:val="24"/>
          <w:szCs w:val="24"/>
          <w:rtl/>
        </w:rPr>
        <w:t xml:space="preserve">מַיִם עֶלְיוֹנִים דְּכָרִים, </w:t>
      </w:r>
      <w:r w:rsidRPr="00007309">
        <w:rPr>
          <w:rFonts w:cs="Arial"/>
          <w:b/>
          <w:bCs/>
          <w:sz w:val="36"/>
          <w:szCs w:val="28"/>
          <w:vertAlign w:val="superscript"/>
          <w:rtl/>
        </w:rPr>
        <w:footnoteReference w:id="7292"/>
      </w:r>
      <w:r w:rsidRPr="00007309">
        <w:rPr>
          <w:rFonts w:cs="Arial"/>
          <w:b/>
          <w:bCs/>
          <w:sz w:val="24"/>
          <w:szCs w:val="24"/>
          <w:rtl/>
        </w:rPr>
        <w:t>מַיִם תַּחְתּוֹנִים נְקֵבוֹת, וְאִנּוּן בּוֹכִים בְּגִין דְּלָא יְהוּ רְחוֹקִין מִקֻּדְשָׁא בְּרִיךְ הוּא</w:t>
      </w:r>
      <w:r w:rsidRPr="00007309">
        <w:rPr>
          <w:rFonts w:cs="Arial" w:hint="cs"/>
          <w:b/>
          <w:bCs/>
          <w:sz w:val="24"/>
          <w:szCs w:val="24"/>
          <w:rtl/>
        </w:rPr>
        <w:t>,</w:t>
      </w:r>
      <w:r w:rsidRPr="00007309">
        <w:rPr>
          <w:rFonts w:cs="Arial"/>
          <w:b/>
          <w:bCs/>
          <w:sz w:val="24"/>
          <w:szCs w:val="24"/>
          <w:rtl/>
        </w:rPr>
        <w:t xml:space="preserve"> וְקֻדְשָׁא בְּרִיךְ הוּא עֲבִיד בְּהוּ פְּלֻגְתָּא, דְּשַׁוֵּי פַּלְגּוּ לְעֵלָּא מִן רְקִיעָא, וּפַלְגּוּ לְתַתָּא מֵרְקִיעָא</w:t>
      </w:r>
      <w:r w:rsidRPr="00007309">
        <w:rPr>
          <w:rFonts w:cs="Arial" w:hint="cs"/>
          <w:b/>
          <w:bCs/>
          <w:sz w:val="24"/>
          <w:szCs w:val="24"/>
          <w:rtl/>
        </w:rPr>
        <w:t>,</w:t>
      </w:r>
      <w:r w:rsidRPr="00007309">
        <w:rPr>
          <w:rFonts w:cs="Arial"/>
          <w:b/>
          <w:bCs/>
          <w:sz w:val="24"/>
          <w:szCs w:val="24"/>
          <w:rtl/>
        </w:rPr>
        <w:t xml:space="preserve"> בְּגִין לְמֶהֱוֵי אִשְׁתְּמוֹדַע חִלּוּק בֵּן דְּכוּרִין לְנוּקְבִין</w:t>
      </w:r>
      <w:r w:rsidRPr="00007309">
        <w:rPr>
          <w:rFonts w:cs="Arial" w:hint="cs"/>
          <w:b/>
          <w:bCs/>
          <w:sz w:val="24"/>
          <w:szCs w:val="24"/>
          <w:rtl/>
        </w:rPr>
        <w:t>,</w:t>
      </w:r>
      <w:r w:rsidRPr="00007309">
        <w:rPr>
          <w:rFonts w:cs="Arial"/>
          <w:b/>
          <w:bCs/>
          <w:sz w:val="24"/>
          <w:szCs w:val="24"/>
          <w:rtl/>
        </w:rPr>
        <w:t xml:space="preserve"> בְּגִין כָּךְ </w:t>
      </w:r>
      <w:r w:rsidRPr="00007309">
        <w:rPr>
          <w:rFonts w:cs="Arial"/>
          <w:b/>
          <w:bCs/>
          <w:sz w:val="36"/>
          <w:szCs w:val="28"/>
          <w:vertAlign w:val="superscript"/>
          <w:rtl/>
        </w:rPr>
        <w:footnoteReference w:id="7293"/>
      </w:r>
      <w:r w:rsidRPr="00007309">
        <w:rPr>
          <w:rFonts w:cs="Arial"/>
          <w:b/>
          <w:bCs/>
          <w:sz w:val="24"/>
          <w:szCs w:val="24"/>
          <w:rtl/>
        </w:rPr>
        <w:t>שַׁוֵּי קֻדְשָׁא בְּרִיךְ הוּא הַבְדָּלָה בֵּין אַנְפִּין דִּדְכוּרָא לְאַנְפִּין דְּנוּקְבָא</w:t>
      </w:r>
      <w:r w:rsidRPr="00007309">
        <w:rPr>
          <w:rFonts w:cs="Arial" w:hint="cs"/>
          <w:b/>
          <w:bCs/>
          <w:sz w:val="24"/>
          <w:szCs w:val="24"/>
          <w:rtl/>
        </w:rPr>
        <w:t>,</w:t>
      </w:r>
      <w:r w:rsidRPr="00007309">
        <w:rPr>
          <w:rFonts w:cs="Arial"/>
          <w:b/>
          <w:bCs/>
          <w:sz w:val="24"/>
          <w:szCs w:val="24"/>
          <w:rtl/>
        </w:rPr>
        <w:t xml:space="preserve"> וְהַאי אִיהוּ מַחֲלֹקֶת </w:t>
      </w:r>
      <w:r w:rsidRPr="00007309">
        <w:rPr>
          <w:rFonts w:cs="Arial"/>
          <w:b/>
          <w:bCs/>
          <w:sz w:val="36"/>
          <w:szCs w:val="28"/>
          <w:vertAlign w:val="superscript"/>
          <w:rtl/>
        </w:rPr>
        <w:footnoteReference w:id="7294"/>
      </w:r>
      <w:r w:rsidRPr="00007309">
        <w:rPr>
          <w:rFonts w:cs="Arial"/>
          <w:b/>
          <w:bCs/>
          <w:sz w:val="24"/>
          <w:szCs w:val="24"/>
          <w:rtl/>
        </w:rPr>
        <w:t>לְשֵׁם שָׁמַיִם דְּסוֹפוֹ לְהִתְקַיִּם</w:t>
      </w:r>
      <w:r w:rsidRPr="00007309">
        <w:rPr>
          <w:rFonts w:cs="Arial" w:hint="cs"/>
          <w:b/>
          <w:bCs/>
          <w:sz w:val="24"/>
          <w:szCs w:val="24"/>
          <w:rtl/>
        </w:rPr>
        <w:t>,</w:t>
      </w:r>
      <w:r w:rsidRPr="00007309">
        <w:rPr>
          <w:rFonts w:cs="Arial"/>
          <w:b/>
          <w:bCs/>
          <w:sz w:val="24"/>
          <w:szCs w:val="24"/>
          <w:rtl/>
        </w:rPr>
        <w:t xml:space="preserve"> אֲבָל כֻּלְּהוּ אֶחָד, כְּגוֹן דְּאִתְּמַר בָּאָדָם וְאִתְּתֵהּ </w:t>
      </w:r>
      <w:r w:rsidRPr="00007309">
        <w:rPr>
          <w:rFonts w:cs="Arial" w:hint="cs"/>
          <w:b/>
          <w:bCs/>
          <w:sz w:val="24"/>
          <w:szCs w:val="24"/>
          <w:rtl/>
        </w:rPr>
        <w:t>(ישעיה נא) כ</w:t>
      </w:r>
      <w:r w:rsidRPr="00007309">
        <w:rPr>
          <w:rFonts w:cs="Arial"/>
          <w:b/>
          <w:bCs/>
          <w:sz w:val="24"/>
          <w:szCs w:val="24"/>
          <w:rtl/>
        </w:rPr>
        <w:t>ִּ</w:t>
      </w:r>
      <w:r w:rsidRPr="00007309">
        <w:rPr>
          <w:rFonts w:cs="Arial" w:hint="cs"/>
          <w:b/>
          <w:bCs/>
          <w:sz w:val="24"/>
          <w:szCs w:val="24"/>
          <w:rtl/>
        </w:rPr>
        <w:t xml:space="preserve">י </w:t>
      </w:r>
      <w:r w:rsidRPr="00007309">
        <w:rPr>
          <w:rFonts w:cs="Arial"/>
          <w:b/>
          <w:bCs/>
          <w:sz w:val="36"/>
          <w:szCs w:val="28"/>
          <w:vertAlign w:val="superscript"/>
          <w:rtl/>
        </w:rPr>
        <w:footnoteReference w:id="7295"/>
      </w:r>
      <w:r w:rsidRPr="00007309">
        <w:rPr>
          <w:rFonts w:cs="Arial"/>
          <w:b/>
          <w:bCs/>
          <w:sz w:val="24"/>
          <w:szCs w:val="24"/>
          <w:rtl/>
        </w:rPr>
        <w:t>אֶחָד קְרָאתִיו</w:t>
      </w:r>
      <w:r w:rsidRPr="00007309">
        <w:rPr>
          <w:rFonts w:cs="Arial" w:hint="cs"/>
          <w:b/>
          <w:bCs/>
          <w:sz w:val="24"/>
          <w:szCs w:val="24"/>
          <w:rtl/>
        </w:rPr>
        <w:t>,</w:t>
      </w:r>
      <w:r w:rsidRPr="00007309">
        <w:rPr>
          <w:rFonts w:cs="Arial"/>
          <w:b/>
          <w:bCs/>
          <w:sz w:val="24"/>
          <w:szCs w:val="24"/>
          <w:rtl/>
        </w:rPr>
        <w:t xml:space="preserve"> וְאָת א' תּוֹכִיחַ</w:t>
      </w:r>
      <w:r w:rsidRPr="00007309">
        <w:rPr>
          <w:rFonts w:cs="Arial" w:hint="cs"/>
          <w:b/>
          <w:bCs/>
          <w:sz w:val="24"/>
          <w:szCs w:val="24"/>
          <w:rtl/>
        </w:rPr>
        <w:t>,</w:t>
      </w:r>
      <w:r w:rsidRPr="00007309">
        <w:rPr>
          <w:rFonts w:cs="Arial"/>
          <w:b/>
          <w:bCs/>
          <w:sz w:val="24"/>
          <w:szCs w:val="24"/>
          <w:rtl/>
        </w:rPr>
        <w:t xml:space="preserve"> דְּאִיהִי </w:t>
      </w:r>
      <w:r w:rsidRPr="00007309">
        <w:rPr>
          <w:rFonts w:cs="Arial"/>
          <w:b/>
          <w:bCs/>
          <w:sz w:val="36"/>
          <w:szCs w:val="28"/>
          <w:vertAlign w:val="superscript"/>
          <w:rtl/>
        </w:rPr>
        <w:footnoteReference w:id="7296"/>
      </w:r>
      <w:r w:rsidRPr="00007309">
        <w:rPr>
          <w:rFonts w:cs="Arial"/>
          <w:b/>
          <w:bCs/>
          <w:sz w:val="24"/>
          <w:szCs w:val="24"/>
          <w:rtl/>
        </w:rPr>
        <w:t>י' לְעֵלָּא מַיִם זְכָרִים</w:t>
      </w:r>
      <w:r w:rsidRPr="00007309">
        <w:rPr>
          <w:rFonts w:cs="Arial" w:hint="cs"/>
          <w:b/>
          <w:bCs/>
          <w:sz w:val="24"/>
          <w:szCs w:val="24"/>
          <w:rtl/>
        </w:rPr>
        <w:t>,</w:t>
      </w:r>
      <w:r w:rsidRPr="00007309">
        <w:rPr>
          <w:rFonts w:cs="Arial"/>
          <w:b/>
          <w:bCs/>
          <w:sz w:val="24"/>
          <w:szCs w:val="24"/>
          <w:rtl/>
        </w:rPr>
        <w:t xml:space="preserve"> י' לְתַתָּא מַיִם נוּקְבִין</w:t>
      </w:r>
      <w:r w:rsidRPr="00007309">
        <w:rPr>
          <w:rFonts w:cs="Arial" w:hint="cs"/>
          <w:b/>
          <w:bCs/>
          <w:sz w:val="24"/>
          <w:szCs w:val="24"/>
          <w:rtl/>
        </w:rPr>
        <w:t>,</w:t>
      </w:r>
      <w:r w:rsidRPr="00007309">
        <w:rPr>
          <w:rFonts w:cs="Arial"/>
          <w:b/>
          <w:bCs/>
          <w:sz w:val="24"/>
          <w:szCs w:val="24"/>
          <w:rtl/>
        </w:rPr>
        <w:t xml:space="preserve"> כְּגוֹן יְ"יָ מִן יאהדונה"י אִשְׁתְּאֲרוּ שִׁית אַתְוָן בְּאֶמְצָעִיתָא, בֵּין יְ"יָ מִן יאהדונה"י</w:t>
      </w:r>
      <w:r w:rsidRPr="00007309">
        <w:rPr>
          <w:rFonts w:cs="Arial" w:hint="cs"/>
          <w:b/>
          <w:bCs/>
          <w:sz w:val="24"/>
          <w:szCs w:val="24"/>
          <w:rtl/>
        </w:rPr>
        <w:t>,</w:t>
      </w:r>
      <w:r w:rsidRPr="00007309">
        <w:rPr>
          <w:rFonts w:cs="Arial"/>
          <w:b/>
          <w:bCs/>
          <w:sz w:val="24"/>
          <w:szCs w:val="24"/>
          <w:rtl/>
        </w:rPr>
        <w:t xml:space="preserve"> כְּחֻשְׁבַּן ו' מִן א' דְּאִיהוּ רָקִיעַ בְּאֶמְצָעִיתָא. וְעָלֵהּ אִתְּמַר (יחזקאל א) וּמִמַּעַל לָרָקִיעַ אֲשֶׁר עַל רֹאשָׁם. וְאִתְּמַר בֵּהּ דְּמוּת </w:t>
      </w:r>
      <w:r w:rsidRPr="00007309">
        <w:rPr>
          <w:rFonts w:cs="Arial"/>
          <w:b/>
          <w:bCs/>
          <w:sz w:val="36"/>
          <w:szCs w:val="28"/>
          <w:vertAlign w:val="superscript"/>
          <w:rtl/>
        </w:rPr>
        <w:footnoteReference w:id="7297"/>
      </w:r>
      <w:r w:rsidRPr="00007309">
        <w:rPr>
          <w:rFonts w:cs="Arial"/>
          <w:b/>
          <w:bCs/>
          <w:sz w:val="24"/>
          <w:szCs w:val="24"/>
          <w:rtl/>
        </w:rPr>
        <w:t xml:space="preserve">כְּמַרְאֵה אָדָם עָלָיו מִלְּמַעְלָה, </w:t>
      </w:r>
      <w:r w:rsidRPr="00007309">
        <w:rPr>
          <w:rFonts w:cs="Arial"/>
          <w:b/>
          <w:bCs/>
          <w:sz w:val="36"/>
          <w:szCs w:val="28"/>
          <w:vertAlign w:val="superscript"/>
          <w:rtl/>
        </w:rPr>
        <w:footnoteReference w:id="7298"/>
      </w:r>
      <w:r w:rsidRPr="00007309">
        <w:rPr>
          <w:rFonts w:cs="Arial"/>
          <w:b/>
          <w:bCs/>
          <w:sz w:val="24"/>
          <w:szCs w:val="24"/>
          <w:rtl/>
        </w:rPr>
        <w:t>וְדָא א' מִן</w:t>
      </w:r>
      <w:r w:rsidRPr="00007309">
        <w:rPr>
          <w:rFonts w:cs="Arial"/>
          <w:b/>
          <w:bCs/>
          <w:sz w:val="24"/>
          <w:szCs w:val="24"/>
        </w:rPr>
        <w:t xml:space="preserve"> </w:t>
      </w:r>
      <w:r w:rsidRPr="00007309">
        <w:rPr>
          <w:rFonts w:cs="Arial"/>
          <w:b/>
          <w:bCs/>
          <w:sz w:val="24"/>
          <w:szCs w:val="24"/>
          <w:rtl/>
        </w:rPr>
        <w:t xml:space="preserve">אָדָם. וְלָאו כָּל פְּלֻגְתָּא שָׁוִין. </w:t>
      </w:r>
      <w:r w:rsidRPr="00007309">
        <w:rPr>
          <w:rFonts w:cs="Arial"/>
          <w:b/>
          <w:bCs/>
          <w:sz w:val="36"/>
          <w:szCs w:val="28"/>
          <w:vertAlign w:val="superscript"/>
          <w:rtl/>
        </w:rPr>
        <w:footnoteReference w:id="7299"/>
      </w:r>
      <w:r w:rsidRPr="00007309">
        <w:rPr>
          <w:rFonts w:cs="Arial"/>
          <w:b/>
          <w:bCs/>
          <w:sz w:val="24"/>
          <w:szCs w:val="24"/>
          <w:rtl/>
        </w:rPr>
        <w:t xml:space="preserve">דְּאִית פְּלֻגְתָּא לְמִיפְלַג בֵּין טוֹב לְרַע. </w:t>
      </w:r>
      <w:r w:rsidRPr="00007309">
        <w:rPr>
          <w:rFonts w:cs="Arial"/>
          <w:b/>
          <w:bCs/>
          <w:sz w:val="36"/>
          <w:szCs w:val="28"/>
          <w:vertAlign w:val="superscript"/>
          <w:rtl/>
        </w:rPr>
        <w:footnoteReference w:id="7300"/>
      </w:r>
      <w:r w:rsidRPr="00007309">
        <w:rPr>
          <w:rFonts w:cs="Arial"/>
          <w:b/>
          <w:bCs/>
          <w:sz w:val="24"/>
          <w:szCs w:val="24"/>
          <w:rtl/>
        </w:rPr>
        <w:t>וְאִית פְּלֻגְתָּא לְמִיפְלַג בֵּין דְּכוּרִין לְנוּקְבִין, כְּגוֹן מָארֵי מַתְנִיתִין, דְּדָא הוּא חוֹלֵק עַל הַהֲלָכָה דִּילֵהּ, לְמֶהֱוֵי מַיִם עֶלְיוֹנִים</w:t>
      </w:r>
      <w:r w:rsidRPr="00007309">
        <w:rPr>
          <w:rFonts w:cs="Arial" w:hint="cs"/>
          <w:b/>
          <w:bCs/>
          <w:sz w:val="24"/>
          <w:szCs w:val="24"/>
          <w:rtl/>
        </w:rPr>
        <w:t>,</w:t>
      </w:r>
      <w:r w:rsidRPr="00007309">
        <w:rPr>
          <w:rFonts w:cs="Arial"/>
          <w:b/>
          <w:bCs/>
          <w:sz w:val="24"/>
          <w:szCs w:val="24"/>
          <w:rtl/>
        </w:rPr>
        <w:t xml:space="preserve"> לְאִתְגַּבְּרָא עַל נוּקְבָא דְּאִיהִי מַיִם תַּחְתּוֹנִים</w:t>
      </w:r>
      <w:r w:rsidRPr="00007309">
        <w:rPr>
          <w:rFonts w:cs="Arial" w:hint="cs"/>
          <w:b/>
          <w:bCs/>
          <w:sz w:val="24"/>
          <w:szCs w:val="24"/>
          <w:rtl/>
        </w:rPr>
        <w:t>,</w:t>
      </w:r>
      <w:r w:rsidRPr="00007309">
        <w:rPr>
          <w:rFonts w:cs="Arial"/>
          <w:b/>
          <w:bCs/>
          <w:sz w:val="24"/>
          <w:szCs w:val="24"/>
          <w:rtl/>
        </w:rPr>
        <w:t xml:space="preserve"> וּמָאן דְּאַלִּים גָּבַר. כְּגוֹן הֲלָכָה דְּהִלֵּל עַל הֲלָכָה דְּשַׁמַּאי</w:t>
      </w:r>
      <w:r w:rsidRPr="00007309">
        <w:rPr>
          <w:rFonts w:cs="Arial" w:hint="cs"/>
          <w:b/>
          <w:bCs/>
          <w:sz w:val="24"/>
          <w:szCs w:val="24"/>
          <w:rtl/>
        </w:rPr>
        <w:t>,</w:t>
      </w:r>
      <w:r w:rsidRPr="00007309">
        <w:rPr>
          <w:rFonts w:cs="Arial"/>
          <w:b/>
          <w:bCs/>
          <w:sz w:val="24"/>
          <w:szCs w:val="24"/>
          <w:rtl/>
        </w:rPr>
        <w:t xml:space="preserve"> דְּאִתְכַּפְיָא הֲלָכָא דְּשַׁמַּאי תְּחוֹת הֲלָכָה דְּהִלֵּל. אע"פ דְּאֵלּוּ וָאֵלּוּ דִּבְרֵי אֱלֹהִים חַיִּים. </w:t>
      </w:r>
      <w:r w:rsidRPr="00007309">
        <w:rPr>
          <w:rFonts w:cs="Arial"/>
          <w:b/>
          <w:bCs/>
          <w:sz w:val="36"/>
          <w:szCs w:val="28"/>
          <w:vertAlign w:val="superscript"/>
          <w:rtl/>
        </w:rPr>
        <w:footnoteReference w:id="7301"/>
      </w:r>
      <w:r w:rsidRPr="00007309">
        <w:rPr>
          <w:rFonts w:cs="Arial"/>
          <w:b/>
          <w:bCs/>
          <w:sz w:val="24"/>
          <w:szCs w:val="24"/>
          <w:rtl/>
        </w:rPr>
        <w:t>אֶלָּא לְאַחֲזָאָה דְּמָאן דְּאִיהוּ מִסִּטְרָא דְּנוּקְבָא, צָרִיךְ לְאִתְכַּפְיָא תְּחוֹת דְּכוּרָא. כְּגוֹן טִפָּה דְּנוּקְבָא דְּאִתְכַּפְיָא תְּחוֹת דִּדְכוֹרָא</w:t>
      </w:r>
      <w:r w:rsidRPr="00007309">
        <w:rPr>
          <w:rFonts w:cs="Arial" w:hint="cs"/>
          <w:b/>
          <w:bCs/>
          <w:sz w:val="24"/>
          <w:szCs w:val="24"/>
          <w:rtl/>
        </w:rPr>
        <w:t>,</w:t>
      </w:r>
      <w:r w:rsidRPr="00007309">
        <w:rPr>
          <w:rFonts w:cs="Arial"/>
          <w:b/>
          <w:bCs/>
          <w:sz w:val="24"/>
          <w:szCs w:val="24"/>
          <w:rtl/>
        </w:rPr>
        <w:t xml:space="preserve"> אִקְּרֵי בֵּן. וְאִי טִפָּה דְּנוּקְבָא שָׁלְטָא עַל טִפָּה דִּדְכוֹרָא אִקְּרֵי בַּת. </w:t>
      </w:r>
      <w:r w:rsidRPr="00007309">
        <w:rPr>
          <w:rFonts w:cs="Arial"/>
          <w:b/>
          <w:bCs/>
          <w:sz w:val="36"/>
          <w:szCs w:val="28"/>
          <w:vertAlign w:val="superscript"/>
          <w:rtl/>
        </w:rPr>
        <w:footnoteReference w:id="7302"/>
      </w:r>
      <w:r w:rsidRPr="00007309">
        <w:rPr>
          <w:rFonts w:cs="Arial"/>
          <w:b/>
          <w:bCs/>
          <w:sz w:val="24"/>
          <w:szCs w:val="24"/>
          <w:rtl/>
        </w:rPr>
        <w:t xml:space="preserve">וְהָכָא אִיהוּ רָזָא וְהָיָה כְּעֵץ שָׁתוּל עַל פַּלְגֵּי מַיִם, דְּאִנּוּן רָזִין דְּאוֹרַיְתָא דִּבְעַל פֶּה. וְאִתְקְרִיאוּ דִּבְרֵי אֱלֹהִים חַיִּים מִסִּטְרָא דְּאִילָנָא דְּחַיֵּי. וְעָלַיְהוּ אִתְּמַר (משלי כא) </w:t>
      </w:r>
      <w:r w:rsidRPr="00007309">
        <w:rPr>
          <w:rFonts w:cs="Arial"/>
          <w:b/>
          <w:bCs/>
          <w:sz w:val="36"/>
          <w:szCs w:val="28"/>
          <w:vertAlign w:val="superscript"/>
          <w:rtl/>
        </w:rPr>
        <w:footnoteReference w:id="7303"/>
      </w:r>
      <w:r w:rsidRPr="00007309">
        <w:rPr>
          <w:rFonts w:cs="Arial"/>
          <w:b/>
          <w:bCs/>
          <w:sz w:val="24"/>
          <w:szCs w:val="24"/>
          <w:rtl/>
        </w:rPr>
        <w:t>פַּלְגֵּי מַיִם לֵב מֶלֶךְ בְּיַד ה' עַל כָּל אֲשֶׁר יַחְפּוֹץ יַטֶנּוּ.</w:t>
      </w:r>
    </w:p>
    <w:p w:rsidR="00007309" w:rsidRPr="00007309" w:rsidRDefault="00007309" w:rsidP="00007309">
      <w:pPr>
        <w:keepNext/>
        <w:outlineLvl w:val="1"/>
        <w:rPr>
          <w:rFonts w:ascii="Cambria" w:hAnsi="Cambria" w:cs="Times New Roman"/>
          <w:b/>
          <w:bCs/>
          <w:i/>
          <w:iCs/>
          <w:sz w:val="28"/>
          <w:szCs w:val="28"/>
          <w:rtl/>
        </w:rPr>
      </w:pPr>
      <w:r w:rsidRPr="00007309">
        <w:rPr>
          <w:rFonts w:ascii="Cambria" w:hAnsi="Cambria" w:cs="Times New Roman"/>
          <w:b/>
          <w:bCs/>
          <w:i/>
          <w:iCs/>
          <w:sz w:val="28"/>
          <w:szCs w:val="28"/>
          <w:rtl/>
        </w:rPr>
        <w:t>[</w:t>
      </w:r>
      <w:r w:rsidRPr="00007309">
        <w:rPr>
          <w:rFonts w:ascii="Cambria" w:hAnsi="Cambria" w:cs="Times New Roman" w:hint="cs"/>
          <w:b/>
          <w:bCs/>
          <w:i/>
          <w:iCs/>
          <w:sz w:val="28"/>
          <w:szCs w:val="28"/>
          <w:rtl/>
        </w:rPr>
        <w:t>דף</w:t>
      </w:r>
      <w:r w:rsidRPr="00007309">
        <w:rPr>
          <w:rFonts w:ascii="Cambria" w:hAnsi="Cambria" w:cs="Times New Roman"/>
          <w:b/>
          <w:bCs/>
          <w:i/>
          <w:iCs/>
          <w:sz w:val="28"/>
          <w:szCs w:val="28"/>
          <w:rtl/>
        </w:rPr>
        <w:t xml:space="preserve"> </w:t>
      </w:r>
      <w:r w:rsidRPr="00007309">
        <w:rPr>
          <w:rFonts w:ascii="Cambria" w:hAnsi="Cambria" w:cs="Times New Roman" w:hint="cs"/>
          <w:b/>
          <w:bCs/>
          <w:i/>
          <w:iCs/>
          <w:sz w:val="28"/>
          <w:szCs w:val="28"/>
          <w:rtl/>
        </w:rPr>
        <w:t>פא</w:t>
      </w:r>
      <w:r w:rsidRPr="00007309">
        <w:rPr>
          <w:rFonts w:ascii="Cambria" w:hAnsi="Cambria" w:cs="Times New Roman"/>
          <w:b/>
          <w:bCs/>
          <w:i/>
          <w:iCs/>
          <w:sz w:val="28"/>
          <w:szCs w:val="28"/>
          <w:rtl/>
        </w:rPr>
        <w:t xml:space="preserve"> ע"</w:t>
      </w:r>
      <w:r w:rsidRPr="00007309">
        <w:rPr>
          <w:rFonts w:ascii="Cambria" w:hAnsi="Cambria" w:cs="Times New Roman" w:hint="cs"/>
          <w:b/>
          <w:bCs/>
          <w:i/>
          <w:iCs/>
          <w:sz w:val="28"/>
          <w:szCs w:val="28"/>
          <w:rtl/>
        </w:rPr>
        <w:t>א</w:t>
      </w:r>
      <w:r w:rsidRPr="00007309">
        <w:rPr>
          <w:rFonts w:ascii="Cambria" w:hAnsi="Cambria" w:cs="Times New Roman"/>
          <w:b/>
          <w:bCs/>
          <w:i/>
          <w:iCs/>
          <w:sz w:val="28"/>
          <w:szCs w:val="28"/>
          <w:rtl/>
        </w:rPr>
        <w:t>]</w:t>
      </w:r>
    </w:p>
    <w:p w:rsidR="00007309" w:rsidRPr="00007309" w:rsidRDefault="00007309" w:rsidP="00007309">
      <w:pPr>
        <w:jc w:val="both"/>
        <w:rPr>
          <w:rFonts w:cs="Arial"/>
          <w:b/>
          <w:bCs/>
          <w:sz w:val="24"/>
          <w:szCs w:val="24"/>
          <w:rtl/>
        </w:rPr>
      </w:pPr>
      <w:r w:rsidRPr="00007309">
        <w:rPr>
          <w:rFonts w:cs="Arial"/>
          <w:b/>
          <w:bCs/>
          <w:sz w:val="36"/>
          <w:szCs w:val="28"/>
          <w:vertAlign w:val="superscript"/>
          <w:rtl/>
        </w:rPr>
        <w:footnoteReference w:id="7304"/>
      </w:r>
      <w:r w:rsidRPr="00007309">
        <w:rPr>
          <w:rFonts w:cs="Arial"/>
          <w:b/>
          <w:bCs/>
          <w:sz w:val="24"/>
          <w:szCs w:val="24"/>
          <w:rtl/>
        </w:rPr>
        <w:t>וְאִית פְּלֻגְתָּא עַל לְבוּשֵׁי א' מִן אָדָם</w:t>
      </w:r>
      <w:r w:rsidRPr="00007309">
        <w:rPr>
          <w:rFonts w:cs="Arial" w:hint="cs"/>
          <w:b/>
          <w:bCs/>
          <w:sz w:val="24"/>
          <w:szCs w:val="24"/>
          <w:rtl/>
        </w:rPr>
        <w:t>,</w:t>
      </w:r>
      <w:r w:rsidRPr="00007309">
        <w:rPr>
          <w:rFonts w:cs="Arial"/>
          <w:b/>
          <w:bCs/>
          <w:sz w:val="24"/>
          <w:szCs w:val="24"/>
          <w:rtl/>
        </w:rPr>
        <w:t xml:space="preserve"> וְהַיְנוּ דְּכַר וְנוּקְבָא</w:t>
      </w:r>
      <w:r w:rsidRPr="00007309">
        <w:rPr>
          <w:rFonts w:cs="Arial" w:hint="cs"/>
          <w:b/>
          <w:bCs/>
          <w:sz w:val="24"/>
          <w:szCs w:val="24"/>
          <w:rtl/>
        </w:rPr>
        <w:t>,</w:t>
      </w:r>
      <w:r w:rsidRPr="00007309">
        <w:rPr>
          <w:rFonts w:cs="Arial"/>
          <w:b/>
          <w:bCs/>
          <w:sz w:val="24"/>
          <w:szCs w:val="24"/>
          <w:rtl/>
        </w:rPr>
        <w:t xml:space="preserve"> כְּגוֹן </w:t>
      </w:r>
      <w:r w:rsidRPr="00007309">
        <w:rPr>
          <w:rFonts w:cs="Arial"/>
          <w:b/>
          <w:bCs/>
          <w:sz w:val="36"/>
          <w:szCs w:val="28"/>
          <w:vertAlign w:val="superscript"/>
          <w:rtl/>
        </w:rPr>
        <w:footnoteReference w:id="7305"/>
      </w:r>
      <w:r w:rsidRPr="00007309">
        <w:rPr>
          <w:rFonts w:cs="Arial"/>
          <w:b/>
          <w:bCs/>
          <w:sz w:val="24"/>
          <w:szCs w:val="24"/>
          <w:rtl/>
        </w:rPr>
        <w:t xml:space="preserve">אִלֵּין </w:t>
      </w:r>
      <w:r w:rsidRPr="00007309">
        <w:rPr>
          <w:rFonts w:cs="Arial"/>
          <w:b/>
          <w:bCs/>
          <w:sz w:val="36"/>
          <w:szCs w:val="28"/>
          <w:vertAlign w:val="superscript"/>
          <w:rtl/>
        </w:rPr>
        <w:footnoteReference w:id="7306"/>
      </w:r>
      <w:r w:rsidRPr="00007309">
        <w:rPr>
          <w:rFonts w:cs="Arial"/>
          <w:b/>
          <w:bCs/>
          <w:sz w:val="24"/>
          <w:szCs w:val="24"/>
          <w:rtl/>
        </w:rPr>
        <w:t>דְּחוֹלְקִין עַל פְּסָקוֹת דִּלְבוּשֵׁי מַטְרוֹנִיתָא, וְעַבְדִין לוֹן כַּמָּה פֵּרוּקִין</w:t>
      </w:r>
      <w:r w:rsidRPr="00007309">
        <w:rPr>
          <w:rFonts w:cs="Arial" w:hint="cs"/>
          <w:b/>
          <w:bCs/>
          <w:sz w:val="24"/>
          <w:szCs w:val="24"/>
          <w:rtl/>
        </w:rPr>
        <w:t>,</w:t>
      </w:r>
      <w:r w:rsidRPr="00007309">
        <w:rPr>
          <w:rFonts w:cs="Arial"/>
          <w:b/>
          <w:bCs/>
          <w:sz w:val="24"/>
          <w:szCs w:val="28"/>
        </w:rPr>
        <w:t xml:space="preserve"> </w:t>
      </w:r>
      <w:r w:rsidRPr="00007309">
        <w:rPr>
          <w:rFonts w:cs="Arial"/>
          <w:b/>
          <w:bCs/>
          <w:sz w:val="24"/>
          <w:szCs w:val="24"/>
          <w:rtl/>
        </w:rPr>
        <w:t>עָלַיְהוּ אִתְּמַר וְעָלֵהוּ לֹא יִבֹּל</w:t>
      </w:r>
      <w:r w:rsidRPr="00007309">
        <w:rPr>
          <w:rFonts w:cs="Arial" w:hint="cs"/>
          <w:b/>
          <w:bCs/>
          <w:sz w:val="24"/>
          <w:szCs w:val="24"/>
          <w:rtl/>
        </w:rPr>
        <w:t>,</w:t>
      </w:r>
      <w:r w:rsidRPr="00007309">
        <w:rPr>
          <w:rFonts w:cs="Arial"/>
          <w:b/>
          <w:bCs/>
          <w:sz w:val="24"/>
          <w:szCs w:val="24"/>
          <w:rtl/>
        </w:rPr>
        <w:t xml:space="preserve"> כְּגוֹן שִׂמְלָתְךָ לֹא בָּלְתָה מֵעָלֶיךָ. </w:t>
      </w:r>
      <w:r w:rsidRPr="00007309">
        <w:rPr>
          <w:rFonts w:cs="Arial"/>
          <w:b/>
          <w:bCs/>
          <w:sz w:val="36"/>
          <w:szCs w:val="28"/>
          <w:vertAlign w:val="superscript"/>
          <w:rtl/>
        </w:rPr>
        <w:footnoteReference w:id="7307"/>
      </w:r>
      <w:r w:rsidRPr="00007309">
        <w:rPr>
          <w:rFonts w:cs="Arial"/>
          <w:b/>
          <w:bCs/>
          <w:sz w:val="24"/>
          <w:szCs w:val="24"/>
          <w:rtl/>
        </w:rPr>
        <w:t xml:space="preserve">וְלָאו אִנּוּן כְּאִנּוּן </w:t>
      </w:r>
      <w:r w:rsidRPr="00007309">
        <w:rPr>
          <w:rFonts w:ascii="Cambria" w:hAnsi="Cambria" w:cs="Times New Roman" w:hint="cs"/>
          <w:b/>
          <w:bCs/>
          <w:i/>
          <w:iCs/>
          <w:color w:val="4F81BD"/>
          <w:sz w:val="24"/>
          <w:szCs w:val="24"/>
          <w:rtl/>
        </w:rPr>
        <w:t>(פא ע"א)</w:t>
      </w:r>
      <w:r w:rsidRPr="00007309">
        <w:rPr>
          <w:rFonts w:cs="Arial" w:hint="cs"/>
          <w:b/>
          <w:bCs/>
          <w:sz w:val="24"/>
          <w:szCs w:val="24"/>
          <w:rtl/>
        </w:rPr>
        <w:t xml:space="preserve"> </w:t>
      </w:r>
      <w:r w:rsidRPr="00007309">
        <w:rPr>
          <w:rFonts w:cs="Arial"/>
          <w:b/>
          <w:bCs/>
          <w:sz w:val="24"/>
          <w:szCs w:val="24"/>
          <w:rtl/>
        </w:rPr>
        <w:t xml:space="preserve">לְבוּשִׁין דְּאִסּוּר טֻמְאָה פָּסוּל, </w:t>
      </w:r>
      <w:r w:rsidRPr="00007309">
        <w:rPr>
          <w:rFonts w:cs="Arial"/>
          <w:b/>
          <w:bCs/>
          <w:sz w:val="36"/>
          <w:szCs w:val="28"/>
          <w:vertAlign w:val="superscript"/>
          <w:rtl/>
        </w:rPr>
        <w:footnoteReference w:id="7308"/>
      </w:r>
      <w:r w:rsidRPr="00007309">
        <w:rPr>
          <w:rFonts w:cs="Arial"/>
          <w:b/>
          <w:bCs/>
          <w:sz w:val="24"/>
          <w:szCs w:val="24"/>
          <w:rtl/>
        </w:rPr>
        <w:t xml:space="preserve">דְּהַנֵּי מָאנֵי דְּרַבָּנָן דְּבָלוּ דְּמִתְחַכְּכֵי שֵׁדִים בְּהוּ. וְכָל אֲשֶׁר יַעֲשֶׂה יַצְלִיחַ, אִלֵּין פִּקּוּדֵי דַּעֲשֵׂה. </w:t>
      </w:r>
    </w:p>
    <w:p w:rsidR="00007309" w:rsidRPr="00007309" w:rsidRDefault="00007309" w:rsidP="00007309">
      <w:pPr>
        <w:jc w:val="both"/>
        <w:rPr>
          <w:rFonts w:cs="Arial"/>
          <w:b/>
          <w:bCs/>
          <w:sz w:val="24"/>
          <w:szCs w:val="24"/>
          <w:rtl/>
        </w:rPr>
      </w:pPr>
      <w:r w:rsidRPr="00007309">
        <w:rPr>
          <w:rFonts w:cs="Arial"/>
          <w:b/>
          <w:bCs/>
          <w:sz w:val="36"/>
          <w:szCs w:val="28"/>
          <w:vertAlign w:val="superscript"/>
          <w:rtl/>
        </w:rPr>
        <w:footnoteReference w:id="7309"/>
      </w:r>
      <w:r w:rsidRPr="00007309">
        <w:rPr>
          <w:rFonts w:cs="Arial"/>
          <w:b/>
          <w:bCs/>
          <w:sz w:val="24"/>
          <w:szCs w:val="24"/>
          <w:rtl/>
        </w:rPr>
        <w:t>וְעוֹד אוֹרַיְתָא אִתְקְרִיאַת</w:t>
      </w:r>
      <w:r w:rsidRPr="00007309">
        <w:rPr>
          <w:rFonts w:cs="Arial"/>
          <w:b/>
          <w:bCs/>
          <w:sz w:val="24"/>
          <w:szCs w:val="24"/>
        </w:rPr>
        <w:t xml:space="preserve"> </w:t>
      </w:r>
      <w:r w:rsidRPr="00007309">
        <w:rPr>
          <w:rFonts w:cs="Arial"/>
          <w:b/>
          <w:bCs/>
          <w:sz w:val="24"/>
          <w:szCs w:val="24"/>
          <w:rtl/>
        </w:rPr>
        <w:t>חוֹמָ</w:t>
      </w:r>
      <w:r w:rsidRPr="00007309">
        <w:rPr>
          <w:rFonts w:cs="Arial" w:hint="cs"/>
          <w:b/>
          <w:bCs/>
          <w:sz w:val="24"/>
          <w:szCs w:val="24"/>
          <w:rtl/>
        </w:rPr>
        <w:t>ה</w:t>
      </w:r>
      <w:r w:rsidRPr="00007309">
        <w:rPr>
          <w:rFonts w:cs="Arial"/>
          <w:b/>
          <w:bCs/>
          <w:sz w:val="24"/>
          <w:szCs w:val="24"/>
          <w:rtl/>
        </w:rPr>
        <w:t xml:space="preserve">, כְּגוֹן וְהַמַּיִם לָהֶם חוֹמָה מִימִינָם. </w:t>
      </w:r>
      <w:r w:rsidRPr="00007309">
        <w:rPr>
          <w:rFonts w:cs="Arial"/>
          <w:b/>
          <w:bCs/>
          <w:sz w:val="36"/>
          <w:szCs w:val="28"/>
          <w:vertAlign w:val="superscript"/>
          <w:rtl/>
        </w:rPr>
        <w:footnoteReference w:id="7310"/>
      </w:r>
      <w:r w:rsidRPr="00007309">
        <w:rPr>
          <w:rFonts w:cs="Arial"/>
          <w:b/>
          <w:bCs/>
          <w:sz w:val="24"/>
          <w:szCs w:val="24"/>
          <w:rtl/>
        </w:rPr>
        <w:t xml:space="preserve">וְאִיהִי חֵמָּה לְאֻמִּין דְּעָלְמָא דְּלָא קַבִּילוּ לָהּ, כְּגוֹן מִצְרַיִם </w:t>
      </w:r>
      <w:r w:rsidRPr="00007309">
        <w:rPr>
          <w:rFonts w:cs="Arial"/>
          <w:b/>
          <w:bCs/>
          <w:sz w:val="36"/>
          <w:szCs w:val="28"/>
          <w:vertAlign w:val="superscript"/>
          <w:rtl/>
        </w:rPr>
        <w:footnoteReference w:id="7311"/>
      </w:r>
      <w:r w:rsidRPr="00007309">
        <w:rPr>
          <w:rFonts w:cs="Arial"/>
          <w:b/>
          <w:bCs/>
          <w:sz w:val="24"/>
          <w:szCs w:val="24"/>
          <w:rtl/>
        </w:rPr>
        <w:t>דְּאִתְעֲבִיד לוֹן חֵמָּה וְטָבְעוּ בּוֹ וּמֵתוּ. וְהַיְנוּ כִּי יְשָׁרִים דַּרְכֵי ה' וְגוֹ'. מִסִּטְרָא דִּימִינָא אִתְקְרִיאַת שְׁכִינְתָּא חוֹמָה</w:t>
      </w:r>
      <w:r w:rsidRPr="00007309">
        <w:rPr>
          <w:rFonts w:cs="Arial" w:hint="cs"/>
          <w:b/>
          <w:bCs/>
          <w:sz w:val="24"/>
          <w:szCs w:val="24"/>
          <w:rtl/>
        </w:rPr>
        <w:t>,</w:t>
      </w:r>
      <w:r w:rsidRPr="00007309">
        <w:rPr>
          <w:rFonts w:cs="Arial"/>
          <w:b/>
          <w:bCs/>
          <w:sz w:val="24"/>
          <w:szCs w:val="24"/>
          <w:rtl/>
        </w:rPr>
        <w:t xml:space="preserve"> מִסִּטְרָא דְּחֶסֶד </w:t>
      </w:r>
      <w:r w:rsidRPr="00007309">
        <w:rPr>
          <w:rFonts w:cs="Arial"/>
          <w:b/>
          <w:bCs/>
          <w:sz w:val="36"/>
          <w:szCs w:val="28"/>
          <w:vertAlign w:val="superscript"/>
          <w:rtl/>
        </w:rPr>
        <w:footnoteReference w:id="7312"/>
      </w:r>
      <w:r w:rsidRPr="00007309">
        <w:rPr>
          <w:rFonts w:cs="Arial"/>
          <w:b/>
          <w:bCs/>
          <w:sz w:val="24"/>
          <w:szCs w:val="24"/>
          <w:rtl/>
        </w:rPr>
        <w:t xml:space="preserve">דְּתַמָּן חָכְמָה. </w:t>
      </w:r>
      <w:r w:rsidRPr="00007309">
        <w:rPr>
          <w:rFonts w:cs="Arial"/>
          <w:b/>
          <w:bCs/>
          <w:sz w:val="36"/>
          <w:szCs w:val="28"/>
          <w:vertAlign w:val="superscript"/>
          <w:rtl/>
        </w:rPr>
        <w:footnoteReference w:id="7313"/>
      </w:r>
      <w:r w:rsidRPr="00007309">
        <w:rPr>
          <w:rFonts w:cs="Arial"/>
          <w:b/>
          <w:bCs/>
          <w:sz w:val="24"/>
          <w:szCs w:val="24"/>
          <w:rtl/>
        </w:rPr>
        <w:t xml:space="preserve">וּמִסִּטְרָא דִּגְבוּרָה, וַאֲנִי אֶהְיֶה לָהּ נְאֻם ה' חוֹמַת אֵשׁ סָבִיב. </w:t>
      </w:r>
      <w:r w:rsidRPr="00007309">
        <w:rPr>
          <w:rFonts w:cs="Arial"/>
          <w:b/>
          <w:bCs/>
          <w:sz w:val="36"/>
          <w:szCs w:val="28"/>
          <w:vertAlign w:val="superscript"/>
          <w:rtl/>
        </w:rPr>
        <w:footnoteReference w:id="7314"/>
      </w:r>
      <w:r w:rsidRPr="00007309">
        <w:rPr>
          <w:rFonts w:cs="Arial"/>
          <w:b/>
          <w:bCs/>
          <w:sz w:val="24"/>
          <w:szCs w:val="24"/>
          <w:rtl/>
        </w:rPr>
        <w:t>וּמִסִּטְרָא דְּעַמּוּדָא דְּאֶמְצָעִיתָא אִתְקְרִיאַת רוּחַ גְּדוֹלָה וְחָזָק</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315"/>
      </w:r>
      <w:r w:rsidRPr="00007309">
        <w:rPr>
          <w:rFonts w:cs="Arial"/>
          <w:b/>
          <w:bCs/>
          <w:sz w:val="24"/>
          <w:szCs w:val="24"/>
          <w:rtl/>
        </w:rPr>
        <w:t>גְּדוֹלָה מִסִּטְרָא דְּחֶסֶד</w:t>
      </w:r>
      <w:r w:rsidRPr="00007309">
        <w:rPr>
          <w:rFonts w:cs="Arial" w:hint="cs"/>
          <w:b/>
          <w:bCs/>
          <w:sz w:val="24"/>
          <w:szCs w:val="24"/>
          <w:rtl/>
        </w:rPr>
        <w:t>,</w:t>
      </w:r>
      <w:r w:rsidRPr="00007309">
        <w:rPr>
          <w:rFonts w:cs="Arial"/>
          <w:b/>
          <w:bCs/>
          <w:sz w:val="24"/>
          <w:szCs w:val="24"/>
          <w:rtl/>
        </w:rPr>
        <w:t xml:space="preserve"> וְחָזָק </w:t>
      </w:r>
      <w:r w:rsidRPr="00007309">
        <w:rPr>
          <w:rFonts w:cs="Arial"/>
          <w:b/>
          <w:bCs/>
          <w:sz w:val="36"/>
          <w:szCs w:val="28"/>
          <w:vertAlign w:val="superscript"/>
          <w:rtl/>
        </w:rPr>
        <w:footnoteReference w:id="7316"/>
      </w:r>
      <w:r w:rsidRPr="00007309">
        <w:rPr>
          <w:rFonts w:cs="Arial"/>
          <w:b/>
          <w:bCs/>
          <w:sz w:val="24"/>
          <w:szCs w:val="24"/>
          <w:rtl/>
        </w:rPr>
        <w:t>מִסִּטְרָא דִּגְבוּרָה</w:t>
      </w:r>
      <w:r w:rsidRPr="00007309">
        <w:rPr>
          <w:rFonts w:cs="Arial" w:hint="cs"/>
          <w:b/>
          <w:bCs/>
          <w:sz w:val="24"/>
          <w:szCs w:val="24"/>
          <w:rtl/>
        </w:rPr>
        <w:t>,</w:t>
      </w:r>
      <w:r w:rsidRPr="00007309">
        <w:rPr>
          <w:rFonts w:cs="Arial"/>
          <w:b/>
          <w:bCs/>
          <w:sz w:val="24"/>
          <w:szCs w:val="24"/>
          <w:rtl/>
        </w:rPr>
        <w:t xml:space="preserve"> בְּיָד חֲזָקָה וְגוֹ'. </w:t>
      </w:r>
      <w:r w:rsidRPr="00007309">
        <w:rPr>
          <w:rFonts w:cs="Arial"/>
          <w:b/>
          <w:bCs/>
          <w:sz w:val="36"/>
          <w:szCs w:val="28"/>
          <w:vertAlign w:val="superscript"/>
          <w:rtl/>
        </w:rPr>
        <w:footnoteReference w:id="7317"/>
      </w:r>
      <w:r w:rsidRPr="00007309">
        <w:rPr>
          <w:rFonts w:cs="Arial"/>
          <w:b/>
          <w:bCs/>
          <w:sz w:val="24"/>
          <w:szCs w:val="24"/>
          <w:rtl/>
        </w:rPr>
        <w:t xml:space="preserve">גְּדוֹלָה, וַיַּרְא יִשְׂרָאֵל אֶת הַיָּד הַגְּדֹלָה (שם). </w:t>
      </w:r>
      <w:r w:rsidRPr="00007309">
        <w:rPr>
          <w:rFonts w:cs="Arial"/>
          <w:b/>
          <w:bCs/>
          <w:sz w:val="36"/>
          <w:szCs w:val="28"/>
          <w:vertAlign w:val="superscript"/>
          <w:rtl/>
        </w:rPr>
        <w:footnoteReference w:id="7318"/>
      </w:r>
      <w:r w:rsidRPr="00007309">
        <w:rPr>
          <w:rFonts w:cs="Arial"/>
          <w:b/>
          <w:bCs/>
          <w:sz w:val="24"/>
          <w:szCs w:val="24"/>
          <w:rtl/>
        </w:rPr>
        <w:t xml:space="preserve">מִתַּרְוַיְהוּ מְפָרֵק הָרִים וּמְשַׁבֵּר סְלָעִים, דְּאִנּוּן אֻמִּין דְּעָלְמָא דְּלָא קַבִּילוּ אוֹרַיְתָא. מֵרוּחַ ה' דְּאִתְּמַר בֵּהּ </w:t>
      </w:r>
      <w:r w:rsidRPr="00007309">
        <w:rPr>
          <w:rFonts w:cs="Arial" w:hint="cs"/>
          <w:b/>
          <w:bCs/>
          <w:sz w:val="24"/>
          <w:szCs w:val="24"/>
          <w:rtl/>
        </w:rPr>
        <w:t xml:space="preserve">(ישעיה יא) </w:t>
      </w:r>
      <w:r w:rsidRPr="00007309">
        <w:rPr>
          <w:rFonts w:cs="Arial"/>
          <w:b/>
          <w:bCs/>
          <w:sz w:val="24"/>
          <w:szCs w:val="24"/>
          <w:rtl/>
        </w:rPr>
        <w:t xml:space="preserve">וְנָחָה עָלָיו רוּחַ ה'. </w:t>
      </w:r>
      <w:r w:rsidRPr="00007309">
        <w:rPr>
          <w:rFonts w:cs="Arial"/>
          <w:b/>
          <w:bCs/>
          <w:sz w:val="36"/>
          <w:szCs w:val="28"/>
          <w:vertAlign w:val="superscript"/>
          <w:rtl/>
        </w:rPr>
        <w:footnoteReference w:id="7319"/>
      </w:r>
      <w:r w:rsidRPr="00007309">
        <w:rPr>
          <w:rFonts w:cs="Arial"/>
          <w:b/>
          <w:bCs/>
          <w:sz w:val="24"/>
          <w:szCs w:val="24"/>
          <w:rtl/>
        </w:rPr>
        <w:t xml:space="preserve">וְאִתְקְרִיאַת רַעַשׁ </w:t>
      </w:r>
      <w:r w:rsidRPr="00007309">
        <w:rPr>
          <w:rFonts w:cs="Arial"/>
          <w:b/>
          <w:bCs/>
          <w:sz w:val="36"/>
          <w:szCs w:val="28"/>
          <w:vertAlign w:val="superscript"/>
          <w:rtl/>
        </w:rPr>
        <w:footnoteReference w:id="7320"/>
      </w:r>
      <w:r w:rsidRPr="00007309">
        <w:rPr>
          <w:rFonts w:cs="Arial"/>
          <w:b/>
          <w:bCs/>
          <w:sz w:val="24"/>
          <w:szCs w:val="24"/>
          <w:rtl/>
        </w:rPr>
        <w:t xml:space="preserve">הָדָא הוּא דִּכְתִיב </w:t>
      </w:r>
      <w:r w:rsidRPr="00007309">
        <w:rPr>
          <w:rFonts w:cs="Arial" w:hint="cs"/>
          <w:b/>
          <w:bCs/>
          <w:sz w:val="24"/>
          <w:szCs w:val="24"/>
          <w:rtl/>
        </w:rPr>
        <w:t xml:space="preserve">(יחזקאל ג) </w:t>
      </w:r>
      <w:r w:rsidRPr="00007309">
        <w:rPr>
          <w:rFonts w:cs="Arial"/>
          <w:b/>
          <w:bCs/>
          <w:sz w:val="24"/>
          <w:szCs w:val="24"/>
          <w:rtl/>
        </w:rPr>
        <w:t>וָאֶשְׁמַע אַחֲרַי קוֹל רַעַשׁ גָּדוֹל וְגוֹ'</w:t>
      </w:r>
      <w:r w:rsidRPr="00007309">
        <w:rPr>
          <w:rFonts w:cs="Arial" w:hint="cs"/>
          <w:b/>
          <w:bCs/>
          <w:sz w:val="24"/>
          <w:szCs w:val="24"/>
          <w:rtl/>
        </w:rPr>
        <w:t>,</w:t>
      </w:r>
      <w:r w:rsidRPr="00007309">
        <w:rPr>
          <w:rFonts w:cs="Arial"/>
          <w:b/>
          <w:bCs/>
          <w:sz w:val="24"/>
          <w:szCs w:val="24"/>
          <w:rtl/>
        </w:rPr>
        <w:t xml:space="preserve"> וְעָתִיד לְאַעַבְרָא </w:t>
      </w:r>
      <w:r w:rsidRPr="00007309">
        <w:rPr>
          <w:rFonts w:cs="Arial"/>
          <w:b/>
          <w:bCs/>
          <w:sz w:val="36"/>
          <w:szCs w:val="28"/>
          <w:vertAlign w:val="superscript"/>
          <w:rtl/>
        </w:rPr>
        <w:footnoteReference w:id="7321"/>
      </w:r>
      <w:r w:rsidRPr="00007309">
        <w:rPr>
          <w:rFonts w:cs="Arial"/>
          <w:b/>
          <w:bCs/>
          <w:sz w:val="24"/>
          <w:szCs w:val="24"/>
          <w:rtl/>
        </w:rPr>
        <w:t>רַעַשׁ דְּסִטְרָא אָחֳרָא דאִתְּמַר בֵּהּ לֹא בְּרַעַשׁ ה' (מלכים</w:t>
      </w:r>
      <w:r w:rsidRPr="00007309">
        <w:rPr>
          <w:rFonts w:cs="Arial" w:hint="cs"/>
          <w:b/>
          <w:bCs/>
          <w:sz w:val="24"/>
          <w:szCs w:val="24"/>
          <w:rtl/>
        </w:rPr>
        <w:t xml:space="preserve"> א יט</w:t>
      </w:r>
      <w:r w:rsidRPr="00007309">
        <w:rPr>
          <w:rFonts w:cs="Arial"/>
          <w:b/>
          <w:bCs/>
          <w:sz w:val="24"/>
          <w:szCs w:val="24"/>
          <w:rtl/>
        </w:rPr>
        <w:t xml:space="preserve">). </w:t>
      </w:r>
      <w:r w:rsidRPr="00007309">
        <w:rPr>
          <w:rFonts w:cs="Arial"/>
          <w:b/>
          <w:bCs/>
          <w:sz w:val="36"/>
          <w:szCs w:val="28"/>
          <w:vertAlign w:val="superscript"/>
          <w:rtl/>
        </w:rPr>
        <w:footnoteReference w:id="7322"/>
      </w:r>
      <w:r w:rsidRPr="00007309">
        <w:rPr>
          <w:rFonts w:cs="Arial"/>
          <w:b/>
          <w:bCs/>
          <w:sz w:val="24"/>
          <w:szCs w:val="24"/>
          <w:rtl/>
        </w:rPr>
        <w:t xml:space="preserve">וְאִתְקְרִיאַת אֵשׁ, הָדָא הוּא דִּכְתִיב </w:t>
      </w:r>
      <w:r w:rsidRPr="00007309">
        <w:rPr>
          <w:rFonts w:cs="Arial" w:hint="cs"/>
          <w:b/>
          <w:bCs/>
          <w:sz w:val="24"/>
          <w:szCs w:val="24"/>
          <w:rtl/>
        </w:rPr>
        <w:t xml:space="preserve">(ירמיה כג) הלא </w:t>
      </w:r>
      <w:r w:rsidRPr="00007309">
        <w:rPr>
          <w:rFonts w:cs="Arial"/>
          <w:b/>
          <w:bCs/>
          <w:sz w:val="36"/>
          <w:szCs w:val="28"/>
          <w:vertAlign w:val="superscript"/>
          <w:rtl/>
        </w:rPr>
        <w:footnoteReference w:id="7323"/>
      </w:r>
      <w:r w:rsidRPr="00007309">
        <w:rPr>
          <w:rFonts w:cs="Arial"/>
          <w:b/>
          <w:bCs/>
          <w:sz w:val="24"/>
          <w:szCs w:val="24"/>
          <w:rtl/>
        </w:rPr>
        <w:t>כֹּה דְבָרִי כָּאֵשׁ</w:t>
      </w:r>
      <w:r w:rsidRPr="00007309">
        <w:rPr>
          <w:rFonts w:cs="Arial"/>
          <w:b/>
          <w:bCs/>
          <w:sz w:val="24"/>
          <w:szCs w:val="24"/>
        </w:rPr>
        <w:t xml:space="preserve"> </w:t>
      </w:r>
      <w:r w:rsidRPr="00007309">
        <w:rPr>
          <w:rFonts w:cs="Arial"/>
          <w:b/>
          <w:bCs/>
          <w:sz w:val="24"/>
          <w:szCs w:val="24"/>
          <w:rtl/>
        </w:rPr>
        <w:t>נְאֻם ה'</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324"/>
      </w:r>
      <w:r w:rsidRPr="00007309">
        <w:rPr>
          <w:rFonts w:cs="Arial"/>
          <w:b/>
          <w:bCs/>
          <w:sz w:val="24"/>
          <w:szCs w:val="24"/>
          <w:rtl/>
        </w:rPr>
        <w:t xml:space="preserve">וְעָתִיד לִלְחֹךְ אֶשָּׁא דְּסִטְרָא אָחֳרָא </w:t>
      </w:r>
      <w:r w:rsidRPr="00007309">
        <w:rPr>
          <w:rFonts w:cs="Arial"/>
          <w:b/>
          <w:bCs/>
          <w:sz w:val="36"/>
          <w:szCs w:val="28"/>
          <w:vertAlign w:val="superscript"/>
          <w:rtl/>
        </w:rPr>
        <w:footnoteReference w:id="7325"/>
      </w:r>
      <w:r w:rsidRPr="00007309">
        <w:rPr>
          <w:rFonts w:cs="Arial"/>
          <w:b/>
          <w:bCs/>
          <w:sz w:val="24"/>
          <w:szCs w:val="24"/>
          <w:rtl/>
        </w:rPr>
        <w:t xml:space="preserve">דאִתְּמַר בֵּהּ לֹא בָּאֵשׁ ה'. </w:t>
      </w:r>
    </w:p>
    <w:p w:rsidR="00007309" w:rsidRPr="00007309" w:rsidRDefault="00007309" w:rsidP="00007309">
      <w:pPr>
        <w:keepNext/>
        <w:spacing w:before="240" w:after="60"/>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[וילנא כו ע"ב]</w:t>
      </w:r>
    </w:p>
    <w:p w:rsidR="00007309" w:rsidRPr="00007309" w:rsidRDefault="00007309" w:rsidP="00007309">
      <w:pPr>
        <w:jc w:val="both"/>
        <w:rPr>
          <w:rFonts w:cs="Arial"/>
          <w:b/>
          <w:bCs/>
          <w:sz w:val="24"/>
          <w:szCs w:val="24"/>
          <w:rtl/>
        </w:rPr>
      </w:pPr>
      <w:r w:rsidRPr="00007309">
        <w:rPr>
          <w:rFonts w:cs="Arial"/>
          <w:b/>
          <w:bCs/>
          <w:sz w:val="36"/>
          <w:szCs w:val="28"/>
          <w:vertAlign w:val="superscript"/>
          <w:rtl/>
        </w:rPr>
        <w:footnoteReference w:id="7326"/>
      </w:r>
      <w:r w:rsidRPr="00007309">
        <w:rPr>
          <w:rFonts w:cs="Arial"/>
          <w:b/>
          <w:bCs/>
          <w:sz w:val="24"/>
          <w:szCs w:val="24"/>
          <w:rtl/>
        </w:rPr>
        <w:t>אֶשָּׁתָא</w:t>
      </w:r>
      <w:r w:rsidRPr="00007309">
        <w:rPr>
          <w:rFonts w:cs="Arial" w:hint="cs"/>
          <w:b/>
          <w:bCs/>
          <w:sz w:val="24"/>
          <w:szCs w:val="24"/>
          <w:rtl/>
        </w:rPr>
        <w:t>ר</w:t>
      </w:r>
      <w:r w:rsidRPr="00007309">
        <w:rPr>
          <w:rFonts w:cs="Arial"/>
          <w:b/>
          <w:bCs/>
          <w:sz w:val="24"/>
          <w:szCs w:val="24"/>
          <w:rtl/>
        </w:rPr>
        <w:t xml:space="preserve"> מַלְכָּא בְּקוֹל דְּמָמָה דַּקָּה, </w:t>
      </w:r>
      <w:r w:rsidRPr="00007309">
        <w:rPr>
          <w:rFonts w:cs="Arial"/>
          <w:b/>
          <w:bCs/>
          <w:sz w:val="36"/>
          <w:szCs w:val="28"/>
          <w:vertAlign w:val="superscript"/>
          <w:rtl/>
        </w:rPr>
        <w:footnoteReference w:id="7327"/>
      </w:r>
      <w:r w:rsidRPr="00007309">
        <w:rPr>
          <w:rFonts w:cs="Arial"/>
          <w:b/>
          <w:bCs/>
          <w:sz w:val="24"/>
          <w:szCs w:val="24"/>
          <w:rtl/>
        </w:rPr>
        <w:t>דְּאִיהִי שְׁכִינְתָּא</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328"/>
      </w:r>
      <w:r w:rsidRPr="00007309">
        <w:rPr>
          <w:rFonts w:cs="Arial"/>
          <w:b/>
          <w:bCs/>
          <w:sz w:val="24"/>
          <w:szCs w:val="24"/>
          <w:rtl/>
        </w:rPr>
        <w:t>צְלוֹתָא בַּחֲשַׁאי, דְּבָהּ אֲדֹנָי שְׂפָתַי תִּפְתָּח וּפִי יַגִּיד תְּהִלָּתֶךָ</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329"/>
      </w:r>
      <w:r w:rsidRPr="00007309">
        <w:rPr>
          <w:rFonts w:cs="Arial"/>
          <w:b/>
          <w:bCs/>
          <w:sz w:val="24"/>
          <w:szCs w:val="24"/>
          <w:rtl/>
        </w:rPr>
        <w:t xml:space="preserve">דִּבְאַרְבָּעָה אִיהִי רְבִיעָאָה </w:t>
      </w:r>
      <w:r w:rsidRPr="00007309">
        <w:rPr>
          <w:rFonts w:cs="Arial"/>
          <w:b/>
          <w:bCs/>
          <w:sz w:val="36"/>
          <w:szCs w:val="28"/>
          <w:vertAlign w:val="superscript"/>
          <w:rtl/>
        </w:rPr>
        <w:footnoteReference w:id="7330"/>
      </w:r>
      <w:r w:rsidRPr="00007309">
        <w:rPr>
          <w:rFonts w:cs="Arial"/>
          <w:b/>
          <w:bCs/>
          <w:sz w:val="24"/>
          <w:szCs w:val="24"/>
          <w:rtl/>
        </w:rPr>
        <w:t xml:space="preserve">דַּקָּה, </w:t>
      </w:r>
      <w:r w:rsidRPr="00007309">
        <w:rPr>
          <w:rFonts w:cs="Arial" w:hint="cs"/>
          <w:b/>
          <w:bCs/>
          <w:sz w:val="24"/>
          <w:szCs w:val="24"/>
          <w:rtl/>
        </w:rPr>
        <w:t xml:space="preserve">(נ"א דבמראה דממה </w:t>
      </w:r>
      <w:r w:rsidRPr="00007309">
        <w:rPr>
          <w:rFonts w:ascii="Cambria" w:hAnsi="Cambria" w:cs="Times New Roman" w:hint="cs"/>
          <w:b/>
          <w:bCs/>
          <w:i/>
          <w:iCs/>
          <w:color w:val="4F81BD"/>
          <w:sz w:val="24"/>
          <w:szCs w:val="24"/>
          <w:rtl/>
        </w:rPr>
        <w:t>(וילנא כו ע"ב)</w:t>
      </w:r>
      <w:r w:rsidRPr="00007309">
        <w:rPr>
          <w:rFonts w:cs="Arial" w:hint="cs"/>
          <w:b/>
          <w:bCs/>
          <w:sz w:val="24"/>
          <w:szCs w:val="24"/>
          <w:rtl/>
        </w:rPr>
        <w:t xml:space="preserve"> דקה) </w:t>
      </w:r>
      <w:r w:rsidRPr="00007309">
        <w:rPr>
          <w:rFonts w:cs="Arial"/>
          <w:b/>
          <w:bCs/>
          <w:sz w:val="24"/>
          <w:szCs w:val="24"/>
          <w:rtl/>
        </w:rPr>
        <w:t xml:space="preserve">דְּאִיהִי שְׁכִינְתָּא. אֲבָל </w:t>
      </w:r>
      <w:r w:rsidRPr="00007309">
        <w:rPr>
          <w:rFonts w:cs="Arial"/>
          <w:b/>
          <w:bCs/>
          <w:sz w:val="36"/>
          <w:szCs w:val="28"/>
          <w:vertAlign w:val="superscript"/>
          <w:rtl/>
        </w:rPr>
        <w:footnoteReference w:id="7331"/>
      </w:r>
      <w:r w:rsidRPr="00007309">
        <w:rPr>
          <w:rFonts w:cs="Arial"/>
          <w:b/>
          <w:bCs/>
          <w:sz w:val="24"/>
          <w:szCs w:val="24"/>
          <w:rtl/>
        </w:rPr>
        <w:t>תְּלָת קְלִפִּין</w:t>
      </w:r>
      <w:r w:rsidRPr="00007309">
        <w:rPr>
          <w:rFonts w:cs="Arial" w:hint="cs"/>
          <w:b/>
          <w:bCs/>
          <w:sz w:val="24"/>
          <w:szCs w:val="24"/>
          <w:rtl/>
        </w:rPr>
        <w:t>,</w:t>
      </w:r>
      <w:r w:rsidRPr="00007309">
        <w:rPr>
          <w:rFonts w:cs="Arial"/>
          <w:b/>
          <w:bCs/>
          <w:sz w:val="24"/>
          <w:szCs w:val="24"/>
          <w:rtl/>
        </w:rPr>
        <w:t xml:space="preserve"> שָׁלֹשׁ שָׁנִים יִהְיֶה לָכֶם עֲרֵלִים לֹא יֵאָכֵל וּבַשָּׁנָה הָרְבִיעִית יִהְיֶה כָּל פִּרְיוֹ, דָּא קוֹל דְּמָמָה דַּקָּה. וּבְגִין דָּא</w:t>
      </w:r>
      <w:r w:rsidRPr="00007309">
        <w:rPr>
          <w:rFonts w:cs="Arial" w:hint="cs"/>
          <w:b/>
          <w:bCs/>
          <w:sz w:val="24"/>
          <w:szCs w:val="24"/>
          <w:rtl/>
        </w:rPr>
        <w:t>,</w:t>
      </w:r>
      <w:r w:rsidRPr="00007309">
        <w:rPr>
          <w:rFonts w:cs="Arial"/>
          <w:b/>
          <w:bCs/>
          <w:sz w:val="24"/>
          <w:szCs w:val="24"/>
          <w:rtl/>
        </w:rPr>
        <w:t xml:space="preserve"> ד' נִכְנְסוּ לַפַּרְדֵּס, תְּלָת דְּעָאלוּ בִּתְלָת שָׁנִים</w:t>
      </w:r>
      <w:r w:rsidRPr="00007309">
        <w:rPr>
          <w:rFonts w:cs="Arial" w:hint="cs"/>
          <w:b/>
          <w:bCs/>
          <w:sz w:val="24"/>
          <w:szCs w:val="24"/>
          <w:rtl/>
        </w:rPr>
        <w:t>,</w:t>
      </w:r>
      <w:r w:rsidRPr="00007309">
        <w:rPr>
          <w:rFonts w:cs="Arial"/>
          <w:b/>
          <w:bCs/>
          <w:sz w:val="24"/>
          <w:szCs w:val="24"/>
          <w:rtl/>
        </w:rPr>
        <w:t xml:space="preserve"> עֲרֵלִים</w:t>
      </w:r>
      <w:r w:rsidRPr="00007309">
        <w:rPr>
          <w:rFonts w:cs="Arial" w:hint="cs"/>
          <w:b/>
          <w:bCs/>
          <w:sz w:val="24"/>
          <w:szCs w:val="24"/>
          <w:rtl/>
        </w:rPr>
        <w:t>.</w:t>
      </w:r>
      <w:r w:rsidRPr="00007309">
        <w:rPr>
          <w:rFonts w:cs="Arial"/>
          <w:b/>
          <w:bCs/>
          <w:sz w:val="24"/>
          <w:szCs w:val="24"/>
          <w:rtl/>
        </w:rPr>
        <w:t xml:space="preserve"> חַד הֵצִיץ וָמֵת</w:t>
      </w:r>
      <w:r w:rsidRPr="00007309">
        <w:rPr>
          <w:rFonts w:cs="Arial" w:hint="cs"/>
          <w:b/>
          <w:bCs/>
          <w:sz w:val="24"/>
          <w:szCs w:val="24"/>
          <w:rtl/>
        </w:rPr>
        <w:t>,</w:t>
      </w:r>
      <w:r w:rsidRPr="00007309">
        <w:rPr>
          <w:rFonts w:cs="Arial"/>
          <w:b/>
          <w:bCs/>
          <w:sz w:val="24"/>
          <w:szCs w:val="24"/>
          <w:rtl/>
        </w:rPr>
        <w:t xml:space="preserve"> וְחַד הֵצִיץ וְנִפְגַּע</w:t>
      </w:r>
      <w:r w:rsidRPr="00007309">
        <w:rPr>
          <w:rFonts w:cs="Arial" w:hint="cs"/>
          <w:b/>
          <w:bCs/>
          <w:sz w:val="24"/>
          <w:szCs w:val="24"/>
          <w:rtl/>
        </w:rPr>
        <w:t>,</w:t>
      </w:r>
      <w:r w:rsidRPr="00007309">
        <w:rPr>
          <w:rFonts w:cs="Arial"/>
          <w:b/>
          <w:bCs/>
          <w:sz w:val="24"/>
          <w:szCs w:val="24"/>
          <w:rtl/>
        </w:rPr>
        <w:t xml:space="preserve"> ג' יָצָא לְתַרְבּוּת רָעָה. רְבִיעָה דְּעָאל בַּשָּׁנָה הָרְבִיעִית קֹדֶשׁ הִלּוּלִים לַה'</w:t>
      </w:r>
      <w:r w:rsidRPr="00007309">
        <w:rPr>
          <w:rFonts w:cs="Arial" w:hint="cs"/>
          <w:b/>
          <w:bCs/>
          <w:sz w:val="24"/>
          <w:szCs w:val="24"/>
          <w:rtl/>
        </w:rPr>
        <w:t>,</w:t>
      </w:r>
      <w:r w:rsidRPr="00007309">
        <w:rPr>
          <w:rFonts w:cs="Arial"/>
          <w:b/>
          <w:bCs/>
          <w:sz w:val="24"/>
          <w:szCs w:val="24"/>
          <w:rtl/>
        </w:rPr>
        <w:t xml:space="preserve"> עָאל בִּשְׁלָם וְנָפַק בִּשְׁלָם. וְדָא רָזָא דְּפַרְדֵּס </w:t>
      </w:r>
      <w:r w:rsidRPr="00007309">
        <w:rPr>
          <w:rFonts w:cs="Arial"/>
          <w:b/>
          <w:bCs/>
          <w:sz w:val="36"/>
          <w:szCs w:val="28"/>
          <w:vertAlign w:val="superscript"/>
          <w:rtl/>
        </w:rPr>
        <w:footnoteReference w:id="7332"/>
      </w:r>
      <w:r w:rsidRPr="00007309">
        <w:rPr>
          <w:rFonts w:cs="Arial"/>
          <w:b/>
          <w:bCs/>
          <w:sz w:val="24"/>
          <w:szCs w:val="24"/>
          <w:rtl/>
        </w:rPr>
        <w:t>בְּתוֹךְ הַגַּן</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333"/>
      </w:r>
      <w:r w:rsidRPr="00007309">
        <w:rPr>
          <w:rFonts w:cs="Arial"/>
          <w:b/>
          <w:bCs/>
          <w:sz w:val="24"/>
          <w:szCs w:val="24"/>
          <w:rtl/>
        </w:rPr>
        <w:t xml:space="preserve">דְּאִיהוּ פ', פָּשַׁט, ר' רְאָיָה דְּפָסוּק, ד' דְּרָשָׁה, כְּמָה דְּאוּקְמוּהּ אֵין מְשִׁיבִין עַל הַהַגָּדָה. בְּאִלֵּין תְּלָת נְפָלוּ תְּלָת עִלָּאֵי עָלְמָא וְנִכְשְׁלוּ. רְבִיעָאָה דְּאִיהוּ ס' </w:t>
      </w:r>
      <w:r w:rsidRPr="00007309">
        <w:rPr>
          <w:rFonts w:cs="Arial"/>
          <w:b/>
          <w:bCs/>
          <w:sz w:val="36"/>
          <w:szCs w:val="28"/>
          <w:vertAlign w:val="superscript"/>
          <w:rtl/>
        </w:rPr>
        <w:footnoteReference w:id="7334"/>
      </w:r>
      <w:r w:rsidRPr="00007309">
        <w:rPr>
          <w:rFonts w:cs="Arial"/>
          <w:b/>
          <w:bCs/>
          <w:sz w:val="24"/>
          <w:szCs w:val="24"/>
          <w:rtl/>
        </w:rPr>
        <w:t>סוֹד</w:t>
      </w:r>
      <w:r w:rsidRPr="00007309">
        <w:rPr>
          <w:rFonts w:cs="Arial" w:hint="cs"/>
          <w:b/>
          <w:bCs/>
          <w:sz w:val="24"/>
          <w:szCs w:val="24"/>
          <w:rtl/>
        </w:rPr>
        <w:t>,</w:t>
      </w:r>
      <w:r w:rsidRPr="00007309">
        <w:rPr>
          <w:rFonts w:cs="Arial"/>
          <w:b/>
          <w:bCs/>
          <w:sz w:val="24"/>
          <w:szCs w:val="24"/>
          <w:rtl/>
        </w:rPr>
        <w:t xml:space="preserve"> ר</w:t>
      </w:r>
      <w:r w:rsidRPr="00007309">
        <w:rPr>
          <w:rFonts w:cs="Arial" w:hint="cs"/>
          <w:b/>
          <w:bCs/>
          <w:sz w:val="24"/>
          <w:szCs w:val="24"/>
          <w:rtl/>
        </w:rPr>
        <w:t xml:space="preserve">בי </w:t>
      </w:r>
      <w:r w:rsidRPr="00007309">
        <w:rPr>
          <w:rFonts w:cs="Arial"/>
          <w:b/>
          <w:bCs/>
          <w:sz w:val="24"/>
          <w:szCs w:val="24"/>
          <w:rtl/>
        </w:rPr>
        <w:t>עק</w:t>
      </w:r>
      <w:r w:rsidRPr="00007309">
        <w:rPr>
          <w:rFonts w:cs="Arial" w:hint="cs"/>
          <w:b/>
          <w:bCs/>
          <w:sz w:val="24"/>
          <w:szCs w:val="24"/>
          <w:rtl/>
        </w:rPr>
        <w:t xml:space="preserve">יבא </w:t>
      </w:r>
      <w:r w:rsidRPr="00007309">
        <w:rPr>
          <w:rFonts w:cs="Arial"/>
          <w:b/>
          <w:bCs/>
          <w:sz w:val="24"/>
          <w:szCs w:val="24"/>
          <w:rtl/>
        </w:rPr>
        <w:t>עָאל בִּשְׁלָם וְנָפַק בִּשְׁלָם</w:t>
      </w:r>
      <w:r w:rsidRPr="00007309">
        <w:rPr>
          <w:rFonts w:cs="Arial" w:hint="cs"/>
          <w:b/>
          <w:bCs/>
          <w:sz w:val="24"/>
          <w:szCs w:val="24"/>
          <w:rtl/>
        </w:rPr>
        <w:t>,</w:t>
      </w:r>
      <w:r w:rsidRPr="00007309">
        <w:rPr>
          <w:rFonts w:cs="Arial"/>
          <w:b/>
          <w:bCs/>
          <w:sz w:val="24"/>
          <w:szCs w:val="24"/>
          <w:rtl/>
        </w:rPr>
        <w:t xml:space="preserve"> וּבְגִין דָּא אִתְקְרִיאַת אוֹרַיְתָא גַ"ן</w:t>
      </w:r>
      <w:r w:rsidRPr="00007309">
        <w:rPr>
          <w:rFonts w:cs="Arial" w:hint="cs"/>
          <w:b/>
          <w:bCs/>
          <w:sz w:val="24"/>
          <w:szCs w:val="24"/>
          <w:rtl/>
        </w:rPr>
        <w:t>,</w:t>
      </w:r>
      <w:r w:rsidRPr="00007309">
        <w:rPr>
          <w:rFonts w:cs="Arial"/>
          <w:b/>
          <w:bCs/>
          <w:sz w:val="24"/>
          <w:szCs w:val="24"/>
          <w:rtl/>
        </w:rPr>
        <w:t xml:space="preserve"> הָדָא הוּא דִּכְתִיב גַּן נָעוּל</w:t>
      </w:r>
      <w:r w:rsidRPr="00007309">
        <w:rPr>
          <w:rFonts w:cs="Arial" w:hint="cs"/>
          <w:b/>
          <w:bCs/>
          <w:sz w:val="24"/>
          <w:szCs w:val="24"/>
          <w:rtl/>
        </w:rPr>
        <w:t>,</w:t>
      </w:r>
      <w:r w:rsidRPr="00007309">
        <w:rPr>
          <w:rFonts w:cs="Arial"/>
          <w:b/>
          <w:bCs/>
          <w:sz w:val="24"/>
          <w:szCs w:val="24"/>
          <w:rtl/>
        </w:rPr>
        <w:t xml:space="preserve"> גַ"ן סְדָרִים דְּאוֹרַיְתָא סְתִימִין וַחֲתִימִין. וְהַיְנוּ מַעְיָן חָתוּם, </w:t>
      </w:r>
      <w:r w:rsidRPr="00007309">
        <w:rPr>
          <w:rFonts w:cs="Arial"/>
          <w:b/>
          <w:bCs/>
          <w:sz w:val="36"/>
          <w:szCs w:val="28"/>
          <w:vertAlign w:val="superscript"/>
          <w:rtl/>
        </w:rPr>
        <w:footnoteReference w:id="7335"/>
      </w:r>
      <w:r w:rsidRPr="00007309">
        <w:rPr>
          <w:rFonts w:cs="Arial"/>
          <w:b/>
          <w:bCs/>
          <w:sz w:val="24"/>
          <w:szCs w:val="24"/>
          <w:rtl/>
        </w:rPr>
        <w:t>כְּגוֹן יַיִן חָתוּם וְסָתוּם</w:t>
      </w:r>
      <w:r w:rsidRPr="00007309">
        <w:rPr>
          <w:rFonts w:cs="Arial" w:hint="cs"/>
          <w:b/>
          <w:bCs/>
          <w:sz w:val="24"/>
          <w:szCs w:val="24"/>
          <w:rtl/>
        </w:rPr>
        <w:t>,</w:t>
      </w:r>
      <w:r w:rsidRPr="00007309">
        <w:rPr>
          <w:rFonts w:cs="Arial"/>
          <w:b/>
          <w:bCs/>
          <w:sz w:val="24"/>
          <w:szCs w:val="24"/>
          <w:rtl/>
        </w:rPr>
        <w:t xml:space="preserve"> דְּלָא מְנַסֵּךְ לֵהּ גּוֹי, אוֹף הָכֵי צָרִיךְ לְמֶהֱוֵי רָזִין דְּאוֹרַיְתָא, </w:t>
      </w:r>
      <w:r w:rsidRPr="00007309">
        <w:rPr>
          <w:rFonts w:cs="Arial"/>
          <w:b/>
          <w:bCs/>
          <w:sz w:val="36"/>
          <w:szCs w:val="28"/>
          <w:vertAlign w:val="superscript"/>
          <w:rtl/>
        </w:rPr>
        <w:footnoteReference w:id="7336"/>
      </w:r>
      <w:r w:rsidRPr="00007309">
        <w:rPr>
          <w:rFonts w:cs="Arial"/>
          <w:b/>
          <w:bCs/>
          <w:sz w:val="24"/>
          <w:szCs w:val="24"/>
          <w:rtl/>
        </w:rPr>
        <w:t xml:space="preserve">הָדָא הוּא דִּכְתִיב </w:t>
      </w:r>
      <w:r w:rsidRPr="00007309">
        <w:rPr>
          <w:rFonts w:cs="Arial" w:hint="cs"/>
          <w:b/>
          <w:bCs/>
          <w:sz w:val="24"/>
          <w:szCs w:val="24"/>
          <w:rtl/>
        </w:rPr>
        <w:t xml:space="preserve">(תהלים קמז) </w:t>
      </w:r>
      <w:r w:rsidRPr="00007309">
        <w:rPr>
          <w:rFonts w:cs="Arial"/>
          <w:b/>
          <w:bCs/>
          <w:sz w:val="24"/>
          <w:szCs w:val="24"/>
          <w:rtl/>
        </w:rPr>
        <w:t>לֹא עָשָׂה כֵן לְכָל גּוֹי</w:t>
      </w:r>
      <w:r w:rsidRPr="00007309">
        <w:rPr>
          <w:rFonts w:cs="Arial" w:hint="cs"/>
          <w:b/>
          <w:bCs/>
          <w:sz w:val="24"/>
          <w:szCs w:val="24"/>
          <w:rtl/>
        </w:rPr>
        <w:t>,</w:t>
      </w:r>
      <w:r w:rsidRPr="00007309">
        <w:rPr>
          <w:rFonts w:cs="Arial"/>
          <w:b/>
          <w:bCs/>
          <w:sz w:val="24"/>
          <w:szCs w:val="24"/>
          <w:rtl/>
        </w:rPr>
        <w:t xml:space="preserve"> כֵּ"ן בְּגִימַטְרִיָּא סוֹ"ד. וּבְגִין דָּא אוֹקְמוּהּ מָארֵי מַתְנִיתִין אָסוּר לְגַלָּאָה סִתְרֵי תּוֹרָה לְגוֹי, </w:t>
      </w:r>
      <w:r w:rsidRPr="00007309">
        <w:rPr>
          <w:rFonts w:cs="Arial"/>
          <w:b/>
          <w:bCs/>
          <w:sz w:val="36"/>
          <w:szCs w:val="28"/>
          <w:vertAlign w:val="superscript"/>
          <w:rtl/>
        </w:rPr>
        <w:footnoteReference w:id="7337"/>
      </w:r>
      <w:r w:rsidRPr="00007309">
        <w:rPr>
          <w:rFonts w:cs="Arial"/>
          <w:b/>
          <w:bCs/>
          <w:sz w:val="24"/>
          <w:szCs w:val="24"/>
          <w:rtl/>
        </w:rPr>
        <w:t xml:space="preserve">דְּלָא יְנַסֵּךְ לוֹן לַעֲבוֹדָה זָרָה. </w:t>
      </w:r>
      <w:r w:rsidRPr="00007309">
        <w:rPr>
          <w:rFonts w:cs="Arial"/>
          <w:b/>
          <w:bCs/>
          <w:sz w:val="36"/>
          <w:szCs w:val="28"/>
          <w:vertAlign w:val="superscript"/>
          <w:rtl/>
        </w:rPr>
        <w:footnoteReference w:id="7338"/>
      </w:r>
      <w:r w:rsidRPr="00007309">
        <w:rPr>
          <w:rFonts w:cs="Arial"/>
          <w:b/>
          <w:bCs/>
          <w:sz w:val="24"/>
          <w:szCs w:val="24"/>
          <w:rtl/>
        </w:rPr>
        <w:t>וְאִי תֵּימָא הָא אוֹקְמוּהּ רַבָּנָן דְּאַנְשֵׁי כְּנֶסֶת הַגְּדוֹלָה</w:t>
      </w:r>
      <w:r w:rsidRPr="00007309">
        <w:rPr>
          <w:rFonts w:cs="Arial"/>
          <w:b/>
          <w:bCs/>
          <w:sz w:val="24"/>
          <w:szCs w:val="24"/>
        </w:rPr>
        <w:t xml:space="preserve"> </w:t>
      </w:r>
      <w:r w:rsidRPr="00007309">
        <w:rPr>
          <w:rFonts w:cs="Arial"/>
          <w:b/>
          <w:bCs/>
          <w:sz w:val="24"/>
          <w:szCs w:val="24"/>
          <w:rtl/>
        </w:rPr>
        <w:t xml:space="preserve">קְטָלוּ לְאַרְיֵה דַּעֲבוֹדָה זָרָה דְּאִיהוּ יֵצֶר הָרָע, </w:t>
      </w:r>
      <w:r w:rsidRPr="00007309">
        <w:rPr>
          <w:rFonts w:cs="Arial"/>
          <w:b/>
          <w:bCs/>
          <w:sz w:val="36"/>
          <w:szCs w:val="28"/>
          <w:vertAlign w:val="superscript"/>
          <w:rtl/>
        </w:rPr>
        <w:footnoteReference w:id="7339"/>
      </w:r>
      <w:r w:rsidRPr="00007309">
        <w:rPr>
          <w:rFonts w:cs="Arial"/>
          <w:b/>
          <w:bCs/>
          <w:sz w:val="24"/>
          <w:szCs w:val="24"/>
          <w:rtl/>
        </w:rPr>
        <w:t xml:space="preserve">דִּמְיוֹנוֹ כְּאַרְיֵה, דְּעָלֵהּ אָמַר דָּוִד </w:t>
      </w:r>
      <w:r w:rsidRPr="00007309">
        <w:rPr>
          <w:rFonts w:cs="Arial" w:hint="cs"/>
          <w:b/>
          <w:bCs/>
          <w:sz w:val="24"/>
          <w:szCs w:val="24"/>
          <w:rtl/>
        </w:rPr>
        <w:t xml:space="preserve">(תהלים י) </w:t>
      </w:r>
      <w:r w:rsidRPr="00007309">
        <w:rPr>
          <w:rFonts w:cs="Arial"/>
          <w:b/>
          <w:bCs/>
          <w:sz w:val="24"/>
          <w:szCs w:val="24"/>
          <w:rtl/>
        </w:rPr>
        <w:t>יֶאֱרֹב בְּמִסְתָּר כְּאַרְיֵה בְּסֻכּוֹ יֶאֱרֹב לַחֲטֹף עָנִי</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340"/>
      </w:r>
      <w:r w:rsidRPr="00007309">
        <w:rPr>
          <w:rFonts w:cs="Arial"/>
          <w:b/>
          <w:bCs/>
          <w:sz w:val="24"/>
          <w:szCs w:val="24"/>
          <w:rtl/>
        </w:rPr>
        <w:t>וְלֵית עָנִי אֶלָּא עָנִי מֵאוֹרַיְתָא וּמִפִּקּוּדִין דִּילַהּ. בְּגִין דַּעֲתִידִין יִשְׂרָאֵל לְמֶהֱוֵי בְּגָלוּתָא בְּדוֹחֲקָא, וּבְגִין דְּלָא לֶהֱווֹ טוֹעִין בֵּהּ בְּכֹבֶד הַמַּס וּבְכֹבֶד הַמְּלָאכָה בְּאִבּוּד דְּדַעַת</w:t>
      </w:r>
      <w:r w:rsidRPr="00007309">
        <w:rPr>
          <w:rFonts w:cs="Arial" w:hint="cs"/>
          <w:b/>
          <w:bCs/>
          <w:sz w:val="24"/>
          <w:szCs w:val="24"/>
          <w:rtl/>
        </w:rPr>
        <w:t>,</w:t>
      </w:r>
      <w:r w:rsidRPr="00007309">
        <w:rPr>
          <w:rFonts w:cs="Arial"/>
          <w:b/>
          <w:bCs/>
          <w:sz w:val="24"/>
          <w:szCs w:val="24"/>
          <w:rtl/>
        </w:rPr>
        <w:t xml:space="preserve"> קְטִילוּ לֵהּ. </w:t>
      </w:r>
      <w:r w:rsidRPr="00007309">
        <w:rPr>
          <w:rFonts w:cs="Arial"/>
          <w:b/>
          <w:bCs/>
          <w:sz w:val="36"/>
          <w:szCs w:val="28"/>
          <w:vertAlign w:val="superscript"/>
          <w:rtl/>
        </w:rPr>
        <w:footnoteReference w:id="7341"/>
      </w:r>
      <w:r w:rsidRPr="00007309">
        <w:rPr>
          <w:rFonts w:cs="Arial"/>
          <w:b/>
          <w:bCs/>
          <w:sz w:val="24"/>
          <w:szCs w:val="24"/>
          <w:rtl/>
        </w:rPr>
        <w:t>וּבְגִין דְּלָא יִתְפְּשָׁטוּ בָּעֲרָיוֹת</w:t>
      </w:r>
      <w:r w:rsidRPr="00007309">
        <w:rPr>
          <w:rFonts w:cs="Arial" w:hint="cs"/>
          <w:b/>
          <w:bCs/>
          <w:sz w:val="24"/>
          <w:szCs w:val="24"/>
          <w:rtl/>
        </w:rPr>
        <w:t>,</w:t>
      </w:r>
      <w:r w:rsidRPr="00007309">
        <w:rPr>
          <w:rFonts w:cs="Arial"/>
          <w:b/>
          <w:bCs/>
          <w:sz w:val="24"/>
          <w:szCs w:val="24"/>
          <w:rtl/>
        </w:rPr>
        <w:t xml:space="preserve"> סִמּוּ עֵינֵי דְּיֵצֶר הָרָע דִּבְנֵי נָשָׁא</w:t>
      </w:r>
      <w:r w:rsidRPr="00007309">
        <w:rPr>
          <w:rFonts w:cs="Arial" w:hint="cs"/>
          <w:b/>
          <w:bCs/>
          <w:sz w:val="24"/>
          <w:szCs w:val="24"/>
          <w:rtl/>
        </w:rPr>
        <w:t>.</w:t>
      </w:r>
      <w:r w:rsidRPr="00007309">
        <w:rPr>
          <w:rFonts w:cs="Arial"/>
          <w:b/>
          <w:bCs/>
          <w:sz w:val="24"/>
          <w:szCs w:val="24"/>
          <w:rtl/>
        </w:rPr>
        <w:t xml:space="preserve"> וְאוֹקְמוּהּ דְּאַרְיֵה דַּעֲבוֹדָה זָרָה כַּד תְּפָסוּ לֵהּ</w:t>
      </w:r>
      <w:r w:rsidRPr="00007309">
        <w:rPr>
          <w:rFonts w:cs="Arial" w:hint="cs"/>
          <w:b/>
          <w:bCs/>
          <w:sz w:val="24"/>
          <w:szCs w:val="24"/>
          <w:rtl/>
        </w:rPr>
        <w:t>,</w:t>
      </w:r>
      <w:r w:rsidRPr="00007309">
        <w:rPr>
          <w:rFonts w:cs="Arial"/>
          <w:b/>
          <w:bCs/>
          <w:sz w:val="24"/>
          <w:szCs w:val="24"/>
          <w:rtl/>
        </w:rPr>
        <w:t xml:space="preserve"> בְּנִימָא חֲדָא דְּנָשַׁר מִנֵּהּ צָווַח קָלָא </w:t>
      </w:r>
      <w:r w:rsidRPr="00007309">
        <w:rPr>
          <w:rFonts w:cs="Arial"/>
          <w:b/>
          <w:bCs/>
          <w:sz w:val="36"/>
          <w:szCs w:val="28"/>
          <w:vertAlign w:val="superscript"/>
          <w:rtl/>
        </w:rPr>
        <w:footnoteReference w:id="7342"/>
      </w:r>
      <w:r w:rsidRPr="00007309">
        <w:rPr>
          <w:rFonts w:cs="Arial"/>
          <w:b/>
          <w:bCs/>
          <w:sz w:val="24"/>
          <w:szCs w:val="24"/>
          <w:rtl/>
        </w:rPr>
        <w:t xml:space="preserve">עַד ד' מֵאוֹת פַּרְסָה. בְּגִין דָּא עָאלוּ לֵהּ </w:t>
      </w:r>
      <w:r w:rsidRPr="00007309">
        <w:rPr>
          <w:rFonts w:cs="Arial"/>
          <w:b/>
          <w:bCs/>
          <w:sz w:val="36"/>
          <w:szCs w:val="28"/>
          <w:vertAlign w:val="superscript"/>
          <w:rtl/>
        </w:rPr>
        <w:footnoteReference w:id="7343"/>
      </w:r>
      <w:r w:rsidRPr="00007309">
        <w:rPr>
          <w:rFonts w:cs="Arial"/>
          <w:b/>
          <w:bCs/>
          <w:sz w:val="24"/>
          <w:szCs w:val="24"/>
          <w:rtl/>
        </w:rPr>
        <w:t xml:space="preserve">בְּמָאנָא דְּעֹפֶרֶת </w:t>
      </w:r>
      <w:r w:rsidRPr="00007309">
        <w:rPr>
          <w:rFonts w:cs="Arial" w:hint="cs"/>
          <w:b/>
          <w:bCs/>
          <w:sz w:val="24"/>
          <w:szCs w:val="24"/>
          <w:rtl/>
        </w:rPr>
        <w:t>ד</w:t>
      </w:r>
      <w:r w:rsidRPr="00007309">
        <w:rPr>
          <w:rFonts w:cs="Arial"/>
          <w:b/>
          <w:bCs/>
          <w:sz w:val="24"/>
          <w:szCs w:val="24"/>
          <w:rtl/>
        </w:rPr>
        <w:t>ְלָא אִשְׁתְּמַע קָלֵהּ בָּהּ, וְאוֹקִידוּ לֵהּ בְּנוּרָא, לְקַיִּם בֵּהּ תִּשְׂרְפוּן בָּאֵשׁ. וּכְגַוְנָא דְּתַקִּינוּ אֲבָהָן תְּלָת צְלוֹתִין בְּעִתִּין יְדִיעָן</w:t>
      </w:r>
      <w:r w:rsidRPr="00007309">
        <w:rPr>
          <w:rFonts w:cs="Arial" w:hint="cs"/>
          <w:b/>
          <w:bCs/>
          <w:sz w:val="24"/>
          <w:szCs w:val="24"/>
          <w:rtl/>
        </w:rPr>
        <w:t>,</w:t>
      </w:r>
      <w:r w:rsidRPr="00007309">
        <w:rPr>
          <w:rFonts w:cs="Arial"/>
          <w:b/>
          <w:bCs/>
          <w:sz w:val="24"/>
          <w:szCs w:val="24"/>
          <w:rtl/>
        </w:rPr>
        <w:t xml:space="preserve"> הָכֵי תַּקִּינוּ רַבָּנָן לְשַׁלֵשׁ שְׁנוֹתֵינוּ בַּמִּקְרָא בַּמִּשְׁנָה בַּתַּלְמוּד. ובגינַיְהוּ אוֹקְמוּהּ דְּעָתִיד קֻדְשָׁא בְּרִיךְ הוּא לְמֵימַר </w:t>
      </w:r>
      <w:r w:rsidRPr="00007309">
        <w:rPr>
          <w:rFonts w:cs="Arial"/>
          <w:b/>
          <w:bCs/>
          <w:sz w:val="36"/>
          <w:szCs w:val="28"/>
          <w:vertAlign w:val="superscript"/>
          <w:rtl/>
        </w:rPr>
        <w:footnoteReference w:id="7344"/>
      </w:r>
      <w:r w:rsidRPr="00007309">
        <w:rPr>
          <w:rFonts w:cs="Arial"/>
          <w:b/>
          <w:bCs/>
          <w:sz w:val="24"/>
          <w:szCs w:val="24"/>
          <w:rtl/>
        </w:rPr>
        <w:t>קָבַעְתָּ עִתִּים</w:t>
      </w:r>
      <w:r w:rsidRPr="00007309">
        <w:rPr>
          <w:rFonts w:cs="Arial"/>
          <w:b/>
          <w:bCs/>
          <w:sz w:val="24"/>
          <w:szCs w:val="24"/>
        </w:rPr>
        <w:t xml:space="preserve"> </w:t>
      </w:r>
      <w:r w:rsidRPr="00007309">
        <w:rPr>
          <w:rFonts w:cs="Arial"/>
          <w:b/>
          <w:bCs/>
          <w:sz w:val="24"/>
          <w:szCs w:val="24"/>
          <w:rtl/>
        </w:rPr>
        <w:t>לַתּוֹרָה. וְאוֹקְמוּהּ דְּמָאן דְּמִתְעַסֵּק בַּמִּשְׁנָה (נלע"ד בתלמוד)</w:t>
      </w:r>
      <w:r w:rsidRPr="00007309">
        <w:rPr>
          <w:rFonts w:cs="Arial" w:hint="cs"/>
          <w:b/>
          <w:bCs/>
          <w:sz w:val="24"/>
          <w:szCs w:val="24"/>
          <w:rtl/>
        </w:rPr>
        <w:t xml:space="preserve"> כ</w:t>
      </w:r>
      <w:r w:rsidRPr="00007309">
        <w:rPr>
          <w:rFonts w:cs="Arial"/>
          <w:b/>
          <w:bCs/>
          <w:sz w:val="24"/>
          <w:szCs w:val="24"/>
          <w:rtl/>
        </w:rPr>
        <w:t>ְּאִלוּ הִתְעַסֵּק בְּכֹלָּא</w:t>
      </w:r>
      <w:r w:rsidRPr="00007309">
        <w:rPr>
          <w:rFonts w:cs="Arial" w:hint="cs"/>
          <w:b/>
          <w:bCs/>
          <w:sz w:val="24"/>
          <w:szCs w:val="24"/>
          <w:rtl/>
        </w:rPr>
        <w:t>,</w:t>
      </w:r>
      <w:r w:rsidRPr="00007309">
        <w:rPr>
          <w:rFonts w:cs="Arial"/>
          <w:b/>
          <w:bCs/>
          <w:sz w:val="24"/>
          <w:szCs w:val="24"/>
          <w:rtl/>
        </w:rPr>
        <w:t xml:space="preserve"> בְּגִין דְּאִיהִי כְּלִילָא בַּמִּקְרָא בַּמִּשְׁנָה בַּתַּלְמוּד. </w:t>
      </w:r>
      <w:r w:rsidRPr="00007309">
        <w:rPr>
          <w:rFonts w:cs="Arial"/>
          <w:b/>
          <w:bCs/>
          <w:sz w:val="36"/>
          <w:szCs w:val="28"/>
          <w:vertAlign w:val="superscript"/>
          <w:rtl/>
        </w:rPr>
        <w:footnoteReference w:id="7345"/>
      </w:r>
      <w:r w:rsidRPr="00007309">
        <w:rPr>
          <w:rFonts w:cs="Arial"/>
          <w:b/>
          <w:bCs/>
          <w:sz w:val="24"/>
          <w:szCs w:val="24"/>
          <w:rtl/>
        </w:rPr>
        <w:t xml:space="preserve">וּבְגִין דָּא אִתְּמַר בְּאַהֲרֹן </w:t>
      </w:r>
      <w:r w:rsidRPr="00007309">
        <w:rPr>
          <w:rFonts w:cs="Arial" w:hint="cs"/>
          <w:b/>
          <w:bCs/>
          <w:sz w:val="24"/>
          <w:szCs w:val="24"/>
          <w:rtl/>
        </w:rPr>
        <w:t xml:space="preserve">(ויקרא טז) </w:t>
      </w:r>
      <w:r w:rsidRPr="00007309">
        <w:rPr>
          <w:rFonts w:cs="Arial"/>
          <w:b/>
          <w:bCs/>
          <w:sz w:val="24"/>
          <w:szCs w:val="24"/>
          <w:rtl/>
        </w:rPr>
        <w:t xml:space="preserve">בְּזֹאת יָבֹא אַהֲרֹן אֶל הַקֹּדֶשׁ בְּפַר בֶּן בָּקָר לְחַטָאת וְאַיִל לְעוֹלָה. </w:t>
      </w:r>
      <w:r w:rsidRPr="00007309">
        <w:rPr>
          <w:rFonts w:cs="Arial"/>
          <w:b/>
          <w:bCs/>
          <w:sz w:val="36"/>
          <w:szCs w:val="28"/>
          <w:vertAlign w:val="superscript"/>
          <w:rtl/>
        </w:rPr>
        <w:footnoteReference w:id="7346"/>
      </w:r>
      <w:r w:rsidRPr="00007309">
        <w:rPr>
          <w:rFonts w:cs="Arial"/>
          <w:b/>
          <w:bCs/>
          <w:sz w:val="24"/>
          <w:szCs w:val="24"/>
          <w:rtl/>
        </w:rPr>
        <w:t>בְּפַר</w:t>
      </w:r>
      <w:r w:rsidRPr="00007309">
        <w:rPr>
          <w:rFonts w:cs="Arial" w:hint="cs"/>
          <w:b/>
          <w:bCs/>
          <w:sz w:val="24"/>
          <w:szCs w:val="24"/>
          <w:rtl/>
        </w:rPr>
        <w:t>,</w:t>
      </w:r>
      <w:r w:rsidRPr="00007309">
        <w:rPr>
          <w:rFonts w:cs="Arial"/>
          <w:b/>
          <w:bCs/>
          <w:sz w:val="24"/>
          <w:szCs w:val="24"/>
          <w:rtl/>
        </w:rPr>
        <w:t xml:space="preserve"> לְכַפְּרָא עַל עֶגְלָא. </w:t>
      </w:r>
      <w:r w:rsidRPr="00007309">
        <w:rPr>
          <w:rFonts w:cs="Arial"/>
          <w:b/>
          <w:bCs/>
          <w:sz w:val="36"/>
          <w:szCs w:val="28"/>
          <w:vertAlign w:val="superscript"/>
          <w:rtl/>
        </w:rPr>
        <w:footnoteReference w:id="7347"/>
      </w:r>
      <w:r w:rsidRPr="00007309">
        <w:rPr>
          <w:rFonts w:cs="Arial"/>
          <w:b/>
          <w:bCs/>
          <w:sz w:val="24"/>
          <w:szCs w:val="24"/>
          <w:rtl/>
        </w:rPr>
        <w:t>וְאַיִל</w:t>
      </w:r>
      <w:r w:rsidRPr="00007309">
        <w:rPr>
          <w:rFonts w:cs="Arial" w:hint="cs"/>
          <w:b/>
          <w:bCs/>
          <w:sz w:val="24"/>
          <w:szCs w:val="24"/>
          <w:rtl/>
        </w:rPr>
        <w:t>,</w:t>
      </w:r>
      <w:r w:rsidRPr="00007309">
        <w:rPr>
          <w:rFonts w:cs="Arial"/>
          <w:b/>
          <w:bCs/>
          <w:sz w:val="24"/>
          <w:szCs w:val="24"/>
          <w:rtl/>
        </w:rPr>
        <w:t xml:space="preserve"> לְאִדְכְּרָא עֲקֵדַת יִצְחָק. </w:t>
      </w:r>
    </w:p>
    <w:p w:rsidR="00007309" w:rsidRPr="00007309" w:rsidRDefault="00007309" w:rsidP="00007309">
      <w:pPr>
        <w:jc w:val="both"/>
        <w:rPr>
          <w:rFonts w:cs="Arial"/>
          <w:b/>
          <w:bCs/>
          <w:sz w:val="24"/>
          <w:szCs w:val="24"/>
        </w:rPr>
      </w:pPr>
      <w:r w:rsidRPr="00007309">
        <w:rPr>
          <w:rFonts w:cs="Arial"/>
          <w:b/>
          <w:bCs/>
          <w:sz w:val="24"/>
          <w:szCs w:val="24"/>
          <w:rtl/>
        </w:rPr>
        <w:t xml:space="preserve">וְעוֹד </w:t>
      </w:r>
      <w:r w:rsidRPr="00007309">
        <w:rPr>
          <w:rFonts w:cs="Arial"/>
          <w:b/>
          <w:bCs/>
          <w:sz w:val="36"/>
          <w:szCs w:val="28"/>
          <w:vertAlign w:val="superscript"/>
          <w:rtl/>
        </w:rPr>
        <w:footnoteReference w:id="7348"/>
      </w:r>
      <w:r w:rsidRPr="00007309">
        <w:rPr>
          <w:rFonts w:cs="Arial"/>
          <w:b/>
          <w:bCs/>
          <w:sz w:val="24"/>
          <w:szCs w:val="24"/>
          <w:rtl/>
        </w:rPr>
        <w:t>תַּקִּינוּ</w:t>
      </w:r>
      <w:r w:rsidRPr="00007309">
        <w:rPr>
          <w:rFonts w:cs="Arial" w:hint="cs"/>
          <w:b/>
          <w:bCs/>
          <w:sz w:val="24"/>
          <w:szCs w:val="24"/>
          <w:rtl/>
        </w:rPr>
        <w:t>,</w:t>
      </w:r>
      <w:r w:rsidRPr="00007309">
        <w:rPr>
          <w:rFonts w:cs="Arial"/>
          <w:b/>
          <w:bCs/>
          <w:sz w:val="24"/>
          <w:szCs w:val="24"/>
          <w:rtl/>
        </w:rPr>
        <w:t xml:space="preserve"> דִּמְלַמֵּד לֹא יְהֵא רַשַּׁאי לְאוֹלָפָא יַתִּיר מֵעֶשְׂרִין וַחֲמִשָּׁה תִּינוֹקוֹת</w:t>
      </w:r>
      <w:r w:rsidRPr="00007309">
        <w:rPr>
          <w:rFonts w:cs="Arial" w:hint="cs"/>
          <w:b/>
          <w:bCs/>
          <w:sz w:val="24"/>
          <w:szCs w:val="24"/>
          <w:rtl/>
        </w:rPr>
        <w:t>,</w:t>
      </w:r>
      <w:r w:rsidRPr="00007309">
        <w:rPr>
          <w:rFonts w:cs="Arial"/>
          <w:b/>
          <w:bCs/>
          <w:sz w:val="24"/>
          <w:szCs w:val="24"/>
          <w:rtl/>
        </w:rPr>
        <w:t xml:space="preserve"> וְרָזָא דְּמִלָּה מִימִינָא כֹּ'ה תְבָרְכוּ, מִסִּטְרָא דִּשְׂמָאלָא הֲלוֹא כֹ'ה דְבָרִי כָּאֵשׁ נְאֻם ה'. וְהַיְנוּ וַיִּפֶן </w:t>
      </w:r>
      <w:r w:rsidRPr="00007309">
        <w:rPr>
          <w:rFonts w:cs="Arial"/>
          <w:b/>
          <w:bCs/>
          <w:sz w:val="36"/>
          <w:szCs w:val="28"/>
          <w:vertAlign w:val="superscript"/>
          <w:rtl/>
        </w:rPr>
        <w:footnoteReference w:id="7349"/>
      </w:r>
      <w:r w:rsidRPr="00007309">
        <w:rPr>
          <w:rFonts w:cs="Arial"/>
          <w:b/>
          <w:bCs/>
          <w:sz w:val="24"/>
          <w:szCs w:val="24"/>
          <w:rtl/>
        </w:rPr>
        <w:t xml:space="preserve">כֹּ'ה וָכֹ'ה </w:t>
      </w:r>
      <w:r w:rsidRPr="00007309">
        <w:rPr>
          <w:rFonts w:cs="Arial"/>
          <w:b/>
          <w:bCs/>
          <w:sz w:val="36"/>
          <w:szCs w:val="28"/>
          <w:vertAlign w:val="superscript"/>
          <w:rtl/>
        </w:rPr>
        <w:footnoteReference w:id="7350"/>
      </w:r>
      <w:r w:rsidRPr="00007309">
        <w:rPr>
          <w:rFonts w:cs="Arial"/>
          <w:b/>
          <w:bCs/>
          <w:sz w:val="24"/>
          <w:szCs w:val="24"/>
          <w:rtl/>
        </w:rPr>
        <w:t xml:space="preserve">וַיַּרְא כִּי אֵין אִישׁ. לְקָבְלַיְהוּ כֹּ"ה אַתְוָן דִּקְרִיאַת שְׁמַע </w:t>
      </w:r>
      <w:r w:rsidRPr="00007309">
        <w:rPr>
          <w:rFonts w:cs="Arial"/>
          <w:b/>
          <w:bCs/>
          <w:sz w:val="36"/>
          <w:szCs w:val="28"/>
          <w:vertAlign w:val="superscript"/>
          <w:rtl/>
        </w:rPr>
        <w:footnoteReference w:id="7351"/>
      </w:r>
      <w:r w:rsidRPr="00007309">
        <w:rPr>
          <w:rFonts w:cs="Arial"/>
          <w:b/>
          <w:bCs/>
          <w:sz w:val="24"/>
          <w:szCs w:val="24"/>
          <w:rtl/>
        </w:rPr>
        <w:t>עַרְבִית וְשַׁחֲרִית בִּקְרָא קַדְמָאָה דִּקְרִיאַת שְׁמַע. וְלֵית לְאַרְכָּא יַתִּיר</w:t>
      </w:r>
      <w:r w:rsidRPr="00007309">
        <w:rPr>
          <w:rFonts w:cs="Arial" w:hint="cs"/>
          <w:b/>
          <w:bCs/>
          <w:sz w:val="24"/>
          <w:szCs w:val="24"/>
          <w:rtl/>
        </w:rPr>
        <w:t>.</w:t>
      </w:r>
      <w:r w:rsidRPr="00007309">
        <w:rPr>
          <w:rFonts w:cs="Arial"/>
          <w:b/>
          <w:bCs/>
          <w:sz w:val="24"/>
          <w:szCs w:val="24"/>
          <w:rtl/>
        </w:rPr>
        <w:t xml:space="preserve"> וְ</w:t>
      </w:r>
      <w:r w:rsidRPr="00007309">
        <w:rPr>
          <w:rFonts w:cs="Arial" w:hint="cs"/>
          <w:b/>
          <w:bCs/>
          <w:sz w:val="24"/>
          <w:szCs w:val="24"/>
          <w:rtl/>
        </w:rPr>
        <w:t>כ</w:t>
      </w:r>
      <w:r w:rsidRPr="00007309">
        <w:rPr>
          <w:rFonts w:cs="Arial"/>
          <w:b/>
          <w:bCs/>
          <w:sz w:val="24"/>
          <w:szCs w:val="24"/>
          <w:rtl/>
        </w:rPr>
        <w:t>ל מָאן דִּקְרָא קְרִיאַת שְׁמַע עֶרֶב וָבֹקֶר, כְּאִלּוּ מְקַיֵּם וְהָגִיתָ בּוֹ יוֹמָם וָלַיְלָה</w:t>
      </w:r>
      <w:r w:rsidRPr="00007309">
        <w:rPr>
          <w:rFonts w:cs="Arial" w:hint="cs"/>
          <w:b/>
          <w:bCs/>
          <w:sz w:val="24"/>
          <w:szCs w:val="24"/>
          <w:rtl/>
        </w:rPr>
        <w:t>:</w:t>
      </w:r>
    </w:p>
    <w:p w:rsidR="00007309" w:rsidRPr="00007309" w:rsidRDefault="00007309" w:rsidP="00007309">
      <w:pPr>
        <w:keepNext/>
        <w:outlineLvl w:val="1"/>
        <w:rPr>
          <w:rFonts w:ascii="Cambria" w:hAnsi="Cambria" w:cs="Times New Roman"/>
          <w:i/>
          <w:iCs/>
          <w:sz w:val="24"/>
          <w:szCs w:val="24"/>
          <w:rtl/>
        </w:rPr>
      </w:pPr>
      <w:r w:rsidRPr="00007309">
        <w:rPr>
          <w:rFonts w:ascii="Cambria" w:hAnsi="Cambria" w:cs="Times New Roman"/>
          <w:i/>
          <w:iCs/>
          <w:sz w:val="24"/>
          <w:szCs w:val="24"/>
          <w:rtl/>
        </w:rPr>
        <w:t>[</w:t>
      </w:r>
      <w:r w:rsidRPr="00007309">
        <w:rPr>
          <w:rFonts w:ascii="Cambria" w:hAnsi="Cambria" w:cs="Times New Roman" w:hint="cs"/>
          <w:i/>
          <w:iCs/>
          <w:sz w:val="24"/>
          <w:szCs w:val="24"/>
          <w:rtl/>
        </w:rPr>
        <w:t>דף</w:t>
      </w:r>
      <w:r w:rsidRPr="00007309">
        <w:rPr>
          <w:rFonts w:ascii="Cambria" w:hAnsi="Cambria" w:cs="Times New Roman"/>
          <w:i/>
          <w:iCs/>
          <w:sz w:val="24"/>
          <w:szCs w:val="24"/>
          <w:rtl/>
        </w:rPr>
        <w:t xml:space="preserve"> </w:t>
      </w:r>
      <w:r w:rsidRPr="00007309">
        <w:rPr>
          <w:rFonts w:ascii="Cambria" w:hAnsi="Cambria" w:cs="Times New Roman" w:hint="cs"/>
          <w:i/>
          <w:iCs/>
          <w:sz w:val="24"/>
          <w:szCs w:val="24"/>
          <w:rtl/>
        </w:rPr>
        <w:t>פא</w:t>
      </w:r>
      <w:r w:rsidRPr="00007309">
        <w:rPr>
          <w:rFonts w:ascii="Cambria" w:hAnsi="Cambria" w:cs="Times New Roman"/>
          <w:i/>
          <w:iCs/>
          <w:sz w:val="24"/>
          <w:szCs w:val="24"/>
          <w:rtl/>
        </w:rPr>
        <w:t xml:space="preserve"> ע"</w:t>
      </w:r>
      <w:r w:rsidRPr="00007309">
        <w:rPr>
          <w:rFonts w:ascii="Cambria" w:hAnsi="Cambria" w:cs="Times New Roman" w:hint="cs"/>
          <w:i/>
          <w:iCs/>
          <w:sz w:val="24"/>
          <w:szCs w:val="24"/>
          <w:rtl/>
        </w:rPr>
        <w:t>ב</w:t>
      </w:r>
      <w:r w:rsidRPr="00007309">
        <w:rPr>
          <w:rFonts w:ascii="Cambria" w:hAnsi="Cambria" w:cs="Times New Roman"/>
          <w:i/>
          <w:iCs/>
          <w:sz w:val="24"/>
          <w:szCs w:val="24"/>
          <w:rtl/>
        </w:rPr>
        <w:t>]</w:t>
      </w:r>
    </w:p>
    <w:p w:rsidR="00007309" w:rsidRPr="00007309" w:rsidRDefault="00007309" w:rsidP="00007309">
      <w:pPr>
        <w:jc w:val="both"/>
        <w:rPr>
          <w:rFonts w:cs="Arial"/>
          <w:b/>
          <w:bCs/>
          <w:sz w:val="24"/>
          <w:szCs w:val="24"/>
        </w:rPr>
      </w:pPr>
      <w:r w:rsidRPr="00007309">
        <w:rPr>
          <w:rFonts w:cs="Arial"/>
          <w:b/>
          <w:bCs/>
          <w:sz w:val="24"/>
          <w:szCs w:val="24"/>
          <w:rtl/>
        </w:rPr>
        <w:t xml:space="preserve">וְהַמַּשְׂכִילִים </w:t>
      </w:r>
      <w:r w:rsidRPr="00007309">
        <w:rPr>
          <w:rFonts w:cs="Arial"/>
          <w:b/>
          <w:bCs/>
          <w:sz w:val="36"/>
          <w:szCs w:val="28"/>
          <w:vertAlign w:val="superscript"/>
          <w:rtl/>
        </w:rPr>
        <w:footnoteReference w:id="7352"/>
      </w:r>
      <w:r w:rsidRPr="00007309">
        <w:rPr>
          <w:rFonts w:cs="Arial"/>
          <w:b/>
          <w:bCs/>
          <w:sz w:val="24"/>
          <w:szCs w:val="24"/>
          <w:rtl/>
        </w:rPr>
        <w:t>יַזְהִרוּ. מַאי מַשְׂכִּילִים</w:t>
      </w:r>
      <w:r w:rsidRPr="00007309">
        <w:rPr>
          <w:rFonts w:cs="Arial" w:hint="cs"/>
          <w:b/>
          <w:bCs/>
          <w:sz w:val="24"/>
          <w:szCs w:val="24"/>
          <w:rtl/>
        </w:rPr>
        <w:t>,</w:t>
      </w:r>
      <w:r w:rsidRPr="00007309">
        <w:rPr>
          <w:rFonts w:cs="Arial"/>
          <w:b/>
          <w:bCs/>
          <w:sz w:val="24"/>
          <w:szCs w:val="24"/>
          <w:rtl/>
        </w:rPr>
        <w:t xml:space="preserve"> אִלֵּין אַתְוָן דְּאוֹרַיְתָא. יַזְהִרוּ</w:t>
      </w:r>
      <w:r w:rsidRPr="00007309">
        <w:rPr>
          <w:rFonts w:cs="Arial" w:hint="cs"/>
          <w:b/>
          <w:bCs/>
          <w:sz w:val="24"/>
          <w:szCs w:val="24"/>
          <w:rtl/>
        </w:rPr>
        <w:t>,</w:t>
      </w:r>
      <w:r w:rsidRPr="00007309">
        <w:rPr>
          <w:rFonts w:cs="Arial"/>
          <w:b/>
          <w:bCs/>
          <w:sz w:val="24"/>
          <w:szCs w:val="24"/>
          <w:rtl/>
        </w:rPr>
        <w:t xml:space="preserve"> אִלֵּין נִקּוּדִין דְּנָהֲרִין בְּאַתְוָן </w:t>
      </w:r>
      <w:r w:rsidRPr="00007309">
        <w:rPr>
          <w:rFonts w:cs="Arial"/>
          <w:b/>
          <w:bCs/>
          <w:sz w:val="36"/>
          <w:szCs w:val="28"/>
          <w:vertAlign w:val="superscript"/>
          <w:rtl/>
        </w:rPr>
        <w:footnoteReference w:id="7353"/>
      </w:r>
      <w:r w:rsidRPr="00007309">
        <w:rPr>
          <w:rFonts w:cs="Arial"/>
          <w:b/>
          <w:bCs/>
          <w:sz w:val="24"/>
          <w:szCs w:val="24"/>
          <w:rtl/>
        </w:rPr>
        <w:t>כְּנִשְׁמְתָא בְּגוּפָא. כְּזֹהַר</w:t>
      </w:r>
      <w:r w:rsidRPr="00007309">
        <w:rPr>
          <w:rFonts w:cs="Arial" w:hint="cs"/>
          <w:b/>
          <w:bCs/>
          <w:sz w:val="24"/>
          <w:szCs w:val="24"/>
          <w:rtl/>
        </w:rPr>
        <w:t>,</w:t>
      </w:r>
      <w:r w:rsidRPr="00007309">
        <w:rPr>
          <w:rFonts w:cs="Arial"/>
          <w:b/>
          <w:bCs/>
          <w:sz w:val="24"/>
          <w:szCs w:val="24"/>
          <w:rtl/>
        </w:rPr>
        <w:t xml:space="preserve"> אִלֵּין טַעֲמֵי תּוֹרָה דְּאִנּוּן כִּתְרִין עַל רֵישַׁיְהוּ דְּאַתְוָן</w:t>
      </w:r>
      <w:r w:rsidRPr="00007309">
        <w:rPr>
          <w:rFonts w:cs="Arial" w:hint="cs"/>
          <w:b/>
          <w:bCs/>
          <w:sz w:val="24"/>
          <w:szCs w:val="24"/>
          <w:rtl/>
        </w:rPr>
        <w:t>,</w:t>
      </w:r>
      <w:r w:rsidRPr="00007309">
        <w:rPr>
          <w:rFonts w:cs="Arial"/>
          <w:b/>
          <w:bCs/>
          <w:sz w:val="24"/>
          <w:szCs w:val="24"/>
          <w:rtl/>
        </w:rPr>
        <w:t xml:space="preserve"> כִּרְקִיעָא דְּאִיהוּ עַל אַרְעָא כְּכִתְרָא. וְאַתְוָן וְנִקּוּדֵי וְטַעֲמֵי אִנּוּן כְּנִשְׁמְתָא וְרוּחָא וְנַפְשָׁא. אַתְוָן אִנּוּן מִסִּטְרָא דְּנַפְשָׁא </w:t>
      </w:r>
      <w:r w:rsidRPr="00007309">
        <w:rPr>
          <w:rFonts w:cs="Arial"/>
          <w:b/>
          <w:bCs/>
          <w:sz w:val="36"/>
          <w:szCs w:val="28"/>
          <w:vertAlign w:val="superscript"/>
          <w:rtl/>
        </w:rPr>
        <w:footnoteReference w:id="7354"/>
      </w:r>
      <w:r w:rsidRPr="00007309">
        <w:rPr>
          <w:rFonts w:cs="Arial"/>
          <w:b/>
          <w:bCs/>
          <w:sz w:val="24"/>
          <w:szCs w:val="24"/>
          <w:rtl/>
        </w:rPr>
        <w:t>דְּאִיהִי בְּרִבּוּעָא. וְנִקּוּדִין בְּעִגּוּלָא</w:t>
      </w:r>
      <w:r w:rsidRPr="00007309">
        <w:rPr>
          <w:rFonts w:cs="Arial" w:hint="cs"/>
          <w:b/>
          <w:bCs/>
          <w:sz w:val="24"/>
          <w:szCs w:val="24"/>
          <w:rtl/>
        </w:rPr>
        <w:t>,</w:t>
      </w:r>
      <w:r w:rsidRPr="00007309">
        <w:rPr>
          <w:rFonts w:cs="Arial"/>
          <w:b/>
          <w:bCs/>
          <w:sz w:val="24"/>
          <w:szCs w:val="24"/>
          <w:rtl/>
        </w:rPr>
        <w:t xml:space="preserve"> דְּאַתְיָן בְּעִגּוּלָא בְּגִין דְּאִנּוּן </w:t>
      </w:r>
      <w:r w:rsidRPr="00007309">
        <w:rPr>
          <w:rFonts w:cs="Arial"/>
          <w:b/>
          <w:bCs/>
          <w:sz w:val="36"/>
          <w:szCs w:val="28"/>
          <w:vertAlign w:val="superscript"/>
          <w:rtl/>
        </w:rPr>
        <w:footnoteReference w:id="7355"/>
      </w:r>
      <w:r w:rsidRPr="00007309">
        <w:rPr>
          <w:rFonts w:cs="Arial"/>
          <w:b/>
          <w:bCs/>
          <w:sz w:val="24"/>
          <w:szCs w:val="24"/>
          <w:rtl/>
        </w:rPr>
        <w:t>כְּאָדָם דִּיצִירָה. נִקּוּדִין אִנּוּן מִסִּטְרָא דְּרוּחָא</w:t>
      </w:r>
      <w:r w:rsidRPr="00007309">
        <w:rPr>
          <w:rFonts w:cs="Arial" w:hint="cs"/>
          <w:b/>
          <w:bCs/>
          <w:sz w:val="24"/>
          <w:szCs w:val="24"/>
          <w:rtl/>
        </w:rPr>
        <w:t>,</w:t>
      </w:r>
      <w:r w:rsidRPr="00007309">
        <w:rPr>
          <w:rFonts w:cs="Arial"/>
          <w:b/>
          <w:bCs/>
          <w:sz w:val="24"/>
          <w:szCs w:val="24"/>
          <w:rtl/>
        </w:rPr>
        <w:t xml:space="preserve"> בְּאִנּוּן גַּלְגַּלִּין דְּאַתְיָן בְּגִלְגּוּלָא. וּכְמָה דְּרוּחָא אַנְהִיג לְכָל עָרְקִין דְּדָמָא דְּדַפְקִין מִן לִבָּא, הָכֵי אַתְוָן מִתְנַהֲגִין לְגַבֵּי נִקּוּדִין. וְרָזָא דְּמִלָּה </w:t>
      </w:r>
      <w:r w:rsidRPr="00007309">
        <w:rPr>
          <w:rFonts w:cs="Arial"/>
          <w:b/>
          <w:bCs/>
          <w:sz w:val="36"/>
          <w:szCs w:val="28"/>
          <w:vertAlign w:val="superscript"/>
          <w:rtl/>
        </w:rPr>
        <w:footnoteReference w:id="7356"/>
      </w:r>
      <w:r w:rsidRPr="00007309">
        <w:rPr>
          <w:rFonts w:cs="Arial"/>
          <w:b/>
          <w:bCs/>
          <w:sz w:val="24"/>
          <w:szCs w:val="24"/>
          <w:rtl/>
        </w:rPr>
        <w:t>אֶל אֲשֶׁר יִהְיֶה שָׁמָּה הָרוּחַ לָלֶכֶת יֵלְכוּ. בְּגִין דְּרוּחָא דְּבַר נָשׁ מִתַּמָּן אִתְנְטִילַת</w:t>
      </w:r>
      <w:r w:rsidRPr="00007309">
        <w:rPr>
          <w:rFonts w:cs="Arial" w:hint="cs"/>
          <w:b/>
          <w:bCs/>
          <w:sz w:val="24"/>
          <w:szCs w:val="24"/>
          <w:rtl/>
        </w:rPr>
        <w:t>,</w:t>
      </w:r>
      <w:r w:rsidRPr="00007309">
        <w:rPr>
          <w:rFonts w:cs="Arial"/>
          <w:b/>
          <w:bCs/>
          <w:sz w:val="24"/>
          <w:szCs w:val="24"/>
          <w:rtl/>
        </w:rPr>
        <w:t xml:space="preserve"> מִדַּרְגָּא דְּאִתְּמַר בַּהּ (יחזקאל א) כִּי רוּחַ הַחַיָּה בָּאוֹפַנִּים</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357"/>
      </w:r>
      <w:r w:rsidRPr="00007309">
        <w:rPr>
          <w:rFonts w:cs="Arial"/>
          <w:b/>
          <w:bCs/>
          <w:sz w:val="24"/>
          <w:szCs w:val="24"/>
          <w:rtl/>
        </w:rPr>
        <w:t>דְּאִנּוּן גּוּפָא לְרוּחַ</w:t>
      </w:r>
      <w:r w:rsidRPr="00007309">
        <w:rPr>
          <w:rFonts w:cs="Arial" w:hint="cs"/>
          <w:b/>
          <w:bCs/>
          <w:sz w:val="24"/>
          <w:szCs w:val="24"/>
          <w:rtl/>
        </w:rPr>
        <w:t>.</w:t>
      </w:r>
      <w:r w:rsidRPr="00007309">
        <w:rPr>
          <w:rFonts w:cs="Arial"/>
          <w:b/>
          <w:bCs/>
          <w:sz w:val="24"/>
          <w:szCs w:val="24"/>
          <w:rtl/>
        </w:rPr>
        <w:t xml:space="preserve"> לַנִּקּוּדִין דְּאִנּוּן רוּחִין </w:t>
      </w:r>
      <w:r w:rsidRPr="00007309">
        <w:rPr>
          <w:rFonts w:ascii="Cambria" w:hAnsi="Cambria" w:cs="Times New Roman" w:hint="cs"/>
          <w:b/>
          <w:bCs/>
          <w:i/>
          <w:iCs/>
          <w:color w:val="4F81BD"/>
          <w:sz w:val="24"/>
          <w:szCs w:val="24"/>
          <w:rtl/>
        </w:rPr>
        <w:t>(פא ע"ב)</w:t>
      </w:r>
      <w:r w:rsidRPr="00007309">
        <w:rPr>
          <w:rFonts w:cs="Arial" w:hint="cs"/>
          <w:b/>
          <w:bCs/>
          <w:sz w:val="24"/>
          <w:szCs w:val="24"/>
          <w:rtl/>
        </w:rPr>
        <w:t xml:space="preserve"> </w:t>
      </w:r>
      <w:r w:rsidRPr="00007309">
        <w:rPr>
          <w:rFonts w:cs="Arial"/>
          <w:b/>
          <w:bCs/>
          <w:sz w:val="24"/>
          <w:szCs w:val="24"/>
          <w:rtl/>
        </w:rPr>
        <w:t xml:space="preserve">קַדִּישִׁין מֵרוּחַ הַחַיָּה אִנּוּן. </w:t>
      </w:r>
      <w:r w:rsidRPr="00007309">
        <w:rPr>
          <w:rFonts w:cs="Arial"/>
          <w:b/>
          <w:bCs/>
          <w:sz w:val="36"/>
          <w:szCs w:val="28"/>
          <w:vertAlign w:val="superscript"/>
          <w:rtl/>
        </w:rPr>
        <w:footnoteReference w:id="7358"/>
      </w:r>
      <w:r w:rsidRPr="00007309">
        <w:rPr>
          <w:rFonts w:cs="Arial"/>
          <w:b/>
          <w:bCs/>
          <w:sz w:val="24"/>
          <w:szCs w:val="24"/>
          <w:rtl/>
        </w:rPr>
        <w:t>נִשְׁמְתָא אָתֵי מִכֻּרְסַ</w:t>
      </w:r>
      <w:r w:rsidRPr="00007309">
        <w:rPr>
          <w:rFonts w:cs="Arial" w:hint="cs"/>
          <w:b/>
          <w:bCs/>
          <w:sz w:val="24"/>
          <w:szCs w:val="24"/>
          <w:rtl/>
        </w:rPr>
        <w:t>י</w:t>
      </w:r>
      <w:r w:rsidRPr="00007309">
        <w:rPr>
          <w:rFonts w:cs="Arial"/>
          <w:b/>
          <w:bCs/>
          <w:sz w:val="24"/>
          <w:szCs w:val="24"/>
          <w:rtl/>
        </w:rPr>
        <w:t>ָא</w:t>
      </w:r>
      <w:r w:rsidRPr="00007309">
        <w:rPr>
          <w:rFonts w:cs="Arial" w:hint="cs"/>
          <w:b/>
          <w:bCs/>
          <w:sz w:val="24"/>
          <w:szCs w:val="24"/>
          <w:rtl/>
        </w:rPr>
        <w:t>,</w:t>
      </w:r>
      <w:r w:rsidRPr="00007309">
        <w:rPr>
          <w:rFonts w:cs="Arial"/>
          <w:b/>
          <w:bCs/>
          <w:sz w:val="24"/>
          <w:szCs w:val="24"/>
          <w:rtl/>
        </w:rPr>
        <w:t xml:space="preserve"> וּבְגִין דְּתַמָּן יְהוָֹה דְּאִיהוּ מַנְהִיג כֹּלָּא</w:t>
      </w:r>
      <w:r w:rsidRPr="00007309">
        <w:rPr>
          <w:rFonts w:cs="Arial" w:hint="cs"/>
          <w:b/>
          <w:bCs/>
          <w:sz w:val="24"/>
          <w:szCs w:val="24"/>
          <w:rtl/>
        </w:rPr>
        <w:t>,</w:t>
      </w:r>
      <w:r w:rsidRPr="00007309">
        <w:rPr>
          <w:rFonts w:cs="Arial"/>
          <w:b/>
          <w:bCs/>
          <w:sz w:val="24"/>
          <w:szCs w:val="24"/>
          <w:rtl/>
        </w:rPr>
        <w:t xml:space="preserve"> טַעֲמֵי דְּאִנּוּן כִּתְרִין דְּאוֹרַיְתָא אִנּוּן מִסִּטְרָהָא</w:t>
      </w:r>
      <w:r w:rsidRPr="00007309">
        <w:rPr>
          <w:rFonts w:cs="Arial"/>
          <w:b/>
          <w:bCs/>
          <w:sz w:val="24"/>
          <w:szCs w:val="24"/>
        </w:rPr>
        <w:t>:</w:t>
      </w:r>
    </w:p>
    <w:p w:rsidR="00007309" w:rsidRPr="00007309" w:rsidRDefault="00007309" w:rsidP="00007309">
      <w:pPr>
        <w:keepNext/>
        <w:spacing w:before="240" w:after="60"/>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[וילנא כז ע"א]</w:t>
      </w:r>
    </w:p>
    <w:p w:rsidR="00007309" w:rsidRPr="00007309" w:rsidRDefault="00007309" w:rsidP="00007309">
      <w:pPr>
        <w:jc w:val="both"/>
        <w:rPr>
          <w:rFonts w:cs="Arial"/>
          <w:b/>
          <w:bCs/>
          <w:sz w:val="24"/>
          <w:szCs w:val="24"/>
          <w:rtl/>
        </w:rPr>
      </w:pPr>
      <w:r w:rsidRPr="00007309">
        <w:rPr>
          <w:rFonts w:cs="Arial"/>
          <w:b/>
          <w:bCs/>
          <w:sz w:val="36"/>
          <w:szCs w:val="28"/>
          <w:vertAlign w:val="superscript"/>
          <w:rtl/>
        </w:rPr>
        <w:footnoteReference w:id="7359"/>
      </w:r>
      <w:r w:rsidRPr="00007309">
        <w:rPr>
          <w:rFonts w:cs="Arial"/>
          <w:b/>
          <w:bCs/>
          <w:sz w:val="24"/>
          <w:szCs w:val="24"/>
          <w:rtl/>
        </w:rPr>
        <w:t>תָּא חֲזֵי כָּל אַתִּ</w:t>
      </w:r>
      <w:r w:rsidRPr="00007309">
        <w:rPr>
          <w:rFonts w:cs="Arial" w:hint="cs"/>
          <w:b/>
          <w:bCs/>
          <w:sz w:val="24"/>
          <w:szCs w:val="24"/>
          <w:rtl/>
        </w:rPr>
        <w:t>י</w:t>
      </w:r>
      <w:r w:rsidRPr="00007309">
        <w:rPr>
          <w:rFonts w:cs="Arial"/>
          <w:b/>
          <w:bCs/>
          <w:sz w:val="24"/>
          <w:szCs w:val="24"/>
          <w:rtl/>
        </w:rPr>
        <w:t xml:space="preserve">ן אִנּוּן </w:t>
      </w:r>
      <w:r w:rsidRPr="00007309">
        <w:rPr>
          <w:rFonts w:cs="Arial"/>
          <w:b/>
          <w:bCs/>
          <w:sz w:val="36"/>
          <w:szCs w:val="28"/>
          <w:vertAlign w:val="superscript"/>
          <w:rtl/>
        </w:rPr>
        <w:footnoteReference w:id="7360"/>
      </w:r>
      <w:r w:rsidRPr="00007309">
        <w:rPr>
          <w:rFonts w:cs="Arial"/>
          <w:b/>
          <w:bCs/>
          <w:sz w:val="24"/>
          <w:szCs w:val="24"/>
          <w:rtl/>
        </w:rPr>
        <w:t xml:space="preserve">מִסִּטְרָא דְּאַתְוָן דְּאוֹרַיְתָא </w:t>
      </w:r>
      <w:r w:rsidRPr="00007309">
        <w:rPr>
          <w:rFonts w:cs="Arial"/>
          <w:b/>
          <w:bCs/>
          <w:sz w:val="36"/>
          <w:szCs w:val="28"/>
          <w:vertAlign w:val="superscript"/>
          <w:rtl/>
        </w:rPr>
        <w:footnoteReference w:id="7361"/>
      </w:r>
      <w:r w:rsidRPr="00007309">
        <w:rPr>
          <w:rFonts w:cs="Arial"/>
          <w:b/>
          <w:bCs/>
          <w:sz w:val="24"/>
          <w:szCs w:val="24"/>
          <w:rtl/>
        </w:rPr>
        <w:t xml:space="preserve">דִּכְלִילָן בִּשְׁכִינְתָּא. </w:t>
      </w:r>
      <w:r w:rsidRPr="00007309">
        <w:rPr>
          <w:rFonts w:cs="Arial"/>
          <w:b/>
          <w:bCs/>
          <w:sz w:val="36"/>
          <w:szCs w:val="28"/>
          <w:vertAlign w:val="superscript"/>
          <w:rtl/>
        </w:rPr>
        <w:footnoteReference w:id="7362"/>
      </w:r>
      <w:r w:rsidRPr="00007309">
        <w:rPr>
          <w:rFonts w:cs="Arial"/>
          <w:b/>
          <w:bCs/>
          <w:sz w:val="24"/>
          <w:szCs w:val="24"/>
          <w:rtl/>
        </w:rPr>
        <w:t xml:space="preserve">צַדִּיק אִיהוּ נָטִיל לִשְׂמָאלָא דְּאִיהוּ יִצְחָק, </w:t>
      </w:r>
      <w:r w:rsidRPr="00007309">
        <w:rPr>
          <w:rFonts w:cs="Arial"/>
          <w:b/>
          <w:bCs/>
          <w:sz w:val="36"/>
          <w:szCs w:val="28"/>
          <w:vertAlign w:val="superscript"/>
          <w:rtl/>
        </w:rPr>
        <w:footnoteReference w:id="7363"/>
      </w:r>
      <w:r w:rsidRPr="00007309">
        <w:rPr>
          <w:rFonts w:cs="Arial"/>
          <w:b/>
          <w:bCs/>
          <w:sz w:val="24"/>
          <w:szCs w:val="24"/>
          <w:rtl/>
        </w:rPr>
        <w:t xml:space="preserve">קֵ"ץ חַ"י, חַי עָלְמִין קָשִׁיר בִּשְׂמָאלָא. וּשְׁכִינְתָּא תַּתָּאָה מִסִּטְרָא דִּשְׂמָאלָא אִתְּמַר בָּהּ וְהָאָרֶץ הָיְתָה תֹהוּ, וּמִסִּטְרָא דִּימִינָא </w:t>
      </w:r>
      <w:r w:rsidRPr="00007309">
        <w:rPr>
          <w:rFonts w:ascii="Cambria" w:hAnsi="Cambria" w:cs="Times New Roman" w:hint="cs"/>
          <w:b/>
          <w:bCs/>
          <w:i/>
          <w:iCs/>
          <w:color w:val="4F81BD"/>
          <w:sz w:val="24"/>
          <w:szCs w:val="24"/>
          <w:rtl/>
        </w:rPr>
        <w:t>(וילנא כז ע"א)</w:t>
      </w:r>
      <w:r w:rsidRPr="00007309">
        <w:rPr>
          <w:rFonts w:cs="Arial" w:hint="cs"/>
          <w:b/>
          <w:bCs/>
          <w:sz w:val="24"/>
          <w:szCs w:val="24"/>
          <w:rtl/>
        </w:rPr>
        <w:t xml:space="preserve"> </w:t>
      </w:r>
      <w:r w:rsidRPr="00007309">
        <w:rPr>
          <w:rFonts w:cs="Arial"/>
          <w:b/>
          <w:bCs/>
          <w:sz w:val="24"/>
          <w:szCs w:val="24"/>
          <w:rtl/>
        </w:rPr>
        <w:t xml:space="preserve">וָבֹהוּ, </w:t>
      </w:r>
      <w:r w:rsidRPr="00007309">
        <w:rPr>
          <w:rFonts w:cs="Arial"/>
          <w:b/>
          <w:bCs/>
          <w:sz w:val="36"/>
          <w:szCs w:val="28"/>
          <w:vertAlign w:val="superscript"/>
          <w:rtl/>
        </w:rPr>
        <w:footnoteReference w:id="7364"/>
      </w:r>
      <w:r w:rsidRPr="00007309">
        <w:rPr>
          <w:rFonts w:cs="Arial"/>
          <w:b/>
          <w:bCs/>
          <w:sz w:val="24"/>
          <w:szCs w:val="24"/>
          <w:rtl/>
        </w:rPr>
        <w:t>בּוֹ הוּא</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365"/>
      </w:r>
      <w:r w:rsidRPr="00007309">
        <w:rPr>
          <w:rFonts w:cs="Arial"/>
          <w:b/>
          <w:bCs/>
          <w:sz w:val="24"/>
          <w:szCs w:val="24"/>
          <w:rtl/>
        </w:rPr>
        <w:t xml:space="preserve">וּמִסִּטְרָא דְּעַמּוּדָא דְּאֶמְצָעִיתָא וְחֹשֶׁךְ </w:t>
      </w:r>
      <w:r w:rsidRPr="00007309">
        <w:rPr>
          <w:rFonts w:cs="Arial"/>
          <w:b/>
          <w:bCs/>
          <w:sz w:val="36"/>
          <w:szCs w:val="28"/>
          <w:vertAlign w:val="superscript"/>
          <w:rtl/>
        </w:rPr>
        <w:footnoteReference w:id="7366"/>
      </w:r>
      <w:r w:rsidRPr="00007309">
        <w:rPr>
          <w:rFonts w:cs="Arial"/>
          <w:b/>
          <w:bCs/>
          <w:sz w:val="24"/>
          <w:szCs w:val="24"/>
          <w:rtl/>
        </w:rPr>
        <w:t xml:space="preserve">עַל פְּנֵי תְּהוֹם (שם). </w:t>
      </w:r>
      <w:r w:rsidRPr="00007309">
        <w:rPr>
          <w:rFonts w:cs="Arial"/>
          <w:b/>
          <w:bCs/>
          <w:sz w:val="36"/>
          <w:szCs w:val="28"/>
          <w:vertAlign w:val="superscript"/>
          <w:rtl/>
        </w:rPr>
        <w:footnoteReference w:id="7367"/>
      </w:r>
      <w:r w:rsidRPr="00007309">
        <w:rPr>
          <w:rFonts w:cs="Arial"/>
          <w:b/>
          <w:bCs/>
          <w:sz w:val="24"/>
          <w:szCs w:val="24"/>
          <w:rtl/>
        </w:rPr>
        <w:t>וְאִלֵּין אִנּוּן לְבוּשִׁין דִּשְׁכִינְתָּא תַּתָּאָה בְּגָלוּתָא. וּמָאן גָּרִים הַאי. אֶלָּא</w:t>
      </w:r>
      <w:r w:rsidRPr="00007309">
        <w:rPr>
          <w:rFonts w:cs="Arial"/>
          <w:b/>
          <w:bCs/>
          <w:sz w:val="24"/>
          <w:szCs w:val="24"/>
        </w:rPr>
        <w:t xml:space="preserve"> </w:t>
      </w:r>
      <w:r w:rsidRPr="00007309">
        <w:rPr>
          <w:rFonts w:cs="Arial"/>
          <w:b/>
          <w:bCs/>
          <w:sz w:val="24"/>
          <w:szCs w:val="24"/>
          <w:rtl/>
        </w:rPr>
        <w:t xml:space="preserve">קֻדְשָׁא בְּרִיךְ הוּא </w:t>
      </w:r>
      <w:r w:rsidRPr="00007309">
        <w:rPr>
          <w:rFonts w:cs="Arial"/>
          <w:b/>
          <w:bCs/>
          <w:sz w:val="36"/>
          <w:szCs w:val="28"/>
          <w:vertAlign w:val="superscript"/>
          <w:rtl/>
        </w:rPr>
        <w:footnoteReference w:id="7368"/>
      </w:r>
      <w:r w:rsidRPr="00007309">
        <w:rPr>
          <w:rFonts w:cs="Arial"/>
          <w:b/>
          <w:bCs/>
          <w:sz w:val="24"/>
          <w:szCs w:val="24"/>
          <w:rtl/>
        </w:rPr>
        <w:t xml:space="preserve">קֹדֶם דְּבָרָא עָלְמָא </w:t>
      </w:r>
      <w:r w:rsidRPr="00007309">
        <w:rPr>
          <w:rFonts w:cs="Arial"/>
          <w:b/>
          <w:bCs/>
          <w:sz w:val="36"/>
          <w:szCs w:val="28"/>
          <w:vertAlign w:val="superscript"/>
          <w:rtl/>
        </w:rPr>
        <w:footnoteReference w:id="7369"/>
      </w:r>
      <w:r w:rsidRPr="00007309">
        <w:rPr>
          <w:rFonts w:cs="Arial"/>
          <w:b/>
          <w:bCs/>
          <w:sz w:val="24"/>
          <w:szCs w:val="24"/>
          <w:rtl/>
        </w:rPr>
        <w:t xml:space="preserve">הֲוָה סָתִים יְהוָֹה. לְבָתַר אִתְפְּשַׁט ה' לְתַתָּא </w:t>
      </w:r>
      <w:r w:rsidRPr="00007309">
        <w:rPr>
          <w:rFonts w:cs="Arial"/>
          <w:b/>
          <w:bCs/>
          <w:sz w:val="36"/>
          <w:szCs w:val="28"/>
          <w:vertAlign w:val="superscript"/>
          <w:rtl/>
        </w:rPr>
        <w:footnoteReference w:id="7370"/>
      </w:r>
      <w:r w:rsidRPr="00007309">
        <w:rPr>
          <w:rFonts w:cs="Arial"/>
          <w:b/>
          <w:bCs/>
          <w:sz w:val="24"/>
          <w:szCs w:val="24"/>
          <w:rtl/>
        </w:rPr>
        <w:t>וְאִתְּמַר בֵּהּ וְהָאָרֶץ הָיְתָה תֹהוּ וָבֹהוּ. וְרָזָא דְּמִלָּה אֵלֶּה ת</w:t>
      </w:r>
      <w:r w:rsidRPr="00007309">
        <w:rPr>
          <w:rFonts w:cs="Arial" w:hint="cs"/>
          <w:b/>
          <w:bCs/>
          <w:sz w:val="24"/>
          <w:szCs w:val="24"/>
          <w:rtl/>
        </w:rPr>
        <w:t>'</w:t>
      </w:r>
      <w:r w:rsidRPr="00007309">
        <w:rPr>
          <w:rFonts w:cs="Arial"/>
          <w:b/>
          <w:bCs/>
          <w:sz w:val="24"/>
          <w:szCs w:val="24"/>
          <w:rtl/>
        </w:rPr>
        <w:t>וֹלְדוֹת הַ</w:t>
      </w:r>
      <w:r w:rsidRPr="00007309">
        <w:rPr>
          <w:rFonts w:cs="Arial" w:hint="cs"/>
          <w:b/>
          <w:bCs/>
          <w:sz w:val="24"/>
          <w:szCs w:val="24"/>
          <w:rtl/>
        </w:rPr>
        <w:t>'</w:t>
      </w:r>
      <w:r w:rsidRPr="00007309">
        <w:rPr>
          <w:rFonts w:cs="Arial"/>
          <w:b/>
          <w:bCs/>
          <w:sz w:val="24"/>
          <w:szCs w:val="24"/>
          <w:rtl/>
        </w:rPr>
        <w:t>שָּׁמַיִם וְ</w:t>
      </w:r>
      <w:r w:rsidRPr="00007309">
        <w:rPr>
          <w:rFonts w:cs="Arial" w:hint="cs"/>
          <w:b/>
          <w:bCs/>
          <w:sz w:val="24"/>
          <w:szCs w:val="24"/>
          <w:rtl/>
        </w:rPr>
        <w:t>'</w:t>
      </w:r>
      <w:r w:rsidRPr="00007309">
        <w:rPr>
          <w:rFonts w:cs="Arial"/>
          <w:b/>
          <w:bCs/>
          <w:sz w:val="24"/>
          <w:szCs w:val="24"/>
          <w:rtl/>
        </w:rPr>
        <w:t>הָאָרֶץ בְּהִבָּרְאָם</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371"/>
      </w:r>
      <w:r w:rsidRPr="00007309">
        <w:rPr>
          <w:rFonts w:cs="Arial"/>
          <w:b/>
          <w:bCs/>
          <w:sz w:val="24"/>
          <w:szCs w:val="24"/>
          <w:rtl/>
        </w:rPr>
        <w:t>בְּה' בְּרָאָם. הֲרֵי לְךָ דַּהֲוָה לְבוּשֵׁהּ תֹּהוּ</w:t>
      </w:r>
      <w:r w:rsidRPr="00007309">
        <w:rPr>
          <w:rFonts w:cs="Arial" w:hint="cs"/>
          <w:b/>
          <w:bCs/>
          <w:sz w:val="24"/>
          <w:szCs w:val="24"/>
          <w:rtl/>
        </w:rPr>
        <w:t>,</w:t>
      </w:r>
      <w:r w:rsidRPr="00007309">
        <w:rPr>
          <w:rFonts w:cs="Arial"/>
          <w:b/>
          <w:bCs/>
          <w:sz w:val="24"/>
          <w:szCs w:val="24"/>
          <w:rtl/>
        </w:rPr>
        <w:t xml:space="preserve"> וּבְגִין דָּא כִּי לֹא הִמְטִיר ה' אֱלֹהִים וְגוֹ' (שם)</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372"/>
      </w:r>
      <w:r w:rsidRPr="00007309">
        <w:rPr>
          <w:rFonts w:cs="Arial"/>
          <w:b/>
          <w:bCs/>
          <w:sz w:val="24"/>
          <w:szCs w:val="24"/>
          <w:rtl/>
        </w:rPr>
        <w:t>לֹא הֲוָה נָחִית נְבִיעוּ עָלֵהּ</w:t>
      </w:r>
      <w:r w:rsidRPr="00007309">
        <w:rPr>
          <w:rFonts w:cs="Arial" w:hint="cs"/>
          <w:b/>
          <w:bCs/>
          <w:sz w:val="24"/>
          <w:szCs w:val="24"/>
          <w:rtl/>
        </w:rPr>
        <w:t>,</w:t>
      </w:r>
      <w:r w:rsidRPr="00007309">
        <w:rPr>
          <w:rFonts w:cs="Arial"/>
          <w:b/>
          <w:bCs/>
          <w:sz w:val="24"/>
          <w:szCs w:val="24"/>
          <w:rtl/>
        </w:rPr>
        <w:t xml:space="preserve"> בְּגִין דְּאָדָם אַיִן, </w:t>
      </w:r>
      <w:r w:rsidRPr="00007309">
        <w:rPr>
          <w:rFonts w:cs="Arial"/>
          <w:b/>
          <w:bCs/>
          <w:sz w:val="36"/>
          <w:szCs w:val="28"/>
          <w:vertAlign w:val="superscript"/>
          <w:rtl/>
        </w:rPr>
        <w:footnoteReference w:id="7373"/>
      </w:r>
      <w:r w:rsidRPr="00007309">
        <w:rPr>
          <w:rFonts w:cs="Arial"/>
          <w:b/>
          <w:bCs/>
          <w:sz w:val="24"/>
          <w:szCs w:val="24"/>
          <w:rtl/>
        </w:rPr>
        <w:t>דַּהֲוָה בַּעְלָהּ לְעֵלָּא סָתִים בְּאַיִן. עַד דְּאִתְפְּשַׁט ו' מִן יה</w:t>
      </w:r>
      <w:r w:rsidRPr="00007309">
        <w:rPr>
          <w:rFonts w:cs="Arial" w:hint="cs"/>
          <w:b/>
          <w:bCs/>
          <w:sz w:val="24"/>
          <w:szCs w:val="24"/>
          <w:rtl/>
        </w:rPr>
        <w:t>"</w:t>
      </w:r>
      <w:r w:rsidRPr="00007309">
        <w:rPr>
          <w:rFonts w:cs="Arial"/>
          <w:b/>
          <w:bCs/>
          <w:sz w:val="24"/>
          <w:szCs w:val="24"/>
          <w:rtl/>
        </w:rPr>
        <w:t xml:space="preserve">ו </w:t>
      </w:r>
      <w:r w:rsidRPr="00007309">
        <w:rPr>
          <w:rFonts w:cs="Arial"/>
          <w:b/>
          <w:bCs/>
          <w:sz w:val="36"/>
          <w:szCs w:val="28"/>
          <w:vertAlign w:val="superscript"/>
          <w:rtl/>
        </w:rPr>
        <w:footnoteReference w:id="7374"/>
      </w:r>
      <w:r w:rsidRPr="00007309">
        <w:rPr>
          <w:rFonts w:cs="Arial"/>
          <w:b/>
          <w:bCs/>
          <w:sz w:val="24"/>
          <w:szCs w:val="24"/>
          <w:rtl/>
        </w:rPr>
        <w:t xml:space="preserve">דְּאִיהוּ בִּינָה </w:t>
      </w:r>
      <w:r w:rsidRPr="00007309">
        <w:rPr>
          <w:rFonts w:cs="Arial"/>
          <w:b/>
          <w:bCs/>
          <w:sz w:val="36"/>
          <w:szCs w:val="28"/>
          <w:vertAlign w:val="superscript"/>
          <w:rtl/>
        </w:rPr>
        <w:footnoteReference w:id="7375"/>
      </w:r>
      <w:r w:rsidRPr="00007309">
        <w:rPr>
          <w:rFonts w:cs="Arial"/>
          <w:b/>
          <w:bCs/>
          <w:sz w:val="24"/>
          <w:szCs w:val="24"/>
          <w:rtl/>
        </w:rPr>
        <w:t>ם דְּאִיהִי מְקוֹרָא דִּנְבִיעוּ דְּאִיהִי נְקֻדָּה סְתִימָאָה</w:t>
      </w:r>
      <w:r w:rsidRPr="00007309">
        <w:rPr>
          <w:rFonts w:cs="Arial" w:hint="cs"/>
          <w:b/>
          <w:bCs/>
          <w:sz w:val="24"/>
          <w:szCs w:val="24"/>
          <w:rtl/>
        </w:rPr>
        <w:t>,</w:t>
      </w:r>
      <w:r w:rsidRPr="00007309">
        <w:rPr>
          <w:rFonts w:cs="Arial"/>
          <w:b/>
          <w:bCs/>
          <w:sz w:val="24"/>
          <w:szCs w:val="24"/>
          <w:rtl/>
        </w:rPr>
        <w:t xml:space="preserve"> וּמִיָּד וְהִשְׁקָה אֶת כָּל פְּנֵי הָאֲדָמָה. וְקֹדֶם דְּנַחְתַת הֲוָה קֻדְשָׁא בְּרִיךְ הוּא </w:t>
      </w:r>
      <w:r w:rsidRPr="00007309">
        <w:rPr>
          <w:rFonts w:cs="Arial"/>
          <w:b/>
          <w:bCs/>
          <w:sz w:val="36"/>
          <w:szCs w:val="28"/>
          <w:vertAlign w:val="superscript"/>
          <w:rtl/>
        </w:rPr>
        <w:footnoteReference w:id="7376"/>
      </w:r>
      <w:r w:rsidRPr="00007309">
        <w:rPr>
          <w:rFonts w:cs="Arial"/>
          <w:b/>
          <w:bCs/>
          <w:sz w:val="24"/>
          <w:szCs w:val="24"/>
          <w:rtl/>
        </w:rPr>
        <w:t>בּוֹנֶה עוֹלָמוֹת וּמַחֲרִיבָן</w:t>
      </w:r>
      <w:r w:rsidRPr="00007309">
        <w:rPr>
          <w:rFonts w:cs="Arial" w:hint="cs"/>
          <w:b/>
          <w:bCs/>
          <w:sz w:val="24"/>
          <w:szCs w:val="24"/>
          <w:rtl/>
        </w:rPr>
        <w:t>,</w:t>
      </w:r>
      <w:r w:rsidRPr="00007309">
        <w:rPr>
          <w:rFonts w:cs="Arial"/>
          <w:b/>
          <w:bCs/>
          <w:sz w:val="24"/>
          <w:szCs w:val="24"/>
          <w:rtl/>
        </w:rPr>
        <w:t xml:space="preserve"> בְּגִין דְּלָא הֲוָה נְבִיעוּ נָחִית</w:t>
      </w:r>
      <w:r w:rsidRPr="00007309">
        <w:rPr>
          <w:rFonts w:cs="Arial" w:hint="cs"/>
          <w:b/>
          <w:bCs/>
          <w:sz w:val="24"/>
          <w:szCs w:val="24"/>
          <w:rtl/>
        </w:rPr>
        <w:t>.</w:t>
      </w:r>
      <w:r w:rsidRPr="00007309">
        <w:rPr>
          <w:rFonts w:cs="Arial"/>
          <w:b/>
          <w:bCs/>
          <w:sz w:val="24"/>
          <w:szCs w:val="24"/>
          <w:rtl/>
        </w:rPr>
        <w:t xml:space="preserve"> בְּהַהוּא זִמְנָא דְּנָחַת נְבִיעוּ לְגַבֵּי ה', </w:t>
      </w:r>
      <w:r w:rsidRPr="00007309">
        <w:rPr>
          <w:rFonts w:cs="Arial"/>
          <w:b/>
          <w:bCs/>
          <w:sz w:val="36"/>
          <w:szCs w:val="28"/>
          <w:vertAlign w:val="superscript"/>
          <w:rtl/>
        </w:rPr>
        <w:footnoteReference w:id="7377"/>
      </w:r>
      <w:r w:rsidRPr="00007309">
        <w:rPr>
          <w:rFonts w:cs="Arial"/>
          <w:b/>
          <w:bCs/>
          <w:sz w:val="24"/>
          <w:szCs w:val="24"/>
          <w:rtl/>
        </w:rPr>
        <w:t>הֲוָה שִׁירוּתָא מִחֶסֶד</w:t>
      </w:r>
      <w:r w:rsidRPr="00007309">
        <w:rPr>
          <w:rFonts w:cs="Arial" w:hint="cs"/>
          <w:b/>
          <w:bCs/>
          <w:sz w:val="24"/>
          <w:szCs w:val="24"/>
          <w:rtl/>
        </w:rPr>
        <w:t>,</w:t>
      </w:r>
      <w:r w:rsidRPr="00007309">
        <w:rPr>
          <w:rFonts w:cs="Arial"/>
          <w:b/>
          <w:bCs/>
          <w:sz w:val="24"/>
          <w:szCs w:val="24"/>
          <w:rtl/>
        </w:rPr>
        <w:t xml:space="preserve"> הָדָא הוּא דִּכְתִיב </w:t>
      </w:r>
      <w:r w:rsidRPr="00007309">
        <w:rPr>
          <w:rFonts w:cs="Arial" w:hint="cs"/>
          <w:b/>
          <w:bCs/>
          <w:sz w:val="24"/>
          <w:szCs w:val="24"/>
          <w:rtl/>
        </w:rPr>
        <w:t xml:space="preserve">(תהלים פט) </w:t>
      </w:r>
      <w:r w:rsidRPr="00007309">
        <w:rPr>
          <w:rFonts w:cs="Arial"/>
          <w:b/>
          <w:bCs/>
          <w:sz w:val="24"/>
          <w:szCs w:val="24"/>
          <w:rtl/>
        </w:rPr>
        <w:t xml:space="preserve">אָמַרְתִּי עוֹלַם </w:t>
      </w:r>
      <w:r w:rsidRPr="00007309">
        <w:rPr>
          <w:rFonts w:cs="Arial"/>
          <w:b/>
          <w:bCs/>
          <w:sz w:val="36"/>
          <w:szCs w:val="28"/>
          <w:vertAlign w:val="superscript"/>
          <w:rtl/>
        </w:rPr>
        <w:footnoteReference w:id="7378"/>
      </w:r>
      <w:r w:rsidRPr="00007309">
        <w:rPr>
          <w:rFonts w:cs="Arial"/>
          <w:b/>
          <w:bCs/>
          <w:sz w:val="24"/>
          <w:szCs w:val="24"/>
          <w:rtl/>
        </w:rPr>
        <w:t xml:space="preserve">חֶסֶד יִבָּנֶה. וּבְגִין דָּא </w:t>
      </w:r>
      <w:r w:rsidRPr="00007309">
        <w:rPr>
          <w:rFonts w:cs="Arial"/>
          <w:b/>
          <w:bCs/>
          <w:sz w:val="36"/>
          <w:szCs w:val="28"/>
          <w:vertAlign w:val="superscript"/>
          <w:rtl/>
        </w:rPr>
        <w:footnoteReference w:id="7379"/>
      </w:r>
      <w:r w:rsidRPr="00007309">
        <w:rPr>
          <w:rFonts w:cs="Arial"/>
          <w:b/>
          <w:bCs/>
          <w:sz w:val="24"/>
          <w:szCs w:val="24"/>
          <w:rtl/>
        </w:rPr>
        <w:t xml:space="preserve">לֹא תֹהוּ בְּרָאָהּ לָשֶׁבֶת </w:t>
      </w:r>
      <w:r w:rsidRPr="00007309">
        <w:rPr>
          <w:rFonts w:cs="Arial"/>
          <w:b/>
          <w:bCs/>
          <w:sz w:val="36"/>
          <w:szCs w:val="28"/>
          <w:vertAlign w:val="superscript"/>
          <w:rtl/>
        </w:rPr>
        <w:footnoteReference w:id="7380"/>
      </w:r>
      <w:r w:rsidRPr="00007309">
        <w:rPr>
          <w:rFonts w:cs="Arial"/>
          <w:b/>
          <w:bCs/>
          <w:sz w:val="24"/>
          <w:szCs w:val="24"/>
          <w:rtl/>
        </w:rPr>
        <w:t>יְצָרָהּ, וְאִתְּמַר בָּהּ (נ"א ב</w:t>
      </w:r>
      <w:r w:rsidRPr="00007309">
        <w:rPr>
          <w:rFonts w:cs="Arial" w:hint="cs"/>
          <w:b/>
          <w:bCs/>
          <w:sz w:val="24"/>
          <w:szCs w:val="24"/>
          <w:rtl/>
        </w:rPr>
        <w:t>י</w:t>
      </w:r>
      <w:r w:rsidRPr="00007309">
        <w:rPr>
          <w:rFonts w:cs="Arial"/>
          <w:b/>
          <w:bCs/>
          <w:sz w:val="24"/>
          <w:szCs w:val="24"/>
          <w:rtl/>
        </w:rPr>
        <w:t xml:space="preserve">ה) </w:t>
      </w:r>
      <w:r w:rsidRPr="00007309">
        <w:rPr>
          <w:rFonts w:cs="Arial"/>
          <w:b/>
          <w:bCs/>
          <w:sz w:val="36"/>
          <w:szCs w:val="28"/>
          <w:vertAlign w:val="superscript"/>
          <w:rtl/>
        </w:rPr>
        <w:footnoteReference w:id="7381"/>
      </w:r>
      <w:r w:rsidRPr="00007309">
        <w:rPr>
          <w:rFonts w:cs="Arial"/>
          <w:b/>
          <w:bCs/>
          <w:sz w:val="24"/>
          <w:szCs w:val="24"/>
          <w:rtl/>
        </w:rPr>
        <w:t>לֹא טוֹב הֱיוֹת הָאָדָם לְבַדּוֹ. וּבְזִמְנָא דַּהֲוָה תֹּהוּ</w:t>
      </w:r>
      <w:r w:rsidRPr="00007309">
        <w:rPr>
          <w:rFonts w:cs="Arial" w:hint="cs"/>
          <w:b/>
          <w:bCs/>
          <w:sz w:val="24"/>
          <w:szCs w:val="24"/>
          <w:rtl/>
        </w:rPr>
        <w:t>,</w:t>
      </w:r>
      <w:r w:rsidRPr="00007309">
        <w:rPr>
          <w:rFonts w:cs="Arial"/>
          <w:b/>
          <w:bCs/>
          <w:sz w:val="24"/>
          <w:szCs w:val="24"/>
          <w:rtl/>
        </w:rPr>
        <w:t xml:space="preserve"> אָמַר אֱלֹהִים לְנֹחַ קֵץ כָּל בָּשָׂר בָּא לְפָנַי</w:t>
      </w:r>
      <w:r w:rsidRPr="00007309">
        <w:rPr>
          <w:rFonts w:cs="Arial" w:hint="cs"/>
          <w:b/>
          <w:bCs/>
          <w:sz w:val="24"/>
          <w:szCs w:val="24"/>
          <w:rtl/>
        </w:rPr>
        <w:t>,</w:t>
      </w:r>
      <w:r w:rsidRPr="00007309">
        <w:rPr>
          <w:rFonts w:cs="Arial"/>
          <w:b/>
          <w:bCs/>
          <w:sz w:val="24"/>
          <w:szCs w:val="24"/>
          <w:rtl/>
        </w:rPr>
        <w:t xml:space="preserve"> וְדָא </w:t>
      </w:r>
      <w:r w:rsidRPr="00007309">
        <w:rPr>
          <w:rFonts w:cs="Arial"/>
          <w:b/>
          <w:bCs/>
          <w:sz w:val="36"/>
          <w:szCs w:val="28"/>
          <w:vertAlign w:val="superscript"/>
          <w:rtl/>
        </w:rPr>
        <w:footnoteReference w:id="7382"/>
      </w:r>
      <w:r w:rsidRPr="00007309">
        <w:rPr>
          <w:rFonts w:cs="Arial"/>
          <w:b/>
          <w:bCs/>
          <w:sz w:val="24"/>
          <w:szCs w:val="24"/>
          <w:rtl/>
        </w:rPr>
        <w:t xml:space="preserve">קֵץ דְּיִצְחָק דאִתְּמַר בֵּהּ כִּי אוֹתְךָ </w:t>
      </w:r>
      <w:r w:rsidRPr="00007309">
        <w:rPr>
          <w:rFonts w:cs="Arial"/>
          <w:b/>
          <w:bCs/>
          <w:sz w:val="36"/>
          <w:szCs w:val="28"/>
          <w:vertAlign w:val="superscript"/>
          <w:rtl/>
        </w:rPr>
        <w:footnoteReference w:id="7383"/>
      </w:r>
      <w:r w:rsidRPr="00007309">
        <w:rPr>
          <w:rFonts w:cs="Arial"/>
          <w:b/>
          <w:bCs/>
          <w:sz w:val="24"/>
          <w:szCs w:val="24"/>
          <w:rtl/>
        </w:rPr>
        <w:t>רָאִיתִי צַדִּיק לְפָנַי בַּדּוֹר הַזֶּה (שם)</w:t>
      </w:r>
      <w:r w:rsidRPr="00007309">
        <w:rPr>
          <w:rFonts w:cs="Arial" w:hint="cs"/>
          <w:b/>
          <w:bCs/>
          <w:sz w:val="24"/>
          <w:szCs w:val="24"/>
          <w:rtl/>
        </w:rPr>
        <w:t xml:space="preserve">, </w:t>
      </w:r>
      <w:r w:rsidRPr="00007309">
        <w:rPr>
          <w:rFonts w:cs="Arial"/>
          <w:b/>
          <w:bCs/>
          <w:sz w:val="36"/>
          <w:szCs w:val="28"/>
          <w:vertAlign w:val="superscript"/>
          <w:rtl/>
        </w:rPr>
        <w:footnoteReference w:id="7384"/>
      </w:r>
      <w:r w:rsidRPr="00007309">
        <w:rPr>
          <w:rFonts w:cs="Arial"/>
          <w:b/>
          <w:bCs/>
          <w:sz w:val="24"/>
          <w:szCs w:val="24"/>
          <w:rtl/>
        </w:rPr>
        <w:t>דְּאִי אַנְתְּ בָּעֵי רַחֲמֵי עָלַיְהוּ</w:t>
      </w:r>
      <w:r w:rsidRPr="00007309">
        <w:rPr>
          <w:rFonts w:cs="Arial" w:hint="cs"/>
          <w:b/>
          <w:bCs/>
          <w:sz w:val="24"/>
          <w:szCs w:val="24"/>
          <w:rtl/>
        </w:rPr>
        <w:t xml:space="preserve"> לא אתחרבו, </w:t>
      </w:r>
      <w:r w:rsidRPr="00007309">
        <w:rPr>
          <w:rFonts w:cs="Arial"/>
          <w:b/>
          <w:bCs/>
          <w:sz w:val="36"/>
          <w:szCs w:val="28"/>
          <w:vertAlign w:val="superscript"/>
          <w:rtl/>
        </w:rPr>
        <w:footnoteReference w:id="7385"/>
      </w:r>
      <w:r w:rsidRPr="00007309">
        <w:rPr>
          <w:rFonts w:cs="Arial" w:hint="cs"/>
          <w:b/>
          <w:bCs/>
          <w:sz w:val="24"/>
          <w:szCs w:val="24"/>
          <w:rtl/>
        </w:rPr>
        <w:t>והכי אחזי ליה ברמז, בסוף יומיא, בגין דיהא בעי רחמי עלייהו</w:t>
      </w:r>
      <w:r w:rsidRPr="00007309">
        <w:rPr>
          <w:rFonts w:cs="Arial"/>
          <w:b/>
          <w:bCs/>
          <w:sz w:val="24"/>
          <w:szCs w:val="24"/>
          <w:rtl/>
        </w:rPr>
        <w:t xml:space="preserve"> וְלֹא יָמוּת מָשִׁיחַ דְּאִיהוּ מִסִּטְרָא דִּשְׂמָאלָא. אָמַר לֵהּ </w:t>
      </w:r>
      <w:r w:rsidRPr="00007309">
        <w:rPr>
          <w:rFonts w:cs="Arial"/>
          <w:b/>
          <w:bCs/>
          <w:sz w:val="36"/>
          <w:szCs w:val="28"/>
          <w:vertAlign w:val="superscript"/>
          <w:rtl/>
        </w:rPr>
        <w:footnoteReference w:id="7386"/>
      </w:r>
      <w:r w:rsidRPr="00007309">
        <w:rPr>
          <w:rFonts w:cs="Arial"/>
          <w:b/>
          <w:bCs/>
          <w:sz w:val="24"/>
          <w:szCs w:val="24"/>
          <w:rtl/>
        </w:rPr>
        <w:t>וְהָא בּוֹנֶה עוֹלָמוֹת וּמַחֲרִיבָן קֹדֶם דְּאִתְבָּרֵי עָלְמָא</w:t>
      </w:r>
      <w:r w:rsidRPr="00007309">
        <w:rPr>
          <w:rFonts w:cs="Arial" w:hint="cs"/>
          <w:b/>
          <w:bCs/>
          <w:sz w:val="24"/>
          <w:szCs w:val="24"/>
          <w:rtl/>
        </w:rPr>
        <w:t>,</w:t>
      </w:r>
      <w:r w:rsidRPr="00007309">
        <w:rPr>
          <w:rFonts w:cs="Arial"/>
          <w:b/>
          <w:bCs/>
          <w:sz w:val="24"/>
          <w:szCs w:val="24"/>
          <w:rtl/>
        </w:rPr>
        <w:t xml:space="preserve"> אֶלָּא </w:t>
      </w:r>
      <w:r w:rsidRPr="00007309">
        <w:rPr>
          <w:rFonts w:cs="Arial" w:hint="cs"/>
          <w:b/>
          <w:bCs/>
          <w:sz w:val="24"/>
          <w:szCs w:val="24"/>
          <w:rtl/>
        </w:rPr>
        <w:t xml:space="preserve">(ישעיהו מו י) </w:t>
      </w:r>
      <w:r w:rsidRPr="00007309">
        <w:rPr>
          <w:rFonts w:cs="Arial"/>
          <w:b/>
          <w:bCs/>
          <w:sz w:val="24"/>
          <w:szCs w:val="24"/>
          <w:rtl/>
        </w:rPr>
        <w:t>מַגִּיד מֵרֵאשִׁית אַחֲרִית</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387"/>
      </w:r>
      <w:r w:rsidRPr="00007309">
        <w:rPr>
          <w:rFonts w:cs="Arial"/>
          <w:b/>
          <w:bCs/>
          <w:sz w:val="24"/>
          <w:szCs w:val="24"/>
          <w:rtl/>
        </w:rPr>
        <w:t>דְּקוּדְשָׁא בְּרִיךְ הוּא חָזָא בְּמַחֲשַׁבְתֵּהּ כָּל דָּרִין דַּהֲוָה בּוֹנֶה</w:t>
      </w:r>
      <w:r w:rsidRPr="00007309">
        <w:rPr>
          <w:rFonts w:cs="Arial" w:hint="cs"/>
          <w:b/>
          <w:bCs/>
          <w:sz w:val="24"/>
          <w:szCs w:val="24"/>
          <w:rtl/>
        </w:rPr>
        <w:t>,</w:t>
      </w:r>
      <w:r w:rsidRPr="00007309">
        <w:rPr>
          <w:rFonts w:cs="Arial"/>
          <w:b/>
          <w:bCs/>
          <w:sz w:val="24"/>
          <w:szCs w:val="24"/>
          <w:rtl/>
        </w:rPr>
        <w:t xml:space="preserve"> וְאִתְחְרִיבוּ קֹדֶם דְּאִתְבְּרִיאוּ. חָזָא דַּהֲוָה עָבְדִין עוֹבָדִין דְּאִתְחֲרִיבוּ</w:t>
      </w:r>
      <w:r w:rsidRPr="00007309">
        <w:rPr>
          <w:rFonts w:cs="Arial" w:hint="cs"/>
          <w:b/>
          <w:bCs/>
          <w:sz w:val="24"/>
          <w:szCs w:val="24"/>
          <w:rtl/>
        </w:rPr>
        <w:t>,</w:t>
      </w:r>
      <w:r w:rsidRPr="00007309">
        <w:rPr>
          <w:rFonts w:cs="Arial"/>
          <w:b/>
          <w:bCs/>
          <w:sz w:val="24"/>
          <w:szCs w:val="24"/>
          <w:rtl/>
        </w:rPr>
        <w:t xml:space="preserve"> וְכֵיוָן דְּבָרָא וּמָנַע</w:t>
      </w:r>
      <w:r w:rsidRPr="00007309">
        <w:rPr>
          <w:rFonts w:cs="Arial"/>
          <w:b/>
          <w:bCs/>
          <w:sz w:val="24"/>
          <w:szCs w:val="24"/>
        </w:rPr>
        <w:t xml:space="preserve"> </w:t>
      </w:r>
      <w:r w:rsidRPr="00007309">
        <w:rPr>
          <w:rFonts w:cs="Arial"/>
          <w:b/>
          <w:bCs/>
          <w:sz w:val="24"/>
          <w:szCs w:val="24"/>
          <w:rtl/>
        </w:rPr>
        <w:t xml:space="preserve">בִּרְכָּאן מִנַּיְהוּ, לוֹן חָשִׁיב כְּאִלּוּ הוּא חָרִיב לוֹן. </w:t>
      </w:r>
      <w:r w:rsidRPr="00007309">
        <w:rPr>
          <w:rFonts w:cs="Arial"/>
          <w:b/>
          <w:bCs/>
          <w:sz w:val="36"/>
          <w:szCs w:val="28"/>
          <w:vertAlign w:val="superscript"/>
          <w:rtl/>
        </w:rPr>
        <w:footnoteReference w:id="7388"/>
      </w:r>
      <w:r w:rsidRPr="00007309">
        <w:rPr>
          <w:rFonts w:cs="Arial"/>
          <w:b/>
          <w:bCs/>
          <w:sz w:val="24"/>
          <w:szCs w:val="24"/>
          <w:rtl/>
        </w:rPr>
        <w:t>וְדָא מְמַלֵּל עַל סוֹף יוֹמִין</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389"/>
      </w:r>
      <w:r w:rsidRPr="00007309">
        <w:rPr>
          <w:rFonts w:cs="Arial"/>
          <w:b/>
          <w:bCs/>
          <w:sz w:val="24"/>
          <w:szCs w:val="24"/>
          <w:rtl/>
        </w:rPr>
        <w:t xml:space="preserve">דְּאִלֵּין תּוֹלְדִין בִּישִׁין הֲווֹ גַּרְמִין </w:t>
      </w:r>
      <w:r w:rsidRPr="00007309">
        <w:rPr>
          <w:rFonts w:cs="Arial"/>
          <w:b/>
          <w:bCs/>
          <w:sz w:val="36"/>
          <w:szCs w:val="28"/>
          <w:vertAlign w:val="superscript"/>
          <w:rtl/>
        </w:rPr>
        <w:footnoteReference w:id="7390"/>
      </w:r>
      <w:r w:rsidRPr="00007309">
        <w:rPr>
          <w:rFonts w:cs="Arial"/>
          <w:b/>
          <w:bCs/>
          <w:sz w:val="24"/>
          <w:szCs w:val="24"/>
          <w:rtl/>
        </w:rPr>
        <w:t>דְּנָהָר יֶחֱרַב וְיָבֵשׁ נְבִיעוּ דִּילֵהּ בִּתְרֵין עָלְמִין</w:t>
      </w:r>
      <w:r w:rsidRPr="00007309">
        <w:rPr>
          <w:rFonts w:cs="Arial" w:hint="cs"/>
          <w:b/>
          <w:bCs/>
          <w:sz w:val="24"/>
          <w:szCs w:val="24"/>
          <w:rtl/>
        </w:rPr>
        <w:t>,</w:t>
      </w:r>
      <w:r w:rsidRPr="00007309">
        <w:rPr>
          <w:rFonts w:cs="Arial"/>
          <w:b/>
          <w:bCs/>
          <w:sz w:val="24"/>
          <w:szCs w:val="24"/>
          <w:rtl/>
        </w:rPr>
        <w:t xml:space="preserve"> שְׁכִינָה עִלָּאָה וּשְׁכִינָה תַּתָּאָה. וְדָא אִיהוּ יֶחֱרַב בְּבַיִת רִאשׁוֹן, וְיָבֵשׁ בְּבַיִת שֵׁנִי. </w:t>
      </w:r>
      <w:r w:rsidRPr="00007309">
        <w:rPr>
          <w:rFonts w:cs="Arial"/>
          <w:b/>
          <w:bCs/>
          <w:sz w:val="36"/>
          <w:szCs w:val="28"/>
          <w:vertAlign w:val="superscript"/>
          <w:rtl/>
        </w:rPr>
        <w:footnoteReference w:id="7391"/>
      </w:r>
      <w:r w:rsidRPr="00007309">
        <w:rPr>
          <w:rFonts w:cs="Arial"/>
          <w:b/>
          <w:bCs/>
          <w:sz w:val="24"/>
          <w:szCs w:val="24"/>
          <w:rtl/>
        </w:rPr>
        <w:t>וּלְנֹחַ אִתְגַּלְּיָא מַה דַּהֲוָה עָתִיד לְמֶהֱוֵי, וְלָא בָּעָא רַחֲמֵי עָלֵהוּ</w:t>
      </w:r>
      <w:r w:rsidRPr="00007309">
        <w:rPr>
          <w:rFonts w:cs="Arial" w:hint="cs"/>
          <w:b/>
          <w:bCs/>
          <w:sz w:val="24"/>
          <w:szCs w:val="24"/>
          <w:rtl/>
        </w:rPr>
        <w:t>,</w:t>
      </w:r>
      <w:r w:rsidRPr="00007309">
        <w:rPr>
          <w:rFonts w:cs="Arial"/>
          <w:b/>
          <w:bCs/>
          <w:sz w:val="24"/>
          <w:szCs w:val="24"/>
          <w:rtl/>
        </w:rPr>
        <w:t xml:space="preserve"> עַד דְּאָתָא מֹשֶׁה וּבָעָא רַחֲמֵי. </w:t>
      </w:r>
      <w:r w:rsidRPr="00007309">
        <w:rPr>
          <w:rFonts w:cs="Arial"/>
          <w:b/>
          <w:bCs/>
          <w:sz w:val="36"/>
          <w:szCs w:val="28"/>
          <w:vertAlign w:val="superscript"/>
          <w:rtl/>
        </w:rPr>
        <w:footnoteReference w:id="7392"/>
      </w:r>
      <w:r w:rsidRPr="00007309">
        <w:rPr>
          <w:rFonts w:cs="Arial"/>
          <w:b/>
          <w:bCs/>
          <w:sz w:val="24"/>
          <w:szCs w:val="24"/>
          <w:rtl/>
        </w:rPr>
        <w:t>וַעֲתִידִין הֲווֹ יִשְׂרָאֵל דְּלָא יִפְקוּן אֶלָּא חַד מֵעִיר וּשְׁנַיִם מִמִּשְׁפָּחָה, מִסִּטְרָא דִּגְבוּרָה דְּהוּא דִין</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393"/>
      </w:r>
      <w:r w:rsidRPr="00007309">
        <w:rPr>
          <w:rFonts w:cs="Arial"/>
          <w:b/>
          <w:bCs/>
          <w:sz w:val="24"/>
          <w:szCs w:val="24"/>
          <w:rtl/>
        </w:rPr>
        <w:t>וְאִתְחֲזַר עָלְמָא לְתֹהוּ וָבֹהוּ. וּבְגִין דְּבָעָא מֹשֶׁה רַחֲמִין עָלַיְהוּ</w:t>
      </w:r>
      <w:r w:rsidRPr="00007309">
        <w:rPr>
          <w:rFonts w:cs="Arial" w:hint="cs"/>
          <w:b/>
          <w:bCs/>
          <w:sz w:val="24"/>
          <w:szCs w:val="24"/>
          <w:rtl/>
        </w:rPr>
        <w:t>,</w:t>
      </w:r>
      <w:r w:rsidRPr="00007309">
        <w:rPr>
          <w:rFonts w:cs="Arial"/>
          <w:b/>
          <w:bCs/>
          <w:sz w:val="24"/>
          <w:szCs w:val="24"/>
          <w:rtl/>
        </w:rPr>
        <w:t xml:space="preserve"> שְׂמֹאל דּוֹחָה וְלָא יִפְקוּן בֵּהּ יִשְׂרָאֵל</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394"/>
      </w:r>
      <w:r w:rsidRPr="00007309">
        <w:rPr>
          <w:rFonts w:cs="Arial"/>
          <w:b/>
          <w:bCs/>
          <w:sz w:val="24"/>
          <w:szCs w:val="24"/>
          <w:rtl/>
        </w:rPr>
        <w:t>וְיָמִין מְקָרֶבֶת דְּאִיהוּ יְמִינָא</w:t>
      </w:r>
      <w:r w:rsidRPr="00007309">
        <w:rPr>
          <w:rFonts w:cs="Arial" w:hint="cs"/>
          <w:b/>
          <w:bCs/>
          <w:sz w:val="24"/>
          <w:szCs w:val="24"/>
          <w:rtl/>
        </w:rPr>
        <w:t>,</w:t>
      </w:r>
      <w:r w:rsidRPr="00007309">
        <w:rPr>
          <w:rFonts w:cs="Arial"/>
          <w:b/>
          <w:bCs/>
          <w:sz w:val="24"/>
          <w:szCs w:val="24"/>
          <w:rtl/>
        </w:rPr>
        <w:t xml:space="preserve"> מַטֶה כְּלַפֵּי חֶסֶד. וּמֹשֶׁה בְּגִין דְּיָהִיב גַּרְמֵהּ עָלַיְהוּ, יְהַב תֻּקְפָא לְדַרְגֵּהּ </w:t>
      </w:r>
      <w:r w:rsidRPr="00007309">
        <w:rPr>
          <w:rFonts w:cs="Arial"/>
          <w:b/>
          <w:bCs/>
          <w:sz w:val="36"/>
          <w:szCs w:val="28"/>
          <w:vertAlign w:val="superscript"/>
          <w:rtl/>
        </w:rPr>
        <w:footnoteReference w:id="7395"/>
      </w:r>
      <w:r w:rsidRPr="00007309">
        <w:rPr>
          <w:rFonts w:cs="Arial"/>
          <w:b/>
          <w:bCs/>
          <w:sz w:val="24"/>
          <w:szCs w:val="24"/>
          <w:rtl/>
        </w:rPr>
        <w:t>דְּאִיהוּ עַמּוּדָא דְּאֶמְצָעִיתָא, דְּאִיהִי אוֹרַיְתָא דְּאִתְיְהִיבַת בִּימִינָא</w:t>
      </w:r>
      <w:r w:rsidRPr="00007309">
        <w:rPr>
          <w:rFonts w:cs="Arial" w:hint="cs"/>
          <w:b/>
          <w:bCs/>
          <w:sz w:val="24"/>
          <w:szCs w:val="24"/>
          <w:rtl/>
        </w:rPr>
        <w:t>,</w:t>
      </w:r>
      <w:r w:rsidRPr="00007309">
        <w:rPr>
          <w:rFonts w:cs="Arial"/>
          <w:b/>
          <w:bCs/>
          <w:sz w:val="24"/>
          <w:szCs w:val="24"/>
          <w:rtl/>
        </w:rPr>
        <w:t xml:space="preserve"> הָדָא הוּא דִּכְתִיב (דברים לב) מִימִינוֹ אֵשׁ דָּת לָמוֹ</w:t>
      </w:r>
      <w:r w:rsidRPr="00007309">
        <w:rPr>
          <w:rFonts w:cs="Arial" w:hint="cs"/>
          <w:b/>
          <w:bCs/>
          <w:sz w:val="24"/>
          <w:szCs w:val="24"/>
          <w:rtl/>
        </w:rPr>
        <w:t>,</w:t>
      </w:r>
      <w:r w:rsidRPr="00007309">
        <w:rPr>
          <w:rFonts w:cs="Arial"/>
          <w:b/>
          <w:bCs/>
          <w:sz w:val="24"/>
          <w:szCs w:val="24"/>
          <w:rtl/>
        </w:rPr>
        <w:t xml:space="preserve"> וּבְגִין דָּא פֻּרְקָנָא בֵּהּ תַּלְיָא</w:t>
      </w:r>
      <w:r w:rsidRPr="00007309">
        <w:rPr>
          <w:rFonts w:cs="Arial" w:hint="cs"/>
          <w:b/>
          <w:bCs/>
          <w:sz w:val="24"/>
          <w:szCs w:val="24"/>
          <w:rtl/>
        </w:rPr>
        <w:t>,</w:t>
      </w:r>
      <w:r w:rsidRPr="00007309">
        <w:rPr>
          <w:rFonts w:cs="Arial"/>
          <w:b/>
          <w:bCs/>
          <w:sz w:val="24"/>
          <w:szCs w:val="24"/>
          <w:rtl/>
        </w:rPr>
        <w:t xml:space="preserve"> הָדָא הוּא</w:t>
      </w:r>
      <w:r w:rsidRPr="00007309">
        <w:rPr>
          <w:rFonts w:cs="Arial"/>
          <w:b/>
          <w:bCs/>
          <w:sz w:val="24"/>
          <w:szCs w:val="24"/>
        </w:rPr>
        <w:t xml:space="preserve"> </w:t>
      </w:r>
      <w:r w:rsidRPr="00007309">
        <w:rPr>
          <w:rFonts w:cs="Arial"/>
          <w:b/>
          <w:bCs/>
          <w:sz w:val="24"/>
          <w:szCs w:val="24"/>
          <w:rtl/>
        </w:rPr>
        <w:t xml:space="preserve">דִּכְתִיב </w:t>
      </w:r>
      <w:r w:rsidRPr="00007309">
        <w:rPr>
          <w:rFonts w:cs="Arial" w:hint="cs"/>
          <w:b/>
          <w:bCs/>
          <w:sz w:val="24"/>
          <w:szCs w:val="24"/>
          <w:rtl/>
        </w:rPr>
        <w:t xml:space="preserve">(בראשית מט) </w:t>
      </w:r>
      <w:r w:rsidRPr="00007309">
        <w:rPr>
          <w:rFonts w:cs="Arial"/>
          <w:b/>
          <w:bCs/>
          <w:sz w:val="24"/>
          <w:szCs w:val="24"/>
          <w:rtl/>
        </w:rPr>
        <w:t xml:space="preserve">לֹא יָסוּר שֵׁבֶט מִיהוּדָה וְגוֹ'. </w:t>
      </w:r>
      <w:r w:rsidRPr="00007309">
        <w:rPr>
          <w:rFonts w:cs="Arial"/>
          <w:b/>
          <w:bCs/>
          <w:sz w:val="36"/>
          <w:szCs w:val="28"/>
          <w:vertAlign w:val="superscript"/>
          <w:rtl/>
        </w:rPr>
        <w:footnoteReference w:id="7396"/>
      </w:r>
      <w:r w:rsidRPr="00007309">
        <w:rPr>
          <w:rFonts w:cs="Arial"/>
          <w:b/>
          <w:bCs/>
          <w:sz w:val="24"/>
          <w:szCs w:val="24"/>
          <w:rtl/>
        </w:rPr>
        <w:t>עַד כִּי יָבֹ'א שִׁילֹ'ה, דְּאִיהוּ מֹשֶׁה בְּחֻשְׁבָּנֵהּ</w:t>
      </w:r>
      <w:r w:rsidRPr="00007309">
        <w:rPr>
          <w:rFonts w:cs="Arial" w:hint="cs"/>
          <w:b/>
          <w:bCs/>
          <w:sz w:val="24"/>
          <w:szCs w:val="24"/>
          <w:rtl/>
        </w:rPr>
        <w:t>.</w:t>
      </w:r>
    </w:p>
    <w:p w:rsidR="00007309" w:rsidRPr="00007309" w:rsidRDefault="00007309" w:rsidP="00007309">
      <w:pPr>
        <w:keepNext/>
        <w:spacing w:before="240" w:after="60"/>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[וילנא כז ע"ב]</w:t>
      </w:r>
    </w:p>
    <w:p w:rsidR="00007309" w:rsidRPr="00007309" w:rsidRDefault="00007309" w:rsidP="00007309">
      <w:pPr>
        <w:jc w:val="both"/>
        <w:rPr>
          <w:rFonts w:cs="Arial"/>
          <w:b/>
          <w:bCs/>
          <w:sz w:val="24"/>
          <w:szCs w:val="24"/>
          <w:rtl/>
        </w:rPr>
      </w:pPr>
      <w:r w:rsidRPr="00007309">
        <w:rPr>
          <w:rFonts w:cs="Arial"/>
          <w:b/>
          <w:bCs/>
          <w:sz w:val="24"/>
          <w:szCs w:val="24"/>
          <w:rtl/>
        </w:rPr>
        <w:t>יְסוֹד צַדִּיק</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397"/>
      </w:r>
      <w:r w:rsidRPr="00007309">
        <w:rPr>
          <w:rFonts w:cs="Arial"/>
          <w:b/>
          <w:bCs/>
          <w:sz w:val="24"/>
          <w:szCs w:val="24"/>
          <w:rtl/>
        </w:rPr>
        <w:t xml:space="preserve">בֵּהּ ס"ו </w:t>
      </w:r>
      <w:r w:rsidRPr="00007309">
        <w:rPr>
          <w:rFonts w:cs="Arial"/>
          <w:b/>
          <w:bCs/>
          <w:sz w:val="36"/>
          <w:szCs w:val="28"/>
          <w:vertAlign w:val="superscript"/>
          <w:rtl/>
        </w:rPr>
        <w:footnoteReference w:id="7398"/>
      </w:r>
      <w:r w:rsidRPr="00007309">
        <w:rPr>
          <w:rFonts w:cs="Arial"/>
          <w:b/>
          <w:bCs/>
          <w:sz w:val="24"/>
          <w:szCs w:val="24"/>
          <w:rtl/>
        </w:rPr>
        <w:t xml:space="preserve">תְּהֵא דּוֹחָה. </w:t>
      </w:r>
      <w:r w:rsidRPr="00007309">
        <w:rPr>
          <w:rFonts w:cs="Arial"/>
          <w:b/>
          <w:bCs/>
          <w:sz w:val="36"/>
          <w:szCs w:val="28"/>
          <w:vertAlign w:val="superscript"/>
          <w:rtl/>
        </w:rPr>
        <w:footnoteReference w:id="7399"/>
      </w:r>
      <w:r w:rsidRPr="00007309">
        <w:rPr>
          <w:rFonts w:cs="Arial"/>
          <w:b/>
          <w:bCs/>
          <w:sz w:val="24"/>
          <w:szCs w:val="24"/>
          <w:rtl/>
        </w:rPr>
        <w:t>אַף עַל גַּב דְּאוֹקִימְנָא בֵּהּ כָּל הַנֶּפֶשׁ הַבָּאָה לְיַעֲקֹב מִצְרַיְמָה שִׁשִּׁים וָשֵׁשׁ</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400"/>
      </w:r>
      <w:r w:rsidRPr="00007309">
        <w:rPr>
          <w:rFonts w:cs="Arial"/>
          <w:b/>
          <w:bCs/>
          <w:sz w:val="24"/>
          <w:szCs w:val="24"/>
          <w:rtl/>
        </w:rPr>
        <w:t>בְּגִין דְּאִתְקַשְּׁרָא בִּשְׂמָאלָא</w:t>
      </w:r>
      <w:r w:rsidRPr="00007309">
        <w:rPr>
          <w:rFonts w:cs="Arial" w:hint="cs"/>
          <w:b/>
          <w:bCs/>
          <w:sz w:val="24"/>
          <w:szCs w:val="24"/>
          <w:rtl/>
        </w:rPr>
        <w:t>.</w:t>
      </w:r>
      <w:r w:rsidRPr="00007309">
        <w:rPr>
          <w:rFonts w:cs="Arial"/>
          <w:b/>
          <w:bCs/>
          <w:sz w:val="24"/>
          <w:szCs w:val="24"/>
          <w:rtl/>
        </w:rPr>
        <w:t xml:space="preserve"> וְיָמִין מְקָרֶבֶת</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401"/>
      </w:r>
      <w:r w:rsidRPr="00007309">
        <w:rPr>
          <w:rFonts w:cs="Arial"/>
          <w:b/>
          <w:bCs/>
          <w:sz w:val="24"/>
          <w:szCs w:val="24"/>
          <w:rtl/>
        </w:rPr>
        <w:t>בְּגִין דְּתַלְיָא מִנֵּהּ עַמּוּדָא דְּאֶמְצָעִיתָא</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402"/>
      </w:r>
      <w:r w:rsidRPr="00007309">
        <w:rPr>
          <w:rFonts w:cs="Arial"/>
          <w:b/>
          <w:bCs/>
          <w:sz w:val="24"/>
          <w:szCs w:val="24"/>
          <w:rtl/>
        </w:rPr>
        <w:t>דס"ו אִנּוּן שִׁתִּין מַסֶּכְתּוֹת וְשִׁית סִדְרֵי מִשְׁנָה דְּאִתְיְהִיבוּ מִגְּבוּרָה</w:t>
      </w:r>
      <w:r w:rsidRPr="00007309">
        <w:rPr>
          <w:rFonts w:cs="Arial" w:hint="cs"/>
          <w:b/>
          <w:bCs/>
          <w:sz w:val="24"/>
          <w:szCs w:val="24"/>
          <w:rtl/>
        </w:rPr>
        <w:t>,</w:t>
      </w:r>
      <w:r w:rsidRPr="00007309">
        <w:rPr>
          <w:rFonts w:cs="Arial"/>
          <w:b/>
          <w:bCs/>
          <w:sz w:val="24"/>
          <w:szCs w:val="24"/>
          <w:rtl/>
        </w:rPr>
        <w:t xml:space="preserve"> דְּאִיהוּ שְׂמָאלָא</w:t>
      </w:r>
      <w:r w:rsidRPr="00007309">
        <w:rPr>
          <w:rFonts w:cs="Arial" w:hint="cs"/>
          <w:b/>
          <w:bCs/>
          <w:sz w:val="24"/>
          <w:szCs w:val="24"/>
          <w:rtl/>
        </w:rPr>
        <w:t>,</w:t>
      </w:r>
      <w:r w:rsidRPr="00007309">
        <w:rPr>
          <w:rFonts w:cs="Arial"/>
          <w:b/>
          <w:bCs/>
          <w:sz w:val="24"/>
          <w:szCs w:val="24"/>
          <w:rtl/>
        </w:rPr>
        <w:t xml:space="preserve"> שִׁשִּׁים גִּבּוֹרִים אִתְקְרִיאוּ</w:t>
      </w:r>
      <w:r w:rsidRPr="00007309">
        <w:rPr>
          <w:rFonts w:cs="Arial" w:hint="cs"/>
          <w:b/>
          <w:bCs/>
          <w:sz w:val="24"/>
          <w:szCs w:val="24"/>
          <w:rtl/>
        </w:rPr>
        <w:t>,</w:t>
      </w:r>
      <w:r w:rsidRPr="00007309">
        <w:rPr>
          <w:rFonts w:cs="Arial"/>
          <w:b/>
          <w:bCs/>
          <w:sz w:val="24"/>
          <w:szCs w:val="24"/>
          <w:rtl/>
        </w:rPr>
        <w:t xml:space="preserve"> דְּנָטְלִין מִגְּבוּרָה דְּתַמָּן</w:t>
      </w:r>
      <w:r w:rsidRPr="00007309">
        <w:rPr>
          <w:rFonts w:cs="Arial"/>
          <w:b/>
          <w:bCs/>
          <w:sz w:val="24"/>
          <w:szCs w:val="28"/>
        </w:rPr>
        <w:t xml:space="preserve"> </w:t>
      </w:r>
      <w:r w:rsidRPr="00007309">
        <w:rPr>
          <w:rFonts w:cs="Arial"/>
          <w:b/>
          <w:bCs/>
          <w:sz w:val="24"/>
          <w:szCs w:val="24"/>
          <w:rtl/>
        </w:rPr>
        <w:t>אוֹרַיְתָא דִּבְעַל פֶּה דְּאִיהִי שְׁכִינְתָּא תַּתָּאָה</w:t>
      </w:r>
      <w:r w:rsidRPr="00007309">
        <w:rPr>
          <w:rFonts w:cs="Arial" w:hint="cs"/>
          <w:b/>
          <w:bCs/>
          <w:sz w:val="24"/>
          <w:szCs w:val="24"/>
          <w:rtl/>
        </w:rPr>
        <w:t>,</w:t>
      </w:r>
      <w:r w:rsidRPr="00007309">
        <w:rPr>
          <w:rFonts w:cs="Arial"/>
          <w:b/>
          <w:bCs/>
          <w:sz w:val="24"/>
          <w:szCs w:val="24"/>
          <w:rtl/>
        </w:rPr>
        <w:t xml:space="preserve"> כְּלָלָא דס' מַסֶּכְתּוֹת וְשִׁית סִדְרֵי מִשְׁנָה. </w:t>
      </w:r>
      <w:r w:rsidRPr="00007309">
        <w:rPr>
          <w:rFonts w:cs="Arial"/>
          <w:b/>
          <w:bCs/>
          <w:sz w:val="36"/>
          <w:szCs w:val="28"/>
          <w:vertAlign w:val="superscript"/>
          <w:rtl/>
        </w:rPr>
        <w:footnoteReference w:id="7403"/>
      </w:r>
      <w:r w:rsidRPr="00007309">
        <w:rPr>
          <w:rFonts w:cs="Arial"/>
          <w:b/>
          <w:bCs/>
          <w:sz w:val="24"/>
          <w:szCs w:val="24"/>
          <w:rtl/>
        </w:rPr>
        <w:t>דְּאוֹרַיְתָא דְּבִכְתָב אִיהִי לִבָּא כְּלִלָא מִל"ב אֱלֹהִים</w:t>
      </w:r>
      <w:r w:rsidRPr="00007309">
        <w:rPr>
          <w:rFonts w:cs="Arial" w:hint="cs"/>
          <w:b/>
          <w:bCs/>
          <w:sz w:val="24"/>
          <w:szCs w:val="24"/>
          <w:rtl/>
        </w:rPr>
        <w:t>,</w:t>
      </w:r>
      <w:r w:rsidRPr="00007309">
        <w:rPr>
          <w:rFonts w:cs="Arial"/>
          <w:b/>
          <w:bCs/>
          <w:sz w:val="24"/>
          <w:szCs w:val="24"/>
          <w:rtl/>
        </w:rPr>
        <w:t xml:space="preserve"> וְאוֹרַיְתָא דִּבְעַל פֶּה פּוּמָא</w:t>
      </w:r>
      <w:r w:rsidRPr="00007309">
        <w:rPr>
          <w:rFonts w:cs="Arial" w:hint="cs"/>
          <w:b/>
          <w:bCs/>
          <w:sz w:val="24"/>
          <w:szCs w:val="24"/>
          <w:rtl/>
        </w:rPr>
        <w:t>,</w:t>
      </w:r>
      <w:r w:rsidRPr="00007309">
        <w:rPr>
          <w:rFonts w:cs="Arial"/>
          <w:b/>
          <w:bCs/>
          <w:sz w:val="24"/>
          <w:szCs w:val="24"/>
          <w:rtl/>
        </w:rPr>
        <w:t xml:space="preserve"> וְדָא אִיהוּ לִבָּא לְפוּמָא לָא גַּלֵּי. </w:t>
      </w:r>
      <w:r w:rsidRPr="00007309">
        <w:rPr>
          <w:rFonts w:cs="Arial"/>
          <w:b/>
          <w:bCs/>
          <w:sz w:val="36"/>
          <w:szCs w:val="28"/>
          <w:vertAlign w:val="superscript"/>
          <w:rtl/>
        </w:rPr>
        <w:footnoteReference w:id="7404"/>
      </w:r>
      <w:r w:rsidRPr="00007309">
        <w:rPr>
          <w:rFonts w:cs="Arial"/>
          <w:b/>
          <w:bCs/>
          <w:sz w:val="24"/>
          <w:szCs w:val="24"/>
          <w:rtl/>
        </w:rPr>
        <w:t xml:space="preserve">בְּגִין דַּעֲתִידָא שְׂמָאלָא דְּאִיהוּ פּוּמָא </w:t>
      </w:r>
      <w:r w:rsidRPr="00007309">
        <w:rPr>
          <w:rFonts w:ascii="Cambria" w:hAnsi="Cambria" w:cs="Times New Roman" w:hint="cs"/>
          <w:b/>
          <w:bCs/>
          <w:i/>
          <w:iCs/>
          <w:color w:val="4F81BD"/>
          <w:sz w:val="24"/>
          <w:szCs w:val="24"/>
          <w:rtl/>
        </w:rPr>
        <w:t>(וילנא כז ע"ב)</w:t>
      </w:r>
      <w:r w:rsidRPr="00007309">
        <w:rPr>
          <w:rFonts w:cs="Arial" w:hint="cs"/>
          <w:b/>
          <w:bCs/>
          <w:sz w:val="24"/>
          <w:szCs w:val="24"/>
          <w:rtl/>
        </w:rPr>
        <w:t xml:space="preserve"> </w:t>
      </w:r>
      <w:r w:rsidRPr="00007309">
        <w:rPr>
          <w:rFonts w:cs="Arial"/>
          <w:b/>
          <w:bCs/>
          <w:sz w:val="24"/>
          <w:szCs w:val="24"/>
          <w:rtl/>
        </w:rPr>
        <w:t>לְאִתְדַּחְיָא</w:t>
      </w:r>
      <w:r w:rsidRPr="00007309">
        <w:rPr>
          <w:rFonts w:cs="Arial" w:hint="cs"/>
          <w:b/>
          <w:bCs/>
          <w:sz w:val="24"/>
          <w:szCs w:val="24"/>
          <w:rtl/>
        </w:rPr>
        <w:t>.</w:t>
      </w:r>
      <w:r w:rsidRPr="00007309">
        <w:rPr>
          <w:rFonts w:cs="Arial"/>
          <w:b/>
          <w:bCs/>
          <w:sz w:val="24"/>
          <w:szCs w:val="24"/>
          <w:rtl/>
        </w:rPr>
        <w:t xml:space="preserve"> וּכְגַוְנָא </w:t>
      </w:r>
      <w:r w:rsidRPr="00007309">
        <w:rPr>
          <w:rFonts w:cs="Arial"/>
          <w:b/>
          <w:bCs/>
          <w:sz w:val="36"/>
          <w:szCs w:val="28"/>
          <w:vertAlign w:val="superscript"/>
          <w:rtl/>
        </w:rPr>
        <w:footnoteReference w:id="7405"/>
      </w:r>
      <w:r w:rsidRPr="00007309">
        <w:rPr>
          <w:rFonts w:cs="Arial"/>
          <w:b/>
          <w:bCs/>
          <w:sz w:val="24"/>
          <w:szCs w:val="24"/>
          <w:rtl/>
        </w:rPr>
        <w:t>לִבָּא אִיהוּ סָתִים</w:t>
      </w:r>
      <w:r w:rsidRPr="00007309">
        <w:rPr>
          <w:rFonts w:cs="Arial" w:hint="cs"/>
          <w:b/>
          <w:bCs/>
          <w:sz w:val="24"/>
          <w:szCs w:val="24"/>
          <w:rtl/>
        </w:rPr>
        <w:t>,</w:t>
      </w:r>
      <w:r w:rsidRPr="00007309">
        <w:rPr>
          <w:rFonts w:cs="Arial"/>
          <w:b/>
          <w:bCs/>
          <w:sz w:val="24"/>
          <w:szCs w:val="24"/>
          <w:rtl/>
        </w:rPr>
        <w:t xml:space="preserve"> הָכֵי פֻּרְקָנָא סְתִימָא בְּלִבָּא</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406"/>
      </w:r>
      <w:r w:rsidRPr="00007309">
        <w:rPr>
          <w:rFonts w:cs="Arial"/>
          <w:b/>
          <w:bCs/>
          <w:sz w:val="24"/>
          <w:szCs w:val="24"/>
          <w:rtl/>
        </w:rPr>
        <w:t xml:space="preserve">וּפוּמָא דְּאִיהוּ גַּלְיָא, לָא אִתְגַּלֵּי פֻּרְקָנָא. </w:t>
      </w:r>
      <w:r w:rsidRPr="00007309">
        <w:rPr>
          <w:rFonts w:cs="Arial"/>
          <w:b/>
          <w:bCs/>
          <w:sz w:val="36"/>
          <w:szCs w:val="28"/>
          <w:vertAlign w:val="superscript"/>
          <w:rtl/>
        </w:rPr>
        <w:footnoteReference w:id="7407"/>
      </w:r>
      <w:r w:rsidRPr="00007309">
        <w:rPr>
          <w:rFonts w:cs="Arial"/>
          <w:b/>
          <w:bCs/>
          <w:sz w:val="24"/>
          <w:szCs w:val="24"/>
          <w:rtl/>
        </w:rPr>
        <w:t xml:space="preserve">וּבְגִין דְּכֹלָּא תַּלְיָא בִּימִינָא, אָמַר </w:t>
      </w:r>
      <w:r w:rsidRPr="00007309">
        <w:rPr>
          <w:rFonts w:cs="Arial" w:hint="cs"/>
          <w:b/>
          <w:bCs/>
          <w:sz w:val="24"/>
          <w:szCs w:val="24"/>
          <w:rtl/>
        </w:rPr>
        <w:t xml:space="preserve">(רות ג) </w:t>
      </w:r>
      <w:r w:rsidRPr="00007309">
        <w:rPr>
          <w:rFonts w:cs="Arial"/>
          <w:b/>
          <w:bCs/>
          <w:sz w:val="36"/>
          <w:szCs w:val="28"/>
          <w:vertAlign w:val="superscript"/>
          <w:rtl/>
        </w:rPr>
        <w:footnoteReference w:id="7408"/>
      </w:r>
      <w:r w:rsidRPr="00007309">
        <w:rPr>
          <w:rFonts w:cs="Arial"/>
          <w:b/>
          <w:bCs/>
          <w:sz w:val="24"/>
          <w:szCs w:val="24"/>
          <w:rtl/>
        </w:rPr>
        <w:t>חַי ה' שִׁכְבִי עַד הַבֹּקֶר</w:t>
      </w:r>
      <w:r w:rsidRPr="00007309">
        <w:rPr>
          <w:rFonts w:cs="Arial" w:hint="cs"/>
          <w:b/>
          <w:bCs/>
          <w:sz w:val="24"/>
          <w:szCs w:val="24"/>
          <w:rtl/>
        </w:rPr>
        <w:t>.</w:t>
      </w:r>
      <w:r w:rsidRPr="00007309">
        <w:rPr>
          <w:rFonts w:cs="Arial"/>
          <w:b/>
          <w:bCs/>
          <w:sz w:val="24"/>
          <w:szCs w:val="24"/>
          <w:rtl/>
        </w:rPr>
        <w:t xml:space="preserve"> וּבְגִין דְּפֻרְקָנָא תַּלְיָא בִּימִינָא אָמַר הַנָּבִיא </w:t>
      </w:r>
      <w:r w:rsidRPr="00007309">
        <w:rPr>
          <w:rFonts w:cs="Arial" w:hint="cs"/>
          <w:b/>
          <w:bCs/>
          <w:sz w:val="24"/>
          <w:szCs w:val="24"/>
          <w:rtl/>
        </w:rPr>
        <w:t xml:space="preserve">(ישעיה נג) </w:t>
      </w:r>
      <w:r w:rsidRPr="00007309">
        <w:rPr>
          <w:rFonts w:cs="Arial"/>
          <w:b/>
          <w:bCs/>
          <w:sz w:val="36"/>
          <w:szCs w:val="28"/>
          <w:vertAlign w:val="superscript"/>
          <w:rtl/>
        </w:rPr>
        <w:footnoteReference w:id="7409"/>
      </w:r>
      <w:r w:rsidRPr="00007309">
        <w:rPr>
          <w:rFonts w:cs="Arial"/>
          <w:b/>
          <w:bCs/>
          <w:sz w:val="24"/>
          <w:szCs w:val="24"/>
          <w:rtl/>
        </w:rPr>
        <w:t xml:space="preserve">וּזְרוֹעַ ה' </w:t>
      </w:r>
      <w:r w:rsidRPr="00007309">
        <w:rPr>
          <w:rFonts w:cs="Arial"/>
          <w:b/>
          <w:bCs/>
          <w:sz w:val="36"/>
          <w:szCs w:val="28"/>
          <w:vertAlign w:val="superscript"/>
          <w:rtl/>
        </w:rPr>
        <w:footnoteReference w:id="7410"/>
      </w:r>
      <w:r w:rsidRPr="00007309">
        <w:rPr>
          <w:rFonts w:cs="Arial"/>
          <w:b/>
          <w:bCs/>
          <w:sz w:val="24"/>
          <w:szCs w:val="24"/>
          <w:rtl/>
        </w:rPr>
        <w:t>עַל מִי נִגְלָתָה</w:t>
      </w:r>
      <w:r w:rsidRPr="00007309">
        <w:rPr>
          <w:rFonts w:cs="Arial" w:hint="cs"/>
          <w:b/>
          <w:bCs/>
          <w:sz w:val="24"/>
          <w:szCs w:val="24"/>
          <w:rtl/>
        </w:rPr>
        <w:t>,</w:t>
      </w:r>
      <w:r w:rsidRPr="00007309">
        <w:rPr>
          <w:rFonts w:cs="Arial"/>
          <w:b/>
          <w:bCs/>
          <w:sz w:val="24"/>
          <w:szCs w:val="24"/>
          <w:rtl/>
        </w:rPr>
        <w:t xml:space="preserve"> עַל מִי וַדַּאי</w:t>
      </w:r>
      <w:r w:rsidRPr="00007309">
        <w:rPr>
          <w:rFonts w:cs="Arial" w:hint="cs"/>
          <w:b/>
          <w:bCs/>
          <w:sz w:val="24"/>
          <w:szCs w:val="24"/>
          <w:rtl/>
        </w:rPr>
        <w:t>,</w:t>
      </w:r>
      <w:r w:rsidRPr="00007309">
        <w:rPr>
          <w:rFonts w:cs="Arial"/>
          <w:b/>
          <w:bCs/>
          <w:sz w:val="24"/>
          <w:szCs w:val="24"/>
          <w:rtl/>
        </w:rPr>
        <w:t xml:space="preserve"> דְּאִתְּמַר בֵּהּ מִי יִרְפָּא לָךְ הָדָא הוּא דִּכְתִיב </w:t>
      </w:r>
      <w:r w:rsidRPr="00007309">
        <w:rPr>
          <w:rFonts w:cs="Arial" w:hint="cs"/>
          <w:b/>
          <w:bCs/>
          <w:sz w:val="24"/>
          <w:szCs w:val="24"/>
          <w:rtl/>
        </w:rPr>
        <w:t xml:space="preserve">(איכה א) </w:t>
      </w:r>
      <w:r w:rsidRPr="00007309">
        <w:rPr>
          <w:rFonts w:cs="Arial"/>
          <w:b/>
          <w:bCs/>
          <w:sz w:val="24"/>
          <w:szCs w:val="24"/>
          <w:rtl/>
        </w:rPr>
        <w:t>מָה אֲעִידֵךְ מָה אֲדַמֶּה לָךְ</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411"/>
      </w:r>
      <w:r w:rsidRPr="00007309">
        <w:rPr>
          <w:rFonts w:cs="Arial"/>
          <w:b/>
          <w:bCs/>
          <w:sz w:val="24"/>
          <w:szCs w:val="24"/>
          <w:rtl/>
        </w:rPr>
        <w:t>הַהוּא דאִתְּמַר בֵּהּ וְאָמְרוּ לִי מַה שְּׁמוֹ מָה אֹמַר</w:t>
      </w:r>
      <w:r w:rsidRPr="00007309">
        <w:rPr>
          <w:rFonts w:cs="Arial" w:hint="cs"/>
          <w:b/>
          <w:bCs/>
          <w:sz w:val="24"/>
          <w:szCs w:val="24"/>
          <w:rtl/>
        </w:rPr>
        <w:t>,</w:t>
      </w:r>
      <w:r w:rsidRPr="00007309">
        <w:rPr>
          <w:rFonts w:cs="Arial"/>
          <w:b/>
          <w:bCs/>
          <w:sz w:val="24"/>
          <w:szCs w:val="24"/>
          <w:rtl/>
        </w:rPr>
        <w:t xml:space="preserve"> במ"ה יֵיתֵי נֶחָמָה</w:t>
      </w:r>
      <w:r w:rsidRPr="00007309">
        <w:rPr>
          <w:rFonts w:cs="Arial" w:hint="cs"/>
          <w:b/>
          <w:bCs/>
          <w:sz w:val="24"/>
          <w:szCs w:val="24"/>
          <w:rtl/>
        </w:rPr>
        <w:t>,</w:t>
      </w:r>
      <w:r w:rsidRPr="00007309">
        <w:rPr>
          <w:rFonts w:cs="Arial"/>
          <w:b/>
          <w:bCs/>
          <w:sz w:val="24"/>
          <w:szCs w:val="24"/>
          <w:rtl/>
        </w:rPr>
        <w:t xml:space="preserve"> ובמ"י אַסְוִותָא</w:t>
      </w:r>
      <w:r w:rsidRPr="00007309">
        <w:rPr>
          <w:rFonts w:cs="Arial" w:hint="cs"/>
          <w:b/>
          <w:bCs/>
          <w:sz w:val="24"/>
          <w:szCs w:val="24"/>
          <w:rtl/>
        </w:rPr>
        <w:t>.</w:t>
      </w:r>
      <w:r w:rsidRPr="00007309">
        <w:rPr>
          <w:rFonts w:cs="Arial"/>
          <w:b/>
          <w:bCs/>
          <w:sz w:val="24"/>
          <w:szCs w:val="24"/>
          <w:rtl/>
        </w:rPr>
        <w:t xml:space="preserve"> הָדָא הוּא דִּכְתִיב </w:t>
      </w:r>
      <w:r w:rsidRPr="00007309">
        <w:rPr>
          <w:rFonts w:cs="Arial" w:hint="cs"/>
          <w:b/>
          <w:bCs/>
          <w:sz w:val="24"/>
          <w:szCs w:val="24"/>
          <w:rtl/>
        </w:rPr>
        <w:t xml:space="preserve">(שם) </w:t>
      </w:r>
      <w:r w:rsidRPr="00007309">
        <w:rPr>
          <w:rFonts w:cs="Arial"/>
          <w:b/>
          <w:bCs/>
          <w:sz w:val="24"/>
          <w:szCs w:val="24"/>
          <w:rtl/>
        </w:rPr>
        <w:t>מ'ה אַשְׁוֶה לָךְ וַאֲנַחֲמֵךְ מִי יִרְפָּא לָךְ</w:t>
      </w:r>
      <w:r w:rsidRPr="00007309">
        <w:rPr>
          <w:rFonts w:cs="Arial" w:hint="cs"/>
          <w:b/>
          <w:bCs/>
          <w:sz w:val="24"/>
          <w:szCs w:val="24"/>
          <w:rtl/>
        </w:rPr>
        <w:t>.</w:t>
      </w:r>
      <w:r w:rsidRPr="00007309">
        <w:rPr>
          <w:rFonts w:cs="Arial"/>
          <w:b/>
          <w:bCs/>
          <w:sz w:val="24"/>
          <w:szCs w:val="24"/>
          <w:rtl/>
        </w:rPr>
        <w:t xml:space="preserve"> דְּמֹשֶׁה </w:t>
      </w:r>
      <w:r w:rsidRPr="00007309">
        <w:rPr>
          <w:rFonts w:cs="Arial"/>
          <w:b/>
          <w:bCs/>
          <w:sz w:val="36"/>
          <w:szCs w:val="28"/>
          <w:vertAlign w:val="superscript"/>
          <w:rtl/>
        </w:rPr>
        <w:footnoteReference w:id="7412"/>
      </w:r>
      <w:r w:rsidRPr="00007309">
        <w:rPr>
          <w:rFonts w:cs="Arial"/>
          <w:b/>
          <w:bCs/>
          <w:sz w:val="24"/>
          <w:szCs w:val="24"/>
          <w:rtl/>
        </w:rPr>
        <w:t>אִיהוּ מַה שְּׁמוֹ</w:t>
      </w:r>
      <w:r w:rsidRPr="00007309">
        <w:rPr>
          <w:rFonts w:cs="Arial" w:hint="cs"/>
          <w:b/>
          <w:bCs/>
          <w:sz w:val="24"/>
          <w:szCs w:val="24"/>
          <w:rtl/>
        </w:rPr>
        <w:t>,</w:t>
      </w:r>
      <w:r w:rsidRPr="00007309">
        <w:rPr>
          <w:rFonts w:cs="Arial"/>
          <w:b/>
          <w:bCs/>
          <w:sz w:val="24"/>
          <w:szCs w:val="24"/>
          <w:rtl/>
        </w:rPr>
        <w:t xml:space="preserve"> וּבֵהּ יְהֵא נֶחָמָה</w:t>
      </w:r>
      <w:r w:rsidRPr="00007309">
        <w:rPr>
          <w:rFonts w:cs="Arial" w:hint="cs"/>
          <w:b/>
          <w:bCs/>
          <w:sz w:val="24"/>
          <w:szCs w:val="24"/>
          <w:rtl/>
        </w:rPr>
        <w:t>.</w:t>
      </w:r>
      <w:r w:rsidRPr="00007309">
        <w:rPr>
          <w:rFonts w:cs="Arial"/>
          <w:b/>
          <w:bCs/>
          <w:sz w:val="24"/>
          <w:szCs w:val="24"/>
          <w:rtl/>
        </w:rPr>
        <w:t xml:space="preserve"> וּבְגִין דָּא כָּפַל קֻדְשָׁא בְּרִיךְ הוּא שְׁמֵהּ מֹשֶׁה מֹשֶׁה</w:t>
      </w:r>
      <w:r w:rsidRPr="00007309">
        <w:rPr>
          <w:rFonts w:cs="Arial" w:hint="cs"/>
          <w:b/>
          <w:bCs/>
          <w:sz w:val="24"/>
          <w:szCs w:val="24"/>
          <w:rtl/>
        </w:rPr>
        <w:t>,</w:t>
      </w:r>
      <w:r w:rsidRPr="00007309">
        <w:rPr>
          <w:rFonts w:cs="Arial"/>
          <w:b/>
          <w:bCs/>
          <w:sz w:val="24"/>
          <w:szCs w:val="24"/>
          <w:rtl/>
        </w:rPr>
        <w:t xml:space="preserve"> חַד עַל פֻּרְקָנָא קַדְמָאָה וְחַד עַל בַּתְרַיְתָא</w:t>
      </w:r>
      <w:r w:rsidRPr="00007309">
        <w:rPr>
          <w:rFonts w:cs="Arial" w:hint="cs"/>
          <w:b/>
          <w:bCs/>
          <w:sz w:val="24"/>
          <w:szCs w:val="24"/>
          <w:rtl/>
        </w:rPr>
        <w:t>.</w:t>
      </w:r>
      <w:r w:rsidRPr="00007309">
        <w:rPr>
          <w:rFonts w:cs="Arial"/>
          <w:b/>
          <w:bCs/>
          <w:sz w:val="24"/>
          <w:szCs w:val="24"/>
          <w:rtl/>
        </w:rPr>
        <w:t xml:space="preserve"> וּבְגִין דָּא אָז יָשִׁיר מֹשֶׁה</w:t>
      </w:r>
      <w:r w:rsidRPr="00007309">
        <w:rPr>
          <w:rFonts w:cs="Arial" w:hint="cs"/>
          <w:b/>
          <w:bCs/>
          <w:sz w:val="24"/>
          <w:szCs w:val="24"/>
          <w:rtl/>
        </w:rPr>
        <w:t>,</w:t>
      </w:r>
      <w:r w:rsidRPr="00007309">
        <w:rPr>
          <w:rFonts w:cs="Arial"/>
          <w:b/>
          <w:bCs/>
          <w:sz w:val="24"/>
          <w:szCs w:val="24"/>
          <w:rtl/>
        </w:rPr>
        <w:t xml:space="preserve"> אָז שָׁר לֹא נֶאֱמַר אֶלָּא אָז יָשִׁיר</w:t>
      </w:r>
      <w:r w:rsidRPr="00007309">
        <w:rPr>
          <w:rFonts w:cs="Arial" w:hint="cs"/>
          <w:b/>
          <w:bCs/>
          <w:sz w:val="24"/>
          <w:szCs w:val="24"/>
          <w:rtl/>
        </w:rPr>
        <w:t>.</w:t>
      </w:r>
    </w:p>
    <w:p w:rsidR="00007309" w:rsidRPr="00007309" w:rsidRDefault="00007309" w:rsidP="00007309">
      <w:pPr>
        <w:keepNext/>
        <w:outlineLvl w:val="1"/>
        <w:rPr>
          <w:rFonts w:ascii="Cambria" w:hAnsi="Cambria" w:cs="Times New Roman"/>
          <w:b/>
          <w:bCs/>
          <w:i/>
          <w:iCs/>
          <w:sz w:val="28"/>
          <w:szCs w:val="28"/>
          <w:rtl/>
        </w:rPr>
      </w:pPr>
      <w:r w:rsidRPr="00007309">
        <w:rPr>
          <w:rFonts w:ascii="Cambria" w:hAnsi="Cambria" w:cs="Times New Roman" w:hint="cs"/>
          <w:b/>
          <w:bCs/>
          <w:i/>
          <w:iCs/>
          <w:sz w:val="28"/>
          <w:szCs w:val="28"/>
          <w:rtl/>
        </w:rPr>
        <w:t>(הקטע שהיה כאן, מהמלים 'עשיראה בתפלה' ועד 'ורזא דמלא זרקא מקף שופר הולך סגולתא', הועבר ע"פ בהגר"א לסוף תיקון י"ג [שהגר"א קוראו תיקון י"ב])</w:t>
      </w:r>
    </w:p>
    <w:p w:rsidR="00007309" w:rsidRPr="00007309" w:rsidRDefault="00007309" w:rsidP="00007309">
      <w:pPr>
        <w:keepNext/>
        <w:outlineLvl w:val="1"/>
        <w:rPr>
          <w:rFonts w:ascii="Cambria" w:hAnsi="Cambria" w:cs="Times New Roman"/>
          <w:b/>
          <w:bCs/>
          <w:i/>
          <w:iCs/>
          <w:sz w:val="28"/>
          <w:szCs w:val="28"/>
          <w:rtl/>
        </w:rPr>
      </w:pPr>
      <w:r w:rsidRPr="00007309">
        <w:rPr>
          <w:rFonts w:ascii="Cambria" w:hAnsi="Cambria" w:cs="Times New Roman"/>
          <w:b/>
          <w:bCs/>
          <w:i/>
          <w:iCs/>
          <w:sz w:val="28"/>
          <w:szCs w:val="28"/>
          <w:rtl/>
        </w:rPr>
        <w:t xml:space="preserve"> [</w:t>
      </w:r>
      <w:r w:rsidRPr="00007309">
        <w:rPr>
          <w:rFonts w:ascii="Cambria" w:hAnsi="Cambria" w:cs="Times New Roman" w:hint="cs"/>
          <w:b/>
          <w:bCs/>
          <w:i/>
          <w:iCs/>
          <w:sz w:val="28"/>
          <w:szCs w:val="28"/>
          <w:rtl/>
        </w:rPr>
        <w:t>המשך דף</w:t>
      </w:r>
      <w:r w:rsidRPr="00007309">
        <w:rPr>
          <w:rFonts w:ascii="Cambria" w:hAnsi="Cambria" w:cs="Times New Roman"/>
          <w:b/>
          <w:bCs/>
          <w:i/>
          <w:iCs/>
          <w:sz w:val="28"/>
          <w:szCs w:val="28"/>
          <w:rtl/>
        </w:rPr>
        <w:t xml:space="preserve"> </w:t>
      </w:r>
      <w:r w:rsidRPr="00007309">
        <w:rPr>
          <w:rFonts w:ascii="Cambria" w:hAnsi="Cambria" w:cs="Times New Roman" w:hint="cs"/>
          <w:b/>
          <w:bCs/>
          <w:i/>
          <w:iCs/>
          <w:sz w:val="28"/>
          <w:szCs w:val="28"/>
          <w:rtl/>
        </w:rPr>
        <w:t>פא</w:t>
      </w:r>
      <w:r w:rsidRPr="00007309">
        <w:rPr>
          <w:rFonts w:ascii="Cambria" w:hAnsi="Cambria" w:cs="Times New Roman"/>
          <w:b/>
          <w:bCs/>
          <w:i/>
          <w:iCs/>
          <w:sz w:val="28"/>
          <w:szCs w:val="28"/>
          <w:rtl/>
        </w:rPr>
        <w:t xml:space="preserve"> ע"</w:t>
      </w:r>
      <w:r w:rsidRPr="00007309">
        <w:rPr>
          <w:rFonts w:ascii="Cambria" w:hAnsi="Cambria" w:cs="Times New Roman" w:hint="cs"/>
          <w:b/>
          <w:bCs/>
          <w:i/>
          <w:iCs/>
          <w:sz w:val="28"/>
          <w:szCs w:val="28"/>
          <w:rtl/>
        </w:rPr>
        <w:t>ד</w:t>
      </w:r>
      <w:r w:rsidRPr="00007309">
        <w:rPr>
          <w:rFonts w:ascii="Cambria" w:hAnsi="Cambria" w:cs="Times New Roman"/>
          <w:b/>
          <w:bCs/>
          <w:i/>
          <w:iCs/>
          <w:sz w:val="28"/>
          <w:szCs w:val="28"/>
          <w:rtl/>
        </w:rPr>
        <w:t>]</w:t>
      </w:r>
    </w:p>
    <w:p w:rsidR="00007309" w:rsidRPr="00007309" w:rsidRDefault="00007309" w:rsidP="00007309">
      <w:pPr>
        <w:jc w:val="both"/>
        <w:rPr>
          <w:rFonts w:cs="Arial"/>
          <w:b/>
          <w:bCs/>
          <w:sz w:val="24"/>
          <w:szCs w:val="24"/>
          <w:rtl/>
        </w:rPr>
      </w:pPr>
      <w:r w:rsidRPr="00007309">
        <w:rPr>
          <w:rFonts w:cs="Arial"/>
          <w:b/>
          <w:bCs/>
          <w:sz w:val="24"/>
          <w:szCs w:val="24"/>
          <w:rtl/>
        </w:rPr>
        <w:t xml:space="preserve">פָּתַח רִבִּי שִׁמְעוֹן וְאָמַר </w:t>
      </w:r>
      <w:r w:rsidRPr="00007309">
        <w:rPr>
          <w:rFonts w:cs="Arial"/>
          <w:b/>
          <w:bCs/>
          <w:sz w:val="36"/>
          <w:szCs w:val="28"/>
          <w:vertAlign w:val="superscript"/>
          <w:rtl/>
        </w:rPr>
        <w:footnoteReference w:id="7413"/>
      </w:r>
      <w:r w:rsidRPr="00007309">
        <w:rPr>
          <w:rFonts w:cs="Arial"/>
          <w:b/>
          <w:bCs/>
          <w:sz w:val="24"/>
          <w:szCs w:val="24"/>
          <w:rtl/>
        </w:rPr>
        <w:t>עִלָּאִין שְׁמָעוּ תַּתָּאִין אִתְכְּנָשׁוּ, אִלֵּין מָארֵי מְתִיבְתָּא דִּלְעֵלָּא וְתַתָּא</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414"/>
      </w:r>
      <w:r w:rsidRPr="00007309">
        <w:rPr>
          <w:rFonts w:cs="Arial"/>
          <w:b/>
          <w:bCs/>
          <w:sz w:val="24"/>
          <w:szCs w:val="24"/>
          <w:rtl/>
        </w:rPr>
        <w:t>אֵלִיָּהוּ בְּאֻמָּאָה עָלָךְ, טֹל רְשׁוּ מִקֻּדְשָׁא בְּרִיךְ הוּא וְנָחִית הָכָא</w:t>
      </w:r>
      <w:r w:rsidRPr="00007309">
        <w:rPr>
          <w:rFonts w:cs="Arial" w:hint="cs"/>
          <w:b/>
          <w:bCs/>
          <w:sz w:val="24"/>
          <w:szCs w:val="24"/>
          <w:rtl/>
        </w:rPr>
        <w:t>,</w:t>
      </w:r>
      <w:r w:rsidRPr="00007309">
        <w:rPr>
          <w:rFonts w:cs="Arial"/>
          <w:b/>
          <w:bCs/>
          <w:sz w:val="24"/>
          <w:szCs w:val="24"/>
          <w:rtl/>
        </w:rPr>
        <w:t xml:space="preserve"> דְּהָא קְרָבָא סַגִּיאָה אִזְדַּמְּנַת לָךְ. חֲנוֹךְ מְטַטְרוֹן</w:t>
      </w:r>
      <w:r w:rsidRPr="00007309">
        <w:rPr>
          <w:rFonts w:cs="Arial" w:hint="cs"/>
          <w:b/>
          <w:bCs/>
          <w:sz w:val="24"/>
          <w:szCs w:val="24"/>
          <w:rtl/>
        </w:rPr>
        <w:t>,</w:t>
      </w:r>
      <w:r w:rsidRPr="00007309">
        <w:rPr>
          <w:rFonts w:cs="Arial"/>
          <w:b/>
          <w:bCs/>
          <w:sz w:val="24"/>
          <w:szCs w:val="24"/>
          <w:rtl/>
        </w:rPr>
        <w:t xml:space="preserve"> נְחִית הָכָא</w:t>
      </w:r>
      <w:r w:rsidRPr="00007309">
        <w:rPr>
          <w:rFonts w:cs="Arial" w:hint="cs"/>
          <w:b/>
          <w:bCs/>
          <w:sz w:val="24"/>
          <w:szCs w:val="24"/>
          <w:rtl/>
        </w:rPr>
        <w:t>,</w:t>
      </w:r>
      <w:r w:rsidRPr="00007309">
        <w:rPr>
          <w:rFonts w:cs="Arial"/>
          <w:b/>
          <w:bCs/>
          <w:sz w:val="24"/>
          <w:szCs w:val="24"/>
          <w:rtl/>
        </w:rPr>
        <w:t xml:space="preserve"> אַנְתְּ וְכָל מָארֵי מְתִיבְתָּא דִּתְחוֹת יְדָךְ. דְּלָא לִיקָרָא דִּילִי עֲבִידְנָא אֶלָּא לִיקָרָא דִּשְׁכִינְתָּא. </w:t>
      </w:r>
    </w:p>
    <w:p w:rsidR="00007309" w:rsidRPr="00007309" w:rsidRDefault="00007309" w:rsidP="00007309">
      <w:pPr>
        <w:keepNext/>
        <w:outlineLvl w:val="1"/>
        <w:rPr>
          <w:rFonts w:ascii="Cambria" w:hAnsi="Cambria" w:cs="Times New Roman"/>
          <w:b/>
          <w:bCs/>
          <w:i/>
          <w:iCs/>
          <w:sz w:val="28"/>
          <w:szCs w:val="28"/>
          <w:rtl/>
        </w:rPr>
      </w:pPr>
      <w:r w:rsidRPr="00007309">
        <w:rPr>
          <w:rFonts w:ascii="Cambria" w:hAnsi="Cambria" w:cs="Times New Roman"/>
          <w:b/>
          <w:bCs/>
          <w:i/>
          <w:iCs/>
          <w:sz w:val="28"/>
          <w:szCs w:val="28"/>
          <w:rtl/>
        </w:rPr>
        <w:t>[</w:t>
      </w:r>
      <w:r w:rsidRPr="00007309">
        <w:rPr>
          <w:rFonts w:ascii="Cambria" w:hAnsi="Cambria" w:cs="Times New Roman" w:hint="cs"/>
          <w:b/>
          <w:bCs/>
          <w:i/>
          <w:iCs/>
          <w:sz w:val="28"/>
          <w:szCs w:val="28"/>
          <w:rtl/>
        </w:rPr>
        <w:t>דף</w:t>
      </w:r>
      <w:r w:rsidRPr="00007309">
        <w:rPr>
          <w:rFonts w:ascii="Cambria" w:hAnsi="Cambria" w:cs="Times New Roman"/>
          <w:b/>
          <w:bCs/>
          <w:i/>
          <w:iCs/>
          <w:sz w:val="28"/>
          <w:szCs w:val="28"/>
          <w:rtl/>
        </w:rPr>
        <w:t xml:space="preserve"> </w:t>
      </w:r>
      <w:r w:rsidRPr="00007309">
        <w:rPr>
          <w:rFonts w:ascii="Cambria" w:hAnsi="Cambria" w:cs="Times New Roman" w:hint="cs"/>
          <w:b/>
          <w:bCs/>
          <w:i/>
          <w:iCs/>
          <w:sz w:val="28"/>
          <w:szCs w:val="28"/>
          <w:rtl/>
        </w:rPr>
        <w:t>פב</w:t>
      </w:r>
      <w:r w:rsidRPr="00007309">
        <w:rPr>
          <w:rFonts w:ascii="Cambria" w:hAnsi="Cambria" w:cs="Times New Roman"/>
          <w:b/>
          <w:bCs/>
          <w:i/>
          <w:iCs/>
          <w:sz w:val="28"/>
          <w:szCs w:val="28"/>
          <w:rtl/>
        </w:rPr>
        <w:t xml:space="preserve"> ע"</w:t>
      </w:r>
      <w:r w:rsidRPr="00007309">
        <w:rPr>
          <w:rFonts w:ascii="Cambria" w:hAnsi="Cambria" w:cs="Times New Roman" w:hint="cs"/>
          <w:b/>
          <w:bCs/>
          <w:i/>
          <w:iCs/>
          <w:sz w:val="28"/>
          <w:szCs w:val="28"/>
          <w:rtl/>
        </w:rPr>
        <w:t>א</w:t>
      </w:r>
      <w:r w:rsidRPr="00007309">
        <w:rPr>
          <w:rFonts w:ascii="Cambria" w:hAnsi="Cambria" w:cs="Times New Roman"/>
          <w:b/>
          <w:bCs/>
          <w:i/>
          <w:iCs/>
          <w:sz w:val="28"/>
          <w:szCs w:val="28"/>
          <w:rtl/>
        </w:rPr>
        <w:t>]</w:t>
      </w:r>
    </w:p>
    <w:p w:rsidR="00007309" w:rsidRPr="00007309" w:rsidRDefault="00007309" w:rsidP="00007309">
      <w:pPr>
        <w:keepNext/>
        <w:spacing w:before="240" w:after="60"/>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 xml:space="preserve"> [וילנא כט ע"א]</w:t>
      </w:r>
    </w:p>
    <w:p w:rsidR="00007309" w:rsidRPr="00007309" w:rsidRDefault="00007309" w:rsidP="00007309">
      <w:pPr>
        <w:jc w:val="both"/>
        <w:rPr>
          <w:rFonts w:cs="Arial"/>
          <w:b/>
          <w:bCs/>
          <w:sz w:val="24"/>
          <w:szCs w:val="24"/>
          <w:rtl/>
        </w:rPr>
      </w:pPr>
      <w:r w:rsidRPr="00007309">
        <w:rPr>
          <w:rFonts w:cs="Arial"/>
          <w:b/>
          <w:bCs/>
          <w:sz w:val="36"/>
          <w:szCs w:val="28"/>
          <w:vertAlign w:val="superscript"/>
          <w:rtl/>
        </w:rPr>
        <w:footnoteReference w:id="7415"/>
      </w:r>
      <w:r w:rsidRPr="00007309">
        <w:rPr>
          <w:rFonts w:cs="Arial"/>
          <w:b/>
          <w:bCs/>
          <w:sz w:val="24"/>
          <w:szCs w:val="24"/>
          <w:rtl/>
        </w:rPr>
        <w:t>פָּתַח כְּמִלְּקַדְּמִין וְאָמַר</w:t>
      </w:r>
      <w:r w:rsidRPr="00007309">
        <w:rPr>
          <w:rFonts w:cs="Arial" w:hint="cs"/>
          <w:b/>
          <w:bCs/>
          <w:sz w:val="24"/>
          <w:szCs w:val="24"/>
          <w:rtl/>
        </w:rPr>
        <w:t>,</w:t>
      </w:r>
      <w:r w:rsidRPr="00007309">
        <w:rPr>
          <w:rFonts w:cs="Arial"/>
          <w:b/>
          <w:bCs/>
          <w:sz w:val="24"/>
          <w:szCs w:val="24"/>
          <w:rtl/>
        </w:rPr>
        <w:t xml:space="preserve"> זַרְקָא וַדַּאי בָּהּ צָרִיךְ לְסָלְקָא צְלוֹתָא לְהַהוּא אֲתַר יְדִיעַ, דְּהַאי אַבְנָא דְּקִירְטָא אִזְדְּרִיקַת לַאֲתַר יְדִיעַ, </w:t>
      </w:r>
      <w:r w:rsidRPr="00007309">
        <w:rPr>
          <w:rFonts w:cs="Arial"/>
          <w:b/>
          <w:bCs/>
          <w:sz w:val="36"/>
          <w:szCs w:val="28"/>
          <w:vertAlign w:val="superscript"/>
          <w:rtl/>
        </w:rPr>
        <w:footnoteReference w:id="7416"/>
      </w:r>
      <w:r w:rsidRPr="00007309">
        <w:rPr>
          <w:rFonts w:cs="Arial"/>
          <w:b/>
          <w:bCs/>
          <w:sz w:val="24"/>
          <w:szCs w:val="24"/>
          <w:rtl/>
        </w:rPr>
        <w:t xml:space="preserve">הָכֵי צָרִיךְ לְסָלְקָא מַחֲשַׁבְתָּא בִּצְלוֹתָא בְּהַאי תָּגָא </w:t>
      </w:r>
      <w:r w:rsidRPr="00007309">
        <w:rPr>
          <w:rFonts w:cs="Arial"/>
          <w:b/>
          <w:bCs/>
          <w:sz w:val="36"/>
          <w:szCs w:val="28"/>
          <w:vertAlign w:val="superscript"/>
          <w:rtl/>
        </w:rPr>
        <w:footnoteReference w:id="7417"/>
      </w:r>
      <w:r w:rsidRPr="00007309">
        <w:rPr>
          <w:rFonts w:cs="Arial"/>
          <w:b/>
          <w:bCs/>
          <w:sz w:val="24"/>
          <w:szCs w:val="24"/>
          <w:rtl/>
        </w:rPr>
        <w:t xml:space="preserve">דְּאִיהִי אֶבֶן מֻכְלֶלֶת </w:t>
      </w:r>
      <w:r w:rsidRPr="00007309">
        <w:rPr>
          <w:rFonts w:ascii="Cambria" w:hAnsi="Cambria" w:cs="Times New Roman" w:hint="cs"/>
          <w:b/>
          <w:bCs/>
          <w:i/>
          <w:iCs/>
          <w:color w:val="4F81BD"/>
          <w:sz w:val="24"/>
          <w:szCs w:val="24"/>
          <w:rtl/>
        </w:rPr>
        <w:t>(וילנא כט ע"א)</w:t>
      </w:r>
      <w:r w:rsidRPr="00007309">
        <w:rPr>
          <w:rFonts w:cs="Arial" w:hint="cs"/>
          <w:b/>
          <w:bCs/>
          <w:sz w:val="24"/>
          <w:szCs w:val="24"/>
          <w:rtl/>
        </w:rPr>
        <w:t xml:space="preserve"> </w:t>
      </w:r>
      <w:r w:rsidRPr="00007309">
        <w:rPr>
          <w:rFonts w:cs="Arial"/>
          <w:b/>
          <w:bCs/>
          <w:sz w:val="24"/>
          <w:szCs w:val="24"/>
          <w:rtl/>
        </w:rPr>
        <w:t>וּמְעֻטֶרֶת</w:t>
      </w:r>
      <w:r w:rsidRPr="00007309">
        <w:rPr>
          <w:rFonts w:cs="Arial" w:hint="cs"/>
          <w:b/>
          <w:bCs/>
          <w:sz w:val="24"/>
          <w:szCs w:val="24"/>
          <w:rtl/>
        </w:rPr>
        <w:t>,</w:t>
      </w:r>
      <w:r w:rsidRPr="00007309">
        <w:rPr>
          <w:rFonts w:cs="Arial"/>
          <w:b/>
          <w:bCs/>
          <w:sz w:val="24"/>
          <w:szCs w:val="24"/>
          <w:rtl/>
        </w:rPr>
        <w:t xml:space="preserve"> דְּאִתְּמַר כָּל הַזּוֹקֵף זוֹקֵף בַּשֵּׁם</w:t>
      </w:r>
      <w:r w:rsidRPr="00007309">
        <w:rPr>
          <w:rFonts w:cs="Arial" w:hint="cs"/>
          <w:b/>
          <w:bCs/>
          <w:sz w:val="24"/>
          <w:szCs w:val="24"/>
          <w:rtl/>
        </w:rPr>
        <w:t>,</w:t>
      </w:r>
      <w:r w:rsidRPr="00007309">
        <w:rPr>
          <w:rFonts w:cs="Arial"/>
          <w:b/>
          <w:bCs/>
          <w:sz w:val="24"/>
          <w:szCs w:val="24"/>
          <w:rtl/>
        </w:rPr>
        <w:t xml:space="preserve"> צָרִיךְ לְסָלְקָא לֵהּ </w:t>
      </w:r>
      <w:r w:rsidRPr="00007309">
        <w:rPr>
          <w:rFonts w:cs="Arial"/>
          <w:b/>
          <w:bCs/>
          <w:sz w:val="36"/>
          <w:szCs w:val="28"/>
          <w:vertAlign w:val="superscript"/>
          <w:rtl/>
        </w:rPr>
        <w:footnoteReference w:id="7418"/>
      </w:r>
      <w:r w:rsidRPr="00007309">
        <w:rPr>
          <w:rFonts w:cs="Arial"/>
          <w:b/>
          <w:bCs/>
          <w:sz w:val="24"/>
          <w:szCs w:val="24"/>
          <w:rtl/>
        </w:rPr>
        <w:t>לַאֲתַר דְּאִתְנַטְלַת</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419"/>
      </w:r>
      <w:r w:rsidRPr="00007309">
        <w:rPr>
          <w:rFonts w:cs="Arial"/>
          <w:b/>
          <w:bCs/>
          <w:sz w:val="24"/>
          <w:szCs w:val="24"/>
          <w:rtl/>
        </w:rPr>
        <w:t>וּבְהַהִיא שַׁעֲתָא דְּסָלִיק לָהּ לְגַבֵּי בַּעְלָהּ</w:t>
      </w:r>
      <w:r w:rsidRPr="00007309">
        <w:rPr>
          <w:rFonts w:cs="Arial" w:hint="cs"/>
          <w:b/>
          <w:bCs/>
          <w:sz w:val="24"/>
          <w:szCs w:val="24"/>
          <w:rtl/>
        </w:rPr>
        <w:t>,</w:t>
      </w:r>
      <w:r w:rsidRPr="00007309">
        <w:rPr>
          <w:rFonts w:cs="Arial"/>
          <w:b/>
          <w:bCs/>
          <w:sz w:val="24"/>
          <w:szCs w:val="24"/>
          <w:rtl/>
        </w:rPr>
        <w:t xml:space="preserve"> אֲפִלּוּ נָחָשׁ כָּרוּךְ עַל עֲקֵבוֹ לֹא יַפְסִיק</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420"/>
      </w:r>
      <w:r w:rsidRPr="00007309">
        <w:rPr>
          <w:rFonts w:cs="Arial"/>
          <w:b/>
          <w:bCs/>
          <w:sz w:val="24"/>
          <w:szCs w:val="24"/>
          <w:rtl/>
        </w:rPr>
        <w:t>אַף עַל גַּב דְּאִתְּמַר בַּהּ (בראשית</w:t>
      </w:r>
      <w:r w:rsidRPr="00007309">
        <w:rPr>
          <w:rFonts w:cs="Arial" w:hint="cs"/>
          <w:b/>
          <w:bCs/>
          <w:sz w:val="24"/>
          <w:szCs w:val="24"/>
          <w:rtl/>
        </w:rPr>
        <w:t xml:space="preserve"> ג טו</w:t>
      </w:r>
      <w:r w:rsidRPr="00007309">
        <w:rPr>
          <w:rFonts w:cs="Arial"/>
          <w:b/>
          <w:bCs/>
          <w:sz w:val="24"/>
          <w:szCs w:val="24"/>
          <w:rtl/>
        </w:rPr>
        <w:t>) וְאַתָּה תְּשׁוּפֶנּוּ עָקֵב</w:t>
      </w:r>
      <w:r w:rsidRPr="00007309">
        <w:rPr>
          <w:rFonts w:cs="Arial" w:hint="cs"/>
          <w:b/>
          <w:bCs/>
          <w:sz w:val="24"/>
          <w:szCs w:val="24"/>
          <w:rtl/>
        </w:rPr>
        <w:t>,</w:t>
      </w:r>
      <w:r w:rsidRPr="00007309">
        <w:rPr>
          <w:rFonts w:cs="Arial"/>
          <w:b/>
          <w:bCs/>
          <w:sz w:val="24"/>
          <w:szCs w:val="24"/>
          <w:rtl/>
        </w:rPr>
        <w:t xml:space="preserve"> </w:t>
      </w:r>
      <w:r w:rsidRPr="00007309">
        <w:rPr>
          <w:rFonts w:ascii="Cambria" w:hAnsi="Cambria" w:cs="Times New Roman" w:hint="cs"/>
          <w:b/>
          <w:bCs/>
          <w:i/>
          <w:iCs/>
          <w:color w:val="4F81BD"/>
          <w:sz w:val="24"/>
          <w:szCs w:val="24"/>
          <w:rtl/>
        </w:rPr>
        <w:t>(פב ע"א)</w:t>
      </w:r>
      <w:r w:rsidRPr="00007309">
        <w:rPr>
          <w:rFonts w:cs="Arial" w:hint="cs"/>
          <w:b/>
          <w:bCs/>
          <w:sz w:val="24"/>
          <w:szCs w:val="24"/>
          <w:rtl/>
        </w:rPr>
        <w:t xml:space="preserve"> </w:t>
      </w:r>
      <w:r w:rsidRPr="00007309">
        <w:rPr>
          <w:rFonts w:cs="Arial"/>
          <w:b/>
          <w:bCs/>
          <w:sz w:val="36"/>
          <w:szCs w:val="28"/>
          <w:vertAlign w:val="superscript"/>
          <w:rtl/>
        </w:rPr>
        <w:footnoteReference w:id="7421"/>
      </w:r>
      <w:r w:rsidRPr="00007309">
        <w:rPr>
          <w:rFonts w:cs="Arial"/>
          <w:b/>
          <w:bCs/>
          <w:sz w:val="24"/>
          <w:szCs w:val="24"/>
          <w:rtl/>
        </w:rPr>
        <w:t>הַהִיא אֶבֶן דְּאִיהִי י' דְּיַעֲקֹב</w:t>
      </w:r>
      <w:r w:rsidRPr="00007309">
        <w:rPr>
          <w:rFonts w:cs="Arial" w:hint="cs"/>
          <w:b/>
          <w:bCs/>
          <w:sz w:val="24"/>
          <w:szCs w:val="24"/>
          <w:rtl/>
        </w:rPr>
        <w:t>,</w:t>
      </w:r>
      <w:r w:rsidRPr="00007309">
        <w:rPr>
          <w:rFonts w:cs="Arial"/>
          <w:b/>
          <w:bCs/>
          <w:sz w:val="24"/>
          <w:szCs w:val="24"/>
          <w:rtl/>
        </w:rPr>
        <w:t xml:space="preserve"> דְּאִתְּמַר בָּהּ (בראשית מט) מִשָּׁם רוֹעֵה אֶבֶן יִשְׂרָאֵל</w:t>
      </w:r>
      <w:r w:rsidRPr="00007309">
        <w:rPr>
          <w:rFonts w:cs="Arial" w:hint="cs"/>
          <w:b/>
          <w:bCs/>
          <w:sz w:val="24"/>
          <w:szCs w:val="24"/>
          <w:rtl/>
        </w:rPr>
        <w:t>,</w:t>
      </w:r>
      <w:r w:rsidRPr="00007309">
        <w:rPr>
          <w:rFonts w:cs="Arial"/>
          <w:b/>
          <w:bCs/>
          <w:sz w:val="24"/>
          <w:szCs w:val="24"/>
          <w:rtl/>
        </w:rPr>
        <w:t xml:space="preserve"> לֹא יַפְסִיק לְסַלְקָא לָהּ לְהַהוּא אֲתַר דְּאִתְנְטִילַת מֵעַמּוּדָא דְּאֶמְצָעִיתָא</w:t>
      </w:r>
      <w:r w:rsidRPr="00007309">
        <w:rPr>
          <w:rFonts w:cs="Arial" w:hint="cs"/>
          <w:b/>
          <w:bCs/>
          <w:sz w:val="24"/>
          <w:szCs w:val="24"/>
          <w:rtl/>
        </w:rPr>
        <w:t>,</w:t>
      </w:r>
      <w:r w:rsidRPr="00007309">
        <w:rPr>
          <w:rFonts w:cs="Arial"/>
          <w:b/>
          <w:bCs/>
          <w:sz w:val="24"/>
          <w:szCs w:val="24"/>
          <w:rtl/>
        </w:rPr>
        <w:t xml:space="preserve"> צָרִיךְ לְסָלְקָא לָהּ עַד אֵין סוֹף. </w:t>
      </w:r>
      <w:r w:rsidRPr="00007309">
        <w:rPr>
          <w:rFonts w:cs="Arial"/>
          <w:b/>
          <w:bCs/>
          <w:sz w:val="36"/>
          <w:szCs w:val="28"/>
          <w:vertAlign w:val="superscript"/>
          <w:rtl/>
        </w:rPr>
        <w:footnoteReference w:id="7422"/>
      </w:r>
      <w:r w:rsidRPr="00007309">
        <w:rPr>
          <w:rFonts w:cs="Arial"/>
          <w:b/>
          <w:bCs/>
          <w:sz w:val="24"/>
          <w:szCs w:val="24"/>
          <w:rtl/>
        </w:rPr>
        <w:t>וְכַד נָחִית לָהּ</w:t>
      </w:r>
      <w:r w:rsidRPr="00007309">
        <w:rPr>
          <w:rFonts w:cs="Arial" w:hint="cs"/>
          <w:b/>
          <w:bCs/>
          <w:sz w:val="24"/>
          <w:szCs w:val="24"/>
          <w:rtl/>
        </w:rPr>
        <w:t>,</w:t>
      </w:r>
      <w:r w:rsidRPr="00007309">
        <w:rPr>
          <w:rFonts w:cs="Arial"/>
          <w:b/>
          <w:bCs/>
          <w:sz w:val="24"/>
          <w:szCs w:val="24"/>
          <w:rtl/>
        </w:rPr>
        <w:t xml:space="preserve"> אִתְּמַר בַּהּ כָּל הַכּוֹרֵעַ כּוֹרֵעַ בְּבָרוּךְ. (נ"א נחית לה) </w:t>
      </w:r>
      <w:r w:rsidRPr="00007309">
        <w:rPr>
          <w:rFonts w:cs="Arial"/>
          <w:b/>
          <w:bCs/>
          <w:sz w:val="36"/>
          <w:szCs w:val="28"/>
          <w:vertAlign w:val="superscript"/>
          <w:rtl/>
        </w:rPr>
        <w:footnoteReference w:id="7423"/>
      </w:r>
      <w:r w:rsidRPr="00007309">
        <w:rPr>
          <w:rFonts w:cs="Arial"/>
          <w:b/>
          <w:bCs/>
          <w:sz w:val="24"/>
          <w:szCs w:val="24"/>
          <w:rtl/>
        </w:rPr>
        <w:t>בֵּהּ צָרִיךְ לְסָלְקָא לָהּ</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424"/>
      </w:r>
      <w:r w:rsidRPr="00007309">
        <w:rPr>
          <w:rFonts w:cs="Arial"/>
          <w:b/>
          <w:bCs/>
          <w:sz w:val="24"/>
          <w:szCs w:val="24"/>
          <w:rtl/>
        </w:rPr>
        <w:t xml:space="preserve">עַד אֵין סוֹף </w:t>
      </w:r>
      <w:r w:rsidRPr="00007309">
        <w:rPr>
          <w:rFonts w:cs="Arial"/>
          <w:b/>
          <w:bCs/>
          <w:sz w:val="36"/>
          <w:szCs w:val="28"/>
          <w:vertAlign w:val="superscript"/>
          <w:rtl/>
        </w:rPr>
        <w:footnoteReference w:id="7425"/>
      </w:r>
      <w:r w:rsidRPr="00007309">
        <w:rPr>
          <w:rFonts w:cs="Arial"/>
          <w:b/>
          <w:bCs/>
          <w:sz w:val="24"/>
          <w:szCs w:val="24"/>
          <w:rtl/>
        </w:rPr>
        <w:t>וְעַד אֵין תַּכְלִית. וְלֹא יַפְסִיק לָהּ מִינֵהּ</w:t>
      </w:r>
      <w:r w:rsidRPr="00007309">
        <w:rPr>
          <w:rFonts w:cs="Arial" w:hint="cs"/>
          <w:b/>
          <w:bCs/>
          <w:sz w:val="24"/>
          <w:szCs w:val="24"/>
          <w:rtl/>
        </w:rPr>
        <w:t>,</w:t>
      </w:r>
      <w:r w:rsidRPr="00007309">
        <w:rPr>
          <w:rFonts w:cs="Arial"/>
          <w:b/>
          <w:bCs/>
          <w:sz w:val="24"/>
          <w:szCs w:val="24"/>
          <w:rtl/>
        </w:rPr>
        <w:t xml:space="preserve"> לֹא לְעֵלָּא וְלֹא לְתַתָּא. </w:t>
      </w:r>
      <w:r w:rsidRPr="00007309">
        <w:rPr>
          <w:rFonts w:cs="Arial"/>
          <w:b/>
          <w:bCs/>
          <w:sz w:val="36"/>
          <w:szCs w:val="28"/>
          <w:vertAlign w:val="superscript"/>
          <w:rtl/>
        </w:rPr>
        <w:footnoteReference w:id="7426"/>
      </w:r>
      <w:r w:rsidRPr="00007309">
        <w:rPr>
          <w:rFonts w:cs="Arial"/>
          <w:b/>
          <w:bCs/>
          <w:sz w:val="24"/>
          <w:szCs w:val="24"/>
          <w:rtl/>
        </w:rPr>
        <w:t>לְזִמְנִין אִיהוּ בַּעְלָהּ ו' בְּצַדִּיק</w:t>
      </w:r>
      <w:r w:rsidRPr="00007309">
        <w:rPr>
          <w:rFonts w:cs="Arial" w:hint="cs"/>
          <w:b/>
          <w:bCs/>
          <w:sz w:val="24"/>
          <w:szCs w:val="24"/>
          <w:rtl/>
        </w:rPr>
        <w:t>,</w:t>
      </w:r>
      <w:r w:rsidRPr="00007309">
        <w:rPr>
          <w:rFonts w:cs="Arial"/>
          <w:b/>
          <w:bCs/>
          <w:sz w:val="24"/>
          <w:szCs w:val="24"/>
          <w:rtl/>
        </w:rPr>
        <w:t xml:space="preserve"> בְּשִׁית פִּרְקִין דִּתְרֵין שׁוֹקִין נְחִיתַת לְגַבֵּהּ בִּתְרֵין שׁוֹקִין. לְזִמְנִין אִיהוּ בַּעְלָהּ ו' בִּתְרֵין דְּרוֹעִין</w:t>
      </w:r>
      <w:r w:rsidRPr="00007309">
        <w:rPr>
          <w:rFonts w:cs="Arial" w:hint="cs"/>
          <w:b/>
          <w:bCs/>
          <w:sz w:val="24"/>
          <w:szCs w:val="24"/>
          <w:rtl/>
        </w:rPr>
        <w:t>,</w:t>
      </w:r>
      <w:r w:rsidRPr="00007309">
        <w:rPr>
          <w:rFonts w:cs="Arial"/>
          <w:b/>
          <w:bCs/>
          <w:sz w:val="24"/>
          <w:szCs w:val="24"/>
          <w:rtl/>
        </w:rPr>
        <w:t xml:space="preserve"> בְּשִׁית פִּרְקִין סְלִיקַת לְגַבֵּהּ בִּתְרֵין דְּרוֹעִין. </w:t>
      </w:r>
      <w:r w:rsidRPr="00007309">
        <w:rPr>
          <w:rFonts w:cs="Arial"/>
          <w:b/>
          <w:bCs/>
          <w:sz w:val="36"/>
          <w:szCs w:val="28"/>
          <w:vertAlign w:val="superscript"/>
          <w:rtl/>
        </w:rPr>
        <w:footnoteReference w:id="7427"/>
      </w:r>
      <w:r w:rsidRPr="00007309">
        <w:rPr>
          <w:rFonts w:cs="Arial"/>
          <w:b/>
          <w:bCs/>
          <w:sz w:val="24"/>
          <w:szCs w:val="24"/>
          <w:rtl/>
        </w:rPr>
        <w:t>לְזִמְנִין אִיהוּ בַּעְלָהּ בֵּין אַבָּא</w:t>
      </w:r>
      <w:r w:rsidRPr="00007309">
        <w:rPr>
          <w:rFonts w:cs="Arial"/>
          <w:b/>
          <w:bCs/>
          <w:sz w:val="24"/>
          <w:szCs w:val="24"/>
        </w:rPr>
        <w:t xml:space="preserve"> </w:t>
      </w:r>
      <w:r w:rsidRPr="00007309">
        <w:rPr>
          <w:rFonts w:cs="Arial"/>
          <w:b/>
          <w:bCs/>
          <w:sz w:val="24"/>
          <w:szCs w:val="24"/>
          <w:rtl/>
        </w:rPr>
        <w:t>וְאִמָּא, בֵּ'ן יָ'הּ</w:t>
      </w:r>
      <w:r w:rsidRPr="00007309">
        <w:rPr>
          <w:rFonts w:cs="Arial" w:hint="cs"/>
          <w:b/>
          <w:bCs/>
          <w:sz w:val="24"/>
          <w:szCs w:val="24"/>
          <w:rtl/>
        </w:rPr>
        <w:t>,</w:t>
      </w:r>
      <w:r w:rsidRPr="00007309">
        <w:rPr>
          <w:rFonts w:cs="Arial"/>
          <w:b/>
          <w:bCs/>
          <w:sz w:val="24"/>
          <w:szCs w:val="24"/>
          <w:rtl/>
        </w:rPr>
        <w:t xml:space="preserve"> צָרִיךְ לְסָלְקָא לָהּ לְגַבֵּ</w:t>
      </w:r>
      <w:r w:rsidRPr="00007309">
        <w:rPr>
          <w:rFonts w:cs="Arial" w:hint="cs"/>
          <w:b/>
          <w:bCs/>
          <w:sz w:val="24"/>
          <w:szCs w:val="24"/>
          <w:rtl/>
        </w:rPr>
        <w:t>ה</w:t>
      </w:r>
      <w:r w:rsidRPr="00007309">
        <w:rPr>
          <w:rFonts w:cs="Arial"/>
          <w:b/>
          <w:bCs/>
          <w:sz w:val="24"/>
          <w:szCs w:val="24"/>
          <w:rtl/>
        </w:rPr>
        <w:t xml:space="preserve"> תַּמָּן. לְזִמְנִין אִיהוּ בַּעְלָהּ בְּ</w:t>
      </w:r>
      <w:r w:rsidRPr="00007309">
        <w:rPr>
          <w:rFonts w:cs="Arial" w:hint="cs"/>
          <w:b/>
          <w:bCs/>
          <w:sz w:val="24"/>
          <w:szCs w:val="24"/>
          <w:rtl/>
        </w:rPr>
        <w:t>כ</w:t>
      </w:r>
      <w:r w:rsidRPr="00007309">
        <w:rPr>
          <w:rFonts w:cs="Arial"/>
          <w:b/>
          <w:bCs/>
          <w:sz w:val="24"/>
          <w:szCs w:val="24"/>
          <w:rtl/>
        </w:rPr>
        <w:t>ֶתֶר</w:t>
      </w:r>
      <w:r w:rsidRPr="00007309">
        <w:rPr>
          <w:rFonts w:cs="Arial" w:hint="cs"/>
          <w:b/>
          <w:bCs/>
          <w:sz w:val="24"/>
          <w:szCs w:val="24"/>
          <w:rtl/>
        </w:rPr>
        <w:t>,</w:t>
      </w:r>
      <w:r w:rsidRPr="00007309">
        <w:rPr>
          <w:rFonts w:cs="Arial"/>
          <w:b/>
          <w:bCs/>
          <w:sz w:val="24"/>
          <w:szCs w:val="24"/>
          <w:rtl/>
        </w:rPr>
        <w:t xml:space="preserve"> ו' בֵּין י"י כְּגַוְנָא דָּא א</w:t>
      </w:r>
      <w:r w:rsidRPr="00007309">
        <w:rPr>
          <w:rFonts w:cs="Arial" w:hint="cs"/>
          <w:b/>
          <w:bCs/>
          <w:sz w:val="24"/>
          <w:szCs w:val="24"/>
          <w:rtl/>
        </w:rPr>
        <w:t>,</w:t>
      </w:r>
      <w:r w:rsidRPr="00007309">
        <w:rPr>
          <w:rFonts w:cs="Arial"/>
          <w:b/>
          <w:bCs/>
          <w:sz w:val="24"/>
          <w:szCs w:val="24"/>
          <w:rtl/>
        </w:rPr>
        <w:t xml:space="preserve"> צָרִיךְ לְסָלְקָא לָהּ לְגַבֵּ</w:t>
      </w:r>
      <w:r w:rsidRPr="00007309">
        <w:rPr>
          <w:rFonts w:cs="Arial" w:hint="cs"/>
          <w:b/>
          <w:bCs/>
          <w:sz w:val="24"/>
          <w:szCs w:val="24"/>
          <w:rtl/>
        </w:rPr>
        <w:t>ה</w:t>
      </w:r>
      <w:r w:rsidRPr="00007309">
        <w:rPr>
          <w:rFonts w:cs="Arial"/>
          <w:b/>
          <w:bCs/>
          <w:sz w:val="24"/>
          <w:szCs w:val="24"/>
          <w:rtl/>
        </w:rPr>
        <w:t>ּ. וְכַד סְלִיקַת תַּמָּן לְגַבֵּהּ אִתְּמַר בָּהּ (תהלים קיח) אֶבֶן מָאֲסוּ הַבּוֹנִים וְגוֹ'</w:t>
      </w:r>
      <w:r w:rsidRPr="00007309">
        <w:rPr>
          <w:rFonts w:cs="Arial" w:hint="cs"/>
          <w:b/>
          <w:bCs/>
          <w:sz w:val="24"/>
          <w:szCs w:val="24"/>
          <w:rtl/>
        </w:rPr>
        <w:t>.</w:t>
      </w:r>
      <w:r w:rsidRPr="00007309">
        <w:rPr>
          <w:rFonts w:cs="Arial"/>
          <w:b/>
          <w:bCs/>
          <w:sz w:val="24"/>
          <w:szCs w:val="24"/>
          <w:rtl/>
        </w:rPr>
        <w:t xml:space="preserve"> כַּד אִיהִי סְלִיקַת לְעֵלָּא </w:t>
      </w:r>
      <w:r w:rsidRPr="00007309">
        <w:rPr>
          <w:rFonts w:cs="Arial"/>
          <w:b/>
          <w:bCs/>
          <w:sz w:val="36"/>
          <w:szCs w:val="28"/>
          <w:vertAlign w:val="superscript"/>
          <w:rtl/>
        </w:rPr>
        <w:footnoteReference w:id="7428"/>
      </w:r>
      <w:r w:rsidRPr="00007309">
        <w:rPr>
          <w:rFonts w:cs="Arial"/>
          <w:b/>
          <w:bCs/>
          <w:sz w:val="24"/>
          <w:szCs w:val="24"/>
          <w:rtl/>
        </w:rPr>
        <w:t xml:space="preserve">בְּרֵישָׁא דְּכָל רֵישִׁין, שָׁאֲלִין בְּגִינָהּ מַלְאָכַיָּא </w:t>
      </w:r>
      <w:r w:rsidRPr="00007309">
        <w:rPr>
          <w:rFonts w:cs="Arial"/>
          <w:b/>
          <w:bCs/>
          <w:sz w:val="36"/>
          <w:szCs w:val="28"/>
          <w:vertAlign w:val="superscript"/>
          <w:rtl/>
        </w:rPr>
        <w:footnoteReference w:id="7429"/>
      </w:r>
      <w:r w:rsidRPr="00007309">
        <w:rPr>
          <w:rFonts w:cs="Arial"/>
          <w:b/>
          <w:bCs/>
          <w:sz w:val="24"/>
          <w:szCs w:val="24"/>
          <w:rtl/>
        </w:rPr>
        <w:t>אַיֵּה מְקוֹם כְּבוֹדוֹ לְהַעֲרִיצוֹ. וְכַד סָלְקָא לא' (נ"א לע</w:t>
      </w:r>
      <w:r w:rsidRPr="00007309">
        <w:rPr>
          <w:rFonts w:cs="Arial" w:hint="cs"/>
          <w:b/>
          <w:bCs/>
          <w:sz w:val="24"/>
          <w:szCs w:val="24"/>
          <w:rtl/>
        </w:rPr>
        <w:t>י</w:t>
      </w:r>
      <w:r w:rsidRPr="00007309">
        <w:rPr>
          <w:rFonts w:cs="Arial"/>
          <w:b/>
          <w:bCs/>
          <w:sz w:val="24"/>
          <w:szCs w:val="24"/>
          <w:rtl/>
        </w:rPr>
        <w:t>לא) אִיהִי תָּגָא בְּרֵישָׁא דְּא'</w:t>
      </w:r>
      <w:r w:rsidRPr="00007309">
        <w:rPr>
          <w:rFonts w:cs="Arial" w:hint="cs"/>
          <w:b/>
          <w:bCs/>
          <w:sz w:val="24"/>
          <w:szCs w:val="24"/>
          <w:rtl/>
        </w:rPr>
        <w:t>,</w:t>
      </w:r>
      <w:r w:rsidRPr="00007309">
        <w:rPr>
          <w:rFonts w:cs="Arial"/>
          <w:b/>
          <w:bCs/>
          <w:sz w:val="24"/>
          <w:szCs w:val="24"/>
          <w:rtl/>
        </w:rPr>
        <w:t xml:space="preserve"> עֲטָרָה עַל רֵישֵׁהּ</w:t>
      </w:r>
      <w:r w:rsidRPr="00007309">
        <w:rPr>
          <w:rFonts w:cs="Arial" w:hint="cs"/>
          <w:b/>
          <w:bCs/>
          <w:sz w:val="24"/>
          <w:szCs w:val="24"/>
          <w:rtl/>
        </w:rPr>
        <w:t>.</w:t>
      </w:r>
      <w:r w:rsidRPr="00007309">
        <w:rPr>
          <w:rFonts w:cs="Arial"/>
          <w:b/>
          <w:bCs/>
          <w:sz w:val="24"/>
          <w:szCs w:val="24"/>
          <w:rtl/>
        </w:rPr>
        <w:t xml:space="preserve"> כַּד נַחְתָּא</w:t>
      </w:r>
      <w:r w:rsidRPr="00007309">
        <w:rPr>
          <w:rFonts w:cs="Arial" w:hint="cs"/>
          <w:b/>
          <w:bCs/>
          <w:sz w:val="24"/>
          <w:szCs w:val="24"/>
          <w:rtl/>
        </w:rPr>
        <w:t>,</w:t>
      </w:r>
      <w:r w:rsidRPr="00007309">
        <w:rPr>
          <w:rFonts w:cs="Arial"/>
          <w:b/>
          <w:bCs/>
          <w:sz w:val="24"/>
          <w:szCs w:val="24"/>
          <w:rtl/>
        </w:rPr>
        <w:t xml:space="preserve"> בֵּהּ נַחְתָּא</w:t>
      </w:r>
      <w:r w:rsidRPr="00007309">
        <w:rPr>
          <w:rFonts w:cs="Arial" w:hint="cs"/>
          <w:b/>
          <w:bCs/>
          <w:sz w:val="24"/>
          <w:szCs w:val="24"/>
          <w:rtl/>
        </w:rPr>
        <w:t>,</w:t>
      </w:r>
      <w:r w:rsidRPr="00007309">
        <w:rPr>
          <w:rFonts w:cs="Arial"/>
          <w:b/>
          <w:bCs/>
          <w:sz w:val="24"/>
          <w:szCs w:val="24"/>
          <w:rtl/>
        </w:rPr>
        <w:t xml:space="preserve"> וְאִתְעֲבִיד </w:t>
      </w:r>
      <w:r w:rsidRPr="00007309">
        <w:rPr>
          <w:rFonts w:cs="Arial"/>
          <w:b/>
          <w:bCs/>
          <w:noProof/>
          <w:sz w:val="24"/>
          <w:szCs w:val="24"/>
          <w:rtl/>
        </w:rPr>
        <w:drawing>
          <wp:inline distT="0" distB="0" distL="0" distR="0" wp14:anchorId="21F3E696" wp14:editId="24E1CD0E">
            <wp:extent cx="219075" cy="266700"/>
            <wp:effectExtent l="0" t="0" r="9525" b="0"/>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אלף חצי תחתון.jpg"/>
                    <pic:cNvPicPr/>
                  </pic:nvPicPr>
                  <pic:blipFill>
                    <a:blip r:embed="rId13">
                      <a:extLst>
                        <a:ext uri="{28A0092B-C50C-407E-A947-70E740481C1C}">
                          <a14:useLocalDpi xmlns:a14="http://schemas.microsoft.com/office/drawing/2010/main" val="0"/>
                        </a:ext>
                      </a:extLst>
                    </a:blip>
                    <a:stretch>
                      <a:fillRect/>
                    </a:stretch>
                  </pic:blipFill>
                  <pic:spPr>
                    <a:xfrm>
                      <a:off x="0" y="0"/>
                      <a:ext cx="219075" cy="266700"/>
                    </a:xfrm>
                    <a:prstGeom prst="rect">
                      <a:avLst/>
                    </a:prstGeom>
                  </pic:spPr>
                </pic:pic>
              </a:graphicData>
            </a:graphic>
          </wp:inline>
        </w:drawing>
      </w:r>
      <w:r w:rsidRPr="00007309">
        <w:rPr>
          <w:rFonts w:cs="Arial"/>
          <w:b/>
          <w:bCs/>
          <w:sz w:val="24"/>
          <w:szCs w:val="24"/>
          <w:rtl/>
        </w:rPr>
        <w:t xml:space="preserve"> נְקֻדָּה לְתַתָּא מִנֵּהּ. </w:t>
      </w:r>
      <w:r w:rsidRPr="00007309">
        <w:rPr>
          <w:rFonts w:cs="Arial"/>
          <w:b/>
          <w:bCs/>
          <w:sz w:val="36"/>
          <w:szCs w:val="28"/>
          <w:vertAlign w:val="superscript"/>
          <w:rtl/>
        </w:rPr>
        <w:footnoteReference w:id="7430"/>
      </w:r>
      <w:r w:rsidRPr="00007309">
        <w:rPr>
          <w:rFonts w:cs="Arial"/>
          <w:b/>
          <w:bCs/>
          <w:sz w:val="24"/>
          <w:szCs w:val="24"/>
          <w:rtl/>
        </w:rPr>
        <w:t>וּבְכָל דַּרְגָּא דִּסְלִיקַת הָכֵי נְחִיתַת. כַּד סְלִיקַת אִתְקְרִיאַת תָּגָא</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431"/>
      </w:r>
      <w:r w:rsidRPr="00007309">
        <w:rPr>
          <w:rFonts w:cs="Arial"/>
          <w:b/>
          <w:bCs/>
          <w:sz w:val="24"/>
          <w:szCs w:val="24"/>
          <w:rtl/>
        </w:rPr>
        <w:t>בְּרָזָא דְּטַעֲמֵי. וְכַד נְחִיתַת אִתְקְרִיאַת נְקֻדָּה</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432"/>
      </w:r>
      <w:r w:rsidRPr="00007309">
        <w:rPr>
          <w:rFonts w:cs="Arial"/>
          <w:b/>
          <w:bCs/>
          <w:sz w:val="24"/>
          <w:szCs w:val="24"/>
          <w:rtl/>
        </w:rPr>
        <w:t xml:space="preserve">וְכַד אִיהִי כְּגַוְנָא דָּא </w:t>
      </w:r>
      <w:r w:rsidRPr="00007309">
        <w:rPr>
          <w:rFonts w:cs="Arial" w:hint="cs"/>
          <w:b/>
          <w:bCs/>
          <w:sz w:val="24"/>
          <w:szCs w:val="24"/>
          <w:rtl/>
        </w:rPr>
        <w:t>'</w:t>
      </w:r>
      <w:r w:rsidRPr="00007309">
        <w:rPr>
          <w:rFonts w:cs="Arial"/>
          <w:b/>
          <w:bCs/>
          <w:sz w:val="24"/>
          <w:szCs w:val="24"/>
          <w:rtl/>
        </w:rPr>
        <w:t>אוּ</w:t>
      </w:r>
      <w:r w:rsidRPr="00007309">
        <w:rPr>
          <w:rFonts w:cs="Arial" w:hint="cs"/>
          <w:b/>
          <w:bCs/>
          <w:sz w:val="24"/>
          <w:szCs w:val="24"/>
          <w:rtl/>
        </w:rPr>
        <w:t>'</w:t>
      </w:r>
      <w:r w:rsidRPr="00007309">
        <w:rPr>
          <w:rFonts w:cs="Arial"/>
          <w:b/>
          <w:bCs/>
          <w:sz w:val="24"/>
          <w:szCs w:val="24"/>
          <w:rtl/>
        </w:rPr>
        <w:t xml:space="preserve"> מִתְיַחֲדָא עִמֵּהּ. וְכַד אִיהִי תָּגָא עַל רֵאשֵׁהּ אִתְקְרִיאַת </w:t>
      </w:r>
      <w:r w:rsidRPr="00007309">
        <w:rPr>
          <w:rFonts w:cs="Arial"/>
          <w:b/>
          <w:bCs/>
          <w:sz w:val="36"/>
          <w:szCs w:val="28"/>
          <w:vertAlign w:val="superscript"/>
          <w:rtl/>
        </w:rPr>
        <w:footnoteReference w:id="7433"/>
      </w:r>
      <w:r w:rsidRPr="00007309">
        <w:rPr>
          <w:rFonts w:cs="Arial"/>
          <w:b/>
          <w:bCs/>
          <w:sz w:val="24"/>
          <w:szCs w:val="24"/>
          <w:rtl/>
        </w:rPr>
        <w:t>אוֹת זַיִן</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434"/>
      </w:r>
      <w:r w:rsidRPr="00007309">
        <w:rPr>
          <w:rFonts w:cs="Arial"/>
          <w:b/>
          <w:bCs/>
          <w:sz w:val="24"/>
          <w:szCs w:val="24"/>
          <w:rtl/>
        </w:rPr>
        <w:t>כְּלִילָא מִנֵּהּ</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435"/>
      </w:r>
      <w:r w:rsidRPr="00007309">
        <w:rPr>
          <w:rFonts w:cs="Arial"/>
          <w:b/>
          <w:bCs/>
          <w:sz w:val="24"/>
          <w:szCs w:val="24"/>
          <w:rtl/>
        </w:rPr>
        <w:t>אוֹת בְּרִית דְּאִיהוּ שְׁבִיעָאָה דְּכֹלָּא שְׁבִיעִי</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436"/>
      </w:r>
      <w:r w:rsidRPr="00007309">
        <w:rPr>
          <w:rFonts w:cs="Arial"/>
          <w:b/>
          <w:bCs/>
          <w:sz w:val="24"/>
          <w:szCs w:val="24"/>
          <w:rtl/>
        </w:rPr>
        <w:t>וְדָא הַאי אַבְנָא אִיהִי בִּנְיָנָא דְּכָל עָלְמִין</w:t>
      </w:r>
      <w:r w:rsidRPr="00007309">
        <w:rPr>
          <w:rFonts w:cs="Arial" w:hint="cs"/>
          <w:b/>
          <w:bCs/>
          <w:sz w:val="24"/>
          <w:szCs w:val="24"/>
          <w:rtl/>
        </w:rPr>
        <w:t>,</w:t>
      </w:r>
      <w:r w:rsidRPr="00007309">
        <w:rPr>
          <w:rFonts w:cs="Arial"/>
          <w:b/>
          <w:bCs/>
          <w:sz w:val="24"/>
          <w:szCs w:val="24"/>
          <w:rtl/>
        </w:rPr>
        <w:t xml:space="preserve"> וּבְגִינַהּ אִתְּמַר (דברים כה) </w:t>
      </w:r>
      <w:r w:rsidRPr="00007309">
        <w:rPr>
          <w:rFonts w:cs="Arial"/>
          <w:b/>
          <w:bCs/>
          <w:sz w:val="36"/>
          <w:szCs w:val="28"/>
          <w:vertAlign w:val="superscript"/>
          <w:rtl/>
        </w:rPr>
        <w:footnoteReference w:id="7437"/>
      </w:r>
      <w:r w:rsidRPr="00007309">
        <w:rPr>
          <w:rFonts w:cs="Arial"/>
          <w:b/>
          <w:bCs/>
          <w:sz w:val="24"/>
          <w:szCs w:val="24"/>
          <w:rtl/>
        </w:rPr>
        <w:t xml:space="preserve">אֶבֶן שְׁלֵמָה וָצֶדֶק יִהְיֶה לְךָ. </w:t>
      </w:r>
      <w:r w:rsidRPr="00007309">
        <w:rPr>
          <w:rFonts w:cs="Arial"/>
          <w:b/>
          <w:bCs/>
          <w:sz w:val="36"/>
          <w:szCs w:val="28"/>
          <w:vertAlign w:val="superscript"/>
          <w:rtl/>
        </w:rPr>
        <w:footnoteReference w:id="7438"/>
      </w:r>
      <w:r w:rsidRPr="00007309">
        <w:rPr>
          <w:rFonts w:cs="Arial"/>
          <w:b/>
          <w:bCs/>
          <w:sz w:val="24"/>
          <w:szCs w:val="24"/>
          <w:rtl/>
        </w:rPr>
        <w:t xml:space="preserve">אִיהִי מִדָּה בֵּין כָּל סְפִירָה וּסְפִירָה, דְּכָל סְפִירָה בָּהּ סָלִיק לְעֶשֶׂר. </w:t>
      </w:r>
      <w:r w:rsidRPr="00007309">
        <w:rPr>
          <w:rFonts w:cs="Arial"/>
          <w:b/>
          <w:bCs/>
          <w:sz w:val="36"/>
          <w:szCs w:val="28"/>
          <w:vertAlign w:val="superscript"/>
          <w:rtl/>
        </w:rPr>
        <w:footnoteReference w:id="7439"/>
      </w:r>
      <w:r w:rsidRPr="00007309">
        <w:rPr>
          <w:rFonts w:cs="Arial"/>
          <w:b/>
          <w:bCs/>
          <w:sz w:val="24"/>
          <w:szCs w:val="24"/>
          <w:rtl/>
        </w:rPr>
        <w:t>שִׁעוּר דִּילַהּ ו'</w:t>
      </w:r>
      <w:r w:rsidRPr="00007309">
        <w:rPr>
          <w:rFonts w:cs="Arial" w:hint="cs"/>
          <w:b/>
          <w:bCs/>
          <w:sz w:val="24"/>
          <w:szCs w:val="24"/>
          <w:rtl/>
        </w:rPr>
        <w:t>,</w:t>
      </w:r>
      <w:r w:rsidRPr="00007309">
        <w:rPr>
          <w:rFonts w:cs="Arial"/>
          <w:b/>
          <w:bCs/>
          <w:sz w:val="24"/>
          <w:szCs w:val="24"/>
          <w:rtl/>
        </w:rPr>
        <w:t xml:space="preserve"> בָּהּ אִתְעֲבִיד אַמָּה, עֶשֶׂר אַמּוֹת אֹרֶךְ בֵּין כָּל סְפִירָה וּסְפִירָה</w:t>
      </w:r>
      <w:r w:rsidRPr="00007309">
        <w:rPr>
          <w:rFonts w:cs="Arial" w:hint="cs"/>
          <w:b/>
          <w:bCs/>
          <w:sz w:val="24"/>
          <w:szCs w:val="24"/>
          <w:rtl/>
        </w:rPr>
        <w:t>,</w:t>
      </w:r>
      <w:r w:rsidRPr="00007309">
        <w:rPr>
          <w:rFonts w:cs="Arial"/>
          <w:b/>
          <w:bCs/>
          <w:sz w:val="24"/>
          <w:szCs w:val="24"/>
          <w:rtl/>
        </w:rPr>
        <w:t xml:space="preserve"> וְרָזָא דְּמִלָּא </w:t>
      </w:r>
      <w:r w:rsidRPr="00007309">
        <w:rPr>
          <w:rFonts w:cs="Arial"/>
          <w:b/>
          <w:bCs/>
          <w:sz w:val="36"/>
          <w:szCs w:val="28"/>
          <w:vertAlign w:val="superscript"/>
          <w:rtl/>
        </w:rPr>
        <w:footnoteReference w:id="7440"/>
      </w:r>
      <w:r w:rsidRPr="00007309">
        <w:rPr>
          <w:rFonts w:cs="Arial"/>
          <w:b/>
          <w:bCs/>
          <w:sz w:val="24"/>
          <w:szCs w:val="24"/>
          <w:rtl/>
        </w:rPr>
        <w:t>עֶשֶׂר אַמּוֹת אֹרֶךְ הַקֶּרֶשׁ</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441"/>
      </w:r>
      <w:r w:rsidRPr="00007309">
        <w:rPr>
          <w:rFonts w:cs="Arial"/>
          <w:b/>
          <w:bCs/>
          <w:sz w:val="24"/>
          <w:szCs w:val="24"/>
          <w:rtl/>
        </w:rPr>
        <w:t xml:space="preserve">וּבֵין כָּל אַמָּה וְאַמָּה אִיהִי י', </w:t>
      </w:r>
      <w:r w:rsidRPr="00007309">
        <w:rPr>
          <w:rFonts w:cs="Arial"/>
          <w:b/>
          <w:bCs/>
          <w:sz w:val="36"/>
          <w:szCs w:val="28"/>
          <w:vertAlign w:val="superscript"/>
          <w:rtl/>
        </w:rPr>
        <w:footnoteReference w:id="7442"/>
      </w:r>
      <w:r w:rsidRPr="00007309">
        <w:rPr>
          <w:rFonts w:cs="Arial"/>
          <w:b/>
          <w:bCs/>
          <w:sz w:val="24"/>
          <w:szCs w:val="24"/>
          <w:rtl/>
        </w:rPr>
        <w:t>בֵּין פִּרְקָא וּפִרְקָא תַּשְׁכַּח לָהּ. וי' עֶשֶׂר זִמְנִין סְלִיקַת לְמֵאָה</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443"/>
      </w:r>
      <w:r w:rsidRPr="00007309">
        <w:rPr>
          <w:rFonts w:cs="Arial"/>
          <w:b/>
          <w:bCs/>
          <w:sz w:val="24"/>
          <w:szCs w:val="24"/>
          <w:rtl/>
        </w:rPr>
        <w:t>וְהִפּוּכָא דְּמֵאָה אַמָּ"ה</w:t>
      </w:r>
      <w:r w:rsidRPr="00007309">
        <w:rPr>
          <w:rFonts w:cs="Arial" w:hint="cs"/>
          <w:b/>
          <w:bCs/>
          <w:sz w:val="24"/>
          <w:szCs w:val="24"/>
          <w:rtl/>
        </w:rPr>
        <w:t>.</w:t>
      </w:r>
    </w:p>
    <w:p w:rsidR="00007309" w:rsidRPr="00007309" w:rsidRDefault="00007309" w:rsidP="00007309">
      <w:pPr>
        <w:keepNext/>
        <w:spacing w:before="240" w:after="60"/>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[וילנא כט ע"ב]</w:t>
      </w:r>
    </w:p>
    <w:p w:rsidR="00007309" w:rsidRPr="00007309" w:rsidRDefault="00007309" w:rsidP="00007309">
      <w:pPr>
        <w:jc w:val="both"/>
        <w:rPr>
          <w:rFonts w:cs="Arial"/>
          <w:b/>
          <w:bCs/>
          <w:sz w:val="24"/>
          <w:szCs w:val="24"/>
          <w:rtl/>
        </w:rPr>
      </w:pPr>
      <w:r w:rsidRPr="00007309">
        <w:rPr>
          <w:rFonts w:cs="Arial"/>
          <w:b/>
          <w:bCs/>
          <w:sz w:val="36"/>
          <w:szCs w:val="28"/>
          <w:vertAlign w:val="superscript"/>
          <w:rtl/>
        </w:rPr>
        <w:footnoteReference w:id="7444"/>
      </w:r>
      <w:r w:rsidRPr="00007309">
        <w:rPr>
          <w:rFonts w:cs="Arial"/>
          <w:b/>
          <w:bCs/>
          <w:sz w:val="24"/>
          <w:szCs w:val="24"/>
          <w:rtl/>
        </w:rPr>
        <w:t>כָּל מִדָּה וּמִדָּה אִתְקְרֵי עוֹלָם</w:t>
      </w:r>
      <w:r w:rsidRPr="00007309">
        <w:rPr>
          <w:rFonts w:cs="Arial" w:hint="cs"/>
          <w:b/>
          <w:bCs/>
          <w:sz w:val="24"/>
          <w:szCs w:val="24"/>
          <w:rtl/>
        </w:rPr>
        <w:t>,</w:t>
      </w:r>
      <w:r w:rsidRPr="00007309">
        <w:rPr>
          <w:rFonts w:cs="Arial"/>
          <w:b/>
          <w:bCs/>
          <w:sz w:val="24"/>
          <w:szCs w:val="24"/>
          <w:rtl/>
        </w:rPr>
        <w:t xml:space="preserve"> וְאִנּוּן י"ו</w:t>
      </w:r>
      <w:r w:rsidRPr="00007309">
        <w:rPr>
          <w:rFonts w:cs="Arial" w:hint="cs"/>
          <w:b/>
          <w:bCs/>
          <w:sz w:val="24"/>
          <w:szCs w:val="24"/>
          <w:rtl/>
        </w:rPr>
        <w:t>,</w:t>
      </w:r>
      <w:r w:rsidRPr="00007309">
        <w:rPr>
          <w:rFonts w:cs="Arial"/>
          <w:b/>
          <w:bCs/>
          <w:sz w:val="24"/>
          <w:szCs w:val="24"/>
          <w:rtl/>
        </w:rPr>
        <w:t xml:space="preserve"> שִׁעוּר וּמִדָּה</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445"/>
      </w:r>
      <w:r w:rsidRPr="00007309">
        <w:rPr>
          <w:rFonts w:cs="Arial"/>
          <w:b/>
          <w:bCs/>
          <w:sz w:val="24"/>
          <w:szCs w:val="24"/>
          <w:rtl/>
        </w:rPr>
        <w:t>ו' שָׁ</w:t>
      </w:r>
      <w:r w:rsidRPr="00007309">
        <w:rPr>
          <w:rFonts w:cs="Arial" w:hint="cs"/>
          <w:b/>
          <w:bCs/>
          <w:sz w:val="24"/>
          <w:szCs w:val="24"/>
          <w:rtl/>
        </w:rPr>
        <w:t>ק</w:t>
      </w:r>
      <w:r w:rsidRPr="00007309">
        <w:rPr>
          <w:rFonts w:cs="Arial"/>
          <w:b/>
          <w:bCs/>
          <w:sz w:val="24"/>
          <w:szCs w:val="24"/>
          <w:rtl/>
        </w:rPr>
        <w:t>ִ</w:t>
      </w:r>
      <w:r w:rsidRPr="00007309">
        <w:rPr>
          <w:rFonts w:cs="Arial" w:hint="cs"/>
          <w:b/>
          <w:bCs/>
          <w:sz w:val="24"/>
          <w:szCs w:val="24"/>
          <w:rtl/>
        </w:rPr>
        <w:t>י</w:t>
      </w:r>
      <w:r w:rsidRPr="00007309">
        <w:rPr>
          <w:rFonts w:cs="Arial"/>
          <w:b/>
          <w:bCs/>
          <w:sz w:val="24"/>
          <w:szCs w:val="24"/>
          <w:rtl/>
        </w:rPr>
        <w:t>ל</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446"/>
      </w:r>
      <w:r w:rsidRPr="00007309">
        <w:rPr>
          <w:rFonts w:cs="Arial"/>
          <w:b/>
          <w:bCs/>
          <w:sz w:val="24"/>
          <w:szCs w:val="24"/>
          <w:rtl/>
        </w:rPr>
        <w:t>י' מִדָּה דִּילֵהּ</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447"/>
      </w:r>
      <w:r w:rsidRPr="00007309">
        <w:rPr>
          <w:rFonts w:cs="Arial"/>
          <w:b/>
          <w:bCs/>
          <w:sz w:val="24"/>
          <w:szCs w:val="24"/>
          <w:rtl/>
        </w:rPr>
        <w:t>וְשִׁיעוּרָא דְּמִדָּה חָמֵשׁ אַמּוֹת אֹרֶךְ וְחָמֵשׁ אַמּוֹת רֹחַב. וְאִנּוּן לָקֳבֵל שִׁעוּר דְּכָל רָקִיעַ</w:t>
      </w:r>
      <w:r w:rsidRPr="00007309">
        <w:rPr>
          <w:rFonts w:cs="Arial" w:hint="cs"/>
          <w:b/>
          <w:bCs/>
          <w:sz w:val="24"/>
          <w:szCs w:val="24"/>
          <w:rtl/>
        </w:rPr>
        <w:t>,</w:t>
      </w:r>
      <w:r w:rsidRPr="00007309">
        <w:rPr>
          <w:rFonts w:cs="Arial"/>
          <w:b/>
          <w:bCs/>
          <w:sz w:val="24"/>
          <w:szCs w:val="24"/>
          <w:rtl/>
        </w:rPr>
        <w:t xml:space="preserve"> דְּמַהֲלַךְ ת"ק שָׁנָה אָרְכֵּהּ וְת"ק שָׁנָה פּוּתְיָא</w:t>
      </w:r>
      <w:r w:rsidRPr="00007309">
        <w:rPr>
          <w:rFonts w:cs="Arial" w:hint="cs"/>
          <w:b/>
          <w:bCs/>
          <w:sz w:val="24"/>
          <w:szCs w:val="24"/>
          <w:rtl/>
        </w:rPr>
        <w:t>,</w:t>
      </w:r>
      <w:r w:rsidRPr="00007309">
        <w:rPr>
          <w:rFonts w:cs="Arial"/>
          <w:b/>
          <w:bCs/>
          <w:sz w:val="24"/>
          <w:szCs w:val="24"/>
          <w:rtl/>
        </w:rPr>
        <w:t xml:space="preserve"> וְאִנּוּן ה"ה</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448"/>
      </w:r>
      <w:r w:rsidRPr="00007309">
        <w:rPr>
          <w:rFonts w:cs="Arial"/>
          <w:b/>
          <w:bCs/>
          <w:sz w:val="24"/>
          <w:szCs w:val="24"/>
          <w:rtl/>
        </w:rPr>
        <w:t>הֲרֵי לְךָ שִׁעוּר קוֹמָה בְּאַתְוָן יהו'ה</w:t>
      </w:r>
      <w:r w:rsidRPr="00007309">
        <w:rPr>
          <w:rFonts w:cs="Arial" w:hint="cs"/>
          <w:b/>
          <w:bCs/>
          <w:sz w:val="24"/>
          <w:szCs w:val="24"/>
          <w:rtl/>
        </w:rPr>
        <w:t>.</w:t>
      </w:r>
    </w:p>
    <w:p w:rsidR="00007309" w:rsidRPr="00007309" w:rsidRDefault="00007309" w:rsidP="00007309">
      <w:pPr>
        <w:jc w:val="both"/>
        <w:rPr>
          <w:rFonts w:cs="Arial"/>
          <w:b/>
          <w:bCs/>
          <w:sz w:val="24"/>
          <w:szCs w:val="24"/>
          <w:rtl/>
        </w:rPr>
      </w:pPr>
      <w:r w:rsidRPr="00007309">
        <w:rPr>
          <w:rFonts w:cs="Arial"/>
          <w:b/>
          <w:bCs/>
          <w:sz w:val="36"/>
          <w:szCs w:val="28"/>
          <w:vertAlign w:val="superscript"/>
          <w:rtl/>
        </w:rPr>
        <w:footnoteReference w:id="7449"/>
      </w:r>
      <w:r w:rsidRPr="00007309">
        <w:rPr>
          <w:rFonts w:cs="Arial"/>
          <w:b/>
          <w:bCs/>
          <w:sz w:val="24"/>
          <w:szCs w:val="24"/>
          <w:rtl/>
        </w:rPr>
        <w:t>דְּאָת ו' אִיהוּ תִּפְאֶרֶת, שָׁמַיִם</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450"/>
      </w:r>
      <w:r w:rsidRPr="00007309">
        <w:rPr>
          <w:rFonts w:cs="Arial"/>
          <w:b/>
          <w:bCs/>
          <w:sz w:val="24"/>
          <w:szCs w:val="24"/>
          <w:rtl/>
        </w:rPr>
        <w:t>חָמֵשׁ רְקִיעִים דִּילֵהּ ה'</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451"/>
      </w:r>
      <w:r w:rsidRPr="00007309">
        <w:rPr>
          <w:rFonts w:cs="Arial"/>
          <w:b/>
          <w:bCs/>
          <w:sz w:val="24"/>
          <w:szCs w:val="24"/>
          <w:rtl/>
        </w:rPr>
        <w:t>אִלֵּין אִתְקְרִיאוּ הַשָּׁמַיִם, ה' רְקִיעִים דִּכְלִילָן בַּשָּׁמַיִם</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452"/>
      </w:r>
      <w:r w:rsidRPr="00007309">
        <w:rPr>
          <w:rFonts w:cs="Arial"/>
          <w:b/>
          <w:bCs/>
          <w:sz w:val="24"/>
          <w:szCs w:val="24"/>
          <w:rtl/>
        </w:rPr>
        <w:t xml:space="preserve"> חָמֵשׁ עִלָּאִין שְׁמֵי הַשָּׁמַיִם</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453"/>
      </w:r>
      <w:r w:rsidRPr="00007309">
        <w:rPr>
          <w:rFonts w:cs="Arial"/>
          <w:b/>
          <w:bCs/>
          <w:sz w:val="24"/>
          <w:szCs w:val="24"/>
          <w:rtl/>
        </w:rPr>
        <w:t>וְאִנּוּן כֻּלְּהוּ ה"ה</w:t>
      </w:r>
      <w:r w:rsidRPr="00007309">
        <w:rPr>
          <w:rFonts w:cs="Arial" w:hint="cs"/>
          <w:b/>
          <w:bCs/>
          <w:sz w:val="24"/>
          <w:szCs w:val="24"/>
          <w:rtl/>
        </w:rPr>
        <w:t>,</w:t>
      </w:r>
      <w:r w:rsidRPr="00007309">
        <w:rPr>
          <w:rFonts w:cs="Arial"/>
          <w:b/>
          <w:bCs/>
          <w:sz w:val="24"/>
          <w:szCs w:val="24"/>
          <w:rtl/>
        </w:rPr>
        <w:t xml:space="preserve"> חָמֵשׁ בְּחָמֵשׁ. </w:t>
      </w:r>
      <w:r w:rsidRPr="00007309">
        <w:rPr>
          <w:rFonts w:cs="Arial"/>
          <w:b/>
          <w:bCs/>
          <w:sz w:val="36"/>
          <w:szCs w:val="28"/>
          <w:vertAlign w:val="superscript"/>
          <w:rtl/>
        </w:rPr>
        <w:footnoteReference w:id="7454"/>
      </w:r>
      <w:r w:rsidRPr="00007309">
        <w:rPr>
          <w:rFonts w:cs="Arial"/>
          <w:b/>
          <w:bCs/>
          <w:sz w:val="24"/>
          <w:szCs w:val="24"/>
          <w:rtl/>
        </w:rPr>
        <w:t>ו' רָקִיעַ שְׁתִיתָאָה לוֹן</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455"/>
      </w:r>
      <w:r w:rsidRPr="00007309">
        <w:rPr>
          <w:rFonts w:cs="Arial"/>
          <w:b/>
          <w:bCs/>
          <w:sz w:val="24"/>
          <w:szCs w:val="24"/>
          <w:rtl/>
        </w:rPr>
        <w:t>י' שְׁבִיעִי לוֹן</w:t>
      </w:r>
      <w:r w:rsidRPr="00007309">
        <w:rPr>
          <w:rFonts w:cs="Arial" w:hint="cs"/>
          <w:b/>
          <w:bCs/>
          <w:sz w:val="24"/>
          <w:szCs w:val="24"/>
          <w:rtl/>
        </w:rPr>
        <w:t>,</w:t>
      </w:r>
      <w:r w:rsidRPr="00007309">
        <w:rPr>
          <w:rFonts w:cs="Arial"/>
          <w:b/>
          <w:bCs/>
          <w:sz w:val="24"/>
          <w:szCs w:val="24"/>
          <w:rtl/>
        </w:rPr>
        <w:t xml:space="preserve"> וְאִנּוּן ז' בְּז' </w:t>
      </w:r>
      <w:r w:rsidRPr="00007309">
        <w:rPr>
          <w:rFonts w:cs="Arial"/>
          <w:b/>
          <w:bCs/>
          <w:sz w:val="36"/>
          <w:szCs w:val="28"/>
          <w:vertAlign w:val="superscript"/>
          <w:rtl/>
        </w:rPr>
        <w:footnoteReference w:id="7456"/>
      </w:r>
      <w:r w:rsidRPr="00007309">
        <w:rPr>
          <w:rFonts w:cs="Arial"/>
          <w:b/>
          <w:bCs/>
          <w:sz w:val="24"/>
          <w:szCs w:val="24"/>
          <w:rtl/>
        </w:rPr>
        <w:t xml:space="preserve">וְסָלְקִין י"ד. </w:t>
      </w:r>
      <w:r w:rsidRPr="00007309">
        <w:rPr>
          <w:rFonts w:ascii="Cambria" w:hAnsi="Cambria" w:cs="Times New Roman" w:hint="cs"/>
          <w:b/>
          <w:bCs/>
          <w:i/>
          <w:iCs/>
          <w:color w:val="4F81BD"/>
          <w:sz w:val="24"/>
          <w:szCs w:val="24"/>
          <w:rtl/>
        </w:rPr>
        <w:t>(וילנא כט ע"ב)</w:t>
      </w:r>
      <w:r w:rsidRPr="00007309">
        <w:rPr>
          <w:rFonts w:cs="Arial" w:hint="cs"/>
          <w:b/>
          <w:bCs/>
          <w:sz w:val="24"/>
          <w:szCs w:val="24"/>
          <w:rtl/>
        </w:rPr>
        <w:t xml:space="preserve"> </w:t>
      </w:r>
      <w:r w:rsidRPr="00007309">
        <w:rPr>
          <w:rFonts w:cs="Arial"/>
          <w:b/>
          <w:bCs/>
          <w:sz w:val="36"/>
          <w:szCs w:val="28"/>
          <w:vertAlign w:val="superscript"/>
          <w:rtl/>
        </w:rPr>
        <w:footnoteReference w:id="7457"/>
      </w:r>
      <w:r w:rsidRPr="00007309">
        <w:rPr>
          <w:rFonts w:cs="Arial"/>
          <w:b/>
          <w:bCs/>
          <w:sz w:val="24"/>
          <w:szCs w:val="24"/>
          <w:rtl/>
        </w:rPr>
        <w:t>וְהָכֵי אִנּוּן אַרְעִין ז' עַל גַּבֵּי ז'</w:t>
      </w:r>
      <w:r w:rsidRPr="00007309">
        <w:rPr>
          <w:rFonts w:cs="Arial" w:hint="cs"/>
          <w:b/>
          <w:bCs/>
          <w:sz w:val="24"/>
          <w:szCs w:val="24"/>
          <w:rtl/>
        </w:rPr>
        <w:t>,</w:t>
      </w:r>
      <w:r w:rsidRPr="00007309">
        <w:rPr>
          <w:rFonts w:cs="Arial"/>
          <w:b/>
          <w:bCs/>
          <w:sz w:val="24"/>
          <w:szCs w:val="24"/>
          <w:rtl/>
        </w:rPr>
        <w:t xml:space="preserve"> כְּגִלְדֵי בְּצָלִים. </w:t>
      </w:r>
      <w:r w:rsidRPr="00007309">
        <w:rPr>
          <w:rFonts w:cs="Arial"/>
          <w:b/>
          <w:bCs/>
          <w:sz w:val="36"/>
          <w:szCs w:val="28"/>
          <w:vertAlign w:val="superscript"/>
          <w:rtl/>
        </w:rPr>
        <w:footnoteReference w:id="7458"/>
      </w:r>
      <w:r w:rsidRPr="00007309">
        <w:rPr>
          <w:rFonts w:cs="Arial"/>
          <w:b/>
          <w:bCs/>
          <w:sz w:val="24"/>
          <w:szCs w:val="24"/>
          <w:rtl/>
        </w:rPr>
        <w:t xml:space="preserve">וְכֻלְּהוּ רְמִיזִין בִּתְרֵין עַיְנִין. </w:t>
      </w:r>
      <w:r w:rsidRPr="00007309">
        <w:rPr>
          <w:rFonts w:cs="Arial"/>
          <w:b/>
          <w:bCs/>
          <w:sz w:val="36"/>
          <w:szCs w:val="28"/>
          <w:vertAlign w:val="superscript"/>
          <w:rtl/>
        </w:rPr>
        <w:footnoteReference w:id="7459"/>
      </w:r>
      <w:r w:rsidRPr="00007309">
        <w:rPr>
          <w:rFonts w:cs="Arial"/>
          <w:b/>
          <w:bCs/>
          <w:sz w:val="24"/>
          <w:szCs w:val="24"/>
          <w:rtl/>
        </w:rPr>
        <w:t>י' אִתְקְרֵי עוֹלָם קָטָן. ו' עוֹלָם אָרֹךְ</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460"/>
      </w:r>
      <w:r w:rsidRPr="00007309">
        <w:rPr>
          <w:rFonts w:cs="Arial"/>
          <w:b/>
          <w:bCs/>
          <w:sz w:val="24"/>
          <w:szCs w:val="24"/>
          <w:rtl/>
        </w:rPr>
        <w:t>וְכָל מָאן דְּבָעֵי לְמִשְׁאַל שְׁאֵלָתוֹי לְגַבֵּי עוֹלָם, צָרִיךְ לְאַרְכָּא בֵּהּ</w:t>
      </w:r>
      <w:r w:rsidRPr="00007309">
        <w:rPr>
          <w:rFonts w:cs="Arial" w:hint="cs"/>
          <w:b/>
          <w:bCs/>
          <w:sz w:val="24"/>
          <w:szCs w:val="24"/>
          <w:rtl/>
        </w:rPr>
        <w:t>,</w:t>
      </w:r>
      <w:r w:rsidRPr="00007309">
        <w:rPr>
          <w:rFonts w:cs="Arial"/>
          <w:b/>
          <w:bCs/>
          <w:sz w:val="24"/>
          <w:szCs w:val="24"/>
          <w:rtl/>
        </w:rPr>
        <w:t xml:space="preserve"> וּבְעוֹלָם קָצָר לְקַצְּרָא בֵּהּ. וְעַל דָּא אָמְרוּ מ"מ מָקוֹם שֶׁאָמְרוּ לְהַאֲרִיךְ אֵינוֹ רַשַּׁאי לְקַצֵּר לְקַצֵּר אֵינוֹ רַשַּׁאי לְהַאֲרִיךְ. </w:t>
      </w:r>
      <w:r w:rsidRPr="00007309">
        <w:rPr>
          <w:rFonts w:cs="Arial"/>
          <w:b/>
          <w:bCs/>
          <w:sz w:val="36"/>
          <w:szCs w:val="28"/>
          <w:vertAlign w:val="superscript"/>
          <w:rtl/>
        </w:rPr>
        <w:footnoteReference w:id="7461"/>
      </w:r>
      <w:r w:rsidRPr="00007309">
        <w:rPr>
          <w:rFonts w:cs="Arial"/>
          <w:b/>
          <w:bCs/>
          <w:sz w:val="24"/>
          <w:szCs w:val="24"/>
          <w:rtl/>
        </w:rPr>
        <w:t>לְקַצֵּר בִּצְלוֹתֵהּ אֵל נָא רְפָא נָא לָהּ</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462"/>
      </w:r>
      <w:r w:rsidRPr="00007309">
        <w:rPr>
          <w:rFonts w:cs="Arial"/>
          <w:b/>
          <w:bCs/>
          <w:sz w:val="24"/>
          <w:szCs w:val="24"/>
          <w:rtl/>
        </w:rPr>
        <w:t>בִּנְקֻדַּת י'. לְהַאֲרִיךְ מִסִּטְרָא דְּאָת ו'</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463"/>
      </w:r>
      <w:r w:rsidRPr="00007309">
        <w:rPr>
          <w:rFonts w:cs="Arial"/>
          <w:b/>
          <w:bCs/>
          <w:sz w:val="24"/>
          <w:szCs w:val="24"/>
          <w:rtl/>
        </w:rPr>
        <w:t>וּנְפִילָה בְּאָת פ'</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464"/>
      </w:r>
      <w:r w:rsidRPr="00007309">
        <w:rPr>
          <w:rFonts w:cs="Arial"/>
          <w:b/>
          <w:bCs/>
          <w:sz w:val="24"/>
          <w:szCs w:val="24"/>
          <w:rtl/>
        </w:rPr>
        <w:t xml:space="preserve">וְכֹלָּא פ'ו </w:t>
      </w:r>
      <w:r w:rsidRPr="00007309">
        <w:rPr>
          <w:rFonts w:cs="Arial"/>
          <w:b/>
          <w:bCs/>
          <w:sz w:val="36"/>
          <w:szCs w:val="28"/>
          <w:vertAlign w:val="superscript"/>
          <w:rtl/>
        </w:rPr>
        <w:footnoteReference w:id="7465"/>
      </w:r>
      <w:r w:rsidRPr="00007309">
        <w:rPr>
          <w:rFonts w:cs="Arial"/>
          <w:b/>
          <w:bCs/>
          <w:sz w:val="24"/>
          <w:szCs w:val="24"/>
          <w:rtl/>
        </w:rPr>
        <w:t>דְּוָאֶתְנַפַּל לִפְנֵי ה' מ' יוֹם וּמ' לַיְלָה</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466"/>
      </w:r>
      <w:r w:rsidRPr="00007309">
        <w:rPr>
          <w:rFonts w:cs="Arial"/>
          <w:b/>
          <w:bCs/>
          <w:sz w:val="24"/>
          <w:szCs w:val="24"/>
          <w:rtl/>
        </w:rPr>
        <w:t>וְכֹלָּא מֵ"ם</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467"/>
      </w:r>
      <w:r w:rsidRPr="00007309">
        <w:rPr>
          <w:rFonts w:cs="Arial"/>
          <w:b/>
          <w:bCs/>
          <w:sz w:val="24"/>
          <w:szCs w:val="24"/>
          <w:rtl/>
        </w:rPr>
        <w:t>י' נְקֻדָּה בְּאֶמְצָעִיתָא אִתְעֲבִיד מַיִם</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468"/>
      </w:r>
      <w:r w:rsidRPr="00007309">
        <w:rPr>
          <w:rFonts w:cs="Arial"/>
          <w:b/>
          <w:bCs/>
          <w:sz w:val="24"/>
          <w:szCs w:val="24"/>
          <w:rtl/>
        </w:rPr>
        <w:t xml:space="preserve">וּמִסִּטְרָא דְּחֶסֶד צָרִיךְ לְאַרְכָּא בִּצְלוֹתֵהּ. </w:t>
      </w:r>
      <w:r w:rsidRPr="00007309">
        <w:rPr>
          <w:rFonts w:cs="Arial"/>
          <w:b/>
          <w:bCs/>
          <w:sz w:val="36"/>
          <w:szCs w:val="28"/>
          <w:vertAlign w:val="superscript"/>
          <w:rtl/>
        </w:rPr>
        <w:footnoteReference w:id="7469"/>
      </w:r>
      <w:r w:rsidRPr="00007309">
        <w:rPr>
          <w:rFonts w:cs="Arial"/>
          <w:b/>
          <w:bCs/>
          <w:sz w:val="24"/>
          <w:szCs w:val="24"/>
          <w:rtl/>
        </w:rPr>
        <w:t>וּבִשְׁמָא קַדִּישָׁא יַסְלִיק יְהוָֹ"ה בִּרְבִיעַ</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470"/>
      </w:r>
      <w:r w:rsidRPr="00007309">
        <w:rPr>
          <w:rFonts w:cs="Arial"/>
          <w:b/>
          <w:bCs/>
          <w:sz w:val="24"/>
          <w:szCs w:val="24"/>
          <w:rtl/>
        </w:rPr>
        <w:t xml:space="preserve">וְצָרִיךְ לְאַרְכָא בִּתְנוּעָה זוֹ דְּאִיהוּ </w:t>
      </w:r>
      <w:r w:rsidRPr="00007309">
        <w:rPr>
          <w:rFonts w:cs="Arial"/>
          <w:b/>
          <w:bCs/>
          <w:sz w:val="36"/>
          <w:szCs w:val="28"/>
          <w:vertAlign w:val="superscript"/>
          <w:rtl/>
        </w:rPr>
        <w:footnoteReference w:id="7471"/>
      </w:r>
      <w:r w:rsidRPr="00007309">
        <w:rPr>
          <w:rFonts w:cs="Arial"/>
          <w:b/>
          <w:bCs/>
          <w:sz w:val="24"/>
          <w:szCs w:val="24"/>
          <w:rtl/>
        </w:rPr>
        <w:t xml:space="preserve">רָזָא דִּתְקִיעָה. לְקַצֵּר מִסִּטְרָא דִּגְבוּרָה </w:t>
      </w:r>
      <w:r w:rsidRPr="00007309">
        <w:rPr>
          <w:rFonts w:cs="Arial"/>
          <w:b/>
          <w:bCs/>
          <w:sz w:val="36"/>
          <w:szCs w:val="28"/>
          <w:vertAlign w:val="superscript"/>
          <w:rtl/>
        </w:rPr>
        <w:footnoteReference w:id="7472"/>
      </w:r>
      <w:r w:rsidRPr="00007309">
        <w:rPr>
          <w:rFonts w:cs="Arial"/>
          <w:b/>
          <w:bCs/>
          <w:sz w:val="24"/>
          <w:szCs w:val="24"/>
          <w:rtl/>
        </w:rPr>
        <w:t xml:space="preserve">בִּתְנוּעָה דִּשְׁבָרִים </w:t>
      </w:r>
      <w:r w:rsidRPr="00007309">
        <w:rPr>
          <w:rFonts w:cs="Arial"/>
          <w:b/>
          <w:bCs/>
          <w:sz w:val="36"/>
          <w:szCs w:val="28"/>
          <w:vertAlign w:val="superscript"/>
          <w:rtl/>
        </w:rPr>
        <w:footnoteReference w:id="7473"/>
      </w:r>
      <w:r w:rsidRPr="00007309">
        <w:rPr>
          <w:rFonts w:cs="Arial"/>
          <w:b/>
          <w:bCs/>
          <w:sz w:val="24"/>
          <w:szCs w:val="24"/>
          <w:rtl/>
        </w:rPr>
        <w:t>דְּתַמָּן תְּבִיר</w:t>
      </w:r>
      <w:r w:rsidRPr="00007309">
        <w:rPr>
          <w:rFonts w:cs="Arial" w:hint="cs"/>
          <w:b/>
          <w:bCs/>
          <w:sz w:val="24"/>
          <w:szCs w:val="24"/>
          <w:rtl/>
        </w:rPr>
        <w:t>.</w:t>
      </w:r>
      <w:r w:rsidRPr="00007309">
        <w:rPr>
          <w:rFonts w:cs="Arial"/>
          <w:b/>
          <w:bCs/>
          <w:sz w:val="24"/>
          <w:szCs w:val="24"/>
          <w:rtl/>
        </w:rPr>
        <w:t xml:space="preserve"> בֵּינוֹנִי</w:t>
      </w:r>
      <w:r w:rsidRPr="00007309">
        <w:rPr>
          <w:rFonts w:cs="Arial" w:hint="cs"/>
          <w:b/>
          <w:bCs/>
          <w:sz w:val="24"/>
          <w:szCs w:val="24"/>
          <w:rtl/>
        </w:rPr>
        <w:t>,</w:t>
      </w:r>
      <w:r w:rsidRPr="00007309">
        <w:rPr>
          <w:rFonts w:cs="Arial"/>
          <w:b/>
          <w:bCs/>
          <w:sz w:val="24"/>
          <w:szCs w:val="24"/>
          <w:rtl/>
        </w:rPr>
        <w:t xml:space="preserve"> לָא בַּאֲרִיכוּ לֹא בִּקְצִירוּ, בִּתְרוּעָה</w:t>
      </w:r>
      <w:r w:rsidRPr="00007309">
        <w:rPr>
          <w:rFonts w:cs="Arial" w:hint="cs"/>
          <w:b/>
          <w:bCs/>
          <w:sz w:val="24"/>
          <w:szCs w:val="24"/>
          <w:rtl/>
        </w:rPr>
        <w:t>,</w:t>
      </w:r>
      <w:r w:rsidRPr="00007309">
        <w:rPr>
          <w:rFonts w:cs="Arial"/>
          <w:b/>
          <w:bCs/>
          <w:sz w:val="24"/>
          <w:szCs w:val="24"/>
          <w:rtl/>
        </w:rPr>
        <w:t xml:space="preserve"> בְּעַמּוּדָא דְּאֶמְצָעִיתָא</w:t>
      </w:r>
      <w:r w:rsidRPr="00007309">
        <w:rPr>
          <w:rFonts w:cs="Arial" w:hint="cs"/>
          <w:b/>
          <w:bCs/>
          <w:sz w:val="24"/>
          <w:szCs w:val="24"/>
          <w:rtl/>
        </w:rPr>
        <w:t>,</w:t>
      </w:r>
      <w:r w:rsidRPr="00007309">
        <w:rPr>
          <w:rFonts w:cs="Arial"/>
          <w:b/>
          <w:bCs/>
          <w:sz w:val="24"/>
          <w:szCs w:val="24"/>
          <w:rtl/>
        </w:rPr>
        <w:t xml:space="preserve"> דְּאִיהִי </w:t>
      </w:r>
      <w:r w:rsidRPr="00007309">
        <w:rPr>
          <w:rFonts w:cs="Arial"/>
          <w:b/>
          <w:bCs/>
          <w:sz w:val="36"/>
          <w:szCs w:val="28"/>
          <w:vertAlign w:val="superscript"/>
          <w:rtl/>
        </w:rPr>
        <w:footnoteReference w:id="7474"/>
      </w:r>
      <w:r w:rsidRPr="00007309">
        <w:rPr>
          <w:rFonts w:cs="Arial"/>
          <w:b/>
          <w:bCs/>
          <w:sz w:val="24"/>
          <w:szCs w:val="24"/>
          <w:rtl/>
        </w:rPr>
        <w:t>שַׁלְשֶׁלֶת דְּתַרְוַיְהוּ</w:t>
      </w:r>
      <w:r w:rsidRPr="00007309">
        <w:rPr>
          <w:rFonts w:cs="Arial" w:hint="cs"/>
          <w:b/>
          <w:bCs/>
          <w:sz w:val="24"/>
          <w:szCs w:val="24"/>
          <w:rtl/>
        </w:rPr>
        <w:t>,</w:t>
      </w:r>
      <w:r w:rsidRPr="00007309">
        <w:rPr>
          <w:rFonts w:cs="Arial"/>
          <w:b/>
          <w:bCs/>
          <w:sz w:val="24"/>
          <w:szCs w:val="24"/>
          <w:rtl/>
        </w:rPr>
        <w:t xml:space="preserve"> שֶׁקֶל הַקֹּדֶשׁ</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475"/>
      </w:r>
      <w:r w:rsidRPr="00007309">
        <w:rPr>
          <w:rFonts w:cs="Arial"/>
          <w:b/>
          <w:bCs/>
          <w:sz w:val="24"/>
          <w:szCs w:val="24"/>
          <w:rtl/>
        </w:rPr>
        <w:t xml:space="preserve">לָקֳבֵל רְבִיעַ דְּסָלִיק אִיהוּ חֹלָם. שְׁבָרִים </w:t>
      </w:r>
      <w:r w:rsidRPr="00007309">
        <w:rPr>
          <w:rFonts w:cs="Arial"/>
          <w:b/>
          <w:bCs/>
          <w:sz w:val="36"/>
          <w:szCs w:val="28"/>
          <w:vertAlign w:val="superscript"/>
          <w:rtl/>
        </w:rPr>
        <w:footnoteReference w:id="7476"/>
      </w:r>
      <w:r w:rsidRPr="00007309">
        <w:rPr>
          <w:rFonts w:cs="Arial"/>
          <w:b/>
          <w:bCs/>
          <w:sz w:val="24"/>
          <w:szCs w:val="24"/>
          <w:rtl/>
        </w:rPr>
        <w:t xml:space="preserve">לָקֳבֵל שְׁבָא. </w:t>
      </w:r>
      <w:r w:rsidRPr="00007309">
        <w:rPr>
          <w:rFonts w:cs="Arial"/>
          <w:b/>
          <w:bCs/>
          <w:sz w:val="36"/>
          <w:szCs w:val="28"/>
          <w:vertAlign w:val="superscript"/>
          <w:rtl/>
        </w:rPr>
        <w:footnoteReference w:id="7477"/>
      </w:r>
      <w:r w:rsidRPr="00007309">
        <w:rPr>
          <w:rFonts w:cs="Arial"/>
          <w:b/>
          <w:bCs/>
          <w:sz w:val="24"/>
          <w:szCs w:val="24"/>
          <w:rtl/>
        </w:rPr>
        <w:t>דָּא בָּעָא לְסָלְקָא קָלָא, וְדָא בָּעָא לְנַחְתָּא לָהּ</w:t>
      </w:r>
      <w:r w:rsidRPr="00007309">
        <w:rPr>
          <w:rFonts w:cs="Arial" w:hint="cs"/>
          <w:b/>
          <w:bCs/>
          <w:sz w:val="24"/>
          <w:szCs w:val="24"/>
          <w:rtl/>
        </w:rPr>
        <w:t>,</w:t>
      </w:r>
      <w:r w:rsidRPr="00007309">
        <w:rPr>
          <w:rFonts w:cs="Arial"/>
          <w:b/>
          <w:bCs/>
          <w:sz w:val="24"/>
          <w:szCs w:val="24"/>
          <w:rtl/>
        </w:rPr>
        <w:t xml:space="preserve"> וּבְגִין דָּא אִנּוּן שְׁבָרִים</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478"/>
      </w:r>
      <w:r w:rsidRPr="00007309">
        <w:rPr>
          <w:rFonts w:cs="Arial"/>
          <w:b/>
          <w:bCs/>
          <w:sz w:val="24"/>
          <w:szCs w:val="24"/>
          <w:rtl/>
        </w:rPr>
        <w:t>תְּרוּעָה שַׁלְשֶׁלֶת דָּא סְגוֹלְתָּא.</w:t>
      </w:r>
    </w:p>
    <w:p w:rsidR="00007309" w:rsidRPr="00007309" w:rsidRDefault="00007309" w:rsidP="00007309">
      <w:pPr>
        <w:jc w:val="both"/>
        <w:rPr>
          <w:rFonts w:cs="Arial"/>
          <w:b/>
          <w:bCs/>
          <w:sz w:val="24"/>
          <w:szCs w:val="24"/>
          <w:rtl/>
        </w:rPr>
      </w:pPr>
      <w:r w:rsidRPr="00007309">
        <w:rPr>
          <w:rFonts w:cs="Arial"/>
          <w:b/>
          <w:bCs/>
          <w:sz w:val="24"/>
          <w:szCs w:val="24"/>
          <w:rtl/>
        </w:rPr>
        <w:t>פָּתַח וְאָמַר</w:t>
      </w:r>
      <w:r w:rsidRPr="00007309">
        <w:rPr>
          <w:rFonts w:cs="Arial" w:hint="cs"/>
          <w:b/>
          <w:bCs/>
          <w:sz w:val="24"/>
          <w:szCs w:val="24"/>
          <w:rtl/>
        </w:rPr>
        <w:t>,</w:t>
      </w:r>
      <w:r w:rsidRPr="00007309">
        <w:rPr>
          <w:rFonts w:cs="Arial"/>
          <w:b/>
          <w:bCs/>
          <w:sz w:val="24"/>
          <w:szCs w:val="24"/>
          <w:rtl/>
        </w:rPr>
        <w:t xml:space="preserve"> זַרְקָא מַקָּף שׁוֹפָר הוֹלֵךְ סְגוֹלְתָּא</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479"/>
      </w:r>
      <w:r w:rsidRPr="00007309">
        <w:rPr>
          <w:rFonts w:cs="Arial"/>
          <w:b/>
          <w:bCs/>
          <w:sz w:val="24"/>
          <w:szCs w:val="24"/>
          <w:rtl/>
        </w:rPr>
        <w:t>בַּחֲשַׁאי</w:t>
      </w:r>
      <w:r w:rsidRPr="00007309">
        <w:rPr>
          <w:rFonts w:cs="Arial" w:hint="cs"/>
          <w:b/>
          <w:bCs/>
          <w:sz w:val="24"/>
          <w:szCs w:val="24"/>
          <w:rtl/>
        </w:rPr>
        <w:t>,</w:t>
      </w:r>
      <w:r w:rsidRPr="00007309">
        <w:rPr>
          <w:rFonts w:cs="Arial"/>
          <w:b/>
          <w:bCs/>
          <w:sz w:val="24"/>
          <w:szCs w:val="24"/>
          <w:rtl/>
        </w:rPr>
        <w:t xml:space="preserve"> שְׁכִינְתָּא תַּתָּאָה</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480"/>
      </w:r>
      <w:r w:rsidRPr="00007309">
        <w:rPr>
          <w:rFonts w:cs="Arial"/>
          <w:b/>
          <w:bCs/>
          <w:sz w:val="24"/>
          <w:szCs w:val="24"/>
          <w:rtl/>
        </w:rPr>
        <w:t>וְקוֹלָהּ לֹא יִשָּׁמֵעַ</w:t>
      </w:r>
      <w:r w:rsidRPr="00007309">
        <w:rPr>
          <w:rFonts w:cs="Arial" w:hint="cs"/>
          <w:b/>
          <w:bCs/>
          <w:sz w:val="24"/>
          <w:szCs w:val="24"/>
          <w:rtl/>
        </w:rPr>
        <w:t xml:space="preserve"> (שמואל א א יג).</w:t>
      </w:r>
      <w:r w:rsidRPr="00007309">
        <w:rPr>
          <w:rFonts w:cs="Arial"/>
          <w:b/>
          <w:bCs/>
          <w:sz w:val="24"/>
          <w:szCs w:val="24"/>
          <w:rtl/>
        </w:rPr>
        <w:t xml:space="preserve"> </w:t>
      </w:r>
      <w:r w:rsidRPr="00007309">
        <w:rPr>
          <w:rFonts w:cs="Arial"/>
          <w:b/>
          <w:bCs/>
          <w:sz w:val="36"/>
          <w:szCs w:val="28"/>
          <w:vertAlign w:val="superscript"/>
          <w:rtl/>
        </w:rPr>
        <w:footnoteReference w:id="7481"/>
      </w:r>
      <w:r w:rsidRPr="00007309">
        <w:rPr>
          <w:rFonts w:cs="Arial"/>
          <w:b/>
          <w:bCs/>
          <w:sz w:val="24"/>
          <w:szCs w:val="24"/>
          <w:rtl/>
        </w:rPr>
        <w:t xml:space="preserve">נְקֻדַּת יָמִין יְהוָֹ'ה מֶלֶךְ. </w:t>
      </w:r>
      <w:r w:rsidRPr="00007309">
        <w:rPr>
          <w:rFonts w:cs="Arial"/>
          <w:b/>
          <w:bCs/>
          <w:sz w:val="36"/>
          <w:szCs w:val="28"/>
          <w:vertAlign w:val="superscript"/>
          <w:rtl/>
        </w:rPr>
        <w:footnoteReference w:id="7482"/>
      </w:r>
      <w:r w:rsidRPr="00007309">
        <w:rPr>
          <w:rFonts w:cs="Arial"/>
          <w:b/>
          <w:bCs/>
          <w:sz w:val="24"/>
          <w:szCs w:val="24"/>
          <w:rtl/>
        </w:rPr>
        <w:t>נְקֻדַּת שְׂמֹאל יְהוָֹ'ה מָלַךְ. נְקֻדָּה אֶמְצָעִית יְהוָֹ'ה יִמְלֹךְ. רְבִיעַ לְסָלְקָא קָלָא</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483"/>
      </w:r>
      <w:r w:rsidRPr="00007309">
        <w:rPr>
          <w:rFonts w:cs="Arial"/>
          <w:b/>
          <w:bCs/>
          <w:sz w:val="24"/>
          <w:szCs w:val="24"/>
          <w:rtl/>
        </w:rPr>
        <w:t>תְּבִיר לְתַבְּרָא קָלָא</w:t>
      </w:r>
      <w:r w:rsidRPr="00007309">
        <w:rPr>
          <w:rFonts w:cs="Arial" w:hint="cs"/>
          <w:b/>
          <w:bCs/>
          <w:sz w:val="24"/>
          <w:szCs w:val="24"/>
          <w:rtl/>
        </w:rPr>
        <w:t>,</w:t>
      </w:r>
      <w:r w:rsidRPr="00007309">
        <w:rPr>
          <w:rFonts w:cs="Arial"/>
          <w:b/>
          <w:bCs/>
          <w:sz w:val="24"/>
          <w:szCs w:val="24"/>
          <w:rtl/>
        </w:rPr>
        <w:t xml:space="preserve"> שַׁלְשֶׁלֶת אָחִיד בְּתַרְוַיְהוּ כְּשַׁלְשְׁלָאָה</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484"/>
      </w:r>
      <w:r w:rsidRPr="00007309">
        <w:rPr>
          <w:rFonts w:cs="Arial"/>
          <w:b/>
          <w:bCs/>
          <w:sz w:val="24"/>
          <w:szCs w:val="24"/>
          <w:rtl/>
        </w:rPr>
        <w:t>וְאִיהוּ כְּגַוְנָא דִּרְבִיעַ</w:t>
      </w:r>
      <w:r w:rsidRPr="00007309">
        <w:rPr>
          <w:rFonts w:cs="Arial" w:hint="cs"/>
          <w:b/>
          <w:bCs/>
          <w:sz w:val="24"/>
          <w:szCs w:val="24"/>
          <w:rtl/>
        </w:rPr>
        <w:t>,</w:t>
      </w:r>
      <w:r w:rsidRPr="00007309">
        <w:rPr>
          <w:rFonts w:cs="Arial"/>
          <w:b/>
          <w:bCs/>
          <w:sz w:val="24"/>
          <w:szCs w:val="24"/>
          <w:rtl/>
        </w:rPr>
        <w:t xml:space="preserve"> דְּמַאֲרִיךְ בָּהּ תֵּבָה, וְאִיהוּ נְקֻדָּה חֲדָא כְּגַוְנָא דְּחוֹלָם. לֵית נְקֻדָּה דְּלֵית לָהּ כְּגַוְנָא דִּילָהּ בְּטַעֲמֵי. סֶגוֹל לְגַבֵּי סְגוֹלְתָּא</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485"/>
      </w:r>
      <w:r w:rsidRPr="00007309">
        <w:rPr>
          <w:rFonts w:cs="Arial"/>
          <w:b/>
          <w:bCs/>
          <w:sz w:val="24"/>
          <w:szCs w:val="24"/>
          <w:rtl/>
        </w:rPr>
        <w:t>שְׁבָא לָקֳבֵל זָקֵף גָּדוֹל</w:t>
      </w:r>
      <w:r w:rsidRPr="00007309">
        <w:rPr>
          <w:rFonts w:cs="Arial" w:hint="cs"/>
          <w:b/>
          <w:bCs/>
          <w:sz w:val="24"/>
          <w:szCs w:val="24"/>
          <w:rtl/>
        </w:rPr>
        <w:t>.</w:t>
      </w:r>
      <w:r w:rsidRPr="00007309">
        <w:rPr>
          <w:rFonts w:cs="Arial"/>
          <w:b/>
          <w:bCs/>
          <w:sz w:val="24"/>
          <w:szCs w:val="24"/>
          <w:rtl/>
        </w:rPr>
        <w:t xml:space="preserve"> כֻּלְּהוּ תִּשְׁכַּח לוֹן נִקּוּדֵי כְּגַוְנָא דְּטַעֲמֵי</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486"/>
      </w:r>
      <w:r w:rsidRPr="00007309">
        <w:rPr>
          <w:rFonts w:cs="Arial"/>
          <w:b/>
          <w:bCs/>
          <w:sz w:val="24"/>
          <w:szCs w:val="24"/>
          <w:rtl/>
        </w:rPr>
        <w:t xml:space="preserve">לְמָאן דְּיָדַע רָזִין סְתִימִין. </w:t>
      </w:r>
    </w:p>
    <w:p w:rsidR="00007309" w:rsidRPr="00007309" w:rsidRDefault="00007309" w:rsidP="00007309">
      <w:pPr>
        <w:jc w:val="both"/>
        <w:rPr>
          <w:rFonts w:cs="Arial"/>
          <w:b/>
          <w:bCs/>
          <w:sz w:val="24"/>
          <w:szCs w:val="24"/>
          <w:rtl/>
        </w:rPr>
      </w:pPr>
      <w:r w:rsidRPr="00007309">
        <w:rPr>
          <w:rFonts w:cs="Arial"/>
          <w:b/>
          <w:bCs/>
          <w:sz w:val="24"/>
          <w:szCs w:val="24"/>
          <w:rtl/>
        </w:rPr>
        <w:t>קָם סָבָא דְּסָבִין מִבָּתַר טוּלָא דְּרִבִּי שִׁמְעוֹן וְאָמַר</w:t>
      </w:r>
      <w:r w:rsidRPr="00007309">
        <w:rPr>
          <w:rFonts w:cs="Arial" w:hint="cs"/>
          <w:b/>
          <w:bCs/>
          <w:sz w:val="24"/>
          <w:szCs w:val="24"/>
          <w:rtl/>
        </w:rPr>
        <w:t>,</w:t>
      </w:r>
      <w:r w:rsidRPr="00007309">
        <w:rPr>
          <w:rFonts w:cs="Arial"/>
          <w:b/>
          <w:bCs/>
          <w:sz w:val="24"/>
          <w:szCs w:val="24"/>
          <w:rtl/>
        </w:rPr>
        <w:t xml:space="preserve"> רִבִּי רִבִּי</w:t>
      </w:r>
      <w:r w:rsidRPr="00007309">
        <w:rPr>
          <w:rFonts w:cs="Arial" w:hint="cs"/>
          <w:b/>
          <w:bCs/>
          <w:sz w:val="24"/>
          <w:szCs w:val="24"/>
          <w:rtl/>
        </w:rPr>
        <w:t>,</w:t>
      </w:r>
      <w:r w:rsidRPr="00007309">
        <w:rPr>
          <w:rFonts w:cs="Arial"/>
          <w:b/>
          <w:bCs/>
          <w:sz w:val="24"/>
          <w:szCs w:val="24"/>
          <w:rtl/>
        </w:rPr>
        <w:t xml:space="preserve"> הָא כָּל מָארֵי מַתְנִיתִין קָא נָחְתִין </w:t>
      </w:r>
      <w:r w:rsidRPr="00007309">
        <w:rPr>
          <w:rFonts w:cs="Arial"/>
          <w:b/>
          <w:bCs/>
          <w:sz w:val="36"/>
          <w:szCs w:val="28"/>
          <w:vertAlign w:val="superscript"/>
          <w:rtl/>
        </w:rPr>
        <w:footnoteReference w:id="7487"/>
      </w:r>
      <w:r w:rsidRPr="00007309">
        <w:rPr>
          <w:rFonts w:cs="Arial"/>
          <w:b/>
          <w:bCs/>
          <w:sz w:val="24"/>
          <w:szCs w:val="24"/>
          <w:rtl/>
        </w:rPr>
        <w:t xml:space="preserve">לְאַגָּחָא קְרָבָא עִמָּךְ. אִתְתְּקַן וְאִזְדְּרַז </w:t>
      </w:r>
      <w:r w:rsidRPr="00007309">
        <w:rPr>
          <w:rFonts w:cs="Arial"/>
          <w:b/>
          <w:bCs/>
          <w:sz w:val="36"/>
          <w:szCs w:val="28"/>
          <w:vertAlign w:val="superscript"/>
          <w:rtl/>
        </w:rPr>
        <w:footnoteReference w:id="7488"/>
      </w:r>
      <w:r w:rsidRPr="00007309">
        <w:rPr>
          <w:rFonts w:cs="Arial"/>
          <w:b/>
          <w:bCs/>
          <w:sz w:val="24"/>
          <w:szCs w:val="24"/>
          <w:rtl/>
        </w:rPr>
        <w:t>בְּכָל מָאנֵי קְרָבָא. וְלֹא עוֹד אֶלָּא כָּל מָארֵי דְּסוּסְוָן</w:t>
      </w:r>
      <w:r w:rsidRPr="00007309">
        <w:rPr>
          <w:rFonts w:cs="Arial"/>
          <w:b/>
          <w:bCs/>
          <w:sz w:val="24"/>
          <w:szCs w:val="24"/>
        </w:rPr>
        <w:t xml:space="preserve"> </w:t>
      </w:r>
      <w:r w:rsidRPr="00007309">
        <w:rPr>
          <w:rFonts w:cs="Arial"/>
          <w:b/>
          <w:bCs/>
          <w:sz w:val="24"/>
          <w:szCs w:val="24"/>
          <w:rtl/>
        </w:rPr>
        <w:t xml:space="preserve">דְּאִנּוּן </w:t>
      </w:r>
      <w:r w:rsidRPr="00007309">
        <w:rPr>
          <w:rFonts w:cs="Arial"/>
          <w:b/>
          <w:bCs/>
          <w:sz w:val="36"/>
          <w:szCs w:val="28"/>
          <w:vertAlign w:val="superscript"/>
          <w:rtl/>
        </w:rPr>
        <w:footnoteReference w:id="7489"/>
      </w:r>
      <w:r w:rsidRPr="00007309">
        <w:rPr>
          <w:rFonts w:cs="Arial"/>
          <w:b/>
          <w:bCs/>
          <w:sz w:val="24"/>
          <w:szCs w:val="24"/>
          <w:rtl/>
        </w:rPr>
        <w:t xml:space="preserve">סוּסֵיהוֹן דְּאֵשׁ, מַרְכְּבוֹתֵיהוֹן מֶרְכְּבוֹת לֶהָבָה, </w:t>
      </w:r>
      <w:r w:rsidRPr="00007309">
        <w:rPr>
          <w:rFonts w:cs="Arial"/>
          <w:b/>
          <w:bCs/>
          <w:sz w:val="36"/>
          <w:szCs w:val="28"/>
          <w:vertAlign w:val="superscript"/>
          <w:rtl/>
        </w:rPr>
        <w:footnoteReference w:id="7490"/>
      </w:r>
      <w:r w:rsidRPr="00007309">
        <w:rPr>
          <w:rFonts w:cs="Arial"/>
          <w:b/>
          <w:bCs/>
          <w:sz w:val="24"/>
          <w:szCs w:val="24"/>
          <w:rtl/>
        </w:rPr>
        <w:t xml:space="preserve">רוֹמַחֵיהוֹן אֵשׁ, וְחַרְבוֹתֵיהוֹן אֵשׁ, וְקַשְׁתוֹתֵיהֶן אֵשׁ, </w:t>
      </w:r>
      <w:r w:rsidRPr="00007309">
        <w:rPr>
          <w:rFonts w:cs="Arial"/>
          <w:b/>
          <w:bCs/>
          <w:sz w:val="36"/>
          <w:szCs w:val="28"/>
          <w:vertAlign w:val="superscript"/>
          <w:rtl/>
        </w:rPr>
        <w:footnoteReference w:id="7491"/>
      </w:r>
      <w:r w:rsidRPr="00007309">
        <w:rPr>
          <w:rFonts w:cs="Arial"/>
          <w:b/>
          <w:bCs/>
          <w:sz w:val="24"/>
          <w:szCs w:val="24"/>
          <w:rtl/>
        </w:rPr>
        <w:t xml:space="preserve">וְחֵילֵיהוֹן אֵשׁ. </w:t>
      </w:r>
      <w:r w:rsidRPr="00007309">
        <w:rPr>
          <w:rFonts w:cs="Arial"/>
          <w:b/>
          <w:bCs/>
          <w:sz w:val="36"/>
          <w:szCs w:val="28"/>
          <w:vertAlign w:val="superscript"/>
          <w:rtl/>
        </w:rPr>
        <w:footnoteReference w:id="7492"/>
      </w:r>
      <w:r w:rsidRPr="00007309">
        <w:rPr>
          <w:rFonts w:cs="Arial"/>
          <w:b/>
          <w:bCs/>
          <w:sz w:val="24"/>
          <w:szCs w:val="24"/>
          <w:rtl/>
        </w:rPr>
        <w:t xml:space="preserve">וְלֹא עוֹד אֶלָּא דְּסָבָא דְּסָבִין קָא אָתֵי עִמְּהוֹן, דְּאִתְּמַר בֵּהּ (דניאל ד) וְעַתִּיק יוֹמִין יְתִב לְבוּשֵׁהּ כִּתְלַג חִוָּר וְכוּ'. </w:t>
      </w:r>
    </w:p>
    <w:p w:rsidR="00007309" w:rsidRPr="00007309" w:rsidRDefault="00007309" w:rsidP="00007309">
      <w:pPr>
        <w:keepNext/>
        <w:outlineLvl w:val="1"/>
        <w:rPr>
          <w:rFonts w:ascii="Cambria" w:hAnsi="Cambria" w:cs="Times New Roman"/>
          <w:b/>
          <w:bCs/>
          <w:i/>
          <w:iCs/>
          <w:sz w:val="28"/>
          <w:szCs w:val="28"/>
          <w:rtl/>
        </w:rPr>
      </w:pPr>
      <w:r w:rsidRPr="00007309">
        <w:rPr>
          <w:rFonts w:ascii="Cambria" w:hAnsi="Cambria" w:cs="Times New Roman"/>
          <w:b/>
          <w:bCs/>
          <w:i/>
          <w:iCs/>
          <w:sz w:val="28"/>
          <w:szCs w:val="28"/>
          <w:rtl/>
        </w:rPr>
        <w:t>[</w:t>
      </w:r>
      <w:r w:rsidRPr="00007309">
        <w:rPr>
          <w:rFonts w:ascii="Cambria" w:hAnsi="Cambria" w:cs="Times New Roman" w:hint="cs"/>
          <w:b/>
          <w:bCs/>
          <w:i/>
          <w:iCs/>
          <w:sz w:val="28"/>
          <w:szCs w:val="28"/>
          <w:rtl/>
        </w:rPr>
        <w:t>דף</w:t>
      </w:r>
      <w:r w:rsidRPr="00007309">
        <w:rPr>
          <w:rFonts w:ascii="Cambria" w:hAnsi="Cambria" w:cs="Times New Roman"/>
          <w:b/>
          <w:bCs/>
          <w:i/>
          <w:iCs/>
          <w:sz w:val="28"/>
          <w:szCs w:val="28"/>
          <w:rtl/>
        </w:rPr>
        <w:t xml:space="preserve"> </w:t>
      </w:r>
      <w:r w:rsidRPr="00007309">
        <w:rPr>
          <w:rFonts w:ascii="Cambria" w:hAnsi="Cambria" w:cs="Times New Roman" w:hint="cs"/>
          <w:b/>
          <w:bCs/>
          <w:i/>
          <w:iCs/>
          <w:sz w:val="28"/>
          <w:szCs w:val="28"/>
          <w:rtl/>
        </w:rPr>
        <w:t>פב</w:t>
      </w:r>
      <w:r w:rsidRPr="00007309">
        <w:rPr>
          <w:rFonts w:ascii="Cambria" w:hAnsi="Cambria" w:cs="Times New Roman"/>
          <w:b/>
          <w:bCs/>
          <w:i/>
          <w:iCs/>
          <w:sz w:val="28"/>
          <w:szCs w:val="28"/>
          <w:rtl/>
        </w:rPr>
        <w:t xml:space="preserve"> ע"</w:t>
      </w:r>
      <w:r w:rsidRPr="00007309">
        <w:rPr>
          <w:rFonts w:ascii="Cambria" w:hAnsi="Cambria" w:cs="Times New Roman" w:hint="cs"/>
          <w:b/>
          <w:bCs/>
          <w:i/>
          <w:iCs/>
          <w:sz w:val="28"/>
          <w:szCs w:val="28"/>
          <w:rtl/>
        </w:rPr>
        <w:t>ב</w:t>
      </w:r>
      <w:r w:rsidRPr="00007309">
        <w:rPr>
          <w:rFonts w:ascii="Cambria" w:hAnsi="Cambria" w:cs="Times New Roman"/>
          <w:b/>
          <w:bCs/>
          <w:i/>
          <w:iCs/>
          <w:sz w:val="28"/>
          <w:szCs w:val="28"/>
          <w:rtl/>
        </w:rPr>
        <w:t>]</w:t>
      </w:r>
    </w:p>
    <w:p w:rsidR="00007309" w:rsidRPr="00007309" w:rsidRDefault="00007309" w:rsidP="00007309">
      <w:pPr>
        <w:jc w:val="both"/>
        <w:rPr>
          <w:rFonts w:cs="Arial"/>
          <w:b/>
          <w:bCs/>
          <w:sz w:val="24"/>
          <w:szCs w:val="24"/>
        </w:rPr>
      </w:pPr>
      <w:r w:rsidRPr="00007309">
        <w:rPr>
          <w:rFonts w:cs="Arial"/>
          <w:b/>
          <w:bCs/>
          <w:sz w:val="24"/>
          <w:szCs w:val="24"/>
          <w:rtl/>
        </w:rPr>
        <w:t>קָם רִבִּי שִׁמְעוֹן וְאָמַר, חַבְרַ</w:t>
      </w:r>
      <w:r w:rsidRPr="00007309">
        <w:rPr>
          <w:rFonts w:cs="Arial" w:hint="cs"/>
          <w:b/>
          <w:bCs/>
          <w:sz w:val="24"/>
          <w:szCs w:val="24"/>
          <w:rtl/>
        </w:rPr>
        <w:t>י</w:t>
      </w:r>
      <w:r w:rsidRPr="00007309">
        <w:rPr>
          <w:rFonts w:cs="Arial"/>
          <w:b/>
          <w:bCs/>
          <w:sz w:val="24"/>
          <w:szCs w:val="24"/>
          <w:rtl/>
        </w:rPr>
        <w:t>ָ</w:t>
      </w:r>
      <w:r w:rsidRPr="00007309">
        <w:rPr>
          <w:rFonts w:cs="Arial" w:hint="cs"/>
          <w:b/>
          <w:bCs/>
          <w:sz w:val="24"/>
          <w:szCs w:val="24"/>
          <w:rtl/>
        </w:rPr>
        <w:t>א,</w:t>
      </w:r>
      <w:r w:rsidRPr="00007309">
        <w:rPr>
          <w:rFonts w:cs="Arial"/>
          <w:b/>
          <w:bCs/>
          <w:sz w:val="24"/>
          <w:szCs w:val="24"/>
          <w:rtl/>
        </w:rPr>
        <w:t xml:space="preserve"> שַׁעֲתָא אִיהוּ לְאַתְקְנָא שְׁכִינְתָּא בֵּינָנָא</w:t>
      </w:r>
      <w:r w:rsidRPr="00007309">
        <w:rPr>
          <w:rFonts w:cs="Arial" w:hint="cs"/>
          <w:b/>
          <w:bCs/>
          <w:sz w:val="24"/>
          <w:szCs w:val="24"/>
          <w:rtl/>
        </w:rPr>
        <w:t>,</w:t>
      </w:r>
      <w:r w:rsidRPr="00007309">
        <w:rPr>
          <w:rFonts w:cs="Arial"/>
          <w:b/>
          <w:bCs/>
          <w:sz w:val="24"/>
          <w:szCs w:val="24"/>
          <w:rtl/>
        </w:rPr>
        <w:t xml:space="preserve"> לְאַגָּנָא עֲלָנָא בְּהַאי קְרָבָא. </w:t>
      </w:r>
      <w:r w:rsidRPr="00007309">
        <w:rPr>
          <w:rFonts w:cs="Arial"/>
          <w:b/>
          <w:bCs/>
          <w:sz w:val="36"/>
          <w:szCs w:val="28"/>
          <w:vertAlign w:val="superscript"/>
          <w:rtl/>
        </w:rPr>
        <w:footnoteReference w:id="7493"/>
      </w:r>
      <w:r w:rsidRPr="00007309">
        <w:rPr>
          <w:rFonts w:cs="Arial"/>
          <w:b/>
          <w:bCs/>
          <w:sz w:val="24"/>
          <w:szCs w:val="24"/>
          <w:rtl/>
        </w:rPr>
        <w:t xml:space="preserve">וְאוֹרַיְתָא דְּאִיהִי עַמּוּדָא דְּאֶמְצָעִיתָא, אִיהִי נָחִית בְּכַמָּה מָארֵי דְּקָלִין וְשׁוֹפְרִין, וְכַמָּה פָּרַשְׁיָן תַּקִּיפִין </w:t>
      </w:r>
      <w:r w:rsidRPr="00007309">
        <w:rPr>
          <w:rFonts w:ascii="Cambria" w:hAnsi="Cambria" w:cs="Times New Roman" w:hint="cs"/>
          <w:b/>
          <w:bCs/>
          <w:i/>
          <w:iCs/>
          <w:color w:val="4F81BD"/>
          <w:sz w:val="24"/>
          <w:szCs w:val="24"/>
          <w:rtl/>
        </w:rPr>
        <w:t>(פב ע"ב)</w:t>
      </w:r>
      <w:r w:rsidRPr="00007309">
        <w:rPr>
          <w:rFonts w:cs="Arial" w:hint="cs"/>
          <w:b/>
          <w:bCs/>
          <w:sz w:val="24"/>
          <w:szCs w:val="24"/>
          <w:rtl/>
        </w:rPr>
        <w:t xml:space="preserve"> </w:t>
      </w:r>
      <w:r w:rsidRPr="00007309">
        <w:rPr>
          <w:rFonts w:cs="Arial"/>
          <w:b/>
          <w:bCs/>
          <w:sz w:val="36"/>
          <w:szCs w:val="28"/>
          <w:vertAlign w:val="superscript"/>
          <w:rtl/>
        </w:rPr>
        <w:footnoteReference w:id="7494"/>
      </w:r>
      <w:r w:rsidRPr="00007309">
        <w:rPr>
          <w:rFonts w:cs="Arial"/>
          <w:b/>
          <w:bCs/>
          <w:sz w:val="24"/>
          <w:szCs w:val="24"/>
          <w:rtl/>
        </w:rPr>
        <w:t>מְלֻמְּדֵי מִלְחָמָה לְאַגָּחָא עִמָּנָא. וּבְגִין דְּאוֹרַיְתָא דְּאִיהוּ עַמּוּדָא דְּאֶמְצָעִיתָא אִיהִי נָחִית</w:t>
      </w:r>
      <w:r w:rsidRPr="00007309">
        <w:rPr>
          <w:rFonts w:cs="Arial" w:hint="cs"/>
          <w:b/>
          <w:bCs/>
          <w:sz w:val="24"/>
          <w:szCs w:val="24"/>
          <w:rtl/>
        </w:rPr>
        <w:t>,</w:t>
      </w:r>
      <w:r w:rsidRPr="00007309">
        <w:rPr>
          <w:rFonts w:cs="Arial"/>
          <w:b/>
          <w:bCs/>
          <w:sz w:val="24"/>
          <w:szCs w:val="24"/>
          <w:rtl/>
        </w:rPr>
        <w:t xml:space="preserve"> צָרִיךְ לְאִתְעָרָא אוֹרַיְתָא בְּאַתְוָן דְּאִנּוּן סוּסֵי אֵשׁ</w:t>
      </w:r>
      <w:r w:rsidRPr="00007309">
        <w:rPr>
          <w:rFonts w:cs="Arial" w:hint="cs"/>
          <w:b/>
          <w:bCs/>
          <w:sz w:val="24"/>
          <w:szCs w:val="24"/>
          <w:rtl/>
        </w:rPr>
        <w:t>,</w:t>
      </w:r>
      <w:r w:rsidRPr="00007309">
        <w:rPr>
          <w:rFonts w:cs="Arial"/>
          <w:b/>
          <w:bCs/>
          <w:sz w:val="24"/>
          <w:szCs w:val="24"/>
          <w:rtl/>
        </w:rPr>
        <w:t xml:space="preserve"> וְנִקּוּדִין דְּאִנּוּן פָּרַשְׁיָן רְכִיבִין עָלַיְהוּ, </w:t>
      </w:r>
      <w:r w:rsidRPr="00007309">
        <w:rPr>
          <w:rFonts w:cs="Arial"/>
          <w:b/>
          <w:bCs/>
          <w:sz w:val="36"/>
          <w:szCs w:val="28"/>
          <w:vertAlign w:val="superscript"/>
          <w:rtl/>
        </w:rPr>
        <w:footnoteReference w:id="7495"/>
      </w:r>
      <w:r w:rsidRPr="00007309">
        <w:rPr>
          <w:rFonts w:cs="Arial"/>
          <w:b/>
          <w:bCs/>
          <w:sz w:val="24"/>
          <w:szCs w:val="24"/>
          <w:rtl/>
        </w:rPr>
        <w:t>וְטַעֲמֵי דְּאִנּוּן מָאנֵי קְרָבָא</w:t>
      </w:r>
      <w:r w:rsidRPr="00007309">
        <w:rPr>
          <w:rFonts w:cs="Arial"/>
          <w:b/>
          <w:bCs/>
          <w:sz w:val="24"/>
          <w:szCs w:val="24"/>
        </w:rPr>
        <w:t>:</w:t>
      </w:r>
    </w:p>
    <w:p w:rsidR="00007309" w:rsidRPr="00007309" w:rsidRDefault="00007309" w:rsidP="00007309">
      <w:pPr>
        <w:jc w:val="both"/>
        <w:rPr>
          <w:rFonts w:cs="Arial"/>
          <w:b/>
          <w:bCs/>
          <w:sz w:val="24"/>
          <w:szCs w:val="24"/>
          <w:rtl/>
        </w:rPr>
      </w:pPr>
      <w:r w:rsidRPr="00007309">
        <w:rPr>
          <w:rFonts w:cs="Arial"/>
          <w:b/>
          <w:bCs/>
          <w:sz w:val="24"/>
          <w:szCs w:val="24"/>
          <w:rtl/>
        </w:rPr>
        <w:t>וְעוֹד קָם רִבִּי שִׁמְעוֹן וְאָמַר אִם תַּחֲנֶה עָלַי מַחֲנֶה וְכוּ' בְּוַדַּאי אֲנָא בָּעֵינָא וְכוּ'</w:t>
      </w:r>
      <w:r w:rsidRPr="00007309">
        <w:rPr>
          <w:rFonts w:cs="Arial"/>
          <w:sz w:val="24"/>
          <w:szCs w:val="24"/>
          <w:rtl/>
        </w:rPr>
        <w:t xml:space="preserve"> </w:t>
      </w:r>
      <w:r w:rsidRPr="00007309">
        <w:rPr>
          <w:rFonts w:cs="Arial" w:hint="cs"/>
          <w:sz w:val="24"/>
          <w:szCs w:val="24"/>
          <w:rtl/>
        </w:rPr>
        <w:t>(</w:t>
      </w:r>
      <w:r w:rsidRPr="00007309">
        <w:rPr>
          <w:rFonts w:cs="Arial"/>
          <w:sz w:val="24"/>
          <w:szCs w:val="24"/>
          <w:rtl/>
        </w:rPr>
        <w:t>זֶה תִּמְצָא בַּתִּקּוּנִים בד</w:t>
      </w:r>
      <w:r w:rsidRPr="00007309">
        <w:rPr>
          <w:rFonts w:cs="Arial" w:hint="cs"/>
          <w:sz w:val="24"/>
          <w:szCs w:val="24"/>
          <w:rtl/>
        </w:rPr>
        <w:t xml:space="preserve">ף </w:t>
      </w:r>
      <w:r w:rsidRPr="00007309">
        <w:rPr>
          <w:rFonts w:cs="Arial"/>
          <w:sz w:val="24"/>
          <w:szCs w:val="24"/>
          <w:rtl/>
        </w:rPr>
        <w:t xml:space="preserve">נ"ז שַׁלְהֵי ע"א כמסויים שָׁם וְנִמְשָׁךְ </w:t>
      </w:r>
      <w:r w:rsidRPr="00007309">
        <w:rPr>
          <w:rFonts w:cs="Arial" w:hint="cs"/>
          <w:sz w:val="24"/>
          <w:szCs w:val="24"/>
          <w:rtl/>
        </w:rPr>
        <w:t>כ</w:t>
      </w:r>
      <w:r w:rsidRPr="00007309">
        <w:rPr>
          <w:rFonts w:cs="Arial"/>
          <w:sz w:val="24"/>
          <w:szCs w:val="24"/>
          <w:rtl/>
        </w:rPr>
        <w:t>ַּסֵּדֶר</w:t>
      </w:r>
      <w:r w:rsidRPr="00007309">
        <w:rPr>
          <w:rFonts w:cs="Arial"/>
          <w:sz w:val="24"/>
          <w:szCs w:val="24"/>
        </w:rPr>
        <w:t xml:space="preserve"> </w:t>
      </w:r>
      <w:r w:rsidRPr="00007309">
        <w:rPr>
          <w:rFonts w:cs="Arial"/>
          <w:sz w:val="24"/>
          <w:szCs w:val="24"/>
          <w:rtl/>
        </w:rPr>
        <w:t>עַד ד</w:t>
      </w:r>
      <w:r w:rsidRPr="00007309">
        <w:rPr>
          <w:rFonts w:cs="Arial" w:hint="cs"/>
          <w:sz w:val="24"/>
          <w:szCs w:val="24"/>
          <w:rtl/>
        </w:rPr>
        <w:t xml:space="preserve">ף </w:t>
      </w:r>
      <w:r w:rsidRPr="00007309">
        <w:rPr>
          <w:rFonts w:cs="Arial"/>
          <w:sz w:val="24"/>
          <w:szCs w:val="24"/>
          <w:rtl/>
        </w:rPr>
        <w:t>ס"א ע"א חֶדְוָה וְנִגּוּנָא בִּקְרִיבוּ דִּילְהוֹן</w:t>
      </w:r>
      <w:r w:rsidRPr="00007309">
        <w:rPr>
          <w:rFonts w:cs="Arial" w:hint="cs"/>
          <w:sz w:val="24"/>
          <w:szCs w:val="24"/>
          <w:rtl/>
        </w:rPr>
        <w:t>):</w:t>
      </w:r>
    </w:p>
    <w:p w:rsidR="00007309" w:rsidRPr="00007309" w:rsidRDefault="00007309" w:rsidP="00007309">
      <w:pPr>
        <w:keepNext/>
        <w:spacing w:before="240" w:after="60"/>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[וילנא ל ע"א]</w:t>
      </w:r>
    </w:p>
    <w:p w:rsidR="00007309" w:rsidRPr="00007309" w:rsidRDefault="00007309" w:rsidP="00007309">
      <w:pPr>
        <w:jc w:val="both"/>
        <w:rPr>
          <w:rFonts w:cs="Arial"/>
          <w:b/>
          <w:bCs/>
          <w:sz w:val="24"/>
          <w:szCs w:val="24"/>
        </w:rPr>
      </w:pPr>
      <w:r w:rsidRPr="00007309">
        <w:rPr>
          <w:rFonts w:cs="Arial"/>
          <w:b/>
          <w:bCs/>
          <w:sz w:val="24"/>
          <w:szCs w:val="24"/>
          <w:rtl/>
        </w:rPr>
        <w:t>פָּתַח רִבִּי שִׁמְעוֹן וְאָמַר</w:t>
      </w:r>
      <w:r w:rsidRPr="00007309">
        <w:rPr>
          <w:rFonts w:cs="Arial" w:hint="cs"/>
          <w:b/>
          <w:bCs/>
          <w:sz w:val="24"/>
          <w:szCs w:val="24"/>
          <w:rtl/>
        </w:rPr>
        <w:t>.</w:t>
      </w:r>
      <w:r w:rsidRPr="00007309">
        <w:rPr>
          <w:rFonts w:cs="Arial"/>
          <w:b/>
          <w:bCs/>
          <w:sz w:val="24"/>
          <w:szCs w:val="24"/>
          <w:rtl/>
        </w:rPr>
        <w:t xml:space="preserve"> זַרְקָא מָקֵף שׁוֹפָר הוֹלֵךְ סְגוֹלְתָּא. </w:t>
      </w:r>
      <w:r w:rsidRPr="00007309">
        <w:rPr>
          <w:rFonts w:cs="Arial"/>
          <w:b/>
          <w:bCs/>
          <w:sz w:val="36"/>
          <w:szCs w:val="28"/>
          <w:vertAlign w:val="superscript"/>
          <w:rtl/>
        </w:rPr>
        <w:footnoteReference w:id="7496"/>
      </w:r>
      <w:r w:rsidRPr="00007309">
        <w:rPr>
          <w:rFonts w:cs="Arial"/>
          <w:b/>
          <w:bCs/>
          <w:sz w:val="24"/>
          <w:szCs w:val="24"/>
          <w:rtl/>
        </w:rPr>
        <w:t xml:space="preserve">כַּד גָּלוּ יִשְׂרָאֵל וְאִזְדְּרִיקוּ בֵּין אֻמִּין דְּעָלְמָא לְד' סִטְרִין אִזְדְּרִיקוּ </w:t>
      </w:r>
      <w:r w:rsidRPr="00007309">
        <w:rPr>
          <w:rFonts w:ascii="Cambria" w:hAnsi="Cambria" w:cs="Times New Roman" w:hint="cs"/>
          <w:b/>
          <w:bCs/>
          <w:i/>
          <w:iCs/>
          <w:color w:val="4F81BD"/>
          <w:sz w:val="24"/>
          <w:szCs w:val="24"/>
          <w:rtl/>
        </w:rPr>
        <w:t>(וילנא ל ע"א)</w:t>
      </w:r>
      <w:r w:rsidRPr="00007309">
        <w:rPr>
          <w:rFonts w:cs="Arial" w:hint="cs"/>
          <w:b/>
          <w:bCs/>
          <w:sz w:val="24"/>
          <w:szCs w:val="24"/>
          <w:rtl/>
        </w:rPr>
        <w:t xml:space="preserve"> </w:t>
      </w:r>
      <w:r w:rsidRPr="00007309">
        <w:rPr>
          <w:rFonts w:cs="Arial"/>
          <w:b/>
          <w:bCs/>
          <w:sz w:val="36"/>
          <w:szCs w:val="28"/>
          <w:vertAlign w:val="superscript"/>
          <w:rtl/>
        </w:rPr>
        <w:footnoteReference w:id="7497"/>
      </w:r>
      <w:r w:rsidRPr="00007309">
        <w:rPr>
          <w:rFonts w:cs="Arial"/>
          <w:b/>
          <w:bCs/>
          <w:sz w:val="24"/>
          <w:szCs w:val="24"/>
          <w:rtl/>
        </w:rPr>
        <w:t xml:space="preserve">ד' אַתְוָן עָלַיְהוּ מִלְּעֵלָּא. י' לַמִּזְרָח. ה' לַמַּעֲרָב. ו' לַדָּרוֹם. ה' לַצָּפוֹן. </w:t>
      </w:r>
      <w:r w:rsidRPr="00007309">
        <w:rPr>
          <w:rFonts w:cs="Arial"/>
          <w:b/>
          <w:bCs/>
          <w:sz w:val="36"/>
          <w:szCs w:val="28"/>
          <w:vertAlign w:val="superscript"/>
          <w:rtl/>
        </w:rPr>
        <w:footnoteReference w:id="7498"/>
      </w:r>
      <w:r w:rsidRPr="00007309">
        <w:rPr>
          <w:rFonts w:cs="Arial"/>
          <w:b/>
          <w:bCs/>
          <w:sz w:val="24"/>
          <w:szCs w:val="24"/>
          <w:rtl/>
        </w:rPr>
        <w:t>וְדָא עַמּוּדָא דְּאֶמְצָעִיתָא דְּאִיהִי יְהוָֹ'ה</w:t>
      </w:r>
      <w:r w:rsidRPr="00007309">
        <w:rPr>
          <w:rFonts w:cs="Arial" w:hint="cs"/>
          <w:b/>
          <w:bCs/>
          <w:sz w:val="24"/>
          <w:szCs w:val="24"/>
          <w:rtl/>
        </w:rPr>
        <w:t>,</w:t>
      </w:r>
      <w:r w:rsidRPr="00007309">
        <w:rPr>
          <w:rFonts w:cs="Arial"/>
          <w:b/>
          <w:bCs/>
          <w:sz w:val="24"/>
          <w:szCs w:val="24"/>
          <w:rtl/>
        </w:rPr>
        <w:t xml:space="preserve"> שָׁלִיט עַל ד' סִטְרִין דְּעָלְמָא. </w:t>
      </w:r>
      <w:r w:rsidRPr="00007309">
        <w:rPr>
          <w:rFonts w:cs="Arial"/>
          <w:b/>
          <w:bCs/>
          <w:sz w:val="36"/>
          <w:szCs w:val="28"/>
          <w:vertAlign w:val="superscript"/>
          <w:rtl/>
        </w:rPr>
        <w:footnoteReference w:id="7499"/>
      </w:r>
      <w:r w:rsidRPr="00007309">
        <w:rPr>
          <w:rFonts w:cs="Arial"/>
          <w:b/>
          <w:bCs/>
          <w:sz w:val="24"/>
          <w:szCs w:val="24"/>
          <w:rtl/>
        </w:rPr>
        <w:t xml:space="preserve">וְנִשְׁרָא דְּאִיהִי </w:t>
      </w:r>
      <w:r w:rsidRPr="00007309">
        <w:rPr>
          <w:rFonts w:cs="Arial" w:hint="cs"/>
          <w:b/>
          <w:bCs/>
          <w:sz w:val="24"/>
          <w:szCs w:val="24"/>
          <w:rtl/>
        </w:rPr>
        <w:t>א</w:t>
      </w:r>
      <w:r w:rsidRPr="00007309">
        <w:rPr>
          <w:rFonts w:cs="Arial"/>
          <w:b/>
          <w:bCs/>
          <w:sz w:val="24"/>
          <w:szCs w:val="24"/>
          <w:rtl/>
        </w:rPr>
        <w:t>ִ</w:t>
      </w:r>
      <w:r w:rsidRPr="00007309">
        <w:rPr>
          <w:rFonts w:cs="Arial" w:hint="cs"/>
          <w:b/>
          <w:bCs/>
          <w:sz w:val="24"/>
          <w:szCs w:val="24"/>
          <w:rtl/>
        </w:rPr>
        <w:t>ימ</w:t>
      </w:r>
      <w:r w:rsidRPr="00007309">
        <w:rPr>
          <w:rFonts w:cs="Arial"/>
          <w:b/>
          <w:bCs/>
          <w:sz w:val="24"/>
          <w:szCs w:val="24"/>
          <w:rtl/>
        </w:rPr>
        <w:t>ָ</w:t>
      </w:r>
      <w:r w:rsidRPr="00007309">
        <w:rPr>
          <w:rFonts w:cs="Arial" w:hint="cs"/>
          <w:b/>
          <w:bCs/>
          <w:sz w:val="24"/>
          <w:szCs w:val="24"/>
          <w:rtl/>
        </w:rPr>
        <w:t xml:space="preserve">א </w:t>
      </w:r>
      <w:r w:rsidRPr="00007309">
        <w:rPr>
          <w:rFonts w:cs="Arial"/>
          <w:b/>
          <w:bCs/>
          <w:sz w:val="24"/>
          <w:szCs w:val="24"/>
          <w:rtl/>
        </w:rPr>
        <w:t>עִלָּאָה</w:t>
      </w:r>
      <w:r w:rsidRPr="00007309">
        <w:rPr>
          <w:rFonts w:cs="Arial" w:hint="cs"/>
          <w:b/>
          <w:bCs/>
          <w:sz w:val="24"/>
          <w:szCs w:val="24"/>
          <w:rtl/>
        </w:rPr>
        <w:t>,</w:t>
      </w:r>
      <w:r w:rsidRPr="00007309">
        <w:rPr>
          <w:rFonts w:cs="Arial"/>
          <w:b/>
          <w:bCs/>
          <w:sz w:val="24"/>
          <w:szCs w:val="24"/>
          <w:rtl/>
        </w:rPr>
        <w:t xml:space="preserve"> פְּרִישַׂת גַּדְפָּהָא עָלַיְהוּ בְּכָל שַׁבָּת וְיוֹמִין טָבִין</w:t>
      </w:r>
      <w:r w:rsidRPr="00007309">
        <w:rPr>
          <w:rFonts w:cs="Arial" w:hint="cs"/>
          <w:b/>
          <w:bCs/>
          <w:sz w:val="24"/>
          <w:szCs w:val="24"/>
          <w:rtl/>
        </w:rPr>
        <w:t>,</w:t>
      </w:r>
      <w:r w:rsidRPr="00007309">
        <w:rPr>
          <w:rFonts w:cs="Arial"/>
          <w:b/>
          <w:bCs/>
          <w:sz w:val="24"/>
          <w:szCs w:val="24"/>
          <w:rtl/>
        </w:rPr>
        <w:t xml:space="preserve"> בְּגִין דִּתְהֵא מְגִנָּא עָלַיְהוּ וַדַּאי </w:t>
      </w:r>
      <w:r w:rsidRPr="00007309">
        <w:rPr>
          <w:rFonts w:cs="Arial"/>
          <w:b/>
          <w:bCs/>
          <w:sz w:val="36"/>
          <w:szCs w:val="28"/>
          <w:vertAlign w:val="superscript"/>
          <w:rtl/>
        </w:rPr>
        <w:footnoteReference w:id="7500"/>
      </w:r>
      <w:r w:rsidRPr="00007309">
        <w:rPr>
          <w:rFonts w:cs="Arial"/>
          <w:b/>
          <w:bCs/>
          <w:sz w:val="24"/>
          <w:szCs w:val="24"/>
          <w:rtl/>
        </w:rPr>
        <w:t>מִכָּל סִטְרִין בִּישִׁין, וְדָא הוּא הַפּוֹרֵשׂ סֻכַּת שָׁלוֹם וְכוּ'. דְּסֻכָּה וַדַּאי אִתְקְרִיאַת</w:t>
      </w:r>
      <w:r w:rsidRPr="00007309">
        <w:rPr>
          <w:rFonts w:cs="Arial" w:hint="cs"/>
          <w:b/>
          <w:bCs/>
          <w:sz w:val="24"/>
          <w:szCs w:val="24"/>
          <w:rtl/>
        </w:rPr>
        <w:t>,</w:t>
      </w:r>
      <w:r w:rsidRPr="00007309">
        <w:rPr>
          <w:rFonts w:cs="Arial"/>
          <w:b/>
          <w:bCs/>
          <w:sz w:val="24"/>
          <w:szCs w:val="24"/>
          <w:rtl/>
        </w:rPr>
        <w:t xml:space="preserve"> בְּגִין דִּמְסַכֶּכֶת עָלַיְהוּ בְּשֶׁבַע יוֹמֵי סֻכּוֹת</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501"/>
      </w:r>
      <w:r w:rsidRPr="00007309">
        <w:rPr>
          <w:rFonts w:cs="Arial"/>
          <w:b/>
          <w:bCs/>
          <w:sz w:val="24"/>
          <w:szCs w:val="24"/>
          <w:rtl/>
        </w:rPr>
        <w:t xml:space="preserve">אִנּוּן בְּנָהָא </w:t>
      </w:r>
      <w:r w:rsidRPr="00007309">
        <w:rPr>
          <w:rFonts w:cs="Arial"/>
          <w:b/>
          <w:bCs/>
          <w:sz w:val="36"/>
          <w:szCs w:val="28"/>
          <w:vertAlign w:val="superscript"/>
          <w:rtl/>
        </w:rPr>
        <w:footnoteReference w:id="7502"/>
      </w:r>
      <w:r w:rsidRPr="00007309">
        <w:rPr>
          <w:rFonts w:cs="Arial"/>
          <w:b/>
          <w:bCs/>
          <w:sz w:val="24"/>
          <w:szCs w:val="24"/>
          <w:rtl/>
        </w:rPr>
        <w:t>לְקָבְלַיְהוּ</w:t>
      </w:r>
      <w:r w:rsidRPr="00007309">
        <w:rPr>
          <w:rFonts w:cs="Arial" w:hint="cs"/>
          <w:b/>
          <w:bCs/>
          <w:sz w:val="24"/>
          <w:szCs w:val="24"/>
          <w:rtl/>
        </w:rPr>
        <w:t>,</w:t>
      </w:r>
      <w:r w:rsidRPr="00007309">
        <w:rPr>
          <w:rFonts w:cs="Arial"/>
          <w:b/>
          <w:bCs/>
          <w:sz w:val="24"/>
          <w:szCs w:val="24"/>
          <w:rtl/>
        </w:rPr>
        <w:t xml:space="preserve"> וְאִנּוּן שֶׁבַע יוֹמֵי דְּפִסְחָא</w:t>
      </w:r>
      <w:r w:rsidRPr="00007309">
        <w:rPr>
          <w:rFonts w:cs="Arial" w:hint="cs"/>
          <w:b/>
          <w:bCs/>
          <w:sz w:val="24"/>
          <w:szCs w:val="24"/>
          <w:rtl/>
        </w:rPr>
        <w:t>,</w:t>
      </w:r>
      <w:r w:rsidRPr="00007309">
        <w:rPr>
          <w:rFonts w:cs="Arial"/>
          <w:b/>
          <w:bCs/>
          <w:sz w:val="24"/>
          <w:szCs w:val="24"/>
          <w:rtl/>
        </w:rPr>
        <w:t xml:space="preserve"> וְעָלַיְהוּ אִתְּמַר </w:t>
      </w:r>
      <w:r w:rsidRPr="00007309">
        <w:rPr>
          <w:rFonts w:cs="Arial" w:hint="cs"/>
          <w:b/>
          <w:bCs/>
          <w:sz w:val="24"/>
          <w:szCs w:val="24"/>
          <w:rtl/>
        </w:rPr>
        <w:t xml:space="preserve">(ויקרא כב כז) </w:t>
      </w:r>
      <w:r w:rsidRPr="00007309">
        <w:rPr>
          <w:rFonts w:cs="Arial"/>
          <w:b/>
          <w:bCs/>
          <w:sz w:val="36"/>
          <w:szCs w:val="28"/>
          <w:vertAlign w:val="superscript"/>
          <w:rtl/>
        </w:rPr>
        <w:footnoteReference w:id="7503"/>
      </w:r>
      <w:r w:rsidRPr="00007309">
        <w:rPr>
          <w:rFonts w:cs="Arial"/>
          <w:b/>
          <w:bCs/>
          <w:sz w:val="24"/>
          <w:szCs w:val="24"/>
          <w:rtl/>
        </w:rPr>
        <w:t xml:space="preserve">שִׁבְעַת יָמִים יִהְיֶה תַּחַת אִמּוֹ. </w:t>
      </w:r>
      <w:r w:rsidRPr="00007309">
        <w:rPr>
          <w:rFonts w:cs="Arial"/>
          <w:b/>
          <w:bCs/>
          <w:sz w:val="36"/>
          <w:szCs w:val="28"/>
          <w:vertAlign w:val="superscript"/>
          <w:rtl/>
        </w:rPr>
        <w:footnoteReference w:id="7504"/>
      </w:r>
      <w:r w:rsidRPr="00007309">
        <w:rPr>
          <w:rFonts w:cs="Arial"/>
          <w:b/>
          <w:bCs/>
          <w:sz w:val="24"/>
          <w:szCs w:val="24"/>
          <w:rtl/>
        </w:rPr>
        <w:t>וּמִיּוֹם הַשְּׁמִינִי וָהָלְאָה, דָּא ש</w:t>
      </w:r>
      <w:r w:rsidRPr="00007309">
        <w:rPr>
          <w:rFonts w:cs="Arial" w:hint="cs"/>
          <w:b/>
          <w:bCs/>
          <w:sz w:val="24"/>
          <w:szCs w:val="24"/>
          <w:rtl/>
        </w:rPr>
        <w:t>מיני עצרת,</w:t>
      </w:r>
      <w:r w:rsidRPr="00007309">
        <w:rPr>
          <w:rFonts w:cs="Arial"/>
          <w:b/>
          <w:bCs/>
          <w:sz w:val="24"/>
          <w:szCs w:val="24"/>
          <w:rtl/>
        </w:rPr>
        <w:t xml:space="preserve"> עָלֵהּ אִתְּמַר יֵרָצֶה לְקָרְבָּן אִשֶּׁה לַה'. וְהַאי נִשְׁרָא עִלָּאָה אִתְּמַר בָּהּ </w:t>
      </w:r>
      <w:r w:rsidRPr="00007309">
        <w:rPr>
          <w:rFonts w:cs="Arial" w:hint="cs"/>
          <w:b/>
          <w:bCs/>
          <w:sz w:val="24"/>
          <w:szCs w:val="24"/>
          <w:rtl/>
        </w:rPr>
        <w:t xml:space="preserve">(דברים לב) </w:t>
      </w:r>
      <w:r w:rsidRPr="00007309">
        <w:rPr>
          <w:rFonts w:cs="Arial"/>
          <w:b/>
          <w:bCs/>
          <w:sz w:val="24"/>
          <w:szCs w:val="24"/>
          <w:rtl/>
        </w:rPr>
        <w:t xml:space="preserve">כַּנֶּשֶׁר יָעִיר קִנּוֹ </w:t>
      </w:r>
      <w:r w:rsidRPr="00007309">
        <w:rPr>
          <w:rFonts w:cs="Arial"/>
          <w:b/>
          <w:bCs/>
          <w:sz w:val="36"/>
          <w:szCs w:val="28"/>
          <w:vertAlign w:val="superscript"/>
          <w:rtl/>
        </w:rPr>
        <w:footnoteReference w:id="7505"/>
      </w:r>
      <w:r w:rsidRPr="00007309">
        <w:rPr>
          <w:rFonts w:cs="Arial"/>
          <w:b/>
          <w:bCs/>
          <w:sz w:val="24"/>
          <w:szCs w:val="24"/>
          <w:rtl/>
        </w:rPr>
        <w:t>עַל גּוֹזָלָיו יְרַחֵף</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506"/>
      </w:r>
      <w:r w:rsidRPr="00007309">
        <w:rPr>
          <w:rFonts w:cs="Arial"/>
          <w:b/>
          <w:bCs/>
          <w:sz w:val="24"/>
          <w:szCs w:val="24"/>
          <w:rtl/>
        </w:rPr>
        <w:t>הָדָא הוּא דִּכְתִיב וְרוּחַ אֱלֹהִים מְרַחֶפֶת עַל פְּנֵי הַמָּיִם</w:t>
      </w:r>
      <w:r w:rsidRPr="00007309">
        <w:rPr>
          <w:rFonts w:cs="Arial" w:hint="cs"/>
          <w:b/>
          <w:bCs/>
          <w:sz w:val="24"/>
          <w:szCs w:val="24"/>
          <w:rtl/>
        </w:rPr>
        <w:t>,</w:t>
      </w:r>
      <w:r w:rsidRPr="00007309">
        <w:rPr>
          <w:rFonts w:cs="Arial"/>
          <w:b/>
          <w:bCs/>
          <w:sz w:val="24"/>
          <w:szCs w:val="24"/>
          <w:rtl/>
        </w:rPr>
        <w:t xml:space="preserve"> דְּאִנּוּן ע' אַנְפִּין דְּאוֹרַיְתָא. </w:t>
      </w:r>
      <w:r w:rsidRPr="00007309">
        <w:rPr>
          <w:rFonts w:cs="Arial"/>
          <w:b/>
          <w:bCs/>
          <w:sz w:val="36"/>
          <w:szCs w:val="28"/>
          <w:vertAlign w:val="superscript"/>
          <w:rtl/>
        </w:rPr>
        <w:footnoteReference w:id="7507"/>
      </w:r>
      <w:r w:rsidRPr="00007309">
        <w:rPr>
          <w:rFonts w:cs="Arial"/>
          <w:b/>
          <w:bCs/>
          <w:sz w:val="24"/>
          <w:szCs w:val="24"/>
          <w:rtl/>
        </w:rPr>
        <w:t xml:space="preserve">מִיָּד וַיֹּאמֶר אֱלֹהִים </w:t>
      </w:r>
      <w:r w:rsidRPr="00007309">
        <w:rPr>
          <w:rFonts w:cs="Arial"/>
          <w:b/>
          <w:bCs/>
          <w:sz w:val="36"/>
          <w:szCs w:val="28"/>
          <w:vertAlign w:val="superscript"/>
          <w:rtl/>
        </w:rPr>
        <w:footnoteReference w:id="7508"/>
      </w:r>
      <w:r w:rsidRPr="00007309">
        <w:rPr>
          <w:rFonts w:cs="Arial"/>
          <w:b/>
          <w:bCs/>
          <w:sz w:val="24"/>
          <w:szCs w:val="24"/>
          <w:rtl/>
        </w:rPr>
        <w:t>יְהִי אוֹר</w:t>
      </w:r>
      <w:r w:rsidRPr="00007309">
        <w:rPr>
          <w:rFonts w:cs="Arial" w:hint="cs"/>
          <w:b/>
          <w:bCs/>
          <w:sz w:val="24"/>
          <w:szCs w:val="24"/>
          <w:rtl/>
        </w:rPr>
        <w:t>,</w:t>
      </w:r>
      <w:r w:rsidRPr="00007309">
        <w:rPr>
          <w:rFonts w:cs="Arial"/>
          <w:b/>
          <w:bCs/>
          <w:sz w:val="24"/>
          <w:szCs w:val="24"/>
          <w:rtl/>
        </w:rPr>
        <w:t xml:space="preserve"> יְהֵא פֻּרְקָנָא לְיִשְׂרָאֵל</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509"/>
      </w:r>
      <w:r w:rsidRPr="00007309">
        <w:rPr>
          <w:rFonts w:cs="Arial"/>
          <w:b/>
          <w:bCs/>
          <w:sz w:val="24"/>
          <w:szCs w:val="24"/>
          <w:rtl/>
        </w:rPr>
        <w:t xml:space="preserve">בְּהַהוּא זִמְנָא יִפְרֹשׂ כְּנָפָיו יִקָּחֵהוּ יִשָּאֵהוּ עַל אֶבְרָתוֹ. </w:t>
      </w:r>
      <w:r w:rsidRPr="00007309">
        <w:rPr>
          <w:rFonts w:cs="Arial"/>
          <w:b/>
          <w:bCs/>
          <w:sz w:val="36"/>
          <w:szCs w:val="28"/>
          <w:vertAlign w:val="superscript"/>
          <w:rtl/>
        </w:rPr>
        <w:footnoteReference w:id="7510"/>
      </w:r>
      <w:r w:rsidRPr="00007309">
        <w:rPr>
          <w:rFonts w:cs="Arial"/>
          <w:b/>
          <w:bCs/>
          <w:sz w:val="24"/>
          <w:szCs w:val="24"/>
          <w:rtl/>
        </w:rPr>
        <w:t>וּבְגִין דָּא</w:t>
      </w:r>
      <w:r w:rsidRPr="00007309">
        <w:rPr>
          <w:rFonts w:cs="Arial" w:hint="cs"/>
          <w:b/>
          <w:bCs/>
          <w:sz w:val="24"/>
          <w:szCs w:val="24"/>
          <w:rtl/>
        </w:rPr>
        <w:t>,</w:t>
      </w:r>
      <w:r w:rsidRPr="00007309">
        <w:rPr>
          <w:rFonts w:cs="Arial"/>
          <w:b/>
          <w:bCs/>
          <w:sz w:val="24"/>
          <w:szCs w:val="24"/>
          <w:rtl/>
        </w:rPr>
        <w:t xml:space="preserve"> נִשְׁרָא אִיהוּ עֵינָא, גַּדְפוֹי תְּרֵין כְּרוּבֵי עֵינָא</w:t>
      </w:r>
      <w:r w:rsidRPr="00007309">
        <w:rPr>
          <w:rFonts w:cs="Arial" w:hint="cs"/>
          <w:b/>
          <w:bCs/>
          <w:sz w:val="24"/>
          <w:szCs w:val="24"/>
          <w:rtl/>
        </w:rPr>
        <w:t>,</w:t>
      </w:r>
      <w:r w:rsidRPr="00007309">
        <w:rPr>
          <w:rFonts w:cs="Arial"/>
          <w:b/>
          <w:bCs/>
          <w:sz w:val="24"/>
          <w:szCs w:val="24"/>
          <w:rtl/>
        </w:rPr>
        <w:t xml:space="preserve"> תְּלָת גַּוְנִין דִילֵהּ אִנּוּן תְּלָת אֲבָהָן, </w:t>
      </w:r>
      <w:r w:rsidRPr="00007309">
        <w:rPr>
          <w:rFonts w:cs="Arial"/>
          <w:b/>
          <w:bCs/>
          <w:sz w:val="36"/>
          <w:szCs w:val="28"/>
          <w:vertAlign w:val="superscript"/>
          <w:rtl/>
        </w:rPr>
        <w:footnoteReference w:id="7511"/>
      </w:r>
      <w:r w:rsidRPr="00007309">
        <w:rPr>
          <w:rFonts w:cs="Arial"/>
          <w:b/>
          <w:bCs/>
          <w:sz w:val="24"/>
          <w:szCs w:val="24"/>
          <w:rtl/>
        </w:rPr>
        <w:t>דְּאִתְּמַר בְּהוֹן וּרְאִיתִיהָ לִזְכֹּר בְּרִית עוֹלָם</w:t>
      </w:r>
      <w:r w:rsidRPr="00007309">
        <w:rPr>
          <w:rFonts w:cs="Arial" w:hint="cs"/>
          <w:b/>
          <w:bCs/>
          <w:sz w:val="24"/>
          <w:szCs w:val="24"/>
          <w:rtl/>
        </w:rPr>
        <w:t>,</w:t>
      </w:r>
      <w:r w:rsidRPr="00007309">
        <w:rPr>
          <w:rFonts w:cs="Arial"/>
          <w:b/>
          <w:bCs/>
          <w:sz w:val="24"/>
          <w:szCs w:val="24"/>
          <w:rtl/>
        </w:rPr>
        <w:t xml:space="preserve"> אִנּוּן גַּוְנִין דְּעֵינָא </w:t>
      </w:r>
      <w:r w:rsidRPr="00007309">
        <w:rPr>
          <w:rFonts w:cs="Arial"/>
          <w:b/>
          <w:bCs/>
          <w:sz w:val="36"/>
          <w:szCs w:val="28"/>
          <w:vertAlign w:val="superscript"/>
          <w:rtl/>
        </w:rPr>
        <w:footnoteReference w:id="7512"/>
      </w:r>
      <w:r w:rsidRPr="00007309">
        <w:rPr>
          <w:rFonts w:cs="Arial"/>
          <w:b/>
          <w:bCs/>
          <w:sz w:val="24"/>
          <w:szCs w:val="24"/>
          <w:rtl/>
        </w:rPr>
        <w:t xml:space="preserve">דְּאִיהִי מְרֻקָּמָא בְּהוֹן. זַכָּאִין עַיְנִין דְּמִסְתַּכְּלְאִין </w:t>
      </w:r>
      <w:r w:rsidRPr="00007309">
        <w:rPr>
          <w:rFonts w:cs="Arial"/>
          <w:b/>
          <w:bCs/>
          <w:sz w:val="36"/>
          <w:szCs w:val="28"/>
          <w:vertAlign w:val="superscript"/>
          <w:rtl/>
        </w:rPr>
        <w:footnoteReference w:id="7513"/>
      </w:r>
      <w:r w:rsidRPr="00007309">
        <w:rPr>
          <w:rFonts w:cs="Arial"/>
          <w:b/>
          <w:bCs/>
          <w:sz w:val="24"/>
          <w:szCs w:val="24"/>
          <w:rtl/>
        </w:rPr>
        <w:t>וּמִתְפַּתְּחִין לְגַבָּהּ</w:t>
      </w:r>
      <w:r w:rsidRPr="00007309">
        <w:rPr>
          <w:rFonts w:cs="Arial" w:hint="cs"/>
          <w:b/>
          <w:bCs/>
          <w:sz w:val="24"/>
          <w:szCs w:val="24"/>
          <w:rtl/>
        </w:rPr>
        <w:t>,</w:t>
      </w:r>
      <w:r w:rsidRPr="00007309">
        <w:rPr>
          <w:rFonts w:cs="Arial"/>
          <w:b/>
          <w:bCs/>
          <w:sz w:val="24"/>
          <w:szCs w:val="24"/>
          <w:rtl/>
        </w:rPr>
        <w:t xml:space="preserve"> לְקַבְּלָא לָהּ </w:t>
      </w:r>
      <w:r w:rsidRPr="00007309">
        <w:rPr>
          <w:rFonts w:cs="Arial"/>
          <w:b/>
          <w:bCs/>
          <w:sz w:val="36"/>
          <w:szCs w:val="28"/>
          <w:vertAlign w:val="superscript"/>
          <w:rtl/>
        </w:rPr>
        <w:footnoteReference w:id="7514"/>
      </w:r>
      <w:r w:rsidRPr="00007309">
        <w:rPr>
          <w:rFonts w:cs="Arial"/>
          <w:b/>
          <w:bCs/>
          <w:sz w:val="24"/>
          <w:szCs w:val="24"/>
          <w:rtl/>
        </w:rPr>
        <w:t xml:space="preserve">מֶרְכָּבָה עָלַיְהוּ. </w:t>
      </w:r>
      <w:r w:rsidRPr="00007309">
        <w:rPr>
          <w:rFonts w:cs="Arial"/>
          <w:b/>
          <w:bCs/>
          <w:sz w:val="36"/>
          <w:szCs w:val="28"/>
          <w:vertAlign w:val="superscript"/>
          <w:rtl/>
        </w:rPr>
        <w:footnoteReference w:id="7515"/>
      </w:r>
      <w:r w:rsidRPr="00007309">
        <w:rPr>
          <w:rFonts w:cs="Arial"/>
          <w:b/>
          <w:bCs/>
          <w:sz w:val="24"/>
          <w:szCs w:val="24"/>
          <w:rtl/>
        </w:rPr>
        <w:t xml:space="preserve">וּמִיָּד וָאֶשָּא אֶתְכֶם עַל </w:t>
      </w:r>
      <w:r w:rsidRPr="00007309">
        <w:rPr>
          <w:rFonts w:cs="Arial"/>
          <w:b/>
          <w:bCs/>
          <w:sz w:val="36"/>
          <w:szCs w:val="28"/>
          <w:vertAlign w:val="superscript"/>
          <w:rtl/>
        </w:rPr>
        <w:footnoteReference w:id="7516"/>
      </w:r>
      <w:r w:rsidRPr="00007309">
        <w:rPr>
          <w:rFonts w:cs="Arial"/>
          <w:b/>
          <w:bCs/>
          <w:sz w:val="24"/>
          <w:szCs w:val="24"/>
          <w:rtl/>
        </w:rPr>
        <w:t>כַּנְפֵי נְשָׁרִים</w:t>
      </w:r>
      <w:r w:rsidRPr="00007309">
        <w:rPr>
          <w:rFonts w:cs="Arial" w:hint="cs"/>
          <w:b/>
          <w:bCs/>
          <w:sz w:val="24"/>
          <w:szCs w:val="24"/>
          <w:rtl/>
        </w:rPr>
        <w:t>,</w:t>
      </w:r>
      <w:r w:rsidRPr="00007309">
        <w:rPr>
          <w:rFonts w:cs="Arial"/>
          <w:b/>
          <w:bCs/>
          <w:sz w:val="24"/>
          <w:szCs w:val="24"/>
          <w:rtl/>
        </w:rPr>
        <w:t xml:space="preserve"> וָאָבִיא אֶתְכֶם </w:t>
      </w:r>
      <w:r w:rsidRPr="00007309">
        <w:rPr>
          <w:rFonts w:cs="Arial"/>
          <w:b/>
          <w:bCs/>
          <w:sz w:val="36"/>
          <w:szCs w:val="28"/>
          <w:vertAlign w:val="superscript"/>
          <w:rtl/>
        </w:rPr>
        <w:footnoteReference w:id="7517"/>
      </w:r>
      <w:r w:rsidRPr="00007309">
        <w:rPr>
          <w:rFonts w:cs="Arial"/>
          <w:b/>
          <w:bCs/>
          <w:sz w:val="24"/>
          <w:szCs w:val="24"/>
          <w:rtl/>
        </w:rPr>
        <w:t>אֵלַי. בַּת עֵינָא</w:t>
      </w:r>
      <w:r w:rsidRPr="00007309">
        <w:rPr>
          <w:rFonts w:cs="Arial" w:hint="cs"/>
          <w:b/>
          <w:bCs/>
          <w:sz w:val="24"/>
          <w:szCs w:val="24"/>
          <w:rtl/>
        </w:rPr>
        <w:t>,</w:t>
      </w:r>
      <w:r w:rsidRPr="00007309">
        <w:rPr>
          <w:rFonts w:cs="Arial"/>
          <w:b/>
          <w:bCs/>
          <w:sz w:val="24"/>
          <w:szCs w:val="24"/>
          <w:rtl/>
        </w:rPr>
        <w:t xml:space="preserve"> דָּא שְׁכִינְתָּא תַּתָּאָה</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518"/>
      </w:r>
      <w:r w:rsidRPr="00007309">
        <w:rPr>
          <w:rFonts w:cs="Arial"/>
          <w:b/>
          <w:bCs/>
          <w:sz w:val="24"/>
          <w:szCs w:val="24"/>
          <w:rtl/>
        </w:rPr>
        <w:t>אִיהִי תָּגָא בָּרֹאשׁ זַרְקָא</w:t>
      </w:r>
      <w:r w:rsidRPr="00007309">
        <w:rPr>
          <w:rFonts w:cs="Arial" w:hint="cs"/>
          <w:b/>
          <w:bCs/>
          <w:sz w:val="24"/>
          <w:szCs w:val="24"/>
          <w:rtl/>
        </w:rPr>
        <w:t>,</w:t>
      </w:r>
      <w:r w:rsidRPr="00007309">
        <w:rPr>
          <w:rFonts w:cs="Arial"/>
          <w:b/>
          <w:bCs/>
          <w:sz w:val="24"/>
          <w:szCs w:val="24"/>
          <w:rtl/>
        </w:rPr>
        <w:t xml:space="preserve"> אִמָּא עִלָּאָה פְּרִישַׁת גַּדְפָהָא וּנְטִילַת לָהּ</w:t>
      </w:r>
      <w:r w:rsidRPr="00007309">
        <w:rPr>
          <w:rFonts w:cs="Arial" w:hint="cs"/>
          <w:b/>
          <w:bCs/>
          <w:sz w:val="24"/>
          <w:szCs w:val="24"/>
          <w:rtl/>
        </w:rPr>
        <w:t>,</w:t>
      </w:r>
      <w:r w:rsidRPr="00007309">
        <w:rPr>
          <w:rFonts w:cs="Arial"/>
          <w:b/>
          <w:bCs/>
          <w:sz w:val="24"/>
          <w:szCs w:val="24"/>
          <w:rtl/>
        </w:rPr>
        <w:t xml:space="preserve"> וּפָרְחַת בָּהּ עַד דְּמָטֵי לָהּ לְגַבֵּי בַּעְלָהּ</w:t>
      </w:r>
      <w:r w:rsidRPr="00007309">
        <w:rPr>
          <w:rFonts w:cs="Arial" w:hint="cs"/>
          <w:b/>
          <w:bCs/>
          <w:sz w:val="24"/>
          <w:szCs w:val="24"/>
          <w:rtl/>
        </w:rPr>
        <w:t>,</w:t>
      </w:r>
      <w:r w:rsidRPr="00007309">
        <w:rPr>
          <w:rFonts w:cs="Arial"/>
          <w:b/>
          <w:bCs/>
          <w:sz w:val="24"/>
          <w:szCs w:val="24"/>
          <w:rtl/>
        </w:rPr>
        <w:t xml:space="preserve"> וּלְעֵיל מִנֵּהּ עַד אֵין סוֹף</w:t>
      </w:r>
      <w:r w:rsidRPr="00007309">
        <w:rPr>
          <w:rFonts w:cs="Arial" w:hint="cs"/>
          <w:b/>
          <w:bCs/>
          <w:sz w:val="24"/>
          <w:szCs w:val="24"/>
          <w:rtl/>
        </w:rPr>
        <w:t>.</w:t>
      </w:r>
      <w:r w:rsidRPr="00007309">
        <w:rPr>
          <w:rFonts w:cs="Arial"/>
          <w:b/>
          <w:bCs/>
          <w:sz w:val="24"/>
          <w:szCs w:val="24"/>
          <w:rtl/>
        </w:rPr>
        <w:t xml:space="preserve"> וְכַד סְלִיקַת לֵהּ מִתְתַּקְּנָא </w:t>
      </w:r>
      <w:r w:rsidRPr="00007309">
        <w:rPr>
          <w:rFonts w:cs="Arial"/>
          <w:b/>
          <w:bCs/>
          <w:sz w:val="36"/>
          <w:szCs w:val="28"/>
          <w:vertAlign w:val="superscript"/>
          <w:rtl/>
        </w:rPr>
        <w:footnoteReference w:id="7519"/>
      </w:r>
      <w:r w:rsidRPr="00007309">
        <w:rPr>
          <w:rFonts w:cs="Arial"/>
          <w:b/>
          <w:bCs/>
          <w:sz w:val="24"/>
          <w:szCs w:val="24"/>
          <w:rtl/>
        </w:rPr>
        <w:t xml:space="preserve">בְּכָל עֶשֶׂר סְפִירָן, מִתְקַשֶּׁטֶת בְּכָל תִּקּוּנִין וּלְבוּשִׁין דִּילָהּ, כֻּלְּהוּ </w:t>
      </w:r>
      <w:r w:rsidRPr="00007309">
        <w:rPr>
          <w:rFonts w:cs="Arial"/>
          <w:b/>
          <w:bCs/>
          <w:sz w:val="36"/>
          <w:szCs w:val="28"/>
          <w:vertAlign w:val="superscript"/>
          <w:rtl/>
        </w:rPr>
        <w:footnoteReference w:id="7520"/>
      </w:r>
      <w:r w:rsidRPr="00007309">
        <w:rPr>
          <w:rFonts w:cs="Arial"/>
          <w:b/>
          <w:bCs/>
          <w:sz w:val="24"/>
          <w:szCs w:val="24"/>
          <w:rtl/>
        </w:rPr>
        <w:t>מְרֻקָּמָן מִכָּל גַּוְנִין דְּעָלַהּ, וְחָמֵשׁ אוֹר נְהִירִין בָּהּ</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521"/>
      </w:r>
      <w:r w:rsidRPr="00007309">
        <w:rPr>
          <w:rFonts w:cs="Arial"/>
          <w:b/>
          <w:bCs/>
          <w:sz w:val="24"/>
          <w:szCs w:val="24"/>
          <w:rtl/>
        </w:rPr>
        <w:t>בְּהַהוּא זִמְנָא מַה כְּתִיב בְּבַעְלָהּ דְּאִיהוּ ו' עַמּוּדָא דְּאֶמְצָעִיתָא</w:t>
      </w:r>
      <w:r w:rsidRPr="00007309">
        <w:rPr>
          <w:rFonts w:cs="Arial" w:hint="cs"/>
          <w:b/>
          <w:bCs/>
          <w:sz w:val="24"/>
          <w:szCs w:val="24"/>
          <w:rtl/>
        </w:rPr>
        <w:t>,</w:t>
      </w:r>
      <w:r w:rsidRPr="00007309">
        <w:rPr>
          <w:rFonts w:cs="Arial"/>
          <w:b/>
          <w:bCs/>
          <w:sz w:val="24"/>
          <w:szCs w:val="24"/>
          <w:rtl/>
        </w:rPr>
        <w:t xml:space="preserve"> וּרְאִיתִיהָ לִזְכֹּר בְּרִית עוֹלָם. וְכַד מְיַחֲדָא לוֹן אִמָּא לְתַרְוַיְהוּ, אִיהִי אַמְרַת לְגַבֵּי י' עִלָּאָה דְּאִיהוּ אַבָּא</w:t>
      </w:r>
      <w:r w:rsidRPr="00007309">
        <w:rPr>
          <w:rFonts w:cs="Arial" w:hint="cs"/>
          <w:b/>
          <w:bCs/>
          <w:sz w:val="24"/>
          <w:szCs w:val="24"/>
          <w:rtl/>
        </w:rPr>
        <w:t>,</w:t>
      </w:r>
      <w:r w:rsidRPr="00007309">
        <w:rPr>
          <w:rFonts w:cs="Arial"/>
          <w:b/>
          <w:bCs/>
          <w:sz w:val="24"/>
          <w:szCs w:val="24"/>
          <w:rtl/>
        </w:rPr>
        <w:t xml:space="preserve"> </w:t>
      </w:r>
      <w:r w:rsidRPr="00007309">
        <w:rPr>
          <w:rFonts w:cs="Arial" w:hint="cs"/>
          <w:b/>
          <w:bCs/>
          <w:sz w:val="24"/>
          <w:szCs w:val="24"/>
          <w:rtl/>
        </w:rPr>
        <w:t xml:space="preserve">(דניאל ד כד) </w:t>
      </w:r>
      <w:r w:rsidRPr="00007309">
        <w:rPr>
          <w:rFonts w:cs="Arial"/>
          <w:b/>
          <w:bCs/>
          <w:sz w:val="36"/>
          <w:szCs w:val="28"/>
          <w:vertAlign w:val="superscript"/>
          <w:rtl/>
        </w:rPr>
        <w:footnoteReference w:id="7522"/>
      </w:r>
      <w:r w:rsidRPr="00007309">
        <w:rPr>
          <w:rFonts w:cs="Arial"/>
          <w:b/>
          <w:bCs/>
          <w:sz w:val="24"/>
          <w:szCs w:val="24"/>
          <w:rtl/>
        </w:rPr>
        <w:t xml:space="preserve">מַלְכָּא </w:t>
      </w:r>
      <w:r w:rsidRPr="00007309">
        <w:rPr>
          <w:rFonts w:cs="Arial"/>
          <w:b/>
          <w:bCs/>
          <w:sz w:val="36"/>
          <w:szCs w:val="28"/>
          <w:vertAlign w:val="superscript"/>
          <w:rtl/>
        </w:rPr>
        <w:footnoteReference w:id="7523"/>
      </w:r>
      <w:r w:rsidRPr="00007309">
        <w:rPr>
          <w:rFonts w:cs="Arial"/>
          <w:b/>
          <w:bCs/>
          <w:sz w:val="24"/>
          <w:szCs w:val="24"/>
          <w:rtl/>
        </w:rPr>
        <w:t>מִלְכִּי יִשְׁפַּר עֲלָךְ</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524"/>
      </w:r>
      <w:r w:rsidRPr="00007309">
        <w:rPr>
          <w:rFonts w:cs="Arial"/>
          <w:b/>
          <w:bCs/>
          <w:sz w:val="24"/>
          <w:szCs w:val="24"/>
          <w:rtl/>
        </w:rPr>
        <w:t>וְדָא אִיהוּ מָקֵף שׁוֹפָר</w:t>
      </w:r>
      <w:r w:rsidRPr="00007309">
        <w:rPr>
          <w:rFonts w:cs="Arial" w:hint="cs"/>
          <w:b/>
          <w:bCs/>
          <w:sz w:val="24"/>
          <w:szCs w:val="24"/>
          <w:rtl/>
        </w:rPr>
        <w:t>,</w:t>
      </w:r>
      <w:r w:rsidRPr="00007309">
        <w:rPr>
          <w:rFonts w:cs="Arial"/>
          <w:b/>
          <w:bCs/>
          <w:sz w:val="24"/>
          <w:szCs w:val="24"/>
          <w:rtl/>
        </w:rPr>
        <w:t xml:space="preserve"> לִישְׁנָא דְּשׁוֹפָרָא. בְּהַהוּא זִמְנָא </w:t>
      </w:r>
      <w:r w:rsidRPr="00007309">
        <w:rPr>
          <w:rFonts w:cs="Arial"/>
          <w:b/>
          <w:bCs/>
          <w:sz w:val="36"/>
          <w:szCs w:val="28"/>
          <w:vertAlign w:val="superscript"/>
          <w:rtl/>
        </w:rPr>
        <w:footnoteReference w:id="7525"/>
      </w:r>
      <w:r w:rsidRPr="00007309">
        <w:rPr>
          <w:rFonts w:cs="Arial"/>
          <w:b/>
          <w:bCs/>
          <w:sz w:val="24"/>
          <w:szCs w:val="24"/>
          <w:rtl/>
        </w:rPr>
        <w:t>דְּמִתְחַבְּרַת עִם בַּעְלָהּ</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526"/>
      </w:r>
      <w:r w:rsidRPr="00007309">
        <w:rPr>
          <w:rFonts w:cs="Arial"/>
          <w:b/>
          <w:bCs/>
          <w:sz w:val="24"/>
          <w:szCs w:val="24"/>
          <w:rtl/>
        </w:rPr>
        <w:t>יֵימָא לָהּ אַבָּא</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527"/>
      </w:r>
      <w:r w:rsidRPr="00007309">
        <w:rPr>
          <w:rFonts w:cs="Arial"/>
          <w:b/>
          <w:bCs/>
          <w:sz w:val="24"/>
          <w:szCs w:val="24"/>
          <w:rtl/>
        </w:rPr>
        <w:t xml:space="preserve">הוֹלֵךְ סְגוֹלְתָּא רְחִימָא עִם בַּעְלָהּ. בְּהַהוּא זִמְנָא יִתְקַיִּם בֵּהּ (בראשית ב) </w:t>
      </w:r>
      <w:r w:rsidRPr="00007309">
        <w:rPr>
          <w:rFonts w:cs="Arial"/>
          <w:b/>
          <w:bCs/>
          <w:sz w:val="36"/>
          <w:szCs w:val="28"/>
          <w:vertAlign w:val="superscript"/>
          <w:rtl/>
        </w:rPr>
        <w:footnoteReference w:id="7528"/>
      </w:r>
      <w:r w:rsidRPr="00007309">
        <w:rPr>
          <w:rFonts w:cs="Arial"/>
          <w:b/>
          <w:bCs/>
          <w:sz w:val="24"/>
          <w:szCs w:val="24"/>
          <w:rtl/>
        </w:rPr>
        <w:t xml:space="preserve">עַל כֵּן יַעֲזֹב אִישׁ אֶת אָבִיו וְאֶת אִמּוֹ וְדָבַק בְּאִשְׁתּוֹ וְהָיוּ לְבָשָׂר אֶחָד. וּבַיּוֹם הַהוּא יִהְיֶה </w:t>
      </w:r>
      <w:r w:rsidRPr="00007309">
        <w:rPr>
          <w:rFonts w:cs="Arial"/>
          <w:b/>
          <w:bCs/>
          <w:sz w:val="36"/>
          <w:szCs w:val="28"/>
          <w:vertAlign w:val="superscript"/>
          <w:rtl/>
        </w:rPr>
        <w:footnoteReference w:id="7529"/>
      </w:r>
      <w:r w:rsidRPr="00007309">
        <w:rPr>
          <w:rFonts w:cs="Arial"/>
          <w:b/>
          <w:bCs/>
          <w:sz w:val="24"/>
          <w:szCs w:val="24"/>
          <w:rtl/>
        </w:rPr>
        <w:t xml:space="preserve">ה' אֶחָד לְעֵלָּא </w:t>
      </w:r>
      <w:r w:rsidRPr="00007309">
        <w:rPr>
          <w:rFonts w:cs="Arial"/>
          <w:b/>
          <w:bCs/>
          <w:sz w:val="36"/>
          <w:szCs w:val="28"/>
          <w:vertAlign w:val="superscript"/>
          <w:rtl/>
        </w:rPr>
        <w:footnoteReference w:id="7530"/>
      </w:r>
      <w:r w:rsidRPr="00007309">
        <w:rPr>
          <w:rFonts w:cs="Arial"/>
          <w:b/>
          <w:bCs/>
          <w:sz w:val="24"/>
          <w:szCs w:val="24"/>
          <w:rtl/>
        </w:rPr>
        <w:t>וּשְׁמוֹ אֶחָד לְתַתָּא. וִיהוֹן אַבָּא וְאִמָּא בְּיִחוּדָא חֲדָא</w:t>
      </w:r>
      <w:r w:rsidRPr="00007309">
        <w:rPr>
          <w:rFonts w:cs="Arial" w:hint="cs"/>
          <w:b/>
          <w:bCs/>
          <w:sz w:val="24"/>
          <w:szCs w:val="24"/>
          <w:rtl/>
        </w:rPr>
        <w:t>,</w:t>
      </w:r>
      <w:r w:rsidRPr="00007309">
        <w:rPr>
          <w:rFonts w:cs="Arial"/>
          <w:b/>
          <w:bCs/>
          <w:sz w:val="24"/>
          <w:szCs w:val="24"/>
          <w:rtl/>
        </w:rPr>
        <w:t xml:space="preserve"> יָ"הּ לְעֵלָּא</w:t>
      </w:r>
      <w:r w:rsidRPr="00007309">
        <w:rPr>
          <w:rFonts w:cs="Arial" w:hint="cs"/>
          <w:b/>
          <w:bCs/>
          <w:sz w:val="24"/>
          <w:szCs w:val="24"/>
          <w:rtl/>
        </w:rPr>
        <w:t>,</w:t>
      </w:r>
      <w:r w:rsidRPr="00007309">
        <w:rPr>
          <w:rFonts w:cs="Arial"/>
          <w:b/>
          <w:bCs/>
          <w:sz w:val="24"/>
          <w:szCs w:val="24"/>
          <w:rtl/>
        </w:rPr>
        <w:t xml:space="preserve"> וְקוּדְשָׁא בְּרִיךְ הוּא וּשְׁכִינְתֵּהּ בְּיִחוּדָא חֲדָא</w:t>
      </w:r>
      <w:r w:rsidRPr="00007309">
        <w:rPr>
          <w:rFonts w:cs="Arial" w:hint="cs"/>
          <w:b/>
          <w:bCs/>
          <w:sz w:val="24"/>
          <w:szCs w:val="24"/>
          <w:rtl/>
        </w:rPr>
        <w:t>,</w:t>
      </w:r>
      <w:r w:rsidRPr="00007309">
        <w:rPr>
          <w:rFonts w:cs="Arial"/>
          <w:b/>
          <w:bCs/>
          <w:sz w:val="24"/>
          <w:szCs w:val="24"/>
          <w:rtl/>
        </w:rPr>
        <w:t xml:space="preserve"> דְּאִנּוּן וָ"ה לְתַתָּא</w:t>
      </w:r>
      <w:r w:rsidRPr="00007309">
        <w:rPr>
          <w:rFonts w:cs="Arial" w:hint="cs"/>
          <w:b/>
          <w:bCs/>
          <w:sz w:val="24"/>
          <w:szCs w:val="24"/>
          <w:rtl/>
        </w:rPr>
        <w:t>.</w:t>
      </w:r>
      <w:r w:rsidRPr="00007309">
        <w:rPr>
          <w:rFonts w:cs="Arial"/>
          <w:b/>
          <w:bCs/>
          <w:sz w:val="24"/>
          <w:szCs w:val="24"/>
          <w:rtl/>
        </w:rPr>
        <w:t xml:space="preserve"> וְהָכֵי סָלִיק יְהוָֹ'ה </w:t>
      </w:r>
      <w:r w:rsidRPr="00007309">
        <w:rPr>
          <w:rFonts w:cs="Arial"/>
          <w:b/>
          <w:bCs/>
          <w:sz w:val="36"/>
          <w:szCs w:val="28"/>
          <w:vertAlign w:val="superscript"/>
          <w:rtl/>
        </w:rPr>
        <w:footnoteReference w:id="7531"/>
      </w:r>
      <w:r w:rsidRPr="00007309">
        <w:rPr>
          <w:rFonts w:cs="Arial"/>
          <w:b/>
          <w:bCs/>
          <w:sz w:val="24"/>
          <w:szCs w:val="24"/>
          <w:rtl/>
        </w:rPr>
        <w:t xml:space="preserve">לְחֻשְׁבַּן אֶחָ'ד אֶחָ'ד. בְּהַהוּא זִמְנָא דִּיהוֹן אַרְבַּע חַד </w:t>
      </w:r>
      <w:r w:rsidRPr="00007309">
        <w:rPr>
          <w:rFonts w:cs="Arial"/>
          <w:b/>
          <w:bCs/>
          <w:sz w:val="36"/>
          <w:szCs w:val="28"/>
          <w:vertAlign w:val="superscript"/>
          <w:rtl/>
        </w:rPr>
        <w:footnoteReference w:id="7532"/>
      </w:r>
      <w:r w:rsidRPr="00007309">
        <w:rPr>
          <w:rFonts w:cs="Arial"/>
          <w:b/>
          <w:bCs/>
          <w:sz w:val="24"/>
          <w:szCs w:val="24"/>
          <w:rtl/>
        </w:rPr>
        <w:t>שַׁרְיָן עַל צַדִּיק</w:t>
      </w:r>
      <w:r w:rsidRPr="00007309">
        <w:rPr>
          <w:rFonts w:cs="Arial" w:hint="cs"/>
          <w:b/>
          <w:bCs/>
          <w:sz w:val="24"/>
          <w:szCs w:val="24"/>
          <w:rtl/>
        </w:rPr>
        <w:t>,</w:t>
      </w:r>
      <w:r w:rsidRPr="00007309">
        <w:rPr>
          <w:rFonts w:cs="Arial"/>
          <w:b/>
          <w:bCs/>
          <w:sz w:val="24"/>
          <w:szCs w:val="24"/>
          <w:rtl/>
        </w:rPr>
        <w:t xml:space="preserve"> וְדָא אִיהוּ </w:t>
      </w:r>
      <w:r w:rsidRPr="00007309">
        <w:rPr>
          <w:rFonts w:cs="Arial"/>
          <w:sz w:val="36"/>
          <w:szCs w:val="24"/>
          <w:rtl/>
        </w:rPr>
        <w:t>(תהלים מח ג)</w:t>
      </w:r>
      <w:r w:rsidRPr="00007309">
        <w:rPr>
          <w:rFonts w:cs="Arial"/>
          <w:b/>
          <w:bCs/>
          <w:sz w:val="24"/>
          <w:szCs w:val="24"/>
          <w:rtl/>
        </w:rPr>
        <w:t xml:space="preserve"> </w:t>
      </w:r>
      <w:r w:rsidRPr="00007309">
        <w:rPr>
          <w:rFonts w:cs="Arial"/>
          <w:b/>
          <w:bCs/>
          <w:sz w:val="36"/>
          <w:szCs w:val="28"/>
          <w:vertAlign w:val="superscript"/>
          <w:rtl/>
        </w:rPr>
        <w:footnoteReference w:id="7533"/>
      </w:r>
      <w:r w:rsidRPr="00007309">
        <w:rPr>
          <w:rFonts w:cs="Arial"/>
          <w:b/>
          <w:bCs/>
          <w:sz w:val="24"/>
          <w:szCs w:val="24"/>
          <w:rtl/>
        </w:rPr>
        <w:t xml:space="preserve">יְפֵה נוֹף </w:t>
      </w:r>
      <w:r w:rsidRPr="00007309">
        <w:rPr>
          <w:rFonts w:cs="Arial"/>
          <w:b/>
          <w:bCs/>
          <w:sz w:val="36"/>
          <w:szCs w:val="28"/>
          <w:vertAlign w:val="superscript"/>
          <w:rtl/>
        </w:rPr>
        <w:footnoteReference w:id="7534"/>
      </w:r>
      <w:r w:rsidRPr="00007309">
        <w:rPr>
          <w:rFonts w:cs="Arial"/>
          <w:b/>
          <w:bCs/>
          <w:sz w:val="24"/>
          <w:szCs w:val="24"/>
          <w:rtl/>
        </w:rPr>
        <w:t xml:space="preserve">מְשׂוֹשׂ כָּל הָאָרֶץ. </w:t>
      </w:r>
      <w:r w:rsidRPr="00007309">
        <w:rPr>
          <w:rFonts w:cs="Arial"/>
          <w:b/>
          <w:bCs/>
          <w:sz w:val="36"/>
          <w:szCs w:val="28"/>
          <w:vertAlign w:val="superscript"/>
          <w:rtl/>
        </w:rPr>
        <w:footnoteReference w:id="7535"/>
      </w:r>
      <w:r w:rsidRPr="00007309">
        <w:rPr>
          <w:rFonts w:cs="Arial"/>
          <w:b/>
          <w:bCs/>
          <w:sz w:val="24"/>
          <w:szCs w:val="24"/>
          <w:rtl/>
        </w:rPr>
        <w:t>וְיִתְּעַר לְתַתָּא מָשִׁיחַ</w:t>
      </w:r>
      <w:r w:rsidRPr="00007309">
        <w:rPr>
          <w:rFonts w:cs="Arial" w:hint="cs"/>
          <w:b/>
          <w:bCs/>
          <w:sz w:val="24"/>
          <w:szCs w:val="24"/>
          <w:rtl/>
        </w:rPr>
        <w:t>,</w:t>
      </w:r>
      <w:r w:rsidRPr="00007309">
        <w:rPr>
          <w:rFonts w:cs="Arial"/>
          <w:b/>
          <w:bCs/>
          <w:sz w:val="24"/>
          <w:szCs w:val="24"/>
          <w:rtl/>
        </w:rPr>
        <w:t xml:space="preserve"> וְיִסְתַּלַּק שְׁמוּעָתֵהּ בְּכָל עָלְמָא. מְשׂוֹשׂ כָּל הָאָרֶץ הַר צִיּוֹן יַרְכְּתֵי צָפוֹן. מַאי הַר צִיּוֹן</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536"/>
      </w:r>
      <w:r w:rsidRPr="00007309">
        <w:rPr>
          <w:rFonts w:cs="Arial"/>
          <w:b/>
          <w:bCs/>
          <w:sz w:val="24"/>
          <w:szCs w:val="24"/>
          <w:rtl/>
        </w:rPr>
        <w:t>דָּא הַהוּא הַר דְּאִתְּמַר בֵּהּ הַר הָעֲבָרִים</w:t>
      </w:r>
      <w:r w:rsidRPr="00007309">
        <w:rPr>
          <w:rFonts w:cs="Arial" w:hint="cs"/>
          <w:b/>
          <w:bCs/>
          <w:sz w:val="24"/>
          <w:szCs w:val="24"/>
          <w:rtl/>
        </w:rPr>
        <w:t>,</w:t>
      </w:r>
      <w:r w:rsidRPr="00007309">
        <w:rPr>
          <w:rFonts w:cs="Arial"/>
          <w:b/>
          <w:bCs/>
          <w:sz w:val="24"/>
          <w:szCs w:val="24"/>
          <w:rtl/>
        </w:rPr>
        <w:t xml:space="preserve"> מִתַּמָּן יְקוּם</w:t>
      </w:r>
      <w:r w:rsidRPr="00007309">
        <w:rPr>
          <w:rFonts w:cs="Arial" w:hint="cs"/>
          <w:b/>
          <w:bCs/>
          <w:sz w:val="24"/>
          <w:szCs w:val="24"/>
          <w:rtl/>
        </w:rPr>
        <w:t>,</w:t>
      </w:r>
      <w:r w:rsidRPr="00007309">
        <w:rPr>
          <w:rFonts w:cs="Arial"/>
          <w:b/>
          <w:bCs/>
          <w:sz w:val="24"/>
          <w:szCs w:val="24"/>
          <w:rtl/>
        </w:rPr>
        <w:t xml:space="preserve"> וּתְרֵין מְשִׁיחִין דְּאִנּוּן מָשִׁיחַ </w:t>
      </w:r>
      <w:r w:rsidRPr="00007309">
        <w:rPr>
          <w:rFonts w:cs="Arial" w:hint="cs"/>
          <w:b/>
          <w:bCs/>
          <w:sz w:val="24"/>
          <w:szCs w:val="24"/>
          <w:rtl/>
        </w:rPr>
        <w:t>ב</w:t>
      </w:r>
      <w:r w:rsidRPr="00007309">
        <w:rPr>
          <w:rFonts w:cs="Arial"/>
          <w:b/>
          <w:bCs/>
          <w:sz w:val="24"/>
          <w:szCs w:val="24"/>
          <w:rtl/>
        </w:rPr>
        <w:t xml:space="preserve">ֶּן דָּוִד וּמָשִׁיחַ </w:t>
      </w:r>
      <w:r w:rsidRPr="00007309">
        <w:rPr>
          <w:rFonts w:cs="Arial" w:hint="cs"/>
          <w:b/>
          <w:bCs/>
          <w:sz w:val="24"/>
          <w:szCs w:val="24"/>
          <w:rtl/>
        </w:rPr>
        <w:t>ב</w:t>
      </w:r>
      <w:r w:rsidRPr="00007309">
        <w:rPr>
          <w:rFonts w:cs="Arial"/>
          <w:b/>
          <w:bCs/>
          <w:sz w:val="24"/>
          <w:szCs w:val="24"/>
          <w:rtl/>
        </w:rPr>
        <w:t xml:space="preserve">ֶּן יוֹסֵף יְהוֹן </w:t>
      </w:r>
      <w:r w:rsidRPr="00007309">
        <w:rPr>
          <w:rFonts w:cs="Arial"/>
          <w:b/>
          <w:bCs/>
          <w:sz w:val="36"/>
          <w:szCs w:val="28"/>
          <w:vertAlign w:val="superscript"/>
          <w:rtl/>
        </w:rPr>
        <w:footnoteReference w:id="7537"/>
      </w:r>
      <w:r w:rsidRPr="00007309">
        <w:rPr>
          <w:rFonts w:cs="Arial"/>
          <w:b/>
          <w:bCs/>
          <w:sz w:val="24"/>
          <w:szCs w:val="24"/>
          <w:rtl/>
        </w:rPr>
        <w:t>יַרְכִין דִּילֵהּ</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538"/>
      </w:r>
      <w:r w:rsidRPr="00007309">
        <w:rPr>
          <w:rFonts w:cs="Arial"/>
          <w:b/>
          <w:bCs/>
          <w:sz w:val="24"/>
          <w:szCs w:val="24"/>
          <w:rtl/>
        </w:rPr>
        <w:t xml:space="preserve">וְאִיהוּ אוֹת </w:t>
      </w:r>
      <w:r w:rsidRPr="00007309">
        <w:rPr>
          <w:rFonts w:cs="Arial"/>
          <w:b/>
          <w:bCs/>
          <w:sz w:val="36"/>
          <w:szCs w:val="28"/>
          <w:vertAlign w:val="superscript"/>
          <w:rtl/>
        </w:rPr>
        <w:footnoteReference w:id="7539"/>
      </w:r>
      <w:r w:rsidRPr="00007309">
        <w:rPr>
          <w:rFonts w:cs="Arial"/>
          <w:b/>
          <w:bCs/>
          <w:sz w:val="24"/>
          <w:szCs w:val="24"/>
          <w:rtl/>
        </w:rPr>
        <w:t>בֵּינַיְהוּ</w:t>
      </w:r>
      <w:r w:rsidRPr="00007309">
        <w:rPr>
          <w:rFonts w:cs="Arial" w:hint="cs"/>
          <w:b/>
          <w:bCs/>
          <w:sz w:val="24"/>
          <w:szCs w:val="24"/>
          <w:rtl/>
        </w:rPr>
        <w:t>,</w:t>
      </w:r>
      <w:r w:rsidRPr="00007309">
        <w:rPr>
          <w:rFonts w:cs="Arial"/>
          <w:b/>
          <w:bCs/>
          <w:sz w:val="24"/>
          <w:szCs w:val="24"/>
          <w:rtl/>
        </w:rPr>
        <w:t xml:space="preserve"> בְּגִין דְּעָלַהּ אִתְּמַר (שמות ג) </w:t>
      </w:r>
      <w:r w:rsidRPr="00007309">
        <w:rPr>
          <w:rFonts w:cs="Arial"/>
          <w:b/>
          <w:bCs/>
          <w:sz w:val="36"/>
          <w:szCs w:val="28"/>
          <w:vertAlign w:val="superscript"/>
          <w:rtl/>
        </w:rPr>
        <w:footnoteReference w:id="7540"/>
      </w:r>
      <w:r w:rsidRPr="00007309">
        <w:rPr>
          <w:rFonts w:cs="Arial"/>
          <w:b/>
          <w:bCs/>
          <w:sz w:val="24"/>
          <w:szCs w:val="24"/>
          <w:rtl/>
        </w:rPr>
        <w:t xml:space="preserve">וְזֶה לְךָ הָאוֹת. וּבְהַהוּא זִמְנָא שְׁכִינְתָּא עִלָּאָה דְּאִיהִי </w:t>
      </w:r>
      <w:r w:rsidRPr="00007309">
        <w:rPr>
          <w:rFonts w:cs="Arial"/>
          <w:b/>
          <w:bCs/>
          <w:sz w:val="36"/>
          <w:szCs w:val="28"/>
          <w:vertAlign w:val="superscript"/>
          <w:rtl/>
        </w:rPr>
        <w:footnoteReference w:id="7541"/>
      </w:r>
      <w:r w:rsidRPr="00007309">
        <w:rPr>
          <w:rFonts w:cs="Arial"/>
          <w:b/>
          <w:bCs/>
          <w:sz w:val="24"/>
          <w:szCs w:val="24"/>
          <w:rtl/>
        </w:rPr>
        <w:t xml:space="preserve">קִרְיַת </w:t>
      </w:r>
      <w:r w:rsidRPr="00007309">
        <w:rPr>
          <w:rFonts w:cs="Arial"/>
          <w:b/>
          <w:bCs/>
          <w:sz w:val="36"/>
          <w:szCs w:val="28"/>
          <w:vertAlign w:val="superscript"/>
          <w:rtl/>
        </w:rPr>
        <w:footnoteReference w:id="7542"/>
      </w:r>
      <w:r w:rsidRPr="00007309">
        <w:rPr>
          <w:rFonts w:cs="Arial"/>
          <w:b/>
          <w:bCs/>
          <w:sz w:val="24"/>
          <w:szCs w:val="24"/>
          <w:rtl/>
        </w:rPr>
        <w:t>מֶלֶךְ רַב</w:t>
      </w:r>
      <w:r w:rsidRPr="00007309">
        <w:rPr>
          <w:rFonts w:cs="Arial" w:hint="cs"/>
          <w:b/>
          <w:bCs/>
          <w:sz w:val="24"/>
          <w:szCs w:val="24"/>
          <w:rtl/>
        </w:rPr>
        <w:t>,</w:t>
      </w:r>
      <w:r w:rsidRPr="00007309">
        <w:rPr>
          <w:rFonts w:cs="Arial"/>
          <w:b/>
          <w:bCs/>
          <w:sz w:val="24"/>
          <w:szCs w:val="24"/>
          <w:rtl/>
        </w:rPr>
        <w:t xml:space="preserve"> דְּאִיהוּ חָכְמָה, </w:t>
      </w:r>
      <w:r w:rsidRPr="00007309">
        <w:rPr>
          <w:rFonts w:cs="Arial"/>
          <w:b/>
          <w:bCs/>
          <w:sz w:val="36"/>
          <w:szCs w:val="28"/>
          <w:vertAlign w:val="superscript"/>
          <w:rtl/>
        </w:rPr>
        <w:footnoteReference w:id="7543"/>
      </w:r>
      <w:r w:rsidRPr="00007309">
        <w:rPr>
          <w:rFonts w:cs="Arial"/>
          <w:b/>
          <w:bCs/>
          <w:sz w:val="24"/>
          <w:szCs w:val="24"/>
          <w:rtl/>
        </w:rPr>
        <w:t>נְחִיתַת עֲטָרָה עָלֵהּ</w:t>
      </w:r>
      <w:r w:rsidRPr="00007309">
        <w:rPr>
          <w:rFonts w:cs="Arial"/>
          <w:b/>
          <w:bCs/>
          <w:sz w:val="24"/>
          <w:szCs w:val="24"/>
        </w:rPr>
        <w:t>:</w:t>
      </w:r>
    </w:p>
    <w:p w:rsidR="00007309" w:rsidRPr="00007309" w:rsidRDefault="00007309" w:rsidP="00007309">
      <w:pPr>
        <w:keepNext/>
        <w:outlineLvl w:val="1"/>
        <w:rPr>
          <w:rFonts w:ascii="Cambria" w:hAnsi="Cambria" w:cs="Times New Roman"/>
          <w:b/>
          <w:bCs/>
          <w:i/>
          <w:iCs/>
          <w:sz w:val="28"/>
          <w:szCs w:val="28"/>
          <w:rtl/>
        </w:rPr>
      </w:pPr>
      <w:r w:rsidRPr="00007309">
        <w:rPr>
          <w:rFonts w:ascii="Cambria" w:hAnsi="Cambria" w:cs="Times New Roman"/>
          <w:b/>
          <w:bCs/>
          <w:i/>
          <w:iCs/>
          <w:sz w:val="28"/>
          <w:szCs w:val="28"/>
          <w:rtl/>
        </w:rPr>
        <w:t>[</w:t>
      </w:r>
      <w:r w:rsidRPr="00007309">
        <w:rPr>
          <w:rFonts w:ascii="Cambria" w:hAnsi="Cambria" w:cs="Times New Roman" w:hint="cs"/>
          <w:b/>
          <w:bCs/>
          <w:i/>
          <w:iCs/>
          <w:sz w:val="28"/>
          <w:szCs w:val="28"/>
          <w:rtl/>
        </w:rPr>
        <w:t>דף</w:t>
      </w:r>
      <w:r w:rsidRPr="00007309">
        <w:rPr>
          <w:rFonts w:ascii="Cambria" w:hAnsi="Cambria" w:cs="Times New Roman"/>
          <w:b/>
          <w:bCs/>
          <w:i/>
          <w:iCs/>
          <w:sz w:val="28"/>
          <w:szCs w:val="28"/>
          <w:rtl/>
        </w:rPr>
        <w:t xml:space="preserve"> </w:t>
      </w:r>
      <w:r w:rsidRPr="00007309">
        <w:rPr>
          <w:rFonts w:ascii="Cambria" w:hAnsi="Cambria" w:cs="Times New Roman" w:hint="cs"/>
          <w:b/>
          <w:bCs/>
          <w:i/>
          <w:iCs/>
          <w:sz w:val="28"/>
          <w:szCs w:val="28"/>
          <w:rtl/>
        </w:rPr>
        <w:t>פב</w:t>
      </w:r>
      <w:r w:rsidRPr="00007309">
        <w:rPr>
          <w:rFonts w:ascii="Cambria" w:hAnsi="Cambria" w:cs="Times New Roman"/>
          <w:b/>
          <w:bCs/>
          <w:i/>
          <w:iCs/>
          <w:sz w:val="28"/>
          <w:szCs w:val="28"/>
          <w:rtl/>
        </w:rPr>
        <w:t xml:space="preserve"> ע"</w:t>
      </w:r>
      <w:r w:rsidRPr="00007309">
        <w:rPr>
          <w:rFonts w:ascii="Cambria" w:hAnsi="Cambria" w:cs="Times New Roman" w:hint="cs"/>
          <w:b/>
          <w:bCs/>
          <w:i/>
          <w:iCs/>
          <w:sz w:val="28"/>
          <w:szCs w:val="28"/>
          <w:rtl/>
        </w:rPr>
        <w:t>ג</w:t>
      </w:r>
      <w:r w:rsidRPr="00007309">
        <w:rPr>
          <w:rFonts w:ascii="Cambria" w:hAnsi="Cambria" w:cs="Times New Roman"/>
          <w:b/>
          <w:bCs/>
          <w:i/>
          <w:iCs/>
          <w:sz w:val="28"/>
          <w:szCs w:val="28"/>
          <w:rtl/>
        </w:rPr>
        <w:t>]</w:t>
      </w:r>
    </w:p>
    <w:p w:rsidR="00007309" w:rsidRPr="00007309" w:rsidRDefault="00007309" w:rsidP="00007309">
      <w:pPr>
        <w:keepNext/>
        <w:spacing w:before="240" w:after="60"/>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 xml:space="preserve"> [וילנא ל ע"ב]</w:t>
      </w:r>
    </w:p>
    <w:p w:rsidR="00007309" w:rsidRPr="00007309" w:rsidRDefault="00007309" w:rsidP="00007309">
      <w:pPr>
        <w:jc w:val="both"/>
        <w:rPr>
          <w:rFonts w:cs="Arial"/>
          <w:b/>
          <w:bCs/>
          <w:sz w:val="24"/>
          <w:szCs w:val="24"/>
          <w:rtl/>
        </w:rPr>
      </w:pPr>
      <w:r w:rsidRPr="00007309">
        <w:rPr>
          <w:rFonts w:cs="Arial"/>
          <w:b/>
          <w:bCs/>
          <w:sz w:val="36"/>
          <w:szCs w:val="28"/>
          <w:vertAlign w:val="superscript"/>
          <w:rtl/>
        </w:rPr>
        <w:footnoteReference w:id="7544"/>
      </w:r>
      <w:r w:rsidRPr="00007309">
        <w:rPr>
          <w:rFonts w:cs="Arial"/>
          <w:b/>
          <w:bCs/>
          <w:sz w:val="24"/>
          <w:szCs w:val="24"/>
          <w:rtl/>
        </w:rPr>
        <w:t xml:space="preserve">קָם סָבָא אָחֳרָא וְאָמַר, סָבָא סָבָא תְּרֵי הֲווֹ, וְהָא אִנּוּן חַד לְתַתָּא. א"ל וַדַּאי יְפֵה נוֹף דָּא צַדִּיק מְשׂוֹשׂ כָּל הָאָרֶץ דָּא </w:t>
      </w:r>
      <w:r w:rsidRPr="00007309">
        <w:rPr>
          <w:rFonts w:ascii="Cambria" w:hAnsi="Cambria" w:cs="Times New Roman" w:hint="cs"/>
          <w:b/>
          <w:bCs/>
          <w:i/>
          <w:iCs/>
          <w:color w:val="4F81BD"/>
          <w:sz w:val="24"/>
          <w:szCs w:val="24"/>
          <w:rtl/>
        </w:rPr>
        <w:t>(וילנא ל ע"ב)</w:t>
      </w:r>
      <w:r w:rsidRPr="00007309">
        <w:rPr>
          <w:rFonts w:cs="Arial" w:hint="cs"/>
          <w:b/>
          <w:bCs/>
          <w:sz w:val="24"/>
          <w:szCs w:val="24"/>
          <w:rtl/>
        </w:rPr>
        <w:t xml:space="preserve"> </w:t>
      </w:r>
      <w:r w:rsidRPr="00007309">
        <w:rPr>
          <w:rFonts w:cs="Arial"/>
          <w:b/>
          <w:bCs/>
          <w:sz w:val="24"/>
          <w:szCs w:val="24"/>
          <w:rtl/>
        </w:rPr>
        <w:t xml:space="preserve">עַמּוּדָא דְּאֶמְצָעִיתָא דְּאִיהִי </w:t>
      </w:r>
      <w:r w:rsidRPr="00007309">
        <w:rPr>
          <w:rFonts w:cs="Arial"/>
          <w:b/>
          <w:bCs/>
          <w:sz w:val="36"/>
          <w:szCs w:val="28"/>
          <w:vertAlign w:val="superscript"/>
          <w:rtl/>
        </w:rPr>
        <w:footnoteReference w:id="7545"/>
      </w:r>
      <w:r w:rsidRPr="00007309">
        <w:rPr>
          <w:rFonts w:cs="Arial"/>
          <w:b/>
          <w:bCs/>
          <w:sz w:val="24"/>
          <w:szCs w:val="24"/>
          <w:rtl/>
        </w:rPr>
        <w:t>מְשׂוֹשׂ דְּצַדִּיק</w:t>
      </w:r>
      <w:r w:rsidRPr="00007309">
        <w:rPr>
          <w:rFonts w:cs="Arial" w:hint="cs"/>
          <w:b/>
          <w:bCs/>
          <w:sz w:val="24"/>
          <w:szCs w:val="24"/>
          <w:rtl/>
        </w:rPr>
        <w:t xml:space="preserve"> ד</w:t>
      </w:r>
      <w:r w:rsidRPr="00007309">
        <w:rPr>
          <w:rFonts w:cs="Arial"/>
          <w:b/>
          <w:bCs/>
          <w:sz w:val="24"/>
          <w:szCs w:val="24"/>
          <w:rtl/>
        </w:rPr>
        <w:t>ְ</w:t>
      </w:r>
      <w:r w:rsidRPr="00007309">
        <w:rPr>
          <w:rFonts w:cs="Arial" w:hint="cs"/>
          <w:b/>
          <w:bCs/>
          <w:sz w:val="24"/>
          <w:szCs w:val="24"/>
          <w:rtl/>
        </w:rPr>
        <w:t>א</w:t>
      </w:r>
      <w:r w:rsidRPr="00007309">
        <w:rPr>
          <w:rFonts w:cs="Arial"/>
          <w:b/>
          <w:bCs/>
          <w:sz w:val="24"/>
          <w:szCs w:val="24"/>
          <w:rtl/>
        </w:rPr>
        <w:t>ִ</w:t>
      </w:r>
      <w:r w:rsidRPr="00007309">
        <w:rPr>
          <w:rFonts w:cs="Arial" w:hint="cs"/>
          <w:b/>
          <w:bCs/>
          <w:sz w:val="24"/>
          <w:szCs w:val="24"/>
          <w:rtl/>
        </w:rPr>
        <w:t>יק</w:t>
      </w:r>
      <w:r w:rsidRPr="00007309">
        <w:rPr>
          <w:rFonts w:cs="Arial"/>
          <w:b/>
          <w:bCs/>
          <w:sz w:val="24"/>
          <w:szCs w:val="24"/>
          <w:rtl/>
        </w:rPr>
        <w:t>ְ</w:t>
      </w:r>
      <w:r w:rsidRPr="00007309">
        <w:rPr>
          <w:rFonts w:cs="Arial" w:hint="cs"/>
          <w:b/>
          <w:bCs/>
          <w:sz w:val="24"/>
          <w:szCs w:val="24"/>
          <w:rtl/>
        </w:rPr>
        <w:t>ר</w:t>
      </w:r>
      <w:r w:rsidRPr="00007309">
        <w:rPr>
          <w:rFonts w:cs="Arial"/>
          <w:b/>
          <w:bCs/>
          <w:sz w:val="24"/>
          <w:szCs w:val="24"/>
          <w:rtl/>
        </w:rPr>
        <w:t>ִ</w:t>
      </w:r>
      <w:r w:rsidRPr="00007309">
        <w:rPr>
          <w:rFonts w:cs="Arial" w:hint="cs"/>
          <w:b/>
          <w:bCs/>
          <w:sz w:val="24"/>
          <w:szCs w:val="24"/>
          <w:rtl/>
        </w:rPr>
        <w:t xml:space="preserve">י </w:t>
      </w:r>
      <w:r w:rsidRPr="00007309">
        <w:rPr>
          <w:rFonts w:cs="Arial"/>
          <w:b/>
          <w:bCs/>
          <w:sz w:val="24"/>
          <w:szCs w:val="24"/>
          <w:rtl/>
        </w:rPr>
        <w:t>כָּל וְהָאָרֶץ דְּאִיהִי שְׁכִינְתָּא</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546"/>
      </w:r>
      <w:r w:rsidRPr="00007309">
        <w:rPr>
          <w:rFonts w:cs="Arial"/>
          <w:b/>
          <w:bCs/>
          <w:sz w:val="24"/>
          <w:szCs w:val="24"/>
          <w:rtl/>
        </w:rPr>
        <w:t>וּלְגַבָּהּ גּוּף וּבְרִית חַשִׁ</w:t>
      </w:r>
      <w:r w:rsidRPr="00007309">
        <w:rPr>
          <w:rFonts w:cs="Arial" w:hint="cs"/>
          <w:b/>
          <w:bCs/>
          <w:sz w:val="24"/>
          <w:szCs w:val="24"/>
          <w:rtl/>
        </w:rPr>
        <w:t>י</w:t>
      </w:r>
      <w:r w:rsidRPr="00007309">
        <w:rPr>
          <w:rFonts w:cs="Arial"/>
          <w:b/>
          <w:bCs/>
          <w:sz w:val="24"/>
          <w:szCs w:val="24"/>
          <w:rtl/>
        </w:rPr>
        <w:t xml:space="preserve">בִין חַד. וּלְעֵלָּא אִנּוּן תְּרֵין. כְּגַוְנָא דְּאִילָנָא דְּעִקָּרָא דִּילֵהּ אִיהוּ חַד, וְעַנְפִּין לְעֵלָּא מִתְפָּרְדִין לְקַבְּלָא אֵיבָא. וְרָזָא דְּמִלָּה וּפְנֵיהֶם וְכַנְפֵיהֶם פְּרוּדוֹת מִלְּמַעְלָה. פְּרוּדוֹת וַדַּאי. אִנּוּן עַנְפִּין לְגַבֵּי אַבָּא וְאִמָּא לְקַבְּלָא נְבִיעוּ </w:t>
      </w:r>
      <w:r w:rsidRPr="00007309">
        <w:rPr>
          <w:rFonts w:cs="Arial"/>
          <w:b/>
          <w:bCs/>
          <w:sz w:val="36"/>
          <w:szCs w:val="28"/>
          <w:vertAlign w:val="superscript"/>
          <w:rtl/>
        </w:rPr>
        <w:footnoteReference w:id="7547"/>
      </w:r>
      <w:r w:rsidRPr="00007309">
        <w:rPr>
          <w:rFonts w:cs="Arial"/>
          <w:b/>
          <w:bCs/>
          <w:sz w:val="24"/>
          <w:szCs w:val="24"/>
          <w:rtl/>
        </w:rPr>
        <w:t xml:space="preserve">מִמְּקוֹרָא עִלָּאָה דְּלֵית לֵהּ סוֹף, וּלְאַרְקָא כֹּלָּא בְּצַדִּיק לְגַבֵּי שְׁכִינְתָּא. </w:t>
      </w:r>
    </w:p>
    <w:p w:rsidR="00007309" w:rsidRPr="00007309" w:rsidRDefault="00007309" w:rsidP="00007309">
      <w:pPr>
        <w:jc w:val="both"/>
        <w:rPr>
          <w:rFonts w:cs="Arial"/>
          <w:b/>
          <w:bCs/>
          <w:sz w:val="24"/>
          <w:szCs w:val="24"/>
          <w:rtl/>
        </w:rPr>
      </w:pPr>
      <w:r w:rsidRPr="00007309">
        <w:rPr>
          <w:rFonts w:cs="Arial"/>
          <w:b/>
          <w:bCs/>
          <w:sz w:val="24"/>
          <w:szCs w:val="24"/>
          <w:rtl/>
        </w:rPr>
        <w:t xml:space="preserve">וְעוֹד הַר צִיּוֹן יַרְכְּתֵי צָפוֹן </w:t>
      </w:r>
      <w:r w:rsidRPr="00007309">
        <w:rPr>
          <w:rFonts w:cs="Arial"/>
          <w:b/>
          <w:bCs/>
          <w:sz w:val="36"/>
          <w:szCs w:val="28"/>
          <w:vertAlign w:val="superscript"/>
          <w:rtl/>
        </w:rPr>
        <w:footnoteReference w:id="7548"/>
      </w:r>
      <w:r w:rsidRPr="00007309">
        <w:rPr>
          <w:rFonts w:cs="Arial"/>
          <w:b/>
          <w:bCs/>
          <w:sz w:val="24"/>
          <w:szCs w:val="24"/>
          <w:rtl/>
        </w:rPr>
        <w:t xml:space="preserve">הַאי נְקֻדָּה דְּאִיהִי צִיּוֹן, אִיהִי בֵּין תְּרֵי יַרְכֵי קְשׁוֹט דְּאִנּוּן צֵרֵי, </w:t>
      </w:r>
      <w:r w:rsidRPr="00007309">
        <w:rPr>
          <w:rFonts w:cs="Arial"/>
          <w:b/>
          <w:bCs/>
          <w:sz w:val="36"/>
          <w:szCs w:val="28"/>
          <w:vertAlign w:val="superscript"/>
          <w:rtl/>
        </w:rPr>
        <w:footnoteReference w:id="7549"/>
      </w:r>
      <w:r w:rsidRPr="00007309">
        <w:rPr>
          <w:rFonts w:cs="Arial"/>
          <w:b/>
          <w:bCs/>
          <w:sz w:val="24"/>
          <w:szCs w:val="24"/>
          <w:rtl/>
        </w:rPr>
        <w:t xml:space="preserve">וּבְהוֹן אִתְעֲבִיד סֶגוֹל. בִּתְרֵין דְּרוֹעִין אִיהִי סְגוֹלְתָּא. לְעֵלָּא מִנַּיְהוּ חֹלָם עַל צֵרֵי אִתְעֲבִיד סְגוֹלְתָּא. חִירִיק תְּחוֹת צֵרֵי אִתְעֲבִיד סֶגוֹל תְּחוֹת תְּרֵין יַרְכִין. וּבְגִין דְּאִיהִי סְגוֹלְתָּא </w:t>
      </w:r>
      <w:r w:rsidRPr="00007309">
        <w:rPr>
          <w:rFonts w:cs="Arial"/>
          <w:b/>
          <w:bCs/>
          <w:sz w:val="36"/>
          <w:szCs w:val="28"/>
          <w:vertAlign w:val="superscript"/>
          <w:rtl/>
        </w:rPr>
        <w:footnoteReference w:id="7550"/>
      </w:r>
      <w:r w:rsidRPr="00007309">
        <w:rPr>
          <w:rFonts w:cs="Arial"/>
          <w:b/>
          <w:bCs/>
          <w:sz w:val="24"/>
          <w:szCs w:val="24"/>
          <w:rtl/>
        </w:rPr>
        <w:t xml:space="preserve">עַל תְּרֵין דְּרוֹעִין דְּאִנּוּן אַבְרָהָם יִצְחָק וְיַעֲקֹב, אָמַר קְרָא (תהלים קיח) </w:t>
      </w:r>
      <w:r w:rsidRPr="00007309">
        <w:rPr>
          <w:rFonts w:cs="Arial"/>
          <w:b/>
          <w:bCs/>
          <w:sz w:val="36"/>
          <w:szCs w:val="28"/>
          <w:vertAlign w:val="superscript"/>
          <w:rtl/>
        </w:rPr>
        <w:footnoteReference w:id="7551"/>
      </w:r>
      <w:r w:rsidRPr="00007309">
        <w:rPr>
          <w:rFonts w:cs="Arial"/>
          <w:b/>
          <w:bCs/>
          <w:sz w:val="24"/>
          <w:szCs w:val="24"/>
          <w:rtl/>
        </w:rPr>
        <w:t>אֶבֶן</w:t>
      </w:r>
      <w:r w:rsidRPr="00007309">
        <w:rPr>
          <w:rFonts w:cs="Arial"/>
          <w:b/>
          <w:bCs/>
          <w:sz w:val="24"/>
          <w:szCs w:val="24"/>
        </w:rPr>
        <w:t xml:space="preserve"> </w:t>
      </w:r>
      <w:r w:rsidRPr="00007309">
        <w:rPr>
          <w:rFonts w:cs="Arial"/>
          <w:b/>
          <w:bCs/>
          <w:sz w:val="24"/>
          <w:szCs w:val="24"/>
          <w:rtl/>
        </w:rPr>
        <w:t xml:space="preserve">מָאֲסוּ </w:t>
      </w:r>
      <w:r w:rsidRPr="00007309">
        <w:rPr>
          <w:rFonts w:cs="Arial"/>
          <w:b/>
          <w:bCs/>
          <w:sz w:val="36"/>
          <w:szCs w:val="28"/>
          <w:vertAlign w:val="superscript"/>
          <w:rtl/>
        </w:rPr>
        <w:footnoteReference w:id="7552"/>
      </w:r>
      <w:r w:rsidRPr="00007309">
        <w:rPr>
          <w:rFonts w:cs="Arial"/>
          <w:b/>
          <w:bCs/>
          <w:sz w:val="24"/>
          <w:szCs w:val="24"/>
          <w:rtl/>
        </w:rPr>
        <w:t xml:space="preserve">הַבּוֹנִים הָיְתָה לְרֹאשׁ פִּנָּה. </w:t>
      </w:r>
      <w:r w:rsidRPr="00007309">
        <w:rPr>
          <w:rFonts w:cs="Arial"/>
          <w:b/>
          <w:bCs/>
          <w:sz w:val="36"/>
          <w:szCs w:val="28"/>
          <w:vertAlign w:val="superscript"/>
          <w:rtl/>
        </w:rPr>
        <w:footnoteReference w:id="7553"/>
      </w:r>
      <w:r w:rsidRPr="00007309">
        <w:rPr>
          <w:rFonts w:cs="Arial"/>
          <w:b/>
          <w:bCs/>
          <w:sz w:val="24"/>
          <w:szCs w:val="24"/>
          <w:rtl/>
        </w:rPr>
        <w:t>וְאִנּוּן ג' יוּדִי"ן ייי, עָלַיְהוּ אִתְּמַר</w:t>
      </w:r>
      <w:r w:rsidRPr="00007309">
        <w:rPr>
          <w:rFonts w:cs="Arial" w:hint="cs"/>
          <w:b/>
          <w:bCs/>
          <w:sz w:val="24"/>
          <w:szCs w:val="24"/>
          <w:rtl/>
        </w:rPr>
        <w:t xml:space="preserve"> </w:t>
      </w:r>
      <w:r w:rsidRPr="00007309">
        <w:rPr>
          <w:rFonts w:cs="Arial"/>
          <w:b/>
          <w:bCs/>
          <w:sz w:val="24"/>
          <w:szCs w:val="24"/>
          <w:rtl/>
        </w:rPr>
        <w:t>אֵין פּוֹחֲתִין מֵעֲשָׂרָה מַלְכֻיּוֹת וּמֵעֲשָׂרָה זִכְרוֹנוֹת וּמֵעֲשָׂרָה שׁוֹפָרוֹת דְּאִתְרְמִיזוּ בְּיוּ"ד הֵ"י וָא"ו הֵ"י</w:t>
      </w:r>
      <w:r w:rsidRPr="00007309">
        <w:rPr>
          <w:rFonts w:cs="Arial" w:hint="cs"/>
          <w:b/>
          <w:bCs/>
          <w:sz w:val="24"/>
          <w:szCs w:val="24"/>
          <w:rtl/>
        </w:rPr>
        <w:t>,</w:t>
      </w:r>
      <w:r w:rsidRPr="00007309">
        <w:rPr>
          <w:rFonts w:cs="Arial"/>
          <w:b/>
          <w:bCs/>
          <w:sz w:val="24"/>
          <w:szCs w:val="24"/>
          <w:rtl/>
        </w:rPr>
        <w:t xml:space="preserve"> </w:t>
      </w:r>
      <w:r w:rsidRPr="00007309">
        <w:rPr>
          <w:rFonts w:ascii="Cambria" w:hAnsi="Cambria" w:cs="Times New Roman" w:hint="cs"/>
          <w:b/>
          <w:bCs/>
          <w:i/>
          <w:iCs/>
          <w:color w:val="4F81BD"/>
          <w:sz w:val="24"/>
          <w:szCs w:val="24"/>
          <w:rtl/>
        </w:rPr>
        <w:t>(פב ע"ג)</w:t>
      </w:r>
      <w:r w:rsidRPr="00007309">
        <w:rPr>
          <w:rFonts w:cs="Arial" w:hint="cs"/>
          <w:b/>
          <w:bCs/>
          <w:sz w:val="24"/>
          <w:szCs w:val="24"/>
          <w:rtl/>
        </w:rPr>
        <w:t xml:space="preserve"> </w:t>
      </w:r>
      <w:r w:rsidRPr="00007309">
        <w:rPr>
          <w:rFonts w:cs="Arial"/>
          <w:b/>
          <w:bCs/>
          <w:sz w:val="24"/>
          <w:szCs w:val="24"/>
          <w:rtl/>
        </w:rPr>
        <w:t xml:space="preserve">וְאִנּוּן תְּלָת טִפִּין דְּמֹחָא דְּאִתְקְרִיאוּ </w:t>
      </w:r>
      <w:r w:rsidRPr="00007309">
        <w:rPr>
          <w:rFonts w:cs="Arial" w:hint="cs"/>
          <w:b/>
          <w:bCs/>
          <w:noProof/>
          <w:sz w:val="24"/>
          <w:szCs w:val="24"/>
          <w:rtl/>
        </w:rPr>
        <w:drawing>
          <wp:inline distT="0" distB="0" distL="0" distR="0" wp14:anchorId="05844D48" wp14:editId="3F9589AA">
            <wp:extent cx="247619" cy="247619"/>
            <wp:effectExtent l="0" t="0" r="635" b="635"/>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לת טפין.bmp"/>
                    <pic:cNvPicPr/>
                  </pic:nvPicPr>
                  <pic:blipFill>
                    <a:blip r:embed="rId17">
                      <a:extLst>
                        <a:ext uri="{28A0092B-C50C-407E-A947-70E740481C1C}">
                          <a14:useLocalDpi xmlns:a14="http://schemas.microsoft.com/office/drawing/2010/main" val="0"/>
                        </a:ext>
                      </a:extLst>
                    </a:blip>
                    <a:stretch>
                      <a:fillRect/>
                    </a:stretch>
                  </pic:blipFill>
                  <pic:spPr>
                    <a:xfrm>
                      <a:off x="0" y="0"/>
                      <a:ext cx="247619" cy="247619"/>
                    </a:xfrm>
                    <a:prstGeom prst="rect">
                      <a:avLst/>
                    </a:prstGeom>
                  </pic:spPr>
                </pic:pic>
              </a:graphicData>
            </a:graphic>
          </wp:inline>
        </w:drawing>
      </w:r>
      <w:r w:rsidRPr="00007309">
        <w:rPr>
          <w:rFonts w:cs="Arial" w:hint="cs"/>
          <w:b/>
          <w:bCs/>
          <w:sz w:val="24"/>
          <w:szCs w:val="24"/>
          <w:rtl/>
        </w:rPr>
        <w:t xml:space="preserve">, </w:t>
      </w:r>
      <w:r w:rsidRPr="00007309">
        <w:rPr>
          <w:rFonts w:cs="Arial"/>
          <w:b/>
          <w:bCs/>
          <w:sz w:val="24"/>
          <w:szCs w:val="24"/>
          <w:rtl/>
        </w:rPr>
        <w:t>וּמַאי מֹחָא</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554"/>
      </w:r>
      <w:r w:rsidRPr="00007309">
        <w:rPr>
          <w:rFonts w:cs="Arial"/>
          <w:b/>
          <w:bCs/>
          <w:sz w:val="24"/>
          <w:szCs w:val="24"/>
          <w:rtl/>
        </w:rPr>
        <w:t xml:space="preserve">דָּא חָכְמָה עִלָּאָה סְתִימָאָה בְּכִתְרָא דְּרֹאשׁ דְּאִיהוּ כֶּתֶר עֶלְיוֹן. </w:t>
      </w:r>
      <w:r w:rsidRPr="00007309">
        <w:rPr>
          <w:rFonts w:cs="Arial"/>
          <w:b/>
          <w:bCs/>
          <w:sz w:val="36"/>
          <w:szCs w:val="28"/>
          <w:vertAlign w:val="superscript"/>
          <w:rtl/>
        </w:rPr>
        <w:footnoteReference w:id="7555"/>
      </w:r>
      <w:r w:rsidRPr="00007309">
        <w:rPr>
          <w:rFonts w:cs="Arial"/>
          <w:b/>
          <w:bCs/>
          <w:sz w:val="24"/>
          <w:szCs w:val="24"/>
          <w:rtl/>
        </w:rPr>
        <w:t>וְאִלֵּין אִנּוּן יִ'חוּד בְּ'רָכָה קְ'דֻשָּׁה</w:t>
      </w:r>
      <w:r w:rsidRPr="00007309">
        <w:rPr>
          <w:rFonts w:cs="Arial"/>
          <w:b/>
          <w:bCs/>
          <w:sz w:val="36"/>
          <w:szCs w:val="28"/>
          <w:vertAlign w:val="superscript"/>
          <w:rtl/>
        </w:rPr>
        <w:footnoteReference w:id="7556"/>
      </w:r>
      <w:r w:rsidRPr="00007309">
        <w:rPr>
          <w:rFonts w:cs="Arial"/>
          <w:b/>
          <w:bCs/>
          <w:sz w:val="24"/>
          <w:szCs w:val="24"/>
          <w:rtl/>
        </w:rPr>
        <w:t xml:space="preserve"> דִּבְהוֹן יַ'עֲנֵנוּ בְ'יוֹם קָ'רְאֵנוּ. </w:t>
      </w:r>
      <w:r w:rsidRPr="00007309">
        <w:rPr>
          <w:rFonts w:cs="Arial"/>
          <w:b/>
          <w:bCs/>
          <w:sz w:val="36"/>
          <w:szCs w:val="28"/>
          <w:vertAlign w:val="superscript"/>
          <w:rtl/>
        </w:rPr>
        <w:footnoteReference w:id="7557"/>
      </w:r>
      <w:r w:rsidRPr="00007309">
        <w:rPr>
          <w:rFonts w:cs="Arial"/>
          <w:b/>
          <w:bCs/>
          <w:sz w:val="24"/>
          <w:szCs w:val="24"/>
          <w:rtl/>
        </w:rPr>
        <w:t xml:space="preserve">דְּאִנּוּן רֵאשִׁי תֵּבִין דְּעָלַיְהוּ אִתְּמַר (בראשית לב) </w:t>
      </w:r>
      <w:r w:rsidRPr="00007309">
        <w:rPr>
          <w:rFonts w:cs="Arial"/>
          <w:b/>
          <w:bCs/>
          <w:sz w:val="36"/>
          <w:szCs w:val="28"/>
          <w:vertAlign w:val="superscript"/>
          <w:rtl/>
        </w:rPr>
        <w:footnoteReference w:id="7558"/>
      </w:r>
      <w:r w:rsidRPr="00007309">
        <w:rPr>
          <w:rFonts w:cs="Arial"/>
          <w:b/>
          <w:bCs/>
          <w:sz w:val="24"/>
          <w:szCs w:val="24"/>
          <w:rtl/>
        </w:rPr>
        <w:t>וַיַּעֲבֹר אֶת מַעֲבַר יַבֹּ"ק</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559"/>
      </w:r>
      <w:r w:rsidRPr="00007309">
        <w:rPr>
          <w:rFonts w:cs="Arial"/>
          <w:b/>
          <w:bCs/>
          <w:sz w:val="24"/>
          <w:szCs w:val="24"/>
          <w:rtl/>
        </w:rPr>
        <w:t xml:space="preserve">וְסָלְקִין בְּחֻשְׁבַּן אֶהְיֶ'ה יְהוָֹ'ה אֲדֹנָ'י, דְּאִנּוּן נִשְׁמְתָא וְרוּחָא וְנַפְשָׁא </w:t>
      </w:r>
      <w:r w:rsidRPr="00007309">
        <w:rPr>
          <w:rFonts w:cs="Arial"/>
          <w:b/>
          <w:bCs/>
          <w:sz w:val="36"/>
          <w:szCs w:val="28"/>
          <w:vertAlign w:val="superscript"/>
          <w:rtl/>
        </w:rPr>
        <w:footnoteReference w:id="7560"/>
      </w:r>
      <w:r w:rsidRPr="00007309">
        <w:rPr>
          <w:rFonts w:cs="Arial"/>
          <w:b/>
          <w:bCs/>
          <w:sz w:val="24"/>
          <w:szCs w:val="24"/>
          <w:rtl/>
        </w:rPr>
        <w:t xml:space="preserve">בְּאֹרַח אֲצִילוּת מִתַּמָּן. </w:t>
      </w:r>
      <w:r w:rsidRPr="00007309">
        <w:rPr>
          <w:rFonts w:cs="Arial"/>
          <w:b/>
          <w:bCs/>
          <w:sz w:val="36"/>
          <w:szCs w:val="28"/>
          <w:vertAlign w:val="superscript"/>
          <w:rtl/>
        </w:rPr>
        <w:footnoteReference w:id="7561"/>
      </w:r>
      <w:r w:rsidRPr="00007309">
        <w:rPr>
          <w:rFonts w:cs="Arial"/>
          <w:b/>
          <w:bCs/>
          <w:sz w:val="24"/>
          <w:szCs w:val="24"/>
          <w:rtl/>
        </w:rPr>
        <w:t xml:space="preserve">וְכַד הַאי זַרְקָא אִתְגָּלֵהּ בְּעָלְמָא אִתְּמַר בֵּהּ (ישעיה מ) עַל הַר גָּבֹהַּ עֲלִי לָךְ מְבַשֶּרֶת צִיּוֹן הָרִימִי בְּכֹחַ קוֹלֵךְ מְבַשֶּרֶת יְרוּשָׁלָיִם. </w:t>
      </w:r>
      <w:r w:rsidRPr="00007309">
        <w:rPr>
          <w:rFonts w:cs="Arial"/>
          <w:b/>
          <w:bCs/>
          <w:sz w:val="36"/>
          <w:szCs w:val="28"/>
          <w:vertAlign w:val="superscript"/>
          <w:rtl/>
        </w:rPr>
        <w:footnoteReference w:id="7562"/>
      </w:r>
      <w:r w:rsidRPr="00007309">
        <w:rPr>
          <w:rFonts w:cs="Arial"/>
          <w:b/>
          <w:bCs/>
          <w:sz w:val="24"/>
          <w:szCs w:val="24"/>
          <w:rtl/>
        </w:rPr>
        <w:t>עֲלִי לָךְ בִּנְקֻדָּה עִלָּאָה מִן סְגוֹלְתָּא</w:t>
      </w:r>
      <w:r w:rsidRPr="00007309">
        <w:rPr>
          <w:rFonts w:cs="Arial" w:hint="cs"/>
          <w:b/>
          <w:bCs/>
          <w:sz w:val="24"/>
          <w:szCs w:val="24"/>
          <w:rtl/>
        </w:rPr>
        <w:t>,</w:t>
      </w:r>
      <w:r w:rsidRPr="00007309">
        <w:rPr>
          <w:rFonts w:cs="Arial"/>
          <w:b/>
          <w:bCs/>
          <w:sz w:val="24"/>
          <w:szCs w:val="24"/>
          <w:rtl/>
        </w:rPr>
        <w:t xml:space="preserve"> דְּאִיהוּ חֹלָם עַל צֵרֵי. הָרִימִי בְּכֹחַ קוֹלֵךְ מְבַשֶּרֶת יְרוּשָׁלַםִ</w:t>
      </w:r>
      <w:r w:rsidRPr="00007309">
        <w:rPr>
          <w:rFonts w:cs="Arial" w:hint="cs"/>
          <w:b/>
          <w:bCs/>
          <w:sz w:val="24"/>
          <w:szCs w:val="24"/>
          <w:rtl/>
        </w:rPr>
        <w:t>,</w:t>
      </w:r>
      <w:r w:rsidRPr="00007309">
        <w:rPr>
          <w:rFonts w:cs="Arial"/>
          <w:b/>
          <w:bCs/>
          <w:sz w:val="24"/>
          <w:szCs w:val="24"/>
          <w:rtl/>
        </w:rPr>
        <w:t xml:space="preserve"> הָרִימִי אַל תִּירָאִי</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563"/>
      </w:r>
      <w:r w:rsidRPr="00007309">
        <w:rPr>
          <w:rFonts w:cs="Arial"/>
          <w:b/>
          <w:bCs/>
          <w:sz w:val="24"/>
          <w:szCs w:val="24"/>
          <w:rtl/>
        </w:rPr>
        <w:t xml:space="preserve">בִּתְרֵין יוּדִין </w:t>
      </w:r>
      <w:r w:rsidRPr="00007309">
        <w:rPr>
          <w:rFonts w:cs="Arial"/>
          <w:b/>
          <w:bCs/>
          <w:sz w:val="36"/>
          <w:szCs w:val="28"/>
          <w:vertAlign w:val="superscript"/>
          <w:rtl/>
        </w:rPr>
        <w:footnoteReference w:id="7564"/>
      </w:r>
      <w:r w:rsidRPr="00007309">
        <w:rPr>
          <w:rFonts w:cs="Arial"/>
          <w:b/>
          <w:bCs/>
          <w:sz w:val="24"/>
          <w:szCs w:val="24"/>
          <w:rtl/>
        </w:rPr>
        <w:t>דְּאִנּוּן צֵרֵי</w:t>
      </w:r>
      <w:r w:rsidRPr="00007309">
        <w:rPr>
          <w:rFonts w:cs="Arial" w:hint="cs"/>
          <w:b/>
          <w:bCs/>
          <w:sz w:val="24"/>
          <w:szCs w:val="24"/>
          <w:rtl/>
        </w:rPr>
        <w:t>,</w:t>
      </w:r>
      <w:r w:rsidRPr="00007309">
        <w:rPr>
          <w:rFonts w:cs="Arial"/>
          <w:b/>
          <w:bCs/>
          <w:sz w:val="24"/>
          <w:szCs w:val="24"/>
          <w:rtl/>
        </w:rPr>
        <w:t xml:space="preserve"> וְכֻלְּהוּ סְגוֹלְתָּא. בְּהַהוּא זִמְנָא סָלְקָא לְעֵלָּא קָלָא</w:t>
      </w:r>
      <w:r w:rsidRPr="00007309">
        <w:rPr>
          <w:rFonts w:cs="Arial" w:hint="cs"/>
          <w:b/>
          <w:bCs/>
          <w:sz w:val="24"/>
          <w:szCs w:val="24"/>
          <w:rtl/>
        </w:rPr>
        <w:t>.</w:t>
      </w:r>
    </w:p>
    <w:p w:rsidR="00007309" w:rsidRPr="00007309" w:rsidRDefault="00007309" w:rsidP="00007309">
      <w:pPr>
        <w:keepNext/>
        <w:spacing w:before="240" w:after="60"/>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[וילנא לא ע"א]</w:t>
      </w:r>
    </w:p>
    <w:p w:rsidR="00007309" w:rsidRPr="00007309" w:rsidRDefault="00007309" w:rsidP="00007309">
      <w:pPr>
        <w:jc w:val="both"/>
        <w:rPr>
          <w:rFonts w:cs="Arial"/>
          <w:b/>
          <w:bCs/>
          <w:sz w:val="24"/>
          <w:szCs w:val="24"/>
          <w:rtl/>
        </w:rPr>
      </w:pPr>
      <w:r w:rsidRPr="00007309">
        <w:rPr>
          <w:rFonts w:cs="Arial"/>
          <w:b/>
          <w:bCs/>
          <w:sz w:val="24"/>
          <w:szCs w:val="24"/>
          <w:rtl/>
        </w:rPr>
        <w:t xml:space="preserve">וְעוֹד בְּזַרְקָא </w:t>
      </w:r>
      <w:r w:rsidRPr="00007309">
        <w:rPr>
          <w:rFonts w:cs="Arial" w:hint="cs"/>
          <w:b/>
          <w:bCs/>
          <w:sz w:val="24"/>
          <w:szCs w:val="24"/>
          <w:rtl/>
        </w:rPr>
        <w:t xml:space="preserve">(במדבר כז ג) </w:t>
      </w:r>
      <w:r w:rsidRPr="00007309">
        <w:rPr>
          <w:rFonts w:cs="Arial"/>
          <w:b/>
          <w:bCs/>
          <w:sz w:val="36"/>
          <w:szCs w:val="28"/>
          <w:vertAlign w:val="superscript"/>
          <w:rtl/>
        </w:rPr>
        <w:footnoteReference w:id="7565"/>
      </w:r>
      <w:r w:rsidRPr="00007309">
        <w:rPr>
          <w:rFonts w:cs="Arial"/>
          <w:b/>
          <w:bCs/>
          <w:sz w:val="24"/>
          <w:szCs w:val="24"/>
          <w:rtl/>
        </w:rPr>
        <w:t xml:space="preserve">אָבִינוּ מֵת </w:t>
      </w:r>
      <w:r w:rsidRPr="00007309">
        <w:rPr>
          <w:rFonts w:cs="Arial"/>
          <w:b/>
          <w:bCs/>
          <w:sz w:val="36"/>
          <w:szCs w:val="28"/>
          <w:vertAlign w:val="superscript"/>
          <w:rtl/>
        </w:rPr>
        <w:footnoteReference w:id="7566"/>
      </w:r>
      <w:r w:rsidRPr="00007309">
        <w:rPr>
          <w:rFonts w:cs="Arial"/>
          <w:b/>
          <w:bCs/>
          <w:sz w:val="24"/>
          <w:szCs w:val="24"/>
          <w:rtl/>
        </w:rPr>
        <w:t xml:space="preserve">בַּמִּדְבָּר, וְלֵית מִיתָה אֶלָּא גָּלוּתָא. כִּי בְּחֶטְאוֹ מֵת. </w:t>
      </w:r>
      <w:r w:rsidRPr="00007309">
        <w:rPr>
          <w:rFonts w:cs="Arial"/>
          <w:b/>
          <w:bCs/>
          <w:sz w:val="36"/>
          <w:szCs w:val="28"/>
          <w:vertAlign w:val="superscript"/>
          <w:rtl/>
        </w:rPr>
        <w:footnoteReference w:id="7567"/>
      </w:r>
      <w:r w:rsidRPr="00007309">
        <w:rPr>
          <w:rFonts w:cs="Arial"/>
          <w:b/>
          <w:bCs/>
          <w:sz w:val="24"/>
          <w:szCs w:val="24"/>
          <w:rtl/>
        </w:rPr>
        <w:t>בְּחֶטְאוֹ נוּקְבָא דְּסַמָּאֵל (מת) דָּא נָחָשׁ דְּפַתֵּי לְחַוָּה</w:t>
      </w:r>
      <w:r w:rsidRPr="00007309">
        <w:rPr>
          <w:rFonts w:cs="Arial" w:hint="cs"/>
          <w:b/>
          <w:bCs/>
          <w:sz w:val="24"/>
          <w:szCs w:val="24"/>
          <w:rtl/>
        </w:rPr>
        <w:t>,</w:t>
      </w:r>
      <w:r w:rsidRPr="00007309">
        <w:rPr>
          <w:rFonts w:cs="Arial"/>
          <w:b/>
          <w:bCs/>
          <w:sz w:val="24"/>
          <w:szCs w:val="24"/>
          <w:rtl/>
        </w:rPr>
        <w:t xml:space="preserve"> נָחָשׁ אֵשֶׁת זְנוּנִים. וְהוּא לֹא הָיָה בְּתוֹךְ הָעֵדָה, </w:t>
      </w:r>
      <w:r w:rsidRPr="00007309">
        <w:rPr>
          <w:rFonts w:cs="Arial"/>
          <w:b/>
          <w:bCs/>
          <w:sz w:val="36"/>
          <w:szCs w:val="28"/>
          <w:vertAlign w:val="superscript"/>
          <w:rtl/>
        </w:rPr>
        <w:footnoteReference w:id="7568"/>
      </w:r>
      <w:r w:rsidRPr="00007309">
        <w:rPr>
          <w:rFonts w:cs="Arial"/>
          <w:b/>
          <w:bCs/>
          <w:sz w:val="24"/>
          <w:szCs w:val="24"/>
          <w:rtl/>
        </w:rPr>
        <w:t>בְּאִלֵּין נוֹעֲדִים עַל ה'</w:t>
      </w:r>
      <w:r w:rsidRPr="00007309">
        <w:rPr>
          <w:rFonts w:cs="Arial" w:hint="cs"/>
          <w:b/>
          <w:bCs/>
          <w:sz w:val="24"/>
          <w:szCs w:val="24"/>
          <w:rtl/>
        </w:rPr>
        <w:t>,</w:t>
      </w:r>
      <w:r w:rsidRPr="00007309">
        <w:rPr>
          <w:rFonts w:cs="Arial"/>
          <w:b/>
          <w:bCs/>
          <w:sz w:val="24"/>
          <w:szCs w:val="24"/>
          <w:rtl/>
        </w:rPr>
        <w:t xml:space="preserve"> בַּעֲדַת קֹרַח, מֵאִלֵּין דַּהֲווֹ מְקַצְּצִין בַּנְּטִיעוֹת</w:t>
      </w:r>
      <w:r w:rsidRPr="00007309">
        <w:rPr>
          <w:rFonts w:cs="Arial" w:hint="cs"/>
          <w:b/>
          <w:bCs/>
          <w:sz w:val="24"/>
          <w:szCs w:val="24"/>
          <w:rtl/>
        </w:rPr>
        <w:t>,</w:t>
      </w:r>
      <w:r w:rsidRPr="00007309">
        <w:rPr>
          <w:rFonts w:cs="Arial"/>
          <w:b/>
          <w:bCs/>
          <w:sz w:val="24"/>
          <w:szCs w:val="24"/>
          <w:rtl/>
        </w:rPr>
        <w:t xml:space="preserve"> וְעָבְדוּ פֵּרוּדָא בֵּין קֻדְשָׁא בְּרִיךְ הוּא וּשְׁכִינְתֵּהּ, </w:t>
      </w:r>
      <w:r w:rsidRPr="00007309">
        <w:rPr>
          <w:rFonts w:cs="Arial"/>
          <w:b/>
          <w:bCs/>
          <w:sz w:val="36"/>
          <w:szCs w:val="28"/>
          <w:vertAlign w:val="superscript"/>
          <w:rtl/>
        </w:rPr>
        <w:footnoteReference w:id="7569"/>
      </w:r>
      <w:r w:rsidRPr="00007309">
        <w:rPr>
          <w:rFonts w:cs="Arial"/>
          <w:b/>
          <w:bCs/>
          <w:sz w:val="24"/>
          <w:szCs w:val="24"/>
          <w:rtl/>
        </w:rPr>
        <w:t>וְהַאי נָחָשׁ אִיהוּ כְּרִיכוּ עַל צַוָּארוֹ. וּבְגִין דָּא אָרִיךְ</w:t>
      </w:r>
      <w:r w:rsidRPr="00007309">
        <w:rPr>
          <w:rFonts w:cs="Arial"/>
          <w:b/>
          <w:bCs/>
          <w:sz w:val="24"/>
          <w:szCs w:val="24"/>
        </w:rPr>
        <w:t xml:space="preserve"> </w:t>
      </w:r>
      <w:r w:rsidRPr="00007309">
        <w:rPr>
          <w:rFonts w:cs="Arial"/>
          <w:b/>
          <w:bCs/>
          <w:sz w:val="24"/>
          <w:szCs w:val="24"/>
          <w:rtl/>
        </w:rPr>
        <w:t xml:space="preserve">בֵּהּ וְאָמַר אָבִינוּ מֵת בַּמִּדְבָּר. </w:t>
      </w:r>
      <w:r w:rsidRPr="00007309">
        <w:rPr>
          <w:rFonts w:cs="Arial"/>
          <w:b/>
          <w:bCs/>
          <w:sz w:val="36"/>
          <w:szCs w:val="28"/>
          <w:vertAlign w:val="superscript"/>
          <w:rtl/>
        </w:rPr>
        <w:footnoteReference w:id="7570"/>
      </w:r>
      <w:r w:rsidRPr="00007309">
        <w:rPr>
          <w:rFonts w:cs="Arial"/>
          <w:b/>
          <w:bCs/>
          <w:sz w:val="24"/>
          <w:szCs w:val="24"/>
          <w:rtl/>
        </w:rPr>
        <w:t xml:space="preserve">וְדָא קַו יָרֹק דְּאִתְּמַר בֵּהּ </w:t>
      </w:r>
      <w:r w:rsidRPr="00007309">
        <w:rPr>
          <w:rFonts w:cs="Arial"/>
          <w:b/>
          <w:bCs/>
          <w:sz w:val="36"/>
          <w:szCs w:val="28"/>
          <w:vertAlign w:val="superscript"/>
          <w:rtl/>
        </w:rPr>
        <w:footnoteReference w:id="7571"/>
      </w:r>
      <w:r w:rsidRPr="00007309">
        <w:rPr>
          <w:rFonts w:cs="Arial"/>
          <w:b/>
          <w:bCs/>
          <w:sz w:val="24"/>
          <w:szCs w:val="24"/>
          <w:rtl/>
        </w:rPr>
        <w:t xml:space="preserve">וְהָאָרֶץ הָיְתָה תֹהוּ וָבֹהוּ. </w:t>
      </w:r>
      <w:r w:rsidRPr="00007309">
        <w:rPr>
          <w:rFonts w:cs="Arial"/>
          <w:b/>
          <w:bCs/>
          <w:sz w:val="36"/>
          <w:szCs w:val="28"/>
          <w:vertAlign w:val="superscript"/>
          <w:rtl/>
        </w:rPr>
        <w:footnoteReference w:id="7572"/>
      </w:r>
      <w:r w:rsidRPr="00007309">
        <w:rPr>
          <w:rFonts w:cs="Arial"/>
          <w:b/>
          <w:bCs/>
          <w:sz w:val="24"/>
          <w:szCs w:val="24"/>
          <w:rtl/>
        </w:rPr>
        <w:t>וְאִיהוּ קַו יָרֹק דְּאַסְחַר כָּל עָלְמָא</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573"/>
      </w:r>
      <w:r w:rsidRPr="00007309">
        <w:rPr>
          <w:rFonts w:cs="Arial"/>
          <w:b/>
          <w:bCs/>
          <w:sz w:val="24"/>
          <w:szCs w:val="24"/>
          <w:rtl/>
        </w:rPr>
        <w:t>דָּא קַו בְּחֶנֶק</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574"/>
      </w:r>
      <w:r w:rsidRPr="00007309">
        <w:rPr>
          <w:rFonts w:cs="Arial"/>
          <w:b/>
          <w:bCs/>
          <w:sz w:val="24"/>
          <w:szCs w:val="24"/>
          <w:rtl/>
        </w:rPr>
        <w:t xml:space="preserve">רוּחַ סְעָרָה, וְעָלֵהּ אִתְּמַר (איכה ד) </w:t>
      </w:r>
      <w:r w:rsidRPr="00007309">
        <w:rPr>
          <w:rFonts w:cs="Arial"/>
          <w:b/>
          <w:bCs/>
          <w:sz w:val="36"/>
          <w:szCs w:val="28"/>
          <w:vertAlign w:val="superscript"/>
          <w:rtl/>
        </w:rPr>
        <w:footnoteReference w:id="7575"/>
      </w:r>
      <w:r w:rsidRPr="00007309">
        <w:rPr>
          <w:rFonts w:cs="Arial"/>
          <w:b/>
          <w:bCs/>
          <w:sz w:val="24"/>
          <w:szCs w:val="24"/>
          <w:rtl/>
        </w:rPr>
        <w:t>רוּחַ אַפֵּנוּ מְשִׁיחַ ה' נִלְכָּד בִּשְׁחִיתוֹתָם. רוּחַ אַף</w:t>
      </w:r>
      <w:r w:rsidRPr="00007309">
        <w:rPr>
          <w:rFonts w:cs="Arial" w:hint="cs"/>
          <w:b/>
          <w:bCs/>
          <w:sz w:val="24"/>
          <w:szCs w:val="24"/>
          <w:rtl/>
        </w:rPr>
        <w:t>,</w:t>
      </w:r>
      <w:r w:rsidRPr="00007309">
        <w:rPr>
          <w:rFonts w:cs="Arial"/>
          <w:b/>
          <w:bCs/>
          <w:sz w:val="24"/>
          <w:szCs w:val="24"/>
          <w:rtl/>
        </w:rPr>
        <w:t xml:space="preserve"> בֵּהּ נִלְכַּד מְשִׁיחַ ה' דְּאִתְּמַר בֵּהּ (בראשית א) </w:t>
      </w:r>
      <w:r w:rsidRPr="00007309">
        <w:rPr>
          <w:rFonts w:cs="Arial"/>
          <w:b/>
          <w:bCs/>
          <w:sz w:val="36"/>
          <w:szCs w:val="28"/>
          <w:vertAlign w:val="superscript"/>
          <w:rtl/>
        </w:rPr>
        <w:footnoteReference w:id="7576"/>
      </w:r>
      <w:r w:rsidRPr="00007309">
        <w:rPr>
          <w:rFonts w:cs="Arial"/>
          <w:b/>
          <w:bCs/>
          <w:sz w:val="24"/>
          <w:szCs w:val="24"/>
          <w:rtl/>
        </w:rPr>
        <w:t xml:space="preserve">וְרוּחַ אֱלֹהִים מְרַחֶפֶת עַל פְּנֵי הַמָּיִם. וְעָלֵהּ אִתְּמַר </w:t>
      </w:r>
      <w:r w:rsidRPr="00007309">
        <w:rPr>
          <w:rFonts w:cs="Arial" w:hint="cs"/>
          <w:b/>
          <w:bCs/>
          <w:sz w:val="24"/>
          <w:szCs w:val="24"/>
          <w:rtl/>
        </w:rPr>
        <w:t xml:space="preserve">(שמות טו ח) </w:t>
      </w:r>
      <w:r w:rsidRPr="00007309">
        <w:rPr>
          <w:rFonts w:cs="Arial"/>
          <w:b/>
          <w:bCs/>
          <w:sz w:val="36"/>
          <w:szCs w:val="28"/>
          <w:vertAlign w:val="superscript"/>
          <w:rtl/>
        </w:rPr>
        <w:footnoteReference w:id="7577"/>
      </w:r>
      <w:r w:rsidRPr="00007309">
        <w:rPr>
          <w:rFonts w:cs="Arial"/>
          <w:b/>
          <w:bCs/>
          <w:sz w:val="24"/>
          <w:szCs w:val="24"/>
          <w:rtl/>
        </w:rPr>
        <w:t>וּבְרוּחַ אַפֶּךָ נֶעֶרְמוּ מַיִם. וְאִלֵּין מַיָּא דְּאוֹרַיְתָא. בְּזִמְנָא דְּאִנּוּן חַיָּבַיָּא בְּעָלְמָא</w:t>
      </w:r>
      <w:r w:rsidRPr="00007309">
        <w:rPr>
          <w:rFonts w:cs="Arial" w:hint="cs"/>
          <w:b/>
          <w:bCs/>
          <w:sz w:val="24"/>
          <w:szCs w:val="24"/>
          <w:rtl/>
        </w:rPr>
        <w:t>,</w:t>
      </w:r>
      <w:r w:rsidRPr="00007309">
        <w:rPr>
          <w:rFonts w:cs="Arial"/>
          <w:b/>
          <w:bCs/>
          <w:sz w:val="24"/>
          <w:szCs w:val="24"/>
          <w:rtl/>
        </w:rPr>
        <w:t xml:space="preserve"> נִצְּבוּ כְּמוֹ נֵד </w:t>
      </w:r>
      <w:r w:rsidRPr="00007309">
        <w:rPr>
          <w:rFonts w:cs="Arial"/>
          <w:b/>
          <w:bCs/>
          <w:sz w:val="36"/>
          <w:szCs w:val="28"/>
          <w:vertAlign w:val="superscript"/>
          <w:rtl/>
        </w:rPr>
        <w:footnoteReference w:id="7578"/>
      </w:r>
      <w:r w:rsidRPr="00007309">
        <w:rPr>
          <w:rFonts w:cs="Arial"/>
          <w:b/>
          <w:bCs/>
          <w:sz w:val="24"/>
          <w:szCs w:val="24"/>
          <w:rtl/>
        </w:rPr>
        <w:t xml:space="preserve">נוֹזְלִים, טִפִּין טִפִּין </w:t>
      </w:r>
      <w:r w:rsidRPr="00007309">
        <w:rPr>
          <w:rFonts w:cs="Arial"/>
          <w:b/>
          <w:bCs/>
          <w:sz w:val="36"/>
          <w:szCs w:val="28"/>
          <w:vertAlign w:val="superscript"/>
          <w:rtl/>
        </w:rPr>
        <w:footnoteReference w:id="7579"/>
      </w:r>
      <w:r w:rsidRPr="00007309">
        <w:rPr>
          <w:rFonts w:cs="Arial"/>
          <w:b/>
          <w:bCs/>
          <w:sz w:val="24"/>
          <w:szCs w:val="24"/>
          <w:rtl/>
        </w:rPr>
        <w:t xml:space="preserve">זְעֵיר שָׁם זְעֵיר </w:t>
      </w:r>
      <w:r w:rsidRPr="00007309">
        <w:rPr>
          <w:rFonts w:ascii="Cambria" w:hAnsi="Cambria" w:cs="Times New Roman" w:hint="cs"/>
          <w:b/>
          <w:bCs/>
          <w:i/>
          <w:iCs/>
          <w:color w:val="4F81BD"/>
          <w:sz w:val="24"/>
          <w:szCs w:val="24"/>
          <w:rtl/>
        </w:rPr>
        <w:t>(וילנא לא ע"א)</w:t>
      </w:r>
      <w:r w:rsidRPr="00007309">
        <w:rPr>
          <w:rFonts w:cs="Arial" w:hint="cs"/>
          <w:b/>
          <w:bCs/>
          <w:sz w:val="24"/>
          <w:szCs w:val="24"/>
          <w:rtl/>
        </w:rPr>
        <w:t xml:space="preserve"> </w:t>
      </w:r>
      <w:r w:rsidRPr="00007309">
        <w:rPr>
          <w:rFonts w:cs="Arial"/>
          <w:b/>
          <w:bCs/>
          <w:sz w:val="24"/>
          <w:szCs w:val="24"/>
          <w:rtl/>
        </w:rPr>
        <w:t xml:space="preserve">שָׁם. </w:t>
      </w:r>
      <w:r w:rsidRPr="00007309">
        <w:rPr>
          <w:rFonts w:cs="Arial"/>
          <w:b/>
          <w:bCs/>
          <w:sz w:val="36"/>
          <w:szCs w:val="28"/>
          <w:vertAlign w:val="superscript"/>
          <w:rtl/>
        </w:rPr>
        <w:footnoteReference w:id="7580"/>
      </w:r>
      <w:r w:rsidRPr="00007309">
        <w:rPr>
          <w:rFonts w:cs="Arial"/>
          <w:b/>
          <w:bCs/>
          <w:sz w:val="24"/>
          <w:szCs w:val="24"/>
          <w:rtl/>
        </w:rPr>
        <w:t xml:space="preserve">בְּגִין דְּלָא אִשְׁתְּכַח מְהֵמְנוּתָא, </w:t>
      </w:r>
      <w:r w:rsidRPr="00007309">
        <w:rPr>
          <w:rFonts w:cs="Arial"/>
          <w:b/>
          <w:bCs/>
          <w:sz w:val="36"/>
          <w:szCs w:val="28"/>
          <w:vertAlign w:val="superscript"/>
          <w:rtl/>
        </w:rPr>
        <w:footnoteReference w:id="7581"/>
      </w:r>
      <w:r w:rsidRPr="00007309">
        <w:rPr>
          <w:rFonts w:cs="Arial"/>
          <w:b/>
          <w:bCs/>
          <w:sz w:val="24"/>
          <w:szCs w:val="24"/>
          <w:rtl/>
        </w:rPr>
        <w:t>קָפְאוּ תְהֹמוֹת בְּלֵב יָם, מַאי לֵב יָם</w:t>
      </w:r>
      <w:r w:rsidRPr="00007309">
        <w:rPr>
          <w:rFonts w:cs="Arial" w:hint="cs"/>
          <w:b/>
          <w:bCs/>
          <w:sz w:val="24"/>
          <w:szCs w:val="24"/>
          <w:rtl/>
        </w:rPr>
        <w:t>,</w:t>
      </w:r>
      <w:r w:rsidRPr="00007309">
        <w:rPr>
          <w:rFonts w:cs="Arial"/>
          <w:b/>
          <w:bCs/>
          <w:sz w:val="24"/>
          <w:szCs w:val="24"/>
          <w:rtl/>
        </w:rPr>
        <w:t xml:space="preserve"> דָּא </w:t>
      </w:r>
      <w:r w:rsidRPr="00007309">
        <w:rPr>
          <w:rFonts w:cs="Arial"/>
          <w:b/>
          <w:bCs/>
          <w:sz w:val="36"/>
          <w:szCs w:val="28"/>
          <w:vertAlign w:val="superscript"/>
          <w:rtl/>
        </w:rPr>
        <w:footnoteReference w:id="7582"/>
      </w:r>
      <w:r w:rsidRPr="00007309">
        <w:rPr>
          <w:rFonts w:cs="Arial"/>
          <w:b/>
          <w:bCs/>
          <w:sz w:val="24"/>
          <w:szCs w:val="24"/>
          <w:rtl/>
        </w:rPr>
        <w:t>לֵ'ב אֱלֹהִים דְּעוֹבָדָא דִּבְרֵאשִׁית</w:t>
      </w:r>
      <w:r w:rsidRPr="00007309">
        <w:rPr>
          <w:rFonts w:cs="Arial" w:hint="cs"/>
          <w:b/>
          <w:bCs/>
          <w:sz w:val="24"/>
          <w:szCs w:val="24"/>
          <w:rtl/>
        </w:rPr>
        <w:t>,</w:t>
      </w:r>
      <w:r w:rsidRPr="00007309">
        <w:rPr>
          <w:rFonts w:cs="Arial"/>
          <w:b/>
          <w:bCs/>
          <w:sz w:val="24"/>
          <w:szCs w:val="24"/>
          <w:rtl/>
        </w:rPr>
        <w:t xml:space="preserve"> כֻּלְּהוּ קָפְאוּ</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583"/>
      </w:r>
      <w:r w:rsidRPr="00007309">
        <w:rPr>
          <w:rFonts w:cs="Arial"/>
          <w:b/>
          <w:bCs/>
          <w:sz w:val="24"/>
          <w:szCs w:val="24"/>
          <w:rtl/>
        </w:rPr>
        <w:t>בְּגִין דְּלָא יִתְגָּרֵי אַף בְּהוֹן. מַאי יָם</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584"/>
      </w:r>
      <w:r w:rsidRPr="00007309">
        <w:rPr>
          <w:rFonts w:cs="Arial"/>
          <w:b/>
          <w:bCs/>
          <w:sz w:val="24"/>
          <w:szCs w:val="24"/>
          <w:rtl/>
        </w:rPr>
        <w:t>דָּא אִמָּא</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585"/>
      </w:r>
      <w:r w:rsidRPr="00007309">
        <w:rPr>
          <w:rFonts w:cs="Arial"/>
          <w:b/>
          <w:bCs/>
          <w:sz w:val="24"/>
          <w:szCs w:val="24"/>
          <w:rtl/>
        </w:rPr>
        <w:t xml:space="preserve">דְּאִיהִי גְּלִידָא </w:t>
      </w:r>
      <w:r w:rsidRPr="00007309">
        <w:rPr>
          <w:rFonts w:cs="Arial"/>
          <w:b/>
          <w:bCs/>
          <w:sz w:val="36"/>
          <w:szCs w:val="28"/>
          <w:vertAlign w:val="superscript"/>
          <w:rtl/>
        </w:rPr>
        <w:footnoteReference w:id="7586"/>
      </w:r>
      <w:r w:rsidRPr="00007309">
        <w:rPr>
          <w:rFonts w:cs="Arial"/>
          <w:b/>
          <w:bCs/>
          <w:sz w:val="24"/>
          <w:szCs w:val="24"/>
          <w:rtl/>
        </w:rPr>
        <w:t>חֲתִימָא בֵּינַיְהוּ</w:t>
      </w:r>
      <w:r w:rsidRPr="00007309">
        <w:rPr>
          <w:rFonts w:cs="Arial" w:hint="cs"/>
          <w:b/>
          <w:bCs/>
          <w:sz w:val="24"/>
          <w:szCs w:val="24"/>
          <w:rtl/>
        </w:rPr>
        <w:t>,</w:t>
      </w:r>
      <w:r w:rsidRPr="00007309">
        <w:rPr>
          <w:rFonts w:cs="Arial"/>
          <w:b/>
          <w:bCs/>
          <w:sz w:val="24"/>
          <w:szCs w:val="24"/>
          <w:rtl/>
        </w:rPr>
        <w:t xml:space="preserve"> וְלָא אִתְנַגִּידַת </w:t>
      </w:r>
      <w:r w:rsidRPr="00007309">
        <w:rPr>
          <w:rFonts w:cs="Arial" w:hint="cs"/>
          <w:b/>
          <w:bCs/>
          <w:sz w:val="24"/>
          <w:szCs w:val="24"/>
          <w:rtl/>
        </w:rPr>
        <w:t>ל</w:t>
      </w:r>
      <w:r w:rsidRPr="00007309">
        <w:rPr>
          <w:rFonts w:cs="Arial"/>
          <w:b/>
          <w:bCs/>
          <w:sz w:val="24"/>
          <w:szCs w:val="24"/>
          <w:rtl/>
        </w:rPr>
        <w:t xml:space="preserve">ְאַשְׁפָּעָא בְּעָלְמָא. </w:t>
      </w:r>
    </w:p>
    <w:p w:rsidR="00007309" w:rsidRPr="00007309" w:rsidRDefault="00007309" w:rsidP="00007309">
      <w:pPr>
        <w:jc w:val="both"/>
        <w:rPr>
          <w:rFonts w:cs="Arial"/>
          <w:b/>
          <w:bCs/>
          <w:sz w:val="24"/>
          <w:szCs w:val="24"/>
          <w:rtl/>
        </w:rPr>
      </w:pPr>
      <w:r w:rsidRPr="00007309">
        <w:rPr>
          <w:rFonts w:cs="Arial"/>
          <w:b/>
          <w:bCs/>
          <w:sz w:val="36"/>
          <w:szCs w:val="28"/>
          <w:vertAlign w:val="superscript"/>
          <w:rtl/>
        </w:rPr>
        <w:footnoteReference w:id="7587"/>
      </w:r>
      <w:r w:rsidRPr="00007309">
        <w:rPr>
          <w:rFonts w:cs="Arial"/>
          <w:b/>
          <w:bCs/>
          <w:sz w:val="24"/>
          <w:szCs w:val="24"/>
          <w:rtl/>
        </w:rPr>
        <w:t xml:space="preserve">וְכַד בָּעֵי קֻדְשָׁא בְּרִיךְ הוּא לְנַטְלָא נוּקְמָא מִן חִוְיָא וּמִן רְתִיכוֹי, </w:t>
      </w:r>
      <w:r w:rsidRPr="00007309">
        <w:rPr>
          <w:rFonts w:cs="Arial"/>
          <w:b/>
          <w:bCs/>
          <w:sz w:val="36"/>
          <w:szCs w:val="28"/>
          <w:vertAlign w:val="superscript"/>
          <w:rtl/>
        </w:rPr>
        <w:footnoteReference w:id="7588"/>
      </w:r>
      <w:r w:rsidRPr="00007309">
        <w:rPr>
          <w:rFonts w:cs="Arial"/>
          <w:b/>
          <w:bCs/>
          <w:sz w:val="24"/>
          <w:szCs w:val="24"/>
          <w:rtl/>
        </w:rPr>
        <w:t>מַה כְּתִיב</w:t>
      </w:r>
      <w:r w:rsidRPr="00007309">
        <w:rPr>
          <w:rFonts w:cs="Arial" w:hint="cs"/>
          <w:b/>
          <w:bCs/>
          <w:sz w:val="24"/>
          <w:szCs w:val="24"/>
          <w:rtl/>
        </w:rPr>
        <w:t>,</w:t>
      </w:r>
      <w:r w:rsidRPr="00007309">
        <w:rPr>
          <w:rFonts w:cs="Arial"/>
          <w:b/>
          <w:bCs/>
          <w:sz w:val="24"/>
          <w:szCs w:val="24"/>
          <w:rtl/>
        </w:rPr>
        <w:t xml:space="preserve"> נָשַׁפְתָּ בְּרוּחֲךָ </w:t>
      </w:r>
      <w:r w:rsidRPr="00007309">
        <w:rPr>
          <w:rFonts w:cs="Arial"/>
          <w:b/>
          <w:bCs/>
          <w:sz w:val="36"/>
          <w:szCs w:val="28"/>
          <w:vertAlign w:val="superscript"/>
          <w:rtl/>
        </w:rPr>
        <w:footnoteReference w:id="7589"/>
      </w:r>
      <w:r w:rsidRPr="00007309">
        <w:rPr>
          <w:rFonts w:cs="Arial"/>
          <w:b/>
          <w:bCs/>
          <w:sz w:val="24"/>
          <w:szCs w:val="24"/>
          <w:rtl/>
        </w:rPr>
        <w:t xml:space="preserve">כִּסָּמוֹ יָם, וּבְהַהוּא זִמְנָא אִתְמַשְּׁכָן מַיָּא דְּאוֹרַיְתָא </w:t>
      </w:r>
      <w:r w:rsidRPr="00007309">
        <w:rPr>
          <w:rFonts w:cs="Arial" w:hint="cs"/>
          <w:b/>
          <w:bCs/>
          <w:sz w:val="24"/>
          <w:szCs w:val="24"/>
          <w:rtl/>
        </w:rPr>
        <w:t>ל</w:t>
      </w:r>
      <w:r w:rsidRPr="00007309">
        <w:rPr>
          <w:rFonts w:cs="Arial"/>
          <w:b/>
          <w:bCs/>
          <w:sz w:val="24"/>
          <w:szCs w:val="24"/>
          <w:rtl/>
        </w:rPr>
        <w:t xml:space="preserve">ְאַשְׁפָּעָא לְתַתָּא. וְאִנּוּן מַיִם זְדוֹנִים צָלֲלוּ </w:t>
      </w:r>
      <w:r w:rsidRPr="00007309">
        <w:rPr>
          <w:rFonts w:cs="Arial"/>
          <w:b/>
          <w:bCs/>
          <w:sz w:val="36"/>
          <w:szCs w:val="28"/>
          <w:vertAlign w:val="superscript"/>
          <w:rtl/>
        </w:rPr>
        <w:footnoteReference w:id="7590"/>
      </w:r>
      <w:r w:rsidRPr="00007309">
        <w:rPr>
          <w:rFonts w:cs="Arial"/>
          <w:b/>
          <w:bCs/>
          <w:sz w:val="24"/>
          <w:szCs w:val="24"/>
          <w:rtl/>
        </w:rPr>
        <w:t xml:space="preserve">כְּעֹפֶרֶת בְּמַיִם </w:t>
      </w:r>
      <w:r w:rsidRPr="00007309">
        <w:rPr>
          <w:rFonts w:cs="Arial"/>
          <w:b/>
          <w:bCs/>
          <w:sz w:val="36"/>
          <w:szCs w:val="28"/>
          <w:vertAlign w:val="superscript"/>
          <w:rtl/>
        </w:rPr>
        <w:footnoteReference w:id="7591"/>
      </w:r>
      <w:r w:rsidRPr="00007309">
        <w:rPr>
          <w:rFonts w:cs="Arial"/>
          <w:b/>
          <w:bCs/>
          <w:sz w:val="24"/>
          <w:szCs w:val="24"/>
          <w:rtl/>
        </w:rPr>
        <w:t xml:space="preserve">אַדִּירִים מִנַּיְהוּ. דְּאִנּוּן מֵהַהוּא דְּאִתְּמַר (תהלים </w:t>
      </w:r>
      <w:r w:rsidRPr="00007309">
        <w:rPr>
          <w:rFonts w:cs="Arial" w:hint="cs"/>
          <w:b/>
          <w:bCs/>
          <w:sz w:val="24"/>
          <w:szCs w:val="24"/>
          <w:rtl/>
        </w:rPr>
        <w:t>צ</w:t>
      </w:r>
      <w:r w:rsidRPr="00007309">
        <w:rPr>
          <w:rFonts w:cs="Arial"/>
          <w:b/>
          <w:bCs/>
          <w:sz w:val="24"/>
          <w:szCs w:val="24"/>
          <w:rtl/>
        </w:rPr>
        <w:t xml:space="preserve">ג) אַדִּיר בַּמָּרוֹם ה'. </w:t>
      </w:r>
      <w:r w:rsidRPr="00007309">
        <w:rPr>
          <w:rFonts w:cs="Arial"/>
          <w:b/>
          <w:bCs/>
          <w:sz w:val="36"/>
          <w:szCs w:val="28"/>
          <w:vertAlign w:val="superscript"/>
          <w:rtl/>
        </w:rPr>
        <w:footnoteReference w:id="7592"/>
      </w:r>
      <w:r w:rsidRPr="00007309">
        <w:rPr>
          <w:rFonts w:cs="Arial"/>
          <w:b/>
          <w:bCs/>
          <w:sz w:val="24"/>
          <w:szCs w:val="24"/>
          <w:rtl/>
        </w:rPr>
        <w:t xml:space="preserve"> בֹּהוּ אֲבָנִין מְפֻלָּמִין</w:t>
      </w:r>
      <w:r w:rsidRPr="00007309">
        <w:rPr>
          <w:rFonts w:cs="Arial" w:hint="cs"/>
          <w:b/>
          <w:bCs/>
          <w:sz w:val="24"/>
          <w:szCs w:val="24"/>
          <w:rtl/>
        </w:rPr>
        <w:t>.</w:t>
      </w:r>
      <w:r w:rsidRPr="00007309">
        <w:rPr>
          <w:rFonts w:cs="Arial"/>
          <w:b/>
          <w:bCs/>
          <w:sz w:val="24"/>
          <w:szCs w:val="24"/>
          <w:rtl/>
        </w:rPr>
        <w:t xml:space="preserve"> וְאִית אַבְנִין מִסִּטְרָא אָחֳרָא דְּאִתְּמַר בְּהוֹן </w:t>
      </w:r>
      <w:r w:rsidRPr="00007309">
        <w:rPr>
          <w:rFonts w:cs="Arial"/>
          <w:b/>
          <w:bCs/>
          <w:sz w:val="36"/>
          <w:szCs w:val="28"/>
          <w:vertAlign w:val="superscript"/>
          <w:rtl/>
        </w:rPr>
        <w:footnoteReference w:id="7593"/>
      </w:r>
      <w:r w:rsidRPr="00007309">
        <w:rPr>
          <w:rFonts w:cs="Arial"/>
          <w:b/>
          <w:bCs/>
          <w:sz w:val="24"/>
          <w:szCs w:val="24"/>
          <w:rtl/>
        </w:rPr>
        <w:t xml:space="preserve">עֵץ וְאֶבֶן, נָפְקִין מִנַּיְהוּ מַיִם זְדוֹנִים </w:t>
      </w:r>
      <w:r w:rsidRPr="00007309">
        <w:rPr>
          <w:rFonts w:cs="Arial"/>
          <w:b/>
          <w:bCs/>
          <w:sz w:val="36"/>
          <w:szCs w:val="28"/>
          <w:vertAlign w:val="superscript"/>
          <w:rtl/>
        </w:rPr>
        <w:footnoteReference w:id="7594"/>
      </w:r>
      <w:r w:rsidRPr="00007309">
        <w:rPr>
          <w:rFonts w:cs="Arial"/>
          <w:b/>
          <w:bCs/>
          <w:sz w:val="24"/>
          <w:szCs w:val="24"/>
          <w:rtl/>
        </w:rPr>
        <w:t xml:space="preserve">מִי טוּפָנָא, </w:t>
      </w:r>
      <w:r w:rsidRPr="00007309">
        <w:rPr>
          <w:rFonts w:cs="Arial"/>
          <w:b/>
          <w:bCs/>
          <w:sz w:val="36"/>
          <w:szCs w:val="28"/>
          <w:vertAlign w:val="superscript"/>
          <w:rtl/>
        </w:rPr>
        <w:footnoteReference w:id="7595"/>
      </w:r>
      <w:r w:rsidRPr="00007309">
        <w:rPr>
          <w:rFonts w:cs="Arial"/>
          <w:b/>
          <w:bCs/>
          <w:sz w:val="24"/>
          <w:szCs w:val="24"/>
          <w:rtl/>
        </w:rPr>
        <w:t>וּמָאן גָּרִים דְּאִנּוּן שַׁלְטִין עַל עָלְמָא</w:t>
      </w:r>
      <w:r w:rsidRPr="00007309">
        <w:rPr>
          <w:rFonts w:cs="Arial" w:hint="cs"/>
          <w:b/>
          <w:bCs/>
          <w:sz w:val="24"/>
          <w:szCs w:val="24"/>
          <w:rtl/>
        </w:rPr>
        <w:t>,</w:t>
      </w:r>
      <w:r w:rsidRPr="00007309">
        <w:rPr>
          <w:rFonts w:cs="Arial"/>
          <w:b/>
          <w:bCs/>
          <w:sz w:val="24"/>
          <w:szCs w:val="24"/>
          <w:rtl/>
        </w:rPr>
        <w:t xml:space="preserve"> לוּחוֹת אַבְנֵי אוֹרַיְתָא דְּאִתְּבָרוּ, דְּאִנּוּן אַבְנִין מְפֻלָּמִין</w:t>
      </w:r>
      <w:r w:rsidRPr="00007309">
        <w:rPr>
          <w:rFonts w:cs="Arial" w:hint="cs"/>
          <w:b/>
          <w:bCs/>
          <w:sz w:val="24"/>
          <w:szCs w:val="24"/>
          <w:rtl/>
        </w:rPr>
        <w:t>,</w:t>
      </w:r>
      <w:r w:rsidRPr="00007309">
        <w:rPr>
          <w:rFonts w:cs="Arial"/>
          <w:b/>
          <w:bCs/>
          <w:sz w:val="24"/>
          <w:szCs w:val="24"/>
          <w:rtl/>
        </w:rPr>
        <w:t xml:space="preserve"> דְּמִנְּהוֹן הֲווֹ נָפְקִין מַיִם</w:t>
      </w:r>
      <w:r w:rsidRPr="00007309">
        <w:rPr>
          <w:rFonts w:cs="Arial"/>
          <w:b/>
          <w:bCs/>
          <w:sz w:val="24"/>
          <w:szCs w:val="24"/>
        </w:rPr>
        <w:t xml:space="preserve"> </w:t>
      </w:r>
      <w:r w:rsidRPr="00007309">
        <w:rPr>
          <w:rFonts w:cs="Arial"/>
          <w:b/>
          <w:bCs/>
          <w:sz w:val="24"/>
          <w:szCs w:val="24"/>
          <w:rtl/>
        </w:rPr>
        <w:t xml:space="preserve">חַיִּים. </w:t>
      </w:r>
      <w:r w:rsidRPr="00007309">
        <w:rPr>
          <w:rFonts w:cs="Arial"/>
          <w:b/>
          <w:bCs/>
          <w:sz w:val="36"/>
          <w:szCs w:val="28"/>
          <w:vertAlign w:val="superscript"/>
          <w:rtl/>
        </w:rPr>
        <w:footnoteReference w:id="7596"/>
      </w:r>
      <w:r w:rsidRPr="00007309">
        <w:rPr>
          <w:rFonts w:cs="Arial"/>
          <w:b/>
          <w:bCs/>
          <w:sz w:val="24"/>
          <w:szCs w:val="24"/>
          <w:rtl/>
        </w:rPr>
        <w:t>וְכַד אִלֵּין מִתְגַּבְּרִין מַה כְּתִיב</w:t>
      </w:r>
      <w:r w:rsidRPr="00007309">
        <w:rPr>
          <w:rFonts w:cs="Arial" w:hint="cs"/>
          <w:b/>
          <w:bCs/>
          <w:sz w:val="24"/>
          <w:szCs w:val="24"/>
          <w:rtl/>
        </w:rPr>
        <w:t>,</w:t>
      </w:r>
      <w:r w:rsidRPr="00007309">
        <w:rPr>
          <w:rFonts w:cs="Arial"/>
          <w:b/>
          <w:bCs/>
          <w:sz w:val="24"/>
          <w:szCs w:val="24"/>
          <w:rtl/>
        </w:rPr>
        <w:t xml:space="preserve"> וּבְרֹב גְּאוֹנְךָ </w:t>
      </w:r>
      <w:r w:rsidRPr="00007309">
        <w:rPr>
          <w:rFonts w:cs="Arial"/>
          <w:b/>
          <w:bCs/>
          <w:sz w:val="36"/>
          <w:szCs w:val="28"/>
          <w:vertAlign w:val="superscript"/>
          <w:rtl/>
        </w:rPr>
        <w:footnoteReference w:id="7597"/>
      </w:r>
      <w:r w:rsidRPr="00007309">
        <w:rPr>
          <w:rFonts w:cs="Arial"/>
          <w:b/>
          <w:bCs/>
          <w:sz w:val="24"/>
          <w:szCs w:val="24"/>
          <w:rtl/>
        </w:rPr>
        <w:t>תַּהֲרֹס קָמֶיךָ</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598"/>
      </w:r>
      <w:r w:rsidRPr="00007309">
        <w:rPr>
          <w:rFonts w:cs="Arial"/>
          <w:b/>
          <w:bCs/>
          <w:sz w:val="24"/>
          <w:szCs w:val="24"/>
          <w:rtl/>
        </w:rPr>
        <w:t>וְאִתְעֲבִידוּ לוֹן אַבְנִין דִּסְקִילָה</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599"/>
      </w:r>
      <w:r w:rsidRPr="00007309">
        <w:rPr>
          <w:rFonts w:cs="Arial"/>
          <w:b/>
          <w:bCs/>
          <w:sz w:val="24"/>
          <w:szCs w:val="24"/>
          <w:rtl/>
        </w:rPr>
        <w:t>וְחֹשֶׁךְ עַל פְּנֵי תְהוֹם</w:t>
      </w:r>
      <w:r w:rsidRPr="00007309">
        <w:rPr>
          <w:rFonts w:cs="Arial" w:hint="cs"/>
          <w:b/>
          <w:bCs/>
          <w:sz w:val="24"/>
          <w:szCs w:val="24"/>
          <w:rtl/>
        </w:rPr>
        <w:t>,</w:t>
      </w:r>
      <w:r w:rsidRPr="00007309">
        <w:rPr>
          <w:rFonts w:cs="Arial"/>
          <w:b/>
          <w:bCs/>
          <w:sz w:val="24"/>
          <w:szCs w:val="24"/>
          <w:rtl/>
        </w:rPr>
        <w:t xml:space="preserve"> וַיְהִי הֶעָנָן וְהַחֹשֶׁךְ </w:t>
      </w:r>
      <w:r w:rsidRPr="00007309">
        <w:rPr>
          <w:rFonts w:cs="Arial"/>
          <w:b/>
          <w:bCs/>
          <w:sz w:val="36"/>
          <w:szCs w:val="28"/>
          <w:vertAlign w:val="superscript"/>
          <w:rtl/>
        </w:rPr>
        <w:footnoteReference w:id="7600"/>
      </w:r>
      <w:r w:rsidRPr="00007309">
        <w:rPr>
          <w:rFonts w:cs="Arial"/>
          <w:b/>
          <w:bCs/>
          <w:sz w:val="24"/>
          <w:szCs w:val="24"/>
          <w:rtl/>
        </w:rPr>
        <w:t xml:space="preserve">וְלֹא קָרַב זֶה אֶל זֶה כָּל הַלַּיְלָה. </w:t>
      </w:r>
      <w:r w:rsidRPr="00007309">
        <w:rPr>
          <w:rFonts w:cs="Arial"/>
          <w:b/>
          <w:bCs/>
          <w:sz w:val="36"/>
          <w:szCs w:val="28"/>
          <w:vertAlign w:val="superscript"/>
          <w:rtl/>
        </w:rPr>
        <w:footnoteReference w:id="7601"/>
      </w:r>
      <w:r w:rsidRPr="00007309">
        <w:rPr>
          <w:rFonts w:cs="Arial"/>
          <w:b/>
          <w:bCs/>
          <w:sz w:val="24"/>
          <w:szCs w:val="24"/>
          <w:rtl/>
        </w:rPr>
        <w:t>וְאִתְּמַר בֵּהּ (</w:t>
      </w:r>
      <w:r w:rsidRPr="00007309">
        <w:rPr>
          <w:rFonts w:cs="Arial" w:hint="cs"/>
          <w:b/>
          <w:bCs/>
          <w:sz w:val="24"/>
          <w:szCs w:val="24"/>
          <w:rtl/>
        </w:rPr>
        <w:t>תהלים</w:t>
      </w:r>
      <w:r w:rsidRPr="00007309">
        <w:rPr>
          <w:rFonts w:cs="Arial"/>
          <w:b/>
          <w:bCs/>
          <w:sz w:val="24"/>
          <w:szCs w:val="24"/>
          <w:rtl/>
        </w:rPr>
        <w:t xml:space="preserve"> קלט) גַּם חֹשֶׁךְ לֹא יַחְשִׁיךְ מִמֶּךָ. </w:t>
      </w:r>
      <w:r w:rsidRPr="00007309">
        <w:rPr>
          <w:rFonts w:cs="Arial"/>
          <w:b/>
          <w:bCs/>
          <w:sz w:val="36"/>
          <w:szCs w:val="28"/>
          <w:vertAlign w:val="superscript"/>
          <w:rtl/>
        </w:rPr>
        <w:footnoteReference w:id="7602"/>
      </w:r>
      <w:r w:rsidRPr="00007309">
        <w:rPr>
          <w:rFonts w:cs="Arial"/>
          <w:b/>
          <w:bCs/>
          <w:sz w:val="24"/>
          <w:szCs w:val="24"/>
          <w:rtl/>
        </w:rPr>
        <w:t>וְאִתְּמַר בֵּהּ (שמות יא) וַיְהִי חֹשֶׁךְ אֲפֵלָה בְּכָל אֶרֶץ מִצְרַיִם</w:t>
      </w:r>
      <w:r w:rsidRPr="00007309">
        <w:rPr>
          <w:rFonts w:cs="Arial" w:hint="cs"/>
          <w:b/>
          <w:bCs/>
          <w:sz w:val="24"/>
          <w:szCs w:val="24"/>
          <w:rtl/>
        </w:rPr>
        <w:t>,</w:t>
      </w:r>
      <w:r w:rsidRPr="00007309">
        <w:rPr>
          <w:rFonts w:cs="Arial"/>
          <w:b/>
          <w:bCs/>
          <w:sz w:val="24"/>
          <w:szCs w:val="24"/>
          <w:rtl/>
        </w:rPr>
        <w:t xml:space="preserve"> וּלְכָל בְּנֵי יִשְׂרָאֵל הָיָה אוֹר בְּמוֹשְׁבוֹתָם. וְרָזָא דְּמִלָּה </w:t>
      </w:r>
      <w:r w:rsidRPr="00007309">
        <w:rPr>
          <w:rFonts w:cs="Arial" w:hint="cs"/>
          <w:b/>
          <w:bCs/>
          <w:sz w:val="24"/>
          <w:szCs w:val="24"/>
          <w:rtl/>
        </w:rPr>
        <w:t xml:space="preserve">(איוב לז) </w:t>
      </w:r>
      <w:r w:rsidRPr="00007309">
        <w:rPr>
          <w:rFonts w:cs="Arial"/>
          <w:b/>
          <w:bCs/>
          <w:sz w:val="24"/>
          <w:szCs w:val="24"/>
          <w:rtl/>
        </w:rPr>
        <w:t xml:space="preserve">וְעַתָּה </w:t>
      </w:r>
      <w:r w:rsidRPr="00007309">
        <w:rPr>
          <w:rFonts w:cs="Arial"/>
          <w:b/>
          <w:bCs/>
          <w:sz w:val="36"/>
          <w:szCs w:val="28"/>
          <w:vertAlign w:val="superscript"/>
          <w:rtl/>
        </w:rPr>
        <w:footnoteReference w:id="7603"/>
      </w:r>
      <w:r w:rsidRPr="00007309">
        <w:rPr>
          <w:rFonts w:cs="Arial"/>
          <w:b/>
          <w:bCs/>
          <w:sz w:val="24"/>
          <w:szCs w:val="24"/>
          <w:rtl/>
        </w:rPr>
        <w:t>לֹא רָאוּ אוֹר בָּהִיר הוּא בַּשְּׁחָקִים</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604"/>
      </w:r>
      <w:r w:rsidRPr="00007309">
        <w:rPr>
          <w:rFonts w:cs="Arial"/>
          <w:b/>
          <w:bCs/>
          <w:sz w:val="24"/>
          <w:szCs w:val="24"/>
          <w:rtl/>
        </w:rPr>
        <w:t>אִתְּמַר הָכָא וְעַתָּה לֹא רָאוּ אוֹר</w:t>
      </w:r>
      <w:r w:rsidRPr="00007309">
        <w:rPr>
          <w:rFonts w:cs="Arial" w:hint="cs"/>
          <w:b/>
          <w:bCs/>
          <w:sz w:val="24"/>
          <w:szCs w:val="24"/>
          <w:rtl/>
        </w:rPr>
        <w:t>,</w:t>
      </w:r>
      <w:r w:rsidRPr="00007309">
        <w:rPr>
          <w:rFonts w:cs="Arial"/>
          <w:b/>
          <w:bCs/>
          <w:sz w:val="24"/>
          <w:szCs w:val="24"/>
          <w:rtl/>
        </w:rPr>
        <w:t xml:space="preserve"> וְאִתְּמַר בְּמִצְרָאֵי לֹא רָאוּ אִישׁ אֶת אָחִיו וְלֹא קָמוּ אִישׁ מִתַּחְתָּיו וּלְכָל בְּנֵי יִשְׂרָאֵל הָיָה אוֹר. </w:t>
      </w:r>
      <w:r w:rsidRPr="00007309">
        <w:rPr>
          <w:rFonts w:cs="Arial"/>
          <w:b/>
          <w:bCs/>
          <w:sz w:val="36"/>
          <w:szCs w:val="28"/>
          <w:vertAlign w:val="superscript"/>
          <w:rtl/>
        </w:rPr>
        <w:footnoteReference w:id="7605"/>
      </w:r>
      <w:r w:rsidRPr="00007309">
        <w:rPr>
          <w:rFonts w:cs="Arial"/>
          <w:b/>
          <w:bCs/>
          <w:sz w:val="24"/>
          <w:szCs w:val="24"/>
          <w:rtl/>
        </w:rPr>
        <w:t xml:space="preserve">וְחֹשֶׁךְ הוּא שְׂרֵפָה, וְעָלֵהּ אִתְּמַר תְּשַׁלַּח חֲרוֹנְךָ יֹאכְלֶמּוֹ כַּקַּשׁ. וְדָא אִיהוּ אֵשׁ אוֹכֶלֶת אֵשׁ, </w:t>
      </w:r>
      <w:r w:rsidRPr="00007309">
        <w:rPr>
          <w:rFonts w:cs="Arial"/>
          <w:b/>
          <w:bCs/>
          <w:sz w:val="36"/>
          <w:szCs w:val="28"/>
          <w:vertAlign w:val="superscript"/>
          <w:rtl/>
        </w:rPr>
        <w:footnoteReference w:id="7606"/>
      </w:r>
      <w:r w:rsidRPr="00007309">
        <w:rPr>
          <w:rFonts w:cs="Arial"/>
          <w:b/>
          <w:bCs/>
          <w:sz w:val="24"/>
          <w:szCs w:val="24"/>
          <w:rtl/>
        </w:rPr>
        <w:t xml:space="preserve">אֶשָּׁא דְּאוֹרַיְתָא </w:t>
      </w:r>
      <w:r w:rsidRPr="00007309">
        <w:rPr>
          <w:rFonts w:cs="Arial"/>
          <w:b/>
          <w:bCs/>
          <w:sz w:val="36"/>
          <w:szCs w:val="28"/>
          <w:vertAlign w:val="superscript"/>
          <w:rtl/>
        </w:rPr>
        <w:footnoteReference w:id="7607"/>
      </w:r>
      <w:r w:rsidRPr="00007309">
        <w:rPr>
          <w:rFonts w:cs="Arial"/>
          <w:b/>
          <w:bCs/>
          <w:sz w:val="24"/>
          <w:szCs w:val="24"/>
          <w:rtl/>
        </w:rPr>
        <w:t xml:space="preserve">דְּאַכְלָא אֶשָּׁא נוּכְרָאָה. </w:t>
      </w:r>
      <w:r w:rsidRPr="00007309">
        <w:rPr>
          <w:rFonts w:cs="Arial"/>
          <w:b/>
          <w:bCs/>
          <w:sz w:val="36"/>
          <w:szCs w:val="28"/>
          <w:vertAlign w:val="superscript"/>
          <w:rtl/>
        </w:rPr>
        <w:footnoteReference w:id="7608"/>
      </w:r>
      <w:r w:rsidRPr="00007309">
        <w:rPr>
          <w:rFonts w:cs="Arial"/>
          <w:b/>
          <w:bCs/>
          <w:sz w:val="24"/>
          <w:szCs w:val="24"/>
          <w:rtl/>
        </w:rPr>
        <w:t xml:space="preserve">תְּהוֹ"ם הוּא הַמָּוֶ"ת. </w:t>
      </w:r>
    </w:p>
    <w:p w:rsidR="00007309" w:rsidRPr="00007309" w:rsidRDefault="00007309" w:rsidP="00007309">
      <w:pPr>
        <w:jc w:val="both"/>
        <w:rPr>
          <w:rFonts w:cs="Arial"/>
          <w:b/>
          <w:bCs/>
          <w:sz w:val="24"/>
          <w:szCs w:val="24"/>
          <w:rtl/>
        </w:rPr>
      </w:pPr>
      <w:r w:rsidRPr="00007309">
        <w:rPr>
          <w:rFonts w:cs="Arial"/>
          <w:b/>
          <w:bCs/>
          <w:sz w:val="36"/>
          <w:szCs w:val="28"/>
          <w:vertAlign w:val="superscript"/>
          <w:rtl/>
        </w:rPr>
        <w:footnoteReference w:id="7609"/>
      </w:r>
      <w:r w:rsidRPr="00007309">
        <w:rPr>
          <w:rFonts w:cs="Arial"/>
          <w:b/>
          <w:bCs/>
          <w:sz w:val="24"/>
          <w:szCs w:val="24"/>
          <w:rtl/>
        </w:rPr>
        <w:t xml:space="preserve">וְאִית תְּהוֹם אָחֳרָא דְּאִתְּמַר בֵּהּ (תהלים מב) </w:t>
      </w:r>
      <w:r w:rsidRPr="00007309">
        <w:rPr>
          <w:rFonts w:cs="Arial"/>
          <w:b/>
          <w:bCs/>
          <w:sz w:val="36"/>
          <w:szCs w:val="28"/>
          <w:vertAlign w:val="superscript"/>
          <w:rtl/>
        </w:rPr>
        <w:footnoteReference w:id="7610"/>
      </w:r>
      <w:r w:rsidRPr="00007309">
        <w:rPr>
          <w:rFonts w:cs="Arial"/>
          <w:b/>
          <w:bCs/>
          <w:sz w:val="24"/>
          <w:szCs w:val="24"/>
          <w:rtl/>
        </w:rPr>
        <w:t>תְּהוֹם אֶל תְּהוֹם קֹרֵא לְקוֹל צִנּוֹרֶיךָ</w:t>
      </w:r>
      <w:r w:rsidRPr="00007309">
        <w:rPr>
          <w:rFonts w:cs="Arial" w:hint="cs"/>
          <w:b/>
          <w:bCs/>
          <w:sz w:val="24"/>
          <w:szCs w:val="24"/>
          <w:rtl/>
        </w:rPr>
        <w:t>,</w:t>
      </w:r>
      <w:r w:rsidRPr="00007309">
        <w:rPr>
          <w:rFonts w:cs="Arial"/>
          <w:b/>
          <w:bCs/>
          <w:sz w:val="24"/>
          <w:szCs w:val="24"/>
          <w:rtl/>
        </w:rPr>
        <w:t xml:space="preserve"> מַאי צִנּוֹרֶיךָ</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611"/>
      </w:r>
      <w:r w:rsidRPr="00007309">
        <w:rPr>
          <w:rFonts w:cs="Arial"/>
          <w:b/>
          <w:bCs/>
          <w:sz w:val="24"/>
          <w:szCs w:val="24"/>
          <w:rtl/>
        </w:rPr>
        <w:t>אִנּוּן צִנּוֹרִין דְּחָכְמְתָא דְּאִנּוּן וַוֵּי הָעַמּוּדִים</w:t>
      </w:r>
      <w:r w:rsidRPr="00007309">
        <w:rPr>
          <w:rFonts w:cs="Arial" w:hint="cs"/>
          <w:b/>
          <w:bCs/>
          <w:sz w:val="24"/>
          <w:szCs w:val="24"/>
          <w:rtl/>
        </w:rPr>
        <w:t xml:space="preserve">. </w:t>
      </w:r>
      <w:r w:rsidRPr="00007309">
        <w:rPr>
          <w:rFonts w:cs="Arial"/>
          <w:b/>
          <w:bCs/>
          <w:sz w:val="24"/>
          <w:szCs w:val="24"/>
          <w:rtl/>
        </w:rPr>
        <w:t xml:space="preserve">כָּל מִשְׁבָּרֶיךָ, </w:t>
      </w:r>
      <w:r w:rsidRPr="00007309">
        <w:rPr>
          <w:rFonts w:cs="Arial"/>
          <w:b/>
          <w:bCs/>
          <w:sz w:val="36"/>
          <w:szCs w:val="28"/>
          <w:vertAlign w:val="superscript"/>
          <w:rtl/>
        </w:rPr>
        <w:footnoteReference w:id="7612"/>
      </w:r>
      <w:r w:rsidRPr="00007309">
        <w:rPr>
          <w:rFonts w:cs="Arial"/>
          <w:b/>
          <w:bCs/>
          <w:sz w:val="24"/>
          <w:szCs w:val="24"/>
          <w:rtl/>
        </w:rPr>
        <w:t xml:space="preserve">אִלֵּין טְעָמִים דְּאוֹרַיְתָא. </w:t>
      </w:r>
      <w:r w:rsidRPr="00007309">
        <w:rPr>
          <w:rFonts w:cs="Arial"/>
          <w:b/>
          <w:bCs/>
          <w:sz w:val="36"/>
          <w:szCs w:val="28"/>
          <w:vertAlign w:val="superscript"/>
          <w:rtl/>
        </w:rPr>
        <w:footnoteReference w:id="7613"/>
      </w:r>
      <w:r w:rsidRPr="00007309">
        <w:rPr>
          <w:rFonts w:cs="Arial"/>
          <w:b/>
          <w:bCs/>
          <w:sz w:val="24"/>
          <w:szCs w:val="24"/>
          <w:rtl/>
        </w:rPr>
        <w:t>וְגַלֶּיךָ, אִלֵּין נִקּוּדֵי אוֹרַיְתָא. עָלַי עָבָרוּ</w:t>
      </w:r>
      <w:r w:rsidRPr="00007309">
        <w:rPr>
          <w:rFonts w:cs="Arial" w:hint="cs"/>
          <w:b/>
          <w:bCs/>
          <w:sz w:val="24"/>
          <w:szCs w:val="24"/>
          <w:rtl/>
        </w:rPr>
        <w:t>,</w:t>
      </w:r>
      <w:r w:rsidRPr="00007309">
        <w:rPr>
          <w:rFonts w:cs="Arial"/>
          <w:b/>
          <w:bCs/>
          <w:sz w:val="24"/>
          <w:szCs w:val="24"/>
          <w:rtl/>
        </w:rPr>
        <w:t xml:space="preserve"> דָּא </w:t>
      </w:r>
      <w:r w:rsidRPr="00007309">
        <w:rPr>
          <w:rFonts w:cs="Arial"/>
          <w:b/>
          <w:bCs/>
          <w:sz w:val="36"/>
          <w:szCs w:val="28"/>
          <w:vertAlign w:val="superscript"/>
          <w:rtl/>
        </w:rPr>
        <w:footnoteReference w:id="7614"/>
      </w:r>
      <w:r w:rsidRPr="00007309">
        <w:rPr>
          <w:rFonts w:cs="Arial"/>
          <w:b/>
          <w:bCs/>
          <w:sz w:val="24"/>
          <w:szCs w:val="24"/>
          <w:rtl/>
        </w:rPr>
        <w:t>רָזָא דְּעִבּוּ"ר</w:t>
      </w:r>
      <w:r w:rsidRPr="00007309">
        <w:rPr>
          <w:rFonts w:cs="Arial" w:hint="cs"/>
          <w:b/>
          <w:bCs/>
          <w:sz w:val="24"/>
          <w:szCs w:val="24"/>
          <w:rtl/>
        </w:rPr>
        <w:t>,</w:t>
      </w:r>
      <w:r w:rsidRPr="00007309">
        <w:rPr>
          <w:rFonts w:cs="Arial"/>
          <w:b/>
          <w:bCs/>
          <w:sz w:val="24"/>
          <w:szCs w:val="24"/>
          <w:rtl/>
        </w:rPr>
        <w:t xml:space="preserve"> דְּאִתְּמַר בֵּהּ (שמות לד) וַיַּעֲבֹר ה' עַל פָּנָיו וַיִּקְרָא. </w:t>
      </w:r>
      <w:r w:rsidRPr="00007309">
        <w:rPr>
          <w:rFonts w:cs="Arial"/>
          <w:b/>
          <w:bCs/>
          <w:sz w:val="36"/>
          <w:szCs w:val="28"/>
          <w:vertAlign w:val="superscript"/>
          <w:rtl/>
        </w:rPr>
        <w:footnoteReference w:id="7615"/>
      </w:r>
      <w:r w:rsidRPr="00007309">
        <w:rPr>
          <w:rFonts w:cs="Arial"/>
          <w:b/>
          <w:bCs/>
          <w:sz w:val="24"/>
          <w:szCs w:val="24"/>
          <w:rtl/>
        </w:rPr>
        <w:t>וְאִית תְּהוֹם דְּאִיהוּ בְּהִפּוּךְ אַתְוָן הַמָּוֶת, וְאִיהוּ הֶרֶג. וְד' אַתְוָן דְּשֵׁם יְהוָֹ'ה שָׁלְטִין עַל ד' מִיתוֹת בֵּית דִּין</w:t>
      </w:r>
      <w:r w:rsidRPr="00007309">
        <w:rPr>
          <w:rFonts w:cs="Arial" w:hint="cs"/>
          <w:b/>
          <w:bCs/>
          <w:sz w:val="24"/>
          <w:szCs w:val="24"/>
          <w:rtl/>
        </w:rPr>
        <w:t>,</w:t>
      </w:r>
      <w:r w:rsidRPr="00007309">
        <w:rPr>
          <w:rFonts w:cs="Arial"/>
          <w:b/>
          <w:bCs/>
          <w:sz w:val="24"/>
          <w:szCs w:val="24"/>
          <w:rtl/>
        </w:rPr>
        <w:t xml:space="preserve"> סְקִילָה שְׂרֵפָה הֶרֶג וְחֶנֶק</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616"/>
      </w:r>
      <w:r w:rsidRPr="00007309">
        <w:rPr>
          <w:rFonts w:cs="Arial"/>
          <w:b/>
          <w:bCs/>
          <w:sz w:val="24"/>
          <w:szCs w:val="24"/>
          <w:rtl/>
        </w:rPr>
        <w:t xml:space="preserve">י' עֲבִידַת סְקִילָה בה"ו. </w:t>
      </w:r>
      <w:r w:rsidRPr="00007309">
        <w:rPr>
          <w:rFonts w:cs="Arial" w:hint="cs"/>
          <w:b/>
          <w:bCs/>
          <w:sz w:val="24"/>
          <w:szCs w:val="24"/>
          <w:rtl/>
        </w:rPr>
        <w:t xml:space="preserve">ה' </w:t>
      </w:r>
      <w:r w:rsidRPr="00007309">
        <w:rPr>
          <w:rFonts w:cs="Arial"/>
          <w:b/>
          <w:bCs/>
          <w:sz w:val="24"/>
          <w:szCs w:val="24"/>
          <w:rtl/>
        </w:rPr>
        <w:t xml:space="preserve">עֲבִידַת שְׂרֵפָה בְּחֹשֶׁךְ. </w:t>
      </w:r>
      <w:r w:rsidRPr="00007309">
        <w:rPr>
          <w:rFonts w:cs="Arial"/>
          <w:b/>
          <w:bCs/>
          <w:sz w:val="36"/>
          <w:szCs w:val="28"/>
          <w:vertAlign w:val="superscript"/>
          <w:rtl/>
        </w:rPr>
        <w:footnoteReference w:id="7617"/>
      </w:r>
      <w:r w:rsidRPr="00007309">
        <w:rPr>
          <w:rFonts w:cs="Arial"/>
          <w:b/>
          <w:bCs/>
          <w:sz w:val="24"/>
          <w:szCs w:val="24"/>
          <w:rtl/>
        </w:rPr>
        <w:t xml:space="preserve">ה' אִתְלַבְּשַׁת בֵּהּ לְמֶעֱבַד דִּינָא בְּחַיָּבַיָּא. </w:t>
      </w:r>
      <w:r w:rsidRPr="00007309">
        <w:rPr>
          <w:rFonts w:cs="Arial"/>
          <w:b/>
          <w:bCs/>
          <w:sz w:val="36"/>
          <w:szCs w:val="28"/>
          <w:vertAlign w:val="superscript"/>
          <w:rtl/>
        </w:rPr>
        <w:footnoteReference w:id="7618"/>
      </w:r>
      <w:r w:rsidRPr="00007309">
        <w:rPr>
          <w:rFonts w:cs="Arial"/>
          <w:b/>
          <w:bCs/>
          <w:sz w:val="24"/>
          <w:szCs w:val="24"/>
          <w:rtl/>
        </w:rPr>
        <w:t xml:space="preserve">ו' אִתְלְבַשׁ בתה"ו דְּאִיהוּ קַו יָרֹק לְמֶעֱבַד בֵּהּ חֵנֶק. </w:t>
      </w:r>
      <w:r w:rsidRPr="00007309">
        <w:rPr>
          <w:rFonts w:cs="Arial"/>
          <w:b/>
          <w:bCs/>
          <w:sz w:val="36"/>
          <w:szCs w:val="28"/>
          <w:vertAlign w:val="superscript"/>
          <w:rtl/>
        </w:rPr>
        <w:footnoteReference w:id="7619"/>
      </w:r>
      <w:r w:rsidRPr="00007309">
        <w:rPr>
          <w:rFonts w:cs="Arial"/>
          <w:b/>
          <w:bCs/>
          <w:sz w:val="24"/>
          <w:szCs w:val="24"/>
          <w:rtl/>
        </w:rPr>
        <w:t>ה' אִתְלְבַשׁ</w:t>
      </w:r>
      <w:r w:rsidRPr="00007309">
        <w:rPr>
          <w:rFonts w:cs="Arial"/>
          <w:b/>
          <w:bCs/>
          <w:sz w:val="24"/>
          <w:szCs w:val="28"/>
        </w:rPr>
        <w:t xml:space="preserve"> </w:t>
      </w:r>
      <w:r w:rsidRPr="00007309">
        <w:rPr>
          <w:rFonts w:cs="Arial"/>
          <w:b/>
          <w:bCs/>
          <w:sz w:val="24"/>
          <w:szCs w:val="24"/>
          <w:rtl/>
        </w:rPr>
        <w:t xml:space="preserve">בַּתְּהוֹם דְּאִיהוּ הַמָּוֶת לְמֶעֱבַד בֵּהּ הֶרֶג. וְהָאָרֶץ כָּלִיל מִכֻּלְּהוּ קְלִפִּין, </w:t>
      </w:r>
      <w:r w:rsidRPr="00007309">
        <w:rPr>
          <w:rFonts w:cs="Arial"/>
          <w:b/>
          <w:bCs/>
          <w:sz w:val="36"/>
          <w:szCs w:val="28"/>
          <w:vertAlign w:val="superscript"/>
          <w:rtl/>
        </w:rPr>
        <w:footnoteReference w:id="7620"/>
      </w:r>
      <w:r w:rsidRPr="00007309">
        <w:rPr>
          <w:rFonts w:cs="Arial"/>
          <w:b/>
          <w:bCs/>
          <w:sz w:val="24"/>
          <w:szCs w:val="24"/>
          <w:rtl/>
        </w:rPr>
        <w:t>וּשְׁכִינְתָּא מִתְלַבְּשַׁת בָּהּ לְבַעֲרָא רוּחַ הַטֻמְאָה. כד"א וְאֶת רוּחַ הַטֻמְאָה אַעֲבִיר מִן הָאָרֶץ</w:t>
      </w:r>
      <w:r w:rsidRPr="00007309">
        <w:rPr>
          <w:rFonts w:cs="Arial" w:hint="cs"/>
          <w:b/>
          <w:bCs/>
          <w:sz w:val="24"/>
          <w:szCs w:val="24"/>
          <w:rtl/>
        </w:rPr>
        <w:t>.</w:t>
      </w:r>
    </w:p>
    <w:p w:rsidR="00007309" w:rsidRPr="00007309" w:rsidRDefault="00007309" w:rsidP="00007309">
      <w:pPr>
        <w:keepNext/>
        <w:spacing w:before="240" w:after="60"/>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[וילנא לא ע"ב]</w:t>
      </w:r>
    </w:p>
    <w:p w:rsidR="00007309" w:rsidRPr="00007309" w:rsidRDefault="00007309" w:rsidP="00007309">
      <w:pPr>
        <w:jc w:val="both"/>
        <w:rPr>
          <w:rFonts w:cs="Arial"/>
          <w:b/>
          <w:bCs/>
          <w:sz w:val="24"/>
          <w:szCs w:val="24"/>
        </w:rPr>
      </w:pPr>
      <w:r w:rsidRPr="00007309">
        <w:rPr>
          <w:rFonts w:cs="Arial"/>
          <w:b/>
          <w:bCs/>
          <w:sz w:val="24"/>
          <w:szCs w:val="24"/>
          <w:rtl/>
        </w:rPr>
        <w:t xml:space="preserve">וְאִית מָאן דְּאָמַר דִּבְאִלֵּין קְלִפִּין אִיהוּ שְׁמָא קַדִּישָׁא בְּהִפּוּכָא הוה'י. וְרָזָא דְּמִלָּה </w:t>
      </w:r>
      <w:r w:rsidRPr="00007309">
        <w:rPr>
          <w:rFonts w:cs="Arial"/>
          <w:b/>
          <w:bCs/>
          <w:sz w:val="36"/>
          <w:szCs w:val="28"/>
          <w:vertAlign w:val="superscript"/>
          <w:rtl/>
        </w:rPr>
        <w:footnoteReference w:id="7621"/>
      </w:r>
      <w:r w:rsidRPr="00007309">
        <w:rPr>
          <w:rFonts w:cs="Arial"/>
          <w:b/>
          <w:bCs/>
          <w:sz w:val="24"/>
          <w:szCs w:val="24"/>
          <w:rtl/>
        </w:rPr>
        <w:t>וְכָל זֶה' אֵינֶנּ"וּ שׁוֶֹ"ה לִ"י. וְאִנּוּן ה' בְּתֹהוּ</w:t>
      </w:r>
      <w:r w:rsidRPr="00007309">
        <w:rPr>
          <w:rFonts w:cs="Arial" w:hint="cs"/>
          <w:b/>
          <w:bCs/>
          <w:sz w:val="24"/>
          <w:szCs w:val="24"/>
          <w:rtl/>
        </w:rPr>
        <w:t>,</w:t>
      </w:r>
      <w:r w:rsidRPr="00007309">
        <w:rPr>
          <w:rFonts w:cs="Arial"/>
          <w:b/>
          <w:bCs/>
          <w:sz w:val="24"/>
          <w:szCs w:val="24"/>
          <w:rtl/>
        </w:rPr>
        <w:t xml:space="preserve"> ו' בְּבֹהוּ. ב'ו הו'א </w:t>
      </w:r>
      <w:r w:rsidRPr="00007309">
        <w:rPr>
          <w:rFonts w:cs="Arial"/>
          <w:b/>
          <w:bCs/>
          <w:sz w:val="36"/>
          <w:szCs w:val="28"/>
          <w:vertAlign w:val="superscript"/>
          <w:rtl/>
        </w:rPr>
        <w:footnoteReference w:id="7622"/>
      </w:r>
      <w:r w:rsidRPr="00007309">
        <w:rPr>
          <w:rFonts w:cs="Arial"/>
          <w:b/>
          <w:bCs/>
          <w:sz w:val="24"/>
          <w:szCs w:val="24"/>
          <w:rtl/>
        </w:rPr>
        <w:t xml:space="preserve">אנ'י וה'ו. וְחֹשֶׁךְ עַל פְּנֵי תְהוֹם. וְחֹשֶׁךְ בֵּהּ ה'. תְּהוֹם בֵּהּ י'. וְכַד </w:t>
      </w:r>
      <w:r w:rsidRPr="00007309">
        <w:rPr>
          <w:rFonts w:ascii="Cambria" w:hAnsi="Cambria" w:cs="Times New Roman" w:hint="cs"/>
          <w:b/>
          <w:bCs/>
          <w:i/>
          <w:iCs/>
          <w:color w:val="4F81BD"/>
          <w:sz w:val="24"/>
          <w:szCs w:val="24"/>
          <w:rtl/>
        </w:rPr>
        <w:t>(וילנא לא ע"ב)</w:t>
      </w:r>
      <w:r w:rsidRPr="00007309">
        <w:rPr>
          <w:rFonts w:cs="Arial" w:hint="cs"/>
          <w:b/>
          <w:bCs/>
          <w:sz w:val="24"/>
          <w:szCs w:val="24"/>
          <w:rtl/>
        </w:rPr>
        <w:t xml:space="preserve"> </w:t>
      </w:r>
      <w:r w:rsidRPr="00007309">
        <w:rPr>
          <w:rFonts w:cs="Arial"/>
          <w:b/>
          <w:bCs/>
          <w:sz w:val="24"/>
          <w:szCs w:val="24"/>
          <w:rtl/>
        </w:rPr>
        <w:t xml:space="preserve">אִיהִי ה' זְעֵירָא בִּקְלִפָּה דְּאִיהִי תֹּהוּ, מַה כְּתִיב </w:t>
      </w:r>
      <w:r w:rsidRPr="00007309">
        <w:rPr>
          <w:rFonts w:cs="Arial"/>
          <w:b/>
          <w:bCs/>
          <w:sz w:val="36"/>
          <w:szCs w:val="28"/>
          <w:vertAlign w:val="superscript"/>
          <w:rtl/>
        </w:rPr>
        <w:footnoteReference w:id="7623"/>
      </w:r>
      <w:r w:rsidRPr="00007309">
        <w:rPr>
          <w:rFonts w:cs="Arial"/>
          <w:b/>
          <w:bCs/>
          <w:sz w:val="24"/>
          <w:szCs w:val="24"/>
          <w:rtl/>
        </w:rPr>
        <w:t xml:space="preserve">לֹא תֹהוּ בְּרָאָהּ. דְּלֵית לָהּ חִבּוּרָא דְּיִחוּדָא עִם בַּעְלָהּ כַּד אִיהִי מִתְלַבְּשָׁא בְּתֹהוּ. וְאִלֵּין קְלִפִּין אִתְקְרִיאוּ </w:t>
      </w:r>
      <w:r w:rsidRPr="00007309">
        <w:rPr>
          <w:rFonts w:cs="Arial"/>
          <w:b/>
          <w:bCs/>
          <w:sz w:val="36"/>
          <w:szCs w:val="28"/>
          <w:vertAlign w:val="superscript"/>
          <w:rtl/>
        </w:rPr>
        <w:footnoteReference w:id="7624"/>
      </w:r>
      <w:r w:rsidRPr="00007309">
        <w:rPr>
          <w:rFonts w:cs="Arial"/>
          <w:b/>
          <w:bCs/>
          <w:sz w:val="24"/>
          <w:szCs w:val="24"/>
          <w:rtl/>
        </w:rPr>
        <w:t xml:space="preserve">עֲרָיוֹת, וְעָלַיְהוּ אִתְּמַר </w:t>
      </w:r>
      <w:r w:rsidRPr="00007309">
        <w:rPr>
          <w:rFonts w:cs="Arial" w:hint="cs"/>
          <w:b/>
          <w:bCs/>
          <w:sz w:val="24"/>
          <w:szCs w:val="24"/>
          <w:rtl/>
        </w:rPr>
        <w:t xml:space="preserve">(ויקרא יח ז) </w:t>
      </w:r>
      <w:r w:rsidRPr="00007309">
        <w:rPr>
          <w:rFonts w:cs="Arial"/>
          <w:b/>
          <w:bCs/>
          <w:sz w:val="24"/>
          <w:szCs w:val="24"/>
          <w:rtl/>
        </w:rPr>
        <w:t xml:space="preserve">עֶרְוַת אָבִיךָ וְעֶרְוַת אִמֶּךָ לֹא תְגַלֵּה. </w:t>
      </w:r>
      <w:r w:rsidRPr="00007309">
        <w:rPr>
          <w:rFonts w:cs="Arial"/>
          <w:b/>
          <w:bCs/>
          <w:sz w:val="36"/>
          <w:szCs w:val="28"/>
          <w:vertAlign w:val="superscript"/>
          <w:rtl/>
        </w:rPr>
        <w:footnoteReference w:id="7625"/>
      </w:r>
      <w:r w:rsidRPr="00007309">
        <w:rPr>
          <w:rFonts w:cs="Arial"/>
          <w:b/>
          <w:bCs/>
          <w:sz w:val="24"/>
          <w:szCs w:val="24"/>
          <w:rtl/>
        </w:rPr>
        <w:t xml:space="preserve">דָּא חֹשֶׁךְ וּתְהוֹם דְּאִנּוּן עֶרְוַת אַבָּא וְאִמָּא דְּאִנּוּן י'ה. </w:t>
      </w:r>
      <w:r w:rsidRPr="00007309">
        <w:rPr>
          <w:rFonts w:cs="Arial"/>
          <w:b/>
          <w:bCs/>
          <w:sz w:val="36"/>
          <w:szCs w:val="28"/>
          <w:vertAlign w:val="superscript"/>
          <w:rtl/>
        </w:rPr>
        <w:footnoteReference w:id="7626"/>
      </w:r>
      <w:r w:rsidRPr="00007309">
        <w:rPr>
          <w:rFonts w:cs="Arial"/>
          <w:b/>
          <w:bCs/>
          <w:sz w:val="24"/>
          <w:szCs w:val="24"/>
          <w:rtl/>
        </w:rPr>
        <w:t xml:space="preserve">עֶרְוַת אִשָּׁה וּבִתָּהּ, תֹּהוּ וְחֹשֶׁךְ. עֶרְוַת אֲחוֹתְךָ בַּת אָבִיךָ אוֹ בַּת אִמֶּךָ, </w:t>
      </w:r>
      <w:r w:rsidRPr="00007309">
        <w:rPr>
          <w:rFonts w:cs="Arial"/>
          <w:b/>
          <w:bCs/>
          <w:sz w:val="36"/>
          <w:szCs w:val="28"/>
          <w:vertAlign w:val="superscript"/>
          <w:rtl/>
        </w:rPr>
        <w:footnoteReference w:id="7627"/>
      </w:r>
      <w:r w:rsidRPr="00007309">
        <w:rPr>
          <w:rFonts w:cs="Arial"/>
          <w:b/>
          <w:bCs/>
          <w:sz w:val="24"/>
          <w:szCs w:val="24"/>
          <w:rtl/>
        </w:rPr>
        <w:t>דָּא ה' זְעֵירָא תהו</w:t>
      </w:r>
      <w:r w:rsidRPr="00007309">
        <w:rPr>
          <w:rFonts w:cs="Arial" w:hint="cs"/>
          <w:b/>
          <w:bCs/>
          <w:sz w:val="24"/>
          <w:szCs w:val="24"/>
          <w:rtl/>
        </w:rPr>
        <w:t>,</w:t>
      </w:r>
      <w:r w:rsidRPr="00007309">
        <w:rPr>
          <w:rFonts w:cs="Arial"/>
          <w:b/>
          <w:bCs/>
          <w:sz w:val="24"/>
          <w:szCs w:val="24"/>
          <w:rtl/>
        </w:rPr>
        <w:t xml:space="preserve"> וְכֻּלְּהוּ</w:t>
      </w:r>
      <w:r w:rsidRPr="00007309">
        <w:rPr>
          <w:rFonts w:cs="Arial"/>
          <w:b/>
          <w:bCs/>
          <w:sz w:val="24"/>
          <w:szCs w:val="24"/>
        </w:rPr>
        <w:t xml:space="preserve"> </w:t>
      </w:r>
      <w:r w:rsidRPr="00007309">
        <w:rPr>
          <w:rFonts w:cs="Arial"/>
          <w:b/>
          <w:bCs/>
          <w:sz w:val="24"/>
          <w:szCs w:val="24"/>
          <w:rtl/>
        </w:rPr>
        <w:t>עֲרָיִין אִנּוּן הָכָא</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628"/>
      </w:r>
      <w:r w:rsidRPr="00007309">
        <w:rPr>
          <w:rFonts w:cs="Arial"/>
          <w:b/>
          <w:bCs/>
          <w:sz w:val="24"/>
          <w:szCs w:val="24"/>
          <w:rtl/>
        </w:rPr>
        <w:t>וְהָכָא אִתְּמַר (ישעיה כג) לֶאֱכֹל לְשָׁבְעָה וְלִמְכַסֶּה עַתִּיק</w:t>
      </w:r>
      <w:r w:rsidRPr="00007309">
        <w:rPr>
          <w:rFonts w:cs="Arial"/>
          <w:b/>
          <w:bCs/>
          <w:sz w:val="24"/>
          <w:szCs w:val="24"/>
        </w:rPr>
        <w:t>:</w:t>
      </w:r>
    </w:p>
    <w:p w:rsidR="00007309" w:rsidRPr="00007309" w:rsidRDefault="00007309" w:rsidP="00007309">
      <w:pPr>
        <w:keepNext/>
        <w:outlineLvl w:val="1"/>
        <w:rPr>
          <w:rFonts w:ascii="Cambria" w:hAnsi="Cambria" w:cs="Times New Roman"/>
          <w:b/>
          <w:bCs/>
          <w:i/>
          <w:iCs/>
          <w:sz w:val="28"/>
          <w:szCs w:val="28"/>
          <w:rtl/>
        </w:rPr>
      </w:pPr>
      <w:r w:rsidRPr="00007309">
        <w:rPr>
          <w:rFonts w:ascii="Cambria" w:hAnsi="Cambria" w:cs="Times New Roman"/>
          <w:b/>
          <w:bCs/>
          <w:i/>
          <w:iCs/>
          <w:sz w:val="28"/>
          <w:szCs w:val="28"/>
          <w:rtl/>
        </w:rPr>
        <w:t>[</w:t>
      </w:r>
      <w:r w:rsidRPr="00007309">
        <w:rPr>
          <w:rFonts w:ascii="Cambria" w:hAnsi="Cambria" w:cs="Times New Roman" w:hint="cs"/>
          <w:b/>
          <w:bCs/>
          <w:i/>
          <w:iCs/>
          <w:sz w:val="28"/>
          <w:szCs w:val="28"/>
          <w:rtl/>
        </w:rPr>
        <w:t>דף</w:t>
      </w:r>
      <w:r w:rsidRPr="00007309">
        <w:rPr>
          <w:rFonts w:ascii="Cambria" w:hAnsi="Cambria" w:cs="Times New Roman"/>
          <w:b/>
          <w:bCs/>
          <w:i/>
          <w:iCs/>
          <w:sz w:val="28"/>
          <w:szCs w:val="28"/>
          <w:rtl/>
        </w:rPr>
        <w:t xml:space="preserve"> </w:t>
      </w:r>
      <w:r w:rsidRPr="00007309">
        <w:rPr>
          <w:rFonts w:ascii="Cambria" w:hAnsi="Cambria" w:cs="Times New Roman" w:hint="cs"/>
          <w:b/>
          <w:bCs/>
          <w:i/>
          <w:iCs/>
          <w:sz w:val="28"/>
          <w:szCs w:val="28"/>
          <w:rtl/>
        </w:rPr>
        <w:t>פב</w:t>
      </w:r>
      <w:r w:rsidRPr="00007309">
        <w:rPr>
          <w:rFonts w:ascii="Cambria" w:hAnsi="Cambria" w:cs="Times New Roman"/>
          <w:b/>
          <w:bCs/>
          <w:i/>
          <w:iCs/>
          <w:sz w:val="28"/>
          <w:szCs w:val="28"/>
          <w:rtl/>
        </w:rPr>
        <w:t xml:space="preserve"> ע"</w:t>
      </w:r>
      <w:r w:rsidRPr="00007309">
        <w:rPr>
          <w:rFonts w:ascii="Cambria" w:hAnsi="Cambria" w:cs="Times New Roman" w:hint="cs"/>
          <w:b/>
          <w:bCs/>
          <w:i/>
          <w:iCs/>
          <w:sz w:val="28"/>
          <w:szCs w:val="28"/>
          <w:rtl/>
        </w:rPr>
        <w:t>ד</w:t>
      </w:r>
      <w:r w:rsidRPr="00007309">
        <w:rPr>
          <w:rFonts w:ascii="Cambria" w:hAnsi="Cambria" w:cs="Times New Roman"/>
          <w:b/>
          <w:bCs/>
          <w:i/>
          <w:iCs/>
          <w:sz w:val="28"/>
          <w:szCs w:val="28"/>
          <w:rtl/>
        </w:rPr>
        <w:t>]</w:t>
      </w:r>
    </w:p>
    <w:p w:rsidR="00007309" w:rsidRPr="00007309" w:rsidRDefault="00007309" w:rsidP="00007309">
      <w:pPr>
        <w:jc w:val="both"/>
        <w:rPr>
          <w:rFonts w:cs="Arial"/>
          <w:b/>
          <w:bCs/>
          <w:sz w:val="24"/>
          <w:szCs w:val="24"/>
          <w:rtl/>
        </w:rPr>
      </w:pPr>
      <w:r w:rsidRPr="00007309">
        <w:rPr>
          <w:rFonts w:ascii="Cambria" w:hAnsi="Cambria" w:cs="Times New Roman" w:hint="cs"/>
          <w:b/>
          <w:bCs/>
          <w:i/>
          <w:iCs/>
          <w:color w:val="4F81BD"/>
          <w:sz w:val="24"/>
          <w:szCs w:val="24"/>
          <w:rtl/>
        </w:rPr>
        <w:t xml:space="preserve"> (פב ע"ד)</w:t>
      </w:r>
      <w:r w:rsidRPr="00007309">
        <w:rPr>
          <w:rFonts w:cs="Arial" w:hint="cs"/>
          <w:b/>
          <w:bCs/>
          <w:sz w:val="24"/>
          <w:szCs w:val="24"/>
          <w:rtl/>
        </w:rPr>
        <w:t xml:space="preserve"> </w:t>
      </w:r>
      <w:r w:rsidRPr="00007309">
        <w:rPr>
          <w:rFonts w:cs="Arial"/>
          <w:b/>
          <w:bCs/>
          <w:sz w:val="36"/>
          <w:szCs w:val="28"/>
          <w:vertAlign w:val="superscript"/>
          <w:rtl/>
        </w:rPr>
        <w:footnoteReference w:id="7629"/>
      </w:r>
      <w:r w:rsidRPr="00007309">
        <w:rPr>
          <w:rFonts w:cs="Arial"/>
          <w:b/>
          <w:bCs/>
          <w:sz w:val="24"/>
          <w:szCs w:val="24"/>
          <w:rtl/>
        </w:rPr>
        <w:t>וְהָאָרֶץ הָיְתָה תֹהוּ. בְּזִמְנָא דְּקֻדְשָׁא בְּרִיךְ הוּא הֲוָה בְּאִלֵּין קְלִפִּין</w:t>
      </w:r>
      <w:r w:rsidRPr="00007309">
        <w:rPr>
          <w:rFonts w:cs="Arial" w:hint="cs"/>
          <w:b/>
          <w:bCs/>
          <w:sz w:val="24"/>
          <w:szCs w:val="24"/>
          <w:rtl/>
        </w:rPr>
        <w:t>,</w:t>
      </w:r>
      <w:r w:rsidRPr="00007309">
        <w:rPr>
          <w:rFonts w:cs="Arial"/>
          <w:b/>
          <w:bCs/>
          <w:sz w:val="24"/>
          <w:szCs w:val="24"/>
          <w:rtl/>
        </w:rPr>
        <w:t xml:space="preserve"> הֲוָה בּוֹנֶה עוֹלָמוֹת וּמַחֲרִיבָן. וְהָא אוֹקְמוּהָּ</w:t>
      </w:r>
      <w:r w:rsidRPr="00007309">
        <w:rPr>
          <w:rFonts w:cs="Arial" w:hint="cs"/>
          <w:b/>
          <w:bCs/>
          <w:sz w:val="24"/>
          <w:szCs w:val="24"/>
          <w:rtl/>
        </w:rPr>
        <w:t>,</w:t>
      </w:r>
      <w:r w:rsidRPr="00007309">
        <w:rPr>
          <w:rFonts w:cs="Arial"/>
          <w:b/>
          <w:bCs/>
          <w:sz w:val="24"/>
          <w:szCs w:val="24"/>
          <w:rtl/>
        </w:rPr>
        <w:t xml:space="preserve"> דְּלֵית הַשְׁפָּעָה בְּכָל עָלְמִין</w:t>
      </w:r>
      <w:r w:rsidRPr="00007309">
        <w:rPr>
          <w:rFonts w:cs="Arial" w:hint="cs"/>
          <w:b/>
          <w:bCs/>
          <w:sz w:val="24"/>
          <w:szCs w:val="24"/>
          <w:rtl/>
        </w:rPr>
        <w:t>,</w:t>
      </w:r>
      <w:r w:rsidRPr="00007309">
        <w:rPr>
          <w:rFonts w:cs="Arial"/>
          <w:b/>
          <w:bCs/>
          <w:sz w:val="24"/>
          <w:szCs w:val="24"/>
          <w:rtl/>
        </w:rPr>
        <w:t xml:space="preserve"> וְנָהָר דְּאִיהוּ צַדִּיק</w:t>
      </w:r>
      <w:r w:rsidRPr="00007309">
        <w:rPr>
          <w:rFonts w:cs="Arial" w:hint="cs"/>
          <w:b/>
          <w:bCs/>
          <w:sz w:val="24"/>
          <w:szCs w:val="24"/>
          <w:rtl/>
        </w:rPr>
        <w:t>,</w:t>
      </w:r>
      <w:r w:rsidRPr="00007309">
        <w:rPr>
          <w:rFonts w:cs="Arial"/>
          <w:b/>
          <w:bCs/>
          <w:sz w:val="24"/>
          <w:szCs w:val="24"/>
          <w:rtl/>
        </w:rPr>
        <w:t xml:space="preserve"> יֶחֱרַב וְיָבֵשׁ </w:t>
      </w:r>
      <w:r w:rsidRPr="00007309">
        <w:rPr>
          <w:rFonts w:cs="Arial"/>
          <w:b/>
          <w:bCs/>
          <w:sz w:val="36"/>
          <w:szCs w:val="28"/>
          <w:vertAlign w:val="superscript"/>
          <w:rtl/>
        </w:rPr>
        <w:footnoteReference w:id="7630"/>
      </w:r>
      <w:r w:rsidRPr="00007309">
        <w:rPr>
          <w:rFonts w:cs="Arial"/>
          <w:b/>
          <w:bCs/>
          <w:sz w:val="24"/>
          <w:szCs w:val="24"/>
          <w:rtl/>
        </w:rPr>
        <w:t>בִּתְרֵין עָלְמִין</w:t>
      </w:r>
      <w:r w:rsidRPr="00007309">
        <w:rPr>
          <w:rFonts w:cs="Arial" w:hint="cs"/>
          <w:b/>
          <w:bCs/>
          <w:sz w:val="24"/>
          <w:szCs w:val="24"/>
          <w:rtl/>
        </w:rPr>
        <w:t>,</w:t>
      </w:r>
      <w:r w:rsidRPr="00007309">
        <w:rPr>
          <w:rFonts w:cs="Arial"/>
          <w:b/>
          <w:bCs/>
          <w:sz w:val="24"/>
          <w:szCs w:val="24"/>
          <w:rtl/>
        </w:rPr>
        <w:t xml:space="preserve"> בְּעָלְמָא דֵּין וּבְעָלְמָא דְּאָתֵי. </w:t>
      </w:r>
      <w:r w:rsidRPr="00007309">
        <w:rPr>
          <w:rFonts w:cs="Arial"/>
          <w:b/>
          <w:bCs/>
          <w:sz w:val="36"/>
          <w:szCs w:val="28"/>
          <w:vertAlign w:val="superscript"/>
          <w:rtl/>
        </w:rPr>
        <w:footnoteReference w:id="7631"/>
      </w:r>
      <w:r w:rsidRPr="00007309">
        <w:rPr>
          <w:rFonts w:cs="Arial"/>
          <w:b/>
          <w:bCs/>
          <w:sz w:val="24"/>
          <w:szCs w:val="24"/>
          <w:rtl/>
        </w:rPr>
        <w:t xml:space="preserve">וְאִית מָאן דְּאָמַר דְּסָלִיק בְּמַחֲשַׁבְתֵּהּ לְמִבְנֵי עָלְמִין וּלְהַחֲרִיבָן, וְאָמַר דֵּין מְהַנְּיָן לִי וְדֵין לָא מְהַנְּיָן לִי. אִלֵּין דְּאִתְּמַר בְּהוֹן אֶת הַשָּׁמַיִם וְאֶת הָאָרֶץ מְהַנְּיָן לִי. </w:t>
      </w:r>
      <w:r w:rsidRPr="00007309">
        <w:rPr>
          <w:rFonts w:cs="Arial"/>
          <w:b/>
          <w:bCs/>
          <w:sz w:val="36"/>
          <w:szCs w:val="28"/>
          <w:vertAlign w:val="superscript"/>
          <w:rtl/>
        </w:rPr>
        <w:footnoteReference w:id="7632"/>
      </w:r>
      <w:r w:rsidRPr="00007309">
        <w:rPr>
          <w:rFonts w:cs="Arial"/>
          <w:b/>
          <w:bCs/>
          <w:sz w:val="24"/>
          <w:szCs w:val="24"/>
          <w:rtl/>
        </w:rPr>
        <w:t>אָחֳרָנִין דְּאִתְּמַר בְּהוֹן וְהָאָרֶץ הָיְתָה תֹהוּ וָבֹהוּ, דְּאַחֲזֵי עַל עָלְמִין דְּסָלִיק בִּרְעוּתֵהּ למבר' לוֹן וְלָא עָבִיד לוֹן</w:t>
      </w:r>
      <w:r w:rsidRPr="00007309">
        <w:rPr>
          <w:rFonts w:cs="Arial" w:hint="cs"/>
          <w:b/>
          <w:bCs/>
          <w:sz w:val="24"/>
          <w:szCs w:val="24"/>
          <w:rtl/>
        </w:rPr>
        <w:t>,</w:t>
      </w:r>
      <w:r w:rsidRPr="00007309">
        <w:rPr>
          <w:rFonts w:cs="Arial"/>
          <w:b/>
          <w:bCs/>
          <w:sz w:val="24"/>
          <w:szCs w:val="24"/>
          <w:rtl/>
        </w:rPr>
        <w:t xml:space="preserve"> עָלַיְהוּ אִתְּמַר תֹּהוּ וָבֹהוּ</w:t>
      </w:r>
      <w:r w:rsidRPr="00007309">
        <w:rPr>
          <w:rFonts w:cs="Arial" w:hint="cs"/>
          <w:b/>
          <w:bCs/>
          <w:sz w:val="24"/>
          <w:szCs w:val="24"/>
          <w:rtl/>
        </w:rPr>
        <w:t>,</w:t>
      </w:r>
      <w:r w:rsidRPr="00007309">
        <w:rPr>
          <w:rFonts w:cs="Arial"/>
          <w:b/>
          <w:bCs/>
          <w:sz w:val="24"/>
          <w:szCs w:val="24"/>
          <w:rtl/>
        </w:rPr>
        <w:t xml:space="preserve"> בְּאִלֵּין אָמַר לָא מְהַנְיָן לִי. וּבְזִמְנָא דְּקֻדְשָׁא בְּרִיךְ הוּא בְּאִלֵּין קְלִפִּין</w:t>
      </w:r>
      <w:r w:rsidRPr="00007309">
        <w:rPr>
          <w:rFonts w:cs="Arial" w:hint="cs"/>
          <w:b/>
          <w:bCs/>
          <w:sz w:val="24"/>
          <w:szCs w:val="24"/>
          <w:rtl/>
        </w:rPr>
        <w:t>,</w:t>
      </w:r>
      <w:r w:rsidRPr="00007309">
        <w:rPr>
          <w:rFonts w:cs="Arial"/>
          <w:b/>
          <w:bCs/>
          <w:sz w:val="24"/>
          <w:szCs w:val="24"/>
          <w:rtl/>
        </w:rPr>
        <w:t xml:space="preserve"> אִתְּמַר בֵּהּ (איכה ג) </w:t>
      </w:r>
      <w:r w:rsidRPr="00007309">
        <w:rPr>
          <w:rFonts w:cs="Arial"/>
          <w:b/>
          <w:bCs/>
          <w:sz w:val="36"/>
          <w:szCs w:val="28"/>
          <w:vertAlign w:val="superscript"/>
          <w:rtl/>
        </w:rPr>
        <w:footnoteReference w:id="7633"/>
      </w:r>
      <w:r w:rsidRPr="00007309">
        <w:rPr>
          <w:rFonts w:cs="Arial"/>
          <w:b/>
          <w:bCs/>
          <w:sz w:val="24"/>
          <w:szCs w:val="24"/>
          <w:rtl/>
        </w:rPr>
        <w:t xml:space="preserve">סַכֹּתָה בֶּעָנָן לָךְ </w:t>
      </w:r>
      <w:r w:rsidRPr="00007309">
        <w:rPr>
          <w:rFonts w:cs="Arial"/>
          <w:b/>
          <w:bCs/>
          <w:sz w:val="36"/>
          <w:szCs w:val="28"/>
          <w:vertAlign w:val="superscript"/>
          <w:rtl/>
        </w:rPr>
        <w:footnoteReference w:id="7634"/>
      </w:r>
      <w:r w:rsidRPr="00007309">
        <w:rPr>
          <w:rFonts w:cs="Arial"/>
          <w:b/>
          <w:bCs/>
          <w:sz w:val="24"/>
          <w:szCs w:val="24"/>
          <w:rtl/>
        </w:rPr>
        <w:t xml:space="preserve">מֵעֲבוֹר תְּפִלָּה. </w:t>
      </w:r>
      <w:r w:rsidRPr="00007309">
        <w:rPr>
          <w:rFonts w:cs="Arial"/>
          <w:b/>
          <w:bCs/>
          <w:sz w:val="36"/>
          <w:szCs w:val="28"/>
          <w:vertAlign w:val="superscript"/>
          <w:rtl/>
        </w:rPr>
        <w:footnoteReference w:id="7635"/>
      </w:r>
      <w:r w:rsidRPr="00007309">
        <w:rPr>
          <w:rFonts w:cs="Arial"/>
          <w:b/>
          <w:bCs/>
          <w:sz w:val="24"/>
          <w:szCs w:val="24"/>
          <w:rtl/>
        </w:rPr>
        <w:t xml:space="preserve">בֹּהוּ וְחֹשֶׁךְ עָלַיְהוּ אִתְּמַר </w:t>
      </w:r>
      <w:r w:rsidRPr="00007309">
        <w:rPr>
          <w:rFonts w:cs="Arial" w:hint="cs"/>
          <w:b/>
          <w:bCs/>
          <w:sz w:val="24"/>
          <w:szCs w:val="24"/>
          <w:rtl/>
        </w:rPr>
        <w:t xml:space="preserve">(שמות יד כ) </w:t>
      </w:r>
      <w:r w:rsidRPr="00007309">
        <w:rPr>
          <w:rFonts w:cs="Arial"/>
          <w:b/>
          <w:bCs/>
          <w:sz w:val="24"/>
          <w:szCs w:val="24"/>
          <w:rtl/>
        </w:rPr>
        <w:t>וַיְהִי הֶעָנָן וְהַחֹשֶׁךְ</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636"/>
      </w:r>
      <w:r w:rsidRPr="00007309">
        <w:rPr>
          <w:rFonts w:cs="Arial"/>
          <w:b/>
          <w:bCs/>
          <w:sz w:val="24"/>
          <w:szCs w:val="24"/>
          <w:rtl/>
        </w:rPr>
        <w:t>וְאִלֵּין אִנּוּן קְלִפִּין דֶּאֱגוֹזָא</w:t>
      </w:r>
      <w:r w:rsidRPr="00007309">
        <w:rPr>
          <w:rFonts w:cs="Arial" w:hint="cs"/>
          <w:b/>
          <w:bCs/>
          <w:sz w:val="24"/>
          <w:szCs w:val="24"/>
          <w:rtl/>
        </w:rPr>
        <w:t>.</w:t>
      </w:r>
      <w:r w:rsidRPr="00007309">
        <w:rPr>
          <w:rFonts w:cs="Arial"/>
          <w:b/>
          <w:bCs/>
          <w:sz w:val="24"/>
          <w:szCs w:val="24"/>
          <w:rtl/>
        </w:rPr>
        <w:t xml:space="preserve"> מֹחָא מִלְּגָאו </w:t>
      </w:r>
      <w:r w:rsidRPr="00007309">
        <w:rPr>
          <w:rFonts w:cs="Arial"/>
          <w:b/>
          <w:bCs/>
          <w:sz w:val="36"/>
          <w:szCs w:val="28"/>
          <w:vertAlign w:val="superscript"/>
          <w:rtl/>
        </w:rPr>
        <w:footnoteReference w:id="7637"/>
      </w:r>
      <w:r w:rsidRPr="00007309">
        <w:rPr>
          <w:rFonts w:cs="Arial"/>
          <w:b/>
          <w:bCs/>
          <w:sz w:val="24"/>
          <w:szCs w:val="24"/>
          <w:rtl/>
        </w:rPr>
        <w:t xml:space="preserve">דְּאִתְפְּלַג לְד' סִטְרִין, דָּא יְהוָֹ'ה </w:t>
      </w:r>
      <w:r w:rsidRPr="00007309">
        <w:rPr>
          <w:rFonts w:cs="Arial"/>
          <w:b/>
          <w:bCs/>
          <w:sz w:val="36"/>
          <w:szCs w:val="28"/>
          <w:vertAlign w:val="superscript"/>
          <w:rtl/>
        </w:rPr>
        <w:footnoteReference w:id="7638"/>
      </w:r>
      <w:r w:rsidRPr="00007309">
        <w:rPr>
          <w:rFonts w:cs="Arial"/>
          <w:b/>
          <w:bCs/>
          <w:sz w:val="24"/>
          <w:szCs w:val="24"/>
          <w:rtl/>
        </w:rPr>
        <w:t>דְּאִיהוּ לֹא קַבִּיל מְסָאֲבוּ</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639"/>
      </w:r>
      <w:r w:rsidRPr="00007309">
        <w:rPr>
          <w:rFonts w:cs="Arial"/>
          <w:b/>
          <w:bCs/>
          <w:sz w:val="24"/>
          <w:szCs w:val="24"/>
          <w:rtl/>
        </w:rPr>
        <w:t>כמד"א (ירמיה יח, כג) הֲלֹא כֹה דְּבָרִי כָּאֵשׁ נְאֻם ה'</w:t>
      </w:r>
      <w:r w:rsidRPr="00007309">
        <w:rPr>
          <w:rFonts w:cs="Arial" w:hint="cs"/>
          <w:b/>
          <w:bCs/>
          <w:sz w:val="24"/>
          <w:szCs w:val="24"/>
          <w:rtl/>
        </w:rPr>
        <w:t>,</w:t>
      </w:r>
      <w:r w:rsidRPr="00007309">
        <w:rPr>
          <w:rFonts w:cs="Arial"/>
          <w:b/>
          <w:bCs/>
          <w:sz w:val="24"/>
          <w:szCs w:val="24"/>
          <w:rtl/>
        </w:rPr>
        <w:t xml:space="preserve"> מָה אֶשָּׁא לֹא מְקַבֵּל טֻמְאָה אַף שְׁמֵהּ לֹא מְקַבֵּל טֻמְאָה. </w:t>
      </w:r>
      <w:r w:rsidRPr="00007309">
        <w:rPr>
          <w:rFonts w:cs="Arial"/>
          <w:b/>
          <w:bCs/>
          <w:sz w:val="36"/>
          <w:szCs w:val="28"/>
          <w:vertAlign w:val="superscript"/>
          <w:rtl/>
        </w:rPr>
        <w:footnoteReference w:id="7640"/>
      </w:r>
      <w:r w:rsidRPr="00007309">
        <w:rPr>
          <w:rFonts w:cs="Arial"/>
          <w:b/>
          <w:bCs/>
          <w:sz w:val="24"/>
          <w:szCs w:val="24"/>
          <w:rtl/>
        </w:rPr>
        <w:t>וּבְזִמְנָא דְּמִתְעָבְרִין אִלֵּין קְלִפִּין</w:t>
      </w:r>
      <w:r w:rsidRPr="00007309">
        <w:rPr>
          <w:rFonts w:cs="Arial" w:hint="cs"/>
          <w:b/>
          <w:bCs/>
          <w:sz w:val="24"/>
          <w:szCs w:val="24"/>
          <w:rtl/>
        </w:rPr>
        <w:t>,</w:t>
      </w:r>
      <w:r w:rsidRPr="00007309">
        <w:rPr>
          <w:rFonts w:cs="Arial"/>
          <w:b/>
          <w:bCs/>
          <w:sz w:val="24"/>
          <w:szCs w:val="24"/>
          <w:rtl/>
        </w:rPr>
        <w:t xml:space="preserve"> יִתָּבְרוּן מֵאֱגוֹזָא</w:t>
      </w:r>
      <w:r w:rsidRPr="00007309">
        <w:rPr>
          <w:rFonts w:cs="Arial" w:hint="cs"/>
          <w:b/>
          <w:bCs/>
          <w:sz w:val="24"/>
          <w:szCs w:val="24"/>
          <w:rtl/>
        </w:rPr>
        <w:t>,</w:t>
      </w:r>
      <w:r w:rsidRPr="00007309">
        <w:rPr>
          <w:rFonts w:cs="Arial"/>
          <w:b/>
          <w:bCs/>
          <w:sz w:val="24"/>
          <w:szCs w:val="24"/>
          <w:rtl/>
        </w:rPr>
        <w:t xml:space="preserve"> צְלוֹתָא דְּאִיהִי שְׁכִינְתָּא אדנ'י</w:t>
      </w:r>
      <w:r w:rsidRPr="00007309">
        <w:rPr>
          <w:rFonts w:cs="Arial" w:hint="cs"/>
          <w:b/>
          <w:bCs/>
          <w:sz w:val="24"/>
          <w:szCs w:val="24"/>
          <w:rtl/>
        </w:rPr>
        <w:t>,</w:t>
      </w:r>
      <w:r w:rsidRPr="00007309">
        <w:rPr>
          <w:rFonts w:cs="Arial"/>
          <w:b/>
          <w:bCs/>
          <w:sz w:val="24"/>
          <w:szCs w:val="24"/>
          <w:rtl/>
        </w:rPr>
        <w:t xml:space="preserve"> סַלְקָא לְגַבֵּי בַּעְלָהּ </w:t>
      </w:r>
      <w:r w:rsidRPr="00007309">
        <w:rPr>
          <w:rFonts w:cs="Arial" w:hint="cs"/>
          <w:sz w:val="24"/>
          <w:szCs w:val="24"/>
          <w:rtl/>
        </w:rPr>
        <w:t>(</w:t>
      </w:r>
      <w:r w:rsidRPr="00007309">
        <w:rPr>
          <w:rFonts w:cs="Arial"/>
          <w:sz w:val="24"/>
          <w:szCs w:val="24"/>
          <w:rtl/>
        </w:rPr>
        <w:t>דְּאִיהוּ</w:t>
      </w:r>
      <w:r w:rsidRPr="00007309">
        <w:rPr>
          <w:rFonts w:cs="Arial" w:hint="cs"/>
          <w:sz w:val="24"/>
          <w:szCs w:val="24"/>
          <w:rtl/>
        </w:rPr>
        <w:t>)</w:t>
      </w:r>
      <w:r w:rsidRPr="00007309">
        <w:rPr>
          <w:rFonts w:cs="Arial"/>
          <w:b/>
          <w:bCs/>
          <w:sz w:val="24"/>
          <w:szCs w:val="24"/>
          <w:rtl/>
        </w:rPr>
        <w:t xml:space="preserve"> יהו"ה, וּסְלִיקַת כֹּלָּא</w:t>
      </w:r>
      <w:r w:rsidRPr="00007309">
        <w:rPr>
          <w:rFonts w:cs="Arial" w:hint="cs"/>
          <w:b/>
          <w:bCs/>
          <w:sz w:val="24"/>
          <w:szCs w:val="24"/>
          <w:rtl/>
        </w:rPr>
        <w:t>.</w:t>
      </w:r>
      <w:r w:rsidRPr="00007309">
        <w:rPr>
          <w:rFonts w:cs="Arial"/>
          <w:b/>
          <w:bCs/>
          <w:sz w:val="24"/>
          <w:szCs w:val="24"/>
          <w:rtl/>
        </w:rPr>
        <w:t xml:space="preserve"> דִּבְזִמְנָא דְּאִיהוּ הֲוָה מִתְכַּסְּיָא מִנֵּהּ בְּאִנּוּן קְלִפִּין, אִיהִי אִתְקְרִיאַת עֲנִיָּה יְבֵשָׁה, וְלֵית לָהּ אֶלָּא </w:t>
      </w:r>
      <w:r w:rsidRPr="00007309">
        <w:rPr>
          <w:rFonts w:cs="Arial"/>
          <w:b/>
          <w:bCs/>
          <w:sz w:val="36"/>
          <w:szCs w:val="28"/>
          <w:vertAlign w:val="superscript"/>
          <w:rtl/>
        </w:rPr>
        <w:footnoteReference w:id="7641"/>
      </w:r>
      <w:r w:rsidRPr="00007309">
        <w:rPr>
          <w:rFonts w:cs="Arial"/>
          <w:b/>
          <w:bCs/>
          <w:sz w:val="24"/>
          <w:szCs w:val="24"/>
          <w:rtl/>
        </w:rPr>
        <w:t xml:space="preserve">מַה דְּהֵבִיאוּ לָהּ עַבַדֵּיהָּ בַּחֲשַׁאי. וּבְהַהוּא זִמְנָא דְּאִתְפְּשַׁט קֻדְשָׁא בְּרִיךְ הוּא מֵאִלֵּין קְלִפִּין אִתְּמַר בֵּהּ (ישעיה ל) </w:t>
      </w:r>
      <w:r w:rsidRPr="00007309">
        <w:rPr>
          <w:rFonts w:cs="Arial"/>
          <w:b/>
          <w:bCs/>
          <w:sz w:val="36"/>
          <w:szCs w:val="28"/>
          <w:vertAlign w:val="superscript"/>
          <w:rtl/>
        </w:rPr>
        <w:footnoteReference w:id="7642"/>
      </w:r>
      <w:r w:rsidRPr="00007309">
        <w:rPr>
          <w:rFonts w:cs="Arial"/>
          <w:b/>
          <w:bCs/>
          <w:sz w:val="24"/>
          <w:szCs w:val="24"/>
          <w:rtl/>
        </w:rPr>
        <w:t xml:space="preserve">וְלֹא יִכָּנֵף עוֹד מוֹרֶיךָ וְהָיוּ עֵינֶיךָ </w:t>
      </w:r>
      <w:r w:rsidRPr="00007309">
        <w:rPr>
          <w:rFonts w:cs="Arial"/>
          <w:b/>
          <w:bCs/>
          <w:sz w:val="36"/>
          <w:szCs w:val="28"/>
          <w:vertAlign w:val="superscript"/>
          <w:rtl/>
        </w:rPr>
        <w:footnoteReference w:id="7643"/>
      </w:r>
      <w:r w:rsidRPr="00007309">
        <w:rPr>
          <w:rFonts w:cs="Arial"/>
          <w:b/>
          <w:bCs/>
          <w:sz w:val="24"/>
          <w:szCs w:val="24"/>
          <w:rtl/>
        </w:rPr>
        <w:t xml:space="preserve">רֹאוֹת אֶת מוֹרֶיךָ. וּמִיָּד </w:t>
      </w:r>
      <w:r w:rsidRPr="00007309">
        <w:rPr>
          <w:rFonts w:cs="Arial"/>
          <w:b/>
          <w:bCs/>
          <w:sz w:val="36"/>
          <w:szCs w:val="28"/>
          <w:vertAlign w:val="superscript"/>
          <w:rtl/>
        </w:rPr>
        <w:footnoteReference w:id="7644"/>
      </w:r>
      <w:r w:rsidRPr="00007309">
        <w:rPr>
          <w:rFonts w:cs="Arial"/>
          <w:b/>
          <w:bCs/>
          <w:sz w:val="24"/>
          <w:szCs w:val="24"/>
          <w:rtl/>
        </w:rPr>
        <w:t>דַּהֲוָא יַבָּשָׁה</w:t>
      </w:r>
      <w:r w:rsidRPr="00007309">
        <w:rPr>
          <w:rFonts w:cs="Arial" w:hint="cs"/>
          <w:b/>
          <w:bCs/>
          <w:sz w:val="24"/>
          <w:szCs w:val="24"/>
          <w:rtl/>
        </w:rPr>
        <w:t>,</w:t>
      </w:r>
      <w:r w:rsidRPr="00007309">
        <w:rPr>
          <w:rFonts w:cs="Arial"/>
          <w:b/>
          <w:bCs/>
          <w:sz w:val="24"/>
          <w:szCs w:val="24"/>
          <w:rtl/>
        </w:rPr>
        <w:t xml:space="preserve"> אִתְּמַר בֵּהּ </w:t>
      </w:r>
      <w:r w:rsidRPr="00007309">
        <w:rPr>
          <w:rFonts w:cs="Arial" w:hint="cs"/>
          <w:b/>
          <w:bCs/>
          <w:sz w:val="24"/>
          <w:szCs w:val="24"/>
          <w:rtl/>
        </w:rPr>
        <w:t xml:space="preserve">(ישעיה ו ג) </w:t>
      </w:r>
      <w:r w:rsidRPr="00007309">
        <w:rPr>
          <w:rFonts w:cs="Arial"/>
          <w:b/>
          <w:bCs/>
          <w:sz w:val="24"/>
          <w:szCs w:val="24"/>
          <w:rtl/>
        </w:rPr>
        <w:t>מְלֹא כָל הָאָרֶץ כְּבוֹדוֹ</w:t>
      </w:r>
      <w:r w:rsidRPr="00007309">
        <w:rPr>
          <w:rFonts w:cs="Arial" w:hint="cs"/>
          <w:b/>
          <w:bCs/>
          <w:sz w:val="24"/>
          <w:szCs w:val="24"/>
          <w:rtl/>
        </w:rPr>
        <w:t>,</w:t>
      </w:r>
      <w:r w:rsidRPr="00007309">
        <w:rPr>
          <w:rFonts w:cs="Arial"/>
          <w:b/>
          <w:bCs/>
          <w:sz w:val="24"/>
          <w:szCs w:val="24"/>
          <w:rtl/>
        </w:rPr>
        <w:t xml:space="preserve"> וְאִתְקְרִיאַת בְּרָכָה דִּילֵהּ, קְטֹרֶת דִּילֵהּ, קָרְבְּנָא דִּילֵהּ</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645"/>
      </w:r>
      <w:r w:rsidRPr="00007309">
        <w:rPr>
          <w:rFonts w:cs="Arial"/>
          <w:b/>
          <w:bCs/>
          <w:sz w:val="24"/>
          <w:szCs w:val="24"/>
          <w:rtl/>
        </w:rPr>
        <w:t xml:space="preserve">קִשּׁוּרָא דִּילֵהּ, </w:t>
      </w:r>
      <w:r w:rsidRPr="00007309">
        <w:rPr>
          <w:rFonts w:cs="Arial"/>
          <w:b/>
          <w:bCs/>
          <w:sz w:val="36"/>
          <w:szCs w:val="28"/>
          <w:vertAlign w:val="superscript"/>
          <w:rtl/>
        </w:rPr>
        <w:footnoteReference w:id="7646"/>
      </w:r>
      <w:r w:rsidRPr="00007309">
        <w:rPr>
          <w:rFonts w:cs="Arial"/>
          <w:b/>
          <w:bCs/>
          <w:sz w:val="24"/>
          <w:szCs w:val="24"/>
          <w:rtl/>
        </w:rPr>
        <w:t>עוֹלָה דִּילֵהּ</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647"/>
      </w:r>
      <w:r w:rsidRPr="00007309">
        <w:rPr>
          <w:rFonts w:cs="Arial"/>
          <w:b/>
          <w:bCs/>
          <w:sz w:val="24"/>
          <w:szCs w:val="24"/>
          <w:rtl/>
        </w:rPr>
        <w:t>וְאוֹקִי</w:t>
      </w:r>
      <w:r w:rsidRPr="00007309">
        <w:rPr>
          <w:rFonts w:cs="Arial" w:hint="cs"/>
          <w:b/>
          <w:bCs/>
          <w:sz w:val="24"/>
          <w:szCs w:val="24"/>
          <w:rtl/>
        </w:rPr>
        <w:t>ד</w:t>
      </w:r>
      <w:r w:rsidRPr="00007309">
        <w:rPr>
          <w:rFonts w:cs="Arial"/>
          <w:b/>
          <w:bCs/>
          <w:sz w:val="24"/>
          <w:szCs w:val="24"/>
          <w:rtl/>
        </w:rPr>
        <w:t>ַת כָּל אִנּוּן קְלִפִּין</w:t>
      </w:r>
      <w:r w:rsidRPr="00007309">
        <w:rPr>
          <w:rFonts w:cs="Arial" w:hint="cs"/>
          <w:b/>
          <w:bCs/>
          <w:sz w:val="24"/>
          <w:szCs w:val="24"/>
          <w:rtl/>
        </w:rPr>
        <w:t>,</w:t>
      </w:r>
      <w:r w:rsidRPr="00007309">
        <w:rPr>
          <w:rFonts w:cs="Arial"/>
          <w:b/>
          <w:bCs/>
          <w:sz w:val="24"/>
          <w:szCs w:val="24"/>
          <w:rtl/>
        </w:rPr>
        <w:t xml:space="preserve"> וּסְלִיקַת לְגַבֵּהּ</w:t>
      </w:r>
      <w:r w:rsidRPr="00007309">
        <w:rPr>
          <w:rFonts w:cs="Arial" w:hint="cs"/>
          <w:b/>
          <w:bCs/>
          <w:sz w:val="24"/>
          <w:szCs w:val="24"/>
          <w:rtl/>
        </w:rPr>
        <w:t xml:space="preserve">. </w:t>
      </w:r>
      <w:r w:rsidRPr="00007309">
        <w:rPr>
          <w:rFonts w:cs="Arial"/>
          <w:b/>
          <w:bCs/>
          <w:sz w:val="36"/>
          <w:szCs w:val="28"/>
          <w:vertAlign w:val="superscript"/>
          <w:rtl/>
        </w:rPr>
        <w:footnoteReference w:id="7648"/>
      </w:r>
      <w:r w:rsidRPr="00007309">
        <w:rPr>
          <w:rFonts w:cs="Arial"/>
          <w:b/>
          <w:bCs/>
          <w:sz w:val="24"/>
          <w:szCs w:val="24"/>
          <w:rtl/>
        </w:rPr>
        <w:t xml:space="preserve">הָדָא הוּא דִּכְתִיב (ויקרא ו) זֹאת תּוֹרַת הָעֹלָה, </w:t>
      </w:r>
      <w:r w:rsidRPr="00007309">
        <w:rPr>
          <w:rFonts w:cs="Arial"/>
          <w:b/>
          <w:bCs/>
          <w:sz w:val="36"/>
          <w:szCs w:val="28"/>
          <w:vertAlign w:val="superscript"/>
          <w:rtl/>
        </w:rPr>
        <w:footnoteReference w:id="7649"/>
      </w:r>
      <w:r w:rsidRPr="00007309">
        <w:rPr>
          <w:rFonts w:cs="Arial"/>
          <w:b/>
          <w:bCs/>
          <w:sz w:val="24"/>
          <w:szCs w:val="24"/>
          <w:rtl/>
        </w:rPr>
        <w:t>בִּצְלוֹתָא דְּשַׁחֲרִית. הִיא הָעֹלָה</w:t>
      </w:r>
      <w:r w:rsidRPr="00007309">
        <w:rPr>
          <w:rFonts w:cs="Arial" w:hint="cs"/>
          <w:b/>
          <w:bCs/>
          <w:sz w:val="24"/>
          <w:szCs w:val="24"/>
          <w:rtl/>
        </w:rPr>
        <w:t>,</w:t>
      </w:r>
      <w:r w:rsidRPr="00007309">
        <w:rPr>
          <w:rFonts w:cs="Arial"/>
          <w:b/>
          <w:bCs/>
          <w:sz w:val="24"/>
          <w:szCs w:val="24"/>
          <w:rtl/>
        </w:rPr>
        <w:t xml:space="preserve"> אִיהִי הָעוֹלָה לְגַבֵּהּ </w:t>
      </w:r>
      <w:r w:rsidRPr="00007309">
        <w:rPr>
          <w:rFonts w:cs="Arial"/>
          <w:b/>
          <w:bCs/>
          <w:sz w:val="36"/>
          <w:szCs w:val="28"/>
          <w:vertAlign w:val="superscript"/>
          <w:rtl/>
        </w:rPr>
        <w:footnoteReference w:id="7650"/>
      </w:r>
      <w:r w:rsidRPr="00007309">
        <w:rPr>
          <w:rFonts w:cs="Arial"/>
          <w:b/>
          <w:bCs/>
          <w:sz w:val="24"/>
          <w:szCs w:val="24"/>
          <w:rtl/>
        </w:rPr>
        <w:t>בִּצְלוֹתָא דְּמִנְחָה. עַל מוֹקְדָה עַל הַמִּזְבֵּחַ כָּל הַלַּיְלָה</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651"/>
      </w:r>
      <w:r w:rsidRPr="00007309">
        <w:rPr>
          <w:rFonts w:cs="Arial"/>
          <w:b/>
          <w:bCs/>
          <w:sz w:val="24"/>
          <w:szCs w:val="24"/>
          <w:rtl/>
        </w:rPr>
        <w:t xml:space="preserve">בִּצְלוֹתָא דְּעַרְבִית. דְּבֵהּ אִיהִי אוֹקִידַת כָּל אִלֵּין קְלִפִּין דְּשַׁלְטָאן בְּלֵילְיָא דְּאִיהִי גָּלוּתָא. </w:t>
      </w:r>
      <w:r w:rsidRPr="00007309">
        <w:rPr>
          <w:rFonts w:cs="Arial"/>
          <w:b/>
          <w:bCs/>
          <w:sz w:val="36"/>
          <w:szCs w:val="28"/>
          <w:vertAlign w:val="superscript"/>
          <w:rtl/>
        </w:rPr>
        <w:footnoteReference w:id="7652"/>
      </w:r>
      <w:r w:rsidRPr="00007309">
        <w:rPr>
          <w:rFonts w:cs="Arial"/>
          <w:b/>
          <w:bCs/>
          <w:sz w:val="24"/>
          <w:szCs w:val="24"/>
          <w:rtl/>
        </w:rPr>
        <w:t xml:space="preserve">וְכַד סְלִיקַת לְגַבֵּהּ, סְלִיקַת בְּכַמָּה רֵיחִין וּבָסְמִין דְּגִנְתָּא דְּעֵדֶן </w:t>
      </w:r>
      <w:r w:rsidRPr="00007309">
        <w:rPr>
          <w:rFonts w:cs="Arial"/>
          <w:b/>
          <w:bCs/>
          <w:sz w:val="36"/>
          <w:szCs w:val="28"/>
          <w:vertAlign w:val="superscript"/>
          <w:rtl/>
        </w:rPr>
        <w:footnoteReference w:id="7653"/>
      </w:r>
      <w:r w:rsidRPr="00007309">
        <w:rPr>
          <w:rFonts w:cs="Arial"/>
          <w:b/>
          <w:bCs/>
          <w:sz w:val="24"/>
          <w:szCs w:val="24"/>
          <w:rtl/>
        </w:rPr>
        <w:t>דְּאִיהִי גַּן דְּאוֹרַיְתָא. דְּעָלַהּ אִתְּמַר (שיר ד) גַּן נָעוּל אֲחֹתִי כַּלָּה</w:t>
      </w:r>
      <w:r w:rsidRPr="00007309">
        <w:rPr>
          <w:rFonts w:cs="Arial" w:hint="cs"/>
          <w:b/>
          <w:bCs/>
          <w:sz w:val="24"/>
          <w:szCs w:val="24"/>
          <w:rtl/>
        </w:rPr>
        <w:t>,</w:t>
      </w:r>
      <w:r w:rsidRPr="00007309">
        <w:rPr>
          <w:rFonts w:cs="Arial"/>
          <w:b/>
          <w:bCs/>
          <w:sz w:val="24"/>
          <w:szCs w:val="24"/>
          <w:rtl/>
        </w:rPr>
        <w:t xml:space="preserve"> סְתִימָא דְּלָא אִתְפַּתְּחַת אֶלָּא לְגַבֵּי בַּעְלָהּ</w:t>
      </w:r>
      <w:r w:rsidRPr="00007309">
        <w:rPr>
          <w:rFonts w:cs="Arial" w:hint="cs"/>
          <w:b/>
          <w:bCs/>
          <w:sz w:val="24"/>
          <w:szCs w:val="24"/>
          <w:rtl/>
        </w:rPr>
        <w:t>.</w:t>
      </w:r>
      <w:r w:rsidRPr="00007309">
        <w:rPr>
          <w:rFonts w:cs="Arial"/>
          <w:b/>
          <w:bCs/>
          <w:sz w:val="24"/>
          <w:szCs w:val="24"/>
          <w:rtl/>
        </w:rPr>
        <w:t xml:space="preserve"> וְכַד יֵיתֵי בַּעְלָהּ, אֲדֹנָי שְׂפָתַי תִּפְתָּח, </w:t>
      </w:r>
      <w:r w:rsidRPr="00007309">
        <w:rPr>
          <w:rFonts w:cs="Arial"/>
          <w:b/>
          <w:bCs/>
          <w:sz w:val="36"/>
          <w:szCs w:val="28"/>
          <w:vertAlign w:val="superscript"/>
          <w:rtl/>
        </w:rPr>
        <w:footnoteReference w:id="7654"/>
      </w:r>
      <w:r w:rsidRPr="00007309">
        <w:rPr>
          <w:rFonts w:cs="Arial"/>
          <w:b/>
          <w:bCs/>
          <w:sz w:val="24"/>
          <w:szCs w:val="24"/>
          <w:rtl/>
        </w:rPr>
        <w:t>אִתְפַּתְּחַת לְגַבֵּי תְּרֵין סַמְכֵי קְשׁוֹט</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655"/>
      </w:r>
      <w:r w:rsidRPr="00007309">
        <w:rPr>
          <w:rFonts w:cs="Arial"/>
          <w:b/>
          <w:bCs/>
          <w:sz w:val="24"/>
          <w:szCs w:val="24"/>
          <w:rtl/>
        </w:rPr>
        <w:t>וְקַבִּיל לָהּ בִּתְרֵין דְּרוֹעִין</w:t>
      </w:r>
      <w:r w:rsidRPr="00007309">
        <w:rPr>
          <w:rFonts w:cs="Arial" w:hint="cs"/>
          <w:b/>
          <w:bCs/>
          <w:sz w:val="24"/>
          <w:szCs w:val="24"/>
          <w:rtl/>
        </w:rPr>
        <w:t>,</w:t>
      </w:r>
      <w:r w:rsidRPr="00007309">
        <w:rPr>
          <w:rFonts w:cs="Arial"/>
          <w:b/>
          <w:bCs/>
          <w:sz w:val="24"/>
          <w:szCs w:val="24"/>
          <w:rtl/>
        </w:rPr>
        <w:t xml:space="preserve"> הָדָא הוּא דִּכְתִיב (שם) שְׂמֹאלוֹ תַּחַת לְרֹאשִׁי וִימִינוֹ תְחַבְּקֵנִי</w:t>
      </w:r>
      <w:r w:rsidRPr="00007309">
        <w:rPr>
          <w:rFonts w:cs="Arial" w:hint="cs"/>
          <w:b/>
          <w:bCs/>
          <w:sz w:val="24"/>
          <w:szCs w:val="24"/>
          <w:rtl/>
        </w:rPr>
        <w:t>.</w:t>
      </w:r>
    </w:p>
    <w:p w:rsidR="00007309" w:rsidRPr="00007309" w:rsidRDefault="00007309" w:rsidP="00007309">
      <w:pPr>
        <w:keepNext/>
        <w:spacing w:before="240" w:after="60"/>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[וילנא לב ע"א]</w:t>
      </w:r>
    </w:p>
    <w:p w:rsidR="00007309" w:rsidRPr="00007309" w:rsidRDefault="00007309" w:rsidP="00007309">
      <w:pPr>
        <w:jc w:val="both"/>
        <w:rPr>
          <w:rFonts w:cs="Arial"/>
          <w:b/>
          <w:bCs/>
          <w:sz w:val="24"/>
          <w:szCs w:val="24"/>
        </w:rPr>
      </w:pPr>
      <w:r w:rsidRPr="00007309">
        <w:rPr>
          <w:rFonts w:cs="Arial"/>
          <w:b/>
          <w:bCs/>
          <w:sz w:val="36"/>
          <w:szCs w:val="28"/>
          <w:vertAlign w:val="superscript"/>
          <w:rtl/>
        </w:rPr>
        <w:footnoteReference w:id="7656"/>
      </w:r>
      <w:r w:rsidRPr="00007309">
        <w:rPr>
          <w:rFonts w:cs="Arial"/>
          <w:b/>
          <w:bCs/>
          <w:sz w:val="24"/>
          <w:szCs w:val="24"/>
          <w:rtl/>
        </w:rPr>
        <w:t>יְהוָֹ'ה נָחִית לְגַבָּהּ</w:t>
      </w:r>
      <w:r w:rsidRPr="00007309">
        <w:rPr>
          <w:rFonts w:cs="Arial" w:hint="cs"/>
          <w:b/>
          <w:bCs/>
          <w:sz w:val="24"/>
          <w:szCs w:val="24"/>
          <w:rtl/>
        </w:rPr>
        <w:t>,</w:t>
      </w:r>
      <w:r w:rsidRPr="00007309">
        <w:rPr>
          <w:rFonts w:cs="Arial"/>
          <w:b/>
          <w:bCs/>
          <w:sz w:val="24"/>
          <w:szCs w:val="24"/>
          <w:rtl/>
        </w:rPr>
        <w:t xml:space="preserve"> וְדָא אִיהוּ רָזָא דְּאָמֵן</w:t>
      </w:r>
      <w:r w:rsidRPr="00007309">
        <w:rPr>
          <w:rFonts w:cs="Arial" w:hint="cs"/>
          <w:b/>
          <w:bCs/>
          <w:sz w:val="24"/>
          <w:szCs w:val="24"/>
          <w:rtl/>
        </w:rPr>
        <w:t>,</w:t>
      </w:r>
      <w:r w:rsidRPr="00007309">
        <w:rPr>
          <w:rFonts w:cs="Arial"/>
          <w:b/>
          <w:bCs/>
          <w:sz w:val="24"/>
          <w:szCs w:val="24"/>
          <w:rtl/>
        </w:rPr>
        <w:t xml:space="preserve"> יאהדונה'י, </w:t>
      </w:r>
      <w:r w:rsidRPr="00007309">
        <w:rPr>
          <w:rFonts w:cs="Arial"/>
          <w:b/>
          <w:bCs/>
          <w:sz w:val="36"/>
          <w:szCs w:val="28"/>
          <w:vertAlign w:val="superscript"/>
          <w:rtl/>
        </w:rPr>
        <w:footnoteReference w:id="7657"/>
      </w:r>
      <w:r w:rsidRPr="00007309">
        <w:rPr>
          <w:rFonts w:cs="Arial"/>
          <w:b/>
          <w:bCs/>
          <w:sz w:val="24"/>
          <w:szCs w:val="24"/>
          <w:rtl/>
        </w:rPr>
        <w:t xml:space="preserve">אִיהוּ חִבּוּרָא דִּתְרֵין שְׁמָהָן. </w:t>
      </w:r>
      <w:r w:rsidRPr="00007309">
        <w:rPr>
          <w:rFonts w:cs="Arial"/>
          <w:b/>
          <w:bCs/>
          <w:sz w:val="36"/>
          <w:szCs w:val="28"/>
          <w:vertAlign w:val="superscript"/>
          <w:rtl/>
        </w:rPr>
        <w:footnoteReference w:id="7658"/>
      </w:r>
      <w:r w:rsidRPr="00007309">
        <w:rPr>
          <w:rFonts w:cs="Arial"/>
          <w:b/>
          <w:bCs/>
          <w:sz w:val="24"/>
          <w:szCs w:val="24"/>
          <w:rtl/>
        </w:rPr>
        <w:t xml:space="preserve">וּבְגִין דָּא גָּדוֹל הָעוֹנֶה אָמֵן יוֹתֵר </w:t>
      </w:r>
      <w:r w:rsidRPr="00007309">
        <w:rPr>
          <w:rFonts w:ascii="Cambria" w:hAnsi="Cambria" w:cs="Times New Roman" w:hint="cs"/>
          <w:b/>
          <w:bCs/>
          <w:i/>
          <w:iCs/>
          <w:color w:val="4F81BD"/>
          <w:sz w:val="24"/>
          <w:szCs w:val="24"/>
          <w:rtl/>
        </w:rPr>
        <w:t>(וילנא לב ע"א)</w:t>
      </w:r>
      <w:r w:rsidRPr="00007309">
        <w:rPr>
          <w:rFonts w:cs="Arial" w:hint="cs"/>
          <w:b/>
          <w:bCs/>
          <w:sz w:val="24"/>
          <w:szCs w:val="24"/>
          <w:rtl/>
        </w:rPr>
        <w:t xml:space="preserve"> </w:t>
      </w:r>
      <w:r w:rsidRPr="00007309">
        <w:rPr>
          <w:rFonts w:cs="Arial"/>
          <w:b/>
          <w:bCs/>
          <w:sz w:val="24"/>
          <w:szCs w:val="24"/>
          <w:rtl/>
        </w:rPr>
        <w:t xml:space="preserve">מִן הַמְבָרֵךְ. </w:t>
      </w:r>
      <w:r w:rsidRPr="00007309">
        <w:rPr>
          <w:rFonts w:cs="Arial"/>
          <w:b/>
          <w:bCs/>
          <w:sz w:val="36"/>
          <w:szCs w:val="28"/>
          <w:vertAlign w:val="superscript"/>
          <w:rtl/>
        </w:rPr>
        <w:footnoteReference w:id="7659"/>
      </w:r>
      <w:r w:rsidRPr="00007309">
        <w:rPr>
          <w:rFonts w:cs="Arial"/>
          <w:b/>
          <w:bCs/>
          <w:sz w:val="24"/>
          <w:szCs w:val="24"/>
          <w:rtl/>
        </w:rPr>
        <w:t>בְּהַהוּא זִמְנָא דִּיהוֹן תְּרֵין שְׁמָהָן כַּחֲדָא</w:t>
      </w:r>
      <w:r w:rsidRPr="00007309">
        <w:rPr>
          <w:rFonts w:cs="Arial" w:hint="cs"/>
          <w:b/>
          <w:bCs/>
          <w:sz w:val="24"/>
          <w:szCs w:val="24"/>
          <w:rtl/>
        </w:rPr>
        <w:t>,</w:t>
      </w:r>
      <w:r w:rsidRPr="00007309">
        <w:rPr>
          <w:rFonts w:cs="Arial"/>
          <w:b/>
          <w:bCs/>
          <w:sz w:val="24"/>
          <w:szCs w:val="24"/>
          <w:rtl/>
        </w:rPr>
        <w:t xml:space="preserve"> יִתְּעַר בְּרַתָּא דְּמַלְכָּא </w:t>
      </w:r>
      <w:r w:rsidRPr="00007309">
        <w:rPr>
          <w:rFonts w:cs="Arial"/>
          <w:b/>
          <w:bCs/>
          <w:sz w:val="36"/>
          <w:szCs w:val="28"/>
          <w:vertAlign w:val="superscript"/>
          <w:rtl/>
        </w:rPr>
        <w:footnoteReference w:id="7660"/>
      </w:r>
      <w:r w:rsidRPr="00007309">
        <w:rPr>
          <w:rFonts w:cs="Arial"/>
          <w:b/>
          <w:bCs/>
          <w:sz w:val="24"/>
          <w:szCs w:val="24"/>
          <w:rtl/>
        </w:rPr>
        <w:t xml:space="preserve">בְּשִׁיר הַשִּׁירִים וּבְמִשְׁלֵי וּבְקֹהֶלֶת, </w:t>
      </w:r>
      <w:r w:rsidRPr="00007309">
        <w:rPr>
          <w:rFonts w:cs="Arial"/>
          <w:b/>
          <w:bCs/>
          <w:sz w:val="36"/>
          <w:szCs w:val="28"/>
          <w:vertAlign w:val="superscript"/>
          <w:rtl/>
        </w:rPr>
        <w:footnoteReference w:id="7661"/>
      </w:r>
      <w:r w:rsidRPr="00007309">
        <w:rPr>
          <w:rFonts w:cs="Arial"/>
          <w:b/>
          <w:bCs/>
          <w:sz w:val="24"/>
          <w:szCs w:val="24"/>
          <w:rtl/>
        </w:rPr>
        <w:t>דְּאִנּוּן תְּלָתָא שְׁמָהָן, שְׁלֹשֶׁת אֲלָפִים מָשָׁל, תְּלָת יוּדִין</w:t>
      </w:r>
      <w:r w:rsidRPr="00007309">
        <w:rPr>
          <w:rFonts w:cs="Arial" w:hint="cs"/>
          <w:b/>
          <w:bCs/>
          <w:sz w:val="24"/>
          <w:szCs w:val="24"/>
          <w:rtl/>
        </w:rPr>
        <w:t>,</w:t>
      </w:r>
      <w:r w:rsidRPr="00007309">
        <w:rPr>
          <w:rFonts w:cs="Arial"/>
          <w:b/>
          <w:bCs/>
          <w:sz w:val="24"/>
          <w:szCs w:val="24"/>
          <w:rtl/>
        </w:rPr>
        <w:t xml:space="preserve"> דְּאִנּוּן </w:t>
      </w:r>
      <w:r w:rsidRPr="00007309">
        <w:rPr>
          <w:rFonts w:cs="Arial"/>
          <w:b/>
          <w:bCs/>
          <w:sz w:val="36"/>
          <w:szCs w:val="28"/>
          <w:vertAlign w:val="superscript"/>
          <w:rtl/>
        </w:rPr>
        <w:footnoteReference w:id="7662"/>
      </w:r>
      <w:r w:rsidRPr="00007309">
        <w:rPr>
          <w:rFonts w:cs="Arial"/>
          <w:b/>
          <w:bCs/>
          <w:sz w:val="24"/>
          <w:szCs w:val="24"/>
          <w:rtl/>
        </w:rPr>
        <w:t>תְּלָת טִפִּין דְּמֹחָא דְּנָחְתִין מִן י'</w:t>
      </w:r>
      <w:r w:rsidRPr="00007309">
        <w:rPr>
          <w:rFonts w:cs="Arial" w:hint="cs"/>
          <w:b/>
          <w:bCs/>
          <w:sz w:val="24"/>
          <w:szCs w:val="24"/>
          <w:rtl/>
        </w:rPr>
        <w:t>.</w:t>
      </w:r>
      <w:r w:rsidRPr="00007309">
        <w:rPr>
          <w:rFonts w:cs="Arial"/>
          <w:b/>
          <w:bCs/>
          <w:sz w:val="24"/>
          <w:szCs w:val="24"/>
          <w:rtl/>
        </w:rPr>
        <w:t xml:space="preserve"> וּלְאָן אִתְמְשָׁכוּ</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663"/>
      </w:r>
      <w:r w:rsidRPr="00007309">
        <w:rPr>
          <w:rFonts w:cs="Arial"/>
          <w:b/>
          <w:bCs/>
          <w:sz w:val="24"/>
          <w:szCs w:val="24"/>
          <w:rtl/>
        </w:rPr>
        <w:t xml:space="preserve">לְגַבֵּי צַדִּיק </w:t>
      </w:r>
      <w:r w:rsidRPr="00007309">
        <w:rPr>
          <w:rFonts w:cs="Arial"/>
          <w:b/>
          <w:bCs/>
          <w:sz w:val="36"/>
          <w:szCs w:val="28"/>
          <w:vertAlign w:val="superscript"/>
          <w:rtl/>
        </w:rPr>
        <w:footnoteReference w:id="7664"/>
      </w:r>
      <w:r w:rsidRPr="00007309">
        <w:rPr>
          <w:rFonts w:cs="Arial"/>
          <w:b/>
          <w:bCs/>
          <w:sz w:val="24"/>
          <w:szCs w:val="24"/>
          <w:rtl/>
        </w:rPr>
        <w:t xml:space="preserve">דְּאִיהוּ קֶשֶׁת, </w:t>
      </w:r>
      <w:r w:rsidRPr="00007309">
        <w:rPr>
          <w:rFonts w:cs="Arial"/>
          <w:b/>
          <w:bCs/>
          <w:sz w:val="36"/>
          <w:szCs w:val="28"/>
          <w:vertAlign w:val="superscript"/>
          <w:rtl/>
        </w:rPr>
        <w:footnoteReference w:id="7665"/>
      </w:r>
      <w:r w:rsidRPr="00007309">
        <w:rPr>
          <w:rFonts w:cs="Arial"/>
          <w:b/>
          <w:bCs/>
          <w:sz w:val="24"/>
          <w:szCs w:val="24"/>
          <w:rtl/>
        </w:rPr>
        <w:t xml:space="preserve">וּמַה דַּהֲוָה קָטֹן אִתְעֲבִיד גָּדוֹל. וְרָזָא דְּמִלָּה שׁוֹפָר הוֹלֵךְ </w:t>
      </w:r>
      <w:r w:rsidRPr="00007309">
        <w:rPr>
          <w:rFonts w:cs="Arial"/>
          <w:b/>
          <w:bCs/>
          <w:sz w:val="36"/>
          <w:szCs w:val="28"/>
          <w:vertAlign w:val="superscript"/>
          <w:rtl/>
        </w:rPr>
        <w:footnoteReference w:id="7666"/>
      </w:r>
      <w:r w:rsidRPr="00007309">
        <w:rPr>
          <w:rFonts w:cs="Arial"/>
          <w:b/>
          <w:bCs/>
          <w:sz w:val="24"/>
          <w:szCs w:val="24"/>
          <w:rtl/>
        </w:rPr>
        <w:t xml:space="preserve">פָּזֵר גָּדוֹל </w:t>
      </w:r>
      <w:r w:rsidRPr="00007309">
        <w:rPr>
          <w:rFonts w:cs="Arial"/>
          <w:b/>
          <w:bCs/>
          <w:sz w:val="36"/>
          <w:szCs w:val="28"/>
          <w:vertAlign w:val="superscript"/>
          <w:rtl/>
        </w:rPr>
        <w:footnoteReference w:id="7667"/>
      </w:r>
      <w:r w:rsidRPr="00007309">
        <w:rPr>
          <w:rFonts w:cs="Arial"/>
          <w:b/>
          <w:bCs/>
          <w:sz w:val="24"/>
          <w:szCs w:val="24"/>
          <w:rtl/>
        </w:rPr>
        <w:t>מָתַי יִהְיֶה זָרִיק חֵץ בְּדִיּוֹקְנָא דָּא</w:t>
      </w:r>
      <w:r w:rsidRPr="00007309">
        <w:rPr>
          <w:rFonts w:cs="Arial"/>
          <w:b/>
          <w:bCs/>
          <w:sz w:val="24"/>
          <w:szCs w:val="24"/>
        </w:rPr>
        <w:t>:</w:t>
      </w:r>
    </w:p>
    <w:p w:rsidR="00007309" w:rsidRPr="00007309" w:rsidRDefault="00007309" w:rsidP="00007309">
      <w:pPr>
        <w:jc w:val="both"/>
        <w:rPr>
          <w:rFonts w:cs="Arial"/>
          <w:b/>
          <w:bCs/>
          <w:sz w:val="24"/>
          <w:szCs w:val="24"/>
          <w:rtl/>
        </w:rPr>
      </w:pPr>
      <w:r w:rsidRPr="00007309">
        <w:rPr>
          <w:rFonts w:cs="Arial"/>
          <w:b/>
          <w:bCs/>
          <w:sz w:val="24"/>
          <w:szCs w:val="24"/>
          <w:rtl/>
        </w:rPr>
        <w:t xml:space="preserve">פתח רבי שמעון ואמר עלאין אתתקנו ואזדרזו, </w:t>
      </w:r>
      <w:r w:rsidRPr="00007309">
        <w:rPr>
          <w:rFonts w:cs="Arial"/>
          <w:sz w:val="36"/>
          <w:szCs w:val="24"/>
          <w:rtl/>
        </w:rPr>
        <w:t>(זה תמצא בתקונים בדף כ"ה ע"ב ונמשך כסדר עד תשלום התקון בדף כ"ו ויש מקצת ספרים כתוב כאן ענין זה, והוא נאות לעיל ואינו מן הענין)</w:t>
      </w:r>
      <w:r w:rsidRPr="00007309">
        <w:rPr>
          <w:rFonts w:cs="Arial" w:hint="cs"/>
          <w:b/>
          <w:bCs/>
          <w:sz w:val="24"/>
          <w:szCs w:val="24"/>
          <w:rtl/>
        </w:rPr>
        <w:t>:</w:t>
      </w:r>
    </w:p>
    <w:p w:rsidR="00007309" w:rsidRPr="00007309" w:rsidRDefault="00007309" w:rsidP="00007309">
      <w:pPr>
        <w:jc w:val="both"/>
        <w:rPr>
          <w:rFonts w:cs="Arial"/>
          <w:b/>
          <w:bCs/>
          <w:sz w:val="24"/>
          <w:szCs w:val="24"/>
          <w:rtl/>
        </w:rPr>
      </w:pPr>
      <w:r w:rsidRPr="00007309">
        <w:rPr>
          <w:rFonts w:cs="Arial"/>
          <w:b/>
          <w:bCs/>
          <w:sz w:val="36"/>
          <w:szCs w:val="28"/>
          <w:vertAlign w:val="superscript"/>
          <w:rtl/>
        </w:rPr>
        <w:footnoteReference w:id="7668"/>
      </w:r>
      <w:r w:rsidRPr="00007309">
        <w:rPr>
          <w:rFonts w:cs="Arial"/>
          <w:b/>
          <w:bCs/>
          <w:sz w:val="24"/>
          <w:szCs w:val="24"/>
          <w:rtl/>
        </w:rPr>
        <w:t>עוֹד</w:t>
      </w:r>
      <w:r w:rsidRPr="00007309">
        <w:rPr>
          <w:rFonts w:cs="Arial" w:hint="cs"/>
          <w:b/>
          <w:bCs/>
          <w:sz w:val="24"/>
          <w:szCs w:val="24"/>
          <w:rtl/>
        </w:rPr>
        <w:t>,</w:t>
      </w:r>
      <w:r w:rsidRPr="00007309">
        <w:rPr>
          <w:rFonts w:cs="Arial"/>
          <w:b/>
          <w:bCs/>
          <w:sz w:val="24"/>
          <w:szCs w:val="24"/>
          <w:rtl/>
        </w:rPr>
        <w:t xml:space="preserve"> כָּתְנוֹת עוֹר</w:t>
      </w:r>
      <w:r w:rsidRPr="00007309">
        <w:rPr>
          <w:rFonts w:cs="Arial" w:hint="cs"/>
          <w:b/>
          <w:bCs/>
          <w:sz w:val="24"/>
          <w:szCs w:val="24"/>
          <w:rtl/>
        </w:rPr>
        <w:t>,</w:t>
      </w:r>
      <w:r w:rsidRPr="00007309">
        <w:rPr>
          <w:rFonts w:cs="Arial"/>
          <w:b/>
          <w:bCs/>
          <w:sz w:val="24"/>
          <w:szCs w:val="24"/>
          <w:rtl/>
        </w:rPr>
        <w:t xml:space="preserve"> חֲשִׁי</w:t>
      </w:r>
      <w:r w:rsidRPr="00007309">
        <w:rPr>
          <w:rFonts w:cs="Arial" w:hint="cs"/>
          <w:b/>
          <w:bCs/>
          <w:sz w:val="24"/>
          <w:szCs w:val="24"/>
          <w:rtl/>
        </w:rPr>
        <w:t>כ</w:t>
      </w:r>
      <w:r w:rsidRPr="00007309">
        <w:rPr>
          <w:rFonts w:cs="Arial"/>
          <w:b/>
          <w:bCs/>
          <w:sz w:val="24"/>
          <w:szCs w:val="24"/>
          <w:rtl/>
        </w:rPr>
        <w:t>ִין דְּעַיְנִין</w:t>
      </w:r>
      <w:r w:rsidRPr="00007309">
        <w:rPr>
          <w:rFonts w:cs="Arial" w:hint="cs"/>
          <w:b/>
          <w:bCs/>
          <w:sz w:val="24"/>
          <w:szCs w:val="24"/>
          <w:rtl/>
        </w:rPr>
        <w:t>,</w:t>
      </w:r>
      <w:r w:rsidRPr="00007309">
        <w:rPr>
          <w:rFonts w:cs="Arial"/>
          <w:b/>
          <w:bCs/>
          <w:sz w:val="24"/>
          <w:szCs w:val="24"/>
          <w:rtl/>
        </w:rPr>
        <w:t xml:space="preserve"> דְּאִתְּמַר בְּהוֹן </w:t>
      </w:r>
      <w:r w:rsidRPr="00007309">
        <w:rPr>
          <w:rFonts w:cs="Arial" w:hint="cs"/>
          <w:b/>
          <w:bCs/>
          <w:sz w:val="24"/>
          <w:szCs w:val="24"/>
          <w:rtl/>
        </w:rPr>
        <w:t xml:space="preserve">(בראשית כז א) </w:t>
      </w:r>
      <w:r w:rsidRPr="00007309">
        <w:rPr>
          <w:rFonts w:cs="Arial"/>
          <w:b/>
          <w:bCs/>
          <w:sz w:val="24"/>
          <w:szCs w:val="24"/>
          <w:rtl/>
        </w:rPr>
        <w:t xml:space="preserve">וַתִּכְהֶןָ עֵינָיו מִרְאוֹת, לְאִסְתַּכְּלָא בְּאִלֵּין דְּאִתְּמַר בְּהוֹן </w:t>
      </w:r>
      <w:r w:rsidRPr="00007309">
        <w:rPr>
          <w:rFonts w:cs="Arial" w:hint="cs"/>
          <w:b/>
          <w:bCs/>
          <w:sz w:val="24"/>
          <w:szCs w:val="24"/>
          <w:rtl/>
        </w:rPr>
        <w:t xml:space="preserve">(יחזקאל א א) </w:t>
      </w:r>
      <w:r w:rsidRPr="00007309">
        <w:rPr>
          <w:rFonts w:cs="Arial"/>
          <w:b/>
          <w:bCs/>
          <w:sz w:val="24"/>
          <w:szCs w:val="24"/>
          <w:rtl/>
        </w:rPr>
        <w:t>נִפְתְּחוּ הַשָּׁמַיִם וָאֶרְאֶה מַרְאוֹת אֱלֹהִים</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669"/>
      </w:r>
      <w:r w:rsidRPr="00007309">
        <w:rPr>
          <w:rFonts w:cs="Arial"/>
          <w:b/>
          <w:bCs/>
          <w:sz w:val="24"/>
          <w:szCs w:val="24"/>
          <w:rtl/>
        </w:rPr>
        <w:t>דְּאִנּוּן חָמֵשׁ אוֹר דְּמַעֲשֵׂה בְּרֵאשִׁית</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670"/>
      </w:r>
      <w:r w:rsidRPr="00007309">
        <w:rPr>
          <w:rFonts w:cs="Arial"/>
          <w:b/>
          <w:bCs/>
          <w:sz w:val="24"/>
          <w:szCs w:val="24"/>
          <w:rtl/>
        </w:rPr>
        <w:t>כָּתְנוֹת עוֹר אִנּוּן וְהָאָרֶץ הָיְתָה תֹהוּ וָבֹהוּ</w:t>
      </w:r>
      <w:r w:rsidRPr="00007309">
        <w:rPr>
          <w:rFonts w:cs="Arial" w:hint="cs"/>
          <w:b/>
          <w:bCs/>
          <w:sz w:val="24"/>
          <w:szCs w:val="24"/>
          <w:rtl/>
        </w:rPr>
        <w:t>.</w:t>
      </w:r>
      <w:r w:rsidRPr="00007309">
        <w:rPr>
          <w:rFonts w:cs="Arial"/>
          <w:b/>
          <w:bCs/>
          <w:sz w:val="24"/>
          <w:szCs w:val="24"/>
          <w:rtl/>
        </w:rPr>
        <w:t xml:space="preserve"> וְהָאָרֶץ חַד. תֹּהוּ תְּרֵין. בֹּהוּ תְּלָתָא. וְחֹשֶׁךְ ד'. תְּהוֹם ה'. </w:t>
      </w:r>
      <w:r w:rsidRPr="00007309">
        <w:rPr>
          <w:rFonts w:cs="Arial"/>
          <w:b/>
          <w:bCs/>
          <w:sz w:val="36"/>
          <w:szCs w:val="28"/>
          <w:vertAlign w:val="superscript"/>
          <w:rtl/>
        </w:rPr>
        <w:footnoteReference w:id="7671"/>
      </w:r>
      <w:r w:rsidRPr="00007309">
        <w:rPr>
          <w:rFonts w:cs="Arial"/>
          <w:b/>
          <w:bCs/>
          <w:sz w:val="24"/>
          <w:szCs w:val="24"/>
          <w:rtl/>
        </w:rPr>
        <w:t>וְאַרְבַּע אַתְוָן דִּכְלִילָן בְּגוּפָא, וְאִנּוּן ד' יְסוֹדִין</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672"/>
      </w:r>
      <w:r w:rsidRPr="00007309">
        <w:rPr>
          <w:rFonts w:cs="Arial"/>
          <w:b/>
          <w:bCs/>
          <w:sz w:val="24"/>
          <w:szCs w:val="24"/>
          <w:rtl/>
        </w:rPr>
        <w:t xml:space="preserve">וְאִנּוּן קְלִפִּין דֶּאֱגוֹזָא. וּבְגִין דָּא וְהָאָרֶץ הָיְתָה תֹהוּ, וְאוֹקְמוּהּ תֹּהוּ הָיְתָה </w:t>
      </w:r>
      <w:r w:rsidRPr="00007309">
        <w:rPr>
          <w:rFonts w:cs="Arial"/>
          <w:b/>
          <w:bCs/>
          <w:sz w:val="36"/>
          <w:szCs w:val="28"/>
          <w:vertAlign w:val="superscript"/>
          <w:rtl/>
        </w:rPr>
        <w:footnoteReference w:id="7673"/>
      </w:r>
      <w:r w:rsidRPr="00007309">
        <w:rPr>
          <w:rFonts w:cs="Arial"/>
          <w:b/>
          <w:bCs/>
          <w:sz w:val="24"/>
          <w:szCs w:val="24"/>
          <w:rtl/>
        </w:rPr>
        <w:t xml:space="preserve">מִקַּדְמַת דְּנָא, דְּהָכֵי אוֹרְחָא דִּקְלִפִּין דִּמְקַדְּמִין לְמֹחָא. וְרוּחַ אֱלֹהִים מְרַחֶפֶת, </w:t>
      </w:r>
      <w:r w:rsidRPr="00007309">
        <w:rPr>
          <w:rFonts w:cs="Arial"/>
          <w:b/>
          <w:bCs/>
          <w:sz w:val="36"/>
          <w:szCs w:val="28"/>
          <w:vertAlign w:val="superscript"/>
          <w:rtl/>
        </w:rPr>
        <w:footnoteReference w:id="7674"/>
      </w:r>
      <w:r w:rsidRPr="00007309">
        <w:rPr>
          <w:rFonts w:cs="Arial"/>
          <w:b/>
          <w:bCs/>
          <w:sz w:val="24"/>
          <w:szCs w:val="24"/>
          <w:rtl/>
        </w:rPr>
        <w:t xml:space="preserve">דָּא רוּחָא דִּמְשִׁיחָא. מְרַחֶפֶת עַל אַפֵּי מַיָּא דְּאוֹרַיְתָא, </w:t>
      </w:r>
      <w:r w:rsidRPr="00007309">
        <w:rPr>
          <w:rFonts w:cs="Arial"/>
          <w:b/>
          <w:bCs/>
          <w:sz w:val="36"/>
          <w:szCs w:val="28"/>
          <w:vertAlign w:val="superscript"/>
          <w:rtl/>
        </w:rPr>
        <w:footnoteReference w:id="7675"/>
      </w:r>
      <w:r w:rsidRPr="00007309">
        <w:rPr>
          <w:rFonts w:cs="Arial"/>
          <w:b/>
          <w:bCs/>
          <w:sz w:val="24"/>
          <w:szCs w:val="24"/>
          <w:rtl/>
        </w:rPr>
        <w:t>מִיָּד יְהֵא פֻּרְקָנָא</w:t>
      </w:r>
      <w:r w:rsidRPr="00007309">
        <w:rPr>
          <w:rFonts w:cs="Arial" w:hint="cs"/>
          <w:b/>
          <w:bCs/>
          <w:sz w:val="24"/>
          <w:szCs w:val="24"/>
          <w:rtl/>
        </w:rPr>
        <w:t>,</w:t>
      </w:r>
      <w:r w:rsidRPr="00007309">
        <w:rPr>
          <w:rFonts w:cs="Arial"/>
          <w:b/>
          <w:bCs/>
          <w:sz w:val="24"/>
          <w:szCs w:val="24"/>
          <w:rtl/>
        </w:rPr>
        <w:t xml:space="preserve"> הָדָא הוּא דִּכְתִיב וַיֹּאמֶר אֱלֹהִים יְהִי אוֹר</w:t>
      </w:r>
      <w:r w:rsidRPr="00007309">
        <w:rPr>
          <w:rFonts w:cs="Arial" w:hint="cs"/>
          <w:b/>
          <w:bCs/>
          <w:sz w:val="24"/>
          <w:szCs w:val="24"/>
          <w:rtl/>
        </w:rPr>
        <w:t>:</w:t>
      </w:r>
    </w:p>
    <w:p w:rsidR="00007309" w:rsidRPr="00007309" w:rsidRDefault="00007309" w:rsidP="00007309">
      <w:pPr>
        <w:jc w:val="both"/>
        <w:rPr>
          <w:rFonts w:cs="Arial"/>
          <w:b/>
          <w:bCs/>
          <w:sz w:val="24"/>
          <w:szCs w:val="24"/>
          <w:rtl/>
        </w:rPr>
      </w:pPr>
      <w:r w:rsidRPr="00007309">
        <w:rPr>
          <w:rFonts w:cs="Arial"/>
          <w:b/>
          <w:bCs/>
          <w:sz w:val="24"/>
          <w:szCs w:val="24"/>
          <w:rtl/>
        </w:rPr>
        <w:t>וַיְשַׁלְּחֵהוּ ה' אֱלֹהִים, מִיַּד מְשִׁיחָא דְּאִיהוּ בְּגִנְתָּא דְּעֵדֶן אִתְּמַר בֵּהּ וַיְשַׁלְּחֵהוּ ה' אֱלֹהִים מִגַּן עֵדֶן</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676"/>
      </w:r>
      <w:r w:rsidRPr="00007309">
        <w:rPr>
          <w:rFonts w:cs="Arial"/>
          <w:b/>
          <w:bCs/>
          <w:sz w:val="24"/>
          <w:szCs w:val="24"/>
          <w:rtl/>
        </w:rPr>
        <w:t>מֵעדן דִּילֵהּ. וְאַמַּאי</w:t>
      </w:r>
      <w:r w:rsidRPr="00007309">
        <w:rPr>
          <w:rFonts w:cs="Arial" w:hint="cs"/>
          <w:b/>
          <w:bCs/>
          <w:sz w:val="24"/>
          <w:szCs w:val="24"/>
          <w:rtl/>
        </w:rPr>
        <w:t>,</w:t>
      </w:r>
      <w:r w:rsidRPr="00007309">
        <w:rPr>
          <w:rFonts w:cs="Arial"/>
          <w:b/>
          <w:bCs/>
          <w:sz w:val="24"/>
          <w:szCs w:val="24"/>
          <w:rtl/>
        </w:rPr>
        <w:t xml:space="preserve"> לַעֲבֹד אֶת הָאֲדָמָה, דְּאִיהִי שְׁכִינְתָּא, בְּגִין דָּא וַיְשַׁלְּחֵהוּ. מִיָּד דְּיִפּוֹק מִתַּמָּן</w:t>
      </w:r>
      <w:r w:rsidRPr="00007309">
        <w:rPr>
          <w:rFonts w:cs="Arial" w:hint="cs"/>
          <w:b/>
          <w:bCs/>
          <w:sz w:val="24"/>
          <w:szCs w:val="24"/>
          <w:rtl/>
        </w:rPr>
        <w:t>,</w:t>
      </w:r>
      <w:r w:rsidRPr="00007309">
        <w:rPr>
          <w:rFonts w:cs="Arial"/>
          <w:b/>
          <w:bCs/>
          <w:sz w:val="24"/>
          <w:szCs w:val="24"/>
          <w:rtl/>
        </w:rPr>
        <w:t xml:space="preserve"> </w:t>
      </w:r>
      <w:r w:rsidRPr="00007309">
        <w:rPr>
          <w:rFonts w:cs="Arial" w:hint="cs"/>
          <w:b/>
          <w:bCs/>
          <w:sz w:val="24"/>
          <w:szCs w:val="24"/>
          <w:rtl/>
        </w:rPr>
        <w:t xml:space="preserve">(בראשית ג כד) </w:t>
      </w:r>
      <w:r w:rsidRPr="00007309">
        <w:rPr>
          <w:rFonts w:cs="Arial"/>
          <w:b/>
          <w:bCs/>
          <w:sz w:val="24"/>
          <w:szCs w:val="24"/>
          <w:rtl/>
        </w:rPr>
        <w:t xml:space="preserve">וַיַּשְׁכֵּן מִקֶּדֶם לְגַן עֵדֶן אֶת הַכְּרוּבִים, </w:t>
      </w:r>
      <w:r w:rsidRPr="00007309">
        <w:rPr>
          <w:rFonts w:cs="Arial"/>
          <w:b/>
          <w:bCs/>
          <w:sz w:val="36"/>
          <w:szCs w:val="28"/>
          <w:vertAlign w:val="superscript"/>
          <w:rtl/>
        </w:rPr>
        <w:footnoteReference w:id="7677"/>
      </w:r>
      <w:r w:rsidRPr="00007309">
        <w:rPr>
          <w:rFonts w:cs="Arial"/>
          <w:b/>
          <w:bCs/>
          <w:sz w:val="24"/>
          <w:szCs w:val="24"/>
          <w:rtl/>
        </w:rPr>
        <w:t>דְּאִנּוּן מָשִׁיחַ בֶּן דָּוִד וּמָשִׁיחַ בֶּן אֶפְרַיִם</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678"/>
      </w:r>
      <w:r w:rsidRPr="00007309">
        <w:rPr>
          <w:rFonts w:cs="Arial"/>
          <w:b/>
          <w:bCs/>
          <w:sz w:val="24"/>
          <w:szCs w:val="24"/>
          <w:rtl/>
        </w:rPr>
        <w:t>וַיַּשְׁכֵּן</w:t>
      </w:r>
      <w:r w:rsidRPr="00007309">
        <w:rPr>
          <w:rFonts w:cs="Arial" w:hint="cs"/>
          <w:b/>
          <w:bCs/>
          <w:sz w:val="24"/>
          <w:szCs w:val="24"/>
          <w:rtl/>
        </w:rPr>
        <w:t>,</w:t>
      </w:r>
      <w:r w:rsidRPr="00007309">
        <w:rPr>
          <w:rFonts w:cs="Arial"/>
          <w:b/>
          <w:bCs/>
          <w:sz w:val="24"/>
          <w:szCs w:val="24"/>
          <w:rtl/>
        </w:rPr>
        <w:t xml:space="preserve"> רוּחָא דִּמְשִׁיחָא, דְּאִתְּמַר בֵּהּ וְרוּחַ אֱלֹהִים</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679"/>
      </w:r>
      <w:r w:rsidRPr="00007309">
        <w:rPr>
          <w:rFonts w:cs="Arial"/>
          <w:b/>
          <w:bCs/>
          <w:sz w:val="24"/>
          <w:szCs w:val="24"/>
          <w:rtl/>
        </w:rPr>
        <w:t xml:space="preserve">דָּא שִׁילֹ'ה, </w:t>
      </w:r>
      <w:r w:rsidRPr="00007309">
        <w:rPr>
          <w:rFonts w:cs="Arial"/>
          <w:b/>
          <w:bCs/>
          <w:sz w:val="36"/>
          <w:szCs w:val="28"/>
          <w:vertAlign w:val="superscript"/>
          <w:rtl/>
        </w:rPr>
        <w:footnoteReference w:id="7680"/>
      </w:r>
      <w:r w:rsidRPr="00007309">
        <w:rPr>
          <w:rFonts w:cs="Arial"/>
          <w:b/>
          <w:bCs/>
          <w:sz w:val="24"/>
          <w:szCs w:val="24"/>
          <w:rtl/>
        </w:rPr>
        <w:t xml:space="preserve">הַהוּא דְּאִתְּמַר בֵּהּ </w:t>
      </w:r>
      <w:r w:rsidRPr="00007309">
        <w:rPr>
          <w:rFonts w:cs="Arial" w:hint="cs"/>
          <w:b/>
          <w:bCs/>
          <w:sz w:val="24"/>
          <w:szCs w:val="24"/>
          <w:rtl/>
        </w:rPr>
        <w:t xml:space="preserve">(במדבר יא יז) </w:t>
      </w:r>
      <w:r w:rsidRPr="00007309">
        <w:rPr>
          <w:rFonts w:cs="Arial"/>
          <w:b/>
          <w:bCs/>
          <w:sz w:val="24"/>
          <w:szCs w:val="24"/>
          <w:rtl/>
        </w:rPr>
        <w:t>וְאָצַלְתִּי מִן הָרוּחַ אֲשֶׁר עָלֶיךָ. דְּהָכֵי סָלִיק מֹשֶׁה שִׁילֹ'ה בְּחֻשְׁבָּן. וַיַּשְׁכֵּן מִקֶּדֶם</w:t>
      </w:r>
      <w:r w:rsidRPr="00007309">
        <w:rPr>
          <w:rFonts w:cs="Arial" w:hint="cs"/>
          <w:b/>
          <w:bCs/>
          <w:sz w:val="24"/>
          <w:szCs w:val="24"/>
          <w:rtl/>
        </w:rPr>
        <w:t>,</w:t>
      </w:r>
      <w:r w:rsidRPr="00007309">
        <w:rPr>
          <w:rFonts w:cs="Arial"/>
          <w:b/>
          <w:bCs/>
          <w:sz w:val="24"/>
          <w:szCs w:val="24"/>
          <w:rtl/>
        </w:rPr>
        <w:t xml:space="preserve"> דְּאַקְדִּים שִׁילֹה לְתַרְוַיְהוּ, </w:t>
      </w:r>
      <w:r w:rsidRPr="00007309">
        <w:rPr>
          <w:rFonts w:cs="Arial"/>
          <w:b/>
          <w:bCs/>
          <w:sz w:val="36"/>
          <w:szCs w:val="28"/>
          <w:vertAlign w:val="superscript"/>
          <w:rtl/>
        </w:rPr>
        <w:footnoteReference w:id="7681"/>
      </w:r>
      <w:r w:rsidRPr="00007309">
        <w:rPr>
          <w:rFonts w:cs="Arial"/>
          <w:b/>
          <w:bCs/>
          <w:sz w:val="24"/>
          <w:szCs w:val="24"/>
          <w:rtl/>
        </w:rPr>
        <w:t>בְּגִין דִּיהֵא מְרַחֶפֶת עַל אַנְפֵּי מַיָּא דְּאוֹרַיְתָא, וּפֻרְקָנָא בֵּהּ תַּלְיָא, וְהָא אוֹקְמוּהּ</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682"/>
      </w:r>
      <w:r w:rsidRPr="00007309">
        <w:rPr>
          <w:rFonts w:cs="Arial"/>
          <w:b/>
          <w:bCs/>
          <w:sz w:val="24"/>
          <w:szCs w:val="24"/>
          <w:rtl/>
        </w:rPr>
        <w:t xml:space="preserve">וְאֶת לַהַט הַחֶרֶב הַמִּתְהַפֶּכֶת, מִיָּד </w:t>
      </w:r>
      <w:r w:rsidRPr="00007309">
        <w:rPr>
          <w:rFonts w:cs="Arial"/>
          <w:b/>
          <w:bCs/>
          <w:sz w:val="36"/>
          <w:szCs w:val="28"/>
          <w:vertAlign w:val="superscript"/>
          <w:rtl/>
        </w:rPr>
        <w:footnoteReference w:id="7683"/>
      </w:r>
      <w:r w:rsidRPr="00007309">
        <w:rPr>
          <w:rFonts w:cs="Arial"/>
          <w:b/>
          <w:bCs/>
          <w:sz w:val="24"/>
          <w:szCs w:val="24"/>
          <w:rtl/>
        </w:rPr>
        <w:t>יְהֵא בִּידֵהּ</w:t>
      </w:r>
      <w:r w:rsidRPr="00007309">
        <w:rPr>
          <w:rFonts w:cs="Arial" w:hint="cs"/>
          <w:b/>
          <w:bCs/>
          <w:sz w:val="24"/>
          <w:szCs w:val="24"/>
          <w:rtl/>
        </w:rPr>
        <w:t>,</w:t>
      </w:r>
      <w:r w:rsidRPr="00007309">
        <w:rPr>
          <w:rFonts w:cs="Arial"/>
          <w:b/>
          <w:bCs/>
          <w:sz w:val="24"/>
          <w:szCs w:val="24"/>
          <w:rtl/>
        </w:rPr>
        <w:t xml:space="preserve"> וּמַאי נִיהוּ מְטַטְרוֹן, דְּאִתְהַפַּךְ מִמַּטֶה לְנָחָש וּמִנָּחָשׁ לְמַטֶה. </w:t>
      </w:r>
    </w:p>
    <w:p w:rsidR="00007309" w:rsidRPr="00007309" w:rsidRDefault="00007309" w:rsidP="00007309">
      <w:pPr>
        <w:keepNext/>
        <w:outlineLvl w:val="1"/>
        <w:rPr>
          <w:rFonts w:ascii="Cambria" w:hAnsi="Cambria" w:cs="Times New Roman"/>
          <w:b/>
          <w:bCs/>
          <w:i/>
          <w:iCs/>
          <w:sz w:val="28"/>
          <w:szCs w:val="28"/>
          <w:rtl/>
        </w:rPr>
      </w:pPr>
      <w:r w:rsidRPr="00007309">
        <w:rPr>
          <w:rFonts w:ascii="Cambria" w:hAnsi="Cambria" w:cs="Times New Roman"/>
          <w:b/>
          <w:bCs/>
          <w:i/>
          <w:iCs/>
          <w:sz w:val="28"/>
          <w:szCs w:val="28"/>
          <w:rtl/>
        </w:rPr>
        <w:t>[</w:t>
      </w:r>
      <w:r w:rsidRPr="00007309">
        <w:rPr>
          <w:rFonts w:ascii="Cambria" w:hAnsi="Cambria" w:cs="Times New Roman" w:hint="cs"/>
          <w:b/>
          <w:bCs/>
          <w:i/>
          <w:iCs/>
          <w:sz w:val="28"/>
          <w:szCs w:val="28"/>
          <w:rtl/>
        </w:rPr>
        <w:t>דף</w:t>
      </w:r>
      <w:r w:rsidRPr="00007309">
        <w:rPr>
          <w:rFonts w:ascii="Cambria" w:hAnsi="Cambria" w:cs="Times New Roman"/>
          <w:b/>
          <w:bCs/>
          <w:i/>
          <w:iCs/>
          <w:sz w:val="28"/>
          <w:szCs w:val="28"/>
          <w:rtl/>
        </w:rPr>
        <w:t xml:space="preserve"> </w:t>
      </w:r>
      <w:r w:rsidRPr="00007309">
        <w:rPr>
          <w:rFonts w:ascii="Cambria" w:hAnsi="Cambria" w:cs="Times New Roman" w:hint="cs"/>
          <w:b/>
          <w:bCs/>
          <w:i/>
          <w:iCs/>
          <w:sz w:val="28"/>
          <w:szCs w:val="28"/>
          <w:rtl/>
        </w:rPr>
        <w:t>פג</w:t>
      </w:r>
      <w:r w:rsidRPr="00007309">
        <w:rPr>
          <w:rFonts w:ascii="Cambria" w:hAnsi="Cambria" w:cs="Times New Roman"/>
          <w:b/>
          <w:bCs/>
          <w:i/>
          <w:iCs/>
          <w:sz w:val="28"/>
          <w:szCs w:val="28"/>
          <w:rtl/>
        </w:rPr>
        <w:t xml:space="preserve"> ע"</w:t>
      </w:r>
      <w:r w:rsidRPr="00007309">
        <w:rPr>
          <w:rFonts w:ascii="Cambria" w:hAnsi="Cambria" w:cs="Times New Roman" w:hint="cs"/>
          <w:b/>
          <w:bCs/>
          <w:i/>
          <w:iCs/>
          <w:sz w:val="28"/>
          <w:szCs w:val="28"/>
          <w:rtl/>
        </w:rPr>
        <w:t>א</w:t>
      </w:r>
      <w:r w:rsidRPr="00007309">
        <w:rPr>
          <w:rFonts w:ascii="Cambria" w:hAnsi="Cambria" w:cs="Times New Roman"/>
          <w:b/>
          <w:bCs/>
          <w:i/>
          <w:iCs/>
          <w:sz w:val="28"/>
          <w:szCs w:val="28"/>
          <w:rtl/>
        </w:rPr>
        <w:t>]</w:t>
      </w:r>
    </w:p>
    <w:p w:rsidR="00007309" w:rsidRPr="00007309" w:rsidRDefault="00007309" w:rsidP="00007309">
      <w:pPr>
        <w:jc w:val="both"/>
        <w:rPr>
          <w:rFonts w:cs="Arial"/>
          <w:b/>
          <w:bCs/>
          <w:sz w:val="24"/>
          <w:szCs w:val="24"/>
        </w:rPr>
      </w:pPr>
      <w:r w:rsidRPr="00007309">
        <w:rPr>
          <w:rFonts w:cs="Arial"/>
          <w:b/>
          <w:bCs/>
          <w:sz w:val="36"/>
          <w:szCs w:val="28"/>
          <w:vertAlign w:val="superscript"/>
          <w:rtl/>
        </w:rPr>
        <w:footnoteReference w:id="7684"/>
      </w:r>
      <w:r w:rsidRPr="00007309">
        <w:rPr>
          <w:rFonts w:cs="Arial"/>
          <w:b/>
          <w:bCs/>
          <w:sz w:val="24"/>
          <w:szCs w:val="24"/>
          <w:rtl/>
        </w:rPr>
        <w:t>וְעוֹד מַטֶה דָּא שְׁכִינְתָּא תַּתָּאָה, וְאִם זָכוּ יִשְׂרָאֵל מַטֶה כְּלַפֵּי חֶסֶד לִימִינָא וְיִפְקוּן בְּרַחֲמֵי</w:t>
      </w:r>
      <w:r w:rsidRPr="00007309">
        <w:rPr>
          <w:rFonts w:cs="Arial" w:hint="cs"/>
          <w:b/>
          <w:bCs/>
          <w:sz w:val="24"/>
          <w:szCs w:val="24"/>
          <w:rtl/>
        </w:rPr>
        <w:t>.</w:t>
      </w:r>
      <w:r w:rsidRPr="00007309">
        <w:rPr>
          <w:rFonts w:cs="Arial"/>
          <w:b/>
          <w:bCs/>
          <w:sz w:val="24"/>
          <w:szCs w:val="24"/>
          <w:rtl/>
        </w:rPr>
        <w:t xml:space="preserve"> וְאִם לָאו מַטֶה כְּלַפֵּי חוֹבָא לְסִטְרָא דִּגְבוּרָה, דְּתַמָּן נָחָשׁ</w:t>
      </w:r>
      <w:r w:rsidRPr="00007309">
        <w:rPr>
          <w:rFonts w:cs="Arial" w:hint="cs"/>
          <w:b/>
          <w:bCs/>
          <w:sz w:val="24"/>
          <w:szCs w:val="24"/>
          <w:rtl/>
        </w:rPr>
        <w:t>,</w:t>
      </w:r>
      <w:r w:rsidRPr="00007309">
        <w:rPr>
          <w:rFonts w:cs="Arial"/>
          <w:b/>
          <w:bCs/>
          <w:sz w:val="24"/>
          <w:szCs w:val="24"/>
          <w:rtl/>
        </w:rPr>
        <w:t xml:space="preserve"> אֵל אַחֵר</w:t>
      </w:r>
      <w:r w:rsidRPr="00007309">
        <w:rPr>
          <w:rFonts w:cs="Arial" w:hint="cs"/>
          <w:b/>
          <w:bCs/>
          <w:sz w:val="24"/>
          <w:szCs w:val="24"/>
          <w:rtl/>
        </w:rPr>
        <w:t>,</w:t>
      </w:r>
      <w:r w:rsidRPr="00007309">
        <w:rPr>
          <w:rFonts w:cs="Arial"/>
          <w:b/>
          <w:bCs/>
          <w:sz w:val="24"/>
          <w:szCs w:val="24"/>
          <w:rtl/>
        </w:rPr>
        <w:t xml:space="preserve"> דְּתָבַע לִשְׁפֹּךְ דָּמָא, </w:t>
      </w:r>
      <w:r w:rsidRPr="00007309">
        <w:rPr>
          <w:rFonts w:cs="Arial"/>
          <w:b/>
          <w:bCs/>
          <w:sz w:val="36"/>
          <w:szCs w:val="28"/>
          <w:vertAlign w:val="superscript"/>
          <w:rtl/>
        </w:rPr>
        <w:footnoteReference w:id="7685"/>
      </w:r>
      <w:r w:rsidRPr="00007309">
        <w:rPr>
          <w:rFonts w:cs="Arial"/>
          <w:b/>
          <w:bCs/>
          <w:sz w:val="24"/>
          <w:szCs w:val="24"/>
          <w:rtl/>
        </w:rPr>
        <w:t xml:space="preserve">וְיִתְקְטִיל מְשִׁיחָא וְסַגִּיאִין </w:t>
      </w:r>
      <w:r w:rsidRPr="00007309">
        <w:rPr>
          <w:rFonts w:ascii="Cambria" w:hAnsi="Cambria" w:cs="Times New Roman" w:hint="cs"/>
          <w:b/>
          <w:bCs/>
          <w:i/>
          <w:iCs/>
          <w:color w:val="4F81BD"/>
          <w:sz w:val="24"/>
          <w:szCs w:val="24"/>
          <w:rtl/>
        </w:rPr>
        <w:t>(פג ע"א)</w:t>
      </w:r>
      <w:r w:rsidRPr="00007309">
        <w:rPr>
          <w:rFonts w:cs="Arial" w:hint="cs"/>
          <w:b/>
          <w:bCs/>
          <w:sz w:val="24"/>
          <w:szCs w:val="24"/>
          <w:rtl/>
        </w:rPr>
        <w:t xml:space="preserve"> </w:t>
      </w:r>
      <w:r w:rsidRPr="00007309">
        <w:rPr>
          <w:rFonts w:cs="Arial"/>
          <w:b/>
          <w:bCs/>
          <w:sz w:val="24"/>
          <w:szCs w:val="24"/>
          <w:rtl/>
        </w:rPr>
        <w:t>מִיִּשְׂרָאֵל. וּבְגִין דָּא אִתְּמַר (רות</w:t>
      </w:r>
      <w:r w:rsidRPr="00007309">
        <w:rPr>
          <w:rFonts w:cs="Arial" w:hint="cs"/>
          <w:b/>
          <w:bCs/>
          <w:sz w:val="24"/>
          <w:szCs w:val="24"/>
          <w:rtl/>
        </w:rPr>
        <w:t xml:space="preserve"> ג יג</w:t>
      </w:r>
      <w:r w:rsidRPr="00007309">
        <w:rPr>
          <w:rFonts w:cs="Arial"/>
          <w:b/>
          <w:bCs/>
          <w:sz w:val="24"/>
          <w:szCs w:val="24"/>
          <w:rtl/>
        </w:rPr>
        <w:t xml:space="preserve">) </w:t>
      </w:r>
      <w:r w:rsidRPr="00007309">
        <w:rPr>
          <w:rFonts w:cs="Arial"/>
          <w:b/>
          <w:bCs/>
          <w:sz w:val="36"/>
          <w:szCs w:val="28"/>
          <w:vertAlign w:val="superscript"/>
          <w:rtl/>
        </w:rPr>
        <w:footnoteReference w:id="7686"/>
      </w:r>
      <w:r w:rsidRPr="00007309">
        <w:rPr>
          <w:rFonts w:cs="Arial"/>
          <w:b/>
          <w:bCs/>
          <w:sz w:val="24"/>
          <w:szCs w:val="24"/>
          <w:rtl/>
        </w:rPr>
        <w:t xml:space="preserve">חַי ה' שִׁכְבִי עַד הַבֹּקֶר, דְּאִיהוּ </w:t>
      </w:r>
      <w:r w:rsidRPr="00007309">
        <w:rPr>
          <w:rFonts w:cs="Arial"/>
          <w:b/>
          <w:bCs/>
          <w:sz w:val="36"/>
          <w:szCs w:val="28"/>
          <w:vertAlign w:val="superscript"/>
          <w:rtl/>
        </w:rPr>
        <w:footnoteReference w:id="7687"/>
      </w:r>
      <w:r w:rsidRPr="00007309">
        <w:rPr>
          <w:rFonts w:cs="Arial"/>
          <w:b/>
          <w:bCs/>
          <w:sz w:val="24"/>
          <w:szCs w:val="24"/>
          <w:rtl/>
        </w:rPr>
        <w:t>בֹּקֶר דְּאַבְרָהָם דִּיהֵא מַטֶה כְּלַפֵּי חֶסֶד. וּבְגִין דָּא וְאֶת לַהַט הַחֶרֶב הַמִּתְהַפֶּכֶת</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688"/>
      </w:r>
      <w:r w:rsidRPr="00007309">
        <w:rPr>
          <w:rFonts w:cs="Arial"/>
          <w:b/>
          <w:bCs/>
          <w:sz w:val="24"/>
          <w:szCs w:val="24"/>
          <w:rtl/>
        </w:rPr>
        <w:t>וְכֹלָּא לִשְׁמֹר אֶת דֶּרֶךְ עֵץ הַחַיִּים, דְּאִיהִי אוֹרַיְתָא</w:t>
      </w:r>
      <w:r w:rsidRPr="00007309">
        <w:rPr>
          <w:rFonts w:cs="Arial" w:hint="cs"/>
          <w:b/>
          <w:bCs/>
          <w:sz w:val="24"/>
          <w:szCs w:val="24"/>
          <w:rtl/>
        </w:rPr>
        <w:t>,</w:t>
      </w:r>
      <w:r w:rsidRPr="00007309">
        <w:rPr>
          <w:rFonts w:cs="Arial"/>
          <w:b/>
          <w:bCs/>
          <w:sz w:val="24"/>
          <w:szCs w:val="24"/>
          <w:rtl/>
        </w:rPr>
        <w:t xml:space="preserve"> דְּאִתְּמַר בָּהּ </w:t>
      </w:r>
      <w:r w:rsidRPr="00007309">
        <w:rPr>
          <w:rFonts w:cs="Arial" w:hint="cs"/>
          <w:b/>
          <w:bCs/>
          <w:sz w:val="24"/>
          <w:szCs w:val="24"/>
          <w:rtl/>
        </w:rPr>
        <w:t xml:space="preserve">(משלי ג יח) </w:t>
      </w:r>
      <w:r w:rsidRPr="00007309">
        <w:rPr>
          <w:rFonts w:cs="Arial"/>
          <w:b/>
          <w:bCs/>
          <w:sz w:val="24"/>
          <w:szCs w:val="24"/>
          <w:rtl/>
        </w:rPr>
        <w:t>עֵץ חַיִּים הִיא לַמַּחֲזִיקִים בָּהּ</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689"/>
      </w:r>
      <w:r w:rsidRPr="00007309">
        <w:rPr>
          <w:rFonts w:cs="Arial"/>
          <w:b/>
          <w:bCs/>
          <w:sz w:val="24"/>
          <w:szCs w:val="24"/>
          <w:rtl/>
        </w:rPr>
        <w:t xml:space="preserve">וְאִיהִי אוֹרַיְתָא שֶׁבְּעַל פֶּה. אִי זָכָה בַּר נָשׁ, אִיהִי סַם חַיִּים דִילֵהּ. וְאִם לָאו, הִיא מִתְהַפֶּכֶת לֵהּ לְסַם הַמָּוֶת. וְהָא אוֹקְמוּהּ מָארֵי מַתְנִיתִין הָכֵי, כְּגַוְנָא דְּמַטֶה דְּאִתְהַפָּךְ מִמַּטֶה לְנָחָשׁ וּמִנָּחָשׁ לְמַטֶה. </w:t>
      </w:r>
      <w:r w:rsidRPr="00007309">
        <w:rPr>
          <w:rFonts w:cs="Arial"/>
          <w:b/>
          <w:bCs/>
          <w:sz w:val="36"/>
          <w:szCs w:val="28"/>
          <w:vertAlign w:val="superscript"/>
          <w:rtl/>
        </w:rPr>
        <w:footnoteReference w:id="7690"/>
      </w:r>
      <w:r w:rsidRPr="00007309">
        <w:rPr>
          <w:rFonts w:cs="Arial"/>
          <w:b/>
          <w:bCs/>
          <w:sz w:val="24"/>
          <w:szCs w:val="24"/>
          <w:rtl/>
        </w:rPr>
        <w:t xml:space="preserve">וּבְזִמְנָא הַהוּא אִתְמַחוּן מֵעָלְמָא כָּל אִנּוּן דְּאִתְּמַר בְּהוֹן </w:t>
      </w:r>
      <w:r w:rsidRPr="00007309">
        <w:rPr>
          <w:rFonts w:cs="Arial" w:hint="cs"/>
          <w:b/>
          <w:bCs/>
          <w:sz w:val="24"/>
          <w:szCs w:val="24"/>
          <w:rtl/>
        </w:rPr>
        <w:t xml:space="preserve">(שמות ז יא) </w:t>
      </w:r>
      <w:r w:rsidRPr="00007309">
        <w:rPr>
          <w:rFonts w:cs="Arial"/>
          <w:b/>
          <w:bCs/>
          <w:sz w:val="24"/>
          <w:szCs w:val="24"/>
          <w:rtl/>
        </w:rPr>
        <w:t xml:space="preserve">וַיַּעֲשׂוּ גַּם הֵם חַרְטֻמֵּי מִצְרַיִם בְּלָטֵיהֶם כֵּן. </w:t>
      </w:r>
      <w:r w:rsidRPr="00007309">
        <w:rPr>
          <w:rFonts w:cs="Arial"/>
          <w:sz w:val="24"/>
          <w:szCs w:val="24"/>
          <w:rtl/>
        </w:rPr>
        <w:t>עַד כָּאן</w:t>
      </w:r>
      <w:r w:rsidRPr="00007309">
        <w:rPr>
          <w:rFonts w:cs="Arial"/>
          <w:sz w:val="24"/>
          <w:szCs w:val="24"/>
        </w:rPr>
        <w:t>:</w:t>
      </w:r>
    </w:p>
    <w:p w:rsidR="00007309" w:rsidRPr="00007309" w:rsidRDefault="00007309" w:rsidP="00007309">
      <w:pPr>
        <w:keepNext/>
        <w:spacing w:before="240" w:after="60"/>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[וילנא לב ע"ב]</w:t>
      </w:r>
    </w:p>
    <w:p w:rsidR="00007309" w:rsidRPr="00007309" w:rsidRDefault="00007309" w:rsidP="00007309">
      <w:pPr>
        <w:jc w:val="both"/>
        <w:rPr>
          <w:rFonts w:cs="Arial"/>
          <w:b/>
          <w:bCs/>
          <w:sz w:val="24"/>
          <w:szCs w:val="24"/>
          <w:rtl/>
        </w:rPr>
      </w:pPr>
      <w:r w:rsidRPr="00007309">
        <w:rPr>
          <w:rFonts w:ascii="Cambria" w:hAnsi="Cambria" w:cs="Times New Roman" w:hint="cs"/>
          <w:b/>
          <w:bCs/>
          <w:i/>
          <w:iCs/>
          <w:color w:val="4F81BD"/>
          <w:sz w:val="24"/>
          <w:szCs w:val="24"/>
          <w:rtl/>
        </w:rPr>
        <w:t xml:space="preserve"> (וילנא לב ע"ב)</w:t>
      </w:r>
      <w:r w:rsidRPr="00007309">
        <w:rPr>
          <w:rFonts w:cs="Arial" w:hint="cs"/>
          <w:b/>
          <w:bCs/>
          <w:sz w:val="24"/>
          <w:szCs w:val="24"/>
          <w:rtl/>
        </w:rPr>
        <w:t xml:space="preserve"> </w:t>
      </w:r>
      <w:r w:rsidRPr="00007309">
        <w:rPr>
          <w:rFonts w:cs="Arial"/>
          <w:b/>
          <w:bCs/>
          <w:sz w:val="36"/>
          <w:szCs w:val="28"/>
          <w:vertAlign w:val="superscript"/>
          <w:rtl/>
        </w:rPr>
        <w:footnoteReference w:id="7691"/>
      </w:r>
      <w:r w:rsidRPr="00007309">
        <w:rPr>
          <w:rFonts w:cs="Arial"/>
          <w:b/>
          <w:bCs/>
          <w:sz w:val="24"/>
          <w:szCs w:val="24"/>
          <w:rtl/>
        </w:rPr>
        <w:t>בְּזֹאת יָבֹא אַהֲרֹן אֶל הַקֹּדֶשׁ</w:t>
      </w:r>
      <w:r w:rsidRPr="00007309">
        <w:rPr>
          <w:rFonts w:cs="Arial" w:hint="cs"/>
          <w:b/>
          <w:bCs/>
          <w:sz w:val="24"/>
          <w:szCs w:val="24"/>
          <w:rtl/>
        </w:rPr>
        <w:t xml:space="preserve"> (ויקרא טז ג)</w:t>
      </w:r>
      <w:r w:rsidRPr="00007309">
        <w:rPr>
          <w:rFonts w:cs="Arial"/>
          <w:b/>
          <w:bCs/>
          <w:sz w:val="24"/>
          <w:szCs w:val="24"/>
          <w:rtl/>
        </w:rPr>
        <w:t xml:space="preserve">. בֹּא וּרְאֵה אֵין אָדָם מֵפִיק רְצוֹן הַקָּדוֹשׁ בָּרוּךְ הוּא אֶלָּא </w:t>
      </w:r>
      <w:r w:rsidRPr="00007309">
        <w:rPr>
          <w:rFonts w:cs="Arial"/>
          <w:b/>
          <w:bCs/>
          <w:sz w:val="36"/>
          <w:szCs w:val="28"/>
          <w:vertAlign w:val="superscript"/>
          <w:rtl/>
        </w:rPr>
        <w:footnoteReference w:id="7692"/>
      </w:r>
      <w:r w:rsidRPr="00007309">
        <w:rPr>
          <w:rFonts w:cs="Arial"/>
          <w:b/>
          <w:bCs/>
          <w:sz w:val="24"/>
          <w:szCs w:val="24"/>
          <w:rtl/>
        </w:rPr>
        <w:t xml:space="preserve">בָּזֹאת, </w:t>
      </w:r>
      <w:r w:rsidRPr="00007309">
        <w:rPr>
          <w:rFonts w:cs="Arial"/>
          <w:b/>
          <w:bCs/>
          <w:sz w:val="36"/>
          <w:szCs w:val="28"/>
          <w:vertAlign w:val="superscript"/>
          <w:rtl/>
        </w:rPr>
        <w:footnoteReference w:id="7693"/>
      </w:r>
      <w:r w:rsidRPr="00007309">
        <w:rPr>
          <w:rFonts w:cs="Arial"/>
          <w:b/>
          <w:bCs/>
          <w:sz w:val="24"/>
          <w:szCs w:val="24"/>
          <w:rtl/>
        </w:rPr>
        <w:t>שֶׁעָלֶיהָ נֶאֱמַר (משלי יח</w:t>
      </w:r>
      <w:r w:rsidRPr="00007309">
        <w:rPr>
          <w:rFonts w:cs="Arial" w:hint="cs"/>
          <w:b/>
          <w:bCs/>
          <w:sz w:val="24"/>
          <w:szCs w:val="24"/>
          <w:rtl/>
        </w:rPr>
        <w:t xml:space="preserve"> כב</w:t>
      </w:r>
      <w:r w:rsidRPr="00007309">
        <w:rPr>
          <w:rFonts w:cs="Arial"/>
          <w:b/>
          <w:bCs/>
          <w:sz w:val="24"/>
          <w:szCs w:val="24"/>
          <w:rtl/>
        </w:rPr>
        <w:t xml:space="preserve">) מָצָא אִשָּׁה מָצָא טוֹב. </w:t>
      </w:r>
      <w:r w:rsidRPr="00007309">
        <w:rPr>
          <w:rFonts w:cs="Arial"/>
          <w:b/>
          <w:bCs/>
          <w:sz w:val="36"/>
          <w:szCs w:val="28"/>
          <w:vertAlign w:val="superscript"/>
          <w:rtl/>
        </w:rPr>
        <w:footnoteReference w:id="7694"/>
      </w:r>
      <w:r w:rsidRPr="00007309">
        <w:rPr>
          <w:rFonts w:cs="Arial"/>
          <w:b/>
          <w:bCs/>
          <w:sz w:val="24"/>
          <w:szCs w:val="24"/>
          <w:rtl/>
        </w:rPr>
        <w:t xml:space="preserve">וְזֹאת הִיא עֵת לַעֲשׂוֹת לַה'. </w:t>
      </w:r>
      <w:r w:rsidRPr="00007309">
        <w:rPr>
          <w:rFonts w:cs="Arial"/>
          <w:b/>
          <w:bCs/>
          <w:sz w:val="36"/>
          <w:szCs w:val="28"/>
          <w:vertAlign w:val="superscript"/>
          <w:rtl/>
        </w:rPr>
        <w:footnoteReference w:id="7695"/>
      </w:r>
      <w:r w:rsidRPr="00007309">
        <w:rPr>
          <w:rFonts w:cs="Arial"/>
          <w:b/>
          <w:bCs/>
          <w:sz w:val="24"/>
          <w:szCs w:val="24"/>
          <w:rtl/>
        </w:rPr>
        <w:t xml:space="preserve">וְכַמָּה עִתִּים יֵשׁ וַעֲלֵיהֶם נֶאֱמַר </w:t>
      </w:r>
      <w:r w:rsidRPr="00007309">
        <w:rPr>
          <w:rFonts w:cs="Arial" w:hint="cs"/>
          <w:b/>
          <w:bCs/>
          <w:sz w:val="24"/>
          <w:szCs w:val="24"/>
          <w:rtl/>
        </w:rPr>
        <w:t xml:space="preserve">(ויקרא טז ב) </w:t>
      </w:r>
      <w:r w:rsidRPr="00007309">
        <w:rPr>
          <w:rFonts w:cs="Arial"/>
          <w:b/>
          <w:bCs/>
          <w:sz w:val="24"/>
          <w:szCs w:val="24"/>
          <w:rtl/>
        </w:rPr>
        <w:t>אַל יָבֹא בְּכָל עֵת</w:t>
      </w:r>
      <w:r w:rsidRPr="00007309">
        <w:rPr>
          <w:rFonts w:cs="Arial" w:hint="cs"/>
          <w:b/>
          <w:bCs/>
          <w:sz w:val="24"/>
          <w:szCs w:val="24"/>
          <w:rtl/>
        </w:rPr>
        <w:t>,</w:t>
      </w:r>
      <w:r w:rsidRPr="00007309">
        <w:rPr>
          <w:rFonts w:cs="Arial"/>
          <w:b/>
          <w:bCs/>
          <w:sz w:val="24"/>
          <w:szCs w:val="24"/>
          <w:rtl/>
        </w:rPr>
        <w:t xml:space="preserve"> וּשְׁלמֹה אָמַר אוֹתָם בְּסִפְרוֹ (קהלת ג) עֵת לִשְׂחֹק וְעֵת לִבְכּוֹת</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696"/>
      </w:r>
      <w:r w:rsidRPr="00007309">
        <w:rPr>
          <w:rFonts w:cs="Arial"/>
          <w:b/>
          <w:bCs/>
          <w:sz w:val="24"/>
          <w:szCs w:val="24"/>
          <w:rtl/>
        </w:rPr>
        <w:t>הֵם כ"ח</w:t>
      </w:r>
      <w:r w:rsidRPr="00007309">
        <w:rPr>
          <w:rFonts w:cs="Arial" w:hint="cs"/>
          <w:b/>
          <w:bCs/>
          <w:sz w:val="24"/>
          <w:szCs w:val="24"/>
          <w:rtl/>
        </w:rPr>
        <w:t>,</w:t>
      </w:r>
      <w:r w:rsidRPr="00007309">
        <w:rPr>
          <w:rFonts w:cs="Arial"/>
          <w:b/>
          <w:bCs/>
          <w:sz w:val="24"/>
          <w:szCs w:val="24"/>
          <w:rtl/>
        </w:rPr>
        <w:t xml:space="preserve"> וְעַל זֶה הִזְהִיר לְאַהֲרֹן אַל יָבֹא בְּכָל</w:t>
      </w:r>
      <w:r w:rsidRPr="00007309">
        <w:rPr>
          <w:rFonts w:cs="Arial"/>
          <w:b/>
          <w:bCs/>
          <w:sz w:val="24"/>
          <w:szCs w:val="24"/>
        </w:rPr>
        <w:t xml:space="preserve"> </w:t>
      </w:r>
      <w:r w:rsidRPr="00007309">
        <w:rPr>
          <w:rFonts w:cs="Arial"/>
          <w:b/>
          <w:bCs/>
          <w:sz w:val="24"/>
          <w:szCs w:val="24"/>
          <w:rtl/>
        </w:rPr>
        <w:t xml:space="preserve">עֵת אֶל הַקֹּדֶשׁ </w:t>
      </w:r>
      <w:r w:rsidRPr="00007309">
        <w:rPr>
          <w:rFonts w:cs="Arial"/>
          <w:b/>
          <w:bCs/>
          <w:sz w:val="36"/>
          <w:szCs w:val="28"/>
          <w:vertAlign w:val="superscript"/>
          <w:rtl/>
        </w:rPr>
        <w:footnoteReference w:id="7697"/>
      </w:r>
      <w:r w:rsidRPr="00007309">
        <w:rPr>
          <w:rFonts w:cs="Arial"/>
          <w:b/>
          <w:bCs/>
          <w:sz w:val="24"/>
          <w:szCs w:val="24"/>
          <w:rtl/>
        </w:rPr>
        <w:t>שֶׁהוּא קֹדֶשׁ יִשְׂרָאֵל לַה'. וּכְשֶׁהַשְּׁכִינָה הַנִּקְרֵאת זֹאת עִם יִשְׂרָאֵל שֶׁנֶּאֱמַר בָּהּ</w:t>
      </w:r>
      <w:r w:rsidRPr="00007309">
        <w:rPr>
          <w:rFonts w:cs="Arial" w:hint="cs"/>
          <w:b/>
          <w:bCs/>
          <w:sz w:val="24"/>
          <w:szCs w:val="24"/>
          <w:rtl/>
        </w:rPr>
        <w:t xml:space="preserve"> (ויקרא כו מד)</w:t>
      </w:r>
      <w:r w:rsidRPr="00007309">
        <w:rPr>
          <w:rFonts w:cs="Arial"/>
          <w:b/>
          <w:bCs/>
          <w:sz w:val="24"/>
          <w:szCs w:val="24"/>
          <w:rtl/>
        </w:rPr>
        <w:t xml:space="preserve"> וְאַף גַּם זֹאת בִּהְיוֹתָם בְּאֶרֶץ אֹיְבֵיהֶם</w:t>
      </w:r>
      <w:r w:rsidRPr="00007309">
        <w:rPr>
          <w:rFonts w:cs="Arial" w:hint="cs"/>
          <w:b/>
          <w:bCs/>
          <w:sz w:val="24"/>
          <w:szCs w:val="24"/>
          <w:rtl/>
        </w:rPr>
        <w:t>,</w:t>
      </w:r>
      <w:r w:rsidRPr="00007309">
        <w:rPr>
          <w:rFonts w:cs="Arial"/>
          <w:b/>
          <w:bCs/>
          <w:sz w:val="24"/>
          <w:szCs w:val="24"/>
          <w:rtl/>
        </w:rPr>
        <w:t xml:space="preserve"> יִשְׂרָאֵל מָה הֵם אוֹמְרִים לָהּ</w:t>
      </w:r>
      <w:r w:rsidRPr="00007309">
        <w:rPr>
          <w:rFonts w:cs="Arial" w:hint="cs"/>
          <w:b/>
          <w:bCs/>
          <w:sz w:val="24"/>
          <w:szCs w:val="24"/>
          <w:rtl/>
        </w:rPr>
        <w:t>,</w:t>
      </w:r>
      <w:r w:rsidRPr="00007309">
        <w:rPr>
          <w:rFonts w:cs="Arial"/>
          <w:b/>
          <w:bCs/>
          <w:sz w:val="24"/>
          <w:szCs w:val="24"/>
          <w:rtl/>
        </w:rPr>
        <w:t xml:space="preserve"> אָנָה הָלַךְ דּוֹדֵךְ הַיָּפָה בַּנָּשִׁים וְגוֹ' (שיר השירים ו א) </w:t>
      </w:r>
      <w:r w:rsidRPr="00007309">
        <w:rPr>
          <w:rFonts w:cs="Arial"/>
          <w:b/>
          <w:bCs/>
          <w:sz w:val="36"/>
          <w:szCs w:val="28"/>
          <w:vertAlign w:val="superscript"/>
          <w:rtl/>
        </w:rPr>
        <w:footnoteReference w:id="7698"/>
      </w:r>
      <w:r w:rsidRPr="00007309">
        <w:rPr>
          <w:rFonts w:cs="Arial"/>
          <w:b/>
          <w:bCs/>
          <w:sz w:val="24"/>
          <w:szCs w:val="24"/>
          <w:rtl/>
        </w:rPr>
        <w:t>בְּכַמָּה תַּחֲנוּנִים וּתְפִלּוֹת וְצִיצִית וּתְפִלִּין וְשַׁבָּתוֹת וְיָמִים טוֹבִים</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699"/>
      </w:r>
      <w:r w:rsidRPr="00007309">
        <w:rPr>
          <w:rFonts w:cs="Arial"/>
          <w:b/>
          <w:bCs/>
          <w:sz w:val="24"/>
          <w:szCs w:val="24"/>
          <w:rtl/>
        </w:rPr>
        <w:t>שֶׁעָלֶיהָ נֶאֱמַר (שמות לא) בֵּינִי וּבֵין בְּנֵי יִשְׂרָאֵל אוֹת הִיא. אוֹת שֶׁל בְּרִית מִילָה, אוֹת שֶׁל שַׁבָּת, אוֹת שֶׁל יוֹם טוֹב, אוֹת שֶׁל</w:t>
      </w:r>
      <w:r w:rsidRPr="00007309">
        <w:rPr>
          <w:rFonts w:cs="Arial"/>
          <w:b/>
          <w:bCs/>
          <w:sz w:val="24"/>
          <w:szCs w:val="24"/>
        </w:rPr>
        <w:t xml:space="preserve"> </w:t>
      </w:r>
      <w:r w:rsidRPr="00007309">
        <w:rPr>
          <w:rFonts w:cs="Arial"/>
          <w:b/>
          <w:bCs/>
          <w:sz w:val="24"/>
          <w:szCs w:val="24"/>
          <w:rtl/>
        </w:rPr>
        <w:t xml:space="preserve">תְּפִלִּין. וְעָלָה נֶאֱמַר </w:t>
      </w:r>
      <w:r w:rsidRPr="00007309">
        <w:rPr>
          <w:rFonts w:cs="Arial" w:hint="cs"/>
          <w:b/>
          <w:bCs/>
          <w:sz w:val="24"/>
          <w:szCs w:val="24"/>
          <w:rtl/>
        </w:rPr>
        <w:t xml:space="preserve">(תהלים לב ו) </w:t>
      </w:r>
      <w:r w:rsidRPr="00007309">
        <w:rPr>
          <w:rFonts w:cs="Arial"/>
          <w:b/>
          <w:bCs/>
          <w:sz w:val="24"/>
          <w:szCs w:val="24"/>
          <w:rtl/>
        </w:rPr>
        <w:t xml:space="preserve">עַל זֹאת יִתְפַּלֵּל כָּל חָסִיד אֵלֶיךָ. </w:t>
      </w:r>
      <w:r w:rsidRPr="00007309">
        <w:rPr>
          <w:rFonts w:cs="Arial" w:hint="cs"/>
          <w:b/>
          <w:bCs/>
          <w:sz w:val="24"/>
          <w:szCs w:val="24"/>
          <w:rtl/>
        </w:rPr>
        <w:t xml:space="preserve">(משלי יח כב) </w:t>
      </w:r>
      <w:r w:rsidRPr="00007309">
        <w:rPr>
          <w:rFonts w:cs="Arial"/>
          <w:b/>
          <w:bCs/>
          <w:sz w:val="24"/>
          <w:szCs w:val="24"/>
          <w:rtl/>
        </w:rPr>
        <w:t xml:space="preserve">מָצָא אִשָּׁה מָצָא טוֹב. וְהַנָּבִיא אָמַר (ירמיה יט) אַל יִתְהַלֵּל חָכָם כִּי אִם בָּזֹאת. וְיַעֲקֹב אָבִינוּ בַּעֲבוּר שֶׁהָיָה יוֹדֵעַ שֶׁזֹּאת הִיא הָיְתָה עִקָּר לְהָפִיק רְצוֹן אָבִינוּ שֶׁבַּשָּׁמַיִם, צִוָּה לְבָנָיו וְהוֹדִיעָם בָּזֹאת. שֶׁנֶּאֱמַר (בראשית מט) זֹאת אֲשֶׁר דִּבֵּר לָהֶם אֲבִיהֶם. וְדָוִד הָיָה יוֹדֵעַ שֶׁבָּהּ מֵפִיק רָצוֹן מֵה', כְּשֶׁהָיָה נִלְחַם עִם אוֹיְבָיו אָמַר (תהלים כז) אִם תַּחֲנֶה עָלַי מַחֲנֶה בְּזֹאת אֲנִי בּוֹטֵחַ. וְהַנָּבִיא כְּשֶׁרָאָה צַעֲרָן שֶׁל יִשְׂרָאֵל בַּגָּלוּת, וְלֹא רָאָה לָהֶם מְנוּחָה וּגְאֻלָּה אֶלָּא בַּעֲבוּר זֹאת, שֶׁנֶּאֱמַר (איכה ג) זֹאת אָשִׁיב אֶל לִבִּי. וְכֵן מֹשֶׁה </w:t>
      </w:r>
      <w:r w:rsidRPr="00007309">
        <w:rPr>
          <w:rFonts w:cs="Arial" w:hint="cs"/>
          <w:b/>
          <w:bCs/>
          <w:sz w:val="24"/>
          <w:szCs w:val="24"/>
          <w:rtl/>
        </w:rPr>
        <w:t xml:space="preserve">(שמות ט טז) </w:t>
      </w:r>
      <w:r w:rsidRPr="00007309">
        <w:rPr>
          <w:rFonts w:cs="Arial"/>
          <w:b/>
          <w:bCs/>
          <w:sz w:val="36"/>
          <w:szCs w:val="28"/>
          <w:vertAlign w:val="superscript"/>
          <w:rtl/>
        </w:rPr>
        <w:footnoteReference w:id="7700"/>
      </w:r>
      <w:r w:rsidRPr="00007309">
        <w:rPr>
          <w:rFonts w:cs="Arial"/>
          <w:b/>
          <w:bCs/>
          <w:sz w:val="24"/>
          <w:szCs w:val="24"/>
          <w:rtl/>
        </w:rPr>
        <w:t xml:space="preserve">וְאוּלָם בַּעֲבוּר זֹאת. </w:t>
      </w:r>
      <w:r w:rsidRPr="00007309">
        <w:rPr>
          <w:rFonts w:cs="Arial"/>
          <w:b/>
          <w:bCs/>
          <w:sz w:val="36"/>
          <w:szCs w:val="28"/>
          <w:vertAlign w:val="superscript"/>
          <w:rtl/>
        </w:rPr>
        <w:footnoteReference w:id="7701"/>
      </w:r>
      <w:r w:rsidRPr="00007309">
        <w:rPr>
          <w:rFonts w:cs="Arial"/>
          <w:b/>
          <w:bCs/>
          <w:sz w:val="24"/>
          <w:szCs w:val="24"/>
          <w:rtl/>
        </w:rPr>
        <w:t xml:space="preserve">וְכֵן לִיהוּדָה </w:t>
      </w:r>
      <w:r w:rsidRPr="00007309">
        <w:rPr>
          <w:rFonts w:cs="Arial" w:hint="cs"/>
          <w:b/>
          <w:bCs/>
          <w:sz w:val="24"/>
          <w:szCs w:val="24"/>
          <w:rtl/>
        </w:rPr>
        <w:t xml:space="preserve">(דברים לג ז) </w:t>
      </w:r>
      <w:r w:rsidRPr="00007309">
        <w:rPr>
          <w:rFonts w:cs="Arial"/>
          <w:b/>
          <w:bCs/>
          <w:sz w:val="24"/>
          <w:szCs w:val="24"/>
          <w:rtl/>
        </w:rPr>
        <w:t>וְזֹאת לִיהוּדָה. וּמִי שֶׁלֹּא שָׁת לִבּוֹ גַּם לָזֹאת</w:t>
      </w:r>
      <w:r w:rsidRPr="00007309">
        <w:rPr>
          <w:rFonts w:cs="Arial" w:hint="cs"/>
          <w:b/>
          <w:bCs/>
          <w:sz w:val="24"/>
          <w:szCs w:val="24"/>
          <w:rtl/>
        </w:rPr>
        <w:t xml:space="preserve"> (שמות ז כג)</w:t>
      </w:r>
      <w:r w:rsidRPr="00007309">
        <w:rPr>
          <w:rFonts w:cs="Arial"/>
          <w:b/>
          <w:bCs/>
          <w:sz w:val="24"/>
          <w:szCs w:val="24"/>
          <w:rtl/>
        </w:rPr>
        <w:t xml:space="preserve">, עָלָיו נֶאֱמַר </w:t>
      </w:r>
      <w:r w:rsidRPr="00007309">
        <w:rPr>
          <w:rFonts w:cs="Arial" w:hint="cs"/>
          <w:b/>
          <w:bCs/>
          <w:sz w:val="24"/>
          <w:szCs w:val="24"/>
          <w:rtl/>
        </w:rPr>
        <w:t xml:space="preserve">(תהלים צב ז) </w:t>
      </w:r>
      <w:r w:rsidRPr="00007309">
        <w:rPr>
          <w:rFonts w:cs="Arial"/>
          <w:b/>
          <w:bCs/>
          <w:sz w:val="24"/>
          <w:szCs w:val="24"/>
          <w:rtl/>
        </w:rPr>
        <w:t xml:space="preserve">וּכְסִיל לֹא יָבִין אֶת זֹאת. </w:t>
      </w:r>
    </w:p>
    <w:p w:rsidR="00007309" w:rsidRPr="00007309" w:rsidRDefault="00007309" w:rsidP="00007309">
      <w:pPr>
        <w:jc w:val="both"/>
        <w:rPr>
          <w:rFonts w:cs="Arial"/>
          <w:b/>
          <w:bCs/>
          <w:sz w:val="24"/>
          <w:szCs w:val="24"/>
          <w:rtl/>
        </w:rPr>
      </w:pPr>
      <w:r w:rsidRPr="00007309">
        <w:rPr>
          <w:rFonts w:cs="Arial"/>
          <w:b/>
          <w:bCs/>
          <w:sz w:val="24"/>
          <w:szCs w:val="24"/>
          <w:rtl/>
        </w:rPr>
        <w:t>וְעַתָּה צָרִיךְ אַתָּה לָדַעַת</w:t>
      </w:r>
      <w:r w:rsidRPr="00007309">
        <w:rPr>
          <w:rFonts w:cs="Arial" w:hint="cs"/>
          <w:b/>
          <w:bCs/>
          <w:sz w:val="24"/>
          <w:szCs w:val="24"/>
          <w:rtl/>
        </w:rPr>
        <w:t>,</w:t>
      </w:r>
      <w:r w:rsidRPr="00007309">
        <w:rPr>
          <w:rFonts w:cs="Arial"/>
          <w:b/>
          <w:bCs/>
          <w:sz w:val="24"/>
          <w:szCs w:val="24"/>
          <w:rtl/>
        </w:rPr>
        <w:t xml:space="preserve"> כֵּיוָן</w:t>
      </w:r>
      <w:r w:rsidRPr="00007309">
        <w:rPr>
          <w:rFonts w:cs="Arial"/>
          <w:b/>
          <w:bCs/>
          <w:sz w:val="24"/>
          <w:szCs w:val="28"/>
        </w:rPr>
        <w:t xml:space="preserve"> </w:t>
      </w:r>
      <w:r w:rsidRPr="00007309">
        <w:rPr>
          <w:rFonts w:cs="Arial"/>
          <w:b/>
          <w:bCs/>
          <w:sz w:val="24"/>
          <w:szCs w:val="24"/>
          <w:rtl/>
        </w:rPr>
        <w:t>שֶׁהָאָדָם בָּהּ יָפִיק רְצוֹנוֹ, וּבָהּ מַשִּיג שֵׁם ה'</w:t>
      </w:r>
      <w:r w:rsidRPr="00007309">
        <w:rPr>
          <w:rFonts w:cs="Arial" w:hint="cs"/>
          <w:b/>
          <w:bCs/>
          <w:sz w:val="24"/>
          <w:szCs w:val="24"/>
          <w:rtl/>
        </w:rPr>
        <w:t>,</w:t>
      </w:r>
      <w:r w:rsidRPr="00007309">
        <w:rPr>
          <w:rFonts w:cs="Arial"/>
          <w:b/>
          <w:bCs/>
          <w:sz w:val="24"/>
          <w:szCs w:val="24"/>
          <w:rtl/>
        </w:rPr>
        <w:t xml:space="preserve"> שֶׁזֶּהוּ סוֹד </w:t>
      </w:r>
      <w:r w:rsidRPr="00007309">
        <w:rPr>
          <w:rFonts w:cs="Arial" w:hint="cs"/>
          <w:b/>
          <w:bCs/>
          <w:sz w:val="24"/>
          <w:szCs w:val="24"/>
          <w:rtl/>
        </w:rPr>
        <w:t>(תהלים לב ו)</w:t>
      </w:r>
      <w:r w:rsidRPr="00007309">
        <w:rPr>
          <w:rFonts w:cs="Arial"/>
          <w:b/>
          <w:bCs/>
          <w:sz w:val="24"/>
          <w:szCs w:val="24"/>
          <w:rtl/>
        </w:rPr>
        <w:t xml:space="preserve"> עַל זֹאת יִתְפַּלֵּל כָּל חָסִיד. וְעַל זֹאת וַדַּאי לְשֵׁם ה' שֶׁהוּא עַל זֹאת. </w:t>
      </w:r>
      <w:r w:rsidRPr="00007309">
        <w:rPr>
          <w:rFonts w:cs="Arial"/>
          <w:b/>
          <w:bCs/>
          <w:sz w:val="36"/>
          <w:szCs w:val="28"/>
          <w:vertAlign w:val="superscript"/>
          <w:rtl/>
        </w:rPr>
        <w:footnoteReference w:id="7702"/>
      </w:r>
      <w:r w:rsidRPr="00007309">
        <w:rPr>
          <w:rFonts w:cs="Arial"/>
          <w:b/>
          <w:bCs/>
          <w:sz w:val="24"/>
          <w:szCs w:val="24"/>
          <w:rtl/>
        </w:rPr>
        <w:t xml:space="preserve">לָמָּה תִּקְּנוּ בְּשַׁחֲרִית תְּפִלָּה לְמִדָּה יְדוּעָה. וְכֵן בְּמִנְחָה לְמִדָּה יְדוּעָה. וְכֵן בְּעַרְבִית לְמִדָּה יְדוּעָה. וְכֵן בְּשַׁבָּת לְמִדָּה יְדוּעָה. וְכֵן בְּיוֹם טוֹב לְמִדָּה יְדוּעָה. וְכֵן בַּעֲשֶׂרֶת יְמֵי תְּשׁוּבָה לְמִדָּה יְדוּעָה. אֶלָּא </w:t>
      </w:r>
      <w:r w:rsidRPr="00007309">
        <w:rPr>
          <w:rFonts w:cs="Arial"/>
          <w:b/>
          <w:bCs/>
          <w:sz w:val="36"/>
          <w:szCs w:val="28"/>
          <w:vertAlign w:val="superscript"/>
          <w:rtl/>
        </w:rPr>
        <w:footnoteReference w:id="7703"/>
      </w:r>
      <w:r w:rsidRPr="00007309">
        <w:rPr>
          <w:rFonts w:cs="Arial"/>
          <w:b/>
          <w:bCs/>
          <w:sz w:val="24"/>
          <w:szCs w:val="24"/>
          <w:rtl/>
        </w:rPr>
        <w:t xml:space="preserve">מַה שֶּׁאָמַר עַל זֹאת, הוּא מוֹרֶה </w:t>
      </w:r>
      <w:r w:rsidRPr="00007309">
        <w:rPr>
          <w:rFonts w:cs="Arial"/>
          <w:b/>
          <w:bCs/>
          <w:sz w:val="36"/>
          <w:szCs w:val="28"/>
          <w:vertAlign w:val="superscript"/>
          <w:rtl/>
        </w:rPr>
        <w:footnoteReference w:id="7704"/>
      </w:r>
      <w:r w:rsidRPr="00007309">
        <w:rPr>
          <w:rFonts w:cs="Arial"/>
          <w:b/>
          <w:bCs/>
          <w:sz w:val="24"/>
          <w:szCs w:val="24"/>
          <w:rtl/>
        </w:rPr>
        <w:t xml:space="preserve">שֶׁיְּהוָֹ'ה הוּא </w:t>
      </w:r>
      <w:r w:rsidRPr="00007309">
        <w:rPr>
          <w:rFonts w:cs="Arial" w:hint="cs"/>
          <w:b/>
          <w:bCs/>
          <w:sz w:val="24"/>
          <w:szCs w:val="24"/>
          <w:rtl/>
        </w:rPr>
        <w:t>ב</w:t>
      </w:r>
      <w:r w:rsidRPr="00007309">
        <w:rPr>
          <w:rFonts w:cs="Arial"/>
          <w:b/>
          <w:bCs/>
          <w:sz w:val="24"/>
          <w:szCs w:val="24"/>
          <w:rtl/>
        </w:rPr>
        <w:t>ְּכָל סְפִירָה וּסְפִירָה</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705"/>
      </w:r>
      <w:r w:rsidRPr="00007309">
        <w:rPr>
          <w:rFonts w:cs="Arial"/>
          <w:b/>
          <w:bCs/>
          <w:sz w:val="24"/>
          <w:szCs w:val="24"/>
          <w:rtl/>
        </w:rPr>
        <w:t xml:space="preserve">כְּמָה שֶׁאָמַר דָּוִד </w:t>
      </w:r>
      <w:r w:rsidRPr="00007309">
        <w:rPr>
          <w:rFonts w:cs="Arial" w:hint="cs"/>
          <w:b/>
          <w:bCs/>
          <w:sz w:val="24"/>
          <w:szCs w:val="24"/>
          <w:rtl/>
        </w:rPr>
        <w:t xml:space="preserve">(דברי הימים א כט יא) </w:t>
      </w:r>
      <w:r w:rsidRPr="00007309">
        <w:rPr>
          <w:rFonts w:cs="Arial"/>
          <w:b/>
          <w:bCs/>
          <w:sz w:val="24"/>
          <w:szCs w:val="24"/>
          <w:rtl/>
        </w:rPr>
        <w:t>לְךָ ה' הַגְּדֻלָּה וְהַגְּבוּרָה. וְכָל סְפִירָה אֵין לָהּ פְּעֻלָּה בַּתַּחְתּוֹנִים, אֶלָּא עַל יְדֵי הַמַּלְכוּת</w:t>
      </w:r>
      <w:r w:rsidRPr="00007309">
        <w:rPr>
          <w:rFonts w:cs="Arial" w:hint="cs"/>
          <w:b/>
          <w:bCs/>
          <w:sz w:val="24"/>
          <w:szCs w:val="24"/>
          <w:rtl/>
        </w:rPr>
        <w:t>,</w:t>
      </w:r>
      <w:r w:rsidRPr="00007309">
        <w:rPr>
          <w:rFonts w:cs="Arial"/>
          <w:b/>
          <w:bCs/>
          <w:sz w:val="24"/>
          <w:szCs w:val="24"/>
          <w:rtl/>
        </w:rPr>
        <w:t xml:space="preserve"> שֶׁנֶּאֱמַר בָּהּ </w:t>
      </w:r>
      <w:r w:rsidRPr="00007309">
        <w:rPr>
          <w:rFonts w:cs="Arial" w:hint="cs"/>
          <w:b/>
          <w:bCs/>
          <w:sz w:val="24"/>
          <w:szCs w:val="24"/>
          <w:rtl/>
        </w:rPr>
        <w:t xml:space="preserve">(תהלים קג יט) </w:t>
      </w:r>
      <w:r w:rsidRPr="00007309">
        <w:rPr>
          <w:rFonts w:cs="Arial"/>
          <w:b/>
          <w:bCs/>
          <w:sz w:val="24"/>
          <w:szCs w:val="24"/>
          <w:rtl/>
        </w:rPr>
        <w:t>וּמַלְכוּתוֹ בְּכָל מָשָׁלָה. אֲבָל בִּזְמַן שֶׁצָּרִיךְ הַקָּדוֹשׁ בָּרוּךְ הוּא לְהַצְדִּיק צַדִּיק וְלַעֲשׂוֹת עִמּוֹ צְדָקָה, שֶׁהוּא מַלְכוּת עִם הַתַּחְתּוֹנִים, נִכְלָלִים בּוֹ כָּל הַסְּפִירוֹת וְנִקְרָאִים צַדִּיקִים עַל שְׁמוֹ</w:t>
      </w:r>
      <w:r w:rsidRPr="00007309">
        <w:rPr>
          <w:rFonts w:cs="Arial" w:hint="cs"/>
          <w:b/>
          <w:bCs/>
          <w:sz w:val="24"/>
          <w:szCs w:val="24"/>
          <w:rtl/>
        </w:rPr>
        <w:t>,</w:t>
      </w:r>
      <w:r w:rsidRPr="00007309">
        <w:rPr>
          <w:rFonts w:cs="Arial"/>
          <w:b/>
          <w:bCs/>
          <w:sz w:val="24"/>
          <w:szCs w:val="24"/>
          <w:rtl/>
        </w:rPr>
        <w:t xml:space="preserve"> וְה' נִקְרָא עַל שְׁמוֹ צַדִּיק</w:t>
      </w:r>
      <w:r w:rsidRPr="00007309">
        <w:rPr>
          <w:rFonts w:cs="Arial" w:hint="cs"/>
          <w:b/>
          <w:bCs/>
          <w:sz w:val="24"/>
          <w:szCs w:val="24"/>
          <w:rtl/>
        </w:rPr>
        <w:t>,</w:t>
      </w:r>
      <w:r w:rsidRPr="00007309">
        <w:rPr>
          <w:rFonts w:cs="Arial"/>
          <w:b/>
          <w:bCs/>
          <w:sz w:val="24"/>
          <w:szCs w:val="24"/>
          <w:rtl/>
        </w:rPr>
        <w:t xml:space="preserve"> שֶׁנֶּאֱמַר </w:t>
      </w:r>
      <w:r w:rsidRPr="00007309">
        <w:rPr>
          <w:rFonts w:cs="Arial" w:hint="cs"/>
          <w:b/>
          <w:bCs/>
          <w:sz w:val="24"/>
          <w:szCs w:val="24"/>
          <w:rtl/>
        </w:rPr>
        <w:t xml:space="preserve">(תהלים קמה יז) </w:t>
      </w:r>
      <w:r w:rsidRPr="00007309">
        <w:rPr>
          <w:rFonts w:cs="Arial"/>
          <w:b/>
          <w:bCs/>
          <w:sz w:val="24"/>
          <w:szCs w:val="24"/>
          <w:rtl/>
        </w:rPr>
        <w:t>צַדִּיק ה' בְּכָל דְּרָכָיו. וּמְרַחֵם עַל בְּרִיּוֹתָיו בִּצְדָקָה</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706"/>
      </w:r>
      <w:r w:rsidRPr="00007309">
        <w:rPr>
          <w:rFonts w:cs="Arial"/>
          <w:b/>
          <w:bCs/>
          <w:sz w:val="24"/>
          <w:szCs w:val="24"/>
          <w:rtl/>
        </w:rPr>
        <w:t xml:space="preserve">וְאֵין צְדָקָה אֶלָּא תְּפִלָּה, שֶׁהִיא צ', תִּשְׁעִים אֲמֵנִים. ד', ד' קְדֻשּׁוֹת בְּכָל יוֹם. ק', מֵאָה בְּרָכוֹת. ה', חֲמִשָּׁה חֻמְשֵׁי תּוֹרָה. וְזֶהוּ </w:t>
      </w:r>
      <w:r w:rsidRPr="00007309">
        <w:rPr>
          <w:rFonts w:cs="Arial" w:hint="cs"/>
          <w:b/>
          <w:bCs/>
          <w:sz w:val="24"/>
          <w:szCs w:val="24"/>
          <w:rtl/>
        </w:rPr>
        <w:t xml:space="preserve">(משלי יד לד) </w:t>
      </w:r>
      <w:r w:rsidRPr="00007309">
        <w:rPr>
          <w:rFonts w:cs="Arial"/>
          <w:b/>
          <w:bCs/>
          <w:sz w:val="36"/>
          <w:szCs w:val="28"/>
          <w:vertAlign w:val="superscript"/>
          <w:rtl/>
        </w:rPr>
        <w:footnoteReference w:id="7707"/>
      </w:r>
      <w:r w:rsidRPr="00007309">
        <w:rPr>
          <w:rFonts w:cs="Arial"/>
          <w:b/>
          <w:bCs/>
          <w:sz w:val="24"/>
          <w:szCs w:val="24"/>
          <w:rtl/>
        </w:rPr>
        <w:t xml:space="preserve">צְדָקָה תְּרוֹמֵם גּוֹי. וְעָלָיו נֶאֱמַר לְאַבְרָהָם </w:t>
      </w:r>
      <w:r w:rsidRPr="00007309">
        <w:rPr>
          <w:rFonts w:cs="Arial" w:hint="cs"/>
          <w:b/>
          <w:bCs/>
          <w:sz w:val="24"/>
          <w:szCs w:val="24"/>
          <w:rtl/>
        </w:rPr>
        <w:t xml:space="preserve">(בראשית טו ו) </w:t>
      </w:r>
      <w:r w:rsidRPr="00007309">
        <w:rPr>
          <w:rFonts w:cs="Arial"/>
          <w:b/>
          <w:bCs/>
          <w:sz w:val="36"/>
          <w:szCs w:val="28"/>
          <w:vertAlign w:val="superscript"/>
          <w:rtl/>
        </w:rPr>
        <w:footnoteReference w:id="7708"/>
      </w:r>
      <w:r w:rsidRPr="00007309">
        <w:rPr>
          <w:rFonts w:cs="Arial"/>
          <w:b/>
          <w:bCs/>
          <w:sz w:val="24"/>
          <w:szCs w:val="24"/>
          <w:rtl/>
        </w:rPr>
        <w:t>וַיַּחְשְׁבֶהָ לוֹ צְדָקָה. וּכְשֶׁהוּא רוֹצֶה לְהָגֵן בָּהּ נֶאֱמַר בָּהּ (ישעיה נט) וַיִּלְבַּשׁ צְדָקָה כַּשִרְיוֹן. מִצַּד ה' הִיא צְדָקָה. וּמִצַּד י' הִיא כּוֹבַע עַל רֹאשׁ צַדִּיק, אוֹת בְּרִית</w:t>
      </w:r>
      <w:r w:rsidRPr="00007309">
        <w:rPr>
          <w:rFonts w:cs="Arial" w:hint="cs"/>
          <w:b/>
          <w:bCs/>
          <w:sz w:val="24"/>
          <w:szCs w:val="24"/>
          <w:rtl/>
        </w:rPr>
        <w:t>,</w:t>
      </w:r>
      <w:r w:rsidRPr="00007309">
        <w:rPr>
          <w:rFonts w:cs="Arial"/>
          <w:b/>
          <w:bCs/>
          <w:sz w:val="24"/>
          <w:szCs w:val="24"/>
          <w:rtl/>
        </w:rPr>
        <w:t xml:space="preserve"> עֲטָרָה בְּרֹאשׁ כָּל צַדִּיק. וּמִצַּד ו' נֶאֱמַר בָּהּ </w:t>
      </w:r>
      <w:r w:rsidRPr="00007309">
        <w:rPr>
          <w:rFonts w:cs="Arial"/>
          <w:b/>
          <w:bCs/>
          <w:sz w:val="36"/>
          <w:szCs w:val="28"/>
          <w:vertAlign w:val="superscript"/>
          <w:rtl/>
        </w:rPr>
        <w:footnoteReference w:id="7709"/>
      </w:r>
      <w:r w:rsidRPr="00007309">
        <w:rPr>
          <w:rFonts w:cs="Arial"/>
          <w:b/>
          <w:bCs/>
          <w:sz w:val="24"/>
          <w:szCs w:val="24"/>
          <w:rtl/>
        </w:rPr>
        <w:t xml:space="preserve">אֲרֻכָּה מֵאֶרֶץ מִדָּהּ. מִצַּד ה' עֶלְיוֹנָה </w:t>
      </w:r>
      <w:r w:rsidRPr="00007309">
        <w:rPr>
          <w:rFonts w:cs="Arial"/>
          <w:b/>
          <w:bCs/>
          <w:sz w:val="36"/>
          <w:szCs w:val="28"/>
          <w:vertAlign w:val="superscript"/>
          <w:rtl/>
        </w:rPr>
        <w:footnoteReference w:id="7710"/>
      </w:r>
      <w:r w:rsidRPr="00007309">
        <w:rPr>
          <w:rFonts w:cs="Arial"/>
          <w:b/>
          <w:bCs/>
          <w:sz w:val="24"/>
          <w:szCs w:val="24"/>
          <w:rtl/>
        </w:rPr>
        <w:t>וּרְחָבָה מִנִּי יָם. וּכְשֶׁרוֹצֶה הַקָּדוֹשׁ בָּרוּךְ הוּא לְהַמְשִׁיךְ נְבוּאָה כָּל הַסְּפִירוֹת כְּלוּלִים בָּהּ וְנִקְרְאוּ</w:t>
      </w:r>
      <w:r w:rsidRPr="00007309">
        <w:rPr>
          <w:rFonts w:cs="Arial"/>
          <w:b/>
          <w:bCs/>
          <w:sz w:val="24"/>
          <w:szCs w:val="24"/>
        </w:rPr>
        <w:t xml:space="preserve"> </w:t>
      </w:r>
      <w:r w:rsidRPr="00007309">
        <w:rPr>
          <w:rFonts w:cs="Arial"/>
          <w:b/>
          <w:bCs/>
          <w:sz w:val="24"/>
          <w:szCs w:val="24"/>
          <w:rtl/>
        </w:rPr>
        <w:t>נְבִיאִים. וּמַלְכוּת הִיא דִּמְיוֹן כֻּלָּם. שֶׁנֶּאֱמַר (הושע יב) וּבְיַד הַנְּבִיאִים אֲדַמֶּה. כְּמָה שֶׁנֶּאֱמַר וְדִבַּרְתִּי עַל הַנְּבִיאִים. שֶׁהִיא כְּמוֹ אַסְפַּקְלַרְיָא שֶׁכָּל הַפָּנִים נִרְאִים בָּהּ. וְכֵן כָּל הַסְּפִירוֹת מַרְאִים בָּהּ כֹּחָם וְדִמְיוֹנָם וְצוּרוֹתָם, לְכָל נָבִיא כְּפִי הַשָּגָתוֹ לְמַעְלָה. וּכְמוֹ כֵן לְמַטָה הִיא מִתְלַבֶּשֶׁת בְּכִסֵּא הַכָּבוֹד, וּבְכָל הַמַּלְאָכִים וְהָאוֹפַנִּים וְחַיּוֹת הַקֹּדֶשׁ, וּבְכָל הָרְקִיעִים וְהַכִּסְאוֹת שֶׁבָּהֶם הַמַּלְאָכִים הַתְּלוּיִם מֵהֶם, שֶׁיֵּשׁ מַלְאָכִים גְּבוֹהִים עֲלֵיהֶם. שֶׁנֶּאֱמַר (קהלת ה) כִּי גָּבֹהַּ מֵעַל גָּבֹהַּ שׁוֹמֵר וּגְבוֹהִים עֲלֵיהֶם</w:t>
      </w:r>
      <w:r w:rsidRPr="00007309">
        <w:rPr>
          <w:rFonts w:cs="Arial" w:hint="cs"/>
          <w:b/>
          <w:bCs/>
          <w:sz w:val="24"/>
          <w:szCs w:val="24"/>
          <w:rtl/>
        </w:rPr>
        <w:t>.</w:t>
      </w:r>
      <w:r w:rsidRPr="00007309">
        <w:rPr>
          <w:rFonts w:cs="Arial"/>
          <w:b/>
          <w:bCs/>
          <w:sz w:val="24"/>
          <w:szCs w:val="24"/>
          <w:rtl/>
        </w:rPr>
        <w:t xml:space="preserve"> וְכֵן בְּכָל כּוֹכָב וּמַזָּל כְּמוֹ שֶׁנֶּאֱמַר וּמַלְכוּתוֹ בְּכָל מָשָׁלָה. וְזֶהוּ וּבְיַד הַנְּבִיאִים אֲדַמֶּה. לְכָל אֶחָד נִדְמֶה כְּפִי כֹּחוֹ שֶׁהִיא נִשְׁמָתוֹ. </w:t>
      </w:r>
      <w:r w:rsidRPr="00007309">
        <w:rPr>
          <w:rFonts w:cs="Arial"/>
          <w:b/>
          <w:bCs/>
          <w:sz w:val="36"/>
          <w:szCs w:val="28"/>
          <w:vertAlign w:val="superscript"/>
          <w:rtl/>
        </w:rPr>
        <w:footnoteReference w:id="7711"/>
      </w:r>
      <w:r w:rsidRPr="00007309">
        <w:rPr>
          <w:rFonts w:cs="Arial"/>
          <w:b/>
          <w:bCs/>
          <w:sz w:val="24"/>
          <w:szCs w:val="24"/>
          <w:rtl/>
        </w:rPr>
        <w:t>וְהַבֵן אֲמָרָם הָעוֹנֶה אָמֵן בְּכָל כֹּחוֹ</w:t>
      </w:r>
      <w:r w:rsidRPr="00007309">
        <w:rPr>
          <w:rFonts w:cs="Arial" w:hint="cs"/>
          <w:b/>
          <w:bCs/>
          <w:sz w:val="24"/>
          <w:szCs w:val="24"/>
          <w:rtl/>
        </w:rPr>
        <w:t>.</w:t>
      </w:r>
      <w:r w:rsidRPr="00007309">
        <w:rPr>
          <w:rFonts w:cs="Arial"/>
          <w:b/>
          <w:bCs/>
          <w:sz w:val="24"/>
          <w:szCs w:val="24"/>
          <w:rtl/>
        </w:rPr>
        <w:t xml:space="preserve"> ה' הוּא בְּכֶתֶר, שֶׁהָיָה </w:t>
      </w:r>
      <w:r w:rsidRPr="00007309">
        <w:rPr>
          <w:rFonts w:cs="Arial"/>
          <w:b/>
          <w:bCs/>
          <w:sz w:val="36"/>
          <w:szCs w:val="28"/>
          <w:vertAlign w:val="superscript"/>
          <w:rtl/>
        </w:rPr>
        <w:footnoteReference w:id="7712"/>
      </w:r>
      <w:r w:rsidRPr="00007309">
        <w:rPr>
          <w:rFonts w:cs="Arial"/>
          <w:b/>
          <w:bCs/>
          <w:sz w:val="24"/>
          <w:szCs w:val="24"/>
          <w:rtl/>
        </w:rPr>
        <w:t>קֹדֶם שֶׁנִּבְרָא הָעוֹלָם הוּא וּשְׁמוֹ לְבַד בְּכֶתֶר. כְּשֶּׁבָּרָא הָעוֹלָם בְּמִדַּת רֵאשִׁית, יָרַד עָלָיו וְלֹא הָיָה חָסֵר מִלְּמַעְלָה, וְכֵן בְּכָל סְפִירָה וּסְפִירָה כְּמַדְלִיק נֵר מִנֵּר, וְאֵינוֹ חָסֵר מִן הָרִאשׁוֹנָה</w:t>
      </w:r>
      <w:r w:rsidRPr="00007309">
        <w:rPr>
          <w:rFonts w:cs="Arial" w:hint="cs"/>
          <w:b/>
          <w:bCs/>
          <w:sz w:val="24"/>
          <w:szCs w:val="24"/>
          <w:rtl/>
        </w:rPr>
        <w:t>,</w:t>
      </w:r>
      <w:r w:rsidRPr="00007309">
        <w:rPr>
          <w:rFonts w:cs="Arial"/>
          <w:b/>
          <w:bCs/>
          <w:sz w:val="24"/>
          <w:szCs w:val="24"/>
          <w:rtl/>
        </w:rPr>
        <w:t xml:space="preserve"> וְלֹא מֵחֲבֶרְתָּהּ עַד אֵין סוֹף וְאֵין תַּכְלִית. </w:t>
      </w:r>
    </w:p>
    <w:p w:rsidR="00007309" w:rsidRPr="00007309" w:rsidRDefault="00007309" w:rsidP="00007309">
      <w:pPr>
        <w:keepNext/>
        <w:outlineLvl w:val="1"/>
        <w:rPr>
          <w:rFonts w:ascii="Cambria" w:hAnsi="Cambria" w:cs="Times New Roman"/>
          <w:b/>
          <w:bCs/>
          <w:i/>
          <w:iCs/>
          <w:sz w:val="28"/>
          <w:szCs w:val="28"/>
          <w:rtl/>
        </w:rPr>
      </w:pPr>
      <w:r w:rsidRPr="00007309">
        <w:rPr>
          <w:rFonts w:ascii="Cambria" w:hAnsi="Cambria" w:cs="Times New Roman"/>
          <w:b/>
          <w:bCs/>
          <w:i/>
          <w:iCs/>
          <w:sz w:val="28"/>
          <w:szCs w:val="28"/>
          <w:rtl/>
        </w:rPr>
        <w:t>[</w:t>
      </w:r>
      <w:r w:rsidRPr="00007309">
        <w:rPr>
          <w:rFonts w:ascii="Cambria" w:hAnsi="Cambria" w:cs="Times New Roman" w:hint="cs"/>
          <w:b/>
          <w:bCs/>
          <w:i/>
          <w:iCs/>
          <w:sz w:val="28"/>
          <w:szCs w:val="28"/>
          <w:rtl/>
        </w:rPr>
        <w:t>דף</w:t>
      </w:r>
      <w:r w:rsidRPr="00007309">
        <w:rPr>
          <w:rFonts w:ascii="Cambria" w:hAnsi="Cambria" w:cs="Times New Roman"/>
          <w:b/>
          <w:bCs/>
          <w:i/>
          <w:iCs/>
          <w:sz w:val="28"/>
          <w:szCs w:val="28"/>
          <w:rtl/>
        </w:rPr>
        <w:t xml:space="preserve"> </w:t>
      </w:r>
      <w:r w:rsidRPr="00007309">
        <w:rPr>
          <w:rFonts w:ascii="Cambria" w:hAnsi="Cambria" w:cs="Times New Roman" w:hint="cs"/>
          <w:b/>
          <w:bCs/>
          <w:i/>
          <w:iCs/>
          <w:sz w:val="28"/>
          <w:szCs w:val="28"/>
          <w:rtl/>
        </w:rPr>
        <w:t>פג</w:t>
      </w:r>
      <w:r w:rsidRPr="00007309">
        <w:rPr>
          <w:rFonts w:ascii="Cambria" w:hAnsi="Cambria" w:cs="Times New Roman"/>
          <w:b/>
          <w:bCs/>
          <w:i/>
          <w:iCs/>
          <w:sz w:val="28"/>
          <w:szCs w:val="28"/>
          <w:rtl/>
        </w:rPr>
        <w:t xml:space="preserve"> ע"</w:t>
      </w:r>
      <w:r w:rsidRPr="00007309">
        <w:rPr>
          <w:rFonts w:ascii="Cambria" w:hAnsi="Cambria" w:cs="Times New Roman" w:hint="cs"/>
          <w:b/>
          <w:bCs/>
          <w:i/>
          <w:iCs/>
          <w:sz w:val="28"/>
          <w:szCs w:val="28"/>
          <w:rtl/>
        </w:rPr>
        <w:t>ב</w:t>
      </w:r>
      <w:r w:rsidRPr="00007309">
        <w:rPr>
          <w:rFonts w:ascii="Cambria" w:hAnsi="Cambria" w:cs="Times New Roman"/>
          <w:b/>
          <w:bCs/>
          <w:i/>
          <w:iCs/>
          <w:sz w:val="28"/>
          <w:szCs w:val="28"/>
          <w:rtl/>
        </w:rPr>
        <w:t>]</w:t>
      </w:r>
    </w:p>
    <w:p w:rsidR="00007309" w:rsidRPr="00007309" w:rsidRDefault="00007309" w:rsidP="00007309">
      <w:pPr>
        <w:jc w:val="both"/>
        <w:rPr>
          <w:rFonts w:cs="Arial"/>
          <w:b/>
          <w:bCs/>
          <w:sz w:val="24"/>
          <w:szCs w:val="24"/>
        </w:rPr>
      </w:pPr>
      <w:r w:rsidRPr="00007309">
        <w:rPr>
          <w:rFonts w:cs="Arial"/>
          <w:b/>
          <w:bCs/>
          <w:sz w:val="24"/>
          <w:szCs w:val="24"/>
          <w:rtl/>
        </w:rPr>
        <w:t xml:space="preserve">וּמִי שֶׁמַּכִּיר אוֹתוֹ בָּזֹאת, כְּאִלּוּ מַכִּיר אוֹתוֹ בָּעֶלְיוֹנִים וּבַתַּחְתּוֹנִים. בַּעֲבוּר שֶׁהִיא כְּלוּלָה </w:t>
      </w:r>
      <w:r w:rsidRPr="00007309">
        <w:rPr>
          <w:rFonts w:ascii="Cambria" w:hAnsi="Cambria" w:cs="Times New Roman" w:hint="cs"/>
          <w:b/>
          <w:bCs/>
          <w:i/>
          <w:iCs/>
          <w:color w:val="4F81BD"/>
          <w:sz w:val="24"/>
          <w:szCs w:val="24"/>
          <w:rtl/>
        </w:rPr>
        <w:t>(פג ע"ב)</w:t>
      </w:r>
      <w:r w:rsidRPr="00007309">
        <w:rPr>
          <w:rFonts w:cs="Arial" w:hint="cs"/>
          <w:b/>
          <w:bCs/>
          <w:sz w:val="24"/>
          <w:szCs w:val="24"/>
          <w:rtl/>
        </w:rPr>
        <w:t xml:space="preserve"> </w:t>
      </w:r>
      <w:r w:rsidRPr="00007309">
        <w:rPr>
          <w:rFonts w:cs="Arial"/>
          <w:b/>
          <w:bCs/>
          <w:sz w:val="24"/>
          <w:szCs w:val="24"/>
          <w:rtl/>
        </w:rPr>
        <w:t xml:space="preserve">מֵהָעֶלְיוֹנִים. </w:t>
      </w:r>
      <w:r w:rsidRPr="00007309">
        <w:rPr>
          <w:rFonts w:cs="Arial"/>
          <w:b/>
          <w:bCs/>
          <w:sz w:val="36"/>
          <w:szCs w:val="28"/>
          <w:vertAlign w:val="superscript"/>
          <w:rtl/>
        </w:rPr>
        <w:footnoteReference w:id="7713"/>
      </w:r>
      <w:r w:rsidRPr="00007309">
        <w:rPr>
          <w:rFonts w:cs="Arial"/>
          <w:b/>
          <w:bCs/>
          <w:sz w:val="24"/>
          <w:szCs w:val="24"/>
          <w:rtl/>
        </w:rPr>
        <w:t xml:space="preserve">וְהִיא יִחוּד וְקֶשֶׁר כֻּלָּם. וְהִיא מִתְלַבֶּשֶׁת בְּכָל הַתַּחְתּוֹנִים. וְעַל זֶה אָמַר הַנָּבִיא (ירמיה ט) כֹּה אָמַר ה' אַל יִתְהַלֵּל חָכָם כִּי אִם בּזֹאת וְגוֹ' </w:t>
      </w:r>
      <w:r w:rsidRPr="00007309">
        <w:rPr>
          <w:rFonts w:cs="Arial"/>
          <w:b/>
          <w:bCs/>
          <w:sz w:val="36"/>
          <w:szCs w:val="28"/>
          <w:vertAlign w:val="superscript"/>
          <w:rtl/>
        </w:rPr>
        <w:footnoteReference w:id="7714"/>
      </w:r>
      <w:r w:rsidRPr="00007309">
        <w:rPr>
          <w:rFonts w:cs="Arial"/>
          <w:b/>
          <w:bCs/>
          <w:sz w:val="24"/>
          <w:szCs w:val="24"/>
          <w:rtl/>
        </w:rPr>
        <w:t>הַשְׂכֵּל וְיָדוֹעַ אוֹתִי. הִיא נִקְרֵאת נְבוּאָה מִצַּד הַנְּבִיאִים, חָכְמָה מִצַּד הַחֲכָמִים</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715"/>
      </w:r>
      <w:r w:rsidRPr="00007309">
        <w:rPr>
          <w:rFonts w:cs="Arial"/>
          <w:b/>
          <w:bCs/>
          <w:sz w:val="24"/>
          <w:szCs w:val="24"/>
          <w:rtl/>
        </w:rPr>
        <w:t>שֶׁכֹּל הַסְּפִירוֹת נִקְרָאִים חָכְמָה</w:t>
      </w:r>
      <w:r w:rsidRPr="00007309">
        <w:rPr>
          <w:rFonts w:cs="Arial"/>
          <w:b/>
          <w:bCs/>
          <w:sz w:val="24"/>
          <w:szCs w:val="24"/>
        </w:rPr>
        <w:t>:</w:t>
      </w:r>
    </w:p>
    <w:p w:rsidR="00007309" w:rsidRPr="00007309" w:rsidRDefault="00007309" w:rsidP="00007309">
      <w:pPr>
        <w:jc w:val="both"/>
        <w:rPr>
          <w:rFonts w:ascii="Arial" w:hAnsi="Arial" w:cs="Arial"/>
          <w:sz w:val="24"/>
          <w:szCs w:val="24"/>
        </w:rPr>
      </w:pPr>
      <w:r w:rsidRPr="00007309">
        <w:rPr>
          <w:rFonts w:ascii="Arial" w:hAnsi="Arial" w:cs="Arial"/>
          <w:sz w:val="24"/>
          <w:szCs w:val="24"/>
          <w:rtl/>
        </w:rPr>
        <w:t xml:space="preserve">(ע"כ </w:t>
      </w:r>
      <w:r w:rsidRPr="00007309">
        <w:rPr>
          <w:rFonts w:ascii="Arial" w:hAnsi="Arial" w:cs="Arial" w:hint="cs"/>
          <w:sz w:val="24"/>
          <w:szCs w:val="24"/>
          <w:rtl/>
        </w:rPr>
        <w:t>ו</w:t>
      </w:r>
      <w:r w:rsidRPr="00007309">
        <w:rPr>
          <w:rFonts w:ascii="Arial" w:hAnsi="Arial" w:cs="Arial"/>
          <w:sz w:val="24"/>
          <w:szCs w:val="24"/>
          <w:rtl/>
        </w:rPr>
        <w:t>לא נמצא יותר</w:t>
      </w:r>
      <w:r w:rsidRPr="00007309">
        <w:rPr>
          <w:rFonts w:ascii="Arial" w:hAnsi="Arial" w:cs="Arial" w:hint="cs"/>
          <w:sz w:val="24"/>
          <w:szCs w:val="24"/>
          <w:rtl/>
        </w:rPr>
        <w:t>.</w:t>
      </w:r>
      <w:r w:rsidRPr="00007309">
        <w:rPr>
          <w:rFonts w:ascii="Arial" w:hAnsi="Arial" w:cs="Arial"/>
          <w:sz w:val="24"/>
          <w:szCs w:val="24"/>
          <w:rtl/>
        </w:rPr>
        <w:t xml:space="preserve"> ואחר זה כתוב בספרים של כתיבת יד מה שכתוב בתקונים ל"ט עמוד ב'</w:t>
      </w:r>
      <w:r w:rsidRPr="00007309">
        <w:rPr>
          <w:rFonts w:ascii="Arial" w:hAnsi="Arial" w:cs="Arial" w:hint="cs"/>
          <w:sz w:val="24"/>
          <w:szCs w:val="24"/>
          <w:rtl/>
        </w:rPr>
        <w:t>:</w:t>
      </w:r>
      <w:r w:rsidRPr="00007309">
        <w:rPr>
          <w:rFonts w:ascii="Arial" w:hAnsi="Arial" w:cs="Arial"/>
          <w:sz w:val="24"/>
          <w:szCs w:val="24"/>
          <w:rtl/>
        </w:rPr>
        <w:t xml:space="preserve"> וכח את</w:t>
      </w:r>
      <w:r w:rsidRPr="00007309">
        <w:rPr>
          <w:rFonts w:ascii="Arial" w:hAnsi="Arial" w:cs="Arial" w:hint="cs"/>
          <w:sz w:val="24"/>
          <w:szCs w:val="24"/>
          <w:rtl/>
        </w:rPr>
        <w:t>ו</w:t>
      </w:r>
      <w:r w:rsidRPr="00007309">
        <w:rPr>
          <w:rFonts w:ascii="Arial" w:hAnsi="Arial" w:cs="Arial"/>
          <w:sz w:val="24"/>
          <w:szCs w:val="24"/>
          <w:rtl/>
        </w:rPr>
        <w:t>ון א</w:t>
      </w:r>
      <w:r w:rsidRPr="00007309">
        <w:rPr>
          <w:rFonts w:ascii="Arial" w:hAnsi="Arial" w:cs="Arial" w:hint="cs"/>
          <w:sz w:val="24"/>
          <w:szCs w:val="24"/>
          <w:rtl/>
        </w:rPr>
        <w:t>י</w:t>
      </w:r>
      <w:r w:rsidRPr="00007309">
        <w:rPr>
          <w:rFonts w:ascii="Arial" w:hAnsi="Arial" w:cs="Arial"/>
          <w:sz w:val="24"/>
          <w:szCs w:val="24"/>
          <w:rtl/>
        </w:rPr>
        <w:t>נון לכל עובדא מבראשית וכלה</w:t>
      </w:r>
      <w:r w:rsidRPr="00007309">
        <w:rPr>
          <w:rFonts w:ascii="Arial" w:hAnsi="Arial" w:cs="Arial" w:hint="cs"/>
          <w:sz w:val="24"/>
          <w:szCs w:val="24"/>
          <w:rtl/>
        </w:rPr>
        <w:t>ו</w:t>
      </w:r>
      <w:r w:rsidRPr="00007309">
        <w:rPr>
          <w:rFonts w:ascii="Arial" w:hAnsi="Arial" w:cs="Arial"/>
          <w:sz w:val="24"/>
          <w:szCs w:val="24"/>
          <w:rtl/>
        </w:rPr>
        <w:t xml:space="preserve"> א</w:t>
      </w:r>
      <w:r w:rsidRPr="00007309">
        <w:rPr>
          <w:rFonts w:ascii="Arial" w:hAnsi="Arial" w:cs="Arial" w:hint="cs"/>
          <w:sz w:val="24"/>
          <w:szCs w:val="24"/>
          <w:rtl/>
        </w:rPr>
        <w:t>י</w:t>
      </w:r>
      <w:r w:rsidRPr="00007309">
        <w:rPr>
          <w:rFonts w:ascii="Arial" w:hAnsi="Arial" w:cs="Arial"/>
          <w:sz w:val="24"/>
          <w:szCs w:val="24"/>
          <w:rtl/>
        </w:rPr>
        <w:t>נון בין לכתיבה</w:t>
      </w:r>
      <w:r w:rsidRPr="00007309">
        <w:rPr>
          <w:rFonts w:ascii="Arial" w:hAnsi="Arial" w:cs="Arial" w:hint="cs"/>
          <w:sz w:val="24"/>
          <w:szCs w:val="24"/>
          <w:rtl/>
        </w:rPr>
        <w:t>.</w:t>
      </w:r>
      <w:r w:rsidRPr="00007309">
        <w:rPr>
          <w:rFonts w:ascii="Arial" w:hAnsi="Arial" w:cs="Arial"/>
          <w:sz w:val="24"/>
          <w:szCs w:val="24"/>
          <w:rtl/>
        </w:rPr>
        <w:t xml:space="preserve"> ונמשך בסדר בד</w:t>
      </w:r>
      <w:r w:rsidRPr="00007309">
        <w:rPr>
          <w:rFonts w:ascii="Arial" w:hAnsi="Arial" w:cs="Arial" w:hint="cs"/>
          <w:sz w:val="24"/>
          <w:szCs w:val="24"/>
          <w:rtl/>
        </w:rPr>
        <w:t xml:space="preserve">ף </w:t>
      </w:r>
      <w:r w:rsidRPr="00007309">
        <w:rPr>
          <w:rFonts w:ascii="Arial" w:hAnsi="Arial" w:cs="Arial"/>
          <w:sz w:val="24"/>
          <w:szCs w:val="24"/>
          <w:rtl/>
        </w:rPr>
        <w:t>מ</w:t>
      </w:r>
      <w:r w:rsidRPr="00007309">
        <w:rPr>
          <w:rFonts w:ascii="Arial" w:hAnsi="Arial" w:cs="Arial" w:hint="cs"/>
          <w:sz w:val="24"/>
          <w:szCs w:val="24"/>
          <w:rtl/>
        </w:rPr>
        <w:t>'</w:t>
      </w:r>
      <w:r w:rsidRPr="00007309">
        <w:rPr>
          <w:rFonts w:ascii="Arial" w:hAnsi="Arial" w:cs="Arial"/>
          <w:sz w:val="24"/>
          <w:szCs w:val="24"/>
          <w:rtl/>
        </w:rPr>
        <w:t xml:space="preserve"> ב</w:t>
      </w:r>
      <w:r w:rsidRPr="00007309">
        <w:rPr>
          <w:rFonts w:ascii="Arial" w:hAnsi="Arial" w:cs="Arial" w:hint="cs"/>
          <w:sz w:val="24"/>
          <w:szCs w:val="24"/>
          <w:rtl/>
        </w:rPr>
        <w:t xml:space="preserve">עמוד </w:t>
      </w:r>
      <w:r w:rsidRPr="00007309">
        <w:rPr>
          <w:rFonts w:ascii="Arial" w:hAnsi="Arial" w:cs="Arial"/>
          <w:sz w:val="24"/>
          <w:szCs w:val="24"/>
          <w:rtl/>
        </w:rPr>
        <w:t>ב</w:t>
      </w:r>
      <w:r w:rsidRPr="00007309">
        <w:rPr>
          <w:rFonts w:ascii="Arial" w:hAnsi="Arial" w:cs="Arial" w:hint="cs"/>
          <w:sz w:val="24"/>
          <w:szCs w:val="24"/>
          <w:rtl/>
        </w:rPr>
        <w:t>'</w:t>
      </w:r>
      <w:r w:rsidRPr="00007309">
        <w:rPr>
          <w:rFonts w:ascii="Arial" w:hAnsi="Arial" w:cs="Arial"/>
          <w:sz w:val="24"/>
          <w:szCs w:val="24"/>
          <w:rtl/>
        </w:rPr>
        <w:t xml:space="preserve"> בג' ניקודין א</w:t>
      </w:r>
      <w:r w:rsidRPr="00007309">
        <w:rPr>
          <w:rFonts w:ascii="Arial" w:hAnsi="Arial" w:cs="Arial" w:hint="cs"/>
          <w:sz w:val="24"/>
          <w:szCs w:val="24"/>
          <w:rtl/>
        </w:rPr>
        <w:t>י</w:t>
      </w:r>
      <w:r w:rsidRPr="00007309">
        <w:rPr>
          <w:rFonts w:ascii="Arial" w:hAnsi="Arial" w:cs="Arial"/>
          <w:sz w:val="24"/>
          <w:szCs w:val="24"/>
          <w:rtl/>
        </w:rPr>
        <w:t>נון ממיא ואשא ורוחא</w:t>
      </w:r>
      <w:r w:rsidRPr="00007309">
        <w:rPr>
          <w:rFonts w:ascii="Arial" w:hAnsi="Arial" w:cs="Arial" w:hint="cs"/>
          <w:sz w:val="24"/>
          <w:szCs w:val="24"/>
          <w:rtl/>
        </w:rPr>
        <w:t>.</w:t>
      </w:r>
      <w:r w:rsidRPr="00007309">
        <w:rPr>
          <w:rFonts w:ascii="Arial" w:hAnsi="Arial" w:cs="Arial"/>
          <w:sz w:val="24"/>
          <w:szCs w:val="24"/>
          <w:rtl/>
        </w:rPr>
        <w:t xml:space="preserve"> ואחריו שייך זה</w:t>
      </w:r>
      <w:r w:rsidRPr="00007309">
        <w:rPr>
          <w:rFonts w:ascii="Arial" w:hAnsi="Arial" w:cs="Arial"/>
          <w:sz w:val="24"/>
          <w:szCs w:val="24"/>
        </w:rPr>
        <w:t>(</w:t>
      </w:r>
    </w:p>
    <w:p w:rsidR="00007309" w:rsidRPr="00007309" w:rsidRDefault="00007309" w:rsidP="00007309">
      <w:pPr>
        <w:keepNext/>
        <w:spacing w:before="240" w:after="60"/>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[וילנא לג ע"א]</w:t>
      </w:r>
    </w:p>
    <w:p w:rsidR="00007309" w:rsidRPr="00007309" w:rsidRDefault="00007309" w:rsidP="00007309">
      <w:pPr>
        <w:jc w:val="both"/>
        <w:rPr>
          <w:rFonts w:cs="Arial"/>
          <w:b/>
          <w:bCs/>
          <w:sz w:val="24"/>
          <w:szCs w:val="24"/>
        </w:rPr>
      </w:pPr>
      <w:r w:rsidRPr="00007309">
        <w:rPr>
          <w:rFonts w:cs="Arial"/>
          <w:b/>
          <w:bCs/>
          <w:sz w:val="36"/>
          <w:szCs w:val="28"/>
          <w:vertAlign w:val="superscript"/>
          <w:rtl/>
        </w:rPr>
        <w:footnoteReference w:id="7716"/>
      </w:r>
      <w:r w:rsidRPr="00007309">
        <w:rPr>
          <w:rFonts w:cs="Arial"/>
          <w:b/>
          <w:bCs/>
          <w:sz w:val="24"/>
          <w:szCs w:val="24"/>
          <w:rtl/>
        </w:rPr>
        <w:t xml:space="preserve">וְעוֹד </w:t>
      </w:r>
      <w:r w:rsidRPr="00007309">
        <w:rPr>
          <w:rFonts w:cs="Arial" w:hint="cs"/>
          <w:b/>
          <w:bCs/>
          <w:sz w:val="24"/>
          <w:szCs w:val="24"/>
          <w:rtl/>
        </w:rPr>
        <w:t xml:space="preserve">(שה"ש ד ב) </w:t>
      </w:r>
      <w:r w:rsidRPr="00007309">
        <w:rPr>
          <w:rFonts w:cs="Arial"/>
          <w:b/>
          <w:bCs/>
          <w:sz w:val="24"/>
          <w:szCs w:val="24"/>
          <w:rtl/>
        </w:rPr>
        <w:t>כְּחוּט הַשָּׁנִי שִׂפְתוֹתַיִךְ וּמִדְּבָרֵךְ נָאוֶה. דָּא חוּט דְּשִׂפְוָן דִּצְלוֹתָא</w:t>
      </w:r>
      <w:r w:rsidRPr="00007309">
        <w:rPr>
          <w:rFonts w:cs="Arial" w:hint="cs"/>
          <w:b/>
          <w:bCs/>
          <w:sz w:val="24"/>
          <w:szCs w:val="24"/>
          <w:rtl/>
        </w:rPr>
        <w:t>,</w:t>
      </w:r>
      <w:r w:rsidRPr="00007309">
        <w:rPr>
          <w:rFonts w:cs="Arial"/>
          <w:b/>
          <w:bCs/>
          <w:sz w:val="24"/>
          <w:szCs w:val="24"/>
          <w:rtl/>
        </w:rPr>
        <w:t xml:space="preserve"> וּבְהוֹן </w:t>
      </w:r>
      <w:r w:rsidRPr="00007309">
        <w:rPr>
          <w:rFonts w:cs="Arial" w:hint="cs"/>
          <w:b/>
          <w:bCs/>
          <w:sz w:val="24"/>
          <w:szCs w:val="24"/>
          <w:rtl/>
        </w:rPr>
        <w:t xml:space="preserve">(תהלים נא יז) </w:t>
      </w:r>
      <w:r w:rsidRPr="00007309">
        <w:rPr>
          <w:rFonts w:cs="Arial"/>
          <w:b/>
          <w:bCs/>
          <w:sz w:val="24"/>
          <w:szCs w:val="24"/>
          <w:rtl/>
        </w:rPr>
        <w:t>אֲדֹנָי שְׂפָתַי תִפְתָּח</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717"/>
      </w:r>
      <w:r w:rsidRPr="00007309">
        <w:rPr>
          <w:rFonts w:cs="Arial"/>
          <w:b/>
          <w:bCs/>
          <w:sz w:val="24"/>
          <w:szCs w:val="24"/>
          <w:rtl/>
        </w:rPr>
        <w:t xml:space="preserve">לְזַרְקָא </w:t>
      </w:r>
      <w:r w:rsidRPr="00007309">
        <w:rPr>
          <w:rFonts w:cs="Arial"/>
          <w:b/>
          <w:bCs/>
          <w:sz w:val="36"/>
          <w:szCs w:val="28"/>
          <w:vertAlign w:val="superscript"/>
          <w:rtl/>
        </w:rPr>
        <w:footnoteReference w:id="7718"/>
      </w:r>
      <w:r w:rsidRPr="00007309">
        <w:rPr>
          <w:rFonts w:cs="Arial" w:hint="cs"/>
          <w:b/>
          <w:bCs/>
          <w:sz w:val="24"/>
          <w:szCs w:val="24"/>
          <w:rtl/>
        </w:rPr>
        <w:t>מ</w:t>
      </w:r>
      <w:r w:rsidRPr="00007309">
        <w:rPr>
          <w:rFonts w:cs="Arial"/>
          <w:b/>
          <w:bCs/>
          <w:sz w:val="24"/>
          <w:szCs w:val="24"/>
          <w:rtl/>
        </w:rPr>
        <w:t>ִ</w:t>
      </w:r>
      <w:r w:rsidRPr="00007309">
        <w:rPr>
          <w:rFonts w:cs="Arial" w:hint="cs"/>
          <w:b/>
          <w:bCs/>
          <w:sz w:val="24"/>
          <w:szCs w:val="24"/>
          <w:rtl/>
        </w:rPr>
        <w:t>נ</w:t>
      </w:r>
      <w:r w:rsidRPr="00007309">
        <w:rPr>
          <w:rFonts w:cs="Arial"/>
          <w:b/>
          <w:bCs/>
          <w:sz w:val="24"/>
          <w:szCs w:val="24"/>
          <w:rtl/>
        </w:rPr>
        <w:t>ַּ</w:t>
      </w:r>
      <w:r w:rsidRPr="00007309">
        <w:rPr>
          <w:rFonts w:cs="Arial" w:hint="cs"/>
          <w:b/>
          <w:bCs/>
          <w:sz w:val="24"/>
          <w:szCs w:val="24"/>
          <w:rtl/>
        </w:rPr>
        <w:t>י</w:t>
      </w:r>
      <w:r w:rsidRPr="00007309">
        <w:rPr>
          <w:rFonts w:cs="Arial"/>
          <w:b/>
          <w:bCs/>
          <w:sz w:val="24"/>
          <w:szCs w:val="24"/>
          <w:rtl/>
        </w:rPr>
        <w:t>ְ</w:t>
      </w:r>
      <w:r w:rsidRPr="00007309">
        <w:rPr>
          <w:rFonts w:cs="Arial" w:hint="cs"/>
          <w:b/>
          <w:bCs/>
          <w:sz w:val="24"/>
          <w:szCs w:val="24"/>
          <w:rtl/>
        </w:rPr>
        <w:t>ה</w:t>
      </w:r>
      <w:r w:rsidRPr="00007309">
        <w:rPr>
          <w:rFonts w:cs="Arial"/>
          <w:b/>
          <w:bCs/>
          <w:sz w:val="24"/>
          <w:szCs w:val="24"/>
          <w:rtl/>
        </w:rPr>
        <w:t>וּ</w:t>
      </w:r>
      <w:r w:rsidRPr="00007309">
        <w:rPr>
          <w:rFonts w:cs="Arial" w:hint="cs"/>
          <w:b/>
          <w:bCs/>
          <w:sz w:val="24"/>
          <w:szCs w:val="24"/>
          <w:rtl/>
        </w:rPr>
        <w:t xml:space="preserve"> </w:t>
      </w:r>
      <w:r w:rsidRPr="00007309">
        <w:rPr>
          <w:rFonts w:cs="Arial"/>
          <w:b/>
          <w:bCs/>
          <w:sz w:val="36"/>
          <w:szCs w:val="28"/>
          <w:vertAlign w:val="superscript"/>
          <w:rtl/>
        </w:rPr>
        <w:footnoteReference w:id="7719"/>
      </w:r>
      <w:r w:rsidRPr="00007309">
        <w:rPr>
          <w:rFonts w:cs="Arial"/>
          <w:b/>
          <w:bCs/>
          <w:sz w:val="24"/>
          <w:szCs w:val="24"/>
          <w:rtl/>
        </w:rPr>
        <w:t xml:space="preserve">ג' </w:t>
      </w:r>
      <w:r w:rsidRPr="00007309">
        <w:rPr>
          <w:rFonts w:ascii="Cambria" w:hAnsi="Cambria" w:cs="Times New Roman" w:hint="cs"/>
          <w:b/>
          <w:bCs/>
          <w:i/>
          <w:iCs/>
          <w:color w:val="4F81BD"/>
          <w:sz w:val="24"/>
          <w:szCs w:val="24"/>
          <w:rtl/>
        </w:rPr>
        <w:t>(וילנא לג ע"א)</w:t>
      </w:r>
      <w:r w:rsidRPr="00007309">
        <w:rPr>
          <w:rFonts w:cs="Arial" w:hint="cs"/>
          <w:b/>
          <w:bCs/>
          <w:sz w:val="24"/>
          <w:szCs w:val="24"/>
          <w:rtl/>
        </w:rPr>
        <w:t xml:space="preserve"> </w:t>
      </w:r>
      <w:r w:rsidRPr="00007309">
        <w:rPr>
          <w:rFonts w:cs="Arial"/>
          <w:b/>
          <w:bCs/>
          <w:sz w:val="24"/>
          <w:szCs w:val="24"/>
          <w:rtl/>
        </w:rPr>
        <w:t xml:space="preserve">אַבְנִין </w:t>
      </w:r>
      <w:r w:rsidRPr="00007309">
        <w:rPr>
          <w:rFonts w:cs="Arial"/>
          <w:b/>
          <w:bCs/>
          <w:sz w:val="36"/>
          <w:szCs w:val="28"/>
          <w:vertAlign w:val="superscript"/>
          <w:rtl/>
        </w:rPr>
        <w:footnoteReference w:id="7720"/>
      </w:r>
      <w:r w:rsidRPr="00007309">
        <w:rPr>
          <w:rFonts w:cs="Arial"/>
          <w:b/>
          <w:bCs/>
          <w:sz w:val="24"/>
          <w:szCs w:val="24"/>
          <w:rtl/>
        </w:rPr>
        <w:t>לְגַבֵּי חִוְיָא</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721"/>
      </w:r>
      <w:r w:rsidRPr="00007309">
        <w:rPr>
          <w:rFonts w:cs="Arial"/>
          <w:b/>
          <w:bCs/>
          <w:sz w:val="24"/>
          <w:szCs w:val="24"/>
          <w:rtl/>
        </w:rPr>
        <w:t>וְאִנּוּן ד' דִּצְלוֹתִין</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722"/>
      </w:r>
      <w:r w:rsidRPr="00007309">
        <w:rPr>
          <w:rFonts w:cs="Arial"/>
          <w:b/>
          <w:bCs/>
          <w:sz w:val="24"/>
          <w:szCs w:val="24"/>
          <w:rtl/>
        </w:rPr>
        <w:t xml:space="preserve">דִּבְהוֹן </w:t>
      </w:r>
      <w:r w:rsidRPr="00007309">
        <w:rPr>
          <w:rFonts w:cs="Arial"/>
          <w:b/>
          <w:bCs/>
          <w:sz w:val="36"/>
          <w:szCs w:val="28"/>
          <w:vertAlign w:val="superscript"/>
          <w:rtl/>
        </w:rPr>
        <w:footnoteReference w:id="7723"/>
      </w:r>
      <w:r w:rsidRPr="00007309">
        <w:rPr>
          <w:rFonts w:cs="Arial"/>
          <w:b/>
          <w:bCs/>
          <w:sz w:val="24"/>
          <w:szCs w:val="24"/>
          <w:rtl/>
        </w:rPr>
        <w:t>קִירְטָא</w:t>
      </w:r>
      <w:r w:rsidRPr="00007309">
        <w:rPr>
          <w:rFonts w:cs="Arial"/>
          <w:b/>
          <w:bCs/>
          <w:sz w:val="24"/>
          <w:szCs w:val="24"/>
        </w:rPr>
        <w:t xml:space="preserve"> </w:t>
      </w:r>
      <w:r w:rsidRPr="00007309">
        <w:rPr>
          <w:rFonts w:cs="Arial"/>
          <w:b/>
          <w:bCs/>
          <w:sz w:val="24"/>
          <w:szCs w:val="24"/>
          <w:rtl/>
        </w:rPr>
        <w:t xml:space="preserve">דְּאִיהוּ שָׂפָה </w:t>
      </w:r>
      <w:r w:rsidRPr="00007309">
        <w:rPr>
          <w:rFonts w:cs="Arial"/>
          <w:b/>
          <w:bCs/>
          <w:sz w:val="36"/>
          <w:szCs w:val="28"/>
          <w:vertAlign w:val="superscript"/>
          <w:rtl/>
        </w:rPr>
        <w:footnoteReference w:id="7724"/>
      </w:r>
      <w:r w:rsidRPr="00007309">
        <w:rPr>
          <w:rFonts w:cs="Arial"/>
          <w:b/>
          <w:bCs/>
          <w:sz w:val="24"/>
          <w:szCs w:val="24"/>
          <w:rtl/>
        </w:rPr>
        <w:t xml:space="preserve">זָרִיק לוֹן לְגַבֵּי חִוְיָא, </w:t>
      </w:r>
      <w:r w:rsidRPr="00007309">
        <w:rPr>
          <w:rFonts w:cs="Arial"/>
          <w:b/>
          <w:bCs/>
          <w:sz w:val="36"/>
          <w:szCs w:val="28"/>
          <w:vertAlign w:val="superscript"/>
          <w:rtl/>
        </w:rPr>
        <w:footnoteReference w:id="7725"/>
      </w:r>
      <w:r w:rsidRPr="00007309">
        <w:rPr>
          <w:rFonts w:cs="Arial"/>
          <w:b/>
          <w:bCs/>
          <w:sz w:val="24"/>
          <w:szCs w:val="24"/>
          <w:rtl/>
        </w:rPr>
        <w:t>וְאִיהוּ מֻקָּף לוֹן</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726"/>
      </w:r>
      <w:r w:rsidRPr="00007309">
        <w:rPr>
          <w:rFonts w:cs="Arial"/>
          <w:b/>
          <w:bCs/>
          <w:sz w:val="24"/>
          <w:szCs w:val="24"/>
          <w:rtl/>
        </w:rPr>
        <w:t>בְּתֻקְפָּא</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727"/>
      </w:r>
      <w:r w:rsidRPr="00007309">
        <w:rPr>
          <w:rFonts w:cs="Arial"/>
          <w:b/>
          <w:bCs/>
          <w:sz w:val="24"/>
          <w:szCs w:val="24"/>
          <w:rtl/>
        </w:rPr>
        <w:t xml:space="preserve">הוֹלֵךְ וַאֲזִילַת לוֹן בִּדְרוֹעָא יְמִינָא דְּאִיהוּ חֶסֶד, </w:t>
      </w:r>
      <w:r w:rsidRPr="00007309">
        <w:rPr>
          <w:rFonts w:cs="Arial"/>
          <w:b/>
          <w:bCs/>
          <w:sz w:val="36"/>
          <w:szCs w:val="28"/>
          <w:vertAlign w:val="superscript"/>
          <w:rtl/>
        </w:rPr>
        <w:footnoteReference w:id="7728"/>
      </w:r>
      <w:r w:rsidRPr="00007309">
        <w:rPr>
          <w:rFonts w:cs="Arial"/>
          <w:b/>
          <w:bCs/>
          <w:sz w:val="24"/>
          <w:szCs w:val="24"/>
          <w:rtl/>
        </w:rPr>
        <w:t>וְאִתְעֲבִידוּ סְגוֹלְתָּא בְּעַמּוּדָא דְּאֶמְצָעִיתָא. וּמָאן שָׂפָה דְּאַזְרְקַת תְּלָת צְלוֹתִין אִלֵּין, דָּא שְׁכִינָה דְּהָכֵי סָלְקָא בְּחֻשְׁבַּן שָׂפָ'ה</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729"/>
      </w:r>
      <w:r w:rsidRPr="00007309">
        <w:rPr>
          <w:rFonts w:cs="Arial"/>
          <w:b/>
          <w:bCs/>
          <w:sz w:val="24"/>
          <w:szCs w:val="24"/>
          <w:rtl/>
        </w:rPr>
        <w:t>וּבְגִינָהּ אִתְּמַר כְּחוּט הַשָּׁנִי שִׂפְתוֹתַיִךְ. וְהַאי חוּט דְּשָׂפָה אִיהִי קִירְטָא</w:t>
      </w:r>
      <w:r w:rsidRPr="00007309">
        <w:rPr>
          <w:rFonts w:cs="Arial" w:hint="cs"/>
          <w:b/>
          <w:bCs/>
          <w:sz w:val="24"/>
          <w:szCs w:val="24"/>
          <w:rtl/>
        </w:rPr>
        <w:t>,</w:t>
      </w:r>
      <w:r w:rsidRPr="00007309">
        <w:rPr>
          <w:rFonts w:cs="Arial"/>
          <w:b/>
          <w:bCs/>
          <w:sz w:val="24"/>
          <w:szCs w:val="24"/>
          <w:rtl/>
        </w:rPr>
        <w:t xml:space="preserve"> כַּד זְרִיקַת אִלֵּין אַבְנִין לְגַבֵּי חִוְיָא אִתְּמַר בָּהּ (שמואל א כה) </w:t>
      </w:r>
      <w:r w:rsidRPr="00007309">
        <w:rPr>
          <w:rFonts w:cs="Arial"/>
          <w:b/>
          <w:bCs/>
          <w:sz w:val="36"/>
          <w:szCs w:val="28"/>
          <w:vertAlign w:val="superscript"/>
          <w:rtl/>
        </w:rPr>
        <w:footnoteReference w:id="7730"/>
      </w:r>
      <w:r w:rsidRPr="00007309">
        <w:rPr>
          <w:rFonts w:cs="Arial"/>
          <w:b/>
          <w:bCs/>
          <w:sz w:val="24"/>
          <w:szCs w:val="24"/>
          <w:rtl/>
        </w:rPr>
        <w:t>וְאֶת נֶפֶשׁ אֹיְבֶיךָ יְקַלְּעֶנָּה</w:t>
      </w:r>
      <w:r w:rsidRPr="00007309">
        <w:rPr>
          <w:rFonts w:cs="Arial"/>
          <w:b/>
          <w:bCs/>
          <w:sz w:val="24"/>
          <w:szCs w:val="24"/>
        </w:rPr>
        <w:t xml:space="preserve"> </w:t>
      </w:r>
      <w:r w:rsidRPr="00007309">
        <w:rPr>
          <w:rFonts w:cs="Arial"/>
          <w:b/>
          <w:bCs/>
          <w:sz w:val="36"/>
          <w:szCs w:val="28"/>
          <w:vertAlign w:val="superscript"/>
          <w:rtl/>
        </w:rPr>
        <w:footnoteReference w:id="7731"/>
      </w:r>
      <w:r w:rsidRPr="00007309">
        <w:rPr>
          <w:rFonts w:cs="Arial"/>
          <w:b/>
          <w:bCs/>
          <w:sz w:val="24"/>
          <w:szCs w:val="24"/>
          <w:rtl/>
        </w:rPr>
        <w:t>בְּתוֹךְ כַּף הַקֶּלַע</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732"/>
      </w:r>
      <w:r w:rsidRPr="00007309">
        <w:rPr>
          <w:rFonts w:cs="Arial"/>
          <w:b/>
          <w:bCs/>
          <w:sz w:val="24"/>
          <w:szCs w:val="24"/>
          <w:rtl/>
        </w:rPr>
        <w:t>דְּאִיהִי קִירְטָא</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733"/>
      </w:r>
      <w:r w:rsidRPr="00007309">
        <w:rPr>
          <w:rFonts w:cs="Arial"/>
          <w:b/>
          <w:bCs/>
          <w:sz w:val="24"/>
          <w:szCs w:val="24"/>
          <w:rtl/>
        </w:rPr>
        <w:t xml:space="preserve">וְהַאי קֶלַ"ע אִיהוּ סִינַ"י, </w:t>
      </w:r>
      <w:r w:rsidRPr="00007309">
        <w:rPr>
          <w:rFonts w:cs="Arial"/>
          <w:b/>
          <w:bCs/>
          <w:sz w:val="36"/>
          <w:szCs w:val="28"/>
          <w:vertAlign w:val="superscript"/>
          <w:rtl/>
        </w:rPr>
        <w:footnoteReference w:id="7734"/>
      </w:r>
      <w:r w:rsidRPr="00007309">
        <w:rPr>
          <w:rFonts w:cs="Arial"/>
          <w:b/>
          <w:bCs/>
          <w:sz w:val="24"/>
          <w:szCs w:val="24"/>
          <w:rtl/>
        </w:rPr>
        <w:t xml:space="preserve">דְּבֵהּ אִשְׁתְּמָעוּ </w:t>
      </w:r>
      <w:r w:rsidRPr="00007309">
        <w:rPr>
          <w:rFonts w:cs="Arial"/>
          <w:b/>
          <w:bCs/>
          <w:sz w:val="36"/>
          <w:szCs w:val="28"/>
          <w:vertAlign w:val="superscript"/>
          <w:rtl/>
        </w:rPr>
        <w:footnoteReference w:id="7735"/>
      </w:r>
      <w:r w:rsidRPr="00007309">
        <w:rPr>
          <w:rFonts w:cs="Arial"/>
          <w:b/>
          <w:bCs/>
          <w:sz w:val="24"/>
          <w:szCs w:val="24"/>
          <w:rtl/>
        </w:rPr>
        <w:t xml:space="preserve">שִׁבְעִין קָלִין לְגַבֵּי ע' אֻמִּין פַּלְחֵי כּוֹכְבַיָּא דְּאִנּוּן תַּלְיָן </w:t>
      </w:r>
      <w:r w:rsidRPr="00007309">
        <w:rPr>
          <w:rFonts w:cs="Arial"/>
          <w:b/>
          <w:bCs/>
          <w:sz w:val="36"/>
          <w:szCs w:val="28"/>
          <w:vertAlign w:val="superscript"/>
          <w:rtl/>
        </w:rPr>
        <w:footnoteReference w:id="7736"/>
      </w:r>
      <w:r w:rsidRPr="00007309">
        <w:rPr>
          <w:rFonts w:cs="Arial"/>
          <w:b/>
          <w:bCs/>
          <w:sz w:val="24"/>
          <w:szCs w:val="24"/>
          <w:rtl/>
        </w:rPr>
        <w:t xml:space="preserve">מִזּ' רֵאשִׁין דְּחֵיוָן </w:t>
      </w:r>
      <w:r w:rsidRPr="00007309">
        <w:rPr>
          <w:rFonts w:cs="Arial"/>
          <w:b/>
          <w:bCs/>
          <w:sz w:val="36"/>
          <w:szCs w:val="28"/>
          <w:vertAlign w:val="superscript"/>
          <w:rtl/>
        </w:rPr>
        <w:footnoteReference w:id="7737"/>
      </w:r>
      <w:r w:rsidRPr="00007309">
        <w:rPr>
          <w:rFonts w:cs="Arial"/>
          <w:b/>
          <w:bCs/>
          <w:sz w:val="24"/>
          <w:szCs w:val="24"/>
          <w:rtl/>
        </w:rPr>
        <w:t>דִּמְקַנְּנָא בז' טוּרִין</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738"/>
      </w:r>
      <w:r w:rsidRPr="00007309">
        <w:rPr>
          <w:rFonts w:cs="Arial"/>
          <w:b/>
          <w:bCs/>
          <w:sz w:val="24"/>
          <w:szCs w:val="24"/>
          <w:rtl/>
        </w:rPr>
        <w:t>וּמֵתוּ כֻּלְּהוּ</w:t>
      </w:r>
      <w:r w:rsidRPr="00007309">
        <w:rPr>
          <w:rFonts w:cs="Arial"/>
          <w:b/>
          <w:bCs/>
          <w:sz w:val="24"/>
          <w:szCs w:val="24"/>
        </w:rPr>
        <w:t xml:space="preserve">. </w:t>
      </w:r>
    </w:p>
    <w:p w:rsidR="00007309" w:rsidRPr="00007309" w:rsidRDefault="00007309" w:rsidP="00007309">
      <w:pPr>
        <w:keepNext/>
        <w:spacing w:before="240" w:after="60"/>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[וילנא לג ע"ב]</w:t>
      </w:r>
    </w:p>
    <w:p w:rsidR="00007309" w:rsidRPr="00007309" w:rsidRDefault="00007309" w:rsidP="00007309">
      <w:pPr>
        <w:jc w:val="both"/>
        <w:rPr>
          <w:rFonts w:cs="Arial"/>
          <w:b/>
          <w:bCs/>
          <w:sz w:val="24"/>
          <w:szCs w:val="24"/>
          <w:rtl/>
        </w:rPr>
      </w:pPr>
      <w:r w:rsidRPr="00007309">
        <w:rPr>
          <w:rFonts w:cs="Arial"/>
          <w:b/>
          <w:bCs/>
          <w:sz w:val="24"/>
          <w:szCs w:val="24"/>
          <w:rtl/>
        </w:rPr>
        <w:t xml:space="preserve">בְּגִין דְּלָא בָּעוּ לְקַבְּלָא </w:t>
      </w:r>
      <w:r w:rsidRPr="00007309">
        <w:rPr>
          <w:rFonts w:cs="Arial"/>
          <w:b/>
          <w:bCs/>
          <w:sz w:val="36"/>
          <w:szCs w:val="28"/>
          <w:vertAlign w:val="superscript"/>
          <w:rtl/>
        </w:rPr>
        <w:footnoteReference w:id="7739"/>
      </w:r>
      <w:r w:rsidRPr="00007309">
        <w:rPr>
          <w:rFonts w:cs="Arial" w:hint="cs"/>
          <w:b/>
          <w:bCs/>
          <w:sz w:val="24"/>
          <w:szCs w:val="24"/>
          <w:rtl/>
        </w:rPr>
        <w:t>ח"ח</w:t>
      </w:r>
      <w:r w:rsidRPr="00007309">
        <w:rPr>
          <w:rFonts w:cs="Arial"/>
          <w:b/>
          <w:bCs/>
          <w:sz w:val="24"/>
          <w:szCs w:val="24"/>
          <w:rtl/>
        </w:rPr>
        <w:t xml:space="preserve"> תּוֹרָה</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740"/>
      </w:r>
      <w:r w:rsidRPr="00007309">
        <w:rPr>
          <w:rFonts w:cs="Arial"/>
          <w:b/>
          <w:bCs/>
          <w:sz w:val="24"/>
          <w:szCs w:val="24"/>
          <w:rtl/>
        </w:rPr>
        <w:t>דְּאִנּוּן ה' בְּתוֹסֶפֶת</w:t>
      </w:r>
      <w:r w:rsidRPr="00007309">
        <w:rPr>
          <w:rFonts w:cs="Arial" w:hint="cs"/>
          <w:b/>
          <w:bCs/>
          <w:sz w:val="24"/>
          <w:szCs w:val="24"/>
          <w:rtl/>
        </w:rPr>
        <w:t>,</w:t>
      </w:r>
      <w:r w:rsidRPr="00007309">
        <w:rPr>
          <w:rFonts w:cs="Arial"/>
          <w:b/>
          <w:bCs/>
          <w:sz w:val="24"/>
          <w:szCs w:val="24"/>
          <w:rtl/>
        </w:rPr>
        <w:t xml:space="preserve"> הַקֶּלַע. וְדָוִד בְּה' נָטִיל ה' אַבְנִין</w:t>
      </w:r>
      <w:r w:rsidRPr="00007309">
        <w:rPr>
          <w:rFonts w:cs="Arial" w:hint="cs"/>
          <w:b/>
          <w:bCs/>
          <w:sz w:val="24"/>
          <w:szCs w:val="24"/>
          <w:rtl/>
        </w:rPr>
        <w:t>,</w:t>
      </w:r>
      <w:r w:rsidRPr="00007309">
        <w:rPr>
          <w:rFonts w:cs="Arial"/>
          <w:b/>
          <w:bCs/>
          <w:sz w:val="24"/>
          <w:szCs w:val="24"/>
          <w:rtl/>
        </w:rPr>
        <w:t xml:space="preserve"> לָקֳבֵל חֲמִשָּׁה חֻמְשֵׁי תּוֹרָה. וְאִנּוּן הֲווֹ </w:t>
      </w:r>
      <w:r w:rsidRPr="00007309">
        <w:rPr>
          <w:rFonts w:cs="Arial"/>
          <w:b/>
          <w:bCs/>
          <w:sz w:val="36"/>
          <w:szCs w:val="28"/>
          <w:vertAlign w:val="superscript"/>
          <w:rtl/>
        </w:rPr>
        <w:footnoteReference w:id="7741"/>
      </w:r>
      <w:r w:rsidRPr="00007309">
        <w:rPr>
          <w:rFonts w:cs="Arial"/>
          <w:b/>
          <w:bCs/>
          <w:sz w:val="24"/>
          <w:szCs w:val="24"/>
          <w:rtl/>
        </w:rPr>
        <w:t xml:space="preserve">כְּגַוְנָא דה' תֵּבִין דְּיִחוּדָא דְּאִנּוּן שְׁמַע יִשְׂרָאֵל ה' אֱלֹהֵינוּ ה' אֶחָד. וְכַד שַׁוֵּי לוֹן בְּקִירְטָא </w:t>
      </w:r>
      <w:r w:rsidRPr="00007309">
        <w:rPr>
          <w:rFonts w:cs="Arial"/>
          <w:b/>
          <w:bCs/>
          <w:sz w:val="36"/>
          <w:szCs w:val="28"/>
          <w:vertAlign w:val="superscript"/>
          <w:rtl/>
        </w:rPr>
        <w:footnoteReference w:id="7742"/>
      </w:r>
      <w:r w:rsidRPr="00007309">
        <w:rPr>
          <w:rFonts w:cs="Arial"/>
          <w:b/>
          <w:bCs/>
          <w:sz w:val="24"/>
          <w:szCs w:val="24"/>
          <w:rtl/>
        </w:rPr>
        <w:t>אִתְעֲבִידוּ כֻּלְּהוּ אֶחָד</w:t>
      </w:r>
      <w:r w:rsidRPr="00007309">
        <w:rPr>
          <w:rFonts w:cs="Arial" w:hint="cs"/>
          <w:b/>
          <w:bCs/>
          <w:sz w:val="24"/>
          <w:szCs w:val="24"/>
          <w:rtl/>
        </w:rPr>
        <w:t xml:space="preserve"> (דקתני)</w:t>
      </w:r>
      <w:r w:rsidRPr="00007309">
        <w:rPr>
          <w:rFonts w:cs="Arial"/>
          <w:b/>
          <w:bCs/>
          <w:sz w:val="24"/>
          <w:szCs w:val="24"/>
          <w:rtl/>
        </w:rPr>
        <w:t xml:space="preserve"> </w:t>
      </w:r>
      <w:r w:rsidRPr="00007309">
        <w:rPr>
          <w:rFonts w:cs="Arial"/>
          <w:b/>
          <w:bCs/>
          <w:sz w:val="36"/>
          <w:szCs w:val="28"/>
          <w:vertAlign w:val="superscript"/>
          <w:rtl/>
        </w:rPr>
        <w:footnoteReference w:id="7743"/>
      </w:r>
      <w:r w:rsidRPr="00007309">
        <w:rPr>
          <w:rFonts w:cs="Arial"/>
          <w:b/>
          <w:bCs/>
          <w:sz w:val="24"/>
          <w:szCs w:val="24"/>
          <w:rtl/>
        </w:rPr>
        <w:t>בְּי"ג מִדּוֹת הַתּוֹרָה נִדְרֶשֶׁת</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744"/>
      </w:r>
      <w:r w:rsidRPr="00007309">
        <w:rPr>
          <w:rFonts w:cs="Arial"/>
          <w:b/>
          <w:bCs/>
          <w:sz w:val="24"/>
          <w:szCs w:val="24"/>
          <w:rtl/>
        </w:rPr>
        <w:t xml:space="preserve">וְקָטִיל לִפְלִשְׁתָּאָה </w:t>
      </w:r>
      <w:r w:rsidRPr="00007309">
        <w:rPr>
          <w:rFonts w:cs="Arial"/>
          <w:b/>
          <w:bCs/>
          <w:sz w:val="36"/>
          <w:szCs w:val="28"/>
          <w:vertAlign w:val="superscript"/>
          <w:rtl/>
        </w:rPr>
        <w:footnoteReference w:id="7745"/>
      </w:r>
      <w:r w:rsidRPr="00007309">
        <w:rPr>
          <w:rFonts w:cs="Arial"/>
          <w:b/>
          <w:bCs/>
          <w:sz w:val="24"/>
          <w:szCs w:val="24"/>
          <w:rtl/>
        </w:rPr>
        <w:t xml:space="preserve">דְּאִיהוּ יֵצֶר הָרָע, וְאִיהוּ נָחָשׁ הוּא סַמָּאֵ"ל הוּא עֲמָלֵק הוּא פְּלִשְׁתִּי הוּא מַלְאַךְ הַמָּוֶת, </w:t>
      </w:r>
      <w:r w:rsidRPr="00007309">
        <w:rPr>
          <w:rFonts w:cs="Arial"/>
          <w:b/>
          <w:bCs/>
          <w:sz w:val="36"/>
          <w:szCs w:val="28"/>
          <w:vertAlign w:val="superscript"/>
          <w:rtl/>
        </w:rPr>
        <w:footnoteReference w:id="7746"/>
      </w:r>
      <w:r w:rsidRPr="00007309">
        <w:rPr>
          <w:rFonts w:cs="Arial"/>
          <w:b/>
          <w:bCs/>
          <w:sz w:val="24"/>
          <w:szCs w:val="24"/>
          <w:rtl/>
        </w:rPr>
        <w:t>לְכָל בַּר נָשׁ אִתְעֲבִיד לֵהּ כְּפוּם חוֹבוֹי. וְה' אַבְנִין כֻּלְּהוּ מִתְתַּקְּנִין בְּה' תִּקּוּנִין דְּפוּמָא בְּכ"ב אַתְוָן דְּאוֹרַיְתָא. וְאִנּוּן אהח"ע בומ"ף גיכ"ק דטלנ"ת זסצר"ש. וְאִנּוּן מִשְׁתַּמְּשֵׁי בְּשִׂפְוָן בְּלִישְׁנָא בַּחֵיךְ בִּגְרוֹנָא בְּשִׁינַּיִן</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747"/>
      </w:r>
      <w:r w:rsidRPr="00007309">
        <w:rPr>
          <w:rFonts w:cs="Arial"/>
          <w:b/>
          <w:bCs/>
          <w:sz w:val="24"/>
          <w:szCs w:val="24"/>
          <w:rtl/>
        </w:rPr>
        <w:t>וְכֻלְּהוּ חָמֵשׁ אִתְקְרִיאוּ פֶּ"ה אֶחָד. זַכָּאָה אִיהוּ מָאן דְּיָלִיף (נ"א דלעי) בְּאוֹרַיְתָא דְּאִתְיְהִיבַת בְּה' תִּקּוּנִין אִלֵּין</w:t>
      </w:r>
      <w:r w:rsidRPr="00007309">
        <w:rPr>
          <w:rFonts w:cs="Arial" w:hint="cs"/>
          <w:b/>
          <w:bCs/>
          <w:sz w:val="24"/>
          <w:szCs w:val="24"/>
          <w:rtl/>
        </w:rPr>
        <w:t>,</w:t>
      </w:r>
      <w:r w:rsidRPr="00007309">
        <w:rPr>
          <w:rFonts w:cs="Arial"/>
          <w:b/>
          <w:bCs/>
          <w:sz w:val="24"/>
          <w:szCs w:val="24"/>
          <w:rtl/>
        </w:rPr>
        <w:t xml:space="preserve"> לְקַטְלָא בְּהוֹן לַיֵּצֶר הָרָע. דְּיֵצֶר הָרָע וְחַיְלִין דִּילֵהּ </w:t>
      </w:r>
      <w:r w:rsidRPr="00007309">
        <w:rPr>
          <w:rFonts w:cs="Arial"/>
          <w:b/>
          <w:bCs/>
          <w:sz w:val="36"/>
          <w:szCs w:val="28"/>
          <w:vertAlign w:val="superscript"/>
          <w:rtl/>
        </w:rPr>
        <w:footnoteReference w:id="7748"/>
      </w:r>
      <w:r w:rsidRPr="00007309">
        <w:rPr>
          <w:rFonts w:cs="Arial"/>
          <w:b/>
          <w:bCs/>
          <w:sz w:val="24"/>
          <w:szCs w:val="24"/>
          <w:rtl/>
        </w:rPr>
        <w:t xml:space="preserve">אִיהוּ אַסְחַר גּוּפָא בְּכָל יוֹמָא, לְאַגָּחָא עִמֵּהּ קְרָבָא </w:t>
      </w:r>
      <w:r w:rsidRPr="00007309">
        <w:rPr>
          <w:rFonts w:cs="Arial"/>
          <w:b/>
          <w:bCs/>
          <w:sz w:val="36"/>
          <w:szCs w:val="28"/>
          <w:vertAlign w:val="superscript"/>
          <w:rtl/>
        </w:rPr>
        <w:footnoteReference w:id="7749"/>
      </w:r>
      <w:r w:rsidRPr="00007309">
        <w:rPr>
          <w:rFonts w:cs="Arial"/>
          <w:b/>
          <w:bCs/>
          <w:sz w:val="24"/>
          <w:szCs w:val="24"/>
          <w:rtl/>
        </w:rPr>
        <w:t xml:space="preserve">בְּכַמָּה חוֹבִין דְּכָנִישׁ בְּכָל יוֹמָא, וְקָרִיב לוֹן כֻּלְּהוּ בְּזִמְנָא דְּדִינָא </w:t>
      </w:r>
      <w:r w:rsidRPr="00007309">
        <w:rPr>
          <w:rFonts w:cs="Arial"/>
          <w:b/>
          <w:bCs/>
          <w:sz w:val="36"/>
          <w:szCs w:val="28"/>
          <w:vertAlign w:val="superscript"/>
          <w:rtl/>
        </w:rPr>
        <w:footnoteReference w:id="7750"/>
      </w:r>
      <w:r w:rsidRPr="00007309">
        <w:rPr>
          <w:rFonts w:cs="Arial"/>
          <w:b/>
          <w:bCs/>
          <w:sz w:val="24"/>
          <w:szCs w:val="24"/>
          <w:rtl/>
        </w:rPr>
        <w:t>דְּאִיהוּ רֹאשׁ הַשָּׁנָה, לְגַבֵּי כָּרְסֵא דְּדִינָא, בְּהַהוּא זִמְנָא צָרִיךְ בַּר נָשׁ לְאִתַּתְקְנָא בִּצְלוֹתִין.</w:t>
      </w:r>
    </w:p>
    <w:p w:rsidR="00007309" w:rsidRPr="00007309" w:rsidRDefault="00007309" w:rsidP="00007309">
      <w:pPr>
        <w:jc w:val="both"/>
        <w:rPr>
          <w:rFonts w:cs="Arial"/>
          <w:b/>
          <w:bCs/>
          <w:sz w:val="24"/>
          <w:szCs w:val="24"/>
          <w:rtl/>
        </w:rPr>
      </w:pPr>
      <w:r w:rsidRPr="00007309">
        <w:rPr>
          <w:rFonts w:cs="Arial"/>
          <w:b/>
          <w:bCs/>
          <w:sz w:val="36"/>
          <w:szCs w:val="28"/>
          <w:vertAlign w:val="superscript"/>
          <w:rtl/>
        </w:rPr>
        <w:footnoteReference w:id="7751"/>
      </w:r>
      <w:r w:rsidRPr="00007309">
        <w:rPr>
          <w:rFonts w:cs="Arial"/>
          <w:b/>
          <w:bCs/>
          <w:sz w:val="24"/>
          <w:szCs w:val="24"/>
          <w:rtl/>
        </w:rPr>
        <w:t>תִּקּוּנָא א'</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752"/>
      </w:r>
      <w:r w:rsidRPr="00007309">
        <w:rPr>
          <w:rFonts w:cs="Arial"/>
          <w:b/>
          <w:bCs/>
          <w:sz w:val="24"/>
          <w:szCs w:val="24"/>
          <w:rtl/>
        </w:rPr>
        <w:t xml:space="preserve">לְתַתָּא </w:t>
      </w:r>
      <w:r w:rsidRPr="00007309">
        <w:rPr>
          <w:rFonts w:cs="Arial"/>
          <w:b/>
          <w:bCs/>
          <w:sz w:val="36"/>
          <w:szCs w:val="28"/>
          <w:vertAlign w:val="superscript"/>
          <w:rtl/>
        </w:rPr>
        <w:footnoteReference w:id="7753"/>
      </w:r>
      <w:r w:rsidRPr="00007309">
        <w:rPr>
          <w:rFonts w:cs="Arial"/>
          <w:b/>
          <w:bCs/>
          <w:sz w:val="24"/>
          <w:szCs w:val="24"/>
          <w:rtl/>
        </w:rPr>
        <w:t xml:space="preserve">סוּסְוָן אַרְבַּע עִם צְלוֹתָא דְּמוּסָף. וְרָזָא דְּמִלָּה (חבקוק ג) כִּי תִּרְכַּב עַל סוּסֶיךָ מֶרְכָּבוֹתֶיךָ יְשׁוּעָה. וְאִלֵּין ד' צְלוֹתִין. </w:t>
      </w:r>
      <w:r w:rsidRPr="00007309">
        <w:rPr>
          <w:rFonts w:cs="Arial"/>
          <w:b/>
          <w:bCs/>
          <w:sz w:val="36"/>
          <w:szCs w:val="28"/>
          <w:vertAlign w:val="superscript"/>
          <w:rtl/>
        </w:rPr>
        <w:footnoteReference w:id="7754"/>
      </w:r>
      <w:r w:rsidRPr="00007309">
        <w:rPr>
          <w:rFonts w:cs="Arial"/>
          <w:b/>
          <w:bCs/>
          <w:sz w:val="24"/>
          <w:szCs w:val="24"/>
          <w:rtl/>
        </w:rPr>
        <w:t>וְצָרִיךְ לְמִלְבַּשׁ לוֹ שִׁרְיוֹן</w:t>
      </w:r>
      <w:r w:rsidRPr="00007309">
        <w:rPr>
          <w:rFonts w:cs="Arial" w:hint="cs"/>
          <w:b/>
          <w:bCs/>
          <w:sz w:val="24"/>
          <w:szCs w:val="24"/>
          <w:rtl/>
        </w:rPr>
        <w:t>,</w:t>
      </w:r>
      <w:r w:rsidRPr="00007309">
        <w:rPr>
          <w:rFonts w:cs="Arial"/>
          <w:b/>
          <w:bCs/>
          <w:sz w:val="24"/>
          <w:szCs w:val="24"/>
          <w:rtl/>
        </w:rPr>
        <w:t xml:space="preserve"> הָדָא הוּא דִּכְתִיב (ישעיה מט) </w:t>
      </w:r>
      <w:r w:rsidRPr="00007309">
        <w:rPr>
          <w:rFonts w:cs="Arial"/>
          <w:b/>
          <w:bCs/>
          <w:sz w:val="36"/>
          <w:szCs w:val="28"/>
          <w:vertAlign w:val="superscript"/>
          <w:rtl/>
        </w:rPr>
        <w:footnoteReference w:id="7755"/>
      </w:r>
      <w:r w:rsidRPr="00007309">
        <w:rPr>
          <w:rFonts w:cs="Arial"/>
          <w:b/>
          <w:bCs/>
          <w:sz w:val="24"/>
          <w:szCs w:val="24"/>
          <w:rtl/>
        </w:rPr>
        <w:t>וַיִלְבַּשׁ צְדָקָה כַּשִּׁרְיוֹן. צְדָקָה הָא אוֹקְמוּהּ</w:t>
      </w:r>
      <w:r w:rsidRPr="00007309">
        <w:rPr>
          <w:rFonts w:cs="Arial" w:hint="cs"/>
          <w:b/>
          <w:bCs/>
          <w:sz w:val="24"/>
          <w:szCs w:val="24"/>
          <w:rtl/>
        </w:rPr>
        <w:t>,</w:t>
      </w:r>
      <w:r w:rsidRPr="00007309">
        <w:rPr>
          <w:rFonts w:cs="Arial"/>
          <w:b/>
          <w:bCs/>
          <w:sz w:val="24"/>
          <w:szCs w:val="24"/>
          <w:rtl/>
        </w:rPr>
        <w:t xml:space="preserve"> צ', צ' אֲמֵנִים דְּתַלְיָן </w:t>
      </w:r>
      <w:r w:rsidRPr="00007309">
        <w:rPr>
          <w:rFonts w:cs="Arial"/>
          <w:b/>
          <w:bCs/>
          <w:sz w:val="36"/>
          <w:szCs w:val="28"/>
          <w:vertAlign w:val="superscript"/>
          <w:rtl/>
        </w:rPr>
        <w:footnoteReference w:id="7756"/>
      </w:r>
      <w:r w:rsidRPr="00007309">
        <w:rPr>
          <w:rFonts w:cs="Arial"/>
          <w:b/>
          <w:bCs/>
          <w:sz w:val="24"/>
          <w:szCs w:val="24"/>
          <w:rtl/>
        </w:rPr>
        <w:t xml:space="preserve">מִן א'. ד'. ד' קְדֻשּׁוֹת. ק', מֵאָה בְּרָכוֹת. ה' חֲמִשָּׁה </w:t>
      </w:r>
      <w:r w:rsidRPr="00007309">
        <w:rPr>
          <w:rFonts w:ascii="Cambria" w:hAnsi="Cambria" w:cs="Times New Roman" w:hint="cs"/>
          <w:b/>
          <w:bCs/>
          <w:i/>
          <w:iCs/>
          <w:color w:val="4F81BD"/>
          <w:sz w:val="24"/>
          <w:szCs w:val="24"/>
          <w:rtl/>
        </w:rPr>
        <w:t>(וילנא לג ע"ב)</w:t>
      </w:r>
      <w:r w:rsidRPr="00007309">
        <w:rPr>
          <w:rFonts w:cs="Arial" w:hint="cs"/>
          <w:b/>
          <w:bCs/>
          <w:sz w:val="24"/>
          <w:szCs w:val="24"/>
          <w:rtl/>
        </w:rPr>
        <w:t xml:space="preserve"> </w:t>
      </w:r>
      <w:r w:rsidRPr="00007309">
        <w:rPr>
          <w:rFonts w:cs="Arial"/>
          <w:b/>
          <w:bCs/>
          <w:sz w:val="24"/>
          <w:szCs w:val="24"/>
          <w:rtl/>
        </w:rPr>
        <w:t>חֻמְשֵׁי תּוֹרָה</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757"/>
      </w:r>
      <w:r w:rsidRPr="00007309">
        <w:rPr>
          <w:rFonts w:cs="Arial"/>
          <w:b/>
          <w:bCs/>
          <w:sz w:val="24"/>
          <w:szCs w:val="24"/>
          <w:rtl/>
        </w:rPr>
        <w:t>וְכֹלָּא אָמֵן</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758"/>
      </w:r>
      <w:r w:rsidRPr="00007309">
        <w:rPr>
          <w:rFonts w:cs="Arial"/>
          <w:b/>
          <w:bCs/>
          <w:sz w:val="24"/>
          <w:szCs w:val="24"/>
          <w:rtl/>
        </w:rPr>
        <w:t xml:space="preserve">מ"ן תִּשְׁעִים. וּמָאן דְּלָא אָמַר לוֹן, </w:t>
      </w:r>
      <w:r w:rsidRPr="00007309">
        <w:rPr>
          <w:rFonts w:cs="Arial"/>
          <w:b/>
          <w:bCs/>
          <w:sz w:val="36"/>
          <w:szCs w:val="28"/>
          <w:vertAlign w:val="superscript"/>
          <w:rtl/>
        </w:rPr>
        <w:footnoteReference w:id="7759"/>
      </w:r>
      <w:r w:rsidRPr="00007309">
        <w:rPr>
          <w:rFonts w:cs="Arial"/>
          <w:b/>
          <w:bCs/>
          <w:sz w:val="24"/>
          <w:szCs w:val="24"/>
          <w:rtl/>
        </w:rPr>
        <w:t>צָרִיךְ לְכַוֵּן בְּחָמֵשׁ סרי וָוִין דֶּאֱמֶת וְיַצִּיב וְנָכוֹן וְקַיָּם וְ</w:t>
      </w:r>
      <w:r w:rsidRPr="00007309">
        <w:rPr>
          <w:rFonts w:cs="Arial" w:hint="cs"/>
          <w:b/>
          <w:bCs/>
          <w:sz w:val="24"/>
          <w:szCs w:val="24"/>
          <w:rtl/>
        </w:rPr>
        <w:t xml:space="preserve">כו'. </w:t>
      </w:r>
      <w:r w:rsidRPr="00007309">
        <w:rPr>
          <w:rFonts w:cs="Arial"/>
          <w:b/>
          <w:bCs/>
          <w:sz w:val="24"/>
          <w:szCs w:val="24"/>
          <w:rtl/>
        </w:rPr>
        <w:t>א' מִן אֱמֶת</w:t>
      </w:r>
      <w:r w:rsidRPr="00007309">
        <w:rPr>
          <w:rFonts w:cs="Arial" w:hint="cs"/>
          <w:b/>
          <w:bCs/>
          <w:sz w:val="24"/>
          <w:szCs w:val="24"/>
          <w:rtl/>
        </w:rPr>
        <w:t>,</w:t>
      </w:r>
      <w:r w:rsidRPr="00007309">
        <w:rPr>
          <w:rFonts w:cs="Arial"/>
          <w:b/>
          <w:bCs/>
          <w:sz w:val="24"/>
          <w:szCs w:val="24"/>
          <w:rtl/>
        </w:rPr>
        <w:t xml:space="preserve"> בָּהּ סַלְקִין לְחֻשְׁבַּן אָמֵן</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760"/>
      </w:r>
      <w:r w:rsidRPr="00007309">
        <w:rPr>
          <w:rFonts w:cs="Arial"/>
          <w:b/>
          <w:bCs/>
          <w:sz w:val="24"/>
          <w:szCs w:val="24"/>
          <w:rtl/>
        </w:rPr>
        <w:t xml:space="preserve">וְאִיהוּ רָזָא יאהדונה"י. וּמָאן דְּאָמַר לוֹן בְּכָל כֹּחוֹ </w:t>
      </w:r>
      <w:r w:rsidRPr="00007309">
        <w:rPr>
          <w:rFonts w:cs="Arial"/>
          <w:b/>
          <w:bCs/>
          <w:sz w:val="36"/>
          <w:szCs w:val="28"/>
          <w:vertAlign w:val="superscript"/>
          <w:rtl/>
        </w:rPr>
        <w:footnoteReference w:id="7761"/>
      </w:r>
      <w:r w:rsidRPr="00007309">
        <w:rPr>
          <w:rFonts w:cs="Arial"/>
          <w:b/>
          <w:bCs/>
          <w:sz w:val="24"/>
          <w:szCs w:val="24"/>
          <w:rtl/>
        </w:rPr>
        <w:t>אִיהוּ אֱלֹהִים</w:t>
      </w:r>
      <w:r w:rsidRPr="00007309">
        <w:rPr>
          <w:rFonts w:cs="Arial" w:hint="cs"/>
          <w:b/>
          <w:bCs/>
          <w:sz w:val="24"/>
          <w:szCs w:val="24"/>
          <w:rtl/>
        </w:rPr>
        <w:t>,</w:t>
      </w:r>
      <w:r w:rsidRPr="00007309">
        <w:rPr>
          <w:rFonts w:cs="Arial"/>
          <w:b/>
          <w:bCs/>
          <w:sz w:val="24"/>
          <w:szCs w:val="24"/>
          <w:rtl/>
        </w:rPr>
        <w:t xml:space="preserve"> דְּהָכֵי סָלִיק לְחֻשְׁבַּן בְּכָ"ל כֹּח</w:t>
      </w:r>
      <w:r w:rsidRPr="00007309">
        <w:rPr>
          <w:rFonts w:cs="Arial" w:hint="cs"/>
          <w:b/>
          <w:bCs/>
          <w:sz w:val="24"/>
          <w:szCs w:val="24"/>
          <w:rtl/>
        </w:rPr>
        <w:t>"</w:t>
      </w:r>
      <w:r w:rsidRPr="00007309">
        <w:rPr>
          <w:rFonts w:cs="Arial"/>
          <w:b/>
          <w:bCs/>
          <w:sz w:val="24"/>
          <w:szCs w:val="24"/>
          <w:rtl/>
        </w:rPr>
        <w:t>וֹ</w:t>
      </w:r>
      <w:r w:rsidRPr="00007309">
        <w:rPr>
          <w:rFonts w:cs="Arial" w:hint="cs"/>
          <w:b/>
          <w:bCs/>
          <w:sz w:val="24"/>
          <w:szCs w:val="24"/>
          <w:rtl/>
        </w:rPr>
        <w:t>,</w:t>
      </w:r>
      <w:r w:rsidRPr="00007309">
        <w:rPr>
          <w:rFonts w:cs="Arial"/>
          <w:b/>
          <w:bCs/>
          <w:sz w:val="24"/>
          <w:szCs w:val="24"/>
          <w:rtl/>
        </w:rPr>
        <w:t xml:space="preserve"> וְיָהִיב </w:t>
      </w:r>
      <w:r w:rsidRPr="00007309">
        <w:rPr>
          <w:rFonts w:cs="Arial"/>
          <w:b/>
          <w:bCs/>
          <w:sz w:val="36"/>
          <w:szCs w:val="28"/>
          <w:vertAlign w:val="superscript"/>
          <w:rtl/>
        </w:rPr>
        <w:footnoteReference w:id="7762"/>
      </w:r>
      <w:r w:rsidRPr="00007309">
        <w:rPr>
          <w:rFonts w:cs="Arial"/>
          <w:b/>
          <w:bCs/>
          <w:sz w:val="24"/>
          <w:szCs w:val="24"/>
          <w:rtl/>
        </w:rPr>
        <w:t>תֻּקְפָא לְסוּסְוָן</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763"/>
      </w:r>
      <w:r w:rsidRPr="00007309">
        <w:rPr>
          <w:rFonts w:cs="Arial"/>
          <w:b/>
          <w:bCs/>
          <w:sz w:val="24"/>
          <w:szCs w:val="24"/>
          <w:rtl/>
        </w:rPr>
        <w:t xml:space="preserve">וְקוֹרְעִין לוֹ גְּזַר דִּינוֹ שֶׁל שִׁבְעִים שָׁנָה, דְּאִנּוּן ע' סַנְהֶדְרִין דְּאִנּוּן גָּזְרִין עַל בַּר נָשׁ מַה דִּיהֵא לֵהּ בְּכָל שַׁתָּא. </w:t>
      </w:r>
      <w:r w:rsidRPr="00007309">
        <w:rPr>
          <w:rFonts w:cs="Arial"/>
          <w:b/>
          <w:bCs/>
          <w:sz w:val="36"/>
          <w:szCs w:val="28"/>
          <w:vertAlign w:val="superscript"/>
          <w:rtl/>
        </w:rPr>
        <w:footnoteReference w:id="7764"/>
      </w:r>
      <w:r w:rsidRPr="00007309">
        <w:rPr>
          <w:rFonts w:cs="Arial"/>
          <w:b/>
          <w:bCs/>
          <w:sz w:val="24"/>
          <w:szCs w:val="24"/>
          <w:rtl/>
        </w:rPr>
        <w:t>אֱלֹהִים אִיהוּ הַכִּסֵּ'א בְּחֻשְׁבָּן</w:t>
      </w:r>
      <w:r w:rsidRPr="00007309">
        <w:rPr>
          <w:rFonts w:cs="Arial" w:hint="cs"/>
          <w:b/>
          <w:bCs/>
          <w:sz w:val="24"/>
          <w:szCs w:val="24"/>
          <w:rtl/>
        </w:rPr>
        <w:t>,</w:t>
      </w:r>
      <w:r w:rsidRPr="00007309">
        <w:rPr>
          <w:rFonts w:cs="Arial"/>
          <w:b/>
          <w:bCs/>
          <w:sz w:val="24"/>
          <w:szCs w:val="24"/>
          <w:rtl/>
        </w:rPr>
        <w:t xml:space="preserve"> וְאִיהוּ כִּסֵּא רַחֲמִים</w:t>
      </w:r>
      <w:r w:rsidRPr="00007309">
        <w:rPr>
          <w:rFonts w:cs="Arial" w:hint="cs"/>
          <w:b/>
          <w:bCs/>
          <w:sz w:val="24"/>
          <w:szCs w:val="24"/>
          <w:rtl/>
        </w:rPr>
        <w:t>,</w:t>
      </w:r>
      <w:r w:rsidRPr="00007309">
        <w:rPr>
          <w:rFonts w:cs="Arial"/>
          <w:b/>
          <w:bCs/>
          <w:sz w:val="24"/>
          <w:szCs w:val="24"/>
          <w:rtl/>
        </w:rPr>
        <w:t xml:space="preserve"> אֵל מֶלֶךְ יוֹשֵׁב עַל כִּסֵּא רַחֲמִים</w:t>
      </w:r>
      <w:r w:rsidRPr="00007309">
        <w:rPr>
          <w:rFonts w:cs="Arial" w:hint="cs"/>
          <w:b/>
          <w:bCs/>
          <w:sz w:val="24"/>
          <w:szCs w:val="24"/>
          <w:rtl/>
        </w:rPr>
        <w:t>.</w:t>
      </w:r>
      <w:r w:rsidRPr="00007309">
        <w:rPr>
          <w:rFonts w:cs="Arial"/>
          <w:b/>
          <w:bCs/>
          <w:sz w:val="24"/>
          <w:szCs w:val="24"/>
          <w:rtl/>
        </w:rPr>
        <w:t xml:space="preserve"> וּמִתְנַהֵג בַּחֲסִידוּת</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765"/>
      </w:r>
      <w:r w:rsidRPr="00007309">
        <w:rPr>
          <w:rFonts w:cs="Arial"/>
          <w:b/>
          <w:bCs/>
          <w:sz w:val="24"/>
          <w:szCs w:val="24"/>
          <w:rtl/>
        </w:rPr>
        <w:t>כִּסֵּא חֶסֶ"ד וַדַּאי</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766"/>
      </w:r>
      <w:r w:rsidRPr="00007309">
        <w:rPr>
          <w:rFonts w:cs="Arial"/>
          <w:b/>
          <w:bCs/>
          <w:sz w:val="24"/>
          <w:szCs w:val="24"/>
          <w:rtl/>
        </w:rPr>
        <w:t>דִּסְלִיקוּ</w:t>
      </w:r>
      <w:r w:rsidRPr="00007309">
        <w:rPr>
          <w:rFonts w:cs="Arial"/>
          <w:b/>
          <w:bCs/>
          <w:sz w:val="24"/>
          <w:szCs w:val="24"/>
        </w:rPr>
        <w:t xml:space="preserve"> </w:t>
      </w:r>
      <w:r w:rsidRPr="00007309">
        <w:rPr>
          <w:rFonts w:cs="Arial"/>
          <w:b/>
          <w:bCs/>
          <w:sz w:val="24"/>
          <w:szCs w:val="24"/>
          <w:rtl/>
        </w:rPr>
        <w:t xml:space="preserve">לְע"ב </w:t>
      </w:r>
      <w:r w:rsidRPr="00007309">
        <w:rPr>
          <w:rFonts w:cs="Arial"/>
          <w:b/>
          <w:bCs/>
          <w:sz w:val="36"/>
          <w:szCs w:val="28"/>
          <w:vertAlign w:val="superscript"/>
          <w:rtl/>
        </w:rPr>
        <w:footnoteReference w:id="7767"/>
      </w:r>
      <w:r w:rsidRPr="00007309">
        <w:rPr>
          <w:rFonts w:cs="Arial"/>
          <w:b/>
          <w:bCs/>
          <w:sz w:val="24"/>
          <w:szCs w:val="24"/>
          <w:rtl/>
        </w:rPr>
        <w:t>קִשְׁרִין וְחֻלְיָן דְּצִיצִית</w:t>
      </w:r>
      <w:r w:rsidRPr="00007309">
        <w:rPr>
          <w:rFonts w:cs="Arial" w:hint="cs"/>
          <w:b/>
          <w:bCs/>
          <w:sz w:val="24"/>
          <w:szCs w:val="24"/>
          <w:rtl/>
        </w:rPr>
        <w:t>.</w:t>
      </w:r>
      <w:r w:rsidRPr="00007309">
        <w:rPr>
          <w:rFonts w:cs="Arial"/>
          <w:b/>
          <w:bCs/>
          <w:sz w:val="24"/>
          <w:szCs w:val="24"/>
          <w:rtl/>
        </w:rPr>
        <w:t xml:space="preserve"> וְאִנּוּן </w:t>
      </w:r>
      <w:r w:rsidRPr="00007309">
        <w:rPr>
          <w:rFonts w:cs="Arial"/>
          <w:b/>
          <w:bCs/>
          <w:sz w:val="36"/>
          <w:szCs w:val="28"/>
          <w:vertAlign w:val="superscript"/>
          <w:rtl/>
        </w:rPr>
        <w:footnoteReference w:id="7768"/>
      </w:r>
      <w:r w:rsidRPr="00007309">
        <w:rPr>
          <w:rFonts w:cs="Arial"/>
          <w:b/>
          <w:bCs/>
          <w:sz w:val="24"/>
          <w:szCs w:val="24"/>
          <w:rtl/>
        </w:rPr>
        <w:t>זוּגִין דְּכִסּוּיִין דְּסוּסְוָן</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769"/>
      </w:r>
      <w:r w:rsidRPr="00007309">
        <w:rPr>
          <w:rFonts w:cs="Arial"/>
          <w:b/>
          <w:bCs/>
          <w:sz w:val="24"/>
          <w:szCs w:val="24"/>
          <w:rtl/>
        </w:rPr>
        <w:t>דְּסָלִיק נִגּוּנָא דְּכִשְׁכּוּשׁ דִּילְהוֹן לְע"ב גְּוָנִין. בָּתַר דְּנַצְּחִין סוּסְוָן קרב</w:t>
      </w:r>
      <w:r w:rsidRPr="00007309">
        <w:rPr>
          <w:rFonts w:cs="Arial" w:hint="cs"/>
          <w:b/>
          <w:bCs/>
          <w:sz w:val="24"/>
          <w:szCs w:val="24"/>
          <w:rtl/>
        </w:rPr>
        <w:t>א</w:t>
      </w:r>
      <w:r w:rsidRPr="00007309">
        <w:rPr>
          <w:rFonts w:cs="Arial"/>
          <w:b/>
          <w:bCs/>
          <w:sz w:val="24"/>
          <w:szCs w:val="24"/>
          <w:rtl/>
        </w:rPr>
        <w:t xml:space="preserve"> בִּצְלוֹתִין, </w:t>
      </w:r>
      <w:r w:rsidRPr="00007309">
        <w:rPr>
          <w:rFonts w:cs="Arial"/>
          <w:b/>
          <w:bCs/>
          <w:sz w:val="36"/>
          <w:szCs w:val="28"/>
          <w:vertAlign w:val="superscript"/>
          <w:rtl/>
        </w:rPr>
        <w:footnoteReference w:id="7770"/>
      </w:r>
      <w:r w:rsidRPr="00007309">
        <w:rPr>
          <w:rFonts w:cs="Arial"/>
          <w:b/>
          <w:bCs/>
          <w:sz w:val="24"/>
          <w:szCs w:val="24"/>
          <w:rtl/>
        </w:rPr>
        <w:t xml:space="preserve">בְּהַהוּא זִימְנָא מָארֵי דְּסוּסְוָן דִּמְמָנָן עַל צְלוֹתִין, כֻּלְּהוּ פְּתָחוּ בִּזְמִירוֹת שִׁירוֹת וְתֻשְׁבָּחוֹת וְהוֹדָאוֹת. וְשָׂפָה דְּאִיהִי קִירְטָא </w:t>
      </w:r>
      <w:r w:rsidRPr="00007309">
        <w:rPr>
          <w:rFonts w:cs="Arial"/>
          <w:b/>
          <w:bCs/>
          <w:sz w:val="36"/>
          <w:szCs w:val="28"/>
          <w:vertAlign w:val="superscript"/>
          <w:rtl/>
        </w:rPr>
        <w:footnoteReference w:id="7771"/>
      </w:r>
      <w:r w:rsidRPr="00007309">
        <w:rPr>
          <w:rFonts w:cs="Arial"/>
          <w:b/>
          <w:bCs/>
          <w:sz w:val="24"/>
          <w:szCs w:val="24"/>
          <w:rtl/>
        </w:rPr>
        <w:t xml:space="preserve">זְרִיקַת אַבְנִין בִּרְחִימוּ. </w:t>
      </w:r>
      <w:r w:rsidRPr="00007309">
        <w:rPr>
          <w:rFonts w:cs="Arial"/>
          <w:b/>
          <w:bCs/>
          <w:sz w:val="36"/>
          <w:szCs w:val="28"/>
          <w:vertAlign w:val="superscript"/>
          <w:rtl/>
        </w:rPr>
        <w:footnoteReference w:id="7772"/>
      </w:r>
      <w:r w:rsidRPr="00007309">
        <w:rPr>
          <w:rFonts w:cs="Arial"/>
          <w:b/>
          <w:bCs/>
          <w:sz w:val="24"/>
          <w:szCs w:val="24"/>
          <w:rtl/>
        </w:rPr>
        <w:t>וְאִנּוּן חָמֵשׁ</w:t>
      </w:r>
      <w:r w:rsidRPr="00007309">
        <w:rPr>
          <w:rFonts w:cs="Arial" w:hint="cs"/>
          <w:b/>
          <w:bCs/>
          <w:sz w:val="24"/>
          <w:szCs w:val="24"/>
          <w:rtl/>
        </w:rPr>
        <w:t>,</w:t>
      </w:r>
      <w:r w:rsidRPr="00007309">
        <w:rPr>
          <w:rFonts w:cs="Arial"/>
          <w:b/>
          <w:bCs/>
          <w:sz w:val="24"/>
          <w:szCs w:val="24"/>
          <w:rtl/>
        </w:rPr>
        <w:t xml:space="preserve"> בְּחָמֵשׁ תִּקּוּנִין דְּעֵינָא</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773"/>
      </w:r>
      <w:r w:rsidRPr="00007309">
        <w:rPr>
          <w:rFonts w:cs="Arial"/>
          <w:b/>
          <w:bCs/>
          <w:sz w:val="24"/>
          <w:szCs w:val="24"/>
          <w:rtl/>
        </w:rPr>
        <w:t>דְּאִנּוּן תְּלָת גַּוְנֵי עֵינָא וּתְרֵי עַפְעַפֵּי עֵינָא. וּלְגַבֵּי אָן אֲתַר אִזְדְּרִיקוּ, לְגַבֵּי בַּת עֵינָא</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774"/>
      </w:r>
      <w:r w:rsidRPr="00007309">
        <w:rPr>
          <w:rFonts w:cs="Arial"/>
          <w:b/>
          <w:bCs/>
          <w:sz w:val="24"/>
          <w:szCs w:val="24"/>
          <w:rtl/>
        </w:rPr>
        <w:t>הָדָא הוּא דִּכְתִיב (שמואל א כא) לִשְׁלֹחַ לִי לְמַטָרָה. וּשְׁלֹשָׁה גַּוְנֵי עֵינָא אִנּוּן מְרֻקָּמָן בִּתְלָת לְבוּשֵׁי ג' אֲבָהָן</w:t>
      </w:r>
      <w:r w:rsidRPr="00007309">
        <w:rPr>
          <w:rFonts w:cs="Arial" w:hint="cs"/>
          <w:b/>
          <w:bCs/>
          <w:sz w:val="24"/>
          <w:szCs w:val="24"/>
          <w:rtl/>
        </w:rPr>
        <w:t>,</w:t>
      </w:r>
      <w:r w:rsidRPr="00007309">
        <w:rPr>
          <w:rFonts w:cs="Arial"/>
          <w:b/>
          <w:bCs/>
          <w:sz w:val="24"/>
          <w:szCs w:val="24"/>
          <w:rtl/>
        </w:rPr>
        <w:t xml:space="preserve"> וּתְרֵי עַפְעַפֵּי עֵינָא תְּרֵי נְבִיאֵי קְשׁוֹט</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775"/>
      </w:r>
      <w:r w:rsidRPr="00007309">
        <w:rPr>
          <w:rFonts w:cs="Arial"/>
          <w:b/>
          <w:bCs/>
          <w:sz w:val="24"/>
          <w:szCs w:val="24"/>
          <w:rtl/>
        </w:rPr>
        <w:t xml:space="preserve">דְּאִנּוּן פָּתְחִין וְסָגְרִין </w:t>
      </w:r>
      <w:r w:rsidRPr="00007309">
        <w:rPr>
          <w:rFonts w:cs="Arial"/>
          <w:b/>
          <w:bCs/>
          <w:sz w:val="36"/>
          <w:szCs w:val="28"/>
          <w:vertAlign w:val="superscript"/>
          <w:rtl/>
        </w:rPr>
        <w:footnoteReference w:id="7776"/>
      </w:r>
      <w:r w:rsidRPr="00007309">
        <w:rPr>
          <w:rFonts w:cs="Arial"/>
          <w:b/>
          <w:bCs/>
          <w:sz w:val="24"/>
          <w:szCs w:val="24"/>
          <w:rtl/>
        </w:rPr>
        <w:t>עֵינָא דְּאִיהִי מַרְאֶה דִּנְבִיאֵי קְשׁוֹט</w:t>
      </w:r>
      <w:r w:rsidRPr="00007309">
        <w:rPr>
          <w:rFonts w:cs="Arial" w:hint="cs"/>
          <w:b/>
          <w:bCs/>
          <w:sz w:val="24"/>
          <w:szCs w:val="24"/>
          <w:rtl/>
        </w:rPr>
        <w:t>,</w:t>
      </w:r>
      <w:r w:rsidRPr="00007309">
        <w:rPr>
          <w:rFonts w:cs="Arial"/>
          <w:b/>
          <w:bCs/>
          <w:sz w:val="24"/>
          <w:szCs w:val="24"/>
          <w:rtl/>
        </w:rPr>
        <w:t xml:space="preserve"> וּמַאי נִיהוּ בַּת עֵינָא</w:t>
      </w:r>
      <w:r w:rsidRPr="00007309">
        <w:rPr>
          <w:rFonts w:cs="Arial" w:hint="cs"/>
          <w:b/>
          <w:bCs/>
          <w:sz w:val="24"/>
          <w:szCs w:val="24"/>
          <w:rtl/>
        </w:rPr>
        <w:t>,</w:t>
      </w:r>
      <w:r w:rsidRPr="00007309">
        <w:rPr>
          <w:rFonts w:cs="Arial"/>
          <w:b/>
          <w:bCs/>
          <w:sz w:val="24"/>
          <w:szCs w:val="24"/>
          <w:rtl/>
        </w:rPr>
        <w:t xml:space="preserve"> שְׁכִינְתָּא תַּתָּאָה</w:t>
      </w:r>
      <w:r w:rsidRPr="00007309">
        <w:rPr>
          <w:rFonts w:cs="Arial" w:hint="cs"/>
          <w:b/>
          <w:bCs/>
          <w:sz w:val="24"/>
          <w:szCs w:val="24"/>
          <w:rtl/>
        </w:rPr>
        <w:t>,</w:t>
      </w:r>
      <w:r w:rsidRPr="00007309">
        <w:rPr>
          <w:rFonts w:cs="Arial"/>
          <w:b/>
          <w:bCs/>
          <w:sz w:val="24"/>
          <w:szCs w:val="24"/>
          <w:rtl/>
        </w:rPr>
        <w:t xml:space="preserve"> עָלַהּ אִתְּמַר (במדבר יב</w:t>
      </w:r>
      <w:r w:rsidRPr="00007309">
        <w:rPr>
          <w:rFonts w:cs="Arial" w:hint="cs"/>
          <w:b/>
          <w:bCs/>
          <w:sz w:val="24"/>
          <w:szCs w:val="24"/>
          <w:rtl/>
        </w:rPr>
        <w:t xml:space="preserve"> ו</w:t>
      </w:r>
      <w:r w:rsidRPr="00007309">
        <w:rPr>
          <w:rFonts w:cs="Arial"/>
          <w:b/>
          <w:bCs/>
          <w:sz w:val="24"/>
          <w:szCs w:val="24"/>
          <w:rtl/>
        </w:rPr>
        <w:t xml:space="preserve">) ה' </w:t>
      </w:r>
      <w:r w:rsidRPr="00007309">
        <w:rPr>
          <w:rFonts w:cs="Arial"/>
          <w:b/>
          <w:bCs/>
          <w:sz w:val="36"/>
          <w:szCs w:val="28"/>
          <w:vertAlign w:val="superscript"/>
          <w:rtl/>
        </w:rPr>
        <w:footnoteReference w:id="7777"/>
      </w:r>
      <w:r w:rsidRPr="00007309">
        <w:rPr>
          <w:rFonts w:cs="Arial"/>
          <w:b/>
          <w:bCs/>
          <w:sz w:val="24"/>
          <w:szCs w:val="24"/>
          <w:rtl/>
        </w:rPr>
        <w:t xml:space="preserve">בַּמַּרְאָה אֵלָיו אֶתְוַדָּע. וְעָלָהּ אִתְּמַר לְגַבֵּי מֹשֶׁה </w:t>
      </w:r>
      <w:r w:rsidRPr="00007309">
        <w:rPr>
          <w:rFonts w:cs="Arial" w:hint="cs"/>
          <w:b/>
          <w:bCs/>
          <w:sz w:val="24"/>
          <w:szCs w:val="24"/>
          <w:rtl/>
        </w:rPr>
        <w:t xml:space="preserve">(במדבר יב ח) </w:t>
      </w:r>
      <w:r w:rsidRPr="00007309">
        <w:rPr>
          <w:rFonts w:cs="Arial"/>
          <w:b/>
          <w:bCs/>
          <w:sz w:val="36"/>
          <w:szCs w:val="28"/>
          <w:vertAlign w:val="superscript"/>
          <w:rtl/>
        </w:rPr>
        <w:footnoteReference w:id="7778"/>
      </w:r>
      <w:r w:rsidRPr="00007309">
        <w:rPr>
          <w:rFonts w:cs="Arial"/>
          <w:b/>
          <w:bCs/>
          <w:sz w:val="24"/>
          <w:szCs w:val="24"/>
          <w:rtl/>
        </w:rPr>
        <w:t xml:space="preserve">וּתְמוּנַת ה' יַבִּיט. </w:t>
      </w:r>
      <w:r w:rsidRPr="00007309">
        <w:rPr>
          <w:rFonts w:cs="Arial"/>
          <w:b/>
          <w:bCs/>
          <w:sz w:val="36"/>
          <w:szCs w:val="28"/>
          <w:vertAlign w:val="superscript"/>
          <w:rtl/>
        </w:rPr>
        <w:footnoteReference w:id="7779"/>
      </w:r>
      <w:r w:rsidRPr="00007309">
        <w:rPr>
          <w:rFonts w:cs="Arial"/>
          <w:b/>
          <w:bCs/>
          <w:sz w:val="24"/>
          <w:szCs w:val="24"/>
          <w:rtl/>
        </w:rPr>
        <w:t xml:space="preserve"> </w:t>
      </w:r>
      <w:r w:rsidRPr="00007309">
        <w:rPr>
          <w:rFonts w:cs="Arial"/>
          <w:b/>
          <w:bCs/>
          <w:sz w:val="36"/>
          <w:szCs w:val="28"/>
          <w:vertAlign w:val="superscript"/>
          <w:rtl/>
        </w:rPr>
        <w:footnoteReference w:id="7780"/>
      </w:r>
      <w:r w:rsidRPr="00007309">
        <w:rPr>
          <w:rFonts w:cs="Arial"/>
          <w:b/>
          <w:bCs/>
          <w:sz w:val="24"/>
          <w:szCs w:val="24"/>
          <w:rtl/>
        </w:rPr>
        <w:t xml:space="preserve">ה' גְּוָנִין אִנּוּן ה'. </w:t>
      </w:r>
      <w:r w:rsidRPr="00007309">
        <w:rPr>
          <w:rFonts w:cs="Arial"/>
          <w:b/>
          <w:bCs/>
          <w:sz w:val="36"/>
          <w:szCs w:val="28"/>
          <w:vertAlign w:val="superscript"/>
          <w:rtl/>
        </w:rPr>
        <w:footnoteReference w:id="7781"/>
      </w:r>
      <w:r w:rsidRPr="00007309">
        <w:rPr>
          <w:rFonts w:cs="Arial"/>
          <w:b/>
          <w:bCs/>
          <w:sz w:val="24"/>
          <w:szCs w:val="24"/>
          <w:rtl/>
        </w:rPr>
        <w:t>בַּת</w:t>
      </w:r>
      <w:r w:rsidRPr="00007309">
        <w:rPr>
          <w:rFonts w:cs="Arial"/>
          <w:b/>
          <w:bCs/>
          <w:sz w:val="24"/>
          <w:szCs w:val="24"/>
        </w:rPr>
        <w:t xml:space="preserve"> </w:t>
      </w:r>
      <w:r w:rsidRPr="00007309">
        <w:rPr>
          <w:rFonts w:cs="Arial"/>
          <w:b/>
          <w:bCs/>
          <w:sz w:val="24"/>
          <w:szCs w:val="24"/>
          <w:rtl/>
        </w:rPr>
        <w:t>עֵינָא דָּא י'</w:t>
      </w:r>
      <w:r w:rsidRPr="00007309">
        <w:rPr>
          <w:rFonts w:cs="Arial" w:hint="cs"/>
          <w:b/>
          <w:bCs/>
          <w:sz w:val="24"/>
          <w:szCs w:val="24"/>
          <w:rtl/>
        </w:rPr>
        <w:t>.</w:t>
      </w:r>
      <w:r w:rsidRPr="00007309">
        <w:rPr>
          <w:rFonts w:cs="Arial"/>
          <w:b/>
          <w:bCs/>
          <w:sz w:val="24"/>
          <w:szCs w:val="24"/>
          <w:rtl/>
        </w:rPr>
        <w:t xml:space="preserve"> מָאן עֵינָא דְּכָלִיל כָּל גְּוָנִין</w:t>
      </w:r>
      <w:r w:rsidRPr="00007309">
        <w:rPr>
          <w:rFonts w:cs="Arial" w:hint="cs"/>
          <w:b/>
          <w:bCs/>
          <w:sz w:val="24"/>
          <w:szCs w:val="24"/>
          <w:rtl/>
        </w:rPr>
        <w:t>,</w:t>
      </w:r>
      <w:r w:rsidRPr="00007309">
        <w:rPr>
          <w:rFonts w:cs="Arial"/>
          <w:b/>
          <w:bCs/>
          <w:sz w:val="24"/>
          <w:szCs w:val="24"/>
          <w:rtl/>
        </w:rPr>
        <w:t xml:space="preserve"> דָּא ו' אִיהוּ פָּתַח וְסָגִיר.</w:t>
      </w:r>
    </w:p>
    <w:p w:rsidR="00007309" w:rsidRPr="00007309" w:rsidRDefault="00007309" w:rsidP="00007309">
      <w:pPr>
        <w:keepNext/>
        <w:outlineLvl w:val="1"/>
        <w:rPr>
          <w:rFonts w:ascii="Cambria" w:hAnsi="Cambria" w:cs="Times New Roman"/>
          <w:b/>
          <w:bCs/>
          <w:i/>
          <w:iCs/>
          <w:sz w:val="28"/>
          <w:szCs w:val="28"/>
          <w:rtl/>
        </w:rPr>
      </w:pPr>
      <w:r w:rsidRPr="00007309">
        <w:rPr>
          <w:rFonts w:ascii="Cambria" w:hAnsi="Cambria" w:cs="Times New Roman"/>
          <w:b/>
          <w:bCs/>
          <w:i/>
          <w:iCs/>
          <w:sz w:val="28"/>
          <w:szCs w:val="28"/>
          <w:rtl/>
        </w:rPr>
        <w:t>[</w:t>
      </w:r>
      <w:r w:rsidRPr="00007309">
        <w:rPr>
          <w:rFonts w:ascii="Cambria" w:hAnsi="Cambria" w:cs="Times New Roman" w:hint="cs"/>
          <w:b/>
          <w:bCs/>
          <w:i/>
          <w:iCs/>
          <w:sz w:val="28"/>
          <w:szCs w:val="28"/>
          <w:rtl/>
        </w:rPr>
        <w:t>דף</w:t>
      </w:r>
      <w:r w:rsidRPr="00007309">
        <w:rPr>
          <w:rFonts w:ascii="Cambria" w:hAnsi="Cambria" w:cs="Times New Roman"/>
          <w:b/>
          <w:bCs/>
          <w:i/>
          <w:iCs/>
          <w:sz w:val="28"/>
          <w:szCs w:val="28"/>
          <w:rtl/>
        </w:rPr>
        <w:t xml:space="preserve"> </w:t>
      </w:r>
      <w:r w:rsidRPr="00007309">
        <w:rPr>
          <w:rFonts w:ascii="Cambria" w:hAnsi="Cambria" w:cs="Times New Roman" w:hint="cs"/>
          <w:b/>
          <w:bCs/>
          <w:i/>
          <w:iCs/>
          <w:sz w:val="28"/>
          <w:szCs w:val="28"/>
          <w:rtl/>
        </w:rPr>
        <w:t>פג</w:t>
      </w:r>
      <w:r w:rsidRPr="00007309">
        <w:rPr>
          <w:rFonts w:ascii="Cambria" w:hAnsi="Cambria" w:cs="Times New Roman"/>
          <w:b/>
          <w:bCs/>
          <w:i/>
          <w:iCs/>
          <w:sz w:val="28"/>
          <w:szCs w:val="28"/>
          <w:rtl/>
        </w:rPr>
        <w:t xml:space="preserve"> ע"</w:t>
      </w:r>
      <w:r w:rsidRPr="00007309">
        <w:rPr>
          <w:rFonts w:ascii="Cambria" w:hAnsi="Cambria" w:cs="Times New Roman" w:hint="cs"/>
          <w:b/>
          <w:bCs/>
          <w:i/>
          <w:iCs/>
          <w:sz w:val="28"/>
          <w:szCs w:val="28"/>
          <w:rtl/>
        </w:rPr>
        <w:t>ג</w:t>
      </w:r>
      <w:r w:rsidRPr="00007309">
        <w:rPr>
          <w:rFonts w:ascii="Cambria" w:hAnsi="Cambria" w:cs="Times New Roman"/>
          <w:b/>
          <w:bCs/>
          <w:i/>
          <w:iCs/>
          <w:sz w:val="28"/>
          <w:szCs w:val="28"/>
          <w:rtl/>
        </w:rPr>
        <w:t>]</w:t>
      </w:r>
    </w:p>
    <w:p w:rsidR="00007309" w:rsidRPr="00007309" w:rsidRDefault="00007309" w:rsidP="00007309">
      <w:pPr>
        <w:jc w:val="both"/>
        <w:rPr>
          <w:rFonts w:cs="Arial"/>
          <w:b/>
          <w:bCs/>
          <w:sz w:val="24"/>
          <w:szCs w:val="24"/>
          <w:rtl/>
        </w:rPr>
      </w:pPr>
      <w:r w:rsidRPr="00007309">
        <w:rPr>
          <w:rFonts w:cs="Arial"/>
          <w:b/>
          <w:bCs/>
          <w:sz w:val="24"/>
          <w:szCs w:val="24"/>
          <w:rtl/>
        </w:rPr>
        <w:t>קָם אֵלִיָּהוּ וְאָמַר, בּוּצִינָא קַדִּישָׁא</w:t>
      </w:r>
      <w:r w:rsidRPr="00007309">
        <w:rPr>
          <w:rFonts w:cs="Arial" w:hint="cs"/>
          <w:b/>
          <w:bCs/>
          <w:sz w:val="24"/>
          <w:szCs w:val="24"/>
          <w:rtl/>
        </w:rPr>
        <w:t>,</w:t>
      </w:r>
      <w:r w:rsidRPr="00007309">
        <w:rPr>
          <w:rFonts w:cs="Arial"/>
          <w:b/>
          <w:bCs/>
          <w:sz w:val="24"/>
          <w:szCs w:val="24"/>
          <w:rtl/>
        </w:rPr>
        <w:t xml:space="preserve"> ה' רְבִיעָאָה אָנָה הִיא. אָמַר וַדַּאי </w:t>
      </w:r>
      <w:r w:rsidRPr="00007309">
        <w:rPr>
          <w:rFonts w:ascii="Cambria" w:hAnsi="Cambria" w:cs="Times New Roman" w:hint="cs"/>
          <w:b/>
          <w:bCs/>
          <w:i/>
          <w:iCs/>
          <w:color w:val="4F81BD"/>
          <w:sz w:val="24"/>
          <w:szCs w:val="24"/>
          <w:rtl/>
        </w:rPr>
        <w:t>(פג ע"ג)</w:t>
      </w:r>
      <w:r w:rsidRPr="00007309">
        <w:rPr>
          <w:rFonts w:cs="Arial" w:hint="cs"/>
          <w:b/>
          <w:bCs/>
          <w:sz w:val="24"/>
          <w:szCs w:val="24"/>
          <w:rtl/>
        </w:rPr>
        <w:t xml:space="preserve"> </w:t>
      </w:r>
      <w:r w:rsidRPr="00007309">
        <w:rPr>
          <w:rFonts w:cs="Arial"/>
          <w:b/>
          <w:bCs/>
          <w:sz w:val="24"/>
          <w:szCs w:val="24"/>
          <w:rtl/>
        </w:rPr>
        <w:t>חָמֵשׁ אוֹר אִנּוּן מִלְּגָו. וּבְגִין דָּא ה"ה</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782"/>
      </w:r>
      <w:r w:rsidRPr="00007309">
        <w:rPr>
          <w:rFonts w:cs="Arial"/>
          <w:b/>
          <w:bCs/>
          <w:sz w:val="24"/>
          <w:szCs w:val="24"/>
          <w:rtl/>
        </w:rPr>
        <w:t xml:space="preserve">חָמֵשׁ גְּוָנִין מִלְּבַר, חָמֵשׁ גְּוָנִין דְּנָהֲרִין בְּהוֹן מִלְּגָאו. וְאִנּוּן גָּוָן חִוָּר, גָּוָן סוּמָק, גָּוָן יָרֹק, גָּוָן תְּכֵלֶת, גָּוָן אֻכָּם. וּלְבוּשִׁין דִּילְהוֹן אַרְגָּמָ'ן. א' </w:t>
      </w:r>
      <w:r w:rsidRPr="00007309">
        <w:rPr>
          <w:rFonts w:cs="Arial"/>
          <w:b/>
          <w:bCs/>
          <w:sz w:val="36"/>
          <w:szCs w:val="28"/>
          <w:vertAlign w:val="superscript"/>
          <w:rtl/>
        </w:rPr>
        <w:footnoteReference w:id="7783"/>
      </w:r>
      <w:r w:rsidRPr="00007309">
        <w:rPr>
          <w:rFonts w:cs="Arial"/>
          <w:b/>
          <w:bCs/>
          <w:sz w:val="24"/>
          <w:szCs w:val="24"/>
          <w:rtl/>
        </w:rPr>
        <w:t xml:space="preserve">אורפניא"ל. ר' רפא"ל. ג' גבריא"ל. מ' מיכא"ל. נ' נוריא"ל. אִלֵּין אִנּוּן גּוּפָא לְחָמֵשׁ גְּוָנִין. א"ל אֵלִיָּהוּ לְרִבִּי שִׁמְעוֹן, בּוּצִינָא קַדִּישָׁא, </w:t>
      </w:r>
      <w:r w:rsidRPr="00007309">
        <w:rPr>
          <w:rFonts w:cs="Arial"/>
          <w:b/>
          <w:bCs/>
          <w:sz w:val="36"/>
          <w:szCs w:val="28"/>
          <w:vertAlign w:val="superscript"/>
          <w:rtl/>
        </w:rPr>
        <w:footnoteReference w:id="7784"/>
      </w:r>
      <w:r w:rsidRPr="00007309">
        <w:rPr>
          <w:rFonts w:cs="Arial"/>
          <w:b/>
          <w:bCs/>
          <w:sz w:val="24"/>
          <w:szCs w:val="24"/>
          <w:rtl/>
        </w:rPr>
        <w:t xml:space="preserve">וַדַּאי עֵינָא יְמִינָא כַּד שַׁרְיָא בֵּהּ יְהוָֹ'ה וְנָהִיר בֵּהּ, וְכֵן בְּעֵינָא שְׂמָאלָא, שְׁכִינְתָּא אַמְרַת לְגַבֵּי עַיְנִין אִלֵּין מֵרְחִימוּ סַגֵּי (שיר ו). הֲסֵבִּי עֵינַיִךְ מִנֶּגְדִּי שֶׁהֵם הִרְהִבוּנִי. </w:t>
      </w:r>
      <w:r w:rsidRPr="00007309">
        <w:rPr>
          <w:rFonts w:cs="Arial"/>
          <w:b/>
          <w:bCs/>
          <w:sz w:val="36"/>
          <w:szCs w:val="28"/>
          <w:vertAlign w:val="superscript"/>
          <w:rtl/>
        </w:rPr>
        <w:footnoteReference w:id="7785"/>
      </w:r>
      <w:r w:rsidRPr="00007309">
        <w:rPr>
          <w:rFonts w:cs="Arial"/>
          <w:b/>
          <w:bCs/>
          <w:sz w:val="24"/>
          <w:szCs w:val="24"/>
          <w:rtl/>
        </w:rPr>
        <w:t xml:space="preserve">מוֹקְדִין לִי בְּשַׁלְהוֹבִין דִּרְחִימוּ </w:t>
      </w:r>
      <w:r w:rsidRPr="00007309">
        <w:rPr>
          <w:rFonts w:cs="Arial"/>
          <w:b/>
          <w:bCs/>
          <w:sz w:val="36"/>
          <w:szCs w:val="28"/>
          <w:vertAlign w:val="superscript"/>
          <w:rtl/>
        </w:rPr>
        <w:footnoteReference w:id="7786"/>
      </w:r>
      <w:r w:rsidRPr="00007309">
        <w:rPr>
          <w:rFonts w:cs="Arial"/>
          <w:b/>
          <w:bCs/>
          <w:sz w:val="24"/>
          <w:szCs w:val="24"/>
          <w:rtl/>
        </w:rPr>
        <w:t xml:space="preserve">דְּזַרְקִין לְכָל עֵיבָר. </w:t>
      </w:r>
    </w:p>
    <w:p w:rsidR="00007309" w:rsidRPr="00007309" w:rsidRDefault="00007309" w:rsidP="00007309">
      <w:pPr>
        <w:keepNext/>
        <w:spacing w:before="240" w:after="60"/>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[וילנא לד ע"א]</w:t>
      </w:r>
    </w:p>
    <w:p w:rsidR="00007309" w:rsidRPr="00007309" w:rsidRDefault="00007309" w:rsidP="00007309">
      <w:pPr>
        <w:jc w:val="both"/>
        <w:rPr>
          <w:rFonts w:cs="Arial"/>
          <w:b/>
          <w:bCs/>
          <w:sz w:val="24"/>
          <w:szCs w:val="24"/>
          <w:rtl/>
        </w:rPr>
      </w:pPr>
      <w:r w:rsidRPr="00007309">
        <w:rPr>
          <w:rFonts w:cs="Arial"/>
          <w:b/>
          <w:bCs/>
          <w:sz w:val="36"/>
          <w:szCs w:val="28"/>
          <w:vertAlign w:val="superscript"/>
          <w:rtl/>
        </w:rPr>
        <w:footnoteReference w:id="7787"/>
      </w:r>
      <w:r w:rsidRPr="00007309">
        <w:rPr>
          <w:rFonts w:cs="Arial"/>
          <w:b/>
          <w:bCs/>
          <w:sz w:val="24"/>
          <w:szCs w:val="24"/>
          <w:rtl/>
        </w:rPr>
        <w:t xml:space="preserve">קָם נַעַר חֲנוֹךְ מְטַטְרוֹן. פָּתַח וְאָמַר, </w:t>
      </w:r>
      <w:r w:rsidRPr="00007309">
        <w:rPr>
          <w:rFonts w:cs="Arial" w:hint="cs"/>
          <w:b/>
          <w:bCs/>
          <w:sz w:val="24"/>
          <w:szCs w:val="24"/>
          <w:rtl/>
        </w:rPr>
        <w:t xml:space="preserve">(איוב לב ו) </w:t>
      </w:r>
      <w:r w:rsidRPr="00007309">
        <w:rPr>
          <w:rFonts w:cs="Arial"/>
          <w:b/>
          <w:bCs/>
          <w:sz w:val="24"/>
          <w:szCs w:val="24"/>
          <w:rtl/>
        </w:rPr>
        <w:t xml:space="preserve">צָעִיר אֲנִי לְיָמִים וְאַתֶּם יְשִׁישִׁים. </w:t>
      </w:r>
      <w:r w:rsidRPr="00007309">
        <w:rPr>
          <w:rFonts w:cs="Arial"/>
          <w:b/>
          <w:bCs/>
          <w:sz w:val="36"/>
          <w:szCs w:val="28"/>
          <w:vertAlign w:val="superscript"/>
          <w:rtl/>
        </w:rPr>
        <w:footnoteReference w:id="7788"/>
      </w:r>
      <w:r w:rsidRPr="00007309">
        <w:rPr>
          <w:rFonts w:cs="Arial"/>
          <w:b/>
          <w:bCs/>
          <w:sz w:val="24"/>
          <w:szCs w:val="24"/>
          <w:rtl/>
        </w:rPr>
        <w:t>וְלִנְהוֹרָא דְּעַיְנִין דִּילְכוֹן נְחִיתְנָא, דְּנָהֲרִין עֵלָּא</w:t>
      </w:r>
      <w:r w:rsidRPr="00007309">
        <w:rPr>
          <w:rFonts w:cs="Arial"/>
          <w:b/>
          <w:bCs/>
          <w:sz w:val="24"/>
          <w:szCs w:val="24"/>
        </w:rPr>
        <w:t xml:space="preserve"> </w:t>
      </w:r>
      <w:r w:rsidRPr="00007309">
        <w:rPr>
          <w:rFonts w:cs="Arial"/>
          <w:b/>
          <w:bCs/>
          <w:sz w:val="24"/>
          <w:szCs w:val="24"/>
          <w:rtl/>
        </w:rPr>
        <w:t>וְתַתָּא</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789"/>
      </w:r>
      <w:r w:rsidRPr="00007309">
        <w:rPr>
          <w:rFonts w:cs="Arial"/>
          <w:b/>
          <w:bCs/>
          <w:sz w:val="24"/>
          <w:szCs w:val="24"/>
          <w:rtl/>
        </w:rPr>
        <w:t xml:space="preserve">וְעָלַיְהוּ אִתְּמַר (רות ו) </w:t>
      </w:r>
      <w:r w:rsidRPr="00007309">
        <w:rPr>
          <w:rFonts w:cs="Arial"/>
          <w:b/>
          <w:bCs/>
          <w:sz w:val="36"/>
          <w:szCs w:val="28"/>
          <w:vertAlign w:val="superscript"/>
          <w:rtl/>
        </w:rPr>
        <w:footnoteReference w:id="7790"/>
      </w:r>
      <w:r w:rsidRPr="00007309">
        <w:rPr>
          <w:rFonts w:cs="Arial"/>
          <w:b/>
          <w:bCs/>
          <w:sz w:val="24"/>
          <w:szCs w:val="24"/>
          <w:rtl/>
        </w:rPr>
        <w:t xml:space="preserve">עֵינַיךְ </w:t>
      </w:r>
      <w:r w:rsidRPr="00007309">
        <w:rPr>
          <w:rFonts w:cs="Arial"/>
          <w:b/>
          <w:bCs/>
          <w:sz w:val="36"/>
          <w:szCs w:val="28"/>
          <w:vertAlign w:val="superscript"/>
          <w:rtl/>
        </w:rPr>
        <w:footnoteReference w:id="7791"/>
      </w:r>
      <w:r w:rsidRPr="00007309">
        <w:rPr>
          <w:rFonts w:cs="Arial"/>
          <w:b/>
          <w:bCs/>
          <w:sz w:val="24"/>
          <w:szCs w:val="24"/>
          <w:rtl/>
        </w:rPr>
        <w:t xml:space="preserve">בַּשָּדֶה אֲשֶׁר יִקְצֹרוּן וְהָלַכְתְּ אַחֲרֵיהֶן. </w:t>
      </w:r>
      <w:r w:rsidRPr="00007309">
        <w:rPr>
          <w:rFonts w:cs="Arial"/>
          <w:b/>
          <w:bCs/>
          <w:sz w:val="36"/>
          <w:szCs w:val="28"/>
          <w:vertAlign w:val="superscript"/>
          <w:rtl/>
        </w:rPr>
        <w:footnoteReference w:id="7792"/>
      </w:r>
      <w:r w:rsidRPr="00007309">
        <w:rPr>
          <w:rFonts w:cs="Arial"/>
          <w:b/>
          <w:bCs/>
          <w:sz w:val="24"/>
          <w:szCs w:val="24"/>
          <w:rtl/>
        </w:rPr>
        <w:t>וּמַאי נִיהוּ ת</w:t>
      </w:r>
      <w:r w:rsidRPr="00007309">
        <w:rPr>
          <w:rFonts w:cs="Arial" w:hint="cs"/>
          <w:b/>
          <w:bCs/>
          <w:sz w:val="24"/>
          <w:szCs w:val="24"/>
          <w:rtl/>
        </w:rPr>
        <w:t>"</w:t>
      </w:r>
      <w:r w:rsidRPr="00007309">
        <w:rPr>
          <w:rFonts w:cs="Arial"/>
          <w:b/>
          <w:bCs/>
          <w:sz w:val="24"/>
          <w:szCs w:val="24"/>
          <w:rtl/>
        </w:rPr>
        <w:t>ח דִּבְכָל אֲתַר דְּיָהֲבֵי עֵינַיְהוּ אוֹ מִיתָה אוֹ עֹנִי. וְאִלֵּין</w:t>
      </w:r>
      <w:r w:rsidRPr="00007309">
        <w:rPr>
          <w:rFonts w:cs="Arial"/>
          <w:b/>
          <w:bCs/>
          <w:sz w:val="24"/>
          <w:szCs w:val="24"/>
        </w:rPr>
        <w:t xml:space="preserve"> </w:t>
      </w:r>
      <w:r w:rsidRPr="00007309">
        <w:rPr>
          <w:rFonts w:cs="Arial"/>
          <w:b/>
          <w:bCs/>
          <w:sz w:val="24"/>
          <w:szCs w:val="24"/>
          <w:rtl/>
        </w:rPr>
        <w:t xml:space="preserve">אִנּוּן עוּלֵימִין </w:t>
      </w:r>
      <w:r w:rsidRPr="00007309">
        <w:rPr>
          <w:rFonts w:cs="Arial"/>
          <w:b/>
          <w:bCs/>
          <w:sz w:val="36"/>
          <w:szCs w:val="28"/>
          <w:vertAlign w:val="superscript"/>
          <w:rtl/>
        </w:rPr>
        <w:footnoteReference w:id="7793"/>
      </w:r>
      <w:r w:rsidRPr="00007309">
        <w:rPr>
          <w:rFonts w:cs="Arial"/>
          <w:b/>
          <w:bCs/>
          <w:sz w:val="24"/>
          <w:szCs w:val="24"/>
          <w:rtl/>
        </w:rPr>
        <w:t xml:space="preserve">דְּאִתְפְּטָרוּ בְּקַצְרוּת שָׁנִים. </w:t>
      </w:r>
      <w:r w:rsidRPr="00007309">
        <w:rPr>
          <w:rFonts w:cs="Arial"/>
          <w:b/>
          <w:bCs/>
          <w:sz w:val="36"/>
          <w:szCs w:val="28"/>
          <w:vertAlign w:val="superscript"/>
          <w:rtl/>
        </w:rPr>
        <w:footnoteReference w:id="7794"/>
      </w:r>
      <w:r w:rsidRPr="00007309">
        <w:rPr>
          <w:rFonts w:cs="Arial"/>
          <w:b/>
          <w:bCs/>
          <w:sz w:val="24"/>
          <w:szCs w:val="24"/>
          <w:rtl/>
        </w:rPr>
        <w:t xml:space="preserve">וְכֻלְּהוּ תַּחַת מֶמְשָׁלָה דִּילִי בִּמְתִיבְתָּא דִּרְקִיעָא. </w:t>
      </w:r>
      <w:r w:rsidRPr="00007309">
        <w:rPr>
          <w:rFonts w:ascii="Cambria" w:hAnsi="Cambria" w:cs="Times New Roman" w:hint="cs"/>
          <w:b/>
          <w:bCs/>
          <w:i/>
          <w:iCs/>
          <w:color w:val="4F81BD"/>
          <w:sz w:val="24"/>
          <w:szCs w:val="24"/>
          <w:rtl/>
        </w:rPr>
        <w:t>(וילנא לד ע"א)</w:t>
      </w:r>
      <w:r w:rsidRPr="00007309">
        <w:rPr>
          <w:rFonts w:cs="Arial" w:hint="cs"/>
          <w:b/>
          <w:bCs/>
          <w:sz w:val="24"/>
          <w:szCs w:val="24"/>
          <w:rtl/>
        </w:rPr>
        <w:t xml:space="preserve"> </w:t>
      </w:r>
      <w:r w:rsidRPr="00007309">
        <w:rPr>
          <w:rFonts w:cs="Arial"/>
          <w:b/>
          <w:bCs/>
          <w:sz w:val="36"/>
          <w:szCs w:val="28"/>
          <w:vertAlign w:val="superscript"/>
          <w:rtl/>
        </w:rPr>
        <w:footnoteReference w:id="7795"/>
      </w:r>
      <w:r w:rsidRPr="00007309">
        <w:rPr>
          <w:rFonts w:cs="Arial"/>
          <w:b/>
          <w:bCs/>
          <w:sz w:val="24"/>
          <w:szCs w:val="24"/>
          <w:rtl/>
        </w:rPr>
        <w:t xml:space="preserve">וְדָא לָמָּה. בְּגִין שְׁכִינְתָּא דְּיָתְבָא בְּעֵינַיְהוּ </w:t>
      </w:r>
      <w:r w:rsidRPr="00007309">
        <w:rPr>
          <w:rFonts w:cs="Arial"/>
          <w:b/>
          <w:bCs/>
          <w:sz w:val="36"/>
          <w:szCs w:val="28"/>
          <w:vertAlign w:val="superscript"/>
          <w:rtl/>
        </w:rPr>
        <w:footnoteReference w:id="7796"/>
      </w:r>
      <w:r w:rsidRPr="00007309">
        <w:rPr>
          <w:rFonts w:cs="Arial"/>
          <w:b/>
          <w:bCs/>
          <w:sz w:val="24"/>
          <w:szCs w:val="24"/>
          <w:rtl/>
        </w:rPr>
        <w:t xml:space="preserve">וְשם הַנָּהִיר בְּעֵינַיְהוּ דְּאִתְּמַר בֵּהּ (דברים לב) </w:t>
      </w:r>
      <w:r w:rsidRPr="00007309">
        <w:rPr>
          <w:rFonts w:cs="Arial"/>
          <w:b/>
          <w:bCs/>
          <w:sz w:val="36"/>
          <w:szCs w:val="28"/>
          <w:vertAlign w:val="superscript"/>
          <w:rtl/>
        </w:rPr>
        <w:footnoteReference w:id="7797"/>
      </w:r>
      <w:r w:rsidRPr="00007309">
        <w:rPr>
          <w:rFonts w:cs="Arial"/>
          <w:b/>
          <w:bCs/>
          <w:sz w:val="24"/>
          <w:szCs w:val="24"/>
          <w:rtl/>
        </w:rPr>
        <w:t xml:space="preserve">אֲנִי אָמִית וְאַחֲיֶה. </w:t>
      </w:r>
      <w:r w:rsidRPr="00007309">
        <w:rPr>
          <w:rFonts w:cs="Arial"/>
          <w:b/>
          <w:bCs/>
          <w:sz w:val="36"/>
          <w:szCs w:val="28"/>
          <w:vertAlign w:val="superscript"/>
          <w:rtl/>
        </w:rPr>
        <w:footnoteReference w:id="7798"/>
      </w:r>
      <w:r w:rsidRPr="00007309">
        <w:rPr>
          <w:rFonts w:cs="Arial"/>
          <w:b/>
          <w:bCs/>
          <w:sz w:val="24"/>
          <w:szCs w:val="24"/>
          <w:rtl/>
        </w:rPr>
        <w:t>וּבְגִין דָּא אָמַר קֻדְשָׁא בְּרִיךְ הוּא עֵינַיִךְ בַּשָּדֶה אֲשֶׁר יִקְצֹרוּן</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799"/>
      </w:r>
      <w:r w:rsidRPr="00007309">
        <w:rPr>
          <w:rFonts w:cs="Arial"/>
          <w:b/>
          <w:bCs/>
          <w:sz w:val="24"/>
          <w:szCs w:val="24"/>
          <w:rtl/>
        </w:rPr>
        <w:t xml:space="preserve">בְּהַהוּא שָׂדֶה דְּתַמָּן </w:t>
      </w:r>
      <w:r w:rsidRPr="00007309">
        <w:rPr>
          <w:rFonts w:cs="Arial" w:hint="cs"/>
          <w:b/>
          <w:bCs/>
          <w:sz w:val="24"/>
          <w:szCs w:val="24"/>
          <w:rtl/>
        </w:rPr>
        <w:t xml:space="preserve">(בראשית כד סג) </w:t>
      </w:r>
      <w:r w:rsidRPr="00007309">
        <w:rPr>
          <w:rFonts w:cs="Arial"/>
          <w:b/>
          <w:bCs/>
          <w:sz w:val="24"/>
          <w:szCs w:val="24"/>
          <w:rtl/>
        </w:rPr>
        <w:t>וַיֵּצֵא יִצְחָק לָשׂוּחַ בַּשָּדֶה לִפְנוֹת עֶרֶב</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800"/>
      </w:r>
      <w:r w:rsidRPr="00007309">
        <w:rPr>
          <w:rFonts w:cs="Arial"/>
          <w:b/>
          <w:bCs/>
          <w:sz w:val="24"/>
          <w:szCs w:val="24"/>
          <w:rtl/>
        </w:rPr>
        <w:t>לְפַנוֹת כָּל מְקַטְרְגִין דְּאִנּוּן עִרְבּוּבָא בְּיִשְׂרָאֵל דְּעֵרֶב רַב</w:t>
      </w:r>
      <w:r w:rsidRPr="00007309">
        <w:rPr>
          <w:rFonts w:cs="Arial" w:hint="cs"/>
          <w:b/>
          <w:bCs/>
          <w:sz w:val="24"/>
          <w:szCs w:val="24"/>
          <w:rtl/>
        </w:rPr>
        <w:t xml:space="preserve">, </w:t>
      </w:r>
      <w:r w:rsidRPr="00007309">
        <w:rPr>
          <w:rFonts w:cs="Arial"/>
          <w:b/>
          <w:bCs/>
          <w:sz w:val="24"/>
          <w:szCs w:val="24"/>
          <w:rtl/>
        </w:rPr>
        <w:t xml:space="preserve">וּבְהוֹן אִתְּמַר בַּשָּדֶה אֲשֶׁר יִקְצֹרוּן. </w:t>
      </w:r>
    </w:p>
    <w:p w:rsidR="00007309" w:rsidRPr="00007309" w:rsidRDefault="00007309" w:rsidP="00007309">
      <w:pPr>
        <w:jc w:val="both"/>
        <w:rPr>
          <w:rFonts w:cs="Arial"/>
          <w:b/>
          <w:bCs/>
          <w:sz w:val="24"/>
          <w:szCs w:val="24"/>
          <w:rtl/>
        </w:rPr>
      </w:pPr>
      <w:r w:rsidRPr="00007309">
        <w:rPr>
          <w:rFonts w:cs="Arial"/>
          <w:b/>
          <w:bCs/>
          <w:sz w:val="36"/>
          <w:szCs w:val="28"/>
          <w:vertAlign w:val="superscript"/>
          <w:rtl/>
        </w:rPr>
        <w:footnoteReference w:id="7801"/>
      </w:r>
      <w:r w:rsidRPr="00007309">
        <w:rPr>
          <w:rFonts w:cs="Arial"/>
          <w:b/>
          <w:bCs/>
          <w:sz w:val="24"/>
          <w:szCs w:val="24"/>
          <w:rtl/>
        </w:rPr>
        <w:t>וְעוֹד</w:t>
      </w:r>
      <w:r w:rsidRPr="00007309">
        <w:rPr>
          <w:rFonts w:cs="Arial" w:hint="cs"/>
          <w:b/>
          <w:bCs/>
          <w:sz w:val="24"/>
          <w:szCs w:val="24"/>
          <w:rtl/>
        </w:rPr>
        <w:t>,</w:t>
      </w:r>
      <w:r w:rsidRPr="00007309">
        <w:rPr>
          <w:rFonts w:cs="Arial"/>
          <w:b/>
          <w:bCs/>
          <w:sz w:val="24"/>
          <w:szCs w:val="24"/>
          <w:rtl/>
        </w:rPr>
        <w:t xml:space="preserve"> עֵינַיִךְ</w:t>
      </w:r>
      <w:r w:rsidRPr="00007309">
        <w:rPr>
          <w:rFonts w:cs="Arial" w:hint="cs"/>
          <w:b/>
          <w:bCs/>
          <w:sz w:val="24"/>
          <w:szCs w:val="24"/>
          <w:rtl/>
        </w:rPr>
        <w:t>,</w:t>
      </w:r>
      <w:r w:rsidRPr="00007309">
        <w:rPr>
          <w:rFonts w:cs="Arial"/>
          <w:b/>
          <w:bCs/>
          <w:sz w:val="24"/>
          <w:szCs w:val="24"/>
          <w:rtl/>
        </w:rPr>
        <w:t xml:space="preserve"> אֵלּוּ תַּלְמִידֵי חֲכָמִים </w:t>
      </w:r>
      <w:r w:rsidRPr="00007309">
        <w:rPr>
          <w:rFonts w:cs="Arial"/>
          <w:b/>
          <w:bCs/>
          <w:sz w:val="36"/>
          <w:szCs w:val="28"/>
          <w:vertAlign w:val="superscript"/>
          <w:rtl/>
        </w:rPr>
        <w:footnoteReference w:id="7802"/>
      </w:r>
      <w:r w:rsidRPr="00007309">
        <w:rPr>
          <w:rFonts w:cs="Arial"/>
          <w:b/>
          <w:bCs/>
          <w:sz w:val="24"/>
          <w:szCs w:val="24"/>
          <w:rtl/>
        </w:rPr>
        <w:t>דְּאִנּוּן עַיְנִין דְּאוֹרַיְתָא</w:t>
      </w:r>
      <w:r w:rsidRPr="00007309">
        <w:rPr>
          <w:rFonts w:cs="Arial" w:hint="cs"/>
          <w:b/>
          <w:bCs/>
          <w:sz w:val="24"/>
          <w:szCs w:val="24"/>
          <w:rtl/>
        </w:rPr>
        <w:t>.</w:t>
      </w:r>
      <w:r w:rsidRPr="00007309">
        <w:rPr>
          <w:rFonts w:cs="Arial"/>
          <w:b/>
          <w:bCs/>
          <w:sz w:val="24"/>
          <w:szCs w:val="24"/>
          <w:rtl/>
        </w:rPr>
        <w:t xml:space="preserve"> אֲשֶׁר יִקְצֹרוּן</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803"/>
      </w:r>
      <w:r w:rsidRPr="00007309">
        <w:rPr>
          <w:rFonts w:cs="Arial"/>
          <w:b/>
          <w:bCs/>
          <w:sz w:val="24"/>
          <w:szCs w:val="24"/>
          <w:rtl/>
        </w:rPr>
        <w:t xml:space="preserve">דָּעֳנָשִׁין לְמָאן דְּנָגַע בְּאִסּוּרָא דְּאוֹרַיְתָא. </w:t>
      </w:r>
      <w:r w:rsidRPr="00007309">
        <w:rPr>
          <w:rFonts w:cs="Arial"/>
          <w:b/>
          <w:bCs/>
          <w:sz w:val="36"/>
          <w:szCs w:val="28"/>
          <w:vertAlign w:val="superscript"/>
          <w:rtl/>
        </w:rPr>
        <w:footnoteReference w:id="7804"/>
      </w:r>
      <w:r w:rsidRPr="00007309">
        <w:rPr>
          <w:rFonts w:cs="Arial"/>
          <w:b/>
          <w:bCs/>
          <w:sz w:val="24"/>
          <w:szCs w:val="24"/>
          <w:rtl/>
        </w:rPr>
        <w:t>וְעוֹד</w:t>
      </w:r>
      <w:r w:rsidRPr="00007309">
        <w:rPr>
          <w:rFonts w:cs="Arial" w:hint="cs"/>
          <w:b/>
          <w:bCs/>
          <w:sz w:val="24"/>
          <w:szCs w:val="24"/>
          <w:rtl/>
        </w:rPr>
        <w:t>,</w:t>
      </w:r>
      <w:r w:rsidRPr="00007309">
        <w:rPr>
          <w:rFonts w:cs="Arial"/>
          <w:b/>
          <w:bCs/>
          <w:sz w:val="24"/>
          <w:szCs w:val="24"/>
          <w:rtl/>
        </w:rPr>
        <w:t xml:space="preserve"> אֲשֶׁר יִקְצֹרוּן, דְּעָלַיְהוּ אִתְּמַר מָקוֹם שֶׁאָמְרוּ לְהַאֲרִיךְ אֵינוֹ רַשַּׁאי לְקַצֵּר</w:t>
      </w:r>
      <w:r w:rsidRPr="00007309">
        <w:rPr>
          <w:rFonts w:cs="Arial" w:hint="cs"/>
          <w:b/>
          <w:bCs/>
          <w:sz w:val="24"/>
          <w:szCs w:val="24"/>
          <w:rtl/>
        </w:rPr>
        <w:t>,</w:t>
      </w:r>
      <w:r w:rsidRPr="00007309">
        <w:rPr>
          <w:rFonts w:cs="Arial"/>
          <w:b/>
          <w:bCs/>
          <w:sz w:val="24"/>
          <w:szCs w:val="24"/>
          <w:rtl/>
        </w:rPr>
        <w:t xml:space="preserve"> לְקַצֵּר אֵינוֹ רַשַּׁאי לְהַאֲרִיךְ. וְאִנּוּן פָּסְקִין אוֹרַיְתָא </w:t>
      </w:r>
      <w:r w:rsidRPr="00007309">
        <w:rPr>
          <w:rFonts w:cs="Arial"/>
          <w:b/>
          <w:bCs/>
          <w:sz w:val="36"/>
          <w:szCs w:val="28"/>
          <w:vertAlign w:val="superscript"/>
          <w:rtl/>
        </w:rPr>
        <w:footnoteReference w:id="7805"/>
      </w:r>
      <w:r w:rsidRPr="00007309">
        <w:rPr>
          <w:rFonts w:cs="Arial"/>
          <w:b/>
          <w:bCs/>
          <w:sz w:val="24"/>
          <w:szCs w:val="24"/>
          <w:rtl/>
        </w:rPr>
        <w:t xml:space="preserve">בְּאִסּוּר וְהֶתֵּר, פָּסוּל וְכָשֵׁר, טֻמְאָה וְטָהֳרָה. </w:t>
      </w:r>
      <w:r w:rsidRPr="00007309">
        <w:rPr>
          <w:rFonts w:cs="Arial"/>
          <w:b/>
          <w:bCs/>
          <w:sz w:val="36"/>
          <w:szCs w:val="28"/>
          <w:vertAlign w:val="superscript"/>
          <w:rtl/>
        </w:rPr>
        <w:footnoteReference w:id="7806"/>
      </w:r>
      <w:r w:rsidRPr="00007309">
        <w:rPr>
          <w:rFonts w:cs="Arial"/>
          <w:b/>
          <w:bCs/>
          <w:sz w:val="24"/>
          <w:szCs w:val="24"/>
          <w:rtl/>
        </w:rPr>
        <w:t xml:space="preserve">וְעָבְדוּ כַּמָּה גְּדֵרוֹת בְּאוֹרַיְתָא, דְּלָא עֲבָדִין פִּרְצָה וּפֵרוּדָא </w:t>
      </w:r>
      <w:r w:rsidRPr="00007309">
        <w:rPr>
          <w:rFonts w:cs="Arial"/>
          <w:b/>
          <w:bCs/>
          <w:sz w:val="36"/>
          <w:szCs w:val="28"/>
          <w:vertAlign w:val="superscript"/>
          <w:rtl/>
        </w:rPr>
        <w:footnoteReference w:id="7807"/>
      </w:r>
      <w:r w:rsidRPr="00007309">
        <w:rPr>
          <w:rFonts w:cs="Arial"/>
          <w:b/>
          <w:bCs/>
          <w:sz w:val="24"/>
          <w:szCs w:val="24"/>
          <w:rtl/>
        </w:rPr>
        <w:t>בשְׁכִינְתָּא דְּאִיהִי אוֹרַיְתָא דִּבְעַל פֶּה. וּבְגִין דָּא וְהָלַכְתְּ אַחֲרֵיהֶן</w:t>
      </w:r>
      <w:r w:rsidRPr="00007309">
        <w:rPr>
          <w:rFonts w:cs="Arial" w:hint="cs"/>
          <w:b/>
          <w:bCs/>
          <w:sz w:val="24"/>
          <w:szCs w:val="24"/>
          <w:rtl/>
        </w:rPr>
        <w:t>,</w:t>
      </w:r>
      <w:r w:rsidRPr="00007309">
        <w:rPr>
          <w:rFonts w:cs="Arial"/>
          <w:b/>
          <w:bCs/>
          <w:sz w:val="24"/>
          <w:szCs w:val="24"/>
          <w:rtl/>
        </w:rPr>
        <w:t xml:space="preserve"> בְּגִין דיהו'ה שַׁלִּיט עָלַיְהוּ</w:t>
      </w:r>
      <w:r w:rsidRPr="00007309">
        <w:rPr>
          <w:rFonts w:cs="Arial" w:hint="cs"/>
          <w:b/>
          <w:bCs/>
          <w:sz w:val="24"/>
          <w:szCs w:val="24"/>
          <w:rtl/>
        </w:rPr>
        <w:t>,</w:t>
      </w:r>
      <w:r w:rsidRPr="00007309">
        <w:rPr>
          <w:rFonts w:cs="Arial"/>
          <w:b/>
          <w:bCs/>
          <w:sz w:val="24"/>
          <w:szCs w:val="24"/>
          <w:rtl/>
        </w:rPr>
        <w:t xml:space="preserve"> הָדָא הוּא דִּכְתִיב (רות ב) וַיֹּאמֶר </w:t>
      </w:r>
      <w:r w:rsidRPr="00007309">
        <w:rPr>
          <w:rFonts w:cs="Arial"/>
          <w:b/>
          <w:bCs/>
          <w:sz w:val="36"/>
          <w:szCs w:val="28"/>
          <w:vertAlign w:val="superscript"/>
          <w:rtl/>
        </w:rPr>
        <w:footnoteReference w:id="7808"/>
      </w:r>
      <w:r w:rsidRPr="00007309">
        <w:rPr>
          <w:rFonts w:cs="Arial"/>
          <w:b/>
          <w:bCs/>
          <w:sz w:val="24"/>
          <w:szCs w:val="24"/>
          <w:rtl/>
        </w:rPr>
        <w:t>לַקּוֹצְרִים יְהוָֹה עִמָּכֶם. וּבְגִין דָּא וְהָלַכְתְּ אַחֲרֵיהֶן</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809"/>
      </w:r>
      <w:r w:rsidRPr="00007309">
        <w:rPr>
          <w:rFonts w:cs="Arial"/>
          <w:b/>
          <w:bCs/>
          <w:sz w:val="24"/>
          <w:szCs w:val="24"/>
          <w:rtl/>
        </w:rPr>
        <w:t>דְּהָכֵי צְרִיכָה אִתְּתָא לְמֵיזַל בָּתַר בַּעְלָהּ. אֲלַקְּטָה בַּשִּׁבֳּלִים</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810"/>
      </w:r>
      <w:r w:rsidRPr="00007309">
        <w:rPr>
          <w:rFonts w:cs="Arial"/>
          <w:b/>
          <w:bCs/>
          <w:sz w:val="24"/>
          <w:szCs w:val="24"/>
          <w:rtl/>
        </w:rPr>
        <w:t>אֵלּוּ לְקוּטוֹת</w:t>
      </w:r>
      <w:r w:rsidRPr="00007309">
        <w:rPr>
          <w:rFonts w:cs="Arial"/>
          <w:b/>
          <w:bCs/>
          <w:sz w:val="24"/>
          <w:szCs w:val="24"/>
        </w:rPr>
        <w:t xml:space="preserve"> </w:t>
      </w:r>
      <w:r w:rsidRPr="00007309">
        <w:rPr>
          <w:rFonts w:cs="Arial"/>
          <w:b/>
          <w:bCs/>
          <w:sz w:val="24"/>
          <w:szCs w:val="24"/>
          <w:rtl/>
        </w:rPr>
        <w:t xml:space="preserve">דְּאוֹרַיְתָא </w:t>
      </w:r>
      <w:r w:rsidRPr="00007309">
        <w:rPr>
          <w:rFonts w:cs="Arial"/>
          <w:b/>
          <w:bCs/>
          <w:sz w:val="36"/>
          <w:szCs w:val="28"/>
          <w:vertAlign w:val="superscript"/>
          <w:rtl/>
        </w:rPr>
        <w:footnoteReference w:id="7811"/>
      </w:r>
      <w:r w:rsidRPr="00007309">
        <w:rPr>
          <w:rFonts w:cs="Arial"/>
          <w:b/>
          <w:bCs/>
          <w:sz w:val="24"/>
          <w:szCs w:val="24"/>
          <w:rtl/>
        </w:rPr>
        <w:t xml:space="preserve">לְאִתְפַּרְנְסָא בְּהוֹן בְּגָלוּתָא. </w:t>
      </w:r>
      <w:r w:rsidRPr="00007309">
        <w:rPr>
          <w:rFonts w:cs="Arial"/>
          <w:b/>
          <w:bCs/>
          <w:sz w:val="36"/>
          <w:szCs w:val="28"/>
          <w:vertAlign w:val="superscript"/>
          <w:rtl/>
        </w:rPr>
        <w:footnoteReference w:id="7812"/>
      </w:r>
      <w:r w:rsidRPr="00007309">
        <w:rPr>
          <w:rFonts w:cs="Arial"/>
          <w:b/>
          <w:bCs/>
          <w:sz w:val="24"/>
          <w:szCs w:val="24"/>
          <w:rtl/>
        </w:rPr>
        <w:t xml:space="preserve">בֵּין הֶעֳמָרִים תְּלַקֵּט </w:t>
      </w:r>
      <w:r w:rsidRPr="00007309">
        <w:rPr>
          <w:rFonts w:cs="Arial"/>
          <w:b/>
          <w:bCs/>
          <w:sz w:val="36"/>
          <w:szCs w:val="28"/>
          <w:vertAlign w:val="superscript"/>
          <w:rtl/>
        </w:rPr>
        <w:footnoteReference w:id="7813"/>
      </w:r>
      <w:r w:rsidRPr="00007309">
        <w:rPr>
          <w:rFonts w:cs="Arial"/>
          <w:b/>
          <w:bCs/>
          <w:sz w:val="24"/>
          <w:szCs w:val="24"/>
          <w:rtl/>
        </w:rPr>
        <w:t>וְלֹא תַּכְלִימוּהָ</w:t>
      </w:r>
      <w:r w:rsidRPr="00007309">
        <w:rPr>
          <w:rFonts w:cs="Arial" w:hint="cs"/>
          <w:b/>
          <w:bCs/>
          <w:sz w:val="24"/>
          <w:szCs w:val="24"/>
          <w:rtl/>
        </w:rPr>
        <w:t>.</w:t>
      </w:r>
      <w:r w:rsidRPr="00007309">
        <w:rPr>
          <w:rFonts w:cs="Arial"/>
          <w:b/>
          <w:bCs/>
          <w:sz w:val="24"/>
          <w:szCs w:val="24"/>
          <w:rtl/>
        </w:rPr>
        <w:t xml:space="preserve"> וְעָלַיְהוּ אִתְּמַר (שמות לז) וַיִּמֹדּוּ בָּעֹמֶר. </w:t>
      </w:r>
      <w:r w:rsidRPr="00007309">
        <w:rPr>
          <w:rFonts w:cs="Arial"/>
          <w:b/>
          <w:bCs/>
          <w:sz w:val="36"/>
          <w:szCs w:val="28"/>
          <w:vertAlign w:val="superscript"/>
          <w:rtl/>
        </w:rPr>
        <w:footnoteReference w:id="7814"/>
      </w:r>
      <w:r w:rsidRPr="00007309">
        <w:rPr>
          <w:rFonts w:cs="Arial"/>
          <w:b/>
          <w:bCs/>
          <w:sz w:val="24"/>
          <w:szCs w:val="24"/>
          <w:rtl/>
        </w:rPr>
        <w:t>כֻּלְּהוּ בְּמִדָּה</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815"/>
      </w:r>
      <w:r w:rsidRPr="00007309">
        <w:rPr>
          <w:rFonts w:cs="Arial"/>
          <w:b/>
          <w:bCs/>
          <w:sz w:val="24"/>
          <w:szCs w:val="24"/>
          <w:rtl/>
        </w:rPr>
        <w:t>עֹמֶר לַגֻּלְגֹּלֶת</w:t>
      </w:r>
      <w:r w:rsidRPr="00007309">
        <w:rPr>
          <w:rFonts w:cs="Arial" w:hint="cs"/>
          <w:b/>
          <w:bCs/>
          <w:sz w:val="24"/>
          <w:szCs w:val="24"/>
          <w:rtl/>
        </w:rPr>
        <w:t>,</w:t>
      </w:r>
      <w:r w:rsidRPr="00007309">
        <w:rPr>
          <w:rFonts w:cs="Arial"/>
          <w:b/>
          <w:bCs/>
          <w:sz w:val="24"/>
          <w:szCs w:val="24"/>
          <w:rtl/>
        </w:rPr>
        <w:t xml:space="preserve"> מִסְפַּר נַפְשׁוֹתֵיכֶם</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816"/>
      </w:r>
      <w:r w:rsidRPr="00007309">
        <w:rPr>
          <w:rFonts w:cs="Arial"/>
          <w:b/>
          <w:bCs/>
          <w:sz w:val="24"/>
          <w:szCs w:val="24"/>
          <w:rtl/>
        </w:rPr>
        <w:t>וְלֹא הֶעְדִּיף הַמַּרְבֶּה וְהַמַּמְעִיט לֹא הֶחֱסִיר</w:t>
      </w:r>
      <w:r w:rsidRPr="00007309">
        <w:rPr>
          <w:rFonts w:cs="Arial" w:hint="cs"/>
          <w:b/>
          <w:bCs/>
          <w:sz w:val="24"/>
          <w:szCs w:val="24"/>
          <w:rtl/>
        </w:rPr>
        <w:t>,</w:t>
      </w:r>
      <w:r w:rsidRPr="00007309">
        <w:rPr>
          <w:rFonts w:cs="Arial"/>
          <w:b/>
          <w:bCs/>
          <w:sz w:val="24"/>
          <w:szCs w:val="24"/>
          <w:rtl/>
        </w:rPr>
        <w:t xml:space="preserve"> דְּלָא לְהוֹסִיף וְלָא לְמִגְרַע מִפִּתְגְּמֵי אוֹרַיְתָא. </w:t>
      </w:r>
      <w:r w:rsidRPr="00007309">
        <w:rPr>
          <w:rFonts w:cs="Arial"/>
          <w:b/>
          <w:bCs/>
          <w:sz w:val="36"/>
          <w:szCs w:val="28"/>
          <w:vertAlign w:val="superscript"/>
          <w:rtl/>
        </w:rPr>
        <w:footnoteReference w:id="7817"/>
      </w:r>
      <w:r w:rsidRPr="00007309">
        <w:rPr>
          <w:rFonts w:cs="Arial"/>
          <w:b/>
          <w:bCs/>
          <w:sz w:val="24"/>
          <w:szCs w:val="24"/>
          <w:rtl/>
        </w:rPr>
        <w:t xml:space="preserve">וְצַדִּיק זָרִיק וּשְׁכִינְתָּא כְּנִישַׁת, </w:t>
      </w:r>
      <w:r w:rsidRPr="00007309">
        <w:rPr>
          <w:rFonts w:cs="Arial"/>
          <w:b/>
          <w:bCs/>
          <w:sz w:val="36"/>
          <w:szCs w:val="28"/>
          <w:vertAlign w:val="superscript"/>
          <w:rtl/>
        </w:rPr>
        <w:footnoteReference w:id="7818"/>
      </w:r>
      <w:r w:rsidRPr="00007309">
        <w:rPr>
          <w:rFonts w:cs="Arial"/>
          <w:b/>
          <w:bCs/>
          <w:sz w:val="24"/>
          <w:szCs w:val="24"/>
          <w:rtl/>
        </w:rPr>
        <w:t xml:space="preserve">וְעָלַיְהוּ אִתְּמַר (משלי יא) </w:t>
      </w:r>
      <w:r w:rsidRPr="00007309">
        <w:rPr>
          <w:rFonts w:cs="Arial"/>
          <w:b/>
          <w:bCs/>
          <w:sz w:val="36"/>
          <w:szCs w:val="28"/>
          <w:vertAlign w:val="superscript"/>
          <w:rtl/>
        </w:rPr>
        <w:footnoteReference w:id="7819"/>
      </w:r>
      <w:r w:rsidRPr="00007309">
        <w:rPr>
          <w:rFonts w:cs="Arial"/>
          <w:b/>
          <w:bCs/>
          <w:sz w:val="24"/>
          <w:szCs w:val="24"/>
          <w:rtl/>
        </w:rPr>
        <w:t>יֵשׁ מְפַזֵּר וְנוֹסָף עוֹד</w:t>
      </w:r>
      <w:r w:rsidRPr="00007309">
        <w:rPr>
          <w:rFonts w:cs="Arial" w:hint="cs"/>
          <w:b/>
          <w:bCs/>
          <w:sz w:val="24"/>
          <w:szCs w:val="24"/>
          <w:rtl/>
        </w:rPr>
        <w:t>,</w:t>
      </w:r>
      <w:r w:rsidRPr="00007309">
        <w:rPr>
          <w:rFonts w:cs="Arial"/>
          <w:b/>
          <w:bCs/>
          <w:sz w:val="24"/>
          <w:szCs w:val="24"/>
          <w:rtl/>
        </w:rPr>
        <w:t xml:space="preserve"> מַאי וְנוֹסָף עוֹד</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820"/>
      </w:r>
      <w:r w:rsidRPr="00007309">
        <w:rPr>
          <w:rFonts w:cs="Arial"/>
          <w:b/>
          <w:bCs/>
          <w:sz w:val="24"/>
          <w:szCs w:val="24"/>
          <w:rtl/>
        </w:rPr>
        <w:t xml:space="preserve">דָּא עַמּוּדָא דְּאֶמְצָעִיתָא. </w:t>
      </w:r>
      <w:r w:rsidRPr="00007309">
        <w:rPr>
          <w:rFonts w:cs="Arial"/>
          <w:b/>
          <w:bCs/>
          <w:sz w:val="36"/>
          <w:szCs w:val="28"/>
          <w:vertAlign w:val="superscript"/>
          <w:rtl/>
        </w:rPr>
        <w:footnoteReference w:id="7821"/>
      </w:r>
      <w:r w:rsidRPr="00007309">
        <w:rPr>
          <w:rFonts w:cs="Arial"/>
          <w:b/>
          <w:bCs/>
          <w:sz w:val="24"/>
          <w:szCs w:val="24"/>
          <w:rtl/>
        </w:rPr>
        <w:t>וְעוֹד</w:t>
      </w:r>
      <w:r w:rsidRPr="00007309">
        <w:rPr>
          <w:rFonts w:cs="Arial" w:hint="cs"/>
          <w:b/>
          <w:bCs/>
          <w:sz w:val="24"/>
          <w:szCs w:val="24"/>
          <w:rtl/>
        </w:rPr>
        <w:t>,</w:t>
      </w:r>
      <w:r w:rsidRPr="00007309">
        <w:rPr>
          <w:rFonts w:cs="Arial"/>
          <w:b/>
          <w:bCs/>
          <w:sz w:val="24"/>
          <w:szCs w:val="24"/>
          <w:rtl/>
        </w:rPr>
        <w:t xml:space="preserve"> מַאי וְנוֹסָף, דָּא מָאן דִּמְפַזֵּר טַעֲמֵי אוֹרַיְתָא וְנוֹסָף בְּחִדּוּשֵׁהּ. </w:t>
      </w:r>
    </w:p>
    <w:p w:rsidR="00007309" w:rsidRPr="00007309" w:rsidRDefault="00007309" w:rsidP="00007309">
      <w:pPr>
        <w:keepNext/>
        <w:spacing w:before="240" w:after="60"/>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[וילנא לד ע"ב]</w:t>
      </w:r>
    </w:p>
    <w:p w:rsidR="00007309" w:rsidRPr="00007309" w:rsidRDefault="00007309" w:rsidP="00007309">
      <w:pPr>
        <w:jc w:val="both"/>
        <w:rPr>
          <w:rFonts w:cs="Arial"/>
          <w:b/>
          <w:bCs/>
          <w:sz w:val="24"/>
          <w:szCs w:val="24"/>
          <w:rtl/>
        </w:rPr>
      </w:pPr>
      <w:r w:rsidRPr="00007309">
        <w:rPr>
          <w:rFonts w:cs="Arial"/>
          <w:b/>
          <w:bCs/>
          <w:sz w:val="36"/>
          <w:szCs w:val="28"/>
          <w:vertAlign w:val="superscript"/>
          <w:rtl/>
        </w:rPr>
        <w:footnoteReference w:id="7822"/>
      </w:r>
      <w:r w:rsidRPr="00007309">
        <w:rPr>
          <w:rFonts w:cs="Arial"/>
          <w:b/>
          <w:bCs/>
          <w:sz w:val="24"/>
          <w:szCs w:val="24"/>
          <w:rtl/>
        </w:rPr>
        <w:t>בְּהַהוּא זִמְנָא</w:t>
      </w:r>
      <w:r w:rsidRPr="00007309">
        <w:rPr>
          <w:rFonts w:cs="Arial" w:hint="cs"/>
          <w:b/>
          <w:bCs/>
          <w:sz w:val="24"/>
          <w:szCs w:val="24"/>
          <w:rtl/>
        </w:rPr>
        <w:t>,</w:t>
      </w:r>
      <w:r w:rsidRPr="00007309">
        <w:rPr>
          <w:rFonts w:cs="Arial"/>
          <w:b/>
          <w:bCs/>
          <w:sz w:val="24"/>
          <w:szCs w:val="24"/>
          <w:rtl/>
        </w:rPr>
        <w:t xml:space="preserve"> וַיֹּאמֶר </w:t>
      </w:r>
      <w:r w:rsidRPr="00007309">
        <w:rPr>
          <w:rFonts w:cs="Arial"/>
          <w:b/>
          <w:bCs/>
          <w:sz w:val="36"/>
          <w:szCs w:val="28"/>
          <w:vertAlign w:val="superscript"/>
          <w:rtl/>
        </w:rPr>
        <w:footnoteReference w:id="7823"/>
      </w:r>
      <w:r w:rsidRPr="00007309">
        <w:rPr>
          <w:rFonts w:cs="Arial"/>
          <w:b/>
          <w:bCs/>
          <w:sz w:val="24"/>
          <w:szCs w:val="24"/>
          <w:rtl/>
        </w:rPr>
        <w:t xml:space="preserve">לַקּוֹצְרִים </w:t>
      </w:r>
      <w:r w:rsidRPr="00007309">
        <w:rPr>
          <w:rFonts w:cs="Arial"/>
          <w:b/>
          <w:bCs/>
          <w:sz w:val="36"/>
          <w:szCs w:val="28"/>
          <w:vertAlign w:val="superscript"/>
          <w:rtl/>
        </w:rPr>
        <w:footnoteReference w:id="7824"/>
      </w:r>
      <w:r w:rsidRPr="00007309">
        <w:rPr>
          <w:rFonts w:cs="Arial"/>
          <w:b/>
          <w:bCs/>
          <w:sz w:val="24"/>
          <w:szCs w:val="24"/>
          <w:rtl/>
        </w:rPr>
        <w:t>ה' עִמָּכֶם</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825"/>
      </w:r>
      <w:r w:rsidRPr="00007309">
        <w:rPr>
          <w:rFonts w:cs="Arial"/>
          <w:b/>
          <w:bCs/>
          <w:sz w:val="24"/>
          <w:szCs w:val="24"/>
          <w:rtl/>
        </w:rPr>
        <w:t xml:space="preserve">וַיֹּאמְרוּ לוֹ יְבָרֶכְךָ ה'. וְדָא רָזָא דִּיְבָרֶכְךָ ה', יָאֵר יי', יִשָּא יְיָ'. </w:t>
      </w:r>
      <w:r w:rsidRPr="00007309">
        <w:rPr>
          <w:rFonts w:cs="Arial"/>
          <w:b/>
          <w:bCs/>
          <w:sz w:val="36"/>
          <w:szCs w:val="28"/>
          <w:vertAlign w:val="superscript"/>
          <w:rtl/>
        </w:rPr>
        <w:footnoteReference w:id="7826"/>
      </w:r>
      <w:r w:rsidRPr="00007309">
        <w:rPr>
          <w:rFonts w:cs="Arial"/>
          <w:b/>
          <w:bCs/>
          <w:sz w:val="24"/>
          <w:szCs w:val="24"/>
          <w:rtl/>
        </w:rPr>
        <w:t xml:space="preserve">דְּאִנּוּן </w:t>
      </w:r>
      <w:r w:rsidRPr="00007309">
        <w:rPr>
          <w:rFonts w:cs="Arial" w:hint="cs"/>
          <w:b/>
          <w:bCs/>
          <w:sz w:val="24"/>
          <w:szCs w:val="24"/>
          <w:rtl/>
        </w:rPr>
        <w:t xml:space="preserve">(שמות טו כז) </w:t>
      </w:r>
      <w:r w:rsidRPr="00007309">
        <w:rPr>
          <w:rFonts w:cs="Arial"/>
          <w:b/>
          <w:bCs/>
          <w:sz w:val="24"/>
          <w:szCs w:val="24"/>
          <w:rtl/>
        </w:rPr>
        <w:t xml:space="preserve">י"ב עֵינוֹת מַיִם. </w:t>
      </w:r>
      <w:r w:rsidRPr="00007309">
        <w:rPr>
          <w:rFonts w:cs="Arial"/>
          <w:b/>
          <w:bCs/>
          <w:sz w:val="36"/>
          <w:szCs w:val="28"/>
          <w:vertAlign w:val="superscript"/>
          <w:rtl/>
        </w:rPr>
        <w:footnoteReference w:id="7827"/>
      </w:r>
      <w:r w:rsidRPr="00007309">
        <w:rPr>
          <w:rFonts w:cs="Arial"/>
          <w:b/>
          <w:bCs/>
          <w:sz w:val="24"/>
          <w:szCs w:val="24"/>
          <w:rtl/>
        </w:rPr>
        <w:t xml:space="preserve">וְאִנּוּן ו"ו דְּנָפְקִין </w:t>
      </w:r>
      <w:r w:rsidRPr="00007309">
        <w:rPr>
          <w:rFonts w:cs="Arial"/>
          <w:b/>
          <w:bCs/>
          <w:sz w:val="36"/>
          <w:szCs w:val="28"/>
          <w:vertAlign w:val="superscript"/>
          <w:rtl/>
        </w:rPr>
        <w:footnoteReference w:id="7828"/>
      </w:r>
      <w:r w:rsidRPr="00007309">
        <w:rPr>
          <w:rFonts w:cs="Arial"/>
          <w:b/>
          <w:bCs/>
          <w:sz w:val="24"/>
          <w:szCs w:val="24"/>
          <w:rtl/>
        </w:rPr>
        <w:t>מִן צִנּוֹרָא דְּאִיהוּ א וְכֹלָּא וָא"ו. וּבְגִין דְּבַעְלָהּ תַּמָּן דְּאִיהוּ וָ"ו</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829"/>
      </w:r>
      <w:r w:rsidRPr="00007309">
        <w:rPr>
          <w:rFonts w:cs="Arial"/>
          <w:b/>
          <w:bCs/>
          <w:sz w:val="24"/>
          <w:szCs w:val="24"/>
          <w:rtl/>
        </w:rPr>
        <w:t>בְּשִׁית פִּרְקִין דִּדְרוֹעִין וְשִׁית פִּרְקִין דְּשׁוֹקִין</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830"/>
      </w:r>
      <w:r w:rsidRPr="00007309">
        <w:rPr>
          <w:rFonts w:cs="Arial"/>
          <w:b/>
          <w:bCs/>
          <w:sz w:val="24"/>
          <w:szCs w:val="24"/>
          <w:rtl/>
        </w:rPr>
        <w:t xml:space="preserve">א בְּאֶמְצָעִיתָא עֲטָרָה עַל גּוּפָא. וּבְגִין דָּא וְשָׁתִית מֵאֲשֶׁר יִשְׁאֲבוּן הַנְּעָרִים, </w:t>
      </w:r>
      <w:r w:rsidRPr="00007309">
        <w:rPr>
          <w:rFonts w:cs="Arial"/>
          <w:b/>
          <w:bCs/>
          <w:sz w:val="36"/>
          <w:szCs w:val="28"/>
          <w:vertAlign w:val="superscript"/>
          <w:rtl/>
        </w:rPr>
        <w:footnoteReference w:id="7831"/>
      </w:r>
      <w:r w:rsidRPr="00007309">
        <w:rPr>
          <w:rFonts w:cs="Arial"/>
          <w:b/>
          <w:bCs/>
          <w:sz w:val="24"/>
          <w:szCs w:val="24"/>
          <w:rtl/>
        </w:rPr>
        <w:t xml:space="preserve">דְּאִנּוּן </w:t>
      </w:r>
      <w:r w:rsidRPr="00007309">
        <w:rPr>
          <w:rFonts w:cs="Arial"/>
          <w:b/>
          <w:bCs/>
          <w:sz w:val="36"/>
          <w:szCs w:val="28"/>
          <w:vertAlign w:val="superscript"/>
          <w:rtl/>
        </w:rPr>
        <w:footnoteReference w:id="7832"/>
      </w:r>
      <w:r w:rsidRPr="00007309">
        <w:rPr>
          <w:rFonts w:cs="Arial"/>
          <w:b/>
          <w:bCs/>
          <w:sz w:val="24"/>
          <w:szCs w:val="24"/>
          <w:rtl/>
        </w:rPr>
        <w:t xml:space="preserve">בָּרְהָטִים </w:t>
      </w:r>
      <w:r w:rsidRPr="00007309">
        <w:rPr>
          <w:rFonts w:cs="Arial"/>
          <w:b/>
          <w:bCs/>
          <w:sz w:val="36"/>
          <w:szCs w:val="28"/>
          <w:vertAlign w:val="superscript"/>
          <w:rtl/>
        </w:rPr>
        <w:footnoteReference w:id="7833"/>
      </w:r>
      <w:r w:rsidRPr="00007309">
        <w:rPr>
          <w:rFonts w:cs="Arial"/>
          <w:b/>
          <w:bCs/>
          <w:sz w:val="24"/>
          <w:szCs w:val="24"/>
          <w:rtl/>
        </w:rPr>
        <w:t xml:space="preserve">בְּשִׁקְתוֹת הַמַּיִם. </w:t>
      </w:r>
      <w:r w:rsidRPr="00007309">
        <w:rPr>
          <w:rFonts w:cs="Arial"/>
          <w:b/>
          <w:bCs/>
          <w:sz w:val="36"/>
          <w:szCs w:val="28"/>
          <w:vertAlign w:val="superscript"/>
          <w:rtl/>
        </w:rPr>
        <w:footnoteReference w:id="7834"/>
      </w:r>
      <w:r w:rsidRPr="00007309">
        <w:rPr>
          <w:rFonts w:cs="Arial"/>
          <w:b/>
          <w:bCs/>
          <w:sz w:val="24"/>
          <w:szCs w:val="24"/>
          <w:rtl/>
        </w:rPr>
        <w:t xml:space="preserve">נְעָרִים אִית לְעֵלָּא וּנְעָרִים </w:t>
      </w:r>
      <w:r w:rsidRPr="00007309">
        <w:rPr>
          <w:rFonts w:ascii="Cambria" w:hAnsi="Cambria" w:cs="Times New Roman" w:hint="cs"/>
          <w:b/>
          <w:bCs/>
          <w:i/>
          <w:iCs/>
          <w:color w:val="4F81BD"/>
          <w:sz w:val="24"/>
          <w:szCs w:val="24"/>
          <w:rtl/>
        </w:rPr>
        <w:t>(וילנא לד ע"ב)</w:t>
      </w:r>
      <w:r w:rsidRPr="00007309">
        <w:rPr>
          <w:rFonts w:cs="Arial" w:hint="cs"/>
          <w:b/>
          <w:bCs/>
          <w:sz w:val="24"/>
          <w:szCs w:val="24"/>
          <w:rtl/>
        </w:rPr>
        <w:t xml:space="preserve"> </w:t>
      </w:r>
      <w:r w:rsidRPr="00007309">
        <w:rPr>
          <w:rFonts w:cs="Arial"/>
          <w:b/>
          <w:bCs/>
          <w:sz w:val="24"/>
          <w:szCs w:val="24"/>
          <w:rtl/>
        </w:rPr>
        <w:t xml:space="preserve">אִית לְתַתָּא וְאִנּוּן אַנְפֵּי רַבְרְבֵי וְאַנְפֵּי זוּטְרֵי. </w:t>
      </w:r>
    </w:p>
    <w:p w:rsidR="00007309" w:rsidRPr="00007309" w:rsidRDefault="00007309" w:rsidP="00007309">
      <w:pPr>
        <w:jc w:val="both"/>
        <w:rPr>
          <w:rFonts w:cs="Arial"/>
          <w:b/>
          <w:bCs/>
          <w:sz w:val="24"/>
          <w:szCs w:val="24"/>
          <w:rtl/>
        </w:rPr>
      </w:pPr>
      <w:r w:rsidRPr="00007309">
        <w:rPr>
          <w:rFonts w:cs="Arial"/>
          <w:b/>
          <w:bCs/>
          <w:sz w:val="36"/>
          <w:szCs w:val="28"/>
          <w:vertAlign w:val="superscript"/>
          <w:rtl/>
        </w:rPr>
        <w:footnoteReference w:id="7835"/>
      </w:r>
      <w:r w:rsidRPr="00007309">
        <w:rPr>
          <w:rFonts w:cs="Arial"/>
          <w:b/>
          <w:bCs/>
          <w:sz w:val="24"/>
          <w:szCs w:val="24"/>
          <w:rtl/>
        </w:rPr>
        <w:t>קָם נַעַר וְאָמַר. רַבָּנָן</w:t>
      </w:r>
      <w:r w:rsidRPr="00007309">
        <w:rPr>
          <w:rFonts w:cs="Arial" w:hint="cs"/>
          <w:b/>
          <w:bCs/>
          <w:sz w:val="24"/>
          <w:szCs w:val="24"/>
          <w:rtl/>
        </w:rPr>
        <w:t>,</w:t>
      </w:r>
      <w:r w:rsidRPr="00007309">
        <w:rPr>
          <w:rFonts w:cs="Arial"/>
          <w:b/>
          <w:bCs/>
          <w:sz w:val="24"/>
          <w:szCs w:val="24"/>
          <w:rtl/>
        </w:rPr>
        <w:t xml:space="preserve"> צָעִיר אֲנִי לְיָמִים</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836"/>
      </w:r>
      <w:r w:rsidRPr="00007309">
        <w:rPr>
          <w:rFonts w:cs="Arial"/>
          <w:b/>
          <w:bCs/>
          <w:sz w:val="24"/>
          <w:szCs w:val="24"/>
          <w:rtl/>
        </w:rPr>
        <w:t xml:space="preserve">מִסִּטְרָא דִּזְעֵיר אַנְפִּין. </w:t>
      </w:r>
      <w:r w:rsidRPr="00007309">
        <w:rPr>
          <w:rFonts w:cs="Arial"/>
          <w:b/>
          <w:bCs/>
          <w:sz w:val="36"/>
          <w:szCs w:val="28"/>
          <w:vertAlign w:val="superscript"/>
          <w:rtl/>
        </w:rPr>
        <w:footnoteReference w:id="7837"/>
      </w:r>
      <w:r w:rsidRPr="00007309">
        <w:rPr>
          <w:rFonts w:cs="Arial"/>
          <w:b/>
          <w:bCs/>
          <w:sz w:val="24"/>
          <w:szCs w:val="24"/>
          <w:rtl/>
        </w:rPr>
        <w:t>וְאַתֶּם יְשִׁישִׁים</w:t>
      </w:r>
      <w:r w:rsidRPr="00007309">
        <w:rPr>
          <w:rFonts w:cs="Arial" w:hint="cs"/>
          <w:b/>
          <w:bCs/>
          <w:sz w:val="24"/>
          <w:szCs w:val="24"/>
          <w:rtl/>
        </w:rPr>
        <w:t>,</w:t>
      </w:r>
      <w:r w:rsidRPr="00007309">
        <w:rPr>
          <w:rFonts w:cs="Arial"/>
          <w:b/>
          <w:bCs/>
          <w:sz w:val="24"/>
          <w:szCs w:val="24"/>
          <w:rtl/>
        </w:rPr>
        <w:t xml:space="preserve"> מִסִּטְרָא דְּאָרִיךְ אַנְפִּין. </w:t>
      </w:r>
      <w:r w:rsidRPr="00007309">
        <w:rPr>
          <w:rFonts w:cs="Arial"/>
          <w:b/>
          <w:bCs/>
          <w:sz w:val="36"/>
          <w:szCs w:val="28"/>
          <w:vertAlign w:val="superscript"/>
          <w:rtl/>
        </w:rPr>
        <w:footnoteReference w:id="7838"/>
      </w:r>
      <w:r w:rsidRPr="00007309">
        <w:rPr>
          <w:rFonts w:cs="Arial"/>
          <w:b/>
          <w:bCs/>
          <w:sz w:val="24"/>
          <w:szCs w:val="24"/>
          <w:rtl/>
        </w:rPr>
        <w:t xml:space="preserve">דְּאִנּוּן בָּרְהָטִים בְּשִׁקְתוֹת הַמַּיִם. </w:t>
      </w:r>
      <w:r w:rsidRPr="00007309">
        <w:rPr>
          <w:rFonts w:cs="Arial"/>
          <w:b/>
          <w:bCs/>
          <w:sz w:val="36"/>
          <w:szCs w:val="28"/>
          <w:vertAlign w:val="superscript"/>
          <w:rtl/>
        </w:rPr>
        <w:footnoteReference w:id="7839"/>
      </w:r>
      <w:r w:rsidRPr="00007309">
        <w:rPr>
          <w:rFonts w:cs="Arial"/>
          <w:b/>
          <w:bCs/>
          <w:sz w:val="24"/>
          <w:szCs w:val="24"/>
          <w:rtl/>
        </w:rPr>
        <w:t xml:space="preserve">עַל כֵּן זָחַלְתִּי וָאִירָא מִחַוּוֹת דֵּעִי אֶתְכֶם. אַדְּהָכֵי </w:t>
      </w:r>
      <w:r w:rsidRPr="00007309">
        <w:rPr>
          <w:rFonts w:cs="Arial"/>
          <w:b/>
          <w:bCs/>
          <w:sz w:val="36"/>
          <w:szCs w:val="28"/>
          <w:vertAlign w:val="superscript"/>
          <w:rtl/>
        </w:rPr>
        <w:footnoteReference w:id="7840"/>
      </w:r>
      <w:r w:rsidRPr="00007309">
        <w:rPr>
          <w:rFonts w:cs="Arial"/>
          <w:b/>
          <w:bCs/>
          <w:sz w:val="24"/>
          <w:szCs w:val="24"/>
          <w:rtl/>
        </w:rPr>
        <w:t xml:space="preserve">דִּשְׁכִינְתָּא בָּעְיָא אִיהִי לְאִשְׁתְּקָאָה </w:t>
      </w:r>
      <w:r w:rsidRPr="00007309">
        <w:rPr>
          <w:rFonts w:cs="Arial"/>
          <w:b/>
          <w:bCs/>
          <w:sz w:val="36"/>
          <w:szCs w:val="28"/>
          <w:vertAlign w:val="superscript"/>
          <w:rtl/>
        </w:rPr>
        <w:footnoteReference w:id="7841"/>
      </w:r>
      <w:r w:rsidRPr="00007309">
        <w:rPr>
          <w:rFonts w:cs="Arial"/>
          <w:b/>
          <w:bCs/>
          <w:sz w:val="24"/>
          <w:szCs w:val="24"/>
          <w:rtl/>
        </w:rPr>
        <w:t xml:space="preserve">מֵעוּלֵימִין, </w:t>
      </w:r>
      <w:r w:rsidRPr="00007309">
        <w:rPr>
          <w:rFonts w:cs="Arial"/>
          <w:b/>
          <w:bCs/>
          <w:sz w:val="36"/>
          <w:szCs w:val="28"/>
          <w:vertAlign w:val="superscript"/>
          <w:rtl/>
        </w:rPr>
        <w:footnoteReference w:id="7842"/>
      </w:r>
      <w:r w:rsidRPr="00007309">
        <w:rPr>
          <w:rFonts w:cs="Arial"/>
          <w:b/>
          <w:bCs/>
          <w:sz w:val="24"/>
          <w:szCs w:val="24"/>
          <w:rtl/>
        </w:rPr>
        <w:t>מִשּׁוֹאֲבוּ דְּאוֹרַיְתָא דְּאִיהִי עַמּוּדָא דְּאֶמְצָעִיתָא צָרִיךְ לְאִשְׁתַּקְיָא לָהּ</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843"/>
      </w:r>
      <w:r w:rsidRPr="00007309">
        <w:rPr>
          <w:rFonts w:cs="Arial"/>
          <w:b/>
          <w:bCs/>
          <w:sz w:val="24"/>
          <w:szCs w:val="24"/>
          <w:rtl/>
        </w:rPr>
        <w:t xml:space="preserve">עַל יְדֵי צַדִּיק </w:t>
      </w:r>
      <w:r w:rsidRPr="00007309">
        <w:rPr>
          <w:rFonts w:cs="Arial"/>
          <w:b/>
          <w:bCs/>
          <w:sz w:val="36"/>
          <w:szCs w:val="28"/>
          <w:vertAlign w:val="superscript"/>
          <w:rtl/>
        </w:rPr>
        <w:footnoteReference w:id="7844"/>
      </w:r>
      <w:r w:rsidRPr="00007309">
        <w:rPr>
          <w:rFonts w:cs="Arial"/>
          <w:b/>
          <w:bCs/>
          <w:sz w:val="24"/>
          <w:szCs w:val="24"/>
          <w:rtl/>
        </w:rPr>
        <w:t>דְּאִיהוּ צָעִיר</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845"/>
      </w:r>
      <w:r w:rsidRPr="00007309">
        <w:rPr>
          <w:rFonts w:cs="Arial"/>
          <w:b/>
          <w:bCs/>
          <w:sz w:val="24"/>
          <w:szCs w:val="24"/>
          <w:rtl/>
        </w:rPr>
        <w:t>לְיוֹמִין</w:t>
      </w:r>
      <w:r w:rsidRPr="00007309">
        <w:rPr>
          <w:rFonts w:cs="Arial" w:hint="cs"/>
          <w:b/>
          <w:bCs/>
          <w:sz w:val="24"/>
          <w:szCs w:val="24"/>
          <w:rtl/>
        </w:rPr>
        <w:t>,</w:t>
      </w:r>
      <w:r w:rsidRPr="00007309">
        <w:rPr>
          <w:rFonts w:cs="Arial"/>
          <w:b/>
          <w:bCs/>
          <w:sz w:val="24"/>
          <w:szCs w:val="24"/>
          <w:rtl/>
        </w:rPr>
        <w:t xml:space="preserve"> תְּרֵי נְבִיאֵי קְשׁוֹט</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846"/>
      </w:r>
      <w:r w:rsidRPr="00007309">
        <w:rPr>
          <w:rFonts w:cs="Arial"/>
          <w:b/>
          <w:bCs/>
          <w:sz w:val="24"/>
          <w:szCs w:val="24"/>
          <w:rtl/>
        </w:rPr>
        <w:t xml:space="preserve">דְּאִנּוּן לָקֳבֵל תְּרֵין שִׂפְוָן דְּאִתְּמַר בְּהוֹן (שיר א) יִשָּׁקֵנִי מִנְּשִׁיקוֹת פִּיהוּ. </w:t>
      </w:r>
      <w:r w:rsidRPr="00007309">
        <w:rPr>
          <w:rFonts w:cs="Arial"/>
          <w:b/>
          <w:bCs/>
          <w:sz w:val="36"/>
          <w:szCs w:val="28"/>
          <w:vertAlign w:val="superscript"/>
          <w:rtl/>
        </w:rPr>
        <w:footnoteReference w:id="7847"/>
      </w:r>
      <w:r w:rsidRPr="00007309">
        <w:rPr>
          <w:rFonts w:cs="Arial"/>
          <w:b/>
          <w:bCs/>
          <w:sz w:val="24"/>
          <w:szCs w:val="24"/>
          <w:rtl/>
        </w:rPr>
        <w:t>מַאי פִּיהוּ</w:t>
      </w:r>
      <w:r w:rsidRPr="00007309">
        <w:rPr>
          <w:rFonts w:cs="Arial" w:hint="cs"/>
          <w:b/>
          <w:bCs/>
          <w:sz w:val="24"/>
          <w:szCs w:val="24"/>
          <w:rtl/>
        </w:rPr>
        <w:t>,</w:t>
      </w:r>
      <w:r w:rsidRPr="00007309">
        <w:rPr>
          <w:rFonts w:cs="Arial"/>
          <w:b/>
          <w:bCs/>
          <w:sz w:val="24"/>
          <w:szCs w:val="24"/>
          <w:rtl/>
        </w:rPr>
        <w:t xml:space="preserve"> דָּא שְׁכִינְתָּא</w:t>
      </w:r>
      <w:r w:rsidRPr="00007309">
        <w:rPr>
          <w:rFonts w:cs="Arial" w:hint="cs"/>
          <w:b/>
          <w:bCs/>
          <w:sz w:val="24"/>
          <w:szCs w:val="24"/>
          <w:rtl/>
        </w:rPr>
        <w:t>.</w:t>
      </w:r>
      <w:r w:rsidRPr="00007309">
        <w:rPr>
          <w:rFonts w:cs="Arial"/>
          <w:b/>
          <w:bCs/>
          <w:sz w:val="24"/>
          <w:szCs w:val="24"/>
          <w:rtl/>
        </w:rPr>
        <w:t xml:space="preserve"> וְאִנּוּן לָקֳבֵל תְּרֵין כְּרוּבֵי עֵינָא </w:t>
      </w:r>
      <w:r w:rsidRPr="00007309">
        <w:rPr>
          <w:rFonts w:cs="Arial"/>
          <w:b/>
          <w:bCs/>
          <w:sz w:val="36"/>
          <w:szCs w:val="28"/>
          <w:vertAlign w:val="superscript"/>
          <w:rtl/>
        </w:rPr>
        <w:footnoteReference w:id="7848"/>
      </w:r>
      <w:r w:rsidRPr="00007309">
        <w:rPr>
          <w:rFonts w:cs="Arial"/>
          <w:b/>
          <w:bCs/>
          <w:sz w:val="24"/>
          <w:szCs w:val="24"/>
          <w:rtl/>
        </w:rPr>
        <w:t>דְּפָתְחִין וְסָגְרִין</w:t>
      </w:r>
      <w:r w:rsidRPr="00007309">
        <w:rPr>
          <w:rFonts w:cs="Arial" w:hint="cs"/>
          <w:b/>
          <w:bCs/>
          <w:sz w:val="24"/>
          <w:szCs w:val="24"/>
          <w:rtl/>
        </w:rPr>
        <w:t>.</w:t>
      </w:r>
      <w:r w:rsidRPr="00007309">
        <w:rPr>
          <w:rFonts w:cs="Arial"/>
          <w:b/>
          <w:bCs/>
          <w:sz w:val="24"/>
          <w:szCs w:val="24"/>
          <w:rtl/>
        </w:rPr>
        <w:t xml:space="preserve"> דִּבְהוֹן נָהִיר עַמּוּדָא דְּאֶמְצָעִיתָא </w:t>
      </w:r>
      <w:r w:rsidRPr="00007309">
        <w:rPr>
          <w:rFonts w:cs="Arial"/>
          <w:b/>
          <w:bCs/>
          <w:sz w:val="36"/>
          <w:szCs w:val="28"/>
          <w:vertAlign w:val="superscript"/>
          <w:rtl/>
        </w:rPr>
        <w:footnoteReference w:id="7849"/>
      </w:r>
      <w:r w:rsidRPr="00007309">
        <w:rPr>
          <w:rFonts w:cs="Arial"/>
          <w:b/>
          <w:bCs/>
          <w:sz w:val="24"/>
          <w:szCs w:val="24"/>
          <w:rtl/>
        </w:rPr>
        <w:t>בָּבַת עֵינָא, וְאִתְקְרִיאַת מִסִּטְרֵהּ אַסְפַּקְלַרְיָא דְּנַהֲרָא</w:t>
      </w:r>
      <w:r w:rsidRPr="00007309">
        <w:rPr>
          <w:rFonts w:cs="Arial" w:hint="cs"/>
          <w:b/>
          <w:bCs/>
          <w:sz w:val="24"/>
          <w:szCs w:val="24"/>
          <w:rtl/>
        </w:rPr>
        <w:t>.</w:t>
      </w:r>
      <w:r w:rsidRPr="00007309">
        <w:rPr>
          <w:rFonts w:cs="Arial"/>
          <w:b/>
          <w:bCs/>
          <w:sz w:val="24"/>
          <w:szCs w:val="24"/>
          <w:rtl/>
        </w:rPr>
        <w:t xml:space="preserve"> וְכַד סָתִים עֵינָא אִתְקְרִיאַת אַסְפַּקְלַרְיָא דְּלָא נַהֲרָא. וּבַת עֵינָא אִיהִי עִתּוֹ דְּצַדִּיק</w:t>
      </w:r>
      <w:r w:rsidRPr="00007309">
        <w:rPr>
          <w:rFonts w:cs="Arial" w:hint="cs"/>
          <w:b/>
          <w:bCs/>
          <w:sz w:val="24"/>
          <w:szCs w:val="24"/>
          <w:rtl/>
        </w:rPr>
        <w:t>,</w:t>
      </w:r>
      <w:r w:rsidRPr="00007309">
        <w:rPr>
          <w:rFonts w:cs="Arial"/>
          <w:b/>
          <w:bCs/>
          <w:sz w:val="24"/>
          <w:szCs w:val="24"/>
          <w:rtl/>
        </w:rPr>
        <w:t xml:space="preserve"> וְעָלָהּ אִתְּמַר (בראשית כד) לְעֵת עֶרֶב </w:t>
      </w:r>
      <w:r w:rsidRPr="00007309">
        <w:rPr>
          <w:rFonts w:cs="Arial"/>
          <w:b/>
          <w:bCs/>
          <w:sz w:val="36"/>
          <w:szCs w:val="28"/>
          <w:vertAlign w:val="superscript"/>
          <w:rtl/>
        </w:rPr>
        <w:footnoteReference w:id="7850"/>
      </w:r>
      <w:r w:rsidRPr="00007309">
        <w:rPr>
          <w:rFonts w:cs="Arial"/>
          <w:b/>
          <w:bCs/>
          <w:sz w:val="24"/>
          <w:szCs w:val="24"/>
          <w:rtl/>
        </w:rPr>
        <w:t xml:space="preserve">לְעֵת צֵאת הַשּׁוֹאֲבוֹת. יְמִינָא וּשְׂמָאלָא אִתְקְרִיאוּ שִׁקְתוֹת הַמַּיִם, תְּרֵי נְבִיאֵי קְשׁוֹט אַפִּיקִי מַיִם. וַיָּמֹד שֵׁשׁ שְׂעוֹרִים וַיָּשֶׁת עָלֶיהָ, </w:t>
      </w:r>
      <w:r w:rsidRPr="00007309">
        <w:rPr>
          <w:rFonts w:cs="Arial"/>
          <w:b/>
          <w:bCs/>
          <w:sz w:val="36"/>
          <w:szCs w:val="28"/>
          <w:vertAlign w:val="superscript"/>
          <w:rtl/>
        </w:rPr>
        <w:footnoteReference w:id="7851"/>
      </w:r>
      <w:r w:rsidRPr="00007309">
        <w:rPr>
          <w:rFonts w:cs="Arial"/>
          <w:b/>
          <w:bCs/>
          <w:sz w:val="24"/>
          <w:szCs w:val="24"/>
          <w:rtl/>
        </w:rPr>
        <w:t xml:space="preserve">דָּא שִׁעוּרָא </w:t>
      </w:r>
      <w:r w:rsidRPr="00007309">
        <w:rPr>
          <w:rFonts w:cs="Arial"/>
          <w:b/>
          <w:bCs/>
          <w:sz w:val="36"/>
          <w:szCs w:val="28"/>
          <w:vertAlign w:val="superscript"/>
          <w:rtl/>
        </w:rPr>
        <w:footnoteReference w:id="7852"/>
      </w:r>
      <w:r w:rsidRPr="00007309">
        <w:rPr>
          <w:rFonts w:cs="Arial"/>
          <w:b/>
          <w:bCs/>
          <w:sz w:val="24"/>
          <w:szCs w:val="24"/>
          <w:rtl/>
        </w:rPr>
        <w:t xml:space="preserve">דִּתְרֵין שׁוֹקִין </w:t>
      </w:r>
      <w:r w:rsidRPr="00007309">
        <w:rPr>
          <w:rFonts w:cs="Arial"/>
          <w:b/>
          <w:bCs/>
          <w:sz w:val="36"/>
          <w:szCs w:val="28"/>
          <w:vertAlign w:val="superscript"/>
          <w:rtl/>
        </w:rPr>
        <w:footnoteReference w:id="7853"/>
      </w:r>
      <w:r w:rsidRPr="00007309">
        <w:rPr>
          <w:rFonts w:cs="Arial"/>
          <w:b/>
          <w:bCs/>
          <w:sz w:val="24"/>
          <w:szCs w:val="24"/>
          <w:rtl/>
        </w:rPr>
        <w:t>דְּאִנּוּן בָּרוּךְ שֵׁם כְּבוֹד מַלְכוּתוֹ לְעוֹלָם וָעֶד</w:t>
      </w:r>
      <w:r w:rsidRPr="00007309">
        <w:rPr>
          <w:rFonts w:cs="Arial" w:hint="cs"/>
          <w:b/>
          <w:bCs/>
          <w:sz w:val="24"/>
          <w:szCs w:val="24"/>
          <w:rtl/>
        </w:rPr>
        <w:t>,</w:t>
      </w:r>
      <w:r w:rsidRPr="00007309">
        <w:rPr>
          <w:rFonts w:cs="Arial"/>
          <w:b/>
          <w:bCs/>
          <w:sz w:val="24"/>
          <w:szCs w:val="24"/>
          <w:rtl/>
        </w:rPr>
        <w:t xml:space="preserve"> ו' תַּתָּאָה. </w:t>
      </w:r>
      <w:r w:rsidRPr="00007309">
        <w:rPr>
          <w:rFonts w:cs="Arial"/>
          <w:b/>
          <w:bCs/>
          <w:sz w:val="36"/>
          <w:szCs w:val="28"/>
          <w:vertAlign w:val="superscript"/>
          <w:rtl/>
        </w:rPr>
        <w:footnoteReference w:id="7854"/>
      </w:r>
      <w:r w:rsidRPr="00007309">
        <w:rPr>
          <w:rFonts w:cs="Arial"/>
          <w:b/>
          <w:bCs/>
          <w:sz w:val="24"/>
          <w:szCs w:val="24"/>
          <w:rtl/>
        </w:rPr>
        <w:t>וְאִית שִׁית עִלָּאִין ו'</w:t>
      </w:r>
      <w:r w:rsidRPr="00007309">
        <w:rPr>
          <w:rFonts w:cs="Arial" w:hint="cs"/>
          <w:b/>
          <w:bCs/>
          <w:sz w:val="24"/>
          <w:szCs w:val="24"/>
          <w:rtl/>
        </w:rPr>
        <w:t>,</w:t>
      </w:r>
      <w:r w:rsidRPr="00007309">
        <w:rPr>
          <w:rFonts w:cs="Arial"/>
          <w:b/>
          <w:bCs/>
          <w:sz w:val="24"/>
          <w:szCs w:val="24"/>
          <w:rtl/>
        </w:rPr>
        <w:t xml:space="preserve"> דְּאִנּוּן ו' עִלָּאָה דִּתְרֵין דְּרוֹעִין, </w:t>
      </w:r>
      <w:r w:rsidRPr="00007309">
        <w:rPr>
          <w:rFonts w:cs="Arial"/>
          <w:b/>
          <w:bCs/>
          <w:sz w:val="36"/>
          <w:szCs w:val="28"/>
          <w:vertAlign w:val="superscript"/>
          <w:rtl/>
        </w:rPr>
        <w:footnoteReference w:id="7855"/>
      </w:r>
      <w:r w:rsidRPr="00007309">
        <w:rPr>
          <w:rFonts w:cs="Arial"/>
          <w:b/>
          <w:bCs/>
          <w:sz w:val="24"/>
          <w:szCs w:val="24"/>
          <w:rtl/>
        </w:rPr>
        <w:t>דְּאִנּוּן שְׁמַע יִשְׂרָאֵל. וְכֹלָּא אִשְׁתַּקְּיָן מֵאִמָּא עִלָּאָה דְּאִיהִי א</w:t>
      </w:r>
      <w:r w:rsidRPr="00007309">
        <w:rPr>
          <w:rFonts w:cs="Arial" w:hint="cs"/>
          <w:b/>
          <w:bCs/>
          <w:sz w:val="24"/>
          <w:szCs w:val="24"/>
          <w:rtl/>
        </w:rPr>
        <w:t>,</w:t>
      </w:r>
      <w:r w:rsidRPr="00007309">
        <w:rPr>
          <w:rFonts w:cs="Arial"/>
          <w:b/>
          <w:bCs/>
          <w:sz w:val="24"/>
          <w:szCs w:val="24"/>
          <w:rtl/>
        </w:rPr>
        <w:t xml:space="preserve"> אָלֶף בִּינָה, </w:t>
      </w:r>
      <w:r w:rsidRPr="00007309">
        <w:rPr>
          <w:rFonts w:cs="Arial"/>
          <w:b/>
          <w:bCs/>
          <w:sz w:val="36"/>
          <w:szCs w:val="28"/>
          <w:vertAlign w:val="superscript"/>
          <w:rtl/>
        </w:rPr>
        <w:footnoteReference w:id="7856"/>
      </w:r>
      <w:r w:rsidRPr="00007309">
        <w:rPr>
          <w:rFonts w:cs="Arial"/>
          <w:b/>
          <w:bCs/>
          <w:sz w:val="24"/>
          <w:szCs w:val="24"/>
          <w:rtl/>
        </w:rPr>
        <w:t xml:space="preserve">וּבָהּ אִתְעֲבִידוּ אֶחָד. </w:t>
      </w:r>
      <w:r w:rsidRPr="00007309">
        <w:rPr>
          <w:rFonts w:cs="Arial"/>
          <w:b/>
          <w:bCs/>
          <w:sz w:val="36"/>
          <w:szCs w:val="28"/>
          <w:vertAlign w:val="superscript"/>
          <w:rtl/>
        </w:rPr>
        <w:footnoteReference w:id="7857"/>
      </w:r>
      <w:r w:rsidRPr="00007309">
        <w:rPr>
          <w:rFonts w:cs="Arial"/>
          <w:b/>
          <w:bCs/>
          <w:sz w:val="24"/>
          <w:szCs w:val="24"/>
          <w:rtl/>
        </w:rPr>
        <w:t xml:space="preserve">וַיָּשֶׁת עָלֶיהָ לְגַבֵּי ה' תַּתָּאָה מַלְכוּת. </w:t>
      </w:r>
    </w:p>
    <w:p w:rsidR="00007309" w:rsidRPr="00007309" w:rsidRDefault="00007309" w:rsidP="00007309">
      <w:pPr>
        <w:jc w:val="both"/>
        <w:rPr>
          <w:rFonts w:cs="Arial"/>
          <w:b/>
          <w:bCs/>
          <w:sz w:val="24"/>
          <w:szCs w:val="24"/>
          <w:rtl/>
        </w:rPr>
      </w:pPr>
      <w:r w:rsidRPr="00007309">
        <w:rPr>
          <w:rFonts w:cs="Arial"/>
          <w:b/>
          <w:bCs/>
          <w:sz w:val="36"/>
          <w:szCs w:val="28"/>
          <w:vertAlign w:val="superscript"/>
          <w:rtl/>
        </w:rPr>
        <w:footnoteReference w:id="7858"/>
      </w:r>
      <w:r w:rsidRPr="00007309">
        <w:rPr>
          <w:rFonts w:cs="Arial"/>
          <w:b/>
          <w:bCs/>
          <w:sz w:val="24"/>
          <w:szCs w:val="24"/>
          <w:rtl/>
        </w:rPr>
        <w:t>וְעוֹד וַיָּמָד שֵׁשׁ שְׂעוֹרִים לְתַתָּא, אִנּוּן שִׁית סִדְרֵי מִשְׁנָה</w:t>
      </w:r>
      <w:r w:rsidRPr="00007309">
        <w:rPr>
          <w:rFonts w:cs="Arial" w:hint="cs"/>
          <w:b/>
          <w:bCs/>
          <w:sz w:val="24"/>
          <w:szCs w:val="24"/>
          <w:rtl/>
        </w:rPr>
        <w:t>,</w:t>
      </w:r>
      <w:r w:rsidRPr="00007309">
        <w:rPr>
          <w:rFonts w:cs="Arial"/>
          <w:b/>
          <w:bCs/>
          <w:sz w:val="24"/>
          <w:szCs w:val="24"/>
          <w:rtl/>
        </w:rPr>
        <w:t xml:space="preserve"> וְאִנּוּן מַאֲכַל בְּעִירָן דְּאִנּוּן חַיּוֹת הַקֹּדֶשׁ. </w:t>
      </w:r>
      <w:r w:rsidRPr="00007309">
        <w:rPr>
          <w:rFonts w:cs="Arial"/>
          <w:b/>
          <w:bCs/>
          <w:sz w:val="36"/>
          <w:szCs w:val="28"/>
          <w:vertAlign w:val="superscript"/>
          <w:rtl/>
        </w:rPr>
        <w:footnoteReference w:id="7859"/>
      </w:r>
      <w:r w:rsidRPr="00007309">
        <w:rPr>
          <w:rFonts w:cs="Arial"/>
          <w:b/>
          <w:bCs/>
          <w:sz w:val="24"/>
          <w:szCs w:val="24"/>
          <w:rtl/>
        </w:rPr>
        <w:t>לְבָתַר דְּאִיהִי כְּנִישַׁת לוֹן</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860"/>
      </w:r>
      <w:r w:rsidRPr="00007309">
        <w:rPr>
          <w:rFonts w:cs="Arial"/>
          <w:b/>
          <w:bCs/>
          <w:sz w:val="24"/>
          <w:szCs w:val="24"/>
          <w:rtl/>
        </w:rPr>
        <w:t>זְרִיקַת לוֹן לְגַבֵּי חֵילָהָא</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861"/>
      </w:r>
      <w:r w:rsidRPr="00007309">
        <w:rPr>
          <w:rFonts w:cs="Arial"/>
          <w:b/>
          <w:bCs/>
          <w:sz w:val="24"/>
          <w:szCs w:val="24"/>
          <w:rtl/>
        </w:rPr>
        <w:t xml:space="preserve">הָדָא הוּא דִּכְתִיב (משלי לא) </w:t>
      </w:r>
      <w:r w:rsidRPr="00007309">
        <w:rPr>
          <w:rFonts w:cs="Arial"/>
          <w:b/>
          <w:bCs/>
          <w:sz w:val="36"/>
          <w:szCs w:val="28"/>
          <w:vertAlign w:val="superscript"/>
          <w:rtl/>
        </w:rPr>
        <w:footnoteReference w:id="7862"/>
      </w:r>
      <w:r w:rsidRPr="00007309">
        <w:rPr>
          <w:rFonts w:cs="Arial"/>
          <w:b/>
          <w:bCs/>
          <w:sz w:val="24"/>
          <w:szCs w:val="24"/>
          <w:rtl/>
        </w:rPr>
        <w:t xml:space="preserve">וַתִּתֵּן טֶרֶף לְבֵיתָהּ </w:t>
      </w:r>
      <w:r w:rsidRPr="00007309">
        <w:rPr>
          <w:rFonts w:cs="Arial"/>
          <w:b/>
          <w:bCs/>
          <w:sz w:val="36"/>
          <w:szCs w:val="28"/>
          <w:vertAlign w:val="superscript"/>
          <w:rtl/>
        </w:rPr>
        <w:footnoteReference w:id="7863"/>
      </w:r>
      <w:r w:rsidRPr="00007309">
        <w:rPr>
          <w:rFonts w:cs="Arial"/>
          <w:b/>
          <w:bCs/>
          <w:sz w:val="24"/>
          <w:szCs w:val="24"/>
          <w:rtl/>
        </w:rPr>
        <w:t xml:space="preserve">וְחֹק לְנַעֲרוֹתֶיהָ. </w:t>
      </w:r>
      <w:r w:rsidRPr="00007309">
        <w:rPr>
          <w:rFonts w:cs="Arial"/>
          <w:b/>
          <w:bCs/>
          <w:sz w:val="36"/>
          <w:szCs w:val="28"/>
          <w:vertAlign w:val="superscript"/>
          <w:rtl/>
        </w:rPr>
        <w:footnoteReference w:id="7864"/>
      </w:r>
      <w:r w:rsidRPr="00007309">
        <w:rPr>
          <w:rFonts w:cs="Arial"/>
          <w:b/>
          <w:bCs/>
          <w:sz w:val="24"/>
          <w:szCs w:val="24"/>
          <w:rtl/>
        </w:rPr>
        <w:t>וְכַד זְרִיקַת לוֹן לְתַתָּא</w:t>
      </w:r>
      <w:r w:rsidRPr="00007309">
        <w:rPr>
          <w:rFonts w:cs="Arial" w:hint="cs"/>
          <w:b/>
          <w:bCs/>
          <w:sz w:val="24"/>
          <w:szCs w:val="24"/>
          <w:rtl/>
        </w:rPr>
        <w:t>,</w:t>
      </w:r>
      <w:r w:rsidRPr="00007309">
        <w:rPr>
          <w:rFonts w:cs="Arial"/>
          <w:b/>
          <w:bCs/>
          <w:sz w:val="24"/>
          <w:szCs w:val="24"/>
          <w:rtl/>
        </w:rPr>
        <w:t xml:space="preserve"> אִתְקְרִיאַת זַרְקָא. וּבְגִין דָּא יֵשׁ מְפַזֵּר וְנוֹסָף עוֹד. דְּבַעְלָהּ אוֹסִיף לָהּ. קָמוּ עִלָּאִין וְתַתָּאִין וּבָרִיכוּ לֵהּ. פָּתְחוּ אִנּוּן סָבִין בְּבִרְכָּאן וּבָרִיכוּ לֵהּ. </w:t>
      </w:r>
    </w:p>
    <w:p w:rsidR="00007309" w:rsidRPr="00007309" w:rsidRDefault="00007309" w:rsidP="00007309">
      <w:pPr>
        <w:keepNext/>
        <w:outlineLvl w:val="1"/>
        <w:rPr>
          <w:rFonts w:ascii="Cambria" w:hAnsi="Cambria" w:cs="Times New Roman"/>
          <w:b/>
          <w:bCs/>
          <w:i/>
          <w:iCs/>
          <w:sz w:val="28"/>
          <w:szCs w:val="28"/>
          <w:rtl/>
        </w:rPr>
      </w:pPr>
      <w:r w:rsidRPr="00007309">
        <w:rPr>
          <w:rFonts w:ascii="Cambria" w:hAnsi="Cambria" w:cs="Times New Roman"/>
          <w:b/>
          <w:bCs/>
          <w:i/>
          <w:iCs/>
          <w:sz w:val="28"/>
          <w:szCs w:val="28"/>
          <w:rtl/>
        </w:rPr>
        <w:t>[</w:t>
      </w:r>
      <w:r w:rsidRPr="00007309">
        <w:rPr>
          <w:rFonts w:ascii="Cambria" w:hAnsi="Cambria" w:cs="Times New Roman" w:hint="cs"/>
          <w:b/>
          <w:bCs/>
          <w:i/>
          <w:iCs/>
          <w:sz w:val="28"/>
          <w:szCs w:val="28"/>
          <w:rtl/>
        </w:rPr>
        <w:t>דף</w:t>
      </w:r>
      <w:r w:rsidRPr="00007309">
        <w:rPr>
          <w:rFonts w:ascii="Cambria" w:hAnsi="Cambria" w:cs="Times New Roman"/>
          <w:b/>
          <w:bCs/>
          <w:i/>
          <w:iCs/>
          <w:sz w:val="28"/>
          <w:szCs w:val="28"/>
          <w:rtl/>
        </w:rPr>
        <w:t xml:space="preserve"> </w:t>
      </w:r>
      <w:r w:rsidRPr="00007309">
        <w:rPr>
          <w:rFonts w:ascii="Cambria" w:hAnsi="Cambria" w:cs="Times New Roman" w:hint="cs"/>
          <w:b/>
          <w:bCs/>
          <w:i/>
          <w:iCs/>
          <w:sz w:val="28"/>
          <w:szCs w:val="28"/>
          <w:rtl/>
        </w:rPr>
        <w:t>פג</w:t>
      </w:r>
      <w:r w:rsidRPr="00007309">
        <w:rPr>
          <w:rFonts w:ascii="Cambria" w:hAnsi="Cambria" w:cs="Times New Roman"/>
          <w:b/>
          <w:bCs/>
          <w:i/>
          <w:iCs/>
          <w:sz w:val="28"/>
          <w:szCs w:val="28"/>
          <w:rtl/>
        </w:rPr>
        <w:t xml:space="preserve"> ע"</w:t>
      </w:r>
      <w:r w:rsidRPr="00007309">
        <w:rPr>
          <w:rFonts w:ascii="Cambria" w:hAnsi="Cambria" w:cs="Times New Roman" w:hint="cs"/>
          <w:b/>
          <w:bCs/>
          <w:i/>
          <w:iCs/>
          <w:sz w:val="28"/>
          <w:szCs w:val="28"/>
          <w:rtl/>
        </w:rPr>
        <w:t>ד</w:t>
      </w:r>
      <w:r w:rsidRPr="00007309">
        <w:rPr>
          <w:rFonts w:ascii="Cambria" w:hAnsi="Cambria" w:cs="Times New Roman"/>
          <w:b/>
          <w:bCs/>
          <w:i/>
          <w:iCs/>
          <w:sz w:val="28"/>
          <w:szCs w:val="28"/>
          <w:rtl/>
        </w:rPr>
        <w:t>]</w:t>
      </w:r>
    </w:p>
    <w:p w:rsidR="00007309" w:rsidRPr="00007309" w:rsidRDefault="00007309" w:rsidP="00007309">
      <w:pPr>
        <w:jc w:val="both"/>
        <w:rPr>
          <w:rFonts w:cs="Arial"/>
          <w:b/>
          <w:bCs/>
          <w:sz w:val="24"/>
          <w:szCs w:val="24"/>
          <w:rtl/>
        </w:rPr>
      </w:pPr>
      <w:r w:rsidRPr="00007309">
        <w:rPr>
          <w:rFonts w:ascii="Cambria" w:hAnsi="Cambria" w:cs="Times New Roman" w:hint="cs"/>
          <w:b/>
          <w:bCs/>
          <w:i/>
          <w:iCs/>
          <w:color w:val="4F81BD"/>
          <w:sz w:val="24"/>
          <w:szCs w:val="24"/>
          <w:rtl/>
        </w:rPr>
        <w:t>(פג ע"ד)</w:t>
      </w:r>
      <w:r w:rsidRPr="00007309">
        <w:rPr>
          <w:rFonts w:cs="Arial" w:hint="cs"/>
          <w:b/>
          <w:bCs/>
          <w:sz w:val="24"/>
          <w:szCs w:val="24"/>
          <w:rtl/>
        </w:rPr>
        <w:t xml:space="preserve"> </w:t>
      </w:r>
      <w:r w:rsidRPr="00007309">
        <w:rPr>
          <w:rFonts w:cs="Arial"/>
          <w:b/>
          <w:bCs/>
          <w:sz w:val="24"/>
          <w:szCs w:val="24"/>
          <w:rtl/>
        </w:rPr>
        <w:t>קָם הַהוּא סָבָא מֵאִנּוּן סָבִין וְאָמַר</w:t>
      </w:r>
      <w:r w:rsidRPr="00007309">
        <w:rPr>
          <w:rFonts w:cs="Arial" w:hint="cs"/>
          <w:b/>
          <w:bCs/>
          <w:sz w:val="24"/>
          <w:szCs w:val="24"/>
          <w:rtl/>
        </w:rPr>
        <w:t>.</w:t>
      </w:r>
      <w:r w:rsidRPr="00007309">
        <w:rPr>
          <w:rFonts w:cs="Arial"/>
          <w:b/>
          <w:bCs/>
          <w:sz w:val="24"/>
          <w:szCs w:val="24"/>
          <w:rtl/>
        </w:rPr>
        <w:t xml:space="preserve"> (בראשית מח) הַמַּלְאָךְ הַגֹּאֵל אוֹתִי מִכָּל רָע יְבָרֵךְ אֶת הַנְּעָרִים. מַאי הַמַּלְאָךְ</w:t>
      </w:r>
      <w:r w:rsidRPr="00007309">
        <w:rPr>
          <w:rFonts w:cs="Arial" w:hint="cs"/>
          <w:b/>
          <w:bCs/>
          <w:sz w:val="24"/>
          <w:szCs w:val="24"/>
          <w:rtl/>
        </w:rPr>
        <w:t>,</w:t>
      </w:r>
      <w:r w:rsidRPr="00007309">
        <w:rPr>
          <w:rFonts w:cs="Arial"/>
          <w:b/>
          <w:bCs/>
          <w:sz w:val="24"/>
          <w:szCs w:val="24"/>
          <w:rtl/>
        </w:rPr>
        <w:t xml:space="preserve"> אִי הֲוָה אָמַר מַלְאָךְ הֲוָה מַשְׁמָע עַל חֲנוֹךְ מְטַטְרוֹן</w:t>
      </w:r>
      <w:r w:rsidRPr="00007309">
        <w:rPr>
          <w:rFonts w:cs="Arial" w:hint="cs"/>
          <w:b/>
          <w:bCs/>
          <w:sz w:val="24"/>
          <w:szCs w:val="24"/>
          <w:rtl/>
        </w:rPr>
        <w:t>.</w:t>
      </w:r>
      <w:r w:rsidRPr="00007309">
        <w:rPr>
          <w:rFonts w:cs="Arial"/>
          <w:b/>
          <w:bCs/>
          <w:sz w:val="24"/>
          <w:szCs w:val="24"/>
          <w:rtl/>
        </w:rPr>
        <w:t xml:space="preserve"> אֲבָל ה' בְּתוֹסֶפֶת </w:t>
      </w:r>
      <w:r w:rsidRPr="00007309">
        <w:rPr>
          <w:rFonts w:cs="Arial"/>
          <w:b/>
          <w:bCs/>
          <w:sz w:val="36"/>
          <w:szCs w:val="28"/>
          <w:vertAlign w:val="superscript"/>
          <w:rtl/>
        </w:rPr>
        <w:footnoteReference w:id="7865"/>
      </w:r>
      <w:r w:rsidRPr="00007309">
        <w:rPr>
          <w:rFonts w:cs="Arial"/>
          <w:b/>
          <w:bCs/>
          <w:sz w:val="24"/>
          <w:szCs w:val="24"/>
          <w:rtl/>
        </w:rPr>
        <w:t>אִיהִי שְׁכִינְתָּא</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866"/>
      </w:r>
      <w:r w:rsidRPr="00007309">
        <w:rPr>
          <w:rFonts w:cs="Arial"/>
          <w:b/>
          <w:bCs/>
          <w:sz w:val="24"/>
          <w:szCs w:val="24"/>
          <w:rtl/>
        </w:rPr>
        <w:t xml:space="preserve">דְּאִיהִי בְּרָכָה, (משלי י כב) </w:t>
      </w:r>
      <w:r w:rsidRPr="00007309">
        <w:rPr>
          <w:rFonts w:cs="Arial"/>
          <w:b/>
          <w:bCs/>
          <w:sz w:val="36"/>
          <w:szCs w:val="28"/>
          <w:vertAlign w:val="superscript"/>
          <w:rtl/>
        </w:rPr>
        <w:footnoteReference w:id="7867"/>
      </w:r>
      <w:r w:rsidRPr="00007309">
        <w:rPr>
          <w:rFonts w:cs="Arial"/>
          <w:b/>
          <w:bCs/>
          <w:sz w:val="24"/>
          <w:szCs w:val="24"/>
          <w:rtl/>
        </w:rPr>
        <w:t>בִּרְכַּת ה' הִיא תַּעֲשִׁיר</w:t>
      </w:r>
      <w:r w:rsidRPr="00007309">
        <w:rPr>
          <w:rFonts w:cs="Arial" w:hint="cs"/>
          <w:b/>
          <w:bCs/>
          <w:sz w:val="24"/>
          <w:szCs w:val="24"/>
          <w:rtl/>
        </w:rPr>
        <w:t>.</w:t>
      </w:r>
      <w:r w:rsidRPr="00007309">
        <w:rPr>
          <w:rFonts w:cs="Arial"/>
          <w:b/>
          <w:bCs/>
          <w:sz w:val="24"/>
          <w:szCs w:val="24"/>
          <w:rtl/>
        </w:rPr>
        <w:t xml:space="preserve"> יְבָרֵךְ אֶת הַנְּעָרִים</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868"/>
      </w:r>
      <w:r w:rsidRPr="00007309">
        <w:rPr>
          <w:rFonts w:cs="Arial"/>
          <w:b/>
          <w:bCs/>
          <w:sz w:val="24"/>
          <w:szCs w:val="24"/>
          <w:rtl/>
        </w:rPr>
        <w:t>כֻּלְּהוּ נְעָרִים</w:t>
      </w:r>
      <w:r w:rsidRPr="00007309">
        <w:rPr>
          <w:rFonts w:cs="Arial" w:hint="cs"/>
          <w:b/>
          <w:bCs/>
          <w:sz w:val="24"/>
          <w:szCs w:val="24"/>
          <w:rtl/>
        </w:rPr>
        <w:t>,</w:t>
      </w:r>
      <w:r w:rsidRPr="00007309">
        <w:rPr>
          <w:rFonts w:cs="Arial"/>
          <w:b/>
          <w:bCs/>
          <w:sz w:val="24"/>
          <w:szCs w:val="24"/>
          <w:rtl/>
        </w:rPr>
        <w:t xml:space="preserve"> דְּאִתְקְרִיאוּ עַל שֵׁם נַעַר, אִתְבָּרְכָאן עַל יְדֵי הַהוּא נַעַר. וְיִקָּרֵא בָּהֶם </w:t>
      </w:r>
      <w:r w:rsidRPr="00007309">
        <w:rPr>
          <w:rFonts w:cs="Arial"/>
          <w:b/>
          <w:bCs/>
          <w:sz w:val="36"/>
          <w:szCs w:val="28"/>
          <w:vertAlign w:val="superscript"/>
          <w:rtl/>
        </w:rPr>
        <w:footnoteReference w:id="7869"/>
      </w:r>
      <w:r w:rsidRPr="00007309">
        <w:rPr>
          <w:rFonts w:cs="Arial"/>
          <w:b/>
          <w:bCs/>
          <w:sz w:val="24"/>
          <w:szCs w:val="24"/>
          <w:rtl/>
        </w:rPr>
        <w:t>שְׁמִי, דָּא שְׁכִינְתָּא עִלָּאָה. וְשֵׁם אֲבוֹתַי</w:t>
      </w:r>
      <w:r w:rsidRPr="00007309">
        <w:rPr>
          <w:rFonts w:cs="Arial" w:hint="cs"/>
          <w:b/>
          <w:bCs/>
          <w:sz w:val="24"/>
          <w:szCs w:val="24"/>
          <w:rtl/>
        </w:rPr>
        <w:t>,</w:t>
      </w:r>
      <w:r w:rsidRPr="00007309">
        <w:rPr>
          <w:rFonts w:cs="Arial"/>
          <w:b/>
          <w:bCs/>
          <w:sz w:val="24"/>
          <w:szCs w:val="24"/>
          <w:rtl/>
        </w:rPr>
        <w:t xml:space="preserve"> אִלֵּין אֲבָהָן. </w:t>
      </w:r>
    </w:p>
    <w:p w:rsidR="00007309" w:rsidRPr="00007309" w:rsidRDefault="00007309" w:rsidP="00007309">
      <w:pPr>
        <w:keepNext/>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[וילנא לה ע"א]</w:t>
      </w:r>
    </w:p>
    <w:p w:rsidR="00007309" w:rsidRPr="00007309" w:rsidRDefault="00007309" w:rsidP="00007309">
      <w:pPr>
        <w:jc w:val="both"/>
        <w:rPr>
          <w:rFonts w:cs="Arial"/>
          <w:b/>
          <w:bCs/>
          <w:sz w:val="24"/>
          <w:szCs w:val="24"/>
        </w:rPr>
      </w:pPr>
      <w:r w:rsidRPr="00007309">
        <w:rPr>
          <w:rFonts w:cs="Arial"/>
          <w:b/>
          <w:bCs/>
          <w:sz w:val="24"/>
          <w:szCs w:val="24"/>
          <w:rtl/>
        </w:rPr>
        <w:t>וְעוֹד</w:t>
      </w:r>
      <w:r w:rsidRPr="00007309">
        <w:rPr>
          <w:rFonts w:cs="Arial" w:hint="cs"/>
          <w:b/>
          <w:bCs/>
          <w:sz w:val="24"/>
          <w:szCs w:val="24"/>
          <w:rtl/>
        </w:rPr>
        <w:t>,</w:t>
      </w:r>
      <w:r w:rsidRPr="00007309">
        <w:rPr>
          <w:rFonts w:cs="Arial"/>
          <w:b/>
          <w:bCs/>
          <w:sz w:val="24"/>
          <w:szCs w:val="24"/>
          <w:rtl/>
        </w:rPr>
        <w:t xml:space="preserve"> יְבָרֵךְ אֶת </w:t>
      </w:r>
      <w:r w:rsidRPr="00007309">
        <w:rPr>
          <w:rFonts w:cs="Arial"/>
          <w:b/>
          <w:bCs/>
          <w:sz w:val="36"/>
          <w:szCs w:val="28"/>
          <w:vertAlign w:val="superscript"/>
          <w:rtl/>
        </w:rPr>
        <w:footnoteReference w:id="7870"/>
      </w:r>
      <w:r w:rsidRPr="00007309">
        <w:rPr>
          <w:rFonts w:cs="Arial"/>
          <w:b/>
          <w:bCs/>
          <w:sz w:val="24"/>
          <w:szCs w:val="24"/>
          <w:rtl/>
        </w:rPr>
        <w:t xml:space="preserve">הַנְּעָרִים, צַדִּיק וּתְרֵי </w:t>
      </w:r>
      <w:r w:rsidRPr="00007309">
        <w:rPr>
          <w:rFonts w:ascii="Cambria" w:hAnsi="Cambria" w:cs="Times New Roman" w:hint="cs"/>
          <w:b/>
          <w:bCs/>
          <w:i/>
          <w:iCs/>
          <w:color w:val="4F81BD"/>
          <w:sz w:val="24"/>
          <w:szCs w:val="24"/>
          <w:rtl/>
        </w:rPr>
        <w:t>(וילנא לה ע"א)</w:t>
      </w:r>
      <w:r w:rsidRPr="00007309">
        <w:rPr>
          <w:rFonts w:cs="Arial" w:hint="cs"/>
          <w:b/>
          <w:bCs/>
          <w:sz w:val="24"/>
          <w:szCs w:val="24"/>
          <w:rtl/>
        </w:rPr>
        <w:t xml:space="preserve"> </w:t>
      </w:r>
      <w:r w:rsidRPr="00007309">
        <w:rPr>
          <w:rFonts w:cs="Arial"/>
          <w:b/>
          <w:bCs/>
          <w:sz w:val="24"/>
          <w:szCs w:val="24"/>
          <w:rtl/>
        </w:rPr>
        <w:t xml:space="preserve">נְבִיאֵי קְשׁוֹט. וְיִדְגּוּ לָרֹב, חָכְמָה דְּאִתְּמַר (מלכים ה) בָּהּ וַתֵּרֶב </w:t>
      </w:r>
      <w:r w:rsidRPr="00007309">
        <w:rPr>
          <w:rFonts w:cs="Arial"/>
          <w:b/>
          <w:bCs/>
          <w:sz w:val="36"/>
          <w:szCs w:val="28"/>
          <w:vertAlign w:val="superscript"/>
          <w:rtl/>
        </w:rPr>
        <w:footnoteReference w:id="7871"/>
      </w:r>
      <w:r w:rsidRPr="00007309">
        <w:rPr>
          <w:rFonts w:cs="Arial"/>
          <w:b/>
          <w:bCs/>
          <w:sz w:val="24"/>
          <w:szCs w:val="24"/>
          <w:rtl/>
        </w:rPr>
        <w:t>חָכְמַת שְׁלֹמֹה</w:t>
      </w:r>
      <w:r w:rsidRPr="00007309">
        <w:rPr>
          <w:rFonts w:cs="Arial"/>
          <w:b/>
          <w:bCs/>
          <w:sz w:val="24"/>
          <w:szCs w:val="24"/>
        </w:rPr>
        <w:t>,</w:t>
      </w:r>
      <w:r w:rsidRPr="00007309">
        <w:rPr>
          <w:rFonts w:cs="Arial"/>
          <w:b/>
          <w:bCs/>
          <w:sz w:val="24"/>
          <w:szCs w:val="28"/>
        </w:rPr>
        <w:t xml:space="preserve"> </w:t>
      </w:r>
      <w:r w:rsidRPr="00007309">
        <w:rPr>
          <w:rFonts w:cs="Arial"/>
          <w:b/>
          <w:bCs/>
          <w:sz w:val="36"/>
          <w:szCs w:val="28"/>
          <w:vertAlign w:val="superscript"/>
          <w:rtl/>
        </w:rPr>
        <w:footnoteReference w:id="7872"/>
      </w:r>
      <w:r w:rsidRPr="00007309">
        <w:rPr>
          <w:rFonts w:cs="Arial"/>
          <w:b/>
          <w:bCs/>
          <w:sz w:val="24"/>
          <w:szCs w:val="24"/>
          <w:rtl/>
        </w:rPr>
        <w:t xml:space="preserve">דְּתִתְרַבֵּי וְתִסְגֵּי. בְּקֶרֶב הָאָרֶץ, </w:t>
      </w:r>
      <w:r w:rsidRPr="00007309">
        <w:rPr>
          <w:rFonts w:cs="Arial"/>
          <w:b/>
          <w:bCs/>
          <w:sz w:val="36"/>
          <w:szCs w:val="28"/>
          <w:vertAlign w:val="superscript"/>
          <w:rtl/>
        </w:rPr>
        <w:footnoteReference w:id="7873"/>
      </w:r>
      <w:r w:rsidRPr="00007309">
        <w:rPr>
          <w:rFonts w:cs="Arial"/>
          <w:b/>
          <w:bCs/>
          <w:sz w:val="24"/>
          <w:szCs w:val="24"/>
          <w:rtl/>
        </w:rPr>
        <w:t>בְּאִלֵּין דְּאִתְּמַר בְּהוֹן וְהָיָה זַרְעֲךָ כַּעֲפַר הָאָרֶץ</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874"/>
      </w:r>
      <w:r w:rsidRPr="00007309">
        <w:rPr>
          <w:rFonts w:cs="Arial"/>
          <w:b/>
          <w:bCs/>
          <w:sz w:val="24"/>
          <w:szCs w:val="24"/>
          <w:rtl/>
        </w:rPr>
        <w:t>וְלֹא תִּתְפַּסֵּק בִּרְכָתָא מִנָּהּ, כְּמַבּוּעָא דְּאִתְּמַר בָּהּ (ישעיה נח) וּכְמוֹצָא מַיִם אֲשֶׁר לֹא יְכַזְבוּ מֵימָיו</w:t>
      </w:r>
      <w:r w:rsidRPr="00007309">
        <w:rPr>
          <w:rFonts w:cs="Arial"/>
          <w:b/>
          <w:bCs/>
          <w:sz w:val="24"/>
          <w:szCs w:val="24"/>
        </w:rPr>
        <w:t>:</w:t>
      </w:r>
    </w:p>
    <w:p w:rsidR="00007309" w:rsidRPr="00007309" w:rsidRDefault="00007309" w:rsidP="00007309">
      <w:pPr>
        <w:jc w:val="both"/>
        <w:rPr>
          <w:rFonts w:cs="Arial"/>
          <w:b/>
          <w:bCs/>
          <w:sz w:val="24"/>
          <w:szCs w:val="24"/>
          <w:rtl/>
        </w:rPr>
      </w:pPr>
      <w:r w:rsidRPr="00007309">
        <w:rPr>
          <w:rFonts w:cs="Arial"/>
          <w:sz w:val="24"/>
          <w:szCs w:val="24"/>
          <w:rtl/>
        </w:rPr>
        <w:t>(</w:t>
      </w:r>
      <w:r w:rsidRPr="00007309">
        <w:rPr>
          <w:rFonts w:cs="Arial" w:hint="cs"/>
          <w:sz w:val="24"/>
          <w:szCs w:val="24"/>
          <w:rtl/>
        </w:rPr>
        <w:t>הפסקה שהיתה כאן דלית דורונא כו' עד לדיוקנא דמלכא, נמצאת</w:t>
      </w:r>
      <w:r w:rsidRPr="00007309">
        <w:rPr>
          <w:rFonts w:cs="Arial"/>
          <w:sz w:val="24"/>
          <w:szCs w:val="24"/>
          <w:rtl/>
        </w:rPr>
        <w:t xml:space="preserve"> בתקונים בדף ל"ג ע"ב בשורה י"ט אחר לגבי קודשא בריך הוא</w:t>
      </w:r>
      <w:r w:rsidRPr="00007309">
        <w:rPr>
          <w:rFonts w:cs="Arial" w:hint="cs"/>
          <w:sz w:val="24"/>
          <w:szCs w:val="24"/>
          <w:rtl/>
        </w:rPr>
        <w:t>. ובהגר"א עליה היה רק כאן, ושמתי אותו שם).</w:t>
      </w:r>
    </w:p>
    <w:p w:rsidR="00007309" w:rsidRPr="00007309" w:rsidRDefault="00007309" w:rsidP="00007309">
      <w:pPr>
        <w:jc w:val="both"/>
        <w:rPr>
          <w:rFonts w:cs="Arial"/>
          <w:b/>
          <w:bCs/>
          <w:sz w:val="24"/>
          <w:szCs w:val="24"/>
          <w:rtl/>
        </w:rPr>
      </w:pPr>
      <w:r w:rsidRPr="00007309">
        <w:rPr>
          <w:rFonts w:cs="Arial"/>
          <w:b/>
          <w:bCs/>
          <w:sz w:val="36"/>
          <w:szCs w:val="28"/>
          <w:vertAlign w:val="superscript"/>
          <w:rtl/>
        </w:rPr>
        <w:footnoteReference w:id="7875"/>
      </w:r>
      <w:r w:rsidRPr="00007309">
        <w:rPr>
          <w:rFonts w:cs="Arial"/>
          <w:b/>
          <w:bCs/>
          <w:sz w:val="24"/>
          <w:szCs w:val="24"/>
          <w:rtl/>
        </w:rPr>
        <w:t>וְעוֹד</w:t>
      </w:r>
      <w:r w:rsidRPr="00007309">
        <w:rPr>
          <w:rFonts w:cs="Arial" w:hint="cs"/>
          <w:b/>
          <w:bCs/>
          <w:sz w:val="24"/>
          <w:szCs w:val="24"/>
          <w:rtl/>
        </w:rPr>
        <w:t>,</w:t>
      </w:r>
      <w:r w:rsidRPr="00007309">
        <w:rPr>
          <w:rFonts w:cs="Arial"/>
          <w:b/>
          <w:bCs/>
          <w:sz w:val="24"/>
          <w:szCs w:val="24"/>
          <w:rtl/>
        </w:rPr>
        <w:t xml:space="preserve"> </w:t>
      </w:r>
      <w:r w:rsidRPr="00007309">
        <w:rPr>
          <w:rFonts w:cs="Arial" w:hint="cs"/>
          <w:b/>
          <w:bCs/>
          <w:sz w:val="24"/>
          <w:szCs w:val="24"/>
          <w:rtl/>
        </w:rPr>
        <w:t xml:space="preserve">(יחזקאל י כא) </w:t>
      </w:r>
      <w:r w:rsidRPr="00007309">
        <w:rPr>
          <w:rFonts w:cs="Arial"/>
          <w:b/>
          <w:bCs/>
          <w:sz w:val="24"/>
          <w:szCs w:val="24"/>
          <w:rtl/>
        </w:rPr>
        <w:t>וִידֵי אָדָם. אִית בְּנֵי נָשָׁא דְּסָלְקִין דּוֹרוֹנָא לְמַטְרוֹנִיתָא</w:t>
      </w:r>
      <w:r w:rsidRPr="00007309">
        <w:rPr>
          <w:rFonts w:cs="Arial" w:hint="cs"/>
          <w:b/>
          <w:bCs/>
          <w:sz w:val="24"/>
          <w:szCs w:val="24"/>
          <w:rtl/>
        </w:rPr>
        <w:t>,</w:t>
      </w:r>
      <w:r w:rsidRPr="00007309">
        <w:rPr>
          <w:rFonts w:cs="Arial"/>
          <w:b/>
          <w:bCs/>
          <w:sz w:val="24"/>
          <w:szCs w:val="24"/>
          <w:rtl/>
        </w:rPr>
        <w:t xml:space="preserve"> וּבְהוֹן </w:t>
      </w:r>
      <w:r w:rsidRPr="00007309">
        <w:rPr>
          <w:rFonts w:cs="Arial"/>
          <w:b/>
          <w:bCs/>
          <w:sz w:val="36"/>
          <w:szCs w:val="28"/>
          <w:vertAlign w:val="superscript"/>
          <w:rtl/>
        </w:rPr>
        <w:footnoteReference w:id="7876"/>
      </w:r>
      <w:r w:rsidRPr="00007309">
        <w:rPr>
          <w:rFonts w:cs="Arial"/>
          <w:b/>
          <w:bCs/>
          <w:sz w:val="24"/>
          <w:szCs w:val="24"/>
          <w:rtl/>
        </w:rPr>
        <w:t>מַלְאֲכֵי אֱלֹהִים עֹלִים וְיֹרְדִים בּוֹ</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877"/>
      </w:r>
      <w:r w:rsidRPr="00007309">
        <w:rPr>
          <w:rFonts w:cs="Arial"/>
          <w:b/>
          <w:bCs/>
          <w:sz w:val="24"/>
          <w:szCs w:val="24"/>
          <w:rtl/>
        </w:rPr>
        <w:t>בְּהַהוּא בַּר נָשׁ</w:t>
      </w:r>
      <w:r w:rsidRPr="00007309">
        <w:rPr>
          <w:rFonts w:cs="Arial" w:hint="cs"/>
          <w:b/>
          <w:bCs/>
          <w:sz w:val="24"/>
          <w:szCs w:val="24"/>
          <w:rtl/>
        </w:rPr>
        <w:t>,</w:t>
      </w:r>
      <w:r w:rsidRPr="00007309">
        <w:rPr>
          <w:rFonts w:cs="Arial"/>
          <w:b/>
          <w:bCs/>
          <w:sz w:val="24"/>
          <w:szCs w:val="24"/>
          <w:rtl/>
        </w:rPr>
        <w:t xml:space="preserve"> בְּנִשְׁמָתֵהּ </w:t>
      </w:r>
      <w:r w:rsidRPr="00007309">
        <w:rPr>
          <w:rFonts w:cs="Arial"/>
          <w:b/>
          <w:bCs/>
          <w:sz w:val="36"/>
          <w:szCs w:val="28"/>
          <w:vertAlign w:val="superscript"/>
          <w:rtl/>
        </w:rPr>
        <w:footnoteReference w:id="7878"/>
      </w:r>
      <w:r w:rsidRPr="00007309">
        <w:rPr>
          <w:rFonts w:cs="Arial"/>
          <w:b/>
          <w:bCs/>
          <w:sz w:val="24"/>
          <w:szCs w:val="24"/>
          <w:rtl/>
        </w:rPr>
        <w:t>דְּסָלְקָא דּוֹרוֹנָא לְמַלְכָּא, וְנָחְתָא דּוֹרוֹנָא מִנֵּהּ לְמַטְרוֹנִיתָא</w:t>
      </w:r>
      <w:r w:rsidRPr="00007309">
        <w:rPr>
          <w:rFonts w:cs="Arial" w:hint="cs"/>
          <w:b/>
          <w:bCs/>
          <w:sz w:val="24"/>
          <w:szCs w:val="24"/>
          <w:rtl/>
        </w:rPr>
        <w:t>.</w:t>
      </w:r>
      <w:r w:rsidRPr="00007309">
        <w:rPr>
          <w:rFonts w:cs="Arial"/>
          <w:b/>
          <w:bCs/>
          <w:sz w:val="24"/>
          <w:szCs w:val="24"/>
          <w:rtl/>
        </w:rPr>
        <w:t xml:space="preserve"> דְּכַד נָחְתִין דּוֹרוֹנָא לְמַטְרוֹנִיתָא, וִידֵי אָדָם נָחְתִין מִתְּחוֹת גַּדְפַיְהוּ דְּמַלְאָכִין</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879"/>
      </w:r>
      <w:r w:rsidRPr="00007309">
        <w:rPr>
          <w:rFonts w:cs="Arial"/>
          <w:b/>
          <w:bCs/>
          <w:sz w:val="24"/>
          <w:szCs w:val="24"/>
          <w:rtl/>
        </w:rPr>
        <w:t>שְׁלִיחָן דְּמַטְרוֹנִיתָא, וְיָהֲבִין לוֹן שְׁאֵלָתִין וּבָעוּתִין דְּשָׁאֲלִין</w:t>
      </w:r>
      <w:r w:rsidRPr="00007309">
        <w:rPr>
          <w:rFonts w:cs="Arial"/>
          <w:b/>
          <w:bCs/>
          <w:sz w:val="24"/>
          <w:szCs w:val="24"/>
        </w:rPr>
        <w:t xml:space="preserve"> </w:t>
      </w:r>
      <w:r w:rsidRPr="00007309">
        <w:rPr>
          <w:rFonts w:cs="Arial"/>
          <w:b/>
          <w:bCs/>
          <w:sz w:val="24"/>
          <w:szCs w:val="24"/>
          <w:rtl/>
        </w:rPr>
        <w:t xml:space="preserve">מִמַּטְרוֹנִיתָא. </w:t>
      </w:r>
      <w:r w:rsidRPr="00007309">
        <w:rPr>
          <w:rFonts w:cs="Arial"/>
          <w:b/>
          <w:bCs/>
          <w:sz w:val="36"/>
          <w:szCs w:val="28"/>
          <w:vertAlign w:val="superscript"/>
          <w:rtl/>
        </w:rPr>
        <w:footnoteReference w:id="7880"/>
      </w:r>
      <w:r w:rsidRPr="00007309">
        <w:rPr>
          <w:rFonts w:cs="Arial"/>
          <w:b/>
          <w:bCs/>
          <w:sz w:val="24"/>
          <w:szCs w:val="24"/>
          <w:rtl/>
        </w:rPr>
        <w:t>וְכָל מַה דְּמַטְרוֹנִיתָא יַהֲבָא</w:t>
      </w:r>
      <w:r w:rsidRPr="00007309">
        <w:rPr>
          <w:rFonts w:cs="Arial" w:hint="cs"/>
          <w:b/>
          <w:bCs/>
          <w:sz w:val="24"/>
          <w:szCs w:val="24"/>
          <w:rtl/>
        </w:rPr>
        <w:t>,</w:t>
      </w:r>
      <w:r w:rsidRPr="00007309">
        <w:rPr>
          <w:rFonts w:cs="Arial"/>
          <w:b/>
          <w:bCs/>
          <w:sz w:val="24"/>
          <w:szCs w:val="24"/>
          <w:rtl/>
        </w:rPr>
        <w:t xml:space="preserve"> בִּרְשׁוּתָא דְּבַעְלָהּ אִיהוּ כֹּלָּא. </w:t>
      </w:r>
      <w:r w:rsidRPr="00007309">
        <w:rPr>
          <w:rFonts w:cs="Arial"/>
          <w:b/>
          <w:bCs/>
          <w:sz w:val="36"/>
          <w:szCs w:val="28"/>
          <w:vertAlign w:val="superscript"/>
          <w:rtl/>
        </w:rPr>
        <w:footnoteReference w:id="7881"/>
      </w:r>
      <w:r w:rsidRPr="00007309">
        <w:rPr>
          <w:rFonts w:cs="Arial"/>
          <w:b/>
          <w:bCs/>
          <w:sz w:val="24"/>
          <w:szCs w:val="24"/>
          <w:rtl/>
        </w:rPr>
        <w:t>וְאִם לָא עַאלִין בִּדְחִילוּ וּרְחִימוּ, דַּחְיִּין לוֹ</w:t>
      </w:r>
      <w:r w:rsidRPr="00007309">
        <w:rPr>
          <w:rFonts w:cs="Arial" w:hint="cs"/>
          <w:b/>
          <w:bCs/>
          <w:sz w:val="24"/>
          <w:szCs w:val="24"/>
          <w:rtl/>
        </w:rPr>
        <w:t>ן</w:t>
      </w:r>
      <w:r w:rsidRPr="00007309">
        <w:rPr>
          <w:rFonts w:cs="Arial"/>
          <w:b/>
          <w:bCs/>
          <w:sz w:val="24"/>
          <w:szCs w:val="24"/>
          <w:rtl/>
        </w:rPr>
        <w:t xml:space="preserve"> לְבַר</w:t>
      </w:r>
      <w:r w:rsidRPr="00007309">
        <w:rPr>
          <w:rFonts w:cs="Arial" w:hint="cs"/>
          <w:b/>
          <w:bCs/>
          <w:sz w:val="24"/>
          <w:szCs w:val="24"/>
          <w:rtl/>
        </w:rPr>
        <w:t>,</w:t>
      </w:r>
      <w:r w:rsidRPr="00007309">
        <w:rPr>
          <w:rFonts w:cs="Arial"/>
          <w:b/>
          <w:bCs/>
          <w:sz w:val="24"/>
          <w:szCs w:val="24"/>
          <w:rtl/>
        </w:rPr>
        <w:t xml:space="preserve"> ודּוֹרוֹנָא דִּילְהוֹן לְכַלְבָּא אִתְמְסַר. </w:t>
      </w:r>
      <w:r w:rsidRPr="00007309">
        <w:rPr>
          <w:rFonts w:cs="Arial"/>
          <w:b/>
          <w:bCs/>
          <w:sz w:val="36"/>
          <w:szCs w:val="28"/>
          <w:vertAlign w:val="superscript"/>
          <w:rtl/>
        </w:rPr>
        <w:footnoteReference w:id="7882"/>
      </w:r>
      <w:r w:rsidRPr="00007309">
        <w:rPr>
          <w:rFonts w:cs="Arial"/>
          <w:b/>
          <w:bCs/>
          <w:sz w:val="24"/>
          <w:szCs w:val="24"/>
          <w:rtl/>
        </w:rPr>
        <w:t>זַכָּאָה אִיהוּ בַּר נָשׁ דְּמַטְרוֹנִיתָא אִיהִי מְקַבְּלָא מִנֵּהּ דּוֹרוֹנָא, אוֹ יָהֲבָה לֵהּ בִּידָהָ</w:t>
      </w:r>
      <w:r w:rsidRPr="00007309">
        <w:rPr>
          <w:rFonts w:cs="Arial" w:hint="cs"/>
          <w:b/>
          <w:bCs/>
          <w:sz w:val="24"/>
          <w:szCs w:val="24"/>
          <w:rtl/>
        </w:rPr>
        <w:t>א</w:t>
      </w:r>
      <w:r w:rsidRPr="00007309">
        <w:rPr>
          <w:rFonts w:cs="Arial"/>
          <w:b/>
          <w:bCs/>
          <w:sz w:val="24"/>
          <w:szCs w:val="24"/>
          <w:rtl/>
        </w:rPr>
        <w:t>, דְּוַדַּאי בְּרָא דְּמַלְכָּא אִיהוּ. אֲבָל לְאָחֳרָנִין</w:t>
      </w:r>
      <w:r w:rsidRPr="00007309">
        <w:rPr>
          <w:rFonts w:cs="Arial" w:hint="cs"/>
          <w:b/>
          <w:bCs/>
          <w:sz w:val="24"/>
          <w:szCs w:val="24"/>
          <w:rtl/>
        </w:rPr>
        <w:t>,</w:t>
      </w:r>
      <w:r w:rsidRPr="00007309">
        <w:rPr>
          <w:rFonts w:cs="Arial"/>
          <w:b/>
          <w:bCs/>
          <w:sz w:val="24"/>
          <w:szCs w:val="24"/>
          <w:rtl/>
        </w:rPr>
        <w:t xml:space="preserve"> עַל יְדֵי שְׁלִיחָן יְהָבַת לוֹן מִיָּדָהָא</w:t>
      </w:r>
      <w:r w:rsidRPr="00007309">
        <w:rPr>
          <w:rFonts w:cs="Arial" w:hint="cs"/>
          <w:b/>
          <w:bCs/>
          <w:sz w:val="24"/>
          <w:szCs w:val="24"/>
          <w:rtl/>
        </w:rPr>
        <w:t>.</w:t>
      </w:r>
      <w:r w:rsidRPr="00007309">
        <w:rPr>
          <w:rFonts w:cs="Arial"/>
          <w:b/>
          <w:bCs/>
          <w:sz w:val="24"/>
          <w:szCs w:val="24"/>
          <w:rtl/>
        </w:rPr>
        <w:t xml:space="preserve"> אִלֵּין נָפְקִין</w:t>
      </w:r>
      <w:r w:rsidRPr="00007309">
        <w:rPr>
          <w:rFonts w:cs="Arial" w:hint="cs"/>
          <w:b/>
          <w:bCs/>
          <w:sz w:val="24"/>
          <w:szCs w:val="24"/>
          <w:rtl/>
        </w:rPr>
        <w:t>,</w:t>
      </w:r>
      <w:r w:rsidRPr="00007309">
        <w:rPr>
          <w:rFonts w:cs="Arial"/>
          <w:b/>
          <w:bCs/>
          <w:sz w:val="24"/>
          <w:szCs w:val="24"/>
          <w:rtl/>
        </w:rPr>
        <w:t xml:space="preserve"> וְאָחֳרָנִין קָא אַתְיָן</w:t>
      </w:r>
      <w:r w:rsidRPr="00007309">
        <w:rPr>
          <w:rFonts w:cs="Arial" w:hint="cs"/>
          <w:b/>
          <w:bCs/>
          <w:sz w:val="24"/>
          <w:szCs w:val="24"/>
          <w:rtl/>
        </w:rPr>
        <w:t>,</w:t>
      </w:r>
      <w:r w:rsidRPr="00007309">
        <w:rPr>
          <w:rFonts w:cs="Arial"/>
          <w:b/>
          <w:bCs/>
          <w:sz w:val="24"/>
          <w:szCs w:val="24"/>
          <w:rtl/>
        </w:rPr>
        <w:t xml:space="preserve"> דָּפְקִין לְפִתְחָהּ</w:t>
      </w:r>
      <w:r w:rsidRPr="00007309">
        <w:rPr>
          <w:rFonts w:cs="Arial" w:hint="cs"/>
          <w:b/>
          <w:bCs/>
          <w:sz w:val="24"/>
          <w:szCs w:val="24"/>
          <w:rtl/>
        </w:rPr>
        <w:t>.</w:t>
      </w:r>
      <w:r w:rsidRPr="00007309">
        <w:rPr>
          <w:rFonts w:cs="Arial"/>
          <w:b/>
          <w:bCs/>
          <w:sz w:val="24"/>
          <w:szCs w:val="24"/>
          <w:rtl/>
        </w:rPr>
        <w:t xml:space="preserve"> וְאִנּוּן מָארֵי דְּאוֹרַיְתָא</w:t>
      </w:r>
      <w:r w:rsidRPr="00007309">
        <w:rPr>
          <w:rFonts w:cs="Arial" w:hint="cs"/>
          <w:b/>
          <w:bCs/>
          <w:sz w:val="24"/>
          <w:szCs w:val="24"/>
          <w:rtl/>
        </w:rPr>
        <w:t>,</w:t>
      </w:r>
      <w:r w:rsidRPr="00007309">
        <w:rPr>
          <w:rFonts w:cs="Arial"/>
          <w:b/>
          <w:bCs/>
          <w:sz w:val="24"/>
          <w:szCs w:val="24"/>
          <w:rtl/>
        </w:rPr>
        <w:t xml:space="preserve"> מָארֵי</w:t>
      </w:r>
      <w:r w:rsidRPr="00007309">
        <w:rPr>
          <w:rFonts w:cs="Arial"/>
          <w:b/>
          <w:bCs/>
          <w:sz w:val="24"/>
          <w:szCs w:val="24"/>
        </w:rPr>
        <w:t xml:space="preserve"> </w:t>
      </w:r>
      <w:r w:rsidRPr="00007309">
        <w:rPr>
          <w:rFonts w:cs="Arial"/>
          <w:b/>
          <w:bCs/>
          <w:sz w:val="24"/>
          <w:szCs w:val="24"/>
          <w:rtl/>
        </w:rPr>
        <w:t xml:space="preserve">דְּפוּמָא. וְאִם עַאלִין בִּדְחִילוּ וּרְחִימוּ דְּיָ"ה, </w:t>
      </w:r>
      <w:r w:rsidRPr="00007309">
        <w:rPr>
          <w:rFonts w:cs="Arial"/>
          <w:b/>
          <w:bCs/>
          <w:sz w:val="36"/>
          <w:szCs w:val="28"/>
          <w:vertAlign w:val="superscript"/>
          <w:rtl/>
        </w:rPr>
        <w:footnoteReference w:id="7883"/>
      </w:r>
      <w:r w:rsidRPr="00007309">
        <w:rPr>
          <w:rFonts w:cs="Arial"/>
          <w:b/>
          <w:bCs/>
          <w:sz w:val="24"/>
          <w:szCs w:val="24"/>
          <w:rtl/>
        </w:rPr>
        <w:t xml:space="preserve">הֵיכָלָא אִתְפַּתַּח לְגַבַּיְהוּ, </w:t>
      </w:r>
      <w:r w:rsidRPr="00007309">
        <w:rPr>
          <w:rFonts w:cs="Arial"/>
          <w:b/>
          <w:bCs/>
          <w:sz w:val="36"/>
          <w:szCs w:val="28"/>
          <w:vertAlign w:val="superscript"/>
          <w:rtl/>
        </w:rPr>
        <w:footnoteReference w:id="7884"/>
      </w:r>
      <w:r w:rsidRPr="00007309">
        <w:rPr>
          <w:rFonts w:cs="Arial"/>
          <w:b/>
          <w:bCs/>
          <w:sz w:val="24"/>
          <w:szCs w:val="24"/>
          <w:rtl/>
        </w:rPr>
        <w:t xml:space="preserve">וְקוּדְשָׁא בְּרִיךְ הוּא יָהִיב לוֹן לְשׁוֹן לִמּוּדִים, </w:t>
      </w:r>
      <w:r w:rsidRPr="00007309">
        <w:rPr>
          <w:rFonts w:cs="Arial"/>
          <w:b/>
          <w:bCs/>
          <w:sz w:val="36"/>
          <w:szCs w:val="28"/>
          <w:vertAlign w:val="superscript"/>
          <w:rtl/>
        </w:rPr>
        <w:footnoteReference w:id="7885"/>
      </w:r>
      <w:r w:rsidRPr="00007309">
        <w:rPr>
          <w:rFonts w:cs="Arial"/>
          <w:b/>
          <w:bCs/>
          <w:sz w:val="24"/>
          <w:szCs w:val="24"/>
          <w:rtl/>
        </w:rPr>
        <w:t>וְשַׁוֵּי לוֹן דִּבּוּרָא בְּפוּמַיְהוּ</w:t>
      </w:r>
      <w:r w:rsidRPr="00007309">
        <w:rPr>
          <w:rFonts w:cs="Arial" w:hint="cs"/>
          <w:b/>
          <w:bCs/>
          <w:sz w:val="24"/>
          <w:szCs w:val="24"/>
          <w:rtl/>
        </w:rPr>
        <w:t>,</w:t>
      </w:r>
      <w:r w:rsidRPr="00007309">
        <w:rPr>
          <w:rFonts w:cs="Arial"/>
          <w:b/>
          <w:bCs/>
          <w:sz w:val="24"/>
          <w:szCs w:val="24"/>
          <w:rtl/>
        </w:rPr>
        <w:t xml:space="preserve"> לְמַלְּלָא קֳדָם מַטְרוֹנִיתָא. הָדָא הוּא דִּכְתִיב (ירמיה א) וַיִּשְׁלַח ה' </w:t>
      </w:r>
      <w:r w:rsidRPr="00007309">
        <w:rPr>
          <w:rFonts w:cs="Arial"/>
          <w:b/>
          <w:bCs/>
          <w:sz w:val="36"/>
          <w:szCs w:val="28"/>
          <w:vertAlign w:val="superscript"/>
          <w:rtl/>
        </w:rPr>
        <w:footnoteReference w:id="7886"/>
      </w:r>
      <w:r w:rsidRPr="00007309">
        <w:rPr>
          <w:rFonts w:cs="Arial"/>
          <w:b/>
          <w:bCs/>
          <w:sz w:val="24"/>
          <w:szCs w:val="24"/>
          <w:rtl/>
        </w:rPr>
        <w:t>אֶת יָדוֹ וַיַגַּע עַל פִּי</w:t>
      </w:r>
      <w:r w:rsidRPr="00007309">
        <w:rPr>
          <w:rFonts w:cs="Arial" w:hint="cs"/>
          <w:b/>
          <w:bCs/>
          <w:sz w:val="24"/>
          <w:szCs w:val="24"/>
          <w:rtl/>
        </w:rPr>
        <w:t>,</w:t>
      </w:r>
      <w:r w:rsidRPr="00007309">
        <w:rPr>
          <w:rFonts w:cs="Arial"/>
          <w:b/>
          <w:bCs/>
          <w:sz w:val="24"/>
          <w:szCs w:val="24"/>
          <w:rtl/>
        </w:rPr>
        <w:t xml:space="preserve"> וַיֹּאמֶר ה' אֵלַי הִנֵּה נָתַתִּי </w:t>
      </w:r>
      <w:r w:rsidRPr="00007309">
        <w:rPr>
          <w:rFonts w:cs="Arial"/>
          <w:b/>
          <w:bCs/>
          <w:sz w:val="36"/>
          <w:szCs w:val="28"/>
          <w:vertAlign w:val="superscript"/>
          <w:rtl/>
        </w:rPr>
        <w:footnoteReference w:id="7887"/>
      </w:r>
      <w:r w:rsidRPr="00007309">
        <w:rPr>
          <w:rFonts w:cs="Arial"/>
          <w:b/>
          <w:bCs/>
          <w:sz w:val="24"/>
          <w:szCs w:val="24"/>
          <w:rtl/>
        </w:rPr>
        <w:t>דְבָרַי בְּפִיךָ. וְעָלַיְהוּ אִתְּמַר (הושע יב) וּבְיַד הַנְּבִיאִים אֲדַמֶּה. וְדִבַּרְתִּי עַל הַנְּבִיאִים</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888"/>
      </w:r>
      <w:r w:rsidRPr="00007309">
        <w:rPr>
          <w:rFonts w:cs="Arial"/>
          <w:b/>
          <w:bCs/>
          <w:sz w:val="24"/>
          <w:szCs w:val="24"/>
          <w:rtl/>
        </w:rPr>
        <w:t>בְּדִבּוּר מַמָּשׁ</w:t>
      </w:r>
      <w:r w:rsidRPr="00007309">
        <w:rPr>
          <w:rFonts w:cs="Arial" w:hint="cs"/>
          <w:b/>
          <w:bCs/>
          <w:sz w:val="24"/>
          <w:szCs w:val="24"/>
          <w:rtl/>
        </w:rPr>
        <w:t>.</w:t>
      </w:r>
      <w:r w:rsidRPr="00007309">
        <w:rPr>
          <w:rFonts w:cs="Arial"/>
          <w:b/>
          <w:bCs/>
          <w:sz w:val="24"/>
          <w:szCs w:val="24"/>
          <w:rtl/>
        </w:rPr>
        <w:t xml:space="preserve"> וע</w:t>
      </w:r>
      <w:r w:rsidRPr="00007309">
        <w:rPr>
          <w:rFonts w:cs="Arial" w:hint="cs"/>
          <w:b/>
          <w:bCs/>
          <w:sz w:val="24"/>
          <w:szCs w:val="24"/>
          <w:rtl/>
        </w:rPr>
        <w:t>ם כל דא</w:t>
      </w:r>
      <w:r w:rsidRPr="00007309">
        <w:rPr>
          <w:rFonts w:cs="Arial"/>
          <w:b/>
          <w:bCs/>
          <w:sz w:val="24"/>
          <w:szCs w:val="24"/>
          <w:rtl/>
        </w:rPr>
        <w:t xml:space="preserve"> דְּיֵעֲלוּן לְהֵיכָלָא כָּל נְבִיאִים לְמַלְּלָא עִם מַטְרוֹנִיתָא, אִיהִי לָא מַלִּילַת עִמְּהוֹן עַד דְּאִתְדַּמְּיָא עָלַיְהוּ קוּדְשָׁא בְּרִיךְ הוּא </w:t>
      </w:r>
      <w:r w:rsidRPr="00007309">
        <w:rPr>
          <w:rFonts w:cs="Arial"/>
          <w:b/>
          <w:bCs/>
          <w:sz w:val="36"/>
          <w:szCs w:val="28"/>
          <w:vertAlign w:val="superscript"/>
          <w:rtl/>
        </w:rPr>
        <w:footnoteReference w:id="7889"/>
      </w:r>
      <w:r w:rsidRPr="00007309">
        <w:rPr>
          <w:rFonts w:cs="Arial"/>
          <w:b/>
          <w:bCs/>
          <w:sz w:val="24"/>
          <w:szCs w:val="24"/>
          <w:rtl/>
        </w:rPr>
        <w:t xml:space="preserve">בְּחֵיוָן דִּילֵהּ. </w:t>
      </w:r>
      <w:r w:rsidRPr="00007309">
        <w:rPr>
          <w:rFonts w:cs="Arial"/>
          <w:b/>
          <w:bCs/>
          <w:sz w:val="36"/>
          <w:szCs w:val="28"/>
          <w:vertAlign w:val="superscript"/>
          <w:rtl/>
        </w:rPr>
        <w:footnoteReference w:id="7890"/>
      </w:r>
      <w:r w:rsidRPr="00007309">
        <w:rPr>
          <w:rFonts w:cs="Arial"/>
          <w:b/>
          <w:bCs/>
          <w:sz w:val="24"/>
          <w:szCs w:val="24"/>
          <w:rtl/>
        </w:rPr>
        <w:t>מִנְּהוֹן עַאלִין בִּדְי</w:t>
      </w:r>
      <w:r w:rsidRPr="00007309">
        <w:rPr>
          <w:rFonts w:cs="Arial" w:hint="cs"/>
          <w:b/>
          <w:bCs/>
          <w:sz w:val="24"/>
          <w:szCs w:val="24"/>
          <w:rtl/>
        </w:rPr>
        <w:t>ו</w:t>
      </w:r>
      <w:r w:rsidRPr="00007309">
        <w:rPr>
          <w:rFonts w:cs="Arial"/>
          <w:b/>
          <w:bCs/>
          <w:sz w:val="24"/>
          <w:szCs w:val="24"/>
          <w:rtl/>
        </w:rPr>
        <w:t>ּקְנָא דְּשׁוֹר, וּמִנְּהוֹן בִּדְי</w:t>
      </w:r>
      <w:r w:rsidRPr="00007309">
        <w:rPr>
          <w:rFonts w:cs="Arial" w:hint="cs"/>
          <w:b/>
          <w:bCs/>
          <w:sz w:val="24"/>
          <w:szCs w:val="24"/>
          <w:rtl/>
        </w:rPr>
        <w:t>ו</w:t>
      </w:r>
      <w:r w:rsidRPr="00007309">
        <w:rPr>
          <w:rFonts w:cs="Arial"/>
          <w:b/>
          <w:bCs/>
          <w:sz w:val="24"/>
          <w:szCs w:val="24"/>
          <w:rtl/>
        </w:rPr>
        <w:t>ּקְנָא דְּנֶשֶׁר, וּמִנְּהוֹן בִּדְי</w:t>
      </w:r>
      <w:r w:rsidRPr="00007309">
        <w:rPr>
          <w:rFonts w:cs="Arial" w:hint="cs"/>
          <w:b/>
          <w:bCs/>
          <w:sz w:val="24"/>
          <w:szCs w:val="24"/>
          <w:rtl/>
        </w:rPr>
        <w:t>ו</w:t>
      </w:r>
      <w:r w:rsidRPr="00007309">
        <w:rPr>
          <w:rFonts w:cs="Arial"/>
          <w:b/>
          <w:bCs/>
          <w:sz w:val="24"/>
          <w:szCs w:val="24"/>
          <w:rtl/>
        </w:rPr>
        <w:t>ּקְנָא דְּאַרְיֵה, וּמִנְּהוֹן בִּדְי</w:t>
      </w:r>
      <w:r w:rsidRPr="00007309">
        <w:rPr>
          <w:rFonts w:cs="Arial" w:hint="cs"/>
          <w:b/>
          <w:bCs/>
          <w:sz w:val="24"/>
          <w:szCs w:val="24"/>
          <w:rtl/>
        </w:rPr>
        <w:t>ו</w:t>
      </w:r>
      <w:r w:rsidRPr="00007309">
        <w:rPr>
          <w:rFonts w:cs="Arial"/>
          <w:b/>
          <w:bCs/>
          <w:sz w:val="24"/>
          <w:szCs w:val="24"/>
          <w:rtl/>
        </w:rPr>
        <w:t xml:space="preserve">ּקְנָא דְּאָדָם. </w:t>
      </w:r>
      <w:r w:rsidRPr="00007309">
        <w:rPr>
          <w:rFonts w:cs="Arial"/>
          <w:b/>
          <w:bCs/>
          <w:sz w:val="36"/>
          <w:szCs w:val="28"/>
          <w:vertAlign w:val="superscript"/>
          <w:rtl/>
        </w:rPr>
        <w:footnoteReference w:id="7891"/>
      </w:r>
      <w:r w:rsidRPr="00007309">
        <w:rPr>
          <w:rFonts w:cs="Arial"/>
          <w:b/>
          <w:bCs/>
          <w:sz w:val="24"/>
          <w:szCs w:val="24"/>
          <w:rtl/>
        </w:rPr>
        <w:t xml:space="preserve">וְאִית מָאן דְּעָאל בְּכָל אִנּוּן דִּיּוֹקְנִין. </w:t>
      </w:r>
      <w:r w:rsidRPr="00007309">
        <w:rPr>
          <w:rFonts w:cs="Arial"/>
          <w:b/>
          <w:bCs/>
          <w:sz w:val="36"/>
          <w:szCs w:val="28"/>
          <w:vertAlign w:val="superscript"/>
          <w:rtl/>
        </w:rPr>
        <w:footnoteReference w:id="7892"/>
      </w:r>
      <w:r w:rsidRPr="00007309">
        <w:rPr>
          <w:rFonts w:cs="Arial"/>
          <w:b/>
          <w:bCs/>
          <w:sz w:val="24"/>
          <w:szCs w:val="24"/>
          <w:rtl/>
        </w:rPr>
        <w:t>וְאִם יְהוָֹ'ה עָלֵה</w:t>
      </w:r>
      <w:r w:rsidRPr="00007309">
        <w:rPr>
          <w:rFonts w:cs="Arial" w:hint="cs"/>
          <w:b/>
          <w:bCs/>
          <w:sz w:val="24"/>
          <w:szCs w:val="24"/>
          <w:rtl/>
        </w:rPr>
        <w:t>,</w:t>
      </w:r>
      <w:r w:rsidRPr="00007309">
        <w:rPr>
          <w:rFonts w:cs="Arial"/>
          <w:b/>
          <w:bCs/>
          <w:sz w:val="24"/>
          <w:szCs w:val="24"/>
          <w:rtl/>
        </w:rPr>
        <w:t xml:space="preserve"> אדנ'י שְׂפָתַי תִּפְתָּח בְּוַדַּאי</w:t>
      </w:r>
      <w:r w:rsidRPr="00007309">
        <w:rPr>
          <w:rFonts w:cs="Arial" w:hint="cs"/>
          <w:b/>
          <w:bCs/>
          <w:sz w:val="24"/>
          <w:szCs w:val="24"/>
          <w:rtl/>
        </w:rPr>
        <w:t>,</w:t>
      </w:r>
      <w:r w:rsidRPr="00007309">
        <w:rPr>
          <w:rFonts w:cs="Arial"/>
          <w:b/>
          <w:bCs/>
          <w:sz w:val="24"/>
          <w:szCs w:val="24"/>
          <w:rtl/>
        </w:rPr>
        <w:t xml:space="preserve"> הֵיכָלָא מִתְפַּתְּחָא לְגַבֵּהּ. </w:t>
      </w:r>
      <w:r w:rsidRPr="00007309">
        <w:rPr>
          <w:rFonts w:cs="Arial"/>
          <w:b/>
          <w:bCs/>
          <w:sz w:val="36"/>
          <w:szCs w:val="28"/>
          <w:vertAlign w:val="superscript"/>
          <w:rtl/>
        </w:rPr>
        <w:footnoteReference w:id="7893"/>
      </w:r>
      <w:r w:rsidRPr="00007309">
        <w:rPr>
          <w:rFonts w:cs="Arial"/>
          <w:b/>
          <w:bCs/>
          <w:sz w:val="24"/>
          <w:szCs w:val="24"/>
          <w:rtl/>
        </w:rPr>
        <w:t>וְאִם שֵׁם יְהוָֹ'ה לָאו תַּמָּן בְּכָל אִנּוּן דִּיּוֹקְנִין</w:t>
      </w:r>
      <w:r w:rsidRPr="00007309">
        <w:rPr>
          <w:rFonts w:cs="Arial" w:hint="cs"/>
          <w:b/>
          <w:bCs/>
          <w:sz w:val="24"/>
          <w:szCs w:val="24"/>
          <w:rtl/>
        </w:rPr>
        <w:t>,</w:t>
      </w:r>
      <w:r w:rsidRPr="00007309">
        <w:rPr>
          <w:rFonts w:cs="Arial"/>
          <w:b/>
          <w:bCs/>
          <w:sz w:val="24"/>
          <w:szCs w:val="24"/>
          <w:rtl/>
        </w:rPr>
        <w:t xml:space="preserve"> מַטְרוֹנִיתָא אִיהִי כְּבוֹדָהּ בַּת מֶלֶךְ פְּנִימָה</w:t>
      </w:r>
      <w:r w:rsidRPr="00007309">
        <w:rPr>
          <w:rFonts w:cs="Arial" w:hint="cs"/>
          <w:b/>
          <w:bCs/>
          <w:sz w:val="24"/>
          <w:szCs w:val="24"/>
          <w:rtl/>
        </w:rPr>
        <w:t>,</w:t>
      </w:r>
      <w:r w:rsidRPr="00007309">
        <w:rPr>
          <w:rFonts w:cs="Arial"/>
          <w:b/>
          <w:bCs/>
          <w:sz w:val="24"/>
          <w:szCs w:val="24"/>
          <w:rtl/>
        </w:rPr>
        <w:t xml:space="preserve"> וְאִיהִי סְתִימָא בְּהֵיכָלָ</w:t>
      </w:r>
      <w:r w:rsidRPr="00007309">
        <w:rPr>
          <w:rFonts w:cs="Arial" w:hint="cs"/>
          <w:b/>
          <w:bCs/>
          <w:sz w:val="24"/>
          <w:szCs w:val="24"/>
          <w:rtl/>
        </w:rPr>
        <w:t>ה,</w:t>
      </w:r>
      <w:r w:rsidRPr="00007309">
        <w:rPr>
          <w:rFonts w:cs="Arial"/>
          <w:b/>
          <w:bCs/>
          <w:sz w:val="24"/>
          <w:szCs w:val="24"/>
          <w:rtl/>
        </w:rPr>
        <w:t xml:space="preserve"> וּמַלִּילַת עִמְּהוֹן עַל יְדֵי שְׁלִיחָן כְּפוּם דִּיּוֹקְנֵיהוֹן וּמַזָּלֵיהוֹן. וּמֹשֶׁה הֲוָה שְׁלִים בד</w:t>
      </w:r>
      <w:r w:rsidRPr="00007309">
        <w:rPr>
          <w:rFonts w:cs="Arial" w:hint="cs"/>
          <w:b/>
          <w:bCs/>
          <w:sz w:val="24"/>
          <w:szCs w:val="24"/>
          <w:rtl/>
        </w:rPr>
        <w:t>'</w:t>
      </w:r>
      <w:r w:rsidRPr="00007309">
        <w:rPr>
          <w:rFonts w:cs="Arial"/>
          <w:b/>
          <w:bCs/>
          <w:sz w:val="24"/>
          <w:szCs w:val="24"/>
          <w:rtl/>
        </w:rPr>
        <w:t xml:space="preserve"> חֵיוָן, וְשֵׁם יְהוָֹ'ה עָלֵה כְּגַוְנָא דָּא</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894"/>
      </w:r>
      <w:r w:rsidRPr="00007309">
        <w:rPr>
          <w:rFonts w:cs="Arial"/>
          <w:b/>
          <w:bCs/>
          <w:sz w:val="24"/>
          <w:szCs w:val="24"/>
          <w:rtl/>
        </w:rPr>
        <w:t>ש</w:t>
      </w:r>
      <w:r w:rsidRPr="00007309">
        <w:rPr>
          <w:rFonts w:cs="Arial" w:hint="cs"/>
          <w:b/>
          <w:bCs/>
          <w:sz w:val="24"/>
          <w:szCs w:val="24"/>
          <w:rtl/>
        </w:rPr>
        <w:t xml:space="preserve"> </w:t>
      </w:r>
      <w:r w:rsidRPr="00007309">
        <w:rPr>
          <w:rFonts w:cs="Arial"/>
          <w:b/>
          <w:bCs/>
          <w:sz w:val="24"/>
          <w:szCs w:val="24"/>
          <w:rtl/>
        </w:rPr>
        <w:t>מן משה</w:t>
      </w:r>
      <w:r w:rsidRPr="00007309">
        <w:rPr>
          <w:rFonts w:cs="Arial" w:hint="cs"/>
          <w:b/>
          <w:bCs/>
          <w:sz w:val="24"/>
          <w:szCs w:val="24"/>
          <w:rtl/>
        </w:rPr>
        <w:t>,</w:t>
      </w:r>
      <w:r w:rsidRPr="00007309">
        <w:rPr>
          <w:rFonts w:cs="Arial"/>
          <w:b/>
          <w:bCs/>
          <w:sz w:val="24"/>
          <w:szCs w:val="24"/>
          <w:rtl/>
        </w:rPr>
        <w:t xml:space="preserve"> תְּלָת חֵיוָן</w:t>
      </w:r>
      <w:r w:rsidRPr="00007309">
        <w:rPr>
          <w:rFonts w:cs="Arial" w:hint="cs"/>
          <w:b/>
          <w:bCs/>
          <w:sz w:val="24"/>
          <w:szCs w:val="24"/>
          <w:rtl/>
        </w:rPr>
        <w:t>,</w:t>
      </w:r>
      <w:r w:rsidRPr="00007309">
        <w:rPr>
          <w:rFonts w:cs="Arial"/>
          <w:b/>
          <w:bCs/>
          <w:sz w:val="24"/>
          <w:szCs w:val="24"/>
          <w:rtl/>
        </w:rPr>
        <w:t xml:space="preserve"> אַרְיֵה שׁוֹר נֶשֶׁר</w:t>
      </w:r>
      <w:r w:rsidRPr="00007309">
        <w:rPr>
          <w:rFonts w:cs="Arial" w:hint="cs"/>
          <w:b/>
          <w:bCs/>
          <w:sz w:val="24"/>
          <w:szCs w:val="24"/>
          <w:rtl/>
        </w:rPr>
        <w:t>,</w:t>
      </w:r>
      <w:r w:rsidRPr="00007309">
        <w:rPr>
          <w:rFonts w:cs="Arial"/>
          <w:b/>
          <w:bCs/>
          <w:sz w:val="24"/>
          <w:szCs w:val="24"/>
          <w:rtl/>
        </w:rPr>
        <w:t xml:space="preserve"> מָה</w:t>
      </w:r>
      <w:r w:rsidRPr="00007309">
        <w:rPr>
          <w:rFonts w:cs="Arial" w:hint="cs"/>
          <w:b/>
          <w:bCs/>
          <w:sz w:val="24"/>
          <w:szCs w:val="24"/>
          <w:rtl/>
        </w:rPr>
        <w:t>,</w:t>
      </w:r>
      <w:r w:rsidRPr="00007309">
        <w:rPr>
          <w:rFonts w:cs="Arial"/>
          <w:b/>
          <w:bCs/>
          <w:sz w:val="24"/>
          <w:szCs w:val="24"/>
          <w:rtl/>
        </w:rPr>
        <w:t xml:space="preserve"> וּדְמוּת פְּנֵיהֶם פְּנֵי אָדָם</w:t>
      </w:r>
      <w:r w:rsidRPr="00007309">
        <w:rPr>
          <w:rFonts w:cs="Arial" w:hint="cs"/>
          <w:b/>
          <w:bCs/>
          <w:sz w:val="24"/>
          <w:szCs w:val="24"/>
          <w:rtl/>
        </w:rPr>
        <w:t>.</w:t>
      </w:r>
      <w:r w:rsidRPr="00007309">
        <w:rPr>
          <w:rFonts w:cs="Arial"/>
          <w:b/>
          <w:bCs/>
          <w:sz w:val="24"/>
          <w:szCs w:val="24"/>
          <w:rtl/>
        </w:rPr>
        <w:t xml:space="preserve"> שֵׁם יְהוָֹ'ה עָלֵה מְנָא לָן</w:t>
      </w:r>
      <w:r w:rsidRPr="00007309">
        <w:rPr>
          <w:rFonts w:cs="Arial" w:hint="cs"/>
          <w:b/>
          <w:bCs/>
          <w:sz w:val="24"/>
          <w:szCs w:val="24"/>
          <w:rtl/>
        </w:rPr>
        <w:t>,</w:t>
      </w:r>
      <w:r w:rsidRPr="00007309">
        <w:rPr>
          <w:rFonts w:cs="Arial"/>
          <w:b/>
          <w:bCs/>
          <w:sz w:val="24"/>
          <w:szCs w:val="24"/>
          <w:rtl/>
        </w:rPr>
        <w:t xml:space="preserve"> הָדָא הוּא דִּכְתִיב (שמות ג) </w:t>
      </w:r>
      <w:r w:rsidRPr="00007309">
        <w:rPr>
          <w:rFonts w:cs="Arial"/>
          <w:b/>
          <w:bCs/>
          <w:sz w:val="36"/>
          <w:szCs w:val="28"/>
          <w:vertAlign w:val="superscript"/>
          <w:rtl/>
        </w:rPr>
        <w:footnoteReference w:id="7895"/>
      </w:r>
      <w:r w:rsidRPr="00007309">
        <w:rPr>
          <w:rFonts w:cs="Arial"/>
          <w:b/>
          <w:bCs/>
          <w:sz w:val="24"/>
          <w:szCs w:val="24"/>
          <w:rtl/>
        </w:rPr>
        <w:t>וְאָמְרוּ לִ"י מַ"ה שְּׁמ"וֹ מָ"ה אֹמַר אֲלֵיהֶם. וּבְגִין דְּאִיהוּ שְׁלִים בְּכֹלָּא</w:t>
      </w:r>
      <w:r w:rsidRPr="00007309">
        <w:rPr>
          <w:rFonts w:cs="Arial" w:hint="cs"/>
          <w:b/>
          <w:bCs/>
          <w:sz w:val="24"/>
          <w:szCs w:val="24"/>
          <w:rtl/>
        </w:rPr>
        <w:t>,</w:t>
      </w:r>
      <w:r w:rsidRPr="00007309">
        <w:rPr>
          <w:rFonts w:cs="Arial"/>
          <w:b/>
          <w:bCs/>
          <w:sz w:val="24"/>
          <w:szCs w:val="24"/>
          <w:rtl/>
        </w:rPr>
        <w:t xml:space="preserve"> הֵיכָלָא אִתְפַּתְּחָא לְגַבֵּהּ. הָדָא הוּא דִּכְתִיב אֲדֹנָי שְׂפָתַי תִּפְתָּח. וְאִתְּמַר בֵּהּ (במדבר יב) </w:t>
      </w:r>
      <w:r w:rsidRPr="00007309">
        <w:rPr>
          <w:rFonts w:cs="Arial"/>
          <w:b/>
          <w:bCs/>
          <w:sz w:val="36"/>
          <w:szCs w:val="28"/>
          <w:vertAlign w:val="superscript"/>
          <w:rtl/>
        </w:rPr>
        <w:footnoteReference w:id="7896"/>
      </w:r>
      <w:r w:rsidRPr="00007309">
        <w:rPr>
          <w:rFonts w:cs="Arial"/>
          <w:b/>
          <w:bCs/>
          <w:sz w:val="24"/>
          <w:szCs w:val="24"/>
          <w:rtl/>
        </w:rPr>
        <w:t>פֶּה אֶל פֶּה אֲדַבֵּר בּוֹ וְגוֹ'</w:t>
      </w:r>
      <w:r w:rsidRPr="00007309">
        <w:rPr>
          <w:rFonts w:cs="Arial" w:hint="cs"/>
          <w:b/>
          <w:bCs/>
          <w:sz w:val="24"/>
          <w:szCs w:val="24"/>
          <w:rtl/>
        </w:rPr>
        <w:t>,</w:t>
      </w:r>
      <w:r w:rsidRPr="00007309">
        <w:rPr>
          <w:rFonts w:cs="Arial"/>
          <w:b/>
          <w:bCs/>
          <w:sz w:val="24"/>
          <w:szCs w:val="24"/>
          <w:rtl/>
        </w:rPr>
        <w:t xml:space="preserve"> וּתְמוּנַת ה' יַבִּיט</w:t>
      </w:r>
      <w:r w:rsidRPr="00007309">
        <w:rPr>
          <w:rFonts w:cs="Arial" w:hint="cs"/>
          <w:b/>
          <w:bCs/>
          <w:sz w:val="24"/>
          <w:szCs w:val="24"/>
          <w:rtl/>
        </w:rPr>
        <w:t>,</w:t>
      </w:r>
      <w:r w:rsidRPr="00007309">
        <w:rPr>
          <w:rFonts w:cs="Arial"/>
          <w:b/>
          <w:bCs/>
          <w:sz w:val="24"/>
          <w:szCs w:val="24"/>
          <w:rtl/>
        </w:rPr>
        <w:t xml:space="preserve"> דְּאִיהוּ מַטְרוֹנִיתָא. מַה דְּלָאו הָכֵי שְׁאָר נְבִיאֵי</w:t>
      </w:r>
      <w:r w:rsidRPr="00007309">
        <w:rPr>
          <w:rFonts w:cs="Arial" w:hint="cs"/>
          <w:b/>
          <w:bCs/>
          <w:sz w:val="24"/>
          <w:szCs w:val="24"/>
          <w:rtl/>
        </w:rPr>
        <w:t>,</w:t>
      </w:r>
      <w:r w:rsidRPr="00007309">
        <w:rPr>
          <w:rFonts w:cs="Arial"/>
          <w:b/>
          <w:bCs/>
          <w:sz w:val="24"/>
          <w:szCs w:val="24"/>
          <w:rtl/>
        </w:rPr>
        <w:t xml:space="preserve"> דְּלָאו אִנּוּן שְׁלֵמִין כַּוָּתֵהּ. וּמִיָּד הָא אִלֵּין נָפְקִין הָא אָחֳרָנִין דָּפְקִין לְפִתְחָא</w:t>
      </w:r>
      <w:r w:rsidRPr="00007309">
        <w:rPr>
          <w:rFonts w:cs="Arial" w:hint="cs"/>
          <w:b/>
          <w:bCs/>
          <w:sz w:val="24"/>
          <w:szCs w:val="24"/>
          <w:rtl/>
        </w:rPr>
        <w:t>.</w:t>
      </w:r>
      <w:r w:rsidRPr="00007309">
        <w:rPr>
          <w:rFonts w:cs="Arial"/>
          <w:b/>
          <w:bCs/>
          <w:sz w:val="24"/>
          <w:szCs w:val="24"/>
          <w:rtl/>
        </w:rPr>
        <w:t xml:space="preserve"> וְאִנּוּן מָארֵי דְּאַנְפִּין</w:t>
      </w:r>
      <w:r w:rsidRPr="00007309">
        <w:rPr>
          <w:rFonts w:cs="Arial" w:hint="cs"/>
          <w:b/>
          <w:bCs/>
          <w:sz w:val="24"/>
          <w:szCs w:val="24"/>
          <w:rtl/>
        </w:rPr>
        <w:t>,</w:t>
      </w:r>
      <w:r w:rsidRPr="00007309">
        <w:rPr>
          <w:rFonts w:cs="Arial"/>
          <w:b/>
          <w:bCs/>
          <w:sz w:val="24"/>
          <w:szCs w:val="24"/>
          <w:rtl/>
        </w:rPr>
        <w:t xml:space="preserve"> דְּיָדְעִין בע' אַנְפִּין לְאוֹרַיְתָא. וְאִם עָאלִין בִּדְחִילוּ וּרְחִימוּ אִתְפְּתַח לוֹן תַּרְעָא וְעַאלִין</w:t>
      </w:r>
      <w:r w:rsidRPr="00007309">
        <w:rPr>
          <w:rFonts w:cs="Arial" w:hint="cs"/>
          <w:b/>
          <w:bCs/>
          <w:sz w:val="24"/>
          <w:szCs w:val="24"/>
          <w:rtl/>
        </w:rPr>
        <w:t>,</w:t>
      </w:r>
      <w:r w:rsidRPr="00007309">
        <w:rPr>
          <w:rFonts w:cs="Arial"/>
          <w:b/>
          <w:bCs/>
          <w:sz w:val="24"/>
          <w:szCs w:val="24"/>
          <w:rtl/>
        </w:rPr>
        <w:t xml:space="preserve"> וְלָא יָכְלִין לְאִסְתַּכְּלָא </w:t>
      </w:r>
      <w:r w:rsidRPr="00007309">
        <w:rPr>
          <w:rFonts w:cs="Arial"/>
          <w:b/>
          <w:bCs/>
          <w:sz w:val="36"/>
          <w:szCs w:val="28"/>
          <w:vertAlign w:val="superscript"/>
          <w:rtl/>
        </w:rPr>
        <w:footnoteReference w:id="7897"/>
      </w:r>
      <w:r w:rsidRPr="00007309">
        <w:rPr>
          <w:rFonts w:cs="Arial"/>
          <w:b/>
          <w:bCs/>
          <w:sz w:val="24"/>
          <w:szCs w:val="24"/>
          <w:rtl/>
        </w:rPr>
        <w:t xml:space="preserve">בְּאַנְפָּאָה דְּמַטְרוֹנִיתָא מֵעֲנָוָה דִּילְהוֹן. </w:t>
      </w:r>
      <w:r w:rsidRPr="00007309">
        <w:rPr>
          <w:rFonts w:cs="Arial"/>
          <w:b/>
          <w:bCs/>
          <w:sz w:val="36"/>
          <w:szCs w:val="28"/>
          <w:vertAlign w:val="superscript"/>
          <w:rtl/>
        </w:rPr>
        <w:footnoteReference w:id="7898"/>
      </w:r>
      <w:r w:rsidRPr="00007309">
        <w:rPr>
          <w:rFonts w:cs="Arial"/>
          <w:b/>
          <w:bCs/>
          <w:sz w:val="24"/>
          <w:szCs w:val="24"/>
          <w:rtl/>
        </w:rPr>
        <w:t>וְנָפְלִין עַל אַפַּיְהוּ בִּנְפִילַת אַפַּיִם. הָדָא הוּא דִּכְתִיב (יחזקאל ג) וָאֶפֹּל עַל פָּנַי. יָהֲבִין לוֹן שאלתיהו וְנַפְקוּן. הָא אָחֳרָנִין קָא אַתְיָן</w:t>
      </w:r>
      <w:r w:rsidRPr="00007309">
        <w:rPr>
          <w:rFonts w:cs="Arial" w:hint="cs"/>
          <w:b/>
          <w:bCs/>
          <w:sz w:val="24"/>
          <w:szCs w:val="24"/>
          <w:rtl/>
        </w:rPr>
        <w:t>,</w:t>
      </w:r>
      <w:r w:rsidRPr="00007309">
        <w:rPr>
          <w:rFonts w:cs="Arial"/>
          <w:b/>
          <w:bCs/>
          <w:sz w:val="24"/>
          <w:szCs w:val="24"/>
          <w:rtl/>
        </w:rPr>
        <w:t xml:space="preserve"> כְּגוֹן יְחֶזְקֵאל אוֹ כְּוָּתֵהּ, וְאִנּוּן מָארֵי דְּעֵינִין</w:t>
      </w:r>
      <w:r w:rsidRPr="00007309">
        <w:rPr>
          <w:rFonts w:cs="Arial" w:hint="cs"/>
          <w:b/>
          <w:bCs/>
          <w:sz w:val="24"/>
          <w:szCs w:val="24"/>
          <w:rtl/>
        </w:rPr>
        <w:t>,</w:t>
      </w:r>
      <w:r w:rsidRPr="00007309">
        <w:rPr>
          <w:rFonts w:cs="Arial"/>
          <w:b/>
          <w:bCs/>
          <w:sz w:val="24"/>
          <w:szCs w:val="24"/>
          <w:rtl/>
        </w:rPr>
        <w:t xml:space="preserve"> דְּאִתְּמַר בְּהוּ </w:t>
      </w:r>
      <w:r w:rsidRPr="00007309">
        <w:rPr>
          <w:rFonts w:cs="Arial" w:hint="cs"/>
          <w:b/>
          <w:bCs/>
          <w:sz w:val="24"/>
          <w:szCs w:val="24"/>
          <w:rtl/>
        </w:rPr>
        <w:t xml:space="preserve">(יחזקאל א יח) </w:t>
      </w:r>
      <w:r w:rsidRPr="00007309">
        <w:rPr>
          <w:rFonts w:cs="Arial"/>
          <w:b/>
          <w:bCs/>
          <w:sz w:val="24"/>
          <w:szCs w:val="24"/>
          <w:rtl/>
        </w:rPr>
        <w:t xml:space="preserve">וְגַבּוֹתָם מְלֵאוֹת עֵינַיִם, </w:t>
      </w:r>
      <w:r w:rsidRPr="00007309">
        <w:rPr>
          <w:rFonts w:cs="Arial"/>
          <w:b/>
          <w:bCs/>
          <w:sz w:val="36"/>
          <w:szCs w:val="28"/>
          <w:vertAlign w:val="superscript"/>
          <w:rtl/>
        </w:rPr>
        <w:footnoteReference w:id="7899"/>
      </w:r>
      <w:r w:rsidRPr="00007309">
        <w:rPr>
          <w:rFonts w:cs="Arial"/>
          <w:b/>
          <w:bCs/>
          <w:sz w:val="24"/>
          <w:szCs w:val="24"/>
          <w:rtl/>
        </w:rPr>
        <w:t>דְּאִנּוּן לְאַתְוָן</w:t>
      </w:r>
      <w:r w:rsidRPr="00007309">
        <w:rPr>
          <w:rFonts w:cs="Arial" w:hint="cs"/>
          <w:b/>
          <w:bCs/>
          <w:sz w:val="24"/>
          <w:szCs w:val="24"/>
          <w:rtl/>
        </w:rPr>
        <w:t>,</w:t>
      </w:r>
      <w:r w:rsidRPr="00007309">
        <w:rPr>
          <w:rFonts w:cs="Arial"/>
          <w:b/>
          <w:bCs/>
          <w:sz w:val="24"/>
          <w:szCs w:val="24"/>
          <w:rtl/>
        </w:rPr>
        <w:t xml:space="preserve"> וְאַתְוָן מִנֵּהּ </w:t>
      </w:r>
      <w:r w:rsidRPr="00007309">
        <w:rPr>
          <w:rFonts w:cs="Arial"/>
          <w:b/>
          <w:bCs/>
          <w:sz w:val="36"/>
          <w:szCs w:val="28"/>
          <w:vertAlign w:val="superscript"/>
          <w:rtl/>
        </w:rPr>
        <w:footnoteReference w:id="7900"/>
      </w:r>
      <w:r w:rsidRPr="00007309">
        <w:rPr>
          <w:rFonts w:cs="Arial"/>
          <w:b/>
          <w:bCs/>
          <w:sz w:val="24"/>
          <w:szCs w:val="24"/>
          <w:rtl/>
        </w:rPr>
        <w:t>אִנּוּן מְלֵאוֹת עֵינַיִם</w:t>
      </w:r>
      <w:r w:rsidRPr="00007309">
        <w:rPr>
          <w:rFonts w:cs="Arial" w:hint="cs"/>
          <w:b/>
          <w:bCs/>
          <w:sz w:val="24"/>
          <w:szCs w:val="24"/>
          <w:rtl/>
        </w:rPr>
        <w:t>,</w:t>
      </w:r>
      <w:r w:rsidRPr="00007309">
        <w:rPr>
          <w:rFonts w:cs="Arial"/>
          <w:b/>
          <w:bCs/>
          <w:sz w:val="24"/>
          <w:szCs w:val="24"/>
          <w:rtl/>
        </w:rPr>
        <w:t xml:space="preserve"> מַלְיָן מִכַּמָּה פִּקּוּדִין, </w:t>
      </w:r>
      <w:r w:rsidRPr="00007309">
        <w:rPr>
          <w:rFonts w:cs="Arial"/>
          <w:b/>
          <w:bCs/>
          <w:sz w:val="36"/>
          <w:szCs w:val="28"/>
          <w:vertAlign w:val="superscript"/>
          <w:rtl/>
        </w:rPr>
        <w:footnoteReference w:id="7901"/>
      </w:r>
      <w:r w:rsidRPr="00007309">
        <w:rPr>
          <w:rFonts w:cs="Arial"/>
          <w:b/>
          <w:bCs/>
          <w:sz w:val="24"/>
          <w:szCs w:val="24"/>
          <w:rtl/>
        </w:rPr>
        <w:t>דְּאִנּוּן כָּל פִּקּוּדָא נֵר מִצְוָה</w:t>
      </w:r>
      <w:r w:rsidRPr="00007309">
        <w:rPr>
          <w:rFonts w:cs="Arial" w:hint="cs"/>
          <w:b/>
          <w:bCs/>
          <w:sz w:val="24"/>
          <w:szCs w:val="24"/>
          <w:rtl/>
        </w:rPr>
        <w:t>,</w:t>
      </w:r>
      <w:r w:rsidRPr="00007309">
        <w:rPr>
          <w:rFonts w:cs="Arial"/>
          <w:b/>
          <w:bCs/>
          <w:sz w:val="24"/>
          <w:szCs w:val="24"/>
          <w:rtl/>
        </w:rPr>
        <w:t xml:space="preserve"> דְּאִתְּמַר בֵּהּ </w:t>
      </w:r>
      <w:r w:rsidRPr="00007309">
        <w:rPr>
          <w:rFonts w:cs="Arial" w:hint="cs"/>
          <w:b/>
          <w:bCs/>
          <w:sz w:val="24"/>
          <w:szCs w:val="24"/>
          <w:rtl/>
        </w:rPr>
        <w:t xml:space="preserve">(תהלים יט ט) </w:t>
      </w:r>
      <w:r w:rsidRPr="00007309">
        <w:rPr>
          <w:rFonts w:cs="Arial"/>
          <w:b/>
          <w:bCs/>
          <w:sz w:val="24"/>
          <w:szCs w:val="24"/>
          <w:rtl/>
        </w:rPr>
        <w:t xml:space="preserve">מִצְוַת ה' בָּרָה </w:t>
      </w:r>
      <w:r w:rsidRPr="00007309">
        <w:rPr>
          <w:rFonts w:cs="Arial"/>
          <w:b/>
          <w:bCs/>
          <w:sz w:val="36"/>
          <w:szCs w:val="28"/>
          <w:vertAlign w:val="superscript"/>
          <w:rtl/>
        </w:rPr>
        <w:footnoteReference w:id="7902"/>
      </w:r>
      <w:r w:rsidRPr="00007309">
        <w:rPr>
          <w:rFonts w:cs="Arial"/>
          <w:b/>
          <w:bCs/>
          <w:sz w:val="24"/>
          <w:szCs w:val="24"/>
          <w:rtl/>
        </w:rPr>
        <w:t>מְאִירַת עֵינַיִם</w:t>
      </w:r>
      <w:r w:rsidRPr="00007309">
        <w:rPr>
          <w:rFonts w:cs="Arial" w:hint="cs"/>
          <w:b/>
          <w:bCs/>
          <w:sz w:val="24"/>
          <w:szCs w:val="24"/>
          <w:rtl/>
        </w:rPr>
        <w:t>,</w:t>
      </w:r>
      <w:r w:rsidRPr="00007309">
        <w:rPr>
          <w:rFonts w:cs="Arial"/>
          <w:b/>
          <w:bCs/>
          <w:sz w:val="24"/>
          <w:szCs w:val="24"/>
          <w:rtl/>
        </w:rPr>
        <w:t xml:space="preserve"> וְדָפְקִין לְתַרְעָא</w:t>
      </w:r>
      <w:r w:rsidRPr="00007309">
        <w:rPr>
          <w:rFonts w:cs="Arial" w:hint="cs"/>
          <w:b/>
          <w:bCs/>
          <w:sz w:val="24"/>
          <w:szCs w:val="24"/>
          <w:rtl/>
        </w:rPr>
        <w:t>.</w:t>
      </w:r>
      <w:r w:rsidRPr="00007309">
        <w:rPr>
          <w:rFonts w:cs="Arial"/>
          <w:b/>
          <w:bCs/>
          <w:sz w:val="24"/>
          <w:szCs w:val="24"/>
          <w:rtl/>
        </w:rPr>
        <w:t xml:space="preserve"> אִי אִנּוּן כְּדָּאִין</w:t>
      </w:r>
      <w:r w:rsidRPr="00007309">
        <w:rPr>
          <w:rFonts w:cs="Arial" w:hint="cs"/>
          <w:b/>
          <w:bCs/>
          <w:sz w:val="24"/>
          <w:szCs w:val="24"/>
          <w:rtl/>
        </w:rPr>
        <w:t>,</w:t>
      </w:r>
      <w:r w:rsidRPr="00007309">
        <w:rPr>
          <w:rFonts w:cs="Arial"/>
          <w:b/>
          <w:bCs/>
          <w:sz w:val="24"/>
          <w:szCs w:val="24"/>
          <w:rtl/>
        </w:rPr>
        <w:t xml:space="preserve"> מַטְרוֹנִיתָא </w:t>
      </w:r>
      <w:r w:rsidRPr="00007309">
        <w:rPr>
          <w:rFonts w:cs="Arial"/>
          <w:b/>
          <w:bCs/>
          <w:sz w:val="36"/>
          <w:szCs w:val="28"/>
          <w:vertAlign w:val="superscript"/>
          <w:rtl/>
        </w:rPr>
        <w:footnoteReference w:id="7903"/>
      </w:r>
      <w:r w:rsidRPr="00007309">
        <w:rPr>
          <w:rFonts w:cs="Arial"/>
          <w:b/>
          <w:bCs/>
          <w:sz w:val="24"/>
          <w:szCs w:val="24"/>
          <w:rtl/>
        </w:rPr>
        <w:t>מַשְׁגִּיחַ מִן הַחַלּוֹנוֹת מֵצִיץ מִן הַחֲרַכִּים דְּהֵיכָלָא לְגַבַּיְהוּ</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904"/>
      </w:r>
      <w:r w:rsidRPr="00007309">
        <w:rPr>
          <w:rFonts w:cs="Arial"/>
          <w:b/>
          <w:bCs/>
          <w:sz w:val="24"/>
          <w:szCs w:val="24"/>
          <w:rtl/>
        </w:rPr>
        <w:t>אֲבָל לָא דְּיֵעֲלוּן לְהֵיכָלָא</w:t>
      </w:r>
      <w:r w:rsidRPr="00007309">
        <w:rPr>
          <w:rFonts w:cs="Arial" w:hint="cs"/>
          <w:b/>
          <w:bCs/>
          <w:sz w:val="24"/>
          <w:szCs w:val="24"/>
          <w:rtl/>
        </w:rPr>
        <w:t>,</w:t>
      </w:r>
      <w:r w:rsidRPr="00007309">
        <w:rPr>
          <w:rFonts w:cs="Arial"/>
          <w:b/>
          <w:bCs/>
          <w:sz w:val="24"/>
          <w:szCs w:val="24"/>
          <w:rtl/>
        </w:rPr>
        <w:t xml:space="preserve"> וְאִתְּמַר בְּהוֹן</w:t>
      </w:r>
      <w:r w:rsidRPr="00007309">
        <w:rPr>
          <w:rFonts w:cs="Arial" w:hint="cs"/>
          <w:b/>
          <w:bCs/>
          <w:sz w:val="24"/>
          <w:szCs w:val="24"/>
          <w:rtl/>
        </w:rPr>
        <w:t>,</w:t>
      </w:r>
      <w:r w:rsidRPr="00007309">
        <w:rPr>
          <w:rFonts w:cs="Arial"/>
          <w:b/>
          <w:bCs/>
          <w:sz w:val="24"/>
          <w:szCs w:val="24"/>
          <w:rtl/>
        </w:rPr>
        <w:t xml:space="preserve"> וָאֵרֶא</w:t>
      </w:r>
      <w:r w:rsidRPr="00007309">
        <w:rPr>
          <w:rFonts w:cs="Arial" w:hint="cs"/>
          <w:b/>
          <w:bCs/>
          <w:sz w:val="24"/>
          <w:szCs w:val="24"/>
          <w:rtl/>
        </w:rPr>
        <w:t>,</w:t>
      </w:r>
      <w:r w:rsidRPr="00007309">
        <w:rPr>
          <w:rFonts w:cs="Arial"/>
          <w:b/>
          <w:bCs/>
          <w:sz w:val="24"/>
          <w:szCs w:val="24"/>
          <w:rtl/>
        </w:rPr>
        <w:t xml:space="preserve"> כְּגוֹן יְחֶזְקֵאל דְּאָמַר וָאֵרֶא</w:t>
      </w:r>
      <w:r w:rsidRPr="00007309">
        <w:rPr>
          <w:rFonts w:cs="Arial" w:hint="cs"/>
          <w:b/>
          <w:bCs/>
          <w:sz w:val="24"/>
          <w:szCs w:val="24"/>
          <w:rtl/>
        </w:rPr>
        <w:t>,</w:t>
      </w:r>
      <w:r w:rsidRPr="00007309">
        <w:rPr>
          <w:rFonts w:cs="Arial"/>
          <w:b/>
          <w:bCs/>
          <w:sz w:val="24"/>
          <w:szCs w:val="24"/>
          <w:rtl/>
        </w:rPr>
        <w:t xml:space="preserve"> וּכְגוֹן יְשַׁעְיָהוּ דְּאָמַר וָאֶרְאֶה אֶת ה'</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905"/>
      </w:r>
      <w:r w:rsidRPr="00007309">
        <w:rPr>
          <w:rFonts w:cs="Arial"/>
          <w:b/>
          <w:bCs/>
          <w:sz w:val="24"/>
          <w:szCs w:val="24"/>
          <w:rtl/>
        </w:rPr>
        <w:t>דְּוַדַּאי לֹא אָמַר וָאֶרְאֶה ה'</w:t>
      </w:r>
      <w:r w:rsidRPr="00007309">
        <w:rPr>
          <w:rFonts w:cs="Arial" w:hint="cs"/>
          <w:b/>
          <w:bCs/>
          <w:sz w:val="24"/>
          <w:szCs w:val="24"/>
          <w:rtl/>
        </w:rPr>
        <w:t>,</w:t>
      </w:r>
      <w:r w:rsidRPr="00007309">
        <w:rPr>
          <w:rFonts w:cs="Arial"/>
          <w:b/>
          <w:bCs/>
          <w:sz w:val="24"/>
          <w:szCs w:val="24"/>
          <w:rtl/>
        </w:rPr>
        <w:t xml:space="preserve"> אֶלָּא אֶת ה'</w:t>
      </w:r>
      <w:r w:rsidRPr="00007309">
        <w:rPr>
          <w:rFonts w:cs="Arial" w:hint="cs"/>
          <w:b/>
          <w:bCs/>
          <w:sz w:val="24"/>
          <w:szCs w:val="24"/>
          <w:rtl/>
        </w:rPr>
        <w:t>,</w:t>
      </w:r>
      <w:r w:rsidRPr="00007309">
        <w:rPr>
          <w:rFonts w:cs="Arial"/>
          <w:b/>
          <w:bCs/>
          <w:sz w:val="24"/>
          <w:szCs w:val="24"/>
          <w:rtl/>
        </w:rPr>
        <w:t xml:space="preserve"> וְדָא שְׁכִינְתָּא </w:t>
      </w:r>
      <w:r w:rsidRPr="00007309">
        <w:rPr>
          <w:rFonts w:cs="Arial"/>
          <w:b/>
          <w:bCs/>
          <w:sz w:val="36"/>
          <w:szCs w:val="28"/>
          <w:vertAlign w:val="superscript"/>
          <w:rtl/>
        </w:rPr>
        <w:footnoteReference w:id="7906"/>
      </w:r>
      <w:r w:rsidRPr="00007309">
        <w:rPr>
          <w:rFonts w:cs="Arial"/>
          <w:b/>
          <w:bCs/>
          <w:sz w:val="24"/>
          <w:szCs w:val="24"/>
          <w:rtl/>
        </w:rPr>
        <w:t>דְּאִיהוּ מַרְאֶה דְּקוּדְשָׁא בְּרִיךְ הוּא</w:t>
      </w:r>
      <w:r w:rsidRPr="00007309">
        <w:rPr>
          <w:rFonts w:cs="Arial" w:hint="cs"/>
          <w:b/>
          <w:bCs/>
          <w:sz w:val="24"/>
          <w:szCs w:val="24"/>
          <w:rtl/>
        </w:rPr>
        <w:t>,</w:t>
      </w:r>
      <w:r w:rsidRPr="00007309">
        <w:rPr>
          <w:rFonts w:cs="Arial"/>
          <w:b/>
          <w:bCs/>
          <w:sz w:val="24"/>
          <w:szCs w:val="24"/>
          <w:rtl/>
        </w:rPr>
        <w:t xml:space="preserve"> דְּבָהּ אִתְחֲזֵי לַנְּבִיאִים.</w:t>
      </w:r>
    </w:p>
    <w:p w:rsidR="00007309" w:rsidRPr="00007309" w:rsidRDefault="00007309" w:rsidP="00007309">
      <w:pPr>
        <w:keepNext/>
        <w:outlineLvl w:val="1"/>
        <w:rPr>
          <w:rFonts w:ascii="Cambria" w:hAnsi="Cambria" w:cs="Times New Roman"/>
          <w:b/>
          <w:bCs/>
          <w:i/>
          <w:iCs/>
          <w:sz w:val="28"/>
          <w:szCs w:val="28"/>
          <w:rtl/>
        </w:rPr>
      </w:pPr>
      <w:r w:rsidRPr="00007309">
        <w:rPr>
          <w:rFonts w:ascii="Cambria" w:hAnsi="Cambria" w:cs="Times New Roman"/>
          <w:b/>
          <w:bCs/>
          <w:i/>
          <w:iCs/>
          <w:sz w:val="28"/>
          <w:szCs w:val="28"/>
          <w:rtl/>
        </w:rPr>
        <w:t>[</w:t>
      </w:r>
      <w:r w:rsidRPr="00007309">
        <w:rPr>
          <w:rFonts w:ascii="Cambria" w:hAnsi="Cambria" w:cs="Times New Roman" w:hint="cs"/>
          <w:b/>
          <w:bCs/>
          <w:i/>
          <w:iCs/>
          <w:sz w:val="28"/>
          <w:szCs w:val="28"/>
          <w:rtl/>
        </w:rPr>
        <w:t>דף</w:t>
      </w:r>
      <w:r w:rsidRPr="00007309">
        <w:rPr>
          <w:rFonts w:ascii="Cambria" w:hAnsi="Cambria" w:cs="Times New Roman"/>
          <w:b/>
          <w:bCs/>
          <w:i/>
          <w:iCs/>
          <w:sz w:val="28"/>
          <w:szCs w:val="28"/>
          <w:rtl/>
        </w:rPr>
        <w:t xml:space="preserve"> </w:t>
      </w:r>
      <w:r w:rsidRPr="00007309">
        <w:rPr>
          <w:rFonts w:ascii="Cambria" w:hAnsi="Cambria" w:cs="Times New Roman" w:hint="cs"/>
          <w:b/>
          <w:bCs/>
          <w:i/>
          <w:iCs/>
          <w:sz w:val="28"/>
          <w:szCs w:val="28"/>
          <w:rtl/>
        </w:rPr>
        <w:t>פד</w:t>
      </w:r>
      <w:r w:rsidRPr="00007309">
        <w:rPr>
          <w:rFonts w:ascii="Cambria" w:hAnsi="Cambria" w:cs="Times New Roman"/>
          <w:b/>
          <w:bCs/>
          <w:i/>
          <w:iCs/>
          <w:sz w:val="28"/>
          <w:szCs w:val="28"/>
          <w:rtl/>
        </w:rPr>
        <w:t xml:space="preserve"> ע"</w:t>
      </w:r>
      <w:r w:rsidRPr="00007309">
        <w:rPr>
          <w:rFonts w:ascii="Cambria" w:hAnsi="Cambria" w:cs="Times New Roman" w:hint="cs"/>
          <w:b/>
          <w:bCs/>
          <w:i/>
          <w:iCs/>
          <w:sz w:val="28"/>
          <w:szCs w:val="28"/>
          <w:rtl/>
        </w:rPr>
        <w:t>א</w:t>
      </w:r>
      <w:r w:rsidRPr="00007309">
        <w:rPr>
          <w:rFonts w:ascii="Cambria" w:hAnsi="Cambria" w:cs="Times New Roman"/>
          <w:b/>
          <w:bCs/>
          <w:i/>
          <w:iCs/>
          <w:sz w:val="28"/>
          <w:szCs w:val="28"/>
          <w:rtl/>
        </w:rPr>
        <w:t>]</w:t>
      </w:r>
    </w:p>
    <w:p w:rsidR="00007309" w:rsidRPr="00007309" w:rsidRDefault="00007309" w:rsidP="00007309">
      <w:pPr>
        <w:keepNext/>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 xml:space="preserve"> [וילנא לה ע"ב]</w:t>
      </w:r>
    </w:p>
    <w:p w:rsidR="00007309" w:rsidRPr="00007309" w:rsidRDefault="00007309" w:rsidP="00007309">
      <w:pPr>
        <w:jc w:val="both"/>
        <w:rPr>
          <w:rFonts w:cs="Arial"/>
          <w:b/>
          <w:bCs/>
          <w:sz w:val="24"/>
          <w:szCs w:val="24"/>
        </w:rPr>
      </w:pPr>
      <w:r w:rsidRPr="00007309">
        <w:rPr>
          <w:rFonts w:cs="Arial"/>
          <w:b/>
          <w:bCs/>
          <w:sz w:val="24"/>
          <w:szCs w:val="24"/>
          <w:rtl/>
        </w:rPr>
        <w:t xml:space="preserve">הָא אִלֵּין נָפְקִין וְאָחֳרָנִין קָא אַתְיָן </w:t>
      </w:r>
      <w:r w:rsidRPr="00007309">
        <w:rPr>
          <w:rFonts w:ascii="Cambria" w:hAnsi="Cambria" w:cs="Times New Roman" w:hint="cs"/>
          <w:b/>
          <w:bCs/>
          <w:i/>
          <w:iCs/>
          <w:color w:val="4F81BD"/>
          <w:sz w:val="24"/>
          <w:szCs w:val="24"/>
          <w:rtl/>
        </w:rPr>
        <w:t>(פד ע"א)</w:t>
      </w:r>
      <w:r w:rsidRPr="00007309">
        <w:rPr>
          <w:rFonts w:cs="Arial" w:hint="cs"/>
          <w:b/>
          <w:bCs/>
          <w:sz w:val="24"/>
          <w:szCs w:val="24"/>
          <w:rtl/>
        </w:rPr>
        <w:t xml:space="preserve"> </w:t>
      </w:r>
      <w:r w:rsidRPr="00007309">
        <w:rPr>
          <w:rFonts w:cs="Arial"/>
          <w:b/>
          <w:bCs/>
          <w:sz w:val="24"/>
          <w:szCs w:val="24"/>
          <w:rtl/>
        </w:rPr>
        <w:t xml:space="preserve">וְדַפְקִין לְפִתְחָא, וְאִנּוּן </w:t>
      </w:r>
      <w:r w:rsidRPr="00007309">
        <w:rPr>
          <w:rFonts w:cs="Arial"/>
          <w:b/>
          <w:bCs/>
          <w:sz w:val="36"/>
          <w:szCs w:val="28"/>
          <w:vertAlign w:val="superscript"/>
          <w:rtl/>
        </w:rPr>
        <w:footnoteReference w:id="7907"/>
      </w:r>
      <w:r w:rsidRPr="00007309">
        <w:rPr>
          <w:rFonts w:cs="Arial"/>
          <w:b/>
          <w:bCs/>
          <w:sz w:val="24"/>
          <w:szCs w:val="24"/>
          <w:rtl/>
        </w:rPr>
        <w:t xml:space="preserve">מָארֵי דְּאוּדְנִין דִּבְהוֹן שְׁמִיעָה, </w:t>
      </w:r>
      <w:r w:rsidRPr="00007309">
        <w:rPr>
          <w:rFonts w:cs="Arial"/>
          <w:b/>
          <w:bCs/>
          <w:sz w:val="36"/>
          <w:szCs w:val="28"/>
          <w:vertAlign w:val="superscript"/>
          <w:rtl/>
        </w:rPr>
        <w:footnoteReference w:id="7908"/>
      </w:r>
      <w:r w:rsidRPr="00007309">
        <w:rPr>
          <w:rFonts w:cs="Arial"/>
          <w:b/>
          <w:bCs/>
          <w:sz w:val="24"/>
          <w:szCs w:val="24"/>
          <w:rtl/>
        </w:rPr>
        <w:t xml:space="preserve">וְאִנּוּן זְרִיזִין דַּהֲווֹ מַקְדִּימִין </w:t>
      </w:r>
      <w:r w:rsidRPr="00007309">
        <w:rPr>
          <w:rFonts w:cs="Arial"/>
          <w:b/>
          <w:bCs/>
          <w:sz w:val="36"/>
          <w:szCs w:val="28"/>
          <w:vertAlign w:val="superscript"/>
          <w:rtl/>
        </w:rPr>
        <w:footnoteReference w:id="7909"/>
      </w:r>
      <w:r w:rsidRPr="00007309">
        <w:rPr>
          <w:rFonts w:cs="Arial"/>
          <w:b/>
          <w:bCs/>
          <w:sz w:val="24"/>
          <w:szCs w:val="24"/>
          <w:rtl/>
        </w:rPr>
        <w:t xml:space="preserve">לְמִצְוֹת, </w:t>
      </w:r>
      <w:r w:rsidRPr="00007309">
        <w:rPr>
          <w:rFonts w:cs="Arial"/>
          <w:b/>
          <w:bCs/>
          <w:sz w:val="36"/>
          <w:szCs w:val="28"/>
          <w:vertAlign w:val="superscript"/>
          <w:rtl/>
        </w:rPr>
        <w:footnoteReference w:id="7910"/>
      </w:r>
      <w:r w:rsidRPr="00007309">
        <w:rPr>
          <w:rFonts w:cs="Arial"/>
          <w:b/>
          <w:bCs/>
          <w:sz w:val="24"/>
          <w:szCs w:val="24"/>
          <w:rtl/>
        </w:rPr>
        <w:t xml:space="preserve">וְהָא </w:t>
      </w:r>
      <w:r w:rsidRPr="00007309">
        <w:rPr>
          <w:rFonts w:ascii="Cambria" w:hAnsi="Cambria" w:cs="Times New Roman" w:hint="cs"/>
          <w:b/>
          <w:bCs/>
          <w:i/>
          <w:iCs/>
          <w:color w:val="4F81BD"/>
          <w:sz w:val="24"/>
          <w:szCs w:val="24"/>
          <w:rtl/>
        </w:rPr>
        <w:t>(וילנא לה ע"ב)</w:t>
      </w:r>
      <w:r w:rsidRPr="00007309">
        <w:rPr>
          <w:rFonts w:cs="Arial" w:hint="cs"/>
          <w:b/>
          <w:bCs/>
          <w:sz w:val="24"/>
          <w:szCs w:val="24"/>
          <w:rtl/>
        </w:rPr>
        <w:t xml:space="preserve"> </w:t>
      </w:r>
      <w:r w:rsidRPr="00007309">
        <w:rPr>
          <w:rFonts w:cs="Arial"/>
          <w:b/>
          <w:bCs/>
          <w:sz w:val="24"/>
          <w:szCs w:val="24"/>
          <w:rtl/>
        </w:rPr>
        <w:t xml:space="preserve">קָרָאן קְרִיאַת שְׁמַע </w:t>
      </w:r>
      <w:r w:rsidRPr="00007309">
        <w:rPr>
          <w:rFonts w:cs="Arial"/>
          <w:b/>
          <w:bCs/>
          <w:sz w:val="36"/>
          <w:szCs w:val="28"/>
          <w:vertAlign w:val="superscript"/>
          <w:rtl/>
        </w:rPr>
        <w:footnoteReference w:id="7911"/>
      </w:r>
      <w:r w:rsidRPr="00007309">
        <w:rPr>
          <w:rFonts w:cs="Arial"/>
          <w:b/>
          <w:bCs/>
          <w:sz w:val="24"/>
          <w:szCs w:val="24"/>
          <w:rtl/>
        </w:rPr>
        <w:t>עִם דִּמְדּוּמֵי חַמָּה, וְאִנּוּן מָארֵי דִּשְׁמִיעָה</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912"/>
      </w:r>
      <w:r w:rsidRPr="00007309">
        <w:rPr>
          <w:rFonts w:cs="Arial"/>
          <w:b/>
          <w:bCs/>
          <w:sz w:val="24"/>
          <w:szCs w:val="24"/>
          <w:rtl/>
        </w:rPr>
        <w:t>הֲוָת נָפְקָא מַטְרוֹנִיתָא לְקַדְמוּתַיְהוּ, וַהֲוַת אוֹקִירַת לוֹן</w:t>
      </w:r>
      <w:r w:rsidRPr="00007309">
        <w:rPr>
          <w:rFonts w:cs="Arial" w:hint="cs"/>
          <w:b/>
          <w:bCs/>
          <w:sz w:val="24"/>
          <w:szCs w:val="24"/>
          <w:rtl/>
        </w:rPr>
        <w:t>,</w:t>
      </w:r>
      <w:r w:rsidRPr="00007309">
        <w:rPr>
          <w:rFonts w:cs="Arial"/>
          <w:b/>
          <w:bCs/>
          <w:sz w:val="24"/>
          <w:szCs w:val="24"/>
          <w:rtl/>
        </w:rPr>
        <w:t xml:space="preserve"> בְּגִין דַּהֲווֹ מַחֲדִין לָהּ עִם קֻדְשָׁא בְּרִיךְ הוּא </w:t>
      </w:r>
      <w:r w:rsidRPr="00007309">
        <w:rPr>
          <w:rFonts w:cs="Arial"/>
          <w:b/>
          <w:bCs/>
          <w:sz w:val="36"/>
          <w:szCs w:val="28"/>
          <w:vertAlign w:val="superscript"/>
          <w:rtl/>
        </w:rPr>
        <w:footnoteReference w:id="7913"/>
      </w:r>
      <w:r w:rsidRPr="00007309">
        <w:rPr>
          <w:rFonts w:cs="Arial"/>
          <w:b/>
          <w:bCs/>
          <w:sz w:val="24"/>
          <w:szCs w:val="24"/>
          <w:rtl/>
        </w:rPr>
        <w:t>דְּאִיהוּ יִשְׂרָאֵל</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914"/>
      </w:r>
      <w:r w:rsidRPr="00007309">
        <w:rPr>
          <w:rFonts w:cs="Arial"/>
          <w:b/>
          <w:bCs/>
          <w:sz w:val="24"/>
          <w:szCs w:val="24"/>
          <w:rtl/>
        </w:rPr>
        <w:t>וְעָלַיְהוּ אִתְּמַר (חבקוק ג) יְהוָֹ'ה שָׁמַעְתִּי שִׁמְעֲךָ יָרֵאתִי</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915"/>
      </w:r>
      <w:r w:rsidRPr="00007309">
        <w:rPr>
          <w:rFonts w:cs="Arial"/>
          <w:b/>
          <w:bCs/>
          <w:sz w:val="24"/>
          <w:szCs w:val="24"/>
          <w:rtl/>
        </w:rPr>
        <w:t>דְּכָל נְבִיאִים</w:t>
      </w:r>
      <w:r w:rsidRPr="00007309">
        <w:rPr>
          <w:rFonts w:cs="Arial" w:hint="cs"/>
          <w:b/>
          <w:bCs/>
          <w:sz w:val="24"/>
          <w:szCs w:val="24"/>
          <w:rtl/>
        </w:rPr>
        <w:t>,</w:t>
      </w:r>
      <w:r w:rsidRPr="00007309">
        <w:rPr>
          <w:rFonts w:cs="Arial"/>
          <w:b/>
          <w:bCs/>
          <w:sz w:val="24"/>
          <w:szCs w:val="24"/>
          <w:rtl/>
        </w:rPr>
        <w:t xml:space="preserve"> כֻּלְּהוֹן הֲוָה לוֹן אֲתַר יְדִיעַ וְזִמְנָא יְדִיעַ</w:t>
      </w:r>
      <w:r w:rsidRPr="00007309">
        <w:rPr>
          <w:rFonts w:cs="Arial" w:hint="cs"/>
          <w:b/>
          <w:bCs/>
          <w:sz w:val="24"/>
          <w:szCs w:val="24"/>
          <w:rtl/>
        </w:rPr>
        <w:t>,</w:t>
      </w:r>
      <w:r w:rsidRPr="00007309">
        <w:rPr>
          <w:rFonts w:cs="Arial"/>
          <w:b/>
          <w:bCs/>
          <w:sz w:val="24"/>
          <w:szCs w:val="24"/>
          <w:rtl/>
        </w:rPr>
        <w:t xml:space="preserve"> אֲבָל מֹשֶׁה לֹא הֲוָה לֵ</w:t>
      </w:r>
      <w:r w:rsidRPr="00007309">
        <w:rPr>
          <w:rFonts w:cs="Arial" w:hint="cs"/>
          <w:b/>
          <w:bCs/>
          <w:sz w:val="24"/>
          <w:szCs w:val="24"/>
          <w:rtl/>
        </w:rPr>
        <w:t>ה</w:t>
      </w:r>
      <w:r w:rsidRPr="00007309">
        <w:rPr>
          <w:rFonts w:cs="Arial"/>
          <w:b/>
          <w:bCs/>
          <w:sz w:val="24"/>
          <w:szCs w:val="24"/>
          <w:rtl/>
        </w:rPr>
        <w:t xml:space="preserve"> אֲתַר יְדִיעַ וְלֹא זִמְנָא יְדִיעַ</w:t>
      </w:r>
      <w:r w:rsidRPr="00007309">
        <w:rPr>
          <w:rFonts w:cs="Arial" w:hint="cs"/>
          <w:b/>
          <w:bCs/>
          <w:sz w:val="24"/>
          <w:szCs w:val="24"/>
          <w:rtl/>
        </w:rPr>
        <w:t>,</w:t>
      </w:r>
      <w:r w:rsidRPr="00007309">
        <w:rPr>
          <w:rFonts w:cs="Arial"/>
          <w:b/>
          <w:bCs/>
          <w:sz w:val="24"/>
          <w:szCs w:val="24"/>
          <w:rtl/>
        </w:rPr>
        <w:t xml:space="preserve"> אֶלָּא בְּכָל אֲתַר הֲוָה מִסְתַּכַּל, וְלָא הֲוָת מַטְרוֹנִיתָא מִתְכַּסְּיָא מִנֵּהּ בְּכָל תִּקּוּנָא</w:t>
      </w:r>
      <w:r w:rsidRPr="00007309">
        <w:rPr>
          <w:rFonts w:cs="Arial" w:hint="cs"/>
          <w:b/>
          <w:bCs/>
          <w:sz w:val="24"/>
          <w:szCs w:val="24"/>
          <w:rtl/>
        </w:rPr>
        <w:t>:</w:t>
      </w:r>
    </w:p>
    <w:p w:rsidR="00007309" w:rsidRPr="00007309" w:rsidRDefault="00007309" w:rsidP="00007309">
      <w:pPr>
        <w:jc w:val="center"/>
        <w:rPr>
          <w:rFonts w:cs="Arial"/>
          <w:sz w:val="24"/>
          <w:szCs w:val="24"/>
          <w:rtl/>
        </w:rPr>
      </w:pPr>
      <w:r w:rsidRPr="00007309">
        <w:rPr>
          <w:rFonts w:cs="Arial" w:hint="cs"/>
          <w:sz w:val="24"/>
          <w:szCs w:val="24"/>
          <w:rtl/>
        </w:rPr>
        <w:t>(</w:t>
      </w:r>
      <w:r w:rsidRPr="00007309">
        <w:rPr>
          <w:rFonts w:cs="Arial"/>
          <w:sz w:val="24"/>
          <w:szCs w:val="24"/>
          <w:rtl/>
        </w:rPr>
        <w:t>אַחַר זֶה שַׁיָּךְ לְפִי גִּרְסַת הַסְּפָרִים תִּקּוּנָא עֶשְׂרִים וַחֲמִשָּׁה הַכָּתוּב בַּדְּפוּס הָרִאשׁוֹן</w:t>
      </w:r>
      <w:r w:rsidRPr="00007309">
        <w:rPr>
          <w:rFonts w:cs="Arial" w:hint="cs"/>
          <w:sz w:val="24"/>
          <w:szCs w:val="24"/>
          <w:rtl/>
        </w:rPr>
        <w:t>):</w:t>
      </w:r>
    </w:p>
    <w:p w:rsidR="00007309" w:rsidRPr="00007309" w:rsidRDefault="00007309" w:rsidP="00007309">
      <w:pPr>
        <w:jc w:val="center"/>
        <w:rPr>
          <w:rFonts w:cs="Arial"/>
          <w:sz w:val="36"/>
          <w:szCs w:val="28"/>
          <w:rtl/>
        </w:rPr>
      </w:pPr>
      <w:r w:rsidRPr="00007309">
        <w:rPr>
          <w:rFonts w:cs="Arial"/>
          <w:sz w:val="24"/>
          <w:szCs w:val="24"/>
          <w:rtl/>
        </w:rPr>
        <w:t>וְזֶה חָסֵר בַּתִּקּוּנִים בד</w:t>
      </w:r>
      <w:r w:rsidRPr="00007309">
        <w:rPr>
          <w:rFonts w:cs="Arial" w:hint="cs"/>
          <w:sz w:val="24"/>
          <w:szCs w:val="24"/>
          <w:rtl/>
        </w:rPr>
        <w:t xml:space="preserve">ף </w:t>
      </w:r>
      <w:r w:rsidRPr="00007309">
        <w:rPr>
          <w:rFonts w:cs="Arial"/>
          <w:sz w:val="24"/>
          <w:szCs w:val="24"/>
          <w:rtl/>
        </w:rPr>
        <w:t>מ"ד בְּרֵישׁ ע"ב כְּשֶׁאוֹמֵר ל"ב אֱלֹהִים בֵּהּ נָהִיר מִצְוָה דְּאִתְּמַר בָּהּ נֵר ה' נִשְׁמַת אָדָם</w:t>
      </w:r>
    </w:p>
    <w:p w:rsidR="00007309" w:rsidRPr="00007309" w:rsidRDefault="00007309" w:rsidP="00007309">
      <w:pPr>
        <w:jc w:val="center"/>
        <w:rPr>
          <w:rFonts w:cs="Arial"/>
          <w:sz w:val="36"/>
          <w:szCs w:val="28"/>
        </w:rPr>
      </w:pPr>
      <w:r w:rsidRPr="00007309">
        <w:rPr>
          <w:rFonts w:cs="Arial"/>
          <w:sz w:val="36"/>
          <w:szCs w:val="28"/>
          <w:vertAlign w:val="superscript"/>
          <w:rtl/>
        </w:rPr>
        <w:footnoteReference w:id="7916"/>
      </w:r>
      <w:r w:rsidRPr="00007309">
        <w:rPr>
          <w:rFonts w:cs="Arial"/>
          <w:b/>
          <w:bCs/>
          <w:sz w:val="24"/>
          <w:szCs w:val="24"/>
          <w:rtl/>
        </w:rPr>
        <w:t>וְאִלֵּין אִנּוּן עֶשֶׂר אֲמִירָן</w:t>
      </w:r>
    </w:p>
    <w:p w:rsidR="00007309" w:rsidRPr="00007309" w:rsidRDefault="00007309" w:rsidP="00007309">
      <w:pPr>
        <w:jc w:val="both"/>
        <w:rPr>
          <w:rFonts w:cs="Arial"/>
          <w:b/>
          <w:bCs/>
          <w:sz w:val="36"/>
          <w:szCs w:val="28"/>
          <w:rtl/>
        </w:rPr>
      </w:pPr>
      <w:r w:rsidRPr="00007309">
        <w:rPr>
          <w:rFonts w:cs="Arial"/>
          <w:b/>
          <w:bCs/>
          <w:sz w:val="36"/>
          <w:szCs w:val="28"/>
          <w:rtl/>
        </w:rPr>
        <w:t xml:space="preserve">א בְּרֵאשִית בָּרָא אֱלֹהִים אֵת </w:t>
      </w:r>
      <w:r w:rsidRPr="00007309">
        <w:rPr>
          <w:rFonts w:cs="Arial"/>
          <w:b/>
          <w:bCs/>
          <w:sz w:val="36"/>
          <w:szCs w:val="28"/>
          <w:rtl/>
        </w:rPr>
        <w:tab/>
      </w:r>
      <w:r w:rsidRPr="00007309">
        <w:rPr>
          <w:rFonts w:cs="Arial"/>
          <w:b/>
          <w:bCs/>
          <w:sz w:val="36"/>
          <w:szCs w:val="28"/>
          <w:rtl/>
        </w:rPr>
        <w:tab/>
      </w:r>
      <w:r w:rsidRPr="00007309">
        <w:rPr>
          <w:rFonts w:cs="Arial"/>
          <w:b/>
          <w:bCs/>
          <w:sz w:val="36"/>
          <w:szCs w:val="28"/>
          <w:rtl/>
        </w:rPr>
        <w:tab/>
      </w:r>
      <w:r w:rsidRPr="00007309">
        <w:rPr>
          <w:rFonts w:cs="Arial"/>
          <w:b/>
          <w:bCs/>
          <w:sz w:val="36"/>
          <w:szCs w:val="28"/>
          <w:rtl/>
        </w:rPr>
        <w:tab/>
        <w:t>יְהָוֱהֵ</w:t>
      </w:r>
    </w:p>
    <w:p w:rsidR="00007309" w:rsidRPr="00007309" w:rsidRDefault="00007309" w:rsidP="00007309">
      <w:pPr>
        <w:jc w:val="both"/>
        <w:rPr>
          <w:rFonts w:cs="Arial"/>
          <w:b/>
          <w:bCs/>
          <w:sz w:val="36"/>
          <w:szCs w:val="28"/>
          <w:rtl/>
        </w:rPr>
      </w:pPr>
      <w:r w:rsidRPr="00007309">
        <w:rPr>
          <w:rFonts w:cs="Arial"/>
          <w:b/>
          <w:bCs/>
          <w:sz w:val="36"/>
          <w:szCs w:val="28"/>
          <w:rtl/>
        </w:rPr>
        <w:t xml:space="preserve">ב וַיֹּאמֶר אֱלֹהִים יְהִי אוֹר </w:t>
      </w:r>
      <w:r w:rsidRPr="00007309">
        <w:rPr>
          <w:rFonts w:cs="Arial"/>
          <w:b/>
          <w:bCs/>
          <w:sz w:val="36"/>
          <w:szCs w:val="28"/>
          <w:rtl/>
        </w:rPr>
        <w:tab/>
      </w:r>
      <w:r w:rsidRPr="00007309">
        <w:rPr>
          <w:rFonts w:cs="Arial"/>
          <w:b/>
          <w:bCs/>
          <w:sz w:val="36"/>
          <w:szCs w:val="28"/>
          <w:rtl/>
        </w:rPr>
        <w:tab/>
      </w:r>
      <w:r w:rsidRPr="00007309">
        <w:rPr>
          <w:rFonts w:cs="Arial"/>
          <w:b/>
          <w:bCs/>
          <w:sz w:val="36"/>
          <w:szCs w:val="28"/>
          <w:rtl/>
        </w:rPr>
        <w:tab/>
      </w:r>
      <w:r w:rsidRPr="00007309">
        <w:rPr>
          <w:rFonts w:cs="Arial"/>
          <w:b/>
          <w:bCs/>
          <w:sz w:val="36"/>
          <w:szCs w:val="28"/>
          <w:rtl/>
        </w:rPr>
        <w:tab/>
      </w:r>
      <w:r w:rsidRPr="00007309">
        <w:rPr>
          <w:rFonts w:cs="Arial"/>
          <w:b/>
          <w:bCs/>
          <w:sz w:val="36"/>
          <w:szCs w:val="28"/>
          <w:rtl/>
        </w:rPr>
        <w:tab/>
        <w:t>יַהֱוְ</w:t>
      </w:r>
      <w:r w:rsidRPr="00007309">
        <w:rPr>
          <w:rFonts w:cs="Arial" w:hint="cs"/>
          <w:b/>
          <w:bCs/>
          <w:sz w:val="36"/>
          <w:szCs w:val="28"/>
          <w:rtl/>
        </w:rPr>
        <w:t>ה</w:t>
      </w:r>
      <w:r w:rsidRPr="00007309">
        <w:rPr>
          <w:rFonts w:cs="Arial"/>
          <w:b/>
          <w:bCs/>
          <w:sz w:val="36"/>
          <w:szCs w:val="28"/>
          <w:rtl/>
        </w:rPr>
        <w:t>ֹ</w:t>
      </w:r>
    </w:p>
    <w:p w:rsidR="00007309" w:rsidRPr="00007309" w:rsidRDefault="00007309" w:rsidP="00007309">
      <w:pPr>
        <w:jc w:val="both"/>
        <w:rPr>
          <w:rFonts w:cs="Arial"/>
          <w:b/>
          <w:bCs/>
          <w:sz w:val="36"/>
          <w:szCs w:val="28"/>
          <w:rtl/>
        </w:rPr>
      </w:pPr>
      <w:r w:rsidRPr="00007309">
        <w:rPr>
          <w:rFonts w:cs="Arial"/>
          <w:b/>
          <w:bCs/>
          <w:sz w:val="36"/>
          <w:szCs w:val="28"/>
          <w:rtl/>
        </w:rPr>
        <w:t xml:space="preserve">ג וַיֹּאמֶר אֱלֹהִים יְהִי רָקִיעַ </w:t>
      </w:r>
      <w:r w:rsidRPr="00007309">
        <w:rPr>
          <w:rFonts w:cs="Arial"/>
          <w:b/>
          <w:bCs/>
          <w:sz w:val="36"/>
          <w:szCs w:val="28"/>
          <w:rtl/>
        </w:rPr>
        <w:tab/>
      </w:r>
      <w:r w:rsidRPr="00007309">
        <w:rPr>
          <w:rFonts w:cs="Arial"/>
          <w:b/>
          <w:bCs/>
          <w:sz w:val="36"/>
          <w:szCs w:val="28"/>
          <w:rtl/>
        </w:rPr>
        <w:tab/>
      </w:r>
      <w:r w:rsidRPr="00007309">
        <w:rPr>
          <w:rFonts w:cs="Arial" w:hint="cs"/>
          <w:b/>
          <w:bCs/>
          <w:sz w:val="36"/>
          <w:szCs w:val="28"/>
          <w:rtl/>
        </w:rPr>
        <w:tab/>
      </w:r>
      <w:r w:rsidRPr="00007309">
        <w:rPr>
          <w:rFonts w:cs="Arial"/>
          <w:b/>
          <w:bCs/>
          <w:sz w:val="36"/>
          <w:szCs w:val="28"/>
          <w:rtl/>
        </w:rPr>
        <w:tab/>
      </w:r>
      <w:r w:rsidRPr="00007309">
        <w:rPr>
          <w:rFonts w:cs="Arial"/>
          <w:b/>
          <w:bCs/>
          <w:sz w:val="36"/>
          <w:szCs w:val="28"/>
          <w:rtl/>
        </w:rPr>
        <w:tab/>
        <w:t xml:space="preserve">יַהֱוְהָ </w:t>
      </w:r>
    </w:p>
    <w:p w:rsidR="00007309" w:rsidRPr="00007309" w:rsidRDefault="00007309" w:rsidP="00007309">
      <w:pPr>
        <w:jc w:val="both"/>
        <w:rPr>
          <w:rFonts w:cs="Arial"/>
          <w:b/>
          <w:bCs/>
          <w:sz w:val="36"/>
          <w:szCs w:val="28"/>
          <w:rtl/>
        </w:rPr>
      </w:pPr>
      <w:r w:rsidRPr="00007309">
        <w:rPr>
          <w:rFonts w:cs="Arial"/>
          <w:b/>
          <w:bCs/>
          <w:sz w:val="36"/>
          <w:szCs w:val="28"/>
          <w:rtl/>
        </w:rPr>
        <w:t xml:space="preserve">ד וַיֹּאמֶר אֱלֹהִים יִקָּווּ הַמַּיִם </w:t>
      </w:r>
      <w:r w:rsidRPr="00007309">
        <w:rPr>
          <w:rFonts w:cs="Arial"/>
          <w:b/>
          <w:bCs/>
          <w:sz w:val="36"/>
          <w:szCs w:val="28"/>
          <w:rtl/>
        </w:rPr>
        <w:tab/>
      </w:r>
      <w:r w:rsidRPr="00007309">
        <w:rPr>
          <w:rFonts w:cs="Arial"/>
          <w:b/>
          <w:bCs/>
          <w:sz w:val="36"/>
          <w:szCs w:val="28"/>
          <w:rtl/>
        </w:rPr>
        <w:tab/>
      </w:r>
      <w:r w:rsidRPr="00007309">
        <w:rPr>
          <w:rFonts w:cs="Arial"/>
          <w:b/>
          <w:bCs/>
          <w:sz w:val="36"/>
          <w:szCs w:val="28"/>
          <w:rtl/>
        </w:rPr>
        <w:tab/>
      </w:r>
      <w:r w:rsidRPr="00007309">
        <w:rPr>
          <w:rFonts w:cs="Arial"/>
          <w:b/>
          <w:bCs/>
          <w:sz w:val="36"/>
          <w:szCs w:val="28"/>
          <w:rtl/>
        </w:rPr>
        <w:tab/>
        <w:t xml:space="preserve">יַהֱוִהַ </w:t>
      </w:r>
    </w:p>
    <w:p w:rsidR="00007309" w:rsidRPr="00007309" w:rsidRDefault="00007309" w:rsidP="00007309">
      <w:pPr>
        <w:jc w:val="both"/>
        <w:rPr>
          <w:rFonts w:cs="Arial"/>
          <w:b/>
          <w:bCs/>
          <w:sz w:val="36"/>
          <w:szCs w:val="28"/>
          <w:rtl/>
        </w:rPr>
      </w:pPr>
      <w:r w:rsidRPr="00007309">
        <w:rPr>
          <w:rFonts w:cs="Arial"/>
          <w:b/>
          <w:bCs/>
          <w:sz w:val="36"/>
          <w:szCs w:val="28"/>
          <w:rtl/>
        </w:rPr>
        <w:t xml:space="preserve">ה וַיֹּאמֶר אֱלֹהִים תַּדְשֵׁא הָאָרֶץ </w:t>
      </w:r>
      <w:r w:rsidRPr="00007309">
        <w:rPr>
          <w:rFonts w:cs="Arial"/>
          <w:b/>
          <w:bCs/>
          <w:sz w:val="36"/>
          <w:szCs w:val="28"/>
          <w:rtl/>
        </w:rPr>
        <w:tab/>
      </w:r>
      <w:r w:rsidRPr="00007309">
        <w:rPr>
          <w:rFonts w:cs="Arial"/>
          <w:b/>
          <w:bCs/>
          <w:sz w:val="36"/>
          <w:szCs w:val="28"/>
          <w:rtl/>
        </w:rPr>
        <w:tab/>
      </w:r>
      <w:r w:rsidRPr="00007309">
        <w:rPr>
          <w:rFonts w:cs="Arial"/>
          <w:b/>
          <w:bCs/>
          <w:sz w:val="36"/>
          <w:szCs w:val="28"/>
          <w:rtl/>
        </w:rPr>
        <w:tab/>
      </w:r>
      <w:r w:rsidRPr="00007309">
        <w:rPr>
          <w:rFonts w:cs="Arial"/>
          <w:b/>
          <w:bCs/>
          <w:sz w:val="36"/>
          <w:szCs w:val="28"/>
          <w:rtl/>
        </w:rPr>
        <w:tab/>
        <w:t xml:space="preserve">יַהֱוַהָ </w:t>
      </w:r>
    </w:p>
    <w:p w:rsidR="00007309" w:rsidRPr="00007309" w:rsidRDefault="00007309" w:rsidP="00007309">
      <w:pPr>
        <w:jc w:val="both"/>
        <w:rPr>
          <w:rFonts w:cs="Arial"/>
          <w:b/>
          <w:bCs/>
          <w:sz w:val="36"/>
          <w:szCs w:val="28"/>
          <w:rtl/>
        </w:rPr>
      </w:pPr>
      <w:r w:rsidRPr="00007309">
        <w:rPr>
          <w:rFonts w:cs="Arial"/>
          <w:b/>
          <w:bCs/>
          <w:sz w:val="36"/>
          <w:szCs w:val="28"/>
          <w:rtl/>
        </w:rPr>
        <w:t xml:space="preserve">ו וַיֹּאמֶר אֱלֹהִים יְהִי מְאֹרֹת </w:t>
      </w:r>
      <w:r w:rsidRPr="00007309">
        <w:rPr>
          <w:rFonts w:cs="Arial"/>
          <w:b/>
          <w:bCs/>
          <w:sz w:val="36"/>
          <w:szCs w:val="28"/>
          <w:rtl/>
        </w:rPr>
        <w:tab/>
      </w:r>
      <w:r w:rsidRPr="00007309">
        <w:rPr>
          <w:rFonts w:cs="Arial"/>
          <w:b/>
          <w:bCs/>
          <w:sz w:val="36"/>
          <w:szCs w:val="28"/>
          <w:rtl/>
        </w:rPr>
        <w:tab/>
      </w:r>
      <w:r w:rsidRPr="00007309">
        <w:rPr>
          <w:rFonts w:cs="Arial"/>
          <w:b/>
          <w:bCs/>
          <w:sz w:val="36"/>
          <w:szCs w:val="28"/>
          <w:rtl/>
        </w:rPr>
        <w:tab/>
      </w:r>
      <w:r w:rsidRPr="00007309">
        <w:rPr>
          <w:rFonts w:cs="Arial"/>
          <w:b/>
          <w:bCs/>
          <w:sz w:val="36"/>
          <w:szCs w:val="28"/>
          <w:rtl/>
        </w:rPr>
        <w:tab/>
        <w:t xml:space="preserve">יַהֱוְהְ </w:t>
      </w:r>
    </w:p>
    <w:p w:rsidR="00007309" w:rsidRPr="00007309" w:rsidRDefault="00007309" w:rsidP="00007309">
      <w:pPr>
        <w:jc w:val="both"/>
        <w:rPr>
          <w:rFonts w:cs="Arial"/>
          <w:b/>
          <w:bCs/>
          <w:sz w:val="36"/>
          <w:szCs w:val="28"/>
          <w:rtl/>
        </w:rPr>
      </w:pPr>
      <w:r w:rsidRPr="00007309">
        <w:rPr>
          <w:rFonts w:cs="Arial"/>
          <w:b/>
          <w:bCs/>
          <w:sz w:val="36"/>
          <w:szCs w:val="28"/>
          <w:rtl/>
        </w:rPr>
        <w:t xml:space="preserve">ז וַיֹּאמֶר אֱלֹהִים יִשְׁרְצוּ הַמַּיִם </w:t>
      </w:r>
      <w:r w:rsidRPr="00007309">
        <w:rPr>
          <w:rFonts w:cs="Arial"/>
          <w:b/>
          <w:bCs/>
          <w:sz w:val="36"/>
          <w:szCs w:val="28"/>
          <w:rtl/>
        </w:rPr>
        <w:tab/>
      </w:r>
      <w:r w:rsidRPr="00007309">
        <w:rPr>
          <w:rFonts w:cs="Arial"/>
          <w:b/>
          <w:bCs/>
          <w:sz w:val="36"/>
          <w:szCs w:val="28"/>
          <w:rtl/>
        </w:rPr>
        <w:tab/>
      </w:r>
      <w:r w:rsidRPr="00007309">
        <w:rPr>
          <w:rFonts w:cs="Arial"/>
          <w:b/>
          <w:bCs/>
          <w:sz w:val="36"/>
          <w:szCs w:val="28"/>
          <w:rtl/>
        </w:rPr>
        <w:tab/>
      </w:r>
      <w:r w:rsidRPr="00007309">
        <w:rPr>
          <w:rFonts w:cs="Arial"/>
          <w:b/>
          <w:bCs/>
          <w:sz w:val="36"/>
          <w:szCs w:val="28"/>
          <w:rtl/>
        </w:rPr>
        <w:tab/>
        <w:t xml:space="preserve">יַהֱוִהַ </w:t>
      </w:r>
    </w:p>
    <w:p w:rsidR="00007309" w:rsidRPr="00007309" w:rsidRDefault="00007309" w:rsidP="00007309">
      <w:pPr>
        <w:jc w:val="both"/>
        <w:rPr>
          <w:rFonts w:cs="Arial"/>
          <w:b/>
          <w:bCs/>
          <w:sz w:val="36"/>
          <w:szCs w:val="28"/>
          <w:rtl/>
        </w:rPr>
      </w:pPr>
      <w:r w:rsidRPr="00007309">
        <w:rPr>
          <w:rFonts w:cs="Arial"/>
          <w:b/>
          <w:bCs/>
          <w:sz w:val="36"/>
          <w:szCs w:val="28"/>
          <w:rtl/>
        </w:rPr>
        <w:t xml:space="preserve">ח וַיֹּאמֶר אֱלֹהִים תּוֹצֵא הָאָרֶץ </w:t>
      </w:r>
      <w:r w:rsidRPr="00007309">
        <w:rPr>
          <w:rFonts w:cs="Arial"/>
          <w:b/>
          <w:bCs/>
          <w:sz w:val="36"/>
          <w:szCs w:val="28"/>
          <w:rtl/>
        </w:rPr>
        <w:tab/>
      </w:r>
      <w:r w:rsidRPr="00007309">
        <w:rPr>
          <w:rFonts w:cs="Arial"/>
          <w:b/>
          <w:bCs/>
          <w:sz w:val="36"/>
          <w:szCs w:val="28"/>
          <w:rtl/>
        </w:rPr>
        <w:tab/>
      </w:r>
      <w:r w:rsidRPr="00007309">
        <w:rPr>
          <w:rFonts w:cs="Arial"/>
          <w:b/>
          <w:bCs/>
          <w:sz w:val="36"/>
          <w:szCs w:val="28"/>
          <w:rtl/>
        </w:rPr>
        <w:tab/>
      </w:r>
      <w:r w:rsidRPr="00007309">
        <w:rPr>
          <w:rFonts w:cs="Arial"/>
          <w:b/>
          <w:bCs/>
          <w:sz w:val="36"/>
          <w:szCs w:val="28"/>
          <w:rtl/>
        </w:rPr>
        <w:tab/>
        <w:t xml:space="preserve">יַהֱוֹהָ </w:t>
      </w:r>
    </w:p>
    <w:p w:rsidR="00007309" w:rsidRPr="00007309" w:rsidRDefault="00007309" w:rsidP="00007309">
      <w:pPr>
        <w:jc w:val="both"/>
        <w:rPr>
          <w:rFonts w:cs="Arial"/>
          <w:b/>
          <w:bCs/>
          <w:sz w:val="36"/>
          <w:szCs w:val="28"/>
          <w:rtl/>
        </w:rPr>
      </w:pPr>
      <w:r w:rsidRPr="00007309">
        <w:rPr>
          <w:rFonts w:cs="Arial"/>
          <w:b/>
          <w:bCs/>
          <w:sz w:val="36"/>
          <w:szCs w:val="28"/>
          <w:rtl/>
        </w:rPr>
        <w:t xml:space="preserve">ט וַיֹּאמֶר אֱלֹהִים פְּרוּ וּרְבוּ </w:t>
      </w:r>
      <w:r w:rsidRPr="00007309">
        <w:rPr>
          <w:rFonts w:cs="Arial"/>
          <w:b/>
          <w:bCs/>
          <w:sz w:val="36"/>
          <w:szCs w:val="28"/>
          <w:rtl/>
        </w:rPr>
        <w:tab/>
      </w:r>
      <w:r w:rsidRPr="00007309">
        <w:rPr>
          <w:rFonts w:cs="Arial"/>
          <w:b/>
          <w:bCs/>
          <w:sz w:val="36"/>
          <w:szCs w:val="28"/>
          <w:rtl/>
        </w:rPr>
        <w:tab/>
      </w:r>
      <w:r w:rsidRPr="00007309">
        <w:rPr>
          <w:rFonts w:cs="Arial"/>
          <w:b/>
          <w:bCs/>
          <w:sz w:val="36"/>
          <w:szCs w:val="28"/>
          <w:rtl/>
        </w:rPr>
        <w:tab/>
      </w:r>
      <w:r w:rsidRPr="00007309">
        <w:rPr>
          <w:rFonts w:cs="Arial"/>
          <w:b/>
          <w:bCs/>
          <w:sz w:val="36"/>
          <w:szCs w:val="28"/>
          <w:rtl/>
        </w:rPr>
        <w:tab/>
        <w:t xml:space="preserve">יַהֱוְהּ </w:t>
      </w:r>
    </w:p>
    <w:p w:rsidR="00007309" w:rsidRPr="00007309" w:rsidRDefault="00007309" w:rsidP="00007309">
      <w:pPr>
        <w:jc w:val="both"/>
        <w:rPr>
          <w:rFonts w:cs="Arial"/>
          <w:b/>
          <w:bCs/>
          <w:sz w:val="36"/>
          <w:szCs w:val="28"/>
          <w:rtl/>
        </w:rPr>
      </w:pPr>
      <w:r w:rsidRPr="00007309">
        <w:rPr>
          <w:rFonts w:cs="Arial"/>
          <w:b/>
          <w:bCs/>
          <w:sz w:val="36"/>
          <w:szCs w:val="28"/>
          <w:rtl/>
        </w:rPr>
        <w:t xml:space="preserve">י וַיֹּאמֶר אֱלֹהִים הִנֵּה נָתַתִּי </w:t>
      </w:r>
      <w:r w:rsidRPr="00007309">
        <w:rPr>
          <w:rFonts w:cs="Arial"/>
          <w:b/>
          <w:bCs/>
          <w:sz w:val="36"/>
          <w:szCs w:val="28"/>
          <w:rtl/>
        </w:rPr>
        <w:tab/>
      </w:r>
      <w:r w:rsidRPr="00007309">
        <w:rPr>
          <w:rFonts w:cs="Arial"/>
          <w:b/>
          <w:bCs/>
          <w:sz w:val="36"/>
          <w:szCs w:val="28"/>
          <w:rtl/>
        </w:rPr>
        <w:tab/>
      </w:r>
      <w:r w:rsidRPr="00007309">
        <w:rPr>
          <w:rFonts w:cs="Arial"/>
          <w:b/>
          <w:bCs/>
          <w:sz w:val="36"/>
          <w:szCs w:val="28"/>
          <w:rtl/>
        </w:rPr>
        <w:tab/>
      </w:r>
      <w:r w:rsidRPr="00007309">
        <w:rPr>
          <w:rFonts w:cs="Arial"/>
          <w:b/>
          <w:bCs/>
          <w:sz w:val="36"/>
          <w:szCs w:val="28"/>
          <w:rtl/>
        </w:rPr>
        <w:tab/>
        <w:t xml:space="preserve">יַהֱוִהָ </w:t>
      </w:r>
    </w:p>
    <w:p w:rsidR="00007309" w:rsidRPr="00007309" w:rsidRDefault="00007309" w:rsidP="00007309">
      <w:pPr>
        <w:jc w:val="both"/>
        <w:rPr>
          <w:rFonts w:cs="Arial"/>
          <w:b/>
          <w:bCs/>
          <w:sz w:val="24"/>
          <w:szCs w:val="24"/>
          <w:rtl/>
        </w:rPr>
      </w:pPr>
      <w:r w:rsidRPr="00007309">
        <w:rPr>
          <w:rFonts w:cs="Arial"/>
          <w:b/>
          <w:bCs/>
          <w:sz w:val="36"/>
          <w:szCs w:val="28"/>
          <w:vertAlign w:val="superscript"/>
          <w:rtl/>
        </w:rPr>
        <w:footnoteReference w:id="7917"/>
      </w:r>
      <w:r w:rsidRPr="00007309">
        <w:rPr>
          <w:rFonts w:cs="Arial"/>
          <w:b/>
          <w:bCs/>
          <w:sz w:val="24"/>
          <w:szCs w:val="24"/>
          <w:rtl/>
        </w:rPr>
        <w:t>אִלֵּין אִנּוּן ל'ב אֱלֹהִים דִּבְרֵאשִׁית, דְּאִנּוּן לָקֳבֵל ל'ב שְׁבִילִין</w:t>
      </w:r>
      <w:r w:rsidRPr="00007309">
        <w:rPr>
          <w:rFonts w:cs="Arial" w:hint="cs"/>
          <w:b/>
          <w:bCs/>
          <w:sz w:val="24"/>
          <w:szCs w:val="24"/>
          <w:rtl/>
        </w:rPr>
        <w:t>:</w:t>
      </w:r>
      <w:r w:rsidRPr="00007309">
        <w:rPr>
          <w:rFonts w:cs="Arial"/>
          <w:b/>
          <w:bCs/>
          <w:sz w:val="24"/>
          <w:szCs w:val="24"/>
          <w:rtl/>
        </w:rPr>
        <w:t xml:space="preserve"> א' בְּרֵאשִׁית בָּרָא אֱלֹהִים אֶת. ב' וְרוּחַ אֱלֹהִים מְרַחֶפֶת עַל. ג' וַיֹּאמֶר אֱלֹהִים יְהִי אוֹר. ד' וַיַּרְא אֱלֹהִים אֶת הָאוֹר. ה' וַיַּבְדֵּל אֱלֹהִים בֵּין הָאוֹר. ו' וַיִּקְרָא אֱלֹהִים לָאוֹר יוֹם</w:t>
      </w:r>
      <w:r w:rsidRPr="00007309">
        <w:rPr>
          <w:rFonts w:cs="Arial" w:hint="cs"/>
          <w:b/>
          <w:bCs/>
          <w:sz w:val="24"/>
          <w:szCs w:val="24"/>
          <w:rtl/>
        </w:rPr>
        <w:t>.</w:t>
      </w:r>
      <w:r w:rsidRPr="00007309">
        <w:rPr>
          <w:rFonts w:cs="Arial"/>
          <w:b/>
          <w:bCs/>
          <w:sz w:val="24"/>
          <w:szCs w:val="24"/>
          <w:rtl/>
        </w:rPr>
        <w:t xml:space="preserve"> ז' וַיֹּאמֶר אֱלֹהִים יְהִי רָקִיעַ. ח' וַיַּעַשׂ אֱלֹהִים אֶת הָרָקִיעַ. ט' וַיִּקְרָא אֱלֹהִים לָרָקִיעַ שָּׁמַיִם. י' וַיֹּאמֶר אֱלֹהִים יִקָּוּוּ הַמַּיִם. יא' וַיִּקְרָא אֱלֹהִים לַיַּבָּשָׁה אֶרֶץ. יב' וַיַּרְא אֱלֹהִים כִּי טוֹב. יג' וַיֹּאמֶר אֱלֹהִים תַּדְשֵׁא הָאָרֶץ. יד' וַיַּרְא אֱלֹהִים כִּי טוֹב. טו' וַיֹּאמֶר אֱלֹהִים יְהִי מְאֹרֹת. טז' וַיַּעַשׂ אֱלֹהִים אֶת שְׁנֵי. יז' וַיִּתֵּן אוֹתָ</w:t>
      </w:r>
      <w:r w:rsidRPr="00007309">
        <w:rPr>
          <w:rFonts w:cs="Arial" w:hint="cs"/>
          <w:b/>
          <w:bCs/>
          <w:sz w:val="24"/>
          <w:szCs w:val="24"/>
          <w:rtl/>
        </w:rPr>
        <w:t>ם</w:t>
      </w:r>
      <w:r w:rsidRPr="00007309">
        <w:rPr>
          <w:rFonts w:cs="Arial"/>
          <w:b/>
          <w:bCs/>
          <w:sz w:val="24"/>
          <w:szCs w:val="24"/>
          <w:rtl/>
        </w:rPr>
        <w:t xml:space="preserve"> אֱלֹהִים בִּרְקִיעַ הַשָּׁמַיִם. יח' וַיַּרְא אֱלֹהִים כִּי טוֹב. יט' וַיֹּאמֶר אֱלֹהִים יִשְׁרְצוּ הַמַּיִם. כ' וַיִּבְרָא אֱלֹהִים אֶת הַתַּנִּינִים. כא' וַיַּרְא אֱלֹהִים כִּי טוֹב</w:t>
      </w:r>
      <w:r w:rsidRPr="00007309">
        <w:rPr>
          <w:rFonts w:cs="Arial" w:hint="cs"/>
          <w:b/>
          <w:bCs/>
          <w:sz w:val="24"/>
          <w:szCs w:val="24"/>
          <w:rtl/>
        </w:rPr>
        <w:t>.</w:t>
      </w:r>
      <w:r w:rsidRPr="00007309">
        <w:rPr>
          <w:rFonts w:cs="Arial"/>
          <w:b/>
          <w:bCs/>
          <w:sz w:val="24"/>
          <w:szCs w:val="24"/>
          <w:rtl/>
        </w:rPr>
        <w:t xml:space="preserve"> כ</w:t>
      </w:r>
      <w:r w:rsidRPr="00007309">
        <w:rPr>
          <w:rFonts w:cs="Arial" w:hint="cs"/>
          <w:b/>
          <w:bCs/>
          <w:sz w:val="24"/>
          <w:szCs w:val="24"/>
          <w:rtl/>
        </w:rPr>
        <w:t>ב</w:t>
      </w:r>
      <w:r w:rsidRPr="00007309">
        <w:rPr>
          <w:rFonts w:cs="Arial"/>
          <w:b/>
          <w:bCs/>
          <w:sz w:val="24"/>
          <w:szCs w:val="24"/>
          <w:rtl/>
        </w:rPr>
        <w:t xml:space="preserve">' וַיְבָרֶךְ אֹתָם אֱלֹהִים לֵאמֹר. כג' וַיֹּאמֶר אֱלֹהִים תּוֹצֵא הָאָרֶץ. כד' וַיַּעַשׂ אֱלֹהִים אֶת חַיַּת. כה' וַיַּרְא אֱלֹהִים כִּי טוֹב. כו וַיֹּאמֶר אֱלֹהִים נַעֲשֶׂה. כז' וַיִּבְרָא אֱלֹהִים אֶת הָאָדָם. כח' בְּצֶלֶם אֱלֹהִים בָּרָא אוֹתוֹ. כט' וַיְבָרֵךְ אוֹתָם אֱלֹהִים לֵאמֹר. ל' וַיֹּאמֶר אֱלֹהִים פְּרוּ וּרְבוּ. לא' וַיֹּאמֶר אֱלֹהִים הִנֵּה נָתַתִּי. לב' וַיַּרְא אֱלֹהִים אֶת כָּל. </w:t>
      </w:r>
      <w:r w:rsidRPr="00007309">
        <w:rPr>
          <w:rFonts w:cs="Arial"/>
          <w:b/>
          <w:bCs/>
          <w:sz w:val="36"/>
          <w:szCs w:val="28"/>
          <w:vertAlign w:val="superscript"/>
          <w:rtl/>
        </w:rPr>
        <w:footnoteReference w:id="7918"/>
      </w:r>
      <w:r w:rsidRPr="00007309">
        <w:rPr>
          <w:rFonts w:cs="Arial"/>
          <w:b/>
          <w:bCs/>
          <w:sz w:val="24"/>
          <w:szCs w:val="24"/>
          <w:rtl/>
        </w:rPr>
        <w:t>א' וַיְכַל אֱלֹהִים בַּיּוֹם הַשְּׁבִיעִי. ב' וַיְבָרֶךְ אֱלֹהִים אֶת יוֹם הַשְּׁבִיעִי. ג' אֲשֶׁר בָּרָא אֱלֹהִים לַעֲשׂוֹת. אִלֵּין תְּלָתָא סָלְקִין עַל כָּל ל"ב אֱלֹהִים בְּעוֹבָדָא דִּבְרֵאשִׁית. וְדָא רָזָא (שמות ג</w:t>
      </w:r>
      <w:r w:rsidRPr="00007309">
        <w:rPr>
          <w:rFonts w:cs="Arial" w:hint="cs"/>
          <w:b/>
          <w:bCs/>
          <w:sz w:val="24"/>
          <w:szCs w:val="24"/>
          <w:rtl/>
        </w:rPr>
        <w:t xml:space="preserve"> ב</w:t>
      </w:r>
      <w:r w:rsidRPr="00007309">
        <w:rPr>
          <w:rFonts w:cs="Arial"/>
          <w:b/>
          <w:bCs/>
          <w:sz w:val="24"/>
          <w:szCs w:val="24"/>
          <w:rtl/>
        </w:rPr>
        <w:t xml:space="preserve">) וַיֵּרְא אֵלָיו מַלְאַךְ ה' </w:t>
      </w:r>
      <w:r w:rsidRPr="00007309">
        <w:rPr>
          <w:rFonts w:cs="Arial"/>
          <w:b/>
          <w:bCs/>
          <w:sz w:val="36"/>
          <w:szCs w:val="28"/>
          <w:vertAlign w:val="superscript"/>
          <w:rtl/>
        </w:rPr>
        <w:footnoteReference w:id="7919"/>
      </w:r>
      <w:r w:rsidRPr="00007309">
        <w:rPr>
          <w:rFonts w:cs="Arial"/>
          <w:b/>
          <w:bCs/>
          <w:sz w:val="24"/>
          <w:szCs w:val="24"/>
          <w:rtl/>
        </w:rPr>
        <w:t xml:space="preserve">בְּלַבַּת אֵשׁ. בְּלַבַּת אֵשׁ דְּאוֹרַיְתָא. וְדָא אִיהוּ (ישעיה סג) כִּי יוֹם נָקָם </w:t>
      </w:r>
      <w:r w:rsidRPr="00007309">
        <w:rPr>
          <w:rFonts w:cs="Arial"/>
          <w:b/>
          <w:bCs/>
          <w:sz w:val="36"/>
          <w:szCs w:val="28"/>
          <w:vertAlign w:val="superscript"/>
          <w:rtl/>
        </w:rPr>
        <w:footnoteReference w:id="7920"/>
      </w:r>
      <w:r w:rsidRPr="00007309">
        <w:rPr>
          <w:rFonts w:cs="Arial"/>
          <w:b/>
          <w:bCs/>
          <w:sz w:val="24"/>
          <w:szCs w:val="24"/>
          <w:rtl/>
        </w:rPr>
        <w:t xml:space="preserve">בְּלִבִּי, </w:t>
      </w:r>
      <w:r w:rsidRPr="00007309">
        <w:rPr>
          <w:rFonts w:cs="Arial"/>
          <w:b/>
          <w:bCs/>
          <w:sz w:val="36"/>
          <w:szCs w:val="28"/>
          <w:vertAlign w:val="superscript"/>
          <w:rtl/>
        </w:rPr>
        <w:footnoteReference w:id="7921"/>
      </w:r>
      <w:r w:rsidRPr="00007309">
        <w:rPr>
          <w:rFonts w:cs="Arial"/>
          <w:b/>
          <w:bCs/>
          <w:sz w:val="24"/>
          <w:szCs w:val="24"/>
          <w:rtl/>
        </w:rPr>
        <w:t xml:space="preserve">וּבְהוֹן פּוֹעֲלִים מ'ב אַתְוָן </w:t>
      </w:r>
      <w:r w:rsidRPr="00007309">
        <w:rPr>
          <w:rFonts w:cs="Arial"/>
          <w:b/>
          <w:bCs/>
          <w:sz w:val="36"/>
          <w:szCs w:val="28"/>
          <w:vertAlign w:val="superscript"/>
          <w:rtl/>
        </w:rPr>
        <w:footnoteReference w:id="7922"/>
      </w:r>
      <w:r w:rsidRPr="00007309">
        <w:rPr>
          <w:rFonts w:cs="Arial"/>
          <w:b/>
          <w:bCs/>
          <w:sz w:val="24"/>
          <w:szCs w:val="24"/>
          <w:rtl/>
        </w:rPr>
        <w:t>דיהו'ה בם</w:t>
      </w:r>
      <w:r w:rsidRPr="00007309">
        <w:rPr>
          <w:rFonts w:cs="Arial" w:hint="cs"/>
          <w:b/>
          <w:bCs/>
          <w:sz w:val="24"/>
          <w:szCs w:val="24"/>
          <w:rtl/>
        </w:rPr>
        <w:t xml:space="preserve"> (תהלים סח יח),</w:t>
      </w:r>
      <w:r w:rsidRPr="00007309">
        <w:rPr>
          <w:rFonts w:cs="Arial"/>
          <w:b/>
          <w:bCs/>
          <w:sz w:val="24"/>
          <w:szCs w:val="24"/>
          <w:rtl/>
        </w:rPr>
        <w:t xml:space="preserve"> וְכֻלְּהוּ אִתְכְּלִילָן בְּבַת שֶׁבַע וְאִנּוּן ז' שְׁמָהָן דְּמ"ב אַתְוָן</w:t>
      </w:r>
      <w:r w:rsidRPr="00007309">
        <w:rPr>
          <w:rFonts w:cs="Arial" w:hint="cs"/>
          <w:b/>
          <w:bCs/>
          <w:sz w:val="24"/>
          <w:szCs w:val="24"/>
          <w:rtl/>
        </w:rPr>
        <w:t>,</w:t>
      </w:r>
      <w:r w:rsidRPr="00007309">
        <w:rPr>
          <w:rFonts w:cs="Arial"/>
          <w:b/>
          <w:bCs/>
          <w:sz w:val="24"/>
          <w:szCs w:val="24"/>
          <w:rtl/>
        </w:rPr>
        <w:t xml:space="preserve"> אבג יתץ קרע שטן נגד יכש בטר צתג חקב טנע יגל פזק שקו צית. עָלַיְהוּ אִתְּמַר (תהלים קיט) </w:t>
      </w:r>
      <w:r w:rsidRPr="00007309">
        <w:rPr>
          <w:rFonts w:cs="Arial"/>
          <w:b/>
          <w:bCs/>
          <w:sz w:val="36"/>
          <w:szCs w:val="28"/>
          <w:vertAlign w:val="superscript"/>
          <w:rtl/>
        </w:rPr>
        <w:footnoteReference w:id="7923"/>
      </w:r>
      <w:r w:rsidRPr="00007309">
        <w:rPr>
          <w:rFonts w:cs="Arial"/>
          <w:b/>
          <w:bCs/>
          <w:sz w:val="24"/>
          <w:szCs w:val="24"/>
          <w:rtl/>
        </w:rPr>
        <w:t xml:space="preserve">שֶׁבַע בַּיּוֹם הִלַּלְתִּיךָ. </w:t>
      </w:r>
      <w:r w:rsidRPr="00007309">
        <w:rPr>
          <w:rFonts w:cs="Arial"/>
          <w:b/>
          <w:bCs/>
          <w:sz w:val="36"/>
          <w:szCs w:val="28"/>
          <w:vertAlign w:val="superscript"/>
          <w:rtl/>
        </w:rPr>
        <w:footnoteReference w:id="7924"/>
      </w:r>
      <w:r w:rsidRPr="00007309">
        <w:rPr>
          <w:rFonts w:cs="Arial"/>
          <w:b/>
          <w:bCs/>
          <w:sz w:val="24"/>
          <w:szCs w:val="24"/>
          <w:rtl/>
        </w:rPr>
        <w:t xml:space="preserve">וּבְהוֹן </w:t>
      </w:r>
      <w:r w:rsidRPr="00007309">
        <w:rPr>
          <w:rFonts w:cs="Arial" w:hint="cs"/>
          <w:b/>
          <w:bCs/>
          <w:sz w:val="24"/>
          <w:szCs w:val="24"/>
          <w:rtl/>
        </w:rPr>
        <w:t xml:space="preserve">(בראשית לג ג) </w:t>
      </w:r>
      <w:r w:rsidRPr="00007309">
        <w:rPr>
          <w:rFonts w:cs="Arial"/>
          <w:b/>
          <w:bCs/>
          <w:sz w:val="24"/>
          <w:szCs w:val="24"/>
          <w:rtl/>
        </w:rPr>
        <w:t xml:space="preserve">וַיִּשְׁתַּחוּ אַרְצָה שֶׁבַע פְּעָמִים </w:t>
      </w:r>
      <w:r w:rsidRPr="00007309">
        <w:rPr>
          <w:rFonts w:cs="Arial"/>
          <w:b/>
          <w:bCs/>
          <w:sz w:val="36"/>
          <w:szCs w:val="28"/>
          <w:vertAlign w:val="superscript"/>
          <w:rtl/>
        </w:rPr>
        <w:footnoteReference w:id="7925"/>
      </w:r>
      <w:r w:rsidRPr="00007309">
        <w:rPr>
          <w:rFonts w:cs="Arial"/>
          <w:b/>
          <w:bCs/>
          <w:sz w:val="24"/>
          <w:szCs w:val="24"/>
          <w:rtl/>
        </w:rPr>
        <w:t>יַעֲקֹב דְּשָׁזִיב לֵהּ מֵעֵשָׂו בְּגָלוּתָא דְּתַמָּן בַּת שֶׁבַע</w:t>
      </w:r>
      <w:r w:rsidRPr="00007309">
        <w:rPr>
          <w:rFonts w:cs="Arial" w:hint="cs"/>
          <w:b/>
          <w:bCs/>
          <w:sz w:val="24"/>
          <w:szCs w:val="24"/>
          <w:rtl/>
        </w:rPr>
        <w:t>,</w:t>
      </w:r>
      <w:r w:rsidRPr="00007309">
        <w:rPr>
          <w:rFonts w:cs="Arial"/>
          <w:b/>
          <w:bCs/>
          <w:sz w:val="24"/>
          <w:szCs w:val="24"/>
          <w:rtl/>
        </w:rPr>
        <w:t xml:space="preserve"> וְכָל דָּא הֲוָה יָדַע יַעֲקֹב בְּרוּחַ קֻדְשָׁא וַהֲוָה </w:t>
      </w:r>
      <w:r w:rsidRPr="00007309">
        <w:rPr>
          <w:rFonts w:cs="Arial"/>
          <w:b/>
          <w:bCs/>
          <w:sz w:val="36"/>
          <w:szCs w:val="28"/>
          <w:vertAlign w:val="superscript"/>
          <w:rtl/>
        </w:rPr>
        <w:footnoteReference w:id="7926"/>
      </w:r>
      <w:r w:rsidRPr="00007309">
        <w:rPr>
          <w:rFonts w:cs="Arial"/>
          <w:b/>
          <w:bCs/>
          <w:sz w:val="24"/>
          <w:szCs w:val="24"/>
          <w:rtl/>
        </w:rPr>
        <w:t xml:space="preserve">אַדְכִּיר אֲדֹנָי לְגַבֵּי ב'ל (נ"א הקב"ה) דְּאִיהוּ אָדוֹן דְּנָטִיר לֵהּ לַאֲדֹנָי בְּגָלוּתָא. </w:t>
      </w:r>
    </w:p>
    <w:p w:rsidR="00007309" w:rsidRPr="00007309" w:rsidRDefault="00007309" w:rsidP="00007309">
      <w:pPr>
        <w:keepNext/>
        <w:outlineLvl w:val="1"/>
        <w:rPr>
          <w:rFonts w:ascii="Cambria" w:hAnsi="Cambria" w:cs="Times New Roman"/>
          <w:b/>
          <w:bCs/>
          <w:i/>
          <w:iCs/>
          <w:sz w:val="28"/>
          <w:szCs w:val="28"/>
          <w:rtl/>
        </w:rPr>
      </w:pPr>
      <w:r w:rsidRPr="00007309">
        <w:rPr>
          <w:rFonts w:ascii="Cambria" w:hAnsi="Cambria" w:cs="Times New Roman"/>
          <w:b/>
          <w:bCs/>
          <w:i/>
          <w:iCs/>
          <w:sz w:val="28"/>
          <w:szCs w:val="28"/>
          <w:rtl/>
        </w:rPr>
        <w:t>[</w:t>
      </w:r>
      <w:r w:rsidRPr="00007309">
        <w:rPr>
          <w:rFonts w:ascii="Cambria" w:hAnsi="Cambria" w:cs="Times New Roman" w:hint="cs"/>
          <w:b/>
          <w:bCs/>
          <w:i/>
          <w:iCs/>
          <w:sz w:val="28"/>
          <w:szCs w:val="28"/>
          <w:rtl/>
        </w:rPr>
        <w:t>דף</w:t>
      </w:r>
      <w:r w:rsidRPr="00007309">
        <w:rPr>
          <w:rFonts w:ascii="Cambria" w:hAnsi="Cambria" w:cs="Times New Roman"/>
          <w:b/>
          <w:bCs/>
          <w:i/>
          <w:iCs/>
          <w:sz w:val="28"/>
          <w:szCs w:val="28"/>
          <w:rtl/>
        </w:rPr>
        <w:t xml:space="preserve"> </w:t>
      </w:r>
      <w:r w:rsidRPr="00007309">
        <w:rPr>
          <w:rFonts w:ascii="Cambria" w:hAnsi="Cambria" w:cs="Times New Roman" w:hint="cs"/>
          <w:b/>
          <w:bCs/>
          <w:i/>
          <w:iCs/>
          <w:sz w:val="28"/>
          <w:szCs w:val="28"/>
          <w:rtl/>
        </w:rPr>
        <w:t>פד</w:t>
      </w:r>
      <w:r w:rsidRPr="00007309">
        <w:rPr>
          <w:rFonts w:ascii="Cambria" w:hAnsi="Cambria" w:cs="Times New Roman"/>
          <w:b/>
          <w:bCs/>
          <w:i/>
          <w:iCs/>
          <w:sz w:val="28"/>
          <w:szCs w:val="28"/>
          <w:rtl/>
        </w:rPr>
        <w:t xml:space="preserve"> ע"</w:t>
      </w:r>
      <w:r w:rsidRPr="00007309">
        <w:rPr>
          <w:rFonts w:ascii="Cambria" w:hAnsi="Cambria" w:cs="Times New Roman" w:hint="cs"/>
          <w:b/>
          <w:bCs/>
          <w:i/>
          <w:iCs/>
          <w:sz w:val="28"/>
          <w:szCs w:val="28"/>
          <w:rtl/>
        </w:rPr>
        <w:t>ב</w:t>
      </w:r>
      <w:r w:rsidRPr="00007309">
        <w:rPr>
          <w:rFonts w:ascii="Cambria" w:hAnsi="Cambria" w:cs="Times New Roman"/>
          <w:b/>
          <w:bCs/>
          <w:i/>
          <w:iCs/>
          <w:sz w:val="28"/>
          <w:szCs w:val="28"/>
          <w:rtl/>
        </w:rPr>
        <w:t>]</w:t>
      </w:r>
    </w:p>
    <w:p w:rsidR="00007309" w:rsidRPr="00007309" w:rsidRDefault="00007309" w:rsidP="00007309">
      <w:pPr>
        <w:keepNext/>
        <w:spacing w:before="240" w:after="60"/>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 xml:space="preserve"> [וילנא לו ע"א]</w:t>
      </w:r>
    </w:p>
    <w:p w:rsidR="00007309" w:rsidRPr="00007309" w:rsidRDefault="00007309" w:rsidP="00007309">
      <w:pPr>
        <w:jc w:val="both"/>
        <w:rPr>
          <w:rFonts w:cs="Arial"/>
          <w:b/>
          <w:bCs/>
          <w:sz w:val="24"/>
          <w:szCs w:val="24"/>
          <w:rtl/>
        </w:rPr>
      </w:pPr>
      <w:r w:rsidRPr="00007309">
        <w:rPr>
          <w:rFonts w:cs="Arial"/>
          <w:b/>
          <w:bCs/>
          <w:sz w:val="24"/>
          <w:szCs w:val="24"/>
          <w:rtl/>
        </w:rPr>
        <w:t xml:space="preserve">לָקֳבֵל שֶׁבַע שְׁמָהָן </w:t>
      </w:r>
      <w:r w:rsidRPr="00007309">
        <w:rPr>
          <w:rFonts w:cs="Arial"/>
          <w:b/>
          <w:bCs/>
          <w:sz w:val="36"/>
          <w:szCs w:val="28"/>
          <w:vertAlign w:val="superscript"/>
          <w:rtl/>
        </w:rPr>
        <w:footnoteReference w:id="7927"/>
      </w:r>
      <w:r w:rsidRPr="00007309">
        <w:rPr>
          <w:rFonts w:cs="Arial"/>
          <w:b/>
          <w:bCs/>
          <w:sz w:val="24"/>
          <w:szCs w:val="24"/>
          <w:rtl/>
        </w:rPr>
        <w:t xml:space="preserve">אִלֵּין אִנּוּן ז' יוֹמֵי בְּרֵאשִׁית. וְאִנּוּן מ'ב אַתְוָן לְבוּשִׁין לְעֶשֶׂר </w:t>
      </w:r>
      <w:r w:rsidRPr="00007309">
        <w:rPr>
          <w:rFonts w:ascii="Cambria" w:hAnsi="Cambria" w:cs="Times New Roman" w:hint="cs"/>
          <w:b/>
          <w:bCs/>
          <w:i/>
          <w:iCs/>
          <w:color w:val="4F81BD"/>
          <w:sz w:val="24"/>
          <w:szCs w:val="24"/>
          <w:rtl/>
        </w:rPr>
        <w:t>(פד ע"ב)</w:t>
      </w:r>
      <w:r w:rsidRPr="00007309">
        <w:rPr>
          <w:rFonts w:cs="Arial" w:hint="cs"/>
          <w:b/>
          <w:bCs/>
          <w:sz w:val="24"/>
          <w:szCs w:val="24"/>
          <w:rtl/>
        </w:rPr>
        <w:t xml:space="preserve"> </w:t>
      </w:r>
      <w:r w:rsidRPr="00007309">
        <w:rPr>
          <w:rFonts w:cs="Arial"/>
          <w:b/>
          <w:bCs/>
          <w:sz w:val="24"/>
          <w:szCs w:val="24"/>
          <w:rtl/>
        </w:rPr>
        <w:t>אֲמִירָן, ול'ב אֱלֹהִים דְּעוֹבָדָא דִּבְרֵאשִׁית</w:t>
      </w:r>
      <w:r w:rsidRPr="00007309">
        <w:rPr>
          <w:rFonts w:cs="Arial" w:hint="cs"/>
          <w:b/>
          <w:bCs/>
          <w:sz w:val="24"/>
          <w:szCs w:val="24"/>
          <w:rtl/>
        </w:rPr>
        <w:t>.</w:t>
      </w:r>
      <w:r w:rsidRPr="00007309">
        <w:rPr>
          <w:rFonts w:cs="Arial"/>
          <w:b/>
          <w:bCs/>
          <w:sz w:val="24"/>
          <w:szCs w:val="24"/>
          <w:rtl/>
        </w:rPr>
        <w:t xml:space="preserve"> וּתְלָת אֱלֹהִים דְּוַיְכֻלּוּ</w:t>
      </w:r>
      <w:r w:rsidRPr="00007309">
        <w:rPr>
          <w:rFonts w:cs="Arial" w:hint="cs"/>
          <w:b/>
          <w:bCs/>
          <w:sz w:val="24"/>
          <w:szCs w:val="24"/>
          <w:rtl/>
        </w:rPr>
        <w:t>,</w:t>
      </w:r>
      <w:r w:rsidRPr="00007309">
        <w:rPr>
          <w:rFonts w:cs="Arial"/>
          <w:b/>
          <w:bCs/>
          <w:sz w:val="24"/>
          <w:szCs w:val="24"/>
          <w:rtl/>
        </w:rPr>
        <w:t xml:space="preserve"> סָלִיק כֹּלָּא מ'ה, לְאַחֲזָאָה </w:t>
      </w:r>
      <w:r w:rsidRPr="00007309">
        <w:rPr>
          <w:rFonts w:cs="Arial"/>
          <w:b/>
          <w:bCs/>
          <w:sz w:val="36"/>
          <w:szCs w:val="28"/>
          <w:vertAlign w:val="superscript"/>
          <w:rtl/>
        </w:rPr>
        <w:footnoteReference w:id="7928"/>
      </w:r>
      <w:r w:rsidRPr="00007309">
        <w:rPr>
          <w:rFonts w:cs="Arial"/>
          <w:b/>
          <w:bCs/>
          <w:sz w:val="24"/>
          <w:szCs w:val="24"/>
          <w:rtl/>
        </w:rPr>
        <w:t xml:space="preserve">דְּתַמָּן קָבוּר בְּגָלוּתָא </w:t>
      </w:r>
      <w:r w:rsidRPr="00007309">
        <w:rPr>
          <w:rFonts w:cs="Arial"/>
          <w:b/>
          <w:bCs/>
          <w:sz w:val="36"/>
          <w:szCs w:val="28"/>
          <w:vertAlign w:val="superscript"/>
          <w:rtl/>
        </w:rPr>
        <w:footnoteReference w:id="7929"/>
      </w:r>
      <w:r w:rsidRPr="00007309">
        <w:rPr>
          <w:rFonts w:cs="Arial"/>
          <w:b/>
          <w:bCs/>
          <w:sz w:val="24"/>
          <w:szCs w:val="24"/>
          <w:rtl/>
        </w:rPr>
        <w:t>הַהוּא דְּאִתְּמַר בֵּהּ וְאָמְרוּ לִ"י מַ"ה שְּׁמ"וֹ מָ"ה</w:t>
      </w:r>
      <w:r w:rsidRPr="00007309">
        <w:rPr>
          <w:rFonts w:cs="Arial" w:hint="cs"/>
          <w:b/>
          <w:bCs/>
          <w:sz w:val="24"/>
          <w:szCs w:val="24"/>
          <w:rtl/>
        </w:rPr>
        <w:t>,</w:t>
      </w:r>
      <w:r w:rsidRPr="00007309">
        <w:rPr>
          <w:rFonts w:cs="Arial"/>
          <w:b/>
          <w:bCs/>
          <w:sz w:val="24"/>
          <w:szCs w:val="24"/>
          <w:rtl/>
        </w:rPr>
        <w:t xml:space="preserve"> דָא יוּ"ד הֵ"א וָא"ו הֵ"א, </w:t>
      </w:r>
      <w:r w:rsidRPr="00007309">
        <w:rPr>
          <w:rFonts w:cs="Arial"/>
          <w:b/>
          <w:bCs/>
          <w:sz w:val="36"/>
          <w:szCs w:val="28"/>
          <w:vertAlign w:val="superscript"/>
          <w:rtl/>
        </w:rPr>
        <w:footnoteReference w:id="7930"/>
      </w:r>
      <w:r w:rsidRPr="00007309">
        <w:rPr>
          <w:rFonts w:cs="Arial"/>
          <w:b/>
          <w:bCs/>
          <w:sz w:val="24"/>
          <w:szCs w:val="24"/>
          <w:rtl/>
        </w:rPr>
        <w:t xml:space="preserve">וּשְׁלִימוּ דְּלַיְלָה בְּלֵיל שִׁמּוּרִים, </w:t>
      </w:r>
      <w:r w:rsidRPr="00007309">
        <w:rPr>
          <w:rFonts w:cs="Arial"/>
          <w:b/>
          <w:bCs/>
          <w:sz w:val="36"/>
          <w:szCs w:val="28"/>
          <w:vertAlign w:val="superscript"/>
          <w:rtl/>
        </w:rPr>
        <w:footnoteReference w:id="7931"/>
      </w:r>
      <w:r w:rsidRPr="00007309">
        <w:rPr>
          <w:rFonts w:cs="Arial"/>
          <w:b/>
          <w:bCs/>
          <w:sz w:val="24"/>
          <w:szCs w:val="24"/>
          <w:rtl/>
        </w:rPr>
        <w:t>דְּהַיְנוּ ע"ב בְּחֻשְׁבָּן בַּלַּיִל</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932"/>
      </w:r>
      <w:r w:rsidRPr="00007309">
        <w:rPr>
          <w:rFonts w:cs="Arial"/>
          <w:b/>
          <w:bCs/>
          <w:sz w:val="24"/>
          <w:szCs w:val="24"/>
          <w:rtl/>
        </w:rPr>
        <w:t xml:space="preserve">בֵּהּ נָהִיר מָ"ה </w:t>
      </w:r>
      <w:r w:rsidRPr="00007309">
        <w:rPr>
          <w:rFonts w:ascii="Cambria" w:hAnsi="Cambria" w:cs="Times New Roman" w:hint="cs"/>
          <w:b/>
          <w:bCs/>
          <w:i/>
          <w:iCs/>
          <w:color w:val="4F81BD"/>
          <w:sz w:val="24"/>
          <w:szCs w:val="24"/>
          <w:rtl/>
        </w:rPr>
        <w:t>(וילנא לו ע"א)</w:t>
      </w:r>
      <w:r w:rsidRPr="00007309">
        <w:rPr>
          <w:rFonts w:cs="Arial" w:hint="cs"/>
          <w:b/>
          <w:bCs/>
          <w:sz w:val="24"/>
          <w:szCs w:val="24"/>
          <w:rtl/>
        </w:rPr>
        <w:t xml:space="preserve"> </w:t>
      </w:r>
      <w:r w:rsidRPr="00007309">
        <w:rPr>
          <w:rFonts w:cs="Arial"/>
          <w:b/>
          <w:bCs/>
          <w:sz w:val="24"/>
          <w:szCs w:val="24"/>
          <w:rtl/>
        </w:rPr>
        <w:t xml:space="preserve">דְּאִיהוּ שְׁמָא מְפֹרָשׁ </w:t>
      </w:r>
      <w:r w:rsidRPr="00007309">
        <w:rPr>
          <w:rFonts w:cs="Arial"/>
          <w:b/>
          <w:bCs/>
          <w:sz w:val="36"/>
          <w:szCs w:val="28"/>
          <w:vertAlign w:val="superscript"/>
          <w:rtl/>
        </w:rPr>
        <w:footnoteReference w:id="7933"/>
      </w:r>
      <w:r w:rsidRPr="00007309">
        <w:rPr>
          <w:rFonts w:cs="Arial"/>
          <w:b/>
          <w:bCs/>
          <w:sz w:val="24"/>
          <w:szCs w:val="24"/>
          <w:rtl/>
        </w:rPr>
        <w:t xml:space="preserve">דְּגָלוּתָא, דְּאִיהוּ קְבוּרָא דִּשְׁכִינְתָּא. וְכַד יֵיתֵי לֵיל פֻּרְקָנָא דִּילֵהּ, אַנְהִיר לֵהּ מָ"ה דְּאִיהוּ שְׁמָא מְפָרַשׁ. בְּהַהוּא זִמְנָא בֵּן שׁוֹאֵל לְאָבִיו </w:t>
      </w:r>
      <w:r w:rsidRPr="00007309">
        <w:rPr>
          <w:rFonts w:cs="Arial"/>
          <w:b/>
          <w:bCs/>
          <w:sz w:val="36"/>
          <w:szCs w:val="28"/>
          <w:vertAlign w:val="superscript"/>
          <w:rtl/>
        </w:rPr>
        <w:footnoteReference w:id="7934"/>
      </w:r>
      <w:r w:rsidRPr="00007309">
        <w:rPr>
          <w:rFonts w:cs="Arial"/>
          <w:b/>
          <w:bCs/>
          <w:sz w:val="24"/>
          <w:szCs w:val="24"/>
          <w:rtl/>
        </w:rPr>
        <w:t>מַה נִּשְׁתַּנָּה הַלַּיְלָה הַזֶּה מִכָּל הַלֵּילוֹת</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935"/>
      </w:r>
      <w:r w:rsidRPr="00007309">
        <w:rPr>
          <w:rFonts w:cs="Arial"/>
          <w:b/>
          <w:bCs/>
          <w:sz w:val="24"/>
          <w:szCs w:val="24"/>
          <w:rtl/>
        </w:rPr>
        <w:t>דְּבֵהּ (</w:t>
      </w:r>
      <w:r w:rsidRPr="00007309">
        <w:rPr>
          <w:rFonts w:cs="Arial" w:hint="cs"/>
          <w:b/>
          <w:bCs/>
          <w:sz w:val="24"/>
          <w:szCs w:val="24"/>
          <w:rtl/>
        </w:rPr>
        <w:t>תהלים</w:t>
      </w:r>
      <w:r w:rsidRPr="00007309">
        <w:rPr>
          <w:rFonts w:cs="Arial"/>
          <w:b/>
          <w:bCs/>
          <w:sz w:val="24"/>
          <w:szCs w:val="24"/>
          <w:rtl/>
        </w:rPr>
        <w:t xml:space="preserve"> לג</w:t>
      </w:r>
      <w:r w:rsidRPr="00007309">
        <w:rPr>
          <w:rFonts w:cs="Arial" w:hint="cs"/>
          <w:b/>
          <w:bCs/>
          <w:sz w:val="24"/>
          <w:szCs w:val="24"/>
          <w:rtl/>
        </w:rPr>
        <w:t xml:space="preserve"> יג</w:t>
      </w:r>
      <w:r w:rsidRPr="00007309">
        <w:rPr>
          <w:rFonts w:cs="Arial"/>
          <w:b/>
          <w:bCs/>
          <w:sz w:val="24"/>
          <w:szCs w:val="24"/>
          <w:rtl/>
        </w:rPr>
        <w:t>) מִשָּׁמַיִם הִבִּ</w:t>
      </w:r>
      <w:r w:rsidRPr="00007309">
        <w:rPr>
          <w:rFonts w:cs="Arial" w:hint="cs"/>
          <w:b/>
          <w:bCs/>
          <w:sz w:val="24"/>
          <w:szCs w:val="24"/>
          <w:rtl/>
        </w:rPr>
        <w:t>יט</w:t>
      </w:r>
      <w:r w:rsidRPr="00007309">
        <w:rPr>
          <w:rFonts w:cs="Arial"/>
          <w:b/>
          <w:bCs/>
          <w:sz w:val="24"/>
          <w:szCs w:val="24"/>
          <w:rtl/>
        </w:rPr>
        <w:t xml:space="preserve"> ה' רָאָה אֶת כָּל בְּנֵי הָאָדָם</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936"/>
      </w:r>
      <w:r w:rsidRPr="00007309">
        <w:rPr>
          <w:rFonts w:cs="Arial"/>
          <w:b/>
          <w:bCs/>
          <w:sz w:val="24"/>
          <w:szCs w:val="24"/>
          <w:rtl/>
        </w:rPr>
        <w:t>וְאִם יִתְמַהֲמֵהּ חַכֵּה לוֹ</w:t>
      </w:r>
      <w:r w:rsidRPr="00007309">
        <w:rPr>
          <w:rFonts w:cs="Arial" w:hint="cs"/>
          <w:b/>
          <w:bCs/>
          <w:sz w:val="24"/>
          <w:szCs w:val="24"/>
          <w:rtl/>
        </w:rPr>
        <w:t xml:space="preserve"> (חבקוק ב ג)</w:t>
      </w:r>
      <w:r w:rsidRPr="00007309">
        <w:rPr>
          <w:rFonts w:cs="Arial"/>
          <w:b/>
          <w:bCs/>
          <w:sz w:val="24"/>
          <w:szCs w:val="24"/>
          <w:rtl/>
        </w:rPr>
        <w:t xml:space="preserve">. </w:t>
      </w:r>
      <w:r w:rsidRPr="00007309">
        <w:rPr>
          <w:rFonts w:cs="Arial"/>
          <w:b/>
          <w:bCs/>
          <w:sz w:val="36"/>
          <w:szCs w:val="28"/>
          <w:vertAlign w:val="superscript"/>
          <w:rtl/>
        </w:rPr>
        <w:footnoteReference w:id="7937"/>
      </w:r>
      <w:r w:rsidRPr="00007309">
        <w:rPr>
          <w:rFonts w:cs="Arial"/>
          <w:b/>
          <w:bCs/>
          <w:sz w:val="24"/>
          <w:szCs w:val="24"/>
          <w:rtl/>
        </w:rPr>
        <w:t xml:space="preserve">אבג יתץ וַיִּקְבֹּר </w:t>
      </w:r>
      <w:r w:rsidRPr="00007309">
        <w:rPr>
          <w:rFonts w:cs="Arial"/>
          <w:b/>
          <w:bCs/>
          <w:sz w:val="36"/>
          <w:szCs w:val="28"/>
          <w:vertAlign w:val="superscript"/>
          <w:rtl/>
        </w:rPr>
        <w:footnoteReference w:id="7938"/>
      </w:r>
      <w:r w:rsidRPr="00007309">
        <w:rPr>
          <w:rFonts w:cs="Arial"/>
          <w:b/>
          <w:bCs/>
          <w:sz w:val="24"/>
          <w:szCs w:val="24"/>
          <w:rtl/>
        </w:rPr>
        <w:t>אֹ</w:t>
      </w:r>
      <w:r w:rsidRPr="00007309">
        <w:rPr>
          <w:rFonts w:cs="Arial" w:hint="cs"/>
          <w:b/>
          <w:bCs/>
          <w:sz w:val="24"/>
          <w:szCs w:val="24"/>
          <w:rtl/>
        </w:rPr>
        <w:t>'</w:t>
      </w:r>
      <w:r w:rsidRPr="00007309">
        <w:rPr>
          <w:rFonts w:cs="Arial"/>
          <w:b/>
          <w:bCs/>
          <w:sz w:val="24"/>
          <w:szCs w:val="24"/>
          <w:rtl/>
        </w:rPr>
        <w:t xml:space="preserve">תוֹ </w:t>
      </w:r>
      <w:r w:rsidRPr="00007309">
        <w:rPr>
          <w:rFonts w:cs="Arial" w:hint="cs"/>
          <w:b/>
          <w:bCs/>
          <w:sz w:val="24"/>
          <w:szCs w:val="24"/>
          <w:rtl/>
        </w:rPr>
        <w:t>'</w:t>
      </w:r>
      <w:r w:rsidRPr="00007309">
        <w:rPr>
          <w:rFonts w:cs="Arial"/>
          <w:b/>
          <w:bCs/>
          <w:sz w:val="24"/>
          <w:szCs w:val="24"/>
          <w:rtl/>
        </w:rPr>
        <w:t xml:space="preserve">ב </w:t>
      </w:r>
      <w:r w:rsidRPr="00007309">
        <w:rPr>
          <w:rFonts w:cs="Arial" w:hint="cs"/>
          <w:b/>
          <w:bCs/>
          <w:sz w:val="24"/>
          <w:szCs w:val="24"/>
          <w:rtl/>
        </w:rPr>
        <w:t>'</w:t>
      </w:r>
      <w:r w:rsidRPr="00007309">
        <w:rPr>
          <w:rFonts w:cs="Arial"/>
          <w:b/>
          <w:bCs/>
          <w:sz w:val="24"/>
          <w:szCs w:val="24"/>
          <w:rtl/>
        </w:rPr>
        <w:t>ג</w:t>
      </w:r>
      <w:r w:rsidRPr="00007309">
        <w:rPr>
          <w:rFonts w:cs="Arial" w:hint="cs"/>
          <w:b/>
          <w:bCs/>
          <w:sz w:val="24"/>
          <w:szCs w:val="24"/>
          <w:rtl/>
        </w:rPr>
        <w:t xml:space="preserve"> 'י</w:t>
      </w:r>
      <w:r w:rsidRPr="00007309">
        <w:rPr>
          <w:rFonts w:cs="Arial"/>
          <w:b/>
          <w:bCs/>
          <w:sz w:val="24"/>
          <w:szCs w:val="24"/>
          <w:rtl/>
        </w:rPr>
        <w:t xml:space="preserve"> תּ</w:t>
      </w:r>
      <w:r w:rsidRPr="00007309">
        <w:rPr>
          <w:rFonts w:cs="Arial" w:hint="cs"/>
          <w:b/>
          <w:bCs/>
          <w:sz w:val="24"/>
          <w:szCs w:val="24"/>
          <w:rtl/>
        </w:rPr>
        <w:t>'</w:t>
      </w:r>
      <w:r w:rsidRPr="00007309">
        <w:rPr>
          <w:rFonts w:cs="Arial"/>
          <w:b/>
          <w:bCs/>
          <w:sz w:val="24"/>
          <w:szCs w:val="24"/>
          <w:rtl/>
        </w:rPr>
        <w:t>וֹרָה צִ</w:t>
      </w:r>
      <w:r w:rsidRPr="00007309">
        <w:rPr>
          <w:rFonts w:cs="Arial" w:hint="cs"/>
          <w:b/>
          <w:bCs/>
          <w:sz w:val="24"/>
          <w:szCs w:val="24"/>
          <w:rtl/>
        </w:rPr>
        <w:t>'</w:t>
      </w:r>
      <w:r w:rsidRPr="00007309">
        <w:rPr>
          <w:rFonts w:cs="Arial"/>
          <w:b/>
          <w:bCs/>
          <w:sz w:val="24"/>
          <w:szCs w:val="24"/>
          <w:rtl/>
        </w:rPr>
        <w:t xml:space="preserve">וָּה לָנוּ מֹשֶׁה צָפוּן בְּאוֹרַיְתָא. קרע שטן </w:t>
      </w:r>
      <w:r w:rsidRPr="00007309">
        <w:rPr>
          <w:rFonts w:cs="Arial"/>
          <w:b/>
          <w:bCs/>
          <w:sz w:val="36"/>
          <w:szCs w:val="28"/>
          <w:vertAlign w:val="superscript"/>
          <w:rtl/>
        </w:rPr>
        <w:footnoteReference w:id="7939"/>
      </w:r>
      <w:r w:rsidRPr="00007309">
        <w:rPr>
          <w:rFonts w:cs="Arial"/>
          <w:b/>
          <w:bCs/>
          <w:sz w:val="24"/>
          <w:szCs w:val="24"/>
          <w:rtl/>
        </w:rPr>
        <w:t>קר"ע דְּאִיהוּ בְּיַמָּא דְּאִתְּמַר בֵּהּ יְהִי רָקִיעַ בְּתוֹךְ הַמַּיִם. י' מִן רָקִיעַ אִיהוּ עִקַּר יִחוּדָא וּבֵהּ קָרַע יַמָּא. וִיהִי מַבְדִּיל</w:t>
      </w:r>
      <w:r w:rsidRPr="00007309">
        <w:rPr>
          <w:rFonts w:cs="Arial" w:hint="cs"/>
          <w:b/>
          <w:bCs/>
          <w:sz w:val="24"/>
          <w:szCs w:val="24"/>
          <w:rtl/>
        </w:rPr>
        <w:t xml:space="preserve"> ש</w:t>
      </w:r>
      <w:r w:rsidRPr="00007309">
        <w:rPr>
          <w:rFonts w:cs="Arial"/>
          <w:b/>
          <w:bCs/>
          <w:sz w:val="24"/>
          <w:szCs w:val="24"/>
          <w:rtl/>
        </w:rPr>
        <w:t>ָׂ</w:t>
      </w:r>
      <w:r w:rsidRPr="00007309">
        <w:rPr>
          <w:rFonts w:cs="Arial" w:hint="cs"/>
          <w:b/>
          <w:bCs/>
          <w:sz w:val="24"/>
          <w:szCs w:val="24"/>
          <w:rtl/>
        </w:rPr>
        <w:t>ט</w:t>
      </w:r>
      <w:r w:rsidRPr="00007309">
        <w:rPr>
          <w:rFonts w:cs="Arial"/>
          <w:b/>
          <w:bCs/>
          <w:sz w:val="24"/>
          <w:szCs w:val="24"/>
          <w:rtl/>
        </w:rPr>
        <w:t>ָ</w:t>
      </w:r>
      <w:r w:rsidRPr="00007309">
        <w:rPr>
          <w:rFonts w:cs="Arial" w:hint="cs"/>
          <w:b/>
          <w:bCs/>
          <w:sz w:val="24"/>
          <w:szCs w:val="24"/>
          <w:rtl/>
        </w:rPr>
        <w:t>ן</w:t>
      </w:r>
      <w:r w:rsidRPr="00007309">
        <w:rPr>
          <w:rFonts w:cs="Arial"/>
          <w:b/>
          <w:bCs/>
          <w:sz w:val="24"/>
          <w:szCs w:val="24"/>
          <w:rtl/>
        </w:rPr>
        <w:t xml:space="preserve"> דְּאִיהוּ מַבְדִּיל בֵּין מַיִם לְמַיִם.</w:t>
      </w:r>
    </w:p>
    <w:p w:rsidR="00007309" w:rsidRPr="00007309" w:rsidRDefault="00007309" w:rsidP="00007309">
      <w:pPr>
        <w:keepNext/>
        <w:spacing w:before="240" w:after="60"/>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[וילנא לו ע"ב]</w:t>
      </w:r>
    </w:p>
    <w:p w:rsidR="00007309" w:rsidRPr="00007309" w:rsidRDefault="00007309" w:rsidP="00007309">
      <w:pPr>
        <w:jc w:val="both"/>
        <w:rPr>
          <w:rFonts w:cs="Arial"/>
          <w:b/>
          <w:bCs/>
          <w:sz w:val="24"/>
          <w:szCs w:val="24"/>
          <w:rtl/>
        </w:rPr>
      </w:pPr>
      <w:r w:rsidRPr="00007309">
        <w:rPr>
          <w:rFonts w:cs="Arial"/>
          <w:b/>
          <w:bCs/>
          <w:sz w:val="24"/>
          <w:szCs w:val="24"/>
          <w:vertAlign w:val="superscript"/>
          <w:rtl/>
        </w:rPr>
        <w:footnoteReference w:id="7940"/>
      </w:r>
      <w:r w:rsidRPr="00007309">
        <w:rPr>
          <w:rFonts w:cs="Arial"/>
          <w:b/>
          <w:bCs/>
          <w:sz w:val="24"/>
          <w:szCs w:val="24"/>
          <w:rtl/>
        </w:rPr>
        <w:t>אבג ית"ץ בְּרֵאשִׁית</w:t>
      </w:r>
      <w:r w:rsidRPr="00007309">
        <w:rPr>
          <w:rFonts w:cs="Arial" w:hint="cs"/>
          <w:b/>
          <w:bCs/>
          <w:sz w:val="24"/>
          <w:szCs w:val="24"/>
          <w:rtl/>
        </w:rPr>
        <w:t>.</w:t>
      </w:r>
      <w:r w:rsidRPr="00007309">
        <w:rPr>
          <w:rFonts w:cs="Arial"/>
          <w:b/>
          <w:bCs/>
          <w:sz w:val="24"/>
          <w:szCs w:val="24"/>
          <w:rtl/>
        </w:rPr>
        <w:t xml:space="preserve"> אב"ג</w:t>
      </w:r>
      <w:r w:rsidRPr="00007309">
        <w:rPr>
          <w:rFonts w:cs="Arial" w:hint="cs"/>
          <w:b/>
          <w:bCs/>
          <w:sz w:val="24"/>
          <w:szCs w:val="24"/>
          <w:rtl/>
        </w:rPr>
        <w:t>,</w:t>
      </w:r>
      <w:r w:rsidRPr="00007309">
        <w:rPr>
          <w:rFonts w:cs="Arial"/>
          <w:b/>
          <w:bCs/>
          <w:sz w:val="24"/>
          <w:szCs w:val="24"/>
          <w:rtl/>
        </w:rPr>
        <w:t xml:space="preserve"> תש"ר בְּאַתְוָן א"ת ב"ש. קרע שטן </w:t>
      </w:r>
      <w:r w:rsidRPr="00007309">
        <w:rPr>
          <w:rFonts w:cs="Arial"/>
          <w:b/>
          <w:bCs/>
          <w:sz w:val="36"/>
          <w:szCs w:val="28"/>
          <w:vertAlign w:val="superscript"/>
          <w:rtl/>
        </w:rPr>
        <w:footnoteReference w:id="7941"/>
      </w:r>
      <w:r w:rsidRPr="00007309">
        <w:rPr>
          <w:rFonts w:cs="Arial"/>
          <w:b/>
          <w:bCs/>
          <w:sz w:val="24"/>
          <w:szCs w:val="24"/>
          <w:rtl/>
        </w:rPr>
        <w:t>יְהִי רָקִיעַ בְּיוֹמָא ב'. נגד יכש</w:t>
      </w:r>
      <w:r w:rsidRPr="00007309">
        <w:rPr>
          <w:rFonts w:cs="Arial"/>
          <w:b/>
          <w:bCs/>
          <w:sz w:val="24"/>
          <w:szCs w:val="24"/>
        </w:rPr>
        <w:t xml:space="preserve"> </w:t>
      </w:r>
      <w:r w:rsidRPr="00007309">
        <w:rPr>
          <w:rFonts w:cs="Arial"/>
          <w:b/>
          <w:bCs/>
          <w:sz w:val="36"/>
          <w:szCs w:val="28"/>
          <w:vertAlign w:val="superscript"/>
          <w:rtl/>
        </w:rPr>
        <w:footnoteReference w:id="7942"/>
      </w:r>
      <w:r w:rsidRPr="00007309">
        <w:rPr>
          <w:rFonts w:cs="Arial"/>
          <w:b/>
          <w:bCs/>
          <w:sz w:val="24"/>
          <w:szCs w:val="24"/>
          <w:rtl/>
        </w:rPr>
        <w:t xml:space="preserve">יוֹמָא תְּלִיתָאָה </w:t>
      </w:r>
      <w:r w:rsidRPr="00007309">
        <w:rPr>
          <w:rFonts w:cs="Arial" w:hint="cs"/>
          <w:b/>
          <w:bCs/>
          <w:sz w:val="24"/>
          <w:szCs w:val="24"/>
          <w:rtl/>
        </w:rPr>
        <w:t xml:space="preserve">(שמות לד י) </w:t>
      </w:r>
      <w:r w:rsidRPr="00007309">
        <w:rPr>
          <w:rFonts w:cs="Arial"/>
          <w:b/>
          <w:bCs/>
          <w:sz w:val="24"/>
          <w:szCs w:val="24"/>
          <w:rtl/>
        </w:rPr>
        <w:t xml:space="preserve">נֶגֶד כָּל עַמְּךָ אֶעֱשֶׂה נִפְלָאוֹת. בטר צתג </w:t>
      </w:r>
      <w:r w:rsidRPr="00007309">
        <w:rPr>
          <w:rFonts w:cs="Arial"/>
          <w:b/>
          <w:bCs/>
          <w:sz w:val="36"/>
          <w:szCs w:val="28"/>
          <w:vertAlign w:val="superscript"/>
          <w:rtl/>
        </w:rPr>
        <w:footnoteReference w:id="7943"/>
      </w:r>
      <w:r w:rsidRPr="00007309">
        <w:rPr>
          <w:rFonts w:cs="Arial"/>
          <w:b/>
          <w:bCs/>
          <w:sz w:val="24"/>
          <w:szCs w:val="24"/>
          <w:rtl/>
        </w:rPr>
        <w:t>בֵּהּ תָּבַר נְהוֹרִין וְהֶחֱשִׁיךְ לוֹן</w:t>
      </w:r>
      <w:r w:rsidRPr="00007309">
        <w:rPr>
          <w:rFonts w:cs="Arial" w:hint="cs"/>
          <w:b/>
          <w:bCs/>
          <w:sz w:val="24"/>
          <w:szCs w:val="24"/>
          <w:rtl/>
        </w:rPr>
        <w:t>,</w:t>
      </w:r>
      <w:r w:rsidRPr="00007309">
        <w:rPr>
          <w:rFonts w:cs="Arial"/>
          <w:b/>
          <w:bCs/>
          <w:sz w:val="24"/>
          <w:szCs w:val="24"/>
          <w:rtl/>
        </w:rPr>
        <w:t xml:space="preserve"> הָדָא הוּא דִּכְתִיב (ישעיה כד) וְחָפְרָה הַלְּבָנָה וּבוֹשָׁה הַחַמָּה. חקב טנע </w:t>
      </w:r>
      <w:r w:rsidRPr="00007309">
        <w:rPr>
          <w:rFonts w:cs="Arial"/>
          <w:b/>
          <w:bCs/>
          <w:sz w:val="36"/>
          <w:szCs w:val="28"/>
          <w:vertAlign w:val="superscript"/>
          <w:rtl/>
        </w:rPr>
        <w:footnoteReference w:id="7944"/>
      </w:r>
      <w:r w:rsidRPr="00007309">
        <w:rPr>
          <w:rFonts w:cs="Arial"/>
          <w:b/>
          <w:bCs/>
          <w:sz w:val="24"/>
          <w:szCs w:val="24"/>
          <w:rtl/>
        </w:rPr>
        <w:t xml:space="preserve">בְּיוֹמָא חֲמִישָׁאָה נָפְקוּ זַרְעֵי </w:t>
      </w:r>
      <w:r w:rsidRPr="00007309">
        <w:rPr>
          <w:rFonts w:cs="Arial" w:hint="cs"/>
          <w:sz w:val="24"/>
          <w:szCs w:val="24"/>
          <w:rtl/>
        </w:rPr>
        <w:t>(</w:t>
      </w:r>
      <w:r w:rsidRPr="00007309">
        <w:rPr>
          <w:rFonts w:cs="Arial"/>
          <w:sz w:val="24"/>
          <w:szCs w:val="24"/>
          <w:rtl/>
        </w:rPr>
        <w:t>דְּאִילָנִין</w:t>
      </w:r>
      <w:r w:rsidRPr="00007309">
        <w:rPr>
          <w:rFonts w:cs="Arial" w:hint="cs"/>
          <w:sz w:val="24"/>
          <w:szCs w:val="24"/>
          <w:rtl/>
        </w:rPr>
        <w:t>)</w:t>
      </w:r>
      <w:r w:rsidRPr="00007309">
        <w:rPr>
          <w:rFonts w:cs="Arial"/>
          <w:b/>
          <w:bCs/>
          <w:sz w:val="24"/>
          <w:szCs w:val="24"/>
          <w:rtl/>
        </w:rPr>
        <w:t xml:space="preserve"> </w:t>
      </w:r>
      <w:r w:rsidRPr="00007309">
        <w:rPr>
          <w:rFonts w:cs="Arial" w:hint="cs"/>
          <w:b/>
          <w:bCs/>
          <w:sz w:val="24"/>
          <w:szCs w:val="24"/>
          <w:rtl/>
        </w:rPr>
        <w:t xml:space="preserve">התנינים </w:t>
      </w:r>
      <w:r w:rsidRPr="00007309">
        <w:rPr>
          <w:rFonts w:cs="Arial"/>
          <w:b/>
          <w:bCs/>
          <w:sz w:val="24"/>
          <w:szCs w:val="24"/>
          <w:rtl/>
        </w:rPr>
        <w:t>בְּגִין דְּאִיהוּ ח"ק בט"ן</w:t>
      </w:r>
      <w:r w:rsidRPr="00007309">
        <w:rPr>
          <w:rFonts w:cs="Arial" w:hint="cs"/>
          <w:b/>
          <w:bCs/>
          <w:sz w:val="24"/>
          <w:szCs w:val="24"/>
          <w:rtl/>
        </w:rPr>
        <w:t>,</w:t>
      </w:r>
      <w:r w:rsidRPr="00007309">
        <w:rPr>
          <w:rFonts w:cs="Arial"/>
          <w:b/>
          <w:bCs/>
          <w:sz w:val="24"/>
          <w:szCs w:val="24"/>
          <w:rtl/>
        </w:rPr>
        <w:t xml:space="preserve"> וְאִיהִי ה' דְּאִתְּמַר בָּהּ (שמות ב) וַתָּשֶׂם בָּהּ אֶת הַיֶּלֶד</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945"/>
      </w:r>
      <w:r w:rsidRPr="00007309">
        <w:rPr>
          <w:rFonts w:cs="Arial"/>
          <w:b/>
          <w:bCs/>
          <w:sz w:val="24"/>
          <w:szCs w:val="24"/>
          <w:rtl/>
        </w:rPr>
        <w:t xml:space="preserve">וַתָּשֶׂם בַּסּוּף דְּאוֹרַיְתָא, </w:t>
      </w:r>
      <w:r w:rsidRPr="00007309">
        <w:rPr>
          <w:rFonts w:cs="Arial"/>
          <w:b/>
          <w:bCs/>
          <w:sz w:val="36"/>
          <w:szCs w:val="28"/>
          <w:vertAlign w:val="superscript"/>
          <w:rtl/>
        </w:rPr>
        <w:footnoteReference w:id="7946"/>
      </w:r>
      <w:r w:rsidRPr="00007309">
        <w:rPr>
          <w:rFonts w:cs="Arial"/>
          <w:b/>
          <w:bCs/>
          <w:sz w:val="24"/>
          <w:szCs w:val="24"/>
          <w:rtl/>
        </w:rPr>
        <w:t>בְּגִין לְכַסָּאָה לֵהּ בְּגָלוּתָא</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947"/>
      </w:r>
      <w:r w:rsidRPr="00007309">
        <w:rPr>
          <w:rFonts w:cs="Arial"/>
          <w:b/>
          <w:bCs/>
          <w:sz w:val="24"/>
          <w:szCs w:val="24"/>
          <w:rtl/>
        </w:rPr>
        <w:t xml:space="preserve">דְּעָלֵהּ אִתְּמַר (שם א) </w:t>
      </w:r>
      <w:r w:rsidRPr="00007309">
        <w:rPr>
          <w:rFonts w:cs="Arial"/>
          <w:b/>
          <w:bCs/>
          <w:sz w:val="36"/>
          <w:szCs w:val="28"/>
          <w:vertAlign w:val="superscript"/>
          <w:rtl/>
        </w:rPr>
        <w:footnoteReference w:id="7948"/>
      </w:r>
      <w:r w:rsidRPr="00007309">
        <w:rPr>
          <w:rFonts w:cs="Arial"/>
          <w:b/>
          <w:bCs/>
          <w:sz w:val="24"/>
          <w:szCs w:val="24"/>
          <w:rtl/>
        </w:rPr>
        <w:t>כָּל הַבֵּן הַיִּלּוֹד הַיְאֹרָה תַּשְׁלִיכֻהוּ</w:t>
      </w:r>
      <w:r w:rsidRPr="00007309">
        <w:rPr>
          <w:rFonts w:cs="Arial" w:hint="cs"/>
          <w:b/>
          <w:bCs/>
          <w:sz w:val="24"/>
          <w:szCs w:val="24"/>
          <w:rtl/>
        </w:rPr>
        <w:t>,</w:t>
      </w:r>
      <w:r w:rsidRPr="00007309">
        <w:rPr>
          <w:rFonts w:cs="Arial"/>
          <w:b/>
          <w:bCs/>
          <w:sz w:val="24"/>
          <w:szCs w:val="24"/>
          <w:rtl/>
        </w:rPr>
        <w:t xml:space="preserve"> דְּאִיהִי נְהוֹרָא דְּאוֹרַיְתָא</w:t>
      </w:r>
      <w:r w:rsidRPr="00007309">
        <w:rPr>
          <w:rFonts w:cs="Arial" w:hint="cs"/>
          <w:b/>
          <w:bCs/>
          <w:sz w:val="24"/>
          <w:szCs w:val="24"/>
          <w:rtl/>
        </w:rPr>
        <w:t>,</w:t>
      </w:r>
      <w:r w:rsidRPr="00007309">
        <w:rPr>
          <w:rFonts w:cs="Arial"/>
          <w:b/>
          <w:bCs/>
          <w:sz w:val="24"/>
          <w:szCs w:val="24"/>
          <w:rtl/>
        </w:rPr>
        <w:t xml:space="preserve"> דְּאִיהִי אוֹר, תַּשְׁלִיכֻהוּ. וְכָל הַבַּת</w:t>
      </w:r>
      <w:r w:rsidRPr="00007309">
        <w:rPr>
          <w:rFonts w:cs="Arial" w:hint="cs"/>
          <w:b/>
          <w:bCs/>
          <w:sz w:val="24"/>
          <w:szCs w:val="24"/>
          <w:rtl/>
        </w:rPr>
        <w:t>,</w:t>
      </w:r>
      <w:r w:rsidRPr="00007309">
        <w:rPr>
          <w:rFonts w:cs="Arial"/>
          <w:b/>
          <w:bCs/>
          <w:sz w:val="24"/>
          <w:szCs w:val="24"/>
          <w:rtl/>
        </w:rPr>
        <w:t xml:space="preserve"> דְּאִיהִי נֵר מִצְוָה תּוֹרָה</w:t>
      </w:r>
      <w:r w:rsidRPr="00007309">
        <w:rPr>
          <w:rFonts w:cs="Arial" w:hint="cs"/>
          <w:b/>
          <w:bCs/>
          <w:sz w:val="24"/>
          <w:szCs w:val="24"/>
          <w:rtl/>
        </w:rPr>
        <w:t>,</w:t>
      </w:r>
      <w:r w:rsidRPr="00007309">
        <w:rPr>
          <w:rFonts w:cs="Arial"/>
          <w:b/>
          <w:bCs/>
          <w:sz w:val="24"/>
          <w:szCs w:val="24"/>
          <w:rtl/>
        </w:rPr>
        <w:t xml:space="preserve"> שֶׁבְּעַל פֶּה, תְּחַיּוּן</w:t>
      </w:r>
      <w:r w:rsidRPr="00007309">
        <w:rPr>
          <w:rFonts w:cs="Arial" w:hint="cs"/>
          <w:b/>
          <w:bCs/>
          <w:sz w:val="24"/>
          <w:szCs w:val="24"/>
          <w:rtl/>
        </w:rPr>
        <w:t>,</w:t>
      </w:r>
      <w:r w:rsidRPr="00007309">
        <w:rPr>
          <w:rFonts w:cs="Arial"/>
          <w:b/>
          <w:bCs/>
          <w:sz w:val="24"/>
          <w:szCs w:val="24"/>
          <w:rtl/>
        </w:rPr>
        <w:t xml:space="preserve"> כָּל אִלֵּין דְּיִתְגַּדְּלוּן בָּהּ</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949"/>
      </w:r>
      <w:r w:rsidRPr="00007309">
        <w:rPr>
          <w:rFonts w:cs="Arial"/>
          <w:b/>
          <w:bCs/>
          <w:sz w:val="24"/>
          <w:szCs w:val="24"/>
          <w:rtl/>
        </w:rPr>
        <w:t xml:space="preserve">בְּגִין דַּהֲוָה עָתִיד לְאַפָּקָא </w:t>
      </w:r>
      <w:r w:rsidRPr="00007309">
        <w:rPr>
          <w:rFonts w:ascii="Cambria" w:hAnsi="Cambria" w:cs="Times New Roman" w:hint="cs"/>
          <w:b/>
          <w:bCs/>
          <w:i/>
          <w:iCs/>
          <w:color w:val="4F81BD"/>
          <w:sz w:val="24"/>
          <w:szCs w:val="24"/>
          <w:rtl/>
        </w:rPr>
        <w:t>(וילנא לו ע"ב)</w:t>
      </w:r>
      <w:r w:rsidRPr="00007309">
        <w:rPr>
          <w:rFonts w:cs="Arial" w:hint="cs"/>
          <w:b/>
          <w:bCs/>
          <w:sz w:val="24"/>
          <w:szCs w:val="24"/>
          <w:rtl/>
        </w:rPr>
        <w:t xml:space="preserve"> </w:t>
      </w:r>
      <w:r w:rsidRPr="00007309">
        <w:rPr>
          <w:rFonts w:cs="Arial"/>
          <w:b/>
          <w:bCs/>
          <w:sz w:val="24"/>
          <w:szCs w:val="24"/>
          <w:rtl/>
        </w:rPr>
        <w:t xml:space="preserve">מוֹשִׁיעַ. </w:t>
      </w:r>
      <w:r w:rsidRPr="00007309">
        <w:rPr>
          <w:rFonts w:cs="Arial"/>
          <w:b/>
          <w:bCs/>
          <w:sz w:val="36"/>
          <w:szCs w:val="28"/>
          <w:vertAlign w:val="superscript"/>
          <w:rtl/>
        </w:rPr>
        <w:footnoteReference w:id="7950"/>
      </w:r>
      <w:r w:rsidRPr="00007309">
        <w:rPr>
          <w:rFonts w:cs="Arial"/>
          <w:b/>
          <w:bCs/>
          <w:sz w:val="24"/>
          <w:szCs w:val="24"/>
          <w:rtl/>
        </w:rPr>
        <w:t xml:space="preserve">וְלֹא עָבְדוּ הָכֵי הַמְיַלְּדוֹת (נ"א הני המילדת והכי אמרו מ"מ) דְּאִנּוּן </w:t>
      </w:r>
      <w:r w:rsidRPr="00007309">
        <w:rPr>
          <w:rFonts w:cs="Arial" w:hint="cs"/>
          <w:b/>
          <w:bCs/>
          <w:sz w:val="24"/>
          <w:szCs w:val="24"/>
          <w:rtl/>
        </w:rPr>
        <w:t>ב"</w:t>
      </w:r>
      <w:r w:rsidRPr="00007309">
        <w:rPr>
          <w:rFonts w:cs="Arial"/>
          <w:b/>
          <w:bCs/>
          <w:sz w:val="24"/>
          <w:szCs w:val="24"/>
          <w:rtl/>
        </w:rPr>
        <w:t xml:space="preserve">מ, </w:t>
      </w:r>
      <w:r w:rsidRPr="00007309">
        <w:rPr>
          <w:rFonts w:cs="Arial"/>
          <w:b/>
          <w:bCs/>
          <w:sz w:val="36"/>
          <w:szCs w:val="28"/>
          <w:vertAlign w:val="superscript"/>
          <w:rtl/>
        </w:rPr>
        <w:footnoteReference w:id="7951"/>
      </w:r>
      <w:r w:rsidRPr="00007309">
        <w:rPr>
          <w:rFonts w:cs="Arial"/>
          <w:b/>
          <w:bCs/>
          <w:sz w:val="24"/>
          <w:szCs w:val="24"/>
          <w:rtl/>
        </w:rPr>
        <w:t>וַתְּחַיֶּיןָ אֶת</w:t>
      </w:r>
      <w:r w:rsidRPr="00007309">
        <w:rPr>
          <w:rFonts w:cs="Arial"/>
          <w:b/>
          <w:bCs/>
          <w:sz w:val="24"/>
          <w:szCs w:val="28"/>
        </w:rPr>
        <w:t xml:space="preserve"> </w:t>
      </w:r>
      <w:r w:rsidRPr="00007309">
        <w:rPr>
          <w:rFonts w:cs="Arial"/>
          <w:b/>
          <w:bCs/>
          <w:sz w:val="24"/>
          <w:szCs w:val="24"/>
          <w:rtl/>
        </w:rPr>
        <w:t>הַיְלָדִים. בְּגִין דַּהֲווֹ דָּחֲלִין מִקּוּדְשָׁא בְּרִיךְ הוּא</w:t>
      </w:r>
      <w:r w:rsidRPr="00007309">
        <w:rPr>
          <w:rFonts w:cs="Arial" w:hint="cs"/>
          <w:b/>
          <w:bCs/>
          <w:sz w:val="24"/>
          <w:szCs w:val="24"/>
          <w:rtl/>
        </w:rPr>
        <w:t>,</w:t>
      </w:r>
      <w:r w:rsidRPr="00007309">
        <w:rPr>
          <w:rFonts w:cs="Arial"/>
          <w:b/>
          <w:bCs/>
          <w:sz w:val="24"/>
          <w:szCs w:val="24"/>
          <w:rtl/>
        </w:rPr>
        <w:t xml:space="preserve"> הָדָא הוּא דִּכְתִיב (שם) וַתִּירֶאןָ הַמְיַלְּדֹת אֶת הָאֱלֹהִים וְגוֹ'. </w:t>
      </w:r>
      <w:r w:rsidRPr="00007309">
        <w:rPr>
          <w:rFonts w:cs="Arial"/>
          <w:b/>
          <w:bCs/>
          <w:sz w:val="36"/>
          <w:szCs w:val="28"/>
          <w:vertAlign w:val="superscript"/>
          <w:rtl/>
        </w:rPr>
        <w:footnoteReference w:id="7952"/>
      </w:r>
      <w:r w:rsidRPr="00007309">
        <w:rPr>
          <w:rFonts w:cs="Arial"/>
          <w:b/>
          <w:bCs/>
          <w:sz w:val="24"/>
          <w:szCs w:val="24"/>
          <w:rtl/>
        </w:rPr>
        <w:t>וּבְהַאי בֵּן הַיִּלּוֹד</w:t>
      </w:r>
      <w:r w:rsidRPr="00007309">
        <w:rPr>
          <w:rFonts w:cs="Arial" w:hint="cs"/>
          <w:b/>
          <w:bCs/>
          <w:sz w:val="24"/>
          <w:szCs w:val="24"/>
          <w:rtl/>
        </w:rPr>
        <w:t>,</w:t>
      </w:r>
      <w:r w:rsidRPr="00007309">
        <w:rPr>
          <w:rFonts w:cs="Arial"/>
          <w:b/>
          <w:bCs/>
          <w:sz w:val="24"/>
          <w:szCs w:val="24"/>
          <w:rtl/>
        </w:rPr>
        <w:t xml:space="preserve"> הַיְאֹרָה בֵּהּ תַּשְׁלִי"כֻהוּ</w:t>
      </w:r>
      <w:r w:rsidRPr="00007309">
        <w:rPr>
          <w:rFonts w:cs="Arial" w:hint="cs"/>
          <w:b/>
          <w:bCs/>
          <w:sz w:val="24"/>
          <w:szCs w:val="24"/>
          <w:rtl/>
        </w:rPr>
        <w:t>,</w:t>
      </w:r>
      <w:r w:rsidRPr="00007309">
        <w:rPr>
          <w:rFonts w:cs="Arial"/>
          <w:b/>
          <w:bCs/>
          <w:sz w:val="24"/>
          <w:szCs w:val="24"/>
          <w:rtl/>
        </w:rPr>
        <w:t xml:space="preserve"> וְהַמַּשְׂכִּילִים יַזְהִרוּ כְּזֹהַר הָרָקִיעַ וְגוֹ'. בְּיוֹמָא שְׁתִיתָאָה אֶלֶף שְׁתִיתָאָה בֵּהּ יגל פזק</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953"/>
      </w:r>
      <w:r w:rsidRPr="00007309">
        <w:rPr>
          <w:rFonts w:cs="Arial"/>
          <w:b/>
          <w:bCs/>
          <w:sz w:val="24"/>
          <w:szCs w:val="24"/>
          <w:rtl/>
        </w:rPr>
        <w:t>בֵּהּ י</w:t>
      </w:r>
      <w:r w:rsidRPr="00007309">
        <w:rPr>
          <w:rFonts w:cs="Arial" w:hint="cs"/>
          <w:b/>
          <w:bCs/>
          <w:sz w:val="24"/>
          <w:szCs w:val="24"/>
          <w:rtl/>
        </w:rPr>
        <w:t>'</w:t>
      </w:r>
      <w:r w:rsidRPr="00007309">
        <w:rPr>
          <w:rFonts w:cs="Arial"/>
          <w:b/>
          <w:bCs/>
          <w:sz w:val="24"/>
          <w:szCs w:val="24"/>
          <w:rtl/>
        </w:rPr>
        <w:t>ג</w:t>
      </w:r>
      <w:r w:rsidRPr="00007309">
        <w:rPr>
          <w:rFonts w:cs="Arial" w:hint="cs"/>
          <w:b/>
          <w:bCs/>
          <w:sz w:val="24"/>
          <w:szCs w:val="24"/>
          <w:rtl/>
        </w:rPr>
        <w:t>'</w:t>
      </w:r>
      <w:r w:rsidRPr="00007309">
        <w:rPr>
          <w:rFonts w:cs="Arial"/>
          <w:b/>
          <w:bCs/>
          <w:sz w:val="24"/>
          <w:szCs w:val="24"/>
          <w:rtl/>
        </w:rPr>
        <w:t xml:space="preserve">ל </w:t>
      </w:r>
      <w:r w:rsidRPr="00007309">
        <w:rPr>
          <w:rFonts w:cs="Arial"/>
          <w:b/>
          <w:bCs/>
          <w:sz w:val="36"/>
          <w:szCs w:val="28"/>
          <w:vertAlign w:val="superscript"/>
          <w:rtl/>
        </w:rPr>
        <w:footnoteReference w:id="7954"/>
      </w:r>
      <w:r w:rsidRPr="00007309">
        <w:rPr>
          <w:rFonts w:cs="Arial"/>
          <w:b/>
          <w:bCs/>
          <w:sz w:val="24"/>
          <w:szCs w:val="24"/>
          <w:rtl/>
        </w:rPr>
        <w:t>פ</w:t>
      </w:r>
      <w:r w:rsidRPr="00007309">
        <w:rPr>
          <w:rFonts w:cs="Arial" w:hint="cs"/>
          <w:b/>
          <w:bCs/>
          <w:sz w:val="24"/>
          <w:szCs w:val="24"/>
          <w:rtl/>
        </w:rPr>
        <w:t>'</w:t>
      </w:r>
      <w:r w:rsidRPr="00007309">
        <w:rPr>
          <w:rFonts w:cs="Arial"/>
          <w:b/>
          <w:bCs/>
          <w:sz w:val="24"/>
          <w:szCs w:val="24"/>
          <w:rtl/>
        </w:rPr>
        <w:t xml:space="preserve">ורקן </w:t>
      </w:r>
      <w:r w:rsidRPr="00007309">
        <w:rPr>
          <w:rFonts w:cs="Arial"/>
          <w:b/>
          <w:bCs/>
          <w:sz w:val="36"/>
          <w:szCs w:val="28"/>
          <w:vertAlign w:val="superscript"/>
          <w:rtl/>
        </w:rPr>
        <w:footnoteReference w:id="7955"/>
      </w:r>
      <w:r w:rsidRPr="00007309">
        <w:rPr>
          <w:rFonts w:cs="Arial"/>
          <w:b/>
          <w:bCs/>
          <w:sz w:val="24"/>
          <w:szCs w:val="24"/>
          <w:rtl/>
        </w:rPr>
        <w:t>זֶ</w:t>
      </w:r>
      <w:r w:rsidRPr="00007309">
        <w:rPr>
          <w:rFonts w:cs="Arial" w:hint="cs"/>
          <w:b/>
          <w:bCs/>
          <w:sz w:val="24"/>
          <w:szCs w:val="24"/>
          <w:rtl/>
        </w:rPr>
        <w:t>'</w:t>
      </w:r>
      <w:r w:rsidRPr="00007309">
        <w:rPr>
          <w:rFonts w:cs="Arial"/>
          <w:b/>
          <w:bCs/>
          <w:sz w:val="24"/>
          <w:szCs w:val="24"/>
          <w:rtl/>
        </w:rPr>
        <w:t>רַע קְ</w:t>
      </w:r>
      <w:r w:rsidRPr="00007309">
        <w:rPr>
          <w:rFonts w:cs="Arial" w:hint="cs"/>
          <w:b/>
          <w:bCs/>
          <w:sz w:val="24"/>
          <w:szCs w:val="24"/>
          <w:rtl/>
        </w:rPr>
        <w:t>'</w:t>
      </w:r>
      <w:r w:rsidRPr="00007309">
        <w:rPr>
          <w:rFonts w:cs="Arial"/>
          <w:b/>
          <w:bCs/>
          <w:sz w:val="24"/>
          <w:szCs w:val="24"/>
          <w:rtl/>
        </w:rPr>
        <w:t>דוֹשִׁים</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956"/>
      </w:r>
      <w:r w:rsidRPr="00007309">
        <w:rPr>
          <w:rFonts w:cs="Arial"/>
          <w:b/>
          <w:bCs/>
          <w:sz w:val="24"/>
          <w:szCs w:val="24"/>
          <w:rtl/>
        </w:rPr>
        <w:t xml:space="preserve">וְעָלֵהּ אִתְּמַר (בראשית לא) יְגַר שַׂהֲדוּתָא וְיַעֲקֹב קָרָא לוֹ גַּלְעֵד. </w:t>
      </w:r>
      <w:r w:rsidRPr="00007309">
        <w:rPr>
          <w:rFonts w:cs="Arial"/>
          <w:b/>
          <w:bCs/>
          <w:sz w:val="36"/>
          <w:szCs w:val="28"/>
          <w:vertAlign w:val="superscript"/>
          <w:rtl/>
        </w:rPr>
        <w:footnoteReference w:id="7957"/>
      </w:r>
      <w:r w:rsidRPr="00007309">
        <w:rPr>
          <w:rFonts w:cs="Arial"/>
          <w:b/>
          <w:bCs/>
          <w:sz w:val="24"/>
          <w:szCs w:val="24"/>
          <w:rtl/>
        </w:rPr>
        <w:t>וְצַדִּיק אִיהוּ עָנִי</w:t>
      </w:r>
      <w:r w:rsidRPr="00007309">
        <w:rPr>
          <w:rFonts w:cs="Arial" w:hint="cs"/>
          <w:b/>
          <w:bCs/>
          <w:sz w:val="24"/>
          <w:szCs w:val="24"/>
          <w:rtl/>
        </w:rPr>
        <w:t>.</w:t>
      </w:r>
      <w:r w:rsidRPr="00007309">
        <w:rPr>
          <w:rFonts w:cs="Arial"/>
          <w:b/>
          <w:bCs/>
          <w:sz w:val="24"/>
          <w:szCs w:val="24"/>
          <w:rtl/>
        </w:rPr>
        <w:t xml:space="preserve"> וּתְרֵין מְשִׁיחִין יְקוּמוּן כְּגַוְנָא דָּא, חַד לָקֳבֵל בַּיִת רִאשׁוֹן דְּאִיהִי ה' עִלָּאָה, וְתִנְיָנָא לָקֳבֵל בַּיִת שֵׁנִי דְּאִיהִי ה' תַּתָּאָה</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958"/>
      </w:r>
      <w:r w:rsidRPr="00007309">
        <w:rPr>
          <w:rFonts w:cs="Arial"/>
          <w:b/>
          <w:bCs/>
          <w:sz w:val="24"/>
          <w:szCs w:val="24"/>
          <w:rtl/>
        </w:rPr>
        <w:t>ע"ב תַּלְיָן מִן ידו</w:t>
      </w:r>
      <w:r w:rsidRPr="00007309">
        <w:rPr>
          <w:rFonts w:cs="Arial" w:hint="cs"/>
          <w:b/>
          <w:bCs/>
          <w:sz w:val="24"/>
          <w:szCs w:val="24"/>
          <w:rtl/>
        </w:rPr>
        <w:t>'ד</w:t>
      </w:r>
      <w:r w:rsidRPr="00007309">
        <w:rPr>
          <w:rFonts w:cs="Arial"/>
          <w:b/>
          <w:bCs/>
          <w:sz w:val="24"/>
          <w:szCs w:val="24"/>
          <w:rtl/>
        </w:rPr>
        <w:t xml:space="preserve"> ידו</w:t>
      </w:r>
      <w:r w:rsidRPr="00007309">
        <w:rPr>
          <w:rFonts w:cs="Arial" w:hint="cs"/>
          <w:b/>
          <w:bCs/>
          <w:sz w:val="24"/>
          <w:szCs w:val="24"/>
          <w:rtl/>
        </w:rPr>
        <w:t>'ד</w:t>
      </w:r>
      <w:r w:rsidRPr="00007309">
        <w:rPr>
          <w:rFonts w:cs="Arial"/>
          <w:b/>
          <w:bCs/>
          <w:sz w:val="24"/>
          <w:szCs w:val="24"/>
          <w:rtl/>
        </w:rPr>
        <w:t xml:space="preserve"> ידו</w:t>
      </w:r>
      <w:r w:rsidRPr="00007309">
        <w:rPr>
          <w:rFonts w:cs="Arial" w:hint="cs"/>
          <w:b/>
          <w:bCs/>
          <w:sz w:val="24"/>
          <w:szCs w:val="24"/>
          <w:rtl/>
        </w:rPr>
        <w:t>'ד,</w:t>
      </w:r>
      <w:r w:rsidRPr="00007309">
        <w:rPr>
          <w:rFonts w:cs="Arial"/>
          <w:b/>
          <w:bCs/>
          <w:sz w:val="24"/>
          <w:szCs w:val="24"/>
          <w:rtl/>
        </w:rPr>
        <w:t xml:space="preserve"> אַרְבַּע אַנְפִּין דְּאַרְיֵה וְד' דְּשׁוֹר וְד' דְּנֶשֶׁר. יוּ'ד הֵ'א וָא'ו הֵ'א, מָ'ה מִן מֹשֶׁה</w:t>
      </w:r>
      <w:r w:rsidRPr="00007309">
        <w:rPr>
          <w:rFonts w:cs="Arial" w:hint="cs"/>
          <w:b/>
          <w:bCs/>
          <w:sz w:val="24"/>
          <w:szCs w:val="24"/>
          <w:rtl/>
        </w:rPr>
        <w:t>,</w:t>
      </w:r>
      <w:r w:rsidRPr="00007309">
        <w:rPr>
          <w:rFonts w:cs="Arial"/>
          <w:b/>
          <w:bCs/>
          <w:sz w:val="24"/>
          <w:szCs w:val="24"/>
          <w:rtl/>
        </w:rPr>
        <w:t xml:space="preserve"> דְּשַׁלִּיט וְרָכִיב עָלַיְהוּ. </w:t>
      </w:r>
      <w:r w:rsidRPr="00007309">
        <w:rPr>
          <w:rFonts w:cs="Arial"/>
          <w:b/>
          <w:bCs/>
          <w:sz w:val="36"/>
          <w:szCs w:val="28"/>
          <w:vertAlign w:val="superscript"/>
          <w:rtl/>
        </w:rPr>
        <w:footnoteReference w:id="7959"/>
      </w:r>
      <w:r w:rsidRPr="00007309">
        <w:rPr>
          <w:rFonts w:cs="Arial"/>
          <w:b/>
          <w:bCs/>
          <w:sz w:val="24"/>
          <w:szCs w:val="24"/>
          <w:rtl/>
        </w:rPr>
        <w:t>וְאִנּוּן סָלְקִין אֶלֶף וּמָאתָן</w:t>
      </w:r>
      <w:r w:rsidRPr="00007309">
        <w:rPr>
          <w:rFonts w:cs="Arial" w:hint="cs"/>
          <w:b/>
          <w:bCs/>
          <w:sz w:val="24"/>
          <w:szCs w:val="24"/>
          <w:rtl/>
        </w:rPr>
        <w:t>,</w:t>
      </w:r>
      <w:r w:rsidRPr="00007309">
        <w:rPr>
          <w:rFonts w:cs="Arial"/>
          <w:b/>
          <w:bCs/>
          <w:sz w:val="24"/>
          <w:szCs w:val="24"/>
          <w:rtl/>
        </w:rPr>
        <w:t xml:space="preserve"> וּבְהוּ רָכִיב מָ"ה</w:t>
      </w:r>
      <w:r w:rsidRPr="00007309">
        <w:rPr>
          <w:rFonts w:cs="Arial" w:hint="cs"/>
          <w:b/>
          <w:bCs/>
          <w:sz w:val="24"/>
          <w:szCs w:val="24"/>
          <w:rtl/>
        </w:rPr>
        <w:t>,</w:t>
      </w:r>
      <w:r w:rsidRPr="00007309">
        <w:rPr>
          <w:rFonts w:cs="Arial"/>
          <w:b/>
          <w:bCs/>
          <w:sz w:val="24"/>
          <w:szCs w:val="24"/>
          <w:rtl/>
        </w:rPr>
        <w:t xml:space="preserve"> חַיָּה דְּאָדָם דְּאִיהוּ מֹשֶׁה. </w:t>
      </w:r>
      <w:r w:rsidRPr="00007309">
        <w:rPr>
          <w:rFonts w:cs="Arial"/>
          <w:b/>
          <w:bCs/>
          <w:sz w:val="36"/>
          <w:szCs w:val="28"/>
          <w:vertAlign w:val="superscript"/>
          <w:rtl/>
        </w:rPr>
        <w:footnoteReference w:id="7960"/>
      </w:r>
      <w:r w:rsidRPr="00007309">
        <w:rPr>
          <w:rFonts w:cs="Arial"/>
          <w:b/>
          <w:bCs/>
          <w:sz w:val="24"/>
          <w:szCs w:val="24"/>
          <w:rtl/>
        </w:rPr>
        <w:t xml:space="preserve">וְכֹלָּא אִתְעַכֵּב עַד דְּיֵיתֵי שִׁילֹה דְּאִיהוּ מֹשֶׁה בְּגִימַטְרִיָּא מָ"ה, </w:t>
      </w:r>
      <w:r w:rsidRPr="00007309">
        <w:rPr>
          <w:rFonts w:cs="Arial"/>
          <w:b/>
          <w:bCs/>
          <w:sz w:val="36"/>
          <w:szCs w:val="28"/>
          <w:vertAlign w:val="superscript"/>
          <w:rtl/>
        </w:rPr>
        <w:footnoteReference w:id="7961"/>
      </w:r>
      <w:r w:rsidRPr="00007309">
        <w:rPr>
          <w:rFonts w:cs="Arial"/>
          <w:b/>
          <w:bCs/>
          <w:sz w:val="24"/>
          <w:szCs w:val="24"/>
          <w:rtl/>
        </w:rPr>
        <w:t xml:space="preserve">אַרְבָּעִין וְחָמֵשׁ שְׁנִין בָּתַר אֶלֶף וּמָאתָן שְׁנִין. וְכֻלְּהוּ נָחְתִין בְּצַדִּיק וְאַרְבַּע אַתְוָן (נראה דה"ג </w:t>
      </w:r>
      <w:r w:rsidRPr="00007309">
        <w:rPr>
          <w:rFonts w:cs="Arial"/>
          <w:b/>
          <w:bCs/>
          <w:sz w:val="36"/>
          <w:szCs w:val="28"/>
          <w:vertAlign w:val="superscript"/>
          <w:rtl/>
        </w:rPr>
        <w:footnoteReference w:id="7962"/>
      </w:r>
      <w:r w:rsidRPr="00007309">
        <w:rPr>
          <w:rFonts w:cs="Arial"/>
          <w:b/>
          <w:bCs/>
          <w:sz w:val="24"/>
          <w:szCs w:val="24"/>
          <w:rtl/>
        </w:rPr>
        <w:t xml:space="preserve"> וְכֻלְּהוּ ד</w:t>
      </w:r>
      <w:r w:rsidRPr="00007309">
        <w:rPr>
          <w:rFonts w:cs="Arial" w:hint="cs"/>
          <w:b/>
          <w:bCs/>
          <w:sz w:val="24"/>
          <w:szCs w:val="24"/>
          <w:rtl/>
        </w:rPr>
        <w:t>'</w:t>
      </w:r>
      <w:r w:rsidRPr="00007309">
        <w:rPr>
          <w:rFonts w:cs="Arial"/>
          <w:b/>
          <w:bCs/>
          <w:sz w:val="24"/>
          <w:szCs w:val="24"/>
          <w:rtl/>
        </w:rPr>
        <w:t xml:space="preserve"> אַתְוָן נָחְתִין בְּצַדִּיק) וְאִתְקַשְּׁרָן בֵּהּ, </w:t>
      </w:r>
      <w:r w:rsidRPr="00007309">
        <w:rPr>
          <w:rFonts w:cs="Arial"/>
          <w:b/>
          <w:bCs/>
          <w:sz w:val="36"/>
          <w:szCs w:val="28"/>
          <w:vertAlign w:val="superscript"/>
          <w:rtl/>
        </w:rPr>
        <w:footnoteReference w:id="7963"/>
      </w:r>
      <w:r w:rsidRPr="00007309">
        <w:rPr>
          <w:rFonts w:cs="Arial"/>
          <w:b/>
          <w:bCs/>
          <w:sz w:val="24"/>
          <w:szCs w:val="24"/>
          <w:rtl/>
        </w:rPr>
        <w:t>בְּגִין דְּאִיהוּ קִשּׁוּרָא דְּיִחוּדָא. וּמַאי נִיהוּ יהו</w:t>
      </w:r>
      <w:r w:rsidRPr="00007309">
        <w:rPr>
          <w:rFonts w:cs="Arial" w:hint="cs"/>
          <w:b/>
          <w:bCs/>
          <w:sz w:val="24"/>
          <w:szCs w:val="24"/>
          <w:rtl/>
        </w:rPr>
        <w:t>"</w:t>
      </w:r>
      <w:r w:rsidRPr="00007309">
        <w:rPr>
          <w:rFonts w:cs="Arial"/>
          <w:b/>
          <w:bCs/>
          <w:sz w:val="24"/>
          <w:szCs w:val="24"/>
          <w:rtl/>
        </w:rPr>
        <w:t>ה עַמּוּדָא דְּאֶמְצָעִיתָא, נַהֲרָא בְּצַדִּיק</w:t>
      </w:r>
      <w:r w:rsidRPr="00007309">
        <w:rPr>
          <w:rFonts w:cs="Arial" w:hint="cs"/>
          <w:b/>
          <w:bCs/>
          <w:sz w:val="24"/>
          <w:szCs w:val="24"/>
          <w:rtl/>
        </w:rPr>
        <w:t>,</w:t>
      </w:r>
      <w:r w:rsidRPr="00007309">
        <w:rPr>
          <w:rFonts w:cs="Arial"/>
          <w:b/>
          <w:bCs/>
          <w:sz w:val="24"/>
          <w:szCs w:val="24"/>
          <w:rtl/>
        </w:rPr>
        <w:t xml:space="preserve"> לְאַקָּמָא בֵּהּ לִשְׁכִינְתָּא דְּאִיהִי אֲדֹנָ"י </w:t>
      </w:r>
      <w:r w:rsidRPr="00007309">
        <w:rPr>
          <w:rFonts w:cs="Arial"/>
          <w:b/>
          <w:bCs/>
          <w:sz w:val="36"/>
          <w:szCs w:val="28"/>
          <w:vertAlign w:val="superscript"/>
          <w:rtl/>
        </w:rPr>
        <w:footnoteReference w:id="7964"/>
      </w:r>
      <w:r w:rsidRPr="00007309">
        <w:rPr>
          <w:rFonts w:cs="Arial"/>
          <w:b/>
          <w:bCs/>
          <w:sz w:val="24"/>
          <w:szCs w:val="24"/>
          <w:rtl/>
        </w:rPr>
        <w:t xml:space="preserve">דִּין בְּגָלוּתָא. </w:t>
      </w:r>
      <w:r w:rsidRPr="00007309">
        <w:rPr>
          <w:rFonts w:cs="Arial"/>
          <w:b/>
          <w:bCs/>
          <w:sz w:val="36"/>
          <w:szCs w:val="28"/>
          <w:vertAlign w:val="superscript"/>
          <w:rtl/>
        </w:rPr>
        <w:footnoteReference w:id="7965"/>
      </w:r>
      <w:r w:rsidRPr="00007309">
        <w:rPr>
          <w:rFonts w:cs="Arial"/>
          <w:b/>
          <w:bCs/>
          <w:sz w:val="24"/>
          <w:szCs w:val="24"/>
          <w:rtl/>
        </w:rPr>
        <w:t xml:space="preserve">וּבְגִין דְּצַדִּיק אִתְקְשַׁר בִּגְבוּרָה </w:t>
      </w:r>
      <w:r w:rsidRPr="00007309">
        <w:rPr>
          <w:rFonts w:cs="Arial"/>
          <w:b/>
          <w:bCs/>
          <w:sz w:val="36"/>
          <w:szCs w:val="28"/>
          <w:vertAlign w:val="superscript"/>
          <w:rtl/>
        </w:rPr>
        <w:footnoteReference w:id="7966"/>
      </w:r>
      <w:r w:rsidRPr="00007309">
        <w:rPr>
          <w:rFonts w:cs="Arial"/>
          <w:b/>
          <w:bCs/>
          <w:sz w:val="24"/>
          <w:szCs w:val="24"/>
          <w:rtl/>
        </w:rPr>
        <w:t xml:space="preserve">דְּמִתַּמָּן עוּתְרָא, </w:t>
      </w:r>
      <w:r w:rsidRPr="00007309">
        <w:rPr>
          <w:rFonts w:cs="Arial"/>
          <w:b/>
          <w:bCs/>
          <w:sz w:val="36"/>
          <w:szCs w:val="28"/>
          <w:vertAlign w:val="superscript"/>
          <w:rtl/>
        </w:rPr>
        <w:footnoteReference w:id="7967"/>
      </w:r>
      <w:r w:rsidRPr="00007309">
        <w:rPr>
          <w:rFonts w:cs="Arial"/>
          <w:b/>
          <w:bCs/>
          <w:sz w:val="24"/>
          <w:szCs w:val="24"/>
          <w:rtl/>
        </w:rPr>
        <w:t>שְׂמֹאל דּוֹחָה</w:t>
      </w:r>
      <w:r w:rsidRPr="00007309">
        <w:rPr>
          <w:rFonts w:cs="Arial" w:hint="cs"/>
          <w:b/>
          <w:bCs/>
          <w:sz w:val="24"/>
          <w:szCs w:val="24"/>
          <w:rtl/>
        </w:rPr>
        <w:t>,</w:t>
      </w:r>
      <w:r w:rsidRPr="00007309">
        <w:rPr>
          <w:rFonts w:cs="Arial"/>
          <w:b/>
          <w:bCs/>
          <w:sz w:val="24"/>
          <w:szCs w:val="24"/>
          <w:rtl/>
        </w:rPr>
        <w:t xml:space="preserve"> וְלֹא יִפְרוֹק מִתַּמָּן עַד דְּיִתְקַשַּׁר צַדִּיק בִּימִינָא, </w:t>
      </w:r>
      <w:r w:rsidRPr="00007309">
        <w:rPr>
          <w:rFonts w:cs="Arial"/>
          <w:b/>
          <w:bCs/>
          <w:sz w:val="36"/>
          <w:szCs w:val="28"/>
          <w:vertAlign w:val="superscript"/>
          <w:rtl/>
        </w:rPr>
        <w:footnoteReference w:id="7968"/>
      </w:r>
      <w:r w:rsidRPr="00007309">
        <w:rPr>
          <w:rFonts w:cs="Arial"/>
          <w:b/>
          <w:bCs/>
          <w:sz w:val="24"/>
          <w:szCs w:val="24"/>
          <w:rtl/>
        </w:rPr>
        <w:t>דְּאִיהוּ עָנִי וְחַכִּים</w:t>
      </w:r>
      <w:r w:rsidRPr="00007309">
        <w:rPr>
          <w:rFonts w:cs="Arial" w:hint="cs"/>
          <w:b/>
          <w:bCs/>
          <w:sz w:val="24"/>
          <w:szCs w:val="24"/>
          <w:rtl/>
        </w:rPr>
        <w:t>,</w:t>
      </w:r>
      <w:r w:rsidRPr="00007309">
        <w:rPr>
          <w:rFonts w:cs="Arial"/>
          <w:b/>
          <w:bCs/>
          <w:sz w:val="24"/>
          <w:szCs w:val="24"/>
          <w:rtl/>
        </w:rPr>
        <w:t xml:space="preserve"> דְּתַמָּן צַדִּיק אִיהוּ מִסְכֵּן וְחָכָם, </w:t>
      </w:r>
      <w:r w:rsidRPr="00007309">
        <w:rPr>
          <w:rFonts w:cs="Arial" w:hint="cs"/>
          <w:b/>
          <w:bCs/>
          <w:sz w:val="24"/>
          <w:szCs w:val="24"/>
          <w:rtl/>
        </w:rPr>
        <w:t xml:space="preserve">(קהלת ט טו) </w:t>
      </w:r>
      <w:r w:rsidRPr="00007309">
        <w:rPr>
          <w:rFonts w:cs="Arial"/>
          <w:b/>
          <w:bCs/>
          <w:sz w:val="24"/>
          <w:szCs w:val="24"/>
          <w:rtl/>
        </w:rPr>
        <w:t xml:space="preserve">וּמִלַּט הוּא אֶת הָעִיר בְּחָכְמָתוֹ. מַאי הָעִיר דָּא יְרוּשָׁלַםִ, דְּאִתְּמַר בָּהּ </w:t>
      </w:r>
      <w:r w:rsidRPr="00007309">
        <w:rPr>
          <w:rFonts w:cs="Arial" w:hint="cs"/>
          <w:b/>
          <w:bCs/>
          <w:sz w:val="24"/>
          <w:szCs w:val="24"/>
          <w:rtl/>
        </w:rPr>
        <w:t xml:space="preserve">(זכריה יד ב) </w:t>
      </w:r>
      <w:r w:rsidRPr="00007309">
        <w:rPr>
          <w:rFonts w:cs="Arial"/>
          <w:b/>
          <w:bCs/>
          <w:sz w:val="24"/>
          <w:szCs w:val="24"/>
          <w:rtl/>
        </w:rPr>
        <w:t>וְנִלְכְּדָה הָעִיר, וְלֹא יְמוּת מָשִׁיחַ. וּבְגִין עֲנִיּוּתֵהּ וְחָכְמָתֵהּ יְשֵׁיזִב לְקַרְתָּא</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969"/>
      </w:r>
      <w:r w:rsidRPr="00007309">
        <w:rPr>
          <w:rFonts w:cs="Arial"/>
          <w:b/>
          <w:bCs/>
          <w:sz w:val="24"/>
          <w:szCs w:val="24"/>
          <w:rtl/>
        </w:rPr>
        <w:t xml:space="preserve">בְּגִין דְּאִיהוּ עָנִי וְחָשׁוּב כַּמֵּת. </w:t>
      </w:r>
      <w:r w:rsidRPr="00007309">
        <w:rPr>
          <w:rFonts w:cs="Arial"/>
          <w:b/>
          <w:bCs/>
          <w:sz w:val="36"/>
          <w:szCs w:val="28"/>
          <w:vertAlign w:val="superscript"/>
          <w:rtl/>
        </w:rPr>
        <w:footnoteReference w:id="7970"/>
      </w:r>
      <w:r w:rsidRPr="00007309">
        <w:rPr>
          <w:rFonts w:cs="Arial"/>
          <w:b/>
          <w:bCs/>
          <w:sz w:val="24"/>
          <w:szCs w:val="24"/>
          <w:rtl/>
        </w:rPr>
        <w:t>וַעֲתִי</w:t>
      </w:r>
      <w:r w:rsidRPr="00007309">
        <w:rPr>
          <w:rFonts w:cs="Arial" w:hint="cs"/>
          <w:b/>
          <w:bCs/>
          <w:sz w:val="24"/>
          <w:szCs w:val="24"/>
          <w:rtl/>
        </w:rPr>
        <w:t>ר</w:t>
      </w:r>
      <w:r w:rsidRPr="00007309">
        <w:rPr>
          <w:rFonts w:cs="Arial"/>
          <w:b/>
          <w:bCs/>
          <w:sz w:val="24"/>
          <w:szCs w:val="24"/>
          <w:rtl/>
        </w:rPr>
        <w:t xml:space="preserve">ִין בְּאוֹרַיְתָא לָא יִשְׁתָּאֲרוּן אֶלָּא </w:t>
      </w:r>
      <w:r w:rsidRPr="00007309">
        <w:rPr>
          <w:rFonts w:cs="Arial" w:hint="cs"/>
          <w:b/>
          <w:bCs/>
          <w:sz w:val="24"/>
          <w:szCs w:val="24"/>
          <w:rtl/>
        </w:rPr>
        <w:t xml:space="preserve">(ירמיה ג יד) </w:t>
      </w:r>
      <w:r w:rsidRPr="00007309">
        <w:rPr>
          <w:rFonts w:cs="Arial"/>
          <w:b/>
          <w:bCs/>
          <w:sz w:val="24"/>
          <w:szCs w:val="24"/>
          <w:rtl/>
        </w:rPr>
        <w:t>א' מֵעִיר וּשְׁנַיִם מִמִּשְׁפָּחָה. חַד מֵעִיר</w:t>
      </w:r>
      <w:r w:rsidRPr="00007309">
        <w:rPr>
          <w:rFonts w:cs="Arial" w:hint="cs"/>
          <w:b/>
          <w:bCs/>
          <w:sz w:val="24"/>
          <w:szCs w:val="24"/>
          <w:rtl/>
        </w:rPr>
        <w:t>,</w:t>
      </w:r>
      <w:r w:rsidRPr="00007309">
        <w:rPr>
          <w:rFonts w:cs="Arial"/>
          <w:b/>
          <w:bCs/>
          <w:sz w:val="24"/>
          <w:szCs w:val="24"/>
          <w:rtl/>
        </w:rPr>
        <w:t xml:space="preserve"> דְּאַגִּין </w:t>
      </w:r>
      <w:r w:rsidRPr="00007309">
        <w:rPr>
          <w:rFonts w:cs="Arial"/>
          <w:b/>
          <w:bCs/>
          <w:sz w:val="36"/>
          <w:szCs w:val="28"/>
          <w:vertAlign w:val="superscript"/>
          <w:rtl/>
        </w:rPr>
        <w:footnoteReference w:id="7971"/>
      </w:r>
      <w:r w:rsidRPr="00007309">
        <w:rPr>
          <w:rFonts w:cs="Arial"/>
          <w:b/>
          <w:bCs/>
          <w:sz w:val="24"/>
          <w:szCs w:val="24"/>
          <w:rtl/>
        </w:rPr>
        <w:t>עַל קַרְתָּא</w:t>
      </w:r>
      <w:r w:rsidRPr="00007309">
        <w:rPr>
          <w:rFonts w:cs="Arial" w:hint="cs"/>
          <w:b/>
          <w:bCs/>
          <w:sz w:val="24"/>
          <w:szCs w:val="24"/>
          <w:rtl/>
        </w:rPr>
        <w:t>,</w:t>
      </w:r>
      <w:r w:rsidRPr="00007309">
        <w:rPr>
          <w:rFonts w:cs="Arial"/>
          <w:b/>
          <w:bCs/>
          <w:sz w:val="24"/>
          <w:szCs w:val="24"/>
          <w:rtl/>
        </w:rPr>
        <w:t xml:space="preserve"> וְדָא שִׁילֹה דְּדַרְגֵּהּ עַמּוּדָא דְּאֶמְצָעִיתָא</w:t>
      </w:r>
      <w:r w:rsidRPr="00007309">
        <w:rPr>
          <w:rFonts w:cs="Arial" w:hint="cs"/>
          <w:b/>
          <w:bCs/>
          <w:sz w:val="24"/>
          <w:szCs w:val="24"/>
          <w:rtl/>
        </w:rPr>
        <w:t>.</w:t>
      </w:r>
      <w:r w:rsidRPr="00007309">
        <w:rPr>
          <w:rFonts w:cs="Arial"/>
          <w:b/>
          <w:bCs/>
          <w:sz w:val="24"/>
          <w:szCs w:val="24"/>
          <w:rtl/>
        </w:rPr>
        <w:t xml:space="preserve"> וּתְרֵי מִמִּשְׁפָּחָה, תְּרֵין מְשִׁיחִין</w:t>
      </w:r>
      <w:r w:rsidRPr="00007309">
        <w:rPr>
          <w:rFonts w:cs="Arial" w:hint="cs"/>
          <w:b/>
          <w:bCs/>
          <w:sz w:val="24"/>
          <w:szCs w:val="24"/>
          <w:rtl/>
        </w:rPr>
        <w:t>,</w:t>
      </w:r>
      <w:r w:rsidRPr="00007309">
        <w:rPr>
          <w:rFonts w:cs="Arial"/>
          <w:b/>
          <w:bCs/>
          <w:sz w:val="24"/>
          <w:szCs w:val="24"/>
          <w:rtl/>
        </w:rPr>
        <w:t xml:space="preserve"> מִסִּטְרָא דִּתְרֵי סַמְכֵי קְשׁוֹט, דְּאַגִּינוּ עַל מִשְׁפָּחָה דְּאִנּוּן עֲתִירִין בְּאוֹרַיְתָא וּבִנְבוּאָה. </w:t>
      </w:r>
      <w:r w:rsidRPr="00007309">
        <w:rPr>
          <w:rFonts w:cs="Arial"/>
          <w:b/>
          <w:bCs/>
          <w:sz w:val="36"/>
          <w:szCs w:val="28"/>
          <w:vertAlign w:val="superscript"/>
          <w:rtl/>
        </w:rPr>
        <w:footnoteReference w:id="7972"/>
      </w:r>
      <w:r w:rsidRPr="00007309">
        <w:rPr>
          <w:rFonts w:cs="Arial"/>
          <w:b/>
          <w:bCs/>
          <w:sz w:val="24"/>
          <w:szCs w:val="24"/>
          <w:rtl/>
        </w:rPr>
        <w:t>וְאָחֳרָנִין כֻּלְּהוּ עֲנִיִּים בְּאוֹרַיְתָא וּבִנְבוּאָה. וּבִזְכוּת אִלֵּין תְּלָת</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973"/>
      </w:r>
      <w:r w:rsidRPr="00007309">
        <w:rPr>
          <w:rFonts w:cs="Arial"/>
          <w:b/>
          <w:bCs/>
          <w:sz w:val="24"/>
          <w:szCs w:val="24"/>
          <w:rtl/>
        </w:rPr>
        <w:t>וּבַעֲנִיּוּתָא דִּילְהוֹן</w:t>
      </w:r>
      <w:r w:rsidRPr="00007309">
        <w:rPr>
          <w:rFonts w:cs="Arial" w:hint="cs"/>
          <w:b/>
          <w:bCs/>
          <w:sz w:val="24"/>
          <w:szCs w:val="24"/>
          <w:rtl/>
        </w:rPr>
        <w:t>,</w:t>
      </w:r>
      <w:r w:rsidRPr="00007309">
        <w:rPr>
          <w:rFonts w:cs="Arial"/>
          <w:b/>
          <w:bCs/>
          <w:sz w:val="24"/>
          <w:szCs w:val="24"/>
          <w:rtl/>
        </w:rPr>
        <w:t xml:space="preserve"> יִשְׁתַּזְבוּן מִמִּיתָא וְעָאקוּ</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974"/>
      </w:r>
      <w:r w:rsidRPr="00007309">
        <w:rPr>
          <w:rFonts w:cs="Arial"/>
          <w:b/>
          <w:bCs/>
          <w:sz w:val="24"/>
          <w:szCs w:val="24"/>
          <w:rtl/>
        </w:rPr>
        <w:t>וְיִפְקוּן בְּרַחֲמֵי. וּבְגִין דָּא שְׂמֹאל דּוֹחָה</w:t>
      </w:r>
      <w:r w:rsidRPr="00007309">
        <w:rPr>
          <w:rFonts w:cs="Arial"/>
          <w:b/>
          <w:bCs/>
          <w:sz w:val="24"/>
          <w:szCs w:val="24"/>
        </w:rPr>
        <w:t xml:space="preserve"> </w:t>
      </w:r>
      <w:r w:rsidRPr="00007309">
        <w:rPr>
          <w:rFonts w:cs="Arial"/>
          <w:b/>
          <w:bCs/>
          <w:sz w:val="24"/>
          <w:szCs w:val="24"/>
          <w:rtl/>
        </w:rPr>
        <w:t>וְיָמִין מְקָרֶבֶת</w:t>
      </w:r>
      <w:r w:rsidRPr="00007309">
        <w:rPr>
          <w:rFonts w:cs="Arial" w:hint="cs"/>
          <w:b/>
          <w:bCs/>
          <w:sz w:val="24"/>
          <w:szCs w:val="24"/>
          <w:rtl/>
        </w:rPr>
        <w:t>.</w:t>
      </w:r>
    </w:p>
    <w:p w:rsidR="00007309" w:rsidRPr="00007309" w:rsidRDefault="00007309" w:rsidP="00007309">
      <w:pPr>
        <w:jc w:val="both"/>
        <w:rPr>
          <w:rFonts w:cs="Arial"/>
          <w:b/>
          <w:bCs/>
          <w:sz w:val="24"/>
          <w:szCs w:val="24"/>
          <w:rtl/>
        </w:rPr>
      </w:pPr>
      <w:r w:rsidRPr="00007309">
        <w:rPr>
          <w:rFonts w:cs="Arial"/>
          <w:b/>
          <w:bCs/>
          <w:sz w:val="24"/>
          <w:szCs w:val="24"/>
          <w:rtl/>
        </w:rPr>
        <w:t xml:space="preserve">שקוצית בְּיוֹמָא שְׁבִיעָאָה דְּאִיהוּ אֶלֶף שְׁבִיעָאָה, </w:t>
      </w:r>
      <w:r w:rsidRPr="00007309">
        <w:rPr>
          <w:rFonts w:cs="Arial"/>
          <w:b/>
          <w:bCs/>
          <w:sz w:val="36"/>
          <w:szCs w:val="28"/>
          <w:vertAlign w:val="superscript"/>
          <w:rtl/>
        </w:rPr>
        <w:footnoteReference w:id="7975"/>
      </w:r>
      <w:r w:rsidRPr="00007309">
        <w:rPr>
          <w:rFonts w:cs="Arial"/>
          <w:b/>
          <w:bCs/>
          <w:sz w:val="24"/>
          <w:szCs w:val="24"/>
          <w:rtl/>
        </w:rPr>
        <w:t xml:space="preserve">בָּהּ קֵץ הַיָּמִין. </w:t>
      </w:r>
      <w:r w:rsidRPr="00007309">
        <w:rPr>
          <w:rFonts w:cs="Arial"/>
          <w:b/>
          <w:bCs/>
          <w:sz w:val="36"/>
          <w:szCs w:val="28"/>
          <w:vertAlign w:val="superscript"/>
          <w:rtl/>
        </w:rPr>
        <w:footnoteReference w:id="7976"/>
      </w:r>
      <w:r w:rsidRPr="00007309">
        <w:rPr>
          <w:rFonts w:cs="Arial"/>
          <w:b/>
          <w:bCs/>
          <w:sz w:val="24"/>
          <w:szCs w:val="24"/>
          <w:rtl/>
        </w:rPr>
        <w:t xml:space="preserve">וְרָזָא דְּמִלָּה כוז"ו במוכס"ז כוז"ו, י'י אֱלֹהֵינוּ י'י. אֱלֹהֵינוּ הוּא שְׁכִינְתָּא עִלָּאָה, עָלֵהּ אִתְּמַר (רות ג) </w:t>
      </w:r>
      <w:r w:rsidRPr="00007309">
        <w:rPr>
          <w:rFonts w:cs="Arial"/>
          <w:b/>
          <w:bCs/>
          <w:sz w:val="36"/>
          <w:szCs w:val="28"/>
          <w:vertAlign w:val="superscript"/>
          <w:rtl/>
        </w:rPr>
        <w:footnoteReference w:id="7977"/>
      </w:r>
      <w:r w:rsidRPr="00007309">
        <w:rPr>
          <w:rFonts w:cs="Arial"/>
          <w:b/>
          <w:bCs/>
          <w:sz w:val="24"/>
          <w:szCs w:val="24"/>
          <w:rtl/>
        </w:rPr>
        <w:t xml:space="preserve">וּגְאַלְתִּיךְ אָנֹכִי חַי ה' </w:t>
      </w:r>
      <w:r w:rsidRPr="00007309">
        <w:rPr>
          <w:rFonts w:cs="Arial"/>
          <w:b/>
          <w:bCs/>
          <w:sz w:val="36"/>
          <w:szCs w:val="28"/>
          <w:vertAlign w:val="superscript"/>
          <w:rtl/>
        </w:rPr>
        <w:footnoteReference w:id="7978"/>
      </w:r>
      <w:r w:rsidRPr="00007309">
        <w:rPr>
          <w:rFonts w:cs="Arial"/>
          <w:b/>
          <w:bCs/>
          <w:sz w:val="24"/>
          <w:szCs w:val="24"/>
          <w:rtl/>
        </w:rPr>
        <w:t xml:space="preserve">שִׁכְבִי עַד הַבֹּקֶר. </w:t>
      </w:r>
      <w:r w:rsidRPr="00007309">
        <w:rPr>
          <w:rFonts w:cs="Arial"/>
          <w:b/>
          <w:bCs/>
          <w:sz w:val="36"/>
          <w:szCs w:val="28"/>
          <w:vertAlign w:val="superscript"/>
          <w:rtl/>
        </w:rPr>
        <w:footnoteReference w:id="7979"/>
      </w:r>
      <w:r w:rsidRPr="00007309">
        <w:rPr>
          <w:rFonts w:cs="Arial"/>
          <w:b/>
          <w:bCs/>
          <w:sz w:val="24"/>
          <w:szCs w:val="24"/>
          <w:rtl/>
        </w:rPr>
        <w:t xml:space="preserve">וְדָא אִיהוּ כִּי יוֹם נָקָם בְּלִבִּי. </w:t>
      </w:r>
    </w:p>
    <w:p w:rsidR="00007309" w:rsidRPr="00007309" w:rsidRDefault="00007309" w:rsidP="00007309">
      <w:pPr>
        <w:keepNext/>
        <w:spacing w:before="240" w:after="60"/>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[וילנא לז ע"א]</w:t>
      </w:r>
    </w:p>
    <w:p w:rsidR="00007309" w:rsidRPr="00007309" w:rsidRDefault="00007309" w:rsidP="00007309">
      <w:pPr>
        <w:jc w:val="both"/>
        <w:rPr>
          <w:rFonts w:cs="Arial"/>
          <w:sz w:val="24"/>
          <w:szCs w:val="24"/>
          <w:rtl/>
        </w:rPr>
      </w:pPr>
      <w:r w:rsidRPr="00007309">
        <w:rPr>
          <w:rFonts w:cs="Arial"/>
          <w:b/>
          <w:bCs/>
          <w:sz w:val="24"/>
          <w:szCs w:val="24"/>
          <w:rtl/>
        </w:rPr>
        <w:t xml:space="preserve">וְעוֹד ללב"י גִלִּיתִי, </w:t>
      </w:r>
      <w:r w:rsidRPr="00007309">
        <w:rPr>
          <w:rFonts w:cs="Arial"/>
          <w:b/>
          <w:bCs/>
          <w:sz w:val="36"/>
          <w:szCs w:val="28"/>
          <w:vertAlign w:val="superscript"/>
          <w:rtl/>
        </w:rPr>
        <w:footnoteReference w:id="7980"/>
      </w:r>
      <w:r w:rsidRPr="00007309">
        <w:rPr>
          <w:rFonts w:cs="Arial"/>
          <w:b/>
          <w:bCs/>
          <w:sz w:val="24"/>
          <w:szCs w:val="24"/>
          <w:rtl/>
        </w:rPr>
        <w:t xml:space="preserve">דָּא שְׁמָא דְּע"ב שְׁמָהָן, בֵּהּ אִתְבַּנֵּי בֵּי מַקְדְּשָׁא דְּאִיהוּ </w:t>
      </w:r>
      <w:r w:rsidRPr="00007309">
        <w:rPr>
          <w:rFonts w:ascii="Cambria" w:hAnsi="Cambria" w:cs="Times New Roman" w:hint="cs"/>
          <w:b/>
          <w:bCs/>
          <w:i/>
          <w:iCs/>
          <w:color w:val="4F81BD"/>
          <w:sz w:val="24"/>
          <w:szCs w:val="24"/>
          <w:rtl/>
        </w:rPr>
        <w:t>(וילנא לז ע"א)</w:t>
      </w:r>
      <w:r w:rsidRPr="00007309">
        <w:rPr>
          <w:rFonts w:cs="Arial" w:hint="cs"/>
          <w:b/>
          <w:bCs/>
          <w:sz w:val="24"/>
          <w:szCs w:val="24"/>
          <w:rtl/>
        </w:rPr>
        <w:t xml:space="preserve"> </w:t>
      </w:r>
      <w:r w:rsidRPr="00007309">
        <w:rPr>
          <w:rFonts w:cs="Arial"/>
          <w:b/>
          <w:bCs/>
          <w:sz w:val="24"/>
          <w:szCs w:val="24"/>
          <w:rtl/>
        </w:rPr>
        <w:t xml:space="preserve">דְּרוֹעָא יְמִינָא, וּבֵהּ אִתְבָּנֵי עָלְמָא </w:t>
      </w:r>
      <w:r w:rsidRPr="00007309">
        <w:rPr>
          <w:rFonts w:cs="Arial"/>
          <w:b/>
          <w:bCs/>
          <w:sz w:val="36"/>
          <w:szCs w:val="28"/>
          <w:vertAlign w:val="superscript"/>
          <w:rtl/>
        </w:rPr>
        <w:footnoteReference w:id="7981"/>
      </w:r>
      <w:r w:rsidRPr="00007309">
        <w:rPr>
          <w:rFonts w:cs="Arial"/>
          <w:b/>
          <w:bCs/>
          <w:sz w:val="24"/>
          <w:szCs w:val="24"/>
          <w:rtl/>
        </w:rPr>
        <w:t>דְּאִיהִי שְׁכִינְתָּא. הָדָא הוּא דִּכְתִיב (תהלים פט) אָמַרְתִּי עוֹלַם חֶסֶד יִבָּנֶה, וְאִיהִי חֶסֶד ע"ב שְׁמָהָן. וְעָלַיְהוּ אִתְּמַר הִנֵּה ה' רוֹכֵב עַל עָ'ב קַל וּבָא מִצְרַיִם. ע'ב דָּא י' י'ה יה'ו יְהוָֹ'ה, הָא הָכָא עֶשֶׂר אַתְוָן וְסָלְקֵי ע'ב בְּחֻשְׁבָּן. וְתַלְיָן מִנְּהוֹן ע'ב שְׁמָהָן. וְאִלֵּין אִנּוּן וה'ו יל'י</w:t>
      </w:r>
      <w:r w:rsidRPr="00007309">
        <w:rPr>
          <w:rFonts w:cs="Arial" w:hint="cs"/>
          <w:b/>
          <w:bCs/>
          <w:sz w:val="24"/>
          <w:szCs w:val="24"/>
          <w:rtl/>
        </w:rPr>
        <w:t xml:space="preserve"> כו' </w:t>
      </w:r>
      <w:r w:rsidRPr="00007309">
        <w:rPr>
          <w:rFonts w:cs="Arial" w:hint="cs"/>
          <w:sz w:val="24"/>
          <w:szCs w:val="24"/>
          <w:rtl/>
        </w:rPr>
        <w:t>(כמ"ש בזוהר סוף ח"ב, והביאונום לכאן)</w:t>
      </w:r>
      <w:r w:rsidRPr="00007309">
        <w:rPr>
          <w:rFonts w:cs="Arial"/>
          <w:sz w:val="24"/>
          <w:szCs w:val="24"/>
          <w:rtl/>
        </w:rPr>
        <w:t xml:space="preserve">. </w:t>
      </w:r>
    </w:p>
    <w:tbl>
      <w:tblPr>
        <w:tblStyle w:val="afff0"/>
        <w:bidiVisual/>
        <w:tblW w:w="0" w:type="auto"/>
        <w:tblLayout w:type="fixed"/>
        <w:tblLook w:val="0600" w:firstRow="0" w:lastRow="0" w:firstColumn="0" w:lastColumn="0" w:noHBand="1" w:noVBand="1"/>
      </w:tblPr>
      <w:tblGrid>
        <w:gridCol w:w="737"/>
        <w:gridCol w:w="737"/>
        <w:gridCol w:w="737"/>
        <w:gridCol w:w="737"/>
        <w:gridCol w:w="737"/>
        <w:gridCol w:w="737"/>
        <w:gridCol w:w="737"/>
        <w:gridCol w:w="737"/>
      </w:tblGrid>
      <w:tr w:rsidR="00007309" w:rsidRPr="00007309" w:rsidTr="00D578B5">
        <w:tc>
          <w:tcPr>
            <w:tcW w:w="737" w:type="dxa"/>
            <w:vAlign w:val="center"/>
          </w:tcPr>
          <w:p w:rsidR="00007309" w:rsidRPr="00007309" w:rsidRDefault="00007309" w:rsidP="00007309">
            <w:pPr>
              <w:jc w:val="center"/>
              <w:rPr>
                <w:rFonts w:cs="Arial"/>
                <w:sz w:val="24"/>
                <w:szCs w:val="24"/>
                <w:rtl/>
              </w:rPr>
            </w:pPr>
            <w:r w:rsidRPr="00007309">
              <w:rPr>
                <w:rFonts w:cs="Arial" w:hint="cs"/>
                <w:sz w:val="24"/>
                <w:szCs w:val="24"/>
                <w:rtl/>
              </w:rPr>
              <w:t>והו</w:t>
            </w:r>
          </w:p>
        </w:tc>
        <w:tc>
          <w:tcPr>
            <w:tcW w:w="737" w:type="dxa"/>
            <w:vAlign w:val="center"/>
          </w:tcPr>
          <w:p w:rsidR="00007309" w:rsidRPr="00007309" w:rsidRDefault="00007309" w:rsidP="00007309">
            <w:pPr>
              <w:jc w:val="center"/>
              <w:rPr>
                <w:rFonts w:cs="Arial"/>
                <w:sz w:val="24"/>
                <w:szCs w:val="24"/>
                <w:rtl/>
              </w:rPr>
            </w:pPr>
            <w:r w:rsidRPr="00007309">
              <w:rPr>
                <w:rFonts w:cs="Arial" w:hint="cs"/>
                <w:sz w:val="24"/>
                <w:szCs w:val="24"/>
                <w:rtl/>
              </w:rPr>
              <w:t>ילי</w:t>
            </w:r>
          </w:p>
        </w:tc>
        <w:tc>
          <w:tcPr>
            <w:tcW w:w="737" w:type="dxa"/>
            <w:vAlign w:val="center"/>
          </w:tcPr>
          <w:p w:rsidR="00007309" w:rsidRPr="00007309" w:rsidRDefault="00007309" w:rsidP="00007309">
            <w:pPr>
              <w:jc w:val="center"/>
              <w:rPr>
                <w:rFonts w:cs="Arial"/>
                <w:sz w:val="24"/>
                <w:szCs w:val="24"/>
                <w:rtl/>
              </w:rPr>
            </w:pPr>
            <w:r w:rsidRPr="00007309">
              <w:rPr>
                <w:rFonts w:cs="Arial" w:hint="cs"/>
                <w:sz w:val="24"/>
                <w:szCs w:val="24"/>
                <w:rtl/>
              </w:rPr>
              <w:t>סיט</w:t>
            </w:r>
          </w:p>
        </w:tc>
        <w:tc>
          <w:tcPr>
            <w:tcW w:w="737" w:type="dxa"/>
            <w:vAlign w:val="center"/>
          </w:tcPr>
          <w:p w:rsidR="00007309" w:rsidRPr="00007309" w:rsidRDefault="00007309" w:rsidP="00007309">
            <w:pPr>
              <w:jc w:val="center"/>
              <w:rPr>
                <w:rFonts w:cs="Arial"/>
                <w:sz w:val="24"/>
                <w:szCs w:val="24"/>
                <w:rtl/>
              </w:rPr>
            </w:pPr>
            <w:r w:rsidRPr="00007309">
              <w:rPr>
                <w:rFonts w:cs="Arial" w:hint="cs"/>
                <w:sz w:val="24"/>
                <w:szCs w:val="24"/>
                <w:rtl/>
              </w:rPr>
              <w:t>עלם</w:t>
            </w:r>
          </w:p>
        </w:tc>
        <w:tc>
          <w:tcPr>
            <w:tcW w:w="737" w:type="dxa"/>
            <w:vAlign w:val="center"/>
          </w:tcPr>
          <w:p w:rsidR="00007309" w:rsidRPr="00007309" w:rsidRDefault="00007309" w:rsidP="00007309">
            <w:pPr>
              <w:jc w:val="center"/>
              <w:rPr>
                <w:rFonts w:cs="Arial"/>
                <w:sz w:val="24"/>
                <w:szCs w:val="24"/>
                <w:rtl/>
              </w:rPr>
            </w:pPr>
            <w:r w:rsidRPr="00007309">
              <w:rPr>
                <w:rFonts w:cs="Arial" w:hint="cs"/>
                <w:sz w:val="24"/>
                <w:szCs w:val="24"/>
                <w:rtl/>
              </w:rPr>
              <w:t>מהש</w:t>
            </w:r>
          </w:p>
        </w:tc>
        <w:tc>
          <w:tcPr>
            <w:tcW w:w="737" w:type="dxa"/>
            <w:vAlign w:val="center"/>
          </w:tcPr>
          <w:p w:rsidR="00007309" w:rsidRPr="00007309" w:rsidRDefault="00007309" w:rsidP="00007309">
            <w:pPr>
              <w:jc w:val="center"/>
              <w:rPr>
                <w:rFonts w:cs="Arial"/>
                <w:sz w:val="24"/>
                <w:szCs w:val="24"/>
                <w:rtl/>
              </w:rPr>
            </w:pPr>
            <w:r w:rsidRPr="00007309">
              <w:rPr>
                <w:rFonts w:cs="Arial" w:hint="cs"/>
                <w:sz w:val="24"/>
                <w:szCs w:val="24"/>
                <w:rtl/>
              </w:rPr>
              <w:t>ללה</w:t>
            </w:r>
          </w:p>
        </w:tc>
        <w:tc>
          <w:tcPr>
            <w:tcW w:w="737" w:type="dxa"/>
            <w:vAlign w:val="center"/>
          </w:tcPr>
          <w:p w:rsidR="00007309" w:rsidRPr="00007309" w:rsidRDefault="00007309" w:rsidP="00007309">
            <w:pPr>
              <w:jc w:val="center"/>
              <w:rPr>
                <w:rFonts w:cs="Arial"/>
                <w:sz w:val="24"/>
                <w:szCs w:val="24"/>
                <w:rtl/>
              </w:rPr>
            </w:pPr>
            <w:r w:rsidRPr="00007309">
              <w:rPr>
                <w:rFonts w:cs="Arial" w:hint="cs"/>
                <w:sz w:val="24"/>
                <w:szCs w:val="24"/>
                <w:rtl/>
              </w:rPr>
              <w:t>אכא</w:t>
            </w:r>
          </w:p>
        </w:tc>
        <w:tc>
          <w:tcPr>
            <w:tcW w:w="737" w:type="dxa"/>
            <w:vAlign w:val="center"/>
          </w:tcPr>
          <w:p w:rsidR="00007309" w:rsidRPr="00007309" w:rsidRDefault="00007309" w:rsidP="00007309">
            <w:pPr>
              <w:jc w:val="center"/>
              <w:rPr>
                <w:rFonts w:cs="Arial"/>
                <w:sz w:val="24"/>
                <w:szCs w:val="24"/>
                <w:rtl/>
              </w:rPr>
            </w:pPr>
            <w:r w:rsidRPr="00007309">
              <w:rPr>
                <w:rFonts w:cs="Arial" w:hint="cs"/>
                <w:sz w:val="24"/>
                <w:szCs w:val="24"/>
                <w:rtl/>
              </w:rPr>
              <w:t>כהת</w:t>
            </w:r>
          </w:p>
        </w:tc>
      </w:tr>
      <w:tr w:rsidR="00007309" w:rsidRPr="00007309" w:rsidTr="00D578B5">
        <w:tc>
          <w:tcPr>
            <w:tcW w:w="737" w:type="dxa"/>
            <w:vAlign w:val="center"/>
          </w:tcPr>
          <w:p w:rsidR="00007309" w:rsidRPr="00007309" w:rsidRDefault="00007309" w:rsidP="00007309">
            <w:pPr>
              <w:jc w:val="center"/>
              <w:rPr>
                <w:rFonts w:cs="Arial"/>
                <w:sz w:val="24"/>
                <w:szCs w:val="24"/>
                <w:rtl/>
              </w:rPr>
            </w:pPr>
            <w:r w:rsidRPr="00007309">
              <w:rPr>
                <w:rFonts w:cs="Arial" w:hint="cs"/>
                <w:sz w:val="24"/>
                <w:szCs w:val="24"/>
                <w:rtl/>
              </w:rPr>
              <w:t>הזי</w:t>
            </w:r>
          </w:p>
        </w:tc>
        <w:tc>
          <w:tcPr>
            <w:tcW w:w="737" w:type="dxa"/>
            <w:vAlign w:val="center"/>
          </w:tcPr>
          <w:p w:rsidR="00007309" w:rsidRPr="00007309" w:rsidRDefault="00007309" w:rsidP="00007309">
            <w:pPr>
              <w:jc w:val="center"/>
              <w:rPr>
                <w:rFonts w:cs="Arial"/>
                <w:sz w:val="24"/>
                <w:szCs w:val="24"/>
                <w:rtl/>
              </w:rPr>
            </w:pPr>
            <w:r w:rsidRPr="00007309">
              <w:rPr>
                <w:rFonts w:cs="Arial" w:hint="cs"/>
                <w:sz w:val="24"/>
                <w:szCs w:val="24"/>
                <w:rtl/>
              </w:rPr>
              <w:t>אלד</w:t>
            </w:r>
          </w:p>
        </w:tc>
        <w:tc>
          <w:tcPr>
            <w:tcW w:w="737" w:type="dxa"/>
            <w:vAlign w:val="center"/>
          </w:tcPr>
          <w:p w:rsidR="00007309" w:rsidRPr="00007309" w:rsidRDefault="00007309" w:rsidP="00007309">
            <w:pPr>
              <w:jc w:val="center"/>
              <w:rPr>
                <w:rFonts w:cs="Arial"/>
                <w:sz w:val="24"/>
                <w:szCs w:val="24"/>
                <w:rtl/>
              </w:rPr>
            </w:pPr>
            <w:r w:rsidRPr="00007309">
              <w:rPr>
                <w:rFonts w:cs="Arial" w:hint="cs"/>
                <w:sz w:val="24"/>
                <w:szCs w:val="24"/>
                <w:rtl/>
              </w:rPr>
              <w:t>לאו</w:t>
            </w:r>
          </w:p>
        </w:tc>
        <w:tc>
          <w:tcPr>
            <w:tcW w:w="737" w:type="dxa"/>
            <w:vAlign w:val="center"/>
          </w:tcPr>
          <w:p w:rsidR="00007309" w:rsidRPr="00007309" w:rsidRDefault="00007309" w:rsidP="00007309">
            <w:pPr>
              <w:jc w:val="center"/>
              <w:rPr>
                <w:rFonts w:cs="Arial"/>
                <w:sz w:val="24"/>
                <w:szCs w:val="24"/>
                <w:rtl/>
              </w:rPr>
            </w:pPr>
            <w:r w:rsidRPr="00007309">
              <w:rPr>
                <w:rFonts w:cs="Arial" w:hint="cs"/>
                <w:sz w:val="24"/>
                <w:szCs w:val="24"/>
                <w:rtl/>
              </w:rPr>
              <w:t>ההע</w:t>
            </w:r>
          </w:p>
        </w:tc>
        <w:tc>
          <w:tcPr>
            <w:tcW w:w="737" w:type="dxa"/>
            <w:vAlign w:val="center"/>
          </w:tcPr>
          <w:p w:rsidR="00007309" w:rsidRPr="00007309" w:rsidRDefault="00007309" w:rsidP="00007309">
            <w:pPr>
              <w:jc w:val="center"/>
              <w:rPr>
                <w:rFonts w:cs="Arial"/>
                <w:sz w:val="24"/>
                <w:szCs w:val="24"/>
                <w:rtl/>
              </w:rPr>
            </w:pPr>
            <w:r w:rsidRPr="00007309">
              <w:rPr>
                <w:rFonts w:cs="Arial" w:hint="cs"/>
                <w:sz w:val="24"/>
                <w:szCs w:val="24"/>
                <w:rtl/>
              </w:rPr>
              <w:t>יזל</w:t>
            </w:r>
          </w:p>
        </w:tc>
        <w:tc>
          <w:tcPr>
            <w:tcW w:w="737" w:type="dxa"/>
            <w:vAlign w:val="center"/>
          </w:tcPr>
          <w:p w:rsidR="00007309" w:rsidRPr="00007309" w:rsidRDefault="00007309" w:rsidP="00007309">
            <w:pPr>
              <w:jc w:val="center"/>
              <w:rPr>
                <w:rFonts w:cs="Arial"/>
                <w:sz w:val="24"/>
                <w:szCs w:val="24"/>
                <w:rtl/>
              </w:rPr>
            </w:pPr>
            <w:r w:rsidRPr="00007309">
              <w:rPr>
                <w:rFonts w:cs="Arial" w:hint="cs"/>
                <w:sz w:val="24"/>
                <w:szCs w:val="24"/>
                <w:rtl/>
              </w:rPr>
              <w:t>מבה</w:t>
            </w:r>
          </w:p>
        </w:tc>
        <w:tc>
          <w:tcPr>
            <w:tcW w:w="737" w:type="dxa"/>
            <w:vAlign w:val="center"/>
          </w:tcPr>
          <w:p w:rsidR="00007309" w:rsidRPr="00007309" w:rsidRDefault="00007309" w:rsidP="00007309">
            <w:pPr>
              <w:jc w:val="center"/>
              <w:rPr>
                <w:rFonts w:cs="Arial"/>
                <w:sz w:val="24"/>
                <w:szCs w:val="24"/>
                <w:rtl/>
              </w:rPr>
            </w:pPr>
            <w:r w:rsidRPr="00007309">
              <w:rPr>
                <w:rFonts w:cs="Arial" w:hint="cs"/>
                <w:sz w:val="24"/>
                <w:szCs w:val="24"/>
                <w:rtl/>
              </w:rPr>
              <w:t>הרי</w:t>
            </w:r>
          </w:p>
        </w:tc>
        <w:tc>
          <w:tcPr>
            <w:tcW w:w="737" w:type="dxa"/>
            <w:vAlign w:val="center"/>
          </w:tcPr>
          <w:p w:rsidR="00007309" w:rsidRPr="00007309" w:rsidRDefault="00007309" w:rsidP="00007309">
            <w:pPr>
              <w:jc w:val="center"/>
              <w:rPr>
                <w:rFonts w:cs="Arial"/>
                <w:sz w:val="24"/>
                <w:szCs w:val="24"/>
                <w:rtl/>
              </w:rPr>
            </w:pPr>
            <w:r w:rsidRPr="00007309">
              <w:rPr>
                <w:rFonts w:cs="Arial" w:hint="cs"/>
                <w:sz w:val="24"/>
                <w:szCs w:val="24"/>
                <w:rtl/>
              </w:rPr>
              <w:t>הקם</w:t>
            </w:r>
          </w:p>
        </w:tc>
      </w:tr>
      <w:tr w:rsidR="00007309" w:rsidRPr="00007309" w:rsidTr="00D578B5">
        <w:tc>
          <w:tcPr>
            <w:tcW w:w="737" w:type="dxa"/>
            <w:vAlign w:val="center"/>
          </w:tcPr>
          <w:p w:rsidR="00007309" w:rsidRPr="00007309" w:rsidRDefault="00007309" w:rsidP="00007309">
            <w:pPr>
              <w:jc w:val="center"/>
              <w:rPr>
                <w:rFonts w:cs="Arial"/>
                <w:sz w:val="24"/>
                <w:szCs w:val="24"/>
                <w:rtl/>
              </w:rPr>
            </w:pPr>
            <w:r w:rsidRPr="00007309">
              <w:rPr>
                <w:rFonts w:cs="Arial" w:hint="cs"/>
                <w:sz w:val="24"/>
                <w:szCs w:val="24"/>
                <w:rtl/>
              </w:rPr>
              <w:t>לאו</w:t>
            </w:r>
          </w:p>
        </w:tc>
        <w:tc>
          <w:tcPr>
            <w:tcW w:w="737" w:type="dxa"/>
            <w:vAlign w:val="center"/>
          </w:tcPr>
          <w:p w:rsidR="00007309" w:rsidRPr="00007309" w:rsidRDefault="00007309" w:rsidP="00007309">
            <w:pPr>
              <w:jc w:val="center"/>
              <w:rPr>
                <w:rFonts w:cs="Arial"/>
                <w:sz w:val="24"/>
                <w:szCs w:val="24"/>
                <w:rtl/>
              </w:rPr>
            </w:pPr>
            <w:r w:rsidRPr="00007309">
              <w:rPr>
                <w:rFonts w:cs="Arial" w:hint="cs"/>
                <w:sz w:val="24"/>
                <w:szCs w:val="24"/>
                <w:rtl/>
              </w:rPr>
              <w:t>כלי</w:t>
            </w:r>
          </w:p>
        </w:tc>
        <w:tc>
          <w:tcPr>
            <w:tcW w:w="737" w:type="dxa"/>
            <w:vAlign w:val="center"/>
          </w:tcPr>
          <w:p w:rsidR="00007309" w:rsidRPr="00007309" w:rsidRDefault="00007309" w:rsidP="00007309">
            <w:pPr>
              <w:jc w:val="center"/>
              <w:rPr>
                <w:rFonts w:cs="Arial"/>
                <w:sz w:val="24"/>
                <w:szCs w:val="24"/>
                <w:rtl/>
              </w:rPr>
            </w:pPr>
            <w:r w:rsidRPr="00007309">
              <w:rPr>
                <w:rFonts w:cs="Arial" w:hint="cs"/>
                <w:sz w:val="24"/>
                <w:szCs w:val="24"/>
                <w:rtl/>
              </w:rPr>
              <w:t>לוו</w:t>
            </w:r>
          </w:p>
        </w:tc>
        <w:tc>
          <w:tcPr>
            <w:tcW w:w="737" w:type="dxa"/>
            <w:vAlign w:val="center"/>
          </w:tcPr>
          <w:p w:rsidR="00007309" w:rsidRPr="00007309" w:rsidRDefault="00007309" w:rsidP="00007309">
            <w:pPr>
              <w:jc w:val="center"/>
              <w:rPr>
                <w:rFonts w:cs="Arial"/>
                <w:sz w:val="24"/>
                <w:szCs w:val="24"/>
                <w:rtl/>
              </w:rPr>
            </w:pPr>
            <w:r w:rsidRPr="00007309">
              <w:rPr>
                <w:rFonts w:cs="Arial" w:hint="cs"/>
                <w:sz w:val="24"/>
                <w:szCs w:val="24"/>
                <w:rtl/>
              </w:rPr>
              <w:t>פהל</w:t>
            </w:r>
          </w:p>
        </w:tc>
        <w:tc>
          <w:tcPr>
            <w:tcW w:w="737" w:type="dxa"/>
            <w:vAlign w:val="center"/>
          </w:tcPr>
          <w:p w:rsidR="00007309" w:rsidRPr="00007309" w:rsidRDefault="00007309" w:rsidP="00007309">
            <w:pPr>
              <w:jc w:val="center"/>
              <w:rPr>
                <w:rFonts w:cs="Arial"/>
                <w:sz w:val="24"/>
                <w:szCs w:val="24"/>
                <w:rtl/>
              </w:rPr>
            </w:pPr>
            <w:r w:rsidRPr="00007309">
              <w:rPr>
                <w:rFonts w:cs="Arial" w:hint="cs"/>
                <w:sz w:val="24"/>
                <w:szCs w:val="24"/>
                <w:rtl/>
              </w:rPr>
              <w:t>נלך</w:t>
            </w:r>
          </w:p>
        </w:tc>
        <w:tc>
          <w:tcPr>
            <w:tcW w:w="737" w:type="dxa"/>
            <w:vAlign w:val="center"/>
          </w:tcPr>
          <w:p w:rsidR="00007309" w:rsidRPr="00007309" w:rsidRDefault="00007309" w:rsidP="00007309">
            <w:pPr>
              <w:jc w:val="center"/>
              <w:rPr>
                <w:rFonts w:cs="Arial"/>
                <w:sz w:val="24"/>
                <w:szCs w:val="24"/>
                <w:rtl/>
              </w:rPr>
            </w:pPr>
            <w:r w:rsidRPr="00007309">
              <w:rPr>
                <w:rFonts w:cs="Arial" w:hint="cs"/>
                <w:sz w:val="24"/>
                <w:szCs w:val="24"/>
                <w:rtl/>
              </w:rPr>
              <w:t>ייי</w:t>
            </w:r>
          </w:p>
        </w:tc>
        <w:tc>
          <w:tcPr>
            <w:tcW w:w="737" w:type="dxa"/>
            <w:vAlign w:val="center"/>
          </w:tcPr>
          <w:p w:rsidR="00007309" w:rsidRPr="00007309" w:rsidRDefault="00007309" w:rsidP="00007309">
            <w:pPr>
              <w:jc w:val="center"/>
              <w:rPr>
                <w:rFonts w:cs="Arial"/>
                <w:sz w:val="24"/>
                <w:szCs w:val="24"/>
                <w:rtl/>
              </w:rPr>
            </w:pPr>
            <w:r w:rsidRPr="00007309">
              <w:rPr>
                <w:rFonts w:cs="Arial" w:hint="cs"/>
                <w:sz w:val="24"/>
                <w:szCs w:val="24"/>
                <w:rtl/>
              </w:rPr>
              <w:t>מלה</w:t>
            </w:r>
          </w:p>
        </w:tc>
        <w:tc>
          <w:tcPr>
            <w:tcW w:w="737" w:type="dxa"/>
            <w:vAlign w:val="center"/>
          </w:tcPr>
          <w:p w:rsidR="00007309" w:rsidRPr="00007309" w:rsidRDefault="00007309" w:rsidP="00007309">
            <w:pPr>
              <w:jc w:val="center"/>
              <w:rPr>
                <w:rFonts w:cs="Arial"/>
                <w:sz w:val="24"/>
                <w:szCs w:val="24"/>
                <w:rtl/>
              </w:rPr>
            </w:pPr>
            <w:r w:rsidRPr="00007309">
              <w:rPr>
                <w:rFonts w:cs="Arial" w:hint="cs"/>
                <w:sz w:val="24"/>
                <w:szCs w:val="24"/>
                <w:rtl/>
              </w:rPr>
              <w:t>חהו</w:t>
            </w:r>
          </w:p>
        </w:tc>
      </w:tr>
      <w:tr w:rsidR="00007309" w:rsidRPr="00007309" w:rsidTr="00D578B5">
        <w:tc>
          <w:tcPr>
            <w:tcW w:w="737" w:type="dxa"/>
            <w:vAlign w:val="center"/>
          </w:tcPr>
          <w:p w:rsidR="00007309" w:rsidRPr="00007309" w:rsidRDefault="00007309" w:rsidP="00007309">
            <w:pPr>
              <w:jc w:val="center"/>
              <w:rPr>
                <w:rFonts w:cs="Arial"/>
                <w:sz w:val="24"/>
                <w:szCs w:val="24"/>
                <w:rtl/>
              </w:rPr>
            </w:pPr>
            <w:r w:rsidRPr="00007309">
              <w:rPr>
                <w:rFonts w:cs="Arial" w:hint="cs"/>
                <w:sz w:val="24"/>
                <w:szCs w:val="24"/>
                <w:rtl/>
              </w:rPr>
              <w:t>נתה</w:t>
            </w:r>
          </w:p>
        </w:tc>
        <w:tc>
          <w:tcPr>
            <w:tcW w:w="737" w:type="dxa"/>
            <w:vAlign w:val="center"/>
          </w:tcPr>
          <w:p w:rsidR="00007309" w:rsidRPr="00007309" w:rsidRDefault="00007309" w:rsidP="00007309">
            <w:pPr>
              <w:jc w:val="center"/>
              <w:rPr>
                <w:rFonts w:cs="Arial"/>
                <w:sz w:val="24"/>
                <w:szCs w:val="24"/>
                <w:rtl/>
              </w:rPr>
            </w:pPr>
            <w:r w:rsidRPr="00007309">
              <w:rPr>
                <w:rFonts w:cs="Arial" w:hint="cs"/>
                <w:sz w:val="24"/>
                <w:szCs w:val="24"/>
                <w:rtl/>
              </w:rPr>
              <w:t>האא</w:t>
            </w:r>
          </w:p>
        </w:tc>
        <w:tc>
          <w:tcPr>
            <w:tcW w:w="737" w:type="dxa"/>
            <w:vAlign w:val="center"/>
          </w:tcPr>
          <w:p w:rsidR="00007309" w:rsidRPr="00007309" w:rsidRDefault="00007309" w:rsidP="00007309">
            <w:pPr>
              <w:jc w:val="center"/>
              <w:rPr>
                <w:rFonts w:cs="Arial"/>
                <w:sz w:val="24"/>
                <w:szCs w:val="24"/>
                <w:rtl/>
              </w:rPr>
            </w:pPr>
            <w:r w:rsidRPr="00007309">
              <w:rPr>
                <w:rFonts w:cs="Arial" w:hint="cs"/>
                <w:sz w:val="24"/>
                <w:szCs w:val="24"/>
                <w:rtl/>
              </w:rPr>
              <w:t>ירת</w:t>
            </w:r>
          </w:p>
        </w:tc>
        <w:tc>
          <w:tcPr>
            <w:tcW w:w="737" w:type="dxa"/>
            <w:vAlign w:val="center"/>
          </w:tcPr>
          <w:p w:rsidR="00007309" w:rsidRPr="00007309" w:rsidRDefault="00007309" w:rsidP="00007309">
            <w:pPr>
              <w:jc w:val="center"/>
              <w:rPr>
                <w:rFonts w:cs="Arial"/>
                <w:sz w:val="24"/>
                <w:szCs w:val="24"/>
                <w:rtl/>
              </w:rPr>
            </w:pPr>
            <w:r w:rsidRPr="00007309">
              <w:rPr>
                <w:rFonts w:cs="Arial" w:hint="cs"/>
                <w:sz w:val="24"/>
                <w:szCs w:val="24"/>
                <w:rtl/>
              </w:rPr>
              <w:t>שאה</w:t>
            </w:r>
          </w:p>
        </w:tc>
        <w:tc>
          <w:tcPr>
            <w:tcW w:w="737" w:type="dxa"/>
            <w:vAlign w:val="center"/>
          </w:tcPr>
          <w:p w:rsidR="00007309" w:rsidRPr="00007309" w:rsidRDefault="00007309" w:rsidP="00007309">
            <w:pPr>
              <w:jc w:val="center"/>
              <w:rPr>
                <w:rFonts w:cs="Arial"/>
                <w:sz w:val="24"/>
                <w:szCs w:val="24"/>
                <w:rtl/>
              </w:rPr>
            </w:pPr>
            <w:r w:rsidRPr="00007309">
              <w:rPr>
                <w:rFonts w:cs="Arial" w:hint="cs"/>
                <w:sz w:val="24"/>
                <w:szCs w:val="24"/>
                <w:rtl/>
              </w:rPr>
              <w:t>ריי</w:t>
            </w:r>
          </w:p>
        </w:tc>
        <w:tc>
          <w:tcPr>
            <w:tcW w:w="737" w:type="dxa"/>
            <w:vAlign w:val="center"/>
          </w:tcPr>
          <w:p w:rsidR="00007309" w:rsidRPr="00007309" w:rsidRDefault="00007309" w:rsidP="00007309">
            <w:pPr>
              <w:jc w:val="center"/>
              <w:rPr>
                <w:rFonts w:cs="Arial"/>
                <w:sz w:val="24"/>
                <w:szCs w:val="24"/>
                <w:rtl/>
              </w:rPr>
            </w:pPr>
            <w:r w:rsidRPr="00007309">
              <w:rPr>
                <w:rFonts w:cs="Arial" w:hint="cs"/>
                <w:sz w:val="24"/>
                <w:szCs w:val="24"/>
                <w:rtl/>
              </w:rPr>
              <w:t>אום</w:t>
            </w:r>
          </w:p>
        </w:tc>
        <w:tc>
          <w:tcPr>
            <w:tcW w:w="737" w:type="dxa"/>
            <w:vAlign w:val="center"/>
          </w:tcPr>
          <w:p w:rsidR="00007309" w:rsidRPr="00007309" w:rsidRDefault="00007309" w:rsidP="00007309">
            <w:pPr>
              <w:jc w:val="center"/>
              <w:rPr>
                <w:rFonts w:cs="Arial"/>
                <w:sz w:val="24"/>
                <w:szCs w:val="24"/>
                <w:rtl/>
              </w:rPr>
            </w:pPr>
            <w:r w:rsidRPr="00007309">
              <w:rPr>
                <w:rFonts w:cs="Arial" w:hint="cs"/>
                <w:sz w:val="24"/>
                <w:szCs w:val="24"/>
                <w:rtl/>
              </w:rPr>
              <w:t>לכב</w:t>
            </w:r>
          </w:p>
        </w:tc>
        <w:tc>
          <w:tcPr>
            <w:tcW w:w="737" w:type="dxa"/>
            <w:vAlign w:val="center"/>
          </w:tcPr>
          <w:p w:rsidR="00007309" w:rsidRPr="00007309" w:rsidRDefault="00007309" w:rsidP="00007309">
            <w:pPr>
              <w:jc w:val="center"/>
              <w:rPr>
                <w:rFonts w:cs="Arial"/>
                <w:sz w:val="24"/>
                <w:szCs w:val="24"/>
                <w:rtl/>
              </w:rPr>
            </w:pPr>
            <w:r w:rsidRPr="00007309">
              <w:rPr>
                <w:rFonts w:cs="Arial" w:hint="cs"/>
                <w:sz w:val="24"/>
                <w:szCs w:val="24"/>
                <w:rtl/>
              </w:rPr>
              <w:t>ושר</w:t>
            </w:r>
          </w:p>
        </w:tc>
      </w:tr>
      <w:tr w:rsidR="00007309" w:rsidRPr="00007309" w:rsidTr="00D578B5">
        <w:tc>
          <w:tcPr>
            <w:tcW w:w="737" w:type="dxa"/>
            <w:vAlign w:val="center"/>
          </w:tcPr>
          <w:p w:rsidR="00007309" w:rsidRPr="00007309" w:rsidRDefault="00007309" w:rsidP="00007309">
            <w:pPr>
              <w:jc w:val="center"/>
              <w:rPr>
                <w:rFonts w:cs="Arial"/>
                <w:sz w:val="24"/>
                <w:szCs w:val="24"/>
                <w:rtl/>
              </w:rPr>
            </w:pPr>
            <w:r w:rsidRPr="00007309">
              <w:rPr>
                <w:rFonts w:cs="Arial" w:hint="cs"/>
                <w:sz w:val="24"/>
                <w:szCs w:val="24"/>
                <w:rtl/>
              </w:rPr>
              <w:t>יחו</w:t>
            </w:r>
          </w:p>
        </w:tc>
        <w:tc>
          <w:tcPr>
            <w:tcW w:w="737" w:type="dxa"/>
            <w:vAlign w:val="center"/>
          </w:tcPr>
          <w:p w:rsidR="00007309" w:rsidRPr="00007309" w:rsidRDefault="00007309" w:rsidP="00007309">
            <w:pPr>
              <w:jc w:val="center"/>
              <w:rPr>
                <w:rFonts w:cs="Arial"/>
                <w:sz w:val="24"/>
                <w:szCs w:val="24"/>
                <w:rtl/>
              </w:rPr>
            </w:pPr>
            <w:r w:rsidRPr="00007309">
              <w:rPr>
                <w:rFonts w:cs="Arial" w:hint="cs"/>
                <w:sz w:val="24"/>
                <w:szCs w:val="24"/>
                <w:rtl/>
              </w:rPr>
              <w:t>להח</w:t>
            </w:r>
          </w:p>
        </w:tc>
        <w:tc>
          <w:tcPr>
            <w:tcW w:w="737" w:type="dxa"/>
            <w:vAlign w:val="center"/>
          </w:tcPr>
          <w:p w:rsidR="00007309" w:rsidRPr="00007309" w:rsidRDefault="00007309" w:rsidP="00007309">
            <w:pPr>
              <w:jc w:val="center"/>
              <w:rPr>
                <w:rFonts w:cs="Arial"/>
                <w:sz w:val="24"/>
                <w:szCs w:val="24"/>
                <w:rtl/>
              </w:rPr>
            </w:pPr>
            <w:r w:rsidRPr="00007309">
              <w:rPr>
                <w:rFonts w:cs="Arial" w:hint="cs"/>
                <w:sz w:val="24"/>
                <w:szCs w:val="24"/>
                <w:rtl/>
              </w:rPr>
              <w:t>כוק</w:t>
            </w:r>
          </w:p>
        </w:tc>
        <w:tc>
          <w:tcPr>
            <w:tcW w:w="737" w:type="dxa"/>
            <w:vAlign w:val="center"/>
          </w:tcPr>
          <w:p w:rsidR="00007309" w:rsidRPr="00007309" w:rsidRDefault="00007309" w:rsidP="00007309">
            <w:pPr>
              <w:jc w:val="center"/>
              <w:rPr>
                <w:rFonts w:cs="Arial"/>
                <w:sz w:val="24"/>
                <w:szCs w:val="24"/>
                <w:rtl/>
              </w:rPr>
            </w:pPr>
            <w:r w:rsidRPr="00007309">
              <w:rPr>
                <w:rFonts w:cs="Arial" w:hint="cs"/>
                <w:sz w:val="24"/>
                <w:szCs w:val="24"/>
                <w:rtl/>
              </w:rPr>
              <w:t>מנד</w:t>
            </w:r>
          </w:p>
        </w:tc>
        <w:tc>
          <w:tcPr>
            <w:tcW w:w="737" w:type="dxa"/>
            <w:vAlign w:val="center"/>
          </w:tcPr>
          <w:p w:rsidR="00007309" w:rsidRPr="00007309" w:rsidRDefault="00007309" w:rsidP="00007309">
            <w:pPr>
              <w:jc w:val="center"/>
              <w:rPr>
                <w:rFonts w:cs="Arial"/>
                <w:sz w:val="24"/>
                <w:szCs w:val="24"/>
                <w:rtl/>
              </w:rPr>
            </w:pPr>
            <w:r w:rsidRPr="00007309">
              <w:rPr>
                <w:rFonts w:cs="Arial" w:hint="cs"/>
                <w:sz w:val="24"/>
                <w:szCs w:val="24"/>
                <w:rtl/>
              </w:rPr>
              <w:t>אני</w:t>
            </w:r>
          </w:p>
        </w:tc>
        <w:tc>
          <w:tcPr>
            <w:tcW w:w="737" w:type="dxa"/>
            <w:vAlign w:val="center"/>
          </w:tcPr>
          <w:p w:rsidR="00007309" w:rsidRPr="00007309" w:rsidRDefault="00007309" w:rsidP="00007309">
            <w:pPr>
              <w:jc w:val="center"/>
              <w:rPr>
                <w:rFonts w:cs="Arial"/>
                <w:sz w:val="24"/>
                <w:szCs w:val="24"/>
                <w:rtl/>
              </w:rPr>
            </w:pPr>
            <w:r w:rsidRPr="00007309">
              <w:rPr>
                <w:rFonts w:cs="Arial" w:hint="cs"/>
                <w:sz w:val="24"/>
                <w:szCs w:val="24"/>
                <w:rtl/>
              </w:rPr>
              <w:t>חעם</w:t>
            </w:r>
          </w:p>
        </w:tc>
        <w:tc>
          <w:tcPr>
            <w:tcW w:w="737" w:type="dxa"/>
            <w:vAlign w:val="center"/>
          </w:tcPr>
          <w:p w:rsidR="00007309" w:rsidRPr="00007309" w:rsidRDefault="00007309" w:rsidP="00007309">
            <w:pPr>
              <w:jc w:val="center"/>
              <w:rPr>
                <w:rFonts w:cs="Arial"/>
                <w:sz w:val="24"/>
                <w:szCs w:val="24"/>
                <w:rtl/>
              </w:rPr>
            </w:pPr>
            <w:r w:rsidRPr="00007309">
              <w:rPr>
                <w:rFonts w:cs="Arial" w:hint="cs"/>
                <w:sz w:val="24"/>
                <w:szCs w:val="24"/>
                <w:rtl/>
              </w:rPr>
              <w:t>רהע</w:t>
            </w:r>
          </w:p>
        </w:tc>
        <w:tc>
          <w:tcPr>
            <w:tcW w:w="737" w:type="dxa"/>
            <w:vAlign w:val="center"/>
          </w:tcPr>
          <w:p w:rsidR="00007309" w:rsidRPr="00007309" w:rsidRDefault="00007309" w:rsidP="00007309">
            <w:pPr>
              <w:jc w:val="center"/>
              <w:rPr>
                <w:rFonts w:cs="Arial"/>
                <w:sz w:val="24"/>
                <w:szCs w:val="24"/>
                <w:rtl/>
              </w:rPr>
            </w:pPr>
            <w:r w:rsidRPr="00007309">
              <w:rPr>
                <w:rFonts w:cs="Arial" w:hint="cs"/>
                <w:sz w:val="24"/>
                <w:szCs w:val="24"/>
                <w:rtl/>
              </w:rPr>
              <w:t>ייז</w:t>
            </w:r>
          </w:p>
        </w:tc>
      </w:tr>
      <w:tr w:rsidR="00007309" w:rsidRPr="00007309" w:rsidTr="00D578B5">
        <w:tc>
          <w:tcPr>
            <w:tcW w:w="737" w:type="dxa"/>
            <w:vAlign w:val="center"/>
          </w:tcPr>
          <w:p w:rsidR="00007309" w:rsidRPr="00007309" w:rsidRDefault="00007309" w:rsidP="00007309">
            <w:pPr>
              <w:jc w:val="center"/>
              <w:rPr>
                <w:rFonts w:cs="Arial"/>
                <w:sz w:val="24"/>
                <w:szCs w:val="24"/>
                <w:rtl/>
              </w:rPr>
            </w:pPr>
            <w:r w:rsidRPr="00007309">
              <w:rPr>
                <w:rFonts w:cs="Arial" w:hint="cs"/>
                <w:sz w:val="24"/>
                <w:szCs w:val="24"/>
                <w:rtl/>
              </w:rPr>
              <w:t>ההה</w:t>
            </w:r>
          </w:p>
        </w:tc>
        <w:tc>
          <w:tcPr>
            <w:tcW w:w="737" w:type="dxa"/>
            <w:vAlign w:val="center"/>
          </w:tcPr>
          <w:p w:rsidR="00007309" w:rsidRPr="00007309" w:rsidRDefault="00007309" w:rsidP="00007309">
            <w:pPr>
              <w:jc w:val="center"/>
              <w:rPr>
                <w:rFonts w:cs="Arial"/>
                <w:sz w:val="24"/>
                <w:szCs w:val="24"/>
                <w:rtl/>
              </w:rPr>
            </w:pPr>
            <w:r w:rsidRPr="00007309">
              <w:rPr>
                <w:rFonts w:cs="Arial" w:hint="cs"/>
                <w:sz w:val="24"/>
                <w:szCs w:val="24"/>
                <w:rtl/>
              </w:rPr>
              <w:t>מיכ</w:t>
            </w:r>
          </w:p>
        </w:tc>
        <w:tc>
          <w:tcPr>
            <w:tcW w:w="737" w:type="dxa"/>
            <w:vAlign w:val="center"/>
          </w:tcPr>
          <w:p w:rsidR="00007309" w:rsidRPr="00007309" w:rsidRDefault="00007309" w:rsidP="00007309">
            <w:pPr>
              <w:jc w:val="center"/>
              <w:rPr>
                <w:rFonts w:cs="Arial"/>
                <w:sz w:val="24"/>
                <w:szCs w:val="24"/>
                <w:rtl/>
              </w:rPr>
            </w:pPr>
            <w:r w:rsidRPr="00007309">
              <w:rPr>
                <w:rFonts w:cs="Arial" w:hint="cs"/>
                <w:sz w:val="24"/>
                <w:szCs w:val="24"/>
                <w:rtl/>
              </w:rPr>
              <w:t>וול</w:t>
            </w:r>
          </w:p>
        </w:tc>
        <w:tc>
          <w:tcPr>
            <w:tcW w:w="737" w:type="dxa"/>
            <w:vAlign w:val="center"/>
          </w:tcPr>
          <w:p w:rsidR="00007309" w:rsidRPr="00007309" w:rsidRDefault="00007309" w:rsidP="00007309">
            <w:pPr>
              <w:jc w:val="center"/>
              <w:rPr>
                <w:rFonts w:cs="Arial"/>
                <w:sz w:val="24"/>
                <w:szCs w:val="24"/>
                <w:rtl/>
              </w:rPr>
            </w:pPr>
            <w:r w:rsidRPr="00007309">
              <w:rPr>
                <w:rFonts w:cs="Arial" w:hint="cs"/>
                <w:sz w:val="24"/>
                <w:szCs w:val="24"/>
                <w:rtl/>
              </w:rPr>
              <w:t>ילה</w:t>
            </w:r>
          </w:p>
        </w:tc>
        <w:tc>
          <w:tcPr>
            <w:tcW w:w="737" w:type="dxa"/>
            <w:vAlign w:val="center"/>
          </w:tcPr>
          <w:p w:rsidR="00007309" w:rsidRPr="00007309" w:rsidRDefault="00007309" w:rsidP="00007309">
            <w:pPr>
              <w:jc w:val="center"/>
              <w:rPr>
                <w:rFonts w:cs="Arial"/>
                <w:sz w:val="24"/>
                <w:szCs w:val="24"/>
                <w:rtl/>
              </w:rPr>
            </w:pPr>
            <w:r w:rsidRPr="00007309">
              <w:rPr>
                <w:rFonts w:cs="Arial" w:hint="cs"/>
                <w:sz w:val="24"/>
                <w:szCs w:val="24"/>
                <w:rtl/>
              </w:rPr>
              <w:t>סאל</w:t>
            </w:r>
          </w:p>
        </w:tc>
        <w:tc>
          <w:tcPr>
            <w:tcW w:w="737" w:type="dxa"/>
            <w:vAlign w:val="center"/>
          </w:tcPr>
          <w:p w:rsidR="00007309" w:rsidRPr="00007309" w:rsidRDefault="00007309" w:rsidP="00007309">
            <w:pPr>
              <w:jc w:val="center"/>
              <w:rPr>
                <w:rFonts w:cs="Arial"/>
                <w:sz w:val="24"/>
                <w:szCs w:val="24"/>
                <w:rtl/>
              </w:rPr>
            </w:pPr>
            <w:r w:rsidRPr="00007309">
              <w:rPr>
                <w:rFonts w:cs="Arial" w:hint="cs"/>
                <w:sz w:val="24"/>
                <w:szCs w:val="24"/>
                <w:rtl/>
              </w:rPr>
              <w:t>ערי</w:t>
            </w:r>
          </w:p>
        </w:tc>
        <w:tc>
          <w:tcPr>
            <w:tcW w:w="737" w:type="dxa"/>
            <w:vAlign w:val="center"/>
          </w:tcPr>
          <w:p w:rsidR="00007309" w:rsidRPr="00007309" w:rsidRDefault="00007309" w:rsidP="00007309">
            <w:pPr>
              <w:jc w:val="center"/>
              <w:rPr>
                <w:rFonts w:cs="Arial"/>
                <w:sz w:val="24"/>
                <w:szCs w:val="24"/>
                <w:rtl/>
              </w:rPr>
            </w:pPr>
            <w:r w:rsidRPr="00007309">
              <w:rPr>
                <w:rFonts w:cs="Arial" w:hint="cs"/>
                <w:sz w:val="24"/>
                <w:szCs w:val="24"/>
                <w:rtl/>
              </w:rPr>
              <w:t>עשל</w:t>
            </w:r>
          </w:p>
        </w:tc>
        <w:tc>
          <w:tcPr>
            <w:tcW w:w="737" w:type="dxa"/>
            <w:vAlign w:val="center"/>
          </w:tcPr>
          <w:p w:rsidR="00007309" w:rsidRPr="00007309" w:rsidRDefault="00007309" w:rsidP="00007309">
            <w:pPr>
              <w:jc w:val="center"/>
              <w:rPr>
                <w:rFonts w:cs="Arial"/>
                <w:sz w:val="24"/>
                <w:szCs w:val="24"/>
                <w:rtl/>
              </w:rPr>
            </w:pPr>
            <w:r w:rsidRPr="00007309">
              <w:rPr>
                <w:rFonts w:cs="Arial" w:hint="cs"/>
                <w:sz w:val="24"/>
                <w:szCs w:val="24"/>
                <w:rtl/>
              </w:rPr>
              <w:t>מיה</w:t>
            </w:r>
          </w:p>
        </w:tc>
      </w:tr>
      <w:tr w:rsidR="00007309" w:rsidRPr="00007309" w:rsidTr="00D578B5">
        <w:tc>
          <w:tcPr>
            <w:tcW w:w="737" w:type="dxa"/>
            <w:vAlign w:val="center"/>
          </w:tcPr>
          <w:p w:rsidR="00007309" w:rsidRPr="00007309" w:rsidRDefault="00007309" w:rsidP="00007309">
            <w:pPr>
              <w:jc w:val="center"/>
              <w:rPr>
                <w:rFonts w:cs="Arial"/>
                <w:sz w:val="24"/>
                <w:szCs w:val="24"/>
                <w:rtl/>
              </w:rPr>
            </w:pPr>
            <w:r w:rsidRPr="00007309">
              <w:rPr>
                <w:rFonts w:cs="Arial" w:hint="cs"/>
                <w:sz w:val="24"/>
                <w:szCs w:val="24"/>
                <w:rtl/>
              </w:rPr>
              <w:t>והו</w:t>
            </w:r>
          </w:p>
        </w:tc>
        <w:tc>
          <w:tcPr>
            <w:tcW w:w="737" w:type="dxa"/>
            <w:vAlign w:val="center"/>
          </w:tcPr>
          <w:p w:rsidR="00007309" w:rsidRPr="00007309" w:rsidRDefault="00007309" w:rsidP="00007309">
            <w:pPr>
              <w:jc w:val="center"/>
              <w:rPr>
                <w:rFonts w:cs="Arial"/>
                <w:sz w:val="24"/>
                <w:szCs w:val="24"/>
                <w:rtl/>
              </w:rPr>
            </w:pPr>
            <w:r w:rsidRPr="00007309">
              <w:rPr>
                <w:rFonts w:cs="Arial" w:hint="cs"/>
                <w:sz w:val="24"/>
                <w:szCs w:val="24"/>
                <w:rtl/>
              </w:rPr>
              <w:t>דני</w:t>
            </w:r>
          </w:p>
        </w:tc>
        <w:tc>
          <w:tcPr>
            <w:tcW w:w="737" w:type="dxa"/>
            <w:vAlign w:val="center"/>
          </w:tcPr>
          <w:p w:rsidR="00007309" w:rsidRPr="00007309" w:rsidRDefault="00007309" w:rsidP="00007309">
            <w:pPr>
              <w:jc w:val="center"/>
              <w:rPr>
                <w:rFonts w:cs="Arial"/>
                <w:sz w:val="24"/>
                <w:szCs w:val="24"/>
                <w:rtl/>
              </w:rPr>
            </w:pPr>
            <w:r w:rsidRPr="00007309">
              <w:rPr>
                <w:rFonts w:cs="Arial" w:hint="cs"/>
                <w:sz w:val="24"/>
                <w:szCs w:val="24"/>
                <w:rtl/>
              </w:rPr>
              <w:t>החש</w:t>
            </w:r>
          </w:p>
        </w:tc>
        <w:tc>
          <w:tcPr>
            <w:tcW w:w="737" w:type="dxa"/>
            <w:vAlign w:val="center"/>
          </w:tcPr>
          <w:p w:rsidR="00007309" w:rsidRPr="00007309" w:rsidRDefault="00007309" w:rsidP="00007309">
            <w:pPr>
              <w:jc w:val="center"/>
              <w:rPr>
                <w:rFonts w:cs="Arial"/>
                <w:sz w:val="24"/>
                <w:szCs w:val="24"/>
                <w:rtl/>
              </w:rPr>
            </w:pPr>
            <w:r w:rsidRPr="00007309">
              <w:rPr>
                <w:rFonts w:cs="Arial" w:hint="cs"/>
                <w:sz w:val="24"/>
                <w:szCs w:val="24"/>
                <w:rtl/>
              </w:rPr>
              <w:t>עמם</w:t>
            </w:r>
          </w:p>
        </w:tc>
        <w:tc>
          <w:tcPr>
            <w:tcW w:w="737" w:type="dxa"/>
            <w:vAlign w:val="center"/>
          </w:tcPr>
          <w:p w:rsidR="00007309" w:rsidRPr="00007309" w:rsidRDefault="00007309" w:rsidP="00007309">
            <w:pPr>
              <w:jc w:val="center"/>
              <w:rPr>
                <w:rFonts w:cs="Arial"/>
                <w:sz w:val="24"/>
                <w:szCs w:val="24"/>
                <w:rtl/>
              </w:rPr>
            </w:pPr>
            <w:r w:rsidRPr="00007309">
              <w:rPr>
                <w:rFonts w:cs="Arial" w:hint="cs"/>
                <w:sz w:val="24"/>
                <w:szCs w:val="24"/>
                <w:rtl/>
              </w:rPr>
              <w:t>ננא</w:t>
            </w:r>
          </w:p>
        </w:tc>
        <w:tc>
          <w:tcPr>
            <w:tcW w:w="737" w:type="dxa"/>
            <w:vAlign w:val="center"/>
          </w:tcPr>
          <w:p w:rsidR="00007309" w:rsidRPr="00007309" w:rsidRDefault="00007309" w:rsidP="00007309">
            <w:pPr>
              <w:jc w:val="center"/>
              <w:rPr>
                <w:rFonts w:cs="Arial"/>
                <w:sz w:val="24"/>
                <w:szCs w:val="24"/>
                <w:rtl/>
              </w:rPr>
            </w:pPr>
            <w:r w:rsidRPr="00007309">
              <w:rPr>
                <w:rFonts w:cs="Arial" w:hint="cs"/>
                <w:sz w:val="24"/>
                <w:szCs w:val="24"/>
                <w:rtl/>
              </w:rPr>
              <w:t>נית</w:t>
            </w:r>
          </w:p>
        </w:tc>
        <w:tc>
          <w:tcPr>
            <w:tcW w:w="737" w:type="dxa"/>
            <w:vAlign w:val="center"/>
          </w:tcPr>
          <w:p w:rsidR="00007309" w:rsidRPr="00007309" w:rsidRDefault="00007309" w:rsidP="00007309">
            <w:pPr>
              <w:jc w:val="center"/>
              <w:rPr>
                <w:rFonts w:cs="Arial"/>
                <w:sz w:val="24"/>
                <w:szCs w:val="24"/>
                <w:rtl/>
              </w:rPr>
            </w:pPr>
            <w:r w:rsidRPr="00007309">
              <w:rPr>
                <w:rFonts w:cs="Arial" w:hint="cs"/>
                <w:sz w:val="24"/>
                <w:szCs w:val="24"/>
                <w:rtl/>
              </w:rPr>
              <w:t>מבה</w:t>
            </w:r>
          </w:p>
        </w:tc>
        <w:tc>
          <w:tcPr>
            <w:tcW w:w="737" w:type="dxa"/>
            <w:vAlign w:val="center"/>
          </w:tcPr>
          <w:p w:rsidR="00007309" w:rsidRPr="00007309" w:rsidRDefault="00007309" w:rsidP="00007309">
            <w:pPr>
              <w:jc w:val="center"/>
              <w:rPr>
                <w:rFonts w:cs="Arial"/>
                <w:sz w:val="24"/>
                <w:szCs w:val="24"/>
                <w:rtl/>
              </w:rPr>
            </w:pPr>
            <w:r w:rsidRPr="00007309">
              <w:rPr>
                <w:rFonts w:cs="Arial" w:hint="cs"/>
                <w:sz w:val="24"/>
                <w:szCs w:val="24"/>
                <w:rtl/>
              </w:rPr>
              <w:t>פוי</w:t>
            </w:r>
          </w:p>
        </w:tc>
      </w:tr>
      <w:tr w:rsidR="00007309" w:rsidRPr="00007309" w:rsidTr="00D578B5">
        <w:tc>
          <w:tcPr>
            <w:tcW w:w="737" w:type="dxa"/>
            <w:vAlign w:val="center"/>
          </w:tcPr>
          <w:p w:rsidR="00007309" w:rsidRPr="00007309" w:rsidRDefault="00007309" w:rsidP="00007309">
            <w:pPr>
              <w:jc w:val="center"/>
              <w:rPr>
                <w:rFonts w:cs="Arial"/>
                <w:sz w:val="24"/>
                <w:szCs w:val="24"/>
                <w:rtl/>
              </w:rPr>
            </w:pPr>
            <w:r w:rsidRPr="00007309">
              <w:rPr>
                <w:rFonts w:cs="Arial" w:hint="cs"/>
                <w:sz w:val="24"/>
                <w:szCs w:val="24"/>
                <w:rtl/>
              </w:rPr>
              <w:t>נמם</w:t>
            </w:r>
          </w:p>
        </w:tc>
        <w:tc>
          <w:tcPr>
            <w:tcW w:w="737" w:type="dxa"/>
            <w:vAlign w:val="center"/>
          </w:tcPr>
          <w:p w:rsidR="00007309" w:rsidRPr="00007309" w:rsidRDefault="00007309" w:rsidP="00007309">
            <w:pPr>
              <w:jc w:val="center"/>
              <w:rPr>
                <w:rFonts w:cs="Arial"/>
                <w:sz w:val="24"/>
                <w:szCs w:val="24"/>
                <w:rtl/>
              </w:rPr>
            </w:pPr>
            <w:r w:rsidRPr="00007309">
              <w:rPr>
                <w:rFonts w:cs="Arial" w:hint="cs"/>
                <w:sz w:val="24"/>
                <w:szCs w:val="24"/>
                <w:rtl/>
              </w:rPr>
              <w:t>ייל</w:t>
            </w:r>
          </w:p>
        </w:tc>
        <w:tc>
          <w:tcPr>
            <w:tcW w:w="737" w:type="dxa"/>
            <w:vAlign w:val="center"/>
          </w:tcPr>
          <w:p w:rsidR="00007309" w:rsidRPr="00007309" w:rsidRDefault="00007309" w:rsidP="00007309">
            <w:pPr>
              <w:jc w:val="center"/>
              <w:rPr>
                <w:rFonts w:cs="Arial"/>
                <w:sz w:val="24"/>
                <w:szCs w:val="24"/>
                <w:rtl/>
              </w:rPr>
            </w:pPr>
            <w:r w:rsidRPr="00007309">
              <w:rPr>
                <w:rFonts w:cs="Arial" w:hint="cs"/>
                <w:sz w:val="24"/>
                <w:szCs w:val="24"/>
                <w:rtl/>
              </w:rPr>
              <w:t>הרח</w:t>
            </w:r>
          </w:p>
        </w:tc>
        <w:tc>
          <w:tcPr>
            <w:tcW w:w="737" w:type="dxa"/>
            <w:vAlign w:val="center"/>
          </w:tcPr>
          <w:p w:rsidR="00007309" w:rsidRPr="00007309" w:rsidRDefault="00007309" w:rsidP="00007309">
            <w:pPr>
              <w:jc w:val="center"/>
              <w:rPr>
                <w:rFonts w:cs="Arial"/>
                <w:sz w:val="24"/>
                <w:szCs w:val="24"/>
                <w:rtl/>
              </w:rPr>
            </w:pPr>
            <w:r w:rsidRPr="00007309">
              <w:rPr>
                <w:rFonts w:cs="Arial" w:hint="cs"/>
                <w:sz w:val="24"/>
                <w:szCs w:val="24"/>
                <w:rtl/>
              </w:rPr>
              <w:t>מצר</w:t>
            </w:r>
          </w:p>
        </w:tc>
        <w:tc>
          <w:tcPr>
            <w:tcW w:w="737" w:type="dxa"/>
            <w:vAlign w:val="center"/>
          </w:tcPr>
          <w:p w:rsidR="00007309" w:rsidRPr="00007309" w:rsidRDefault="00007309" w:rsidP="00007309">
            <w:pPr>
              <w:jc w:val="center"/>
              <w:rPr>
                <w:rFonts w:cs="Arial"/>
                <w:sz w:val="24"/>
                <w:szCs w:val="24"/>
                <w:rtl/>
              </w:rPr>
            </w:pPr>
            <w:r w:rsidRPr="00007309">
              <w:rPr>
                <w:rFonts w:cs="Arial" w:hint="cs"/>
                <w:sz w:val="24"/>
                <w:szCs w:val="24"/>
                <w:rtl/>
              </w:rPr>
              <w:t>ומב</w:t>
            </w:r>
          </w:p>
        </w:tc>
        <w:tc>
          <w:tcPr>
            <w:tcW w:w="737" w:type="dxa"/>
            <w:vAlign w:val="center"/>
          </w:tcPr>
          <w:p w:rsidR="00007309" w:rsidRPr="00007309" w:rsidRDefault="00007309" w:rsidP="00007309">
            <w:pPr>
              <w:jc w:val="center"/>
              <w:rPr>
                <w:rFonts w:cs="Arial"/>
                <w:sz w:val="24"/>
                <w:szCs w:val="24"/>
                <w:rtl/>
              </w:rPr>
            </w:pPr>
            <w:r w:rsidRPr="00007309">
              <w:rPr>
                <w:rFonts w:cs="Arial" w:hint="cs"/>
                <w:sz w:val="24"/>
                <w:szCs w:val="24"/>
                <w:rtl/>
              </w:rPr>
              <w:t>יהה</w:t>
            </w:r>
          </w:p>
        </w:tc>
        <w:tc>
          <w:tcPr>
            <w:tcW w:w="737" w:type="dxa"/>
            <w:vAlign w:val="center"/>
          </w:tcPr>
          <w:p w:rsidR="00007309" w:rsidRPr="00007309" w:rsidRDefault="00007309" w:rsidP="00007309">
            <w:pPr>
              <w:jc w:val="center"/>
              <w:rPr>
                <w:rFonts w:cs="Arial"/>
                <w:sz w:val="24"/>
                <w:szCs w:val="24"/>
                <w:rtl/>
              </w:rPr>
            </w:pPr>
            <w:r w:rsidRPr="00007309">
              <w:rPr>
                <w:rFonts w:cs="Arial" w:hint="cs"/>
                <w:sz w:val="24"/>
                <w:szCs w:val="24"/>
                <w:rtl/>
              </w:rPr>
              <w:t>ענו</w:t>
            </w:r>
          </w:p>
        </w:tc>
        <w:tc>
          <w:tcPr>
            <w:tcW w:w="737" w:type="dxa"/>
            <w:vAlign w:val="center"/>
          </w:tcPr>
          <w:p w:rsidR="00007309" w:rsidRPr="00007309" w:rsidRDefault="00007309" w:rsidP="00007309">
            <w:pPr>
              <w:jc w:val="center"/>
              <w:rPr>
                <w:rFonts w:cs="Arial"/>
                <w:sz w:val="24"/>
                <w:szCs w:val="24"/>
                <w:rtl/>
              </w:rPr>
            </w:pPr>
            <w:r w:rsidRPr="00007309">
              <w:rPr>
                <w:rFonts w:cs="Arial" w:hint="cs"/>
                <w:sz w:val="24"/>
                <w:szCs w:val="24"/>
                <w:rtl/>
              </w:rPr>
              <w:t>מחי</w:t>
            </w:r>
          </w:p>
        </w:tc>
      </w:tr>
      <w:tr w:rsidR="00007309" w:rsidRPr="00007309" w:rsidTr="00D578B5">
        <w:tc>
          <w:tcPr>
            <w:tcW w:w="737" w:type="dxa"/>
            <w:vAlign w:val="center"/>
          </w:tcPr>
          <w:p w:rsidR="00007309" w:rsidRPr="00007309" w:rsidRDefault="00007309" w:rsidP="00007309">
            <w:pPr>
              <w:jc w:val="center"/>
              <w:rPr>
                <w:rFonts w:cs="Arial"/>
                <w:sz w:val="24"/>
                <w:szCs w:val="24"/>
                <w:rtl/>
              </w:rPr>
            </w:pPr>
            <w:r w:rsidRPr="00007309">
              <w:rPr>
                <w:rFonts w:cs="Arial" w:hint="cs"/>
                <w:sz w:val="24"/>
                <w:szCs w:val="24"/>
                <w:rtl/>
              </w:rPr>
              <w:t>דמב</w:t>
            </w:r>
          </w:p>
        </w:tc>
        <w:tc>
          <w:tcPr>
            <w:tcW w:w="737" w:type="dxa"/>
            <w:vAlign w:val="center"/>
          </w:tcPr>
          <w:p w:rsidR="00007309" w:rsidRPr="00007309" w:rsidRDefault="00007309" w:rsidP="00007309">
            <w:pPr>
              <w:jc w:val="center"/>
              <w:rPr>
                <w:rFonts w:cs="Arial"/>
                <w:sz w:val="24"/>
                <w:szCs w:val="24"/>
                <w:rtl/>
              </w:rPr>
            </w:pPr>
            <w:r w:rsidRPr="00007309">
              <w:rPr>
                <w:rFonts w:cs="Arial" w:hint="cs"/>
                <w:sz w:val="24"/>
                <w:szCs w:val="24"/>
                <w:rtl/>
              </w:rPr>
              <w:t>מנק</w:t>
            </w:r>
          </w:p>
        </w:tc>
        <w:tc>
          <w:tcPr>
            <w:tcW w:w="737" w:type="dxa"/>
            <w:vAlign w:val="center"/>
          </w:tcPr>
          <w:p w:rsidR="00007309" w:rsidRPr="00007309" w:rsidRDefault="00007309" w:rsidP="00007309">
            <w:pPr>
              <w:jc w:val="center"/>
              <w:rPr>
                <w:rFonts w:cs="Arial"/>
                <w:sz w:val="24"/>
                <w:szCs w:val="24"/>
                <w:rtl/>
              </w:rPr>
            </w:pPr>
            <w:r w:rsidRPr="00007309">
              <w:rPr>
                <w:rFonts w:cs="Arial" w:hint="cs"/>
                <w:sz w:val="24"/>
                <w:szCs w:val="24"/>
                <w:rtl/>
              </w:rPr>
              <w:t>איע</w:t>
            </w:r>
          </w:p>
        </w:tc>
        <w:tc>
          <w:tcPr>
            <w:tcW w:w="737" w:type="dxa"/>
            <w:vAlign w:val="center"/>
          </w:tcPr>
          <w:p w:rsidR="00007309" w:rsidRPr="00007309" w:rsidRDefault="00007309" w:rsidP="00007309">
            <w:pPr>
              <w:jc w:val="center"/>
              <w:rPr>
                <w:rFonts w:cs="Arial"/>
                <w:sz w:val="24"/>
                <w:szCs w:val="24"/>
                <w:rtl/>
              </w:rPr>
            </w:pPr>
            <w:r w:rsidRPr="00007309">
              <w:rPr>
                <w:rFonts w:cs="Arial" w:hint="cs"/>
                <w:sz w:val="24"/>
                <w:szCs w:val="24"/>
                <w:rtl/>
              </w:rPr>
              <w:t>חבו</w:t>
            </w:r>
          </w:p>
        </w:tc>
        <w:tc>
          <w:tcPr>
            <w:tcW w:w="737" w:type="dxa"/>
            <w:vAlign w:val="center"/>
          </w:tcPr>
          <w:p w:rsidR="00007309" w:rsidRPr="00007309" w:rsidRDefault="00007309" w:rsidP="00007309">
            <w:pPr>
              <w:jc w:val="center"/>
              <w:rPr>
                <w:rFonts w:cs="Arial"/>
                <w:sz w:val="24"/>
                <w:szCs w:val="24"/>
                <w:rtl/>
              </w:rPr>
            </w:pPr>
            <w:r w:rsidRPr="00007309">
              <w:rPr>
                <w:rFonts w:cs="Arial" w:hint="cs"/>
                <w:sz w:val="24"/>
                <w:szCs w:val="24"/>
                <w:rtl/>
              </w:rPr>
              <w:t>ראה</w:t>
            </w:r>
          </w:p>
        </w:tc>
        <w:tc>
          <w:tcPr>
            <w:tcW w:w="737" w:type="dxa"/>
            <w:vAlign w:val="center"/>
          </w:tcPr>
          <w:p w:rsidR="00007309" w:rsidRPr="00007309" w:rsidRDefault="00007309" w:rsidP="00007309">
            <w:pPr>
              <w:jc w:val="center"/>
              <w:rPr>
                <w:rFonts w:cs="Arial"/>
                <w:sz w:val="24"/>
                <w:szCs w:val="24"/>
                <w:rtl/>
              </w:rPr>
            </w:pPr>
            <w:r w:rsidRPr="00007309">
              <w:rPr>
                <w:rFonts w:cs="Arial" w:hint="cs"/>
                <w:sz w:val="24"/>
                <w:szCs w:val="24"/>
                <w:rtl/>
              </w:rPr>
              <w:t>יבמ</w:t>
            </w:r>
          </w:p>
        </w:tc>
        <w:tc>
          <w:tcPr>
            <w:tcW w:w="737" w:type="dxa"/>
            <w:vAlign w:val="center"/>
          </w:tcPr>
          <w:p w:rsidR="00007309" w:rsidRPr="00007309" w:rsidRDefault="00007309" w:rsidP="00007309">
            <w:pPr>
              <w:jc w:val="center"/>
              <w:rPr>
                <w:rFonts w:cs="Arial"/>
                <w:sz w:val="24"/>
                <w:szCs w:val="24"/>
                <w:rtl/>
              </w:rPr>
            </w:pPr>
            <w:r w:rsidRPr="00007309">
              <w:rPr>
                <w:rFonts w:cs="Arial" w:hint="cs"/>
                <w:sz w:val="24"/>
                <w:szCs w:val="24"/>
                <w:rtl/>
              </w:rPr>
              <w:t>היי</w:t>
            </w:r>
          </w:p>
        </w:tc>
        <w:tc>
          <w:tcPr>
            <w:tcW w:w="737" w:type="dxa"/>
            <w:vAlign w:val="center"/>
          </w:tcPr>
          <w:p w:rsidR="00007309" w:rsidRPr="00007309" w:rsidRDefault="00007309" w:rsidP="00007309">
            <w:pPr>
              <w:jc w:val="center"/>
              <w:rPr>
                <w:rFonts w:cs="Arial"/>
                <w:sz w:val="24"/>
                <w:szCs w:val="24"/>
                <w:rtl/>
              </w:rPr>
            </w:pPr>
            <w:r w:rsidRPr="00007309">
              <w:rPr>
                <w:rFonts w:cs="Arial" w:hint="cs"/>
                <w:sz w:val="24"/>
                <w:szCs w:val="24"/>
                <w:rtl/>
              </w:rPr>
              <w:t>מום</w:t>
            </w:r>
          </w:p>
        </w:tc>
      </w:tr>
    </w:tbl>
    <w:p w:rsidR="00007309" w:rsidRPr="00007309" w:rsidRDefault="00007309" w:rsidP="00007309">
      <w:pPr>
        <w:keepNext/>
        <w:outlineLvl w:val="1"/>
        <w:rPr>
          <w:rFonts w:ascii="Cambria" w:hAnsi="Cambria" w:cs="Times New Roman"/>
          <w:b/>
          <w:bCs/>
          <w:i/>
          <w:iCs/>
          <w:sz w:val="28"/>
          <w:szCs w:val="28"/>
          <w:rtl/>
        </w:rPr>
      </w:pPr>
      <w:r w:rsidRPr="00007309">
        <w:rPr>
          <w:rFonts w:ascii="Cambria" w:hAnsi="Cambria" w:cs="Times New Roman"/>
          <w:b/>
          <w:bCs/>
          <w:i/>
          <w:iCs/>
          <w:sz w:val="28"/>
          <w:szCs w:val="28"/>
          <w:rtl/>
        </w:rPr>
        <w:t xml:space="preserve"> [</w:t>
      </w:r>
      <w:r w:rsidRPr="00007309">
        <w:rPr>
          <w:rFonts w:ascii="Cambria" w:hAnsi="Cambria" w:cs="Times New Roman" w:hint="cs"/>
          <w:b/>
          <w:bCs/>
          <w:i/>
          <w:iCs/>
          <w:sz w:val="28"/>
          <w:szCs w:val="28"/>
          <w:rtl/>
        </w:rPr>
        <w:t>דף</w:t>
      </w:r>
      <w:r w:rsidRPr="00007309">
        <w:rPr>
          <w:rFonts w:ascii="Cambria" w:hAnsi="Cambria" w:cs="Times New Roman"/>
          <w:b/>
          <w:bCs/>
          <w:i/>
          <w:iCs/>
          <w:sz w:val="28"/>
          <w:szCs w:val="28"/>
          <w:rtl/>
        </w:rPr>
        <w:t xml:space="preserve"> </w:t>
      </w:r>
      <w:r w:rsidRPr="00007309">
        <w:rPr>
          <w:rFonts w:ascii="Cambria" w:hAnsi="Cambria" w:cs="Times New Roman" w:hint="cs"/>
          <w:b/>
          <w:bCs/>
          <w:i/>
          <w:iCs/>
          <w:sz w:val="28"/>
          <w:szCs w:val="28"/>
          <w:rtl/>
        </w:rPr>
        <w:t>פד</w:t>
      </w:r>
      <w:r w:rsidRPr="00007309">
        <w:rPr>
          <w:rFonts w:ascii="Cambria" w:hAnsi="Cambria" w:cs="Times New Roman"/>
          <w:b/>
          <w:bCs/>
          <w:i/>
          <w:iCs/>
          <w:sz w:val="28"/>
          <w:szCs w:val="28"/>
          <w:rtl/>
        </w:rPr>
        <w:t xml:space="preserve"> ע"</w:t>
      </w:r>
      <w:r w:rsidRPr="00007309">
        <w:rPr>
          <w:rFonts w:ascii="Cambria" w:hAnsi="Cambria" w:cs="Times New Roman" w:hint="cs"/>
          <w:b/>
          <w:bCs/>
          <w:i/>
          <w:iCs/>
          <w:sz w:val="28"/>
          <w:szCs w:val="28"/>
          <w:rtl/>
        </w:rPr>
        <w:t>ג</w:t>
      </w:r>
      <w:r w:rsidRPr="00007309">
        <w:rPr>
          <w:rFonts w:ascii="Cambria" w:hAnsi="Cambria" w:cs="Times New Roman"/>
          <w:b/>
          <w:bCs/>
          <w:i/>
          <w:iCs/>
          <w:sz w:val="28"/>
          <w:szCs w:val="28"/>
          <w:rtl/>
        </w:rPr>
        <w:t>]</w:t>
      </w:r>
    </w:p>
    <w:p w:rsidR="00007309" w:rsidRPr="00007309" w:rsidRDefault="00007309" w:rsidP="00007309">
      <w:pPr>
        <w:jc w:val="both"/>
        <w:rPr>
          <w:rFonts w:cs="Arial"/>
          <w:b/>
          <w:bCs/>
          <w:sz w:val="24"/>
          <w:szCs w:val="24"/>
          <w:rtl/>
        </w:rPr>
      </w:pPr>
      <w:r w:rsidRPr="00007309">
        <w:rPr>
          <w:rFonts w:ascii="Cambria" w:hAnsi="Cambria" w:cs="Times New Roman" w:hint="cs"/>
          <w:b/>
          <w:bCs/>
          <w:i/>
          <w:iCs/>
          <w:color w:val="4F81BD"/>
          <w:sz w:val="24"/>
          <w:szCs w:val="24"/>
          <w:rtl/>
        </w:rPr>
        <w:t xml:space="preserve"> (פד ע"ג)</w:t>
      </w:r>
      <w:r w:rsidRPr="00007309">
        <w:rPr>
          <w:rFonts w:cs="Arial" w:hint="cs"/>
          <w:b/>
          <w:bCs/>
          <w:sz w:val="24"/>
          <w:szCs w:val="24"/>
          <w:rtl/>
        </w:rPr>
        <w:t xml:space="preserve"> </w:t>
      </w:r>
      <w:r w:rsidRPr="00007309">
        <w:rPr>
          <w:rFonts w:cs="Arial"/>
          <w:b/>
          <w:bCs/>
          <w:sz w:val="24"/>
          <w:szCs w:val="24"/>
          <w:rtl/>
        </w:rPr>
        <w:t>וה'ו אנ'י וה'ו</w:t>
      </w:r>
      <w:r w:rsidRPr="00007309">
        <w:rPr>
          <w:rFonts w:cs="Arial" w:hint="cs"/>
          <w:b/>
          <w:bCs/>
          <w:sz w:val="24"/>
          <w:szCs w:val="24"/>
          <w:rtl/>
        </w:rPr>
        <w:t>,</w:t>
      </w:r>
      <w:r w:rsidRPr="00007309">
        <w:rPr>
          <w:rFonts w:cs="Arial"/>
          <w:b/>
          <w:bCs/>
          <w:sz w:val="24"/>
          <w:szCs w:val="24"/>
          <w:rtl/>
        </w:rPr>
        <w:t xml:space="preserve"> רָאשֵׁי תֵּבִין וָא"ו, י'ג מְכִילָן דְּרַחֲמֵי, עָלַיְהוּ אִתְּמַר (ישעיה נט) </w:t>
      </w:r>
      <w:r w:rsidRPr="00007309">
        <w:rPr>
          <w:rFonts w:cs="Arial"/>
          <w:b/>
          <w:bCs/>
          <w:sz w:val="36"/>
          <w:szCs w:val="28"/>
          <w:vertAlign w:val="superscript"/>
          <w:rtl/>
        </w:rPr>
        <w:footnoteReference w:id="7982"/>
      </w:r>
      <w:r w:rsidRPr="00007309">
        <w:rPr>
          <w:rFonts w:cs="Arial"/>
          <w:b/>
          <w:bCs/>
          <w:sz w:val="24"/>
          <w:szCs w:val="24"/>
          <w:rtl/>
        </w:rPr>
        <w:t xml:space="preserve">וּבְרַחֲמִים גְּדוֹלִים אֲקַבְּצֶךָ. וְאִלֵּין אִנּוּן תְּלָת עָשָׂר מְכִילָן דְּרַחֲמֵי </w:t>
      </w:r>
      <w:r w:rsidRPr="00007309">
        <w:rPr>
          <w:rFonts w:cs="Arial"/>
          <w:b/>
          <w:bCs/>
          <w:sz w:val="36"/>
          <w:szCs w:val="28"/>
          <w:vertAlign w:val="superscript"/>
          <w:rtl/>
        </w:rPr>
        <w:footnoteReference w:id="7983"/>
      </w:r>
      <w:r w:rsidRPr="00007309">
        <w:rPr>
          <w:rFonts w:cs="Arial"/>
          <w:b/>
          <w:bCs/>
          <w:sz w:val="24"/>
          <w:szCs w:val="24"/>
          <w:rtl/>
        </w:rPr>
        <w:t xml:space="preserve">דְּכָרַת עִם מֹשֶׁה, לְאַפָּקָא בְּהוֹן לְיִשְׂרָאֵל מִן גָּלוּתָא. וְאִית בְּהוֹן ע'ב תֵּבִין </w:t>
      </w:r>
      <w:r w:rsidRPr="00007309">
        <w:rPr>
          <w:rFonts w:cs="Arial"/>
          <w:b/>
          <w:bCs/>
          <w:sz w:val="36"/>
          <w:szCs w:val="28"/>
          <w:vertAlign w:val="superscript"/>
          <w:rtl/>
        </w:rPr>
        <w:footnoteReference w:id="7984"/>
      </w:r>
      <w:r w:rsidRPr="00007309">
        <w:rPr>
          <w:rFonts w:cs="Arial"/>
          <w:b/>
          <w:bCs/>
          <w:sz w:val="24"/>
          <w:szCs w:val="24"/>
          <w:rtl/>
        </w:rPr>
        <w:t>דְּאִנּוּן חֶסֶד</w:t>
      </w:r>
      <w:r w:rsidRPr="00007309">
        <w:rPr>
          <w:rFonts w:cs="Arial" w:hint="cs"/>
          <w:b/>
          <w:bCs/>
          <w:sz w:val="24"/>
          <w:szCs w:val="24"/>
          <w:rtl/>
        </w:rPr>
        <w:t>,</w:t>
      </w:r>
      <w:r w:rsidRPr="00007309">
        <w:rPr>
          <w:rFonts w:cs="Arial"/>
          <w:b/>
          <w:bCs/>
          <w:sz w:val="24"/>
          <w:szCs w:val="24"/>
          <w:rtl/>
        </w:rPr>
        <w:t xml:space="preserve"> דְּרוֹעָא יְמִינָא</w:t>
      </w:r>
      <w:r w:rsidRPr="00007309">
        <w:rPr>
          <w:rFonts w:cs="Arial" w:hint="cs"/>
          <w:b/>
          <w:bCs/>
          <w:sz w:val="24"/>
          <w:szCs w:val="24"/>
          <w:rtl/>
        </w:rPr>
        <w:t>.</w:t>
      </w:r>
      <w:r w:rsidRPr="00007309">
        <w:rPr>
          <w:rFonts w:cs="Arial"/>
          <w:b/>
          <w:bCs/>
          <w:sz w:val="24"/>
          <w:szCs w:val="24"/>
          <w:rtl/>
        </w:rPr>
        <w:t xml:space="preserve"> וּבְהוֹן רי"ו אַתְוָן בְּחֻשְׁבַּן גְּבוּרָה. וְאִנּוּן אַתְוָן מִתְכַּפְיָן תְּחוֹת תֵּבִין, וְדָא אִיהוּ וַיַּעֲבֹר ע'ב רי'ו. </w:t>
      </w:r>
      <w:r w:rsidRPr="00007309">
        <w:rPr>
          <w:rFonts w:cs="Arial"/>
          <w:b/>
          <w:bCs/>
          <w:sz w:val="36"/>
          <w:szCs w:val="28"/>
          <w:vertAlign w:val="superscript"/>
          <w:rtl/>
        </w:rPr>
        <w:footnoteReference w:id="7985"/>
      </w:r>
      <w:r w:rsidRPr="00007309">
        <w:rPr>
          <w:rFonts w:cs="Arial"/>
          <w:b/>
          <w:bCs/>
          <w:sz w:val="24"/>
          <w:szCs w:val="24"/>
          <w:rtl/>
        </w:rPr>
        <w:t>וְדָא אִיהוּ הִנֵּה ה' רוֹכֵב עַל עָ'ב קַ'ל. וְדָא אִיהִי י' י"ה יה"ו יהו"ה</w:t>
      </w:r>
      <w:r w:rsidRPr="00007309">
        <w:rPr>
          <w:rFonts w:cs="Arial" w:hint="cs"/>
          <w:b/>
          <w:bCs/>
          <w:sz w:val="24"/>
          <w:szCs w:val="24"/>
          <w:rtl/>
        </w:rPr>
        <w:t>,</w:t>
      </w:r>
      <w:r w:rsidRPr="00007309">
        <w:rPr>
          <w:rFonts w:cs="Arial"/>
          <w:b/>
          <w:bCs/>
          <w:sz w:val="24"/>
          <w:szCs w:val="24"/>
          <w:rtl/>
        </w:rPr>
        <w:t xml:space="preserve"> יו"ד יו"ד ק"א יו"ד ק"א וא"ו יו"ד ק"א וא"ו ק"א</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986"/>
      </w:r>
      <w:r w:rsidRPr="00007309">
        <w:rPr>
          <w:rFonts w:cs="Arial"/>
          <w:b/>
          <w:bCs/>
          <w:sz w:val="24"/>
          <w:szCs w:val="24"/>
          <w:rtl/>
        </w:rPr>
        <w:t>וְאִנּוּן כ"ו אַתְוָן</w:t>
      </w:r>
      <w:r w:rsidRPr="00007309">
        <w:rPr>
          <w:rFonts w:cs="Arial" w:hint="cs"/>
          <w:b/>
          <w:bCs/>
          <w:sz w:val="24"/>
          <w:szCs w:val="24"/>
          <w:rtl/>
        </w:rPr>
        <w:t>.</w:t>
      </w:r>
      <w:r w:rsidRPr="00007309">
        <w:rPr>
          <w:rFonts w:cs="Arial"/>
          <w:b/>
          <w:bCs/>
          <w:sz w:val="24"/>
          <w:szCs w:val="24"/>
          <w:rtl/>
        </w:rPr>
        <w:t xml:space="preserve"> וְנָפְקִין מִן יהו"ה וְדָא אִיהוּ הִנֵּה ה' רוֹכֵב עַל עָ"ב קַ"ל</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987"/>
      </w:r>
      <w:r w:rsidRPr="00007309">
        <w:rPr>
          <w:rFonts w:cs="Arial"/>
          <w:b/>
          <w:bCs/>
          <w:sz w:val="24"/>
          <w:szCs w:val="24"/>
          <w:rtl/>
        </w:rPr>
        <w:t xml:space="preserve">בְּהַהוּא זִמְנָא (ישעיה מב) ה' כְּגִבּוֹר יֵצֵא כְּאִישׁ מִלְחָמוֹת יָעִיר קִנְאָה יָרִיעַ אַף יַצְרִיחַ עַל אוֹיְבָיו יִתְגַּבָּר. יָרִיעַ בִּתְקִיעָה </w:t>
      </w:r>
      <w:r w:rsidRPr="00007309">
        <w:rPr>
          <w:rFonts w:cs="Arial"/>
          <w:b/>
          <w:bCs/>
          <w:sz w:val="36"/>
          <w:szCs w:val="28"/>
          <w:vertAlign w:val="superscript"/>
          <w:rtl/>
        </w:rPr>
        <w:footnoteReference w:id="7988"/>
      </w:r>
      <w:r w:rsidRPr="00007309">
        <w:rPr>
          <w:rFonts w:cs="Arial"/>
          <w:b/>
          <w:bCs/>
          <w:sz w:val="24"/>
          <w:szCs w:val="24"/>
          <w:rtl/>
        </w:rPr>
        <w:t>וְדָא רְבִיעַ</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989"/>
      </w:r>
      <w:r w:rsidRPr="00007309">
        <w:rPr>
          <w:rFonts w:cs="Arial"/>
          <w:b/>
          <w:bCs/>
          <w:sz w:val="24"/>
          <w:szCs w:val="24"/>
          <w:rtl/>
        </w:rPr>
        <w:t xml:space="preserve">יַצְרִיחַ בִּשְׁבָרִים </w:t>
      </w:r>
      <w:r w:rsidRPr="00007309">
        <w:rPr>
          <w:rFonts w:cs="Arial"/>
          <w:b/>
          <w:bCs/>
          <w:sz w:val="36"/>
          <w:szCs w:val="28"/>
          <w:vertAlign w:val="superscript"/>
          <w:rtl/>
        </w:rPr>
        <w:footnoteReference w:id="7990"/>
      </w:r>
      <w:r w:rsidRPr="00007309">
        <w:rPr>
          <w:rFonts w:cs="Arial"/>
          <w:b/>
          <w:bCs/>
          <w:sz w:val="24"/>
          <w:szCs w:val="24"/>
          <w:rtl/>
        </w:rPr>
        <w:t>וְאִלֵּין ב' גְּרֵשִׁין. עַל אוֹיְבָיו יִתְגַּבָּר בִּתְרוּעָה, וְדָא שַׁלְשֶׁלֶת וְהָא אוֹקְמוּהּ. בְּהַהוּא זִמְנָא שׁוֹפָר מְהֻפָּךְ קַדְמָא, זָקֵף קָטָן, זָקֵף גָּדוֹל. מַאי מְהֻפָּךְ אֶלָּא מְהַפֵּךְ מֶמְשָׁלָה דְּאֻמִּין פָּלְחֵי</w:t>
      </w:r>
      <w:r w:rsidRPr="00007309">
        <w:rPr>
          <w:rFonts w:cs="Arial"/>
          <w:b/>
          <w:bCs/>
          <w:sz w:val="24"/>
          <w:szCs w:val="24"/>
        </w:rPr>
        <w:t xml:space="preserve"> </w:t>
      </w:r>
      <w:r w:rsidRPr="00007309">
        <w:rPr>
          <w:rFonts w:cs="Arial"/>
          <w:b/>
          <w:bCs/>
          <w:sz w:val="24"/>
          <w:szCs w:val="24"/>
          <w:rtl/>
        </w:rPr>
        <w:t>כּוֹכְבַיָּא דְּעָלְמָא לְמֶמְשָׁלָה</w:t>
      </w:r>
      <w:r w:rsidRPr="00007309">
        <w:rPr>
          <w:rFonts w:cs="Arial"/>
          <w:b/>
          <w:bCs/>
          <w:sz w:val="24"/>
          <w:szCs w:val="28"/>
        </w:rPr>
        <w:t xml:space="preserve"> </w:t>
      </w:r>
      <w:r w:rsidRPr="00007309">
        <w:rPr>
          <w:rFonts w:cs="Arial"/>
          <w:b/>
          <w:bCs/>
          <w:sz w:val="24"/>
          <w:szCs w:val="24"/>
          <w:rtl/>
        </w:rPr>
        <w:t>דְּיִשְׂרָאֵל</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7991"/>
      </w:r>
      <w:r w:rsidRPr="00007309">
        <w:rPr>
          <w:rFonts w:cs="Arial"/>
          <w:b/>
          <w:bCs/>
          <w:sz w:val="24"/>
          <w:szCs w:val="24"/>
          <w:rtl/>
        </w:rPr>
        <w:t xml:space="preserve">וּבְהַהוּא זִמְנָא </w:t>
      </w:r>
      <w:r w:rsidRPr="00007309">
        <w:rPr>
          <w:rFonts w:cs="Arial" w:hint="cs"/>
          <w:b/>
          <w:bCs/>
          <w:sz w:val="24"/>
          <w:szCs w:val="24"/>
          <w:rtl/>
        </w:rPr>
        <w:t xml:space="preserve">(ירמיה לא יב) </w:t>
      </w:r>
      <w:r w:rsidRPr="00007309">
        <w:rPr>
          <w:rFonts w:cs="Arial"/>
          <w:b/>
          <w:bCs/>
          <w:sz w:val="24"/>
          <w:szCs w:val="24"/>
          <w:rtl/>
        </w:rPr>
        <w:t xml:space="preserve">וְהָפַכְתִּי אֶבְלָם לְשָׂשׂוֹן. זָקֵף גָּדוֹל זָקֵף קָטֹן. וּבְהַהוּא זִמְנָא </w:t>
      </w:r>
      <w:r w:rsidRPr="00007309">
        <w:rPr>
          <w:rFonts w:cs="Arial"/>
          <w:b/>
          <w:bCs/>
          <w:sz w:val="36"/>
          <w:szCs w:val="28"/>
          <w:vertAlign w:val="superscript"/>
          <w:rtl/>
        </w:rPr>
        <w:footnoteReference w:id="7992"/>
      </w:r>
      <w:r w:rsidRPr="00007309">
        <w:rPr>
          <w:rFonts w:cs="Arial"/>
          <w:b/>
          <w:bCs/>
          <w:sz w:val="24"/>
          <w:szCs w:val="24"/>
          <w:rtl/>
        </w:rPr>
        <w:t xml:space="preserve">יִתְקַיִּם (ישעיה ס) הַקָּטן יְהִי לְאֶלֶף </w:t>
      </w:r>
      <w:r w:rsidRPr="00007309">
        <w:rPr>
          <w:rFonts w:cs="Arial"/>
          <w:b/>
          <w:bCs/>
          <w:sz w:val="36"/>
          <w:szCs w:val="28"/>
          <w:vertAlign w:val="superscript"/>
          <w:rtl/>
        </w:rPr>
        <w:footnoteReference w:id="7993"/>
      </w:r>
      <w:r w:rsidRPr="00007309">
        <w:rPr>
          <w:rFonts w:cs="Arial"/>
          <w:b/>
          <w:bCs/>
          <w:sz w:val="24"/>
          <w:szCs w:val="24"/>
          <w:rtl/>
        </w:rPr>
        <w:t xml:space="preserve">וְהַצָּעִיר לְגוֹי עָצוּם אֲנִי ה' בְּעִתָּהּ אֲחִישֶׁנָּה. וְהָא אוֹקְמוּהּ אִם זָכוּ אֲחִישֶׁנָּה, וְאִם לֹא זָכוּ בְּעִתָּהּ, </w:t>
      </w:r>
      <w:r w:rsidRPr="00007309">
        <w:rPr>
          <w:rFonts w:cs="Arial"/>
          <w:b/>
          <w:bCs/>
          <w:sz w:val="36"/>
          <w:szCs w:val="28"/>
          <w:vertAlign w:val="superscript"/>
          <w:rtl/>
        </w:rPr>
        <w:footnoteReference w:id="7994"/>
      </w:r>
      <w:r w:rsidRPr="00007309">
        <w:rPr>
          <w:rFonts w:cs="Arial"/>
          <w:b/>
          <w:bCs/>
          <w:sz w:val="24"/>
          <w:szCs w:val="24"/>
          <w:rtl/>
        </w:rPr>
        <w:t xml:space="preserve">בְּעֵת ה'. </w:t>
      </w:r>
    </w:p>
    <w:p w:rsidR="00007309" w:rsidRPr="00007309" w:rsidRDefault="00007309" w:rsidP="00007309">
      <w:pPr>
        <w:jc w:val="both"/>
        <w:rPr>
          <w:rFonts w:cs="Arial"/>
          <w:b/>
          <w:bCs/>
          <w:sz w:val="24"/>
          <w:szCs w:val="24"/>
          <w:rtl/>
        </w:rPr>
      </w:pPr>
      <w:r w:rsidRPr="00007309">
        <w:rPr>
          <w:rFonts w:cs="Arial"/>
          <w:b/>
          <w:bCs/>
          <w:sz w:val="24"/>
          <w:szCs w:val="24"/>
          <w:rtl/>
        </w:rPr>
        <w:t>צָרִיךְ לְמִנְדַּע</w:t>
      </w:r>
      <w:r w:rsidRPr="00007309">
        <w:rPr>
          <w:rFonts w:cs="Arial"/>
          <w:b/>
          <w:bCs/>
          <w:sz w:val="24"/>
          <w:szCs w:val="24"/>
        </w:rPr>
        <w:t xml:space="preserve"> </w:t>
      </w:r>
      <w:r w:rsidRPr="00007309">
        <w:rPr>
          <w:rFonts w:cs="Arial"/>
          <w:b/>
          <w:bCs/>
          <w:sz w:val="24"/>
          <w:szCs w:val="24"/>
          <w:rtl/>
        </w:rPr>
        <w:t xml:space="preserve">מַאי עִתָּהּ דְּעָלַהּ אִתְּמַר (תהלים קיט) </w:t>
      </w:r>
      <w:r w:rsidRPr="00007309">
        <w:rPr>
          <w:rFonts w:cs="Arial"/>
          <w:b/>
          <w:bCs/>
          <w:sz w:val="36"/>
          <w:szCs w:val="28"/>
          <w:vertAlign w:val="superscript"/>
          <w:rtl/>
        </w:rPr>
        <w:footnoteReference w:id="7995"/>
      </w:r>
      <w:r w:rsidRPr="00007309">
        <w:rPr>
          <w:rFonts w:cs="Arial"/>
          <w:b/>
          <w:bCs/>
          <w:sz w:val="24"/>
          <w:szCs w:val="24"/>
          <w:rtl/>
        </w:rPr>
        <w:t xml:space="preserve">עֵת לַעֲשׂוֹת לַה' הֵפֵרוּ תּוֹרָתֶךָ. </w:t>
      </w:r>
      <w:r w:rsidRPr="00007309">
        <w:rPr>
          <w:rFonts w:cs="Arial"/>
          <w:b/>
          <w:bCs/>
          <w:sz w:val="36"/>
          <w:szCs w:val="28"/>
          <w:vertAlign w:val="superscript"/>
          <w:rtl/>
        </w:rPr>
        <w:footnoteReference w:id="7996"/>
      </w:r>
      <w:r w:rsidRPr="00007309">
        <w:rPr>
          <w:rFonts w:cs="Arial"/>
          <w:b/>
          <w:bCs/>
          <w:sz w:val="24"/>
          <w:szCs w:val="24"/>
          <w:rtl/>
        </w:rPr>
        <w:t xml:space="preserve">וְהַאי אִית עֵת וְאִית עֵת, הָדָא הוּא דִּכְתִיב (ויקרא טז) וְאַל יָבֹא בְּכָל עֵת אֶל הַקֹּדֶשׁ. וּבְגִין דָּא אָמַר (קהלת ה) עֵת לִבְכּוֹת וְעֵת לִשְׂחוֹק. </w:t>
      </w:r>
      <w:r w:rsidRPr="00007309">
        <w:rPr>
          <w:rFonts w:cs="Arial"/>
          <w:b/>
          <w:bCs/>
          <w:sz w:val="36"/>
          <w:szCs w:val="28"/>
          <w:vertAlign w:val="superscript"/>
          <w:rtl/>
        </w:rPr>
        <w:footnoteReference w:id="7997"/>
      </w:r>
      <w:r w:rsidRPr="00007309">
        <w:rPr>
          <w:rFonts w:cs="Arial"/>
          <w:b/>
          <w:bCs/>
          <w:sz w:val="24"/>
          <w:szCs w:val="24"/>
          <w:rtl/>
        </w:rPr>
        <w:t xml:space="preserve">וְרָזָא דְּמִלָּה מִיָּד דְּיֵיתֵי בְּכִיָּה עֵת דְּדַחֲקוּ לְיִשְׂרָאֵל, מִיָּד יְהֵא לוֹן עֵת פֻּרְקָנָא. הָדָא הוּא דִּכְתִיב (ירמיה ל) עֵת צָרָה הִיא לְיַעֲקֹב וּמִמֶּנָּה יִוָּשֵׁעַ. </w:t>
      </w:r>
      <w:r w:rsidRPr="00007309">
        <w:rPr>
          <w:rFonts w:cs="Arial"/>
          <w:b/>
          <w:bCs/>
          <w:sz w:val="36"/>
          <w:szCs w:val="28"/>
          <w:vertAlign w:val="superscript"/>
          <w:rtl/>
        </w:rPr>
        <w:footnoteReference w:id="7998"/>
      </w:r>
      <w:r w:rsidRPr="00007309">
        <w:rPr>
          <w:rFonts w:cs="Arial"/>
          <w:b/>
          <w:bCs/>
          <w:sz w:val="24"/>
          <w:szCs w:val="24"/>
          <w:rtl/>
        </w:rPr>
        <w:t>דְּהָא סַגִּיאִין הֲווֹ עִתִּין דְּעָאקוּ, הָדָא הוּא דִּכְתִיב (תהלים) מִשְׂגָּב</w:t>
      </w:r>
      <w:r w:rsidRPr="00007309">
        <w:rPr>
          <w:rFonts w:cs="Arial"/>
          <w:b/>
          <w:bCs/>
          <w:sz w:val="24"/>
          <w:szCs w:val="24"/>
        </w:rPr>
        <w:t xml:space="preserve"> </w:t>
      </w:r>
      <w:r w:rsidRPr="00007309">
        <w:rPr>
          <w:rFonts w:cs="Arial"/>
          <w:b/>
          <w:bCs/>
          <w:sz w:val="24"/>
          <w:szCs w:val="24"/>
          <w:rtl/>
        </w:rPr>
        <w:t>לְעִתּוֹת בַּצָּרָה. מָאן יָכִיל לְמִנְדַּע הה</w:t>
      </w:r>
      <w:r w:rsidRPr="00007309">
        <w:rPr>
          <w:rFonts w:cs="Arial" w:hint="cs"/>
          <w:b/>
          <w:bCs/>
          <w:sz w:val="24"/>
          <w:szCs w:val="24"/>
          <w:rtl/>
        </w:rPr>
        <w:t>ו</w:t>
      </w:r>
      <w:r w:rsidRPr="00007309">
        <w:rPr>
          <w:rFonts w:cs="Arial"/>
          <w:b/>
          <w:bCs/>
          <w:sz w:val="24"/>
          <w:szCs w:val="24"/>
          <w:rtl/>
        </w:rPr>
        <w:t xml:space="preserve">א עֵת בֵּינַיְהוּ, אֶלָּא עֵת דִּבְכִיָּה אִיהוּ. וְרָזָא דְּמִלָּה </w:t>
      </w:r>
      <w:r w:rsidRPr="00007309">
        <w:rPr>
          <w:rFonts w:cs="Arial" w:hint="cs"/>
          <w:b/>
          <w:bCs/>
          <w:sz w:val="24"/>
          <w:szCs w:val="24"/>
          <w:rtl/>
        </w:rPr>
        <w:t xml:space="preserve">(ירמיה לא ח) </w:t>
      </w:r>
      <w:r w:rsidRPr="00007309">
        <w:rPr>
          <w:rFonts w:cs="Arial"/>
          <w:b/>
          <w:bCs/>
          <w:sz w:val="24"/>
          <w:szCs w:val="24"/>
          <w:rtl/>
        </w:rPr>
        <w:t>בִּבְכִי יָבֹאוּ</w:t>
      </w:r>
      <w:r w:rsidRPr="00007309">
        <w:rPr>
          <w:rFonts w:cs="Arial" w:hint="cs"/>
          <w:b/>
          <w:bCs/>
          <w:sz w:val="24"/>
          <w:szCs w:val="24"/>
          <w:rtl/>
        </w:rPr>
        <w:t>,</w:t>
      </w:r>
      <w:r w:rsidRPr="00007309">
        <w:rPr>
          <w:rFonts w:cs="Arial"/>
          <w:b/>
          <w:bCs/>
          <w:sz w:val="24"/>
          <w:szCs w:val="24"/>
          <w:rtl/>
        </w:rPr>
        <w:t xml:space="preserve"> בְּבֶכִי דְּדַלּוּת </w:t>
      </w:r>
      <w:r w:rsidRPr="00007309">
        <w:rPr>
          <w:rFonts w:cs="Arial"/>
          <w:b/>
          <w:bCs/>
          <w:sz w:val="36"/>
          <w:szCs w:val="28"/>
          <w:vertAlign w:val="superscript"/>
          <w:rtl/>
        </w:rPr>
        <w:footnoteReference w:id="7999"/>
      </w:r>
      <w:r w:rsidRPr="00007309">
        <w:rPr>
          <w:rFonts w:cs="Arial"/>
          <w:b/>
          <w:bCs/>
          <w:sz w:val="24"/>
          <w:szCs w:val="24"/>
          <w:rtl/>
        </w:rPr>
        <w:t xml:space="preserve">דְּכָךְ סָלִיק חֻשְׁבָּן בְּבֶכִי, כְּחֻשְׁבַּן דַּ"ל. וְכֵיוָן דְּחָזָא מֹשֶׁה הַאי דּוֹחֲקָא דְּדַלּוּת לְיִשְׂרָאֵל, אִתְּמַר בֵּהּ </w:t>
      </w:r>
      <w:r w:rsidRPr="00007309">
        <w:rPr>
          <w:rFonts w:cs="Arial"/>
          <w:b/>
          <w:bCs/>
          <w:sz w:val="36"/>
          <w:szCs w:val="28"/>
          <w:vertAlign w:val="superscript"/>
          <w:rtl/>
        </w:rPr>
        <w:footnoteReference w:id="8000"/>
      </w:r>
      <w:r w:rsidRPr="00007309">
        <w:rPr>
          <w:rFonts w:cs="Arial"/>
          <w:b/>
          <w:bCs/>
          <w:sz w:val="24"/>
          <w:szCs w:val="24"/>
          <w:rtl/>
        </w:rPr>
        <w:t xml:space="preserve">וְהִנֵּה נַעַר בֹּכֶה. מִיָּד מַה כְּתִיב בָּתַר בְּכִיָּה וַתַּחְמֹל עָלָיו בְּפֻרְקָנָא. וְרָזָא דְּמִלָּה </w:t>
      </w:r>
      <w:r w:rsidRPr="00007309">
        <w:rPr>
          <w:rFonts w:cs="Arial"/>
          <w:b/>
          <w:bCs/>
          <w:sz w:val="36"/>
          <w:szCs w:val="28"/>
          <w:vertAlign w:val="superscript"/>
          <w:rtl/>
        </w:rPr>
        <w:footnoteReference w:id="8001"/>
      </w:r>
      <w:r w:rsidRPr="00007309">
        <w:rPr>
          <w:rFonts w:cs="Arial"/>
          <w:b/>
          <w:bCs/>
          <w:sz w:val="24"/>
          <w:szCs w:val="24"/>
          <w:rtl/>
        </w:rPr>
        <w:t xml:space="preserve">וַיִּתְמַהֲמֵהַּ וַיַּחֲזִיקוּ הָאֲנָשִׁים </w:t>
      </w:r>
      <w:r w:rsidRPr="00007309">
        <w:rPr>
          <w:rFonts w:cs="Arial"/>
          <w:b/>
          <w:bCs/>
          <w:sz w:val="36"/>
          <w:szCs w:val="28"/>
          <w:vertAlign w:val="superscript"/>
          <w:rtl/>
        </w:rPr>
        <w:footnoteReference w:id="8002"/>
      </w:r>
      <w:r w:rsidRPr="00007309">
        <w:rPr>
          <w:rFonts w:cs="Arial"/>
          <w:b/>
          <w:bCs/>
          <w:sz w:val="24"/>
          <w:szCs w:val="24"/>
          <w:rtl/>
        </w:rPr>
        <w:t xml:space="preserve">בְּיָדוֹ </w:t>
      </w:r>
      <w:r w:rsidRPr="00007309">
        <w:rPr>
          <w:rFonts w:cs="Arial"/>
          <w:b/>
          <w:bCs/>
          <w:sz w:val="36"/>
          <w:szCs w:val="28"/>
          <w:vertAlign w:val="superscript"/>
          <w:rtl/>
        </w:rPr>
        <w:footnoteReference w:id="8003"/>
      </w:r>
      <w:r w:rsidRPr="00007309">
        <w:rPr>
          <w:rFonts w:cs="Arial"/>
          <w:b/>
          <w:bCs/>
          <w:sz w:val="24"/>
          <w:szCs w:val="24"/>
          <w:rtl/>
        </w:rPr>
        <w:t xml:space="preserve">וּבְיַד אִשְׁתּוֹ </w:t>
      </w:r>
      <w:r w:rsidRPr="00007309">
        <w:rPr>
          <w:rFonts w:cs="Arial"/>
          <w:b/>
          <w:bCs/>
          <w:sz w:val="36"/>
          <w:szCs w:val="28"/>
          <w:vertAlign w:val="superscript"/>
          <w:rtl/>
        </w:rPr>
        <w:footnoteReference w:id="8004"/>
      </w:r>
      <w:r w:rsidRPr="00007309">
        <w:rPr>
          <w:rFonts w:cs="Arial"/>
          <w:b/>
          <w:bCs/>
          <w:sz w:val="24"/>
          <w:szCs w:val="24"/>
          <w:rtl/>
        </w:rPr>
        <w:t xml:space="preserve">וּבְיַד ב' בְּנוֹתָיו בְּחֶמְלַת ה' עָלָיו. </w:t>
      </w:r>
      <w:r w:rsidRPr="00007309">
        <w:rPr>
          <w:rFonts w:cs="Arial"/>
          <w:b/>
          <w:bCs/>
          <w:sz w:val="36"/>
          <w:szCs w:val="28"/>
          <w:vertAlign w:val="superscript"/>
          <w:rtl/>
        </w:rPr>
        <w:footnoteReference w:id="8005"/>
      </w:r>
      <w:r w:rsidRPr="00007309">
        <w:rPr>
          <w:rFonts w:cs="Arial"/>
          <w:b/>
          <w:bCs/>
          <w:sz w:val="24"/>
          <w:szCs w:val="24"/>
          <w:rtl/>
        </w:rPr>
        <w:t>דְּהָכֵי עֲתִידִין לְמֶהֱוֵי בְּדָרָא דְּגָלוּתָא בַּתְרָאָה כְּאִנּוּן אַנְשֵׁי סְדוֹם וַעֲמוֹרָה. וּמִיָּד וַיּוֹצִיאוּהוּ וַיַּנִּיחוּהוּ מִחוּץ לָעִיר. וַיּוֹצִיאוּהוּ מִן גָּלוּתָא</w:t>
      </w:r>
      <w:r w:rsidRPr="00007309">
        <w:rPr>
          <w:rFonts w:cs="Arial" w:hint="cs"/>
          <w:b/>
          <w:bCs/>
          <w:sz w:val="24"/>
          <w:szCs w:val="24"/>
          <w:rtl/>
        </w:rPr>
        <w:t>,</w:t>
      </w:r>
      <w:r w:rsidRPr="00007309">
        <w:rPr>
          <w:rFonts w:cs="Arial"/>
          <w:b/>
          <w:bCs/>
          <w:sz w:val="24"/>
          <w:szCs w:val="24"/>
          <w:rtl/>
        </w:rPr>
        <w:t xml:space="preserve"> וַיַּנִּיחוּהוּ </w:t>
      </w:r>
      <w:r w:rsidRPr="00007309">
        <w:rPr>
          <w:rFonts w:cs="Arial"/>
          <w:b/>
          <w:bCs/>
          <w:sz w:val="36"/>
          <w:szCs w:val="28"/>
          <w:vertAlign w:val="superscript"/>
          <w:rtl/>
        </w:rPr>
        <w:footnoteReference w:id="8006"/>
      </w:r>
      <w:r w:rsidRPr="00007309">
        <w:rPr>
          <w:rFonts w:cs="Arial"/>
          <w:b/>
          <w:bCs/>
          <w:sz w:val="24"/>
          <w:szCs w:val="24"/>
          <w:rtl/>
        </w:rPr>
        <w:t xml:space="preserve">מִמַּיָּא דְּטוֹפָנָא. </w:t>
      </w:r>
    </w:p>
    <w:p w:rsidR="00007309" w:rsidRPr="00007309" w:rsidRDefault="00007309" w:rsidP="00007309">
      <w:pPr>
        <w:jc w:val="both"/>
        <w:rPr>
          <w:rFonts w:cs="Arial"/>
          <w:b/>
          <w:bCs/>
          <w:sz w:val="24"/>
          <w:szCs w:val="24"/>
          <w:rtl/>
        </w:rPr>
      </w:pPr>
      <w:r w:rsidRPr="00007309">
        <w:rPr>
          <w:rFonts w:cs="Arial"/>
          <w:b/>
          <w:bCs/>
          <w:sz w:val="36"/>
          <w:szCs w:val="28"/>
          <w:vertAlign w:val="superscript"/>
          <w:rtl/>
        </w:rPr>
        <w:footnoteReference w:id="8007"/>
      </w:r>
      <w:r w:rsidRPr="00007309">
        <w:rPr>
          <w:rFonts w:cs="Arial"/>
          <w:b/>
          <w:bCs/>
          <w:sz w:val="24"/>
          <w:szCs w:val="24"/>
          <w:rtl/>
        </w:rPr>
        <w:t>וְעוֹד וְהִנֵּה נַעַר בּוֹכֶה</w:t>
      </w:r>
      <w:r w:rsidRPr="00007309">
        <w:rPr>
          <w:rFonts w:cs="Arial" w:hint="cs"/>
          <w:b/>
          <w:bCs/>
          <w:sz w:val="24"/>
          <w:szCs w:val="24"/>
          <w:rtl/>
        </w:rPr>
        <w:t>,</w:t>
      </w:r>
      <w:r w:rsidRPr="00007309">
        <w:rPr>
          <w:rFonts w:cs="Arial"/>
          <w:b/>
          <w:bCs/>
          <w:sz w:val="24"/>
          <w:szCs w:val="24"/>
          <w:rtl/>
        </w:rPr>
        <w:t xml:space="preserve"> ב'ו כ'ה</w:t>
      </w:r>
      <w:r w:rsidRPr="00007309">
        <w:rPr>
          <w:rFonts w:cs="Arial" w:hint="cs"/>
          <w:b/>
          <w:bCs/>
          <w:sz w:val="24"/>
          <w:szCs w:val="24"/>
          <w:rtl/>
        </w:rPr>
        <w:t>,</w:t>
      </w:r>
      <w:r w:rsidRPr="00007309">
        <w:rPr>
          <w:rFonts w:cs="Arial"/>
          <w:b/>
          <w:bCs/>
          <w:sz w:val="24"/>
          <w:szCs w:val="24"/>
          <w:rtl/>
        </w:rPr>
        <w:t xml:space="preserve"> דְּאִתְּמַר בֵּהּ וַיִּפֶן כֹּ"ה וָכֹ"ה. וְאִיהוּ כְּלִילָא מֵחַמְשִׁין תַּרְעִין דְּבִינָה דְּאִתְמְסָרוּ לְמֹשֶׁה, וּבְהוֹן וַיַּךְ אֶת הַמִּצְרִי. וּבְהוֹן מָחָא חַמְשִׁין מְחָאָן בְּמִצְרַיִם, וְעָלַיְהוּ אִתְּמַר מִי יִרְפָּא לָךְ. הָדָא הוּא דִּכְתִיב</w:t>
      </w:r>
      <w:r w:rsidRPr="00007309">
        <w:rPr>
          <w:rFonts w:cs="Arial"/>
          <w:b/>
          <w:bCs/>
          <w:sz w:val="24"/>
          <w:szCs w:val="24"/>
        </w:rPr>
        <w:t xml:space="preserve"> </w:t>
      </w:r>
      <w:r w:rsidRPr="00007309">
        <w:rPr>
          <w:rFonts w:cs="Arial"/>
          <w:b/>
          <w:bCs/>
          <w:sz w:val="24"/>
          <w:szCs w:val="24"/>
          <w:rtl/>
        </w:rPr>
        <w:t xml:space="preserve">מָחַצְתִּי וַאֲנִי אֶרְפָּא. </w:t>
      </w:r>
      <w:r w:rsidRPr="00007309">
        <w:rPr>
          <w:rFonts w:cs="Arial"/>
          <w:b/>
          <w:bCs/>
          <w:sz w:val="36"/>
          <w:szCs w:val="28"/>
          <w:vertAlign w:val="superscript"/>
          <w:rtl/>
        </w:rPr>
        <w:footnoteReference w:id="8008"/>
      </w:r>
      <w:r w:rsidRPr="00007309">
        <w:rPr>
          <w:rFonts w:cs="Arial"/>
          <w:b/>
          <w:bCs/>
          <w:sz w:val="24"/>
          <w:szCs w:val="24"/>
          <w:rtl/>
        </w:rPr>
        <w:t xml:space="preserve">בְּמַאי דְּמָחַצְתִּי לְמִצְרָאֵי אֲנִי אֶרְפָּא לָךְ. </w:t>
      </w:r>
      <w:r w:rsidRPr="00007309">
        <w:rPr>
          <w:rFonts w:cs="Arial"/>
          <w:b/>
          <w:bCs/>
          <w:sz w:val="36"/>
          <w:szCs w:val="28"/>
          <w:vertAlign w:val="superscript"/>
          <w:rtl/>
        </w:rPr>
        <w:footnoteReference w:id="8009"/>
      </w:r>
      <w:r w:rsidRPr="00007309">
        <w:rPr>
          <w:rFonts w:cs="Arial"/>
          <w:b/>
          <w:bCs/>
          <w:sz w:val="24"/>
          <w:szCs w:val="24"/>
          <w:rtl/>
        </w:rPr>
        <w:t xml:space="preserve">וּבְגִין מָה אֲעִידֵךְ. שְׁלִימוּ דִּקְרָא הַבַּת יְרוּשָׁלַיִם, מָה אַשְוֶה לָּךְ וַאֲנַחֲמֵךְ. כִּי גָּדוֹל כַּיָּם שִׁבְרֵךְ מִ"י יִרְפָּא לָךְ. מִיַּד שׁוֹפָר הוֹלֵךְ אֶתְנָח יְתִיב. בְּהַהוּא זִמְנָא אִתְּעַר מָשִׁיחַ דְּאִיהוּ כְּגַוְנָא דְּנֹחַ דְּאִתְּמַר בֵּהּ זֶה יְנַחֲמֶנּוּ מִמַּעֲשֵׂינוּ </w:t>
      </w:r>
      <w:r w:rsidRPr="00007309">
        <w:rPr>
          <w:rFonts w:cs="Arial"/>
          <w:b/>
          <w:bCs/>
          <w:sz w:val="36"/>
          <w:szCs w:val="28"/>
          <w:vertAlign w:val="superscript"/>
          <w:rtl/>
        </w:rPr>
        <w:footnoteReference w:id="8010"/>
      </w:r>
      <w:r w:rsidRPr="00007309">
        <w:rPr>
          <w:rFonts w:cs="Arial"/>
          <w:b/>
          <w:bCs/>
          <w:sz w:val="24"/>
          <w:szCs w:val="24"/>
          <w:rtl/>
        </w:rPr>
        <w:t>דְּאִיהוּ כֹּבֶד הַמְּלָאכָה. וּמֵעִצְבוֹן יָדֵינוּ</w:t>
      </w:r>
      <w:r w:rsidRPr="00007309">
        <w:rPr>
          <w:rFonts w:cs="Arial" w:hint="cs"/>
          <w:b/>
          <w:bCs/>
          <w:sz w:val="24"/>
          <w:szCs w:val="24"/>
          <w:rtl/>
        </w:rPr>
        <w:t>,</w:t>
      </w:r>
      <w:r w:rsidRPr="00007309">
        <w:rPr>
          <w:rFonts w:cs="Arial"/>
          <w:b/>
          <w:bCs/>
          <w:sz w:val="24"/>
          <w:szCs w:val="24"/>
          <w:rtl/>
        </w:rPr>
        <w:t xml:space="preserve"> דְּאִתְּמַר בְּהוֹן </w:t>
      </w:r>
      <w:r w:rsidRPr="00007309">
        <w:rPr>
          <w:rFonts w:cs="Arial"/>
          <w:b/>
          <w:bCs/>
          <w:sz w:val="36"/>
          <w:szCs w:val="28"/>
          <w:vertAlign w:val="superscript"/>
          <w:rtl/>
        </w:rPr>
        <w:footnoteReference w:id="8011"/>
      </w:r>
      <w:r w:rsidRPr="00007309">
        <w:rPr>
          <w:rFonts w:cs="Arial"/>
          <w:b/>
          <w:bCs/>
          <w:sz w:val="24"/>
          <w:szCs w:val="24"/>
          <w:rtl/>
        </w:rPr>
        <w:t xml:space="preserve">אֲשֶׁר עָבְדוּ בָּהֶם בְּפָרֶךְ. </w:t>
      </w:r>
      <w:r w:rsidRPr="00007309">
        <w:rPr>
          <w:rFonts w:cs="Arial"/>
          <w:b/>
          <w:bCs/>
          <w:sz w:val="36"/>
          <w:szCs w:val="28"/>
          <w:vertAlign w:val="superscript"/>
          <w:rtl/>
        </w:rPr>
        <w:footnoteReference w:id="8012"/>
      </w:r>
      <w:r w:rsidRPr="00007309">
        <w:rPr>
          <w:rFonts w:cs="Arial"/>
          <w:b/>
          <w:bCs/>
          <w:sz w:val="24"/>
          <w:szCs w:val="24"/>
          <w:rtl/>
        </w:rPr>
        <w:t>וְדָא אִיהוּ אֶתְנָח</w:t>
      </w:r>
      <w:r w:rsidRPr="00007309">
        <w:rPr>
          <w:rFonts w:cs="Arial"/>
          <w:b/>
          <w:bCs/>
          <w:sz w:val="36"/>
          <w:szCs w:val="28"/>
          <w:vertAlign w:val="superscript"/>
          <w:rtl/>
        </w:rPr>
        <w:footnoteReference w:id="8013"/>
      </w:r>
      <w:r w:rsidRPr="00007309">
        <w:rPr>
          <w:rFonts w:cs="Arial"/>
          <w:b/>
          <w:bCs/>
          <w:sz w:val="24"/>
          <w:szCs w:val="24"/>
        </w:rPr>
        <w:t xml:space="preserve"> </w:t>
      </w:r>
      <w:r w:rsidRPr="00007309">
        <w:rPr>
          <w:rFonts w:cs="Arial"/>
          <w:b/>
          <w:bCs/>
          <w:sz w:val="24"/>
          <w:szCs w:val="24"/>
          <w:rtl/>
        </w:rPr>
        <w:t xml:space="preserve">אֶת הָאֱלֹהִים הִתְהַלֶּךְ נֹח (בראשית). </w:t>
      </w:r>
      <w:r w:rsidRPr="00007309">
        <w:rPr>
          <w:rFonts w:cs="Arial"/>
          <w:b/>
          <w:bCs/>
          <w:sz w:val="36"/>
          <w:szCs w:val="28"/>
          <w:vertAlign w:val="superscript"/>
          <w:rtl/>
        </w:rPr>
        <w:footnoteReference w:id="8014"/>
      </w:r>
      <w:r w:rsidRPr="00007309">
        <w:rPr>
          <w:rFonts w:cs="Arial"/>
          <w:b/>
          <w:bCs/>
          <w:sz w:val="24"/>
          <w:szCs w:val="24"/>
          <w:rtl/>
        </w:rPr>
        <w:t>וְיִתַּמוּ חַטָאִים מִן הָאָרֶץ, עֵרֶב רַב</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015"/>
      </w:r>
      <w:r w:rsidRPr="00007309">
        <w:rPr>
          <w:rFonts w:cs="Arial"/>
          <w:b/>
          <w:bCs/>
          <w:sz w:val="24"/>
          <w:szCs w:val="24"/>
          <w:rtl/>
        </w:rPr>
        <w:t>מֹ'ץ וְתֶבֶן</w:t>
      </w:r>
      <w:r w:rsidRPr="00007309">
        <w:rPr>
          <w:rFonts w:cs="Arial" w:hint="cs"/>
          <w:b/>
          <w:bCs/>
          <w:sz w:val="24"/>
          <w:szCs w:val="24"/>
          <w:rtl/>
        </w:rPr>
        <w:t>,</w:t>
      </w:r>
      <w:r w:rsidRPr="00007309">
        <w:rPr>
          <w:rFonts w:cs="Arial"/>
          <w:b/>
          <w:bCs/>
          <w:sz w:val="24"/>
          <w:szCs w:val="24"/>
          <w:rtl/>
        </w:rPr>
        <w:t xml:space="preserve"> שְׂאוֹר וְחָמֵץ. וְיִשְׁתָּאֲרוּן יִשְׂרָאֵל סֹלֶת נְקִיָּה, דְּעָלַיְהוּ אִתְּמַר (דברים כה) </w:t>
      </w:r>
      <w:r w:rsidRPr="00007309">
        <w:rPr>
          <w:rFonts w:cs="Arial"/>
          <w:b/>
          <w:bCs/>
          <w:sz w:val="24"/>
          <w:szCs w:val="24"/>
          <w:vertAlign w:val="superscript"/>
          <w:rtl/>
        </w:rPr>
        <w:footnoteReference w:id="8016"/>
      </w:r>
      <w:r w:rsidRPr="00007309">
        <w:rPr>
          <w:rFonts w:cs="Arial"/>
          <w:b/>
          <w:bCs/>
          <w:sz w:val="24"/>
          <w:szCs w:val="24"/>
          <w:rtl/>
        </w:rPr>
        <w:t xml:space="preserve">תִּמְחֶה אֶת זֵכֶר עֲמָלֵק מִתַּחַת הַשָּׁמַיִם. </w:t>
      </w:r>
      <w:r w:rsidRPr="00007309">
        <w:rPr>
          <w:rFonts w:cs="Arial"/>
          <w:b/>
          <w:bCs/>
          <w:sz w:val="36"/>
          <w:szCs w:val="28"/>
          <w:vertAlign w:val="superscript"/>
          <w:rtl/>
        </w:rPr>
        <w:footnoteReference w:id="8017"/>
      </w:r>
      <w:r w:rsidRPr="00007309">
        <w:rPr>
          <w:rFonts w:cs="Arial"/>
          <w:b/>
          <w:bCs/>
          <w:sz w:val="24"/>
          <w:szCs w:val="24"/>
          <w:rtl/>
        </w:rPr>
        <w:t>דְּאִנּוּן דְּאִשְׁתָּאֲרוּ מִמֵּי טופנ'</w:t>
      </w:r>
      <w:r w:rsidRPr="00007309">
        <w:rPr>
          <w:rFonts w:cs="Arial" w:hint="cs"/>
          <w:b/>
          <w:bCs/>
          <w:sz w:val="24"/>
          <w:szCs w:val="24"/>
          <w:rtl/>
        </w:rPr>
        <w:t>,</w:t>
      </w:r>
      <w:r w:rsidRPr="00007309">
        <w:rPr>
          <w:rFonts w:cs="Arial"/>
          <w:b/>
          <w:bCs/>
          <w:sz w:val="24"/>
          <w:szCs w:val="24"/>
          <w:rtl/>
        </w:rPr>
        <w:t xml:space="preserve"> דְּאִתְּמַר בְּהוֹן וּמָחִיתִי אֶת כָּל הַיְקוּם, </w:t>
      </w:r>
      <w:r w:rsidRPr="00007309">
        <w:rPr>
          <w:rFonts w:cs="Arial"/>
          <w:b/>
          <w:bCs/>
          <w:sz w:val="36"/>
          <w:szCs w:val="28"/>
          <w:vertAlign w:val="superscript"/>
          <w:rtl/>
        </w:rPr>
        <w:footnoteReference w:id="8018"/>
      </w:r>
      <w:r w:rsidRPr="00007309">
        <w:rPr>
          <w:rFonts w:cs="Arial"/>
          <w:b/>
          <w:bCs/>
          <w:sz w:val="24"/>
          <w:szCs w:val="24"/>
          <w:rtl/>
        </w:rPr>
        <w:t xml:space="preserve">דְּאִנּוּן הֲווֹ קַיְּמִין עַל יִשְׂרָאֵל </w:t>
      </w:r>
      <w:r w:rsidRPr="00007309">
        <w:rPr>
          <w:rFonts w:cs="Arial"/>
          <w:b/>
          <w:bCs/>
          <w:sz w:val="36"/>
          <w:szCs w:val="28"/>
          <w:vertAlign w:val="superscript"/>
          <w:rtl/>
        </w:rPr>
        <w:footnoteReference w:id="8019"/>
      </w:r>
      <w:r w:rsidRPr="00007309">
        <w:rPr>
          <w:rFonts w:cs="Arial"/>
          <w:b/>
          <w:bCs/>
          <w:sz w:val="24"/>
          <w:szCs w:val="24"/>
          <w:rtl/>
        </w:rPr>
        <w:t>בְּחָמָ</w:t>
      </w:r>
      <w:r w:rsidRPr="00007309">
        <w:rPr>
          <w:rFonts w:cs="Arial" w:hint="cs"/>
          <w:b/>
          <w:bCs/>
          <w:sz w:val="24"/>
          <w:szCs w:val="24"/>
          <w:rtl/>
        </w:rPr>
        <w:t>ס</w:t>
      </w:r>
      <w:r w:rsidRPr="00007309">
        <w:rPr>
          <w:rFonts w:cs="Arial"/>
          <w:b/>
          <w:bCs/>
          <w:sz w:val="24"/>
          <w:szCs w:val="24"/>
          <w:rtl/>
        </w:rPr>
        <w:t xml:space="preserve"> </w:t>
      </w:r>
      <w:r w:rsidRPr="00007309">
        <w:rPr>
          <w:rFonts w:cs="Arial"/>
          <w:b/>
          <w:bCs/>
          <w:sz w:val="36"/>
          <w:szCs w:val="28"/>
          <w:vertAlign w:val="superscript"/>
          <w:rtl/>
        </w:rPr>
        <w:footnoteReference w:id="8020"/>
      </w:r>
      <w:r w:rsidRPr="00007309">
        <w:rPr>
          <w:rFonts w:cs="Arial"/>
          <w:b/>
          <w:bCs/>
          <w:sz w:val="24"/>
          <w:szCs w:val="24"/>
          <w:rtl/>
        </w:rPr>
        <w:t xml:space="preserve">בְּגִין דְּאִנּוּן רֵישִׁין עָלַיְהוּ בְּגָלוּתָא. </w:t>
      </w:r>
    </w:p>
    <w:p w:rsidR="00007309" w:rsidRPr="00007309" w:rsidRDefault="00007309" w:rsidP="00007309">
      <w:pPr>
        <w:keepNext/>
        <w:spacing w:before="240" w:after="60"/>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[וילנא לז ע"ב]</w:t>
      </w:r>
    </w:p>
    <w:p w:rsidR="00007309" w:rsidRPr="00007309" w:rsidRDefault="00007309" w:rsidP="00007309">
      <w:pPr>
        <w:jc w:val="both"/>
        <w:rPr>
          <w:rFonts w:cs="Arial"/>
          <w:b/>
          <w:bCs/>
          <w:sz w:val="24"/>
          <w:szCs w:val="24"/>
          <w:rtl/>
        </w:rPr>
      </w:pPr>
      <w:r w:rsidRPr="00007309">
        <w:rPr>
          <w:rFonts w:cs="Arial"/>
          <w:b/>
          <w:bCs/>
          <w:sz w:val="24"/>
          <w:szCs w:val="24"/>
          <w:rtl/>
        </w:rPr>
        <w:t>וּמִיָּד דְּאִתְמַחוּן יָתִיב קֻדְשָׁא בְּרִיךְ הוּא עַל כֻּרְסֵהּ</w:t>
      </w:r>
      <w:r w:rsidRPr="00007309">
        <w:rPr>
          <w:rFonts w:cs="Arial" w:hint="cs"/>
          <w:b/>
          <w:bCs/>
          <w:sz w:val="24"/>
          <w:szCs w:val="24"/>
          <w:rtl/>
        </w:rPr>
        <w:t>,</w:t>
      </w:r>
      <w:r w:rsidRPr="00007309">
        <w:rPr>
          <w:rFonts w:cs="Arial"/>
          <w:b/>
          <w:bCs/>
          <w:sz w:val="24"/>
          <w:szCs w:val="24"/>
          <w:rtl/>
        </w:rPr>
        <w:t xml:space="preserve"> דְּאוֹמָּאָה אוֹמֵּי דְּלָא יָתִיב עַל כָּרְסֵהּ עַד דְּיִתְמַחוּן מֵעָלְמָא. הָדָא הוּא דִּכְתִיב כִּי יָד </w:t>
      </w:r>
      <w:r w:rsidRPr="00007309">
        <w:rPr>
          <w:rFonts w:cs="Arial"/>
          <w:b/>
          <w:bCs/>
          <w:sz w:val="36"/>
          <w:szCs w:val="28"/>
          <w:vertAlign w:val="superscript"/>
          <w:rtl/>
        </w:rPr>
        <w:footnoteReference w:id="8021"/>
      </w:r>
      <w:r w:rsidRPr="00007309">
        <w:rPr>
          <w:rFonts w:cs="Arial"/>
          <w:b/>
          <w:bCs/>
          <w:sz w:val="24"/>
          <w:szCs w:val="24"/>
          <w:rtl/>
        </w:rPr>
        <w:t>עַל כֵּס יָהּ מִלְחָמָה וְגוֹ'. וְדָא אִיהוּ אֶתְנָח יָתִיב. בְּהַהוּא זִמְנָא דְּיָתִיב עַל כֻּרְסֵא יִמְחֹל לְיִשְׂרָאֵל מִכָּל חוֹבִין דְּעָבְדוּ</w:t>
      </w:r>
      <w:r w:rsidRPr="00007309">
        <w:rPr>
          <w:rFonts w:cs="Arial" w:hint="cs"/>
          <w:b/>
          <w:bCs/>
          <w:sz w:val="24"/>
          <w:szCs w:val="24"/>
          <w:rtl/>
        </w:rPr>
        <w:t>,</w:t>
      </w:r>
      <w:r w:rsidRPr="00007309">
        <w:rPr>
          <w:rFonts w:cs="Arial"/>
          <w:b/>
          <w:bCs/>
          <w:sz w:val="24"/>
          <w:szCs w:val="24"/>
          <w:rtl/>
        </w:rPr>
        <w:t xml:space="preserve"> הָדָא הוּא דִּכְתִיב </w:t>
      </w:r>
      <w:r w:rsidRPr="00007309">
        <w:rPr>
          <w:rFonts w:cs="Arial" w:hint="cs"/>
          <w:b/>
          <w:bCs/>
          <w:sz w:val="24"/>
          <w:szCs w:val="24"/>
          <w:rtl/>
        </w:rPr>
        <w:t xml:space="preserve">(דניאל ד) </w:t>
      </w:r>
      <w:r w:rsidRPr="00007309">
        <w:rPr>
          <w:rFonts w:cs="Arial"/>
          <w:b/>
          <w:bCs/>
          <w:sz w:val="24"/>
          <w:szCs w:val="24"/>
          <w:rtl/>
        </w:rPr>
        <w:t>וְעַתִּיק יוֹמִין יְתִב לְבוּשֵׁהּ כִּתְלַג חִוָּר</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022"/>
      </w:r>
      <w:r w:rsidRPr="00007309">
        <w:rPr>
          <w:rFonts w:cs="Arial"/>
          <w:b/>
          <w:bCs/>
          <w:sz w:val="24"/>
          <w:szCs w:val="24"/>
          <w:rtl/>
        </w:rPr>
        <w:t xml:space="preserve">לְקַיְּמָא אִם יִהְיוּ חַטָאֵיכֶם כַּשָּׁנִים כַּשֶּׁלֶג יַלְבִּינוּ. </w:t>
      </w:r>
      <w:r w:rsidRPr="00007309">
        <w:rPr>
          <w:rFonts w:ascii="Cambria" w:hAnsi="Cambria" w:cs="Times New Roman"/>
          <w:b/>
          <w:bCs/>
          <w:i/>
          <w:iCs/>
          <w:color w:val="4F81BD"/>
          <w:sz w:val="24"/>
          <w:szCs w:val="24"/>
          <w:rtl/>
        </w:rPr>
        <w:t>(וילנא ל</w:t>
      </w:r>
      <w:r w:rsidRPr="00007309">
        <w:rPr>
          <w:rFonts w:ascii="Cambria" w:hAnsi="Cambria" w:cs="Times New Roman" w:hint="cs"/>
          <w:b/>
          <w:bCs/>
          <w:i/>
          <w:iCs/>
          <w:color w:val="4F81BD"/>
          <w:sz w:val="24"/>
          <w:szCs w:val="24"/>
          <w:rtl/>
        </w:rPr>
        <w:t>ז</w:t>
      </w:r>
      <w:r w:rsidRPr="00007309">
        <w:rPr>
          <w:rFonts w:ascii="Cambria" w:hAnsi="Cambria" w:cs="Times New Roman"/>
          <w:b/>
          <w:bCs/>
          <w:i/>
          <w:iCs/>
          <w:color w:val="4F81BD"/>
          <w:sz w:val="24"/>
          <w:szCs w:val="24"/>
          <w:rtl/>
        </w:rPr>
        <w:t xml:space="preserve"> ע"ב)</w:t>
      </w:r>
      <w:r w:rsidRPr="00007309">
        <w:rPr>
          <w:rFonts w:cs="Arial"/>
          <w:b/>
          <w:bCs/>
          <w:sz w:val="24"/>
          <w:szCs w:val="24"/>
          <w:rtl/>
        </w:rPr>
        <w:t xml:space="preserve"> </w:t>
      </w:r>
      <w:r w:rsidRPr="00007309">
        <w:rPr>
          <w:rFonts w:cs="Arial" w:hint="cs"/>
          <w:b/>
          <w:bCs/>
          <w:sz w:val="24"/>
          <w:szCs w:val="24"/>
          <w:rtl/>
        </w:rPr>
        <w:t>ושער רישה כעמר נקי,</w:t>
      </w:r>
      <w:r w:rsidRPr="00007309">
        <w:rPr>
          <w:rFonts w:cs="Arial"/>
          <w:b/>
          <w:bCs/>
          <w:sz w:val="24"/>
          <w:szCs w:val="24"/>
          <w:rtl/>
        </w:rPr>
        <w:t xml:space="preserve"> אִם יַאְדִּימוּ כַּתּוֹלַע כַּצֶּמֶר יִהְיוּ. </w:t>
      </w:r>
    </w:p>
    <w:p w:rsidR="00007309" w:rsidRPr="00007309" w:rsidRDefault="00007309" w:rsidP="00007309">
      <w:pPr>
        <w:jc w:val="both"/>
        <w:rPr>
          <w:rFonts w:cs="Arial"/>
          <w:b/>
          <w:bCs/>
          <w:sz w:val="24"/>
          <w:szCs w:val="24"/>
          <w:rtl/>
        </w:rPr>
      </w:pPr>
      <w:r w:rsidRPr="00007309">
        <w:rPr>
          <w:rFonts w:cs="Arial"/>
          <w:b/>
          <w:bCs/>
          <w:sz w:val="36"/>
          <w:szCs w:val="28"/>
          <w:vertAlign w:val="superscript"/>
          <w:rtl/>
        </w:rPr>
        <w:footnoteReference w:id="8023"/>
      </w:r>
      <w:r w:rsidRPr="00007309">
        <w:rPr>
          <w:rFonts w:cs="Arial"/>
          <w:b/>
          <w:bCs/>
          <w:sz w:val="24"/>
          <w:szCs w:val="24"/>
          <w:rtl/>
        </w:rPr>
        <w:t xml:space="preserve">וְעוֹד אִם יִהְיוּ חַטָאֵיכֶם כַּשָּׁנִים מִסִּטְרָא דְּיִצְחָק, כַּשֶּׁלֶג יַלְבִּינוּ מִסִּטְרָא דְּאַבְרָהָם, </w:t>
      </w:r>
      <w:r w:rsidRPr="00007309">
        <w:rPr>
          <w:rFonts w:cs="Arial"/>
          <w:b/>
          <w:bCs/>
          <w:sz w:val="36"/>
          <w:szCs w:val="28"/>
          <w:vertAlign w:val="superscript"/>
          <w:rtl/>
        </w:rPr>
        <w:footnoteReference w:id="8024"/>
      </w:r>
      <w:r w:rsidRPr="00007309">
        <w:rPr>
          <w:rFonts w:cs="Arial"/>
          <w:b/>
          <w:bCs/>
          <w:sz w:val="24"/>
          <w:szCs w:val="24"/>
          <w:rtl/>
        </w:rPr>
        <w:t>דְּבֵהּ מִתְלַבְּנִין</w:t>
      </w:r>
      <w:r w:rsidRPr="00007309">
        <w:rPr>
          <w:rFonts w:cs="Arial" w:hint="cs"/>
          <w:b/>
          <w:bCs/>
          <w:sz w:val="24"/>
          <w:szCs w:val="24"/>
          <w:rtl/>
        </w:rPr>
        <w:t>,</w:t>
      </w:r>
      <w:r w:rsidRPr="00007309">
        <w:rPr>
          <w:rFonts w:cs="Arial"/>
          <w:b/>
          <w:bCs/>
          <w:sz w:val="24"/>
          <w:szCs w:val="24"/>
          <w:rtl/>
        </w:rPr>
        <w:t xml:space="preserve"> כֻּרְסֵא שְׁבִיבִין דְּנוּר</w:t>
      </w:r>
      <w:r w:rsidRPr="00007309">
        <w:rPr>
          <w:rFonts w:cs="Arial" w:hint="cs"/>
          <w:b/>
          <w:bCs/>
          <w:sz w:val="24"/>
          <w:szCs w:val="24"/>
          <w:rtl/>
        </w:rPr>
        <w:t xml:space="preserve">. </w:t>
      </w:r>
      <w:r w:rsidRPr="00007309">
        <w:rPr>
          <w:rFonts w:cs="Arial"/>
          <w:b/>
          <w:bCs/>
          <w:sz w:val="36"/>
          <w:szCs w:val="28"/>
          <w:vertAlign w:val="superscript"/>
          <w:rtl/>
        </w:rPr>
        <w:footnoteReference w:id="8025"/>
      </w:r>
      <w:r w:rsidRPr="00007309">
        <w:rPr>
          <w:rFonts w:cs="Arial"/>
          <w:b/>
          <w:bCs/>
          <w:sz w:val="24"/>
          <w:szCs w:val="24"/>
          <w:rtl/>
        </w:rPr>
        <w:t xml:space="preserve">בְּהַהוּא זִמְנָא דְּיָתִיב קֻדְשָׁא בְּרִיךְ הוּא עַל כֻּרְסֵהּ, </w:t>
      </w:r>
      <w:r w:rsidRPr="00007309">
        <w:rPr>
          <w:rFonts w:cs="Arial"/>
          <w:b/>
          <w:bCs/>
          <w:sz w:val="36"/>
          <w:szCs w:val="28"/>
          <w:vertAlign w:val="superscript"/>
          <w:rtl/>
        </w:rPr>
        <w:footnoteReference w:id="8026"/>
      </w:r>
      <w:r w:rsidRPr="00007309">
        <w:rPr>
          <w:rFonts w:cs="Arial"/>
          <w:b/>
          <w:bCs/>
          <w:sz w:val="24"/>
          <w:szCs w:val="24"/>
          <w:rtl/>
        </w:rPr>
        <w:t>מִיָּד אַתְּנַח</w:t>
      </w:r>
      <w:r w:rsidRPr="00007309">
        <w:rPr>
          <w:rFonts w:cs="Arial" w:hint="cs"/>
          <w:b/>
          <w:bCs/>
          <w:sz w:val="24"/>
          <w:szCs w:val="24"/>
          <w:rtl/>
        </w:rPr>
        <w:t xml:space="preserve">, </w:t>
      </w:r>
      <w:r w:rsidRPr="00007309">
        <w:rPr>
          <w:rFonts w:cs="Arial"/>
          <w:b/>
          <w:bCs/>
          <w:sz w:val="36"/>
          <w:szCs w:val="28"/>
          <w:vertAlign w:val="superscript"/>
          <w:rtl/>
        </w:rPr>
        <w:footnoteReference w:id="8027"/>
      </w:r>
      <w:r w:rsidRPr="00007309">
        <w:rPr>
          <w:rFonts w:cs="Arial"/>
          <w:b/>
          <w:bCs/>
          <w:sz w:val="24"/>
          <w:szCs w:val="24"/>
          <w:rtl/>
        </w:rPr>
        <w:t xml:space="preserve">וַתָּנַח </w:t>
      </w:r>
      <w:r w:rsidRPr="00007309">
        <w:rPr>
          <w:rFonts w:cs="Arial"/>
          <w:b/>
          <w:bCs/>
          <w:sz w:val="36"/>
          <w:szCs w:val="28"/>
          <w:vertAlign w:val="superscript"/>
          <w:rtl/>
        </w:rPr>
        <w:footnoteReference w:id="8028"/>
      </w:r>
      <w:r w:rsidRPr="00007309">
        <w:rPr>
          <w:rFonts w:cs="Arial"/>
          <w:b/>
          <w:bCs/>
          <w:sz w:val="24"/>
          <w:szCs w:val="24"/>
          <w:rtl/>
        </w:rPr>
        <w:t>הַתֵּבָה</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029"/>
      </w:r>
      <w:r w:rsidRPr="00007309">
        <w:rPr>
          <w:rFonts w:cs="Arial"/>
          <w:b/>
          <w:bCs/>
          <w:sz w:val="24"/>
          <w:szCs w:val="24"/>
          <w:rtl/>
        </w:rPr>
        <w:t xml:space="preserve">שַׁרְיָא </w:t>
      </w:r>
      <w:r w:rsidRPr="00007309">
        <w:rPr>
          <w:rFonts w:cs="Arial" w:hint="cs"/>
          <w:b/>
          <w:bCs/>
          <w:sz w:val="24"/>
          <w:szCs w:val="24"/>
          <w:rtl/>
        </w:rPr>
        <w:t>ב</w:t>
      </w:r>
      <w:r w:rsidRPr="00007309">
        <w:rPr>
          <w:rFonts w:cs="Arial"/>
          <w:b/>
          <w:bCs/>
          <w:sz w:val="24"/>
          <w:szCs w:val="24"/>
          <w:rtl/>
        </w:rPr>
        <w:t>ְּטוּרֵי לִ</w:t>
      </w:r>
      <w:r w:rsidRPr="00007309">
        <w:rPr>
          <w:rFonts w:cs="Arial" w:hint="cs"/>
          <w:b/>
          <w:bCs/>
          <w:sz w:val="24"/>
          <w:szCs w:val="24"/>
          <w:rtl/>
        </w:rPr>
        <w:t>י</w:t>
      </w:r>
      <w:r w:rsidRPr="00007309">
        <w:rPr>
          <w:rFonts w:cs="Arial"/>
          <w:b/>
          <w:bCs/>
          <w:sz w:val="24"/>
          <w:szCs w:val="24"/>
          <w:rtl/>
        </w:rPr>
        <w:t>טְיָא לְמֶעֱבַד בְּהוֹן דִּינָא</w:t>
      </w:r>
      <w:r w:rsidRPr="00007309">
        <w:rPr>
          <w:rFonts w:cs="Arial" w:hint="cs"/>
          <w:b/>
          <w:bCs/>
          <w:sz w:val="24"/>
          <w:szCs w:val="24"/>
          <w:rtl/>
        </w:rPr>
        <w:t>.</w:t>
      </w:r>
      <w:r w:rsidRPr="00007309">
        <w:rPr>
          <w:rFonts w:cs="Arial"/>
          <w:b/>
          <w:bCs/>
          <w:sz w:val="24"/>
          <w:szCs w:val="24"/>
          <w:rtl/>
        </w:rPr>
        <w:t xml:space="preserve"> דְּאִנּוּן </w:t>
      </w:r>
      <w:r w:rsidRPr="00007309">
        <w:rPr>
          <w:rFonts w:cs="Arial"/>
          <w:b/>
          <w:bCs/>
          <w:sz w:val="36"/>
          <w:szCs w:val="28"/>
          <w:vertAlign w:val="superscript"/>
          <w:rtl/>
        </w:rPr>
        <w:footnoteReference w:id="8030"/>
      </w:r>
      <w:r w:rsidRPr="00007309">
        <w:rPr>
          <w:rFonts w:cs="Arial"/>
          <w:b/>
          <w:bCs/>
          <w:sz w:val="24"/>
          <w:szCs w:val="24"/>
          <w:rtl/>
        </w:rPr>
        <w:t xml:space="preserve">טוּרֵי קַרְדוֹ, </w:t>
      </w:r>
      <w:r w:rsidRPr="00007309">
        <w:rPr>
          <w:rFonts w:cs="Arial"/>
          <w:b/>
          <w:bCs/>
          <w:sz w:val="36"/>
          <w:szCs w:val="28"/>
          <w:vertAlign w:val="superscript"/>
          <w:rtl/>
        </w:rPr>
        <w:footnoteReference w:id="8031"/>
      </w:r>
      <w:r w:rsidRPr="00007309">
        <w:rPr>
          <w:rFonts w:cs="Arial"/>
          <w:b/>
          <w:bCs/>
          <w:sz w:val="24"/>
          <w:szCs w:val="24"/>
          <w:rtl/>
        </w:rPr>
        <w:t xml:space="preserve">טוּרִין </w:t>
      </w:r>
      <w:r w:rsidRPr="00007309">
        <w:rPr>
          <w:rFonts w:cs="Arial"/>
          <w:b/>
          <w:bCs/>
          <w:sz w:val="36"/>
          <w:szCs w:val="28"/>
          <w:vertAlign w:val="superscript"/>
          <w:rtl/>
        </w:rPr>
        <w:footnoteReference w:id="8032"/>
      </w:r>
      <w:r w:rsidRPr="00007309">
        <w:rPr>
          <w:rFonts w:cs="Arial"/>
          <w:b/>
          <w:bCs/>
          <w:sz w:val="24"/>
          <w:szCs w:val="24"/>
          <w:rtl/>
        </w:rPr>
        <w:t>חֲשׁוּכִין בְּגָלוּתָא</w:t>
      </w:r>
      <w:r w:rsidRPr="00007309">
        <w:rPr>
          <w:rFonts w:cs="Arial" w:hint="cs"/>
          <w:b/>
          <w:bCs/>
          <w:sz w:val="24"/>
          <w:szCs w:val="24"/>
          <w:rtl/>
        </w:rPr>
        <w:t>,</w:t>
      </w:r>
      <w:r w:rsidRPr="00007309">
        <w:rPr>
          <w:rFonts w:cs="Arial"/>
          <w:b/>
          <w:bCs/>
          <w:sz w:val="24"/>
          <w:szCs w:val="24"/>
          <w:rtl/>
        </w:rPr>
        <w:t xml:space="preserve"> אֲרִירָן בְּגָלוּתָא</w:t>
      </w:r>
      <w:r w:rsidRPr="00007309">
        <w:rPr>
          <w:rFonts w:cs="Arial" w:hint="cs"/>
          <w:b/>
          <w:bCs/>
          <w:sz w:val="24"/>
          <w:szCs w:val="24"/>
          <w:rtl/>
        </w:rPr>
        <w:t>,</w:t>
      </w:r>
      <w:r w:rsidRPr="00007309">
        <w:rPr>
          <w:rFonts w:cs="Arial"/>
          <w:b/>
          <w:bCs/>
          <w:sz w:val="24"/>
          <w:szCs w:val="24"/>
          <w:rtl/>
        </w:rPr>
        <w:t xml:space="preserve"> הָדָא הוּא דִּכְתִיב (דברים כח) אָרוּר אַתָּה בָּעִיר, וְאָרוּר אַתָּה בַּשָּדֶה. </w:t>
      </w:r>
      <w:r w:rsidRPr="00007309">
        <w:rPr>
          <w:rFonts w:cs="Arial"/>
          <w:b/>
          <w:bCs/>
          <w:sz w:val="36"/>
          <w:szCs w:val="28"/>
          <w:vertAlign w:val="superscript"/>
          <w:rtl/>
        </w:rPr>
        <w:footnoteReference w:id="8033"/>
      </w:r>
      <w:r w:rsidRPr="00007309">
        <w:rPr>
          <w:rFonts w:cs="Arial"/>
          <w:b/>
          <w:bCs/>
          <w:sz w:val="24"/>
          <w:szCs w:val="24"/>
          <w:rtl/>
        </w:rPr>
        <w:t xml:space="preserve">דִּבְהַהוּא זִמְנָא נָחְתִין כָּל חוֹבִין (נ"א לוטא) עַל יִשְׂרָאֵל בְּגִין דְּיִתְכַּפְּרוּן מֵחוֹבֵיהוֹן, וְכָל זִכְוָן </w:t>
      </w:r>
      <w:r w:rsidRPr="00007309">
        <w:rPr>
          <w:rFonts w:cs="Arial"/>
          <w:b/>
          <w:bCs/>
          <w:sz w:val="36"/>
          <w:szCs w:val="28"/>
          <w:vertAlign w:val="superscript"/>
          <w:rtl/>
        </w:rPr>
        <w:footnoteReference w:id="8034"/>
      </w:r>
      <w:r w:rsidRPr="00007309">
        <w:rPr>
          <w:rFonts w:cs="Arial"/>
          <w:b/>
          <w:bCs/>
          <w:sz w:val="24"/>
          <w:szCs w:val="24"/>
          <w:rtl/>
        </w:rPr>
        <w:t>נָחְתִין עַל חַיָּבַיָּא לְקַבְּלָא בְּהוֹן אַגְרַיְהוּ</w:t>
      </w:r>
      <w:r w:rsidRPr="00007309">
        <w:rPr>
          <w:rFonts w:cs="Arial" w:hint="cs"/>
          <w:b/>
          <w:bCs/>
          <w:sz w:val="24"/>
          <w:szCs w:val="24"/>
          <w:rtl/>
        </w:rPr>
        <w:t>,</w:t>
      </w:r>
      <w:r w:rsidRPr="00007309">
        <w:rPr>
          <w:rFonts w:cs="Arial"/>
          <w:b/>
          <w:bCs/>
          <w:sz w:val="24"/>
          <w:szCs w:val="24"/>
          <w:rtl/>
        </w:rPr>
        <w:t xml:space="preserve"> וְרָזָא דְּמִלָּה</w:t>
      </w:r>
      <w:r w:rsidRPr="00007309">
        <w:rPr>
          <w:rFonts w:cs="Arial" w:hint="cs"/>
          <w:b/>
          <w:bCs/>
          <w:sz w:val="24"/>
          <w:szCs w:val="24"/>
          <w:rtl/>
        </w:rPr>
        <w:t>,</w:t>
      </w:r>
      <w:r w:rsidRPr="00007309">
        <w:rPr>
          <w:rFonts w:cs="Arial"/>
          <w:b/>
          <w:bCs/>
          <w:sz w:val="24"/>
          <w:szCs w:val="24"/>
          <w:rtl/>
        </w:rPr>
        <w:t xml:space="preserve"> וְהִנֵּה </w:t>
      </w:r>
      <w:r w:rsidRPr="00007309">
        <w:rPr>
          <w:rFonts w:cs="Arial"/>
          <w:b/>
          <w:bCs/>
          <w:sz w:val="36"/>
          <w:szCs w:val="28"/>
          <w:vertAlign w:val="superscript"/>
          <w:rtl/>
        </w:rPr>
        <w:footnoteReference w:id="8035"/>
      </w:r>
      <w:r w:rsidRPr="00007309">
        <w:rPr>
          <w:rFonts w:cs="Arial"/>
          <w:b/>
          <w:bCs/>
          <w:sz w:val="24"/>
          <w:szCs w:val="24"/>
          <w:rtl/>
        </w:rPr>
        <w:t>מַלְאֲכֵי אֱלֹהִים עֹלִים וְיֹרְדִים בּוֹ. עוֹלִים סָלְקִין זִכְוָן</w:t>
      </w:r>
      <w:r w:rsidRPr="00007309">
        <w:rPr>
          <w:rFonts w:cs="Arial" w:hint="cs"/>
          <w:b/>
          <w:bCs/>
          <w:sz w:val="24"/>
          <w:szCs w:val="24"/>
          <w:rtl/>
        </w:rPr>
        <w:t>,</w:t>
      </w:r>
      <w:r w:rsidRPr="00007309">
        <w:rPr>
          <w:rFonts w:cs="Arial"/>
          <w:b/>
          <w:bCs/>
          <w:sz w:val="24"/>
          <w:szCs w:val="24"/>
          <w:rtl/>
        </w:rPr>
        <w:t xml:space="preserve"> וְיוֹרְדִין נָחְתִין חוֹבִין. </w:t>
      </w:r>
      <w:r w:rsidRPr="00007309">
        <w:rPr>
          <w:rFonts w:cs="Arial"/>
          <w:b/>
          <w:bCs/>
          <w:sz w:val="36"/>
          <w:szCs w:val="28"/>
          <w:vertAlign w:val="superscript"/>
          <w:rtl/>
        </w:rPr>
        <w:footnoteReference w:id="8036"/>
      </w:r>
      <w:r w:rsidRPr="00007309">
        <w:rPr>
          <w:rFonts w:cs="Arial"/>
          <w:b/>
          <w:bCs/>
          <w:sz w:val="24"/>
          <w:szCs w:val="24"/>
          <w:rtl/>
        </w:rPr>
        <w:t xml:space="preserve">וְכֹלָּא בְּהַאי סֻלָּם סָלְקִין וְנָחְתִין. </w:t>
      </w:r>
      <w:r w:rsidRPr="00007309">
        <w:rPr>
          <w:rFonts w:cs="Arial"/>
          <w:b/>
          <w:bCs/>
          <w:sz w:val="36"/>
          <w:szCs w:val="28"/>
          <w:vertAlign w:val="superscript"/>
          <w:rtl/>
        </w:rPr>
        <w:footnoteReference w:id="8037"/>
      </w:r>
      <w:r w:rsidRPr="00007309">
        <w:rPr>
          <w:rFonts w:cs="Arial"/>
          <w:b/>
          <w:bCs/>
          <w:sz w:val="24"/>
          <w:szCs w:val="24"/>
          <w:rtl/>
        </w:rPr>
        <w:t xml:space="preserve">וּבְטַעֲמֵי סֻלָּם אִיהוּ שׁוֹפָר הוֹלֵךְ רְבִיעַ דַּרְגָּא תְּרֵי טַעֲמֵי. </w:t>
      </w:r>
    </w:p>
    <w:p w:rsidR="00007309" w:rsidRPr="00007309" w:rsidRDefault="00007309" w:rsidP="00007309">
      <w:pPr>
        <w:keepNext/>
        <w:outlineLvl w:val="1"/>
        <w:rPr>
          <w:rFonts w:ascii="Cambria" w:hAnsi="Cambria" w:cs="Times New Roman"/>
          <w:b/>
          <w:bCs/>
          <w:i/>
          <w:iCs/>
          <w:sz w:val="28"/>
          <w:szCs w:val="28"/>
          <w:rtl/>
        </w:rPr>
      </w:pPr>
      <w:r w:rsidRPr="00007309">
        <w:rPr>
          <w:rFonts w:ascii="Cambria" w:hAnsi="Cambria" w:cs="Times New Roman"/>
          <w:b/>
          <w:bCs/>
          <w:i/>
          <w:iCs/>
          <w:sz w:val="28"/>
          <w:szCs w:val="28"/>
          <w:rtl/>
        </w:rPr>
        <w:t>[</w:t>
      </w:r>
      <w:r w:rsidRPr="00007309">
        <w:rPr>
          <w:rFonts w:ascii="Cambria" w:hAnsi="Cambria" w:cs="Times New Roman" w:hint="cs"/>
          <w:b/>
          <w:bCs/>
          <w:i/>
          <w:iCs/>
          <w:sz w:val="28"/>
          <w:szCs w:val="28"/>
          <w:rtl/>
        </w:rPr>
        <w:t>דף</w:t>
      </w:r>
      <w:r w:rsidRPr="00007309">
        <w:rPr>
          <w:rFonts w:ascii="Cambria" w:hAnsi="Cambria" w:cs="Times New Roman"/>
          <w:b/>
          <w:bCs/>
          <w:i/>
          <w:iCs/>
          <w:sz w:val="28"/>
          <w:szCs w:val="28"/>
          <w:rtl/>
        </w:rPr>
        <w:t xml:space="preserve"> </w:t>
      </w:r>
      <w:r w:rsidRPr="00007309">
        <w:rPr>
          <w:rFonts w:ascii="Cambria" w:hAnsi="Cambria" w:cs="Times New Roman" w:hint="cs"/>
          <w:b/>
          <w:bCs/>
          <w:i/>
          <w:iCs/>
          <w:sz w:val="28"/>
          <w:szCs w:val="28"/>
          <w:rtl/>
        </w:rPr>
        <w:t>פד</w:t>
      </w:r>
      <w:r w:rsidRPr="00007309">
        <w:rPr>
          <w:rFonts w:ascii="Cambria" w:hAnsi="Cambria" w:cs="Times New Roman"/>
          <w:b/>
          <w:bCs/>
          <w:i/>
          <w:iCs/>
          <w:sz w:val="28"/>
          <w:szCs w:val="28"/>
          <w:rtl/>
        </w:rPr>
        <w:t xml:space="preserve"> ע"</w:t>
      </w:r>
      <w:r w:rsidRPr="00007309">
        <w:rPr>
          <w:rFonts w:ascii="Cambria" w:hAnsi="Cambria" w:cs="Times New Roman" w:hint="cs"/>
          <w:b/>
          <w:bCs/>
          <w:i/>
          <w:iCs/>
          <w:sz w:val="28"/>
          <w:szCs w:val="28"/>
          <w:rtl/>
        </w:rPr>
        <w:t>ד</w:t>
      </w:r>
      <w:r w:rsidRPr="00007309">
        <w:rPr>
          <w:rFonts w:ascii="Cambria" w:hAnsi="Cambria" w:cs="Times New Roman"/>
          <w:b/>
          <w:bCs/>
          <w:i/>
          <w:iCs/>
          <w:sz w:val="28"/>
          <w:szCs w:val="28"/>
          <w:rtl/>
        </w:rPr>
        <w:t>]</w:t>
      </w:r>
    </w:p>
    <w:p w:rsidR="00007309" w:rsidRPr="00007309" w:rsidRDefault="00007309" w:rsidP="00007309">
      <w:pPr>
        <w:jc w:val="both"/>
        <w:rPr>
          <w:rFonts w:cs="Arial"/>
          <w:b/>
          <w:bCs/>
          <w:sz w:val="24"/>
          <w:szCs w:val="24"/>
        </w:rPr>
      </w:pPr>
      <w:r w:rsidRPr="00007309">
        <w:rPr>
          <w:rFonts w:cs="Arial"/>
          <w:b/>
          <w:bCs/>
          <w:sz w:val="24"/>
          <w:szCs w:val="24"/>
          <w:rtl/>
        </w:rPr>
        <w:t>בְּהַהוּא זִמְנָא סָלִיק זִכְוָתָא דְּיִשְׂרָאֵל לְעֵלָּא, וְנָחִית חוֹבִין דִּילְהוּ</w:t>
      </w:r>
      <w:r w:rsidRPr="00007309">
        <w:rPr>
          <w:rFonts w:cs="Arial" w:hint="cs"/>
          <w:b/>
          <w:bCs/>
          <w:sz w:val="24"/>
          <w:szCs w:val="24"/>
          <w:rtl/>
        </w:rPr>
        <w:t>.</w:t>
      </w:r>
      <w:r w:rsidRPr="00007309">
        <w:rPr>
          <w:rFonts w:cs="Arial"/>
          <w:b/>
          <w:bCs/>
          <w:sz w:val="24"/>
          <w:szCs w:val="24"/>
          <w:rtl/>
        </w:rPr>
        <w:t xml:space="preserve"> כְּמָה דְּאוֹקִימְנָא</w:t>
      </w:r>
      <w:r w:rsidRPr="00007309">
        <w:rPr>
          <w:rFonts w:cs="Arial" w:hint="cs"/>
          <w:b/>
          <w:bCs/>
          <w:sz w:val="24"/>
          <w:szCs w:val="24"/>
          <w:rtl/>
        </w:rPr>
        <w:t>,</w:t>
      </w:r>
      <w:r w:rsidRPr="00007309">
        <w:rPr>
          <w:rFonts w:cs="Arial"/>
          <w:b/>
          <w:bCs/>
          <w:sz w:val="24"/>
          <w:szCs w:val="24"/>
          <w:rtl/>
        </w:rPr>
        <w:t xml:space="preserve"> מַאי עוֹלִים וְיֹרְדִים אֶלָּא מָאן דְּחוֹבֵהּ נָחִית זְכוּתֵהּ סָלִיק. בְּהַהוּא דַּרְגָּא דְּאַנְחִיתוּ לַשְּׁכִינָה עַד עַפְרָא כָּךְ נָחְתִין אִנּוּן דְּאַנְחִיתוּ לָהּ. וּכְמָּה דְּאִנּוּן </w:t>
      </w:r>
      <w:r w:rsidRPr="00007309">
        <w:rPr>
          <w:rFonts w:ascii="Cambria" w:hAnsi="Cambria" w:cs="Times New Roman"/>
          <w:b/>
          <w:bCs/>
          <w:i/>
          <w:iCs/>
          <w:color w:val="4F81BD"/>
          <w:sz w:val="24"/>
          <w:szCs w:val="24"/>
          <w:rtl/>
        </w:rPr>
        <w:t>(</w:t>
      </w:r>
      <w:r w:rsidRPr="00007309">
        <w:rPr>
          <w:rFonts w:ascii="Cambria" w:hAnsi="Cambria" w:cs="Times New Roman" w:hint="cs"/>
          <w:b/>
          <w:bCs/>
          <w:i/>
          <w:iCs/>
          <w:color w:val="4F81BD"/>
          <w:sz w:val="24"/>
          <w:szCs w:val="24"/>
          <w:rtl/>
        </w:rPr>
        <w:t>פד</w:t>
      </w:r>
      <w:r w:rsidRPr="00007309">
        <w:rPr>
          <w:rFonts w:ascii="Cambria" w:hAnsi="Cambria" w:cs="Times New Roman"/>
          <w:b/>
          <w:bCs/>
          <w:i/>
          <w:iCs/>
          <w:color w:val="4F81BD"/>
          <w:sz w:val="24"/>
          <w:szCs w:val="24"/>
          <w:rtl/>
        </w:rPr>
        <w:t xml:space="preserve"> ע"</w:t>
      </w:r>
      <w:r w:rsidRPr="00007309">
        <w:rPr>
          <w:rFonts w:ascii="Cambria" w:hAnsi="Cambria" w:cs="Times New Roman" w:hint="cs"/>
          <w:b/>
          <w:bCs/>
          <w:i/>
          <w:iCs/>
          <w:color w:val="4F81BD"/>
          <w:sz w:val="24"/>
          <w:szCs w:val="24"/>
          <w:rtl/>
        </w:rPr>
        <w:t>ד</w:t>
      </w:r>
      <w:r w:rsidRPr="00007309">
        <w:rPr>
          <w:rFonts w:ascii="Cambria" w:hAnsi="Cambria" w:cs="Times New Roman"/>
          <w:b/>
          <w:bCs/>
          <w:i/>
          <w:iCs/>
          <w:color w:val="4F81BD"/>
          <w:sz w:val="24"/>
          <w:szCs w:val="24"/>
          <w:rtl/>
        </w:rPr>
        <w:t>)</w:t>
      </w:r>
      <w:r w:rsidRPr="00007309">
        <w:rPr>
          <w:rFonts w:cs="Arial"/>
          <w:b/>
          <w:bCs/>
          <w:sz w:val="24"/>
          <w:szCs w:val="24"/>
          <w:rtl/>
        </w:rPr>
        <w:t xml:space="preserve"> נָחְתִין </w:t>
      </w:r>
      <w:r w:rsidRPr="00007309">
        <w:rPr>
          <w:rFonts w:cs="Arial"/>
          <w:b/>
          <w:bCs/>
          <w:sz w:val="36"/>
          <w:szCs w:val="28"/>
          <w:vertAlign w:val="superscript"/>
          <w:rtl/>
        </w:rPr>
        <w:footnoteReference w:id="8038"/>
      </w:r>
      <w:r w:rsidRPr="00007309">
        <w:rPr>
          <w:rFonts w:cs="Arial"/>
          <w:b/>
          <w:bCs/>
          <w:sz w:val="24"/>
          <w:szCs w:val="24"/>
          <w:rtl/>
        </w:rPr>
        <w:t>כָּךְ שְׁכִינְתָּא דְּאִיהִי מַזָּלָא דִּילְהוֹן סְלִיקַת עַד דְּמָטָאת לַאֲתַר דְּאַנְחִיתוּ לָהּ מִתַּמָּן. וּמִיָּד דִּסְלִיקַת לְאַתְרָהָא, מִיָּד קֻדְשָׁא בְּרִיךְ הוּא קַבִּיל לָהּ בִּימִינָא</w:t>
      </w:r>
      <w:r w:rsidRPr="00007309">
        <w:rPr>
          <w:rFonts w:cs="Arial" w:hint="cs"/>
          <w:b/>
          <w:bCs/>
          <w:sz w:val="24"/>
          <w:szCs w:val="24"/>
          <w:rtl/>
        </w:rPr>
        <w:t>,</w:t>
      </w:r>
      <w:r w:rsidRPr="00007309">
        <w:rPr>
          <w:rFonts w:cs="Arial"/>
          <w:b/>
          <w:bCs/>
          <w:sz w:val="24"/>
          <w:szCs w:val="24"/>
          <w:rtl/>
        </w:rPr>
        <w:t xml:space="preserve"> הָדָא הוּא דִּכְתִיב (בראשית ח) </w:t>
      </w:r>
      <w:r w:rsidRPr="00007309">
        <w:rPr>
          <w:rFonts w:cs="Arial"/>
          <w:b/>
          <w:bCs/>
          <w:sz w:val="36"/>
          <w:szCs w:val="28"/>
          <w:vertAlign w:val="superscript"/>
          <w:rtl/>
        </w:rPr>
        <w:footnoteReference w:id="8039"/>
      </w:r>
      <w:r w:rsidRPr="00007309">
        <w:rPr>
          <w:rFonts w:cs="Arial"/>
          <w:b/>
          <w:bCs/>
          <w:sz w:val="24"/>
          <w:szCs w:val="24"/>
          <w:rtl/>
        </w:rPr>
        <w:t>וַיִּשְׁלַח יָדוֹ וַיִּקָּחֶהָ וַיָּבֵא אוֹתָהּ</w:t>
      </w:r>
      <w:r w:rsidRPr="00007309">
        <w:rPr>
          <w:rFonts w:cs="Arial"/>
          <w:b/>
          <w:bCs/>
          <w:sz w:val="24"/>
          <w:szCs w:val="28"/>
        </w:rPr>
        <w:t xml:space="preserve"> </w:t>
      </w:r>
      <w:r w:rsidRPr="00007309">
        <w:rPr>
          <w:rFonts w:cs="Arial"/>
          <w:b/>
          <w:bCs/>
          <w:sz w:val="24"/>
          <w:szCs w:val="24"/>
          <w:rtl/>
        </w:rPr>
        <w:t xml:space="preserve">אֵלָיו </w:t>
      </w:r>
      <w:r w:rsidRPr="00007309">
        <w:rPr>
          <w:rFonts w:cs="Arial" w:hint="cs"/>
          <w:b/>
          <w:bCs/>
          <w:sz w:val="24"/>
          <w:szCs w:val="24"/>
          <w:rtl/>
        </w:rPr>
        <w:t xml:space="preserve">אל </w:t>
      </w:r>
      <w:r w:rsidRPr="00007309">
        <w:rPr>
          <w:rFonts w:cs="Arial"/>
          <w:b/>
          <w:bCs/>
          <w:sz w:val="24"/>
          <w:szCs w:val="24"/>
          <w:rtl/>
        </w:rPr>
        <w:t xml:space="preserve">הַתֵּבָה. </w:t>
      </w:r>
      <w:r w:rsidRPr="00007309">
        <w:rPr>
          <w:rFonts w:cs="Arial"/>
          <w:b/>
          <w:bCs/>
          <w:sz w:val="36"/>
          <w:szCs w:val="28"/>
          <w:vertAlign w:val="superscript"/>
          <w:rtl/>
        </w:rPr>
        <w:footnoteReference w:id="8040"/>
      </w:r>
      <w:r w:rsidRPr="00007309">
        <w:rPr>
          <w:rFonts w:cs="Arial"/>
          <w:b/>
          <w:bCs/>
          <w:sz w:val="24"/>
          <w:szCs w:val="24"/>
          <w:rtl/>
        </w:rPr>
        <w:t>בְּהַהוּא זִמְנָא</w:t>
      </w:r>
      <w:r w:rsidRPr="00007309">
        <w:rPr>
          <w:rFonts w:cs="Arial" w:hint="cs"/>
          <w:b/>
          <w:bCs/>
          <w:sz w:val="24"/>
          <w:szCs w:val="24"/>
          <w:rtl/>
        </w:rPr>
        <w:t>,</w:t>
      </w:r>
      <w:r w:rsidRPr="00007309">
        <w:rPr>
          <w:rFonts w:cs="Arial"/>
          <w:b/>
          <w:bCs/>
          <w:sz w:val="24"/>
          <w:szCs w:val="24"/>
          <w:rtl/>
        </w:rPr>
        <w:t xml:space="preserve"> וְהַמַּיִם הָיוּ הָלוֹךְ וְחָסוֹר, דְּאִנּוּן עֵרֶב רַב</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041"/>
      </w:r>
      <w:r w:rsidRPr="00007309">
        <w:rPr>
          <w:rFonts w:cs="Arial"/>
          <w:b/>
          <w:bCs/>
          <w:sz w:val="24"/>
          <w:szCs w:val="24"/>
          <w:rtl/>
        </w:rPr>
        <w:t>עַד הַחֹדֶשׁ הָעֲשִׂירִי. בָּעֲשִׂירִי בְּאֶחָד לַחֹדֶשׁ נִרְאוּ רָאשֵׁי הֶהָרִים, דְּאִנּוּן אֲבָהָן</w:t>
      </w:r>
      <w:r w:rsidRPr="00007309">
        <w:rPr>
          <w:rFonts w:cs="Arial" w:hint="cs"/>
          <w:b/>
          <w:bCs/>
          <w:sz w:val="24"/>
          <w:szCs w:val="24"/>
          <w:rtl/>
        </w:rPr>
        <w:t>,</w:t>
      </w:r>
      <w:r w:rsidRPr="00007309">
        <w:rPr>
          <w:rFonts w:cs="Arial"/>
          <w:b/>
          <w:bCs/>
          <w:sz w:val="24"/>
          <w:szCs w:val="24"/>
          <w:rtl/>
        </w:rPr>
        <w:t xml:space="preserve"> וְאִתְּעַר זְכוּתָא דִּילְהוֹן עַל יִשְׂרָאֵל. </w:t>
      </w:r>
      <w:r w:rsidRPr="00007309">
        <w:rPr>
          <w:rFonts w:cs="Arial"/>
          <w:b/>
          <w:bCs/>
          <w:sz w:val="36"/>
          <w:szCs w:val="28"/>
          <w:vertAlign w:val="superscript"/>
          <w:rtl/>
        </w:rPr>
        <w:footnoteReference w:id="8042"/>
      </w:r>
      <w:r w:rsidRPr="00007309">
        <w:rPr>
          <w:rFonts w:cs="Arial"/>
          <w:b/>
          <w:bCs/>
          <w:sz w:val="24"/>
          <w:szCs w:val="24"/>
          <w:rtl/>
        </w:rPr>
        <w:t>דְּעַד הַהוּא זִמְנָא תָּמָה זְכוּת אֲבָהָן</w:t>
      </w:r>
      <w:r w:rsidRPr="00007309">
        <w:rPr>
          <w:rFonts w:cs="Arial" w:hint="cs"/>
          <w:b/>
          <w:bCs/>
          <w:sz w:val="24"/>
          <w:szCs w:val="24"/>
          <w:rtl/>
        </w:rPr>
        <w:t>,</w:t>
      </w:r>
      <w:r w:rsidRPr="00007309">
        <w:rPr>
          <w:rFonts w:cs="Arial"/>
          <w:b/>
          <w:bCs/>
          <w:sz w:val="24"/>
          <w:szCs w:val="24"/>
          <w:rtl/>
        </w:rPr>
        <w:t xml:space="preserve"> מִתַּמָּן וְאֵילָךְ חָלָה זְכוּת אֲבָהָן</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043"/>
      </w:r>
      <w:r w:rsidRPr="00007309">
        <w:rPr>
          <w:rFonts w:cs="Arial"/>
          <w:b/>
          <w:bCs/>
          <w:sz w:val="24"/>
          <w:szCs w:val="24"/>
          <w:rtl/>
        </w:rPr>
        <w:t xml:space="preserve"> בְּהַהוּא זִמְנָא וּבְכֵן צַדִּיקִים יִרְאוּ וְיִשְׂמָחוּ וְגוֹ'</w:t>
      </w:r>
      <w:r w:rsidRPr="00007309">
        <w:rPr>
          <w:rFonts w:cs="Arial" w:hint="cs"/>
          <w:b/>
          <w:bCs/>
          <w:sz w:val="24"/>
          <w:szCs w:val="24"/>
          <w:rtl/>
        </w:rPr>
        <w:t>,</w:t>
      </w:r>
      <w:r w:rsidRPr="00007309">
        <w:rPr>
          <w:rFonts w:cs="Arial"/>
          <w:b/>
          <w:bCs/>
          <w:sz w:val="24"/>
          <w:szCs w:val="24"/>
          <w:rtl/>
        </w:rPr>
        <w:t xml:space="preserve"> וְהָרִשְׁעָה כֻּלָּהּ בְּעָשָׁן תִּכְלֶה וְגוֹ'. </w:t>
      </w:r>
      <w:r w:rsidRPr="00007309">
        <w:rPr>
          <w:rFonts w:cs="Arial"/>
          <w:b/>
          <w:bCs/>
          <w:sz w:val="36"/>
          <w:szCs w:val="28"/>
          <w:vertAlign w:val="superscript"/>
          <w:rtl/>
        </w:rPr>
        <w:footnoteReference w:id="8044"/>
      </w:r>
      <w:r w:rsidRPr="00007309">
        <w:rPr>
          <w:rFonts w:cs="Arial"/>
          <w:b/>
          <w:bCs/>
          <w:sz w:val="24"/>
          <w:szCs w:val="24"/>
          <w:rtl/>
        </w:rPr>
        <w:t>בְּכֵן וַדַּאי דְּאִיהוּ חֶסֶד</w:t>
      </w:r>
      <w:r w:rsidRPr="00007309">
        <w:rPr>
          <w:rFonts w:cs="Arial" w:hint="cs"/>
          <w:b/>
          <w:bCs/>
          <w:sz w:val="24"/>
          <w:szCs w:val="24"/>
          <w:rtl/>
        </w:rPr>
        <w:t>,</w:t>
      </w:r>
      <w:r w:rsidRPr="00007309">
        <w:rPr>
          <w:rFonts w:cs="Arial"/>
          <w:b/>
          <w:bCs/>
          <w:sz w:val="24"/>
          <w:szCs w:val="24"/>
          <w:rtl/>
        </w:rPr>
        <w:t xml:space="preserve"> דְּרוֹעָא יְמִינָא</w:t>
      </w:r>
      <w:r w:rsidRPr="00007309">
        <w:rPr>
          <w:rFonts w:cs="Arial" w:hint="cs"/>
          <w:b/>
          <w:bCs/>
          <w:sz w:val="24"/>
          <w:szCs w:val="24"/>
          <w:rtl/>
        </w:rPr>
        <w:t>,</w:t>
      </w:r>
      <w:r w:rsidRPr="00007309">
        <w:rPr>
          <w:rFonts w:cs="Arial"/>
          <w:b/>
          <w:bCs/>
          <w:sz w:val="24"/>
          <w:szCs w:val="24"/>
          <w:rtl/>
        </w:rPr>
        <w:t xml:space="preserve"> כּוּרְסְיָא. בְּגִין דְּכוּרְסְיָא בִּימִינָא אִתְתְּקָנַת. הָדָא הוּא דִּכְתִיב וְהוּכַן בְּחֶסֶד כִּסֵּא. </w:t>
      </w:r>
      <w:r w:rsidRPr="00007309">
        <w:rPr>
          <w:rFonts w:cs="Arial"/>
          <w:b/>
          <w:bCs/>
          <w:sz w:val="36"/>
          <w:szCs w:val="28"/>
          <w:vertAlign w:val="superscript"/>
          <w:rtl/>
        </w:rPr>
        <w:footnoteReference w:id="8045"/>
      </w:r>
      <w:r w:rsidRPr="00007309">
        <w:rPr>
          <w:rFonts w:cs="Arial"/>
          <w:b/>
          <w:bCs/>
          <w:sz w:val="24"/>
          <w:szCs w:val="24"/>
          <w:rtl/>
        </w:rPr>
        <w:t xml:space="preserve">וּבָהּ וְתִמְלֹךְ אַתָּה הוּא ה' אֱלֹהֵינוּ. </w:t>
      </w:r>
      <w:r w:rsidRPr="00007309">
        <w:rPr>
          <w:rFonts w:cs="Arial"/>
          <w:b/>
          <w:bCs/>
          <w:sz w:val="36"/>
          <w:szCs w:val="28"/>
          <w:vertAlign w:val="superscript"/>
          <w:rtl/>
        </w:rPr>
        <w:footnoteReference w:id="8046"/>
      </w:r>
      <w:r w:rsidRPr="00007309">
        <w:rPr>
          <w:rFonts w:cs="Arial"/>
          <w:b/>
          <w:bCs/>
          <w:sz w:val="24"/>
          <w:szCs w:val="24"/>
          <w:rtl/>
        </w:rPr>
        <w:t>בְּהַהוּא זִמְנָא דְּקוּדְשָׁא בְּרִיךְ הוּא יָתִיב עַל כֻּרְסֵא דְּחֶסֶד דְּאִיהוּ דְּרַחֲמֵי, אִתְּמַר אֵל מֶלֶךְ יוֹשֵׁב עַל כִּסֵּא רַחֲמִים וּמִתְנַהֵג בַּחֲסִידוּת. בְּהַהוּא זִמְנָא וְלֹא יִכָּנֵף עוֹד מוֹרֶיךָ</w:t>
      </w:r>
      <w:r w:rsidRPr="00007309">
        <w:rPr>
          <w:rFonts w:cs="Arial"/>
          <w:b/>
          <w:bCs/>
          <w:sz w:val="24"/>
          <w:szCs w:val="24"/>
        </w:rPr>
        <w:t>:</w:t>
      </w:r>
    </w:p>
    <w:p w:rsidR="00007309" w:rsidRPr="00007309" w:rsidRDefault="00007309" w:rsidP="00007309">
      <w:pPr>
        <w:jc w:val="both"/>
        <w:rPr>
          <w:rFonts w:ascii="Arial" w:hAnsi="Arial" w:cs="Arial"/>
          <w:sz w:val="24"/>
          <w:szCs w:val="24"/>
          <w:rtl/>
        </w:rPr>
      </w:pPr>
      <w:r w:rsidRPr="00007309">
        <w:rPr>
          <w:rFonts w:ascii="Arial" w:hAnsi="Arial" w:cs="Arial"/>
          <w:sz w:val="24"/>
          <w:szCs w:val="24"/>
          <w:rtl/>
        </w:rPr>
        <w:t>(בכאן שייך מה שכתוב בתיקונים בדף נ' סוף ע"ב וגדפוי דשכינתא אינון כסוי דם חיה ועוף</w:t>
      </w:r>
      <w:r w:rsidRPr="00007309">
        <w:rPr>
          <w:rFonts w:ascii="Arial" w:hAnsi="Arial" w:cs="Arial"/>
          <w:sz w:val="24"/>
          <w:szCs w:val="24"/>
        </w:rPr>
        <w:t>(:</w:t>
      </w:r>
    </w:p>
    <w:p w:rsidR="00007309" w:rsidRPr="00007309" w:rsidRDefault="00007309" w:rsidP="00007309">
      <w:pPr>
        <w:jc w:val="both"/>
        <w:rPr>
          <w:rFonts w:ascii="Arial" w:hAnsi="Arial" w:cs="Arial"/>
          <w:sz w:val="24"/>
          <w:szCs w:val="24"/>
          <w:rtl/>
        </w:rPr>
      </w:pPr>
      <w:r w:rsidRPr="00007309">
        <w:rPr>
          <w:rFonts w:ascii="Arial" w:hAnsi="Arial" w:cs="Arial" w:hint="cs"/>
          <w:sz w:val="24"/>
          <w:szCs w:val="24"/>
          <w:rtl/>
        </w:rPr>
        <w:t>[וזה שייך לדף מ"ח ע"ב אחר ח"י חוליין דשדרה מסטרא דגופא]</w:t>
      </w:r>
    </w:p>
    <w:p w:rsidR="00007309" w:rsidRPr="00007309" w:rsidRDefault="00007309" w:rsidP="00007309">
      <w:pPr>
        <w:keepNext/>
        <w:spacing w:before="240" w:after="60"/>
        <w:jc w:val="right"/>
        <w:outlineLvl w:val="2"/>
        <w:rPr>
          <w:rFonts w:ascii="Cambria" w:hAnsi="Cambria" w:cs="Times New Roman"/>
          <w:i/>
          <w:iCs/>
          <w:color w:val="4F81BD"/>
          <w:sz w:val="24"/>
          <w:szCs w:val="24"/>
          <w:rtl/>
        </w:rPr>
      </w:pPr>
      <w:r w:rsidRPr="00007309">
        <w:rPr>
          <w:rFonts w:ascii="Cambria" w:hAnsi="Cambria" w:cs="Arial" w:hint="cs"/>
          <w:b/>
          <w:bCs/>
          <w:sz w:val="26"/>
          <w:szCs w:val="26"/>
          <w:rtl/>
        </w:rPr>
        <w:t xml:space="preserve"> </w:t>
      </w:r>
      <w:r w:rsidRPr="00007309">
        <w:rPr>
          <w:rFonts w:ascii="Cambria" w:hAnsi="Cambria" w:cs="Times New Roman" w:hint="cs"/>
          <w:i/>
          <w:iCs/>
          <w:color w:val="4F81BD"/>
          <w:sz w:val="24"/>
          <w:szCs w:val="24"/>
          <w:rtl/>
        </w:rPr>
        <w:t>[וילנא לח ע"א]</w:t>
      </w:r>
    </w:p>
    <w:p w:rsidR="00007309" w:rsidRPr="00007309" w:rsidRDefault="00007309" w:rsidP="00007309">
      <w:pPr>
        <w:jc w:val="both"/>
        <w:rPr>
          <w:rFonts w:cs="Arial"/>
          <w:b/>
          <w:bCs/>
          <w:sz w:val="24"/>
          <w:szCs w:val="24"/>
          <w:rtl/>
        </w:rPr>
      </w:pPr>
      <w:r w:rsidRPr="00007309">
        <w:rPr>
          <w:rFonts w:cs="Arial"/>
          <w:b/>
          <w:bCs/>
          <w:sz w:val="36"/>
          <w:szCs w:val="28"/>
          <w:vertAlign w:val="superscript"/>
          <w:rtl/>
        </w:rPr>
        <w:footnoteReference w:id="8047"/>
      </w:r>
      <w:r w:rsidRPr="00007309">
        <w:rPr>
          <w:rFonts w:cs="Arial"/>
          <w:b/>
          <w:bCs/>
          <w:sz w:val="24"/>
          <w:szCs w:val="24"/>
          <w:rtl/>
        </w:rPr>
        <w:t xml:space="preserve"> </w:t>
      </w:r>
      <w:r w:rsidRPr="00007309">
        <w:rPr>
          <w:rFonts w:cs="Arial"/>
          <w:b/>
          <w:bCs/>
          <w:sz w:val="36"/>
          <w:szCs w:val="28"/>
          <w:vertAlign w:val="superscript"/>
          <w:rtl/>
        </w:rPr>
        <w:footnoteReference w:id="8048"/>
      </w:r>
      <w:r w:rsidRPr="00007309">
        <w:rPr>
          <w:rFonts w:cs="Arial"/>
          <w:b/>
          <w:bCs/>
          <w:sz w:val="24"/>
          <w:szCs w:val="24"/>
          <w:rtl/>
        </w:rPr>
        <w:t xml:space="preserve">וְכָל דָּא מִסִּטְרָא דְּאִילָנָא דְּחַיֵּי. וּמִסִּטְרָא דְּאִילָנָא דְּטוֹב וְרַע </w:t>
      </w:r>
      <w:r w:rsidRPr="00007309">
        <w:rPr>
          <w:rFonts w:cs="Arial"/>
          <w:b/>
          <w:bCs/>
          <w:sz w:val="36"/>
          <w:szCs w:val="28"/>
          <w:vertAlign w:val="superscript"/>
          <w:rtl/>
        </w:rPr>
        <w:footnoteReference w:id="8049"/>
      </w:r>
      <w:r w:rsidRPr="00007309">
        <w:rPr>
          <w:rFonts w:cs="Arial"/>
          <w:b/>
          <w:bCs/>
          <w:sz w:val="24"/>
          <w:szCs w:val="24"/>
          <w:rtl/>
        </w:rPr>
        <w:t>אֶתְרוֹג דָּמֵי לְצַדִּיקַיָּא, וַהֲדַס לַבֵּינוֹנִים, וַעֲרָבָה לָרְשָׁעִים. וּשְׁכִינְתָּא</w:t>
      </w:r>
      <w:r w:rsidRPr="00007309">
        <w:rPr>
          <w:rFonts w:cs="Arial"/>
          <w:b/>
          <w:bCs/>
          <w:sz w:val="24"/>
          <w:szCs w:val="24"/>
        </w:rPr>
        <w:t xml:space="preserve"> </w:t>
      </w:r>
      <w:r w:rsidRPr="00007309">
        <w:rPr>
          <w:rFonts w:cs="Arial"/>
          <w:b/>
          <w:bCs/>
          <w:sz w:val="24"/>
          <w:szCs w:val="24"/>
          <w:rtl/>
        </w:rPr>
        <w:t xml:space="preserve">אִתְּמַר בָּהּ וּמַלְכוּתוֹ </w:t>
      </w:r>
      <w:r w:rsidRPr="00007309">
        <w:rPr>
          <w:rFonts w:cs="Arial"/>
          <w:b/>
          <w:bCs/>
          <w:sz w:val="36"/>
          <w:szCs w:val="28"/>
          <w:vertAlign w:val="superscript"/>
          <w:rtl/>
        </w:rPr>
        <w:footnoteReference w:id="8050"/>
      </w:r>
      <w:r w:rsidRPr="00007309">
        <w:rPr>
          <w:rFonts w:cs="Arial"/>
          <w:b/>
          <w:bCs/>
          <w:sz w:val="24"/>
          <w:szCs w:val="24"/>
          <w:rtl/>
        </w:rPr>
        <w:t xml:space="preserve">בְּכָל מָשָׁלָה. אַף עַל גַּב דְּאִתְּמַר בָּהּ </w:t>
      </w:r>
      <w:r w:rsidRPr="00007309">
        <w:rPr>
          <w:rFonts w:cs="Arial"/>
          <w:b/>
          <w:bCs/>
          <w:sz w:val="36"/>
          <w:szCs w:val="28"/>
          <w:vertAlign w:val="superscript"/>
          <w:rtl/>
        </w:rPr>
        <w:footnoteReference w:id="8051"/>
      </w:r>
      <w:r w:rsidRPr="00007309">
        <w:rPr>
          <w:rFonts w:cs="Arial"/>
          <w:b/>
          <w:bCs/>
          <w:sz w:val="24"/>
          <w:szCs w:val="24"/>
          <w:rtl/>
        </w:rPr>
        <w:t xml:space="preserve">עֵץ חַיִּים הִיא לַמַּחֲזִיקִים בָּהּ. </w:t>
      </w:r>
      <w:r w:rsidRPr="00007309">
        <w:rPr>
          <w:rFonts w:cs="Arial"/>
          <w:b/>
          <w:bCs/>
          <w:sz w:val="36"/>
          <w:szCs w:val="28"/>
          <w:vertAlign w:val="superscript"/>
          <w:rtl/>
        </w:rPr>
        <w:footnoteReference w:id="8052"/>
      </w:r>
      <w:r w:rsidRPr="00007309">
        <w:rPr>
          <w:rFonts w:cs="Arial"/>
          <w:b/>
          <w:bCs/>
          <w:sz w:val="24"/>
          <w:szCs w:val="24"/>
          <w:rtl/>
        </w:rPr>
        <w:t xml:space="preserve">אִיהִי שָׁלְטָא עַל עֵץ הַדַּעַת </w:t>
      </w:r>
      <w:r w:rsidRPr="00007309">
        <w:rPr>
          <w:rFonts w:cs="Arial"/>
          <w:b/>
          <w:bCs/>
          <w:sz w:val="36"/>
          <w:szCs w:val="28"/>
          <w:vertAlign w:val="superscript"/>
          <w:rtl/>
        </w:rPr>
        <w:footnoteReference w:id="8053"/>
      </w:r>
      <w:r w:rsidRPr="00007309">
        <w:rPr>
          <w:rFonts w:cs="Arial"/>
          <w:b/>
          <w:bCs/>
          <w:sz w:val="24"/>
          <w:szCs w:val="24"/>
          <w:rtl/>
        </w:rPr>
        <w:t xml:space="preserve">טוֹב וָרָע, מִסִּטְרָא דִּילֵהּ הִיא קְרִיבָא לְמַלְכָּא. (נ"א ומסטרין אלין </w:t>
      </w:r>
      <w:r w:rsidRPr="00007309">
        <w:rPr>
          <w:rFonts w:cs="Arial"/>
          <w:b/>
          <w:bCs/>
          <w:sz w:val="36"/>
          <w:szCs w:val="28"/>
          <w:vertAlign w:val="superscript"/>
          <w:rtl/>
        </w:rPr>
        <w:footnoteReference w:id="8054"/>
      </w:r>
      <w:r w:rsidRPr="00007309">
        <w:rPr>
          <w:rFonts w:cs="Arial"/>
          <w:b/>
          <w:bCs/>
          <w:sz w:val="24"/>
          <w:szCs w:val="24"/>
          <w:rtl/>
        </w:rPr>
        <w:t xml:space="preserve">לזמנין איהי נוקבא קריבא למלכא, הדא הוא דכתיב בזאת יבא אהרן אל הקדש מסטרא דימינא לזמנין איהי רחיקא מנה מסטרא דשמאלא ואל יבא בכל עת אל הקדש. מסטרא דימינא </w:t>
      </w:r>
      <w:r w:rsidRPr="00007309">
        <w:rPr>
          <w:rFonts w:cs="Arial"/>
          <w:b/>
          <w:bCs/>
          <w:sz w:val="36"/>
          <w:szCs w:val="28"/>
          <w:vertAlign w:val="superscript"/>
          <w:rtl/>
        </w:rPr>
        <w:footnoteReference w:id="8055"/>
      </w:r>
      <w:r w:rsidRPr="00007309">
        <w:rPr>
          <w:rFonts w:cs="Arial"/>
          <w:b/>
          <w:bCs/>
          <w:sz w:val="24"/>
          <w:szCs w:val="24"/>
          <w:rtl/>
        </w:rPr>
        <w:t xml:space="preserve">איהי לא מקבלה טמאה טוב הוא ימינא. אבל אתרהא טוב מקבלא טמאה מרע ומות הוא אתר לית לה קריבו. (נ"א אל הקדש איהי לא מקבלא טמאה </w:t>
      </w:r>
      <w:r w:rsidRPr="00007309">
        <w:rPr>
          <w:rFonts w:cs="Arial"/>
          <w:b/>
          <w:bCs/>
          <w:sz w:val="36"/>
          <w:szCs w:val="28"/>
          <w:vertAlign w:val="superscript"/>
          <w:rtl/>
        </w:rPr>
        <w:footnoteReference w:id="8056"/>
      </w:r>
      <w:r w:rsidRPr="00007309">
        <w:rPr>
          <w:rFonts w:cs="Arial"/>
          <w:b/>
          <w:bCs/>
          <w:sz w:val="24"/>
          <w:szCs w:val="24"/>
          <w:rtl/>
        </w:rPr>
        <w:t>אבל אתרהא טוב</w:t>
      </w:r>
      <w:r w:rsidRPr="00007309">
        <w:rPr>
          <w:rFonts w:cs="Arial"/>
          <w:b/>
          <w:bCs/>
          <w:sz w:val="24"/>
          <w:szCs w:val="24"/>
        </w:rPr>
        <w:t xml:space="preserve"> </w:t>
      </w:r>
      <w:r w:rsidRPr="00007309">
        <w:rPr>
          <w:rFonts w:cs="Arial"/>
          <w:b/>
          <w:bCs/>
          <w:sz w:val="24"/>
          <w:szCs w:val="24"/>
          <w:rtl/>
        </w:rPr>
        <w:t xml:space="preserve">מקבלא טמאה מרע </w:t>
      </w:r>
      <w:r w:rsidRPr="00007309">
        <w:rPr>
          <w:rFonts w:cs="Arial"/>
          <w:b/>
          <w:bCs/>
          <w:sz w:val="36"/>
          <w:szCs w:val="28"/>
          <w:vertAlign w:val="superscript"/>
          <w:rtl/>
        </w:rPr>
        <w:footnoteReference w:id="8057"/>
      </w:r>
      <w:r w:rsidRPr="00007309">
        <w:rPr>
          <w:rFonts w:cs="Arial"/>
          <w:b/>
          <w:bCs/>
          <w:sz w:val="24"/>
          <w:szCs w:val="24"/>
          <w:rtl/>
        </w:rPr>
        <w:t>ומההוא אתר דלית לה קריבו</w:t>
      </w:r>
      <w:r w:rsidRPr="00007309">
        <w:rPr>
          <w:rFonts w:cs="Arial" w:hint="cs"/>
          <w:b/>
          <w:bCs/>
          <w:sz w:val="24"/>
          <w:szCs w:val="24"/>
          <w:rtl/>
        </w:rPr>
        <w:t xml:space="preserve"> </w:t>
      </w:r>
      <w:r w:rsidRPr="00007309">
        <w:rPr>
          <w:rFonts w:cs="Arial" w:hint="cs"/>
          <w:sz w:val="24"/>
          <w:szCs w:val="24"/>
          <w:rtl/>
        </w:rPr>
        <w:t xml:space="preserve">(נ"א אל הקדש איהי לא מקבלאא טומאה, אבל אתרהא טוב מקבלא טומאה מרע ומההוא </w:t>
      </w:r>
      <w:r w:rsidRPr="00007309">
        <w:rPr>
          <w:rFonts w:ascii="Cambria" w:hAnsi="Cambria" w:cs="Times New Roman"/>
          <w:b/>
          <w:bCs/>
          <w:i/>
          <w:iCs/>
          <w:color w:val="4F81BD"/>
          <w:sz w:val="24"/>
          <w:szCs w:val="24"/>
          <w:rtl/>
        </w:rPr>
        <w:t>(וילנא ל</w:t>
      </w:r>
      <w:r w:rsidRPr="00007309">
        <w:rPr>
          <w:rFonts w:ascii="Cambria" w:hAnsi="Cambria" w:cs="Times New Roman" w:hint="cs"/>
          <w:b/>
          <w:bCs/>
          <w:i/>
          <w:iCs/>
          <w:color w:val="4F81BD"/>
          <w:sz w:val="24"/>
          <w:szCs w:val="24"/>
          <w:rtl/>
        </w:rPr>
        <w:t>ח</w:t>
      </w:r>
      <w:r w:rsidRPr="00007309">
        <w:rPr>
          <w:rFonts w:ascii="Cambria" w:hAnsi="Cambria" w:cs="Times New Roman"/>
          <w:b/>
          <w:bCs/>
          <w:i/>
          <w:iCs/>
          <w:color w:val="4F81BD"/>
          <w:sz w:val="24"/>
          <w:szCs w:val="24"/>
          <w:rtl/>
        </w:rPr>
        <w:t xml:space="preserve"> ע"</w:t>
      </w:r>
      <w:r w:rsidRPr="00007309">
        <w:rPr>
          <w:rFonts w:ascii="Cambria" w:hAnsi="Cambria" w:cs="Times New Roman" w:hint="cs"/>
          <w:b/>
          <w:bCs/>
          <w:i/>
          <w:iCs/>
          <w:color w:val="4F81BD"/>
          <w:sz w:val="24"/>
          <w:szCs w:val="24"/>
          <w:rtl/>
        </w:rPr>
        <w:t>א</w:t>
      </w:r>
      <w:r w:rsidRPr="00007309">
        <w:rPr>
          <w:rFonts w:ascii="Cambria" w:hAnsi="Cambria" w:cs="Times New Roman"/>
          <w:b/>
          <w:bCs/>
          <w:i/>
          <w:iCs/>
          <w:color w:val="4F81BD"/>
          <w:sz w:val="24"/>
          <w:szCs w:val="24"/>
          <w:rtl/>
        </w:rPr>
        <w:t>)</w:t>
      </w:r>
      <w:r w:rsidRPr="00007309">
        <w:rPr>
          <w:rFonts w:cs="Arial"/>
          <w:b/>
          <w:bCs/>
          <w:sz w:val="24"/>
          <w:szCs w:val="24"/>
          <w:rtl/>
        </w:rPr>
        <w:t xml:space="preserve"> </w:t>
      </w:r>
      <w:r w:rsidRPr="00007309">
        <w:rPr>
          <w:rFonts w:cs="Arial" w:hint="cs"/>
          <w:sz w:val="24"/>
          <w:szCs w:val="24"/>
          <w:rtl/>
        </w:rPr>
        <w:t xml:space="preserve">אתר דלית ליה קריבו) </w:t>
      </w:r>
      <w:r w:rsidRPr="00007309">
        <w:rPr>
          <w:rFonts w:cs="Arial"/>
          <w:b/>
          <w:bCs/>
          <w:sz w:val="36"/>
          <w:szCs w:val="28"/>
          <w:vertAlign w:val="superscript"/>
          <w:rtl/>
        </w:rPr>
        <w:footnoteReference w:id="8058"/>
      </w:r>
      <w:r w:rsidRPr="00007309">
        <w:rPr>
          <w:rFonts w:cs="Arial"/>
          <w:b/>
          <w:bCs/>
          <w:sz w:val="24"/>
          <w:szCs w:val="24"/>
          <w:rtl/>
        </w:rPr>
        <w:t xml:space="preserve">ותמן צריך </w:t>
      </w:r>
      <w:r w:rsidRPr="00007309">
        <w:rPr>
          <w:rFonts w:cs="Arial" w:hint="cs"/>
          <w:b/>
          <w:bCs/>
          <w:sz w:val="24"/>
          <w:szCs w:val="24"/>
          <w:rtl/>
        </w:rPr>
        <w:t xml:space="preserve">קורבנא </w:t>
      </w:r>
      <w:r w:rsidRPr="00007309">
        <w:rPr>
          <w:rFonts w:cs="Arial"/>
          <w:b/>
          <w:bCs/>
          <w:sz w:val="24"/>
          <w:szCs w:val="24"/>
          <w:rtl/>
        </w:rPr>
        <w:t xml:space="preserve">לקרבא, </w:t>
      </w:r>
      <w:r w:rsidRPr="00007309">
        <w:rPr>
          <w:rFonts w:cs="Arial" w:hint="cs"/>
          <w:b/>
          <w:bCs/>
          <w:sz w:val="24"/>
          <w:szCs w:val="24"/>
          <w:rtl/>
        </w:rPr>
        <w:t>ו</w:t>
      </w:r>
      <w:r w:rsidRPr="00007309">
        <w:rPr>
          <w:rFonts w:cs="Arial"/>
          <w:b/>
          <w:bCs/>
          <w:sz w:val="24"/>
          <w:szCs w:val="24"/>
          <w:rtl/>
        </w:rPr>
        <w:t xml:space="preserve">קטרת לרחקא רוח טמאה מההוא אתר. </w:t>
      </w:r>
      <w:r w:rsidRPr="00007309">
        <w:rPr>
          <w:rFonts w:cs="Arial"/>
          <w:b/>
          <w:bCs/>
          <w:sz w:val="36"/>
          <w:szCs w:val="28"/>
          <w:vertAlign w:val="superscript"/>
          <w:rtl/>
        </w:rPr>
        <w:footnoteReference w:id="8059"/>
      </w:r>
      <w:r w:rsidRPr="00007309">
        <w:rPr>
          <w:rFonts w:cs="Arial"/>
          <w:b/>
          <w:bCs/>
          <w:sz w:val="24"/>
          <w:szCs w:val="24"/>
          <w:rtl/>
        </w:rPr>
        <w:t xml:space="preserve">ולקרבא זכותא לשמאלא גבירתא </w:t>
      </w:r>
      <w:r w:rsidRPr="00007309">
        <w:rPr>
          <w:rFonts w:cs="Arial"/>
          <w:b/>
          <w:bCs/>
          <w:sz w:val="36"/>
          <w:szCs w:val="28"/>
          <w:vertAlign w:val="superscript"/>
          <w:rtl/>
        </w:rPr>
        <w:footnoteReference w:id="8060"/>
      </w:r>
      <w:r w:rsidRPr="00007309">
        <w:rPr>
          <w:rFonts w:cs="Arial"/>
          <w:b/>
          <w:bCs/>
          <w:sz w:val="24"/>
          <w:szCs w:val="24"/>
          <w:rtl/>
        </w:rPr>
        <w:t xml:space="preserve">ולרחקא שפחה מתמן. </w:t>
      </w:r>
      <w:r w:rsidRPr="00007309">
        <w:rPr>
          <w:rFonts w:cs="Arial"/>
          <w:b/>
          <w:bCs/>
          <w:sz w:val="36"/>
          <w:szCs w:val="28"/>
          <w:vertAlign w:val="superscript"/>
          <w:rtl/>
        </w:rPr>
        <w:footnoteReference w:id="8061"/>
      </w:r>
      <w:r w:rsidRPr="00007309">
        <w:rPr>
          <w:rFonts w:cs="Arial"/>
          <w:b/>
          <w:bCs/>
          <w:sz w:val="24"/>
          <w:szCs w:val="24"/>
          <w:rtl/>
        </w:rPr>
        <w:t>ובגין דא כל שמהן אית בה ואתקרי שדרה אחור</w:t>
      </w:r>
      <w:r w:rsidRPr="00007309">
        <w:rPr>
          <w:rFonts w:cs="Arial" w:hint="cs"/>
          <w:b/>
          <w:bCs/>
          <w:sz w:val="24"/>
          <w:szCs w:val="24"/>
          <w:rtl/>
        </w:rPr>
        <w:t>:</w:t>
      </w:r>
    </w:p>
    <w:p w:rsidR="00007309" w:rsidRPr="00007309" w:rsidRDefault="00007309" w:rsidP="00007309">
      <w:pPr>
        <w:jc w:val="both"/>
        <w:rPr>
          <w:rFonts w:cs="Arial"/>
          <w:b/>
          <w:bCs/>
          <w:sz w:val="24"/>
          <w:szCs w:val="24"/>
        </w:rPr>
      </w:pPr>
      <w:r w:rsidRPr="00007309">
        <w:rPr>
          <w:rFonts w:cs="Arial" w:hint="cs"/>
          <w:b/>
          <w:bCs/>
          <w:sz w:val="24"/>
          <w:szCs w:val="24"/>
          <w:rtl/>
        </w:rPr>
        <w:t xml:space="preserve">[לדף ק"ד ע"א] שנוי מעשה דא שבת, </w:t>
      </w:r>
      <w:r w:rsidRPr="00007309">
        <w:rPr>
          <w:rFonts w:cs="Arial"/>
          <w:b/>
          <w:bCs/>
          <w:sz w:val="24"/>
          <w:szCs w:val="24"/>
          <w:rtl/>
        </w:rPr>
        <w:t>דאיהי כל עובדוהי כלאחר יד</w:t>
      </w:r>
      <w:r w:rsidRPr="00007309">
        <w:rPr>
          <w:rFonts w:cs="Arial" w:hint="cs"/>
          <w:b/>
          <w:bCs/>
          <w:sz w:val="24"/>
          <w:szCs w:val="24"/>
          <w:rtl/>
        </w:rPr>
        <w:t>.</w:t>
      </w:r>
      <w:r w:rsidRPr="00007309">
        <w:rPr>
          <w:rFonts w:cs="Arial"/>
          <w:b/>
          <w:bCs/>
          <w:sz w:val="24"/>
          <w:szCs w:val="24"/>
          <w:rtl/>
        </w:rPr>
        <w:t xml:space="preserve"> ורזא דמלה כלאחר יד</w:t>
      </w:r>
      <w:r w:rsidRPr="00007309">
        <w:rPr>
          <w:rFonts w:cs="Arial" w:hint="cs"/>
          <w:b/>
          <w:bCs/>
          <w:sz w:val="24"/>
          <w:szCs w:val="24"/>
          <w:rtl/>
        </w:rPr>
        <w:t>,</w:t>
      </w:r>
      <w:r w:rsidRPr="00007309">
        <w:rPr>
          <w:rFonts w:cs="Arial"/>
          <w:b/>
          <w:bCs/>
          <w:sz w:val="24"/>
          <w:szCs w:val="24"/>
          <w:rtl/>
        </w:rPr>
        <w:t xml:space="preserve"> כל</w:t>
      </w:r>
      <w:r w:rsidRPr="00007309">
        <w:rPr>
          <w:rFonts w:cs="Arial" w:hint="cs"/>
          <w:b/>
          <w:bCs/>
          <w:sz w:val="24"/>
          <w:szCs w:val="24"/>
          <w:rtl/>
        </w:rPr>
        <w:t>,</w:t>
      </w:r>
      <w:r w:rsidRPr="00007309">
        <w:rPr>
          <w:rFonts w:cs="Arial"/>
          <w:b/>
          <w:bCs/>
          <w:sz w:val="24"/>
          <w:szCs w:val="24"/>
          <w:rtl/>
        </w:rPr>
        <w:t xml:space="preserve"> דאיהו צדיק</w:t>
      </w:r>
      <w:r w:rsidRPr="00007309">
        <w:rPr>
          <w:rFonts w:cs="Arial" w:hint="cs"/>
          <w:b/>
          <w:bCs/>
          <w:sz w:val="24"/>
          <w:szCs w:val="24"/>
          <w:rtl/>
        </w:rPr>
        <w:t>,</w:t>
      </w:r>
      <w:r w:rsidRPr="00007309">
        <w:rPr>
          <w:rFonts w:cs="Arial"/>
          <w:b/>
          <w:bCs/>
          <w:sz w:val="24"/>
          <w:szCs w:val="24"/>
          <w:rtl/>
        </w:rPr>
        <w:t xml:space="preserve"> אחר יד</w:t>
      </w:r>
      <w:r w:rsidRPr="00007309">
        <w:rPr>
          <w:rFonts w:cs="Arial" w:hint="cs"/>
          <w:b/>
          <w:bCs/>
          <w:sz w:val="24"/>
          <w:szCs w:val="24"/>
          <w:rtl/>
        </w:rPr>
        <w:t>,</w:t>
      </w:r>
      <w:r w:rsidRPr="00007309">
        <w:rPr>
          <w:rFonts w:cs="Arial"/>
          <w:b/>
          <w:bCs/>
          <w:sz w:val="24"/>
          <w:szCs w:val="24"/>
          <w:rtl/>
        </w:rPr>
        <w:t xml:space="preserve"> דאיהי שכינתא</w:t>
      </w:r>
      <w:r w:rsidRPr="00007309">
        <w:rPr>
          <w:rFonts w:cs="Arial" w:hint="cs"/>
          <w:b/>
          <w:bCs/>
          <w:sz w:val="24"/>
          <w:szCs w:val="24"/>
          <w:rtl/>
        </w:rPr>
        <w:t>.</w:t>
      </w:r>
      <w:r w:rsidRPr="00007309">
        <w:rPr>
          <w:rFonts w:cs="Arial"/>
          <w:b/>
          <w:bCs/>
          <w:sz w:val="24"/>
          <w:szCs w:val="24"/>
          <w:rtl/>
        </w:rPr>
        <w:t xml:space="preserve"> דא </w:t>
      </w:r>
      <w:r w:rsidRPr="00007309">
        <w:rPr>
          <w:rFonts w:cs="Arial"/>
          <w:b/>
          <w:bCs/>
          <w:sz w:val="36"/>
          <w:szCs w:val="28"/>
          <w:vertAlign w:val="superscript"/>
          <w:rtl/>
        </w:rPr>
        <w:footnoteReference w:id="8062"/>
      </w:r>
      <w:r w:rsidRPr="00007309">
        <w:rPr>
          <w:rFonts w:cs="Arial"/>
          <w:b/>
          <w:bCs/>
          <w:sz w:val="24"/>
          <w:szCs w:val="24"/>
          <w:rtl/>
        </w:rPr>
        <w:t xml:space="preserve">שנוי מעשה. </w:t>
      </w:r>
      <w:r w:rsidRPr="00007309">
        <w:rPr>
          <w:rFonts w:cs="Arial"/>
          <w:b/>
          <w:bCs/>
          <w:sz w:val="36"/>
          <w:szCs w:val="28"/>
          <w:vertAlign w:val="superscript"/>
          <w:rtl/>
        </w:rPr>
        <w:footnoteReference w:id="8063"/>
      </w:r>
      <w:r w:rsidRPr="00007309">
        <w:rPr>
          <w:rFonts w:cs="Arial"/>
          <w:b/>
          <w:bCs/>
          <w:sz w:val="24"/>
          <w:szCs w:val="24"/>
          <w:rtl/>
        </w:rPr>
        <w:t xml:space="preserve"> </w:t>
      </w:r>
      <w:r w:rsidRPr="00007309">
        <w:rPr>
          <w:rFonts w:cs="Arial"/>
          <w:b/>
          <w:bCs/>
          <w:sz w:val="36"/>
          <w:szCs w:val="28"/>
          <w:vertAlign w:val="superscript"/>
          <w:rtl/>
        </w:rPr>
        <w:footnoteReference w:id="8064"/>
      </w:r>
      <w:r w:rsidRPr="00007309">
        <w:rPr>
          <w:rFonts w:cs="Arial"/>
          <w:b/>
          <w:bCs/>
          <w:sz w:val="24"/>
          <w:szCs w:val="24"/>
          <w:rtl/>
        </w:rPr>
        <w:t xml:space="preserve">ובזמנא דאיהי כלאחר יד </w:t>
      </w:r>
      <w:r w:rsidRPr="00007309">
        <w:rPr>
          <w:rFonts w:cs="Arial"/>
          <w:b/>
          <w:bCs/>
          <w:sz w:val="36"/>
          <w:szCs w:val="28"/>
          <w:vertAlign w:val="superscript"/>
          <w:rtl/>
        </w:rPr>
        <w:footnoteReference w:id="8065"/>
      </w:r>
      <w:r w:rsidRPr="00007309">
        <w:rPr>
          <w:rFonts w:cs="Arial"/>
          <w:b/>
          <w:bCs/>
          <w:sz w:val="24"/>
          <w:szCs w:val="24"/>
          <w:rtl/>
        </w:rPr>
        <w:t xml:space="preserve">לית תמן סגידו דאתמר בה כל הכורע כורע בברוך. </w:t>
      </w:r>
      <w:r w:rsidRPr="00007309">
        <w:rPr>
          <w:rFonts w:cs="Arial"/>
          <w:b/>
          <w:bCs/>
          <w:sz w:val="36"/>
          <w:szCs w:val="28"/>
          <w:vertAlign w:val="superscript"/>
          <w:rtl/>
        </w:rPr>
        <w:footnoteReference w:id="8066"/>
      </w:r>
      <w:r w:rsidRPr="00007309">
        <w:rPr>
          <w:rFonts w:cs="Arial"/>
          <w:b/>
          <w:bCs/>
          <w:sz w:val="24"/>
          <w:szCs w:val="24"/>
          <w:rtl/>
        </w:rPr>
        <w:t xml:space="preserve">תעלא בעדנה סגיד לה. </w:t>
      </w:r>
      <w:r w:rsidRPr="00007309">
        <w:rPr>
          <w:rFonts w:cs="Arial"/>
          <w:b/>
          <w:bCs/>
          <w:sz w:val="36"/>
          <w:szCs w:val="28"/>
          <w:vertAlign w:val="superscript"/>
          <w:rtl/>
        </w:rPr>
        <w:footnoteReference w:id="8067"/>
      </w:r>
      <w:r w:rsidRPr="00007309">
        <w:rPr>
          <w:rFonts w:cs="Arial"/>
          <w:b/>
          <w:bCs/>
          <w:sz w:val="24"/>
          <w:szCs w:val="24"/>
          <w:rtl/>
        </w:rPr>
        <w:t xml:space="preserve">דבזמנא דאיהי כלאחר יד אתעביד זנב. ועכ"ד דאמר תעלא בעדנה סגיד לה באתרה. </w:t>
      </w:r>
      <w:r w:rsidRPr="00007309">
        <w:rPr>
          <w:rFonts w:cs="Arial"/>
          <w:b/>
          <w:bCs/>
          <w:sz w:val="36"/>
          <w:szCs w:val="28"/>
          <w:vertAlign w:val="superscript"/>
          <w:rtl/>
        </w:rPr>
        <w:footnoteReference w:id="8068"/>
      </w:r>
      <w:r w:rsidRPr="00007309">
        <w:rPr>
          <w:rFonts w:cs="Arial"/>
          <w:b/>
          <w:bCs/>
          <w:sz w:val="24"/>
          <w:szCs w:val="24"/>
          <w:rtl/>
        </w:rPr>
        <w:t xml:space="preserve">אבל חוץ מאתרה הוי זנב לאריות ואל תהי ראש לשועלים. </w:t>
      </w:r>
      <w:r w:rsidRPr="00007309">
        <w:rPr>
          <w:rFonts w:cs="Arial"/>
          <w:b/>
          <w:bCs/>
          <w:sz w:val="36"/>
          <w:szCs w:val="28"/>
          <w:vertAlign w:val="superscript"/>
          <w:rtl/>
        </w:rPr>
        <w:footnoteReference w:id="8069"/>
      </w:r>
      <w:r w:rsidRPr="00007309">
        <w:rPr>
          <w:rFonts w:cs="Arial"/>
          <w:b/>
          <w:bCs/>
          <w:sz w:val="24"/>
          <w:szCs w:val="24"/>
          <w:rtl/>
        </w:rPr>
        <w:t>דהא צדיק גמור</w:t>
      </w:r>
      <w:r w:rsidRPr="00007309">
        <w:rPr>
          <w:rFonts w:cs="Arial"/>
          <w:b/>
          <w:bCs/>
          <w:sz w:val="24"/>
          <w:szCs w:val="24"/>
        </w:rPr>
        <w:t xml:space="preserve"> </w:t>
      </w:r>
      <w:r w:rsidRPr="00007309">
        <w:rPr>
          <w:rFonts w:cs="Arial"/>
          <w:b/>
          <w:bCs/>
          <w:sz w:val="24"/>
          <w:szCs w:val="24"/>
          <w:rtl/>
        </w:rPr>
        <w:t xml:space="preserve">אף על גב דנחית מדרגה ואתעביד זנב לאריות, עלה אתמר (תהלים לז) לא ראיתי צדיק נעזב. </w:t>
      </w:r>
      <w:r w:rsidRPr="00007309">
        <w:rPr>
          <w:rFonts w:cs="Arial"/>
          <w:b/>
          <w:bCs/>
          <w:sz w:val="36"/>
          <w:szCs w:val="28"/>
          <w:vertAlign w:val="superscript"/>
          <w:rtl/>
        </w:rPr>
        <w:footnoteReference w:id="8070"/>
      </w:r>
      <w:r w:rsidRPr="00007309">
        <w:rPr>
          <w:rFonts w:cs="Arial"/>
          <w:b/>
          <w:bCs/>
          <w:sz w:val="24"/>
          <w:szCs w:val="24"/>
          <w:rtl/>
        </w:rPr>
        <w:t>מאי זנב דילה, ההוא קוצא דאת ד' מן אחד דאיהו י' זעירא שכינתא תתאה עליה אתמר (משלי כד) כי שבע יפל צדיק וקם</w:t>
      </w:r>
      <w:r w:rsidRPr="00007309">
        <w:rPr>
          <w:rFonts w:cs="Arial"/>
          <w:b/>
          <w:bCs/>
          <w:sz w:val="24"/>
          <w:szCs w:val="24"/>
        </w:rPr>
        <w:t>:</w:t>
      </w:r>
    </w:p>
    <w:p w:rsidR="00007309" w:rsidRPr="00007309" w:rsidRDefault="00007309" w:rsidP="00007309">
      <w:pPr>
        <w:keepNext/>
        <w:spacing w:before="240" w:after="60"/>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[וילנא לח ע"ב]</w:t>
      </w:r>
    </w:p>
    <w:p w:rsidR="00007309" w:rsidRPr="00007309" w:rsidRDefault="00007309" w:rsidP="00007309">
      <w:pPr>
        <w:jc w:val="both"/>
        <w:rPr>
          <w:rFonts w:cs="Arial"/>
          <w:b/>
          <w:bCs/>
          <w:sz w:val="24"/>
          <w:szCs w:val="24"/>
          <w:rtl/>
        </w:rPr>
      </w:pPr>
      <w:r w:rsidRPr="00007309">
        <w:rPr>
          <w:rFonts w:cs="Arial"/>
          <w:b/>
          <w:bCs/>
          <w:sz w:val="36"/>
          <w:szCs w:val="28"/>
          <w:vertAlign w:val="superscript"/>
          <w:rtl/>
        </w:rPr>
        <w:footnoteReference w:id="8071"/>
      </w:r>
      <w:r w:rsidRPr="00007309">
        <w:rPr>
          <w:rFonts w:cs="Arial"/>
          <w:b/>
          <w:bCs/>
          <w:sz w:val="24"/>
          <w:szCs w:val="24"/>
          <w:rtl/>
        </w:rPr>
        <w:t xml:space="preserve">תא חזי גלגול דאת ו' איהו. דנפיק בשעתה, דעלה אתמר מזל שעה גורם. כמה דאוקמוה מ"מ </w:t>
      </w:r>
      <w:r w:rsidRPr="00007309">
        <w:rPr>
          <w:rFonts w:cs="Arial"/>
          <w:b/>
          <w:bCs/>
          <w:sz w:val="36"/>
          <w:szCs w:val="28"/>
          <w:vertAlign w:val="superscript"/>
          <w:rtl/>
        </w:rPr>
        <w:footnoteReference w:id="8072"/>
      </w:r>
      <w:r w:rsidRPr="00007309">
        <w:rPr>
          <w:rFonts w:cs="Arial"/>
          <w:b/>
          <w:bCs/>
          <w:sz w:val="24"/>
          <w:szCs w:val="24"/>
          <w:rtl/>
        </w:rPr>
        <w:t xml:space="preserve">אין מזל יום גורם </w:t>
      </w:r>
      <w:r w:rsidRPr="00007309">
        <w:rPr>
          <w:rFonts w:cs="Arial"/>
          <w:b/>
          <w:bCs/>
          <w:sz w:val="36"/>
          <w:szCs w:val="28"/>
          <w:vertAlign w:val="superscript"/>
          <w:rtl/>
        </w:rPr>
        <w:footnoteReference w:id="8073"/>
      </w:r>
      <w:r w:rsidRPr="00007309">
        <w:rPr>
          <w:rFonts w:cs="Arial"/>
          <w:b/>
          <w:bCs/>
          <w:sz w:val="24"/>
          <w:szCs w:val="24"/>
          <w:rtl/>
        </w:rPr>
        <w:t xml:space="preserve">אלא מזל שעה גורם. באברהם מה כתיב בה </w:t>
      </w:r>
      <w:r w:rsidRPr="00007309">
        <w:rPr>
          <w:rFonts w:cs="Arial"/>
          <w:b/>
          <w:bCs/>
          <w:sz w:val="36"/>
          <w:szCs w:val="28"/>
          <w:vertAlign w:val="superscript"/>
          <w:rtl/>
        </w:rPr>
        <w:footnoteReference w:id="8074"/>
      </w:r>
      <w:r w:rsidRPr="00007309">
        <w:rPr>
          <w:rFonts w:cs="Arial"/>
          <w:b/>
          <w:bCs/>
          <w:sz w:val="24"/>
          <w:szCs w:val="24"/>
          <w:rtl/>
        </w:rPr>
        <w:t xml:space="preserve">כד אתיא בגלגולא (בראשית יט) וישכם אברהם בבקר </w:t>
      </w:r>
      <w:r w:rsidRPr="00007309">
        <w:rPr>
          <w:rFonts w:cs="Arial"/>
          <w:b/>
          <w:bCs/>
          <w:sz w:val="36"/>
          <w:szCs w:val="28"/>
          <w:vertAlign w:val="superscript"/>
          <w:rtl/>
        </w:rPr>
        <w:footnoteReference w:id="8075"/>
      </w:r>
      <w:r w:rsidRPr="00007309">
        <w:rPr>
          <w:rFonts w:cs="Arial"/>
          <w:b/>
          <w:bCs/>
          <w:sz w:val="24"/>
          <w:szCs w:val="24"/>
          <w:rtl/>
        </w:rPr>
        <w:t xml:space="preserve">אל המקום, </w:t>
      </w:r>
      <w:r w:rsidRPr="00007309">
        <w:rPr>
          <w:rFonts w:cs="Arial"/>
          <w:b/>
          <w:bCs/>
          <w:sz w:val="36"/>
          <w:szCs w:val="28"/>
          <w:vertAlign w:val="superscript"/>
          <w:rtl/>
        </w:rPr>
        <w:footnoteReference w:id="8076"/>
      </w:r>
      <w:r w:rsidRPr="00007309">
        <w:rPr>
          <w:rFonts w:cs="Arial"/>
          <w:b/>
          <w:bCs/>
          <w:sz w:val="24"/>
          <w:szCs w:val="24"/>
          <w:rtl/>
        </w:rPr>
        <w:t xml:space="preserve">בגין לאקדמא לה. יצחק מה כתיב בה בגלגולא (שם כד) ויצא יצחק לשוח בשדה לפנות ערב. נפק לגבה </w:t>
      </w:r>
      <w:r w:rsidRPr="00007309">
        <w:rPr>
          <w:rFonts w:cs="Arial"/>
          <w:b/>
          <w:bCs/>
          <w:sz w:val="36"/>
          <w:szCs w:val="28"/>
          <w:vertAlign w:val="superscript"/>
          <w:rtl/>
        </w:rPr>
        <w:footnoteReference w:id="8077"/>
      </w:r>
      <w:r w:rsidRPr="00007309">
        <w:rPr>
          <w:rFonts w:cs="Arial"/>
          <w:b/>
          <w:bCs/>
          <w:sz w:val="24"/>
          <w:szCs w:val="24"/>
          <w:rtl/>
        </w:rPr>
        <w:t>לחקלא בגין דאתמר בה (ירמיה ט) מי יתנני במדבר מלון</w:t>
      </w:r>
      <w:r w:rsidRPr="00007309">
        <w:rPr>
          <w:rFonts w:cs="Arial"/>
          <w:b/>
          <w:bCs/>
          <w:sz w:val="24"/>
          <w:szCs w:val="24"/>
        </w:rPr>
        <w:t xml:space="preserve"> </w:t>
      </w:r>
      <w:r w:rsidRPr="00007309">
        <w:rPr>
          <w:rFonts w:cs="Arial"/>
          <w:b/>
          <w:bCs/>
          <w:sz w:val="24"/>
          <w:szCs w:val="24"/>
          <w:rtl/>
        </w:rPr>
        <w:t xml:space="preserve">אורחים. חד אַקְדִּים לפשפשא לה בצפרא. ותנינא לפשפשא בה ברמשא. יעקב מה כתיב בה (בראשית כב) ויפגע במקום (בראשית). פגע בה. זכאה איהו מאן דפגע בה, כגון יעקב דעלה אתמר (שם) וילן שם. וההיא לינה </w:t>
      </w:r>
      <w:r w:rsidRPr="00007309">
        <w:rPr>
          <w:rFonts w:cs="Arial"/>
          <w:b/>
          <w:bCs/>
          <w:sz w:val="36"/>
          <w:szCs w:val="28"/>
          <w:vertAlign w:val="superscript"/>
          <w:rtl/>
        </w:rPr>
        <w:footnoteReference w:id="8078"/>
      </w:r>
      <w:r w:rsidRPr="00007309">
        <w:rPr>
          <w:rFonts w:cs="Arial"/>
          <w:b/>
          <w:bCs/>
          <w:sz w:val="24"/>
          <w:szCs w:val="24"/>
          <w:rtl/>
        </w:rPr>
        <w:t xml:space="preserve">איהו לויה. </w:t>
      </w:r>
      <w:r w:rsidRPr="00007309">
        <w:rPr>
          <w:rFonts w:cs="Arial"/>
          <w:b/>
          <w:bCs/>
          <w:sz w:val="36"/>
          <w:szCs w:val="28"/>
          <w:vertAlign w:val="superscript"/>
          <w:rtl/>
        </w:rPr>
        <w:footnoteReference w:id="8079"/>
      </w:r>
      <w:r w:rsidRPr="00007309">
        <w:rPr>
          <w:rFonts w:cs="Arial"/>
          <w:b/>
          <w:bCs/>
          <w:sz w:val="24"/>
          <w:szCs w:val="24"/>
          <w:rtl/>
        </w:rPr>
        <w:t xml:space="preserve">מיד דאיערע בה (שם לב) ויפגעו בו מלאכי אלהים. ועכ"ד דפגע בה, הוה </w:t>
      </w:r>
      <w:r w:rsidRPr="00007309">
        <w:rPr>
          <w:rFonts w:ascii="Cambria" w:hAnsi="Cambria" w:cs="Times New Roman"/>
          <w:b/>
          <w:bCs/>
          <w:i/>
          <w:iCs/>
          <w:color w:val="4F81BD"/>
          <w:sz w:val="24"/>
          <w:szCs w:val="24"/>
          <w:rtl/>
        </w:rPr>
        <w:t>(וילנא ל</w:t>
      </w:r>
      <w:r w:rsidRPr="00007309">
        <w:rPr>
          <w:rFonts w:ascii="Cambria" w:hAnsi="Cambria" w:cs="Times New Roman" w:hint="cs"/>
          <w:b/>
          <w:bCs/>
          <w:i/>
          <w:iCs/>
          <w:color w:val="4F81BD"/>
          <w:sz w:val="24"/>
          <w:szCs w:val="24"/>
          <w:rtl/>
        </w:rPr>
        <w:t>ח</w:t>
      </w:r>
      <w:r w:rsidRPr="00007309">
        <w:rPr>
          <w:rFonts w:ascii="Cambria" w:hAnsi="Cambria" w:cs="Times New Roman"/>
          <w:b/>
          <w:bCs/>
          <w:i/>
          <w:iCs/>
          <w:color w:val="4F81BD"/>
          <w:sz w:val="24"/>
          <w:szCs w:val="24"/>
          <w:rtl/>
        </w:rPr>
        <w:t xml:space="preserve"> ע"ב)</w:t>
      </w:r>
      <w:r w:rsidRPr="00007309">
        <w:rPr>
          <w:rFonts w:cs="Arial"/>
          <w:b/>
          <w:bCs/>
          <w:sz w:val="24"/>
          <w:szCs w:val="24"/>
          <w:rtl/>
        </w:rPr>
        <w:t xml:space="preserve"> נטיר לה </w:t>
      </w:r>
      <w:r w:rsidRPr="00007309">
        <w:rPr>
          <w:rFonts w:cs="Arial"/>
          <w:b/>
          <w:bCs/>
          <w:sz w:val="36"/>
          <w:szCs w:val="28"/>
          <w:vertAlign w:val="superscript"/>
          <w:rtl/>
        </w:rPr>
        <w:footnoteReference w:id="8080"/>
      </w:r>
      <w:r w:rsidRPr="00007309">
        <w:rPr>
          <w:rFonts w:cs="Arial"/>
          <w:b/>
          <w:bCs/>
          <w:sz w:val="24"/>
          <w:szCs w:val="24"/>
          <w:rtl/>
        </w:rPr>
        <w:t xml:space="preserve">ולא אתאחר יעמד </w:t>
      </w:r>
      <w:r w:rsidRPr="00007309">
        <w:rPr>
          <w:rFonts w:cs="Arial"/>
          <w:b/>
          <w:bCs/>
          <w:sz w:val="36"/>
          <w:szCs w:val="28"/>
          <w:vertAlign w:val="superscript"/>
          <w:rtl/>
        </w:rPr>
        <w:footnoteReference w:id="8081"/>
      </w:r>
      <w:r w:rsidRPr="00007309">
        <w:rPr>
          <w:rFonts w:cs="Arial"/>
          <w:b/>
          <w:bCs/>
          <w:sz w:val="24"/>
          <w:szCs w:val="24"/>
          <w:rtl/>
        </w:rPr>
        <w:t xml:space="preserve">עד דאחד בעלה. </w:t>
      </w:r>
      <w:r w:rsidRPr="00007309">
        <w:rPr>
          <w:rFonts w:cs="Arial"/>
          <w:b/>
          <w:bCs/>
          <w:sz w:val="36"/>
          <w:szCs w:val="28"/>
          <w:vertAlign w:val="superscript"/>
          <w:rtl/>
        </w:rPr>
        <w:footnoteReference w:id="8082"/>
      </w:r>
      <w:r w:rsidRPr="00007309">
        <w:rPr>
          <w:rFonts w:cs="Arial"/>
          <w:b/>
          <w:bCs/>
          <w:sz w:val="24"/>
          <w:szCs w:val="24"/>
          <w:rtl/>
        </w:rPr>
        <w:t xml:space="preserve">ודא איהו (שם כה) וילן שם כי בא השמש. </w:t>
      </w:r>
      <w:r w:rsidRPr="00007309">
        <w:rPr>
          <w:rFonts w:cs="Arial"/>
          <w:b/>
          <w:bCs/>
          <w:sz w:val="36"/>
          <w:szCs w:val="28"/>
          <w:vertAlign w:val="superscript"/>
          <w:rtl/>
        </w:rPr>
        <w:footnoteReference w:id="8083"/>
      </w:r>
      <w:r w:rsidRPr="00007309">
        <w:rPr>
          <w:rFonts w:cs="Arial"/>
          <w:b/>
          <w:bCs/>
          <w:sz w:val="24"/>
          <w:szCs w:val="24"/>
          <w:rtl/>
        </w:rPr>
        <w:t xml:space="preserve">דבגינה (שם לב) ויזרח לו השמש דאיהו משה דאתא בה בגלגולא רוחה דמשה. ובגין דא יעקב ומשה הוו קימי בדרגא חדא בעמודא דאמצעיתא. </w:t>
      </w:r>
      <w:r w:rsidRPr="00007309">
        <w:rPr>
          <w:rFonts w:cs="Arial"/>
          <w:b/>
          <w:bCs/>
          <w:sz w:val="36"/>
          <w:szCs w:val="28"/>
          <w:vertAlign w:val="superscript"/>
          <w:rtl/>
        </w:rPr>
        <w:footnoteReference w:id="8084"/>
      </w:r>
      <w:r w:rsidRPr="00007309">
        <w:rPr>
          <w:rFonts w:cs="Arial"/>
          <w:b/>
          <w:bCs/>
          <w:sz w:val="24"/>
          <w:szCs w:val="24"/>
          <w:rtl/>
        </w:rPr>
        <w:t>אבל דא בגופא ודא נשמתא לה</w:t>
      </w:r>
      <w:r w:rsidRPr="00007309">
        <w:rPr>
          <w:rFonts w:cs="Arial" w:hint="cs"/>
          <w:b/>
          <w:bCs/>
          <w:sz w:val="24"/>
          <w:szCs w:val="24"/>
          <w:rtl/>
        </w:rPr>
        <w:t>.</w:t>
      </w:r>
    </w:p>
    <w:p w:rsidR="00007309" w:rsidRPr="00007309" w:rsidRDefault="00007309" w:rsidP="00007309">
      <w:pPr>
        <w:keepNext/>
        <w:outlineLvl w:val="1"/>
        <w:rPr>
          <w:rFonts w:ascii="Cambria" w:hAnsi="Cambria" w:cs="Times New Roman"/>
          <w:b/>
          <w:bCs/>
          <w:i/>
          <w:iCs/>
          <w:sz w:val="28"/>
          <w:szCs w:val="28"/>
          <w:rtl/>
        </w:rPr>
      </w:pPr>
      <w:r w:rsidRPr="00007309">
        <w:rPr>
          <w:rFonts w:ascii="Cambria" w:hAnsi="Cambria" w:cs="Times New Roman"/>
          <w:b/>
          <w:bCs/>
          <w:i/>
          <w:iCs/>
          <w:sz w:val="28"/>
          <w:szCs w:val="28"/>
          <w:rtl/>
        </w:rPr>
        <w:t>[</w:t>
      </w:r>
      <w:r w:rsidRPr="00007309">
        <w:rPr>
          <w:rFonts w:ascii="Cambria" w:hAnsi="Cambria" w:cs="Times New Roman" w:hint="cs"/>
          <w:b/>
          <w:bCs/>
          <w:i/>
          <w:iCs/>
          <w:sz w:val="28"/>
          <w:szCs w:val="28"/>
          <w:rtl/>
        </w:rPr>
        <w:t>דף</w:t>
      </w:r>
      <w:r w:rsidRPr="00007309">
        <w:rPr>
          <w:rFonts w:ascii="Cambria" w:hAnsi="Cambria" w:cs="Times New Roman"/>
          <w:b/>
          <w:bCs/>
          <w:i/>
          <w:iCs/>
          <w:sz w:val="28"/>
          <w:szCs w:val="28"/>
          <w:rtl/>
        </w:rPr>
        <w:t xml:space="preserve"> </w:t>
      </w:r>
      <w:r w:rsidRPr="00007309">
        <w:rPr>
          <w:rFonts w:ascii="Cambria" w:hAnsi="Cambria" w:cs="Times New Roman" w:hint="cs"/>
          <w:b/>
          <w:bCs/>
          <w:i/>
          <w:iCs/>
          <w:sz w:val="28"/>
          <w:szCs w:val="28"/>
          <w:rtl/>
        </w:rPr>
        <w:t>פה</w:t>
      </w:r>
      <w:r w:rsidRPr="00007309">
        <w:rPr>
          <w:rFonts w:ascii="Cambria" w:hAnsi="Cambria" w:cs="Times New Roman"/>
          <w:b/>
          <w:bCs/>
          <w:i/>
          <w:iCs/>
          <w:sz w:val="28"/>
          <w:szCs w:val="28"/>
          <w:rtl/>
        </w:rPr>
        <w:t xml:space="preserve"> ע"</w:t>
      </w:r>
      <w:r w:rsidRPr="00007309">
        <w:rPr>
          <w:rFonts w:ascii="Cambria" w:hAnsi="Cambria" w:cs="Times New Roman" w:hint="cs"/>
          <w:b/>
          <w:bCs/>
          <w:i/>
          <w:iCs/>
          <w:sz w:val="28"/>
          <w:szCs w:val="28"/>
          <w:rtl/>
        </w:rPr>
        <w:t>א</w:t>
      </w:r>
      <w:r w:rsidRPr="00007309">
        <w:rPr>
          <w:rFonts w:ascii="Cambria" w:hAnsi="Cambria" w:cs="Times New Roman"/>
          <w:b/>
          <w:bCs/>
          <w:i/>
          <w:iCs/>
          <w:sz w:val="28"/>
          <w:szCs w:val="28"/>
          <w:rtl/>
        </w:rPr>
        <w:t>]</w:t>
      </w:r>
    </w:p>
    <w:p w:rsidR="00007309" w:rsidRPr="00007309" w:rsidRDefault="00007309" w:rsidP="00007309">
      <w:pPr>
        <w:jc w:val="both"/>
        <w:rPr>
          <w:rFonts w:cs="Arial"/>
          <w:b/>
          <w:bCs/>
          <w:sz w:val="24"/>
          <w:szCs w:val="24"/>
        </w:rPr>
      </w:pPr>
      <w:r w:rsidRPr="00007309">
        <w:rPr>
          <w:rFonts w:cs="Arial"/>
          <w:b/>
          <w:bCs/>
          <w:sz w:val="24"/>
          <w:szCs w:val="24"/>
          <w:rtl/>
        </w:rPr>
        <w:t>ובגין דא לית שעתא קימא לכל בר נש</w:t>
      </w:r>
      <w:r w:rsidRPr="00007309">
        <w:rPr>
          <w:rFonts w:cs="Arial"/>
          <w:b/>
          <w:bCs/>
          <w:sz w:val="24"/>
          <w:szCs w:val="24"/>
        </w:rPr>
        <w:t xml:space="preserve"> </w:t>
      </w:r>
      <w:r w:rsidRPr="00007309">
        <w:rPr>
          <w:rFonts w:cs="Arial"/>
          <w:b/>
          <w:bCs/>
          <w:sz w:val="24"/>
          <w:szCs w:val="24"/>
          <w:rtl/>
        </w:rPr>
        <w:t xml:space="preserve">דאיהי שכינתא בלא בעלה. ובגין דא </w:t>
      </w:r>
      <w:r w:rsidRPr="00007309">
        <w:rPr>
          <w:rFonts w:cs="Arial"/>
          <w:b/>
          <w:bCs/>
          <w:sz w:val="36"/>
          <w:szCs w:val="28"/>
          <w:vertAlign w:val="superscript"/>
          <w:rtl/>
        </w:rPr>
        <w:footnoteReference w:id="8085"/>
      </w:r>
      <w:r w:rsidRPr="00007309">
        <w:rPr>
          <w:rFonts w:cs="Arial"/>
          <w:b/>
          <w:bCs/>
          <w:sz w:val="24"/>
          <w:szCs w:val="24"/>
          <w:rtl/>
        </w:rPr>
        <w:t>כד דחיקת שעתא לרבי</w:t>
      </w:r>
      <w:r w:rsidRPr="00007309">
        <w:rPr>
          <w:rFonts w:cs="Arial"/>
          <w:b/>
          <w:bCs/>
          <w:sz w:val="24"/>
          <w:szCs w:val="28"/>
        </w:rPr>
        <w:t xml:space="preserve"> </w:t>
      </w:r>
      <w:r w:rsidRPr="00007309">
        <w:rPr>
          <w:rFonts w:cs="Arial"/>
          <w:b/>
          <w:bCs/>
          <w:sz w:val="24"/>
          <w:szCs w:val="24"/>
          <w:rtl/>
        </w:rPr>
        <w:t xml:space="preserve">פדת ואמר אי בעית דאחרבה לעלמא, ואפשר דנפלת </w:t>
      </w:r>
      <w:r w:rsidRPr="00007309">
        <w:rPr>
          <w:rFonts w:cs="Arial"/>
          <w:b/>
          <w:bCs/>
          <w:sz w:val="36"/>
          <w:szCs w:val="28"/>
          <w:vertAlign w:val="superscript"/>
          <w:rtl/>
        </w:rPr>
        <w:footnoteReference w:id="8086"/>
      </w:r>
      <w:r w:rsidRPr="00007309">
        <w:rPr>
          <w:rFonts w:cs="Arial"/>
          <w:b/>
          <w:bCs/>
          <w:sz w:val="24"/>
          <w:szCs w:val="24"/>
          <w:rtl/>
        </w:rPr>
        <w:t xml:space="preserve">בשעתא דמזוני ואולי דנפלת. </w:t>
      </w:r>
      <w:r w:rsidRPr="00007309">
        <w:rPr>
          <w:rFonts w:cs="Arial"/>
          <w:b/>
          <w:bCs/>
          <w:sz w:val="36"/>
          <w:szCs w:val="28"/>
          <w:vertAlign w:val="superscript"/>
          <w:rtl/>
        </w:rPr>
        <w:footnoteReference w:id="8087"/>
      </w:r>
      <w:r w:rsidRPr="00007309">
        <w:rPr>
          <w:rFonts w:cs="Arial"/>
          <w:b/>
          <w:bCs/>
          <w:sz w:val="24"/>
          <w:szCs w:val="24"/>
          <w:rtl/>
        </w:rPr>
        <w:t xml:space="preserve">מאי ואולי </w:t>
      </w:r>
      <w:r w:rsidRPr="00007309">
        <w:rPr>
          <w:rFonts w:cs="Arial"/>
          <w:b/>
          <w:bCs/>
          <w:sz w:val="36"/>
          <w:szCs w:val="28"/>
          <w:vertAlign w:val="superscript"/>
        </w:rPr>
        <w:footnoteReference w:id="8088"/>
      </w:r>
      <w:r w:rsidRPr="00007309">
        <w:rPr>
          <w:rFonts w:cs="Arial"/>
          <w:b/>
          <w:bCs/>
          <w:sz w:val="24"/>
          <w:szCs w:val="24"/>
          <w:rtl/>
        </w:rPr>
        <w:t xml:space="preserve">אלא ואולי אי בעי קדשא בריך הוא </w:t>
      </w:r>
      <w:r w:rsidRPr="00007309">
        <w:rPr>
          <w:rFonts w:ascii="Cambria" w:hAnsi="Cambria" w:cs="Times New Roman"/>
          <w:b/>
          <w:bCs/>
          <w:i/>
          <w:iCs/>
          <w:color w:val="4F81BD"/>
          <w:sz w:val="24"/>
          <w:szCs w:val="24"/>
          <w:rtl/>
        </w:rPr>
        <w:t>(</w:t>
      </w:r>
      <w:r w:rsidRPr="00007309">
        <w:rPr>
          <w:rFonts w:ascii="Cambria" w:hAnsi="Cambria" w:cs="Times New Roman" w:hint="cs"/>
          <w:b/>
          <w:bCs/>
          <w:i/>
          <w:iCs/>
          <w:color w:val="4F81BD"/>
          <w:sz w:val="24"/>
          <w:szCs w:val="24"/>
          <w:rtl/>
        </w:rPr>
        <w:t>פה</w:t>
      </w:r>
      <w:r w:rsidRPr="00007309">
        <w:rPr>
          <w:rFonts w:ascii="Cambria" w:hAnsi="Cambria" w:cs="Times New Roman"/>
          <w:b/>
          <w:bCs/>
          <w:i/>
          <w:iCs/>
          <w:color w:val="4F81BD"/>
          <w:sz w:val="24"/>
          <w:szCs w:val="24"/>
          <w:rtl/>
        </w:rPr>
        <w:t xml:space="preserve"> ע"</w:t>
      </w:r>
      <w:r w:rsidRPr="00007309">
        <w:rPr>
          <w:rFonts w:ascii="Cambria" w:hAnsi="Cambria" w:cs="Times New Roman" w:hint="cs"/>
          <w:b/>
          <w:bCs/>
          <w:i/>
          <w:iCs/>
          <w:color w:val="4F81BD"/>
          <w:sz w:val="24"/>
          <w:szCs w:val="24"/>
          <w:rtl/>
        </w:rPr>
        <w:t>א</w:t>
      </w:r>
      <w:r w:rsidRPr="00007309">
        <w:rPr>
          <w:rFonts w:ascii="Cambria" w:hAnsi="Cambria" w:cs="Times New Roman"/>
          <w:b/>
          <w:bCs/>
          <w:i/>
          <w:iCs/>
          <w:color w:val="4F81BD"/>
          <w:sz w:val="24"/>
          <w:szCs w:val="24"/>
          <w:rtl/>
        </w:rPr>
        <w:t>)</w:t>
      </w:r>
      <w:r w:rsidRPr="00007309">
        <w:rPr>
          <w:rFonts w:cs="Arial"/>
          <w:b/>
          <w:bCs/>
          <w:sz w:val="24"/>
          <w:szCs w:val="24"/>
          <w:rtl/>
        </w:rPr>
        <w:t xml:space="preserve"> דנפלת בשעתא דמזוני. דהא אתת</w:t>
      </w:r>
      <w:r w:rsidRPr="00007309">
        <w:rPr>
          <w:rFonts w:cs="Arial" w:hint="cs"/>
          <w:b/>
          <w:bCs/>
          <w:sz w:val="24"/>
          <w:szCs w:val="24"/>
          <w:rtl/>
        </w:rPr>
        <w:t>י</w:t>
      </w:r>
      <w:r w:rsidRPr="00007309">
        <w:rPr>
          <w:rFonts w:cs="Arial"/>
          <w:b/>
          <w:bCs/>
          <w:sz w:val="24"/>
          <w:szCs w:val="24"/>
          <w:rtl/>
        </w:rPr>
        <w:t xml:space="preserve">ה עביד, ואולי אי בעי בעלה דהוי קימא מה דאיהי עבידת בלא רשותא דבעלה. וכגונא דא לית שעתא קימא דאיהי שכינתא חההוא בר נש, אלא אם ייתי בגלגולא בההוא בר נש בעלה דההיא שעתא. ורזא דמלה </w:t>
      </w:r>
      <w:r w:rsidRPr="00007309">
        <w:rPr>
          <w:rFonts w:cs="Arial"/>
          <w:b/>
          <w:bCs/>
          <w:sz w:val="36"/>
          <w:szCs w:val="28"/>
          <w:vertAlign w:val="superscript"/>
          <w:rtl/>
        </w:rPr>
        <w:footnoteReference w:id="8089"/>
      </w:r>
      <w:r w:rsidRPr="00007309">
        <w:rPr>
          <w:rFonts w:cs="Arial"/>
          <w:b/>
          <w:bCs/>
          <w:sz w:val="24"/>
          <w:szCs w:val="24"/>
          <w:rtl/>
        </w:rPr>
        <w:t xml:space="preserve">בזאת יבא אהרן אל הקדש. ובלא בעלה אתמר (ויקרא טז) ואל יבא </w:t>
      </w:r>
      <w:r w:rsidRPr="00007309">
        <w:rPr>
          <w:rFonts w:cs="Arial"/>
          <w:b/>
          <w:bCs/>
          <w:sz w:val="36"/>
          <w:szCs w:val="28"/>
          <w:vertAlign w:val="superscript"/>
          <w:rtl/>
        </w:rPr>
        <w:footnoteReference w:id="8090"/>
      </w:r>
      <w:r w:rsidRPr="00007309">
        <w:rPr>
          <w:rFonts w:cs="Arial"/>
          <w:b/>
          <w:bCs/>
          <w:sz w:val="24"/>
          <w:szCs w:val="24"/>
          <w:rtl/>
        </w:rPr>
        <w:t xml:space="preserve">בכל עת אל הקדש, (שם) והזר הקרב יומת. ולית מיתה אלא עניותא. והאי זר </w:t>
      </w:r>
      <w:r w:rsidRPr="00007309">
        <w:rPr>
          <w:rFonts w:cs="Arial"/>
          <w:b/>
          <w:bCs/>
          <w:sz w:val="36"/>
          <w:szCs w:val="28"/>
          <w:vertAlign w:val="superscript"/>
          <w:rtl/>
        </w:rPr>
        <w:footnoteReference w:id="8091"/>
      </w:r>
      <w:r w:rsidRPr="00007309">
        <w:rPr>
          <w:rFonts w:cs="Arial"/>
          <w:b/>
          <w:bCs/>
          <w:sz w:val="24"/>
          <w:szCs w:val="24"/>
          <w:rtl/>
        </w:rPr>
        <w:t xml:space="preserve">לא בזר אחרא </w:t>
      </w:r>
      <w:r w:rsidRPr="00007309">
        <w:rPr>
          <w:rFonts w:cs="Arial"/>
          <w:b/>
          <w:bCs/>
          <w:sz w:val="36"/>
          <w:szCs w:val="28"/>
          <w:vertAlign w:val="superscript"/>
          <w:rtl/>
        </w:rPr>
        <w:footnoteReference w:id="8092"/>
      </w:r>
      <w:r w:rsidRPr="00007309">
        <w:rPr>
          <w:rFonts w:cs="Arial"/>
          <w:b/>
          <w:bCs/>
          <w:sz w:val="24"/>
          <w:szCs w:val="24"/>
          <w:rtl/>
        </w:rPr>
        <w:t>דמום זר</w:t>
      </w:r>
      <w:r w:rsidRPr="00007309">
        <w:rPr>
          <w:rFonts w:cs="Arial"/>
          <w:b/>
          <w:bCs/>
          <w:sz w:val="24"/>
          <w:szCs w:val="24"/>
        </w:rPr>
        <w:t xml:space="preserve">, </w:t>
      </w:r>
      <w:r w:rsidRPr="00007309">
        <w:rPr>
          <w:rFonts w:cs="Arial"/>
          <w:b/>
          <w:bCs/>
          <w:sz w:val="24"/>
          <w:szCs w:val="24"/>
          <w:rtl/>
        </w:rPr>
        <w:t xml:space="preserve">אלא זר מבעלה. זכאה מאן דאערא </w:t>
      </w:r>
      <w:r w:rsidRPr="00007309">
        <w:rPr>
          <w:rFonts w:cs="Arial"/>
          <w:b/>
          <w:bCs/>
          <w:sz w:val="36"/>
          <w:szCs w:val="28"/>
          <w:vertAlign w:val="superscript"/>
          <w:rtl/>
        </w:rPr>
        <w:footnoteReference w:id="8093"/>
      </w:r>
      <w:r w:rsidRPr="00007309">
        <w:rPr>
          <w:rFonts w:cs="Arial"/>
          <w:b/>
          <w:bCs/>
          <w:sz w:val="24"/>
          <w:szCs w:val="24"/>
          <w:rtl/>
        </w:rPr>
        <w:t xml:space="preserve">בשעתא דאתברי מששת ימי בראשית. דכל נשמתא אית לה עת וזמן בגלגולא. כמא דאמר קהלת (קהלת ג) לכל זמן ועת לכל חפץ תחת השמים. ודא שכינתא תתאה דאיהי זמן ועדן לכל ספירה וספירה ולכל גלגולא וגלגולא. </w:t>
      </w:r>
      <w:r w:rsidRPr="00007309">
        <w:rPr>
          <w:rFonts w:cs="Arial"/>
          <w:b/>
          <w:bCs/>
          <w:sz w:val="36"/>
          <w:szCs w:val="28"/>
          <w:vertAlign w:val="superscript"/>
          <w:rtl/>
        </w:rPr>
        <w:footnoteReference w:id="8094"/>
      </w:r>
      <w:r w:rsidRPr="00007309">
        <w:rPr>
          <w:rFonts w:cs="Arial"/>
          <w:b/>
          <w:bCs/>
          <w:sz w:val="24"/>
          <w:szCs w:val="24"/>
          <w:rtl/>
        </w:rPr>
        <w:t xml:space="preserve">ואיהי עדן ועדנין ופלג עדן דכל עדנין שפי מאי </w:t>
      </w:r>
      <w:r w:rsidRPr="00007309">
        <w:rPr>
          <w:rFonts w:cs="Arial"/>
          <w:b/>
          <w:bCs/>
          <w:sz w:val="36"/>
          <w:szCs w:val="28"/>
          <w:vertAlign w:val="superscript"/>
          <w:rtl/>
        </w:rPr>
        <w:footnoteReference w:id="8095"/>
      </w:r>
      <w:r w:rsidRPr="00007309">
        <w:rPr>
          <w:rFonts w:cs="Arial"/>
          <w:b/>
          <w:bCs/>
          <w:sz w:val="24"/>
          <w:szCs w:val="24"/>
          <w:rtl/>
        </w:rPr>
        <w:t xml:space="preserve">ופלג עדן, אלא כגון פלג המנחה בשמאלא אתפלגת לדינא, ובימינא לרחמי, בעמודא דאמצעיתא אשתלימת. </w:t>
      </w:r>
      <w:r w:rsidRPr="00007309">
        <w:rPr>
          <w:rFonts w:cs="Arial"/>
          <w:b/>
          <w:bCs/>
          <w:sz w:val="36"/>
          <w:szCs w:val="28"/>
          <w:vertAlign w:val="superscript"/>
          <w:rtl/>
        </w:rPr>
        <w:footnoteReference w:id="8096"/>
      </w:r>
      <w:r w:rsidRPr="00007309">
        <w:rPr>
          <w:rFonts w:cs="Arial"/>
          <w:b/>
          <w:bCs/>
          <w:sz w:val="24"/>
          <w:szCs w:val="24"/>
          <w:rtl/>
        </w:rPr>
        <w:t xml:space="preserve">וכד אתפלגת בימינא ושמאלא אתמר בה לאסתר (אסתר ה) מה בקשתך </w:t>
      </w:r>
      <w:r w:rsidRPr="00007309">
        <w:rPr>
          <w:rFonts w:cs="Arial"/>
          <w:b/>
          <w:bCs/>
          <w:sz w:val="36"/>
          <w:szCs w:val="28"/>
          <w:vertAlign w:val="superscript"/>
          <w:rtl/>
        </w:rPr>
        <w:footnoteReference w:id="8097"/>
      </w:r>
      <w:r w:rsidRPr="00007309">
        <w:rPr>
          <w:rFonts w:cs="Arial"/>
          <w:b/>
          <w:bCs/>
          <w:sz w:val="24"/>
          <w:szCs w:val="24"/>
          <w:rtl/>
        </w:rPr>
        <w:t xml:space="preserve">עד חצי המלכות ותעש. </w:t>
      </w:r>
      <w:r w:rsidRPr="00007309">
        <w:rPr>
          <w:rFonts w:cs="Arial"/>
          <w:b/>
          <w:bCs/>
          <w:sz w:val="36"/>
          <w:szCs w:val="28"/>
          <w:vertAlign w:val="superscript"/>
          <w:rtl/>
        </w:rPr>
        <w:footnoteReference w:id="8098"/>
      </w:r>
      <w:r w:rsidRPr="00007309">
        <w:rPr>
          <w:rFonts w:cs="Arial"/>
          <w:b/>
          <w:bCs/>
          <w:sz w:val="24"/>
          <w:szCs w:val="24"/>
          <w:rtl/>
        </w:rPr>
        <w:t xml:space="preserve">ואיהי כח יהו'ה פלגו דילה יד ימין, ופלגו דילה יד שמאל. ולקבל תרויהו אדכיר קהלת </w:t>
      </w:r>
      <w:r w:rsidRPr="00007309">
        <w:rPr>
          <w:rFonts w:cs="Arial"/>
          <w:b/>
          <w:bCs/>
          <w:sz w:val="36"/>
          <w:szCs w:val="28"/>
          <w:vertAlign w:val="superscript"/>
          <w:rtl/>
        </w:rPr>
        <w:footnoteReference w:id="8099"/>
      </w:r>
      <w:r w:rsidRPr="00007309">
        <w:rPr>
          <w:rFonts w:cs="Arial"/>
          <w:b/>
          <w:bCs/>
          <w:sz w:val="24"/>
          <w:szCs w:val="24"/>
          <w:rtl/>
        </w:rPr>
        <w:t>כ"ח זמנין עת הדא הוא דכתיב (קהלת ג) עת ללדת וג</w:t>
      </w:r>
      <w:r w:rsidRPr="00007309">
        <w:rPr>
          <w:rFonts w:cs="Arial" w:hint="cs"/>
          <w:b/>
          <w:bCs/>
          <w:sz w:val="24"/>
          <w:szCs w:val="24"/>
          <w:rtl/>
        </w:rPr>
        <w:t>ו':</w:t>
      </w:r>
    </w:p>
    <w:p w:rsidR="00007309" w:rsidRPr="00007309" w:rsidRDefault="00007309" w:rsidP="00007309">
      <w:pPr>
        <w:keepNext/>
        <w:spacing w:before="240" w:after="60"/>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[וילנא לט ע"א]</w:t>
      </w:r>
    </w:p>
    <w:p w:rsidR="00007309" w:rsidRPr="00007309" w:rsidRDefault="00007309" w:rsidP="00007309">
      <w:pPr>
        <w:jc w:val="both"/>
        <w:rPr>
          <w:rFonts w:cs="Arial"/>
          <w:b/>
          <w:bCs/>
          <w:sz w:val="24"/>
          <w:szCs w:val="24"/>
          <w:rtl/>
        </w:rPr>
      </w:pPr>
      <w:r w:rsidRPr="00007309">
        <w:rPr>
          <w:rFonts w:cs="Arial" w:hint="cs"/>
          <w:sz w:val="24"/>
          <w:szCs w:val="24"/>
          <w:rtl/>
        </w:rPr>
        <w:t xml:space="preserve"> [לדף ק"ו ע"ב אחר ודא שינוי מקום] </w:t>
      </w:r>
      <w:r w:rsidRPr="00007309">
        <w:rPr>
          <w:rFonts w:cs="Arial"/>
          <w:b/>
          <w:bCs/>
          <w:sz w:val="36"/>
          <w:szCs w:val="28"/>
          <w:vertAlign w:val="superscript"/>
          <w:rtl/>
        </w:rPr>
        <w:footnoteReference w:id="8100"/>
      </w:r>
      <w:r w:rsidRPr="00007309">
        <w:rPr>
          <w:rFonts w:cs="Arial"/>
          <w:b/>
          <w:bCs/>
          <w:sz w:val="24"/>
          <w:szCs w:val="24"/>
          <w:rtl/>
        </w:rPr>
        <w:t xml:space="preserve">חָזָא דְּלָא אַצְלַח, וְנָתַץ אֶת הַבַּיִת אֶת אֲבָנָיו וְאֶת עֵצָיו </w:t>
      </w:r>
      <w:r w:rsidRPr="00007309">
        <w:rPr>
          <w:rFonts w:cs="Arial"/>
          <w:b/>
          <w:bCs/>
          <w:sz w:val="36"/>
          <w:szCs w:val="28"/>
          <w:vertAlign w:val="superscript"/>
          <w:rtl/>
        </w:rPr>
        <w:footnoteReference w:id="8101"/>
      </w:r>
      <w:r w:rsidRPr="00007309">
        <w:rPr>
          <w:rFonts w:cs="Arial"/>
          <w:b/>
          <w:bCs/>
          <w:sz w:val="24"/>
          <w:szCs w:val="24"/>
          <w:rtl/>
        </w:rPr>
        <w:t>וְאַרְכִּיב לֵהּ בְּגוּפָא אָחֳרָא, כ</w:t>
      </w:r>
      <w:r w:rsidRPr="00007309">
        <w:rPr>
          <w:rFonts w:cs="Arial"/>
          <w:b/>
          <w:bCs/>
          <w:sz w:val="36"/>
          <w:szCs w:val="28"/>
          <w:vertAlign w:val="superscript"/>
          <w:rtl/>
        </w:rPr>
        <w:footnoteReference w:id="8102"/>
      </w:r>
      <w:r w:rsidRPr="00007309">
        <w:rPr>
          <w:rFonts w:cs="Arial"/>
          <w:b/>
          <w:bCs/>
          <w:sz w:val="24"/>
          <w:szCs w:val="24"/>
          <w:rtl/>
        </w:rPr>
        <w:t xml:space="preserve">ְּמָאן דְּאַרְכִּיב אִילָן מִמִּין תַּפּוּחִים בְּמִין חֲבוּשִׁים, וְתַמָּן אִשְׁתַּנֵּי אִילָנָא וְאִיבָא דִּילֵהּ. וְדָא אִיהוּ שִׁנּוּי הַשֵּׁם. חָזָא דְּלָא אַצְלַח אַעְקָר לֵהּ מִתַּמָּן, </w:t>
      </w:r>
      <w:r w:rsidRPr="00007309">
        <w:rPr>
          <w:rFonts w:cs="Arial"/>
          <w:b/>
          <w:bCs/>
          <w:sz w:val="36"/>
          <w:szCs w:val="28"/>
          <w:vertAlign w:val="superscript"/>
          <w:rtl/>
        </w:rPr>
        <w:footnoteReference w:id="8103"/>
      </w:r>
      <w:r w:rsidRPr="00007309">
        <w:rPr>
          <w:rFonts w:cs="Arial"/>
          <w:b/>
          <w:bCs/>
          <w:sz w:val="24"/>
          <w:szCs w:val="24"/>
          <w:rtl/>
        </w:rPr>
        <w:t xml:space="preserve">וְשָׁנֵי לֵהּ בְּכָל עוֹבָדוֹי מִכָּל מַה דַּהֲוָה בְּקַדְמִיתָא </w:t>
      </w:r>
      <w:r w:rsidRPr="00007309">
        <w:rPr>
          <w:rFonts w:ascii="Cambria" w:hAnsi="Cambria" w:cs="Times New Roman"/>
          <w:b/>
          <w:bCs/>
          <w:i/>
          <w:iCs/>
          <w:color w:val="4F81BD"/>
          <w:sz w:val="24"/>
          <w:szCs w:val="24"/>
          <w:rtl/>
        </w:rPr>
        <w:t>(וילנא ל</w:t>
      </w:r>
      <w:r w:rsidRPr="00007309">
        <w:rPr>
          <w:rFonts w:ascii="Cambria" w:hAnsi="Cambria" w:cs="Times New Roman" w:hint="cs"/>
          <w:b/>
          <w:bCs/>
          <w:i/>
          <w:iCs/>
          <w:color w:val="4F81BD"/>
          <w:sz w:val="24"/>
          <w:szCs w:val="24"/>
          <w:rtl/>
        </w:rPr>
        <w:t>ט</w:t>
      </w:r>
      <w:r w:rsidRPr="00007309">
        <w:rPr>
          <w:rFonts w:ascii="Cambria" w:hAnsi="Cambria" w:cs="Times New Roman"/>
          <w:b/>
          <w:bCs/>
          <w:i/>
          <w:iCs/>
          <w:color w:val="4F81BD"/>
          <w:sz w:val="24"/>
          <w:szCs w:val="24"/>
          <w:rtl/>
        </w:rPr>
        <w:t xml:space="preserve"> ע"</w:t>
      </w:r>
      <w:r w:rsidRPr="00007309">
        <w:rPr>
          <w:rFonts w:ascii="Cambria" w:hAnsi="Cambria" w:cs="Times New Roman" w:hint="cs"/>
          <w:b/>
          <w:bCs/>
          <w:i/>
          <w:iCs/>
          <w:color w:val="4F81BD"/>
          <w:sz w:val="24"/>
          <w:szCs w:val="24"/>
          <w:rtl/>
        </w:rPr>
        <w:t>א</w:t>
      </w:r>
      <w:r w:rsidRPr="00007309">
        <w:rPr>
          <w:rFonts w:ascii="Cambria" w:hAnsi="Cambria" w:cs="Times New Roman"/>
          <w:b/>
          <w:bCs/>
          <w:i/>
          <w:iCs/>
          <w:color w:val="4F81BD"/>
          <w:sz w:val="24"/>
          <w:szCs w:val="24"/>
          <w:rtl/>
        </w:rPr>
        <w:t>)</w:t>
      </w:r>
      <w:r w:rsidRPr="00007309">
        <w:rPr>
          <w:rFonts w:cs="Arial"/>
          <w:b/>
          <w:bCs/>
          <w:sz w:val="24"/>
          <w:szCs w:val="24"/>
          <w:rtl/>
        </w:rPr>
        <w:t xml:space="preserve"> וּמִכָּל צִיּוּרִין דִּילֵהּ. </w:t>
      </w:r>
      <w:r w:rsidRPr="00007309">
        <w:rPr>
          <w:rFonts w:cs="Arial"/>
          <w:b/>
          <w:bCs/>
          <w:sz w:val="36"/>
          <w:szCs w:val="28"/>
          <w:vertAlign w:val="superscript"/>
          <w:rtl/>
        </w:rPr>
        <w:footnoteReference w:id="8104"/>
      </w:r>
      <w:r w:rsidRPr="00007309">
        <w:rPr>
          <w:rFonts w:cs="Arial"/>
          <w:b/>
          <w:bCs/>
          <w:sz w:val="24"/>
          <w:szCs w:val="24"/>
          <w:rtl/>
        </w:rPr>
        <w:t xml:space="preserve">וְרָזָא דְּמִלָּה (איוב יד) מְשַׁנֶּה פָּנָיו וַתִּשְׁלָחֵהוּ. </w:t>
      </w:r>
      <w:r w:rsidRPr="00007309">
        <w:rPr>
          <w:rFonts w:cs="Arial"/>
          <w:b/>
          <w:bCs/>
          <w:sz w:val="36"/>
          <w:szCs w:val="28"/>
          <w:vertAlign w:val="superscript"/>
          <w:rtl/>
        </w:rPr>
        <w:footnoteReference w:id="8105"/>
      </w:r>
      <w:r w:rsidRPr="00007309">
        <w:rPr>
          <w:rFonts w:cs="Arial"/>
          <w:b/>
          <w:bCs/>
          <w:sz w:val="24"/>
          <w:szCs w:val="24"/>
          <w:rtl/>
        </w:rPr>
        <w:t xml:space="preserve">הֵן כָּל אֵלֶּה יִפְעַל אֵל פַּעֲמַיִם שָׁלֹשׁ עִם גָּבֶר. </w:t>
      </w:r>
      <w:r w:rsidRPr="00007309">
        <w:rPr>
          <w:rFonts w:cs="Arial"/>
          <w:b/>
          <w:bCs/>
          <w:sz w:val="36"/>
          <w:szCs w:val="28"/>
          <w:vertAlign w:val="superscript"/>
          <w:rtl/>
        </w:rPr>
        <w:footnoteReference w:id="8106"/>
      </w:r>
      <w:r w:rsidRPr="00007309">
        <w:rPr>
          <w:rFonts w:cs="Arial"/>
          <w:b/>
          <w:bCs/>
          <w:sz w:val="24"/>
          <w:szCs w:val="24"/>
          <w:rtl/>
        </w:rPr>
        <w:t xml:space="preserve">קַרְקַע דְּנָטַע לֵהּ תַּמָּן וְאַצְלַח </w:t>
      </w:r>
      <w:r w:rsidRPr="00007309">
        <w:rPr>
          <w:rFonts w:cs="Arial"/>
          <w:b/>
          <w:bCs/>
          <w:sz w:val="36"/>
          <w:szCs w:val="28"/>
          <w:vertAlign w:val="superscript"/>
          <w:rtl/>
        </w:rPr>
        <w:footnoteReference w:id="8107"/>
      </w:r>
      <w:r w:rsidRPr="00007309">
        <w:rPr>
          <w:rFonts w:cs="Arial"/>
          <w:b/>
          <w:bCs/>
          <w:sz w:val="24"/>
          <w:szCs w:val="24"/>
          <w:rtl/>
        </w:rPr>
        <w:t xml:space="preserve">וְאִתְפְּשַׁט אַנְפּוֹי וְשָׁרְשׁוֹי עַד אֶלֶף דּוֹר, דָּא שְׁכִינְתָּא. </w:t>
      </w:r>
      <w:r w:rsidRPr="00007309">
        <w:rPr>
          <w:rFonts w:cs="Arial"/>
          <w:b/>
          <w:bCs/>
          <w:sz w:val="36"/>
          <w:szCs w:val="28"/>
          <w:vertAlign w:val="superscript"/>
          <w:rtl/>
        </w:rPr>
        <w:footnoteReference w:id="8108"/>
      </w:r>
      <w:r w:rsidRPr="00007309">
        <w:rPr>
          <w:rFonts w:cs="Arial"/>
          <w:b/>
          <w:bCs/>
          <w:sz w:val="24"/>
          <w:szCs w:val="24"/>
          <w:rtl/>
        </w:rPr>
        <w:t xml:space="preserve">הָדָא הוּא דִּכְתִיב דָּבָר צִוָּה לְאֶלֶף דּוֹר. וְעָלַיְהוּ אִתְּמַר (שיר ח) הָאֶלֶף לְךָ שְׁלֹמֹה. וְאִלֵּין אֶלֶף עָלְמִין דְּכִסּוּפִין דְּאַרְכִּיב לֵהּ לָאָדָם </w:t>
      </w:r>
      <w:r w:rsidRPr="00007309">
        <w:rPr>
          <w:rFonts w:cs="Arial"/>
          <w:b/>
          <w:bCs/>
          <w:sz w:val="36"/>
          <w:szCs w:val="28"/>
          <w:vertAlign w:val="superscript"/>
          <w:rtl/>
        </w:rPr>
        <w:footnoteReference w:id="8109"/>
      </w:r>
      <w:r w:rsidRPr="00007309">
        <w:rPr>
          <w:rFonts w:cs="Arial"/>
          <w:b/>
          <w:bCs/>
          <w:sz w:val="24"/>
          <w:szCs w:val="24"/>
          <w:rtl/>
        </w:rPr>
        <w:t xml:space="preserve">עַל כֻּלְּהוּ וְרָזָא דְּמִלָּה (דברים ה) </w:t>
      </w:r>
      <w:r w:rsidRPr="00007309">
        <w:rPr>
          <w:rFonts w:cs="Arial"/>
          <w:b/>
          <w:bCs/>
          <w:sz w:val="36"/>
          <w:szCs w:val="28"/>
          <w:vertAlign w:val="superscript"/>
          <w:rtl/>
        </w:rPr>
        <w:footnoteReference w:id="8110"/>
      </w:r>
      <w:r w:rsidRPr="00007309">
        <w:rPr>
          <w:rFonts w:cs="Arial"/>
          <w:b/>
          <w:bCs/>
          <w:sz w:val="24"/>
          <w:szCs w:val="24"/>
          <w:rtl/>
        </w:rPr>
        <w:t xml:space="preserve">וְעֹשֶׂה חֶסֶד לָאֲלָפִים. לְמָאן, לְאֹהֲבָיו וּלְשֹׁמְרֵי מִצְוֹתָיו לְאֶלֶף דּוֹר. כֵּיוָן דְּאַצְלַח בְּכָל גִּלְגּוּלָא </w:t>
      </w:r>
      <w:r w:rsidRPr="00007309">
        <w:rPr>
          <w:rFonts w:cs="Arial"/>
          <w:b/>
          <w:bCs/>
          <w:sz w:val="36"/>
          <w:szCs w:val="28"/>
          <w:vertAlign w:val="superscript"/>
          <w:rtl/>
        </w:rPr>
        <w:footnoteReference w:id="8111"/>
      </w:r>
      <w:r w:rsidRPr="00007309">
        <w:rPr>
          <w:rFonts w:cs="Arial"/>
          <w:b/>
          <w:bCs/>
          <w:sz w:val="24"/>
          <w:szCs w:val="24"/>
          <w:rtl/>
        </w:rPr>
        <w:t xml:space="preserve">וּבְכֻלְּהוּ אִתְדָּכֵי וְאַצְלַח, </w:t>
      </w:r>
      <w:r w:rsidRPr="00007309">
        <w:rPr>
          <w:rFonts w:cs="Arial"/>
          <w:b/>
          <w:bCs/>
          <w:sz w:val="36"/>
          <w:szCs w:val="28"/>
          <w:vertAlign w:val="superscript"/>
          <w:rtl/>
        </w:rPr>
        <w:footnoteReference w:id="8112"/>
      </w:r>
      <w:r w:rsidRPr="00007309">
        <w:rPr>
          <w:rFonts w:cs="Arial"/>
          <w:b/>
          <w:bCs/>
          <w:sz w:val="24"/>
          <w:szCs w:val="24"/>
          <w:rtl/>
        </w:rPr>
        <w:t xml:space="preserve">אִתְּמַר בֵּהּ וְעֹשֶׂה חֶסֶד לָאֲלָפִים. אֲבָל לְחַיָּבָא דְּלָא אַצְלָחִין בְּכָל אִתְּמַר מַה כְּתִיב בְּהוֹן, יִפֹּל מִצִּדְּךָ אֶלֶף, </w:t>
      </w:r>
      <w:r w:rsidRPr="00007309">
        <w:rPr>
          <w:rFonts w:cs="Arial"/>
          <w:b/>
          <w:bCs/>
          <w:sz w:val="36"/>
          <w:szCs w:val="28"/>
          <w:vertAlign w:val="superscript"/>
          <w:rtl/>
        </w:rPr>
        <w:footnoteReference w:id="8113"/>
      </w:r>
      <w:r w:rsidRPr="00007309">
        <w:rPr>
          <w:rFonts w:cs="Arial"/>
          <w:b/>
          <w:bCs/>
          <w:sz w:val="24"/>
          <w:szCs w:val="24"/>
          <w:rtl/>
        </w:rPr>
        <w:t xml:space="preserve">לֹא אִית לוֹן חוּלָקָא בְּאֶלֶף עָלְמִין אִלֵּין. וְרָזָא דְּמִלָּה (קהלת ח) וּבְכֵן רָאִיתִי רְשָׁעִים </w:t>
      </w:r>
      <w:r w:rsidRPr="00007309">
        <w:rPr>
          <w:rFonts w:cs="Arial"/>
          <w:b/>
          <w:bCs/>
          <w:sz w:val="36"/>
          <w:szCs w:val="28"/>
          <w:vertAlign w:val="superscript"/>
          <w:rtl/>
        </w:rPr>
        <w:footnoteReference w:id="8114"/>
      </w:r>
      <w:r w:rsidRPr="00007309">
        <w:rPr>
          <w:rFonts w:cs="Arial"/>
          <w:b/>
          <w:bCs/>
          <w:sz w:val="24"/>
          <w:szCs w:val="24"/>
          <w:rtl/>
        </w:rPr>
        <w:t xml:space="preserve">קְבוּרִים וָבָאוּ </w:t>
      </w:r>
      <w:r w:rsidRPr="00007309">
        <w:rPr>
          <w:rFonts w:cs="Arial"/>
          <w:b/>
          <w:bCs/>
          <w:sz w:val="36"/>
          <w:szCs w:val="28"/>
          <w:vertAlign w:val="superscript"/>
          <w:rtl/>
        </w:rPr>
        <w:footnoteReference w:id="8115"/>
      </w:r>
      <w:r w:rsidRPr="00007309">
        <w:rPr>
          <w:rFonts w:cs="Arial"/>
          <w:b/>
          <w:bCs/>
          <w:sz w:val="24"/>
          <w:szCs w:val="24"/>
          <w:rtl/>
        </w:rPr>
        <w:t xml:space="preserve">וּמִמָּקוֹם קָדוֹשׁ יְהַלֵּכוּ. </w:t>
      </w:r>
      <w:r w:rsidRPr="00007309">
        <w:rPr>
          <w:rFonts w:cs="Arial"/>
          <w:b/>
          <w:bCs/>
          <w:sz w:val="36"/>
          <w:szCs w:val="28"/>
          <w:vertAlign w:val="superscript"/>
          <w:rtl/>
        </w:rPr>
        <w:footnoteReference w:id="8116"/>
      </w:r>
      <w:r w:rsidRPr="00007309">
        <w:rPr>
          <w:rFonts w:cs="Arial"/>
          <w:b/>
          <w:bCs/>
          <w:sz w:val="24"/>
          <w:szCs w:val="24"/>
          <w:rtl/>
        </w:rPr>
        <w:t>מַאי וּמִמָּקוֹם קָדוֹשׁ יְהַלֵּכוּ, דְּהָא אִם אִנּוּן רְשָׁעִים לָא הֲוָה לוֹן מֵאֲתַר דִּקְדֻשָּׁה. אֶלָּא וַדַּאי בְּכֵן רָאִיתִי רְשָׁעִים בְּגִין רִשְׁעוּתָא דִּילְהוֹן לֵית לוֹן חוּלָקָא בקדוש</w:t>
      </w:r>
      <w:r w:rsidRPr="00007309">
        <w:rPr>
          <w:rFonts w:cs="Arial"/>
          <w:b/>
          <w:bCs/>
          <w:sz w:val="24"/>
          <w:szCs w:val="24"/>
        </w:rPr>
        <w:t xml:space="preserve">'. </w:t>
      </w:r>
      <w:r w:rsidRPr="00007309">
        <w:rPr>
          <w:rFonts w:cs="Arial"/>
          <w:b/>
          <w:bCs/>
          <w:sz w:val="24"/>
          <w:szCs w:val="24"/>
          <w:rtl/>
        </w:rPr>
        <w:t xml:space="preserve">אַדְּהָכִי הָא </w:t>
      </w:r>
      <w:r w:rsidRPr="00007309">
        <w:rPr>
          <w:rFonts w:cs="Arial"/>
          <w:b/>
          <w:bCs/>
          <w:sz w:val="36"/>
          <w:szCs w:val="28"/>
          <w:vertAlign w:val="superscript"/>
          <w:rtl/>
        </w:rPr>
        <w:footnoteReference w:id="8117"/>
      </w:r>
      <w:r w:rsidRPr="00007309">
        <w:rPr>
          <w:rFonts w:cs="Arial"/>
          <w:b/>
          <w:bCs/>
          <w:sz w:val="24"/>
          <w:szCs w:val="24"/>
          <w:rtl/>
        </w:rPr>
        <w:t xml:space="preserve">סָבָא דְּסָבִין קָא אִזְדְּמַן לֵהּ, א"ל לָאו כָּל רַשִּׁיעַיָּא שָׁוִין, דְּאִית רָשָׁע גָּמוּר, וְאִית רָשָׁע שֶׁאֵינוֹ גָּמוּר. רָשָׁע שֶׁאֵינוֹ גָּמוּר אִית לֵהּ חוּלָקָא בְּקִדּוּשָׁא, וְאִית לֵהּ חוּלָקָא בִּמְסָאֲבוּ, דְּאִתְעָרְבוּ בֵּהּ תַּרְוַיְהוּ. </w:t>
      </w:r>
      <w:r w:rsidRPr="00007309">
        <w:rPr>
          <w:rFonts w:cs="Arial"/>
          <w:b/>
          <w:bCs/>
          <w:sz w:val="36"/>
          <w:szCs w:val="28"/>
          <w:vertAlign w:val="superscript"/>
          <w:rtl/>
        </w:rPr>
        <w:footnoteReference w:id="8118"/>
      </w:r>
      <w:r w:rsidRPr="00007309">
        <w:rPr>
          <w:rFonts w:cs="Arial"/>
          <w:b/>
          <w:bCs/>
          <w:sz w:val="24"/>
          <w:szCs w:val="24"/>
          <w:rtl/>
        </w:rPr>
        <w:t xml:space="preserve">וּלְהַאי אִתְּמַר רָאִיתִי רְשָׁעִים קְבֻרִים וּבָאוֹ וּמִמָּקוֹם קָדוֹשׁ יְהַלֵּכוּ. וְלֹא אָמַר רָאִיתִי רְשָׁעִים גְּמוּרִים. דְּרָשָׁע גָּמוּר לֵית לֵהּ חוּלָקָא בַּקְּדֻשָּׁה וַדַּאי. אֲבָל רָשָׁע דְּלָאו אִיהוּ גָּמוּר, אִית לֵהּ חוּלָקָא בַּקְּדֻשָּׁה. וּבְגִין לְאִתְרְכָאָה מִמְּסָאֲבוּ נָחְתִין לֵהּ בְּגִלְגּוּלָא. </w:t>
      </w:r>
      <w:r w:rsidRPr="00007309">
        <w:rPr>
          <w:rFonts w:cs="Arial"/>
          <w:b/>
          <w:bCs/>
          <w:sz w:val="36"/>
          <w:szCs w:val="28"/>
          <w:vertAlign w:val="superscript"/>
          <w:rtl/>
        </w:rPr>
        <w:footnoteReference w:id="8119"/>
      </w:r>
      <w:r w:rsidRPr="00007309">
        <w:rPr>
          <w:rFonts w:cs="Arial"/>
          <w:b/>
          <w:bCs/>
          <w:sz w:val="24"/>
          <w:szCs w:val="24"/>
          <w:rtl/>
        </w:rPr>
        <w:t xml:space="preserve">וּלְהַאי לֵית שַׁעֲתָא וְעֵת וּזְמַן יְדִיעַ אֶלָּא יֵיתֵי כַּמָּה זִמְנִין בְּגִלְגּוּלָא עַד דְּיִתְדַּכֵּי מֵהַהוּא זוֹהֲמָא. לְאוּמָנָא דַּהֲוָה לֵהּ מָאנָא דְּכַסְפָּא מְעֹרָב בְּמִינָא אָחֳרָא. בָּעָא לְבָרְרָא וּלְלַבְּנָא לֵהּ. מֶה עָבֵד הֲוָה יוּצַק לֵהּ בְּמָנָא כַּמָּה זִמְנִין, וְאַרְמֵי לֵהּ בְּנוּרָא עַד דְּאִתְבָּרֵר וְאִתְלְבַּן. </w:t>
      </w:r>
      <w:r w:rsidRPr="00007309">
        <w:rPr>
          <w:rFonts w:cs="Arial"/>
          <w:b/>
          <w:bCs/>
          <w:sz w:val="36"/>
          <w:szCs w:val="28"/>
          <w:vertAlign w:val="superscript"/>
          <w:rtl/>
        </w:rPr>
        <w:footnoteReference w:id="8120"/>
      </w:r>
      <w:r w:rsidRPr="00007309">
        <w:rPr>
          <w:rFonts w:cs="Arial"/>
          <w:b/>
          <w:bCs/>
          <w:sz w:val="24"/>
          <w:szCs w:val="24"/>
          <w:rtl/>
        </w:rPr>
        <w:t>וְרָזָא דְּמִלָּה (איוב כב) אֲשֶׁר קֻמְּטוּ וְלֹא עֵת נָהָר יוּצַק יְסוֹדָם</w:t>
      </w:r>
      <w:r w:rsidRPr="00007309">
        <w:rPr>
          <w:rFonts w:cs="Arial"/>
          <w:b/>
          <w:bCs/>
          <w:sz w:val="24"/>
          <w:szCs w:val="24"/>
        </w:rPr>
        <w:t xml:space="preserve">. </w:t>
      </w:r>
      <w:r w:rsidRPr="00007309">
        <w:rPr>
          <w:rFonts w:cs="Arial"/>
          <w:b/>
          <w:bCs/>
          <w:sz w:val="24"/>
          <w:szCs w:val="24"/>
          <w:rtl/>
        </w:rPr>
        <w:t xml:space="preserve">מַאי נָהָר דָּא נָהָר דִּינוּר דְּתַמָּן יוּצַק נִשְׁמְתָא עַד דְּאִתְלַבְּנָא. וּמַאי אֲשֶׁר קֻמְּטוּ בְּלֹא עֵת. אִלֵּין תתקע"ד דָּרִין </w:t>
      </w:r>
      <w:r w:rsidRPr="00007309">
        <w:rPr>
          <w:rFonts w:cs="Arial"/>
          <w:b/>
          <w:bCs/>
          <w:sz w:val="36"/>
          <w:szCs w:val="28"/>
          <w:vertAlign w:val="superscript"/>
          <w:rtl/>
        </w:rPr>
        <w:footnoteReference w:id="8121"/>
      </w:r>
      <w:r w:rsidRPr="00007309">
        <w:rPr>
          <w:rFonts w:cs="Arial"/>
          <w:b/>
          <w:bCs/>
          <w:sz w:val="24"/>
          <w:szCs w:val="24"/>
          <w:rtl/>
        </w:rPr>
        <w:t xml:space="preserve">דְּאִתְקָמִיטוּ בְּלֹא עֵת וְאִסְתַּלָּקוּ בְּלֹא עֵת קֳדָם זִמְנַיְהוּ, וְזָרִיק לוֹן קֻדְשָׁא בְּרִיךְ הוּא בְּגִלְגּוּלָא עַל כָּל דָּרָא וְדָרָא </w:t>
      </w:r>
      <w:r w:rsidRPr="00007309">
        <w:rPr>
          <w:rFonts w:cs="Arial"/>
          <w:b/>
          <w:bCs/>
          <w:sz w:val="36"/>
          <w:szCs w:val="28"/>
          <w:vertAlign w:val="superscript"/>
          <w:rtl/>
        </w:rPr>
        <w:footnoteReference w:id="8122"/>
      </w:r>
      <w:r w:rsidRPr="00007309">
        <w:rPr>
          <w:rFonts w:cs="Arial"/>
          <w:b/>
          <w:bCs/>
          <w:sz w:val="24"/>
          <w:szCs w:val="24"/>
          <w:rtl/>
        </w:rPr>
        <w:t xml:space="preserve">וְחָזַר לוֹן לִיסוֹד. וְדָא אִיהוּ נָהָר יוּצַק יְסוֹדָם. </w:t>
      </w:r>
      <w:r w:rsidRPr="00007309">
        <w:rPr>
          <w:rFonts w:cs="Arial"/>
          <w:b/>
          <w:bCs/>
          <w:sz w:val="36"/>
          <w:szCs w:val="28"/>
          <w:vertAlign w:val="superscript"/>
          <w:rtl/>
        </w:rPr>
        <w:footnoteReference w:id="8123"/>
      </w:r>
      <w:r w:rsidRPr="00007309">
        <w:rPr>
          <w:rFonts w:cs="Arial"/>
          <w:b/>
          <w:bCs/>
          <w:sz w:val="24"/>
          <w:szCs w:val="24"/>
          <w:rtl/>
        </w:rPr>
        <w:t>דְּאִנּוּן ד' יְסוֹדִין דְּאַרְבַּע פַּרְצוּפִין, דְּאִנּוּן פַּרְצוּף אָדָם, וּפַרְצוּף אַרְיֵה, וּפַרְצוּף שׁוֹר וּפַרְצוּף נֶשֶׁר, דִּמְמָנָן עַל מַיָּא וְאֶשָּׁא</w:t>
      </w:r>
      <w:r w:rsidRPr="00007309">
        <w:rPr>
          <w:rFonts w:cs="Arial"/>
          <w:b/>
          <w:bCs/>
          <w:sz w:val="24"/>
          <w:szCs w:val="24"/>
        </w:rPr>
        <w:t xml:space="preserve"> </w:t>
      </w:r>
      <w:r w:rsidRPr="00007309">
        <w:rPr>
          <w:rFonts w:cs="Arial"/>
          <w:b/>
          <w:bCs/>
          <w:sz w:val="24"/>
          <w:szCs w:val="24"/>
          <w:rtl/>
        </w:rPr>
        <w:t xml:space="preserve">וְרוּחָא וְעַפְרָא. </w:t>
      </w:r>
      <w:r w:rsidRPr="00007309">
        <w:rPr>
          <w:rFonts w:cs="Arial"/>
          <w:b/>
          <w:bCs/>
          <w:sz w:val="36"/>
          <w:szCs w:val="28"/>
          <w:vertAlign w:val="superscript"/>
          <w:rtl/>
        </w:rPr>
        <w:footnoteReference w:id="8124"/>
      </w:r>
      <w:r w:rsidRPr="00007309">
        <w:rPr>
          <w:rFonts w:cs="Arial"/>
          <w:b/>
          <w:bCs/>
          <w:sz w:val="24"/>
          <w:szCs w:val="24"/>
          <w:rtl/>
        </w:rPr>
        <w:t>אַרְיֵה מֶרְכָּבָה וְגִלְגּוּלָא דִּילֵהּ מַיָּא, שׁוֹר</w:t>
      </w:r>
      <w:r w:rsidRPr="00007309">
        <w:rPr>
          <w:rFonts w:cs="Arial"/>
          <w:b/>
          <w:bCs/>
          <w:sz w:val="24"/>
          <w:szCs w:val="24"/>
        </w:rPr>
        <w:t xml:space="preserve"> </w:t>
      </w:r>
      <w:r w:rsidRPr="00007309">
        <w:rPr>
          <w:rFonts w:cs="Arial"/>
          <w:b/>
          <w:bCs/>
          <w:sz w:val="24"/>
          <w:szCs w:val="24"/>
          <w:rtl/>
        </w:rPr>
        <w:t xml:space="preserve">מֶרְכָּבָה וְגִלְגּוּלָא דִּילֵהּ אֶשָּׁא. נֶשֶׁר מֶרְכָּבָה וְגִלְגּוּלָא דִּילֵהּ רוּחָא. אָדָם מֶרְכָּבָה וְגִלְגּוּלָא דִּילֵהּ עַפְרָא. הָדָא הוּא דִּכְתִיב וְאָדָם עַל עָפָר יָשׁוּב. ג' חֵיוָן עָלַיְהוּ אִתְּמַר הֵן כָּל אֵלֶּה יִפְעַל אֵל פַּעֲמַיִם שָׁלֹשׁ עִם גָּבֶר. </w:t>
      </w:r>
      <w:r w:rsidRPr="00007309">
        <w:rPr>
          <w:rFonts w:cs="Arial"/>
          <w:b/>
          <w:bCs/>
          <w:sz w:val="36"/>
          <w:szCs w:val="28"/>
          <w:vertAlign w:val="superscript"/>
          <w:rtl/>
        </w:rPr>
        <w:footnoteReference w:id="8125"/>
      </w:r>
      <w:r w:rsidRPr="00007309">
        <w:rPr>
          <w:rFonts w:cs="Arial"/>
          <w:b/>
          <w:bCs/>
          <w:sz w:val="24"/>
          <w:szCs w:val="24"/>
          <w:rtl/>
        </w:rPr>
        <w:t xml:space="preserve">אָדָם, צִוָּה לְאֶלֶף דּוֹר. אָתָא רִבִּי שִׁמְעוֹן לְנַשְּׁקָא לֵהּ פָּרַח לְעֵלָּא. אָמַר רִבִּי שִׁמְעוֹן סָבָא סָבָא עָלֶיךָ אִתְּמַר (מלאכי ג) </w:t>
      </w:r>
      <w:r w:rsidRPr="00007309">
        <w:rPr>
          <w:rFonts w:cs="Arial"/>
          <w:b/>
          <w:bCs/>
          <w:sz w:val="36"/>
          <w:szCs w:val="28"/>
          <w:vertAlign w:val="superscript"/>
          <w:rtl/>
        </w:rPr>
        <w:footnoteReference w:id="8126"/>
      </w:r>
      <w:r w:rsidRPr="00007309">
        <w:rPr>
          <w:rFonts w:cs="Arial"/>
          <w:b/>
          <w:bCs/>
          <w:sz w:val="24"/>
          <w:szCs w:val="24"/>
          <w:rtl/>
        </w:rPr>
        <w:t xml:space="preserve">הֲלֹא אָב אֶחָד לְכֻלָּנוּ. בְּדִיּוֹקְנָא דִּלְעֵלָּא אָבִינוּ שֶׁבַּשָּׁמַיִם זַכָּאָה חוּלָקָנָא </w:t>
      </w:r>
      <w:r w:rsidRPr="00007309">
        <w:rPr>
          <w:rFonts w:cs="Arial"/>
          <w:b/>
          <w:bCs/>
          <w:sz w:val="36"/>
          <w:szCs w:val="28"/>
          <w:vertAlign w:val="superscript"/>
          <w:rtl/>
        </w:rPr>
        <w:footnoteReference w:id="8127"/>
      </w:r>
      <w:r w:rsidRPr="00007309">
        <w:rPr>
          <w:rFonts w:cs="Arial"/>
          <w:b/>
          <w:bCs/>
          <w:sz w:val="24"/>
          <w:szCs w:val="24"/>
          <w:rtl/>
        </w:rPr>
        <w:t>דְּזָכִינָא לְמֶהֱוֵי בָּךְ חוּלָקָא. פָּתַח רִבִּי שִׁמְעוֹן כְּמִלְּקַדְּמִין</w:t>
      </w:r>
      <w:r w:rsidRPr="00007309">
        <w:rPr>
          <w:rFonts w:cs="Arial" w:hint="cs"/>
          <w:b/>
          <w:bCs/>
          <w:sz w:val="24"/>
          <w:szCs w:val="24"/>
          <w:rtl/>
        </w:rPr>
        <w:t xml:space="preserve"> כו'</w:t>
      </w:r>
      <w:r w:rsidRPr="00007309">
        <w:rPr>
          <w:rFonts w:cs="Arial"/>
          <w:b/>
          <w:bCs/>
          <w:sz w:val="24"/>
          <w:szCs w:val="24"/>
          <w:rtl/>
        </w:rPr>
        <w:t xml:space="preserve"> (כמו שנדפס בדח"ו)</w:t>
      </w:r>
      <w:r w:rsidRPr="00007309">
        <w:rPr>
          <w:rFonts w:cs="Arial" w:hint="cs"/>
          <w:b/>
          <w:bCs/>
          <w:sz w:val="24"/>
          <w:szCs w:val="24"/>
          <w:rtl/>
        </w:rPr>
        <w:t>:</w:t>
      </w:r>
    </w:p>
    <w:p w:rsidR="00007309" w:rsidRPr="00007309" w:rsidRDefault="00007309" w:rsidP="00007309">
      <w:pPr>
        <w:keepNext/>
        <w:outlineLvl w:val="1"/>
        <w:rPr>
          <w:rFonts w:ascii="Cambria" w:hAnsi="Cambria" w:cs="Times New Roman"/>
          <w:b/>
          <w:bCs/>
          <w:i/>
          <w:iCs/>
          <w:sz w:val="28"/>
          <w:szCs w:val="28"/>
          <w:rtl/>
        </w:rPr>
      </w:pPr>
      <w:r w:rsidRPr="00007309">
        <w:rPr>
          <w:rFonts w:ascii="Cambria" w:hAnsi="Cambria" w:cs="Times New Roman"/>
          <w:b/>
          <w:bCs/>
          <w:i/>
          <w:iCs/>
          <w:sz w:val="28"/>
          <w:szCs w:val="28"/>
          <w:rtl/>
        </w:rPr>
        <w:t>[</w:t>
      </w:r>
      <w:r w:rsidRPr="00007309">
        <w:rPr>
          <w:rFonts w:ascii="Cambria" w:hAnsi="Cambria" w:cs="Times New Roman" w:hint="cs"/>
          <w:b/>
          <w:bCs/>
          <w:i/>
          <w:iCs/>
          <w:sz w:val="28"/>
          <w:szCs w:val="28"/>
          <w:rtl/>
        </w:rPr>
        <w:t>דף</w:t>
      </w:r>
      <w:r w:rsidRPr="00007309">
        <w:rPr>
          <w:rFonts w:ascii="Cambria" w:hAnsi="Cambria" w:cs="Times New Roman"/>
          <w:b/>
          <w:bCs/>
          <w:i/>
          <w:iCs/>
          <w:sz w:val="28"/>
          <w:szCs w:val="28"/>
          <w:rtl/>
        </w:rPr>
        <w:t xml:space="preserve"> </w:t>
      </w:r>
      <w:r w:rsidRPr="00007309">
        <w:rPr>
          <w:rFonts w:ascii="Cambria" w:hAnsi="Cambria" w:cs="Times New Roman" w:hint="cs"/>
          <w:b/>
          <w:bCs/>
          <w:i/>
          <w:iCs/>
          <w:sz w:val="28"/>
          <w:szCs w:val="28"/>
          <w:rtl/>
        </w:rPr>
        <w:t>פה</w:t>
      </w:r>
      <w:r w:rsidRPr="00007309">
        <w:rPr>
          <w:rFonts w:ascii="Cambria" w:hAnsi="Cambria" w:cs="Times New Roman"/>
          <w:b/>
          <w:bCs/>
          <w:i/>
          <w:iCs/>
          <w:sz w:val="28"/>
          <w:szCs w:val="28"/>
          <w:rtl/>
        </w:rPr>
        <w:t xml:space="preserve"> ע"</w:t>
      </w:r>
      <w:r w:rsidRPr="00007309">
        <w:rPr>
          <w:rFonts w:ascii="Cambria" w:hAnsi="Cambria" w:cs="Times New Roman" w:hint="cs"/>
          <w:b/>
          <w:bCs/>
          <w:i/>
          <w:iCs/>
          <w:sz w:val="28"/>
          <w:szCs w:val="28"/>
          <w:rtl/>
        </w:rPr>
        <w:t>ב</w:t>
      </w:r>
      <w:r w:rsidRPr="00007309">
        <w:rPr>
          <w:rFonts w:ascii="Cambria" w:hAnsi="Cambria" w:cs="Times New Roman"/>
          <w:b/>
          <w:bCs/>
          <w:i/>
          <w:iCs/>
          <w:sz w:val="28"/>
          <w:szCs w:val="28"/>
          <w:rtl/>
        </w:rPr>
        <w:t>]</w:t>
      </w:r>
    </w:p>
    <w:p w:rsidR="00007309" w:rsidRPr="00007309" w:rsidRDefault="00007309" w:rsidP="00007309">
      <w:pPr>
        <w:keepNext/>
        <w:spacing w:before="240" w:after="60"/>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 xml:space="preserve"> [וילנא לט ע"ב]</w:t>
      </w:r>
    </w:p>
    <w:p w:rsidR="00007309" w:rsidRPr="00007309" w:rsidRDefault="00007309" w:rsidP="00007309">
      <w:pPr>
        <w:jc w:val="both"/>
        <w:rPr>
          <w:rFonts w:cs="Arial"/>
          <w:b/>
          <w:bCs/>
          <w:sz w:val="24"/>
          <w:szCs w:val="24"/>
          <w:rtl/>
        </w:rPr>
      </w:pPr>
      <w:r w:rsidRPr="00007309">
        <w:rPr>
          <w:rFonts w:cs="Arial"/>
          <w:b/>
          <w:bCs/>
          <w:sz w:val="24"/>
          <w:szCs w:val="24"/>
          <w:rtl/>
        </w:rPr>
        <w:t xml:space="preserve"> (בד</w:t>
      </w:r>
      <w:r w:rsidRPr="00007309">
        <w:rPr>
          <w:rFonts w:cs="Arial" w:hint="cs"/>
          <w:b/>
          <w:bCs/>
          <w:sz w:val="24"/>
          <w:szCs w:val="24"/>
          <w:rtl/>
        </w:rPr>
        <w:t xml:space="preserve">ף </w:t>
      </w:r>
      <w:r w:rsidRPr="00007309">
        <w:rPr>
          <w:rFonts w:cs="Arial"/>
          <w:b/>
          <w:bCs/>
          <w:sz w:val="24"/>
          <w:szCs w:val="24"/>
          <w:rtl/>
        </w:rPr>
        <w:t>ק"י ע"ב כשאומר דקרבנא הוה מההוא א</w:t>
      </w:r>
      <w:r w:rsidRPr="00007309">
        <w:rPr>
          <w:rFonts w:cs="Arial" w:hint="cs"/>
          <w:b/>
          <w:bCs/>
          <w:sz w:val="24"/>
          <w:szCs w:val="24"/>
          <w:rtl/>
        </w:rPr>
        <w:t>תר</w:t>
      </w:r>
      <w:r w:rsidRPr="00007309">
        <w:rPr>
          <w:rFonts w:cs="Arial"/>
          <w:b/>
          <w:bCs/>
          <w:sz w:val="24"/>
          <w:szCs w:val="24"/>
          <w:rtl/>
        </w:rPr>
        <w:t xml:space="preserve"> דאקרו ערוה) </w:t>
      </w:r>
      <w:r w:rsidRPr="00007309">
        <w:rPr>
          <w:rFonts w:ascii="Cambria" w:hAnsi="Cambria" w:cs="Times New Roman"/>
          <w:b/>
          <w:bCs/>
          <w:i/>
          <w:iCs/>
          <w:color w:val="4F81BD"/>
          <w:sz w:val="24"/>
          <w:szCs w:val="24"/>
          <w:rtl/>
        </w:rPr>
        <w:t>(</w:t>
      </w:r>
      <w:r w:rsidRPr="00007309">
        <w:rPr>
          <w:rFonts w:ascii="Cambria" w:hAnsi="Cambria" w:cs="Times New Roman" w:hint="cs"/>
          <w:b/>
          <w:bCs/>
          <w:i/>
          <w:iCs/>
          <w:color w:val="4F81BD"/>
          <w:sz w:val="24"/>
          <w:szCs w:val="24"/>
          <w:rtl/>
        </w:rPr>
        <w:t>פה</w:t>
      </w:r>
      <w:r w:rsidRPr="00007309">
        <w:rPr>
          <w:rFonts w:ascii="Cambria" w:hAnsi="Cambria" w:cs="Times New Roman"/>
          <w:b/>
          <w:bCs/>
          <w:i/>
          <w:iCs/>
          <w:color w:val="4F81BD"/>
          <w:sz w:val="24"/>
          <w:szCs w:val="24"/>
          <w:rtl/>
        </w:rPr>
        <w:t xml:space="preserve"> ע"ב)</w:t>
      </w:r>
      <w:r w:rsidRPr="00007309">
        <w:rPr>
          <w:rFonts w:cs="Arial"/>
          <w:b/>
          <w:bCs/>
          <w:sz w:val="24"/>
          <w:szCs w:val="24"/>
          <w:rtl/>
        </w:rPr>
        <w:t xml:space="preserve"> וּמַאי הֲוָה פִּשְׁתִּים, דְּאִתְּמַר בֵּהּ (שמות כח) וְעָשָׂה לָהֶם מִכְנְסֵי בַּד לְכַסּוֹת בְּשַׂר עֶרְוָה. אָמַר לֵהּ רִבִּי אֶלְעָזָר א"כ דְּאִתְכַּסֵּי בֵּהּ עֶרְוָה טָב אִיהוּ. אָמַר לוֹ בְּרִי </w:t>
      </w:r>
      <w:r w:rsidRPr="00007309">
        <w:rPr>
          <w:rFonts w:cs="Arial"/>
          <w:b/>
          <w:bCs/>
          <w:sz w:val="36"/>
          <w:szCs w:val="28"/>
          <w:vertAlign w:val="superscript"/>
          <w:rtl/>
        </w:rPr>
        <w:footnoteReference w:id="8128"/>
      </w:r>
      <w:r w:rsidRPr="00007309">
        <w:rPr>
          <w:rFonts w:cs="Arial"/>
          <w:b/>
          <w:bCs/>
          <w:sz w:val="24"/>
          <w:szCs w:val="24"/>
          <w:rtl/>
        </w:rPr>
        <w:t xml:space="preserve">לָאו כָּל עֲרָיוֹת שָׁוִין, הַאי לָא קָרִיב קָרְבְּנָא דָּא אֶלָּא לִקְרָבָא עֶרְוָה דִּילֵהּ לַה' </w:t>
      </w:r>
      <w:r w:rsidRPr="00007309">
        <w:rPr>
          <w:rFonts w:cs="Arial"/>
          <w:b/>
          <w:bCs/>
          <w:sz w:val="36"/>
          <w:szCs w:val="28"/>
          <w:vertAlign w:val="superscript"/>
          <w:rtl/>
        </w:rPr>
        <w:footnoteReference w:id="8129"/>
      </w:r>
      <w:r w:rsidRPr="00007309">
        <w:rPr>
          <w:rFonts w:cs="Arial"/>
          <w:b/>
          <w:bCs/>
          <w:sz w:val="24"/>
          <w:szCs w:val="24"/>
          <w:rtl/>
        </w:rPr>
        <w:t xml:space="preserve">דְּאִתְּמַר בֵּהּ (ויקרא יח) אִישׁ אִישׁ אֶל כָּל שְׁאֵר בְּשָׂרוֹ לֹא תִקְרְבוּ לְגַלּוֹת עֶרְוָה אֲנִי ה'. וּמַאי עֶרְוָה דִּילֵהּ זְהֲמָא בִּישָׁא עָרְלָה נוּקְבָא דְּעָרְלָה הִיא דְּאִתְּמַר בָּהּ אָדָם הָרִאשׁוֹן מוֹשֵׁךְ בְּעָרְלָתוֹ הָיָה. וּמַאי נִינְהוּ אִמָּא דְּעִרְבּוּבְיָא בִּישָׁא, </w:t>
      </w:r>
      <w:r w:rsidRPr="00007309">
        <w:rPr>
          <w:rFonts w:cs="Arial"/>
          <w:b/>
          <w:bCs/>
          <w:sz w:val="36"/>
          <w:szCs w:val="28"/>
          <w:vertAlign w:val="superscript"/>
          <w:rtl/>
        </w:rPr>
        <w:footnoteReference w:id="8130"/>
      </w:r>
      <w:r w:rsidRPr="00007309">
        <w:rPr>
          <w:rFonts w:cs="Arial"/>
          <w:b/>
          <w:bCs/>
          <w:sz w:val="24"/>
          <w:szCs w:val="24"/>
          <w:rtl/>
        </w:rPr>
        <w:t>אִיבָא דְּאִילָנָא דְּטוֹב וָרָע דְּאִתְּמַר בָּהּ (בראשית ג), וַתִּקַּח מִפִּרְי'וֹ</w:t>
      </w:r>
      <w:r w:rsidRPr="00007309">
        <w:rPr>
          <w:rFonts w:cs="Arial"/>
          <w:b/>
          <w:bCs/>
          <w:sz w:val="24"/>
          <w:szCs w:val="28"/>
        </w:rPr>
        <w:t xml:space="preserve"> </w:t>
      </w:r>
      <w:r w:rsidRPr="00007309">
        <w:rPr>
          <w:rFonts w:cs="Arial"/>
          <w:b/>
          <w:bCs/>
          <w:sz w:val="24"/>
          <w:szCs w:val="24"/>
          <w:rtl/>
        </w:rPr>
        <w:t xml:space="preserve">וַ'תֹּאכַל וַתִּתֵּן גַּם לְאִישָׁהּ עִמָּהּ וַיֹּאכַל. וּמַאי נִיהִי לילי"ת </w:t>
      </w:r>
      <w:r w:rsidRPr="00007309">
        <w:rPr>
          <w:rFonts w:cs="Arial"/>
          <w:b/>
          <w:bCs/>
          <w:sz w:val="36"/>
          <w:szCs w:val="28"/>
          <w:vertAlign w:val="superscript"/>
          <w:rtl/>
        </w:rPr>
        <w:footnoteReference w:id="8131"/>
      </w:r>
      <w:r w:rsidRPr="00007309">
        <w:rPr>
          <w:rFonts w:cs="Arial"/>
          <w:b/>
          <w:bCs/>
          <w:sz w:val="24"/>
          <w:szCs w:val="24"/>
          <w:rtl/>
        </w:rPr>
        <w:t>מִתַּמָּן קָא אַתְיָן</w:t>
      </w:r>
      <w:r w:rsidRPr="00007309">
        <w:rPr>
          <w:rFonts w:cs="Arial"/>
          <w:b/>
          <w:bCs/>
          <w:sz w:val="24"/>
          <w:szCs w:val="24"/>
        </w:rPr>
        <w:t xml:space="preserve"> </w:t>
      </w:r>
      <w:r w:rsidRPr="00007309">
        <w:rPr>
          <w:rFonts w:cs="Arial"/>
          <w:b/>
          <w:bCs/>
          <w:sz w:val="24"/>
          <w:szCs w:val="24"/>
          <w:rtl/>
        </w:rPr>
        <w:t xml:space="preserve">עֵרֶב רַב, דְּאִנּוּן מְעֹרָבִין בְּיִשְׂרָאֵל דְּאִתְּמַר בְּהוֹן (ישעיה א) הוֹי גוֹי חוֹטֵא דְּאִנּוּן זֶרַע מְרֵעִים בָּנִים מַשְׁחִתִים וְגוֹ'. </w:t>
      </w:r>
      <w:r w:rsidRPr="00007309">
        <w:rPr>
          <w:rFonts w:cs="Arial"/>
          <w:b/>
          <w:bCs/>
          <w:sz w:val="36"/>
          <w:szCs w:val="28"/>
          <w:vertAlign w:val="superscript"/>
          <w:rtl/>
        </w:rPr>
        <w:footnoteReference w:id="8132"/>
      </w:r>
      <w:r w:rsidRPr="00007309">
        <w:rPr>
          <w:rFonts w:cs="Arial"/>
          <w:b/>
          <w:bCs/>
          <w:sz w:val="24"/>
          <w:szCs w:val="24"/>
          <w:rtl/>
        </w:rPr>
        <w:t xml:space="preserve">וְאָמְרוּ אֵלֶּה אֱלֹהֶיךָ יִשְׂרָאֵל לָעֶגְלָא. </w:t>
      </w:r>
      <w:r w:rsidRPr="00007309">
        <w:rPr>
          <w:rFonts w:ascii="Cambria" w:hAnsi="Cambria" w:cs="Times New Roman"/>
          <w:b/>
          <w:bCs/>
          <w:i/>
          <w:iCs/>
          <w:color w:val="4F81BD"/>
          <w:sz w:val="24"/>
          <w:szCs w:val="24"/>
          <w:rtl/>
        </w:rPr>
        <w:t>(וילנא ל</w:t>
      </w:r>
      <w:r w:rsidRPr="00007309">
        <w:rPr>
          <w:rFonts w:ascii="Cambria" w:hAnsi="Cambria" w:cs="Times New Roman" w:hint="cs"/>
          <w:b/>
          <w:bCs/>
          <w:i/>
          <w:iCs/>
          <w:color w:val="4F81BD"/>
          <w:sz w:val="24"/>
          <w:szCs w:val="24"/>
          <w:rtl/>
        </w:rPr>
        <w:t>ט</w:t>
      </w:r>
      <w:r w:rsidRPr="00007309">
        <w:rPr>
          <w:rFonts w:ascii="Cambria" w:hAnsi="Cambria" w:cs="Times New Roman"/>
          <w:b/>
          <w:bCs/>
          <w:i/>
          <w:iCs/>
          <w:color w:val="4F81BD"/>
          <w:sz w:val="24"/>
          <w:szCs w:val="24"/>
          <w:rtl/>
        </w:rPr>
        <w:t xml:space="preserve"> ע"ב)</w:t>
      </w:r>
      <w:r w:rsidRPr="00007309">
        <w:rPr>
          <w:rFonts w:cs="Arial"/>
          <w:b/>
          <w:bCs/>
          <w:sz w:val="24"/>
          <w:szCs w:val="24"/>
          <w:rtl/>
        </w:rPr>
        <w:t xml:space="preserve"> וּבְגִין דָּא (בראשית ו) וְאֶל קַיִן וְאֶל מִנְחָתוֹ לֹא שָׁעָה. וְהָא קֻדְשָׁא בְּרִיךְ הוּא אִתְּמַר בֵּהּ (תהלים קמה) וְרַחֲמָיו עַל כָּל מַעֲשָׂיו, וְאִתְּמַר בֵּהּ כִּי לֹא אֶחְפֹּץ בְּמוֹת הַמֵּת, וְקַבִּיל לוֹן כ"ש לְקָרְבְּנָא דְּקַיִן. אֶלָּא דַּהֲוָה רְעוּתֵהּ לְבִישׁ כְּמָא דְּאִתְּמַר אֲבָל הֶבֶל הֲוָה</w:t>
      </w:r>
      <w:r w:rsidRPr="00007309">
        <w:rPr>
          <w:rFonts w:cs="Arial"/>
          <w:b/>
          <w:bCs/>
          <w:sz w:val="24"/>
          <w:szCs w:val="24"/>
        </w:rPr>
        <w:t xml:space="preserve"> </w:t>
      </w:r>
      <w:r w:rsidRPr="00007309">
        <w:rPr>
          <w:rFonts w:cs="Arial"/>
          <w:b/>
          <w:bCs/>
          <w:sz w:val="24"/>
          <w:szCs w:val="24"/>
          <w:rtl/>
        </w:rPr>
        <w:t xml:space="preserve">רְעוּתֵהּ בְּקָרְבְּנָא דִּילֵהּ לִקְרָבָא שְׁכִינְתָּא </w:t>
      </w:r>
      <w:r w:rsidRPr="00007309">
        <w:rPr>
          <w:rFonts w:cs="Arial"/>
          <w:b/>
          <w:bCs/>
          <w:sz w:val="36"/>
          <w:szCs w:val="28"/>
          <w:vertAlign w:val="superscript"/>
          <w:rtl/>
        </w:rPr>
        <w:footnoteReference w:id="8133"/>
      </w:r>
      <w:r w:rsidRPr="00007309">
        <w:rPr>
          <w:rFonts w:cs="Arial"/>
          <w:b/>
          <w:bCs/>
          <w:sz w:val="24"/>
          <w:szCs w:val="24"/>
          <w:rtl/>
        </w:rPr>
        <w:t xml:space="preserve">לְהַהוּא דְּאִתְּמַר בֵּהּ (דניאל ז) וְעַתִּיק יוֹמִין יְתִב לְבוּשֵׁהּ כִּתְלַג חִוָּר וּשְׂעַר רֵישֵׁהּ כַּעֲמַר נְקֵא. בְּמַאי, בְּהַהוּא דְּקָרִיב מִבְּכוֹרוֹת צֹאנוֹ וּמִחֶלְבֵּיהֶן. וּבְגִין דָּא וַיִּשַׁע ה' אֶל הֶבֶל. וְהָא אִתְּמַר וּמִיָּד דְּלָא אִתְקַבַּל קָרְבְּנָא דְּקַיִן, וַיִּחַר לְקַיִן מְאֹד. וַיֹּאמֶר ה' לְקַיִן לָמָּה חָרָה לָךְ דְּלָא אִתְקַבַּל קָרְבְּנָךְ. אִם תֵּיטִיב עוֹבָדָךְ בְּגִלְגּוּלָא, </w:t>
      </w:r>
      <w:r w:rsidRPr="00007309">
        <w:rPr>
          <w:rFonts w:cs="Arial"/>
          <w:b/>
          <w:bCs/>
          <w:sz w:val="36"/>
          <w:szCs w:val="28"/>
          <w:vertAlign w:val="superscript"/>
          <w:rtl/>
        </w:rPr>
        <w:footnoteReference w:id="8134"/>
      </w:r>
      <w:r w:rsidRPr="00007309">
        <w:rPr>
          <w:rFonts w:cs="Arial"/>
          <w:b/>
          <w:bCs/>
          <w:sz w:val="24"/>
          <w:szCs w:val="24"/>
          <w:rtl/>
        </w:rPr>
        <w:t>שְּאֵת לָךְ בְּעָלְמָא וְתִתְקַבֵּל בִּתְיוּבְתָּא. וְאִם לָאו, לַפֶּתַח חַטָאת רֹבֵץ. אָמַר רִבִּי אלעזר וְכ</w:t>
      </w:r>
      <w:r w:rsidRPr="00007309">
        <w:rPr>
          <w:rFonts w:cs="Arial" w:hint="cs"/>
          <w:b/>
          <w:bCs/>
          <w:sz w:val="24"/>
          <w:szCs w:val="24"/>
          <w:rtl/>
        </w:rPr>
        <w:t>ו':</w:t>
      </w:r>
    </w:p>
    <w:p w:rsidR="00007309" w:rsidRPr="00007309" w:rsidRDefault="00007309" w:rsidP="00007309">
      <w:pPr>
        <w:jc w:val="both"/>
        <w:rPr>
          <w:rFonts w:cs="Arial"/>
          <w:b/>
          <w:bCs/>
          <w:sz w:val="24"/>
          <w:szCs w:val="24"/>
          <w:rtl/>
        </w:rPr>
      </w:pPr>
      <w:r w:rsidRPr="00007309">
        <w:rPr>
          <w:rFonts w:cs="Arial" w:hint="cs"/>
          <w:sz w:val="24"/>
          <w:szCs w:val="24"/>
          <w:rtl/>
        </w:rPr>
        <w:t>(</w:t>
      </w:r>
      <w:r w:rsidRPr="00007309">
        <w:rPr>
          <w:rFonts w:cs="Arial"/>
          <w:sz w:val="24"/>
          <w:szCs w:val="24"/>
          <w:rtl/>
        </w:rPr>
        <w:t>זהו מה שחסר לעיל בד</w:t>
      </w:r>
      <w:r w:rsidRPr="00007309">
        <w:rPr>
          <w:rFonts w:cs="Arial" w:hint="cs"/>
          <w:sz w:val="24"/>
          <w:szCs w:val="24"/>
          <w:rtl/>
        </w:rPr>
        <w:t xml:space="preserve">ף </w:t>
      </w:r>
      <w:r w:rsidRPr="00007309">
        <w:rPr>
          <w:rFonts w:cs="Arial"/>
          <w:sz w:val="24"/>
          <w:szCs w:val="24"/>
          <w:rtl/>
        </w:rPr>
        <w:t>קי"ד ע"ב כשאומר עם דרגין דסטרא דרכיו אצל פסקא והאדם ידע שיך זה)</w:t>
      </w:r>
      <w:r w:rsidRPr="00007309">
        <w:rPr>
          <w:rFonts w:cs="Arial"/>
          <w:b/>
          <w:bCs/>
          <w:sz w:val="24"/>
          <w:szCs w:val="24"/>
          <w:rtl/>
        </w:rPr>
        <w:t xml:space="preserve"> </w:t>
      </w:r>
      <w:r w:rsidRPr="00007309">
        <w:rPr>
          <w:rFonts w:cs="Arial"/>
          <w:b/>
          <w:bCs/>
          <w:sz w:val="36"/>
          <w:szCs w:val="28"/>
          <w:vertAlign w:val="superscript"/>
          <w:rtl/>
        </w:rPr>
        <w:footnoteReference w:id="8135"/>
      </w:r>
      <w:r w:rsidRPr="00007309">
        <w:rPr>
          <w:rFonts w:cs="Arial"/>
          <w:b/>
          <w:bCs/>
          <w:sz w:val="24"/>
          <w:szCs w:val="24"/>
          <w:rtl/>
        </w:rPr>
        <w:t xml:space="preserve">הָא הָכָא אָדָם דַּעֲשִׂיָּה וִיצִירָה </w:t>
      </w:r>
      <w:r w:rsidRPr="00007309">
        <w:rPr>
          <w:rFonts w:cs="Arial"/>
          <w:b/>
          <w:bCs/>
          <w:sz w:val="36"/>
          <w:szCs w:val="28"/>
          <w:vertAlign w:val="superscript"/>
          <w:rtl/>
        </w:rPr>
        <w:footnoteReference w:id="8136"/>
      </w:r>
      <w:r w:rsidRPr="00007309">
        <w:rPr>
          <w:rFonts w:cs="Arial"/>
          <w:b/>
          <w:bCs/>
          <w:sz w:val="24"/>
          <w:szCs w:val="24"/>
          <w:rtl/>
        </w:rPr>
        <w:t xml:space="preserve">אָדָם דִּבְרִיאָה דְּאוֹקְמוּהּ עַל תִּפְאֶרֶת. </w:t>
      </w:r>
      <w:r w:rsidRPr="00007309">
        <w:rPr>
          <w:rFonts w:cs="Arial"/>
          <w:b/>
          <w:bCs/>
          <w:sz w:val="36"/>
          <w:szCs w:val="28"/>
          <w:vertAlign w:val="superscript"/>
          <w:rtl/>
        </w:rPr>
        <w:footnoteReference w:id="8137"/>
      </w:r>
      <w:r w:rsidRPr="00007309">
        <w:rPr>
          <w:rFonts w:cs="Arial"/>
          <w:b/>
          <w:bCs/>
          <w:sz w:val="24"/>
          <w:szCs w:val="24"/>
          <w:rtl/>
        </w:rPr>
        <w:t xml:space="preserve">מַאי בְּצַלְמוֹ בְּצֶלֶם תְּרֵין דִּיּוֹקְנִין דִּילֵהּ לְעֵלָּא. אִלֵּין אִנּוּן ו'ו תְּרֵין וָוִין אִנּוּן תְּרֵין דִּיּוֹקְנִין דָּא </w:t>
      </w:r>
      <w:r w:rsidRPr="00007309">
        <w:rPr>
          <w:rFonts w:cs="Arial"/>
          <w:b/>
          <w:bCs/>
          <w:sz w:val="36"/>
          <w:szCs w:val="28"/>
          <w:vertAlign w:val="superscript"/>
          <w:rtl/>
        </w:rPr>
        <w:footnoteReference w:id="8138"/>
      </w:r>
      <w:r w:rsidRPr="00007309">
        <w:rPr>
          <w:rFonts w:cs="Arial"/>
          <w:b/>
          <w:bCs/>
          <w:sz w:val="24"/>
          <w:szCs w:val="24"/>
          <w:rtl/>
        </w:rPr>
        <w:t xml:space="preserve">דְּאִיהוּ אָדָם דְּאֶמְצָעִיתָא. </w:t>
      </w:r>
      <w:r w:rsidRPr="00007309">
        <w:rPr>
          <w:rFonts w:cs="Arial"/>
          <w:b/>
          <w:bCs/>
          <w:sz w:val="36"/>
          <w:szCs w:val="28"/>
          <w:vertAlign w:val="superscript"/>
          <w:rtl/>
        </w:rPr>
        <w:footnoteReference w:id="8139"/>
      </w:r>
      <w:r w:rsidRPr="00007309">
        <w:rPr>
          <w:rFonts w:cs="Arial"/>
          <w:b/>
          <w:bCs/>
          <w:sz w:val="24"/>
          <w:szCs w:val="24"/>
          <w:rtl/>
        </w:rPr>
        <w:t xml:space="preserve">דִּשְׁכִינְתָּא עִלָּאָה אִיהִי דְּמוּת אָדָם עִלָּאָה דְּאִיהוּ חָכְמָה. וּשְׁכִינְתָּא תַּתָּאָה דְּמוּת אָדָם דְּאִיהוּ עַמּוּדָא דְּאֶמְצָעִיתָא. וְעוֹד עַמּוּדָא דְּאֶמְצָעִיתָא בְּדִיּוֹקְנָא דְּכֶתֶר וְדָא </w:t>
      </w:r>
      <w:r w:rsidRPr="00007309">
        <w:rPr>
          <w:rFonts w:cs="Arial"/>
          <w:b/>
          <w:bCs/>
          <w:sz w:val="36"/>
          <w:szCs w:val="28"/>
          <w:vertAlign w:val="superscript"/>
          <w:rtl/>
        </w:rPr>
        <w:footnoteReference w:id="8140"/>
      </w:r>
      <w:r w:rsidRPr="00007309">
        <w:rPr>
          <w:rFonts w:cs="Arial"/>
          <w:b/>
          <w:bCs/>
          <w:sz w:val="24"/>
          <w:szCs w:val="24"/>
          <w:rtl/>
        </w:rPr>
        <w:t xml:space="preserve">אָדָם דִּבְרִיאָה. וְאָדָם דִּיצִירָה צַדִּיק בְּדִיּוֹקְנָא דְּחָכְמָה. וּבְגִין דָּא (מלכים א) וַיְהוָֹה נָתַן חָכְמָה לִשְׁלֹמֹה. דְּאִיהוּ צַדִּיק </w:t>
      </w:r>
      <w:r w:rsidRPr="00007309">
        <w:rPr>
          <w:rFonts w:cs="Arial"/>
          <w:b/>
          <w:bCs/>
          <w:sz w:val="36"/>
          <w:szCs w:val="28"/>
          <w:vertAlign w:val="superscript"/>
          <w:rtl/>
        </w:rPr>
        <w:footnoteReference w:id="8141"/>
      </w:r>
      <w:r w:rsidRPr="00007309">
        <w:rPr>
          <w:rFonts w:cs="Arial"/>
          <w:b/>
          <w:bCs/>
          <w:sz w:val="24"/>
          <w:szCs w:val="24"/>
          <w:rtl/>
        </w:rPr>
        <w:t xml:space="preserve">בְּרִית שָׁלוֹם שְׁלָם ה'. וּשְׁכִינְתָּא תַּתָּאָה אָדָם דַּעֲשִׂיָּה דְּמוּת דִּשְׁכִינְתָּא עִלָּאָה. וְעוֹד אָדָם </w:t>
      </w:r>
      <w:r w:rsidRPr="00007309">
        <w:rPr>
          <w:rFonts w:cs="Arial"/>
          <w:b/>
          <w:bCs/>
          <w:sz w:val="36"/>
          <w:szCs w:val="28"/>
          <w:vertAlign w:val="superscript"/>
          <w:rtl/>
        </w:rPr>
        <w:footnoteReference w:id="8142"/>
      </w:r>
      <w:r w:rsidRPr="00007309">
        <w:rPr>
          <w:rFonts w:cs="Arial"/>
          <w:b/>
          <w:bCs/>
          <w:sz w:val="24"/>
          <w:szCs w:val="24"/>
          <w:rtl/>
        </w:rPr>
        <w:t xml:space="preserve">מִסִּטְרָא דְּוָא'ו אִיהוּ אָרִיךְ אַנְפִּין </w:t>
      </w:r>
      <w:r w:rsidRPr="00007309">
        <w:rPr>
          <w:rFonts w:cs="Arial"/>
          <w:b/>
          <w:bCs/>
          <w:sz w:val="36"/>
          <w:szCs w:val="28"/>
          <w:vertAlign w:val="superscript"/>
          <w:rtl/>
        </w:rPr>
        <w:footnoteReference w:id="8143"/>
      </w:r>
      <w:r w:rsidRPr="00007309">
        <w:rPr>
          <w:rFonts w:cs="Arial"/>
          <w:b/>
          <w:bCs/>
          <w:sz w:val="24"/>
          <w:szCs w:val="24"/>
          <w:rtl/>
        </w:rPr>
        <w:t xml:space="preserve"> </w:t>
      </w:r>
      <w:r w:rsidRPr="00007309">
        <w:rPr>
          <w:rFonts w:cs="Arial"/>
          <w:b/>
          <w:bCs/>
          <w:sz w:val="36"/>
          <w:szCs w:val="28"/>
          <w:vertAlign w:val="superscript"/>
          <w:rtl/>
        </w:rPr>
        <w:footnoteReference w:id="8144"/>
      </w:r>
      <w:r w:rsidRPr="00007309">
        <w:rPr>
          <w:rFonts w:cs="Arial"/>
          <w:b/>
          <w:bCs/>
          <w:sz w:val="24"/>
          <w:szCs w:val="24"/>
          <w:rtl/>
        </w:rPr>
        <w:t xml:space="preserve">וְדָא אָדָם דִּבְרִיאָה אָדָם דִּיצִירָה זְעֵיר אַנְפִּין מִסִּטְרָא דִּוְיֵצֶר. יו'ו אִלֵּין אִנּוּן סְפִירָן דִּבְרִיאָה וִיצִירָה וַעֲשִׂיָּה תַּתָּאִין וְאָדָם דִּבְרִיאָה וִיצִירָה וַעֲשִׂיָּה עִלָּאִין. וְאַשְׁכַּחְנָא טְמִירִין בְּסִפְרָא דַּחֲנוֹךְ, דְּאָדָם </w:t>
      </w:r>
      <w:r w:rsidRPr="00007309">
        <w:rPr>
          <w:rFonts w:cs="Arial"/>
          <w:b/>
          <w:bCs/>
          <w:sz w:val="36"/>
          <w:szCs w:val="28"/>
          <w:vertAlign w:val="superscript"/>
          <w:rtl/>
        </w:rPr>
        <w:footnoteReference w:id="8145"/>
      </w:r>
      <w:r w:rsidRPr="00007309">
        <w:rPr>
          <w:rFonts w:cs="Arial"/>
          <w:b/>
          <w:bCs/>
          <w:sz w:val="24"/>
          <w:szCs w:val="24"/>
          <w:rtl/>
        </w:rPr>
        <w:t xml:space="preserve">בְּחֻשְׁבַּן זְעֵיר תֵּשַׁע אִיהוּ. וְכָל סְפִירָה אִתְקְרִיאת אָדָם. וּשְׁכִינְתָּא תַּתָּאָה דְּמוּת אָדָם. בְּקַדְמִיתָא עִלַּת הָעִלּוֹת אמ' לְכֶתֶר נַעֲשֶׂה אָדָם יְהֵא רֵישָׁא מִמְּךָ. הָדָא הוּא דִּכְתִיב (שיר ז) רֹאשְׁךָ עָלֶיךָ כְּכַרְמֶל. </w:t>
      </w:r>
      <w:r w:rsidRPr="00007309">
        <w:rPr>
          <w:rFonts w:cs="Arial"/>
          <w:b/>
          <w:bCs/>
          <w:sz w:val="36"/>
          <w:szCs w:val="28"/>
          <w:vertAlign w:val="superscript"/>
          <w:rtl/>
        </w:rPr>
        <w:footnoteReference w:id="8146"/>
      </w:r>
      <w:r w:rsidRPr="00007309">
        <w:rPr>
          <w:rFonts w:cs="Arial"/>
          <w:b/>
          <w:bCs/>
          <w:sz w:val="24"/>
          <w:szCs w:val="24"/>
          <w:rtl/>
        </w:rPr>
        <w:t xml:space="preserve">רֵישָׁא הָא חַד. וּמִצְחָא דִּילֵהּ וּתְרֵין עַיְנִין וּתְרֵין אוּדְנִין הָא שִׁית. וּתְרֵין אַנְפִּין וְחוֹטָמָא הָא תֵּשַׁע. נַעֲשֶׂה אָדָם </w:t>
      </w:r>
      <w:r w:rsidRPr="00007309">
        <w:rPr>
          <w:rFonts w:cs="Arial"/>
          <w:b/>
          <w:bCs/>
          <w:sz w:val="36"/>
          <w:szCs w:val="28"/>
          <w:vertAlign w:val="superscript"/>
          <w:rtl/>
        </w:rPr>
        <w:footnoteReference w:id="8147"/>
      </w:r>
      <w:r w:rsidRPr="00007309">
        <w:rPr>
          <w:rFonts w:cs="Arial"/>
          <w:b/>
          <w:bCs/>
          <w:sz w:val="24"/>
          <w:szCs w:val="24"/>
          <w:rtl/>
        </w:rPr>
        <w:t xml:space="preserve">הָא פּוּמָא דִּיהֵא עֲשִׂירִית כְּלָלָא דְּכֹלָּא. אָמַר לוֹ רִבּוֹן עָלְמָא </w:t>
      </w:r>
      <w:r w:rsidRPr="00007309">
        <w:rPr>
          <w:rFonts w:cs="Arial"/>
          <w:b/>
          <w:bCs/>
          <w:sz w:val="36"/>
          <w:szCs w:val="28"/>
          <w:vertAlign w:val="superscript"/>
          <w:rtl/>
        </w:rPr>
        <w:footnoteReference w:id="8148"/>
      </w:r>
      <w:r w:rsidRPr="00007309">
        <w:rPr>
          <w:rFonts w:cs="Arial"/>
          <w:b/>
          <w:bCs/>
          <w:sz w:val="24"/>
          <w:szCs w:val="24"/>
          <w:rtl/>
        </w:rPr>
        <w:t xml:space="preserve">כָּל עָמָל הָאָדָם לְפִיהוּ. וְכָל גִּלְגּוּלִין דִּילֵהּ לְפִיהוּ. </w:t>
      </w:r>
      <w:r w:rsidRPr="00007309">
        <w:rPr>
          <w:rFonts w:cs="Arial"/>
          <w:b/>
          <w:bCs/>
          <w:sz w:val="36"/>
          <w:szCs w:val="28"/>
          <w:vertAlign w:val="superscript"/>
          <w:rtl/>
        </w:rPr>
        <w:footnoteReference w:id="8149"/>
      </w:r>
      <w:r w:rsidRPr="00007309">
        <w:rPr>
          <w:rFonts w:cs="Arial"/>
          <w:b/>
          <w:bCs/>
          <w:sz w:val="24"/>
          <w:szCs w:val="24"/>
          <w:rtl/>
        </w:rPr>
        <w:t>וְאֶפְשָר דְּיָהִיב בְּשַׁעֲתָא דִּמְזוֹנֵי. אָמַר לוֹ אֲנָא אִשְׁתְּתַף בְּכוּ לָא יְהֵא עָמָל בְּפִיהוּ. בְּהַהוּא זִמְנָא בָּרָא כֹּלָּא בְּלֹא עָמָל וִיגִיעָה. הָדָא הוּא דִּכְתִיב (תהלים לג) בִּדְבַר ה' שָׁמַיִם נַעֲשׂוּ וּבְרוּחַ פִּיו כָּל צְבָאָם. אָמַר רִבִּי אֶלְעָזָר וּמֶה עָמָל הֲוָה לְעֵלָּא וְחֶסְרוֹנָא דִּמְזוֹנָא. אָמַר לוֹ אֵין</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150"/>
      </w:r>
      <w:r w:rsidRPr="00007309">
        <w:rPr>
          <w:rFonts w:cs="Arial"/>
          <w:b/>
          <w:bCs/>
          <w:sz w:val="24"/>
          <w:szCs w:val="24"/>
          <w:rtl/>
        </w:rPr>
        <w:t xml:space="preserve">דְּהַהוּא אָדָם קַדְמוֹן הֲוָה </w:t>
      </w:r>
      <w:r w:rsidRPr="00007309">
        <w:rPr>
          <w:rFonts w:cs="Arial"/>
          <w:b/>
          <w:bCs/>
          <w:sz w:val="36"/>
          <w:szCs w:val="28"/>
          <w:vertAlign w:val="superscript"/>
          <w:rtl/>
        </w:rPr>
        <w:footnoteReference w:id="8151"/>
      </w:r>
      <w:r w:rsidRPr="00007309">
        <w:rPr>
          <w:rFonts w:cs="Arial"/>
          <w:b/>
          <w:bCs/>
          <w:sz w:val="24"/>
          <w:szCs w:val="24"/>
          <w:rtl/>
        </w:rPr>
        <w:t>בָּנֵי עָלְמִין וּמַחֲרִיבָן. בְּגִין דְּעִלַּת הָעִלּוֹת לָא הֲוָה מִשְׁתַּתֵּף תַּמָּן. בְּגִין דְּעַד הַשְׁתָּא לָא הֲוָה שְׁלִים בְּנוּקְבָא דִּילֵהּ. וּבְגִין דָּא אָמַר (בראשית א) נַעֲשֶׂה אָדָם דְּאִיהוּ נוּקְבָא</w:t>
      </w:r>
      <w:r w:rsidRPr="00007309">
        <w:rPr>
          <w:rFonts w:cs="Arial" w:hint="cs"/>
          <w:b/>
          <w:bCs/>
          <w:sz w:val="24"/>
          <w:szCs w:val="24"/>
          <w:rtl/>
        </w:rPr>
        <w:t>,</w:t>
      </w:r>
      <w:r w:rsidRPr="00007309">
        <w:rPr>
          <w:rFonts w:cs="Arial"/>
          <w:b/>
          <w:bCs/>
          <w:sz w:val="24"/>
          <w:szCs w:val="24"/>
          <w:rtl/>
        </w:rPr>
        <w:t xml:space="preserve"> וְאִשְׁתְּתַף תַּמָּן</w:t>
      </w:r>
      <w:r w:rsidRPr="00007309">
        <w:rPr>
          <w:rFonts w:cs="Arial" w:hint="cs"/>
          <w:b/>
          <w:bCs/>
          <w:sz w:val="24"/>
          <w:szCs w:val="24"/>
          <w:rtl/>
        </w:rPr>
        <w:t>,</w:t>
      </w:r>
      <w:r w:rsidRPr="00007309">
        <w:rPr>
          <w:rFonts w:cs="Arial"/>
          <w:b/>
          <w:bCs/>
          <w:sz w:val="24"/>
          <w:szCs w:val="24"/>
          <w:rtl/>
        </w:rPr>
        <w:t xml:space="preserve"> דְּאִיהוּ לָא שַׁרְיָא אֶלָּא בַּאֲתַר שְׁלִים. </w:t>
      </w:r>
    </w:p>
    <w:p w:rsidR="00007309" w:rsidRPr="00007309" w:rsidRDefault="00007309" w:rsidP="00007309">
      <w:pPr>
        <w:keepNext/>
        <w:outlineLvl w:val="1"/>
        <w:rPr>
          <w:rFonts w:ascii="Cambria" w:hAnsi="Cambria" w:cs="Times New Roman"/>
          <w:b/>
          <w:bCs/>
          <w:i/>
          <w:iCs/>
          <w:sz w:val="28"/>
          <w:szCs w:val="28"/>
          <w:rtl/>
        </w:rPr>
      </w:pPr>
      <w:r w:rsidRPr="00007309">
        <w:rPr>
          <w:rFonts w:ascii="Cambria" w:hAnsi="Cambria" w:cs="Times New Roman"/>
          <w:b/>
          <w:bCs/>
          <w:i/>
          <w:iCs/>
          <w:sz w:val="28"/>
          <w:szCs w:val="28"/>
          <w:rtl/>
        </w:rPr>
        <w:t>[</w:t>
      </w:r>
      <w:r w:rsidRPr="00007309">
        <w:rPr>
          <w:rFonts w:ascii="Cambria" w:hAnsi="Cambria" w:cs="Times New Roman" w:hint="cs"/>
          <w:b/>
          <w:bCs/>
          <w:i/>
          <w:iCs/>
          <w:sz w:val="28"/>
          <w:szCs w:val="28"/>
          <w:rtl/>
        </w:rPr>
        <w:t>דף</w:t>
      </w:r>
      <w:r w:rsidRPr="00007309">
        <w:rPr>
          <w:rFonts w:ascii="Cambria" w:hAnsi="Cambria" w:cs="Times New Roman"/>
          <w:b/>
          <w:bCs/>
          <w:i/>
          <w:iCs/>
          <w:sz w:val="28"/>
          <w:szCs w:val="28"/>
          <w:rtl/>
        </w:rPr>
        <w:t xml:space="preserve"> </w:t>
      </w:r>
      <w:r w:rsidRPr="00007309">
        <w:rPr>
          <w:rFonts w:ascii="Cambria" w:hAnsi="Cambria" w:cs="Times New Roman" w:hint="cs"/>
          <w:b/>
          <w:bCs/>
          <w:i/>
          <w:iCs/>
          <w:sz w:val="28"/>
          <w:szCs w:val="28"/>
          <w:rtl/>
        </w:rPr>
        <w:t>פה</w:t>
      </w:r>
      <w:r w:rsidRPr="00007309">
        <w:rPr>
          <w:rFonts w:ascii="Cambria" w:hAnsi="Cambria" w:cs="Times New Roman"/>
          <w:b/>
          <w:bCs/>
          <w:i/>
          <w:iCs/>
          <w:sz w:val="28"/>
          <w:szCs w:val="28"/>
          <w:rtl/>
        </w:rPr>
        <w:t xml:space="preserve"> ע"</w:t>
      </w:r>
      <w:r w:rsidRPr="00007309">
        <w:rPr>
          <w:rFonts w:ascii="Cambria" w:hAnsi="Cambria" w:cs="Times New Roman" w:hint="cs"/>
          <w:b/>
          <w:bCs/>
          <w:i/>
          <w:iCs/>
          <w:sz w:val="28"/>
          <w:szCs w:val="28"/>
          <w:rtl/>
        </w:rPr>
        <w:t>ג</w:t>
      </w:r>
      <w:r w:rsidRPr="00007309">
        <w:rPr>
          <w:rFonts w:ascii="Cambria" w:hAnsi="Cambria" w:cs="Times New Roman"/>
          <w:b/>
          <w:bCs/>
          <w:i/>
          <w:iCs/>
          <w:sz w:val="28"/>
          <w:szCs w:val="28"/>
          <w:rtl/>
        </w:rPr>
        <w:t>]</w:t>
      </w:r>
    </w:p>
    <w:p w:rsidR="00007309" w:rsidRPr="00007309" w:rsidRDefault="00007309" w:rsidP="00007309">
      <w:pPr>
        <w:keepNext/>
        <w:spacing w:before="240" w:after="60"/>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 xml:space="preserve"> [וילנא מ ע"א]</w:t>
      </w:r>
    </w:p>
    <w:p w:rsidR="00007309" w:rsidRPr="00007309" w:rsidRDefault="00007309" w:rsidP="00007309">
      <w:pPr>
        <w:jc w:val="both"/>
        <w:rPr>
          <w:rFonts w:cs="Arial"/>
          <w:b/>
          <w:bCs/>
          <w:sz w:val="24"/>
          <w:szCs w:val="24"/>
          <w:rtl/>
        </w:rPr>
      </w:pPr>
      <w:r w:rsidRPr="00007309">
        <w:rPr>
          <w:rFonts w:cs="Arial"/>
          <w:b/>
          <w:bCs/>
          <w:sz w:val="24"/>
          <w:szCs w:val="24"/>
          <w:rtl/>
        </w:rPr>
        <w:t xml:space="preserve">לְבָתַר נָחִית לְמֹחָא דְּאִיהוּ חָכְמָה וְאָמַר נַעֲשֶׂה אָדָם. </w:t>
      </w:r>
      <w:r w:rsidRPr="00007309">
        <w:rPr>
          <w:rFonts w:cs="Arial"/>
          <w:b/>
          <w:bCs/>
          <w:sz w:val="36"/>
          <w:szCs w:val="28"/>
          <w:vertAlign w:val="superscript"/>
          <w:rtl/>
        </w:rPr>
        <w:footnoteReference w:id="8152"/>
      </w:r>
      <w:r w:rsidRPr="00007309">
        <w:rPr>
          <w:rFonts w:cs="Arial"/>
          <w:b/>
          <w:bCs/>
          <w:sz w:val="24"/>
          <w:szCs w:val="24"/>
          <w:rtl/>
        </w:rPr>
        <w:t xml:space="preserve">דְּמֹחָא אִיהוּ חַד </w:t>
      </w:r>
      <w:r w:rsidRPr="00007309">
        <w:rPr>
          <w:rFonts w:cs="Arial"/>
          <w:b/>
          <w:bCs/>
          <w:sz w:val="36"/>
          <w:szCs w:val="28"/>
          <w:vertAlign w:val="superscript"/>
          <w:rtl/>
        </w:rPr>
        <w:footnoteReference w:id="8153"/>
      </w:r>
      <w:r w:rsidRPr="00007309">
        <w:rPr>
          <w:rFonts w:cs="Arial"/>
          <w:b/>
          <w:bCs/>
          <w:sz w:val="24"/>
          <w:szCs w:val="24"/>
          <w:rtl/>
        </w:rPr>
        <w:t xml:space="preserve">וְאִתְפְּלַג לְד' מֹחִין הָא חָמֵשׁ. </w:t>
      </w:r>
      <w:r w:rsidRPr="00007309">
        <w:rPr>
          <w:rFonts w:cs="Arial"/>
          <w:b/>
          <w:bCs/>
          <w:sz w:val="36"/>
          <w:szCs w:val="28"/>
          <w:vertAlign w:val="superscript"/>
          <w:rtl/>
        </w:rPr>
        <w:footnoteReference w:id="8154"/>
      </w:r>
      <w:r w:rsidRPr="00007309">
        <w:rPr>
          <w:rFonts w:cs="Arial"/>
          <w:b/>
          <w:bCs/>
          <w:sz w:val="24"/>
          <w:szCs w:val="24"/>
          <w:rtl/>
        </w:rPr>
        <w:t xml:space="preserve">וּתְרֵין כַּנְפֵי רֵאָה </w:t>
      </w:r>
      <w:r w:rsidRPr="00007309">
        <w:rPr>
          <w:rFonts w:cs="Arial"/>
          <w:b/>
          <w:bCs/>
          <w:sz w:val="36"/>
          <w:szCs w:val="28"/>
          <w:vertAlign w:val="superscript"/>
          <w:rtl/>
        </w:rPr>
        <w:footnoteReference w:id="8155"/>
      </w:r>
      <w:r w:rsidRPr="00007309">
        <w:rPr>
          <w:rFonts w:cs="Arial"/>
          <w:b/>
          <w:bCs/>
          <w:sz w:val="24"/>
          <w:szCs w:val="24"/>
          <w:rtl/>
        </w:rPr>
        <w:t xml:space="preserve">וּתְרֵין כֻּלְּיָן </w:t>
      </w:r>
      <w:r w:rsidRPr="00007309">
        <w:rPr>
          <w:rFonts w:cs="Arial"/>
          <w:b/>
          <w:bCs/>
          <w:sz w:val="36"/>
          <w:szCs w:val="28"/>
          <w:vertAlign w:val="superscript"/>
          <w:rtl/>
        </w:rPr>
        <w:footnoteReference w:id="8156"/>
      </w:r>
      <w:r w:rsidRPr="00007309">
        <w:rPr>
          <w:rFonts w:cs="Arial"/>
          <w:b/>
          <w:bCs/>
          <w:sz w:val="24"/>
          <w:szCs w:val="24"/>
          <w:rtl/>
        </w:rPr>
        <w:t xml:space="preserve">דְּאִתְחֲשִׁיבוּ עִמֵּהּ מִלְּגָאו, הָא תֵּשַׁע וְאָמַר נַעֲשֶׂה אָדָם </w:t>
      </w:r>
      <w:r w:rsidRPr="00007309">
        <w:rPr>
          <w:rFonts w:ascii="Cambria" w:hAnsi="Cambria" w:cs="Times New Roman"/>
          <w:b/>
          <w:bCs/>
          <w:i/>
          <w:iCs/>
          <w:color w:val="4F81BD"/>
          <w:sz w:val="24"/>
          <w:szCs w:val="24"/>
          <w:rtl/>
        </w:rPr>
        <w:t xml:space="preserve">(וילנא </w:t>
      </w:r>
      <w:r w:rsidRPr="00007309">
        <w:rPr>
          <w:rFonts w:ascii="Cambria" w:hAnsi="Cambria" w:cs="Times New Roman" w:hint="cs"/>
          <w:b/>
          <w:bCs/>
          <w:i/>
          <w:iCs/>
          <w:color w:val="4F81BD"/>
          <w:sz w:val="24"/>
          <w:szCs w:val="24"/>
          <w:rtl/>
        </w:rPr>
        <w:t>מ</w:t>
      </w:r>
      <w:r w:rsidRPr="00007309">
        <w:rPr>
          <w:rFonts w:ascii="Cambria" w:hAnsi="Cambria" w:cs="Times New Roman"/>
          <w:b/>
          <w:bCs/>
          <w:i/>
          <w:iCs/>
          <w:color w:val="4F81BD"/>
          <w:sz w:val="24"/>
          <w:szCs w:val="24"/>
          <w:rtl/>
        </w:rPr>
        <w:t xml:space="preserve"> ע"</w:t>
      </w:r>
      <w:r w:rsidRPr="00007309">
        <w:rPr>
          <w:rFonts w:ascii="Cambria" w:hAnsi="Cambria" w:cs="Times New Roman" w:hint="cs"/>
          <w:b/>
          <w:bCs/>
          <w:i/>
          <w:iCs/>
          <w:color w:val="4F81BD"/>
          <w:sz w:val="24"/>
          <w:szCs w:val="24"/>
          <w:rtl/>
        </w:rPr>
        <w:t>א</w:t>
      </w:r>
      <w:r w:rsidRPr="00007309">
        <w:rPr>
          <w:rFonts w:ascii="Cambria" w:hAnsi="Cambria" w:cs="Times New Roman"/>
          <w:b/>
          <w:bCs/>
          <w:i/>
          <w:iCs/>
          <w:color w:val="4F81BD"/>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157"/>
      </w:r>
      <w:r w:rsidRPr="00007309">
        <w:rPr>
          <w:rFonts w:cs="Arial"/>
          <w:b/>
          <w:bCs/>
          <w:sz w:val="24"/>
          <w:szCs w:val="24"/>
          <w:rtl/>
        </w:rPr>
        <w:t xml:space="preserve">דָּא לִבָּא דִּיהֵא שְׁלִימוּ דְּכֹלָּא. וּלְבָתַר נָחִית לְגוּפָא וְאָמַר נַעֲשֶׂה אָדָם. </w:t>
      </w:r>
      <w:r w:rsidRPr="00007309">
        <w:rPr>
          <w:rFonts w:cs="Arial"/>
          <w:b/>
          <w:bCs/>
          <w:sz w:val="36"/>
          <w:szCs w:val="28"/>
          <w:vertAlign w:val="superscript"/>
          <w:rtl/>
        </w:rPr>
        <w:footnoteReference w:id="8158"/>
      </w:r>
      <w:r w:rsidRPr="00007309">
        <w:rPr>
          <w:rFonts w:cs="Arial"/>
          <w:b/>
          <w:bCs/>
          <w:sz w:val="24"/>
          <w:szCs w:val="24"/>
          <w:rtl/>
        </w:rPr>
        <w:t xml:space="preserve">דְּגוּפָא עָלֵהּ צַוָּאר </w:t>
      </w:r>
      <w:r w:rsidRPr="00007309">
        <w:rPr>
          <w:rFonts w:cs="Arial"/>
          <w:b/>
          <w:bCs/>
          <w:sz w:val="36"/>
          <w:szCs w:val="28"/>
          <w:vertAlign w:val="superscript"/>
          <w:rtl/>
        </w:rPr>
        <w:footnoteReference w:id="8159"/>
      </w:r>
      <w:r w:rsidRPr="00007309">
        <w:rPr>
          <w:rFonts w:cs="Arial"/>
          <w:b/>
          <w:bCs/>
          <w:sz w:val="24"/>
          <w:szCs w:val="24"/>
          <w:rtl/>
        </w:rPr>
        <w:t xml:space="preserve">וְקָנֶה וּוֶשֶׁט הָא תְּלָת. וְגוּף וּתְרֵין דְּרוֹעִין הָא שִׁית. וּבְרִית וּתְרֵין שׁוֹקִין הָא תֵּשַׁע. נַעֲשֶׂה אָדָם עֲשִׂירִית </w:t>
      </w:r>
      <w:r w:rsidRPr="00007309">
        <w:rPr>
          <w:rFonts w:cs="Arial"/>
          <w:b/>
          <w:bCs/>
          <w:sz w:val="36"/>
          <w:szCs w:val="28"/>
          <w:vertAlign w:val="superscript"/>
          <w:rtl/>
        </w:rPr>
        <w:footnoteReference w:id="8160"/>
      </w:r>
      <w:r w:rsidRPr="00007309">
        <w:rPr>
          <w:rFonts w:cs="Arial"/>
          <w:b/>
          <w:bCs/>
          <w:sz w:val="24"/>
          <w:szCs w:val="24"/>
          <w:rtl/>
        </w:rPr>
        <w:t xml:space="preserve">לְכֹלָּא דָּא נוּקְבָא בְּכָל אֲתַר נוּקְבָא דָּא שְׁכִינְתָּא תַּתָּאָה אִיהִי שְׁלִימוּ דְּעִלָּאִין וְתַתָּאִין. וְהָכֵי אָזִיל בְּכָל אֵבָר וְאֵבָר וּבְכָל סְפִירָה וּסְפִירָה, וְאָמַר נַעֲשֶׂה אָדָם. </w:t>
      </w:r>
      <w:r w:rsidRPr="00007309">
        <w:rPr>
          <w:rFonts w:cs="Arial"/>
          <w:b/>
          <w:bCs/>
          <w:sz w:val="36"/>
          <w:szCs w:val="28"/>
          <w:vertAlign w:val="superscript"/>
          <w:rtl/>
        </w:rPr>
        <w:footnoteReference w:id="8161"/>
      </w:r>
      <w:r w:rsidRPr="00007309">
        <w:rPr>
          <w:rFonts w:cs="Arial"/>
          <w:b/>
          <w:bCs/>
          <w:sz w:val="24"/>
          <w:szCs w:val="24"/>
          <w:rtl/>
        </w:rPr>
        <w:t xml:space="preserve">עַד דְּאִתְכְּלִילַת שְׁכִינְתָּא בְּכָל סְפִירָה וּבְכָל אֵבָר. בְּהַהוּא זִמְנָא דְּאִשְׁתְּלִימוּ כָּל אֵבָרִין בָּהּ כָּל חַד לְעֶשֶׂר </w:t>
      </w:r>
      <w:r w:rsidRPr="00007309">
        <w:rPr>
          <w:rFonts w:cs="Arial"/>
          <w:b/>
          <w:bCs/>
          <w:sz w:val="36"/>
          <w:szCs w:val="28"/>
          <w:vertAlign w:val="superscript"/>
          <w:rtl/>
        </w:rPr>
        <w:footnoteReference w:id="8162"/>
      </w:r>
      <w:r w:rsidRPr="00007309">
        <w:rPr>
          <w:rFonts w:cs="Arial"/>
          <w:b/>
          <w:bCs/>
          <w:sz w:val="24"/>
          <w:szCs w:val="24"/>
          <w:rtl/>
        </w:rPr>
        <w:t xml:space="preserve">כְּגַוְנָא דָּא, יוּ"ד הֵ"א וָא"ו הֵ"א. לְבָתַר נָחִית </w:t>
      </w:r>
      <w:r w:rsidRPr="00007309">
        <w:rPr>
          <w:rFonts w:cs="Arial"/>
          <w:b/>
          <w:bCs/>
          <w:sz w:val="36"/>
          <w:szCs w:val="28"/>
          <w:vertAlign w:val="superscript"/>
          <w:rtl/>
        </w:rPr>
        <w:footnoteReference w:id="8163"/>
      </w:r>
      <w:r w:rsidRPr="00007309">
        <w:rPr>
          <w:rFonts w:cs="Arial"/>
          <w:b/>
          <w:bCs/>
          <w:sz w:val="24"/>
          <w:szCs w:val="24"/>
          <w:rtl/>
        </w:rPr>
        <w:t>לְאַרְבַּע חֵיוָן דְּאִתְנְטִיל מִנַּיְהוּ אָדָם</w:t>
      </w:r>
      <w:r w:rsidRPr="00007309">
        <w:rPr>
          <w:rFonts w:cs="Arial"/>
          <w:b/>
          <w:bCs/>
          <w:sz w:val="24"/>
          <w:szCs w:val="28"/>
        </w:rPr>
        <w:t xml:space="preserve"> </w:t>
      </w:r>
      <w:r w:rsidRPr="00007309">
        <w:rPr>
          <w:rFonts w:cs="Arial"/>
          <w:b/>
          <w:bCs/>
          <w:sz w:val="24"/>
          <w:szCs w:val="24"/>
        </w:rPr>
        <w:t xml:space="preserve"> </w:t>
      </w:r>
      <w:r w:rsidRPr="00007309">
        <w:rPr>
          <w:rFonts w:cs="Arial"/>
          <w:b/>
          <w:bCs/>
          <w:sz w:val="24"/>
          <w:szCs w:val="24"/>
          <w:rtl/>
        </w:rPr>
        <w:t xml:space="preserve">דְּאִנּוּן יְהוָֹ'ה. וְאָמַר נַעֲשֶׂה אָדָם לְמֶהֱוֵי </w:t>
      </w:r>
      <w:r w:rsidRPr="00007309">
        <w:rPr>
          <w:rFonts w:ascii="Cambria" w:hAnsi="Cambria" w:cs="Times New Roman"/>
          <w:b/>
          <w:bCs/>
          <w:i/>
          <w:iCs/>
          <w:color w:val="4F81BD"/>
          <w:sz w:val="24"/>
          <w:szCs w:val="24"/>
          <w:rtl/>
        </w:rPr>
        <w:t>(</w:t>
      </w:r>
      <w:r w:rsidRPr="00007309">
        <w:rPr>
          <w:rFonts w:ascii="Cambria" w:hAnsi="Cambria" w:cs="Times New Roman" w:hint="cs"/>
          <w:b/>
          <w:bCs/>
          <w:i/>
          <w:iCs/>
          <w:color w:val="4F81BD"/>
          <w:sz w:val="24"/>
          <w:szCs w:val="24"/>
          <w:rtl/>
        </w:rPr>
        <w:t>פה</w:t>
      </w:r>
      <w:r w:rsidRPr="00007309">
        <w:rPr>
          <w:rFonts w:ascii="Cambria" w:hAnsi="Cambria" w:cs="Times New Roman"/>
          <w:b/>
          <w:bCs/>
          <w:i/>
          <w:iCs/>
          <w:color w:val="4F81BD"/>
          <w:sz w:val="24"/>
          <w:szCs w:val="24"/>
          <w:rtl/>
        </w:rPr>
        <w:t xml:space="preserve"> ע"</w:t>
      </w:r>
      <w:r w:rsidRPr="00007309">
        <w:rPr>
          <w:rFonts w:ascii="Cambria" w:hAnsi="Cambria" w:cs="Times New Roman" w:hint="cs"/>
          <w:b/>
          <w:bCs/>
          <w:i/>
          <w:iCs/>
          <w:color w:val="4F81BD"/>
          <w:sz w:val="24"/>
          <w:szCs w:val="24"/>
          <w:rtl/>
        </w:rPr>
        <w:t>ג</w:t>
      </w:r>
      <w:r w:rsidRPr="00007309">
        <w:rPr>
          <w:rFonts w:ascii="Cambria" w:hAnsi="Cambria" w:cs="Times New Roman"/>
          <w:b/>
          <w:bCs/>
          <w:i/>
          <w:iCs/>
          <w:color w:val="4F81BD"/>
          <w:sz w:val="24"/>
          <w:szCs w:val="24"/>
          <w:rtl/>
        </w:rPr>
        <w:t>)</w:t>
      </w:r>
      <w:r w:rsidRPr="00007309">
        <w:rPr>
          <w:rFonts w:cs="Arial"/>
          <w:b/>
          <w:bCs/>
          <w:sz w:val="24"/>
          <w:szCs w:val="24"/>
          <w:rtl/>
        </w:rPr>
        <w:t xml:space="preserve"> שְׁכִינְתָּא כְּלִילָא מִכָּל סִטְרָא. וְהָכֵי נָחִית לְתַתָּא לְכָל צָבָא הַשָּׁמַיִם וְאָמַר נַעֲשֶׂה אָדָם. וְהָכֵי לְתַתָּא בִּבְנֵי נָשָׁא. וְאֶלְעָזָר בְּרִי נְקֹט הַאי כְּלָלָא בִּידָךְ, דִּבְכָל אֲתַר דְּלֵית שְׁכִינְתָּא תַּמָּן, לֵית שְׁלֵמוּתָא תַּמָּן, וְעִלַּת הָעִלּוֹת לָא שַׁרְיָא תַּמָּן. וּבְגִין דָּא אִיהוּ בַּר נָשׁ פָּגִים בְּלֹא נוּקְבָא, וְלָא שַׁרְיָא קוּדְשָׁא בְּרִיךְ הוּא עָלֵהּ. אָמַר רִבִּי אֶלְעָזָר וְכָל חַבְרַיָּא דְּתַמָּן אֵלּוּ לָא אֲתֵינָא לְעָלְמָא אֶלָּא לְמִשְׁמַע דָּא דִּי. </w:t>
      </w:r>
    </w:p>
    <w:p w:rsidR="00007309" w:rsidRPr="00007309" w:rsidRDefault="00007309" w:rsidP="00007309">
      <w:pPr>
        <w:jc w:val="both"/>
        <w:rPr>
          <w:rFonts w:cs="Arial"/>
          <w:b/>
          <w:bCs/>
          <w:sz w:val="24"/>
          <w:szCs w:val="24"/>
          <w:rtl/>
        </w:rPr>
      </w:pPr>
      <w:r w:rsidRPr="00007309">
        <w:rPr>
          <w:rFonts w:cs="Arial"/>
          <w:b/>
          <w:bCs/>
          <w:sz w:val="24"/>
          <w:szCs w:val="24"/>
          <w:rtl/>
        </w:rPr>
        <w:t xml:space="preserve">וְעוֹד אָמַר רִבִּי שִׁמְעוֹן בִּרְכָּאן לָא נָחְתִין </w:t>
      </w:r>
      <w:r w:rsidRPr="00007309">
        <w:rPr>
          <w:rFonts w:cs="Arial"/>
          <w:b/>
          <w:bCs/>
          <w:sz w:val="36"/>
          <w:szCs w:val="28"/>
          <w:vertAlign w:val="superscript"/>
          <w:rtl/>
        </w:rPr>
        <w:footnoteReference w:id="8164"/>
      </w:r>
      <w:r w:rsidRPr="00007309">
        <w:rPr>
          <w:rFonts w:cs="Arial"/>
          <w:b/>
          <w:bCs/>
          <w:sz w:val="24"/>
          <w:szCs w:val="24"/>
          <w:rtl/>
        </w:rPr>
        <w:t>עַל סְפִירָה וְלָא נְבִיעוּ, עַד דִּשְׁכִינְתָּא אִתְחַבְּרַת בְּקוּדְשָׁא בְּרִיךְ הוּא. הָדָא הוּא דִּכְתִיב</w:t>
      </w:r>
      <w:r w:rsidRPr="00007309">
        <w:rPr>
          <w:rFonts w:cs="Arial"/>
          <w:b/>
          <w:bCs/>
          <w:sz w:val="24"/>
          <w:szCs w:val="24"/>
        </w:rPr>
        <w:t xml:space="preserve"> (</w:t>
      </w:r>
      <w:r w:rsidRPr="00007309">
        <w:rPr>
          <w:rFonts w:cs="Arial"/>
          <w:b/>
          <w:bCs/>
          <w:sz w:val="24"/>
          <w:szCs w:val="24"/>
          <w:rtl/>
        </w:rPr>
        <w:t xml:space="preserve">בראשית ב) כִּי לֹא הִמְטִיר ה' אֱלֹהִים עַל הָאָרֶץ. אַמַּאי </w:t>
      </w:r>
      <w:r w:rsidRPr="00007309">
        <w:rPr>
          <w:rFonts w:cs="Arial"/>
          <w:b/>
          <w:bCs/>
          <w:sz w:val="36"/>
          <w:szCs w:val="28"/>
          <w:vertAlign w:val="superscript"/>
          <w:rtl/>
        </w:rPr>
        <w:footnoteReference w:id="8165"/>
      </w:r>
      <w:r w:rsidRPr="00007309">
        <w:rPr>
          <w:rFonts w:cs="Arial"/>
          <w:b/>
          <w:bCs/>
          <w:sz w:val="24"/>
          <w:szCs w:val="24"/>
          <w:rtl/>
        </w:rPr>
        <w:t xml:space="preserve">בְּגִין דְּאָדָם אַיִן. </w:t>
      </w:r>
      <w:r w:rsidRPr="00007309">
        <w:rPr>
          <w:rFonts w:cs="Arial"/>
          <w:b/>
          <w:bCs/>
          <w:sz w:val="36"/>
          <w:szCs w:val="28"/>
          <w:vertAlign w:val="superscript"/>
          <w:rtl/>
        </w:rPr>
        <w:footnoteReference w:id="8166"/>
      </w:r>
      <w:r w:rsidRPr="00007309">
        <w:rPr>
          <w:rFonts w:cs="Arial"/>
          <w:b/>
          <w:bCs/>
          <w:sz w:val="24"/>
          <w:szCs w:val="24"/>
          <w:rtl/>
        </w:rPr>
        <w:t xml:space="preserve">דְּעָלֵהּ אִתְּמַר (יחזקאל מה) לְהָנִיחַ בְּרָכָה אֶל בֵּיתֶךָ. וְאָדָם לֹא אִתְקְרֵי בְּלֹא נוּקְבָא, וּבְגִין דָּא כִּי לֹא הִמְטִיר ה' אֱלֹהִים עַל הָאָרֶץ. וְהָאָרֶץ הָיְתָה תֹהוּ וָבֹהוּ. וְכָל בִּנְיָנִין הֲווֹ חֲרֵבִין וִיבֵשִׁין בְּלָא נְבִיעוּ, עַד דְּאָתַת שְׁכִינְתָּא. וּבְגִין דָּא (שמות כ) בְּכָל הַמָּקוֹם אֲשֶׁר אַזְכִּיר אֶת שְׁמִי אָבֹא אֵלֶיךָ וּבֵרַכְתִּיךָ. וְתִרְגֵּם אֻנְקְלוֹס בְּכָל אַתְרָא דְּאַשְׁרֵי יָת שְׁכִינָתִי. דְּכָל </w:t>
      </w:r>
      <w:r w:rsidRPr="00007309">
        <w:rPr>
          <w:rFonts w:cs="Arial"/>
          <w:b/>
          <w:bCs/>
          <w:sz w:val="36"/>
          <w:szCs w:val="28"/>
          <w:vertAlign w:val="superscript"/>
          <w:rtl/>
        </w:rPr>
        <w:footnoteReference w:id="8167"/>
      </w:r>
      <w:r w:rsidRPr="00007309">
        <w:rPr>
          <w:rFonts w:cs="Arial"/>
          <w:b/>
          <w:bCs/>
          <w:sz w:val="24"/>
          <w:szCs w:val="24"/>
          <w:rtl/>
        </w:rPr>
        <w:t xml:space="preserve">בִּרְכָּאן בֵּהּ מִתְכַּנְּשִׁין. וּבְגִינֵהּ אִתְּמַר כָּל הַכּוֹרֵעַ כּוֹרֵעַ בְּבָרוּךְ. מַאי בָּרוּךְ כ' כֶּתֶר. ר' רֵאשִׁית חָכְמָה. ב' אִמָּא עִלָּאָה וְאִמָּא תַּתָּאָה. ו' כָּלִיל שִׁית סְפִירָן, הָא עֶשֶׂר כְּלִילָן בָּהּ וְכֻלְּהוּ מִתְכַּנְּשִׁין לְגַבָּהּ. וּבְגִין דָּא אִתְקְרִיאַת </w:t>
      </w:r>
      <w:r w:rsidRPr="00007309">
        <w:rPr>
          <w:rFonts w:cs="Arial"/>
          <w:b/>
          <w:bCs/>
          <w:sz w:val="36"/>
          <w:szCs w:val="28"/>
          <w:vertAlign w:val="superscript"/>
          <w:rtl/>
        </w:rPr>
        <w:footnoteReference w:id="8168"/>
      </w:r>
      <w:r w:rsidRPr="00007309">
        <w:rPr>
          <w:rFonts w:cs="Arial"/>
          <w:b/>
          <w:bCs/>
          <w:sz w:val="24"/>
          <w:szCs w:val="24"/>
          <w:rtl/>
        </w:rPr>
        <w:t xml:space="preserve">בֵּית הַכְּנֶסֶת כניסו דְּכֹלָּא. </w:t>
      </w:r>
      <w:r w:rsidRPr="00007309">
        <w:rPr>
          <w:rFonts w:cs="Arial"/>
          <w:b/>
          <w:bCs/>
          <w:sz w:val="36"/>
          <w:szCs w:val="28"/>
          <w:vertAlign w:val="superscript"/>
          <w:rtl/>
        </w:rPr>
        <w:footnoteReference w:id="8169"/>
      </w:r>
      <w:r w:rsidRPr="00007309">
        <w:rPr>
          <w:rFonts w:cs="Arial"/>
          <w:b/>
          <w:bCs/>
          <w:sz w:val="24"/>
          <w:szCs w:val="24"/>
          <w:rtl/>
        </w:rPr>
        <w:t xml:space="preserve">וְכָל הַזּוֹקֵף זוֹקֵף בַּשֵּׁם וְעַל הַכּוֹרֵעַ כּוֹרֵעַ בְּבָרוּךְ. </w:t>
      </w:r>
      <w:r w:rsidRPr="00007309">
        <w:rPr>
          <w:rFonts w:cs="Arial"/>
          <w:b/>
          <w:bCs/>
          <w:sz w:val="36"/>
          <w:szCs w:val="28"/>
          <w:vertAlign w:val="superscript"/>
          <w:rtl/>
        </w:rPr>
        <w:footnoteReference w:id="8170"/>
      </w:r>
      <w:r w:rsidRPr="00007309">
        <w:rPr>
          <w:rFonts w:cs="Arial"/>
          <w:b/>
          <w:bCs/>
          <w:sz w:val="24"/>
          <w:szCs w:val="24"/>
          <w:rtl/>
        </w:rPr>
        <w:t xml:space="preserve">הַהוּא דְּאִתְּמַר בֵּהּ וּבָרוּךְ אֵל עֶלְיוֹן. כָּלִיל עֶשֶׂר סְפִירָן </w:t>
      </w:r>
      <w:r w:rsidRPr="00007309">
        <w:rPr>
          <w:rFonts w:cs="Arial"/>
          <w:b/>
          <w:bCs/>
          <w:sz w:val="36"/>
          <w:szCs w:val="28"/>
          <w:vertAlign w:val="superscript"/>
          <w:rtl/>
        </w:rPr>
        <w:footnoteReference w:id="8171"/>
      </w:r>
      <w:r w:rsidRPr="00007309">
        <w:rPr>
          <w:rFonts w:cs="Arial"/>
          <w:b/>
          <w:bCs/>
          <w:sz w:val="24"/>
          <w:szCs w:val="24"/>
          <w:rtl/>
        </w:rPr>
        <w:t xml:space="preserve">מֵעֵלָּא לְתַתָּא </w:t>
      </w:r>
      <w:r w:rsidRPr="00007309">
        <w:rPr>
          <w:rFonts w:cs="Arial"/>
          <w:b/>
          <w:bCs/>
          <w:sz w:val="36"/>
          <w:szCs w:val="28"/>
          <w:vertAlign w:val="superscript"/>
          <w:rtl/>
        </w:rPr>
        <w:footnoteReference w:id="8172"/>
      </w:r>
      <w:r w:rsidRPr="00007309">
        <w:rPr>
          <w:rFonts w:cs="Arial"/>
          <w:b/>
          <w:bCs/>
          <w:sz w:val="24"/>
          <w:szCs w:val="24"/>
          <w:rtl/>
        </w:rPr>
        <w:t xml:space="preserve">דְּאִיהוּ מְקוֹר כָּל בִּרְכָּאן. וְכָל הַזּוֹקֵף זוֹקֵף בַּשֵּׁם. תְּרֵין זִמְנִין אַמַּאי. הֲוָה לֵהּ לְמֵימַר כָּל מָאן דִּמְצָלֵי כּוֹרֵעַ בְּבָרוּךְ וְזוֹקֵף בַּשֵּׁם. אַמַּאי תְּרֵין כְּרִיעוֹת וּתְרֵין זְקִיפוֹת. אֶלָּא רָזָא דתְּרֵין כְּרִיעוֹת רֵישָׁא וְגוּפָא. </w:t>
      </w:r>
      <w:r w:rsidRPr="00007309">
        <w:rPr>
          <w:rFonts w:cs="Arial"/>
          <w:b/>
          <w:bCs/>
          <w:sz w:val="36"/>
          <w:szCs w:val="28"/>
          <w:vertAlign w:val="superscript"/>
          <w:rtl/>
        </w:rPr>
        <w:footnoteReference w:id="8173"/>
      </w:r>
      <w:r w:rsidRPr="00007309">
        <w:rPr>
          <w:rFonts w:cs="Arial"/>
          <w:b/>
          <w:bCs/>
          <w:sz w:val="24"/>
          <w:szCs w:val="24"/>
          <w:rtl/>
        </w:rPr>
        <w:t xml:space="preserve">עַד חַ"י עָלְמִין </w:t>
      </w:r>
      <w:r w:rsidRPr="00007309">
        <w:rPr>
          <w:rFonts w:cs="Arial"/>
          <w:b/>
          <w:bCs/>
          <w:sz w:val="36"/>
          <w:szCs w:val="28"/>
          <w:vertAlign w:val="superscript"/>
          <w:rtl/>
        </w:rPr>
        <w:footnoteReference w:id="8174"/>
      </w:r>
      <w:r w:rsidRPr="00007309">
        <w:rPr>
          <w:rFonts w:cs="Arial"/>
          <w:b/>
          <w:bCs/>
          <w:sz w:val="24"/>
          <w:szCs w:val="24"/>
          <w:rtl/>
        </w:rPr>
        <w:t xml:space="preserve">דְּאִיהוּ כָּלִיל חַ"י חֻלְיָן. וְדָא אִיהוּ עַד שֶׁיִּתְפַּקְּקוּ כָּל חֻלְיוֹת שֶׁבַּשִּׁדְרָה. </w:t>
      </w:r>
      <w:r w:rsidRPr="00007309">
        <w:rPr>
          <w:rFonts w:cs="Arial"/>
          <w:b/>
          <w:bCs/>
          <w:sz w:val="36"/>
          <w:szCs w:val="28"/>
          <w:vertAlign w:val="superscript"/>
          <w:rtl/>
        </w:rPr>
        <w:footnoteReference w:id="8175"/>
      </w:r>
      <w:r w:rsidRPr="00007309">
        <w:rPr>
          <w:rFonts w:cs="Arial"/>
          <w:b/>
          <w:bCs/>
          <w:sz w:val="24"/>
          <w:szCs w:val="24"/>
          <w:rtl/>
        </w:rPr>
        <w:t>וְעָלַהּ אִתְּמַר בְּיַעֲקֹב (בראשית לג) וַיִּשְׁתַּחוּ אַרְצָה שֶׁבַע פַּעֲמַיִם. וּכְמָא דְּתַקִּין כְּרִיעוֹת אִנּוּן</w:t>
      </w:r>
      <w:r w:rsidRPr="00007309">
        <w:rPr>
          <w:rFonts w:cs="Arial"/>
          <w:b/>
          <w:bCs/>
          <w:sz w:val="24"/>
          <w:szCs w:val="24"/>
        </w:rPr>
        <w:t xml:space="preserve"> </w:t>
      </w:r>
      <w:r w:rsidRPr="00007309">
        <w:rPr>
          <w:rFonts w:cs="Arial"/>
          <w:b/>
          <w:bCs/>
          <w:sz w:val="24"/>
          <w:szCs w:val="24"/>
          <w:rtl/>
        </w:rPr>
        <w:t xml:space="preserve">בְּרֵישָׁא וְגוּפָא </w:t>
      </w:r>
      <w:r w:rsidRPr="00007309">
        <w:rPr>
          <w:rFonts w:cs="Arial"/>
          <w:b/>
          <w:bCs/>
          <w:sz w:val="36"/>
          <w:szCs w:val="28"/>
          <w:vertAlign w:val="superscript"/>
          <w:rtl/>
        </w:rPr>
        <w:footnoteReference w:id="8176"/>
      </w:r>
      <w:r w:rsidRPr="00007309">
        <w:rPr>
          <w:rFonts w:cs="Arial"/>
          <w:b/>
          <w:bCs/>
          <w:sz w:val="24"/>
          <w:szCs w:val="24"/>
          <w:rtl/>
        </w:rPr>
        <w:t xml:space="preserve">דְּאִיהוּ בָּרוּךְ. הָכֵי צָרִיךְ תְּרֵין זְקִיפוֹת </w:t>
      </w:r>
      <w:r w:rsidRPr="00007309">
        <w:rPr>
          <w:rFonts w:cs="Arial"/>
          <w:b/>
          <w:bCs/>
          <w:sz w:val="36"/>
          <w:szCs w:val="28"/>
          <w:vertAlign w:val="superscript"/>
          <w:rtl/>
        </w:rPr>
        <w:footnoteReference w:id="8177"/>
      </w:r>
      <w:r w:rsidRPr="00007309">
        <w:rPr>
          <w:rFonts w:cs="Arial"/>
          <w:b/>
          <w:bCs/>
          <w:sz w:val="24"/>
          <w:szCs w:val="24"/>
          <w:rtl/>
        </w:rPr>
        <w:t xml:space="preserve">תַּמָּן. </w:t>
      </w:r>
    </w:p>
    <w:p w:rsidR="00007309" w:rsidRPr="00007309" w:rsidRDefault="00007309" w:rsidP="00007309">
      <w:pPr>
        <w:keepNext/>
        <w:spacing w:before="240" w:after="60"/>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[וילנא מ ע"ב]</w:t>
      </w:r>
    </w:p>
    <w:p w:rsidR="00007309" w:rsidRPr="00007309" w:rsidRDefault="00007309" w:rsidP="00007309">
      <w:pPr>
        <w:jc w:val="both"/>
        <w:rPr>
          <w:rFonts w:cs="Arial"/>
          <w:b/>
          <w:bCs/>
          <w:sz w:val="24"/>
          <w:szCs w:val="24"/>
          <w:rtl/>
        </w:rPr>
      </w:pPr>
      <w:r w:rsidRPr="00007309">
        <w:rPr>
          <w:rFonts w:cs="Arial"/>
          <w:b/>
          <w:bCs/>
          <w:sz w:val="24"/>
          <w:szCs w:val="24"/>
          <w:rtl/>
        </w:rPr>
        <w:t xml:space="preserve">אָמַר רִבִּי אֶלְעָזָר אַבָּא רָזָא עִלָּאָה אִית יַתִּיר </w:t>
      </w:r>
      <w:r w:rsidRPr="00007309">
        <w:rPr>
          <w:rFonts w:cs="Arial"/>
          <w:b/>
          <w:bCs/>
          <w:sz w:val="36"/>
          <w:szCs w:val="28"/>
          <w:vertAlign w:val="superscript"/>
          <w:rtl/>
        </w:rPr>
        <w:footnoteReference w:id="8178"/>
      </w:r>
      <w:r w:rsidRPr="00007309">
        <w:rPr>
          <w:rFonts w:cs="Arial"/>
          <w:b/>
          <w:bCs/>
          <w:sz w:val="24"/>
          <w:szCs w:val="24"/>
          <w:rtl/>
        </w:rPr>
        <w:t xml:space="preserve">דִּנְחִיתוּ דִּנְבִיעוּ מִלְּגָאו אִיהוּ יַתִּיר. </w:t>
      </w:r>
      <w:r w:rsidRPr="00007309">
        <w:rPr>
          <w:rFonts w:cs="Arial"/>
          <w:b/>
          <w:bCs/>
          <w:sz w:val="36"/>
          <w:szCs w:val="28"/>
          <w:vertAlign w:val="superscript"/>
          <w:rtl/>
        </w:rPr>
        <w:footnoteReference w:id="8179"/>
      </w:r>
      <w:r w:rsidRPr="00007309">
        <w:rPr>
          <w:rFonts w:cs="Arial"/>
          <w:b/>
          <w:bCs/>
          <w:sz w:val="24"/>
          <w:szCs w:val="24"/>
          <w:rtl/>
        </w:rPr>
        <w:t xml:space="preserve">תְּרֵין כְּרִיעוֹת אִנּוּן י'ו </w:t>
      </w:r>
      <w:r w:rsidRPr="00007309">
        <w:rPr>
          <w:rFonts w:cs="Arial"/>
          <w:b/>
          <w:bCs/>
          <w:sz w:val="36"/>
          <w:szCs w:val="28"/>
          <w:vertAlign w:val="superscript"/>
          <w:rtl/>
        </w:rPr>
        <w:footnoteReference w:id="8180"/>
      </w:r>
      <w:r w:rsidRPr="00007309">
        <w:rPr>
          <w:rFonts w:cs="Arial"/>
          <w:b/>
          <w:bCs/>
          <w:sz w:val="24"/>
          <w:szCs w:val="24"/>
          <w:rtl/>
        </w:rPr>
        <w:t xml:space="preserve">לְגַבֵּי מָאן לְגַבֵּי ה'ה. וּתְרֵין זְקִיפוֹת בה'ה לְסָלְקָא ה' בִּי', ה' בּוֹ'. </w:t>
      </w:r>
      <w:r w:rsidRPr="00007309">
        <w:rPr>
          <w:rFonts w:cs="Arial"/>
          <w:b/>
          <w:bCs/>
          <w:sz w:val="36"/>
          <w:szCs w:val="28"/>
          <w:vertAlign w:val="superscript"/>
          <w:rtl/>
        </w:rPr>
        <w:footnoteReference w:id="8181"/>
      </w:r>
      <w:r w:rsidRPr="00007309">
        <w:rPr>
          <w:rFonts w:cs="Arial"/>
          <w:b/>
          <w:bCs/>
          <w:sz w:val="24"/>
          <w:szCs w:val="24"/>
          <w:rtl/>
        </w:rPr>
        <w:t xml:space="preserve">כְּגַוְנָא דְּבַיִת רִאשׁוֹן וְשֵׁנִי דְּאִסְתַּלְּקִין בִּתְרֵין עַמּוּדִין. וְעָלַיְהוּ אִתְּמַר (תהלים קמה) </w:t>
      </w:r>
      <w:r w:rsidRPr="00007309">
        <w:rPr>
          <w:rFonts w:cs="Arial"/>
          <w:b/>
          <w:bCs/>
          <w:sz w:val="36"/>
          <w:szCs w:val="28"/>
          <w:vertAlign w:val="superscript"/>
          <w:rtl/>
        </w:rPr>
        <w:footnoteReference w:id="8182"/>
      </w:r>
      <w:r w:rsidRPr="00007309">
        <w:rPr>
          <w:rFonts w:cs="Arial"/>
          <w:b/>
          <w:bCs/>
          <w:sz w:val="24"/>
          <w:szCs w:val="24"/>
          <w:rtl/>
        </w:rPr>
        <w:t xml:space="preserve">סוֹמֵךְ ה' לְכָל הַנּוֹפְלִים וְזוֹקֵף לְכָל הַכְּפוּפִים. </w:t>
      </w:r>
      <w:r w:rsidRPr="00007309">
        <w:rPr>
          <w:rFonts w:cs="Arial"/>
          <w:b/>
          <w:bCs/>
          <w:sz w:val="36"/>
          <w:szCs w:val="28"/>
          <w:vertAlign w:val="superscript"/>
          <w:rtl/>
        </w:rPr>
        <w:footnoteReference w:id="8183"/>
      </w:r>
      <w:r w:rsidRPr="00007309">
        <w:rPr>
          <w:rFonts w:cs="Arial"/>
          <w:b/>
          <w:bCs/>
          <w:sz w:val="24"/>
          <w:szCs w:val="24"/>
          <w:rtl/>
        </w:rPr>
        <w:t xml:space="preserve">אָמַר לוֹ וְהָא אִתְּמַר כָּל הַכּוֹרֵעַ כּוֹרֵעַ </w:t>
      </w:r>
      <w:r w:rsidRPr="00007309">
        <w:rPr>
          <w:rFonts w:cs="Arial"/>
          <w:b/>
          <w:bCs/>
          <w:sz w:val="36"/>
          <w:szCs w:val="28"/>
          <w:vertAlign w:val="superscript"/>
          <w:rtl/>
        </w:rPr>
        <w:footnoteReference w:id="8184"/>
      </w:r>
      <w:r w:rsidRPr="00007309">
        <w:rPr>
          <w:rFonts w:cs="Arial"/>
          <w:b/>
          <w:bCs/>
          <w:sz w:val="24"/>
          <w:szCs w:val="24"/>
          <w:rtl/>
        </w:rPr>
        <w:t xml:space="preserve">בִּבְרָכוֹת, דְּאִיהוּ אֵל עֶלְיוֹן דְּאִתְכְּלִילָן בֵּהּ עֶשֶׂר. אֵיךְ אִנּוּן כְּפוּלִים תַּמָּן עֶשֶׂר תִּנְיָנִין לְמֶהֱוֵי תַּמָּן תְּרֵין כְּרִיעוֹת. </w:t>
      </w:r>
      <w:r w:rsidRPr="00007309">
        <w:rPr>
          <w:rFonts w:cs="Arial"/>
          <w:b/>
          <w:bCs/>
          <w:sz w:val="36"/>
          <w:szCs w:val="28"/>
          <w:vertAlign w:val="superscript"/>
          <w:rtl/>
        </w:rPr>
        <w:footnoteReference w:id="8185"/>
      </w:r>
      <w:r w:rsidRPr="00007309">
        <w:rPr>
          <w:rFonts w:cs="Arial"/>
          <w:b/>
          <w:bCs/>
          <w:sz w:val="24"/>
          <w:szCs w:val="24"/>
          <w:rtl/>
        </w:rPr>
        <w:t xml:space="preserve">דְּהָא כְּרִיעוֹת אִנּוּן עֶשֶׂר מֵעֵלָּא לְתַתָּא. זְקִיפוֹת עֶשֶׂר מִתַּתָּא לְעֵלָּא. </w:t>
      </w:r>
      <w:r w:rsidRPr="00007309">
        <w:rPr>
          <w:rFonts w:cs="Arial"/>
          <w:b/>
          <w:bCs/>
          <w:sz w:val="36"/>
          <w:szCs w:val="28"/>
          <w:vertAlign w:val="superscript"/>
          <w:rtl/>
        </w:rPr>
        <w:footnoteReference w:id="8186"/>
      </w:r>
      <w:r w:rsidRPr="00007309">
        <w:rPr>
          <w:rFonts w:cs="Arial"/>
          <w:b/>
          <w:bCs/>
          <w:sz w:val="24"/>
          <w:szCs w:val="24"/>
          <w:rtl/>
        </w:rPr>
        <w:t xml:space="preserve">וְרָזָא דְּמִלָּה אָלֶ"ף הֵ"א יוּ"ד הֵ"א. יוּ"ד הֵ"א. וָא"ו הֵ"א. הַכְּרִיעוֹת בְּעֶשֶׂר </w:t>
      </w:r>
      <w:r w:rsidRPr="00007309">
        <w:rPr>
          <w:rFonts w:cs="Arial"/>
          <w:b/>
          <w:bCs/>
          <w:sz w:val="36"/>
          <w:szCs w:val="28"/>
          <w:vertAlign w:val="superscript"/>
          <w:rtl/>
        </w:rPr>
        <w:footnoteReference w:id="8187"/>
      </w:r>
      <w:r w:rsidRPr="00007309">
        <w:rPr>
          <w:rFonts w:cs="Arial"/>
          <w:b/>
          <w:bCs/>
          <w:sz w:val="24"/>
          <w:szCs w:val="24"/>
          <w:rtl/>
        </w:rPr>
        <w:t xml:space="preserve">מִן אָלֶף דַּאֲדֹנָ"י עַד זְקִיפוֹת מִן י' דאדני עַד אָלֶף מִן אֲדֹנָ"י אִיהוּ אֶהְיֶה. י' </w:t>
      </w:r>
      <w:r w:rsidRPr="00007309">
        <w:rPr>
          <w:rFonts w:ascii="Cambria" w:hAnsi="Cambria" w:cs="Times New Roman"/>
          <w:b/>
          <w:bCs/>
          <w:i/>
          <w:iCs/>
          <w:color w:val="4F81BD"/>
          <w:sz w:val="24"/>
          <w:szCs w:val="24"/>
          <w:rtl/>
        </w:rPr>
        <w:t xml:space="preserve">(וילנא </w:t>
      </w:r>
      <w:r w:rsidRPr="00007309">
        <w:rPr>
          <w:rFonts w:ascii="Cambria" w:hAnsi="Cambria" w:cs="Times New Roman" w:hint="cs"/>
          <w:b/>
          <w:bCs/>
          <w:i/>
          <w:iCs/>
          <w:color w:val="4F81BD"/>
          <w:sz w:val="24"/>
          <w:szCs w:val="24"/>
          <w:rtl/>
        </w:rPr>
        <w:t>מ</w:t>
      </w:r>
      <w:r w:rsidRPr="00007309">
        <w:rPr>
          <w:rFonts w:ascii="Cambria" w:hAnsi="Cambria" w:cs="Times New Roman"/>
          <w:b/>
          <w:bCs/>
          <w:i/>
          <w:iCs/>
          <w:color w:val="4F81BD"/>
          <w:sz w:val="24"/>
          <w:szCs w:val="24"/>
          <w:rtl/>
        </w:rPr>
        <w:t xml:space="preserve"> ע"ב)</w:t>
      </w:r>
      <w:r w:rsidRPr="00007309">
        <w:rPr>
          <w:rFonts w:cs="Arial"/>
          <w:b/>
          <w:bCs/>
          <w:sz w:val="24"/>
          <w:szCs w:val="24"/>
          <w:rtl/>
        </w:rPr>
        <w:t xml:space="preserve"> מִן אֲדֹנָ"י אִיהוּ יְהוָֹ"ה. </w:t>
      </w:r>
      <w:r w:rsidRPr="00007309">
        <w:rPr>
          <w:rFonts w:cs="Arial"/>
          <w:b/>
          <w:bCs/>
          <w:sz w:val="36"/>
          <w:szCs w:val="28"/>
          <w:vertAlign w:val="superscript"/>
          <w:rtl/>
        </w:rPr>
        <w:footnoteReference w:id="8188"/>
      </w:r>
      <w:r w:rsidRPr="00007309">
        <w:rPr>
          <w:rFonts w:cs="Arial"/>
          <w:b/>
          <w:bCs/>
          <w:sz w:val="24"/>
          <w:szCs w:val="24"/>
          <w:rtl/>
        </w:rPr>
        <w:t xml:space="preserve">וּבְגִין דָּא כָּל הַכּוֹרֵעַ כּוֹרֵעַ בְּבָרוּךְ אָלֶ"ף הֵ"א יוּ"ד הֵ"א. וְכָל הַזּוֹקֵף זוֹקֵף בַּשֵּׁם יוּ"ד הֵ"א וָא"ו הֵ"א. הָא הָכָא זְקִיפָה חַד וְהַכְרָעָה חַד. הַכְרָעָה בְּאֶהְיֶה זְקִיפָה ביהו"ה. וְכֹלָּא בַּאֲדֹנָי. א"כ זְקִיפָה תִּנְיָנָא וְהַכְרָעָה תִּנְיָנָא בְּמַאי. אָמַר רִבִּי שִׁמְעוֹן בְּרִיךְ בְּרִי לְעַתִּיק יוֹמִין. וַדַּאי זְקִיפָה וְהַכְרָעָה תִּנְיָנָא צָרִיךְ לְעִלַּת הָעִלּוֹת. </w:t>
      </w:r>
      <w:r w:rsidRPr="00007309">
        <w:rPr>
          <w:rFonts w:cs="Arial"/>
          <w:b/>
          <w:bCs/>
          <w:sz w:val="36"/>
          <w:szCs w:val="28"/>
          <w:vertAlign w:val="superscript"/>
          <w:rtl/>
        </w:rPr>
        <w:footnoteReference w:id="8189"/>
      </w:r>
      <w:r w:rsidRPr="00007309">
        <w:rPr>
          <w:rFonts w:cs="Arial"/>
          <w:b/>
          <w:bCs/>
          <w:sz w:val="24"/>
          <w:szCs w:val="24"/>
          <w:rtl/>
        </w:rPr>
        <w:t xml:space="preserve">דְּנָחִית לֵהּ מֵעֵלָּא לְתַתָּא וּלְסָלְקָא בֵּהּ שְׁכִינְתָּא, דְּאִיהוּ זָקֵף לָהּ בְּשֵׁם יְהוָֹ"ה דְּכֹלָּא בִּידֵהּ וּבִרְשׁוּתֵהּ עֲלִיָּה וִירִידָה וּנְבִיעוּ בִּרְשׁוּתֵהּ דְּלָא נָחִית אֶלָּא בִּרְשׁוּתֵהּ. </w:t>
      </w:r>
      <w:r w:rsidRPr="00007309">
        <w:rPr>
          <w:rFonts w:cs="Arial"/>
          <w:b/>
          <w:bCs/>
          <w:sz w:val="36"/>
          <w:szCs w:val="28"/>
          <w:vertAlign w:val="superscript"/>
          <w:rtl/>
        </w:rPr>
        <w:footnoteReference w:id="8190"/>
      </w:r>
      <w:r w:rsidRPr="00007309">
        <w:rPr>
          <w:rFonts w:cs="Arial"/>
          <w:b/>
          <w:bCs/>
          <w:sz w:val="24"/>
          <w:szCs w:val="24"/>
          <w:rtl/>
        </w:rPr>
        <w:t xml:space="preserve">וְאִם הוּא לֹא נָחִית נְבִיעוּ לֹא נָחִית. וְאִם הוּא לֹא נָחִית לֵית סְלִיקוּ לִשְׁכִינְתָּא וּנְבִיעוּ לֹא נָחִית לָהּ. חֲדוּ כֻּלְּהוּ חַבְרַיָּא וַחֲדָא רִבִּי אֶלְעָזָר. נָפַק קָלָא וְאָמַר </w:t>
      </w:r>
      <w:r w:rsidRPr="00007309">
        <w:rPr>
          <w:rFonts w:cs="Arial"/>
          <w:b/>
          <w:bCs/>
          <w:sz w:val="36"/>
          <w:szCs w:val="28"/>
          <w:vertAlign w:val="superscript"/>
          <w:rtl/>
        </w:rPr>
        <w:footnoteReference w:id="8191"/>
      </w:r>
      <w:r w:rsidRPr="00007309">
        <w:rPr>
          <w:rFonts w:cs="Arial"/>
          <w:b/>
          <w:bCs/>
          <w:sz w:val="24"/>
          <w:szCs w:val="24"/>
          <w:rtl/>
        </w:rPr>
        <w:t xml:space="preserve">עַל רִבִּי שִׁמְעוֹן יִשְׂמַח אָבִיךָ וְאִמֶּךָ וְעַל רִבִּי אֶלְעָזָר וְתָגֵל יוֹלַדְתֶּךָ וְעוֹד נַעֲשֶׂה אָדָם, אִתְחַבָּרוּ אוֹפַן וּמַלְאָךְ וְכִסֵּא וְאָמְרוּ נַעֲשֶׂה אָדָם, דִּיהֵא בְּשֻׁתָּפוּ דִּילָן, נִשְׁמְתָא מִכִּסֵּא וְרוּחָא מִמַּלְאָךְ, וְנַפְשָׁא מֵאוֹפַן לְמֶהֱוֵי בְּדִיּוֹקְנָא דִּילָן </w:t>
      </w:r>
      <w:r w:rsidRPr="00007309">
        <w:rPr>
          <w:rFonts w:cs="Arial"/>
          <w:b/>
          <w:bCs/>
          <w:sz w:val="36"/>
          <w:szCs w:val="28"/>
          <w:vertAlign w:val="superscript"/>
          <w:rtl/>
        </w:rPr>
        <w:footnoteReference w:id="8192"/>
      </w:r>
      <w:r w:rsidRPr="00007309">
        <w:rPr>
          <w:rFonts w:cs="Arial"/>
          <w:b/>
          <w:bCs/>
          <w:sz w:val="24"/>
          <w:szCs w:val="24"/>
          <w:rtl/>
        </w:rPr>
        <w:t>לְבָרְכָא וּלְקֻדְשָׁא וּלְיַחֲדָא לֵהּ כְּגַוְנָא דִּילָן וְעוֹד נַעֲשֶׂה אָדָם. אַדְּהָכֵי הָא סָבָא דְּסָבִין עַתִּיקָא דעַתִּיקִין קָא נָחִית וְאָמַר, שִׁמְעוֹן שִׁמְעוֹן מָאן הוּא דְּאָמַר מֹשֶׁה אָדָם. וַיֹּאמֶר אֱלֹהִים מַאי נִיהוּ הָכָא הַאי אֱלֹהִים. מִיָּד פָּרַח וְלֹא חָזָא לֵהּ. כְּמָא דְּשָׁמַע רִבִּי שִׁמְעוֹן שא"ל שִׁמְעוֹן שִׁמְעוֹן וְלֹא קָרָא</w:t>
      </w:r>
      <w:r w:rsidRPr="00007309">
        <w:rPr>
          <w:rFonts w:cs="Arial"/>
          <w:b/>
          <w:bCs/>
          <w:sz w:val="24"/>
          <w:szCs w:val="28"/>
        </w:rPr>
        <w:t xml:space="preserve"> </w:t>
      </w:r>
      <w:r w:rsidRPr="00007309">
        <w:rPr>
          <w:rFonts w:cs="Arial"/>
          <w:b/>
          <w:bCs/>
          <w:sz w:val="24"/>
          <w:szCs w:val="24"/>
          <w:rtl/>
        </w:rPr>
        <w:t xml:space="preserve">לֵהּ בְּשֵׁם רִבִּי. אָמַר וַדַּאי אִיהוּ קוּדְשָׁא בְּרִיךְ הוּא דְּאִתְּמַר בֵּהּ (דניאל ז) וְעַתִּיק יוֹמִין יְתִב לְבוּשֵׁהּ כִּתְלַג חִוָּר. כְּעָן אִיהִי שַׁעֲתָא לְמִפְתַּח בְּהַאי רָזָא דְּוַדַּאי הָכָא אִית רָזָא דְּלָא אִית רְשׁוּ לְאִתְגַּלְּיָא. וּכְעָן מַשְׁמָע דִּרְשׁוּתָא אִתְיְהִיב לְאִתְגַּלְּיָא. פָּתַח וְאָמַר </w:t>
      </w:r>
      <w:r w:rsidRPr="00007309">
        <w:rPr>
          <w:rFonts w:cs="Arial"/>
          <w:b/>
          <w:bCs/>
          <w:sz w:val="36"/>
          <w:szCs w:val="28"/>
          <w:vertAlign w:val="superscript"/>
          <w:rtl/>
        </w:rPr>
        <w:footnoteReference w:id="8193"/>
      </w:r>
      <w:r w:rsidRPr="00007309">
        <w:rPr>
          <w:rFonts w:cs="Arial"/>
          <w:b/>
          <w:bCs/>
          <w:sz w:val="24"/>
          <w:szCs w:val="24"/>
          <w:rtl/>
        </w:rPr>
        <w:t xml:space="preserve">לְמַלְכָּא דַּהֲוָה לֵהּ כַּמָּה בִּנְיָנִין לְמִבְנֵי, וַהֲוָה לֵהּ אוּמָנָא. וְאוּמָנָא לָא הֲוָה עָבִיד מדעם אֶלָּא בִּרְשׁוּ דְּמַלְכָּא. הָדָא הוּא דִּכְתִיב (משלי ח) </w:t>
      </w:r>
      <w:r w:rsidRPr="00007309">
        <w:rPr>
          <w:rFonts w:cs="Arial"/>
          <w:b/>
          <w:bCs/>
          <w:sz w:val="36"/>
          <w:szCs w:val="28"/>
          <w:vertAlign w:val="superscript"/>
          <w:rtl/>
        </w:rPr>
        <w:footnoteReference w:id="8194"/>
      </w:r>
      <w:r w:rsidRPr="00007309">
        <w:rPr>
          <w:rFonts w:cs="Arial"/>
          <w:b/>
          <w:bCs/>
          <w:sz w:val="24"/>
          <w:szCs w:val="24"/>
          <w:rtl/>
        </w:rPr>
        <w:t xml:space="preserve">וְאֶהְיֶה אֶצְלוֹ אָמוֹן וְגוֹ'. </w:t>
      </w:r>
      <w:r w:rsidRPr="00007309">
        <w:rPr>
          <w:rFonts w:cs="Arial"/>
          <w:b/>
          <w:bCs/>
          <w:sz w:val="36"/>
          <w:szCs w:val="28"/>
          <w:vertAlign w:val="superscript"/>
          <w:rtl/>
        </w:rPr>
        <w:footnoteReference w:id="8195"/>
      </w:r>
      <w:r w:rsidRPr="00007309">
        <w:rPr>
          <w:rFonts w:cs="Arial"/>
          <w:b/>
          <w:bCs/>
          <w:sz w:val="24"/>
          <w:szCs w:val="24"/>
          <w:rtl/>
        </w:rPr>
        <w:t xml:space="preserve">מַלְכָּא וַדַּאי אִיהוּ חָכְמָה לְעֵלָּא, וְעַמּוּדָא דְּאֶמְצָעִיתָא אִיהוּ מַלְכָּא לְתַתָּא. אֱלֹהִים אוּמָנָא לְעֵלָּא וְדָא אִמָּא עִלָּאָה, אֱלֹהִים אוּמָנָא לְתַתָּא וְדָא שְׁכִינְתָּא דִּלְתַתָּא. </w:t>
      </w:r>
    </w:p>
    <w:p w:rsidR="00007309" w:rsidRPr="00007309" w:rsidRDefault="00007309" w:rsidP="00007309">
      <w:pPr>
        <w:keepNext/>
        <w:outlineLvl w:val="1"/>
        <w:rPr>
          <w:rFonts w:ascii="Cambria" w:hAnsi="Cambria" w:cs="Times New Roman"/>
          <w:b/>
          <w:bCs/>
          <w:i/>
          <w:iCs/>
          <w:sz w:val="28"/>
          <w:szCs w:val="28"/>
          <w:rtl/>
        </w:rPr>
      </w:pPr>
      <w:r w:rsidRPr="00007309">
        <w:rPr>
          <w:rFonts w:ascii="Cambria" w:hAnsi="Cambria" w:cs="Times New Roman"/>
          <w:b/>
          <w:bCs/>
          <w:i/>
          <w:iCs/>
          <w:sz w:val="28"/>
          <w:szCs w:val="28"/>
          <w:rtl/>
        </w:rPr>
        <w:t>[</w:t>
      </w:r>
      <w:r w:rsidRPr="00007309">
        <w:rPr>
          <w:rFonts w:ascii="Cambria" w:hAnsi="Cambria" w:cs="Times New Roman" w:hint="cs"/>
          <w:b/>
          <w:bCs/>
          <w:i/>
          <w:iCs/>
          <w:sz w:val="28"/>
          <w:szCs w:val="28"/>
          <w:rtl/>
        </w:rPr>
        <w:t>דף</w:t>
      </w:r>
      <w:r w:rsidRPr="00007309">
        <w:rPr>
          <w:rFonts w:ascii="Cambria" w:hAnsi="Cambria" w:cs="Times New Roman"/>
          <w:b/>
          <w:bCs/>
          <w:i/>
          <w:iCs/>
          <w:sz w:val="28"/>
          <w:szCs w:val="28"/>
          <w:rtl/>
        </w:rPr>
        <w:t xml:space="preserve"> </w:t>
      </w:r>
      <w:r w:rsidRPr="00007309">
        <w:rPr>
          <w:rFonts w:ascii="Cambria" w:hAnsi="Cambria" w:cs="Times New Roman" w:hint="cs"/>
          <w:b/>
          <w:bCs/>
          <w:i/>
          <w:iCs/>
          <w:sz w:val="28"/>
          <w:szCs w:val="28"/>
          <w:rtl/>
        </w:rPr>
        <w:t>פה</w:t>
      </w:r>
      <w:r w:rsidRPr="00007309">
        <w:rPr>
          <w:rFonts w:ascii="Cambria" w:hAnsi="Cambria" w:cs="Times New Roman"/>
          <w:b/>
          <w:bCs/>
          <w:i/>
          <w:iCs/>
          <w:sz w:val="28"/>
          <w:szCs w:val="28"/>
          <w:rtl/>
        </w:rPr>
        <w:t xml:space="preserve"> ע"</w:t>
      </w:r>
      <w:r w:rsidRPr="00007309">
        <w:rPr>
          <w:rFonts w:ascii="Cambria" w:hAnsi="Cambria" w:cs="Times New Roman" w:hint="cs"/>
          <w:b/>
          <w:bCs/>
          <w:i/>
          <w:iCs/>
          <w:sz w:val="28"/>
          <w:szCs w:val="28"/>
          <w:rtl/>
        </w:rPr>
        <w:t>ד</w:t>
      </w:r>
      <w:r w:rsidRPr="00007309">
        <w:rPr>
          <w:rFonts w:ascii="Cambria" w:hAnsi="Cambria" w:cs="Times New Roman"/>
          <w:b/>
          <w:bCs/>
          <w:i/>
          <w:iCs/>
          <w:sz w:val="28"/>
          <w:szCs w:val="28"/>
          <w:rtl/>
        </w:rPr>
        <w:t>]</w:t>
      </w:r>
    </w:p>
    <w:p w:rsidR="00007309" w:rsidRPr="00007309" w:rsidRDefault="00007309" w:rsidP="00007309">
      <w:pPr>
        <w:jc w:val="both"/>
        <w:rPr>
          <w:rFonts w:cs="Arial"/>
          <w:b/>
          <w:bCs/>
          <w:sz w:val="24"/>
          <w:szCs w:val="24"/>
          <w:rtl/>
        </w:rPr>
      </w:pPr>
      <w:r w:rsidRPr="00007309">
        <w:rPr>
          <w:rFonts w:cs="Arial"/>
          <w:b/>
          <w:bCs/>
          <w:sz w:val="36"/>
          <w:szCs w:val="28"/>
          <w:vertAlign w:val="superscript"/>
          <w:rtl/>
        </w:rPr>
        <w:footnoteReference w:id="8196"/>
      </w:r>
      <w:r w:rsidRPr="00007309">
        <w:rPr>
          <w:rFonts w:cs="Arial"/>
          <w:b/>
          <w:bCs/>
          <w:sz w:val="24"/>
          <w:szCs w:val="24"/>
          <w:rtl/>
        </w:rPr>
        <w:t xml:space="preserve">וְאִתְּתָא לֵית לָהּ לְמֶעֱבַד מידעם בְּלָא רְשׁוּ דְּבַעְלָהּ. וְכָל בִּנְיָנִין דַּהֲווֹ בְּאֹרַח אֲצִילוּת, הֲוָה אַבָּא </w:t>
      </w:r>
      <w:r w:rsidRPr="00007309">
        <w:rPr>
          <w:rFonts w:cs="Arial"/>
          <w:b/>
          <w:bCs/>
          <w:sz w:val="36"/>
          <w:szCs w:val="28"/>
          <w:vertAlign w:val="superscript"/>
          <w:rtl/>
        </w:rPr>
        <w:footnoteReference w:id="8197"/>
      </w:r>
      <w:r w:rsidRPr="00007309">
        <w:rPr>
          <w:rFonts w:cs="Arial"/>
          <w:b/>
          <w:bCs/>
          <w:sz w:val="24"/>
          <w:szCs w:val="24"/>
          <w:rtl/>
        </w:rPr>
        <w:t xml:space="preserve">אָמַר בַּאֲמִירָה לְגַבֵּי אִמָּא </w:t>
      </w:r>
      <w:r w:rsidRPr="00007309">
        <w:rPr>
          <w:rFonts w:cs="Arial"/>
          <w:b/>
          <w:bCs/>
          <w:sz w:val="36"/>
          <w:szCs w:val="28"/>
          <w:vertAlign w:val="superscript"/>
          <w:rtl/>
        </w:rPr>
        <w:footnoteReference w:id="8198"/>
      </w:r>
      <w:r w:rsidRPr="00007309">
        <w:rPr>
          <w:rFonts w:cs="Arial"/>
          <w:b/>
          <w:bCs/>
          <w:sz w:val="24"/>
          <w:szCs w:val="24"/>
          <w:rtl/>
        </w:rPr>
        <w:t xml:space="preserve">יְהִי כָּךְ, וְכָךְ הֲוָה. הָדָא הוּא דִּכְתִיב (בראשית א) יְהִי אוֹר וַיְהִי אוֹר. וַיֹּאמֶר, הֲוָה </w:t>
      </w:r>
      <w:r w:rsidRPr="00007309">
        <w:rPr>
          <w:rFonts w:cs="Arial"/>
          <w:b/>
          <w:bCs/>
          <w:sz w:val="36"/>
          <w:szCs w:val="28"/>
          <w:vertAlign w:val="superscript"/>
          <w:rtl/>
        </w:rPr>
        <w:footnoteReference w:id="8199"/>
      </w:r>
      <w:r w:rsidRPr="00007309">
        <w:rPr>
          <w:rFonts w:cs="Arial"/>
          <w:b/>
          <w:bCs/>
          <w:sz w:val="24"/>
          <w:szCs w:val="24"/>
          <w:rtl/>
        </w:rPr>
        <w:t xml:space="preserve">אָמַר לֶאֱלֹהִים יְהִי </w:t>
      </w:r>
      <w:r w:rsidRPr="00007309">
        <w:rPr>
          <w:rFonts w:ascii="Cambria" w:hAnsi="Cambria" w:cs="Times New Roman"/>
          <w:b/>
          <w:bCs/>
          <w:i/>
          <w:iCs/>
          <w:color w:val="4F81BD"/>
          <w:sz w:val="24"/>
          <w:szCs w:val="24"/>
          <w:rtl/>
        </w:rPr>
        <w:t>(</w:t>
      </w:r>
      <w:r w:rsidRPr="00007309">
        <w:rPr>
          <w:rFonts w:ascii="Cambria" w:hAnsi="Cambria" w:cs="Times New Roman" w:hint="cs"/>
          <w:b/>
          <w:bCs/>
          <w:i/>
          <w:iCs/>
          <w:color w:val="4F81BD"/>
          <w:sz w:val="24"/>
          <w:szCs w:val="24"/>
          <w:rtl/>
        </w:rPr>
        <w:t>פה</w:t>
      </w:r>
      <w:r w:rsidRPr="00007309">
        <w:rPr>
          <w:rFonts w:ascii="Cambria" w:hAnsi="Cambria" w:cs="Times New Roman"/>
          <w:b/>
          <w:bCs/>
          <w:i/>
          <w:iCs/>
          <w:color w:val="4F81BD"/>
          <w:sz w:val="24"/>
          <w:szCs w:val="24"/>
          <w:rtl/>
        </w:rPr>
        <w:t xml:space="preserve"> ע"</w:t>
      </w:r>
      <w:r w:rsidRPr="00007309">
        <w:rPr>
          <w:rFonts w:ascii="Cambria" w:hAnsi="Cambria" w:cs="Times New Roman" w:hint="cs"/>
          <w:b/>
          <w:bCs/>
          <w:i/>
          <w:iCs/>
          <w:color w:val="4F81BD"/>
          <w:sz w:val="24"/>
          <w:szCs w:val="24"/>
          <w:rtl/>
        </w:rPr>
        <w:t>ד</w:t>
      </w:r>
      <w:r w:rsidRPr="00007309">
        <w:rPr>
          <w:rFonts w:ascii="Cambria" w:hAnsi="Cambria" w:cs="Times New Roman"/>
          <w:b/>
          <w:bCs/>
          <w:i/>
          <w:iCs/>
          <w:color w:val="4F81BD"/>
          <w:sz w:val="24"/>
          <w:szCs w:val="24"/>
          <w:rtl/>
        </w:rPr>
        <w:t>)</w:t>
      </w:r>
      <w:r w:rsidRPr="00007309">
        <w:rPr>
          <w:rFonts w:cs="Arial"/>
          <w:b/>
          <w:bCs/>
          <w:sz w:val="24"/>
          <w:szCs w:val="24"/>
          <w:rtl/>
        </w:rPr>
        <w:t xml:space="preserve"> אוֹר מָארֵי דְּבִנְיָנָא </w:t>
      </w:r>
      <w:r w:rsidRPr="00007309">
        <w:rPr>
          <w:rFonts w:cs="Arial"/>
          <w:b/>
          <w:bCs/>
          <w:sz w:val="36"/>
          <w:szCs w:val="28"/>
          <w:vertAlign w:val="superscript"/>
          <w:rtl/>
        </w:rPr>
        <w:footnoteReference w:id="8200"/>
      </w:r>
      <w:r w:rsidRPr="00007309">
        <w:rPr>
          <w:rFonts w:cs="Arial"/>
          <w:b/>
          <w:bCs/>
          <w:sz w:val="24"/>
          <w:szCs w:val="24"/>
          <w:rtl/>
        </w:rPr>
        <w:t xml:space="preserve">אִיהוּ אוֹמֵר, וְאוּמָנָא </w:t>
      </w:r>
      <w:r w:rsidRPr="00007309">
        <w:rPr>
          <w:rFonts w:cs="Arial"/>
          <w:b/>
          <w:bCs/>
          <w:sz w:val="36"/>
          <w:szCs w:val="28"/>
          <w:vertAlign w:val="superscript"/>
          <w:rtl/>
        </w:rPr>
        <w:footnoteReference w:id="8201"/>
      </w:r>
      <w:r w:rsidRPr="00007309">
        <w:rPr>
          <w:rFonts w:cs="Arial"/>
          <w:b/>
          <w:bCs/>
          <w:sz w:val="24"/>
          <w:szCs w:val="24"/>
          <w:rtl/>
        </w:rPr>
        <w:t xml:space="preserve">עָבִיד מִיָּד. וְהָכֵי בְּכָל בִּנְיָנִין דְּאִנּוּן </w:t>
      </w:r>
      <w:r w:rsidRPr="00007309">
        <w:rPr>
          <w:rFonts w:cs="Arial"/>
          <w:b/>
          <w:bCs/>
          <w:sz w:val="36"/>
          <w:szCs w:val="28"/>
          <w:vertAlign w:val="superscript"/>
          <w:rtl/>
        </w:rPr>
        <w:footnoteReference w:id="8202"/>
      </w:r>
      <w:r w:rsidRPr="00007309">
        <w:rPr>
          <w:rFonts w:cs="Arial"/>
          <w:b/>
          <w:bCs/>
          <w:sz w:val="24"/>
          <w:szCs w:val="24"/>
          <w:rtl/>
        </w:rPr>
        <w:t xml:space="preserve">באור' אֲצִילוּת, הֲוָה אָמַר יְהִי רָקִיעַ יְהִי מְאֹרֹת וְכֹלָּא אִתְעֲבִיד מִיָּד. כַּד מָטָא </w:t>
      </w:r>
      <w:r w:rsidRPr="00007309">
        <w:rPr>
          <w:rFonts w:cs="Arial"/>
          <w:b/>
          <w:bCs/>
          <w:sz w:val="36"/>
          <w:szCs w:val="28"/>
          <w:vertAlign w:val="superscript"/>
          <w:rtl/>
        </w:rPr>
        <w:footnoteReference w:id="8203"/>
      </w:r>
      <w:r w:rsidRPr="00007309">
        <w:rPr>
          <w:rFonts w:cs="Arial"/>
          <w:b/>
          <w:bCs/>
          <w:sz w:val="24"/>
          <w:szCs w:val="24"/>
          <w:rtl/>
        </w:rPr>
        <w:t xml:space="preserve">לְעָלְמָא דְּפֵרוּדָא דְּאִיהוּ עוֹלַם הַנִּפְרָדִים, </w:t>
      </w:r>
      <w:r w:rsidRPr="00007309">
        <w:rPr>
          <w:rFonts w:cs="Arial"/>
          <w:b/>
          <w:bCs/>
          <w:sz w:val="36"/>
          <w:szCs w:val="28"/>
          <w:vertAlign w:val="superscript"/>
          <w:rtl/>
        </w:rPr>
        <w:footnoteReference w:id="8204"/>
      </w:r>
      <w:r w:rsidRPr="00007309">
        <w:rPr>
          <w:rFonts w:cs="Arial"/>
          <w:b/>
          <w:bCs/>
          <w:sz w:val="24"/>
          <w:szCs w:val="24"/>
          <w:rtl/>
        </w:rPr>
        <w:t xml:space="preserve">אָמַר אוּמָנָא לְמָארֵי בִּנְיָנָא, נַעֲשֶׂה אָדָם בְּצַלְמֵנוּ כִּדְמוּתֵנוּ. אָמַר מָארֵי בִּנְיָנָא </w:t>
      </w:r>
      <w:r w:rsidRPr="00007309">
        <w:rPr>
          <w:rFonts w:cs="Arial"/>
          <w:b/>
          <w:bCs/>
          <w:sz w:val="36"/>
          <w:szCs w:val="28"/>
          <w:vertAlign w:val="superscript"/>
          <w:rtl/>
        </w:rPr>
        <w:footnoteReference w:id="8205"/>
      </w:r>
      <w:r w:rsidRPr="00007309">
        <w:rPr>
          <w:rFonts w:cs="Arial"/>
          <w:b/>
          <w:bCs/>
          <w:sz w:val="24"/>
          <w:szCs w:val="24"/>
          <w:rtl/>
        </w:rPr>
        <w:t xml:space="preserve">וַדַּאי טָב הוּא לְמֶעֱבַד לֵהּ אֲבָל עָתִיד הוּא </w:t>
      </w:r>
      <w:r w:rsidRPr="00007309">
        <w:rPr>
          <w:rFonts w:cs="Arial"/>
          <w:b/>
          <w:bCs/>
          <w:sz w:val="36"/>
          <w:szCs w:val="28"/>
          <w:vertAlign w:val="superscript"/>
          <w:rtl/>
        </w:rPr>
        <w:footnoteReference w:id="8206"/>
      </w:r>
      <w:r w:rsidRPr="00007309">
        <w:rPr>
          <w:rFonts w:cs="Arial"/>
          <w:b/>
          <w:bCs/>
          <w:sz w:val="24"/>
          <w:szCs w:val="24"/>
          <w:rtl/>
        </w:rPr>
        <w:t xml:space="preserve">לְמֶחֱטֵי קַמָּךְ, בְּגִין דְּאִיהוּ כְּסִיל. </w:t>
      </w:r>
      <w:r w:rsidRPr="00007309">
        <w:rPr>
          <w:rFonts w:cs="Arial"/>
          <w:b/>
          <w:bCs/>
          <w:sz w:val="36"/>
          <w:szCs w:val="28"/>
          <w:vertAlign w:val="superscript"/>
          <w:rtl/>
        </w:rPr>
        <w:footnoteReference w:id="8207"/>
      </w:r>
      <w:r w:rsidRPr="00007309">
        <w:rPr>
          <w:rFonts w:cs="Arial"/>
          <w:b/>
          <w:bCs/>
          <w:sz w:val="24"/>
          <w:szCs w:val="24"/>
          <w:rtl/>
        </w:rPr>
        <w:t xml:space="preserve">הָדָא הוּא דִּכְתִיב (משלי י) בֶּן חָכָם יְשַׂמַּח אָב וּבֶן כְּסִיל תּוּגַת אִמּוֹ, אִיהִי אַמְרַת </w:t>
      </w:r>
      <w:r w:rsidRPr="00007309">
        <w:rPr>
          <w:rFonts w:cs="Arial"/>
          <w:b/>
          <w:bCs/>
          <w:sz w:val="36"/>
          <w:szCs w:val="28"/>
          <w:vertAlign w:val="superscript"/>
          <w:rtl/>
        </w:rPr>
        <w:footnoteReference w:id="8208"/>
      </w:r>
      <w:r w:rsidRPr="00007309">
        <w:rPr>
          <w:rFonts w:cs="Arial"/>
          <w:b/>
          <w:bCs/>
          <w:sz w:val="24"/>
          <w:szCs w:val="24"/>
          <w:rtl/>
        </w:rPr>
        <w:t xml:space="preserve">בָּתַר דְּחוֹבֵהּ בְּאִמָּא תַּלְיָא וְלָא בְּאַבָּא, אֲנָא בָּעֵינָא לְמִבְרֵי לֵהּ בְּדִיקְנָא דִּילִי. </w:t>
      </w:r>
      <w:r w:rsidRPr="00007309">
        <w:rPr>
          <w:rFonts w:cs="Arial"/>
          <w:b/>
          <w:bCs/>
          <w:sz w:val="36"/>
          <w:szCs w:val="28"/>
          <w:vertAlign w:val="superscript"/>
          <w:rtl/>
        </w:rPr>
        <w:footnoteReference w:id="8209"/>
      </w:r>
      <w:r w:rsidRPr="00007309">
        <w:rPr>
          <w:rFonts w:cs="Arial"/>
          <w:b/>
          <w:bCs/>
          <w:sz w:val="24"/>
          <w:szCs w:val="24"/>
          <w:rtl/>
        </w:rPr>
        <w:t>הָדָא הוּא דִּכְתִיב (בראשית א) וַיִּבְרָא אֱלֹהִים אֶת הָאָדָם בְּצַלְמוֹ, וְלֹא בָּעָא לאשתתפ' בֵּהּ אַבָּא. בְּזִמְנָא דְּחָב מַה כְּתִיב וּבְפִשְׁעֵיכֶם שֻׁלְּחָה אִמְּכֶם. אָמַר מַלְכָּא לְאִמָּא וְלֹא אֲמָרִית לָךְ דְּעָתִיד אִיהוּ לְמֶחֱטֵי. בְּהַהוּא זִמְנָא תָּרִיךְ לֵהּ וְתָרִיךְ לָהּ עִמֵּהּ. וּבְגִין דָּא כְּתִיב בֶּן חָכָם יְשַׂמַּח אָב, דָּא אָדָם דְּאִיהוּ בְּאֹרַח אֲצִילוּת. וּבֶן כְּסִיל תּוּגַת אִמּוֹ, דָּא אָדָם דִּבְרִיאָה. קָמוּ</w:t>
      </w:r>
      <w:r w:rsidRPr="00007309">
        <w:rPr>
          <w:rFonts w:cs="Arial"/>
          <w:b/>
          <w:bCs/>
          <w:sz w:val="24"/>
          <w:szCs w:val="24"/>
        </w:rPr>
        <w:t xml:space="preserve"> </w:t>
      </w:r>
      <w:r w:rsidRPr="00007309">
        <w:rPr>
          <w:rFonts w:cs="Arial"/>
          <w:b/>
          <w:bCs/>
          <w:sz w:val="24"/>
          <w:szCs w:val="24"/>
          <w:rtl/>
        </w:rPr>
        <w:t xml:space="preserve">כֻּלְּהוּ חַבְרַיָּא וְאָמְרוּ </w:t>
      </w:r>
      <w:r w:rsidRPr="00007309">
        <w:rPr>
          <w:rFonts w:cs="Arial"/>
          <w:b/>
          <w:bCs/>
          <w:sz w:val="36"/>
          <w:szCs w:val="28"/>
          <w:vertAlign w:val="superscript"/>
          <w:rtl/>
        </w:rPr>
        <w:footnoteReference w:id="8210"/>
      </w:r>
      <w:r w:rsidRPr="00007309">
        <w:rPr>
          <w:rFonts w:cs="Arial"/>
          <w:b/>
          <w:bCs/>
          <w:sz w:val="24"/>
          <w:szCs w:val="24"/>
          <w:rtl/>
        </w:rPr>
        <w:t xml:space="preserve">רִבִּי יוֹסִי וְכִי אִית פֵּרוּדָא בֵּן אַבָּא וְאִמָּא, דְּמִסִּטְרָא דְּאַבָּא אִיהוּ כְּאֹרַח אֲצִילוּת וּמִסִּטְרָא דְּאִמָּא בַּבְּרִיאָה. אָמַר חַבְרַיָּא חַבְרַיָּא לָאו הָכֵי, דְּהָא </w:t>
      </w:r>
      <w:r w:rsidRPr="00007309">
        <w:rPr>
          <w:rFonts w:cs="Arial"/>
          <w:b/>
          <w:bCs/>
          <w:sz w:val="36"/>
          <w:szCs w:val="28"/>
          <w:vertAlign w:val="superscript"/>
          <w:rtl/>
        </w:rPr>
        <w:footnoteReference w:id="8211"/>
      </w:r>
      <w:r w:rsidRPr="00007309">
        <w:rPr>
          <w:rFonts w:cs="Arial"/>
          <w:b/>
          <w:bCs/>
          <w:sz w:val="24"/>
          <w:szCs w:val="24"/>
          <w:rtl/>
        </w:rPr>
        <w:t xml:space="preserve">אָדָם דַּאֲצִילוּת דְּכָר וְנוּקְבָא הֲוָה מִסִּטְרָא דְּאַבָּא וְאִמָּא, וְדָא אִיהוּ (בראשית א) וַיֹּאמֶר אֱלֹהִים יְהִי אוֹר </w:t>
      </w:r>
      <w:r w:rsidRPr="00007309">
        <w:rPr>
          <w:rFonts w:cs="Arial"/>
          <w:b/>
          <w:bCs/>
          <w:sz w:val="36"/>
          <w:szCs w:val="28"/>
          <w:vertAlign w:val="superscript"/>
          <w:rtl/>
        </w:rPr>
        <w:footnoteReference w:id="8212"/>
      </w:r>
      <w:r w:rsidRPr="00007309">
        <w:rPr>
          <w:rFonts w:cs="Arial"/>
          <w:b/>
          <w:bCs/>
          <w:sz w:val="24"/>
          <w:szCs w:val="24"/>
          <w:rtl/>
        </w:rPr>
        <w:t xml:space="preserve">וַיְהִי אוֹר. יְהִי אוֹר מִסִּטְרָא דְּאַבָּא. וַיְהִי אוֹר מִסִּטְרָא דְּאִמָּא. וְדָא אִיהוּ אָדָם דּוּ פַּרְצוּפִין. </w:t>
      </w:r>
      <w:r w:rsidRPr="00007309">
        <w:rPr>
          <w:rFonts w:cs="Arial"/>
          <w:b/>
          <w:bCs/>
          <w:sz w:val="36"/>
          <w:szCs w:val="28"/>
          <w:vertAlign w:val="superscript"/>
          <w:rtl/>
        </w:rPr>
        <w:footnoteReference w:id="8213"/>
      </w:r>
      <w:r w:rsidRPr="00007309">
        <w:rPr>
          <w:rFonts w:cs="Arial"/>
          <w:b/>
          <w:bCs/>
          <w:sz w:val="24"/>
          <w:szCs w:val="24"/>
          <w:rtl/>
        </w:rPr>
        <w:t xml:space="preserve">וּלְהַאי לֵית בֵּהּ צֶלֶם וּדְמוּת. </w:t>
      </w:r>
      <w:r w:rsidRPr="00007309">
        <w:rPr>
          <w:rFonts w:cs="Arial"/>
          <w:b/>
          <w:bCs/>
          <w:sz w:val="36"/>
          <w:szCs w:val="28"/>
          <w:vertAlign w:val="superscript"/>
          <w:rtl/>
        </w:rPr>
        <w:footnoteReference w:id="8214"/>
      </w:r>
      <w:r w:rsidRPr="00007309">
        <w:rPr>
          <w:rFonts w:cs="Arial"/>
          <w:b/>
          <w:bCs/>
          <w:sz w:val="24"/>
          <w:szCs w:val="24"/>
          <w:rtl/>
        </w:rPr>
        <w:t>אֶלָּא</w:t>
      </w:r>
      <w:r w:rsidRPr="00007309">
        <w:rPr>
          <w:rFonts w:cs="Arial"/>
          <w:b/>
          <w:bCs/>
          <w:sz w:val="24"/>
          <w:szCs w:val="24"/>
        </w:rPr>
        <w:t xml:space="preserve"> </w:t>
      </w:r>
      <w:r w:rsidRPr="00007309">
        <w:rPr>
          <w:rFonts w:cs="Arial"/>
          <w:b/>
          <w:bCs/>
          <w:sz w:val="24"/>
          <w:szCs w:val="24"/>
          <w:rtl/>
        </w:rPr>
        <w:t xml:space="preserve">אִמָּא הֲוָת לֵהּ כְּנוֹ"י </w:t>
      </w:r>
      <w:r w:rsidRPr="00007309">
        <w:rPr>
          <w:rFonts w:cs="Arial"/>
          <w:b/>
          <w:bCs/>
          <w:sz w:val="36"/>
          <w:szCs w:val="28"/>
          <w:vertAlign w:val="superscript"/>
          <w:rtl/>
        </w:rPr>
        <w:footnoteReference w:id="8215"/>
      </w:r>
      <w:r w:rsidRPr="00007309">
        <w:rPr>
          <w:rFonts w:cs="Arial"/>
          <w:b/>
          <w:bCs/>
          <w:sz w:val="24"/>
          <w:szCs w:val="24"/>
          <w:rtl/>
        </w:rPr>
        <w:t xml:space="preserve">דְּסָלִיק לְחֻשְׁבַּן אֱלֹהִים. </w:t>
      </w:r>
      <w:r w:rsidRPr="00007309">
        <w:rPr>
          <w:rFonts w:cs="Arial"/>
          <w:b/>
          <w:bCs/>
          <w:sz w:val="36"/>
          <w:szCs w:val="28"/>
          <w:vertAlign w:val="superscript"/>
          <w:rtl/>
        </w:rPr>
        <w:footnoteReference w:id="8216"/>
      </w:r>
      <w:r w:rsidRPr="00007309">
        <w:rPr>
          <w:rFonts w:cs="Arial"/>
          <w:b/>
          <w:bCs/>
          <w:sz w:val="24"/>
          <w:szCs w:val="24"/>
          <w:rtl/>
        </w:rPr>
        <w:t xml:space="preserve">וְהַהוּא כִּנּוּי אִיהוּ אוֹר וְחֹשֶׁךְ. וּבְגִין הַהוּא חֹשֶׁךְ דַּהֲוָה בְּהַהוּא כִּנּוּי, אָמַר אַבָּא </w:t>
      </w:r>
      <w:r w:rsidRPr="00007309">
        <w:rPr>
          <w:rFonts w:cs="Arial"/>
          <w:b/>
          <w:bCs/>
          <w:sz w:val="36"/>
          <w:szCs w:val="28"/>
          <w:vertAlign w:val="superscript"/>
          <w:rtl/>
        </w:rPr>
        <w:footnoteReference w:id="8217"/>
      </w:r>
      <w:r w:rsidRPr="00007309">
        <w:rPr>
          <w:rFonts w:cs="Arial"/>
          <w:b/>
          <w:bCs/>
          <w:sz w:val="24"/>
          <w:szCs w:val="24"/>
          <w:rtl/>
        </w:rPr>
        <w:t xml:space="preserve">דְּעָתִיד לְמֶחֱטֵי לָאָדָם דִּבְרִיאָה (נ"א דאצילות) דְּאִיהוּ אוֹר לְבוּשׁ עֶלְיוֹן. וְהַאי אִיהוּ אוֹר דְּבָרָא קוּדְשָׁא בְּרִיךְ הוּא בְּיוֹם א' דִּגְנָזוּ לַצַּדִּיקִים. וְהַהוּא חֹשֶׁךְ דְּאִתְבְּרֵי בְּיוֹמָא קַדְמָאָה לְרַשִּׁיעַיָּא הָדָא הוּא דִּכְתִיב (שמואל א, ב) וּרְשָׁעִים בַּחֹשֶׁךְ יִדָּמּוּ. וּבְגִין הַהוּא חֹשֶׁךְ דַּהֲוָה </w:t>
      </w:r>
      <w:r w:rsidRPr="00007309">
        <w:rPr>
          <w:rFonts w:cs="Arial"/>
          <w:b/>
          <w:bCs/>
          <w:sz w:val="36"/>
          <w:szCs w:val="28"/>
          <w:vertAlign w:val="superscript"/>
          <w:rtl/>
        </w:rPr>
        <w:footnoteReference w:id="8218"/>
      </w:r>
      <w:r w:rsidRPr="00007309">
        <w:rPr>
          <w:rFonts w:cs="Arial"/>
          <w:b/>
          <w:bCs/>
          <w:sz w:val="24"/>
          <w:szCs w:val="24"/>
          <w:rtl/>
        </w:rPr>
        <w:t xml:space="preserve">עָתִיד לִמְמָטֵי לְהַהוּא אוֹר, לָא בָּעֵי אַבָּא לְאִשְׁתַּתְּפָא בֵּהּ. וּבְגִין דָּא אָמַר נַעֲשֶׂה אָדָם בְּצַלְמֵנוּ הַהוּא אוֹר. כִּדְמוּתֵנוּ הַהוּא חֹשֶׁךְ דְּאִיהוּ לְבוּשָׁא דְּאוֹר, כְּגַוְנָא דְּגוּפָא דְּאִיהוּ לְבוּשָׁא לְנִשְׁמְתָא. </w:t>
      </w:r>
      <w:r w:rsidRPr="00007309">
        <w:rPr>
          <w:rFonts w:cs="Arial"/>
          <w:b/>
          <w:bCs/>
          <w:sz w:val="36"/>
          <w:szCs w:val="28"/>
          <w:vertAlign w:val="superscript"/>
          <w:rtl/>
        </w:rPr>
        <w:footnoteReference w:id="8219"/>
      </w:r>
      <w:r w:rsidRPr="00007309">
        <w:rPr>
          <w:rFonts w:cs="Arial"/>
          <w:b/>
          <w:bCs/>
          <w:sz w:val="24"/>
          <w:szCs w:val="24"/>
          <w:rtl/>
        </w:rPr>
        <w:t xml:space="preserve">הָדָא הוּא דִּכְתִיב (איוב י) עוֹר וּבָשָׂר תַּלְבִּישֵׁנִי. חֲדוּ כֻּלְּהוּ חַבְרַיָּא וְאָמְרוּ זַכָּאָה חוּלָקָנָא דְּזָכִינָא לְמִשְׁמַע מִלִּין דְּלָא אִשְׁתְּמָעוּ עַד הַשְׁתָּא. </w:t>
      </w:r>
    </w:p>
    <w:p w:rsidR="00007309" w:rsidRPr="00007309" w:rsidRDefault="00007309" w:rsidP="00007309">
      <w:pPr>
        <w:keepNext/>
        <w:spacing w:before="240" w:after="60"/>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[וילנא מא ע"א]</w:t>
      </w:r>
    </w:p>
    <w:p w:rsidR="00007309" w:rsidRPr="00007309" w:rsidRDefault="00007309" w:rsidP="00007309">
      <w:pPr>
        <w:jc w:val="both"/>
        <w:rPr>
          <w:rFonts w:cs="Arial"/>
          <w:b/>
          <w:bCs/>
          <w:sz w:val="24"/>
          <w:szCs w:val="24"/>
          <w:rtl/>
        </w:rPr>
      </w:pPr>
      <w:r w:rsidRPr="00007309">
        <w:rPr>
          <w:rFonts w:cs="Arial"/>
          <w:b/>
          <w:bCs/>
          <w:sz w:val="24"/>
          <w:szCs w:val="24"/>
          <w:rtl/>
        </w:rPr>
        <w:t xml:space="preserve">פָּתַח רִבִּי שִׁמְעוֹן וְאָמַר (דברים לב) רָאוּ עַתָּה </w:t>
      </w:r>
      <w:r w:rsidRPr="00007309">
        <w:rPr>
          <w:rFonts w:ascii="Cambria" w:hAnsi="Cambria" w:cs="Times New Roman"/>
          <w:b/>
          <w:bCs/>
          <w:i/>
          <w:iCs/>
          <w:color w:val="4F81BD"/>
          <w:sz w:val="24"/>
          <w:szCs w:val="24"/>
          <w:rtl/>
        </w:rPr>
        <w:t xml:space="preserve">(וילנא </w:t>
      </w:r>
      <w:r w:rsidRPr="00007309">
        <w:rPr>
          <w:rFonts w:ascii="Cambria" w:hAnsi="Cambria" w:cs="Times New Roman" w:hint="cs"/>
          <w:b/>
          <w:bCs/>
          <w:i/>
          <w:iCs/>
          <w:color w:val="4F81BD"/>
          <w:sz w:val="24"/>
          <w:szCs w:val="24"/>
          <w:rtl/>
        </w:rPr>
        <w:t>מא</w:t>
      </w:r>
      <w:r w:rsidRPr="00007309">
        <w:rPr>
          <w:rFonts w:ascii="Cambria" w:hAnsi="Cambria" w:cs="Times New Roman"/>
          <w:b/>
          <w:bCs/>
          <w:i/>
          <w:iCs/>
          <w:color w:val="4F81BD"/>
          <w:sz w:val="24"/>
          <w:szCs w:val="24"/>
          <w:rtl/>
        </w:rPr>
        <w:t xml:space="preserve"> ע"</w:t>
      </w:r>
      <w:r w:rsidRPr="00007309">
        <w:rPr>
          <w:rFonts w:ascii="Cambria" w:hAnsi="Cambria" w:cs="Times New Roman" w:hint="cs"/>
          <w:b/>
          <w:bCs/>
          <w:i/>
          <w:iCs/>
          <w:color w:val="4F81BD"/>
          <w:sz w:val="24"/>
          <w:szCs w:val="24"/>
          <w:rtl/>
        </w:rPr>
        <w:t>א</w:t>
      </w:r>
      <w:r w:rsidRPr="00007309">
        <w:rPr>
          <w:rFonts w:ascii="Cambria" w:hAnsi="Cambria" w:cs="Times New Roman"/>
          <w:b/>
          <w:bCs/>
          <w:i/>
          <w:iCs/>
          <w:color w:val="4F81BD"/>
          <w:sz w:val="24"/>
          <w:szCs w:val="24"/>
          <w:rtl/>
        </w:rPr>
        <w:t>)</w:t>
      </w:r>
      <w:r w:rsidRPr="00007309">
        <w:rPr>
          <w:rFonts w:cs="Arial"/>
          <w:b/>
          <w:bCs/>
          <w:sz w:val="24"/>
          <w:szCs w:val="24"/>
          <w:rtl/>
        </w:rPr>
        <w:t xml:space="preserve"> כִּי אֲנִי אֲנִי הוּא וְאֵין אֱלֹהִים עִמָּדִי. אָמַר חַבְרַיָּא שְׁמָעוּ </w:t>
      </w:r>
      <w:r w:rsidRPr="00007309">
        <w:rPr>
          <w:rFonts w:cs="Arial"/>
          <w:b/>
          <w:bCs/>
          <w:sz w:val="36"/>
          <w:szCs w:val="28"/>
          <w:vertAlign w:val="superscript"/>
          <w:rtl/>
        </w:rPr>
        <w:footnoteReference w:id="8220"/>
      </w:r>
      <w:r w:rsidRPr="00007309">
        <w:rPr>
          <w:rFonts w:cs="Arial"/>
          <w:b/>
          <w:bCs/>
          <w:sz w:val="24"/>
          <w:szCs w:val="24"/>
          <w:rtl/>
        </w:rPr>
        <w:t xml:space="preserve">מִלִּין עַתִּיקִין דַּאֲנָא בָּעֵינָא לְגַלָּאָה בָּתַר דְּאִתְיְהִיב לִי רְשׁוּ לְגַלָּאָה. </w:t>
      </w:r>
      <w:r w:rsidRPr="00007309">
        <w:rPr>
          <w:rFonts w:cs="Arial"/>
          <w:b/>
          <w:bCs/>
          <w:sz w:val="36"/>
          <w:szCs w:val="28"/>
          <w:vertAlign w:val="superscript"/>
          <w:rtl/>
        </w:rPr>
        <w:footnoteReference w:id="8221"/>
      </w:r>
      <w:r w:rsidRPr="00007309">
        <w:rPr>
          <w:rFonts w:cs="Arial"/>
          <w:b/>
          <w:bCs/>
          <w:sz w:val="24"/>
          <w:szCs w:val="24"/>
          <w:rtl/>
        </w:rPr>
        <w:t xml:space="preserve">מַאי נִיהוּ דְּאָמַר רָאוּ עַתָּה כִּי אֲנִי אֲנִי הוּא וְאֵין אֱלֹהִים עִמָּדִי. אֶלָּא דָּא הוּא עִלַּת עַל כָּל עִלָּאִין. </w:t>
      </w:r>
      <w:r w:rsidRPr="00007309">
        <w:rPr>
          <w:rFonts w:cs="Arial"/>
          <w:b/>
          <w:bCs/>
          <w:sz w:val="36"/>
          <w:szCs w:val="28"/>
          <w:vertAlign w:val="superscript"/>
          <w:rtl/>
        </w:rPr>
        <w:footnoteReference w:id="8222"/>
      </w:r>
      <w:r w:rsidRPr="00007309">
        <w:rPr>
          <w:rFonts w:cs="Arial"/>
          <w:b/>
          <w:bCs/>
          <w:sz w:val="24"/>
          <w:szCs w:val="24"/>
          <w:rtl/>
        </w:rPr>
        <w:t xml:space="preserve">וְהַהוּא אִתְקְרֵי עִלַּת הָעִלּוֹת, עִלַּת מֵאִלֵּין עִלּוֹת דְּלָא יַעֲבִיד חַד מֵאִלֵּין עִלּוֹת שׁוּם עובד' עַד דְּנָטִיל רְשׁוּ מֵהַהוּא עִלָּאָה דְּעָלֵהּ, כְּמָה דְּאוֹקִימְנָא לְעֵלָּא בְּנַעֲשֶּה אָדָם, נַעֲשֶּה וַדַּאי, עַל תְּרֵין אִתְּמַר דְּאָמַר דָּא לְהַהוּא דִּלְעֵלָּא מִנֵּהּ, נַעֲשֶׂה אָדָם וְלָא עָבִיד מִדָּעַם, אֶלָּא בִּרְשׁוּ בַּאֲמִירָה מֵהַהוּא דִּלְעֵלָּא מִנֵּהּ. וְהַהוּא דִּלְעֵלָּא מִנֵּהּ לָא עָבִיד מדעם עַד דְּנָטִיל עֵצָה מֵחַבְרֵהּ. אֲבָל הַהוּא דְּאִתְקְרֵי עִלַּת עַל כָּל הָעִלּוֹת, </w:t>
      </w:r>
      <w:r w:rsidRPr="00007309">
        <w:rPr>
          <w:rFonts w:cs="Arial"/>
          <w:b/>
          <w:bCs/>
          <w:sz w:val="36"/>
          <w:szCs w:val="28"/>
          <w:vertAlign w:val="superscript"/>
        </w:rPr>
        <w:footnoteReference w:id="8223"/>
      </w:r>
      <w:r w:rsidRPr="00007309">
        <w:rPr>
          <w:rFonts w:cs="Arial"/>
          <w:b/>
          <w:bCs/>
          <w:sz w:val="24"/>
          <w:szCs w:val="24"/>
          <w:rtl/>
        </w:rPr>
        <w:t xml:space="preserve">דְּלֵית לְעֵלָּא מִנֵּהּ וְלֵית לְתַתָּא דשוה לֵהּ. הָדָא הוּא דִּכְתִיב (ישעיה מ) וְאַל מִי תְּדַמְּיוּנִי וְגוֹ'. </w:t>
      </w:r>
      <w:r w:rsidRPr="00007309">
        <w:rPr>
          <w:rFonts w:cs="Arial"/>
          <w:b/>
          <w:bCs/>
          <w:sz w:val="36"/>
          <w:szCs w:val="28"/>
          <w:vertAlign w:val="superscript"/>
          <w:rtl/>
        </w:rPr>
        <w:footnoteReference w:id="8224"/>
      </w:r>
      <w:r w:rsidRPr="00007309">
        <w:rPr>
          <w:rFonts w:cs="Arial"/>
          <w:b/>
          <w:bCs/>
          <w:sz w:val="24"/>
          <w:szCs w:val="24"/>
          <w:rtl/>
        </w:rPr>
        <w:t>אָמַר רָאוּ עַתָּה כִּי אֲנִי אֲנִי הוּא וְאֵין אֱלֹהִים עִמָּדִי, דְּנָטִיל עֵצָה מִנֵּהּ, כְּגַוְנָא דְּהַהוּא דְּאָמַר</w:t>
      </w:r>
      <w:r w:rsidRPr="00007309">
        <w:rPr>
          <w:rFonts w:cs="Arial"/>
          <w:b/>
          <w:bCs/>
          <w:sz w:val="24"/>
          <w:szCs w:val="28"/>
        </w:rPr>
        <w:t xml:space="preserve"> </w:t>
      </w:r>
      <w:r w:rsidRPr="00007309">
        <w:rPr>
          <w:rFonts w:cs="Arial"/>
          <w:b/>
          <w:bCs/>
          <w:sz w:val="24"/>
          <w:szCs w:val="24"/>
          <w:rtl/>
        </w:rPr>
        <w:t xml:space="preserve">וַיֹּאמֶר אֱלֹהִים נַעֲשֶׂה אָדָם בְּצַלְמֵנוּ. קָמוּ כֻּלְּהוּ חַבְרַיָּא וְאָמְרוּ ר' הַב לָן רְשׁוּ לְמַלְּלָא בְּהַאי אֲתַר. אָמְרוּ וְהָא </w:t>
      </w:r>
      <w:r w:rsidRPr="00007309">
        <w:rPr>
          <w:rFonts w:cs="Arial"/>
          <w:b/>
          <w:bCs/>
          <w:sz w:val="36"/>
          <w:szCs w:val="28"/>
          <w:vertAlign w:val="superscript"/>
          <w:rtl/>
        </w:rPr>
        <w:footnoteReference w:id="8225"/>
      </w:r>
      <w:r w:rsidRPr="00007309">
        <w:rPr>
          <w:rFonts w:cs="Arial"/>
          <w:b/>
          <w:bCs/>
          <w:sz w:val="24"/>
          <w:szCs w:val="24"/>
          <w:rtl/>
        </w:rPr>
        <w:t xml:space="preserve">אַמְרַת לְעֵיל דְּעִלַּת הָעִלּוֹת אָמַר לְכֶתֶר </w:t>
      </w:r>
      <w:r w:rsidRPr="00007309">
        <w:rPr>
          <w:rFonts w:cs="Arial"/>
          <w:b/>
          <w:bCs/>
          <w:sz w:val="36"/>
          <w:szCs w:val="28"/>
          <w:vertAlign w:val="superscript"/>
          <w:rtl/>
        </w:rPr>
        <w:footnoteReference w:id="8226"/>
      </w:r>
      <w:r w:rsidRPr="00007309">
        <w:rPr>
          <w:rFonts w:cs="Arial"/>
          <w:b/>
          <w:bCs/>
          <w:sz w:val="24"/>
          <w:szCs w:val="24"/>
          <w:rtl/>
        </w:rPr>
        <w:t xml:space="preserve">נַעֲשֶׂה אָדָם, וְאֵיךְ אָמְרוּ בְּעִלַּת הָעִלּוֹת דְּלָא נָטִיל עֵצָה וּרְשׁוּ אֶלָּא אִיהוּ בִּלְחוּדוֹהִי בְּלָא שִׁתּוּף וְחֻשְׁבָּן, דִּכְתִיב וְאֵין אֱלֹהִים עִמָּדִי. אֲפִלּוּ אֱלֹהִים דַּאֲצִילוּת. אָמַר לוֹן יְהוֹן שָׁמְעִין אוּדְנֵיכוֹן מַה דְּפוּמַיְכוּ מְמַלֵּל. וְהָא לָא אֲמָרִית לְכוּ הַשְׁתָּא דְּאִית דְּאִתְקְרֵי עִלַּת הָעִלּוֹת, וְלָאו אִיהוּ הַהוּא דְּאִתְקְרֵי עִלַּת עַל כָּל הָעִלּוֹת. דְּעִלַּת עַל כָּל הָעִלּוֹת לֵית לֵהּ תִּנְיָנָא דְּנָטִיל עֵצָה מִנֵּהּ. דְּאִיהוּ יָחִיד קֳדָם כֹּלָּא, וְלֵית לֵהּ שֻׁתָּפָא. וּבְגִין דָּא אָמַר רָאוּ עַתָּה כִּי אֲנִי אֲנִי הוּא וְאֵין אֱלֹהִים עִמָּדִי דְּנָטִיל עֵצָה מִנֵּהּ. דְּאִיהוּ יָחִיד קֹדֶם כֹּלָּא וְלֵית לֵהּ תִּנְיָנָא וְלָא שֻׁתָּפָא. וְלֵית חֻשְׁבָּנָא. דְּאִית אֶחָד בְּשִׁתּוּף כְּגוֹן דְּכָר וְנוּקְבָא דְּאִתְּמַר בְּהוֹן כִּי אֶחָד קְרָאתִיו וְכוּ'. אֲבָל אִיהוּ חַד </w:t>
      </w:r>
      <w:r w:rsidRPr="00007309">
        <w:rPr>
          <w:rFonts w:cs="Arial"/>
          <w:b/>
          <w:bCs/>
          <w:sz w:val="36"/>
          <w:szCs w:val="28"/>
          <w:vertAlign w:val="superscript"/>
          <w:rtl/>
        </w:rPr>
        <w:footnoteReference w:id="8227"/>
      </w:r>
      <w:r w:rsidRPr="00007309">
        <w:rPr>
          <w:rFonts w:cs="Arial"/>
          <w:b/>
          <w:bCs/>
          <w:sz w:val="24"/>
          <w:szCs w:val="24"/>
          <w:rtl/>
        </w:rPr>
        <w:t xml:space="preserve">בְּלָא חֻשְׁבָּן וּבְלָא שִׁתּוּף. וּבְגִין דָּא וְאֵין אֱלֹהִים עִמָּדִי. </w:t>
      </w:r>
    </w:p>
    <w:p w:rsidR="00007309" w:rsidRPr="00007309" w:rsidRDefault="00007309" w:rsidP="00007309">
      <w:pPr>
        <w:keepNext/>
        <w:outlineLvl w:val="1"/>
        <w:rPr>
          <w:rFonts w:ascii="Cambria" w:hAnsi="Cambria" w:cs="Times New Roman"/>
          <w:b/>
          <w:bCs/>
          <w:i/>
          <w:iCs/>
          <w:sz w:val="28"/>
          <w:szCs w:val="28"/>
          <w:rtl/>
        </w:rPr>
      </w:pPr>
      <w:r w:rsidRPr="00007309">
        <w:rPr>
          <w:rFonts w:ascii="Cambria" w:hAnsi="Cambria" w:cs="Times New Roman"/>
          <w:b/>
          <w:bCs/>
          <w:i/>
          <w:iCs/>
          <w:sz w:val="28"/>
          <w:szCs w:val="28"/>
          <w:rtl/>
        </w:rPr>
        <w:t>[</w:t>
      </w:r>
      <w:r w:rsidRPr="00007309">
        <w:rPr>
          <w:rFonts w:ascii="Cambria" w:hAnsi="Cambria" w:cs="Times New Roman" w:hint="cs"/>
          <w:b/>
          <w:bCs/>
          <w:i/>
          <w:iCs/>
          <w:sz w:val="28"/>
          <w:szCs w:val="28"/>
          <w:rtl/>
        </w:rPr>
        <w:t>דף</w:t>
      </w:r>
      <w:r w:rsidRPr="00007309">
        <w:rPr>
          <w:rFonts w:ascii="Cambria" w:hAnsi="Cambria" w:cs="Times New Roman"/>
          <w:b/>
          <w:bCs/>
          <w:i/>
          <w:iCs/>
          <w:sz w:val="28"/>
          <w:szCs w:val="28"/>
          <w:rtl/>
        </w:rPr>
        <w:t xml:space="preserve"> </w:t>
      </w:r>
      <w:r w:rsidRPr="00007309">
        <w:rPr>
          <w:rFonts w:ascii="Cambria" w:hAnsi="Cambria" w:cs="Times New Roman" w:hint="cs"/>
          <w:b/>
          <w:bCs/>
          <w:i/>
          <w:iCs/>
          <w:sz w:val="28"/>
          <w:szCs w:val="28"/>
          <w:rtl/>
        </w:rPr>
        <w:t>פו</w:t>
      </w:r>
      <w:r w:rsidRPr="00007309">
        <w:rPr>
          <w:rFonts w:ascii="Cambria" w:hAnsi="Cambria" w:cs="Times New Roman"/>
          <w:b/>
          <w:bCs/>
          <w:i/>
          <w:iCs/>
          <w:sz w:val="28"/>
          <w:szCs w:val="28"/>
          <w:rtl/>
        </w:rPr>
        <w:t xml:space="preserve"> ע"</w:t>
      </w:r>
      <w:r w:rsidRPr="00007309">
        <w:rPr>
          <w:rFonts w:ascii="Cambria" w:hAnsi="Cambria" w:cs="Times New Roman" w:hint="cs"/>
          <w:b/>
          <w:bCs/>
          <w:i/>
          <w:iCs/>
          <w:sz w:val="28"/>
          <w:szCs w:val="28"/>
          <w:rtl/>
        </w:rPr>
        <w:t>א</w:t>
      </w:r>
      <w:r w:rsidRPr="00007309">
        <w:rPr>
          <w:rFonts w:ascii="Cambria" w:hAnsi="Cambria" w:cs="Times New Roman"/>
          <w:b/>
          <w:bCs/>
          <w:i/>
          <w:iCs/>
          <w:sz w:val="28"/>
          <w:szCs w:val="28"/>
          <w:rtl/>
        </w:rPr>
        <w:t>]</w:t>
      </w:r>
    </w:p>
    <w:p w:rsidR="00007309" w:rsidRPr="00007309" w:rsidRDefault="00007309" w:rsidP="00007309">
      <w:pPr>
        <w:jc w:val="both"/>
        <w:rPr>
          <w:rFonts w:cs="Arial"/>
          <w:b/>
          <w:bCs/>
          <w:sz w:val="24"/>
          <w:szCs w:val="24"/>
        </w:rPr>
      </w:pPr>
      <w:r w:rsidRPr="00007309">
        <w:rPr>
          <w:rFonts w:cs="Arial"/>
          <w:b/>
          <w:bCs/>
          <w:sz w:val="24"/>
          <w:szCs w:val="24"/>
          <w:rtl/>
        </w:rPr>
        <w:t xml:space="preserve">קָמוּ כֻּלְּהוּ חַבְרַיָּא וְאִשְׁתְּטָחוּ קַמֵּהּ וְאָמְרוּ, זַכָּאָה דְּמָארֵי אִסְתְּכַם עִמֵּהּ לְגַלָּאָה רָזִין טְמִירִין אִית בַּר נָשׁ דְּלָא הֲווֹ מִתְגַּלְּיָן לַמַּלְאָכִין קַדִּישִׁין. אָמַר לוֹן חַבְרַיָּא אִית לָן לְאַשְׁלָמָא קְרָא, דְּכַמָּה רָזִין טְמִירִין בְּהַאי קְרָא. אֲנִי אָמִית וְאַחֲיֶה וְגוֹ'. אָמִית בִּסְפִירָה וְאַחֲיֶה בִּסְפִירָה מִסִּטְרָא דִּימִינָא חַיֵּי, וּמִסִּטְרָא דִּשְׂמָאלָא מִיתָה. וְאִי לָאֵ אִסְתְּכָמוּ תַּרְוַיְהוּ בְּעַמּוּדָא דְּאֶמְצָעִיתָא לֹא אִתְקְיַם דִּינָא דְּאִנּוּן בְּמוּתָב תְּלָתָא כַּחֲדָא. וּלְזִמְנִין אִתְחַכְּמוּן תְּלָתָא לְמֶעֱבַד דִּינָא, וְיֵיתֵי יַד יְמִינָא דְּאִיהִי </w:t>
      </w:r>
      <w:r w:rsidRPr="00007309">
        <w:rPr>
          <w:rFonts w:cs="Arial"/>
          <w:b/>
          <w:bCs/>
          <w:sz w:val="36"/>
          <w:szCs w:val="28"/>
          <w:vertAlign w:val="superscript"/>
          <w:rtl/>
        </w:rPr>
        <w:footnoteReference w:id="8228"/>
      </w:r>
      <w:r w:rsidRPr="00007309">
        <w:rPr>
          <w:rFonts w:cs="Arial"/>
          <w:b/>
          <w:bCs/>
          <w:sz w:val="24"/>
          <w:szCs w:val="24"/>
          <w:rtl/>
        </w:rPr>
        <w:t xml:space="preserve">פְּשׁוּטָה </w:t>
      </w:r>
      <w:r w:rsidRPr="00007309">
        <w:rPr>
          <w:rFonts w:cs="Arial"/>
          <w:b/>
          <w:bCs/>
          <w:sz w:val="36"/>
          <w:szCs w:val="28"/>
          <w:vertAlign w:val="superscript"/>
          <w:rtl/>
        </w:rPr>
        <w:footnoteReference w:id="8229"/>
      </w:r>
      <w:r w:rsidRPr="00007309">
        <w:rPr>
          <w:rFonts w:cs="Arial"/>
          <w:b/>
          <w:bCs/>
          <w:sz w:val="24"/>
          <w:szCs w:val="24"/>
          <w:rtl/>
        </w:rPr>
        <w:t xml:space="preserve">לְקַבֵּל שָׁבִים. </w:t>
      </w:r>
      <w:r w:rsidRPr="00007309">
        <w:rPr>
          <w:rFonts w:cs="Arial"/>
          <w:b/>
          <w:bCs/>
          <w:sz w:val="36"/>
          <w:szCs w:val="28"/>
          <w:vertAlign w:val="superscript"/>
          <w:rtl/>
        </w:rPr>
        <w:footnoteReference w:id="8230"/>
      </w:r>
      <w:r w:rsidRPr="00007309">
        <w:rPr>
          <w:rFonts w:cs="Arial"/>
          <w:b/>
          <w:bCs/>
          <w:sz w:val="24"/>
          <w:szCs w:val="24"/>
          <w:rtl/>
        </w:rPr>
        <w:t xml:space="preserve">דְּאִיהוּ יְהוָֹ'ה יוּ"ד הֵ"א וָא"ו הֵ"א וְדָא שְׁכִינְתָּא אִתְקְרֵי יַד יָמִין מִסִּטְרָא דְּחֶסֶד, יַד שְׂמֹאל מִסִּטְרָא דִּגְבוּרָה. יַד יְהוָֹ'ה מִסִּטְרָא </w:t>
      </w:r>
      <w:r w:rsidRPr="00007309">
        <w:rPr>
          <w:rFonts w:ascii="Cambria" w:hAnsi="Cambria" w:cs="Times New Roman"/>
          <w:b/>
          <w:bCs/>
          <w:i/>
          <w:iCs/>
          <w:color w:val="4F81BD"/>
          <w:sz w:val="24"/>
          <w:szCs w:val="24"/>
          <w:rtl/>
        </w:rPr>
        <w:t>(</w:t>
      </w:r>
      <w:r w:rsidRPr="00007309">
        <w:rPr>
          <w:rFonts w:ascii="Cambria" w:hAnsi="Cambria" w:cs="Times New Roman" w:hint="cs"/>
          <w:b/>
          <w:bCs/>
          <w:i/>
          <w:iCs/>
          <w:color w:val="4F81BD"/>
          <w:sz w:val="24"/>
          <w:szCs w:val="24"/>
          <w:rtl/>
        </w:rPr>
        <w:t>פו</w:t>
      </w:r>
      <w:r w:rsidRPr="00007309">
        <w:rPr>
          <w:rFonts w:ascii="Cambria" w:hAnsi="Cambria" w:cs="Times New Roman"/>
          <w:b/>
          <w:bCs/>
          <w:i/>
          <w:iCs/>
          <w:color w:val="4F81BD"/>
          <w:sz w:val="24"/>
          <w:szCs w:val="24"/>
          <w:rtl/>
        </w:rPr>
        <w:t xml:space="preserve"> ע"</w:t>
      </w:r>
      <w:r w:rsidRPr="00007309">
        <w:rPr>
          <w:rFonts w:ascii="Cambria" w:hAnsi="Cambria" w:cs="Times New Roman" w:hint="cs"/>
          <w:b/>
          <w:bCs/>
          <w:i/>
          <w:iCs/>
          <w:color w:val="4F81BD"/>
          <w:sz w:val="24"/>
          <w:szCs w:val="24"/>
          <w:rtl/>
        </w:rPr>
        <w:t>א</w:t>
      </w:r>
      <w:r w:rsidRPr="00007309">
        <w:rPr>
          <w:rFonts w:ascii="Cambria" w:hAnsi="Cambria" w:cs="Times New Roman"/>
          <w:b/>
          <w:bCs/>
          <w:i/>
          <w:iCs/>
          <w:color w:val="4F81BD"/>
          <w:sz w:val="24"/>
          <w:szCs w:val="24"/>
          <w:rtl/>
        </w:rPr>
        <w:t>)</w:t>
      </w:r>
      <w:r w:rsidRPr="00007309">
        <w:rPr>
          <w:rFonts w:cs="Arial"/>
          <w:b/>
          <w:bCs/>
          <w:sz w:val="24"/>
          <w:szCs w:val="24"/>
          <w:rtl/>
        </w:rPr>
        <w:t xml:space="preserve"> דְּעַמּוּדָא דְּאֶמְצָעִיתָא. כַּד בַּר נָשׁ חָזַר בִּתְיוּבְתָּא </w:t>
      </w:r>
      <w:r w:rsidRPr="00007309">
        <w:rPr>
          <w:rFonts w:cs="Arial"/>
          <w:b/>
          <w:bCs/>
          <w:sz w:val="36"/>
          <w:szCs w:val="28"/>
          <w:vertAlign w:val="superscript"/>
          <w:rtl/>
        </w:rPr>
        <w:footnoteReference w:id="8231"/>
      </w:r>
      <w:r w:rsidRPr="00007309">
        <w:rPr>
          <w:rFonts w:cs="Arial"/>
          <w:b/>
          <w:bCs/>
          <w:sz w:val="24"/>
          <w:szCs w:val="24"/>
          <w:rtl/>
        </w:rPr>
        <w:t>הַאי יָד שֵׁיזִיב לוֹן</w:t>
      </w:r>
      <w:r w:rsidRPr="00007309">
        <w:rPr>
          <w:rFonts w:cs="Arial"/>
          <w:b/>
          <w:bCs/>
          <w:sz w:val="24"/>
          <w:szCs w:val="24"/>
        </w:rPr>
        <w:t xml:space="preserve"> </w:t>
      </w:r>
      <w:r w:rsidRPr="00007309">
        <w:rPr>
          <w:rFonts w:cs="Arial"/>
          <w:b/>
          <w:bCs/>
          <w:sz w:val="24"/>
          <w:szCs w:val="24"/>
          <w:rtl/>
        </w:rPr>
        <w:t xml:space="preserve">מִן דִּינָא. אֲבָל כַּד דָּן עִלַּת עַל כָּל הָעִלּוֹת, אִתְּמַר בֵּהּ וְאֵין מִיָּדִי מַצִּיל. וְעוֹד תְּלָת זִמְנִין אִית בְּהַאי קְרָא אֲנִי אֲנִי אֲנִי </w:t>
      </w:r>
      <w:r w:rsidRPr="00007309">
        <w:rPr>
          <w:rFonts w:cs="Arial"/>
          <w:b/>
          <w:bCs/>
          <w:sz w:val="36"/>
          <w:szCs w:val="28"/>
          <w:vertAlign w:val="superscript"/>
          <w:rtl/>
        </w:rPr>
        <w:footnoteReference w:id="8232"/>
      </w:r>
      <w:r w:rsidRPr="00007309">
        <w:rPr>
          <w:rFonts w:cs="Arial"/>
          <w:b/>
          <w:bCs/>
          <w:sz w:val="24"/>
          <w:szCs w:val="24"/>
          <w:rtl/>
        </w:rPr>
        <w:t xml:space="preserve">דְּאִית בְּהוֹן אֵ אֵ אֵ י י י, דְּאִתְרְמִיזו בְּיוּ"ד הֵ"י וָא"ו הֵ"י. יוּ"ד הֵ"א וָא"ו הֵ"א. וְאִית בְּהוֹן תְּלָת וָוִי"ן וְאַיִ"ן ואחי"ה ואנ"י דְּאִתְרְמִיזוּ בְּאִלֵּין שְׁמָהָן. </w:t>
      </w:r>
      <w:r w:rsidRPr="00007309">
        <w:rPr>
          <w:rFonts w:cs="Arial"/>
          <w:b/>
          <w:bCs/>
          <w:sz w:val="36"/>
          <w:szCs w:val="28"/>
          <w:vertAlign w:val="superscript"/>
          <w:rtl/>
        </w:rPr>
        <w:footnoteReference w:id="8233"/>
      </w:r>
      <w:r w:rsidRPr="00007309">
        <w:rPr>
          <w:rFonts w:cs="Arial"/>
          <w:b/>
          <w:bCs/>
          <w:sz w:val="24"/>
          <w:szCs w:val="24"/>
          <w:rtl/>
        </w:rPr>
        <w:t xml:space="preserve">וְעִם כָּל דָּא דְּהַאי קְרָא אוֹקְמוּהּ חַבְרַיָּא </w:t>
      </w:r>
      <w:r w:rsidRPr="00007309">
        <w:rPr>
          <w:rFonts w:cs="Arial"/>
          <w:b/>
          <w:bCs/>
          <w:sz w:val="36"/>
          <w:szCs w:val="28"/>
          <w:vertAlign w:val="superscript"/>
          <w:rtl/>
        </w:rPr>
        <w:footnoteReference w:id="8234"/>
      </w:r>
      <w:r w:rsidRPr="00007309">
        <w:rPr>
          <w:rFonts w:cs="Arial"/>
          <w:b/>
          <w:bCs/>
          <w:sz w:val="24"/>
          <w:szCs w:val="24"/>
          <w:rtl/>
        </w:rPr>
        <w:t xml:space="preserve">לְגַבֵּי אֱלֹהִים אֲחֵרִים. רָאוּ עַתָּה כִּי אֲנִי אֲנִי הוּא דָּא קוּדְשָׁא בְּרִיךְ הוּא וּשְׁכִינְתֵּהּ דְּאִתְּמַר בְּהוּ אנ'י וה'ו. וְאֵין אֱלֹהִים עִמָּדִי, דָּא שְׂמֹאל וְנָחָשׁ. אֲנִי אָמִית, </w:t>
      </w:r>
      <w:r w:rsidRPr="00007309">
        <w:rPr>
          <w:rFonts w:cs="Arial"/>
          <w:b/>
          <w:bCs/>
          <w:sz w:val="36"/>
          <w:szCs w:val="28"/>
          <w:vertAlign w:val="superscript"/>
          <w:rtl/>
        </w:rPr>
        <w:footnoteReference w:id="8235"/>
      </w:r>
      <w:r w:rsidRPr="00007309">
        <w:rPr>
          <w:rFonts w:cs="Arial"/>
          <w:b/>
          <w:bCs/>
          <w:sz w:val="24"/>
          <w:szCs w:val="24"/>
          <w:rtl/>
        </w:rPr>
        <w:t xml:space="preserve">בִּשְׁכִינְתָּא לְמָאן דְּאִיהוּ חַיָּב. וַאֲנִי אֶחְיֶה בֵּהּ לְמָאן דְּאִיהוּ זַכָּאֵי. וְאֵין מִיָּדִי מַצִּיל </w:t>
      </w:r>
      <w:r w:rsidRPr="00007309">
        <w:rPr>
          <w:rFonts w:cs="Arial"/>
          <w:b/>
          <w:bCs/>
          <w:sz w:val="36"/>
          <w:szCs w:val="28"/>
          <w:vertAlign w:val="superscript"/>
          <w:rtl/>
        </w:rPr>
        <w:footnoteReference w:id="8236"/>
      </w:r>
      <w:r w:rsidRPr="00007309">
        <w:rPr>
          <w:rFonts w:cs="Arial"/>
          <w:b/>
          <w:bCs/>
          <w:sz w:val="24"/>
          <w:szCs w:val="24"/>
          <w:rtl/>
        </w:rPr>
        <w:t xml:space="preserve">דָּא יַד יְהוָֹ'ה דְּאִיהוּ יְהוָֹ'ה יוּ"ד הֵ"א וָא"ו הֵ"א. וְאִיהוּ כוז"ו במוכס'ז וְכֹלָּא קְשׁוֹט. אֲבָל מַה דְּאִתְּמַר לְעֵלָּא עַל עִלָּאָה דְּאִיהוּ עִלַּת עַל כָּל הָעִלּוֹת, הַאי רָזָא לָא אִתְמְסַר אֶלָּא לְחַכִּימַיָּא </w:t>
      </w:r>
      <w:r w:rsidRPr="00007309">
        <w:rPr>
          <w:rFonts w:cs="Arial"/>
          <w:b/>
          <w:bCs/>
          <w:sz w:val="36"/>
          <w:szCs w:val="28"/>
          <w:vertAlign w:val="superscript"/>
          <w:rtl/>
        </w:rPr>
        <w:footnoteReference w:id="8237"/>
      </w:r>
      <w:r w:rsidRPr="00007309">
        <w:rPr>
          <w:rFonts w:cs="Arial"/>
          <w:b/>
          <w:bCs/>
          <w:sz w:val="24"/>
          <w:szCs w:val="24"/>
          <w:rtl/>
        </w:rPr>
        <w:t xml:space="preserve">וּנְבִיאַיָּא. וְעוֹד נַעֲשֶׂה אָדָם בְּצַלְמֵנוּ כִּדְמוּתֵנוּ, הָא אוֹקְמוּהּ חַבְרַיָּא עַל מַלְאֲכֵי הַשָּׁרֵת, </w:t>
      </w:r>
      <w:r w:rsidRPr="00007309">
        <w:rPr>
          <w:rFonts w:cs="Arial"/>
          <w:b/>
          <w:bCs/>
          <w:sz w:val="36"/>
          <w:szCs w:val="28"/>
          <w:vertAlign w:val="superscript"/>
          <w:rtl/>
        </w:rPr>
        <w:footnoteReference w:id="8238"/>
      </w:r>
      <w:r w:rsidRPr="00007309">
        <w:rPr>
          <w:rFonts w:cs="Arial"/>
          <w:b/>
          <w:bCs/>
          <w:sz w:val="24"/>
          <w:szCs w:val="24"/>
          <w:rtl/>
        </w:rPr>
        <w:t xml:space="preserve">דְּאִנּוּן אָמְרוּ הַאי קְרָא </w:t>
      </w:r>
      <w:r w:rsidRPr="00007309">
        <w:rPr>
          <w:rFonts w:cs="Arial"/>
          <w:b/>
          <w:bCs/>
          <w:sz w:val="36"/>
          <w:szCs w:val="28"/>
          <w:vertAlign w:val="superscript"/>
          <w:rtl/>
        </w:rPr>
        <w:footnoteReference w:id="8239"/>
      </w:r>
      <w:r w:rsidRPr="00007309">
        <w:rPr>
          <w:rFonts w:cs="Arial"/>
          <w:b/>
          <w:bCs/>
          <w:sz w:val="24"/>
          <w:szCs w:val="24"/>
          <w:rtl/>
        </w:rPr>
        <w:t xml:space="preserve">בָּתַר דַּהֲווֹ יַדְעִין מַה דַּהֲוָה וּמַה דְּעָתִיד לְמֶהֱוֵי. וְאִנּוּן הֲווֹ יָדְעֵי דַּהֲוָה עָתִיד לְמֶחֱטֵי. </w:t>
      </w:r>
      <w:r w:rsidRPr="00007309">
        <w:rPr>
          <w:rFonts w:cs="Arial"/>
          <w:b/>
          <w:bCs/>
          <w:sz w:val="36"/>
          <w:szCs w:val="28"/>
          <w:vertAlign w:val="superscript"/>
          <w:rtl/>
        </w:rPr>
        <w:footnoteReference w:id="8240"/>
      </w:r>
      <w:r w:rsidRPr="00007309">
        <w:rPr>
          <w:rFonts w:cs="Arial"/>
          <w:b/>
          <w:bCs/>
          <w:sz w:val="24"/>
          <w:szCs w:val="24"/>
          <w:rtl/>
        </w:rPr>
        <w:t xml:space="preserve">ואַמַּאי בָּעֵי לֵהּ לְמֶעֱבַד. וְלֹא עוֹד אֶלָּא עֻזָּא וְעַזָּאֵל הֲווֹ מְקַטְרְגִין עָלֵהּ זִמְנָא דְּאָמַר' שְׁכִינְתָּא לְקוּדְשָׁא בְּרִיךְ הוּא נַעֲשֶׂה אָדָם. אָמְרוּ מָה אָדָם וַתֵּדָעֵהוּ. מָה אָת בָּעֵי לְמֶעֱבַד אָדָם וַתֵּדָעֵהוּ וְעָתִיד לְמֶחֱטֵי קַמָּךְ בְּאִתְּתָא דִּילֵהּ </w:t>
      </w:r>
      <w:r w:rsidRPr="00007309">
        <w:rPr>
          <w:rFonts w:cs="Arial"/>
          <w:b/>
          <w:bCs/>
          <w:sz w:val="36"/>
          <w:szCs w:val="28"/>
          <w:vertAlign w:val="superscript"/>
          <w:rtl/>
        </w:rPr>
        <w:footnoteReference w:id="8241"/>
      </w:r>
      <w:r w:rsidRPr="00007309">
        <w:rPr>
          <w:rFonts w:cs="Arial"/>
          <w:b/>
          <w:bCs/>
          <w:sz w:val="24"/>
          <w:szCs w:val="24"/>
          <w:rtl/>
        </w:rPr>
        <w:t>דְּאִיהִי חֹשֶׁךְ. דְּאוֹר אִיהוּ דְּכוּרָא</w:t>
      </w:r>
      <w:r w:rsidRPr="00007309">
        <w:rPr>
          <w:rFonts w:cs="Arial"/>
          <w:b/>
          <w:bCs/>
          <w:sz w:val="24"/>
          <w:szCs w:val="24"/>
        </w:rPr>
        <w:t xml:space="preserve">. </w:t>
      </w:r>
      <w:r w:rsidRPr="00007309">
        <w:rPr>
          <w:rFonts w:cs="Arial"/>
          <w:b/>
          <w:bCs/>
          <w:sz w:val="24"/>
          <w:szCs w:val="24"/>
          <w:rtl/>
        </w:rPr>
        <w:t xml:space="preserve">חֹשֶׁךְ נוּקְבָא. שְׂמֹאל חֹשֶׁךְ דִּבְרִיאָה, בְּהַהוּא זִמְנָא שְׁכִינְתָּא אָמְרָה לוֹ בְּהַאי דְּאַתְוָן מְקַטְרְגִין אַתְוָן עֲתִידִין לְמִנְפַּל. הָדָא הוּא דִּכְתִיב (בראשית ו) וַיִּרְאוּ בְּנֵי הָאֱלֹהִים אֶת בָּנוֹת הָאָדָם. וְחָשְׁקוּ בְּהוֹן וְטָעוּ בְּהוֹן וְאַפִּיל לוֹן שְׁכִינְתָּא מִקְּדֻשָּׁה דִּילְהוֹן. אָמְרוּ חַבְרַיָּא אִי הָכֵי עֻזָּא וְעַזָּאֵל לֹא מְשַׁקְּרִין בְּמִלּוּלַיְהוּ. דְּוַדַּאי בְּנוּקְבָא הֲוָה עָתִיד לְמֶחֱטֵי אָדָם. </w:t>
      </w:r>
      <w:r w:rsidRPr="00007309">
        <w:rPr>
          <w:rFonts w:cs="Arial"/>
          <w:b/>
          <w:bCs/>
          <w:sz w:val="36"/>
          <w:szCs w:val="28"/>
          <w:vertAlign w:val="superscript"/>
          <w:rtl/>
        </w:rPr>
        <w:footnoteReference w:id="8242"/>
      </w:r>
      <w:r w:rsidRPr="00007309">
        <w:rPr>
          <w:rFonts w:cs="Arial"/>
          <w:b/>
          <w:bCs/>
          <w:sz w:val="24"/>
          <w:szCs w:val="24"/>
          <w:rtl/>
        </w:rPr>
        <w:t xml:space="preserve">אֶלָּא הָכֵי אָמְרָה שְׁכִינְתָּא אַתְוָן דְּאִזְדְּמַנְתּוּן לְקִטְרוּגָא קֳדָמַי יַתִּיר מִכָּל צְבָא מָרוֹם, אִי אַתּוּן הֲוֵיתוּן שַׁפִּירִין מֵאָדָם בְּעוֹבָדַיְכוּ, יָאוּת לְכוּ לְקַטְרְגָא עָלֵהּ. אֲבָל אִם הוּא עָתִיד לְמֶחֱטֵי בְּאִתְּתָא חֲדָא אַתּוּן בְּנָשִׁין סַגִּיאִין. כְּמָא דְּאִתְּמַר (בראשית ו) וַיִּרְאוּ בְּנֵי הָאֱלֹהִים אֶת בָּנוֹת הָאָדָם. בָּנוֹת הָאָדָם וְלֹא בַּת הָאָדָם. וְלֹא עוֹד אֶלָּא אִם אָדָם חָב </w:t>
      </w:r>
      <w:r w:rsidRPr="00007309">
        <w:rPr>
          <w:rFonts w:cs="Arial"/>
          <w:b/>
          <w:bCs/>
          <w:sz w:val="36"/>
          <w:szCs w:val="28"/>
          <w:vertAlign w:val="superscript"/>
          <w:rtl/>
        </w:rPr>
        <w:footnoteReference w:id="8243"/>
      </w:r>
      <w:r w:rsidRPr="00007309">
        <w:rPr>
          <w:rFonts w:cs="Arial"/>
          <w:b/>
          <w:bCs/>
          <w:sz w:val="24"/>
          <w:szCs w:val="24"/>
          <w:rtl/>
        </w:rPr>
        <w:t>הָא אַקְדִּים לֵהּ תְּשׁוּבָה לְאַחֲזָרָא לְמָארֵהּ וּלְאִתְתַּקְּנָא בְּמָא</w:t>
      </w:r>
      <w:r w:rsidRPr="00007309">
        <w:rPr>
          <w:rFonts w:cs="Arial"/>
          <w:b/>
          <w:bCs/>
          <w:sz w:val="24"/>
          <w:szCs w:val="28"/>
        </w:rPr>
        <w:t xml:space="preserve"> </w:t>
      </w:r>
      <w:r w:rsidRPr="00007309">
        <w:rPr>
          <w:rFonts w:cs="Arial"/>
          <w:b/>
          <w:bCs/>
          <w:sz w:val="24"/>
          <w:szCs w:val="24"/>
          <w:rtl/>
        </w:rPr>
        <w:t xml:space="preserve">דְּחָב. </w:t>
      </w:r>
      <w:r w:rsidRPr="00007309">
        <w:rPr>
          <w:rFonts w:cs="Arial"/>
          <w:b/>
          <w:bCs/>
          <w:sz w:val="36"/>
          <w:szCs w:val="28"/>
          <w:vertAlign w:val="superscript"/>
          <w:rtl/>
        </w:rPr>
        <w:footnoteReference w:id="8244"/>
      </w:r>
      <w:r w:rsidRPr="00007309">
        <w:rPr>
          <w:rFonts w:cs="Arial"/>
          <w:b/>
          <w:bCs/>
          <w:sz w:val="24"/>
          <w:szCs w:val="24"/>
          <w:rtl/>
        </w:rPr>
        <w:t xml:space="preserve">אָמַר לוֹ חַבְרַיָּא א"כ אַמַּאי כֻּלֵּי הַאי. </w:t>
      </w:r>
      <w:r w:rsidRPr="00007309">
        <w:rPr>
          <w:rFonts w:cs="Arial"/>
          <w:b/>
          <w:bCs/>
          <w:sz w:val="36"/>
          <w:szCs w:val="28"/>
          <w:vertAlign w:val="superscript"/>
          <w:rtl/>
        </w:rPr>
        <w:footnoteReference w:id="8245"/>
      </w:r>
      <w:r w:rsidRPr="00007309">
        <w:rPr>
          <w:rFonts w:cs="Arial"/>
          <w:b/>
          <w:bCs/>
          <w:sz w:val="24"/>
          <w:szCs w:val="24"/>
          <w:rtl/>
        </w:rPr>
        <w:t xml:space="preserve">אָמַר רִבִּי אֶלְעָזָר חַבְרַיָּא אִי לָא הֲוָה הָכֵי דְּבָרָא קוּדְשָׁא בְּרִיךְ הוּא יֵצֶר הַטוֹב וְיֵצֶר הָרָע דְּאִנּוּן אוֹר וְחֹשֶׁךְ, לָא הֲוָה זְכוּ וחוב' לְאָדָם דִּבְרִיאָה. אֶלָּא דְּאִתְבְּרֵי מִתַּרְוַיְהוּ. וּבְגִין דָּא (דברים ל) רְאֵה נָתַתִּי לְפָנֶיךָ הַיּוֹם אֶת הַחַיִּים וְאֶת הַטוֹב וְאֶת הַמָּוֶת וְאֶת הָרָע וּבָחַרְתָּ בַּחַיִּים. </w:t>
      </w:r>
      <w:r w:rsidRPr="00007309">
        <w:rPr>
          <w:rFonts w:cs="Arial"/>
          <w:b/>
          <w:bCs/>
          <w:sz w:val="36"/>
          <w:szCs w:val="28"/>
          <w:vertAlign w:val="superscript"/>
          <w:rtl/>
        </w:rPr>
        <w:footnoteReference w:id="8246"/>
      </w:r>
      <w:r w:rsidRPr="00007309">
        <w:rPr>
          <w:rFonts w:cs="Arial"/>
          <w:b/>
          <w:bCs/>
          <w:sz w:val="24"/>
          <w:szCs w:val="24"/>
          <w:rtl/>
        </w:rPr>
        <w:t xml:space="preserve">אָמְרוּ לֵהּ וְעוֹד כֻּלֵּי הַאי אַמַּאי. </w:t>
      </w:r>
      <w:r w:rsidRPr="00007309">
        <w:rPr>
          <w:rFonts w:cs="Arial"/>
          <w:b/>
          <w:bCs/>
          <w:sz w:val="36"/>
          <w:szCs w:val="28"/>
          <w:vertAlign w:val="superscript"/>
          <w:rtl/>
        </w:rPr>
        <w:footnoteReference w:id="8247"/>
      </w:r>
      <w:r w:rsidRPr="00007309">
        <w:rPr>
          <w:rFonts w:cs="Arial"/>
          <w:b/>
          <w:bCs/>
          <w:sz w:val="24"/>
          <w:szCs w:val="24"/>
          <w:rtl/>
        </w:rPr>
        <w:t>לָא הֲוָה אִתְבְּרֵי לְמֵיחַב קֳדָם יְהוָֹ'ה, וְלָא גַּרְמָא כָּל מַה דְּגָרִים לְעֵלָּא, וְלָא הֲוָה לֵהּ לֹא עֹנֶשׁ וְלֹא שָׂכָר</w:t>
      </w:r>
      <w:r w:rsidRPr="00007309">
        <w:rPr>
          <w:rFonts w:cs="Arial"/>
          <w:b/>
          <w:bCs/>
          <w:sz w:val="24"/>
          <w:szCs w:val="24"/>
        </w:rPr>
        <w:t>:</w:t>
      </w:r>
    </w:p>
    <w:p w:rsidR="00007309" w:rsidRPr="00007309" w:rsidRDefault="00007309" w:rsidP="00007309">
      <w:pPr>
        <w:keepNext/>
        <w:spacing w:before="240" w:after="60"/>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[וילנא מא ע"ב]</w:t>
      </w:r>
    </w:p>
    <w:p w:rsidR="00007309" w:rsidRPr="00007309" w:rsidRDefault="00007309" w:rsidP="00007309">
      <w:pPr>
        <w:jc w:val="both"/>
        <w:rPr>
          <w:rFonts w:cs="Arial"/>
          <w:b/>
          <w:bCs/>
          <w:sz w:val="24"/>
          <w:szCs w:val="24"/>
          <w:rtl/>
        </w:rPr>
      </w:pPr>
      <w:r w:rsidRPr="00007309">
        <w:rPr>
          <w:rFonts w:cs="Arial"/>
          <w:b/>
          <w:bCs/>
          <w:sz w:val="24"/>
          <w:szCs w:val="24"/>
          <w:rtl/>
        </w:rPr>
        <w:t xml:space="preserve">אָמַר חַבְרַיָּא מִן הַדִּין הֲוָה לְמִבְרֵי לֵהּ </w:t>
      </w:r>
      <w:r w:rsidRPr="00007309">
        <w:rPr>
          <w:rFonts w:cs="Arial"/>
          <w:b/>
          <w:bCs/>
          <w:sz w:val="36"/>
          <w:szCs w:val="28"/>
          <w:vertAlign w:val="superscript"/>
          <w:rtl/>
        </w:rPr>
        <w:footnoteReference w:id="8248"/>
      </w:r>
      <w:r w:rsidRPr="00007309">
        <w:rPr>
          <w:rFonts w:cs="Arial"/>
          <w:b/>
          <w:bCs/>
          <w:sz w:val="24"/>
          <w:szCs w:val="24"/>
          <w:rtl/>
        </w:rPr>
        <w:t xml:space="preserve">בְּגִין דְּאוֹרַיְתָא </w:t>
      </w:r>
      <w:r w:rsidRPr="00007309">
        <w:rPr>
          <w:rFonts w:ascii="Cambria" w:hAnsi="Cambria" w:cs="Times New Roman"/>
          <w:b/>
          <w:bCs/>
          <w:i/>
          <w:iCs/>
          <w:color w:val="4F81BD"/>
          <w:sz w:val="24"/>
          <w:szCs w:val="24"/>
          <w:rtl/>
        </w:rPr>
        <w:t xml:space="preserve">(וילנא </w:t>
      </w:r>
      <w:r w:rsidRPr="00007309">
        <w:rPr>
          <w:rFonts w:ascii="Cambria" w:hAnsi="Cambria" w:cs="Times New Roman" w:hint="cs"/>
          <w:b/>
          <w:bCs/>
          <w:i/>
          <w:iCs/>
          <w:color w:val="4F81BD"/>
          <w:sz w:val="24"/>
          <w:szCs w:val="24"/>
          <w:rtl/>
        </w:rPr>
        <w:t>מא</w:t>
      </w:r>
      <w:r w:rsidRPr="00007309">
        <w:rPr>
          <w:rFonts w:ascii="Cambria" w:hAnsi="Cambria" w:cs="Times New Roman"/>
          <w:b/>
          <w:bCs/>
          <w:i/>
          <w:iCs/>
          <w:color w:val="4F81BD"/>
          <w:sz w:val="24"/>
          <w:szCs w:val="24"/>
          <w:rtl/>
        </w:rPr>
        <w:t xml:space="preserve"> ע"ב)</w:t>
      </w:r>
      <w:r w:rsidRPr="00007309">
        <w:rPr>
          <w:rFonts w:cs="Arial"/>
          <w:b/>
          <w:bCs/>
          <w:sz w:val="24"/>
          <w:szCs w:val="24"/>
          <w:rtl/>
        </w:rPr>
        <w:t xml:space="preserve"> בְּגִינָהּ אִתְבְּרִיאַת דִּכְתִיב בָּהּ אַגְרָא לְצַדִּיקַיָּא וְעָנְשָׁא לָרְשָׁעִים. (ולא הוה אגרא לצדיקיא וענש לרשיעיא), אֶלָּא בְּגִין אָדָם דִּבְרִיאָה </w:t>
      </w:r>
      <w:r w:rsidRPr="00007309">
        <w:rPr>
          <w:rFonts w:cs="Arial"/>
          <w:b/>
          <w:bCs/>
          <w:sz w:val="36"/>
          <w:szCs w:val="28"/>
          <w:vertAlign w:val="superscript"/>
          <w:rtl/>
        </w:rPr>
        <w:footnoteReference w:id="8249"/>
      </w:r>
      <w:r w:rsidRPr="00007309">
        <w:rPr>
          <w:rFonts w:cs="Arial"/>
          <w:b/>
          <w:bCs/>
          <w:sz w:val="24"/>
          <w:szCs w:val="24"/>
          <w:rtl/>
        </w:rPr>
        <w:t xml:space="preserve">לֹא תֹהוּ בְּרָאָהּ לָשֶׁבֶת יְצָרָהּ. אָמְרוּ וַדַּאי כְּעָן שְׁמַעְנָא מַה דְּלָא שְׁמַעְנָא עַד הַשְׁתָּא. דְּוַדַּאי לֹא בָּרָא קוּדְשָׁא בְּרִיךְ הוּא מִלְּתָא דְּלָאו הוּא צָרִיךְ. וְלֹא עוֹד אֶלָּא אוֹרַיְתָא דִּבְרִיאָה </w:t>
      </w:r>
      <w:r w:rsidRPr="00007309">
        <w:rPr>
          <w:rFonts w:cs="Arial"/>
          <w:b/>
          <w:bCs/>
          <w:sz w:val="36"/>
          <w:szCs w:val="28"/>
          <w:vertAlign w:val="superscript"/>
          <w:rtl/>
        </w:rPr>
        <w:footnoteReference w:id="8250"/>
      </w:r>
      <w:r w:rsidRPr="00007309">
        <w:rPr>
          <w:rFonts w:cs="Arial"/>
          <w:b/>
          <w:bCs/>
          <w:sz w:val="24"/>
          <w:szCs w:val="24"/>
          <w:rtl/>
        </w:rPr>
        <w:t>אִיהִי לְבוּשָׁא דִּשְׁכִינְתָּא. אִם</w:t>
      </w:r>
      <w:r w:rsidRPr="00007309">
        <w:rPr>
          <w:rFonts w:cs="Arial"/>
          <w:b/>
          <w:bCs/>
          <w:sz w:val="24"/>
          <w:szCs w:val="24"/>
        </w:rPr>
        <w:t xml:space="preserve"> </w:t>
      </w:r>
      <w:r w:rsidRPr="00007309">
        <w:rPr>
          <w:rFonts w:cs="Arial"/>
          <w:b/>
          <w:bCs/>
          <w:sz w:val="24"/>
          <w:szCs w:val="24"/>
          <w:rtl/>
        </w:rPr>
        <w:t xml:space="preserve">אָדָם לֹא הֲוָה עָתִיד לְמִבְרֵי הֲוַת שְׁכִינְתָּא בְּלָא כִּסּוּיָא </w:t>
      </w:r>
      <w:r w:rsidRPr="00007309">
        <w:rPr>
          <w:rFonts w:cs="Arial"/>
          <w:b/>
          <w:bCs/>
          <w:sz w:val="36"/>
          <w:szCs w:val="28"/>
          <w:vertAlign w:val="superscript"/>
          <w:rtl/>
        </w:rPr>
        <w:footnoteReference w:id="8251"/>
      </w:r>
      <w:r w:rsidRPr="00007309">
        <w:rPr>
          <w:rFonts w:cs="Arial"/>
          <w:b/>
          <w:bCs/>
          <w:sz w:val="24"/>
          <w:szCs w:val="24"/>
          <w:rtl/>
        </w:rPr>
        <w:t xml:space="preserve">כְּגַוְנָא דְּעָנִי. וּבְגִין דָּא כָּל מָאן דְּחָב </w:t>
      </w:r>
      <w:r w:rsidRPr="00007309">
        <w:rPr>
          <w:rFonts w:cs="Arial"/>
          <w:b/>
          <w:bCs/>
          <w:sz w:val="36"/>
          <w:szCs w:val="28"/>
          <w:vertAlign w:val="superscript"/>
          <w:rtl/>
        </w:rPr>
        <w:footnoteReference w:id="8252"/>
      </w:r>
      <w:r w:rsidRPr="00007309">
        <w:rPr>
          <w:rFonts w:cs="Arial"/>
          <w:b/>
          <w:bCs/>
          <w:sz w:val="24"/>
          <w:szCs w:val="24"/>
          <w:rtl/>
        </w:rPr>
        <w:t xml:space="preserve">כְּאִלּוּ בְּפָשִׁיט לִשְׁכִינְתָּא מַלְבּוּשָׁהָא, וְהַאי אִיהוּ עוֹנְשָׁא דְּאָדָם. וְכָל מָאן דִּמְקַיִּם פִּקּוּדֵי דְּאוֹרַיְתָא כְּאִלּוּ הוּא לָבִישׁ לִשְׁכִינְתָּא בְּמַלְבּוּשָׁהָא. וּבְגִין דָּא אוֹקְמוּהּ בְּכִסּוּיָא דְּצִיצִית, (שמות כב) כִּי הִיא כְסוּתֹה לְבַדָּהּ הִיא שִּמְלָתוֹ לְעוֹרוֹ בַּמֶּה יִשָׁכָּב בְּגָלוּתָא </w:t>
      </w:r>
      <w:r w:rsidRPr="00007309">
        <w:rPr>
          <w:rFonts w:cs="Arial"/>
          <w:b/>
          <w:bCs/>
          <w:sz w:val="36"/>
          <w:szCs w:val="28"/>
          <w:vertAlign w:val="superscript"/>
          <w:rtl/>
        </w:rPr>
        <w:footnoteReference w:id="8253"/>
      </w:r>
      <w:r w:rsidRPr="00007309">
        <w:rPr>
          <w:rFonts w:cs="Arial"/>
          <w:b/>
          <w:bCs/>
          <w:sz w:val="24"/>
          <w:szCs w:val="24"/>
          <w:rtl/>
        </w:rPr>
        <w:t xml:space="preserve">וְהָא אוֹקְמוּהּ. </w:t>
      </w:r>
    </w:p>
    <w:p w:rsidR="00007309" w:rsidRPr="00007309" w:rsidRDefault="00007309" w:rsidP="00007309">
      <w:pPr>
        <w:jc w:val="both"/>
        <w:rPr>
          <w:rFonts w:cs="Arial"/>
          <w:b/>
          <w:bCs/>
          <w:sz w:val="24"/>
          <w:szCs w:val="24"/>
          <w:rtl/>
        </w:rPr>
      </w:pPr>
      <w:r w:rsidRPr="00007309">
        <w:rPr>
          <w:rFonts w:cs="Arial"/>
          <w:b/>
          <w:bCs/>
          <w:sz w:val="36"/>
          <w:szCs w:val="28"/>
          <w:vertAlign w:val="superscript"/>
          <w:rtl/>
        </w:rPr>
        <w:footnoteReference w:id="8254"/>
      </w:r>
      <w:r w:rsidRPr="00007309">
        <w:rPr>
          <w:rFonts w:cs="Arial"/>
          <w:b/>
          <w:bCs/>
          <w:sz w:val="24"/>
          <w:szCs w:val="24"/>
          <w:rtl/>
        </w:rPr>
        <w:t xml:space="preserve">תָּא חֲזֵי חֹשֶׁךְ אִיהוּ אֻכָּמוּ דְּאוֹרַיְתָא אוֹר חִוָּרוּ דְּאוֹרַיְתָא. וְכַד אִיהוּ אוֹר מִתְלְבַשׁ בַּחֹשֶׁךְ, אִתְּמַר בְּאוֹרַיְתָא שְחוֹרָה אֲנִי וְנָאוָה (שיר השירים א). וְכַד אִסְתְּלַק מִתַּמָּן אוֹר דְּאִיהוּ חִוָּרוּ, אִיהִי אוֹמֶרֶת אַל תִּרְאוּנִי שֶׁאֲנִי </w:t>
      </w:r>
      <w:r w:rsidRPr="00007309">
        <w:rPr>
          <w:rFonts w:cs="Arial"/>
          <w:b/>
          <w:bCs/>
          <w:sz w:val="36"/>
          <w:szCs w:val="28"/>
          <w:vertAlign w:val="superscript"/>
          <w:rtl/>
        </w:rPr>
        <w:footnoteReference w:id="8255"/>
      </w:r>
      <w:r w:rsidRPr="00007309">
        <w:rPr>
          <w:rFonts w:cs="Arial"/>
          <w:b/>
          <w:bCs/>
          <w:sz w:val="24"/>
          <w:szCs w:val="24"/>
          <w:rtl/>
        </w:rPr>
        <w:t xml:space="preserve">שְׁחַרְחֹרֶת. וְאוֹרַיְתָא כְּגַוְנָא דְּבַת עֵינָא דְּאִיהִי אֻכָּמָא וְשַׁפִּירָא בְּאוֹר דְּנָהִיר בֵּהּ. וּבְגִין דָּא בַּת עֵינָא וְאוֹר דְּנָהִיר בָּהּ אָמַר דָּוִד (תהלים כז) ה' אוֹרִי </w:t>
      </w:r>
      <w:r w:rsidRPr="00007309">
        <w:rPr>
          <w:rFonts w:cs="Arial"/>
          <w:b/>
          <w:bCs/>
          <w:sz w:val="36"/>
          <w:szCs w:val="28"/>
          <w:vertAlign w:val="superscript"/>
          <w:rtl/>
        </w:rPr>
        <w:footnoteReference w:id="8256"/>
      </w:r>
      <w:r w:rsidRPr="00007309">
        <w:rPr>
          <w:rFonts w:cs="Arial"/>
          <w:b/>
          <w:bCs/>
          <w:sz w:val="24"/>
          <w:szCs w:val="24"/>
          <w:rtl/>
        </w:rPr>
        <w:t>וְיִשְׁעִי מִמִּי אִירָא. אוֹרִי אוֹר י' דְּאִיהִי בַּת עַיִן. וּתְרֵין גַּוְנִין</w:t>
      </w:r>
      <w:r w:rsidRPr="00007309">
        <w:rPr>
          <w:rFonts w:cs="Arial"/>
          <w:b/>
          <w:bCs/>
          <w:sz w:val="24"/>
          <w:szCs w:val="24"/>
        </w:rPr>
        <w:t xml:space="preserve"> </w:t>
      </w:r>
      <w:r w:rsidRPr="00007309">
        <w:rPr>
          <w:rFonts w:cs="Arial"/>
          <w:b/>
          <w:bCs/>
          <w:sz w:val="24"/>
          <w:szCs w:val="24"/>
          <w:rtl/>
        </w:rPr>
        <w:t xml:space="preserve">אִית לָהּ, אוֹר מִלְּגָאו וְחֹשֶׁךְ מִלְּבַר לְמֶהֱוֵי שַׁלְטָאָה בְּהוּ עַל כָּל קְלִפִּין. הָדָא הוּא דִּכְתִיב וּמַלְכוּתוֹ בַּכֹּל מָשָׁלָה. בִּלְבוּשָׁא דְּאוֹר אִיהִי שְׁלִיטַת עַל כָּל אִנּוּן דְּאִתְּמַר בְּהוֹן וּלְכָל בְּנֵי יִשְׂרָאֵל הָיָה אוֹר בְּמוֹשְׁבוֹתָם. וּבִלְבוּשׁ אֻכָּמָא שְׁלִיטַת עַל חַיָּבַיָּא דְּאִתְּמַר בְּהוּ וּרְשָׁעִים בַּחֹשֶׁךְ יִדָּמוּ. </w:t>
      </w:r>
    </w:p>
    <w:p w:rsidR="00007309" w:rsidRPr="00007309" w:rsidRDefault="00007309" w:rsidP="00007309">
      <w:pPr>
        <w:keepNext/>
        <w:outlineLvl w:val="1"/>
        <w:rPr>
          <w:rFonts w:ascii="Cambria" w:hAnsi="Cambria" w:cs="Times New Roman"/>
          <w:b/>
          <w:bCs/>
          <w:i/>
          <w:iCs/>
          <w:sz w:val="28"/>
          <w:szCs w:val="28"/>
          <w:rtl/>
        </w:rPr>
      </w:pPr>
      <w:r w:rsidRPr="00007309">
        <w:rPr>
          <w:rFonts w:ascii="Cambria" w:hAnsi="Cambria" w:cs="Times New Roman"/>
          <w:b/>
          <w:bCs/>
          <w:i/>
          <w:iCs/>
          <w:sz w:val="28"/>
          <w:szCs w:val="28"/>
          <w:rtl/>
        </w:rPr>
        <w:t>[</w:t>
      </w:r>
      <w:r w:rsidRPr="00007309">
        <w:rPr>
          <w:rFonts w:ascii="Cambria" w:hAnsi="Cambria" w:cs="Times New Roman" w:hint="cs"/>
          <w:b/>
          <w:bCs/>
          <w:i/>
          <w:iCs/>
          <w:sz w:val="28"/>
          <w:szCs w:val="28"/>
          <w:rtl/>
        </w:rPr>
        <w:t>דף</w:t>
      </w:r>
      <w:r w:rsidRPr="00007309">
        <w:rPr>
          <w:rFonts w:ascii="Cambria" w:hAnsi="Cambria" w:cs="Times New Roman"/>
          <w:b/>
          <w:bCs/>
          <w:i/>
          <w:iCs/>
          <w:sz w:val="28"/>
          <w:szCs w:val="28"/>
          <w:rtl/>
        </w:rPr>
        <w:t xml:space="preserve"> </w:t>
      </w:r>
      <w:r w:rsidRPr="00007309">
        <w:rPr>
          <w:rFonts w:ascii="Cambria" w:hAnsi="Cambria" w:cs="Times New Roman" w:hint="cs"/>
          <w:b/>
          <w:bCs/>
          <w:i/>
          <w:iCs/>
          <w:sz w:val="28"/>
          <w:szCs w:val="28"/>
          <w:rtl/>
        </w:rPr>
        <w:t>פו</w:t>
      </w:r>
      <w:r w:rsidRPr="00007309">
        <w:rPr>
          <w:rFonts w:ascii="Cambria" w:hAnsi="Cambria" w:cs="Times New Roman"/>
          <w:b/>
          <w:bCs/>
          <w:i/>
          <w:iCs/>
          <w:sz w:val="28"/>
          <w:szCs w:val="28"/>
          <w:rtl/>
        </w:rPr>
        <w:t xml:space="preserve"> ע"</w:t>
      </w:r>
      <w:r w:rsidRPr="00007309">
        <w:rPr>
          <w:rFonts w:ascii="Cambria" w:hAnsi="Cambria" w:cs="Times New Roman" w:hint="cs"/>
          <w:b/>
          <w:bCs/>
          <w:i/>
          <w:iCs/>
          <w:sz w:val="28"/>
          <w:szCs w:val="28"/>
          <w:rtl/>
        </w:rPr>
        <w:t>ב</w:t>
      </w:r>
      <w:r w:rsidRPr="00007309">
        <w:rPr>
          <w:rFonts w:ascii="Cambria" w:hAnsi="Cambria" w:cs="Times New Roman"/>
          <w:b/>
          <w:bCs/>
          <w:i/>
          <w:iCs/>
          <w:sz w:val="28"/>
          <w:szCs w:val="28"/>
          <w:rtl/>
        </w:rPr>
        <w:t>]</w:t>
      </w:r>
    </w:p>
    <w:p w:rsidR="00007309" w:rsidRPr="00007309" w:rsidRDefault="00007309" w:rsidP="00007309">
      <w:pPr>
        <w:jc w:val="both"/>
        <w:rPr>
          <w:rFonts w:cs="Arial"/>
          <w:sz w:val="36"/>
          <w:szCs w:val="28"/>
        </w:rPr>
      </w:pPr>
      <w:r w:rsidRPr="00007309">
        <w:rPr>
          <w:rFonts w:cs="Arial"/>
          <w:b/>
          <w:bCs/>
          <w:sz w:val="24"/>
          <w:szCs w:val="24"/>
          <w:rtl/>
        </w:rPr>
        <w:t xml:space="preserve">וְעוֹד אוֹר אִיהִי מִסִּטְרָא דִּימִינָא דְּאִיהוּ אוֹר יוֹם קַדְמָאָה דְּאִתְּמַר בֵּהּ יְהִי אוֹר, דָּא אַבְרָהָם וַיִּקְרָא אֱלֹהִים לָאוֹר יוֹם. חֹשֶׁךְ מִסִּטְרָא דִּשְׂמָאלָא דְּיִצְחָק </w:t>
      </w:r>
      <w:r w:rsidRPr="00007309">
        <w:rPr>
          <w:rFonts w:cs="Arial"/>
          <w:b/>
          <w:bCs/>
          <w:sz w:val="36"/>
          <w:szCs w:val="28"/>
          <w:vertAlign w:val="superscript"/>
          <w:rtl/>
        </w:rPr>
        <w:footnoteReference w:id="8257"/>
      </w:r>
      <w:r w:rsidRPr="00007309">
        <w:rPr>
          <w:rFonts w:cs="Arial"/>
          <w:b/>
          <w:bCs/>
          <w:sz w:val="24"/>
          <w:szCs w:val="24"/>
          <w:rtl/>
        </w:rPr>
        <w:t xml:space="preserve">דְּאִיהוּ יוֹם תִּנְיָנָא דְּאִתְּמַר בֵּהּ וַתִּכְהֶיןָ עֵינָיו מִרְאוֹת. וְלַחֹשֶׁךְ קָרָא לַיְלָה וְגוֹ'. אָדָם דָּא יַעֲקֹב אִתְלְבַשׁ בְּתַרְוַיְהוּ בְּאוֹר </w:t>
      </w:r>
      <w:r w:rsidRPr="00007309">
        <w:rPr>
          <w:rFonts w:ascii="Cambria" w:hAnsi="Cambria" w:cs="Times New Roman"/>
          <w:b/>
          <w:bCs/>
          <w:i/>
          <w:iCs/>
          <w:color w:val="4F81BD"/>
          <w:sz w:val="24"/>
          <w:szCs w:val="24"/>
          <w:rtl/>
        </w:rPr>
        <w:t>(</w:t>
      </w:r>
      <w:r w:rsidRPr="00007309">
        <w:rPr>
          <w:rFonts w:ascii="Cambria" w:hAnsi="Cambria" w:cs="Times New Roman" w:hint="cs"/>
          <w:b/>
          <w:bCs/>
          <w:i/>
          <w:iCs/>
          <w:color w:val="4F81BD"/>
          <w:sz w:val="24"/>
          <w:szCs w:val="24"/>
          <w:rtl/>
        </w:rPr>
        <w:t>פו</w:t>
      </w:r>
      <w:r w:rsidRPr="00007309">
        <w:rPr>
          <w:rFonts w:ascii="Cambria" w:hAnsi="Cambria" w:cs="Times New Roman"/>
          <w:b/>
          <w:bCs/>
          <w:i/>
          <w:iCs/>
          <w:color w:val="4F81BD"/>
          <w:sz w:val="24"/>
          <w:szCs w:val="24"/>
          <w:rtl/>
        </w:rPr>
        <w:t xml:space="preserve"> ע"ב)</w:t>
      </w:r>
      <w:r w:rsidRPr="00007309">
        <w:rPr>
          <w:rFonts w:cs="Arial"/>
          <w:b/>
          <w:bCs/>
          <w:sz w:val="24"/>
          <w:szCs w:val="24"/>
          <w:rtl/>
        </w:rPr>
        <w:t xml:space="preserve"> דִּימִינָא וּבַחֹשֶׁךְ דִּשְׂמָאלָא. וּבְתַרְוַיְהוּ עַמּוּדָא דְּאֶמְצָעִיתָא אִיהוּ </w:t>
      </w:r>
      <w:r w:rsidRPr="00007309">
        <w:rPr>
          <w:rFonts w:cs="Arial"/>
          <w:b/>
          <w:bCs/>
          <w:sz w:val="36"/>
          <w:szCs w:val="28"/>
          <w:vertAlign w:val="superscript"/>
          <w:rtl/>
        </w:rPr>
        <w:footnoteReference w:id="8258"/>
      </w:r>
      <w:r w:rsidRPr="00007309">
        <w:rPr>
          <w:rFonts w:cs="Arial"/>
          <w:b/>
          <w:bCs/>
          <w:sz w:val="24"/>
          <w:szCs w:val="24"/>
          <w:rtl/>
        </w:rPr>
        <w:t xml:space="preserve">עַמּוּד הֶעָנָן יוֹמָם וְעַמּוּד הָאֵשׁ לַיְלָה דְּנָהִיר בְּתַרְוַיְהוּ. הָדָא הוּא דִּכְתִיב (שמות יד) לֹא יָמִישׁ עַמּוּד הֶעָנָן יוֹמָם וְעַמּוּד הָאֵשׁ לַיְלָה לִפְנֵי הָעָם וְגוֹ'. עָנָן מִסִּטְרָא דִּילֵהּ מַיָּא. חֹשֶׁךְ מִסִּטְרָא דִּילֵהּ אֶשָּׁא. עַמּוּד אִיהִי שָׁלוֹם בֵּינַיְהוּ. הָדָא הוּא דִּכְתִיב (איוב כה) עוֹשֶׂה שָׁלוֹם בִּמְרוֹמָיו. וְכַד אִיהוּ בְּאֶמְצָעִיתָא וְלֹא קָרַב זֶה אֶל זֶה כָּל הַלַּיְלָה. לָא קָרִיב מַיָּא לְאֶשָּׁא, וְלֹא אֶשָּׁא לְמַיָּא. כְּגוֹן דְּאִיהוּ אַפְרִישׁ בֵּינַיְהוּ הַאי אִיהוּ מַחֲלֹקֶת לְשֵׁם שָׁמַיִם </w:t>
      </w:r>
      <w:r w:rsidRPr="00007309">
        <w:rPr>
          <w:rFonts w:cs="Arial"/>
          <w:b/>
          <w:bCs/>
          <w:sz w:val="36"/>
          <w:szCs w:val="28"/>
          <w:vertAlign w:val="superscript"/>
          <w:rtl/>
        </w:rPr>
        <w:footnoteReference w:id="8259"/>
      </w:r>
      <w:r w:rsidRPr="00007309">
        <w:rPr>
          <w:rFonts w:cs="Arial"/>
          <w:b/>
          <w:bCs/>
          <w:sz w:val="24"/>
          <w:szCs w:val="24"/>
          <w:rtl/>
        </w:rPr>
        <w:t xml:space="preserve">הִלֵּל וְשַׁמַּאי. לְקָבְלַיְהוּ תְּרֵין אִמּוּרָאֵי בִּרְקִיעָא מִיכָאֵל וְגַבְרִיאֵל </w:t>
      </w:r>
      <w:r w:rsidRPr="00007309">
        <w:rPr>
          <w:rFonts w:cs="Arial"/>
          <w:b/>
          <w:bCs/>
          <w:sz w:val="36"/>
          <w:szCs w:val="28"/>
          <w:vertAlign w:val="superscript"/>
          <w:rtl/>
        </w:rPr>
        <w:footnoteReference w:id="8260"/>
      </w:r>
      <w:r w:rsidRPr="00007309">
        <w:rPr>
          <w:rFonts w:cs="Arial"/>
          <w:b/>
          <w:bCs/>
          <w:sz w:val="24"/>
          <w:szCs w:val="24"/>
          <w:rtl/>
        </w:rPr>
        <w:t xml:space="preserve">וְשַׂר שָׁלוֹם מַכְרִיעַ בֵּינֵיהֶם דְּאִיהוּ נוּרִיאֵל אוּרִיאֵל. אוּרִיאֵל אִתְקְרֵי מִסִּטְרָא דִּימִינָא. נוּרִיאֵל מִסִּטְרָא דִּשְׂמָאלָא. </w:t>
      </w:r>
      <w:r w:rsidRPr="00007309">
        <w:rPr>
          <w:rFonts w:cs="Arial"/>
          <w:b/>
          <w:bCs/>
          <w:sz w:val="36"/>
          <w:szCs w:val="28"/>
          <w:vertAlign w:val="superscript"/>
          <w:rtl/>
        </w:rPr>
        <w:footnoteReference w:id="8261"/>
      </w:r>
      <w:r w:rsidRPr="00007309">
        <w:rPr>
          <w:rFonts w:cs="Arial"/>
          <w:b/>
          <w:bCs/>
          <w:sz w:val="24"/>
          <w:szCs w:val="24"/>
          <w:rtl/>
        </w:rPr>
        <w:t xml:space="preserve">וְאִיהוּ אָדָם דִּתְלָתָא מְטַטְרוֹן שְׁמֵהּ דְּשַׁלִּיט עַל עַל מָארֵי מַתְנִיתִין. </w:t>
      </w:r>
      <w:r w:rsidRPr="00007309">
        <w:rPr>
          <w:rFonts w:cs="Arial"/>
          <w:b/>
          <w:bCs/>
          <w:sz w:val="36"/>
          <w:szCs w:val="28"/>
          <w:vertAlign w:val="superscript"/>
          <w:rtl/>
        </w:rPr>
        <w:footnoteReference w:id="8262"/>
      </w:r>
      <w:r w:rsidRPr="00007309">
        <w:rPr>
          <w:rFonts w:cs="Arial"/>
          <w:b/>
          <w:bCs/>
          <w:sz w:val="24"/>
          <w:szCs w:val="24"/>
          <w:rtl/>
        </w:rPr>
        <w:t>הָדָא הוּא דִּכְתִיב וְיָרְדוּ בִּדְגַת הַיָּם. אִלֵּין תַּלְמִידֵי חֲכָמִים דְּמִתְרַבִּין בְּיַמָּא דְּאוֹרַיְתָא דְּיַרְתֵי מִתַּמָּן וְכוּ': (</w:t>
      </w:r>
      <w:r w:rsidRPr="00007309">
        <w:rPr>
          <w:rFonts w:cs="Arial"/>
          <w:sz w:val="24"/>
          <w:szCs w:val="24"/>
          <w:rtl/>
        </w:rPr>
        <w:t>זה תמצא בדף פ"ו ע"ב)</w:t>
      </w:r>
    </w:p>
    <w:p w:rsidR="00007309" w:rsidRPr="00007309" w:rsidRDefault="00007309" w:rsidP="00007309">
      <w:pPr>
        <w:jc w:val="both"/>
        <w:rPr>
          <w:rFonts w:cs="Arial"/>
          <w:sz w:val="24"/>
          <w:szCs w:val="24"/>
        </w:rPr>
      </w:pPr>
      <w:r w:rsidRPr="00007309">
        <w:rPr>
          <w:rFonts w:cs="Arial"/>
          <w:sz w:val="24"/>
          <w:szCs w:val="24"/>
          <w:rtl/>
        </w:rPr>
        <w:t>תיקון ע' זה לא נמצא בדפוס ראשון. בכמה דפוסים נדפס זה בריש תיקון ע'.</w:t>
      </w:r>
      <w:r w:rsidRPr="00007309">
        <w:rPr>
          <w:rFonts w:cs="Arial"/>
          <w:sz w:val="24"/>
          <w:szCs w:val="24"/>
        </w:rPr>
        <w:t xml:space="preserve"> </w:t>
      </w:r>
    </w:p>
    <w:p w:rsidR="00007309" w:rsidRPr="00007309" w:rsidRDefault="00007309" w:rsidP="00007309">
      <w:pPr>
        <w:keepNext/>
        <w:spacing w:before="240" w:after="60"/>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[וילנא מב ע"א]</w:t>
      </w:r>
    </w:p>
    <w:p w:rsidR="00007309" w:rsidRPr="00007309" w:rsidRDefault="00007309" w:rsidP="00007309">
      <w:pPr>
        <w:jc w:val="both"/>
        <w:rPr>
          <w:rFonts w:cs="Arial"/>
          <w:b/>
          <w:bCs/>
          <w:sz w:val="24"/>
          <w:szCs w:val="24"/>
        </w:rPr>
      </w:pPr>
      <w:r w:rsidRPr="00007309">
        <w:rPr>
          <w:rFonts w:cs="Arial"/>
          <w:b/>
          <w:bCs/>
          <w:sz w:val="36"/>
          <w:szCs w:val="28"/>
          <w:vertAlign w:val="superscript"/>
          <w:rtl/>
        </w:rPr>
        <w:footnoteReference w:id="8263"/>
      </w:r>
      <w:r w:rsidRPr="00007309">
        <w:rPr>
          <w:rFonts w:cs="Arial"/>
          <w:b/>
          <w:bCs/>
          <w:sz w:val="24"/>
          <w:szCs w:val="24"/>
          <w:rtl/>
        </w:rPr>
        <w:t xml:space="preserve">בְּרֵאשִׁית בָּרָ'א שִׁי'ת וְדָא מטט'רון </w:t>
      </w:r>
      <w:r w:rsidRPr="00007309">
        <w:rPr>
          <w:rFonts w:cs="Arial"/>
          <w:b/>
          <w:bCs/>
          <w:sz w:val="36"/>
          <w:szCs w:val="28"/>
          <w:vertAlign w:val="superscript"/>
          <w:rtl/>
        </w:rPr>
        <w:footnoteReference w:id="8264"/>
      </w:r>
      <w:r w:rsidRPr="00007309">
        <w:rPr>
          <w:rFonts w:cs="Arial"/>
          <w:b/>
          <w:bCs/>
          <w:sz w:val="24"/>
          <w:szCs w:val="24"/>
          <w:rtl/>
        </w:rPr>
        <w:t xml:space="preserve">אוֹת בַּצָּבָא דִּילֵהּ. וּבְגִינֵהּ אִתְּמַר (בראשית) וַיָּשֶׂם הַ' </w:t>
      </w:r>
      <w:r w:rsidRPr="00007309">
        <w:rPr>
          <w:rFonts w:cs="Arial"/>
          <w:b/>
          <w:bCs/>
          <w:sz w:val="36"/>
          <w:szCs w:val="28"/>
          <w:vertAlign w:val="superscript"/>
          <w:rtl/>
        </w:rPr>
        <w:footnoteReference w:id="8265"/>
      </w:r>
      <w:r w:rsidRPr="00007309">
        <w:rPr>
          <w:rFonts w:cs="Arial"/>
          <w:b/>
          <w:bCs/>
          <w:sz w:val="24"/>
          <w:szCs w:val="24"/>
          <w:rtl/>
        </w:rPr>
        <w:t xml:space="preserve">לְקַיִן אוֹת. לְאַגָּנָא עָלֵהּ מַה דַּהֲוָה אָזִיל </w:t>
      </w:r>
      <w:r w:rsidRPr="00007309">
        <w:rPr>
          <w:rFonts w:cs="Arial"/>
          <w:b/>
          <w:bCs/>
          <w:sz w:val="36"/>
          <w:szCs w:val="28"/>
          <w:vertAlign w:val="superscript"/>
          <w:rtl/>
        </w:rPr>
        <w:footnoteReference w:id="8266"/>
      </w:r>
      <w:r w:rsidRPr="00007309">
        <w:rPr>
          <w:rFonts w:cs="Arial"/>
          <w:b/>
          <w:bCs/>
          <w:sz w:val="24"/>
          <w:szCs w:val="24"/>
          <w:rtl/>
        </w:rPr>
        <w:t xml:space="preserve">נָע וָנָד בְּגִלְגּוּלָא, </w:t>
      </w:r>
      <w:r w:rsidRPr="00007309">
        <w:rPr>
          <w:rFonts w:cs="Arial"/>
          <w:b/>
          <w:bCs/>
          <w:sz w:val="36"/>
          <w:szCs w:val="28"/>
          <w:vertAlign w:val="superscript"/>
          <w:rtl/>
        </w:rPr>
        <w:footnoteReference w:id="8267"/>
      </w:r>
      <w:r w:rsidRPr="00007309">
        <w:rPr>
          <w:rFonts w:cs="Arial"/>
          <w:b/>
          <w:bCs/>
          <w:sz w:val="24"/>
          <w:szCs w:val="24"/>
          <w:rtl/>
        </w:rPr>
        <w:t xml:space="preserve">אִתְעֲבִיד נוֹד. מִיָּד וַיֵּשֶׁב בְּאֶרֶץ נוֹד </w:t>
      </w:r>
      <w:r w:rsidRPr="00007309">
        <w:rPr>
          <w:rFonts w:cs="Arial"/>
          <w:b/>
          <w:bCs/>
          <w:sz w:val="36"/>
          <w:szCs w:val="28"/>
          <w:vertAlign w:val="superscript"/>
          <w:rtl/>
        </w:rPr>
        <w:footnoteReference w:id="8268"/>
      </w:r>
      <w:r w:rsidRPr="00007309">
        <w:rPr>
          <w:rFonts w:cs="Arial"/>
          <w:b/>
          <w:bCs/>
          <w:sz w:val="24"/>
          <w:szCs w:val="24"/>
          <w:rtl/>
        </w:rPr>
        <w:t xml:space="preserve">קִדְמַת עֵדֶן. וְדָא אוֹת דִּבְרִית מִילָה </w:t>
      </w:r>
      <w:r w:rsidRPr="00007309">
        <w:rPr>
          <w:rFonts w:cs="Arial"/>
          <w:b/>
          <w:bCs/>
          <w:sz w:val="36"/>
          <w:szCs w:val="28"/>
          <w:vertAlign w:val="superscript"/>
          <w:rtl/>
        </w:rPr>
        <w:footnoteReference w:id="8269"/>
      </w:r>
      <w:r w:rsidRPr="00007309">
        <w:rPr>
          <w:rFonts w:cs="Arial"/>
          <w:b/>
          <w:bCs/>
          <w:sz w:val="24"/>
          <w:szCs w:val="24"/>
          <w:rtl/>
        </w:rPr>
        <w:t xml:space="preserve">דְּקָנֵי עָלֵהּ דאחוה בְּגִין דְּנוֹלַד מָהוּל. וּבְאָן אֲתַר זָכָה לֵהּ </w:t>
      </w:r>
      <w:r w:rsidRPr="00007309">
        <w:rPr>
          <w:rFonts w:cs="Arial"/>
          <w:b/>
          <w:bCs/>
          <w:sz w:val="36"/>
          <w:szCs w:val="28"/>
          <w:vertAlign w:val="superscript"/>
          <w:rtl/>
        </w:rPr>
        <w:footnoteReference w:id="8270"/>
      </w:r>
      <w:r w:rsidRPr="00007309">
        <w:rPr>
          <w:rFonts w:cs="Arial"/>
          <w:b/>
          <w:bCs/>
          <w:sz w:val="24"/>
          <w:szCs w:val="24"/>
          <w:rtl/>
        </w:rPr>
        <w:t xml:space="preserve">בקיני בְּגִין דְּחָזַר תַּמָּן בִּתְיוּבְתָּא </w:t>
      </w:r>
      <w:r w:rsidRPr="00007309">
        <w:rPr>
          <w:rFonts w:cs="Arial"/>
          <w:b/>
          <w:bCs/>
          <w:sz w:val="36"/>
          <w:szCs w:val="28"/>
          <w:vertAlign w:val="superscript"/>
          <w:rtl/>
        </w:rPr>
        <w:footnoteReference w:id="8271"/>
      </w:r>
      <w:r w:rsidRPr="00007309">
        <w:rPr>
          <w:rFonts w:cs="Arial"/>
          <w:b/>
          <w:bCs/>
          <w:sz w:val="24"/>
          <w:szCs w:val="24"/>
          <w:rtl/>
        </w:rPr>
        <w:t xml:space="preserve">וְנָפְקוּ בְּנוֹי מִנֵּהּ </w:t>
      </w:r>
      <w:r w:rsidRPr="00007309">
        <w:rPr>
          <w:rFonts w:cs="Arial"/>
          <w:b/>
          <w:bCs/>
          <w:sz w:val="36"/>
          <w:szCs w:val="28"/>
          <w:vertAlign w:val="superscript"/>
          <w:rtl/>
        </w:rPr>
        <w:footnoteReference w:id="8272"/>
      </w:r>
      <w:r w:rsidRPr="00007309">
        <w:rPr>
          <w:rFonts w:cs="Arial"/>
          <w:b/>
          <w:bCs/>
          <w:sz w:val="24"/>
          <w:szCs w:val="24"/>
          <w:rtl/>
        </w:rPr>
        <w:t xml:space="preserve">דְּעָאלוּ לְגַן עֵדֶן. וּבְגִין דָּא וַיֵּשֶׁב בְּאֶרֶץ נוֹד קִדְמַת עֵדֶן. </w:t>
      </w:r>
      <w:r w:rsidRPr="00007309">
        <w:rPr>
          <w:rFonts w:cs="Arial"/>
          <w:b/>
          <w:bCs/>
          <w:sz w:val="36"/>
          <w:szCs w:val="28"/>
          <w:vertAlign w:val="superscript"/>
          <w:rtl/>
        </w:rPr>
        <w:footnoteReference w:id="8273"/>
      </w:r>
      <w:r w:rsidRPr="00007309">
        <w:rPr>
          <w:rFonts w:cs="Arial"/>
          <w:b/>
          <w:bCs/>
          <w:sz w:val="24"/>
          <w:szCs w:val="24"/>
          <w:rtl/>
        </w:rPr>
        <w:t xml:space="preserve">לְבָתַר עָבִיד תּוֹלְדִין מִסִּטְרָא דְּרַע, וְאִתְפְּשָׁטוּ בְּגִלְגּוּלִין דְּעָלְמָא. ועָלַיְהוּ אִתְּמַר וַיֵּדַע קַיִן אֶת אִשְׁתּוֹ וַתַּהַר וַתֵּלֶד אֶת חֲנוֹךְ. </w:t>
      </w:r>
      <w:r w:rsidRPr="00007309">
        <w:rPr>
          <w:rFonts w:cs="Arial"/>
          <w:b/>
          <w:bCs/>
          <w:sz w:val="36"/>
          <w:szCs w:val="28"/>
          <w:vertAlign w:val="superscript"/>
          <w:rtl/>
        </w:rPr>
        <w:footnoteReference w:id="8274"/>
      </w:r>
      <w:r w:rsidRPr="00007309">
        <w:rPr>
          <w:rFonts w:cs="Arial"/>
          <w:b/>
          <w:bCs/>
          <w:sz w:val="24"/>
          <w:szCs w:val="24"/>
          <w:rtl/>
        </w:rPr>
        <w:t xml:space="preserve">חֲנוֹךְ מִסִּטְרָא דְּקַיִן וְדָא יֵצֶר הָרָע חִנּוּכָא לְבִישׁ. </w:t>
      </w:r>
      <w:r w:rsidRPr="00007309">
        <w:rPr>
          <w:rFonts w:cs="Arial"/>
          <w:b/>
          <w:bCs/>
          <w:sz w:val="36"/>
          <w:szCs w:val="28"/>
          <w:vertAlign w:val="superscript"/>
          <w:rtl/>
        </w:rPr>
        <w:footnoteReference w:id="8275"/>
      </w:r>
      <w:r w:rsidRPr="00007309">
        <w:rPr>
          <w:rFonts w:cs="Arial"/>
          <w:b/>
          <w:bCs/>
          <w:sz w:val="24"/>
          <w:szCs w:val="24"/>
          <w:rtl/>
        </w:rPr>
        <w:t xml:space="preserve">וְאִית חֲנוֹךְ מִסִּטְרָא דֶּאֱנוֹשׁ דְּאִיהוּ יֵצֶר הַטוֹב חִנּוּכָא לְטָב. וְאִתְּמַר בֵּהּ (שם) וַיִּתְהַלֵּךְ חֲנוֹךְ אֶת הָאֱלֹהִים </w:t>
      </w:r>
      <w:r w:rsidRPr="00007309">
        <w:rPr>
          <w:rFonts w:ascii="Cambria" w:hAnsi="Cambria" w:cs="Times New Roman"/>
          <w:b/>
          <w:bCs/>
          <w:i/>
          <w:iCs/>
          <w:color w:val="4F81BD"/>
          <w:sz w:val="24"/>
          <w:szCs w:val="24"/>
          <w:rtl/>
        </w:rPr>
        <w:t xml:space="preserve">(וילנא </w:t>
      </w:r>
      <w:r w:rsidRPr="00007309">
        <w:rPr>
          <w:rFonts w:ascii="Cambria" w:hAnsi="Cambria" w:cs="Times New Roman" w:hint="cs"/>
          <w:b/>
          <w:bCs/>
          <w:i/>
          <w:iCs/>
          <w:color w:val="4F81BD"/>
          <w:sz w:val="24"/>
          <w:szCs w:val="24"/>
          <w:rtl/>
        </w:rPr>
        <w:t>מ</w:t>
      </w:r>
      <w:r w:rsidRPr="00007309">
        <w:rPr>
          <w:rFonts w:ascii="Cambria" w:hAnsi="Cambria" w:cs="Times New Roman"/>
          <w:b/>
          <w:bCs/>
          <w:i/>
          <w:iCs/>
          <w:color w:val="4F81BD"/>
          <w:sz w:val="24"/>
          <w:szCs w:val="24"/>
          <w:rtl/>
        </w:rPr>
        <w:t>ב ע"</w:t>
      </w:r>
      <w:r w:rsidRPr="00007309">
        <w:rPr>
          <w:rFonts w:ascii="Cambria" w:hAnsi="Cambria" w:cs="Times New Roman" w:hint="cs"/>
          <w:b/>
          <w:bCs/>
          <w:i/>
          <w:iCs/>
          <w:color w:val="4F81BD"/>
          <w:sz w:val="24"/>
          <w:szCs w:val="24"/>
          <w:rtl/>
        </w:rPr>
        <w:t>א</w:t>
      </w:r>
      <w:r w:rsidRPr="00007309">
        <w:rPr>
          <w:rFonts w:ascii="Cambria" w:hAnsi="Cambria" w:cs="Times New Roman"/>
          <w:b/>
          <w:bCs/>
          <w:i/>
          <w:iCs/>
          <w:color w:val="4F81BD"/>
          <w:sz w:val="24"/>
          <w:szCs w:val="24"/>
          <w:rtl/>
        </w:rPr>
        <w:t>)</w:t>
      </w:r>
      <w:r w:rsidRPr="00007309">
        <w:rPr>
          <w:rFonts w:cs="Arial"/>
          <w:b/>
          <w:bCs/>
          <w:sz w:val="24"/>
          <w:szCs w:val="24"/>
          <w:rtl/>
        </w:rPr>
        <w:t xml:space="preserve"> וְאֵינֶנּוּ כִּי לָקַח אֹתוֹ אֱלֹהִים. וְדָא חֲנוֹךְ </w:t>
      </w:r>
      <w:r w:rsidRPr="00007309">
        <w:rPr>
          <w:rFonts w:cs="Arial"/>
          <w:b/>
          <w:bCs/>
          <w:sz w:val="36"/>
          <w:szCs w:val="28"/>
          <w:vertAlign w:val="superscript"/>
          <w:rtl/>
        </w:rPr>
        <w:footnoteReference w:id="8276"/>
      </w:r>
      <w:r w:rsidRPr="00007309">
        <w:rPr>
          <w:rFonts w:cs="Arial"/>
          <w:b/>
          <w:bCs/>
          <w:sz w:val="24"/>
          <w:szCs w:val="24"/>
          <w:rtl/>
        </w:rPr>
        <w:t xml:space="preserve">דְּנֶהֱפַךְ בשריה לְלַפִּידֵי אֵשׁ. </w:t>
      </w:r>
      <w:r w:rsidRPr="00007309">
        <w:rPr>
          <w:rFonts w:cs="Arial"/>
          <w:b/>
          <w:bCs/>
          <w:sz w:val="36"/>
          <w:szCs w:val="28"/>
          <w:vertAlign w:val="superscript"/>
          <w:rtl/>
        </w:rPr>
        <w:footnoteReference w:id="8277"/>
      </w:r>
      <w:r w:rsidRPr="00007309">
        <w:rPr>
          <w:rFonts w:cs="Arial"/>
          <w:b/>
          <w:bCs/>
          <w:sz w:val="24"/>
          <w:szCs w:val="24"/>
          <w:rtl/>
        </w:rPr>
        <w:t xml:space="preserve">וּתְלָתָא אִנּוּן אָדָם שֵׁת אֱנוֹשׁ. אֱנוֹשׁ </w:t>
      </w:r>
      <w:r w:rsidRPr="00007309">
        <w:rPr>
          <w:rFonts w:cs="Arial"/>
          <w:b/>
          <w:bCs/>
          <w:sz w:val="36"/>
          <w:szCs w:val="28"/>
          <w:vertAlign w:val="superscript"/>
          <w:rtl/>
        </w:rPr>
        <w:footnoteReference w:id="8278"/>
      </w:r>
      <w:r w:rsidRPr="00007309">
        <w:rPr>
          <w:rFonts w:cs="Arial"/>
          <w:b/>
          <w:bCs/>
          <w:sz w:val="24"/>
          <w:szCs w:val="24"/>
          <w:rtl/>
        </w:rPr>
        <w:t xml:space="preserve">מִתַּמָּן אִתְיְחֲסוּ כָּל דָּרִין. </w:t>
      </w:r>
      <w:r w:rsidRPr="00007309">
        <w:rPr>
          <w:rFonts w:cs="Arial"/>
          <w:b/>
          <w:bCs/>
          <w:sz w:val="36"/>
          <w:szCs w:val="28"/>
          <w:vertAlign w:val="superscript"/>
          <w:rtl/>
        </w:rPr>
        <w:footnoteReference w:id="8279"/>
      </w:r>
      <w:r w:rsidRPr="00007309">
        <w:rPr>
          <w:rFonts w:cs="Arial"/>
          <w:b/>
          <w:bCs/>
          <w:sz w:val="24"/>
          <w:szCs w:val="24"/>
          <w:rtl/>
        </w:rPr>
        <w:t xml:space="preserve">הָדָא הוּא דִּכְתִיב אָז הוּחַל לִקְרֹא בְּשֵׁם ה'. מִתַּמָּן אִתְפְּשָׁטוּ כָּל גִּלְגּוּלִין דְּצַדִּיקַיָּא. חֲנוֹךְ דְּנָפַק מֵאֱנוֹשׁ </w:t>
      </w:r>
      <w:r w:rsidRPr="00007309">
        <w:rPr>
          <w:rFonts w:cs="Arial"/>
          <w:b/>
          <w:bCs/>
          <w:sz w:val="36"/>
          <w:szCs w:val="28"/>
          <w:vertAlign w:val="superscript"/>
          <w:rtl/>
        </w:rPr>
        <w:footnoteReference w:id="8280"/>
      </w:r>
      <w:r w:rsidRPr="00007309">
        <w:rPr>
          <w:rFonts w:cs="Arial"/>
          <w:b/>
          <w:bCs/>
          <w:sz w:val="24"/>
          <w:szCs w:val="24"/>
          <w:rtl/>
        </w:rPr>
        <w:t xml:space="preserve">אִיהוּ מְטַטְרוֹ"ן דְּנֶהְפַּךְ בְּשָׂרוֹ לְלַפִּידֵי אֵשׁ וְאִיהוּ נוּרִיאֵל. </w:t>
      </w:r>
      <w:r w:rsidRPr="00007309">
        <w:rPr>
          <w:rFonts w:cs="Arial"/>
          <w:b/>
          <w:bCs/>
          <w:sz w:val="36"/>
          <w:szCs w:val="28"/>
          <w:vertAlign w:val="superscript"/>
          <w:rtl/>
        </w:rPr>
        <w:footnoteReference w:id="8281"/>
      </w:r>
      <w:r w:rsidRPr="00007309">
        <w:rPr>
          <w:rFonts w:cs="Arial"/>
          <w:b/>
          <w:bCs/>
          <w:sz w:val="24"/>
          <w:szCs w:val="24"/>
          <w:rtl/>
        </w:rPr>
        <w:t xml:space="preserve">וְעַל תַּרְוַיְהוּ אִתְּמַר וְהַחַיּוֹת רָצוֹא וָשׁוֹב. רָצוֹ"א דָּא נוּרִיאֵל. וָשׁוֹ"ב מְטַטְרוֹ"ן </w:t>
      </w:r>
      <w:r w:rsidRPr="00007309">
        <w:rPr>
          <w:rFonts w:cs="Arial"/>
          <w:b/>
          <w:bCs/>
          <w:sz w:val="36"/>
          <w:szCs w:val="28"/>
          <w:vertAlign w:val="superscript"/>
          <w:rtl/>
        </w:rPr>
        <w:footnoteReference w:id="8282"/>
      </w:r>
      <w:r w:rsidRPr="00007309">
        <w:rPr>
          <w:rFonts w:cs="Arial"/>
          <w:b/>
          <w:bCs/>
          <w:sz w:val="24"/>
          <w:szCs w:val="24"/>
          <w:rtl/>
        </w:rPr>
        <w:t xml:space="preserve">הָכֵי סָלְקֵי בְּחֻשְׁבָּן. כְּמַרְאֵה הַבָּזָק אֶלָּא אִיהוּ </w:t>
      </w:r>
      <w:r w:rsidRPr="00007309">
        <w:rPr>
          <w:rFonts w:cs="Arial"/>
          <w:b/>
          <w:bCs/>
          <w:sz w:val="36"/>
          <w:szCs w:val="28"/>
          <w:vertAlign w:val="superscript"/>
          <w:rtl/>
        </w:rPr>
        <w:footnoteReference w:id="8283"/>
      </w:r>
      <w:r w:rsidRPr="00007309">
        <w:rPr>
          <w:rFonts w:cs="Arial"/>
          <w:b/>
          <w:bCs/>
          <w:sz w:val="24"/>
          <w:szCs w:val="24"/>
          <w:rtl/>
        </w:rPr>
        <w:t xml:space="preserve">כְּמַרְאֵה הַקֶּשֶׁת אֲשֶׁר יִהְיֶה בֶּעָנָן, דְּאִתְּמַר בֵּהּ (בראשית) וְהָיָה בְּעַנְנֵי עָנָן עַל הָאָרֶץ וְנִרְאֲתָה הַקֶּשֶׁת בֶּעָנָן. </w:t>
      </w:r>
      <w:r w:rsidRPr="00007309">
        <w:rPr>
          <w:rFonts w:cs="Arial"/>
          <w:b/>
          <w:bCs/>
          <w:sz w:val="36"/>
          <w:szCs w:val="28"/>
          <w:vertAlign w:val="superscript"/>
          <w:rtl/>
        </w:rPr>
        <w:footnoteReference w:id="8284"/>
      </w:r>
      <w:r w:rsidRPr="00007309">
        <w:rPr>
          <w:rFonts w:cs="Arial"/>
          <w:b/>
          <w:bCs/>
          <w:sz w:val="24"/>
          <w:szCs w:val="24"/>
          <w:rtl/>
        </w:rPr>
        <w:t xml:space="preserve">וּבְגִינֵהּ אִתְּמַר (שם) וְלֹא יִהְיֶה מַבּוּל לְשַׁחֵת כָּל בָּשָׂר. בְּגִין דְּאִתְהַפַּךְ לְלַפִּידֵי אֵשׁ. וְכָל מַלְאָכִין דִּמְמָנָן עַל נִשְׁמָתִין דְּגִלְגּוּלִין מִתַּמָּן הֲווֹ. </w:t>
      </w:r>
      <w:r w:rsidRPr="00007309">
        <w:rPr>
          <w:rFonts w:cs="Arial"/>
          <w:b/>
          <w:bCs/>
          <w:sz w:val="36"/>
          <w:szCs w:val="28"/>
          <w:vertAlign w:val="superscript"/>
          <w:rtl/>
        </w:rPr>
        <w:footnoteReference w:id="8285"/>
      </w:r>
      <w:r w:rsidRPr="00007309">
        <w:rPr>
          <w:rFonts w:cs="Arial"/>
          <w:b/>
          <w:bCs/>
          <w:sz w:val="24"/>
          <w:szCs w:val="24"/>
          <w:rtl/>
        </w:rPr>
        <w:t xml:space="preserve">וְעוֹד כְּמַרְאֵה הַקֶּשֶׁת, עָלֵהּ אִתְּמַר לְמֹשֶׁה וּרְאֵה וַעֲשֵׂה בְּתַבְנִיתָם אֲשֶׁר אַתָּה מַרְאֶה בָּהָר. כַּמַּרְאֶה אֲשֶׁר הֶרְאָה ה' אֶת מֹשֶׁה כֵּן עָשָׂה אֶת הַמְּנוֹרָה. </w:t>
      </w:r>
      <w:r w:rsidRPr="00007309">
        <w:rPr>
          <w:rFonts w:cs="Arial"/>
          <w:b/>
          <w:bCs/>
          <w:sz w:val="36"/>
          <w:szCs w:val="28"/>
          <w:vertAlign w:val="superscript"/>
          <w:rtl/>
        </w:rPr>
        <w:footnoteReference w:id="8286"/>
      </w:r>
      <w:r w:rsidRPr="00007309">
        <w:rPr>
          <w:rFonts w:cs="Arial"/>
          <w:b/>
          <w:bCs/>
          <w:sz w:val="24"/>
          <w:szCs w:val="24"/>
          <w:rtl/>
        </w:rPr>
        <w:t xml:space="preserve">וְדָא מְטַטְרוֹ"ן, </w:t>
      </w:r>
      <w:r w:rsidRPr="00007309">
        <w:rPr>
          <w:rFonts w:cs="Arial"/>
          <w:b/>
          <w:bCs/>
          <w:sz w:val="36"/>
          <w:szCs w:val="28"/>
          <w:vertAlign w:val="superscript"/>
          <w:rtl/>
        </w:rPr>
        <w:footnoteReference w:id="8287"/>
      </w:r>
      <w:r w:rsidRPr="00007309">
        <w:rPr>
          <w:rFonts w:cs="Arial"/>
          <w:b/>
          <w:bCs/>
          <w:sz w:val="24"/>
          <w:szCs w:val="24"/>
          <w:rtl/>
        </w:rPr>
        <w:t xml:space="preserve">מ' דִּילֵהּ מְנוֹרָה. </w:t>
      </w:r>
      <w:r w:rsidRPr="00007309">
        <w:rPr>
          <w:rFonts w:cs="Arial"/>
          <w:b/>
          <w:bCs/>
          <w:sz w:val="36"/>
          <w:szCs w:val="28"/>
          <w:vertAlign w:val="superscript"/>
          <w:rtl/>
        </w:rPr>
        <w:footnoteReference w:id="8288"/>
      </w:r>
      <w:r w:rsidRPr="00007309">
        <w:rPr>
          <w:rFonts w:cs="Arial"/>
          <w:b/>
          <w:bCs/>
          <w:sz w:val="24"/>
          <w:szCs w:val="24"/>
          <w:rtl/>
        </w:rPr>
        <w:t xml:space="preserve">נוּרִיאֵל נוּר דָּלִיק וְהוּא ט"ט וְהָיוּ לְטֹטָפוֹת בֵּין עֵינֶיךָ. </w:t>
      </w:r>
      <w:r w:rsidRPr="00007309">
        <w:rPr>
          <w:rFonts w:cs="Arial"/>
          <w:b/>
          <w:bCs/>
          <w:sz w:val="36"/>
          <w:szCs w:val="28"/>
          <w:vertAlign w:val="superscript"/>
          <w:rtl/>
        </w:rPr>
        <w:footnoteReference w:id="8289"/>
      </w:r>
      <w:r w:rsidRPr="00007309">
        <w:rPr>
          <w:rFonts w:cs="Arial"/>
          <w:b/>
          <w:bCs/>
          <w:sz w:val="24"/>
          <w:szCs w:val="24"/>
          <w:rtl/>
        </w:rPr>
        <w:t>וְכֹלָּא נִתְפַּשֵּׁט מֵאֱנוֹשׁ וּבְגִין דָּא אָז הוּחַל לִקְרֹא בְּשֵׁם ה</w:t>
      </w:r>
      <w:r w:rsidRPr="00007309">
        <w:rPr>
          <w:rFonts w:cs="Arial"/>
          <w:b/>
          <w:bCs/>
          <w:sz w:val="24"/>
          <w:szCs w:val="24"/>
        </w:rPr>
        <w:t>':</w:t>
      </w:r>
    </w:p>
    <w:p w:rsidR="00007309" w:rsidRPr="00007309" w:rsidRDefault="00007309" w:rsidP="00007309">
      <w:pPr>
        <w:jc w:val="both"/>
        <w:rPr>
          <w:rFonts w:cs="Arial"/>
          <w:b/>
          <w:bCs/>
          <w:sz w:val="24"/>
          <w:szCs w:val="24"/>
          <w:rtl/>
        </w:rPr>
      </w:pPr>
      <w:r w:rsidRPr="00007309">
        <w:rPr>
          <w:rFonts w:cs="Arial"/>
          <w:b/>
          <w:bCs/>
          <w:sz w:val="36"/>
          <w:szCs w:val="28"/>
          <w:vertAlign w:val="superscript"/>
          <w:rtl/>
        </w:rPr>
        <w:footnoteReference w:id="8290"/>
      </w:r>
      <w:r w:rsidRPr="00007309">
        <w:rPr>
          <w:rFonts w:cs="Arial"/>
          <w:b/>
          <w:bCs/>
          <w:sz w:val="24"/>
          <w:szCs w:val="24"/>
          <w:rtl/>
        </w:rPr>
        <w:t xml:space="preserve">בְּרֵאשִׁית בָּרָא אֱלֹהִים. (בראשית א) הַאי קְרָא אִתְפְּרַשׁ לְע' אַנְפִּין בְּמַה דְּאוֹקְמוּהּ רַבָּנָן ע' אַנְפִּין לְאוֹרַיְתָא. בְּרֵאשִׁי"ת </w:t>
      </w:r>
      <w:r w:rsidRPr="00007309">
        <w:rPr>
          <w:rFonts w:cs="Arial"/>
          <w:b/>
          <w:bCs/>
          <w:sz w:val="36"/>
          <w:szCs w:val="28"/>
          <w:vertAlign w:val="superscript"/>
          <w:rtl/>
        </w:rPr>
        <w:footnoteReference w:id="8291"/>
      </w:r>
      <w:r w:rsidRPr="00007309">
        <w:rPr>
          <w:rFonts w:cs="Arial"/>
          <w:b/>
          <w:bCs/>
          <w:sz w:val="24"/>
          <w:szCs w:val="24"/>
          <w:rtl/>
        </w:rPr>
        <w:t xml:space="preserve">בַּת בִּתְחִלָּה אַמַּאי. אֶלָּא הָכֵי אוֹקְמוּהּ רַבָּנָן דְּמַתְנִיתִין בַּת בִּתְחִלָּה </w:t>
      </w:r>
      <w:r w:rsidRPr="00007309">
        <w:rPr>
          <w:rFonts w:cs="Arial"/>
          <w:b/>
          <w:bCs/>
          <w:sz w:val="36"/>
          <w:szCs w:val="28"/>
          <w:vertAlign w:val="superscript"/>
          <w:rtl/>
        </w:rPr>
        <w:footnoteReference w:id="8292"/>
      </w:r>
      <w:r w:rsidRPr="00007309">
        <w:rPr>
          <w:rFonts w:cs="Arial"/>
          <w:b/>
          <w:bCs/>
          <w:sz w:val="24"/>
          <w:szCs w:val="24"/>
          <w:rtl/>
        </w:rPr>
        <w:t xml:space="preserve">סִימָן טוֹב לְבָנִים. </w:t>
      </w:r>
      <w:r w:rsidRPr="00007309">
        <w:rPr>
          <w:rFonts w:cs="Arial"/>
          <w:b/>
          <w:bCs/>
          <w:sz w:val="36"/>
          <w:szCs w:val="28"/>
          <w:vertAlign w:val="superscript"/>
          <w:rtl/>
        </w:rPr>
        <w:footnoteReference w:id="8293"/>
      </w:r>
      <w:r w:rsidRPr="00007309">
        <w:rPr>
          <w:rFonts w:cs="Arial"/>
          <w:b/>
          <w:bCs/>
          <w:sz w:val="24"/>
          <w:szCs w:val="24"/>
          <w:rtl/>
        </w:rPr>
        <w:t xml:space="preserve">וּמַאי נִיהוּ שִׁית סְפִירָן דִּכְלִילָן בְּעַמּוּדָא דְּאֶמְצָעִיתָא דְּאִתְּמַר עָלַיְהוּ (שמות) </w:t>
      </w:r>
      <w:r w:rsidRPr="00007309">
        <w:rPr>
          <w:rFonts w:cs="Arial"/>
          <w:b/>
          <w:bCs/>
          <w:sz w:val="36"/>
          <w:szCs w:val="28"/>
          <w:vertAlign w:val="superscript"/>
          <w:rtl/>
        </w:rPr>
        <w:footnoteReference w:id="8294"/>
      </w:r>
      <w:r w:rsidRPr="00007309">
        <w:rPr>
          <w:rFonts w:cs="Arial"/>
          <w:b/>
          <w:bCs/>
          <w:sz w:val="24"/>
          <w:szCs w:val="24"/>
          <w:rtl/>
        </w:rPr>
        <w:t xml:space="preserve">כִּי שֵׁשֶׁת יָמִים עָשָׂה הַ' אֶת הַשָּׁמַיִם וְאֶת הָאָרֶץ (שמות). </w:t>
      </w:r>
      <w:r w:rsidRPr="00007309">
        <w:rPr>
          <w:rFonts w:cs="Arial"/>
          <w:b/>
          <w:bCs/>
          <w:sz w:val="36"/>
          <w:szCs w:val="28"/>
          <w:vertAlign w:val="superscript"/>
          <w:rtl/>
        </w:rPr>
        <w:footnoteReference w:id="8295"/>
      </w:r>
      <w:r w:rsidRPr="00007309">
        <w:rPr>
          <w:rFonts w:cs="Arial"/>
          <w:b/>
          <w:bCs/>
          <w:sz w:val="24"/>
          <w:szCs w:val="24"/>
          <w:rtl/>
        </w:rPr>
        <w:t xml:space="preserve">וְאִנּוּן שִׁית זִמְנִין טוֹב דְּעוֹבָדָא דִּבְרֵאשִׁית. </w:t>
      </w:r>
      <w:r w:rsidRPr="00007309">
        <w:rPr>
          <w:rFonts w:cs="Arial"/>
          <w:b/>
          <w:bCs/>
          <w:sz w:val="36"/>
          <w:szCs w:val="28"/>
          <w:vertAlign w:val="superscript"/>
          <w:rtl/>
        </w:rPr>
        <w:footnoteReference w:id="8296"/>
      </w:r>
      <w:r w:rsidRPr="00007309">
        <w:rPr>
          <w:rFonts w:cs="Arial"/>
          <w:b/>
          <w:bCs/>
          <w:sz w:val="24"/>
          <w:szCs w:val="24"/>
          <w:rtl/>
        </w:rPr>
        <w:t xml:space="preserve">וּבְיוֹמָא תְּלִיתָאָה תְּרֵין זִמְנִין טוֹב. חַד דְּיוֹמָא תִּנְיָנָא דִּבְרֵאשִׁית, וְחַד דְּיוֹמָא תְּלִיתָאָה. וְאִנּוּן (דברים הימים א כט) הַגְּדֻלָּה וְהַגְּבוּרָה וְהַתִּפְאֶרֶת וְהַנֶּצַח וְהַהוֹד כִּי כָּל. דְּאִיהוּ צַדִּיק. וְהַאי בַּת אִיהִי שְׁכִינְתָּא תַּתָּאָה מַלְכוּת הַקֹּדֶשׁ, עֲשִׂירָאָה לְט', </w:t>
      </w:r>
      <w:r w:rsidRPr="00007309">
        <w:rPr>
          <w:rFonts w:cs="Arial"/>
          <w:b/>
          <w:bCs/>
          <w:sz w:val="36"/>
          <w:szCs w:val="28"/>
          <w:vertAlign w:val="superscript"/>
          <w:rtl/>
        </w:rPr>
        <w:footnoteReference w:id="8297"/>
      </w:r>
      <w:r w:rsidRPr="00007309">
        <w:rPr>
          <w:rFonts w:cs="Arial"/>
          <w:b/>
          <w:bCs/>
          <w:sz w:val="24"/>
          <w:szCs w:val="24"/>
          <w:rtl/>
        </w:rPr>
        <w:t xml:space="preserve">וּשְׁבִיעָאָה לְשִׁית, </w:t>
      </w:r>
      <w:r w:rsidRPr="00007309">
        <w:rPr>
          <w:rFonts w:cs="Arial"/>
          <w:b/>
          <w:bCs/>
          <w:sz w:val="36"/>
          <w:szCs w:val="28"/>
          <w:vertAlign w:val="superscript"/>
          <w:rtl/>
        </w:rPr>
        <w:footnoteReference w:id="8298"/>
      </w:r>
      <w:r w:rsidRPr="00007309">
        <w:rPr>
          <w:rFonts w:cs="Arial"/>
          <w:b/>
          <w:bCs/>
          <w:sz w:val="24"/>
          <w:szCs w:val="24"/>
          <w:rtl/>
        </w:rPr>
        <w:t xml:space="preserve">וּרְבִיעָאָה לִתְלָת אֲבָהָן, </w:t>
      </w:r>
      <w:r w:rsidRPr="00007309">
        <w:rPr>
          <w:rFonts w:cs="Arial"/>
          <w:b/>
          <w:bCs/>
          <w:sz w:val="36"/>
          <w:szCs w:val="28"/>
          <w:vertAlign w:val="superscript"/>
          <w:rtl/>
        </w:rPr>
        <w:footnoteReference w:id="8299"/>
      </w:r>
      <w:r w:rsidRPr="00007309">
        <w:rPr>
          <w:rFonts w:cs="Arial"/>
          <w:b/>
          <w:bCs/>
          <w:sz w:val="24"/>
          <w:szCs w:val="24"/>
          <w:rtl/>
        </w:rPr>
        <w:t>וּתְמִינָאָה לְז' חַג שְׁמִינִי עֲצֶרֶת. וְאִיהִי בַּת קוֹל רְבִיעָאָה לִתְלָת דַּרְגִּין דַּהֲווֹ מִשְׁתַּמְּשִׁים בְּהוֹן יִשְׂרָאֵל בְּאַרְכְּהוֹן וְאִנּוּן תּוֹרָה. נְבוּאָה. רוּחַ הַקֹּדֶשׁ. בַּת קוֹל. וְכֻלְּהוּ כְּלִילָן בָּהּ</w:t>
      </w:r>
      <w:r w:rsidRPr="00007309">
        <w:rPr>
          <w:rFonts w:cs="Arial"/>
          <w:b/>
          <w:bCs/>
          <w:sz w:val="24"/>
          <w:szCs w:val="24"/>
        </w:rPr>
        <w:t xml:space="preserve"> </w:t>
      </w:r>
      <w:r w:rsidRPr="00007309">
        <w:rPr>
          <w:rFonts w:cs="Arial"/>
          <w:b/>
          <w:bCs/>
          <w:sz w:val="24"/>
          <w:szCs w:val="24"/>
          <w:rtl/>
        </w:rPr>
        <w:t xml:space="preserve">בַּמַּלְכוּת קַדִּישָׁא, אִיהִי תּוֹרָה מִסִּטְרָא דְּעַמּוּדָא דְּאֶמְצָעִיתָא תּוֹרַת ה' תְּמִימָה. וְאִיהִי נְבוּאָה מִסִּטְרָא דְּנֶצַח וְהוֹד דְּאִנּוּן תְּרֵי נְבִיאֵי קְשׁוֹט, </w:t>
      </w:r>
      <w:r w:rsidRPr="00007309">
        <w:rPr>
          <w:rFonts w:cs="Arial"/>
          <w:b/>
          <w:bCs/>
          <w:sz w:val="36"/>
          <w:szCs w:val="28"/>
          <w:vertAlign w:val="superscript"/>
          <w:rtl/>
        </w:rPr>
        <w:footnoteReference w:id="8300"/>
      </w:r>
      <w:r w:rsidRPr="00007309">
        <w:rPr>
          <w:rFonts w:cs="Arial"/>
          <w:b/>
          <w:bCs/>
          <w:sz w:val="24"/>
          <w:szCs w:val="24"/>
          <w:rtl/>
        </w:rPr>
        <w:t xml:space="preserve">בְּכָל צוּרוֹת וּמַרְאוֹת וְדִמְיוֹנוֹת וְחֶזְיוֹנוֹת דִּנְבִיאֵי, כֻּלְּהוּ רְשִׁימִין בָּבַת עַיִן </w:t>
      </w:r>
      <w:r w:rsidRPr="00007309">
        <w:rPr>
          <w:rFonts w:cs="Arial"/>
          <w:b/>
          <w:bCs/>
          <w:sz w:val="36"/>
          <w:szCs w:val="28"/>
          <w:vertAlign w:val="superscript"/>
          <w:rtl/>
        </w:rPr>
        <w:footnoteReference w:id="8301"/>
      </w:r>
      <w:r w:rsidRPr="00007309">
        <w:rPr>
          <w:rFonts w:cs="Arial"/>
          <w:b/>
          <w:bCs/>
          <w:sz w:val="24"/>
          <w:szCs w:val="24"/>
          <w:rtl/>
        </w:rPr>
        <w:t xml:space="preserve">דְּאִיהִי לַבַּת אֵשׁ מִתּוֹךְ הַסְּנֶה, י' כְּלִילָא </w:t>
      </w:r>
      <w:r w:rsidRPr="00007309">
        <w:rPr>
          <w:rFonts w:cs="Arial"/>
          <w:b/>
          <w:bCs/>
          <w:sz w:val="36"/>
          <w:szCs w:val="28"/>
          <w:vertAlign w:val="superscript"/>
          <w:rtl/>
        </w:rPr>
        <w:footnoteReference w:id="8302"/>
      </w:r>
      <w:r w:rsidRPr="00007309">
        <w:rPr>
          <w:rFonts w:cs="Arial"/>
          <w:b/>
          <w:bCs/>
          <w:sz w:val="24"/>
          <w:szCs w:val="24"/>
          <w:rtl/>
        </w:rPr>
        <w:t>מֵעֶשֶׂר מַרְאוֹת, וּנְהִירָא מל'ב אֱלֹהִים דְּעוֹבָדָא דִּבְרֵאשִׁית</w:t>
      </w:r>
      <w:r w:rsidRPr="00007309">
        <w:rPr>
          <w:rFonts w:cs="Arial" w:hint="cs"/>
          <w:b/>
          <w:bCs/>
          <w:sz w:val="24"/>
          <w:szCs w:val="24"/>
          <w:rtl/>
        </w:rPr>
        <w:t>.</w:t>
      </w:r>
      <w:r w:rsidRPr="00007309">
        <w:rPr>
          <w:rFonts w:cs="Arial"/>
          <w:b/>
          <w:bCs/>
          <w:sz w:val="24"/>
          <w:szCs w:val="24"/>
          <w:rtl/>
        </w:rPr>
        <w:t xml:space="preserve"> </w:t>
      </w:r>
    </w:p>
    <w:p w:rsidR="00007309" w:rsidRPr="00007309" w:rsidRDefault="00007309" w:rsidP="00007309">
      <w:pPr>
        <w:keepNext/>
        <w:outlineLvl w:val="1"/>
        <w:rPr>
          <w:rFonts w:ascii="Cambria" w:hAnsi="Cambria" w:cs="Times New Roman"/>
          <w:b/>
          <w:bCs/>
          <w:i/>
          <w:iCs/>
          <w:sz w:val="28"/>
          <w:szCs w:val="28"/>
          <w:rtl/>
        </w:rPr>
      </w:pPr>
      <w:r w:rsidRPr="00007309">
        <w:rPr>
          <w:rFonts w:ascii="Cambria" w:hAnsi="Cambria" w:cs="Times New Roman"/>
          <w:b/>
          <w:bCs/>
          <w:i/>
          <w:iCs/>
          <w:sz w:val="28"/>
          <w:szCs w:val="28"/>
          <w:rtl/>
        </w:rPr>
        <w:t>[</w:t>
      </w:r>
      <w:r w:rsidRPr="00007309">
        <w:rPr>
          <w:rFonts w:ascii="Cambria" w:hAnsi="Cambria" w:cs="Times New Roman" w:hint="cs"/>
          <w:b/>
          <w:bCs/>
          <w:i/>
          <w:iCs/>
          <w:sz w:val="28"/>
          <w:szCs w:val="28"/>
          <w:rtl/>
        </w:rPr>
        <w:t>דף</w:t>
      </w:r>
      <w:r w:rsidRPr="00007309">
        <w:rPr>
          <w:rFonts w:ascii="Cambria" w:hAnsi="Cambria" w:cs="Times New Roman"/>
          <w:b/>
          <w:bCs/>
          <w:i/>
          <w:iCs/>
          <w:sz w:val="28"/>
          <w:szCs w:val="28"/>
          <w:rtl/>
        </w:rPr>
        <w:t xml:space="preserve"> </w:t>
      </w:r>
      <w:r w:rsidRPr="00007309">
        <w:rPr>
          <w:rFonts w:ascii="Cambria" w:hAnsi="Cambria" w:cs="Times New Roman" w:hint="cs"/>
          <w:b/>
          <w:bCs/>
          <w:i/>
          <w:iCs/>
          <w:sz w:val="28"/>
          <w:szCs w:val="28"/>
          <w:rtl/>
        </w:rPr>
        <w:t>פו</w:t>
      </w:r>
      <w:r w:rsidRPr="00007309">
        <w:rPr>
          <w:rFonts w:ascii="Cambria" w:hAnsi="Cambria" w:cs="Times New Roman"/>
          <w:b/>
          <w:bCs/>
          <w:i/>
          <w:iCs/>
          <w:sz w:val="28"/>
          <w:szCs w:val="28"/>
          <w:rtl/>
        </w:rPr>
        <w:t xml:space="preserve"> ע"</w:t>
      </w:r>
      <w:r w:rsidRPr="00007309">
        <w:rPr>
          <w:rFonts w:ascii="Cambria" w:hAnsi="Cambria" w:cs="Times New Roman" w:hint="cs"/>
          <w:b/>
          <w:bCs/>
          <w:i/>
          <w:iCs/>
          <w:sz w:val="28"/>
          <w:szCs w:val="28"/>
          <w:rtl/>
        </w:rPr>
        <w:t>ג</w:t>
      </w:r>
      <w:r w:rsidRPr="00007309">
        <w:rPr>
          <w:rFonts w:ascii="Cambria" w:hAnsi="Cambria" w:cs="Times New Roman"/>
          <w:b/>
          <w:bCs/>
          <w:i/>
          <w:iCs/>
          <w:sz w:val="28"/>
          <w:szCs w:val="28"/>
          <w:rtl/>
        </w:rPr>
        <w:t>]</w:t>
      </w:r>
    </w:p>
    <w:p w:rsidR="00007309" w:rsidRPr="00007309" w:rsidRDefault="00007309" w:rsidP="00007309">
      <w:pPr>
        <w:jc w:val="both"/>
        <w:rPr>
          <w:rFonts w:cs="Arial"/>
          <w:b/>
          <w:bCs/>
          <w:sz w:val="24"/>
          <w:szCs w:val="24"/>
          <w:rtl/>
        </w:rPr>
      </w:pPr>
      <w:r w:rsidRPr="00007309">
        <w:rPr>
          <w:rFonts w:cs="Arial"/>
          <w:b/>
          <w:bCs/>
          <w:sz w:val="24"/>
          <w:szCs w:val="24"/>
          <w:rtl/>
        </w:rPr>
        <w:t xml:space="preserve">כְּלִילָא מֵעֲשָׂרָה מַאֲמָרוֹת, וּבָהּ הַלֵּב רוֹאֶה, הַלֵּב יוֹדֵעַ הַלֵּב מֵבִין. לֵ'ב נְתִיבוֹת פְּלִיאוֹת חָכְמָה. וְעָלַהּ אוֹקְמוּהּ מָארֵי קַבָּלָה, נָגַע בַּבַּת וְכָלַל בָּהּ כָּל הַמַּאֲמָרוֹת וְהַנְּתִיבוֹת. וְעֶשֶׂר אֲמִירָן וְל'ב נְתִיבוֹת, אִנּוּן מ'ב דְּרָמִיז בְּהוֹן מֹשֶׁה בְּשִׁיר שֶׁל פְּגָעִים. כִּ'י בִּ'י חָשַׁק וַאֲפַלְּטֵהוּ. כִּ'י בִּ'י מ"ב, </w:t>
      </w:r>
      <w:r w:rsidRPr="00007309">
        <w:rPr>
          <w:rFonts w:cs="Arial"/>
          <w:b/>
          <w:bCs/>
          <w:sz w:val="36"/>
          <w:szCs w:val="28"/>
          <w:vertAlign w:val="superscript"/>
          <w:rtl/>
        </w:rPr>
        <w:footnoteReference w:id="8303"/>
      </w:r>
      <w:r w:rsidRPr="00007309">
        <w:rPr>
          <w:rFonts w:cs="Arial"/>
          <w:b/>
          <w:bCs/>
          <w:sz w:val="24"/>
          <w:szCs w:val="24"/>
          <w:rtl/>
        </w:rPr>
        <w:t xml:space="preserve">דִּבְהוֹן אִתְקְרִיאַת יָד הַגְּדוֹלָה יָד הַחֲזָקָה יָד רָמָה. </w:t>
      </w:r>
      <w:r w:rsidRPr="00007309">
        <w:rPr>
          <w:rFonts w:cs="Arial"/>
          <w:b/>
          <w:bCs/>
          <w:sz w:val="36"/>
          <w:szCs w:val="28"/>
          <w:vertAlign w:val="superscript"/>
          <w:rtl/>
        </w:rPr>
        <w:footnoteReference w:id="8304"/>
      </w:r>
      <w:r w:rsidRPr="00007309">
        <w:rPr>
          <w:rFonts w:cs="Arial"/>
          <w:b/>
          <w:bCs/>
          <w:sz w:val="24"/>
          <w:szCs w:val="24"/>
          <w:rtl/>
        </w:rPr>
        <w:t xml:space="preserve">וְאִיהִי רוּחַ הַ'קֹּדֶשׁ מִסִּטְרָא דְּצַדִּיק חַי עָלְמִין. וְאִיהִי בַּת קוֹל מִסִּטְרָא דְּעַמּוּדָא דְּאֶמְצָעִיתָא </w:t>
      </w:r>
      <w:r w:rsidRPr="00007309">
        <w:rPr>
          <w:rFonts w:ascii="Cambria" w:hAnsi="Cambria" w:cs="Times New Roman"/>
          <w:b/>
          <w:bCs/>
          <w:i/>
          <w:iCs/>
          <w:color w:val="4F81BD"/>
          <w:sz w:val="24"/>
          <w:szCs w:val="24"/>
          <w:rtl/>
        </w:rPr>
        <w:t>(</w:t>
      </w:r>
      <w:r w:rsidRPr="00007309">
        <w:rPr>
          <w:rFonts w:ascii="Cambria" w:hAnsi="Cambria" w:cs="Times New Roman" w:hint="cs"/>
          <w:b/>
          <w:bCs/>
          <w:i/>
          <w:iCs/>
          <w:color w:val="4F81BD"/>
          <w:sz w:val="24"/>
          <w:szCs w:val="24"/>
          <w:rtl/>
        </w:rPr>
        <w:t xml:space="preserve">פו </w:t>
      </w:r>
      <w:r w:rsidRPr="00007309">
        <w:rPr>
          <w:rFonts w:ascii="Cambria" w:hAnsi="Cambria" w:cs="Times New Roman"/>
          <w:b/>
          <w:bCs/>
          <w:i/>
          <w:iCs/>
          <w:color w:val="4F81BD"/>
          <w:sz w:val="24"/>
          <w:szCs w:val="24"/>
          <w:rtl/>
        </w:rPr>
        <w:t>ע"</w:t>
      </w:r>
      <w:r w:rsidRPr="00007309">
        <w:rPr>
          <w:rFonts w:ascii="Cambria" w:hAnsi="Cambria" w:cs="Times New Roman" w:hint="cs"/>
          <w:b/>
          <w:bCs/>
          <w:i/>
          <w:iCs/>
          <w:color w:val="4F81BD"/>
          <w:sz w:val="24"/>
          <w:szCs w:val="24"/>
          <w:rtl/>
        </w:rPr>
        <w:t>ג</w:t>
      </w:r>
      <w:r w:rsidRPr="00007309">
        <w:rPr>
          <w:rFonts w:ascii="Cambria" w:hAnsi="Cambria" w:cs="Times New Roman"/>
          <w:b/>
          <w:bCs/>
          <w:i/>
          <w:iCs/>
          <w:color w:val="4F81BD"/>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305"/>
      </w:r>
      <w:r w:rsidRPr="00007309">
        <w:rPr>
          <w:rFonts w:cs="Arial"/>
          <w:b/>
          <w:bCs/>
          <w:sz w:val="24"/>
          <w:szCs w:val="24"/>
          <w:rtl/>
        </w:rPr>
        <w:t>דְּאִתְקְרֵי קוֹל הַשּׁוֹפָר הַקּוֹל קוֹל יַעֲקֹב. (שמות יט</w:t>
      </w:r>
      <w:r w:rsidRPr="00007309">
        <w:rPr>
          <w:rFonts w:cs="Arial" w:hint="cs"/>
          <w:b/>
          <w:bCs/>
          <w:sz w:val="24"/>
          <w:szCs w:val="24"/>
          <w:rtl/>
        </w:rPr>
        <w:t xml:space="preserve">) </w:t>
      </w:r>
      <w:r w:rsidRPr="00007309">
        <w:rPr>
          <w:rFonts w:cs="Arial"/>
          <w:b/>
          <w:bCs/>
          <w:sz w:val="24"/>
          <w:szCs w:val="24"/>
          <w:rtl/>
        </w:rPr>
        <w:t xml:space="preserve">מֹשֶׁה יְדַבֵּר וְהָאֱלֹהִים </w:t>
      </w:r>
      <w:r w:rsidRPr="00007309">
        <w:rPr>
          <w:rFonts w:cs="Arial"/>
          <w:b/>
          <w:bCs/>
          <w:sz w:val="36"/>
          <w:szCs w:val="28"/>
          <w:vertAlign w:val="superscript"/>
          <w:rtl/>
        </w:rPr>
        <w:footnoteReference w:id="8306"/>
      </w:r>
      <w:r w:rsidRPr="00007309">
        <w:rPr>
          <w:rFonts w:cs="Arial"/>
          <w:b/>
          <w:bCs/>
          <w:sz w:val="24"/>
          <w:szCs w:val="24"/>
          <w:rtl/>
        </w:rPr>
        <w:t xml:space="preserve">יַעֲנֵנוּ בְּקוֹל. </w:t>
      </w:r>
    </w:p>
    <w:p w:rsidR="00007309" w:rsidRPr="00007309" w:rsidRDefault="00007309" w:rsidP="00007309">
      <w:pPr>
        <w:keepNext/>
        <w:spacing w:before="240" w:after="60"/>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[וילנא מב ע"ב]</w:t>
      </w:r>
    </w:p>
    <w:p w:rsidR="00007309" w:rsidRPr="00007309" w:rsidRDefault="00007309" w:rsidP="00007309">
      <w:pPr>
        <w:jc w:val="both"/>
        <w:rPr>
          <w:rFonts w:cs="Arial"/>
          <w:b/>
          <w:bCs/>
          <w:sz w:val="24"/>
          <w:szCs w:val="24"/>
        </w:rPr>
      </w:pPr>
      <w:r w:rsidRPr="00007309">
        <w:rPr>
          <w:rFonts w:cs="Arial"/>
          <w:b/>
          <w:bCs/>
          <w:sz w:val="24"/>
          <w:szCs w:val="24"/>
          <w:rtl/>
        </w:rPr>
        <w:t xml:space="preserve">אִיהִי בַּת קוֹל שֶׁמְּנַהֶמֶת כְּיוֹנָה דְּאִתְּמַר (שיר ב) יוֹנָתִי בְּחַגְוֵי הַסֶּלַע. וְאוֹקְמוּהּ עָלַהּ בַּת קוֹל הָיְתָה </w:t>
      </w:r>
      <w:r w:rsidRPr="00007309">
        <w:rPr>
          <w:rFonts w:ascii="Cambria" w:hAnsi="Cambria" w:cs="Times New Roman"/>
          <w:b/>
          <w:bCs/>
          <w:i/>
          <w:iCs/>
          <w:color w:val="4F81BD"/>
          <w:sz w:val="24"/>
          <w:szCs w:val="24"/>
          <w:rtl/>
        </w:rPr>
        <w:t xml:space="preserve">(וילנא </w:t>
      </w:r>
      <w:r w:rsidRPr="00007309">
        <w:rPr>
          <w:rFonts w:ascii="Cambria" w:hAnsi="Cambria" w:cs="Times New Roman" w:hint="cs"/>
          <w:b/>
          <w:bCs/>
          <w:i/>
          <w:iCs/>
          <w:color w:val="4F81BD"/>
          <w:sz w:val="24"/>
          <w:szCs w:val="24"/>
          <w:rtl/>
        </w:rPr>
        <w:t>מ</w:t>
      </w:r>
      <w:r w:rsidRPr="00007309">
        <w:rPr>
          <w:rFonts w:ascii="Cambria" w:hAnsi="Cambria" w:cs="Times New Roman"/>
          <w:b/>
          <w:bCs/>
          <w:i/>
          <w:iCs/>
          <w:color w:val="4F81BD"/>
          <w:sz w:val="24"/>
          <w:szCs w:val="24"/>
          <w:rtl/>
        </w:rPr>
        <w:t>ב ע"ב)</w:t>
      </w:r>
      <w:r w:rsidRPr="00007309">
        <w:rPr>
          <w:rFonts w:cs="Arial"/>
          <w:b/>
          <w:bCs/>
          <w:sz w:val="24"/>
          <w:szCs w:val="24"/>
          <w:rtl/>
        </w:rPr>
        <w:t xml:space="preserve"> יוֹצֵאת מִן הַשָּׁמַיִם וְאוֹמֶרֶת </w:t>
      </w:r>
      <w:r w:rsidRPr="00007309">
        <w:rPr>
          <w:rFonts w:cs="Arial"/>
          <w:b/>
          <w:bCs/>
          <w:sz w:val="36"/>
          <w:szCs w:val="28"/>
          <w:vertAlign w:val="superscript"/>
          <w:rtl/>
        </w:rPr>
        <w:footnoteReference w:id="8307"/>
      </w:r>
      <w:r w:rsidRPr="00007309">
        <w:rPr>
          <w:rFonts w:cs="Arial"/>
          <w:b/>
          <w:bCs/>
          <w:sz w:val="24"/>
          <w:szCs w:val="24"/>
          <w:rtl/>
        </w:rPr>
        <w:t xml:space="preserve">הֲלָכָה כִּפְלוֹנִי. אִיהִי בַּת קוֹל דְּאִתְּמַר עָלַהּ (תהלים יז) שָׁמְרֵנִי כְּאִישׁוֹן בַּת עַיִן. אִיהִי בַּת דְּאִתְּמַר בָּהּ (תהלים מה) כָּל כְּבוֹדָהּ בַּת מֶלֶךְ פְּנִימָה וְגוֹ'. </w:t>
      </w:r>
      <w:r w:rsidRPr="00007309">
        <w:rPr>
          <w:rFonts w:cs="Arial"/>
          <w:b/>
          <w:bCs/>
          <w:sz w:val="36"/>
          <w:szCs w:val="28"/>
          <w:vertAlign w:val="superscript"/>
          <w:rtl/>
        </w:rPr>
        <w:footnoteReference w:id="8308"/>
      </w:r>
      <w:r w:rsidRPr="00007309">
        <w:rPr>
          <w:rFonts w:cs="Arial"/>
          <w:b/>
          <w:bCs/>
          <w:sz w:val="24"/>
          <w:szCs w:val="24"/>
          <w:rtl/>
        </w:rPr>
        <w:t xml:space="preserve">פְּנִימָה לַמִּשְׁנָה דְּאִנּוּן נִרְאִים מִסִּטְרָא דיהו'ה, מִמִּשְׁבְּצוֹת זָהָב לְבוּשֵׁהּ מִסִּטְרָא דאדנ"י </w:t>
      </w:r>
      <w:r w:rsidRPr="00007309">
        <w:rPr>
          <w:rFonts w:cs="Arial"/>
          <w:b/>
          <w:bCs/>
          <w:sz w:val="36"/>
          <w:szCs w:val="28"/>
          <w:vertAlign w:val="superscript"/>
          <w:rtl/>
        </w:rPr>
        <w:footnoteReference w:id="8309"/>
      </w:r>
      <w:r w:rsidRPr="00007309">
        <w:rPr>
          <w:rFonts w:cs="Arial"/>
          <w:b/>
          <w:bCs/>
          <w:sz w:val="24"/>
          <w:szCs w:val="24"/>
          <w:rtl/>
        </w:rPr>
        <w:t xml:space="preserve">דְּאִיהִי דִּין דִּגְבוּרָה וְאִיהִי פְּנִימָה רַחֲמִים. דְּעַמּוּדָא דְּאֶמְצָעִיתָא דְּנָטִיל ביְמִינָא וּכְלִילָן כַּחֲדָא יאהדונה'י. אֲדֹנָ'י לְבוּשָׁא ליהו'ה </w:t>
      </w:r>
      <w:r w:rsidRPr="00007309">
        <w:rPr>
          <w:rFonts w:cs="Arial"/>
          <w:b/>
          <w:bCs/>
          <w:sz w:val="36"/>
          <w:szCs w:val="28"/>
          <w:vertAlign w:val="superscript"/>
          <w:rtl/>
        </w:rPr>
        <w:footnoteReference w:id="8310"/>
      </w:r>
      <w:r w:rsidRPr="00007309">
        <w:rPr>
          <w:rFonts w:cs="Arial"/>
          <w:b/>
          <w:bCs/>
          <w:sz w:val="24"/>
          <w:szCs w:val="24"/>
          <w:rtl/>
        </w:rPr>
        <w:t xml:space="preserve">וְאָת י' כְּבוֹדָהּ בַּת מֶלֶךְ פְּנִימָה. וְאִנּוּן בַּת עֵינָא יְמִינָא וּבַת עֵינָא שְׂמָאלָא יְיָ מִן יאהדונה'י. וְאִיהִי בַּת מִסִּטְרָא דְּחֶסֶד דַּרְגָּא דְּאַבְרָהָם, דְּאִתְּמַר בַּת הָיְתָה לְאַבְרָהָם </w:t>
      </w:r>
      <w:r w:rsidRPr="00007309">
        <w:rPr>
          <w:rFonts w:cs="Arial"/>
          <w:b/>
          <w:bCs/>
          <w:sz w:val="36"/>
          <w:szCs w:val="28"/>
          <w:vertAlign w:val="superscript"/>
          <w:rtl/>
        </w:rPr>
        <w:footnoteReference w:id="8311"/>
      </w:r>
      <w:r w:rsidRPr="00007309">
        <w:rPr>
          <w:rFonts w:cs="Arial"/>
          <w:b/>
          <w:bCs/>
          <w:sz w:val="24"/>
          <w:szCs w:val="24"/>
          <w:rtl/>
        </w:rPr>
        <w:t>וּבַכֹּל שְׁמָהּ, שֶׁנֶּאֱמַר (בראשית כג) וְה' בֵּרַךְ אֶת אַבְרָהָם בַּכֹּל</w:t>
      </w:r>
      <w:r w:rsidRPr="00007309">
        <w:rPr>
          <w:rFonts w:cs="Arial"/>
          <w:b/>
          <w:bCs/>
          <w:sz w:val="24"/>
          <w:szCs w:val="24"/>
        </w:rPr>
        <w:t>:</w:t>
      </w:r>
    </w:p>
    <w:p w:rsidR="00007309" w:rsidRPr="00007309" w:rsidRDefault="00007309" w:rsidP="00007309">
      <w:pPr>
        <w:jc w:val="both"/>
        <w:rPr>
          <w:rFonts w:cs="Arial"/>
          <w:b/>
          <w:bCs/>
          <w:sz w:val="24"/>
          <w:szCs w:val="24"/>
        </w:rPr>
      </w:pPr>
      <w:r w:rsidRPr="00007309">
        <w:rPr>
          <w:rFonts w:cs="Arial"/>
          <w:b/>
          <w:bCs/>
          <w:sz w:val="24"/>
          <w:szCs w:val="24"/>
          <w:rtl/>
        </w:rPr>
        <w:t xml:space="preserve">תִּנְיָנָא </w:t>
      </w:r>
      <w:r w:rsidRPr="00007309">
        <w:rPr>
          <w:rFonts w:cs="Arial"/>
          <w:b/>
          <w:bCs/>
          <w:sz w:val="36"/>
          <w:szCs w:val="28"/>
          <w:vertAlign w:val="superscript"/>
          <w:rtl/>
        </w:rPr>
        <w:footnoteReference w:id="8312"/>
      </w:r>
      <w:r w:rsidRPr="00007309">
        <w:rPr>
          <w:rFonts w:cs="Arial"/>
          <w:b/>
          <w:bCs/>
          <w:sz w:val="24"/>
          <w:szCs w:val="24"/>
          <w:rtl/>
        </w:rPr>
        <w:t xml:space="preserve">בְּרֵאשִׁית, אוֹקְמוּהּ רַבָּנָן אַמַּאי מַתְחִיל אוֹרַיְתָא בְּב'. אֶלָּא הָא אוֹקְמוּהּ בְּגִין דְּחָב אָדָם דְּאָכַל מֵעֵץ הַדַּעַת טוֹב וָרָע וְלָטֵיהּ לָאָדָם עֶשֶׂר קְלָלוֹת וְאַרְעָא תֵּשַׁע </w:t>
      </w:r>
      <w:r w:rsidRPr="00007309">
        <w:rPr>
          <w:rFonts w:cs="Arial"/>
          <w:b/>
          <w:bCs/>
          <w:sz w:val="36"/>
          <w:szCs w:val="28"/>
          <w:vertAlign w:val="superscript"/>
        </w:rPr>
        <w:footnoteReference w:id="8313"/>
      </w:r>
      <w:r w:rsidRPr="00007309">
        <w:rPr>
          <w:rFonts w:cs="Arial"/>
          <w:b/>
          <w:bCs/>
          <w:sz w:val="24"/>
          <w:szCs w:val="24"/>
          <w:rtl/>
        </w:rPr>
        <w:t xml:space="preserve">חָסֵר חַד דְּלָא אִתְלְטַיָּא דָּא א' אָרוּר. וּמִיָּד דְּאִתְיְהִיבַת אוֹרַיְתָא פָּתַח בְּבֵי'ת דְּאִיהִי בְּרָכָה לְאַפָּקָא עָלְמָא מִלָּטֵיהּ. וְעַל דָּא מַתְחִיל בְּב' </w:t>
      </w:r>
      <w:r w:rsidRPr="00007309">
        <w:rPr>
          <w:rFonts w:cs="Arial"/>
          <w:b/>
          <w:bCs/>
          <w:sz w:val="36"/>
          <w:szCs w:val="28"/>
          <w:vertAlign w:val="superscript"/>
          <w:rtl/>
        </w:rPr>
        <w:footnoteReference w:id="8314"/>
      </w:r>
      <w:r w:rsidRPr="00007309">
        <w:rPr>
          <w:rFonts w:cs="Arial"/>
          <w:b/>
          <w:bCs/>
          <w:sz w:val="24"/>
          <w:szCs w:val="24"/>
          <w:rtl/>
        </w:rPr>
        <w:t xml:space="preserve">וְעָלֵהּ אִתְּמַר (משלי י) בִּרְכַּת ה' הִיא תַּעֲשִׁיר. (יחזקאל מד) לְהָנִיחַ בְּרָכָה אֶל בֵּיתֶךָ. </w:t>
      </w:r>
      <w:r w:rsidRPr="00007309">
        <w:rPr>
          <w:rFonts w:cs="Arial"/>
          <w:b/>
          <w:bCs/>
          <w:sz w:val="36"/>
          <w:szCs w:val="28"/>
          <w:vertAlign w:val="superscript"/>
          <w:rtl/>
        </w:rPr>
        <w:footnoteReference w:id="8315"/>
      </w:r>
      <w:r w:rsidRPr="00007309">
        <w:rPr>
          <w:rFonts w:cs="Arial"/>
          <w:b/>
          <w:bCs/>
          <w:sz w:val="24"/>
          <w:szCs w:val="24"/>
          <w:rtl/>
        </w:rPr>
        <w:t xml:space="preserve">וּמָאן אֲתַר אִתְקְרִיאַת בְּרָכָה. לְמֶלֶךְ דְּבָעָא </w:t>
      </w:r>
      <w:r w:rsidRPr="00007309">
        <w:rPr>
          <w:rFonts w:cs="Arial"/>
          <w:b/>
          <w:bCs/>
          <w:sz w:val="36"/>
          <w:szCs w:val="28"/>
          <w:vertAlign w:val="superscript"/>
          <w:rtl/>
        </w:rPr>
        <w:footnoteReference w:id="8316"/>
      </w:r>
      <w:r w:rsidRPr="00007309">
        <w:rPr>
          <w:rFonts w:cs="Arial"/>
          <w:b/>
          <w:bCs/>
          <w:sz w:val="24"/>
          <w:szCs w:val="24"/>
          <w:rtl/>
        </w:rPr>
        <w:t xml:space="preserve">לְמִבְנֵי פַּלְטְרִין. חָפַר בְּאַרְעָא וְחָפַר לֵהּ </w:t>
      </w:r>
      <w:r w:rsidRPr="00007309">
        <w:rPr>
          <w:rFonts w:cs="Arial"/>
          <w:b/>
          <w:bCs/>
          <w:sz w:val="36"/>
          <w:szCs w:val="28"/>
          <w:vertAlign w:val="superscript"/>
          <w:rtl/>
        </w:rPr>
        <w:footnoteReference w:id="8317"/>
      </w:r>
      <w:r w:rsidRPr="00007309">
        <w:rPr>
          <w:rFonts w:cs="Arial"/>
          <w:b/>
          <w:bCs/>
          <w:sz w:val="24"/>
          <w:szCs w:val="24"/>
          <w:rtl/>
        </w:rPr>
        <w:t xml:space="preserve">מַבּוּעָא דְּמַיָּא. אָמַר בָּתַר דְּאִית לִי נְבִיעוּ דְּמַיָּא אֶבְנֶה </w:t>
      </w:r>
      <w:r w:rsidRPr="00007309">
        <w:rPr>
          <w:rFonts w:cs="Arial"/>
          <w:b/>
          <w:bCs/>
          <w:sz w:val="36"/>
          <w:szCs w:val="28"/>
          <w:vertAlign w:val="superscript"/>
          <w:rtl/>
        </w:rPr>
        <w:footnoteReference w:id="8318"/>
      </w:r>
      <w:r w:rsidRPr="00007309">
        <w:rPr>
          <w:rFonts w:cs="Arial"/>
          <w:b/>
          <w:bCs/>
          <w:sz w:val="24"/>
          <w:szCs w:val="24"/>
          <w:rtl/>
        </w:rPr>
        <w:t xml:space="preserve">בַּיִת. וְהַיְנוּ בְּחָכְמָה </w:t>
      </w:r>
      <w:r w:rsidRPr="00007309">
        <w:rPr>
          <w:rFonts w:cs="Arial"/>
          <w:b/>
          <w:bCs/>
          <w:sz w:val="36"/>
          <w:szCs w:val="28"/>
          <w:vertAlign w:val="superscript"/>
          <w:rtl/>
        </w:rPr>
        <w:footnoteReference w:id="8319"/>
      </w:r>
      <w:r w:rsidRPr="00007309">
        <w:rPr>
          <w:rFonts w:cs="Arial"/>
          <w:b/>
          <w:bCs/>
          <w:sz w:val="24"/>
          <w:szCs w:val="24"/>
          <w:rtl/>
        </w:rPr>
        <w:t xml:space="preserve">יִבְנֶה בַּיִת. וּמָקוֹר דְּהַהוּא נָהָר מַבּוּעָא דְּלֵית לֵהּ סוֹף וְלָא פְּסָק. דָּא כֶּתֶר עֶלְיוֹן. וְהַהוּא בַּיִת כַּד אִתְמְלִיאַת מֵחָכְמָה אִתְקְרִיאַת בַּיִת, </w:t>
      </w:r>
      <w:r w:rsidRPr="00007309">
        <w:rPr>
          <w:rFonts w:cs="Arial"/>
          <w:b/>
          <w:bCs/>
          <w:sz w:val="36"/>
          <w:szCs w:val="28"/>
          <w:vertAlign w:val="superscript"/>
          <w:rtl/>
        </w:rPr>
        <w:footnoteReference w:id="8320"/>
      </w:r>
      <w:r w:rsidRPr="00007309">
        <w:rPr>
          <w:rFonts w:cs="Arial"/>
          <w:b/>
          <w:bCs/>
          <w:sz w:val="24"/>
          <w:szCs w:val="24"/>
          <w:rtl/>
        </w:rPr>
        <w:t xml:space="preserve">בַּת י', וְהַיְנוּ בְּחָכְמָה יִבְנֶה בַּיִת. </w:t>
      </w:r>
      <w:r w:rsidRPr="00007309">
        <w:rPr>
          <w:rFonts w:cs="Arial"/>
          <w:b/>
          <w:bCs/>
          <w:sz w:val="36"/>
          <w:szCs w:val="28"/>
          <w:vertAlign w:val="superscript"/>
          <w:rtl/>
        </w:rPr>
        <w:footnoteReference w:id="8321"/>
      </w:r>
      <w:r w:rsidRPr="00007309">
        <w:rPr>
          <w:rFonts w:cs="Arial"/>
          <w:b/>
          <w:bCs/>
          <w:sz w:val="24"/>
          <w:szCs w:val="24"/>
          <w:rtl/>
        </w:rPr>
        <w:t xml:space="preserve">כָּל אִתְּתָא בַּת לְבַעְלָהּ. </w:t>
      </w:r>
      <w:r w:rsidRPr="00007309">
        <w:rPr>
          <w:rFonts w:cs="Arial"/>
          <w:b/>
          <w:bCs/>
          <w:sz w:val="36"/>
          <w:szCs w:val="28"/>
          <w:vertAlign w:val="superscript"/>
          <w:rtl/>
        </w:rPr>
        <w:footnoteReference w:id="8322"/>
      </w:r>
      <w:r w:rsidRPr="00007309">
        <w:rPr>
          <w:rFonts w:cs="Arial"/>
          <w:b/>
          <w:bCs/>
          <w:sz w:val="24"/>
          <w:szCs w:val="24"/>
          <w:rtl/>
        </w:rPr>
        <w:t xml:space="preserve">וּבֵי"ת זְעֵירָא אִתְמְלִיאַת מִתִּפְאֶרֶת </w:t>
      </w:r>
      <w:r w:rsidRPr="00007309">
        <w:rPr>
          <w:rFonts w:cs="Arial"/>
          <w:b/>
          <w:bCs/>
          <w:sz w:val="36"/>
          <w:szCs w:val="28"/>
          <w:vertAlign w:val="superscript"/>
          <w:rtl/>
        </w:rPr>
        <w:footnoteReference w:id="8323"/>
      </w:r>
      <w:r w:rsidRPr="00007309">
        <w:rPr>
          <w:rFonts w:cs="Arial"/>
          <w:b/>
          <w:bCs/>
          <w:sz w:val="24"/>
          <w:szCs w:val="24"/>
          <w:rtl/>
        </w:rPr>
        <w:t xml:space="preserve">דְּהַיְנוּ תּוֹרָה וּבֵהּ </w:t>
      </w:r>
      <w:r w:rsidRPr="00007309">
        <w:rPr>
          <w:rFonts w:cs="Arial"/>
          <w:b/>
          <w:bCs/>
          <w:sz w:val="36"/>
          <w:szCs w:val="28"/>
          <w:vertAlign w:val="superscript"/>
          <w:rtl/>
        </w:rPr>
        <w:footnoteReference w:id="8324"/>
      </w:r>
      <w:r w:rsidRPr="00007309">
        <w:rPr>
          <w:rFonts w:cs="Arial"/>
          <w:b/>
          <w:bCs/>
          <w:sz w:val="24"/>
          <w:szCs w:val="24"/>
          <w:rtl/>
        </w:rPr>
        <w:t xml:space="preserve">אִתְקְרִיאַת בַּת. אֲבָל אִמָּא עִלָּאָה בְּתוֹסֶפֶת י'. וּשְׁלֹמֹה אָמַר (מלכים ה) וְהַבַּיִת בְּהִבָּנֹתוֹ אֶבֶן שְׁלֵמָה מַסָּע נִבְנָה. מַאי אֶבֶן שְׁלֵמָה. </w:t>
      </w:r>
      <w:r w:rsidRPr="00007309">
        <w:rPr>
          <w:rFonts w:cs="Arial"/>
          <w:b/>
          <w:bCs/>
          <w:sz w:val="36"/>
          <w:szCs w:val="28"/>
          <w:vertAlign w:val="superscript"/>
          <w:rtl/>
        </w:rPr>
        <w:footnoteReference w:id="8325"/>
      </w:r>
      <w:r w:rsidRPr="00007309">
        <w:rPr>
          <w:rFonts w:cs="Arial"/>
          <w:b/>
          <w:bCs/>
          <w:sz w:val="24"/>
          <w:szCs w:val="24"/>
          <w:rtl/>
        </w:rPr>
        <w:t xml:space="preserve">דָּא י' עָלַהּ אִתְבְּנֵי בֵּיתָא. וּבְגִין דָּא בְּחָכְמָה יִבְנֶה בַּיִת. </w:t>
      </w:r>
      <w:r w:rsidRPr="00007309">
        <w:rPr>
          <w:rFonts w:cs="Arial"/>
          <w:b/>
          <w:bCs/>
          <w:sz w:val="36"/>
          <w:szCs w:val="28"/>
          <w:vertAlign w:val="superscript"/>
          <w:rtl/>
        </w:rPr>
        <w:footnoteReference w:id="8326"/>
      </w:r>
      <w:r w:rsidRPr="00007309">
        <w:rPr>
          <w:rFonts w:cs="Arial"/>
          <w:b/>
          <w:bCs/>
          <w:sz w:val="24"/>
          <w:szCs w:val="24"/>
          <w:rtl/>
        </w:rPr>
        <w:t xml:space="preserve">וְדָא י' זְעֵירָא עָלַהּ אִתְבְּנֵי בֵּיתָא דִּלְתַתָּא. כְּגַוְנָא דְּאִתְבְּנֵי בְּאָת י' בֵּיתָא עִלָּאָה. וְאִנּוּן בַּיִת רִאשׁוֹן וּבַיִת שֵׁנִי. </w:t>
      </w:r>
      <w:r w:rsidRPr="00007309">
        <w:rPr>
          <w:rFonts w:cs="Arial"/>
          <w:b/>
          <w:bCs/>
          <w:sz w:val="36"/>
          <w:szCs w:val="28"/>
          <w:vertAlign w:val="superscript"/>
          <w:rtl/>
        </w:rPr>
        <w:footnoteReference w:id="8327"/>
      </w:r>
      <w:r w:rsidRPr="00007309">
        <w:rPr>
          <w:rFonts w:cs="Arial"/>
          <w:b/>
          <w:bCs/>
          <w:sz w:val="24"/>
          <w:szCs w:val="24"/>
          <w:rtl/>
        </w:rPr>
        <w:t xml:space="preserve">וְאִנּוּן יְיָ' מִן יְהוָֹ'ה אֲדֹנָ"י, עָלַיְהוּ אִתְּמַר (דברים כו) אֲבָנִים שְׁלֵמוֹת תִּבְנֶה אֶת מִזְבַּח ה'. אֶת לְרַבּוֹת מִזְבֵּחַ תִּנְיָנָא. אָמַר רִבִּי אֶלְעָזָר וּשְׁאָר חַבְרַיָּא דַּהֲווֹ עִמֵּהּ, וַדַּאי אֵלּוּ לָא אתינ' לְעָלְמָא אֶלָּא לְמִשְׁמַע דָּא דּיי. וּכְעָן אִשְׁתְּמוֹדַע בֵּהּ </w:t>
      </w:r>
      <w:r w:rsidRPr="00007309">
        <w:rPr>
          <w:rFonts w:cs="Arial"/>
          <w:b/>
          <w:bCs/>
          <w:sz w:val="36"/>
          <w:szCs w:val="28"/>
          <w:vertAlign w:val="superscript"/>
          <w:rtl/>
        </w:rPr>
        <w:footnoteReference w:id="8328"/>
      </w:r>
      <w:r w:rsidRPr="00007309">
        <w:rPr>
          <w:rFonts w:cs="Arial"/>
          <w:b/>
          <w:bCs/>
          <w:sz w:val="24"/>
          <w:szCs w:val="24"/>
          <w:rtl/>
        </w:rPr>
        <w:t xml:space="preserve">מְאַן אִתְבָּרְכַת וְאִתְקְרִיאַת בִּרְכַּת יְהוָֹ'ה. וְהַיְנוּ וּמָלֵא בִּרְכַּת ה' יָם וְדָרוֹם ירשה. </w:t>
      </w:r>
      <w:r w:rsidRPr="00007309">
        <w:rPr>
          <w:rFonts w:cs="Arial"/>
          <w:b/>
          <w:bCs/>
          <w:sz w:val="36"/>
          <w:szCs w:val="28"/>
          <w:vertAlign w:val="superscript"/>
          <w:rtl/>
        </w:rPr>
        <w:footnoteReference w:id="8329"/>
      </w:r>
      <w:r w:rsidRPr="00007309">
        <w:rPr>
          <w:rFonts w:cs="Arial"/>
          <w:b/>
          <w:bCs/>
          <w:sz w:val="24"/>
          <w:szCs w:val="24"/>
          <w:rtl/>
        </w:rPr>
        <w:t xml:space="preserve">מִן הַמָּלֵא אִתְבָּרְכַת </w:t>
      </w:r>
      <w:r w:rsidRPr="00007309">
        <w:rPr>
          <w:rFonts w:cs="Arial"/>
          <w:b/>
          <w:bCs/>
          <w:sz w:val="36"/>
          <w:szCs w:val="28"/>
          <w:vertAlign w:val="superscript"/>
          <w:rtl/>
        </w:rPr>
        <w:footnoteReference w:id="8330"/>
      </w:r>
      <w:r w:rsidRPr="00007309">
        <w:rPr>
          <w:rFonts w:cs="Arial"/>
          <w:b/>
          <w:bCs/>
          <w:sz w:val="24"/>
          <w:szCs w:val="24"/>
          <w:rtl/>
        </w:rPr>
        <w:t xml:space="preserve">וּמִתַּמָּן אִשְׁתַּקְּיָן כָּל דְּאִנּוּן צְרִיכִין לְאִשְׁתְּקָאָה. </w:t>
      </w:r>
      <w:r w:rsidRPr="00007309">
        <w:rPr>
          <w:rFonts w:cs="Arial"/>
          <w:b/>
          <w:bCs/>
          <w:sz w:val="36"/>
          <w:szCs w:val="28"/>
          <w:vertAlign w:val="superscript"/>
          <w:rtl/>
        </w:rPr>
        <w:footnoteReference w:id="8331"/>
      </w:r>
      <w:r w:rsidRPr="00007309">
        <w:rPr>
          <w:rFonts w:cs="Arial"/>
          <w:b/>
          <w:bCs/>
          <w:sz w:val="24"/>
          <w:szCs w:val="24"/>
          <w:rtl/>
        </w:rPr>
        <w:t xml:space="preserve">אָמַר מַלְכָּא בָּתַר דְּאִית לִי מַבּוּעָא אַטַע אִילָנָא. וְהַיְנוּ בֵּן, דְּאִיהוּ בֵּן מִלְּשׁוֹן בִּנְיָן כְּמָה דְּאוֹקְמוּהּ רַבָּנָן, אַל תִּקְרִי בָּנַיִךְ אֶלָּא בּוֹנַיִךְ. וְאוֹקְמוּהּ בָּנוֹת בִּכְלַל בָּנִים. </w:t>
      </w:r>
      <w:r w:rsidRPr="00007309">
        <w:rPr>
          <w:rFonts w:cs="Arial"/>
          <w:sz w:val="36"/>
          <w:szCs w:val="28"/>
          <w:rtl/>
        </w:rPr>
        <w:t>(</w:t>
      </w:r>
      <w:r w:rsidRPr="00007309">
        <w:rPr>
          <w:rFonts w:cs="Arial"/>
          <w:b/>
          <w:bCs/>
          <w:sz w:val="36"/>
          <w:szCs w:val="28"/>
          <w:vertAlign w:val="superscript"/>
          <w:rtl/>
        </w:rPr>
        <w:footnoteReference w:id="8332"/>
      </w:r>
      <w:r w:rsidRPr="00007309">
        <w:rPr>
          <w:rFonts w:cs="Arial"/>
          <w:sz w:val="36"/>
          <w:szCs w:val="28"/>
          <w:rtl/>
        </w:rPr>
        <w:t xml:space="preserve">וְאַבָּא דְּאִיהוּ) </w:t>
      </w:r>
      <w:r w:rsidRPr="00007309">
        <w:rPr>
          <w:rFonts w:cs="Arial"/>
          <w:b/>
          <w:bCs/>
          <w:sz w:val="24"/>
          <w:szCs w:val="24"/>
          <w:rtl/>
        </w:rPr>
        <w:t xml:space="preserve">מְקוֹר דְּחָכְמָה אִיהוּ כֶּתֶר. מְקוֹר דְּחָכְמָה תִּנְיָנָא מַאי נִיהוּ. אָמַר לֵהּ אִמָּא בְּרִי. אָמַר לֵהּ בְּהַאי קְרָא רָמִיז לֵהּ שְׁלֹמֹה (משלי ה) יְהִי מְקוֹרְךָ בָּרוּךְ </w:t>
      </w:r>
      <w:r w:rsidRPr="00007309">
        <w:rPr>
          <w:rFonts w:cs="Arial"/>
          <w:b/>
          <w:bCs/>
          <w:sz w:val="36"/>
          <w:szCs w:val="28"/>
          <w:vertAlign w:val="superscript"/>
          <w:rtl/>
        </w:rPr>
        <w:footnoteReference w:id="8333"/>
      </w:r>
      <w:r w:rsidRPr="00007309">
        <w:rPr>
          <w:rFonts w:cs="Arial"/>
          <w:b/>
          <w:bCs/>
          <w:sz w:val="24"/>
          <w:szCs w:val="24"/>
          <w:rtl/>
        </w:rPr>
        <w:t xml:space="preserve">וְדָא צַדִּיק. וּבְגִין דָּא אִתְּמַר בֵּהּ בְּרָכוֹת לְרֹאשׁ צַדִּיק </w:t>
      </w:r>
      <w:r w:rsidRPr="00007309">
        <w:rPr>
          <w:rFonts w:cs="Arial"/>
          <w:b/>
          <w:bCs/>
          <w:sz w:val="36"/>
          <w:szCs w:val="28"/>
          <w:vertAlign w:val="superscript"/>
          <w:rtl/>
        </w:rPr>
        <w:footnoteReference w:id="8334"/>
      </w:r>
      <w:r w:rsidRPr="00007309">
        <w:rPr>
          <w:rFonts w:cs="Arial"/>
          <w:b/>
          <w:bCs/>
          <w:sz w:val="24"/>
          <w:szCs w:val="24"/>
          <w:rtl/>
        </w:rPr>
        <w:t xml:space="preserve">וְדָא שָׁלוֹם. וּשְׁלֹמֹה אִתְקְרֵי עַל שְׁמֵהּ שְׁלֹמֹה. וְאִתְּמַר בֵּהּ וְהַמֶּלֶךְ שְׁלֹמֹה בָּרוּךְ. וּבְגִין דָּא אִתְּתָא לָא אִתְבָּרְכַת אֶלָּא מִפְּרִי דְּבַעְלָהּ, דְּאִיהוּ זֶרַע מִבְּרִית חַי עָלְמִין כָּלִיל </w:t>
      </w:r>
      <w:r w:rsidRPr="00007309">
        <w:rPr>
          <w:rFonts w:cs="Arial"/>
          <w:b/>
          <w:bCs/>
          <w:sz w:val="36"/>
          <w:szCs w:val="28"/>
          <w:vertAlign w:val="superscript"/>
          <w:rtl/>
        </w:rPr>
        <w:footnoteReference w:id="8335"/>
      </w:r>
      <w:r w:rsidRPr="00007309">
        <w:rPr>
          <w:rFonts w:cs="Arial"/>
          <w:b/>
          <w:bCs/>
          <w:sz w:val="24"/>
          <w:szCs w:val="24"/>
          <w:rtl/>
        </w:rPr>
        <w:t xml:space="preserve">חַי בִּרְכָּאן דִּצְלוֹתָא. וּבְגִין דָּא מָאן דְּבָעֵי לְאַשְׁקָאָה מִנֵּהּ </w:t>
      </w:r>
      <w:r w:rsidRPr="00007309">
        <w:rPr>
          <w:rFonts w:cs="Arial"/>
          <w:b/>
          <w:bCs/>
          <w:sz w:val="36"/>
          <w:szCs w:val="28"/>
          <w:vertAlign w:val="superscript"/>
          <w:rtl/>
        </w:rPr>
        <w:footnoteReference w:id="8336"/>
      </w:r>
      <w:r w:rsidRPr="00007309">
        <w:rPr>
          <w:rFonts w:cs="Arial"/>
          <w:b/>
          <w:bCs/>
          <w:sz w:val="24"/>
          <w:szCs w:val="24"/>
          <w:rtl/>
        </w:rPr>
        <w:t>צָרִיךְ לְמִכְרַע לְגַבֵּהּ. וְיוֹסֵף הַצַּדִּיק כַּד זָכָה לְדַרְגָּא דָּא דְּצַדִּיק חַי עָלְמִין, חָזָא בְּחֶלְמָא דְּכָל דַּרְגִּין הֲווֹ כָּרְעִין לְדַרְגֵּהּ. הָדָא הוּא דִּכְתִיב (בראשית לז) וְהִנֵּה הַשֶּׁמֶשׁ וְהַיָּרֵחַ וְגוֹ'. וּבְגִין דָּא כָּל הַכּוֹרֵעַ כּוֹרֵעַ בְּבָרוּךְ. אָמַר לוֹ בְּרִיךְ בְּרִי לְעַתִּיק יוֹמִין. יִשְׂמַח אָבִיךָ וְאִמֶּךָ אָבִיךָ דָּא קוּדְשָׁא בְּרִיךְ הוּא. אִמֶּךָ דָּא שְׁכִינְתָּא.</w:t>
      </w:r>
      <w:r w:rsidRPr="00007309">
        <w:rPr>
          <w:rFonts w:cs="Arial"/>
          <w:b/>
          <w:bCs/>
          <w:sz w:val="24"/>
          <w:szCs w:val="24"/>
        </w:rPr>
        <w:t xml:space="preserve"> </w:t>
      </w:r>
      <w:r w:rsidRPr="00007309">
        <w:rPr>
          <w:rFonts w:cs="Arial"/>
          <w:b/>
          <w:bCs/>
          <w:sz w:val="24"/>
          <w:szCs w:val="24"/>
          <w:rtl/>
        </w:rPr>
        <w:t xml:space="preserve">וְתָגֵל יוֹלָדֶתְךָ דָּא אִמֶּךָ דִּלְתַתָּא, דְּוַדַּאי מֵהַהוּא בָּרוּךְ אִתְבָּרְכַת שְׁכִינְתָּא דִּלְתַתָּא. </w:t>
      </w:r>
      <w:r w:rsidRPr="00007309">
        <w:rPr>
          <w:rFonts w:cs="Arial"/>
          <w:b/>
          <w:bCs/>
          <w:sz w:val="36"/>
          <w:szCs w:val="28"/>
          <w:vertAlign w:val="superscript"/>
          <w:rtl/>
        </w:rPr>
        <w:footnoteReference w:id="8337"/>
      </w:r>
      <w:r w:rsidRPr="00007309">
        <w:rPr>
          <w:rFonts w:cs="Arial"/>
          <w:b/>
          <w:bCs/>
          <w:sz w:val="24"/>
          <w:szCs w:val="24"/>
          <w:rtl/>
        </w:rPr>
        <w:t xml:space="preserve">וּבִרְכָּן דִּילֵיהּ אַתְיָן מִמֹּחָא דְּאִיהִי חָכְמָה עִלָּאָה עַל יְדֵי עַמּוּדָא דְּאֶמְצָעִיתָא. וּבְגִין דָּא גּוּף וּבְרִית חַשְׁבִינָן חַד. וּכְגַוְנָא דְּצַדִּיק אִיהוּ מְקוֹר דִּשְׁכִינְתָּא תַּתָּאָה, אוּף הָכֵי עַמּוּדָא דְּאֶמְצָעִיתָא אִיהוּ מְקוֹר דְּצַדִּיק. וְחָכְמָה עִלָּאָה מְקוֹר עַמּוּדָא דְּאֶמְצָעִיתָא. וְכֶתֶר מְקוֹר חָכְמָה עִלָּאָה. וּבְכָל אֲתַר בָּרוּךְ דְּכָר, בְּרָכָה נוּקְבָא. </w:t>
      </w:r>
      <w:r w:rsidRPr="00007309">
        <w:rPr>
          <w:rFonts w:cs="Arial"/>
          <w:b/>
          <w:bCs/>
          <w:sz w:val="36"/>
          <w:szCs w:val="28"/>
          <w:vertAlign w:val="superscript"/>
          <w:rtl/>
        </w:rPr>
        <w:footnoteReference w:id="8338"/>
      </w:r>
      <w:r w:rsidRPr="00007309">
        <w:rPr>
          <w:rFonts w:cs="Arial"/>
          <w:b/>
          <w:bCs/>
          <w:sz w:val="24"/>
          <w:szCs w:val="24"/>
          <w:rtl/>
        </w:rPr>
        <w:t>וְהַיְנוּ לְהָנִיחַ בְּרָכָה אֶל בֵּיתֶךָ</w:t>
      </w:r>
      <w:r w:rsidRPr="00007309">
        <w:rPr>
          <w:rFonts w:cs="Arial"/>
          <w:b/>
          <w:bCs/>
          <w:sz w:val="24"/>
          <w:szCs w:val="24"/>
        </w:rPr>
        <w:t>:</w:t>
      </w:r>
    </w:p>
    <w:p w:rsidR="00007309" w:rsidRPr="00007309" w:rsidRDefault="00007309" w:rsidP="00007309">
      <w:pPr>
        <w:keepNext/>
        <w:outlineLvl w:val="1"/>
        <w:rPr>
          <w:rFonts w:ascii="Cambria" w:hAnsi="Cambria" w:cs="Times New Roman"/>
          <w:b/>
          <w:bCs/>
          <w:i/>
          <w:iCs/>
          <w:sz w:val="28"/>
          <w:szCs w:val="28"/>
          <w:rtl/>
        </w:rPr>
      </w:pPr>
      <w:r w:rsidRPr="00007309">
        <w:rPr>
          <w:rFonts w:ascii="Cambria" w:hAnsi="Cambria" w:cs="Times New Roman"/>
          <w:b/>
          <w:bCs/>
          <w:i/>
          <w:iCs/>
          <w:sz w:val="28"/>
          <w:szCs w:val="28"/>
          <w:rtl/>
        </w:rPr>
        <w:t>[</w:t>
      </w:r>
      <w:r w:rsidRPr="00007309">
        <w:rPr>
          <w:rFonts w:ascii="Cambria" w:hAnsi="Cambria" w:cs="Times New Roman" w:hint="cs"/>
          <w:b/>
          <w:bCs/>
          <w:i/>
          <w:iCs/>
          <w:sz w:val="28"/>
          <w:szCs w:val="28"/>
          <w:rtl/>
        </w:rPr>
        <w:t>דף</w:t>
      </w:r>
      <w:r w:rsidRPr="00007309">
        <w:rPr>
          <w:rFonts w:ascii="Cambria" w:hAnsi="Cambria" w:cs="Times New Roman"/>
          <w:b/>
          <w:bCs/>
          <w:i/>
          <w:iCs/>
          <w:sz w:val="28"/>
          <w:szCs w:val="28"/>
          <w:rtl/>
        </w:rPr>
        <w:t xml:space="preserve"> </w:t>
      </w:r>
      <w:r w:rsidRPr="00007309">
        <w:rPr>
          <w:rFonts w:ascii="Cambria" w:hAnsi="Cambria" w:cs="Times New Roman" w:hint="cs"/>
          <w:b/>
          <w:bCs/>
          <w:i/>
          <w:iCs/>
          <w:sz w:val="28"/>
          <w:szCs w:val="28"/>
          <w:rtl/>
        </w:rPr>
        <w:t>פו</w:t>
      </w:r>
      <w:r w:rsidRPr="00007309">
        <w:rPr>
          <w:rFonts w:ascii="Cambria" w:hAnsi="Cambria" w:cs="Times New Roman"/>
          <w:b/>
          <w:bCs/>
          <w:i/>
          <w:iCs/>
          <w:sz w:val="28"/>
          <w:szCs w:val="28"/>
          <w:rtl/>
        </w:rPr>
        <w:t xml:space="preserve"> ע"</w:t>
      </w:r>
      <w:r w:rsidRPr="00007309">
        <w:rPr>
          <w:rFonts w:ascii="Cambria" w:hAnsi="Cambria" w:cs="Times New Roman" w:hint="cs"/>
          <w:b/>
          <w:bCs/>
          <w:i/>
          <w:iCs/>
          <w:sz w:val="28"/>
          <w:szCs w:val="28"/>
          <w:rtl/>
        </w:rPr>
        <w:t>ד</w:t>
      </w:r>
      <w:r w:rsidRPr="00007309">
        <w:rPr>
          <w:rFonts w:ascii="Cambria" w:hAnsi="Cambria" w:cs="Times New Roman"/>
          <w:b/>
          <w:bCs/>
          <w:i/>
          <w:iCs/>
          <w:sz w:val="28"/>
          <w:szCs w:val="28"/>
          <w:rtl/>
        </w:rPr>
        <w:t>]</w:t>
      </w:r>
    </w:p>
    <w:p w:rsidR="00007309" w:rsidRPr="00007309" w:rsidRDefault="00007309" w:rsidP="00007309">
      <w:pPr>
        <w:keepNext/>
        <w:spacing w:before="240" w:after="60"/>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 xml:space="preserve"> [וילנא מג ע"א]</w:t>
      </w:r>
    </w:p>
    <w:p w:rsidR="00007309" w:rsidRPr="00007309" w:rsidRDefault="00007309" w:rsidP="00007309">
      <w:pPr>
        <w:jc w:val="both"/>
        <w:rPr>
          <w:rFonts w:cs="Arial"/>
          <w:b/>
          <w:bCs/>
          <w:sz w:val="24"/>
          <w:szCs w:val="24"/>
        </w:rPr>
      </w:pPr>
      <w:r w:rsidRPr="00007309">
        <w:rPr>
          <w:rFonts w:cs="Arial"/>
          <w:b/>
          <w:bCs/>
          <w:sz w:val="36"/>
          <w:szCs w:val="28"/>
          <w:vertAlign w:val="superscript"/>
          <w:rtl/>
        </w:rPr>
        <w:footnoteReference w:id="8339"/>
      </w:r>
      <w:r w:rsidRPr="00007309">
        <w:rPr>
          <w:rFonts w:cs="Arial"/>
          <w:b/>
          <w:bCs/>
          <w:sz w:val="24"/>
          <w:szCs w:val="24"/>
          <w:rtl/>
        </w:rPr>
        <w:t xml:space="preserve">תָּא חֲזֵי שְׁכִינְתָּא </w:t>
      </w:r>
      <w:r w:rsidRPr="00007309">
        <w:rPr>
          <w:rFonts w:cs="Arial"/>
          <w:b/>
          <w:bCs/>
          <w:sz w:val="36"/>
          <w:szCs w:val="28"/>
          <w:vertAlign w:val="superscript"/>
          <w:rtl/>
        </w:rPr>
        <w:footnoteReference w:id="8340"/>
      </w:r>
      <w:r w:rsidRPr="00007309">
        <w:rPr>
          <w:rFonts w:cs="Arial"/>
          <w:b/>
          <w:bCs/>
          <w:sz w:val="24"/>
          <w:szCs w:val="24"/>
          <w:rtl/>
        </w:rPr>
        <w:t xml:space="preserve">אִית דְּאִתְקְרִיאַת אַמָּה. וּשְׁכִינְתָּא דְּאִתְקְרִיאַת שִׁפְחָה. וּשְׁכִינְתָּא אִית דְּאִתְקְרִיאַת בְּרַתָּא דְּמַלְכָּא. </w:t>
      </w:r>
      <w:r w:rsidRPr="00007309">
        <w:rPr>
          <w:rFonts w:cs="Arial"/>
          <w:b/>
          <w:bCs/>
          <w:sz w:val="36"/>
          <w:szCs w:val="28"/>
          <w:vertAlign w:val="superscript"/>
          <w:rtl/>
        </w:rPr>
        <w:footnoteReference w:id="8341"/>
      </w:r>
      <w:r w:rsidRPr="00007309">
        <w:rPr>
          <w:rFonts w:cs="Arial"/>
          <w:b/>
          <w:bCs/>
          <w:sz w:val="24"/>
          <w:szCs w:val="24"/>
          <w:rtl/>
        </w:rPr>
        <w:t xml:space="preserve">הָכֵי אִית אִישׁ </w:t>
      </w:r>
      <w:r w:rsidRPr="00007309">
        <w:rPr>
          <w:rFonts w:cs="Arial"/>
          <w:b/>
          <w:bCs/>
          <w:sz w:val="36"/>
          <w:szCs w:val="28"/>
          <w:vertAlign w:val="superscript"/>
          <w:rtl/>
        </w:rPr>
        <w:footnoteReference w:id="8342"/>
      </w:r>
      <w:r w:rsidRPr="00007309">
        <w:rPr>
          <w:rFonts w:cs="Arial"/>
          <w:b/>
          <w:bCs/>
          <w:sz w:val="24"/>
          <w:szCs w:val="24"/>
          <w:rtl/>
        </w:rPr>
        <w:t>וְאִית אִישׁ. אִית אִישׁ דְּאִתְּמַר בֵּהּ (שמות טו) ה' אִישׁ</w:t>
      </w:r>
      <w:r w:rsidRPr="00007309">
        <w:rPr>
          <w:rFonts w:cs="Arial"/>
          <w:b/>
          <w:bCs/>
          <w:sz w:val="24"/>
          <w:szCs w:val="28"/>
        </w:rPr>
        <w:t xml:space="preserve"> </w:t>
      </w:r>
      <w:r w:rsidRPr="00007309">
        <w:rPr>
          <w:rFonts w:cs="Arial"/>
          <w:b/>
          <w:bCs/>
          <w:sz w:val="24"/>
          <w:szCs w:val="24"/>
          <w:rtl/>
        </w:rPr>
        <w:t xml:space="preserve">מִלְחָמָה. וְאִית אִישׁ דְּאִתְּמַר בֵּהּ (דניאל ט) וְהָאִישׁ גַּבְרִיאֵל. וּבְגִין דָּא נִשְׁמְתָא דְּאִיהִי מְחֻיָּבָא בְּגִלְגּוּלָא אִם הִיא בְּרַתָּא דְּקוּדְשָׁא בְּרִיךְ הוּא. אִי תֵּימָא דְּאִתְזְבַן בְּגוּפָא נוּכְרָאָה דְּתַמָּן שֻׁלְטָנוּתָא דְּיֵצֶר הָרָע דְּאִיהוּ מִסִּטְרָא דְּסַמָּאֵל. ח"ו. הָדָא הוּא דִּכְתִיב (ישעיה מב) אֲנִי ה' הוּא שְׁמִי וּכְבוֹדִי </w:t>
      </w:r>
      <w:r w:rsidRPr="00007309">
        <w:rPr>
          <w:rFonts w:cs="Arial"/>
          <w:b/>
          <w:bCs/>
          <w:sz w:val="36"/>
          <w:szCs w:val="28"/>
          <w:vertAlign w:val="superscript"/>
          <w:rtl/>
        </w:rPr>
        <w:footnoteReference w:id="8343"/>
      </w:r>
      <w:r w:rsidRPr="00007309">
        <w:rPr>
          <w:rFonts w:cs="Arial"/>
          <w:b/>
          <w:bCs/>
          <w:sz w:val="24"/>
          <w:szCs w:val="24"/>
          <w:rtl/>
        </w:rPr>
        <w:t xml:space="preserve">לְאַחֵר לֹא אֶתֵּן. דְּאִיהוּ יֵצֶר הָרָע. וְהַהוּא גּוּפָא דְּשַׁרְיָא בֵּהּ בְּרַתָּא דְּמַלְכָּא אִתְּמַר דְּאִזְדְּבַן בְּכִתְרִין תַּתָּאִין דִּמְסָאֲבוּ. ח"ו. עָלַהּ אִתְּמַר </w:t>
      </w:r>
      <w:r w:rsidRPr="00007309">
        <w:rPr>
          <w:rFonts w:cs="Arial"/>
          <w:b/>
          <w:bCs/>
          <w:sz w:val="36"/>
          <w:szCs w:val="28"/>
          <w:vertAlign w:val="superscript"/>
          <w:rtl/>
        </w:rPr>
        <w:footnoteReference w:id="8344"/>
      </w:r>
      <w:r w:rsidRPr="00007309">
        <w:rPr>
          <w:rFonts w:cs="Arial"/>
          <w:b/>
          <w:bCs/>
          <w:sz w:val="24"/>
          <w:szCs w:val="24"/>
          <w:rtl/>
        </w:rPr>
        <w:t xml:space="preserve">וְהָאָרֶץ לֹא תִּמָּכֵר </w:t>
      </w:r>
      <w:r w:rsidRPr="00007309">
        <w:rPr>
          <w:rFonts w:cs="Arial"/>
          <w:b/>
          <w:bCs/>
          <w:sz w:val="36"/>
          <w:szCs w:val="28"/>
          <w:vertAlign w:val="superscript"/>
          <w:rtl/>
        </w:rPr>
        <w:footnoteReference w:id="8345"/>
      </w:r>
      <w:r w:rsidRPr="00007309">
        <w:rPr>
          <w:rFonts w:cs="Arial"/>
          <w:b/>
          <w:bCs/>
          <w:sz w:val="24"/>
          <w:szCs w:val="24"/>
          <w:rtl/>
        </w:rPr>
        <w:t xml:space="preserve">לִצְמִיתוּת </w:t>
      </w:r>
      <w:r w:rsidRPr="00007309">
        <w:rPr>
          <w:rFonts w:ascii="Cambria" w:hAnsi="Cambria" w:cs="Times New Roman"/>
          <w:b/>
          <w:bCs/>
          <w:i/>
          <w:iCs/>
          <w:color w:val="4F81BD"/>
          <w:sz w:val="24"/>
          <w:szCs w:val="24"/>
          <w:rtl/>
        </w:rPr>
        <w:t>(</w:t>
      </w:r>
      <w:r w:rsidRPr="00007309">
        <w:rPr>
          <w:rFonts w:ascii="Cambria" w:hAnsi="Cambria" w:cs="Times New Roman" w:hint="cs"/>
          <w:b/>
          <w:bCs/>
          <w:i/>
          <w:iCs/>
          <w:color w:val="4F81BD"/>
          <w:sz w:val="24"/>
          <w:szCs w:val="24"/>
          <w:rtl/>
        </w:rPr>
        <w:t>פו</w:t>
      </w:r>
      <w:r w:rsidRPr="00007309">
        <w:rPr>
          <w:rFonts w:ascii="Cambria" w:hAnsi="Cambria" w:cs="Times New Roman"/>
          <w:b/>
          <w:bCs/>
          <w:i/>
          <w:iCs/>
          <w:color w:val="4F81BD"/>
          <w:sz w:val="24"/>
          <w:szCs w:val="24"/>
          <w:rtl/>
        </w:rPr>
        <w:t xml:space="preserve"> ע"</w:t>
      </w:r>
      <w:r w:rsidRPr="00007309">
        <w:rPr>
          <w:rFonts w:ascii="Cambria" w:hAnsi="Cambria" w:cs="Times New Roman" w:hint="cs"/>
          <w:b/>
          <w:bCs/>
          <w:i/>
          <w:iCs/>
          <w:color w:val="4F81BD"/>
          <w:sz w:val="24"/>
          <w:szCs w:val="24"/>
          <w:rtl/>
        </w:rPr>
        <w:t>ד</w:t>
      </w:r>
      <w:r w:rsidRPr="00007309">
        <w:rPr>
          <w:rFonts w:ascii="Cambria" w:hAnsi="Cambria" w:cs="Times New Roman"/>
          <w:b/>
          <w:bCs/>
          <w:i/>
          <w:iCs/>
          <w:color w:val="4F81BD"/>
          <w:sz w:val="24"/>
          <w:szCs w:val="24"/>
          <w:rtl/>
        </w:rPr>
        <w:t>)</w:t>
      </w:r>
      <w:r w:rsidRPr="00007309">
        <w:rPr>
          <w:rFonts w:cs="Arial"/>
          <w:b/>
          <w:bCs/>
          <w:sz w:val="24"/>
          <w:szCs w:val="24"/>
          <w:rtl/>
        </w:rPr>
        <w:t xml:space="preserve"> כִּי לִי כָּל הָאָרֶץ. וּמָאן גּוּפָא דִּבְרַתָּא דְּמַלְכָּא, דָּא מְטַטְרוֹ"ן. וְהַהוּא גּוּפָא </w:t>
      </w:r>
      <w:r w:rsidRPr="00007309">
        <w:rPr>
          <w:rFonts w:cs="Arial"/>
          <w:b/>
          <w:bCs/>
          <w:sz w:val="36"/>
          <w:szCs w:val="28"/>
          <w:vertAlign w:val="superscript"/>
          <w:rtl/>
        </w:rPr>
        <w:footnoteReference w:id="8346"/>
      </w:r>
      <w:r w:rsidRPr="00007309">
        <w:rPr>
          <w:rFonts w:cs="Arial"/>
          <w:b/>
          <w:bCs/>
          <w:sz w:val="24"/>
          <w:szCs w:val="24"/>
          <w:rtl/>
        </w:rPr>
        <w:t xml:space="preserve">אִיהוּ אַמָּה דִּשְׁכִינְתָּא. אַף עַל גַּב דְּאִיהוּ נִשְׁמְתָא דְּאִיהִי בְּרַתָּא דְּמַלְכָּא שְׁבוּיָה </w:t>
      </w:r>
      <w:r w:rsidRPr="00007309">
        <w:rPr>
          <w:rFonts w:cs="Arial"/>
          <w:b/>
          <w:bCs/>
          <w:sz w:val="36"/>
          <w:szCs w:val="28"/>
          <w:vertAlign w:val="superscript"/>
          <w:rtl/>
        </w:rPr>
        <w:footnoteReference w:id="8347"/>
      </w:r>
      <w:r w:rsidRPr="00007309">
        <w:rPr>
          <w:rFonts w:cs="Arial"/>
          <w:b/>
          <w:bCs/>
          <w:sz w:val="24"/>
          <w:szCs w:val="24"/>
          <w:rtl/>
        </w:rPr>
        <w:t xml:space="preserve">תַּמָּן בְּגִלְגּוּלָא </w:t>
      </w:r>
      <w:r w:rsidRPr="00007309">
        <w:rPr>
          <w:rFonts w:cs="Arial"/>
          <w:b/>
          <w:bCs/>
          <w:sz w:val="36"/>
          <w:szCs w:val="28"/>
          <w:vertAlign w:val="superscript"/>
          <w:rtl/>
        </w:rPr>
        <w:footnoteReference w:id="8348"/>
      </w:r>
      <w:r w:rsidRPr="00007309">
        <w:rPr>
          <w:rFonts w:cs="Arial"/>
          <w:b/>
          <w:bCs/>
          <w:sz w:val="24"/>
          <w:szCs w:val="24"/>
          <w:rtl/>
        </w:rPr>
        <w:t xml:space="preserve">דְּאַתְיָא בְּגִלְגּוּלָא בְּגִין דְּאָתַת תַּמָּן מַה כְּתִיב בֵּהּ (שמות כא) כִּי יִמְכֹּר אִישׁ אֶת בִּתּוֹ לְאַמָּה וְגוֹ'. וְעוֹד וְכִי יִמְכֹּר אִישׁ אֶת בִּתּוֹ, אִישׁ דָּא קוּדְשָׁא בְּרִיךְ הוּא. אֶת בִּתּוֹ אֵלּוּ יִשְׂרָאֵל דְּאִנּוּן מִסִּטְרָא </w:t>
      </w:r>
      <w:r w:rsidRPr="00007309">
        <w:rPr>
          <w:rFonts w:ascii="Cambria" w:hAnsi="Cambria" w:cs="Times New Roman"/>
          <w:b/>
          <w:bCs/>
          <w:i/>
          <w:iCs/>
          <w:color w:val="4F81BD"/>
          <w:sz w:val="24"/>
          <w:szCs w:val="24"/>
          <w:rtl/>
        </w:rPr>
        <w:t xml:space="preserve">(וילנא </w:t>
      </w:r>
      <w:r w:rsidRPr="00007309">
        <w:rPr>
          <w:rFonts w:ascii="Cambria" w:hAnsi="Cambria" w:cs="Times New Roman" w:hint="cs"/>
          <w:b/>
          <w:bCs/>
          <w:i/>
          <w:iCs/>
          <w:color w:val="4F81BD"/>
          <w:sz w:val="24"/>
          <w:szCs w:val="24"/>
          <w:rtl/>
        </w:rPr>
        <w:t>מג</w:t>
      </w:r>
      <w:r w:rsidRPr="00007309">
        <w:rPr>
          <w:rFonts w:ascii="Cambria" w:hAnsi="Cambria" w:cs="Times New Roman"/>
          <w:b/>
          <w:bCs/>
          <w:i/>
          <w:iCs/>
          <w:color w:val="4F81BD"/>
          <w:sz w:val="24"/>
          <w:szCs w:val="24"/>
          <w:rtl/>
        </w:rPr>
        <w:t xml:space="preserve"> ע"</w:t>
      </w:r>
      <w:r w:rsidRPr="00007309">
        <w:rPr>
          <w:rFonts w:ascii="Cambria" w:hAnsi="Cambria" w:cs="Times New Roman" w:hint="cs"/>
          <w:b/>
          <w:bCs/>
          <w:i/>
          <w:iCs/>
          <w:color w:val="4F81BD"/>
          <w:sz w:val="24"/>
          <w:szCs w:val="24"/>
          <w:rtl/>
        </w:rPr>
        <w:t>א</w:t>
      </w:r>
      <w:r w:rsidRPr="00007309">
        <w:rPr>
          <w:rFonts w:ascii="Cambria" w:hAnsi="Cambria" w:cs="Times New Roman"/>
          <w:b/>
          <w:bCs/>
          <w:i/>
          <w:iCs/>
          <w:color w:val="4F81BD"/>
          <w:sz w:val="24"/>
          <w:szCs w:val="24"/>
          <w:rtl/>
        </w:rPr>
        <w:t>)</w:t>
      </w:r>
      <w:r w:rsidRPr="00007309">
        <w:rPr>
          <w:rFonts w:cs="Arial"/>
          <w:b/>
          <w:bCs/>
          <w:sz w:val="24"/>
          <w:szCs w:val="24"/>
          <w:rtl/>
        </w:rPr>
        <w:t xml:space="preserve"> דְּבַת יְחִידָה אִתְקְרִיאוּ בִּתּוֹ. אִי תֵּימָא דְּיִפְקוּן מִסִּטְרָא דְּעֶבֶד דְּאִיהוּ מְטַטְרוֹ"ן </w:t>
      </w:r>
      <w:r w:rsidRPr="00007309">
        <w:rPr>
          <w:rFonts w:cs="Arial"/>
          <w:b/>
          <w:bCs/>
          <w:sz w:val="36"/>
          <w:szCs w:val="28"/>
          <w:vertAlign w:val="superscript"/>
          <w:rtl/>
        </w:rPr>
        <w:footnoteReference w:id="8349"/>
      </w:r>
      <w:r w:rsidRPr="00007309">
        <w:rPr>
          <w:rFonts w:cs="Arial"/>
          <w:b/>
          <w:bCs/>
          <w:sz w:val="24"/>
          <w:szCs w:val="24"/>
          <w:rtl/>
        </w:rPr>
        <w:t>כְּגַוְנָא דְּאִלֵּין דְּנָפְקוּ בִּמְנוּסָה מִמִּצְרַיִם. לֹא תֵצֵא</w:t>
      </w:r>
      <w:r w:rsidRPr="00007309">
        <w:rPr>
          <w:rFonts w:cs="Arial"/>
          <w:b/>
          <w:bCs/>
          <w:sz w:val="24"/>
          <w:szCs w:val="24"/>
        </w:rPr>
        <w:t xml:space="preserve"> </w:t>
      </w:r>
      <w:r w:rsidRPr="00007309">
        <w:rPr>
          <w:rFonts w:cs="Arial"/>
          <w:b/>
          <w:bCs/>
          <w:sz w:val="24"/>
          <w:szCs w:val="24"/>
          <w:rtl/>
        </w:rPr>
        <w:t>כְּצֵאת הָעֲבָדִים. הָדָא הוּא דִּכְתִיב (ישעיה נב) כִּי לֹא בְּחִפָּזוֹן תֵּצֵאוּ וּבִמְנוּסָה לֹא תֵּלֵכוּן</w:t>
      </w:r>
      <w:r w:rsidRPr="00007309">
        <w:rPr>
          <w:rFonts w:cs="Arial"/>
          <w:b/>
          <w:bCs/>
          <w:sz w:val="24"/>
          <w:szCs w:val="24"/>
        </w:rPr>
        <w:t>:</w:t>
      </w:r>
    </w:p>
    <w:p w:rsidR="00007309" w:rsidRPr="00007309" w:rsidRDefault="00007309" w:rsidP="00007309">
      <w:pPr>
        <w:jc w:val="both"/>
        <w:rPr>
          <w:rFonts w:cs="Arial"/>
          <w:b/>
          <w:bCs/>
          <w:sz w:val="24"/>
          <w:szCs w:val="24"/>
        </w:rPr>
      </w:pPr>
      <w:r w:rsidRPr="00007309">
        <w:rPr>
          <w:rFonts w:cs="Arial"/>
          <w:b/>
          <w:bCs/>
          <w:sz w:val="24"/>
          <w:szCs w:val="24"/>
          <w:rtl/>
        </w:rPr>
        <w:t xml:space="preserve">תָּא חֲזֵי בַּר נָשׁ מִיָּד דְּאִתְיְלִיד יָהֲבִין לֵהּ נַפְשָׁא דִּבְעִירָא מִסִּטְרָא דְּדַכְיוּ, מֵאִלֵּין דְּאִתְקְרִיאוּ אוֹפַנֵּי קֹדֶשׁ. זָכָה יַתִּיר יָהֲבִין לֵהּ רוּחָא מִסִּטְרָא דְּחֵיוָן דְּאִנּוּן חַיּוֹת הַקֹּדֶשׁ. זָכָה יַתִּיר יָהֲבִין לֵהּ נִשְׁמְתָא מִסִּטְרָא דְּכֻרְסֵהּ וּתְלָת </w:t>
      </w:r>
      <w:r w:rsidRPr="00007309">
        <w:rPr>
          <w:rFonts w:cs="Arial"/>
          <w:b/>
          <w:bCs/>
          <w:sz w:val="36"/>
          <w:szCs w:val="28"/>
          <w:vertAlign w:val="superscript"/>
          <w:rtl/>
        </w:rPr>
        <w:footnoteReference w:id="8350"/>
      </w:r>
      <w:r w:rsidRPr="00007309">
        <w:rPr>
          <w:rFonts w:cs="Arial"/>
          <w:b/>
          <w:bCs/>
          <w:sz w:val="24"/>
          <w:szCs w:val="24"/>
          <w:rtl/>
        </w:rPr>
        <w:t xml:space="preserve">אִלֵּין אִנּוּן אַמָּ'ה וְעֶבֶ'ד וְשִׁפְ'חָה דִּבְרַתָּא דְּמַלְכָּא. זָכָה יַתִּיר יָהֲבִין לֵהּ נַפְשָׁא בְּאֹרַח אֲצִילוּת מִסִּטְרָא דְּבַת יְחִידָה, וְאִתְקְרִיאַת אִיהִי בַּת מֶלֶךְ. זָכָה יַתִּיר יָהֲבִין לֵהּ רוּחָא דַּאֲצִילוּת מִסִּטְרָא דְּעַמּוּדָא דְּאֶמְצָעִיתָא וְאִתְקְרֵי בֵּן לְקוּדְשָׁא בְּרִיךְ הוּא הָדָא הוּא דִּכְתִיב (דברים יד) בָּנִים אַתֶּם לַה' אֱלֹהֵיכֶם. זָכָה לְיַתִּיר יָהֲבִין לֵהּ </w:t>
      </w:r>
      <w:r w:rsidRPr="00007309">
        <w:rPr>
          <w:rFonts w:cs="Arial"/>
          <w:b/>
          <w:bCs/>
          <w:sz w:val="36"/>
          <w:szCs w:val="28"/>
          <w:vertAlign w:val="superscript"/>
          <w:rtl/>
        </w:rPr>
        <w:footnoteReference w:id="8351"/>
      </w:r>
      <w:r w:rsidRPr="00007309">
        <w:rPr>
          <w:rFonts w:cs="Arial"/>
          <w:b/>
          <w:bCs/>
          <w:sz w:val="24"/>
          <w:szCs w:val="24"/>
          <w:rtl/>
        </w:rPr>
        <w:t xml:space="preserve">נִשְׁמְתָא מִסִּטְרָא דְּאַבָּא וְאִמָּא, הָדָא הוּא דִּכְתִיב (בראשית א) וַיִּפַּח בְּאַפָּיו נִשְׁמַת חַיִּים. </w:t>
      </w:r>
      <w:r w:rsidRPr="00007309">
        <w:rPr>
          <w:rFonts w:cs="Arial"/>
          <w:b/>
          <w:bCs/>
          <w:sz w:val="36"/>
          <w:szCs w:val="28"/>
          <w:vertAlign w:val="superscript"/>
          <w:rtl/>
        </w:rPr>
        <w:footnoteReference w:id="8352"/>
      </w:r>
      <w:r w:rsidRPr="00007309">
        <w:rPr>
          <w:rFonts w:cs="Arial"/>
          <w:b/>
          <w:bCs/>
          <w:sz w:val="24"/>
          <w:szCs w:val="24"/>
          <w:rtl/>
        </w:rPr>
        <w:t xml:space="preserve">מָאן חַיִּים. אִלֵּין אִנּוּן יָ'הּ וְעָלַיְהוּ אִתְּמַר (תהלים קנ) כָּל הַנְּשָׁמָה תְּהַלֵּל יָהּ. וְאִשְׁתְּלִים בֵּהּ יְהוָֹ'ה. זָכָה יַתִּיר </w:t>
      </w:r>
      <w:r w:rsidRPr="00007309">
        <w:rPr>
          <w:rFonts w:cs="Arial"/>
          <w:b/>
          <w:bCs/>
          <w:sz w:val="36"/>
          <w:szCs w:val="28"/>
          <w:vertAlign w:val="superscript"/>
          <w:rtl/>
        </w:rPr>
        <w:footnoteReference w:id="8353"/>
      </w:r>
      <w:r w:rsidRPr="00007309">
        <w:rPr>
          <w:rFonts w:cs="Arial"/>
          <w:b/>
          <w:bCs/>
          <w:sz w:val="24"/>
          <w:szCs w:val="24"/>
          <w:rtl/>
        </w:rPr>
        <w:t xml:space="preserve">יָהֲבִין לֵהּ יוּ"ד הֵ"א וָא"ו הֵ"א </w:t>
      </w:r>
      <w:r w:rsidRPr="00007309">
        <w:rPr>
          <w:rFonts w:cs="Arial"/>
          <w:b/>
          <w:bCs/>
          <w:sz w:val="36"/>
          <w:szCs w:val="28"/>
          <w:vertAlign w:val="superscript"/>
          <w:rtl/>
        </w:rPr>
        <w:footnoteReference w:id="8354"/>
      </w:r>
      <w:r w:rsidRPr="00007309">
        <w:rPr>
          <w:rFonts w:cs="Arial"/>
          <w:b/>
          <w:bCs/>
          <w:sz w:val="24"/>
          <w:szCs w:val="24"/>
          <w:rtl/>
        </w:rPr>
        <w:t xml:space="preserve">דְּאִיהוּ אָדָם בְּאֹרַח אֲצִילוּת לְעֵלָּא </w:t>
      </w:r>
      <w:r w:rsidRPr="00007309">
        <w:rPr>
          <w:rFonts w:cs="Arial"/>
          <w:b/>
          <w:bCs/>
          <w:sz w:val="36"/>
          <w:szCs w:val="28"/>
          <w:vertAlign w:val="superscript"/>
          <w:rtl/>
        </w:rPr>
        <w:footnoteReference w:id="8355"/>
      </w:r>
      <w:r w:rsidRPr="00007309">
        <w:rPr>
          <w:rFonts w:cs="Arial"/>
          <w:b/>
          <w:bCs/>
          <w:sz w:val="24"/>
          <w:szCs w:val="24"/>
          <w:rtl/>
        </w:rPr>
        <w:t xml:space="preserve">וְאִקְּרֵי בְּדִיּוֹקְנָא דְּמָארֵהּ. וְעָלֵהּ אִתְּמַר (בראשית א) וּרְדוּ בִּדְגַת הַיָּם. הַאי אִיהוּ שֻׁלְטָנוּתָא בְּכָל רְקִיעִין וּבְכָל אוֹפַנִּים וּשְׂרָפִים וְחֵיוָן וּבְכָל חֵילִין וְתוּקְפִין דִּלְעֵלָּא וְתַתָּא. </w:t>
      </w:r>
      <w:r w:rsidRPr="00007309">
        <w:rPr>
          <w:rFonts w:cs="Arial"/>
          <w:b/>
          <w:bCs/>
          <w:sz w:val="36"/>
          <w:szCs w:val="28"/>
          <w:vertAlign w:val="superscript"/>
          <w:rtl/>
        </w:rPr>
        <w:footnoteReference w:id="8356"/>
      </w:r>
      <w:r w:rsidRPr="00007309">
        <w:rPr>
          <w:rFonts w:cs="Arial"/>
          <w:b/>
          <w:bCs/>
          <w:sz w:val="24"/>
          <w:szCs w:val="24"/>
          <w:rtl/>
        </w:rPr>
        <w:t xml:space="preserve">וּבְגִין דָּא כַּד בַּר נָשׁ זָכֵי בַּנֶּפֶשׁ מִסִּטְרָא דְּבַת יְחִידָה, אִתְּמַר בָּהּ </w:t>
      </w:r>
      <w:r w:rsidRPr="00007309">
        <w:rPr>
          <w:rFonts w:cs="Arial"/>
          <w:b/>
          <w:bCs/>
          <w:sz w:val="36"/>
          <w:szCs w:val="28"/>
          <w:vertAlign w:val="superscript"/>
          <w:rtl/>
        </w:rPr>
        <w:footnoteReference w:id="8357"/>
      </w:r>
      <w:r w:rsidRPr="00007309">
        <w:rPr>
          <w:rFonts w:cs="Arial"/>
          <w:b/>
          <w:bCs/>
          <w:sz w:val="24"/>
          <w:szCs w:val="24"/>
          <w:rtl/>
        </w:rPr>
        <w:t>לֹא תֵצֵא כְּצֵאת הָעֲבָדִים</w:t>
      </w:r>
      <w:r w:rsidRPr="00007309">
        <w:rPr>
          <w:rFonts w:cs="Arial"/>
          <w:b/>
          <w:bCs/>
          <w:sz w:val="24"/>
          <w:szCs w:val="24"/>
        </w:rPr>
        <w:t>:</w:t>
      </w:r>
    </w:p>
    <w:p w:rsidR="00007309" w:rsidRPr="00007309" w:rsidRDefault="00007309" w:rsidP="00007309">
      <w:pPr>
        <w:jc w:val="both"/>
        <w:rPr>
          <w:rFonts w:cs="Arial"/>
          <w:b/>
          <w:bCs/>
          <w:sz w:val="24"/>
          <w:szCs w:val="24"/>
        </w:rPr>
      </w:pPr>
      <w:r w:rsidRPr="00007309">
        <w:rPr>
          <w:rFonts w:cs="Arial"/>
          <w:b/>
          <w:bCs/>
          <w:sz w:val="36"/>
          <w:szCs w:val="28"/>
          <w:vertAlign w:val="superscript"/>
          <w:rtl/>
        </w:rPr>
        <w:footnoteReference w:id="8358"/>
      </w:r>
      <w:r w:rsidRPr="00007309">
        <w:rPr>
          <w:rFonts w:cs="Arial"/>
          <w:b/>
          <w:bCs/>
          <w:sz w:val="24"/>
          <w:szCs w:val="24"/>
          <w:rtl/>
        </w:rPr>
        <w:t>וּבַאֲבֹ</w:t>
      </w:r>
      <w:r w:rsidRPr="00007309">
        <w:rPr>
          <w:rFonts w:cs="Arial" w:hint="cs"/>
          <w:b/>
          <w:bCs/>
          <w:sz w:val="24"/>
          <w:szCs w:val="24"/>
          <w:rtl/>
        </w:rPr>
        <w:t>ד</w:t>
      </w:r>
      <w:r w:rsidRPr="00007309">
        <w:rPr>
          <w:rFonts w:cs="Arial"/>
          <w:b/>
          <w:bCs/>
          <w:sz w:val="24"/>
          <w:szCs w:val="24"/>
          <w:rtl/>
        </w:rPr>
        <w:t xml:space="preserve"> רְשָׁעִים רִנָּ'ה</w:t>
      </w:r>
      <w:r w:rsidRPr="00007309">
        <w:rPr>
          <w:rFonts w:cs="Arial" w:hint="cs"/>
          <w:b/>
          <w:bCs/>
          <w:sz w:val="24"/>
          <w:szCs w:val="24"/>
          <w:rtl/>
        </w:rPr>
        <w:t>,</w:t>
      </w:r>
      <w:r w:rsidRPr="00007309">
        <w:rPr>
          <w:rFonts w:cs="Arial"/>
          <w:b/>
          <w:bCs/>
          <w:sz w:val="24"/>
          <w:szCs w:val="24"/>
        </w:rPr>
        <w:t xml:space="preserve"> </w:t>
      </w:r>
      <w:r w:rsidRPr="00007309">
        <w:rPr>
          <w:rFonts w:cs="Arial"/>
          <w:b/>
          <w:bCs/>
          <w:sz w:val="36"/>
          <w:szCs w:val="28"/>
          <w:vertAlign w:val="superscript"/>
          <w:rtl/>
        </w:rPr>
        <w:footnoteReference w:id="8359"/>
      </w:r>
      <w:r w:rsidRPr="00007309">
        <w:rPr>
          <w:rFonts w:cs="Arial"/>
          <w:b/>
          <w:bCs/>
          <w:sz w:val="24"/>
          <w:szCs w:val="24"/>
          <w:rtl/>
        </w:rPr>
        <w:t xml:space="preserve">אִיהוּ הַנֵּ'ר </w:t>
      </w:r>
      <w:r w:rsidRPr="00007309">
        <w:rPr>
          <w:rFonts w:cs="Arial"/>
          <w:b/>
          <w:bCs/>
          <w:sz w:val="36"/>
          <w:szCs w:val="28"/>
          <w:vertAlign w:val="superscript"/>
          <w:rtl/>
        </w:rPr>
        <w:footnoteReference w:id="8360"/>
      </w:r>
      <w:r w:rsidRPr="00007309">
        <w:rPr>
          <w:rFonts w:cs="Arial"/>
          <w:b/>
          <w:bCs/>
          <w:sz w:val="24"/>
          <w:szCs w:val="24"/>
          <w:rtl/>
        </w:rPr>
        <w:t xml:space="preserve">דְּאִיהוּ נָהָר יֹצֵא מֵעֵדֶן. </w:t>
      </w:r>
      <w:r w:rsidRPr="00007309">
        <w:rPr>
          <w:rFonts w:cs="Arial"/>
          <w:b/>
          <w:bCs/>
          <w:sz w:val="36"/>
          <w:szCs w:val="28"/>
          <w:vertAlign w:val="superscript"/>
          <w:rtl/>
        </w:rPr>
        <w:footnoteReference w:id="8361"/>
      </w:r>
      <w:r w:rsidRPr="00007309">
        <w:rPr>
          <w:rFonts w:cs="Arial"/>
          <w:b/>
          <w:bCs/>
          <w:sz w:val="24"/>
          <w:szCs w:val="24"/>
          <w:rtl/>
        </w:rPr>
        <w:t xml:space="preserve">וּמַאי נִיהוּ מִצְוֹת עֲשֵׂה וּמִצְוֹת לֹא תַּעֲשֶׂה כְּחֻשְׁבַּן נָהָ'ר, </w:t>
      </w:r>
      <w:r w:rsidRPr="00007309">
        <w:rPr>
          <w:rFonts w:cs="Arial"/>
          <w:b/>
          <w:bCs/>
          <w:sz w:val="36"/>
          <w:szCs w:val="28"/>
          <w:vertAlign w:val="superscript"/>
          <w:rtl/>
        </w:rPr>
        <w:footnoteReference w:id="8362"/>
      </w:r>
      <w:r w:rsidRPr="00007309">
        <w:rPr>
          <w:rFonts w:cs="Arial"/>
          <w:b/>
          <w:bCs/>
          <w:sz w:val="24"/>
          <w:szCs w:val="24"/>
          <w:rtl/>
        </w:rPr>
        <w:t xml:space="preserve">וְאִיהוּ הַנֵּר הַמֵּאִיר לְכָל אָדָם. וְעַל דָּא וּבַאֲבֹד רְשָׁעִים רִנָּה. וּבְהַהוּא זִמְנָא </w:t>
      </w:r>
      <w:r w:rsidRPr="00007309">
        <w:rPr>
          <w:rFonts w:cs="Arial"/>
          <w:b/>
          <w:bCs/>
          <w:sz w:val="36"/>
          <w:szCs w:val="28"/>
          <w:vertAlign w:val="superscript"/>
          <w:rtl/>
        </w:rPr>
        <w:footnoteReference w:id="8363"/>
      </w:r>
      <w:r w:rsidRPr="00007309">
        <w:rPr>
          <w:rFonts w:cs="Arial"/>
          <w:b/>
          <w:bCs/>
          <w:sz w:val="24"/>
          <w:szCs w:val="24"/>
          <w:rtl/>
        </w:rPr>
        <w:t xml:space="preserve">דְּהַטְחוֹל אֵינוֹ שׂוֹחֵק אָז יִמָּלֵא שְׂחוֹק פִּינוּ וּלְשׁוֹנֵנוּ רִנָּה. וַדַּאי </w:t>
      </w:r>
      <w:r w:rsidRPr="00007309">
        <w:rPr>
          <w:rFonts w:cs="Arial"/>
          <w:b/>
          <w:bCs/>
          <w:sz w:val="36"/>
          <w:szCs w:val="28"/>
          <w:vertAlign w:val="superscript"/>
          <w:rtl/>
        </w:rPr>
        <w:footnoteReference w:id="8364"/>
      </w:r>
      <w:r w:rsidRPr="00007309">
        <w:rPr>
          <w:rFonts w:cs="Arial"/>
          <w:b/>
          <w:bCs/>
          <w:sz w:val="24"/>
          <w:szCs w:val="24"/>
          <w:rtl/>
        </w:rPr>
        <w:t xml:space="preserve">וְאָז לֹא יִכְבֶּה בַּלַּיְלָה נֵרָ'הּ, </w:t>
      </w:r>
      <w:r w:rsidRPr="00007309">
        <w:rPr>
          <w:rFonts w:cs="Arial"/>
          <w:b/>
          <w:bCs/>
          <w:sz w:val="36"/>
          <w:szCs w:val="28"/>
          <w:vertAlign w:val="superscript"/>
          <w:rtl/>
        </w:rPr>
        <w:footnoteReference w:id="8365"/>
      </w:r>
      <w:r w:rsidRPr="00007309">
        <w:rPr>
          <w:rFonts w:cs="Arial"/>
          <w:b/>
          <w:bCs/>
          <w:sz w:val="24"/>
          <w:szCs w:val="24"/>
          <w:rtl/>
        </w:rPr>
        <w:t xml:space="preserve">בְּגִין דְּטַעְמָא כִּי טוֹב סַחְרָהּ. וּבְהַהוּא זִמְנָא מְתַקְּנָא יְרוּשָׁלַםִ דְּאִיהִי לִבָּא, </w:t>
      </w:r>
      <w:r w:rsidRPr="00007309">
        <w:rPr>
          <w:rFonts w:cs="Arial"/>
          <w:b/>
          <w:bCs/>
          <w:sz w:val="36"/>
          <w:szCs w:val="28"/>
          <w:vertAlign w:val="superscript"/>
          <w:rtl/>
        </w:rPr>
        <w:footnoteReference w:id="8366"/>
      </w:r>
      <w:r w:rsidRPr="00007309">
        <w:rPr>
          <w:rFonts w:cs="Arial"/>
          <w:b/>
          <w:bCs/>
          <w:sz w:val="24"/>
          <w:szCs w:val="24"/>
          <w:rtl/>
        </w:rPr>
        <w:t xml:space="preserve">הִיא הַלֵּ"ב לה"ב הַמִּזְבֵּחַ. </w:t>
      </w:r>
      <w:r w:rsidRPr="00007309">
        <w:rPr>
          <w:rFonts w:cs="Arial"/>
          <w:b/>
          <w:bCs/>
          <w:sz w:val="36"/>
          <w:szCs w:val="28"/>
          <w:vertAlign w:val="superscript"/>
          <w:rtl/>
        </w:rPr>
        <w:footnoteReference w:id="8367"/>
      </w:r>
      <w:r w:rsidRPr="00007309">
        <w:rPr>
          <w:rFonts w:cs="Arial"/>
          <w:b/>
          <w:bCs/>
          <w:sz w:val="24"/>
          <w:szCs w:val="24"/>
          <w:rtl/>
        </w:rPr>
        <w:t>יִכְבֶּ'ה כְּחֻשְׁבַּן לה'ב הַלֵּ'ב</w:t>
      </w:r>
      <w:r w:rsidRPr="00007309">
        <w:rPr>
          <w:rFonts w:cs="Arial"/>
          <w:b/>
          <w:bCs/>
          <w:sz w:val="24"/>
          <w:szCs w:val="24"/>
        </w:rPr>
        <w:t xml:space="preserve">. </w:t>
      </w:r>
      <w:r w:rsidRPr="00007309">
        <w:rPr>
          <w:rFonts w:cs="Arial"/>
          <w:b/>
          <w:bCs/>
          <w:sz w:val="24"/>
          <w:szCs w:val="24"/>
          <w:rtl/>
        </w:rPr>
        <w:t xml:space="preserve">לֹא יִכְבֶּה בַּלַּיְלָה נֵרָהּ </w:t>
      </w:r>
      <w:r w:rsidRPr="00007309">
        <w:rPr>
          <w:rFonts w:cs="Arial"/>
          <w:b/>
          <w:bCs/>
          <w:sz w:val="36"/>
          <w:szCs w:val="28"/>
          <w:vertAlign w:val="superscript"/>
          <w:rtl/>
        </w:rPr>
        <w:footnoteReference w:id="8368"/>
      </w:r>
      <w:r w:rsidRPr="00007309">
        <w:rPr>
          <w:rFonts w:cs="Arial"/>
          <w:b/>
          <w:bCs/>
          <w:sz w:val="24"/>
          <w:szCs w:val="24"/>
          <w:rtl/>
        </w:rPr>
        <w:t xml:space="preserve">דְּאִיהִי גָּלוּתָא, </w:t>
      </w:r>
      <w:r w:rsidRPr="00007309">
        <w:rPr>
          <w:rFonts w:cs="Arial"/>
          <w:b/>
          <w:bCs/>
          <w:sz w:val="36"/>
          <w:szCs w:val="28"/>
          <w:vertAlign w:val="superscript"/>
          <w:rtl/>
        </w:rPr>
        <w:footnoteReference w:id="8369"/>
      </w:r>
      <w:r w:rsidRPr="00007309">
        <w:rPr>
          <w:rFonts w:cs="Arial"/>
          <w:b/>
          <w:bCs/>
          <w:sz w:val="24"/>
          <w:szCs w:val="24"/>
          <w:rtl/>
        </w:rPr>
        <w:t xml:space="preserve">וְדָא יְרוּשָׁלַםִ דְּאִיהִי לִבָּא, </w:t>
      </w:r>
      <w:r w:rsidRPr="00007309">
        <w:rPr>
          <w:rFonts w:cs="Arial"/>
          <w:b/>
          <w:bCs/>
          <w:sz w:val="36"/>
          <w:szCs w:val="28"/>
          <w:vertAlign w:val="superscript"/>
          <w:rtl/>
        </w:rPr>
        <w:footnoteReference w:id="8370"/>
      </w:r>
      <w:r w:rsidRPr="00007309">
        <w:rPr>
          <w:rFonts w:cs="Arial"/>
          <w:b/>
          <w:bCs/>
          <w:sz w:val="24"/>
          <w:szCs w:val="24"/>
          <w:rtl/>
        </w:rPr>
        <w:t>וְאִתְבְּנִאָת עַל יְדֵי קוּדְשָׁא בְּרִיךְ הוּא הָדָא הוּא דִּכְתִיב (תהלים קמז) בּוֹנֶה יְרוּשָׁלַםִ יְיָ</w:t>
      </w:r>
      <w:r w:rsidRPr="00007309">
        <w:rPr>
          <w:rFonts w:cs="Arial"/>
          <w:b/>
          <w:bCs/>
          <w:sz w:val="24"/>
          <w:szCs w:val="24"/>
        </w:rPr>
        <w:t>:</w:t>
      </w:r>
    </w:p>
    <w:p w:rsidR="00007309" w:rsidRPr="00007309" w:rsidRDefault="00007309" w:rsidP="00007309">
      <w:pPr>
        <w:jc w:val="both"/>
        <w:rPr>
          <w:rFonts w:cs="Arial"/>
          <w:b/>
          <w:bCs/>
          <w:sz w:val="24"/>
          <w:szCs w:val="24"/>
        </w:rPr>
      </w:pPr>
      <w:r w:rsidRPr="00007309">
        <w:rPr>
          <w:rFonts w:cs="Arial"/>
          <w:b/>
          <w:bCs/>
          <w:sz w:val="24"/>
          <w:szCs w:val="24"/>
          <w:rtl/>
        </w:rPr>
        <w:t xml:space="preserve">בְּרֵאשִׁית בָּרָא אֱלֹהִים. </w:t>
      </w:r>
      <w:r w:rsidRPr="00007309">
        <w:rPr>
          <w:rFonts w:cs="Arial"/>
          <w:b/>
          <w:bCs/>
          <w:sz w:val="36"/>
          <w:szCs w:val="28"/>
          <w:vertAlign w:val="superscript"/>
          <w:rtl/>
        </w:rPr>
        <w:footnoteReference w:id="8371"/>
      </w:r>
      <w:r w:rsidRPr="00007309">
        <w:rPr>
          <w:rFonts w:cs="Arial"/>
          <w:b/>
          <w:bCs/>
          <w:sz w:val="24"/>
          <w:szCs w:val="24"/>
          <w:rtl/>
        </w:rPr>
        <w:t xml:space="preserve">בְּרִי"ת אֵ"שׁ. </w:t>
      </w:r>
      <w:r w:rsidRPr="00007309">
        <w:rPr>
          <w:rFonts w:cs="Arial"/>
          <w:b/>
          <w:bCs/>
          <w:sz w:val="36"/>
          <w:szCs w:val="28"/>
          <w:vertAlign w:val="superscript"/>
          <w:rtl/>
        </w:rPr>
        <w:footnoteReference w:id="8372"/>
      </w:r>
      <w:r w:rsidRPr="00007309">
        <w:rPr>
          <w:rFonts w:cs="Arial"/>
          <w:b/>
          <w:bCs/>
          <w:sz w:val="24"/>
          <w:szCs w:val="24"/>
          <w:rtl/>
        </w:rPr>
        <w:t xml:space="preserve">אָמַר רִבִּי אֶלְעָזָר אַבָּא רָזָא דִּבְרִית אַמַּאי שַׁוֵּי עָרְלָה בְּמָאנָא דעַפְרָא. אָמַר לוֹ בְּרִי יוֹמָא חֲדָא שָׂכִילְנָא לְאֵלִיָּהוּ שָׁאִילְנָא לֵהּ עָרְלָה אָמְרֵי תַּקִּינוּ לֵהּ מָאנָא בְּעַפְרָא. אָמַר לִי עָרְלָה וַדַּאי אִיהוּ בַּת זוּגֵהּ דְּנָחָשׁ הַקַּדְמוֹנִי, דְּגָרִים מִיתָא לָאָדָם וּלְכָל בִּרְיָן. וּבְגִינֵהּ מְתַקְּנִין מָאנָא דְּעַפְרָא, וְהַהוּא עַפְרָא מְזוֹנָא לְהַהוּא דְּאִתְּמַר בֵּהּ וְנָחָשׁ עָפָר לַחְמוֹ, וּבְדָא אִתְפְּרַשׁ מִבַּר נָשׁ. וְעָלֵהּ אִתְּמַר (שמות כ) לֹא תִנְאַף לָא תֵּיהַב לֵהּ אֲתַר דְּאִתְהֲנֵי מִנֵּהּ, אֶלָּא דְּיָהִיב לֵהּ מְזוֹנָא לְבַר. וּבְגִין דָּא פָּלִיג </w:t>
      </w:r>
      <w:r w:rsidRPr="00007309">
        <w:rPr>
          <w:rFonts w:cs="Arial"/>
          <w:b/>
          <w:bCs/>
          <w:sz w:val="36"/>
          <w:szCs w:val="28"/>
          <w:vertAlign w:val="superscript"/>
          <w:rtl/>
        </w:rPr>
        <w:footnoteReference w:id="8373"/>
      </w:r>
      <w:r w:rsidRPr="00007309">
        <w:rPr>
          <w:rFonts w:cs="Arial"/>
          <w:b/>
          <w:bCs/>
          <w:sz w:val="24"/>
          <w:szCs w:val="24"/>
          <w:rtl/>
        </w:rPr>
        <w:t xml:space="preserve">לֹא תֵּ'ן אַ'ף, לָא תֵּיהַב לֵהּ אַתְרָא פְּרִיעָה נוּקְבָא דְּסַמָּאֵל אוֹשִׁיד דָּמָא, עָלֵהּ אִתְּמַר לֹא תִרְצַח, </w:t>
      </w:r>
      <w:r w:rsidRPr="00007309">
        <w:rPr>
          <w:rFonts w:cs="Arial"/>
          <w:b/>
          <w:bCs/>
          <w:sz w:val="36"/>
          <w:szCs w:val="28"/>
          <w:vertAlign w:val="superscript"/>
          <w:rtl/>
        </w:rPr>
        <w:footnoteReference w:id="8374"/>
      </w:r>
      <w:r w:rsidRPr="00007309">
        <w:rPr>
          <w:rFonts w:cs="Arial"/>
          <w:b/>
          <w:bCs/>
          <w:sz w:val="24"/>
          <w:szCs w:val="24"/>
          <w:rtl/>
        </w:rPr>
        <w:t>כַּלְבָּא צָרִיךְ לְמֵיהַב לֵהּ דָּמָא לְדָא עַפְרָא וּלְדָא דָּמָא לְקַיְּמָא בְּהוֹן (משלי כה) אִם רָעֵב שֹׂנַאֲךָ הַאֲכִילֵהוּ לֶחֶם וְאִם</w:t>
      </w:r>
      <w:r w:rsidRPr="00007309">
        <w:rPr>
          <w:rFonts w:cs="Arial"/>
          <w:b/>
          <w:bCs/>
          <w:sz w:val="24"/>
          <w:szCs w:val="28"/>
        </w:rPr>
        <w:t xml:space="preserve"> </w:t>
      </w:r>
      <w:r w:rsidRPr="00007309">
        <w:rPr>
          <w:rFonts w:cs="Arial"/>
          <w:b/>
          <w:bCs/>
          <w:sz w:val="24"/>
          <w:szCs w:val="24"/>
          <w:rtl/>
        </w:rPr>
        <w:t xml:space="preserve">צָמֵא הַשְׁקֵהוּ מַיִם. </w:t>
      </w:r>
      <w:r w:rsidRPr="00007309">
        <w:rPr>
          <w:rFonts w:cs="Arial"/>
          <w:b/>
          <w:bCs/>
          <w:sz w:val="36"/>
          <w:szCs w:val="28"/>
          <w:vertAlign w:val="superscript"/>
          <w:rtl/>
        </w:rPr>
        <w:footnoteReference w:id="8375"/>
      </w:r>
      <w:r w:rsidRPr="00007309">
        <w:rPr>
          <w:rFonts w:cs="Arial"/>
          <w:b/>
          <w:bCs/>
          <w:sz w:val="24"/>
          <w:szCs w:val="24"/>
          <w:rtl/>
        </w:rPr>
        <w:t xml:space="preserve">וְכֹלָּא לְבַר וּבְדָא שֵׁזִיב מִנְּהוֹן מִחִבּוּט הַקֶּבֶר </w:t>
      </w:r>
      <w:r w:rsidRPr="00007309">
        <w:rPr>
          <w:rFonts w:cs="Arial"/>
          <w:b/>
          <w:bCs/>
          <w:sz w:val="36"/>
          <w:szCs w:val="28"/>
          <w:vertAlign w:val="superscript"/>
          <w:rtl/>
        </w:rPr>
        <w:footnoteReference w:id="8376"/>
      </w:r>
      <w:r w:rsidRPr="00007309">
        <w:rPr>
          <w:rFonts w:cs="Arial"/>
          <w:b/>
          <w:bCs/>
          <w:sz w:val="24"/>
          <w:szCs w:val="24"/>
          <w:rtl/>
        </w:rPr>
        <w:t xml:space="preserve">וּמִחַרְבָּא דְּמַלְאָךְ הַמָּוֶת. הַאי אִיהוּ לְחַיָּבָא. אֲבָל לַבֵּינוֹנִיִּים הַאי דָּמָא אִתְחֲשִׁיב לֵהּ דָּמָא דְּקֻרְבְּנָא. וְהַאי עַפְרָא אִתְחֲשִׁיב לֵהּ עַפְרָא דְּמַדְבְּחָא. הָדָא הוּא דִּכְתִיב (שמות כ) מִזְבַּח אֲדָמָה תַּעֲשֶׂה לִי וְגוֹ'. וְאִתְּמַר בְּהוֹן לֹא תִּבְנֶה אֶתְהֶן גָּזִית. </w:t>
      </w:r>
      <w:r w:rsidRPr="00007309">
        <w:rPr>
          <w:rFonts w:cs="Arial"/>
          <w:b/>
          <w:bCs/>
          <w:sz w:val="36"/>
          <w:szCs w:val="28"/>
          <w:vertAlign w:val="superscript"/>
          <w:rtl/>
        </w:rPr>
        <w:footnoteReference w:id="8377"/>
      </w:r>
      <w:r w:rsidRPr="00007309">
        <w:rPr>
          <w:rFonts w:cs="Arial"/>
          <w:b/>
          <w:bCs/>
          <w:sz w:val="24"/>
          <w:szCs w:val="24"/>
          <w:rtl/>
        </w:rPr>
        <w:t xml:space="preserve">בְּגִין דְּלֹא תַעֲשֶׂה לְךָ פֶּסֶל, וְדָא דְּנִדָּה אוֹ שִׁפְחָה אוֹ גּוֹיָה אוֹ זוֹנָה כִּי חַרְבְּךָ הֵנַפְתָּ עָלֶיהָ וַתְּחַלְּלֶיהָ, </w:t>
      </w:r>
      <w:r w:rsidRPr="00007309">
        <w:rPr>
          <w:rFonts w:cs="Arial"/>
          <w:b/>
          <w:bCs/>
          <w:sz w:val="36"/>
          <w:szCs w:val="28"/>
          <w:vertAlign w:val="superscript"/>
          <w:rtl/>
        </w:rPr>
        <w:footnoteReference w:id="8378"/>
      </w:r>
      <w:r w:rsidRPr="00007309">
        <w:rPr>
          <w:rFonts w:cs="Arial"/>
          <w:b/>
          <w:bCs/>
          <w:sz w:val="24"/>
          <w:szCs w:val="24"/>
          <w:rtl/>
        </w:rPr>
        <w:t xml:space="preserve">כְּלוֹמַר מְחַלֵּל שַׁבָּת לְצַדִּיקַיָּא דְּלֵית בְּהוֹן זֻהֲמָא דְּנָחָשׁ אִתְעֲבִיד </w:t>
      </w:r>
      <w:r w:rsidRPr="00007309">
        <w:rPr>
          <w:rFonts w:cs="Arial"/>
          <w:b/>
          <w:bCs/>
          <w:sz w:val="36"/>
          <w:szCs w:val="28"/>
          <w:vertAlign w:val="superscript"/>
          <w:rtl/>
        </w:rPr>
        <w:footnoteReference w:id="8379"/>
      </w:r>
      <w:r w:rsidRPr="00007309">
        <w:rPr>
          <w:rFonts w:cs="Arial"/>
          <w:b/>
          <w:bCs/>
          <w:sz w:val="24"/>
          <w:szCs w:val="24"/>
          <w:rtl/>
        </w:rPr>
        <w:t xml:space="preserve">בִּקְדֻשָּׁה וּבְרָכָה וְיִחוּד. בַּאֲתַר דִּפְרִיעָה </w:t>
      </w:r>
      <w:r w:rsidRPr="00007309">
        <w:rPr>
          <w:rFonts w:cs="Arial"/>
          <w:b/>
          <w:bCs/>
          <w:sz w:val="36"/>
          <w:szCs w:val="28"/>
          <w:vertAlign w:val="superscript"/>
          <w:rtl/>
        </w:rPr>
        <w:footnoteReference w:id="8380"/>
      </w:r>
      <w:r w:rsidRPr="00007309">
        <w:rPr>
          <w:rFonts w:cs="Arial"/>
          <w:b/>
          <w:bCs/>
          <w:sz w:val="24"/>
          <w:szCs w:val="24"/>
          <w:rtl/>
        </w:rPr>
        <w:t xml:space="preserve">שַׁרְיָא בְּהוּ יָ'הּ. וּבַאֲתַר דְּעָרְלָה שַׁרְיָא בְּהוּ וָ'הּ. וְרָזָא דְּמִלָּה </w:t>
      </w:r>
      <w:r w:rsidRPr="00007309">
        <w:rPr>
          <w:rFonts w:cs="Arial"/>
          <w:b/>
          <w:bCs/>
          <w:sz w:val="36"/>
          <w:szCs w:val="28"/>
          <w:vertAlign w:val="superscript"/>
          <w:rtl/>
        </w:rPr>
        <w:footnoteReference w:id="8381"/>
      </w:r>
      <w:r w:rsidRPr="00007309">
        <w:rPr>
          <w:rFonts w:cs="Arial"/>
          <w:b/>
          <w:bCs/>
          <w:sz w:val="24"/>
          <w:szCs w:val="24"/>
          <w:rtl/>
        </w:rPr>
        <w:t xml:space="preserve">מִ'י יַעֲלֶ'ה לָנ'וּ הַשָּׁמַיְמָ'ה בס"ת יְהוָֹ'ה, </w:t>
      </w:r>
      <w:r w:rsidRPr="00007309">
        <w:rPr>
          <w:rFonts w:cs="Arial"/>
          <w:b/>
          <w:bCs/>
          <w:sz w:val="36"/>
          <w:szCs w:val="28"/>
          <w:vertAlign w:val="superscript"/>
          <w:rtl/>
        </w:rPr>
        <w:footnoteReference w:id="8382"/>
      </w:r>
      <w:r w:rsidRPr="00007309">
        <w:rPr>
          <w:rFonts w:cs="Arial"/>
          <w:b/>
          <w:bCs/>
          <w:sz w:val="24"/>
          <w:szCs w:val="24"/>
          <w:rtl/>
        </w:rPr>
        <w:t xml:space="preserve">כְּמוֹ מִי יַעֲלֶה בְּהַר ה'. </w:t>
      </w:r>
      <w:r w:rsidRPr="00007309">
        <w:rPr>
          <w:rFonts w:cs="Arial"/>
          <w:b/>
          <w:bCs/>
          <w:sz w:val="36"/>
          <w:szCs w:val="28"/>
          <w:vertAlign w:val="superscript"/>
          <w:rtl/>
        </w:rPr>
        <w:footnoteReference w:id="8383"/>
      </w:r>
      <w:r w:rsidRPr="00007309">
        <w:rPr>
          <w:rFonts w:cs="Arial"/>
          <w:b/>
          <w:bCs/>
          <w:sz w:val="24"/>
          <w:szCs w:val="24"/>
          <w:rtl/>
        </w:rPr>
        <w:t xml:space="preserve">נַפְשׁוֹ הַהוּא דְּאִתְּמַר בֵּהּ נִשְׁבַּע ה' בְּנַפְשׁוֹ. </w:t>
      </w:r>
      <w:r w:rsidRPr="00007309">
        <w:rPr>
          <w:rFonts w:cs="Arial"/>
          <w:b/>
          <w:bCs/>
          <w:sz w:val="36"/>
          <w:szCs w:val="28"/>
          <w:vertAlign w:val="superscript"/>
          <w:rtl/>
        </w:rPr>
        <w:footnoteReference w:id="8384"/>
      </w:r>
      <w:r w:rsidRPr="00007309">
        <w:rPr>
          <w:rFonts w:cs="Arial"/>
          <w:b/>
          <w:bCs/>
          <w:sz w:val="24"/>
          <w:szCs w:val="24"/>
          <w:rtl/>
        </w:rPr>
        <w:t xml:space="preserve">וְעָלֵהּ אִתְּמַר (דברים ד) וְאַתֶּם הַדְּבֵקִים בַּה' אֱלֹהֵיכֶם </w:t>
      </w:r>
      <w:r w:rsidRPr="00007309">
        <w:rPr>
          <w:rFonts w:cs="Arial"/>
          <w:b/>
          <w:bCs/>
          <w:sz w:val="36"/>
          <w:szCs w:val="28"/>
          <w:vertAlign w:val="superscript"/>
          <w:rtl/>
        </w:rPr>
        <w:footnoteReference w:id="8385"/>
      </w:r>
      <w:r w:rsidRPr="00007309">
        <w:rPr>
          <w:rFonts w:cs="Arial"/>
          <w:b/>
          <w:bCs/>
          <w:sz w:val="24"/>
          <w:szCs w:val="24"/>
          <w:rtl/>
        </w:rPr>
        <w:t>חַיִּים כֻּלְּכֶם הַיּוֹם</w:t>
      </w:r>
      <w:r w:rsidRPr="00007309">
        <w:rPr>
          <w:rFonts w:cs="Arial"/>
          <w:b/>
          <w:bCs/>
          <w:sz w:val="24"/>
          <w:szCs w:val="24"/>
        </w:rPr>
        <w:t>:</w:t>
      </w:r>
    </w:p>
    <w:p w:rsidR="00007309" w:rsidRPr="00007309" w:rsidRDefault="00007309" w:rsidP="00007309">
      <w:pPr>
        <w:jc w:val="both"/>
        <w:rPr>
          <w:rFonts w:cs="Arial"/>
          <w:sz w:val="24"/>
          <w:szCs w:val="24"/>
        </w:rPr>
      </w:pPr>
      <w:r w:rsidRPr="00007309">
        <w:rPr>
          <w:rFonts w:cs="Arial"/>
          <w:sz w:val="24"/>
          <w:szCs w:val="24"/>
          <w:rtl/>
        </w:rPr>
        <w:t>(אמ"ז כתוב בסדר ההגהות אשר בידי שמכאן ואילך הם ליקוטים)</w:t>
      </w:r>
    </w:p>
    <w:p w:rsidR="00007309" w:rsidRPr="00007309" w:rsidRDefault="00007309" w:rsidP="00007309">
      <w:pPr>
        <w:keepNext/>
        <w:outlineLvl w:val="1"/>
        <w:rPr>
          <w:rFonts w:ascii="Cambria" w:hAnsi="Cambria" w:cs="Times New Roman"/>
          <w:b/>
          <w:bCs/>
          <w:i/>
          <w:iCs/>
          <w:sz w:val="28"/>
          <w:szCs w:val="28"/>
          <w:rtl/>
        </w:rPr>
      </w:pPr>
      <w:r w:rsidRPr="00007309">
        <w:rPr>
          <w:rFonts w:ascii="Cambria" w:hAnsi="Cambria" w:cs="Times New Roman"/>
          <w:b/>
          <w:bCs/>
          <w:i/>
          <w:iCs/>
          <w:sz w:val="28"/>
          <w:szCs w:val="28"/>
          <w:rtl/>
        </w:rPr>
        <w:t>[</w:t>
      </w:r>
      <w:r w:rsidRPr="00007309">
        <w:rPr>
          <w:rFonts w:ascii="Cambria" w:hAnsi="Cambria" w:cs="Times New Roman" w:hint="cs"/>
          <w:b/>
          <w:bCs/>
          <w:i/>
          <w:iCs/>
          <w:sz w:val="28"/>
          <w:szCs w:val="28"/>
          <w:rtl/>
        </w:rPr>
        <w:t>דף</w:t>
      </w:r>
      <w:r w:rsidRPr="00007309">
        <w:rPr>
          <w:rFonts w:ascii="Cambria" w:hAnsi="Cambria" w:cs="Times New Roman"/>
          <w:b/>
          <w:bCs/>
          <w:i/>
          <w:iCs/>
          <w:sz w:val="28"/>
          <w:szCs w:val="28"/>
          <w:rtl/>
        </w:rPr>
        <w:t xml:space="preserve"> </w:t>
      </w:r>
      <w:r w:rsidRPr="00007309">
        <w:rPr>
          <w:rFonts w:ascii="Cambria" w:hAnsi="Cambria" w:cs="Times New Roman" w:hint="cs"/>
          <w:b/>
          <w:bCs/>
          <w:i/>
          <w:iCs/>
          <w:sz w:val="28"/>
          <w:szCs w:val="28"/>
          <w:rtl/>
        </w:rPr>
        <w:t>פז</w:t>
      </w:r>
      <w:r w:rsidRPr="00007309">
        <w:rPr>
          <w:rFonts w:ascii="Cambria" w:hAnsi="Cambria" w:cs="Times New Roman"/>
          <w:b/>
          <w:bCs/>
          <w:i/>
          <w:iCs/>
          <w:sz w:val="28"/>
          <w:szCs w:val="28"/>
          <w:rtl/>
        </w:rPr>
        <w:t xml:space="preserve"> ע"</w:t>
      </w:r>
      <w:r w:rsidRPr="00007309">
        <w:rPr>
          <w:rFonts w:ascii="Cambria" w:hAnsi="Cambria" w:cs="Times New Roman" w:hint="cs"/>
          <w:b/>
          <w:bCs/>
          <w:i/>
          <w:iCs/>
          <w:sz w:val="28"/>
          <w:szCs w:val="28"/>
          <w:rtl/>
        </w:rPr>
        <w:t>א</w:t>
      </w:r>
      <w:r w:rsidRPr="00007309">
        <w:rPr>
          <w:rFonts w:ascii="Cambria" w:hAnsi="Cambria" w:cs="Times New Roman"/>
          <w:b/>
          <w:bCs/>
          <w:i/>
          <w:iCs/>
          <w:sz w:val="28"/>
          <w:szCs w:val="28"/>
          <w:rtl/>
        </w:rPr>
        <w:t>]</w:t>
      </w:r>
    </w:p>
    <w:p w:rsidR="00007309" w:rsidRPr="00007309" w:rsidRDefault="00007309" w:rsidP="00007309">
      <w:pPr>
        <w:keepNext/>
        <w:spacing w:after="60"/>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 xml:space="preserve"> [וילנא מג ע"ב]</w:t>
      </w:r>
    </w:p>
    <w:p w:rsidR="00007309" w:rsidRPr="00007309" w:rsidRDefault="00007309" w:rsidP="00007309">
      <w:pPr>
        <w:jc w:val="both"/>
        <w:rPr>
          <w:rFonts w:cs="Arial"/>
          <w:b/>
          <w:bCs/>
          <w:sz w:val="24"/>
          <w:szCs w:val="24"/>
          <w:rtl/>
        </w:rPr>
      </w:pPr>
      <w:r w:rsidRPr="00007309">
        <w:rPr>
          <w:rFonts w:cs="Arial"/>
          <w:b/>
          <w:bCs/>
          <w:sz w:val="24"/>
          <w:szCs w:val="24"/>
          <w:rtl/>
        </w:rPr>
        <w:t xml:space="preserve">פָּתַח רִבִּי שִׁמְעוֹן וְאָמַר (ישעיה מג) כָּל הַנִּקְרָא בִּשְׁמִי וְלִכְבוֹדִי בְּרָאתִיו וְגוֹ'. תָּא חֲזֵי יְקָרָא דְּמַלְכָּא עִלָּאָה </w:t>
      </w:r>
      <w:r w:rsidRPr="00007309">
        <w:rPr>
          <w:rFonts w:cs="Arial"/>
          <w:b/>
          <w:bCs/>
          <w:sz w:val="36"/>
          <w:szCs w:val="28"/>
          <w:vertAlign w:val="superscript"/>
          <w:rtl/>
        </w:rPr>
        <w:footnoteReference w:id="8386"/>
      </w:r>
      <w:r w:rsidRPr="00007309">
        <w:rPr>
          <w:rFonts w:cs="Arial"/>
          <w:b/>
          <w:bCs/>
          <w:sz w:val="24"/>
          <w:szCs w:val="24"/>
          <w:rtl/>
        </w:rPr>
        <w:t xml:space="preserve">כַּד בָּרָא כֻּלְּהוּ עָלְמִין בְּרָזָא דִּשְׁמָא קַדִּישָׁא, יָהַב לוֹן חֵילָא לְאַנְהָגָא עָלְמָא. </w:t>
      </w:r>
      <w:r w:rsidRPr="00007309">
        <w:rPr>
          <w:rFonts w:cs="Arial"/>
          <w:b/>
          <w:bCs/>
          <w:sz w:val="36"/>
          <w:szCs w:val="28"/>
          <w:vertAlign w:val="superscript"/>
          <w:rtl/>
        </w:rPr>
        <w:footnoteReference w:id="8387"/>
      </w:r>
      <w:r w:rsidRPr="00007309">
        <w:rPr>
          <w:rFonts w:cs="Arial"/>
          <w:b/>
          <w:bCs/>
          <w:sz w:val="24"/>
          <w:szCs w:val="24"/>
          <w:rtl/>
        </w:rPr>
        <w:t xml:space="preserve">וּבָרָא עָלְמָא עִלָּאָה בְּרָזָא דְּיוֹ"ד וְעָלְמָא תַּתָּאָה בְּרָזָא דְּהֵ"א. הָדָא הוּא דִּכְתִיב </w:t>
      </w:r>
      <w:r w:rsidRPr="00007309">
        <w:rPr>
          <w:rFonts w:cs="Arial" w:hint="cs"/>
          <w:b/>
          <w:bCs/>
          <w:sz w:val="24"/>
          <w:szCs w:val="24"/>
          <w:rtl/>
        </w:rPr>
        <w:t xml:space="preserve">(ישעיה כו ד) </w:t>
      </w:r>
      <w:r w:rsidRPr="00007309">
        <w:rPr>
          <w:rFonts w:cs="Arial"/>
          <w:b/>
          <w:bCs/>
          <w:sz w:val="24"/>
          <w:szCs w:val="24"/>
          <w:rtl/>
        </w:rPr>
        <w:t>כִּי בְּ</w:t>
      </w:r>
      <w:r w:rsidRPr="00007309">
        <w:rPr>
          <w:rFonts w:cs="Arial" w:hint="cs"/>
          <w:b/>
          <w:bCs/>
          <w:sz w:val="24"/>
          <w:szCs w:val="24"/>
          <w:rtl/>
        </w:rPr>
        <w:t>י</w:t>
      </w:r>
      <w:r w:rsidRPr="00007309">
        <w:rPr>
          <w:rFonts w:cs="Arial"/>
          <w:b/>
          <w:bCs/>
          <w:sz w:val="24"/>
          <w:szCs w:val="24"/>
          <w:rtl/>
        </w:rPr>
        <w:t xml:space="preserve">ָהּ ה' צוּר עוֹלָמִים. וְאִתְנַהֲגוּתָא </w:t>
      </w:r>
      <w:r w:rsidRPr="00007309">
        <w:rPr>
          <w:rFonts w:cs="Arial"/>
          <w:b/>
          <w:bCs/>
          <w:sz w:val="36"/>
          <w:szCs w:val="28"/>
          <w:vertAlign w:val="superscript"/>
          <w:rtl/>
        </w:rPr>
        <w:footnoteReference w:id="8388"/>
      </w:r>
      <w:r w:rsidRPr="00007309">
        <w:rPr>
          <w:rFonts w:cs="Arial"/>
          <w:b/>
          <w:bCs/>
          <w:sz w:val="24"/>
          <w:szCs w:val="24"/>
          <w:rtl/>
        </w:rPr>
        <w:t xml:space="preserve">דְּהַאי עָלְמָא תַּתָּאָה </w:t>
      </w:r>
      <w:r w:rsidRPr="00007309">
        <w:rPr>
          <w:rFonts w:ascii="Cambria" w:hAnsi="Cambria" w:cs="Times New Roman"/>
          <w:b/>
          <w:bCs/>
          <w:i/>
          <w:iCs/>
          <w:color w:val="4F81BD"/>
          <w:sz w:val="24"/>
          <w:szCs w:val="24"/>
          <w:rtl/>
        </w:rPr>
        <w:t>(</w:t>
      </w:r>
      <w:r w:rsidRPr="00007309">
        <w:rPr>
          <w:rFonts w:ascii="Cambria" w:hAnsi="Cambria" w:cs="Times New Roman" w:hint="cs"/>
          <w:b/>
          <w:bCs/>
          <w:i/>
          <w:iCs/>
          <w:color w:val="4F81BD"/>
          <w:sz w:val="24"/>
          <w:szCs w:val="24"/>
          <w:rtl/>
        </w:rPr>
        <w:t>פז</w:t>
      </w:r>
      <w:r w:rsidRPr="00007309">
        <w:rPr>
          <w:rFonts w:ascii="Cambria" w:hAnsi="Cambria" w:cs="Times New Roman"/>
          <w:b/>
          <w:bCs/>
          <w:i/>
          <w:iCs/>
          <w:color w:val="4F81BD"/>
          <w:sz w:val="24"/>
          <w:szCs w:val="24"/>
          <w:rtl/>
        </w:rPr>
        <w:t xml:space="preserve"> ע"</w:t>
      </w:r>
      <w:r w:rsidRPr="00007309">
        <w:rPr>
          <w:rFonts w:ascii="Cambria" w:hAnsi="Cambria" w:cs="Times New Roman" w:hint="cs"/>
          <w:b/>
          <w:bCs/>
          <w:i/>
          <w:iCs/>
          <w:color w:val="4F81BD"/>
          <w:sz w:val="24"/>
          <w:szCs w:val="24"/>
          <w:rtl/>
        </w:rPr>
        <w:t>א</w:t>
      </w:r>
      <w:r w:rsidRPr="00007309">
        <w:rPr>
          <w:rFonts w:ascii="Cambria" w:hAnsi="Cambria" w:cs="Times New Roman"/>
          <w:b/>
          <w:bCs/>
          <w:i/>
          <w:iCs/>
          <w:color w:val="4F81BD"/>
          <w:sz w:val="24"/>
          <w:szCs w:val="24"/>
          <w:rtl/>
        </w:rPr>
        <w:t>)</w:t>
      </w:r>
      <w:r w:rsidRPr="00007309">
        <w:rPr>
          <w:rFonts w:cs="Arial"/>
          <w:b/>
          <w:bCs/>
          <w:sz w:val="24"/>
          <w:szCs w:val="24"/>
          <w:rtl/>
        </w:rPr>
        <w:t xml:space="preserve"> אַחֲוֵי בְּאַנְהָגוּתֵהּ חֵילָא דְּאִתְיְהִיב לֵהּ מִלְּעֵלָּא לְּעֵלָּא</w:t>
      </w:r>
      <w:r w:rsidRPr="00007309">
        <w:rPr>
          <w:rFonts w:cs="Arial" w:hint="cs"/>
          <w:b/>
          <w:bCs/>
          <w:sz w:val="24"/>
          <w:szCs w:val="24"/>
          <w:rtl/>
        </w:rPr>
        <w:t xml:space="preserve"> (</w:t>
      </w:r>
      <w:r w:rsidRPr="00007309">
        <w:rPr>
          <w:rFonts w:cs="Arial"/>
          <w:b/>
          <w:bCs/>
          <w:sz w:val="24"/>
          <w:szCs w:val="24"/>
          <w:rtl/>
        </w:rPr>
        <w:t>לְעוֹלָה</w:t>
      </w:r>
      <w:r w:rsidRPr="00007309">
        <w:rPr>
          <w:rFonts w:cs="Arial"/>
          <w:b/>
          <w:bCs/>
          <w:sz w:val="24"/>
          <w:szCs w:val="24"/>
        </w:rPr>
        <w:t>(</w:t>
      </w:r>
      <w:r w:rsidRPr="00007309">
        <w:rPr>
          <w:rFonts w:cs="Arial" w:hint="cs"/>
          <w:b/>
          <w:bCs/>
          <w:sz w:val="24"/>
          <w:szCs w:val="24"/>
          <w:rtl/>
        </w:rPr>
        <w:t xml:space="preserve">. </w:t>
      </w:r>
      <w:r w:rsidRPr="00007309">
        <w:rPr>
          <w:rFonts w:cs="Arial"/>
          <w:b/>
          <w:bCs/>
          <w:sz w:val="24"/>
          <w:szCs w:val="24"/>
          <w:rtl/>
        </w:rPr>
        <w:t xml:space="preserve">אִי בַּר נָשׁ אֲהַנֵּי לְקוּדְשָׁא בְּרִיךְ הוּא בְּקָרְבְּנִין דִּצְלוֹתָא. הָכֵי קוּדְשָׁא בְּרִיךְ הוּא אֲהַנֵּי לֵהּ מַאֲכָלִין זְהִירִין בְּהַהוּא עָלְמָא, </w:t>
      </w:r>
      <w:r w:rsidRPr="00007309">
        <w:rPr>
          <w:rFonts w:cs="Arial"/>
          <w:b/>
          <w:bCs/>
          <w:sz w:val="36"/>
          <w:szCs w:val="28"/>
          <w:vertAlign w:val="superscript"/>
          <w:rtl/>
        </w:rPr>
        <w:footnoteReference w:id="8389"/>
      </w:r>
      <w:r w:rsidRPr="00007309">
        <w:rPr>
          <w:rFonts w:cs="Arial"/>
          <w:b/>
          <w:bCs/>
          <w:sz w:val="24"/>
          <w:szCs w:val="24"/>
          <w:rtl/>
        </w:rPr>
        <w:t>מְזוֹנָא דִּלְעֵלָּא, מַאֲכָלִין לְנִשְׁמְתָא מֵרָזִין דְּאוֹרַיְתָא. בַּר נָשׁ דְּעַבִיד דִּירָה לְקוּדְשָׁא בְּרִיךְ הוּא וְלִשְׁכִינְתֵּהּ וּלְחֵי</w:t>
      </w:r>
      <w:r w:rsidRPr="00007309">
        <w:rPr>
          <w:rFonts w:cs="Arial" w:hint="cs"/>
          <w:b/>
          <w:bCs/>
          <w:sz w:val="24"/>
          <w:szCs w:val="24"/>
          <w:rtl/>
        </w:rPr>
        <w:t>י</w:t>
      </w:r>
      <w:r w:rsidRPr="00007309">
        <w:rPr>
          <w:rFonts w:cs="Arial"/>
          <w:b/>
          <w:bCs/>
          <w:sz w:val="24"/>
          <w:szCs w:val="24"/>
          <w:rtl/>
        </w:rPr>
        <w:t xml:space="preserve">לוֹי </w:t>
      </w:r>
      <w:r w:rsidRPr="00007309">
        <w:rPr>
          <w:rFonts w:ascii="Cambria" w:hAnsi="Cambria" w:cs="Times New Roman"/>
          <w:b/>
          <w:bCs/>
          <w:i/>
          <w:iCs/>
          <w:color w:val="4F81BD"/>
          <w:sz w:val="24"/>
          <w:szCs w:val="24"/>
          <w:rtl/>
        </w:rPr>
        <w:t>(</w:t>
      </w:r>
      <w:r w:rsidRPr="00007309">
        <w:rPr>
          <w:rFonts w:ascii="Cambria" w:hAnsi="Cambria" w:cs="Times New Roman" w:hint="cs"/>
          <w:b/>
          <w:bCs/>
          <w:i/>
          <w:iCs/>
          <w:color w:val="4F81BD"/>
          <w:sz w:val="24"/>
          <w:szCs w:val="24"/>
          <w:rtl/>
        </w:rPr>
        <w:t>וילנא מג</w:t>
      </w:r>
      <w:r w:rsidRPr="00007309">
        <w:rPr>
          <w:rFonts w:ascii="Cambria" w:hAnsi="Cambria" w:cs="Times New Roman"/>
          <w:b/>
          <w:bCs/>
          <w:i/>
          <w:iCs/>
          <w:color w:val="4F81BD"/>
          <w:sz w:val="24"/>
          <w:szCs w:val="24"/>
          <w:rtl/>
        </w:rPr>
        <w:t xml:space="preserve"> ע"</w:t>
      </w:r>
      <w:r w:rsidRPr="00007309">
        <w:rPr>
          <w:rFonts w:ascii="Cambria" w:hAnsi="Cambria" w:cs="Times New Roman" w:hint="cs"/>
          <w:b/>
          <w:bCs/>
          <w:i/>
          <w:iCs/>
          <w:color w:val="4F81BD"/>
          <w:sz w:val="24"/>
          <w:szCs w:val="24"/>
          <w:rtl/>
        </w:rPr>
        <w:t>ב</w:t>
      </w:r>
      <w:r w:rsidRPr="00007309">
        <w:rPr>
          <w:rFonts w:ascii="Cambria" w:hAnsi="Cambria" w:cs="Times New Roman"/>
          <w:b/>
          <w:bCs/>
          <w:i/>
          <w:iCs/>
          <w:color w:val="4F81BD"/>
          <w:sz w:val="24"/>
          <w:szCs w:val="24"/>
          <w:rtl/>
        </w:rPr>
        <w:t>)</w:t>
      </w:r>
      <w:r w:rsidRPr="00007309">
        <w:rPr>
          <w:rFonts w:cs="Arial"/>
          <w:b/>
          <w:bCs/>
          <w:sz w:val="24"/>
          <w:szCs w:val="24"/>
          <w:rtl/>
        </w:rPr>
        <w:t xml:space="preserve"> בְּשַׁבָּתוֹת. כְּמָא דְּאַתְּ</w:t>
      </w:r>
      <w:r w:rsidRPr="00007309">
        <w:rPr>
          <w:rFonts w:cs="Arial" w:hint="cs"/>
          <w:b/>
          <w:bCs/>
          <w:sz w:val="24"/>
          <w:szCs w:val="24"/>
          <w:rtl/>
        </w:rPr>
        <w:t xml:space="preserve"> א</w:t>
      </w:r>
      <w:r w:rsidRPr="00007309">
        <w:rPr>
          <w:rFonts w:cs="Arial"/>
          <w:b/>
          <w:bCs/>
          <w:sz w:val="24"/>
          <w:szCs w:val="24"/>
          <w:rtl/>
        </w:rPr>
        <w:t xml:space="preserve">ָמַר וְשָׁמְרוּ בְּנֵי יִשְׂרָאֵל אֶת הַשַּׁבָּת לַעֲשׂוֹת אֶת הַשַּׁבָּת לְדֹרֹתָם, </w:t>
      </w:r>
      <w:r w:rsidRPr="00007309">
        <w:rPr>
          <w:rFonts w:cs="Arial"/>
          <w:b/>
          <w:bCs/>
          <w:sz w:val="36"/>
          <w:szCs w:val="28"/>
          <w:vertAlign w:val="superscript"/>
          <w:rtl/>
        </w:rPr>
        <w:footnoteReference w:id="8390"/>
      </w:r>
      <w:r w:rsidRPr="00007309">
        <w:rPr>
          <w:rFonts w:cs="Arial"/>
          <w:b/>
          <w:bCs/>
          <w:sz w:val="24"/>
          <w:szCs w:val="24"/>
          <w:rtl/>
        </w:rPr>
        <w:t>לִישְׁנָא דְּדִירָה</w:t>
      </w:r>
      <w:r w:rsidRPr="00007309">
        <w:rPr>
          <w:rFonts w:cs="Arial" w:hint="cs"/>
          <w:b/>
          <w:bCs/>
          <w:sz w:val="24"/>
          <w:szCs w:val="24"/>
          <w:rtl/>
        </w:rPr>
        <w:t>,</w:t>
      </w:r>
      <w:r w:rsidRPr="00007309">
        <w:rPr>
          <w:rFonts w:cs="Arial"/>
          <w:b/>
          <w:bCs/>
          <w:sz w:val="24"/>
          <w:szCs w:val="24"/>
          <w:rtl/>
        </w:rPr>
        <w:t xml:space="preserve"> הָכֵי קוּדְשָׁא בְּרִיךְ הוּא תַּקִּין לֵהּ דִּירָה בְּהַהוּא עָלְמָא וּלְכָל דְּאָתְיָן עִמֵּהּ. דִּכְמָא דְּבַר נָשׁ עָבִיד נַיְיחָא לְקוּדְשָׁא בְּרִיךְ הוּא וְלִשְׁכִינְתֵּהּ בְּשַׁבָּת, הָכֵי קוּדְשָׁא בְּרִיךְ הוּא עָבִיד לֵהּ לבַּר נָשׁ </w:t>
      </w:r>
      <w:r w:rsidRPr="00007309">
        <w:rPr>
          <w:rFonts w:cs="Arial"/>
          <w:b/>
          <w:bCs/>
          <w:sz w:val="36"/>
          <w:szCs w:val="28"/>
          <w:vertAlign w:val="superscript"/>
          <w:rtl/>
        </w:rPr>
        <w:footnoteReference w:id="8391"/>
      </w:r>
      <w:r w:rsidRPr="00007309">
        <w:rPr>
          <w:rFonts w:cs="Arial"/>
          <w:b/>
          <w:bCs/>
          <w:sz w:val="24"/>
          <w:szCs w:val="24"/>
          <w:rtl/>
        </w:rPr>
        <w:t xml:space="preserve">עִם בַּת זוּגֵהּ בְּהַהוּא עָלְמָא, אִיהוּ נָטִיר שְׁכִינְתָּא עִמֵּהּ בְּשַׁבַּת דְּלָא אִתְחַלַּל, הָכֵי קוּדְשָׁא בְּרִיךְ הוּא נָטִיל לֵהּ לְבַר נָשׁ עִם בַּת זוּגֵהּ דְּלָא אִתְחַלַּל. בַּר נָשׁ דְּלָא אַפְרִיד בֵּין קוּדְשָׁא בְּרִיךְ הוּא וּבֵין שְׁכִינְתֵּהּ, קוּדְשָׁא בְּרִיךְ הוּא נָטִיר לֵהּ לְבַר נָשׁ עִם בַּת זוּגֵהּ בְּהַהוּא עָלְמָא, וְלֵית רְשׁוּ לְחִוְיָא </w:t>
      </w:r>
      <w:r w:rsidRPr="00007309">
        <w:rPr>
          <w:rFonts w:cs="Arial"/>
          <w:b/>
          <w:bCs/>
          <w:sz w:val="36"/>
          <w:szCs w:val="28"/>
          <w:vertAlign w:val="superscript"/>
          <w:rtl/>
        </w:rPr>
        <w:footnoteReference w:id="8392"/>
      </w:r>
      <w:r w:rsidRPr="00007309">
        <w:rPr>
          <w:rFonts w:cs="Arial"/>
          <w:b/>
          <w:bCs/>
          <w:sz w:val="24"/>
          <w:szCs w:val="24"/>
          <w:rtl/>
        </w:rPr>
        <w:t xml:space="preserve">לְמִפְרַד בֵּינַיְהוּ. וּבְכָל פְּקוּדָא וּפְקוּדָא דְּאוֹקִיר בַּר נָשׁ לְקוּדְשָׁא בְּרִיךְ הוּא עִם בַּת זוּגֵהּ </w:t>
      </w:r>
      <w:r w:rsidRPr="00007309">
        <w:rPr>
          <w:rFonts w:cs="Arial" w:hint="cs"/>
          <w:b/>
          <w:bCs/>
          <w:sz w:val="24"/>
          <w:szCs w:val="24"/>
          <w:rtl/>
        </w:rPr>
        <w:t>ב</w:t>
      </w:r>
      <w:r w:rsidRPr="00007309">
        <w:rPr>
          <w:rFonts w:cs="Arial"/>
          <w:b/>
          <w:bCs/>
          <w:sz w:val="24"/>
          <w:szCs w:val="24"/>
          <w:rtl/>
        </w:rPr>
        <w:t>ְּ</w:t>
      </w:r>
      <w:r w:rsidRPr="00007309">
        <w:rPr>
          <w:rFonts w:cs="Arial" w:hint="cs"/>
          <w:b/>
          <w:bCs/>
          <w:sz w:val="24"/>
          <w:szCs w:val="24"/>
          <w:rtl/>
        </w:rPr>
        <w:t>ה</w:t>
      </w:r>
      <w:r w:rsidRPr="00007309">
        <w:rPr>
          <w:rFonts w:cs="Arial"/>
          <w:b/>
          <w:bCs/>
          <w:sz w:val="24"/>
          <w:szCs w:val="24"/>
          <w:rtl/>
        </w:rPr>
        <w:t>ַ</w:t>
      </w:r>
      <w:r w:rsidRPr="00007309">
        <w:rPr>
          <w:rFonts w:cs="Arial" w:hint="cs"/>
          <w:b/>
          <w:bCs/>
          <w:sz w:val="24"/>
          <w:szCs w:val="24"/>
          <w:rtl/>
        </w:rPr>
        <w:t xml:space="preserve">אי </w:t>
      </w:r>
      <w:r w:rsidRPr="00007309">
        <w:rPr>
          <w:rFonts w:cs="Arial"/>
          <w:b/>
          <w:bCs/>
          <w:sz w:val="24"/>
          <w:szCs w:val="24"/>
          <w:rtl/>
        </w:rPr>
        <w:t>עָלְמָא</w:t>
      </w:r>
      <w:r w:rsidRPr="00007309">
        <w:rPr>
          <w:rFonts w:cs="Arial" w:hint="cs"/>
          <w:b/>
          <w:bCs/>
          <w:sz w:val="24"/>
          <w:szCs w:val="24"/>
          <w:rtl/>
        </w:rPr>
        <w:t>, ב</w:t>
      </w:r>
      <w:r w:rsidRPr="00007309">
        <w:rPr>
          <w:rFonts w:cs="Arial"/>
          <w:b/>
          <w:bCs/>
          <w:sz w:val="24"/>
          <w:szCs w:val="24"/>
          <w:rtl/>
        </w:rPr>
        <w:t>ְּ</w:t>
      </w:r>
      <w:r w:rsidRPr="00007309">
        <w:rPr>
          <w:rFonts w:cs="Arial" w:hint="cs"/>
          <w:b/>
          <w:bCs/>
          <w:sz w:val="24"/>
          <w:szCs w:val="24"/>
          <w:rtl/>
        </w:rPr>
        <w:t>כ</w:t>
      </w:r>
      <w:r w:rsidRPr="00007309">
        <w:rPr>
          <w:rFonts w:cs="Arial"/>
          <w:b/>
          <w:bCs/>
          <w:sz w:val="24"/>
          <w:szCs w:val="24"/>
          <w:rtl/>
        </w:rPr>
        <w:t>ֻ</w:t>
      </w:r>
      <w:r w:rsidRPr="00007309">
        <w:rPr>
          <w:rFonts w:cs="Arial" w:hint="cs"/>
          <w:b/>
          <w:bCs/>
          <w:sz w:val="24"/>
          <w:szCs w:val="24"/>
          <w:rtl/>
        </w:rPr>
        <w:t>ל</w:t>
      </w:r>
      <w:r w:rsidRPr="00007309">
        <w:rPr>
          <w:rFonts w:cs="Arial"/>
          <w:b/>
          <w:bCs/>
          <w:sz w:val="24"/>
          <w:szCs w:val="24"/>
          <w:rtl/>
        </w:rPr>
        <w:t>ְ</w:t>
      </w:r>
      <w:r w:rsidRPr="00007309">
        <w:rPr>
          <w:rFonts w:cs="Arial" w:hint="cs"/>
          <w:b/>
          <w:bCs/>
          <w:sz w:val="24"/>
          <w:szCs w:val="24"/>
          <w:rtl/>
        </w:rPr>
        <w:t>הו</w:t>
      </w:r>
      <w:r w:rsidRPr="00007309">
        <w:rPr>
          <w:rFonts w:cs="Arial"/>
          <w:b/>
          <w:bCs/>
          <w:sz w:val="24"/>
          <w:szCs w:val="24"/>
          <w:rtl/>
        </w:rPr>
        <w:t>ּ</w:t>
      </w:r>
      <w:r w:rsidRPr="00007309">
        <w:rPr>
          <w:rFonts w:cs="Arial" w:hint="cs"/>
          <w:b/>
          <w:bCs/>
          <w:sz w:val="24"/>
          <w:szCs w:val="24"/>
          <w:rtl/>
        </w:rPr>
        <w:t xml:space="preserve"> </w:t>
      </w:r>
      <w:r w:rsidRPr="00007309">
        <w:rPr>
          <w:rFonts w:cs="Arial"/>
          <w:b/>
          <w:bCs/>
          <w:sz w:val="24"/>
          <w:szCs w:val="24"/>
          <w:rtl/>
        </w:rPr>
        <w:t xml:space="preserve">אוֹקִיר קוּדְשָׁא בְּרִיךְ הוּא לְבַר נָשׁ עִם בַּת זוּגֵהּ בְּהַהוּא עָלְמָא. וְהַאי אִיהוּ דְּאָמַר קוּדְשָׁא בְּרִיךְ הוּא </w:t>
      </w:r>
      <w:r w:rsidRPr="00007309">
        <w:rPr>
          <w:rFonts w:cs="Arial" w:hint="cs"/>
          <w:b/>
          <w:bCs/>
          <w:sz w:val="24"/>
          <w:szCs w:val="24"/>
          <w:rtl/>
        </w:rPr>
        <w:t xml:space="preserve">(שמואל א ב ל) </w:t>
      </w:r>
      <w:r w:rsidRPr="00007309">
        <w:rPr>
          <w:rFonts w:cs="Arial"/>
          <w:b/>
          <w:bCs/>
          <w:sz w:val="24"/>
          <w:szCs w:val="24"/>
          <w:rtl/>
        </w:rPr>
        <w:t>כִּי מְכַבְּדַי אֲכַבֵּד. בַּר נָשׁ דְּאַמְלִיךְ לְקוּדְשָׁא בְּרִיךְ הוּא עַל שְׁמַיָּא וְאַרְעָא וְאַרְבַּע סִטְרִין בְּהַאי עָלְמָא</w:t>
      </w:r>
      <w:r w:rsidRPr="00007309">
        <w:rPr>
          <w:rFonts w:cs="Arial" w:hint="cs"/>
          <w:b/>
          <w:bCs/>
          <w:sz w:val="24"/>
          <w:szCs w:val="24"/>
          <w:rtl/>
        </w:rPr>
        <w:t>,</w:t>
      </w:r>
      <w:r w:rsidRPr="00007309">
        <w:rPr>
          <w:rFonts w:cs="Arial"/>
          <w:b/>
          <w:bCs/>
          <w:sz w:val="24"/>
          <w:szCs w:val="24"/>
          <w:rtl/>
        </w:rPr>
        <w:t xml:space="preserve"> הָכֵי קוּדְשָׁא בְּרִיךְ הוּא אַמְלִיךְ לֵהּ עַל שְׁמַיָּא וְאַרְעָא וְאַרְבַּע סִטְרִין בְּהַהוּא עָלְמָא. וּבְגִין דָּא אוֹקְמוּהּ כָּל צַדִּיק וְצַדִּיק יֵשׁ לוֹ עוֹלָם בִּפְנֵי עַצְמוֹ, וּבְהַהוּא עָלְמָא אִיהוּ בַּר נָשׁ בְּדִיּוֹקְנָא דְּמָארֵהּ בְּכֹלָּא, וְהַאי אִיהוּ וַיִּבְרָא אֱלֹהִים אֶת הָאָדָם בְּצַלְמוֹ:</w:t>
      </w:r>
    </w:p>
    <w:p w:rsidR="00007309" w:rsidRPr="00007309" w:rsidRDefault="00007309" w:rsidP="00007309">
      <w:pPr>
        <w:jc w:val="both"/>
        <w:rPr>
          <w:rFonts w:cs="Arial"/>
          <w:sz w:val="24"/>
          <w:szCs w:val="24"/>
          <w:rtl/>
        </w:rPr>
      </w:pPr>
      <w:r w:rsidRPr="00007309">
        <w:rPr>
          <w:rFonts w:cs="Arial"/>
          <w:sz w:val="24"/>
          <w:szCs w:val="24"/>
          <w:rtl/>
        </w:rPr>
        <w:t>אמ"ז</w:t>
      </w:r>
      <w:r w:rsidRPr="00007309">
        <w:rPr>
          <w:rFonts w:cs="Arial" w:hint="cs"/>
          <w:sz w:val="24"/>
          <w:szCs w:val="24"/>
          <w:rtl/>
        </w:rPr>
        <w:t>,</w:t>
      </w:r>
      <w:r w:rsidRPr="00007309">
        <w:rPr>
          <w:rFonts w:cs="Arial"/>
          <w:sz w:val="24"/>
          <w:szCs w:val="24"/>
          <w:rtl/>
        </w:rPr>
        <w:t xml:space="preserve"> בכאן נמצא תוספת זה בזוהר הנדפס בסאלונקי ועליו כתב הר"מ ד"ל ז"ל שזה היה פירוש על מ"ש בתחלת התיקונים ושהמדפיס שנה בו הסדר והוסיף בו דברים כדי ליישב פירושו עכ"ל.</w:t>
      </w:r>
      <w:r w:rsidRPr="00007309">
        <w:rPr>
          <w:rFonts w:cs="Arial" w:hint="cs"/>
          <w:sz w:val="24"/>
          <w:szCs w:val="24"/>
          <w:rtl/>
        </w:rPr>
        <w:t xml:space="preserve"> (ג.פ ושמתיו גם שם)</w:t>
      </w:r>
    </w:p>
    <w:p w:rsidR="00007309" w:rsidRPr="00007309" w:rsidRDefault="00007309" w:rsidP="00007309">
      <w:pPr>
        <w:jc w:val="both"/>
        <w:rPr>
          <w:rFonts w:cs="Arial"/>
          <w:b/>
          <w:bCs/>
          <w:sz w:val="24"/>
          <w:szCs w:val="24"/>
        </w:rPr>
      </w:pPr>
      <w:r w:rsidRPr="00007309">
        <w:rPr>
          <w:rFonts w:cs="Arial"/>
          <w:b/>
          <w:bCs/>
          <w:sz w:val="24"/>
          <w:szCs w:val="24"/>
          <w:rtl/>
        </w:rPr>
        <w:t>וְהַמַּשְׂכִּילִים יַזְהִרוּ כְּזֹהַר הַרַקִיעַ. אִיהוּ זֹהַר טָמִיר וְגָנִיז וְדָא כֶּתֶ"ר. זֹהַר בָּהִיר בַּשְּׁחָקִים דָּא חָכְמָ"ה</w:t>
      </w:r>
      <w:r w:rsidRPr="00007309">
        <w:rPr>
          <w:rFonts w:cs="Arial" w:hint="cs"/>
          <w:b/>
          <w:bCs/>
          <w:sz w:val="24"/>
          <w:szCs w:val="24"/>
          <w:rtl/>
        </w:rPr>
        <w:t>.</w:t>
      </w:r>
      <w:r w:rsidRPr="00007309">
        <w:rPr>
          <w:rFonts w:cs="Arial"/>
          <w:b/>
          <w:bCs/>
          <w:sz w:val="24"/>
          <w:szCs w:val="24"/>
          <w:rtl/>
        </w:rPr>
        <w:t xml:space="preserve"> זֹהַר זָרִיק נִיצוֹצִין וּמַבְהִיק כְּבָרָק לְעַיְנִין דָּא בִּינָ"ה. זֹהַר חִוְּרוּ כְּ</w:t>
      </w:r>
      <w:r w:rsidRPr="00007309">
        <w:rPr>
          <w:rFonts w:cs="Arial" w:hint="cs"/>
          <w:b/>
          <w:bCs/>
          <w:sz w:val="24"/>
          <w:szCs w:val="24"/>
          <w:rtl/>
        </w:rPr>
        <w:t>ס</w:t>
      </w:r>
      <w:r w:rsidRPr="00007309">
        <w:rPr>
          <w:rFonts w:cs="Arial"/>
          <w:b/>
          <w:bCs/>
          <w:sz w:val="24"/>
          <w:szCs w:val="24"/>
          <w:rtl/>
        </w:rPr>
        <w:t xml:space="preserve">ִיהֲרָא דָּא גְּדֻלָּ"ה. זֹהַר זָהִיר סוּמָקָא </w:t>
      </w:r>
      <w:r w:rsidRPr="00007309">
        <w:rPr>
          <w:rFonts w:cs="Arial" w:hint="cs"/>
          <w:b/>
          <w:bCs/>
          <w:sz w:val="24"/>
          <w:szCs w:val="24"/>
          <w:rtl/>
        </w:rPr>
        <w:t>כ</w:t>
      </w:r>
      <w:r w:rsidRPr="00007309">
        <w:rPr>
          <w:rFonts w:cs="Arial"/>
          <w:b/>
          <w:bCs/>
          <w:sz w:val="24"/>
          <w:szCs w:val="24"/>
          <w:rtl/>
        </w:rPr>
        <w:t>ְּמַאְדִּים דָּא גְּבוּרָ"ה. זֹהַר מַבְהִיק כָּלִיל חִוָּר וְסוּמָק דָּא תִּפְאֶרֶ"ת. זֹהַר יָרֹק כְּכוֹכָב דָּא נֶצַ"ח</w:t>
      </w:r>
      <w:r w:rsidRPr="00007309">
        <w:rPr>
          <w:rFonts w:cs="Arial" w:hint="cs"/>
          <w:b/>
          <w:bCs/>
          <w:sz w:val="24"/>
          <w:szCs w:val="24"/>
          <w:rtl/>
        </w:rPr>
        <w:t>.</w:t>
      </w:r>
      <w:r w:rsidRPr="00007309">
        <w:rPr>
          <w:rFonts w:cs="Arial"/>
          <w:b/>
          <w:bCs/>
          <w:sz w:val="24"/>
          <w:szCs w:val="24"/>
          <w:rtl/>
        </w:rPr>
        <w:t xml:space="preserve"> זֹהַר כָּלִיל חִוָּר וְסוּמָק דָּא הוֹ"ד. זֹהַר זָהִיר לְכָל עֵיבָר כְּמָאן דְּמָחַא בְּפַטִישׁ וְזָרִיק שְׁבִיבִין לְכָל סִטְרִין דָּא יְסוֹ"ד. וְכֻלָּם מַשְׁפִּיעִים לַמַּלְכוּת כְּנֶסֶת יִשְׂרָאֵל. רָאשֵׁי אַלְפֵי יִשְׂרָאֵל הֵמָּה</w:t>
      </w:r>
      <w:r w:rsidRPr="00007309">
        <w:rPr>
          <w:rFonts w:cs="Arial" w:hint="cs"/>
          <w:b/>
          <w:bCs/>
          <w:sz w:val="24"/>
          <w:szCs w:val="24"/>
          <w:rtl/>
        </w:rPr>
        <w:t xml:space="preserve"> (במדבר א טז)</w:t>
      </w:r>
      <w:r w:rsidRPr="00007309">
        <w:rPr>
          <w:rFonts w:cs="Arial"/>
          <w:b/>
          <w:bCs/>
          <w:sz w:val="24"/>
          <w:szCs w:val="24"/>
          <w:rtl/>
        </w:rPr>
        <w:t xml:space="preserve"> כֶּתֶר</w:t>
      </w:r>
      <w:r w:rsidRPr="00007309">
        <w:rPr>
          <w:rFonts w:cs="Arial" w:hint="cs"/>
          <w:b/>
          <w:bCs/>
          <w:sz w:val="24"/>
          <w:szCs w:val="24"/>
          <w:rtl/>
        </w:rPr>
        <w:t>.</w:t>
      </w:r>
      <w:r w:rsidRPr="00007309">
        <w:rPr>
          <w:rFonts w:cs="Arial"/>
          <w:b/>
          <w:bCs/>
          <w:sz w:val="24"/>
          <w:szCs w:val="24"/>
          <w:rtl/>
        </w:rPr>
        <w:t xml:space="preserve"> חָכְמָה חֲכָמִים. בִּינָה נְבוֹנִים. חֶסֶד חֲסִידִים. גְּבוּרָה גִּבּוֹרִים. מָארֵי</w:t>
      </w:r>
      <w:r w:rsidRPr="00007309">
        <w:rPr>
          <w:rFonts w:cs="Arial"/>
          <w:b/>
          <w:bCs/>
          <w:sz w:val="24"/>
          <w:szCs w:val="24"/>
        </w:rPr>
        <w:t xml:space="preserve"> </w:t>
      </w:r>
      <w:r w:rsidRPr="00007309">
        <w:rPr>
          <w:rFonts w:cs="Arial"/>
          <w:b/>
          <w:bCs/>
          <w:sz w:val="24"/>
          <w:szCs w:val="24"/>
          <w:rtl/>
        </w:rPr>
        <w:t>תּוֹרָה תִּפְאֶרֶת. נְבִיאִים נֶצַח. חוֹזִים הוֹד. צַדִּיקִים יְסוֹד. מַלְכוּת מְלָכִים. וְעַל שְׁמָ</w:t>
      </w:r>
      <w:r w:rsidRPr="00007309">
        <w:rPr>
          <w:rFonts w:cs="Arial" w:hint="cs"/>
          <w:b/>
          <w:bCs/>
          <w:sz w:val="24"/>
          <w:szCs w:val="24"/>
          <w:rtl/>
        </w:rPr>
        <w:t>א</w:t>
      </w:r>
      <w:r w:rsidRPr="00007309">
        <w:rPr>
          <w:rFonts w:cs="Arial"/>
          <w:b/>
          <w:bCs/>
          <w:sz w:val="24"/>
          <w:szCs w:val="24"/>
          <w:rtl/>
        </w:rPr>
        <w:t xml:space="preserve"> אִתְקְרִיאוּ יִשְׂרָאֵל בְּנֵי</w:t>
      </w:r>
      <w:r w:rsidRPr="00007309">
        <w:rPr>
          <w:rFonts w:cs="Arial"/>
          <w:b/>
          <w:bCs/>
          <w:sz w:val="24"/>
          <w:szCs w:val="24"/>
        </w:rPr>
        <w:t xml:space="preserve"> </w:t>
      </w:r>
      <w:r w:rsidRPr="00007309">
        <w:rPr>
          <w:rFonts w:cs="Arial"/>
          <w:b/>
          <w:bCs/>
          <w:sz w:val="24"/>
          <w:szCs w:val="24"/>
          <w:rtl/>
        </w:rPr>
        <w:t>מְלָכִים בִּי בילא"ו</w:t>
      </w:r>
      <w:r w:rsidRPr="00007309">
        <w:rPr>
          <w:rFonts w:cs="Arial"/>
          <w:b/>
          <w:bCs/>
          <w:sz w:val="24"/>
          <w:szCs w:val="24"/>
        </w:rPr>
        <w:t>:</w:t>
      </w:r>
    </w:p>
    <w:p w:rsidR="00007309" w:rsidRPr="00007309" w:rsidRDefault="00007309" w:rsidP="00007309">
      <w:pPr>
        <w:jc w:val="both"/>
        <w:rPr>
          <w:rFonts w:cs="Arial"/>
          <w:sz w:val="24"/>
          <w:szCs w:val="24"/>
        </w:rPr>
      </w:pPr>
      <w:r w:rsidRPr="00007309">
        <w:rPr>
          <w:rFonts w:cs="Arial"/>
          <w:sz w:val="24"/>
          <w:szCs w:val="24"/>
          <w:rtl/>
        </w:rPr>
        <w:t>זה שייך לפרשת נח</w:t>
      </w:r>
    </w:p>
    <w:p w:rsidR="00007309" w:rsidRPr="00007309" w:rsidRDefault="00007309" w:rsidP="00007309">
      <w:pPr>
        <w:jc w:val="both"/>
        <w:rPr>
          <w:rFonts w:cs="Arial"/>
          <w:b/>
          <w:bCs/>
          <w:sz w:val="24"/>
          <w:szCs w:val="24"/>
          <w:rtl/>
        </w:rPr>
      </w:pPr>
      <w:r w:rsidRPr="00007309">
        <w:rPr>
          <w:rFonts w:cs="Arial"/>
          <w:b/>
          <w:bCs/>
          <w:sz w:val="24"/>
          <w:szCs w:val="24"/>
          <w:rtl/>
        </w:rPr>
        <w:t xml:space="preserve">וַיִּבֶן נֹחַ מִזְבֵּחַ. (בראשית ח) מַאי וַיִּבֶן נֹחַ. אֶלָּא נֹחַ אִישׁ צַדִּיק. וַיִּבֶן מִזְבֵּחַ דָּא שְׁכִינְתָּא. בִּנְיָנָא דִּילַהּ </w:t>
      </w:r>
      <w:r w:rsidRPr="00007309">
        <w:rPr>
          <w:rFonts w:cs="Arial"/>
          <w:b/>
          <w:bCs/>
          <w:sz w:val="36"/>
          <w:szCs w:val="28"/>
          <w:vertAlign w:val="superscript"/>
          <w:rtl/>
        </w:rPr>
        <w:footnoteReference w:id="8393"/>
      </w:r>
      <w:r w:rsidRPr="00007309">
        <w:rPr>
          <w:rFonts w:cs="Arial"/>
          <w:b/>
          <w:bCs/>
          <w:sz w:val="24"/>
          <w:szCs w:val="24"/>
          <w:rtl/>
        </w:rPr>
        <w:t xml:space="preserve">בֵּן דְּאִיהוּ עַמּוּדָא דְּאֶמְצָעִיתָא. וַיִּקַּח מִכָּל הַבְּהֵמָה הַטְהוֹרָה. בְּהֵמָה לְעֵלָּא וְעוֹף לְתַתָּא. </w:t>
      </w:r>
      <w:r w:rsidRPr="00007309">
        <w:rPr>
          <w:rFonts w:cs="Arial"/>
          <w:b/>
          <w:bCs/>
          <w:sz w:val="36"/>
          <w:szCs w:val="28"/>
          <w:vertAlign w:val="superscript"/>
          <w:rtl/>
        </w:rPr>
        <w:footnoteReference w:id="8394"/>
      </w:r>
      <w:r w:rsidRPr="00007309">
        <w:rPr>
          <w:rFonts w:cs="Arial"/>
          <w:b/>
          <w:bCs/>
          <w:sz w:val="24"/>
          <w:szCs w:val="24"/>
          <w:rtl/>
        </w:rPr>
        <w:t>מַאי בְּהֵמָה לְעֵלָּא</w:t>
      </w:r>
      <w:r w:rsidRPr="00007309">
        <w:rPr>
          <w:rFonts w:cs="Arial" w:hint="cs"/>
          <w:b/>
          <w:bCs/>
          <w:sz w:val="24"/>
          <w:szCs w:val="24"/>
          <w:rtl/>
        </w:rPr>
        <w:t>,</w:t>
      </w:r>
      <w:r w:rsidRPr="00007309">
        <w:rPr>
          <w:rFonts w:cs="Arial"/>
          <w:b/>
          <w:bCs/>
          <w:sz w:val="24"/>
          <w:szCs w:val="24"/>
          <w:rtl/>
        </w:rPr>
        <w:t xml:space="preserve"> אֶלָּא דָּא </w:t>
      </w:r>
      <w:r w:rsidRPr="00007309">
        <w:rPr>
          <w:rFonts w:cs="Arial"/>
          <w:b/>
          <w:bCs/>
          <w:sz w:val="36"/>
          <w:szCs w:val="28"/>
          <w:vertAlign w:val="superscript"/>
          <w:rtl/>
        </w:rPr>
        <w:footnoteReference w:id="8395"/>
      </w:r>
      <w:r w:rsidRPr="00007309">
        <w:rPr>
          <w:rFonts w:cs="Arial"/>
          <w:b/>
          <w:bCs/>
          <w:sz w:val="24"/>
          <w:szCs w:val="24"/>
          <w:rtl/>
        </w:rPr>
        <w:t>שׁוֹר עִלָּאָה דְאַקְרִי</w:t>
      </w:r>
      <w:r w:rsidRPr="00007309">
        <w:rPr>
          <w:rFonts w:cs="Arial" w:hint="cs"/>
          <w:b/>
          <w:bCs/>
          <w:sz w:val="24"/>
          <w:szCs w:val="24"/>
          <w:rtl/>
        </w:rPr>
        <w:t>ב</w:t>
      </w:r>
      <w:r w:rsidRPr="00007309">
        <w:rPr>
          <w:rFonts w:cs="Arial"/>
          <w:b/>
          <w:bCs/>
          <w:sz w:val="24"/>
          <w:szCs w:val="24"/>
          <w:rtl/>
        </w:rPr>
        <w:t xml:space="preserve"> </w:t>
      </w:r>
      <w:r w:rsidRPr="00007309">
        <w:rPr>
          <w:rFonts w:cs="Arial"/>
          <w:b/>
          <w:bCs/>
          <w:sz w:val="36"/>
          <w:szCs w:val="28"/>
          <w:vertAlign w:val="superscript"/>
          <w:rtl/>
        </w:rPr>
        <w:footnoteReference w:id="8396"/>
      </w:r>
      <w:r w:rsidRPr="00007309">
        <w:rPr>
          <w:rFonts w:cs="Arial"/>
          <w:b/>
          <w:bCs/>
          <w:sz w:val="24"/>
          <w:szCs w:val="24"/>
          <w:rtl/>
        </w:rPr>
        <w:t xml:space="preserve">אָדָם עִלָּאָה דִּלְעֵלָּא, דְּאִתְּמַר בֵּהּ מַקְרִין </w:t>
      </w:r>
      <w:r w:rsidRPr="00007309">
        <w:rPr>
          <w:rFonts w:cs="Arial"/>
          <w:b/>
          <w:bCs/>
          <w:sz w:val="36"/>
          <w:szCs w:val="28"/>
          <w:vertAlign w:val="superscript"/>
          <w:rtl/>
        </w:rPr>
        <w:footnoteReference w:id="8397"/>
      </w:r>
      <w:r w:rsidRPr="00007309">
        <w:rPr>
          <w:rFonts w:cs="Arial"/>
          <w:b/>
          <w:bCs/>
          <w:sz w:val="24"/>
          <w:szCs w:val="24"/>
          <w:rtl/>
        </w:rPr>
        <w:t xml:space="preserve">מַפְרִיס </w:t>
      </w:r>
      <w:r w:rsidRPr="00007309">
        <w:rPr>
          <w:rFonts w:cs="Arial"/>
          <w:b/>
          <w:bCs/>
          <w:sz w:val="36"/>
          <w:szCs w:val="28"/>
          <w:vertAlign w:val="superscript"/>
          <w:rtl/>
        </w:rPr>
        <w:footnoteReference w:id="8398"/>
      </w:r>
      <w:r w:rsidRPr="00007309">
        <w:rPr>
          <w:rFonts w:cs="Arial"/>
          <w:b/>
          <w:bCs/>
          <w:sz w:val="24"/>
          <w:szCs w:val="24"/>
          <w:rtl/>
        </w:rPr>
        <w:t xml:space="preserve">וְאוֹקְמוּהּ מִקֶּרֶן כְּתִיב, קֶרֶן אַחַת הֲוָה לֵהּ בְּמִצְחֵהּ. וְהַאי אִיהוּ קֶרֶן הַיּוֹבֵל </w:t>
      </w:r>
      <w:r w:rsidRPr="00007309">
        <w:rPr>
          <w:rFonts w:cs="Arial"/>
          <w:b/>
          <w:bCs/>
          <w:sz w:val="36"/>
          <w:szCs w:val="28"/>
          <w:vertAlign w:val="superscript"/>
          <w:rtl/>
        </w:rPr>
        <w:footnoteReference w:id="8399"/>
      </w:r>
      <w:r w:rsidRPr="00007309">
        <w:rPr>
          <w:rFonts w:cs="Arial"/>
          <w:b/>
          <w:bCs/>
          <w:sz w:val="24"/>
          <w:szCs w:val="24"/>
          <w:rtl/>
        </w:rPr>
        <w:t>דְּמִנֵּהּ קָרַן פְּנֵי מֹשֶׁה</w:t>
      </w:r>
      <w:r w:rsidRPr="00007309">
        <w:rPr>
          <w:rFonts w:cs="Arial" w:hint="cs"/>
          <w:b/>
          <w:bCs/>
          <w:sz w:val="24"/>
          <w:szCs w:val="24"/>
          <w:rtl/>
        </w:rPr>
        <w:t xml:space="preserve"> (שמות לד כט)</w:t>
      </w:r>
      <w:r w:rsidRPr="00007309">
        <w:rPr>
          <w:rFonts w:cs="Arial"/>
          <w:b/>
          <w:bCs/>
          <w:sz w:val="24"/>
          <w:szCs w:val="24"/>
          <w:rtl/>
        </w:rPr>
        <w:t xml:space="preserve">. </w:t>
      </w:r>
      <w:r w:rsidRPr="00007309">
        <w:rPr>
          <w:rFonts w:cs="Arial"/>
          <w:b/>
          <w:bCs/>
          <w:sz w:val="36"/>
          <w:szCs w:val="28"/>
          <w:vertAlign w:val="superscript"/>
          <w:rtl/>
        </w:rPr>
        <w:footnoteReference w:id="8400"/>
      </w:r>
      <w:r w:rsidRPr="00007309">
        <w:rPr>
          <w:rFonts w:cs="Arial"/>
          <w:b/>
          <w:bCs/>
          <w:sz w:val="24"/>
          <w:szCs w:val="24"/>
          <w:rtl/>
        </w:rPr>
        <w:t xml:space="preserve">שׁוֹר דָּא אִיהוּ פָּר. </w:t>
      </w:r>
      <w:r w:rsidRPr="00007309">
        <w:rPr>
          <w:rFonts w:cs="Arial"/>
          <w:b/>
          <w:bCs/>
          <w:sz w:val="36"/>
          <w:szCs w:val="28"/>
          <w:vertAlign w:val="superscript"/>
          <w:rtl/>
        </w:rPr>
        <w:footnoteReference w:id="8401"/>
      </w:r>
      <w:r w:rsidRPr="00007309">
        <w:rPr>
          <w:rFonts w:cs="Arial"/>
          <w:b/>
          <w:bCs/>
          <w:sz w:val="24"/>
          <w:szCs w:val="24"/>
          <w:rtl/>
        </w:rPr>
        <w:t>פָּר אִיהוּ דִּינָא</w:t>
      </w:r>
      <w:r w:rsidRPr="00007309">
        <w:rPr>
          <w:rFonts w:cs="Arial" w:hint="cs"/>
          <w:b/>
          <w:bCs/>
          <w:sz w:val="24"/>
          <w:szCs w:val="24"/>
          <w:rtl/>
        </w:rPr>
        <w:t>,</w:t>
      </w:r>
      <w:r w:rsidRPr="00007309">
        <w:rPr>
          <w:rFonts w:cs="Arial"/>
          <w:b/>
          <w:bCs/>
          <w:sz w:val="24"/>
          <w:szCs w:val="24"/>
          <w:rtl/>
        </w:rPr>
        <w:t xml:space="preserve"> עִם ו' אִתְעֲבִיד פּוּר</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402"/>
      </w:r>
      <w:r w:rsidRPr="00007309">
        <w:rPr>
          <w:rFonts w:cs="Arial"/>
          <w:b/>
          <w:bCs/>
          <w:sz w:val="24"/>
          <w:szCs w:val="24"/>
          <w:rtl/>
        </w:rPr>
        <w:t>רַחֲמֵי סְלִיחָה</w:t>
      </w:r>
      <w:r w:rsidRPr="00007309">
        <w:rPr>
          <w:rFonts w:cs="Arial" w:hint="cs"/>
          <w:b/>
          <w:bCs/>
          <w:sz w:val="24"/>
          <w:szCs w:val="24"/>
          <w:rtl/>
        </w:rPr>
        <w:t>,</w:t>
      </w:r>
      <w:r w:rsidRPr="00007309">
        <w:rPr>
          <w:rFonts w:cs="Arial"/>
          <w:b/>
          <w:bCs/>
          <w:sz w:val="24"/>
          <w:szCs w:val="24"/>
          <w:rtl/>
        </w:rPr>
        <w:t xml:space="preserve"> וְעַל שְׁמֵהּ </w:t>
      </w:r>
      <w:r w:rsidRPr="00007309">
        <w:rPr>
          <w:rFonts w:cs="Arial"/>
          <w:b/>
          <w:bCs/>
          <w:sz w:val="36"/>
          <w:szCs w:val="28"/>
          <w:vertAlign w:val="superscript"/>
          <w:rtl/>
        </w:rPr>
        <w:footnoteReference w:id="8403"/>
      </w:r>
      <w:r w:rsidRPr="00007309">
        <w:rPr>
          <w:rFonts w:cs="Arial"/>
          <w:b/>
          <w:bCs/>
          <w:sz w:val="24"/>
          <w:szCs w:val="24"/>
          <w:rtl/>
        </w:rPr>
        <w:t xml:space="preserve">אִקְּרֵי צוֹם כִּפּוּר. מַאי כ' בְּתוֹסֶפֶת פּוּ"ר אֶלָּא דָּא </w:t>
      </w:r>
      <w:r w:rsidRPr="00007309">
        <w:rPr>
          <w:rFonts w:cs="Arial"/>
          <w:b/>
          <w:bCs/>
          <w:sz w:val="36"/>
          <w:szCs w:val="28"/>
          <w:vertAlign w:val="superscript"/>
          <w:rtl/>
        </w:rPr>
        <w:footnoteReference w:id="8404"/>
      </w:r>
      <w:r w:rsidRPr="00007309">
        <w:rPr>
          <w:rFonts w:cs="Arial"/>
          <w:b/>
          <w:bCs/>
          <w:sz w:val="24"/>
          <w:szCs w:val="24"/>
          <w:rtl/>
        </w:rPr>
        <w:t xml:space="preserve">כֶּתֶר מַלְכוּת. תָּא חֲזֵי </w:t>
      </w:r>
      <w:r w:rsidRPr="00007309">
        <w:rPr>
          <w:rFonts w:cs="Arial"/>
          <w:b/>
          <w:bCs/>
          <w:sz w:val="36"/>
          <w:szCs w:val="28"/>
          <w:vertAlign w:val="superscript"/>
          <w:rtl/>
        </w:rPr>
        <w:footnoteReference w:id="8405"/>
      </w:r>
      <w:r w:rsidRPr="00007309">
        <w:rPr>
          <w:rFonts w:cs="Arial"/>
          <w:b/>
          <w:bCs/>
          <w:sz w:val="24"/>
          <w:szCs w:val="24"/>
          <w:rtl/>
        </w:rPr>
        <w:t xml:space="preserve">לֵית שְׁכִינְתָּא דְּלָא אִתְעֲבִידַת כִּתְרָא לְהַהִיא דִּלְתַתָּא מִנַּהּ. וּבְגִין דָּא שְׁכִינְתָּא עִלָּאָה אִיהִי כֶּתֶר מַלְכוּת. וּמַלְכוּת אִתְקְרִיאַת צוֹם דִילָהּ </w:t>
      </w:r>
      <w:r w:rsidRPr="00007309">
        <w:rPr>
          <w:rFonts w:cs="Arial" w:hint="cs"/>
          <w:b/>
          <w:bCs/>
          <w:sz w:val="24"/>
          <w:szCs w:val="24"/>
          <w:rtl/>
        </w:rPr>
        <w:t>(</w:t>
      </w:r>
      <w:r w:rsidRPr="00007309">
        <w:rPr>
          <w:rFonts w:cs="Arial"/>
          <w:b/>
          <w:bCs/>
          <w:sz w:val="24"/>
          <w:szCs w:val="24"/>
          <w:rtl/>
        </w:rPr>
        <w:t>אִיהִי</w:t>
      </w:r>
      <w:r w:rsidRPr="00007309">
        <w:rPr>
          <w:rFonts w:cs="Arial" w:hint="cs"/>
          <w:b/>
          <w:bCs/>
          <w:sz w:val="24"/>
          <w:szCs w:val="24"/>
          <w:rtl/>
        </w:rPr>
        <w:t>)</w:t>
      </w:r>
      <w:r w:rsidRPr="00007309">
        <w:rPr>
          <w:rFonts w:cs="Arial"/>
          <w:b/>
          <w:bCs/>
          <w:sz w:val="24"/>
          <w:szCs w:val="24"/>
          <w:rtl/>
        </w:rPr>
        <w:t xml:space="preserve"> כִּפּוּר. </w:t>
      </w:r>
      <w:r w:rsidRPr="00007309">
        <w:rPr>
          <w:rFonts w:cs="Arial"/>
          <w:b/>
          <w:bCs/>
          <w:sz w:val="36"/>
          <w:szCs w:val="28"/>
          <w:vertAlign w:val="superscript"/>
          <w:rtl/>
        </w:rPr>
        <w:footnoteReference w:id="8406"/>
      </w:r>
      <w:r w:rsidRPr="00007309">
        <w:rPr>
          <w:rFonts w:cs="Arial"/>
          <w:b/>
          <w:bCs/>
          <w:sz w:val="24"/>
          <w:szCs w:val="24"/>
          <w:rtl/>
        </w:rPr>
        <w:t xml:space="preserve">וּמַלְכוּת אִתְקְרִיאַת צוֹם כִּפּוּר. </w:t>
      </w:r>
      <w:r w:rsidRPr="00007309">
        <w:rPr>
          <w:rFonts w:cs="Arial"/>
          <w:b/>
          <w:bCs/>
          <w:sz w:val="36"/>
          <w:szCs w:val="28"/>
          <w:vertAlign w:val="superscript"/>
          <w:rtl/>
        </w:rPr>
        <w:footnoteReference w:id="8407"/>
      </w:r>
      <w:r w:rsidRPr="00007309">
        <w:rPr>
          <w:rFonts w:cs="Arial"/>
          <w:b/>
          <w:bCs/>
          <w:sz w:val="24"/>
          <w:szCs w:val="24"/>
          <w:rtl/>
        </w:rPr>
        <w:t>מִסִּטְרָא דְּאִמָּא עִלָּאָה אִיהִי צוֹם אֲבָל מִסִּטְרָא דְּעַמּוּדָא דְּאֶמְצָעִיתָא אִתְקְרִיאַת אוֹכֶל</w:t>
      </w:r>
      <w:r w:rsidRPr="00007309">
        <w:rPr>
          <w:rFonts w:cs="Arial" w:hint="cs"/>
          <w:b/>
          <w:bCs/>
          <w:sz w:val="24"/>
          <w:szCs w:val="24"/>
          <w:rtl/>
        </w:rPr>
        <w:t>,</w:t>
      </w:r>
      <w:r w:rsidRPr="00007309">
        <w:rPr>
          <w:rFonts w:cs="Arial"/>
          <w:b/>
          <w:bCs/>
          <w:sz w:val="24"/>
          <w:szCs w:val="24"/>
          <w:rtl/>
        </w:rPr>
        <w:t xml:space="preserve"> לֶחֶם אַבִּירִים אָכַל אִישׁ</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408"/>
      </w:r>
      <w:r w:rsidRPr="00007309">
        <w:rPr>
          <w:rFonts w:cs="Arial"/>
          <w:b/>
          <w:bCs/>
          <w:sz w:val="24"/>
          <w:szCs w:val="24"/>
          <w:rtl/>
        </w:rPr>
        <w:t xml:space="preserve">הַהוּא דְּאִתְּמַר בֵּהּ ה' אִישׁ מִלְחָמָה. וּמָאן הָכָא אִישׁ אֶלָּא דָּא </w:t>
      </w:r>
      <w:r w:rsidRPr="00007309">
        <w:rPr>
          <w:rFonts w:cs="Arial"/>
          <w:b/>
          <w:bCs/>
          <w:sz w:val="36"/>
          <w:szCs w:val="28"/>
          <w:vertAlign w:val="superscript"/>
          <w:rtl/>
        </w:rPr>
        <w:footnoteReference w:id="8409"/>
      </w:r>
      <w:r w:rsidRPr="00007309">
        <w:rPr>
          <w:rFonts w:cs="Arial"/>
          <w:b/>
          <w:bCs/>
          <w:sz w:val="24"/>
          <w:szCs w:val="24"/>
          <w:rtl/>
        </w:rPr>
        <w:t>מ' פְּתוּחָה מִלְּגָאו דְּבֵהּ אָכְלוּ אֶת הָמָן מ' שָׁנָה. אֲבָל ם אִיהִי עָלְמָא דְּאָתֵי, לֵית בֵּהּ אֲכִילָה וּשְׁתִיָּה, וְכָל סְפִירָן אִתְקְרִיאוּ צוֹמוֹת בָּהּ. וּבְגִין דָּא קָרְבְּנִין דְּמִתְאַכְּלִין דְּאִנּוּן צְלוֹתִין וּבָעוּתִין אִיהִי שְׁכִינְתָּא תַּתָּאָה. וְהַהוּא דְּאִתְהֲנֵי מִנָּהּ דְּאִיהוּ עַמּוּדָא דְּאֶמְצָעִיתָא, אֹרַח כָּל רֵיחִין דְּקָרְבְּנִין וְקָרִיב לוֹן לְגַבֵּי אַבָּא וְאִמָּא. הָדָא הוּא דִּכְתִיב (בראשית ח) וַיָּרַח ה' אֶת רֵיחַ הַנִּיחֹחַ,</w:t>
      </w:r>
      <w:r w:rsidRPr="00007309">
        <w:rPr>
          <w:rFonts w:cs="Arial" w:hint="cs"/>
          <w:b/>
          <w:bCs/>
          <w:sz w:val="24"/>
          <w:szCs w:val="24"/>
          <w:rtl/>
        </w:rPr>
        <w:t xml:space="preserve"> </w:t>
      </w:r>
      <w:r w:rsidRPr="00007309">
        <w:rPr>
          <w:rFonts w:cs="Arial"/>
          <w:b/>
          <w:bCs/>
          <w:sz w:val="24"/>
          <w:szCs w:val="24"/>
          <w:rtl/>
        </w:rPr>
        <w:t xml:space="preserve">וַיָּרַח ה' רֵיחַ הַנִּיחֹחַ לֹא כְּתִיב </w:t>
      </w:r>
      <w:r w:rsidRPr="00007309">
        <w:rPr>
          <w:rFonts w:cs="Arial"/>
          <w:b/>
          <w:bCs/>
          <w:sz w:val="36"/>
          <w:szCs w:val="28"/>
          <w:vertAlign w:val="superscript"/>
          <w:rtl/>
        </w:rPr>
        <w:footnoteReference w:id="8410"/>
      </w:r>
      <w:r w:rsidRPr="00007309">
        <w:rPr>
          <w:rFonts w:cs="Arial"/>
          <w:b/>
          <w:bCs/>
          <w:sz w:val="24"/>
          <w:szCs w:val="24"/>
          <w:rtl/>
        </w:rPr>
        <w:t xml:space="preserve">אֶלָּא אֶת רֵיחַ הַנִּיחוֹחַ דָּא אִיהִי שׁוֹשַׁנָּה רֵיחָא טָבָא לְגַבֵּי אַבָּא וְאִמָּא. שׁוֹשַׁנָּה וַדַּאי בְּחָמֵשׁ עָלִין אִיהִי ה' אֲבָל רֵיחָא דִּילָהּ ו' דְּאִיהוּ רֵיחָא לָא שַׁרְיָא בַּהּ עַד דְּאִתְפַּתְּחַת לְסָלְקָא מִנָּהּ רֵיחָא טָבָא. </w:t>
      </w:r>
    </w:p>
    <w:p w:rsidR="00007309" w:rsidRPr="00007309" w:rsidRDefault="00007309" w:rsidP="00007309">
      <w:pPr>
        <w:keepNext/>
        <w:outlineLvl w:val="1"/>
        <w:rPr>
          <w:rFonts w:ascii="Cambria" w:hAnsi="Cambria" w:cs="Times New Roman"/>
          <w:b/>
          <w:bCs/>
          <w:i/>
          <w:iCs/>
          <w:sz w:val="28"/>
          <w:szCs w:val="28"/>
          <w:rtl/>
        </w:rPr>
      </w:pPr>
      <w:r w:rsidRPr="00007309">
        <w:rPr>
          <w:rFonts w:ascii="Cambria" w:hAnsi="Cambria" w:cs="Times New Roman"/>
          <w:b/>
          <w:bCs/>
          <w:i/>
          <w:iCs/>
          <w:sz w:val="28"/>
          <w:szCs w:val="28"/>
          <w:rtl/>
        </w:rPr>
        <w:t>[</w:t>
      </w:r>
      <w:r w:rsidRPr="00007309">
        <w:rPr>
          <w:rFonts w:ascii="Cambria" w:hAnsi="Cambria" w:cs="Times New Roman" w:hint="cs"/>
          <w:b/>
          <w:bCs/>
          <w:i/>
          <w:iCs/>
          <w:sz w:val="28"/>
          <w:szCs w:val="28"/>
          <w:rtl/>
        </w:rPr>
        <w:t>דף</w:t>
      </w:r>
      <w:r w:rsidRPr="00007309">
        <w:rPr>
          <w:rFonts w:ascii="Cambria" w:hAnsi="Cambria" w:cs="Times New Roman"/>
          <w:b/>
          <w:bCs/>
          <w:i/>
          <w:iCs/>
          <w:sz w:val="28"/>
          <w:szCs w:val="28"/>
          <w:rtl/>
        </w:rPr>
        <w:t xml:space="preserve"> </w:t>
      </w:r>
      <w:r w:rsidRPr="00007309">
        <w:rPr>
          <w:rFonts w:ascii="Cambria" w:hAnsi="Cambria" w:cs="Times New Roman" w:hint="cs"/>
          <w:b/>
          <w:bCs/>
          <w:i/>
          <w:iCs/>
          <w:sz w:val="28"/>
          <w:szCs w:val="28"/>
          <w:rtl/>
        </w:rPr>
        <w:t>פז</w:t>
      </w:r>
      <w:r w:rsidRPr="00007309">
        <w:rPr>
          <w:rFonts w:ascii="Cambria" w:hAnsi="Cambria" w:cs="Times New Roman"/>
          <w:b/>
          <w:bCs/>
          <w:i/>
          <w:iCs/>
          <w:sz w:val="28"/>
          <w:szCs w:val="28"/>
          <w:rtl/>
        </w:rPr>
        <w:t xml:space="preserve"> ע"</w:t>
      </w:r>
      <w:r w:rsidRPr="00007309">
        <w:rPr>
          <w:rFonts w:ascii="Cambria" w:hAnsi="Cambria" w:cs="Times New Roman" w:hint="cs"/>
          <w:b/>
          <w:bCs/>
          <w:i/>
          <w:iCs/>
          <w:sz w:val="28"/>
          <w:szCs w:val="28"/>
          <w:rtl/>
        </w:rPr>
        <w:t>ב</w:t>
      </w:r>
      <w:r w:rsidRPr="00007309">
        <w:rPr>
          <w:rFonts w:ascii="Cambria" w:hAnsi="Cambria" w:cs="Times New Roman"/>
          <w:b/>
          <w:bCs/>
          <w:i/>
          <w:iCs/>
          <w:sz w:val="28"/>
          <w:szCs w:val="28"/>
          <w:rtl/>
        </w:rPr>
        <w:t>]</w:t>
      </w:r>
    </w:p>
    <w:p w:rsidR="00007309" w:rsidRPr="00007309" w:rsidRDefault="00007309" w:rsidP="00007309">
      <w:pPr>
        <w:jc w:val="both"/>
        <w:rPr>
          <w:rFonts w:cs="Arial"/>
          <w:b/>
          <w:bCs/>
          <w:sz w:val="24"/>
          <w:szCs w:val="24"/>
          <w:rtl/>
        </w:rPr>
      </w:pPr>
      <w:r w:rsidRPr="00007309">
        <w:rPr>
          <w:rFonts w:cs="Arial"/>
          <w:b/>
          <w:bCs/>
          <w:sz w:val="24"/>
          <w:szCs w:val="24"/>
          <w:rtl/>
        </w:rPr>
        <w:t xml:space="preserve">כַּד יִשְׂרָאֵל </w:t>
      </w:r>
      <w:r w:rsidRPr="00007309">
        <w:rPr>
          <w:rFonts w:ascii="Cambria" w:hAnsi="Cambria" w:cs="Times New Roman"/>
          <w:b/>
          <w:bCs/>
          <w:i/>
          <w:iCs/>
          <w:color w:val="4F81BD"/>
          <w:sz w:val="24"/>
          <w:szCs w:val="24"/>
          <w:rtl/>
        </w:rPr>
        <w:t>(פז ע"</w:t>
      </w:r>
      <w:r w:rsidRPr="00007309">
        <w:rPr>
          <w:rFonts w:ascii="Cambria" w:hAnsi="Cambria" w:cs="Times New Roman" w:hint="cs"/>
          <w:b/>
          <w:bCs/>
          <w:i/>
          <w:iCs/>
          <w:color w:val="4F81BD"/>
          <w:sz w:val="24"/>
          <w:szCs w:val="24"/>
          <w:rtl/>
        </w:rPr>
        <w:t>ב</w:t>
      </w:r>
      <w:r w:rsidRPr="00007309">
        <w:rPr>
          <w:rFonts w:ascii="Cambria" w:hAnsi="Cambria" w:cs="Times New Roman"/>
          <w:b/>
          <w:bCs/>
          <w:i/>
          <w:iCs/>
          <w:color w:val="4F81BD"/>
          <w:sz w:val="24"/>
          <w:szCs w:val="24"/>
          <w:rtl/>
        </w:rPr>
        <w:t>)</w:t>
      </w:r>
      <w:r w:rsidRPr="00007309">
        <w:rPr>
          <w:rFonts w:cs="Arial"/>
          <w:b/>
          <w:bCs/>
          <w:sz w:val="24"/>
          <w:szCs w:val="24"/>
          <w:rtl/>
        </w:rPr>
        <w:t xml:space="preserve"> פָּתְחִין בִּתְיוּבְתָּא </w:t>
      </w:r>
      <w:r w:rsidRPr="00007309">
        <w:rPr>
          <w:rFonts w:cs="Arial"/>
          <w:b/>
          <w:bCs/>
          <w:sz w:val="36"/>
          <w:szCs w:val="28"/>
          <w:vertAlign w:val="superscript"/>
          <w:rtl/>
        </w:rPr>
        <w:footnoteReference w:id="8411"/>
      </w:r>
      <w:r w:rsidRPr="00007309">
        <w:rPr>
          <w:rFonts w:cs="Arial"/>
          <w:b/>
          <w:bCs/>
          <w:sz w:val="24"/>
          <w:szCs w:val="24"/>
          <w:rtl/>
        </w:rPr>
        <w:t>שׁוֹשַׁנָּה אִתְפַּתְּחַת לְגַבֵּי בַּעְלָהּ דְּאִיהוּ רֵיחַ דִּילָהּ, וְהַהוּא רֵיחָא סָלִיק לְגַבֵּי אַבָּא וְאִמָּא דְּאִנּוּן יָ'הּ, וַיָּרַח ה' אֶת רֵיחַ</w:t>
      </w:r>
      <w:r w:rsidRPr="00007309">
        <w:rPr>
          <w:rFonts w:cs="Arial" w:hint="cs"/>
          <w:b/>
          <w:bCs/>
          <w:sz w:val="24"/>
          <w:szCs w:val="24"/>
          <w:rtl/>
        </w:rPr>
        <w:t>,</w:t>
      </w:r>
      <w:r w:rsidRPr="00007309">
        <w:rPr>
          <w:rFonts w:cs="Arial"/>
          <w:b/>
          <w:bCs/>
          <w:sz w:val="24"/>
          <w:szCs w:val="24"/>
          <w:rtl/>
        </w:rPr>
        <w:t xml:space="preserve"> וַיֹּאמֶר ה' אֶל לִבּוֹ. וַיֹּאמֶר ה' דָּא אַבָּא. אֶל לִבּוֹ דָּא אִמָּא דְּאִתְּמַר בָּהּ לֵב מֵבִין. דִּבְזִמְנָא דְּיִשְׂרָאֵל אִנּוּן חֲטָאָן לַאֲבוּהוֹן דִּי בִּשְׁמַיָּא אִתְּמַר </w:t>
      </w:r>
      <w:r w:rsidRPr="00007309">
        <w:rPr>
          <w:rFonts w:cs="Arial"/>
          <w:b/>
          <w:bCs/>
          <w:sz w:val="36"/>
          <w:szCs w:val="28"/>
          <w:vertAlign w:val="superscript"/>
          <w:rtl/>
        </w:rPr>
        <w:footnoteReference w:id="8412"/>
      </w:r>
      <w:r w:rsidRPr="00007309">
        <w:rPr>
          <w:rFonts w:cs="Arial"/>
          <w:b/>
          <w:bCs/>
          <w:sz w:val="24"/>
          <w:szCs w:val="24"/>
          <w:rtl/>
        </w:rPr>
        <w:t>וַיִּתְעַצֵּב אֶל לִבּוֹ. וּבְזִמְנָא דִּמְהַנְיָן יִשְׂרָאֵל לַאֲבוּהוֹן דִּי בִּשְׁמַיָּא</w:t>
      </w:r>
      <w:r w:rsidRPr="00007309">
        <w:rPr>
          <w:rFonts w:cs="Arial"/>
          <w:b/>
          <w:bCs/>
          <w:sz w:val="24"/>
          <w:szCs w:val="24"/>
        </w:rPr>
        <w:t xml:space="preserve"> </w:t>
      </w:r>
      <w:r w:rsidRPr="00007309">
        <w:rPr>
          <w:rFonts w:cs="Arial"/>
          <w:b/>
          <w:bCs/>
          <w:sz w:val="24"/>
          <w:szCs w:val="24"/>
          <w:rtl/>
        </w:rPr>
        <w:t xml:space="preserve">בְּקָרְבְּנִין דִּצְלוֹתָא כמד"א (במדבר כח) צַו אֶת בְּנֵי יִשְׂרָאֵל ואָמַרְתָּ לָהֶם אֶת קָרְבָּנִי לַחְמִי וְגוֹ' מִיָּד שֶׁמֶן וּקְטֹרֶת יְשַׂמַּח לֵב. וְגַרְמִין בְּהַהוּא רוּחָא </w:t>
      </w:r>
      <w:r w:rsidRPr="00007309">
        <w:rPr>
          <w:rFonts w:cs="Arial"/>
          <w:b/>
          <w:bCs/>
          <w:sz w:val="36"/>
          <w:szCs w:val="28"/>
          <w:vertAlign w:val="superscript"/>
          <w:rtl/>
        </w:rPr>
        <w:footnoteReference w:id="8413"/>
      </w:r>
      <w:r w:rsidRPr="00007309">
        <w:rPr>
          <w:rFonts w:cs="Arial"/>
          <w:b/>
          <w:bCs/>
          <w:sz w:val="24"/>
          <w:szCs w:val="24"/>
          <w:rtl/>
        </w:rPr>
        <w:t>לְאַרְקָא מִשְׁחָא וּנְבִיעוּ מִלְּעֵלָּא בִּשְׁכִינְתֵּהּ</w:t>
      </w:r>
      <w:r w:rsidRPr="00007309">
        <w:rPr>
          <w:rFonts w:cs="Arial" w:hint="cs"/>
          <w:b/>
          <w:bCs/>
          <w:sz w:val="24"/>
          <w:szCs w:val="24"/>
          <w:rtl/>
        </w:rPr>
        <w:t>,</w:t>
      </w:r>
      <w:r w:rsidRPr="00007309">
        <w:rPr>
          <w:rFonts w:cs="Arial"/>
          <w:b/>
          <w:bCs/>
          <w:sz w:val="24"/>
          <w:szCs w:val="24"/>
          <w:rtl/>
        </w:rPr>
        <w:t xml:space="preserve"> הָדָא הוּא דִּכְתִיב (שיר א) </w:t>
      </w:r>
      <w:r w:rsidRPr="00007309">
        <w:rPr>
          <w:rFonts w:cs="Arial"/>
          <w:b/>
          <w:bCs/>
          <w:sz w:val="36"/>
          <w:szCs w:val="28"/>
          <w:vertAlign w:val="superscript"/>
          <w:rtl/>
        </w:rPr>
        <w:footnoteReference w:id="8414"/>
      </w:r>
      <w:r w:rsidRPr="00007309">
        <w:rPr>
          <w:rFonts w:cs="Arial"/>
          <w:b/>
          <w:bCs/>
          <w:sz w:val="24"/>
          <w:szCs w:val="24"/>
          <w:rtl/>
        </w:rPr>
        <w:t xml:space="preserve">לְרֵיחַ שְׁמָנֶיךָ טוֹבִים שֶׁמֶן תּוּרַק שְׁמֶךָ עַל כֵּן עֲלָמוֹת אֲהֵבוּךָ. </w:t>
      </w:r>
      <w:r w:rsidRPr="00007309">
        <w:rPr>
          <w:rFonts w:cs="Arial"/>
          <w:b/>
          <w:bCs/>
          <w:sz w:val="36"/>
          <w:szCs w:val="28"/>
          <w:vertAlign w:val="superscript"/>
          <w:rtl/>
        </w:rPr>
        <w:footnoteReference w:id="8415"/>
      </w:r>
      <w:r w:rsidRPr="00007309">
        <w:rPr>
          <w:rFonts w:cs="Arial"/>
          <w:b/>
          <w:bCs/>
          <w:sz w:val="24"/>
          <w:szCs w:val="24"/>
          <w:rtl/>
        </w:rPr>
        <w:t xml:space="preserve">מַאי עֲלָמוֹת חַ"י עוֹלָמוֹת דִּכְלִילָן בְּחַ"י עָלְמִין דְּאִתְּמַר בְּהוֹן </w:t>
      </w:r>
      <w:r w:rsidRPr="00007309">
        <w:rPr>
          <w:rFonts w:cs="Arial"/>
          <w:b/>
          <w:bCs/>
          <w:sz w:val="36"/>
          <w:szCs w:val="28"/>
          <w:vertAlign w:val="superscript"/>
          <w:rtl/>
        </w:rPr>
        <w:footnoteReference w:id="8416"/>
      </w:r>
      <w:r w:rsidRPr="00007309">
        <w:rPr>
          <w:rFonts w:cs="Arial"/>
          <w:b/>
          <w:bCs/>
          <w:sz w:val="24"/>
          <w:szCs w:val="24"/>
          <w:rtl/>
        </w:rPr>
        <w:t>רֶכֶב אֱלֹהִים רִבּוֹתַיִם</w:t>
      </w:r>
      <w:r w:rsidRPr="00007309">
        <w:rPr>
          <w:rFonts w:cs="Arial"/>
          <w:b/>
          <w:bCs/>
          <w:sz w:val="24"/>
          <w:szCs w:val="28"/>
        </w:rPr>
        <w:t xml:space="preserve"> </w:t>
      </w:r>
      <w:r w:rsidRPr="00007309">
        <w:rPr>
          <w:rFonts w:cs="Arial"/>
          <w:b/>
          <w:bCs/>
          <w:sz w:val="24"/>
          <w:szCs w:val="24"/>
          <w:rtl/>
        </w:rPr>
        <w:t>אַלְפֵי שִׁנְאָן</w:t>
      </w:r>
      <w:r w:rsidRPr="00007309">
        <w:rPr>
          <w:rFonts w:cs="Arial" w:hint="cs"/>
          <w:b/>
          <w:bCs/>
          <w:sz w:val="24"/>
          <w:szCs w:val="24"/>
          <w:rtl/>
        </w:rPr>
        <w:t xml:space="preserve">. </w:t>
      </w:r>
    </w:p>
    <w:p w:rsidR="00007309" w:rsidRPr="00007309" w:rsidRDefault="00007309" w:rsidP="00007309">
      <w:pPr>
        <w:keepNext/>
        <w:spacing w:before="240" w:after="60"/>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[וילנא מד ע"א]</w:t>
      </w:r>
    </w:p>
    <w:p w:rsidR="00007309" w:rsidRPr="00007309" w:rsidRDefault="00007309" w:rsidP="00007309">
      <w:pPr>
        <w:jc w:val="both"/>
        <w:rPr>
          <w:rFonts w:cs="Arial"/>
          <w:b/>
          <w:bCs/>
          <w:sz w:val="24"/>
          <w:szCs w:val="24"/>
        </w:rPr>
      </w:pPr>
      <w:r w:rsidRPr="00007309">
        <w:rPr>
          <w:rFonts w:cs="Arial"/>
          <w:b/>
          <w:bCs/>
          <w:sz w:val="24"/>
          <w:szCs w:val="24"/>
          <w:rtl/>
        </w:rPr>
        <w:t>אַדְּהָכֵי הָא</w:t>
      </w:r>
      <w:r w:rsidRPr="00007309">
        <w:rPr>
          <w:rFonts w:cs="Arial" w:hint="cs"/>
          <w:b/>
          <w:bCs/>
          <w:sz w:val="24"/>
          <w:szCs w:val="24"/>
          <w:rtl/>
        </w:rPr>
        <w:t>י</w:t>
      </w:r>
      <w:r w:rsidRPr="00007309">
        <w:rPr>
          <w:rFonts w:cs="Arial"/>
          <w:b/>
          <w:bCs/>
          <w:sz w:val="24"/>
          <w:szCs w:val="24"/>
          <w:rtl/>
        </w:rPr>
        <w:t xml:space="preserve"> סָבָא אִזְדְּמַן לְגַבֵּהּ</w:t>
      </w:r>
      <w:r w:rsidRPr="00007309">
        <w:rPr>
          <w:rFonts w:cs="Arial" w:hint="cs"/>
          <w:b/>
          <w:bCs/>
          <w:sz w:val="24"/>
          <w:szCs w:val="24"/>
          <w:rtl/>
        </w:rPr>
        <w:t>.</w:t>
      </w:r>
      <w:r w:rsidRPr="00007309">
        <w:rPr>
          <w:rFonts w:cs="Arial"/>
          <w:b/>
          <w:bCs/>
          <w:sz w:val="24"/>
          <w:szCs w:val="24"/>
          <w:rtl/>
        </w:rPr>
        <w:t xml:space="preserve"> פָּתַח וְאָמַר מַאי רֶכֶ'ב. אָמַר לוֹ ר' אִיהוּ חָכְמָה רֵאשִׁית חָכְמָה. ב' בִּינָה כ' כֶּתֶר עִלָּאָה. אִנּוּן רֶכֶ'ב </w:t>
      </w:r>
      <w:r w:rsidRPr="00007309">
        <w:rPr>
          <w:rFonts w:cs="Arial"/>
          <w:b/>
          <w:bCs/>
          <w:sz w:val="36"/>
          <w:szCs w:val="28"/>
          <w:vertAlign w:val="superscript"/>
          <w:rtl/>
        </w:rPr>
        <w:footnoteReference w:id="8417"/>
      </w:r>
      <w:r w:rsidRPr="00007309">
        <w:rPr>
          <w:rFonts w:cs="Arial"/>
          <w:b/>
          <w:bCs/>
          <w:sz w:val="24"/>
          <w:szCs w:val="24"/>
          <w:rtl/>
        </w:rPr>
        <w:t xml:space="preserve">לְהַהוּא טָמִיר וְגָנִיז דְּרָכִיב עָלַיְהוּ. וְאִלֵּין תְּלָת סְפִירָן אִנּוּן רָכְבִין </w:t>
      </w:r>
      <w:r w:rsidRPr="00007309">
        <w:rPr>
          <w:rFonts w:cs="Arial"/>
          <w:b/>
          <w:bCs/>
          <w:sz w:val="36"/>
          <w:szCs w:val="28"/>
          <w:vertAlign w:val="superscript"/>
          <w:rtl/>
        </w:rPr>
        <w:footnoteReference w:id="8418"/>
      </w:r>
      <w:r w:rsidRPr="00007309">
        <w:rPr>
          <w:rFonts w:cs="Arial"/>
          <w:b/>
          <w:bCs/>
          <w:sz w:val="24"/>
          <w:szCs w:val="24"/>
          <w:rtl/>
        </w:rPr>
        <w:t xml:space="preserve">עַל חַ"י עָלְמִין דְּאִנּוּן </w:t>
      </w:r>
      <w:r w:rsidRPr="00007309">
        <w:rPr>
          <w:rFonts w:cs="Arial"/>
          <w:b/>
          <w:bCs/>
          <w:sz w:val="36"/>
          <w:szCs w:val="28"/>
          <w:vertAlign w:val="superscript"/>
          <w:rtl/>
        </w:rPr>
        <w:footnoteReference w:id="8419"/>
      </w:r>
      <w:r w:rsidRPr="00007309">
        <w:rPr>
          <w:rFonts w:cs="Arial"/>
          <w:b/>
          <w:bCs/>
          <w:sz w:val="24"/>
          <w:szCs w:val="24"/>
          <w:rtl/>
        </w:rPr>
        <w:t>תֵּשַׁע נְקֻדּוֹת כְּפוּלוֹת</w:t>
      </w:r>
      <w:r w:rsidRPr="00007309">
        <w:rPr>
          <w:rFonts w:cs="Arial" w:hint="cs"/>
          <w:b/>
          <w:bCs/>
          <w:sz w:val="24"/>
          <w:szCs w:val="24"/>
          <w:rtl/>
        </w:rPr>
        <w:t>.</w:t>
      </w:r>
      <w:r w:rsidRPr="00007309">
        <w:rPr>
          <w:rFonts w:cs="Arial"/>
          <w:b/>
          <w:bCs/>
          <w:sz w:val="24"/>
          <w:szCs w:val="24"/>
          <w:rtl/>
        </w:rPr>
        <w:t xml:space="preserve"> וְאִנּוּן </w:t>
      </w:r>
      <w:r w:rsidRPr="00007309">
        <w:rPr>
          <w:rFonts w:ascii="Cambria" w:hAnsi="Cambria" w:cs="Times New Roman"/>
          <w:b/>
          <w:bCs/>
          <w:i/>
          <w:iCs/>
          <w:color w:val="4F81BD"/>
          <w:sz w:val="24"/>
          <w:szCs w:val="24"/>
          <w:rtl/>
        </w:rPr>
        <w:t>(</w:t>
      </w:r>
      <w:r w:rsidRPr="00007309">
        <w:rPr>
          <w:rFonts w:ascii="Cambria" w:hAnsi="Cambria" w:cs="Times New Roman" w:hint="cs"/>
          <w:b/>
          <w:bCs/>
          <w:i/>
          <w:iCs/>
          <w:color w:val="4F81BD"/>
          <w:sz w:val="24"/>
          <w:szCs w:val="24"/>
          <w:rtl/>
        </w:rPr>
        <w:t>וילנא מד</w:t>
      </w:r>
      <w:r w:rsidRPr="00007309">
        <w:rPr>
          <w:rFonts w:ascii="Cambria" w:hAnsi="Cambria" w:cs="Times New Roman"/>
          <w:b/>
          <w:bCs/>
          <w:i/>
          <w:iCs/>
          <w:color w:val="4F81BD"/>
          <w:sz w:val="24"/>
          <w:szCs w:val="24"/>
          <w:rtl/>
        </w:rPr>
        <w:t xml:space="preserve"> ע"א)</w:t>
      </w:r>
      <w:r w:rsidRPr="00007309">
        <w:rPr>
          <w:rFonts w:cs="Arial"/>
          <w:b/>
          <w:bCs/>
          <w:sz w:val="24"/>
          <w:szCs w:val="24"/>
          <w:rtl/>
        </w:rPr>
        <w:t xml:space="preserve"> אָדָם עִלָּאָה טָמִיר וְגָנִיז בְּטַעֲמֵי </w:t>
      </w:r>
      <w:r w:rsidRPr="00007309">
        <w:rPr>
          <w:rFonts w:cs="Arial" w:hint="cs"/>
          <w:b/>
          <w:bCs/>
          <w:sz w:val="24"/>
          <w:szCs w:val="24"/>
          <w:rtl/>
        </w:rPr>
        <w:t>(</w:t>
      </w:r>
      <w:r w:rsidRPr="00007309">
        <w:rPr>
          <w:rFonts w:cs="Arial"/>
          <w:b/>
          <w:bCs/>
          <w:sz w:val="24"/>
          <w:szCs w:val="24"/>
          <w:rtl/>
        </w:rPr>
        <w:t>דְּ</w:t>
      </w:r>
      <w:r w:rsidRPr="00007309">
        <w:rPr>
          <w:rFonts w:cs="Arial" w:hint="cs"/>
          <w:b/>
          <w:bCs/>
          <w:sz w:val="24"/>
          <w:szCs w:val="24"/>
          <w:rtl/>
        </w:rPr>
        <w:t>)[ו</w:t>
      </w:r>
      <w:r w:rsidRPr="00007309">
        <w:rPr>
          <w:rFonts w:cs="Arial"/>
          <w:b/>
          <w:bCs/>
          <w:sz w:val="24"/>
          <w:szCs w:val="24"/>
          <w:rtl/>
        </w:rPr>
        <w:t>ְ</w:t>
      </w:r>
      <w:r w:rsidRPr="00007309">
        <w:rPr>
          <w:rFonts w:cs="Arial" w:hint="cs"/>
          <w:b/>
          <w:bCs/>
          <w:sz w:val="24"/>
          <w:szCs w:val="24"/>
          <w:rtl/>
        </w:rPr>
        <w:t>]</w:t>
      </w:r>
      <w:r w:rsidRPr="00007309">
        <w:rPr>
          <w:rFonts w:cs="Arial"/>
          <w:b/>
          <w:bCs/>
          <w:sz w:val="24"/>
          <w:szCs w:val="24"/>
          <w:rtl/>
        </w:rPr>
        <w:t xml:space="preserve">אָדָם דִּלְתַתָּא דְּאִנּוּן תֵּשַׁע נִקּוּדִין, אִנּוּן חַ"י עָלְמִין דְּשָׁט בְּהוּ עִלַּת הָעִלּוֹת, </w:t>
      </w:r>
      <w:r w:rsidRPr="00007309">
        <w:rPr>
          <w:rFonts w:cs="Arial"/>
          <w:b/>
          <w:bCs/>
          <w:sz w:val="36"/>
          <w:szCs w:val="28"/>
          <w:vertAlign w:val="superscript"/>
          <w:rtl/>
        </w:rPr>
        <w:footnoteReference w:id="8420"/>
      </w:r>
      <w:r w:rsidRPr="00007309">
        <w:rPr>
          <w:rFonts w:cs="Arial"/>
          <w:b/>
          <w:bCs/>
          <w:sz w:val="24"/>
          <w:szCs w:val="24"/>
          <w:rtl/>
        </w:rPr>
        <w:t xml:space="preserve">דְּאִיהוּ אָדָם תְּלִיתָאָה דְּלָא אִתְגַּלְּיָא בְּאוֹרַיְתָא וְשָׁט בְּהוּ </w:t>
      </w:r>
      <w:r w:rsidRPr="00007309">
        <w:rPr>
          <w:rFonts w:cs="Arial"/>
          <w:b/>
          <w:bCs/>
          <w:sz w:val="36"/>
          <w:szCs w:val="28"/>
          <w:vertAlign w:val="superscript"/>
          <w:rtl/>
        </w:rPr>
        <w:footnoteReference w:id="8421"/>
      </w:r>
      <w:r w:rsidRPr="00007309">
        <w:rPr>
          <w:rFonts w:cs="Arial"/>
          <w:b/>
          <w:bCs/>
          <w:sz w:val="24"/>
          <w:szCs w:val="24"/>
          <w:rtl/>
        </w:rPr>
        <w:t xml:space="preserve">וְאִנּוּן מֶרְכָּבָה לֵהּ. וְהַאי חַ"י </w:t>
      </w:r>
      <w:r w:rsidRPr="00007309">
        <w:rPr>
          <w:rFonts w:cs="Arial"/>
          <w:b/>
          <w:bCs/>
          <w:sz w:val="36"/>
          <w:szCs w:val="28"/>
          <w:vertAlign w:val="superscript"/>
          <w:rtl/>
        </w:rPr>
        <w:footnoteReference w:id="8422"/>
      </w:r>
      <w:r w:rsidRPr="00007309">
        <w:rPr>
          <w:rFonts w:cs="Arial"/>
          <w:b/>
          <w:bCs/>
          <w:sz w:val="24"/>
          <w:szCs w:val="24"/>
          <w:rtl/>
        </w:rPr>
        <w:t>בָּאָן סָלִיק בויר"ח. וּבְגִינֵהּ אִתְּמַר וַיָּרַח ה' אֶת רֵיחַ הַנִּיחֹחַ. וְכַד יִשְׂרָאֵל</w:t>
      </w:r>
      <w:r w:rsidRPr="00007309">
        <w:rPr>
          <w:rFonts w:cs="Arial" w:hint="cs"/>
          <w:b/>
          <w:bCs/>
          <w:sz w:val="24"/>
          <w:szCs w:val="24"/>
          <w:rtl/>
        </w:rPr>
        <w:t xml:space="preserve"> </w:t>
      </w:r>
      <w:r w:rsidRPr="00007309">
        <w:rPr>
          <w:rFonts w:cs="Arial"/>
          <w:b/>
          <w:bCs/>
          <w:sz w:val="24"/>
          <w:szCs w:val="24"/>
          <w:rtl/>
        </w:rPr>
        <w:t xml:space="preserve">סָלְקִין בִּרְכָּאן </w:t>
      </w:r>
      <w:r w:rsidRPr="00007309">
        <w:rPr>
          <w:rFonts w:cs="Arial"/>
          <w:b/>
          <w:bCs/>
          <w:sz w:val="36"/>
          <w:szCs w:val="28"/>
          <w:vertAlign w:val="superscript"/>
          <w:rtl/>
        </w:rPr>
        <w:footnoteReference w:id="8423"/>
      </w:r>
      <w:r w:rsidRPr="00007309">
        <w:rPr>
          <w:rFonts w:cs="Arial"/>
          <w:b/>
          <w:bCs/>
          <w:sz w:val="24"/>
          <w:szCs w:val="24"/>
          <w:rtl/>
        </w:rPr>
        <w:t xml:space="preserve">בִּצְלוֹתִין </w:t>
      </w:r>
      <w:r w:rsidRPr="00007309">
        <w:rPr>
          <w:rFonts w:cs="Arial"/>
          <w:b/>
          <w:bCs/>
          <w:sz w:val="36"/>
          <w:szCs w:val="28"/>
          <w:vertAlign w:val="superscript"/>
          <w:rtl/>
        </w:rPr>
        <w:footnoteReference w:id="8424"/>
      </w:r>
      <w:r w:rsidRPr="00007309">
        <w:rPr>
          <w:rFonts w:cs="Arial"/>
          <w:b/>
          <w:bCs/>
          <w:sz w:val="24"/>
          <w:szCs w:val="24"/>
          <w:rtl/>
        </w:rPr>
        <w:t xml:space="preserve">לְגַבֵּהּ כַּדְקָא יָאוּת, מִיָּד אִתְהַנֵּי מִתַּמָּן. מַה כְּתִיב </w:t>
      </w:r>
      <w:r w:rsidRPr="00007309">
        <w:rPr>
          <w:rFonts w:cs="Arial"/>
          <w:b/>
          <w:bCs/>
          <w:sz w:val="36"/>
          <w:szCs w:val="28"/>
          <w:vertAlign w:val="superscript"/>
          <w:rtl/>
        </w:rPr>
        <w:footnoteReference w:id="8425"/>
      </w:r>
      <w:r w:rsidRPr="00007309">
        <w:rPr>
          <w:rFonts w:cs="Arial"/>
          <w:b/>
          <w:bCs/>
          <w:sz w:val="24"/>
          <w:szCs w:val="24"/>
          <w:rtl/>
        </w:rPr>
        <w:t>וַיֹּאמֶר ה' אֶל לִבּוֹ (</w:t>
      </w:r>
      <w:r w:rsidRPr="00007309">
        <w:rPr>
          <w:rFonts w:cs="Arial"/>
          <w:sz w:val="36"/>
          <w:szCs w:val="28"/>
          <w:rtl/>
        </w:rPr>
        <w:t>עכ"מ)</w:t>
      </w:r>
      <w:r w:rsidRPr="00007309">
        <w:rPr>
          <w:rFonts w:cs="Arial"/>
          <w:b/>
          <w:bCs/>
          <w:sz w:val="24"/>
          <w:szCs w:val="24"/>
        </w:rPr>
        <w:t>:</w:t>
      </w:r>
    </w:p>
    <w:p w:rsidR="00007309" w:rsidRPr="00007309" w:rsidRDefault="00007309" w:rsidP="00007309">
      <w:pPr>
        <w:jc w:val="both"/>
        <w:rPr>
          <w:rFonts w:cs="Arial"/>
          <w:sz w:val="24"/>
          <w:szCs w:val="24"/>
        </w:rPr>
      </w:pPr>
      <w:r w:rsidRPr="00007309">
        <w:rPr>
          <w:rFonts w:cs="Arial"/>
          <w:sz w:val="24"/>
          <w:szCs w:val="24"/>
          <w:rtl/>
        </w:rPr>
        <w:t>זה שייך לפרשת לך לך</w:t>
      </w:r>
      <w:r w:rsidRPr="00007309">
        <w:rPr>
          <w:rFonts w:cs="Arial"/>
          <w:sz w:val="24"/>
          <w:szCs w:val="24"/>
        </w:rPr>
        <w:t xml:space="preserve">: </w:t>
      </w:r>
    </w:p>
    <w:p w:rsidR="00007309" w:rsidRPr="00007309" w:rsidRDefault="00007309" w:rsidP="00007309">
      <w:pPr>
        <w:jc w:val="both"/>
        <w:rPr>
          <w:rFonts w:cs="Arial"/>
          <w:b/>
          <w:bCs/>
          <w:sz w:val="24"/>
          <w:szCs w:val="24"/>
          <w:rtl/>
        </w:rPr>
      </w:pPr>
      <w:r w:rsidRPr="00007309">
        <w:rPr>
          <w:rFonts w:cs="Arial" w:hint="cs"/>
          <w:b/>
          <w:bCs/>
          <w:sz w:val="24"/>
          <w:szCs w:val="24"/>
          <w:rtl/>
        </w:rPr>
        <w:t xml:space="preserve">תיקונים. </w:t>
      </w:r>
      <w:r w:rsidRPr="00007309">
        <w:rPr>
          <w:rFonts w:cs="Arial"/>
          <w:b/>
          <w:bCs/>
          <w:sz w:val="24"/>
          <w:szCs w:val="24"/>
          <w:rtl/>
        </w:rPr>
        <w:t xml:space="preserve">וְהַמַּשְׂכִילִים יַזְהִרוּ כְּזֹהַר הָרָקִיעַ וּמַצְדִּיקֵי הָרַבִּים כַּכּוֹכָבִים לְעוֹלָם וָעֶד. </w:t>
      </w:r>
      <w:r w:rsidRPr="00007309">
        <w:rPr>
          <w:rFonts w:cs="Arial"/>
          <w:b/>
          <w:bCs/>
          <w:sz w:val="36"/>
          <w:szCs w:val="28"/>
          <w:vertAlign w:val="superscript"/>
          <w:rtl/>
        </w:rPr>
        <w:footnoteReference w:id="8426"/>
      </w:r>
      <w:r w:rsidRPr="00007309">
        <w:rPr>
          <w:rFonts w:cs="Arial"/>
          <w:b/>
          <w:bCs/>
          <w:sz w:val="24"/>
          <w:szCs w:val="24"/>
          <w:rtl/>
        </w:rPr>
        <w:t xml:space="preserve">פָּתַח רִבִּי שִׁמְעוֹן וְאָמַר </w:t>
      </w:r>
      <w:r w:rsidRPr="00007309">
        <w:rPr>
          <w:rFonts w:cs="Arial" w:hint="cs"/>
          <w:b/>
          <w:bCs/>
          <w:sz w:val="24"/>
          <w:szCs w:val="24"/>
          <w:rtl/>
        </w:rPr>
        <w:t xml:space="preserve">(ירמיהו א ה) </w:t>
      </w:r>
      <w:r w:rsidRPr="00007309">
        <w:rPr>
          <w:rFonts w:cs="Arial"/>
          <w:b/>
          <w:bCs/>
          <w:sz w:val="24"/>
          <w:szCs w:val="24"/>
          <w:rtl/>
        </w:rPr>
        <w:t xml:space="preserve">בְּטֶרֶם אֶצָּרְךָ בַּבֶּטֶן יְדַעְתִּיךָ </w:t>
      </w:r>
      <w:r w:rsidRPr="00007309">
        <w:rPr>
          <w:rFonts w:cs="Arial"/>
          <w:b/>
          <w:bCs/>
          <w:sz w:val="36"/>
          <w:szCs w:val="28"/>
          <w:vertAlign w:val="superscript"/>
          <w:rtl/>
        </w:rPr>
        <w:footnoteReference w:id="8427"/>
      </w:r>
      <w:r w:rsidRPr="00007309">
        <w:rPr>
          <w:rFonts w:cs="Arial"/>
          <w:b/>
          <w:bCs/>
          <w:sz w:val="24"/>
          <w:szCs w:val="24"/>
          <w:rtl/>
        </w:rPr>
        <w:t xml:space="preserve">הָדָא הוּא דִּכְתִיב </w:t>
      </w:r>
      <w:r w:rsidRPr="00007309">
        <w:rPr>
          <w:rFonts w:cs="Arial" w:hint="cs"/>
          <w:b/>
          <w:bCs/>
          <w:sz w:val="24"/>
          <w:szCs w:val="24"/>
          <w:rtl/>
        </w:rPr>
        <w:t xml:space="preserve">(שבת קלז ע"ב) </w:t>
      </w:r>
      <w:r w:rsidRPr="00007309">
        <w:rPr>
          <w:rFonts w:cs="Arial"/>
          <w:b/>
          <w:bCs/>
          <w:sz w:val="24"/>
          <w:szCs w:val="24"/>
          <w:rtl/>
        </w:rPr>
        <w:t>אֲשֶׁר קִדַּשׁ יְדִיד מִבֶּטֶן</w:t>
      </w:r>
      <w:r w:rsidRPr="00007309">
        <w:rPr>
          <w:rFonts w:cs="Arial" w:hint="cs"/>
          <w:b/>
          <w:bCs/>
          <w:sz w:val="24"/>
          <w:szCs w:val="24"/>
          <w:rtl/>
        </w:rPr>
        <w:t xml:space="preserve">. </w:t>
      </w:r>
      <w:r w:rsidRPr="00007309">
        <w:rPr>
          <w:rFonts w:cs="Arial"/>
          <w:b/>
          <w:bCs/>
          <w:sz w:val="24"/>
          <w:szCs w:val="24"/>
          <w:rtl/>
        </w:rPr>
        <w:t xml:space="preserve">בְּטֶרֶם אֶצָּרְךָ דָּא רוּחַ דִּיצִירָה. וּבְטֶרֶם תֵצֵא מֵרֶחֶם </w:t>
      </w:r>
      <w:r w:rsidRPr="00007309">
        <w:rPr>
          <w:rFonts w:cs="Arial"/>
          <w:b/>
          <w:bCs/>
          <w:sz w:val="36"/>
          <w:szCs w:val="28"/>
          <w:vertAlign w:val="superscript"/>
          <w:rtl/>
        </w:rPr>
        <w:footnoteReference w:id="8428"/>
      </w:r>
      <w:r w:rsidRPr="00007309">
        <w:rPr>
          <w:rFonts w:cs="Arial"/>
          <w:b/>
          <w:bCs/>
          <w:sz w:val="24"/>
          <w:szCs w:val="24"/>
          <w:rtl/>
        </w:rPr>
        <w:t xml:space="preserve">דָּא נֶפֶשׁ דַּעֲשִׂיָּה. </w:t>
      </w:r>
      <w:r w:rsidRPr="00007309">
        <w:rPr>
          <w:rFonts w:cs="Arial"/>
          <w:b/>
          <w:bCs/>
          <w:sz w:val="36"/>
          <w:szCs w:val="28"/>
          <w:vertAlign w:val="superscript"/>
          <w:rtl/>
        </w:rPr>
        <w:footnoteReference w:id="8429"/>
      </w:r>
      <w:r w:rsidRPr="00007309">
        <w:rPr>
          <w:rFonts w:cs="Arial"/>
          <w:b/>
          <w:bCs/>
          <w:sz w:val="24"/>
          <w:szCs w:val="24"/>
          <w:rtl/>
        </w:rPr>
        <w:t xml:space="preserve">נָבִיא לַגּוֹיִם נְתַתִּיךָ דָּא נִשְׁמְתָא. דְּקֹדֶם דְּיֵיתֵי לְעָלְמָא בַּר נָשׁ </w:t>
      </w:r>
      <w:r w:rsidRPr="00007309">
        <w:rPr>
          <w:rFonts w:cs="Arial"/>
          <w:b/>
          <w:bCs/>
          <w:sz w:val="36"/>
          <w:szCs w:val="28"/>
          <w:vertAlign w:val="superscript"/>
          <w:rtl/>
        </w:rPr>
        <w:footnoteReference w:id="8430"/>
      </w:r>
      <w:r w:rsidRPr="00007309">
        <w:rPr>
          <w:rFonts w:cs="Arial"/>
          <w:b/>
          <w:bCs/>
          <w:sz w:val="24"/>
          <w:szCs w:val="24"/>
          <w:rtl/>
        </w:rPr>
        <w:t xml:space="preserve">אִשְׁתְּמוֹדַע לְרוּחֵהּ וְנִשְׁמָתֵהּ וְגוּפֵהּ דְּמִתְחַבְּרָן לְעֵלָּא. וּבְגִין דָּא </w:t>
      </w:r>
      <w:r w:rsidRPr="00007309">
        <w:rPr>
          <w:rFonts w:cs="Arial" w:hint="cs"/>
          <w:b/>
          <w:bCs/>
          <w:sz w:val="24"/>
          <w:szCs w:val="24"/>
          <w:rtl/>
        </w:rPr>
        <w:t xml:space="preserve">(בראשית יב א) </w:t>
      </w:r>
      <w:r w:rsidRPr="00007309">
        <w:rPr>
          <w:rFonts w:cs="Arial"/>
          <w:b/>
          <w:bCs/>
          <w:sz w:val="24"/>
          <w:szCs w:val="24"/>
          <w:rtl/>
        </w:rPr>
        <w:t xml:space="preserve">וַיֹּאמֶר ה' אֶל אַבְרָם, דָּא נִשְׁמְתָא דְּאִיהִי אָב לְרוּחָא וְנַפְשָׁא </w:t>
      </w:r>
      <w:r w:rsidRPr="00007309">
        <w:rPr>
          <w:rFonts w:cs="Arial"/>
          <w:b/>
          <w:bCs/>
          <w:sz w:val="36"/>
          <w:szCs w:val="28"/>
          <w:vertAlign w:val="superscript"/>
          <w:rtl/>
        </w:rPr>
        <w:footnoteReference w:id="8431"/>
      </w:r>
      <w:r w:rsidRPr="00007309">
        <w:rPr>
          <w:rFonts w:cs="Arial"/>
          <w:b/>
          <w:bCs/>
          <w:sz w:val="24"/>
          <w:szCs w:val="24"/>
          <w:rtl/>
        </w:rPr>
        <w:t xml:space="preserve">וְרָם לְגוּפָא. וְעַל אִלֵּין רוּחָא וְנַפְשָׁא וְגוּפָא עָלַיְהוּ אִתְּמַר </w:t>
      </w:r>
      <w:r w:rsidRPr="00007309">
        <w:rPr>
          <w:rFonts w:cs="Arial" w:hint="cs"/>
          <w:b/>
          <w:bCs/>
          <w:sz w:val="24"/>
          <w:szCs w:val="24"/>
          <w:rtl/>
        </w:rPr>
        <w:t xml:space="preserve">(איוב לג כט) </w:t>
      </w:r>
      <w:r w:rsidRPr="00007309">
        <w:rPr>
          <w:rFonts w:cs="Arial"/>
          <w:b/>
          <w:bCs/>
          <w:sz w:val="24"/>
          <w:szCs w:val="24"/>
          <w:rtl/>
        </w:rPr>
        <w:t xml:space="preserve">הֶן כָּל אֵלֶּה </w:t>
      </w:r>
      <w:r w:rsidRPr="00007309">
        <w:rPr>
          <w:rFonts w:cs="Arial"/>
          <w:b/>
          <w:bCs/>
          <w:sz w:val="36"/>
          <w:szCs w:val="28"/>
          <w:vertAlign w:val="superscript"/>
          <w:rtl/>
        </w:rPr>
        <w:footnoteReference w:id="8432"/>
      </w:r>
      <w:r w:rsidRPr="00007309">
        <w:rPr>
          <w:rFonts w:cs="Arial"/>
          <w:b/>
          <w:bCs/>
          <w:sz w:val="24"/>
          <w:szCs w:val="24"/>
          <w:rtl/>
        </w:rPr>
        <w:t>יִפְעַל אֵל פַּעֲמַיִם שָׁלוֹשׁ עִם גָּבֶר</w:t>
      </w:r>
      <w:r w:rsidRPr="00007309">
        <w:rPr>
          <w:rFonts w:cs="Arial" w:hint="cs"/>
          <w:b/>
          <w:bCs/>
          <w:sz w:val="24"/>
          <w:szCs w:val="24"/>
          <w:rtl/>
        </w:rPr>
        <w:t xml:space="preserve"> </w:t>
      </w:r>
      <w:r w:rsidRPr="00007309">
        <w:rPr>
          <w:rFonts w:cs="Arial"/>
          <w:b/>
          <w:bCs/>
          <w:sz w:val="24"/>
          <w:szCs w:val="24"/>
          <w:rtl/>
        </w:rPr>
        <w:t xml:space="preserve">דָּא נִשְׁמְתָא. </w:t>
      </w:r>
      <w:r w:rsidRPr="00007309">
        <w:rPr>
          <w:rFonts w:cs="Arial"/>
          <w:b/>
          <w:bCs/>
          <w:sz w:val="36"/>
          <w:szCs w:val="28"/>
          <w:vertAlign w:val="superscript"/>
          <w:rtl/>
        </w:rPr>
        <w:footnoteReference w:id="8433"/>
      </w:r>
      <w:r w:rsidRPr="00007309">
        <w:rPr>
          <w:rFonts w:cs="Arial"/>
          <w:b/>
          <w:bCs/>
          <w:sz w:val="24"/>
          <w:szCs w:val="24"/>
          <w:rtl/>
        </w:rPr>
        <w:t>לֶךְ לְךָ מֵאַרְצְךָ דָּא</w:t>
      </w:r>
      <w:r w:rsidRPr="00007309">
        <w:rPr>
          <w:rFonts w:cs="Arial"/>
          <w:b/>
          <w:bCs/>
          <w:sz w:val="24"/>
          <w:szCs w:val="24"/>
        </w:rPr>
        <w:t xml:space="preserve"> </w:t>
      </w:r>
      <w:r w:rsidRPr="00007309">
        <w:rPr>
          <w:rFonts w:cs="Arial"/>
          <w:b/>
          <w:bCs/>
          <w:sz w:val="24"/>
          <w:szCs w:val="24"/>
          <w:rtl/>
        </w:rPr>
        <w:t xml:space="preserve">שִׁנּוּי מָקוֹם. וּמִמּוֹלָדְתֶךָ דָּא שִׁנּוּי הַשֵּׁם. וּמִבֵּית אָבִיךָ דָּא שִׁנּוּי מַעֲשֶׂה. </w:t>
      </w:r>
      <w:r w:rsidRPr="00007309">
        <w:rPr>
          <w:rFonts w:cs="Arial"/>
          <w:b/>
          <w:bCs/>
          <w:sz w:val="36"/>
          <w:szCs w:val="28"/>
          <w:vertAlign w:val="superscript"/>
          <w:rtl/>
        </w:rPr>
        <w:footnoteReference w:id="8434"/>
      </w:r>
      <w:r w:rsidRPr="00007309">
        <w:rPr>
          <w:rFonts w:cs="Arial"/>
          <w:b/>
          <w:bCs/>
          <w:sz w:val="24"/>
          <w:szCs w:val="24"/>
          <w:rtl/>
        </w:rPr>
        <w:t>אֶל הָאָרֶץ אֲשֶׁר אַרְאֶךָּ דָּא גּוּף פְּלוֹנִי</w:t>
      </w:r>
      <w:r w:rsidRPr="00007309">
        <w:rPr>
          <w:rFonts w:cs="Arial" w:hint="cs"/>
          <w:b/>
          <w:bCs/>
          <w:sz w:val="24"/>
          <w:szCs w:val="24"/>
          <w:rtl/>
        </w:rPr>
        <w:t>.</w:t>
      </w:r>
      <w:r w:rsidRPr="00007309">
        <w:rPr>
          <w:rFonts w:cs="Arial"/>
          <w:b/>
          <w:bCs/>
          <w:sz w:val="24"/>
          <w:szCs w:val="24"/>
          <w:rtl/>
        </w:rPr>
        <w:t xml:space="preserve"> שִׁנּוּי מָקוֹם דָּא גִּלְגּוּלָא קַדְמָאָה, דְּאִתְעֲקָר מֵאַתְרֵהּ וְאִתְנְטַע בְּגוּפָא אָחֳרָא. וּמָאן גָּרִים לֵהּ הַאי </w:t>
      </w:r>
      <w:r w:rsidRPr="00007309">
        <w:rPr>
          <w:rFonts w:cs="Arial"/>
          <w:b/>
          <w:bCs/>
          <w:sz w:val="36"/>
          <w:szCs w:val="28"/>
          <w:vertAlign w:val="superscript"/>
          <w:rtl/>
        </w:rPr>
        <w:footnoteReference w:id="8435"/>
      </w:r>
      <w:r w:rsidRPr="00007309">
        <w:rPr>
          <w:rFonts w:cs="Arial"/>
          <w:b/>
          <w:bCs/>
          <w:sz w:val="24"/>
          <w:szCs w:val="24"/>
          <w:rtl/>
        </w:rPr>
        <w:t>בְּגִין דְּאַעֲקַר אַרְעָא קַדִּישָׁא מֵאַתְרֵהּ דְּהִיא שְׁכִינְתָּא</w:t>
      </w:r>
      <w:r w:rsidRPr="00007309">
        <w:rPr>
          <w:rFonts w:cs="Arial" w:hint="cs"/>
          <w:b/>
          <w:bCs/>
          <w:sz w:val="24"/>
          <w:szCs w:val="24"/>
          <w:rtl/>
        </w:rPr>
        <w:t>,</w:t>
      </w:r>
      <w:r w:rsidRPr="00007309">
        <w:rPr>
          <w:rFonts w:cs="Arial"/>
          <w:b/>
          <w:bCs/>
          <w:sz w:val="24"/>
          <w:szCs w:val="24"/>
          <w:rtl/>
        </w:rPr>
        <w:t xml:space="preserve"> כמ</w:t>
      </w:r>
      <w:r w:rsidRPr="00007309">
        <w:rPr>
          <w:rFonts w:cs="Arial" w:hint="cs"/>
          <w:b/>
          <w:bCs/>
          <w:sz w:val="24"/>
          <w:szCs w:val="24"/>
          <w:rtl/>
        </w:rPr>
        <w:t>ה דאתמר (ישעיה נ א)</w:t>
      </w:r>
      <w:r w:rsidRPr="00007309">
        <w:rPr>
          <w:rFonts w:cs="Arial"/>
          <w:b/>
          <w:bCs/>
          <w:sz w:val="24"/>
          <w:szCs w:val="24"/>
          <w:rtl/>
        </w:rPr>
        <w:t xml:space="preserve"> וּבְפִשְׁעֲכֶם שֻׁלְּחָה אִמְּכֶם. וּמִמּוֹלַדְתֶּךָ </w:t>
      </w:r>
      <w:r w:rsidRPr="00007309">
        <w:rPr>
          <w:rFonts w:cs="Arial"/>
          <w:b/>
          <w:bCs/>
          <w:sz w:val="36"/>
          <w:szCs w:val="28"/>
          <w:vertAlign w:val="superscript"/>
          <w:rtl/>
        </w:rPr>
        <w:footnoteReference w:id="8436"/>
      </w:r>
      <w:r w:rsidRPr="00007309">
        <w:rPr>
          <w:rFonts w:cs="Arial"/>
          <w:b/>
          <w:bCs/>
          <w:sz w:val="24"/>
          <w:szCs w:val="24"/>
          <w:rtl/>
        </w:rPr>
        <w:t xml:space="preserve">הָכָא רָזָא </w:t>
      </w:r>
      <w:r w:rsidRPr="00007309">
        <w:rPr>
          <w:rFonts w:cs="Arial" w:hint="cs"/>
          <w:b/>
          <w:bCs/>
          <w:sz w:val="24"/>
          <w:szCs w:val="24"/>
          <w:rtl/>
        </w:rPr>
        <w:t xml:space="preserve">(בראשית מח ו) </w:t>
      </w:r>
      <w:r w:rsidRPr="00007309">
        <w:rPr>
          <w:rFonts w:cs="Arial"/>
          <w:b/>
          <w:bCs/>
          <w:sz w:val="24"/>
          <w:szCs w:val="24"/>
          <w:rtl/>
        </w:rPr>
        <w:t>וּמוֹלַדְתְּךָ אֲשֶׁר הוֹלַדְתָּ אַחֲרֵיהֶם לְךָ יִהְיוּ</w:t>
      </w:r>
      <w:r w:rsidRPr="00007309">
        <w:rPr>
          <w:rFonts w:cs="Arial" w:hint="cs"/>
          <w:b/>
          <w:bCs/>
          <w:sz w:val="24"/>
          <w:szCs w:val="24"/>
          <w:rtl/>
        </w:rPr>
        <w:t>,</w:t>
      </w:r>
      <w:r w:rsidRPr="00007309">
        <w:rPr>
          <w:rFonts w:cs="Arial"/>
          <w:b/>
          <w:bCs/>
          <w:sz w:val="24"/>
          <w:szCs w:val="24"/>
          <w:rtl/>
        </w:rPr>
        <w:t xml:space="preserve"> וּבוֹ יִקָּרְאוּ בְּנַחֲלָתָם</w:t>
      </w:r>
      <w:r w:rsidRPr="00007309">
        <w:rPr>
          <w:rFonts w:cs="Arial" w:hint="cs"/>
          <w:b/>
          <w:bCs/>
          <w:sz w:val="24"/>
          <w:szCs w:val="24"/>
          <w:rtl/>
        </w:rPr>
        <w:t>,</w:t>
      </w:r>
      <w:r w:rsidRPr="00007309">
        <w:rPr>
          <w:rFonts w:cs="Arial"/>
          <w:b/>
          <w:bCs/>
          <w:sz w:val="24"/>
          <w:szCs w:val="24"/>
          <w:rtl/>
        </w:rPr>
        <w:t xml:space="preserve"> בְּגִין דְּלָא יִכָּרֵת שֵׁם הַמֵּת</w:t>
      </w:r>
      <w:r w:rsidRPr="00007309">
        <w:rPr>
          <w:rFonts w:cs="Arial" w:hint="cs"/>
          <w:b/>
          <w:bCs/>
          <w:sz w:val="24"/>
          <w:szCs w:val="24"/>
          <w:rtl/>
        </w:rPr>
        <w:t>,</w:t>
      </w:r>
      <w:r w:rsidRPr="00007309">
        <w:rPr>
          <w:rFonts w:cs="Arial"/>
          <w:b/>
          <w:bCs/>
          <w:sz w:val="24"/>
          <w:szCs w:val="24"/>
          <w:rtl/>
        </w:rPr>
        <w:t xml:space="preserve"> יִקָּרֵא עַל שֵׁם אָחִיו</w:t>
      </w:r>
      <w:r w:rsidRPr="00007309">
        <w:rPr>
          <w:rFonts w:cs="Arial" w:hint="cs"/>
          <w:b/>
          <w:bCs/>
          <w:sz w:val="24"/>
          <w:szCs w:val="24"/>
          <w:rtl/>
        </w:rPr>
        <w:t>,</w:t>
      </w:r>
      <w:r w:rsidRPr="00007309">
        <w:rPr>
          <w:rFonts w:cs="Arial"/>
          <w:b/>
          <w:bCs/>
          <w:sz w:val="24"/>
          <w:szCs w:val="24"/>
          <w:rtl/>
        </w:rPr>
        <w:t xml:space="preserve"> וְדָא שִׁנּוּי הַשֵּׁם. וּמָאן גָּרִים דָּא בְּגִין </w:t>
      </w:r>
      <w:r w:rsidRPr="00007309">
        <w:rPr>
          <w:rFonts w:cs="Arial"/>
          <w:b/>
          <w:bCs/>
          <w:sz w:val="36"/>
          <w:szCs w:val="28"/>
          <w:vertAlign w:val="superscript"/>
          <w:rtl/>
        </w:rPr>
        <w:footnoteReference w:id="8437"/>
      </w:r>
      <w:r w:rsidRPr="00007309">
        <w:rPr>
          <w:rFonts w:cs="Arial"/>
          <w:b/>
          <w:bCs/>
          <w:sz w:val="24"/>
          <w:szCs w:val="24"/>
          <w:rtl/>
        </w:rPr>
        <w:t xml:space="preserve">דְּעָקַר אִילָנָא דְּאִיהוּ עֵץ הַגַּן מֵאַתְרֵהּ, הָכֵי אִתְעֲקָר מִנֵּהּ וְאִתְקְרֵי עָקָר בְּלֹא בֵּן, עַל שֵׁם דַּעֲקִיר אִיהוּ ו' כָּלִיל שִׁית סִטְרִין מֵאַתְרֵהּ. וּמִבֵּית אָבִיךָ דָּא שִׁנּוּי מַעֲשֶׂה. וּמָאן גָּרִים לֵהּ הַאי בְּגִין דְּחָב בְּמַעֲשֶׂה דְּאִיהִי אִמָּא עִלָּאָה </w:t>
      </w:r>
      <w:r w:rsidRPr="00007309">
        <w:rPr>
          <w:rFonts w:cs="Arial"/>
          <w:b/>
          <w:bCs/>
          <w:sz w:val="36"/>
          <w:szCs w:val="28"/>
          <w:vertAlign w:val="superscript"/>
          <w:rtl/>
        </w:rPr>
        <w:footnoteReference w:id="8438"/>
      </w:r>
      <w:r w:rsidRPr="00007309">
        <w:rPr>
          <w:rFonts w:cs="Arial"/>
          <w:b/>
          <w:bCs/>
          <w:sz w:val="24"/>
          <w:szCs w:val="24"/>
          <w:rtl/>
        </w:rPr>
        <w:t xml:space="preserve">מַעֲשֵׂה בְּרֵאשִׁית </w:t>
      </w:r>
      <w:r w:rsidRPr="00007309">
        <w:rPr>
          <w:rFonts w:cs="Arial"/>
          <w:b/>
          <w:bCs/>
          <w:sz w:val="36"/>
          <w:szCs w:val="28"/>
          <w:vertAlign w:val="superscript"/>
          <w:rtl/>
        </w:rPr>
        <w:footnoteReference w:id="8439"/>
      </w:r>
      <w:r w:rsidRPr="00007309">
        <w:rPr>
          <w:rFonts w:cs="Arial"/>
          <w:b/>
          <w:bCs/>
          <w:sz w:val="24"/>
          <w:szCs w:val="24"/>
          <w:rtl/>
        </w:rPr>
        <w:t xml:space="preserve">דְּתַמָּן מַחֲשָׁבָה גְּנִיזָא דְּלֵית עֲשִׂיָּה בְּלֹא מַחֲשָׁבָה הָדָא הוּא דִּכְתִיב כֻּלָּם בְּחָכְמָה עָשִׂיתָ. אֶל הָאָרֶץ אֲשֶׁר אַרְאֶךָּ דָּא גּוּפָא. כְּפוּם דְּאִיהוּ מְחֻיָּב בְּחוֹבִין, הָכֵי אִתְנְטַע בֵּהּ וְאִתְרְכִיב עַד דְּאַחְזַר מַה דְּאַעֲקַר לְאַתְרֵהּ. </w:t>
      </w:r>
    </w:p>
    <w:p w:rsidR="00007309" w:rsidRPr="00007309" w:rsidRDefault="00007309" w:rsidP="00007309">
      <w:pPr>
        <w:jc w:val="both"/>
        <w:rPr>
          <w:rFonts w:cs="Arial"/>
          <w:b/>
          <w:bCs/>
          <w:sz w:val="24"/>
          <w:szCs w:val="24"/>
          <w:rtl/>
        </w:rPr>
      </w:pPr>
      <w:r w:rsidRPr="00007309">
        <w:rPr>
          <w:rFonts w:cs="Arial"/>
          <w:b/>
          <w:bCs/>
          <w:sz w:val="24"/>
          <w:szCs w:val="24"/>
          <w:rtl/>
        </w:rPr>
        <w:t xml:space="preserve">קָם עַמּוּדָא בָּתַר טוּלָא דְּרַבִּי שִׁמְעוֹן וְאָמַר, רַבִּי רַבִּי רָזָא דָּא רָזָא אָחֳרָא עִלָּאָה אִית בְּגִלְגּוּלָא לְעֵלָּא בְּדַרְגִּין עִלָּאִין. וְדָא אִיהוּ וַיֹּאמֶר יְיָ אֶל אַבְרָם. </w:t>
      </w:r>
      <w:r w:rsidRPr="00007309">
        <w:rPr>
          <w:rFonts w:cs="Arial"/>
          <w:b/>
          <w:bCs/>
          <w:sz w:val="36"/>
          <w:szCs w:val="28"/>
          <w:vertAlign w:val="superscript"/>
          <w:rtl/>
        </w:rPr>
        <w:footnoteReference w:id="8440"/>
      </w:r>
      <w:r w:rsidRPr="00007309">
        <w:rPr>
          <w:rFonts w:cs="Arial"/>
          <w:b/>
          <w:bCs/>
          <w:sz w:val="24"/>
          <w:szCs w:val="24"/>
          <w:rtl/>
        </w:rPr>
        <w:t xml:space="preserve">דָּא אִיהוּ דְּאִתְּמַר בֵּהּ </w:t>
      </w:r>
      <w:r w:rsidRPr="00007309">
        <w:rPr>
          <w:rFonts w:cs="Arial" w:hint="cs"/>
          <w:b/>
          <w:bCs/>
          <w:sz w:val="24"/>
          <w:szCs w:val="24"/>
          <w:rtl/>
        </w:rPr>
        <w:t xml:space="preserve">(מלאכי ב י) </w:t>
      </w:r>
      <w:r w:rsidRPr="00007309">
        <w:rPr>
          <w:rFonts w:cs="Arial"/>
          <w:b/>
          <w:bCs/>
          <w:sz w:val="24"/>
          <w:szCs w:val="24"/>
          <w:rtl/>
        </w:rPr>
        <w:t xml:space="preserve">הֲלֹא אָב אֶחָד לְכֻלָּנוּ. </w:t>
      </w:r>
      <w:r w:rsidRPr="00007309">
        <w:rPr>
          <w:rFonts w:cs="Arial"/>
          <w:b/>
          <w:bCs/>
          <w:sz w:val="36"/>
          <w:szCs w:val="28"/>
          <w:vertAlign w:val="superscript"/>
          <w:rtl/>
        </w:rPr>
        <w:footnoteReference w:id="8441"/>
      </w:r>
      <w:r w:rsidRPr="00007309">
        <w:rPr>
          <w:rFonts w:cs="Arial"/>
          <w:b/>
          <w:bCs/>
          <w:sz w:val="24"/>
          <w:szCs w:val="24"/>
          <w:rtl/>
        </w:rPr>
        <w:t>וּמָאן אָמַר לוֹ</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442"/>
      </w:r>
      <w:r w:rsidRPr="00007309">
        <w:rPr>
          <w:rFonts w:cs="Arial"/>
          <w:b/>
          <w:bCs/>
          <w:sz w:val="24"/>
          <w:szCs w:val="24"/>
          <w:rtl/>
        </w:rPr>
        <w:t>הַהוּא רָם דְּעָלֵהּ</w:t>
      </w:r>
      <w:r w:rsidRPr="00007309">
        <w:rPr>
          <w:rFonts w:cs="Arial" w:hint="cs"/>
          <w:b/>
          <w:bCs/>
          <w:sz w:val="24"/>
          <w:szCs w:val="24"/>
          <w:rtl/>
        </w:rPr>
        <w:t>,</w:t>
      </w:r>
      <w:r w:rsidRPr="00007309">
        <w:rPr>
          <w:rFonts w:cs="Arial"/>
          <w:b/>
          <w:bCs/>
          <w:sz w:val="24"/>
          <w:szCs w:val="24"/>
          <w:rtl/>
        </w:rPr>
        <w:t xml:space="preserve"> דְּאִיהוּ רָם עַל כָּל גְּבוֹהִים. וּמָה אָמַר לוֹ</w:t>
      </w:r>
      <w:r w:rsidRPr="00007309">
        <w:rPr>
          <w:rFonts w:cs="Arial" w:hint="cs"/>
          <w:b/>
          <w:bCs/>
          <w:sz w:val="24"/>
          <w:szCs w:val="24"/>
          <w:rtl/>
        </w:rPr>
        <w:t>,</w:t>
      </w:r>
      <w:r w:rsidRPr="00007309">
        <w:rPr>
          <w:rFonts w:cs="Arial"/>
          <w:b/>
          <w:bCs/>
          <w:sz w:val="24"/>
          <w:szCs w:val="24"/>
          <w:rtl/>
        </w:rPr>
        <w:t xml:space="preserve"> לֵךְ לְךָ</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443"/>
      </w:r>
      <w:r w:rsidRPr="00007309">
        <w:rPr>
          <w:rFonts w:cs="Arial"/>
          <w:b/>
          <w:bCs/>
          <w:sz w:val="24"/>
          <w:szCs w:val="24"/>
          <w:rtl/>
        </w:rPr>
        <w:t>תְּרֵין תֵּירוּכִין</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444"/>
      </w:r>
      <w:r w:rsidRPr="00007309">
        <w:rPr>
          <w:rFonts w:cs="Arial"/>
          <w:b/>
          <w:bCs/>
          <w:sz w:val="24"/>
          <w:szCs w:val="24"/>
          <w:rtl/>
        </w:rPr>
        <w:t>אִנּוּן י' י' מִן א</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445"/>
      </w:r>
      <w:r w:rsidRPr="00007309">
        <w:rPr>
          <w:rFonts w:cs="Arial"/>
          <w:b/>
          <w:bCs/>
          <w:sz w:val="24"/>
          <w:szCs w:val="24"/>
          <w:rtl/>
        </w:rPr>
        <w:t xml:space="preserve">אָת ו' מִתַּמָּן תָּרִיךְ לֵהּ הַהוּא רָם עַל כָּל רָמִים, דְּאִיהוּ עִלַּת עַל כָּל עִלָּאִין. וּלְאָן שָׁלַח לֵהּ, אֶל הָאָרֶץ אֲשֶׁר אַרְאֶךָ, דָּא שְׁכִינְתָּא תַּתָּאָה. </w:t>
      </w:r>
    </w:p>
    <w:p w:rsidR="00007309" w:rsidRPr="00007309" w:rsidRDefault="00007309" w:rsidP="00007309">
      <w:pPr>
        <w:keepNext/>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[וילנא מד ע"ב]</w:t>
      </w:r>
    </w:p>
    <w:p w:rsidR="00007309" w:rsidRPr="00007309" w:rsidRDefault="00007309" w:rsidP="00007309">
      <w:pPr>
        <w:jc w:val="both"/>
        <w:rPr>
          <w:rFonts w:cs="Arial"/>
          <w:b/>
          <w:bCs/>
          <w:sz w:val="24"/>
          <w:szCs w:val="24"/>
        </w:rPr>
      </w:pPr>
      <w:r w:rsidRPr="00007309">
        <w:rPr>
          <w:rFonts w:cs="Arial"/>
          <w:b/>
          <w:bCs/>
          <w:sz w:val="24"/>
          <w:szCs w:val="24"/>
          <w:rtl/>
        </w:rPr>
        <w:t xml:space="preserve">אָמַר לוֹ רִבִּי שִׁמְעוֹן אִי הָכֵי מַאי מֵאַרְצְךָ וּמִמּוֹלַדְתֶּךָ. אָמַר לוֹ רִבִּי רִבִּי </w:t>
      </w:r>
      <w:r w:rsidRPr="00007309">
        <w:rPr>
          <w:rFonts w:cs="Arial"/>
          <w:b/>
          <w:bCs/>
          <w:sz w:val="36"/>
          <w:szCs w:val="28"/>
          <w:vertAlign w:val="superscript"/>
          <w:rtl/>
        </w:rPr>
        <w:footnoteReference w:id="8446"/>
      </w:r>
      <w:r w:rsidRPr="00007309">
        <w:rPr>
          <w:rFonts w:cs="Arial"/>
          <w:b/>
          <w:bCs/>
          <w:sz w:val="24"/>
          <w:szCs w:val="24"/>
          <w:rtl/>
        </w:rPr>
        <w:t xml:space="preserve">תְּלָת אַלְפִין אִנּוּן מִתְּלָת שְׁמָהָן דְּאִנּוּן אֶהְיֶ"ה אֶהְיֶ"ה אֶהְיֶ"ה דְּאִתְּמַר לְמֹשֶׁה עָלַיְהוּ </w:t>
      </w:r>
      <w:r w:rsidRPr="00007309">
        <w:rPr>
          <w:rFonts w:cs="Arial"/>
          <w:b/>
          <w:bCs/>
          <w:sz w:val="36"/>
          <w:szCs w:val="28"/>
          <w:vertAlign w:val="superscript"/>
          <w:rtl/>
        </w:rPr>
        <w:footnoteReference w:id="8447"/>
      </w:r>
      <w:r w:rsidRPr="00007309">
        <w:rPr>
          <w:rFonts w:cs="Arial"/>
          <w:b/>
          <w:bCs/>
          <w:sz w:val="24"/>
          <w:szCs w:val="24"/>
          <w:rtl/>
        </w:rPr>
        <w:t xml:space="preserve">דְּאִיהוּ דִּיּוֹקְנָא דְּהַהוּא ו' עִלָּאָה. </w:t>
      </w:r>
      <w:r w:rsidRPr="00007309">
        <w:rPr>
          <w:rFonts w:cs="Arial" w:hint="cs"/>
          <w:b/>
          <w:bCs/>
          <w:sz w:val="24"/>
          <w:szCs w:val="24"/>
          <w:rtl/>
        </w:rPr>
        <w:t xml:space="preserve">(שמות ג יד) </w:t>
      </w:r>
      <w:r w:rsidRPr="00007309">
        <w:rPr>
          <w:rFonts w:cs="Arial"/>
          <w:b/>
          <w:bCs/>
          <w:sz w:val="24"/>
          <w:szCs w:val="24"/>
          <w:rtl/>
        </w:rPr>
        <w:t>וַיֹּאמֶר ה' אֶל מֹשֶׁה אֶהְיֶה אֲשֶׁר אֶהְיֶה אֶהְיֶה שְׁלָחַנִי</w:t>
      </w:r>
      <w:r w:rsidRPr="00007309">
        <w:rPr>
          <w:rFonts w:cs="Arial"/>
          <w:b/>
          <w:bCs/>
          <w:sz w:val="24"/>
          <w:szCs w:val="24"/>
        </w:rPr>
        <w:t xml:space="preserve"> </w:t>
      </w:r>
      <w:r w:rsidRPr="00007309">
        <w:rPr>
          <w:rFonts w:cs="Arial"/>
          <w:b/>
          <w:bCs/>
          <w:sz w:val="24"/>
          <w:szCs w:val="24"/>
          <w:rtl/>
        </w:rPr>
        <w:t xml:space="preserve">אֲלֵיכֶם. הָכָא אִתְרְמִיז דְּאִתְתְּרַךְ מִתְּלָת אִלֵּין, דְּאִנּוּן </w:t>
      </w:r>
      <w:r w:rsidRPr="00007309">
        <w:rPr>
          <w:rFonts w:cs="Arial"/>
          <w:b/>
          <w:bCs/>
          <w:sz w:val="36"/>
          <w:szCs w:val="28"/>
          <w:vertAlign w:val="superscript"/>
          <w:rtl/>
        </w:rPr>
        <w:footnoteReference w:id="8448"/>
      </w:r>
      <w:r w:rsidRPr="00007309">
        <w:rPr>
          <w:rFonts w:cs="Arial"/>
          <w:b/>
          <w:bCs/>
          <w:sz w:val="24"/>
          <w:szCs w:val="24"/>
          <w:rtl/>
        </w:rPr>
        <w:t xml:space="preserve">תְּלָת עָלְמִין דְּאִתְּמַר בְּהוֹן </w:t>
      </w:r>
      <w:r w:rsidRPr="00007309">
        <w:rPr>
          <w:rFonts w:cs="Arial" w:hint="cs"/>
          <w:b/>
          <w:bCs/>
          <w:sz w:val="24"/>
          <w:szCs w:val="24"/>
          <w:rtl/>
        </w:rPr>
        <w:t xml:space="preserve">(בראשית יב א) </w:t>
      </w:r>
      <w:r w:rsidRPr="00007309">
        <w:rPr>
          <w:rFonts w:cs="Arial"/>
          <w:b/>
          <w:bCs/>
          <w:sz w:val="24"/>
          <w:szCs w:val="24"/>
          <w:rtl/>
        </w:rPr>
        <w:t xml:space="preserve">מֵאַרְצְךָ וּמִמּוֹלַדְתֶּךָ וּמִבֵּית אָבִיךָ. </w:t>
      </w:r>
      <w:r w:rsidRPr="00007309">
        <w:rPr>
          <w:rFonts w:cs="Arial"/>
          <w:b/>
          <w:bCs/>
          <w:sz w:val="36"/>
          <w:szCs w:val="28"/>
          <w:vertAlign w:val="superscript"/>
          <w:rtl/>
        </w:rPr>
        <w:footnoteReference w:id="8449"/>
      </w:r>
      <w:r w:rsidRPr="00007309">
        <w:rPr>
          <w:rFonts w:cs="Arial"/>
          <w:b/>
          <w:bCs/>
          <w:sz w:val="24"/>
          <w:szCs w:val="24"/>
          <w:rtl/>
        </w:rPr>
        <w:t>וְדָא אִיהִי אִמָּא עִלָּאָה דְּאִיהִי כֶּתֶר</w:t>
      </w:r>
      <w:r w:rsidRPr="00007309">
        <w:rPr>
          <w:rFonts w:cs="Arial" w:hint="cs"/>
          <w:b/>
          <w:bCs/>
          <w:sz w:val="24"/>
          <w:szCs w:val="24"/>
          <w:rtl/>
        </w:rPr>
        <w:t>,</w:t>
      </w:r>
      <w:r w:rsidRPr="00007309">
        <w:rPr>
          <w:rFonts w:cs="Arial"/>
          <w:b/>
          <w:bCs/>
          <w:sz w:val="24"/>
          <w:szCs w:val="24"/>
          <w:rtl/>
        </w:rPr>
        <w:t xml:space="preserve"> אֵם כָּל חַי</w:t>
      </w:r>
      <w:r w:rsidRPr="00007309">
        <w:rPr>
          <w:rFonts w:cs="Arial" w:hint="cs"/>
          <w:b/>
          <w:bCs/>
          <w:sz w:val="24"/>
          <w:szCs w:val="24"/>
          <w:rtl/>
        </w:rPr>
        <w:t>,</w:t>
      </w:r>
      <w:r w:rsidRPr="00007309">
        <w:rPr>
          <w:rFonts w:cs="Arial"/>
          <w:b/>
          <w:bCs/>
          <w:sz w:val="24"/>
          <w:szCs w:val="24"/>
          <w:rtl/>
        </w:rPr>
        <w:t xml:space="preserve"> דְּאָת ו' בִּמְעָהָא </w:t>
      </w:r>
      <w:r w:rsidRPr="00007309">
        <w:rPr>
          <w:rFonts w:cs="Arial"/>
          <w:b/>
          <w:bCs/>
          <w:sz w:val="36"/>
          <w:szCs w:val="28"/>
          <w:vertAlign w:val="superscript"/>
          <w:rtl/>
        </w:rPr>
        <w:footnoteReference w:id="8450"/>
      </w:r>
      <w:r w:rsidRPr="00007309">
        <w:rPr>
          <w:rFonts w:cs="Arial"/>
          <w:b/>
          <w:bCs/>
          <w:sz w:val="24"/>
          <w:szCs w:val="24"/>
          <w:rtl/>
        </w:rPr>
        <w:t xml:space="preserve">אִיהִי א בְּכֶתֶר עִלָּאָה. וְא תִּנְיָנָא בְּבִינָא וְאִיהִי אֶלֶ"ף תְּלִיתָאָה </w:t>
      </w:r>
      <w:r w:rsidRPr="00007309">
        <w:rPr>
          <w:rFonts w:cs="Arial"/>
          <w:b/>
          <w:bCs/>
          <w:sz w:val="36"/>
          <w:szCs w:val="28"/>
          <w:vertAlign w:val="superscript"/>
          <w:rtl/>
        </w:rPr>
        <w:footnoteReference w:id="8451"/>
      </w:r>
      <w:r w:rsidRPr="00007309">
        <w:rPr>
          <w:rFonts w:cs="Arial"/>
          <w:b/>
          <w:bCs/>
          <w:sz w:val="24"/>
          <w:szCs w:val="24"/>
          <w:rtl/>
        </w:rPr>
        <w:t xml:space="preserve">בְּאֶמְצָעִיתָא דְּאָת ו'. וְרָזָא דְּמִלָּה יוּ"ד הֵ"א וָא"ו הֵ"א </w:t>
      </w:r>
      <w:r w:rsidRPr="00007309">
        <w:rPr>
          <w:rFonts w:ascii="Cambria" w:hAnsi="Cambria" w:cs="Times New Roman"/>
          <w:b/>
          <w:bCs/>
          <w:i/>
          <w:iCs/>
          <w:color w:val="4F81BD"/>
          <w:sz w:val="24"/>
          <w:szCs w:val="24"/>
          <w:rtl/>
        </w:rPr>
        <w:t>(</w:t>
      </w:r>
      <w:r w:rsidRPr="00007309">
        <w:rPr>
          <w:rFonts w:ascii="Cambria" w:hAnsi="Cambria" w:cs="Times New Roman" w:hint="cs"/>
          <w:b/>
          <w:bCs/>
          <w:i/>
          <w:iCs/>
          <w:color w:val="4F81BD"/>
          <w:sz w:val="24"/>
          <w:szCs w:val="24"/>
          <w:rtl/>
        </w:rPr>
        <w:t>וילנא מד</w:t>
      </w:r>
      <w:r w:rsidRPr="00007309">
        <w:rPr>
          <w:rFonts w:ascii="Cambria" w:hAnsi="Cambria" w:cs="Times New Roman"/>
          <w:b/>
          <w:bCs/>
          <w:i/>
          <w:iCs/>
          <w:color w:val="4F81BD"/>
          <w:sz w:val="24"/>
          <w:szCs w:val="24"/>
          <w:rtl/>
        </w:rPr>
        <w:t xml:space="preserve"> ע"</w:t>
      </w:r>
      <w:r w:rsidRPr="00007309">
        <w:rPr>
          <w:rFonts w:ascii="Cambria" w:hAnsi="Cambria" w:cs="Times New Roman" w:hint="cs"/>
          <w:b/>
          <w:bCs/>
          <w:i/>
          <w:iCs/>
          <w:color w:val="4F81BD"/>
          <w:sz w:val="24"/>
          <w:szCs w:val="24"/>
          <w:rtl/>
        </w:rPr>
        <w:t>ב</w:t>
      </w:r>
      <w:r w:rsidRPr="00007309">
        <w:rPr>
          <w:rFonts w:ascii="Cambria" w:hAnsi="Cambria" w:cs="Times New Roman"/>
          <w:b/>
          <w:bCs/>
          <w:i/>
          <w:iCs/>
          <w:color w:val="4F81BD"/>
          <w:sz w:val="24"/>
          <w:szCs w:val="24"/>
          <w:rtl/>
        </w:rPr>
        <w:t>)</w:t>
      </w:r>
      <w:r w:rsidRPr="00007309">
        <w:rPr>
          <w:rFonts w:cs="Arial"/>
          <w:b/>
          <w:bCs/>
          <w:sz w:val="24"/>
          <w:szCs w:val="24"/>
          <w:rtl/>
        </w:rPr>
        <w:t xml:space="preserve"> וְאִיהִי כֶּתֶר מַלְכוּת. אֶל הָאָרֶץ דָּא שְׁכִינְתָּא תַּתָּאָה </w:t>
      </w:r>
      <w:r w:rsidRPr="00007309">
        <w:rPr>
          <w:rFonts w:cs="Arial"/>
          <w:b/>
          <w:bCs/>
          <w:sz w:val="36"/>
          <w:szCs w:val="28"/>
          <w:vertAlign w:val="superscript"/>
          <w:rtl/>
        </w:rPr>
        <w:footnoteReference w:id="8452"/>
      </w:r>
      <w:r w:rsidRPr="00007309">
        <w:rPr>
          <w:rFonts w:cs="Arial"/>
          <w:b/>
          <w:bCs/>
          <w:sz w:val="24"/>
          <w:szCs w:val="24"/>
          <w:rtl/>
        </w:rPr>
        <w:t xml:space="preserve">דִּכְלִילָן בֵהּ כֻּלְּהוּ. </w:t>
      </w:r>
      <w:r w:rsidRPr="00007309">
        <w:rPr>
          <w:rFonts w:cs="Arial"/>
          <w:b/>
          <w:bCs/>
          <w:sz w:val="36"/>
          <w:szCs w:val="28"/>
          <w:vertAlign w:val="superscript"/>
          <w:rtl/>
        </w:rPr>
        <w:footnoteReference w:id="8453"/>
      </w:r>
      <w:r w:rsidRPr="00007309">
        <w:rPr>
          <w:rFonts w:cs="Arial"/>
          <w:b/>
          <w:bCs/>
          <w:sz w:val="24"/>
          <w:szCs w:val="24"/>
          <w:rtl/>
        </w:rPr>
        <w:t>וְאֶעֶשְׂךָ לְגוֹי גָּדוֹל וַאֲבָרֶכְךָ מִסִּטְרָא דְּ</w:t>
      </w:r>
      <w:r w:rsidRPr="00007309">
        <w:rPr>
          <w:rFonts w:cs="Arial" w:hint="cs"/>
          <w:b/>
          <w:bCs/>
          <w:sz w:val="24"/>
          <w:szCs w:val="24"/>
          <w:rtl/>
        </w:rPr>
        <w:t xml:space="preserve"> </w:t>
      </w:r>
      <w:r w:rsidRPr="00007309">
        <w:rPr>
          <w:rFonts w:cs="Arial"/>
          <w:b/>
          <w:bCs/>
          <w:sz w:val="24"/>
          <w:szCs w:val="24"/>
          <w:rtl/>
        </w:rPr>
        <w:t>א עִלָּאָה. וַאֲגַדְּלָה שְׁמֶךָ מִסִּטְרָא דְּ</w:t>
      </w:r>
      <w:r w:rsidRPr="00007309">
        <w:rPr>
          <w:rFonts w:cs="Arial" w:hint="cs"/>
          <w:b/>
          <w:bCs/>
          <w:sz w:val="24"/>
          <w:szCs w:val="24"/>
          <w:rtl/>
        </w:rPr>
        <w:t xml:space="preserve"> </w:t>
      </w:r>
      <w:r w:rsidRPr="00007309">
        <w:rPr>
          <w:rFonts w:cs="Arial"/>
          <w:b/>
          <w:bCs/>
          <w:sz w:val="24"/>
          <w:szCs w:val="24"/>
          <w:rtl/>
        </w:rPr>
        <w:t xml:space="preserve">א תִּנְיָנָא. </w:t>
      </w:r>
      <w:r w:rsidRPr="00007309">
        <w:rPr>
          <w:rFonts w:cs="Arial"/>
          <w:b/>
          <w:bCs/>
          <w:sz w:val="36"/>
          <w:szCs w:val="28"/>
          <w:vertAlign w:val="superscript"/>
          <w:rtl/>
        </w:rPr>
        <w:footnoteReference w:id="8454"/>
      </w:r>
      <w:r w:rsidRPr="00007309">
        <w:rPr>
          <w:rFonts w:cs="Arial"/>
          <w:b/>
          <w:bCs/>
          <w:sz w:val="24"/>
          <w:szCs w:val="24"/>
          <w:rtl/>
        </w:rPr>
        <w:t>וֶהְיֵה בְּרָכָה מִסִּטְרָא דְּ</w:t>
      </w:r>
      <w:r w:rsidRPr="00007309">
        <w:rPr>
          <w:rFonts w:cs="Arial" w:hint="cs"/>
          <w:b/>
          <w:bCs/>
          <w:sz w:val="24"/>
          <w:szCs w:val="24"/>
          <w:rtl/>
        </w:rPr>
        <w:t xml:space="preserve"> </w:t>
      </w:r>
      <w:r w:rsidRPr="00007309">
        <w:rPr>
          <w:rFonts w:cs="Arial"/>
          <w:b/>
          <w:bCs/>
          <w:sz w:val="24"/>
          <w:szCs w:val="24"/>
          <w:rtl/>
        </w:rPr>
        <w:t>א תְּלִיתָאָה</w:t>
      </w:r>
      <w:r w:rsidRPr="00007309">
        <w:rPr>
          <w:rFonts w:cs="Arial"/>
          <w:b/>
          <w:bCs/>
          <w:sz w:val="24"/>
          <w:szCs w:val="24"/>
        </w:rPr>
        <w:t>:</w:t>
      </w:r>
    </w:p>
    <w:p w:rsidR="00007309" w:rsidRPr="00007309" w:rsidRDefault="00007309" w:rsidP="00007309">
      <w:pPr>
        <w:keepNext/>
        <w:outlineLvl w:val="1"/>
        <w:rPr>
          <w:rFonts w:ascii="Cambria" w:hAnsi="Cambria" w:cs="Times New Roman"/>
          <w:b/>
          <w:bCs/>
          <w:i/>
          <w:iCs/>
          <w:sz w:val="28"/>
          <w:szCs w:val="28"/>
          <w:rtl/>
        </w:rPr>
      </w:pPr>
      <w:r w:rsidRPr="00007309">
        <w:rPr>
          <w:rFonts w:ascii="Cambria" w:hAnsi="Cambria" w:cs="Times New Roman"/>
          <w:b/>
          <w:bCs/>
          <w:i/>
          <w:iCs/>
          <w:sz w:val="28"/>
          <w:szCs w:val="28"/>
          <w:rtl/>
        </w:rPr>
        <w:t>[</w:t>
      </w:r>
      <w:r w:rsidRPr="00007309">
        <w:rPr>
          <w:rFonts w:ascii="Cambria" w:hAnsi="Cambria" w:cs="Times New Roman" w:hint="cs"/>
          <w:b/>
          <w:bCs/>
          <w:i/>
          <w:iCs/>
          <w:sz w:val="28"/>
          <w:szCs w:val="28"/>
          <w:rtl/>
        </w:rPr>
        <w:t>דף</w:t>
      </w:r>
      <w:r w:rsidRPr="00007309">
        <w:rPr>
          <w:rFonts w:ascii="Cambria" w:hAnsi="Cambria" w:cs="Times New Roman"/>
          <w:b/>
          <w:bCs/>
          <w:i/>
          <w:iCs/>
          <w:sz w:val="28"/>
          <w:szCs w:val="28"/>
          <w:rtl/>
        </w:rPr>
        <w:t xml:space="preserve"> </w:t>
      </w:r>
      <w:r w:rsidRPr="00007309">
        <w:rPr>
          <w:rFonts w:ascii="Cambria" w:hAnsi="Cambria" w:cs="Times New Roman" w:hint="cs"/>
          <w:b/>
          <w:bCs/>
          <w:i/>
          <w:iCs/>
          <w:sz w:val="28"/>
          <w:szCs w:val="28"/>
          <w:rtl/>
        </w:rPr>
        <w:t>פז</w:t>
      </w:r>
      <w:r w:rsidRPr="00007309">
        <w:rPr>
          <w:rFonts w:ascii="Cambria" w:hAnsi="Cambria" w:cs="Times New Roman"/>
          <w:b/>
          <w:bCs/>
          <w:i/>
          <w:iCs/>
          <w:sz w:val="28"/>
          <w:szCs w:val="28"/>
          <w:rtl/>
        </w:rPr>
        <w:t xml:space="preserve"> ע"</w:t>
      </w:r>
      <w:r w:rsidRPr="00007309">
        <w:rPr>
          <w:rFonts w:ascii="Cambria" w:hAnsi="Cambria" w:cs="Times New Roman" w:hint="cs"/>
          <w:b/>
          <w:bCs/>
          <w:i/>
          <w:iCs/>
          <w:sz w:val="28"/>
          <w:szCs w:val="28"/>
          <w:rtl/>
        </w:rPr>
        <w:t>ג</w:t>
      </w:r>
      <w:r w:rsidRPr="00007309">
        <w:rPr>
          <w:rFonts w:ascii="Cambria" w:hAnsi="Cambria" w:cs="Times New Roman"/>
          <w:b/>
          <w:bCs/>
          <w:i/>
          <w:iCs/>
          <w:sz w:val="28"/>
          <w:szCs w:val="28"/>
          <w:rtl/>
        </w:rPr>
        <w:t>]</w:t>
      </w:r>
    </w:p>
    <w:p w:rsidR="00007309" w:rsidRPr="00007309" w:rsidRDefault="00007309" w:rsidP="00007309">
      <w:pPr>
        <w:jc w:val="both"/>
        <w:rPr>
          <w:rFonts w:cs="Arial"/>
          <w:b/>
          <w:bCs/>
          <w:sz w:val="24"/>
          <w:szCs w:val="24"/>
        </w:rPr>
      </w:pPr>
      <w:r w:rsidRPr="00007309">
        <w:rPr>
          <w:rFonts w:ascii="Cambria" w:hAnsi="Cambria" w:cs="Times New Roman"/>
          <w:b/>
          <w:bCs/>
          <w:i/>
          <w:iCs/>
          <w:color w:val="4F81BD"/>
          <w:sz w:val="24"/>
          <w:szCs w:val="24"/>
          <w:rtl/>
        </w:rPr>
        <w:t xml:space="preserve"> (</w:t>
      </w:r>
      <w:r w:rsidRPr="00007309">
        <w:rPr>
          <w:rFonts w:ascii="Cambria" w:hAnsi="Cambria" w:cs="Times New Roman" w:hint="cs"/>
          <w:b/>
          <w:bCs/>
          <w:i/>
          <w:iCs/>
          <w:color w:val="4F81BD"/>
          <w:sz w:val="24"/>
          <w:szCs w:val="24"/>
          <w:rtl/>
        </w:rPr>
        <w:t>פז</w:t>
      </w:r>
      <w:r w:rsidRPr="00007309">
        <w:rPr>
          <w:rFonts w:ascii="Cambria" w:hAnsi="Cambria" w:cs="Times New Roman"/>
          <w:b/>
          <w:bCs/>
          <w:i/>
          <w:iCs/>
          <w:color w:val="4F81BD"/>
          <w:sz w:val="24"/>
          <w:szCs w:val="24"/>
          <w:rtl/>
        </w:rPr>
        <w:t xml:space="preserve"> ע"</w:t>
      </w:r>
      <w:r w:rsidRPr="00007309">
        <w:rPr>
          <w:rFonts w:ascii="Cambria" w:hAnsi="Cambria" w:cs="Times New Roman" w:hint="cs"/>
          <w:b/>
          <w:bCs/>
          <w:i/>
          <w:iCs/>
          <w:color w:val="4F81BD"/>
          <w:sz w:val="24"/>
          <w:szCs w:val="24"/>
          <w:rtl/>
        </w:rPr>
        <w:t>ג</w:t>
      </w:r>
      <w:r w:rsidRPr="00007309">
        <w:rPr>
          <w:rFonts w:ascii="Cambria" w:hAnsi="Cambria" w:cs="Times New Roman"/>
          <w:b/>
          <w:bCs/>
          <w:i/>
          <w:iCs/>
          <w:color w:val="4F81BD"/>
          <w:sz w:val="24"/>
          <w:szCs w:val="24"/>
          <w:rtl/>
        </w:rPr>
        <w:t>)</w:t>
      </w:r>
      <w:r w:rsidRPr="00007309">
        <w:rPr>
          <w:rFonts w:cs="Arial"/>
          <w:b/>
          <w:bCs/>
          <w:sz w:val="24"/>
          <w:szCs w:val="24"/>
          <w:rtl/>
        </w:rPr>
        <w:t xml:space="preserve"> וַיְהִי רָעָב בָּאָרֶץ וַיֵּרֶד אַבְרָם מִצְרַיְמָה</w:t>
      </w:r>
      <w:r w:rsidRPr="00007309">
        <w:rPr>
          <w:rFonts w:cs="Arial" w:hint="cs"/>
          <w:b/>
          <w:bCs/>
          <w:sz w:val="24"/>
          <w:szCs w:val="24"/>
          <w:rtl/>
        </w:rPr>
        <w:t xml:space="preserve"> (בראשית יב י).</w:t>
      </w:r>
      <w:r w:rsidRPr="00007309">
        <w:rPr>
          <w:rFonts w:cs="Arial"/>
          <w:b/>
          <w:bCs/>
          <w:sz w:val="24"/>
          <w:szCs w:val="24"/>
          <w:rtl/>
        </w:rPr>
        <w:t xml:space="preserve"> דַּע כִּי לִבָּא אִיהוּ דִּיּוּרָא דְּנִשְׁמְתָא וְאִיהִ</w:t>
      </w:r>
      <w:r w:rsidRPr="00007309">
        <w:rPr>
          <w:rFonts w:cs="Arial" w:hint="cs"/>
          <w:b/>
          <w:bCs/>
          <w:sz w:val="24"/>
          <w:szCs w:val="24"/>
          <w:rtl/>
        </w:rPr>
        <w:t>י</w:t>
      </w:r>
      <w:r w:rsidRPr="00007309">
        <w:rPr>
          <w:rFonts w:cs="Arial"/>
          <w:b/>
          <w:bCs/>
          <w:sz w:val="24"/>
          <w:szCs w:val="24"/>
          <w:rtl/>
        </w:rPr>
        <w:t xml:space="preserve"> שְׂבֵעָה </w:t>
      </w:r>
      <w:r w:rsidRPr="00007309">
        <w:rPr>
          <w:rFonts w:cs="Arial"/>
          <w:b/>
          <w:bCs/>
          <w:sz w:val="36"/>
          <w:szCs w:val="28"/>
          <w:vertAlign w:val="superscript"/>
          <w:rtl/>
        </w:rPr>
        <w:footnoteReference w:id="8455"/>
      </w:r>
      <w:r w:rsidRPr="00007309">
        <w:rPr>
          <w:rFonts w:cs="Arial"/>
          <w:b/>
          <w:bCs/>
          <w:sz w:val="24"/>
          <w:szCs w:val="24"/>
          <w:rtl/>
        </w:rPr>
        <w:t xml:space="preserve">שֶׁנֶּאֱמַר </w:t>
      </w:r>
      <w:r w:rsidRPr="00007309">
        <w:rPr>
          <w:rFonts w:cs="Arial" w:hint="cs"/>
          <w:b/>
          <w:bCs/>
          <w:sz w:val="24"/>
          <w:szCs w:val="24"/>
          <w:rtl/>
        </w:rPr>
        <w:t xml:space="preserve">(דברים ח ט) </w:t>
      </w:r>
      <w:r w:rsidRPr="00007309">
        <w:rPr>
          <w:rFonts w:cs="Arial"/>
          <w:b/>
          <w:bCs/>
          <w:sz w:val="24"/>
          <w:szCs w:val="24"/>
          <w:rtl/>
        </w:rPr>
        <w:t xml:space="preserve">אֶרֶץ אֲשֶׁר לֹא בְמִסְכֵּנֻת תֹּאכַל בָּהּ לֶחֶם לֹא תֶחְסַר כֹּל בָּהּ. </w:t>
      </w:r>
      <w:r w:rsidRPr="00007309">
        <w:rPr>
          <w:rFonts w:cs="Arial"/>
          <w:b/>
          <w:bCs/>
          <w:sz w:val="36"/>
          <w:szCs w:val="28"/>
          <w:vertAlign w:val="superscript"/>
          <w:rtl/>
        </w:rPr>
        <w:footnoteReference w:id="8456"/>
      </w:r>
      <w:r w:rsidRPr="00007309">
        <w:rPr>
          <w:rFonts w:cs="Arial"/>
          <w:b/>
          <w:bCs/>
          <w:sz w:val="24"/>
          <w:szCs w:val="24"/>
          <w:rtl/>
        </w:rPr>
        <w:t>וְכַד נַחְתָּא נִשְׁמְתָא לִטְחוֹל דְּאִיהוּ רָעָב בְּגִין דִּכָבֶ</w:t>
      </w:r>
      <w:r w:rsidRPr="00007309">
        <w:rPr>
          <w:rFonts w:cs="Arial" w:hint="cs"/>
          <w:b/>
          <w:bCs/>
          <w:sz w:val="24"/>
          <w:szCs w:val="24"/>
          <w:rtl/>
        </w:rPr>
        <w:t>ד</w:t>
      </w:r>
      <w:r w:rsidRPr="00007309">
        <w:rPr>
          <w:rFonts w:cs="Arial"/>
          <w:b/>
          <w:bCs/>
          <w:sz w:val="24"/>
          <w:szCs w:val="24"/>
          <w:rtl/>
        </w:rPr>
        <w:t xml:space="preserve"> לָא יָהִיב לֵהּ מִדָּמָא אֶלָּא שִׁיּוּרִין בִּישִׁין דִּילֵהּ</w:t>
      </w:r>
      <w:r w:rsidRPr="00007309">
        <w:rPr>
          <w:rFonts w:cs="Arial" w:hint="cs"/>
          <w:b/>
          <w:bCs/>
          <w:sz w:val="24"/>
          <w:szCs w:val="24"/>
          <w:rtl/>
        </w:rPr>
        <w:t>,</w:t>
      </w:r>
      <w:r w:rsidRPr="00007309">
        <w:rPr>
          <w:rFonts w:cs="Arial"/>
          <w:b/>
          <w:bCs/>
          <w:sz w:val="24"/>
          <w:szCs w:val="24"/>
          <w:rtl/>
        </w:rPr>
        <w:t xml:space="preserve"> וּבְגִין דָּא (בראשית יב) כִּי כָּבֵד הָרָעָב בָּאָרֶץ</w:t>
      </w:r>
      <w:r w:rsidRPr="00007309">
        <w:rPr>
          <w:rFonts w:cs="Arial" w:hint="cs"/>
          <w:b/>
          <w:bCs/>
          <w:sz w:val="24"/>
          <w:szCs w:val="24"/>
          <w:rtl/>
        </w:rPr>
        <w:t>,</w:t>
      </w:r>
      <w:r w:rsidRPr="00007309">
        <w:rPr>
          <w:rFonts w:cs="Arial"/>
          <w:b/>
          <w:bCs/>
          <w:sz w:val="24"/>
          <w:szCs w:val="24"/>
          <w:rtl/>
        </w:rPr>
        <w:t xml:space="preserve"> בְּהַהוּא זִמְנָא דְּנַחְתַת תַּמָּן נִשְׁמְתָא</w:t>
      </w:r>
      <w:r w:rsidRPr="00007309">
        <w:rPr>
          <w:rFonts w:cs="Arial" w:hint="cs"/>
          <w:b/>
          <w:bCs/>
          <w:sz w:val="24"/>
          <w:szCs w:val="24"/>
          <w:rtl/>
        </w:rPr>
        <w:t>,</w:t>
      </w:r>
      <w:r w:rsidRPr="00007309">
        <w:rPr>
          <w:rFonts w:cs="Arial"/>
          <w:b/>
          <w:bCs/>
          <w:sz w:val="24"/>
          <w:szCs w:val="24"/>
          <w:rtl/>
        </w:rPr>
        <w:t xml:space="preserve"> דְּחִילַת מִתַּמָּן, שֶׁנֶּאֱמַר וַיְהִי כַּאֲשֶׁר הִקְרִיב לָבֹא מִצְרַיְמָה, קֹדֶם דְּאִתְקְרַב תַּמָּן נִשְׁמְתָא</w:t>
      </w:r>
      <w:r w:rsidRPr="00007309">
        <w:rPr>
          <w:rFonts w:cs="Arial" w:hint="cs"/>
          <w:b/>
          <w:bCs/>
          <w:sz w:val="24"/>
          <w:szCs w:val="24"/>
          <w:rtl/>
        </w:rPr>
        <w:t>,</w:t>
      </w:r>
      <w:r w:rsidRPr="00007309">
        <w:rPr>
          <w:rFonts w:cs="Arial"/>
          <w:b/>
          <w:bCs/>
          <w:sz w:val="24"/>
          <w:szCs w:val="24"/>
          <w:rtl/>
        </w:rPr>
        <w:t xml:space="preserve"> וַיֹּאמֶר אֶל שָׂרָה אִשְׁתּוֹ, דָּא גּוּפָא</w:t>
      </w:r>
      <w:r w:rsidRPr="00007309">
        <w:rPr>
          <w:rFonts w:cs="Arial" w:hint="cs"/>
          <w:b/>
          <w:bCs/>
          <w:sz w:val="24"/>
          <w:szCs w:val="24"/>
          <w:rtl/>
        </w:rPr>
        <w:t>.</w:t>
      </w:r>
      <w:r w:rsidRPr="00007309">
        <w:rPr>
          <w:rFonts w:cs="Arial"/>
          <w:b/>
          <w:bCs/>
          <w:sz w:val="24"/>
          <w:szCs w:val="24"/>
          <w:rtl/>
        </w:rPr>
        <w:t xml:space="preserve"> וּמָה אָמַר לָהּ</w:t>
      </w:r>
      <w:r w:rsidRPr="00007309">
        <w:rPr>
          <w:rFonts w:cs="Arial" w:hint="cs"/>
          <w:b/>
          <w:bCs/>
          <w:sz w:val="24"/>
          <w:szCs w:val="24"/>
          <w:rtl/>
        </w:rPr>
        <w:t>,</w:t>
      </w:r>
      <w:r w:rsidRPr="00007309">
        <w:rPr>
          <w:rFonts w:cs="Arial"/>
          <w:b/>
          <w:bCs/>
          <w:sz w:val="24"/>
          <w:szCs w:val="24"/>
          <w:rtl/>
        </w:rPr>
        <w:t xml:space="preserve"> הִנֵּה נָא יָדַעְתִּי כִּי אִשָּׁה יְפַת מַרְאֶה אַתְּ</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457"/>
      </w:r>
      <w:r w:rsidRPr="00007309">
        <w:rPr>
          <w:rFonts w:cs="Arial"/>
          <w:b/>
          <w:bCs/>
          <w:sz w:val="24"/>
          <w:szCs w:val="24"/>
          <w:rtl/>
        </w:rPr>
        <w:t>אַתְּ שַׁפִּירָא בְּזִכְוָן</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458"/>
      </w:r>
      <w:r w:rsidRPr="00007309">
        <w:rPr>
          <w:rFonts w:cs="Arial"/>
          <w:b/>
          <w:bCs/>
          <w:sz w:val="24"/>
          <w:szCs w:val="24"/>
          <w:rtl/>
        </w:rPr>
        <w:t>וּבְגִינָךְ אֲנָא דָּחִיל דְּקָטְלִין לִי בְּגִינָךְ, דְּצוֹפֶה רָשָׁע לַצַּדִּיק</w:t>
      </w:r>
      <w:r w:rsidRPr="00007309">
        <w:rPr>
          <w:rFonts w:cs="Arial" w:hint="cs"/>
          <w:b/>
          <w:bCs/>
          <w:sz w:val="24"/>
          <w:szCs w:val="24"/>
          <w:rtl/>
        </w:rPr>
        <w:t xml:space="preserve"> (תהלים לז לב)</w:t>
      </w:r>
      <w:r w:rsidRPr="00007309">
        <w:rPr>
          <w:rFonts w:cs="Arial"/>
          <w:b/>
          <w:bCs/>
          <w:sz w:val="24"/>
          <w:szCs w:val="24"/>
          <w:rtl/>
        </w:rPr>
        <w:t>, וּבְגִין דָּא</w:t>
      </w:r>
      <w:r w:rsidRPr="00007309">
        <w:rPr>
          <w:rFonts w:cs="Arial" w:hint="cs"/>
          <w:b/>
          <w:bCs/>
          <w:sz w:val="24"/>
          <w:szCs w:val="24"/>
          <w:rtl/>
        </w:rPr>
        <w:t xml:space="preserve"> (משלי כב ג)</w:t>
      </w:r>
      <w:r w:rsidRPr="00007309">
        <w:rPr>
          <w:rFonts w:cs="Arial"/>
          <w:b/>
          <w:bCs/>
          <w:sz w:val="24"/>
          <w:szCs w:val="24"/>
          <w:rtl/>
        </w:rPr>
        <w:t xml:space="preserve"> עָרוּם רָאָה רָעָה וְנִסְתָּר</w:t>
      </w:r>
      <w:r w:rsidRPr="00007309">
        <w:rPr>
          <w:rFonts w:cs="Arial" w:hint="cs"/>
          <w:b/>
          <w:bCs/>
          <w:sz w:val="24"/>
          <w:szCs w:val="24"/>
          <w:rtl/>
        </w:rPr>
        <w:t>,</w:t>
      </w:r>
      <w:r w:rsidRPr="00007309">
        <w:rPr>
          <w:rFonts w:cs="Arial"/>
          <w:b/>
          <w:bCs/>
          <w:sz w:val="24"/>
          <w:szCs w:val="24"/>
          <w:rtl/>
        </w:rPr>
        <w:t xml:space="preserve"> דְּזַכָּאָה </w:t>
      </w:r>
      <w:r w:rsidRPr="00007309">
        <w:rPr>
          <w:rFonts w:cs="Arial"/>
          <w:b/>
          <w:bCs/>
          <w:sz w:val="36"/>
          <w:szCs w:val="28"/>
          <w:vertAlign w:val="superscript"/>
          <w:rtl/>
        </w:rPr>
        <w:footnoteReference w:id="8459"/>
      </w:r>
      <w:r w:rsidRPr="00007309">
        <w:rPr>
          <w:rFonts w:cs="Arial"/>
          <w:b/>
          <w:bCs/>
          <w:sz w:val="24"/>
          <w:szCs w:val="24"/>
          <w:rtl/>
        </w:rPr>
        <w:t>דְּאִשְׁתְּכַח בֵּין חַיָּבַיָּא אִתְּפַס בֵּינַיְהוּ. וּבְגִין דָּא וְהָיָה כִּי יִרְאוּ אוֹתָךְ הַמִּצְרִים</w:t>
      </w:r>
      <w:r w:rsidRPr="00007309">
        <w:rPr>
          <w:rFonts w:cs="Arial" w:hint="cs"/>
          <w:b/>
          <w:bCs/>
          <w:sz w:val="24"/>
          <w:szCs w:val="24"/>
          <w:rtl/>
        </w:rPr>
        <w:t>.</w:t>
      </w:r>
      <w:r w:rsidRPr="00007309">
        <w:rPr>
          <w:rFonts w:cs="Arial"/>
          <w:b/>
          <w:bCs/>
          <w:sz w:val="24"/>
          <w:szCs w:val="24"/>
          <w:rtl/>
        </w:rPr>
        <w:t xml:space="preserve"> וְרָזָא דָּא </w:t>
      </w:r>
      <w:r w:rsidRPr="00007309">
        <w:rPr>
          <w:rFonts w:cs="Arial"/>
          <w:b/>
          <w:bCs/>
          <w:sz w:val="36"/>
          <w:szCs w:val="28"/>
          <w:vertAlign w:val="superscript"/>
          <w:rtl/>
        </w:rPr>
        <w:footnoteReference w:id="8460"/>
      </w:r>
      <w:r w:rsidRPr="00007309">
        <w:rPr>
          <w:rFonts w:cs="Arial"/>
          <w:b/>
          <w:bCs/>
          <w:sz w:val="24"/>
          <w:szCs w:val="24"/>
          <w:rtl/>
        </w:rPr>
        <w:t xml:space="preserve">כָּל הַבֵּן הַיִּלּוֹד. וּבְגִין דָּא וְהָרְגוּ אוֹתִי וְאוֹתָךְ יְחַיּוּ. אֶלָּא אָמְרֵי נָא אֲחֹתִי אַתְּ </w:t>
      </w:r>
      <w:r w:rsidRPr="00007309">
        <w:rPr>
          <w:rFonts w:cs="Arial"/>
          <w:b/>
          <w:bCs/>
          <w:sz w:val="36"/>
          <w:szCs w:val="28"/>
          <w:vertAlign w:val="superscript"/>
          <w:rtl/>
        </w:rPr>
        <w:footnoteReference w:id="8461"/>
      </w:r>
      <w:r w:rsidRPr="00007309">
        <w:rPr>
          <w:rFonts w:cs="Arial"/>
          <w:b/>
          <w:bCs/>
          <w:sz w:val="24"/>
          <w:szCs w:val="24"/>
          <w:rtl/>
        </w:rPr>
        <w:t xml:space="preserve">הָדָא הוּא דִּכְתִיב </w:t>
      </w:r>
      <w:r w:rsidRPr="00007309">
        <w:rPr>
          <w:rFonts w:cs="Arial" w:hint="cs"/>
          <w:b/>
          <w:bCs/>
          <w:sz w:val="24"/>
          <w:szCs w:val="24"/>
          <w:rtl/>
        </w:rPr>
        <w:t xml:space="preserve">(משלי ז ד) </w:t>
      </w:r>
      <w:r w:rsidRPr="00007309">
        <w:rPr>
          <w:rFonts w:cs="Arial"/>
          <w:b/>
          <w:bCs/>
          <w:sz w:val="24"/>
          <w:szCs w:val="24"/>
          <w:rtl/>
        </w:rPr>
        <w:t>אֱמֹר לַחָכְמָה אֲחֹתִי אַתְּ. לְמַעַן יִיטַב לִי בַּעֲבוּרֵךְ, בְּהַאי עָלְמָא. וְ</w:t>
      </w:r>
      <w:r w:rsidRPr="00007309">
        <w:rPr>
          <w:rFonts w:cs="Arial" w:hint="cs"/>
          <w:b/>
          <w:bCs/>
          <w:sz w:val="24"/>
          <w:szCs w:val="24"/>
          <w:rtl/>
        </w:rPr>
        <w:t>ח</w:t>
      </w:r>
      <w:r w:rsidRPr="00007309">
        <w:rPr>
          <w:rFonts w:cs="Arial"/>
          <w:b/>
          <w:bCs/>
          <w:sz w:val="24"/>
          <w:szCs w:val="24"/>
          <w:rtl/>
        </w:rPr>
        <w:t>ָיְתָה נַפְשִׁי בִּגְלָלֵךְ</w:t>
      </w:r>
      <w:r w:rsidRPr="00007309">
        <w:rPr>
          <w:rFonts w:cs="Arial" w:hint="cs"/>
          <w:b/>
          <w:bCs/>
          <w:sz w:val="24"/>
          <w:szCs w:val="24"/>
          <w:rtl/>
        </w:rPr>
        <w:t>,</w:t>
      </w:r>
      <w:r w:rsidRPr="00007309">
        <w:rPr>
          <w:rFonts w:cs="Arial"/>
          <w:b/>
          <w:bCs/>
          <w:sz w:val="24"/>
          <w:szCs w:val="24"/>
          <w:rtl/>
        </w:rPr>
        <w:t xml:space="preserve"> לְעָלְמָא</w:t>
      </w:r>
      <w:r w:rsidRPr="00007309">
        <w:rPr>
          <w:rFonts w:cs="Arial"/>
          <w:b/>
          <w:bCs/>
          <w:sz w:val="24"/>
          <w:szCs w:val="28"/>
        </w:rPr>
        <w:t xml:space="preserve"> </w:t>
      </w:r>
      <w:r w:rsidRPr="00007309">
        <w:rPr>
          <w:rFonts w:cs="Arial"/>
          <w:b/>
          <w:bCs/>
          <w:sz w:val="24"/>
          <w:szCs w:val="24"/>
          <w:rtl/>
        </w:rPr>
        <w:t>דְּאָתֵי</w:t>
      </w:r>
      <w:r w:rsidRPr="00007309">
        <w:rPr>
          <w:rFonts w:cs="Arial"/>
          <w:b/>
          <w:bCs/>
          <w:sz w:val="24"/>
          <w:szCs w:val="24"/>
        </w:rPr>
        <w:t>:</w:t>
      </w:r>
    </w:p>
    <w:p w:rsidR="00007309" w:rsidRPr="00007309" w:rsidRDefault="00007309" w:rsidP="00007309">
      <w:pPr>
        <w:jc w:val="both"/>
        <w:rPr>
          <w:rFonts w:cs="Arial"/>
          <w:b/>
          <w:bCs/>
          <w:sz w:val="24"/>
          <w:szCs w:val="24"/>
          <w:rtl/>
        </w:rPr>
      </w:pPr>
      <w:r w:rsidRPr="00007309">
        <w:rPr>
          <w:rFonts w:cs="Arial"/>
          <w:b/>
          <w:bCs/>
          <w:sz w:val="24"/>
          <w:szCs w:val="24"/>
          <w:rtl/>
        </w:rPr>
        <w:t>אַדְּהָכֵי הָא עַמּוּדָא דִּנְהוֹרָא דְּאִתְחַזְּיָא בְּטוּלָ</w:t>
      </w:r>
      <w:r w:rsidRPr="00007309">
        <w:rPr>
          <w:rFonts w:cs="Arial" w:hint="cs"/>
          <w:b/>
          <w:bCs/>
          <w:sz w:val="24"/>
          <w:szCs w:val="24"/>
          <w:rtl/>
        </w:rPr>
        <w:t>א</w:t>
      </w:r>
      <w:r w:rsidRPr="00007309">
        <w:rPr>
          <w:rFonts w:cs="Arial"/>
          <w:b/>
          <w:bCs/>
          <w:sz w:val="24"/>
          <w:szCs w:val="24"/>
          <w:rtl/>
        </w:rPr>
        <w:t xml:space="preserve"> דְּרִבִּי שִׁמְעוֹן וְאָמַר</w:t>
      </w:r>
      <w:r w:rsidRPr="00007309">
        <w:rPr>
          <w:rFonts w:cs="Arial" w:hint="cs"/>
          <w:b/>
          <w:bCs/>
          <w:sz w:val="24"/>
          <w:szCs w:val="24"/>
          <w:rtl/>
        </w:rPr>
        <w:t xml:space="preserve"> ל</w:t>
      </w:r>
      <w:r w:rsidRPr="00007309">
        <w:rPr>
          <w:rFonts w:cs="Arial"/>
          <w:b/>
          <w:bCs/>
          <w:sz w:val="24"/>
          <w:szCs w:val="24"/>
          <w:rtl/>
        </w:rPr>
        <w:t>ֵ</w:t>
      </w:r>
      <w:r w:rsidRPr="00007309">
        <w:rPr>
          <w:rFonts w:cs="Arial" w:hint="cs"/>
          <w:b/>
          <w:bCs/>
          <w:sz w:val="24"/>
          <w:szCs w:val="24"/>
          <w:rtl/>
        </w:rPr>
        <w:t>ה</w:t>
      </w:r>
      <w:r w:rsidRPr="00007309">
        <w:rPr>
          <w:rFonts w:cs="Arial"/>
          <w:b/>
          <w:bCs/>
          <w:sz w:val="24"/>
          <w:szCs w:val="24"/>
          <w:rtl/>
        </w:rPr>
        <w:t xml:space="preserve"> רַבִּי רַבִּי הָכָא רָזָא וְלֹא צָרִיךְ לְאִתְכַּסְּיָא. </w:t>
      </w:r>
      <w:r w:rsidRPr="00007309">
        <w:rPr>
          <w:rFonts w:cs="Arial"/>
          <w:b/>
          <w:bCs/>
          <w:sz w:val="36"/>
          <w:szCs w:val="28"/>
          <w:vertAlign w:val="superscript"/>
          <w:rtl/>
        </w:rPr>
        <w:footnoteReference w:id="8462"/>
      </w:r>
      <w:r w:rsidRPr="00007309">
        <w:rPr>
          <w:rFonts w:cs="Arial"/>
          <w:b/>
          <w:bCs/>
          <w:sz w:val="24"/>
          <w:szCs w:val="24"/>
          <w:rtl/>
        </w:rPr>
        <w:t xml:space="preserve">בְּגִין מָארֵי חוֹבִין אַחֲזֵי קֳדָמַיְהוּ מָארֵי דְּעוּתְרָא דְּלֹא קַטְלִין לֵהּ עַל מָמוֹנֵהּ. וּמַאי מָמוֹנָא דִּילֵהּ </w:t>
      </w:r>
      <w:r w:rsidRPr="00007309">
        <w:rPr>
          <w:rFonts w:cs="Arial"/>
          <w:b/>
          <w:bCs/>
          <w:sz w:val="36"/>
          <w:szCs w:val="28"/>
          <w:vertAlign w:val="superscript"/>
          <w:rtl/>
        </w:rPr>
        <w:footnoteReference w:id="8463"/>
      </w:r>
      <w:r w:rsidRPr="00007309">
        <w:rPr>
          <w:rFonts w:cs="Arial"/>
          <w:b/>
          <w:bCs/>
          <w:sz w:val="24"/>
          <w:szCs w:val="24"/>
          <w:rtl/>
        </w:rPr>
        <w:t xml:space="preserve">בַּיִת וְהוֹן </w:t>
      </w:r>
      <w:r w:rsidRPr="00007309">
        <w:rPr>
          <w:rFonts w:cs="Arial"/>
          <w:b/>
          <w:bCs/>
          <w:sz w:val="36"/>
          <w:szCs w:val="28"/>
          <w:vertAlign w:val="superscript"/>
          <w:rtl/>
        </w:rPr>
        <w:footnoteReference w:id="8464"/>
      </w:r>
      <w:r w:rsidRPr="00007309">
        <w:rPr>
          <w:rFonts w:cs="Arial"/>
          <w:b/>
          <w:bCs/>
          <w:sz w:val="24"/>
          <w:szCs w:val="24"/>
          <w:rtl/>
        </w:rPr>
        <w:t>נַחֲלַת אָבוֹת וְגוֹ'</w:t>
      </w:r>
      <w:r w:rsidRPr="00007309">
        <w:rPr>
          <w:rFonts w:cs="Arial" w:hint="cs"/>
          <w:b/>
          <w:bCs/>
          <w:sz w:val="24"/>
          <w:szCs w:val="24"/>
          <w:rtl/>
        </w:rPr>
        <w:t xml:space="preserve"> (משלי יט יד)</w:t>
      </w:r>
      <w:r w:rsidRPr="00007309">
        <w:rPr>
          <w:rFonts w:cs="Arial"/>
          <w:b/>
          <w:bCs/>
          <w:sz w:val="24"/>
          <w:szCs w:val="24"/>
          <w:rtl/>
        </w:rPr>
        <w:t xml:space="preserve">. וְדָא בַּת עַיִן דְּאִתְּמַר בָּהּ כְּסוּת עֵינַיִם </w:t>
      </w:r>
      <w:r w:rsidRPr="00007309">
        <w:rPr>
          <w:rFonts w:cs="Arial"/>
          <w:b/>
          <w:bCs/>
          <w:sz w:val="36"/>
          <w:szCs w:val="28"/>
          <w:vertAlign w:val="superscript"/>
          <w:rtl/>
        </w:rPr>
        <w:footnoteReference w:id="8465"/>
      </w:r>
      <w:r w:rsidRPr="00007309">
        <w:rPr>
          <w:rFonts w:cs="Arial"/>
          <w:b/>
          <w:bCs/>
          <w:sz w:val="24"/>
          <w:szCs w:val="24"/>
          <w:rtl/>
        </w:rPr>
        <w:t>דְּצָרִיךְ לְאִתְכַּסָּאָה בֵּינִי חַיָּבַיָּא בְּגִין הַהוּא אוֹר דְּנָהִיר בָּהּ, דְּאִיהוּ בַּעְלָהּ דְּאִיהוּ רָז צָרִיךְ לְכַסָּאָה לֵהּ מִבֵּינַיְהוּ דְּלֹא אִתְפַּס עָלֵהּ. בְּגִין דַּחֲשׁוֹכָא דְּאִיהוּ נָחָשׁ הַקַּדְמוֹנִי מְקַנֵּא עַל נְהוֹרָא דְּאִיהוּ אוֹר הַגָּנוּז, דְּאִתְּמַר בֵּהּ וַתֵּרֶא אֹתוֹ כִּי טוֹב הוּא וַתִּצְפְּנֵהוּ (שמות</w:t>
      </w:r>
      <w:r w:rsidRPr="00007309">
        <w:rPr>
          <w:rFonts w:cs="Arial" w:hint="cs"/>
          <w:b/>
          <w:bCs/>
          <w:sz w:val="24"/>
          <w:szCs w:val="24"/>
          <w:rtl/>
        </w:rPr>
        <w:t xml:space="preserve"> ב ב</w:t>
      </w:r>
      <w:r w:rsidRPr="00007309">
        <w:rPr>
          <w:rFonts w:cs="Arial"/>
          <w:b/>
          <w:bCs/>
          <w:sz w:val="24"/>
          <w:szCs w:val="24"/>
          <w:rtl/>
        </w:rPr>
        <w:t xml:space="preserve">). וְהָכֵי מָאן דְּאִתְגְּלֵי לֵהּ אוֹר דְּאִיהוּ רָ'ז בֵּין חַיָּבַיָּא. צָרִיךְ לְכַסָּאָה לֵהּ עַד דְּיֵיתוּן צַדִּיקַיָּא לְאַנְהֲרָא בֵּינַיְהוּ. הָדָא הוּא דִּכְתִיב </w:t>
      </w:r>
      <w:r w:rsidRPr="00007309">
        <w:rPr>
          <w:rFonts w:cs="Arial" w:hint="cs"/>
          <w:b/>
          <w:bCs/>
          <w:sz w:val="24"/>
          <w:szCs w:val="24"/>
          <w:rtl/>
        </w:rPr>
        <w:t xml:space="preserve">(תהלים צז יא) </w:t>
      </w:r>
      <w:r w:rsidRPr="00007309">
        <w:rPr>
          <w:rFonts w:cs="Arial"/>
          <w:b/>
          <w:bCs/>
          <w:sz w:val="24"/>
          <w:szCs w:val="24"/>
          <w:rtl/>
        </w:rPr>
        <w:t xml:space="preserve">אוֹר זָרֻעַ לַצַּדִּיק. וְאִי לָא טָמִיר לֵהּ מַה כְּתִיב (בראשית יב) וַיְהִי כְּבֹא אַבְרָם מִצְרַיְמָה וַיְהַלְלוּ אֹתָהּ אֶל פַּרְעֹה </w:t>
      </w:r>
      <w:r w:rsidRPr="00007309">
        <w:rPr>
          <w:rFonts w:cs="Arial"/>
          <w:b/>
          <w:bCs/>
          <w:sz w:val="36"/>
          <w:szCs w:val="28"/>
          <w:vertAlign w:val="superscript"/>
          <w:rtl/>
        </w:rPr>
        <w:footnoteReference w:id="8466"/>
      </w:r>
      <w:r w:rsidRPr="00007309">
        <w:rPr>
          <w:rFonts w:cs="Arial"/>
          <w:b/>
          <w:bCs/>
          <w:sz w:val="24"/>
          <w:szCs w:val="24"/>
          <w:rtl/>
        </w:rPr>
        <w:t>וַתֻּקַּח הָאִשָּׁה בֵּית פַּרְעֹה</w:t>
      </w:r>
      <w:r w:rsidRPr="00007309">
        <w:rPr>
          <w:rFonts w:cs="Arial" w:hint="cs"/>
          <w:b/>
          <w:bCs/>
          <w:sz w:val="24"/>
          <w:szCs w:val="24"/>
          <w:rtl/>
        </w:rPr>
        <w:t>:</w:t>
      </w:r>
    </w:p>
    <w:p w:rsidR="00007309" w:rsidRPr="00007309" w:rsidRDefault="00007309" w:rsidP="00007309">
      <w:pPr>
        <w:jc w:val="both"/>
        <w:rPr>
          <w:rFonts w:cs="Arial"/>
          <w:b/>
          <w:bCs/>
          <w:sz w:val="24"/>
          <w:szCs w:val="24"/>
          <w:rtl/>
        </w:rPr>
      </w:pPr>
      <w:r w:rsidRPr="00007309">
        <w:rPr>
          <w:rFonts w:cs="Arial"/>
          <w:b/>
          <w:bCs/>
          <w:sz w:val="24"/>
          <w:szCs w:val="24"/>
          <w:rtl/>
        </w:rPr>
        <w:t>פָּתַח רִבִּי שִׁמְעוֹן וְאָמַר וַי לִבְנֵי עָלְמָא דְּאִנּוּן אֲטִימִין לִבָּא וסְתִימִין עַיְנִין. דְּהָא כְּמָה רָזִין סְתִימִין אִית</w:t>
      </w:r>
      <w:r w:rsidRPr="00007309">
        <w:rPr>
          <w:rFonts w:cs="Arial"/>
          <w:b/>
          <w:bCs/>
          <w:sz w:val="24"/>
          <w:szCs w:val="24"/>
        </w:rPr>
        <w:t xml:space="preserve"> </w:t>
      </w:r>
      <w:r w:rsidRPr="00007309">
        <w:rPr>
          <w:rFonts w:cs="Arial"/>
          <w:b/>
          <w:bCs/>
          <w:sz w:val="24"/>
          <w:szCs w:val="24"/>
          <w:rtl/>
        </w:rPr>
        <w:t>בְּאוֹרַיְתָא וְלֹא מַשְׁגִּיחִין בְּהוֹן. דְּלֹא בָּעָאן אֶלָּא לְמֵיכַל תֶּבֶן דְּאוֹרַיְתָא דְּאִיהוּ פְּשַׁט</w:t>
      </w:r>
      <w:r w:rsidRPr="00007309">
        <w:rPr>
          <w:rFonts w:cs="Arial" w:hint="cs"/>
          <w:b/>
          <w:bCs/>
          <w:sz w:val="24"/>
          <w:szCs w:val="24"/>
          <w:rtl/>
        </w:rPr>
        <w:t>,</w:t>
      </w:r>
      <w:r w:rsidRPr="00007309">
        <w:rPr>
          <w:rFonts w:cs="Arial"/>
          <w:b/>
          <w:bCs/>
          <w:sz w:val="24"/>
          <w:szCs w:val="24"/>
          <w:rtl/>
        </w:rPr>
        <w:t xml:space="preserve"> לְבוּשָׁא דְּאוֹרַיְתָא, וְלֹא טַעֲמִין מִן מֹחָא מִלְּגָאו. </w:t>
      </w:r>
      <w:r w:rsidRPr="00007309">
        <w:rPr>
          <w:rFonts w:cs="Arial"/>
          <w:b/>
          <w:bCs/>
          <w:sz w:val="36"/>
          <w:szCs w:val="28"/>
          <w:vertAlign w:val="superscript"/>
          <w:rtl/>
        </w:rPr>
        <w:footnoteReference w:id="8467"/>
      </w:r>
      <w:r w:rsidRPr="00007309">
        <w:rPr>
          <w:rFonts w:cs="Arial"/>
          <w:b/>
          <w:bCs/>
          <w:sz w:val="24"/>
          <w:szCs w:val="24"/>
          <w:rtl/>
        </w:rPr>
        <w:t xml:space="preserve">תָּא חֲזֵי אִית נִשְׁמְתָא דְּאִיהוּ גּוּפָא לנִשְׁמְתָא. וְאִית נִשְׁמְתָא לְנִשְׁמְתָא. וְאִית נִשְׁמְתָא דְּכוּרָא דְּאִתְקְרִיאַת אַבְרָם. וְאִית נִשְׁמְתָא נוּקְבָא דְּאִתְקְרִיאַת שָׂרַי. ואַף עַל גַּב דְּאִתְקְרִיאַת דְּכוּרָא, הַאי נִשְׁמְתָא </w:t>
      </w:r>
      <w:r w:rsidRPr="00007309">
        <w:rPr>
          <w:rFonts w:cs="Arial"/>
          <w:b/>
          <w:bCs/>
          <w:sz w:val="36"/>
          <w:szCs w:val="28"/>
          <w:vertAlign w:val="superscript"/>
          <w:rtl/>
        </w:rPr>
        <w:footnoteReference w:id="8468"/>
      </w:r>
      <w:r w:rsidRPr="00007309">
        <w:rPr>
          <w:rFonts w:cs="Arial"/>
          <w:b/>
          <w:bCs/>
          <w:sz w:val="24"/>
          <w:szCs w:val="24"/>
          <w:rtl/>
        </w:rPr>
        <w:t xml:space="preserve">אַבְרָם בְּלֹא ה' טָפֵל אִיהוּ לנִשְׁמְתָא דְּאִיהִי שָׂרַי נוּקְבָא, </w:t>
      </w:r>
      <w:r w:rsidRPr="00007309">
        <w:rPr>
          <w:rFonts w:cs="Arial"/>
          <w:b/>
          <w:bCs/>
          <w:sz w:val="36"/>
          <w:szCs w:val="28"/>
          <w:vertAlign w:val="superscript"/>
          <w:rtl/>
        </w:rPr>
        <w:footnoteReference w:id="8469"/>
      </w:r>
      <w:r w:rsidRPr="00007309">
        <w:rPr>
          <w:rFonts w:cs="Arial"/>
          <w:b/>
          <w:bCs/>
          <w:sz w:val="24"/>
          <w:szCs w:val="24"/>
          <w:rtl/>
        </w:rPr>
        <w:t xml:space="preserve">דְּתַמָּן י' אוֹ לְשָׂרָה </w:t>
      </w:r>
      <w:r w:rsidRPr="00007309">
        <w:rPr>
          <w:rFonts w:cs="Arial"/>
          <w:b/>
          <w:bCs/>
          <w:sz w:val="36"/>
          <w:szCs w:val="28"/>
          <w:vertAlign w:val="superscript"/>
          <w:rtl/>
        </w:rPr>
        <w:footnoteReference w:id="8470"/>
      </w:r>
      <w:r w:rsidRPr="00007309">
        <w:rPr>
          <w:rFonts w:cs="Arial"/>
          <w:b/>
          <w:bCs/>
          <w:sz w:val="24"/>
          <w:szCs w:val="24"/>
          <w:rtl/>
        </w:rPr>
        <w:t xml:space="preserve">דְּתַמָּן ה'. וּבְגִין דָּא אוֹקְמוּהּ מָארֵי מַתְנִיתִין דְּטָפֵל הֲוָה אַבְרָם לְשָׂרָה בַּנְּבוּאָה, בְּגִין דְּאִיהִי זָכְתָה לִתְרֵין אַתְוָן, י' בְּקַדְמִיתָא שָׂרַי וּלְבַסּוֹף שָׂרָה בְּה'. </w:t>
      </w:r>
      <w:r w:rsidRPr="00007309">
        <w:rPr>
          <w:rFonts w:cs="Arial"/>
          <w:b/>
          <w:bCs/>
          <w:sz w:val="36"/>
          <w:szCs w:val="28"/>
          <w:vertAlign w:val="superscript"/>
          <w:rtl/>
        </w:rPr>
        <w:footnoteReference w:id="8471"/>
      </w:r>
      <w:r w:rsidRPr="00007309">
        <w:rPr>
          <w:rFonts w:cs="Arial"/>
          <w:b/>
          <w:bCs/>
          <w:sz w:val="24"/>
          <w:szCs w:val="24"/>
          <w:rtl/>
        </w:rPr>
        <w:t>כַּד הֲוַת בְּיוּ"ד הֲוַת יְחִידָ</w:t>
      </w:r>
      <w:r w:rsidRPr="00007309">
        <w:rPr>
          <w:rFonts w:cs="Arial" w:hint="cs"/>
          <w:b/>
          <w:bCs/>
          <w:sz w:val="24"/>
          <w:szCs w:val="24"/>
          <w:rtl/>
        </w:rPr>
        <w:t>ה</w:t>
      </w:r>
      <w:r w:rsidRPr="00007309">
        <w:rPr>
          <w:rFonts w:cs="Arial"/>
          <w:b/>
          <w:bCs/>
          <w:sz w:val="24"/>
          <w:szCs w:val="24"/>
          <w:rtl/>
        </w:rPr>
        <w:t>. וְכַד זָכְתָה בְּה' אִתְקְרִיאַת אִימָּא. וְכַד הֲוַת יְחִידָ</w:t>
      </w:r>
      <w:r w:rsidRPr="00007309">
        <w:rPr>
          <w:rFonts w:cs="Arial" w:hint="cs"/>
          <w:b/>
          <w:bCs/>
          <w:sz w:val="24"/>
          <w:szCs w:val="24"/>
          <w:rtl/>
        </w:rPr>
        <w:t>ה</w:t>
      </w:r>
      <w:r w:rsidRPr="00007309">
        <w:rPr>
          <w:rFonts w:cs="Arial"/>
          <w:b/>
          <w:bCs/>
          <w:sz w:val="24"/>
          <w:szCs w:val="24"/>
          <w:rtl/>
        </w:rPr>
        <w:t xml:space="preserve"> בְּיוּ"ד עָלַהּ אִתְּמַר </w:t>
      </w:r>
      <w:r w:rsidRPr="00007309">
        <w:rPr>
          <w:rFonts w:cs="Arial" w:hint="cs"/>
          <w:b/>
          <w:bCs/>
          <w:sz w:val="24"/>
          <w:szCs w:val="24"/>
          <w:rtl/>
        </w:rPr>
        <w:t xml:space="preserve">(תהלים יז ח) </w:t>
      </w:r>
      <w:r w:rsidRPr="00007309">
        <w:rPr>
          <w:rFonts w:cs="Arial"/>
          <w:b/>
          <w:bCs/>
          <w:sz w:val="36"/>
          <w:szCs w:val="28"/>
          <w:vertAlign w:val="superscript"/>
          <w:rtl/>
        </w:rPr>
        <w:footnoteReference w:id="8472"/>
      </w:r>
      <w:r w:rsidRPr="00007309">
        <w:rPr>
          <w:rFonts w:cs="Arial"/>
          <w:b/>
          <w:bCs/>
          <w:sz w:val="24"/>
          <w:szCs w:val="24"/>
          <w:rtl/>
        </w:rPr>
        <w:t xml:space="preserve">שָׁמְרֵנִי כְּאִישׁוֹן </w:t>
      </w:r>
      <w:r w:rsidRPr="00007309">
        <w:rPr>
          <w:rFonts w:cs="Arial"/>
          <w:b/>
          <w:bCs/>
          <w:sz w:val="36"/>
          <w:szCs w:val="28"/>
          <w:vertAlign w:val="superscript"/>
          <w:rtl/>
        </w:rPr>
        <w:footnoteReference w:id="8473"/>
      </w:r>
      <w:r w:rsidRPr="00007309">
        <w:rPr>
          <w:rFonts w:cs="Arial"/>
          <w:b/>
          <w:bCs/>
          <w:sz w:val="24"/>
          <w:szCs w:val="24"/>
          <w:rtl/>
        </w:rPr>
        <w:t xml:space="preserve">בַּת עַיִן. וּפַרְעֹה </w:t>
      </w:r>
      <w:r w:rsidRPr="00007309">
        <w:rPr>
          <w:rFonts w:cs="Arial"/>
          <w:b/>
          <w:bCs/>
          <w:sz w:val="36"/>
          <w:szCs w:val="28"/>
          <w:vertAlign w:val="superscript"/>
          <w:rtl/>
        </w:rPr>
        <w:footnoteReference w:id="8474"/>
      </w:r>
      <w:r w:rsidRPr="00007309">
        <w:rPr>
          <w:rFonts w:cs="Arial"/>
          <w:b/>
          <w:bCs/>
          <w:sz w:val="24"/>
          <w:szCs w:val="24"/>
          <w:rtl/>
        </w:rPr>
        <w:t xml:space="preserve">דְּאִיהוּ דִּיּוֹקְנָא דְּנָחָשׁ חַיָּבָא, </w:t>
      </w:r>
      <w:r w:rsidRPr="00007309">
        <w:rPr>
          <w:rFonts w:cs="Arial" w:hint="cs"/>
          <w:b/>
          <w:bCs/>
          <w:sz w:val="24"/>
          <w:szCs w:val="24"/>
          <w:rtl/>
        </w:rPr>
        <w:t>ב</w:t>
      </w:r>
      <w:r w:rsidRPr="00007309">
        <w:rPr>
          <w:rFonts w:cs="Arial"/>
          <w:b/>
          <w:bCs/>
          <w:sz w:val="24"/>
          <w:szCs w:val="24"/>
          <w:rtl/>
        </w:rPr>
        <w:t xml:space="preserve">ָּתַר דִּשְׁבָחוּהָ כְּתִיב וַתֻּקַּח הָאִשָּׁה בַּיִת פַּרְעֹה. וְדָא רָמִיז לְגָלוּתָא דְּמִצְרַיִם דְּגָלְתָא שְׁכִינָה בְּמִצְרַיִם. וְנָחָשׁ בָּעָא לקרב' לָהּ. מַה כְּתִיב </w:t>
      </w:r>
      <w:r w:rsidRPr="00007309">
        <w:rPr>
          <w:rFonts w:cs="Arial" w:hint="cs"/>
          <w:b/>
          <w:bCs/>
          <w:sz w:val="24"/>
          <w:szCs w:val="24"/>
          <w:rtl/>
        </w:rPr>
        <w:t xml:space="preserve">(במדבר א נא) </w:t>
      </w:r>
      <w:r w:rsidRPr="00007309">
        <w:rPr>
          <w:rFonts w:cs="Arial"/>
          <w:b/>
          <w:bCs/>
          <w:sz w:val="24"/>
          <w:szCs w:val="24"/>
          <w:rtl/>
        </w:rPr>
        <w:t>וְהַזָּר הַקָּרֵב יוּמָת. וַיְנַגַּע ה' אֶת פַּרְעֹה. וְדָא רָמִיז לִמְחָאָן דְּמָחַא קוּדְשָׁא בְּרִיךְ הוּא לְפַרְעֹה וּלְמִצְרַיִם וְלִמְמָנָן דִּילְהוֹן. וּמַה כְּתִיב</w:t>
      </w:r>
      <w:r w:rsidRPr="00007309">
        <w:rPr>
          <w:rFonts w:cs="Arial" w:hint="cs"/>
          <w:b/>
          <w:bCs/>
          <w:sz w:val="24"/>
          <w:szCs w:val="24"/>
          <w:rtl/>
        </w:rPr>
        <w:t>,</w:t>
      </w:r>
      <w:r w:rsidRPr="00007309">
        <w:rPr>
          <w:rFonts w:cs="Arial"/>
          <w:b/>
          <w:bCs/>
          <w:sz w:val="24"/>
          <w:szCs w:val="24"/>
          <w:rtl/>
        </w:rPr>
        <w:t xml:space="preserve"> וְעַתָּה הִנֵּה אִשְׁתְּךָ קַח וָלֵךְ. כְּגַוְנָא דְּפַרְעֹה בְּמִצְרַיִם דְּאָמַר לְמֹשֶׁה וּלְיִשְׂרָאֵל קוּמוּ צְאוּ מִתּוֹךְ עַמִּי. וְהַאי אִיהִי אַבְטָחוּתָא לְיִשְׂרָאֵל ולִשְׁכִינְתָּא בְּגָלוּתָא בַּתְרָאָה</w:t>
      </w:r>
      <w:r w:rsidRPr="00007309">
        <w:rPr>
          <w:rFonts w:cs="Arial" w:hint="cs"/>
          <w:b/>
          <w:bCs/>
          <w:sz w:val="24"/>
          <w:szCs w:val="24"/>
          <w:rtl/>
        </w:rPr>
        <w:t>,</w:t>
      </w:r>
      <w:r w:rsidRPr="00007309">
        <w:rPr>
          <w:rFonts w:cs="Arial"/>
          <w:b/>
          <w:bCs/>
          <w:sz w:val="24"/>
          <w:szCs w:val="24"/>
          <w:rtl/>
        </w:rPr>
        <w:t xml:space="preserve"> מִיָּד דְּיִבְעוּן אֻמִּין פָּלְחֵי</w:t>
      </w:r>
      <w:r w:rsidRPr="00007309">
        <w:rPr>
          <w:rFonts w:cs="Arial"/>
          <w:b/>
          <w:bCs/>
          <w:sz w:val="24"/>
          <w:szCs w:val="24"/>
        </w:rPr>
        <w:t xml:space="preserve"> </w:t>
      </w:r>
      <w:r w:rsidRPr="00007309">
        <w:rPr>
          <w:rFonts w:cs="Arial"/>
          <w:b/>
          <w:bCs/>
          <w:sz w:val="24"/>
          <w:szCs w:val="24"/>
          <w:rtl/>
        </w:rPr>
        <w:t xml:space="preserve">כּוֹכְבַיָּא דְּעָלְמָא לְקָרְבָא לְגַבָּהּ וּלְדַחֲקָא לָהּ, </w:t>
      </w:r>
      <w:r w:rsidRPr="00007309">
        <w:rPr>
          <w:rFonts w:cs="Arial"/>
          <w:b/>
          <w:bCs/>
          <w:sz w:val="36"/>
          <w:szCs w:val="28"/>
          <w:vertAlign w:val="superscript"/>
          <w:rtl/>
        </w:rPr>
        <w:footnoteReference w:id="8475"/>
      </w:r>
      <w:r w:rsidRPr="00007309">
        <w:rPr>
          <w:rFonts w:cs="Arial"/>
          <w:b/>
          <w:bCs/>
          <w:sz w:val="24"/>
          <w:szCs w:val="24"/>
          <w:rtl/>
        </w:rPr>
        <w:t xml:space="preserve">אַגְרָא דְּכַלָּה דּוֹחֲקָא. כְּתִיב וַיְנַגַּע ה' אֶת פַּרְעֹה. מִיָּד וּבֵאלֹהֵיהֶם עָשָׂה ה' שְׁפָטִים. </w:t>
      </w:r>
      <w:r w:rsidRPr="00007309">
        <w:rPr>
          <w:rFonts w:cs="Arial"/>
          <w:b/>
          <w:bCs/>
          <w:sz w:val="36"/>
          <w:szCs w:val="28"/>
          <w:vertAlign w:val="superscript"/>
          <w:rtl/>
        </w:rPr>
        <w:footnoteReference w:id="8476"/>
      </w:r>
      <w:r w:rsidRPr="00007309">
        <w:rPr>
          <w:rFonts w:cs="Arial"/>
          <w:b/>
          <w:bCs/>
          <w:sz w:val="24"/>
          <w:szCs w:val="24"/>
          <w:rtl/>
        </w:rPr>
        <w:t xml:space="preserve">וְעַל שְׁכִינְתָּא אִתְּמַר </w:t>
      </w:r>
      <w:r w:rsidRPr="00007309">
        <w:rPr>
          <w:rFonts w:cs="Arial" w:hint="cs"/>
          <w:b/>
          <w:bCs/>
          <w:sz w:val="24"/>
          <w:szCs w:val="24"/>
          <w:rtl/>
        </w:rPr>
        <w:t xml:space="preserve">(ישעיה מב ח) </w:t>
      </w:r>
      <w:r w:rsidRPr="00007309">
        <w:rPr>
          <w:rFonts w:cs="Arial"/>
          <w:b/>
          <w:bCs/>
          <w:sz w:val="24"/>
          <w:szCs w:val="24"/>
          <w:rtl/>
        </w:rPr>
        <w:t>אֲנִי ה' הוּא שְׁמִי וּכְבוֹדִי לְאַחֵר לֹא אֶתֵּן. וְהַזָּר הַקָּרֵב לְגַבָּהּ יוּמָת. וּכְמָה דְּפַרְעֹה קַדְמָאָה אָמַר הִנֵּה אִשְׁתְּךָ קַח וָלֵךְ, הָכֵי אָמַר פַּרְעֹה קוּמוּ צְאוּ מִתּוֹךְ עַמִּי, וְכָךְ עֲתִידִין עֲמָמִין דְּעָלְמָא לְמֵימַר לְיִשְׂרָאֵל קוּמוּ צְאוּ, פּוּקוּ מִבֵּינָנָא</w:t>
      </w:r>
      <w:r w:rsidRPr="00007309">
        <w:rPr>
          <w:rFonts w:cs="Arial" w:hint="cs"/>
          <w:b/>
          <w:bCs/>
          <w:sz w:val="24"/>
          <w:szCs w:val="24"/>
          <w:rtl/>
        </w:rPr>
        <w:t>.</w:t>
      </w:r>
      <w:r w:rsidRPr="00007309">
        <w:rPr>
          <w:rFonts w:cs="Arial"/>
          <w:b/>
          <w:bCs/>
          <w:sz w:val="24"/>
          <w:szCs w:val="24"/>
          <w:rtl/>
        </w:rPr>
        <w:t xml:space="preserve"> וְקוּדְשָׁא בְּרִיךְ הוּא לֹא אַפִּיק לוֹן מִבֵּינַיְהוּ עַד </w:t>
      </w:r>
      <w:r w:rsidRPr="00007309">
        <w:rPr>
          <w:rFonts w:cs="Arial"/>
          <w:b/>
          <w:bCs/>
          <w:sz w:val="36"/>
          <w:szCs w:val="28"/>
          <w:vertAlign w:val="superscript"/>
          <w:rtl/>
        </w:rPr>
        <w:footnoteReference w:id="8477"/>
      </w:r>
      <w:r w:rsidRPr="00007309">
        <w:rPr>
          <w:rFonts w:cs="Arial"/>
          <w:b/>
          <w:bCs/>
          <w:sz w:val="24"/>
          <w:szCs w:val="24"/>
          <w:rtl/>
        </w:rPr>
        <w:t xml:space="preserve">דְּנָטִיל מַמוֹנַם. וְכַמָּה דְּאִתְּמַר וַיְצַו עָלָיו פַּרְעֹה אֲנָשִׁים וַיְשַׁלְּחוּ אוֹתוֹ וְאֶת אִשְׁתּוֹ וְאֶת כָּל אֲשֶׁר לוֹ. כְּגַוְנָא דָּא בְּגָלוּתָא בַּתְרָאָה הָדָא הוּא דִּכְתִיב </w:t>
      </w:r>
      <w:r w:rsidRPr="00007309">
        <w:rPr>
          <w:rFonts w:cs="Arial" w:hint="cs"/>
          <w:b/>
          <w:bCs/>
          <w:sz w:val="24"/>
          <w:szCs w:val="24"/>
          <w:rtl/>
        </w:rPr>
        <w:t xml:space="preserve">(ישעיה סו כ) </w:t>
      </w:r>
      <w:r w:rsidRPr="00007309">
        <w:rPr>
          <w:rFonts w:cs="Arial"/>
          <w:b/>
          <w:bCs/>
          <w:sz w:val="24"/>
          <w:szCs w:val="24"/>
          <w:rtl/>
        </w:rPr>
        <w:t xml:space="preserve">וַהֲבִיאוּ אֶת כָּל אַחֵיכֶם מִכָּל הַגּוֹיִם מִנְחָה לַה' וְגוֹ'. </w:t>
      </w:r>
    </w:p>
    <w:p w:rsidR="00007309" w:rsidRPr="00007309" w:rsidRDefault="00007309" w:rsidP="00007309">
      <w:pPr>
        <w:keepNext/>
        <w:outlineLvl w:val="1"/>
        <w:rPr>
          <w:rFonts w:ascii="Cambria" w:hAnsi="Cambria" w:cs="Times New Roman"/>
          <w:b/>
          <w:bCs/>
          <w:i/>
          <w:iCs/>
          <w:sz w:val="28"/>
          <w:szCs w:val="28"/>
          <w:rtl/>
        </w:rPr>
      </w:pPr>
      <w:r w:rsidRPr="00007309">
        <w:rPr>
          <w:rFonts w:ascii="Cambria" w:hAnsi="Cambria" w:cs="Times New Roman"/>
          <w:b/>
          <w:bCs/>
          <w:i/>
          <w:iCs/>
          <w:sz w:val="28"/>
          <w:szCs w:val="28"/>
          <w:rtl/>
        </w:rPr>
        <w:t>[</w:t>
      </w:r>
      <w:r w:rsidRPr="00007309">
        <w:rPr>
          <w:rFonts w:ascii="Cambria" w:hAnsi="Cambria" w:cs="Times New Roman" w:hint="cs"/>
          <w:b/>
          <w:bCs/>
          <w:i/>
          <w:iCs/>
          <w:sz w:val="28"/>
          <w:szCs w:val="28"/>
          <w:rtl/>
        </w:rPr>
        <w:t>דף</w:t>
      </w:r>
      <w:r w:rsidRPr="00007309">
        <w:rPr>
          <w:rFonts w:ascii="Cambria" w:hAnsi="Cambria" w:cs="Times New Roman"/>
          <w:b/>
          <w:bCs/>
          <w:i/>
          <w:iCs/>
          <w:sz w:val="28"/>
          <w:szCs w:val="28"/>
          <w:rtl/>
        </w:rPr>
        <w:t xml:space="preserve"> </w:t>
      </w:r>
      <w:r w:rsidRPr="00007309">
        <w:rPr>
          <w:rFonts w:ascii="Cambria" w:hAnsi="Cambria" w:cs="Times New Roman" w:hint="cs"/>
          <w:b/>
          <w:bCs/>
          <w:i/>
          <w:iCs/>
          <w:sz w:val="28"/>
          <w:szCs w:val="28"/>
          <w:rtl/>
        </w:rPr>
        <w:t>פז</w:t>
      </w:r>
      <w:r w:rsidRPr="00007309">
        <w:rPr>
          <w:rFonts w:ascii="Cambria" w:hAnsi="Cambria" w:cs="Times New Roman"/>
          <w:b/>
          <w:bCs/>
          <w:i/>
          <w:iCs/>
          <w:sz w:val="28"/>
          <w:szCs w:val="28"/>
          <w:rtl/>
        </w:rPr>
        <w:t xml:space="preserve"> ע"</w:t>
      </w:r>
      <w:r w:rsidRPr="00007309">
        <w:rPr>
          <w:rFonts w:ascii="Cambria" w:hAnsi="Cambria" w:cs="Times New Roman" w:hint="cs"/>
          <w:b/>
          <w:bCs/>
          <w:i/>
          <w:iCs/>
          <w:sz w:val="28"/>
          <w:szCs w:val="28"/>
          <w:rtl/>
        </w:rPr>
        <w:t>ד</w:t>
      </w:r>
      <w:r w:rsidRPr="00007309">
        <w:rPr>
          <w:rFonts w:ascii="Cambria" w:hAnsi="Cambria" w:cs="Times New Roman"/>
          <w:b/>
          <w:bCs/>
          <w:i/>
          <w:iCs/>
          <w:sz w:val="28"/>
          <w:szCs w:val="28"/>
          <w:rtl/>
        </w:rPr>
        <w:t>]</w:t>
      </w:r>
    </w:p>
    <w:p w:rsidR="00007309" w:rsidRPr="00007309" w:rsidRDefault="00007309" w:rsidP="00007309">
      <w:pPr>
        <w:keepNext/>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 xml:space="preserve"> [וילנא מה ע"א]</w:t>
      </w:r>
    </w:p>
    <w:p w:rsidR="00007309" w:rsidRPr="00007309" w:rsidRDefault="00007309" w:rsidP="00007309">
      <w:pPr>
        <w:jc w:val="both"/>
        <w:rPr>
          <w:rFonts w:cs="Arial"/>
          <w:b/>
          <w:bCs/>
          <w:sz w:val="24"/>
          <w:szCs w:val="24"/>
          <w:rtl/>
        </w:rPr>
      </w:pPr>
      <w:r w:rsidRPr="00007309">
        <w:rPr>
          <w:rFonts w:cs="Arial"/>
          <w:b/>
          <w:bCs/>
          <w:sz w:val="24"/>
          <w:szCs w:val="24"/>
          <w:rtl/>
        </w:rPr>
        <w:t>אַדְּהָכֵי הָא אֵלִיָּהוּ אִזְדְּמַן לְגַבֵּהּ וְאָמַר</w:t>
      </w:r>
      <w:r w:rsidRPr="00007309">
        <w:rPr>
          <w:rFonts w:cs="Arial" w:hint="cs"/>
          <w:b/>
          <w:bCs/>
          <w:sz w:val="24"/>
          <w:szCs w:val="24"/>
          <w:rtl/>
        </w:rPr>
        <w:t>,</w:t>
      </w:r>
      <w:r w:rsidRPr="00007309">
        <w:rPr>
          <w:rFonts w:cs="Arial"/>
          <w:b/>
          <w:bCs/>
          <w:sz w:val="24"/>
          <w:szCs w:val="24"/>
          <w:rtl/>
        </w:rPr>
        <w:t xml:space="preserve"> רַבִּי רַבִּי וַדַּאי כְּגַוְנָא דָּא אִיהוּ בְּנִשְׁמְתָא דְּאִיהִי מִסִּטְרָא דִּשְׁכִינְתָּא. וְיֵצֶר הָרָע בָּעֵי לִקְרָבָא לְגַבָּהּ</w:t>
      </w:r>
      <w:r w:rsidRPr="00007309">
        <w:rPr>
          <w:rFonts w:cs="Arial" w:hint="cs"/>
          <w:b/>
          <w:bCs/>
          <w:sz w:val="24"/>
          <w:szCs w:val="24"/>
          <w:rtl/>
        </w:rPr>
        <w:t>,</w:t>
      </w:r>
      <w:r w:rsidRPr="00007309">
        <w:rPr>
          <w:rFonts w:cs="Arial"/>
          <w:b/>
          <w:bCs/>
          <w:sz w:val="24"/>
          <w:szCs w:val="24"/>
          <w:rtl/>
        </w:rPr>
        <w:t xml:space="preserve"> וְקוּדְשָׁא בְּרִיךְ הוּא מָחֵי לָהּ בְּכַמָּה מַכְתְּשִׁין לְאַנַּזְקָא, כְּגַוְנָא דְּמָחָא לְפַרְעֹה עַל דְּבַר שָׂרַי אֵשֶׁת אַבְרָם. וּבְהַהוּא זִמְנָא נָחִית סַמָּאֵל וְכָל חַיָּלָיו לְהַהִיא נִשְׁמְתָא, וְנָטִיר לָהּ עַד דְּאִתְקְרֵיבַת לְגַבֵּי קוּדְשָׁא בְּרִיךְ הוּא. וְהָכֵי כְּגַוְנָא דָּא כָּל בַּר נָשׁ דְּבָעֵי לְקָרְבָא לְצַדִּיק לְאַנַּזְקָא לֵהּ, קוּדְשָׁא בְּרִיךְ הוּא מָחֵי לֵהּ בְּכַמָּה מַכְתְּשִׁין עַד דְּיִתְחַזַּר לְשִׁעְבּוּדֵהּ. וּבְגִין דָּא אָמְרָה </w:t>
      </w:r>
      <w:r w:rsidRPr="00007309">
        <w:rPr>
          <w:rFonts w:ascii="Cambria" w:hAnsi="Cambria" w:cs="Times New Roman"/>
          <w:b/>
          <w:bCs/>
          <w:i/>
          <w:iCs/>
          <w:color w:val="4F81BD"/>
          <w:sz w:val="24"/>
          <w:szCs w:val="24"/>
          <w:rtl/>
        </w:rPr>
        <w:t>(</w:t>
      </w:r>
      <w:r w:rsidRPr="00007309">
        <w:rPr>
          <w:rFonts w:ascii="Cambria" w:hAnsi="Cambria" w:cs="Times New Roman" w:hint="cs"/>
          <w:b/>
          <w:bCs/>
          <w:i/>
          <w:iCs/>
          <w:color w:val="4F81BD"/>
          <w:sz w:val="24"/>
          <w:szCs w:val="24"/>
          <w:rtl/>
        </w:rPr>
        <w:t>וילנא מה</w:t>
      </w:r>
      <w:r w:rsidRPr="00007309">
        <w:rPr>
          <w:rFonts w:ascii="Cambria" w:hAnsi="Cambria" w:cs="Times New Roman"/>
          <w:b/>
          <w:bCs/>
          <w:i/>
          <w:iCs/>
          <w:color w:val="4F81BD"/>
          <w:sz w:val="24"/>
          <w:szCs w:val="24"/>
          <w:rtl/>
        </w:rPr>
        <w:t xml:space="preserve"> ע"א)</w:t>
      </w:r>
      <w:r w:rsidRPr="00007309">
        <w:rPr>
          <w:rFonts w:cs="Arial"/>
          <w:b/>
          <w:bCs/>
          <w:sz w:val="24"/>
          <w:szCs w:val="24"/>
          <w:rtl/>
        </w:rPr>
        <w:t xml:space="preserve"> אִנְתּוּ לְהָמָן חַיָּבָא (אסתר ו) אִם מִזֶּרַע הַיְּהוּדִים מָרְדְּכַי לֹא תּוּכַל לוֹ כִּי נָפוֹל תִּפֹּל לְפָנָיו. </w:t>
      </w:r>
      <w:r w:rsidRPr="00007309">
        <w:rPr>
          <w:rFonts w:ascii="Cambria" w:hAnsi="Cambria" w:cs="Times New Roman"/>
          <w:b/>
          <w:bCs/>
          <w:i/>
          <w:iCs/>
          <w:color w:val="4F81BD"/>
          <w:sz w:val="24"/>
          <w:szCs w:val="24"/>
          <w:rtl/>
        </w:rPr>
        <w:t>(פז ע"</w:t>
      </w:r>
      <w:r w:rsidRPr="00007309">
        <w:rPr>
          <w:rFonts w:ascii="Cambria" w:hAnsi="Cambria" w:cs="Times New Roman" w:hint="cs"/>
          <w:b/>
          <w:bCs/>
          <w:i/>
          <w:iCs/>
          <w:color w:val="4F81BD"/>
          <w:sz w:val="24"/>
          <w:szCs w:val="24"/>
          <w:rtl/>
        </w:rPr>
        <w:t>ד</w:t>
      </w:r>
      <w:r w:rsidRPr="00007309">
        <w:rPr>
          <w:rFonts w:ascii="Cambria" w:hAnsi="Cambria" w:cs="Times New Roman"/>
          <w:b/>
          <w:bCs/>
          <w:i/>
          <w:iCs/>
          <w:color w:val="4F81BD"/>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478"/>
      </w:r>
      <w:r w:rsidRPr="00007309">
        <w:rPr>
          <w:rFonts w:cs="Arial"/>
          <w:b/>
          <w:bCs/>
          <w:sz w:val="24"/>
          <w:szCs w:val="24"/>
          <w:rtl/>
        </w:rPr>
        <w:t>אֲבָל נִשְׁמְתָא דְּלָאו אִיהוּ מִסִּטְרָא דְּרוּחָא דְּקֻדְשָׁא, אִית לָהּ לְאִסְתַּמְּרָא, דְּאִית לֵהּ רְשׁוּ לִמְקַטְרְגָא עַלַהּ, וְעָרוּם רָאָה רָעָה וְנִסְתָּר</w:t>
      </w:r>
      <w:r w:rsidRPr="00007309">
        <w:rPr>
          <w:rFonts w:cs="Arial" w:hint="cs"/>
          <w:b/>
          <w:bCs/>
          <w:sz w:val="24"/>
          <w:szCs w:val="24"/>
          <w:rtl/>
        </w:rPr>
        <w:t xml:space="preserve"> (משלי כב ג)</w:t>
      </w:r>
      <w:r w:rsidRPr="00007309">
        <w:rPr>
          <w:rFonts w:cs="Arial"/>
          <w:b/>
          <w:bCs/>
          <w:sz w:val="24"/>
          <w:szCs w:val="24"/>
          <w:rtl/>
        </w:rPr>
        <w:t>.</w:t>
      </w:r>
    </w:p>
    <w:p w:rsidR="00007309" w:rsidRPr="00007309" w:rsidRDefault="00007309" w:rsidP="00007309">
      <w:pPr>
        <w:jc w:val="both"/>
        <w:rPr>
          <w:rFonts w:cs="Arial"/>
          <w:b/>
          <w:bCs/>
          <w:sz w:val="24"/>
          <w:szCs w:val="24"/>
        </w:rPr>
      </w:pPr>
      <w:r w:rsidRPr="00007309">
        <w:rPr>
          <w:rFonts w:cs="Arial"/>
          <w:b/>
          <w:bCs/>
          <w:sz w:val="24"/>
          <w:szCs w:val="24"/>
          <w:rtl/>
        </w:rPr>
        <w:t>וַיַּעַל אַבְרָם מִמִּצְרַיִם</w:t>
      </w:r>
      <w:r w:rsidRPr="00007309">
        <w:rPr>
          <w:rFonts w:cs="Arial" w:hint="cs"/>
          <w:b/>
          <w:bCs/>
          <w:sz w:val="24"/>
          <w:szCs w:val="24"/>
          <w:rtl/>
        </w:rPr>
        <w:t>.</w:t>
      </w:r>
      <w:r w:rsidRPr="00007309">
        <w:rPr>
          <w:rFonts w:cs="Arial"/>
          <w:b/>
          <w:bCs/>
          <w:sz w:val="24"/>
          <w:szCs w:val="24"/>
          <w:rtl/>
        </w:rPr>
        <w:t xml:space="preserve"> מַאי וַיַּעַל אַבְרָם</w:t>
      </w:r>
      <w:r w:rsidRPr="00007309">
        <w:rPr>
          <w:rFonts w:cs="Arial"/>
          <w:b/>
          <w:bCs/>
          <w:sz w:val="24"/>
          <w:szCs w:val="28"/>
        </w:rPr>
        <w:t xml:space="preserve"> </w:t>
      </w:r>
      <w:r w:rsidRPr="00007309">
        <w:rPr>
          <w:rFonts w:cs="Arial"/>
          <w:b/>
          <w:bCs/>
          <w:sz w:val="24"/>
          <w:szCs w:val="24"/>
          <w:rtl/>
        </w:rPr>
        <w:t xml:space="preserve">מִמִּצְרַיִם. אָמַר לוֹ אֵלִיָּהוּ וַדַּאי בְּזִמְנָא דְּנִשְׁמְתָא אִשְׁתְּזִיבָה מֵהַהוּא מְמָנָא בִּישָׁא, דְּאִיהוּ אֵל אַחֵר מֶלֶךְ מִצְרַיִם מַלְכָּא </w:t>
      </w:r>
      <w:r w:rsidRPr="00007309">
        <w:rPr>
          <w:rFonts w:cs="Arial"/>
          <w:b/>
          <w:bCs/>
          <w:sz w:val="36"/>
          <w:szCs w:val="28"/>
          <w:vertAlign w:val="superscript"/>
          <w:rtl/>
        </w:rPr>
        <w:footnoteReference w:id="8479"/>
      </w:r>
      <w:r w:rsidRPr="00007309">
        <w:rPr>
          <w:rFonts w:cs="Arial"/>
          <w:b/>
          <w:bCs/>
          <w:sz w:val="24"/>
          <w:szCs w:val="24"/>
          <w:rtl/>
        </w:rPr>
        <w:t xml:space="preserve">דְּאִנּוּן צוֹרְרִים דְּדַחֲקִין לְנִשְׁמָתִין, וְאִנּוּן מַלְאֲכֵי חַבָּלָה מַזִּיקִין כְּמָא דְּאוֹקְמוּהּ מָארֵי מַתְנִיתִין, </w:t>
      </w:r>
      <w:r w:rsidRPr="00007309">
        <w:rPr>
          <w:rFonts w:cs="Arial"/>
          <w:b/>
          <w:bCs/>
          <w:sz w:val="36"/>
          <w:szCs w:val="28"/>
          <w:vertAlign w:val="superscript"/>
          <w:rtl/>
        </w:rPr>
        <w:footnoteReference w:id="8480"/>
      </w:r>
      <w:r w:rsidRPr="00007309">
        <w:rPr>
          <w:rFonts w:cs="Arial"/>
          <w:b/>
          <w:bCs/>
          <w:sz w:val="24"/>
          <w:szCs w:val="24"/>
          <w:rtl/>
        </w:rPr>
        <w:t>נִשְׁמָתִין דְּרַשִּׁיעַיָּא הֵן הֵן הַמַּזִּיקִין בָּעוֹלָם. מַה כְּתִיב בְּמָארֵי נִשְׁמְתָא</w:t>
      </w:r>
      <w:r w:rsidRPr="00007309">
        <w:rPr>
          <w:rFonts w:cs="Arial" w:hint="cs"/>
          <w:b/>
          <w:bCs/>
          <w:sz w:val="24"/>
          <w:szCs w:val="24"/>
          <w:rtl/>
        </w:rPr>
        <w:t>,</w:t>
      </w:r>
      <w:r w:rsidRPr="00007309">
        <w:rPr>
          <w:rFonts w:cs="Arial"/>
          <w:b/>
          <w:bCs/>
          <w:sz w:val="24"/>
          <w:szCs w:val="24"/>
          <w:rtl/>
        </w:rPr>
        <w:t xml:space="preserve"> וַיַּעַל אַבְרָם מִמִּצְרַיִם</w:t>
      </w:r>
      <w:r w:rsidRPr="00007309">
        <w:rPr>
          <w:rFonts w:cs="Arial" w:hint="cs"/>
          <w:b/>
          <w:bCs/>
          <w:sz w:val="24"/>
          <w:szCs w:val="24"/>
          <w:rtl/>
        </w:rPr>
        <w:t>,</w:t>
      </w:r>
      <w:r w:rsidRPr="00007309">
        <w:rPr>
          <w:rFonts w:cs="Arial"/>
          <w:b/>
          <w:bCs/>
          <w:sz w:val="24"/>
          <w:szCs w:val="24"/>
          <w:rtl/>
        </w:rPr>
        <w:t xml:space="preserve"> אִסְתְּלַק עָלַיְהוּ בְּתֻקְפָּא סַגֵּי הוּא וְנִשְׁמָתֵהּ וְכָל דִּילֵהּ. וַאֲפִלּוּ לוֹט עִמֵּהּ</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481"/>
      </w:r>
      <w:r w:rsidRPr="00007309">
        <w:rPr>
          <w:rFonts w:cs="Arial"/>
          <w:b/>
          <w:bCs/>
          <w:sz w:val="24"/>
          <w:szCs w:val="24"/>
          <w:rtl/>
        </w:rPr>
        <w:t>דְּאִיהוּ שֵׁ</w:t>
      </w:r>
      <w:r w:rsidRPr="00007309">
        <w:rPr>
          <w:rFonts w:cs="Arial" w:hint="cs"/>
          <w:b/>
          <w:bCs/>
          <w:sz w:val="24"/>
          <w:szCs w:val="24"/>
          <w:rtl/>
        </w:rPr>
        <w:t>ד</w:t>
      </w:r>
      <w:r w:rsidRPr="00007309">
        <w:rPr>
          <w:rFonts w:cs="Arial"/>
          <w:b/>
          <w:bCs/>
          <w:sz w:val="24"/>
          <w:szCs w:val="24"/>
          <w:rtl/>
        </w:rPr>
        <w:t xml:space="preserve"> מִסִּטְרָא דִּימִינָא, דְּלָאו כָּל שֵׁ</w:t>
      </w:r>
      <w:r w:rsidRPr="00007309">
        <w:rPr>
          <w:rFonts w:cs="Arial" w:hint="cs"/>
          <w:b/>
          <w:bCs/>
          <w:sz w:val="24"/>
          <w:szCs w:val="24"/>
          <w:rtl/>
        </w:rPr>
        <w:t>ד</w:t>
      </w:r>
      <w:r w:rsidRPr="00007309">
        <w:rPr>
          <w:rFonts w:cs="Arial"/>
          <w:b/>
          <w:bCs/>
          <w:sz w:val="24"/>
          <w:szCs w:val="24"/>
          <w:rtl/>
        </w:rPr>
        <w:t>ִין שַׁוְיָן, דְּאִית שֵׁדִין דְּאִנּוּן כְּגַוְנָא דְּמַלְאָכִין קַדִּישִׁין, דְּיָדְעִין מַה דַּהֲוָה וּמַה דְּעָתִיד לְמֶהֱוֵי</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482"/>
      </w:r>
      <w:r w:rsidRPr="00007309">
        <w:rPr>
          <w:rFonts w:cs="Arial"/>
          <w:b/>
          <w:bCs/>
          <w:sz w:val="24"/>
          <w:szCs w:val="24"/>
          <w:rtl/>
        </w:rPr>
        <w:t>וְעַל הַאי שֵׁד אָמַר קוּדְשָׁא בְּרִיךְ הוּא אֶעֱשֶׂה לוֹ עֵזְר</w:t>
      </w:r>
      <w:r w:rsidRPr="00007309">
        <w:rPr>
          <w:rFonts w:cs="Arial" w:hint="cs"/>
          <w:b/>
          <w:bCs/>
          <w:sz w:val="24"/>
          <w:szCs w:val="24"/>
          <w:rtl/>
        </w:rPr>
        <w:t>,</w:t>
      </w:r>
      <w:r w:rsidRPr="00007309">
        <w:rPr>
          <w:rFonts w:cs="Arial"/>
          <w:b/>
          <w:bCs/>
          <w:sz w:val="24"/>
          <w:szCs w:val="24"/>
          <w:rtl/>
        </w:rPr>
        <w:t xml:space="preserve"> אִם זָכָה עֵזְר וְאִם לָאו כְּנֶגְדּוֹ. עֵזְר</w:t>
      </w:r>
      <w:r w:rsidRPr="00007309">
        <w:rPr>
          <w:rFonts w:cs="Arial" w:hint="cs"/>
          <w:b/>
          <w:bCs/>
          <w:sz w:val="24"/>
          <w:szCs w:val="24"/>
          <w:rtl/>
        </w:rPr>
        <w:t xml:space="preserve"> </w:t>
      </w:r>
      <w:r w:rsidRPr="00007309">
        <w:rPr>
          <w:rFonts w:cs="Arial"/>
          <w:b/>
          <w:bCs/>
          <w:sz w:val="36"/>
          <w:szCs w:val="28"/>
          <w:vertAlign w:val="superscript"/>
          <w:rtl/>
        </w:rPr>
        <w:footnoteReference w:id="8483"/>
      </w:r>
      <w:r w:rsidRPr="00007309">
        <w:rPr>
          <w:rFonts w:cs="Arial"/>
          <w:b/>
          <w:bCs/>
          <w:sz w:val="24"/>
          <w:szCs w:val="24"/>
          <w:rtl/>
        </w:rPr>
        <w:t xml:space="preserve">דְּזָכָה </w:t>
      </w:r>
      <w:r w:rsidRPr="00007309">
        <w:rPr>
          <w:rFonts w:cs="Arial" w:hint="cs"/>
          <w:b/>
          <w:bCs/>
          <w:sz w:val="24"/>
          <w:szCs w:val="24"/>
          <w:rtl/>
        </w:rPr>
        <w:t>ל</w:t>
      </w:r>
      <w:r w:rsidRPr="00007309">
        <w:rPr>
          <w:rFonts w:cs="Arial"/>
          <w:b/>
          <w:bCs/>
          <w:sz w:val="24"/>
          <w:szCs w:val="24"/>
          <w:rtl/>
        </w:rPr>
        <w:t>ְ</w:t>
      </w:r>
      <w:r w:rsidRPr="00007309">
        <w:rPr>
          <w:rFonts w:cs="Arial" w:hint="cs"/>
          <w:b/>
          <w:bCs/>
          <w:sz w:val="24"/>
          <w:szCs w:val="24"/>
          <w:rtl/>
        </w:rPr>
        <w:t>או</w:t>
      </w:r>
      <w:r w:rsidRPr="00007309">
        <w:rPr>
          <w:rFonts w:cs="Arial"/>
          <w:b/>
          <w:bCs/>
          <w:sz w:val="24"/>
          <w:szCs w:val="24"/>
          <w:rtl/>
        </w:rPr>
        <w:t>ֹ</w:t>
      </w:r>
      <w:r w:rsidRPr="00007309">
        <w:rPr>
          <w:rFonts w:cs="Arial" w:hint="cs"/>
          <w:b/>
          <w:bCs/>
          <w:sz w:val="24"/>
          <w:szCs w:val="24"/>
          <w:rtl/>
        </w:rPr>
        <w:t>ת י' ד</w:t>
      </w:r>
      <w:r w:rsidRPr="00007309">
        <w:rPr>
          <w:rFonts w:cs="Arial"/>
          <w:b/>
          <w:bCs/>
          <w:sz w:val="24"/>
          <w:szCs w:val="24"/>
          <w:rtl/>
        </w:rPr>
        <w:t>ִּ</w:t>
      </w:r>
      <w:r w:rsidRPr="00007309">
        <w:rPr>
          <w:rFonts w:cs="Arial" w:hint="cs"/>
          <w:b/>
          <w:bCs/>
          <w:sz w:val="24"/>
          <w:szCs w:val="24"/>
          <w:rtl/>
        </w:rPr>
        <w:t>ב</w:t>
      </w:r>
      <w:r w:rsidRPr="00007309">
        <w:rPr>
          <w:rFonts w:cs="Arial"/>
          <w:b/>
          <w:bCs/>
          <w:sz w:val="24"/>
          <w:szCs w:val="24"/>
          <w:rtl/>
        </w:rPr>
        <w:t>ְ</w:t>
      </w:r>
      <w:r w:rsidRPr="00007309">
        <w:rPr>
          <w:rFonts w:cs="Arial" w:hint="cs"/>
          <w:b/>
          <w:bCs/>
          <w:sz w:val="24"/>
          <w:szCs w:val="24"/>
          <w:rtl/>
        </w:rPr>
        <w:t>ר</w:t>
      </w:r>
      <w:r w:rsidRPr="00007309">
        <w:rPr>
          <w:rFonts w:cs="Arial"/>
          <w:b/>
          <w:bCs/>
          <w:sz w:val="24"/>
          <w:szCs w:val="24"/>
          <w:rtl/>
        </w:rPr>
        <w:t>ִ</w:t>
      </w:r>
      <w:r w:rsidRPr="00007309">
        <w:rPr>
          <w:rFonts w:cs="Arial" w:hint="cs"/>
          <w:b/>
          <w:bCs/>
          <w:sz w:val="24"/>
          <w:szCs w:val="24"/>
          <w:rtl/>
        </w:rPr>
        <w:t>ית מ</w:t>
      </w:r>
      <w:r w:rsidRPr="00007309">
        <w:rPr>
          <w:rFonts w:cs="Arial"/>
          <w:b/>
          <w:bCs/>
          <w:sz w:val="24"/>
          <w:szCs w:val="24"/>
          <w:rtl/>
        </w:rPr>
        <w:t>ִ</w:t>
      </w:r>
      <w:r w:rsidRPr="00007309">
        <w:rPr>
          <w:rFonts w:cs="Arial" w:hint="cs"/>
          <w:b/>
          <w:bCs/>
          <w:sz w:val="24"/>
          <w:szCs w:val="24"/>
          <w:rtl/>
        </w:rPr>
        <w:t>יל</w:t>
      </w:r>
      <w:r w:rsidRPr="00007309">
        <w:rPr>
          <w:rFonts w:cs="Arial"/>
          <w:b/>
          <w:bCs/>
          <w:sz w:val="24"/>
          <w:szCs w:val="24"/>
          <w:rtl/>
        </w:rPr>
        <w:t>ָ</w:t>
      </w:r>
      <w:r w:rsidRPr="00007309">
        <w:rPr>
          <w:rFonts w:cs="Arial" w:hint="cs"/>
          <w:b/>
          <w:bCs/>
          <w:sz w:val="24"/>
          <w:szCs w:val="24"/>
          <w:rtl/>
        </w:rPr>
        <w:t>ה ו</w:t>
      </w:r>
      <w:r w:rsidRPr="00007309">
        <w:rPr>
          <w:rFonts w:cs="Arial"/>
          <w:b/>
          <w:bCs/>
          <w:sz w:val="24"/>
          <w:szCs w:val="24"/>
          <w:rtl/>
        </w:rPr>
        <w:t>ְ</w:t>
      </w:r>
      <w:r w:rsidRPr="00007309">
        <w:rPr>
          <w:rFonts w:cs="Arial" w:hint="cs"/>
          <w:b/>
          <w:bCs/>
          <w:sz w:val="24"/>
          <w:szCs w:val="24"/>
          <w:rtl/>
        </w:rPr>
        <w:t>א</w:t>
      </w:r>
      <w:r w:rsidRPr="00007309">
        <w:rPr>
          <w:rFonts w:cs="Arial"/>
          <w:b/>
          <w:bCs/>
          <w:sz w:val="24"/>
          <w:szCs w:val="24"/>
          <w:rtl/>
        </w:rPr>
        <w:t>ִ</w:t>
      </w:r>
      <w:r w:rsidRPr="00007309">
        <w:rPr>
          <w:rFonts w:cs="Arial" w:hint="cs"/>
          <w:b/>
          <w:bCs/>
          <w:sz w:val="24"/>
          <w:szCs w:val="24"/>
          <w:rtl/>
        </w:rPr>
        <w:t>ת</w:t>
      </w:r>
      <w:r w:rsidRPr="00007309">
        <w:rPr>
          <w:rFonts w:cs="Arial"/>
          <w:b/>
          <w:bCs/>
          <w:sz w:val="24"/>
          <w:szCs w:val="24"/>
          <w:rtl/>
        </w:rPr>
        <w:t>ְ</w:t>
      </w:r>
      <w:r w:rsidRPr="00007309">
        <w:rPr>
          <w:rFonts w:cs="Arial" w:hint="cs"/>
          <w:b/>
          <w:bCs/>
          <w:sz w:val="24"/>
          <w:szCs w:val="24"/>
          <w:rtl/>
        </w:rPr>
        <w:t>ע</w:t>
      </w:r>
      <w:r w:rsidRPr="00007309">
        <w:rPr>
          <w:rFonts w:cs="Arial"/>
          <w:b/>
          <w:bCs/>
          <w:sz w:val="24"/>
          <w:szCs w:val="24"/>
          <w:rtl/>
        </w:rPr>
        <w:t>ַ</w:t>
      </w:r>
      <w:r w:rsidRPr="00007309">
        <w:rPr>
          <w:rFonts w:cs="Arial" w:hint="cs"/>
          <w:b/>
          <w:bCs/>
          <w:sz w:val="24"/>
          <w:szCs w:val="24"/>
          <w:rtl/>
        </w:rPr>
        <w:t>ב</w:t>
      </w:r>
      <w:r w:rsidRPr="00007309">
        <w:rPr>
          <w:rFonts w:cs="Arial"/>
          <w:b/>
          <w:bCs/>
          <w:sz w:val="24"/>
          <w:szCs w:val="24"/>
          <w:rtl/>
        </w:rPr>
        <w:t>ִ</w:t>
      </w:r>
      <w:r w:rsidRPr="00007309">
        <w:rPr>
          <w:rFonts w:cs="Arial" w:hint="cs"/>
          <w:b/>
          <w:bCs/>
          <w:sz w:val="24"/>
          <w:szCs w:val="24"/>
          <w:rtl/>
        </w:rPr>
        <w:t>יד שדי</w:t>
      </w:r>
      <w:r w:rsidRPr="00007309">
        <w:rPr>
          <w:rFonts w:cs="Arial"/>
          <w:b/>
          <w:bCs/>
          <w:sz w:val="24"/>
          <w:szCs w:val="24"/>
          <w:rtl/>
        </w:rPr>
        <w:t>. וְאִם לָאו אִיהוּ כְּנֶגְדּוֹ שֵׁד הָדָא הוּא דִּכְתִיב (בראשית יג) וְלֹא נָשָׁא אוֹתָם הָאָרֶץ לָשֶׁבֶת יַחְדָּיו. וְעוֹד אִי זָכָה בַּר נָשׁ אִיהִ</w:t>
      </w:r>
      <w:r w:rsidRPr="00007309">
        <w:rPr>
          <w:rFonts w:cs="Arial" w:hint="cs"/>
          <w:b/>
          <w:bCs/>
          <w:sz w:val="24"/>
          <w:szCs w:val="24"/>
          <w:rtl/>
        </w:rPr>
        <w:t>י</w:t>
      </w:r>
      <w:r w:rsidRPr="00007309">
        <w:rPr>
          <w:rFonts w:cs="Arial"/>
          <w:b/>
          <w:bCs/>
          <w:sz w:val="24"/>
          <w:szCs w:val="24"/>
          <w:rtl/>
        </w:rPr>
        <w:t xml:space="preserve"> עֵזְר, </w:t>
      </w:r>
      <w:r w:rsidRPr="00007309">
        <w:rPr>
          <w:rFonts w:cs="Arial"/>
          <w:b/>
          <w:bCs/>
          <w:sz w:val="36"/>
          <w:szCs w:val="28"/>
          <w:vertAlign w:val="superscript"/>
          <w:rtl/>
        </w:rPr>
        <w:footnoteReference w:id="8484"/>
      </w:r>
      <w:r w:rsidRPr="00007309">
        <w:rPr>
          <w:rFonts w:cs="Arial"/>
          <w:b/>
          <w:bCs/>
          <w:sz w:val="24"/>
          <w:szCs w:val="24"/>
          <w:rtl/>
        </w:rPr>
        <w:t>אֵימָתַי בְּלֵיל שַׁבָּת דְּאוֹזְפִין תְּ</w:t>
      </w:r>
      <w:r w:rsidRPr="00007309">
        <w:rPr>
          <w:rFonts w:cs="Arial" w:hint="cs"/>
          <w:b/>
          <w:bCs/>
          <w:sz w:val="24"/>
          <w:szCs w:val="24"/>
          <w:rtl/>
        </w:rPr>
        <w:t>ר</w:t>
      </w:r>
      <w:r w:rsidRPr="00007309">
        <w:rPr>
          <w:rFonts w:cs="Arial"/>
          <w:b/>
          <w:bCs/>
          <w:sz w:val="24"/>
          <w:szCs w:val="24"/>
          <w:rtl/>
        </w:rPr>
        <w:t xml:space="preserve">ֵין מַלְאָכִין לבַּר נָשׁ, דָּא יֵצֶר הַטוֹב וְדָא יֵצֶר הָרָע. אִי זָכָה יֵצֶר הַטוֹב מְבָרֵךְ לְבַעַל הַבַּיִת וּלְאִנְתְּתֵהּ וְכָל דִּילֵהּ, וְיֵצֶר הָרָע אִיהוּ עוֹזֵר לֵהּ בְּעַל כָּרְחֵהּ וְעוֹנֶה אָמֵן. וְאִי לָאו אִיהוּ כְּנֶגְדּוֹ, </w:t>
      </w:r>
      <w:r w:rsidRPr="00007309">
        <w:rPr>
          <w:rFonts w:cs="Arial"/>
          <w:b/>
          <w:bCs/>
          <w:sz w:val="36"/>
          <w:szCs w:val="28"/>
          <w:vertAlign w:val="superscript"/>
          <w:rtl/>
        </w:rPr>
        <w:footnoteReference w:id="8485"/>
      </w:r>
      <w:r w:rsidRPr="00007309">
        <w:rPr>
          <w:rFonts w:cs="Arial"/>
          <w:b/>
          <w:bCs/>
          <w:sz w:val="24"/>
          <w:szCs w:val="24"/>
          <w:rtl/>
        </w:rPr>
        <w:t>וְלַיֵיט לֵהּ וּלְכָל דִּילֵהּ</w:t>
      </w:r>
      <w:r w:rsidRPr="00007309">
        <w:rPr>
          <w:rFonts w:cs="Arial" w:hint="cs"/>
          <w:b/>
          <w:bCs/>
          <w:sz w:val="24"/>
          <w:szCs w:val="24"/>
          <w:rtl/>
        </w:rPr>
        <w:t>,</w:t>
      </w:r>
      <w:r w:rsidRPr="00007309">
        <w:rPr>
          <w:rFonts w:cs="Arial"/>
          <w:b/>
          <w:bCs/>
          <w:sz w:val="24"/>
          <w:szCs w:val="24"/>
          <w:rtl/>
        </w:rPr>
        <w:t xml:space="preserve"> וּבְגִין דָּא אִתְקְרֵי לוֹט</w:t>
      </w:r>
      <w:r w:rsidRPr="00007309">
        <w:rPr>
          <w:rFonts w:cs="Arial" w:hint="cs"/>
          <w:b/>
          <w:bCs/>
          <w:sz w:val="24"/>
          <w:szCs w:val="24"/>
          <w:rtl/>
        </w:rPr>
        <w:t>,</w:t>
      </w:r>
      <w:r w:rsidRPr="00007309">
        <w:rPr>
          <w:rFonts w:cs="Arial"/>
          <w:b/>
          <w:bCs/>
          <w:sz w:val="24"/>
          <w:szCs w:val="24"/>
          <w:rtl/>
        </w:rPr>
        <w:t xml:space="preserve"> דְּאַיְתֵי לְוָטִין עַל הַהוּא בַּר נָשׁ וְעַל בֵּיתֵהּ, </w:t>
      </w:r>
      <w:r w:rsidRPr="00007309">
        <w:rPr>
          <w:rFonts w:cs="Arial"/>
          <w:b/>
          <w:bCs/>
          <w:sz w:val="36"/>
          <w:szCs w:val="28"/>
          <w:vertAlign w:val="superscript"/>
          <w:rtl/>
        </w:rPr>
        <w:footnoteReference w:id="8486"/>
      </w:r>
      <w:r w:rsidRPr="00007309">
        <w:rPr>
          <w:rFonts w:cs="Arial"/>
          <w:b/>
          <w:bCs/>
          <w:sz w:val="24"/>
          <w:szCs w:val="24"/>
          <w:rtl/>
        </w:rPr>
        <w:t>וְאִיהוּ אָעִיל קְטָטָה בְּבֵיתֵהּ</w:t>
      </w:r>
      <w:r w:rsidRPr="00007309">
        <w:rPr>
          <w:rFonts w:cs="Arial" w:hint="cs"/>
          <w:b/>
          <w:bCs/>
          <w:sz w:val="24"/>
          <w:szCs w:val="24"/>
          <w:rtl/>
        </w:rPr>
        <w:t>,</w:t>
      </w:r>
      <w:r w:rsidRPr="00007309">
        <w:rPr>
          <w:rFonts w:cs="Arial"/>
          <w:b/>
          <w:bCs/>
          <w:sz w:val="24"/>
          <w:szCs w:val="24"/>
          <w:rtl/>
        </w:rPr>
        <w:t xml:space="preserve"> הָדָא הוּא דִּכְתִיב וַיְהִי רִיב בֵּין </w:t>
      </w:r>
      <w:r w:rsidRPr="00007309">
        <w:rPr>
          <w:rFonts w:cs="Arial"/>
          <w:b/>
          <w:bCs/>
          <w:sz w:val="36"/>
          <w:szCs w:val="28"/>
          <w:vertAlign w:val="superscript"/>
          <w:rtl/>
        </w:rPr>
        <w:footnoteReference w:id="8487"/>
      </w:r>
      <w:r w:rsidRPr="00007309">
        <w:rPr>
          <w:rFonts w:cs="Arial"/>
          <w:b/>
          <w:bCs/>
          <w:sz w:val="24"/>
          <w:szCs w:val="24"/>
          <w:rtl/>
        </w:rPr>
        <w:t>רוֹעֵי מִקְנֵה אַבְרָם וּבֵין רוֹעֵי מִקְנֵה לוֹט. וּבְהַהוּא זִמְנָא (בראשית יג) וַיֹּאמֶר אַבְרָם אֶל לוֹט אַל נָא תְּהִי מְרִיבָה בֵּינִי וּבֵינֶיךָ וְגוֹ' כִּי אֲנָשִׁים אַחִים אֲנַחְנוּ</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488"/>
      </w:r>
      <w:r w:rsidRPr="00007309">
        <w:rPr>
          <w:rFonts w:cs="Arial"/>
          <w:b/>
          <w:bCs/>
          <w:sz w:val="24"/>
          <w:szCs w:val="24"/>
          <w:rtl/>
        </w:rPr>
        <w:t>מִסִּטְרָא דְּהַ</w:t>
      </w:r>
      <w:r w:rsidRPr="00007309">
        <w:rPr>
          <w:rFonts w:cs="Arial" w:hint="cs"/>
          <w:b/>
          <w:bCs/>
          <w:sz w:val="24"/>
          <w:szCs w:val="24"/>
          <w:rtl/>
        </w:rPr>
        <w:t>א</w:t>
      </w:r>
      <w:r w:rsidRPr="00007309">
        <w:rPr>
          <w:rFonts w:cs="Arial"/>
          <w:b/>
          <w:bCs/>
          <w:sz w:val="24"/>
          <w:szCs w:val="24"/>
          <w:rtl/>
        </w:rPr>
        <w:t>י גּוּפָא</w:t>
      </w:r>
      <w:r w:rsidRPr="00007309">
        <w:rPr>
          <w:rFonts w:cs="Arial" w:hint="cs"/>
          <w:b/>
          <w:bCs/>
          <w:sz w:val="24"/>
          <w:szCs w:val="24"/>
          <w:rtl/>
        </w:rPr>
        <w:t>.</w:t>
      </w:r>
      <w:r w:rsidRPr="00007309">
        <w:rPr>
          <w:rFonts w:cs="Arial"/>
          <w:b/>
          <w:bCs/>
          <w:sz w:val="24"/>
          <w:szCs w:val="24"/>
          <w:rtl/>
        </w:rPr>
        <w:t xml:space="preserve"> וּמָה אָמַר לוֹ </w:t>
      </w:r>
      <w:r w:rsidRPr="00007309">
        <w:rPr>
          <w:rFonts w:cs="Arial"/>
          <w:b/>
          <w:bCs/>
          <w:sz w:val="36"/>
          <w:szCs w:val="28"/>
          <w:vertAlign w:val="superscript"/>
          <w:rtl/>
        </w:rPr>
        <w:footnoteReference w:id="8489"/>
      </w:r>
      <w:r w:rsidRPr="00007309">
        <w:rPr>
          <w:rFonts w:cs="Arial"/>
          <w:b/>
          <w:bCs/>
          <w:sz w:val="24"/>
          <w:szCs w:val="24"/>
          <w:rtl/>
        </w:rPr>
        <w:t>הֲלֹא כָּל הָאָרֶץ לְפָנֶיךְ (שם). וּבְגִין דָּא אָמְרוּ מָארֵי מַתְנִיתִין</w:t>
      </w:r>
      <w:r w:rsidRPr="00007309">
        <w:rPr>
          <w:rFonts w:cs="Arial" w:hint="cs"/>
          <w:b/>
          <w:bCs/>
          <w:sz w:val="24"/>
          <w:szCs w:val="24"/>
          <w:rtl/>
        </w:rPr>
        <w:t>,</w:t>
      </w:r>
      <w:r w:rsidRPr="00007309">
        <w:rPr>
          <w:rFonts w:cs="Arial"/>
          <w:b/>
          <w:bCs/>
          <w:sz w:val="24"/>
          <w:szCs w:val="24"/>
          <w:rtl/>
        </w:rPr>
        <w:t xml:space="preserve"> אִם רָאִיתָ שֶׁיֵּצֶר הָרָע מִתְגַּבֵּר עָלֶיךָ הוֹלִיכֵהוּ לְבֵית הַמִּדְרָשׁ</w:t>
      </w:r>
      <w:r w:rsidRPr="00007309">
        <w:rPr>
          <w:rFonts w:cs="Arial" w:hint="cs"/>
          <w:b/>
          <w:bCs/>
          <w:sz w:val="24"/>
          <w:szCs w:val="24"/>
          <w:rtl/>
        </w:rPr>
        <w:t>,</w:t>
      </w:r>
      <w:r w:rsidRPr="00007309">
        <w:rPr>
          <w:rFonts w:cs="Arial"/>
          <w:b/>
          <w:bCs/>
          <w:sz w:val="24"/>
          <w:szCs w:val="24"/>
          <w:rtl/>
        </w:rPr>
        <w:t xml:space="preserve"> אִם אֶבֶן הוּא נִמּוֹחַ וְאִם בַּרְזֶל מִתְפּוֹצֵץ. אָמַר רִבִּי שִׁמְעוֹן לְאֵלִיָּהוּ דָּא יַנּוּקֵי יָדְעֵי לֵהּ. אָמַר לֵהּ רַבִּי רַבִּי, וַדַּאי הָכֵי הוּא, אֲבָל רָזָא דְּמִלֵּי דְּפָרָשָׁתָא דָּא, לָאו אִנּוּן לְגַלָּאָה הָכֵי אֶלָּא בֵּינִי וּבֵינֶיךָ</w:t>
      </w:r>
      <w:r w:rsidRPr="00007309">
        <w:rPr>
          <w:rFonts w:cs="Arial"/>
          <w:b/>
          <w:bCs/>
          <w:sz w:val="24"/>
          <w:szCs w:val="24"/>
        </w:rPr>
        <w:t>:</w:t>
      </w:r>
    </w:p>
    <w:p w:rsidR="00007309" w:rsidRPr="00007309" w:rsidRDefault="00007309" w:rsidP="00007309">
      <w:pPr>
        <w:jc w:val="both"/>
        <w:rPr>
          <w:rFonts w:cs="Arial"/>
          <w:b/>
          <w:bCs/>
          <w:sz w:val="24"/>
          <w:szCs w:val="24"/>
          <w:rtl/>
        </w:rPr>
      </w:pPr>
      <w:r w:rsidRPr="00007309">
        <w:rPr>
          <w:rFonts w:cs="Arial"/>
          <w:b/>
          <w:bCs/>
          <w:sz w:val="24"/>
          <w:szCs w:val="24"/>
          <w:rtl/>
        </w:rPr>
        <w:t xml:space="preserve">פָּתַח וְאָמַר (בראשית יב) וַיְהִי רָעָב בָּאָרֶץ. מַאי רָעָב הָכָא. אֶלָּא וַדַּאי </w:t>
      </w:r>
      <w:r w:rsidRPr="00007309">
        <w:rPr>
          <w:rFonts w:cs="Arial"/>
          <w:b/>
          <w:bCs/>
          <w:sz w:val="36"/>
          <w:szCs w:val="28"/>
          <w:vertAlign w:val="superscript"/>
          <w:rtl/>
        </w:rPr>
        <w:footnoteReference w:id="8490"/>
      </w:r>
      <w:r w:rsidRPr="00007309">
        <w:rPr>
          <w:rFonts w:cs="Arial"/>
          <w:b/>
          <w:bCs/>
          <w:sz w:val="24"/>
          <w:szCs w:val="24"/>
          <w:rtl/>
        </w:rPr>
        <w:t>כַּ</w:t>
      </w:r>
      <w:r w:rsidRPr="00007309">
        <w:rPr>
          <w:rFonts w:cs="Arial" w:hint="cs"/>
          <w:b/>
          <w:bCs/>
          <w:sz w:val="24"/>
          <w:szCs w:val="24"/>
          <w:rtl/>
        </w:rPr>
        <w:t>ד</w:t>
      </w:r>
      <w:r w:rsidRPr="00007309">
        <w:rPr>
          <w:rFonts w:cs="Arial"/>
          <w:b/>
          <w:bCs/>
          <w:sz w:val="24"/>
          <w:szCs w:val="24"/>
          <w:rtl/>
        </w:rPr>
        <w:t xml:space="preserve"> אִסְתְּלַק נְבִיעוּ מֵאַרְעָא דִּשְׁכִינְתָּא, מִיָּד כְּתִיב וַיְהִי רָעָב בָּאָרֶץ. וַיֵּרֶד אַבְרָם מִצְרַיְמָה, נָחִית קוּדְשָׁא בְּרִיךְ הוּא לְדַיְּרָא </w:t>
      </w:r>
      <w:r w:rsidRPr="00007309">
        <w:rPr>
          <w:rFonts w:cs="Arial"/>
          <w:b/>
          <w:bCs/>
          <w:sz w:val="36"/>
          <w:szCs w:val="28"/>
          <w:vertAlign w:val="superscript"/>
          <w:rtl/>
        </w:rPr>
        <w:footnoteReference w:id="8491"/>
      </w:r>
      <w:r w:rsidRPr="00007309">
        <w:rPr>
          <w:rFonts w:cs="Arial"/>
          <w:b/>
          <w:bCs/>
          <w:sz w:val="24"/>
          <w:szCs w:val="24"/>
          <w:rtl/>
        </w:rPr>
        <w:t>בֵּין סִטְרִין בִּישִׁין אִלֵּין, בְּגִין זַרְעָא דִּילֵהּ לְמֶהֱוֵי נָטִיר בֵּינַיְהוּ. אָמַר לוֹ רִבִּי שִׁמְעוֹן</w:t>
      </w:r>
      <w:r w:rsidRPr="00007309">
        <w:rPr>
          <w:rFonts w:cs="Arial" w:hint="cs"/>
          <w:b/>
          <w:bCs/>
          <w:sz w:val="24"/>
          <w:szCs w:val="24"/>
          <w:rtl/>
        </w:rPr>
        <w:t>,</w:t>
      </w:r>
      <w:r w:rsidRPr="00007309">
        <w:rPr>
          <w:rFonts w:cs="Arial"/>
          <w:b/>
          <w:bCs/>
          <w:sz w:val="24"/>
          <w:szCs w:val="24"/>
          <w:rtl/>
        </w:rPr>
        <w:t xml:space="preserve"> רַבִּי רַבִּי</w:t>
      </w:r>
      <w:r w:rsidRPr="00007309">
        <w:rPr>
          <w:rFonts w:cs="Arial" w:hint="cs"/>
          <w:b/>
          <w:bCs/>
          <w:sz w:val="24"/>
          <w:szCs w:val="24"/>
          <w:rtl/>
        </w:rPr>
        <w:t>,</w:t>
      </w:r>
      <w:r w:rsidRPr="00007309">
        <w:rPr>
          <w:rFonts w:cs="Arial"/>
          <w:b/>
          <w:bCs/>
          <w:sz w:val="24"/>
          <w:szCs w:val="24"/>
          <w:rtl/>
        </w:rPr>
        <w:t xml:space="preserve"> וְהָא כְּתִיב בִּשְׁכִינְתָּא אֶרֶץ אֲשֶׁר לֹא בַּמִּסְכְּנוֹת תֹּאכַל בָּהּ לֶחֶם. אָמַר לוֹ וַדַּאי הָכֵי הוּא. דִּבְזִמְנָא דְּיִשְׂרָאֵל נָטְרִין </w:t>
      </w:r>
      <w:r w:rsidRPr="00007309">
        <w:rPr>
          <w:rFonts w:cs="Arial"/>
          <w:b/>
          <w:bCs/>
          <w:sz w:val="36"/>
          <w:szCs w:val="28"/>
          <w:vertAlign w:val="superscript"/>
          <w:rtl/>
        </w:rPr>
        <w:footnoteReference w:id="8492"/>
      </w:r>
      <w:r w:rsidRPr="00007309">
        <w:rPr>
          <w:rFonts w:cs="Arial"/>
          <w:b/>
          <w:bCs/>
          <w:sz w:val="24"/>
          <w:szCs w:val="24"/>
          <w:rtl/>
        </w:rPr>
        <w:t>אוֹת בְּרִית, אִתְמְלִיאַת כָּל טוֹב וְלֹא חָסֵר מִנַּהּ, וְאִתְּמַר בָּהּ וְתֵּרָאֶה הַיַּבָּשָׁה. וּבְהַהוּא זִמְנָא אִי לָא נָחִית קוּדְשָׁא בְּרִיךְ הוּא לְנַטְרַ</w:t>
      </w:r>
      <w:r w:rsidRPr="00007309">
        <w:rPr>
          <w:rFonts w:cs="Arial" w:hint="cs"/>
          <w:b/>
          <w:bCs/>
          <w:sz w:val="24"/>
          <w:szCs w:val="24"/>
          <w:rtl/>
        </w:rPr>
        <w:t>א</w:t>
      </w:r>
      <w:r w:rsidRPr="00007309">
        <w:rPr>
          <w:rFonts w:cs="Arial"/>
          <w:b/>
          <w:bCs/>
          <w:sz w:val="24"/>
          <w:szCs w:val="24"/>
          <w:rtl/>
        </w:rPr>
        <w:t xml:space="preserve"> לָהּ, אִית רְשׁוּת לְסִטְרִין אָחֳרָנִין לִקְרָבָא תַּמָּן. וְהַהוּא דְּגָרִים דָּא אִית רְשׁוּ לִמְקַטְרְגָא לְקַטְלָא לֵהּ. בְּגִין דָּא אָמַר לַהּ</w:t>
      </w:r>
      <w:r w:rsidRPr="00007309">
        <w:rPr>
          <w:rFonts w:cs="Arial" w:hint="cs"/>
          <w:b/>
          <w:bCs/>
          <w:sz w:val="24"/>
          <w:szCs w:val="24"/>
          <w:rtl/>
        </w:rPr>
        <w:t>,</w:t>
      </w:r>
      <w:r w:rsidRPr="00007309">
        <w:rPr>
          <w:rFonts w:cs="Arial"/>
          <w:b/>
          <w:bCs/>
          <w:sz w:val="24"/>
          <w:szCs w:val="24"/>
          <w:rtl/>
        </w:rPr>
        <w:t xml:space="preserve"> וְהָיָה כִּי יִרְאוּ אוֹתָךְ הַמִּצְרַיִם וְגוֹ'. וְעַל דָּא</w:t>
      </w:r>
      <w:r w:rsidRPr="00007309">
        <w:rPr>
          <w:rFonts w:cs="Arial" w:hint="cs"/>
          <w:b/>
          <w:bCs/>
          <w:sz w:val="24"/>
          <w:szCs w:val="24"/>
          <w:rtl/>
        </w:rPr>
        <w:t>,</w:t>
      </w:r>
      <w:r w:rsidRPr="00007309">
        <w:rPr>
          <w:rFonts w:cs="Arial"/>
          <w:b/>
          <w:bCs/>
          <w:sz w:val="24"/>
          <w:szCs w:val="24"/>
          <w:rtl/>
        </w:rPr>
        <w:t xml:space="preserve"> אִמְרִי נָא אֲחֹתִי אַתְּ</w:t>
      </w:r>
      <w:r w:rsidRPr="00007309">
        <w:rPr>
          <w:rFonts w:cs="Arial" w:hint="cs"/>
          <w:b/>
          <w:bCs/>
          <w:sz w:val="24"/>
          <w:szCs w:val="24"/>
          <w:rtl/>
        </w:rPr>
        <w:t>,</w:t>
      </w:r>
      <w:r w:rsidRPr="00007309">
        <w:rPr>
          <w:rFonts w:cs="Arial"/>
          <w:b/>
          <w:bCs/>
          <w:sz w:val="24"/>
          <w:szCs w:val="24"/>
          <w:rtl/>
        </w:rPr>
        <w:t xml:space="preserve"> לֹא תִּשְתְּמוֹדַע בֵּינַיְהוּ. וְאִי תֵּימָא מָה חָב אַבְרָם</w:t>
      </w:r>
      <w:r w:rsidRPr="00007309">
        <w:rPr>
          <w:rFonts w:cs="Arial" w:hint="cs"/>
          <w:b/>
          <w:bCs/>
          <w:sz w:val="24"/>
          <w:szCs w:val="24"/>
          <w:rtl/>
        </w:rPr>
        <w:t>,</w:t>
      </w:r>
      <w:r w:rsidRPr="00007309">
        <w:rPr>
          <w:rFonts w:cs="Arial"/>
          <w:b/>
          <w:bCs/>
          <w:sz w:val="24"/>
          <w:szCs w:val="24"/>
          <w:rtl/>
        </w:rPr>
        <w:t xml:space="preserve"> אֶלָּא חוֹבָה דִּילֵהּ קֹדֶם דְּאַיְתֵי לְעָלְמָא הֲוָה</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493"/>
      </w:r>
      <w:r w:rsidRPr="00007309">
        <w:rPr>
          <w:rFonts w:cs="Arial"/>
          <w:b/>
          <w:bCs/>
          <w:sz w:val="24"/>
          <w:szCs w:val="24"/>
          <w:rtl/>
        </w:rPr>
        <w:t>בְּאוֹת ה' בְּחֶסְרוֹנָא דִּילֵהּ תַּמָּן הֲוָה. וּבְגִין דָּא הֲוָה אִתְקָרֵי אַבְרָם בְּלֹא ה'</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494"/>
      </w:r>
      <w:r w:rsidRPr="00007309">
        <w:rPr>
          <w:rFonts w:cs="Arial"/>
          <w:b/>
          <w:bCs/>
          <w:sz w:val="24"/>
          <w:szCs w:val="24"/>
          <w:rtl/>
        </w:rPr>
        <w:t>עַד דְּזָכָה לָהּ</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495"/>
      </w:r>
      <w:r w:rsidRPr="00007309">
        <w:rPr>
          <w:rFonts w:cs="Arial"/>
          <w:b/>
          <w:bCs/>
          <w:sz w:val="24"/>
          <w:szCs w:val="24"/>
          <w:rtl/>
        </w:rPr>
        <w:t xml:space="preserve">וּבֵהּ אִשְׁתְּלִים בְּכָל אֶבְרוֹהִי. </w:t>
      </w:r>
      <w:r w:rsidRPr="00007309">
        <w:rPr>
          <w:rFonts w:cs="Arial"/>
          <w:b/>
          <w:bCs/>
          <w:sz w:val="36"/>
          <w:szCs w:val="28"/>
          <w:vertAlign w:val="superscript"/>
          <w:rtl/>
        </w:rPr>
        <w:footnoteReference w:id="8496"/>
      </w:r>
      <w:r w:rsidRPr="00007309">
        <w:rPr>
          <w:rFonts w:cs="Arial"/>
          <w:b/>
          <w:bCs/>
          <w:sz w:val="24"/>
          <w:szCs w:val="24"/>
          <w:rtl/>
        </w:rPr>
        <w:t>וּבְגִין יוּד דַּהֲוָה בְּשָׂרַי אָמַר אִמְרִי נָא אֲחֹתִי אַתְּ</w:t>
      </w:r>
      <w:r w:rsidRPr="00007309">
        <w:rPr>
          <w:rFonts w:cs="Arial" w:hint="cs"/>
          <w:b/>
          <w:bCs/>
          <w:sz w:val="24"/>
          <w:szCs w:val="24"/>
          <w:rtl/>
        </w:rPr>
        <w:t>,</w:t>
      </w:r>
      <w:r w:rsidRPr="00007309">
        <w:rPr>
          <w:rFonts w:cs="Arial"/>
          <w:b/>
          <w:bCs/>
          <w:sz w:val="24"/>
          <w:szCs w:val="24"/>
          <w:rtl/>
        </w:rPr>
        <w:t xml:space="preserve"> לְאַגָּנָא</w:t>
      </w:r>
      <w:r w:rsidRPr="00007309">
        <w:rPr>
          <w:rFonts w:cs="Arial" w:hint="cs"/>
          <w:b/>
          <w:bCs/>
          <w:sz w:val="24"/>
          <w:szCs w:val="24"/>
          <w:rtl/>
        </w:rPr>
        <w:t>,</w:t>
      </w:r>
      <w:r w:rsidRPr="00007309">
        <w:rPr>
          <w:rFonts w:cs="Arial"/>
          <w:b/>
          <w:bCs/>
          <w:sz w:val="24"/>
          <w:szCs w:val="24"/>
          <w:rtl/>
        </w:rPr>
        <w:t xml:space="preserve"> לְמַעַן יִיטַב לִי </w:t>
      </w:r>
      <w:r w:rsidRPr="00007309">
        <w:rPr>
          <w:rFonts w:cs="Arial" w:hint="cs"/>
          <w:b/>
          <w:bCs/>
          <w:sz w:val="24"/>
          <w:szCs w:val="24"/>
          <w:rtl/>
        </w:rPr>
        <w:t>(</w:t>
      </w:r>
      <w:r w:rsidRPr="00007309">
        <w:rPr>
          <w:rFonts w:cs="Arial"/>
          <w:b/>
          <w:bCs/>
          <w:sz w:val="24"/>
          <w:szCs w:val="24"/>
          <w:rtl/>
        </w:rPr>
        <w:t>בַּ</w:t>
      </w:r>
      <w:r w:rsidRPr="00007309">
        <w:rPr>
          <w:rFonts w:cs="Arial" w:hint="cs"/>
          <w:b/>
          <w:bCs/>
          <w:sz w:val="24"/>
          <w:szCs w:val="24"/>
          <w:rtl/>
        </w:rPr>
        <w:t>)</w:t>
      </w:r>
      <w:r w:rsidRPr="00007309">
        <w:rPr>
          <w:rFonts w:cs="Arial"/>
          <w:b/>
          <w:bCs/>
          <w:sz w:val="24"/>
          <w:szCs w:val="24"/>
          <w:rtl/>
        </w:rPr>
        <w:t>עֲבוּרֵךְ</w:t>
      </w:r>
      <w:r w:rsidRPr="00007309">
        <w:rPr>
          <w:rFonts w:cs="Arial" w:hint="cs"/>
          <w:b/>
          <w:bCs/>
          <w:sz w:val="24"/>
          <w:szCs w:val="24"/>
          <w:rtl/>
        </w:rPr>
        <w:t>,</w:t>
      </w:r>
      <w:r w:rsidRPr="00007309">
        <w:rPr>
          <w:rFonts w:cs="Arial"/>
          <w:b/>
          <w:bCs/>
          <w:sz w:val="24"/>
          <w:szCs w:val="24"/>
          <w:rtl/>
        </w:rPr>
        <w:t xml:space="preserve"> בַּת יְחִידָאָה</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497"/>
      </w:r>
      <w:r w:rsidRPr="00007309">
        <w:rPr>
          <w:rFonts w:cs="Arial"/>
          <w:b/>
          <w:bCs/>
          <w:sz w:val="24"/>
          <w:szCs w:val="24"/>
          <w:rtl/>
        </w:rPr>
        <w:t xml:space="preserve">וְאִתְּמַר בָּהּ </w:t>
      </w:r>
      <w:r w:rsidRPr="00007309">
        <w:rPr>
          <w:rFonts w:cs="Arial" w:hint="cs"/>
          <w:b/>
          <w:bCs/>
          <w:sz w:val="24"/>
          <w:szCs w:val="24"/>
          <w:rtl/>
        </w:rPr>
        <w:t xml:space="preserve">(תהלים קיח כב) </w:t>
      </w:r>
      <w:r w:rsidRPr="00007309">
        <w:rPr>
          <w:rFonts w:cs="Arial"/>
          <w:b/>
          <w:bCs/>
          <w:sz w:val="24"/>
          <w:szCs w:val="24"/>
          <w:rtl/>
        </w:rPr>
        <w:t>אֶבֶן מָאֲסוּ הַבּוֹנִים</w:t>
      </w:r>
      <w:r w:rsidRPr="00007309">
        <w:rPr>
          <w:rFonts w:cs="Arial" w:hint="cs"/>
          <w:b/>
          <w:bCs/>
          <w:sz w:val="24"/>
          <w:szCs w:val="24"/>
          <w:rtl/>
        </w:rPr>
        <w:t>,</w:t>
      </w:r>
      <w:r w:rsidRPr="00007309">
        <w:rPr>
          <w:rFonts w:cs="Arial"/>
          <w:b/>
          <w:bCs/>
          <w:sz w:val="24"/>
          <w:szCs w:val="24"/>
          <w:rtl/>
        </w:rPr>
        <w:t xml:space="preserve"> יִיטַב לִי</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498"/>
      </w:r>
      <w:r w:rsidRPr="00007309">
        <w:rPr>
          <w:rFonts w:cs="Arial"/>
          <w:b/>
          <w:bCs/>
          <w:sz w:val="24"/>
          <w:szCs w:val="24"/>
          <w:rtl/>
        </w:rPr>
        <w:t xml:space="preserve">מִסִּטְרָא דְּטוֹב. וְחָיְתָה נַפְשִׁי </w:t>
      </w:r>
      <w:r w:rsidRPr="00007309">
        <w:rPr>
          <w:rFonts w:cs="Arial"/>
          <w:b/>
          <w:bCs/>
          <w:sz w:val="36"/>
          <w:szCs w:val="28"/>
          <w:vertAlign w:val="superscript"/>
          <w:rtl/>
        </w:rPr>
        <w:footnoteReference w:id="8499"/>
      </w:r>
      <w:r w:rsidRPr="00007309">
        <w:rPr>
          <w:rFonts w:cs="Arial"/>
          <w:b/>
          <w:bCs/>
          <w:sz w:val="24"/>
          <w:szCs w:val="24"/>
          <w:rtl/>
        </w:rPr>
        <w:t xml:space="preserve">מִסִּטְרָא דְּחַי עָלְמִין. </w:t>
      </w:r>
      <w:r w:rsidRPr="00007309">
        <w:rPr>
          <w:rFonts w:cs="Arial"/>
          <w:b/>
          <w:bCs/>
          <w:sz w:val="36"/>
          <w:szCs w:val="28"/>
          <w:vertAlign w:val="superscript"/>
          <w:rtl/>
        </w:rPr>
        <w:footnoteReference w:id="8500"/>
      </w:r>
      <w:r w:rsidRPr="00007309">
        <w:rPr>
          <w:rFonts w:cs="Arial"/>
          <w:b/>
          <w:bCs/>
          <w:sz w:val="24"/>
          <w:szCs w:val="24"/>
          <w:rtl/>
        </w:rPr>
        <w:t>בְּגִין דְּבִתְרֵין דַּרְגִּין אִלֵּין תִּבְנָא בְּהוֹן עַמּוּדָא דְּאֶמְצָעִיתָא וְצַדִּיק</w:t>
      </w:r>
      <w:r w:rsidRPr="00007309">
        <w:rPr>
          <w:rFonts w:cs="Arial"/>
          <w:b/>
          <w:bCs/>
          <w:sz w:val="24"/>
          <w:szCs w:val="24"/>
        </w:rPr>
        <w:t>:</w:t>
      </w:r>
    </w:p>
    <w:p w:rsidR="00007309" w:rsidRPr="00007309" w:rsidRDefault="00007309" w:rsidP="00007309">
      <w:pPr>
        <w:jc w:val="both"/>
        <w:rPr>
          <w:rFonts w:cs="Arial"/>
          <w:b/>
          <w:bCs/>
          <w:sz w:val="24"/>
          <w:szCs w:val="24"/>
          <w:rtl/>
        </w:rPr>
      </w:pPr>
      <w:r w:rsidRPr="00007309">
        <w:rPr>
          <w:rFonts w:cs="Arial"/>
          <w:b/>
          <w:bCs/>
          <w:sz w:val="24"/>
          <w:szCs w:val="24"/>
          <w:rtl/>
        </w:rPr>
        <w:t xml:space="preserve">וַיִּהְיוּ חַיֵּי שָׂרָה וְגוֹ'. פָּתַח רִבִּי שִׁמְעוֹן וְאָמַר דְּמִיכִין דְּחֶבְרוֹן קוּמוּ. וַיִּהְיוּ חַיֵּי שָׂרָה, מָאן שָׂרָה הָכָא. דָּא שְׁכִינְתָּא. </w:t>
      </w:r>
      <w:r w:rsidRPr="00007309">
        <w:rPr>
          <w:rFonts w:cs="Arial"/>
          <w:b/>
          <w:bCs/>
          <w:sz w:val="36"/>
          <w:szCs w:val="28"/>
          <w:vertAlign w:val="superscript"/>
          <w:rtl/>
        </w:rPr>
        <w:footnoteReference w:id="8501"/>
      </w:r>
      <w:r w:rsidRPr="00007309">
        <w:rPr>
          <w:rFonts w:cs="Arial"/>
          <w:b/>
          <w:bCs/>
          <w:sz w:val="24"/>
          <w:szCs w:val="24"/>
          <w:rtl/>
        </w:rPr>
        <w:t xml:space="preserve">בְּגִין דִּלְתַתָּא בְּצַדִּיק וַיִּבְרָא אֱלֹהִים אֶת הָאָדָם בְּצַלְמוֹ. הָכֵי צַדֶּקֶת דָּא אִתְבְּרִיאַת בְּדִיּוֹקְנֵהּ דִּשְׁכִינְתָּא. וְיִהְיוּ חַיֵּי שָׂרָה דָּא שְׁכִינְתָּא. וּמַאי נִיהוּ </w:t>
      </w:r>
      <w:r w:rsidRPr="00007309">
        <w:rPr>
          <w:rFonts w:cs="Arial"/>
          <w:b/>
          <w:bCs/>
          <w:sz w:val="36"/>
          <w:szCs w:val="28"/>
          <w:vertAlign w:val="superscript"/>
          <w:rtl/>
        </w:rPr>
        <w:footnoteReference w:id="8502"/>
      </w:r>
      <w:r w:rsidRPr="00007309">
        <w:rPr>
          <w:rFonts w:cs="Arial"/>
          <w:b/>
          <w:bCs/>
          <w:sz w:val="24"/>
          <w:szCs w:val="24"/>
          <w:rtl/>
        </w:rPr>
        <w:t>חַיִּים דִּילַהּ</w:t>
      </w:r>
      <w:r w:rsidRPr="00007309">
        <w:rPr>
          <w:rFonts w:cs="Arial" w:hint="cs"/>
          <w:b/>
          <w:bCs/>
          <w:sz w:val="24"/>
          <w:szCs w:val="24"/>
          <w:rtl/>
        </w:rPr>
        <w:t>,</w:t>
      </w:r>
      <w:r w:rsidRPr="00007309">
        <w:rPr>
          <w:rFonts w:cs="Arial"/>
          <w:b/>
          <w:bCs/>
          <w:sz w:val="24"/>
          <w:szCs w:val="24"/>
          <w:rtl/>
        </w:rPr>
        <w:t xml:space="preserve"> יָ"הּ</w:t>
      </w:r>
      <w:r w:rsidRPr="00007309">
        <w:rPr>
          <w:rFonts w:cs="Arial" w:hint="cs"/>
          <w:b/>
          <w:bCs/>
          <w:sz w:val="24"/>
          <w:szCs w:val="24"/>
          <w:rtl/>
        </w:rPr>
        <w:t>,</w:t>
      </w:r>
      <w:r w:rsidRPr="00007309">
        <w:rPr>
          <w:rFonts w:cs="Arial"/>
          <w:b/>
          <w:bCs/>
          <w:sz w:val="24"/>
          <w:szCs w:val="24"/>
          <w:rtl/>
        </w:rPr>
        <w:t xml:space="preserve"> דָא הוּא שְׁכִינָה</w:t>
      </w:r>
      <w:r w:rsidRPr="00007309">
        <w:rPr>
          <w:rFonts w:cs="Arial" w:hint="cs"/>
          <w:b/>
          <w:bCs/>
          <w:sz w:val="24"/>
          <w:szCs w:val="24"/>
          <w:rtl/>
        </w:rPr>
        <w:t>,</w:t>
      </w:r>
      <w:r w:rsidRPr="00007309">
        <w:rPr>
          <w:rFonts w:cs="Arial"/>
          <w:b/>
          <w:bCs/>
          <w:sz w:val="24"/>
          <w:szCs w:val="24"/>
          <w:rtl/>
        </w:rPr>
        <w:t xml:space="preserve"> שָׁכֵן יָ"הּ</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503"/>
      </w:r>
      <w:r w:rsidRPr="00007309">
        <w:rPr>
          <w:rFonts w:cs="Arial"/>
          <w:b/>
          <w:bCs/>
          <w:sz w:val="24"/>
          <w:szCs w:val="24"/>
          <w:rtl/>
        </w:rPr>
        <w:t>וְהַאי אִיהוּ חַיִּים דְּנִשְׁמְתָא</w:t>
      </w:r>
      <w:r w:rsidRPr="00007309">
        <w:rPr>
          <w:rFonts w:cs="Arial" w:hint="cs"/>
          <w:b/>
          <w:bCs/>
          <w:sz w:val="24"/>
          <w:szCs w:val="24"/>
          <w:rtl/>
        </w:rPr>
        <w:t>,</w:t>
      </w:r>
      <w:r w:rsidRPr="00007309">
        <w:rPr>
          <w:rFonts w:cs="Arial"/>
          <w:b/>
          <w:bCs/>
          <w:sz w:val="24"/>
          <w:szCs w:val="24"/>
          <w:rtl/>
        </w:rPr>
        <w:t xml:space="preserve"> הָדָא הוּא דִּכְתִיב כָּל הַנְּשָׁמָה תְּהַלֵּל יָ'הּ. </w:t>
      </w:r>
      <w:r w:rsidRPr="00007309">
        <w:rPr>
          <w:rFonts w:cs="Arial"/>
          <w:b/>
          <w:bCs/>
          <w:sz w:val="36"/>
          <w:szCs w:val="28"/>
          <w:vertAlign w:val="superscript"/>
          <w:rtl/>
        </w:rPr>
        <w:footnoteReference w:id="8504"/>
      </w:r>
      <w:r w:rsidRPr="00007309">
        <w:rPr>
          <w:rFonts w:cs="Arial"/>
          <w:b/>
          <w:bCs/>
          <w:sz w:val="24"/>
          <w:szCs w:val="24"/>
          <w:rtl/>
        </w:rPr>
        <w:t>וְהַאי ה' בא"ת ב"ש</w:t>
      </w:r>
      <w:r w:rsidRPr="00007309">
        <w:rPr>
          <w:rFonts w:cs="Arial" w:hint="cs"/>
          <w:b/>
          <w:bCs/>
          <w:sz w:val="24"/>
          <w:szCs w:val="24"/>
          <w:rtl/>
        </w:rPr>
        <w:t>,</w:t>
      </w:r>
      <w:r w:rsidRPr="00007309">
        <w:rPr>
          <w:rFonts w:cs="Arial"/>
          <w:b/>
          <w:bCs/>
          <w:sz w:val="24"/>
          <w:szCs w:val="24"/>
          <w:rtl/>
        </w:rPr>
        <w:t xml:space="preserve"> צ'. עִם י' סָלִיק לק'. </w:t>
      </w:r>
      <w:r w:rsidRPr="00007309">
        <w:rPr>
          <w:rFonts w:cs="Arial"/>
          <w:b/>
          <w:bCs/>
          <w:sz w:val="36"/>
          <w:szCs w:val="28"/>
          <w:vertAlign w:val="superscript"/>
          <w:rtl/>
        </w:rPr>
        <w:footnoteReference w:id="8505"/>
      </w:r>
      <w:r w:rsidRPr="00007309">
        <w:rPr>
          <w:rFonts w:cs="Arial"/>
          <w:b/>
          <w:bCs/>
          <w:sz w:val="24"/>
          <w:szCs w:val="24"/>
          <w:rtl/>
        </w:rPr>
        <w:t xml:space="preserve">וְאִנּוּן מֵאָה בִּרְכָּאן דְּחַיָּב בַּר נָשׁ לְאַרְקָא בְּכָל יוֹמָא לִשְׁכִינְתָּא וְדָא אִיהוּ מֵאָה שָׁנָה. </w:t>
      </w:r>
      <w:r w:rsidRPr="00007309">
        <w:rPr>
          <w:rFonts w:cs="Arial"/>
          <w:b/>
          <w:bCs/>
          <w:sz w:val="36"/>
          <w:szCs w:val="28"/>
          <w:vertAlign w:val="superscript"/>
          <w:rtl/>
        </w:rPr>
        <w:footnoteReference w:id="8506"/>
      </w:r>
      <w:r w:rsidRPr="00007309">
        <w:rPr>
          <w:rFonts w:cs="Arial"/>
          <w:b/>
          <w:bCs/>
          <w:sz w:val="24"/>
          <w:szCs w:val="24"/>
          <w:rtl/>
        </w:rPr>
        <w:t xml:space="preserve">וְעָלַיְהוּ מָנֵי קוּדְשָׁא בְּרִיךְ הוּא לבַּר נָשׁ </w:t>
      </w:r>
      <w:r w:rsidRPr="00007309">
        <w:rPr>
          <w:rFonts w:cs="Arial" w:hint="cs"/>
          <w:b/>
          <w:bCs/>
          <w:sz w:val="24"/>
          <w:szCs w:val="24"/>
          <w:rtl/>
        </w:rPr>
        <w:t xml:space="preserve">(דברים י יב) </w:t>
      </w:r>
      <w:r w:rsidRPr="00007309">
        <w:rPr>
          <w:rFonts w:cs="Arial"/>
          <w:b/>
          <w:bCs/>
          <w:sz w:val="24"/>
          <w:szCs w:val="24"/>
          <w:rtl/>
        </w:rPr>
        <w:t>מָה ה' אֱלֹהֶיךָ שׁוֹאֵל מֵעִמָּךְ, אַ</w:t>
      </w:r>
      <w:r w:rsidRPr="00007309">
        <w:rPr>
          <w:rFonts w:cs="Arial" w:hint="cs"/>
          <w:b/>
          <w:bCs/>
          <w:sz w:val="24"/>
          <w:szCs w:val="24"/>
          <w:rtl/>
        </w:rPr>
        <w:t>ל ת</w:t>
      </w:r>
      <w:r w:rsidRPr="00007309">
        <w:rPr>
          <w:rFonts w:cs="Arial"/>
          <w:b/>
          <w:bCs/>
          <w:sz w:val="24"/>
          <w:szCs w:val="24"/>
          <w:rtl/>
        </w:rPr>
        <w:t>ִּ</w:t>
      </w:r>
      <w:r w:rsidRPr="00007309">
        <w:rPr>
          <w:rFonts w:cs="Arial" w:hint="cs"/>
          <w:b/>
          <w:bCs/>
          <w:sz w:val="24"/>
          <w:szCs w:val="24"/>
          <w:rtl/>
        </w:rPr>
        <w:t>ק</w:t>
      </w:r>
      <w:r w:rsidRPr="00007309">
        <w:rPr>
          <w:rFonts w:cs="Arial"/>
          <w:b/>
          <w:bCs/>
          <w:sz w:val="24"/>
          <w:szCs w:val="24"/>
          <w:rtl/>
        </w:rPr>
        <w:t>ְ</w:t>
      </w:r>
      <w:r w:rsidRPr="00007309">
        <w:rPr>
          <w:rFonts w:cs="Arial" w:hint="cs"/>
          <w:b/>
          <w:bCs/>
          <w:sz w:val="24"/>
          <w:szCs w:val="24"/>
          <w:rtl/>
        </w:rPr>
        <w:t>ר</w:t>
      </w:r>
      <w:r w:rsidRPr="00007309">
        <w:rPr>
          <w:rFonts w:cs="Arial"/>
          <w:b/>
          <w:bCs/>
          <w:sz w:val="24"/>
          <w:szCs w:val="24"/>
          <w:rtl/>
        </w:rPr>
        <w:t>ִ</w:t>
      </w:r>
      <w:r w:rsidRPr="00007309">
        <w:rPr>
          <w:rFonts w:cs="Arial" w:hint="cs"/>
          <w:b/>
          <w:bCs/>
          <w:sz w:val="24"/>
          <w:szCs w:val="24"/>
          <w:rtl/>
        </w:rPr>
        <w:t>י</w:t>
      </w:r>
      <w:r w:rsidRPr="00007309">
        <w:rPr>
          <w:rFonts w:cs="Arial"/>
          <w:b/>
          <w:bCs/>
          <w:sz w:val="24"/>
          <w:szCs w:val="24"/>
          <w:rtl/>
        </w:rPr>
        <w:t xml:space="preserve"> מָ"ה אֶלָּא מא"ה. </w:t>
      </w:r>
    </w:p>
    <w:p w:rsidR="00007309" w:rsidRPr="00007309" w:rsidRDefault="00007309" w:rsidP="00007309">
      <w:pPr>
        <w:keepNext/>
        <w:outlineLvl w:val="1"/>
        <w:rPr>
          <w:rFonts w:ascii="Cambria" w:hAnsi="Cambria" w:cs="Times New Roman"/>
          <w:b/>
          <w:bCs/>
          <w:i/>
          <w:iCs/>
          <w:sz w:val="28"/>
          <w:szCs w:val="28"/>
          <w:rtl/>
        </w:rPr>
      </w:pPr>
      <w:r w:rsidRPr="00007309">
        <w:rPr>
          <w:rFonts w:ascii="Cambria" w:hAnsi="Cambria" w:cs="Times New Roman"/>
          <w:b/>
          <w:bCs/>
          <w:i/>
          <w:iCs/>
          <w:sz w:val="28"/>
          <w:szCs w:val="28"/>
          <w:rtl/>
        </w:rPr>
        <w:t>[</w:t>
      </w:r>
      <w:r w:rsidRPr="00007309">
        <w:rPr>
          <w:rFonts w:ascii="Cambria" w:hAnsi="Cambria" w:cs="Times New Roman" w:hint="cs"/>
          <w:b/>
          <w:bCs/>
          <w:i/>
          <w:iCs/>
          <w:sz w:val="28"/>
          <w:szCs w:val="28"/>
          <w:rtl/>
        </w:rPr>
        <w:t>דף</w:t>
      </w:r>
      <w:r w:rsidRPr="00007309">
        <w:rPr>
          <w:rFonts w:ascii="Cambria" w:hAnsi="Cambria" w:cs="Times New Roman"/>
          <w:b/>
          <w:bCs/>
          <w:i/>
          <w:iCs/>
          <w:sz w:val="28"/>
          <w:szCs w:val="28"/>
          <w:rtl/>
        </w:rPr>
        <w:t xml:space="preserve"> </w:t>
      </w:r>
      <w:r w:rsidRPr="00007309">
        <w:rPr>
          <w:rFonts w:ascii="Cambria" w:hAnsi="Cambria" w:cs="Times New Roman" w:hint="cs"/>
          <w:b/>
          <w:bCs/>
          <w:i/>
          <w:iCs/>
          <w:sz w:val="28"/>
          <w:szCs w:val="28"/>
          <w:rtl/>
        </w:rPr>
        <w:t>פח</w:t>
      </w:r>
      <w:r w:rsidRPr="00007309">
        <w:rPr>
          <w:rFonts w:ascii="Cambria" w:hAnsi="Cambria" w:cs="Times New Roman"/>
          <w:b/>
          <w:bCs/>
          <w:i/>
          <w:iCs/>
          <w:sz w:val="28"/>
          <w:szCs w:val="28"/>
          <w:rtl/>
        </w:rPr>
        <w:t xml:space="preserve"> ע"</w:t>
      </w:r>
      <w:r w:rsidRPr="00007309">
        <w:rPr>
          <w:rFonts w:ascii="Cambria" w:hAnsi="Cambria" w:cs="Times New Roman" w:hint="cs"/>
          <w:b/>
          <w:bCs/>
          <w:i/>
          <w:iCs/>
          <w:sz w:val="28"/>
          <w:szCs w:val="28"/>
          <w:rtl/>
        </w:rPr>
        <w:t>א</w:t>
      </w:r>
      <w:r w:rsidRPr="00007309">
        <w:rPr>
          <w:rFonts w:ascii="Cambria" w:hAnsi="Cambria" w:cs="Times New Roman"/>
          <w:b/>
          <w:bCs/>
          <w:i/>
          <w:iCs/>
          <w:sz w:val="28"/>
          <w:szCs w:val="28"/>
          <w:rtl/>
        </w:rPr>
        <w:t>]</w:t>
      </w:r>
    </w:p>
    <w:p w:rsidR="00007309" w:rsidRPr="00007309" w:rsidRDefault="00007309" w:rsidP="00007309">
      <w:pPr>
        <w:keepNext/>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 xml:space="preserve"> [וילנא מה ע"ב]</w:t>
      </w:r>
    </w:p>
    <w:p w:rsidR="00007309" w:rsidRPr="00007309" w:rsidRDefault="00007309" w:rsidP="00007309">
      <w:pPr>
        <w:jc w:val="both"/>
        <w:rPr>
          <w:rFonts w:cs="Arial"/>
          <w:b/>
          <w:bCs/>
          <w:sz w:val="24"/>
          <w:szCs w:val="24"/>
          <w:rtl/>
        </w:rPr>
      </w:pPr>
      <w:r w:rsidRPr="00007309">
        <w:rPr>
          <w:rFonts w:cs="Arial"/>
          <w:b/>
          <w:bCs/>
          <w:sz w:val="24"/>
          <w:szCs w:val="24"/>
          <w:rtl/>
        </w:rPr>
        <w:t>וְעֶשְׂרִים שָׁנָה וְשֶׁבַע שָׁנִים</w:t>
      </w:r>
      <w:r w:rsidRPr="00007309">
        <w:rPr>
          <w:rFonts w:cs="Arial" w:hint="cs"/>
          <w:b/>
          <w:bCs/>
          <w:sz w:val="24"/>
          <w:szCs w:val="24"/>
          <w:rtl/>
        </w:rPr>
        <w:t>,</w:t>
      </w:r>
      <w:r w:rsidRPr="00007309">
        <w:rPr>
          <w:rFonts w:cs="Arial"/>
          <w:b/>
          <w:bCs/>
          <w:sz w:val="24"/>
          <w:szCs w:val="24"/>
          <w:rtl/>
        </w:rPr>
        <w:t xml:space="preserve"> אִלֵּין עֶשֶׂר אֲמִירָן וְעֶשֶׂר דִּבְּרוֹת וְשֶׁבַע יוֹמִין קַדְמָאִין דְּעוֹבָדָא דִּבְרֵאשִׁית</w:t>
      </w:r>
      <w:r w:rsidRPr="00007309">
        <w:rPr>
          <w:rFonts w:cs="Arial" w:hint="cs"/>
          <w:b/>
          <w:bCs/>
          <w:sz w:val="24"/>
          <w:szCs w:val="24"/>
          <w:rtl/>
        </w:rPr>
        <w:t>,</w:t>
      </w:r>
      <w:r w:rsidRPr="00007309">
        <w:rPr>
          <w:rFonts w:cs="Arial"/>
          <w:b/>
          <w:bCs/>
          <w:sz w:val="24"/>
          <w:szCs w:val="24"/>
          <w:rtl/>
        </w:rPr>
        <w:t xml:space="preserve"> שֵׁשֶׁת יְמֵי הַמַּעֲשֶׂה וְיוֹם</w:t>
      </w:r>
      <w:r w:rsidRPr="00007309">
        <w:rPr>
          <w:rFonts w:cs="Arial"/>
          <w:b/>
          <w:bCs/>
          <w:sz w:val="24"/>
          <w:szCs w:val="28"/>
        </w:rPr>
        <w:t xml:space="preserve"> </w:t>
      </w:r>
      <w:r w:rsidRPr="00007309">
        <w:rPr>
          <w:rFonts w:cs="Arial"/>
          <w:b/>
          <w:bCs/>
          <w:sz w:val="24"/>
          <w:szCs w:val="24"/>
          <w:rtl/>
        </w:rPr>
        <w:t xml:space="preserve">הַשַּׁבָּת </w:t>
      </w:r>
      <w:r w:rsidRPr="00007309">
        <w:rPr>
          <w:rFonts w:cs="Arial"/>
          <w:b/>
          <w:bCs/>
          <w:sz w:val="36"/>
          <w:szCs w:val="28"/>
          <w:vertAlign w:val="superscript"/>
          <w:rtl/>
        </w:rPr>
        <w:footnoteReference w:id="8507"/>
      </w:r>
      <w:r w:rsidRPr="00007309">
        <w:rPr>
          <w:rFonts w:cs="Arial"/>
          <w:b/>
          <w:bCs/>
          <w:sz w:val="24"/>
          <w:szCs w:val="24"/>
          <w:rtl/>
        </w:rPr>
        <w:t xml:space="preserve">דְּאִיהוּ וַיְכֻלּוּ כְּלָלָא דְּכֻלְּהוּ. וְלָקָבְלַיְהוּ אִתְיְהִיבַת אוֹרַיְתָא </w:t>
      </w:r>
      <w:r w:rsidRPr="00007309">
        <w:rPr>
          <w:rFonts w:ascii="Cambria" w:hAnsi="Cambria" w:cs="Times New Roman"/>
          <w:b/>
          <w:bCs/>
          <w:i/>
          <w:iCs/>
          <w:color w:val="4F81BD"/>
          <w:sz w:val="24"/>
          <w:szCs w:val="24"/>
          <w:rtl/>
        </w:rPr>
        <w:t>(</w:t>
      </w:r>
      <w:r w:rsidRPr="00007309">
        <w:rPr>
          <w:rFonts w:ascii="Cambria" w:hAnsi="Cambria" w:cs="Times New Roman" w:hint="cs"/>
          <w:b/>
          <w:bCs/>
          <w:i/>
          <w:iCs/>
          <w:color w:val="4F81BD"/>
          <w:sz w:val="24"/>
          <w:szCs w:val="24"/>
          <w:rtl/>
        </w:rPr>
        <w:t>וילנא מה</w:t>
      </w:r>
      <w:r w:rsidRPr="00007309">
        <w:rPr>
          <w:rFonts w:ascii="Cambria" w:hAnsi="Cambria" w:cs="Times New Roman"/>
          <w:b/>
          <w:bCs/>
          <w:i/>
          <w:iCs/>
          <w:color w:val="4F81BD"/>
          <w:sz w:val="24"/>
          <w:szCs w:val="24"/>
          <w:rtl/>
        </w:rPr>
        <w:t xml:space="preserve"> ע"</w:t>
      </w:r>
      <w:r w:rsidRPr="00007309">
        <w:rPr>
          <w:rFonts w:ascii="Cambria" w:hAnsi="Cambria" w:cs="Times New Roman" w:hint="cs"/>
          <w:b/>
          <w:bCs/>
          <w:i/>
          <w:iCs/>
          <w:color w:val="4F81BD"/>
          <w:sz w:val="24"/>
          <w:szCs w:val="24"/>
          <w:rtl/>
        </w:rPr>
        <w:t>ב</w:t>
      </w:r>
      <w:r w:rsidRPr="00007309">
        <w:rPr>
          <w:rFonts w:ascii="Cambria" w:hAnsi="Cambria" w:cs="Times New Roman"/>
          <w:b/>
          <w:bCs/>
          <w:i/>
          <w:iCs/>
          <w:color w:val="4F81BD"/>
          <w:sz w:val="24"/>
          <w:szCs w:val="24"/>
          <w:rtl/>
        </w:rPr>
        <w:t>)</w:t>
      </w:r>
      <w:r w:rsidRPr="00007309">
        <w:rPr>
          <w:rFonts w:cs="Arial"/>
          <w:b/>
          <w:bCs/>
          <w:sz w:val="24"/>
          <w:szCs w:val="24"/>
          <w:rtl/>
        </w:rPr>
        <w:t xml:space="preserve"> בְּעֶשְׂרִים וְשֶׁבַע אַתְוָן, כ'ב דְּאוֹרַיְתָא וְחָמֵשׁ דְּאִנּוּן מַנְצְפַּ"ךְ דְּצוֹפִין אֲמָרוּם. וְאִם ח"ו עַבְרִין עָלַיְהוּ יִשְׂרָאֵל מִתְבַּדְּרִין לְאַרְבַּע סִטְרִין, וּשְׁכִינְתָּא גָּלְתָא עִמְּהוֹן הָדָא הוּא דִּכְתִיב וַתָּמָת שָׂרָה. מִיתָה דִּילֵהּ דְּאִסְתְּלַק יָ'הּ מִנַּהּ </w:t>
      </w:r>
      <w:r w:rsidRPr="00007309">
        <w:rPr>
          <w:rFonts w:cs="Arial"/>
          <w:b/>
          <w:bCs/>
          <w:sz w:val="36"/>
          <w:szCs w:val="28"/>
          <w:vertAlign w:val="superscript"/>
          <w:rtl/>
        </w:rPr>
        <w:footnoteReference w:id="8508"/>
      </w:r>
      <w:r w:rsidRPr="00007309">
        <w:rPr>
          <w:rFonts w:cs="Arial"/>
          <w:b/>
          <w:bCs/>
          <w:sz w:val="24"/>
          <w:szCs w:val="24"/>
          <w:rtl/>
        </w:rPr>
        <w:t xml:space="preserve">וְאִשְׁתְּאָרַת כֵּ'ס חָסֵר. וּבְגִין דָּא </w:t>
      </w:r>
      <w:r w:rsidRPr="00007309">
        <w:rPr>
          <w:rFonts w:cs="Arial" w:hint="cs"/>
          <w:b/>
          <w:bCs/>
          <w:sz w:val="24"/>
          <w:szCs w:val="24"/>
          <w:rtl/>
        </w:rPr>
        <w:t xml:space="preserve">(שמות יז טז) </w:t>
      </w:r>
      <w:r w:rsidRPr="00007309">
        <w:rPr>
          <w:rFonts w:cs="Arial"/>
          <w:b/>
          <w:bCs/>
          <w:sz w:val="24"/>
          <w:szCs w:val="24"/>
          <w:rtl/>
        </w:rPr>
        <w:t xml:space="preserve">וַיֹּאמֶר כִּי יָד עַל כֵּ'ס יָ'הּ. בְּקִרְיַת אַרְבַּע </w:t>
      </w:r>
      <w:r w:rsidRPr="00007309">
        <w:rPr>
          <w:rFonts w:cs="Arial"/>
          <w:b/>
          <w:bCs/>
          <w:sz w:val="36"/>
          <w:szCs w:val="28"/>
          <w:vertAlign w:val="superscript"/>
          <w:rtl/>
        </w:rPr>
        <w:footnoteReference w:id="8509"/>
      </w:r>
      <w:r w:rsidRPr="00007309">
        <w:rPr>
          <w:rFonts w:cs="Arial"/>
          <w:b/>
          <w:bCs/>
          <w:sz w:val="24"/>
          <w:szCs w:val="24"/>
          <w:rtl/>
        </w:rPr>
        <w:t xml:space="preserve">אִלֵּין ד' סִטְרִין דְּאִתְבַּדְּרַת עַם יִשְׂרָאֵל וּבְגִין דָּא תַּקִּינוּ בִּצְלוֹתָא וְקַבְּצֵנוּ יַחַד מֵאַרְבַּע כַּנְפוֹת הָאָרֶץ. דְּגָלוּתָא אִיהִי מִיתָה לִשְׁכִינְתָּא וּלְכָל יִשְׂרָאֵל בְּנָהָא. </w:t>
      </w:r>
    </w:p>
    <w:p w:rsidR="00007309" w:rsidRPr="00007309" w:rsidRDefault="00007309" w:rsidP="00007309">
      <w:pPr>
        <w:jc w:val="both"/>
        <w:rPr>
          <w:rFonts w:cs="Arial"/>
          <w:b/>
          <w:bCs/>
          <w:sz w:val="24"/>
          <w:szCs w:val="24"/>
          <w:rtl/>
        </w:rPr>
      </w:pPr>
      <w:r w:rsidRPr="00007309">
        <w:rPr>
          <w:rFonts w:cs="Arial"/>
          <w:b/>
          <w:bCs/>
          <w:sz w:val="24"/>
          <w:szCs w:val="24"/>
          <w:rtl/>
        </w:rPr>
        <w:t xml:space="preserve">וְעוֹד </w:t>
      </w:r>
      <w:r w:rsidRPr="00007309">
        <w:rPr>
          <w:rFonts w:ascii="Cambria" w:hAnsi="Cambria" w:cs="Times New Roman"/>
          <w:b/>
          <w:bCs/>
          <w:i/>
          <w:iCs/>
          <w:color w:val="4F81BD"/>
          <w:sz w:val="24"/>
          <w:szCs w:val="24"/>
          <w:rtl/>
        </w:rPr>
        <w:t>(פ</w:t>
      </w:r>
      <w:r w:rsidRPr="00007309">
        <w:rPr>
          <w:rFonts w:ascii="Cambria" w:hAnsi="Cambria" w:cs="Times New Roman" w:hint="cs"/>
          <w:b/>
          <w:bCs/>
          <w:i/>
          <w:iCs/>
          <w:color w:val="4F81BD"/>
          <w:sz w:val="24"/>
          <w:szCs w:val="24"/>
          <w:rtl/>
        </w:rPr>
        <w:t>ח</w:t>
      </w:r>
      <w:r w:rsidRPr="00007309">
        <w:rPr>
          <w:rFonts w:ascii="Cambria" w:hAnsi="Cambria" w:cs="Times New Roman"/>
          <w:b/>
          <w:bCs/>
          <w:i/>
          <w:iCs/>
          <w:color w:val="4F81BD"/>
          <w:sz w:val="24"/>
          <w:szCs w:val="24"/>
          <w:rtl/>
        </w:rPr>
        <w:t xml:space="preserve"> ע"א)</w:t>
      </w:r>
      <w:r w:rsidRPr="00007309">
        <w:rPr>
          <w:rFonts w:cs="Arial"/>
          <w:b/>
          <w:bCs/>
          <w:sz w:val="24"/>
          <w:szCs w:val="24"/>
          <w:rtl/>
        </w:rPr>
        <w:t xml:space="preserve"> וַתָּמָת שָׂרָה בְּקִרְיַת אַרְבַּע, אִלֵּין תֹּהוּ וָבֹהוּ וְחֹשֶׁךְ וּתְהוֹם</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510"/>
      </w:r>
      <w:r w:rsidRPr="00007309">
        <w:rPr>
          <w:rFonts w:cs="Arial"/>
          <w:b/>
          <w:bCs/>
          <w:sz w:val="24"/>
          <w:szCs w:val="24"/>
          <w:rtl/>
        </w:rPr>
        <w:t xml:space="preserve">דְּאִיהִי אִתְלַבְּשַׁת בְּאַרְעָא </w:t>
      </w:r>
      <w:r w:rsidRPr="00007309">
        <w:rPr>
          <w:rFonts w:cs="Arial"/>
          <w:b/>
          <w:bCs/>
          <w:sz w:val="36"/>
          <w:szCs w:val="28"/>
          <w:vertAlign w:val="superscript"/>
          <w:rtl/>
        </w:rPr>
        <w:footnoteReference w:id="8511"/>
      </w:r>
      <w:r w:rsidRPr="00007309">
        <w:rPr>
          <w:rFonts w:cs="Arial"/>
          <w:b/>
          <w:bCs/>
          <w:sz w:val="24"/>
          <w:szCs w:val="24"/>
          <w:rtl/>
        </w:rPr>
        <w:t>דְּאִתְּמַר בָּהּ וְהָאָרֶץ הָיְתָה תֹהוּ וְגוֹ' (שם)</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512"/>
      </w:r>
      <w:r w:rsidRPr="00007309">
        <w:rPr>
          <w:rFonts w:cs="Arial"/>
          <w:b/>
          <w:bCs/>
          <w:sz w:val="24"/>
          <w:szCs w:val="24"/>
          <w:rtl/>
        </w:rPr>
        <w:t xml:space="preserve">מִשְׁכִינָה וְצַדִּיק דְּלֵית בָּהּ נְבִיעוּ דְּאוֹרַיְתָא. </w:t>
      </w:r>
      <w:r w:rsidRPr="00007309">
        <w:rPr>
          <w:rFonts w:cs="Arial"/>
          <w:b/>
          <w:bCs/>
          <w:sz w:val="36"/>
          <w:szCs w:val="28"/>
          <w:vertAlign w:val="superscript"/>
          <w:rtl/>
        </w:rPr>
        <w:footnoteReference w:id="8513"/>
      </w:r>
      <w:r w:rsidRPr="00007309">
        <w:rPr>
          <w:rFonts w:cs="Arial"/>
          <w:b/>
          <w:bCs/>
          <w:sz w:val="24"/>
          <w:szCs w:val="24"/>
          <w:rtl/>
        </w:rPr>
        <w:t>וְאַרְבַּע חֵיוָן דִּילַהּ דְּאִנּוּן אַרְבַּע חַיּוֹת הַכִּסֵּא, גָּלוּ בְּאַרְבַּע יְסוֹדִין אֵלּוּ דְּאִנּוּן</w:t>
      </w:r>
      <w:r w:rsidRPr="00007309">
        <w:rPr>
          <w:rFonts w:cs="Arial" w:hint="cs"/>
          <w:b/>
          <w:bCs/>
          <w:sz w:val="24"/>
          <w:szCs w:val="24"/>
          <w:rtl/>
        </w:rPr>
        <w:t>,</w:t>
      </w:r>
      <w:r w:rsidRPr="00007309">
        <w:rPr>
          <w:rFonts w:cs="Arial"/>
          <w:b/>
          <w:bCs/>
          <w:sz w:val="24"/>
          <w:szCs w:val="24"/>
          <w:rtl/>
        </w:rPr>
        <w:t xml:space="preserve"> תֹּהוּ קַו יָרֹק, קְלִפָּה יְרֻקָּה דֶּאֱגוֹזָא. בֹּהוּ גָּוָן חִוָּר קְלִפָּה תִּנְיָנָא</w:t>
      </w:r>
      <w:r w:rsidRPr="00007309">
        <w:rPr>
          <w:rFonts w:cs="Arial" w:hint="cs"/>
          <w:b/>
          <w:bCs/>
          <w:sz w:val="24"/>
          <w:szCs w:val="24"/>
          <w:rtl/>
        </w:rPr>
        <w:t>.</w:t>
      </w:r>
      <w:r w:rsidRPr="00007309">
        <w:rPr>
          <w:rFonts w:cs="Arial"/>
          <w:b/>
          <w:bCs/>
          <w:sz w:val="24"/>
          <w:szCs w:val="24"/>
          <w:rtl/>
        </w:rPr>
        <w:t xml:space="preserve"> וְחֹשֶׁךְ קְלִפָּה תְּלִיתָאָה דֶּאֱגוֹזָא </w:t>
      </w:r>
      <w:r w:rsidRPr="00007309">
        <w:rPr>
          <w:rFonts w:cs="Arial"/>
          <w:b/>
          <w:bCs/>
          <w:sz w:val="36"/>
          <w:szCs w:val="28"/>
          <w:vertAlign w:val="superscript"/>
          <w:rtl/>
        </w:rPr>
        <w:footnoteReference w:id="8514"/>
      </w:r>
      <w:r w:rsidRPr="00007309">
        <w:rPr>
          <w:rFonts w:cs="Arial"/>
          <w:b/>
          <w:bCs/>
          <w:sz w:val="24"/>
          <w:szCs w:val="24"/>
          <w:rtl/>
        </w:rPr>
        <w:t>דְּאִיהוּ אֵשׁ מִתְלַקַּחַת</w:t>
      </w:r>
      <w:r w:rsidRPr="00007309">
        <w:rPr>
          <w:rFonts w:cs="Arial" w:hint="cs"/>
          <w:b/>
          <w:bCs/>
          <w:sz w:val="24"/>
          <w:szCs w:val="24"/>
          <w:rtl/>
        </w:rPr>
        <w:t xml:space="preserve"> (יחזקאל א ד)</w:t>
      </w:r>
      <w:r w:rsidRPr="00007309">
        <w:rPr>
          <w:rFonts w:cs="Arial"/>
          <w:b/>
          <w:bCs/>
          <w:sz w:val="24"/>
          <w:szCs w:val="24"/>
          <w:rtl/>
        </w:rPr>
        <w:t xml:space="preserve">. תְּהוֹם חָלָל דֶּאֱגוֹזָא דְּתַמָּן מֹחָא דְּאִיהִי שְׁכִינְתָּא כֻּרְסֵא יְקָרָא וְאַרְבַּע חֵיוָן דִּילֵהּ. </w:t>
      </w:r>
      <w:r w:rsidRPr="00007309">
        <w:rPr>
          <w:rFonts w:cs="Arial"/>
          <w:b/>
          <w:bCs/>
          <w:sz w:val="36"/>
          <w:szCs w:val="28"/>
          <w:vertAlign w:val="superscript"/>
          <w:rtl/>
        </w:rPr>
        <w:footnoteReference w:id="8515"/>
      </w:r>
      <w:r w:rsidRPr="00007309">
        <w:rPr>
          <w:rFonts w:cs="Arial"/>
          <w:b/>
          <w:bCs/>
          <w:sz w:val="24"/>
          <w:szCs w:val="24"/>
          <w:rtl/>
        </w:rPr>
        <w:t xml:space="preserve">דְּהָכֵי אִתְפְּלַג מֹחָא דֶּאֱגוֹזָא לְאַרְבַּע סִטְרִין דְּעָלַיְהוּ קַיְּמָא מֹחָא. </w:t>
      </w:r>
      <w:r w:rsidRPr="00007309">
        <w:rPr>
          <w:rFonts w:cs="Arial"/>
          <w:b/>
          <w:bCs/>
          <w:sz w:val="36"/>
          <w:szCs w:val="28"/>
          <w:vertAlign w:val="superscript"/>
          <w:rtl/>
        </w:rPr>
        <w:footnoteReference w:id="8516"/>
      </w:r>
      <w:r w:rsidRPr="00007309">
        <w:rPr>
          <w:rFonts w:cs="Arial"/>
          <w:b/>
          <w:bCs/>
          <w:sz w:val="24"/>
          <w:szCs w:val="24"/>
          <w:rtl/>
        </w:rPr>
        <w:t>וְאִלֵּין אִנּוּן לָקֳבֵל אַרְבַּע רָהִיטֵי מֹחָא דְּבַר נָשׁ</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517"/>
      </w:r>
      <w:r w:rsidRPr="00007309">
        <w:rPr>
          <w:rFonts w:cs="Arial"/>
          <w:b/>
          <w:bCs/>
          <w:sz w:val="24"/>
          <w:szCs w:val="24"/>
          <w:rtl/>
        </w:rPr>
        <w:t>עוֹר וּבָשָׂר תַּלְבִּישֵׁנִי וּבַעֲצָמוֹת וְגִידִים תְּסוֹכְכֵנִי</w:t>
      </w:r>
      <w:r w:rsidRPr="00007309">
        <w:rPr>
          <w:rFonts w:cs="Arial" w:hint="cs"/>
          <w:b/>
          <w:bCs/>
          <w:sz w:val="24"/>
          <w:szCs w:val="24"/>
          <w:rtl/>
        </w:rPr>
        <w:t>,</w:t>
      </w:r>
      <w:r w:rsidRPr="00007309">
        <w:rPr>
          <w:rFonts w:cs="Arial"/>
          <w:b/>
          <w:bCs/>
          <w:sz w:val="24"/>
          <w:szCs w:val="24"/>
          <w:rtl/>
        </w:rPr>
        <w:t xml:space="preserve"> אִנּוּן אַרְבַּע קְלִפִּין דֶּאֱגוֹזָא דְּאִנּוּן בְּרָזָא דְּעָרְלָה דְּעָלַיְהוּ אִתְּמַר </w:t>
      </w:r>
      <w:r w:rsidRPr="00007309">
        <w:rPr>
          <w:rFonts w:cs="Arial" w:hint="cs"/>
          <w:b/>
          <w:bCs/>
          <w:sz w:val="24"/>
          <w:szCs w:val="24"/>
          <w:rtl/>
        </w:rPr>
        <w:t>ו</w:t>
      </w:r>
      <w:r w:rsidRPr="00007309">
        <w:rPr>
          <w:rFonts w:cs="Arial"/>
          <w:b/>
          <w:bCs/>
          <w:sz w:val="24"/>
          <w:szCs w:val="24"/>
          <w:rtl/>
        </w:rPr>
        <w:t xml:space="preserve">ַיָּעַשׂ ה' אֱלֹהִים לָאָדָם וּלְאִשְׁתּוֹ כָּתְנוֹת עוֹר וַיַּלְבִּישֵׁם. וְאוֹקְמוּהּ קַדְמָאֵי </w:t>
      </w:r>
      <w:r w:rsidRPr="00007309">
        <w:rPr>
          <w:rFonts w:cs="Arial"/>
          <w:b/>
          <w:bCs/>
          <w:sz w:val="36"/>
          <w:szCs w:val="28"/>
          <w:vertAlign w:val="superscript"/>
          <w:rtl/>
        </w:rPr>
        <w:footnoteReference w:id="8518"/>
      </w:r>
      <w:r w:rsidRPr="00007309">
        <w:rPr>
          <w:rFonts w:cs="Arial"/>
          <w:b/>
          <w:bCs/>
          <w:sz w:val="24"/>
          <w:szCs w:val="24"/>
          <w:rtl/>
        </w:rPr>
        <w:t>מַאי עוֹר, דָּא מַשְׁכְּנָא דְּחִוְיָא. וּבְזִמְנָא</w:t>
      </w:r>
      <w:r w:rsidRPr="00007309">
        <w:rPr>
          <w:rFonts w:cs="Arial"/>
          <w:b/>
          <w:bCs/>
          <w:sz w:val="24"/>
          <w:szCs w:val="24"/>
        </w:rPr>
        <w:t xml:space="preserve"> </w:t>
      </w:r>
      <w:r w:rsidRPr="00007309">
        <w:rPr>
          <w:rFonts w:cs="Arial"/>
          <w:b/>
          <w:bCs/>
          <w:sz w:val="24"/>
          <w:szCs w:val="24"/>
          <w:rtl/>
        </w:rPr>
        <w:t xml:space="preserve">דְּיִשְׂרָאֵל בְּאִנּוּן קְלִפִּין דְּאִנּוּן ד' גָּלֻיּוֹת </w:t>
      </w:r>
      <w:r w:rsidRPr="00007309">
        <w:rPr>
          <w:rFonts w:cs="Arial"/>
          <w:b/>
          <w:bCs/>
          <w:sz w:val="36"/>
          <w:szCs w:val="28"/>
          <w:vertAlign w:val="superscript"/>
          <w:rtl/>
        </w:rPr>
        <w:footnoteReference w:id="8519"/>
      </w:r>
      <w:r w:rsidRPr="00007309">
        <w:rPr>
          <w:rFonts w:cs="Arial"/>
          <w:b/>
          <w:bCs/>
          <w:sz w:val="24"/>
          <w:szCs w:val="24"/>
          <w:rtl/>
        </w:rPr>
        <w:t>אִנּוּן בְּפֵרוּדָא כִּבְיָכוֹל כְּאִלּוּ לֹא הָיוּ גּוֹי אֶחָד</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520"/>
      </w:r>
      <w:r w:rsidRPr="00007309">
        <w:rPr>
          <w:rFonts w:cs="Arial"/>
          <w:b/>
          <w:bCs/>
          <w:sz w:val="24"/>
          <w:szCs w:val="24"/>
          <w:rtl/>
        </w:rPr>
        <w:t>וּשְׁמֵהּ דְּקוּדְשָׁא בְּרִיךְ הוּא לֹא שַׁרְיָא עָלַיְהוּ</w:t>
      </w:r>
      <w:r w:rsidRPr="00007309">
        <w:rPr>
          <w:rFonts w:cs="Arial" w:hint="cs"/>
          <w:b/>
          <w:bCs/>
          <w:sz w:val="24"/>
          <w:szCs w:val="24"/>
          <w:rtl/>
        </w:rPr>
        <w:t>.</w:t>
      </w:r>
      <w:r w:rsidRPr="00007309">
        <w:rPr>
          <w:rFonts w:cs="Arial"/>
          <w:b/>
          <w:bCs/>
          <w:sz w:val="24"/>
          <w:szCs w:val="24"/>
          <w:rtl/>
        </w:rPr>
        <w:t xml:space="preserve"> וּבְגִין דָּא אוֹקְמוּהּ מָארֵי מַתְנִיתִין כָּל הַדָּר בְּחוּצָה לָאָרֶץ דּוֹמֶה כְּמִי שֶׁאֵין לוֹ אֱלוֹהַּ. </w:t>
      </w:r>
    </w:p>
    <w:p w:rsidR="00007309" w:rsidRPr="00007309" w:rsidRDefault="00007309" w:rsidP="00007309">
      <w:pPr>
        <w:jc w:val="both"/>
        <w:rPr>
          <w:rFonts w:cs="Arial"/>
          <w:b/>
          <w:bCs/>
          <w:sz w:val="24"/>
          <w:szCs w:val="24"/>
        </w:rPr>
      </w:pPr>
      <w:r w:rsidRPr="00007309">
        <w:rPr>
          <w:rFonts w:cs="Arial"/>
          <w:b/>
          <w:bCs/>
          <w:sz w:val="24"/>
          <w:szCs w:val="24"/>
          <w:rtl/>
        </w:rPr>
        <w:t xml:space="preserve">אָמַר רִבִּי אֶלְעָזָר אַבָּא </w:t>
      </w:r>
      <w:r w:rsidRPr="00007309">
        <w:rPr>
          <w:rFonts w:cs="Arial"/>
          <w:b/>
          <w:bCs/>
          <w:sz w:val="36"/>
          <w:szCs w:val="28"/>
          <w:vertAlign w:val="superscript"/>
          <w:rtl/>
        </w:rPr>
        <w:footnoteReference w:id="8521"/>
      </w:r>
      <w:r w:rsidRPr="00007309">
        <w:rPr>
          <w:rFonts w:cs="Arial"/>
          <w:b/>
          <w:bCs/>
          <w:sz w:val="24"/>
          <w:szCs w:val="24"/>
          <w:rtl/>
        </w:rPr>
        <w:t xml:space="preserve">וְהָא שְׁמַעְנָא דְּאַתְוָן דִּשְׁמָא קַדִּישָׁא הָכֵי אִנּוּן בְּפֵרוּדָא </w:t>
      </w:r>
      <w:r w:rsidRPr="00007309">
        <w:rPr>
          <w:rFonts w:cs="Arial" w:hint="cs"/>
          <w:b/>
          <w:bCs/>
          <w:sz w:val="24"/>
          <w:szCs w:val="24"/>
          <w:rtl/>
        </w:rPr>
        <w:t xml:space="preserve">י' </w:t>
      </w:r>
      <w:r w:rsidRPr="00007309">
        <w:rPr>
          <w:rFonts w:cs="Arial"/>
          <w:b/>
          <w:bCs/>
          <w:sz w:val="24"/>
          <w:szCs w:val="24"/>
          <w:rtl/>
        </w:rPr>
        <w:t>מִן ה'</w:t>
      </w:r>
      <w:r w:rsidRPr="00007309">
        <w:rPr>
          <w:rFonts w:cs="Arial" w:hint="cs"/>
          <w:b/>
          <w:bCs/>
          <w:sz w:val="24"/>
          <w:szCs w:val="24"/>
          <w:rtl/>
        </w:rPr>
        <w:t>,</w:t>
      </w:r>
      <w:r w:rsidRPr="00007309">
        <w:rPr>
          <w:rFonts w:cs="Arial"/>
          <w:b/>
          <w:bCs/>
          <w:sz w:val="24"/>
          <w:szCs w:val="24"/>
          <w:rtl/>
        </w:rPr>
        <w:t xml:space="preserve"> ו' מִן ה'</w:t>
      </w:r>
      <w:r w:rsidRPr="00007309">
        <w:rPr>
          <w:rFonts w:cs="Arial" w:hint="cs"/>
          <w:b/>
          <w:bCs/>
          <w:sz w:val="24"/>
          <w:szCs w:val="24"/>
          <w:rtl/>
        </w:rPr>
        <w:t>,</w:t>
      </w:r>
      <w:r w:rsidRPr="00007309">
        <w:rPr>
          <w:rFonts w:cs="Arial"/>
          <w:b/>
          <w:bCs/>
          <w:sz w:val="24"/>
          <w:szCs w:val="24"/>
          <w:rtl/>
        </w:rPr>
        <w:t xml:space="preserve"> וְלֹא מִתְחַבְּרִין עַד דְּיִשְׂרָאֵל יִפְקוּן מִן גָּלוּתָא. אָמַר לוֹ בְּרִי</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522"/>
      </w:r>
      <w:r w:rsidRPr="00007309">
        <w:rPr>
          <w:rFonts w:cs="Arial"/>
          <w:b/>
          <w:bCs/>
          <w:sz w:val="24"/>
          <w:szCs w:val="24"/>
          <w:rtl/>
        </w:rPr>
        <w:t xml:space="preserve">אִית אַתְוָן דְּאִנּוּן לְבוּשִׁין דְּקוּדְשָׁא בְּרִיךְ הוּא דְּאִתְקְרִיאוּ עַל שְׁמֵהּ דְּאִתְבְּרִיאוּ. הָדָא הוּא דִּכְתִיב כָּל הַנִּקְרָא בִּשְׁמִי וְלִכְבוֹדִי בְּרָאתִיו. וְאִלֵּין </w:t>
      </w:r>
      <w:r w:rsidRPr="00007309">
        <w:rPr>
          <w:rFonts w:cs="Arial" w:hint="cs"/>
          <w:b/>
          <w:bCs/>
          <w:sz w:val="24"/>
          <w:szCs w:val="24"/>
          <w:rtl/>
        </w:rPr>
        <w:t xml:space="preserve">אינון </w:t>
      </w:r>
      <w:r w:rsidRPr="00007309">
        <w:rPr>
          <w:rFonts w:cs="Arial"/>
          <w:b/>
          <w:bCs/>
          <w:sz w:val="24"/>
          <w:szCs w:val="24"/>
          <w:rtl/>
        </w:rPr>
        <w:t xml:space="preserve">בְּפֵרוּדָא. וְכַד אִתְחַבְּרָן בְּמִנְיָנָא </w:t>
      </w:r>
      <w:r w:rsidRPr="00007309">
        <w:rPr>
          <w:rFonts w:cs="Arial"/>
          <w:b/>
          <w:bCs/>
          <w:sz w:val="36"/>
          <w:szCs w:val="28"/>
          <w:vertAlign w:val="superscript"/>
          <w:rtl/>
        </w:rPr>
        <w:footnoteReference w:id="8523"/>
      </w:r>
      <w:r w:rsidRPr="00007309">
        <w:rPr>
          <w:rFonts w:cs="Arial"/>
          <w:b/>
          <w:bCs/>
          <w:sz w:val="24"/>
          <w:szCs w:val="24"/>
          <w:rtl/>
        </w:rPr>
        <w:t xml:space="preserve">תְּלָת עָשָׂר לְעֵלָּא וּתְלָת עָשָׂר לְתַתָּא, וְסָלְקִין עֶשְׂרִין וְשִׁית יְהוָֹ"ה כְּחֻשְׁבַּן אֶחָ'ד אֶחָ'ד כְּדִכְתִיב בַּיּוֹם הַהוּא יִהְיֶה ה' אֶחָד וּשְׁמוֹ אֶחָד. אֲבָל אַתְוָן דְּיִחוּדָא בְּאֹרַח אֲצִילוּת, </w:t>
      </w:r>
      <w:r w:rsidRPr="00007309">
        <w:rPr>
          <w:rFonts w:cs="Arial"/>
          <w:b/>
          <w:bCs/>
          <w:sz w:val="36"/>
          <w:szCs w:val="28"/>
          <w:vertAlign w:val="superscript"/>
          <w:rtl/>
        </w:rPr>
        <w:footnoteReference w:id="8524"/>
      </w:r>
      <w:r w:rsidRPr="00007309">
        <w:rPr>
          <w:rFonts w:cs="Arial"/>
          <w:b/>
          <w:bCs/>
          <w:sz w:val="24"/>
          <w:szCs w:val="24"/>
          <w:rtl/>
        </w:rPr>
        <w:t xml:space="preserve">לָאו תַּמָּן חֻשְׁבָּנָא וְלָא פירוְדָא. וּבְגִין דָּא וְנָהָר יֹצֵא מֵעֵדֶן וְגוֹ' וּמִשָּׁם יִפָּרֵד וְהָיָה לְאַרְבָּעָה רָאשִׁים, בְּזִמְנָא דְּיֵיתֵי פֻּרְקָנָא יִתְקַיִּם </w:t>
      </w:r>
      <w:r w:rsidRPr="00007309">
        <w:rPr>
          <w:rFonts w:cs="Arial" w:hint="cs"/>
          <w:b/>
          <w:bCs/>
          <w:sz w:val="24"/>
          <w:szCs w:val="24"/>
          <w:rtl/>
        </w:rPr>
        <w:t xml:space="preserve">(ישעיה יא יב) </w:t>
      </w:r>
      <w:r w:rsidRPr="00007309">
        <w:rPr>
          <w:rFonts w:cs="Arial"/>
          <w:b/>
          <w:bCs/>
          <w:sz w:val="24"/>
          <w:szCs w:val="24"/>
          <w:rtl/>
        </w:rPr>
        <w:t xml:space="preserve">וּנְפֻצוֹת יְהוּדָה יְקַבֵּץ </w:t>
      </w:r>
      <w:r w:rsidRPr="00007309">
        <w:rPr>
          <w:rFonts w:cs="Arial"/>
          <w:b/>
          <w:bCs/>
          <w:sz w:val="36"/>
          <w:szCs w:val="28"/>
          <w:vertAlign w:val="superscript"/>
          <w:rtl/>
        </w:rPr>
        <w:footnoteReference w:id="8525"/>
      </w:r>
      <w:r w:rsidRPr="00007309">
        <w:rPr>
          <w:rFonts w:cs="Arial"/>
          <w:b/>
          <w:bCs/>
          <w:sz w:val="24"/>
          <w:szCs w:val="24"/>
          <w:rtl/>
        </w:rPr>
        <w:t>מֵאַרְבַּע כַּנְפוֹת הָאָרֶץ</w:t>
      </w:r>
      <w:r w:rsidRPr="00007309">
        <w:rPr>
          <w:rFonts w:cs="Arial"/>
          <w:b/>
          <w:bCs/>
          <w:sz w:val="24"/>
          <w:szCs w:val="24"/>
        </w:rPr>
        <w:t>:</w:t>
      </w:r>
    </w:p>
    <w:p w:rsidR="00007309" w:rsidRPr="00007309" w:rsidRDefault="00007309" w:rsidP="00007309">
      <w:pPr>
        <w:jc w:val="both"/>
        <w:rPr>
          <w:rFonts w:cs="Arial"/>
          <w:b/>
          <w:bCs/>
          <w:sz w:val="24"/>
          <w:szCs w:val="24"/>
          <w:rtl/>
        </w:rPr>
      </w:pPr>
      <w:r w:rsidRPr="00007309">
        <w:rPr>
          <w:rFonts w:cs="Arial"/>
          <w:b/>
          <w:bCs/>
          <w:sz w:val="24"/>
          <w:szCs w:val="24"/>
          <w:rtl/>
        </w:rPr>
        <w:t>וַיִּהְיוּ חַיֵּי שָׂרָה מֵאָה שָׁנָה וְעֶשְׂרִים שָׁנָה וְשֶׁבַע שָׁנִים. מֵאָה שָׁנָה דָּא יו"</w:t>
      </w:r>
      <w:r w:rsidRPr="00007309">
        <w:rPr>
          <w:rFonts w:cs="Arial" w:hint="cs"/>
          <w:b/>
          <w:bCs/>
          <w:sz w:val="24"/>
          <w:szCs w:val="24"/>
          <w:rtl/>
        </w:rPr>
        <w:t>ד</w:t>
      </w:r>
      <w:r w:rsidRPr="00007309">
        <w:rPr>
          <w:rFonts w:cs="Arial"/>
          <w:b/>
          <w:bCs/>
          <w:sz w:val="24"/>
          <w:szCs w:val="24"/>
          <w:rtl/>
        </w:rPr>
        <w:t xml:space="preserve"> דְּסָלְקַת לְמֵאָה בִּתְרֵין הֵהִי"ן כְּגַוְנָא דָּא</w:t>
      </w:r>
      <w:r w:rsidRPr="00007309">
        <w:rPr>
          <w:rFonts w:cs="Arial" w:hint="cs"/>
          <w:b/>
          <w:bCs/>
          <w:sz w:val="24"/>
          <w:szCs w:val="24"/>
          <w:rtl/>
        </w:rPr>
        <w:t>,</w:t>
      </w:r>
      <w:r w:rsidRPr="00007309">
        <w:rPr>
          <w:rFonts w:cs="Arial"/>
          <w:b/>
          <w:bCs/>
          <w:sz w:val="24"/>
          <w:szCs w:val="24"/>
          <w:rtl/>
        </w:rPr>
        <w:t xml:space="preserve"> הֵ"י סְלִיקַת בְּיוּ"ד. חָמֵשׁ פַּעֲמַיִם י' הֵם חַמְשִׁין. וְכָךְ ה' הָאַחֶרֶת </w:t>
      </w:r>
      <w:r w:rsidRPr="00007309">
        <w:rPr>
          <w:rFonts w:cs="Arial" w:hint="cs"/>
          <w:b/>
          <w:bCs/>
          <w:sz w:val="24"/>
          <w:szCs w:val="24"/>
          <w:rtl/>
        </w:rPr>
        <w:t>נ</w:t>
      </w:r>
      <w:r w:rsidRPr="00007309">
        <w:rPr>
          <w:rFonts w:cs="Arial"/>
          <w:b/>
          <w:bCs/>
          <w:sz w:val="24"/>
          <w:szCs w:val="24"/>
          <w:rtl/>
        </w:rPr>
        <w:t>' הֲרֵי מֵאָה</w:t>
      </w:r>
      <w:r w:rsidRPr="00007309">
        <w:rPr>
          <w:rFonts w:cs="Arial" w:hint="cs"/>
          <w:b/>
          <w:bCs/>
          <w:sz w:val="24"/>
          <w:szCs w:val="24"/>
          <w:rtl/>
        </w:rPr>
        <w:t>.</w:t>
      </w:r>
      <w:r w:rsidRPr="00007309">
        <w:rPr>
          <w:rFonts w:cs="Arial"/>
          <w:b/>
          <w:bCs/>
          <w:sz w:val="24"/>
          <w:szCs w:val="24"/>
          <w:rtl/>
        </w:rPr>
        <w:t xml:space="preserve"> וְעֶשְׂרִים שָׁנָה דָּא</w:t>
      </w:r>
      <w:r w:rsidRPr="00007309">
        <w:rPr>
          <w:rFonts w:cs="Arial"/>
          <w:b/>
          <w:bCs/>
          <w:sz w:val="24"/>
          <w:szCs w:val="24"/>
        </w:rPr>
        <w:t xml:space="preserve"> </w:t>
      </w:r>
      <w:r w:rsidRPr="00007309">
        <w:rPr>
          <w:rFonts w:cs="Arial"/>
          <w:b/>
          <w:bCs/>
          <w:sz w:val="24"/>
          <w:szCs w:val="24"/>
          <w:rtl/>
        </w:rPr>
        <w:t xml:space="preserve">ו' דִּסְלִיקַת לְכ' שֶׁל כֶּתֶר וְנַעֲשֵׂית כ"ו. </w:t>
      </w:r>
      <w:r w:rsidRPr="00007309">
        <w:rPr>
          <w:rFonts w:cs="Arial"/>
          <w:b/>
          <w:bCs/>
          <w:sz w:val="36"/>
          <w:szCs w:val="28"/>
          <w:vertAlign w:val="superscript"/>
          <w:rtl/>
        </w:rPr>
        <w:footnoteReference w:id="8526"/>
      </w:r>
      <w:r w:rsidRPr="00007309">
        <w:rPr>
          <w:rFonts w:cs="Arial"/>
          <w:b/>
          <w:bCs/>
          <w:sz w:val="24"/>
          <w:szCs w:val="24"/>
          <w:rtl/>
        </w:rPr>
        <w:t>בֵּהּ אִשְׁתְּלִים י' לְמֶהֱוֵי י' י' בְּחֻשְׁבָּן כְּגַוְנָא דָּא א'</w:t>
      </w:r>
      <w:r w:rsidRPr="00007309">
        <w:rPr>
          <w:rFonts w:cs="Arial" w:hint="cs"/>
          <w:b/>
          <w:bCs/>
          <w:sz w:val="24"/>
          <w:szCs w:val="24"/>
          <w:rtl/>
        </w:rPr>
        <w:t>,</w:t>
      </w:r>
      <w:r w:rsidRPr="00007309">
        <w:rPr>
          <w:rFonts w:cs="Arial"/>
          <w:b/>
          <w:bCs/>
          <w:sz w:val="24"/>
          <w:szCs w:val="24"/>
          <w:rtl/>
        </w:rPr>
        <w:t xml:space="preserve"> אִיהִי יוּ"ד לְעֵלָּא ו' בְּאֶמְצָעִיתָא דָּלֶ"ת לְתַתָּא</w:t>
      </w:r>
      <w:r w:rsidRPr="00007309">
        <w:rPr>
          <w:rFonts w:cs="Arial" w:hint="cs"/>
          <w:b/>
          <w:bCs/>
          <w:sz w:val="24"/>
          <w:szCs w:val="24"/>
          <w:rtl/>
        </w:rPr>
        <w:t>.</w:t>
      </w:r>
      <w:r w:rsidRPr="00007309">
        <w:rPr>
          <w:rFonts w:cs="Arial"/>
          <w:b/>
          <w:bCs/>
          <w:sz w:val="24"/>
          <w:szCs w:val="24"/>
          <w:rtl/>
        </w:rPr>
        <w:t xml:space="preserve"> וּלְזִמְנִין י' לְעֵלָּא י' לְתַתָּא ו' בְּאֶמְצָעִיתָא</w:t>
      </w:r>
      <w:r w:rsidRPr="00007309">
        <w:rPr>
          <w:rFonts w:cs="Arial" w:hint="cs"/>
          <w:b/>
          <w:bCs/>
          <w:sz w:val="24"/>
          <w:szCs w:val="24"/>
          <w:rtl/>
        </w:rPr>
        <w:t>.</w:t>
      </w:r>
      <w:r w:rsidRPr="00007309">
        <w:rPr>
          <w:rFonts w:cs="Arial"/>
          <w:b/>
          <w:bCs/>
          <w:sz w:val="24"/>
          <w:szCs w:val="24"/>
          <w:rtl/>
        </w:rPr>
        <w:t xml:space="preserve"> וּסְלִיקַת לְחֻשְׁבַּן כ"ו. </w:t>
      </w:r>
      <w:r w:rsidRPr="00007309">
        <w:rPr>
          <w:rFonts w:cs="Arial"/>
          <w:b/>
          <w:bCs/>
          <w:sz w:val="36"/>
          <w:szCs w:val="28"/>
          <w:vertAlign w:val="superscript"/>
          <w:rtl/>
        </w:rPr>
        <w:footnoteReference w:id="8527"/>
      </w:r>
      <w:r w:rsidRPr="00007309">
        <w:rPr>
          <w:rFonts w:cs="Arial"/>
          <w:b/>
          <w:bCs/>
          <w:sz w:val="24"/>
          <w:szCs w:val="24"/>
          <w:rtl/>
        </w:rPr>
        <w:t>וְדָא כ"ו מִן כ'וזו</w:t>
      </w:r>
      <w:r w:rsidRPr="00007309">
        <w:rPr>
          <w:rFonts w:cs="Arial" w:hint="cs"/>
          <w:b/>
          <w:bCs/>
          <w:sz w:val="24"/>
          <w:szCs w:val="24"/>
          <w:rtl/>
        </w:rPr>
        <w:t>.</w:t>
      </w:r>
      <w:r w:rsidRPr="00007309">
        <w:rPr>
          <w:rFonts w:cs="Arial"/>
          <w:b/>
          <w:bCs/>
          <w:sz w:val="24"/>
          <w:szCs w:val="24"/>
          <w:rtl/>
        </w:rPr>
        <w:t xml:space="preserve"> וּבְגִין דכ' אִיהִי כֶּתֶר רַחֲמֵי וְרַעֲוָא דְּלֵית תַּמָּן דִּינָא כְּלָל, אָמְרֵי מַ</w:t>
      </w:r>
      <w:r w:rsidRPr="00007309">
        <w:rPr>
          <w:rFonts w:cs="Arial" w:hint="cs"/>
          <w:b/>
          <w:bCs/>
          <w:sz w:val="24"/>
          <w:szCs w:val="24"/>
          <w:rtl/>
        </w:rPr>
        <w:t>אר</w:t>
      </w:r>
      <w:r w:rsidRPr="00007309">
        <w:rPr>
          <w:rFonts w:cs="Arial"/>
          <w:b/>
          <w:bCs/>
          <w:sz w:val="24"/>
          <w:szCs w:val="24"/>
          <w:rtl/>
        </w:rPr>
        <w:t>ֵ</w:t>
      </w:r>
      <w:r w:rsidRPr="00007309">
        <w:rPr>
          <w:rFonts w:cs="Arial" w:hint="cs"/>
          <w:b/>
          <w:bCs/>
          <w:sz w:val="24"/>
          <w:szCs w:val="24"/>
          <w:rtl/>
        </w:rPr>
        <w:t>י מ</w:t>
      </w:r>
      <w:r w:rsidRPr="00007309">
        <w:rPr>
          <w:rFonts w:cs="Arial"/>
          <w:b/>
          <w:bCs/>
          <w:sz w:val="24"/>
          <w:szCs w:val="24"/>
          <w:rtl/>
        </w:rPr>
        <w:t>ַ</w:t>
      </w:r>
      <w:r w:rsidRPr="00007309">
        <w:rPr>
          <w:rFonts w:cs="Arial" w:hint="cs"/>
          <w:b/>
          <w:bCs/>
          <w:sz w:val="24"/>
          <w:szCs w:val="24"/>
          <w:rtl/>
        </w:rPr>
        <w:t>ת</w:t>
      </w:r>
      <w:r w:rsidRPr="00007309">
        <w:rPr>
          <w:rFonts w:cs="Arial"/>
          <w:b/>
          <w:bCs/>
          <w:sz w:val="24"/>
          <w:szCs w:val="24"/>
          <w:rtl/>
        </w:rPr>
        <w:t>ְ</w:t>
      </w:r>
      <w:r w:rsidRPr="00007309">
        <w:rPr>
          <w:rFonts w:cs="Arial" w:hint="cs"/>
          <w:b/>
          <w:bCs/>
          <w:sz w:val="24"/>
          <w:szCs w:val="24"/>
          <w:rtl/>
        </w:rPr>
        <w:t>נ</w:t>
      </w:r>
      <w:r w:rsidRPr="00007309">
        <w:rPr>
          <w:rFonts w:cs="Arial"/>
          <w:b/>
          <w:bCs/>
          <w:sz w:val="24"/>
          <w:szCs w:val="24"/>
          <w:rtl/>
        </w:rPr>
        <w:t>ִ</w:t>
      </w:r>
      <w:r w:rsidRPr="00007309">
        <w:rPr>
          <w:rFonts w:cs="Arial" w:hint="cs"/>
          <w:b/>
          <w:bCs/>
          <w:sz w:val="24"/>
          <w:szCs w:val="24"/>
          <w:rtl/>
        </w:rPr>
        <w:t>ית</w:t>
      </w:r>
      <w:r w:rsidRPr="00007309">
        <w:rPr>
          <w:rFonts w:cs="Arial"/>
          <w:b/>
          <w:bCs/>
          <w:sz w:val="24"/>
          <w:szCs w:val="24"/>
          <w:rtl/>
        </w:rPr>
        <w:t>ִ</w:t>
      </w:r>
      <w:r w:rsidRPr="00007309">
        <w:rPr>
          <w:rFonts w:cs="Arial" w:hint="cs"/>
          <w:b/>
          <w:bCs/>
          <w:sz w:val="24"/>
          <w:szCs w:val="24"/>
          <w:rtl/>
        </w:rPr>
        <w:t>ין</w:t>
      </w:r>
      <w:r w:rsidRPr="00007309">
        <w:rPr>
          <w:rFonts w:cs="Arial"/>
          <w:b/>
          <w:bCs/>
          <w:sz w:val="24"/>
          <w:szCs w:val="24"/>
          <w:rtl/>
        </w:rPr>
        <w:t xml:space="preserve"> דִּמְעֶשְּרִין וּלְמַטָה לֹא מַעֲנִישִׁין </w:t>
      </w:r>
      <w:r w:rsidRPr="00007309">
        <w:rPr>
          <w:rFonts w:cs="Arial"/>
          <w:b/>
          <w:bCs/>
          <w:sz w:val="36"/>
          <w:szCs w:val="28"/>
          <w:vertAlign w:val="superscript"/>
          <w:rtl/>
        </w:rPr>
        <w:footnoteReference w:id="8528"/>
      </w:r>
      <w:r w:rsidRPr="00007309">
        <w:rPr>
          <w:rFonts w:cs="Arial"/>
          <w:b/>
          <w:bCs/>
          <w:sz w:val="24"/>
          <w:szCs w:val="24"/>
          <w:rtl/>
        </w:rPr>
        <w:t xml:space="preserve">בְּעָלְמָא דֵּין. וְשֶׁבַע שְׁנִין </w:t>
      </w:r>
      <w:r w:rsidRPr="00007309">
        <w:rPr>
          <w:rFonts w:cs="Arial"/>
          <w:b/>
          <w:bCs/>
          <w:sz w:val="36"/>
          <w:szCs w:val="28"/>
          <w:vertAlign w:val="superscript"/>
          <w:rtl/>
        </w:rPr>
        <w:footnoteReference w:id="8529"/>
      </w:r>
      <w:r w:rsidRPr="00007309">
        <w:rPr>
          <w:rFonts w:cs="Arial"/>
          <w:b/>
          <w:bCs/>
          <w:sz w:val="24"/>
          <w:szCs w:val="24"/>
          <w:rtl/>
        </w:rPr>
        <w:t>דָּא ו' כַּד שַׁרְיָא י' עַל רֵישֵׁהּ אִתְעֲבִיד ז'. וְאִם זָכָה</w:t>
      </w:r>
      <w:r w:rsidRPr="00007309">
        <w:rPr>
          <w:rFonts w:cs="Arial"/>
          <w:b/>
          <w:bCs/>
          <w:sz w:val="24"/>
          <w:szCs w:val="24"/>
        </w:rPr>
        <w:t xml:space="preserve"> </w:t>
      </w:r>
      <w:r w:rsidRPr="00007309">
        <w:rPr>
          <w:rFonts w:cs="Arial"/>
          <w:b/>
          <w:bCs/>
          <w:sz w:val="24"/>
          <w:szCs w:val="24"/>
          <w:rtl/>
        </w:rPr>
        <w:t>בִּשְׁכִינְתָּא דְּאִיהִי ז' לְנַטְרָא לָהּ בַּבְּרִית, בְּגִין דְּאִיהִי בְּרִית מַמָּשׁ</w:t>
      </w:r>
      <w:r w:rsidRPr="00007309">
        <w:rPr>
          <w:rFonts w:cs="Arial" w:hint="cs"/>
          <w:b/>
          <w:bCs/>
          <w:sz w:val="24"/>
          <w:szCs w:val="24"/>
          <w:rtl/>
        </w:rPr>
        <w:t>,</w:t>
      </w:r>
      <w:r w:rsidRPr="00007309">
        <w:rPr>
          <w:rFonts w:cs="Arial"/>
          <w:b/>
          <w:bCs/>
          <w:sz w:val="24"/>
          <w:szCs w:val="24"/>
          <w:rtl/>
        </w:rPr>
        <w:t xml:space="preserve"> שַׁרְיָא עָלֵהּ ז' דְּאִיהוּ יוֹם שְׁבִיעִי. וְאִתְּמַר בֵּהּ </w:t>
      </w:r>
      <w:r w:rsidRPr="00007309">
        <w:rPr>
          <w:rFonts w:cs="Arial" w:hint="cs"/>
          <w:b/>
          <w:bCs/>
          <w:sz w:val="24"/>
          <w:szCs w:val="24"/>
          <w:rtl/>
        </w:rPr>
        <w:t xml:space="preserve">(תהלים קיט קסד) </w:t>
      </w:r>
      <w:r w:rsidRPr="00007309">
        <w:rPr>
          <w:rFonts w:cs="Arial"/>
          <w:b/>
          <w:bCs/>
          <w:sz w:val="24"/>
          <w:szCs w:val="24"/>
          <w:rtl/>
        </w:rPr>
        <w:t xml:space="preserve">שֶׁבַע בַּיּוֹם הִלַּלְתִּיךָ. וְאִי לָאו כְּתִיב בֵּהּ </w:t>
      </w:r>
      <w:r w:rsidRPr="00007309">
        <w:rPr>
          <w:rFonts w:cs="Arial" w:hint="cs"/>
          <w:b/>
          <w:bCs/>
          <w:sz w:val="24"/>
          <w:szCs w:val="24"/>
          <w:rtl/>
        </w:rPr>
        <w:t xml:space="preserve">(ויקרא כו כח) </w:t>
      </w:r>
      <w:r w:rsidRPr="00007309">
        <w:rPr>
          <w:rFonts w:cs="Arial"/>
          <w:b/>
          <w:bCs/>
          <w:sz w:val="24"/>
          <w:szCs w:val="24"/>
          <w:rtl/>
        </w:rPr>
        <w:t>וְיִסַּרְתִּי אֶתְכֶם אַף אֲנִי שֶׁבַע</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530"/>
      </w:r>
      <w:r w:rsidRPr="00007309">
        <w:rPr>
          <w:rFonts w:cs="Arial"/>
          <w:b/>
          <w:bCs/>
          <w:sz w:val="24"/>
          <w:szCs w:val="24"/>
          <w:rtl/>
        </w:rPr>
        <w:t xml:space="preserve">וְעִקָּרָא דְּכֹלָּא אִיהוּ אוֹת בְּרִית </w:t>
      </w:r>
      <w:r w:rsidRPr="00007309">
        <w:rPr>
          <w:rFonts w:cs="Arial"/>
          <w:b/>
          <w:bCs/>
          <w:sz w:val="36"/>
          <w:szCs w:val="28"/>
          <w:vertAlign w:val="superscript"/>
          <w:rtl/>
        </w:rPr>
        <w:footnoteReference w:id="8531"/>
      </w:r>
      <w:r w:rsidRPr="00007309">
        <w:rPr>
          <w:rFonts w:cs="Arial"/>
          <w:b/>
          <w:bCs/>
          <w:sz w:val="24"/>
          <w:szCs w:val="24"/>
          <w:rtl/>
        </w:rPr>
        <w:t xml:space="preserve">דְּבֵהּ זָכֵי לְעָלְמָא דְּאָתֵי </w:t>
      </w:r>
      <w:r w:rsidRPr="00007309">
        <w:rPr>
          <w:rFonts w:cs="Arial"/>
          <w:b/>
          <w:bCs/>
          <w:sz w:val="36"/>
          <w:szCs w:val="28"/>
          <w:vertAlign w:val="superscript"/>
          <w:rtl/>
        </w:rPr>
        <w:footnoteReference w:id="8532"/>
      </w:r>
      <w:r w:rsidRPr="00007309">
        <w:rPr>
          <w:rFonts w:cs="Arial"/>
          <w:b/>
          <w:bCs/>
          <w:sz w:val="24"/>
          <w:szCs w:val="24"/>
          <w:rtl/>
        </w:rPr>
        <w:t xml:space="preserve">דְּאִיהוּ עוֹלָם הַבָּא דְּאֵין בּוֹ לֹא אֲכִילָה וְלֹא שְׁתִיָּה לֹא קִנְאָה וְלֹא תַּחֲרוּת, אֶלָּא צַדִּיקִים יוֹשְׁבִים </w:t>
      </w:r>
      <w:r w:rsidRPr="00007309">
        <w:rPr>
          <w:rFonts w:cs="Arial"/>
          <w:b/>
          <w:bCs/>
          <w:sz w:val="36"/>
          <w:szCs w:val="28"/>
          <w:vertAlign w:val="superscript"/>
          <w:rtl/>
        </w:rPr>
        <w:footnoteReference w:id="8533"/>
      </w:r>
      <w:r w:rsidRPr="00007309">
        <w:rPr>
          <w:rFonts w:cs="Arial"/>
          <w:b/>
          <w:bCs/>
          <w:sz w:val="24"/>
          <w:szCs w:val="24"/>
          <w:rtl/>
        </w:rPr>
        <w:t xml:space="preserve">וְעַטְרוֹתֵיהֶם בְּרָאשֵׁיהֶם וְנֶהֱנִים מִזִּיו הַשְּׁכִינָה. וְתִשְׁכַּח סמ"ך בִּיסוֹד דְּאִיהוּ כ"ו פָּלִיג סמ"ך וְתִשְׁכַּח בֵּהּ כ"ו. וִיסוֹד הוּא יוֹם הַשְּׁבִיעִי וְתִשְׁכַּח בֵּהּ כוז'ו. </w:t>
      </w:r>
    </w:p>
    <w:p w:rsidR="00007309" w:rsidRPr="00007309" w:rsidRDefault="00007309" w:rsidP="00007309">
      <w:pPr>
        <w:keepNext/>
        <w:spacing w:after="60"/>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[וילנא מו ע"א]</w:t>
      </w:r>
    </w:p>
    <w:p w:rsidR="00007309" w:rsidRPr="00007309" w:rsidRDefault="00007309" w:rsidP="00007309">
      <w:pPr>
        <w:jc w:val="both"/>
        <w:rPr>
          <w:rFonts w:cs="Arial"/>
          <w:b/>
          <w:bCs/>
          <w:sz w:val="24"/>
          <w:szCs w:val="24"/>
          <w:rtl/>
        </w:rPr>
      </w:pPr>
      <w:r w:rsidRPr="00007309">
        <w:rPr>
          <w:rFonts w:cs="Arial"/>
          <w:b/>
          <w:bCs/>
          <w:sz w:val="24"/>
          <w:szCs w:val="24"/>
          <w:rtl/>
        </w:rPr>
        <w:t>אָמַר רִבִּי אֶלְעָזָר אַבָּא וְהָא כו</w:t>
      </w:r>
      <w:r w:rsidRPr="00007309">
        <w:rPr>
          <w:rFonts w:cs="Arial" w:hint="cs"/>
          <w:b/>
          <w:bCs/>
          <w:sz w:val="24"/>
          <w:szCs w:val="24"/>
          <w:rtl/>
        </w:rPr>
        <w:t>'</w:t>
      </w:r>
      <w:r w:rsidRPr="00007309">
        <w:rPr>
          <w:rFonts w:cs="Arial"/>
          <w:b/>
          <w:bCs/>
          <w:sz w:val="24"/>
          <w:szCs w:val="24"/>
          <w:rtl/>
        </w:rPr>
        <w:t>ז אַשְׁכַּחְנָא, אֲבָל ו' בַּתְרָאָה לָא אַשְׁכַּחְנָא בֵּהּ בְּאַתְוָן. א"ל בְּרִי</w:t>
      </w:r>
      <w:r w:rsidRPr="00007309">
        <w:rPr>
          <w:rFonts w:cs="Arial" w:hint="cs"/>
          <w:b/>
          <w:bCs/>
          <w:sz w:val="24"/>
          <w:szCs w:val="24"/>
          <w:rtl/>
        </w:rPr>
        <w:t>,</w:t>
      </w:r>
      <w:r w:rsidRPr="00007309">
        <w:rPr>
          <w:rFonts w:cs="Arial"/>
          <w:b/>
          <w:bCs/>
          <w:sz w:val="24"/>
          <w:szCs w:val="24"/>
          <w:rtl/>
        </w:rPr>
        <w:t xml:space="preserve"> כַּד אָת חָשִׁיב מֵאִמָּא עִלָּאָה אִתְקְרֵי </w:t>
      </w:r>
      <w:r w:rsidRPr="00007309">
        <w:rPr>
          <w:rFonts w:cs="Arial" w:hint="cs"/>
          <w:b/>
          <w:bCs/>
          <w:sz w:val="24"/>
          <w:szCs w:val="24"/>
          <w:rtl/>
        </w:rPr>
        <w:t xml:space="preserve">ז'. </w:t>
      </w:r>
      <w:r w:rsidRPr="00007309">
        <w:rPr>
          <w:rFonts w:cs="Arial"/>
          <w:b/>
          <w:bCs/>
          <w:sz w:val="24"/>
          <w:szCs w:val="24"/>
          <w:rtl/>
        </w:rPr>
        <w:t xml:space="preserve">וְכַד אַתְּ חָשִׁיב מִימִינָא דְּאִיהִי גְּדֻלָּה אִתְקְרֵי </w:t>
      </w:r>
      <w:r w:rsidRPr="00007309">
        <w:rPr>
          <w:rFonts w:cs="Arial" w:hint="cs"/>
          <w:b/>
          <w:bCs/>
          <w:sz w:val="24"/>
          <w:szCs w:val="24"/>
          <w:rtl/>
        </w:rPr>
        <w:t>ו</w:t>
      </w:r>
      <w:r w:rsidRPr="00007309">
        <w:rPr>
          <w:rFonts w:cs="Arial"/>
          <w:b/>
          <w:bCs/>
          <w:sz w:val="24"/>
          <w:szCs w:val="24"/>
          <w:rtl/>
        </w:rPr>
        <w:t xml:space="preserve">'. אָמַר לוֹ הַאי שַׁפִּיר. כַּד </w:t>
      </w:r>
      <w:r w:rsidRPr="00007309">
        <w:rPr>
          <w:rFonts w:cs="Arial"/>
          <w:b/>
          <w:bCs/>
          <w:sz w:val="36"/>
          <w:szCs w:val="28"/>
          <w:vertAlign w:val="superscript"/>
          <w:rtl/>
        </w:rPr>
        <w:footnoteReference w:id="8534"/>
      </w:r>
      <w:r w:rsidRPr="00007309">
        <w:rPr>
          <w:rFonts w:cs="Arial"/>
          <w:b/>
          <w:bCs/>
          <w:sz w:val="24"/>
          <w:szCs w:val="24"/>
          <w:rtl/>
        </w:rPr>
        <w:t xml:space="preserve">אִתְחֲשִׁיבַת בִּסְפִירָן </w:t>
      </w:r>
      <w:r w:rsidRPr="00007309">
        <w:rPr>
          <w:rFonts w:cs="Arial" w:hint="cs"/>
          <w:b/>
          <w:bCs/>
          <w:sz w:val="24"/>
          <w:szCs w:val="24"/>
          <w:rtl/>
        </w:rPr>
        <w:t>ל"ב,</w:t>
      </w:r>
      <w:r w:rsidRPr="00007309">
        <w:rPr>
          <w:rFonts w:cs="Arial"/>
          <w:b/>
          <w:bCs/>
          <w:sz w:val="24"/>
          <w:szCs w:val="24"/>
          <w:rtl/>
        </w:rPr>
        <w:t xml:space="preserve"> הָא </w:t>
      </w:r>
      <w:r w:rsidRPr="00007309">
        <w:rPr>
          <w:rFonts w:cs="Arial" w:hint="cs"/>
          <w:b/>
          <w:bCs/>
          <w:sz w:val="24"/>
          <w:szCs w:val="24"/>
          <w:rtl/>
        </w:rPr>
        <w:t xml:space="preserve">י' </w:t>
      </w:r>
      <w:r w:rsidRPr="00007309">
        <w:rPr>
          <w:rFonts w:cs="Arial"/>
          <w:b/>
          <w:bCs/>
          <w:sz w:val="24"/>
          <w:szCs w:val="24"/>
          <w:rtl/>
        </w:rPr>
        <w:t xml:space="preserve">אִנּוּן וְלֹא </w:t>
      </w:r>
      <w:r w:rsidRPr="00007309">
        <w:rPr>
          <w:rFonts w:ascii="Cambria" w:hAnsi="Cambria" w:cs="Times New Roman"/>
          <w:b/>
          <w:bCs/>
          <w:i/>
          <w:iCs/>
          <w:color w:val="4F81BD"/>
          <w:sz w:val="24"/>
          <w:szCs w:val="24"/>
          <w:rtl/>
        </w:rPr>
        <w:t>(</w:t>
      </w:r>
      <w:r w:rsidRPr="00007309">
        <w:rPr>
          <w:rFonts w:ascii="Cambria" w:hAnsi="Cambria" w:cs="Times New Roman" w:hint="cs"/>
          <w:b/>
          <w:bCs/>
          <w:i/>
          <w:iCs/>
          <w:color w:val="4F81BD"/>
          <w:sz w:val="24"/>
          <w:szCs w:val="24"/>
          <w:rtl/>
        </w:rPr>
        <w:t>וילנא מו</w:t>
      </w:r>
      <w:r w:rsidRPr="00007309">
        <w:rPr>
          <w:rFonts w:ascii="Cambria" w:hAnsi="Cambria" w:cs="Times New Roman"/>
          <w:b/>
          <w:bCs/>
          <w:i/>
          <w:iCs/>
          <w:color w:val="4F81BD"/>
          <w:sz w:val="24"/>
          <w:szCs w:val="24"/>
          <w:rtl/>
        </w:rPr>
        <w:t xml:space="preserve"> ע"א)</w:t>
      </w:r>
      <w:r w:rsidRPr="00007309">
        <w:rPr>
          <w:rFonts w:cs="Arial"/>
          <w:b/>
          <w:bCs/>
          <w:sz w:val="24"/>
          <w:szCs w:val="24"/>
          <w:rtl/>
        </w:rPr>
        <w:t xml:space="preserve"> יַתִּיר. כְּמָה דְּאָמְרֵי בְּסֵפֶר יְצִירָה, עֶשֶׂר סְפִירָן</w:t>
      </w:r>
      <w:r w:rsidRPr="00007309">
        <w:rPr>
          <w:rFonts w:cs="Arial"/>
          <w:b/>
          <w:bCs/>
          <w:sz w:val="24"/>
          <w:szCs w:val="24"/>
        </w:rPr>
        <w:t xml:space="preserve"> </w:t>
      </w:r>
      <w:r w:rsidRPr="00007309">
        <w:rPr>
          <w:rFonts w:cs="Arial"/>
          <w:b/>
          <w:bCs/>
          <w:sz w:val="24"/>
          <w:szCs w:val="24"/>
          <w:rtl/>
        </w:rPr>
        <w:t>בְּלִי</w:t>
      </w:r>
      <w:r w:rsidRPr="00007309">
        <w:rPr>
          <w:rFonts w:cs="Arial"/>
          <w:b/>
          <w:bCs/>
          <w:sz w:val="24"/>
          <w:szCs w:val="28"/>
        </w:rPr>
        <w:t xml:space="preserve"> </w:t>
      </w:r>
      <w:r w:rsidRPr="00007309">
        <w:rPr>
          <w:rFonts w:cs="Arial"/>
          <w:b/>
          <w:bCs/>
          <w:sz w:val="24"/>
          <w:szCs w:val="24"/>
          <w:rtl/>
        </w:rPr>
        <w:t>מָה</w:t>
      </w:r>
      <w:r w:rsidRPr="00007309">
        <w:rPr>
          <w:rFonts w:cs="Arial" w:hint="cs"/>
          <w:b/>
          <w:bCs/>
          <w:sz w:val="24"/>
          <w:szCs w:val="24"/>
          <w:rtl/>
        </w:rPr>
        <w:t>,</w:t>
      </w:r>
      <w:r w:rsidRPr="00007309">
        <w:rPr>
          <w:rFonts w:cs="Arial"/>
          <w:b/>
          <w:bCs/>
          <w:sz w:val="24"/>
          <w:szCs w:val="24"/>
          <w:rtl/>
        </w:rPr>
        <w:t xml:space="preserve"> עֶשֶׂר וְלֹא תֵּשַׁע, עֶשֶׂר וְלֹא אֶחָד עֶשֶׂר. אָמַר לוֹ בְּרִי</w:t>
      </w:r>
      <w:r w:rsidRPr="00007309">
        <w:rPr>
          <w:rFonts w:cs="Arial" w:hint="cs"/>
          <w:b/>
          <w:bCs/>
          <w:sz w:val="24"/>
          <w:szCs w:val="24"/>
          <w:rtl/>
        </w:rPr>
        <w:t>,</w:t>
      </w:r>
      <w:r w:rsidRPr="00007309">
        <w:rPr>
          <w:rFonts w:cs="Arial"/>
          <w:b/>
          <w:bCs/>
          <w:sz w:val="24"/>
          <w:szCs w:val="24"/>
          <w:rtl/>
        </w:rPr>
        <w:t xml:space="preserve"> כ' אַחֲזֵי מֵעֵלָּא לְתַתָּא וּמִתַּתָּא לְעֵלָּא</w:t>
      </w:r>
      <w:r w:rsidRPr="00007309">
        <w:rPr>
          <w:rFonts w:cs="Arial" w:hint="cs"/>
          <w:b/>
          <w:bCs/>
          <w:sz w:val="24"/>
          <w:szCs w:val="24"/>
          <w:rtl/>
        </w:rPr>
        <w:t>,</w:t>
      </w:r>
      <w:r w:rsidRPr="00007309">
        <w:rPr>
          <w:rFonts w:cs="Arial"/>
          <w:b/>
          <w:bCs/>
          <w:sz w:val="24"/>
          <w:szCs w:val="24"/>
          <w:rtl/>
        </w:rPr>
        <w:t xml:space="preserve"> וְכֹלָּא א' דְּאִיהִי רָזָא דְּיוֹ"ד וְכֹלָּא חַד. וּבְגִין דָּא תִּשְׁכַּח דְּאָת יוּ"ד אִיהִי כ'</w:t>
      </w:r>
      <w:r w:rsidRPr="00007309">
        <w:rPr>
          <w:rFonts w:cs="Arial" w:hint="cs"/>
          <w:b/>
          <w:bCs/>
          <w:sz w:val="24"/>
          <w:szCs w:val="24"/>
          <w:rtl/>
        </w:rPr>
        <w:t>,</w:t>
      </w:r>
      <w:r w:rsidRPr="00007309">
        <w:rPr>
          <w:rFonts w:cs="Arial"/>
          <w:b/>
          <w:bCs/>
          <w:sz w:val="24"/>
          <w:szCs w:val="24"/>
          <w:rtl/>
        </w:rPr>
        <w:t xml:space="preserve"> כֶּתֶר</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535"/>
      </w:r>
      <w:r w:rsidRPr="00007309">
        <w:rPr>
          <w:rFonts w:cs="Arial"/>
          <w:b/>
          <w:bCs/>
          <w:sz w:val="24"/>
          <w:szCs w:val="24"/>
          <w:rtl/>
        </w:rPr>
        <w:t xml:space="preserve">דְּאָת יוּ"ד דְּסָלִיק עָלַהּ בְּחֻשְׁבְּנָא </w:t>
      </w:r>
      <w:r w:rsidRPr="00007309">
        <w:rPr>
          <w:rFonts w:cs="Arial"/>
          <w:b/>
          <w:bCs/>
          <w:sz w:val="36"/>
          <w:szCs w:val="28"/>
          <w:vertAlign w:val="superscript"/>
          <w:rtl/>
        </w:rPr>
        <w:footnoteReference w:id="8536"/>
      </w:r>
      <w:r w:rsidRPr="00007309">
        <w:rPr>
          <w:rFonts w:cs="Arial"/>
          <w:b/>
          <w:bCs/>
          <w:sz w:val="24"/>
          <w:szCs w:val="24"/>
          <w:rtl/>
        </w:rPr>
        <w:t>וְכֹלָּא חַד. כִּי יְ"יָ אֱלֹהֶיךָ אֵשׁ אוֹכְלָה הוּא</w:t>
      </w:r>
      <w:r w:rsidRPr="00007309">
        <w:rPr>
          <w:rFonts w:cs="Arial" w:hint="cs"/>
          <w:b/>
          <w:bCs/>
          <w:sz w:val="24"/>
          <w:szCs w:val="24"/>
          <w:rtl/>
        </w:rPr>
        <w:t xml:space="preserve"> (דברים ד כד)</w:t>
      </w:r>
      <w:r w:rsidRPr="00007309">
        <w:rPr>
          <w:rFonts w:cs="Arial"/>
          <w:b/>
          <w:bCs/>
          <w:sz w:val="24"/>
          <w:szCs w:val="24"/>
          <w:rtl/>
        </w:rPr>
        <w:t xml:space="preserve">. </w:t>
      </w:r>
      <w:r w:rsidRPr="00007309">
        <w:rPr>
          <w:rFonts w:cs="Arial"/>
          <w:b/>
          <w:bCs/>
          <w:sz w:val="36"/>
          <w:szCs w:val="28"/>
          <w:vertAlign w:val="superscript"/>
          <w:rtl/>
        </w:rPr>
        <w:footnoteReference w:id="8537"/>
      </w:r>
      <w:r w:rsidRPr="00007309">
        <w:rPr>
          <w:rFonts w:cs="Arial"/>
          <w:b/>
          <w:bCs/>
          <w:sz w:val="24"/>
          <w:szCs w:val="24"/>
          <w:rtl/>
        </w:rPr>
        <w:t>כִּי הוּא י'</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538"/>
      </w:r>
      <w:r w:rsidRPr="00007309">
        <w:rPr>
          <w:rFonts w:cs="Arial"/>
          <w:b/>
          <w:bCs/>
          <w:sz w:val="24"/>
          <w:szCs w:val="24"/>
          <w:rtl/>
        </w:rPr>
        <w:t>וְאִיהוּ יְהוָֹ'ה דְּסָלִיק כ"ו</w:t>
      </w:r>
      <w:r w:rsidRPr="00007309">
        <w:rPr>
          <w:rFonts w:cs="Arial" w:hint="cs"/>
          <w:b/>
          <w:bCs/>
          <w:sz w:val="24"/>
          <w:szCs w:val="24"/>
          <w:rtl/>
        </w:rPr>
        <w:t>,</w:t>
      </w:r>
      <w:r w:rsidRPr="00007309">
        <w:rPr>
          <w:rFonts w:cs="Arial"/>
          <w:b/>
          <w:bCs/>
          <w:sz w:val="24"/>
          <w:szCs w:val="24"/>
          <w:rtl/>
        </w:rPr>
        <w:t xml:space="preserve"> וְעִם וְאַרְבַּע אַתְוָן סָלִיק ל' לְחֻשְׁבַּן כ"י. וְדָא רָזָא יְהוָֹ'ה. </w:t>
      </w:r>
    </w:p>
    <w:p w:rsidR="00007309" w:rsidRPr="00007309" w:rsidRDefault="00007309" w:rsidP="00007309">
      <w:pPr>
        <w:keepNext/>
        <w:outlineLvl w:val="1"/>
        <w:rPr>
          <w:rFonts w:ascii="Cambria" w:hAnsi="Cambria" w:cs="Times New Roman"/>
          <w:b/>
          <w:bCs/>
          <w:i/>
          <w:iCs/>
          <w:sz w:val="28"/>
          <w:szCs w:val="28"/>
          <w:rtl/>
        </w:rPr>
      </w:pPr>
      <w:r w:rsidRPr="00007309">
        <w:rPr>
          <w:rFonts w:ascii="Cambria" w:hAnsi="Cambria" w:cs="Times New Roman"/>
          <w:b/>
          <w:bCs/>
          <w:i/>
          <w:iCs/>
          <w:sz w:val="28"/>
          <w:szCs w:val="28"/>
          <w:rtl/>
        </w:rPr>
        <w:t>[</w:t>
      </w:r>
      <w:r w:rsidRPr="00007309">
        <w:rPr>
          <w:rFonts w:ascii="Cambria" w:hAnsi="Cambria" w:cs="Times New Roman" w:hint="cs"/>
          <w:b/>
          <w:bCs/>
          <w:i/>
          <w:iCs/>
          <w:sz w:val="28"/>
          <w:szCs w:val="28"/>
          <w:rtl/>
        </w:rPr>
        <w:t>דף</w:t>
      </w:r>
      <w:r w:rsidRPr="00007309">
        <w:rPr>
          <w:rFonts w:ascii="Cambria" w:hAnsi="Cambria" w:cs="Times New Roman"/>
          <w:b/>
          <w:bCs/>
          <w:i/>
          <w:iCs/>
          <w:sz w:val="28"/>
          <w:szCs w:val="28"/>
          <w:rtl/>
        </w:rPr>
        <w:t xml:space="preserve"> </w:t>
      </w:r>
      <w:r w:rsidRPr="00007309">
        <w:rPr>
          <w:rFonts w:ascii="Cambria" w:hAnsi="Cambria" w:cs="Times New Roman" w:hint="cs"/>
          <w:b/>
          <w:bCs/>
          <w:i/>
          <w:iCs/>
          <w:sz w:val="28"/>
          <w:szCs w:val="28"/>
          <w:rtl/>
        </w:rPr>
        <w:t>פח</w:t>
      </w:r>
      <w:r w:rsidRPr="00007309">
        <w:rPr>
          <w:rFonts w:ascii="Cambria" w:hAnsi="Cambria" w:cs="Times New Roman"/>
          <w:b/>
          <w:bCs/>
          <w:i/>
          <w:iCs/>
          <w:sz w:val="28"/>
          <w:szCs w:val="28"/>
          <w:rtl/>
        </w:rPr>
        <w:t xml:space="preserve"> ע"</w:t>
      </w:r>
      <w:r w:rsidRPr="00007309">
        <w:rPr>
          <w:rFonts w:ascii="Cambria" w:hAnsi="Cambria" w:cs="Times New Roman" w:hint="cs"/>
          <w:b/>
          <w:bCs/>
          <w:i/>
          <w:iCs/>
          <w:sz w:val="28"/>
          <w:szCs w:val="28"/>
          <w:rtl/>
        </w:rPr>
        <w:t>ב</w:t>
      </w:r>
      <w:r w:rsidRPr="00007309">
        <w:rPr>
          <w:rFonts w:ascii="Cambria" w:hAnsi="Cambria" w:cs="Times New Roman"/>
          <w:b/>
          <w:bCs/>
          <w:i/>
          <w:iCs/>
          <w:sz w:val="28"/>
          <w:szCs w:val="28"/>
          <w:rtl/>
        </w:rPr>
        <w:t>]</w:t>
      </w:r>
    </w:p>
    <w:p w:rsidR="00007309" w:rsidRPr="00007309" w:rsidRDefault="00007309" w:rsidP="00007309">
      <w:pPr>
        <w:jc w:val="both"/>
        <w:rPr>
          <w:rFonts w:cs="Arial"/>
          <w:b/>
          <w:bCs/>
          <w:sz w:val="24"/>
          <w:szCs w:val="24"/>
          <w:rtl/>
        </w:rPr>
      </w:pPr>
      <w:r w:rsidRPr="00007309">
        <w:rPr>
          <w:rFonts w:cs="Arial"/>
          <w:b/>
          <w:bCs/>
          <w:sz w:val="24"/>
          <w:szCs w:val="24"/>
          <w:rtl/>
        </w:rPr>
        <w:t xml:space="preserve">וַתָּמָת שָׂרָה דָּא נִשְׁמְתָא </w:t>
      </w:r>
      <w:r w:rsidRPr="00007309">
        <w:rPr>
          <w:rFonts w:cs="Arial"/>
          <w:b/>
          <w:bCs/>
          <w:sz w:val="36"/>
          <w:szCs w:val="28"/>
          <w:vertAlign w:val="superscript"/>
          <w:rtl/>
        </w:rPr>
        <w:footnoteReference w:id="8539"/>
      </w:r>
      <w:r w:rsidRPr="00007309">
        <w:rPr>
          <w:rFonts w:cs="Arial"/>
          <w:b/>
          <w:bCs/>
          <w:sz w:val="24"/>
          <w:szCs w:val="24"/>
          <w:rtl/>
        </w:rPr>
        <w:t>דְּאִתְּמַר בָּהּ וַיִּפַּח בְּאַפָּיו נִשְׁמַת חַיִּים. וּמַאי מִיתָה דִּילָהּ, דְּנַחְתַת מִלְּעֵלָּא וְעָאלַת בְּאַרְבַּע יְסוֹדִין בִּישִׁין דְּאִנּוּן אֵשׁ רוּחַ מַיִם עָפָר</w:t>
      </w:r>
      <w:r w:rsidRPr="00007309">
        <w:rPr>
          <w:rFonts w:cs="Arial" w:hint="cs"/>
          <w:b/>
          <w:bCs/>
          <w:sz w:val="24"/>
          <w:szCs w:val="24"/>
          <w:rtl/>
        </w:rPr>
        <w:t>,</w:t>
      </w:r>
      <w:r w:rsidRPr="00007309">
        <w:rPr>
          <w:rFonts w:cs="Arial"/>
          <w:b/>
          <w:bCs/>
          <w:sz w:val="24"/>
          <w:szCs w:val="24"/>
          <w:rtl/>
        </w:rPr>
        <w:t xml:space="preserve"> וְאִנּוּן שִׁתּוּפָא דְּנַפְשָׁא דִבְעִירָא, בְּגִין דְּאִיהוּ תַּמָּן בְּלֹא אוֹרַיְתָא. דְּקֹדֶם דְּנִשְׁמְתָא נַחְתָּא בְּגוּפָא בְּד' יְסוֹדִין אִלֵּין </w:t>
      </w:r>
      <w:r w:rsidRPr="00007309">
        <w:rPr>
          <w:rFonts w:cs="Arial"/>
          <w:b/>
          <w:bCs/>
          <w:sz w:val="36"/>
          <w:szCs w:val="28"/>
          <w:vertAlign w:val="superscript"/>
          <w:rtl/>
        </w:rPr>
        <w:footnoteReference w:id="8540"/>
      </w:r>
      <w:r w:rsidRPr="00007309">
        <w:rPr>
          <w:rFonts w:cs="Arial"/>
          <w:b/>
          <w:bCs/>
          <w:sz w:val="24"/>
          <w:szCs w:val="24"/>
          <w:rtl/>
        </w:rPr>
        <w:t xml:space="preserve">אִתְיְהִיבַת לָהּ אוֹרַיְתָא כֻּלָּהּ. וּמִיָּד דְּעָאלָת בְּגוּפָא אִסְתַּלְּקַת מִנֵּהּ. וְרָזָא דְּמִלָּה </w:t>
      </w:r>
      <w:r w:rsidRPr="00007309">
        <w:rPr>
          <w:rFonts w:cs="Arial"/>
          <w:b/>
          <w:bCs/>
          <w:sz w:val="36"/>
          <w:szCs w:val="28"/>
          <w:vertAlign w:val="superscript"/>
          <w:rtl/>
        </w:rPr>
        <w:footnoteReference w:id="8541"/>
      </w:r>
      <w:r w:rsidRPr="00007309">
        <w:rPr>
          <w:rFonts w:cs="Arial"/>
          <w:b/>
          <w:bCs/>
          <w:sz w:val="24"/>
          <w:szCs w:val="24"/>
          <w:rtl/>
        </w:rPr>
        <w:t>אֲנִי מְלֵאָה הָלַכְתִּי וְרֵיקָם הֱשִׁיבַנִי ה'. אָמְרָה נִשְׁמְתָא אֲנָא מְלֵאָה אֲזִלְנָא לְהַאי (נראה מהאי) עָלְמָא וּכְעָן רֵיקָן הֶחֱזִירַנִי ה' בְּהַאי גּוּפָא. וְעִ</w:t>
      </w:r>
      <w:r w:rsidRPr="00007309">
        <w:rPr>
          <w:rFonts w:cs="Arial" w:hint="cs"/>
          <w:b/>
          <w:bCs/>
          <w:sz w:val="24"/>
          <w:szCs w:val="24"/>
          <w:rtl/>
        </w:rPr>
        <w:t>ם כ</w:t>
      </w:r>
      <w:r w:rsidRPr="00007309">
        <w:rPr>
          <w:rFonts w:cs="Arial"/>
          <w:b/>
          <w:bCs/>
          <w:sz w:val="24"/>
          <w:szCs w:val="24"/>
          <w:rtl/>
        </w:rPr>
        <w:t>ָּ</w:t>
      </w:r>
      <w:r w:rsidRPr="00007309">
        <w:rPr>
          <w:rFonts w:cs="Arial" w:hint="cs"/>
          <w:b/>
          <w:bCs/>
          <w:sz w:val="24"/>
          <w:szCs w:val="24"/>
          <w:rtl/>
        </w:rPr>
        <w:t>ל ד</w:t>
      </w:r>
      <w:r w:rsidRPr="00007309">
        <w:rPr>
          <w:rFonts w:cs="Arial"/>
          <w:b/>
          <w:bCs/>
          <w:sz w:val="24"/>
          <w:szCs w:val="24"/>
          <w:rtl/>
        </w:rPr>
        <w:t>ָּ</w:t>
      </w:r>
      <w:r w:rsidRPr="00007309">
        <w:rPr>
          <w:rFonts w:cs="Arial" w:hint="cs"/>
          <w:b/>
          <w:bCs/>
          <w:sz w:val="24"/>
          <w:szCs w:val="24"/>
          <w:rtl/>
        </w:rPr>
        <w:t>א</w:t>
      </w:r>
      <w:r w:rsidRPr="00007309">
        <w:rPr>
          <w:rFonts w:cs="Arial"/>
          <w:b/>
          <w:bCs/>
          <w:sz w:val="24"/>
          <w:szCs w:val="24"/>
          <w:rtl/>
        </w:rPr>
        <w:t xml:space="preserve"> </w:t>
      </w:r>
      <w:r w:rsidRPr="00007309">
        <w:rPr>
          <w:rFonts w:cs="Arial"/>
          <w:b/>
          <w:bCs/>
          <w:sz w:val="36"/>
          <w:szCs w:val="28"/>
          <w:vertAlign w:val="superscript"/>
          <w:rtl/>
        </w:rPr>
        <w:footnoteReference w:id="8542"/>
      </w:r>
      <w:r w:rsidRPr="00007309">
        <w:rPr>
          <w:rFonts w:cs="Arial"/>
          <w:b/>
          <w:bCs/>
          <w:sz w:val="24"/>
          <w:szCs w:val="24"/>
          <w:rtl/>
        </w:rPr>
        <w:t>אִי זָכָה בַּר נָשׁ לְאִתְעַסְּקָא בְּאוֹרַיְתָא</w:t>
      </w:r>
      <w:r w:rsidRPr="00007309">
        <w:rPr>
          <w:rFonts w:cs="Arial" w:hint="cs"/>
          <w:b/>
          <w:bCs/>
          <w:sz w:val="24"/>
          <w:szCs w:val="24"/>
          <w:rtl/>
        </w:rPr>
        <w:t>,</w:t>
      </w:r>
      <w:r w:rsidRPr="00007309">
        <w:rPr>
          <w:rFonts w:cs="Arial"/>
          <w:b/>
          <w:bCs/>
          <w:sz w:val="24"/>
          <w:szCs w:val="24"/>
          <w:rtl/>
        </w:rPr>
        <w:t xml:space="preserve"> הִיא חֶבְרוֹן</w:t>
      </w:r>
      <w:r w:rsidRPr="00007309">
        <w:rPr>
          <w:rFonts w:cs="Arial" w:hint="cs"/>
          <w:b/>
          <w:bCs/>
          <w:sz w:val="24"/>
          <w:szCs w:val="24"/>
          <w:rtl/>
        </w:rPr>
        <w:t>,</w:t>
      </w:r>
      <w:r w:rsidRPr="00007309">
        <w:rPr>
          <w:rFonts w:cs="Arial"/>
          <w:b/>
          <w:bCs/>
          <w:sz w:val="24"/>
          <w:szCs w:val="24"/>
          <w:rtl/>
        </w:rPr>
        <w:t xml:space="preserve"> אִתְחַבְּרַת לָהּ</w:t>
      </w:r>
      <w:r w:rsidRPr="00007309">
        <w:rPr>
          <w:rFonts w:cs="Arial" w:hint="cs"/>
          <w:b/>
          <w:bCs/>
          <w:sz w:val="24"/>
          <w:szCs w:val="24"/>
          <w:rtl/>
        </w:rPr>
        <w:t>,</w:t>
      </w:r>
      <w:r w:rsidRPr="00007309">
        <w:rPr>
          <w:rFonts w:cs="Arial"/>
          <w:b/>
          <w:bCs/>
          <w:sz w:val="24"/>
          <w:szCs w:val="24"/>
          <w:rtl/>
        </w:rPr>
        <w:t xml:space="preserve"> שֶׁהִיא אוֹרַיְתָא דְּאִסְתַּלְּקַת </w:t>
      </w:r>
      <w:r w:rsidRPr="00007309">
        <w:rPr>
          <w:rFonts w:ascii="Cambria" w:hAnsi="Cambria" w:cs="Times New Roman"/>
          <w:b/>
          <w:bCs/>
          <w:i/>
          <w:iCs/>
          <w:color w:val="4F81BD"/>
          <w:sz w:val="24"/>
          <w:szCs w:val="24"/>
          <w:rtl/>
        </w:rPr>
        <w:t>(פ</w:t>
      </w:r>
      <w:r w:rsidRPr="00007309">
        <w:rPr>
          <w:rFonts w:ascii="Cambria" w:hAnsi="Cambria" w:cs="Times New Roman" w:hint="cs"/>
          <w:b/>
          <w:bCs/>
          <w:i/>
          <w:iCs/>
          <w:color w:val="4F81BD"/>
          <w:sz w:val="24"/>
          <w:szCs w:val="24"/>
          <w:rtl/>
        </w:rPr>
        <w:t>ח</w:t>
      </w:r>
      <w:r w:rsidRPr="00007309">
        <w:rPr>
          <w:rFonts w:ascii="Cambria" w:hAnsi="Cambria" w:cs="Times New Roman"/>
          <w:b/>
          <w:bCs/>
          <w:i/>
          <w:iCs/>
          <w:color w:val="4F81BD"/>
          <w:sz w:val="24"/>
          <w:szCs w:val="24"/>
          <w:rtl/>
        </w:rPr>
        <w:t xml:space="preserve"> ע"</w:t>
      </w:r>
      <w:r w:rsidRPr="00007309">
        <w:rPr>
          <w:rFonts w:ascii="Cambria" w:hAnsi="Cambria" w:cs="Times New Roman" w:hint="cs"/>
          <w:b/>
          <w:bCs/>
          <w:i/>
          <w:iCs/>
          <w:color w:val="4F81BD"/>
          <w:sz w:val="24"/>
          <w:szCs w:val="24"/>
          <w:rtl/>
        </w:rPr>
        <w:t>ב</w:t>
      </w:r>
      <w:r w:rsidRPr="00007309">
        <w:rPr>
          <w:rFonts w:ascii="Cambria" w:hAnsi="Cambria" w:cs="Times New Roman"/>
          <w:b/>
          <w:bCs/>
          <w:i/>
          <w:iCs/>
          <w:color w:val="4F81BD"/>
          <w:sz w:val="24"/>
          <w:szCs w:val="24"/>
          <w:rtl/>
        </w:rPr>
        <w:t>)</w:t>
      </w:r>
      <w:r w:rsidRPr="00007309">
        <w:rPr>
          <w:rFonts w:cs="Arial"/>
          <w:b/>
          <w:bCs/>
          <w:sz w:val="24"/>
          <w:szCs w:val="24"/>
          <w:rtl/>
        </w:rPr>
        <w:t xml:space="preserve"> מִנִּשְׁמְתָא אִתְחַבְּרַת לָהּ. </w:t>
      </w:r>
      <w:r w:rsidRPr="00007309">
        <w:rPr>
          <w:rFonts w:cs="Arial"/>
          <w:b/>
          <w:bCs/>
          <w:sz w:val="36"/>
          <w:szCs w:val="28"/>
          <w:vertAlign w:val="superscript"/>
          <w:rtl/>
        </w:rPr>
        <w:footnoteReference w:id="8543"/>
      </w:r>
      <w:r w:rsidRPr="00007309">
        <w:rPr>
          <w:rFonts w:cs="Arial"/>
          <w:b/>
          <w:bCs/>
          <w:sz w:val="24"/>
          <w:szCs w:val="24"/>
          <w:rtl/>
        </w:rPr>
        <w:t>דְּנִשְׁמְתָא אִיהִי מִכֻּרְסֵי יְקָרָא</w:t>
      </w:r>
      <w:r w:rsidRPr="00007309">
        <w:rPr>
          <w:rFonts w:cs="Arial" w:hint="cs"/>
          <w:b/>
          <w:bCs/>
          <w:sz w:val="24"/>
          <w:szCs w:val="24"/>
          <w:rtl/>
        </w:rPr>
        <w:t>,</w:t>
      </w:r>
      <w:r w:rsidRPr="00007309">
        <w:rPr>
          <w:rFonts w:cs="Arial"/>
          <w:b/>
          <w:bCs/>
          <w:sz w:val="24"/>
          <w:szCs w:val="24"/>
          <w:rtl/>
        </w:rPr>
        <w:t xml:space="preserve"> אוֹרַיְתָא שְׁמָא דְּקוּדְשָׁא בְּרִיךְ הוּא</w:t>
      </w:r>
      <w:r w:rsidRPr="00007309">
        <w:rPr>
          <w:rFonts w:cs="Arial" w:hint="cs"/>
          <w:b/>
          <w:bCs/>
          <w:sz w:val="24"/>
          <w:szCs w:val="24"/>
          <w:rtl/>
        </w:rPr>
        <w:t>,</w:t>
      </w:r>
      <w:r w:rsidRPr="00007309">
        <w:rPr>
          <w:rFonts w:cs="Arial"/>
          <w:b/>
          <w:bCs/>
          <w:sz w:val="24"/>
          <w:szCs w:val="24"/>
          <w:rtl/>
        </w:rPr>
        <w:t xml:space="preserve"> תּוֹרַת ה' תְּמִימָה. עֵץ חַיִּים הִיא לַמַּחֲזִיקִים בָּהּ. </w:t>
      </w:r>
      <w:r w:rsidRPr="00007309">
        <w:rPr>
          <w:rFonts w:cs="Arial"/>
          <w:b/>
          <w:bCs/>
          <w:sz w:val="36"/>
          <w:szCs w:val="28"/>
          <w:vertAlign w:val="superscript"/>
          <w:rtl/>
        </w:rPr>
        <w:footnoteReference w:id="8544"/>
      </w:r>
      <w:r w:rsidRPr="00007309">
        <w:rPr>
          <w:rFonts w:cs="Arial"/>
          <w:b/>
          <w:bCs/>
          <w:sz w:val="24"/>
          <w:szCs w:val="24"/>
          <w:rtl/>
        </w:rPr>
        <w:t>ואַף עַל גַּב דְּאִיהוּ בַּר נָשׁ בִּישָׁא</w:t>
      </w:r>
      <w:r w:rsidRPr="00007309">
        <w:rPr>
          <w:rFonts w:cs="Arial" w:hint="cs"/>
          <w:b/>
          <w:bCs/>
          <w:sz w:val="24"/>
          <w:szCs w:val="24"/>
          <w:rtl/>
        </w:rPr>
        <w:t>,</w:t>
      </w:r>
      <w:r w:rsidRPr="00007309">
        <w:rPr>
          <w:rFonts w:cs="Arial"/>
          <w:b/>
          <w:bCs/>
          <w:sz w:val="24"/>
          <w:szCs w:val="24"/>
          <w:rtl/>
        </w:rPr>
        <w:t xml:space="preserve"> כְּנַעֲנִי דְּאַסְחַר לֵהּ יֵצֶר </w:t>
      </w:r>
      <w:r w:rsidRPr="00007309">
        <w:rPr>
          <w:rFonts w:cs="Arial" w:hint="cs"/>
          <w:b/>
          <w:bCs/>
          <w:sz w:val="24"/>
          <w:szCs w:val="24"/>
          <w:rtl/>
        </w:rPr>
        <w:t>ה</w:t>
      </w:r>
      <w:r w:rsidRPr="00007309">
        <w:rPr>
          <w:rFonts w:cs="Arial"/>
          <w:b/>
          <w:bCs/>
          <w:sz w:val="24"/>
          <w:szCs w:val="24"/>
          <w:rtl/>
        </w:rPr>
        <w:t>ָרַע</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545"/>
      </w:r>
      <w:r w:rsidRPr="00007309">
        <w:rPr>
          <w:rFonts w:cs="Arial"/>
          <w:b/>
          <w:bCs/>
          <w:sz w:val="24"/>
          <w:szCs w:val="24"/>
          <w:rtl/>
        </w:rPr>
        <w:t xml:space="preserve">אִי מַתְקַף בְּהַהִיא </w:t>
      </w:r>
      <w:r w:rsidRPr="00007309">
        <w:rPr>
          <w:rFonts w:cs="Arial"/>
          <w:b/>
          <w:bCs/>
          <w:sz w:val="36"/>
          <w:szCs w:val="28"/>
          <w:vertAlign w:val="superscript"/>
          <w:rtl/>
        </w:rPr>
        <w:footnoteReference w:id="8546"/>
      </w:r>
      <w:r w:rsidRPr="00007309">
        <w:rPr>
          <w:rFonts w:cs="Arial"/>
          <w:b/>
          <w:bCs/>
          <w:sz w:val="24"/>
          <w:szCs w:val="24"/>
          <w:rtl/>
        </w:rPr>
        <w:t xml:space="preserve">חֶבְרוֹן אִתְחַבְּרַת לַהּ. </w:t>
      </w:r>
    </w:p>
    <w:p w:rsidR="00007309" w:rsidRPr="00007309" w:rsidRDefault="00007309" w:rsidP="00007309">
      <w:pPr>
        <w:jc w:val="both"/>
        <w:rPr>
          <w:rFonts w:cs="Arial"/>
          <w:b/>
          <w:bCs/>
          <w:sz w:val="24"/>
          <w:szCs w:val="24"/>
        </w:rPr>
      </w:pPr>
      <w:r w:rsidRPr="00007309">
        <w:rPr>
          <w:rFonts w:cs="Arial"/>
          <w:b/>
          <w:bCs/>
          <w:sz w:val="24"/>
          <w:szCs w:val="24"/>
          <w:rtl/>
        </w:rPr>
        <w:t>ד</w:t>
      </w:r>
      <w:r w:rsidRPr="00007309">
        <w:rPr>
          <w:rFonts w:cs="Arial" w:hint="cs"/>
          <w:b/>
          <w:bCs/>
          <w:sz w:val="24"/>
          <w:szCs w:val="24"/>
          <w:rtl/>
        </w:rPr>
        <w:t>בר אחר,</w:t>
      </w:r>
      <w:r w:rsidRPr="00007309">
        <w:rPr>
          <w:rFonts w:cs="Arial"/>
          <w:b/>
          <w:bCs/>
          <w:sz w:val="24"/>
          <w:szCs w:val="24"/>
          <w:rtl/>
        </w:rPr>
        <w:t xml:space="preserve"> הִיא חֶבְרוֹן </w:t>
      </w:r>
      <w:r w:rsidRPr="00007309">
        <w:rPr>
          <w:rFonts w:cs="Arial"/>
          <w:b/>
          <w:bCs/>
          <w:sz w:val="36"/>
          <w:szCs w:val="28"/>
          <w:vertAlign w:val="superscript"/>
          <w:rtl/>
        </w:rPr>
        <w:footnoteReference w:id="8547"/>
      </w:r>
      <w:r w:rsidRPr="00007309">
        <w:rPr>
          <w:rFonts w:cs="Arial"/>
          <w:b/>
          <w:bCs/>
          <w:sz w:val="24"/>
          <w:szCs w:val="24"/>
          <w:rtl/>
        </w:rPr>
        <w:t>דָּא</w:t>
      </w:r>
      <w:r w:rsidRPr="00007309">
        <w:rPr>
          <w:rFonts w:cs="Arial"/>
          <w:b/>
          <w:bCs/>
          <w:sz w:val="24"/>
          <w:szCs w:val="24"/>
        </w:rPr>
        <w:t xml:space="preserve"> </w:t>
      </w:r>
      <w:r w:rsidRPr="00007309">
        <w:rPr>
          <w:rFonts w:cs="Arial"/>
          <w:b/>
          <w:bCs/>
          <w:sz w:val="24"/>
          <w:szCs w:val="24"/>
          <w:rtl/>
        </w:rPr>
        <w:t>שְׁכִינְתָּא</w:t>
      </w:r>
      <w:r w:rsidRPr="00007309">
        <w:rPr>
          <w:rFonts w:cs="Arial" w:hint="cs"/>
          <w:b/>
          <w:bCs/>
          <w:sz w:val="24"/>
          <w:szCs w:val="24"/>
          <w:rtl/>
        </w:rPr>
        <w:t xml:space="preserve">, </w:t>
      </w:r>
      <w:r w:rsidRPr="00007309">
        <w:rPr>
          <w:rFonts w:cs="Arial"/>
          <w:b/>
          <w:bCs/>
          <w:sz w:val="24"/>
          <w:szCs w:val="24"/>
          <w:rtl/>
        </w:rPr>
        <w:t>אַף עַל גַּב דְּאִתְרְחָקַת מִנֵּהּ דְּקוּדְשָׁא בְּרִיךְ הוּא</w:t>
      </w:r>
      <w:r w:rsidRPr="00007309">
        <w:rPr>
          <w:rFonts w:cs="Arial" w:hint="cs"/>
          <w:b/>
          <w:bCs/>
          <w:sz w:val="24"/>
          <w:szCs w:val="24"/>
          <w:rtl/>
        </w:rPr>
        <w:t>,</w:t>
      </w:r>
      <w:r w:rsidRPr="00007309">
        <w:rPr>
          <w:rFonts w:cs="Arial"/>
          <w:b/>
          <w:bCs/>
          <w:sz w:val="24"/>
          <w:szCs w:val="24"/>
          <w:rtl/>
        </w:rPr>
        <w:t xml:space="preserve"> הִיא חֶבְרוֹן לְגַבֵּהּ. כְּגַוְנָא דְּיִשְׂרָאֵל דְּאָמְרִין  </w:t>
      </w:r>
      <w:r w:rsidRPr="00007309">
        <w:rPr>
          <w:rFonts w:cs="Arial" w:hint="cs"/>
          <w:b/>
          <w:bCs/>
          <w:sz w:val="24"/>
          <w:szCs w:val="24"/>
          <w:rtl/>
        </w:rPr>
        <w:t xml:space="preserve">(ישעיה כו יג) </w:t>
      </w:r>
      <w:r w:rsidRPr="00007309">
        <w:rPr>
          <w:rFonts w:cs="Arial"/>
          <w:b/>
          <w:bCs/>
          <w:sz w:val="24"/>
          <w:szCs w:val="24"/>
          <w:rtl/>
        </w:rPr>
        <w:t>יְהוָה אֱלֹהֵינוּ בְּעָלוּנוּ אֲדֹנִים זוּלָתֶךָ. וְעִ</w:t>
      </w:r>
      <w:r w:rsidRPr="00007309">
        <w:rPr>
          <w:rFonts w:cs="Arial" w:hint="cs"/>
          <w:b/>
          <w:bCs/>
          <w:sz w:val="24"/>
          <w:szCs w:val="24"/>
          <w:rtl/>
        </w:rPr>
        <w:t>ם כ</w:t>
      </w:r>
      <w:r w:rsidRPr="00007309">
        <w:rPr>
          <w:rFonts w:cs="Arial"/>
          <w:b/>
          <w:bCs/>
          <w:sz w:val="24"/>
          <w:szCs w:val="24"/>
          <w:rtl/>
        </w:rPr>
        <w:t>ָּ</w:t>
      </w:r>
      <w:r w:rsidRPr="00007309">
        <w:rPr>
          <w:rFonts w:cs="Arial" w:hint="cs"/>
          <w:b/>
          <w:bCs/>
          <w:sz w:val="24"/>
          <w:szCs w:val="24"/>
          <w:rtl/>
        </w:rPr>
        <w:t>ל ד</w:t>
      </w:r>
      <w:r w:rsidRPr="00007309">
        <w:rPr>
          <w:rFonts w:cs="Arial"/>
          <w:b/>
          <w:bCs/>
          <w:sz w:val="24"/>
          <w:szCs w:val="24"/>
          <w:rtl/>
        </w:rPr>
        <w:t>ָּ</w:t>
      </w:r>
      <w:r w:rsidRPr="00007309">
        <w:rPr>
          <w:rFonts w:cs="Arial" w:hint="cs"/>
          <w:b/>
          <w:bCs/>
          <w:sz w:val="24"/>
          <w:szCs w:val="24"/>
          <w:rtl/>
        </w:rPr>
        <w:t xml:space="preserve">א (שם) </w:t>
      </w:r>
      <w:r w:rsidRPr="00007309">
        <w:rPr>
          <w:rFonts w:cs="Arial"/>
          <w:b/>
          <w:bCs/>
          <w:sz w:val="24"/>
          <w:szCs w:val="24"/>
          <w:rtl/>
        </w:rPr>
        <w:t>לְבַד בְּךָ נַזְכִּיר שְׁמֶךָ</w:t>
      </w:r>
      <w:r w:rsidRPr="00007309">
        <w:rPr>
          <w:rFonts w:cs="Arial" w:hint="cs"/>
          <w:b/>
          <w:bCs/>
          <w:sz w:val="24"/>
          <w:szCs w:val="24"/>
          <w:rtl/>
        </w:rPr>
        <w:t xml:space="preserve">, </w:t>
      </w:r>
      <w:r w:rsidRPr="00007309">
        <w:rPr>
          <w:rFonts w:cs="Arial"/>
          <w:b/>
          <w:bCs/>
          <w:sz w:val="24"/>
          <w:szCs w:val="24"/>
          <w:rtl/>
        </w:rPr>
        <w:t>אַף עַל גַּב דְּאִתְרְחַק</w:t>
      </w:r>
      <w:r w:rsidRPr="00007309">
        <w:rPr>
          <w:rFonts w:cs="Arial" w:hint="cs"/>
          <w:b/>
          <w:bCs/>
          <w:sz w:val="24"/>
          <w:szCs w:val="24"/>
          <w:rtl/>
        </w:rPr>
        <w:t>,</w:t>
      </w:r>
      <w:r w:rsidRPr="00007309">
        <w:rPr>
          <w:rFonts w:cs="Arial"/>
          <w:b/>
          <w:bCs/>
          <w:sz w:val="24"/>
          <w:szCs w:val="24"/>
          <w:rtl/>
        </w:rPr>
        <w:t xml:space="preserve"> הָדָא הוּא דִּכְתִיב </w:t>
      </w:r>
      <w:r w:rsidRPr="00007309">
        <w:rPr>
          <w:rFonts w:cs="Arial" w:hint="cs"/>
          <w:b/>
          <w:bCs/>
          <w:sz w:val="24"/>
          <w:szCs w:val="24"/>
          <w:rtl/>
        </w:rPr>
        <w:t xml:space="preserve">(שה"ש ח יד) </w:t>
      </w:r>
      <w:r w:rsidRPr="00007309">
        <w:rPr>
          <w:rFonts w:cs="Arial"/>
          <w:b/>
          <w:bCs/>
          <w:sz w:val="24"/>
          <w:szCs w:val="24"/>
          <w:rtl/>
        </w:rPr>
        <w:t>בְּרַח דּוֹדִי וְעִ</w:t>
      </w:r>
      <w:r w:rsidRPr="00007309">
        <w:rPr>
          <w:rFonts w:cs="Arial" w:hint="cs"/>
          <w:b/>
          <w:bCs/>
          <w:sz w:val="24"/>
          <w:szCs w:val="24"/>
          <w:rtl/>
        </w:rPr>
        <w:t>ם כ</w:t>
      </w:r>
      <w:r w:rsidRPr="00007309">
        <w:rPr>
          <w:rFonts w:cs="Arial"/>
          <w:b/>
          <w:bCs/>
          <w:sz w:val="24"/>
          <w:szCs w:val="24"/>
          <w:rtl/>
        </w:rPr>
        <w:t>ָּ</w:t>
      </w:r>
      <w:r w:rsidRPr="00007309">
        <w:rPr>
          <w:rFonts w:cs="Arial" w:hint="cs"/>
          <w:b/>
          <w:bCs/>
          <w:sz w:val="24"/>
          <w:szCs w:val="24"/>
          <w:rtl/>
        </w:rPr>
        <w:t>ל ד</w:t>
      </w:r>
      <w:r w:rsidRPr="00007309">
        <w:rPr>
          <w:rFonts w:cs="Arial"/>
          <w:b/>
          <w:bCs/>
          <w:sz w:val="24"/>
          <w:szCs w:val="24"/>
          <w:rtl/>
        </w:rPr>
        <w:t>ָּ</w:t>
      </w:r>
      <w:r w:rsidRPr="00007309">
        <w:rPr>
          <w:rFonts w:cs="Arial" w:hint="cs"/>
          <w:b/>
          <w:bCs/>
          <w:sz w:val="24"/>
          <w:szCs w:val="24"/>
          <w:rtl/>
        </w:rPr>
        <w:t>א</w:t>
      </w:r>
      <w:r w:rsidRPr="00007309">
        <w:rPr>
          <w:rFonts w:cs="Arial"/>
          <w:b/>
          <w:bCs/>
          <w:sz w:val="24"/>
          <w:szCs w:val="24"/>
          <w:rtl/>
        </w:rPr>
        <w:t xml:space="preserve"> לִבָּא דִּידָן וּפוּמָא דִּידָן לָאו אִיהוּ אִתְפְּרַשׁ מִנָּךְ כְּדִכְתִיב </w:t>
      </w:r>
      <w:r w:rsidRPr="00007309">
        <w:rPr>
          <w:rFonts w:cs="Arial" w:hint="cs"/>
          <w:b/>
          <w:bCs/>
          <w:sz w:val="24"/>
          <w:szCs w:val="24"/>
          <w:rtl/>
        </w:rPr>
        <w:t xml:space="preserve">(שם) </w:t>
      </w:r>
      <w:r w:rsidRPr="00007309">
        <w:rPr>
          <w:rFonts w:cs="Arial"/>
          <w:b/>
          <w:bCs/>
          <w:sz w:val="24"/>
          <w:szCs w:val="24"/>
          <w:rtl/>
        </w:rPr>
        <w:t xml:space="preserve">וּדְמֵה לְךָ </w:t>
      </w:r>
      <w:r w:rsidRPr="00007309">
        <w:rPr>
          <w:rFonts w:cs="Arial"/>
          <w:b/>
          <w:bCs/>
          <w:sz w:val="36"/>
          <w:szCs w:val="28"/>
          <w:vertAlign w:val="superscript"/>
          <w:rtl/>
        </w:rPr>
        <w:footnoteReference w:id="8548"/>
      </w:r>
      <w:r w:rsidRPr="00007309">
        <w:rPr>
          <w:rFonts w:cs="Arial"/>
          <w:b/>
          <w:bCs/>
          <w:sz w:val="24"/>
          <w:szCs w:val="24"/>
          <w:rtl/>
        </w:rPr>
        <w:t>לִצְבִי. כְּעָן אֲנָן מְיַחֲדִין שִׁמְךָ בְּכָל יוֹם וְאָמְרִין שְׁמַע יִשְׂרָאֵל בְּלִבָּא בְּפוּמָא וּבְמַחֲשָׁבָה. וּבְגִין דָּא</w:t>
      </w:r>
      <w:r w:rsidRPr="00007309">
        <w:rPr>
          <w:rFonts w:cs="Arial" w:hint="cs"/>
          <w:b/>
          <w:bCs/>
          <w:sz w:val="24"/>
          <w:szCs w:val="24"/>
          <w:rtl/>
        </w:rPr>
        <w:t xml:space="preserve">, </w:t>
      </w:r>
      <w:r w:rsidRPr="00007309">
        <w:rPr>
          <w:rFonts w:cs="Arial"/>
          <w:b/>
          <w:bCs/>
          <w:sz w:val="24"/>
          <w:szCs w:val="24"/>
          <w:rtl/>
        </w:rPr>
        <w:t>הִיא חֶבְרוֹן</w:t>
      </w:r>
      <w:r w:rsidRPr="00007309">
        <w:rPr>
          <w:rFonts w:cs="Arial" w:hint="cs"/>
          <w:b/>
          <w:bCs/>
          <w:sz w:val="24"/>
          <w:szCs w:val="24"/>
          <w:rtl/>
        </w:rPr>
        <w:t>,</w:t>
      </w:r>
      <w:r w:rsidRPr="00007309">
        <w:rPr>
          <w:rFonts w:cs="Arial"/>
          <w:b/>
          <w:bCs/>
          <w:sz w:val="24"/>
          <w:szCs w:val="24"/>
          <w:rtl/>
        </w:rPr>
        <w:t xml:space="preserve"> בְּגִין דִּשְׁכִינְתָּא לֹא זָזָה מִקּוּדְשָׁא בְּרִיךְ הוּא, וְיִשְׂרָאֵל מְיַחֲדִין שְׁמֵהּ בְּכָל יוֹמָא</w:t>
      </w:r>
      <w:r w:rsidRPr="00007309">
        <w:rPr>
          <w:rFonts w:cs="Arial" w:hint="cs"/>
          <w:b/>
          <w:bCs/>
          <w:sz w:val="24"/>
          <w:szCs w:val="24"/>
          <w:rtl/>
        </w:rPr>
        <w:t>,</w:t>
      </w:r>
      <w:r w:rsidRPr="00007309">
        <w:rPr>
          <w:rFonts w:cs="Arial"/>
          <w:b/>
          <w:bCs/>
          <w:sz w:val="24"/>
          <w:szCs w:val="24"/>
          <w:rtl/>
        </w:rPr>
        <w:t xml:space="preserve"> וְסָבְלִין כַּמָּה מַכְתְּשִׁין עָלֵהּ כְּמָה דְּאוֹקְמוּהּ קַדְמָאִין</w:t>
      </w:r>
      <w:r w:rsidRPr="00007309">
        <w:rPr>
          <w:rFonts w:cs="Arial"/>
          <w:b/>
          <w:bCs/>
          <w:sz w:val="24"/>
          <w:szCs w:val="24"/>
        </w:rPr>
        <w:t>:</w:t>
      </w:r>
    </w:p>
    <w:p w:rsidR="00007309" w:rsidRPr="00007309" w:rsidRDefault="00007309" w:rsidP="00007309">
      <w:pPr>
        <w:jc w:val="both"/>
        <w:rPr>
          <w:rFonts w:cs="Arial"/>
          <w:b/>
          <w:bCs/>
          <w:sz w:val="24"/>
          <w:szCs w:val="24"/>
        </w:rPr>
      </w:pPr>
      <w:r w:rsidRPr="00007309">
        <w:rPr>
          <w:rFonts w:cs="Arial"/>
          <w:b/>
          <w:bCs/>
          <w:sz w:val="24"/>
          <w:szCs w:val="24"/>
          <w:rtl/>
        </w:rPr>
        <w:t xml:space="preserve">פָּתַח רִבִּי שִׁמְעוֹן וְאָמַר. וַיִּהְיוּ חַיֵּי שָׂרָה מֵאָה שָׁנָה. אִלֵּין מֵאָה בִּרְכָּאן </w:t>
      </w:r>
      <w:r w:rsidRPr="00007309">
        <w:rPr>
          <w:rFonts w:cs="Arial"/>
          <w:b/>
          <w:bCs/>
          <w:sz w:val="36"/>
          <w:szCs w:val="28"/>
          <w:vertAlign w:val="superscript"/>
          <w:rtl/>
        </w:rPr>
        <w:footnoteReference w:id="8549"/>
      </w:r>
      <w:r w:rsidRPr="00007309">
        <w:rPr>
          <w:rFonts w:cs="Arial"/>
          <w:b/>
          <w:bCs/>
          <w:sz w:val="24"/>
          <w:szCs w:val="24"/>
          <w:rtl/>
        </w:rPr>
        <w:t xml:space="preserve">דְּאִשְׁתְּכָחוּ מֵחָכְמָה. </w:t>
      </w:r>
      <w:r w:rsidRPr="00007309">
        <w:rPr>
          <w:rFonts w:cs="Arial"/>
          <w:b/>
          <w:bCs/>
          <w:sz w:val="36"/>
          <w:szCs w:val="28"/>
          <w:vertAlign w:val="superscript"/>
          <w:rtl/>
        </w:rPr>
        <w:footnoteReference w:id="8550"/>
      </w:r>
      <w:r w:rsidRPr="00007309">
        <w:rPr>
          <w:rFonts w:cs="Arial"/>
          <w:b/>
          <w:bCs/>
          <w:sz w:val="24"/>
          <w:szCs w:val="24"/>
          <w:rtl/>
        </w:rPr>
        <w:t xml:space="preserve">וְעֶשְׂרִים שָׁנָה מִסִּטְרָא דְּכֶתֶר. </w:t>
      </w:r>
      <w:r w:rsidRPr="00007309">
        <w:rPr>
          <w:rFonts w:cs="Arial"/>
          <w:b/>
          <w:bCs/>
          <w:sz w:val="36"/>
          <w:szCs w:val="28"/>
          <w:vertAlign w:val="superscript"/>
          <w:rtl/>
        </w:rPr>
        <w:footnoteReference w:id="8551"/>
      </w:r>
      <w:r w:rsidRPr="00007309">
        <w:rPr>
          <w:rFonts w:cs="Arial"/>
          <w:b/>
          <w:bCs/>
          <w:sz w:val="24"/>
          <w:szCs w:val="24"/>
          <w:rtl/>
        </w:rPr>
        <w:t>וְשֶׁבַע שָׁנִים מִסִּטְרָא דְּאִימָּא עִלָּאָה. וַתָּמָת שָׂרָה בְּקִרְיַת אַרְבַּע דָּא קְרִיַת שְׁמַע. דְּלָא מִיתַת הַאי צַדֶּקֶת עַל יְדֵי נָחָשׁ</w:t>
      </w:r>
      <w:r w:rsidRPr="00007309">
        <w:rPr>
          <w:rFonts w:cs="Arial" w:hint="cs"/>
          <w:b/>
          <w:bCs/>
          <w:sz w:val="24"/>
          <w:szCs w:val="24"/>
          <w:rtl/>
        </w:rPr>
        <w:t xml:space="preserve">, </w:t>
      </w:r>
      <w:r w:rsidRPr="00007309">
        <w:rPr>
          <w:rFonts w:cs="Arial"/>
          <w:b/>
          <w:bCs/>
          <w:sz w:val="24"/>
          <w:szCs w:val="24"/>
          <w:rtl/>
        </w:rPr>
        <w:t xml:space="preserve">אֶלָּא נַפְקַת רוּחָא דִּילַהּ </w:t>
      </w:r>
      <w:r w:rsidRPr="00007309">
        <w:rPr>
          <w:rFonts w:cs="Arial"/>
          <w:b/>
          <w:bCs/>
          <w:sz w:val="36"/>
          <w:szCs w:val="28"/>
          <w:vertAlign w:val="superscript"/>
          <w:rtl/>
        </w:rPr>
        <w:footnoteReference w:id="8552"/>
      </w:r>
      <w:r w:rsidRPr="00007309">
        <w:rPr>
          <w:rFonts w:cs="Arial"/>
          <w:b/>
          <w:bCs/>
          <w:sz w:val="24"/>
          <w:szCs w:val="24"/>
          <w:rtl/>
        </w:rPr>
        <w:t>בִּקְרִיאַת שְׁמַע</w:t>
      </w:r>
      <w:r w:rsidRPr="00007309">
        <w:rPr>
          <w:rFonts w:cs="Arial" w:hint="cs"/>
          <w:b/>
          <w:bCs/>
          <w:sz w:val="24"/>
          <w:szCs w:val="24"/>
          <w:rtl/>
        </w:rPr>
        <w:t>,</w:t>
      </w:r>
      <w:r w:rsidRPr="00007309">
        <w:rPr>
          <w:rFonts w:cs="Arial"/>
          <w:b/>
          <w:bCs/>
          <w:sz w:val="24"/>
          <w:szCs w:val="24"/>
          <w:rtl/>
        </w:rPr>
        <w:t xml:space="preserve"> בְּאַרְבַּע אַתְוָן הִיא חֶבְרוֹן, חִבּוּרָא דְּנִשְׁמְתָא דִּילַהּ </w:t>
      </w:r>
      <w:r w:rsidRPr="00007309">
        <w:rPr>
          <w:rFonts w:cs="Arial"/>
          <w:b/>
          <w:bCs/>
          <w:sz w:val="36"/>
          <w:szCs w:val="28"/>
          <w:vertAlign w:val="superscript"/>
          <w:rtl/>
        </w:rPr>
        <w:footnoteReference w:id="8553"/>
      </w:r>
      <w:r w:rsidRPr="00007309">
        <w:rPr>
          <w:rFonts w:cs="Arial"/>
          <w:b/>
          <w:bCs/>
          <w:sz w:val="24"/>
          <w:szCs w:val="24"/>
          <w:rtl/>
        </w:rPr>
        <w:t xml:space="preserve">הִיא שְׁכִינְתָּא דְּאִיהִי קִרְיַת אַרְבַּע, ד' אַתְוָן דִּשְׁמָא קַדִּישָׁא דְּאִנּוּן י' יְהוָֹה. ה' אֱלֹהֵינוּ. ו' יְהוָֹה. ה' אֶחָד. בָּרוּךְ שֵׁם כְּבוֹד מַלְכוּתוֹ לְעוֹלָם וָעֶד </w:t>
      </w:r>
      <w:r w:rsidRPr="00007309">
        <w:rPr>
          <w:rFonts w:cs="Arial" w:hint="cs"/>
          <w:b/>
          <w:bCs/>
          <w:sz w:val="24"/>
          <w:szCs w:val="24"/>
          <w:rtl/>
        </w:rPr>
        <w:t>(</w:t>
      </w:r>
      <w:r w:rsidRPr="00007309">
        <w:rPr>
          <w:rFonts w:cs="Arial"/>
          <w:b/>
          <w:bCs/>
          <w:sz w:val="24"/>
          <w:szCs w:val="24"/>
          <w:rtl/>
        </w:rPr>
        <w:t>עכ"מ</w:t>
      </w:r>
      <w:r w:rsidRPr="00007309">
        <w:rPr>
          <w:rFonts w:cs="Arial" w:hint="cs"/>
          <w:b/>
          <w:bCs/>
          <w:sz w:val="24"/>
          <w:szCs w:val="24"/>
          <w:rtl/>
        </w:rPr>
        <w:t>)</w:t>
      </w:r>
      <w:r w:rsidRPr="00007309">
        <w:rPr>
          <w:rFonts w:cs="Arial"/>
          <w:b/>
          <w:bCs/>
          <w:sz w:val="24"/>
          <w:szCs w:val="24"/>
        </w:rPr>
        <w:t>:</w:t>
      </w:r>
    </w:p>
    <w:p w:rsidR="00007309" w:rsidRPr="00007309" w:rsidRDefault="00007309" w:rsidP="00007309">
      <w:pPr>
        <w:jc w:val="both"/>
        <w:rPr>
          <w:rFonts w:cs="Arial"/>
          <w:b/>
          <w:bCs/>
          <w:sz w:val="24"/>
          <w:szCs w:val="24"/>
          <w:rtl/>
        </w:rPr>
      </w:pPr>
      <w:r w:rsidRPr="00007309">
        <w:rPr>
          <w:rFonts w:cs="Arial"/>
          <w:b/>
          <w:bCs/>
          <w:sz w:val="24"/>
          <w:szCs w:val="24"/>
          <w:rtl/>
        </w:rPr>
        <w:t>וַיַּרְא אֵלָיו ה' וַיֹּאמֶר אַל תֵּרֵד מִצְרַיְמָה וְכוּ'. (בראשית כו</w:t>
      </w:r>
      <w:r w:rsidRPr="00007309">
        <w:rPr>
          <w:rFonts w:cs="Arial" w:hint="cs"/>
          <w:b/>
          <w:bCs/>
          <w:sz w:val="24"/>
          <w:szCs w:val="24"/>
          <w:rtl/>
        </w:rPr>
        <w:t xml:space="preserve"> ב</w:t>
      </w:r>
      <w:r w:rsidRPr="00007309">
        <w:rPr>
          <w:rFonts w:cs="Arial"/>
          <w:b/>
          <w:bCs/>
          <w:sz w:val="24"/>
          <w:szCs w:val="24"/>
          <w:rtl/>
        </w:rPr>
        <w:t xml:space="preserve">) פָּתַח רִבִּי שִׁמְעוֹן וְאָמַר וַיֵּרָא אֵלָיו ה', </w:t>
      </w:r>
      <w:r w:rsidRPr="00007309">
        <w:rPr>
          <w:rFonts w:cs="Arial"/>
          <w:b/>
          <w:bCs/>
          <w:sz w:val="36"/>
          <w:szCs w:val="28"/>
          <w:vertAlign w:val="superscript"/>
          <w:rtl/>
        </w:rPr>
        <w:footnoteReference w:id="8554"/>
      </w:r>
      <w:r w:rsidRPr="00007309">
        <w:rPr>
          <w:rFonts w:cs="Arial"/>
          <w:b/>
          <w:bCs/>
          <w:sz w:val="24"/>
          <w:szCs w:val="24"/>
          <w:rtl/>
        </w:rPr>
        <w:t xml:space="preserve">מִסִּטְרָא דְּאַסְפַּקְלַרְיָא דְּנַהֲרָא הָכֵי אִיהוּ, ה' בְּכָל סְפִירָה וּסְפִירָה כְּנִשְׁמְתָא בְּגוּפָא דְּבַר נָשׁ. </w:t>
      </w:r>
      <w:r w:rsidRPr="00007309">
        <w:rPr>
          <w:rFonts w:cs="Arial"/>
          <w:b/>
          <w:bCs/>
          <w:sz w:val="36"/>
          <w:szCs w:val="28"/>
          <w:vertAlign w:val="superscript"/>
          <w:rtl/>
        </w:rPr>
        <w:footnoteReference w:id="8555"/>
      </w:r>
      <w:r w:rsidRPr="00007309">
        <w:rPr>
          <w:rFonts w:cs="Arial"/>
          <w:b/>
          <w:bCs/>
          <w:sz w:val="24"/>
          <w:szCs w:val="24"/>
          <w:rtl/>
        </w:rPr>
        <w:t xml:space="preserve">וּמִסִּטְרָא דְּעַמּוּדָא דְּאֶמְצָעִיתָא אִתְּמַר וַיֵּרָא אֵלָיו ה', אִתְגַּלֵּי בְּרַחֲמֵי לְיִשְׂרָאֵל כְּגַוְנָא דְּאִתְגְּלֵי לוֹן בְּפֻרְקָנָא דְּגָלוּתָא דְּמִצְרַיִם דְּאִתְּמַר בֵּהּ </w:t>
      </w:r>
      <w:r w:rsidRPr="00007309">
        <w:rPr>
          <w:rFonts w:cs="Arial"/>
          <w:b/>
          <w:bCs/>
          <w:sz w:val="36"/>
          <w:szCs w:val="28"/>
          <w:vertAlign w:val="superscript"/>
          <w:rtl/>
        </w:rPr>
        <w:footnoteReference w:id="8556"/>
      </w:r>
      <w:r w:rsidRPr="00007309">
        <w:rPr>
          <w:rFonts w:cs="Arial"/>
          <w:b/>
          <w:bCs/>
          <w:sz w:val="24"/>
          <w:szCs w:val="24"/>
          <w:rtl/>
        </w:rPr>
        <w:t>אֲנִי וְלֹא מַלְאָךְ אֲנִי וְלֹא שָׂרָף</w:t>
      </w:r>
      <w:r w:rsidRPr="00007309">
        <w:rPr>
          <w:rFonts w:cs="Arial" w:hint="cs"/>
          <w:b/>
          <w:bCs/>
          <w:sz w:val="24"/>
          <w:szCs w:val="24"/>
          <w:rtl/>
        </w:rPr>
        <w:t xml:space="preserve"> (הגדה של פסח)</w:t>
      </w:r>
      <w:r w:rsidRPr="00007309">
        <w:rPr>
          <w:rFonts w:cs="Arial"/>
          <w:b/>
          <w:bCs/>
          <w:sz w:val="24"/>
          <w:szCs w:val="24"/>
          <w:rtl/>
        </w:rPr>
        <w:t xml:space="preserve">. </w:t>
      </w:r>
    </w:p>
    <w:p w:rsidR="00007309" w:rsidRPr="00007309" w:rsidRDefault="00007309" w:rsidP="00007309">
      <w:pPr>
        <w:jc w:val="both"/>
        <w:rPr>
          <w:rFonts w:cs="Arial"/>
          <w:b/>
          <w:bCs/>
          <w:sz w:val="24"/>
          <w:szCs w:val="24"/>
          <w:rtl/>
        </w:rPr>
      </w:pPr>
      <w:r w:rsidRPr="00007309">
        <w:rPr>
          <w:rFonts w:cs="Arial"/>
          <w:b/>
          <w:bCs/>
          <w:sz w:val="24"/>
          <w:szCs w:val="24"/>
          <w:rtl/>
        </w:rPr>
        <w:t>אַדְּהָכֵי הָא סָבָא דְּסָבִין אִזְדְּמַן לְגַבֵּי</w:t>
      </w:r>
      <w:r w:rsidRPr="00007309">
        <w:rPr>
          <w:rFonts w:cs="Arial" w:hint="cs"/>
          <w:b/>
          <w:bCs/>
          <w:sz w:val="24"/>
          <w:szCs w:val="24"/>
          <w:rtl/>
        </w:rPr>
        <w:t>ה</w:t>
      </w:r>
      <w:r w:rsidRPr="00007309">
        <w:rPr>
          <w:rFonts w:cs="Arial"/>
          <w:b/>
          <w:bCs/>
          <w:sz w:val="24"/>
          <w:szCs w:val="24"/>
          <w:rtl/>
        </w:rPr>
        <w:t xml:space="preserve"> וְאָמַר, בּוּצִינָא קַדִּישָׁא </w:t>
      </w:r>
      <w:r w:rsidRPr="00007309">
        <w:rPr>
          <w:rFonts w:cs="Arial"/>
          <w:b/>
          <w:bCs/>
          <w:sz w:val="36"/>
          <w:szCs w:val="28"/>
          <w:vertAlign w:val="superscript"/>
          <w:rtl/>
        </w:rPr>
        <w:footnoteReference w:id="8557"/>
      </w:r>
      <w:r w:rsidRPr="00007309">
        <w:rPr>
          <w:rFonts w:cs="Arial"/>
          <w:b/>
          <w:bCs/>
          <w:sz w:val="24"/>
          <w:szCs w:val="24"/>
          <w:rtl/>
        </w:rPr>
        <w:t xml:space="preserve">מִסִּטְרָא דִּנְבוּאָה כָּל סְפִירָן אִתְכְּלִילָן תַּמָּן. </w:t>
      </w:r>
      <w:r w:rsidRPr="00007309">
        <w:rPr>
          <w:rFonts w:cs="Arial"/>
          <w:b/>
          <w:bCs/>
          <w:sz w:val="36"/>
          <w:szCs w:val="28"/>
          <w:vertAlign w:val="superscript"/>
          <w:rtl/>
        </w:rPr>
        <w:footnoteReference w:id="8558"/>
      </w:r>
      <w:r w:rsidRPr="00007309">
        <w:rPr>
          <w:rFonts w:cs="Arial"/>
          <w:b/>
          <w:bCs/>
          <w:sz w:val="24"/>
          <w:szCs w:val="24"/>
          <w:rtl/>
        </w:rPr>
        <w:t>אֲבָל שֵׁם יְ"יָ הוּא בְּכָל אֲתַר וַדַּאי</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559"/>
      </w:r>
      <w:r w:rsidRPr="00007309">
        <w:rPr>
          <w:rFonts w:cs="Arial"/>
          <w:b/>
          <w:bCs/>
          <w:sz w:val="24"/>
          <w:szCs w:val="24"/>
          <w:rtl/>
        </w:rPr>
        <w:t>אֲבָל נְבוּאָה דַּרְגָּא יְדִיעָה אִית לָהּ. וְהָכֵי צְלוֹתָא כָּל סְפִירָן אִתְכְּלִילָן בָּהּ</w:t>
      </w:r>
      <w:r w:rsidRPr="00007309">
        <w:rPr>
          <w:rFonts w:cs="Arial" w:hint="cs"/>
          <w:b/>
          <w:bCs/>
          <w:sz w:val="24"/>
          <w:szCs w:val="24"/>
          <w:rtl/>
        </w:rPr>
        <w:t>,</w:t>
      </w:r>
      <w:r w:rsidRPr="00007309">
        <w:rPr>
          <w:rFonts w:cs="Arial"/>
          <w:b/>
          <w:bCs/>
          <w:sz w:val="24"/>
          <w:szCs w:val="24"/>
          <w:rtl/>
        </w:rPr>
        <w:t xml:space="preserve"> אֲבָל דַּרְגָּא יְדִיעָא אִית לָהּ</w:t>
      </w:r>
      <w:r w:rsidRPr="00007309">
        <w:rPr>
          <w:rFonts w:cs="Arial" w:hint="cs"/>
          <w:b/>
          <w:bCs/>
          <w:sz w:val="24"/>
          <w:szCs w:val="24"/>
          <w:rtl/>
        </w:rPr>
        <w:t>.</w:t>
      </w:r>
      <w:r w:rsidRPr="00007309">
        <w:rPr>
          <w:rFonts w:cs="Arial"/>
          <w:b/>
          <w:bCs/>
          <w:sz w:val="24"/>
          <w:szCs w:val="24"/>
          <w:rtl/>
        </w:rPr>
        <w:t xml:space="preserve"> וְהָכֵי בְּכָל אִנּוּן פִּקּוּדַ</w:t>
      </w:r>
      <w:r w:rsidRPr="00007309">
        <w:rPr>
          <w:rFonts w:cs="Arial" w:hint="cs"/>
          <w:b/>
          <w:bCs/>
          <w:sz w:val="24"/>
          <w:szCs w:val="24"/>
          <w:rtl/>
        </w:rPr>
        <w:t>י</w:t>
      </w:r>
      <w:r w:rsidRPr="00007309">
        <w:rPr>
          <w:rFonts w:cs="Arial"/>
          <w:b/>
          <w:bCs/>
          <w:sz w:val="24"/>
          <w:szCs w:val="24"/>
          <w:rtl/>
        </w:rPr>
        <w:t>ָא</w:t>
      </w:r>
      <w:r w:rsidRPr="00007309">
        <w:rPr>
          <w:rFonts w:cs="Arial" w:hint="cs"/>
          <w:b/>
          <w:bCs/>
          <w:sz w:val="24"/>
          <w:szCs w:val="24"/>
          <w:rtl/>
        </w:rPr>
        <w:t>,</w:t>
      </w:r>
      <w:r w:rsidRPr="00007309">
        <w:rPr>
          <w:rFonts w:cs="Arial"/>
          <w:b/>
          <w:bCs/>
          <w:sz w:val="24"/>
          <w:szCs w:val="24"/>
          <w:rtl/>
        </w:rPr>
        <w:t xml:space="preserve"> כָּל פִּקּוּדָא וּפִקּוּדָא כָּל סְפִירָן אִתְכְּלִילָן בָּהּ</w:t>
      </w:r>
      <w:r w:rsidRPr="00007309">
        <w:rPr>
          <w:rFonts w:cs="Arial" w:hint="cs"/>
          <w:b/>
          <w:bCs/>
          <w:sz w:val="24"/>
          <w:szCs w:val="24"/>
          <w:rtl/>
        </w:rPr>
        <w:t>,</w:t>
      </w:r>
      <w:r w:rsidRPr="00007309">
        <w:rPr>
          <w:rFonts w:cs="Arial"/>
          <w:b/>
          <w:bCs/>
          <w:sz w:val="24"/>
          <w:szCs w:val="24"/>
          <w:rtl/>
        </w:rPr>
        <w:t xml:space="preserve"> אֲבָל כָּל חֲדָא וַחֲדָא אִית לָהּ דַּרְגָּא יְדִיעָה</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560"/>
      </w:r>
      <w:r w:rsidRPr="00007309">
        <w:rPr>
          <w:rFonts w:cs="Arial"/>
          <w:b/>
          <w:bCs/>
          <w:sz w:val="24"/>
          <w:szCs w:val="24"/>
          <w:rtl/>
        </w:rPr>
        <w:t>וּשְׁכִינְתָּא אִיהִי מִצְוָה דְּכֻלְּהוּ פִּקּוּדִין</w:t>
      </w:r>
      <w:r w:rsidRPr="00007309">
        <w:rPr>
          <w:rFonts w:cs="Arial" w:hint="cs"/>
          <w:b/>
          <w:bCs/>
          <w:sz w:val="24"/>
          <w:szCs w:val="24"/>
          <w:rtl/>
        </w:rPr>
        <w:t>,</w:t>
      </w:r>
      <w:r w:rsidRPr="00007309">
        <w:rPr>
          <w:rFonts w:cs="Arial"/>
          <w:b/>
          <w:bCs/>
          <w:sz w:val="24"/>
          <w:szCs w:val="24"/>
          <w:rtl/>
        </w:rPr>
        <w:t xml:space="preserve"> וּבַהּ אִתְכְּלִילָן כֻּלְּהוּ</w:t>
      </w:r>
      <w:r w:rsidRPr="00007309">
        <w:rPr>
          <w:rFonts w:cs="Arial" w:hint="cs"/>
          <w:b/>
          <w:bCs/>
          <w:sz w:val="24"/>
          <w:szCs w:val="24"/>
          <w:rtl/>
        </w:rPr>
        <w:t>.</w:t>
      </w:r>
      <w:r w:rsidRPr="00007309">
        <w:rPr>
          <w:rFonts w:cs="Arial"/>
          <w:b/>
          <w:bCs/>
          <w:sz w:val="24"/>
          <w:szCs w:val="24"/>
          <w:rtl/>
        </w:rPr>
        <w:t xml:space="preserve"> </w:t>
      </w:r>
    </w:p>
    <w:p w:rsidR="00007309" w:rsidRPr="00007309" w:rsidRDefault="00007309" w:rsidP="00007309">
      <w:pPr>
        <w:keepNext/>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[וילנא מו ע"ב]</w:t>
      </w:r>
    </w:p>
    <w:p w:rsidR="00007309" w:rsidRPr="00007309" w:rsidRDefault="00007309" w:rsidP="00007309">
      <w:pPr>
        <w:jc w:val="both"/>
        <w:rPr>
          <w:rFonts w:cs="Arial"/>
          <w:b/>
          <w:bCs/>
          <w:sz w:val="24"/>
          <w:szCs w:val="24"/>
          <w:rtl/>
        </w:rPr>
      </w:pPr>
      <w:r w:rsidRPr="00007309">
        <w:rPr>
          <w:rFonts w:cs="Arial"/>
          <w:b/>
          <w:bCs/>
          <w:sz w:val="36"/>
          <w:szCs w:val="28"/>
          <w:vertAlign w:val="superscript"/>
          <w:rtl/>
        </w:rPr>
        <w:footnoteReference w:id="8561"/>
      </w:r>
      <w:r w:rsidRPr="00007309">
        <w:rPr>
          <w:rFonts w:cs="Arial"/>
          <w:b/>
          <w:bCs/>
          <w:sz w:val="24"/>
          <w:szCs w:val="24"/>
          <w:rtl/>
        </w:rPr>
        <w:t xml:space="preserve">נְבִיאִים וַדַּאי נֶצַח וָהוֹד, </w:t>
      </w:r>
      <w:r w:rsidRPr="00007309">
        <w:rPr>
          <w:rFonts w:cs="Arial"/>
          <w:b/>
          <w:bCs/>
          <w:sz w:val="36"/>
          <w:szCs w:val="28"/>
          <w:vertAlign w:val="superscript"/>
          <w:rtl/>
        </w:rPr>
        <w:footnoteReference w:id="8562"/>
      </w:r>
      <w:r w:rsidRPr="00007309">
        <w:rPr>
          <w:rFonts w:cs="Arial"/>
          <w:b/>
          <w:bCs/>
          <w:sz w:val="24"/>
          <w:szCs w:val="24"/>
          <w:rtl/>
        </w:rPr>
        <w:t>וּבְהוֹן אִתְכְּלִילָן עַמּוּדָא דְּאֶמְצָעִיתָא וּשְׁכִינְתָּא. עַמּוּדָא דְּאֶמְצָעִיתָא מִתַּמָּן אִתְקְרֵי אַסְפַּקְלַרְיָא דְּנַהֲרָא</w:t>
      </w:r>
      <w:r w:rsidRPr="00007309">
        <w:rPr>
          <w:rFonts w:cs="Arial" w:hint="cs"/>
          <w:b/>
          <w:bCs/>
          <w:sz w:val="24"/>
          <w:szCs w:val="24"/>
          <w:rtl/>
        </w:rPr>
        <w:t>,</w:t>
      </w:r>
      <w:r w:rsidRPr="00007309">
        <w:rPr>
          <w:rFonts w:cs="Arial"/>
          <w:b/>
          <w:bCs/>
          <w:sz w:val="24"/>
          <w:szCs w:val="24"/>
          <w:rtl/>
        </w:rPr>
        <w:t xml:space="preserve"> דְּנֶצַח דְּבֵהּ אִיהוּ אוֹר צַח</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563"/>
      </w:r>
      <w:r w:rsidRPr="00007309">
        <w:rPr>
          <w:rFonts w:cs="Arial"/>
          <w:b/>
          <w:bCs/>
          <w:sz w:val="24"/>
          <w:szCs w:val="24"/>
          <w:rtl/>
        </w:rPr>
        <w:t xml:space="preserve">וּבְגִינֵהּ אִתְּמַר </w:t>
      </w:r>
      <w:r w:rsidRPr="00007309">
        <w:rPr>
          <w:rFonts w:cs="Arial" w:hint="cs"/>
          <w:b/>
          <w:bCs/>
          <w:sz w:val="24"/>
          <w:szCs w:val="24"/>
          <w:rtl/>
        </w:rPr>
        <w:t xml:space="preserve">(ישעיה נח יא) </w:t>
      </w:r>
      <w:r w:rsidRPr="00007309">
        <w:rPr>
          <w:rFonts w:cs="Arial"/>
          <w:b/>
          <w:bCs/>
          <w:sz w:val="24"/>
          <w:szCs w:val="24"/>
          <w:rtl/>
        </w:rPr>
        <w:t>וְהִשְׂבִּיעַ בְּצַחְצָחוֹת נַפְשֶׁךָ. שְׁכִינְתָּא דְּאִיהִי מַלְכוּתָא קַדִּישָׁא</w:t>
      </w:r>
      <w:r w:rsidRPr="00007309">
        <w:rPr>
          <w:rFonts w:cs="Arial" w:hint="cs"/>
          <w:b/>
          <w:bCs/>
          <w:sz w:val="24"/>
          <w:szCs w:val="24"/>
          <w:rtl/>
        </w:rPr>
        <w:t>,</w:t>
      </w:r>
      <w:r w:rsidRPr="00007309">
        <w:rPr>
          <w:rFonts w:cs="Arial"/>
          <w:b/>
          <w:bCs/>
          <w:sz w:val="24"/>
          <w:szCs w:val="24"/>
          <w:rtl/>
        </w:rPr>
        <w:t xml:space="preserve"> מִסִּטְרָא דְּהוֹד אִתְקְרִיאַת אַסְפַּקְלַרְיָא דְּלָא נַהֲרָא. </w:t>
      </w:r>
      <w:r w:rsidRPr="00007309">
        <w:rPr>
          <w:rFonts w:cs="Arial"/>
          <w:b/>
          <w:bCs/>
          <w:sz w:val="36"/>
          <w:szCs w:val="28"/>
          <w:vertAlign w:val="superscript"/>
          <w:rtl/>
        </w:rPr>
        <w:footnoteReference w:id="8564"/>
      </w:r>
      <w:r w:rsidRPr="00007309">
        <w:rPr>
          <w:rFonts w:cs="Arial"/>
          <w:b/>
          <w:bCs/>
          <w:sz w:val="24"/>
          <w:szCs w:val="24"/>
          <w:rtl/>
        </w:rPr>
        <w:t xml:space="preserve">וְאִנּוּן כְּתוּבִים </w:t>
      </w:r>
      <w:r w:rsidRPr="00007309">
        <w:rPr>
          <w:rFonts w:cs="Arial"/>
          <w:b/>
          <w:bCs/>
          <w:sz w:val="36"/>
          <w:szCs w:val="28"/>
          <w:vertAlign w:val="superscript"/>
          <w:rtl/>
        </w:rPr>
        <w:footnoteReference w:id="8565"/>
      </w:r>
      <w:r w:rsidRPr="00007309">
        <w:rPr>
          <w:rFonts w:cs="Arial"/>
          <w:b/>
          <w:bCs/>
          <w:sz w:val="24"/>
          <w:szCs w:val="24"/>
          <w:rtl/>
        </w:rPr>
        <w:t xml:space="preserve">מִזֶּה וּמִזֶּה. </w:t>
      </w:r>
      <w:r w:rsidRPr="00007309">
        <w:rPr>
          <w:rFonts w:cs="Arial"/>
          <w:b/>
          <w:bCs/>
          <w:sz w:val="36"/>
          <w:szCs w:val="28"/>
          <w:vertAlign w:val="superscript"/>
          <w:rtl/>
        </w:rPr>
        <w:footnoteReference w:id="8566"/>
      </w:r>
      <w:r w:rsidRPr="00007309">
        <w:rPr>
          <w:rFonts w:cs="Arial"/>
          <w:b/>
          <w:bCs/>
          <w:sz w:val="24"/>
          <w:szCs w:val="24"/>
          <w:rtl/>
        </w:rPr>
        <w:t xml:space="preserve">וּכְתִיב בּוֹ </w:t>
      </w:r>
      <w:r w:rsidRPr="00007309">
        <w:rPr>
          <w:rFonts w:cs="Arial" w:hint="cs"/>
          <w:b/>
          <w:bCs/>
          <w:sz w:val="24"/>
          <w:szCs w:val="24"/>
          <w:rtl/>
        </w:rPr>
        <w:t xml:space="preserve">(שמות לב טו) </w:t>
      </w:r>
      <w:r w:rsidRPr="00007309">
        <w:rPr>
          <w:rFonts w:cs="Arial"/>
          <w:b/>
          <w:bCs/>
          <w:sz w:val="24"/>
          <w:szCs w:val="24"/>
          <w:rtl/>
        </w:rPr>
        <w:t>מִשְּׁנֵי עֶבְרֵיהֶם</w:t>
      </w:r>
      <w:r w:rsidRPr="00007309">
        <w:rPr>
          <w:rFonts w:cs="Arial" w:hint="cs"/>
          <w:b/>
          <w:bCs/>
          <w:sz w:val="24"/>
          <w:szCs w:val="24"/>
          <w:rtl/>
        </w:rPr>
        <w:t>,</w:t>
      </w:r>
      <w:r w:rsidRPr="00007309">
        <w:rPr>
          <w:rFonts w:cs="Arial"/>
          <w:b/>
          <w:bCs/>
          <w:sz w:val="24"/>
          <w:szCs w:val="24"/>
          <w:rtl/>
        </w:rPr>
        <w:t xml:space="preserve"> וְאִנּוּן יְמִינָא וּשְׂמָאלָא</w:t>
      </w:r>
      <w:r w:rsidRPr="00007309">
        <w:rPr>
          <w:rFonts w:cs="Arial" w:hint="cs"/>
          <w:b/>
          <w:bCs/>
          <w:sz w:val="24"/>
          <w:szCs w:val="24"/>
          <w:rtl/>
        </w:rPr>
        <w:t>,</w:t>
      </w:r>
      <w:r w:rsidRPr="00007309">
        <w:rPr>
          <w:rFonts w:cs="Arial"/>
          <w:b/>
          <w:bCs/>
          <w:sz w:val="24"/>
          <w:szCs w:val="24"/>
          <w:rtl/>
        </w:rPr>
        <w:t xml:space="preserve"> חֶסֶד וּגְבוּרָה</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567"/>
      </w:r>
      <w:r w:rsidRPr="00007309">
        <w:rPr>
          <w:rFonts w:cs="Arial"/>
          <w:b/>
          <w:bCs/>
          <w:sz w:val="24"/>
          <w:szCs w:val="24"/>
          <w:rtl/>
        </w:rPr>
        <w:t xml:space="preserve">דִּי בְּהוֹן תְּרֵין יוּדִין (נראה ידין) לְמִכְתַּב. </w:t>
      </w:r>
      <w:r w:rsidRPr="00007309">
        <w:rPr>
          <w:rFonts w:cs="Arial"/>
          <w:b/>
          <w:bCs/>
          <w:sz w:val="36"/>
          <w:szCs w:val="28"/>
          <w:vertAlign w:val="superscript"/>
          <w:rtl/>
        </w:rPr>
        <w:footnoteReference w:id="8568"/>
      </w:r>
      <w:r w:rsidRPr="00007309">
        <w:rPr>
          <w:rFonts w:cs="Arial"/>
          <w:b/>
          <w:bCs/>
          <w:sz w:val="24"/>
          <w:szCs w:val="24"/>
          <w:rtl/>
        </w:rPr>
        <w:t>וְאִנּוּן ה' ה'</w:t>
      </w:r>
      <w:r w:rsidRPr="00007309">
        <w:rPr>
          <w:rFonts w:cs="Arial" w:hint="cs"/>
          <w:b/>
          <w:bCs/>
          <w:sz w:val="24"/>
          <w:szCs w:val="24"/>
          <w:rtl/>
        </w:rPr>
        <w:t>,</w:t>
      </w:r>
      <w:r w:rsidRPr="00007309">
        <w:rPr>
          <w:rFonts w:cs="Arial"/>
          <w:b/>
          <w:bCs/>
          <w:sz w:val="24"/>
          <w:szCs w:val="24"/>
          <w:rtl/>
        </w:rPr>
        <w:t xml:space="preserve"> חָמֵשׁ אֶצְבְּעָן דְּיַד יְמִינָא וְחָמֵשׁ אֶצְבְּעָן דְּיָד שְׂמָאלָא. </w:t>
      </w:r>
      <w:r w:rsidRPr="00007309">
        <w:rPr>
          <w:rFonts w:cs="Arial"/>
          <w:b/>
          <w:bCs/>
          <w:sz w:val="36"/>
          <w:szCs w:val="28"/>
          <w:vertAlign w:val="superscript"/>
          <w:rtl/>
        </w:rPr>
        <w:footnoteReference w:id="8569"/>
      </w:r>
      <w:r w:rsidRPr="00007309">
        <w:rPr>
          <w:rFonts w:cs="Arial"/>
          <w:b/>
          <w:bCs/>
          <w:sz w:val="24"/>
          <w:szCs w:val="24"/>
          <w:rtl/>
        </w:rPr>
        <w:t>רוּחָא דְּקֻדְשָׁא ו' אִיהוּ תּוֹרָה</w:t>
      </w:r>
      <w:r w:rsidRPr="00007309">
        <w:rPr>
          <w:rFonts w:cs="Arial" w:hint="cs"/>
          <w:b/>
          <w:bCs/>
          <w:sz w:val="24"/>
          <w:szCs w:val="24"/>
          <w:rtl/>
        </w:rPr>
        <w:t xml:space="preserve"> </w:t>
      </w:r>
      <w:r w:rsidRPr="00007309">
        <w:rPr>
          <w:rFonts w:cs="Arial"/>
          <w:b/>
          <w:bCs/>
          <w:sz w:val="24"/>
          <w:szCs w:val="24"/>
          <w:rtl/>
        </w:rPr>
        <w:t>בִּכְתָב עָלַיְהוּ</w:t>
      </w:r>
      <w:r w:rsidRPr="00007309">
        <w:rPr>
          <w:rFonts w:cs="Arial" w:hint="cs"/>
          <w:b/>
          <w:bCs/>
          <w:sz w:val="24"/>
          <w:szCs w:val="24"/>
          <w:rtl/>
        </w:rPr>
        <w:t>,</w:t>
      </w:r>
      <w:r w:rsidRPr="00007309">
        <w:rPr>
          <w:rFonts w:cs="Arial"/>
          <w:b/>
          <w:bCs/>
          <w:sz w:val="24"/>
          <w:szCs w:val="24"/>
          <w:rtl/>
        </w:rPr>
        <w:t xml:space="preserve"> ה"ה ו</w:t>
      </w:r>
      <w:r w:rsidRPr="00007309">
        <w:rPr>
          <w:rFonts w:cs="Arial" w:hint="cs"/>
          <w:b/>
          <w:bCs/>
          <w:sz w:val="24"/>
          <w:szCs w:val="24"/>
          <w:rtl/>
        </w:rPr>
        <w:t>',</w:t>
      </w:r>
      <w:r w:rsidRPr="00007309">
        <w:rPr>
          <w:rFonts w:cs="Arial"/>
          <w:b/>
          <w:bCs/>
          <w:sz w:val="24"/>
          <w:szCs w:val="24"/>
        </w:rPr>
        <w:t xml:space="preserve"> </w:t>
      </w:r>
      <w:r w:rsidRPr="00007309">
        <w:rPr>
          <w:rFonts w:cs="Arial"/>
          <w:b/>
          <w:bCs/>
          <w:sz w:val="24"/>
          <w:szCs w:val="24"/>
          <w:rtl/>
        </w:rPr>
        <w:t>וְעִם י' דְּהִיא חָכְמָה אִתְעֲבִידַת יהו'ה</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570"/>
      </w:r>
      <w:r w:rsidRPr="00007309">
        <w:rPr>
          <w:rFonts w:cs="Arial"/>
          <w:b/>
          <w:bCs/>
          <w:sz w:val="24"/>
          <w:szCs w:val="24"/>
          <w:rtl/>
        </w:rPr>
        <w:t xml:space="preserve">וְאִנּוּן נֶצַח וָהוֹד תְּרֵין נְבִיאֵי, תְּרֵין כְּתוּבִים, </w:t>
      </w:r>
      <w:r w:rsidRPr="00007309">
        <w:rPr>
          <w:rFonts w:ascii="Cambria" w:hAnsi="Cambria" w:cs="Times New Roman"/>
          <w:b/>
          <w:bCs/>
          <w:i/>
          <w:iCs/>
          <w:color w:val="4F81BD"/>
          <w:sz w:val="24"/>
          <w:szCs w:val="24"/>
          <w:rtl/>
        </w:rPr>
        <w:t>(</w:t>
      </w:r>
      <w:r w:rsidRPr="00007309">
        <w:rPr>
          <w:rFonts w:ascii="Cambria" w:hAnsi="Cambria" w:cs="Times New Roman" w:hint="cs"/>
          <w:b/>
          <w:bCs/>
          <w:i/>
          <w:iCs/>
          <w:color w:val="4F81BD"/>
          <w:sz w:val="24"/>
          <w:szCs w:val="24"/>
          <w:rtl/>
        </w:rPr>
        <w:t>וילנא מו</w:t>
      </w:r>
      <w:r w:rsidRPr="00007309">
        <w:rPr>
          <w:rFonts w:ascii="Cambria" w:hAnsi="Cambria" w:cs="Times New Roman"/>
          <w:b/>
          <w:bCs/>
          <w:i/>
          <w:iCs/>
          <w:color w:val="4F81BD"/>
          <w:sz w:val="24"/>
          <w:szCs w:val="24"/>
          <w:rtl/>
        </w:rPr>
        <w:t xml:space="preserve"> ע"</w:t>
      </w:r>
      <w:r w:rsidRPr="00007309">
        <w:rPr>
          <w:rFonts w:ascii="Cambria" w:hAnsi="Cambria" w:cs="Times New Roman" w:hint="cs"/>
          <w:b/>
          <w:bCs/>
          <w:i/>
          <w:iCs/>
          <w:color w:val="4F81BD"/>
          <w:sz w:val="24"/>
          <w:szCs w:val="24"/>
          <w:rtl/>
        </w:rPr>
        <w:t>ב</w:t>
      </w:r>
      <w:r w:rsidRPr="00007309">
        <w:rPr>
          <w:rFonts w:ascii="Cambria" w:hAnsi="Cambria" w:cs="Times New Roman"/>
          <w:b/>
          <w:bCs/>
          <w:i/>
          <w:iCs/>
          <w:color w:val="4F81BD"/>
          <w:sz w:val="24"/>
          <w:szCs w:val="24"/>
          <w:rtl/>
        </w:rPr>
        <w:t>)</w:t>
      </w:r>
      <w:r w:rsidRPr="00007309">
        <w:rPr>
          <w:rFonts w:cs="Arial"/>
          <w:b/>
          <w:bCs/>
          <w:sz w:val="24"/>
          <w:szCs w:val="24"/>
          <w:rtl/>
        </w:rPr>
        <w:t xml:space="preserve"> תְּרֵין לוּחִין דְּאוֹרַיְתָא דְּאִתְיְהִיבוּ מִימִינָא וּשְׂמָאלָא. עַמּוּדָא דְּאֶמְצָעִיתָא אִיהוּ אוֹרַיְתָא דְּבִכְתָב מִימִינָא</w:t>
      </w:r>
      <w:r w:rsidRPr="00007309">
        <w:rPr>
          <w:rFonts w:cs="Arial" w:hint="cs"/>
          <w:b/>
          <w:bCs/>
          <w:sz w:val="24"/>
          <w:szCs w:val="24"/>
          <w:rtl/>
        </w:rPr>
        <w:t>,</w:t>
      </w:r>
      <w:r w:rsidRPr="00007309">
        <w:rPr>
          <w:rFonts w:cs="Arial"/>
          <w:b/>
          <w:bCs/>
          <w:sz w:val="24"/>
          <w:szCs w:val="24"/>
          <w:rtl/>
        </w:rPr>
        <w:t xml:space="preserve"> מַלְכוּת אוֹרַיְתָא דִּבְעַל פֶּה מִשְּמָאלָא</w:t>
      </w:r>
      <w:r w:rsidRPr="00007309">
        <w:rPr>
          <w:rFonts w:cs="Arial" w:hint="cs"/>
          <w:b/>
          <w:bCs/>
          <w:sz w:val="24"/>
          <w:szCs w:val="24"/>
          <w:rtl/>
        </w:rPr>
        <w:t>.</w:t>
      </w:r>
      <w:r w:rsidRPr="00007309">
        <w:rPr>
          <w:rFonts w:cs="Arial"/>
          <w:b/>
          <w:bCs/>
          <w:sz w:val="24"/>
          <w:szCs w:val="24"/>
          <w:rtl/>
        </w:rPr>
        <w:t xml:space="preserve"> וְאִיהוּ אַסְפַּקְלַרְיָא דְּנַהֲרָא מִימִינָא</w:t>
      </w:r>
      <w:r w:rsidRPr="00007309">
        <w:rPr>
          <w:rFonts w:cs="Arial" w:hint="cs"/>
          <w:b/>
          <w:bCs/>
          <w:sz w:val="24"/>
          <w:szCs w:val="24"/>
          <w:rtl/>
        </w:rPr>
        <w:t>,</w:t>
      </w:r>
      <w:r w:rsidRPr="00007309">
        <w:rPr>
          <w:rFonts w:cs="Arial"/>
          <w:b/>
          <w:bCs/>
          <w:sz w:val="24"/>
          <w:szCs w:val="24"/>
          <w:rtl/>
        </w:rPr>
        <w:t xml:space="preserve"> וְאִיהִי אַסְפַּקְלַרְיָא דְּלָא נַהֲרָא מִשְּמָאלָא. וְאִנּוּן רוּחָא דְּקֻדְשָׁא דְּכָר וְנוּקְבָא. </w:t>
      </w:r>
      <w:r w:rsidRPr="00007309">
        <w:rPr>
          <w:rFonts w:cs="Arial"/>
          <w:b/>
          <w:bCs/>
          <w:sz w:val="36"/>
          <w:szCs w:val="28"/>
          <w:vertAlign w:val="superscript"/>
          <w:rtl/>
        </w:rPr>
        <w:footnoteReference w:id="8571"/>
      </w:r>
      <w:r w:rsidRPr="00007309">
        <w:rPr>
          <w:rFonts w:cs="Arial"/>
          <w:b/>
          <w:bCs/>
          <w:sz w:val="24"/>
          <w:szCs w:val="24"/>
          <w:rtl/>
        </w:rPr>
        <w:t>מִסִּטְרָא דְּצַדִּיק מִתְחַבְּרָן עַמּוּדָא דְּאֶמְצָעִיתָא וּשְׁכִינְתָּא</w:t>
      </w:r>
      <w:r w:rsidRPr="00007309">
        <w:rPr>
          <w:rFonts w:cs="Arial" w:hint="cs"/>
          <w:b/>
          <w:bCs/>
          <w:sz w:val="24"/>
          <w:szCs w:val="24"/>
          <w:rtl/>
        </w:rPr>
        <w:t xml:space="preserve">, </w:t>
      </w:r>
      <w:r w:rsidRPr="00007309">
        <w:rPr>
          <w:rFonts w:cs="Arial"/>
          <w:b/>
          <w:bCs/>
          <w:sz w:val="24"/>
          <w:szCs w:val="24"/>
          <w:rtl/>
        </w:rPr>
        <w:t xml:space="preserve">בֵּין בְּאוֹרַיְתָא בֵּין בַּכְּתוּבִים בֵּין בַּנְּבִיאִים. </w:t>
      </w:r>
      <w:r w:rsidRPr="00007309">
        <w:rPr>
          <w:rFonts w:cs="Arial"/>
          <w:b/>
          <w:bCs/>
          <w:sz w:val="36"/>
          <w:szCs w:val="28"/>
          <w:vertAlign w:val="superscript"/>
          <w:rtl/>
        </w:rPr>
        <w:footnoteReference w:id="8572"/>
      </w:r>
      <w:r w:rsidRPr="00007309">
        <w:rPr>
          <w:rFonts w:cs="Arial"/>
          <w:b/>
          <w:bCs/>
          <w:sz w:val="24"/>
          <w:szCs w:val="24"/>
          <w:rtl/>
        </w:rPr>
        <w:t xml:space="preserve">וּבְגִין דָּא </w:t>
      </w:r>
      <w:r w:rsidRPr="00007309">
        <w:rPr>
          <w:rFonts w:cs="Arial" w:hint="cs"/>
          <w:b/>
          <w:bCs/>
          <w:sz w:val="24"/>
          <w:szCs w:val="24"/>
          <w:rtl/>
        </w:rPr>
        <w:t xml:space="preserve">(דברי הימים א כט יא) </w:t>
      </w:r>
      <w:r w:rsidRPr="00007309">
        <w:rPr>
          <w:rFonts w:cs="Arial"/>
          <w:b/>
          <w:bCs/>
          <w:sz w:val="24"/>
          <w:szCs w:val="24"/>
          <w:rtl/>
        </w:rPr>
        <w:t>כִּי כָּל בַּשָּׁמַיִם וּבָאָרֶץ. וְהָא אוֹקְמוּהּ דְּאָחִיד בִּשְׁמַיָּא וּבְאַרְעָא</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573"/>
      </w:r>
      <w:r w:rsidRPr="00007309">
        <w:rPr>
          <w:rFonts w:cs="Arial"/>
          <w:b/>
          <w:bCs/>
          <w:sz w:val="24"/>
          <w:szCs w:val="24"/>
          <w:rtl/>
        </w:rPr>
        <w:t>דִּבְכָל דַּרְגִּין</w:t>
      </w:r>
      <w:r w:rsidRPr="00007309">
        <w:rPr>
          <w:rFonts w:cs="Arial" w:hint="cs"/>
          <w:b/>
          <w:bCs/>
          <w:sz w:val="24"/>
          <w:szCs w:val="24"/>
          <w:rtl/>
        </w:rPr>
        <w:t>,</w:t>
      </w:r>
      <w:r w:rsidRPr="00007309">
        <w:rPr>
          <w:rFonts w:cs="Arial"/>
          <w:b/>
          <w:bCs/>
          <w:sz w:val="24"/>
          <w:szCs w:val="24"/>
          <w:rtl/>
        </w:rPr>
        <w:t xml:space="preserve"> וְאִנּוּן יְמִינָא וּשְׂמָאלָא לֵית יִחוּדָא וְקוּרְבָא לְקוּדְשָׁא בְּרִיךְ הוּא בְּצַדִּיק</w:t>
      </w:r>
      <w:r w:rsidRPr="00007309">
        <w:rPr>
          <w:rFonts w:cs="Arial" w:hint="cs"/>
          <w:b/>
          <w:bCs/>
          <w:sz w:val="24"/>
          <w:szCs w:val="24"/>
          <w:rtl/>
        </w:rPr>
        <w:t>,</w:t>
      </w:r>
      <w:r w:rsidRPr="00007309">
        <w:rPr>
          <w:rFonts w:cs="Arial"/>
          <w:b/>
          <w:bCs/>
          <w:sz w:val="24"/>
          <w:szCs w:val="24"/>
          <w:rtl/>
        </w:rPr>
        <w:t xml:space="preserve"> אֶלָּא דְּאִנּוּן כְּאִילָנָא דְּעַנְפִין מִתְפָּרְדִין לִימִינָא וּשְׂמָאלָא, וּמִתְיַחֲדִין לְתַתָּא </w:t>
      </w:r>
      <w:r w:rsidRPr="00007309">
        <w:rPr>
          <w:rFonts w:cs="Arial" w:hint="cs"/>
          <w:b/>
          <w:bCs/>
          <w:sz w:val="24"/>
          <w:szCs w:val="24"/>
          <w:rtl/>
        </w:rPr>
        <w:t>ב</w:t>
      </w:r>
      <w:r w:rsidRPr="00007309">
        <w:rPr>
          <w:rFonts w:cs="Arial"/>
          <w:b/>
          <w:bCs/>
          <w:sz w:val="24"/>
          <w:szCs w:val="24"/>
          <w:rtl/>
        </w:rPr>
        <w:t>ַּשֹׁרֶשׁ דְּאִיהוּ אֲגֻדָּה</w:t>
      </w:r>
      <w:r w:rsidRPr="00007309">
        <w:rPr>
          <w:rFonts w:cs="Arial" w:hint="cs"/>
          <w:b/>
          <w:bCs/>
          <w:sz w:val="24"/>
          <w:szCs w:val="24"/>
          <w:rtl/>
        </w:rPr>
        <w:t>,</w:t>
      </w:r>
      <w:r w:rsidRPr="00007309">
        <w:rPr>
          <w:rFonts w:cs="Arial"/>
          <w:b/>
          <w:bCs/>
          <w:sz w:val="24"/>
          <w:szCs w:val="24"/>
          <w:rtl/>
        </w:rPr>
        <w:t xml:space="preserve"> דְּאִיהוּ צַדִּיק עִקָּרָא דְּיִחוּדָא. וּכְגַוְנָא דְּצַדִּיק אִיהוּ עִקָּרָא דְּיִחוּדָא לְקוּדְשָׁא בְּרִיךְ הוּא וּשְׁכִינְתָּא לְתַתָּא, הָכֵי אִיהוּ עַמּוּדָא דְּאֶמְצָעִיתָא קוּרְבָא וְיִחוּדָא וְעִקָּרָא לְאַבָּא וְאִימָּא. </w:t>
      </w:r>
      <w:r w:rsidRPr="00007309">
        <w:rPr>
          <w:rFonts w:cs="Arial"/>
          <w:b/>
          <w:bCs/>
          <w:sz w:val="36"/>
          <w:szCs w:val="28"/>
          <w:vertAlign w:val="superscript"/>
          <w:rtl/>
        </w:rPr>
        <w:footnoteReference w:id="8574"/>
      </w:r>
      <w:r w:rsidRPr="00007309">
        <w:rPr>
          <w:rFonts w:cs="Arial"/>
          <w:b/>
          <w:bCs/>
          <w:sz w:val="24"/>
          <w:szCs w:val="24"/>
          <w:rtl/>
        </w:rPr>
        <w:t xml:space="preserve">וְהָכֵי כְּגַוְנָא דָּא תְּפִלָּה מְעוֹמֵד וּתְפִלָּה מְיוֹשֵׁב אִתְכְּלִילוּ בְּצַדִּיק חַי עָלְמִין </w:t>
      </w:r>
      <w:r w:rsidRPr="00007309">
        <w:rPr>
          <w:rFonts w:cs="Arial"/>
          <w:b/>
          <w:bCs/>
          <w:sz w:val="36"/>
          <w:szCs w:val="28"/>
          <w:vertAlign w:val="superscript"/>
          <w:rtl/>
        </w:rPr>
        <w:footnoteReference w:id="8575"/>
      </w:r>
      <w:r w:rsidRPr="00007309">
        <w:rPr>
          <w:rFonts w:cs="Arial"/>
          <w:b/>
          <w:bCs/>
          <w:sz w:val="24"/>
          <w:szCs w:val="24"/>
          <w:rtl/>
        </w:rPr>
        <w:t xml:space="preserve">כְּלִילָא חַ"י בִּרְכָּאן </w:t>
      </w:r>
      <w:r w:rsidRPr="00007309">
        <w:rPr>
          <w:rFonts w:cs="Arial" w:hint="cs"/>
          <w:b/>
          <w:bCs/>
          <w:sz w:val="24"/>
          <w:szCs w:val="24"/>
          <w:rtl/>
        </w:rPr>
        <w:t>(</w:t>
      </w:r>
      <w:r w:rsidRPr="00007309">
        <w:rPr>
          <w:rFonts w:cs="Arial"/>
          <w:b/>
          <w:bCs/>
          <w:sz w:val="24"/>
          <w:szCs w:val="24"/>
          <w:rtl/>
        </w:rPr>
        <w:t>דִּ</w:t>
      </w:r>
      <w:r w:rsidRPr="00007309">
        <w:rPr>
          <w:rFonts w:cs="Arial" w:hint="cs"/>
          <w:b/>
          <w:bCs/>
          <w:sz w:val="24"/>
          <w:szCs w:val="24"/>
          <w:rtl/>
        </w:rPr>
        <w:t>)</w:t>
      </w:r>
      <w:r w:rsidRPr="00007309">
        <w:rPr>
          <w:rFonts w:cs="Arial"/>
          <w:b/>
          <w:bCs/>
          <w:sz w:val="24"/>
          <w:szCs w:val="24"/>
          <w:rtl/>
        </w:rPr>
        <w:t>צְלוֹתָא</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576"/>
      </w:r>
      <w:r w:rsidRPr="00007309">
        <w:rPr>
          <w:rFonts w:cs="Arial"/>
          <w:b/>
          <w:bCs/>
          <w:sz w:val="24"/>
          <w:szCs w:val="24"/>
          <w:rtl/>
        </w:rPr>
        <w:t>וּצְלוֹתָא דְּשַׁחֲרִית וּצְלוֹתָא דְּמִנְחָה אִנּוּן יְמִינָא וּשְׂמָאלָא</w:t>
      </w:r>
      <w:r w:rsidRPr="00007309">
        <w:rPr>
          <w:rFonts w:cs="Arial" w:hint="cs"/>
          <w:b/>
          <w:bCs/>
          <w:sz w:val="24"/>
          <w:szCs w:val="24"/>
          <w:rtl/>
        </w:rPr>
        <w:t>,</w:t>
      </w:r>
      <w:r w:rsidRPr="00007309">
        <w:rPr>
          <w:rFonts w:cs="Arial"/>
          <w:b/>
          <w:bCs/>
          <w:sz w:val="24"/>
          <w:szCs w:val="24"/>
          <w:rtl/>
        </w:rPr>
        <w:t xml:space="preserve"> תַּמָּן אַבָּא וְאִימָּא</w:t>
      </w:r>
      <w:r w:rsidRPr="00007309">
        <w:rPr>
          <w:rFonts w:cs="Arial" w:hint="cs"/>
          <w:b/>
          <w:bCs/>
          <w:sz w:val="24"/>
          <w:szCs w:val="24"/>
          <w:rtl/>
        </w:rPr>
        <w:t>.</w:t>
      </w:r>
      <w:r w:rsidRPr="00007309">
        <w:rPr>
          <w:rFonts w:cs="Arial"/>
          <w:b/>
          <w:bCs/>
          <w:sz w:val="24"/>
          <w:szCs w:val="24"/>
          <w:rtl/>
        </w:rPr>
        <w:t xml:space="preserve"> וְאִתְכְּלִילָן בְּעַמּוּדָא דְּאֶמְצָעִיתָא דְּאִיהוּ צְלוֹתָא דְּעַרְבִית</w:t>
      </w:r>
      <w:r w:rsidRPr="00007309">
        <w:rPr>
          <w:rFonts w:cs="Arial" w:hint="cs"/>
          <w:b/>
          <w:bCs/>
          <w:sz w:val="24"/>
          <w:szCs w:val="24"/>
          <w:rtl/>
        </w:rPr>
        <w:t>,</w:t>
      </w:r>
      <w:r w:rsidRPr="00007309">
        <w:rPr>
          <w:rFonts w:cs="Arial"/>
          <w:b/>
          <w:bCs/>
          <w:sz w:val="24"/>
          <w:szCs w:val="24"/>
          <w:rtl/>
        </w:rPr>
        <w:t xml:space="preserve"> דְּבֵהּ (בראשית כח) וַיִּפְגַּע בַּמָּקוֹם, דַּרְגָּא דְּעַמּוּדָא דְּאֶמְצָעִיתָא. </w:t>
      </w:r>
    </w:p>
    <w:p w:rsidR="00007309" w:rsidRPr="00007309" w:rsidRDefault="00007309" w:rsidP="00007309">
      <w:pPr>
        <w:keepNext/>
        <w:outlineLvl w:val="1"/>
        <w:rPr>
          <w:rFonts w:ascii="Cambria" w:hAnsi="Cambria" w:cs="Times New Roman"/>
          <w:b/>
          <w:bCs/>
          <w:i/>
          <w:iCs/>
          <w:sz w:val="28"/>
          <w:szCs w:val="28"/>
          <w:rtl/>
        </w:rPr>
      </w:pPr>
      <w:r w:rsidRPr="00007309">
        <w:rPr>
          <w:rFonts w:ascii="Cambria" w:hAnsi="Cambria" w:cs="Times New Roman"/>
          <w:b/>
          <w:bCs/>
          <w:i/>
          <w:iCs/>
          <w:sz w:val="28"/>
          <w:szCs w:val="28"/>
          <w:rtl/>
        </w:rPr>
        <w:t>[</w:t>
      </w:r>
      <w:r w:rsidRPr="00007309">
        <w:rPr>
          <w:rFonts w:ascii="Cambria" w:hAnsi="Cambria" w:cs="Times New Roman" w:hint="cs"/>
          <w:b/>
          <w:bCs/>
          <w:i/>
          <w:iCs/>
          <w:sz w:val="28"/>
          <w:szCs w:val="28"/>
          <w:rtl/>
        </w:rPr>
        <w:t>דף</w:t>
      </w:r>
      <w:r w:rsidRPr="00007309">
        <w:rPr>
          <w:rFonts w:ascii="Cambria" w:hAnsi="Cambria" w:cs="Times New Roman"/>
          <w:b/>
          <w:bCs/>
          <w:i/>
          <w:iCs/>
          <w:sz w:val="28"/>
          <w:szCs w:val="28"/>
          <w:rtl/>
        </w:rPr>
        <w:t xml:space="preserve"> </w:t>
      </w:r>
      <w:r w:rsidRPr="00007309">
        <w:rPr>
          <w:rFonts w:ascii="Cambria" w:hAnsi="Cambria" w:cs="Times New Roman" w:hint="cs"/>
          <w:b/>
          <w:bCs/>
          <w:i/>
          <w:iCs/>
          <w:sz w:val="28"/>
          <w:szCs w:val="28"/>
          <w:rtl/>
        </w:rPr>
        <w:t>פח</w:t>
      </w:r>
      <w:r w:rsidRPr="00007309">
        <w:rPr>
          <w:rFonts w:ascii="Cambria" w:hAnsi="Cambria" w:cs="Times New Roman"/>
          <w:b/>
          <w:bCs/>
          <w:i/>
          <w:iCs/>
          <w:sz w:val="28"/>
          <w:szCs w:val="28"/>
          <w:rtl/>
        </w:rPr>
        <w:t xml:space="preserve"> ע"</w:t>
      </w:r>
      <w:r w:rsidRPr="00007309">
        <w:rPr>
          <w:rFonts w:ascii="Cambria" w:hAnsi="Cambria" w:cs="Times New Roman" w:hint="cs"/>
          <w:b/>
          <w:bCs/>
          <w:i/>
          <w:iCs/>
          <w:sz w:val="28"/>
          <w:szCs w:val="28"/>
          <w:rtl/>
        </w:rPr>
        <w:t>ג</w:t>
      </w:r>
      <w:r w:rsidRPr="00007309">
        <w:rPr>
          <w:rFonts w:ascii="Cambria" w:hAnsi="Cambria" w:cs="Times New Roman"/>
          <w:b/>
          <w:bCs/>
          <w:i/>
          <w:iCs/>
          <w:sz w:val="28"/>
          <w:szCs w:val="28"/>
          <w:rtl/>
        </w:rPr>
        <w:t>]</w:t>
      </w:r>
    </w:p>
    <w:p w:rsidR="00007309" w:rsidRPr="00007309" w:rsidRDefault="00007309" w:rsidP="00007309">
      <w:pPr>
        <w:jc w:val="both"/>
        <w:rPr>
          <w:rFonts w:cs="Arial"/>
          <w:b/>
          <w:bCs/>
          <w:sz w:val="24"/>
          <w:szCs w:val="24"/>
          <w:rtl/>
        </w:rPr>
      </w:pPr>
      <w:r w:rsidRPr="00007309">
        <w:rPr>
          <w:rFonts w:cs="Arial"/>
          <w:b/>
          <w:bCs/>
          <w:sz w:val="36"/>
          <w:szCs w:val="28"/>
          <w:vertAlign w:val="superscript"/>
          <w:rtl/>
        </w:rPr>
        <w:footnoteReference w:id="8577"/>
      </w:r>
      <w:r w:rsidRPr="00007309">
        <w:rPr>
          <w:rFonts w:cs="Arial"/>
          <w:b/>
          <w:bCs/>
          <w:sz w:val="24"/>
          <w:szCs w:val="24"/>
          <w:rtl/>
        </w:rPr>
        <w:t>וְאִיהוּ עִקָּרָא דִּתְפִלִּין, וּבֵהּ צָרִיךְ לְקַשְּׁרָא (נ"א לסדרא) לוֹן כְּגַוְנָא דָּא</w:t>
      </w:r>
      <w:r w:rsidRPr="00007309">
        <w:rPr>
          <w:rFonts w:cs="Arial" w:hint="cs"/>
          <w:b/>
          <w:bCs/>
          <w:sz w:val="24"/>
          <w:szCs w:val="24"/>
          <w:rtl/>
        </w:rPr>
        <w:t>,</w:t>
      </w:r>
      <w:r w:rsidRPr="00007309">
        <w:rPr>
          <w:rFonts w:cs="Arial"/>
          <w:b/>
          <w:bCs/>
          <w:sz w:val="24"/>
          <w:szCs w:val="24"/>
          <w:rtl/>
        </w:rPr>
        <w:t xml:space="preserve"> חָכְמָה קַדֵשׁ לִי וְדָא י', בִּינָה וְהָיָה כִּי יְבִיאֲךָ וְדָא ה', שְׁמַע יִשְׂרָאֵל לִימִינָא ו', וְהָיָה אִם שָׁמוֹעַ לִשְׂמָאלָא וְדָא ה'. </w:t>
      </w:r>
      <w:r w:rsidRPr="00007309">
        <w:rPr>
          <w:rFonts w:cs="Arial"/>
          <w:b/>
          <w:bCs/>
          <w:sz w:val="36"/>
          <w:szCs w:val="28"/>
          <w:vertAlign w:val="superscript"/>
          <w:rtl/>
        </w:rPr>
        <w:footnoteReference w:id="8578"/>
      </w:r>
      <w:r w:rsidRPr="00007309">
        <w:rPr>
          <w:rFonts w:cs="Arial"/>
          <w:b/>
          <w:bCs/>
          <w:sz w:val="24"/>
          <w:szCs w:val="24"/>
          <w:rtl/>
        </w:rPr>
        <w:t>וּבְעַמּוּדָא דְּאֶמְצָעִיתָא אִתְכְּלִילָן</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579"/>
      </w:r>
      <w:r w:rsidRPr="00007309">
        <w:rPr>
          <w:rFonts w:cs="Arial"/>
          <w:b/>
          <w:bCs/>
          <w:sz w:val="24"/>
          <w:szCs w:val="24"/>
          <w:rtl/>
        </w:rPr>
        <w:t xml:space="preserve">וְכַד תְּפִלִּין דְּרֹאשׁ וּדְיָד אִתְכְּלִילָן בֵּהּ אִתְקְרִיאוּ תְּפִלִּין. וּבֵהּ אִנּוּן פִּקּוּדָא חֲדָא וְלֹא צָרִיךְ לְאַפְסָקָא כְּמָא דְּאוֹקְמוּהּ סָח בֵּין תְּפִלָּה לִתְפִלָּה עֲבֵרָה הִיא בְּיָדוֹ. וְהַאי אִיהוּ </w:t>
      </w:r>
      <w:r w:rsidRPr="00007309">
        <w:rPr>
          <w:rFonts w:cs="Arial"/>
          <w:b/>
          <w:bCs/>
          <w:sz w:val="36"/>
          <w:szCs w:val="28"/>
          <w:vertAlign w:val="superscript"/>
          <w:rtl/>
        </w:rPr>
        <w:footnoteReference w:id="8580"/>
      </w:r>
      <w:r w:rsidRPr="00007309">
        <w:rPr>
          <w:rFonts w:cs="Arial"/>
          <w:b/>
          <w:bCs/>
          <w:sz w:val="24"/>
          <w:szCs w:val="24"/>
          <w:rtl/>
        </w:rPr>
        <w:t xml:space="preserve">עִקָּרָא דִּגְמָרָא. וְאִלֵּין דְּעָבְדִין לֵהּ תְּרֵי פִּקּוּדִין דִּירוּשַׁלְמִי אִיהוּ מִימִינָא וּשְׂמָאלָא דְּתַמָּן עַנְפִין מִתְפָּרְדִין </w:t>
      </w:r>
      <w:r w:rsidRPr="00007309">
        <w:rPr>
          <w:rFonts w:cs="Arial" w:hint="cs"/>
          <w:b/>
          <w:bCs/>
          <w:sz w:val="24"/>
          <w:szCs w:val="24"/>
          <w:rtl/>
        </w:rPr>
        <w:t xml:space="preserve">ובגין </w:t>
      </w:r>
      <w:r w:rsidRPr="00007309">
        <w:rPr>
          <w:rFonts w:cs="Arial"/>
          <w:b/>
          <w:bCs/>
          <w:sz w:val="24"/>
          <w:szCs w:val="24"/>
          <w:rtl/>
        </w:rPr>
        <w:t xml:space="preserve">דְּמִסִּטְרָא </w:t>
      </w:r>
      <w:r w:rsidRPr="00007309">
        <w:rPr>
          <w:rFonts w:ascii="Cambria" w:hAnsi="Cambria" w:cs="Times New Roman"/>
          <w:b/>
          <w:bCs/>
          <w:i/>
          <w:iCs/>
          <w:color w:val="4F81BD"/>
          <w:sz w:val="24"/>
          <w:szCs w:val="24"/>
          <w:rtl/>
        </w:rPr>
        <w:t>(פ</w:t>
      </w:r>
      <w:r w:rsidRPr="00007309">
        <w:rPr>
          <w:rFonts w:ascii="Cambria" w:hAnsi="Cambria" w:cs="Times New Roman" w:hint="cs"/>
          <w:b/>
          <w:bCs/>
          <w:i/>
          <w:iCs/>
          <w:color w:val="4F81BD"/>
          <w:sz w:val="24"/>
          <w:szCs w:val="24"/>
          <w:rtl/>
        </w:rPr>
        <w:t>ח</w:t>
      </w:r>
      <w:r w:rsidRPr="00007309">
        <w:rPr>
          <w:rFonts w:ascii="Cambria" w:hAnsi="Cambria" w:cs="Times New Roman"/>
          <w:b/>
          <w:bCs/>
          <w:i/>
          <w:iCs/>
          <w:color w:val="4F81BD"/>
          <w:sz w:val="24"/>
          <w:szCs w:val="24"/>
          <w:rtl/>
        </w:rPr>
        <w:t xml:space="preserve"> ע"</w:t>
      </w:r>
      <w:r w:rsidRPr="00007309">
        <w:rPr>
          <w:rFonts w:ascii="Cambria" w:hAnsi="Cambria" w:cs="Times New Roman" w:hint="cs"/>
          <w:b/>
          <w:bCs/>
          <w:i/>
          <w:iCs/>
          <w:color w:val="4F81BD"/>
          <w:sz w:val="24"/>
          <w:szCs w:val="24"/>
          <w:rtl/>
        </w:rPr>
        <w:t>ג</w:t>
      </w:r>
      <w:r w:rsidRPr="00007309">
        <w:rPr>
          <w:rFonts w:ascii="Cambria" w:hAnsi="Cambria" w:cs="Times New Roman"/>
          <w:b/>
          <w:bCs/>
          <w:i/>
          <w:iCs/>
          <w:color w:val="4F81BD"/>
          <w:sz w:val="24"/>
          <w:szCs w:val="24"/>
          <w:rtl/>
        </w:rPr>
        <w:t>)</w:t>
      </w:r>
      <w:r w:rsidRPr="00007309">
        <w:rPr>
          <w:rFonts w:cs="Arial"/>
          <w:b/>
          <w:bCs/>
          <w:sz w:val="24"/>
          <w:szCs w:val="24"/>
          <w:rtl/>
        </w:rPr>
        <w:t xml:space="preserve"> דִּימִינָא וּשְׂמָאלָא </w:t>
      </w:r>
      <w:r w:rsidRPr="00007309">
        <w:rPr>
          <w:rFonts w:cs="Arial" w:hint="cs"/>
          <w:b/>
          <w:bCs/>
          <w:sz w:val="24"/>
          <w:szCs w:val="24"/>
          <w:rtl/>
        </w:rPr>
        <w:t xml:space="preserve">(תהלים סב יב) </w:t>
      </w:r>
      <w:r w:rsidRPr="00007309">
        <w:rPr>
          <w:rFonts w:cs="Arial"/>
          <w:b/>
          <w:bCs/>
          <w:sz w:val="36"/>
          <w:szCs w:val="28"/>
          <w:vertAlign w:val="superscript"/>
          <w:rtl/>
        </w:rPr>
        <w:footnoteReference w:id="8581"/>
      </w:r>
      <w:r w:rsidRPr="00007309">
        <w:rPr>
          <w:rFonts w:cs="Arial"/>
          <w:b/>
          <w:bCs/>
          <w:sz w:val="24"/>
          <w:szCs w:val="24"/>
          <w:rtl/>
        </w:rPr>
        <w:t>שְׁתַּיִם זוּ שָׁמָעְתִּי</w:t>
      </w:r>
      <w:r w:rsidRPr="00007309">
        <w:rPr>
          <w:rFonts w:cs="Arial" w:hint="cs"/>
          <w:b/>
          <w:bCs/>
          <w:sz w:val="24"/>
          <w:szCs w:val="24"/>
          <w:rtl/>
        </w:rPr>
        <w:t>,</w:t>
      </w:r>
      <w:r w:rsidRPr="00007309">
        <w:rPr>
          <w:rFonts w:cs="Arial"/>
          <w:b/>
          <w:bCs/>
          <w:sz w:val="24"/>
          <w:szCs w:val="24"/>
          <w:rtl/>
        </w:rPr>
        <w:t xml:space="preserve"> צָרִיךְ לְבָרְכָא עָלַיְהוּ תְּרֵין בִּרְכָּאן</w:t>
      </w:r>
      <w:r w:rsidRPr="00007309">
        <w:rPr>
          <w:rFonts w:cs="Arial" w:hint="cs"/>
          <w:b/>
          <w:bCs/>
          <w:sz w:val="24"/>
          <w:szCs w:val="24"/>
          <w:rtl/>
        </w:rPr>
        <w:t>,</w:t>
      </w:r>
      <w:r w:rsidRPr="00007309">
        <w:rPr>
          <w:rFonts w:cs="Arial"/>
          <w:b/>
          <w:bCs/>
          <w:sz w:val="24"/>
          <w:szCs w:val="24"/>
          <w:rtl/>
        </w:rPr>
        <w:t xml:space="preserve"> חַד לְהָנִיחַ תְּפִלִּין עַל שֶׁל יָד, וְחַד עַל מִצְוַת תְּפִלִּין עַל שֶׁל רֹאשׁ. וְאִם סָח בֵּנְתַיִם מְבָרֵךְ עַל שֶׁל רֹאשׁ שְׁתַּיִם. אֲבָל מִסִּטְרָא דְּעַמּוּדָא דְּאֶמְצָעִיתָא עָלַיְהוּ אִתְּמַר אַחַת דִּבֵּר אֱלֹהִים</w:t>
      </w:r>
      <w:r w:rsidRPr="00007309">
        <w:rPr>
          <w:rFonts w:cs="Arial" w:hint="cs"/>
          <w:b/>
          <w:bCs/>
          <w:sz w:val="24"/>
          <w:szCs w:val="24"/>
          <w:rtl/>
        </w:rPr>
        <w:t>,</w:t>
      </w:r>
      <w:r w:rsidRPr="00007309">
        <w:rPr>
          <w:rFonts w:cs="Arial"/>
          <w:b/>
          <w:bCs/>
          <w:sz w:val="24"/>
          <w:szCs w:val="24"/>
          <w:rtl/>
        </w:rPr>
        <w:t xml:space="preserve"> וְלֹא צָרִיךְ אֶלָּא בִּרְכָתָא חֲדָא</w:t>
      </w:r>
      <w:r w:rsidRPr="00007309">
        <w:rPr>
          <w:rFonts w:cs="Arial" w:hint="cs"/>
          <w:b/>
          <w:bCs/>
          <w:sz w:val="24"/>
          <w:szCs w:val="24"/>
          <w:rtl/>
        </w:rPr>
        <w:t xml:space="preserve"> (ישעיה נא ב)</w:t>
      </w:r>
      <w:r w:rsidRPr="00007309">
        <w:rPr>
          <w:rFonts w:cs="Arial"/>
          <w:b/>
          <w:bCs/>
          <w:sz w:val="24"/>
          <w:szCs w:val="24"/>
          <w:rtl/>
        </w:rPr>
        <w:t xml:space="preserve"> כִּי אֶחָד קְרָאתִיו. וְאִם סָח בֵּין תְּפִלָּה שֶׁל יָד לִתְפִלָּה שֶׁל רֹאשׁ בְּעַמּוּדָא דְּאֶמְצָעִיתָא אִיהוּ עָבִיד פֵּרוּד בְּיִחוּדָא. וּבְגִין דָּא עֲבֵרָה הִיא בְּיָדוֹ וְלֹא מִצְוָה. וְלֵית עֲבֵרָה אֶלָּא מָוֶת דְּאִתְּמַר </w:t>
      </w:r>
      <w:r w:rsidRPr="00007309">
        <w:rPr>
          <w:rFonts w:cs="Arial" w:hint="cs"/>
          <w:b/>
          <w:bCs/>
          <w:sz w:val="24"/>
          <w:szCs w:val="24"/>
          <w:rtl/>
        </w:rPr>
        <w:t xml:space="preserve">(משלי ה ה) </w:t>
      </w:r>
      <w:r w:rsidRPr="00007309">
        <w:rPr>
          <w:rFonts w:cs="Arial"/>
          <w:b/>
          <w:bCs/>
          <w:sz w:val="24"/>
          <w:szCs w:val="24"/>
          <w:rtl/>
        </w:rPr>
        <w:t>רַגְלֵ</w:t>
      </w:r>
      <w:r w:rsidRPr="00007309">
        <w:rPr>
          <w:rFonts w:cs="Arial" w:hint="cs"/>
          <w:b/>
          <w:bCs/>
          <w:sz w:val="24"/>
          <w:szCs w:val="24"/>
          <w:rtl/>
        </w:rPr>
        <w:t>י</w:t>
      </w:r>
      <w:r w:rsidRPr="00007309">
        <w:rPr>
          <w:rFonts w:cs="Arial"/>
          <w:b/>
          <w:bCs/>
          <w:sz w:val="24"/>
          <w:szCs w:val="24"/>
          <w:rtl/>
        </w:rPr>
        <w:t>הָּ יוֹרְדוֹת מָוֶת</w:t>
      </w:r>
      <w:r w:rsidRPr="00007309">
        <w:rPr>
          <w:rFonts w:cs="Arial" w:hint="cs"/>
          <w:b/>
          <w:bCs/>
          <w:sz w:val="24"/>
          <w:szCs w:val="24"/>
          <w:rtl/>
        </w:rPr>
        <w:t>,</w:t>
      </w:r>
      <w:r w:rsidRPr="00007309">
        <w:rPr>
          <w:rFonts w:cs="Arial"/>
          <w:b/>
          <w:bCs/>
          <w:sz w:val="24"/>
          <w:szCs w:val="24"/>
          <w:rtl/>
        </w:rPr>
        <w:t xml:space="preserve"> דְּעָלַהּ אִתְּמַר </w:t>
      </w:r>
      <w:r w:rsidRPr="00007309">
        <w:rPr>
          <w:rFonts w:cs="Arial" w:hint="cs"/>
          <w:b/>
          <w:bCs/>
          <w:sz w:val="24"/>
          <w:szCs w:val="24"/>
          <w:rtl/>
        </w:rPr>
        <w:t xml:space="preserve">(רות א יז) </w:t>
      </w:r>
      <w:r w:rsidRPr="00007309">
        <w:rPr>
          <w:rFonts w:cs="Arial"/>
          <w:b/>
          <w:bCs/>
          <w:sz w:val="24"/>
          <w:szCs w:val="24"/>
          <w:rtl/>
        </w:rPr>
        <w:t xml:space="preserve">כִּי הַמָּוֶת יַפְרִיד </w:t>
      </w:r>
      <w:r w:rsidRPr="00007309">
        <w:rPr>
          <w:rFonts w:cs="Arial"/>
          <w:b/>
          <w:bCs/>
          <w:sz w:val="36"/>
          <w:szCs w:val="28"/>
          <w:vertAlign w:val="superscript"/>
          <w:rtl/>
        </w:rPr>
        <w:footnoteReference w:id="8582"/>
      </w:r>
      <w:r w:rsidRPr="00007309">
        <w:rPr>
          <w:rFonts w:cs="Arial"/>
          <w:b/>
          <w:bCs/>
          <w:sz w:val="24"/>
          <w:szCs w:val="24"/>
          <w:rtl/>
        </w:rPr>
        <w:t>בֵּין א'ח לְד'. וּבְגִין דָּא עֲבֵרָה הִיא בְּיָדוֹ וְחוֹזְרִין עָלֶיהָ מֵעוֹרְכֵי הַמִּלְחָמָה. דְאִי לא נָפִיק מִתַּמָּן</w:t>
      </w:r>
      <w:r w:rsidRPr="00007309">
        <w:rPr>
          <w:rFonts w:cs="Arial" w:hint="cs"/>
          <w:b/>
          <w:bCs/>
          <w:sz w:val="24"/>
          <w:szCs w:val="24"/>
          <w:rtl/>
        </w:rPr>
        <w:t>,</w:t>
      </w:r>
      <w:r w:rsidRPr="00007309">
        <w:rPr>
          <w:rFonts w:cs="Arial"/>
          <w:b/>
          <w:bCs/>
          <w:sz w:val="24"/>
          <w:szCs w:val="24"/>
          <w:rtl/>
        </w:rPr>
        <w:t xml:space="preserve"> בְּחוֹבָא </w:t>
      </w:r>
      <w:r w:rsidRPr="00007309">
        <w:rPr>
          <w:rFonts w:cs="Arial"/>
          <w:b/>
          <w:bCs/>
          <w:sz w:val="36"/>
          <w:szCs w:val="28"/>
          <w:vertAlign w:val="superscript"/>
          <w:rtl/>
        </w:rPr>
        <w:footnoteReference w:id="8583"/>
      </w:r>
      <w:r w:rsidRPr="00007309">
        <w:rPr>
          <w:rFonts w:cs="Arial"/>
          <w:b/>
          <w:bCs/>
          <w:sz w:val="24"/>
          <w:szCs w:val="24"/>
          <w:rtl/>
        </w:rPr>
        <w:t>דָּא יָמוּת. וְהַאי אִיהוּ אַחַת דִּבֵּר אֱלֹהִים</w:t>
      </w:r>
      <w:r w:rsidRPr="00007309">
        <w:rPr>
          <w:rFonts w:cs="Arial" w:hint="cs"/>
          <w:b/>
          <w:bCs/>
          <w:sz w:val="24"/>
          <w:szCs w:val="24"/>
          <w:rtl/>
        </w:rPr>
        <w:t>,</w:t>
      </w:r>
      <w:r w:rsidRPr="00007309">
        <w:rPr>
          <w:rFonts w:cs="Arial"/>
          <w:b/>
          <w:bCs/>
          <w:sz w:val="24"/>
          <w:szCs w:val="24"/>
          <w:rtl/>
        </w:rPr>
        <w:t xml:space="preserve"> זֶה צַדִּיק </w:t>
      </w:r>
      <w:r w:rsidRPr="00007309">
        <w:rPr>
          <w:rFonts w:cs="Arial"/>
          <w:b/>
          <w:bCs/>
          <w:sz w:val="36"/>
          <w:szCs w:val="28"/>
          <w:vertAlign w:val="superscript"/>
          <w:rtl/>
        </w:rPr>
        <w:footnoteReference w:id="8584"/>
      </w:r>
      <w:r w:rsidRPr="00007309">
        <w:rPr>
          <w:rFonts w:cs="Arial"/>
          <w:b/>
          <w:bCs/>
          <w:sz w:val="24"/>
          <w:szCs w:val="24"/>
          <w:rtl/>
        </w:rPr>
        <w:t>דְּאִיהוּ יוֹם שַׁבָּת</w:t>
      </w:r>
      <w:r w:rsidRPr="00007309">
        <w:rPr>
          <w:rFonts w:cs="Arial" w:hint="cs"/>
          <w:b/>
          <w:bCs/>
          <w:sz w:val="24"/>
          <w:szCs w:val="24"/>
          <w:rtl/>
        </w:rPr>
        <w:t>,</w:t>
      </w:r>
      <w:r w:rsidRPr="00007309">
        <w:rPr>
          <w:rFonts w:cs="Arial"/>
          <w:b/>
          <w:bCs/>
          <w:sz w:val="24"/>
          <w:szCs w:val="24"/>
          <w:rtl/>
        </w:rPr>
        <w:t xml:space="preserve"> זָכוֹר וְשָׁמוֹר בְּדִבּוּר אֶחָד</w:t>
      </w:r>
      <w:r w:rsidRPr="00007309">
        <w:rPr>
          <w:rFonts w:cs="Arial" w:hint="cs"/>
          <w:b/>
          <w:bCs/>
          <w:sz w:val="24"/>
          <w:szCs w:val="24"/>
          <w:rtl/>
        </w:rPr>
        <w:t>,</w:t>
      </w:r>
      <w:r w:rsidRPr="00007309">
        <w:rPr>
          <w:rFonts w:cs="Arial"/>
          <w:b/>
          <w:bCs/>
          <w:sz w:val="24"/>
          <w:szCs w:val="24"/>
          <w:rtl/>
        </w:rPr>
        <w:t xml:space="preserve"> צְרִיכִין לְיַחֲדָא לוֹן בֵּהּ וּלְמֶעֱבַד לוֹן חַד. וְהָא אוֹקְמוּהּ </w:t>
      </w:r>
      <w:r w:rsidRPr="00007309">
        <w:rPr>
          <w:rFonts w:cs="Arial"/>
          <w:b/>
          <w:bCs/>
          <w:sz w:val="36"/>
          <w:szCs w:val="28"/>
          <w:vertAlign w:val="superscript"/>
          <w:rtl/>
        </w:rPr>
        <w:footnoteReference w:id="8585"/>
      </w:r>
      <w:r w:rsidRPr="00007309">
        <w:rPr>
          <w:rFonts w:cs="Arial"/>
          <w:b/>
          <w:bCs/>
          <w:sz w:val="24"/>
          <w:szCs w:val="24"/>
          <w:rtl/>
        </w:rPr>
        <w:t xml:space="preserve">זָכוֹר לְזָכָר </w:t>
      </w:r>
      <w:r w:rsidRPr="00007309">
        <w:rPr>
          <w:rFonts w:cs="Arial"/>
          <w:b/>
          <w:bCs/>
          <w:sz w:val="36"/>
          <w:szCs w:val="28"/>
          <w:vertAlign w:val="superscript"/>
          <w:rtl/>
        </w:rPr>
        <w:footnoteReference w:id="8586"/>
      </w:r>
      <w:r w:rsidRPr="00007309">
        <w:rPr>
          <w:rFonts w:cs="Arial"/>
          <w:b/>
          <w:bCs/>
          <w:sz w:val="24"/>
          <w:szCs w:val="24"/>
          <w:rtl/>
        </w:rPr>
        <w:t xml:space="preserve">שָׁמוֹר לְנוּקְבָא. אֲבָל מִסִּטְרָא דִּימִינָא וּשְׂמָאלָא אִנּוּן תַּרְוַיְהוּ תְּרֵין פִּקּוּדִין. וּכְגַוְנָא דָּא כָּל פִּקּוּדִין. </w:t>
      </w:r>
      <w:r w:rsidRPr="00007309">
        <w:rPr>
          <w:rFonts w:cs="Arial"/>
          <w:b/>
          <w:bCs/>
          <w:sz w:val="36"/>
          <w:szCs w:val="28"/>
          <w:vertAlign w:val="superscript"/>
          <w:rtl/>
        </w:rPr>
        <w:footnoteReference w:id="8587"/>
      </w:r>
      <w:r w:rsidRPr="00007309">
        <w:rPr>
          <w:rFonts w:cs="Arial"/>
          <w:b/>
          <w:bCs/>
          <w:sz w:val="24"/>
          <w:szCs w:val="24"/>
          <w:rtl/>
        </w:rPr>
        <w:t>וּבְגִין דָּא מַחֲלֹקֶת דְּאִיהוּ בֵּין חַבְרַיָּא בִּתְפִלִּין וּשְׁאָר פִּקּוּדִין בִּימִינָא וּשְׂמָאלָא אִיהוּ</w:t>
      </w:r>
      <w:r w:rsidRPr="00007309">
        <w:rPr>
          <w:rFonts w:cs="Arial" w:hint="cs"/>
          <w:b/>
          <w:bCs/>
          <w:sz w:val="24"/>
          <w:szCs w:val="24"/>
          <w:rtl/>
        </w:rPr>
        <w:t>,</w:t>
      </w:r>
      <w:r w:rsidRPr="00007309">
        <w:rPr>
          <w:rFonts w:cs="Arial"/>
          <w:b/>
          <w:bCs/>
          <w:sz w:val="24"/>
          <w:szCs w:val="24"/>
          <w:rtl/>
        </w:rPr>
        <w:t xml:space="preserve"> אֲבָל בְּעַמּוּדָא דְּאֶמְצָעִיתָא לֵית תַּמָּן מַחֲלֹקֶת</w:t>
      </w:r>
      <w:r w:rsidRPr="00007309">
        <w:rPr>
          <w:rFonts w:cs="Arial" w:hint="cs"/>
          <w:b/>
          <w:bCs/>
          <w:sz w:val="24"/>
          <w:szCs w:val="24"/>
          <w:rtl/>
        </w:rPr>
        <w:t>,</w:t>
      </w:r>
      <w:r w:rsidRPr="00007309">
        <w:rPr>
          <w:rFonts w:cs="Arial"/>
          <w:b/>
          <w:bCs/>
          <w:sz w:val="24"/>
          <w:szCs w:val="24"/>
          <w:rtl/>
        </w:rPr>
        <w:t xml:space="preserve"> בְּגִין דְּאִיהוּ עִקָּרָא דִּגְמָרָא דְּאִיהִי שְׁלֵמָה. ומִתַּמָּן אִתְקְרֵי יַעֲקֹב </w:t>
      </w:r>
      <w:r w:rsidRPr="00007309">
        <w:rPr>
          <w:rFonts w:cs="Arial"/>
          <w:b/>
          <w:bCs/>
          <w:sz w:val="36"/>
          <w:szCs w:val="28"/>
          <w:vertAlign w:val="superscript"/>
          <w:rtl/>
        </w:rPr>
        <w:footnoteReference w:id="8588"/>
      </w:r>
      <w:r w:rsidRPr="00007309">
        <w:rPr>
          <w:rFonts w:cs="Arial"/>
          <w:b/>
          <w:bCs/>
          <w:sz w:val="24"/>
          <w:szCs w:val="24"/>
          <w:rtl/>
        </w:rPr>
        <w:t>אִישׁ תָּם</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589"/>
      </w:r>
      <w:r w:rsidRPr="00007309">
        <w:rPr>
          <w:rFonts w:cs="Arial"/>
          <w:b/>
          <w:bCs/>
          <w:sz w:val="24"/>
          <w:szCs w:val="24"/>
          <w:rtl/>
        </w:rPr>
        <w:t xml:space="preserve">אִיהוּ ו' כָּלִיל שִׁית סִדְרֵי מִשְׁנָה. </w:t>
      </w:r>
      <w:r w:rsidRPr="00007309">
        <w:rPr>
          <w:rFonts w:cs="Arial"/>
          <w:b/>
          <w:bCs/>
          <w:sz w:val="36"/>
          <w:szCs w:val="28"/>
          <w:vertAlign w:val="superscript"/>
          <w:rtl/>
        </w:rPr>
        <w:footnoteReference w:id="8590"/>
      </w:r>
      <w:r w:rsidRPr="00007309">
        <w:rPr>
          <w:rFonts w:cs="Arial"/>
          <w:b/>
          <w:bCs/>
          <w:sz w:val="24"/>
          <w:szCs w:val="24"/>
          <w:rtl/>
        </w:rPr>
        <w:t>ה' גְּמָרָא דִילֵיה</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591"/>
      </w:r>
      <w:r w:rsidRPr="00007309">
        <w:rPr>
          <w:rFonts w:cs="Arial"/>
          <w:b/>
          <w:bCs/>
          <w:sz w:val="24"/>
          <w:szCs w:val="24"/>
          <w:rtl/>
        </w:rPr>
        <w:t xml:space="preserve">אִיהִי תָּם בִּתְלָת אֲבָהָן </w:t>
      </w:r>
      <w:r w:rsidRPr="00007309">
        <w:rPr>
          <w:rFonts w:cs="Arial"/>
          <w:b/>
          <w:bCs/>
          <w:sz w:val="36"/>
          <w:szCs w:val="28"/>
          <w:vertAlign w:val="superscript"/>
          <w:rtl/>
        </w:rPr>
        <w:footnoteReference w:id="8592"/>
      </w:r>
      <w:r w:rsidRPr="00007309">
        <w:rPr>
          <w:rFonts w:cs="Arial"/>
          <w:b/>
          <w:bCs/>
          <w:sz w:val="24"/>
          <w:szCs w:val="24"/>
          <w:rtl/>
        </w:rPr>
        <w:t>יה"ו</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593"/>
      </w:r>
      <w:r w:rsidRPr="00007309">
        <w:rPr>
          <w:rFonts w:cs="Arial"/>
          <w:b/>
          <w:bCs/>
          <w:sz w:val="24"/>
          <w:szCs w:val="24"/>
          <w:rtl/>
        </w:rPr>
        <w:t xml:space="preserve">וּבֵהּ אִשְׁתְּלִים יְהוָֹה. וּבְגִין דָּא בְּכָל אֲתַר דְּעַנְפִין מִתְפָּרְדִין לִימִינָא וּשְׂמָאלָא. אֲבָל </w:t>
      </w:r>
      <w:r w:rsidRPr="00007309">
        <w:rPr>
          <w:rFonts w:cs="Arial"/>
          <w:b/>
          <w:bCs/>
          <w:sz w:val="36"/>
          <w:szCs w:val="28"/>
          <w:vertAlign w:val="superscript"/>
          <w:rtl/>
        </w:rPr>
        <w:footnoteReference w:id="8594"/>
      </w:r>
      <w:r w:rsidRPr="00007309">
        <w:rPr>
          <w:rFonts w:cs="Arial"/>
          <w:b/>
          <w:bCs/>
          <w:sz w:val="24"/>
          <w:szCs w:val="24"/>
          <w:rtl/>
        </w:rPr>
        <w:t xml:space="preserve">לְתַתָּא אִקְּרֵי אֲגֻדָּה חֲדָא בְּעַמּוּדָא דְּאֶמְצָעִיתָא. </w:t>
      </w:r>
      <w:r w:rsidRPr="00007309">
        <w:rPr>
          <w:rFonts w:cs="Arial"/>
          <w:b/>
          <w:bCs/>
          <w:sz w:val="36"/>
          <w:szCs w:val="28"/>
          <w:vertAlign w:val="superscript"/>
          <w:rtl/>
        </w:rPr>
        <w:footnoteReference w:id="8595"/>
      </w:r>
      <w:r w:rsidRPr="00007309">
        <w:rPr>
          <w:rFonts w:cs="Arial"/>
          <w:b/>
          <w:bCs/>
          <w:sz w:val="24"/>
          <w:szCs w:val="24"/>
          <w:rtl/>
        </w:rPr>
        <w:t>וּבְגִין דָּא</w:t>
      </w:r>
      <w:r w:rsidRPr="00007309">
        <w:rPr>
          <w:rFonts w:cs="Arial" w:hint="cs"/>
          <w:b/>
          <w:bCs/>
          <w:sz w:val="24"/>
          <w:szCs w:val="24"/>
          <w:rtl/>
        </w:rPr>
        <w:t xml:space="preserve"> (בראשית כו ב)</w:t>
      </w:r>
      <w:r w:rsidRPr="00007309">
        <w:rPr>
          <w:rFonts w:cs="Arial"/>
          <w:b/>
          <w:bCs/>
          <w:sz w:val="24"/>
          <w:szCs w:val="24"/>
          <w:rtl/>
        </w:rPr>
        <w:t xml:space="preserve"> וַיַּרְא אֵלָיו ה' וַיֹּאמֶר אַל תֵּרֵד מִצְרַיְמָה</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596"/>
      </w:r>
      <w:r w:rsidRPr="00007309">
        <w:rPr>
          <w:rFonts w:cs="Arial"/>
          <w:b/>
          <w:bCs/>
          <w:sz w:val="24"/>
          <w:szCs w:val="24"/>
          <w:rtl/>
        </w:rPr>
        <w:t xml:space="preserve">דָּא דַּרְגָּא בִּישָׁא </w:t>
      </w:r>
      <w:r w:rsidRPr="00007309">
        <w:rPr>
          <w:rFonts w:cs="Arial"/>
          <w:b/>
          <w:bCs/>
          <w:sz w:val="36"/>
          <w:szCs w:val="28"/>
          <w:vertAlign w:val="superscript"/>
          <w:rtl/>
        </w:rPr>
        <w:footnoteReference w:id="8597"/>
      </w:r>
      <w:r w:rsidRPr="00007309">
        <w:rPr>
          <w:rFonts w:cs="Arial"/>
          <w:b/>
          <w:bCs/>
          <w:sz w:val="24"/>
          <w:szCs w:val="24"/>
          <w:rtl/>
        </w:rPr>
        <w:t xml:space="preserve">דִּגְרָמַת כַּפְנָא דְּאוֹרַיְתָא וַעֲנִיּוּתָא דְּפִקּוּדִין דְּאוֹרַיְתָא </w:t>
      </w:r>
      <w:r w:rsidRPr="00007309">
        <w:rPr>
          <w:rFonts w:cs="Arial"/>
          <w:b/>
          <w:bCs/>
          <w:sz w:val="36"/>
          <w:szCs w:val="28"/>
          <w:vertAlign w:val="superscript"/>
          <w:rtl/>
        </w:rPr>
        <w:footnoteReference w:id="8598"/>
      </w:r>
      <w:r w:rsidRPr="00007309">
        <w:rPr>
          <w:rFonts w:cs="Arial"/>
          <w:b/>
          <w:bCs/>
          <w:sz w:val="24"/>
          <w:szCs w:val="24"/>
          <w:rtl/>
        </w:rPr>
        <w:t>וְהָא אוֹקְמוּהּ</w:t>
      </w:r>
      <w:r w:rsidRPr="00007309">
        <w:rPr>
          <w:rFonts w:cs="Arial" w:hint="cs"/>
          <w:b/>
          <w:bCs/>
          <w:sz w:val="24"/>
          <w:szCs w:val="24"/>
          <w:rtl/>
        </w:rPr>
        <w:t>.</w:t>
      </w:r>
      <w:r w:rsidRPr="00007309">
        <w:rPr>
          <w:rFonts w:cs="Arial"/>
          <w:b/>
          <w:bCs/>
          <w:sz w:val="24"/>
          <w:szCs w:val="24"/>
          <w:rtl/>
        </w:rPr>
        <w:t xml:space="preserve"> </w:t>
      </w:r>
    </w:p>
    <w:p w:rsidR="00007309" w:rsidRPr="00007309" w:rsidRDefault="00007309" w:rsidP="00007309">
      <w:pPr>
        <w:keepNext/>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[וילנא מז ע"א]</w:t>
      </w:r>
    </w:p>
    <w:p w:rsidR="00007309" w:rsidRPr="00007309" w:rsidRDefault="00007309" w:rsidP="00007309">
      <w:pPr>
        <w:jc w:val="both"/>
        <w:rPr>
          <w:rFonts w:cs="Arial"/>
          <w:b/>
          <w:bCs/>
          <w:sz w:val="24"/>
          <w:szCs w:val="24"/>
        </w:rPr>
      </w:pPr>
      <w:r w:rsidRPr="00007309">
        <w:rPr>
          <w:rFonts w:cs="Arial"/>
          <w:b/>
          <w:bCs/>
          <w:sz w:val="24"/>
          <w:szCs w:val="24"/>
          <w:rtl/>
        </w:rPr>
        <w:t>שְׁכֹן בָּאָרֶץ</w:t>
      </w:r>
      <w:r w:rsidRPr="00007309">
        <w:rPr>
          <w:rFonts w:cs="Arial" w:hint="cs"/>
          <w:b/>
          <w:bCs/>
          <w:sz w:val="24"/>
          <w:szCs w:val="24"/>
          <w:rtl/>
        </w:rPr>
        <w:t xml:space="preserve"> (בראשית כו ב),</w:t>
      </w:r>
      <w:r w:rsidRPr="00007309">
        <w:rPr>
          <w:rFonts w:cs="Arial"/>
          <w:b/>
          <w:bCs/>
          <w:sz w:val="24"/>
          <w:szCs w:val="24"/>
        </w:rPr>
        <w:t xml:space="preserve"> </w:t>
      </w:r>
      <w:r w:rsidRPr="00007309">
        <w:rPr>
          <w:rFonts w:cs="Arial"/>
          <w:b/>
          <w:bCs/>
          <w:sz w:val="36"/>
          <w:szCs w:val="28"/>
          <w:vertAlign w:val="superscript"/>
          <w:rtl/>
        </w:rPr>
        <w:footnoteReference w:id="8599"/>
      </w:r>
      <w:r w:rsidRPr="00007309">
        <w:rPr>
          <w:rFonts w:cs="Arial"/>
          <w:b/>
          <w:bCs/>
          <w:sz w:val="24"/>
          <w:szCs w:val="24"/>
          <w:rtl/>
        </w:rPr>
        <w:t>דָּא שְׁכִינְתָּא</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600"/>
      </w:r>
      <w:r w:rsidRPr="00007309">
        <w:rPr>
          <w:rFonts w:cs="Arial"/>
          <w:b/>
          <w:bCs/>
          <w:sz w:val="24"/>
          <w:szCs w:val="24"/>
          <w:rtl/>
        </w:rPr>
        <w:t xml:space="preserve">וְהָא אוֹקְמוּהּ קַדְמָאִין, כָּל הַדָּר בְּחוּצָה לָאָרֶץ דּוֹמֶה כְּמִי שֶׁאֵין לוֹ אֱלוֹהַּ. </w:t>
      </w:r>
      <w:r w:rsidRPr="00007309">
        <w:rPr>
          <w:rFonts w:cs="Arial"/>
          <w:b/>
          <w:bCs/>
          <w:sz w:val="36"/>
          <w:szCs w:val="28"/>
          <w:vertAlign w:val="superscript"/>
          <w:rtl/>
        </w:rPr>
        <w:footnoteReference w:id="8601"/>
      </w:r>
      <w:r w:rsidRPr="00007309">
        <w:rPr>
          <w:rFonts w:cs="Arial"/>
          <w:b/>
          <w:bCs/>
          <w:sz w:val="24"/>
          <w:szCs w:val="24"/>
          <w:rtl/>
        </w:rPr>
        <w:t xml:space="preserve">וְאַבְרָם דַּרְגֵּהּ אַרְיֵה דְּאִתְּמַר בֵּהּ </w:t>
      </w:r>
      <w:r w:rsidRPr="00007309">
        <w:rPr>
          <w:rFonts w:cs="Arial"/>
          <w:b/>
          <w:bCs/>
          <w:sz w:val="36"/>
          <w:szCs w:val="28"/>
          <w:vertAlign w:val="superscript"/>
          <w:rtl/>
        </w:rPr>
        <w:footnoteReference w:id="8602"/>
      </w:r>
      <w:r w:rsidRPr="00007309">
        <w:rPr>
          <w:rFonts w:cs="Arial"/>
          <w:b/>
          <w:bCs/>
          <w:sz w:val="24"/>
          <w:szCs w:val="24"/>
          <w:rtl/>
        </w:rPr>
        <w:t xml:space="preserve">גּוּר אַרְיֵה. וּבְגִין דָּא אָמַר לוֹ הַקּוּדְשָׁא בְּרִיךְ הוּא </w:t>
      </w:r>
      <w:r w:rsidRPr="00007309">
        <w:rPr>
          <w:rFonts w:ascii="Cambria" w:hAnsi="Cambria" w:cs="Times New Roman"/>
          <w:b/>
          <w:bCs/>
          <w:i/>
          <w:iCs/>
          <w:color w:val="4F81BD"/>
          <w:sz w:val="24"/>
          <w:szCs w:val="24"/>
          <w:rtl/>
        </w:rPr>
        <w:t>(</w:t>
      </w:r>
      <w:r w:rsidRPr="00007309">
        <w:rPr>
          <w:rFonts w:ascii="Cambria" w:hAnsi="Cambria" w:cs="Times New Roman" w:hint="cs"/>
          <w:b/>
          <w:bCs/>
          <w:i/>
          <w:iCs/>
          <w:color w:val="4F81BD"/>
          <w:sz w:val="24"/>
          <w:szCs w:val="24"/>
          <w:rtl/>
        </w:rPr>
        <w:t>וילנא מז</w:t>
      </w:r>
      <w:r w:rsidRPr="00007309">
        <w:rPr>
          <w:rFonts w:ascii="Cambria" w:hAnsi="Cambria" w:cs="Times New Roman"/>
          <w:b/>
          <w:bCs/>
          <w:i/>
          <w:iCs/>
          <w:color w:val="4F81BD"/>
          <w:sz w:val="24"/>
          <w:szCs w:val="24"/>
          <w:rtl/>
        </w:rPr>
        <w:t xml:space="preserve"> ע"א)</w:t>
      </w:r>
      <w:r w:rsidRPr="00007309">
        <w:rPr>
          <w:rFonts w:cs="Arial"/>
          <w:b/>
          <w:bCs/>
          <w:sz w:val="24"/>
          <w:szCs w:val="24"/>
          <w:rtl/>
        </w:rPr>
        <w:t xml:space="preserve"> גּוּר בָּאָרֶץ הַזֹּאת. </w:t>
      </w:r>
      <w:r w:rsidRPr="00007309">
        <w:rPr>
          <w:rFonts w:cs="Arial"/>
          <w:b/>
          <w:bCs/>
          <w:sz w:val="36"/>
          <w:szCs w:val="28"/>
          <w:vertAlign w:val="superscript"/>
          <w:rtl/>
        </w:rPr>
        <w:footnoteReference w:id="8603"/>
      </w:r>
      <w:r w:rsidRPr="00007309">
        <w:rPr>
          <w:rFonts w:cs="Arial"/>
          <w:b/>
          <w:bCs/>
          <w:sz w:val="24"/>
          <w:szCs w:val="24"/>
          <w:rtl/>
        </w:rPr>
        <w:t xml:space="preserve">יְמִינָא תַּמָּן יה"ו דְּסָלִיק לְחֻשְׁבַּן אֶהְיֶ"ה וְתַמָּן ו' </w:t>
      </w:r>
      <w:r w:rsidRPr="00007309">
        <w:rPr>
          <w:rFonts w:cs="Arial"/>
          <w:b/>
          <w:bCs/>
          <w:sz w:val="36"/>
          <w:szCs w:val="28"/>
          <w:vertAlign w:val="superscript"/>
          <w:rtl/>
        </w:rPr>
        <w:footnoteReference w:id="8604"/>
      </w:r>
      <w:r w:rsidRPr="00007309">
        <w:rPr>
          <w:rFonts w:cs="Arial"/>
          <w:b/>
          <w:bCs/>
          <w:sz w:val="24"/>
          <w:szCs w:val="24"/>
          <w:rtl/>
        </w:rPr>
        <w:t xml:space="preserve">בְּגִין ה' דְּאַבְרָהָם דְּאִיהִי הָאָרֶץ. וּמִסִּטְרָא דִּימִינָא אִתְקְרֵי בָּאָרֶץ </w:t>
      </w:r>
      <w:r w:rsidRPr="00007309">
        <w:rPr>
          <w:rFonts w:cs="Arial"/>
          <w:b/>
          <w:bCs/>
          <w:sz w:val="36"/>
          <w:szCs w:val="28"/>
          <w:vertAlign w:val="superscript"/>
          <w:rtl/>
        </w:rPr>
        <w:footnoteReference w:id="8605"/>
      </w:r>
      <w:r w:rsidRPr="00007309">
        <w:rPr>
          <w:rFonts w:cs="Arial"/>
          <w:b/>
          <w:bCs/>
          <w:sz w:val="24"/>
          <w:szCs w:val="24"/>
          <w:rtl/>
        </w:rPr>
        <w:t xml:space="preserve">דְּתַמָּן אָב ב'א בְּהִפּוּךְ אַתְוָן אָב וְהַאי אִיהוּ בָּאָרֶ"ץ כִּי אָב הֲמוֹן גּוֹיִם נְתַתִּיךָ. </w:t>
      </w:r>
      <w:r w:rsidRPr="00007309">
        <w:rPr>
          <w:rFonts w:cs="Arial"/>
          <w:b/>
          <w:bCs/>
          <w:sz w:val="36"/>
          <w:szCs w:val="28"/>
          <w:vertAlign w:val="superscript"/>
          <w:rtl/>
        </w:rPr>
        <w:footnoteReference w:id="8606"/>
      </w:r>
      <w:r w:rsidRPr="00007309">
        <w:rPr>
          <w:rFonts w:cs="Arial"/>
          <w:b/>
          <w:bCs/>
          <w:sz w:val="24"/>
          <w:szCs w:val="24"/>
          <w:rtl/>
        </w:rPr>
        <w:t xml:space="preserve">וְאֶהְיֶה עִמָּךְ דָּא יה'ו בְּחֻשְׁבַּן אֶהְיֶה. </w:t>
      </w:r>
      <w:r w:rsidRPr="00007309">
        <w:rPr>
          <w:rFonts w:cs="Arial"/>
          <w:b/>
          <w:bCs/>
          <w:sz w:val="36"/>
          <w:szCs w:val="28"/>
          <w:vertAlign w:val="superscript"/>
          <w:rtl/>
        </w:rPr>
        <w:footnoteReference w:id="8607"/>
      </w:r>
      <w:r w:rsidRPr="00007309">
        <w:rPr>
          <w:rFonts w:cs="Arial"/>
          <w:b/>
          <w:bCs/>
          <w:sz w:val="24"/>
          <w:szCs w:val="24"/>
          <w:rtl/>
        </w:rPr>
        <w:t xml:space="preserve">בְּגִין ה' וְאֶהְיֶה עִמָּךְ ו' </w:t>
      </w:r>
      <w:r w:rsidRPr="00007309">
        <w:rPr>
          <w:rFonts w:cs="Arial"/>
          <w:b/>
          <w:bCs/>
          <w:sz w:val="36"/>
          <w:szCs w:val="28"/>
          <w:vertAlign w:val="superscript"/>
          <w:rtl/>
        </w:rPr>
        <w:footnoteReference w:id="8608"/>
      </w:r>
      <w:r w:rsidRPr="00007309">
        <w:rPr>
          <w:rFonts w:cs="Arial"/>
          <w:b/>
          <w:bCs/>
          <w:sz w:val="24"/>
          <w:szCs w:val="24"/>
          <w:rtl/>
        </w:rPr>
        <w:t xml:space="preserve">דְּאִיהוּ בֵּן יָ"הּ מִן אֶהְיֶה עִמָּךְ. </w:t>
      </w:r>
      <w:r w:rsidRPr="00007309">
        <w:rPr>
          <w:rFonts w:cs="Arial"/>
          <w:b/>
          <w:bCs/>
          <w:sz w:val="36"/>
          <w:szCs w:val="28"/>
          <w:vertAlign w:val="superscript"/>
          <w:rtl/>
        </w:rPr>
        <w:footnoteReference w:id="8609"/>
      </w:r>
      <w:r w:rsidRPr="00007309">
        <w:rPr>
          <w:rFonts w:cs="Arial"/>
          <w:b/>
          <w:bCs/>
          <w:sz w:val="24"/>
          <w:szCs w:val="24"/>
          <w:rtl/>
        </w:rPr>
        <w:t>וַאֲבָרֶכְךָ דְּבִרְכָאָן</w:t>
      </w:r>
      <w:r w:rsidRPr="00007309">
        <w:rPr>
          <w:rFonts w:cs="Arial"/>
          <w:b/>
          <w:bCs/>
          <w:sz w:val="24"/>
          <w:szCs w:val="28"/>
        </w:rPr>
        <w:t xml:space="preserve"> </w:t>
      </w:r>
      <w:r w:rsidRPr="00007309">
        <w:rPr>
          <w:rFonts w:cs="Arial"/>
          <w:b/>
          <w:bCs/>
          <w:sz w:val="24"/>
          <w:szCs w:val="24"/>
          <w:rtl/>
        </w:rPr>
        <w:t xml:space="preserve">מִסִּטְרָא דְּכַהֲנָא אִנּוּן. </w:t>
      </w:r>
      <w:r w:rsidRPr="00007309">
        <w:rPr>
          <w:rFonts w:cs="Arial"/>
          <w:b/>
          <w:bCs/>
          <w:sz w:val="36"/>
          <w:szCs w:val="28"/>
          <w:vertAlign w:val="superscript"/>
          <w:rtl/>
        </w:rPr>
        <w:footnoteReference w:id="8610"/>
      </w:r>
      <w:r w:rsidRPr="00007309">
        <w:rPr>
          <w:rFonts w:cs="Arial"/>
          <w:b/>
          <w:bCs/>
          <w:sz w:val="24"/>
          <w:szCs w:val="24"/>
          <w:rtl/>
        </w:rPr>
        <w:t xml:space="preserve">שְׁכִינְתָּא עִלָּאָה אִתְקְרִיאַת בְּרָכָה מִסִּטְרָא דִּימִינָא. וּקְדּוּשָׁא מִסִּטְרָא דִּשְׂמָאלָא. וְעַמּוּדָא דְּאֶמְצָעִיתָא אִתְקְרֵי יְבָרֵךְ הָדָא הוּא דִּכְתִיב בָּךְ יְבָרֵךְ יִשְׂרָאֵל. וּמִסִּטְרָא דִּשְׂמָאלָא אִתְקְרֵי קֹדֶשׁ הָדָא הוּא דִּכְתִיב </w:t>
      </w:r>
      <w:r w:rsidRPr="00007309">
        <w:rPr>
          <w:rFonts w:cs="Arial" w:hint="cs"/>
          <w:b/>
          <w:bCs/>
          <w:sz w:val="24"/>
          <w:szCs w:val="24"/>
          <w:rtl/>
        </w:rPr>
        <w:t xml:space="preserve">(ירמיהו ב ג) </w:t>
      </w:r>
      <w:r w:rsidRPr="00007309">
        <w:rPr>
          <w:rFonts w:cs="Arial"/>
          <w:b/>
          <w:bCs/>
          <w:sz w:val="24"/>
          <w:szCs w:val="24"/>
          <w:rtl/>
        </w:rPr>
        <w:t xml:space="preserve">קֹדֶשׁ יִשְׂרָאֵל לַה' </w:t>
      </w:r>
      <w:r w:rsidRPr="00007309">
        <w:rPr>
          <w:rFonts w:cs="Arial"/>
          <w:b/>
          <w:bCs/>
          <w:sz w:val="36"/>
          <w:szCs w:val="28"/>
          <w:vertAlign w:val="superscript"/>
          <w:rtl/>
        </w:rPr>
        <w:footnoteReference w:id="8611"/>
      </w:r>
      <w:r w:rsidRPr="00007309">
        <w:rPr>
          <w:rFonts w:cs="Arial"/>
          <w:b/>
          <w:bCs/>
          <w:sz w:val="24"/>
          <w:szCs w:val="24"/>
          <w:rtl/>
        </w:rPr>
        <w:t xml:space="preserve">וּקְדּוּשָׁא מִסִּטְרָא דִּשְׂמָאלָא </w:t>
      </w:r>
      <w:r w:rsidRPr="00007309">
        <w:rPr>
          <w:rFonts w:cs="Arial" w:hint="cs"/>
          <w:b/>
          <w:bCs/>
          <w:sz w:val="24"/>
          <w:szCs w:val="24"/>
          <w:rtl/>
        </w:rPr>
        <w:t xml:space="preserve">(ויקרא יט ל, כו ב) </w:t>
      </w:r>
      <w:r w:rsidRPr="00007309">
        <w:rPr>
          <w:rFonts w:cs="Arial"/>
          <w:b/>
          <w:bCs/>
          <w:sz w:val="24"/>
          <w:szCs w:val="24"/>
          <w:rtl/>
        </w:rPr>
        <w:t xml:space="preserve">וּמִקְדָּשִׁי תִירָאוּ וְקָדוֹשׁ מִסִּטְרָא דִּשְׂמָאלָא. וּבְגִין דְּאִיהִי בְּרָכָה מִסִּטְרָא דִּימִינָא אָמַר וַאֲבָרֶכְךָ </w:t>
      </w:r>
      <w:r w:rsidRPr="00007309">
        <w:rPr>
          <w:rFonts w:cs="Arial"/>
          <w:b/>
          <w:bCs/>
          <w:sz w:val="36"/>
          <w:szCs w:val="28"/>
          <w:vertAlign w:val="superscript"/>
          <w:rtl/>
        </w:rPr>
        <w:footnoteReference w:id="8612"/>
      </w:r>
      <w:r w:rsidRPr="00007309">
        <w:rPr>
          <w:rFonts w:cs="Arial"/>
          <w:b/>
          <w:bCs/>
          <w:sz w:val="24"/>
          <w:szCs w:val="24"/>
          <w:rtl/>
        </w:rPr>
        <w:t xml:space="preserve">כִּי לְךָ וּלְזַרְעֲךָ. זֶרַע מִסִּטְרָא דְּעַמּוּדָא דְּאֶמְצָעִיתָא אִיהוּ לְעֵלָּא, וּמִסִּטְרָא דְּצַדִּיק לְתַתָּא, וְהַאי אִיהוּ </w:t>
      </w:r>
      <w:r w:rsidRPr="00007309">
        <w:rPr>
          <w:rFonts w:cs="Arial"/>
          <w:sz w:val="36"/>
          <w:szCs w:val="24"/>
          <w:rtl/>
        </w:rPr>
        <w:t xml:space="preserve">(ויקרא יא לז) </w:t>
      </w:r>
      <w:r w:rsidRPr="00007309">
        <w:rPr>
          <w:rFonts w:cs="Arial"/>
          <w:b/>
          <w:bCs/>
          <w:sz w:val="24"/>
          <w:szCs w:val="24"/>
          <w:rtl/>
        </w:rPr>
        <w:t xml:space="preserve">עַל כָּל זֶרַע זֵרוּעַ. זָרוּעַ לְעֵלָּא זֶרַע לְתַתָּא. </w:t>
      </w:r>
      <w:r w:rsidRPr="00007309">
        <w:rPr>
          <w:rFonts w:cs="Arial"/>
          <w:b/>
          <w:bCs/>
          <w:sz w:val="36"/>
          <w:szCs w:val="28"/>
          <w:vertAlign w:val="superscript"/>
          <w:rtl/>
        </w:rPr>
        <w:footnoteReference w:id="8613"/>
      </w:r>
      <w:r w:rsidRPr="00007309">
        <w:rPr>
          <w:rFonts w:cs="Arial"/>
          <w:b/>
          <w:bCs/>
          <w:sz w:val="24"/>
          <w:szCs w:val="24"/>
          <w:rtl/>
        </w:rPr>
        <w:t xml:space="preserve">דְּמָאן דְּנָטִיר בְּרִית סָלִיק עַל כָּל אִלֵּין קְלִפִּין </w:t>
      </w:r>
      <w:r w:rsidRPr="00007309">
        <w:rPr>
          <w:rFonts w:cs="Arial"/>
          <w:b/>
          <w:bCs/>
          <w:sz w:val="36"/>
          <w:szCs w:val="28"/>
          <w:vertAlign w:val="superscript"/>
          <w:rtl/>
        </w:rPr>
        <w:footnoteReference w:id="8614"/>
      </w:r>
      <w:r w:rsidRPr="00007309">
        <w:rPr>
          <w:rFonts w:cs="Arial"/>
          <w:b/>
          <w:bCs/>
          <w:sz w:val="24"/>
          <w:szCs w:val="24"/>
          <w:rtl/>
        </w:rPr>
        <w:t>דְּאִנּוּן עָרְלָה וּפְרִיעָה, דְּתַמָּן סַמָּאֵל וְנָחָשׁ מְמָנָן דְּכָל אֻמִּין דְּעָלְמָא פַּ</w:t>
      </w:r>
      <w:r w:rsidRPr="00007309">
        <w:rPr>
          <w:rFonts w:cs="Arial" w:hint="cs"/>
          <w:b/>
          <w:bCs/>
          <w:sz w:val="24"/>
          <w:szCs w:val="24"/>
          <w:rtl/>
        </w:rPr>
        <w:t>ל</w:t>
      </w:r>
      <w:r w:rsidRPr="00007309">
        <w:rPr>
          <w:rFonts w:cs="Arial"/>
          <w:b/>
          <w:bCs/>
          <w:sz w:val="24"/>
          <w:szCs w:val="24"/>
          <w:rtl/>
        </w:rPr>
        <w:t>ְ</w:t>
      </w:r>
      <w:r w:rsidRPr="00007309">
        <w:rPr>
          <w:rFonts w:cs="Arial" w:hint="cs"/>
          <w:b/>
          <w:bCs/>
          <w:sz w:val="24"/>
          <w:szCs w:val="24"/>
          <w:rtl/>
        </w:rPr>
        <w:t>ח</w:t>
      </w:r>
      <w:r w:rsidRPr="00007309">
        <w:rPr>
          <w:rFonts w:cs="Arial"/>
          <w:b/>
          <w:bCs/>
          <w:sz w:val="24"/>
          <w:szCs w:val="24"/>
          <w:rtl/>
        </w:rPr>
        <w:t>ֵ</w:t>
      </w:r>
      <w:r w:rsidRPr="00007309">
        <w:rPr>
          <w:rFonts w:cs="Arial" w:hint="cs"/>
          <w:b/>
          <w:bCs/>
          <w:sz w:val="24"/>
          <w:szCs w:val="24"/>
          <w:rtl/>
        </w:rPr>
        <w:t>י כ</w:t>
      </w:r>
      <w:r w:rsidRPr="00007309">
        <w:rPr>
          <w:rFonts w:cs="Arial"/>
          <w:b/>
          <w:bCs/>
          <w:sz w:val="24"/>
          <w:szCs w:val="24"/>
          <w:rtl/>
        </w:rPr>
        <w:t>ּ</w:t>
      </w:r>
      <w:r w:rsidRPr="00007309">
        <w:rPr>
          <w:rFonts w:cs="Arial" w:hint="cs"/>
          <w:b/>
          <w:bCs/>
          <w:sz w:val="24"/>
          <w:szCs w:val="24"/>
          <w:rtl/>
        </w:rPr>
        <w:t>ו</w:t>
      </w:r>
      <w:r w:rsidRPr="00007309">
        <w:rPr>
          <w:rFonts w:cs="Arial"/>
          <w:b/>
          <w:bCs/>
          <w:sz w:val="24"/>
          <w:szCs w:val="24"/>
          <w:rtl/>
        </w:rPr>
        <w:t>ֹ</w:t>
      </w:r>
      <w:r w:rsidRPr="00007309">
        <w:rPr>
          <w:rFonts w:cs="Arial" w:hint="cs"/>
          <w:b/>
          <w:bCs/>
          <w:sz w:val="24"/>
          <w:szCs w:val="24"/>
          <w:rtl/>
        </w:rPr>
        <w:t>כ</w:t>
      </w:r>
      <w:r w:rsidRPr="00007309">
        <w:rPr>
          <w:rFonts w:cs="Arial"/>
          <w:b/>
          <w:bCs/>
          <w:sz w:val="24"/>
          <w:szCs w:val="24"/>
          <w:rtl/>
        </w:rPr>
        <w:t>ְ</w:t>
      </w:r>
      <w:r w:rsidRPr="00007309">
        <w:rPr>
          <w:rFonts w:cs="Arial" w:hint="cs"/>
          <w:b/>
          <w:bCs/>
          <w:sz w:val="24"/>
          <w:szCs w:val="24"/>
          <w:rtl/>
        </w:rPr>
        <w:t>ב</w:t>
      </w:r>
      <w:r w:rsidRPr="00007309">
        <w:rPr>
          <w:rFonts w:cs="Arial"/>
          <w:b/>
          <w:bCs/>
          <w:sz w:val="24"/>
          <w:szCs w:val="24"/>
          <w:rtl/>
        </w:rPr>
        <w:t>ַ</w:t>
      </w:r>
      <w:r w:rsidRPr="00007309">
        <w:rPr>
          <w:rFonts w:cs="Arial" w:hint="cs"/>
          <w:b/>
          <w:bCs/>
          <w:sz w:val="24"/>
          <w:szCs w:val="24"/>
          <w:rtl/>
        </w:rPr>
        <w:t>י</w:t>
      </w:r>
      <w:r w:rsidRPr="00007309">
        <w:rPr>
          <w:rFonts w:cs="Arial"/>
          <w:b/>
          <w:bCs/>
          <w:sz w:val="24"/>
          <w:szCs w:val="24"/>
          <w:rtl/>
        </w:rPr>
        <w:t>ָ</w:t>
      </w:r>
      <w:r w:rsidRPr="00007309">
        <w:rPr>
          <w:rFonts w:cs="Arial" w:hint="cs"/>
          <w:b/>
          <w:bCs/>
          <w:sz w:val="24"/>
          <w:szCs w:val="24"/>
          <w:rtl/>
        </w:rPr>
        <w:t>א</w:t>
      </w:r>
      <w:r w:rsidRPr="00007309">
        <w:rPr>
          <w:rFonts w:cs="Arial"/>
          <w:b/>
          <w:bCs/>
          <w:sz w:val="24"/>
          <w:szCs w:val="24"/>
          <w:rtl/>
        </w:rPr>
        <w:t xml:space="preserve"> </w:t>
      </w:r>
      <w:r w:rsidRPr="00007309">
        <w:rPr>
          <w:rFonts w:cs="Arial"/>
          <w:b/>
          <w:bCs/>
          <w:sz w:val="36"/>
          <w:szCs w:val="28"/>
          <w:vertAlign w:val="superscript"/>
          <w:rtl/>
        </w:rPr>
        <w:footnoteReference w:id="8615"/>
      </w:r>
      <w:r w:rsidRPr="00007309">
        <w:rPr>
          <w:rFonts w:cs="Arial"/>
          <w:b/>
          <w:bCs/>
          <w:sz w:val="24"/>
          <w:szCs w:val="24"/>
          <w:rtl/>
        </w:rPr>
        <w:t>וּבְגִין דָּא כִּי לְךָ וּלְזַרְעֲךָ אֶתֵּן אֶת כָּל הָאֲרָצוֹת הָאֵל. דְּאִנּוּן</w:t>
      </w:r>
      <w:r w:rsidRPr="00007309">
        <w:rPr>
          <w:rFonts w:cs="Arial"/>
          <w:b/>
          <w:bCs/>
          <w:sz w:val="24"/>
          <w:szCs w:val="24"/>
        </w:rPr>
        <w:t xml:space="preserve"> </w:t>
      </w:r>
      <w:r w:rsidRPr="00007309">
        <w:rPr>
          <w:rFonts w:cs="Arial"/>
          <w:b/>
          <w:bCs/>
          <w:sz w:val="24"/>
          <w:szCs w:val="24"/>
          <w:rtl/>
        </w:rPr>
        <w:t>שֻׁלְטָנוּתָא דְּאֵל אַחֵ</w:t>
      </w:r>
      <w:r w:rsidRPr="00007309">
        <w:rPr>
          <w:rFonts w:cs="Arial" w:hint="cs"/>
          <w:b/>
          <w:bCs/>
          <w:sz w:val="24"/>
          <w:szCs w:val="24"/>
          <w:rtl/>
        </w:rPr>
        <w:t>ר</w:t>
      </w:r>
      <w:r w:rsidRPr="00007309">
        <w:rPr>
          <w:rFonts w:cs="Arial"/>
          <w:b/>
          <w:bCs/>
          <w:sz w:val="24"/>
          <w:szCs w:val="24"/>
          <w:rtl/>
        </w:rPr>
        <w:t xml:space="preserve">. וַהֲקִמֹתִי אֶת הַשְּׁבוּעָה. שְׁבוּעָה אִיהִי שְׁכִינְתָּא </w:t>
      </w:r>
      <w:r w:rsidRPr="00007309">
        <w:rPr>
          <w:rFonts w:cs="Arial"/>
          <w:b/>
          <w:bCs/>
          <w:sz w:val="36"/>
          <w:szCs w:val="28"/>
          <w:vertAlign w:val="superscript"/>
          <w:rtl/>
        </w:rPr>
        <w:footnoteReference w:id="8616"/>
      </w:r>
      <w:r w:rsidRPr="00007309">
        <w:rPr>
          <w:rFonts w:cs="Arial"/>
          <w:b/>
          <w:bCs/>
          <w:sz w:val="24"/>
          <w:szCs w:val="24"/>
          <w:rtl/>
        </w:rPr>
        <w:t xml:space="preserve">קִיּוּמָא דִּילָהּ עַמּוּדָא דְּאֶמְצָעִיתָא. אֲשֶׁר נִשְׁבַּעְתִּי לְאַבְרָהָם אָבִיךָ. דְּבֵהּ פֻּרְקָנָא </w:t>
      </w:r>
      <w:r w:rsidRPr="00007309">
        <w:rPr>
          <w:rFonts w:cs="Arial"/>
          <w:b/>
          <w:bCs/>
          <w:sz w:val="36"/>
          <w:szCs w:val="28"/>
          <w:vertAlign w:val="superscript"/>
          <w:rtl/>
        </w:rPr>
        <w:footnoteReference w:id="8617"/>
      </w:r>
      <w:r w:rsidRPr="00007309">
        <w:rPr>
          <w:rFonts w:cs="Arial"/>
          <w:b/>
          <w:bCs/>
          <w:sz w:val="24"/>
          <w:szCs w:val="24"/>
          <w:rtl/>
        </w:rPr>
        <w:t xml:space="preserve">הָדָא הוּא דִּכְתִיב חַי ה' שִׁכְבִי עַד הַבֹּקֶר. עֵקֶב אֲשֶׁר שָׁמַע אַבְרָהָם בְּקוֹלִי. עָקֵב </w:t>
      </w:r>
      <w:r w:rsidRPr="00007309">
        <w:rPr>
          <w:rFonts w:cs="Arial"/>
          <w:b/>
          <w:bCs/>
          <w:sz w:val="36"/>
          <w:szCs w:val="28"/>
          <w:vertAlign w:val="superscript"/>
          <w:rtl/>
        </w:rPr>
        <w:footnoteReference w:id="8618"/>
      </w:r>
      <w:r w:rsidRPr="00007309">
        <w:rPr>
          <w:rFonts w:cs="Arial"/>
          <w:b/>
          <w:bCs/>
          <w:sz w:val="24"/>
          <w:szCs w:val="24"/>
          <w:rtl/>
        </w:rPr>
        <w:t xml:space="preserve">רֹאשֵׁי תֵּבוֹת ע' עֲנָוָה. ק' קְדֻשָּׁה. ב' בְּרָכָה. </w:t>
      </w:r>
      <w:r w:rsidRPr="00007309">
        <w:rPr>
          <w:rFonts w:cs="Arial"/>
          <w:b/>
          <w:bCs/>
          <w:sz w:val="36"/>
          <w:szCs w:val="28"/>
          <w:vertAlign w:val="superscript"/>
          <w:rtl/>
        </w:rPr>
        <w:footnoteReference w:id="8619"/>
      </w:r>
      <w:r w:rsidRPr="00007309">
        <w:rPr>
          <w:rFonts w:cs="Arial"/>
          <w:b/>
          <w:bCs/>
          <w:sz w:val="24"/>
          <w:szCs w:val="24"/>
          <w:rtl/>
        </w:rPr>
        <w:t xml:space="preserve">סַנְדָּל לַעֲנָוָה יִרְאָה. וּבְגִין דָּא </w:t>
      </w:r>
      <w:r w:rsidRPr="00007309">
        <w:rPr>
          <w:rFonts w:cs="Arial" w:hint="cs"/>
          <w:b/>
          <w:bCs/>
          <w:sz w:val="24"/>
          <w:szCs w:val="24"/>
          <w:rtl/>
        </w:rPr>
        <w:t xml:space="preserve">(משלי כב ד) </w:t>
      </w:r>
      <w:r w:rsidRPr="00007309">
        <w:rPr>
          <w:rFonts w:cs="Arial"/>
          <w:b/>
          <w:bCs/>
          <w:sz w:val="24"/>
          <w:szCs w:val="24"/>
          <w:rtl/>
        </w:rPr>
        <w:t>עֵקֵב עֲנָוָה יִרְאַת ה'. עֲנָוָה מִסִּטְרָא דְּעַמּוּדָא דְּאֶמְצָעִיתָא. וּבְגִין דְּמֹשֶׁה הֲוָה מִתַּמָּן, אִתְּמַר</w:t>
      </w:r>
      <w:r w:rsidRPr="00007309">
        <w:rPr>
          <w:rFonts w:cs="Arial"/>
          <w:b/>
          <w:bCs/>
          <w:sz w:val="24"/>
          <w:szCs w:val="24"/>
        </w:rPr>
        <w:t xml:space="preserve"> </w:t>
      </w:r>
      <w:r w:rsidRPr="00007309">
        <w:rPr>
          <w:rFonts w:cs="Arial"/>
          <w:b/>
          <w:bCs/>
          <w:sz w:val="24"/>
          <w:szCs w:val="24"/>
          <w:rtl/>
        </w:rPr>
        <w:t xml:space="preserve">בֵּהּ </w:t>
      </w:r>
      <w:r w:rsidRPr="00007309">
        <w:rPr>
          <w:rFonts w:cs="Arial" w:hint="cs"/>
          <w:b/>
          <w:bCs/>
          <w:sz w:val="24"/>
          <w:szCs w:val="24"/>
          <w:rtl/>
        </w:rPr>
        <w:t xml:space="preserve">(במדבר יב ג) </w:t>
      </w:r>
      <w:r w:rsidRPr="00007309">
        <w:rPr>
          <w:rFonts w:cs="Arial"/>
          <w:b/>
          <w:bCs/>
          <w:sz w:val="24"/>
          <w:szCs w:val="24"/>
          <w:rtl/>
        </w:rPr>
        <w:t xml:space="preserve">וְהָאִישׁ מֹשֶׁה </w:t>
      </w:r>
      <w:r w:rsidRPr="00007309">
        <w:rPr>
          <w:rFonts w:cs="Arial"/>
          <w:b/>
          <w:bCs/>
          <w:sz w:val="36"/>
          <w:szCs w:val="28"/>
          <w:vertAlign w:val="superscript"/>
          <w:rtl/>
        </w:rPr>
        <w:footnoteReference w:id="8620"/>
      </w:r>
      <w:r w:rsidRPr="00007309">
        <w:rPr>
          <w:rFonts w:cs="Arial"/>
          <w:b/>
          <w:bCs/>
          <w:sz w:val="24"/>
          <w:szCs w:val="24"/>
          <w:rtl/>
        </w:rPr>
        <w:t xml:space="preserve">עָנָיו מְאֹד. </w:t>
      </w:r>
      <w:r w:rsidRPr="00007309">
        <w:rPr>
          <w:rFonts w:cs="Arial"/>
          <w:b/>
          <w:bCs/>
          <w:sz w:val="36"/>
          <w:szCs w:val="28"/>
          <w:vertAlign w:val="superscript"/>
          <w:rtl/>
        </w:rPr>
        <w:footnoteReference w:id="8621"/>
      </w:r>
      <w:r w:rsidRPr="00007309">
        <w:rPr>
          <w:rFonts w:cs="Arial"/>
          <w:b/>
          <w:bCs/>
          <w:sz w:val="24"/>
          <w:szCs w:val="24"/>
          <w:rtl/>
        </w:rPr>
        <w:t>וַעֲנָוָה מִימִינָא וּשְׁכִינְתָּא יִרְאָה מִסִּטְרָא דִּשְׂמָאלָא. וּבְגִין דִּשְׁכִינְתָּא אִיהִי עָקֵב לְעַמּוּדָא דְּאֶמְצָעִיתָא אִתְּמַר בֵּהּ</w:t>
      </w:r>
      <w:r w:rsidRPr="00007309">
        <w:rPr>
          <w:rFonts w:cs="Arial" w:hint="cs"/>
          <w:b/>
          <w:bCs/>
          <w:sz w:val="24"/>
          <w:szCs w:val="24"/>
          <w:rtl/>
        </w:rPr>
        <w:t xml:space="preserve"> (תהלים קיט קס)</w:t>
      </w:r>
      <w:r w:rsidRPr="00007309">
        <w:rPr>
          <w:rFonts w:cs="Arial"/>
          <w:b/>
          <w:bCs/>
          <w:sz w:val="24"/>
          <w:szCs w:val="24"/>
          <w:rtl/>
        </w:rPr>
        <w:t xml:space="preserve"> רֹאשׁ דְּבָרְךָ אֱמֶת </w:t>
      </w:r>
      <w:r w:rsidRPr="00007309">
        <w:rPr>
          <w:rFonts w:cs="Arial"/>
          <w:b/>
          <w:bCs/>
          <w:sz w:val="36"/>
          <w:szCs w:val="28"/>
          <w:vertAlign w:val="superscript"/>
          <w:rtl/>
        </w:rPr>
        <w:footnoteReference w:id="8622"/>
      </w:r>
      <w:r w:rsidRPr="00007309">
        <w:rPr>
          <w:rFonts w:cs="Arial"/>
          <w:b/>
          <w:bCs/>
          <w:sz w:val="24"/>
          <w:szCs w:val="24"/>
          <w:rtl/>
        </w:rPr>
        <w:t xml:space="preserve">דְּאִיהוּ בִּשְׁכִינְתָּא עָקֵב עֲנָוָה יִרְאַת ה' רֹאשׁ </w:t>
      </w:r>
      <w:r w:rsidRPr="00007309">
        <w:rPr>
          <w:rFonts w:cs="Arial"/>
          <w:b/>
          <w:bCs/>
          <w:sz w:val="36"/>
          <w:szCs w:val="28"/>
          <w:vertAlign w:val="superscript"/>
          <w:rtl/>
        </w:rPr>
        <w:footnoteReference w:id="8623"/>
      </w:r>
      <w:r w:rsidRPr="00007309">
        <w:rPr>
          <w:rFonts w:cs="Arial"/>
          <w:b/>
          <w:bCs/>
          <w:sz w:val="24"/>
          <w:szCs w:val="24"/>
          <w:rtl/>
        </w:rPr>
        <w:t>כְּהַאי אִיהוּ</w:t>
      </w:r>
      <w:r w:rsidRPr="00007309">
        <w:rPr>
          <w:rFonts w:cs="Arial" w:hint="cs"/>
          <w:b/>
          <w:bCs/>
          <w:sz w:val="24"/>
          <w:szCs w:val="24"/>
          <w:rtl/>
        </w:rPr>
        <w:t xml:space="preserve"> (בראשית ג טו)</w:t>
      </w:r>
      <w:r w:rsidRPr="00007309">
        <w:rPr>
          <w:rFonts w:cs="Arial"/>
          <w:b/>
          <w:bCs/>
          <w:sz w:val="24"/>
          <w:szCs w:val="24"/>
          <w:rtl/>
        </w:rPr>
        <w:t xml:space="preserve"> הוּא יְשׁוּפְךָ רֹאשׁ וְאַתָּה תְּשׁוּפֶנּוּ עָקֵב. וּלְבָתַר אִתְּמַר בְּיַעֲקֹב הוּא יְשׁוּפְךָ רֹאשׁ הָדָא הוּא דִּכְתִיב </w:t>
      </w:r>
      <w:r w:rsidRPr="00007309">
        <w:rPr>
          <w:rFonts w:cs="Arial" w:hint="cs"/>
          <w:b/>
          <w:bCs/>
          <w:sz w:val="24"/>
          <w:szCs w:val="24"/>
          <w:rtl/>
        </w:rPr>
        <w:t xml:space="preserve">(ישעיהו כד כא) </w:t>
      </w:r>
      <w:r w:rsidRPr="00007309">
        <w:rPr>
          <w:rFonts w:cs="Arial"/>
          <w:b/>
          <w:bCs/>
          <w:sz w:val="24"/>
          <w:szCs w:val="24"/>
          <w:rtl/>
        </w:rPr>
        <w:t xml:space="preserve">וּפָקַדְתִּי עַל צְבָא הַמָּרוֹם בַּמָּרוֹם. </w:t>
      </w:r>
      <w:r w:rsidRPr="00007309">
        <w:rPr>
          <w:rFonts w:cs="Arial"/>
          <w:b/>
          <w:bCs/>
          <w:sz w:val="36"/>
          <w:szCs w:val="28"/>
          <w:vertAlign w:val="superscript"/>
          <w:rtl/>
        </w:rPr>
        <w:footnoteReference w:id="8624"/>
      </w:r>
      <w:r w:rsidRPr="00007309">
        <w:rPr>
          <w:rFonts w:cs="Arial"/>
          <w:b/>
          <w:bCs/>
          <w:sz w:val="24"/>
          <w:szCs w:val="24"/>
          <w:rtl/>
        </w:rPr>
        <w:t xml:space="preserve">וְיִשְׁמֹר מִשְׁמַרְתִּי </w:t>
      </w:r>
      <w:r w:rsidRPr="00007309">
        <w:rPr>
          <w:rFonts w:cs="Arial" w:hint="cs"/>
          <w:b/>
          <w:bCs/>
          <w:sz w:val="24"/>
          <w:szCs w:val="24"/>
          <w:rtl/>
        </w:rPr>
        <w:t xml:space="preserve">(בראשית כו ה) </w:t>
      </w:r>
      <w:r w:rsidRPr="00007309">
        <w:rPr>
          <w:rFonts w:cs="Arial"/>
          <w:b/>
          <w:bCs/>
          <w:sz w:val="24"/>
          <w:szCs w:val="24"/>
          <w:rtl/>
        </w:rPr>
        <w:t xml:space="preserve">דָּא שְׁכִינְתָּא </w:t>
      </w:r>
      <w:r w:rsidRPr="00007309">
        <w:rPr>
          <w:rFonts w:cs="Arial"/>
          <w:b/>
          <w:bCs/>
          <w:sz w:val="36"/>
          <w:szCs w:val="28"/>
          <w:vertAlign w:val="superscript"/>
          <w:rtl/>
        </w:rPr>
        <w:footnoteReference w:id="8625"/>
      </w:r>
      <w:r w:rsidRPr="00007309">
        <w:rPr>
          <w:rFonts w:cs="Arial"/>
          <w:b/>
          <w:bCs/>
          <w:sz w:val="24"/>
          <w:szCs w:val="24"/>
          <w:rtl/>
        </w:rPr>
        <w:t xml:space="preserve">דְּאִיהִי </w:t>
      </w:r>
      <w:r w:rsidRPr="00007309">
        <w:rPr>
          <w:rFonts w:cs="Arial" w:hint="cs"/>
          <w:b/>
          <w:bCs/>
          <w:sz w:val="24"/>
          <w:szCs w:val="24"/>
          <w:rtl/>
        </w:rPr>
        <w:t xml:space="preserve">(במדבר יח ח) </w:t>
      </w:r>
      <w:r w:rsidRPr="00007309">
        <w:rPr>
          <w:rFonts w:cs="Arial"/>
          <w:b/>
          <w:bCs/>
          <w:sz w:val="24"/>
          <w:szCs w:val="24"/>
          <w:rtl/>
        </w:rPr>
        <w:t>מִשְׁמֶרֶת תְּרוּמֹתָי</w:t>
      </w:r>
      <w:r w:rsidRPr="00007309">
        <w:rPr>
          <w:rFonts w:cs="Arial" w:hint="cs"/>
          <w:b/>
          <w:bCs/>
          <w:sz w:val="24"/>
          <w:szCs w:val="24"/>
          <w:rtl/>
        </w:rPr>
        <w:t>.</w:t>
      </w:r>
      <w:r w:rsidRPr="00007309">
        <w:rPr>
          <w:rFonts w:cs="Arial"/>
          <w:b/>
          <w:bCs/>
          <w:sz w:val="24"/>
          <w:szCs w:val="24"/>
          <w:rtl/>
        </w:rPr>
        <w:t xml:space="preserve"> מִצְוֹתַי</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626"/>
      </w:r>
      <w:r w:rsidRPr="00007309">
        <w:rPr>
          <w:rFonts w:cs="Arial"/>
          <w:b/>
          <w:bCs/>
          <w:sz w:val="24"/>
          <w:szCs w:val="24"/>
          <w:rtl/>
        </w:rPr>
        <w:t>מִסִּטְרָא דִּימִינָא כְּלִילָן בִּרְמַ"ח אֵבָרִים. חֻקּוֹתַי</w:t>
      </w:r>
      <w:r w:rsidRPr="00007309">
        <w:rPr>
          <w:rFonts w:cs="Arial" w:hint="cs"/>
          <w:b/>
          <w:bCs/>
          <w:sz w:val="24"/>
          <w:szCs w:val="24"/>
          <w:rtl/>
        </w:rPr>
        <w:t>,</w:t>
      </w:r>
      <w:r w:rsidRPr="00007309">
        <w:rPr>
          <w:rFonts w:cs="Arial"/>
          <w:b/>
          <w:bCs/>
          <w:sz w:val="24"/>
          <w:szCs w:val="24"/>
          <w:rtl/>
        </w:rPr>
        <w:t xml:space="preserve"> מִסִּטְרָא דִּשְׂמָאלָא </w:t>
      </w:r>
      <w:r w:rsidRPr="00007309">
        <w:rPr>
          <w:rFonts w:cs="Arial"/>
          <w:b/>
          <w:bCs/>
          <w:sz w:val="36"/>
          <w:szCs w:val="28"/>
          <w:vertAlign w:val="superscript"/>
          <w:rtl/>
        </w:rPr>
        <w:footnoteReference w:id="8627"/>
      </w:r>
      <w:r w:rsidRPr="00007309">
        <w:rPr>
          <w:rFonts w:cs="Arial"/>
          <w:b/>
          <w:bCs/>
          <w:sz w:val="24"/>
          <w:szCs w:val="24"/>
          <w:rtl/>
        </w:rPr>
        <w:t xml:space="preserve">דְּמִתַּמָּן </w:t>
      </w:r>
      <w:r w:rsidRPr="00007309">
        <w:rPr>
          <w:rFonts w:cs="Arial" w:hint="cs"/>
          <w:b/>
          <w:bCs/>
          <w:sz w:val="24"/>
          <w:szCs w:val="24"/>
          <w:rtl/>
        </w:rPr>
        <w:t xml:space="preserve">(תהלים פא ה) </w:t>
      </w:r>
      <w:r w:rsidRPr="00007309">
        <w:rPr>
          <w:rFonts w:cs="Arial"/>
          <w:b/>
          <w:bCs/>
          <w:sz w:val="24"/>
          <w:szCs w:val="24"/>
          <w:rtl/>
        </w:rPr>
        <w:t>כִּי חֹק לְיִשְׂרָאֵל הוּא</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628"/>
      </w:r>
      <w:r w:rsidRPr="00007309">
        <w:rPr>
          <w:rFonts w:cs="Arial"/>
          <w:b/>
          <w:bCs/>
          <w:sz w:val="24"/>
          <w:szCs w:val="24"/>
          <w:rtl/>
        </w:rPr>
        <w:t xml:space="preserve">חֻקִּים וּמִשְׁפָּטִים אִנּוּן מִתַּמָּן </w:t>
      </w:r>
      <w:r w:rsidRPr="00007309">
        <w:rPr>
          <w:rFonts w:cs="Arial"/>
          <w:b/>
          <w:bCs/>
          <w:sz w:val="36"/>
          <w:szCs w:val="28"/>
          <w:vertAlign w:val="superscript"/>
          <w:rtl/>
        </w:rPr>
        <w:footnoteReference w:id="8629"/>
      </w:r>
      <w:r w:rsidRPr="00007309">
        <w:rPr>
          <w:rFonts w:cs="Arial"/>
          <w:b/>
          <w:bCs/>
          <w:sz w:val="24"/>
          <w:szCs w:val="24"/>
          <w:rtl/>
        </w:rPr>
        <w:t>גְּזֵרַת מַלְכָּא, דְּתַמָּן גְּזִירוּ דְּכָל דִּינִין. וְתוֹרֹתַי</w:t>
      </w:r>
      <w:r w:rsidRPr="00007309">
        <w:rPr>
          <w:rFonts w:cs="Arial" w:hint="cs"/>
          <w:b/>
          <w:bCs/>
          <w:sz w:val="24"/>
          <w:szCs w:val="24"/>
          <w:rtl/>
        </w:rPr>
        <w:t>,</w:t>
      </w:r>
      <w:r w:rsidRPr="00007309">
        <w:rPr>
          <w:rFonts w:cs="Arial"/>
          <w:b/>
          <w:bCs/>
          <w:sz w:val="24"/>
          <w:szCs w:val="24"/>
          <w:rtl/>
        </w:rPr>
        <w:t xml:space="preserve"> מִסִּטְרָא דְּעַמּוּדָא דְּאֶמְצָעִיתָא </w:t>
      </w:r>
      <w:r w:rsidRPr="00007309">
        <w:rPr>
          <w:rFonts w:cs="Arial"/>
          <w:b/>
          <w:bCs/>
          <w:sz w:val="36"/>
          <w:szCs w:val="28"/>
          <w:vertAlign w:val="superscript"/>
          <w:rtl/>
        </w:rPr>
        <w:footnoteReference w:id="8630"/>
      </w:r>
      <w:r w:rsidRPr="00007309">
        <w:rPr>
          <w:rFonts w:cs="Arial"/>
          <w:b/>
          <w:bCs/>
          <w:sz w:val="24"/>
          <w:szCs w:val="24"/>
          <w:rtl/>
        </w:rPr>
        <w:t xml:space="preserve">וְאִיהוּ סֵפֶר תּוֹרָה. </w:t>
      </w:r>
      <w:r w:rsidRPr="00007309">
        <w:rPr>
          <w:rFonts w:cs="Arial"/>
          <w:b/>
          <w:bCs/>
          <w:sz w:val="36"/>
          <w:szCs w:val="28"/>
          <w:vertAlign w:val="superscript"/>
          <w:rtl/>
        </w:rPr>
        <w:footnoteReference w:id="8631"/>
      </w:r>
      <w:r w:rsidRPr="00007309">
        <w:rPr>
          <w:rFonts w:cs="Arial"/>
          <w:b/>
          <w:bCs/>
          <w:sz w:val="24"/>
          <w:szCs w:val="24"/>
          <w:rtl/>
        </w:rPr>
        <w:t xml:space="preserve">צַדִּיק אִיהוּ סֵפֶר, תּוֹרָה עַמּוּדָא דְּאֶמְצָעִיתָא. </w:t>
      </w:r>
      <w:r w:rsidRPr="00007309">
        <w:rPr>
          <w:rFonts w:cs="Arial"/>
          <w:b/>
          <w:bCs/>
          <w:sz w:val="36"/>
          <w:szCs w:val="28"/>
          <w:vertAlign w:val="superscript"/>
          <w:rtl/>
        </w:rPr>
        <w:footnoteReference w:id="8632"/>
      </w:r>
      <w:r w:rsidRPr="00007309">
        <w:rPr>
          <w:rFonts w:cs="Arial"/>
          <w:b/>
          <w:bCs/>
          <w:sz w:val="24"/>
          <w:szCs w:val="24"/>
          <w:rtl/>
        </w:rPr>
        <w:t xml:space="preserve">וְאִיתֵּימָא צַדִּיקִים עוֹמְדִים וְעַטְרוֹתֵיהֶם בְּרָאשֵׁיהֶם </w:t>
      </w:r>
      <w:r w:rsidRPr="00007309">
        <w:rPr>
          <w:rFonts w:cs="Arial"/>
          <w:b/>
          <w:bCs/>
          <w:sz w:val="36"/>
          <w:szCs w:val="28"/>
          <w:vertAlign w:val="superscript"/>
          <w:rtl/>
        </w:rPr>
        <w:footnoteReference w:id="8633"/>
      </w:r>
      <w:r w:rsidRPr="00007309">
        <w:rPr>
          <w:rFonts w:cs="Arial"/>
          <w:b/>
          <w:bCs/>
          <w:sz w:val="24"/>
          <w:szCs w:val="24"/>
          <w:rtl/>
        </w:rPr>
        <w:t>אִלֵּין תָּגִין דְּסֵפֶר תּוֹרָה דְּאִנּוּן בֶּדֶ'ק חַיָּ'ה שעטנ'ז ג</w:t>
      </w:r>
      <w:r w:rsidRPr="00007309">
        <w:rPr>
          <w:rFonts w:cs="Arial"/>
          <w:b/>
          <w:bCs/>
          <w:sz w:val="24"/>
          <w:szCs w:val="24"/>
        </w:rPr>
        <w:t>'</w:t>
      </w:r>
      <w:r w:rsidRPr="00007309">
        <w:rPr>
          <w:rFonts w:cs="Arial"/>
          <w:b/>
          <w:bCs/>
          <w:sz w:val="24"/>
          <w:szCs w:val="24"/>
          <w:rtl/>
        </w:rPr>
        <w:t xml:space="preserve">ץ. וְאָמְרֵי מָארֵי מַתְנִיתִין </w:t>
      </w:r>
      <w:r w:rsidRPr="00007309">
        <w:rPr>
          <w:rFonts w:cs="Arial"/>
          <w:b/>
          <w:bCs/>
          <w:sz w:val="36"/>
          <w:szCs w:val="28"/>
          <w:vertAlign w:val="superscript"/>
          <w:rtl/>
        </w:rPr>
        <w:footnoteReference w:id="8634"/>
      </w:r>
      <w:r w:rsidRPr="00007309">
        <w:rPr>
          <w:rFonts w:cs="Arial"/>
          <w:b/>
          <w:bCs/>
          <w:sz w:val="24"/>
          <w:szCs w:val="24"/>
          <w:rtl/>
        </w:rPr>
        <w:t xml:space="preserve">אִלֵּין תָּגִין אִנּוּן זַיְינִין </w:t>
      </w:r>
      <w:r w:rsidRPr="00007309">
        <w:rPr>
          <w:rFonts w:cs="Arial"/>
          <w:b/>
          <w:bCs/>
          <w:sz w:val="36"/>
          <w:szCs w:val="28"/>
          <w:vertAlign w:val="superscript"/>
          <w:rtl/>
        </w:rPr>
        <w:footnoteReference w:id="8635"/>
      </w:r>
      <w:r w:rsidRPr="00007309">
        <w:rPr>
          <w:rFonts w:cs="Arial"/>
          <w:b/>
          <w:bCs/>
          <w:sz w:val="24"/>
          <w:szCs w:val="24"/>
          <w:rtl/>
        </w:rPr>
        <w:t xml:space="preserve">כְּאָדָם שֶׁאוֹחֵז כְּלֵי זַיִן בִּידֵהּ </w:t>
      </w:r>
      <w:r w:rsidRPr="00007309">
        <w:rPr>
          <w:rFonts w:cs="Arial"/>
          <w:b/>
          <w:bCs/>
          <w:sz w:val="24"/>
          <w:szCs w:val="24"/>
          <w:vertAlign w:val="superscript"/>
          <w:rtl/>
        </w:rPr>
        <w:footnoteReference w:id="8636"/>
      </w:r>
      <w:r w:rsidRPr="00007309">
        <w:rPr>
          <w:rFonts w:cs="Arial"/>
          <w:b/>
          <w:bCs/>
          <w:sz w:val="24"/>
          <w:szCs w:val="24"/>
          <w:rtl/>
        </w:rPr>
        <w:t>וּמֵנִיעַ לֵהּ לִימִינָא וְלִשְׂמָאלָא וּלְקַמֵיה. וְזַיְינִין אִנּוּן בִּתְלָת עָשָׂר אַתְוָן ז</w:t>
      </w:r>
      <w:r w:rsidRPr="00007309">
        <w:rPr>
          <w:rFonts w:cs="Arial" w:hint="cs"/>
          <w:b/>
          <w:bCs/>
          <w:sz w:val="24"/>
          <w:szCs w:val="24"/>
          <w:rtl/>
        </w:rPr>
        <w:t>"</w:t>
      </w:r>
      <w:r w:rsidRPr="00007309">
        <w:rPr>
          <w:rFonts w:cs="Arial"/>
          <w:b/>
          <w:bCs/>
          <w:sz w:val="24"/>
          <w:szCs w:val="24"/>
          <w:rtl/>
        </w:rPr>
        <w:t>ו</w:t>
      </w:r>
      <w:r w:rsidRPr="00007309">
        <w:rPr>
          <w:rFonts w:cs="Arial" w:hint="cs"/>
          <w:b/>
          <w:bCs/>
          <w:sz w:val="24"/>
          <w:szCs w:val="24"/>
          <w:rtl/>
        </w:rPr>
        <w:t>.</w:t>
      </w:r>
      <w:r w:rsidRPr="00007309">
        <w:rPr>
          <w:rFonts w:cs="Arial"/>
          <w:b/>
          <w:bCs/>
          <w:sz w:val="24"/>
          <w:szCs w:val="24"/>
          <w:rtl/>
        </w:rPr>
        <w:t xml:space="preserve"> </w:t>
      </w:r>
      <w:r w:rsidRPr="00007309">
        <w:rPr>
          <w:rFonts w:cs="Arial"/>
          <w:b/>
          <w:bCs/>
          <w:sz w:val="24"/>
          <w:szCs w:val="24"/>
          <w:vertAlign w:val="superscript"/>
          <w:rtl/>
        </w:rPr>
        <w:footnoteReference w:id="8637"/>
      </w:r>
      <w:r w:rsidRPr="00007309">
        <w:rPr>
          <w:rFonts w:cs="Arial"/>
          <w:b/>
          <w:bCs/>
          <w:sz w:val="24"/>
          <w:szCs w:val="24"/>
          <w:rtl/>
        </w:rPr>
        <w:t>בדח</w:t>
      </w:r>
      <w:r w:rsidRPr="00007309">
        <w:rPr>
          <w:rFonts w:cs="Arial" w:hint="cs"/>
          <w:b/>
          <w:bCs/>
          <w:sz w:val="24"/>
          <w:szCs w:val="24"/>
          <w:rtl/>
        </w:rPr>
        <w:t>"</w:t>
      </w:r>
      <w:r w:rsidRPr="00007309">
        <w:rPr>
          <w:rFonts w:cs="Arial"/>
          <w:b/>
          <w:bCs/>
          <w:sz w:val="24"/>
          <w:szCs w:val="24"/>
          <w:rtl/>
        </w:rPr>
        <w:t>ק אִיהִי כְּמִין חֲטֹטֶרֶת בְּאָת זַיִן אִתְעֲבִיד י"ה וְסִימָנִיךְ י"ה</w:t>
      </w:r>
      <w:r w:rsidRPr="00007309">
        <w:rPr>
          <w:rFonts w:cs="Arial" w:hint="cs"/>
          <w:b/>
          <w:bCs/>
          <w:sz w:val="24"/>
          <w:szCs w:val="24"/>
          <w:rtl/>
        </w:rPr>
        <w:t>,</w:t>
      </w:r>
      <w:r w:rsidRPr="00007309">
        <w:rPr>
          <w:rFonts w:cs="Arial"/>
          <w:b/>
          <w:bCs/>
          <w:sz w:val="24"/>
          <w:szCs w:val="24"/>
          <w:rtl/>
        </w:rPr>
        <w:t xml:space="preserve"> ז' ח'</w:t>
      </w:r>
      <w:r w:rsidRPr="00007309">
        <w:rPr>
          <w:rFonts w:cs="Arial" w:hint="cs"/>
          <w:b/>
          <w:bCs/>
          <w:sz w:val="24"/>
          <w:szCs w:val="24"/>
          <w:rtl/>
        </w:rPr>
        <w:t>.</w:t>
      </w:r>
      <w:r w:rsidRPr="00007309">
        <w:rPr>
          <w:rFonts w:cs="Arial"/>
          <w:b/>
          <w:bCs/>
          <w:sz w:val="24"/>
          <w:szCs w:val="24"/>
          <w:rtl/>
        </w:rPr>
        <w:t xml:space="preserve"> ו'</w:t>
      </w:r>
      <w:r w:rsidRPr="00007309">
        <w:rPr>
          <w:rFonts w:cs="Arial" w:hint="cs"/>
          <w:b/>
          <w:bCs/>
          <w:sz w:val="24"/>
          <w:szCs w:val="24"/>
          <w:rtl/>
        </w:rPr>
        <w:t>,</w:t>
      </w:r>
      <w:r w:rsidRPr="00007309">
        <w:rPr>
          <w:rFonts w:cs="Arial"/>
          <w:b/>
          <w:bCs/>
          <w:sz w:val="24"/>
          <w:szCs w:val="24"/>
          <w:rtl/>
        </w:rPr>
        <w:t xml:space="preserve"> ב"ד</w:t>
      </w:r>
      <w:r w:rsidRPr="00007309">
        <w:rPr>
          <w:rFonts w:cs="Arial" w:hint="cs"/>
          <w:b/>
          <w:bCs/>
          <w:sz w:val="24"/>
          <w:szCs w:val="24"/>
          <w:rtl/>
        </w:rPr>
        <w:t>.</w:t>
      </w:r>
      <w:r w:rsidRPr="00007309">
        <w:rPr>
          <w:rFonts w:cs="Arial"/>
          <w:b/>
          <w:bCs/>
          <w:sz w:val="24"/>
          <w:szCs w:val="24"/>
          <w:rtl/>
        </w:rPr>
        <w:t xml:space="preserve"> ח"ק, ח"י צַדִּיק</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638"/>
      </w:r>
      <w:r w:rsidRPr="00007309">
        <w:rPr>
          <w:rFonts w:cs="Arial"/>
          <w:b/>
          <w:bCs/>
          <w:sz w:val="24"/>
          <w:szCs w:val="24"/>
          <w:rtl/>
        </w:rPr>
        <w:t>ז' בְּכָל אוֹת וְאוֹת. וְאִיהוּ עִם י' עֲטָרָה עַל רֵישֵׁהּ</w:t>
      </w:r>
      <w:r w:rsidRPr="00007309">
        <w:rPr>
          <w:rFonts w:cs="Arial"/>
          <w:b/>
          <w:bCs/>
          <w:sz w:val="24"/>
          <w:szCs w:val="24"/>
        </w:rPr>
        <w:t>:</w:t>
      </w:r>
    </w:p>
    <w:p w:rsidR="00007309" w:rsidRPr="00007309" w:rsidRDefault="00007309" w:rsidP="00007309">
      <w:pPr>
        <w:keepNext/>
        <w:outlineLvl w:val="1"/>
        <w:rPr>
          <w:rFonts w:ascii="Cambria" w:hAnsi="Cambria" w:cs="Times New Roman"/>
          <w:b/>
          <w:bCs/>
          <w:i/>
          <w:iCs/>
          <w:sz w:val="28"/>
          <w:szCs w:val="28"/>
          <w:rtl/>
        </w:rPr>
      </w:pPr>
      <w:r w:rsidRPr="00007309">
        <w:rPr>
          <w:rFonts w:ascii="Cambria" w:hAnsi="Cambria" w:cs="Times New Roman"/>
          <w:b/>
          <w:bCs/>
          <w:i/>
          <w:iCs/>
          <w:sz w:val="28"/>
          <w:szCs w:val="28"/>
          <w:rtl/>
        </w:rPr>
        <w:t>[</w:t>
      </w:r>
      <w:r w:rsidRPr="00007309">
        <w:rPr>
          <w:rFonts w:ascii="Cambria" w:hAnsi="Cambria" w:cs="Times New Roman" w:hint="cs"/>
          <w:b/>
          <w:bCs/>
          <w:i/>
          <w:iCs/>
          <w:sz w:val="28"/>
          <w:szCs w:val="28"/>
          <w:rtl/>
        </w:rPr>
        <w:t>דף</w:t>
      </w:r>
      <w:r w:rsidRPr="00007309">
        <w:rPr>
          <w:rFonts w:ascii="Cambria" w:hAnsi="Cambria" w:cs="Times New Roman"/>
          <w:b/>
          <w:bCs/>
          <w:i/>
          <w:iCs/>
          <w:sz w:val="28"/>
          <w:szCs w:val="28"/>
          <w:rtl/>
        </w:rPr>
        <w:t xml:space="preserve"> </w:t>
      </w:r>
      <w:r w:rsidRPr="00007309">
        <w:rPr>
          <w:rFonts w:ascii="Cambria" w:hAnsi="Cambria" w:cs="Times New Roman" w:hint="cs"/>
          <w:b/>
          <w:bCs/>
          <w:i/>
          <w:iCs/>
          <w:sz w:val="28"/>
          <w:szCs w:val="28"/>
          <w:rtl/>
        </w:rPr>
        <w:t>פח</w:t>
      </w:r>
      <w:r w:rsidRPr="00007309">
        <w:rPr>
          <w:rFonts w:ascii="Cambria" w:hAnsi="Cambria" w:cs="Times New Roman"/>
          <w:b/>
          <w:bCs/>
          <w:i/>
          <w:iCs/>
          <w:sz w:val="28"/>
          <w:szCs w:val="28"/>
          <w:rtl/>
        </w:rPr>
        <w:t xml:space="preserve"> ע"</w:t>
      </w:r>
      <w:r w:rsidRPr="00007309">
        <w:rPr>
          <w:rFonts w:ascii="Cambria" w:hAnsi="Cambria" w:cs="Times New Roman" w:hint="cs"/>
          <w:b/>
          <w:bCs/>
          <w:i/>
          <w:iCs/>
          <w:sz w:val="28"/>
          <w:szCs w:val="28"/>
          <w:rtl/>
        </w:rPr>
        <w:t>ד</w:t>
      </w:r>
      <w:r w:rsidRPr="00007309">
        <w:rPr>
          <w:rFonts w:ascii="Cambria" w:hAnsi="Cambria" w:cs="Times New Roman"/>
          <w:b/>
          <w:bCs/>
          <w:i/>
          <w:iCs/>
          <w:sz w:val="28"/>
          <w:szCs w:val="28"/>
          <w:rtl/>
        </w:rPr>
        <w:t>]</w:t>
      </w:r>
    </w:p>
    <w:p w:rsidR="00007309" w:rsidRPr="00007309" w:rsidRDefault="00007309" w:rsidP="00007309">
      <w:pPr>
        <w:keepNext/>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 xml:space="preserve"> [וילנא מז ע"ב]</w:t>
      </w:r>
    </w:p>
    <w:p w:rsidR="00007309" w:rsidRPr="00007309" w:rsidRDefault="00007309" w:rsidP="00007309">
      <w:pPr>
        <w:jc w:val="both"/>
        <w:rPr>
          <w:rFonts w:cs="Arial"/>
          <w:b/>
          <w:bCs/>
          <w:sz w:val="24"/>
          <w:szCs w:val="24"/>
        </w:rPr>
      </w:pPr>
      <w:r w:rsidRPr="00007309">
        <w:rPr>
          <w:rFonts w:ascii="Cambria" w:hAnsi="Cambria" w:cs="Times New Roman"/>
          <w:b/>
          <w:bCs/>
          <w:i/>
          <w:iCs/>
          <w:color w:val="4F81BD"/>
          <w:sz w:val="24"/>
          <w:szCs w:val="24"/>
          <w:rtl/>
        </w:rPr>
        <w:t xml:space="preserve"> (</w:t>
      </w:r>
      <w:r w:rsidRPr="00007309">
        <w:rPr>
          <w:rFonts w:ascii="Cambria" w:hAnsi="Cambria" w:cs="Times New Roman" w:hint="cs"/>
          <w:b/>
          <w:bCs/>
          <w:i/>
          <w:iCs/>
          <w:color w:val="4F81BD"/>
          <w:sz w:val="24"/>
          <w:szCs w:val="24"/>
          <w:rtl/>
        </w:rPr>
        <w:t>וילנא מז</w:t>
      </w:r>
      <w:r w:rsidRPr="00007309">
        <w:rPr>
          <w:rFonts w:ascii="Cambria" w:hAnsi="Cambria" w:cs="Times New Roman"/>
          <w:b/>
          <w:bCs/>
          <w:i/>
          <w:iCs/>
          <w:color w:val="4F81BD"/>
          <w:sz w:val="24"/>
          <w:szCs w:val="24"/>
          <w:rtl/>
        </w:rPr>
        <w:t xml:space="preserve"> ע"</w:t>
      </w:r>
      <w:r w:rsidRPr="00007309">
        <w:rPr>
          <w:rFonts w:ascii="Cambria" w:hAnsi="Cambria" w:cs="Times New Roman" w:hint="cs"/>
          <w:b/>
          <w:bCs/>
          <w:i/>
          <w:iCs/>
          <w:color w:val="4F81BD"/>
          <w:sz w:val="24"/>
          <w:szCs w:val="24"/>
          <w:rtl/>
        </w:rPr>
        <w:t>ב</w:t>
      </w:r>
      <w:r w:rsidRPr="00007309">
        <w:rPr>
          <w:rFonts w:ascii="Cambria" w:hAnsi="Cambria" w:cs="Times New Roman"/>
          <w:b/>
          <w:bCs/>
          <w:i/>
          <w:iCs/>
          <w:color w:val="4F81BD"/>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639"/>
      </w:r>
      <w:r w:rsidRPr="00007309">
        <w:rPr>
          <w:rFonts w:cs="Arial"/>
          <w:b/>
          <w:bCs/>
          <w:sz w:val="24"/>
          <w:szCs w:val="24"/>
          <w:rtl/>
        </w:rPr>
        <w:t>וַיֵּשֶׁב יִצְחָק בִּגְרָר</w:t>
      </w:r>
      <w:r w:rsidRPr="00007309">
        <w:rPr>
          <w:rFonts w:cs="Arial" w:hint="cs"/>
          <w:b/>
          <w:bCs/>
          <w:sz w:val="24"/>
          <w:szCs w:val="24"/>
          <w:rtl/>
        </w:rPr>
        <w:t xml:space="preserve"> (בראשית כו ו)</w:t>
      </w:r>
      <w:r w:rsidRPr="00007309">
        <w:rPr>
          <w:rFonts w:cs="Arial"/>
          <w:b/>
          <w:bCs/>
          <w:sz w:val="24"/>
          <w:szCs w:val="24"/>
          <w:rtl/>
        </w:rPr>
        <w:t xml:space="preserve">. תָּא חֲזֵי צָרִיךְ דְּלֹא יְהֵא דָּבֵק אוֹת בְּאוֹת, וְלֹא יְהֵא חָסֵר אוֹת מִן הַתֵּבָה וְלֹא מְשַׁנִּין מִפְּתוּחוֹת לִסְתוּמוֹת וּמִסְּתוּמוֹת לִפְתוּחוֹת. וְאִי לָאו סֵפֶר תּוֹרָה פָּסוּל. וְכָל תִּקּוּנָא לָמָּה, אֶלָּא אַתְוָן פְּתִיחָן מִסִּטְרָא דִּשְׁכִינְתָּא </w:t>
      </w:r>
      <w:r w:rsidRPr="00007309">
        <w:rPr>
          <w:rFonts w:ascii="Cambria" w:hAnsi="Cambria" w:cs="Times New Roman"/>
          <w:b/>
          <w:bCs/>
          <w:i/>
          <w:iCs/>
          <w:color w:val="4F81BD"/>
          <w:sz w:val="24"/>
          <w:szCs w:val="24"/>
          <w:rtl/>
        </w:rPr>
        <w:t>(פ</w:t>
      </w:r>
      <w:r w:rsidRPr="00007309">
        <w:rPr>
          <w:rFonts w:ascii="Cambria" w:hAnsi="Cambria" w:cs="Times New Roman" w:hint="cs"/>
          <w:b/>
          <w:bCs/>
          <w:i/>
          <w:iCs/>
          <w:color w:val="4F81BD"/>
          <w:sz w:val="24"/>
          <w:szCs w:val="24"/>
          <w:rtl/>
        </w:rPr>
        <w:t>ח</w:t>
      </w:r>
      <w:r w:rsidRPr="00007309">
        <w:rPr>
          <w:rFonts w:ascii="Cambria" w:hAnsi="Cambria" w:cs="Times New Roman"/>
          <w:b/>
          <w:bCs/>
          <w:i/>
          <w:iCs/>
          <w:color w:val="4F81BD"/>
          <w:sz w:val="24"/>
          <w:szCs w:val="24"/>
          <w:rtl/>
        </w:rPr>
        <w:t xml:space="preserve"> ע"</w:t>
      </w:r>
      <w:r w:rsidRPr="00007309">
        <w:rPr>
          <w:rFonts w:ascii="Cambria" w:hAnsi="Cambria" w:cs="Times New Roman" w:hint="cs"/>
          <w:b/>
          <w:bCs/>
          <w:i/>
          <w:iCs/>
          <w:color w:val="4F81BD"/>
          <w:sz w:val="24"/>
          <w:szCs w:val="24"/>
          <w:rtl/>
        </w:rPr>
        <w:t>ד</w:t>
      </w:r>
      <w:r w:rsidRPr="00007309">
        <w:rPr>
          <w:rFonts w:ascii="Cambria" w:hAnsi="Cambria" w:cs="Times New Roman"/>
          <w:b/>
          <w:bCs/>
          <w:i/>
          <w:iCs/>
          <w:color w:val="4F81BD"/>
          <w:sz w:val="24"/>
          <w:szCs w:val="24"/>
          <w:rtl/>
        </w:rPr>
        <w:t>)</w:t>
      </w:r>
      <w:r w:rsidRPr="00007309">
        <w:rPr>
          <w:rFonts w:cs="Arial"/>
          <w:b/>
          <w:bCs/>
          <w:sz w:val="24"/>
          <w:szCs w:val="24"/>
          <w:rtl/>
        </w:rPr>
        <w:t xml:space="preserve"> תַּתָּאָה. סְתִימָן מִסִּטְרָא דְּאִמָּא עִלָּאָה</w:t>
      </w:r>
      <w:r w:rsidRPr="00007309">
        <w:rPr>
          <w:rFonts w:cs="Arial" w:hint="cs"/>
          <w:b/>
          <w:bCs/>
          <w:sz w:val="24"/>
          <w:szCs w:val="24"/>
          <w:rtl/>
        </w:rPr>
        <w:t>,</w:t>
      </w:r>
      <w:r w:rsidRPr="00007309">
        <w:rPr>
          <w:rFonts w:cs="Arial"/>
          <w:b/>
          <w:bCs/>
          <w:sz w:val="24"/>
          <w:szCs w:val="24"/>
          <w:rtl/>
        </w:rPr>
        <w:t xml:space="preserve"> עָלְמָא סְתִימָא. וְאִנּוּן מֵ'ם דָּא פְּתִיחָא וְדָא סְתִימָא. </w:t>
      </w:r>
      <w:r w:rsidRPr="00007309">
        <w:rPr>
          <w:rFonts w:cs="Arial"/>
          <w:b/>
          <w:bCs/>
          <w:sz w:val="36"/>
          <w:szCs w:val="28"/>
          <w:vertAlign w:val="superscript"/>
          <w:rtl/>
        </w:rPr>
        <w:footnoteReference w:id="8640"/>
      </w:r>
      <w:r w:rsidRPr="00007309">
        <w:rPr>
          <w:rFonts w:cs="Arial"/>
          <w:b/>
          <w:bCs/>
          <w:sz w:val="24"/>
          <w:szCs w:val="24"/>
          <w:rtl/>
        </w:rPr>
        <w:t>מ' פְּתוּחָה מַלְכוּת. ם סְתִימָא בִּינָה</w:t>
      </w:r>
      <w:r w:rsidRPr="00007309">
        <w:rPr>
          <w:rFonts w:cs="Arial" w:hint="cs"/>
          <w:b/>
          <w:bCs/>
          <w:sz w:val="24"/>
          <w:szCs w:val="24"/>
          <w:rtl/>
        </w:rPr>
        <w:t>.</w:t>
      </w:r>
      <w:r w:rsidRPr="00007309">
        <w:rPr>
          <w:rFonts w:cs="Arial"/>
          <w:b/>
          <w:bCs/>
          <w:sz w:val="24"/>
          <w:szCs w:val="24"/>
          <w:rtl/>
        </w:rPr>
        <w:t xml:space="preserve"> מִסִּטְרָא דִּימִינָא וּשְׂמָאלָא, דְּעַנְפִין מִתְפָּרְדִין לֹא יִדָּבֵק אוֹת בְּאוֹת, וּמִסִּטְרָא דְּעַמּוּדָא דְּאֶמְצָעִיתָא דְּאִיהוּ </w:t>
      </w:r>
      <w:r w:rsidRPr="00007309">
        <w:rPr>
          <w:rFonts w:cs="Arial"/>
          <w:b/>
          <w:bCs/>
          <w:sz w:val="36"/>
          <w:szCs w:val="28"/>
          <w:vertAlign w:val="superscript"/>
          <w:rtl/>
        </w:rPr>
        <w:footnoteReference w:id="8641"/>
      </w:r>
      <w:r w:rsidRPr="00007309">
        <w:rPr>
          <w:rFonts w:cs="Arial"/>
          <w:b/>
          <w:bCs/>
          <w:sz w:val="24"/>
          <w:szCs w:val="24"/>
          <w:rtl/>
        </w:rPr>
        <w:t>שֶׁקֶל הַקֹּדֶשׁ, לֹא יוֹסִיף אוֹת וְלֹא יְחַסֵּר אוֹת</w:t>
      </w:r>
      <w:r w:rsidRPr="00007309">
        <w:rPr>
          <w:rFonts w:cs="Arial" w:hint="cs"/>
          <w:b/>
          <w:bCs/>
          <w:sz w:val="24"/>
          <w:szCs w:val="24"/>
          <w:rtl/>
        </w:rPr>
        <w:t xml:space="preserve">, </w:t>
      </w:r>
      <w:r w:rsidRPr="00007309">
        <w:rPr>
          <w:rFonts w:cs="Arial"/>
          <w:b/>
          <w:bCs/>
          <w:sz w:val="24"/>
          <w:szCs w:val="24"/>
          <w:rtl/>
        </w:rPr>
        <w:t xml:space="preserve">דְּכָל הַמּוֹסִיף גּוֹרֵעַ. וְאִם הִדְבִּיק נִגְרָר. </w:t>
      </w:r>
      <w:r w:rsidRPr="00007309">
        <w:rPr>
          <w:rFonts w:cs="Arial"/>
          <w:b/>
          <w:bCs/>
          <w:sz w:val="36"/>
          <w:szCs w:val="28"/>
          <w:vertAlign w:val="superscript"/>
          <w:rtl/>
        </w:rPr>
        <w:footnoteReference w:id="8642"/>
      </w:r>
      <w:r w:rsidRPr="00007309">
        <w:rPr>
          <w:rFonts w:cs="Arial"/>
          <w:b/>
          <w:bCs/>
          <w:sz w:val="24"/>
          <w:szCs w:val="24"/>
          <w:rtl/>
        </w:rPr>
        <w:t xml:space="preserve">וּבְגִין דָּא וַיֵּשֶׁב יִצְחָק בִּגְרָר וְגוֹ'. אַדְּהָכִי הָא יַנּוּקָא אִזְדְּמַן בֵּינַיְהוּ וְאָמַר, אַמַּאי לֵית נִקּוּד בְּסֵפֶר תּוֹרָה. אָמַר לֵהּ בְּרִי, כָּל נְקֻדָּה אִיהִי </w:t>
      </w:r>
      <w:r w:rsidRPr="00007309">
        <w:rPr>
          <w:rFonts w:cs="Arial"/>
          <w:b/>
          <w:bCs/>
          <w:sz w:val="36"/>
          <w:szCs w:val="28"/>
          <w:vertAlign w:val="superscript"/>
          <w:rtl/>
        </w:rPr>
        <w:footnoteReference w:id="8643"/>
      </w:r>
      <w:r w:rsidRPr="00007309">
        <w:rPr>
          <w:rFonts w:cs="Arial"/>
          <w:b/>
          <w:bCs/>
          <w:sz w:val="24"/>
          <w:szCs w:val="24"/>
          <w:rtl/>
        </w:rPr>
        <w:t xml:space="preserve">תְּנוּעָה דְּאַתְוָן. </w:t>
      </w:r>
      <w:r w:rsidRPr="00007309">
        <w:rPr>
          <w:rFonts w:cs="Arial"/>
          <w:b/>
          <w:bCs/>
          <w:sz w:val="36"/>
          <w:szCs w:val="28"/>
          <w:vertAlign w:val="superscript"/>
          <w:rtl/>
        </w:rPr>
        <w:footnoteReference w:id="8644"/>
      </w:r>
      <w:r w:rsidRPr="00007309">
        <w:rPr>
          <w:rFonts w:cs="Arial"/>
          <w:b/>
          <w:bCs/>
          <w:sz w:val="24"/>
          <w:szCs w:val="24"/>
          <w:rtl/>
        </w:rPr>
        <w:t xml:space="preserve">כְּגוֹן פִּרְקִין דְּאִנּוּן תְּנוּעִין דְּאֵבָרִין דְּגוּפָא. </w:t>
      </w:r>
      <w:r w:rsidRPr="00007309">
        <w:rPr>
          <w:rFonts w:cs="Arial"/>
          <w:b/>
          <w:bCs/>
          <w:sz w:val="36"/>
          <w:szCs w:val="28"/>
          <w:vertAlign w:val="superscript"/>
          <w:rtl/>
        </w:rPr>
        <w:footnoteReference w:id="8645"/>
      </w:r>
      <w:r w:rsidRPr="00007309">
        <w:rPr>
          <w:rFonts w:cs="Arial"/>
          <w:b/>
          <w:bCs/>
          <w:sz w:val="24"/>
          <w:szCs w:val="24"/>
          <w:rtl/>
        </w:rPr>
        <w:t xml:space="preserve">וְכָל תְּנוּעָה אִנּוּן מִסִּטְרָא דְּחָכְמָה. וּבְגִין לְאִשְׁתְּמוֹדַע דְּסֵפֶר תּוֹרָה אִיהוּ מִסִּטְרָא דְּעַמּוּדָא דְּאֶמְצָעִיתָא, לֵית בֵּהּ נִקּוּדִין. </w:t>
      </w:r>
      <w:r w:rsidRPr="00007309">
        <w:rPr>
          <w:rFonts w:cs="Arial"/>
          <w:b/>
          <w:bCs/>
          <w:sz w:val="36"/>
          <w:szCs w:val="28"/>
          <w:vertAlign w:val="superscript"/>
          <w:rtl/>
        </w:rPr>
        <w:footnoteReference w:id="8646"/>
      </w:r>
      <w:r w:rsidRPr="00007309">
        <w:rPr>
          <w:rFonts w:cs="Arial"/>
          <w:b/>
          <w:bCs/>
          <w:sz w:val="24"/>
          <w:szCs w:val="24"/>
          <w:rtl/>
        </w:rPr>
        <w:t>וְכָל נִקּוּדִין אִנּוּן בַּגּוּף</w:t>
      </w:r>
      <w:r w:rsidRPr="00007309">
        <w:rPr>
          <w:rFonts w:cs="Arial" w:hint="cs"/>
          <w:b/>
          <w:bCs/>
          <w:sz w:val="24"/>
          <w:szCs w:val="24"/>
          <w:rtl/>
        </w:rPr>
        <w:t>,</w:t>
      </w:r>
      <w:r w:rsidRPr="00007309">
        <w:rPr>
          <w:rFonts w:cs="Arial"/>
          <w:b/>
          <w:bCs/>
          <w:sz w:val="24"/>
          <w:szCs w:val="24"/>
          <w:rtl/>
        </w:rPr>
        <w:t xml:space="preserve"> עֵינִין אַנְפִּין אוּדְנִין חוֹטָמָא </w:t>
      </w:r>
      <w:r w:rsidRPr="00007309">
        <w:rPr>
          <w:rFonts w:cs="Arial"/>
          <w:b/>
          <w:bCs/>
          <w:sz w:val="36"/>
          <w:szCs w:val="28"/>
          <w:vertAlign w:val="superscript"/>
          <w:rtl/>
        </w:rPr>
        <w:footnoteReference w:id="8647"/>
      </w:r>
      <w:r w:rsidRPr="00007309">
        <w:rPr>
          <w:rFonts w:cs="Arial"/>
          <w:b/>
          <w:bCs/>
          <w:sz w:val="24"/>
          <w:szCs w:val="24"/>
          <w:rtl/>
        </w:rPr>
        <w:t xml:space="preserve">דְּכֻלְּהוּ עַל פֶּה. </w:t>
      </w:r>
      <w:r w:rsidRPr="00007309">
        <w:rPr>
          <w:rFonts w:cs="Arial"/>
          <w:b/>
          <w:bCs/>
          <w:sz w:val="36"/>
          <w:szCs w:val="28"/>
          <w:vertAlign w:val="superscript"/>
          <w:rtl/>
        </w:rPr>
        <w:footnoteReference w:id="8648"/>
      </w:r>
      <w:r w:rsidRPr="00007309">
        <w:rPr>
          <w:rFonts w:cs="Arial"/>
          <w:b/>
          <w:bCs/>
          <w:sz w:val="24"/>
          <w:szCs w:val="24"/>
          <w:rtl/>
        </w:rPr>
        <w:t xml:space="preserve">וּבְגִין דְּאוֹרַיְתָא דְּבִכְתָב אִתְיְהִיבַת מִסִּטְרָא דִּימִינָא, דְּתַמָּן כְּתִיבָה, אוֹקְמוּהּ דְּאוֹרַיְתָא דְּכָתַב סֵפֶר תּוֹרָה דְּלָא לְמִקְרֵי לֵהּ עַל פֶּה, וְאִתְּמַר דְּלֵית לֵהּ נִקּוּדִין </w:t>
      </w:r>
      <w:r w:rsidRPr="00007309">
        <w:rPr>
          <w:rFonts w:cs="Arial"/>
          <w:b/>
          <w:bCs/>
          <w:sz w:val="36"/>
          <w:szCs w:val="28"/>
          <w:vertAlign w:val="superscript"/>
          <w:rtl/>
        </w:rPr>
        <w:footnoteReference w:id="8649"/>
      </w:r>
      <w:r w:rsidRPr="00007309">
        <w:rPr>
          <w:rFonts w:cs="Arial"/>
          <w:b/>
          <w:bCs/>
          <w:sz w:val="24"/>
          <w:szCs w:val="24"/>
          <w:rtl/>
        </w:rPr>
        <w:t>לְאוֹרַיְתָא דִּבְעַל פֶּה אִית טַעֲמֵי</w:t>
      </w:r>
      <w:r w:rsidRPr="00007309">
        <w:rPr>
          <w:rFonts w:cs="Arial"/>
          <w:b/>
          <w:bCs/>
          <w:sz w:val="24"/>
          <w:szCs w:val="24"/>
        </w:rPr>
        <w:t>:</w:t>
      </w:r>
    </w:p>
    <w:p w:rsidR="00007309" w:rsidRPr="00007309" w:rsidRDefault="00007309" w:rsidP="00007309">
      <w:pPr>
        <w:jc w:val="both"/>
        <w:rPr>
          <w:rFonts w:cs="Arial"/>
          <w:b/>
          <w:bCs/>
          <w:sz w:val="24"/>
          <w:szCs w:val="24"/>
          <w:rtl/>
        </w:rPr>
      </w:pPr>
      <w:r w:rsidRPr="00007309">
        <w:rPr>
          <w:rFonts w:cs="Arial"/>
          <w:b/>
          <w:bCs/>
          <w:sz w:val="36"/>
          <w:szCs w:val="28"/>
          <w:vertAlign w:val="superscript"/>
          <w:rtl/>
        </w:rPr>
        <w:footnoteReference w:id="8650"/>
      </w:r>
      <w:r w:rsidRPr="00007309">
        <w:rPr>
          <w:rFonts w:cs="Arial"/>
          <w:b/>
          <w:bCs/>
          <w:sz w:val="24"/>
          <w:szCs w:val="24"/>
          <w:rtl/>
        </w:rPr>
        <w:t xml:space="preserve">דָּבָר אַחֵר וַיֵּרָא אֵלָיו ה'. תָּא חֲזֵי אִית נְבוּאָה מֵרְאִיָּה, וְאִית נְבוּאָה מֵרֵיחָא, וְאִית נְבוּאָה מִשְּׁמִיעָה, וְאִית נְבוּאָה מִדִּבּוּר. </w:t>
      </w:r>
      <w:r w:rsidRPr="00007309">
        <w:rPr>
          <w:rFonts w:cs="Arial"/>
          <w:b/>
          <w:bCs/>
          <w:sz w:val="36"/>
          <w:szCs w:val="28"/>
          <w:vertAlign w:val="superscript"/>
          <w:rtl/>
        </w:rPr>
        <w:footnoteReference w:id="8651"/>
      </w:r>
      <w:r w:rsidRPr="00007309">
        <w:rPr>
          <w:rFonts w:cs="Arial"/>
          <w:b/>
          <w:bCs/>
          <w:sz w:val="24"/>
          <w:szCs w:val="24"/>
          <w:rtl/>
        </w:rPr>
        <w:t xml:space="preserve">וְאִנּוּן ד' מֶרְכָּבוֹת לְשֵׁם יְהוָֹה. </w:t>
      </w:r>
      <w:r w:rsidRPr="00007309">
        <w:rPr>
          <w:rFonts w:cs="Arial"/>
          <w:b/>
          <w:bCs/>
          <w:sz w:val="36"/>
          <w:szCs w:val="28"/>
          <w:vertAlign w:val="superscript"/>
          <w:rtl/>
        </w:rPr>
        <w:footnoteReference w:id="8652"/>
      </w:r>
      <w:r w:rsidRPr="00007309">
        <w:rPr>
          <w:rFonts w:cs="Arial"/>
          <w:b/>
          <w:bCs/>
          <w:sz w:val="24"/>
          <w:szCs w:val="24"/>
          <w:rtl/>
        </w:rPr>
        <w:t xml:space="preserve">בִּרְאִיָּה, בְּאַרְיֶה דְּאִיהִי רְאִיָּה </w:t>
      </w:r>
      <w:r w:rsidRPr="00007309">
        <w:rPr>
          <w:rFonts w:cs="Arial"/>
          <w:b/>
          <w:bCs/>
          <w:sz w:val="36"/>
          <w:szCs w:val="28"/>
          <w:vertAlign w:val="superscript"/>
          <w:rtl/>
        </w:rPr>
        <w:footnoteReference w:id="8653"/>
      </w:r>
      <w:r w:rsidRPr="00007309">
        <w:rPr>
          <w:rFonts w:cs="Arial"/>
          <w:b/>
          <w:bCs/>
          <w:sz w:val="24"/>
          <w:szCs w:val="24"/>
          <w:rtl/>
        </w:rPr>
        <w:t xml:space="preserve">וְלָקֳבֵל מֶרְכָּבָה דִּלְעֵלָּא מָנֵי קוּדְשָׁא בְּרִיךְ הוּא נַעֲשֶׂה אָדָם. וְהָא אַקְשׁוּ קַדְמָאִין, בָּתַר דְּכֻלְּהוּ בִּרְיָן דְּבָרָא בְּעוֹבָדָא דִּבְרֵאשִׁית, אַדְכִּיר בְּרִיאָה בְּלִישְׁנָא דְּיָחִיד. אַמַּאי אַדְכִּיר בְּנַעֲשֶׂה אָדָם בְּלִישְׁנָא דְּרַבִּים, לְמֵיהַב פִּתְחוֹן פֶּה לַמִּינִים וְלַמּוּמָרִים. אֶלָּא </w:t>
      </w:r>
      <w:r w:rsidRPr="00007309">
        <w:rPr>
          <w:rFonts w:cs="Arial"/>
          <w:b/>
          <w:bCs/>
          <w:sz w:val="36"/>
          <w:szCs w:val="28"/>
          <w:vertAlign w:val="superscript"/>
          <w:rtl/>
        </w:rPr>
        <w:footnoteReference w:id="8654"/>
      </w:r>
      <w:r w:rsidRPr="00007309">
        <w:rPr>
          <w:rFonts w:cs="Arial"/>
          <w:b/>
          <w:bCs/>
          <w:sz w:val="24"/>
          <w:szCs w:val="24"/>
          <w:rtl/>
        </w:rPr>
        <w:t xml:space="preserve">הָכָא כְּתִיב </w:t>
      </w:r>
      <w:r w:rsidRPr="00007309">
        <w:rPr>
          <w:rFonts w:cs="Arial"/>
          <w:sz w:val="36"/>
          <w:szCs w:val="24"/>
          <w:rtl/>
        </w:rPr>
        <w:t>(משלי יא י)</w:t>
      </w:r>
      <w:r w:rsidRPr="00007309">
        <w:rPr>
          <w:rFonts w:cs="Arial"/>
          <w:b/>
          <w:bCs/>
          <w:sz w:val="24"/>
          <w:szCs w:val="24"/>
          <w:rtl/>
        </w:rPr>
        <w:t xml:space="preserve"> וּבַאֲבֹד רְשָׁעִים רִנָּה. </w:t>
      </w:r>
      <w:r w:rsidRPr="00007309">
        <w:rPr>
          <w:rFonts w:cs="Arial"/>
          <w:b/>
          <w:bCs/>
          <w:sz w:val="36"/>
          <w:szCs w:val="28"/>
          <w:vertAlign w:val="superscript"/>
          <w:rtl/>
        </w:rPr>
        <w:footnoteReference w:id="8655"/>
      </w:r>
      <w:r w:rsidRPr="00007309">
        <w:rPr>
          <w:rFonts w:cs="Arial"/>
          <w:b/>
          <w:bCs/>
          <w:sz w:val="24"/>
          <w:szCs w:val="24"/>
          <w:rtl/>
        </w:rPr>
        <w:t>כִּי יְשָׁרִים דַּרְכֵי ה' וְגוֹ' וּפֹשְׁעִים יִכָּשְׁלוּ בָּם</w:t>
      </w:r>
      <w:r w:rsidRPr="00007309">
        <w:rPr>
          <w:rFonts w:cs="Arial" w:hint="cs"/>
          <w:b/>
          <w:bCs/>
          <w:sz w:val="24"/>
          <w:szCs w:val="24"/>
          <w:rtl/>
        </w:rPr>
        <w:t xml:space="preserve"> </w:t>
      </w:r>
      <w:r w:rsidRPr="00007309">
        <w:rPr>
          <w:rFonts w:cs="Arial"/>
          <w:sz w:val="36"/>
          <w:szCs w:val="24"/>
          <w:rtl/>
        </w:rPr>
        <w:t>(הושע יד י)</w:t>
      </w:r>
      <w:r w:rsidRPr="00007309">
        <w:rPr>
          <w:rFonts w:cs="Arial" w:hint="cs"/>
          <w:b/>
          <w:bCs/>
          <w:sz w:val="24"/>
          <w:szCs w:val="24"/>
          <w:rtl/>
        </w:rPr>
        <w:t>,</w:t>
      </w:r>
      <w:r w:rsidRPr="00007309">
        <w:rPr>
          <w:rFonts w:cs="Arial"/>
          <w:b/>
          <w:bCs/>
          <w:sz w:val="24"/>
          <w:szCs w:val="24"/>
          <w:rtl/>
        </w:rPr>
        <w:t xml:space="preserve"> לְקַיְּמָא בְּהוּ וּבַאֲבֹד רְשָׁעִים רִנָּה. </w:t>
      </w:r>
      <w:r w:rsidRPr="00007309">
        <w:rPr>
          <w:rFonts w:cs="Arial"/>
          <w:b/>
          <w:bCs/>
          <w:sz w:val="36"/>
          <w:szCs w:val="28"/>
          <w:vertAlign w:val="superscript"/>
          <w:rtl/>
        </w:rPr>
        <w:footnoteReference w:id="8656"/>
      </w:r>
      <w:r w:rsidRPr="00007309">
        <w:rPr>
          <w:rFonts w:cs="Arial"/>
          <w:b/>
          <w:bCs/>
          <w:sz w:val="24"/>
          <w:szCs w:val="24"/>
          <w:rtl/>
        </w:rPr>
        <w:t xml:space="preserve">דְּהָא אוֹרַיְתָא קָא סָתִים דְּאִיהוּ בָּרָא </w:t>
      </w:r>
      <w:r w:rsidRPr="00007309">
        <w:rPr>
          <w:rFonts w:cs="Arial" w:hint="cs"/>
          <w:b/>
          <w:bCs/>
          <w:sz w:val="24"/>
          <w:szCs w:val="24"/>
          <w:rtl/>
        </w:rPr>
        <w:t>(</w:t>
      </w:r>
      <w:r w:rsidRPr="00007309">
        <w:rPr>
          <w:rFonts w:cs="Arial"/>
          <w:b/>
          <w:bCs/>
          <w:sz w:val="24"/>
          <w:szCs w:val="24"/>
          <w:rtl/>
        </w:rPr>
        <w:t>לָאָדָם עִלָּאָה קַדְמָאָה</w:t>
      </w:r>
      <w:r w:rsidRPr="00007309">
        <w:rPr>
          <w:rFonts w:cs="Arial" w:hint="cs"/>
          <w:b/>
          <w:bCs/>
          <w:sz w:val="24"/>
          <w:szCs w:val="24"/>
          <w:rtl/>
        </w:rPr>
        <w:t>)</w:t>
      </w:r>
      <w:r w:rsidRPr="00007309">
        <w:rPr>
          <w:rFonts w:cs="Arial"/>
          <w:b/>
          <w:bCs/>
          <w:sz w:val="24"/>
          <w:szCs w:val="24"/>
          <w:rtl/>
        </w:rPr>
        <w:t xml:space="preserve">, הָדָא הוּא דִּכְתִיב </w:t>
      </w:r>
      <w:r w:rsidRPr="00007309">
        <w:rPr>
          <w:rFonts w:cs="Arial" w:hint="cs"/>
          <w:b/>
          <w:bCs/>
          <w:sz w:val="24"/>
          <w:szCs w:val="24"/>
          <w:rtl/>
        </w:rPr>
        <w:t xml:space="preserve">(בראשית א כז) </w:t>
      </w:r>
      <w:r w:rsidRPr="00007309">
        <w:rPr>
          <w:rFonts w:cs="Arial"/>
          <w:b/>
          <w:bCs/>
          <w:sz w:val="24"/>
          <w:szCs w:val="24"/>
          <w:rtl/>
        </w:rPr>
        <w:t xml:space="preserve">וַיִּבְרָא אֱלֹהִים </w:t>
      </w:r>
      <w:r w:rsidRPr="00007309">
        <w:rPr>
          <w:rFonts w:cs="Arial"/>
          <w:b/>
          <w:bCs/>
          <w:sz w:val="36"/>
          <w:szCs w:val="28"/>
          <w:vertAlign w:val="superscript"/>
          <w:rtl/>
        </w:rPr>
        <w:footnoteReference w:id="8657"/>
      </w:r>
      <w:r w:rsidRPr="00007309">
        <w:rPr>
          <w:rFonts w:cs="Arial"/>
          <w:b/>
          <w:bCs/>
          <w:sz w:val="24"/>
          <w:szCs w:val="24"/>
          <w:rtl/>
        </w:rPr>
        <w:t xml:space="preserve">אֶת הָאָדָם. אֶת לְרַבּוֹת דְּבָרָא לֵהּ בְּדִיּוֹקְנָא </w:t>
      </w:r>
      <w:r w:rsidRPr="00007309">
        <w:rPr>
          <w:rFonts w:cs="Arial"/>
          <w:b/>
          <w:bCs/>
          <w:sz w:val="36"/>
          <w:szCs w:val="28"/>
          <w:vertAlign w:val="superscript"/>
          <w:rtl/>
        </w:rPr>
        <w:footnoteReference w:id="8658"/>
      </w:r>
      <w:r w:rsidRPr="00007309">
        <w:rPr>
          <w:rFonts w:cs="Arial"/>
          <w:b/>
          <w:bCs/>
          <w:sz w:val="24"/>
          <w:szCs w:val="24"/>
          <w:rtl/>
        </w:rPr>
        <w:t xml:space="preserve">דְּאָדָם עִלָּאָה בְּמֶרְכַּבְתָּא, דְּאִתְּמַר בֵּהּ וּדְמוּת פְּנֵיהֶם פְּנֵי אָדָם. וּבָרָא לֵהּ </w:t>
      </w:r>
      <w:r w:rsidRPr="00007309">
        <w:rPr>
          <w:rFonts w:cs="Arial"/>
          <w:b/>
          <w:bCs/>
          <w:sz w:val="36"/>
          <w:szCs w:val="28"/>
          <w:vertAlign w:val="superscript"/>
          <w:rtl/>
        </w:rPr>
        <w:footnoteReference w:id="8659"/>
      </w:r>
      <w:r w:rsidRPr="00007309">
        <w:rPr>
          <w:rFonts w:cs="Arial"/>
          <w:b/>
          <w:bCs/>
          <w:sz w:val="24"/>
          <w:szCs w:val="24"/>
          <w:rtl/>
        </w:rPr>
        <w:t>בִּתְרֵין דִּיּוֹקְנִין</w:t>
      </w:r>
      <w:r w:rsidRPr="00007309">
        <w:rPr>
          <w:rFonts w:cs="Arial" w:hint="cs"/>
          <w:b/>
          <w:bCs/>
          <w:sz w:val="24"/>
          <w:szCs w:val="24"/>
          <w:rtl/>
        </w:rPr>
        <w:t>,</w:t>
      </w:r>
      <w:r w:rsidRPr="00007309">
        <w:rPr>
          <w:rFonts w:cs="Arial"/>
          <w:b/>
          <w:bCs/>
          <w:sz w:val="24"/>
          <w:szCs w:val="24"/>
          <w:rtl/>
        </w:rPr>
        <w:t xml:space="preserve"> בְּצַלְמוֹ בְּצֶלֶם</w:t>
      </w:r>
      <w:r w:rsidRPr="00007309">
        <w:rPr>
          <w:rFonts w:cs="Arial" w:hint="cs"/>
          <w:b/>
          <w:bCs/>
          <w:sz w:val="24"/>
          <w:szCs w:val="24"/>
          <w:rtl/>
        </w:rPr>
        <w:t>,</w:t>
      </w:r>
      <w:r w:rsidRPr="00007309">
        <w:rPr>
          <w:rFonts w:cs="Arial"/>
          <w:b/>
          <w:bCs/>
          <w:sz w:val="24"/>
          <w:szCs w:val="24"/>
          <w:rtl/>
        </w:rPr>
        <w:t xml:space="preserve"> דְּאִנּוּן אָדָם דְּכִסֵּא הַכָּבוֹד מָרוֹם וְאָדָם דְּכִסֵּא תִּנְיָנָא דְּאִתְּמַר בֵּהּ מֵרִאשׁוֹן. וְזֶהוּ </w:t>
      </w:r>
      <w:r w:rsidRPr="00007309">
        <w:rPr>
          <w:rFonts w:cs="Arial" w:hint="cs"/>
          <w:b/>
          <w:bCs/>
          <w:sz w:val="24"/>
          <w:szCs w:val="24"/>
          <w:rtl/>
        </w:rPr>
        <w:t xml:space="preserve">(ירמיהו יז יב) </w:t>
      </w:r>
      <w:r w:rsidRPr="00007309">
        <w:rPr>
          <w:rFonts w:cs="Arial"/>
          <w:b/>
          <w:bCs/>
          <w:sz w:val="24"/>
          <w:szCs w:val="24"/>
          <w:rtl/>
        </w:rPr>
        <w:t xml:space="preserve">מָרוֹם מֵרִאשׁוֹן. </w:t>
      </w:r>
      <w:r w:rsidRPr="00007309">
        <w:rPr>
          <w:rFonts w:cs="Arial"/>
          <w:b/>
          <w:bCs/>
          <w:sz w:val="36"/>
          <w:szCs w:val="28"/>
          <w:vertAlign w:val="superscript"/>
          <w:rtl/>
        </w:rPr>
        <w:footnoteReference w:id="8660"/>
      </w:r>
      <w:r w:rsidRPr="00007309">
        <w:rPr>
          <w:rFonts w:cs="Arial"/>
          <w:b/>
          <w:bCs/>
          <w:sz w:val="24"/>
          <w:szCs w:val="24"/>
          <w:rtl/>
        </w:rPr>
        <w:t>וּמַה דְּאָמַר נַעֲשֶׂה אָדָם, הַאי לְלַמֵּד</w:t>
      </w:r>
      <w:r w:rsidRPr="00007309">
        <w:rPr>
          <w:rFonts w:cs="Arial"/>
          <w:b/>
          <w:bCs/>
          <w:sz w:val="24"/>
          <w:szCs w:val="24"/>
        </w:rPr>
        <w:t xml:space="preserve"> </w:t>
      </w:r>
      <w:r w:rsidRPr="00007309">
        <w:rPr>
          <w:rFonts w:cs="Arial"/>
          <w:b/>
          <w:bCs/>
          <w:sz w:val="24"/>
          <w:szCs w:val="24"/>
          <w:rtl/>
        </w:rPr>
        <w:t xml:space="preserve">לְכָל חַד וְחַד מִיִּשְׂרָאֵל </w:t>
      </w:r>
      <w:r w:rsidRPr="00007309">
        <w:rPr>
          <w:rFonts w:cs="Arial"/>
          <w:b/>
          <w:bCs/>
          <w:sz w:val="36"/>
          <w:szCs w:val="28"/>
          <w:vertAlign w:val="superscript"/>
          <w:rtl/>
        </w:rPr>
        <w:footnoteReference w:id="8661"/>
      </w:r>
      <w:r w:rsidRPr="00007309">
        <w:rPr>
          <w:rFonts w:cs="Arial"/>
          <w:b/>
          <w:bCs/>
          <w:sz w:val="24"/>
          <w:szCs w:val="24"/>
          <w:rtl/>
        </w:rPr>
        <w:t>דְּאִנּוּן דְּכָר וְנוּקְבָא לְשַׁתְּפָא לֵהּ בְּזִוּוּגֵהּ. דְּאִם ה' לֹא יִבְנֶה בַּיִת שָׁוְא עָמְלוּ בוֹנָיו בּוֹ</w:t>
      </w:r>
      <w:r w:rsidRPr="00007309">
        <w:rPr>
          <w:rFonts w:cs="Arial" w:hint="cs"/>
          <w:b/>
          <w:bCs/>
          <w:sz w:val="24"/>
          <w:szCs w:val="24"/>
          <w:rtl/>
        </w:rPr>
        <w:t xml:space="preserve"> (תהלים קכז א)</w:t>
      </w:r>
      <w:r w:rsidRPr="00007309">
        <w:rPr>
          <w:rFonts w:cs="Arial"/>
          <w:b/>
          <w:bCs/>
          <w:sz w:val="24"/>
          <w:szCs w:val="24"/>
          <w:rtl/>
        </w:rPr>
        <w:t xml:space="preserve">. וּבְגִין דָּא אָמַר קָרָא </w:t>
      </w:r>
      <w:r w:rsidRPr="00007309">
        <w:rPr>
          <w:rFonts w:cs="Arial" w:hint="cs"/>
          <w:b/>
          <w:bCs/>
          <w:sz w:val="24"/>
          <w:szCs w:val="24"/>
          <w:rtl/>
        </w:rPr>
        <w:t xml:space="preserve">(משלי ג ו) </w:t>
      </w:r>
      <w:r w:rsidRPr="00007309">
        <w:rPr>
          <w:rFonts w:cs="Arial"/>
          <w:b/>
          <w:bCs/>
          <w:sz w:val="24"/>
          <w:szCs w:val="24"/>
          <w:rtl/>
        </w:rPr>
        <w:t xml:space="preserve">בְּכָל דְּרָכֶיךָ דָעֵהוּ וְהוּא יְיַשֵּׁר אָרְחוֹתֶיךָ. דְּאִתְּמַר בְּהוֹן </w:t>
      </w:r>
      <w:r w:rsidRPr="00007309">
        <w:rPr>
          <w:rFonts w:cs="Arial"/>
          <w:b/>
          <w:bCs/>
          <w:sz w:val="36"/>
          <w:szCs w:val="28"/>
          <w:vertAlign w:val="superscript"/>
          <w:rtl/>
        </w:rPr>
        <w:footnoteReference w:id="8662"/>
      </w:r>
      <w:r w:rsidRPr="00007309">
        <w:rPr>
          <w:rFonts w:cs="Arial"/>
          <w:b/>
          <w:bCs/>
          <w:sz w:val="24"/>
          <w:szCs w:val="24"/>
          <w:rtl/>
        </w:rPr>
        <w:t xml:space="preserve">כִּי יְשָׁרִים דַּרְכֵי ה'. דְּוַדַּאי אִתְּמַר בְּעִלַּת הָעִלּוֹת </w:t>
      </w:r>
      <w:r w:rsidRPr="00007309">
        <w:rPr>
          <w:rFonts w:cs="Arial"/>
          <w:b/>
          <w:bCs/>
          <w:sz w:val="36"/>
          <w:szCs w:val="28"/>
          <w:vertAlign w:val="superscript"/>
          <w:rtl/>
        </w:rPr>
        <w:footnoteReference w:id="8663"/>
      </w:r>
      <w:r w:rsidRPr="00007309">
        <w:rPr>
          <w:rFonts w:cs="Arial"/>
          <w:b/>
          <w:bCs/>
          <w:sz w:val="24"/>
          <w:szCs w:val="24"/>
          <w:rtl/>
        </w:rPr>
        <w:t xml:space="preserve">תְּרֵין עָלְמִין </w:t>
      </w:r>
      <w:r w:rsidRPr="00007309">
        <w:rPr>
          <w:rFonts w:cs="Arial"/>
          <w:b/>
          <w:bCs/>
          <w:sz w:val="36"/>
          <w:szCs w:val="28"/>
          <w:vertAlign w:val="superscript"/>
          <w:rtl/>
        </w:rPr>
        <w:footnoteReference w:id="8664"/>
      </w:r>
      <w:r w:rsidRPr="00007309">
        <w:rPr>
          <w:rFonts w:cs="Arial"/>
          <w:b/>
          <w:bCs/>
          <w:sz w:val="24"/>
          <w:szCs w:val="24"/>
          <w:rtl/>
        </w:rPr>
        <w:t xml:space="preserve">דְּצִיֵּר בְּהוֹן עִלַּת עַל כֹּלָּא. וְאִנּוּן י' מֵאִישׁ, ה' </w:t>
      </w:r>
      <w:r w:rsidRPr="00007309">
        <w:rPr>
          <w:rFonts w:cs="Arial"/>
          <w:b/>
          <w:bCs/>
          <w:sz w:val="36"/>
          <w:szCs w:val="28"/>
          <w:vertAlign w:val="superscript"/>
          <w:rtl/>
        </w:rPr>
        <w:footnoteReference w:id="8665"/>
      </w:r>
      <w:r w:rsidRPr="00007309">
        <w:rPr>
          <w:rFonts w:cs="Arial"/>
          <w:b/>
          <w:bCs/>
          <w:sz w:val="24"/>
          <w:szCs w:val="24"/>
          <w:rtl/>
        </w:rPr>
        <w:t xml:space="preserve">מֵאִשָּׁה. וְדָא יָ'הּ. תְּרֵין עָלְמִין </w:t>
      </w:r>
      <w:r w:rsidRPr="00007309">
        <w:rPr>
          <w:rFonts w:cs="Arial"/>
          <w:sz w:val="36"/>
          <w:szCs w:val="28"/>
          <w:rtl/>
        </w:rPr>
        <w:t>(</w:t>
      </w:r>
      <w:r w:rsidRPr="00007309">
        <w:rPr>
          <w:rFonts w:cs="Arial"/>
          <w:sz w:val="36"/>
          <w:szCs w:val="28"/>
          <w:vertAlign w:val="superscript"/>
          <w:rtl/>
        </w:rPr>
        <w:footnoteReference w:id="8666"/>
      </w:r>
      <w:r w:rsidRPr="00007309">
        <w:rPr>
          <w:rFonts w:cs="Arial"/>
          <w:sz w:val="36"/>
          <w:szCs w:val="28"/>
          <w:rtl/>
        </w:rPr>
        <w:t>דְּצִיֵּר בְּהוֹן עִלַּת עַל כֹּלָּא)</w:t>
      </w:r>
      <w:r w:rsidRPr="00007309">
        <w:rPr>
          <w:rFonts w:cs="Arial"/>
          <w:b/>
          <w:bCs/>
          <w:sz w:val="24"/>
          <w:szCs w:val="24"/>
          <w:rtl/>
        </w:rPr>
        <w:t xml:space="preserve"> אִנּוּן ו' ה'</w:t>
      </w:r>
      <w:r w:rsidRPr="00007309">
        <w:rPr>
          <w:rFonts w:cs="Arial" w:hint="cs"/>
          <w:b/>
          <w:bCs/>
          <w:sz w:val="24"/>
          <w:szCs w:val="24"/>
          <w:rtl/>
        </w:rPr>
        <w:t>,</w:t>
      </w:r>
      <w:r w:rsidRPr="00007309">
        <w:rPr>
          <w:rFonts w:cs="Arial"/>
          <w:b/>
          <w:bCs/>
          <w:sz w:val="24"/>
          <w:szCs w:val="24"/>
          <w:rtl/>
        </w:rPr>
        <w:t xml:space="preserve"> עָלְמָא דֵּין וְעָלְמָא דְּאָתֵי. </w:t>
      </w:r>
      <w:r w:rsidRPr="00007309">
        <w:rPr>
          <w:rFonts w:cs="Arial"/>
          <w:b/>
          <w:bCs/>
          <w:sz w:val="36"/>
          <w:szCs w:val="28"/>
          <w:vertAlign w:val="superscript"/>
          <w:rtl/>
        </w:rPr>
        <w:footnoteReference w:id="8667"/>
      </w:r>
      <w:r w:rsidRPr="00007309">
        <w:rPr>
          <w:rFonts w:cs="Arial"/>
          <w:b/>
          <w:bCs/>
          <w:sz w:val="24"/>
          <w:szCs w:val="24"/>
          <w:rtl/>
        </w:rPr>
        <w:t xml:space="preserve">אָדָם דָא אִיהוּ יוּ"ד הֵ"א וָא"ו הֵ"א. וְאָמַר עִלַּת עַל כֹּלָּא אַף עַל גַּב דִּבְאִלֵּין אַתְוָן אִתְבְּרֵי עָלְמָא. וְכֻרְסֵא </w:t>
      </w:r>
      <w:r w:rsidRPr="00007309">
        <w:rPr>
          <w:rFonts w:cs="Arial"/>
          <w:b/>
          <w:bCs/>
          <w:sz w:val="36"/>
          <w:szCs w:val="28"/>
          <w:vertAlign w:val="superscript"/>
          <w:rtl/>
        </w:rPr>
        <w:footnoteReference w:id="8668"/>
      </w:r>
      <w:r w:rsidRPr="00007309">
        <w:rPr>
          <w:rFonts w:cs="Arial"/>
          <w:b/>
          <w:bCs/>
          <w:sz w:val="24"/>
          <w:szCs w:val="24"/>
          <w:rtl/>
        </w:rPr>
        <w:t>לָאָדָם לָשֶׁבֶת בַּיִת</w:t>
      </w:r>
      <w:r w:rsidRPr="00007309">
        <w:rPr>
          <w:rFonts w:cs="Arial" w:hint="cs"/>
          <w:b/>
          <w:bCs/>
          <w:sz w:val="24"/>
          <w:szCs w:val="24"/>
          <w:rtl/>
        </w:rPr>
        <w:t>,</w:t>
      </w:r>
      <w:r w:rsidRPr="00007309">
        <w:rPr>
          <w:rFonts w:cs="Arial"/>
          <w:b/>
          <w:bCs/>
          <w:sz w:val="24"/>
          <w:szCs w:val="24"/>
          <w:rtl/>
        </w:rPr>
        <w:t xml:space="preserve"> לָשֶׁבֶת עַל הַכִּסֵּא</w:t>
      </w:r>
      <w:r w:rsidRPr="00007309">
        <w:rPr>
          <w:rFonts w:cs="Arial" w:hint="cs"/>
          <w:b/>
          <w:bCs/>
          <w:sz w:val="24"/>
          <w:szCs w:val="24"/>
          <w:rtl/>
        </w:rPr>
        <w:t>.</w:t>
      </w:r>
      <w:r w:rsidRPr="00007309">
        <w:rPr>
          <w:rFonts w:cs="Arial"/>
          <w:b/>
          <w:bCs/>
          <w:sz w:val="24"/>
          <w:szCs w:val="24"/>
          <w:rtl/>
        </w:rPr>
        <w:t xml:space="preserve"> דִּבְהוֹן אי"ה או"ה, </w:t>
      </w:r>
      <w:r w:rsidRPr="00007309">
        <w:rPr>
          <w:rFonts w:cs="Arial"/>
          <w:b/>
          <w:bCs/>
          <w:sz w:val="36"/>
          <w:szCs w:val="28"/>
          <w:vertAlign w:val="superscript"/>
          <w:rtl/>
        </w:rPr>
        <w:footnoteReference w:id="8669"/>
      </w:r>
      <w:r w:rsidRPr="00007309">
        <w:rPr>
          <w:rFonts w:cs="Arial"/>
          <w:b/>
          <w:bCs/>
          <w:sz w:val="24"/>
          <w:szCs w:val="24"/>
          <w:rtl/>
        </w:rPr>
        <w:t xml:space="preserve">וּבְהוֹן אִתְקְרִיאוּ יִשְׂרָאֵל </w:t>
      </w:r>
      <w:r w:rsidRPr="00007309">
        <w:rPr>
          <w:rFonts w:cs="Arial" w:hint="cs"/>
          <w:b/>
          <w:bCs/>
          <w:sz w:val="24"/>
          <w:szCs w:val="24"/>
          <w:rtl/>
        </w:rPr>
        <w:t xml:space="preserve">(דברים יד א) </w:t>
      </w:r>
      <w:r w:rsidRPr="00007309">
        <w:rPr>
          <w:rFonts w:cs="Arial"/>
          <w:b/>
          <w:bCs/>
          <w:sz w:val="24"/>
          <w:szCs w:val="24"/>
          <w:rtl/>
        </w:rPr>
        <w:t xml:space="preserve">בָּנִים אַתֶּם לַה' אֱלֹהֵיכֶם. וְאִתְּמַר בְּהוֹן </w:t>
      </w:r>
      <w:r w:rsidRPr="00007309">
        <w:rPr>
          <w:rFonts w:cs="Arial" w:hint="cs"/>
          <w:b/>
          <w:bCs/>
          <w:sz w:val="24"/>
          <w:szCs w:val="24"/>
          <w:rtl/>
        </w:rPr>
        <w:t xml:space="preserve">(יחזקאל לד לא) </w:t>
      </w:r>
      <w:r w:rsidRPr="00007309">
        <w:rPr>
          <w:rFonts w:cs="Arial"/>
          <w:b/>
          <w:bCs/>
          <w:sz w:val="24"/>
          <w:szCs w:val="24"/>
          <w:rtl/>
        </w:rPr>
        <w:t>אָדָם אַתֶּם. שַׁתְּפוּנִי בַּהֲדַיְכוּ בְּאִלֵּין אַתְוָן וְיִתְקַיִּם עוֹבָדֵיכוֹן. דַּאֲנָא הוּא דְּבָרָאתִי כָּל עָלְמִין, וְכָל כָּרְסְיָן וְחֵיוָן וּמַלְאָכִין וְכָל צָבָא עִלָּאִין וּבְנֵי אָדָם</w:t>
      </w:r>
      <w:r w:rsidRPr="00007309">
        <w:rPr>
          <w:rFonts w:cs="Arial" w:hint="cs"/>
          <w:b/>
          <w:bCs/>
          <w:sz w:val="24"/>
          <w:szCs w:val="24"/>
          <w:rtl/>
        </w:rPr>
        <w:t>,</w:t>
      </w:r>
      <w:r w:rsidRPr="00007309">
        <w:rPr>
          <w:rFonts w:cs="Arial"/>
          <w:b/>
          <w:bCs/>
          <w:sz w:val="24"/>
          <w:szCs w:val="24"/>
          <w:rtl/>
        </w:rPr>
        <w:t xml:space="preserve"> בְּאִלֵּין אַתְוָן. וְאַף עַל גַּב דְּאִית בְּיִשְׂרָאֵל אִלֵּין אַתְוָן</w:t>
      </w:r>
      <w:r w:rsidRPr="00007309">
        <w:rPr>
          <w:rFonts w:cs="Arial" w:hint="cs"/>
          <w:b/>
          <w:bCs/>
          <w:sz w:val="24"/>
          <w:szCs w:val="24"/>
          <w:rtl/>
        </w:rPr>
        <w:t>,</w:t>
      </w:r>
      <w:r w:rsidRPr="00007309">
        <w:rPr>
          <w:rFonts w:cs="Arial"/>
          <w:b/>
          <w:bCs/>
          <w:sz w:val="24"/>
          <w:szCs w:val="24"/>
          <w:rtl/>
        </w:rPr>
        <w:t xml:space="preserve"> בְּגִין אוֹרַיְתָא דְּיָהַב לוֹן</w:t>
      </w:r>
      <w:r w:rsidRPr="00007309">
        <w:rPr>
          <w:rFonts w:cs="Arial" w:hint="cs"/>
          <w:b/>
          <w:bCs/>
          <w:sz w:val="24"/>
          <w:szCs w:val="24"/>
          <w:rtl/>
        </w:rPr>
        <w:t>,</w:t>
      </w:r>
      <w:r w:rsidRPr="00007309">
        <w:rPr>
          <w:rFonts w:cs="Arial"/>
          <w:b/>
          <w:bCs/>
          <w:sz w:val="24"/>
          <w:szCs w:val="24"/>
          <w:rtl/>
        </w:rPr>
        <w:t xml:space="preserve"> לֹא יִשְׁתַּכְּחוּן בְּאִלֵּין אַתְוָן לְמֶעֱבַד עוֹבָדָא בְּהוֹן</w:t>
      </w:r>
      <w:r w:rsidRPr="00007309">
        <w:rPr>
          <w:rFonts w:cs="Arial" w:hint="cs"/>
          <w:b/>
          <w:bCs/>
          <w:sz w:val="24"/>
          <w:szCs w:val="24"/>
          <w:rtl/>
        </w:rPr>
        <w:t>,</w:t>
      </w:r>
      <w:r w:rsidRPr="00007309">
        <w:rPr>
          <w:rFonts w:cs="Arial"/>
          <w:b/>
          <w:bCs/>
          <w:sz w:val="24"/>
          <w:szCs w:val="24"/>
          <w:rtl/>
        </w:rPr>
        <w:t xml:space="preserve"> דְּלָא יִשְׁתַּתְּפוּן לִי בַּהֲדַיְהוּ. וּבְגִין דָּא אָמַר לוֹן נַעֲשֶׂה אָדָם בְּשִׁתּוּפָא דִּילִי</w:t>
      </w:r>
      <w:r w:rsidRPr="00007309">
        <w:rPr>
          <w:rFonts w:cs="Arial" w:hint="cs"/>
          <w:b/>
          <w:bCs/>
          <w:sz w:val="24"/>
          <w:szCs w:val="24"/>
          <w:rtl/>
        </w:rPr>
        <w:t>,</w:t>
      </w:r>
      <w:r w:rsidRPr="00007309">
        <w:rPr>
          <w:rFonts w:cs="Arial"/>
          <w:b/>
          <w:bCs/>
          <w:sz w:val="24"/>
          <w:szCs w:val="24"/>
          <w:rtl/>
        </w:rPr>
        <w:t xml:space="preserve"> וְלָאו אוֹרַיְתָא וּפִקּוּדָא עָבִיד פְּעֻלָּה וְעוֹבָדָא עֵלָּא וְתַתָּא </w:t>
      </w:r>
      <w:r w:rsidRPr="00007309">
        <w:rPr>
          <w:rFonts w:cs="Arial"/>
          <w:b/>
          <w:bCs/>
          <w:sz w:val="36"/>
          <w:szCs w:val="28"/>
          <w:vertAlign w:val="superscript"/>
          <w:rtl/>
        </w:rPr>
        <w:footnoteReference w:id="8670"/>
      </w:r>
      <w:r w:rsidRPr="00007309">
        <w:rPr>
          <w:rFonts w:cs="Arial"/>
          <w:b/>
          <w:bCs/>
          <w:sz w:val="24"/>
          <w:szCs w:val="24"/>
          <w:rtl/>
        </w:rPr>
        <w:t xml:space="preserve">פָּחוֹת מִנִּי. וּבְגִין דָּא בְּכָל דְּרָכֶיךָ דָּעֵהוּ. </w:t>
      </w:r>
    </w:p>
    <w:p w:rsidR="00007309" w:rsidRPr="00007309" w:rsidRDefault="00007309" w:rsidP="00007309">
      <w:pPr>
        <w:keepNext/>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[וילנא מח ע"א]</w:t>
      </w:r>
    </w:p>
    <w:p w:rsidR="00007309" w:rsidRPr="00007309" w:rsidRDefault="00007309" w:rsidP="00007309">
      <w:pPr>
        <w:jc w:val="both"/>
        <w:rPr>
          <w:rFonts w:cs="Arial"/>
          <w:b/>
          <w:bCs/>
          <w:sz w:val="24"/>
          <w:szCs w:val="24"/>
          <w:rtl/>
        </w:rPr>
      </w:pPr>
      <w:r w:rsidRPr="00007309">
        <w:rPr>
          <w:rFonts w:cs="Arial"/>
          <w:b/>
          <w:bCs/>
          <w:sz w:val="36"/>
          <w:szCs w:val="28"/>
          <w:vertAlign w:val="superscript"/>
          <w:rtl/>
        </w:rPr>
        <w:footnoteReference w:id="8671"/>
      </w:r>
      <w:r w:rsidRPr="00007309">
        <w:rPr>
          <w:rFonts w:cs="Arial"/>
          <w:b/>
          <w:bCs/>
          <w:sz w:val="24"/>
          <w:szCs w:val="24"/>
          <w:rtl/>
        </w:rPr>
        <w:t xml:space="preserve">וְכָל אֻמִּין דְּעָלְמָא דְּלָא קַבִּילוּ מִנֵּהּ אוֹרַיְתָא, לֵית לוֹן יְדִיעָה בַּהּ, וְאָזְלִין כְּעָאנָא בְּלֹא רָעֲיָא, וְאִתְּמַר בְּהוֹן </w:t>
      </w:r>
      <w:r w:rsidRPr="00007309">
        <w:rPr>
          <w:rFonts w:cs="Arial" w:hint="cs"/>
          <w:b/>
          <w:bCs/>
          <w:sz w:val="24"/>
          <w:szCs w:val="24"/>
          <w:rtl/>
        </w:rPr>
        <w:t xml:space="preserve">(מיכה ד ה) </w:t>
      </w:r>
      <w:r w:rsidRPr="00007309">
        <w:rPr>
          <w:rFonts w:cs="Arial"/>
          <w:b/>
          <w:bCs/>
          <w:sz w:val="24"/>
          <w:szCs w:val="24"/>
          <w:rtl/>
        </w:rPr>
        <w:t xml:space="preserve">כִּי כָּל הָעַמִּים יֵלְכוּ אִישׁ בְּשֵׁם אֱלֹהָיו, וְעָבְדִין אֱלֹהוּת סַגִּיאִין. וְכָל יִשְׂרָאֵל דְּקַבִּילוּ מִנֵּהּ אוֹרַיְתָא, אִנּוּן עָבְדִין לֵהּ </w:t>
      </w:r>
      <w:r w:rsidRPr="00007309">
        <w:rPr>
          <w:rFonts w:cs="Arial"/>
          <w:b/>
          <w:bCs/>
          <w:sz w:val="36"/>
          <w:szCs w:val="28"/>
          <w:vertAlign w:val="superscript"/>
          <w:rtl/>
        </w:rPr>
        <w:footnoteReference w:id="8672"/>
      </w:r>
      <w:r w:rsidRPr="00007309">
        <w:rPr>
          <w:rFonts w:cs="Arial"/>
          <w:b/>
          <w:bCs/>
          <w:sz w:val="24"/>
          <w:szCs w:val="24"/>
          <w:rtl/>
        </w:rPr>
        <w:t xml:space="preserve">אֶחָד בַּהּ, </w:t>
      </w:r>
      <w:r w:rsidRPr="00007309">
        <w:rPr>
          <w:rFonts w:ascii="Cambria" w:hAnsi="Cambria" w:cs="Times New Roman"/>
          <w:b/>
          <w:bCs/>
          <w:i/>
          <w:iCs/>
          <w:color w:val="4F81BD"/>
          <w:sz w:val="24"/>
          <w:szCs w:val="24"/>
          <w:rtl/>
        </w:rPr>
        <w:t>(</w:t>
      </w:r>
      <w:r w:rsidRPr="00007309">
        <w:rPr>
          <w:rFonts w:ascii="Cambria" w:hAnsi="Cambria" w:cs="Times New Roman" w:hint="cs"/>
          <w:b/>
          <w:bCs/>
          <w:i/>
          <w:iCs/>
          <w:color w:val="4F81BD"/>
          <w:sz w:val="24"/>
          <w:szCs w:val="24"/>
          <w:rtl/>
        </w:rPr>
        <w:t>וילנא מח</w:t>
      </w:r>
      <w:r w:rsidRPr="00007309">
        <w:rPr>
          <w:rFonts w:ascii="Cambria" w:hAnsi="Cambria" w:cs="Times New Roman"/>
          <w:b/>
          <w:bCs/>
          <w:i/>
          <w:iCs/>
          <w:color w:val="4F81BD"/>
          <w:sz w:val="24"/>
          <w:szCs w:val="24"/>
          <w:rtl/>
        </w:rPr>
        <w:t xml:space="preserve"> ע"</w:t>
      </w:r>
      <w:r w:rsidRPr="00007309">
        <w:rPr>
          <w:rFonts w:ascii="Cambria" w:hAnsi="Cambria" w:cs="Times New Roman" w:hint="cs"/>
          <w:b/>
          <w:bCs/>
          <w:i/>
          <w:iCs/>
          <w:color w:val="4F81BD"/>
          <w:sz w:val="24"/>
          <w:szCs w:val="24"/>
          <w:rtl/>
        </w:rPr>
        <w:t>א</w:t>
      </w:r>
      <w:r w:rsidRPr="00007309">
        <w:rPr>
          <w:rFonts w:ascii="Cambria" w:hAnsi="Cambria" w:cs="Times New Roman"/>
          <w:b/>
          <w:bCs/>
          <w:i/>
          <w:iCs/>
          <w:color w:val="4F81BD"/>
          <w:sz w:val="24"/>
          <w:szCs w:val="24"/>
          <w:rtl/>
        </w:rPr>
        <w:t>)</w:t>
      </w:r>
      <w:r w:rsidRPr="00007309">
        <w:rPr>
          <w:rFonts w:cs="Arial"/>
          <w:b/>
          <w:bCs/>
          <w:sz w:val="24"/>
          <w:szCs w:val="24"/>
          <w:rtl/>
        </w:rPr>
        <w:t xml:space="preserve"> וּבְכָל אַתְוָן וּשְׁמָהָן קַדִּישִׁין דִּילֵהּ</w:t>
      </w:r>
      <w:r w:rsidRPr="00007309">
        <w:rPr>
          <w:rFonts w:cs="Arial" w:hint="cs"/>
          <w:b/>
          <w:bCs/>
          <w:sz w:val="24"/>
          <w:szCs w:val="24"/>
          <w:rtl/>
        </w:rPr>
        <w:t>,</w:t>
      </w:r>
      <w:r w:rsidRPr="00007309">
        <w:rPr>
          <w:rFonts w:cs="Arial"/>
          <w:b/>
          <w:bCs/>
          <w:sz w:val="24"/>
          <w:szCs w:val="24"/>
          <w:rtl/>
        </w:rPr>
        <w:t xml:space="preserve"> וּבְכָל מַשִּׁרְיָן עִלָּאִין וְתַתָּאִין דְּאִתְבְּרִיאוּ בְּהוּ</w:t>
      </w:r>
      <w:r w:rsidRPr="00007309">
        <w:rPr>
          <w:rFonts w:cs="Arial" w:hint="cs"/>
          <w:b/>
          <w:bCs/>
          <w:sz w:val="24"/>
          <w:szCs w:val="24"/>
          <w:rtl/>
        </w:rPr>
        <w:t>,</w:t>
      </w:r>
      <w:r w:rsidRPr="00007309">
        <w:rPr>
          <w:rFonts w:cs="Arial"/>
          <w:b/>
          <w:bCs/>
          <w:sz w:val="24"/>
          <w:szCs w:val="24"/>
          <w:rtl/>
        </w:rPr>
        <w:t xml:space="preserve"> וּבְכָל בִּרְיָן עִלָּאִין וְתַתָּאִין</w:t>
      </w:r>
      <w:r w:rsidRPr="00007309">
        <w:rPr>
          <w:rFonts w:cs="Arial" w:hint="cs"/>
          <w:b/>
          <w:bCs/>
          <w:sz w:val="24"/>
          <w:szCs w:val="24"/>
          <w:rtl/>
        </w:rPr>
        <w:t>,</w:t>
      </w:r>
      <w:r w:rsidRPr="00007309">
        <w:rPr>
          <w:rFonts w:cs="Arial"/>
          <w:b/>
          <w:bCs/>
          <w:sz w:val="24"/>
          <w:szCs w:val="24"/>
          <w:rtl/>
        </w:rPr>
        <w:t xml:space="preserve"> וּלְעֵלָּא מִכֻּלְּהוּ אֶחָד</w:t>
      </w:r>
      <w:r w:rsidRPr="00007309">
        <w:rPr>
          <w:rFonts w:cs="Arial" w:hint="cs"/>
          <w:b/>
          <w:bCs/>
          <w:sz w:val="24"/>
          <w:szCs w:val="24"/>
          <w:rtl/>
        </w:rPr>
        <w:t>.</w:t>
      </w:r>
      <w:r w:rsidRPr="00007309">
        <w:rPr>
          <w:rFonts w:cs="Arial"/>
          <w:b/>
          <w:bCs/>
          <w:sz w:val="24"/>
          <w:szCs w:val="24"/>
          <w:rtl/>
        </w:rPr>
        <w:t xml:space="preserve"> וּלְתַתָּא מִכֻּלְּהוּ</w:t>
      </w:r>
      <w:r w:rsidRPr="00007309">
        <w:rPr>
          <w:rFonts w:cs="Arial" w:hint="cs"/>
          <w:b/>
          <w:bCs/>
          <w:sz w:val="24"/>
          <w:szCs w:val="24"/>
          <w:rtl/>
        </w:rPr>
        <w:t>,</w:t>
      </w:r>
      <w:r w:rsidRPr="00007309">
        <w:rPr>
          <w:rFonts w:cs="Arial"/>
          <w:b/>
          <w:bCs/>
          <w:sz w:val="24"/>
          <w:szCs w:val="24"/>
          <w:rtl/>
        </w:rPr>
        <w:t xml:space="preserve"> וּמִלְּגָאו דְּכֻלְּהוּ</w:t>
      </w:r>
      <w:r w:rsidRPr="00007309">
        <w:rPr>
          <w:rFonts w:cs="Arial" w:hint="cs"/>
          <w:b/>
          <w:bCs/>
          <w:sz w:val="24"/>
          <w:szCs w:val="24"/>
          <w:rtl/>
        </w:rPr>
        <w:t>,</w:t>
      </w:r>
      <w:r w:rsidRPr="00007309">
        <w:rPr>
          <w:rFonts w:cs="Arial"/>
          <w:b/>
          <w:bCs/>
          <w:sz w:val="24"/>
          <w:szCs w:val="24"/>
          <w:rtl/>
        </w:rPr>
        <w:t xml:space="preserve"> וּמִלְּבָר דְּכֻלְּהוּ אִיהוּ אֶחָד. מִבַּיִת וּמִחוּץ תְּצַפֶּנּוּ</w:t>
      </w:r>
      <w:r w:rsidRPr="00007309">
        <w:rPr>
          <w:rFonts w:cs="Arial" w:hint="cs"/>
          <w:b/>
          <w:bCs/>
          <w:sz w:val="24"/>
          <w:szCs w:val="24"/>
          <w:rtl/>
        </w:rPr>
        <w:t xml:space="preserve"> (שמות כה יא)</w:t>
      </w:r>
      <w:r w:rsidRPr="00007309">
        <w:rPr>
          <w:rFonts w:cs="Arial"/>
          <w:b/>
          <w:bCs/>
          <w:sz w:val="24"/>
          <w:szCs w:val="24"/>
          <w:rtl/>
        </w:rPr>
        <w:t>. וְהָכֵי תּוֹכוֹ כְּבָרוֹ, הָכֵי אִיהוּ מִלְּגָאו דְּכָל עָלְמִין כְּמוֹ מִלְּבַר דְּכָל עָלְמִין לָא אִשְׁתַּנֵּי.</w:t>
      </w:r>
    </w:p>
    <w:p w:rsidR="00007309" w:rsidRPr="00007309" w:rsidRDefault="00007309" w:rsidP="00007309">
      <w:pPr>
        <w:keepNext/>
        <w:outlineLvl w:val="1"/>
        <w:rPr>
          <w:rFonts w:ascii="Cambria" w:hAnsi="Cambria" w:cs="Times New Roman"/>
          <w:b/>
          <w:bCs/>
          <w:i/>
          <w:iCs/>
          <w:sz w:val="28"/>
          <w:szCs w:val="28"/>
          <w:rtl/>
        </w:rPr>
      </w:pPr>
      <w:r w:rsidRPr="00007309">
        <w:rPr>
          <w:rFonts w:ascii="Cambria" w:hAnsi="Cambria" w:cs="Times New Roman"/>
          <w:b/>
          <w:bCs/>
          <w:i/>
          <w:iCs/>
          <w:sz w:val="28"/>
          <w:szCs w:val="28"/>
          <w:rtl/>
        </w:rPr>
        <w:t>[</w:t>
      </w:r>
      <w:r w:rsidRPr="00007309">
        <w:rPr>
          <w:rFonts w:ascii="Cambria" w:hAnsi="Cambria" w:cs="Times New Roman" w:hint="cs"/>
          <w:b/>
          <w:bCs/>
          <w:i/>
          <w:iCs/>
          <w:sz w:val="28"/>
          <w:szCs w:val="28"/>
          <w:rtl/>
        </w:rPr>
        <w:t>דף</w:t>
      </w:r>
      <w:r w:rsidRPr="00007309">
        <w:rPr>
          <w:rFonts w:ascii="Cambria" w:hAnsi="Cambria" w:cs="Times New Roman"/>
          <w:b/>
          <w:bCs/>
          <w:i/>
          <w:iCs/>
          <w:sz w:val="28"/>
          <w:szCs w:val="28"/>
          <w:rtl/>
        </w:rPr>
        <w:t xml:space="preserve"> </w:t>
      </w:r>
      <w:r w:rsidRPr="00007309">
        <w:rPr>
          <w:rFonts w:ascii="Cambria" w:hAnsi="Cambria" w:cs="Times New Roman" w:hint="cs"/>
          <w:b/>
          <w:bCs/>
          <w:i/>
          <w:iCs/>
          <w:sz w:val="28"/>
          <w:szCs w:val="28"/>
          <w:rtl/>
        </w:rPr>
        <w:t>פט</w:t>
      </w:r>
      <w:r w:rsidRPr="00007309">
        <w:rPr>
          <w:rFonts w:ascii="Cambria" w:hAnsi="Cambria" w:cs="Times New Roman"/>
          <w:b/>
          <w:bCs/>
          <w:i/>
          <w:iCs/>
          <w:sz w:val="28"/>
          <w:szCs w:val="28"/>
          <w:rtl/>
        </w:rPr>
        <w:t xml:space="preserve"> ע"</w:t>
      </w:r>
      <w:r w:rsidRPr="00007309">
        <w:rPr>
          <w:rFonts w:ascii="Cambria" w:hAnsi="Cambria" w:cs="Times New Roman" w:hint="cs"/>
          <w:b/>
          <w:bCs/>
          <w:i/>
          <w:iCs/>
          <w:sz w:val="28"/>
          <w:szCs w:val="28"/>
          <w:rtl/>
        </w:rPr>
        <w:t>א</w:t>
      </w:r>
      <w:r w:rsidRPr="00007309">
        <w:rPr>
          <w:rFonts w:ascii="Cambria" w:hAnsi="Cambria" w:cs="Times New Roman"/>
          <w:b/>
          <w:bCs/>
          <w:i/>
          <w:iCs/>
          <w:sz w:val="28"/>
          <w:szCs w:val="28"/>
          <w:rtl/>
        </w:rPr>
        <w:t>]</w:t>
      </w:r>
    </w:p>
    <w:p w:rsidR="00007309" w:rsidRPr="00007309" w:rsidRDefault="00007309" w:rsidP="00007309">
      <w:pPr>
        <w:jc w:val="both"/>
        <w:rPr>
          <w:rFonts w:cs="Arial"/>
          <w:b/>
          <w:bCs/>
          <w:sz w:val="24"/>
          <w:szCs w:val="24"/>
        </w:rPr>
      </w:pPr>
      <w:r w:rsidRPr="00007309">
        <w:rPr>
          <w:rFonts w:cs="Arial"/>
          <w:b/>
          <w:bCs/>
          <w:sz w:val="24"/>
          <w:szCs w:val="24"/>
          <w:rtl/>
        </w:rPr>
        <w:t>וְלֵית שֵׁם וְחִבּוּר אַתְוָן דְּשֵׁם ה' וּבְכָל כִּנּוּיִין דִילֵהּ בַּר מִנֵּהּ. דְּאִי לָאו דְּאִיהוּ חִבֵּר בְּקֹרְבָּ</w:t>
      </w:r>
      <w:r w:rsidRPr="00007309">
        <w:rPr>
          <w:rFonts w:cs="Arial" w:hint="cs"/>
          <w:b/>
          <w:bCs/>
          <w:sz w:val="24"/>
          <w:szCs w:val="24"/>
          <w:rtl/>
        </w:rPr>
        <w:t>נ</w:t>
      </w:r>
      <w:r w:rsidRPr="00007309">
        <w:rPr>
          <w:rFonts w:cs="Arial"/>
          <w:b/>
          <w:bCs/>
          <w:sz w:val="24"/>
          <w:szCs w:val="24"/>
          <w:rtl/>
        </w:rPr>
        <w:t xml:space="preserve">ֵהּ </w:t>
      </w:r>
      <w:r w:rsidRPr="00007309">
        <w:rPr>
          <w:rFonts w:cs="Arial" w:hint="cs"/>
          <w:b/>
          <w:bCs/>
          <w:sz w:val="24"/>
          <w:szCs w:val="24"/>
          <w:rtl/>
        </w:rPr>
        <w:t xml:space="preserve">י' </w:t>
      </w:r>
      <w:r w:rsidRPr="00007309">
        <w:rPr>
          <w:rFonts w:cs="Arial"/>
          <w:b/>
          <w:bCs/>
          <w:sz w:val="24"/>
          <w:szCs w:val="24"/>
          <w:rtl/>
        </w:rPr>
        <w:t>בְּה'</w:t>
      </w:r>
      <w:r w:rsidRPr="00007309">
        <w:rPr>
          <w:rFonts w:cs="Arial" w:hint="cs"/>
          <w:b/>
          <w:bCs/>
          <w:sz w:val="24"/>
          <w:szCs w:val="24"/>
          <w:rtl/>
        </w:rPr>
        <w:t>,</w:t>
      </w:r>
      <w:r w:rsidRPr="00007309">
        <w:rPr>
          <w:rFonts w:cs="Arial"/>
          <w:b/>
          <w:bCs/>
          <w:sz w:val="24"/>
          <w:szCs w:val="24"/>
          <w:rtl/>
        </w:rPr>
        <w:t xml:space="preserve"> ו' בְּה', לֹא אִתְקְרִיאוּ אַתְוָן בְּשֵׁם יְהוָֹה</w:t>
      </w:r>
      <w:r w:rsidRPr="00007309">
        <w:rPr>
          <w:rFonts w:cs="Arial" w:hint="cs"/>
          <w:b/>
          <w:bCs/>
          <w:sz w:val="24"/>
          <w:szCs w:val="24"/>
          <w:rtl/>
        </w:rPr>
        <w:t>.</w:t>
      </w:r>
      <w:r w:rsidRPr="00007309">
        <w:rPr>
          <w:rFonts w:cs="Arial"/>
          <w:b/>
          <w:bCs/>
          <w:sz w:val="24"/>
          <w:szCs w:val="24"/>
          <w:rtl/>
        </w:rPr>
        <w:t xml:space="preserve"> וְאִיהוּ מְחַבֵּר יְהוָֹ"ה אֲדֹנָ"י</w:t>
      </w:r>
      <w:r w:rsidRPr="00007309">
        <w:rPr>
          <w:rFonts w:cs="Arial" w:hint="cs"/>
          <w:b/>
          <w:bCs/>
          <w:sz w:val="24"/>
          <w:szCs w:val="24"/>
          <w:rtl/>
        </w:rPr>
        <w:t>.</w:t>
      </w:r>
      <w:r w:rsidRPr="00007309">
        <w:rPr>
          <w:rFonts w:cs="Arial"/>
          <w:b/>
          <w:bCs/>
          <w:sz w:val="24"/>
          <w:szCs w:val="24"/>
          <w:rtl/>
        </w:rPr>
        <w:t xml:space="preserve"> וְאִיהוּ מְחַבֵּר יְהוָֹ"ה בֵּאלֹהִים, </w:t>
      </w:r>
      <w:r w:rsidRPr="00007309">
        <w:rPr>
          <w:rFonts w:cs="Arial"/>
          <w:b/>
          <w:bCs/>
          <w:sz w:val="36"/>
          <w:szCs w:val="28"/>
          <w:vertAlign w:val="superscript"/>
          <w:rtl/>
        </w:rPr>
        <w:footnoteReference w:id="8673"/>
      </w:r>
      <w:r w:rsidRPr="00007309">
        <w:rPr>
          <w:rFonts w:cs="Arial"/>
          <w:b/>
          <w:bCs/>
          <w:sz w:val="24"/>
          <w:szCs w:val="24"/>
          <w:rtl/>
        </w:rPr>
        <w:t xml:space="preserve">דְּסָלִיק לְחֻשְׁבַּן אֶהְיֶ"ה אֲדֹנָ"י. וְאִיהוּ </w:t>
      </w:r>
      <w:r w:rsidRPr="00007309">
        <w:rPr>
          <w:rFonts w:cs="Arial"/>
          <w:b/>
          <w:bCs/>
          <w:sz w:val="36"/>
          <w:szCs w:val="28"/>
          <w:vertAlign w:val="superscript"/>
          <w:rtl/>
        </w:rPr>
        <w:footnoteReference w:id="8674"/>
      </w:r>
      <w:r w:rsidRPr="00007309">
        <w:rPr>
          <w:rFonts w:cs="Arial"/>
          <w:b/>
          <w:bCs/>
          <w:sz w:val="24"/>
          <w:szCs w:val="24"/>
          <w:rtl/>
        </w:rPr>
        <w:t>לָא אִתְקְרֵי אֶחָד פָּחוֹת מִנַּיְהוּ</w:t>
      </w:r>
      <w:r w:rsidRPr="00007309">
        <w:rPr>
          <w:rFonts w:cs="Arial" w:hint="cs"/>
          <w:b/>
          <w:bCs/>
          <w:sz w:val="24"/>
          <w:szCs w:val="24"/>
          <w:rtl/>
        </w:rPr>
        <w:t>,</w:t>
      </w:r>
      <w:r w:rsidRPr="00007309">
        <w:rPr>
          <w:rFonts w:cs="Arial"/>
          <w:b/>
          <w:bCs/>
          <w:sz w:val="24"/>
          <w:szCs w:val="24"/>
          <w:rtl/>
        </w:rPr>
        <w:t xml:space="preserve"> דְּאִיהוּ אֶחָד דִּמְחַבֵּר שְׁנַיִם דְּאִנּוּן דְּכָר</w:t>
      </w:r>
      <w:r w:rsidRPr="00007309">
        <w:rPr>
          <w:rFonts w:cs="Arial"/>
          <w:b/>
          <w:bCs/>
          <w:sz w:val="24"/>
          <w:szCs w:val="24"/>
        </w:rPr>
        <w:t xml:space="preserve"> </w:t>
      </w:r>
      <w:r w:rsidRPr="00007309">
        <w:rPr>
          <w:rFonts w:cs="Arial"/>
          <w:b/>
          <w:bCs/>
          <w:sz w:val="24"/>
          <w:szCs w:val="24"/>
          <w:rtl/>
        </w:rPr>
        <w:t xml:space="preserve">וְנוּקְבָא וְעָבִיד לוֹן חַד. הָדָא הוּא דִּכְתִיב בְּאָדָם וְחַוָּה </w:t>
      </w:r>
      <w:r w:rsidRPr="00007309">
        <w:rPr>
          <w:rFonts w:cs="Arial" w:hint="cs"/>
          <w:b/>
          <w:bCs/>
          <w:sz w:val="24"/>
          <w:szCs w:val="24"/>
          <w:rtl/>
        </w:rPr>
        <w:t xml:space="preserve">(ישעיהו נא ב) </w:t>
      </w:r>
      <w:r w:rsidRPr="00007309">
        <w:rPr>
          <w:rFonts w:cs="Arial"/>
          <w:b/>
          <w:bCs/>
          <w:sz w:val="24"/>
          <w:szCs w:val="24"/>
          <w:rtl/>
        </w:rPr>
        <w:t xml:space="preserve">כִּי אֶחָד קְרָאתִיו. </w:t>
      </w:r>
      <w:r w:rsidRPr="00007309">
        <w:rPr>
          <w:rFonts w:cs="Arial"/>
          <w:b/>
          <w:bCs/>
          <w:sz w:val="36"/>
          <w:szCs w:val="28"/>
          <w:vertAlign w:val="superscript"/>
          <w:rtl/>
        </w:rPr>
        <w:footnoteReference w:id="8675"/>
      </w:r>
      <w:r w:rsidRPr="00007309">
        <w:rPr>
          <w:rFonts w:cs="Arial"/>
          <w:b/>
          <w:bCs/>
          <w:sz w:val="24"/>
          <w:szCs w:val="24"/>
          <w:rtl/>
        </w:rPr>
        <w:t xml:space="preserve">וְאִיהוּ מְשֻׁתָּף בְּבִנְיַן בֵּן וּבַת דְּאִנּוּן בָּנִים לִישְׁנָא דְּבִנְיָן. וְדָא אִיהוּ </w:t>
      </w:r>
      <w:r w:rsidRPr="00007309">
        <w:rPr>
          <w:rFonts w:cs="Arial" w:hint="cs"/>
          <w:b/>
          <w:bCs/>
          <w:sz w:val="24"/>
          <w:szCs w:val="24"/>
          <w:rtl/>
        </w:rPr>
        <w:t xml:space="preserve">(תהלים קכז א) </w:t>
      </w:r>
      <w:r w:rsidRPr="00007309">
        <w:rPr>
          <w:rFonts w:cs="Arial"/>
          <w:b/>
          <w:bCs/>
          <w:sz w:val="24"/>
          <w:szCs w:val="24"/>
          <w:rtl/>
        </w:rPr>
        <w:t xml:space="preserve">אִם יְיָ' לֹא יִבְנֶה בַּיִת. וְכָל עִנְיָנָא וְעוֹבָדָא דְּלָאו אִיהוּ מְשֻׁתָּף בֵּהּ, מַה כְּתִיב בָּהּ, </w:t>
      </w:r>
      <w:r w:rsidRPr="00007309">
        <w:rPr>
          <w:rFonts w:cs="Arial"/>
          <w:sz w:val="36"/>
          <w:szCs w:val="24"/>
          <w:rtl/>
        </w:rPr>
        <w:t>(ישעיהו נא ו)</w:t>
      </w:r>
      <w:r w:rsidRPr="00007309">
        <w:rPr>
          <w:sz w:val="24"/>
          <w:szCs w:val="24"/>
          <w:rtl/>
        </w:rPr>
        <w:t xml:space="preserve"> </w:t>
      </w:r>
      <w:r w:rsidRPr="00007309">
        <w:rPr>
          <w:rFonts w:cs="Arial"/>
          <w:b/>
          <w:bCs/>
          <w:sz w:val="36"/>
          <w:szCs w:val="28"/>
          <w:vertAlign w:val="superscript"/>
          <w:rtl/>
        </w:rPr>
        <w:footnoteReference w:id="8676"/>
      </w:r>
      <w:r w:rsidRPr="00007309">
        <w:rPr>
          <w:rFonts w:cs="Arial"/>
          <w:b/>
          <w:bCs/>
          <w:sz w:val="24"/>
          <w:szCs w:val="24"/>
          <w:rtl/>
        </w:rPr>
        <w:t>כִּי שָׁמַיִם כֶּעָשָׁן נִמְלָחוּ וְהָאָרֶץ כַּבֶּגֶד תִּ</w:t>
      </w:r>
      <w:r w:rsidRPr="00007309">
        <w:rPr>
          <w:rFonts w:cs="Arial" w:hint="cs"/>
          <w:b/>
          <w:bCs/>
          <w:sz w:val="24"/>
          <w:szCs w:val="24"/>
          <w:rtl/>
        </w:rPr>
        <w:t>ב</w:t>
      </w:r>
      <w:r w:rsidRPr="00007309">
        <w:rPr>
          <w:rFonts w:cs="Arial"/>
          <w:b/>
          <w:bCs/>
          <w:sz w:val="24"/>
          <w:szCs w:val="24"/>
          <w:rtl/>
        </w:rPr>
        <w:t xml:space="preserve">ְלֶה. וּמִיָּד </w:t>
      </w:r>
      <w:r w:rsidRPr="00007309">
        <w:rPr>
          <w:rFonts w:cs="Arial"/>
          <w:sz w:val="36"/>
          <w:szCs w:val="24"/>
          <w:rtl/>
        </w:rPr>
        <w:t>(דבה"י א טז לא)</w:t>
      </w:r>
      <w:r w:rsidRPr="00007309">
        <w:rPr>
          <w:sz w:val="24"/>
          <w:szCs w:val="24"/>
          <w:rtl/>
        </w:rPr>
        <w:t xml:space="preserve"> </w:t>
      </w:r>
      <w:r w:rsidRPr="00007309">
        <w:rPr>
          <w:rFonts w:cs="Arial"/>
          <w:b/>
          <w:bCs/>
          <w:sz w:val="24"/>
          <w:szCs w:val="24"/>
          <w:rtl/>
        </w:rPr>
        <w:t>יִשְׂמְחוּ הַשָּׁמַיִם וְתָגֵל הָאָרֶץ</w:t>
      </w:r>
      <w:r w:rsidRPr="00007309">
        <w:rPr>
          <w:rFonts w:cs="Arial" w:hint="cs"/>
          <w:b/>
          <w:bCs/>
          <w:sz w:val="24"/>
          <w:szCs w:val="24"/>
          <w:rtl/>
        </w:rPr>
        <w:t>,</w:t>
      </w:r>
      <w:r w:rsidRPr="00007309">
        <w:rPr>
          <w:rFonts w:cs="Arial"/>
          <w:b/>
          <w:bCs/>
          <w:sz w:val="24"/>
          <w:szCs w:val="24"/>
          <w:rtl/>
        </w:rPr>
        <w:t xml:space="preserve"> דְּאִנּוּן בִּנְיָנָא וְשֻׁתָּפָא דִּילֵהּ. דְּכָל הֲבָלִים דְּאֻמִּין דְּעָלְמָא, אִנּוּן שָׁמַיִם וָאָרֶץ דס"מ ונחש, וַעֲתִידִין לְאוֹבָדָא. וְכָל הֲבָלִים דְּיִשְׂרָאֵל בְּיי' בְּיִחוּדֵהּ </w:t>
      </w:r>
      <w:r w:rsidRPr="00007309">
        <w:rPr>
          <w:rFonts w:ascii="Cambria" w:hAnsi="Cambria" w:cs="Times New Roman"/>
          <w:b/>
          <w:bCs/>
          <w:i/>
          <w:iCs/>
          <w:color w:val="4F81BD"/>
          <w:sz w:val="24"/>
          <w:szCs w:val="24"/>
          <w:rtl/>
        </w:rPr>
        <w:t>(פ</w:t>
      </w:r>
      <w:r w:rsidRPr="00007309">
        <w:rPr>
          <w:rFonts w:ascii="Cambria" w:hAnsi="Cambria" w:cs="Times New Roman" w:hint="cs"/>
          <w:b/>
          <w:bCs/>
          <w:i/>
          <w:iCs/>
          <w:color w:val="4F81BD"/>
          <w:sz w:val="24"/>
          <w:szCs w:val="24"/>
          <w:rtl/>
        </w:rPr>
        <w:t>ט</w:t>
      </w:r>
      <w:r w:rsidRPr="00007309">
        <w:rPr>
          <w:rFonts w:ascii="Cambria" w:hAnsi="Cambria" w:cs="Times New Roman"/>
          <w:b/>
          <w:bCs/>
          <w:i/>
          <w:iCs/>
          <w:color w:val="4F81BD"/>
          <w:sz w:val="24"/>
          <w:szCs w:val="24"/>
          <w:rtl/>
        </w:rPr>
        <w:t xml:space="preserve"> ע"</w:t>
      </w:r>
      <w:r w:rsidRPr="00007309">
        <w:rPr>
          <w:rFonts w:ascii="Cambria" w:hAnsi="Cambria" w:cs="Times New Roman" w:hint="cs"/>
          <w:b/>
          <w:bCs/>
          <w:i/>
          <w:iCs/>
          <w:color w:val="4F81BD"/>
          <w:sz w:val="24"/>
          <w:szCs w:val="24"/>
          <w:rtl/>
        </w:rPr>
        <w:t>א</w:t>
      </w:r>
      <w:r w:rsidRPr="00007309">
        <w:rPr>
          <w:rFonts w:ascii="Cambria" w:hAnsi="Cambria" w:cs="Times New Roman"/>
          <w:b/>
          <w:bCs/>
          <w:i/>
          <w:iCs/>
          <w:color w:val="4F81BD"/>
          <w:sz w:val="24"/>
          <w:szCs w:val="24"/>
          <w:rtl/>
        </w:rPr>
        <w:t>)</w:t>
      </w:r>
      <w:r w:rsidRPr="00007309">
        <w:rPr>
          <w:rFonts w:cs="Arial"/>
          <w:b/>
          <w:bCs/>
          <w:sz w:val="24"/>
          <w:szCs w:val="24"/>
          <w:rtl/>
        </w:rPr>
        <w:t xml:space="preserve"> אִנּוּן שָׁמַיִם וָאָרֶץ בִּנְיָנָא דִּילֵהּ</w:t>
      </w:r>
      <w:r w:rsidRPr="00007309">
        <w:rPr>
          <w:rFonts w:cs="Arial" w:hint="cs"/>
          <w:b/>
          <w:bCs/>
          <w:sz w:val="24"/>
          <w:szCs w:val="24"/>
          <w:rtl/>
        </w:rPr>
        <w:t>.</w:t>
      </w:r>
      <w:r w:rsidRPr="00007309">
        <w:rPr>
          <w:rFonts w:cs="Arial"/>
          <w:b/>
          <w:bCs/>
          <w:sz w:val="24"/>
          <w:szCs w:val="24"/>
          <w:rtl/>
        </w:rPr>
        <w:t xml:space="preserve"> וּמַה הוּא חַי וְקַיָּם, הָכֵי עוֹבָדָא דִּילֵהּ חַי וְקַיָּם. </w:t>
      </w:r>
      <w:r w:rsidRPr="00007309">
        <w:rPr>
          <w:rFonts w:cs="Arial"/>
          <w:b/>
          <w:bCs/>
          <w:sz w:val="36"/>
          <w:szCs w:val="28"/>
          <w:vertAlign w:val="superscript"/>
          <w:rtl/>
        </w:rPr>
        <w:footnoteReference w:id="8677"/>
      </w:r>
      <w:r w:rsidRPr="00007309">
        <w:rPr>
          <w:rFonts w:cs="Arial"/>
          <w:b/>
          <w:bCs/>
          <w:sz w:val="24"/>
          <w:szCs w:val="24"/>
          <w:rtl/>
        </w:rPr>
        <w:t xml:space="preserve">וּבְגִין דָּא אָמַר </w:t>
      </w:r>
      <w:r w:rsidRPr="00007309">
        <w:rPr>
          <w:rFonts w:cs="Arial"/>
          <w:sz w:val="36"/>
          <w:szCs w:val="24"/>
          <w:rtl/>
        </w:rPr>
        <w:t xml:space="preserve">(יחזקאל לג יא) </w:t>
      </w:r>
      <w:r w:rsidRPr="00007309">
        <w:rPr>
          <w:rFonts w:cs="Arial"/>
          <w:b/>
          <w:bCs/>
          <w:sz w:val="24"/>
          <w:szCs w:val="24"/>
          <w:rtl/>
        </w:rPr>
        <w:t xml:space="preserve">חַי אֲנִי נְאֻם ה' אִם אֶחְפֹּץ בְּמוֹת הָרָשָׁע כִּי אִם בְּשׁוּבוֹ מִדַּרְכּוֹ וְחָיָה. וּכְגַוְנָא דְּאָמַר לְיִשְׂרָאֵל נַעֲשֶׂה אָדָם, הָכֵי אָמַר לִסְפִירָן נַעֲשֶׂה אָדָם, דָּא עַמּוּדָא דְּאֶמְצָעִיתָא דְּאִיהוּ רִאשׁוֹן לְמַחֲשָׁבָה וְאַחֲרוֹן לְמַעֲשֶׂה, </w:t>
      </w:r>
      <w:r w:rsidRPr="00007309">
        <w:rPr>
          <w:rFonts w:cs="Arial"/>
          <w:b/>
          <w:bCs/>
          <w:sz w:val="36"/>
          <w:szCs w:val="28"/>
          <w:vertAlign w:val="superscript"/>
          <w:rtl/>
        </w:rPr>
        <w:footnoteReference w:id="8678"/>
      </w:r>
      <w:r w:rsidRPr="00007309">
        <w:rPr>
          <w:rFonts w:cs="Arial"/>
          <w:b/>
          <w:bCs/>
          <w:sz w:val="24"/>
          <w:szCs w:val="24"/>
          <w:rtl/>
        </w:rPr>
        <w:t>דְּאִנּוּן חָכְמָה בָּרֹאשׁ וְחָכְמָה בַּסּוֹף</w:t>
      </w:r>
      <w:r w:rsidRPr="00007309">
        <w:rPr>
          <w:rFonts w:cs="Arial" w:hint="cs"/>
          <w:b/>
          <w:bCs/>
          <w:sz w:val="24"/>
          <w:szCs w:val="24"/>
          <w:rtl/>
        </w:rPr>
        <w:t>,</w:t>
      </w:r>
      <w:r w:rsidRPr="00007309">
        <w:rPr>
          <w:rFonts w:cs="Arial"/>
          <w:b/>
          <w:bCs/>
          <w:sz w:val="24"/>
          <w:szCs w:val="24"/>
          <w:rtl/>
        </w:rPr>
        <w:t xml:space="preserve"> דְּכָל סְפִירָה יָהִיב בֵּהּ חוּלָקֵהּ. וּבְגִין דָּא </w:t>
      </w:r>
      <w:r w:rsidRPr="00007309">
        <w:rPr>
          <w:rFonts w:cs="Arial"/>
          <w:b/>
          <w:bCs/>
          <w:sz w:val="36"/>
          <w:szCs w:val="28"/>
          <w:vertAlign w:val="superscript"/>
          <w:rtl/>
        </w:rPr>
        <w:footnoteReference w:id="8679"/>
      </w:r>
      <w:r w:rsidRPr="00007309">
        <w:rPr>
          <w:rFonts w:cs="Arial"/>
          <w:b/>
          <w:bCs/>
          <w:sz w:val="24"/>
          <w:szCs w:val="24"/>
          <w:rtl/>
        </w:rPr>
        <w:t>אִיהוּ בְּדִיּוֹקְנֵהּ</w:t>
      </w:r>
      <w:r w:rsidRPr="00007309">
        <w:rPr>
          <w:rFonts w:cs="Arial" w:hint="cs"/>
          <w:b/>
          <w:bCs/>
          <w:sz w:val="24"/>
          <w:szCs w:val="24"/>
          <w:rtl/>
        </w:rPr>
        <w:t>,</w:t>
      </w:r>
      <w:r w:rsidRPr="00007309">
        <w:rPr>
          <w:rFonts w:cs="Arial"/>
          <w:b/>
          <w:bCs/>
          <w:sz w:val="24"/>
          <w:szCs w:val="24"/>
          <w:rtl/>
        </w:rPr>
        <w:t xml:space="preserve"> </w:t>
      </w:r>
      <w:r w:rsidRPr="00007309">
        <w:rPr>
          <w:rFonts w:cs="Arial" w:hint="cs"/>
          <w:b/>
          <w:bCs/>
          <w:sz w:val="24"/>
          <w:szCs w:val="24"/>
          <w:rtl/>
        </w:rPr>
        <w:t xml:space="preserve">(במדבר י כה) </w:t>
      </w:r>
      <w:r w:rsidRPr="00007309">
        <w:rPr>
          <w:rFonts w:cs="Arial"/>
          <w:b/>
          <w:bCs/>
          <w:sz w:val="24"/>
          <w:szCs w:val="24"/>
          <w:rtl/>
        </w:rPr>
        <w:t>מְאַסֵּף לְכָל הַמַּחֲנוֹת לַצִּבְאוֹתָ</w:t>
      </w:r>
      <w:r w:rsidRPr="00007309">
        <w:rPr>
          <w:rFonts w:cs="Arial" w:hint="cs"/>
          <w:b/>
          <w:bCs/>
          <w:sz w:val="24"/>
          <w:szCs w:val="24"/>
          <w:rtl/>
        </w:rPr>
        <w:t>ם</w:t>
      </w:r>
      <w:r w:rsidRPr="00007309">
        <w:rPr>
          <w:rFonts w:cs="Arial"/>
          <w:b/>
          <w:bCs/>
          <w:sz w:val="24"/>
          <w:szCs w:val="24"/>
          <w:rtl/>
        </w:rPr>
        <w:t xml:space="preserve">. וְרָעֲיָא מְהֵימָנָא בְּדִּיּוֹקְנֵהּ. וְאָמַר לַמַּלְאָכִין נַעֲשֶׂה אָדָם, וְדָא מְטַטְרוֹן, דְּכָל מַלְאָךְ וְחַיָּה שַׁוֵּי בֵּהּ חוּלָקִי'. וְהָכֵי </w:t>
      </w:r>
      <w:r w:rsidRPr="00007309">
        <w:rPr>
          <w:rFonts w:cs="Arial"/>
          <w:b/>
          <w:bCs/>
          <w:sz w:val="36"/>
          <w:szCs w:val="28"/>
          <w:vertAlign w:val="superscript"/>
          <w:rtl/>
        </w:rPr>
        <w:footnoteReference w:id="8680"/>
      </w:r>
      <w:r w:rsidRPr="00007309">
        <w:rPr>
          <w:rFonts w:cs="Arial"/>
          <w:b/>
          <w:bCs/>
          <w:sz w:val="24"/>
          <w:szCs w:val="24"/>
          <w:rtl/>
        </w:rPr>
        <w:t>אָמַר לִצְבָא הַשָּׁמַיִם לְמֶעֱבַד לְשִׁמְשָׁא בְּדִיּוֹקְנֵהּ, וְכָל כּוֹכָבָא יָהִיב בֵּהּ חוּלָקֵהּ, וְעִלַּת עַל כֹּלָּא אִשְׁתְּתַף בֵּהּ בְּכָל אֲתַר</w:t>
      </w:r>
      <w:r w:rsidRPr="00007309">
        <w:rPr>
          <w:rFonts w:cs="Arial" w:hint="cs"/>
          <w:b/>
          <w:bCs/>
          <w:sz w:val="24"/>
          <w:szCs w:val="24"/>
          <w:rtl/>
        </w:rPr>
        <w:t>,</w:t>
      </w:r>
      <w:r w:rsidRPr="00007309">
        <w:rPr>
          <w:rFonts w:cs="Arial"/>
          <w:b/>
          <w:bCs/>
          <w:sz w:val="24"/>
          <w:szCs w:val="24"/>
          <w:rtl/>
        </w:rPr>
        <w:t xml:space="preserve"> בְּתִפְאֶרֶ"ת בִּמְטַטְרוֹ"ן וּבְשִׁמְשָׁא, וְלֵית לְאַרְכָא בְּהַאי</w:t>
      </w:r>
      <w:r w:rsidRPr="00007309">
        <w:rPr>
          <w:rFonts w:cs="Arial"/>
          <w:b/>
          <w:bCs/>
          <w:sz w:val="24"/>
          <w:szCs w:val="24"/>
        </w:rPr>
        <w:t>:</w:t>
      </w:r>
    </w:p>
    <w:p w:rsidR="00007309" w:rsidRPr="00007309" w:rsidRDefault="00007309" w:rsidP="00007309">
      <w:pPr>
        <w:jc w:val="both"/>
        <w:rPr>
          <w:rFonts w:cs="Arial"/>
          <w:b/>
          <w:bCs/>
          <w:sz w:val="24"/>
          <w:szCs w:val="24"/>
          <w:rtl/>
        </w:rPr>
      </w:pPr>
      <w:r w:rsidRPr="00007309">
        <w:rPr>
          <w:rFonts w:cs="Arial"/>
          <w:b/>
          <w:bCs/>
          <w:sz w:val="24"/>
          <w:szCs w:val="24"/>
          <w:rtl/>
        </w:rPr>
        <w:t xml:space="preserve">וְעוֹד נַעֲשֶׂה אָדָם. </w:t>
      </w:r>
      <w:r w:rsidRPr="00007309">
        <w:rPr>
          <w:rFonts w:cs="Arial"/>
          <w:b/>
          <w:bCs/>
          <w:sz w:val="36"/>
          <w:szCs w:val="28"/>
          <w:vertAlign w:val="superscript"/>
          <w:rtl/>
        </w:rPr>
        <w:footnoteReference w:id="8681"/>
      </w:r>
      <w:r w:rsidRPr="00007309">
        <w:rPr>
          <w:rFonts w:cs="Arial"/>
          <w:b/>
          <w:bCs/>
          <w:sz w:val="24"/>
          <w:szCs w:val="24"/>
          <w:rtl/>
        </w:rPr>
        <w:t>לְאֻמָּן דְּזָרַע כַּמָּה זִרְעוֹנִין בְּבַת אַחַת, וְכָל אֶחָד נָפִיק לְיוֹמוֹי. לְבָתַר אָמַר לְאִנּוּן פּוֹעֲלִים, אֲנָא בָּעֵי דְּתִשְׁתַּתְּפוּ כֻּלְּכוּ לְמֶעֱבַד מָאנָא, וְכָל חַד מִנַּיְהוּ יָהִיב בֵּהּ חוּלָקֵהּ מִמַּה דִּיהָבִית בְּכוּ, וַאֲנָא אִשְׁתְּתַף עִמַּיְכוּ בְּהַהוּא מָאנָא חוּלָקָא מִנִּי. אָמְרוּ לֵהּ מַאי הַאי מָאנָא כָּל כָּךְ חָשִׁיב קָדָמָךְ דִּיהֵא כָּלִיל מִכֹּלָּא. אָמַר לוֹן הַאי מָאנָא אִיהוּ אָדָם דִּיהֵא בְּדִיּוֹקְנָא דְּאָדָם עִלָּאָה. אָמְרוּ</w:t>
      </w:r>
      <w:r w:rsidRPr="00007309">
        <w:rPr>
          <w:rFonts w:cs="Arial"/>
          <w:b/>
          <w:bCs/>
          <w:sz w:val="24"/>
          <w:szCs w:val="24"/>
        </w:rPr>
        <w:t xml:space="preserve"> </w:t>
      </w:r>
      <w:r w:rsidRPr="00007309">
        <w:rPr>
          <w:rFonts w:cs="Arial"/>
          <w:b/>
          <w:bCs/>
          <w:sz w:val="24"/>
          <w:szCs w:val="24"/>
          <w:rtl/>
        </w:rPr>
        <w:t>לֵהּ אַמַּאי תֵּימָא לָן דְּכָל חַד וְחַד יָהִיב בֵּהּ חוּלָקֵהּ. וְהָא אַנְתְּ הוּא אָדוֹן דְּכֹלָּא, וְאַנְתְּ בָּרָאת כֹּלָּא, טֹל אַנְתְּ מִכָּל חַד וְחַד מַה דְּאַנְתְּ בָּעֵי, דְּלָא יְהֵא פִּתְחוֹן פֶּה לְאִנּוּן דְּלָא אִשְׁתְּמוֹדְעִין בָּךְ</w:t>
      </w:r>
      <w:r w:rsidRPr="00007309">
        <w:rPr>
          <w:rFonts w:cs="Arial" w:hint="cs"/>
          <w:b/>
          <w:bCs/>
          <w:sz w:val="24"/>
          <w:szCs w:val="24"/>
          <w:rtl/>
        </w:rPr>
        <w:t>,</w:t>
      </w:r>
      <w:r w:rsidRPr="00007309">
        <w:rPr>
          <w:rFonts w:cs="Arial"/>
          <w:b/>
          <w:bCs/>
          <w:sz w:val="24"/>
          <w:szCs w:val="24"/>
          <w:rtl/>
        </w:rPr>
        <w:t xml:space="preserve"> דְּיֵמְרוּן דְּעוֹבָדָא דְּאָדָם אַנְתְּ צָרִיךְ מִשְּׁלִיחִין דִּילָךְ. </w:t>
      </w:r>
      <w:r w:rsidRPr="00007309">
        <w:rPr>
          <w:rFonts w:cs="Arial"/>
          <w:b/>
          <w:bCs/>
          <w:sz w:val="36"/>
          <w:szCs w:val="28"/>
          <w:vertAlign w:val="superscript"/>
          <w:rtl/>
        </w:rPr>
        <w:footnoteReference w:id="8682"/>
      </w:r>
      <w:r w:rsidRPr="00007309">
        <w:rPr>
          <w:rFonts w:cs="Arial"/>
          <w:b/>
          <w:bCs/>
          <w:sz w:val="24"/>
          <w:szCs w:val="24"/>
          <w:rtl/>
        </w:rPr>
        <w:t>אָמַר לוֹן לְמַלְכָּא דְּיָהַב מַתָּנָ</w:t>
      </w:r>
      <w:r w:rsidRPr="00007309">
        <w:rPr>
          <w:rFonts w:cs="Arial" w:hint="cs"/>
          <w:b/>
          <w:bCs/>
          <w:sz w:val="24"/>
          <w:szCs w:val="24"/>
          <w:rtl/>
        </w:rPr>
        <w:t>ה</w:t>
      </w:r>
      <w:r w:rsidRPr="00007309">
        <w:rPr>
          <w:rFonts w:cs="Arial"/>
          <w:b/>
          <w:bCs/>
          <w:sz w:val="24"/>
          <w:szCs w:val="24"/>
          <w:rtl/>
        </w:rPr>
        <w:t xml:space="preserve"> לְעַבְדוֹי, וְיָהִיב לְכָל אֶחָד וְאֶחָד חוּלָקֵהּ וְאַחֲסַנְתֵּהּ מֵהַהוּא מַתָּנָ</w:t>
      </w:r>
      <w:r w:rsidRPr="00007309">
        <w:rPr>
          <w:rFonts w:cs="Arial" w:hint="cs"/>
          <w:b/>
          <w:bCs/>
          <w:sz w:val="24"/>
          <w:szCs w:val="24"/>
          <w:rtl/>
        </w:rPr>
        <w:t>ה</w:t>
      </w:r>
      <w:r w:rsidRPr="00007309">
        <w:rPr>
          <w:rFonts w:cs="Arial"/>
          <w:b/>
          <w:bCs/>
          <w:sz w:val="24"/>
          <w:szCs w:val="24"/>
          <w:rtl/>
        </w:rPr>
        <w:t>. לְבָתַר אָתָא עַבְדָּא מְהֵימָנָא לְגַבֵּהּ וְשָׁאִיל לֵהּ מַתָּנָה. אָמַר מַלְכָּא הַאי עַבְדָּא פְּלַח לִי בְּכָל אֵבָרִין דִּילֵהּ. הָכֵי אֲנָא בָּעֵי לְמֶעֱבַד מָאנָא דִּילֵהּ מַתָּנָה בְּכָל חֵילִין דִּילִי</w:t>
      </w:r>
      <w:r w:rsidRPr="00007309">
        <w:rPr>
          <w:rFonts w:cs="Arial" w:hint="cs"/>
          <w:b/>
          <w:bCs/>
          <w:sz w:val="24"/>
          <w:szCs w:val="24"/>
          <w:rtl/>
        </w:rPr>
        <w:t>.</w:t>
      </w:r>
      <w:r w:rsidRPr="00007309">
        <w:rPr>
          <w:rFonts w:cs="Arial"/>
          <w:b/>
          <w:bCs/>
          <w:sz w:val="24"/>
          <w:szCs w:val="24"/>
          <w:rtl/>
        </w:rPr>
        <w:t xml:space="preserve"> מֶה עָבַד כְּנַשׁ כָּל מַשִּׁרְיָן דִּילֵהּ וְאָמַר בָּעֵינָא מִנַּיְכוּ דְּכָל חַד וְחַד יָהִיב מַתָּנָה. מִדִּידֵהּ לְהַאי עַבְדָּא, וַאֲנָה אִשְׁתְּתַף עִמְּכוֹן וְאַתֶּם בֵּהּ מַתָּנָה מִדִּילִי. מִנְּהוֹן אַקְשׁוּ וְאָמְרוּ </w:t>
      </w:r>
      <w:r w:rsidRPr="00007309">
        <w:rPr>
          <w:rFonts w:cs="Arial" w:hint="cs"/>
          <w:b/>
          <w:bCs/>
          <w:sz w:val="24"/>
          <w:szCs w:val="24"/>
          <w:rtl/>
        </w:rPr>
        <w:t xml:space="preserve">(תהלים ח ה) </w:t>
      </w:r>
      <w:r w:rsidRPr="00007309">
        <w:rPr>
          <w:rFonts w:cs="Arial"/>
          <w:b/>
          <w:bCs/>
          <w:sz w:val="24"/>
          <w:szCs w:val="24"/>
          <w:rtl/>
        </w:rPr>
        <w:t>מָה אֱנוֹשׁ כִּי תִזְכְּרֶנּוּ. וּמִנְּהוֹן אָמְרֵי בְּרַעֲוָא שְׁלִים. אוּף הָכֵי קֹדֶם דְּאִתְבְּרֵי עָלְמָא, עָאלוּ יִשְׂרָאֵל בְּמַחֲשָׁבָה לְהִבָּרְאוֹת, קֹדֶם דְּאִתְבְּרִיאוּ מַלְאֲכִין וְכָל בִּרְיָן דְּעָלְמָא דְּעוֹבָדָא דִּבְרֵאשִׁית. וּבַ</w:t>
      </w:r>
      <w:r w:rsidRPr="00007309">
        <w:rPr>
          <w:rFonts w:cs="Arial" w:hint="cs"/>
          <w:b/>
          <w:bCs/>
          <w:sz w:val="24"/>
          <w:szCs w:val="24"/>
          <w:rtl/>
        </w:rPr>
        <w:t>ח</w:t>
      </w:r>
      <w:r w:rsidRPr="00007309">
        <w:rPr>
          <w:rFonts w:cs="Arial"/>
          <w:b/>
          <w:bCs/>
          <w:sz w:val="24"/>
          <w:szCs w:val="24"/>
          <w:rtl/>
        </w:rPr>
        <w:t>ֲ</w:t>
      </w:r>
      <w:r w:rsidRPr="00007309">
        <w:rPr>
          <w:rFonts w:cs="Arial" w:hint="cs"/>
          <w:b/>
          <w:bCs/>
          <w:sz w:val="24"/>
          <w:szCs w:val="24"/>
          <w:rtl/>
        </w:rPr>
        <w:t>ב</w:t>
      </w:r>
      <w:r w:rsidRPr="00007309">
        <w:rPr>
          <w:rFonts w:cs="Arial"/>
          <w:b/>
          <w:bCs/>
          <w:sz w:val="24"/>
          <w:szCs w:val="24"/>
          <w:rtl/>
        </w:rPr>
        <w:t>ִי</w:t>
      </w:r>
      <w:r w:rsidRPr="00007309">
        <w:rPr>
          <w:rFonts w:cs="Arial" w:hint="cs"/>
          <w:b/>
          <w:bCs/>
          <w:sz w:val="24"/>
          <w:szCs w:val="24"/>
          <w:rtl/>
        </w:rPr>
        <w:t>ב</w:t>
      </w:r>
      <w:r w:rsidRPr="00007309">
        <w:rPr>
          <w:rFonts w:cs="Arial"/>
          <w:b/>
          <w:bCs/>
          <w:sz w:val="24"/>
          <w:szCs w:val="24"/>
          <w:rtl/>
        </w:rPr>
        <w:t xml:space="preserve">וּ דִּילְהוֹן, אַנָּח לְעוֹבָדָא דִּילְהוֹן דִּיהוֹן בַּתְרָאִין לְעוֹבָדָא דִּבְרֵאשִׁית. וְאָמַר עָלֵהּ נַעֲשֶׂה אָדָם. </w:t>
      </w:r>
      <w:r w:rsidRPr="00007309">
        <w:rPr>
          <w:rFonts w:cs="Arial"/>
          <w:b/>
          <w:bCs/>
          <w:sz w:val="36"/>
          <w:szCs w:val="28"/>
          <w:vertAlign w:val="superscript"/>
          <w:rtl/>
        </w:rPr>
        <w:footnoteReference w:id="8683"/>
      </w:r>
      <w:r w:rsidRPr="00007309">
        <w:rPr>
          <w:rFonts w:cs="Arial"/>
          <w:b/>
          <w:bCs/>
          <w:sz w:val="24"/>
          <w:szCs w:val="24"/>
          <w:rtl/>
        </w:rPr>
        <w:t xml:space="preserve">וְאַמַּאי אֶלָּא בְּגִין חֲבִיבוּ דַּאֲבוּהוֹן דְּבִשְׁמַיָּא דְּאִתְקְרֵי יִשְׂרָאֵל. וְאִנּוּן הֲווֹ עֲתִידִין לְאִתְקְרֵי בִּשְׁמֵהּ יִשְׂרָאֵל, כָּנִישׁ לְעִלָּאִין וְתַתָּאִין לְמֵיהַב חוּלָקָא מִכֻּלְּהוּ. בְּגִין דְּאִי חָב אָדָם, כֻּלְּהוּ אִשְׁתְּכָחוּ </w:t>
      </w:r>
      <w:r w:rsidRPr="00007309">
        <w:rPr>
          <w:rFonts w:cs="Arial"/>
          <w:b/>
          <w:bCs/>
          <w:sz w:val="36"/>
          <w:szCs w:val="28"/>
          <w:vertAlign w:val="superscript"/>
          <w:rtl/>
        </w:rPr>
        <w:footnoteReference w:id="8684"/>
      </w:r>
      <w:r w:rsidRPr="00007309">
        <w:rPr>
          <w:rFonts w:cs="Arial"/>
          <w:b/>
          <w:bCs/>
          <w:sz w:val="24"/>
          <w:szCs w:val="24"/>
          <w:rtl/>
        </w:rPr>
        <w:t xml:space="preserve">חֲסֵרִין בְּהוֹן, מֵהַהוּא חוּלָקָא דִּיהָבוּ בֵּהּ, וְכֻלְּהוּ בָּעָאָן רַחֲמֵי בְּגִינֵהּ. וְאִיהוּ יְהַב בְּהוֹן מִדִּילֵהּ בְּגִין דִּיֵימְרוּן לֵהּ עֲשֵׂה לְמַעַנְךָ אִם לֹא לְמַעֲנֵנוּ, בְּגִין הַהוּא חוּלָקָא דִּילָךְ דְּיָהֲבַת בְּיִשְׂרָאֵל. הָדָא הוּא </w:t>
      </w:r>
      <w:r w:rsidRPr="00007309">
        <w:rPr>
          <w:rFonts w:cs="Arial" w:hint="cs"/>
          <w:b/>
          <w:bCs/>
          <w:sz w:val="24"/>
          <w:szCs w:val="24"/>
          <w:rtl/>
        </w:rPr>
        <w:t xml:space="preserve">(דברים לב ט) </w:t>
      </w:r>
      <w:r w:rsidRPr="00007309">
        <w:rPr>
          <w:rFonts w:cs="Arial"/>
          <w:b/>
          <w:bCs/>
          <w:sz w:val="24"/>
          <w:szCs w:val="24"/>
          <w:rtl/>
        </w:rPr>
        <w:t xml:space="preserve">דִּכְתִיב כִּי חֵלֶק יְיָ' עַמּוֹ. וְאִיהוּ מָחִיל לוֹן בְּגִין הַהוּא חוּלָקָא דִּילֵהּ דִּשְׁמֵהּ דְּיָהַב בְּהוֹן. דְּאִם לֹא יְהִיבוּ אִנּוּן מִגַּרְמַיְהוּ חולק' בֵּהּ בִּרְעוּתַיְהוּ, כֻּלְּהוּ הֲווֹ טַעֲנִין עָלֵהּ, דְּאַנְתְּ נְטִילַת מִנָּן עַל כרחנ', חולק' דְּאִיהוּ בָּאָדָם מִכָּל חַד וְחַד, וְלֹא הֲווֹ מְרַחֲמֵי עֲלֵיה. וּבְגִין דְּלָא יְהֵא לוֹן פִּתְחוֹן פֶּה בְּגִין דָּא לֹא בָּעָא לְנָטְלָא חוּלָקָא אֶלָּא בִּרְעוּתָא דִּילְהוֹן. כְּגַוְנָא דָּא דְּאִתְּמַר בְּרָעֲיָא מְהֵימָנָא </w:t>
      </w:r>
      <w:r w:rsidRPr="00007309">
        <w:rPr>
          <w:rFonts w:cs="Arial"/>
          <w:sz w:val="36"/>
          <w:szCs w:val="24"/>
          <w:rtl/>
        </w:rPr>
        <w:t xml:space="preserve">(תהלים סח יט) </w:t>
      </w:r>
      <w:r w:rsidRPr="00007309">
        <w:rPr>
          <w:rFonts w:cs="Arial"/>
          <w:b/>
          <w:bCs/>
          <w:sz w:val="24"/>
          <w:szCs w:val="24"/>
          <w:rtl/>
        </w:rPr>
        <w:t xml:space="preserve">עָלִיתָ לַמָּרוֹם שָׁבִיתָ שֶׁבִי </w:t>
      </w:r>
      <w:r w:rsidRPr="00007309">
        <w:rPr>
          <w:rFonts w:cs="Arial"/>
          <w:b/>
          <w:bCs/>
          <w:sz w:val="36"/>
          <w:szCs w:val="28"/>
          <w:vertAlign w:val="superscript"/>
          <w:rtl/>
        </w:rPr>
        <w:footnoteReference w:id="8685"/>
      </w:r>
      <w:r w:rsidRPr="00007309">
        <w:rPr>
          <w:rFonts w:cs="Arial"/>
          <w:b/>
          <w:bCs/>
          <w:sz w:val="24"/>
          <w:szCs w:val="24"/>
          <w:rtl/>
        </w:rPr>
        <w:t>לָקַחְתָּ מַתָּנוֹת בָּאָדָם. וּבְגִין דְּמַזִּיקִין סָרְחוּ לְגַבֵּהּ, וְלֹא בָּעוּ לְמֵיהַב בֵּהּ חוּלָקָא, וְאָמְרוּ מָה אֱנוֹשׁ כִּי תִזְכְּרֶנּוּ וְגוֹ', לֹא בָּרָא לוֹן לְבוּשִׁין דְּאִנּוּן גּוּפִין דִּלְהוֹן. וְאִנּוּן שַׂנְאִין לוֹן. וְעַל</w:t>
      </w:r>
      <w:r w:rsidRPr="00007309">
        <w:rPr>
          <w:rFonts w:cs="Arial"/>
          <w:b/>
          <w:bCs/>
          <w:sz w:val="24"/>
          <w:szCs w:val="24"/>
        </w:rPr>
        <w:t xml:space="preserve"> </w:t>
      </w:r>
      <w:r w:rsidRPr="00007309">
        <w:rPr>
          <w:rFonts w:cs="Arial"/>
          <w:b/>
          <w:bCs/>
          <w:sz w:val="24"/>
          <w:szCs w:val="24"/>
          <w:rtl/>
        </w:rPr>
        <w:t>כֵּן מְמָנָן דְּעַל עָ"ב אֻמִּין</w:t>
      </w:r>
      <w:r w:rsidRPr="00007309">
        <w:rPr>
          <w:rFonts w:cs="Arial" w:hint="cs"/>
          <w:b/>
          <w:bCs/>
          <w:sz w:val="24"/>
          <w:szCs w:val="24"/>
          <w:rtl/>
        </w:rPr>
        <w:t xml:space="preserve"> פלחי כוכביא</w:t>
      </w:r>
      <w:r w:rsidRPr="00007309">
        <w:rPr>
          <w:rFonts w:cs="Arial"/>
          <w:b/>
          <w:bCs/>
          <w:sz w:val="24"/>
          <w:szCs w:val="24"/>
          <w:rtl/>
        </w:rPr>
        <w:t xml:space="preserve"> דְּאִנּוּן כְּגַוְנָא דִּלְהוֹן, כַּד יִשְׂרָאֵל מְחֻיָּבִין לַאֲבוּהוֹן דְּבִשְׁמַיָּא, אִנּוּן אֻמִּין דְּעָלְמָא רְצוּעִין בִּידָא דְּבוֹרֵא עָלְמָא לְאַלְקָאָה לוֹן בְּהוּ. וְכַד חַזְרִין בִּתְיוּבְתָּא זָרִיק רְצוּעִין מִידֵהּ, וְלָא יְהֵא בְּהוֹן מַמָּשׁ. דְּחֵילָא דִּרְצוּעִין לָאו אִיהוּ אֶלָּא בִּידָא </w:t>
      </w:r>
      <w:r w:rsidRPr="00007309">
        <w:rPr>
          <w:rFonts w:cs="Arial" w:hint="cs"/>
          <w:b/>
          <w:bCs/>
          <w:sz w:val="24"/>
          <w:szCs w:val="24"/>
          <w:rtl/>
        </w:rPr>
        <w:t>ר</w:t>
      </w:r>
      <w:r w:rsidRPr="00007309">
        <w:rPr>
          <w:rFonts w:cs="Arial"/>
          <w:b/>
          <w:bCs/>
          <w:sz w:val="24"/>
          <w:szCs w:val="24"/>
          <w:rtl/>
        </w:rPr>
        <w:t>ָמַיָ</w:t>
      </w:r>
      <w:r w:rsidRPr="00007309">
        <w:rPr>
          <w:rFonts w:cs="Arial" w:hint="cs"/>
          <w:b/>
          <w:bCs/>
          <w:sz w:val="24"/>
          <w:szCs w:val="24"/>
          <w:rtl/>
        </w:rPr>
        <w:t>א</w:t>
      </w:r>
      <w:r w:rsidRPr="00007309">
        <w:rPr>
          <w:rFonts w:cs="Arial"/>
          <w:b/>
          <w:bCs/>
          <w:sz w:val="24"/>
          <w:szCs w:val="24"/>
          <w:rtl/>
        </w:rPr>
        <w:t xml:space="preserve"> (דמאן) דְּנָטִיל. דְּעָלַיְהוּ אִתְּמַר </w:t>
      </w:r>
      <w:r w:rsidRPr="00007309">
        <w:rPr>
          <w:rFonts w:cs="Arial" w:hint="cs"/>
          <w:b/>
          <w:bCs/>
          <w:sz w:val="24"/>
          <w:szCs w:val="24"/>
          <w:rtl/>
        </w:rPr>
        <w:t xml:space="preserve">(ישעיהו מ יז) </w:t>
      </w:r>
      <w:r w:rsidRPr="00007309">
        <w:rPr>
          <w:rFonts w:cs="Arial"/>
          <w:b/>
          <w:bCs/>
          <w:sz w:val="24"/>
          <w:szCs w:val="24"/>
          <w:rtl/>
        </w:rPr>
        <w:t>כָּל הַגּוֹיִים כְּאַיִן נֶגְדּוֹ.</w:t>
      </w:r>
    </w:p>
    <w:p w:rsidR="00007309" w:rsidRPr="00007309" w:rsidRDefault="00007309" w:rsidP="00007309">
      <w:pPr>
        <w:keepNext/>
        <w:outlineLvl w:val="1"/>
        <w:rPr>
          <w:rFonts w:ascii="Cambria" w:hAnsi="Cambria" w:cs="Times New Roman"/>
          <w:b/>
          <w:bCs/>
          <w:i/>
          <w:iCs/>
          <w:sz w:val="28"/>
          <w:szCs w:val="28"/>
          <w:rtl/>
        </w:rPr>
      </w:pPr>
      <w:r w:rsidRPr="00007309">
        <w:rPr>
          <w:rFonts w:ascii="Cambria" w:hAnsi="Cambria" w:cs="Times New Roman"/>
          <w:b/>
          <w:bCs/>
          <w:i/>
          <w:iCs/>
          <w:sz w:val="28"/>
          <w:szCs w:val="28"/>
          <w:rtl/>
        </w:rPr>
        <w:t>[</w:t>
      </w:r>
      <w:r w:rsidRPr="00007309">
        <w:rPr>
          <w:rFonts w:ascii="Cambria" w:hAnsi="Cambria" w:cs="Times New Roman" w:hint="cs"/>
          <w:b/>
          <w:bCs/>
          <w:i/>
          <w:iCs/>
          <w:sz w:val="28"/>
          <w:szCs w:val="28"/>
          <w:rtl/>
        </w:rPr>
        <w:t>דף</w:t>
      </w:r>
      <w:r w:rsidRPr="00007309">
        <w:rPr>
          <w:rFonts w:ascii="Cambria" w:hAnsi="Cambria" w:cs="Times New Roman"/>
          <w:b/>
          <w:bCs/>
          <w:i/>
          <w:iCs/>
          <w:sz w:val="28"/>
          <w:szCs w:val="28"/>
          <w:rtl/>
        </w:rPr>
        <w:t xml:space="preserve"> </w:t>
      </w:r>
      <w:r w:rsidRPr="00007309">
        <w:rPr>
          <w:rFonts w:ascii="Cambria" w:hAnsi="Cambria" w:cs="Times New Roman" w:hint="cs"/>
          <w:b/>
          <w:bCs/>
          <w:i/>
          <w:iCs/>
          <w:sz w:val="28"/>
          <w:szCs w:val="28"/>
          <w:rtl/>
        </w:rPr>
        <w:t>פט</w:t>
      </w:r>
      <w:r w:rsidRPr="00007309">
        <w:rPr>
          <w:rFonts w:ascii="Cambria" w:hAnsi="Cambria" w:cs="Times New Roman"/>
          <w:b/>
          <w:bCs/>
          <w:i/>
          <w:iCs/>
          <w:sz w:val="28"/>
          <w:szCs w:val="28"/>
          <w:rtl/>
        </w:rPr>
        <w:t xml:space="preserve"> ע"</w:t>
      </w:r>
      <w:r w:rsidRPr="00007309">
        <w:rPr>
          <w:rFonts w:ascii="Cambria" w:hAnsi="Cambria" w:cs="Times New Roman" w:hint="cs"/>
          <w:b/>
          <w:bCs/>
          <w:i/>
          <w:iCs/>
          <w:sz w:val="28"/>
          <w:szCs w:val="28"/>
          <w:rtl/>
        </w:rPr>
        <w:t>ב</w:t>
      </w:r>
      <w:r w:rsidRPr="00007309">
        <w:rPr>
          <w:rFonts w:ascii="Cambria" w:hAnsi="Cambria" w:cs="Times New Roman"/>
          <w:b/>
          <w:bCs/>
          <w:i/>
          <w:iCs/>
          <w:sz w:val="28"/>
          <w:szCs w:val="28"/>
          <w:rtl/>
        </w:rPr>
        <w:t>]</w:t>
      </w:r>
    </w:p>
    <w:p w:rsidR="00007309" w:rsidRPr="00007309" w:rsidRDefault="00007309" w:rsidP="00007309">
      <w:pPr>
        <w:keepNext/>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 xml:space="preserve"> [וילנא מח ע"ב]</w:t>
      </w:r>
    </w:p>
    <w:p w:rsidR="00007309" w:rsidRPr="00007309" w:rsidRDefault="00007309" w:rsidP="00007309">
      <w:pPr>
        <w:jc w:val="both"/>
        <w:rPr>
          <w:rFonts w:cs="Arial"/>
          <w:b/>
          <w:bCs/>
          <w:sz w:val="24"/>
          <w:szCs w:val="24"/>
        </w:rPr>
      </w:pPr>
      <w:r w:rsidRPr="00007309">
        <w:rPr>
          <w:rFonts w:cs="Arial"/>
          <w:b/>
          <w:bCs/>
          <w:sz w:val="24"/>
          <w:szCs w:val="24"/>
          <w:rtl/>
        </w:rPr>
        <w:t>וּבְגִין דְּיִשְׂרָאֵל אִית בְּהוּ חוּלָקָא מִבּוֹרֵא עָלְמִין דְּאִיהוּ עִלַּת עַל כֹּלָּא</w:t>
      </w:r>
      <w:r w:rsidRPr="00007309">
        <w:rPr>
          <w:rFonts w:cs="Arial" w:hint="cs"/>
          <w:b/>
          <w:bCs/>
          <w:sz w:val="24"/>
          <w:szCs w:val="24"/>
          <w:rtl/>
        </w:rPr>
        <w:t>,</w:t>
      </w:r>
      <w:r w:rsidRPr="00007309">
        <w:rPr>
          <w:rFonts w:cs="Arial"/>
          <w:b/>
          <w:bCs/>
          <w:sz w:val="24"/>
          <w:szCs w:val="24"/>
          <w:rtl/>
        </w:rPr>
        <w:t xml:space="preserve"> וּמֵעֶשֶׂר סְפִירָאָן</w:t>
      </w:r>
      <w:r w:rsidRPr="00007309">
        <w:rPr>
          <w:rFonts w:cs="Arial" w:hint="cs"/>
          <w:b/>
          <w:bCs/>
          <w:sz w:val="24"/>
          <w:szCs w:val="24"/>
          <w:rtl/>
        </w:rPr>
        <w:t>,</w:t>
      </w:r>
      <w:r w:rsidRPr="00007309">
        <w:rPr>
          <w:rFonts w:cs="Arial"/>
          <w:b/>
          <w:bCs/>
          <w:sz w:val="24"/>
          <w:szCs w:val="24"/>
          <w:rtl/>
        </w:rPr>
        <w:t xml:space="preserve"> וּמִכָּרְסְיָן</w:t>
      </w:r>
      <w:r w:rsidRPr="00007309">
        <w:rPr>
          <w:rFonts w:cs="Arial" w:hint="cs"/>
          <w:b/>
          <w:bCs/>
          <w:sz w:val="24"/>
          <w:szCs w:val="24"/>
          <w:rtl/>
        </w:rPr>
        <w:t>,</w:t>
      </w:r>
      <w:r w:rsidRPr="00007309">
        <w:rPr>
          <w:rFonts w:cs="Arial"/>
          <w:b/>
          <w:bCs/>
          <w:sz w:val="24"/>
          <w:szCs w:val="24"/>
          <w:rtl/>
        </w:rPr>
        <w:t xml:space="preserve"> וּמַלְאָכִין</w:t>
      </w:r>
      <w:r w:rsidRPr="00007309">
        <w:rPr>
          <w:rFonts w:cs="Arial" w:hint="cs"/>
          <w:b/>
          <w:bCs/>
          <w:sz w:val="24"/>
          <w:szCs w:val="24"/>
          <w:rtl/>
        </w:rPr>
        <w:t>,</w:t>
      </w:r>
      <w:r w:rsidRPr="00007309">
        <w:rPr>
          <w:rFonts w:cs="Arial"/>
          <w:b/>
          <w:bCs/>
          <w:sz w:val="24"/>
          <w:szCs w:val="24"/>
          <w:rtl/>
        </w:rPr>
        <w:t xml:space="preserve"> וְכוֹכָבַיָּא וּמַזָּלִין</w:t>
      </w:r>
      <w:r w:rsidRPr="00007309">
        <w:rPr>
          <w:rFonts w:cs="Arial" w:hint="cs"/>
          <w:b/>
          <w:bCs/>
          <w:sz w:val="24"/>
          <w:szCs w:val="24"/>
          <w:rtl/>
        </w:rPr>
        <w:t>,</w:t>
      </w:r>
      <w:r w:rsidRPr="00007309">
        <w:rPr>
          <w:rFonts w:cs="Arial"/>
          <w:b/>
          <w:bCs/>
          <w:sz w:val="24"/>
          <w:szCs w:val="24"/>
          <w:rtl/>
        </w:rPr>
        <w:t xml:space="preserve"> כַּד חַזְרִין בִּתְשׁוּבָה</w:t>
      </w:r>
      <w:r w:rsidRPr="00007309">
        <w:rPr>
          <w:rFonts w:cs="Arial" w:hint="cs"/>
          <w:b/>
          <w:bCs/>
          <w:sz w:val="24"/>
          <w:szCs w:val="24"/>
          <w:rtl/>
        </w:rPr>
        <w:t>,</w:t>
      </w:r>
      <w:r w:rsidRPr="00007309">
        <w:rPr>
          <w:rFonts w:cs="Arial"/>
          <w:b/>
          <w:bCs/>
          <w:sz w:val="24"/>
          <w:szCs w:val="24"/>
          <w:rtl/>
        </w:rPr>
        <w:t xml:space="preserve"> מִכֹּל מַה דְּאִתְנְטִילוּ בָּעוּן רַחֲמֵי עָלַיְהוּ. בַּר מִשֵּׁדִין וּמַזִּיקִין וְחֵילִין דִּמְסָאֲבוּ, דְּאִתְּמַר בְּיִשְׂרָאֵל אַל תִטַמְאוּ בְּכָל אֵלֶּה, דְּלֵית לוֹן חוּלָקָא בְּהוֹן. וּבְגִין דָּא אֻמִּין דְּעָלְמָא דְּנִשְׁמָתִין דִּילְהוֹן מֵאִנּוּן חֵילִין דִּמְסָאֲבוּ, לֵית לְשַׁתְּפָא בְּהוֹן לַאֲכִילָה וּשְׁתִיָּה, וְלֹא בְּכָל עוֹבָדֵיהוֹן, דְּעָלַיְהוּ כְּתִיב </w:t>
      </w:r>
      <w:r w:rsidRPr="00007309">
        <w:rPr>
          <w:rFonts w:cs="Arial" w:hint="cs"/>
          <w:b/>
          <w:bCs/>
          <w:sz w:val="24"/>
          <w:szCs w:val="24"/>
          <w:rtl/>
        </w:rPr>
        <w:t xml:space="preserve">(דברים ד יט) </w:t>
      </w:r>
      <w:r w:rsidRPr="00007309">
        <w:rPr>
          <w:rFonts w:cs="Arial"/>
          <w:b/>
          <w:bCs/>
          <w:sz w:val="24"/>
          <w:szCs w:val="24"/>
          <w:rtl/>
        </w:rPr>
        <w:t>אֲשֶׁר חָלַק ה' אֱלֹהֶיךָ וְגוֹ', וּבְךָ בָּחַר ה'</w:t>
      </w:r>
      <w:r w:rsidRPr="00007309">
        <w:rPr>
          <w:rFonts w:cs="Arial" w:hint="cs"/>
          <w:b/>
          <w:bCs/>
          <w:sz w:val="24"/>
          <w:szCs w:val="24"/>
          <w:rtl/>
        </w:rPr>
        <w:t xml:space="preserve"> (דברים יד ב)</w:t>
      </w:r>
      <w:r w:rsidRPr="00007309">
        <w:rPr>
          <w:rFonts w:cs="Arial"/>
          <w:b/>
          <w:bCs/>
          <w:sz w:val="24"/>
          <w:szCs w:val="24"/>
          <w:rtl/>
        </w:rPr>
        <w:t xml:space="preserve">. וְעָלַיְהוּ אִתְּמַר </w:t>
      </w:r>
      <w:r w:rsidRPr="00007309">
        <w:rPr>
          <w:rFonts w:cs="Arial" w:hint="cs"/>
          <w:b/>
          <w:bCs/>
          <w:sz w:val="24"/>
          <w:szCs w:val="24"/>
          <w:rtl/>
        </w:rPr>
        <w:t xml:space="preserve">(מיכה ד ה) </w:t>
      </w:r>
      <w:r w:rsidRPr="00007309">
        <w:rPr>
          <w:rFonts w:cs="Arial"/>
          <w:b/>
          <w:bCs/>
          <w:sz w:val="24"/>
          <w:szCs w:val="24"/>
          <w:rtl/>
        </w:rPr>
        <w:t xml:space="preserve">כִּי כָּל הָעַמִּים יֵלְכוּ </w:t>
      </w:r>
      <w:r w:rsidRPr="00007309">
        <w:rPr>
          <w:rFonts w:ascii="Cambria" w:hAnsi="Cambria" w:cs="Times New Roman"/>
          <w:b/>
          <w:bCs/>
          <w:i/>
          <w:iCs/>
          <w:color w:val="4F81BD"/>
          <w:sz w:val="24"/>
          <w:szCs w:val="24"/>
          <w:rtl/>
        </w:rPr>
        <w:t>(</w:t>
      </w:r>
      <w:r w:rsidRPr="00007309">
        <w:rPr>
          <w:rFonts w:ascii="Cambria" w:hAnsi="Cambria" w:cs="Times New Roman" w:hint="cs"/>
          <w:b/>
          <w:bCs/>
          <w:i/>
          <w:iCs/>
          <w:color w:val="4F81BD"/>
          <w:sz w:val="24"/>
          <w:szCs w:val="24"/>
          <w:rtl/>
        </w:rPr>
        <w:t>וילנא מח</w:t>
      </w:r>
      <w:r w:rsidRPr="00007309">
        <w:rPr>
          <w:rFonts w:ascii="Cambria" w:hAnsi="Cambria" w:cs="Times New Roman"/>
          <w:b/>
          <w:bCs/>
          <w:i/>
          <w:iCs/>
          <w:color w:val="4F81BD"/>
          <w:sz w:val="24"/>
          <w:szCs w:val="24"/>
          <w:rtl/>
        </w:rPr>
        <w:t xml:space="preserve"> ע"</w:t>
      </w:r>
      <w:r w:rsidRPr="00007309">
        <w:rPr>
          <w:rFonts w:ascii="Cambria" w:hAnsi="Cambria" w:cs="Times New Roman" w:hint="cs"/>
          <w:b/>
          <w:bCs/>
          <w:i/>
          <w:iCs/>
          <w:color w:val="4F81BD"/>
          <w:sz w:val="24"/>
          <w:szCs w:val="24"/>
          <w:rtl/>
        </w:rPr>
        <w:t>ב</w:t>
      </w:r>
      <w:r w:rsidRPr="00007309">
        <w:rPr>
          <w:rFonts w:ascii="Cambria" w:hAnsi="Cambria" w:cs="Times New Roman"/>
          <w:b/>
          <w:bCs/>
          <w:i/>
          <w:iCs/>
          <w:color w:val="4F81BD"/>
          <w:sz w:val="24"/>
          <w:szCs w:val="24"/>
          <w:rtl/>
        </w:rPr>
        <w:t>)</w:t>
      </w:r>
      <w:r w:rsidRPr="00007309">
        <w:rPr>
          <w:rFonts w:cs="Arial"/>
          <w:b/>
          <w:bCs/>
          <w:sz w:val="24"/>
          <w:szCs w:val="24"/>
          <w:rtl/>
        </w:rPr>
        <w:t xml:space="preserve"> אִישׁ בְּשֵׁם אֱלֹהָיו וְגוֹ', </w:t>
      </w:r>
      <w:r w:rsidRPr="00007309">
        <w:rPr>
          <w:rFonts w:cs="Arial"/>
          <w:b/>
          <w:bCs/>
          <w:sz w:val="36"/>
          <w:szCs w:val="28"/>
          <w:vertAlign w:val="superscript"/>
          <w:rtl/>
        </w:rPr>
        <w:footnoteReference w:id="8686"/>
      </w:r>
      <w:r w:rsidRPr="00007309">
        <w:rPr>
          <w:rFonts w:cs="Arial"/>
          <w:b/>
          <w:bCs/>
          <w:sz w:val="24"/>
          <w:szCs w:val="24"/>
          <w:rtl/>
        </w:rPr>
        <w:t xml:space="preserve">דְּאִיהוּ יָחִיד וּמְיֻחָד בְּכָל מַשִּׁרְיָן דִּכְלִילָן בְּהוֹן. וּבְגִין דְּיִשְׂרָאֵל כְּלִילָן מֵעִלָּאִין וְתַתָּאִין, וְעִלַּת עַל כֹּלָּא שַׁוֵּי שְׁמֵהּ בְּהוֹן, וְאִנּוּן רְחִימִין יַתִּיר מִמַּלְאֲכֵי הַשָּׁרֵת, בְּגִין דְּאִית לוֹן חוּלָקָא בִּסְפִירָן, מַה דְּלָאו הָכֵי בְּמַלְאָכִין. בְּגִין </w:t>
      </w:r>
      <w:r w:rsidRPr="00007309">
        <w:rPr>
          <w:rFonts w:ascii="Cambria" w:hAnsi="Cambria" w:cs="Times New Roman"/>
          <w:b/>
          <w:bCs/>
          <w:i/>
          <w:iCs/>
          <w:color w:val="4F81BD"/>
          <w:sz w:val="24"/>
          <w:szCs w:val="24"/>
          <w:rtl/>
        </w:rPr>
        <w:t>(פ</w:t>
      </w:r>
      <w:r w:rsidRPr="00007309">
        <w:rPr>
          <w:rFonts w:ascii="Cambria" w:hAnsi="Cambria" w:cs="Times New Roman" w:hint="cs"/>
          <w:b/>
          <w:bCs/>
          <w:i/>
          <w:iCs/>
          <w:color w:val="4F81BD"/>
          <w:sz w:val="24"/>
          <w:szCs w:val="24"/>
          <w:rtl/>
        </w:rPr>
        <w:t>ט</w:t>
      </w:r>
      <w:r w:rsidRPr="00007309">
        <w:rPr>
          <w:rFonts w:ascii="Cambria" w:hAnsi="Cambria" w:cs="Times New Roman"/>
          <w:b/>
          <w:bCs/>
          <w:i/>
          <w:iCs/>
          <w:color w:val="4F81BD"/>
          <w:sz w:val="24"/>
          <w:szCs w:val="24"/>
          <w:rtl/>
        </w:rPr>
        <w:t xml:space="preserve"> ע"</w:t>
      </w:r>
      <w:r w:rsidRPr="00007309">
        <w:rPr>
          <w:rFonts w:ascii="Cambria" w:hAnsi="Cambria" w:cs="Times New Roman" w:hint="cs"/>
          <w:b/>
          <w:bCs/>
          <w:i/>
          <w:iCs/>
          <w:color w:val="4F81BD"/>
          <w:sz w:val="24"/>
          <w:szCs w:val="24"/>
          <w:rtl/>
        </w:rPr>
        <w:t>ב</w:t>
      </w:r>
      <w:r w:rsidRPr="00007309">
        <w:rPr>
          <w:rFonts w:ascii="Cambria" w:hAnsi="Cambria" w:cs="Times New Roman"/>
          <w:b/>
          <w:bCs/>
          <w:i/>
          <w:iCs/>
          <w:color w:val="4F81BD"/>
          <w:sz w:val="24"/>
          <w:szCs w:val="24"/>
          <w:rtl/>
        </w:rPr>
        <w:t>)</w:t>
      </w:r>
      <w:r w:rsidRPr="00007309">
        <w:rPr>
          <w:rFonts w:cs="Arial"/>
          <w:b/>
          <w:bCs/>
          <w:sz w:val="24"/>
          <w:szCs w:val="24"/>
          <w:rtl/>
        </w:rPr>
        <w:t xml:space="preserve"> דְּיִשְׂרָאֵל אִנּוּן עַדְבֵה וְאַחֲסַנְתֵּהּ, כְּגַוְנָא דִּבְנִין לְגַבֵּי אֲבוּהוֹן. דְּמַלְאָכִין לָאו</w:t>
      </w:r>
      <w:r w:rsidRPr="00007309">
        <w:rPr>
          <w:rFonts w:cs="Arial"/>
          <w:b/>
          <w:bCs/>
          <w:sz w:val="24"/>
          <w:szCs w:val="28"/>
        </w:rPr>
        <w:t xml:space="preserve"> </w:t>
      </w:r>
      <w:r w:rsidRPr="00007309">
        <w:rPr>
          <w:rFonts w:cs="Arial"/>
          <w:b/>
          <w:bCs/>
          <w:sz w:val="24"/>
          <w:szCs w:val="24"/>
          <w:rtl/>
        </w:rPr>
        <w:t>אִנּוּן לְגַבֵּי סְפִירָן אֶלָּא כְּסוּסְוָן לְגַבֵּי רוֹכְבֵי עָלַיְהוּ. אֲבָל יִשְׂרָאֵל בְּ</w:t>
      </w:r>
      <w:r w:rsidRPr="00007309">
        <w:rPr>
          <w:rFonts w:cs="Arial" w:hint="cs"/>
          <w:b/>
          <w:bCs/>
          <w:sz w:val="24"/>
          <w:szCs w:val="24"/>
          <w:rtl/>
        </w:rPr>
        <w:t>נ</w:t>
      </w:r>
      <w:r w:rsidRPr="00007309">
        <w:rPr>
          <w:rFonts w:cs="Arial"/>
          <w:b/>
          <w:bCs/>
          <w:sz w:val="24"/>
          <w:szCs w:val="24"/>
          <w:rtl/>
        </w:rPr>
        <w:t xml:space="preserve">ִין דְּקוּדְשָׁא בְּרִיךְ הוּא, </w:t>
      </w:r>
      <w:r w:rsidRPr="00007309">
        <w:rPr>
          <w:rFonts w:cs="Arial"/>
          <w:b/>
          <w:bCs/>
          <w:sz w:val="36"/>
          <w:szCs w:val="28"/>
          <w:vertAlign w:val="superscript"/>
          <w:rtl/>
        </w:rPr>
        <w:footnoteReference w:id="8687"/>
      </w:r>
      <w:r w:rsidRPr="00007309">
        <w:rPr>
          <w:rFonts w:cs="Arial"/>
          <w:b/>
          <w:bCs/>
          <w:sz w:val="24"/>
          <w:szCs w:val="24"/>
          <w:rtl/>
        </w:rPr>
        <w:t xml:space="preserve">וְאוֹקְמוּהּ מָארֵי מַתְנִיתִין אֵין יִשְׂרָאֵל נִגְאָלִין עַד שֶׁיִּשְׁתַּעְבְּדוּ בְּשִׁבְעִין וּתְרֵין אֻמִּין. וּבְגִין דָּא כָּלַל קוּדְשָׁא בְּרִיךְ הוּא בְּסַנְחֵרִיב ע"ב אֻמִּין, לְקַיִּם בְּהוֹן </w:t>
      </w:r>
      <w:r w:rsidRPr="00007309">
        <w:rPr>
          <w:rFonts w:cs="Arial"/>
          <w:b/>
          <w:bCs/>
          <w:sz w:val="36"/>
          <w:szCs w:val="28"/>
          <w:vertAlign w:val="superscript"/>
          <w:rtl/>
        </w:rPr>
        <w:footnoteReference w:id="8688"/>
      </w:r>
      <w:r w:rsidRPr="00007309">
        <w:rPr>
          <w:rFonts w:cs="Arial"/>
          <w:b/>
          <w:bCs/>
          <w:sz w:val="24"/>
          <w:szCs w:val="24"/>
          <w:rtl/>
        </w:rPr>
        <w:t xml:space="preserve">מִ'לְחָמָה לַ'ה' בַּ'עֲמָלֵק מִדּוֹר דּוֹר. וְלָקֳבֵל שִׁבְעִין וּתְרֵין שָׂרִים אִנּוּן שְׁמָהָן שִׁבְעִין וּתְרֵין דְּוַיִּסַּע וַיָּבֹא וַיֵּט, לְקַיְּמָא בְּהוֹן </w:t>
      </w:r>
      <w:r w:rsidRPr="00007309">
        <w:rPr>
          <w:rFonts w:cs="Arial"/>
          <w:sz w:val="36"/>
          <w:szCs w:val="24"/>
          <w:rtl/>
        </w:rPr>
        <w:t xml:space="preserve">(ישעיהו יט א) </w:t>
      </w:r>
      <w:r w:rsidRPr="00007309">
        <w:rPr>
          <w:rFonts w:cs="Arial"/>
          <w:b/>
          <w:bCs/>
          <w:sz w:val="24"/>
          <w:szCs w:val="24"/>
          <w:rtl/>
        </w:rPr>
        <w:t>הִנֵּה ה' רוֹכֵב עַל עָ"ב קַ"ל</w:t>
      </w:r>
      <w:r w:rsidRPr="00007309">
        <w:rPr>
          <w:rFonts w:cs="Arial" w:hint="cs"/>
          <w:b/>
          <w:bCs/>
          <w:sz w:val="24"/>
          <w:szCs w:val="24"/>
          <w:rtl/>
        </w:rPr>
        <w:t xml:space="preserve">, </w:t>
      </w:r>
      <w:r w:rsidRPr="00007309">
        <w:rPr>
          <w:rFonts w:cs="Arial"/>
          <w:b/>
          <w:bCs/>
          <w:sz w:val="24"/>
          <w:szCs w:val="24"/>
          <w:rtl/>
        </w:rPr>
        <w:t xml:space="preserve">לְנָטְלָא מִנַּיְהוֹן נוּקְמָא </w:t>
      </w:r>
      <w:r w:rsidRPr="00007309">
        <w:rPr>
          <w:rFonts w:cs="Arial"/>
          <w:b/>
          <w:bCs/>
          <w:sz w:val="36"/>
          <w:szCs w:val="28"/>
          <w:vertAlign w:val="superscript"/>
          <w:rtl/>
        </w:rPr>
        <w:footnoteReference w:id="8689"/>
      </w:r>
      <w:r w:rsidRPr="00007309">
        <w:rPr>
          <w:rFonts w:cs="Arial"/>
          <w:b/>
          <w:bCs/>
          <w:sz w:val="24"/>
          <w:szCs w:val="24"/>
          <w:rtl/>
        </w:rPr>
        <w:t>מֵעֲמָלֵק</w:t>
      </w:r>
      <w:r w:rsidRPr="00007309">
        <w:rPr>
          <w:rFonts w:cs="Arial" w:hint="cs"/>
          <w:b/>
          <w:bCs/>
          <w:sz w:val="24"/>
          <w:szCs w:val="24"/>
          <w:rtl/>
        </w:rPr>
        <w:t>,</w:t>
      </w:r>
      <w:r w:rsidRPr="00007309">
        <w:rPr>
          <w:rFonts w:cs="Arial"/>
          <w:b/>
          <w:bCs/>
          <w:sz w:val="24"/>
          <w:szCs w:val="24"/>
          <w:rtl/>
        </w:rPr>
        <w:t xml:space="preserve"> דְּכָלִיל ע"ב אֻמִּין בֵּהּ. וְלָקֳבֵל ע"ב שְׁמָהָן אִיהוּ וַיְכֻלּוּ דְּסָלִיק ע"ב. וְדָא עָלַהּ אִתְּמַר דְּזָרַע כָּל זִרְעוֹנִין בְּבַת אַחַת יְחִידָה</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690"/>
      </w:r>
      <w:r w:rsidRPr="00007309">
        <w:rPr>
          <w:rFonts w:cs="Arial"/>
          <w:b/>
          <w:bCs/>
          <w:sz w:val="24"/>
          <w:szCs w:val="24"/>
          <w:rtl/>
        </w:rPr>
        <w:t>וְהִיא כַּלָּה</w:t>
      </w:r>
      <w:r w:rsidRPr="00007309">
        <w:rPr>
          <w:rFonts w:cs="Arial" w:hint="cs"/>
          <w:b/>
          <w:bCs/>
          <w:sz w:val="24"/>
          <w:szCs w:val="24"/>
          <w:rtl/>
        </w:rPr>
        <w:t>,</w:t>
      </w:r>
      <w:r w:rsidRPr="00007309">
        <w:rPr>
          <w:rFonts w:cs="Arial"/>
          <w:b/>
          <w:bCs/>
          <w:sz w:val="24"/>
          <w:szCs w:val="24"/>
          <w:rtl/>
        </w:rPr>
        <w:t xml:space="preserve"> שַׁבַּת מַלְכְּתָא</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691"/>
      </w:r>
      <w:r w:rsidRPr="00007309">
        <w:rPr>
          <w:rFonts w:cs="Arial"/>
          <w:b/>
          <w:bCs/>
          <w:sz w:val="24"/>
          <w:szCs w:val="24"/>
          <w:rtl/>
        </w:rPr>
        <w:t>מִן קוּדְשָׁא בְּרִיךְ הוּא דְּאִיהוּ תִּפְאֶרֶת</w:t>
      </w:r>
      <w:r w:rsidRPr="00007309">
        <w:rPr>
          <w:rFonts w:cs="Arial" w:hint="cs"/>
          <w:b/>
          <w:bCs/>
          <w:sz w:val="24"/>
          <w:szCs w:val="24"/>
          <w:rtl/>
        </w:rPr>
        <w:t>,</w:t>
      </w:r>
      <w:r w:rsidRPr="00007309">
        <w:rPr>
          <w:rFonts w:cs="Arial"/>
          <w:b/>
          <w:bCs/>
          <w:sz w:val="24"/>
          <w:szCs w:val="24"/>
          <w:rtl/>
        </w:rPr>
        <w:t xml:space="preserve"> וּמַעֲשֶׂה דִּילֵהּ. וּבְגִין דְּכָל בִּרְיָן דִּבְרֵאשִׁית אִתְכְּלִילָן בַּהּ, לְכָךְ הִתְחִילָה תּוֹרָה בְּבֵי"ת מִן בְּרֵאשִׁית. </w:t>
      </w:r>
      <w:r w:rsidRPr="00007309">
        <w:rPr>
          <w:rFonts w:cs="Arial"/>
          <w:b/>
          <w:bCs/>
          <w:sz w:val="36"/>
          <w:szCs w:val="28"/>
          <w:vertAlign w:val="superscript"/>
          <w:rtl/>
        </w:rPr>
        <w:footnoteReference w:id="8692"/>
      </w:r>
      <w:r w:rsidRPr="00007309">
        <w:rPr>
          <w:rFonts w:cs="Arial"/>
          <w:b/>
          <w:bCs/>
          <w:sz w:val="24"/>
          <w:szCs w:val="24"/>
          <w:rtl/>
        </w:rPr>
        <w:t xml:space="preserve">וְאִיהִי בַּת זוּגֵהּ </w:t>
      </w:r>
      <w:r w:rsidRPr="00007309">
        <w:rPr>
          <w:rFonts w:cs="Arial"/>
          <w:b/>
          <w:bCs/>
          <w:sz w:val="36"/>
          <w:szCs w:val="28"/>
          <w:vertAlign w:val="superscript"/>
          <w:rtl/>
        </w:rPr>
        <w:footnoteReference w:id="8693"/>
      </w:r>
      <w:r w:rsidRPr="00007309">
        <w:rPr>
          <w:rFonts w:cs="Arial"/>
          <w:b/>
          <w:bCs/>
          <w:sz w:val="24"/>
          <w:szCs w:val="24"/>
          <w:rtl/>
        </w:rPr>
        <w:t xml:space="preserve">דְּתִפְאֶרֶת אָדָם כָּל חַד יָהִיב בַּהּ חוּלָקֵהּ. וְקוּדְשָׁא בְּרִיךְ הוּא יָהִיב לָהּ </w:t>
      </w:r>
      <w:r w:rsidRPr="00007309">
        <w:rPr>
          <w:rFonts w:cs="Arial"/>
          <w:b/>
          <w:bCs/>
          <w:sz w:val="36"/>
          <w:szCs w:val="28"/>
          <w:vertAlign w:val="superscript"/>
          <w:rtl/>
        </w:rPr>
        <w:footnoteReference w:id="8694"/>
      </w:r>
      <w:r w:rsidRPr="00007309">
        <w:rPr>
          <w:rFonts w:cs="Arial"/>
          <w:b/>
          <w:bCs/>
          <w:sz w:val="24"/>
          <w:szCs w:val="24"/>
          <w:rtl/>
        </w:rPr>
        <w:t xml:space="preserve">רַב וְשַׁלִּיט עָלַיְהוּ, </w:t>
      </w:r>
      <w:r w:rsidRPr="00007309">
        <w:rPr>
          <w:rFonts w:cs="Arial"/>
          <w:b/>
          <w:bCs/>
          <w:sz w:val="36"/>
          <w:szCs w:val="28"/>
          <w:vertAlign w:val="superscript"/>
          <w:rtl/>
        </w:rPr>
        <w:footnoteReference w:id="8695"/>
      </w:r>
      <w:r w:rsidRPr="00007309">
        <w:rPr>
          <w:rFonts w:cs="Arial"/>
          <w:b/>
          <w:bCs/>
          <w:sz w:val="24"/>
          <w:szCs w:val="24"/>
          <w:rtl/>
        </w:rPr>
        <w:t xml:space="preserve">בְּגִין דְּכֻלְּהוּ אִתְבְּרִיאוּ </w:t>
      </w:r>
      <w:r w:rsidRPr="00007309">
        <w:rPr>
          <w:rFonts w:cs="Arial"/>
          <w:b/>
          <w:bCs/>
          <w:sz w:val="36"/>
          <w:szCs w:val="28"/>
          <w:vertAlign w:val="superscript"/>
          <w:rtl/>
        </w:rPr>
        <w:footnoteReference w:id="8696"/>
      </w:r>
      <w:r w:rsidRPr="00007309">
        <w:rPr>
          <w:rFonts w:cs="Arial"/>
          <w:b/>
          <w:bCs/>
          <w:sz w:val="24"/>
          <w:szCs w:val="24"/>
          <w:rtl/>
        </w:rPr>
        <w:t xml:space="preserve">בְּאָת יוּ"ד בַּת יְחִידָא כְּלִילָא מֵעֶשֶׂר אֲמִירָן, </w:t>
      </w:r>
      <w:r w:rsidRPr="00007309">
        <w:rPr>
          <w:rFonts w:cs="Arial"/>
          <w:b/>
          <w:bCs/>
          <w:sz w:val="36"/>
          <w:szCs w:val="28"/>
          <w:vertAlign w:val="superscript"/>
          <w:rtl/>
        </w:rPr>
        <w:footnoteReference w:id="8697"/>
      </w:r>
      <w:r w:rsidRPr="00007309">
        <w:rPr>
          <w:rFonts w:cs="Arial"/>
          <w:b/>
          <w:bCs/>
          <w:sz w:val="24"/>
          <w:szCs w:val="24"/>
          <w:rtl/>
        </w:rPr>
        <w:t>וְעֶשֶׂר אֱלֹהִים. ה' כְּלִילָא מֵחָמֵשׁ אוֹרִין</w:t>
      </w:r>
      <w:r w:rsidRPr="00007309">
        <w:rPr>
          <w:rFonts w:cs="Arial" w:hint="cs"/>
          <w:b/>
          <w:bCs/>
          <w:sz w:val="24"/>
          <w:szCs w:val="24"/>
          <w:rtl/>
        </w:rPr>
        <w:t>,</w:t>
      </w:r>
      <w:r w:rsidRPr="00007309">
        <w:rPr>
          <w:rFonts w:cs="Arial"/>
          <w:b/>
          <w:bCs/>
          <w:sz w:val="24"/>
          <w:szCs w:val="24"/>
          <w:rtl/>
        </w:rPr>
        <w:t xml:space="preserve"> אוֹר דְּיוֹמָא קַדְמָאָה. ו' שִׁית סָמְכִין דִּקְשׁוֹט</w:t>
      </w:r>
      <w:r w:rsidRPr="00007309">
        <w:rPr>
          <w:rFonts w:cs="Arial" w:hint="cs"/>
          <w:b/>
          <w:bCs/>
          <w:sz w:val="24"/>
          <w:szCs w:val="24"/>
          <w:rtl/>
        </w:rPr>
        <w:t>,</w:t>
      </w:r>
      <w:r w:rsidRPr="00007309">
        <w:rPr>
          <w:rFonts w:cs="Arial"/>
          <w:b/>
          <w:bCs/>
          <w:sz w:val="24"/>
          <w:szCs w:val="24"/>
          <w:rtl/>
        </w:rPr>
        <w:t xml:space="preserve"> יוֹם </w:t>
      </w:r>
      <w:r w:rsidRPr="00007309">
        <w:rPr>
          <w:rFonts w:cs="Arial"/>
          <w:b/>
          <w:bCs/>
          <w:sz w:val="36"/>
          <w:szCs w:val="28"/>
          <w:vertAlign w:val="superscript"/>
          <w:rtl/>
        </w:rPr>
        <w:footnoteReference w:id="8698"/>
      </w:r>
      <w:r w:rsidRPr="00007309">
        <w:rPr>
          <w:rFonts w:cs="Arial"/>
          <w:b/>
          <w:bCs/>
          <w:sz w:val="24"/>
          <w:szCs w:val="24"/>
          <w:rtl/>
        </w:rPr>
        <w:t>הַשִּשִּׁי</w:t>
      </w:r>
      <w:r w:rsidRPr="00007309">
        <w:rPr>
          <w:rFonts w:cs="Arial" w:hint="cs"/>
          <w:b/>
          <w:bCs/>
          <w:sz w:val="24"/>
          <w:szCs w:val="24"/>
          <w:rtl/>
        </w:rPr>
        <w:t>,</w:t>
      </w:r>
      <w:r w:rsidRPr="00007309">
        <w:rPr>
          <w:rFonts w:cs="Arial"/>
          <w:b/>
          <w:bCs/>
          <w:sz w:val="24"/>
          <w:szCs w:val="24"/>
          <w:rtl/>
        </w:rPr>
        <w:t xml:space="preserve"> ה'</w:t>
      </w:r>
      <w:r w:rsidRPr="00007309">
        <w:rPr>
          <w:rFonts w:cs="Arial" w:hint="cs"/>
          <w:b/>
          <w:bCs/>
          <w:sz w:val="24"/>
          <w:szCs w:val="24"/>
          <w:rtl/>
        </w:rPr>
        <w:t>,</w:t>
      </w:r>
      <w:r w:rsidRPr="00007309">
        <w:rPr>
          <w:rFonts w:cs="Arial"/>
          <w:b/>
          <w:bCs/>
          <w:sz w:val="24"/>
          <w:szCs w:val="24"/>
          <w:rtl/>
        </w:rPr>
        <w:t xml:space="preserve"> בְּגִין דִּבְיוֹם הַשִּשִּׁי אִשְׁתְּלִים ו' ה' בְּבַת אַחַת. תָּא חֲזֵי כַּד אִית לִסְפִירָן לְמֶעֱבַד פְּעֻלָּה בְּשֵׁם יְדִיעַ, </w:t>
      </w:r>
      <w:r w:rsidRPr="00007309">
        <w:rPr>
          <w:rFonts w:cs="Arial" w:hint="cs"/>
          <w:b/>
          <w:bCs/>
          <w:sz w:val="24"/>
          <w:szCs w:val="24"/>
          <w:rtl/>
        </w:rPr>
        <w:t>(</w:t>
      </w:r>
      <w:r w:rsidRPr="00007309">
        <w:rPr>
          <w:rFonts w:cs="Arial"/>
          <w:b/>
          <w:bCs/>
          <w:sz w:val="24"/>
          <w:szCs w:val="24"/>
          <w:rtl/>
        </w:rPr>
        <w:t>דְּ</w:t>
      </w:r>
      <w:r w:rsidRPr="00007309">
        <w:rPr>
          <w:rFonts w:cs="Arial" w:hint="cs"/>
          <w:b/>
          <w:bCs/>
          <w:sz w:val="24"/>
          <w:szCs w:val="24"/>
          <w:rtl/>
        </w:rPr>
        <w:t>)</w:t>
      </w:r>
      <w:r w:rsidRPr="00007309">
        <w:rPr>
          <w:rFonts w:cs="Arial"/>
          <w:b/>
          <w:bCs/>
          <w:sz w:val="24"/>
          <w:szCs w:val="24"/>
          <w:rtl/>
        </w:rPr>
        <w:t>מִתַּמָּן פְּעֻלָּה, לֹא אִשְׁתְּלִים וְלֹא אִתְעֲבִיד עַד דְּכָל סְפִירָה יָהִיב תַּמָּן חוּלָקָא (נ"א חֵי</w:t>
      </w:r>
      <w:r w:rsidRPr="00007309">
        <w:rPr>
          <w:rFonts w:cs="Arial" w:hint="cs"/>
          <w:b/>
          <w:bCs/>
          <w:sz w:val="24"/>
          <w:szCs w:val="24"/>
          <w:rtl/>
        </w:rPr>
        <w:t>ל</w:t>
      </w:r>
      <w:r w:rsidRPr="00007309">
        <w:rPr>
          <w:rFonts w:cs="Arial"/>
          <w:b/>
          <w:bCs/>
          <w:sz w:val="24"/>
          <w:szCs w:val="24"/>
          <w:rtl/>
        </w:rPr>
        <w:t>ַ</w:t>
      </w:r>
      <w:r w:rsidRPr="00007309">
        <w:rPr>
          <w:rFonts w:cs="Arial" w:hint="cs"/>
          <w:b/>
          <w:bCs/>
          <w:sz w:val="24"/>
          <w:szCs w:val="24"/>
          <w:rtl/>
        </w:rPr>
        <w:t>ה</w:t>
      </w:r>
      <w:r w:rsidRPr="00007309">
        <w:rPr>
          <w:rFonts w:cs="Arial"/>
          <w:b/>
          <w:bCs/>
          <w:sz w:val="24"/>
          <w:szCs w:val="24"/>
          <w:rtl/>
        </w:rPr>
        <w:t>ַ</w:t>
      </w:r>
      <w:r w:rsidRPr="00007309">
        <w:rPr>
          <w:rFonts w:cs="Arial" w:hint="cs"/>
          <w:b/>
          <w:bCs/>
          <w:sz w:val="24"/>
          <w:szCs w:val="24"/>
          <w:rtl/>
        </w:rPr>
        <w:t>א</w:t>
      </w:r>
      <w:r w:rsidRPr="00007309">
        <w:rPr>
          <w:rFonts w:cs="Arial"/>
          <w:b/>
          <w:bCs/>
          <w:sz w:val="24"/>
          <w:szCs w:val="24"/>
          <w:rtl/>
        </w:rPr>
        <w:t>)</w:t>
      </w:r>
      <w:r w:rsidRPr="00007309">
        <w:rPr>
          <w:rFonts w:cs="Arial" w:hint="cs"/>
          <w:b/>
          <w:bCs/>
          <w:sz w:val="24"/>
          <w:szCs w:val="24"/>
          <w:rtl/>
        </w:rPr>
        <w:t>.</w:t>
      </w:r>
      <w:r w:rsidRPr="00007309">
        <w:rPr>
          <w:rFonts w:cs="Arial"/>
          <w:b/>
          <w:bCs/>
          <w:sz w:val="24"/>
          <w:szCs w:val="24"/>
          <w:rtl/>
        </w:rPr>
        <w:t xml:space="preserve"> דָּא יָהִיב תַּמָּן אַתְוָן דְּאִנּוּן כָּל גּווָֹנִין אֻכָּמִין מִסִּטְרָא דְּבַת יְחִידָה. וְאִנּוּן </w:t>
      </w:r>
      <w:r w:rsidRPr="00007309">
        <w:rPr>
          <w:rFonts w:cs="Arial" w:hint="cs"/>
          <w:b/>
          <w:bCs/>
          <w:sz w:val="24"/>
          <w:szCs w:val="24"/>
          <w:rtl/>
        </w:rPr>
        <w:t>סו</w:t>
      </w:r>
      <w:r w:rsidRPr="00007309">
        <w:rPr>
          <w:rFonts w:cs="Arial"/>
          <w:b/>
          <w:bCs/>
          <w:sz w:val="24"/>
          <w:szCs w:val="24"/>
          <w:rtl/>
        </w:rPr>
        <w:t>ּ</w:t>
      </w:r>
      <w:r w:rsidRPr="00007309">
        <w:rPr>
          <w:rFonts w:cs="Arial" w:hint="cs"/>
          <w:b/>
          <w:bCs/>
          <w:sz w:val="24"/>
          <w:szCs w:val="24"/>
          <w:rtl/>
        </w:rPr>
        <w:t>מ</w:t>
      </w:r>
      <w:r w:rsidRPr="00007309">
        <w:rPr>
          <w:rFonts w:cs="Arial"/>
          <w:b/>
          <w:bCs/>
          <w:sz w:val="24"/>
          <w:szCs w:val="24"/>
          <w:rtl/>
        </w:rPr>
        <w:t>ְ</w:t>
      </w:r>
      <w:r w:rsidRPr="00007309">
        <w:rPr>
          <w:rFonts w:cs="Arial" w:hint="cs"/>
          <w:b/>
          <w:bCs/>
          <w:sz w:val="24"/>
          <w:szCs w:val="24"/>
          <w:rtl/>
        </w:rPr>
        <w:t>ק</w:t>
      </w:r>
      <w:r w:rsidRPr="00007309">
        <w:rPr>
          <w:rFonts w:cs="Arial"/>
          <w:b/>
          <w:bCs/>
          <w:sz w:val="24"/>
          <w:szCs w:val="24"/>
          <w:rtl/>
        </w:rPr>
        <w:t>ִ</w:t>
      </w:r>
      <w:r w:rsidRPr="00007309">
        <w:rPr>
          <w:rFonts w:cs="Arial" w:hint="cs"/>
          <w:b/>
          <w:bCs/>
          <w:sz w:val="24"/>
          <w:szCs w:val="24"/>
          <w:rtl/>
        </w:rPr>
        <w:t xml:space="preserve">ין </w:t>
      </w:r>
      <w:r w:rsidRPr="00007309">
        <w:rPr>
          <w:rFonts w:cs="Arial"/>
          <w:b/>
          <w:bCs/>
          <w:sz w:val="24"/>
          <w:szCs w:val="24"/>
          <w:rtl/>
        </w:rPr>
        <w:t>יְרוּקִין חִוְרִין מִסִּטְרָא דִּתְלָת אֲבָהָן</w:t>
      </w:r>
      <w:r w:rsidRPr="00007309">
        <w:rPr>
          <w:rFonts w:cs="Arial" w:hint="cs"/>
          <w:b/>
          <w:bCs/>
          <w:sz w:val="24"/>
          <w:szCs w:val="24"/>
          <w:rtl/>
        </w:rPr>
        <w:t>,</w:t>
      </w:r>
      <w:r w:rsidRPr="00007309">
        <w:rPr>
          <w:rFonts w:cs="Arial"/>
          <w:b/>
          <w:bCs/>
          <w:sz w:val="24"/>
          <w:szCs w:val="24"/>
          <w:rtl/>
        </w:rPr>
        <w:t xml:space="preserve"> וְדָא יָהִיב נִיקוּדִין כוּ'</w:t>
      </w:r>
      <w:r w:rsidRPr="00007309">
        <w:rPr>
          <w:rFonts w:cs="Arial" w:hint="cs"/>
          <w:b/>
          <w:bCs/>
          <w:sz w:val="24"/>
          <w:szCs w:val="24"/>
          <w:rtl/>
        </w:rPr>
        <w:t>,</w:t>
      </w:r>
      <w:r w:rsidRPr="00007309">
        <w:rPr>
          <w:rFonts w:cs="Arial"/>
          <w:b/>
          <w:bCs/>
          <w:sz w:val="24"/>
          <w:szCs w:val="24"/>
          <w:rtl/>
        </w:rPr>
        <w:t xml:space="preserve"> עַד דְּאִתְכְּלִיל בְּהַהוּא שְׁמָא כָּל סְפִירָן </w:t>
      </w:r>
      <w:r w:rsidRPr="00007309">
        <w:rPr>
          <w:rFonts w:cs="Arial"/>
          <w:sz w:val="36"/>
          <w:szCs w:val="28"/>
          <w:rtl/>
        </w:rPr>
        <w:t>עכ"מ</w:t>
      </w:r>
      <w:r w:rsidRPr="00007309">
        <w:rPr>
          <w:rFonts w:cs="Arial"/>
          <w:b/>
          <w:bCs/>
          <w:sz w:val="24"/>
          <w:szCs w:val="24"/>
        </w:rPr>
        <w:t>:</w:t>
      </w:r>
    </w:p>
    <w:p w:rsidR="00007309" w:rsidRPr="00007309" w:rsidRDefault="00007309" w:rsidP="00007309">
      <w:pPr>
        <w:jc w:val="both"/>
        <w:rPr>
          <w:rFonts w:cs="Arial"/>
          <w:b/>
          <w:bCs/>
          <w:sz w:val="24"/>
          <w:szCs w:val="24"/>
        </w:rPr>
      </w:pPr>
      <w:r w:rsidRPr="00007309">
        <w:rPr>
          <w:rFonts w:cs="Arial"/>
          <w:sz w:val="36"/>
          <w:szCs w:val="28"/>
          <w:rtl/>
        </w:rPr>
        <w:t>עוד לפרשת וירא אליו</w:t>
      </w:r>
      <w:r w:rsidRPr="00007309">
        <w:rPr>
          <w:rFonts w:cs="Arial"/>
          <w:b/>
          <w:bCs/>
          <w:sz w:val="24"/>
          <w:szCs w:val="24"/>
        </w:rPr>
        <w:t>:</w:t>
      </w:r>
    </w:p>
    <w:p w:rsidR="00007309" w:rsidRPr="00007309" w:rsidRDefault="00007309" w:rsidP="00007309">
      <w:pPr>
        <w:jc w:val="both"/>
        <w:rPr>
          <w:rFonts w:cs="Arial"/>
          <w:b/>
          <w:bCs/>
          <w:sz w:val="24"/>
          <w:szCs w:val="24"/>
          <w:rtl/>
        </w:rPr>
      </w:pPr>
      <w:r w:rsidRPr="00007309">
        <w:rPr>
          <w:rFonts w:cs="Arial"/>
          <w:b/>
          <w:bCs/>
          <w:sz w:val="24"/>
          <w:szCs w:val="24"/>
          <w:rtl/>
        </w:rPr>
        <w:t xml:space="preserve">אָמַר רִבִּי שִׁמְעוֹן </w:t>
      </w:r>
      <w:r w:rsidRPr="00007309">
        <w:rPr>
          <w:rFonts w:cs="Arial"/>
          <w:b/>
          <w:bCs/>
          <w:sz w:val="36"/>
          <w:szCs w:val="28"/>
          <w:vertAlign w:val="superscript"/>
          <w:rtl/>
        </w:rPr>
        <w:footnoteReference w:id="8699"/>
      </w:r>
      <w:r w:rsidRPr="00007309">
        <w:rPr>
          <w:rFonts w:cs="Arial"/>
          <w:b/>
          <w:bCs/>
          <w:sz w:val="24"/>
          <w:szCs w:val="24"/>
          <w:rtl/>
        </w:rPr>
        <w:t>מַאי וַיֵּרָ</w:t>
      </w:r>
      <w:r w:rsidRPr="00007309">
        <w:rPr>
          <w:rFonts w:cs="Arial" w:hint="cs"/>
          <w:b/>
          <w:bCs/>
          <w:sz w:val="24"/>
          <w:szCs w:val="24"/>
          <w:rtl/>
        </w:rPr>
        <w:t>א</w:t>
      </w:r>
      <w:r w:rsidRPr="00007309">
        <w:rPr>
          <w:rFonts w:cs="Arial"/>
          <w:b/>
          <w:bCs/>
          <w:sz w:val="24"/>
          <w:szCs w:val="24"/>
          <w:rtl/>
        </w:rPr>
        <w:t xml:space="preserve"> אֵלָיו. </w:t>
      </w:r>
      <w:r w:rsidRPr="00007309">
        <w:rPr>
          <w:rFonts w:cs="Arial"/>
          <w:b/>
          <w:bCs/>
          <w:sz w:val="36"/>
          <w:szCs w:val="28"/>
          <w:vertAlign w:val="superscript"/>
          <w:rtl/>
        </w:rPr>
        <w:footnoteReference w:id="8700"/>
      </w:r>
      <w:r w:rsidRPr="00007309">
        <w:rPr>
          <w:rFonts w:cs="Arial"/>
          <w:b/>
          <w:bCs/>
          <w:sz w:val="24"/>
          <w:szCs w:val="24"/>
          <w:rtl/>
        </w:rPr>
        <w:t>אֶלָּא קוּדְשָׁא בְּרִיךְ הוּא כְּגַוְנָא דְּאַחֲזֵי לְאָדָם קַדְמָאָה, דּוֹר דּוֹר וּפַרְנָסָיו דּוֹר דּוֹר וּמַנְהִיגָיו, הָכֵי אַחֲזֵי לֵהּ לְאַבְרָהָם</w:t>
      </w:r>
      <w:r w:rsidRPr="00007309">
        <w:rPr>
          <w:rFonts w:cs="Arial" w:hint="cs"/>
          <w:b/>
          <w:bCs/>
          <w:sz w:val="24"/>
          <w:szCs w:val="24"/>
          <w:rtl/>
        </w:rPr>
        <w:t>.</w:t>
      </w:r>
      <w:r w:rsidRPr="00007309">
        <w:rPr>
          <w:rFonts w:cs="Arial"/>
          <w:b/>
          <w:bCs/>
          <w:sz w:val="24"/>
          <w:szCs w:val="24"/>
          <w:rtl/>
        </w:rPr>
        <w:t xml:space="preserve"> וְאָמַר</w:t>
      </w:r>
      <w:r w:rsidRPr="00007309">
        <w:rPr>
          <w:rFonts w:cs="Arial" w:hint="cs"/>
          <w:b/>
          <w:bCs/>
          <w:sz w:val="24"/>
          <w:szCs w:val="24"/>
          <w:rtl/>
        </w:rPr>
        <w:t>,</w:t>
      </w:r>
      <w:r w:rsidRPr="00007309">
        <w:rPr>
          <w:rFonts w:cs="Arial"/>
          <w:b/>
          <w:bCs/>
          <w:sz w:val="24"/>
          <w:szCs w:val="24"/>
          <w:rtl/>
        </w:rPr>
        <w:t xml:space="preserve"> בְּהַאי דָּרָא יְהוֹן צַדִּיקִים, וּבְהַאי דָּרָא בֵּינוֹנִיִּים, וּבְהַאי דָּרָא רְשָׁעִים. אָמַר רִבִּי יוֹסֵי, בּוּצִינָא קַדִּישָׁא, הָא אוֹקְמוּהּ </w:t>
      </w:r>
      <w:r w:rsidRPr="00007309">
        <w:rPr>
          <w:rFonts w:cs="Arial" w:hint="cs"/>
          <w:b/>
          <w:bCs/>
          <w:sz w:val="24"/>
          <w:szCs w:val="24"/>
          <w:rtl/>
        </w:rPr>
        <w:t xml:space="preserve">(ברכות לג ע"ב) </w:t>
      </w:r>
      <w:r w:rsidRPr="00007309">
        <w:rPr>
          <w:rFonts w:cs="Arial"/>
          <w:b/>
          <w:bCs/>
          <w:sz w:val="24"/>
          <w:szCs w:val="24"/>
          <w:rtl/>
        </w:rPr>
        <w:t xml:space="preserve">הַכֹּל בִּידֵי שָׁמַיִם חוּץ מִיִּרְאַת שָׁמַיִם, וּקְרָא אָחֳרָא כְּתִיב </w:t>
      </w:r>
      <w:r w:rsidRPr="00007309">
        <w:rPr>
          <w:rFonts w:cs="Arial" w:hint="cs"/>
          <w:b/>
          <w:bCs/>
          <w:sz w:val="24"/>
          <w:szCs w:val="24"/>
          <w:rtl/>
        </w:rPr>
        <w:t xml:space="preserve">(איכה ג לח) </w:t>
      </w:r>
      <w:r w:rsidRPr="00007309">
        <w:rPr>
          <w:rFonts w:cs="Arial"/>
          <w:b/>
          <w:bCs/>
          <w:sz w:val="36"/>
          <w:szCs w:val="28"/>
          <w:vertAlign w:val="superscript"/>
          <w:rtl/>
        </w:rPr>
        <w:footnoteReference w:id="8701"/>
      </w:r>
      <w:r w:rsidRPr="00007309">
        <w:rPr>
          <w:rFonts w:cs="Arial"/>
          <w:b/>
          <w:bCs/>
          <w:sz w:val="24"/>
          <w:szCs w:val="24"/>
          <w:rtl/>
        </w:rPr>
        <w:t>מִפִּי עֶלְיוֹן לֹא תֵצֵא הָרָעוֹת וְהַטוֹב. וְאִם קֹדֶם דְּאַתְיָן לְעָלְמָא, אִתְגְּזַר עָלַיְהוּ לְמֶהֱוֵי צַדִּיקִים אוֹ רְשָׁעִים אוֹ בֵּינוֹנִיִּים, לָא הֲוָה עָתִיד לְמֶהֱוֵי לוֹן אַגְרָא וְעוֹנְשָׁא, וְלָא הֲוָה לֵהּ לַנָּבִיא לְמֵימַר לוֹן מִפִּי עֶלְיוֹן לֹא תֵצֵא הָרָעוֹת וְהַטוֹב</w:t>
      </w:r>
      <w:r w:rsidRPr="00007309">
        <w:rPr>
          <w:rFonts w:cs="Arial" w:hint="cs"/>
          <w:b/>
          <w:bCs/>
          <w:sz w:val="24"/>
          <w:szCs w:val="24"/>
          <w:rtl/>
        </w:rPr>
        <w:t>.</w:t>
      </w:r>
      <w:r w:rsidRPr="00007309">
        <w:rPr>
          <w:rFonts w:cs="Arial"/>
          <w:b/>
          <w:bCs/>
          <w:sz w:val="24"/>
          <w:szCs w:val="24"/>
          <w:rtl/>
        </w:rPr>
        <w:t xml:space="preserve"> וְלָא הֲוָה לְהוּ</w:t>
      </w:r>
      <w:r w:rsidRPr="00007309">
        <w:rPr>
          <w:rFonts w:cs="Arial" w:hint="cs"/>
          <w:b/>
          <w:bCs/>
          <w:sz w:val="24"/>
          <w:szCs w:val="24"/>
          <w:rtl/>
        </w:rPr>
        <w:t xml:space="preserve"> </w:t>
      </w:r>
      <w:r w:rsidRPr="00007309">
        <w:rPr>
          <w:rFonts w:cs="Arial"/>
          <w:b/>
          <w:bCs/>
          <w:sz w:val="24"/>
          <w:szCs w:val="24"/>
          <w:rtl/>
        </w:rPr>
        <w:t>לְ</w:t>
      </w:r>
      <w:r w:rsidRPr="00007309">
        <w:rPr>
          <w:rFonts w:cs="Arial" w:hint="cs"/>
          <w:b/>
          <w:bCs/>
          <w:sz w:val="24"/>
          <w:szCs w:val="24"/>
          <w:rtl/>
        </w:rPr>
        <w:t>מ</w:t>
      </w:r>
      <w:r w:rsidRPr="00007309">
        <w:rPr>
          <w:rFonts w:cs="Arial"/>
          <w:b/>
          <w:bCs/>
          <w:sz w:val="24"/>
          <w:szCs w:val="24"/>
          <w:rtl/>
        </w:rPr>
        <w:t>ָ</w:t>
      </w:r>
      <w:r w:rsidRPr="00007309">
        <w:rPr>
          <w:rFonts w:cs="Arial" w:hint="cs"/>
          <w:b/>
          <w:bCs/>
          <w:sz w:val="24"/>
          <w:szCs w:val="24"/>
          <w:rtl/>
        </w:rPr>
        <w:t>אר</w:t>
      </w:r>
      <w:r w:rsidRPr="00007309">
        <w:rPr>
          <w:rFonts w:cs="Arial"/>
          <w:b/>
          <w:bCs/>
          <w:sz w:val="24"/>
          <w:szCs w:val="24"/>
          <w:rtl/>
        </w:rPr>
        <w:t>ֵ</w:t>
      </w:r>
      <w:r w:rsidRPr="00007309">
        <w:rPr>
          <w:rFonts w:cs="Arial" w:hint="cs"/>
          <w:b/>
          <w:bCs/>
          <w:sz w:val="24"/>
          <w:szCs w:val="24"/>
          <w:rtl/>
        </w:rPr>
        <w:t>י</w:t>
      </w:r>
      <w:r w:rsidRPr="00007309">
        <w:rPr>
          <w:rFonts w:cs="Arial"/>
          <w:b/>
          <w:bCs/>
          <w:sz w:val="24"/>
          <w:szCs w:val="24"/>
          <w:rtl/>
        </w:rPr>
        <w:t xml:space="preserve"> מַתְנִיתִין לְמֵימַר, הַכֹּל בִּידֵי שָׁמַיִם חוּץ מִיִּרְאַת שָׁמַיִם. אָמַר רִבִּי שִׁמְעוֹן שְׁאִלְתָּא דָּא עֲמִיקָא, וְאַפְלִיגוּ בָּהּ קַדְמָאֵי, וְסַגִּיאִין כָּשְׁלוּ בָּהּ</w:t>
      </w:r>
      <w:r w:rsidRPr="00007309">
        <w:rPr>
          <w:rFonts w:cs="Arial" w:hint="cs"/>
          <w:b/>
          <w:bCs/>
          <w:sz w:val="24"/>
          <w:szCs w:val="24"/>
          <w:rtl/>
        </w:rPr>
        <w:t>,</w:t>
      </w:r>
      <w:r w:rsidRPr="00007309">
        <w:rPr>
          <w:rFonts w:cs="Arial"/>
          <w:b/>
          <w:bCs/>
          <w:sz w:val="24"/>
          <w:szCs w:val="24"/>
          <w:rtl/>
        </w:rPr>
        <w:t xml:space="preserve"> בְּגִין דְּלָא מָטוּ לְעוּמְקָא דְּרָזָא. עַל נָבִיא אִתְּמַר הַאי קְרָא, (ירמיה א) בְּטֶרֶם אֶצָּרְךָ בְּבֶטֶן יְדַעְתִּיךָ. וְרָזָא דָּא </w:t>
      </w:r>
      <w:r w:rsidRPr="00007309">
        <w:rPr>
          <w:rFonts w:cs="Arial" w:hint="cs"/>
          <w:b/>
          <w:bCs/>
          <w:sz w:val="24"/>
          <w:szCs w:val="24"/>
          <w:rtl/>
        </w:rPr>
        <w:t xml:space="preserve">(אבות ג טו) </w:t>
      </w:r>
      <w:r w:rsidRPr="00007309">
        <w:rPr>
          <w:rFonts w:cs="Arial"/>
          <w:b/>
          <w:bCs/>
          <w:sz w:val="24"/>
          <w:szCs w:val="24"/>
          <w:rtl/>
        </w:rPr>
        <w:t>הַכֹּל צָפוּ</w:t>
      </w:r>
      <w:r w:rsidRPr="00007309">
        <w:rPr>
          <w:rFonts w:cs="Arial" w:hint="cs"/>
          <w:b/>
          <w:bCs/>
          <w:sz w:val="24"/>
          <w:szCs w:val="24"/>
          <w:rtl/>
        </w:rPr>
        <w:t>י</w:t>
      </w:r>
      <w:r w:rsidRPr="00007309">
        <w:rPr>
          <w:rFonts w:cs="Arial"/>
          <w:b/>
          <w:bCs/>
          <w:sz w:val="24"/>
          <w:szCs w:val="24"/>
          <w:rtl/>
        </w:rPr>
        <w:t xml:space="preserve"> וְהָרְשׁוּת נְתוּנָה</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702"/>
      </w:r>
      <w:r w:rsidRPr="00007309">
        <w:rPr>
          <w:rFonts w:cs="Arial"/>
          <w:b/>
          <w:bCs/>
          <w:sz w:val="24"/>
          <w:szCs w:val="24"/>
          <w:rtl/>
        </w:rPr>
        <w:t xml:space="preserve">הָא מִלִּין אִלֵּין סְתִימִין, וְלָא אִתְגַּלְּיָן אֶלָּא בְּמַאי דְּאוֹקְמוּהּ רַבָּנָן, </w:t>
      </w:r>
      <w:r w:rsidRPr="00007309">
        <w:rPr>
          <w:rFonts w:cs="Arial"/>
          <w:b/>
          <w:bCs/>
          <w:sz w:val="36"/>
          <w:szCs w:val="28"/>
          <w:vertAlign w:val="superscript"/>
          <w:rtl/>
        </w:rPr>
        <w:footnoteReference w:id="8703"/>
      </w:r>
      <w:r w:rsidRPr="00007309">
        <w:rPr>
          <w:rFonts w:cs="Arial"/>
          <w:b/>
          <w:bCs/>
          <w:sz w:val="24"/>
          <w:szCs w:val="24"/>
          <w:rtl/>
        </w:rPr>
        <w:t>מַחֲשָׁבָה טוֹבָה הַקָּדוֹשׁ בָּרוּךְ הוּא מְצָרְפָהּ לְמַעֲשֶׂה</w:t>
      </w:r>
      <w:r w:rsidRPr="00007309">
        <w:rPr>
          <w:rFonts w:cs="Arial" w:hint="cs"/>
          <w:b/>
          <w:bCs/>
          <w:sz w:val="24"/>
          <w:szCs w:val="24"/>
          <w:rtl/>
        </w:rPr>
        <w:t>,</w:t>
      </w:r>
      <w:r w:rsidRPr="00007309">
        <w:rPr>
          <w:rFonts w:cs="Arial"/>
          <w:b/>
          <w:bCs/>
          <w:sz w:val="24"/>
          <w:szCs w:val="24"/>
          <w:rtl/>
        </w:rPr>
        <w:t xml:space="preserve"> מַחֲשָׁבָה רָעָה אֵין הַקָּדוֹשׁ בָּרוּךְ הוּא מְצָרְפָה לְמַעֲשֶׂה. מַחֲשָׁבָה טוֹבָה הַקָּדוֹשׁ</w:t>
      </w:r>
      <w:r w:rsidRPr="00007309">
        <w:rPr>
          <w:rFonts w:cs="Arial"/>
          <w:b/>
          <w:bCs/>
          <w:sz w:val="24"/>
          <w:szCs w:val="24"/>
        </w:rPr>
        <w:t xml:space="preserve"> </w:t>
      </w:r>
      <w:r w:rsidRPr="00007309">
        <w:rPr>
          <w:rFonts w:cs="Arial"/>
          <w:b/>
          <w:bCs/>
          <w:sz w:val="24"/>
          <w:szCs w:val="24"/>
          <w:rtl/>
        </w:rPr>
        <w:t>בָּרוּךְ הוּא מְצָרְפָהּ לְמַעֲשֶׂה, אוֹלִיפְנָא מֵהָכָא דְּקֹדֶם דְּאַתְיָא לְעוֹלָם, צָלֵי בְּגִינֵהּ וְשַׁוֵּי מַחֲשַׁבְתֵּהּ בֵּהּ בְּשַׁעֲתָא דְּזִוּוּגָא, וּבְגִין דָּא כְּתִיב בְּטֶרֶם אֶצָּרְךָ וְכוּ'</w:t>
      </w:r>
      <w:r w:rsidRPr="00007309">
        <w:rPr>
          <w:rFonts w:cs="Arial" w:hint="cs"/>
          <w:b/>
          <w:bCs/>
          <w:sz w:val="24"/>
          <w:szCs w:val="24"/>
          <w:rtl/>
        </w:rPr>
        <w:t>,</w:t>
      </w:r>
      <w:r w:rsidRPr="00007309">
        <w:rPr>
          <w:rFonts w:cs="Arial"/>
          <w:b/>
          <w:bCs/>
          <w:sz w:val="24"/>
          <w:szCs w:val="24"/>
          <w:rtl/>
        </w:rPr>
        <w:t xml:space="preserve"> בְּטֶרֶם חַד</w:t>
      </w:r>
      <w:r w:rsidRPr="00007309">
        <w:rPr>
          <w:rFonts w:cs="Arial" w:hint="cs"/>
          <w:b/>
          <w:bCs/>
          <w:sz w:val="24"/>
          <w:szCs w:val="24"/>
          <w:rtl/>
        </w:rPr>
        <w:t>,</w:t>
      </w:r>
      <w:r w:rsidRPr="00007309">
        <w:rPr>
          <w:rFonts w:cs="Arial"/>
          <w:b/>
          <w:bCs/>
          <w:sz w:val="24"/>
          <w:szCs w:val="24"/>
          <w:rtl/>
        </w:rPr>
        <w:t xml:space="preserve"> עַל דְּצָלֵי בְּגִינֵהּ קֹדֶם דְּאָתָא לְעָלְמָא. וּבְגִין דְּשַׁוֵּי מַחֲשַׁבְתֵּהּ בֵּהּ קֹדֶם יְצִירָתֵהּ בַּבֶּטֶן בְּשַׁעֲתָא דְּזִוּוּגָא. </w:t>
      </w:r>
      <w:r w:rsidRPr="00007309">
        <w:rPr>
          <w:rFonts w:cs="Arial"/>
          <w:b/>
          <w:bCs/>
          <w:sz w:val="36"/>
          <w:szCs w:val="28"/>
          <w:vertAlign w:val="superscript"/>
          <w:rtl/>
        </w:rPr>
        <w:footnoteReference w:id="8704"/>
      </w:r>
      <w:r w:rsidRPr="00007309">
        <w:rPr>
          <w:rFonts w:cs="Arial"/>
          <w:b/>
          <w:bCs/>
          <w:sz w:val="24"/>
          <w:szCs w:val="24"/>
          <w:rtl/>
        </w:rPr>
        <w:t>וּבְגִין דָּא בְּטֶרֶם אֶצָּרְךָ בַּבֶּטֶן יְדַעְתִּיךָ וּבְטֶרֶם תֵצֵא מֵרֶחֶם. וּבְגִין דְּאַקְדִּים לֵיהּ בִּצְלוֹתָא וּמַחֲשַׁבְתֵּהּ קֹדֶם יְצִרָתֵה וְקֹדֶם דְּנָפַק מֵרֶחֶם אִמֵּהּ</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705"/>
      </w:r>
      <w:r w:rsidRPr="00007309">
        <w:rPr>
          <w:rFonts w:cs="Arial"/>
          <w:b/>
          <w:bCs/>
          <w:sz w:val="24"/>
          <w:szCs w:val="24"/>
          <w:rtl/>
        </w:rPr>
        <w:t xml:space="preserve">אִיהוּ מְנַבֵּא עֲתִידוֹת קֹדֶם דְּיֵיתוּן לְעָלְמָא. </w:t>
      </w:r>
      <w:r w:rsidRPr="00007309">
        <w:rPr>
          <w:rFonts w:cs="Arial"/>
          <w:b/>
          <w:bCs/>
          <w:sz w:val="36"/>
          <w:szCs w:val="28"/>
          <w:vertAlign w:val="superscript"/>
          <w:rtl/>
        </w:rPr>
        <w:footnoteReference w:id="8706"/>
      </w:r>
      <w:r w:rsidRPr="00007309">
        <w:rPr>
          <w:rFonts w:cs="Arial"/>
          <w:b/>
          <w:bCs/>
          <w:sz w:val="24"/>
          <w:szCs w:val="24"/>
          <w:rtl/>
        </w:rPr>
        <w:t>כָּל שֶׁכֵּן קוּדְשָׁא בְּרִיךְ הוּא דְּיָדַע כָּל דָּרִין קֹדֶם דְּיֵיתוּן לְעָלְמָא. דְּקֹדֶם דְּיֵיתֵי כָּל בַּר נָשׁ לְעָלְמָא, קֹדֶם יְצִרָתֵה</w:t>
      </w:r>
      <w:r w:rsidRPr="00007309">
        <w:rPr>
          <w:rFonts w:cs="Arial" w:hint="cs"/>
          <w:b/>
          <w:bCs/>
          <w:sz w:val="24"/>
          <w:szCs w:val="24"/>
          <w:rtl/>
        </w:rPr>
        <w:t>,</w:t>
      </w:r>
      <w:r w:rsidRPr="00007309">
        <w:rPr>
          <w:rFonts w:cs="Arial"/>
          <w:b/>
          <w:bCs/>
          <w:sz w:val="24"/>
          <w:szCs w:val="24"/>
          <w:rtl/>
        </w:rPr>
        <w:t xml:space="preserve"> מַלְאָךְ מְמֻנֶּה עַל הַהִיא טִפָּה, וְקוּדְשָׁא בְּרִיךְ הוּא גָּזִיר עָלֵהּ אִם יִהְיֶה נָבִיא אוֹ חָכָם אוֹ בַּעַל מִקְרָא וּמִשְׁנָה, אוֹ מָארֵי רוּחַ הַקֹּדֶשׁ, אוֹ מָארֵי בַּת קוֹל, דְּאִתְנְהִיג </w:t>
      </w:r>
      <w:r w:rsidRPr="00007309">
        <w:rPr>
          <w:rFonts w:cs="Arial"/>
          <w:b/>
          <w:bCs/>
          <w:sz w:val="36"/>
          <w:szCs w:val="28"/>
          <w:vertAlign w:val="superscript"/>
          <w:rtl/>
        </w:rPr>
        <w:footnoteReference w:id="8707"/>
      </w:r>
      <w:r w:rsidRPr="00007309">
        <w:rPr>
          <w:rFonts w:cs="Arial"/>
          <w:b/>
          <w:bCs/>
          <w:sz w:val="24"/>
          <w:szCs w:val="24"/>
          <w:rtl/>
        </w:rPr>
        <w:t>בַּת קוֹל בְּמִלּוּלָא דִּילֵהּ, וְיֵימָא הֲלָכָה כִּפְלוֹנִי</w:t>
      </w:r>
      <w:r w:rsidRPr="00007309">
        <w:rPr>
          <w:rFonts w:cs="Arial" w:hint="cs"/>
          <w:b/>
          <w:bCs/>
          <w:sz w:val="24"/>
          <w:szCs w:val="24"/>
          <w:rtl/>
        </w:rPr>
        <w:t>,</w:t>
      </w:r>
      <w:r w:rsidRPr="00007309">
        <w:rPr>
          <w:rFonts w:cs="Arial"/>
          <w:b/>
          <w:bCs/>
          <w:sz w:val="24"/>
          <w:szCs w:val="24"/>
          <w:rtl/>
        </w:rPr>
        <w:t xml:space="preserve"> אוֹ אִם יִהְיֶה טִפֵּשׁ</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708"/>
      </w:r>
      <w:r w:rsidRPr="00007309">
        <w:rPr>
          <w:rFonts w:cs="Arial"/>
          <w:b/>
          <w:bCs/>
          <w:sz w:val="24"/>
          <w:szCs w:val="24"/>
          <w:rtl/>
        </w:rPr>
        <w:t>אֲבָל רָשָׁע וְצַדִּיק לֹא קָא גָּזַר. אַף עַל גַּב</w:t>
      </w:r>
      <w:r w:rsidRPr="00007309">
        <w:rPr>
          <w:rFonts w:cs="Arial"/>
          <w:b/>
          <w:bCs/>
          <w:sz w:val="24"/>
          <w:szCs w:val="28"/>
        </w:rPr>
        <w:t xml:space="preserve"> </w:t>
      </w:r>
      <w:r w:rsidRPr="00007309">
        <w:rPr>
          <w:rFonts w:cs="Arial"/>
          <w:b/>
          <w:bCs/>
          <w:sz w:val="24"/>
          <w:szCs w:val="24"/>
          <w:rtl/>
        </w:rPr>
        <w:t>דַּאֲבוֹי עָבַד לֵהּ בְּמַחֲשָׁבָה רָעָה</w:t>
      </w:r>
      <w:r w:rsidRPr="00007309">
        <w:rPr>
          <w:rFonts w:cs="Arial" w:hint="cs"/>
          <w:b/>
          <w:bCs/>
          <w:sz w:val="24"/>
          <w:szCs w:val="24"/>
          <w:rtl/>
        </w:rPr>
        <w:t>,</w:t>
      </w:r>
      <w:r w:rsidRPr="00007309">
        <w:rPr>
          <w:rFonts w:cs="Arial"/>
          <w:b/>
          <w:bCs/>
          <w:sz w:val="24"/>
          <w:szCs w:val="24"/>
          <w:rtl/>
        </w:rPr>
        <w:t xml:space="preserve"> וְעָבִיד בֵּיהּ מַעֲשֶׂה דְּעָבִיד לֵהּ בְּנִדָּה אוֹ </w:t>
      </w:r>
      <w:r w:rsidRPr="00007309">
        <w:rPr>
          <w:rFonts w:cs="Arial" w:hint="cs"/>
          <w:b/>
          <w:bCs/>
          <w:sz w:val="24"/>
          <w:szCs w:val="24"/>
          <w:rtl/>
        </w:rPr>
        <w:t>ב</w:t>
      </w:r>
      <w:r w:rsidRPr="00007309">
        <w:rPr>
          <w:rFonts w:cs="Arial"/>
          <w:b/>
          <w:bCs/>
          <w:sz w:val="24"/>
          <w:szCs w:val="24"/>
          <w:rtl/>
        </w:rPr>
        <w:t>ַּעֲרָיוֹת אוֹ בְּגוֹיָּה אוֹ בְּזוֹנָה אוֹ בְּשִׁפְחָה.</w:t>
      </w:r>
    </w:p>
    <w:p w:rsidR="00007309" w:rsidRPr="00007309" w:rsidRDefault="00007309" w:rsidP="00007309">
      <w:pPr>
        <w:keepNext/>
        <w:outlineLvl w:val="1"/>
        <w:rPr>
          <w:rFonts w:ascii="Cambria" w:hAnsi="Cambria" w:cs="Times New Roman"/>
          <w:b/>
          <w:bCs/>
          <w:i/>
          <w:iCs/>
          <w:sz w:val="28"/>
          <w:szCs w:val="28"/>
          <w:rtl/>
        </w:rPr>
      </w:pPr>
      <w:r w:rsidRPr="00007309">
        <w:rPr>
          <w:rFonts w:ascii="Cambria" w:hAnsi="Cambria" w:cs="Times New Roman"/>
          <w:b/>
          <w:bCs/>
          <w:i/>
          <w:iCs/>
          <w:sz w:val="28"/>
          <w:szCs w:val="28"/>
          <w:rtl/>
        </w:rPr>
        <w:t>[</w:t>
      </w:r>
      <w:r w:rsidRPr="00007309">
        <w:rPr>
          <w:rFonts w:ascii="Cambria" w:hAnsi="Cambria" w:cs="Times New Roman" w:hint="cs"/>
          <w:b/>
          <w:bCs/>
          <w:i/>
          <w:iCs/>
          <w:sz w:val="28"/>
          <w:szCs w:val="28"/>
          <w:rtl/>
        </w:rPr>
        <w:t>דף</w:t>
      </w:r>
      <w:r w:rsidRPr="00007309">
        <w:rPr>
          <w:rFonts w:ascii="Cambria" w:hAnsi="Cambria" w:cs="Times New Roman"/>
          <w:b/>
          <w:bCs/>
          <w:i/>
          <w:iCs/>
          <w:sz w:val="28"/>
          <w:szCs w:val="28"/>
          <w:rtl/>
        </w:rPr>
        <w:t xml:space="preserve"> </w:t>
      </w:r>
      <w:r w:rsidRPr="00007309">
        <w:rPr>
          <w:rFonts w:ascii="Cambria" w:hAnsi="Cambria" w:cs="Times New Roman" w:hint="cs"/>
          <w:b/>
          <w:bCs/>
          <w:i/>
          <w:iCs/>
          <w:sz w:val="28"/>
          <w:szCs w:val="28"/>
          <w:rtl/>
        </w:rPr>
        <w:t>פט</w:t>
      </w:r>
      <w:r w:rsidRPr="00007309">
        <w:rPr>
          <w:rFonts w:ascii="Cambria" w:hAnsi="Cambria" w:cs="Times New Roman"/>
          <w:b/>
          <w:bCs/>
          <w:i/>
          <w:iCs/>
          <w:sz w:val="28"/>
          <w:szCs w:val="28"/>
          <w:rtl/>
        </w:rPr>
        <w:t xml:space="preserve"> ע"</w:t>
      </w:r>
      <w:r w:rsidRPr="00007309">
        <w:rPr>
          <w:rFonts w:ascii="Cambria" w:hAnsi="Cambria" w:cs="Times New Roman" w:hint="cs"/>
          <w:b/>
          <w:bCs/>
          <w:i/>
          <w:iCs/>
          <w:sz w:val="28"/>
          <w:szCs w:val="28"/>
          <w:rtl/>
        </w:rPr>
        <w:t>ג</w:t>
      </w:r>
      <w:r w:rsidRPr="00007309">
        <w:rPr>
          <w:rFonts w:ascii="Cambria" w:hAnsi="Cambria" w:cs="Times New Roman"/>
          <w:b/>
          <w:bCs/>
          <w:i/>
          <w:iCs/>
          <w:sz w:val="28"/>
          <w:szCs w:val="28"/>
          <w:rtl/>
        </w:rPr>
        <w:t>]</w:t>
      </w:r>
    </w:p>
    <w:p w:rsidR="00007309" w:rsidRPr="00007309" w:rsidRDefault="00007309" w:rsidP="00007309">
      <w:pPr>
        <w:keepNext/>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 xml:space="preserve"> [וילנא מט ע"א]</w:t>
      </w:r>
    </w:p>
    <w:p w:rsidR="00007309" w:rsidRPr="00007309" w:rsidRDefault="00007309" w:rsidP="00007309">
      <w:pPr>
        <w:jc w:val="both"/>
        <w:rPr>
          <w:rFonts w:cs="Arial"/>
          <w:b/>
          <w:bCs/>
          <w:sz w:val="24"/>
          <w:szCs w:val="24"/>
        </w:rPr>
      </w:pPr>
      <w:r w:rsidRPr="00007309">
        <w:rPr>
          <w:rFonts w:cs="Arial"/>
          <w:b/>
          <w:bCs/>
          <w:sz w:val="24"/>
          <w:szCs w:val="24"/>
          <w:rtl/>
        </w:rPr>
        <w:t xml:space="preserve">אַף עַל גַּב דְּקוּדְשָׁא בְּרִיךְ הוּא יְדַע דַּהֲוֵי </w:t>
      </w:r>
      <w:r w:rsidRPr="00007309">
        <w:rPr>
          <w:rFonts w:cs="Arial"/>
          <w:b/>
          <w:bCs/>
          <w:sz w:val="36"/>
          <w:szCs w:val="28"/>
          <w:vertAlign w:val="superscript"/>
          <w:rtl/>
        </w:rPr>
        <w:footnoteReference w:id="8709"/>
      </w:r>
      <w:r w:rsidRPr="00007309">
        <w:rPr>
          <w:rFonts w:cs="Arial"/>
          <w:b/>
          <w:bCs/>
          <w:sz w:val="24"/>
          <w:szCs w:val="24"/>
          <w:rtl/>
        </w:rPr>
        <w:t xml:space="preserve">בֵּן רָשָׁע אוֹ מַמְזֵר קֹדֶם יְצִירָתֵהּ, </w:t>
      </w:r>
      <w:r w:rsidRPr="00007309">
        <w:rPr>
          <w:rFonts w:cs="Arial"/>
          <w:b/>
          <w:bCs/>
          <w:sz w:val="36"/>
          <w:szCs w:val="28"/>
          <w:vertAlign w:val="superscript"/>
          <w:rtl/>
        </w:rPr>
        <w:footnoteReference w:id="8710"/>
      </w:r>
      <w:r w:rsidRPr="00007309">
        <w:rPr>
          <w:rFonts w:cs="Arial"/>
          <w:b/>
          <w:bCs/>
          <w:sz w:val="24"/>
          <w:szCs w:val="24"/>
          <w:rtl/>
        </w:rPr>
        <w:t xml:space="preserve">לֹא מָנֵי קוּדְשָׁא בְּרִיךְ עַל אֲבוֹי לְמֶעֱבַד לֵהּ בָּעֲרָיוֹת אוֹ בְּנִדּוֹת, דְּהָא מָנֵי בֵּהּ בְּאוֹרַיְתָא עַל הַנִּדּוֹת וְעַל הָעֲרָיוֹת. </w:t>
      </w:r>
      <w:r w:rsidRPr="00007309">
        <w:rPr>
          <w:rFonts w:cs="Arial"/>
          <w:b/>
          <w:bCs/>
          <w:sz w:val="36"/>
          <w:szCs w:val="28"/>
          <w:vertAlign w:val="superscript"/>
          <w:rtl/>
        </w:rPr>
        <w:footnoteReference w:id="8711"/>
      </w:r>
      <w:r w:rsidRPr="00007309">
        <w:rPr>
          <w:rFonts w:cs="Arial"/>
          <w:b/>
          <w:bCs/>
          <w:sz w:val="24"/>
          <w:szCs w:val="24"/>
          <w:rtl/>
        </w:rPr>
        <w:t xml:space="preserve">הָדָא הוּא דִּכְתִיב </w:t>
      </w:r>
      <w:r w:rsidRPr="00007309">
        <w:rPr>
          <w:rFonts w:cs="Arial" w:hint="cs"/>
          <w:b/>
          <w:bCs/>
          <w:sz w:val="24"/>
          <w:szCs w:val="24"/>
          <w:rtl/>
        </w:rPr>
        <w:t xml:space="preserve">(ויקרא יח יט) </w:t>
      </w:r>
      <w:r w:rsidRPr="00007309">
        <w:rPr>
          <w:rFonts w:cs="Arial"/>
          <w:b/>
          <w:bCs/>
          <w:sz w:val="24"/>
          <w:szCs w:val="24"/>
          <w:rtl/>
        </w:rPr>
        <w:t>וְאֶל אִשָּׁה בְּנִדַּת טֻמְאָתָהּ לֹא תִּקְרַב</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712"/>
      </w:r>
      <w:r w:rsidRPr="00007309">
        <w:rPr>
          <w:rFonts w:cs="Arial"/>
          <w:b/>
          <w:bCs/>
          <w:sz w:val="24"/>
          <w:szCs w:val="24"/>
          <w:rtl/>
        </w:rPr>
        <w:t xml:space="preserve">וְהַאי אִיהוּ דְּאָמַר נָבִיא מִפִּי עֶלְיוֹן לֹא תֵצֵא הָרָעוֹת וְהַטוֹב </w:t>
      </w:r>
      <w:r w:rsidRPr="00007309">
        <w:rPr>
          <w:rFonts w:cs="Arial" w:hint="cs"/>
          <w:b/>
          <w:bCs/>
          <w:sz w:val="24"/>
          <w:szCs w:val="24"/>
          <w:rtl/>
        </w:rPr>
        <w:t>(</w:t>
      </w:r>
      <w:r w:rsidRPr="00007309">
        <w:rPr>
          <w:rFonts w:cs="Arial"/>
          <w:b/>
          <w:bCs/>
          <w:sz w:val="24"/>
          <w:szCs w:val="24"/>
          <w:rtl/>
        </w:rPr>
        <w:t>מַאי הָרָעוֹת וְהַטוֹב</w:t>
      </w:r>
      <w:r w:rsidRPr="00007309">
        <w:rPr>
          <w:rFonts w:cs="Arial" w:hint="cs"/>
          <w:b/>
          <w:bCs/>
          <w:sz w:val="24"/>
          <w:szCs w:val="24"/>
          <w:rtl/>
        </w:rPr>
        <w:t>)</w:t>
      </w:r>
      <w:r w:rsidRPr="00007309">
        <w:rPr>
          <w:rFonts w:cs="Arial"/>
          <w:b/>
          <w:bCs/>
          <w:sz w:val="24"/>
          <w:szCs w:val="24"/>
          <w:rtl/>
        </w:rPr>
        <w:t xml:space="preserve"> וְהָכֵי קוּדְשָׁא בְּרִיךְ הוּא </w:t>
      </w:r>
      <w:r w:rsidRPr="00007309">
        <w:rPr>
          <w:rFonts w:ascii="Cambria" w:hAnsi="Cambria" w:cs="Times New Roman"/>
          <w:b/>
          <w:bCs/>
          <w:i/>
          <w:iCs/>
          <w:color w:val="4F81BD"/>
          <w:sz w:val="24"/>
          <w:szCs w:val="24"/>
          <w:rtl/>
        </w:rPr>
        <w:t>(</w:t>
      </w:r>
      <w:r w:rsidRPr="00007309">
        <w:rPr>
          <w:rFonts w:ascii="Cambria" w:hAnsi="Cambria" w:cs="Times New Roman" w:hint="cs"/>
          <w:b/>
          <w:bCs/>
          <w:i/>
          <w:iCs/>
          <w:color w:val="4F81BD"/>
          <w:sz w:val="24"/>
          <w:szCs w:val="24"/>
          <w:rtl/>
        </w:rPr>
        <w:t>וילנא מט</w:t>
      </w:r>
      <w:r w:rsidRPr="00007309">
        <w:rPr>
          <w:rFonts w:ascii="Cambria" w:hAnsi="Cambria" w:cs="Times New Roman"/>
          <w:b/>
          <w:bCs/>
          <w:i/>
          <w:iCs/>
          <w:color w:val="4F81BD"/>
          <w:sz w:val="24"/>
          <w:szCs w:val="24"/>
          <w:rtl/>
        </w:rPr>
        <w:t xml:space="preserve"> ע"</w:t>
      </w:r>
      <w:r w:rsidRPr="00007309">
        <w:rPr>
          <w:rFonts w:ascii="Cambria" w:hAnsi="Cambria" w:cs="Times New Roman" w:hint="cs"/>
          <w:b/>
          <w:bCs/>
          <w:i/>
          <w:iCs/>
          <w:color w:val="4F81BD"/>
          <w:sz w:val="24"/>
          <w:szCs w:val="24"/>
          <w:rtl/>
        </w:rPr>
        <w:t>א</w:t>
      </w:r>
      <w:r w:rsidRPr="00007309">
        <w:rPr>
          <w:rFonts w:ascii="Cambria" w:hAnsi="Cambria" w:cs="Times New Roman"/>
          <w:b/>
          <w:bCs/>
          <w:i/>
          <w:iCs/>
          <w:color w:val="4F81BD"/>
          <w:sz w:val="24"/>
          <w:szCs w:val="24"/>
          <w:rtl/>
        </w:rPr>
        <w:t>)</w:t>
      </w:r>
      <w:r w:rsidRPr="00007309">
        <w:rPr>
          <w:rFonts w:cs="Arial"/>
          <w:b/>
          <w:bCs/>
          <w:sz w:val="24"/>
          <w:szCs w:val="24"/>
          <w:rtl/>
        </w:rPr>
        <w:t xml:space="preserve"> לֹא גָּזַר עָלֵהּ דִּיהֵא צַדִּיק וָטוֹב</w:t>
      </w:r>
      <w:r w:rsidRPr="00007309">
        <w:rPr>
          <w:rFonts w:cs="Arial" w:hint="cs"/>
          <w:b/>
          <w:bCs/>
          <w:sz w:val="24"/>
          <w:szCs w:val="24"/>
          <w:rtl/>
        </w:rPr>
        <w:t>,</w:t>
      </w:r>
      <w:r w:rsidRPr="00007309">
        <w:rPr>
          <w:rFonts w:cs="Arial"/>
          <w:b/>
          <w:bCs/>
          <w:sz w:val="24"/>
          <w:szCs w:val="24"/>
          <w:rtl/>
        </w:rPr>
        <w:t xml:space="preserve"> אֶלָּא קֹדֶם יְצִירָתֵהּ הוּא יָדַע מַחֲשָׁבָה דַּאֲבוֹי</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713"/>
      </w:r>
      <w:r w:rsidRPr="00007309">
        <w:rPr>
          <w:rFonts w:cs="Arial"/>
          <w:b/>
          <w:bCs/>
          <w:sz w:val="24"/>
          <w:szCs w:val="24"/>
          <w:rtl/>
        </w:rPr>
        <w:t xml:space="preserve">וְקוּדְשָׁא בְּרִיךְ הוּא מַחֲשָׁבָה טוֹבָה מְצָרְפָהּ לְמַעֲשֶׂה. הַאי אִיהוּ כָּל חַד בִּפְרָט. וּבְגִין דָּא הַכֹּל צָפוּי בְּמַחֲשָׁבָה. דְּקֻדְשָׁא יָדַע מַחֲשַׁבְתֵּהּ בִּישָׁא. וְהָרְשׁוּת נְתוּנָה לֵהּ לָאָדָם בְּמַעֲשֶׂה. </w:t>
      </w:r>
      <w:r w:rsidRPr="00007309">
        <w:rPr>
          <w:rFonts w:cs="Arial"/>
          <w:b/>
          <w:bCs/>
          <w:sz w:val="36"/>
          <w:szCs w:val="28"/>
          <w:vertAlign w:val="superscript"/>
          <w:rtl/>
        </w:rPr>
        <w:footnoteReference w:id="8714"/>
      </w:r>
      <w:r w:rsidRPr="00007309">
        <w:rPr>
          <w:rFonts w:cs="Arial"/>
          <w:b/>
          <w:bCs/>
          <w:sz w:val="24"/>
          <w:szCs w:val="24"/>
          <w:rtl/>
        </w:rPr>
        <w:t>וְאָדָם חָב בְּמַחֲשָׁבָה וּבְעוֹבָדָא, וְגָרַם לְעָלְמָא דְּאִתְדְּבָקוּ בְּאִילָנָא דְּטוֹב וָרָע</w:t>
      </w:r>
      <w:r w:rsidRPr="00007309">
        <w:rPr>
          <w:rFonts w:cs="Arial" w:hint="cs"/>
          <w:b/>
          <w:bCs/>
          <w:sz w:val="24"/>
          <w:szCs w:val="24"/>
          <w:rtl/>
        </w:rPr>
        <w:t>,</w:t>
      </w:r>
      <w:r w:rsidRPr="00007309">
        <w:rPr>
          <w:rFonts w:cs="Arial"/>
          <w:b/>
          <w:bCs/>
          <w:sz w:val="24"/>
          <w:szCs w:val="24"/>
          <w:rtl/>
        </w:rPr>
        <w:t xml:space="preserve"> וְאִיהוּ חָזַר בִּתְיוּבְתָּא </w:t>
      </w:r>
      <w:r w:rsidRPr="00007309">
        <w:rPr>
          <w:rFonts w:cs="Arial"/>
          <w:b/>
          <w:bCs/>
          <w:sz w:val="36"/>
          <w:szCs w:val="28"/>
          <w:vertAlign w:val="superscript"/>
          <w:rtl/>
        </w:rPr>
        <w:footnoteReference w:id="8715"/>
      </w:r>
      <w:r w:rsidRPr="00007309">
        <w:rPr>
          <w:rFonts w:cs="Arial"/>
          <w:b/>
          <w:bCs/>
          <w:sz w:val="24"/>
          <w:szCs w:val="24"/>
          <w:rtl/>
        </w:rPr>
        <w:t xml:space="preserve">וְאִתְדַּבַּק בְּאִילָנָא דְּחַיֵּי. </w:t>
      </w:r>
      <w:r w:rsidRPr="00007309">
        <w:rPr>
          <w:rFonts w:cs="Arial"/>
          <w:b/>
          <w:bCs/>
          <w:sz w:val="36"/>
          <w:szCs w:val="28"/>
          <w:vertAlign w:val="superscript"/>
          <w:rtl/>
        </w:rPr>
        <w:footnoteReference w:id="8716"/>
      </w:r>
      <w:r w:rsidRPr="00007309">
        <w:rPr>
          <w:rFonts w:cs="Arial"/>
          <w:b/>
          <w:bCs/>
          <w:sz w:val="24"/>
          <w:szCs w:val="24"/>
          <w:rtl/>
        </w:rPr>
        <w:t>וּבְגִין דְּכָל דָּרִין בֵּהּ תַּלְיָן, וְאוֹרַיְתָא דִּיהַב לֵהּ, יָהַב לְמֹשֶׁה</w:t>
      </w:r>
      <w:r w:rsidRPr="00007309">
        <w:rPr>
          <w:rFonts w:cs="Arial" w:hint="cs"/>
          <w:b/>
          <w:bCs/>
          <w:sz w:val="24"/>
          <w:szCs w:val="24"/>
          <w:rtl/>
        </w:rPr>
        <w:t>,</w:t>
      </w:r>
      <w:r w:rsidRPr="00007309">
        <w:rPr>
          <w:rFonts w:cs="Arial"/>
          <w:b/>
          <w:bCs/>
          <w:sz w:val="24"/>
          <w:szCs w:val="24"/>
          <w:rtl/>
        </w:rPr>
        <w:t xml:space="preserve"> וְכָל יִשְׂרָאֵל וְכָל (נ"א ובכל) דָּרִין חָזָא בַּהּ קוּדְשָׁא בְּרִיךְ הוּא דּוֹר דּוֹר </w:t>
      </w:r>
      <w:r w:rsidRPr="00007309">
        <w:rPr>
          <w:rFonts w:ascii="Cambria" w:hAnsi="Cambria" w:cs="Times New Roman"/>
          <w:b/>
          <w:bCs/>
          <w:i/>
          <w:iCs/>
          <w:color w:val="4F81BD"/>
          <w:sz w:val="24"/>
          <w:szCs w:val="24"/>
          <w:rtl/>
        </w:rPr>
        <w:t>(פ</w:t>
      </w:r>
      <w:r w:rsidRPr="00007309">
        <w:rPr>
          <w:rFonts w:ascii="Cambria" w:hAnsi="Cambria" w:cs="Times New Roman" w:hint="cs"/>
          <w:b/>
          <w:bCs/>
          <w:i/>
          <w:iCs/>
          <w:color w:val="4F81BD"/>
          <w:sz w:val="24"/>
          <w:szCs w:val="24"/>
          <w:rtl/>
        </w:rPr>
        <w:t>ט</w:t>
      </w:r>
      <w:r w:rsidRPr="00007309">
        <w:rPr>
          <w:rFonts w:ascii="Cambria" w:hAnsi="Cambria" w:cs="Times New Roman"/>
          <w:b/>
          <w:bCs/>
          <w:i/>
          <w:iCs/>
          <w:color w:val="4F81BD"/>
          <w:sz w:val="24"/>
          <w:szCs w:val="24"/>
          <w:rtl/>
        </w:rPr>
        <w:t xml:space="preserve"> ע"</w:t>
      </w:r>
      <w:r w:rsidRPr="00007309">
        <w:rPr>
          <w:rFonts w:ascii="Cambria" w:hAnsi="Cambria" w:cs="Times New Roman" w:hint="cs"/>
          <w:b/>
          <w:bCs/>
          <w:i/>
          <w:iCs/>
          <w:color w:val="4F81BD"/>
          <w:sz w:val="24"/>
          <w:szCs w:val="24"/>
          <w:rtl/>
        </w:rPr>
        <w:t>ג</w:t>
      </w:r>
      <w:r w:rsidRPr="00007309">
        <w:rPr>
          <w:rFonts w:ascii="Cambria" w:hAnsi="Cambria" w:cs="Times New Roman"/>
          <w:b/>
          <w:bCs/>
          <w:i/>
          <w:iCs/>
          <w:color w:val="4F81BD"/>
          <w:sz w:val="24"/>
          <w:szCs w:val="24"/>
          <w:rtl/>
        </w:rPr>
        <w:t>)</w:t>
      </w:r>
      <w:r w:rsidRPr="00007309">
        <w:rPr>
          <w:rFonts w:cs="Arial"/>
          <w:b/>
          <w:bCs/>
          <w:sz w:val="24"/>
          <w:szCs w:val="24"/>
          <w:rtl/>
        </w:rPr>
        <w:t xml:space="preserve"> וּפַרְנָסָיו, דּוֹר דּוֹר וּמַנְהִיגָיו. וּמְנָא לָן דְּקוּדְשָׁא בְּרִיךְ הוּא יָהַב לֵהּ אוֹרַיְתָא, הָדָא הוּא דִּכְתִיב </w:t>
      </w:r>
      <w:r w:rsidRPr="00007309">
        <w:rPr>
          <w:rFonts w:cs="Arial"/>
          <w:sz w:val="36"/>
          <w:szCs w:val="24"/>
          <w:rtl/>
        </w:rPr>
        <w:t>(איוב כח כז)</w:t>
      </w:r>
      <w:r w:rsidRPr="00007309">
        <w:rPr>
          <w:rFonts w:cs="Arial"/>
          <w:b/>
          <w:bCs/>
          <w:sz w:val="24"/>
          <w:szCs w:val="24"/>
          <w:rtl/>
        </w:rPr>
        <w:t xml:space="preserve"> </w:t>
      </w:r>
      <w:r w:rsidRPr="00007309">
        <w:rPr>
          <w:rFonts w:cs="Arial"/>
          <w:b/>
          <w:bCs/>
          <w:sz w:val="36"/>
          <w:szCs w:val="28"/>
          <w:vertAlign w:val="superscript"/>
          <w:rtl/>
        </w:rPr>
        <w:footnoteReference w:id="8717"/>
      </w:r>
      <w:r w:rsidRPr="00007309">
        <w:rPr>
          <w:rFonts w:cs="Arial"/>
          <w:b/>
          <w:bCs/>
          <w:sz w:val="24"/>
          <w:szCs w:val="24"/>
          <w:rtl/>
        </w:rPr>
        <w:t xml:space="preserve">אָז רָאָהּ וַיְסַפְּרָהּ הֱכִינָהּ וְגַם חֲקָרָהּ וַיֹּאמֶר לָאָדָם. אֲפִלּוּ שֵׁדִין וּמַזִּיקִין נָפְקוּ מִנֵּהּ. וְהַאי אִיהוּ </w:t>
      </w:r>
      <w:r w:rsidRPr="00007309">
        <w:rPr>
          <w:rFonts w:cs="Arial"/>
          <w:sz w:val="36"/>
          <w:szCs w:val="24"/>
          <w:rtl/>
        </w:rPr>
        <w:t xml:space="preserve">(שמות כ ה) </w:t>
      </w:r>
      <w:r w:rsidRPr="00007309">
        <w:rPr>
          <w:rFonts w:cs="Arial"/>
          <w:b/>
          <w:bCs/>
          <w:sz w:val="24"/>
          <w:szCs w:val="24"/>
          <w:rtl/>
        </w:rPr>
        <w:t xml:space="preserve">פֹּקֵד עֲוֹן אָבוֹת עַל בָּנִים. </w:t>
      </w:r>
      <w:r w:rsidRPr="00007309">
        <w:rPr>
          <w:rFonts w:cs="Arial"/>
          <w:b/>
          <w:bCs/>
          <w:sz w:val="36"/>
          <w:szCs w:val="28"/>
          <w:vertAlign w:val="superscript"/>
          <w:rtl/>
        </w:rPr>
        <w:footnoteReference w:id="8718"/>
      </w:r>
      <w:r w:rsidRPr="00007309">
        <w:rPr>
          <w:rFonts w:cs="Arial"/>
          <w:b/>
          <w:bCs/>
          <w:sz w:val="24"/>
          <w:szCs w:val="24"/>
          <w:rtl/>
        </w:rPr>
        <w:t xml:space="preserve">אִלֵּין דְּמַעֲשֵׂה אֲבוּהוֹן בִּידֵיהוֹן. וְלֹא יוּמְתוּ אָבוֹת עַל בָּנִים וּבָנִים לֹא יוּמְתוּ עַל אָבוֹת </w:t>
      </w:r>
      <w:r w:rsidRPr="00007309">
        <w:rPr>
          <w:rFonts w:cs="Arial"/>
          <w:sz w:val="36"/>
          <w:szCs w:val="24"/>
          <w:rtl/>
        </w:rPr>
        <w:t>(דברים כד טז)</w:t>
      </w:r>
      <w:r w:rsidRPr="00007309">
        <w:rPr>
          <w:rFonts w:cs="Arial"/>
          <w:b/>
          <w:bCs/>
          <w:sz w:val="24"/>
          <w:szCs w:val="24"/>
          <w:rtl/>
        </w:rPr>
        <w:t xml:space="preserve">, אִלֵּין דְּעוֹבָדָא דַּאֲבוּהוֹן לָאו בִּידֵיהוֹן. </w:t>
      </w:r>
      <w:r w:rsidRPr="00007309">
        <w:rPr>
          <w:rFonts w:cs="Arial"/>
          <w:b/>
          <w:bCs/>
          <w:sz w:val="36"/>
          <w:szCs w:val="28"/>
          <w:vertAlign w:val="superscript"/>
          <w:rtl/>
        </w:rPr>
        <w:footnoteReference w:id="8719"/>
      </w:r>
      <w:r w:rsidRPr="00007309">
        <w:rPr>
          <w:rFonts w:cs="Arial"/>
          <w:b/>
          <w:bCs/>
          <w:sz w:val="24"/>
          <w:szCs w:val="24"/>
          <w:rtl/>
        </w:rPr>
        <w:t xml:space="preserve">וְלֹא עוֹד אֶלָּא קוּדְשָׁא בְּרִיךְ הוּא לֹא אָמַר דְּאַחֲזֵי לֵהּ לָאָדָם, וְלֹא לְאַבְרָהָם, וְלֹא לְשׁוּם נָבִיא, אֶלָּא דּוֹר דּוֹר וְדוֹרְשָׁיו וְכוּ', וְלֹא אָמַר דְּאַחֲזֵי לֵהּ צַדִּיקִים אוֹ רְשָׁעִים אוֹ בֵּינוֹנִיִּים, וְלָאו דְּגָזַר עָלַיְהוּ לְמֶהֱוֵי צַדִּיקִים אוֹ בֵּינוֹנִיִּים אוֹ רְשָׁעִים. א"ל רִבִּי יוֹסֵי </w:t>
      </w:r>
      <w:r w:rsidRPr="00007309">
        <w:rPr>
          <w:rFonts w:cs="Arial"/>
          <w:b/>
          <w:bCs/>
          <w:sz w:val="36"/>
          <w:szCs w:val="28"/>
          <w:vertAlign w:val="superscript"/>
          <w:rtl/>
        </w:rPr>
        <w:footnoteReference w:id="8720"/>
      </w:r>
      <w:r w:rsidRPr="00007309">
        <w:rPr>
          <w:rFonts w:cs="Arial"/>
          <w:b/>
          <w:bCs/>
          <w:sz w:val="24"/>
          <w:szCs w:val="24"/>
          <w:rtl/>
        </w:rPr>
        <w:t xml:space="preserve">בָּתַר דְּאַחֲזֵי לֵהּ דָּרָא דָּרָא וּפַרְנָסָיו, דָּרָא דָּרָא וּמַנְהִיגָיו וַדַּאי אִשְׁתְּמוֹדַע בְּהוֹן אִי אִנּוּן צַדִּיקִים אוֹ רְשָׁעִים אוֹ בֵּינוֹנִיִּים. א"ל הָכֵי אִיהוּ וַדַּאי, אֲבָל רָזָא דְּמִלָּה עָמֹק </w:t>
      </w:r>
      <w:r w:rsidRPr="00007309">
        <w:rPr>
          <w:rFonts w:cs="Arial"/>
          <w:sz w:val="36"/>
          <w:szCs w:val="24"/>
          <w:rtl/>
        </w:rPr>
        <w:t xml:space="preserve">(דברים כט כח) </w:t>
      </w:r>
      <w:r w:rsidRPr="00007309">
        <w:rPr>
          <w:rFonts w:cs="Arial"/>
          <w:b/>
          <w:bCs/>
          <w:sz w:val="36"/>
          <w:szCs w:val="28"/>
          <w:vertAlign w:val="superscript"/>
          <w:rtl/>
        </w:rPr>
        <w:footnoteReference w:id="8721"/>
      </w:r>
      <w:r w:rsidRPr="00007309">
        <w:rPr>
          <w:rFonts w:cs="Arial"/>
          <w:b/>
          <w:bCs/>
          <w:sz w:val="24"/>
          <w:szCs w:val="24"/>
          <w:rtl/>
        </w:rPr>
        <w:t>הַנִּסְתָּרוֹת לַה' אֱלֹהֵינוּ</w:t>
      </w:r>
      <w:r w:rsidRPr="00007309">
        <w:rPr>
          <w:rFonts w:cs="Arial"/>
          <w:b/>
          <w:bCs/>
          <w:sz w:val="24"/>
          <w:szCs w:val="24"/>
        </w:rPr>
        <w:t>:</w:t>
      </w:r>
    </w:p>
    <w:p w:rsidR="00007309" w:rsidRPr="00007309" w:rsidRDefault="00007309" w:rsidP="00007309">
      <w:pPr>
        <w:jc w:val="both"/>
        <w:rPr>
          <w:rFonts w:cs="Arial"/>
          <w:b/>
          <w:bCs/>
          <w:sz w:val="24"/>
          <w:szCs w:val="24"/>
          <w:rtl/>
        </w:rPr>
      </w:pPr>
      <w:r w:rsidRPr="00007309">
        <w:rPr>
          <w:rFonts w:cs="Arial"/>
          <w:b/>
          <w:bCs/>
          <w:sz w:val="24"/>
          <w:szCs w:val="24"/>
          <w:rtl/>
        </w:rPr>
        <w:t xml:space="preserve">אַדְּהָכִי הַהוּא </w:t>
      </w:r>
      <w:r w:rsidRPr="00007309">
        <w:rPr>
          <w:rFonts w:cs="Arial"/>
          <w:b/>
          <w:bCs/>
          <w:sz w:val="36"/>
          <w:szCs w:val="28"/>
          <w:vertAlign w:val="superscript"/>
          <w:rtl/>
        </w:rPr>
        <w:footnoteReference w:id="8722"/>
      </w:r>
      <w:r w:rsidRPr="00007309">
        <w:rPr>
          <w:rFonts w:cs="Arial"/>
          <w:b/>
          <w:bCs/>
          <w:sz w:val="24"/>
          <w:szCs w:val="24"/>
          <w:rtl/>
        </w:rPr>
        <w:t>סָבָא עִלָּאָה אִזְדְּמַן לְגַבַּיְהוּ וְאָמַר לוֹן, בְּמַאי עֲסִיקְתּוּ</w:t>
      </w:r>
      <w:r w:rsidRPr="00007309">
        <w:rPr>
          <w:rFonts w:cs="Arial" w:hint="cs"/>
          <w:b/>
          <w:bCs/>
          <w:sz w:val="24"/>
          <w:szCs w:val="24"/>
          <w:rtl/>
        </w:rPr>
        <w:t>,</w:t>
      </w:r>
      <w:r w:rsidRPr="00007309">
        <w:rPr>
          <w:rFonts w:cs="Arial"/>
          <w:b/>
          <w:bCs/>
          <w:sz w:val="24"/>
          <w:szCs w:val="24"/>
          <w:rtl/>
        </w:rPr>
        <w:t xml:space="preserve"> סָחוּ לֵהּ עוֹבָדָא. אָמַר לוֹן וַדַּאי אוֹרַיְתָא אִתְבְּרִיאַת </w:t>
      </w:r>
      <w:r w:rsidRPr="00007309">
        <w:rPr>
          <w:rFonts w:cs="Arial"/>
          <w:b/>
          <w:bCs/>
          <w:sz w:val="36"/>
          <w:szCs w:val="28"/>
          <w:vertAlign w:val="superscript"/>
          <w:rtl/>
        </w:rPr>
        <w:footnoteReference w:id="8723"/>
      </w:r>
      <w:r w:rsidRPr="00007309">
        <w:rPr>
          <w:rFonts w:cs="Arial"/>
          <w:b/>
          <w:bCs/>
          <w:sz w:val="24"/>
          <w:szCs w:val="24"/>
          <w:rtl/>
        </w:rPr>
        <w:t xml:space="preserve">תְּרֵי אַלְפֵי שְׁנִין קֹדֶם דְּאִתְבְּרֵי עָלְמָא, וּבָהּ אַחֲזֵי לְאָדָם הָרִאשׁוֹן דּוֹר דּוֹר וְדוֹרְשָׁיו וְכוּ', וּבָהּ אַחֲזֵי לְאַבְרָהָם אוּף הָכֵי </w:t>
      </w:r>
      <w:r w:rsidRPr="00007309">
        <w:rPr>
          <w:rFonts w:cs="Arial"/>
          <w:b/>
          <w:bCs/>
          <w:sz w:val="36"/>
          <w:szCs w:val="28"/>
          <w:vertAlign w:val="superscript"/>
          <w:rtl/>
        </w:rPr>
        <w:footnoteReference w:id="8724"/>
      </w:r>
      <w:r w:rsidRPr="00007309">
        <w:rPr>
          <w:rFonts w:cs="Arial"/>
          <w:b/>
          <w:bCs/>
          <w:sz w:val="24"/>
          <w:szCs w:val="24"/>
          <w:rtl/>
        </w:rPr>
        <w:t xml:space="preserve">מַאי דִּכְתִיב בַּהּ. </w:t>
      </w:r>
      <w:r w:rsidRPr="00007309">
        <w:rPr>
          <w:rFonts w:cs="Arial"/>
          <w:b/>
          <w:bCs/>
          <w:sz w:val="36"/>
          <w:szCs w:val="28"/>
          <w:vertAlign w:val="superscript"/>
          <w:rtl/>
        </w:rPr>
        <w:footnoteReference w:id="8725"/>
      </w:r>
      <w:r w:rsidRPr="00007309">
        <w:rPr>
          <w:rFonts w:cs="Arial"/>
          <w:b/>
          <w:bCs/>
          <w:sz w:val="24"/>
          <w:szCs w:val="24"/>
          <w:rtl/>
        </w:rPr>
        <w:t xml:space="preserve">וּבְגִין דָּא </w:t>
      </w:r>
      <w:r w:rsidRPr="00007309">
        <w:rPr>
          <w:rFonts w:cs="Arial" w:hint="cs"/>
          <w:b/>
          <w:bCs/>
          <w:sz w:val="24"/>
          <w:szCs w:val="24"/>
          <w:rtl/>
        </w:rPr>
        <w:t xml:space="preserve">(בראשית כו ה) </w:t>
      </w:r>
      <w:r w:rsidRPr="00007309">
        <w:rPr>
          <w:rFonts w:cs="Arial"/>
          <w:b/>
          <w:bCs/>
          <w:sz w:val="24"/>
          <w:szCs w:val="24"/>
          <w:rtl/>
        </w:rPr>
        <w:t xml:space="preserve">וְיִשְׁמֹר מִשְׁמַרְתִּי מִצְוֹתַי חֻקּוֹתַי וְתוֹרֹתַי. </w:t>
      </w:r>
      <w:r w:rsidRPr="00007309">
        <w:rPr>
          <w:rFonts w:cs="Arial"/>
          <w:b/>
          <w:bCs/>
          <w:sz w:val="36"/>
          <w:szCs w:val="28"/>
          <w:vertAlign w:val="superscript"/>
          <w:rtl/>
        </w:rPr>
        <w:footnoteReference w:id="8726"/>
      </w:r>
      <w:r w:rsidRPr="00007309">
        <w:rPr>
          <w:rFonts w:cs="Arial"/>
          <w:b/>
          <w:bCs/>
          <w:sz w:val="24"/>
          <w:szCs w:val="24"/>
          <w:rtl/>
        </w:rPr>
        <w:t xml:space="preserve">וּבָהּ נִמְלַךְ קוּדְשָׁא בְּרִיךְ הוּא וּבָרָא עָלְמָא. וְנִשְׁמָתְהוֹן דְּצַדִּיקַיָּא אוּף הָכֵי נִמְלַךְ בְּהוֹן קוּדְשָׁא בְּרִיךְ הוּא וּבָרָא עָלְמָא. הָדָא הוּא דִּכְתִיב בְּרֵאשִׁית, וְאֵין רֵאשִׁית אֶלָּא תּוֹרָה. </w:t>
      </w:r>
      <w:r w:rsidRPr="00007309">
        <w:rPr>
          <w:rFonts w:cs="Arial"/>
          <w:b/>
          <w:bCs/>
          <w:sz w:val="36"/>
          <w:szCs w:val="28"/>
          <w:vertAlign w:val="superscript"/>
          <w:rtl/>
        </w:rPr>
        <w:footnoteReference w:id="8727"/>
      </w:r>
      <w:r w:rsidRPr="00007309">
        <w:rPr>
          <w:rFonts w:cs="Arial"/>
          <w:b/>
          <w:bCs/>
          <w:sz w:val="24"/>
          <w:szCs w:val="24"/>
          <w:rtl/>
        </w:rPr>
        <w:t xml:space="preserve">וְאֵין רֵאשִׁית אֶלָּא נְשָׁמָה. </w:t>
      </w:r>
      <w:r w:rsidRPr="00007309">
        <w:rPr>
          <w:rFonts w:cs="Arial"/>
          <w:b/>
          <w:bCs/>
          <w:sz w:val="36"/>
          <w:szCs w:val="28"/>
          <w:vertAlign w:val="superscript"/>
          <w:rtl/>
        </w:rPr>
        <w:footnoteReference w:id="8728"/>
      </w:r>
      <w:r w:rsidRPr="00007309">
        <w:rPr>
          <w:rFonts w:cs="Arial"/>
          <w:b/>
          <w:bCs/>
          <w:sz w:val="24"/>
          <w:szCs w:val="24"/>
          <w:rtl/>
        </w:rPr>
        <w:t xml:space="preserve">וְאוֹרַיְתָא טְפֵלָה לַנְּשָׁמָה, בְּגִין דְּשַׁבָּת שָׁקוּל כְּנֶגֶד כָּל הַתּוֹרָה כֻּלָּהּ, </w:t>
      </w:r>
      <w:r w:rsidRPr="00007309">
        <w:rPr>
          <w:rFonts w:cs="Arial"/>
          <w:b/>
          <w:bCs/>
          <w:sz w:val="36"/>
          <w:szCs w:val="28"/>
          <w:vertAlign w:val="superscript"/>
          <w:rtl/>
        </w:rPr>
        <w:footnoteReference w:id="8729"/>
      </w:r>
      <w:r w:rsidRPr="00007309">
        <w:rPr>
          <w:rFonts w:cs="Arial"/>
          <w:b/>
          <w:bCs/>
          <w:sz w:val="24"/>
          <w:szCs w:val="24"/>
          <w:rtl/>
        </w:rPr>
        <w:t xml:space="preserve">וּמְחַלְּלִין לֵהּ בְּגִין נִשְׁמְתָא דְּבַר נָשׁ דְּלָא תִּפּוֹק מִנֵּהּ קָדָם זְמָנֵהּ. </w:t>
      </w:r>
      <w:r w:rsidRPr="00007309">
        <w:rPr>
          <w:rFonts w:cs="Arial"/>
          <w:b/>
          <w:bCs/>
          <w:sz w:val="36"/>
          <w:szCs w:val="28"/>
          <w:vertAlign w:val="superscript"/>
          <w:rtl/>
        </w:rPr>
        <w:footnoteReference w:id="8730"/>
      </w:r>
      <w:r w:rsidRPr="00007309">
        <w:rPr>
          <w:rFonts w:cs="Arial"/>
          <w:b/>
          <w:bCs/>
          <w:sz w:val="24"/>
          <w:szCs w:val="24"/>
          <w:rtl/>
        </w:rPr>
        <w:t xml:space="preserve">וְאִיהִי נִשְׁמְתָא </w:t>
      </w:r>
      <w:r w:rsidRPr="00007309">
        <w:rPr>
          <w:rFonts w:cs="Arial"/>
          <w:sz w:val="36"/>
          <w:szCs w:val="28"/>
          <w:rtl/>
        </w:rPr>
        <w:t>(דָּא נְבוּאִית)</w:t>
      </w:r>
      <w:r w:rsidRPr="00007309">
        <w:rPr>
          <w:rFonts w:cs="Arial"/>
          <w:b/>
          <w:bCs/>
          <w:sz w:val="24"/>
          <w:szCs w:val="24"/>
          <w:rtl/>
        </w:rPr>
        <w:t xml:space="preserve"> דְּאַצִילוּת בָּהּ נִבְרָא עָלְמָא, וְקוּדְשָׁא בְּרִיךְ הוּא שָׁלַח לַהּ בְּכָל דָּרָא וְדָרָא לְאַגָּנָא עֲלוֹי</w:t>
      </w:r>
      <w:r w:rsidRPr="00007309">
        <w:rPr>
          <w:rFonts w:cs="Arial" w:hint="cs"/>
          <w:b/>
          <w:bCs/>
          <w:sz w:val="24"/>
          <w:szCs w:val="24"/>
          <w:rtl/>
        </w:rPr>
        <w:t>,</w:t>
      </w:r>
      <w:r w:rsidRPr="00007309">
        <w:rPr>
          <w:rFonts w:cs="Arial"/>
          <w:b/>
          <w:bCs/>
          <w:sz w:val="24"/>
          <w:szCs w:val="24"/>
          <w:rtl/>
        </w:rPr>
        <w:t xml:space="preserve"> וּלְמִסְבַּל עֹל דִּילְהוֹן, </w:t>
      </w:r>
      <w:r w:rsidRPr="00007309">
        <w:rPr>
          <w:rFonts w:cs="Arial"/>
          <w:b/>
          <w:bCs/>
          <w:sz w:val="36"/>
          <w:szCs w:val="28"/>
          <w:vertAlign w:val="superscript"/>
          <w:rtl/>
        </w:rPr>
        <w:footnoteReference w:id="8731"/>
      </w:r>
      <w:r w:rsidRPr="00007309">
        <w:rPr>
          <w:rFonts w:cs="Arial"/>
          <w:b/>
          <w:bCs/>
          <w:sz w:val="24"/>
          <w:szCs w:val="24"/>
          <w:rtl/>
        </w:rPr>
        <w:t xml:space="preserve">בְּגִין דְּאִיהִי מֵאִילָנָא דְּחַיֵּי, דְּלָא תַּלְיָא מִנֵּהּ זְכוּת וְחוֹבָה, לָא אַגְרָא וְלָא עוֹנְשָׁא, דְּאִנּוּן עֵץ הַדַּעַת טוֹב וָרָע. </w:t>
      </w:r>
      <w:r w:rsidRPr="00007309">
        <w:rPr>
          <w:rFonts w:cs="Arial"/>
          <w:b/>
          <w:bCs/>
          <w:sz w:val="36"/>
          <w:szCs w:val="28"/>
          <w:vertAlign w:val="superscript"/>
          <w:rtl/>
        </w:rPr>
        <w:footnoteReference w:id="8732"/>
      </w:r>
      <w:r w:rsidRPr="00007309">
        <w:rPr>
          <w:rFonts w:cs="Arial"/>
          <w:b/>
          <w:bCs/>
          <w:sz w:val="24"/>
          <w:szCs w:val="24"/>
          <w:rtl/>
        </w:rPr>
        <w:t>וְכָל דּוֹר</w:t>
      </w:r>
      <w:r w:rsidRPr="00007309">
        <w:rPr>
          <w:rFonts w:cs="Arial"/>
          <w:b/>
          <w:bCs/>
          <w:sz w:val="24"/>
          <w:szCs w:val="24"/>
        </w:rPr>
        <w:t xml:space="preserve"> </w:t>
      </w:r>
      <w:r w:rsidRPr="00007309">
        <w:rPr>
          <w:rFonts w:cs="Arial"/>
          <w:b/>
          <w:bCs/>
          <w:sz w:val="24"/>
          <w:szCs w:val="24"/>
          <w:rtl/>
        </w:rPr>
        <w:t>לֵית הֲוָא פָּחוֹת מִשִּׁשִּׁים רִבּוֹא שֻׁלְטָנוּתָא דְּהַהִיא נִשְׁמְתָא. וְאַחֲזֵי לְאָדָם</w:t>
      </w:r>
      <w:r w:rsidRPr="00007309">
        <w:rPr>
          <w:rFonts w:cs="Arial" w:hint="cs"/>
          <w:b/>
          <w:bCs/>
          <w:sz w:val="24"/>
          <w:szCs w:val="24"/>
          <w:rtl/>
        </w:rPr>
        <w:t>,</w:t>
      </w:r>
      <w:r w:rsidRPr="00007309">
        <w:rPr>
          <w:rFonts w:cs="Arial"/>
          <w:b/>
          <w:bCs/>
          <w:sz w:val="24"/>
          <w:szCs w:val="24"/>
          <w:rtl/>
        </w:rPr>
        <w:t xml:space="preserve"> אִם דָּרָא יְהֵא זַכָּאָה, </w:t>
      </w:r>
      <w:r w:rsidRPr="00007309">
        <w:rPr>
          <w:rFonts w:cs="Arial"/>
          <w:b/>
          <w:bCs/>
          <w:sz w:val="36"/>
          <w:szCs w:val="28"/>
          <w:vertAlign w:val="superscript"/>
          <w:rtl/>
        </w:rPr>
        <w:footnoteReference w:id="8733"/>
      </w:r>
      <w:r w:rsidRPr="00007309">
        <w:rPr>
          <w:rFonts w:cs="Arial"/>
          <w:b/>
          <w:bCs/>
          <w:sz w:val="24"/>
          <w:szCs w:val="24"/>
          <w:rtl/>
        </w:rPr>
        <w:t>בַּר נָשׁ יְקוּם לְמֵי</w:t>
      </w:r>
      <w:r w:rsidRPr="00007309">
        <w:rPr>
          <w:rFonts w:cs="Arial" w:hint="cs"/>
          <w:b/>
          <w:bCs/>
          <w:sz w:val="24"/>
          <w:szCs w:val="24"/>
          <w:rtl/>
        </w:rPr>
        <w:t>ר</w:t>
      </w:r>
      <w:r w:rsidRPr="00007309">
        <w:rPr>
          <w:rFonts w:cs="Arial"/>
          <w:b/>
          <w:bCs/>
          <w:sz w:val="24"/>
          <w:szCs w:val="24"/>
          <w:rtl/>
        </w:rPr>
        <w:t xml:space="preserve">ַת נִשְׁמְתָא </w:t>
      </w:r>
      <w:r w:rsidRPr="00007309">
        <w:rPr>
          <w:rFonts w:cs="Arial"/>
          <w:b/>
          <w:bCs/>
          <w:sz w:val="36"/>
          <w:szCs w:val="28"/>
          <w:vertAlign w:val="superscript"/>
          <w:rtl/>
        </w:rPr>
        <w:footnoteReference w:id="8734"/>
      </w:r>
      <w:r w:rsidRPr="00007309">
        <w:rPr>
          <w:rFonts w:cs="Arial"/>
          <w:b/>
          <w:bCs/>
          <w:sz w:val="24"/>
          <w:szCs w:val="24"/>
          <w:rtl/>
        </w:rPr>
        <w:t xml:space="preserve">מִסִּטְרָא דְּחֶסֶד, וִיהוֹן זַכָּאִין מִסִּטְרָא דְּחֶסֶד, וּמַטֶה לוֹן כְּלַפֵּי חֶסֶד, וְדָרָא דָּא יְהוֹן מָארֵי חִנָּא וְחִסְדָּא. וְאִי לָא מִתְנַהֲגִין </w:t>
      </w:r>
      <w:r w:rsidRPr="00007309">
        <w:rPr>
          <w:rFonts w:cs="Arial"/>
          <w:b/>
          <w:bCs/>
          <w:sz w:val="36"/>
          <w:szCs w:val="28"/>
          <w:vertAlign w:val="superscript"/>
          <w:rtl/>
        </w:rPr>
        <w:footnoteReference w:id="8735"/>
      </w:r>
      <w:r w:rsidRPr="00007309">
        <w:rPr>
          <w:rFonts w:cs="Arial"/>
          <w:b/>
          <w:bCs/>
          <w:sz w:val="24"/>
          <w:szCs w:val="24"/>
          <w:rtl/>
        </w:rPr>
        <w:t>בְּדַרְגָּא דִּילְהוֹן</w:t>
      </w:r>
      <w:r w:rsidRPr="00007309">
        <w:rPr>
          <w:rFonts w:cs="Arial" w:hint="cs"/>
          <w:b/>
          <w:bCs/>
          <w:sz w:val="24"/>
          <w:szCs w:val="24"/>
          <w:rtl/>
        </w:rPr>
        <w:t>,</w:t>
      </w:r>
      <w:r w:rsidRPr="00007309">
        <w:rPr>
          <w:rFonts w:cs="Arial"/>
          <w:b/>
          <w:bCs/>
          <w:sz w:val="24"/>
          <w:szCs w:val="24"/>
          <w:rtl/>
        </w:rPr>
        <w:t xml:space="preserve"> דְּאִיהוּ מְמָנָא עַל דָּרָא וּפַרְנָסִין דִּילֵהּ</w:t>
      </w:r>
      <w:r w:rsidRPr="00007309">
        <w:rPr>
          <w:rFonts w:cs="Arial" w:hint="cs"/>
          <w:b/>
          <w:bCs/>
          <w:sz w:val="24"/>
          <w:szCs w:val="24"/>
          <w:rtl/>
        </w:rPr>
        <w:t>,</w:t>
      </w:r>
      <w:r w:rsidRPr="00007309">
        <w:rPr>
          <w:rFonts w:cs="Arial"/>
          <w:b/>
          <w:bCs/>
          <w:sz w:val="24"/>
          <w:szCs w:val="24"/>
          <w:rtl/>
        </w:rPr>
        <w:t xml:space="preserve"> דִּיהוֹן חֲסִידִין, קוּדְשָׁא בְּרִיךְ הוּא אַעֲבַר מִנְּהוֹן חֶסֶד, וְשַׁלִּיט עָלַיְהוּ גְּבוּרָה מִדַּת הַדִּין, לְמֵידַן לְהוּ כְּפוּם עוֹבָדַיְהוּ, </w:t>
      </w:r>
      <w:r w:rsidRPr="00007309">
        <w:rPr>
          <w:rFonts w:cs="Arial"/>
          <w:b/>
          <w:bCs/>
          <w:sz w:val="36"/>
          <w:szCs w:val="28"/>
          <w:vertAlign w:val="superscript"/>
          <w:rtl/>
        </w:rPr>
        <w:footnoteReference w:id="8736"/>
      </w:r>
      <w:r w:rsidRPr="00007309">
        <w:rPr>
          <w:rFonts w:cs="Arial"/>
          <w:b/>
          <w:bCs/>
          <w:sz w:val="24"/>
          <w:szCs w:val="24"/>
          <w:rtl/>
        </w:rPr>
        <w:t xml:space="preserve">וּכְּפוּם דַּרְגָּא וּמוֹלָדָא וּמַזָּלָא דִּילְהוֹן. </w:t>
      </w:r>
      <w:r w:rsidRPr="00007309">
        <w:rPr>
          <w:rFonts w:cs="Arial"/>
          <w:b/>
          <w:bCs/>
          <w:sz w:val="36"/>
          <w:szCs w:val="28"/>
          <w:vertAlign w:val="superscript"/>
          <w:rtl/>
        </w:rPr>
        <w:footnoteReference w:id="8737"/>
      </w:r>
      <w:r w:rsidRPr="00007309">
        <w:rPr>
          <w:rFonts w:cs="Arial"/>
          <w:b/>
          <w:bCs/>
          <w:sz w:val="24"/>
          <w:szCs w:val="24"/>
          <w:rtl/>
        </w:rPr>
        <w:t xml:space="preserve">וְרָזָא דְּמִלָּה דָּא קָא רְמִיזָא לָן בְּהַגָּדוֹת וּדְרָשׁוֹת, דְּאוֹקְמוּהּ </w:t>
      </w:r>
      <w:r w:rsidRPr="00007309">
        <w:rPr>
          <w:rFonts w:cs="Arial"/>
          <w:sz w:val="36"/>
          <w:szCs w:val="24"/>
          <w:rtl/>
        </w:rPr>
        <w:t xml:space="preserve">(ישעיהו לב כ) </w:t>
      </w:r>
      <w:r w:rsidRPr="00007309">
        <w:rPr>
          <w:rFonts w:cs="Arial"/>
          <w:b/>
          <w:bCs/>
          <w:sz w:val="24"/>
          <w:szCs w:val="24"/>
          <w:rtl/>
        </w:rPr>
        <w:t xml:space="preserve">מְשַׁלְּחֵי רֶגֶל הַשּׁוֹר וְהַחֲמוֹר, אִלֵּין תְּרֵין מְשִׁיחִין דַּעֲתִידִין לְמַיְתֵי </w:t>
      </w:r>
      <w:r w:rsidRPr="00007309">
        <w:rPr>
          <w:rFonts w:cs="Arial"/>
          <w:b/>
          <w:bCs/>
          <w:sz w:val="36"/>
          <w:szCs w:val="28"/>
          <w:vertAlign w:val="superscript"/>
          <w:rtl/>
        </w:rPr>
        <w:footnoteReference w:id="8738"/>
      </w:r>
      <w:r w:rsidRPr="00007309">
        <w:rPr>
          <w:rFonts w:cs="Arial"/>
          <w:b/>
          <w:bCs/>
          <w:sz w:val="24"/>
          <w:szCs w:val="24"/>
          <w:rtl/>
        </w:rPr>
        <w:t xml:space="preserve">בְּהַנֵּי דָּרֵי. אִם דָּרָא אִיהוּ חַיָּבָא אִתְקְיַם בְּהוֹן מְשַׁלְּחֵי רֶגֶל הַשּׁוֹר וְהַחֲמוֹר. </w:t>
      </w:r>
    </w:p>
    <w:p w:rsidR="00007309" w:rsidRPr="00007309" w:rsidRDefault="00007309" w:rsidP="00007309">
      <w:pPr>
        <w:keepNext/>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[וילנא מט ע"ב]</w:t>
      </w:r>
    </w:p>
    <w:p w:rsidR="00007309" w:rsidRPr="00007309" w:rsidRDefault="00007309" w:rsidP="00007309">
      <w:pPr>
        <w:jc w:val="both"/>
        <w:rPr>
          <w:rFonts w:cs="Arial"/>
          <w:b/>
          <w:bCs/>
          <w:sz w:val="24"/>
          <w:szCs w:val="24"/>
          <w:rtl/>
        </w:rPr>
      </w:pPr>
      <w:r w:rsidRPr="00007309">
        <w:rPr>
          <w:rFonts w:cs="Arial"/>
          <w:b/>
          <w:bCs/>
          <w:sz w:val="24"/>
          <w:szCs w:val="24"/>
          <w:rtl/>
        </w:rPr>
        <w:t xml:space="preserve">וְעוֹד אוֹלִיפְנָא בְּרָזָא דָּא מִלָּה אָחֳרָא לְסַמְכָא לְגַבֵּהּ </w:t>
      </w:r>
      <w:r w:rsidRPr="00007309">
        <w:rPr>
          <w:rFonts w:cs="Arial" w:hint="cs"/>
          <w:b/>
          <w:bCs/>
          <w:sz w:val="24"/>
          <w:szCs w:val="24"/>
          <w:rtl/>
        </w:rPr>
        <w:t xml:space="preserve">(בראשית ו ג) </w:t>
      </w:r>
      <w:r w:rsidRPr="00007309">
        <w:rPr>
          <w:rFonts w:cs="Arial"/>
          <w:b/>
          <w:bCs/>
          <w:sz w:val="24"/>
          <w:szCs w:val="24"/>
          <w:rtl/>
        </w:rPr>
        <w:t xml:space="preserve">בְּשַׁגַּם הוּא בָּשָׂר. וְאוֹקִימְנָא בְּשַׁגַּם </w:t>
      </w:r>
      <w:r w:rsidRPr="00007309">
        <w:rPr>
          <w:rFonts w:cs="Arial"/>
          <w:b/>
          <w:bCs/>
          <w:sz w:val="36"/>
          <w:szCs w:val="28"/>
          <w:vertAlign w:val="superscript"/>
          <w:rtl/>
        </w:rPr>
        <w:footnoteReference w:id="8739"/>
      </w:r>
      <w:r w:rsidRPr="00007309">
        <w:rPr>
          <w:rFonts w:cs="Arial"/>
          <w:b/>
          <w:bCs/>
          <w:sz w:val="24"/>
          <w:szCs w:val="24"/>
          <w:rtl/>
        </w:rPr>
        <w:t>זֶה מֹשֶׁה, דְּעָתִיד הוּא לְמֵיהַב אוֹרַיְתָא בְּדוֹר הַמַּבּוּל אֶלָּא דַּהֲווֹ רַשִּׁיעַיָּא, וְקוּדְשָׁא בְּרִיךְ הוּא גָּנִיז לֵהּ לְצַדִּיקַיָּא. אוּף הָכֵי מִזְדַּמְּנָא הָיְתָה בַּת שֶׁבַע לְדָוִד מִשֵּׁשֶׁת יְמֵי בְּרֵאשִׁית, אֶלָּא שֶׁאָכָלָה פָּגָה</w:t>
      </w:r>
      <w:r w:rsidRPr="00007309">
        <w:rPr>
          <w:rFonts w:cs="Arial" w:hint="cs"/>
          <w:b/>
          <w:bCs/>
          <w:sz w:val="24"/>
          <w:szCs w:val="24"/>
          <w:rtl/>
        </w:rPr>
        <w:t>.</w:t>
      </w:r>
      <w:r w:rsidRPr="00007309">
        <w:rPr>
          <w:rFonts w:cs="Arial"/>
          <w:b/>
          <w:bCs/>
          <w:sz w:val="24"/>
          <w:szCs w:val="24"/>
          <w:rtl/>
        </w:rPr>
        <w:t xml:space="preserve"> וְאוֹלִיפְנָא</w:t>
      </w:r>
      <w:r w:rsidRPr="00007309">
        <w:rPr>
          <w:rFonts w:cs="Arial" w:hint="cs"/>
          <w:b/>
          <w:bCs/>
          <w:sz w:val="24"/>
          <w:szCs w:val="24"/>
          <w:rtl/>
        </w:rPr>
        <w:t xml:space="preserve"> </w:t>
      </w:r>
      <w:r w:rsidRPr="00007309">
        <w:rPr>
          <w:rFonts w:cs="Arial"/>
          <w:b/>
          <w:bCs/>
          <w:sz w:val="24"/>
          <w:szCs w:val="24"/>
          <w:rtl/>
        </w:rPr>
        <w:t>דְּחוֹבִין דְּבַר נָשׁ, גַּרְמִין דְּלָא יִזְכֵּי לְטוֹבָה דְּמִזְדַּמְּנָא עָלֵהּ לְמֶהֱוֵי מִשֵּׁשֶׁת יְמֵי בְּרֵאשִׁית. אוּף הָכֵי דָּרָא טָבָא מַ</w:t>
      </w:r>
      <w:r w:rsidRPr="00007309">
        <w:rPr>
          <w:rFonts w:cs="Arial" w:hint="cs"/>
          <w:b/>
          <w:bCs/>
          <w:sz w:val="24"/>
          <w:szCs w:val="24"/>
          <w:rtl/>
        </w:rPr>
        <w:t>נ</w:t>
      </w:r>
      <w:r w:rsidRPr="00007309">
        <w:rPr>
          <w:rFonts w:cs="Arial"/>
          <w:b/>
          <w:bCs/>
          <w:sz w:val="24"/>
          <w:szCs w:val="24"/>
          <w:rtl/>
        </w:rPr>
        <w:t>ְעִין בִּישִׁין דַּעֲתִידִין לְמֶהֱוֵי. אִית לְמָאן דְּאִתְרְחַק מִנֵּהּ עַד דִּמְתַקֵן עוֹבָדוֹי</w:t>
      </w:r>
      <w:r w:rsidRPr="00007309">
        <w:rPr>
          <w:rFonts w:cs="Arial" w:hint="cs"/>
          <w:b/>
          <w:bCs/>
          <w:sz w:val="24"/>
          <w:szCs w:val="24"/>
          <w:rtl/>
        </w:rPr>
        <w:t>,</w:t>
      </w:r>
      <w:r w:rsidRPr="00007309">
        <w:rPr>
          <w:rFonts w:cs="Arial"/>
          <w:b/>
          <w:bCs/>
          <w:sz w:val="24"/>
          <w:szCs w:val="24"/>
          <w:rtl/>
        </w:rPr>
        <w:t xml:space="preserve"> וְאַחֲזַר לֵהּ אֲבֵדָה דִּילֵהּ. וְאִית דְּאָבִיד לֵהּ בְּחוֹבוֹי וְלָא אִתְחֲזַר לֵהּ לְעוֹלָם. וְהַאי אִיהִי אֲבֵדָה דְּאִתְיָאֲשׁוּ הַבְּעָלִים מִמֶּנָּה</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740"/>
      </w:r>
      <w:r w:rsidRPr="00007309">
        <w:rPr>
          <w:rFonts w:cs="Arial"/>
          <w:b/>
          <w:bCs/>
          <w:sz w:val="24"/>
          <w:szCs w:val="24"/>
          <w:rtl/>
        </w:rPr>
        <w:t xml:space="preserve">וְאִיהוּ דְּזָכָה בַּמְּצִיאָה קָנָה לָהּ, אִי אַקְדִּים בָּהּ לְחַבְרֵהּ. וְהַאי אִיהוּ דְּקוּדְשָׁא בְּרִיךְ הוּא אַחֲזֵי לְכָל עָלְמָא </w:t>
      </w:r>
      <w:r w:rsidRPr="00007309">
        <w:rPr>
          <w:rFonts w:ascii="Cambria" w:hAnsi="Cambria" w:cs="Times New Roman"/>
          <w:b/>
          <w:bCs/>
          <w:i/>
          <w:iCs/>
          <w:color w:val="4F81BD"/>
          <w:sz w:val="24"/>
          <w:szCs w:val="24"/>
          <w:rtl/>
        </w:rPr>
        <w:t>(</w:t>
      </w:r>
      <w:r w:rsidRPr="00007309">
        <w:rPr>
          <w:rFonts w:ascii="Cambria" w:hAnsi="Cambria" w:cs="Times New Roman" w:hint="cs"/>
          <w:b/>
          <w:bCs/>
          <w:i/>
          <w:iCs/>
          <w:color w:val="4F81BD"/>
          <w:sz w:val="24"/>
          <w:szCs w:val="24"/>
          <w:rtl/>
        </w:rPr>
        <w:t>וילנא מט</w:t>
      </w:r>
      <w:r w:rsidRPr="00007309">
        <w:rPr>
          <w:rFonts w:ascii="Cambria" w:hAnsi="Cambria" w:cs="Times New Roman"/>
          <w:b/>
          <w:bCs/>
          <w:i/>
          <w:iCs/>
          <w:color w:val="4F81BD"/>
          <w:sz w:val="24"/>
          <w:szCs w:val="24"/>
          <w:rtl/>
        </w:rPr>
        <w:t xml:space="preserve"> ע"</w:t>
      </w:r>
      <w:r w:rsidRPr="00007309">
        <w:rPr>
          <w:rFonts w:ascii="Cambria" w:hAnsi="Cambria" w:cs="Times New Roman" w:hint="cs"/>
          <w:b/>
          <w:bCs/>
          <w:i/>
          <w:iCs/>
          <w:color w:val="4F81BD"/>
          <w:sz w:val="24"/>
          <w:szCs w:val="24"/>
          <w:rtl/>
        </w:rPr>
        <w:t>ב</w:t>
      </w:r>
      <w:r w:rsidRPr="00007309">
        <w:rPr>
          <w:rFonts w:ascii="Cambria" w:hAnsi="Cambria" w:cs="Times New Roman"/>
          <w:b/>
          <w:bCs/>
          <w:i/>
          <w:iCs/>
          <w:color w:val="4F81BD"/>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741"/>
      </w:r>
      <w:r w:rsidRPr="00007309">
        <w:rPr>
          <w:rFonts w:cs="Arial"/>
          <w:b/>
          <w:bCs/>
          <w:sz w:val="24"/>
          <w:szCs w:val="24"/>
          <w:rtl/>
        </w:rPr>
        <w:t xml:space="preserve">שִׁתָּא אַלְפֵי שְׁנִין </w:t>
      </w:r>
      <w:r w:rsidRPr="00007309">
        <w:rPr>
          <w:rFonts w:cs="Arial"/>
          <w:b/>
          <w:bCs/>
          <w:sz w:val="36"/>
          <w:szCs w:val="28"/>
          <w:vertAlign w:val="superscript"/>
          <w:rtl/>
        </w:rPr>
        <w:footnoteReference w:id="8742"/>
      </w:r>
      <w:r w:rsidRPr="00007309">
        <w:rPr>
          <w:rFonts w:cs="Arial"/>
          <w:b/>
          <w:bCs/>
          <w:sz w:val="24"/>
          <w:szCs w:val="24"/>
          <w:rtl/>
        </w:rPr>
        <w:t xml:space="preserve">וְחַד חָרוּב. וְאַחֲזֵי </w:t>
      </w:r>
      <w:r w:rsidRPr="00007309">
        <w:rPr>
          <w:rFonts w:cs="Arial"/>
          <w:b/>
          <w:bCs/>
          <w:sz w:val="36"/>
          <w:szCs w:val="28"/>
          <w:vertAlign w:val="superscript"/>
          <w:rtl/>
        </w:rPr>
        <w:footnoteReference w:id="8743"/>
      </w:r>
      <w:r w:rsidRPr="00007309">
        <w:rPr>
          <w:rFonts w:cs="Arial"/>
          <w:b/>
          <w:bCs/>
          <w:sz w:val="24"/>
          <w:szCs w:val="24"/>
          <w:rtl/>
        </w:rPr>
        <w:t>דִּבְכָל אל'ף קַדְמָאָה שׁוּלְטָנוּתֵהּ חֶסֶד. באל'ף תִּנְיָנָא שׁוּלְטָנוּתֵהּ גְּבוּרָה</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744"/>
      </w:r>
      <w:r w:rsidRPr="00007309">
        <w:rPr>
          <w:rFonts w:cs="Arial"/>
          <w:b/>
          <w:bCs/>
          <w:sz w:val="24"/>
          <w:szCs w:val="24"/>
          <w:rtl/>
        </w:rPr>
        <w:t xml:space="preserve">דָּרִים בִּתְרֵין דַּרְגִּין גִּבּוֹרִים וַחֲסִידִים. וְאֶלֶף תְּלִיתָאָה שׁוּלְטָנוּתֵהּ לְמֶהֱוֵי דָּרִים דִּילֵהּ </w:t>
      </w:r>
      <w:r w:rsidRPr="00007309">
        <w:rPr>
          <w:rFonts w:cs="Arial"/>
          <w:b/>
          <w:bCs/>
          <w:sz w:val="36"/>
          <w:szCs w:val="28"/>
          <w:vertAlign w:val="superscript"/>
          <w:rtl/>
        </w:rPr>
        <w:footnoteReference w:id="8745"/>
      </w:r>
      <w:r w:rsidRPr="00007309">
        <w:rPr>
          <w:rFonts w:cs="Arial"/>
          <w:b/>
          <w:bCs/>
          <w:sz w:val="24"/>
          <w:szCs w:val="24"/>
          <w:rtl/>
        </w:rPr>
        <w:t>אַנְשֵׁי אֱמֶת. אֶלֶף רְבִיעָאָה שׁוּלְטָנוּתֵהּ נֶצַח. וְאֶלֶף חֲמִישָׁאָה שׁוּלְטָנוּתֵהּ הוֹד</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746"/>
      </w:r>
      <w:r w:rsidRPr="00007309">
        <w:rPr>
          <w:rFonts w:cs="Arial"/>
          <w:b/>
          <w:bCs/>
          <w:sz w:val="24"/>
          <w:szCs w:val="24"/>
          <w:rtl/>
        </w:rPr>
        <w:t>וַהֲווֹ עֲתִידִים לְמֶהֱוֵי דָּרִים דִּלְהוּ נְבִיאִים. אֶלֶף שְׁתִיתָאָה צַדִּיק יְסוֹד עוֹלָם. וְאִם ח</w:t>
      </w:r>
      <w:r w:rsidRPr="00007309">
        <w:rPr>
          <w:rFonts w:cs="Arial" w:hint="cs"/>
          <w:b/>
          <w:bCs/>
          <w:sz w:val="24"/>
          <w:szCs w:val="24"/>
          <w:rtl/>
        </w:rPr>
        <w:t>ס ושלום</w:t>
      </w:r>
      <w:r w:rsidRPr="00007309">
        <w:rPr>
          <w:rFonts w:cs="Arial"/>
          <w:b/>
          <w:bCs/>
          <w:sz w:val="24"/>
          <w:szCs w:val="24"/>
          <w:rtl/>
        </w:rPr>
        <w:t xml:space="preserve"> בַּאֲתַר דְּדַרְגָּא דִּילְהוֹן מְחַיֵּב לוֹן לְמֶהֱוֵי צַדִּיקִים</w:t>
      </w:r>
      <w:r w:rsidRPr="00007309">
        <w:rPr>
          <w:rFonts w:cs="Arial" w:hint="cs"/>
          <w:b/>
          <w:bCs/>
          <w:sz w:val="24"/>
          <w:szCs w:val="24"/>
          <w:rtl/>
        </w:rPr>
        <w:t>,</w:t>
      </w:r>
      <w:r w:rsidRPr="00007309">
        <w:rPr>
          <w:rFonts w:cs="Arial"/>
          <w:b/>
          <w:bCs/>
          <w:sz w:val="24"/>
          <w:szCs w:val="24"/>
          <w:rtl/>
        </w:rPr>
        <w:t xml:space="preserve"> וְאִנּוּן רְשָׁעִים, כְּאִלּוּ עַבְרִין עַמּוּד צַדִּיק יְסוֹד עוֹלָם מֵעָלְמָא, </w:t>
      </w:r>
      <w:r w:rsidRPr="00007309">
        <w:rPr>
          <w:rFonts w:cs="Arial"/>
          <w:b/>
          <w:bCs/>
          <w:sz w:val="36"/>
          <w:szCs w:val="28"/>
          <w:vertAlign w:val="superscript"/>
          <w:rtl/>
        </w:rPr>
        <w:footnoteReference w:id="8747"/>
      </w:r>
      <w:r w:rsidRPr="00007309">
        <w:rPr>
          <w:rFonts w:cs="Arial"/>
          <w:b/>
          <w:bCs/>
          <w:sz w:val="24"/>
          <w:szCs w:val="24"/>
          <w:rtl/>
        </w:rPr>
        <w:t>וְחָזְרִין עָלְמָא לְתֹהוּ וָבֹהוּ, וְשַׁלִּיט עָלַיְהוּ בַּאֲתַר דְּצַדִּיק, סמאל הָרָשָׁע. אוּף הָכֵי אִם דָּרִים דְּנֶצַח וְהוֹד רַשִּׁיעַיָּא</w:t>
      </w:r>
      <w:r w:rsidRPr="00007309">
        <w:rPr>
          <w:rFonts w:cs="Arial" w:hint="cs"/>
          <w:b/>
          <w:bCs/>
          <w:sz w:val="24"/>
          <w:szCs w:val="24"/>
          <w:rtl/>
        </w:rPr>
        <w:t>,</w:t>
      </w:r>
      <w:r w:rsidRPr="00007309">
        <w:rPr>
          <w:rFonts w:cs="Arial"/>
          <w:b/>
          <w:bCs/>
          <w:sz w:val="24"/>
          <w:szCs w:val="24"/>
          <w:rtl/>
        </w:rPr>
        <w:t xml:space="preserve"> בַּאֲתַר דִּנְבִיאֵי הָאֱמֶת שַׁלִּיטִין נְבִיאֵי הַשֶּׁקֶר. וְאִם דָּרָא דֶּאֱמֶת לֹא מַנְהִיגִין בֵּהּ, אִסְתְּלַק מִנַּיְהוּ אֱמֶת וְשָׁלְטָא עָלַיְהוּ שֶׁקֶר. וְאִם דָּרִין דִּגְבוּרָה לָאו גְּבוּרָה עוֹמְדִים בַּפֶּרֶץ, אִסְתְּלַק מִנַּיְהוּ גְּבוּרָה וְשַׁלִּיט נוּכְרָאָה עָלַיְהוּ, ואחד ירדוף אלף ושנים יניסו רבבה. ואם דָּרָא דחסידים לא מִתְנַהֲגֵי בחסידות שליט עליהו </w:t>
      </w:r>
      <w:r w:rsidRPr="00007309">
        <w:rPr>
          <w:rFonts w:cs="Arial"/>
          <w:b/>
          <w:bCs/>
          <w:sz w:val="36"/>
          <w:szCs w:val="28"/>
          <w:vertAlign w:val="superscript"/>
          <w:rtl/>
        </w:rPr>
        <w:footnoteReference w:id="8748"/>
      </w:r>
      <w:r w:rsidRPr="00007309">
        <w:rPr>
          <w:rFonts w:cs="Arial"/>
          <w:b/>
          <w:bCs/>
          <w:sz w:val="24"/>
          <w:szCs w:val="24"/>
          <w:rtl/>
        </w:rPr>
        <w:t xml:space="preserve">גזלן וגזיל לון. </w:t>
      </w:r>
    </w:p>
    <w:p w:rsidR="00007309" w:rsidRPr="00007309" w:rsidRDefault="00007309" w:rsidP="00007309">
      <w:pPr>
        <w:keepNext/>
        <w:outlineLvl w:val="1"/>
        <w:rPr>
          <w:rFonts w:ascii="Cambria" w:hAnsi="Cambria" w:cs="Times New Roman"/>
          <w:b/>
          <w:bCs/>
          <w:i/>
          <w:iCs/>
          <w:sz w:val="28"/>
          <w:szCs w:val="28"/>
          <w:rtl/>
        </w:rPr>
      </w:pPr>
      <w:r w:rsidRPr="00007309">
        <w:rPr>
          <w:rFonts w:ascii="Cambria" w:hAnsi="Cambria" w:cs="Times New Roman"/>
          <w:b/>
          <w:bCs/>
          <w:i/>
          <w:iCs/>
          <w:sz w:val="28"/>
          <w:szCs w:val="28"/>
          <w:rtl/>
        </w:rPr>
        <w:t>[</w:t>
      </w:r>
      <w:r w:rsidRPr="00007309">
        <w:rPr>
          <w:rFonts w:ascii="Cambria" w:hAnsi="Cambria" w:cs="Times New Roman" w:hint="cs"/>
          <w:b/>
          <w:bCs/>
          <w:i/>
          <w:iCs/>
          <w:sz w:val="28"/>
          <w:szCs w:val="28"/>
          <w:rtl/>
        </w:rPr>
        <w:t>דף</w:t>
      </w:r>
      <w:r w:rsidRPr="00007309">
        <w:rPr>
          <w:rFonts w:ascii="Cambria" w:hAnsi="Cambria" w:cs="Times New Roman"/>
          <w:b/>
          <w:bCs/>
          <w:i/>
          <w:iCs/>
          <w:sz w:val="28"/>
          <w:szCs w:val="28"/>
          <w:rtl/>
        </w:rPr>
        <w:t xml:space="preserve"> </w:t>
      </w:r>
      <w:r w:rsidRPr="00007309">
        <w:rPr>
          <w:rFonts w:ascii="Cambria" w:hAnsi="Cambria" w:cs="Times New Roman" w:hint="cs"/>
          <w:b/>
          <w:bCs/>
          <w:i/>
          <w:iCs/>
          <w:sz w:val="28"/>
          <w:szCs w:val="28"/>
          <w:rtl/>
        </w:rPr>
        <w:t>פט</w:t>
      </w:r>
      <w:r w:rsidRPr="00007309">
        <w:rPr>
          <w:rFonts w:ascii="Cambria" w:hAnsi="Cambria" w:cs="Times New Roman"/>
          <w:b/>
          <w:bCs/>
          <w:i/>
          <w:iCs/>
          <w:sz w:val="28"/>
          <w:szCs w:val="28"/>
          <w:rtl/>
        </w:rPr>
        <w:t xml:space="preserve"> ע"</w:t>
      </w:r>
      <w:r w:rsidRPr="00007309">
        <w:rPr>
          <w:rFonts w:ascii="Cambria" w:hAnsi="Cambria" w:cs="Times New Roman" w:hint="cs"/>
          <w:b/>
          <w:bCs/>
          <w:i/>
          <w:iCs/>
          <w:sz w:val="28"/>
          <w:szCs w:val="28"/>
          <w:rtl/>
        </w:rPr>
        <w:t>ד</w:t>
      </w:r>
      <w:r w:rsidRPr="00007309">
        <w:rPr>
          <w:rFonts w:ascii="Cambria" w:hAnsi="Cambria" w:cs="Times New Roman"/>
          <w:b/>
          <w:bCs/>
          <w:i/>
          <w:iCs/>
          <w:sz w:val="28"/>
          <w:szCs w:val="28"/>
          <w:rtl/>
        </w:rPr>
        <w:t>]</w:t>
      </w:r>
    </w:p>
    <w:p w:rsidR="00007309" w:rsidRPr="00007309" w:rsidRDefault="00007309" w:rsidP="00007309">
      <w:pPr>
        <w:jc w:val="both"/>
        <w:rPr>
          <w:rFonts w:cs="Arial"/>
          <w:b/>
          <w:bCs/>
          <w:sz w:val="24"/>
          <w:szCs w:val="24"/>
          <w:rtl/>
        </w:rPr>
      </w:pPr>
      <w:r w:rsidRPr="00007309">
        <w:rPr>
          <w:rFonts w:cs="Arial"/>
          <w:b/>
          <w:bCs/>
          <w:sz w:val="24"/>
          <w:szCs w:val="24"/>
          <w:rtl/>
        </w:rPr>
        <w:t xml:space="preserve">וְהַאי אִיהוּ דְּאַחֲזֵי לְאָדָם כָּל דָּרִין וּפַרְנָסִין דִּילְהוֹן. אִם זָכִין דָּרִין לְאִתְנַהַגָא אֲבַּתְרַיְיהוּ, קוּדְשָׁא בְּרִיךְ הוּא מִתְנַהֵג בְּהוֹן בְּהַהוּא דַּרְגָּא טָבָא. וְאִם לָאו, מִתְנַהֵג בְּהוֹן כְּפוּם עוֹבָדַיְהוּ בְּדַרְגָּא בִּישָׁא. וּבְגִין דָּא </w:t>
      </w:r>
      <w:r w:rsidRPr="00007309">
        <w:rPr>
          <w:rFonts w:cs="Arial"/>
          <w:sz w:val="36"/>
          <w:szCs w:val="24"/>
          <w:rtl/>
        </w:rPr>
        <w:t xml:space="preserve">(איכה ג לח) </w:t>
      </w:r>
      <w:r w:rsidRPr="00007309">
        <w:rPr>
          <w:rFonts w:cs="Arial"/>
          <w:b/>
          <w:bCs/>
          <w:sz w:val="24"/>
          <w:szCs w:val="24"/>
          <w:rtl/>
        </w:rPr>
        <w:t xml:space="preserve">מִפִּי עֶלְיוֹן לֹא תֵצֵא הָרָעוֹת וְהַטוֹב. וּבְכָל דָּרָא יָהִיב לוֹן הַטּוֹב וְהָרָע כְּפוּם דַּרְגָּא דְּדָּרָא. וְרָזָא דְּמִלָּה </w:t>
      </w:r>
      <w:r w:rsidRPr="00007309">
        <w:rPr>
          <w:rFonts w:cs="Arial"/>
          <w:sz w:val="36"/>
          <w:szCs w:val="24"/>
          <w:rtl/>
        </w:rPr>
        <w:t>(דברים ל טו)</w:t>
      </w:r>
      <w:r w:rsidRPr="00007309">
        <w:rPr>
          <w:rFonts w:cs="Arial"/>
          <w:b/>
          <w:bCs/>
          <w:sz w:val="24"/>
          <w:szCs w:val="24"/>
          <w:rtl/>
        </w:rPr>
        <w:t xml:space="preserve"> </w:t>
      </w:r>
      <w:r w:rsidRPr="00007309">
        <w:rPr>
          <w:rFonts w:cs="Arial" w:hint="cs"/>
          <w:b/>
          <w:bCs/>
          <w:sz w:val="24"/>
          <w:szCs w:val="24"/>
          <w:rtl/>
        </w:rPr>
        <w:t>ה</w:t>
      </w:r>
      <w:r w:rsidRPr="00007309">
        <w:rPr>
          <w:rFonts w:cs="Arial"/>
          <w:b/>
          <w:bCs/>
          <w:sz w:val="24"/>
          <w:szCs w:val="24"/>
          <w:rtl/>
        </w:rPr>
        <w:t>ִ</w:t>
      </w:r>
      <w:r w:rsidRPr="00007309">
        <w:rPr>
          <w:rFonts w:cs="Arial" w:hint="cs"/>
          <w:b/>
          <w:bCs/>
          <w:sz w:val="24"/>
          <w:szCs w:val="24"/>
          <w:rtl/>
        </w:rPr>
        <w:t>נ</w:t>
      </w:r>
      <w:r w:rsidRPr="00007309">
        <w:rPr>
          <w:rFonts w:cs="Arial"/>
          <w:b/>
          <w:bCs/>
          <w:sz w:val="24"/>
          <w:szCs w:val="24"/>
          <w:rtl/>
        </w:rPr>
        <w:t xml:space="preserve">ֵה נָתַתִּי לְפָנֶיךָ הַיּוֹם אֶת הַחַיִּים </w:t>
      </w:r>
      <w:r w:rsidRPr="00007309">
        <w:rPr>
          <w:rFonts w:ascii="Cambria" w:hAnsi="Cambria" w:cs="Times New Roman"/>
          <w:b/>
          <w:bCs/>
          <w:i/>
          <w:iCs/>
          <w:color w:val="4F81BD"/>
          <w:sz w:val="24"/>
          <w:szCs w:val="24"/>
          <w:rtl/>
        </w:rPr>
        <w:t>(פ</w:t>
      </w:r>
      <w:r w:rsidRPr="00007309">
        <w:rPr>
          <w:rFonts w:ascii="Cambria" w:hAnsi="Cambria" w:cs="Times New Roman" w:hint="cs"/>
          <w:b/>
          <w:bCs/>
          <w:i/>
          <w:iCs/>
          <w:color w:val="4F81BD"/>
          <w:sz w:val="24"/>
          <w:szCs w:val="24"/>
          <w:rtl/>
        </w:rPr>
        <w:t>ט</w:t>
      </w:r>
      <w:r w:rsidRPr="00007309">
        <w:rPr>
          <w:rFonts w:ascii="Cambria" w:hAnsi="Cambria" w:cs="Times New Roman"/>
          <w:b/>
          <w:bCs/>
          <w:i/>
          <w:iCs/>
          <w:color w:val="4F81BD"/>
          <w:sz w:val="24"/>
          <w:szCs w:val="24"/>
          <w:rtl/>
        </w:rPr>
        <w:t xml:space="preserve"> ע"</w:t>
      </w:r>
      <w:r w:rsidRPr="00007309">
        <w:rPr>
          <w:rFonts w:ascii="Cambria" w:hAnsi="Cambria" w:cs="Times New Roman" w:hint="cs"/>
          <w:b/>
          <w:bCs/>
          <w:i/>
          <w:iCs/>
          <w:color w:val="4F81BD"/>
          <w:sz w:val="24"/>
          <w:szCs w:val="24"/>
          <w:rtl/>
        </w:rPr>
        <w:t>ד</w:t>
      </w:r>
      <w:r w:rsidRPr="00007309">
        <w:rPr>
          <w:rFonts w:ascii="Cambria" w:hAnsi="Cambria" w:cs="Times New Roman"/>
          <w:b/>
          <w:bCs/>
          <w:i/>
          <w:iCs/>
          <w:color w:val="4F81BD"/>
          <w:sz w:val="24"/>
          <w:szCs w:val="24"/>
          <w:rtl/>
        </w:rPr>
        <w:t>)</w:t>
      </w:r>
      <w:r w:rsidRPr="00007309">
        <w:rPr>
          <w:rFonts w:cs="Arial"/>
          <w:b/>
          <w:bCs/>
          <w:sz w:val="24"/>
          <w:szCs w:val="24"/>
          <w:rtl/>
        </w:rPr>
        <w:t xml:space="preserve"> וְאֶת הַטּוֹב וְאֶת הַמָּוֶת וְאֶת הָרָע</w:t>
      </w:r>
      <w:r w:rsidRPr="00007309">
        <w:rPr>
          <w:rFonts w:cs="Arial" w:hint="cs"/>
          <w:b/>
          <w:bCs/>
          <w:sz w:val="24"/>
          <w:szCs w:val="24"/>
          <w:rtl/>
        </w:rPr>
        <w:t xml:space="preserve">. </w:t>
      </w:r>
      <w:r w:rsidRPr="00007309">
        <w:rPr>
          <w:rFonts w:cs="Arial"/>
          <w:b/>
          <w:bCs/>
          <w:sz w:val="24"/>
          <w:szCs w:val="24"/>
          <w:rtl/>
        </w:rPr>
        <w:t>וְהַאי אִיהוּ דִּכְתִיב בְּאוֹרַיְתָא כָּל דָּרִי</w:t>
      </w:r>
      <w:r w:rsidRPr="00007309">
        <w:rPr>
          <w:rFonts w:cs="Arial" w:hint="cs"/>
          <w:b/>
          <w:bCs/>
          <w:sz w:val="24"/>
          <w:szCs w:val="24"/>
          <w:rtl/>
        </w:rPr>
        <w:t>ם</w:t>
      </w:r>
      <w:r w:rsidRPr="00007309">
        <w:rPr>
          <w:rFonts w:cs="Arial"/>
          <w:b/>
          <w:bCs/>
          <w:sz w:val="24"/>
          <w:szCs w:val="24"/>
          <w:rtl/>
        </w:rPr>
        <w:t xml:space="preserve"> </w:t>
      </w:r>
      <w:r w:rsidRPr="00007309">
        <w:rPr>
          <w:rFonts w:cs="Arial" w:hint="cs"/>
          <w:b/>
          <w:bCs/>
          <w:sz w:val="24"/>
          <w:szCs w:val="24"/>
          <w:rtl/>
        </w:rPr>
        <w:t>ד</w:t>
      </w:r>
      <w:r w:rsidRPr="00007309">
        <w:rPr>
          <w:rFonts w:cs="Arial"/>
          <w:b/>
          <w:bCs/>
          <w:sz w:val="24"/>
          <w:szCs w:val="24"/>
          <w:rtl/>
        </w:rPr>
        <w:t xml:space="preserve">ַהֲווֹ עֲתִידִים לְמֶהֱוֵי אִם זָכוּ לְאִתְנַהַגָא. </w:t>
      </w:r>
      <w:r w:rsidRPr="00007309">
        <w:rPr>
          <w:rFonts w:cs="Arial"/>
          <w:b/>
          <w:bCs/>
          <w:sz w:val="36"/>
          <w:szCs w:val="28"/>
          <w:vertAlign w:val="superscript"/>
          <w:rtl/>
        </w:rPr>
        <w:footnoteReference w:id="8749"/>
      </w:r>
      <w:r w:rsidRPr="00007309">
        <w:rPr>
          <w:rFonts w:cs="Arial"/>
          <w:b/>
          <w:bCs/>
          <w:sz w:val="24"/>
          <w:szCs w:val="24"/>
          <w:rtl/>
        </w:rPr>
        <w:t>וְאַחֲזֵי לֵה פַּרְנָסִי</w:t>
      </w:r>
      <w:r w:rsidRPr="00007309">
        <w:rPr>
          <w:rFonts w:cs="Arial" w:hint="cs"/>
          <w:b/>
          <w:bCs/>
          <w:sz w:val="24"/>
          <w:szCs w:val="24"/>
          <w:rtl/>
        </w:rPr>
        <w:t>ם</w:t>
      </w:r>
      <w:r w:rsidRPr="00007309">
        <w:rPr>
          <w:rFonts w:cs="Arial"/>
          <w:b/>
          <w:bCs/>
          <w:sz w:val="24"/>
          <w:szCs w:val="24"/>
          <w:rtl/>
        </w:rPr>
        <w:t xml:space="preserve"> מִסִּטְרָא דְּיֵצֶר הַטּוֹב וּפַרְנָסִי</w:t>
      </w:r>
      <w:r w:rsidRPr="00007309">
        <w:rPr>
          <w:rFonts w:cs="Arial" w:hint="cs"/>
          <w:b/>
          <w:bCs/>
          <w:sz w:val="24"/>
          <w:szCs w:val="24"/>
          <w:rtl/>
        </w:rPr>
        <w:t>ם</w:t>
      </w:r>
      <w:r w:rsidRPr="00007309">
        <w:rPr>
          <w:rFonts w:cs="Arial"/>
          <w:b/>
          <w:bCs/>
          <w:sz w:val="24"/>
          <w:szCs w:val="24"/>
          <w:rtl/>
        </w:rPr>
        <w:t xml:space="preserve"> מִסִּטְרָא דְּיֵצֶר הָרָע. אִי זָכוּ לְאִתְנַהַגָא </w:t>
      </w:r>
      <w:r w:rsidRPr="00007309">
        <w:rPr>
          <w:rFonts w:cs="Arial" w:hint="cs"/>
          <w:b/>
          <w:bCs/>
          <w:sz w:val="24"/>
          <w:szCs w:val="24"/>
          <w:rtl/>
        </w:rPr>
        <w:t>ב</w:t>
      </w:r>
      <w:r w:rsidRPr="00007309">
        <w:rPr>
          <w:rFonts w:cs="Arial"/>
          <w:b/>
          <w:bCs/>
          <w:sz w:val="24"/>
          <w:szCs w:val="24"/>
          <w:rtl/>
        </w:rPr>
        <w:t>ְּפַרְנָסִין דְּיֵצֶר הַטּוֹב</w:t>
      </w:r>
      <w:r w:rsidRPr="00007309">
        <w:rPr>
          <w:rFonts w:cs="Arial" w:hint="cs"/>
          <w:b/>
          <w:bCs/>
          <w:sz w:val="24"/>
          <w:szCs w:val="24"/>
          <w:rtl/>
        </w:rPr>
        <w:t>,</w:t>
      </w:r>
      <w:r w:rsidRPr="00007309">
        <w:rPr>
          <w:rFonts w:cs="Arial"/>
          <w:b/>
          <w:bCs/>
          <w:sz w:val="24"/>
          <w:szCs w:val="24"/>
          <w:rtl/>
        </w:rPr>
        <w:t xml:space="preserve"> מַטֶה לוֹן כְּלַפֵּי חֶסֶד אוֹ </w:t>
      </w:r>
      <w:r w:rsidRPr="00007309">
        <w:rPr>
          <w:rFonts w:cs="Arial"/>
          <w:b/>
          <w:bCs/>
          <w:color w:val="000000"/>
          <w:sz w:val="36"/>
          <w:szCs w:val="24"/>
          <w:rtl/>
        </w:rPr>
        <w:t>גְּבוּרָה</w:t>
      </w:r>
      <w:r w:rsidRPr="00007309">
        <w:rPr>
          <w:rFonts w:cs="Arial"/>
          <w:b/>
          <w:bCs/>
          <w:sz w:val="24"/>
          <w:szCs w:val="24"/>
          <w:rtl/>
        </w:rPr>
        <w:t xml:space="preserve"> אוֹ אֱמֶת אוֹ נְבִיאִים אוֹ צַדִּיק יְסוֹד עוֹלָם כְּפוּם שׁוּלְטָנוּתֵהּ דְּכָל דַּרְגָּא. וְאִם מִתְנַהֲגִין </w:t>
      </w:r>
      <w:r w:rsidRPr="00007309">
        <w:rPr>
          <w:rFonts w:cs="Arial" w:hint="cs"/>
          <w:b/>
          <w:bCs/>
          <w:sz w:val="24"/>
          <w:szCs w:val="24"/>
          <w:rtl/>
        </w:rPr>
        <w:t>ב</w:t>
      </w:r>
      <w:r w:rsidRPr="00007309">
        <w:rPr>
          <w:rFonts w:cs="Arial"/>
          <w:b/>
          <w:bCs/>
          <w:sz w:val="24"/>
          <w:szCs w:val="24"/>
          <w:rtl/>
        </w:rPr>
        <w:t>ְּפַרְנָסִין בִּישִׁין מִסִּטְרָא דְּרָע</w:t>
      </w:r>
      <w:r w:rsidRPr="00007309">
        <w:rPr>
          <w:rFonts w:cs="Arial" w:hint="cs"/>
          <w:b/>
          <w:bCs/>
          <w:sz w:val="24"/>
          <w:szCs w:val="24"/>
          <w:rtl/>
        </w:rPr>
        <w:t>,</w:t>
      </w:r>
      <w:r w:rsidRPr="00007309">
        <w:rPr>
          <w:rFonts w:cs="Arial"/>
          <w:b/>
          <w:bCs/>
          <w:sz w:val="24"/>
          <w:szCs w:val="24"/>
          <w:rtl/>
        </w:rPr>
        <w:t xml:space="preserve"> קוּדְשָׁא בְּרִיךְ הוּא יָדוּן לוֹן </w:t>
      </w:r>
      <w:r w:rsidRPr="00007309">
        <w:rPr>
          <w:rFonts w:cs="Arial" w:hint="cs"/>
          <w:b/>
          <w:bCs/>
          <w:sz w:val="24"/>
          <w:szCs w:val="24"/>
          <w:rtl/>
        </w:rPr>
        <w:t>ב</w:t>
      </w:r>
      <w:r w:rsidRPr="00007309">
        <w:rPr>
          <w:rFonts w:cs="Arial"/>
          <w:b/>
          <w:bCs/>
          <w:sz w:val="24"/>
          <w:szCs w:val="24"/>
          <w:rtl/>
        </w:rPr>
        <w:t xml:space="preserve">ְּמִדוֹת בִּישִׁין </w:t>
      </w:r>
      <w:r w:rsidRPr="00007309">
        <w:rPr>
          <w:rFonts w:cs="Arial" w:hint="cs"/>
          <w:b/>
          <w:bCs/>
          <w:sz w:val="24"/>
          <w:szCs w:val="24"/>
          <w:rtl/>
        </w:rPr>
        <w:t>ב</w:t>
      </w:r>
      <w:r w:rsidRPr="00007309">
        <w:rPr>
          <w:rFonts w:cs="Arial"/>
          <w:b/>
          <w:bCs/>
          <w:sz w:val="24"/>
          <w:szCs w:val="24"/>
          <w:rtl/>
        </w:rPr>
        <w:t>ְּהִפּוּכָא דְּ</w:t>
      </w:r>
      <w:r w:rsidRPr="00007309">
        <w:rPr>
          <w:rFonts w:cs="Arial" w:hint="cs"/>
          <w:b/>
          <w:bCs/>
          <w:sz w:val="24"/>
          <w:szCs w:val="24"/>
          <w:rtl/>
        </w:rPr>
        <w:t>ד</w:t>
      </w:r>
      <w:r w:rsidRPr="00007309">
        <w:rPr>
          <w:rFonts w:cs="Arial"/>
          <w:b/>
          <w:bCs/>
          <w:sz w:val="24"/>
          <w:szCs w:val="24"/>
          <w:rtl/>
        </w:rPr>
        <w:t>ַרְגִּין טָבִין. וְהַאי אִיהוּ דְּאַחֲזֵי לוֹן פַּרְנָסִי</w:t>
      </w:r>
      <w:r w:rsidRPr="00007309">
        <w:rPr>
          <w:rFonts w:cs="Arial" w:hint="cs"/>
          <w:b/>
          <w:bCs/>
          <w:sz w:val="24"/>
          <w:szCs w:val="24"/>
          <w:rtl/>
        </w:rPr>
        <w:t>ם</w:t>
      </w:r>
      <w:r w:rsidRPr="00007309">
        <w:rPr>
          <w:rFonts w:cs="Arial"/>
          <w:b/>
          <w:bCs/>
          <w:sz w:val="24"/>
          <w:szCs w:val="24"/>
          <w:rtl/>
        </w:rPr>
        <w:t xml:space="preserve"> רְשָׁעִים וְצַדִּיקִים דְּכָל דָּרָא. וְלָאו דְּאִתְּמַר דְּגָזַר קוּדְשָׁא בְּרִיךְ הוּא עַל דָּרִים לְמֶהֱוֵי צַדִּיקִים אוֹ רְשָׁעִים. </w:t>
      </w:r>
    </w:p>
    <w:p w:rsidR="00007309" w:rsidRPr="00007309" w:rsidRDefault="00007309" w:rsidP="00007309">
      <w:pPr>
        <w:jc w:val="both"/>
        <w:rPr>
          <w:rFonts w:cs="Arial"/>
          <w:b/>
          <w:bCs/>
          <w:sz w:val="24"/>
          <w:szCs w:val="24"/>
          <w:rtl/>
        </w:rPr>
      </w:pPr>
      <w:r w:rsidRPr="00007309">
        <w:rPr>
          <w:rFonts w:cs="Arial"/>
          <w:b/>
          <w:bCs/>
          <w:sz w:val="24"/>
          <w:szCs w:val="24"/>
          <w:rtl/>
        </w:rPr>
        <w:t>מִיָּד</w:t>
      </w:r>
      <w:r w:rsidRPr="00007309">
        <w:rPr>
          <w:rFonts w:cs="Arial" w:hint="cs"/>
          <w:b/>
          <w:bCs/>
          <w:sz w:val="24"/>
          <w:szCs w:val="24"/>
          <w:rtl/>
        </w:rPr>
        <w:t xml:space="preserve"> </w:t>
      </w:r>
      <w:r w:rsidRPr="00007309">
        <w:rPr>
          <w:rFonts w:cs="Arial"/>
          <w:b/>
          <w:bCs/>
          <w:sz w:val="24"/>
          <w:szCs w:val="24"/>
          <w:rtl/>
        </w:rPr>
        <w:t>דְּשָׁמַע בּוּצִינָא קַדִּישָׁא וְרַבִּי יוֹסֵי מִלִּין אִלֵּין</w:t>
      </w:r>
      <w:r w:rsidRPr="00007309">
        <w:rPr>
          <w:rFonts w:cs="Arial" w:hint="cs"/>
          <w:b/>
          <w:bCs/>
          <w:sz w:val="24"/>
          <w:szCs w:val="24"/>
          <w:rtl/>
        </w:rPr>
        <w:t>,</w:t>
      </w:r>
      <w:r w:rsidRPr="00007309">
        <w:rPr>
          <w:rFonts w:cs="Arial"/>
          <w:b/>
          <w:bCs/>
          <w:sz w:val="24"/>
          <w:szCs w:val="24"/>
          <w:rtl/>
        </w:rPr>
        <w:t xml:space="preserve"> אִשְׁתְּטָחוּ קַמֵּהּ דְּהַהוּא סָבָא וְאָמְרוּ כְּעָן אִתְגַּלְּיָן מִלִּין עַל בִּירוּרָא וְלָא אִשְׁתְּכַח קוּשְׁיָא בְּעָלְמָא בְּהַאי שְׁאִלְתָּא. מִיָּד</w:t>
      </w:r>
      <w:r w:rsidRPr="00007309">
        <w:rPr>
          <w:rFonts w:cs="Arial" w:hint="cs"/>
          <w:b/>
          <w:bCs/>
          <w:sz w:val="24"/>
          <w:szCs w:val="24"/>
          <w:rtl/>
        </w:rPr>
        <w:t xml:space="preserve"> </w:t>
      </w:r>
      <w:r w:rsidRPr="00007309">
        <w:rPr>
          <w:rFonts w:cs="Arial"/>
          <w:b/>
          <w:bCs/>
          <w:sz w:val="24"/>
          <w:szCs w:val="24"/>
          <w:rtl/>
        </w:rPr>
        <w:t>פָּרַח הַהוּא סָבָא. אָמַר בּוּצִינָא קַדִּישָׁא, וַדַּאי אָדָם קַדְמָאָה הֲוָה הַאי</w:t>
      </w:r>
      <w:r w:rsidRPr="00007309">
        <w:rPr>
          <w:rFonts w:cs="Arial" w:hint="cs"/>
          <w:b/>
          <w:bCs/>
          <w:sz w:val="24"/>
          <w:szCs w:val="24"/>
          <w:rtl/>
        </w:rPr>
        <w:t xml:space="preserve"> </w:t>
      </w:r>
      <w:r w:rsidRPr="00007309">
        <w:rPr>
          <w:rFonts w:cs="Arial"/>
          <w:b/>
          <w:bCs/>
          <w:sz w:val="24"/>
          <w:szCs w:val="24"/>
          <w:rtl/>
        </w:rPr>
        <w:t>סָבָא</w:t>
      </w:r>
      <w:r w:rsidRPr="00007309">
        <w:rPr>
          <w:rFonts w:cs="Arial" w:hint="cs"/>
          <w:b/>
          <w:bCs/>
          <w:sz w:val="24"/>
          <w:szCs w:val="24"/>
          <w:rtl/>
        </w:rPr>
        <w:t>,</w:t>
      </w:r>
      <w:r w:rsidRPr="00007309">
        <w:rPr>
          <w:rFonts w:cs="Arial"/>
          <w:b/>
          <w:bCs/>
          <w:sz w:val="24"/>
          <w:szCs w:val="24"/>
          <w:rtl/>
        </w:rPr>
        <w:t xml:space="preserve"> דְּלֵית כְּווֹתֵה בְּכָל בִּרְיָן בחכמתא, </w:t>
      </w:r>
      <w:r w:rsidRPr="00007309">
        <w:rPr>
          <w:rFonts w:cs="Arial"/>
          <w:b/>
          <w:bCs/>
          <w:sz w:val="36"/>
          <w:szCs w:val="28"/>
          <w:vertAlign w:val="superscript"/>
          <w:rtl/>
        </w:rPr>
        <w:footnoteReference w:id="8750"/>
      </w:r>
      <w:r w:rsidRPr="00007309">
        <w:rPr>
          <w:rFonts w:cs="Arial"/>
          <w:b/>
          <w:bCs/>
          <w:sz w:val="24"/>
          <w:szCs w:val="24"/>
          <w:rtl/>
        </w:rPr>
        <w:t xml:space="preserve">וְלֵית דַּרְגָּא דְּבַר נָשׁ בְּעָלְמָא </w:t>
      </w:r>
      <w:r w:rsidRPr="00007309">
        <w:rPr>
          <w:rFonts w:cs="Arial" w:hint="cs"/>
          <w:b/>
          <w:bCs/>
          <w:sz w:val="24"/>
          <w:szCs w:val="24"/>
          <w:rtl/>
        </w:rPr>
        <w:t>כ</w:t>
      </w:r>
      <w:r w:rsidRPr="00007309">
        <w:rPr>
          <w:rFonts w:cs="Arial"/>
          <w:b/>
          <w:bCs/>
          <w:sz w:val="24"/>
          <w:szCs w:val="24"/>
          <w:rtl/>
        </w:rPr>
        <w:t xml:space="preserve">ְּדַרְגֵּהּ, דְּאִיהוּ אַקְדִּים לְכָל בִּרְיָן, הָכֵי </w:t>
      </w:r>
      <w:r w:rsidRPr="00007309">
        <w:rPr>
          <w:rFonts w:cs="Arial"/>
          <w:b/>
          <w:bCs/>
          <w:sz w:val="36"/>
          <w:szCs w:val="28"/>
          <w:vertAlign w:val="superscript"/>
          <w:rtl/>
        </w:rPr>
        <w:footnoteReference w:id="8751"/>
      </w:r>
      <w:r w:rsidRPr="00007309">
        <w:rPr>
          <w:rFonts w:cs="Arial"/>
          <w:b/>
          <w:bCs/>
          <w:sz w:val="24"/>
          <w:szCs w:val="24"/>
          <w:rtl/>
        </w:rPr>
        <w:t>דְיוֹקְנֵהּ אַקְדִּים לְכָל בִּרְיָן (עכ"מ):</w:t>
      </w:r>
    </w:p>
    <w:p w:rsidR="00007309" w:rsidRPr="00007309" w:rsidRDefault="00007309" w:rsidP="00007309">
      <w:pPr>
        <w:jc w:val="both"/>
        <w:rPr>
          <w:rFonts w:cs="Arial"/>
          <w:b/>
          <w:bCs/>
          <w:sz w:val="24"/>
          <w:szCs w:val="24"/>
          <w:rtl/>
        </w:rPr>
      </w:pPr>
      <w:r w:rsidRPr="00007309">
        <w:rPr>
          <w:rFonts w:cs="Arial"/>
          <w:b/>
          <w:bCs/>
          <w:sz w:val="24"/>
          <w:szCs w:val="24"/>
          <w:rtl/>
        </w:rPr>
        <w:t xml:space="preserve">תָּא חֲזֵי, כְּתִיב </w:t>
      </w:r>
      <w:r w:rsidRPr="00007309">
        <w:rPr>
          <w:rFonts w:cs="Arial"/>
          <w:sz w:val="36"/>
          <w:szCs w:val="24"/>
          <w:rtl/>
        </w:rPr>
        <w:t xml:space="preserve">(בראשית א ה) </w:t>
      </w:r>
      <w:r w:rsidRPr="00007309">
        <w:rPr>
          <w:rFonts w:cs="Arial"/>
          <w:b/>
          <w:bCs/>
          <w:sz w:val="24"/>
          <w:szCs w:val="24"/>
          <w:rtl/>
        </w:rPr>
        <w:t>וַיִּקְרָא אֱלֹהִים לָאוֹר יוֹם וְלַחֹשֶׁךְ קָרָא לָיְלָה</w:t>
      </w:r>
      <w:r w:rsidRPr="00007309">
        <w:rPr>
          <w:rFonts w:cs="Arial" w:hint="cs"/>
          <w:b/>
          <w:bCs/>
          <w:sz w:val="24"/>
          <w:szCs w:val="24"/>
          <w:rtl/>
        </w:rPr>
        <w:t>.</w:t>
      </w:r>
      <w:r w:rsidRPr="00007309">
        <w:rPr>
          <w:rFonts w:cs="Arial"/>
          <w:b/>
          <w:bCs/>
          <w:sz w:val="24"/>
          <w:szCs w:val="24"/>
          <w:rtl/>
        </w:rPr>
        <w:t xml:space="preserve"> </w:t>
      </w:r>
      <w:r w:rsidRPr="00007309">
        <w:rPr>
          <w:rFonts w:cs="Arial" w:hint="cs"/>
          <w:b/>
          <w:bCs/>
          <w:sz w:val="24"/>
          <w:szCs w:val="24"/>
          <w:rtl/>
        </w:rPr>
        <w:t>ו</w:t>
      </w:r>
      <w:r w:rsidRPr="00007309">
        <w:rPr>
          <w:rFonts w:cs="Arial"/>
          <w:b/>
          <w:bCs/>
          <w:sz w:val="24"/>
          <w:szCs w:val="24"/>
          <w:rtl/>
        </w:rPr>
        <w:t xml:space="preserve">ּכְתִיב </w:t>
      </w:r>
      <w:r w:rsidRPr="00007309">
        <w:rPr>
          <w:rFonts w:cs="Arial"/>
          <w:sz w:val="36"/>
          <w:szCs w:val="24"/>
          <w:rtl/>
        </w:rPr>
        <w:t xml:space="preserve">(בראשית א ד) </w:t>
      </w:r>
      <w:r w:rsidRPr="00007309">
        <w:rPr>
          <w:rFonts w:cs="Arial"/>
          <w:b/>
          <w:bCs/>
          <w:sz w:val="24"/>
          <w:szCs w:val="24"/>
          <w:rtl/>
        </w:rPr>
        <w:t xml:space="preserve">וַיַּרְא אֱלֹהִים אֶת הָאוֹר כִּי טוֹב. דְּהָא </w:t>
      </w:r>
      <w:r w:rsidRPr="00007309">
        <w:rPr>
          <w:rFonts w:cs="Arial"/>
          <w:b/>
          <w:bCs/>
          <w:sz w:val="36"/>
          <w:szCs w:val="28"/>
          <w:vertAlign w:val="superscript"/>
          <w:rtl/>
        </w:rPr>
        <w:footnoteReference w:id="8752"/>
      </w:r>
      <w:r w:rsidRPr="00007309">
        <w:rPr>
          <w:rFonts w:cs="Arial"/>
          <w:b/>
          <w:bCs/>
          <w:sz w:val="24"/>
          <w:szCs w:val="24"/>
          <w:rtl/>
        </w:rPr>
        <w:t>אוֹר</w:t>
      </w:r>
      <w:r w:rsidRPr="00007309">
        <w:rPr>
          <w:rFonts w:cs="Arial" w:hint="cs"/>
          <w:b/>
          <w:bCs/>
          <w:sz w:val="24"/>
          <w:szCs w:val="24"/>
          <w:rtl/>
        </w:rPr>
        <w:t xml:space="preserve"> </w:t>
      </w:r>
      <w:r w:rsidRPr="00007309">
        <w:rPr>
          <w:rFonts w:cs="Arial"/>
          <w:b/>
          <w:bCs/>
          <w:sz w:val="24"/>
          <w:szCs w:val="24"/>
          <w:rtl/>
        </w:rPr>
        <w:t xml:space="preserve">לְתַתָּא כַּד נָהִיר בְּחֵילָא דְּאִתְיְהִיב לֵה </w:t>
      </w:r>
      <w:r w:rsidRPr="00007309">
        <w:rPr>
          <w:rFonts w:cs="Arial"/>
          <w:b/>
          <w:bCs/>
          <w:sz w:val="36"/>
          <w:szCs w:val="28"/>
          <w:vertAlign w:val="superscript"/>
          <w:rtl/>
        </w:rPr>
        <w:footnoteReference w:id="8753"/>
      </w:r>
      <w:r w:rsidRPr="00007309">
        <w:rPr>
          <w:rFonts w:cs="Arial"/>
          <w:b/>
          <w:bCs/>
          <w:sz w:val="24"/>
          <w:szCs w:val="24"/>
          <w:rtl/>
        </w:rPr>
        <w:t xml:space="preserve">מִטּוּב דִּלְעֵלָּא, וּבְגִין דָּא ימות החמה שס"ה יומין, </w:t>
      </w:r>
      <w:r w:rsidRPr="00007309">
        <w:rPr>
          <w:rFonts w:cs="Arial"/>
          <w:b/>
          <w:bCs/>
          <w:sz w:val="36"/>
          <w:szCs w:val="28"/>
          <w:vertAlign w:val="superscript"/>
          <w:rtl/>
        </w:rPr>
        <w:footnoteReference w:id="8754"/>
      </w:r>
      <w:r w:rsidRPr="00007309">
        <w:rPr>
          <w:rFonts w:cs="Arial"/>
          <w:b/>
          <w:bCs/>
          <w:sz w:val="24"/>
          <w:szCs w:val="24"/>
          <w:rtl/>
        </w:rPr>
        <w:t xml:space="preserve">תשעה וארבעין שבועין מנהון </w:t>
      </w:r>
      <w:r w:rsidRPr="00007309">
        <w:rPr>
          <w:rFonts w:cs="Arial"/>
          <w:b/>
          <w:bCs/>
          <w:sz w:val="36"/>
          <w:szCs w:val="28"/>
          <w:vertAlign w:val="superscript"/>
          <w:rtl/>
        </w:rPr>
        <w:footnoteReference w:id="8755"/>
      </w:r>
      <w:r w:rsidRPr="00007309">
        <w:rPr>
          <w:rFonts w:cs="Arial"/>
          <w:b/>
          <w:bCs/>
          <w:sz w:val="24"/>
          <w:szCs w:val="24"/>
          <w:rtl/>
        </w:rPr>
        <w:t>לקבל הַאי</w:t>
      </w:r>
      <w:r w:rsidRPr="00007309">
        <w:rPr>
          <w:rFonts w:cs="Arial" w:hint="cs"/>
          <w:b/>
          <w:bCs/>
          <w:sz w:val="24"/>
          <w:szCs w:val="24"/>
          <w:rtl/>
        </w:rPr>
        <w:t xml:space="preserve"> </w:t>
      </w:r>
      <w:r w:rsidRPr="00007309">
        <w:rPr>
          <w:rFonts w:cs="Arial"/>
          <w:b/>
          <w:bCs/>
          <w:sz w:val="24"/>
          <w:szCs w:val="24"/>
          <w:rtl/>
        </w:rPr>
        <w:t xml:space="preserve">דַּרְגָּא דצדיק </w:t>
      </w:r>
      <w:r w:rsidRPr="00007309">
        <w:rPr>
          <w:rFonts w:cs="Arial"/>
          <w:b/>
          <w:bCs/>
          <w:sz w:val="36"/>
          <w:szCs w:val="28"/>
          <w:vertAlign w:val="superscript"/>
          <w:rtl/>
        </w:rPr>
        <w:footnoteReference w:id="8756"/>
      </w:r>
      <w:r w:rsidRPr="00007309">
        <w:rPr>
          <w:rFonts w:cs="Arial"/>
          <w:b/>
          <w:bCs/>
          <w:sz w:val="24"/>
          <w:szCs w:val="24"/>
          <w:rtl/>
        </w:rPr>
        <w:t>דאקרי טוב</w:t>
      </w:r>
      <w:r w:rsidRPr="00007309">
        <w:rPr>
          <w:rFonts w:cs="Arial" w:hint="cs"/>
          <w:b/>
          <w:bCs/>
          <w:sz w:val="24"/>
          <w:szCs w:val="24"/>
          <w:rtl/>
        </w:rPr>
        <w:t>.</w:t>
      </w:r>
      <w:r w:rsidRPr="00007309">
        <w:rPr>
          <w:rFonts w:cs="Arial"/>
          <w:b/>
          <w:bCs/>
          <w:sz w:val="24"/>
          <w:szCs w:val="24"/>
          <w:rtl/>
        </w:rPr>
        <w:t xml:space="preserve"> </w:t>
      </w:r>
      <w:r w:rsidRPr="00007309">
        <w:rPr>
          <w:rFonts w:cs="Arial" w:hint="cs"/>
          <w:b/>
          <w:bCs/>
          <w:sz w:val="24"/>
          <w:szCs w:val="24"/>
          <w:rtl/>
        </w:rPr>
        <w:t>ו</w:t>
      </w:r>
      <w:r w:rsidRPr="00007309">
        <w:rPr>
          <w:rFonts w:cs="Arial"/>
          <w:b/>
          <w:bCs/>
          <w:sz w:val="24"/>
          <w:szCs w:val="24"/>
          <w:rtl/>
        </w:rPr>
        <w:t>ְאִיהוּ שביעי</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757"/>
      </w:r>
      <w:r w:rsidRPr="00007309">
        <w:rPr>
          <w:rFonts w:cs="Arial"/>
          <w:b/>
          <w:bCs/>
          <w:sz w:val="24"/>
          <w:szCs w:val="24"/>
          <w:rtl/>
        </w:rPr>
        <w:t>ויניק מיניה שבעה שבועין שבעה זמנין</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758"/>
      </w:r>
      <w:r w:rsidRPr="00007309">
        <w:rPr>
          <w:rFonts w:cs="Arial"/>
          <w:b/>
          <w:bCs/>
          <w:sz w:val="24"/>
          <w:szCs w:val="24"/>
          <w:rtl/>
        </w:rPr>
        <w:t>לקבל שבעה שבועין שבעה זמנין דְּאִיהוּ יניק מאימא עילאה דאתקרי יובלא</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759"/>
      </w:r>
      <w:r w:rsidRPr="00007309">
        <w:rPr>
          <w:rFonts w:cs="Arial"/>
          <w:b/>
          <w:bCs/>
          <w:sz w:val="24"/>
          <w:szCs w:val="24"/>
          <w:rtl/>
        </w:rPr>
        <w:t>ולקבלא שני יובלא לְתַתָּא</w:t>
      </w:r>
      <w:r w:rsidRPr="00007309">
        <w:rPr>
          <w:rFonts w:cs="Arial" w:hint="cs"/>
          <w:b/>
          <w:bCs/>
          <w:sz w:val="24"/>
          <w:szCs w:val="24"/>
          <w:rtl/>
        </w:rPr>
        <w:t>.</w:t>
      </w:r>
      <w:r w:rsidRPr="00007309">
        <w:rPr>
          <w:rFonts w:cs="Arial"/>
          <w:b/>
          <w:bCs/>
          <w:sz w:val="24"/>
          <w:szCs w:val="24"/>
          <w:rtl/>
        </w:rPr>
        <w:t xml:space="preserve"> אשתארו משס"ה</w:t>
      </w:r>
      <w:r w:rsidRPr="00007309">
        <w:rPr>
          <w:rFonts w:cs="Arial" w:hint="cs"/>
          <w:b/>
          <w:bCs/>
          <w:sz w:val="24"/>
          <w:szCs w:val="24"/>
          <w:rtl/>
        </w:rPr>
        <w:t>,</w:t>
      </w:r>
      <w:r w:rsidRPr="00007309">
        <w:rPr>
          <w:rFonts w:cs="Arial"/>
          <w:b/>
          <w:bCs/>
          <w:sz w:val="24"/>
          <w:szCs w:val="24"/>
          <w:rtl/>
        </w:rPr>
        <w:t xml:space="preserve"> כ"ב</w:t>
      </w:r>
      <w:r w:rsidRPr="00007309">
        <w:rPr>
          <w:rFonts w:cs="Arial" w:hint="cs"/>
          <w:b/>
          <w:bCs/>
          <w:sz w:val="24"/>
          <w:szCs w:val="24"/>
          <w:rtl/>
        </w:rPr>
        <w:t>,</w:t>
      </w:r>
      <w:r w:rsidRPr="00007309">
        <w:rPr>
          <w:rFonts w:cs="Arial"/>
          <w:b/>
          <w:bCs/>
          <w:sz w:val="24"/>
          <w:szCs w:val="24"/>
          <w:rtl/>
        </w:rPr>
        <w:t xml:space="preserve"> לקבל עשרין ותרין אתוון דאורייתא, </w:t>
      </w:r>
      <w:r w:rsidRPr="00007309">
        <w:rPr>
          <w:rFonts w:cs="Arial"/>
          <w:b/>
          <w:bCs/>
          <w:sz w:val="36"/>
          <w:szCs w:val="28"/>
          <w:vertAlign w:val="superscript"/>
          <w:rtl/>
        </w:rPr>
        <w:footnoteReference w:id="8760"/>
      </w:r>
      <w:r w:rsidRPr="00007309">
        <w:rPr>
          <w:rFonts w:cs="Arial"/>
          <w:b/>
          <w:bCs/>
          <w:sz w:val="24"/>
          <w:szCs w:val="24"/>
          <w:rtl/>
        </w:rPr>
        <w:t>דעלמא תתאה אתקיים עלייהו. דְּהָא הַאי</w:t>
      </w:r>
      <w:r w:rsidRPr="00007309">
        <w:rPr>
          <w:rFonts w:cs="Arial" w:hint="cs"/>
          <w:b/>
          <w:bCs/>
          <w:sz w:val="24"/>
          <w:szCs w:val="24"/>
          <w:rtl/>
        </w:rPr>
        <w:t xml:space="preserve"> </w:t>
      </w:r>
      <w:r w:rsidRPr="00007309">
        <w:rPr>
          <w:rFonts w:cs="Arial"/>
          <w:b/>
          <w:bCs/>
          <w:sz w:val="24"/>
          <w:szCs w:val="24"/>
          <w:rtl/>
        </w:rPr>
        <w:t xml:space="preserve">צדיק דִּלְעֵלָּא תורה שבכתב אקרי. וכד </w:t>
      </w:r>
      <w:r w:rsidRPr="00007309">
        <w:rPr>
          <w:rFonts w:cs="Arial"/>
          <w:b/>
          <w:bCs/>
          <w:sz w:val="36"/>
          <w:szCs w:val="28"/>
          <w:vertAlign w:val="superscript"/>
          <w:rtl/>
        </w:rPr>
        <w:footnoteReference w:id="8761"/>
      </w:r>
      <w:r w:rsidRPr="00007309">
        <w:rPr>
          <w:rFonts w:cs="Arial"/>
          <w:b/>
          <w:bCs/>
          <w:sz w:val="24"/>
          <w:szCs w:val="24"/>
          <w:rtl/>
        </w:rPr>
        <w:t xml:space="preserve">אשתלימו אינון יומי שתא, תאבין תניינות מאימא עלאה. </w:t>
      </w:r>
      <w:r w:rsidRPr="00007309">
        <w:rPr>
          <w:rFonts w:cs="Arial"/>
          <w:b/>
          <w:bCs/>
          <w:sz w:val="36"/>
          <w:szCs w:val="28"/>
          <w:vertAlign w:val="superscript"/>
          <w:rtl/>
        </w:rPr>
        <w:footnoteReference w:id="8762"/>
      </w:r>
      <w:r w:rsidRPr="00007309">
        <w:rPr>
          <w:rFonts w:cs="Arial"/>
          <w:b/>
          <w:bCs/>
          <w:sz w:val="24"/>
          <w:szCs w:val="24"/>
          <w:rtl/>
        </w:rPr>
        <w:t>וְהַאי דַּרְגָּא דסיהרא</w:t>
      </w:r>
      <w:r w:rsidRPr="00007309">
        <w:rPr>
          <w:rFonts w:cs="Arial" w:hint="cs"/>
          <w:b/>
          <w:bCs/>
          <w:sz w:val="24"/>
          <w:szCs w:val="24"/>
          <w:rtl/>
        </w:rPr>
        <w:t>,</w:t>
      </w:r>
      <w:r w:rsidRPr="00007309">
        <w:rPr>
          <w:rFonts w:cs="Arial"/>
          <w:b/>
          <w:bCs/>
          <w:sz w:val="24"/>
          <w:szCs w:val="24"/>
          <w:rtl/>
        </w:rPr>
        <w:t xml:space="preserve"> דשלטא בליליא</w:t>
      </w:r>
      <w:r w:rsidRPr="00007309">
        <w:rPr>
          <w:rFonts w:cs="Arial" w:hint="cs"/>
          <w:b/>
          <w:bCs/>
          <w:sz w:val="24"/>
          <w:szCs w:val="24"/>
          <w:rtl/>
        </w:rPr>
        <w:t>,</w:t>
      </w:r>
      <w:r w:rsidRPr="00007309">
        <w:rPr>
          <w:rFonts w:cs="Arial"/>
          <w:b/>
          <w:bCs/>
          <w:sz w:val="24"/>
          <w:szCs w:val="24"/>
          <w:rtl/>
        </w:rPr>
        <w:t xml:space="preserve"> ינקא מההוא דַּרְגָּא דאקרי צדיק. </w:t>
      </w:r>
      <w:r w:rsidRPr="00007309">
        <w:rPr>
          <w:rFonts w:cs="Arial"/>
          <w:b/>
          <w:bCs/>
          <w:sz w:val="36"/>
          <w:szCs w:val="28"/>
          <w:vertAlign w:val="superscript"/>
          <w:rtl/>
        </w:rPr>
        <w:footnoteReference w:id="8763"/>
      </w:r>
      <w:r w:rsidRPr="00007309">
        <w:rPr>
          <w:rFonts w:cs="Arial"/>
          <w:b/>
          <w:bCs/>
          <w:sz w:val="24"/>
          <w:szCs w:val="24"/>
          <w:rtl/>
        </w:rPr>
        <w:t>ובגין דההוא דַּרְגָּא דצדיק אמלי לה מההוא תפנוקי עילאן, וינקא מיניה, איקרי סיהרא. דכמה דְּהַאי</w:t>
      </w:r>
      <w:r w:rsidRPr="00007309">
        <w:rPr>
          <w:rFonts w:cs="Arial" w:hint="cs"/>
          <w:b/>
          <w:bCs/>
          <w:sz w:val="24"/>
          <w:szCs w:val="24"/>
          <w:rtl/>
        </w:rPr>
        <w:t xml:space="preserve"> </w:t>
      </w:r>
      <w:r w:rsidRPr="00007309">
        <w:rPr>
          <w:rFonts w:cs="Arial"/>
          <w:b/>
          <w:bCs/>
          <w:sz w:val="24"/>
          <w:szCs w:val="24"/>
          <w:rtl/>
        </w:rPr>
        <w:t>סיהרא דִּלְתַתָּא לית לה נהורא אלא מִשִּׁמְשָׁא</w:t>
      </w:r>
      <w:r w:rsidRPr="00007309">
        <w:rPr>
          <w:rFonts w:cs="Arial" w:hint="cs"/>
          <w:b/>
          <w:bCs/>
          <w:sz w:val="24"/>
          <w:szCs w:val="24"/>
          <w:rtl/>
        </w:rPr>
        <w:t>,</w:t>
      </w:r>
      <w:r w:rsidRPr="00007309">
        <w:rPr>
          <w:rFonts w:cs="Arial"/>
          <w:b/>
          <w:bCs/>
          <w:sz w:val="24"/>
          <w:szCs w:val="24"/>
          <w:rtl/>
        </w:rPr>
        <w:t xml:space="preserve"> ממאי דְּאִתְיְהִיב לה, הָכֵי נמי ההוא דַּרְגָּא דִּלְעֵלָּא. </w:t>
      </w:r>
    </w:p>
    <w:p w:rsidR="00007309" w:rsidRPr="00007309" w:rsidRDefault="00007309" w:rsidP="00007309">
      <w:pPr>
        <w:jc w:val="both"/>
        <w:rPr>
          <w:rFonts w:cs="Arial"/>
          <w:b/>
          <w:bCs/>
          <w:sz w:val="24"/>
          <w:szCs w:val="24"/>
          <w:rtl/>
        </w:rPr>
      </w:pPr>
      <w:r w:rsidRPr="00007309">
        <w:rPr>
          <w:rFonts w:cs="Arial"/>
          <w:b/>
          <w:bCs/>
          <w:sz w:val="24"/>
          <w:szCs w:val="24"/>
          <w:rtl/>
        </w:rPr>
        <w:t>וְהַאי דַּרְגָּא יָם אִקְּרֵי. וכמה דִּלְעֵלָּא קיימין תרין עשר שבטין קדישין, תלת לסטר צפון</w:t>
      </w:r>
      <w:r w:rsidRPr="00007309">
        <w:rPr>
          <w:rFonts w:cs="Arial" w:hint="cs"/>
          <w:b/>
          <w:bCs/>
          <w:sz w:val="24"/>
          <w:szCs w:val="24"/>
          <w:rtl/>
        </w:rPr>
        <w:t>,</w:t>
      </w:r>
      <w:r w:rsidRPr="00007309">
        <w:rPr>
          <w:rFonts w:cs="Arial"/>
          <w:b/>
          <w:bCs/>
          <w:sz w:val="24"/>
          <w:szCs w:val="24"/>
          <w:rtl/>
        </w:rPr>
        <w:t xml:space="preserve"> ותלת לסטר מערב</w:t>
      </w:r>
      <w:r w:rsidRPr="00007309">
        <w:rPr>
          <w:rFonts w:cs="Arial" w:hint="cs"/>
          <w:b/>
          <w:bCs/>
          <w:sz w:val="24"/>
          <w:szCs w:val="24"/>
          <w:rtl/>
        </w:rPr>
        <w:t>,</w:t>
      </w:r>
      <w:r w:rsidRPr="00007309">
        <w:rPr>
          <w:rFonts w:cs="Arial"/>
          <w:b/>
          <w:bCs/>
          <w:sz w:val="24"/>
          <w:szCs w:val="24"/>
          <w:rtl/>
        </w:rPr>
        <w:t xml:space="preserve"> ותלת לסטר מזרח</w:t>
      </w:r>
      <w:r w:rsidRPr="00007309">
        <w:rPr>
          <w:rFonts w:cs="Arial" w:hint="cs"/>
          <w:b/>
          <w:bCs/>
          <w:sz w:val="24"/>
          <w:szCs w:val="24"/>
          <w:rtl/>
        </w:rPr>
        <w:t>,</w:t>
      </w:r>
      <w:r w:rsidRPr="00007309">
        <w:rPr>
          <w:rFonts w:cs="Arial"/>
          <w:b/>
          <w:bCs/>
          <w:sz w:val="24"/>
          <w:szCs w:val="24"/>
          <w:rtl/>
        </w:rPr>
        <w:t xml:space="preserve"> ותלת לסטר דרום, וְהַאי ימא דחכמתא עָלַיְהוּ, כָּךְ גַּם כֵּן לְקָבְלְהוֹן לְתַתָּא, י"ב שִׁבְטִין קַיְּמִין סַחֲרָנֵי מַשְׁכְּנָא בְּהַאי גּווָֹנָא, כָּל חַד מִנַּיְהוּ בְּדוּכְתָא דְּאִתְחֲזֵי לֵהּ. </w:t>
      </w:r>
    </w:p>
    <w:p w:rsidR="00007309" w:rsidRPr="00007309" w:rsidRDefault="00007309" w:rsidP="00007309">
      <w:pPr>
        <w:jc w:val="both"/>
        <w:rPr>
          <w:rFonts w:cs="Arial"/>
          <w:b/>
          <w:bCs/>
          <w:sz w:val="24"/>
          <w:szCs w:val="24"/>
          <w:rtl/>
        </w:rPr>
      </w:pPr>
      <w:r w:rsidRPr="00007309">
        <w:rPr>
          <w:rFonts w:cs="Arial"/>
          <w:b/>
          <w:bCs/>
          <w:sz w:val="24"/>
          <w:szCs w:val="24"/>
          <w:rtl/>
        </w:rPr>
        <w:t>וְלָקֳבֵל הַאי דַּרְגָּא עֶבֶד שְׁלֹמֹה לְתַתָּא יָם עוֹמֵד עַל שְׁנֵים עָשָׂר בָּקָר, שְׁלֹשָׁה פּוֹנִים צָפוֹנָה, וּשְׁלֹשָׁה פּוֹנִים דָּרוֹם, וְג' פּוֹנִים מִזְרָח, וְג' פּוֹנִים מַעֲרָב. וְהַאי דַּרְגָּא לְעֵלָּא, מ</w:t>
      </w:r>
      <w:r w:rsidRPr="00007309">
        <w:rPr>
          <w:rFonts w:cs="Arial" w:hint="cs"/>
          <w:b/>
          <w:bCs/>
          <w:sz w:val="24"/>
          <w:szCs w:val="24"/>
          <w:rtl/>
        </w:rPr>
        <w:t>אי טעמא</w:t>
      </w:r>
      <w:r w:rsidRPr="00007309">
        <w:rPr>
          <w:rFonts w:cs="Arial"/>
          <w:b/>
          <w:bCs/>
          <w:sz w:val="24"/>
          <w:szCs w:val="24"/>
          <w:rtl/>
        </w:rPr>
        <w:t xml:space="preserve"> אִקְּרֵי יָם</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764"/>
      </w:r>
      <w:r w:rsidRPr="00007309">
        <w:rPr>
          <w:rFonts w:cs="Arial"/>
          <w:b/>
          <w:bCs/>
          <w:sz w:val="24"/>
          <w:szCs w:val="24"/>
          <w:rtl/>
        </w:rPr>
        <w:t xml:space="preserve"> אֶלָּא בְּגִין דְּהַהוּא צַדִּיק דְּאַמְלֵי לְהַאי יָם, אִקְּרֵי יוֹם</w:t>
      </w:r>
      <w:r w:rsidRPr="00007309">
        <w:rPr>
          <w:rFonts w:cs="Arial" w:hint="cs"/>
          <w:b/>
          <w:bCs/>
          <w:sz w:val="24"/>
          <w:szCs w:val="24"/>
          <w:rtl/>
        </w:rPr>
        <w:t>,</w:t>
      </w:r>
      <w:r w:rsidRPr="00007309">
        <w:rPr>
          <w:rFonts w:cs="Arial"/>
          <w:b/>
          <w:bCs/>
          <w:sz w:val="24"/>
          <w:szCs w:val="24"/>
          <w:rtl/>
        </w:rPr>
        <w:t xml:space="preserve"> הָדָא הוּא דִּכְתִיב וַיִּקְרָא אֱלֹהִים לָאוֹר יוֹם. </w:t>
      </w:r>
      <w:r w:rsidRPr="00007309">
        <w:rPr>
          <w:rFonts w:cs="Arial"/>
          <w:b/>
          <w:bCs/>
          <w:sz w:val="36"/>
          <w:szCs w:val="28"/>
          <w:vertAlign w:val="superscript"/>
          <w:rtl/>
        </w:rPr>
        <w:footnoteReference w:id="8765"/>
      </w:r>
      <w:r w:rsidRPr="00007309">
        <w:rPr>
          <w:rFonts w:cs="Arial"/>
          <w:b/>
          <w:bCs/>
          <w:sz w:val="24"/>
          <w:szCs w:val="24"/>
          <w:rtl/>
        </w:rPr>
        <w:t xml:space="preserve">וּכְתִיב </w:t>
      </w:r>
      <w:r w:rsidRPr="00007309">
        <w:rPr>
          <w:rFonts w:cs="Arial" w:hint="cs"/>
          <w:b/>
          <w:bCs/>
          <w:sz w:val="24"/>
          <w:szCs w:val="24"/>
          <w:rtl/>
        </w:rPr>
        <w:t xml:space="preserve">(תהלים צז יא) </w:t>
      </w:r>
      <w:r w:rsidRPr="00007309">
        <w:rPr>
          <w:rFonts w:cs="Arial"/>
          <w:b/>
          <w:bCs/>
          <w:sz w:val="24"/>
          <w:szCs w:val="24"/>
          <w:rtl/>
        </w:rPr>
        <w:t xml:space="preserve">אוֹר זָרֻעַ לַצַּדִּיק וּלְיִשְׁרֵי לֵב שִׂמְחָה. וְהוּא נָהִיר </w:t>
      </w:r>
      <w:r w:rsidRPr="00007309">
        <w:rPr>
          <w:rFonts w:cs="Arial"/>
          <w:b/>
          <w:bCs/>
          <w:sz w:val="36"/>
          <w:szCs w:val="28"/>
          <w:vertAlign w:val="superscript"/>
          <w:rtl/>
        </w:rPr>
        <w:footnoteReference w:id="8766"/>
      </w:r>
      <w:r w:rsidRPr="00007309">
        <w:rPr>
          <w:rFonts w:cs="Arial"/>
          <w:b/>
          <w:bCs/>
          <w:sz w:val="24"/>
          <w:szCs w:val="24"/>
          <w:rtl/>
        </w:rPr>
        <w:t>בְּרָזָא דְּוָא"ו דִּשְׁמָא קַדִּישָׁא. וְהַהוּא יוֹם בְּרָזָא דְּחֵילָא דִּשְׁמָא קַדִּישָׁא דְּבֵהּ</w:t>
      </w:r>
      <w:r w:rsidRPr="00007309">
        <w:rPr>
          <w:rFonts w:cs="Arial" w:hint="cs"/>
          <w:b/>
          <w:bCs/>
          <w:sz w:val="24"/>
          <w:szCs w:val="24"/>
          <w:rtl/>
        </w:rPr>
        <w:t>,</w:t>
      </w:r>
      <w:r w:rsidRPr="00007309">
        <w:rPr>
          <w:rFonts w:cs="Arial"/>
          <w:b/>
          <w:bCs/>
          <w:sz w:val="24"/>
          <w:szCs w:val="24"/>
          <w:rtl/>
        </w:rPr>
        <w:t xml:space="preserve"> אַמְלֵי לְהַאי יָם </w:t>
      </w:r>
      <w:r w:rsidRPr="00007309">
        <w:rPr>
          <w:rFonts w:cs="Arial"/>
          <w:b/>
          <w:bCs/>
          <w:sz w:val="36"/>
          <w:szCs w:val="28"/>
          <w:vertAlign w:val="superscript"/>
          <w:rtl/>
        </w:rPr>
        <w:footnoteReference w:id="8767"/>
      </w:r>
      <w:r w:rsidRPr="00007309">
        <w:rPr>
          <w:rFonts w:cs="Arial"/>
          <w:b/>
          <w:bCs/>
          <w:sz w:val="24"/>
          <w:szCs w:val="24"/>
          <w:rtl/>
        </w:rPr>
        <w:t xml:space="preserve">דְאִקְּרֵי ה"א תַּתָּאָה דִּשְׁמָא קַדִּישָׁא. הָדָא הוּא דִּכְתִיב </w:t>
      </w:r>
      <w:r w:rsidRPr="00007309">
        <w:rPr>
          <w:rFonts w:cs="Arial" w:hint="cs"/>
          <w:b/>
          <w:bCs/>
          <w:sz w:val="24"/>
          <w:szCs w:val="24"/>
          <w:rtl/>
        </w:rPr>
        <w:t xml:space="preserve">(קהלת א ז) </w:t>
      </w:r>
      <w:r w:rsidRPr="00007309">
        <w:rPr>
          <w:rFonts w:cs="Arial"/>
          <w:b/>
          <w:bCs/>
          <w:sz w:val="24"/>
          <w:szCs w:val="24"/>
          <w:rtl/>
        </w:rPr>
        <w:t>כָּל הַנְּחָלִים הוֹלְכִים אֶל הַיָּם. וְכָל דָּא דַּרְגָּא דְּצַדִּיק</w:t>
      </w:r>
      <w:r w:rsidRPr="00007309">
        <w:rPr>
          <w:rFonts w:cs="Arial" w:hint="cs"/>
          <w:b/>
          <w:bCs/>
          <w:sz w:val="24"/>
          <w:szCs w:val="24"/>
          <w:rtl/>
        </w:rPr>
        <w:t>,</w:t>
      </w:r>
      <w:r w:rsidRPr="00007309">
        <w:rPr>
          <w:rFonts w:cs="Arial"/>
          <w:b/>
          <w:bCs/>
          <w:sz w:val="24"/>
          <w:szCs w:val="24"/>
          <w:rtl/>
        </w:rPr>
        <w:t xml:space="preserve"> בְּגִין דְּכָל תַּפְנוּקִין מִנֵּהּ נָפְקִין. </w:t>
      </w:r>
      <w:r w:rsidRPr="00007309">
        <w:rPr>
          <w:rFonts w:cs="Arial"/>
          <w:b/>
          <w:bCs/>
          <w:sz w:val="36"/>
          <w:szCs w:val="28"/>
          <w:vertAlign w:val="superscript"/>
          <w:rtl/>
        </w:rPr>
        <w:footnoteReference w:id="8768"/>
      </w:r>
      <w:r w:rsidRPr="00007309">
        <w:rPr>
          <w:rFonts w:cs="Arial"/>
          <w:b/>
          <w:bCs/>
          <w:sz w:val="24"/>
          <w:szCs w:val="24"/>
          <w:rtl/>
        </w:rPr>
        <w:t>מַאי הַנְּחָלִים, אִלֵּין חָמֵשׁ דַּרְגִּין דְּעִמֵּהּ</w:t>
      </w:r>
      <w:r w:rsidRPr="00007309">
        <w:rPr>
          <w:rFonts w:cs="Arial" w:hint="cs"/>
          <w:b/>
          <w:bCs/>
          <w:sz w:val="24"/>
          <w:szCs w:val="24"/>
          <w:rtl/>
        </w:rPr>
        <w:t>.</w:t>
      </w:r>
      <w:r w:rsidRPr="00007309">
        <w:rPr>
          <w:rFonts w:cs="Arial"/>
          <w:b/>
          <w:bCs/>
          <w:sz w:val="24"/>
          <w:szCs w:val="24"/>
          <w:rtl/>
        </w:rPr>
        <w:t xml:space="preserve"> הוֹלְכִים אֶל הַיָּם</w:t>
      </w:r>
      <w:r w:rsidRPr="00007309">
        <w:rPr>
          <w:rFonts w:cs="Arial" w:hint="cs"/>
          <w:b/>
          <w:bCs/>
          <w:sz w:val="24"/>
          <w:szCs w:val="24"/>
          <w:rtl/>
        </w:rPr>
        <w:t>,</w:t>
      </w:r>
      <w:r w:rsidRPr="00007309">
        <w:rPr>
          <w:rFonts w:cs="Arial"/>
          <w:b/>
          <w:bCs/>
          <w:sz w:val="24"/>
          <w:szCs w:val="24"/>
          <w:rtl/>
        </w:rPr>
        <w:t xml:space="preserve"> לְמִמְלֵי לֵהּ. וְהַאי דַּרְגָּא </w:t>
      </w:r>
      <w:r w:rsidRPr="00007309">
        <w:rPr>
          <w:rFonts w:cs="Arial"/>
          <w:b/>
          <w:bCs/>
          <w:sz w:val="36"/>
          <w:szCs w:val="28"/>
          <w:vertAlign w:val="superscript"/>
          <w:rtl/>
        </w:rPr>
        <w:footnoteReference w:id="8769"/>
      </w:r>
      <w:r w:rsidRPr="00007309">
        <w:rPr>
          <w:rFonts w:cs="Arial"/>
          <w:b/>
          <w:bCs/>
          <w:sz w:val="24"/>
          <w:szCs w:val="24"/>
          <w:rtl/>
        </w:rPr>
        <w:t xml:space="preserve">אִקְּרֵי בַּת שֶׁבַע. </w:t>
      </w:r>
    </w:p>
    <w:p w:rsidR="00007309" w:rsidRPr="00007309" w:rsidRDefault="00007309" w:rsidP="00007309">
      <w:pPr>
        <w:keepNext/>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[וילנא נ ע"א]</w:t>
      </w:r>
    </w:p>
    <w:p w:rsidR="00007309" w:rsidRPr="00007309" w:rsidRDefault="00007309" w:rsidP="00007309">
      <w:pPr>
        <w:jc w:val="both"/>
        <w:rPr>
          <w:rFonts w:cs="Arial"/>
          <w:b/>
          <w:bCs/>
          <w:sz w:val="24"/>
          <w:szCs w:val="24"/>
        </w:rPr>
      </w:pPr>
      <w:r w:rsidRPr="00007309">
        <w:rPr>
          <w:rFonts w:cs="Arial"/>
          <w:b/>
          <w:bCs/>
          <w:sz w:val="24"/>
          <w:szCs w:val="24"/>
          <w:rtl/>
        </w:rPr>
        <w:t>וְכַד נָהִיר הַאי צַדִּיק לְהַאי דַּרְגָּא דְאִקְּרֵי צֶדֶק</w:t>
      </w:r>
      <w:r w:rsidRPr="00007309">
        <w:rPr>
          <w:rFonts w:cs="Arial" w:hint="cs"/>
          <w:b/>
          <w:bCs/>
          <w:sz w:val="24"/>
          <w:szCs w:val="24"/>
          <w:rtl/>
        </w:rPr>
        <w:t>,</w:t>
      </w:r>
      <w:r w:rsidRPr="00007309">
        <w:rPr>
          <w:rFonts w:cs="Arial"/>
          <w:b/>
          <w:bCs/>
          <w:sz w:val="24"/>
          <w:szCs w:val="24"/>
          <w:rtl/>
        </w:rPr>
        <w:t xml:space="preserve"> מְהַאי דַּרְגָּא דְאִקְּרֵי שִׁבְעָה שָׁבוּעִין שִׁבְעָה זִמְנִין, כְּדֵין עָלְמָא תַּתָּאָה נַמֵּי</w:t>
      </w:r>
      <w:r w:rsidRPr="00007309">
        <w:rPr>
          <w:rFonts w:cs="Arial" w:hint="cs"/>
          <w:b/>
          <w:bCs/>
          <w:sz w:val="24"/>
          <w:szCs w:val="24"/>
          <w:rtl/>
        </w:rPr>
        <w:t>,</w:t>
      </w:r>
      <w:r w:rsidRPr="00007309">
        <w:rPr>
          <w:rFonts w:cs="Arial"/>
          <w:b/>
          <w:bCs/>
          <w:sz w:val="24"/>
          <w:szCs w:val="24"/>
          <w:rtl/>
        </w:rPr>
        <w:t xml:space="preserve"> הַאי דַּרְגָּא דְאִקְּרֵי סִיהֲרָא דְּשָׁלְטָא בְּלֵילְיָא </w:t>
      </w:r>
      <w:r w:rsidRPr="00007309">
        <w:rPr>
          <w:rFonts w:cs="Arial" w:hint="cs"/>
          <w:b/>
          <w:bCs/>
          <w:sz w:val="24"/>
          <w:szCs w:val="24"/>
          <w:rtl/>
        </w:rPr>
        <w:t>(</w:t>
      </w:r>
      <w:r w:rsidRPr="00007309">
        <w:rPr>
          <w:rFonts w:cs="Arial"/>
          <w:b/>
          <w:bCs/>
          <w:sz w:val="24"/>
          <w:szCs w:val="24"/>
          <w:rtl/>
        </w:rPr>
        <w:t>שְׁנַת הַלְּבָנָה כַּמָּה סַגִּי</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770"/>
      </w:r>
      <w:r w:rsidRPr="00007309">
        <w:rPr>
          <w:rFonts w:cs="Arial"/>
          <w:b/>
          <w:bCs/>
          <w:sz w:val="24"/>
          <w:szCs w:val="24"/>
          <w:rtl/>
        </w:rPr>
        <w:t>הוי שנ"ה יוֹמִין</w:t>
      </w:r>
      <w:r w:rsidRPr="00007309">
        <w:rPr>
          <w:rFonts w:cs="Arial" w:hint="cs"/>
          <w:b/>
          <w:bCs/>
          <w:sz w:val="24"/>
          <w:szCs w:val="24"/>
          <w:rtl/>
        </w:rPr>
        <w:t>.</w:t>
      </w:r>
      <w:r w:rsidRPr="00007309">
        <w:rPr>
          <w:rFonts w:cs="Arial"/>
          <w:b/>
          <w:bCs/>
          <w:sz w:val="24"/>
          <w:szCs w:val="24"/>
          <w:rtl/>
        </w:rPr>
        <w:t xml:space="preserve"> אַרְבְּעִין וְתֵשַׁע שָׁבוּעִין מִנְּהוֹן</w:t>
      </w:r>
      <w:r w:rsidRPr="00007309">
        <w:rPr>
          <w:rFonts w:cs="Arial" w:hint="cs"/>
          <w:b/>
          <w:bCs/>
          <w:sz w:val="24"/>
          <w:szCs w:val="24"/>
          <w:rtl/>
        </w:rPr>
        <w:t>,</w:t>
      </w:r>
      <w:r w:rsidRPr="00007309">
        <w:rPr>
          <w:rFonts w:cs="Arial"/>
          <w:b/>
          <w:bCs/>
          <w:sz w:val="24"/>
          <w:szCs w:val="24"/>
          <w:rtl/>
        </w:rPr>
        <w:t xml:space="preserve"> לָקֳבֵל הַאי דַּרְגָּא </w:t>
      </w:r>
      <w:r w:rsidRPr="00007309">
        <w:rPr>
          <w:rFonts w:cs="Arial"/>
          <w:b/>
          <w:bCs/>
          <w:sz w:val="36"/>
          <w:szCs w:val="28"/>
          <w:vertAlign w:val="superscript"/>
          <w:rtl/>
        </w:rPr>
        <w:footnoteReference w:id="8771"/>
      </w:r>
      <w:r w:rsidRPr="00007309">
        <w:rPr>
          <w:rFonts w:cs="Arial"/>
          <w:b/>
          <w:bCs/>
          <w:sz w:val="24"/>
          <w:szCs w:val="24"/>
          <w:rtl/>
        </w:rPr>
        <w:t xml:space="preserve">דְּיָם דִּלְעֵלָּא, </w:t>
      </w:r>
      <w:r w:rsidRPr="00007309">
        <w:rPr>
          <w:rFonts w:cs="Arial"/>
          <w:b/>
          <w:bCs/>
          <w:sz w:val="36"/>
          <w:szCs w:val="28"/>
          <w:vertAlign w:val="superscript"/>
          <w:rtl/>
        </w:rPr>
        <w:footnoteReference w:id="8772"/>
      </w:r>
      <w:r w:rsidRPr="00007309">
        <w:rPr>
          <w:rFonts w:cs="Arial"/>
          <w:b/>
          <w:bCs/>
          <w:sz w:val="24"/>
          <w:szCs w:val="24"/>
          <w:rtl/>
        </w:rPr>
        <w:t xml:space="preserve">דְּאִיהִי מְקַבְּלָא </w:t>
      </w:r>
      <w:r w:rsidRPr="00007309">
        <w:rPr>
          <w:rFonts w:ascii="Cambria" w:hAnsi="Cambria" w:cs="Times New Roman"/>
          <w:b/>
          <w:bCs/>
          <w:i/>
          <w:iCs/>
          <w:color w:val="4F81BD"/>
          <w:sz w:val="24"/>
          <w:szCs w:val="24"/>
          <w:rtl/>
        </w:rPr>
        <w:t>(</w:t>
      </w:r>
      <w:r w:rsidRPr="00007309">
        <w:rPr>
          <w:rFonts w:ascii="Cambria" w:hAnsi="Cambria" w:cs="Times New Roman" w:hint="cs"/>
          <w:b/>
          <w:bCs/>
          <w:i/>
          <w:iCs/>
          <w:color w:val="4F81BD"/>
          <w:sz w:val="24"/>
          <w:szCs w:val="24"/>
          <w:rtl/>
        </w:rPr>
        <w:t>וילנא נ</w:t>
      </w:r>
      <w:r w:rsidRPr="00007309">
        <w:rPr>
          <w:rFonts w:ascii="Cambria" w:hAnsi="Cambria" w:cs="Times New Roman"/>
          <w:b/>
          <w:bCs/>
          <w:i/>
          <w:iCs/>
          <w:color w:val="4F81BD"/>
          <w:sz w:val="24"/>
          <w:szCs w:val="24"/>
          <w:rtl/>
        </w:rPr>
        <w:t xml:space="preserve"> ע"</w:t>
      </w:r>
      <w:r w:rsidRPr="00007309">
        <w:rPr>
          <w:rFonts w:ascii="Cambria" w:hAnsi="Cambria" w:cs="Times New Roman" w:hint="cs"/>
          <w:b/>
          <w:bCs/>
          <w:i/>
          <w:iCs/>
          <w:color w:val="4F81BD"/>
          <w:sz w:val="24"/>
          <w:szCs w:val="24"/>
          <w:rtl/>
        </w:rPr>
        <w:t>א</w:t>
      </w:r>
      <w:r w:rsidRPr="00007309">
        <w:rPr>
          <w:rFonts w:ascii="Cambria" w:hAnsi="Cambria" w:cs="Times New Roman"/>
          <w:b/>
          <w:bCs/>
          <w:i/>
          <w:iCs/>
          <w:color w:val="4F81BD"/>
          <w:sz w:val="24"/>
          <w:szCs w:val="24"/>
          <w:rtl/>
        </w:rPr>
        <w:t>)</w:t>
      </w:r>
      <w:r w:rsidRPr="00007309">
        <w:rPr>
          <w:rFonts w:cs="Arial"/>
          <w:b/>
          <w:bCs/>
          <w:sz w:val="24"/>
          <w:szCs w:val="24"/>
          <w:rtl/>
        </w:rPr>
        <w:t xml:space="preserve"> מִנֵּהּ. אִשְׁתְּאֲרוּ י"ב יוֹמִין</w:t>
      </w:r>
      <w:r w:rsidRPr="00007309">
        <w:rPr>
          <w:rFonts w:cs="Arial" w:hint="cs"/>
          <w:b/>
          <w:bCs/>
          <w:sz w:val="24"/>
          <w:szCs w:val="24"/>
          <w:rtl/>
        </w:rPr>
        <w:t>,</w:t>
      </w:r>
      <w:r w:rsidRPr="00007309">
        <w:rPr>
          <w:rFonts w:cs="Arial"/>
          <w:b/>
          <w:bCs/>
          <w:sz w:val="24"/>
          <w:szCs w:val="24"/>
          <w:rtl/>
        </w:rPr>
        <w:t xml:space="preserve"> לָקֳבֵל י"ב שִׁבְטִין </w:t>
      </w:r>
      <w:r w:rsidRPr="00007309">
        <w:rPr>
          <w:rFonts w:cs="Arial"/>
          <w:b/>
          <w:bCs/>
          <w:sz w:val="36"/>
          <w:szCs w:val="28"/>
          <w:vertAlign w:val="superscript"/>
          <w:rtl/>
        </w:rPr>
        <w:footnoteReference w:id="8773"/>
      </w:r>
      <w:r w:rsidRPr="00007309">
        <w:rPr>
          <w:rFonts w:cs="Arial"/>
          <w:b/>
          <w:bCs/>
          <w:sz w:val="24"/>
          <w:szCs w:val="24"/>
          <w:rtl/>
        </w:rPr>
        <w:t>דְּסַחֲרָנֵי הַאי יָמָא, לִמְטַר מִטְרַת מַשְׁכְּנָא</w:t>
      </w:r>
      <w:r w:rsidRPr="00007309">
        <w:rPr>
          <w:rFonts w:cs="Arial" w:hint="cs"/>
          <w:b/>
          <w:bCs/>
          <w:sz w:val="24"/>
          <w:szCs w:val="24"/>
          <w:rtl/>
        </w:rPr>
        <w:t>.</w:t>
      </w:r>
      <w:r w:rsidRPr="00007309">
        <w:rPr>
          <w:rFonts w:cs="Arial"/>
          <w:b/>
          <w:bCs/>
          <w:sz w:val="24"/>
          <w:szCs w:val="24"/>
          <w:rtl/>
        </w:rPr>
        <w:t xml:space="preserve"> וְכֹלָּא לְאַחֲזָאָה חֵילָא עִלָּאָה. וע</w:t>
      </w:r>
      <w:r w:rsidRPr="00007309">
        <w:rPr>
          <w:rFonts w:cs="Arial" w:hint="cs"/>
          <w:b/>
          <w:bCs/>
          <w:sz w:val="24"/>
          <w:szCs w:val="24"/>
          <w:rtl/>
        </w:rPr>
        <w:t>ל דא</w:t>
      </w:r>
      <w:r w:rsidRPr="00007309">
        <w:rPr>
          <w:rFonts w:cs="Arial"/>
          <w:b/>
          <w:bCs/>
          <w:sz w:val="24"/>
          <w:szCs w:val="24"/>
          <w:rtl/>
        </w:rPr>
        <w:t xml:space="preserve"> כְּתִיב </w:t>
      </w:r>
      <w:r w:rsidRPr="00007309">
        <w:rPr>
          <w:rFonts w:cs="Arial" w:hint="cs"/>
          <w:b/>
          <w:bCs/>
          <w:sz w:val="24"/>
          <w:szCs w:val="24"/>
          <w:rtl/>
        </w:rPr>
        <w:t xml:space="preserve">(ישעיה מג ז) </w:t>
      </w:r>
      <w:r w:rsidRPr="00007309">
        <w:rPr>
          <w:rFonts w:cs="Arial"/>
          <w:b/>
          <w:bCs/>
          <w:sz w:val="24"/>
          <w:szCs w:val="24"/>
          <w:rtl/>
        </w:rPr>
        <w:t>כָּל הַנִּקְרָא בִּשְׁמִי</w:t>
      </w:r>
      <w:r w:rsidRPr="00007309">
        <w:rPr>
          <w:rFonts w:cs="Arial" w:hint="cs"/>
          <w:b/>
          <w:bCs/>
          <w:sz w:val="24"/>
          <w:szCs w:val="24"/>
          <w:rtl/>
        </w:rPr>
        <w:t>,</w:t>
      </w:r>
      <w:r w:rsidRPr="00007309">
        <w:rPr>
          <w:rFonts w:cs="Arial"/>
          <w:b/>
          <w:bCs/>
          <w:sz w:val="24"/>
          <w:szCs w:val="24"/>
          <w:rtl/>
        </w:rPr>
        <w:t xml:space="preserve"> דָּא דַּרְגָּא דְּצַדִּיק, דְּאִיהוּ נָהִיר בְּחֵילָא </w:t>
      </w:r>
      <w:r w:rsidRPr="00007309">
        <w:rPr>
          <w:rFonts w:cs="Arial"/>
          <w:b/>
          <w:bCs/>
          <w:sz w:val="36"/>
          <w:szCs w:val="28"/>
          <w:vertAlign w:val="superscript"/>
          <w:rtl/>
        </w:rPr>
        <w:footnoteReference w:id="8774"/>
      </w:r>
      <w:r w:rsidRPr="00007309">
        <w:rPr>
          <w:rFonts w:cs="Arial"/>
          <w:b/>
          <w:bCs/>
          <w:sz w:val="24"/>
          <w:szCs w:val="24"/>
          <w:rtl/>
        </w:rPr>
        <w:t xml:space="preserve">דִּשְׁמֵהּ קַדִּישָׁא, הָדָא הוּא דִּכְתִיב וְלִכְבוֹדִי בְּרָאתִיו, </w:t>
      </w:r>
      <w:r w:rsidRPr="00007309">
        <w:rPr>
          <w:rFonts w:cs="Arial"/>
          <w:b/>
          <w:bCs/>
          <w:sz w:val="36"/>
          <w:szCs w:val="28"/>
          <w:vertAlign w:val="superscript"/>
          <w:rtl/>
        </w:rPr>
        <w:footnoteReference w:id="8775"/>
      </w:r>
      <w:r w:rsidRPr="00007309">
        <w:rPr>
          <w:rFonts w:cs="Arial"/>
          <w:b/>
          <w:bCs/>
          <w:sz w:val="24"/>
          <w:szCs w:val="24"/>
          <w:rtl/>
        </w:rPr>
        <w:t xml:space="preserve">דָּא יַמָּא בְּחָכְמְתָא דְאִקְּרֵי כָּבוֹד. יְצַרְתִּיו </w:t>
      </w:r>
      <w:r w:rsidRPr="00007309">
        <w:rPr>
          <w:rFonts w:cs="Arial"/>
          <w:b/>
          <w:bCs/>
          <w:sz w:val="36"/>
          <w:szCs w:val="28"/>
          <w:vertAlign w:val="superscript"/>
          <w:rtl/>
        </w:rPr>
        <w:footnoteReference w:id="8776"/>
      </w:r>
      <w:r w:rsidRPr="00007309">
        <w:rPr>
          <w:rFonts w:cs="Arial"/>
          <w:b/>
          <w:bCs/>
          <w:sz w:val="24"/>
          <w:szCs w:val="24"/>
          <w:rtl/>
        </w:rPr>
        <w:t xml:space="preserve">דָּא רָזָא דְּיוֹם לְתַתָּא דְּאִיהוּ </w:t>
      </w:r>
      <w:r w:rsidRPr="00007309">
        <w:rPr>
          <w:rFonts w:cs="Arial"/>
          <w:b/>
          <w:bCs/>
          <w:sz w:val="36"/>
          <w:szCs w:val="28"/>
          <w:vertAlign w:val="superscript"/>
          <w:rtl/>
        </w:rPr>
        <w:footnoteReference w:id="8777"/>
      </w:r>
      <w:r w:rsidRPr="00007309">
        <w:rPr>
          <w:rFonts w:cs="Arial"/>
          <w:b/>
          <w:bCs/>
          <w:sz w:val="24"/>
          <w:szCs w:val="24"/>
          <w:rtl/>
        </w:rPr>
        <w:t>לָקֳבֵל כָּל דִּלְעֵלָּא. אַף עֲשִׂיתִיו</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778"/>
      </w:r>
      <w:r w:rsidRPr="00007309">
        <w:rPr>
          <w:rFonts w:cs="Arial"/>
          <w:b/>
          <w:bCs/>
          <w:sz w:val="24"/>
          <w:szCs w:val="24"/>
          <w:rtl/>
        </w:rPr>
        <w:t>דָּא סִיהֲרָא דִּלְתַתָּא. וע</w:t>
      </w:r>
      <w:r w:rsidRPr="00007309">
        <w:rPr>
          <w:rFonts w:cs="Arial" w:hint="cs"/>
          <w:b/>
          <w:bCs/>
          <w:sz w:val="24"/>
          <w:szCs w:val="24"/>
          <w:rtl/>
        </w:rPr>
        <w:t>ל דא</w:t>
      </w:r>
      <w:r w:rsidRPr="00007309">
        <w:rPr>
          <w:rFonts w:cs="Arial"/>
          <w:b/>
          <w:bCs/>
          <w:sz w:val="24"/>
          <w:szCs w:val="24"/>
          <w:rtl/>
        </w:rPr>
        <w:t xml:space="preserve"> כְּתִיב </w:t>
      </w:r>
      <w:r w:rsidRPr="00007309">
        <w:rPr>
          <w:rFonts w:cs="Arial" w:hint="cs"/>
          <w:b/>
          <w:bCs/>
          <w:sz w:val="24"/>
          <w:szCs w:val="24"/>
          <w:rtl/>
        </w:rPr>
        <w:t xml:space="preserve">(ישעיה מה ז) </w:t>
      </w:r>
      <w:r w:rsidRPr="00007309">
        <w:rPr>
          <w:rFonts w:cs="Arial"/>
          <w:b/>
          <w:bCs/>
          <w:sz w:val="24"/>
          <w:szCs w:val="24"/>
          <w:rtl/>
        </w:rPr>
        <w:t>יוֹצֵר אוֹר וּבוֹרֵא חֹשֶׁךְ, דַּרְגָּא דְּשִׁמְשָׁא וְסִיהֲרָא. כְּדֵין</w:t>
      </w:r>
      <w:r w:rsidRPr="00007309">
        <w:rPr>
          <w:rFonts w:cs="Arial" w:hint="cs"/>
          <w:b/>
          <w:bCs/>
          <w:sz w:val="24"/>
          <w:szCs w:val="24"/>
          <w:rtl/>
        </w:rPr>
        <w:t>,</w:t>
      </w:r>
      <w:r w:rsidRPr="00007309">
        <w:rPr>
          <w:rFonts w:cs="Arial"/>
          <w:b/>
          <w:bCs/>
          <w:sz w:val="24"/>
          <w:szCs w:val="24"/>
          <w:rtl/>
        </w:rPr>
        <w:t xml:space="preserve"> כַּד אִתְחַבָּרוּ</w:t>
      </w:r>
      <w:r w:rsidRPr="00007309">
        <w:rPr>
          <w:rFonts w:cs="Arial" w:hint="cs"/>
          <w:b/>
          <w:bCs/>
          <w:sz w:val="24"/>
          <w:szCs w:val="24"/>
          <w:rtl/>
        </w:rPr>
        <w:t>, (איוב כה ב)</w:t>
      </w:r>
      <w:r w:rsidRPr="00007309">
        <w:rPr>
          <w:rFonts w:cs="Arial"/>
          <w:b/>
          <w:bCs/>
          <w:sz w:val="24"/>
          <w:szCs w:val="24"/>
          <w:rtl/>
        </w:rPr>
        <w:t xml:space="preserve"> עוֹשֶׂה שָׁלוֹם בִּמְרוֹמָיו, וּכְדֵין שְׁלָמָא לְעָלְמָא. הָדָא הוּא דִּכְתִיב </w:t>
      </w:r>
      <w:r w:rsidRPr="00007309">
        <w:rPr>
          <w:rFonts w:cs="Arial" w:hint="cs"/>
          <w:b/>
          <w:bCs/>
          <w:sz w:val="24"/>
          <w:szCs w:val="24"/>
          <w:rtl/>
        </w:rPr>
        <w:t xml:space="preserve">(בראשית א ה) </w:t>
      </w:r>
      <w:r w:rsidRPr="00007309">
        <w:rPr>
          <w:rFonts w:cs="Arial"/>
          <w:b/>
          <w:bCs/>
          <w:sz w:val="24"/>
          <w:szCs w:val="24"/>
          <w:rtl/>
        </w:rPr>
        <w:t xml:space="preserve">וַיְהִי עֶרֶב וַיְהִי בֹקֶר יוֹם אֶחָד. וּכְדֵין </w:t>
      </w:r>
      <w:r w:rsidRPr="00007309">
        <w:rPr>
          <w:rFonts w:cs="Arial"/>
          <w:b/>
          <w:bCs/>
          <w:sz w:val="36"/>
          <w:szCs w:val="28"/>
          <w:vertAlign w:val="superscript"/>
          <w:rtl/>
        </w:rPr>
        <w:footnoteReference w:id="8779"/>
      </w:r>
      <w:r w:rsidRPr="00007309">
        <w:rPr>
          <w:rFonts w:cs="Arial"/>
          <w:b/>
          <w:bCs/>
          <w:sz w:val="24"/>
          <w:szCs w:val="24"/>
          <w:rtl/>
        </w:rPr>
        <w:t>יִחוּדָא לְעֵלָּא וְיִחוּדָא לְתַתָּא</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780"/>
      </w:r>
      <w:r w:rsidRPr="00007309">
        <w:rPr>
          <w:rFonts w:cs="Arial"/>
          <w:b/>
          <w:bCs/>
          <w:sz w:val="24"/>
          <w:szCs w:val="24"/>
          <w:rtl/>
        </w:rPr>
        <w:t xml:space="preserve">שְׁלָמָא לְעֵלָּא וּשְׁלָמָא לְתַתָּא. שֶׁנֶּאֱמַר </w:t>
      </w:r>
      <w:r w:rsidRPr="00007309">
        <w:rPr>
          <w:rFonts w:cs="Arial" w:hint="cs"/>
          <w:b/>
          <w:bCs/>
          <w:sz w:val="24"/>
          <w:szCs w:val="24"/>
          <w:rtl/>
        </w:rPr>
        <w:t xml:space="preserve">(ישעיה נז יט) </w:t>
      </w:r>
      <w:r w:rsidRPr="00007309">
        <w:rPr>
          <w:rFonts w:cs="Arial"/>
          <w:b/>
          <w:bCs/>
          <w:sz w:val="24"/>
          <w:szCs w:val="24"/>
          <w:rtl/>
        </w:rPr>
        <w:t xml:space="preserve">שָׁלוֹם שָׁלוֹם </w:t>
      </w:r>
      <w:r w:rsidRPr="00007309">
        <w:rPr>
          <w:rFonts w:cs="Arial"/>
          <w:b/>
          <w:bCs/>
          <w:sz w:val="36"/>
          <w:szCs w:val="28"/>
          <w:vertAlign w:val="superscript"/>
          <w:rtl/>
        </w:rPr>
        <w:footnoteReference w:id="8781"/>
      </w:r>
      <w:r w:rsidRPr="00007309">
        <w:rPr>
          <w:rFonts w:cs="Arial"/>
          <w:b/>
          <w:bCs/>
          <w:sz w:val="24"/>
          <w:szCs w:val="24"/>
          <w:rtl/>
        </w:rPr>
        <w:t xml:space="preserve">לָרָחוֹק </w:t>
      </w:r>
      <w:r w:rsidRPr="00007309">
        <w:rPr>
          <w:rFonts w:cs="Arial"/>
          <w:b/>
          <w:bCs/>
          <w:sz w:val="36"/>
          <w:szCs w:val="28"/>
          <w:vertAlign w:val="superscript"/>
          <w:rtl/>
        </w:rPr>
        <w:footnoteReference w:id="8782"/>
      </w:r>
      <w:r w:rsidRPr="00007309">
        <w:rPr>
          <w:rFonts w:cs="Arial"/>
          <w:b/>
          <w:bCs/>
          <w:sz w:val="24"/>
          <w:szCs w:val="24"/>
          <w:rtl/>
        </w:rPr>
        <w:t>וְלַקָּרוֹב</w:t>
      </w:r>
      <w:r w:rsidRPr="00007309">
        <w:rPr>
          <w:rFonts w:cs="Arial"/>
          <w:b/>
          <w:bCs/>
          <w:sz w:val="24"/>
          <w:szCs w:val="24"/>
        </w:rPr>
        <w:t>:</w:t>
      </w:r>
    </w:p>
    <w:p w:rsidR="00007309" w:rsidRPr="00007309" w:rsidRDefault="00007309" w:rsidP="00007309">
      <w:pPr>
        <w:keepNext/>
        <w:outlineLvl w:val="1"/>
        <w:rPr>
          <w:rFonts w:ascii="Cambria" w:hAnsi="Cambria" w:cs="Times New Roman"/>
          <w:b/>
          <w:bCs/>
          <w:i/>
          <w:iCs/>
          <w:sz w:val="28"/>
          <w:szCs w:val="28"/>
          <w:rtl/>
        </w:rPr>
      </w:pPr>
      <w:r w:rsidRPr="00007309">
        <w:rPr>
          <w:rFonts w:ascii="Cambria" w:hAnsi="Cambria" w:cs="Times New Roman"/>
          <w:b/>
          <w:bCs/>
          <w:i/>
          <w:iCs/>
          <w:sz w:val="28"/>
          <w:szCs w:val="28"/>
          <w:rtl/>
        </w:rPr>
        <w:t>[</w:t>
      </w:r>
      <w:r w:rsidRPr="00007309">
        <w:rPr>
          <w:rFonts w:ascii="Cambria" w:hAnsi="Cambria" w:cs="Times New Roman" w:hint="cs"/>
          <w:b/>
          <w:bCs/>
          <w:i/>
          <w:iCs/>
          <w:sz w:val="28"/>
          <w:szCs w:val="28"/>
          <w:rtl/>
        </w:rPr>
        <w:t>דף</w:t>
      </w:r>
      <w:r w:rsidRPr="00007309">
        <w:rPr>
          <w:rFonts w:ascii="Cambria" w:hAnsi="Cambria" w:cs="Times New Roman"/>
          <w:b/>
          <w:bCs/>
          <w:i/>
          <w:iCs/>
          <w:sz w:val="28"/>
          <w:szCs w:val="28"/>
          <w:rtl/>
        </w:rPr>
        <w:t xml:space="preserve"> </w:t>
      </w:r>
      <w:r w:rsidRPr="00007309">
        <w:rPr>
          <w:rFonts w:ascii="Cambria" w:hAnsi="Cambria" w:cs="Times New Roman" w:hint="cs"/>
          <w:b/>
          <w:bCs/>
          <w:i/>
          <w:iCs/>
          <w:sz w:val="28"/>
          <w:szCs w:val="28"/>
          <w:rtl/>
        </w:rPr>
        <w:t>צ</w:t>
      </w:r>
      <w:r w:rsidRPr="00007309">
        <w:rPr>
          <w:rFonts w:ascii="Cambria" w:hAnsi="Cambria" w:cs="Times New Roman"/>
          <w:b/>
          <w:bCs/>
          <w:i/>
          <w:iCs/>
          <w:sz w:val="28"/>
          <w:szCs w:val="28"/>
          <w:rtl/>
        </w:rPr>
        <w:t xml:space="preserve"> ע"</w:t>
      </w:r>
      <w:r w:rsidRPr="00007309">
        <w:rPr>
          <w:rFonts w:ascii="Cambria" w:hAnsi="Cambria" w:cs="Times New Roman" w:hint="cs"/>
          <w:b/>
          <w:bCs/>
          <w:i/>
          <w:iCs/>
          <w:sz w:val="28"/>
          <w:szCs w:val="28"/>
          <w:rtl/>
        </w:rPr>
        <w:t>א</w:t>
      </w:r>
      <w:r w:rsidRPr="00007309">
        <w:rPr>
          <w:rFonts w:ascii="Cambria" w:hAnsi="Cambria" w:cs="Times New Roman"/>
          <w:b/>
          <w:bCs/>
          <w:i/>
          <w:iCs/>
          <w:sz w:val="28"/>
          <w:szCs w:val="28"/>
          <w:rtl/>
        </w:rPr>
        <w:t>]</w:t>
      </w:r>
    </w:p>
    <w:p w:rsidR="00007309" w:rsidRPr="00007309" w:rsidRDefault="00007309" w:rsidP="00007309">
      <w:pPr>
        <w:keepNext/>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 xml:space="preserve"> [וילנא נ ע"ב]</w:t>
      </w:r>
    </w:p>
    <w:p w:rsidR="00007309" w:rsidRPr="00007309" w:rsidRDefault="00007309" w:rsidP="00007309">
      <w:pPr>
        <w:jc w:val="both"/>
        <w:rPr>
          <w:rFonts w:cs="Arial"/>
          <w:b/>
          <w:bCs/>
          <w:sz w:val="24"/>
          <w:szCs w:val="24"/>
          <w:rtl/>
        </w:rPr>
      </w:pPr>
      <w:r w:rsidRPr="00007309">
        <w:rPr>
          <w:rFonts w:cs="Arial"/>
          <w:b/>
          <w:bCs/>
          <w:sz w:val="24"/>
          <w:szCs w:val="24"/>
          <w:rtl/>
        </w:rPr>
        <w:t>מַתְנִיתִין</w:t>
      </w:r>
      <w:r w:rsidRPr="00007309">
        <w:rPr>
          <w:rFonts w:cs="Arial" w:hint="cs"/>
          <w:b/>
          <w:bCs/>
          <w:sz w:val="24"/>
          <w:szCs w:val="24"/>
          <w:rtl/>
        </w:rPr>
        <w:t>.</w:t>
      </w:r>
      <w:r w:rsidRPr="00007309">
        <w:rPr>
          <w:rFonts w:cs="Arial"/>
          <w:b/>
          <w:bCs/>
          <w:sz w:val="24"/>
          <w:szCs w:val="24"/>
        </w:rPr>
        <w:t xml:space="preserve"> </w:t>
      </w:r>
      <w:r w:rsidRPr="00007309">
        <w:rPr>
          <w:rFonts w:cs="Arial"/>
          <w:b/>
          <w:bCs/>
          <w:sz w:val="36"/>
          <w:szCs w:val="28"/>
          <w:vertAlign w:val="superscript"/>
          <w:rtl/>
        </w:rPr>
        <w:footnoteReference w:id="8783"/>
      </w:r>
      <w:r w:rsidRPr="00007309">
        <w:rPr>
          <w:rFonts w:cs="Arial"/>
          <w:b/>
          <w:bCs/>
          <w:sz w:val="24"/>
          <w:szCs w:val="24"/>
          <w:rtl/>
        </w:rPr>
        <w:t>בִּטְהִירוּ</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784"/>
      </w:r>
      <w:r w:rsidRPr="00007309">
        <w:rPr>
          <w:rFonts w:cs="Arial"/>
          <w:b/>
          <w:bCs/>
          <w:sz w:val="24"/>
          <w:szCs w:val="24"/>
          <w:rtl/>
        </w:rPr>
        <w:t xml:space="preserve">בְּרֵישׁ הוֹרְמָנוּתָא דְּמַלְכָּא, </w:t>
      </w:r>
      <w:r w:rsidRPr="00007309">
        <w:rPr>
          <w:rFonts w:cs="Arial"/>
          <w:b/>
          <w:bCs/>
          <w:sz w:val="36"/>
          <w:szCs w:val="28"/>
          <w:vertAlign w:val="superscript"/>
          <w:rtl/>
        </w:rPr>
        <w:footnoteReference w:id="8785"/>
      </w:r>
      <w:r w:rsidRPr="00007309">
        <w:rPr>
          <w:rFonts w:cs="Arial"/>
          <w:b/>
          <w:bCs/>
          <w:sz w:val="24"/>
          <w:szCs w:val="24"/>
          <w:rtl/>
        </w:rPr>
        <w:t>גָּלִיף תֵּשַׁע גְּלִיפִין</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786"/>
      </w:r>
      <w:r w:rsidRPr="00007309">
        <w:rPr>
          <w:rFonts w:cs="Arial"/>
          <w:b/>
          <w:bCs/>
          <w:sz w:val="24"/>
          <w:szCs w:val="24"/>
          <w:rtl/>
        </w:rPr>
        <w:t xml:space="preserve">בְּגַלְגַּלּוֹי טְהִירִין, </w:t>
      </w:r>
      <w:r w:rsidRPr="00007309">
        <w:rPr>
          <w:rFonts w:cs="Arial"/>
          <w:b/>
          <w:bCs/>
          <w:sz w:val="36"/>
          <w:szCs w:val="28"/>
          <w:vertAlign w:val="superscript"/>
          <w:rtl/>
        </w:rPr>
        <w:footnoteReference w:id="8787"/>
      </w:r>
      <w:r w:rsidRPr="00007309">
        <w:rPr>
          <w:rFonts w:cs="Arial"/>
          <w:b/>
          <w:bCs/>
          <w:sz w:val="24"/>
          <w:szCs w:val="24"/>
          <w:rtl/>
        </w:rPr>
        <w:t xml:space="preserve">וְחַד </w:t>
      </w:r>
      <w:r w:rsidRPr="00007309">
        <w:rPr>
          <w:rFonts w:cs="Arial"/>
          <w:b/>
          <w:bCs/>
          <w:sz w:val="36"/>
          <w:szCs w:val="28"/>
          <w:vertAlign w:val="superscript"/>
          <w:rtl/>
        </w:rPr>
        <w:footnoteReference w:id="8788"/>
      </w:r>
      <w:r w:rsidRPr="00007309">
        <w:rPr>
          <w:rFonts w:cs="Arial"/>
          <w:b/>
          <w:bCs/>
          <w:sz w:val="24"/>
          <w:szCs w:val="24"/>
          <w:rtl/>
        </w:rPr>
        <w:t xml:space="preserve">טָמִיר וְלָא יְדִיעַ. </w:t>
      </w:r>
      <w:r w:rsidRPr="00007309">
        <w:rPr>
          <w:rFonts w:cs="Arial"/>
          <w:b/>
          <w:bCs/>
          <w:sz w:val="36"/>
          <w:szCs w:val="28"/>
          <w:vertAlign w:val="superscript"/>
          <w:rtl/>
        </w:rPr>
        <w:footnoteReference w:id="8789"/>
      </w:r>
      <w:r w:rsidRPr="00007309">
        <w:rPr>
          <w:rFonts w:cs="Arial"/>
          <w:b/>
          <w:bCs/>
          <w:sz w:val="24"/>
          <w:szCs w:val="24"/>
          <w:rtl/>
        </w:rPr>
        <w:t xml:space="preserve">גָּלִיף גְּלִיפִין </w:t>
      </w:r>
      <w:r w:rsidRPr="00007309">
        <w:rPr>
          <w:rFonts w:ascii="Cambria" w:hAnsi="Cambria" w:cs="Times New Roman"/>
          <w:b/>
          <w:bCs/>
          <w:i/>
          <w:iCs/>
          <w:color w:val="4F81BD"/>
          <w:sz w:val="24"/>
          <w:szCs w:val="24"/>
          <w:rtl/>
        </w:rPr>
        <w:t>(</w:t>
      </w:r>
      <w:r w:rsidRPr="00007309">
        <w:rPr>
          <w:rFonts w:ascii="Cambria" w:hAnsi="Cambria" w:cs="Times New Roman" w:hint="cs"/>
          <w:b/>
          <w:bCs/>
          <w:i/>
          <w:iCs/>
          <w:color w:val="4F81BD"/>
          <w:sz w:val="24"/>
          <w:szCs w:val="24"/>
          <w:rtl/>
        </w:rPr>
        <w:t>וילנא נ</w:t>
      </w:r>
      <w:r w:rsidRPr="00007309">
        <w:rPr>
          <w:rFonts w:ascii="Cambria" w:hAnsi="Cambria" w:cs="Times New Roman"/>
          <w:b/>
          <w:bCs/>
          <w:i/>
          <w:iCs/>
          <w:color w:val="4F81BD"/>
          <w:sz w:val="24"/>
          <w:szCs w:val="24"/>
          <w:rtl/>
        </w:rPr>
        <w:t xml:space="preserve"> ע"</w:t>
      </w:r>
      <w:r w:rsidRPr="00007309">
        <w:rPr>
          <w:rFonts w:ascii="Cambria" w:hAnsi="Cambria" w:cs="Times New Roman" w:hint="cs"/>
          <w:b/>
          <w:bCs/>
          <w:i/>
          <w:iCs/>
          <w:color w:val="4F81BD"/>
          <w:sz w:val="24"/>
          <w:szCs w:val="24"/>
          <w:rtl/>
        </w:rPr>
        <w:t>ב</w:t>
      </w:r>
      <w:r w:rsidRPr="00007309">
        <w:rPr>
          <w:rFonts w:ascii="Cambria" w:hAnsi="Cambria" w:cs="Times New Roman"/>
          <w:b/>
          <w:bCs/>
          <w:i/>
          <w:iCs/>
          <w:color w:val="4F81BD"/>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790"/>
      </w:r>
      <w:r w:rsidRPr="00007309">
        <w:rPr>
          <w:rFonts w:cs="Arial"/>
          <w:b/>
          <w:bCs/>
          <w:sz w:val="24"/>
          <w:szCs w:val="24"/>
          <w:rtl/>
        </w:rPr>
        <w:t xml:space="preserve">וּבָטַשׁ גּוֹ בּוּצִינָא חֲדָא, </w:t>
      </w:r>
      <w:r w:rsidRPr="00007309">
        <w:rPr>
          <w:rFonts w:cs="Arial"/>
          <w:b/>
          <w:bCs/>
          <w:sz w:val="36"/>
          <w:szCs w:val="28"/>
          <w:vertAlign w:val="superscript"/>
          <w:rtl/>
        </w:rPr>
        <w:footnoteReference w:id="8791"/>
      </w:r>
      <w:r w:rsidRPr="00007309">
        <w:rPr>
          <w:rFonts w:cs="Arial"/>
          <w:b/>
          <w:bCs/>
          <w:sz w:val="24"/>
          <w:szCs w:val="24"/>
          <w:rtl/>
        </w:rPr>
        <w:t xml:space="preserve">וְנָפִיק א </w:t>
      </w:r>
      <w:r w:rsidRPr="00007309">
        <w:rPr>
          <w:rFonts w:cs="Arial"/>
          <w:b/>
          <w:bCs/>
          <w:sz w:val="36"/>
          <w:szCs w:val="28"/>
          <w:vertAlign w:val="superscript"/>
          <w:rtl/>
        </w:rPr>
        <w:footnoteReference w:id="8792"/>
      </w:r>
      <w:r w:rsidRPr="00007309">
        <w:rPr>
          <w:rFonts w:cs="Arial"/>
          <w:b/>
          <w:bCs/>
          <w:sz w:val="24"/>
          <w:szCs w:val="24"/>
          <w:rtl/>
        </w:rPr>
        <w:t xml:space="preserve">הֵימֶנּוּ </w:t>
      </w:r>
      <w:r w:rsidRPr="00007309">
        <w:rPr>
          <w:rFonts w:cs="Arial"/>
          <w:b/>
          <w:bCs/>
          <w:sz w:val="36"/>
          <w:szCs w:val="28"/>
          <w:vertAlign w:val="superscript"/>
          <w:rtl/>
        </w:rPr>
        <w:footnoteReference w:id="8793"/>
      </w:r>
      <w:r w:rsidRPr="00007309">
        <w:rPr>
          <w:rFonts w:cs="Arial"/>
          <w:b/>
          <w:bCs/>
          <w:sz w:val="24"/>
          <w:szCs w:val="24"/>
          <w:rtl/>
        </w:rPr>
        <w:t>דְּחַד הוֹרְמָנוּתָא</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794"/>
      </w:r>
      <w:r w:rsidRPr="00007309">
        <w:rPr>
          <w:rFonts w:cs="Arial"/>
          <w:b/>
          <w:bCs/>
          <w:sz w:val="24"/>
          <w:szCs w:val="24"/>
          <w:rtl/>
        </w:rPr>
        <w:t>טָמִיר בִּטְמִירוּ</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795"/>
      </w:r>
      <w:r w:rsidRPr="00007309">
        <w:rPr>
          <w:rFonts w:cs="Arial"/>
          <w:b/>
          <w:bCs/>
          <w:sz w:val="24"/>
          <w:szCs w:val="24"/>
          <w:rtl/>
        </w:rPr>
        <w:t xml:space="preserve">יְדִיעַ וְלָא יְדִיעַ. </w:t>
      </w:r>
      <w:r w:rsidRPr="00007309">
        <w:rPr>
          <w:rFonts w:cs="Arial"/>
          <w:b/>
          <w:bCs/>
          <w:sz w:val="36"/>
          <w:szCs w:val="28"/>
          <w:vertAlign w:val="superscript"/>
          <w:rtl/>
        </w:rPr>
        <w:footnoteReference w:id="8796"/>
      </w:r>
      <w:r w:rsidRPr="00007309">
        <w:rPr>
          <w:rFonts w:cs="Arial"/>
          <w:b/>
          <w:bCs/>
          <w:sz w:val="24"/>
          <w:szCs w:val="24"/>
          <w:rtl/>
        </w:rPr>
        <w:t>כָּל סוּכְלְתָנֵ</w:t>
      </w:r>
      <w:r w:rsidRPr="00007309">
        <w:rPr>
          <w:rFonts w:cs="Arial" w:hint="cs"/>
          <w:b/>
          <w:bCs/>
          <w:sz w:val="24"/>
          <w:szCs w:val="24"/>
          <w:rtl/>
        </w:rPr>
        <w:t>י</w:t>
      </w:r>
      <w:r w:rsidRPr="00007309">
        <w:rPr>
          <w:rFonts w:cs="Arial"/>
          <w:b/>
          <w:bCs/>
          <w:sz w:val="24"/>
          <w:szCs w:val="24"/>
          <w:rtl/>
        </w:rPr>
        <w:t xml:space="preserve"> בֵּהּ הָדְרָא לַאֲחוֹרָא. </w:t>
      </w:r>
      <w:r w:rsidRPr="00007309">
        <w:rPr>
          <w:rFonts w:cs="Arial"/>
          <w:b/>
          <w:bCs/>
          <w:sz w:val="36"/>
          <w:szCs w:val="28"/>
          <w:vertAlign w:val="superscript"/>
          <w:rtl/>
        </w:rPr>
        <w:footnoteReference w:id="8797"/>
      </w:r>
      <w:r w:rsidRPr="00007309">
        <w:rPr>
          <w:rFonts w:cs="Arial"/>
          <w:b/>
          <w:bCs/>
          <w:sz w:val="24"/>
          <w:szCs w:val="24"/>
          <w:rtl/>
        </w:rPr>
        <w:t xml:space="preserve">זְעֵיר הוּא, </w:t>
      </w:r>
      <w:r w:rsidRPr="00007309">
        <w:rPr>
          <w:rFonts w:cs="Arial"/>
          <w:b/>
          <w:bCs/>
          <w:sz w:val="36"/>
          <w:szCs w:val="28"/>
          <w:vertAlign w:val="superscript"/>
          <w:rtl/>
        </w:rPr>
        <w:footnoteReference w:id="8798"/>
      </w:r>
      <w:r w:rsidRPr="00007309">
        <w:rPr>
          <w:rFonts w:cs="Arial"/>
          <w:b/>
          <w:bCs/>
          <w:sz w:val="24"/>
          <w:szCs w:val="24"/>
          <w:rtl/>
        </w:rPr>
        <w:t xml:space="preserve">וּמִגּוֹ זְעֵירוּתָא דִּילֵהּ טָמִיר בִּסְתִימוּ דְּמֵעוֹי וְלָא יְדִיעַ. </w:t>
      </w:r>
      <w:r w:rsidRPr="00007309">
        <w:rPr>
          <w:rFonts w:cs="Arial"/>
          <w:b/>
          <w:bCs/>
          <w:sz w:val="36"/>
          <w:szCs w:val="28"/>
          <w:vertAlign w:val="superscript"/>
          <w:rtl/>
        </w:rPr>
        <w:footnoteReference w:id="8799"/>
      </w:r>
      <w:r w:rsidRPr="00007309">
        <w:rPr>
          <w:rFonts w:cs="Arial"/>
          <w:b/>
          <w:bCs/>
          <w:sz w:val="24"/>
          <w:szCs w:val="24"/>
          <w:rtl/>
        </w:rPr>
        <w:t xml:space="preserve">כָּל הִרְהוּרִין בֵּהּ מְשַׁבְּשָׁן, </w:t>
      </w:r>
      <w:r w:rsidRPr="00007309">
        <w:rPr>
          <w:rFonts w:cs="Arial"/>
          <w:b/>
          <w:bCs/>
          <w:sz w:val="36"/>
          <w:szCs w:val="28"/>
          <w:vertAlign w:val="superscript"/>
          <w:rtl/>
        </w:rPr>
        <w:footnoteReference w:id="8800"/>
      </w:r>
      <w:r w:rsidRPr="00007309">
        <w:rPr>
          <w:rFonts w:cs="Arial"/>
          <w:b/>
          <w:bCs/>
          <w:sz w:val="24"/>
          <w:szCs w:val="24"/>
          <w:rtl/>
        </w:rPr>
        <w:t xml:space="preserve">תַּבִין וְהַדְרָן וְלָא אִתְדַּבָּקוּ. </w:t>
      </w:r>
      <w:r w:rsidRPr="00007309">
        <w:rPr>
          <w:rFonts w:cs="Arial"/>
          <w:b/>
          <w:bCs/>
          <w:sz w:val="36"/>
          <w:szCs w:val="28"/>
          <w:vertAlign w:val="superscript"/>
          <w:rtl/>
        </w:rPr>
        <w:footnoteReference w:id="8801"/>
      </w:r>
      <w:r w:rsidRPr="00007309">
        <w:rPr>
          <w:rFonts w:cs="Arial"/>
          <w:b/>
          <w:bCs/>
          <w:sz w:val="24"/>
          <w:szCs w:val="24"/>
          <w:rtl/>
        </w:rPr>
        <w:t xml:space="preserve">בֵּהּ סְתִימִין תְּלָתִין וּתְרֵין עַיְנִין, </w:t>
      </w:r>
      <w:r w:rsidRPr="00007309">
        <w:rPr>
          <w:rFonts w:ascii="Cambria" w:hAnsi="Cambria" w:cs="Times New Roman"/>
          <w:b/>
          <w:bCs/>
          <w:i/>
          <w:iCs/>
          <w:color w:val="4F81BD"/>
          <w:sz w:val="24"/>
          <w:szCs w:val="24"/>
          <w:rtl/>
        </w:rPr>
        <w:t>(</w:t>
      </w:r>
      <w:r w:rsidRPr="00007309">
        <w:rPr>
          <w:rFonts w:ascii="Cambria" w:hAnsi="Cambria" w:cs="Times New Roman" w:hint="cs"/>
          <w:b/>
          <w:bCs/>
          <w:i/>
          <w:iCs/>
          <w:color w:val="4F81BD"/>
          <w:sz w:val="24"/>
          <w:szCs w:val="24"/>
          <w:rtl/>
        </w:rPr>
        <w:t>צ</w:t>
      </w:r>
      <w:r w:rsidRPr="00007309">
        <w:rPr>
          <w:rFonts w:ascii="Cambria" w:hAnsi="Cambria" w:cs="Times New Roman"/>
          <w:b/>
          <w:bCs/>
          <w:i/>
          <w:iCs/>
          <w:color w:val="4F81BD"/>
          <w:sz w:val="24"/>
          <w:szCs w:val="24"/>
          <w:rtl/>
        </w:rPr>
        <w:t xml:space="preserve"> ע"</w:t>
      </w:r>
      <w:r w:rsidRPr="00007309">
        <w:rPr>
          <w:rFonts w:ascii="Cambria" w:hAnsi="Cambria" w:cs="Times New Roman" w:hint="cs"/>
          <w:b/>
          <w:bCs/>
          <w:i/>
          <w:iCs/>
          <w:color w:val="4F81BD"/>
          <w:sz w:val="24"/>
          <w:szCs w:val="24"/>
          <w:rtl/>
        </w:rPr>
        <w:t>א</w:t>
      </w:r>
      <w:r w:rsidRPr="00007309">
        <w:rPr>
          <w:rFonts w:ascii="Cambria" w:hAnsi="Cambria" w:cs="Times New Roman"/>
          <w:b/>
          <w:bCs/>
          <w:i/>
          <w:iCs/>
          <w:color w:val="4F81BD"/>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802"/>
      </w:r>
      <w:r w:rsidRPr="00007309">
        <w:rPr>
          <w:rFonts w:cs="Arial"/>
          <w:b/>
          <w:bCs/>
          <w:sz w:val="24"/>
          <w:szCs w:val="24"/>
          <w:rtl/>
        </w:rPr>
        <w:t xml:space="preserve">אִנּוּן עַיְנִין לָא פְּתִיחָן. </w:t>
      </w:r>
      <w:r w:rsidRPr="00007309">
        <w:rPr>
          <w:rFonts w:cs="Arial"/>
          <w:b/>
          <w:bCs/>
          <w:sz w:val="36"/>
          <w:szCs w:val="28"/>
          <w:vertAlign w:val="superscript"/>
          <w:rtl/>
        </w:rPr>
        <w:footnoteReference w:id="8803"/>
      </w:r>
      <w:r w:rsidRPr="00007309">
        <w:rPr>
          <w:rFonts w:cs="Arial"/>
          <w:b/>
          <w:bCs/>
          <w:sz w:val="24"/>
          <w:szCs w:val="24"/>
          <w:rtl/>
        </w:rPr>
        <w:t xml:space="preserve">רְשִׁימָן אִנּוּן בִּרְשִׁימוּ זְעֵיר. </w:t>
      </w:r>
      <w:r w:rsidRPr="00007309">
        <w:rPr>
          <w:rFonts w:cs="Arial"/>
          <w:b/>
          <w:bCs/>
          <w:sz w:val="36"/>
          <w:szCs w:val="28"/>
          <w:vertAlign w:val="superscript"/>
          <w:rtl/>
        </w:rPr>
        <w:footnoteReference w:id="8804"/>
      </w:r>
      <w:r w:rsidRPr="00007309">
        <w:rPr>
          <w:rFonts w:cs="Arial"/>
          <w:b/>
          <w:bCs/>
          <w:sz w:val="24"/>
          <w:szCs w:val="24"/>
          <w:rtl/>
        </w:rPr>
        <w:t xml:space="preserve">בֵּהּ סָלְקִין הִרְהוּרִין וְעוֹבָדִין </w:t>
      </w:r>
      <w:r w:rsidRPr="00007309">
        <w:rPr>
          <w:rFonts w:cs="Arial"/>
          <w:b/>
          <w:bCs/>
          <w:sz w:val="36"/>
          <w:szCs w:val="28"/>
          <w:vertAlign w:val="superscript"/>
          <w:rtl/>
        </w:rPr>
        <w:footnoteReference w:id="8805"/>
      </w:r>
      <w:r w:rsidRPr="00007309">
        <w:rPr>
          <w:rFonts w:cs="Arial"/>
          <w:b/>
          <w:bCs/>
          <w:sz w:val="24"/>
          <w:szCs w:val="24"/>
          <w:rtl/>
        </w:rPr>
        <w:t xml:space="preserve">וְלָא גַּלֵּי טַעֲמַיְהוּ. </w:t>
      </w:r>
    </w:p>
    <w:p w:rsidR="00007309" w:rsidRPr="00007309" w:rsidRDefault="00007309" w:rsidP="00007309">
      <w:pPr>
        <w:keepNext/>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[וילנא נא ע"א]</w:t>
      </w:r>
    </w:p>
    <w:p w:rsidR="00007309" w:rsidRPr="00007309" w:rsidRDefault="00007309" w:rsidP="00007309">
      <w:pPr>
        <w:jc w:val="both"/>
        <w:rPr>
          <w:rFonts w:cs="Arial"/>
          <w:b/>
          <w:bCs/>
          <w:sz w:val="24"/>
          <w:szCs w:val="24"/>
          <w:rtl/>
        </w:rPr>
      </w:pPr>
      <w:r w:rsidRPr="00007309">
        <w:rPr>
          <w:rFonts w:cs="Arial"/>
          <w:b/>
          <w:bCs/>
          <w:sz w:val="36"/>
          <w:szCs w:val="28"/>
          <w:vertAlign w:val="superscript"/>
          <w:rtl/>
        </w:rPr>
        <w:footnoteReference w:id="8806"/>
      </w:r>
      <w:r w:rsidRPr="00007309">
        <w:rPr>
          <w:rFonts w:cs="Arial"/>
          <w:b/>
          <w:bCs/>
          <w:sz w:val="24"/>
          <w:szCs w:val="24"/>
          <w:rtl/>
        </w:rPr>
        <w:t xml:space="preserve">כָּנִישׁ לוֹן בְּשַׁעֲתָא דְּאִזְדְּרִיקוּ, וּבְשַׁעֲתָא דְּאִתְכְּנִישׁוּ זָרִיק לוֹן. </w:t>
      </w:r>
      <w:r w:rsidRPr="00007309">
        <w:rPr>
          <w:rFonts w:cs="Arial"/>
          <w:b/>
          <w:bCs/>
          <w:sz w:val="36"/>
          <w:szCs w:val="28"/>
          <w:vertAlign w:val="superscript"/>
          <w:rtl/>
        </w:rPr>
        <w:footnoteReference w:id="8807"/>
      </w:r>
      <w:r w:rsidRPr="00007309">
        <w:rPr>
          <w:rFonts w:cs="Arial"/>
          <w:b/>
          <w:bCs/>
          <w:sz w:val="24"/>
          <w:szCs w:val="24"/>
          <w:rtl/>
        </w:rPr>
        <w:t>בֵּהּ מִתְצַיְּרָן צִיּוּרִין</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808"/>
      </w:r>
      <w:r w:rsidRPr="00007309">
        <w:rPr>
          <w:rFonts w:cs="Arial"/>
          <w:b/>
          <w:bCs/>
          <w:sz w:val="24"/>
          <w:szCs w:val="24"/>
          <w:rtl/>
        </w:rPr>
        <w:t xml:space="preserve">סְתִימִין וְלָא גַּלְיָן. </w:t>
      </w:r>
      <w:r w:rsidRPr="00007309">
        <w:rPr>
          <w:rFonts w:cs="Arial"/>
          <w:b/>
          <w:bCs/>
          <w:sz w:val="36"/>
          <w:szCs w:val="28"/>
          <w:vertAlign w:val="superscript"/>
          <w:rtl/>
        </w:rPr>
        <w:footnoteReference w:id="8809"/>
      </w:r>
      <w:r w:rsidRPr="00007309">
        <w:rPr>
          <w:rFonts w:cs="Arial"/>
          <w:b/>
          <w:bCs/>
          <w:sz w:val="24"/>
          <w:szCs w:val="24"/>
          <w:rtl/>
        </w:rPr>
        <w:t>גָּלִיף גְּלִיפִין וּבָטַשׁ</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810"/>
      </w:r>
      <w:r w:rsidRPr="00007309">
        <w:rPr>
          <w:rFonts w:cs="Arial"/>
          <w:b/>
          <w:bCs/>
          <w:sz w:val="24"/>
          <w:szCs w:val="24"/>
          <w:rtl/>
        </w:rPr>
        <w:t>וְנָפַק ב'</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811"/>
      </w:r>
      <w:r w:rsidRPr="00007309">
        <w:rPr>
          <w:rFonts w:cs="Arial"/>
          <w:b/>
          <w:bCs/>
          <w:sz w:val="24"/>
          <w:szCs w:val="24"/>
          <w:rtl/>
        </w:rPr>
        <w:t xml:space="preserve">חַד דִּלְתַתָּא דְּסַחֲרָא סְחוֹר </w:t>
      </w:r>
      <w:r w:rsidRPr="00007309">
        <w:rPr>
          <w:rFonts w:cs="Arial" w:hint="cs"/>
          <w:b/>
          <w:bCs/>
          <w:sz w:val="24"/>
          <w:szCs w:val="24"/>
          <w:rtl/>
        </w:rPr>
        <w:t>(</w:t>
      </w:r>
      <w:r w:rsidRPr="00007309">
        <w:rPr>
          <w:rFonts w:cs="Arial"/>
          <w:b/>
          <w:bCs/>
          <w:sz w:val="24"/>
          <w:szCs w:val="24"/>
          <w:rtl/>
        </w:rPr>
        <w:t>סְחוֹר</w:t>
      </w:r>
      <w:r w:rsidRPr="00007309">
        <w:rPr>
          <w:rFonts w:cs="Arial" w:hint="cs"/>
          <w:b/>
          <w:bCs/>
          <w:sz w:val="24"/>
          <w:szCs w:val="24"/>
          <w:rtl/>
        </w:rPr>
        <w:t>)</w:t>
      </w:r>
      <w:r w:rsidRPr="00007309">
        <w:rPr>
          <w:rFonts w:cs="Arial"/>
          <w:b/>
          <w:bCs/>
          <w:sz w:val="24"/>
          <w:szCs w:val="24"/>
          <w:rtl/>
        </w:rPr>
        <w:t xml:space="preserve"> וּפָרְחָא בָּאֲוֵירָא. בָּטַשׁ בַּמַּגְדְּלָא וְאִסְתְּחַר הֵיכָלָא מִגּוֹ אֲוֵירָא</w:t>
      </w:r>
      <w:r w:rsidRPr="00007309">
        <w:rPr>
          <w:rFonts w:cs="Arial"/>
          <w:b/>
          <w:bCs/>
          <w:sz w:val="24"/>
          <w:szCs w:val="24"/>
        </w:rPr>
        <w:t xml:space="preserve"> </w:t>
      </w:r>
      <w:r w:rsidRPr="00007309">
        <w:rPr>
          <w:rFonts w:cs="Arial"/>
          <w:b/>
          <w:bCs/>
          <w:sz w:val="24"/>
          <w:szCs w:val="24"/>
          <w:rtl/>
        </w:rPr>
        <w:t>דְּפָרְחָא</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812"/>
      </w:r>
      <w:r w:rsidRPr="00007309">
        <w:rPr>
          <w:rFonts w:cs="Arial"/>
          <w:b/>
          <w:bCs/>
          <w:sz w:val="24"/>
          <w:szCs w:val="24"/>
          <w:rtl/>
        </w:rPr>
        <w:t>בֵּהּ שַוְיָן צִיּוּרִין אֻמָּנִין בְּכָל מָאנֵי</w:t>
      </w:r>
      <w:r w:rsidRPr="00007309">
        <w:rPr>
          <w:rFonts w:cs="Arial" w:hint="cs"/>
          <w:b/>
          <w:bCs/>
          <w:sz w:val="24"/>
          <w:szCs w:val="24"/>
          <w:rtl/>
        </w:rPr>
        <w:t xml:space="preserve"> (מיני) </w:t>
      </w:r>
      <w:r w:rsidRPr="00007309">
        <w:rPr>
          <w:rFonts w:cs="Arial"/>
          <w:b/>
          <w:bCs/>
          <w:sz w:val="24"/>
          <w:szCs w:val="24"/>
          <w:rtl/>
        </w:rPr>
        <w:t xml:space="preserve">כֶּסֶף וּדְהַב וּנְחָשָׁא. </w:t>
      </w:r>
      <w:r w:rsidRPr="00007309">
        <w:rPr>
          <w:rFonts w:cs="Arial"/>
          <w:b/>
          <w:bCs/>
          <w:sz w:val="36"/>
          <w:szCs w:val="28"/>
          <w:vertAlign w:val="superscript"/>
          <w:rtl/>
        </w:rPr>
        <w:footnoteReference w:id="8813"/>
      </w:r>
      <w:r w:rsidRPr="00007309">
        <w:rPr>
          <w:rFonts w:cs="Arial"/>
          <w:b/>
          <w:bCs/>
          <w:sz w:val="24"/>
          <w:szCs w:val="24"/>
          <w:rtl/>
        </w:rPr>
        <w:t>אָזְלָא וְאִתְטַמְּרָא</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814"/>
      </w:r>
      <w:r w:rsidRPr="00007309">
        <w:rPr>
          <w:rFonts w:cs="Arial"/>
          <w:b/>
          <w:bCs/>
          <w:sz w:val="24"/>
          <w:szCs w:val="24"/>
          <w:rtl/>
        </w:rPr>
        <w:t xml:space="preserve">וְלָא אִשְׁתְּמַע קָלֵהּ לְבַר. לְגוֹ בִּמְעוֹי שְׁמִיעַ קָל דְּלָא אִתְיְדַע, וְהַהוּא קָלָא נָפִיק מְסַיְּפֵי דְּעָלְמָא עַד סַיְפֵי </w:t>
      </w:r>
      <w:r w:rsidRPr="00007309">
        <w:rPr>
          <w:rFonts w:ascii="Cambria" w:hAnsi="Cambria" w:cs="Times New Roman"/>
          <w:b/>
          <w:bCs/>
          <w:i/>
          <w:iCs/>
          <w:color w:val="4F81BD"/>
          <w:sz w:val="24"/>
          <w:szCs w:val="24"/>
          <w:rtl/>
        </w:rPr>
        <w:t>(</w:t>
      </w:r>
      <w:r w:rsidRPr="00007309">
        <w:rPr>
          <w:rFonts w:ascii="Cambria" w:hAnsi="Cambria" w:cs="Times New Roman" w:hint="cs"/>
          <w:b/>
          <w:bCs/>
          <w:i/>
          <w:iCs/>
          <w:color w:val="4F81BD"/>
          <w:sz w:val="24"/>
          <w:szCs w:val="24"/>
          <w:rtl/>
        </w:rPr>
        <w:t>וילנא נא</w:t>
      </w:r>
      <w:r w:rsidRPr="00007309">
        <w:rPr>
          <w:rFonts w:ascii="Cambria" w:hAnsi="Cambria" w:cs="Times New Roman"/>
          <w:b/>
          <w:bCs/>
          <w:i/>
          <w:iCs/>
          <w:color w:val="4F81BD"/>
          <w:sz w:val="24"/>
          <w:szCs w:val="24"/>
          <w:rtl/>
        </w:rPr>
        <w:t xml:space="preserve"> ע"</w:t>
      </w:r>
      <w:r w:rsidRPr="00007309">
        <w:rPr>
          <w:rFonts w:ascii="Cambria" w:hAnsi="Cambria" w:cs="Times New Roman" w:hint="cs"/>
          <w:b/>
          <w:bCs/>
          <w:i/>
          <w:iCs/>
          <w:color w:val="4F81BD"/>
          <w:sz w:val="24"/>
          <w:szCs w:val="24"/>
          <w:rtl/>
        </w:rPr>
        <w:t>א</w:t>
      </w:r>
      <w:r w:rsidRPr="00007309">
        <w:rPr>
          <w:rFonts w:ascii="Cambria" w:hAnsi="Cambria" w:cs="Times New Roman"/>
          <w:b/>
          <w:bCs/>
          <w:i/>
          <w:iCs/>
          <w:color w:val="4F81BD"/>
          <w:sz w:val="24"/>
          <w:szCs w:val="24"/>
          <w:rtl/>
        </w:rPr>
        <w:t>)</w:t>
      </w:r>
      <w:r w:rsidRPr="00007309">
        <w:rPr>
          <w:rFonts w:cs="Arial"/>
          <w:b/>
          <w:bCs/>
          <w:sz w:val="24"/>
          <w:szCs w:val="24"/>
          <w:rtl/>
        </w:rPr>
        <w:t xml:space="preserve"> דְּעָלְמָא, סָלְקָא וְנָחְתָא אָזְלָא וּקְיָמָא, </w:t>
      </w:r>
      <w:r w:rsidRPr="00007309">
        <w:rPr>
          <w:rFonts w:cs="Arial"/>
          <w:b/>
          <w:bCs/>
          <w:sz w:val="36"/>
          <w:szCs w:val="28"/>
          <w:vertAlign w:val="superscript"/>
          <w:rtl/>
        </w:rPr>
        <w:footnoteReference w:id="8815"/>
      </w:r>
      <w:r w:rsidRPr="00007309">
        <w:rPr>
          <w:rFonts w:cs="Arial"/>
          <w:b/>
          <w:bCs/>
          <w:sz w:val="24"/>
          <w:szCs w:val="24"/>
          <w:rtl/>
        </w:rPr>
        <w:t>עֵינָא לָא שָׁלְטָא לְמֶחֱמֵי</w:t>
      </w:r>
      <w:r w:rsidRPr="00007309">
        <w:rPr>
          <w:rFonts w:cs="Arial" w:hint="cs"/>
          <w:b/>
          <w:bCs/>
          <w:sz w:val="24"/>
          <w:szCs w:val="24"/>
          <w:rtl/>
        </w:rPr>
        <w:t>,</w:t>
      </w:r>
      <w:r w:rsidRPr="00007309">
        <w:rPr>
          <w:rFonts w:cs="Arial"/>
          <w:b/>
          <w:bCs/>
          <w:sz w:val="24"/>
          <w:szCs w:val="24"/>
          <w:rtl/>
        </w:rPr>
        <w:t xml:space="preserve"> בְּשַׁעֲתָא דְּאִתְכַּסֵּי אִתְגַּלְּיָא, וּבְשַׁעֲתָא דְּאִתְגַּלְּיָא אִתְכַּסֵּי. </w:t>
      </w:r>
      <w:r w:rsidRPr="00007309">
        <w:rPr>
          <w:rFonts w:cs="Arial"/>
          <w:b/>
          <w:bCs/>
          <w:sz w:val="36"/>
          <w:szCs w:val="28"/>
          <w:vertAlign w:val="superscript"/>
          <w:rtl/>
        </w:rPr>
        <w:footnoteReference w:id="8816"/>
      </w:r>
      <w:r w:rsidRPr="00007309">
        <w:rPr>
          <w:rFonts w:cs="Arial"/>
          <w:b/>
          <w:bCs/>
          <w:sz w:val="24"/>
          <w:szCs w:val="24"/>
          <w:rtl/>
        </w:rPr>
        <w:t xml:space="preserve">בִּסְתִימוּ דְּעַיְנִין חָמָאן לֵהּ. </w:t>
      </w:r>
      <w:r w:rsidRPr="00007309">
        <w:rPr>
          <w:rFonts w:cs="Arial"/>
          <w:b/>
          <w:bCs/>
          <w:sz w:val="36"/>
          <w:szCs w:val="28"/>
          <w:vertAlign w:val="superscript"/>
          <w:rtl/>
        </w:rPr>
        <w:footnoteReference w:id="8817"/>
      </w:r>
      <w:r w:rsidRPr="00007309">
        <w:rPr>
          <w:rFonts w:cs="Arial"/>
          <w:b/>
          <w:bCs/>
          <w:sz w:val="24"/>
          <w:szCs w:val="24"/>
          <w:rtl/>
        </w:rPr>
        <w:t xml:space="preserve">בַּאֲטִימוּ דְּאוּדְנִין שָׁמְעִין לֵהּ. </w:t>
      </w:r>
      <w:r w:rsidRPr="00007309">
        <w:rPr>
          <w:rFonts w:cs="Arial"/>
          <w:b/>
          <w:bCs/>
          <w:sz w:val="36"/>
          <w:szCs w:val="28"/>
          <w:vertAlign w:val="superscript"/>
          <w:rtl/>
        </w:rPr>
        <w:footnoteReference w:id="8818"/>
      </w:r>
      <w:r w:rsidRPr="00007309">
        <w:rPr>
          <w:rFonts w:cs="Arial"/>
          <w:b/>
          <w:bCs/>
          <w:sz w:val="24"/>
          <w:szCs w:val="24"/>
          <w:rtl/>
        </w:rPr>
        <w:t xml:space="preserve">בִּפְתִיחוּ דְּעַיְנִין אִתְכַּסֵּי לֵהּ. </w:t>
      </w:r>
      <w:r w:rsidRPr="00007309">
        <w:rPr>
          <w:rFonts w:cs="Arial"/>
          <w:b/>
          <w:bCs/>
          <w:sz w:val="36"/>
          <w:szCs w:val="28"/>
          <w:vertAlign w:val="superscript"/>
          <w:rtl/>
        </w:rPr>
        <w:footnoteReference w:id="8819"/>
      </w:r>
      <w:r w:rsidRPr="00007309">
        <w:rPr>
          <w:rFonts w:cs="Arial"/>
          <w:b/>
          <w:bCs/>
          <w:sz w:val="24"/>
          <w:szCs w:val="24"/>
          <w:rtl/>
        </w:rPr>
        <w:t xml:space="preserve">וְלָא יְדִיעַ עַד דְּאִזְדַּמִּין לְפָתוֹרֵהּ זַכָּאֵי קְשׁוֹט לְמֵיכַל. </w:t>
      </w:r>
    </w:p>
    <w:p w:rsidR="00007309" w:rsidRPr="00007309" w:rsidRDefault="00007309" w:rsidP="00007309">
      <w:pPr>
        <w:jc w:val="both"/>
        <w:rPr>
          <w:rFonts w:cs="Arial"/>
          <w:b/>
          <w:bCs/>
          <w:sz w:val="24"/>
          <w:szCs w:val="24"/>
          <w:rtl/>
        </w:rPr>
      </w:pPr>
      <w:r w:rsidRPr="00007309">
        <w:rPr>
          <w:rFonts w:cs="Arial"/>
          <w:b/>
          <w:bCs/>
          <w:sz w:val="36"/>
          <w:szCs w:val="28"/>
          <w:vertAlign w:val="superscript"/>
          <w:rtl/>
        </w:rPr>
        <w:footnoteReference w:id="8820"/>
      </w:r>
      <w:r w:rsidRPr="00007309">
        <w:rPr>
          <w:rFonts w:cs="Arial"/>
          <w:b/>
          <w:bCs/>
          <w:sz w:val="24"/>
          <w:szCs w:val="24"/>
          <w:rtl/>
        </w:rPr>
        <w:t xml:space="preserve">גָּלִיף </w:t>
      </w:r>
      <w:r w:rsidRPr="00007309">
        <w:rPr>
          <w:rFonts w:cs="Arial" w:hint="cs"/>
          <w:b/>
          <w:bCs/>
          <w:sz w:val="24"/>
          <w:szCs w:val="24"/>
          <w:rtl/>
        </w:rPr>
        <w:t>(</w:t>
      </w:r>
      <w:r w:rsidRPr="00007309">
        <w:rPr>
          <w:rFonts w:cs="Arial"/>
          <w:b/>
          <w:bCs/>
          <w:sz w:val="24"/>
          <w:szCs w:val="24"/>
          <w:rtl/>
        </w:rPr>
        <w:t>גּוֹ</w:t>
      </w:r>
      <w:r w:rsidRPr="00007309">
        <w:rPr>
          <w:rFonts w:cs="Arial" w:hint="cs"/>
          <w:b/>
          <w:bCs/>
          <w:sz w:val="24"/>
          <w:szCs w:val="24"/>
          <w:rtl/>
        </w:rPr>
        <w:t xml:space="preserve">) </w:t>
      </w:r>
      <w:r w:rsidRPr="00007309">
        <w:rPr>
          <w:rFonts w:cs="Arial"/>
          <w:b/>
          <w:bCs/>
          <w:sz w:val="24"/>
          <w:szCs w:val="24"/>
          <w:rtl/>
        </w:rPr>
        <w:t xml:space="preserve">בֵּהּ גְּלִיפָא </w:t>
      </w:r>
      <w:r w:rsidRPr="00007309">
        <w:rPr>
          <w:rFonts w:cs="Arial" w:hint="cs"/>
          <w:b/>
          <w:bCs/>
          <w:sz w:val="24"/>
          <w:szCs w:val="24"/>
          <w:rtl/>
        </w:rPr>
        <w:t>(</w:t>
      </w:r>
      <w:r w:rsidRPr="00007309">
        <w:rPr>
          <w:rFonts w:cs="Arial"/>
          <w:b/>
          <w:bCs/>
          <w:sz w:val="24"/>
          <w:szCs w:val="24"/>
          <w:rtl/>
        </w:rPr>
        <w:t>דְּצִיּוּרָא</w:t>
      </w:r>
      <w:r w:rsidRPr="00007309">
        <w:rPr>
          <w:rFonts w:cs="Arial" w:hint="cs"/>
          <w:b/>
          <w:bCs/>
          <w:sz w:val="24"/>
          <w:szCs w:val="24"/>
          <w:rtl/>
        </w:rPr>
        <w:t xml:space="preserve">) </w:t>
      </w:r>
      <w:r w:rsidRPr="00007309">
        <w:rPr>
          <w:rFonts w:cs="Arial"/>
          <w:b/>
          <w:bCs/>
          <w:sz w:val="24"/>
          <w:szCs w:val="24"/>
          <w:rtl/>
        </w:rPr>
        <w:t xml:space="preserve">דִּנְהוֹרָא </w:t>
      </w:r>
      <w:r w:rsidRPr="00007309">
        <w:rPr>
          <w:rFonts w:cs="Arial"/>
          <w:b/>
          <w:bCs/>
          <w:sz w:val="36"/>
          <w:szCs w:val="28"/>
          <w:vertAlign w:val="superscript"/>
          <w:rtl/>
        </w:rPr>
        <w:footnoteReference w:id="8821"/>
      </w:r>
      <w:r w:rsidRPr="00007309">
        <w:rPr>
          <w:rFonts w:cs="Arial"/>
          <w:b/>
          <w:bCs/>
          <w:sz w:val="24"/>
          <w:szCs w:val="24"/>
          <w:rtl/>
        </w:rPr>
        <w:t>וְנָפַק ג'</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822"/>
      </w:r>
      <w:r w:rsidRPr="00007309">
        <w:rPr>
          <w:rFonts w:cs="Arial"/>
          <w:b/>
          <w:bCs/>
          <w:sz w:val="24"/>
          <w:szCs w:val="24"/>
          <w:rtl/>
        </w:rPr>
        <w:t xml:space="preserve">דְּאִתְכַּסֵּי חוֹשְׁנָא וְאֵפוֹדָא. מְזָרַז בְּהֵמְיָינָא. </w:t>
      </w:r>
      <w:r w:rsidRPr="00007309">
        <w:rPr>
          <w:rFonts w:cs="Arial"/>
          <w:b/>
          <w:bCs/>
          <w:sz w:val="36"/>
          <w:szCs w:val="28"/>
          <w:vertAlign w:val="superscript"/>
          <w:rtl/>
        </w:rPr>
        <w:footnoteReference w:id="8823"/>
      </w:r>
      <w:r w:rsidRPr="00007309">
        <w:rPr>
          <w:rFonts w:cs="Arial"/>
          <w:b/>
          <w:bCs/>
          <w:sz w:val="24"/>
          <w:szCs w:val="24"/>
          <w:rtl/>
        </w:rPr>
        <w:t xml:space="preserve">אִתְגַּלֵּי בִּימָמָא וְאִתְכַּסֵּי בְּלֵילְיָא. </w:t>
      </w:r>
      <w:r w:rsidRPr="00007309">
        <w:rPr>
          <w:rFonts w:cs="Arial"/>
          <w:b/>
          <w:bCs/>
          <w:sz w:val="36"/>
          <w:szCs w:val="28"/>
          <w:vertAlign w:val="superscript"/>
          <w:rtl/>
        </w:rPr>
        <w:footnoteReference w:id="8824"/>
      </w:r>
      <w:r w:rsidRPr="00007309">
        <w:rPr>
          <w:rFonts w:cs="Arial"/>
          <w:b/>
          <w:bCs/>
          <w:sz w:val="24"/>
          <w:szCs w:val="24"/>
          <w:rtl/>
        </w:rPr>
        <w:t>נָפַק זִמְנָא חֲדָא וְאִתְחָרַט וְאַגְנִיז, עַד דְּאָתֵי ו' אָחִיד בֵּהּ וְאִתְפְּיַס וְתָב לְדוּכְתֵּהּ</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825"/>
      </w:r>
      <w:r w:rsidRPr="00007309">
        <w:rPr>
          <w:rFonts w:cs="Arial"/>
          <w:b/>
          <w:bCs/>
          <w:sz w:val="24"/>
          <w:szCs w:val="24"/>
          <w:rtl/>
        </w:rPr>
        <w:t xml:space="preserve">וְלָא בָּעֵי לְאִתְגַּלָּאָה אֶלָּא לְאִנּוּן דְּקָארָן לֵהּ בְּלֵילְיָא. וּבְצַפְרָא גַּלֵּי רְשִׁימוּ דְּחוּטָא </w:t>
      </w:r>
      <w:r w:rsidRPr="00007309">
        <w:rPr>
          <w:rFonts w:cs="Arial" w:hint="cs"/>
          <w:b/>
          <w:bCs/>
          <w:sz w:val="24"/>
          <w:szCs w:val="24"/>
          <w:rtl/>
        </w:rPr>
        <w:t>ז</w:t>
      </w:r>
      <w:r w:rsidRPr="00007309">
        <w:rPr>
          <w:rFonts w:cs="Arial"/>
          <w:b/>
          <w:bCs/>
          <w:sz w:val="24"/>
          <w:szCs w:val="24"/>
          <w:rtl/>
        </w:rPr>
        <w:t xml:space="preserve">ָעִיר דַּקִּיק דְּאִתְחַבַּר בַּהֲדַיְהוּ בִּימָמָא </w:t>
      </w:r>
      <w:r w:rsidRPr="00007309">
        <w:rPr>
          <w:rFonts w:cs="Arial" w:hint="cs"/>
          <w:b/>
          <w:bCs/>
          <w:sz w:val="24"/>
          <w:szCs w:val="24"/>
          <w:rtl/>
        </w:rPr>
        <w:t>מ</w:t>
      </w:r>
      <w:r w:rsidRPr="00007309">
        <w:rPr>
          <w:rFonts w:cs="Arial"/>
          <w:b/>
          <w:bCs/>
          <w:sz w:val="24"/>
          <w:szCs w:val="24"/>
          <w:rtl/>
        </w:rPr>
        <w:t xml:space="preserve">ִגּוֹ שִׁירָתָא וְחֶדְוָה דִּמְזַמְּרָן לֵהּ בְּלֵילְיָא. </w:t>
      </w:r>
      <w:r w:rsidRPr="00007309">
        <w:rPr>
          <w:rFonts w:cs="Arial"/>
          <w:b/>
          <w:bCs/>
          <w:sz w:val="36"/>
          <w:szCs w:val="28"/>
          <w:vertAlign w:val="superscript"/>
          <w:rtl/>
        </w:rPr>
        <w:footnoteReference w:id="8826"/>
      </w:r>
      <w:r w:rsidRPr="00007309">
        <w:rPr>
          <w:rFonts w:cs="Arial"/>
          <w:b/>
          <w:bCs/>
          <w:sz w:val="24"/>
          <w:szCs w:val="24"/>
          <w:rtl/>
        </w:rPr>
        <w:t xml:space="preserve">וְעָבִיד טִיבוּ לְכֹלָּא, </w:t>
      </w:r>
      <w:r w:rsidRPr="00007309">
        <w:rPr>
          <w:rFonts w:cs="Arial"/>
          <w:b/>
          <w:bCs/>
          <w:sz w:val="36"/>
          <w:szCs w:val="28"/>
          <w:vertAlign w:val="superscript"/>
          <w:rtl/>
        </w:rPr>
        <w:footnoteReference w:id="8827"/>
      </w:r>
      <w:r w:rsidRPr="00007309">
        <w:rPr>
          <w:rFonts w:cs="Arial"/>
          <w:b/>
          <w:bCs/>
          <w:sz w:val="24"/>
          <w:szCs w:val="24"/>
          <w:rtl/>
        </w:rPr>
        <w:t>סָלִיק דִּגְלָא לִימִינָא</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828"/>
      </w:r>
      <w:r w:rsidRPr="00007309">
        <w:rPr>
          <w:rFonts w:cs="Arial"/>
          <w:b/>
          <w:bCs/>
          <w:sz w:val="24"/>
          <w:szCs w:val="24"/>
          <w:rtl/>
        </w:rPr>
        <w:t xml:space="preserve">וְאִתְרְשִׁים וְקִיִּם עָלְמָא. </w:t>
      </w:r>
      <w:r w:rsidRPr="00007309">
        <w:rPr>
          <w:rFonts w:cs="Arial"/>
          <w:b/>
          <w:bCs/>
          <w:sz w:val="36"/>
          <w:szCs w:val="28"/>
          <w:vertAlign w:val="superscript"/>
          <w:rtl/>
        </w:rPr>
        <w:footnoteReference w:id="8829"/>
      </w:r>
      <w:r w:rsidRPr="00007309">
        <w:rPr>
          <w:rFonts w:cs="Arial"/>
          <w:b/>
          <w:bCs/>
          <w:sz w:val="24"/>
          <w:szCs w:val="24"/>
          <w:rtl/>
        </w:rPr>
        <w:t>עָאל גּוֹ הֵיכָלִין פְּנִימָאִין</w:t>
      </w:r>
      <w:r w:rsidRPr="00007309">
        <w:rPr>
          <w:rFonts w:cs="Arial" w:hint="cs"/>
          <w:b/>
          <w:bCs/>
          <w:sz w:val="24"/>
          <w:szCs w:val="24"/>
          <w:rtl/>
        </w:rPr>
        <w:t>,</w:t>
      </w:r>
      <w:r w:rsidRPr="00007309">
        <w:rPr>
          <w:rFonts w:cs="Arial"/>
          <w:b/>
          <w:bCs/>
          <w:sz w:val="24"/>
          <w:szCs w:val="24"/>
          <w:rtl/>
        </w:rPr>
        <w:t xml:space="preserve"> וְנָפַק בָּבֵי עָלְמָא</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830"/>
      </w:r>
      <w:r w:rsidRPr="00007309">
        <w:rPr>
          <w:rFonts w:cs="Arial"/>
          <w:b/>
          <w:bCs/>
          <w:sz w:val="24"/>
          <w:szCs w:val="24"/>
          <w:rtl/>
        </w:rPr>
        <w:t>שִׁירוּתָא וְסוֹפָא אִיהוּ</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831"/>
      </w:r>
      <w:r w:rsidRPr="00007309">
        <w:rPr>
          <w:rFonts w:cs="Arial"/>
          <w:b/>
          <w:bCs/>
          <w:sz w:val="24"/>
          <w:szCs w:val="24"/>
          <w:rtl/>
        </w:rPr>
        <w:t>טָמִיר בְּשִׁתִּין רִבְוָן עָלְמִין</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832"/>
      </w:r>
      <w:r w:rsidRPr="00007309">
        <w:rPr>
          <w:rFonts w:cs="Arial"/>
          <w:b/>
          <w:bCs/>
          <w:sz w:val="24"/>
          <w:szCs w:val="24"/>
          <w:rtl/>
        </w:rPr>
        <w:t>בִּסְטָר דָּרוֹמָא שָׁארֵי וְנָפַק</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833"/>
      </w:r>
      <w:r w:rsidRPr="00007309">
        <w:rPr>
          <w:rFonts w:cs="Arial"/>
          <w:b/>
          <w:bCs/>
          <w:sz w:val="24"/>
          <w:szCs w:val="24"/>
          <w:rtl/>
        </w:rPr>
        <w:t xml:space="preserve">וְאָחִיד מַגְרוֹפַיָּא </w:t>
      </w:r>
      <w:r w:rsidRPr="00007309">
        <w:rPr>
          <w:rFonts w:cs="Arial"/>
          <w:b/>
          <w:bCs/>
          <w:sz w:val="36"/>
          <w:szCs w:val="28"/>
          <w:vertAlign w:val="superscript"/>
          <w:rtl/>
        </w:rPr>
        <w:footnoteReference w:id="8834"/>
      </w:r>
      <w:r w:rsidRPr="00007309">
        <w:rPr>
          <w:rFonts w:cs="Arial"/>
          <w:b/>
          <w:bCs/>
          <w:sz w:val="24"/>
          <w:szCs w:val="24"/>
          <w:rtl/>
        </w:rPr>
        <w:t>וְאַפִּיק מְזוֹנָא לְכֹלָּא</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835"/>
      </w:r>
      <w:r w:rsidRPr="00007309">
        <w:rPr>
          <w:rFonts w:cs="Arial"/>
          <w:b/>
          <w:bCs/>
          <w:sz w:val="24"/>
          <w:szCs w:val="24"/>
          <w:rtl/>
        </w:rPr>
        <w:t xml:space="preserve">וְנָהִיר לוֹן. </w:t>
      </w:r>
    </w:p>
    <w:p w:rsidR="00007309" w:rsidRPr="00007309" w:rsidRDefault="00007309" w:rsidP="00007309">
      <w:pPr>
        <w:keepNext/>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[וילנא נא ע"ב]</w:t>
      </w:r>
    </w:p>
    <w:p w:rsidR="00007309" w:rsidRPr="00007309" w:rsidRDefault="00007309" w:rsidP="00007309">
      <w:pPr>
        <w:jc w:val="both"/>
        <w:rPr>
          <w:rFonts w:cs="Arial"/>
          <w:b/>
          <w:bCs/>
          <w:sz w:val="24"/>
          <w:szCs w:val="24"/>
          <w:rtl/>
        </w:rPr>
      </w:pPr>
      <w:r w:rsidRPr="00007309">
        <w:rPr>
          <w:rFonts w:cs="Arial"/>
          <w:b/>
          <w:bCs/>
          <w:sz w:val="36"/>
          <w:szCs w:val="28"/>
          <w:vertAlign w:val="superscript"/>
          <w:rtl/>
        </w:rPr>
        <w:footnoteReference w:id="8836"/>
      </w:r>
      <w:r w:rsidRPr="00007309">
        <w:rPr>
          <w:rFonts w:cs="Arial"/>
          <w:b/>
          <w:bCs/>
          <w:sz w:val="24"/>
          <w:szCs w:val="24"/>
          <w:rtl/>
        </w:rPr>
        <w:t>גָּלִיף גְּלִיפוּ דִּטְהִירוּ דְּטִיהֲרָא דַּכְיָא, וְאַפִּיק ד' בְּחֻשְׁבָּנָא (נ"א בחשב</w:t>
      </w:r>
      <w:r w:rsidRPr="00007309">
        <w:rPr>
          <w:rFonts w:cs="Arial" w:hint="cs"/>
          <w:b/>
          <w:bCs/>
          <w:sz w:val="24"/>
          <w:szCs w:val="24"/>
          <w:rtl/>
        </w:rPr>
        <w:t>ה</w:t>
      </w:r>
      <w:r w:rsidRPr="00007309">
        <w:rPr>
          <w:rFonts w:cs="Arial"/>
          <w:b/>
          <w:bCs/>
          <w:sz w:val="24"/>
          <w:szCs w:val="24"/>
          <w:rtl/>
        </w:rPr>
        <w:t>)</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837"/>
      </w:r>
      <w:r w:rsidRPr="00007309">
        <w:rPr>
          <w:rFonts w:cs="Arial"/>
          <w:b/>
          <w:bCs/>
          <w:sz w:val="24"/>
          <w:szCs w:val="24"/>
          <w:rtl/>
        </w:rPr>
        <w:t>דְּמָאתָן אֶלֶף עָלְמִין</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838"/>
      </w:r>
      <w:r w:rsidRPr="00007309">
        <w:rPr>
          <w:rFonts w:cs="Arial"/>
          <w:b/>
          <w:bCs/>
          <w:sz w:val="24"/>
          <w:szCs w:val="24"/>
          <w:rtl/>
        </w:rPr>
        <w:t>עַרְטִ</w:t>
      </w:r>
      <w:r w:rsidRPr="00007309">
        <w:rPr>
          <w:rFonts w:cs="Arial" w:hint="cs"/>
          <w:b/>
          <w:bCs/>
          <w:sz w:val="24"/>
          <w:szCs w:val="24"/>
          <w:rtl/>
        </w:rPr>
        <w:t>י</w:t>
      </w:r>
      <w:r w:rsidRPr="00007309">
        <w:rPr>
          <w:rFonts w:cs="Arial"/>
          <w:b/>
          <w:bCs/>
          <w:sz w:val="24"/>
          <w:szCs w:val="24"/>
          <w:rtl/>
        </w:rPr>
        <w:t>רָא דִּנְהוֹרָא דְּנָהִיר.</w:t>
      </w:r>
      <w:r w:rsidRPr="00007309">
        <w:rPr>
          <w:rFonts w:cs="Arial" w:hint="cs"/>
          <w:b/>
          <w:bCs/>
          <w:sz w:val="24"/>
          <w:szCs w:val="24"/>
          <w:rtl/>
        </w:rPr>
        <w:t xml:space="preserve"> </w:t>
      </w:r>
      <w:r w:rsidRPr="00007309">
        <w:rPr>
          <w:rFonts w:cs="Arial"/>
          <w:b/>
          <w:bCs/>
          <w:sz w:val="36"/>
          <w:szCs w:val="28"/>
          <w:vertAlign w:val="superscript"/>
          <w:rtl/>
        </w:rPr>
        <w:footnoteReference w:id="8839"/>
      </w:r>
      <w:r w:rsidRPr="00007309">
        <w:rPr>
          <w:rFonts w:cs="Arial"/>
          <w:b/>
          <w:bCs/>
          <w:sz w:val="24"/>
          <w:szCs w:val="24"/>
          <w:rtl/>
        </w:rPr>
        <w:t xml:space="preserve">מִנֵּהּ נָפְקָן עֲמִיקָן לְגַלָּאָה נהרא דְּנָהִיר וְאִתְטְמַר וְאִתְחֲשָׁךְ. </w:t>
      </w:r>
      <w:r w:rsidRPr="00007309">
        <w:rPr>
          <w:rFonts w:cs="Arial"/>
          <w:b/>
          <w:bCs/>
          <w:sz w:val="36"/>
          <w:szCs w:val="28"/>
          <w:vertAlign w:val="superscript"/>
          <w:rtl/>
        </w:rPr>
        <w:footnoteReference w:id="8840"/>
      </w:r>
      <w:r w:rsidRPr="00007309">
        <w:rPr>
          <w:rFonts w:cs="Arial"/>
          <w:b/>
          <w:bCs/>
          <w:sz w:val="24"/>
          <w:szCs w:val="24"/>
          <w:rtl/>
        </w:rPr>
        <w:t xml:space="preserve">אִיהוּ דָּחֵי וְאָחֳרָא מְקָרֵב. </w:t>
      </w:r>
      <w:r w:rsidRPr="00007309">
        <w:rPr>
          <w:rFonts w:cs="Arial"/>
          <w:b/>
          <w:bCs/>
          <w:sz w:val="36"/>
          <w:szCs w:val="28"/>
          <w:vertAlign w:val="superscript"/>
          <w:rtl/>
        </w:rPr>
        <w:footnoteReference w:id="8841"/>
      </w:r>
      <w:r w:rsidRPr="00007309">
        <w:rPr>
          <w:rFonts w:cs="Arial"/>
          <w:b/>
          <w:bCs/>
          <w:sz w:val="24"/>
          <w:szCs w:val="24"/>
          <w:rtl/>
        </w:rPr>
        <w:t xml:space="preserve">אִיהוּ מָחֵי וְאָחֳרָא מָסֵי. </w:t>
      </w:r>
      <w:r w:rsidRPr="00007309">
        <w:rPr>
          <w:rFonts w:cs="Arial"/>
          <w:b/>
          <w:bCs/>
          <w:sz w:val="36"/>
          <w:szCs w:val="28"/>
          <w:vertAlign w:val="superscript"/>
          <w:rtl/>
        </w:rPr>
        <w:footnoteReference w:id="8842"/>
      </w:r>
      <w:r w:rsidRPr="00007309">
        <w:rPr>
          <w:rFonts w:cs="Arial"/>
          <w:b/>
          <w:bCs/>
          <w:sz w:val="24"/>
          <w:szCs w:val="24"/>
          <w:rtl/>
        </w:rPr>
        <w:t xml:space="preserve">בִּידֵהּ שַׁרְבִיט דְּחַיֵּי וּמוֹתָא. </w:t>
      </w:r>
      <w:r w:rsidRPr="00007309">
        <w:rPr>
          <w:rFonts w:cs="Arial"/>
          <w:b/>
          <w:bCs/>
          <w:sz w:val="36"/>
          <w:szCs w:val="28"/>
          <w:vertAlign w:val="superscript"/>
          <w:rtl/>
        </w:rPr>
        <w:footnoteReference w:id="8843"/>
      </w:r>
      <w:r w:rsidRPr="00007309">
        <w:rPr>
          <w:rFonts w:cs="Arial"/>
          <w:b/>
          <w:bCs/>
          <w:sz w:val="24"/>
          <w:szCs w:val="24"/>
          <w:rtl/>
        </w:rPr>
        <w:t>טָמִיר בְּאַרְבַּע מֵאָה א</w:t>
      </w:r>
      <w:r w:rsidRPr="00007309">
        <w:rPr>
          <w:rFonts w:cs="Arial" w:hint="cs"/>
          <w:b/>
          <w:bCs/>
          <w:sz w:val="24"/>
          <w:szCs w:val="24"/>
          <w:rtl/>
        </w:rPr>
        <w:t>וו</w:t>
      </w:r>
      <w:r w:rsidRPr="00007309">
        <w:rPr>
          <w:rFonts w:cs="Arial"/>
          <w:b/>
          <w:bCs/>
          <w:sz w:val="24"/>
          <w:szCs w:val="24"/>
          <w:rtl/>
        </w:rPr>
        <w:t xml:space="preserve">נין מַגִּיחֵי קְרָבָא, </w:t>
      </w:r>
      <w:r w:rsidRPr="00007309">
        <w:rPr>
          <w:rFonts w:cs="Arial"/>
          <w:b/>
          <w:bCs/>
          <w:sz w:val="36"/>
          <w:szCs w:val="28"/>
          <w:vertAlign w:val="superscript"/>
          <w:rtl/>
        </w:rPr>
        <w:footnoteReference w:id="8844"/>
      </w:r>
      <w:r w:rsidRPr="00007309">
        <w:rPr>
          <w:rFonts w:cs="Arial"/>
          <w:b/>
          <w:bCs/>
          <w:sz w:val="24"/>
          <w:szCs w:val="24"/>
          <w:rtl/>
        </w:rPr>
        <w:t xml:space="preserve">מָארֵי דְּרוֹמְחֵהּ וְחַרְבָּא דִּמְלַהֲטָא, דְּתַּמָּן נָפְקִין וּמִתְפַּשְּׁטָן </w:t>
      </w:r>
      <w:r w:rsidRPr="00007309">
        <w:rPr>
          <w:rFonts w:ascii="Cambria" w:hAnsi="Cambria" w:cs="Times New Roman"/>
          <w:b/>
          <w:bCs/>
          <w:i/>
          <w:iCs/>
          <w:color w:val="4F81BD"/>
          <w:sz w:val="24"/>
          <w:szCs w:val="24"/>
          <w:rtl/>
        </w:rPr>
        <w:t>(</w:t>
      </w:r>
      <w:r w:rsidRPr="00007309">
        <w:rPr>
          <w:rFonts w:ascii="Cambria" w:hAnsi="Cambria" w:cs="Times New Roman" w:hint="cs"/>
          <w:b/>
          <w:bCs/>
          <w:i/>
          <w:iCs/>
          <w:color w:val="4F81BD"/>
          <w:sz w:val="24"/>
          <w:szCs w:val="24"/>
          <w:rtl/>
        </w:rPr>
        <w:t>וילנא נא</w:t>
      </w:r>
      <w:r w:rsidRPr="00007309">
        <w:rPr>
          <w:rFonts w:ascii="Cambria" w:hAnsi="Cambria" w:cs="Times New Roman"/>
          <w:b/>
          <w:bCs/>
          <w:i/>
          <w:iCs/>
          <w:color w:val="4F81BD"/>
          <w:sz w:val="24"/>
          <w:szCs w:val="24"/>
          <w:rtl/>
        </w:rPr>
        <w:t xml:space="preserve"> ע"</w:t>
      </w:r>
      <w:r w:rsidRPr="00007309">
        <w:rPr>
          <w:rFonts w:ascii="Cambria" w:hAnsi="Cambria" w:cs="Times New Roman" w:hint="cs"/>
          <w:b/>
          <w:bCs/>
          <w:i/>
          <w:iCs/>
          <w:color w:val="4F81BD"/>
          <w:sz w:val="24"/>
          <w:szCs w:val="24"/>
          <w:rtl/>
        </w:rPr>
        <w:t>ב</w:t>
      </w:r>
      <w:r w:rsidRPr="00007309">
        <w:rPr>
          <w:rFonts w:ascii="Cambria" w:hAnsi="Cambria" w:cs="Times New Roman"/>
          <w:b/>
          <w:bCs/>
          <w:i/>
          <w:iCs/>
          <w:color w:val="4F81BD"/>
          <w:sz w:val="24"/>
          <w:szCs w:val="24"/>
          <w:rtl/>
        </w:rPr>
        <w:t>)</w:t>
      </w:r>
      <w:r w:rsidRPr="00007309">
        <w:rPr>
          <w:rFonts w:cs="Arial"/>
          <w:b/>
          <w:bCs/>
          <w:sz w:val="24"/>
          <w:szCs w:val="24"/>
          <w:rtl/>
        </w:rPr>
        <w:t xml:space="preserve"> בְּלָא חֻשְׁבָּנָא. </w:t>
      </w:r>
      <w:r w:rsidRPr="00007309">
        <w:rPr>
          <w:rFonts w:cs="Arial"/>
          <w:b/>
          <w:bCs/>
          <w:sz w:val="36"/>
          <w:szCs w:val="28"/>
          <w:vertAlign w:val="superscript"/>
          <w:rtl/>
        </w:rPr>
        <w:footnoteReference w:id="8845"/>
      </w:r>
      <w:r w:rsidRPr="00007309">
        <w:rPr>
          <w:rFonts w:cs="Arial"/>
          <w:b/>
          <w:bCs/>
          <w:sz w:val="24"/>
          <w:szCs w:val="24"/>
          <w:rtl/>
        </w:rPr>
        <w:t>כַּד אַגְלִיף גְּלִיפוּ</w:t>
      </w:r>
      <w:r w:rsidRPr="00007309">
        <w:rPr>
          <w:rFonts w:cs="Arial" w:hint="cs"/>
          <w:b/>
          <w:bCs/>
          <w:sz w:val="24"/>
          <w:szCs w:val="24"/>
          <w:rtl/>
        </w:rPr>
        <w:t>,</w:t>
      </w:r>
      <w:r w:rsidRPr="00007309">
        <w:rPr>
          <w:rFonts w:cs="Arial"/>
          <w:b/>
          <w:bCs/>
          <w:sz w:val="24"/>
          <w:szCs w:val="24"/>
          <w:rtl/>
        </w:rPr>
        <w:t xml:space="preserve"> בְּהִתּוּכָא דְּנוּרָא דְּדָלִיק, </w:t>
      </w:r>
      <w:r w:rsidRPr="00007309">
        <w:rPr>
          <w:rFonts w:cs="Arial"/>
          <w:b/>
          <w:bCs/>
          <w:sz w:val="36"/>
          <w:szCs w:val="28"/>
          <w:vertAlign w:val="superscript"/>
          <w:rtl/>
        </w:rPr>
        <w:footnoteReference w:id="8846"/>
      </w:r>
      <w:r w:rsidRPr="00007309">
        <w:rPr>
          <w:rFonts w:cs="Arial"/>
          <w:b/>
          <w:bCs/>
          <w:sz w:val="24"/>
          <w:szCs w:val="24"/>
          <w:rtl/>
        </w:rPr>
        <w:t>נָפִיק מִנֵּהּ חַד סֻמָּקָא כִּוְרָדָא</w:t>
      </w:r>
      <w:r w:rsidRPr="00007309">
        <w:rPr>
          <w:rFonts w:cs="Arial" w:hint="cs"/>
          <w:b/>
          <w:bCs/>
          <w:sz w:val="24"/>
          <w:szCs w:val="24"/>
          <w:rtl/>
        </w:rPr>
        <w:t>,</w:t>
      </w:r>
      <w:r w:rsidRPr="00007309">
        <w:rPr>
          <w:rFonts w:cs="Arial"/>
          <w:b/>
          <w:bCs/>
          <w:sz w:val="24"/>
          <w:szCs w:val="24"/>
          <w:rtl/>
        </w:rPr>
        <w:t xml:space="preserve"> שַׂעֲרוֹי תַּלְיָן </w:t>
      </w:r>
      <w:r w:rsidRPr="00007309">
        <w:rPr>
          <w:rFonts w:cs="Arial"/>
          <w:b/>
          <w:bCs/>
          <w:sz w:val="36"/>
          <w:szCs w:val="28"/>
          <w:vertAlign w:val="superscript"/>
          <w:rtl/>
        </w:rPr>
        <w:footnoteReference w:id="8847"/>
      </w:r>
      <w:r w:rsidRPr="00007309">
        <w:rPr>
          <w:rFonts w:cs="Arial"/>
          <w:b/>
          <w:bCs/>
          <w:sz w:val="24"/>
          <w:szCs w:val="24"/>
          <w:rtl/>
        </w:rPr>
        <w:t>כְּ</w:t>
      </w:r>
      <w:r w:rsidRPr="00007309">
        <w:rPr>
          <w:rFonts w:cs="Arial" w:hint="cs"/>
          <w:b/>
          <w:bCs/>
          <w:sz w:val="24"/>
          <w:szCs w:val="24"/>
          <w:rtl/>
        </w:rPr>
        <w:t>ד</w:t>
      </w:r>
      <w:r w:rsidRPr="00007309">
        <w:rPr>
          <w:rFonts w:cs="Arial"/>
          <w:b/>
          <w:bCs/>
          <w:sz w:val="24"/>
          <w:szCs w:val="24"/>
          <w:rtl/>
        </w:rPr>
        <w:t>וּבֵּי</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848"/>
      </w:r>
      <w:r w:rsidRPr="00007309">
        <w:rPr>
          <w:rFonts w:cs="Arial"/>
          <w:b/>
          <w:bCs/>
          <w:sz w:val="24"/>
          <w:szCs w:val="24"/>
          <w:rtl/>
        </w:rPr>
        <w:t xml:space="preserve">דְּטוּרֵי חָשׁוּךְ. </w:t>
      </w:r>
      <w:r w:rsidRPr="00007309">
        <w:rPr>
          <w:rFonts w:cs="Arial"/>
          <w:b/>
          <w:bCs/>
          <w:sz w:val="36"/>
          <w:szCs w:val="28"/>
          <w:vertAlign w:val="superscript"/>
          <w:rtl/>
        </w:rPr>
        <w:footnoteReference w:id="8849"/>
      </w:r>
      <w:r w:rsidRPr="00007309">
        <w:rPr>
          <w:rFonts w:cs="Arial"/>
          <w:b/>
          <w:bCs/>
          <w:sz w:val="24"/>
          <w:szCs w:val="24"/>
          <w:rtl/>
        </w:rPr>
        <w:t xml:space="preserve">דְּחִילֵי וְאֵימָתֵנוּ תַּקִּיפָא יְתֵירָא הוּסָפַתּ בֵּהּ. </w:t>
      </w:r>
      <w:r w:rsidRPr="00007309">
        <w:rPr>
          <w:rFonts w:cs="Arial"/>
          <w:b/>
          <w:bCs/>
          <w:sz w:val="36"/>
          <w:szCs w:val="28"/>
          <w:vertAlign w:val="superscript"/>
          <w:rtl/>
        </w:rPr>
        <w:footnoteReference w:id="8850"/>
      </w:r>
      <w:r w:rsidRPr="00007309">
        <w:rPr>
          <w:rFonts w:cs="Arial"/>
          <w:b/>
          <w:bCs/>
          <w:sz w:val="24"/>
          <w:szCs w:val="24"/>
          <w:rtl/>
        </w:rPr>
        <w:t>יְדוֹי דְּבֵקָן</w:t>
      </w:r>
      <w:r w:rsidRPr="00007309">
        <w:rPr>
          <w:rFonts w:cs="Arial"/>
          <w:b/>
          <w:bCs/>
          <w:sz w:val="24"/>
          <w:szCs w:val="24"/>
        </w:rPr>
        <w:t xml:space="preserve"> </w:t>
      </w:r>
      <w:r w:rsidRPr="00007309">
        <w:rPr>
          <w:rFonts w:cs="Arial"/>
          <w:b/>
          <w:bCs/>
          <w:sz w:val="24"/>
          <w:szCs w:val="24"/>
          <w:rtl/>
        </w:rPr>
        <w:t xml:space="preserve">בְּשַׁלְהוֹבָא דְּחַרְבָּא מְהַפְּכָא. </w:t>
      </w:r>
      <w:r w:rsidRPr="00007309">
        <w:rPr>
          <w:rFonts w:cs="Arial"/>
          <w:b/>
          <w:bCs/>
          <w:sz w:val="36"/>
          <w:szCs w:val="28"/>
          <w:vertAlign w:val="superscript"/>
          <w:rtl/>
        </w:rPr>
        <w:footnoteReference w:id="8851"/>
      </w:r>
      <w:r w:rsidRPr="00007309">
        <w:rPr>
          <w:rFonts w:cs="Arial"/>
          <w:b/>
          <w:bCs/>
          <w:sz w:val="24"/>
          <w:szCs w:val="24"/>
          <w:rtl/>
        </w:rPr>
        <w:t xml:space="preserve">יוֹמָא דְּיִתְּעַר, כֹּלָּא עַבְרִין קַמֵּהּ כִּבְנֵי מָרוֹנָא. </w:t>
      </w:r>
      <w:r w:rsidRPr="00007309">
        <w:rPr>
          <w:rFonts w:cs="Arial"/>
          <w:b/>
          <w:bCs/>
          <w:sz w:val="36"/>
          <w:szCs w:val="28"/>
          <w:vertAlign w:val="superscript"/>
          <w:rtl/>
        </w:rPr>
        <w:footnoteReference w:id="8852"/>
      </w:r>
      <w:r w:rsidRPr="00007309">
        <w:rPr>
          <w:rFonts w:cs="Arial"/>
          <w:b/>
          <w:bCs/>
          <w:sz w:val="24"/>
          <w:szCs w:val="24"/>
          <w:rtl/>
        </w:rPr>
        <w:t xml:space="preserve">זַכָּאָה אִיהוּ מָאן דְּקָרִיב בֵּהּ וְאִשְׁתְּזִיב מִנֵּהּ. </w:t>
      </w:r>
      <w:r w:rsidRPr="00007309">
        <w:rPr>
          <w:rFonts w:cs="Arial"/>
          <w:b/>
          <w:bCs/>
          <w:sz w:val="36"/>
          <w:szCs w:val="28"/>
          <w:vertAlign w:val="superscript"/>
          <w:rtl/>
        </w:rPr>
        <w:footnoteReference w:id="8853"/>
      </w:r>
      <w:r w:rsidRPr="00007309">
        <w:rPr>
          <w:rFonts w:cs="Arial"/>
          <w:b/>
          <w:bCs/>
          <w:sz w:val="24"/>
          <w:szCs w:val="24"/>
          <w:rtl/>
        </w:rPr>
        <w:t>גָּלִיף גְּלִיפִין דְּטוּרֵי נְהִירוּ וְאַפִּיק ה'</w:t>
      </w:r>
      <w:r w:rsidRPr="00007309">
        <w:rPr>
          <w:rFonts w:cs="Arial" w:hint="cs"/>
          <w:b/>
          <w:bCs/>
          <w:sz w:val="24"/>
          <w:szCs w:val="24"/>
          <w:rtl/>
        </w:rPr>
        <w:t xml:space="preserve"> (ת"ת),</w:t>
      </w:r>
      <w:r w:rsidRPr="00007309">
        <w:rPr>
          <w:rFonts w:cs="Arial"/>
          <w:b/>
          <w:bCs/>
          <w:sz w:val="24"/>
          <w:szCs w:val="24"/>
          <w:rtl/>
        </w:rPr>
        <w:t xml:space="preserve"> </w:t>
      </w:r>
      <w:r w:rsidRPr="00007309">
        <w:rPr>
          <w:rFonts w:cs="Arial"/>
          <w:b/>
          <w:bCs/>
          <w:sz w:val="36"/>
          <w:szCs w:val="28"/>
          <w:vertAlign w:val="superscript"/>
          <w:rtl/>
        </w:rPr>
        <w:footnoteReference w:id="8854"/>
      </w:r>
      <w:r w:rsidRPr="00007309">
        <w:rPr>
          <w:rFonts w:cs="Arial"/>
          <w:b/>
          <w:bCs/>
          <w:sz w:val="24"/>
          <w:szCs w:val="24"/>
          <w:rtl/>
        </w:rPr>
        <w:t>דְּקַיְּמָא גּוֹ עַמּוּדִין דְּעָלְמָא</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855"/>
      </w:r>
      <w:r w:rsidRPr="00007309">
        <w:rPr>
          <w:rFonts w:cs="Arial"/>
          <w:b/>
          <w:bCs/>
          <w:sz w:val="24"/>
          <w:szCs w:val="24"/>
          <w:rtl/>
        </w:rPr>
        <w:t xml:space="preserve">כֹּלָּא קַיְּמִין קַמֵּהּ וְיָתִיב בֵּינַיְהוּ כְּמַלְכָּא גּוֹ חֵילֵהּ. </w:t>
      </w:r>
      <w:r w:rsidRPr="00007309">
        <w:rPr>
          <w:rFonts w:cs="Arial"/>
          <w:b/>
          <w:bCs/>
          <w:sz w:val="36"/>
          <w:szCs w:val="28"/>
          <w:vertAlign w:val="superscript"/>
          <w:rtl/>
        </w:rPr>
        <w:footnoteReference w:id="8856"/>
      </w:r>
      <w:r w:rsidRPr="00007309">
        <w:rPr>
          <w:rFonts w:cs="Arial"/>
          <w:b/>
          <w:bCs/>
          <w:sz w:val="24"/>
          <w:szCs w:val="24"/>
          <w:rtl/>
        </w:rPr>
        <w:t xml:space="preserve">תְּרֵין רַבְרְבִין מְמָנָן קַיְּמִין לָקִבְלֵהּ, </w:t>
      </w:r>
      <w:r w:rsidRPr="00007309">
        <w:rPr>
          <w:rFonts w:cs="Arial"/>
          <w:b/>
          <w:bCs/>
          <w:sz w:val="36"/>
          <w:szCs w:val="28"/>
          <w:vertAlign w:val="superscript"/>
          <w:rtl/>
        </w:rPr>
        <w:footnoteReference w:id="8857"/>
      </w:r>
      <w:r w:rsidRPr="00007309">
        <w:rPr>
          <w:rFonts w:cs="Arial"/>
          <w:b/>
          <w:bCs/>
          <w:sz w:val="24"/>
          <w:szCs w:val="24"/>
          <w:rtl/>
        </w:rPr>
        <w:t xml:space="preserve">עָבִיד שְׁלָמָא בֵּינַיְהוּ. </w:t>
      </w:r>
      <w:r w:rsidRPr="00007309">
        <w:rPr>
          <w:rFonts w:cs="Arial"/>
          <w:b/>
          <w:bCs/>
          <w:sz w:val="36"/>
          <w:szCs w:val="28"/>
          <w:vertAlign w:val="superscript"/>
          <w:rtl/>
        </w:rPr>
        <w:footnoteReference w:id="8858"/>
      </w:r>
      <w:r w:rsidRPr="00007309">
        <w:rPr>
          <w:rFonts w:cs="Arial"/>
          <w:b/>
          <w:bCs/>
          <w:sz w:val="24"/>
          <w:szCs w:val="24"/>
          <w:rtl/>
        </w:rPr>
        <w:t>בְּשַׁעֲתָא דְּאִתְגְּלֵי</w:t>
      </w:r>
      <w:r w:rsidRPr="00007309">
        <w:rPr>
          <w:rFonts w:cs="Arial" w:hint="cs"/>
          <w:b/>
          <w:bCs/>
          <w:sz w:val="24"/>
          <w:szCs w:val="24"/>
          <w:rtl/>
        </w:rPr>
        <w:t>,</w:t>
      </w:r>
      <w:r w:rsidRPr="00007309">
        <w:rPr>
          <w:rFonts w:cs="Arial"/>
          <w:b/>
          <w:bCs/>
          <w:sz w:val="24"/>
          <w:szCs w:val="24"/>
          <w:rtl/>
        </w:rPr>
        <w:t xml:space="preserve"> כֹּלָּא קַיְּמִין בְּקִיּוּמַיְהוּ. </w:t>
      </w:r>
      <w:r w:rsidRPr="00007309">
        <w:rPr>
          <w:rFonts w:cs="Arial"/>
          <w:b/>
          <w:bCs/>
          <w:sz w:val="36"/>
          <w:szCs w:val="28"/>
          <w:vertAlign w:val="superscript"/>
          <w:rtl/>
        </w:rPr>
        <w:footnoteReference w:id="8859"/>
      </w:r>
      <w:r w:rsidRPr="00007309">
        <w:rPr>
          <w:rFonts w:cs="Arial"/>
          <w:b/>
          <w:bCs/>
          <w:sz w:val="24"/>
          <w:szCs w:val="24"/>
          <w:rtl/>
        </w:rPr>
        <w:t xml:space="preserve">סָגִיר וּפָתַח. </w:t>
      </w:r>
    </w:p>
    <w:p w:rsidR="00007309" w:rsidRPr="00007309" w:rsidRDefault="00007309" w:rsidP="00007309">
      <w:pPr>
        <w:keepNext/>
        <w:outlineLvl w:val="1"/>
        <w:rPr>
          <w:rFonts w:ascii="Cambria" w:hAnsi="Cambria" w:cs="Times New Roman"/>
          <w:b/>
          <w:bCs/>
          <w:i/>
          <w:iCs/>
          <w:sz w:val="28"/>
          <w:szCs w:val="28"/>
          <w:rtl/>
        </w:rPr>
      </w:pPr>
      <w:r w:rsidRPr="00007309">
        <w:rPr>
          <w:rFonts w:ascii="Cambria" w:hAnsi="Cambria" w:cs="Times New Roman"/>
          <w:b/>
          <w:bCs/>
          <w:i/>
          <w:iCs/>
          <w:sz w:val="28"/>
          <w:szCs w:val="28"/>
          <w:rtl/>
        </w:rPr>
        <w:t>[</w:t>
      </w:r>
      <w:r w:rsidRPr="00007309">
        <w:rPr>
          <w:rFonts w:ascii="Cambria" w:hAnsi="Cambria" w:cs="Times New Roman" w:hint="cs"/>
          <w:b/>
          <w:bCs/>
          <w:i/>
          <w:iCs/>
          <w:sz w:val="28"/>
          <w:szCs w:val="28"/>
          <w:rtl/>
        </w:rPr>
        <w:t>דף</w:t>
      </w:r>
      <w:r w:rsidRPr="00007309">
        <w:rPr>
          <w:rFonts w:ascii="Cambria" w:hAnsi="Cambria" w:cs="Times New Roman"/>
          <w:b/>
          <w:bCs/>
          <w:i/>
          <w:iCs/>
          <w:sz w:val="28"/>
          <w:szCs w:val="28"/>
          <w:rtl/>
        </w:rPr>
        <w:t xml:space="preserve"> </w:t>
      </w:r>
      <w:r w:rsidRPr="00007309">
        <w:rPr>
          <w:rFonts w:ascii="Cambria" w:hAnsi="Cambria" w:cs="Times New Roman" w:hint="cs"/>
          <w:b/>
          <w:bCs/>
          <w:i/>
          <w:iCs/>
          <w:sz w:val="28"/>
          <w:szCs w:val="28"/>
          <w:rtl/>
        </w:rPr>
        <w:t>צ</w:t>
      </w:r>
      <w:r w:rsidRPr="00007309">
        <w:rPr>
          <w:rFonts w:ascii="Cambria" w:hAnsi="Cambria" w:cs="Times New Roman"/>
          <w:b/>
          <w:bCs/>
          <w:i/>
          <w:iCs/>
          <w:sz w:val="28"/>
          <w:szCs w:val="28"/>
          <w:rtl/>
        </w:rPr>
        <w:t xml:space="preserve"> ע"</w:t>
      </w:r>
      <w:r w:rsidRPr="00007309">
        <w:rPr>
          <w:rFonts w:ascii="Cambria" w:hAnsi="Cambria" w:cs="Times New Roman" w:hint="cs"/>
          <w:b/>
          <w:bCs/>
          <w:i/>
          <w:iCs/>
          <w:sz w:val="28"/>
          <w:szCs w:val="28"/>
          <w:rtl/>
        </w:rPr>
        <w:t>ב</w:t>
      </w:r>
      <w:r w:rsidRPr="00007309">
        <w:rPr>
          <w:rFonts w:ascii="Cambria" w:hAnsi="Cambria" w:cs="Times New Roman"/>
          <w:b/>
          <w:bCs/>
          <w:i/>
          <w:iCs/>
          <w:sz w:val="28"/>
          <w:szCs w:val="28"/>
          <w:rtl/>
        </w:rPr>
        <w:t>]</w:t>
      </w:r>
    </w:p>
    <w:p w:rsidR="00007309" w:rsidRPr="00007309" w:rsidRDefault="00007309" w:rsidP="00007309">
      <w:pPr>
        <w:jc w:val="both"/>
        <w:rPr>
          <w:rFonts w:cs="Arial"/>
          <w:b/>
          <w:bCs/>
          <w:sz w:val="24"/>
          <w:szCs w:val="24"/>
          <w:rtl/>
        </w:rPr>
      </w:pPr>
      <w:r w:rsidRPr="00007309">
        <w:rPr>
          <w:rFonts w:cs="Arial"/>
          <w:b/>
          <w:bCs/>
          <w:sz w:val="36"/>
          <w:szCs w:val="28"/>
          <w:vertAlign w:val="superscript"/>
          <w:rtl/>
        </w:rPr>
        <w:footnoteReference w:id="8860"/>
      </w:r>
      <w:r w:rsidRPr="00007309">
        <w:rPr>
          <w:rFonts w:cs="Arial"/>
          <w:b/>
          <w:bCs/>
          <w:sz w:val="24"/>
          <w:szCs w:val="24"/>
          <w:rtl/>
        </w:rPr>
        <w:t xml:space="preserve">וּבְגִינֵהּ קַיְּמִין שִׁתִּין אֶלֶף רִבּוֹא עַל טוּרִין סַגִּיאִין. </w:t>
      </w:r>
      <w:r w:rsidRPr="00007309">
        <w:rPr>
          <w:rFonts w:cs="Arial"/>
          <w:b/>
          <w:bCs/>
          <w:sz w:val="36"/>
          <w:szCs w:val="28"/>
          <w:vertAlign w:val="superscript"/>
          <w:rtl/>
        </w:rPr>
        <w:footnoteReference w:id="8861"/>
      </w:r>
      <w:r w:rsidRPr="00007309">
        <w:rPr>
          <w:rFonts w:cs="Arial"/>
          <w:b/>
          <w:bCs/>
          <w:sz w:val="24"/>
          <w:szCs w:val="24"/>
          <w:rtl/>
        </w:rPr>
        <w:t xml:space="preserve">וְכָל מַפְתְּחָן דְּמַלְכָּא בֵּהּ קַיְּמִין. עָבִיד כִּרְעוּתֵהּ וְלֵית מָאן דְּיִמְחֵי בִּידֵהּ. </w:t>
      </w:r>
      <w:r w:rsidRPr="00007309">
        <w:rPr>
          <w:rFonts w:cs="Arial"/>
          <w:b/>
          <w:bCs/>
          <w:sz w:val="36"/>
          <w:szCs w:val="28"/>
          <w:vertAlign w:val="superscript"/>
          <w:rtl/>
        </w:rPr>
        <w:footnoteReference w:id="8862"/>
      </w:r>
      <w:r w:rsidRPr="00007309">
        <w:rPr>
          <w:rFonts w:cs="Arial"/>
          <w:b/>
          <w:bCs/>
          <w:sz w:val="24"/>
          <w:szCs w:val="24"/>
          <w:rtl/>
        </w:rPr>
        <w:t>סְתִימִין עִלָּאִין</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863"/>
      </w:r>
      <w:r w:rsidRPr="00007309">
        <w:rPr>
          <w:rFonts w:cs="Arial"/>
          <w:b/>
          <w:bCs/>
          <w:sz w:val="24"/>
          <w:szCs w:val="24"/>
          <w:rtl/>
        </w:rPr>
        <w:t>רָמִין טְמִירִין</w:t>
      </w:r>
      <w:r w:rsidRPr="00007309">
        <w:rPr>
          <w:rFonts w:cs="Arial" w:hint="cs"/>
          <w:b/>
          <w:bCs/>
          <w:sz w:val="24"/>
          <w:szCs w:val="24"/>
          <w:rtl/>
        </w:rPr>
        <w:t>,</w:t>
      </w:r>
      <w:r w:rsidRPr="00007309">
        <w:rPr>
          <w:rFonts w:cs="Arial"/>
          <w:b/>
          <w:bCs/>
          <w:sz w:val="24"/>
          <w:szCs w:val="24"/>
          <w:rtl/>
        </w:rPr>
        <w:t xml:space="preserve"> קַיְּמִין עָלֵהּ </w:t>
      </w:r>
      <w:r w:rsidRPr="00007309">
        <w:rPr>
          <w:rFonts w:cs="Arial"/>
          <w:b/>
          <w:bCs/>
          <w:sz w:val="36"/>
          <w:szCs w:val="28"/>
          <w:vertAlign w:val="superscript"/>
          <w:rtl/>
        </w:rPr>
        <w:footnoteReference w:id="8864"/>
      </w:r>
      <w:r w:rsidRPr="00007309">
        <w:rPr>
          <w:rFonts w:cs="Arial"/>
          <w:b/>
          <w:bCs/>
          <w:sz w:val="24"/>
          <w:szCs w:val="24"/>
          <w:rtl/>
        </w:rPr>
        <w:t>וְחַדָּאָן בֵּהּ</w:t>
      </w:r>
      <w:r w:rsidRPr="00007309">
        <w:rPr>
          <w:rFonts w:cs="Arial" w:hint="cs"/>
          <w:b/>
          <w:bCs/>
          <w:sz w:val="24"/>
          <w:szCs w:val="24"/>
          <w:rtl/>
        </w:rPr>
        <w:t>.</w:t>
      </w:r>
      <w:r w:rsidRPr="00007309">
        <w:rPr>
          <w:rFonts w:cs="Arial"/>
          <w:b/>
          <w:bCs/>
          <w:sz w:val="24"/>
          <w:szCs w:val="24"/>
          <w:rtl/>
        </w:rPr>
        <w:t xml:space="preserve"> כָּוֵי נְהוֹרָא מִנֵּהּ פְּתִיחָן וְנַהֲרָן. חוֹתָמָא טְמִירָא דְּמַלְכָּא בִּידֵהּ, עָבִיד כִּרְעוּתֵהּ בְּחֵיל שְׁמַיָּא וְדַיָּרֵי אַרְעָא. </w:t>
      </w:r>
      <w:r w:rsidRPr="00007309">
        <w:rPr>
          <w:rFonts w:cs="Arial"/>
          <w:b/>
          <w:bCs/>
          <w:sz w:val="36"/>
          <w:szCs w:val="28"/>
          <w:vertAlign w:val="superscript"/>
          <w:rtl/>
        </w:rPr>
        <w:footnoteReference w:id="8865"/>
      </w:r>
      <w:r w:rsidRPr="00007309">
        <w:rPr>
          <w:rFonts w:cs="Arial"/>
          <w:b/>
          <w:bCs/>
          <w:sz w:val="24"/>
          <w:szCs w:val="24"/>
          <w:rtl/>
        </w:rPr>
        <w:t xml:space="preserve">גּוֹ אֲצִילֵי יְדוֹי יְדוּרוּן תְּלָת מֵאָה אֶלֶף רִבּוֹא עָלְמִין. </w:t>
      </w:r>
      <w:r w:rsidRPr="00007309">
        <w:rPr>
          <w:rFonts w:cs="Arial"/>
          <w:b/>
          <w:bCs/>
          <w:sz w:val="36"/>
          <w:szCs w:val="28"/>
          <w:vertAlign w:val="superscript"/>
          <w:rtl/>
        </w:rPr>
        <w:footnoteReference w:id="8866"/>
      </w:r>
      <w:r w:rsidRPr="00007309">
        <w:rPr>
          <w:rFonts w:cs="Arial"/>
          <w:b/>
          <w:bCs/>
          <w:sz w:val="24"/>
          <w:szCs w:val="24"/>
          <w:rtl/>
        </w:rPr>
        <w:t xml:space="preserve">אוֹרְכֵּהּ מְסַיְּפֵי עָלְמָא וְעַד סַיְּפֵי עָלְמָא. </w:t>
      </w:r>
      <w:r w:rsidRPr="00007309">
        <w:rPr>
          <w:rFonts w:cs="Arial"/>
          <w:b/>
          <w:bCs/>
          <w:sz w:val="36"/>
          <w:szCs w:val="28"/>
          <w:vertAlign w:val="superscript"/>
          <w:rtl/>
        </w:rPr>
        <w:footnoteReference w:id="8867"/>
      </w:r>
      <w:r w:rsidRPr="00007309">
        <w:rPr>
          <w:rFonts w:cs="Arial"/>
          <w:b/>
          <w:bCs/>
          <w:sz w:val="24"/>
          <w:szCs w:val="24"/>
          <w:rtl/>
        </w:rPr>
        <w:t>יָתִיב עַל כֻּרְסַ</w:t>
      </w:r>
      <w:r w:rsidRPr="00007309">
        <w:rPr>
          <w:rFonts w:cs="Arial" w:hint="cs"/>
          <w:b/>
          <w:bCs/>
          <w:sz w:val="24"/>
          <w:szCs w:val="24"/>
          <w:rtl/>
        </w:rPr>
        <w:t>י</w:t>
      </w:r>
      <w:r w:rsidRPr="00007309">
        <w:rPr>
          <w:rFonts w:cs="Arial"/>
          <w:b/>
          <w:bCs/>
          <w:sz w:val="24"/>
          <w:szCs w:val="24"/>
          <w:rtl/>
        </w:rPr>
        <w:t>ָא דִּשְׁבִיבִין</w:t>
      </w:r>
      <w:r w:rsidRPr="00007309">
        <w:rPr>
          <w:rFonts w:cs="Arial"/>
          <w:b/>
          <w:bCs/>
          <w:sz w:val="24"/>
          <w:szCs w:val="24"/>
        </w:rPr>
        <w:t xml:space="preserve"> </w:t>
      </w:r>
      <w:r w:rsidRPr="00007309">
        <w:rPr>
          <w:rFonts w:cs="Arial"/>
          <w:b/>
          <w:bCs/>
          <w:sz w:val="24"/>
          <w:szCs w:val="24"/>
          <w:rtl/>
        </w:rPr>
        <w:t xml:space="preserve">דִּנּוּר. </w:t>
      </w:r>
      <w:r w:rsidRPr="00007309">
        <w:rPr>
          <w:rFonts w:cs="Arial"/>
          <w:b/>
          <w:bCs/>
          <w:sz w:val="36"/>
          <w:szCs w:val="28"/>
          <w:vertAlign w:val="superscript"/>
          <w:rtl/>
        </w:rPr>
        <w:footnoteReference w:id="8868"/>
      </w:r>
      <w:r w:rsidRPr="00007309">
        <w:rPr>
          <w:rFonts w:cs="Arial"/>
          <w:b/>
          <w:bCs/>
          <w:sz w:val="24"/>
          <w:szCs w:val="24"/>
          <w:rtl/>
        </w:rPr>
        <w:t>מִנֵּהּ נַהֲרִין עָלְמִין</w:t>
      </w:r>
      <w:r w:rsidRPr="00007309">
        <w:rPr>
          <w:rFonts w:cs="Arial" w:hint="cs"/>
          <w:b/>
          <w:bCs/>
          <w:sz w:val="24"/>
          <w:szCs w:val="24"/>
          <w:rtl/>
        </w:rPr>
        <w:t>,</w:t>
      </w:r>
      <w:r w:rsidRPr="00007309">
        <w:rPr>
          <w:rFonts w:cs="Arial"/>
          <w:b/>
          <w:bCs/>
          <w:sz w:val="24"/>
          <w:szCs w:val="24"/>
          <w:rtl/>
        </w:rPr>
        <w:t xml:space="preserve"> מִנֵּהּ אִתְזָנוּ, </w:t>
      </w:r>
      <w:r w:rsidRPr="00007309">
        <w:rPr>
          <w:rFonts w:cs="Arial"/>
          <w:b/>
          <w:bCs/>
          <w:sz w:val="36"/>
          <w:szCs w:val="28"/>
          <w:vertAlign w:val="superscript"/>
          <w:rtl/>
        </w:rPr>
        <w:footnoteReference w:id="8869"/>
      </w:r>
      <w:r w:rsidRPr="00007309">
        <w:rPr>
          <w:rFonts w:cs="Arial"/>
          <w:b/>
          <w:bCs/>
          <w:sz w:val="24"/>
          <w:szCs w:val="24"/>
          <w:rtl/>
        </w:rPr>
        <w:t>חַד הוּא</w:t>
      </w:r>
      <w:r w:rsidRPr="00007309">
        <w:rPr>
          <w:rFonts w:cs="Arial" w:hint="cs"/>
          <w:b/>
          <w:bCs/>
          <w:sz w:val="24"/>
          <w:szCs w:val="24"/>
          <w:rtl/>
        </w:rPr>
        <w:t>,</w:t>
      </w:r>
      <w:r w:rsidRPr="00007309">
        <w:rPr>
          <w:rFonts w:cs="Arial"/>
          <w:b/>
          <w:bCs/>
          <w:sz w:val="24"/>
          <w:szCs w:val="24"/>
          <w:rtl/>
        </w:rPr>
        <w:t xml:space="preserve"> חַד לֶהֱוֵי</w:t>
      </w:r>
      <w:r w:rsidRPr="00007309">
        <w:rPr>
          <w:rFonts w:cs="Arial" w:hint="cs"/>
          <w:b/>
          <w:bCs/>
          <w:sz w:val="24"/>
          <w:szCs w:val="24"/>
          <w:rtl/>
        </w:rPr>
        <w:t>,</w:t>
      </w:r>
      <w:r w:rsidRPr="00007309">
        <w:rPr>
          <w:rFonts w:cs="Arial"/>
          <w:b/>
          <w:bCs/>
          <w:sz w:val="24"/>
          <w:szCs w:val="24"/>
          <w:rtl/>
        </w:rPr>
        <w:t xml:space="preserve"> חַד אִקְּרֵי, </w:t>
      </w:r>
      <w:r w:rsidRPr="00007309">
        <w:rPr>
          <w:rFonts w:cs="Arial"/>
          <w:b/>
          <w:bCs/>
          <w:sz w:val="36"/>
          <w:szCs w:val="28"/>
          <w:vertAlign w:val="superscript"/>
          <w:rtl/>
        </w:rPr>
        <w:footnoteReference w:id="8870"/>
      </w:r>
      <w:r w:rsidRPr="00007309">
        <w:rPr>
          <w:rFonts w:cs="Arial"/>
          <w:b/>
          <w:bCs/>
          <w:sz w:val="24"/>
          <w:szCs w:val="24"/>
          <w:rtl/>
        </w:rPr>
        <w:t xml:space="preserve">בְּרִיךְ הוּא לָעֳלָם וּלְעָלְמֵי עָלְמִין. </w:t>
      </w:r>
    </w:p>
    <w:p w:rsidR="00007309" w:rsidRPr="00007309" w:rsidRDefault="00007309" w:rsidP="00007309">
      <w:pPr>
        <w:jc w:val="both"/>
        <w:rPr>
          <w:rFonts w:cs="Arial"/>
          <w:b/>
          <w:bCs/>
          <w:sz w:val="24"/>
          <w:szCs w:val="24"/>
          <w:rtl/>
        </w:rPr>
      </w:pPr>
      <w:r w:rsidRPr="00007309">
        <w:rPr>
          <w:rFonts w:cs="Arial"/>
          <w:b/>
          <w:bCs/>
          <w:sz w:val="24"/>
          <w:szCs w:val="24"/>
          <w:rtl/>
        </w:rPr>
        <w:t>גָּלִיף גְּלִיפוּ</w:t>
      </w:r>
      <w:r w:rsidRPr="00007309">
        <w:rPr>
          <w:rFonts w:cs="Arial" w:hint="cs"/>
          <w:b/>
          <w:bCs/>
          <w:sz w:val="24"/>
          <w:szCs w:val="24"/>
          <w:rtl/>
        </w:rPr>
        <w:t>,</w:t>
      </w:r>
      <w:r w:rsidRPr="00007309">
        <w:rPr>
          <w:rFonts w:cs="Arial"/>
          <w:b/>
          <w:bCs/>
          <w:sz w:val="24"/>
          <w:szCs w:val="24"/>
          <w:rtl/>
        </w:rPr>
        <w:t xml:space="preserve"> וּבָטַשׁ בְּצִיּוּרָא</w:t>
      </w:r>
      <w:r w:rsidRPr="00007309">
        <w:rPr>
          <w:rFonts w:cs="Arial" w:hint="cs"/>
          <w:b/>
          <w:bCs/>
          <w:sz w:val="24"/>
          <w:szCs w:val="24"/>
          <w:rtl/>
        </w:rPr>
        <w:t>,</w:t>
      </w:r>
      <w:r w:rsidRPr="00007309">
        <w:rPr>
          <w:rFonts w:cs="Arial"/>
          <w:b/>
          <w:bCs/>
          <w:sz w:val="24"/>
          <w:szCs w:val="24"/>
          <w:rtl/>
        </w:rPr>
        <w:t xml:space="preserve"> וְאַפִּיק ו' (נצח)</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871"/>
      </w:r>
      <w:r w:rsidRPr="00007309">
        <w:rPr>
          <w:rFonts w:cs="Arial"/>
          <w:b/>
          <w:bCs/>
          <w:sz w:val="24"/>
          <w:szCs w:val="24"/>
          <w:rtl/>
        </w:rPr>
        <w:t xml:space="preserve">דְּאָזְלָא תָּדִיר </w:t>
      </w:r>
      <w:r w:rsidRPr="00007309">
        <w:rPr>
          <w:rFonts w:cs="Arial"/>
          <w:b/>
          <w:bCs/>
          <w:sz w:val="36"/>
          <w:szCs w:val="28"/>
          <w:vertAlign w:val="superscript"/>
          <w:rtl/>
        </w:rPr>
        <w:footnoteReference w:id="8872"/>
      </w:r>
      <w:r w:rsidRPr="00007309">
        <w:rPr>
          <w:rFonts w:cs="Arial"/>
          <w:b/>
          <w:bCs/>
          <w:sz w:val="24"/>
          <w:szCs w:val="24"/>
          <w:rtl/>
        </w:rPr>
        <w:t xml:space="preserve">וְאָחִיד </w:t>
      </w:r>
      <w:r w:rsidRPr="00007309">
        <w:rPr>
          <w:rFonts w:cs="Arial" w:hint="cs"/>
          <w:b/>
          <w:bCs/>
          <w:sz w:val="24"/>
          <w:szCs w:val="24"/>
          <w:rtl/>
        </w:rPr>
        <w:t>ר</w:t>
      </w:r>
      <w:r w:rsidRPr="00007309">
        <w:rPr>
          <w:rFonts w:cs="Arial"/>
          <w:b/>
          <w:bCs/>
          <w:sz w:val="24"/>
          <w:szCs w:val="24"/>
          <w:rtl/>
        </w:rPr>
        <w:t>ְחַיִּין וְשָׁחִיק</w:t>
      </w:r>
      <w:r w:rsidRPr="00007309">
        <w:rPr>
          <w:rFonts w:cs="Arial" w:hint="cs"/>
          <w:b/>
          <w:bCs/>
          <w:sz w:val="24"/>
          <w:szCs w:val="24"/>
          <w:rtl/>
        </w:rPr>
        <w:t>.</w:t>
      </w:r>
      <w:r w:rsidRPr="00007309">
        <w:rPr>
          <w:rFonts w:cs="Arial"/>
          <w:b/>
          <w:bCs/>
          <w:sz w:val="24"/>
          <w:szCs w:val="24"/>
          <w:rtl/>
        </w:rPr>
        <w:t xml:space="preserve"> נְהִירִין לְמֵיזָן עָלְמִין בְּאִנּוּן נְהוֹרִין דְּשָׁחִיק. </w:t>
      </w:r>
      <w:r w:rsidRPr="00007309">
        <w:rPr>
          <w:rFonts w:cs="Arial"/>
          <w:b/>
          <w:bCs/>
          <w:sz w:val="36"/>
          <w:szCs w:val="28"/>
          <w:vertAlign w:val="superscript"/>
          <w:rtl/>
        </w:rPr>
        <w:footnoteReference w:id="8873"/>
      </w:r>
      <w:r w:rsidRPr="00007309">
        <w:rPr>
          <w:rFonts w:cs="Arial"/>
          <w:b/>
          <w:bCs/>
          <w:sz w:val="24"/>
          <w:szCs w:val="24"/>
          <w:rtl/>
        </w:rPr>
        <w:t xml:space="preserve">חָמֵשׁ סִימָנִין דִּקְטֹרֶת בּוּסְמִין אִתְעָרְבָן בַּהֲדַיְהוּ. אִיהוּ שָׁחִיק וְנָהִיר </w:t>
      </w:r>
      <w:r w:rsidRPr="00007309">
        <w:rPr>
          <w:rFonts w:cs="Arial"/>
          <w:b/>
          <w:bCs/>
          <w:sz w:val="36"/>
          <w:szCs w:val="28"/>
          <w:vertAlign w:val="superscript"/>
          <w:rtl/>
        </w:rPr>
        <w:footnoteReference w:id="8874"/>
      </w:r>
      <w:r w:rsidRPr="00007309">
        <w:rPr>
          <w:rFonts w:cs="Arial"/>
          <w:b/>
          <w:bCs/>
          <w:sz w:val="24"/>
          <w:szCs w:val="24"/>
          <w:rtl/>
        </w:rPr>
        <w:t>וְלָא אִתְבַּסַּם לְבַר. טָמִיר גַּרְמֵהּ דְּלָא יִתְבַּסֵּם וְלָא יְרִיחוּן בֵּהּ רֵיחָא קַדְמָא לְשִׁמּוּשָׁא</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875"/>
      </w:r>
      <w:r w:rsidRPr="00007309">
        <w:rPr>
          <w:rFonts w:cs="Arial"/>
          <w:b/>
          <w:bCs/>
          <w:sz w:val="24"/>
          <w:szCs w:val="24"/>
          <w:rtl/>
        </w:rPr>
        <w:t xml:space="preserve">בְּרָזָא </w:t>
      </w:r>
      <w:r w:rsidRPr="00007309">
        <w:rPr>
          <w:rFonts w:ascii="Cambria" w:hAnsi="Cambria" w:cs="Times New Roman"/>
          <w:b/>
          <w:bCs/>
          <w:i/>
          <w:iCs/>
          <w:color w:val="4F81BD"/>
          <w:sz w:val="24"/>
          <w:szCs w:val="24"/>
          <w:rtl/>
        </w:rPr>
        <w:t>(</w:t>
      </w:r>
      <w:r w:rsidRPr="00007309">
        <w:rPr>
          <w:rFonts w:ascii="Cambria" w:hAnsi="Cambria" w:cs="Times New Roman" w:hint="cs"/>
          <w:b/>
          <w:bCs/>
          <w:i/>
          <w:iCs/>
          <w:color w:val="4F81BD"/>
          <w:sz w:val="24"/>
          <w:szCs w:val="24"/>
          <w:rtl/>
        </w:rPr>
        <w:t>צ</w:t>
      </w:r>
      <w:r w:rsidRPr="00007309">
        <w:rPr>
          <w:rFonts w:ascii="Cambria" w:hAnsi="Cambria" w:cs="Times New Roman"/>
          <w:b/>
          <w:bCs/>
          <w:i/>
          <w:iCs/>
          <w:color w:val="4F81BD"/>
          <w:sz w:val="24"/>
          <w:szCs w:val="24"/>
          <w:rtl/>
        </w:rPr>
        <w:t xml:space="preserve"> ע"</w:t>
      </w:r>
      <w:r w:rsidRPr="00007309">
        <w:rPr>
          <w:rFonts w:ascii="Cambria" w:hAnsi="Cambria" w:cs="Times New Roman" w:hint="cs"/>
          <w:b/>
          <w:bCs/>
          <w:i/>
          <w:iCs/>
          <w:color w:val="4F81BD"/>
          <w:sz w:val="24"/>
          <w:szCs w:val="24"/>
          <w:rtl/>
        </w:rPr>
        <w:t>ב</w:t>
      </w:r>
      <w:r w:rsidRPr="00007309">
        <w:rPr>
          <w:rFonts w:ascii="Cambria" w:hAnsi="Cambria" w:cs="Times New Roman"/>
          <w:b/>
          <w:bCs/>
          <w:i/>
          <w:iCs/>
          <w:color w:val="4F81BD"/>
          <w:sz w:val="24"/>
          <w:szCs w:val="24"/>
          <w:rtl/>
        </w:rPr>
        <w:t>)</w:t>
      </w:r>
      <w:r w:rsidRPr="00007309">
        <w:rPr>
          <w:rFonts w:cs="Arial"/>
          <w:b/>
          <w:bCs/>
          <w:sz w:val="24"/>
          <w:szCs w:val="24"/>
          <w:rtl/>
        </w:rPr>
        <w:t xml:space="preserve"> דת"ק רָזִין דְּמַלְכָּא קָאֵם עַל קִיּוּמֵהּ </w:t>
      </w:r>
      <w:r w:rsidRPr="00007309">
        <w:rPr>
          <w:rFonts w:cs="Arial"/>
          <w:b/>
          <w:bCs/>
          <w:sz w:val="36"/>
          <w:szCs w:val="28"/>
          <w:vertAlign w:val="superscript"/>
          <w:rtl/>
        </w:rPr>
        <w:footnoteReference w:id="8876"/>
      </w:r>
      <w:r w:rsidRPr="00007309">
        <w:rPr>
          <w:rFonts w:cs="Arial"/>
          <w:b/>
          <w:bCs/>
          <w:sz w:val="24"/>
          <w:szCs w:val="24"/>
          <w:rtl/>
        </w:rPr>
        <w:t xml:space="preserve">וּמַלְכָּא תָּמִיךְ עָלֵהּ. </w:t>
      </w:r>
      <w:r w:rsidRPr="00007309">
        <w:rPr>
          <w:rFonts w:cs="Arial"/>
          <w:b/>
          <w:bCs/>
          <w:sz w:val="36"/>
          <w:szCs w:val="28"/>
          <w:vertAlign w:val="superscript"/>
          <w:rtl/>
        </w:rPr>
        <w:footnoteReference w:id="8877"/>
      </w:r>
      <w:r w:rsidRPr="00007309">
        <w:rPr>
          <w:rFonts w:cs="Arial"/>
          <w:b/>
          <w:bCs/>
          <w:sz w:val="24"/>
          <w:szCs w:val="24"/>
          <w:rtl/>
        </w:rPr>
        <w:t xml:space="preserve">בֵּהּ שַׁרְיָן כָּל אִנּוּן מְהֵימְנֵי קְשׁוֹט. </w:t>
      </w:r>
      <w:r w:rsidRPr="00007309">
        <w:rPr>
          <w:rFonts w:cs="Arial"/>
          <w:b/>
          <w:bCs/>
          <w:sz w:val="36"/>
          <w:szCs w:val="28"/>
          <w:vertAlign w:val="superscript"/>
          <w:rtl/>
        </w:rPr>
        <w:footnoteReference w:id="8878"/>
      </w:r>
      <w:r w:rsidRPr="00007309">
        <w:rPr>
          <w:rFonts w:cs="Arial"/>
          <w:b/>
          <w:bCs/>
          <w:sz w:val="24"/>
          <w:szCs w:val="24"/>
          <w:rtl/>
        </w:rPr>
        <w:t>חַד חַבְרָא אִית לֵהּ</w:t>
      </w:r>
      <w:r w:rsidRPr="00007309">
        <w:rPr>
          <w:rFonts w:cs="Arial" w:hint="cs"/>
          <w:b/>
          <w:bCs/>
          <w:sz w:val="24"/>
          <w:szCs w:val="24"/>
          <w:rtl/>
        </w:rPr>
        <w:t>,</w:t>
      </w:r>
      <w:r w:rsidRPr="00007309">
        <w:rPr>
          <w:rFonts w:cs="Arial"/>
          <w:b/>
          <w:bCs/>
          <w:sz w:val="24"/>
          <w:szCs w:val="24"/>
          <w:rtl/>
        </w:rPr>
        <w:t xml:space="preserve"> יָהִיב רְשׁוּ דָּא לְדָא </w:t>
      </w:r>
      <w:r w:rsidRPr="00007309">
        <w:rPr>
          <w:rFonts w:cs="Arial"/>
          <w:b/>
          <w:bCs/>
          <w:sz w:val="36"/>
          <w:szCs w:val="28"/>
          <w:vertAlign w:val="superscript"/>
          <w:rtl/>
        </w:rPr>
        <w:footnoteReference w:id="8879"/>
      </w:r>
      <w:r w:rsidRPr="00007309">
        <w:rPr>
          <w:rFonts w:cs="Arial"/>
          <w:b/>
          <w:bCs/>
          <w:sz w:val="24"/>
          <w:szCs w:val="24"/>
          <w:rtl/>
        </w:rPr>
        <w:t>מיומ' דַּהֲווֹ אוֹלְפֵי הָכֵי</w:t>
      </w:r>
      <w:r w:rsidRPr="00007309">
        <w:rPr>
          <w:rFonts w:cs="Arial" w:hint="cs"/>
          <w:b/>
          <w:bCs/>
          <w:sz w:val="24"/>
          <w:szCs w:val="24"/>
          <w:rtl/>
        </w:rPr>
        <w:t>.</w:t>
      </w:r>
      <w:r w:rsidRPr="00007309">
        <w:rPr>
          <w:rFonts w:cs="Arial"/>
          <w:b/>
          <w:bCs/>
          <w:sz w:val="24"/>
          <w:szCs w:val="24"/>
          <w:rtl/>
        </w:rPr>
        <w:t xml:space="preserve"> </w:t>
      </w:r>
    </w:p>
    <w:p w:rsidR="00007309" w:rsidRPr="00007309" w:rsidRDefault="00007309" w:rsidP="00007309">
      <w:pPr>
        <w:jc w:val="both"/>
        <w:rPr>
          <w:rFonts w:cs="Arial"/>
          <w:b/>
          <w:bCs/>
          <w:sz w:val="24"/>
          <w:szCs w:val="24"/>
          <w:rtl/>
        </w:rPr>
      </w:pPr>
      <w:r w:rsidRPr="00007309">
        <w:rPr>
          <w:rFonts w:cs="Arial"/>
          <w:b/>
          <w:bCs/>
          <w:sz w:val="24"/>
          <w:szCs w:val="24"/>
          <w:rtl/>
        </w:rPr>
        <w:t>גָּלִיף וּבָטַשׁ בְּגַלְפוֹי וְאַפִּיק ז' (הוד)</w:t>
      </w:r>
      <w:r w:rsidRPr="00007309">
        <w:rPr>
          <w:rFonts w:cs="Arial" w:hint="cs"/>
          <w:b/>
          <w:bCs/>
          <w:sz w:val="24"/>
          <w:szCs w:val="24"/>
          <w:rtl/>
        </w:rPr>
        <w:t>.</w:t>
      </w:r>
      <w:r w:rsidRPr="00007309">
        <w:rPr>
          <w:rFonts w:cs="Arial"/>
          <w:b/>
          <w:bCs/>
          <w:sz w:val="24"/>
          <w:szCs w:val="24"/>
          <w:rtl/>
        </w:rPr>
        <w:t xml:space="preserve"> הַהוּא מְהֵימָנָא אָחֳרָא דִּלְגַבֵּי חַבְרֵהּ</w:t>
      </w:r>
      <w:r w:rsidRPr="00007309">
        <w:rPr>
          <w:rFonts w:cs="Arial" w:hint="cs"/>
          <w:b/>
          <w:bCs/>
          <w:sz w:val="24"/>
          <w:szCs w:val="24"/>
          <w:rtl/>
        </w:rPr>
        <w:t>.</w:t>
      </w:r>
      <w:r w:rsidRPr="00007309">
        <w:rPr>
          <w:rFonts w:cs="Arial"/>
          <w:b/>
          <w:bCs/>
          <w:sz w:val="24"/>
          <w:szCs w:val="24"/>
          <w:rtl/>
        </w:rPr>
        <w:t xml:space="preserve"> כָּל אוּמָנוּתֵהּ דְּחַבְרֵהּ אִיהוּ עָבִיד</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880"/>
      </w:r>
      <w:r w:rsidRPr="00007309">
        <w:rPr>
          <w:rFonts w:cs="Arial"/>
          <w:b/>
          <w:bCs/>
          <w:sz w:val="24"/>
          <w:szCs w:val="24"/>
          <w:rtl/>
        </w:rPr>
        <w:t xml:space="preserve">קָאִים לְגַבֵּהּ </w:t>
      </w:r>
      <w:r w:rsidRPr="00007309">
        <w:rPr>
          <w:rFonts w:cs="Arial"/>
          <w:b/>
          <w:bCs/>
          <w:sz w:val="36"/>
          <w:szCs w:val="28"/>
          <w:vertAlign w:val="superscript"/>
          <w:rtl/>
        </w:rPr>
        <w:footnoteReference w:id="8881"/>
      </w:r>
      <w:r w:rsidRPr="00007309">
        <w:rPr>
          <w:rFonts w:cs="Arial"/>
          <w:b/>
          <w:bCs/>
          <w:sz w:val="24"/>
          <w:szCs w:val="24"/>
          <w:rtl/>
        </w:rPr>
        <w:t xml:space="preserve">בְּרַעֲוָא סַגֵּי. </w:t>
      </w:r>
      <w:r w:rsidRPr="00007309">
        <w:rPr>
          <w:rFonts w:cs="Arial"/>
          <w:b/>
          <w:bCs/>
          <w:sz w:val="36"/>
          <w:szCs w:val="28"/>
          <w:vertAlign w:val="superscript"/>
          <w:rtl/>
        </w:rPr>
        <w:footnoteReference w:id="8882"/>
      </w:r>
      <w:r w:rsidRPr="00007309">
        <w:rPr>
          <w:rFonts w:cs="Arial"/>
          <w:b/>
          <w:bCs/>
          <w:sz w:val="24"/>
          <w:szCs w:val="24"/>
          <w:rtl/>
        </w:rPr>
        <w:t xml:space="preserve">דָּא עַל דָּא קָאִים, </w:t>
      </w:r>
      <w:r w:rsidRPr="00007309">
        <w:rPr>
          <w:rFonts w:cs="Arial"/>
          <w:b/>
          <w:bCs/>
          <w:sz w:val="36"/>
          <w:szCs w:val="28"/>
          <w:vertAlign w:val="superscript"/>
          <w:rtl/>
        </w:rPr>
        <w:footnoteReference w:id="8883"/>
      </w:r>
      <w:r w:rsidRPr="00007309">
        <w:rPr>
          <w:rFonts w:cs="Arial"/>
          <w:b/>
          <w:bCs/>
          <w:sz w:val="24"/>
          <w:szCs w:val="24"/>
          <w:rtl/>
        </w:rPr>
        <w:t xml:space="preserve">נָטִיל. </w:t>
      </w:r>
      <w:r w:rsidRPr="00007309">
        <w:rPr>
          <w:rFonts w:cs="Arial"/>
          <w:b/>
          <w:bCs/>
          <w:sz w:val="36"/>
          <w:szCs w:val="28"/>
          <w:vertAlign w:val="superscript"/>
          <w:rtl/>
        </w:rPr>
        <w:footnoteReference w:id="8884"/>
      </w:r>
      <w:r w:rsidRPr="00007309">
        <w:rPr>
          <w:rFonts w:cs="Arial"/>
          <w:b/>
          <w:bCs/>
          <w:sz w:val="24"/>
          <w:szCs w:val="24"/>
          <w:rtl/>
        </w:rPr>
        <w:t>מְהֵימָנִין אִנּוּן לְמֶעֱבַד טִיבוּ לְבֵי דָּוִד</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885"/>
      </w:r>
      <w:r w:rsidRPr="00007309">
        <w:rPr>
          <w:rFonts w:cs="Arial"/>
          <w:b/>
          <w:bCs/>
          <w:sz w:val="24"/>
          <w:szCs w:val="24"/>
          <w:rtl/>
        </w:rPr>
        <w:t>אַבְרָהָם רְחִימָא תָּמִיךְ עַל דָּא</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886"/>
      </w:r>
      <w:r w:rsidRPr="00007309">
        <w:rPr>
          <w:rFonts w:cs="Arial"/>
          <w:b/>
          <w:bCs/>
          <w:sz w:val="24"/>
          <w:szCs w:val="24"/>
          <w:rtl/>
        </w:rPr>
        <w:t xml:space="preserve">יִצְחָק קָרְבְּנָא שְׁלִים תָּמִיךְ עַל דָּא. יַעֲקֹב שְׁלִימוּ דְּכֹלָּא קָאִים וְתָמִיךְ עָלַיְהוּ כַּחֲדָא אִנּוּן </w:t>
      </w:r>
      <w:r w:rsidRPr="00007309">
        <w:rPr>
          <w:rFonts w:cs="Arial"/>
          <w:b/>
          <w:bCs/>
          <w:sz w:val="36"/>
          <w:szCs w:val="28"/>
          <w:vertAlign w:val="superscript"/>
          <w:rtl/>
        </w:rPr>
        <w:footnoteReference w:id="8887"/>
      </w:r>
      <w:r w:rsidRPr="00007309">
        <w:rPr>
          <w:rFonts w:cs="Arial"/>
          <w:b/>
          <w:bCs/>
          <w:sz w:val="24"/>
          <w:szCs w:val="24"/>
          <w:rtl/>
        </w:rPr>
        <w:t xml:space="preserve">וְאִתְחַפְיָן </w:t>
      </w:r>
      <w:r w:rsidRPr="00007309">
        <w:rPr>
          <w:rFonts w:cs="Arial" w:hint="cs"/>
          <w:b/>
          <w:bCs/>
          <w:sz w:val="24"/>
          <w:szCs w:val="24"/>
          <w:rtl/>
        </w:rPr>
        <w:t>כ</w:t>
      </w:r>
      <w:r w:rsidRPr="00007309">
        <w:rPr>
          <w:rFonts w:cs="Arial"/>
          <w:b/>
          <w:bCs/>
          <w:sz w:val="24"/>
          <w:szCs w:val="24"/>
          <w:rtl/>
        </w:rPr>
        <w:t>ַּעֲשָׁשִׁיתָא דִּמְקַבֵּל שִׁמְשָׁא</w:t>
      </w:r>
      <w:r w:rsidRPr="00007309">
        <w:rPr>
          <w:rFonts w:cs="Arial" w:hint="cs"/>
          <w:b/>
          <w:bCs/>
          <w:sz w:val="24"/>
          <w:szCs w:val="24"/>
          <w:rtl/>
        </w:rPr>
        <w:t>.</w:t>
      </w:r>
      <w:r w:rsidRPr="00007309">
        <w:rPr>
          <w:rFonts w:cs="Arial"/>
          <w:b/>
          <w:bCs/>
          <w:sz w:val="24"/>
          <w:szCs w:val="24"/>
          <w:rtl/>
        </w:rPr>
        <w:t xml:space="preserve"> </w:t>
      </w:r>
    </w:p>
    <w:p w:rsidR="00007309" w:rsidRPr="00007309" w:rsidRDefault="00007309" w:rsidP="00007309">
      <w:pPr>
        <w:keepNext/>
        <w:jc w:val="right"/>
        <w:outlineLvl w:val="2"/>
        <w:rPr>
          <w:rFonts w:ascii="Cambria" w:hAnsi="Cambria" w:cs="Times New Roman"/>
          <w:i/>
          <w:iCs/>
          <w:color w:val="4F81BD"/>
          <w:sz w:val="24"/>
          <w:szCs w:val="24"/>
          <w:rtl/>
        </w:rPr>
      </w:pPr>
      <w:r w:rsidRPr="00007309">
        <w:rPr>
          <w:rFonts w:ascii="Cambria" w:hAnsi="Cambria" w:cs="Times New Roman" w:hint="cs"/>
          <w:i/>
          <w:iCs/>
          <w:color w:val="4F81BD"/>
          <w:sz w:val="24"/>
          <w:szCs w:val="24"/>
          <w:rtl/>
        </w:rPr>
        <w:t>[וילנא נב ע"א]</w:t>
      </w:r>
    </w:p>
    <w:p w:rsidR="00007309" w:rsidRPr="00007309" w:rsidRDefault="00007309" w:rsidP="00007309">
      <w:pPr>
        <w:jc w:val="both"/>
        <w:rPr>
          <w:rFonts w:cs="Arial"/>
          <w:b/>
          <w:bCs/>
          <w:sz w:val="24"/>
          <w:szCs w:val="24"/>
          <w:rtl/>
        </w:rPr>
      </w:pPr>
      <w:r w:rsidRPr="00007309">
        <w:rPr>
          <w:rFonts w:cs="Arial"/>
          <w:b/>
          <w:bCs/>
          <w:sz w:val="24"/>
          <w:szCs w:val="24"/>
          <w:rtl/>
        </w:rPr>
        <w:t>גָּלִיף גְּלִיפִין וּבָטַשׁ בּוּצִינָא וְאַפִּיק ח' (יסוד)</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888"/>
      </w:r>
      <w:r w:rsidRPr="00007309">
        <w:rPr>
          <w:rFonts w:cs="Arial"/>
          <w:b/>
          <w:bCs/>
          <w:sz w:val="24"/>
          <w:szCs w:val="24"/>
          <w:rtl/>
        </w:rPr>
        <w:t>וְדָא תְּמִינָאָה לְחֻשְׁבָּנָא</w:t>
      </w:r>
      <w:r w:rsidRPr="00007309">
        <w:rPr>
          <w:rFonts w:cs="Arial" w:hint="cs"/>
          <w:b/>
          <w:bCs/>
          <w:sz w:val="24"/>
          <w:szCs w:val="24"/>
          <w:rtl/>
        </w:rPr>
        <w:t>.</w:t>
      </w:r>
      <w:r w:rsidRPr="00007309">
        <w:rPr>
          <w:rFonts w:cs="Arial"/>
          <w:b/>
          <w:bCs/>
          <w:sz w:val="24"/>
          <w:szCs w:val="24"/>
          <w:rtl/>
        </w:rPr>
        <w:t xml:space="preserve"> וְאַפִּיק </w:t>
      </w:r>
      <w:r w:rsidRPr="00007309">
        <w:rPr>
          <w:rFonts w:cs="Arial"/>
          <w:b/>
          <w:bCs/>
          <w:sz w:val="36"/>
          <w:szCs w:val="28"/>
          <w:vertAlign w:val="superscript"/>
          <w:rtl/>
        </w:rPr>
        <w:footnoteReference w:id="8889"/>
      </w:r>
      <w:r w:rsidRPr="00007309">
        <w:rPr>
          <w:rFonts w:cs="Arial"/>
          <w:b/>
          <w:bCs/>
          <w:sz w:val="24"/>
          <w:szCs w:val="24"/>
          <w:rtl/>
        </w:rPr>
        <w:t>חַד רְחִימָא דְּכֹלָּא</w:t>
      </w:r>
      <w:r w:rsidRPr="00007309">
        <w:rPr>
          <w:rFonts w:cs="Arial" w:hint="cs"/>
          <w:b/>
          <w:bCs/>
          <w:sz w:val="24"/>
          <w:szCs w:val="24"/>
          <w:rtl/>
        </w:rPr>
        <w:t>,</w:t>
      </w:r>
      <w:r w:rsidRPr="00007309">
        <w:rPr>
          <w:rFonts w:cs="Arial"/>
          <w:b/>
          <w:bCs/>
          <w:sz w:val="24"/>
          <w:szCs w:val="24"/>
          <w:rtl/>
        </w:rPr>
        <w:t xml:space="preserve"> תְּאוּבְתָּא דְּכֹלָּא</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890"/>
      </w:r>
      <w:r w:rsidRPr="00007309">
        <w:rPr>
          <w:rFonts w:cs="Arial"/>
          <w:b/>
          <w:bCs/>
          <w:sz w:val="24"/>
          <w:szCs w:val="24"/>
          <w:rtl/>
        </w:rPr>
        <w:t>זַכָּאָה דְּכֹלָּא</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891"/>
      </w:r>
      <w:r w:rsidRPr="00007309">
        <w:rPr>
          <w:rFonts w:cs="Arial"/>
          <w:b/>
          <w:bCs/>
          <w:sz w:val="24"/>
          <w:szCs w:val="24"/>
          <w:rtl/>
        </w:rPr>
        <w:t xml:space="preserve">מְהֵימָנָא דְּכֹלָּא, </w:t>
      </w:r>
      <w:r w:rsidRPr="00007309">
        <w:rPr>
          <w:rFonts w:cs="Arial"/>
          <w:b/>
          <w:bCs/>
          <w:sz w:val="36"/>
          <w:szCs w:val="28"/>
          <w:vertAlign w:val="superscript"/>
          <w:rtl/>
        </w:rPr>
        <w:footnoteReference w:id="8892"/>
      </w:r>
      <w:r w:rsidRPr="00007309">
        <w:rPr>
          <w:rFonts w:cs="Arial"/>
          <w:b/>
          <w:bCs/>
          <w:sz w:val="24"/>
          <w:szCs w:val="24"/>
          <w:rtl/>
        </w:rPr>
        <w:t xml:space="preserve">דִּיּוֹקְנָא דְּהַהוּא שְׁלִים. </w:t>
      </w:r>
      <w:r w:rsidRPr="00007309">
        <w:rPr>
          <w:rFonts w:cs="Arial"/>
          <w:b/>
          <w:bCs/>
          <w:sz w:val="36"/>
          <w:szCs w:val="28"/>
          <w:vertAlign w:val="superscript"/>
          <w:rtl/>
        </w:rPr>
        <w:footnoteReference w:id="8893"/>
      </w:r>
      <w:r w:rsidRPr="00007309">
        <w:rPr>
          <w:rFonts w:cs="Arial"/>
          <w:b/>
          <w:bCs/>
          <w:sz w:val="24"/>
          <w:szCs w:val="24"/>
          <w:rtl/>
        </w:rPr>
        <w:t xml:space="preserve">זִיהֲרָא דְּמִתְפְּשַׁט לְד' זָהֲרִין, </w:t>
      </w:r>
      <w:r w:rsidRPr="00007309">
        <w:rPr>
          <w:rFonts w:cs="Arial"/>
          <w:b/>
          <w:bCs/>
          <w:sz w:val="36"/>
          <w:szCs w:val="28"/>
          <w:vertAlign w:val="superscript"/>
          <w:rtl/>
        </w:rPr>
        <w:footnoteReference w:id="8894"/>
      </w:r>
      <w:r w:rsidRPr="00007309">
        <w:rPr>
          <w:rFonts w:cs="Arial"/>
          <w:b/>
          <w:bCs/>
          <w:sz w:val="24"/>
          <w:szCs w:val="24"/>
          <w:rtl/>
        </w:rPr>
        <w:t>הוּא נָעִיץ בְּאַרְעָא וְרֵישֵׁ</w:t>
      </w:r>
      <w:r w:rsidRPr="00007309">
        <w:rPr>
          <w:rFonts w:cs="Arial" w:hint="cs"/>
          <w:b/>
          <w:bCs/>
          <w:sz w:val="24"/>
          <w:szCs w:val="24"/>
          <w:rtl/>
        </w:rPr>
        <w:t>ה</w:t>
      </w:r>
      <w:r w:rsidRPr="00007309">
        <w:rPr>
          <w:rFonts w:cs="Arial"/>
          <w:b/>
          <w:bCs/>
          <w:sz w:val="24"/>
          <w:szCs w:val="24"/>
          <w:rtl/>
        </w:rPr>
        <w:t xml:space="preserve"> מָטֵי לְצֵית שְׁמַיָּא. עַפְיֵ</w:t>
      </w:r>
      <w:r w:rsidRPr="00007309">
        <w:rPr>
          <w:rFonts w:cs="Arial" w:hint="cs"/>
          <w:b/>
          <w:bCs/>
          <w:sz w:val="24"/>
          <w:szCs w:val="24"/>
          <w:rtl/>
        </w:rPr>
        <w:t>ה</w:t>
      </w:r>
      <w:r w:rsidRPr="00007309">
        <w:rPr>
          <w:rFonts w:cs="Arial"/>
          <w:b/>
          <w:bCs/>
          <w:sz w:val="24"/>
          <w:szCs w:val="24"/>
          <w:rtl/>
        </w:rPr>
        <w:t xml:space="preserve"> שַׁפִּיר וְאִנְבֵּהּ סַגֵּי</w:t>
      </w:r>
      <w:r w:rsidRPr="00007309">
        <w:rPr>
          <w:rFonts w:cs="Arial" w:hint="cs"/>
          <w:b/>
          <w:bCs/>
          <w:sz w:val="24"/>
          <w:szCs w:val="24"/>
          <w:rtl/>
        </w:rPr>
        <w:t xml:space="preserve">, </w:t>
      </w:r>
      <w:r w:rsidRPr="00007309">
        <w:rPr>
          <w:rFonts w:cs="Arial"/>
          <w:b/>
          <w:bCs/>
          <w:sz w:val="24"/>
          <w:szCs w:val="24"/>
          <w:rtl/>
        </w:rPr>
        <w:t>וּמָזוֹן לְכֹלָּא</w:t>
      </w:r>
      <w:r w:rsidRPr="00007309">
        <w:rPr>
          <w:rFonts w:cs="Arial"/>
          <w:b/>
          <w:bCs/>
          <w:sz w:val="24"/>
          <w:szCs w:val="28"/>
        </w:rPr>
        <w:t xml:space="preserve"> </w:t>
      </w:r>
      <w:r w:rsidRPr="00007309">
        <w:rPr>
          <w:rFonts w:cs="Arial"/>
          <w:b/>
          <w:bCs/>
          <w:sz w:val="24"/>
          <w:szCs w:val="24"/>
          <w:rtl/>
        </w:rPr>
        <w:t xml:space="preserve">בֵּהּ. </w:t>
      </w:r>
      <w:r w:rsidRPr="00007309">
        <w:rPr>
          <w:rFonts w:cs="Arial"/>
          <w:b/>
          <w:bCs/>
          <w:sz w:val="36"/>
          <w:szCs w:val="28"/>
          <w:vertAlign w:val="superscript"/>
          <w:rtl/>
        </w:rPr>
        <w:footnoteReference w:id="8895"/>
      </w:r>
      <w:r w:rsidRPr="00007309">
        <w:rPr>
          <w:rFonts w:cs="Arial"/>
          <w:b/>
          <w:bCs/>
          <w:sz w:val="24"/>
          <w:szCs w:val="24"/>
          <w:rtl/>
        </w:rPr>
        <w:t>תְּחוֹתֵהּ תַּטְלֵל הַהִיא חַיּוּתָא דְּאִתָּחֲמָ</w:t>
      </w:r>
      <w:r w:rsidRPr="00007309">
        <w:rPr>
          <w:rFonts w:cs="Arial" w:hint="cs"/>
          <w:b/>
          <w:bCs/>
          <w:sz w:val="24"/>
          <w:szCs w:val="24"/>
          <w:rtl/>
        </w:rPr>
        <w:t>א</w:t>
      </w:r>
      <w:r w:rsidRPr="00007309">
        <w:rPr>
          <w:rFonts w:cs="Arial"/>
          <w:b/>
          <w:bCs/>
          <w:sz w:val="24"/>
          <w:szCs w:val="24"/>
          <w:rtl/>
        </w:rPr>
        <w:t xml:space="preserve"> לְד' סִטְרִין דְּעָלְמָא. בְּעַנְפוֹי </w:t>
      </w:r>
      <w:r w:rsidRPr="00007309">
        <w:rPr>
          <w:rFonts w:ascii="Cambria" w:hAnsi="Cambria" w:cs="Times New Roman"/>
          <w:b/>
          <w:bCs/>
          <w:i/>
          <w:iCs/>
          <w:color w:val="4F81BD"/>
          <w:sz w:val="24"/>
          <w:szCs w:val="24"/>
          <w:rtl/>
        </w:rPr>
        <w:t>(</w:t>
      </w:r>
      <w:r w:rsidRPr="00007309">
        <w:rPr>
          <w:rFonts w:ascii="Cambria" w:hAnsi="Cambria" w:cs="Times New Roman" w:hint="cs"/>
          <w:b/>
          <w:bCs/>
          <w:i/>
          <w:iCs/>
          <w:color w:val="4F81BD"/>
          <w:sz w:val="24"/>
          <w:szCs w:val="24"/>
          <w:rtl/>
        </w:rPr>
        <w:t>וילנא נב</w:t>
      </w:r>
      <w:r w:rsidRPr="00007309">
        <w:rPr>
          <w:rFonts w:ascii="Cambria" w:hAnsi="Cambria" w:cs="Times New Roman"/>
          <w:b/>
          <w:bCs/>
          <w:i/>
          <w:iCs/>
          <w:color w:val="4F81BD"/>
          <w:sz w:val="24"/>
          <w:szCs w:val="24"/>
          <w:rtl/>
        </w:rPr>
        <w:t xml:space="preserve"> ע"</w:t>
      </w:r>
      <w:r w:rsidRPr="00007309">
        <w:rPr>
          <w:rFonts w:ascii="Cambria" w:hAnsi="Cambria" w:cs="Times New Roman" w:hint="cs"/>
          <w:b/>
          <w:bCs/>
          <w:i/>
          <w:iCs/>
          <w:color w:val="4F81BD"/>
          <w:sz w:val="24"/>
          <w:szCs w:val="24"/>
          <w:rtl/>
        </w:rPr>
        <w:t>א</w:t>
      </w:r>
      <w:r w:rsidRPr="00007309">
        <w:rPr>
          <w:rFonts w:ascii="Cambria" w:hAnsi="Cambria" w:cs="Times New Roman"/>
          <w:b/>
          <w:bCs/>
          <w:i/>
          <w:iCs/>
          <w:color w:val="4F81BD"/>
          <w:sz w:val="24"/>
          <w:szCs w:val="24"/>
          <w:rtl/>
        </w:rPr>
        <w:t>)</w:t>
      </w:r>
      <w:r w:rsidRPr="00007309">
        <w:rPr>
          <w:rFonts w:cs="Arial"/>
          <w:b/>
          <w:bCs/>
          <w:sz w:val="24"/>
          <w:szCs w:val="24"/>
          <w:rtl/>
        </w:rPr>
        <w:t xml:space="preserve"> יְדֻרוּן צִפֳּרֵי שְׁמַיָּא. אָזַל וְעַף בַּחֲמֵשׁ מֵאָה עָלְמִין וְאַפִּיק מֵיכְלָא מִכֻּלְּהוּ, וְאִיהוּ נָטִיל וְגַבִי מִנַּיְהוּ</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896"/>
      </w:r>
      <w:r w:rsidRPr="00007309">
        <w:rPr>
          <w:rFonts w:cs="Arial"/>
          <w:b/>
          <w:bCs/>
          <w:sz w:val="24"/>
          <w:szCs w:val="24"/>
          <w:rtl/>
        </w:rPr>
        <w:t>דָּא יָהִיב נַ</w:t>
      </w:r>
      <w:r w:rsidRPr="00007309">
        <w:rPr>
          <w:rFonts w:cs="Arial" w:hint="cs"/>
          <w:b/>
          <w:bCs/>
          <w:sz w:val="24"/>
          <w:szCs w:val="24"/>
          <w:rtl/>
        </w:rPr>
        <w:t>ה</w:t>
      </w:r>
      <w:r w:rsidRPr="00007309">
        <w:rPr>
          <w:rFonts w:cs="Arial"/>
          <w:b/>
          <w:bCs/>
          <w:sz w:val="24"/>
          <w:szCs w:val="24"/>
          <w:rtl/>
        </w:rPr>
        <w:t>ַמָא, וְדָא יָהִיב מַיָּא, וְדָא יָהִיב מִשְׁחָא, וְדָא יָהִיב מַנָא. וְאִיהוּ גַּבִי וְאָעִיל בְּאוֹצָרָא דְּמַשְׁכְּנֵי</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897"/>
      </w:r>
      <w:r w:rsidRPr="00007309">
        <w:rPr>
          <w:rFonts w:cs="Arial"/>
          <w:b/>
          <w:bCs/>
          <w:sz w:val="24"/>
          <w:szCs w:val="24"/>
          <w:rtl/>
        </w:rPr>
        <w:t>אִיהוּ טָמִיר</w:t>
      </w:r>
      <w:r w:rsidRPr="00007309">
        <w:rPr>
          <w:rFonts w:cs="Arial" w:hint="cs"/>
          <w:b/>
          <w:bCs/>
          <w:sz w:val="24"/>
          <w:szCs w:val="24"/>
          <w:rtl/>
        </w:rPr>
        <w:t>,</w:t>
      </w:r>
      <w:r w:rsidRPr="00007309">
        <w:rPr>
          <w:rFonts w:cs="Arial"/>
          <w:b/>
          <w:bCs/>
          <w:sz w:val="24"/>
          <w:szCs w:val="24"/>
          <w:rtl/>
        </w:rPr>
        <w:t xml:space="preserve"> לֵית בֵּהּ דִּיּוֹקְנָא לְאִסְתַּכְּלָא</w:t>
      </w:r>
      <w:r w:rsidRPr="00007309">
        <w:rPr>
          <w:rFonts w:cs="Arial" w:hint="cs"/>
          <w:b/>
          <w:bCs/>
          <w:sz w:val="24"/>
          <w:szCs w:val="24"/>
          <w:rtl/>
        </w:rPr>
        <w:t>,</w:t>
      </w:r>
      <w:r w:rsidRPr="00007309">
        <w:rPr>
          <w:rFonts w:cs="Arial"/>
          <w:b/>
          <w:bCs/>
          <w:sz w:val="24"/>
          <w:szCs w:val="24"/>
          <w:rtl/>
        </w:rPr>
        <w:t xml:space="preserve"> לְבַר </w:t>
      </w:r>
      <w:r w:rsidRPr="00007309">
        <w:rPr>
          <w:rFonts w:cs="Arial"/>
          <w:b/>
          <w:bCs/>
          <w:sz w:val="36"/>
          <w:szCs w:val="28"/>
          <w:vertAlign w:val="superscript"/>
          <w:rtl/>
        </w:rPr>
        <w:footnoteReference w:id="8898"/>
      </w:r>
      <w:r w:rsidRPr="00007309">
        <w:rPr>
          <w:rFonts w:cs="Arial"/>
          <w:b/>
          <w:bCs/>
          <w:sz w:val="24"/>
          <w:szCs w:val="24"/>
          <w:rtl/>
        </w:rPr>
        <w:t xml:space="preserve">נְהִירוּ דִּילֵהּ מִסַּיְפֵי דְּעָלְמָא וְעַד סַיְפֵי דְּעָלְמָא. </w:t>
      </w:r>
      <w:r w:rsidRPr="00007309">
        <w:rPr>
          <w:rFonts w:cs="Arial"/>
          <w:b/>
          <w:bCs/>
          <w:sz w:val="36"/>
          <w:szCs w:val="28"/>
          <w:vertAlign w:val="superscript"/>
          <w:rtl/>
        </w:rPr>
        <w:footnoteReference w:id="8899"/>
      </w:r>
      <w:r w:rsidRPr="00007309">
        <w:rPr>
          <w:rFonts w:cs="Arial"/>
          <w:b/>
          <w:bCs/>
          <w:sz w:val="24"/>
          <w:szCs w:val="24"/>
          <w:rtl/>
        </w:rPr>
        <w:t xml:space="preserve">כָּל חַיִּין בֵּהּ שַׁרְיָן, </w:t>
      </w:r>
      <w:r w:rsidRPr="00007309">
        <w:rPr>
          <w:rFonts w:cs="Arial"/>
          <w:b/>
          <w:bCs/>
          <w:sz w:val="36"/>
          <w:szCs w:val="28"/>
          <w:vertAlign w:val="superscript"/>
          <w:rtl/>
        </w:rPr>
        <w:footnoteReference w:id="8900"/>
      </w:r>
      <w:r w:rsidRPr="00007309">
        <w:rPr>
          <w:rFonts w:cs="Arial"/>
          <w:b/>
          <w:bCs/>
          <w:sz w:val="24"/>
          <w:szCs w:val="24"/>
          <w:rtl/>
        </w:rPr>
        <w:t xml:space="preserve">וְאִיהוּ יָהִיב לְמָאן דְּלֵית לֵהּ חַיִּין כְּלָל. עָאל לְאִנּוּן חֲמֵשׁ מֵאָה עָלְמִין, וְנָטִיל מִנַּיְהוּ חַמְשִׁין שְׁנִין וְלָא יַתִּיר, וְאִיהוּ יָהִיב. </w:t>
      </w:r>
      <w:r w:rsidRPr="00007309">
        <w:rPr>
          <w:rFonts w:cs="Arial"/>
          <w:b/>
          <w:bCs/>
          <w:sz w:val="36"/>
          <w:szCs w:val="28"/>
          <w:vertAlign w:val="superscript"/>
          <w:rtl/>
        </w:rPr>
        <w:footnoteReference w:id="8901"/>
      </w:r>
      <w:r w:rsidRPr="00007309">
        <w:rPr>
          <w:rFonts w:cs="Arial"/>
          <w:b/>
          <w:bCs/>
          <w:sz w:val="24"/>
          <w:szCs w:val="24"/>
          <w:rtl/>
        </w:rPr>
        <w:t xml:space="preserve">לְבָתַר עָאל לְגַבֵּי אַבָּא וְאִמָּא, וּמִמַּה דְּיָהֲבֵי לֵהּ יָהִיב אִיהוּ וְאַשְׁלִים לְשִׁבְעִין. </w:t>
      </w:r>
      <w:r w:rsidRPr="00007309">
        <w:rPr>
          <w:rFonts w:cs="Arial"/>
          <w:b/>
          <w:bCs/>
          <w:sz w:val="36"/>
          <w:szCs w:val="28"/>
          <w:vertAlign w:val="superscript"/>
          <w:rtl/>
        </w:rPr>
        <w:footnoteReference w:id="8902"/>
      </w:r>
      <w:r w:rsidRPr="00007309">
        <w:rPr>
          <w:rFonts w:cs="Arial"/>
          <w:b/>
          <w:bCs/>
          <w:sz w:val="24"/>
          <w:szCs w:val="24"/>
          <w:rtl/>
        </w:rPr>
        <w:t xml:space="preserve">אִתְגַּלֵּי בִּימָמָא </w:t>
      </w:r>
      <w:r w:rsidRPr="00007309">
        <w:rPr>
          <w:rFonts w:cs="Arial"/>
          <w:b/>
          <w:bCs/>
          <w:sz w:val="36"/>
          <w:szCs w:val="28"/>
          <w:vertAlign w:val="superscript"/>
          <w:rtl/>
        </w:rPr>
        <w:footnoteReference w:id="8903"/>
      </w:r>
      <w:r w:rsidRPr="00007309">
        <w:rPr>
          <w:rFonts w:cs="Arial"/>
          <w:b/>
          <w:bCs/>
          <w:sz w:val="24"/>
          <w:szCs w:val="24"/>
          <w:rtl/>
        </w:rPr>
        <w:t xml:space="preserve">אִתְחַם לִתְרֵיסַר תְּחוּמִין. </w:t>
      </w:r>
      <w:r w:rsidRPr="00007309">
        <w:rPr>
          <w:rFonts w:cs="Arial"/>
          <w:b/>
          <w:bCs/>
          <w:sz w:val="36"/>
          <w:szCs w:val="28"/>
          <w:vertAlign w:val="superscript"/>
          <w:rtl/>
        </w:rPr>
        <w:footnoteReference w:id="8904"/>
      </w:r>
      <w:r w:rsidRPr="00007309">
        <w:rPr>
          <w:rFonts w:cs="Arial"/>
          <w:b/>
          <w:bCs/>
          <w:sz w:val="24"/>
          <w:szCs w:val="24"/>
          <w:rtl/>
        </w:rPr>
        <w:t xml:space="preserve">שִׁבְעִין תְּמָרִים </w:t>
      </w:r>
      <w:r w:rsidRPr="00007309">
        <w:rPr>
          <w:rFonts w:cs="Arial"/>
          <w:b/>
          <w:bCs/>
          <w:sz w:val="36"/>
          <w:szCs w:val="28"/>
          <w:vertAlign w:val="superscript"/>
          <w:rtl/>
        </w:rPr>
        <w:footnoteReference w:id="8905"/>
      </w:r>
      <w:r w:rsidRPr="00007309">
        <w:rPr>
          <w:rFonts w:cs="Arial"/>
          <w:b/>
          <w:bCs/>
          <w:sz w:val="24"/>
          <w:szCs w:val="24"/>
          <w:rtl/>
        </w:rPr>
        <w:t>וּתְרֵיסַר מַבּוּעִין דְּנָבְעִין בֵּהּ תַּלְיָן</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906"/>
      </w:r>
      <w:r w:rsidRPr="00007309">
        <w:rPr>
          <w:rFonts w:cs="Arial"/>
          <w:b/>
          <w:bCs/>
          <w:sz w:val="24"/>
          <w:szCs w:val="24"/>
          <w:rtl/>
        </w:rPr>
        <w:t xml:space="preserve">זַכָּאִין אִקְּרוּן עַל שְׁמֵהּ. </w:t>
      </w:r>
      <w:r w:rsidRPr="00007309">
        <w:rPr>
          <w:rFonts w:cs="Arial"/>
          <w:b/>
          <w:bCs/>
          <w:sz w:val="36"/>
          <w:szCs w:val="28"/>
          <w:vertAlign w:val="superscript"/>
          <w:rtl/>
        </w:rPr>
        <w:footnoteReference w:id="8907"/>
      </w:r>
      <w:r w:rsidRPr="00007309">
        <w:rPr>
          <w:rFonts w:cs="Arial"/>
          <w:b/>
          <w:bCs/>
          <w:sz w:val="24"/>
          <w:szCs w:val="24"/>
          <w:rtl/>
        </w:rPr>
        <w:t>כָּל מֵיכַל וְכָל עִבּוּרָא דְּכָל עָלְמָא אִיהוּ לָקִיט</w:t>
      </w:r>
      <w:r w:rsidRPr="00007309">
        <w:rPr>
          <w:rFonts w:cs="Arial"/>
          <w:b/>
          <w:bCs/>
          <w:sz w:val="24"/>
          <w:szCs w:val="24"/>
        </w:rPr>
        <w:t xml:space="preserve"> </w:t>
      </w:r>
      <w:r w:rsidRPr="00007309">
        <w:rPr>
          <w:rFonts w:cs="Arial"/>
          <w:b/>
          <w:bCs/>
          <w:sz w:val="24"/>
          <w:szCs w:val="24"/>
          <w:rtl/>
        </w:rPr>
        <w:t xml:space="preserve">וְאִיהוּ יָהִיב. </w:t>
      </w:r>
      <w:r w:rsidRPr="00007309">
        <w:rPr>
          <w:rFonts w:cs="Arial"/>
          <w:b/>
          <w:bCs/>
          <w:sz w:val="36"/>
          <w:szCs w:val="28"/>
          <w:vertAlign w:val="superscript"/>
          <w:rtl/>
        </w:rPr>
        <w:footnoteReference w:id="8908"/>
      </w:r>
      <w:r w:rsidRPr="00007309">
        <w:rPr>
          <w:rFonts w:cs="Arial"/>
          <w:b/>
          <w:bCs/>
          <w:sz w:val="24"/>
          <w:szCs w:val="24"/>
          <w:rtl/>
        </w:rPr>
        <w:t xml:space="preserve">בְּרִיךְ דוּכְרָנֵהּ </w:t>
      </w:r>
      <w:r w:rsidRPr="00007309">
        <w:rPr>
          <w:rFonts w:cs="Arial"/>
          <w:b/>
          <w:bCs/>
          <w:sz w:val="36"/>
          <w:szCs w:val="28"/>
          <w:vertAlign w:val="superscript"/>
          <w:rtl/>
        </w:rPr>
        <w:footnoteReference w:id="8909"/>
      </w:r>
      <w:r w:rsidRPr="00007309">
        <w:rPr>
          <w:rFonts w:cs="Arial"/>
          <w:b/>
          <w:bCs/>
          <w:sz w:val="24"/>
          <w:szCs w:val="24"/>
          <w:rtl/>
        </w:rPr>
        <w:t>לְעָלַם וּלְעָלְמֵי עָלְמַיָּא</w:t>
      </w:r>
      <w:r w:rsidRPr="00007309">
        <w:rPr>
          <w:rFonts w:cs="Arial" w:hint="cs"/>
          <w:b/>
          <w:bCs/>
          <w:sz w:val="24"/>
          <w:szCs w:val="24"/>
          <w:rtl/>
        </w:rPr>
        <w:t>.</w:t>
      </w:r>
      <w:r w:rsidRPr="00007309">
        <w:rPr>
          <w:rFonts w:cs="Arial"/>
          <w:b/>
          <w:bCs/>
          <w:sz w:val="24"/>
          <w:szCs w:val="24"/>
          <w:rtl/>
        </w:rPr>
        <w:t xml:space="preserve"> </w:t>
      </w:r>
    </w:p>
    <w:p w:rsidR="00007309" w:rsidRPr="00007309" w:rsidRDefault="00007309" w:rsidP="00007309">
      <w:pPr>
        <w:jc w:val="both"/>
        <w:rPr>
          <w:rFonts w:cs="Arial"/>
          <w:b/>
          <w:bCs/>
          <w:sz w:val="24"/>
          <w:szCs w:val="24"/>
          <w:rtl/>
        </w:rPr>
      </w:pPr>
      <w:r w:rsidRPr="00007309">
        <w:rPr>
          <w:rFonts w:cs="Arial"/>
          <w:b/>
          <w:bCs/>
          <w:sz w:val="24"/>
          <w:szCs w:val="24"/>
          <w:rtl/>
        </w:rPr>
        <w:t xml:space="preserve">גָּלִיף </w:t>
      </w:r>
      <w:r w:rsidRPr="00007309">
        <w:rPr>
          <w:rFonts w:cs="Arial"/>
          <w:b/>
          <w:bCs/>
          <w:sz w:val="36"/>
          <w:szCs w:val="28"/>
          <w:vertAlign w:val="superscript"/>
          <w:rtl/>
        </w:rPr>
        <w:footnoteReference w:id="8910"/>
      </w:r>
      <w:r w:rsidRPr="00007309">
        <w:rPr>
          <w:rFonts w:cs="Arial"/>
          <w:b/>
          <w:bCs/>
          <w:sz w:val="24"/>
          <w:szCs w:val="24"/>
          <w:rtl/>
        </w:rPr>
        <w:t xml:space="preserve">בְּתֻקְפָּא גְּלִידָא דִּתְּקִּיפוּ חַד </w:t>
      </w:r>
      <w:r w:rsidRPr="00007309">
        <w:rPr>
          <w:rFonts w:cs="Arial"/>
          <w:b/>
          <w:bCs/>
          <w:sz w:val="36"/>
          <w:szCs w:val="28"/>
          <w:vertAlign w:val="superscript"/>
          <w:rtl/>
        </w:rPr>
        <w:footnoteReference w:id="8911"/>
      </w:r>
      <w:r w:rsidRPr="00007309">
        <w:rPr>
          <w:rFonts w:cs="Arial"/>
          <w:b/>
          <w:bCs/>
          <w:sz w:val="24"/>
          <w:szCs w:val="24"/>
          <w:rtl/>
        </w:rPr>
        <w:t xml:space="preserve">וְאַפִּיק ט', </w:t>
      </w:r>
      <w:r w:rsidRPr="00007309">
        <w:rPr>
          <w:rFonts w:cs="Arial"/>
          <w:b/>
          <w:bCs/>
          <w:sz w:val="36"/>
          <w:szCs w:val="28"/>
          <w:vertAlign w:val="superscript"/>
          <w:rtl/>
        </w:rPr>
        <w:footnoteReference w:id="8912"/>
      </w:r>
      <w:r w:rsidRPr="00007309">
        <w:rPr>
          <w:rFonts w:cs="Arial"/>
          <w:b/>
          <w:bCs/>
          <w:sz w:val="24"/>
          <w:szCs w:val="24"/>
          <w:rtl/>
        </w:rPr>
        <w:t>וְאִיהוּ גַּרְמָא תְּשִׁיעָ</w:t>
      </w:r>
      <w:r w:rsidRPr="00007309">
        <w:rPr>
          <w:rFonts w:cs="Arial" w:hint="cs"/>
          <w:b/>
          <w:bCs/>
          <w:sz w:val="24"/>
          <w:szCs w:val="24"/>
          <w:rtl/>
        </w:rPr>
        <w:t>א</w:t>
      </w:r>
      <w:r w:rsidRPr="00007309">
        <w:rPr>
          <w:rFonts w:cs="Arial"/>
          <w:b/>
          <w:bCs/>
          <w:sz w:val="24"/>
          <w:szCs w:val="24"/>
          <w:rtl/>
        </w:rPr>
        <w:t xml:space="preserve">ָה </w:t>
      </w:r>
      <w:r w:rsidRPr="00007309">
        <w:rPr>
          <w:rFonts w:cs="Arial"/>
          <w:b/>
          <w:bCs/>
          <w:sz w:val="36"/>
          <w:szCs w:val="28"/>
          <w:vertAlign w:val="superscript"/>
          <w:rtl/>
        </w:rPr>
        <w:footnoteReference w:id="8913"/>
      </w:r>
      <w:r w:rsidRPr="00007309">
        <w:rPr>
          <w:rFonts w:cs="Arial"/>
          <w:b/>
          <w:bCs/>
          <w:sz w:val="24"/>
          <w:szCs w:val="24"/>
          <w:rtl/>
        </w:rPr>
        <w:t xml:space="preserve">דְּסָלְקָא בִּימָמָא וְנָחִית בְּלֵילְיָא. </w:t>
      </w:r>
      <w:r w:rsidRPr="00007309">
        <w:rPr>
          <w:rFonts w:cs="Arial"/>
          <w:b/>
          <w:bCs/>
          <w:sz w:val="36"/>
          <w:szCs w:val="28"/>
          <w:vertAlign w:val="superscript"/>
          <w:rtl/>
        </w:rPr>
        <w:footnoteReference w:id="8914"/>
      </w:r>
      <w:r w:rsidRPr="00007309">
        <w:rPr>
          <w:rFonts w:cs="Arial"/>
          <w:b/>
          <w:bCs/>
          <w:sz w:val="24"/>
          <w:szCs w:val="24"/>
          <w:rtl/>
        </w:rPr>
        <w:t xml:space="preserve">טְמִירָא בִּתְלָת מֵאָה וְשִׁתִּין וְחָמֵשׁ דִּיּוֹקְנִין טְמִירִין. </w:t>
      </w:r>
      <w:r w:rsidRPr="00007309">
        <w:rPr>
          <w:rFonts w:cs="Arial"/>
          <w:b/>
          <w:bCs/>
          <w:sz w:val="36"/>
          <w:szCs w:val="28"/>
          <w:vertAlign w:val="superscript"/>
          <w:rtl/>
        </w:rPr>
        <w:footnoteReference w:id="8915"/>
      </w:r>
      <w:r w:rsidRPr="00007309">
        <w:rPr>
          <w:rFonts w:cs="Arial"/>
          <w:b/>
          <w:bCs/>
          <w:sz w:val="24"/>
          <w:szCs w:val="24"/>
          <w:rtl/>
        </w:rPr>
        <w:t>אָזְלָא וְנָחְתָא</w:t>
      </w:r>
      <w:r w:rsidRPr="00007309">
        <w:rPr>
          <w:rFonts w:cs="Arial" w:hint="cs"/>
          <w:b/>
          <w:bCs/>
          <w:sz w:val="24"/>
          <w:szCs w:val="24"/>
          <w:rtl/>
        </w:rPr>
        <w:t>.</w:t>
      </w:r>
      <w:r w:rsidRPr="00007309">
        <w:rPr>
          <w:rFonts w:cs="Arial"/>
          <w:b/>
          <w:bCs/>
          <w:sz w:val="24"/>
          <w:szCs w:val="24"/>
          <w:rtl/>
        </w:rPr>
        <w:t xml:space="preserve"> וְקַיְּמָא </w:t>
      </w:r>
      <w:r w:rsidRPr="00007309">
        <w:rPr>
          <w:rFonts w:cs="Arial"/>
          <w:b/>
          <w:bCs/>
          <w:sz w:val="36"/>
          <w:szCs w:val="28"/>
          <w:vertAlign w:val="superscript"/>
          <w:rtl/>
        </w:rPr>
        <w:footnoteReference w:id="8916"/>
      </w:r>
      <w:r w:rsidRPr="00007309">
        <w:rPr>
          <w:rFonts w:cs="Arial"/>
          <w:b/>
          <w:bCs/>
          <w:sz w:val="24"/>
          <w:szCs w:val="24"/>
          <w:rtl/>
        </w:rPr>
        <w:t>טְמִירִין בֵּין תְּרֵין דְּרוֹעֵי דְּמַלְכָּא</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917"/>
      </w:r>
      <w:r w:rsidRPr="00007309">
        <w:rPr>
          <w:rFonts w:cs="Arial"/>
          <w:b/>
          <w:bCs/>
          <w:sz w:val="24"/>
          <w:szCs w:val="24"/>
          <w:rtl/>
        </w:rPr>
        <w:t xml:space="preserve">גְּלִיפָא בְּעִזְקְתָא דְּשַׁרְבִיטָא דְּגֻשְׁפַּנְקָא. </w:t>
      </w:r>
      <w:r w:rsidRPr="00007309">
        <w:rPr>
          <w:rFonts w:cs="Arial"/>
          <w:b/>
          <w:bCs/>
          <w:sz w:val="36"/>
          <w:szCs w:val="28"/>
          <w:vertAlign w:val="superscript"/>
          <w:rtl/>
        </w:rPr>
        <w:footnoteReference w:id="8918"/>
      </w:r>
      <w:r w:rsidRPr="00007309">
        <w:rPr>
          <w:rFonts w:cs="Arial"/>
          <w:b/>
          <w:bCs/>
          <w:sz w:val="24"/>
          <w:szCs w:val="24"/>
          <w:rtl/>
        </w:rPr>
        <w:t xml:space="preserve">פַּרְוַונְקָא </w:t>
      </w:r>
      <w:r w:rsidRPr="00007309">
        <w:rPr>
          <w:rFonts w:cs="Arial"/>
          <w:b/>
          <w:bCs/>
          <w:sz w:val="36"/>
          <w:szCs w:val="28"/>
          <w:vertAlign w:val="superscript"/>
          <w:rtl/>
        </w:rPr>
        <w:footnoteReference w:id="8919"/>
      </w:r>
      <w:r w:rsidRPr="00007309">
        <w:rPr>
          <w:rFonts w:cs="Arial"/>
          <w:b/>
          <w:bCs/>
          <w:sz w:val="24"/>
          <w:szCs w:val="24"/>
          <w:rtl/>
        </w:rPr>
        <w:t>דְּנָטִיר בְּאוֹרְחָא</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920"/>
      </w:r>
      <w:r w:rsidRPr="00007309">
        <w:rPr>
          <w:rFonts w:cs="Arial"/>
          <w:b/>
          <w:bCs/>
          <w:sz w:val="24"/>
          <w:szCs w:val="24"/>
          <w:rtl/>
        </w:rPr>
        <w:t>דַּאִין דִּינִין</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921"/>
      </w:r>
      <w:r w:rsidRPr="00007309">
        <w:rPr>
          <w:rFonts w:cs="Arial"/>
          <w:b/>
          <w:bCs/>
          <w:sz w:val="24"/>
          <w:szCs w:val="24"/>
          <w:rtl/>
        </w:rPr>
        <w:t>וְיֵי</w:t>
      </w:r>
      <w:r w:rsidRPr="00007309">
        <w:rPr>
          <w:rFonts w:cs="Arial" w:hint="cs"/>
          <w:b/>
          <w:bCs/>
          <w:sz w:val="24"/>
          <w:szCs w:val="24"/>
          <w:rtl/>
        </w:rPr>
        <w:t>תי</w:t>
      </w:r>
      <w:r w:rsidRPr="00007309">
        <w:rPr>
          <w:rFonts w:cs="Arial"/>
          <w:b/>
          <w:bCs/>
          <w:sz w:val="24"/>
          <w:szCs w:val="24"/>
          <w:rtl/>
        </w:rPr>
        <w:t xml:space="preserve"> בַּעַל עִיּוּנָא</w:t>
      </w:r>
      <w:r w:rsidRPr="00007309">
        <w:rPr>
          <w:rFonts w:cs="Arial" w:hint="cs"/>
          <w:b/>
          <w:bCs/>
          <w:sz w:val="24"/>
          <w:szCs w:val="24"/>
          <w:rtl/>
        </w:rPr>
        <w:t>,</w:t>
      </w:r>
      <w:r w:rsidRPr="00007309">
        <w:rPr>
          <w:rFonts w:cs="Arial"/>
          <w:b/>
          <w:bCs/>
          <w:sz w:val="24"/>
          <w:szCs w:val="24"/>
          <w:rtl/>
        </w:rPr>
        <w:t xml:space="preserve"> דִּסְפָרִין פְּתִיחָן </w:t>
      </w:r>
      <w:r w:rsidRPr="00007309">
        <w:rPr>
          <w:rFonts w:cs="Arial"/>
          <w:b/>
          <w:bCs/>
          <w:sz w:val="36"/>
          <w:szCs w:val="28"/>
          <w:vertAlign w:val="superscript"/>
          <w:rtl/>
        </w:rPr>
        <w:footnoteReference w:id="8922"/>
      </w:r>
      <w:r w:rsidRPr="00007309">
        <w:rPr>
          <w:rFonts w:cs="Arial"/>
          <w:b/>
          <w:bCs/>
          <w:sz w:val="24"/>
          <w:szCs w:val="24"/>
          <w:rtl/>
        </w:rPr>
        <w:t xml:space="preserve">טָב וּבִישׁ קַיְּמָא לְקִבְלֵהּ. מִסִּטְרֵהּ חַיִּין, וּמִסִּטְרֵהּ מוֹתָא. מִסִּטְרֵהּ מִתְקָא, וּמִסִּטְרֵהּ מְרִירוּ. </w:t>
      </w:r>
      <w:r w:rsidRPr="00007309">
        <w:rPr>
          <w:rFonts w:cs="Arial"/>
          <w:b/>
          <w:bCs/>
          <w:sz w:val="36"/>
          <w:szCs w:val="28"/>
          <w:vertAlign w:val="superscript"/>
          <w:rtl/>
        </w:rPr>
        <w:footnoteReference w:id="8923"/>
      </w:r>
      <w:r w:rsidRPr="00007309">
        <w:rPr>
          <w:rFonts w:cs="Arial"/>
          <w:b/>
          <w:bCs/>
          <w:sz w:val="24"/>
          <w:szCs w:val="24"/>
          <w:rtl/>
        </w:rPr>
        <w:t>חַד חִיוְיָא קָאִים לְקָבְלֵהּ</w:t>
      </w:r>
      <w:r w:rsidRPr="00007309">
        <w:rPr>
          <w:rFonts w:cs="Arial" w:hint="cs"/>
          <w:b/>
          <w:bCs/>
          <w:sz w:val="24"/>
          <w:szCs w:val="24"/>
          <w:rtl/>
        </w:rPr>
        <w:t>,</w:t>
      </w:r>
      <w:r w:rsidRPr="00007309">
        <w:rPr>
          <w:rFonts w:cs="Arial"/>
          <w:b/>
          <w:bCs/>
          <w:sz w:val="24"/>
          <w:szCs w:val="24"/>
          <w:rtl/>
        </w:rPr>
        <w:t xml:space="preserve"> רֵישֵׁהּ תְּחוֹת לְרַגְלוֹ</w:t>
      </w:r>
      <w:r w:rsidRPr="00007309">
        <w:rPr>
          <w:rFonts w:cs="Arial" w:hint="cs"/>
          <w:b/>
          <w:bCs/>
          <w:sz w:val="24"/>
          <w:szCs w:val="24"/>
          <w:rtl/>
        </w:rPr>
        <w:t>י</w:t>
      </w:r>
      <w:r w:rsidRPr="00007309">
        <w:rPr>
          <w:rFonts w:cs="Arial"/>
          <w:b/>
          <w:bCs/>
          <w:sz w:val="24"/>
          <w:szCs w:val="24"/>
          <w:rtl/>
        </w:rPr>
        <w:t>. בְּשַׁעֲתָא דְּאַפִּיק</w:t>
      </w:r>
      <w:r w:rsidRPr="00007309">
        <w:rPr>
          <w:rFonts w:cs="Arial"/>
          <w:b/>
          <w:bCs/>
          <w:sz w:val="24"/>
          <w:szCs w:val="28"/>
        </w:rPr>
        <w:t xml:space="preserve"> </w:t>
      </w:r>
      <w:r w:rsidRPr="00007309">
        <w:rPr>
          <w:rFonts w:cs="Arial"/>
          <w:b/>
          <w:bCs/>
          <w:sz w:val="24"/>
          <w:szCs w:val="24"/>
          <w:rtl/>
        </w:rPr>
        <w:t>רֵישֵׁהּ מָחֵי בִּזְנָבוֹי. מָאן דְּאָערָע בְּקַשְׂ</w:t>
      </w:r>
      <w:r w:rsidRPr="00007309">
        <w:rPr>
          <w:rFonts w:cs="Arial" w:hint="cs"/>
          <w:b/>
          <w:bCs/>
          <w:sz w:val="24"/>
          <w:szCs w:val="24"/>
          <w:rtl/>
        </w:rPr>
        <w:t>ק</w:t>
      </w:r>
      <w:r w:rsidRPr="00007309">
        <w:rPr>
          <w:rFonts w:cs="Arial"/>
          <w:b/>
          <w:bCs/>
          <w:sz w:val="24"/>
          <w:szCs w:val="24"/>
          <w:rtl/>
        </w:rPr>
        <w:t>ְשׂוֹי</w:t>
      </w:r>
      <w:r w:rsidRPr="00007309">
        <w:rPr>
          <w:rFonts w:cs="Arial" w:hint="cs"/>
          <w:b/>
          <w:bCs/>
          <w:sz w:val="24"/>
          <w:szCs w:val="24"/>
          <w:rtl/>
        </w:rPr>
        <w:t>,</w:t>
      </w:r>
      <w:r w:rsidRPr="00007309">
        <w:rPr>
          <w:rFonts w:cs="Arial"/>
          <w:b/>
          <w:bCs/>
          <w:sz w:val="24"/>
          <w:szCs w:val="24"/>
          <w:rtl/>
        </w:rPr>
        <w:t xml:space="preserve"> מָאִיךְ לֵהּ עַד נוּקְבָא דִּתְהוֹמָא רַבָּה. קַיְּמָא רַגְלֵהּ עַל רֵישֵׁהּ דְּהַהִיא חִיוְיָא, </w:t>
      </w:r>
      <w:r w:rsidRPr="00007309">
        <w:rPr>
          <w:rFonts w:cs="Arial"/>
          <w:b/>
          <w:bCs/>
          <w:sz w:val="36"/>
          <w:szCs w:val="28"/>
          <w:vertAlign w:val="superscript"/>
          <w:rtl/>
        </w:rPr>
        <w:footnoteReference w:id="8924"/>
      </w:r>
      <w:r w:rsidRPr="00007309">
        <w:rPr>
          <w:rFonts w:cs="Arial"/>
          <w:b/>
          <w:bCs/>
          <w:sz w:val="24"/>
          <w:szCs w:val="24"/>
          <w:rtl/>
        </w:rPr>
        <w:t>כַּד אִסְתַּלַּק</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925"/>
      </w:r>
      <w:r w:rsidRPr="00007309">
        <w:rPr>
          <w:rFonts w:cs="Arial"/>
          <w:b/>
          <w:bCs/>
          <w:sz w:val="24"/>
          <w:szCs w:val="24"/>
          <w:rtl/>
        </w:rPr>
        <w:t xml:space="preserve">בָּקַע יַמָּא </w:t>
      </w:r>
      <w:r w:rsidRPr="00007309">
        <w:rPr>
          <w:rFonts w:cs="Arial"/>
          <w:b/>
          <w:bCs/>
          <w:sz w:val="36"/>
          <w:szCs w:val="28"/>
          <w:vertAlign w:val="superscript"/>
          <w:rtl/>
        </w:rPr>
        <w:footnoteReference w:id="8926"/>
      </w:r>
      <w:r w:rsidRPr="00007309">
        <w:rPr>
          <w:rFonts w:cs="Arial"/>
          <w:b/>
          <w:bCs/>
          <w:sz w:val="24"/>
          <w:szCs w:val="24"/>
          <w:rtl/>
        </w:rPr>
        <w:t xml:space="preserve">בַּאֲוִירָא דְּמָטֵי וְלָא מָטֵי. </w:t>
      </w:r>
      <w:r w:rsidRPr="00007309">
        <w:rPr>
          <w:rFonts w:cs="Arial"/>
          <w:b/>
          <w:bCs/>
          <w:sz w:val="36"/>
          <w:szCs w:val="28"/>
          <w:vertAlign w:val="superscript"/>
          <w:rtl/>
        </w:rPr>
        <w:footnoteReference w:id="8927"/>
      </w:r>
      <w:r w:rsidRPr="00007309">
        <w:rPr>
          <w:rFonts w:cs="Arial"/>
          <w:b/>
          <w:bCs/>
          <w:sz w:val="24"/>
          <w:szCs w:val="24"/>
          <w:rtl/>
        </w:rPr>
        <w:t>קַיְּמָא בְּלֵילְיָא</w:t>
      </w:r>
      <w:r w:rsidRPr="00007309">
        <w:rPr>
          <w:rFonts w:cs="Arial" w:hint="cs"/>
          <w:b/>
          <w:bCs/>
          <w:sz w:val="24"/>
          <w:szCs w:val="24"/>
          <w:rtl/>
        </w:rPr>
        <w:t>,</w:t>
      </w:r>
      <w:r w:rsidRPr="00007309">
        <w:rPr>
          <w:rFonts w:cs="Arial"/>
          <w:b/>
          <w:bCs/>
          <w:sz w:val="24"/>
          <w:szCs w:val="24"/>
          <w:rtl/>
        </w:rPr>
        <w:t xml:space="preserve"> פְּלַג נִכְסִין </w:t>
      </w:r>
      <w:r w:rsidRPr="00007309">
        <w:rPr>
          <w:rFonts w:cs="Arial"/>
          <w:b/>
          <w:bCs/>
          <w:sz w:val="36"/>
          <w:szCs w:val="28"/>
          <w:vertAlign w:val="superscript"/>
          <w:rtl/>
        </w:rPr>
        <w:footnoteReference w:id="8928"/>
      </w:r>
      <w:r w:rsidRPr="00007309">
        <w:rPr>
          <w:rFonts w:cs="Arial"/>
          <w:b/>
          <w:bCs/>
          <w:sz w:val="24"/>
          <w:szCs w:val="24"/>
          <w:rtl/>
        </w:rPr>
        <w:t xml:space="preserve">לְעוּתָרִין. יָהִיב מְזוֹנָא לְבֵיתֵהּ. </w:t>
      </w:r>
      <w:r w:rsidRPr="00007309">
        <w:rPr>
          <w:rFonts w:cs="Arial"/>
          <w:b/>
          <w:bCs/>
          <w:sz w:val="36"/>
          <w:szCs w:val="28"/>
          <w:vertAlign w:val="superscript"/>
          <w:rtl/>
        </w:rPr>
        <w:footnoteReference w:id="8929"/>
      </w:r>
      <w:r w:rsidRPr="00007309">
        <w:rPr>
          <w:rFonts w:cs="Arial"/>
          <w:b/>
          <w:bCs/>
          <w:sz w:val="24"/>
          <w:szCs w:val="24"/>
          <w:rtl/>
        </w:rPr>
        <w:t xml:space="preserve">אִתְחַבַּר וְאִתְטַמַּר בִּרְמַ"ח אַנְפִּין. </w:t>
      </w:r>
      <w:r w:rsidRPr="00007309">
        <w:rPr>
          <w:rFonts w:cs="Arial"/>
          <w:b/>
          <w:bCs/>
          <w:sz w:val="36"/>
          <w:szCs w:val="28"/>
          <w:vertAlign w:val="superscript"/>
          <w:rtl/>
        </w:rPr>
        <w:footnoteReference w:id="8930"/>
      </w:r>
      <w:r w:rsidRPr="00007309">
        <w:rPr>
          <w:rFonts w:cs="Arial"/>
          <w:b/>
          <w:bCs/>
          <w:sz w:val="24"/>
          <w:szCs w:val="24"/>
          <w:rtl/>
        </w:rPr>
        <w:t xml:space="preserve">אִתְקַשַּׁט בְּקִשּׁוּטֵי מַלְכָּא. </w:t>
      </w:r>
      <w:r w:rsidRPr="00007309">
        <w:rPr>
          <w:rFonts w:cs="Arial"/>
          <w:b/>
          <w:bCs/>
          <w:sz w:val="36"/>
          <w:szCs w:val="28"/>
          <w:vertAlign w:val="superscript"/>
          <w:rtl/>
        </w:rPr>
        <w:footnoteReference w:id="8931"/>
      </w:r>
      <w:r w:rsidRPr="00007309">
        <w:rPr>
          <w:rFonts w:cs="Arial"/>
          <w:b/>
          <w:bCs/>
          <w:sz w:val="24"/>
          <w:szCs w:val="24"/>
          <w:rtl/>
        </w:rPr>
        <w:t xml:space="preserve">רִבּוֹן כָּל אַרְעָא </w:t>
      </w:r>
      <w:r w:rsidRPr="00007309">
        <w:rPr>
          <w:rFonts w:cs="Arial"/>
          <w:b/>
          <w:bCs/>
          <w:sz w:val="36"/>
          <w:szCs w:val="28"/>
          <w:vertAlign w:val="superscript"/>
          <w:rtl/>
        </w:rPr>
        <w:footnoteReference w:id="8932"/>
      </w:r>
      <w:r w:rsidRPr="00007309">
        <w:rPr>
          <w:rFonts w:cs="Arial"/>
          <w:b/>
          <w:bCs/>
          <w:sz w:val="24"/>
          <w:szCs w:val="24"/>
          <w:rtl/>
        </w:rPr>
        <w:t>אַגְנִיז בְּגַוֵהּ נְהוֹרָא דְּנָהִיר וְרָהִיט</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933"/>
      </w:r>
      <w:r w:rsidRPr="00007309">
        <w:rPr>
          <w:rFonts w:cs="Arial"/>
          <w:b/>
          <w:bCs/>
          <w:sz w:val="24"/>
          <w:szCs w:val="24"/>
          <w:rtl/>
        </w:rPr>
        <w:t xml:space="preserve">אֲרוֹנָא לְאוֹרַיְתָא, </w:t>
      </w:r>
      <w:r w:rsidRPr="00007309">
        <w:rPr>
          <w:rFonts w:cs="Arial"/>
          <w:b/>
          <w:bCs/>
          <w:sz w:val="36"/>
          <w:szCs w:val="28"/>
          <w:vertAlign w:val="superscript"/>
          <w:rtl/>
        </w:rPr>
        <w:footnoteReference w:id="8934"/>
      </w:r>
      <w:r w:rsidRPr="00007309">
        <w:rPr>
          <w:rFonts w:cs="Arial"/>
          <w:b/>
          <w:bCs/>
          <w:sz w:val="24"/>
          <w:szCs w:val="24"/>
          <w:rtl/>
        </w:rPr>
        <w:t xml:space="preserve">אַגַּח קְרָבָא בְּשַׂנְאוֹי </w:t>
      </w:r>
      <w:r w:rsidRPr="00007309">
        <w:rPr>
          <w:rFonts w:cs="Arial"/>
          <w:b/>
          <w:bCs/>
          <w:sz w:val="36"/>
          <w:szCs w:val="28"/>
          <w:vertAlign w:val="superscript"/>
          <w:rtl/>
        </w:rPr>
        <w:footnoteReference w:id="8935"/>
      </w:r>
      <w:r w:rsidRPr="00007309">
        <w:rPr>
          <w:rFonts w:cs="Arial"/>
          <w:b/>
          <w:bCs/>
          <w:sz w:val="24"/>
          <w:szCs w:val="24"/>
          <w:rtl/>
        </w:rPr>
        <w:t xml:space="preserve">וְנָטִיל נוּקְמִין. מְזָרֵז גַּרְמֵהּ כִּגְבַר תַּקִּיף. חַרְבָּא מְשַׁנְּנָא בִּידֵהּ. רֻמְחֵהּ שְׁבִיבִין דְּנוּר. גִּירִין דְּזָרִיק לְהָטָן בִּתְקִיפוּ דְּאֶשָּׁא דְּאָכְלָא. </w:t>
      </w:r>
      <w:r w:rsidRPr="00007309">
        <w:rPr>
          <w:rFonts w:cs="Arial"/>
          <w:b/>
          <w:bCs/>
          <w:sz w:val="36"/>
          <w:szCs w:val="28"/>
          <w:vertAlign w:val="superscript"/>
          <w:rtl/>
        </w:rPr>
        <w:footnoteReference w:id="8936"/>
      </w:r>
      <w:r w:rsidRPr="00007309">
        <w:rPr>
          <w:rFonts w:cs="Arial"/>
          <w:b/>
          <w:bCs/>
          <w:sz w:val="24"/>
          <w:szCs w:val="24"/>
          <w:rtl/>
        </w:rPr>
        <w:t xml:space="preserve">בּוּצִינָא דִּשְׁרַגָּא דְּשָׁארֵי עַל רֵישַׁיְהוּ דְּזַכָּאֵי קְשׁוֹט. טְמִירוּ דְּאִנּוּן הֵיכָלִין דִּילֵהּ </w:t>
      </w:r>
      <w:r w:rsidRPr="00007309">
        <w:rPr>
          <w:rFonts w:cs="Arial"/>
          <w:b/>
          <w:bCs/>
          <w:sz w:val="36"/>
          <w:szCs w:val="28"/>
          <w:vertAlign w:val="superscript"/>
          <w:rtl/>
        </w:rPr>
        <w:footnoteReference w:id="8937"/>
      </w:r>
      <w:r w:rsidRPr="00007309">
        <w:rPr>
          <w:rFonts w:cs="Arial"/>
          <w:b/>
          <w:bCs/>
          <w:sz w:val="24"/>
          <w:szCs w:val="24"/>
          <w:rtl/>
        </w:rPr>
        <w:t xml:space="preserve">לֵית לֵהּ חֻשְׁבָּנָא. </w:t>
      </w:r>
      <w:r w:rsidRPr="00007309">
        <w:rPr>
          <w:rFonts w:cs="Arial"/>
          <w:b/>
          <w:bCs/>
          <w:sz w:val="36"/>
          <w:szCs w:val="28"/>
          <w:vertAlign w:val="superscript"/>
          <w:rtl/>
        </w:rPr>
        <w:footnoteReference w:id="8938"/>
      </w:r>
      <w:r w:rsidRPr="00007309">
        <w:rPr>
          <w:rFonts w:cs="Arial"/>
          <w:b/>
          <w:bCs/>
          <w:sz w:val="24"/>
          <w:szCs w:val="24"/>
          <w:rtl/>
        </w:rPr>
        <w:t>תְּחוּמִין</w:t>
      </w:r>
      <w:r w:rsidRPr="00007309">
        <w:rPr>
          <w:rFonts w:cs="Arial"/>
          <w:b/>
          <w:bCs/>
          <w:sz w:val="24"/>
          <w:szCs w:val="24"/>
        </w:rPr>
        <w:t xml:space="preserve"> </w:t>
      </w:r>
      <w:r w:rsidRPr="00007309">
        <w:rPr>
          <w:rFonts w:cs="Arial"/>
          <w:b/>
          <w:bCs/>
          <w:sz w:val="24"/>
          <w:szCs w:val="24"/>
          <w:rtl/>
        </w:rPr>
        <w:t xml:space="preserve">דִּילֵהּ עַד שִׂפְתָּא דְּיַמָּא דְּגִנּוֹסָר. </w:t>
      </w:r>
      <w:r w:rsidRPr="00007309">
        <w:rPr>
          <w:rFonts w:cs="Arial"/>
          <w:b/>
          <w:bCs/>
          <w:sz w:val="36"/>
          <w:szCs w:val="28"/>
          <w:vertAlign w:val="superscript"/>
          <w:rtl/>
        </w:rPr>
        <w:footnoteReference w:id="8939"/>
      </w:r>
      <w:r w:rsidRPr="00007309">
        <w:rPr>
          <w:rFonts w:cs="Arial"/>
          <w:b/>
          <w:bCs/>
          <w:sz w:val="24"/>
          <w:szCs w:val="24"/>
          <w:rtl/>
        </w:rPr>
        <w:t xml:space="preserve">אִתְתַּחְמָא לְד' סִטְרִין. </w:t>
      </w:r>
      <w:r w:rsidRPr="00007309">
        <w:rPr>
          <w:rFonts w:cs="Arial"/>
          <w:b/>
          <w:bCs/>
          <w:sz w:val="36"/>
          <w:szCs w:val="28"/>
          <w:vertAlign w:val="superscript"/>
          <w:rtl/>
        </w:rPr>
        <w:footnoteReference w:id="8940"/>
      </w:r>
      <w:r w:rsidRPr="00007309">
        <w:rPr>
          <w:rFonts w:cs="Arial"/>
          <w:b/>
          <w:bCs/>
          <w:sz w:val="24"/>
          <w:szCs w:val="24"/>
          <w:rtl/>
        </w:rPr>
        <w:t>אַרְבַּע מַלְכִין מִתְצַיְּרָן מִגַּוֵּהּ</w:t>
      </w:r>
      <w:r w:rsidRPr="00007309">
        <w:rPr>
          <w:rFonts w:cs="Arial" w:hint="cs"/>
          <w:b/>
          <w:bCs/>
          <w:sz w:val="24"/>
          <w:szCs w:val="24"/>
          <w:rtl/>
        </w:rPr>
        <w:t>,</w:t>
      </w:r>
      <w:r w:rsidRPr="00007309">
        <w:rPr>
          <w:rFonts w:cs="Arial"/>
          <w:b/>
          <w:bCs/>
          <w:sz w:val="24"/>
          <w:szCs w:val="24"/>
          <w:rtl/>
        </w:rPr>
        <w:t xml:space="preserve"> בְּהוּ שָׁלְטָא עַל עָלְמָא. </w:t>
      </w:r>
      <w:r w:rsidRPr="00007309">
        <w:rPr>
          <w:rFonts w:cs="Arial"/>
          <w:b/>
          <w:bCs/>
          <w:sz w:val="36"/>
          <w:szCs w:val="28"/>
          <w:vertAlign w:val="superscript"/>
          <w:rtl/>
        </w:rPr>
        <w:footnoteReference w:id="8941"/>
      </w:r>
      <w:r w:rsidRPr="00007309">
        <w:rPr>
          <w:rFonts w:cs="Arial"/>
          <w:b/>
          <w:bCs/>
          <w:sz w:val="24"/>
          <w:szCs w:val="24"/>
          <w:rtl/>
        </w:rPr>
        <w:t>תְּרֵי רַבְיָן קְבִיעָן תְּחוֹתֵהּ</w:t>
      </w:r>
      <w:r w:rsidRPr="00007309">
        <w:rPr>
          <w:rFonts w:cs="Arial" w:hint="cs"/>
          <w:b/>
          <w:bCs/>
          <w:sz w:val="24"/>
          <w:szCs w:val="24"/>
          <w:rtl/>
        </w:rPr>
        <w:t>,</w:t>
      </w:r>
      <w:r w:rsidRPr="00007309">
        <w:rPr>
          <w:rFonts w:cs="Arial"/>
          <w:b/>
          <w:bCs/>
          <w:sz w:val="24"/>
          <w:szCs w:val="24"/>
          <w:rtl/>
        </w:rPr>
        <w:t xml:space="preserve"> </w:t>
      </w:r>
      <w:r w:rsidRPr="00007309">
        <w:rPr>
          <w:rFonts w:cs="Arial"/>
          <w:b/>
          <w:bCs/>
          <w:sz w:val="36"/>
          <w:szCs w:val="28"/>
          <w:vertAlign w:val="superscript"/>
          <w:rtl/>
        </w:rPr>
        <w:footnoteReference w:id="8942"/>
      </w:r>
      <w:r w:rsidRPr="00007309">
        <w:rPr>
          <w:rFonts w:cs="Arial"/>
          <w:b/>
          <w:bCs/>
          <w:sz w:val="24"/>
          <w:szCs w:val="24"/>
          <w:rtl/>
        </w:rPr>
        <w:t xml:space="preserve">טָס בְּהוּ בִּתְרֵיסַר (נ"א בתמניסר) עָלְמִין וְאִגְנִיז תַּמָּן. </w:t>
      </w:r>
      <w:r w:rsidRPr="00007309">
        <w:rPr>
          <w:rFonts w:cs="Arial"/>
          <w:b/>
          <w:bCs/>
          <w:sz w:val="36"/>
          <w:szCs w:val="28"/>
          <w:vertAlign w:val="superscript"/>
          <w:rtl/>
        </w:rPr>
        <w:footnoteReference w:id="8943"/>
      </w:r>
      <w:r w:rsidRPr="00007309">
        <w:rPr>
          <w:rFonts w:cs="Arial"/>
          <w:b/>
          <w:bCs/>
          <w:sz w:val="24"/>
          <w:szCs w:val="24"/>
          <w:rtl/>
        </w:rPr>
        <w:t>בְּרִיךְ הוּא לְעָלַם וּלְעָלְמֵי עָלְמִין</w:t>
      </w:r>
      <w:r w:rsidRPr="00007309">
        <w:rPr>
          <w:rFonts w:cs="Arial" w:hint="cs"/>
          <w:b/>
          <w:bCs/>
          <w:sz w:val="24"/>
          <w:szCs w:val="24"/>
          <w:rtl/>
        </w:rPr>
        <w:t>,</w:t>
      </w:r>
      <w:r w:rsidRPr="00007309">
        <w:rPr>
          <w:rFonts w:cs="Arial"/>
          <w:b/>
          <w:bCs/>
          <w:sz w:val="24"/>
          <w:szCs w:val="24"/>
          <w:rtl/>
        </w:rPr>
        <w:t xml:space="preserve"> אָמֵן נֶצַח סֶלָה וָעֶד</w:t>
      </w:r>
      <w:r w:rsidRPr="00007309">
        <w:rPr>
          <w:rFonts w:cs="Arial"/>
          <w:b/>
          <w:bCs/>
          <w:sz w:val="24"/>
          <w:szCs w:val="24"/>
        </w:rPr>
        <w:t>:</w:t>
      </w:r>
      <w:r w:rsidRPr="00007309">
        <w:rPr>
          <w:rFonts w:cs="Arial" w:hint="cs"/>
          <w:b/>
          <w:bCs/>
          <w:sz w:val="24"/>
          <w:szCs w:val="24"/>
          <w:rtl/>
        </w:rPr>
        <w:t xml:space="preserve"> </w:t>
      </w:r>
    </w:p>
    <w:p w:rsidR="00007309" w:rsidRPr="00007309" w:rsidRDefault="00007309" w:rsidP="00007309">
      <w:pPr>
        <w:jc w:val="both"/>
        <w:rPr>
          <w:rFonts w:cs="Arial"/>
          <w:sz w:val="36"/>
          <w:szCs w:val="24"/>
          <w:rtl/>
        </w:rPr>
      </w:pPr>
      <w:r w:rsidRPr="00007309">
        <w:rPr>
          <w:rFonts w:cs="Arial" w:hint="cs"/>
          <w:sz w:val="36"/>
          <w:szCs w:val="24"/>
          <w:rtl/>
        </w:rPr>
        <w:t>בדפוס אמסטרדם נשלם כאן התז"ח.</w:t>
      </w:r>
    </w:p>
    <w:p w:rsidR="00007309" w:rsidRPr="00007309" w:rsidRDefault="00007309" w:rsidP="00007309">
      <w:pPr>
        <w:jc w:val="both"/>
        <w:rPr>
          <w:rFonts w:cs="Arial"/>
          <w:sz w:val="36"/>
          <w:szCs w:val="24"/>
          <w:rtl/>
        </w:rPr>
      </w:pPr>
      <w:r w:rsidRPr="00007309">
        <w:rPr>
          <w:rFonts w:cs="Arial"/>
          <w:sz w:val="36"/>
          <w:szCs w:val="24"/>
          <w:rtl/>
        </w:rPr>
        <w:t xml:space="preserve">וזה מצאתי בתז"ח דפוס ישן קראקא שנת אלי"ך אקר"א </w:t>
      </w:r>
      <w:r w:rsidRPr="00007309">
        <w:rPr>
          <w:rFonts w:cs="Arial" w:hint="cs"/>
          <w:sz w:val="36"/>
          <w:szCs w:val="24"/>
          <w:rtl/>
        </w:rPr>
        <w:t xml:space="preserve">(א.ה. שס"ג) </w:t>
      </w:r>
      <w:r w:rsidRPr="00007309">
        <w:rPr>
          <w:rFonts w:cs="Arial"/>
          <w:sz w:val="36"/>
          <w:szCs w:val="24"/>
          <w:rtl/>
        </w:rPr>
        <w:t>ובכל הדפוסים אינו.</w:t>
      </w:r>
    </w:p>
    <w:p w:rsidR="00007309" w:rsidRPr="00007309" w:rsidRDefault="00007309" w:rsidP="00007309">
      <w:pPr>
        <w:jc w:val="both"/>
        <w:rPr>
          <w:rFonts w:cs="Arial"/>
          <w:b/>
          <w:bCs/>
          <w:sz w:val="24"/>
          <w:szCs w:val="24"/>
          <w:rtl/>
        </w:rPr>
      </w:pPr>
      <w:r w:rsidRPr="00007309">
        <w:rPr>
          <w:rFonts w:cs="Arial"/>
          <w:b/>
          <w:bCs/>
          <w:sz w:val="24"/>
          <w:szCs w:val="24"/>
          <w:rtl/>
        </w:rPr>
        <w:t>מתניתין פתחין איתפתחו תרי הוו נטרין</w:t>
      </w:r>
      <w:r w:rsidRPr="00007309">
        <w:rPr>
          <w:rFonts w:cs="Arial" w:hint="cs"/>
          <w:b/>
          <w:bCs/>
          <w:sz w:val="24"/>
          <w:szCs w:val="24"/>
          <w:rtl/>
        </w:rPr>
        <w:t>,</w:t>
      </w:r>
      <w:r w:rsidRPr="00007309">
        <w:rPr>
          <w:rFonts w:cs="Arial"/>
          <w:b/>
          <w:bCs/>
          <w:sz w:val="24"/>
          <w:szCs w:val="24"/>
          <w:rtl/>
        </w:rPr>
        <w:t xml:space="preserve"> דעייל לא נפיק</w:t>
      </w:r>
      <w:r w:rsidRPr="00007309">
        <w:rPr>
          <w:rFonts w:cs="Arial" w:hint="cs"/>
          <w:b/>
          <w:bCs/>
          <w:sz w:val="24"/>
          <w:szCs w:val="24"/>
          <w:rtl/>
        </w:rPr>
        <w:t xml:space="preserve"> ודנפיק לא עייל. קמי פתחא הוו סגדן, סלקין בגויה רברבין תקיפין. סמך חד קאים בגויה. ההוא סמך </w:t>
      </w:r>
      <w:r w:rsidRPr="00007309">
        <w:rPr>
          <w:rFonts w:cs="Arial"/>
          <w:b/>
          <w:bCs/>
          <w:sz w:val="24"/>
          <w:szCs w:val="24"/>
          <w:rtl/>
        </w:rPr>
        <w:t xml:space="preserve">הֲוָה </w:t>
      </w:r>
      <w:r w:rsidRPr="00007309">
        <w:rPr>
          <w:rFonts w:cs="Arial" w:hint="cs"/>
          <w:b/>
          <w:bCs/>
          <w:sz w:val="24"/>
          <w:szCs w:val="24"/>
          <w:rtl/>
        </w:rPr>
        <w:t xml:space="preserve">סמיך ותלת גוונין </w:t>
      </w:r>
      <w:r w:rsidRPr="00007309">
        <w:rPr>
          <w:rFonts w:cs="Arial"/>
          <w:b/>
          <w:bCs/>
          <w:sz w:val="24"/>
          <w:szCs w:val="24"/>
          <w:rtl/>
        </w:rPr>
        <w:t xml:space="preserve">הֲוָה </w:t>
      </w:r>
      <w:r w:rsidRPr="00007309">
        <w:rPr>
          <w:rFonts w:cs="Arial" w:hint="cs"/>
          <w:b/>
          <w:bCs/>
          <w:sz w:val="24"/>
          <w:szCs w:val="24"/>
          <w:rtl/>
        </w:rPr>
        <w:t xml:space="preserve">ביה, גוון חשוך, גוון תניינא, גוון זוהרא, ביה סלקין ונחתין כלא תאיבין למיעל בגויה ולית רשותא לכלא הוא קדמאה לבתרייתא דעלמא עליה קאים חד שלטן די גניזא באלף עלמין מניה איתבקעו כל גליפי עלמין זכאה הוא דשארי בגויה בתרי אשתקעו תרין אחין אחידא מן דא חד קבל אושפיזין והוא חיזו דחיין מאן דאכיל כפתורא קאים תדירא וחד הוא קביל אושפיזין והוא חיזו דחיין וחיזו דמייתין מאן דאכיל כפתורא נפיל וימות לית ליה שיזבא לית ליה דאחיד בידיה בתרי אשתקעו רחימין תאיבין למחמי תאיבין למקרב לון ולא משכחן לון עד אויר אזיל קריב לגבון לא בעא חולקהון קריב לההוא חיזו דחיין וחיזו דמותא אתקיף ביה אחיד בגופיה חברא דיליה </w:t>
      </w:r>
      <w:r w:rsidRPr="00007309">
        <w:rPr>
          <w:rFonts w:cs="Arial"/>
          <w:b/>
          <w:bCs/>
          <w:sz w:val="24"/>
          <w:szCs w:val="24"/>
          <w:rtl/>
        </w:rPr>
        <w:t xml:space="preserve">הֲוָה </w:t>
      </w:r>
      <w:r w:rsidRPr="00007309">
        <w:rPr>
          <w:rFonts w:cs="Arial" w:hint="cs"/>
          <w:b/>
          <w:bCs/>
          <w:sz w:val="24"/>
          <w:szCs w:val="24"/>
          <w:rtl/>
        </w:rPr>
        <w:t xml:space="preserve">קריב ושמת סכין וגו' לא אצית ולא ארכין אודניה עד דנפיל ומת ברבים אלין נפק חד מתקאואיתפלג לד' וכל חכמתא נפיק מההוא רבא ויקירא שבען כל אינון רחימין ותאיבין למחמי ואינון תרין אחין דאחידן דא בדא בתרוהי תרין רביין עולמין ינוקין ושננא דסייפא דמלהטא אשייא ביניהון נטרין אורחין ושבילין דלא ייעול חד ולא ייפוק חד בר ההוא דלא אכיל ולא שתי איתבריאו קמי עלמא דין מכאן ולהלן אישתכללו על סטרוי דעלמא שורייא אחרא סטרוי דשמאלא סטר דנפלין שרידין אמצרייא </w:t>
      </w:r>
      <w:r w:rsidRPr="00007309">
        <w:rPr>
          <w:rFonts w:cs="Arial"/>
          <w:b/>
          <w:bCs/>
          <w:sz w:val="24"/>
          <w:szCs w:val="24"/>
          <w:rtl/>
        </w:rPr>
        <w:t xml:space="preserve">הֲוָה </w:t>
      </w:r>
      <w:r w:rsidRPr="00007309">
        <w:rPr>
          <w:rFonts w:cs="Arial" w:hint="cs"/>
          <w:b/>
          <w:bCs/>
          <w:sz w:val="24"/>
          <w:szCs w:val="24"/>
          <w:rtl/>
        </w:rPr>
        <w:t>דליק יממין ולילין לדמא קמה למארי רוחא דאזלין לשמאלא בי' איתנודדן עד עדן עידנין אלין אינון ימינא ושמאלא אקדימו לבתרייתא דעלמא ולבתר זוייתהון דארעא. ע"כ:</w:t>
      </w:r>
    </w:p>
    <w:p w:rsidR="00007309" w:rsidRPr="00007309" w:rsidRDefault="00007309" w:rsidP="00007309">
      <w:pPr>
        <w:jc w:val="center"/>
        <w:rPr>
          <w:rFonts w:cs="Arial"/>
          <w:b/>
          <w:bCs/>
          <w:sz w:val="36"/>
          <w:szCs w:val="28"/>
        </w:rPr>
      </w:pPr>
      <w:r w:rsidRPr="00007309">
        <w:rPr>
          <w:rFonts w:cs="Arial"/>
          <w:b/>
          <w:bCs/>
          <w:sz w:val="36"/>
          <w:szCs w:val="28"/>
          <w:rtl/>
        </w:rPr>
        <w:t>תם ונשלם - שבח לאל בורא עולם</w:t>
      </w:r>
      <w:r w:rsidRPr="00007309">
        <w:rPr>
          <w:rFonts w:cs="Arial"/>
          <w:b/>
          <w:bCs/>
          <w:sz w:val="36"/>
          <w:szCs w:val="28"/>
        </w:rPr>
        <w:t>:</w:t>
      </w:r>
    </w:p>
    <w:p w:rsidR="00007309" w:rsidRPr="00007309" w:rsidRDefault="00007309" w:rsidP="00007309">
      <w:pPr>
        <w:keepNext/>
        <w:spacing w:before="240" w:after="60"/>
        <w:outlineLvl w:val="0"/>
        <w:rPr>
          <w:rFonts w:ascii="Cambria" w:hAnsi="Cambria" w:cs="Times New Roman"/>
          <w:b/>
          <w:bCs/>
          <w:snapToGrid w:val="0"/>
          <w:kern w:val="32"/>
          <w:sz w:val="32"/>
          <w:szCs w:val="32"/>
          <w:rtl/>
          <w:lang w:eastAsia="he-IL"/>
        </w:rPr>
      </w:pPr>
      <w:r w:rsidRPr="00007309">
        <w:rPr>
          <w:rFonts w:ascii="Cambria" w:hAnsi="Cambria" w:cs="Times New Roman"/>
          <w:b/>
          <w:bCs/>
          <w:snapToGrid w:val="0"/>
          <w:kern w:val="32"/>
          <w:sz w:val="32"/>
          <w:szCs w:val="32"/>
          <w:rtl/>
          <w:lang w:eastAsia="he-IL"/>
        </w:rPr>
        <w:t>מַאֲמָר קַו הַמִּדָּה</w:t>
      </w:r>
      <w:r w:rsidRPr="00007309">
        <w:rPr>
          <w:rFonts w:ascii="Cambria" w:hAnsi="Cambria" w:cs="Times New Roman" w:hint="cs"/>
          <w:b/>
          <w:bCs/>
          <w:snapToGrid w:val="0"/>
          <w:kern w:val="32"/>
          <w:sz w:val="32"/>
          <w:szCs w:val="32"/>
          <w:rtl/>
          <w:lang w:eastAsia="he-IL"/>
        </w:rPr>
        <w:t xml:space="preserve">, זהר חדש, </w:t>
      </w:r>
      <w:r w:rsidRPr="00007309">
        <w:rPr>
          <w:rFonts w:ascii="Cambria" w:hAnsi="Cambria" w:cs="Times New Roman"/>
          <w:b/>
          <w:bCs/>
          <w:snapToGrid w:val="0"/>
          <w:kern w:val="32"/>
          <w:sz w:val="32"/>
          <w:szCs w:val="32"/>
          <w:rtl/>
          <w:lang w:eastAsia="he-IL"/>
        </w:rPr>
        <w:t>פָּרָשַׁת וָאֶתְחַנַּן</w:t>
      </w:r>
      <w:r w:rsidRPr="00007309">
        <w:rPr>
          <w:rFonts w:ascii="Cambria" w:hAnsi="Cambria" w:cs="Times New Roman" w:hint="cs"/>
          <w:b/>
          <w:bCs/>
          <w:snapToGrid w:val="0"/>
          <w:kern w:val="32"/>
          <w:sz w:val="32"/>
          <w:szCs w:val="32"/>
          <w:rtl/>
          <w:lang w:eastAsia="he-IL"/>
        </w:rPr>
        <w:t>.</w:t>
      </w:r>
    </w:p>
    <w:p w:rsidR="00007309" w:rsidRPr="00007309" w:rsidRDefault="00007309" w:rsidP="00007309">
      <w:pPr>
        <w:widowControl w:val="0"/>
        <w:jc w:val="both"/>
        <w:rPr>
          <w:rFonts w:ascii="Arial" w:hAnsi="Arial" w:cs="Arial"/>
          <w:snapToGrid w:val="0"/>
          <w:sz w:val="24"/>
          <w:szCs w:val="24"/>
          <w:rtl/>
          <w:lang w:eastAsia="he-IL"/>
        </w:rPr>
      </w:pPr>
      <w:r w:rsidRPr="00007309">
        <w:rPr>
          <w:rFonts w:ascii="Arial" w:hAnsi="Arial" w:cs="Arial"/>
          <w:snapToGrid w:val="0"/>
          <w:sz w:val="24"/>
          <w:szCs w:val="24"/>
          <w:rtl/>
          <w:lang w:eastAsia="he-IL"/>
        </w:rPr>
        <w:t>ביאור הגר"א לקוח מתיקונים מזהר חדש דף עט ע"א (דף יח דפוס וילנא).</w:t>
      </w:r>
    </w:p>
    <w:p w:rsidR="00007309" w:rsidRPr="00007309" w:rsidRDefault="00007309" w:rsidP="00007309">
      <w:pPr>
        <w:widowControl w:val="0"/>
        <w:jc w:val="both"/>
        <w:rPr>
          <w:rFonts w:cs="David"/>
          <w:snapToGrid w:val="0"/>
          <w:sz w:val="24"/>
          <w:szCs w:val="24"/>
          <w:rtl/>
          <w:lang w:eastAsia="he-IL"/>
        </w:rPr>
      </w:pPr>
      <w:r w:rsidRPr="00007309">
        <w:rPr>
          <w:rFonts w:cs="David" w:hint="cs"/>
          <w:snapToGrid w:val="0"/>
          <w:sz w:val="24"/>
          <w:szCs w:val="24"/>
          <w:rtl/>
          <w:lang w:eastAsia="he-IL"/>
        </w:rPr>
        <w:t>הבאנו בתוכו גם את קטע הזהר מפ' נח, וכן את הקטע הדומה מפ' פקודי, ע"פ גירסת הגר"א.</w:t>
      </w:r>
    </w:p>
    <w:p w:rsidR="00007309" w:rsidRPr="00007309" w:rsidRDefault="00007309" w:rsidP="00007309">
      <w:pPr>
        <w:widowControl w:val="0"/>
        <w:jc w:val="both"/>
        <w:rPr>
          <w:rFonts w:cs="David"/>
          <w:snapToGrid w:val="0"/>
          <w:sz w:val="24"/>
          <w:szCs w:val="24"/>
          <w:rtl/>
          <w:lang w:eastAsia="he-IL"/>
        </w:rPr>
      </w:pP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אָמַר רִבִּי שִׁמְעוֹן, עַד הָכָא לָא הֲווֹ חַבְרַיָיא יָדְעֵי רָזָא דְּגוֹ יִחוּדָא. אָמַר רִבִּי אֶלְעָזָר, כָּל קְרָאִין דְּאוֹרַיְיתָא רָזִין סְתִימִין עִילָּאִין אִינוּן, וְהַאי קְרָא מַאי אִיהוּ.</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פָּתַח וַאֲמַר, שְׁמַע יִשְׂרָאֵל ה' אֱלֹהֵינוּ ה' אֶחָד. הַאי קְרָא, אַף עַל גַּב דְּכַמָּה סִטְרִין דָּרִישְׁנָא בֵּיהּ, רָזָא דְּיִיחוּדָא דְּבֵיהּ סְתִימָא מֵעָיְינִין, לִבָּא אָטֵים הוּא מִנֵּיהּ, דְּכַמָּה חַכִּימִין טְרִישִׁין דְּלִבָּא לָעָאן, וְלָא יָדְעִין, וְלָא אִדְבָּקִין. סְתִים מֵחֵיזוּ עֵינֵיהוֹן, וּמְסוּכְלְתָנוֹ לִבֵּיהוֹן. תָּא חֲזֵי, בְּרָזָא דְּיִיחוּדָא אַתְוָון טְמִירִין, שׁוּרִין וְתֵיבִין גְּלִיפִין בְּקִיּוּמַיְיהוּ.</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שְׁמַע, שְׁמָא דְרָזָא דְיִיחוּדָא, גּוֹ טְמִירָא עִילָּאָה סְתִים, וְגַלְיָא גוֹ גְּלִיפֵי טְמִירִין, לְסַלְקָא בְדַרְגּוֹי לְאִשְׁתַּלָּמָא לְעֵילָא. שְׁמַע, בֵּיהּ תַּלְיָיא שֵׁ"ם, בֵּיהּ תַּלְיָיא שְׁמִיעָה. שֵׁם, כְּמָה דְאַתְּ אָמֵר (ש"ב ו ב) אֲשֶׁר נִקְרָא שֵׁם. ע', אַשְׁגָּחוּתָא דְּרֵישׁ שַׁתָּא וְעַד סְיָיפָא שַׁתָּא.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ע' טוֹבָה לְאִסְתַּכָּלָא בֵּיהּ. בְּגִין דְּאִית עַיִן טוֹבָה וְעַיִן רָעָה. עַיִן טוֹבָה, מִסִּטְרָא דְּיָמִינָא. עַיִן רָעָה מִסִּטְרָא דִשְׂמָאלָא. עַיִן טוֹבָה, הַיְינוּ רָזָא דִּרְשִׁים בֵּיהּ יִשְׂרָאֵל, דִּכְתִיב שְׁמַע יִשְׂרָאֵל, יִשְׂרָאֵל סָבָא. וְאוֹקְמוּהָ, דְּהָכָא יִשְׂרָאֵל סָבָא.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וּמַאן דַּאֲמַר יִשְׂרָאֵל זוּטָא, כֹּלָּא חַד. יִשְׂרָאֵל זוּטָא שַׁפִּיר, דְּעַיִן סְמִיךְ בֵּיהּ. וּמַאן אִיהוּ. דִּכְתִיב לֹא יִגְרַע מִצַּדִּיק עֵינָיו. וְדָא ו' זְעִירָא. ו' עִילָּאָה, ו' זְעִירָא כֹּלָּא חַד. ו' זְעִירָא, מַבּוּעָא דְבֵירָא דְּלָא אַפְסֵיק מִנֵּיהּ לְעָלְמִין.</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עַד הָכָא אִתְפָּרְשׁוּ אוֹרְחִין גְּלִיפִין בְּרָזָא דָא. מִכָּאן וּלְהָלְאָה, רָזֵי דְרָזִין דְּיִיחוּדָא שְׁלִים, כִּדְקָא חָזֵי שִׁיעוּרָא דְּלֵיהּ שִׁיעוּרָא לְמֶיעְבַּד מְדִידִין וְשִׁיעוּרִין לְסִטְרִין כֻּלְהוּ.</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vertAlign w:val="superscript"/>
          <w:rtl/>
          <w:lang w:eastAsia="he-IL"/>
        </w:rPr>
        <w:footnoteReference w:id="8944"/>
      </w:r>
      <w:r w:rsidRPr="00007309">
        <w:rPr>
          <w:rFonts w:cs="David"/>
          <w:snapToGrid w:val="0"/>
          <w:sz w:val="24"/>
          <w:szCs w:val="24"/>
          <w:rtl/>
          <w:lang w:eastAsia="he-IL"/>
        </w:rPr>
        <w:t>יהוה אֱלֹהֵינוּ יהוה. רָזָא דְּאַרְבֵּיסַר אַתְוָון. תְּלַת שְׁמָהָן פְּנִימָאִין, כְּלָלָא דְּכֹלָּא. רָזָא חָדָא, עֵילָא אֶמְצָעִיתָא וְתַתָּא. הָכָא כְּלָלָא דְּכָל סִטְרִין, מֵאֲתַר דְּלֵית בֵּיהּ שִׁיעוּרָא דְּאִקְרֵי אֵין סוֹף, עַד סְיָיפֵי סִטְרָא בַּתְרָאָה תַּתָּאָה לְכָל דַּרְגִּין.</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חַד לְעֵילָא, אֲתַר דְּשִׁירוּתָא, דְּמִתַּמָּן נָפְקִין שְׁבִילִין לְכָל סִטְרִין. חַד בְּאֶמְצָעִיתָא רָזָא דְמשֶׁה אַכְלֵיל גַּרְמֵיהּ בֵּיהּ בְּגוֹ אַבְרָהָם וְיִצְחָק. חַד כְּלָלָא דְּדָוִד מַלְכָּא. תִּיקּוּנָא וְסַמְכָא חַד לְכֻלְהוּ.</w:t>
      </w:r>
    </w:p>
    <w:p w:rsidR="00007309" w:rsidRPr="00007309" w:rsidRDefault="00007309" w:rsidP="00007309">
      <w:pPr>
        <w:keepNext/>
        <w:spacing w:before="240" w:after="60"/>
        <w:outlineLvl w:val="1"/>
        <w:rPr>
          <w:rFonts w:ascii="Cambria" w:hAnsi="Cambria" w:cs="Times New Roman"/>
          <w:b/>
          <w:bCs/>
          <w:i/>
          <w:iCs/>
          <w:snapToGrid w:val="0"/>
          <w:sz w:val="28"/>
          <w:szCs w:val="28"/>
          <w:rtl/>
          <w:lang w:eastAsia="he-IL"/>
        </w:rPr>
      </w:pPr>
      <w:r w:rsidRPr="00007309">
        <w:rPr>
          <w:rFonts w:ascii="Cambria" w:hAnsi="Cambria" w:cs="Times New Roman" w:hint="cs"/>
          <w:b/>
          <w:bCs/>
          <w:i/>
          <w:iCs/>
          <w:snapToGrid w:val="0"/>
          <w:sz w:val="28"/>
          <w:szCs w:val="28"/>
          <w:rtl/>
          <w:lang w:eastAsia="he-IL"/>
        </w:rPr>
        <w:t>[מאמר 'קו המדה', זהר חדש דף ע ע"א]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vertAlign w:val="superscript"/>
          <w:rtl/>
          <w:lang w:eastAsia="he-IL"/>
        </w:rPr>
        <w:footnoteReference w:id="8945"/>
      </w:r>
      <w:r w:rsidRPr="00007309">
        <w:rPr>
          <w:rFonts w:cs="David"/>
          <w:snapToGrid w:val="0"/>
          <w:sz w:val="24"/>
          <w:szCs w:val="24"/>
          <w:rtl/>
          <w:lang w:eastAsia="he-IL"/>
        </w:rPr>
        <w:t xml:space="preserve">וְכַד מִתְחַבְּרָן אַתְוָון דִּמְהֵימְנוּתָא, אִתְגַּלְּיָין בְּחִבּוּרָא וְקִישּׁוּרָא דְּכֹלָּא. תְּרֵין עָלְמִין, עִילָּאָה וְתַתָּאָה. עִילָּאָה סָלְקָא </w:t>
      </w:r>
      <w:r w:rsidRPr="00007309">
        <w:rPr>
          <w:rFonts w:cs="David"/>
          <w:snapToGrid w:val="0"/>
          <w:sz w:val="24"/>
          <w:szCs w:val="24"/>
          <w:vertAlign w:val="superscript"/>
          <w:rtl/>
          <w:lang w:eastAsia="he-IL"/>
        </w:rPr>
        <w:footnoteReference w:id="8946"/>
      </w:r>
      <w:r w:rsidRPr="00007309">
        <w:rPr>
          <w:rFonts w:cs="David"/>
          <w:snapToGrid w:val="0"/>
          <w:sz w:val="24"/>
          <w:szCs w:val="24"/>
          <w:rtl/>
          <w:lang w:eastAsia="he-IL"/>
        </w:rPr>
        <w:t>עַד דְּלֵית שִׁיעוּרָא (דף ע ע"א) וְאֵין סוֹף. תַּתָּאָה נָחֲתָא. בְּשִׁעוּרָא עַד סוֹף דְּכָל דַּרְגִּין.</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עָלְמָא עִילָּאָה דְּמִתְקַשְּׁרָא וְסָלְקָא עַד אֵין סוֹף, פָּלֵיג אַתְוֵוי בְּדַרְגּוֹי, שְׁבַע אַתְוָון, יהו"ה אל"ה. עַד כָּאן רָזָא דְעָלְמָא עִילָּאָה, דְּמִתְקַשְּׁרָא וְסָלְקָא עַד אֵין סוֹף, וְּאִתְפְּלִיג בְּאַתְוֵוי שִׁבְעָה. עַלְמָא תַּתָּאָה, דְּמִתְקַשְּׁרָא בֵּיהּ, וְנָחֲתָא עַד סוֹף דְּכָל דַּרְגִּין, פָּלֵיג אַתְוֵוי בְּדַרְגּוֹי שְׁבַע אַתְוָון, ינ"ו יהו"ה. תְּלַת אַתְוָון עִילָּאִין, בְּאַרְבַּע אִלֵּין, רָזָא חָדָא, חִבּוּרָא וְקִשּׁוּרָא חָדָא, דְּלֵית בְּהוּ פֵּירוּדָא. וּבְגִין כָּךְ לְאַרְבֵּיסַר אַתְוָון שִׁבְעָה וְשִׁבְעָה, וְכֹלָּא חָד.</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אֶחָד, וְאוֹקְמוּהָ דלי"ת עִילָּאָה וְרַב עַל שְׁאָר אַתְוָון. וְכֵן רֵי"ש דְּאֵל אַחֵר. לְאִשְׁתְּמוֹדְעָא, דְּלָא לְאַחְלָפָא רָזָא קַדִישָׁא עִילָּאָה, וּלְאַכְלָלָא סִטְרָא אֲחֳרָא בַּהֲדֵיהּ.</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 xml:space="preserve">סִימָן עי"ן דל"ת דְּאִינוּן רַבְרְבִין, ע"ד, לְאַסְהָדָא סַהֲדוּתָא דְּרָזֵי דְרָזִין, לַאֲפָקָא מִשְׁחֲתָא חָדָא, לִמְשִׁיחוֹ דְּרָזָא דִמְהֵימְנוּתָא. וּמַאן דְּיָדַע רָזָא דָא, יָדַע רָזָא דְמָארֵיהּ </w:t>
      </w:r>
      <w:r w:rsidRPr="00007309">
        <w:rPr>
          <w:rFonts w:cs="David"/>
          <w:snapToGrid w:val="0"/>
          <w:sz w:val="24"/>
          <w:szCs w:val="24"/>
          <w:vertAlign w:val="superscript"/>
          <w:rtl/>
          <w:lang w:eastAsia="he-IL"/>
        </w:rPr>
        <w:footnoteReference w:id="8947"/>
      </w:r>
      <w:r w:rsidRPr="00007309">
        <w:rPr>
          <w:rFonts w:cs="David"/>
          <w:snapToGrid w:val="0"/>
          <w:sz w:val="24"/>
          <w:szCs w:val="24"/>
          <w:rtl/>
          <w:lang w:eastAsia="he-IL"/>
        </w:rPr>
        <w:t>וְאַחְסֵין תְּרֵין עָלְמִין, עַלְמָא דָא וְעַלְמָא דְאָתֵי. וּמִשְׁחֲתָא אִקְרֵי קַו הַמִּדָּה.</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וְדָא אִתְיְיהִיב לְחַכִּימֵי עֶלְיוֹנִים קַדִּישִׁין, דְּיָדְעִין רָזָא דְמָארֵיהוֹן וּמִשְׁתַּדְּלֵי בִּיקָרֵיהּ. וְלָא אִתְיְיהִיב לְחַיָּיבֵי עָלְמָא, דְּלָא יָדְעֵי וְלָא חַיְישֵׁי לִיקָרָא דְמָארֵיהוֹן. וְאִינוּן זַכָּאֵי קְשׁוֹט דִּי בְהוֹ רָזָא דִמְהֵימְנוּתָא עִילָּאָה, לְהוֹ אִתְיְהִיב לְמִנְדַע וּלְאִסְתַּכָּלָא, בְּגִין דְּלָא סָטָאן יָמִינָא וּשְׂמָאלָא.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vertAlign w:val="superscript"/>
          <w:rtl/>
          <w:lang w:eastAsia="he-IL"/>
        </w:rPr>
        <w:footnoteReference w:id="8948"/>
      </w:r>
      <w:r w:rsidRPr="00007309">
        <w:rPr>
          <w:rFonts w:cs="David"/>
          <w:snapToGrid w:val="0"/>
          <w:sz w:val="24"/>
          <w:szCs w:val="24"/>
          <w:rtl/>
          <w:lang w:eastAsia="he-IL"/>
        </w:rPr>
        <w:t xml:space="preserve">קַו הַמִּדָּה, אוֹרֶךְ וְרוֹחַב. קַו הַמִּדָּה, עוֹמְקָא וְרוֹמָא. קַו הַמִּדָּה, עִיגּוּלָא וְרִיבּוּעָא. </w:t>
      </w:r>
      <w:r w:rsidRPr="00007309">
        <w:rPr>
          <w:rFonts w:cs="David"/>
          <w:snapToGrid w:val="0"/>
          <w:sz w:val="24"/>
          <w:szCs w:val="24"/>
          <w:vertAlign w:val="superscript"/>
          <w:rtl/>
          <w:lang w:eastAsia="he-IL"/>
        </w:rPr>
        <w:footnoteReference w:id="8949"/>
      </w:r>
      <w:r w:rsidRPr="00007309">
        <w:rPr>
          <w:rFonts w:cs="David"/>
          <w:snapToGrid w:val="0"/>
          <w:sz w:val="24"/>
          <w:szCs w:val="24"/>
          <w:rtl/>
          <w:lang w:eastAsia="he-IL"/>
        </w:rPr>
        <w:t xml:space="preserve">בִּתְלֵיסַר תַּרְעִין קָיְימָא לְמִנְדַע. </w:t>
      </w:r>
      <w:r w:rsidRPr="00007309">
        <w:rPr>
          <w:rFonts w:cs="David"/>
          <w:snapToGrid w:val="0"/>
          <w:sz w:val="24"/>
          <w:szCs w:val="24"/>
          <w:vertAlign w:val="superscript"/>
          <w:rtl/>
          <w:lang w:eastAsia="he-IL"/>
        </w:rPr>
        <w:footnoteReference w:id="8950"/>
      </w:r>
      <w:r w:rsidRPr="00007309">
        <w:rPr>
          <w:rFonts w:cs="David"/>
          <w:snapToGrid w:val="0"/>
          <w:sz w:val="24"/>
          <w:szCs w:val="24"/>
          <w:rtl/>
          <w:lang w:eastAsia="he-IL"/>
        </w:rPr>
        <w:t>וְאִינוּן שִׁיתָּא וְעֶשְׂרִין לִתְרֵין סִטְרִין, כַּד מִתְגַּלְּפֵי בְּגִילוּפַיְיהוּ. כֹּלָּא חַד בְּמִשְׁחֲתָא דָא. קַו הַמִּדָּה סָלְקָא וְנָחֲתָא, אִתְגְּלִיף בִּגְלִיפוֹי לְכָל סִטְרִין.</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vertAlign w:val="superscript"/>
          <w:rtl/>
          <w:lang w:eastAsia="he-IL"/>
        </w:rPr>
        <w:footnoteReference w:id="8951"/>
      </w:r>
      <w:r w:rsidRPr="00007309">
        <w:rPr>
          <w:rFonts w:cs="David"/>
          <w:snapToGrid w:val="0"/>
          <w:sz w:val="24"/>
          <w:szCs w:val="24"/>
          <w:rtl/>
          <w:lang w:eastAsia="he-IL"/>
        </w:rPr>
        <w:t xml:space="preserve">נְהוֹרָא דְלָא קָיְימָא בִּנְהוֹרָא, </w:t>
      </w:r>
      <w:r w:rsidRPr="00007309">
        <w:rPr>
          <w:rFonts w:cs="David"/>
          <w:snapToGrid w:val="0"/>
          <w:sz w:val="24"/>
          <w:szCs w:val="24"/>
          <w:vertAlign w:val="superscript"/>
          <w:rtl/>
          <w:lang w:eastAsia="he-IL"/>
        </w:rPr>
        <w:footnoteReference w:id="8952"/>
      </w:r>
      <w:r w:rsidRPr="00007309">
        <w:rPr>
          <w:rFonts w:cs="David"/>
          <w:snapToGrid w:val="0"/>
          <w:sz w:val="24"/>
          <w:szCs w:val="24"/>
          <w:rtl/>
          <w:lang w:eastAsia="he-IL"/>
        </w:rPr>
        <w:t xml:space="preserve">גָּלֵיף, </w:t>
      </w:r>
      <w:r w:rsidRPr="00007309">
        <w:rPr>
          <w:rFonts w:cs="David"/>
          <w:snapToGrid w:val="0"/>
          <w:sz w:val="24"/>
          <w:szCs w:val="24"/>
          <w:vertAlign w:val="superscript"/>
          <w:rtl/>
          <w:lang w:eastAsia="he-IL"/>
        </w:rPr>
        <w:footnoteReference w:id="8953"/>
      </w:r>
      <w:r w:rsidRPr="00007309">
        <w:rPr>
          <w:rFonts w:cs="David"/>
          <w:snapToGrid w:val="0"/>
          <w:sz w:val="24"/>
          <w:szCs w:val="24"/>
          <w:rtl/>
          <w:lang w:eastAsia="he-IL"/>
        </w:rPr>
        <w:t xml:space="preserve">וּנְפֵיק </w:t>
      </w:r>
      <w:r w:rsidRPr="00007309">
        <w:rPr>
          <w:rFonts w:cs="David"/>
          <w:snapToGrid w:val="0"/>
          <w:sz w:val="24"/>
          <w:szCs w:val="24"/>
          <w:vertAlign w:val="superscript"/>
          <w:rtl/>
          <w:lang w:eastAsia="he-IL"/>
        </w:rPr>
        <w:footnoteReference w:id="8954"/>
      </w:r>
      <w:r w:rsidRPr="00007309">
        <w:rPr>
          <w:rFonts w:cs="David"/>
          <w:snapToGrid w:val="0"/>
          <w:sz w:val="24"/>
          <w:szCs w:val="24"/>
          <w:rtl/>
          <w:lang w:eastAsia="he-IL"/>
        </w:rPr>
        <w:t xml:space="preserve">נְצִיצוּ דְכָל נִצּוֹצִין, </w:t>
      </w:r>
      <w:r w:rsidRPr="00007309">
        <w:rPr>
          <w:rFonts w:cs="David"/>
          <w:snapToGrid w:val="0"/>
          <w:sz w:val="24"/>
          <w:szCs w:val="24"/>
          <w:vertAlign w:val="superscript"/>
          <w:rtl/>
          <w:lang w:eastAsia="he-IL"/>
        </w:rPr>
        <w:footnoteReference w:id="8955"/>
      </w:r>
      <w:r w:rsidRPr="00007309">
        <w:rPr>
          <w:rFonts w:cs="David"/>
          <w:snapToGrid w:val="0"/>
          <w:sz w:val="24"/>
          <w:szCs w:val="24"/>
          <w:rtl/>
          <w:lang w:eastAsia="he-IL"/>
        </w:rPr>
        <w:t>וּבָטַשׁ גּוֹ רַעֲוָא דְּרַעֲוָון, וְאִתְטַמַּר בֵּיהּ, וְלָא יְדִיעַ.</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בְּזִמְנָא דְרַעֲוָא דָא בָּעָא לְאִתְפַּשְּׁטָא, נְפֵיק הַאי נְצִיצוּ דְּטָמִיר גּוֹ הַאי רְעוּתָא, בְּגִין דְּאִתְחֲזֵי, וְלָא אִתְחֲזֵי לְאִתְקַיְימָא כְּגַוְונָא דָא.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vertAlign w:val="superscript"/>
          <w:rtl/>
          <w:lang w:eastAsia="he-IL"/>
        </w:rPr>
        <w:footnoteReference w:id="8956"/>
      </w:r>
      <w:r w:rsidRPr="00007309">
        <w:rPr>
          <w:rFonts w:cs="David"/>
          <w:snapToGrid w:val="0"/>
          <w:sz w:val="24"/>
          <w:szCs w:val="24"/>
          <w:rtl/>
          <w:lang w:eastAsia="he-IL"/>
        </w:rPr>
        <w:t xml:space="preserve">כַּד אִתְפַּשַּׁט רְעוּתָא דָא, בָּטַשׁ הַאי נְצִיצוּ, דְּאַחֲזֵי גַוָּון וְלָא גַוָון, וְעָאל בְּהַהוּא אִתְפַּשְׁטוּתָא, </w:t>
      </w:r>
      <w:r w:rsidRPr="00007309">
        <w:rPr>
          <w:rFonts w:cs="David"/>
          <w:snapToGrid w:val="0"/>
          <w:sz w:val="24"/>
          <w:szCs w:val="24"/>
          <w:vertAlign w:val="superscript"/>
          <w:rtl/>
          <w:lang w:eastAsia="he-IL"/>
        </w:rPr>
        <w:footnoteReference w:id="8957"/>
      </w:r>
      <w:r w:rsidRPr="00007309">
        <w:rPr>
          <w:rFonts w:cs="David"/>
          <w:snapToGrid w:val="0"/>
          <w:sz w:val="24"/>
          <w:szCs w:val="24"/>
          <w:rtl/>
          <w:lang w:eastAsia="he-IL"/>
        </w:rPr>
        <w:t xml:space="preserve">וּנְפַק בִּגְוָונוֹי, </w:t>
      </w:r>
      <w:r w:rsidRPr="00007309">
        <w:rPr>
          <w:rFonts w:cs="David"/>
          <w:snapToGrid w:val="0"/>
          <w:sz w:val="24"/>
          <w:szCs w:val="24"/>
          <w:vertAlign w:val="superscript"/>
          <w:rtl/>
          <w:lang w:eastAsia="he-IL"/>
        </w:rPr>
        <w:footnoteReference w:id="8958"/>
      </w:r>
      <w:r w:rsidRPr="00007309">
        <w:rPr>
          <w:rFonts w:cs="David"/>
          <w:snapToGrid w:val="0"/>
          <w:sz w:val="24"/>
          <w:szCs w:val="24"/>
          <w:rtl/>
          <w:lang w:eastAsia="he-IL"/>
        </w:rPr>
        <w:t>וְסָלְקָא, וְקָיְימָא בִּסְלִיקוּ גוֹ רְעוּתָא וְאִתְפַּשְׁטוּתָא.</w:t>
      </w:r>
      <w:r w:rsidRPr="00007309">
        <w:rPr>
          <w:rFonts w:cs="David" w:hint="cs"/>
          <w:snapToGrid w:val="0"/>
          <w:sz w:val="24"/>
          <w:szCs w:val="24"/>
          <w:rtl/>
          <w:lang w:eastAsia="he-IL"/>
        </w:rPr>
        <w:t xml:space="preserve"> </w:t>
      </w:r>
    </w:p>
    <w:p w:rsidR="00007309" w:rsidRPr="00007309" w:rsidRDefault="00007309" w:rsidP="00007309">
      <w:pPr>
        <w:widowControl w:val="0"/>
        <w:jc w:val="both"/>
        <w:rPr>
          <w:rFonts w:ascii="Arial" w:hAnsi="Arial" w:cs="Arial"/>
          <w:snapToGrid w:val="0"/>
          <w:sz w:val="24"/>
          <w:szCs w:val="24"/>
          <w:rtl/>
          <w:lang w:eastAsia="he-IL"/>
        </w:rPr>
      </w:pPr>
      <w:r w:rsidRPr="00007309">
        <w:rPr>
          <w:rFonts w:ascii="Arial" w:hAnsi="Arial" w:cs="Arial"/>
          <w:snapToGrid w:val="0"/>
          <w:sz w:val="24"/>
          <w:szCs w:val="24"/>
          <w:rtl/>
          <w:lang w:eastAsia="he-IL"/>
        </w:rPr>
        <w:t>[ג.פ. ע"פ ביאור הגר"א, הבאנו כאן קטע מפ' נח].</w:t>
      </w:r>
    </w:p>
    <w:p w:rsidR="00007309" w:rsidRPr="00007309" w:rsidRDefault="00007309" w:rsidP="00007309">
      <w:pPr>
        <w:keepNext/>
        <w:spacing w:before="240" w:after="60"/>
        <w:outlineLvl w:val="2"/>
        <w:rPr>
          <w:rFonts w:ascii="Cambria" w:hAnsi="Cambria" w:cs="Times New Roman"/>
          <w:b/>
          <w:bCs/>
          <w:snapToGrid w:val="0"/>
          <w:sz w:val="26"/>
          <w:szCs w:val="26"/>
          <w:rtl/>
          <w:lang w:eastAsia="he-IL"/>
        </w:rPr>
      </w:pPr>
      <w:r w:rsidRPr="00007309">
        <w:rPr>
          <w:rFonts w:ascii="Cambria" w:hAnsi="Cambria" w:cs="Times New Roman" w:hint="cs"/>
          <w:b/>
          <w:bCs/>
          <w:snapToGrid w:val="0"/>
          <w:sz w:val="26"/>
          <w:szCs w:val="26"/>
          <w:rtl/>
          <w:lang w:eastAsia="he-IL"/>
        </w:rPr>
        <w:t>זהר, פרשת נח, דף סה ע"א</w:t>
      </w:r>
    </w:p>
    <w:p w:rsidR="00007309" w:rsidRPr="00007309" w:rsidRDefault="00007309" w:rsidP="00007309">
      <w:pPr>
        <w:widowControl w:val="0"/>
        <w:jc w:val="both"/>
        <w:rPr>
          <w:rFonts w:cs="David"/>
          <w:snapToGrid w:val="0"/>
          <w:sz w:val="24"/>
          <w:szCs w:val="24"/>
          <w:lang w:eastAsia="he-IL"/>
        </w:rPr>
      </w:pPr>
      <w:r w:rsidRPr="00007309">
        <w:rPr>
          <w:rFonts w:cs="David"/>
          <w:snapToGrid w:val="0"/>
          <w:sz w:val="24"/>
          <w:szCs w:val="24"/>
          <w:rtl/>
          <w:lang w:eastAsia="he-IL"/>
        </w:rPr>
        <w:t>אָמַר רַבִּי שִׁמְעוֹן אֲרֵימַת יְדָאי בִּצְלוֹתִין לְעֵילָא, דְּכַד רְעוּתָא עִלָּאָה לְעֵילָא לְעֵילָא</w:t>
      </w:r>
      <w:r w:rsidRPr="00007309">
        <w:rPr>
          <w:rFonts w:cs="David" w:hint="cs"/>
          <w:snapToGrid w:val="0"/>
          <w:sz w:val="24"/>
          <w:szCs w:val="24"/>
          <w:rtl/>
          <w:lang w:eastAsia="he-IL"/>
        </w:rPr>
        <w:t>,</w:t>
      </w:r>
      <w:r w:rsidRPr="00007309">
        <w:rPr>
          <w:rFonts w:cs="David"/>
          <w:snapToGrid w:val="0"/>
          <w:sz w:val="24"/>
          <w:szCs w:val="24"/>
          <w:rtl/>
          <w:lang w:eastAsia="he-IL"/>
        </w:rPr>
        <w:t xml:space="preserve"> </w:t>
      </w:r>
      <w:r w:rsidRPr="00007309">
        <w:rPr>
          <w:rFonts w:cs="David"/>
          <w:snapToGrid w:val="0"/>
          <w:sz w:val="24"/>
          <w:szCs w:val="24"/>
          <w:vertAlign w:val="superscript"/>
          <w:rtl/>
          <w:lang w:eastAsia="he-IL"/>
        </w:rPr>
        <w:footnoteReference w:id="8959"/>
      </w:r>
      <w:r w:rsidRPr="00007309">
        <w:rPr>
          <w:rFonts w:cs="David"/>
          <w:snapToGrid w:val="0"/>
          <w:sz w:val="24"/>
          <w:szCs w:val="24"/>
          <w:rtl/>
          <w:lang w:eastAsia="he-IL"/>
        </w:rPr>
        <w:t>קָיְימָא עַל הַהוּא רְעוּתָא דְּלָא אִתְיְדָע וְלֹא אִתְפַּס כְּלַל לְעָלְמִין</w:t>
      </w:r>
      <w:r w:rsidRPr="00007309">
        <w:rPr>
          <w:rFonts w:cs="David" w:hint="cs"/>
          <w:snapToGrid w:val="0"/>
          <w:sz w:val="24"/>
          <w:szCs w:val="24"/>
          <w:rtl/>
          <w:lang w:eastAsia="he-IL"/>
        </w:rPr>
        <w:t>,</w:t>
      </w:r>
      <w:r w:rsidRPr="00007309">
        <w:rPr>
          <w:rFonts w:cs="David"/>
          <w:snapToGrid w:val="0"/>
          <w:sz w:val="24"/>
          <w:szCs w:val="24"/>
          <w:rtl/>
          <w:lang w:eastAsia="he-IL"/>
        </w:rPr>
        <w:t xml:space="preserve"> רֵישָׁא דְּסָתִים יַתִּיר לְעֵילָא. וְהַהוּא רֵישָׁא אַפִּיק מַאי דְאַפִּיק וְלָא יְדִיעַ</w:t>
      </w:r>
      <w:r w:rsidRPr="00007309">
        <w:rPr>
          <w:rFonts w:cs="David" w:hint="cs"/>
          <w:snapToGrid w:val="0"/>
          <w:sz w:val="24"/>
          <w:szCs w:val="24"/>
          <w:rtl/>
          <w:lang w:eastAsia="he-IL"/>
        </w:rPr>
        <w:t>,</w:t>
      </w:r>
      <w:r w:rsidRPr="00007309">
        <w:rPr>
          <w:rFonts w:cs="David"/>
          <w:snapToGrid w:val="0"/>
          <w:sz w:val="24"/>
          <w:szCs w:val="24"/>
          <w:rtl/>
          <w:lang w:eastAsia="he-IL"/>
        </w:rPr>
        <w:t xml:space="preserve"> וְנָהִיר מַאי דְנָהִיר כֹּלָּא בִּסְתִימוּ. </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vertAlign w:val="superscript"/>
          <w:rtl/>
          <w:lang w:eastAsia="he-IL"/>
        </w:rPr>
        <w:footnoteReference w:id="8960"/>
      </w:r>
      <w:r w:rsidRPr="00007309">
        <w:rPr>
          <w:rFonts w:cs="David"/>
          <w:snapToGrid w:val="0"/>
          <w:sz w:val="24"/>
          <w:szCs w:val="24"/>
          <w:rtl/>
          <w:lang w:eastAsia="he-IL"/>
        </w:rPr>
        <w:t xml:space="preserve">רְעוֹ דְּמַחֲשָׁבָה עִלָּאָה </w:t>
      </w:r>
      <w:r w:rsidRPr="00007309">
        <w:rPr>
          <w:rFonts w:cs="David"/>
          <w:snapToGrid w:val="0"/>
          <w:sz w:val="24"/>
          <w:szCs w:val="24"/>
          <w:vertAlign w:val="superscript"/>
          <w:rtl/>
          <w:lang w:eastAsia="he-IL"/>
        </w:rPr>
        <w:footnoteReference w:id="8961"/>
      </w:r>
      <w:r w:rsidRPr="00007309">
        <w:rPr>
          <w:rFonts w:cs="David"/>
          <w:snapToGrid w:val="0"/>
          <w:sz w:val="24"/>
          <w:szCs w:val="24"/>
          <w:rtl/>
          <w:lang w:eastAsia="he-IL"/>
        </w:rPr>
        <w:t xml:space="preserve">לְמִרְדַּף אֲבַתְרֵיהּ וּלְאִתְנְהָרָא מִנֵּיהּ. </w:t>
      </w:r>
      <w:r w:rsidRPr="00007309">
        <w:rPr>
          <w:rFonts w:cs="David"/>
          <w:snapToGrid w:val="0"/>
          <w:sz w:val="24"/>
          <w:szCs w:val="24"/>
          <w:vertAlign w:val="superscript"/>
          <w:rtl/>
          <w:lang w:eastAsia="he-IL"/>
        </w:rPr>
        <w:footnoteReference w:id="8962"/>
      </w:r>
      <w:r w:rsidRPr="00007309">
        <w:rPr>
          <w:rFonts w:cs="David"/>
          <w:snapToGrid w:val="0"/>
          <w:sz w:val="24"/>
          <w:szCs w:val="24"/>
          <w:rtl/>
          <w:lang w:eastAsia="he-IL"/>
        </w:rPr>
        <w:t xml:space="preserve">חַד פְּרִיסוּ אִתְפְּרִיס. </w:t>
      </w:r>
      <w:r w:rsidRPr="00007309">
        <w:rPr>
          <w:rFonts w:cs="David"/>
          <w:snapToGrid w:val="0"/>
          <w:sz w:val="24"/>
          <w:szCs w:val="24"/>
          <w:vertAlign w:val="superscript"/>
          <w:rtl/>
          <w:lang w:eastAsia="he-IL"/>
        </w:rPr>
        <w:footnoteReference w:id="8963"/>
      </w:r>
      <w:r w:rsidRPr="00007309">
        <w:rPr>
          <w:rFonts w:cs="David"/>
          <w:snapToGrid w:val="0"/>
          <w:sz w:val="24"/>
          <w:szCs w:val="24"/>
          <w:rtl/>
          <w:lang w:eastAsia="he-IL"/>
        </w:rPr>
        <w:t xml:space="preserve">וּמִגּוֹ הַהוּא פְּרִיסָא בִּרְדִיפוּ דְּהַהִיא מַחֲשָׁבָה עִלָּאָה מָטֵי וְלָא מָטֵי עַד הַהוּא פְּרִיסָא נָהִיר מַה דְּנָהִיר. </w:t>
      </w:r>
      <w:r w:rsidRPr="00007309">
        <w:rPr>
          <w:rFonts w:cs="David"/>
          <w:snapToGrid w:val="0"/>
          <w:sz w:val="24"/>
          <w:szCs w:val="24"/>
          <w:vertAlign w:val="superscript"/>
          <w:rtl/>
          <w:lang w:eastAsia="he-IL"/>
        </w:rPr>
        <w:footnoteReference w:id="8964"/>
      </w:r>
      <w:r w:rsidRPr="00007309">
        <w:rPr>
          <w:rFonts w:cs="David"/>
          <w:snapToGrid w:val="0"/>
          <w:sz w:val="24"/>
          <w:szCs w:val="24"/>
          <w:rtl/>
          <w:lang w:eastAsia="he-IL"/>
        </w:rPr>
        <w:t xml:space="preserve">וּכְדֵין (ס''א ההוא) אִיהוּ מַחֲשָׁבָה עִלָּאָה נָהִיר בִּנְהִירוּ (בסתימו) סָתִים דְּלָא יְדִיעַ </w:t>
      </w:r>
      <w:r w:rsidRPr="00007309">
        <w:rPr>
          <w:rFonts w:cs="David"/>
          <w:snapToGrid w:val="0"/>
          <w:sz w:val="24"/>
          <w:szCs w:val="24"/>
          <w:vertAlign w:val="superscript"/>
          <w:rtl/>
          <w:lang w:eastAsia="he-IL"/>
        </w:rPr>
        <w:footnoteReference w:id="8965"/>
      </w:r>
      <w:r w:rsidRPr="00007309">
        <w:rPr>
          <w:rFonts w:cs="David"/>
          <w:snapToGrid w:val="0"/>
          <w:sz w:val="24"/>
          <w:szCs w:val="24"/>
          <w:rtl/>
          <w:lang w:eastAsia="he-IL"/>
        </w:rPr>
        <w:t xml:space="preserve">וְהַהוּא מַחֲשָׁבָה לָא יָדַע. </w:t>
      </w:r>
      <w:r w:rsidRPr="00007309">
        <w:rPr>
          <w:rFonts w:cs="David"/>
          <w:snapToGrid w:val="0"/>
          <w:sz w:val="24"/>
          <w:szCs w:val="24"/>
          <w:vertAlign w:val="superscript"/>
          <w:rtl/>
          <w:lang w:eastAsia="he-IL"/>
        </w:rPr>
        <w:footnoteReference w:id="8966"/>
      </w:r>
      <w:r w:rsidRPr="00007309">
        <w:rPr>
          <w:rFonts w:cs="David"/>
          <w:snapToGrid w:val="0"/>
          <w:sz w:val="24"/>
          <w:szCs w:val="24"/>
          <w:rtl/>
          <w:lang w:eastAsia="he-IL"/>
        </w:rPr>
        <w:t xml:space="preserve">כְּדֵין בָּטַשׁ הַאי נְהִירוּ דְּמַחֲשָׁבָה דְּלָא אִתְיְידַע </w:t>
      </w:r>
      <w:r w:rsidRPr="00007309">
        <w:rPr>
          <w:rFonts w:cs="David"/>
          <w:snapToGrid w:val="0"/>
          <w:sz w:val="24"/>
          <w:szCs w:val="24"/>
          <w:vertAlign w:val="superscript"/>
          <w:rtl/>
          <w:lang w:eastAsia="he-IL"/>
        </w:rPr>
        <w:footnoteReference w:id="8967"/>
      </w:r>
      <w:r w:rsidRPr="00007309">
        <w:rPr>
          <w:rFonts w:cs="David"/>
          <w:snapToGrid w:val="0"/>
          <w:sz w:val="24"/>
          <w:szCs w:val="24"/>
          <w:rtl/>
          <w:lang w:eastAsia="he-IL"/>
        </w:rPr>
        <w:t xml:space="preserve">בִּנְהִירוּ דְּפַרְסָא דְּקָיְימָא דְּנָהִיר מִמַּה דְּלָא יְדִיעַ וְלָא אִתְיְידַע וְלָא אִתְגַּלְיָיא. </w:t>
      </w:r>
      <w:r w:rsidRPr="00007309">
        <w:rPr>
          <w:rFonts w:cs="David"/>
          <w:snapToGrid w:val="0"/>
          <w:sz w:val="24"/>
          <w:szCs w:val="24"/>
          <w:vertAlign w:val="superscript"/>
          <w:rtl/>
          <w:lang w:eastAsia="he-IL"/>
        </w:rPr>
        <w:footnoteReference w:id="8968"/>
      </w:r>
      <w:r w:rsidRPr="00007309">
        <w:rPr>
          <w:rFonts w:cs="David"/>
          <w:snapToGrid w:val="0"/>
          <w:sz w:val="24"/>
          <w:szCs w:val="24"/>
          <w:rtl/>
          <w:lang w:eastAsia="he-IL"/>
        </w:rPr>
        <w:t xml:space="preserve">וּכְדֵין (נ''א האי) דָּא נְהִירוּ דְּמַחֲשָׁבָה דְּלָא אִתְיְידַע בָּטַשׁ בִּנְהִירוּ דִּפְרִיסָא </w:t>
      </w:r>
      <w:r w:rsidRPr="00007309">
        <w:rPr>
          <w:rFonts w:cs="David"/>
          <w:snapToGrid w:val="0"/>
          <w:sz w:val="24"/>
          <w:szCs w:val="24"/>
          <w:vertAlign w:val="superscript"/>
          <w:rtl/>
          <w:lang w:eastAsia="he-IL"/>
        </w:rPr>
        <w:footnoteReference w:id="8969"/>
      </w:r>
      <w:r w:rsidRPr="00007309">
        <w:rPr>
          <w:rFonts w:cs="David"/>
          <w:snapToGrid w:val="0"/>
          <w:sz w:val="24"/>
          <w:szCs w:val="24"/>
          <w:rtl/>
          <w:lang w:eastAsia="he-IL"/>
        </w:rPr>
        <w:t xml:space="preserve">וְנָהֲרִין כְּחֲדָא </w:t>
      </w:r>
      <w:r w:rsidRPr="00007309">
        <w:rPr>
          <w:rFonts w:cs="David"/>
          <w:snapToGrid w:val="0"/>
          <w:sz w:val="24"/>
          <w:szCs w:val="24"/>
          <w:vertAlign w:val="superscript"/>
          <w:rtl/>
          <w:lang w:eastAsia="he-IL"/>
        </w:rPr>
        <w:footnoteReference w:id="8970"/>
      </w:r>
      <w:r w:rsidRPr="00007309">
        <w:rPr>
          <w:rFonts w:cs="David"/>
          <w:snapToGrid w:val="0"/>
          <w:sz w:val="24"/>
          <w:szCs w:val="24"/>
          <w:rtl/>
          <w:lang w:eastAsia="he-IL"/>
        </w:rPr>
        <w:t xml:space="preserve">וְאִתְעֲבִידוּ תֵּשַׁע הֵיכָלִין. </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 xml:space="preserve">וְהֵיכָלִין </w:t>
      </w:r>
      <w:r w:rsidRPr="00007309">
        <w:rPr>
          <w:rFonts w:cs="David"/>
          <w:snapToGrid w:val="0"/>
          <w:sz w:val="24"/>
          <w:szCs w:val="24"/>
          <w:vertAlign w:val="superscript"/>
          <w:rtl/>
          <w:lang w:eastAsia="he-IL"/>
        </w:rPr>
        <w:footnoteReference w:id="8971"/>
      </w:r>
      <w:r w:rsidRPr="00007309">
        <w:rPr>
          <w:rFonts w:cs="David"/>
          <w:snapToGrid w:val="0"/>
          <w:sz w:val="24"/>
          <w:szCs w:val="24"/>
          <w:rtl/>
          <w:lang w:eastAsia="he-IL"/>
        </w:rPr>
        <w:t xml:space="preserve">לָאו אִנּוּן נְהוֹרִין וְלָאו אִנּוּן רוּחִין וְלָאו אִנּוּן נִשְׁמָתִין. וְלָא אִית (איהו) מָאן דְּקָיְימָא בְּהוּ. </w:t>
      </w:r>
      <w:r w:rsidRPr="00007309">
        <w:rPr>
          <w:rFonts w:cs="David"/>
          <w:snapToGrid w:val="0"/>
          <w:sz w:val="24"/>
          <w:szCs w:val="24"/>
          <w:vertAlign w:val="superscript"/>
          <w:rtl/>
          <w:lang w:eastAsia="he-IL"/>
        </w:rPr>
        <w:footnoteReference w:id="8972"/>
      </w:r>
      <w:r w:rsidRPr="00007309">
        <w:rPr>
          <w:rFonts w:cs="David"/>
          <w:snapToGrid w:val="0"/>
          <w:sz w:val="24"/>
          <w:szCs w:val="24"/>
          <w:rtl/>
          <w:lang w:eastAsia="he-IL"/>
        </w:rPr>
        <w:t xml:space="preserve">רְעוּתָא דְּכָל תֵּשַׁע נְהוֹרִין דְּקָיְימֵי כֻּלְהוּ בְּמַחֲשָׁבָה </w:t>
      </w:r>
      <w:r w:rsidRPr="00007309">
        <w:rPr>
          <w:rFonts w:cs="David"/>
          <w:snapToGrid w:val="0"/>
          <w:sz w:val="24"/>
          <w:szCs w:val="24"/>
          <w:vertAlign w:val="superscript"/>
          <w:rtl/>
          <w:lang w:eastAsia="he-IL"/>
        </w:rPr>
        <w:footnoteReference w:id="8973"/>
      </w:r>
      <w:r w:rsidRPr="00007309">
        <w:rPr>
          <w:rFonts w:cs="David"/>
          <w:snapToGrid w:val="0"/>
          <w:sz w:val="24"/>
          <w:szCs w:val="24"/>
          <w:rtl/>
          <w:lang w:eastAsia="he-IL"/>
        </w:rPr>
        <w:t xml:space="preserve">דְּאִיהוּ חַד מִנַּיְיהוּ בְּחוּשְׁבְּנָא </w:t>
      </w:r>
      <w:r w:rsidRPr="00007309">
        <w:rPr>
          <w:rFonts w:cs="David"/>
          <w:snapToGrid w:val="0"/>
          <w:sz w:val="24"/>
          <w:szCs w:val="24"/>
          <w:vertAlign w:val="superscript"/>
          <w:rtl/>
          <w:lang w:eastAsia="he-IL"/>
        </w:rPr>
        <w:footnoteReference w:id="8974"/>
      </w:r>
      <w:r w:rsidRPr="00007309">
        <w:rPr>
          <w:rFonts w:cs="David"/>
          <w:snapToGrid w:val="0"/>
          <w:sz w:val="24"/>
          <w:szCs w:val="24"/>
          <w:rtl/>
          <w:lang w:eastAsia="he-IL"/>
        </w:rPr>
        <w:t xml:space="preserve">כֻּלְהוּ לְמִרְדַּף בַּתְרַיְיהוּ </w:t>
      </w:r>
      <w:r w:rsidRPr="00007309">
        <w:rPr>
          <w:rFonts w:cs="David"/>
          <w:snapToGrid w:val="0"/>
          <w:sz w:val="24"/>
          <w:szCs w:val="24"/>
          <w:vertAlign w:val="superscript"/>
          <w:rtl/>
          <w:lang w:eastAsia="he-IL"/>
        </w:rPr>
        <w:footnoteReference w:id="8975"/>
      </w:r>
      <w:r w:rsidRPr="00007309">
        <w:rPr>
          <w:rFonts w:cs="David"/>
          <w:snapToGrid w:val="0"/>
          <w:sz w:val="24"/>
          <w:szCs w:val="24"/>
          <w:rtl/>
          <w:lang w:eastAsia="he-IL"/>
        </w:rPr>
        <w:t xml:space="preserve">בְּשַׁעֲתָא דְּקָיְימֵי בְּמַחֲשָׁבָה </w:t>
      </w:r>
      <w:r w:rsidRPr="00007309">
        <w:rPr>
          <w:rFonts w:cs="David"/>
          <w:snapToGrid w:val="0"/>
          <w:sz w:val="24"/>
          <w:szCs w:val="24"/>
          <w:vertAlign w:val="superscript"/>
          <w:rtl/>
          <w:lang w:eastAsia="he-IL"/>
        </w:rPr>
        <w:footnoteReference w:id="8976"/>
      </w:r>
      <w:r w:rsidRPr="00007309">
        <w:rPr>
          <w:rFonts w:cs="David"/>
          <w:snapToGrid w:val="0"/>
          <w:sz w:val="24"/>
          <w:szCs w:val="24"/>
          <w:rtl/>
          <w:lang w:eastAsia="he-IL"/>
        </w:rPr>
        <w:t xml:space="preserve">וְלָא מִתְדַּבְּקָן וְלָא אִתְיְידָעוּ. </w:t>
      </w:r>
      <w:r w:rsidRPr="00007309">
        <w:rPr>
          <w:rFonts w:cs="David"/>
          <w:snapToGrid w:val="0"/>
          <w:sz w:val="24"/>
          <w:szCs w:val="24"/>
          <w:vertAlign w:val="superscript"/>
          <w:rtl/>
          <w:lang w:eastAsia="he-IL"/>
        </w:rPr>
        <w:footnoteReference w:id="8977"/>
      </w:r>
      <w:r w:rsidRPr="00007309">
        <w:rPr>
          <w:rFonts w:cs="David"/>
          <w:snapToGrid w:val="0"/>
          <w:sz w:val="24"/>
          <w:szCs w:val="24"/>
          <w:rtl/>
          <w:lang w:eastAsia="he-IL"/>
        </w:rPr>
        <w:t xml:space="preserve">וְאִלֵּין לָא קָיְימֵי לָא בִּרְעוּתָא וְלָא בְּמַחֲשָׁבָה עִלָּאָה (נ''א עלאין). </w:t>
      </w:r>
      <w:r w:rsidRPr="00007309">
        <w:rPr>
          <w:rFonts w:cs="David"/>
          <w:snapToGrid w:val="0"/>
          <w:sz w:val="24"/>
          <w:szCs w:val="24"/>
          <w:vertAlign w:val="superscript"/>
          <w:rtl/>
          <w:lang w:eastAsia="he-IL"/>
        </w:rPr>
        <w:footnoteReference w:id="8978"/>
      </w:r>
      <w:r w:rsidRPr="00007309">
        <w:rPr>
          <w:rFonts w:cs="David"/>
          <w:snapToGrid w:val="0"/>
          <w:sz w:val="24"/>
          <w:szCs w:val="24"/>
          <w:rtl/>
          <w:lang w:eastAsia="he-IL"/>
        </w:rPr>
        <w:t xml:space="preserve">תָּפְסִין בָּהּ וְלָא תָפְסִין. </w:t>
      </w:r>
      <w:r w:rsidRPr="00007309">
        <w:rPr>
          <w:rFonts w:cs="David"/>
          <w:snapToGrid w:val="0"/>
          <w:sz w:val="24"/>
          <w:szCs w:val="24"/>
          <w:vertAlign w:val="superscript"/>
          <w:rtl/>
          <w:lang w:eastAsia="he-IL"/>
        </w:rPr>
        <w:footnoteReference w:id="8979"/>
      </w:r>
      <w:r w:rsidRPr="00007309">
        <w:rPr>
          <w:rFonts w:cs="David"/>
          <w:snapToGrid w:val="0"/>
          <w:sz w:val="24"/>
          <w:szCs w:val="24"/>
          <w:rtl/>
          <w:lang w:eastAsia="he-IL"/>
        </w:rPr>
        <w:t xml:space="preserve">בְּאִלֵּין קָיְימֵי כָּל רָזֵי דִמְהֵימְנוּתָא וְכָל אִנּוּן נְהוֹרִין מֵרָזָא דְּמַחֲשָׁבָה עִלָּאָה </w:t>
      </w:r>
      <w:r w:rsidRPr="00007309">
        <w:rPr>
          <w:rFonts w:cs="David" w:hint="cs"/>
          <w:snapToGrid w:val="0"/>
          <w:sz w:val="24"/>
          <w:szCs w:val="24"/>
          <w:rtl/>
          <w:lang w:eastAsia="he-IL"/>
        </w:rPr>
        <w:t>ולעילא,</w:t>
      </w:r>
      <w:r w:rsidRPr="00007309">
        <w:rPr>
          <w:rFonts w:cs="David"/>
          <w:snapToGrid w:val="0"/>
          <w:sz w:val="24"/>
          <w:szCs w:val="24"/>
          <w:rtl/>
          <w:lang w:eastAsia="he-IL"/>
        </w:rPr>
        <w:t xml:space="preserve"> </w:t>
      </w:r>
      <w:r w:rsidRPr="00007309">
        <w:rPr>
          <w:rFonts w:cs="David"/>
          <w:snapToGrid w:val="0"/>
          <w:sz w:val="24"/>
          <w:szCs w:val="24"/>
          <w:vertAlign w:val="superscript"/>
          <w:rtl/>
          <w:lang w:eastAsia="he-IL"/>
        </w:rPr>
        <w:footnoteReference w:id="8980"/>
      </w:r>
      <w:r w:rsidRPr="00007309">
        <w:rPr>
          <w:rFonts w:cs="David"/>
          <w:snapToGrid w:val="0"/>
          <w:sz w:val="24"/>
          <w:szCs w:val="24"/>
          <w:rtl/>
          <w:lang w:eastAsia="he-IL"/>
        </w:rPr>
        <w:t xml:space="preserve">כֻּלְהוּ אִקְרוּן אֵין סוֹף. </w:t>
      </w:r>
      <w:r w:rsidRPr="00007309">
        <w:rPr>
          <w:rFonts w:cs="David"/>
          <w:snapToGrid w:val="0"/>
          <w:sz w:val="24"/>
          <w:szCs w:val="24"/>
          <w:vertAlign w:val="superscript"/>
          <w:rtl/>
          <w:lang w:eastAsia="he-IL"/>
        </w:rPr>
        <w:footnoteReference w:id="8981"/>
      </w:r>
      <w:r w:rsidRPr="00007309">
        <w:rPr>
          <w:rFonts w:cs="David"/>
          <w:snapToGrid w:val="0"/>
          <w:sz w:val="24"/>
          <w:szCs w:val="24"/>
          <w:rtl/>
          <w:lang w:eastAsia="he-IL"/>
        </w:rPr>
        <w:t>עַד הָכָא מָטוּ נְהוֹרִין וְלָא מָטוּן וְלָא אִתְיְידָעוּ</w:t>
      </w:r>
      <w:r w:rsidRPr="00007309">
        <w:rPr>
          <w:rFonts w:cs="David" w:hint="cs"/>
          <w:snapToGrid w:val="0"/>
          <w:sz w:val="24"/>
          <w:szCs w:val="24"/>
          <w:rtl/>
          <w:lang w:eastAsia="he-IL"/>
        </w:rPr>
        <w:t>,</w:t>
      </w:r>
      <w:r w:rsidRPr="00007309">
        <w:rPr>
          <w:rFonts w:cs="David"/>
          <w:snapToGrid w:val="0"/>
          <w:sz w:val="24"/>
          <w:szCs w:val="24"/>
          <w:rtl/>
          <w:lang w:eastAsia="he-IL"/>
        </w:rPr>
        <w:t xml:space="preserve"> לָאו הָכָא רְעוּתָא וְלָא מַחֲשָׁבָה. </w:t>
      </w:r>
      <w:r w:rsidRPr="00007309">
        <w:rPr>
          <w:rFonts w:cs="David"/>
          <w:snapToGrid w:val="0"/>
          <w:sz w:val="24"/>
          <w:szCs w:val="24"/>
          <w:vertAlign w:val="superscript"/>
          <w:rtl/>
          <w:lang w:eastAsia="he-IL"/>
        </w:rPr>
        <w:footnoteReference w:id="8982"/>
      </w:r>
      <w:r w:rsidRPr="00007309">
        <w:rPr>
          <w:rFonts w:cs="David"/>
          <w:snapToGrid w:val="0"/>
          <w:sz w:val="24"/>
          <w:szCs w:val="24"/>
          <w:rtl/>
          <w:lang w:eastAsia="he-IL"/>
        </w:rPr>
        <w:t xml:space="preserve">כד נָהִיר מַחֲשָׁבָה </w:t>
      </w:r>
      <w:r w:rsidRPr="00007309">
        <w:rPr>
          <w:rFonts w:cs="David"/>
          <w:snapToGrid w:val="0"/>
          <w:sz w:val="24"/>
          <w:szCs w:val="24"/>
          <w:vertAlign w:val="superscript"/>
          <w:rtl/>
          <w:lang w:eastAsia="he-IL"/>
        </w:rPr>
        <w:footnoteReference w:id="8983"/>
      </w:r>
      <w:r w:rsidRPr="00007309">
        <w:rPr>
          <w:rFonts w:cs="David"/>
          <w:snapToGrid w:val="0"/>
          <w:sz w:val="24"/>
          <w:szCs w:val="24"/>
          <w:rtl/>
          <w:lang w:eastAsia="he-IL"/>
        </w:rPr>
        <w:t>וְלָא אִתְיְידַע מִמַּאן דְּנָהִיר</w:t>
      </w:r>
      <w:r w:rsidRPr="00007309">
        <w:rPr>
          <w:rFonts w:cs="David" w:hint="cs"/>
          <w:snapToGrid w:val="0"/>
          <w:sz w:val="24"/>
          <w:szCs w:val="24"/>
          <w:rtl/>
          <w:lang w:eastAsia="he-IL"/>
        </w:rPr>
        <w:t>,</w:t>
      </w:r>
      <w:r w:rsidRPr="00007309">
        <w:rPr>
          <w:rFonts w:cs="David"/>
          <w:snapToGrid w:val="0"/>
          <w:sz w:val="24"/>
          <w:szCs w:val="24"/>
          <w:rtl/>
          <w:lang w:eastAsia="he-IL"/>
        </w:rPr>
        <w:t xml:space="preserve"> </w:t>
      </w:r>
      <w:r w:rsidRPr="00007309">
        <w:rPr>
          <w:rFonts w:cs="David"/>
          <w:snapToGrid w:val="0"/>
          <w:sz w:val="24"/>
          <w:szCs w:val="24"/>
          <w:vertAlign w:val="superscript"/>
          <w:rtl/>
          <w:lang w:eastAsia="he-IL"/>
        </w:rPr>
        <w:footnoteReference w:id="8984"/>
      </w:r>
      <w:r w:rsidRPr="00007309">
        <w:rPr>
          <w:rFonts w:cs="David"/>
          <w:snapToGrid w:val="0"/>
          <w:sz w:val="24"/>
          <w:szCs w:val="24"/>
          <w:rtl/>
          <w:lang w:eastAsia="he-IL"/>
        </w:rPr>
        <w:t>כְּדֵין אִתְלַבֵּשׁ וְאַסְתִּים גּוֹ בִּינָה</w:t>
      </w:r>
      <w:r w:rsidRPr="00007309">
        <w:rPr>
          <w:rFonts w:cs="David" w:hint="cs"/>
          <w:snapToGrid w:val="0"/>
          <w:sz w:val="24"/>
          <w:szCs w:val="24"/>
          <w:rtl/>
          <w:lang w:eastAsia="he-IL"/>
        </w:rPr>
        <w:t>,</w:t>
      </w:r>
      <w:r w:rsidRPr="00007309">
        <w:rPr>
          <w:rFonts w:cs="David"/>
          <w:snapToGrid w:val="0"/>
          <w:sz w:val="24"/>
          <w:szCs w:val="24"/>
          <w:rtl/>
          <w:lang w:eastAsia="he-IL"/>
        </w:rPr>
        <w:t xml:space="preserve"> </w:t>
      </w:r>
      <w:r w:rsidRPr="00007309">
        <w:rPr>
          <w:rFonts w:cs="David"/>
          <w:snapToGrid w:val="0"/>
          <w:sz w:val="24"/>
          <w:szCs w:val="24"/>
          <w:vertAlign w:val="superscript"/>
          <w:rtl/>
          <w:lang w:eastAsia="he-IL"/>
        </w:rPr>
        <w:footnoteReference w:id="8985"/>
      </w:r>
      <w:r w:rsidRPr="00007309">
        <w:rPr>
          <w:rFonts w:cs="David"/>
          <w:snapToGrid w:val="0"/>
          <w:sz w:val="24"/>
          <w:szCs w:val="24"/>
          <w:rtl/>
          <w:lang w:eastAsia="he-IL"/>
        </w:rPr>
        <w:t xml:space="preserve">וְנָהִיר לְמַאן דְנָהִיר וְאָעִיל דָּא בְּדָא עַד דְּאִתְכְּלִילוּ כֻּלְהוּ כְּחֲדָא. וּבְרָזָא דְּקָרְבָּנָא כַּד סָלִיק כֹּלָּא אִתְקַשַּׁר דָּא בְּדָא וְנָהִיר דָּא בְּדָא. </w:t>
      </w:r>
      <w:r w:rsidRPr="00007309">
        <w:rPr>
          <w:rFonts w:cs="David"/>
          <w:snapToGrid w:val="0"/>
          <w:sz w:val="24"/>
          <w:szCs w:val="24"/>
          <w:vertAlign w:val="superscript"/>
          <w:rtl/>
          <w:lang w:eastAsia="he-IL"/>
        </w:rPr>
        <w:footnoteReference w:id="8986"/>
      </w:r>
      <w:r w:rsidRPr="00007309">
        <w:rPr>
          <w:rFonts w:cs="David"/>
          <w:snapToGrid w:val="0"/>
          <w:sz w:val="24"/>
          <w:szCs w:val="24"/>
          <w:rtl/>
          <w:lang w:eastAsia="he-IL"/>
        </w:rPr>
        <w:t xml:space="preserve">כְּדֵין קָיְימֵי כֻּלְהוּ בִּסְלִיקוּ וּמַחֲשָׁבָה אִתְעַטַּר בְּאֵין סוֹף. </w:t>
      </w:r>
      <w:r w:rsidRPr="00007309">
        <w:rPr>
          <w:rFonts w:cs="David"/>
          <w:snapToGrid w:val="0"/>
          <w:sz w:val="24"/>
          <w:szCs w:val="24"/>
          <w:vertAlign w:val="superscript"/>
          <w:rtl/>
          <w:lang w:eastAsia="he-IL"/>
        </w:rPr>
        <w:footnoteReference w:id="8987"/>
      </w:r>
      <w:r w:rsidRPr="00007309">
        <w:rPr>
          <w:rFonts w:cs="David"/>
          <w:snapToGrid w:val="0"/>
          <w:sz w:val="24"/>
          <w:szCs w:val="24"/>
          <w:rtl/>
          <w:lang w:eastAsia="he-IL"/>
        </w:rPr>
        <w:t>הַהוּא נְהִירוּ</w:t>
      </w:r>
      <w:r w:rsidRPr="00007309">
        <w:rPr>
          <w:rFonts w:cs="David" w:hint="cs"/>
          <w:snapToGrid w:val="0"/>
          <w:sz w:val="24"/>
          <w:szCs w:val="24"/>
          <w:rtl/>
          <w:lang w:eastAsia="he-IL"/>
        </w:rPr>
        <w:t>,</w:t>
      </w:r>
      <w:r w:rsidRPr="00007309">
        <w:rPr>
          <w:rFonts w:cs="David"/>
          <w:snapToGrid w:val="0"/>
          <w:sz w:val="24"/>
          <w:szCs w:val="24"/>
          <w:rtl/>
          <w:lang w:eastAsia="he-IL"/>
        </w:rPr>
        <w:t xml:space="preserve"> דְּאִתְנְהִיר מִנֵּיהּ מַחֲשָׁבָה עִלָּאָה</w:t>
      </w:r>
      <w:r w:rsidRPr="00007309">
        <w:rPr>
          <w:rFonts w:cs="David" w:hint="cs"/>
          <w:snapToGrid w:val="0"/>
          <w:sz w:val="24"/>
          <w:szCs w:val="24"/>
          <w:rtl/>
          <w:lang w:eastAsia="he-IL"/>
        </w:rPr>
        <w:t>,</w:t>
      </w:r>
      <w:r w:rsidRPr="00007309">
        <w:rPr>
          <w:rFonts w:cs="David"/>
          <w:snapToGrid w:val="0"/>
          <w:sz w:val="24"/>
          <w:szCs w:val="24"/>
          <w:rtl/>
          <w:lang w:eastAsia="he-IL"/>
        </w:rPr>
        <w:t xml:space="preserve"> דלא אתיידע בה כלל</w:t>
      </w:r>
      <w:r w:rsidRPr="00007309">
        <w:rPr>
          <w:rFonts w:cs="David" w:hint="cs"/>
          <w:snapToGrid w:val="0"/>
          <w:sz w:val="24"/>
          <w:szCs w:val="24"/>
          <w:rtl/>
          <w:lang w:eastAsia="he-IL"/>
        </w:rPr>
        <w:t>,</w:t>
      </w:r>
      <w:r w:rsidRPr="00007309">
        <w:rPr>
          <w:rFonts w:cs="David"/>
          <w:snapToGrid w:val="0"/>
          <w:sz w:val="24"/>
          <w:szCs w:val="24"/>
          <w:rtl/>
          <w:lang w:eastAsia="he-IL"/>
        </w:rPr>
        <w:t xml:space="preserve"> אִקְרֵי אֵין סוֹף. וּמִנֵּיהּ אִשְׁתְּכַח וְקָיְימָא</w:t>
      </w:r>
      <w:r w:rsidRPr="00007309">
        <w:rPr>
          <w:rFonts w:cs="David" w:hint="cs"/>
          <w:snapToGrid w:val="0"/>
          <w:sz w:val="24"/>
          <w:szCs w:val="24"/>
          <w:rtl/>
          <w:lang w:eastAsia="he-IL"/>
        </w:rPr>
        <w:t>,</w:t>
      </w:r>
      <w:r w:rsidRPr="00007309">
        <w:rPr>
          <w:rFonts w:cs="David"/>
          <w:snapToGrid w:val="0"/>
          <w:sz w:val="24"/>
          <w:szCs w:val="24"/>
          <w:rtl/>
          <w:lang w:eastAsia="he-IL"/>
        </w:rPr>
        <w:t xml:space="preserve"> וְנָהִיר לְמַאן דְּנָהִיר</w:t>
      </w:r>
      <w:r w:rsidRPr="00007309">
        <w:rPr>
          <w:rFonts w:cs="David" w:hint="cs"/>
          <w:snapToGrid w:val="0"/>
          <w:sz w:val="24"/>
          <w:szCs w:val="24"/>
          <w:rtl/>
          <w:lang w:eastAsia="he-IL"/>
        </w:rPr>
        <w:t>,</w:t>
      </w:r>
      <w:r w:rsidRPr="00007309">
        <w:rPr>
          <w:rFonts w:cs="David"/>
          <w:snapToGrid w:val="0"/>
          <w:sz w:val="24"/>
          <w:szCs w:val="24"/>
          <w:rtl/>
          <w:lang w:eastAsia="he-IL"/>
        </w:rPr>
        <w:t xml:space="preserve"> וְעַל דָּא כֹּלָּא קָאִים. זַכָּאָה חוּלָקֵיהוֹן דְּצַדִּיקַיָא בְּעָלְמָא דֵין וּבְעָלְמָא דְּאָתֵי. </w:t>
      </w:r>
    </w:p>
    <w:p w:rsidR="00007309" w:rsidRPr="00007309" w:rsidRDefault="00007309" w:rsidP="00007309">
      <w:pPr>
        <w:keepNext/>
        <w:spacing w:before="240" w:after="60"/>
        <w:outlineLvl w:val="2"/>
        <w:rPr>
          <w:rFonts w:ascii="Cambria" w:hAnsi="Cambria" w:cs="Times New Roman"/>
          <w:b/>
          <w:bCs/>
          <w:snapToGrid w:val="0"/>
          <w:sz w:val="26"/>
          <w:szCs w:val="26"/>
          <w:rtl/>
          <w:lang w:eastAsia="he-IL"/>
        </w:rPr>
      </w:pPr>
      <w:r w:rsidRPr="00007309">
        <w:rPr>
          <w:rFonts w:ascii="Cambria" w:hAnsi="Cambria" w:cs="Times New Roman" w:hint="cs"/>
          <w:b/>
          <w:bCs/>
          <w:snapToGrid w:val="0"/>
          <w:sz w:val="26"/>
          <w:szCs w:val="26"/>
          <w:rtl/>
          <w:lang w:eastAsia="he-IL"/>
        </w:rPr>
        <w:t xml:space="preserve">זהר, פרשת פקודי, </w:t>
      </w:r>
      <w:hyperlink r:id="rId18" w:anchor="דף רס''ט ע''א!" w:history="1">
        <w:r w:rsidRPr="00007309">
          <w:rPr>
            <w:rFonts w:ascii="Cambria" w:hAnsi="Cambria" w:cs="Times New Roman"/>
            <w:b/>
            <w:bCs/>
            <w:snapToGrid w:val="0"/>
            <w:sz w:val="26"/>
            <w:szCs w:val="26"/>
            <w:rtl/>
            <w:lang w:eastAsia="he-IL"/>
          </w:rPr>
          <w:t>דף רס''</w:t>
        </w:r>
        <w:r w:rsidRPr="00007309">
          <w:rPr>
            <w:rFonts w:ascii="Cambria" w:hAnsi="Cambria" w:cs="Times New Roman" w:hint="cs"/>
            <w:b/>
            <w:bCs/>
            <w:snapToGrid w:val="0"/>
            <w:sz w:val="26"/>
            <w:szCs w:val="26"/>
            <w:rtl/>
            <w:lang w:eastAsia="he-IL"/>
          </w:rPr>
          <w:t>ח</w:t>
        </w:r>
        <w:r w:rsidRPr="00007309">
          <w:rPr>
            <w:rFonts w:ascii="Cambria" w:hAnsi="Cambria" w:cs="Times New Roman"/>
            <w:b/>
            <w:bCs/>
            <w:snapToGrid w:val="0"/>
            <w:sz w:val="26"/>
            <w:szCs w:val="26"/>
            <w:rtl/>
            <w:lang w:eastAsia="he-IL"/>
          </w:rPr>
          <w:t xml:space="preserve"> ע''</w:t>
        </w:r>
        <w:r w:rsidRPr="00007309">
          <w:rPr>
            <w:rFonts w:ascii="Cambria" w:hAnsi="Cambria" w:cs="Times New Roman" w:hint="cs"/>
            <w:b/>
            <w:bCs/>
            <w:snapToGrid w:val="0"/>
            <w:sz w:val="26"/>
            <w:szCs w:val="26"/>
            <w:rtl/>
            <w:lang w:eastAsia="he-IL"/>
          </w:rPr>
          <w:t>ב</w:t>
        </w:r>
      </w:hyperlink>
    </w:p>
    <w:p w:rsidR="00007309" w:rsidRPr="00007309" w:rsidRDefault="00007309" w:rsidP="00007309">
      <w:pPr>
        <w:widowControl w:val="0"/>
        <w:jc w:val="both"/>
        <w:rPr>
          <w:rFonts w:cs="David"/>
          <w:snapToGrid w:val="0"/>
          <w:sz w:val="24"/>
          <w:szCs w:val="24"/>
          <w:lang w:eastAsia="he-IL"/>
        </w:rPr>
      </w:pPr>
      <w:r w:rsidRPr="00007309">
        <w:rPr>
          <w:rFonts w:cs="David"/>
          <w:snapToGrid w:val="0"/>
          <w:sz w:val="24"/>
          <w:szCs w:val="24"/>
          <w:rtl/>
          <w:lang w:eastAsia="he-IL"/>
        </w:rPr>
        <w:t xml:space="preserve">אָמַר רִבִּי שִׁמְעוֹן, אֲרֵימִית יְדַי בִּצְלוֹתִין לְעֵילָּא, דְּכַד רְעוּתָא עִלָּאָה, לְעֵילָּא לְעֵילָּא, קַיְּימָא עַל הַהוּא רְעוּתָא דְּלָא אִתְיְידַיע, וְלָא אִתְפַּס לְעָלְמִין, רֵישָׁא דְּסָתִים יַתִּיר לְעֵילָּא, וְהַהוּא רֵישָׁא אַפִּיק מַה דְּאַפִּיק, וְלָא יְדִיעַ. וְנָהִיר מַה דְּנָהִיר, כֹּלָּא בִּסְתִּימוּ. </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 xml:space="preserve">רְעוּ דְּמַחֲשָׁבָה עִלָּאָה, לְמִרְדַּף אֲבַתְרֵיהּ, וּלְאִתְנַהֲרָא מִנֵּיהּ, חַד פְּרִיסוּ אִתְפְּרַס, וּמִגּוֹ הַהוּא פְּרִיסָא בִּרְדִּיפוּ דְּהַהִיא מַחֲשָׁבָה עִלָּאָה, מָטֵי וְלָא מָטֵי, עַד הַהוּא פְּרִיסָא נָהִיר מַה דְּנָהִיר. וּכְדֵין הַהוּא מַחֲשָׁבָה עִלָּאָה, נָהִיר בִּנְהִירוּ סָתִים דְּלָא יְדִיעַ. וְהַאי מַחֲשָׁבָה לָא יָדַע. </w:t>
      </w:r>
    </w:p>
    <w:p w:rsidR="00007309" w:rsidRPr="00007309" w:rsidRDefault="00007309" w:rsidP="00007309">
      <w:pPr>
        <w:widowControl w:val="0"/>
        <w:jc w:val="both"/>
        <w:rPr>
          <w:rFonts w:cs="David"/>
          <w:snapToGrid w:val="0"/>
          <w:sz w:val="24"/>
          <w:szCs w:val="24"/>
          <w:rtl/>
          <w:lang w:eastAsia="he-IL"/>
        </w:rPr>
      </w:pPr>
      <w:bookmarkStart w:id="367" w:name="HtmpReportNum0512_L2"/>
      <w:bookmarkStart w:id="368" w:name="דףBרס''טBע''א"/>
      <w:bookmarkEnd w:id="367"/>
      <w:bookmarkEnd w:id="368"/>
      <w:r w:rsidRPr="00007309">
        <w:rPr>
          <w:rFonts w:cs="David"/>
          <w:snapToGrid w:val="0"/>
          <w:sz w:val="24"/>
          <w:szCs w:val="24"/>
          <w:rtl/>
          <w:lang w:eastAsia="he-IL"/>
        </w:rPr>
        <w:t xml:space="preserve">כְּדֵין בָּטַשׁ הַאי נְהִירוּ דְּמַחֲשָׁבָה דְּלָא אִתְיְידַע, </w:t>
      </w:r>
      <w:r w:rsidRPr="00007309">
        <w:rPr>
          <w:rFonts w:cs="David"/>
          <w:snapToGrid w:val="0"/>
          <w:sz w:val="24"/>
          <w:szCs w:val="24"/>
          <w:vertAlign w:val="superscript"/>
          <w:rtl/>
          <w:lang w:eastAsia="he-IL"/>
        </w:rPr>
        <w:footnoteReference w:id="8988"/>
      </w:r>
      <w:r w:rsidRPr="00007309">
        <w:rPr>
          <w:rFonts w:cs="David"/>
          <w:snapToGrid w:val="0"/>
          <w:sz w:val="24"/>
          <w:szCs w:val="24"/>
          <w:rtl/>
          <w:lang w:eastAsia="he-IL"/>
        </w:rPr>
        <w:t>בִּנְהִירוּ דִּפְרִ</w:t>
      </w:r>
      <w:r w:rsidRPr="00007309">
        <w:rPr>
          <w:rFonts w:cs="David" w:hint="cs"/>
          <w:snapToGrid w:val="0"/>
          <w:sz w:val="24"/>
          <w:szCs w:val="24"/>
          <w:rtl/>
          <w:lang w:eastAsia="he-IL"/>
        </w:rPr>
        <w:t>יס</w:t>
      </w:r>
      <w:r w:rsidRPr="00007309">
        <w:rPr>
          <w:rFonts w:cs="David"/>
          <w:snapToGrid w:val="0"/>
          <w:sz w:val="24"/>
          <w:szCs w:val="24"/>
          <w:rtl/>
          <w:lang w:eastAsia="he-IL"/>
        </w:rPr>
        <w:t>ָא דְּקַיְּימָא</w:t>
      </w:r>
      <w:r w:rsidRPr="00007309">
        <w:rPr>
          <w:rFonts w:cs="David" w:hint="cs"/>
          <w:snapToGrid w:val="0"/>
          <w:sz w:val="24"/>
          <w:szCs w:val="24"/>
          <w:rtl/>
          <w:lang w:eastAsia="he-IL"/>
        </w:rPr>
        <w:t>,</w:t>
      </w:r>
      <w:r w:rsidRPr="00007309">
        <w:rPr>
          <w:rFonts w:cs="David"/>
          <w:snapToGrid w:val="0"/>
          <w:sz w:val="24"/>
          <w:szCs w:val="24"/>
          <w:rtl/>
          <w:lang w:eastAsia="he-IL"/>
        </w:rPr>
        <w:t xml:space="preserve"> </w:t>
      </w:r>
      <w:r w:rsidRPr="00007309">
        <w:rPr>
          <w:rFonts w:cs="David"/>
          <w:snapToGrid w:val="0"/>
          <w:sz w:val="24"/>
          <w:szCs w:val="24"/>
          <w:vertAlign w:val="superscript"/>
          <w:rtl/>
          <w:lang w:eastAsia="he-IL"/>
        </w:rPr>
        <w:footnoteReference w:id="8989"/>
      </w:r>
      <w:r w:rsidRPr="00007309">
        <w:rPr>
          <w:rFonts w:cs="David"/>
          <w:snapToGrid w:val="0"/>
          <w:sz w:val="24"/>
          <w:szCs w:val="24"/>
          <w:rtl/>
          <w:lang w:eastAsia="he-IL"/>
        </w:rPr>
        <w:t xml:space="preserve">דְּנָהִיר מִמָּה (דף רס''ט ע''א) דְּלָא יְדִיעַ, וְלָא אִתְיְידַע, וְלָא אִתְגַּלְּיָא. וּכְדֵין, (נ''א האי) דָּא נְהִירוּ דְּמַחֲשָׁבָה דְּלָא אִתְיְידַע, בָּטַשׁ בִּנְהִירוּ דִּפְרִיסָא, וְנָהֲרִין כַּחֲדָא. </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 xml:space="preserve">וְאִתְעָבִידוּ תִּשְׁעָה הֵיכָלִין </w:t>
      </w:r>
      <w:r w:rsidRPr="00007309">
        <w:rPr>
          <w:rFonts w:cs="David" w:hint="cs"/>
          <w:snapToGrid w:val="0"/>
          <w:sz w:val="24"/>
          <w:szCs w:val="24"/>
          <w:rtl/>
          <w:lang w:eastAsia="he-IL"/>
        </w:rPr>
        <w:t>ל</w:t>
      </w:r>
      <w:r w:rsidRPr="00007309">
        <w:rPr>
          <w:rFonts w:cs="David"/>
          <w:snapToGrid w:val="0"/>
          <w:sz w:val="24"/>
          <w:szCs w:val="24"/>
          <w:rtl/>
          <w:lang w:eastAsia="he-IL"/>
        </w:rPr>
        <w:t>ְהֵיכָלִין</w:t>
      </w:r>
      <w:r w:rsidRPr="00007309">
        <w:rPr>
          <w:rFonts w:cs="David" w:hint="cs"/>
          <w:snapToGrid w:val="0"/>
          <w:sz w:val="24"/>
          <w:szCs w:val="24"/>
          <w:rtl/>
          <w:lang w:eastAsia="he-IL"/>
        </w:rPr>
        <w:t>,</w:t>
      </w:r>
      <w:r w:rsidRPr="00007309">
        <w:rPr>
          <w:rFonts w:cs="David"/>
          <w:snapToGrid w:val="0"/>
          <w:sz w:val="24"/>
          <w:szCs w:val="24"/>
          <w:rtl/>
          <w:lang w:eastAsia="he-IL"/>
        </w:rPr>
        <w:t xml:space="preserve"> לָאו אִינּוּן נְהוֹרִין, וְלָאו אִינּוּן רוּחִין, וְלָאו אִינּוּן נִשְׁמָתִין, וְלָא אִית מַאן דְּקַיְּימָא בְּהוּ. רְעוּתָא דְּכָל תֵּשַׁע נְהוֹרִין, קַיְימֵי כֻּלְּהוּ בְּמַחֲשָׁבָה, דְּאִיהִי חַד מִנַּיְיהוּ בְּחוּשְׁבָּנָא, כֻּלְּהוּ לְמִרְדַּף אֲבַתְרַיְיהוּ. בְּשַׁעֲתָא דְּקַיְימֵי בְּמַחֲשָׁבָה, וְלָא מִתְדַּבְּקָן וְלָא אִתְיְידִיעוּ. וְאִלֵּין לָא קַיְימֵי, לָאו בִּרְעוּתָא, וְלָאו בְּמַחֲשָׁבָה עִלָּאָה, תַּפְסִין בָּהּ וְלָא תַּפְסִין. בְּאִלֵּין קַיְימִין כָּל רָזִין דִּמְהֵימְנוּתָא, וְכָל אִינּוּן נְהוֹרִין, מֵרָזָא דְּמַחֲשָׁבָה עִלָּאָה וּלְתַתָּא, כֻּלְּהוּ אִקְרוּן אֵין סוֹף. עַד הָכָא מָטוּן נְהוֹרִין, וְלָא מָטוּן, וְלָא אִתְיְידִיעוּ לָאו הָכָא רְעוּתָא, וְלָא מַחֲשָׁבָה.</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 xml:space="preserve">כַּד נָהִיר מַחֲשָׁבָה, וְלָא אִתְיְדַע מִמַּאן דְּנָהִיר, </w:t>
      </w:r>
      <w:r w:rsidRPr="00007309">
        <w:rPr>
          <w:rFonts w:cs="David" w:hint="cs"/>
          <w:snapToGrid w:val="0"/>
          <w:sz w:val="24"/>
          <w:szCs w:val="24"/>
          <w:rtl/>
          <w:lang w:eastAsia="he-IL"/>
        </w:rPr>
        <w:t>כ</w:t>
      </w:r>
      <w:r w:rsidRPr="00007309">
        <w:rPr>
          <w:rFonts w:cs="David"/>
          <w:snapToGrid w:val="0"/>
          <w:sz w:val="24"/>
          <w:szCs w:val="24"/>
          <w:rtl/>
          <w:lang w:eastAsia="he-IL"/>
        </w:rPr>
        <w:t xml:space="preserve">ְּדֵין אִתְלְבַּשׁ וְאַסְתִּים גּוֹ בִּינָה, וְנָהִיר מַאן דְּנָהִיר, וְאָעִיל דָּא בְּדָא, עַד דְּאִתְכְּלִילוּ כֻּלְּהוּ כַּחֲדָא. וּבְרָזָא דְּקָרְבְּנָא כַּד סָלִיק, כֹּלָּא אִתְקָשַּׁר דָּא בְּדָא, וְנָהִיר דָּא בְּדָא, כְּדֵין קַיְימֵי כֻּלְּהוּ בִּסְלִיקוּ, וּמַחֲשָׁבָה אִתְעֲטָּר בְּאֵין סוֹף. הַהוּא נְהִירוּ דְּנָהִיר מִנֵּיהּ מַחֲשָׁבָה עִלָּאָה, דלא ידע איהי בה כלל, אִקְרֵי אֵין סוֹף, דְּמִנֵּיהּ (נ''א ומניה) אִשְׁתְּכַח וְקַיְּימָא וְנָהִיר לְמַאן דְּנָהִיר, וְעַל דָּא כֹּלָּא קָאִים. זַכָּאָה חוּלָקֵיהוֹן דְּצַדִּיקַיָּיא בְּעָלְמָא דֵּין, וּבְעָלְמָא דְּאָתֵי. </w:t>
      </w:r>
    </w:p>
    <w:p w:rsidR="00007309" w:rsidRPr="00007309" w:rsidRDefault="00007309" w:rsidP="00007309">
      <w:pPr>
        <w:keepNext/>
        <w:spacing w:before="240" w:after="60"/>
        <w:outlineLvl w:val="1"/>
        <w:rPr>
          <w:rFonts w:ascii="Cambria" w:hAnsi="Cambria" w:cs="Times New Roman"/>
          <w:b/>
          <w:bCs/>
          <w:i/>
          <w:iCs/>
          <w:snapToGrid w:val="0"/>
          <w:sz w:val="28"/>
          <w:szCs w:val="28"/>
          <w:rtl/>
          <w:lang w:eastAsia="he-IL"/>
        </w:rPr>
      </w:pPr>
      <w:r w:rsidRPr="00007309">
        <w:rPr>
          <w:rFonts w:ascii="Cambria" w:hAnsi="Cambria" w:cs="Times New Roman" w:hint="cs"/>
          <w:b/>
          <w:bCs/>
          <w:i/>
          <w:iCs/>
          <w:snapToGrid w:val="0"/>
          <w:sz w:val="28"/>
          <w:szCs w:val="28"/>
          <w:rtl/>
          <w:lang w:eastAsia="he-IL"/>
        </w:rPr>
        <w:t>[המשך מאמר 'קו המידה' מזהר חדש דף ע ע"א]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בָּטַשׁ רַעֲוָא אִתְפַּשְׁטוּתָא דִילֵיהּ, בִּסְתִימוּ דְּלָא אִתְיְידַע, וְאַפִּיק נְהוֹרִין דַּקִּיקִין צְלִילִין כְּלִילִין כַּחֲדָא. כַּד בָּעָאן לְנָפְקָא הַאי נְצִיצוּ, דְּבֵיהּ גְּוָונִין. בָּטַשׁ בְּהַהוּא אִתְפַּשְׁטוּתָא, וְאִתְדְּחֵיק. וּמִגּוֹ דְּחִיקוּ, נָפְקִין אִינוּן נְהוֹרִין דַּקִּיקִין, וְאִשְׁתַּמְּעוּ כַּחֲדָא. כְּדֵין הַאי נְצִיצוּ אַחֲזֵי בְּהוֹ גַּוְונֵי, וְאִצְטַבַּע כֻּלְהוּ כַּחֲדָא, חִיוַּר וְסוּמָק וְיָרוֹק וְאוּכָם. וְאִתְעַכַּב בֵּיהּ תְּרֵיסַר יַרְחִין. וּלְבָתַר אִתְעַקְּרוּ מִתַּמָּן, וְאִשְׁתִּילוּ בַּאֲתַר אָחֳרָא.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וְהַאי נְצִיצוּ, סָלְקָא וְנָחֲתָא. וְהַאי אִיקְרֵי בּוּצִיצָא דְּקַרְדִּינוּתָא. הַאי אַתְקִין וּבָטַשׁ בְּכָל נְטִיעָן נְהוֹרִין, וְאוֹמֵר לוֹ גְּדַל. כְּדֵין אַפִּיק מַבּוּעִין הַהוּא אִתְפַּשְּׁטוּתָא עִילָּאָה קַדְמָאָה, וְאַשְׁקֵי וְנָהִיר לְכֻלְהוּ, וְאִתְרַבִּיאוּ.</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בְּהַאי בּוּצִיצָא דְּקַרְדִּינוּתָא, נָהִיר מַאן דְּנָהִיר, וְסָלְקָא וְנָחֲתָא, וְאִתְפְּשַׁט לְכָל סִטְרִין, וּכְדֵין אִיקְרֵי קַו הַמִּדָּה. וְקָיְימָא מִשְׁחֲתָא לְעֵילָא וְתַתָּא. קַו הַמִּדָּה בּוּצִיצָא דְּקַרְדִּינוּתָא סְתִימָא דְּכָל סְתִימָן, מִשְׁחֲתָא נְהִירָא דְּאַתְקִין שַׁפִּירוּ לְכֹלָּא. הַהוּא שַׁפִּירוּ דִּנְפֵיק מִפְּשִׁיטוּ קַדְמָאָה, אִיהוּ אַתְקִין לוֹן. בֵּיהּ קָיְימִין לְמִשְׁחֲתָא לְעֵילָא וְתַתָּא. מַאן דְּזָכֵי בְּהַאי, וְיָדַע בֵּיהּ, זָכָה לְמִנְדַע בְּחָכְמְתָא דְמָארֵיהּ, זַכָּאָה חוּלָקֵיהּ בְּהַאי עָלְמָא וּבְעָלְמָא דְאָתֵי.</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דָּא מִשְׁחֲתָא לְרָזָא דִמְהֵימְנותָא, קַו הַמִּדָּה אוֹרְכָא וּפוּתְיָא בְּשִׁיעוּרָא. עוֹמְקָא וְרוֹמָא בְּשִׁיעוּרָא. עִיגּוּלָא וְרִבּוּעָא בְּשִׁיעוּרָא. כֹּלָּא סַחֲרָא מִשְׁחֲתָא חָדָא. כָּל נְהוֹרִין, וְכָל רָזִין, לָא סָלְקִין, וְלָא נָחֲתִין, וְלָא מִתְפַּשְּׁטִין, אֶלָּא בְּמִשְׁחֲתָא דָא. בַּר לְעֵילָא לְעֵילָא, דְּלֵית שִׁיעוּרָא, וְלָא קָיְימָא בְּהַאי לְאִסְתַּכָּלָא וּלְמִנְדַע.</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כָּל שִׁיעוּרִין וְכָל מִשְׁחָתִין הוּא כָּלִיל לוֹן, וְכוֹלָּא אִתְכְּלִיל בֵּיהּ. קַו הַמִּדָּה, אִינוּן גְּוָונִין דְּאִצְטַבְּעוּ בֵּיהּ, וְקָיְימִין בֵּיהּ, אִתְפַּשְּׁטוּ. וְכַד אִתְרַבִּיאוּ, סָלְקָן וּמִתְפַּשְׁטָן לְאוֹרְכָּא וּלְפוּתְיָא וְעוֹמְקָא וְרוֹמָא. וְאִיהוּ סָלְקָא וּמַדֵּיד לְכֹלָּא בְּמִשְׁחֲתָא חָדָא. שָׁארֵי מִלְּעֵילָא מֵאֲתַר דְּשָׁארֵי שִׁיעוּרָא, עַד סוֹף דַּרְגֵּי מְהֵימְנוּתָא.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תַּרְעָא קַדְמָאָה, שִׁירוּתָא דְּשָׁארֵי טְמִירָא דִּטְמִירוּ, וְהַאי נְצִיצוּ אִתְרַבֵּי וְנָצִיץ, דְּלָא אִתְגַּלְיָיא וְלָא אִתְיְדַע, עַד דְּמָטֵי לְרַעֲוָא דְרַעֲוִין, וּמִתַּמָּן אִתְגַּלְּיָיא וְלָא אִתְגַּלְּיָיא, עַד דְּקָשִׁיר קִשְׁרִין לְמִשְׁחֲתָא, כְּגַוְונָא דְאִיהוּ מָדֵיד, הָכִי אִתְרַבִּיאוּ וְסָלְקָן לְכָל סְטַר, קִשְׁרָא דְּנָעֵיץ מִתַּמָּן, וְשָׁרָאן קִשְׁרִין.</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vertAlign w:val="superscript"/>
          <w:rtl/>
          <w:lang w:eastAsia="he-IL"/>
        </w:rPr>
        <w:footnoteReference w:id="8990"/>
      </w:r>
      <w:r w:rsidRPr="00007309">
        <w:rPr>
          <w:rFonts w:cs="David"/>
          <w:snapToGrid w:val="0"/>
          <w:sz w:val="24"/>
          <w:szCs w:val="24"/>
          <w:rtl/>
          <w:lang w:eastAsia="he-IL"/>
        </w:rPr>
        <w:t xml:space="preserve">הַהוּא קִשְׁרָא קַדְמָאָה, תְּלָתָא אַלְפֵי עָלְמִין קְשִׁירִין בֵּיהּ. חַד עַלְמָא סַלְקָא לְעֵילָא, וְחַד נַחֲתָא לְגַבֵּיהּ, וְחַד נַחֲתָא לְתַתָּא מִנֵּיהּ, דְּאִיהוּ דַקִּיקָא מִכֻּלְהוּ. בֵּין עָלְמָא וְעָלְמָא אֶלֶף עָלְמִין. </w:t>
      </w:r>
      <w:r w:rsidRPr="00007309">
        <w:rPr>
          <w:rFonts w:cs="David"/>
          <w:snapToGrid w:val="0"/>
          <w:sz w:val="24"/>
          <w:szCs w:val="24"/>
          <w:vertAlign w:val="superscript"/>
          <w:rtl/>
          <w:lang w:eastAsia="he-IL"/>
        </w:rPr>
        <w:footnoteReference w:id="8991"/>
      </w:r>
      <w:r w:rsidRPr="00007309">
        <w:rPr>
          <w:rFonts w:cs="David"/>
          <w:snapToGrid w:val="0"/>
          <w:sz w:val="24"/>
          <w:szCs w:val="24"/>
          <w:rtl/>
          <w:lang w:eastAsia="he-IL"/>
        </w:rPr>
        <w:t>עָלְמָא תַּתָּאָה מִכֻּלְהוּ, אָרְכֵּיהּ אֶלֶף אַמִּין.</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וַחֲמֵשׁ זַרְתִּין אִתְכְּלִילוּ בְּהַאי קִשְׁרָא. וְהַאי קִשְׁרָא, אוּרְכֵּיהּ תְּלָתָא אַלְפֵי עָלְמִין וַחֲמֲשׁ אֶצְבְּעָאן. פּוּתְיֵהּ, תְּלַת אַלְפֵי עָלְמִין.</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 xml:space="preserve">וְכֹלָּא אִתְקַּשַּׁר בְּעִיגּוּלָא. עִיגּוּלָא דְסָלְקָא וְנָחֲתָא. בְּעִיגּוּלָא חָדָא שִׁית אַלְפִין עָלְמִין לְגוֹ מֵעִיגּוּלָא חַד. </w:t>
      </w:r>
      <w:r w:rsidRPr="00007309">
        <w:rPr>
          <w:rFonts w:cs="David"/>
          <w:snapToGrid w:val="0"/>
          <w:sz w:val="24"/>
          <w:szCs w:val="24"/>
          <w:vertAlign w:val="superscript"/>
          <w:rtl/>
          <w:lang w:eastAsia="he-IL"/>
        </w:rPr>
        <w:footnoteReference w:id="8992"/>
      </w:r>
      <w:r w:rsidRPr="00007309">
        <w:rPr>
          <w:rFonts w:cs="David"/>
          <w:snapToGrid w:val="0"/>
          <w:sz w:val="24"/>
          <w:szCs w:val="24"/>
          <w:rtl/>
          <w:lang w:eastAsia="he-IL"/>
        </w:rPr>
        <w:t>וְהַאי קִשְּׁרָא כָּלִיל כֹּלָּא. הַאי קִשְּׁרָא קַדְמָאָה, קִיּוּמָא נָעִיץ מֵהָכָא, וְאִתְפַּשְּׁטוּ קְשָׁרִין וּמְדִידִין.</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vertAlign w:val="superscript"/>
          <w:rtl/>
          <w:lang w:eastAsia="he-IL"/>
        </w:rPr>
        <w:footnoteReference w:id="8993"/>
      </w:r>
      <w:r w:rsidRPr="00007309">
        <w:rPr>
          <w:rFonts w:cs="David"/>
          <w:snapToGrid w:val="0"/>
          <w:sz w:val="24"/>
          <w:szCs w:val="24"/>
          <w:rtl/>
          <w:lang w:eastAsia="he-IL"/>
        </w:rPr>
        <w:t xml:space="preserve">מֵהַאי קִשְּׁרָא, שָׁארֵי קַו הַמִּדָּה לְאִתְפַּשְׁטָא, מָדֵיד אֶלֶף דְּאִיהוּ עִיזְקָא חָדָא, וְאֶלֶף דְּאִיהוּ עִיזְקָא חָדָא, לְאִתְאַחֲדָא דָּא בְּדָא. וְאִלֵּין עִיזְקָן </w:t>
      </w:r>
      <w:r w:rsidRPr="00007309">
        <w:rPr>
          <w:rFonts w:cs="David"/>
          <w:snapToGrid w:val="0"/>
          <w:sz w:val="24"/>
          <w:szCs w:val="24"/>
          <w:vertAlign w:val="superscript"/>
          <w:rtl/>
          <w:lang w:eastAsia="he-IL"/>
        </w:rPr>
        <w:footnoteReference w:id="8994"/>
      </w:r>
      <w:r w:rsidRPr="00007309">
        <w:rPr>
          <w:rFonts w:cs="David"/>
          <w:snapToGrid w:val="0"/>
          <w:sz w:val="24"/>
          <w:szCs w:val="24"/>
          <w:rtl/>
          <w:lang w:eastAsia="he-IL"/>
        </w:rPr>
        <w:t xml:space="preserve">אִינוּן מָאתָן אֶלֶף עָלְמִין, </w:t>
      </w:r>
      <w:r w:rsidRPr="00007309">
        <w:rPr>
          <w:rFonts w:cs="David"/>
          <w:snapToGrid w:val="0"/>
          <w:sz w:val="24"/>
          <w:szCs w:val="24"/>
          <w:vertAlign w:val="superscript"/>
          <w:rtl/>
          <w:lang w:eastAsia="he-IL"/>
        </w:rPr>
        <w:footnoteReference w:id="8995"/>
      </w:r>
      <w:r w:rsidRPr="00007309">
        <w:rPr>
          <w:rFonts w:cs="David"/>
          <w:snapToGrid w:val="0"/>
          <w:sz w:val="24"/>
          <w:szCs w:val="24"/>
          <w:rtl/>
          <w:lang w:eastAsia="he-IL"/>
        </w:rPr>
        <w:t>דִּכְסִיף בְּהוּ קוּדְשָׁא בְרִיךְ הוּא. וְאִלֵּין עִיזְקָן אִתְאַחֲדָן דָּא בְּדָא.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 xml:space="preserve">בֵּין עִיזְקָא וְעִיזְקָא, </w:t>
      </w:r>
      <w:r w:rsidRPr="00007309">
        <w:rPr>
          <w:rFonts w:cs="David"/>
          <w:snapToGrid w:val="0"/>
          <w:sz w:val="24"/>
          <w:szCs w:val="24"/>
          <w:vertAlign w:val="superscript"/>
          <w:rtl/>
          <w:lang w:eastAsia="he-IL"/>
        </w:rPr>
        <w:footnoteReference w:id="8996"/>
      </w:r>
      <w:r w:rsidRPr="00007309">
        <w:rPr>
          <w:rFonts w:cs="David"/>
          <w:snapToGrid w:val="0"/>
          <w:sz w:val="24"/>
          <w:szCs w:val="24"/>
          <w:rtl/>
          <w:lang w:eastAsia="he-IL"/>
        </w:rPr>
        <w:t>חָמֵשׁ מְאָה אֶלֶף עָלְמִין. וְאִלֵּין דְּפָתְחֵי תַּרְעִין לְכָל סְטַר. בֵּין עָלְמָא וְעָלְמָא טֶפַח. עִיזְקָא תִּנְיָינָא, רַב מֵחֲבֵירְתָּהּ בְּמִשְׁחֲתָא דְּקִשְׁרָא קַדְמָאָה דְּכֹלָּא.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מֵהָכָא אִתְפַּשַּׁט לְתַתָּא, וּמָדֵיד קַו הַמִּדָּה תְּלַת זַרְתִּין פְּשִׁיטִין בְּלָא קִשְׁרָא. (אָרְכָּא) אָתְרָא דְּהַהוּא זֶרֶת שִׁתִּין רִבּוֹא עָלְמִין.</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 xml:space="preserve">בְּהַאי זֶרֶת אִתְתַּקְּנוּ שָׁמַיִם, </w:t>
      </w:r>
      <w:r w:rsidRPr="00007309">
        <w:rPr>
          <w:rFonts w:cs="David"/>
          <w:snapToGrid w:val="0"/>
          <w:sz w:val="24"/>
          <w:szCs w:val="24"/>
          <w:vertAlign w:val="superscript"/>
          <w:rtl/>
          <w:lang w:eastAsia="he-IL"/>
        </w:rPr>
        <w:footnoteReference w:id="8997"/>
      </w:r>
      <w:r w:rsidRPr="00007309">
        <w:rPr>
          <w:rFonts w:cs="David"/>
          <w:snapToGrid w:val="0"/>
          <w:sz w:val="24"/>
          <w:szCs w:val="24"/>
          <w:rtl/>
          <w:lang w:eastAsia="he-IL"/>
        </w:rPr>
        <w:t>בְּרָזָא דְשִׁתִּין רִבּוֹא עָלְמִין. וְכָל עָלְמָא וְעָלְמָא כְּלִילָא בְּאַרְבַּע אַלְפִין עַלְמִין אָחֳרָנִין. הֲדָא הוּא דִכְתִיב, (ישעיה מ יב) וְשָׁמַיִם בַּזֶּרֶת תִּכֵּן. אִתְפַּשַּׁט קַ"ו הַמִּדָּ"ה, וְאִתְתַּקַּן בִּמְדִידוּ תְּרֵין זַרְתִּין, וּפַלְגָּא, וּפְלַג פַּלְגָא, בְּלָא קִשְּׁרָא.</w:t>
      </w:r>
    </w:p>
    <w:p w:rsidR="00007309" w:rsidRPr="00007309" w:rsidRDefault="00007309" w:rsidP="00007309">
      <w:pPr>
        <w:keepNext/>
        <w:spacing w:before="240" w:after="60"/>
        <w:outlineLvl w:val="2"/>
        <w:rPr>
          <w:rFonts w:ascii="Cambria" w:hAnsi="Cambria" w:cs="Times New Roman"/>
          <w:b/>
          <w:bCs/>
          <w:snapToGrid w:val="0"/>
          <w:sz w:val="26"/>
          <w:szCs w:val="26"/>
          <w:rtl/>
          <w:lang w:eastAsia="he-IL"/>
        </w:rPr>
      </w:pPr>
      <w:r w:rsidRPr="00007309">
        <w:rPr>
          <w:rFonts w:ascii="Cambria" w:hAnsi="Cambria" w:cs="Times New Roman" w:hint="cs"/>
          <w:b/>
          <w:bCs/>
          <w:snapToGrid w:val="0"/>
          <w:sz w:val="26"/>
          <w:szCs w:val="26"/>
          <w:rtl/>
          <w:lang w:eastAsia="he-IL"/>
        </w:rPr>
        <w:t>[מאמר 'קו המדה', זהר חדש דף ע ע"ב]</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כָּל מִשְׁחֲתִין אִלֵּין דְּהַאי (דף ע ע"ב) סִטְרָא, דְּקָיְימָא בְּקַו הַמִּדָּה, מִשְׁחֲתָא חָדָא לְרִיבּוּעָא כֹּלָּא, וְלָאו הָכָא לְעִיגּוּלָא. וּמִשְׁחֲתָא דְּקָיְימָא בְּקַ"ו הַמִּדָּ"ה, אִיקְרֵי מִשְׁחֲתָא דְרִיבּוּעָא. בְּהַאי מִשְׁחֲתָא קָיְימָא כֹּלָּא וְאִתְקַיָּים.</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 xml:space="preserve">עוֹמְקָא דְּרִיבּוּעָא דָא, </w:t>
      </w:r>
      <w:r w:rsidRPr="00007309">
        <w:rPr>
          <w:rFonts w:cs="David"/>
          <w:snapToGrid w:val="0"/>
          <w:sz w:val="24"/>
          <w:szCs w:val="24"/>
          <w:vertAlign w:val="superscript"/>
          <w:rtl/>
          <w:lang w:eastAsia="he-IL"/>
        </w:rPr>
        <w:footnoteReference w:id="8998"/>
      </w:r>
      <w:r w:rsidRPr="00007309">
        <w:rPr>
          <w:rFonts w:cs="David"/>
          <w:snapToGrid w:val="0"/>
          <w:sz w:val="24"/>
          <w:szCs w:val="24"/>
          <w:rtl/>
          <w:lang w:eastAsia="he-IL"/>
        </w:rPr>
        <w:t xml:space="preserve">חַמְשִׁין זַרְתִּין, </w:t>
      </w:r>
      <w:r w:rsidRPr="00007309">
        <w:rPr>
          <w:rFonts w:cs="David"/>
          <w:snapToGrid w:val="0"/>
          <w:sz w:val="24"/>
          <w:szCs w:val="24"/>
          <w:vertAlign w:val="superscript"/>
          <w:rtl/>
          <w:lang w:eastAsia="he-IL"/>
        </w:rPr>
        <w:footnoteReference w:id="8999"/>
      </w:r>
      <w:r w:rsidRPr="00007309">
        <w:rPr>
          <w:rFonts w:cs="David"/>
          <w:snapToGrid w:val="0"/>
          <w:sz w:val="24"/>
          <w:szCs w:val="24"/>
          <w:rtl/>
          <w:lang w:eastAsia="he-IL"/>
        </w:rPr>
        <w:t xml:space="preserve">לְאִתְפַּתְּחָא לַחֲמֵשׁ סִטְרִין. </w:t>
      </w:r>
      <w:r w:rsidRPr="00007309">
        <w:rPr>
          <w:rFonts w:cs="David"/>
          <w:snapToGrid w:val="0"/>
          <w:sz w:val="24"/>
          <w:szCs w:val="24"/>
          <w:vertAlign w:val="superscript"/>
          <w:rtl/>
          <w:lang w:eastAsia="he-IL"/>
        </w:rPr>
        <w:footnoteReference w:id="9000"/>
      </w:r>
      <w:r w:rsidRPr="00007309">
        <w:rPr>
          <w:rFonts w:cs="David"/>
          <w:snapToGrid w:val="0"/>
          <w:sz w:val="24"/>
          <w:szCs w:val="24"/>
          <w:rtl/>
          <w:lang w:eastAsia="he-IL"/>
        </w:rPr>
        <w:t>רוֹמָא חָמֵשׁ. וְעַד הָכָא קָיְימָא מִשְׁחֲתָא דְרִיבּוּעָא. וְהָכָא קָיְימָא קִשְׁרָא לְקִיּוּמָא, קִשְׁרָא קַדְמָאָה, דְּאִיהוּ שִׁירוּתָא דְהַאי, אִיהוּ קִיּוּמָא (סִיּוּמָא). קַיְימָא קַו הַמִּדָּה בִּמְדִידוּ דְּמִשְׁחֲתָא, וְעַד הָכָא תַּרְעָא קַדְמָאָה לְקִיּוּמָא.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 xml:space="preserve">אִשְׁתַּכַּח קַו הַמִּדָּה, בְּמִשְׁחֲתָא דָא דְּרִיבּוּעָא בְּכָל סִטְרוֹי, שְׁבַע מְאָה אֶלֶף עָלְמִין, וְשִׁבְעָה טְפָחִים, וַחֲמֵשׁ זַרְתִּים, וּפַלְגָא, וּפְלַג פַּלְגָא. </w:t>
      </w:r>
      <w:r w:rsidRPr="00007309">
        <w:rPr>
          <w:rFonts w:cs="David"/>
          <w:snapToGrid w:val="0"/>
          <w:sz w:val="24"/>
          <w:szCs w:val="24"/>
          <w:vertAlign w:val="superscript"/>
          <w:rtl/>
          <w:lang w:eastAsia="he-IL"/>
        </w:rPr>
        <w:footnoteReference w:id="9001"/>
      </w:r>
      <w:r w:rsidRPr="00007309">
        <w:rPr>
          <w:rFonts w:cs="David"/>
          <w:snapToGrid w:val="0"/>
          <w:sz w:val="24"/>
          <w:szCs w:val="24"/>
          <w:rtl/>
          <w:lang w:eastAsia="he-IL"/>
        </w:rPr>
        <w:t>עוֹמְקָא וְרוֹמָא חַמְשִׁין וַחֲמֵשׁ זַרְתִּין.</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הָכָא אִשְׁתַּכְלְלוּ קַו הַמִּדָּה בְּמִשְׁחֲתָא חָדָא. מִשֵּׁירוּתָא דְּקִשְׁרָא קַדְמָאָה, עַד סִיּוּמָא דְּמִשְׁחֲתָא דְנָא דְרִיבּוּעָא. הָכָא מִשְׁחֲתָא חָדָא לְקִיּוּמָא חַד. וְהַאי אִיקְרֵי מִשְׁחֲתָא עִילָּאָה, קִיּוּמָא סְתִימָאָה, קִשְׁרָא קַדְמָאָה, וְרִיבּוּעָא דָא קִיּוּמָא דְרָזָא יהו"ה, שְׁמָא קַדִּישָׁא עִילָּאָה, כְּלָלָא דְקִשְׁרָא קַדְמָאָה, וּמִשְׁחֲתָא דְרִיבּוּעָא דְסָלְקֵי גוֹ מִשְׁחֲתָא, בִּרְעוּתָא דִסְתִימוּ עַד אֵין סוֹף.</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וְעַד הָכָא קִיּוּמָא חָדָא עִילָּאָה סְתִימָאָה. מֵהָכָא אִתְפַּשַּׁט קַו הַמִּדָּה, וּמָדֵיד גּוֹ גְוָונִין דְּקָיְימִין בְּקִישׁוּרָא חָדָא, כְּלִילָא חָדָא. קַו הַמִּדָּה אִתְגַּלְיָיא, וְקָיְימָא בִּנְצִיצוּ דְּנָהִיר, וְכָל גְּוָונֵי קָיְימִין בֵּיהּ.</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קִשְׁרָא תִּנְיָינָא. קַו הַמִּדָּה שָׁארֵי, וְאִתְגַּלְיָיא בְּתְרֵיסָר קִשְׁרִין עִילָּאִין, וּמָאתָן וּתְלָתִין וְשִׁית קִשְׁרִין אָחֳרָנִין דַּקִּיקִין. אִלֵּין תְרֵיסָר קִשְׁרִין עִילָּאִין, קָיְימִין גּוֹ קִשְׁרָא קַדְמָאָה סְתִימָא וְרִבּוּעָא, וּמִתְקַשְׁרָאן וְאִתְאַחְדָאן בְּהוּ. וּמִתְאַחְדָאן וּמִתְקַשְׁרִין בְּאִלֵּין אָחֳרָנִין. וְכַד מִסְתַּכְּלִין מִלִּין, כּוֹלָּא אִיהוּ מִשְׁחֲתָא חָדָא.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וְקִשְׁרָא קַדְמָאָה מֵאִינוּן תְרֵיסָר, אִלֵּין אִינוּן דְּקָיְימִין בְּמִשְׁחֲתָא, בְּגִין דְּמִתְפַּשְׁטֵי יַתִּיר. וְכָל אִינוּן אָחֳרָנִין, מִתְפַּשְׁטִין הָכִי, אֶלָּא אִילֵּין דָּבְקִין דָּא עִם דָּא, וּכְלִילָן דָּא עִם דָּא. וּבְקַו הַמִּדָּה, קָיְימֵי כֻּלְהוּ כַּחֲדָא, כְּלָלָא חָדָא, לִמְשִׁיחָא חָדָא.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הַאי קִשְׁרָא, כְּגַוְונָא דְקִשְׁרָא קַדְמָאָה אִיהוּ, וְשִׁיעוּרָא דִילֵיהּ, וְאוֹרְכֵּיהּ וּפוּתְיֵיהּ, כְּהַהוּא גַוְונָא מַמָּשׁ, בַּר דְּהַאי בְּאִתְגַּלְּיָיא, וְהַהוּא קַדְמָאָה נָעִיץ דְּלָא אִתְגַּלְיָיא.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vertAlign w:val="superscript"/>
          <w:rtl/>
          <w:lang w:eastAsia="he-IL"/>
        </w:rPr>
        <w:footnoteReference w:id="9002"/>
      </w:r>
      <w:r w:rsidRPr="00007309">
        <w:rPr>
          <w:rFonts w:cs="David"/>
          <w:snapToGrid w:val="0"/>
          <w:sz w:val="24"/>
          <w:szCs w:val="24"/>
          <w:rtl/>
          <w:lang w:eastAsia="he-IL"/>
        </w:rPr>
        <w:t>קִשְׁרָא תְּלִיתָאָה, קִשְׁרָא דָא אִיהוּ קַדְמָאָה, וְדָא מְשַׁנְיָיא מִכָּל אִינוּן גְּוָונִין, וְדָא אִיהוּ קִשְׁרָא וְגַוָּון יַתִּיר, דְּהָא וְאִיהוּ קָאִים לְמִשְׁחֲתָא לְאִתְפַּשְּׁטָא.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 xml:space="preserve">שָׁארֵי קַו הַמִּדָה, וּמָדֵיד בְּאִלֵּין תְּרֵיסַר קִשְׁרִין. </w:t>
      </w:r>
      <w:r w:rsidRPr="00007309">
        <w:rPr>
          <w:rFonts w:cs="David"/>
          <w:snapToGrid w:val="0"/>
          <w:sz w:val="24"/>
          <w:szCs w:val="24"/>
          <w:vertAlign w:val="superscript"/>
          <w:rtl/>
          <w:lang w:eastAsia="he-IL"/>
        </w:rPr>
        <w:footnoteReference w:id="9003"/>
      </w:r>
      <w:r w:rsidRPr="00007309">
        <w:rPr>
          <w:rFonts w:cs="David"/>
          <w:snapToGrid w:val="0"/>
          <w:sz w:val="24"/>
          <w:szCs w:val="24"/>
          <w:rtl/>
          <w:lang w:eastAsia="he-IL"/>
        </w:rPr>
        <w:t>תְּלַת קִשְׁרִין מִינַיְיהוּ עִילָּאִין, דְּקָיְימִין לְמִשְׁחֲתָא בְּהַהוּא מְדִידוּ דְּמָדֵיד, וְאַסְגֵּי אָרְכָּאן דְּיוֹמִין בְּכוֹלָּא. וְסִימָן דָּא חוֹ"ל. רָזָא דִּכְתִיב, (איוב כט יח) וְכַחוֹל אַרְבֶּה יָמִים. וְהָא אוֹקִימְנָא.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vertAlign w:val="superscript"/>
          <w:rtl/>
          <w:lang w:eastAsia="he-IL"/>
        </w:rPr>
        <w:footnoteReference w:id="9004"/>
      </w:r>
      <w:r w:rsidRPr="00007309">
        <w:rPr>
          <w:rFonts w:cs="David"/>
          <w:snapToGrid w:val="0"/>
          <w:sz w:val="24"/>
          <w:szCs w:val="24"/>
          <w:rtl/>
          <w:lang w:eastAsia="he-IL"/>
        </w:rPr>
        <w:t>מָדֵיד אֶלֶף, וְשָׁארֵי מֵרֵישָׁא דְּעִזְקָא דִלְעֵילָּא, דְּיוֹקְנָא רָזָא דְאָדָם. מָדֵיד בְּרֵישָׁא, לְאִתְפַּשְׁטָא לְתַתָּא בְּאוּרְכָּא.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 xml:space="preserve">הַהוּא רֵישָׁא </w:t>
      </w:r>
      <w:r w:rsidRPr="00007309">
        <w:rPr>
          <w:rFonts w:cs="David"/>
          <w:snapToGrid w:val="0"/>
          <w:sz w:val="24"/>
          <w:szCs w:val="24"/>
          <w:vertAlign w:val="superscript"/>
          <w:rtl/>
          <w:lang w:eastAsia="he-IL"/>
        </w:rPr>
        <w:footnoteReference w:id="9005"/>
      </w:r>
      <w:r w:rsidRPr="00007309">
        <w:rPr>
          <w:rFonts w:cs="David"/>
          <w:snapToGrid w:val="0"/>
          <w:sz w:val="24"/>
          <w:szCs w:val="24"/>
          <w:rtl/>
          <w:lang w:eastAsia="he-IL"/>
        </w:rPr>
        <w:t xml:space="preserve">שָׁארֵי מִלְּעֵילָא, וּמָדֵיד בְּעִיגּוּלָא, לִתְרֵין סִטְרִין. סִטְרָא חָדָא תְּלַת מְאָה זַרְתִּין, וּפַלְגָּא, וְחַד שְׁלִישׁ. </w:t>
      </w:r>
      <w:r w:rsidRPr="00007309">
        <w:rPr>
          <w:rFonts w:cs="David"/>
          <w:snapToGrid w:val="0"/>
          <w:sz w:val="24"/>
          <w:szCs w:val="24"/>
          <w:vertAlign w:val="superscript"/>
          <w:rtl/>
          <w:lang w:eastAsia="he-IL"/>
        </w:rPr>
        <w:footnoteReference w:id="9006"/>
      </w:r>
      <w:r w:rsidRPr="00007309">
        <w:rPr>
          <w:rFonts w:cs="David"/>
          <w:snapToGrid w:val="0"/>
          <w:sz w:val="24"/>
          <w:szCs w:val="24"/>
          <w:rtl/>
          <w:lang w:eastAsia="he-IL"/>
        </w:rPr>
        <w:t>סִטְרָא דָא קָיְימָא בַּחֲמֵשׁ מַזְלְגִין, דְּעַיְילֵי לְסִטְרָא תִּנְיָינָא, וּמִתְדַּבְּקָן אִלֵּין בְּאִלֵּין. וּמִשְׁחֲתָא דְּאִלֵּין מַזְלְגִין דְּעַיְילֵי דָא בְּדָא, תְּלַת מְאָה טְפָחִים, וְחַד זַרְתָּא וּפַלְגָא. מִתְדַּבְּקָן אִלֵּין בְּאִלֵּין, לְקָשְׁרָא סִטְרָא דָא בְּסִטְרָא תִּנְיָינָא.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vertAlign w:val="superscript"/>
          <w:rtl/>
          <w:lang w:eastAsia="he-IL"/>
        </w:rPr>
        <w:footnoteReference w:id="9007"/>
      </w:r>
      <w:r w:rsidRPr="00007309">
        <w:rPr>
          <w:rFonts w:cs="David"/>
          <w:snapToGrid w:val="0"/>
          <w:sz w:val="24"/>
          <w:szCs w:val="24"/>
          <w:rtl/>
          <w:lang w:eastAsia="he-IL"/>
        </w:rPr>
        <w:t>סִטְרָא תִּנְיָינָא מָדֵיד בּוּצִיצָא בְּאִתְפַּשְׁטוּתָא, וְאִתְעֲבִיד מִשְׁחֲתָא תְּלַת מְאָה זַרְתִּין וּפַלְגָּא וְחַד שְׁלִישׁ, כְּהַהוּא סִטְרָא קַדְמָאָה</w:t>
      </w:r>
      <w:r w:rsidRPr="00007309">
        <w:rPr>
          <w:rFonts w:cs="David" w:hint="cs"/>
          <w:snapToGrid w:val="0"/>
          <w:sz w:val="24"/>
          <w:szCs w:val="24"/>
          <w:rtl/>
          <w:lang w:eastAsia="he-IL"/>
        </w:rPr>
        <w:t>,</w:t>
      </w:r>
      <w:r w:rsidRPr="00007309">
        <w:rPr>
          <w:rFonts w:cs="David"/>
          <w:snapToGrid w:val="0"/>
          <w:sz w:val="24"/>
          <w:szCs w:val="24"/>
          <w:rtl/>
          <w:lang w:eastAsia="he-IL"/>
        </w:rPr>
        <w:t xml:space="preserve"> אִשְׁתַּכַּח עִיגּוּלָא דְרֵישָׁא דָא, שִׁית מְאָה וְחַד זַרְתִּין וּתְרֵין שְׁלִישִׁים. מִשְׁחֲתָא דְאִינוּן מַזְלְגִין, שִׁית מְאָה טְפָחִים וּתְלַת זַרְתִּין.</w:t>
      </w:r>
      <w:r w:rsidRPr="00007309">
        <w:rPr>
          <w:rFonts w:cs="David" w:hint="cs"/>
          <w:snapToGrid w:val="0"/>
          <w:sz w:val="24"/>
          <w:szCs w:val="24"/>
          <w:rtl/>
          <w:lang w:eastAsia="he-IL"/>
        </w:rPr>
        <w:t xml:space="preserve"> </w:t>
      </w:r>
      <w:r w:rsidRPr="00007309">
        <w:rPr>
          <w:rFonts w:cs="David"/>
          <w:snapToGrid w:val="0"/>
          <w:sz w:val="24"/>
          <w:szCs w:val="24"/>
          <w:rtl/>
          <w:lang w:eastAsia="he-IL"/>
        </w:rPr>
        <w:t>דָּא הוּא עִיגּוּלָא דְרֵישָׁא, דְּאִיתְפַּשַּׁט בּוּצִיצָא וּמָדֵיד לְתַתָּא, לְאוֹרְכָּא אִשְׁתַּכַּח בְּהַהוּא בּוּצִיצָא בִּמְדִידוּ, (נ"א בוציצא בהאי מדידו) שִׁית מְאָה אַלְפִין עָלְמִין, וְשִׁתִּין רִבּוֹא אָחֳרָנִין. דָּא אִיהוּ אִתְפַּשְׁטוּתָא דְּבוּצִיצָא, לְמֶיעֱבַד מִשְׁחָתִין לְעִיגּוּלָא וְאוּרְכָּא. וְהָכָא אִיהוּ קִשְׁרָא חָדָא לְתַתָּא, וְקִשְׁרָא לְעֵילָא.</w:t>
      </w:r>
    </w:p>
    <w:p w:rsidR="00007309" w:rsidRPr="00007309" w:rsidRDefault="00007309" w:rsidP="00007309">
      <w:pPr>
        <w:widowControl w:val="0"/>
        <w:jc w:val="both"/>
        <w:rPr>
          <w:rFonts w:cs="David"/>
          <w:snapToGrid w:val="0"/>
          <w:sz w:val="24"/>
          <w:szCs w:val="24"/>
          <w:rtl/>
          <w:lang w:eastAsia="he-IL"/>
        </w:rPr>
      </w:pPr>
      <w:r w:rsidRPr="00007309">
        <w:rPr>
          <w:rFonts w:cs="David" w:hint="cs"/>
          <w:snapToGrid w:val="0"/>
          <w:sz w:val="24"/>
          <w:szCs w:val="24"/>
          <w:rtl/>
          <w:lang w:eastAsia="he-IL"/>
        </w:rPr>
        <w:t>(הבאנו כאן, באמצע מאמר 'קו המידה', את הקטע מזהר חדש סתרי אותיות, ואחריו את המשך מאמר 'קו המידה').</w:t>
      </w:r>
    </w:p>
    <w:p w:rsidR="00007309" w:rsidRPr="00007309" w:rsidRDefault="00007309" w:rsidP="00007309">
      <w:pPr>
        <w:keepNext/>
        <w:spacing w:before="240" w:after="60"/>
        <w:outlineLvl w:val="1"/>
        <w:rPr>
          <w:rFonts w:ascii="Cambria" w:hAnsi="Cambria" w:cs="Times New Roman"/>
          <w:b/>
          <w:bCs/>
          <w:i/>
          <w:iCs/>
          <w:snapToGrid w:val="0"/>
          <w:sz w:val="28"/>
          <w:szCs w:val="28"/>
          <w:rtl/>
          <w:lang w:eastAsia="he-IL"/>
        </w:rPr>
      </w:pPr>
      <w:r w:rsidRPr="00007309">
        <w:rPr>
          <w:rFonts w:ascii="Cambria" w:hAnsi="Cambria" w:cs="Times New Roman" w:hint="cs"/>
          <w:b/>
          <w:bCs/>
          <w:i/>
          <w:iCs/>
          <w:snapToGrid w:val="0"/>
          <w:sz w:val="28"/>
          <w:szCs w:val="28"/>
          <w:rtl/>
          <w:lang w:eastAsia="he-IL"/>
        </w:rPr>
        <w:t xml:space="preserve">זהר חדש בראשית, </w:t>
      </w:r>
      <w:r w:rsidRPr="00007309">
        <w:rPr>
          <w:rFonts w:ascii="Cambria" w:hAnsi="Cambria" w:cs="Times New Roman"/>
          <w:b/>
          <w:bCs/>
          <w:i/>
          <w:iCs/>
          <w:snapToGrid w:val="0"/>
          <w:sz w:val="28"/>
          <w:szCs w:val="28"/>
          <w:rtl/>
          <w:lang w:eastAsia="he-IL"/>
        </w:rPr>
        <w:t>סִתְרֵי אוֹתִיּוֹת</w:t>
      </w:r>
      <w:r w:rsidRPr="00007309">
        <w:rPr>
          <w:rFonts w:ascii="Cambria" w:hAnsi="Cambria" w:cs="Times New Roman" w:hint="cs"/>
          <w:b/>
          <w:bCs/>
          <w:i/>
          <w:iCs/>
          <w:snapToGrid w:val="0"/>
          <w:sz w:val="28"/>
          <w:szCs w:val="28"/>
          <w:rtl/>
          <w:lang w:eastAsia="he-IL"/>
        </w:rPr>
        <w:t xml:space="preserve"> (דף ג ע"ב)</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vertAlign w:val="superscript"/>
          <w:rtl/>
          <w:lang w:eastAsia="he-IL"/>
        </w:rPr>
        <w:footnoteReference w:id="9008"/>
      </w:r>
      <w:r w:rsidRPr="00007309">
        <w:rPr>
          <w:rFonts w:cs="David"/>
          <w:snapToGrid w:val="0"/>
          <w:sz w:val="24"/>
          <w:szCs w:val="24"/>
          <w:rtl/>
          <w:lang w:eastAsia="he-IL"/>
        </w:rPr>
        <w:t xml:space="preserve">רַבִּי שִׁמְעוֹן פָּתַח (תהלים קו ב) מִי יְמַלֵּל גְּבוּרוֹת ה' יַשְׁמִיעַ כָּל תְּהִלָּתוֹ וגו'. (ירמיה י ז) מִי לֹא יִרָאֲךָ מֶלֶךְ הַגּוֹיִם כִּי לְךָ יָאָתָה וגו'. </w:t>
      </w:r>
      <w:r w:rsidRPr="00007309">
        <w:rPr>
          <w:rFonts w:cs="David"/>
          <w:snapToGrid w:val="0"/>
          <w:sz w:val="24"/>
          <w:szCs w:val="24"/>
          <w:vertAlign w:val="superscript"/>
          <w:rtl/>
          <w:lang w:eastAsia="he-IL"/>
        </w:rPr>
        <w:footnoteReference w:id="9009"/>
      </w:r>
      <w:r w:rsidRPr="00007309">
        <w:rPr>
          <w:rFonts w:cs="David"/>
          <w:snapToGrid w:val="0"/>
          <w:sz w:val="24"/>
          <w:szCs w:val="24"/>
          <w:rtl/>
          <w:lang w:eastAsia="he-IL"/>
        </w:rPr>
        <w:t xml:space="preserve">בְּאַתְוָון רְשִׁימָן, דִּמְחַקְּקִין עַל גָבֵּי סְתִימוּ דְּסִטְרָא (נ"א דסרטא) דְּקִיּוּמָא, סָלְקָן רְתִיכִין בִּרְתִיכִין קַדִּישִׁין. (דף ד ע"א) כָּל רְתִיכָא וּרְתִיכָא סָלְקָא בְּאָת רְשִׁימָא. אִתְרְשִׁים אָת בְּקִיּוּמֵיהּ, סָלִיק בְּגַוֵּיהּ הַהוּא רְתִיכָא. כָּל אָת וְאָת קָאִים עַל קִיּוּמֵיהּ דְּהַהוּא רְתִיכָא דְּאִתְחֲזֵי לֵיהּ. מֵהָכָא סָלְקָא מִלָּה, לְאִתְפָּרְשָׁא כָּל אָת וְאָת, </w:t>
      </w:r>
      <w:r w:rsidRPr="00007309">
        <w:rPr>
          <w:rFonts w:cs="David"/>
          <w:snapToGrid w:val="0"/>
          <w:sz w:val="24"/>
          <w:szCs w:val="24"/>
          <w:vertAlign w:val="superscript"/>
          <w:rtl/>
          <w:lang w:eastAsia="he-IL"/>
        </w:rPr>
        <w:footnoteReference w:id="9010"/>
      </w:r>
      <w:r w:rsidRPr="00007309">
        <w:rPr>
          <w:rFonts w:cs="David"/>
          <w:snapToGrid w:val="0"/>
          <w:sz w:val="24"/>
          <w:szCs w:val="24"/>
          <w:rtl/>
          <w:lang w:eastAsia="he-IL"/>
        </w:rPr>
        <w:t>בְּרָזָא דִּרְתִיכִין קַדִּישׁ</w:t>
      </w:r>
      <w:r w:rsidRPr="00007309">
        <w:rPr>
          <w:rFonts w:cs="David" w:hint="cs"/>
          <w:snapToGrid w:val="0"/>
          <w:sz w:val="24"/>
          <w:szCs w:val="24"/>
          <w:rtl/>
          <w:lang w:eastAsia="he-IL"/>
        </w:rPr>
        <w:t>ין</w:t>
      </w:r>
      <w:r w:rsidRPr="00007309">
        <w:rPr>
          <w:rFonts w:cs="David"/>
          <w:snapToGrid w:val="0"/>
          <w:sz w:val="24"/>
          <w:szCs w:val="24"/>
          <w:rtl/>
          <w:lang w:eastAsia="he-IL"/>
        </w:rPr>
        <w:t>, בְּאַרְבַּע סִטְרֵי עָלְמָא.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vertAlign w:val="superscript"/>
          <w:rtl/>
          <w:lang w:eastAsia="he-IL"/>
        </w:rPr>
        <w:footnoteReference w:id="9011"/>
      </w:r>
      <w:r w:rsidRPr="00007309">
        <w:rPr>
          <w:rFonts w:cs="David"/>
          <w:snapToGrid w:val="0"/>
          <w:sz w:val="24"/>
          <w:szCs w:val="24"/>
          <w:rtl/>
          <w:lang w:eastAsia="he-IL"/>
        </w:rPr>
        <w:t xml:space="preserve">רָזָא דְאָת קַדְמָאָה, סָלְקָא וְנָחֲתָא, סָלִיק בְּעִטְרוֹי </w:t>
      </w:r>
      <w:r w:rsidRPr="00007309">
        <w:rPr>
          <w:rFonts w:cs="David"/>
          <w:snapToGrid w:val="0"/>
          <w:sz w:val="24"/>
          <w:szCs w:val="24"/>
          <w:vertAlign w:val="superscript"/>
          <w:rtl/>
          <w:lang w:eastAsia="he-IL"/>
        </w:rPr>
        <w:footnoteReference w:id="9012"/>
      </w:r>
      <w:r w:rsidRPr="00007309">
        <w:rPr>
          <w:rFonts w:cs="David"/>
          <w:snapToGrid w:val="0"/>
          <w:sz w:val="24"/>
          <w:szCs w:val="24"/>
          <w:rtl/>
          <w:lang w:eastAsia="he-IL"/>
        </w:rPr>
        <w:t xml:space="preserve">לְגַבֵּי </w:t>
      </w:r>
      <w:r w:rsidRPr="00007309">
        <w:rPr>
          <w:rFonts w:cs="David" w:hint="cs"/>
          <w:snapToGrid w:val="0"/>
          <w:sz w:val="24"/>
          <w:szCs w:val="24"/>
          <w:rtl/>
          <w:lang w:eastAsia="he-IL"/>
        </w:rPr>
        <w:t>(</w:t>
      </w:r>
      <w:r w:rsidRPr="00007309">
        <w:rPr>
          <w:rFonts w:cs="David"/>
          <w:snapToGrid w:val="0"/>
          <w:sz w:val="24"/>
          <w:szCs w:val="24"/>
          <w:rtl/>
          <w:lang w:eastAsia="he-IL"/>
        </w:rPr>
        <w:t>מְאָה עָלְמִין</w:t>
      </w:r>
      <w:r w:rsidRPr="00007309">
        <w:rPr>
          <w:rFonts w:cs="David" w:hint="cs"/>
          <w:snapToGrid w:val="0"/>
          <w:sz w:val="24"/>
          <w:szCs w:val="24"/>
          <w:rtl/>
          <w:lang w:eastAsia="he-IL"/>
        </w:rPr>
        <w:t>) עילאין</w:t>
      </w:r>
      <w:r w:rsidRPr="00007309">
        <w:rPr>
          <w:rFonts w:cs="David"/>
          <w:snapToGrid w:val="0"/>
          <w:sz w:val="24"/>
          <w:szCs w:val="24"/>
          <w:rtl/>
          <w:lang w:eastAsia="he-IL"/>
        </w:rPr>
        <w:t xml:space="preserve">. לְקַבֵּל דָּא, אָת יו"ד סָלְקָא </w:t>
      </w:r>
      <w:r w:rsidRPr="00007309">
        <w:rPr>
          <w:rFonts w:cs="David"/>
          <w:snapToGrid w:val="0"/>
          <w:sz w:val="24"/>
          <w:szCs w:val="24"/>
          <w:vertAlign w:val="superscript"/>
          <w:rtl/>
          <w:lang w:eastAsia="he-IL"/>
        </w:rPr>
        <w:footnoteReference w:id="9013"/>
      </w:r>
      <w:r w:rsidRPr="00007309">
        <w:rPr>
          <w:rFonts w:cs="David"/>
          <w:snapToGrid w:val="0"/>
          <w:sz w:val="24"/>
          <w:szCs w:val="24"/>
          <w:rtl/>
          <w:lang w:eastAsia="he-IL"/>
        </w:rPr>
        <w:t>בִּרְעוּ דְּמַחֲשָׁבָה, וְאִסְתִּים וְלָא אִתְיְידָע.</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vertAlign w:val="superscript"/>
          <w:rtl/>
          <w:lang w:eastAsia="he-IL"/>
        </w:rPr>
        <w:footnoteReference w:id="9014"/>
      </w:r>
      <w:r w:rsidRPr="00007309">
        <w:rPr>
          <w:rFonts w:cs="David"/>
          <w:snapToGrid w:val="0"/>
          <w:sz w:val="24"/>
          <w:szCs w:val="24"/>
          <w:rtl/>
          <w:lang w:eastAsia="he-IL"/>
        </w:rPr>
        <w:t xml:space="preserve">אִתְחַפְיָיא תְּחוֹתֵיהּ חַד </w:t>
      </w:r>
      <w:r w:rsidRPr="00007309">
        <w:rPr>
          <w:rFonts w:cs="David"/>
          <w:snapToGrid w:val="0"/>
          <w:sz w:val="24"/>
          <w:szCs w:val="24"/>
          <w:vertAlign w:val="superscript"/>
          <w:rtl/>
          <w:lang w:eastAsia="he-IL"/>
        </w:rPr>
        <w:footnoteReference w:id="9015"/>
      </w:r>
      <w:r w:rsidRPr="00007309">
        <w:rPr>
          <w:rFonts w:cs="David"/>
          <w:snapToGrid w:val="0"/>
          <w:sz w:val="24"/>
          <w:szCs w:val="24"/>
          <w:rtl/>
          <w:lang w:eastAsia="he-IL"/>
        </w:rPr>
        <w:t>אֱגוֹזָא דְּחַפְיָיא טְמִירָא בִּטְמִירוּ. וְאִיהוּ רְתִיכָא דְּקָיְימָא תְּחוֹת הַהוּא רָזָא טְמִירָא. וְהַהוּא אָת, קָיְימָא בִּגְנִיזוּ נְקוּדָה חָדָא תְּחוֹתֵיהּ. הַהוּא אֱגוֹזָא קָיְימָא בְּשִׁית סָמְכִין, וְסָמְכִין לָהּ בְּשִׁית סִטְרִין. אִינוּן שִׁית סִטְרִין גְּנִיזִין בְּגוֹ הַהוּא אֱגוֹזָא.</w:t>
      </w:r>
    </w:p>
    <w:p w:rsidR="00007309" w:rsidRPr="00007309" w:rsidRDefault="00007309" w:rsidP="00007309">
      <w:pPr>
        <w:widowControl w:val="0"/>
        <w:jc w:val="both"/>
        <w:rPr>
          <w:rFonts w:cs="David"/>
          <w:snapToGrid w:val="0"/>
          <w:sz w:val="24"/>
          <w:szCs w:val="24"/>
          <w:rtl/>
          <w:lang w:eastAsia="he-IL"/>
        </w:rPr>
      </w:pPr>
      <w:r w:rsidRPr="00007309">
        <w:rPr>
          <w:rFonts w:cs="David" w:hint="cs"/>
          <w:snapToGrid w:val="0"/>
          <w:sz w:val="24"/>
          <w:szCs w:val="24"/>
          <w:rtl/>
          <w:lang w:eastAsia="he-IL"/>
        </w:rPr>
        <w:t>(הבאנו כאן, באמצע 'סתרי אותיות', את הקטע מזהר בראשית דף טז, ואח"כ המשך ה'סתרי אותיות').</w:t>
      </w:r>
    </w:p>
    <w:p w:rsidR="00007309" w:rsidRPr="00007309" w:rsidRDefault="00007309" w:rsidP="00007309">
      <w:pPr>
        <w:keepNext/>
        <w:spacing w:before="240" w:after="60"/>
        <w:outlineLvl w:val="2"/>
        <w:rPr>
          <w:rFonts w:ascii="Cambria" w:hAnsi="Cambria" w:cs="Times New Roman"/>
          <w:b/>
          <w:bCs/>
          <w:sz w:val="26"/>
          <w:szCs w:val="26"/>
          <w:rtl/>
        </w:rPr>
      </w:pPr>
      <w:r w:rsidRPr="00007309">
        <w:rPr>
          <w:rFonts w:ascii="Cambria" w:hAnsi="Cambria" w:cs="Times New Roman" w:hint="cs"/>
          <w:b/>
          <w:bCs/>
          <w:sz w:val="26"/>
          <w:szCs w:val="26"/>
          <w:rtl/>
        </w:rPr>
        <w:t>זהר בראשית דף טז ע"א</w:t>
      </w:r>
    </w:p>
    <w:p w:rsidR="00007309" w:rsidRPr="00007309" w:rsidRDefault="00007309" w:rsidP="00007309">
      <w:pPr>
        <w:widowControl w:val="0"/>
        <w:jc w:val="both"/>
        <w:rPr>
          <w:rFonts w:cs="David"/>
          <w:snapToGrid w:val="0"/>
          <w:sz w:val="24"/>
          <w:szCs w:val="24"/>
          <w:lang w:eastAsia="he-IL"/>
        </w:rPr>
      </w:pPr>
      <w:r w:rsidRPr="00007309">
        <w:rPr>
          <w:rFonts w:cs="David"/>
          <w:snapToGrid w:val="0"/>
          <w:sz w:val="24"/>
          <w:szCs w:val="24"/>
          <w:rtl/>
          <w:lang w:eastAsia="he-IL"/>
        </w:rPr>
        <w:t xml:space="preserve">וְהָאָרֶץ הָיְתָה תוֹהוּ וָבֹהוּ וְגו', הָיְתָה (ל''ט ב) דַיְיקָא מִקַּדְמַת דְּנָא, </w:t>
      </w:r>
      <w:r w:rsidRPr="00007309">
        <w:rPr>
          <w:rFonts w:cs="David"/>
          <w:snapToGrid w:val="0"/>
          <w:sz w:val="24"/>
          <w:szCs w:val="24"/>
          <w:vertAlign w:val="superscript"/>
          <w:rtl/>
          <w:lang w:eastAsia="he-IL"/>
        </w:rPr>
        <w:footnoteReference w:id="9016"/>
      </w:r>
      <w:r w:rsidRPr="00007309">
        <w:rPr>
          <w:rFonts w:cs="David"/>
          <w:snapToGrid w:val="0"/>
          <w:sz w:val="24"/>
          <w:szCs w:val="24"/>
          <w:rtl/>
          <w:lang w:eastAsia="he-IL"/>
        </w:rPr>
        <w:t xml:space="preserve">תַּלְגָא גּוֹ מַיָיא. נַפְקָא מִנָּהּ זוּהֲמָא בְּהַהוּא חֵילָא דְּתַלְגָא בְּמַיָּיא, וְאַקִּישׁ בָּהּ אֶשָׁא תַּקִּיפָא וְהֲוָה בָּהּ פְּסוֹלֶת, </w:t>
      </w:r>
      <w:r w:rsidRPr="00007309">
        <w:rPr>
          <w:rFonts w:cs="David"/>
          <w:snapToGrid w:val="0"/>
          <w:sz w:val="24"/>
          <w:szCs w:val="24"/>
          <w:vertAlign w:val="superscript"/>
          <w:rtl/>
          <w:lang w:eastAsia="he-IL"/>
        </w:rPr>
        <w:footnoteReference w:id="9017"/>
      </w:r>
      <w:r w:rsidRPr="00007309">
        <w:rPr>
          <w:rFonts w:cs="David"/>
          <w:snapToGrid w:val="0"/>
          <w:sz w:val="24"/>
          <w:szCs w:val="24"/>
          <w:rtl/>
          <w:lang w:eastAsia="he-IL"/>
        </w:rPr>
        <w:t>וְאִתְעֲדִיאַת</w:t>
      </w:r>
      <w:r w:rsidRPr="00007309">
        <w:rPr>
          <w:rFonts w:cs="David" w:hint="cs"/>
          <w:snapToGrid w:val="0"/>
          <w:sz w:val="24"/>
          <w:szCs w:val="24"/>
          <w:rtl/>
          <w:lang w:eastAsia="he-IL"/>
        </w:rPr>
        <w:t>,</w:t>
      </w:r>
      <w:r w:rsidRPr="00007309">
        <w:rPr>
          <w:rFonts w:cs="David"/>
          <w:snapToGrid w:val="0"/>
          <w:sz w:val="24"/>
          <w:szCs w:val="24"/>
          <w:rtl/>
          <w:lang w:eastAsia="he-IL"/>
        </w:rPr>
        <w:t xml:space="preserve"> וְאִתְעֲבִידַת </w:t>
      </w:r>
      <w:r w:rsidRPr="00007309">
        <w:rPr>
          <w:rFonts w:cs="David"/>
          <w:snapToGrid w:val="0"/>
          <w:sz w:val="24"/>
          <w:szCs w:val="24"/>
          <w:vertAlign w:val="superscript"/>
          <w:rtl/>
          <w:lang w:eastAsia="he-IL"/>
        </w:rPr>
        <w:footnoteReference w:id="9018"/>
      </w:r>
      <w:r w:rsidRPr="00007309">
        <w:rPr>
          <w:rFonts w:cs="David"/>
          <w:snapToGrid w:val="0"/>
          <w:sz w:val="24"/>
          <w:szCs w:val="24"/>
          <w:rtl/>
          <w:lang w:eastAsia="he-IL"/>
        </w:rPr>
        <w:t xml:space="preserve">תֹּה''וּ מֵאֲתַר (נ''א מדורא) דְּזוּהֲמָא. קִינָא דִפְסוֹלֶת. וָבֹה''וּ בְּרִירוּ דְּאִתְבְּרִיר מִגּוֹ פְּסוֹלֶת וְאִתְיַישַׁב בָּהּ חשֶׁךְ, רָזָא דְּאֶשָׁא תַּקִּיפָא. וְהַהוּא חשֶׁ''ךְ דְחָפֵי (חפי) עַל גַּבֵּי הַהוּא תֹּה''וּ עַל גַּבֵּי הַהוּא פְּסוֹלֶת וְאִתְתַּקָּנַת מִינֵיהּ. </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vertAlign w:val="superscript"/>
          <w:rtl/>
          <w:lang w:eastAsia="he-IL"/>
        </w:rPr>
        <w:footnoteReference w:id="9019"/>
      </w:r>
      <w:r w:rsidRPr="00007309">
        <w:rPr>
          <w:rFonts w:cs="David"/>
          <w:snapToGrid w:val="0"/>
          <w:sz w:val="24"/>
          <w:szCs w:val="24"/>
          <w:rtl/>
          <w:lang w:eastAsia="he-IL"/>
        </w:rPr>
        <w:t xml:space="preserve">וְרוּחַ אֱלהִים, רוּחַ קוּדְשָׁא דְּנָפִיק מֵאֱלהִים חַיִּים </w:t>
      </w:r>
      <w:r w:rsidRPr="00007309">
        <w:rPr>
          <w:rFonts w:cs="David"/>
          <w:snapToGrid w:val="0"/>
          <w:sz w:val="24"/>
          <w:szCs w:val="24"/>
          <w:vertAlign w:val="superscript"/>
          <w:rtl/>
          <w:lang w:eastAsia="he-IL"/>
        </w:rPr>
        <w:footnoteReference w:id="9020"/>
      </w:r>
      <w:r w:rsidRPr="00007309">
        <w:rPr>
          <w:rFonts w:cs="David"/>
          <w:snapToGrid w:val="0"/>
          <w:sz w:val="24"/>
          <w:szCs w:val="24"/>
          <w:rtl/>
          <w:lang w:eastAsia="he-IL"/>
        </w:rPr>
        <w:t xml:space="preserve">וְדָא מְרַחֶפֶת עַל פְּנֵי הַמָּיִם. </w:t>
      </w:r>
      <w:r w:rsidRPr="00007309">
        <w:rPr>
          <w:rFonts w:cs="David"/>
          <w:snapToGrid w:val="0"/>
          <w:sz w:val="24"/>
          <w:szCs w:val="24"/>
          <w:vertAlign w:val="superscript"/>
          <w:rtl/>
          <w:lang w:eastAsia="he-IL"/>
        </w:rPr>
        <w:footnoteReference w:id="9021"/>
      </w:r>
      <w:r w:rsidRPr="00007309">
        <w:rPr>
          <w:rFonts w:cs="David"/>
          <w:snapToGrid w:val="0"/>
          <w:sz w:val="24"/>
          <w:szCs w:val="24"/>
          <w:rtl/>
          <w:lang w:eastAsia="he-IL"/>
        </w:rPr>
        <w:t xml:space="preserve">בָּתַר דְּהַאי רוּחַ נָשִׁיב אִבְרִיר דְּקִיקוּ חַד מִגּוֹ הַהוּא פְּסוֹלֶת כְּטִיסָא דְּזוּהֲמָא. כַּד אִבְרִיר וְאַצְנִיף וְאַצְרִיף זִמְנָא וּתְרֵין עַד דְּיִשְׁתָּאַר הַהוּא זוּהֲמָא דְּלֵית בֵּיהּ זוּהֲמָא כְּלָל, כַּד הַאי תֹּהוּ אִבְרִיר וְאַצְרִיף </w:t>
      </w:r>
      <w:r w:rsidRPr="00007309">
        <w:rPr>
          <w:rFonts w:cs="David"/>
          <w:snapToGrid w:val="0"/>
          <w:sz w:val="24"/>
          <w:szCs w:val="24"/>
          <w:vertAlign w:val="superscript"/>
          <w:rtl/>
          <w:lang w:eastAsia="he-IL"/>
        </w:rPr>
        <w:footnoteReference w:id="9022"/>
      </w:r>
      <w:r w:rsidRPr="00007309">
        <w:rPr>
          <w:rFonts w:cs="David"/>
          <w:snapToGrid w:val="0"/>
          <w:sz w:val="24"/>
          <w:szCs w:val="24"/>
          <w:rtl/>
          <w:lang w:eastAsia="he-IL"/>
        </w:rPr>
        <w:t xml:space="preserve">נָפַק מִינֵיהּ (מלכים א יט) רוּחַ גְּדוֹלָה וְחָזָק מְפָרֵק הָרִים וּמְשַׁבֵּר סְלָעִים (צו ל' ע''א) הַהוּא דְּחָמָא אֵלִיָּהוּ. אִבְרִיר בְּהוּ וְאַצְרִיף וְנָפַק מִנֵיהּ רַעַשׁ דִּכְתִיב, (מלכים א יט) וְאַחַר הָרוּחַ רַעַשׁ. וְאִבְרִיר חשֶׁךְ וְאַכְלִיל בְּרָזָא דִילֵיהּ אֵשׁ דִּכְתִיב וְאַחַר הָרַעַשׁ אֵשׁ. אִבְרִיר רוּחַ וְאִתְכְּלִיל בְּרָזָא דִילֵיהּ (יתרו פ''א ב ותיקון ל''ח) קוֹל דְּמָמָה דַקָּה. </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vertAlign w:val="superscript"/>
          <w:rtl/>
          <w:lang w:eastAsia="he-IL"/>
        </w:rPr>
        <w:footnoteReference w:id="9023"/>
      </w:r>
      <w:r w:rsidRPr="00007309">
        <w:rPr>
          <w:rFonts w:cs="David"/>
          <w:snapToGrid w:val="0"/>
          <w:sz w:val="24"/>
          <w:szCs w:val="24"/>
          <w:rtl/>
          <w:lang w:eastAsia="he-IL"/>
        </w:rPr>
        <w:t xml:space="preserve">תֹּה''וּ אֲתַר דְּלֵית בֵּיהּ גּוָֹון וְלֹא דִּיּוֹקְנָא וְלָא אִתְכְּלִיל בְּרָזָא דְּדִיּוֹקְנָא. הַשְׁתָּא אִיהוּ בְּדִיּוּקְנָא כַּד מִסְתַּכְּלָן בֵּיהּ לֵית לֵיהּ דִּיּוֹקְנָא כְּלָל. לְכֹלָּא אִית לְבוּשָׁא לְאִתְלַבְּשָׁא בַּר הַאי. (דאתחזי ביה וליתיה כלל ולא הוי). </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 xml:space="preserve">בֹּה''וּ לְהַאי אִית לֵיהּ צִיּוּרָא וְדִיּוּקְנָא </w:t>
      </w:r>
      <w:r w:rsidRPr="00007309">
        <w:rPr>
          <w:rFonts w:cs="David"/>
          <w:snapToGrid w:val="0"/>
          <w:sz w:val="24"/>
          <w:szCs w:val="24"/>
          <w:vertAlign w:val="superscript"/>
          <w:rtl/>
          <w:lang w:eastAsia="he-IL"/>
        </w:rPr>
        <w:footnoteReference w:id="9024"/>
      </w:r>
      <w:r w:rsidRPr="00007309">
        <w:rPr>
          <w:rFonts w:cs="David"/>
          <w:snapToGrid w:val="0"/>
          <w:sz w:val="24"/>
          <w:szCs w:val="24"/>
          <w:rtl/>
          <w:lang w:eastAsia="he-IL"/>
        </w:rPr>
        <w:t xml:space="preserve">אַבְנִין מְשַׁקְעִין גּוֹ גְּלִיפָא (נ''א קליפה) דְּתֹהוּ נַפְקֵי גּוֹ גְלִיפָא דִּמְשַׁקְעָן תַּמָּן. וּמִתַּמָּן מַשְׁכֵי תּוֹעַלְתָּא לְעָלְמָא בְּצִיּוּרָא דִלְבוּשָׁא, מַשְׁכֵי תּוֹעַלְתָּא מֵעֵילָא לְתַתָּא וְסָלְקָא מִתַּתָּא לְעֵילָא. וְעַל דָּא נְקוּבִין וּמְפוּלָמִין, הַנֵּי תַּלְיָין בַּאֲוִירָא. לְזִמְנִין תַּלְיָין בַּאֲוִירָא דְּסָלְקֵי מִתַּמָּן לְעֵילָא. לְזִמְנִין מִטַּמְרִין בְּיוֹמָא דְּעִיבָּא וּמְפִיקֵי מַיִין מִגּוֹ תְּהוֹמָא לְאִתְזְנָא תֹּה''וּ מִתַּמָּן דְּהָא כְּדֵין </w:t>
      </w:r>
      <w:r w:rsidRPr="00007309">
        <w:rPr>
          <w:rFonts w:cs="David"/>
          <w:snapToGrid w:val="0"/>
          <w:sz w:val="24"/>
          <w:szCs w:val="24"/>
          <w:vertAlign w:val="superscript"/>
          <w:rtl/>
          <w:lang w:eastAsia="he-IL"/>
        </w:rPr>
        <w:footnoteReference w:id="9025"/>
      </w:r>
      <w:r w:rsidRPr="00007309">
        <w:rPr>
          <w:rFonts w:cs="David"/>
          <w:snapToGrid w:val="0"/>
          <w:sz w:val="24"/>
          <w:szCs w:val="24"/>
          <w:rtl/>
          <w:lang w:eastAsia="he-IL"/>
        </w:rPr>
        <w:t xml:space="preserve">חֶדְוָה וּשְׁטוּתָא (נ''א ושעתא) דְקָא (נ''א דלא) אִתְפַּשַׁט תֹּהוּ בְּעָלְמָא. </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 xml:space="preserve">חשֶׁךָ הוּא אֶשָׁא אוּכְמָא תַּקִּיף בְּגוָֹון. אֶשָׁא סוּמְקָא תַּקִּיף בְּחֵיזוּ. אֶשָׁא יְרוּקָא תַּקִּיף בְּצִיּוּר. (פקודי רמ''ג ותרומה קכ''ח) אֶשָׁא חִיוָורָא גּוָֹון דְּכָלִיל כֹּלָּא. חשֶׁךְ תַּקִּיף בְּכָל אֶשִׁין וְדָא אַתְקִיף לְתֹה''וּ. חשֶׁךְ הוּא אֶשָׁא וְלָאו אִיהוּ אֶשָׁא חֲשׁוֹכָא בַּר כַּד אַתְקִיף לְתֹהוּ, וְרָזָא דָא (בראשית כז) וַתִּכְהֶינָה עֵינָיו מֵרְאוֹת וַיִּקְרָא אֶת עֵשָׂו וְגו'. חשֶׁךְ פְּנֵי רָע דְּאַסְבַּר אַנְפִּין לְרַע, וּכְדֵין אִקְרֵי חשֶׁךְ דְּשָׁרֵי עֲלֵיהּ לְאִתַּקְפָא לֵיהּ. וְרָזָא דָא וְחשֶׁךְ עַל פְּנֵי תְהוֹם. </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vertAlign w:val="superscript"/>
          <w:rtl/>
          <w:lang w:eastAsia="he-IL"/>
        </w:rPr>
        <w:footnoteReference w:id="9026"/>
      </w:r>
      <w:r w:rsidRPr="00007309">
        <w:rPr>
          <w:rFonts w:cs="David"/>
          <w:snapToGrid w:val="0"/>
          <w:sz w:val="24"/>
          <w:szCs w:val="24"/>
          <w:rtl/>
          <w:lang w:eastAsia="he-IL"/>
        </w:rPr>
        <w:t xml:space="preserve">רוּ''חַ הוּא קוֹל דְּשָׁארֵי עַל בֹּהוּ וְאַתְקִיף לֵיהּ וְאַנְהִיג לֵיהּ בְּכָל מַה דְּאִצְטְרִיךְ. וְרָזָא דָא (תהלים כט) קוֹל יְיָ עַל הַמָּיִם. וְכֵן רוּחַ אֱלֹהִים מְרַחֶפֶת עַל פְּנֵי הַמָּיִם. אַבְנִין מְשַׁקְעָן גּוֹ תְּהוֹמֵי דְּנַפְקֵי מַיָּיא מִנְהוֹן. וְעַל דָּא אִקְרוּן פְּנִי הַמָּיִם. רוּחַ אַנְהִיג וְאַתְקִיף לְאִנּוּן פָּנִים פְּנֵי תְהוֹם, דָּא כְּמָה דְּאִצְטְרִיךְ לֵיהּ וְדָא כְּמָה דְּאִצְטְרִיךְ לֵיהּ. </w:t>
      </w:r>
      <w:r w:rsidRPr="00007309">
        <w:rPr>
          <w:rFonts w:cs="David"/>
          <w:snapToGrid w:val="0"/>
          <w:sz w:val="24"/>
          <w:szCs w:val="24"/>
          <w:vertAlign w:val="superscript"/>
          <w:rtl/>
          <w:lang w:eastAsia="he-IL"/>
        </w:rPr>
        <w:footnoteReference w:id="9027"/>
      </w:r>
      <w:r w:rsidRPr="00007309">
        <w:rPr>
          <w:rFonts w:cs="David"/>
          <w:snapToGrid w:val="0"/>
          <w:sz w:val="24"/>
          <w:szCs w:val="24"/>
          <w:rtl/>
          <w:lang w:eastAsia="he-IL"/>
        </w:rPr>
        <w:t xml:space="preserve">תֹּה''וּ עֲלֵיהּ שַׁרְיָא שֵׁם שד''י. בֹּה''וּ עֲלֵיהּ שַׁרְיָא שֵׁם צְבָאוֹ''ת. חשֶׁךְ עֲלֵיהּ שַׁרְיָא שֵׁם אֱלֹהִים. רוּחַ עֲלֵיהּ שַׁרְיָא שֵׁם ידו''ד. </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 xml:space="preserve">רוּחַ חָזָק מְפָרֵק הָרִים לא בָּרוּחַ יְיָ וְגו' שְׁמָא דָא לָא הֲוֵי בֵּיהּ, דְּהָא שד''י שָׁלְטָא עֲלֵיהּ בְּרָזָא (דסתרא) דְּתֹהוּ. </w:t>
      </w:r>
      <w:bookmarkStart w:id="371" w:name="HtmpReportNum0003_L2"/>
      <w:bookmarkStart w:id="372" w:name="דףBטזBע''ב"/>
      <w:bookmarkEnd w:id="371"/>
      <w:bookmarkEnd w:id="372"/>
      <w:r w:rsidRPr="00007309">
        <w:rPr>
          <w:rFonts w:cs="David" w:hint="cs"/>
          <w:snapToGrid w:val="0"/>
          <w:sz w:val="24"/>
          <w:szCs w:val="24"/>
          <w:rtl/>
          <w:lang w:eastAsia="he-IL"/>
        </w:rPr>
        <w:t>(</w:t>
      </w:r>
      <w:hyperlink r:id="rId19" w:anchor="דף טז ע''ב!" w:history="1">
        <w:r w:rsidRPr="00007309">
          <w:rPr>
            <w:rFonts w:cs="David"/>
            <w:snapToGrid w:val="0"/>
            <w:sz w:val="24"/>
            <w:szCs w:val="24"/>
            <w:rtl/>
            <w:lang w:eastAsia="he-IL"/>
          </w:rPr>
          <w:t>דף טז ע''ב</w:t>
        </w:r>
      </w:hyperlink>
      <w:r w:rsidRPr="00007309">
        <w:rPr>
          <w:rFonts w:cs="David" w:hint="cs"/>
          <w:snapToGrid w:val="0"/>
          <w:sz w:val="24"/>
          <w:szCs w:val="24"/>
          <w:rtl/>
          <w:lang w:eastAsia="he-IL"/>
        </w:rPr>
        <w:t xml:space="preserve">) </w:t>
      </w:r>
      <w:r w:rsidRPr="00007309">
        <w:rPr>
          <w:rFonts w:cs="David"/>
          <w:snapToGrid w:val="0"/>
          <w:sz w:val="24"/>
          <w:szCs w:val="24"/>
          <w:rtl/>
          <w:lang w:eastAsia="he-IL"/>
        </w:rPr>
        <w:t xml:space="preserve">וְאַחַר הָרוּחַ רַעַשׁ לֹא בָּרַעַשׁ יְיָ דְּהָא שֵׁם צְבָאוֹת שָׁלְטָא בֵּיהּ בְּרָזָא דְּבֹהוּ. וְעַל דָּא אִקְרֵי בֹּהוּ רַעַשׁ </w:t>
      </w:r>
      <w:r w:rsidRPr="00007309">
        <w:rPr>
          <w:rFonts w:cs="David"/>
          <w:snapToGrid w:val="0"/>
          <w:sz w:val="24"/>
          <w:szCs w:val="24"/>
          <w:vertAlign w:val="superscript"/>
          <w:rtl/>
          <w:lang w:eastAsia="he-IL"/>
        </w:rPr>
        <w:footnoteReference w:id="9028"/>
      </w:r>
      <w:r w:rsidRPr="00007309">
        <w:rPr>
          <w:rFonts w:cs="David"/>
          <w:snapToGrid w:val="0"/>
          <w:sz w:val="24"/>
          <w:szCs w:val="24"/>
          <w:rtl/>
          <w:lang w:eastAsia="he-IL"/>
        </w:rPr>
        <w:t xml:space="preserve">דְּלָאו אִיהוּ בְּלָא רַעַשׁ. וְאַחַר הָרַעַשׁ אֵשׁ לֹא בָּאֵשׁ יְיָ דְּהָא שְׁמָא דְּאֱלהִים שָׁלְטָא בֵּיהּ מִסִּטְרָא דְּחשֶׁךְ. וְאַחַר הָאֵשׁ קוֹל דְּמָמָה דַקָּה הָכָא אִשְׁתְּכַח שֵׁם ידו''ד. אַרְבַּע פִּרְקִין הָכָא דְּאִנּוּן פִּרְקֵי גוּפָא וְאֵבְרִין יְדִיעָן דְּאִנּוּן אַרְבָּעָה </w:t>
      </w:r>
      <w:r w:rsidRPr="00007309">
        <w:rPr>
          <w:rFonts w:cs="David"/>
          <w:snapToGrid w:val="0"/>
          <w:sz w:val="24"/>
          <w:szCs w:val="24"/>
          <w:vertAlign w:val="superscript"/>
          <w:rtl/>
          <w:lang w:eastAsia="he-IL"/>
        </w:rPr>
        <w:footnoteReference w:id="9029"/>
      </w:r>
      <w:r w:rsidRPr="00007309">
        <w:rPr>
          <w:rFonts w:cs="David"/>
          <w:snapToGrid w:val="0"/>
          <w:sz w:val="24"/>
          <w:szCs w:val="24"/>
          <w:rtl/>
          <w:lang w:eastAsia="he-IL"/>
        </w:rPr>
        <w:t xml:space="preserve">וְאִנּוּן תְּרִיסַר וְהָכָא שְׁמָא גְלִיפָא </w:t>
      </w:r>
    </w:p>
    <w:p w:rsidR="00007309" w:rsidRPr="00007309" w:rsidRDefault="00007309" w:rsidP="00007309">
      <w:pPr>
        <w:jc w:val="both"/>
        <w:rPr>
          <w:rFonts w:cs="Arial"/>
          <w:color w:val="000000"/>
          <w:sz w:val="37"/>
          <w:szCs w:val="26"/>
          <w:rtl/>
        </w:rPr>
      </w:pPr>
      <w:r w:rsidRPr="00007309">
        <w:rPr>
          <w:rFonts w:cs="Arial" w:hint="cs"/>
          <w:color w:val="000000"/>
          <w:sz w:val="37"/>
          <w:szCs w:val="26"/>
          <w:rtl/>
        </w:rPr>
        <w:t>(עד כאן מזהר בראשית דף טז ע"ב)</w:t>
      </w:r>
    </w:p>
    <w:p w:rsidR="00007309" w:rsidRPr="00007309" w:rsidRDefault="00007309" w:rsidP="00007309">
      <w:pPr>
        <w:keepNext/>
        <w:spacing w:before="240" w:after="60"/>
        <w:outlineLvl w:val="1"/>
        <w:rPr>
          <w:rFonts w:ascii="Cambria" w:hAnsi="Cambria" w:cs="Times New Roman"/>
          <w:b/>
          <w:bCs/>
          <w:i/>
          <w:iCs/>
          <w:snapToGrid w:val="0"/>
          <w:sz w:val="28"/>
          <w:szCs w:val="28"/>
          <w:rtl/>
          <w:lang w:eastAsia="he-IL"/>
        </w:rPr>
      </w:pPr>
      <w:r w:rsidRPr="00007309">
        <w:rPr>
          <w:rFonts w:ascii="Cambria" w:hAnsi="Cambria" w:cs="Times New Roman" w:hint="cs"/>
          <w:b/>
          <w:bCs/>
          <w:i/>
          <w:iCs/>
          <w:snapToGrid w:val="0"/>
          <w:sz w:val="28"/>
          <w:szCs w:val="28"/>
          <w:rtl/>
          <w:lang w:eastAsia="he-IL"/>
        </w:rPr>
        <w:t xml:space="preserve">המשך ה'סתרי אותיות'. </w:t>
      </w:r>
    </w:p>
    <w:p w:rsidR="00007309" w:rsidRPr="00007309" w:rsidRDefault="00007309" w:rsidP="00007309">
      <w:pPr>
        <w:widowControl w:val="0"/>
        <w:jc w:val="both"/>
        <w:rPr>
          <w:rFonts w:cs="David"/>
          <w:snapToGrid w:val="0"/>
          <w:sz w:val="24"/>
          <w:szCs w:val="24"/>
          <w:rtl/>
          <w:lang w:eastAsia="he-IL"/>
        </w:rPr>
      </w:pPr>
      <w:r w:rsidRPr="00007309">
        <w:rPr>
          <w:rFonts w:cs="David" w:hint="cs"/>
          <w:snapToGrid w:val="0"/>
          <w:sz w:val="24"/>
          <w:szCs w:val="24"/>
          <w:rtl/>
          <w:lang w:eastAsia="he-IL"/>
        </w:rPr>
        <w:t>(חזרנו על הפסקה האחרונה כדי להביא את ביאור הגר"א עליה).</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 xml:space="preserve">אִתְחַפְיָיא תְּחוֹתֵיהּ חַד </w:t>
      </w:r>
      <w:r w:rsidRPr="00007309">
        <w:rPr>
          <w:rFonts w:cs="David"/>
          <w:snapToGrid w:val="0"/>
          <w:sz w:val="24"/>
          <w:szCs w:val="24"/>
          <w:vertAlign w:val="superscript"/>
          <w:rtl/>
          <w:lang w:eastAsia="he-IL"/>
        </w:rPr>
        <w:footnoteReference w:id="9030"/>
      </w:r>
      <w:r w:rsidRPr="00007309">
        <w:rPr>
          <w:rFonts w:cs="David"/>
          <w:snapToGrid w:val="0"/>
          <w:sz w:val="24"/>
          <w:szCs w:val="24"/>
          <w:rtl/>
          <w:lang w:eastAsia="he-IL"/>
        </w:rPr>
        <w:t xml:space="preserve">אֱגוֹזָא דְּחַפְיָיא טְמִירָא בִּטְמִירוּ. </w:t>
      </w:r>
      <w:r w:rsidRPr="00007309">
        <w:rPr>
          <w:rFonts w:cs="David"/>
          <w:snapToGrid w:val="0"/>
          <w:sz w:val="24"/>
          <w:szCs w:val="24"/>
          <w:vertAlign w:val="superscript"/>
          <w:rtl/>
          <w:lang w:eastAsia="he-IL"/>
        </w:rPr>
        <w:footnoteReference w:id="9031"/>
      </w:r>
      <w:r w:rsidRPr="00007309">
        <w:rPr>
          <w:rFonts w:cs="David"/>
          <w:snapToGrid w:val="0"/>
          <w:sz w:val="24"/>
          <w:szCs w:val="24"/>
          <w:rtl/>
          <w:lang w:eastAsia="he-IL"/>
        </w:rPr>
        <w:t xml:space="preserve">וְאִיהוּ רְתִיכָא דְּקָיְימָא תְּחוֹת הַהוּא רָזָא טְמִירָא. </w:t>
      </w:r>
      <w:r w:rsidRPr="00007309">
        <w:rPr>
          <w:rFonts w:cs="David"/>
          <w:snapToGrid w:val="0"/>
          <w:sz w:val="24"/>
          <w:szCs w:val="24"/>
          <w:vertAlign w:val="superscript"/>
          <w:rtl/>
          <w:lang w:eastAsia="he-IL"/>
        </w:rPr>
        <w:footnoteReference w:id="9032"/>
      </w:r>
      <w:r w:rsidRPr="00007309">
        <w:rPr>
          <w:rFonts w:cs="David"/>
          <w:snapToGrid w:val="0"/>
          <w:sz w:val="24"/>
          <w:szCs w:val="24"/>
          <w:rtl/>
          <w:lang w:eastAsia="he-IL"/>
        </w:rPr>
        <w:t xml:space="preserve">וְהַהוּא אָת, קָיְימָא בִּגְנִיזוּ </w:t>
      </w:r>
      <w:r w:rsidRPr="00007309">
        <w:rPr>
          <w:rFonts w:cs="David"/>
          <w:snapToGrid w:val="0"/>
          <w:sz w:val="24"/>
          <w:szCs w:val="24"/>
          <w:vertAlign w:val="superscript"/>
          <w:rtl/>
          <w:lang w:eastAsia="he-IL"/>
        </w:rPr>
        <w:footnoteReference w:id="9033"/>
      </w:r>
      <w:r w:rsidRPr="00007309">
        <w:rPr>
          <w:rFonts w:cs="David"/>
          <w:snapToGrid w:val="0"/>
          <w:sz w:val="24"/>
          <w:szCs w:val="24"/>
          <w:rtl/>
          <w:lang w:eastAsia="he-IL"/>
        </w:rPr>
        <w:t xml:space="preserve">נְקוּדָה חָדָא תְּחוֹתֵיהּ. </w:t>
      </w:r>
      <w:r w:rsidRPr="00007309">
        <w:rPr>
          <w:rFonts w:cs="David"/>
          <w:snapToGrid w:val="0"/>
          <w:sz w:val="24"/>
          <w:szCs w:val="24"/>
          <w:vertAlign w:val="superscript"/>
          <w:rtl/>
          <w:lang w:eastAsia="he-IL"/>
        </w:rPr>
        <w:footnoteReference w:id="9034"/>
      </w:r>
      <w:r w:rsidRPr="00007309">
        <w:rPr>
          <w:rFonts w:cs="David"/>
          <w:snapToGrid w:val="0"/>
          <w:sz w:val="24"/>
          <w:szCs w:val="24"/>
          <w:rtl/>
          <w:lang w:eastAsia="he-IL"/>
        </w:rPr>
        <w:t>הַהוּא אֱגוֹזָא קָיְימָא בְּשִׁית סָמְכִין, וְסָמְכִין לָהּ בְּשִׁית סִטְרִין. אִינוּן שִׁית סִטְרִין גְּנִיזִין בְּגוֹ הַהוּא אֱגוֹזָא.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 xml:space="preserve">מִגּוֹ סִטְרָא (סתרא) דְּאָת דָּא, </w:t>
      </w:r>
      <w:r w:rsidRPr="00007309">
        <w:rPr>
          <w:rFonts w:cs="David"/>
          <w:snapToGrid w:val="0"/>
          <w:sz w:val="24"/>
          <w:szCs w:val="24"/>
          <w:vertAlign w:val="superscript"/>
          <w:rtl/>
          <w:lang w:eastAsia="he-IL"/>
        </w:rPr>
        <w:footnoteReference w:id="9035"/>
      </w:r>
      <w:r w:rsidRPr="00007309">
        <w:rPr>
          <w:rFonts w:cs="David"/>
          <w:snapToGrid w:val="0"/>
          <w:sz w:val="24"/>
          <w:szCs w:val="24"/>
          <w:rtl/>
          <w:lang w:eastAsia="he-IL"/>
        </w:rPr>
        <w:t xml:space="preserve">נָפְקָא רְתִיכָא חַד קַדִּישָׁא, וְאִיהִי רְתִיכָא דְּגָּנֵיז וְלָא אִתְגַלְיָיא, בַּר כַּד נָהִיר נְהִירוּ דְּהַהוּא אֱגוֹזָא טְמִירָא, כְּדֵין אִתְגְּלֵי הַהוּא רְתִיכָא, </w:t>
      </w:r>
      <w:r w:rsidRPr="00007309">
        <w:rPr>
          <w:rFonts w:cs="David"/>
          <w:snapToGrid w:val="0"/>
          <w:sz w:val="24"/>
          <w:szCs w:val="24"/>
          <w:vertAlign w:val="superscript"/>
          <w:rtl/>
          <w:lang w:eastAsia="he-IL"/>
        </w:rPr>
        <w:footnoteReference w:id="9036"/>
      </w:r>
      <w:r w:rsidRPr="00007309">
        <w:rPr>
          <w:rFonts w:cs="David"/>
          <w:snapToGrid w:val="0"/>
          <w:sz w:val="24"/>
          <w:szCs w:val="24"/>
          <w:rtl/>
          <w:lang w:eastAsia="he-IL"/>
        </w:rPr>
        <w:t>וְהַהוּא רְתִיכָא טָמִיר וְגַלְיָא.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 xml:space="preserve">וְאִיהִי נָפְקָא מִגּוֹ נְצִיצוּ דְּבוּצִינָא, כַּד מָדִיד מִשְׁחָתָא תְּחוֹת קִשְׁרָא קַדְמָאָה, וְהַהוּא (נ"א וְהוּא חַד) נְצִיצוּ. כַּד מִשְׁחָתָא קָיְימָא, נָהִיר דָּא, וְסָלְקָא וְנָחֲתָא, וְאִסְתְּמִיךְ תְּחוֹת אָת יו"ד, וְאִיהִי נְקוּדָה חָדָא. </w:t>
      </w:r>
      <w:r w:rsidRPr="00007309">
        <w:rPr>
          <w:rFonts w:cs="David"/>
          <w:snapToGrid w:val="0"/>
          <w:sz w:val="24"/>
          <w:szCs w:val="24"/>
          <w:vertAlign w:val="superscript"/>
          <w:rtl/>
          <w:lang w:eastAsia="he-IL"/>
        </w:rPr>
        <w:footnoteReference w:id="9037"/>
      </w:r>
      <w:r w:rsidRPr="00007309">
        <w:rPr>
          <w:rFonts w:cs="David"/>
          <w:snapToGrid w:val="0"/>
          <w:sz w:val="24"/>
          <w:szCs w:val="24"/>
          <w:rtl/>
          <w:lang w:eastAsia="he-IL"/>
        </w:rPr>
        <w:t>וּלְבָתַר אִתְפַּשַּׁט הַהוּא נְצִיצוּ, וְאַפִּיק תְּלַת נִיצוֹצִין אָחֳרָנִין, וְאִסְתַּמְּכִין תְּחוֹת קוּצָא תַּתָּאָה דְּיו"ד.</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לְבָתַר נָפְקָא מִגּוֹ קִשְּׁרָא תִּנְיָינָא נְצִיצוּ אָחֳרָא דְּנָהִיר וְסַלְקָא וְנָחֲתָא, וְאִסְתְּמִיךְ תְּחוֹת אָת יו"ד בְּסִטְרָא אָחֳרָא. לְבָתַר אִתְפַּשַּׁט הַהוּא נְצִיצוּ, וְאַפִּיק תְּלַת נִיצוֹצִין אָחֳרָנִין, וְאִסְתַּמְּכָן בְּסִטְרָא דָא, תְּחוֹת אָת יו"ד. לְבָתַר נָפְקָא מִגּוֹ קִשְׁרָא תְּלִיתָאָה נְצִיצוּ אָחֳרָא, (נ"א בסטר אחרא) וּמִגּוֹ דָא אִתְקַשַּׁר רָזָא דְּחוֹ"ל בְּמִשְׁחָתָא דְּבוּצִינָא.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 xml:space="preserve">אִשְׁתְּכָחוּ לְאָת יו"ד, נְקוּדָה עִלָּאָה, תִּשְׁעָה סָמְכִין, עַל מַה דְּאִסְתַּמֵּיךְ. וְכֻלְהוּ רְתִיכָא לְגַבֵּי אָת דָּא. כְּדֵין אִתְנְהֵיר וְאִסְתַּמֵּיךְ עַל תֵּשַׁע סָמְכִין אִלֵּין, </w:t>
      </w:r>
      <w:r w:rsidRPr="00007309">
        <w:rPr>
          <w:rFonts w:cs="David"/>
          <w:snapToGrid w:val="0"/>
          <w:sz w:val="24"/>
          <w:szCs w:val="24"/>
          <w:vertAlign w:val="superscript"/>
          <w:rtl/>
          <w:lang w:eastAsia="he-IL"/>
        </w:rPr>
        <w:footnoteReference w:id="9038"/>
      </w:r>
      <w:r w:rsidRPr="00007309">
        <w:rPr>
          <w:rFonts w:cs="David"/>
          <w:snapToGrid w:val="0"/>
          <w:sz w:val="24"/>
          <w:szCs w:val="24"/>
          <w:rtl/>
          <w:lang w:eastAsia="he-IL"/>
        </w:rPr>
        <w:t>וּכְדֵין נָהֲרִין מִגַּוֵּיהּ תְּמַנְיָא אָחֳרָנִין, וְכֻלְהוּ קָיְימִין בְּרָזָא דְּאָת יו"ד, נְקוּדָה עִלָּאָה טְמִירָא</w:t>
      </w:r>
      <w:r w:rsidRPr="00007309">
        <w:rPr>
          <w:rFonts w:cs="David" w:hint="cs"/>
          <w:snapToGrid w:val="0"/>
          <w:sz w:val="24"/>
          <w:szCs w:val="24"/>
          <w:rtl/>
          <w:lang w:eastAsia="he-IL"/>
        </w:rPr>
        <w:t xml:space="preserve">, </w:t>
      </w:r>
      <w:r w:rsidRPr="00007309">
        <w:rPr>
          <w:rFonts w:cs="David"/>
          <w:snapToGrid w:val="0"/>
          <w:sz w:val="24"/>
          <w:szCs w:val="24"/>
          <w:vertAlign w:val="superscript"/>
          <w:rtl/>
          <w:lang w:eastAsia="he-IL"/>
        </w:rPr>
        <w:footnoteReference w:id="9039"/>
      </w:r>
      <w:r w:rsidRPr="00007309">
        <w:rPr>
          <w:rFonts w:cs="David"/>
          <w:snapToGrid w:val="0"/>
          <w:sz w:val="24"/>
          <w:szCs w:val="24"/>
          <w:rtl/>
          <w:lang w:eastAsia="he-IL"/>
        </w:rPr>
        <w:t>אִלֵּין תֵּשַׁע סָמְכִין דִּלְתַתָּא, סָלְקִין בִּשְׁמָא וְלָא סָלְקִין</w:t>
      </w:r>
      <w:r w:rsidRPr="00007309">
        <w:rPr>
          <w:rFonts w:cs="David" w:hint="cs"/>
          <w:snapToGrid w:val="0"/>
          <w:sz w:val="24"/>
          <w:szCs w:val="24"/>
          <w:rtl/>
          <w:lang w:eastAsia="he-IL"/>
        </w:rPr>
        <w:t>,</w:t>
      </w:r>
      <w:r w:rsidRPr="00007309">
        <w:rPr>
          <w:rFonts w:cs="David"/>
          <w:snapToGrid w:val="0"/>
          <w:sz w:val="24"/>
          <w:szCs w:val="24"/>
          <w:rtl/>
          <w:lang w:eastAsia="he-IL"/>
        </w:rPr>
        <w:t xml:space="preserve"> בְּגִין </w:t>
      </w:r>
      <w:r w:rsidRPr="00007309">
        <w:rPr>
          <w:rFonts w:cs="David"/>
          <w:snapToGrid w:val="0"/>
          <w:sz w:val="24"/>
          <w:szCs w:val="24"/>
          <w:vertAlign w:val="superscript"/>
          <w:rtl/>
          <w:lang w:eastAsia="he-IL"/>
        </w:rPr>
        <w:footnoteReference w:id="9040"/>
      </w:r>
      <w:r w:rsidRPr="00007309">
        <w:rPr>
          <w:rFonts w:cs="David"/>
          <w:snapToGrid w:val="0"/>
          <w:sz w:val="24"/>
          <w:szCs w:val="24"/>
          <w:rtl/>
          <w:lang w:eastAsia="he-IL"/>
        </w:rPr>
        <w:t>אִינוּן תֵּשַׁע דְּאִיקְרוֹן אֵין סוֹף</w:t>
      </w:r>
      <w:r w:rsidRPr="00007309">
        <w:rPr>
          <w:rFonts w:cs="David" w:hint="cs"/>
          <w:snapToGrid w:val="0"/>
          <w:sz w:val="24"/>
          <w:szCs w:val="24"/>
          <w:rtl/>
          <w:lang w:eastAsia="he-IL"/>
        </w:rPr>
        <w:t>,</w:t>
      </w:r>
      <w:r w:rsidRPr="00007309">
        <w:rPr>
          <w:rFonts w:cs="David"/>
          <w:snapToGrid w:val="0"/>
          <w:sz w:val="24"/>
          <w:szCs w:val="24"/>
          <w:rtl/>
          <w:lang w:eastAsia="he-IL"/>
        </w:rPr>
        <w:t xml:space="preserve"> קָיְימִין וְלָא קָיְימִין, וְלָא אִתְיְידָעוּ, וְאִיקְרוֹן וְלָא אִיקְרוֹן, וְלָא יְדִיעוּ כְּלָל, וְאִלֵּין סָלְקִין בִּשְׁמָא וְלָא סָלְקִין.</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 xml:space="preserve">וְרָזָא דָא (שמות לג ט) וְקָרָאתִי בְּשֵׁם ה' לְפָנֶי"ךָ </w:t>
      </w:r>
      <w:r w:rsidRPr="00007309">
        <w:rPr>
          <w:rFonts w:cs="David"/>
          <w:snapToGrid w:val="0"/>
          <w:sz w:val="24"/>
          <w:szCs w:val="24"/>
          <w:vertAlign w:val="superscript"/>
          <w:rtl/>
          <w:lang w:eastAsia="he-IL"/>
        </w:rPr>
        <w:footnoteReference w:id="9041"/>
      </w:r>
      <w:r w:rsidRPr="00007309">
        <w:rPr>
          <w:rFonts w:cs="David"/>
          <w:snapToGrid w:val="0"/>
          <w:sz w:val="24"/>
          <w:szCs w:val="24"/>
          <w:rtl/>
          <w:lang w:eastAsia="he-IL"/>
        </w:rPr>
        <w:t xml:space="preserve">וְחַנּוֹתִי אֵת אֲשֶׁר אָחוֹן וְרִחַמְתִּי אֵת אֲשֶׁר אֲרַחֵם. לֵית מַאן דְּיָקוּם בְּהוֹן וּבִשְׁמָהָן דִּילְהוֹן, וְלָא אִתְגַלְּיָין לְמֵיקַם בְּאָרְחַיְיהוּ. וְעַל דָּא לָא קָאִים משֶׁה עֲלַיְיהוּ. </w:t>
      </w:r>
      <w:r w:rsidRPr="00007309">
        <w:rPr>
          <w:rFonts w:cs="David"/>
          <w:snapToGrid w:val="0"/>
          <w:sz w:val="24"/>
          <w:szCs w:val="24"/>
          <w:vertAlign w:val="superscript"/>
          <w:rtl/>
          <w:lang w:eastAsia="he-IL"/>
        </w:rPr>
        <w:footnoteReference w:id="9042"/>
      </w:r>
      <w:r w:rsidRPr="00007309">
        <w:rPr>
          <w:rFonts w:cs="David"/>
          <w:snapToGrid w:val="0"/>
          <w:sz w:val="24"/>
          <w:szCs w:val="24"/>
          <w:rtl/>
          <w:lang w:eastAsia="he-IL"/>
        </w:rPr>
        <w:t xml:space="preserve">בְּגִין דְּהֲווּ מִקַּדְמַת דַּרְגָּא דִילֵיהּ </w:t>
      </w:r>
      <w:r w:rsidRPr="00007309">
        <w:rPr>
          <w:rFonts w:cs="David"/>
          <w:snapToGrid w:val="0"/>
          <w:sz w:val="24"/>
          <w:szCs w:val="24"/>
          <w:vertAlign w:val="superscript"/>
          <w:rtl/>
          <w:lang w:eastAsia="he-IL"/>
        </w:rPr>
        <w:footnoteReference w:id="9043"/>
      </w:r>
      <w:r w:rsidRPr="00007309">
        <w:rPr>
          <w:rFonts w:cs="David"/>
          <w:snapToGrid w:val="0"/>
          <w:sz w:val="24"/>
          <w:szCs w:val="24"/>
          <w:rtl/>
          <w:lang w:eastAsia="he-IL"/>
        </w:rPr>
        <w:t xml:space="preserve">דְּהַהוּא נְצִיצוּ קַדְמָאָה, כְּתִיב לְפָנֶיךָ. </w:t>
      </w:r>
      <w:r w:rsidRPr="00007309">
        <w:rPr>
          <w:rFonts w:cs="David"/>
          <w:snapToGrid w:val="0"/>
          <w:sz w:val="24"/>
          <w:szCs w:val="24"/>
          <w:vertAlign w:val="superscript"/>
          <w:rtl/>
          <w:lang w:eastAsia="he-IL"/>
        </w:rPr>
        <w:footnoteReference w:id="9044"/>
      </w:r>
      <w:r w:rsidRPr="00007309">
        <w:rPr>
          <w:rFonts w:cs="David"/>
          <w:snapToGrid w:val="0"/>
          <w:sz w:val="24"/>
          <w:szCs w:val="24"/>
          <w:rtl/>
          <w:lang w:eastAsia="he-IL"/>
        </w:rPr>
        <w:t>וְכֵן כּוּלְהוֹ קָיְימִין, אַקְדִּימוּ לְדַרְגָּא דִילֵיהּ. וְעַל דָּא לָא קָאִים בְּאוֹרְחוֹי דְּקוּדְשָׁא בְרִיךְ הוּא, בְּגִין דְּכֻלְהוּ סָלְקִין גּוֹ מַחֲשָׁבָה, וּמִתַּמָּן מִתְפַּשְׁטִין אוֹרְחוֹי לְכַמָּה סִטְרִין, בִּרְעוּתֵיהּ דְּקוּדְשָׁא בְּרִיךְ הוּא, וְלָא אִתְיְידָעוּ כְּלָל.</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vertAlign w:val="superscript"/>
          <w:rtl/>
          <w:lang w:eastAsia="he-IL"/>
        </w:rPr>
        <w:footnoteReference w:id="9045"/>
      </w:r>
      <w:r w:rsidRPr="00007309">
        <w:rPr>
          <w:rFonts w:cs="David"/>
          <w:snapToGrid w:val="0"/>
          <w:sz w:val="24"/>
          <w:szCs w:val="24"/>
          <w:rtl/>
          <w:lang w:eastAsia="he-IL"/>
        </w:rPr>
        <w:t>סָלְקָא אָת דָּא, בְּאִלֵּין סָמְכִין לְעֵילָא, בָּטַשׁ מָאן דְּבָטַשׁ, דְּלָא יְדִיעַ, וְאֵין סוֹף נָהִיר וְלָא נָהִיר, וְנָחֲתָא, וְלָא יְדִיעַ מִמָּאן דְּנָהִיר. כַּד נָחִית אִתְכְּלִילָן בֵּיהּ אִינוּן סָמְכִין וְאִתְפַּשַּׁט. וְכַד אִתְפַּשַּׁט, נְפַק חַד נְהוֹרָא כָּלִיל, וְאִתְחַפְיָין בֵּיהּ, כְּמַאן דְּעָיֵיל בְּחַד הֵיכָלָא.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הַהוּא הֵיכָלָא קָיְימָא בִּתְרֵין סִטְרִין, דִּלְחַפְיָיא וְאִתְגַּלְּיָיא לְעֵילָא. וְאִינוּן תֵּשַׁע סָמְכִין, נָהֲרִין בְּגוֹ הַהוּא הֵיכָלָא, וְאָת יו"ד אִגְנִיז בְּגוֹ הַהוּא הֵיכָלָא, בְּאִינוּן סָמְכִין. וְהַהוּא הֵיכָלָא אִיקְרֵי ה"א.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זַמִּין וְלָא זַמִּין, אִתְגַּלְּיָיא וְלָא אִתְגַּלְּיָיא, וְלָא אִתְגַּלְּיָיא כְּלָל. בְּרָזָא דָא קָיְימָא אָת יו"ד, וְכֻלְהוּ סָמְכִין, בְּגִין דְּאִיהִי טְמִירָא, וּבָהּ קָיְימָא כֹּלָּא לְאִתְעַטְּרָא.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הַאי אִית לֵיהּ חָמֵשׁ רְתִיכִין, דְּנָפְקֵי מִגּוֹ הַהוּא נְהִירוּ דְבוּצִינָא, כַּד סָלְקָא לְאַתְרָהּ וְאִתְכְּנֵישַׁת, לְבָתַר דַּעֲבָדַת מִשְׁחָתָא.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וְאִלֵּין אִקְרוֹן נִפְלָאוֹת, נ' פְּלָאוֹת. רָזָא דָא בָּעָא דָּוִד מַלְכָּא לְמֵיקַם, עַל חָמֵשׁ רְתִיכִין אִלֵּין, כְּמָה דְאַתְּ אָמֵר (תהלים קיט יח) גַּל עֵינַי וְאַבִּיטָה נִפְלָאוֹת מִתּוֹרָתֶךָ. וְאִלֵּין כַּד נָהֲרִין וְסָלְקִין לָהּ לְאִתְעַטְּרָא, אִתְעֲבִידוּ חָמֵשׁ, לְנַהֲרָא גּוֹ חָמֵשׁ דִּלְתַתָּא, וּדְנָפְקִין מִינָהּ.</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וְאִינְהוּ נ' פְּלָאוֹת, נָהֲרִין וְסָלְקִין לָהּ לְעֵילָא וְאִתְעַטְּרָן וְאִתְקַשְּׁרָן גּוֹ אִינוּן תֵּשַׁע סָמְכִין אָחֳרָנִין. וְאִינוּן תֵּשַׁע סָלְקִין לְאָת יו"ד לְעֵילָא לְעֵילָא.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וְכַּד נָחֲתִין, לָא יְדִיעַ מִמַּאן נָחֲתִין, הַאי ה"א אִתְעַטְּרַת בְּרָזָא דְּאִינוּן חַמְשִׁין, וְאִינוּן פְּלָאוֹת, דְּאִינוּן חָמֵשׁ סָמְכִין לְגַוָּוהּ. וְכַד אִתְעַטְּרַת וְאִתְפַּשְּׁטַת, אִתְהַדְּרַת מֵרָזָא דְּנו"ן, לְגוֹ רָזָא דְּה"א.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וְאִתְפַּשִּׁיטוּ אִילֵּין חָמֵשׁ סָמְכִין לְתַתָּא, וְקָיְימָא עֲלַיְיהוּ כְּדֵין. וְכַד אִתְנְהֵירַת בְּכֻלְהוּ, כְּדֵין נָפְקִין מִינָהּ חָמֵשׁ נְהוֹרִין אָחֳרָנִין, מִשְׁתַּנִּין וְלָא מִשְׁתַּנִּין, יָמִינָא וּשְׂמָאלָא.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מִכָּאן וּלְהָלְאָה, קָיְימָא מִלָּה לְאִסְתַּמָּכָא עַל רָזָא עִלָּאָה, בְּרָזָא דִּשְׁמָא קַדִּישָׁא, לְמֶהֱוֵי סָתִים דָּא בְּדָא, וּלְאִשְׁתַּכְלְלָא רְתִיכָא קַדִּישָׁא.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וְאִלֵּין חָמֵשׁ, אִינוּן אַרְבַּע, וְאִינוּן חָמֵשׁ לָקֳבֵיל חָמֵשׁ סָמְכִין. וְאִינוּן אַרְבַּע לָקֳבֵיל אַרְבַּע סִטְרֵי עָלְמָא. וְכָל חַד וְחַד אִית לֵיהּ רְתִיכָא בִּלְחוֹדוֹי.</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וְכֻלְהוּ רְתִיכִין, כֻּלְהוּ כְּלִילָן כָּל רְתִיכָא וּרְתִיכָא בִּנְהוֹרָא חַד, וְכָל נְהוֹרָא וּנְהוֹרָא אִתְכְּלִיל בְּאִינוּן סְמָכִין, וְכָל סְמָכָא וּסְמָכָא אִתְכְּלִיל בְּאָת ה"א. וְהַאי אָת ה"א אִתְכְּלִיל בְּאִינוּן תֵּשַׁע סְמָכִין. וְכָל חַד וְחַד אִתְכְּלִיל בְּאָת יו"ד נְקוּדָה עִלָּאָה קַדְמָאָה, לְמֶהֱוֵי כֹּלָּא חַד.</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מֵהָכָא אִשְׁתְּכָחוּ רְתִיכִין, דְּסָלְקִין עַל אָת ה"א מִתַּתָּא לְעֵילָא, כ"ה רְתִיכִין. וְרָזָא דָא, יְבָרְכוּ כ"ה מִתַּתָּא לְעֵילָא.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מֵאָת ה"א וּלְעֵילָא תֵּשַׁע רְתִיכִין, דְּקָיְימִין בִּלְחוֹדוֹי בְּלָא חוּשְׁבְּנָא, עַד רָזָא דְּיו"ד, וְכֹלָּא אִסְתֵּים בְּגַוֵּיהּ. מִכָּאן וּלְהָלְאָה רָזָא דִשְׁמָא קַדִּישָׁא, לְאִתְעַטְּרָא בְּאִינוּן רְתִיכִין, וּלְאִתְכְּלָלָא דָּא בְּדָא, בְּאִלֵּין אַתְוָון יהו"ה.</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אָמַר רַבִּי שִׁמְעוֹן, קוּדְשָׁא בְרִיךְ הוּא אִיקְרֵי אֶחָד, דִּכְתִיב (דברים ו ד) ה' אֱלֹהֵינוּ ה' אֶחָד. קוּדְשָׁא בְרִיךְ הוּא אִיקְרֵי רִאשׁוֹן, דִּכְתִיב (ישעיהו מד ו) אֲנִי רִאשׁוֹן. קוּדְשָׁא בְרִיךְ הוּא אִיקְרֵי אַחֲרוֹן, דִּכְתִיב (שם) וַאֲנִי אַחֲרוֹן. בְּרִיךְ הוּא וּבְרִיךְ שְׁמֵיהּ לְעָלַם וּלְעָלְמֵי עָלְמַיָא.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ה"א רָזָא דִּכְתִיב וַאֲנִי אַחֲרוֹן, דָּא ה"א בַּתְרָאָה דִּשְׁמָא קַדִּישָׁא. רְתִיכָא קַדִּישָׁא בָּאַחֲרוֹן, דִּכְתִיב (שם מא ד) וְאֶת אַחֲרוֹנִים אֲנִי הוּא. אַחֲרוֹן וְאַחֲרוֹנִים כֻּלְהוּ בְּרָזָא חָדָא אִתְכְּלִילוּ אִלֵּין בְּאִלֵּין. רָזָא דְּה"א, אִינוּן ד', וְאִלֵּין ד' דְּאִיקְרוֹן אַחֲרוֹנִים, כֻּלְהוּ קָיְימִין מִסִּטְרָא דִּלְעֵילָא וּמִסִּטְרָא דִּלְתַתָּא.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רְתִיכָא דָא, מִיכָאֵל גַּבְרִיאֵל רְפָאֵל אוֹרִיאֵל, אִלֵּין אִינוּן אַרְבַּע, וְחָדָא נְקוּדָה דְּקָיְימָא עֲלַיְיהוּ אִינוּן ה"א. וְלָא אִיקְרֵי ה"א דָּא, אֶלָּא בְּרָזָא (דף ד ע"ב) דְּאִלֵּין אַרְבַּע, וּנְקוּדָה בַּתְרָאָה דְּשַׁרְיָיא עֲלַיְיהוּ. וְרָזָא דְּה"א דָּא דל"ת הֲוַת, וְהַהוּא נְקוּדָה דְּשָׁרְיָיא עֲלַיְיהוּ בְּאֶמְצָעִיתָא אִתְעֲבִיד ה"א.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וּבְרָזָא דַּחֲנוֹךְ, אִית ה"א אָחֳרָא לְתַתָּא, דְּקָיְימָא מִתְקַשְּׁרָא בְּהַאי ה"א, וְכֹלָּא חַד בְּחַד, וּכְדֵין אִיהוּ עִידָן לְמִבְכֵּי, וְסִימָנֵיךְ אַהָה.</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בְּגִין דְּסַחֲרָנֵי בִּישָׁא לְתַתָּא, חַפְיָיא כְּגַוְונָא דְּדל"ת, וְסַחֲרָא לְאִלֵּין אַרְבַּע, וּלְהַאי נְקוּדָה. וְקָיְימָא בְּהַאי נְקוּדָה קְלִיפָּא תַּקִּיפָא, לְחַפְיָיא עֲלָהּ. וּכְדֵין אִתְכַּסִּיאַת סִיהֲרָא, וּנְהִירוּ דִּילָהּ אִתְחַפְיָיא, וּכְדֵין אִתְיְיהֵב רְשׁוּ לְמֵידַן עָלְמָא בְּדִינִין בִּישִׁין. וְרָזָא דְּה"א וְה"א בַּתְרָאָה תַּרְוַויְיהוּ בְּחַד נְקוּדָה ה"ה. דְּהָא כְּדֵין דִּינָא אִתְיְהִיב בְּרָזָא דִּכְתִיב (דניאל ד יד) בִּגְזֵרַת עִירִין פִּתְגָמָא וּמֵאמַר קַדִּישִׁין שְׁאֵלְתָא עַד דִּבְרַת.</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רְתִיכָא דָא קָיְימָא בְּה"א בַּתְרָאָה, לָא אִיתְפָּרְשָׁן דָּא מִן דָּא לְעָלְמִין. וּבְכָל אֲתַר דְּיִשְׁתְּכַח מִיכָאֵל דְּאִיהוּ רֵישָׁא לְאִלֵּין, תַּמָּן אִיהִי שְׁכִינְתָּא. כֹּלָּא אִתְקַשַּׁר דָּא בְּדָא, וְאִינוּן מִתְקַשְּׁרִין גּוֹ הַהִיא נְקוּדָה וְכֹלָּא ה"א.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וְכַד אִיהִי חַד ה"א, וְאָת אל"ף אוֹ אָת יו"ד קָדְמָא לָהּ, וְאִיהִי בְּחַד נְקוּדָה, כְּדֵין אִיהִי אַתְיָיא לְאוֹטָבָא לְעָלְמָא, א"ה אוֹ י"ה, דְּהָא קְלִיפָּא בִּישָׁא אִיתַּבְרַת מִקַּמָּהּ, וְלָא חַפְיָיא עֲלָהּ. הָא' י', קָיְימָא בְּרָזָא דָא.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כְּגַוְונָא דָא, לֵית לָךְ שְׁמָא קַדִּישָׁא בְּאַתְוָון רְשִׁימִין, דְּלָא קָיְימָא בְּהַהוּא אָת רְתִיכָא דִּילֵיהּ, בְּהַהוּא שְׁמָא, עַל מַה דְּאִיסְתַּמֵּיךְ. וְהַהוּא רְתִיכָא סְמָכָה דִילֵיהּ. דְּלֵית לָךְ מַלְכָּא דְּלָא אָתֵי בְּחֵילוֹי וְלָא אִשְׁתְּכַח יְחִידָאי, וְעַל דָּא יהו"ה צְבָאוֹת כֹּלָּא כַּחֲדָא, דְּלָא אִיתְפַּרְשָׁן רְתִיכִין מִן שְׁמָא קַדִּישָׁא, וְכָל אָת וְאָת כָּלִיל בְּגַוֵּיהּ רְתִיכָא דִּילֵיהּ, וּכְדֵין כֹּלָּא אִיהוּ שְׁמָא קַדִּישָׁא.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הַאי אָת ה"א, אִית לָהּ רְתִיכָא, בְּאִינוּן שַׁלִּיטִין לְתַתָּא. בְּגִין דְּאָת דָּא אִיהִי בְּאִתְגַּלְּיָיא, זְעִירָא דְּמִן חַבְרַיָיא. אֲבָל כֻּלְהוּ אַתְוָון אָחֳרָנִין, לֵית לוֹן רְתִיכָא, לְאִתְכְּלָלָא בְּאִינוּן אַתְוָון, בְּאִלֵּין תַּתָּאֵי, בַּר הַאי. בְּגִין דְּאָת דָּא אִתְכְּלִיל בְּתַתָּאי דִּלְבַר, וְאַתְוָון אָחֳרָנִין אִתְכְּלִילוּ בְּהוֹן רְתִיכִין קַדִּישִׁין דְּלָאו אִינוּן לְבַר. בַּר, כַּד מִתְחַבְּרָן הֵיכָלִין בְּהֵיכָלִין, תַּתָּאֵי בְּעִילָּאֵי, אֲבָל לָא אִיתְכְּלִילָן בְּאִינוּן אַתְוָון לְמֶהֱוֵי חַד אָת.</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וּבְגִין כָּךְ, אָת וְאָת מִשְׁמָא קַדִּישָׁא, אִתְכְּלִיל רְתִיכֵיה (כָּל שְׁמָא וּשְׁמָא מִן שְׁמָהָן קַדִּישִׁין, כָּלִיל רְתִיכָא קַדִּישָׁא בְּגַוֵּיהּ) בְּגַוֵּיהּ וְדָא הוּא שְׁמָא קַדִּישָׁא כִּדְקָא יָאוֹת. וְכֵן לְכָל אָת וְאָת מֵאִינוּן אַרְבַּע. וְאִינוּן אַרְבַּע אַתְוָון, אִינוּן רָזָא דִרְתִיכָא, לְמַאן דְּלָא אִתְיְידָע. וּלְכָל אָת וְאָת, אִית לֵיהּ רְתִיכָא דְּאִתְכְּלִיל בְּגַוֵּיהּ, וְאִתְרְשִׁים בְּהַהוּא אָת מַמָּשׁ.</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הַאי ה"א, אִיהִי תְּרֵיסַר. וְהַאי נְקוּדָה דְּקָיְימָא לְעֵילָא, אִיהִי תְּלֵיסַר. וְאִינוּן תְּלֵיסַר מְכִילָן דְּרַחֲמֵי לְתַתָּא, כְּגַוְונָא דִלְעֵילָא. הַנֵּי תְּרֵיסַר, אִינוּן תְּרֵיסַר תְּחוּמִין, וְאִינוּן לְאַרְבַּע סִטְרֵי עָלְמָא, תְּלַת תְּלַת לְכָל סְטַר.</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וְאִינוּן תְּלַת, אִינוּן תִּשְׁעָה לְכָל סְטַר. לִסְטַר מִזְרָח תִּשְׁעָה. לִסְטַר מַעֲרָב תִּשְׁעָה. לִסְטַר צָפוֹן תִּשְׁעָה. לִסְטַר דָּרוֹם תִּשְׁעָה. וְהַאי נְקוּדָה דְּקָיְימָא עֲלַיְיהוּ בְּאֶמְצָעִיתָא. אִשְׁתְּכַח הַאי נְקוּדָה דְּאַשְׁלִים לְכָל סְטַר לַעֲשָׂרָה, בְּגִין דְּקָיְימָא בְּאֶמְצָעִיתָא. לִסְטַר מִזְרָח עֲשָׂרָה. לִסְטַר מַעֲרָב עֲשָׂרָה. לִסְטַר צָפוֹן עֲשָׂרָה. לִסְטָר דָּרוֹם עֲשָׂרָה. עֲשַׂר סְפִירָן לְכָל סְטַר. וְאִלֵּין אִינוּן אַרְבְּעִין אַתְוָון, דְּקָיְימִין בְּרָזָא דִבְרֵאשִׁית לְתַתָּא, בְּרָזָא דִשְׁמָא קַדִּישָׁא, וּתְרֵין אֹזְנִין לְאַחֲדָא בְּיָמִינָא וּשְׂמָאלָא. וְכֻלְהוּ קָיְימִין בְּרָזָא דְּה"א.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הַשְׁתָּא אִשְׁתְּכַח דְּה"א דָא, בְּכָל אִינוּן רָזִין עִילָאִין: בְּהַהוּא רְתִיכָא קַדִּישָׁא. בְּאִינוּן תְּרֵיסַר. בְּרָזָא דְּעֶשֶׂר סְפִירָן. בְּרָזָא דְּמ"ב אַתְוָון מְחַקְּקָן דְּבִשְׁמָא קַדִּישָׁא. כֹּלָּא אִתְכְּלִיל בְּהַאי דְּיוֹקְנָא דְּה"א.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וְכֻלְהוּ קָיְימֵי בַּאֲלַכְסוֹנָא, בְּרָזָא דִּנְקוּדָה דְּקָיְימָא בְּאֶמְצָעִיתָא, דְּאַכְרַע לְכֻלְהוּ בְּאוֹרַח מֵישָׁר, סִטְרָא דָא בְּסִטְרָא דָא, וְכֵן לְאַרְבַּע סִטְרִין, כֻּלְהוּ קָיְימֵי בְּמַתְקְלָא, תַּקְלָא דְּקָיְימָא לְאַתְקָנָא כֹּלָּא.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בְּרָזָא דָא, אִתְבְּרִיאוּ וְאִתְתַּקָּנוּ כָּל הָנֵּי תַּתָּאֵי. וְעַל דָּא כְּתִיב וַיֹּאמֶר אֱלֹהִים נַעֲשֶׂה אָדָם בְּצַלְמֵנוּ כִּדְמוּתֵנוּ. נַעֲשֶׂה, וַדַּאי אִיהוּ ה"א, וְכָל הַנֵּי דְּקָיְימִין לְתַתָּא, וְאִתְאַחֲדוּ בָהּ, בִּדְיוֹקְנָה מַמָּשׁ. כְּמָא דְאִיקְרֵי ה'. בַּר מַה דְּאִית חָדָא לְעֵילָא, בַּמֶּה דְּלָא אִתְחֲזֵי כְּלַל בִּדְיוֹקְנָהָא, וְלָא אִיתְרְשִׁים בָּהּ לְאִיתְחֲזָאָה.</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כַד  אִקְרֵי ה"א, אִזְדַּמְּנַת בְּכָל הַנֵּי רָזִין. אִיהוּ כֹּלָּא, בְּגִין דָּא קָיְימָא הַאי נְקוּדָה גּוֹ אֶמְצָעִיתָא, בְּגִין דְּאִתְאַחִידַת בְּכוֹלָּא, אִלֵּין דְּלִסְטַר מִזְרָח, אִתְאֲחִידַן בָּהּ, וְאִיהוּ עִמְּהוֹן. (אִלֵּין דְּלִסְטַר דָּרוֹם אִתְאֲחִידַת בָּהּ, וְאִיהִי עִמְּהוֹן. אִילֵּין דְּלִסְטַר צָפוֹן, אִתְאֲחִידַת עִמְּהוֹן וְאִיהִי עִמְּהוֹן,) וּבְגִין כָּךְ אִיהִי בְּכֹלָּא, וְכֹלָּא בָּהּ, וְכֹלָּא ה"א. וְעַל דָּא כְּתִיב, נַעֲשֶׂה אָדָם, וּכְתִיב וַיֹּאמֶר אֱלֹהִים, כֹּלָּא אִיהוּ בְּרָזָא עִילָּאָה כִּדְקָא חָזֵי.</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וְכָל הַנֵּי רָזִין, וְכָל רָזִין עִילָּאִין, כֻּלְהוּ אִשְׁתְּמוֹדְעָן בְּהַנֵּי אַתְוָון, וְאִתְרְשִׁימוּ בְּהַהוּא אָת מַמָּשׁ, לְאִתְיַיחֲדָא שְׁמָא קַדִּישָׁא כִּדְקָא יָאוֹת. וְכֹלָּא רָזָא עִילָּאָה בִּשְׁמָא קַדִּישָׁא. עַד הָכָא אִיתְרְמִיזַת חָכְמָה עִילָּאָה, בְּרָזָא דְּאָת ה"א בַּתְרָאָה דְּאַתְוָון אַרְבַּע. זַכָּאָה חוּלְקֵיהּ מַאן דְּעָאל וּנְפַק, וְיָדַע אוֹרְחוֹי דְּקוּדְשָׁא בְרִיךְ הוּא לְמֵיעַל בְּלָא כִיסוּפָא לְעָלְמָא דְאָתֵי.</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רָזָא דְּאָת ו"ו רְתִיכָא קַדִּישָׁא עִילָּאָה, דְּקָיְימָא בְּקִיּוּמָא שְׁלִים הַאי אִתְפְּלַג לִתְרֵין אַתְוָון, דְּאִינוּן תְּרֵין וָוי"ן ו"ו, דָּא כְּגַוְונָא דְּדָא, וְאִינוּן תְּרֵיסַר רָזִין עִילָּאִין.</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הַאי ו"ו עִילָּאָה, אִיהוּ קָיְימָא בְּחָמֵשׁ סָמְכִין עִילָּאִין, דְּקָיְימָא עֲלַיְיהוּ אָת ה"א עִילָּאָה. וְהַאי ו"ו, אַף עַל גַּב דְּאִיהוּ שִׁית, וְרָזָא דְשִׁית, אִיהוּ חָמֵשׁ, וְרָזָא דְּחָמֵשׁ, וְכֹלָּא אִיהוּ כִּדְקָא חָזֵי.</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שִׁירוּתָא בְּסִטְרָא דְּיָמִינָא, רָזָא דִּנְהוֹרָא קַדְמָאָה דָא, קָיְימָא עַל רְתִיכָא חָדָא, דְּאִיהוּ תְּלַת תְּלַת, וְלָא אַרְבַּע. וְאַף עַל גַּב דְּלֵית רְתִיכָא אֶלָּא בְּאַרְבַּע, כֹּלָּא הָכָא בְּרָזָא בִּתְלַת תְּלַת. כְּמָה דְּאַתְוָון אָזְלִין בִּשְׁמָא קַדִּישָׁא. וּבְגִין כָּךְ כֹּלָּא אָזְלָא בִּתְלַת תְּלַת.</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אָת ה"א דְּקָאֲמַרְתְּ, אִיהִי רְבִיעֲתָא דְּאַתְוָון. וּבְגִין כָּךְ רְתִיכָא דִילָהּ אִיהִי בְּאַרְבַּע. וְאַף עַל גַּב דְּאִיהִי בְּאַרְבַּע, אִיהִי בִּתְלַת תְּלַת. וְכֹלָּא אָזְלָא בְּאֹרַח מֵישָׁר, לְסַלְקָא דָּא כְּגַוְונָא דְדָא, לְמֶהֱוֵי חָד.</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רְתִיכָא דְּלִסְטַר דָּרוֹם, דְּאִיהוּ יָמִינָא, (הַהוּא רְתִיכָא) בִּתְלָתָא דִּי נָפְקָא מִגּוֹ בּוּצִינָא. כַּד סָלְקָא רוּחָא דְנָשִׁיב בְּתְרֵיסָר רוּחִין, דְּבוּסְמִין דְּסָלְקִין רֵיחִין, וְלָא סָלְקִין, כָּלִיל בִּתְלַת גְּוָונִין, נָהִיר בִּנְהִירוּ, וְאִישְׁתָּאַב בְּגַוָּוהּ. חַד לָהִיט בְּאֶשָׁא, וְחַד לָהִיט בְּמַיָא, וְחַד לָהִיט בְּרוּחָא. וְהַאי אִתְפְּרַשׁ, וַהֲוֵי (דף ה ע"א) תְּלַת.</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הַאי רוּחָא, כַּד אִתְפְּרַשׁ וַהֲוֵי תְּלַת גְּוָונִין, אִלֵּין לָאו אִינוּן אֶשָׁא, וְלָאו אִינוּן מַיָא, וְלָאו אִינוּן רוּחָא, אֶלָּא הַאי רוּחָא כַּד אִתְפְּרַשׁ, כָּל חַד וְחַד נָהִיר וְלָהִיט וְיָהִיב תּוּקְפָא לַאֲתַר דַּעֲלֵיהּ, וּלְבָתַר אִתְעֲבִיד סֶמֶךְ תְּחוֹתֶיהּ.</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גּוֹוָנָא חַד אִתְלַהֵיט, וְאַתְקֵף בֵּיהּ אֶשָׁא, דְּאִתְכְּלִיל בְּהַאי סִטְרָא דְּיָמִינָא. גּוֹוָנָא אָחֳרָא אִתְלַהִיט, וְאִתְתַּקֵּף בֵּיהּ מַיָא, דְּאִתְכְּלִילוּ בְּיָמִינָא. גּוֹוָנָא אָחֳרָא אִתְלַהֵיט, וְאַתְקֵף בֵּיהּ רוּחָא, דְּאִתְכְּלִיל בְּהַאי סִטְרָא דְּיָמִינָא. וְאִלֵּין תְּלַת גְּוָונִין אִינוּן רְתִיכָא חָדָא לִסְטַר יָמִינָא, בְּרָזָא דְּאָת ה.</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וְאִלֵּין אִינוּן כִּינּוּיִין, דְּאִית בֵּיהּ בְּקוּדְשָׁא בְרִיךְ הוּא, בְּרָזָא דְּאִינוּן שְׁמָהָן דְּאִיקְרֵי בְּהוּ. וְעַל דָּא שְׁמָא דְּקוּדְשָׁא בְרִיךְ הוּא אִיקְרֵי בְּכַמָּה שְׁמָהָן, וְכֻלְהוּ אִתְכְּלִילָן בְּכָל רָזָא וְרָזָא מֵאִלֵּין סִטְרִין עִילָּאִין, דְּאִינוּן שְׁמָהָן דְּלָא נִמְחָקִין.</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סְטַר דָּא דְּאִיהוּ יָמִינָא, אִיקְרֵי אֵל. רְתִיכָא דִּילֵיהּ אִיקְרֵי גָּדוֹל בִּכְלָלָא. כַּד אִתְפַּרְשָׁא הַאי רְתִיכָא דְּאִלֵּין, אִינוּן תְּלַת גְּוָונִין, הָכִי אִינוּן שְׁמָהָן אִיקְרוֹן: גָּדוֹ"ל, חֲסִי"ן, קָדוֹ"שׁ. הַנֵּי אִינוּן רְתִיכָא לְיָמִינָא, דְּאִיקְרֵי אֵל, רָזָא עִילָּאָה מֵאִינוּן שְׁמָהָן עֲשָׂרָה. כְּמָה דְּאוֹקִימְנָא.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הַנֵּי תְּלַת גְּוָונִין, דְּאִינוּן רְתִיכָא לִסְטַר יָמִינָא, לָהֲטִין וְנָהֲרִין לְתַתָּא (נ"א ל"ג לתתא). וְכָל גּוֹוָון וְגוֹוָן מֵהַנֵּי תְּלָתָא, אִתְפְּרַשׁ לִתְרֵין אָחֳרָנִין לְכָל סְטַר. עַד דְּעָאלוּ בְּחוּשְׁבְּנָא תְּלַת תְּלַת, וְאִינוּן תֵּשַׁע. וְהַאי יָמִינָא דַּעֲלַיְיהוּ רָכִיב, אַשְׁלִים לַעֲשָׂרָה. אוֹף נָמֵי כָּל הַנֵּי אִיקְּרוֹן סְפִירָן עִילָּאִין וּזְעִירִין, וְכֻלְהוּ מִדּוֹת דְּקוּדְשָׁא בְּרִיךְ הוּא.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תְּרֵין דְּנָפְקוּ מִגּוֹ גּוֹוָן חַד דְּאִתְתַּקֵּף בֵּיהּ מַיָא, חַד אִיקְרֵי רַחוּם, וְחַד אִיקְרֵי חַנּוּן, אִלֵּין אִינוּן מֵהַהוּא גּוֹוָן דְּאִיתְתַּקֵּף בְּמַיָא. תְּרֵין דְּנָפְקוּ מֵהַהוּא גֹּוָון דְּאִיתְקֵף בֵּיהּ אֶשָׁא, חַד אִיקְרֵי אֶרֶךְ אַפַּיִם, וְחַד אִיקְרֵי רַב חֶסֶד. אִלֵּין אִינוּן מֵהַהוּא גּוֹוָן דְּאִתְתַּקֵּף בֵּיהּ אֶשָׁא. תְּרֵין דְּנָפְקוּ מֵהַהוּא גּוֹוָן דְּאִתְתַּקֵּף בֵּיהּ רוּחָא, חַד אִיקְרֵי חָסִיד וְחַד אִיקְרֵי סוֹלֵחַ. וּבְרָזָא דְּסִפְרָא דַּחֲנוֹךְ, הַאי אִיקְרֵי טוֹב, וְהַאי אִיקְרֵי יָשָׁר. וְסִימָנָךְ (תהלים כה ח) טוֹב וְיָשָׁר ה'.</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וּמֵאִלֵּין מִתְפָּרְשִׁין נְהוֹרִין לְתַתָּא. וְכֻלְהוּ רְתִיכִין אִלֵּין לְאִלֵּין. וְכֻלְהוּ כִּנּוּיִין לְבַר, אֲבָל לָא מִתְדַּבְּקִין בְּאִלֵּין לְגַבֵּי עֵילָא. וְכֻלְהוּ כְּלִילָן בְּסִטְרָא דְּיָמִינָא. וְכֻלְהוּ חַד לְגַבֵּי הַאי סִטְרָא. וְכֹלָּא בְּרָזָא דְּאָת ו"ו.</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שִׁירוּתָא בְּסִטְרָא דִשְׂמָאלָא, רָזָא דַּחֲשׁוֹכָא, דְּמִתְפַּשְּׁטָא בַּחֲשׁוֹכָא לְתַתָּא, עַד דְּאִיתְבְּרֵי מִנֵּיהּ גֵּיהִנֹּם, מְלַהֲטָא מֵהַהוּא חֲשׁוֹכָא דְּאֶשָׁא תַּקִּיפָא, סוּמְקָא אוּכְמָא. וְהָכָא מְלַהֲטִין שְׁבִיבִין תַּקִּיפִין, דְּנָגְדִין וְאִתְמַשְׁכָן לְתַתָּא. וְכֻלְהוּ מִגּוֹ חֲשׁוֹכָא דְּאִיהוּ שְׂמָאלָא, לְהַאי סִטְרָא.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בַּר בּוּצִינָא חַד דְּסָלְקָא מִגּוֹ מְדִידוּ דְּמִשְׁחָתָא נָהִיר לִסְטַר (נ"א דנהיר מסטר) יָמִינָא, וּמֵהַהוּא נְהִירוּ נָהִיר לְגַבֵּי חֲשׁוֹכָא, וּמָטִין לְגַבֵּי הַהוּא אֶשָׁא נְהוֹרִין, וְקָרְבִין לְגַבֵּי הַהוּא אֶשָׁא, לְגַבֵּי הַהוּא יָמִינָא, וְנָהִיר מִנֵּיהּ.</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כְּדֵין אִתְפְּשַׁט וְנָהִיר מִגּוֹ בּוּצִינָא, רוּחָא אָחֳרָא דְּנָהִיר, מְלַהֲטָא. הָא אִיהוּ אִתְפְּשַׁט לְמֶהֱוֵי רְתִיכָא לְהַהוּא סְטַר דִּשְׂמָאלָא. וְאִתְפְּשַׁט בְּרָזָא דִּתְלַת גְּוָונִין, לְגַבֵּי הַאי סְטַר דְּאִיקְרֵי צָפוֹן, וְהַאי רוּחָא לָא סָלִיק בְּבוּסְמִין, וְלָא רֵיחָא, בְּגִין דְּהַאי שְׂמָאלָא אִיסְתְּמִיךְ עַל הַהוּא רוּחָא דְּאִתְפְּרַשׁ בִּתְלַת גְּוָונִין אִלֵּין.</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אִלֵּין גְּוָונִין נָהֲרִין בִּתְלַת סִטְרִין דְּאֶשָׁא, דְּאִיהוּ סִטְרָא דִשְׂמָאלָא. אֶשָׁא גֹּוָון חָשׁוּךְ, אֶשָׁא גּוֹוָן סוּמְקָא, אֶשָׁא גוֹוָן אוּכְמָא. הַנֵּי תְּלַת גְּוָונִין דְּמִתְפָּרְשָׁן מֵהַהוּא רוּחָא דְּנָפְקָא מִגּוֹ בּוּצִינָא, סָמְכִין לִתְרֵין סִטְרִין.</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גַּוְונָא חַד אִתְלַהֵט, וְאִתְתַּקֵּף בֵּיהּ אֶשָא גּוֹוָן חָשׁוּךְ דְּאִיהוּ בִּסְטַר שְׂמָאלָא. גּוֹוָן אָחֳרָא אִתְלַהֵט, וְאִיתְתַּקֵּף בֵּהּ אֶשָׁא גּוֹוָן סוּמָק, דְּאִיהוּ בִּסְטַר שְׂמָאלָא. גּוֹוָנָא תְּלִיתָאָה אִתְלַהֵיט, וְאִתְתַּקֵּן בֵּיהּ אֶשָׁא גּוֹוָן אוּכָם, דְּאִיהוּ בְּהַהוּא סְטַר שְׂמָאלָא.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וְאִלֵּין תְּלַת גְּוָונִין, אִינוּן רְתִיכָא חָדָא לִסְטַר שְׂמָאלָא, בְּרָזָא דְּאָת ו"ו. אִלֵּין אִיקְרוּן כִּינּוּיִין לְקוּדְשָׁא בְרִיךְ הוּא בְּרָזָא דִשְׂמָאלָא. חַד אִקְרֵי אַדִּיר. וְחַד אִיקְרֵי חָזָק. וְכֹלָּא בִּכְלָלָא חָדָא אִיקְרֵי גִבּוֹר. בְּגִין דְּסִטְרָא דָא דְּאִיקְרֵי שְׂמָאלָא, אִיהוּ אֱלֹהִים. וְהָא אוֹקִימְנָא לְכַמָּה סִטְרִין אִיקְרֵי אֱלֹהִים.</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הַנֵּי תְּלַת גְּוָונִין דְּאִינוּן בִּסְטַר שְׂמָאלָא, מְלַהֲטִין נָהֲרִין לְתַתָּא, וְכָל גּוֹוָן וְגוֹוָן מֵהַנֵּי תְּלָת, אִיתְפְּרֵישׁ לִתְרֵין אָחֳרָנִין לְכָל סִטְרָא, עַד דְּעָאלוּ בְּחוּשְׁבְּנָא תְּלַת תְּלַת, אִינוּן תִּשְׁעָה, כְּמָה דְּאוֹקִימְנָא בְּסִטְרָא אֹחֳרָא. וְהַאי שְׂמָאלָא דַּעֲלַיְיהוּ רְכֵיב, אַשְׁלִים לַעֲשָׂרָה.</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תְּרֵין דְּנָפְקוּ מִגּוֹ גּוֹוָן דְּחַד דְּאִתְכְּלִיל גּוֹ אֶשָׁא גּוֹוָן חָשׁוּךְ, חַד אִקְרֵי שׁוֹפֵט וְחַד אִיקְרֵי דַּיָּין. כְּמָה דְאַתְּ אָמֵר אֱלֹהִים שׁוֹפֵט, וּכְתִיב אֲבִי יְתוֹמִים וְדַיַּין אַלְמָנוֹת אֱלֹהִים.</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תְּרֵין דְּנָפְקוּ מִגּוֹ גּוֹוָן חַד דְּאִתְכְּלִיל מִגּוֹ אֶשָׁא סוּמְקָא, חַד אִיקְרֵי כַּבִּיר כֹּחַ. וְחַד אִיקְרֵי אִישׁ מִלְחָמָה. תְּרֵין דְּנָפְקוּ מִגּוֹ גּוֹוָן חַד דְּאִתְכְּלִיל וְאִתְתַּקֵּף גּוֹ גּוֹוָן אֶשָׁא אוּכְמָא. חַד אִיקְרֵי פּוֹקֵד עָוֹן, וְחַד אִיקְרֵי מְשַׁלֵּם גְּמוּל.</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וּמֵהָכָא אִתְפָּרְשָׁן לְתַתָּא, לְכַמָּה גְבוּרָן דְּלֵית לוֹן חוּשְׁבְּנָא. וְכֻלְהוּ כְּלִילַן בִּסְטַר שְׂמָאלָא, וּבְכֻלְהוּ אִיקְרֵי קוּדְשָׁא בְרִיךְ הוּא. וְכֻלְהוּ רְתִיכִין לְתַתָּא לְכָל סְטַר וּסְטַר. וְכֹלָּא בְּרָזָא דְּאָת ו"ו.</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בְּגִין דְּכָל אָת וְאָת מֵהַנֵּי אַרְבַּע אַתְוָון דִּבְרָזָא דִּשְׁמָא קַדִּישָׁא, כֻּלְהוּ קָיְימִין עַל רְתִיכִין קַדִּישִׁין, סָמְכִין עַל מַה דְּאִסְתְּמִיכוּ. וְכֻלְהוּ רְשִׁימִין עֲלַיְיהוּ, כָּל חַד וְחַד כִּדְקָא חָזֵי לֵיהּ, וְאִלֵּין רְתִיכִין אִינוּן כִּינּוּיִין לְהַהוּא שְׁמָא קַדִּישָׁא, עַל מַה דְּקָיְימֵי.</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וְעַל דָּא מַאן דְּאָתֵי לְיַיחֲדָא שְׁמָא קַדִּישָׁא אִצְטְרִיךְ לְמִנְדַע כָּל חַד וְחַד מֵאִינוּן שְׁמָהָן דְּכִנּוּיִין עַל מָה קָיְימִין. וּמָאן אִיהוּ שְׁמָא דְּשַׁלִּיט עֲלַיְיהוּ, וּבְהַהוּא סִטְרָא דְּקָיְימִין רְתִיכִין. וְכֹלָּא בְּרָזָא דִּשְׁמָא קַדִּישָׁא בְּאִלֵּין אַתְוָון אַרְבַּע דְּאִקְרֵי קוּדְשָׁא בְרִיךְ הוּא בְּהוֹן. זַכָּאִין אִינוּן צַדִּיקַיָא דְּאִינוּן אָזְלִין בְּאוֹרַח מֵישָׁר, זַכָּאִין אִינוּן בְּהַאי עָלְמָא, וְזַכָּאִין בְּעָלְמָא דְאָתֵי, דְּקוּדְשָׁא בְּרִיךְ הוּא רָחִים לְהוֹן.</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שִׁירוּתָא בְּסִטְרָא דְאֶמְצָעִיתָא, בְּפִתְחָא דְּמִזְרָח, דְּפִתְחָא דְּמִזְרָח אִיהִי קָיְימָא בְּאֶמְצָעִיתָא. נָטִיל תְּרֵין סִטְרִין, לַעֲבָרָא לוֹן בַּעֲבָרִין וְדָשִׁין, בְּסִטְרָא דָא וּבְסִטְרָא דָא.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פִּתְחָא דָא אִיהִי כְּלִילָא מִכָּל הַנֵּי דְּקָאֲמָרָן. וְדָא קָיְימָא עַל רְתִיכָא עִילָּאָה וְאִיהִי רְתִיכָא דְּקָיְימָא בְּרָזָא דְּאָת ו"ו. דְּאִיהוּ (נ"א דָּא אִיהוּ) ו"ו כְּלִילָא דְּכָל הַנֵּי, וְדָא קָיְימָא בְּרָזָא דְּכָל שִׁית סִטְרִין עִילָּאִין. דָּא קָיְימָא עַל רְתִיכָא חָדָא, דְּאִיהוּ תְּלַת בְּיָמִינָא וּשְׂמָאלָא. נָפְקָא מִגּוֹ בּוּצִינָא. כַּד סָלְקָא רוּחָא, (נ"א וו) דְּנָשֵׁיב בְּתְרֵיסָר רֵיחִין דְּבוּסְמִין, דְּסָלְקִין רֵיחָא וְלָא סָלְקִין. הַאי רוּחָא נָהִיר בִּנְהִירוּ, וְדָא אִיהוּ רוּחָא דְּאִיהוּ שְׁלָמָא, וְאִיקְרֵי שְׁלָמָא.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וְדָא רוּחָא כַּד אִתְפְּרַשׁ, אִתְפְּרַשׁ בִּתְלַת גְּוָונִין, מְלַהֲטִין בְּאֶשָׁא וְרוּחָא וּמַיָא, כְּמָה דְּאִתְּמָר בְּיָמִינָא. וְכַד אִתְפְּרַשׁ, כָּל חַד וְחַד לָהִיט בְּאַתְרֵיהּ, וִיהֵיב תּוּקְפָא.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הַאי נְהִירוּ דְּאִתְפְּשַׁט מֵהַהוּא (נ"א מֵהַהִיא) רוּחָא לְכָל סִטְרָא וְסִטְרָא מֵהַנֵּי תְּלָתָא, גַּוְונָא חָדָא לָהִיט בְּאֶשָּׁא, וְאַתְקֵיף לֵיהּ. גַּוְונָא אָחֳרָא לָהִיט בְּמַיָא, וְאַפֵּישׁ לֵיהּ. גַּוְונָא תְּלִיתָאָה לָהִיט בְּרוּחָא, וּנְהֵיר לֵיהּ כְּאַרְגְּוָונָא, מְלַהֲטָא בִּתְרֵין סִטְרִין אִלֵּין. וְאִלֵּין תְּלַת גְּוָונִין, אִינוּן רְתִיכָא חָדָא, בְּרָזָא דְּאָת ו"ו, וְאִיהוּ רָזָא דְּאָת ו"ו.</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וְאִלֵּין אִינוּן כִּינּוּיִין דְּאִיקְּרֵי בְּהוֹן קוּדְשָׁא בְרִיךְ הוּא, כְּמָה דְּאִתְּמָר דְּקוּדְשָׁא בְרִיךְ הוּא אִיקְּרֵי בְּכָל הַנֵּי שְׁמָהָן, וְאִלֵּין כִּינּוּיִין אִתְכְּלִילָן בְּרָזָא דִּשְׁמָא קַדִּישָׁא, דְּהַאי סְטַר (נ"א שְׁמָא) אֶמְצָעִיתָא אִיקְּרֵי בֵּיהּ. וְאַף עַל גַּב דְּהַאי אִיקְּרֵי בְּרָזָא דְאָת ו"ו, דָּא נָטִיל כָּל שְׁמָהָן עִלָּאִין וְתַתָּאִין, וְכָל אַרְבַּע אַתְוָון דִּשְׁמָא קַדִּישָׁא בֵּיהּ אֲחִידָן, בְּגִין דְּנָטִיל לְכָל סִטְרִין עֵילָא וְתַתָּא, וְדָא רָזָא יה"ו, הָכָא תַּלְיָיא שְׁמָא דָּא.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וְאִיהוּ יהו"ה, נָטִיל תְּרֵין אַתְוָון לְעֵילָא, וְנָטִיל חַד לְתַתָּא, וְאִיהוּ קָאִים בְּאֶמְצָעִיתָא בֵּין עֵילָא וְתַתָּא, וּמִתְּרֵין סִטְרִין כִּדְקָאֲמָרָן.</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רְתִיכָא דִילֵיהּ אִיקְּרֵי נוּרָא בִּכְלָלָא. כַּד אִתְפְּרַשׁ הַאי רְתִיכָא דְּאִיהוּ הַאי רוּחָא כִּדְקָאֲמָרָן, וְאִתְפְּרַשׁ לִתְלַת גְּוָונִין אָחֳרָנִין, דְּאִיקְרוּן נוּרָא, אֱמֶ"ת, נוֹצֵ"ר חֶסֶ"ד. הַנֵּי אִינוּן הַנֵּי תְּלַת, דְּאִינוּן רְתִיכָא קַדִּישָׁא, לְהַאי סִטְרָא דְּקָיְימָא בְּאֶמְצָעִיתָא.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הַנֵּי תְּלַת גְּוָונִין, דְּאִינוּן רְתִיכָא קַדִּישָׁא דְאָת ו"ו, לָהֲטִין וְנָהֲרִין לְתַתָּא, וְכָל גּוֹוָן מֵהַנֵּי תְּלָתָא, אִתְפְּרַשׁ לִתְרֵין אָחֳרָנִין לְכָל סִטְרָא, עַד דְּאִתְעֲבִידוּ בְּחוּשְׁבְּנָא תְּלַת תְּלַת לְכָל סְטַר, וְאִינוּן תִּשְׁעָה, וְהַאי שְׁמָא קַדִּישָׁא דְּשַׁלִּיט עֲלַיְיהוּ אַשְׁלִים לַעֲשָׂרָה.</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וְכָל חַד וְחַד מֵהַנֵּי סִטְרִין תְּלָתָא דְּקָאֲמָרָן, יָמִינָא וּשְׂמָאלָא וְאֶמְצָעִיתָא, כָּל חַד וְחַד בְּרָזָא דִּרְתִיכִין דִּילֵיהּ אִיהוּ עֲשָׂרָה, בְּגִין דְּכֹלָּא עֵילָא וְתַתָּא, בְּאַשְׁלָמוּתָא חָדָא אִינוּן עֶשֶׂר סְפִירָן, עֶשֶׂר אֲמִירָן. וְכָל הַנֵּי רְתִיכִין בְּהַהוּא סִטְרָא דְּשַׁלִּיט עֲלַיְיהוּ, אִיקְרוּן עֶשֶׂר סְפִירָן, עֶשֶׂר אֲמִירָן. וּבְגִין כָּךְ כָּל חַד וְחַד מֵהַנֵּי סִטְרִין, סָלְקָא לְעֶשֶׂר רְתִיכִין לְכָל סִטְרָא עַד דְּסָלִיק כָּל חַד וְחַד לְחוּשְׁבַּן סַגְיָא. וְתָּא חֲזֵי, כָּל רְתִיכִין אִלֵּין כַּד מִתְפָּרְשָׁן לְסִטְרַיְיהוּ, כֻּלְהוּ אִיקְרוּן בְּהַהוּא שְׁמָא דְּשַׁלִּיט עֲלַיְיהוּ, וּבְרָזָא דְהַהוּא אָת מַמָּשׁ לְתַתָּא.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תְּרֵין דְּנָפְקֵי מִגּוֹ נְקוּדָה חָדָא, חַד אִיקְּרֵי נוֹשֵׂא עָוֹן, וְחַד אִיקְּרֵי עוֹבֵר עַל פֶּשַׁע. אִלֵּין אִינוּן מֵהַהוּא גּוֹוָן דְּאִתְתְּקֵף בֵּיהּ מַיָא, תְּרֵין דְּנָפְקֵי מִגּוֹ גּוֹוָן דְּאִתְתְּקֵף בֵּיהּ אֶשָׁא, חַד אִיקְּרֵי מָרוֹם, וְחַד אִיקְּרֵי רָם.</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וּבְרָזָא דַּחֲנוֹךְ, שְׁמָהָן אִלֵּין כְּלִילָן בְּרָזָא דְּעָלְמָא דְאָתֵי. וְהָכָא בְּהַאי סִטְרָא, בּוֹחֵן לִבּוֹת, מָרוֹם, כְּמָה דְאַתְּ אָמֵר (תהלים י ה) מָרוֹם מִשְׁפָּטֶיךָ מִנֶּגְדּוֹ, וּכְתִיב (שם צג ד) אַדִּיר בַּמָּרוֹם ה', וְאַף עַל גַּב דִּשְׁמָא דָּא קָאִים בְּעָלְמָא דְּאָתֵי, הָא כְּתִיב מָרוֹם. וְעַל דָּא אִשְׁתַּתֵּף עָלְמָא דְאָתֵי בְּכָל הַנֵּי, וְהָכִי אִיקְּרֵי אֱלֹהִים כִּגְוָונִין דִּשְׂמָאלָא, וְכֹלָּא חָד.</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גַּוְונָא תְּלִיתָאָה אִתְתַּקֵּף בֵּיהּ רוּחָא. אִינוּן תְּרֵין דְּנָפְקוּ מִנֵּיהּ, חַד אִיקְּרֵי שׁוֹכֵן עַד, וְחַד אִיקְּרֵי קָדוֹשׁ, וּמֵאִלֵּין אִתְפָּרְשָׁן נְהוֹרִין לְתַתָּא, וְכֻלְהוּ רְתִיכִין אִלֵּין לְאִלֵּין, וְכֻלְהוּ כִּינּוּיִין דְּאִיקְּרֵי בְּהוּ קוּדְשָׁא בְרִיךְ הוּא, וְכֻלְהוּ אִשְׁתְּמוֹדְעָן בִּסְטַר דְּשַׁלִּיט עֲלַיְיהוּ.</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כְּגַוְונָא דָא אִית סִטְרִין תְּלָתָא, דְּנָפְקִין מִגּוֹ אִלֵּין סִטְרִין עִילָאִין דְּקָאֲמָרָן, דְּאִינוּן יָמִינָא וּשְׂמָאלָא וְאֶמְצָעִיתָא, וְאִלֵּין נָפְקִין לְבַר מִנַּיְיהוּ, וְקָיְימִין תְּרֵין מִנַּיְיהוּ לְבַר, וְכֻלְהוּ נָטְלֵי רְתִיכִין לְתַתָּא, כְּגַוְונָא דְּאִלֵּין עִילָּאִין, וְלָאו עִילָּאִין כְּגִינַיְיהוּ.</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וְאִלֵּין דִּלְתַתָּא דְּנָפְקֵי מִגּוֹ אִלֵּין סִטְרִין עִילָּאִין דְּקָאֲמָרָן, אִינוּן כְּגַוְונָא דִּילְהוֹן, חַד אִיקְּרֵי יָמִינָא וְחַד אִיקְּרֵי שְׂמָאלָא, וְחַד דְּקָאִים בְּאֶמְצָעִיתָא. גּוֹ הַהוּא אֶמְצָעִיתָא דְּקָאֲמָרָן, וְכֻלְהוּ כְּלִילָן בְּהַנֵּי תְּלַת עִילָּאִין. וְכֻלְהוּ כְּלִילָן בְּרָזָא דְּאָת ו"ו, דְּכָלֵיל כֻּלְהוּ. וְכֻלְהוּ בִּרְתִיכִין יְדִיעָן מִתְפָּרְשָׁן בְּסִטְרַיְיהוּ.</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וְאִלֵּין לָא אִיקְרוּן בִּשְׁמָהָן יְדִיעָאן, בַּר בְּאִינוּן כִּינּוּיִין דִּלְתַתָּא, כְּגַוְונָא דְּאִינוּן כִּינּוּיִין עִילָּאִין, וְאִלֵּין תַּתָּאִין אֲחִידָן בְּעִילָּאִין, וְהַנֵּי תְּלָתָא אוֹחֲרָנִין כֻּלְהוּ רְתִיכַן לְבַר, וְהָא אוֹקִימְנָא.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תָּא חֲזֵי, הַנֵּי תְּרֵין קָיְימִין, אִינוּן סָמְכִין דִּלְבַר, וְאִינוּן יָמִינָא וּשְׂמָאלָא, וְאִיקְרוּן חַסְדֵּי דָּוִד, וְאִלֵּין צְבָאוֹת רְתִיכָא דִּילְהוֹן. תְּרֵין דְּקָיְימִין וְעָבְדִין שְׁלִיחוּתָא בִּנְבִיאֵי קְשׁוֹט.</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וּמִתַּמָּן מִתְפָּרְשִׁין עוֹבָדִין בְּעָלְמָא בְּאִתְגַּלְּיָיא, וְרָזָא דָּא דִּכְתִיב, (תהלים קיא ב) גְּדוֹלִים מַעֲשֵׂי ה'. גְּדוֹלִים: דְּנָפְקֵי מִן גָּדוֹל. וְאִלֵּין אִיקְּרוּן (שם קיט קנו) רַחֲמֶיךָ רַבִּים ה'. (שם פט נ) אַיֵּה חֲסָדֶיךָ הָרִאשׁוֹנִים ה'. (שם כה ו) זְכֹר רַחֲמֶיךָ ה' וַחֲסָדֶיךָ כִּי מֵעוֹלָם הֵמָּה. וְאַף עַל גַּב דְּאוֹקִימְנָא דְּאִינוּן לְעֵילָא, אוֹף הָכִי מִתְפָּרְשָׁן לְתַתָּא כְּגַוְונָא דִלְעֵילָא, דִּכְתִיב, (שם כה ו) כִּי מֵעוֹלָם הֵמָּה. מֵעוֹלָם הֵמָּה לְעֵילָא. מֵעוֹלָם הֵמָּה לְתַתָּא.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וְעַל דָּא לָא אִיקְרוּן בִּשְׁמָהָן, כְּגַוְונָא דְּאִיקְרוּן בִּשְׁמָהָן אִינוּן דִּלְעֵילָא. וְאִינוּן כְּגַוְונָא דִלְעֵילָא, אֲבָל אִינוּן בִּכְלָלָא דְּאִינוּן דְּקַיְימֵי לְבַר, וְאִינוּן סָמְכִין דְּאוֹרַיְיתָא דְּנָפְקֵי מֵרְתִיכִין עִילָּאִין. וְאִלֵּין הֲווֹ דְּאַדְכַּר דָּוִד מַלְכָּא, וְדָא אִיהוּ דְּאַדְכַּר תָּדִיר בִּכְלָלָא כְּמָה דְאוֹקִימְנָא.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תָּא חֲזֵי, כָּל הַנֵּי שְׁמָהָן עִילָּאִין מֵאִינוּן עֲשָׂרָה דְּקָאֲמָרָן דְּלָא נִמְחָקִין, יָאוֹת הוּא. אֶלָּא רְתִיכִין אִלֵּין דִּילְהוֹן, דְּאִינוּן שְׁמָהָן דְּאִיקְרוּן אִינוּן כִּינּוּיִן, אַמַּאי נִמְחָקִין.</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אֶלָּא רָזָא דָא, הָא אִתְּמָר גּוֹ סִפְרָא דְּרַב הַמְנוּנָא סָבָא, דְּכָל הַנֵּי שְׁמָהָן עִלָּאִין, אִינוּן קָיְימִין כְּגוּפָא לְנִשְׁמָתָא עִילָּאָה, דְּלָא אִתְיְדַע, וְלָא אִתְגַּלְיָיא. וְאִלֵּין כִּנּוּיִין אִינוּן לְבוּשָׁא לְגוּפָא. כְּגַוְונָא דֶּאֱגוֹזָא, דְּאִית קְלִיפָּה לַקְלִיפָּה, אוֹ אִלֵּין לַבְלְבִין, דְּאִית לוֹן קְלִיפָּה לַקְלִיפָּה, וּמוֹחָא לְגוֹ.</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הָכִי נָמֵי דָא, אִלֵּין עֲשָׂרָה שְׁמָהָן כֻּלְהוּ, כְּגַוְונָא דְהַאי קְלִיפָּה לְמוֹחָא. וְאַף עַל גַּב דְּכֻלְהוּ מוֹחָא, כֻּלְהוּ נְהוֹרִין עִילָּאִין, וּבוּסְמִין עִילָּאִין, לֵית מָאן דְּקָאִים בְּקִיּוּמַיְיהוּ, אֲבָל כֻּלְהוּ כְּגַוְונָא דִּקְלִיפָּה לְגַבֵּי מַה דְּלָא יְדִיעַ, וְלָא קָיְימָא בְּחָכְמְתָא כְּלָל, וְכָל שֶׁכֵּן רָזָא דְּאֵין סוֹף, וְהַנֵּי כִּינּוּיִין אִינוּן קְלִיפָּה לְגַבַּיְיהוּ, וְכוֹלָּא דָּא לְגוֹ מִן דָּא, וּמוֹחָא סְתִימָאָה לְגוֹ בְּגוֹ, דְּלָא אִתְיְידַע כְּלָל, וְעַל דָּא קְלִיפָּה בַּתְרָא לָא אִיכְפַּת לָן, וְאַף עַל גַּב דְּנִמְחָקִין, עִם כָּל דָּא לָא אִתְיְהִיב רְשׁוּתָא לְמָחֲקָא, אֲפִלּוּ אוֹת זְעִירָא דְּאוֹרַיְיתָא.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וְאִי תֵימָא, אִי הָכִי, הַאי ה' בַּתְרָאָה דְּקָאֲמָרָן, אִיהִי קְלִיפָּה (דף ו ע"א) בַּתְרָאָה לְגַבֵּי אִלֵּין. לָאו הָכִי, קְלִיפָּה אִיהִי לְגַבֵּי אִלֵּין עִילָּאִין, אֲבָל לְגַבֵּי אִינוּן כִּינּוּיִין לָאו. דְּהָא לָא מִשְׁתַּמְּשֵׁי בָּהּ, אֶלָּא אִינוּן שְׁמָהָן עִילָּאִין, וְלָאו אִינוּן כִּינּוּיִין.</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אֶלָּא כַּד אִיהִי סָלְקָא לְאִתְעַטְּרָא לְעֵילָא, וּלְאִתְאַחֲדָא בְּרָזָא דְּיָמִינָא וּשְׂמָאלָא, כָּל הַנֵּי רְתִיכִין דְּאִינוּן כִּינּוּיִין, כֻּלְהוּ סָחֲרִין לָהּ, וְחַפְיָין עֲלָהּ סַחְרָנָהָא, כְּבַעְלָהּ לְאִתְּתָא, דְּפָרֵישׂ גַּדְפֵיהּ עֲלָהָא, הָכִי אִינוּן פְּרִישִׂין גַּדְפִין דְּבַעֲלָהּ עֲלָהָא, וְחַפְיָין לָהּ בְּכָל סִטְרָא, וְאִיהִי מְשַׁמְּשָׁא בְּבַעֲלָהּ, וְסִימָנָא דָא (יחזקאל טז ח) וָאֶפְרֹשׂ כְּנָפִי עָלַיִךְ, (רות ג ט) וּפָרַשְׂתָּ כְנָפֶךָ עַל אֲמָתְךָ.</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וּבְגִין כָּךְ אִינוּן לְגוֹ וְאִינוּן לְבַר, וְאִיהִי לְגוֹ וְאִיהִי לְבָר, וְהָנֵי כִּינּוּיִין אִינוּן לְגוֹ, וְאִינוּן לְבָר. מַה דְּאִיהוּ לְגָו קָיְימָא לְבָר, מַה דְּאִיהוּ לְבָר קָיְימָא לְגָו, וְכֹלָּא שַׁפִּיר אִיהוּ. זַכָּאָה חוּלָקֵיהוֹן דְּאִינוּן דְּיָדְעִין לְמֵיזַל בְּאוֹרַח מֵישָׁר, דְּלָא יִטְעוּן לְיָמִינָא וּשְׂמָאלָא, כְּמָה דְּאוֹקִימְנָא, (הושע יד י) כִּי יְשָׁרִים דַּרְכֵי ה'.</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מַבּוּעָא דְּבֵירָא דְּלָא פָּסֵיק לְעָלְמִין, הַאי קָיְימָא קִיּוּמָא, לְקָיְימָא כֹּלָּא, כֻּלְהוּ עִילָּאִין וְכֻלְהוּ תַּתָּאִין, קָיְימִין בְּהַאי לְרַחֲמָא דְּתֵיאוֹבְתָּא, בְּגִין דְּאִיהוּ תֵּיאוֹבְתָּא לְעֵילָא וְתַתָּא, לְאַנְהָרָא אַנְפִּין, וּלְאַשְׁקָאָה גִּנְתָּא.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בְּהָאי לָאו רְתִיכָא קָיְימָא בֵּיהּ לְאִתְגַּלְּיָא, אֶלָּא כֹּלָּא אִיהוּ סָתִים בִּסְתִימוּ, וְלָא קָיְימָא בְּאִתְגַּלְּיָא, אֶלָּא כֻּלְהוּ שְׁמָהָן עִילָּאִין, וְכֻלְהוּ רְתִיכִין, כֻּלְהוּ אָתָאן לְגַבֵּיהּ בִּלְחִישׁוּ.</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כַּד אִינוּן שְׁמָהָן אַתְיָין לְגַבֵּיהּ, אִלֵּין רְתִיכִין פְּרִישָׂאן וְחָפְיָין לְכָל סִטְרִין, לְדַרְגָּא דָּא וּלְדַרְגָּא דִּלְתַתָּא, וְאִלֵּין אִיקְרוּן גַּדְפִין דְּבַעֲלָה. לְחָפְיָיא עַל כֹּלָּא. וְהַאי דַרְגָּא עָאל בִּלְחִישׁוּ, כְּמַבּוּעָא גּוֹ בֵּירָא, דְּלָא פָּסְקִין מֵימוֹי לְעָלְמִין, וְלָא אִתְפְּרַשׁ מַבּוּעָא לְעָלְמִין. וְכֹלָּא אִיהוּ בְּאֵר, דִּכְתִיב (במדבר כא יח) בְּאֵר חֲפָרוּהָ שָׂרִים (בראשית כו ט) בְּאֵר מַיִם חַיִּים. וְהָא אוֹקִימְנָא.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הַאי מַבּוּעָא דְּבֵירָא, אִיהוּ סָתִים לְגַבֵּי הַהוּא בֵּירָא, דְּעָאל לְגַבֵּיהּ בִּלְחִישׁוּ, וְהַאי כָּרֵי גּוֹ הַהִיא נְקוּדָה דְּקָאֲמָרָן, רָזָא דְה"א בַּתְרָאָה, וְכָרֵי בָּהּ, וְעָאל לְגַבֵּהּ, וְלָא אִתְיְידַע כְּלָל.</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וְהַאי אִיהוּ כְּמָא דְאוֹקִימְנָא לְעֵיל, דְּכַד אָלֶף אִתְחַבַּר בְּה"א, אוֹ יו"ד, הַאי ה"א אִיהִי בִּנְקוּדָה חָדָא לְאוֹטָבָא לְעָלְמָא, כְּגוֹן א"ה, אוֹ י"ה. כְּדֵין הַהוּא מַבּוּעָא דְבֵירָא, כָּרֵי גּוֹ הַהִיא נְקוּדָה, וְעָאל לְגַוָּוהּ, וְלָא אִתְיְידַע.</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וּכְדֵין הַהִיא נְקוּדָה קָיְימָא בְּרָזָא דְקֹדֶשׁ הַקֳּדָשִׁים. וְעַל דָּא רָזָא דְּדוּכְרָנָא דִילָהּ, אִיהוּ בְּרָזָא דְקֹדֶשׁ הַקֳּדָשִׁים, (בַּאֲתַר) דְּמַפְקָנוֹ דְרוּחָא קָיְימָא בְּבֵי גְרוֹנָא, אהי"ה, בְּגִין דְּהַאי אִיהוּ אֲתַר דְּקָיְימָא קֹדֶשׁ הַקֳּדָשִׁים, קוֹל גָּדוֹל וְלָא אִשְׁתְּמוֹדָע, וְלָאו אִיהוּ רוּחַא מַמָּשׁ. וּכְדֵין אִיהוּ ה"א בְּחִיבּוּרָא דְּאִינוּן אַתְוָון עִילָּאִין, וְכֹלָּא שְׁמָא חָדָא, לְאַנְהָרָא מֵעֵילָא וּמִתַּתָּא (נ"א לעילא ולתתא).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כַּד כָּרֵי הַאי מַבּוּעָא בְּהַאי נְקוּדָה, וְעָאל בְּגַוֵּיהּ, כְּדֵין כָּל אִינוּן שְׁמָהָן עִילָּאִין, וְכָל אִינוּן סִטְרִין עִלָּאִין דְּקָאֲמָרָן, כֻּלְהוּ עָאלִין בְּגַוֵּיהּ, בְּתֵיאוּבְתָּא, בְּרוּחָא שְׁלִים לְעֵילָא, בְּתֵיאוּבְתָּא עָאלִין בָּהּ, וְלָא בְּמִלָּה אָחֳרָא. כּוֹלָּא בְּרוּחָא וְלָא בְּגוּפָא. כְּבַעֲלָהּ דְּאִשְׁתְּלֵיל מִכָּל לְבוּשׁוֹי, בְּשַׁעֲתָא דְּאָתֵי לְאִזְדַּוְּוגָא בְּאִיתְּתֵיהּ, הָכִי נָמֵי כָּל אִינוּן רְתִיכִין דְּקָאֲמָרָן דִּלְעֵילָא וְתַתָּא, כֻּלְהוּ סָחֲרִין לָהּ, וְאִינוּן חָפְיָין עֲלָהּ, וּבַעֲלָהּ אִשְׁתְּלֵיל מִכֻּלְהוּ. וְעַל דָּא לָא אַתְיָין כָּל אִינוּן שַׁיְיפִין לְאִתְחַבְּרָא בָהּ, אֶלָּא בְּרוּחַ מַמָּשׁ, וּכְדֵין כֹּלָּא אִיהוּ רְעוּתָא חָדָא.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וְעַל דָּא בְּשַׁעֲתָא דְּקוּדְשָׁא בְרִיךְ הוּא זַמִּין לְגַבָּהּ, וְיִשְׂרָאֵל לָאו אִינוּן זַכָּאִין דְּאִינוּן (יְהוֹן) פְּתִילָה לְאַנְהָרָא, מַה כְּתִיב, (שיר השירים ה ג) פָּשַׁטְתִּי אֶת כֻּתָּנְתִּי אֵיכָכָה אֶלְבָּשֶׁנָּה רָחַצְתִּי אֶת רַגְלַי אֵיכָכָה אֲטַנְּפֵם. פָּשַׁטְתִּי אֶת כֻּתָּנְתִּי, אִלֵּין אִינוּן כִּינּוּיִין דְּקָאֲמָרָן, דְּכֻלְהוּ כַּד מִתְחַבְּרָן אִינוּן כֻּתָּנְתָּא דְּקוּדְשָׁא בְרִיךְ הוּא, וְכַד אִיהוּ זַמִּין לְגַבָּהּ, אִיהוּ אִשְׁתְּלֵיל מִכּוֹלְהוֹ, לְאִתְחַבָּרָא בַּהֲדָהּ, וְעַל דָּא פָּשַׁטְתִּי וגו', לְאִתְתַּקְּנָא וּלְמֶהֱוֵי זַמִּין לְאוֹטָבָא לָךְ, וְאַתְּ לָא מִתְתַּקְּנָא כִּדְקָא יָאוֹת, הַשְׁתָּא אֵיכָכָה אֶלְבָּשֶׁנָּה, וְאִתְהַדַּר וְאִסְתַּלַּק מִינָּךְ.</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רָחַצְתִּי אֶת רַגְלַי אֵיכָכָה אֲטַנְּפֵם, הָא אַסְחֵית רַגְלַי מֵהַהוּא טִינוֹפָא, וּמַאי אִיהוּ, בְּגִין דְּכַד אִתְתַּקְנֵית וְאִזְדַּמְנֵית לְגַבָּךְ, אַעֲבָרִית הַהוּא סִטְרָא אוֹחֲרָא מְסָאֲבָא מִקַּמֵּי רַגְלַי. הַשְׁתָּא אֵיכָכָה אַהֲדַר לְשַׁוְּיָיא הַהוּא טִינּוֹפָא, לְחַפְיָיא עַל מַקְדְּשָׁא, הוֹאִיל וְאַתְּ לָא זְמִינַת בְּתִיקּוּנָךְ לְאִתְתַּקָּנָא לְגַבָּאי. הָכָא אוֹלִיפְנָא, דְּכַד רוּחַ מְסָאֲבָא אִתְעֲבַר מֵעָלְמָא, כְּדֵין אִתְרַבֵּי כֹּלָּא עֵילָא וְתַתָּא. וְעַל דָּא רָחַצְתִּי אֶת רַגְלַי, אֵיכָכָה אֲטַנְּפֵם כְּמִלְּקַדְּמִין.</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וּבְגִין כָּךְ, כָּל אִינוּן כִּינּוּיִין אִתְפַּשְׁטוּ, בְּשַׁעֲתָא דְּהַאי מַבּוּעָא כָּרֵי בְּהַהוּא נְקוּדָה, וְאַסְתִּים בְּגַוֵּיהּ. וּכְדֵין כַּד הַהוּא מַבּוּעָא אַסְתִּים בְּגַוֵּיהּ, כְּדֵין כֹּלָּא אַנְהִיר וּבֵירָא אִתְמַלְּיָא מֵהַהוּא מַבּוּעָא דְּעָאל בְּגַוֵּיהּ וְאַסְתִּים בֵּיהּ בַּחֲשַׁאי. אִינוּן כִּינּוּיִין חָפְיָין עֲלָהּ וְאִתְפַּשְׁטוּ לִסְטַר דָּא וְלִסְטַר דָּא.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וְהַנֵּי אִינוּן גְּלִידִין דֶּאֱגוֹזָא קְלִישָׁא, דְּקָיְימָא וְחָפְיָיא לְגוֹ עַל מוֹחָא, וְהַהִיא קְלִיפָּא תַּקִּיפָא, אִתְבָּרַת וְלָא קָיְימָא תַּמָּן. וּכְדֵין כֹּלָּא אִיהִי בְּרָזָא עִילָּאָה, לְמֵיהַךְ בְּרָזִין אִלֵּין. זַכָּאִין אִינוּן דְּמִסְתַּכְּלִין בִּרְעוּתַיְיהוּ, מִלִּין דְּרָזִין עִילָּאִין, לְמֵיהַךְ בְּאוֹרַח קְשׁוֹט, לְמִזְכֵּי בְּהַאי עָלְמָא, וּלְאַנְהָרָא לוֹן בְּעָלְמָא דְאָתֵי. עֲלַיְיהוּ כְּתִיב, (דניאל יב ג) וְהַמַּשְׂכִּילִים יַזְהִירוּ כְּזֹהַר הָרָקִיעַ וּמַצְדִּיקֵי הָרַבִּים כַּכּוֹכָבִים לְעוֹלָם וָעֶד. זַכָּאִין אִינוּן בְּעָלְמָא דֵין וּבְעָלְמָא דְאָתֵי.</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דְּיוֹקְנָא דְּאַתְוָון, בְּרָזָא קַדִּישָׁא ה"א תַּתָּאָה דְּקָאֲמָרָן, רָזָא דְּמַקְדְּשָׁא, סִיהֲרָא כַּד שָׁלְטָא, וְאִתְקַשְּׁטַת לְגַבֵּי שִׁמְשָׁא, לְקַבְּלָא נְהוֹרָא מִנֵּיהּ. אִינוּן קָיְימִין כִּתְרֵין רְחִימִין דָּא לָקֳבֵל דָּא, וְאִינוּן בְּתוּלָאן דְּקַיְימָן בַּהֲדָהּ, אִתְקַשְּׁטָן וְאִתְתַּקְּנָן בְּתִיקּוּנִין, חָדָא בַּתְרָאָה, וְחָדָא לְקַמָּאָה, וְחָדָא מִסִּטְרָא דָא, וְחָדָא מִסִּטְרָא דָא, וְאִיהִי קָיְימָא בְּאֶמְצָעִיתָא.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וְשִׁבְעִין וּתְרֵין סַנְהֶדְּרִין, קָיְימִין כְּפַלְגּוּ גּוֹרֶן עֲגוּלָּה, לְמֵיעְבַּד גּוּפָא לְסִיהֲרָא, לְאִתְקַשְּׁטָא מַטְרוֹנִיתָא לְגַבֵּי בַּעֲלָהּ, וְאִיהִי קָיְימָא כְּגַוְּונָא דָּא כ, כְּפַלְגּוּ סִיהֲרָא.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וְדָא  (נ"א הדא) נְקוּדָה בְּאֶמְצָעִיתָא. דְּהַהִיא נְקוּדָה נָטְלָה נְהוֹרָא מִן שִׁמְשָׁא, לְאַנְהָרָא לְכָל גּוּפָא. וְרָזָא דָא נְקוּדָה דְּקָיְימָא בְּפַלְגוּ דְּעֵינָא, דְּכוֹלָּא קָיְימָא בְּהַהִיא נְקוּדָה דְּקָיְימָא בְּאֶמְצָעִיתָא, דְּאִיהִי נָטְלָא כָּל נְהוֹרָא, לְאַנְהָרָא לְכָל עֵינָא. וְסִיהֲרָא לָא אִתְנְהֵירַת אֶלָּא מִגּוֹ חַד נְקוּדָה דְּקָיְימָא וְאַסְתִּים גוֹ אֶמְצָעִיתָא. אַף עַל גַּב דְּלָא אִתְחַזְּיָיא בְּסִיהֲרָא.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תָּא חֲזֵי לֵית לָךְ עִיגּוּלָא בְּעָלְמָא, דְּלָא אִיתְעֲבִיד מִגּוֹ נְקוּדָה חָדָא דְּקָיְימָא בְּאֶמְצָעִיתָא. וּבְגִין כָּךְ עִיגּוּלָא דְּסִיהֲרָא מִגּוֹ (דף ו ע"ב) חַד נְקוּדָה דְּאַסְתִּים בְּגַוָּוהּ בְּאֶמְצָעִיתָא, אִתְעֲבִיד כֹּלָּא. וְהַאי נְקוּדָה דְּקָיְימָא בְּאֶמְצָעִיתָא נָטִיל כָּל נְהוֹרָא, וְאַנְהִיר לָהּ לְגוּפָא, וְאִתְנְהֵיר כֹּלָּא.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רָזָא דְּרָזִין, לְאִינוּן דְּמִסְתַּכְּלִין בְּרָזֵי דְחָכְמְתָא. הַאי ה"א דְּאִיהִי פַּלְגוּ דְגוּפָא דְּסִיהֲרָא, וְאִיהִי בְּעִיגּוּלָא, כִּדְאֲמָרָן בְּגוֹ הַהוּא נְקוּדָה דְּקָיְימָא גּוֹ אֶמְצָעִיתָא, אַמַּאי אִיהוּ פַּלְגָא, לָאו פַּלְגוּ, אֶלָּא סְתִימָא מִסִּטְרָא דָא, וּפְתִיחָא מִסִּטְרָא דָא, כְּנוּקְבָא דִּפְתִיחָא לְגַבֵּי דְכוּרָא לְקַבְּלָא לֵיהּ בְּגַוָּוהּ, וּלְאִתְנְהָרָא מִנֵּיהּ, וּלְאִתְחַבְּרָא בַּהֲדֵיהּ. וְעַל דָּא אִיהִי פְּתִיחָא לְגַבֵּיהּ לְקַבְּלָא לֵיהּ, וּכְדֵין (נ"א ובגין דא) אִיקְּרֵי ה"א. מַאי ה"א, כְּמַאן דַּאֲמַר הָא אֲנָא.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וְכַד אִיהִי אִתְנְהֵירַת מִנֵּיהּ, וְאִתְחַבְּרוּ דָּא בְּדָא, וְסִיהֲרָא אִתְמַלְּיָיא, כְּדֵין הַאי ה"א אִשְׁתְּלֵים וְאִתְמַלְּיָא סִיהֲרָא מִכֹּלָּא. וּבְאַתְרָהּ דְּאִיהוּ ה"א פַּלְגוּ דְּסִיהֲרָא, אִתְעֲבִיד מ"ם, סִיהֲרָא בִּשְׁלִימוּ.</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וְקָיְימָא כְּגַוְונָא דְּאִימָּא עִילָּאָה, דְּאִיהִי מ' סְתִימָא. כְּמָא דְאוֹקִימְנָא, בְּרָזָא (ישעיה ט י) דִּלְםַרְבֶּה הַמִּשְׂרָה. וְהָשְׁתָּא קָיְימָא סִיהֲרָא בְּאַשְׁלָמוּתָא, עָלְמָא תַּתָּאָה, כְּגַוְונָא דְּעָלְמָא עִילָּאָה. וְדָא אִיהוּ רָזָא דְּאָת ם'.</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וְתָּא חֲזֵי אָת ם' דָּא, לָאו אִיהוּ אֶלָּא בְּעִיגּוּלָא. כֵּיוָן דְּקָיְימָא סִיהֲרָא בְּאַשְׁלָמוּתָא וְכֹלָּא מֵרָזָא דְּאָת ה' כְּמָא דְאִתְּמָר, עָאלַת אִיהִי בְּקַדְמִיתָא פְּתִיחָא בְּרָזָא דְּה"א, לְקַבְּלָא לְבַעֲלָהּ. וּלְבָתַר דְּאִשְׁתְּלֵים מִנֵּיהּ, וְאִיתְמַלְּיָא בְּאַשְׁלָמוּתָא, אִתְעֲבִיד ם', כְּגַוְונָא עִילָּאָה דְעָלְמָא דְאָתֵי כִּדְקָאֲמָרָן. וּבְגִין כָּךְ ה"א עִילָּאָה, ה"א תַּתָּאָה. ם' עִילָּאָה, ם' תַּתָּאָה. כֹּלָּא דָא כְּגַוְונָא דָא, וְדָא אִיהוּ רָזָא חָדָא, עִילָּאָה וְתַתָּאָה כַּחֲדָא.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תָּא חֲזֵי, עָלְמָא עִילָּאָה אִיהִי פְּתִיחָא בְּקַדְמִיתָא, בְּרָזָא דְה"א. וְכַד אִתְמַלְּיָיא מֵאִינוּן שְׁבִילִין עִילָּאִין, וְאִתְנַהֲרָא לְאַנְהָרָא, אִתְפַּשְּׁטַת וְאִשְׁתְּלֵים וְאִתְעֲבִיד ם', וְכֹלָּא בְּרָזָא חַד.</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דְּיוֹקְנָא דְאָת ו"ו בְּרָזָא קַדִּישָׁא, הַאי אָת, עָלְמָא דִלְעֵילָא פָּשִׁיט פְּשִׁיטוּ לְאַנְהָרָא לְתַתָּא, וְהַהוּא פְּשִׁיטוּ, אִיהוּ בְּשִׁית סִטְרִין, כְּלִילָן כַּחֲדָא בְּחִיבּוּרָא חָדָא, דָּא כְּגַוְונָא דָא וְדָא כְּגַוְונָא דָא. וְכֻלְהוּ מִתְחַבְּרָן בְּאִינוּן רְתִיכִין דִּילְּהוֹן בְּאָת דָּא.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וְהַאי אָת אִיהוּ רְשִׁימוּ דְּשִׁית סִטְרִין כְּלִילָן כַּחֲדָא. וְדָא הוּא דְּאַנְהִיר לְסִיהֲרָא בְּרָזָא דְשִׁית סִטְרִין כְּלִילָן. דְּהָא כַּד מִתְחַבְּרָן כַּחֲדָא, פְּשִׁיטִין מִפְּשִׁיטוּ, כֹּלָּא דְּיוֹקְנָא דְּו"ו, דְּיוֹקְנָא דְּאָדָם וַאֲפִילּוּ דְּאִינוּן שִׁיתּ סִטְרִין, לָא אִיתְחֲזוּ בִּפְשִׁיטוּ בַּר חַד גּוּפָא.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רָזָא דְרָזִין, לְאִינוּן דְּמִסְתַּכְּלִין בְּאוֹרַח מֵישָׁר, בִּדְיוֹקְנִין דְּאַתְוָון, הָכָא בְּהַאי אָת, כֻּלְהוּ בְּחִיבּוּרָא דָא, לְאַחֲזָאָה דְּכֻלְהוּ קָיְימִין בְּקִיּוּמָא דְגוּפָא, דְּאִיהוּ נָטִיל כֹּלָּא. וְכַד הַאי אָת דְּאִיהוּ ו"ו, קָיְימָא הָכִי בְּחִיבּוּרָא חָדָא, הָא אִיהוּ זַמִּין לְגַבֵּי נוּקְבָא, פָּשִׁיט וְאִשְׁתְּלֵיל מִכֹּלָּא, רָזָא דְּיוֹקְנָא דְגוּפָא, דְּיוֹקְנָא דְאָדָם. וְכַד מִסְתַּכְּלִין, דְּרוֹעִין מִסִּטְרָא דָא וּמִסִּטְרָא דָא מִתְחַבְּרָן בְּהַאי גוּפָא, דְּלָא אִתְחַזּוּן בַּר גּוּפָא בִּלְחוֹדוֹי, בְּגִין דְּכֻלְהוּ כְּלִילָן בֵּיהּ.</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אֵימָתַי אִתְחֲזוּן. בְּשַׁעֲתָא דְּאָת דָּא אִתְפַּשְׁטַת, וְאִיקְּרֵי אָלֶף. כְּדֵין, תְּרֵין דְּרוֹעִין, דָּא מִסִּטְרָא דָא, וְדָא מִסִּטְרָא דָא, וְגוּפָא קָיְימָא בֵּינַיְיהוּ בְּאֶמְצָעִיתָא. 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וְעַל דָּא אָלֶף רֵישָׁא לְכָל אַתְוָון, בְּגִין דְּתִיקּוּנָא דָא, כַּד קָאִים, אִיהוּ רֵישָׁא לְכָל מַאן (נ"א מַאי) דְּנָפִיק מֵעָלְמָא דְאָתֵי. וְאַף עַל גַּב דְּרָזִין עִילָּאִין אַחֲרָנִין נֶאֶמְרוּ בְּרָזָא דְאָלֶ"ף, אֲבָל דָּא אִיהוּ בְּרִירוּ דְּרָזָא דְמִלָּה כְּמָה דְאִיהוּ בְּסִפְרָא דָּא (דְּאָדָם), וְהָכָא אִיהוּ בְּרִירוּ דְרָזָא. וּמֵהָכָא אִתְפַּשְּׁטוּ אַתְוָון אָחֳרָנִין, כֻּלְהוּ בְּסִטְרַיְיהוּ, כָּל חַד וְחַד כִּדְקָא חָזֵי לֵיהּ.</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וְאָת דָּא כֹּלָּא אִיהוּ חַד, ו"ו וְאָלֶ"ף, בַּר דְּהַאי אַסְתִּים כֹּלָּא בְּגַוֵּיהּ, וְהַאי אַחֲזֵי כָּל דְּיוֹקְנֵיהּ. וְאִי תֵימָא תְּרֵין יַרְכִין דְּלָא אִתְחַזְּיָין. הָכִי הוּא וַדַּאי, דְּהָא תְּלַת סִטְרִין, אִינוּן רָזָא דִתְלַת אָחֳרָנִין.</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וְתוּ, אִלֵּין אִינוּן רָזָא דְתוֹרָה שֶׁבִּכְתָב, כְּלָלָא דְּכוֹלָּא. וּמֵהָכָא נָפְקָן כָּל שְׁאָר. כְּגַוְונָא דָא, נְבִיאִים וּכְתוּבִים כֻּלְהוּ כַּחֲדָא. אָלֶ"ף אִיהוּ חַד, רָזָא דִּתְלַת גְּוָונִין כַּחֲדָא, דְּאִינוּן אַבָּהָן. וְכַד אַבָּהָן מִתְחַבְּרָן כַּחֲדָא, אִינוּן חַד. וְעַל דָּא אִיקְּרֵי אָלֶף, חַד רֵישָׁא לְכָל אַתְוָון, רָזָא דְּתוֹרָה שֶׁבִּכְתָב, כְּמָא דְּאִיתְּמָר.</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וְעַל דָּא, ו' וְאָלֶף רָזָא חָדָא אִינוּן. אָת ו' דְּיוֹקְנָא דְּאָדָם, רֵישָׁא וְגוּפָא אִתְפַּשְׁטוּתָא חַד. אָלֶ"ף אַשְׁלָמוּתָא דִּדְיוֹקְנָא לְאַחֲזָאָה. וְכִי תֵימָא, ו', דְּאִיהוּ אִתְפַּשְׁטוּתָא חַד, פְּשִׁיטוּ חַד בְּלָא דְּיוֹקְנִין אָחֳרָנִין, אַמַּאי רָזָא דִילֵיהּ שִׁיתָא, וְאָלֶף דְּאִיהִי תְּלַת דְּיוֹקְנִין, אַמַּאי רָזָא דִילֵיהּ חַד.</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אֶלָּא מֵהָכָא, רָזִין דְּסָלְקִין בִּשְׁמָא קַדִּישָׁא, אָסוּר לְאַסְגָּאָה לוֹן בִּפְרָטָא, אֶלָּא לְחַבְּרָא כֻּלְהוּ, וּלְיַיחֲדָא לוֹן כַּחֲדָא, לְמֶהֱוֵי חָד. וְכַד אִינוּן כַּחֲדָא בִּכְלָלָא חָדָא, בְּדִיוֹקְנָא חָדָא, אִית לְפָרְשָׁא לוֹן, וּלְמֶעְבַּד פְּרָטִין דְּנָפְקֵי מֵהַהוּא כְּלָלָא דְּאִתְחֲזֵי.</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וְעַל דָּא, כְּלַל אִתְהַדַּר לְמֶהֱוֵי פְּרָט. פְּרַט אִתְהַדַּר לְמֶהֱוֵי כְּלָל. כְּלַל דָּא ו"ו, דְּאִתְהַדַּר לְמֶהֱוֵי פְּרָט, בְּרָזָא דְּשִׁית, וְאִיהִי פְּשִׁיטוּ חַד בִּלְחוֹדוֹי. פְּרָט אָלֶף, תְּלַת דְּיוֹקְנִין מִתְחַבְּרָן כַּחֲדָא, וְאִתְהַדַּר לְמֶהֱוֵי כְּלָל, בְּרָזָא דְּחָד. וְרָזָא דָא, כְּלָל וּפְרָט וּכְלָל, א' ו' א', וְכֹלָּא חַד.</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אל"ף פְּרָט דְּאִתְהַדַּר לְמֶהֱוֵי כְּלָל, וּלְבָתַר אִתְהַדַּר לְמֶהֱוֵי פְּרָט. וְאִיהוּ פְּרָט וּכְלָל וּפְרָט. ו"ו כְּלָל, וְאִתְהַדַּר לְמֶהֱוֵי פְּרָט, וּלְבָתַר אִתְהַדַּר לְמֶהֱוֵי כְּלָל. וְדָא רָזָא כְּלָל וּפְרָט וּכְלָל.</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אל"ף פְּרָט, וְאִתְהַדַּר לְמֶהֱוֵי כְּלָל, כְּמָא דְאוֹקִימְנָא, וּלְבָתַר אִתְהַדַּר לְמֶהֱוֵי פְּרָט. בְּגִין דְּאִיהוּ אל"ף, וְהָכִי סָלְקָא בְּרָזָא דְּאָלֶף. דְּרוֹעִין וְגוּפָא, וְאִתְפָּרְשָׁן רָזִין לְמֵאָה, וּמִמֵּאָה לְאָלֶף. עַל דָּא אִקְרֵי אל"ף, בְּרָזָא דְּאל"ף, אָלֶף חַד כְּלָל. אָלֶף אַלְפָא פְּרָט.</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ו"ו כְּלָל, וְאִתְהַדַּר לְמֶהֱוֵי פְּרָט, בְּרָזָא דְאוֹקִימְנָא. וּלְבָתַר אִתְהַדַּר לְמֶהֱוֵי כְּלָל. רָזָא דְּאָדָם חַד. רָזָא חַד. וְכֹלָּא סָלְקָא בְּרָזָא חָדָא, וּבְמַתְקְלָא חָדָא לְמֶהֱוֵי כֹּלָּא חַד. ו"ו אִתְהַדַּר לְמֶהֱוֵי כְּלָל חַד, נְהוֹרָא חָדָא, כְּלִילָן בְּשִׁית סִטְרִין.</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וְרָזָא דָא וַיַּרְא אֱלֹהִים אֶת הָאוֹר כִּי טוֹב. דָּא ו"ו דְּהוּא אָזִיל וְנָהִיר בְּרָזָא דְּיָמִינָא, בִּכְלָלָא חָדָא. וּלְבָתַר וַיַּבְדֵּל אֱלֹהִים בֵּין הָאוֹר וּבֵין הַחשֶׁךְ, אִתְהַדַּר אָת דָּא לְמֶהֱוֵי אָלֶף, תְּרֵין דְּרוֹעִין, דָּא מִסִּטְרָא דָא, וְדָא מִסִּטְרָא דָא. חַד אִתְקְרֵי אוֹר, וְחַד אִתְקְרֵי חשֶׁךְ. אִתְפְּלַג אָת דָא (נ"א ו"ו) בְּגַוַויְיהוּ, וּכְדֵין אִתְפְּלַג מַחְלוֹקֶת מִתְּרֵין סִטְרִין, דְּאִינוּן אוֹר וְחשֶׁךְ, דִּכְתִיב וַיַּבְדֵּל אֱלֹהִים בֵּין הָאוֹר וּבֵין הַחשֶׁךְ. מַהוּ וַיַּבְדֵּל דְּאִיתְפְּרַשׁ מַחְלוֹקֶת הַהוּא, וְאִסְתַּכְּמוּ תְּרֵין סִטְרִין לְמֶהֱוֵי בִּשְׁלָם, (דף ז ע"א) וְהַבְדָּלָה דָא, הִיא הַבְדָּלַת מַחְלוֹקֶּת, לְאִסְתַּכְּמָא לְמֶהֱוֵי כֹּלָּא חַד, שְׁלִים כַּחֲדָא.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וּבְגִין כָּךְ, א"ו כַּחֲדָא אִינוּן. וַיִּקְרָא אֱלֹהִים לָאוֹר יוֹם, דָּא סִטְרָא חָדָא דְרָזָא דְּאל"ף. (נ"א וְלַחשֶׁךְ קָרָא לָיְלָה, דָּא סִטְרָא חָדָא דְרָזָא דְּאָלֶף). לְבָתַר אִתְפְּרָשׁוּ תְּרֵין סִטְרִין לְמֵיעְבַּד עוֹבָדָא, חַד עָבִיד עָרֶב, וְחַד עָבִיד בֹּקֶר. כֵּיוָן דַּעֲבָדוּ עוֹבָדִין, אִסְתַּכְּמוּ תַּרְוַיְיהוּ, וְאִתְכְּלִילוּ בְּאָת ו"ו.</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הֲדָא הוּא דִכְתִיב וַיְהִי עֶרֶב וַיְהִי בֹקֶר, וַיְהִי עֶרֶב, מִסִּטְרָא דְחשֶׁךְ. וַיְהִי בֹקֶר, מִסִּטְרָא דְאוֹר. כֵּיוָן דַּעֲבָדוּ עוֹבָדִין, מִיָּד אִשְׁתַּכְלָלוּ לְחַד, דִּכְתִיב יוֹם אֶחָד. הָא רָזָא דְאָת ו"ו, דְּאִתְכְּלִילָן בֵּיהּ לְמֶהֱוֵי חָד.</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וְדָא הוּא רָזָא דִּכְתִיב וַיְהִי, וְלֹא כְתִיב וְהָיָה. וַיְהִי, כַּד אִתְחַזְּיָין בְּרָזָא דְּאָלֶף, וַעֲבָדוּ עוֹבָדִין, וְאַסְתִּימוּ וְלָא אִתְחַזּוּן, כְּדֵין כְּתִיב וַיְהִי: הֲוָה, וְהַשְׁתָּא לָא אִיהוּ הָכִי, דְּהָא אִתְכְּלִיל בְּרָזָא דְו"ו, וְהַשְׁתָּא כֹּלָּא יוֹם אֶחָד (תהלים קו ב) מִי יְמַלֵּל גְּבוּרוֹת ה' יַשְׁמִיעַ כָּל תְּהִלָּתוֹ.</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וַיֹּאמֶר אֱלֹהִים יִקָּווּ הַמַּיִם מִתַּחַת הַשָּׁמַיִם. דָּא סִטְרָא תַּתָּאָה, סִטְרָא חַד דִּבְרָזָא דְּאָלֶף, דְּאִיהִי סִטְרָא דְּאִקְרֵי חשֶׁךְ, וְדָא אִיהוּ מִתַּחַת הַשָּׁמַיִם. דְּהָא מֵהַהוּא סִטְרָא מִתְפָּרְשָׁן מַיִין, וְנָבְעֵי בִּנְגִידוּ דִטְמִירוּ, מִסִּטְרָא אָחֳרָא דִּלְעֵילָא, דְּאִיהוּ יָמִינָא.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אוֹר דְּאִתְגְּנִיז, בְּאָן אֲתַר אִתְגְּנִיז, בְּרָזָא דְּאָת ו"ו. וְכַד אִיהִי אִתְגְּנִיז, כּוֹלָּא אִיתְגְּנִיזִין, סִטְרָא אָחֳרָא גָּנִיז עִמֵּיהּ. וְעַל דָּא מִתַּחַת הַשָּׁמַיִם אֶל מָקוֹם אֶחָד. וְדָא הוּא סִטְרָא דְּאִשְׁתָּאַר חַד, בְּלָא חַבְרֵיהּ כַּד אִתְגְּנִיז בְּקַדְמִיתָא. וּמֵהַהוּא סִטְרָא כַּד אִתְפַּלְּגוּ מַיָּא, וְאִתְכְּנִישׁוּ בְּגַוֵּיהּ, כְּדֵין אִיתְחֲזֵי יַבֶּשְׁתָּא מֵהַהוּא סִטְרָא. וְרָזָא דָא (תהלים מח ג) הַר צִיּוֹן יַרְכְּתֵי צָפוֹן קִרְיַת מֶלֶךְ רָב. דְּהָא מֵהַהוּא סִטְרָא אִיתְחֲזֵי וְאִתְגַּלְּיָא. לְבָתַר דְּאִיתְגְּנִיזוּ אִלֵּין תְּרֵין סִטְרִין, אִתְהַדַּר כֹּלָּא לְמֶהֱוֵי ו"ו. וְאַסְתִּים כֹּלָּא בְּגַוֵּיהּ, וַהֲוָה חָד.</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וַיֹּאמֶר אֱלֹהִים יְהִי מְאֹרֹת בִּרְקִיעַ הַשָּׁמָיִם, דָּא ו"ו, דְּאִיהִי אָת דְּאִיקְרֵי שָׁמָיִם. רְקִיעַ הַשָּׁמָיִם, דְּאִתְפַּשַּׁט מִנֵּיהּ פְּשִׁיטוּ חַד, לְאַנְהָרָא לְאַרְעָא, וּלְאַשְׁקָאָה לְהַהוּא יַבֶּשְׁתָּא, וְהַאי אִיהוּ רְקִיעַ הַשָּׁמָיִם. מַאן אִיהוּ רְקִיעַ הַשָּׁמָיִם. דָּא הוּא פְּשִׁיטוּ דְּאִתְפַּשַּׁט מֵאָת ו"ו, כְּגַוְּונָא דָא ג, דָּא אִיהוּ פְּשִׁיטוּ דְּאִתְפַּשַּׁט מֵאָת ו"ו, לְאַנְהָרָא וּלְאַשְׁקָאָה לְאַרְעָא, כְּמָא דְּאִתְּמָר.</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אָת ו"ו, דְּיוֹקְנָא דָא, אִשְׁתְּלֵיל מִכֹּלָּא, דְּלָא אִיתְחֲזוּן בֵּיהּ כְּלָל מִכָּל אִינוּן סִטְרִין אָחֳרָנִין, בַּר חַד פְּשִׁיטוּ דְּגוּפָא בִּלְחוֹדוֹי, בְּלָא דְרוֹעִין וְסַמְכִין, וְקָיְימָא הָכִי בְּרָזָא דִשְׁמָא קַדִּישָׁא, בְּגִין לְמֶהֱוֵי זַמִּין לְגַבֵּי נוּקְבָא לְתַתָּא.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וְאַף עַל גַּב דְּאִלֵּין סִטְרִין אָחֳרָנִין, אִתְרְשִׁימוּ לְגַבֵּיהּ, הָכָא רָזָא דְרָזִין לְאִינוּן דְּיָדְעֵי רָזֵי דִמְהֵימְנוּתָא, לְמִנְדַע בְּאָן זִמְנָא אִיהוּ אָלֶ"ף, וּבְאָן זִמְנָא אִיהוּ וָ"ו.</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בְּזִמְנָא דְקָיְימָא (נ"ל לְאַחֲזָאָה) רָזֵי מְהֵימְנוּתָא, וּלְאַלָּפָא יִחוּדָא בְּרָזָא דִּשְׁמָא קַדִּישָׁא לְכָל עָלְמָא, כְּדֵין קָיְימָא בְּרָזָא. דְּא', אָלֶף לְעַיְינָא, דְּדָא רֵאשִׁיתָא דְּכֹלָּא, לְמֵילַף מְהֵימְנוּתָא דְּיִחוּדָא דְּקוּדְשָׁא בְרִיךְ הוּא. וְעַל דָּא קָיְימָא רֵישׁ לְכָל אַתְוָון, דְּהָא לָא אָתָא בַּר נָשׁ לְעָלְמָא, אֶלָּא לְמֵילַף וּלְמִנְדַע לְמָארֵיהּ. וְקָיְימָא בְּדִיוֹקְנָא לְעֵינֵיהוֹן דְּכֹלָּא וּלְאוֹלִיף חָכְמְתָא דִּמְהֵימְנוּתָא דְּמָארֵיהּ, (דברים ד לב) וּלְמִקְצֵה הַשָּׁמַיִם וְעַד קְצֵה הַשָּׁמָיִם.</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וְעַל דָּא אִתְרְשִׁים גַּבֵּיהּ, בִּדְיוֹקְנִין דִּבְרֵאשִׁית, (נ"א דבר נש) דְּאִתְחֲזֵי לְמִשְׁאַל וּלְמִנְדַע, דִּכְתִיב, (שם) כִּי שְׁאַל נָא לְיָמִים רִאשׁוֹנִים. וְדָא הִיא שְׁאֵלְתָּא קַמַּיְיתָא, לְאִשְׁתְּמוֹדַע בַּר נָשׁ לְמָארֵיהּ, דְּדָא אִיהוּ רֵאשִׁיתָא דְּכֹלָּא. וּכְדֵין אִיהוּ רָזָא דְּאָלֶ"ף, רֵאשִׁיתָא דְּקָיְימָא לְכָל אַתְוָון.</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וּבְזִמְנָא דְּקָיְימָא לְאִזְדַּוְּוגָא לְגַבֵּי נוּקְבָא, בְּרָזָא דִּשְׁמָא קַדִּישָׁא, קָיְימָא בְּרָזָא דְו"ו, וְאִשְׁתְּלֵים מִכֹּלָּא, וְלָא אִתְחֲזֵי בַּר גּוּפָא בִּלְחוֹדוֹי. וְכֹלָּא אִתְקַשַּׁר בְּנוּקְבָא. דְּרוֹעָא חַד, תְּחוֹת רֵישָׁא, וְחַד, דִּמְחַבְּקָא לָהּ.</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וְעַל דָּא לָא אִיתְחֲזוּן בְּאָת ו"ו יְרֵכִין, וְהַהוּא דִּרְקִיעָא, כֹּלָּא אִסְתִּים בְּגַוֵּיהּ, בִּסְתִימוּ בְּרָזָא דְרָזִין, וְאִיתְחֲזֵי ו"ו בִּלְחוֹדוֹי, כְּמַאן דְּאִישְׁתְּלִילוּ מִכֹּלָּא. וּכְדֵין אִיהוּ זַמִּין וְאִתְקַשַּׁר לְגַבָּהּ דְּנוּקְבָא. וְעַל דָּא זַמִּין אָת ו"ו, בְּרָזָא דִּשְׁמָא קַדִּישָׁא, לְאַחֲזָאָה כֹּלָּא. וְקָיְימָא ה"א בַּתְרָאָה שְׁלֵימָא וּמַלְיָא כְּמָא דְּאִתְחֲזֵי. זַכָּאָה אִיהוּ חוּלָקֵיהּ, מַאן דְּעָאל וּנְפַק, וְיָדַע אוֹרחִין וּשְׁבִילִין בְּרָזָא דִמְהֵימְנוּתָא, לְאִשְׁתְּמוֹדְעָא לְמָארֵיהּ, זַכָּאָה אִיהוּ בְּעָלְמָא הָדֵין וּבְעָלְמָא דְאָתֵי.</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דְּיוֹקְנָא דְאָת יו"ד, נְקוּדָא קַדְמָאָה דְּסָלְקָא בְּמַחֲשָׁבָה, וְאִסְתִּים וְלָא יְדִיעַ, הַאי נְקוּדָא קָיְימָא בִּסְתִימָא דְמַחְשָׁבָה, בְּגִין דְּלָא אִתְפַּשַּׁט כְּלָל, וְלָא יְדִיעַ לְאָן אוֹרְחָא הִיא, וּלְאָן אָזְלַת, וּמֵאָן אִיהוּ, וּמֵאָן נָפְקָא. וְעַל דָּא כֻּלְהוּ קָיְימִין לְבַּר בְּהַהִיא נְקוּדָה, דְּקָיְימָא בִּרְעוּ דְּמַחְשָׁבָה, דְּלָא אִתְיְדַע כְּלָל.</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וְאִיהִי נְקוּדָה דְּקָיְימָא בְּאָת ה"א עִילָּאָה, דְּקָיְימָא עַל כָּל אִינוּן שִׁית סָמְכִין דְּקָאֲמָרָן, וְאִינוּן חָמֵשׁ כִּדְקָאֲמָרָן, וְאִינוּן פְּלִיאוֹת. וְעַל דָּא אִיקְרֵי רָזָא דָא פֶּלֶא. וְאוֹת אָלֶף סָלְקָא הָכָא. וְהָכָא כֹּלָּא אוֹת פְּלָאוֹת. וְהָא אוֹקִימְנָא.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וְכָל אִלֵּין סָמְכִין, וְכָל אִלֵּין רְתִיכִין דְּקָאֲמָרָן, כַּד סָלְקָא ה"א בַּתְרָאָה, לְאִתְקַשְּׁרָא בְּאָת וָא"ו, אִינוּן רְתִיכִין דִּילָהּ פְּרִישָׂן עַל נוּקְבָא כִּדְקָאֲמָרָן, וְכָל אִינוּן רְתִיכִין דְּלָא (נ"ל דִּילָהּ) כְּלִילָן בְּאִינוּן רְתִיכִין עִילָּאִין, כֻּלְהוּ חָפְיָין בְּסַחֲרָנָא דְנוּקְבָא.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רָזָא דָא, כַּד נוּקְבָא לָא אִתְקַשְּׁרַת בִּדְכוּרָא, חַפְיָא לָהּ חַד קְלִיפָּה תַּקִיפָא דְּסָתִים נְהוֹרָהּ. וְכַד אִתְקַשְּׁרַת בִּדְכוּרָא, חַפְיָין לָהּ כָּל הַנֵּי רְתִיכִין עִילָּאִין וְתַתָּאִין, אִינוּן קְלִיפָּה קַדִּישָׁא דְּחָפְיָין לָהּ, וְאִתְלַבְּשַׁת בְּהוּ, וְהִיא אִתְקַשְּׁרַת בְּאָת ו"ו.</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עִילָּאָה נָטְלָא בְּהֵ"א, דִּנְקוּדָה עִילָּאָה סָתִים בְּגַוָּוהּ. וְכַד אִיהִי נָטְלָא לוֹן, וְכֻלְהוּ בָּהּ, כְּדֵין אִיתְעֲבִידוּ כֻּלְהוּ, כְּגַוְונָא דָא. כּ (נ"א ) וְאַסְתִּים נְקוּדָה עִילָּאָה דְּקָיְימָא בְּאֶמְצָעִיתָא, דְּאִיהוּ ו"ו דְּאָזְלָא בְּעִיגּוּלָא, לְמֶעְבַּד גּוּפָא לְאַסְתְּמָא לְהַאי נְקוּדָה.</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כְּגַוְונָא (נ"א דְּהֵ"א) אָחֳרָא, עָבִיד גּוּפָא בְּאִינוּן רְתִיכִין דִּילָהּ, וְאִיהִי נְקוּדָא דְּקָיְימָא בְּאֶמְצָעִיתָא, וּכְדֵין אִיקְּרֵי הֵ"א. הָכִי נָמֵי הַאי אָת רָזָא דְּו"ו, אִינוּן גּוּפָא, וְקָיְימָא בְּרָזָא דָא, וְהַאי נְקוּדָה בְּאֶמְצָעִיתָא, וּבְגִין כָּךְ כֹּלָּא חַד. וְהַאי נְקוּדָה עִילָּאָה, אִיקְּרֵי חָכְמָה עִילָּאָה. וְהַאי נְקוּדָה תַּתָּאָה, אִיקְּרֵי חָכְמָה תַּתָּאָה, חָכְמָה זְעִירָא. וְהַאי הֵ"א, וְהַאי הֵ"א, בַּר דְּהַאי נְקוּדָה (דף ז ע"ב) אִתְרְשִׁים בְּקַדְמִיתָא בִּלְחוֹדָאָה.</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י' נְקוּדָה חַד עִילָּאָה, דְּקָיְימָא עַל תִּשְׁעָה סָמְכִין, כְּמָא דְאוֹקִימְנָא. אִלִּין לָא אִיקְרוּן בִּשְׁמָהָן, בַּר בְּאִינוּן רְתִיכִין דִּילְהוֹן. אֲבָל הַנֵּי תִּשְׁעָה, נָפְקֵי מִגּוֹ בּוּצִינָא, וְאִתְרְשִׁימוּ תְּחוֹתוֹי דְּיוּ"ד.</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וְאִינוּן ט' נְקוּדִין, דְּאִתְפַּשְּׁטָן בְּכָל אַתְוָון. בְּגִין דְּכָל אַתְוָון נָפְקִין מִן יוּ"ד, בְּאִינוּן שְׁבִילִין דִּילָהּ. וּכְמָא דְּאַתְוָון נָפְקִין מִן יוּ"ד, הָכִי נִיקּוּדִין. וְכֻלְהוּ הַנֵּי נְקוּדִּין תֵּשַׁע, נָפְקִין מֵאִינוּן תֵּשַׁע.</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וְאַף עַל גַּב דַּאֲמָרָן, דְּהַנֵּי תֵּשַׁע אִינוּן תְּחוֹתֵיהּ דְּיוּ"ד, עֲלֵיהּ דְּיוּ"ד אִינוּן. אֲבָל אִינוּן סָמְכִין לָהּ, וְאִינוּן רְתִיכִין לְתִּשְׁעָה אָחֳרָנִין, דְּאִינוּן רָזָא דְּאֵין סוֹף, וְכֻלְהוּ קָיְימִין לְיוּ"ד. וְכָל הַנֵּי דִּלְתַתָּא, אִסְתִּימוּ, וְאַהַדְרוּ לְהַאי נְקוּדָה. עַל דָּא כָּל יוֹמִין.</w:t>
      </w:r>
    </w:p>
    <w:p w:rsidR="00007309" w:rsidRPr="00007309" w:rsidRDefault="00007309" w:rsidP="00007309">
      <w:pPr>
        <w:jc w:val="both"/>
        <w:rPr>
          <w:rFonts w:cs="Arial"/>
          <w:color w:val="000000"/>
          <w:sz w:val="37"/>
          <w:szCs w:val="26"/>
          <w:rtl/>
        </w:rPr>
      </w:pPr>
      <w:r w:rsidRPr="00007309">
        <w:rPr>
          <w:rFonts w:cs="Arial" w:hint="cs"/>
          <w:color w:val="000000"/>
          <w:sz w:val="37"/>
          <w:szCs w:val="26"/>
          <w:rtl/>
        </w:rPr>
        <w:t>(עד כאן מזהר חדש בראשית, סתרי אותיות)</w:t>
      </w:r>
    </w:p>
    <w:p w:rsidR="00007309" w:rsidRPr="00007309" w:rsidRDefault="00007309" w:rsidP="00007309">
      <w:pPr>
        <w:keepNext/>
        <w:spacing w:before="240" w:after="60"/>
        <w:outlineLvl w:val="1"/>
        <w:rPr>
          <w:rFonts w:ascii="Cambria" w:hAnsi="Cambria" w:cs="Times New Roman"/>
          <w:b/>
          <w:bCs/>
          <w:i/>
          <w:iCs/>
          <w:snapToGrid w:val="0"/>
          <w:sz w:val="28"/>
          <w:szCs w:val="28"/>
          <w:rtl/>
          <w:lang w:eastAsia="he-IL"/>
        </w:rPr>
      </w:pPr>
      <w:r w:rsidRPr="00007309">
        <w:rPr>
          <w:rFonts w:ascii="Cambria" w:hAnsi="Cambria" w:cs="Times New Roman" w:hint="cs"/>
          <w:b/>
          <w:bCs/>
          <w:i/>
          <w:iCs/>
          <w:snapToGrid w:val="0"/>
          <w:sz w:val="28"/>
          <w:szCs w:val="28"/>
          <w:rtl/>
          <w:lang w:eastAsia="he-IL"/>
        </w:rPr>
        <w:t>(המשך מאמר 'קו המידה')</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קַו הַמִּדָּה, מָדֵיד אֶלֶף. וְשָׁארֵי מֵעוֹמְקָא דְגוּפָא לְגוֹ, וְאִתְפַּשַּׁט בּוּצִיצָא, וּמָדֵיד לְאוֹרְכָּא בְּעוֹמְקָא. וּקְשַׁר חֲמֵשׁ מְאָה אַלְפִין עָלְמִין בִּמְעוֹי לְגוֹ. כְּמָה דְאַתְּ אָמֵר, (שה"ש ה יד) מֵעָיו עֶשֶׁת שֵׁן מְעֻלֶּפֶת סַפִּירִים.</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מְעֻלֶּפֶת, דָּא הִיא בּוּצִיצָא, עַד דְּלָא אִתְפַּשְׁטַת, דְּאִיהִי מְעֻלֶּפֶת לְאִתְפַּשְׁטָא, וּלְמֶיעֱבַד מְדִידוּ, וְדָא אִיהו מְדִידוּ דְּבוּצִיצָא בְּהַאי סִטְרָא, רוּמָא וּפוּתְיָיא. בְּרָזָא דִּנְפֵיק מִבּוּצִיצָא אִתְפַּשְׁטוּתָא חָדָא, דְּאִיהוּ רוּמָא וּפוּתְיָיא, תְּלַת מְאָה אַלְפִין זַרְתִּין, לְאִתְפַּשְׁטָא בִּתְלַת מְאָה עָלְמִין. וּבֵין עָלְמָא וְעָלְמָא, תְּלַת מְאָה אֶלֶף טְפָחִים. וְכֻלְהוּ קָיְימֵי בְּרוֹמָא וּפוּתְיָיא, בְּרָזָא דְּבוּצִיצָא דְקַרְדִינוּתָא. וְקָיְימָא הַאי בְּשִׁית סִטְרִין, אִלֵּין שִׁית סִטְרִין דְּעָלְמָא, דְּכֻלְהוּ קָיְימִין בְּהַאי בּוּצִיצָא, בְּאִתְפַּשְׁטוּתָא דָא.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וְהָכָא אִתְקַשַּׁר קִשְׁרָא חָדָא לְתַתָּא, וְקִשְׁרָא חָדָא בְּאֶמְצָעִיתָא, וְקִשְׁרָא חָדָא לְעֵילָא. אִתְקַשְּׁרוּ אִלֵּין תְּלָתָא קִשְׁרִין, בַּאֲתַר דָּא בְּבוּצִיצָא. אִשְׁתַּכַּח בּוּצִיצָא דָא, בְּרָזָא דִּלְעֵילָא וְאֶמְצָעִיתָא וְתַתָּא, לְמֶיעְבַּד מִשְׁחֲתָא.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תְּלַת קְשִׁירִין אִלֵּין אִתְקַשְּׁרִין בְּבוּצִיצָא, וְקָיְימָא אִלֵּין תְּלָתָא בְּסִטְרָא דְּאוֹרְכָּא, וְאִלֵּין עָבְדִין תְּלָתָא אָחֳרָנִין, בְּסִטְרָא דְאוֹרְכָּא.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אִלֵּין תְּלַת קַדְמָאי, קָיְימֵי גוֹ מִשְׁחֲתָא, כָּל קִשְׁרָא וְקִשְׁרָא, קָאִים בְּמִשְׁחֲתָא, שִׁית מְאָה אֶלֶף עָלְמִין, וְשִׁית זַרְתִּין, וְשִׁית טְפָחִים. וְכֻלְהוּ קָיְימִין בְּקִיּוּמָא.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אִשְׁתַּכָּחוֹ תְּלַת קִשְׁרִין קַדְמָאי, דְּאִינוּן תְּמַנֵּי סְרֵי מְאָה אַלְפֵי עָלְמִין, וּתְמַנֵּי סְרֵי זַרְתִּין, וּתְמַנֵּי סְרֵי טְפָחִים. וְדָא אִיהוּ רָזָא דְבוּצִיצָא בְּסִטְרָא דָא. וְכֵן כְּגַוְונָא דָא קָיְימִין תְּלַת קִשְׁרִין אָחֳרָנִין.</w:t>
      </w:r>
    </w:p>
    <w:p w:rsidR="00007309" w:rsidRPr="00007309" w:rsidRDefault="00007309" w:rsidP="00007309">
      <w:pPr>
        <w:keepNext/>
        <w:spacing w:before="240" w:after="60"/>
        <w:outlineLvl w:val="1"/>
        <w:rPr>
          <w:rFonts w:ascii="Cambria" w:hAnsi="Cambria" w:cs="Times New Roman"/>
          <w:b/>
          <w:bCs/>
          <w:i/>
          <w:iCs/>
          <w:snapToGrid w:val="0"/>
          <w:sz w:val="28"/>
          <w:szCs w:val="28"/>
          <w:rtl/>
          <w:lang w:eastAsia="he-IL"/>
        </w:rPr>
      </w:pPr>
      <w:r w:rsidRPr="00007309">
        <w:rPr>
          <w:rFonts w:ascii="Cambria" w:hAnsi="Cambria" w:cs="Times New Roman" w:hint="cs"/>
          <w:b/>
          <w:bCs/>
          <w:i/>
          <w:iCs/>
          <w:snapToGrid w:val="0"/>
          <w:sz w:val="28"/>
          <w:szCs w:val="28"/>
          <w:rtl/>
          <w:lang w:eastAsia="he-IL"/>
        </w:rPr>
        <w:t>[מאמר 'קו המדה', זהר חדש דף עא ע"א]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וְכֹלָּא קָיְימָא בִּרְעותָא דְּמִשְׁחֲתָא דְּבוּצִיצָא, דְּסָלְקָא עַד אֵין סוֹף. מִשְׁחֲתָא דְּבוּצִיצָא אִתְפַּשְׁטַת מִקִּשְׁרִין אִלֵּין, וְסָלִיק וְקָשִׁיר כֹּלָּא בְּקִישׁוּרָא חָדָא גּוֹ מִשְׁחֲתָא בִּשְׁלִימוּ חָדָא. אִתְהַדְּרַת אִתְפַּשְׁטוּתָא, וְקַיָּים גּוֹ רוֹמָא וְעִיגוּלָא וְרִבּוּעָא, וְסָלִיק וְקָשִׁיר לְעֵילָא חַד (דף עא ע"א) קִשְׁרָא. לְבָתַר נָחִית וְקָשִׁיר לְתַתָּא קִשְׁרָא חָדָא, וְקַיָּים כֹּלָּא.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אִשְׁתַּכַח רָזָא דְבוּצִיצָא, בְּכָל הַנֵּי קִשְׁרִין, וּבְכָל הַנֵּי מְדִידִין, מִשְׁחֲתָא חָדָא, וְקִשְׁרָא חָדָא. וְהַהוּא קִשְׁרָא כַּד סָלְקָא וְקָשִׁיר חַד קִשְׁרָא, עָבִיד מִשְׁחֲתָא, וְקָאִים בְּקִיּוּמָא, וְנָעֵיץ נְעִיצוּ דִּמְהֵימְנוּתָא. כַּד נָחִית וְקָשִׁיר חַד קִשְׁרָא עָבִיד מִשְׁחָתָא וְקָאִים בְּקִיּוּמָא וְנָעֵיץ נְעִיצוּ דִּמְהֵימְנוּתָא.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רִבּוּעָא קָיְימָא עַל עִיגּוּלָא, וְעִיגּוּלָא עַל אוֹרְכָּא, וְאוֹרְכָּא עַל עוֹמְקָא, וְעוֹמְקָא עַל רוֹמָא, וְרוֹמָא עַל פּוּתְיָא. וְכֹלָּא בְּרָזָא דְּבוּצִיצָא, לְמֶיעְבַּד מְדִידוּ.</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קָיְימָא בּוּצִיצָא, וְאַהֲדַר לְאִתְפַּשְׁטָא כְּמִלְּקַדְּמִין, כַּד קָשִׁיר קִיּוּמָא זִמְנָא חָדָא אִיהוּ מְעוּלֶפֶת, בִּזְמַן דְּאִיהִי מְעוּלֶפֶת, כְּדֵין רָשִׁים כָּל גְּוָונִין בְּאִינוּן אַתְרִין דְּאִתְחַזְּיָין, חִיוַּר וְסוּמַק וְיָרוֹק וְאוּכָם. וְאִלֵּין אִינוּן אַרְבַּע גְּוָונִין, דְּאַתְקֵינַת בּוּצִיצָא, וְאַנְהִירַת בִּנְהִירָא דְּנָעֵיץ וְנָפְקָא, וְדָא הוּא מְעוּלֶפֶת סַפִּירִים, סַפִּירִים דִּנְהִירִין.</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אֲהַדְּרַת בּוּצִיצָא וְאִתְפַּשְׁטַת כְּמִלְקַדְּמִין, וְנָטָה קָו וְעָבִיד מִדָּה. וּמָדֵיד אֶלֶף לִסְטַר דָּא, וְאֶלֶף לִסְטַר דָּא, וְכֵן לְאַרְבַּע סִטְרִין. לָקֳבֵל קִיּוּמָא דְאַתְוָון יהו"ה, דְּאִינוּן אַרְבַּע אַתְוָון. אִתְפַּשְׁטַת בּוּצִיצָא, וּמָדֵיד גּוֹ גְּוָונִין לְקִיּוּמָא, בִּנְצִיצוּ, לְאוֹרְכָּא וּלְרוֹמָא וּלְעוֹמְקָא וּלְפוּתְיָיא. נְצִיצוּ דְּיָמִינָא בְּגַוָּון חִיוַּר, בְּרָזָא דְּבוּצִיצָא בְּמִשְׁחֲתָא.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כְּהַהוּא פְּשִׁיטוּ דִּגְוָונִין, קָיְימָאן בִּמְדִידוּ לְאוֹרְכָּא, לְעֵילָא, וְתַתָּא, שְׁבַע מְאָה אֶלֶף עָלְמִין, וְשִׁית מְאָה וּתְלֵיסַר זַרְתִּין. וְכֵן בְּכָל אִינוּן סִטְרִין, בְּכָל אִינוּן גְּוָונִין.</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כַּד מְדִידוּ דְּהַהוּא גַּוָון אוּכָם, דְּקָיְימָא בִּגְרִיעוּתָא, לְאִתְחַבְּרָא בְּגַוָּון חִיוַּר, וְכַד מִתְחַבְּרָן אִלֵּין תְּרֵין גְּוָונִין כַּחֲדָא, כְּדֵין אִינוּן מִשְׁחֲתָא חָדָא. אִשְׁתַּכְּחוֹ אִלֵּין גְּוָונִין בִּמְדִידוּ דְּמִשְׁחֲתָא, לְאַרְבָּעָה סִטְרִין דִּגְוָונִין, תְּמַנְיָא וְעֶשְׂרִין אֶלֶף עָלְמִין, וְאֶלֶף וּמָאתָן וְאֶלֶף וּמָאתָן, מֵהַאי סִטְרָא וּמֵהַאי סִטְרָא, וּתְרֵיסַר זַרְתִּין.</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עַד הָכָא פְּשִׁיטוּ דְרָזָא דְּבוּצִיצָא לְעֵילָא, בִּמְדִידוּ בְּכָל סִטְרִין, לְאוֹרְכָּא וּפוּתְיָיא, לְעוֹמְקָא וְרוֹמָא. בְּהַנֵּי אַרְבַּע, קָיְימִין כָּל מִשְׁחֲתִין, בְּרָזָא דְּבוּצִיצָא, וְאִתַּקְנָא לְקָיְימָא תָּדִיר בְּקִיּוּמָא, גּוֹ רְעוּתָא, וְאִתְפַּשְׁטוּתָא דְּלִבָּא, וּמוֹחָא, וְרוּחָא. מַאן דְּבָעֵי לְמֶיעְבַּד מְדִידוּ בְּשִׁיעוּרָא דָא, וּלְנַטְלָא בּוּצִיצָא דְּקַרְדִּינוּתָא בִּידֵיהּ, וּלְאִתְפַּשְׁטָא בֵּיהּ בְּכָל הַנֵּי סִטְרִין, וְעָבִיד מִשְׁחֲתָא דָא. זַכָּאָה חוּלָקֵיהּ, דְּכָל רָז לָא אָנֵיס לֵיהּ, וְכָל מִלָּה דְחָכְמְתָא עִילָּאָה לָא יִסְתַּלַּק מִנֵּיהּ. עַד הָכָא קָיְימָא בּוּצִיצָא בְּרָזָא דְּחָכְמָתָא עִילָּאָה.</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אִלֵּין קִשְׁרִין עִילָּאִין דְּקָיְימִין בְּבוּצִינָא דְּקַרְדִינוּתָא, אִינוּן שִׁיבְסָרֵי קִשְׁרִין. בְּאִלֵּין שִׁיבְסָרֵי קִשְׁרִין, קָיְימָא רָזָא דְּמִשְׁחֲתָא, וּלְנַטְלָא מַטְלָנִין, וְאִתְפַּשְׁטוּתָא דְּבוּצִיצָא, בֵּין קִשְׁרָא וְקִשְׁרָא, לְסִטְרָא דָא וּלְסִטְרָא דָא. וְכֻלְהוּ שִׁבְסְרֵי קִשְׁרֵי, כֻּלְהוּ קָיְימִין בְּכָל מִשְׁחֲתִין, דְּאוֹרְכָּא וּפוּתְיָיא וְעוֹמְקָא וְרוֹמָא. מֵקִשְׁרָא דָא לְקִשְׁרָא דָא, קָיְימִין כֻּלְהוּ רָזִין בְּכָל מִשְׁחֲתִין.</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וְאִינוּן קִשְׁרִין תְּלֵיסַר, וְכָל אִינוּן אָחֳרָנִין, כֻּלְהוּ קָיְימִין בִּכְלָלָא חָדָא (דָא), וְכֻלְהוּ בְּרָזָא חָדָא (דָא), לָקֳבֵיל אַרְבַּע אִלֵּין דְּקָאַמְרֵי, וְלָקֳבֵיל אַרְבַּע גְּוָונִין, וְלָקֳבֵיל רָזָא דְאַרְבַּע אַתְוָון.</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מִכָּאן וּלְהָלְאָה אִתְפַּשַׁט בּוּצִיצָא, וְקָיְימִין קִשְׁרִין אַחֲרָנִין בְּבוּצִיצָא, לְמֶיעְבַּד מִשְׁחֲתִין אָחֳרָנִין, בְּרָזָא דִּתְלַת שְׁמָהָן. וּמִנַּיְיהוּ קָיְימִין תְּרֵי שְׁמָהָן לְבוּצִיצָא גּוֹ מִשְׁחֲתָא. וְאִינוּן תְּלַת שְׁמָהָן דְּקָאֲמָרָן, אִינוּן יהו"ה אֱלֹהֵינוּ יהו"ה. אִשְׁתָּאֲרוּ תְּרֵין שְׁמָהָן לְבוּצִיצָא, וְאִינוּן יהו"ה אֱלֹהֵינוּ.</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הַשְׁתָּא בְּבוּצִיצָא דָא, אִיהוּ מִשְׁחֲתָא דְּלָא עָמִיק גּוֹ עוֹמְקָא, וְקָיְימָא רָז דָּא בְּאֶמְצָעִיתָא. הַשְׁתָּא בּוּצִיצָא דְּהַהִיא מְעוּלֶפֶת, אִתְפַּשְׁטַת בִּתְלַת סִטְרֵי דְרָזָא, לְמֶעְבַּד מִשְׁחֲתִין. הָכָא קָיְימָא בּוּצִיצָא וְאִתְתַּקְּנַת. בְּגִין דְּהָכָא אִיהוּ מִשְׁחֲתָא אָחֳרָא, בַּר מֵאִינוּן מִשְׁחֲתִין.</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תִּיקּוּנָא דְּבוּצִיצָא דְּאִתְתַּקְנַת, עַד לָא אִתְפַּשְׁטַת, אִתְתַּקְנַת מִגּוֹ טְמִירוּ דְּאֵין סוֹף, סַלְקָא וְנַחֲתָא, וְאִתְגְּנֵיז בֵּיהּ מַה דְּאִתְגְּנֵיז, וּפַשִׁיט לָהּ (נ"א בה), תְּלַת אַרְגְּוָונִין בֵּיהּ אִתְחַזְּיָין, וְאִינוּן הֲווֹ תִּיקּוּנָא לְאִתְפַּשְּׁטָא, וּלְמֶיעְבַּד מִשְׁחֲתָא.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אִתְתַּקָּנַת בִּגְנִיזוּ דְּגָנֵיז, בְּגַוָּון אָחֳרָא. לְמֶיעְבַּד שַׁפִּירוּ וְתִיקּוּנָא דְּאָדָם. לְאַתְקָנָא גּוֹ מִשְׁחֲתָא, בְּשַׁפִּירוּ, בְּתִיקּוּנָא, לְאִתְחַפְיָיא מַה דְּטָמִיר לְגוֹ.</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שָׁארֵי בּוּצִיצָא לְאִתְפַּשְׁטָא, וְאִתְעֲבִיד (נ"א ועביד) חַד קִשְׁרָא לְעֵילָא, הַהוּא קִשְׁרָא אִסְתַּלַּק גּוֹ הַהִיא אִתְפַּשְׁטוּתָא, מִגּוֹ דְּהַהוּא מְעוּלֶפֶת. כַּד שָׁארֵי וְאִתְפַּשְׁטַת, קָשִׁיר קִשְׁרָא חָדָא, וְהַהוּא קִשְׁרָא אֶלֶף אַמִּין בֵּיהּ. מֵהַהוּא קִשְׁרָא אִתְפַּשְׁטַת בּוּצִיצָא חַד זַרְתָּא וּפַלְגָא, וּמָדֵיד מְדִידוּ לְאוֹרְכָּא, אֶלֶף וְשִׁית מְאָה עָלְמִין.</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הַהוּא אוֹרְכָּא, קִשְׁרָא מִכָּאן, וְקִשְׁרָא מִכָּאן. וּנְטֵיל הַהוּא אוֹרְכָּא, גּוֹ הַהוּא טְמִירוּ דְּאֵין סוֹף, עַד דְּמָטוֹ לְחַד מִגְדְּלָא דְּפָרְחָא בַּאֲוִירָא. כֵּיוָן דְּמָטָא הָתָם, אִתְפַּשְׁטַת בּוּצִיצָא, וְקָיְימָא לַאֲנָחָא הַהוּא מִשְׁחֲתָא, בִּקְשִׁירוּ דָא, וְאִתְעֲבִידַת בּוּצִיצָא דְּלָא אִתְיְדַע, עַד דְּאִתְמְשַׁח הַאי מִשְׁחֲתָא, דְּהַאי אִתְגְּנֵיז בְּגוֹ הַהוּא גְנִיזוּ. לְבָתַר בָּטַשׁ לֵיהּ לְבַר, כַּד נַפְקָא, אִשְׁתַּכַּח בֵּיהּ אֶלֶף אַלְפִין, וְאַרְבַּע מֵאוֹת רִבּוֹא עָלְמִין, וְכַמָּה רָזִין אָחֳרָנִין, כֻּלְהוּ קָיְימִין בְּהַאי מִשְׁחֲתָא.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לְבָתַר אִתְפַּשְׁטַת מֵהַאי אֲתַר, וּמָדֵיד בְּרִיבּוּעָא חָמֵשׁ קִשְׁרִין. וְכָל קִשְׁרָא וְקִשְׁרָא, אִית בֵּיהּ חֲמֵשׁ מְאָה אֶלֶף עָלְמִין. כָּל קִשְׁרָא וְקִשְׁרָא קָיְימָא, בְּרָזָא דְּהַהוּא גְנִיזוּ. קִשְׁרָא קַדְמָאָה שָׁארֵי, וְאִתְפְּשַׁט בּוּצִיצָא עַד קִשְׁרָא תִּנְיָינָא, בְּגוֹ רִיבּוּעָא אֶלֶף אַמִּין. מֵהַאי קִשְׁרָא אִתְפַּשְׁטַת בּוּצִיצָא עַד קִשְׁרָא תְּלִיתָאָה, אֶלֶף אַמִּין אָחֳרָנִין. מֵהַאי קִשְׁרָא עַד קִשְׁרָא רְבִיעָאָה לְעוֹמְקָא, אֶלֶף אַמִּין. מֵהַאי קִשְׁרָא לְעוֹמְקָא דִלְתַתָּא, אֶלֶף אַמִּין. אִשְׁתַּכָּחוֹ אִלֵּין קִשְׁרִין בְּאִלֵּין מִשְׁחֲתִין תְּמַנְיָא אֶלֶף עָלְמִין.</w:t>
      </w:r>
    </w:p>
    <w:p w:rsidR="00007309" w:rsidRPr="00007309" w:rsidRDefault="00007309" w:rsidP="00007309">
      <w:pPr>
        <w:keepNext/>
        <w:spacing w:before="240" w:after="60"/>
        <w:outlineLvl w:val="1"/>
        <w:rPr>
          <w:rFonts w:ascii="Cambria" w:hAnsi="Cambria" w:cs="Times New Roman"/>
          <w:b/>
          <w:bCs/>
          <w:i/>
          <w:iCs/>
          <w:snapToGrid w:val="0"/>
          <w:sz w:val="28"/>
          <w:szCs w:val="28"/>
          <w:rtl/>
          <w:lang w:eastAsia="he-IL"/>
        </w:rPr>
      </w:pPr>
      <w:r w:rsidRPr="00007309">
        <w:rPr>
          <w:rFonts w:ascii="Cambria" w:hAnsi="Cambria" w:cs="Times New Roman" w:hint="cs"/>
          <w:b/>
          <w:bCs/>
          <w:i/>
          <w:iCs/>
          <w:snapToGrid w:val="0"/>
          <w:sz w:val="28"/>
          <w:szCs w:val="28"/>
          <w:rtl/>
          <w:lang w:eastAsia="he-IL"/>
        </w:rPr>
        <w:t>[מאמר 'קו המדה', זהר חדש דף ע ע"ב]</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וְהָכָא בְּמִשְׁחֲתָא דָא, אִתְעֲבִיד דָּא כּוּרְסְיָיא לְמִשְׁחֲתָא עִילָּאָה קַדְמֵיתָא דְּקָאֲמָרָן. וְהָכָא קָיְימָא וְאִתְיַישְׁבָא מִשְׁחֲתָא קַדְמָאָה, דְּאִתְעֲבִיד בְּבוּצִיצָא לְקִיּוּמָא לְאַשְׁרָאָה בָהּ. דָּא מִשְׁחֲתָא (דף עא ע"</w:t>
      </w:r>
      <w:r w:rsidRPr="00007309">
        <w:rPr>
          <w:rFonts w:cs="David" w:hint="cs"/>
          <w:snapToGrid w:val="0"/>
          <w:sz w:val="24"/>
          <w:szCs w:val="24"/>
          <w:rtl/>
          <w:lang w:eastAsia="he-IL"/>
        </w:rPr>
        <w:t>ב</w:t>
      </w:r>
      <w:r w:rsidRPr="00007309">
        <w:rPr>
          <w:rFonts w:cs="David"/>
          <w:snapToGrid w:val="0"/>
          <w:sz w:val="24"/>
          <w:szCs w:val="24"/>
          <w:rtl/>
          <w:lang w:eastAsia="he-IL"/>
        </w:rPr>
        <w:t>) דְּאֶמְצָעִיתָא, דִּלְגוֹ (נ"א דלאו) אִיהוּ גְנִיזָא כְּקַדְמָאָה.</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בְּהַאי מִשְׁחֲתָא דְרָזָא דְּאָדָם דְּקָאֲמָרָן, בּוּצִיצָא קָיְימָא וַעֲבִיד מִשְׁחֲתָא בְּגוֹ אִתְפַּשְׁטוּתָא דָא, וַעֲבִיד (נ"א ומדיד) מְדִידוּ דְּקִשְׁרָא דְּקַיָּימָא, דְּלָא נָטִיל לְעָלְמִין. וְקִשְׁרָא דָא קַיְימָא לְתַתָּא, וַעֲבִיד בְּהַאי קִשְׁרָא מִשְׁחֲתָא, לְהַהוּא מְדִידוּ דְּקָיְימָא בְּשַׁפִּירוּ, וְאַתְקֵין וּמָדֵיד מִשְׁחֲתִין, מִגּוֹ רְעוּ דְּגָנֵיז. וּמָשִׁיךְ הַהוּא מְדִידוּ לְתַתָּא.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וְעַל דָּא אַחְסֵין משֶׁה יְרוּתָא דְּאִתְכְּלִיל בְּגוֹ רָזָא דְאִתְמַשְׁכוּתָא דָא, דְּאִתְמְשַׁךְ לְתַתָּא. וְעַל דָּא אַכְלֵיל גַּרְמֵיהּ בְּמִשְׁחֲתָא דָא, דְּהִיא קַיְימָא בִּמְשִׁיכוּ דְּאֶמְצָעִיתָא. מִשְׁחֲתָא דָא קָיְימָא בְּקִיּוּמָא, עַד קְיָימָא קַדִּישָׁא דְּקָאֲמָרָן, וְתַמָּן אִשְׁתַּכָּחוֹ מִשְׁחֲתִין בְּרָזָא דְּבוּצִיצָא, כְּמִשְׁחֲתָא דִלְעֵילָא.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מִכָּאן וּלְהָלְאָה אִתְפַּשְׁטוּ בְּרָזָא דִּמְהֵימְנוּתָא, לְאִשְׁתַּכָּחָא וּלְמֶהֱוֵי קִיּוּמָא דְּכֹלָּא, לְכָל אִינוּן רְתִיכִין עִילָּאִין וְתַתָּאִין.</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עַד כָּאן רָזָא דְּבוּצִיצָא, קַו הַמִּדָּה, גּוֹ רָזָא דְעָלְמָא עִילָּאָה, לְאִשְׁתַּכָּחָא קִיּוּמָא בְּכָל אִינוּן קִיּוּמִין וְרָזִין עִילָּאִין. זַכָּאָה חוּלַקְהוֹן דְּצַדִּיקַיָּא בְּעָלְמָא דֵין וּבְעָלְמָא דְאָתֵי, דְּאִינוּן יָכְלֵי לְאִתְדַּבְּקָא בְּרָזָא דְמָארֵיהוֹן כִּדְקָא חָזֵי.</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מִכָּאן וּלְהָלְאָה, שָׁארֵי בּוּצִיצָא לְאִתְפַּשְׁטָא גּוֹ רָזָא דִּמְהֵימְנוּתָא. וְהַהוּא פְּשִׁיטוּ קַדְמָאָה דְּמִשְׁחֲתָא, אִגְנִיז וְאִסְתַּלַּק. אִתְנְהֵיר וְאִתְנְצֵיץ.</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כֹּלָּא מִגּוֹ רָזָא דְּבוּצִיצָא, מֵהַהוּא מִשְׁחֲתָא. אֲוִירָא חָדָא נָפְקָא מִגּוֹ בּוּצִיצָא. וְהַהוּא אֲוִירָא סָלְקָא וְנָחֲתָא, וַעֲבִיד חַד פְּשִׁיטוּ אָחֳרָא, מְשַׁנְיָיא מִקַּדְמָאָה, וְהַהוּא פְּשִׁיטוּ אִיהוּ דְּנָפְקָא מִגּוֹ הַהוּא אֲוִירָא.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בְּרָזָא דְּבוּצִיצָא דְּקָיְימָא וְלָא קָיְימָא, נָפְקָא חַד פְּשִׁיטוּ דְּהַהוּא בּוּצִיצָא, דְּנָפְקָא, וּמָשִׁיךְ לְאִתְעַטְּרָא לְתַתָּא הַהוּא מִשְׁחֲתָא. בְּגִין דְּהָכָא לְתַתָּא, קָיְימָא מִשְׁחֲתָא לְאִתְעַטְּרָא וּלְאִתְקַיְּימָא.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בּוּצִיצָא נָפְקָא וְאִתְפַּשְּׁטַת, בְּרָזָא דְהַהוּא אֲוִירָא דְּנָפְקָא, וּמָדֵיד מִגּוֹ תְּלַת מְאָה וְשִׁתִּין וְחָמֵשׁ גְּוָונִין, בְּסוּסְפִיתָא דְדַהֲבָא כַּסְפָּא נְחָשָׁא וּפַרְזְלָא. וְנָפְקָא מִגּוֹ קִשְׁרָא חָדָא, דְּקָיְימָא לְחַבְּרָא בֵּין עֵילָא וְתַתָּא. וְהַהוּא קִשְׁרָא אַפִּיק כָּל גְּוָונִין. בְּרָזָא דְמִשְׁחֲתָא דְשַׁרְבִיטָא.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מֵהַאי קִשְׁרָא וּלְתַתָּא, אִתְפָּרְשָׁן מִשְׁחֲתִין לְכַמָּה סִטְרִין. וְהַהוּא פְּשִׁיטוּ דְּנָפַק מִגּוֹ הַהוּא קִשְׁרָא, מְחַבֵּר לוֹן כַּחֲדָא.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קִשְׁרָא דָא אִתְקַשַּׁר לְעֵילָא, בְּהַהוּא פְּשִׁיטוּ דְּמִשְׁחֲתָא עִילָּאָה דְּטָמִיר וְגָנֵיז, וְאִתְקַיַּים בְּקִיּוּמֵיהּ דְּבוּצִיצָא דְּנָהִיר וְקַיָּים. כּוֹלָא אִתְקַשַּׁר לְתַתָּא, בְּהַהוּא נְהוֹרָא דְּלָא נָהִיר, דְּקָיְימָא לְאַנְהָרָא בְּרָזָא דִּמְהֵימְנוּתָא, לְאִתְחַבְּרָא דָא בְּדָא. הַאי קִשְׁרָא קָאִי בֵּין עֵילָא וְתַתָּא.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שְׁבַע אַלְפֵי עָלְמִין, קָיְימִין בִּנְהִירוּ דְּמִשְׁחֲתָא, בְּהַהוּא קִשְׁרָא. הַאי קִשְׁרָא נָהִיר בְּאִינוּן גְּוָונִין, לְתַתָּא, כְּגַוְונָא דִלְעֵילָא. אִינוּן גְּוָונִין נָהֲרִין מִגּוֹ הַהוּא קִשְׁרָא, וְקָיְימִין כֻּלְהוּ בִּמְדִידוּ דְּמִשְׁחֲתָא, בְּהַהוּא פְּשִׁיטוּ דְּאִתְפְּשַׁט, וְאִתְקָיְימִן כֻּלְהוּ בְּקִיּוּמָא בִּשְׁלִימוּ לְאִתְעַטְּרָא. הַאי פְּשִׁיטוּ כַּד אִתְפְּשַׁט וּמָדֵיד, כּוֹלָּא אִתְתַּקַּן לְאִתְחַבְּרָא דָּא בְּדָא.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אִתְפְּשַׁט פְּשִׁיטוּ דְּנָפְקָא מִגּוֹ בּוּצִיצָא, וַעֲבִיד מִשְׁחֲתָא, (נ"א מדידו) לְיָמִינָא וּשְׂמָאלָא, לְעוֹמְקָא וְרוֹמָא, לְאוֹרְכָּא וּפוּתְיָיא. מִשְׁחֲתָא קַדְמָאָה לְיָמִינָא בְּהַהוּא פְּשִׁיטוּ. הַהוּא דְּנָפְקָא מִגּוֹ קִשְׁרָא הַהוּא דְּקָאֲמָרָן. וְהַהוּא פְּשִׁיטוּ אִיקְרֵי בּוּצִיצָא זְעִירָא, וְקָיְימָא לְמִשְׁחֲתָא דְּכַמָּה שַׁיְיפִין, לְחַבְּרָא לוֹן כַּחֲדָא, וּלְקָשְׁרָא לוֹן בְּקִישׁוּרָא חָדָא בְּהַהִיא מִשְׁחֲתָא דִּלְעֵילָא, לְמֶהֱוֵי כֹּלָּא בְּרָזָא דְמִשְׁחֲתָא חָדָא.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אִתְפְּשַׁט הַהוּא פְּשִׁיטוּ לְיָמִינָא, וַעֲבִיד מִשְׁחֲתָא. שָׁארֵי גוֹ עִיגּוּלָא, מָדֵיד אֶלֶף בְּהַהוּא פְּשִׁיטוּ. הַהוּא פְּשִׁיטוּ מָדֵיד בְּעִיגּוּלָא, וַעֲבִיד קִשְׁרָא מֵהַהוּא קִשְׁרָא דִלְעֵילָא, עַד הַאי פְּשִׁיטוּ, תְּרֵי אַלְפֵי אַמִּין לִסְטַר יָמִינָא, וּתְרֵי אַלְפֵי אַמִּין לִסְטַר שְׂמָאלָא, וּתְרֵי אַלְפֵי אַמִּין לְכָל סְטַר.</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עִיגּוּלָא דְּשָׁארֵי מָדֵיד, וַעֲבִיד קִשְׁרָא כִּדְקָאֲמָרָן, בִּתְחוּם תְּרֵי אַלְפֵי אַמִּין, גּוֹ מִשְׁחֲתָא, מִתְפַּשֵּׁט מִגּוֹ נְקוּדָה דְּקָיְימָא בֵּין שְׁאָר חַיָּילִין, וּמָדֵיד תְּרֵי אַלְפֵי מִילִין לְכָל סְטַר. שָׁארֵי בְּהַהוּא עִיגּוּלָא, אֶלֶף וּתְשַׁע מְאָה זַרְתִּין וּפַלְגָא.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בְּהַהוּא פְּשִׁיטוּ, שָׁארֵי וּמָדֵיד בְּעִיגּוּלָא, וַעֲבִיד תְּרֵין קִשְׁרִין, מִשֵּׁירוּתָא דָא, עַד סוֹפָא דְהַאי מְדִידוּ. בְּגִין דַּאֲתַר דָּא לָא קָיְימָא בְּרִבּוּעָא, יהו"ה, דָּא מִשְׁחֲתָא דִּפְשִׁיטוּ דְּנָפְקָא מִגוֹ קִשְׁרָא עִילָּאָה, בְּרָזָא דְבוּצִיצָא. שָׁארֵי בְּעִיגּוּלָא, וּמָשִׁיךְ וְנָטֵי לְתַתָּא, עַד סִטְרָא דְקִשְׁרָא לְתַתָּא.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אַהֲדַר וּמָדֵיד מִסִּטְרָא דָא לְסִטְרָא דָא, בְּגוֹ עוֹמְקָא דְהַהוּא עִיגּוּלָא, וְלֹא קָשִׁיר קִשְׁרָא. וּמָדֵיד בִּמְשִׁיכוּ לְתַתָּא, מִשְׁחֲתָא דְהַאי מֵשִׁירוּתָא דְעִיגּוּלָא, אֶלֶף אַמִּין וּתְרֵיסַר אַלְפִין זַרְתִּין.</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שָׁארֵי וּמָדֵיד, מִגּוֹ רוֹמָא וְעוֹמְקָא וְאוֹרְכָּא וּפוּתְיָיא, בְּרָזָא דִדְיוֹקְנָא דְּאָדָם, בְּשַׁפִּירוּ חֵיזוּ דְנוּקְבָא, וּמָדֵיד בְּעִיגּוּלָא דְרֵישָׁא, בְּסִטְרָא חָדָא בְּהַהוּא פְּשִׁיטוּ. הַהוּא פְּשִׁיטוּ אִתְפַּשַּׁט וּמָדֵיד בְּעִיגּוּלָא דְרֵישָׁא, בְּלָא פַּלְגוּ כְּלָל.</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וּמָדֵיד בְּסִטְרָא דְּרוּמָא בְּעִיגּוּלָא. וְאִתְפַּשַּׁט וּמָשִׁיךְ לְתַתָּא, וְקָשִׁיר קִשְׁרָא. מָדֵיד מֵרֵישָׁא בְּעִיגּוּלָא, בְּשִׁיעוּרָא דִּתְלַת אֶלֶף אַמִּין (נ"א עלמין) כְּלִילָן כַּחֲדָא. וְאִתְמְשַׁךְ וְאִתְפַּשַּׁט לְתַתָּא, בְּלָא קְשִׁירוּ. וְהַהוּא שִׁיעוּרָא, שִׁית אֶלֶף סִטְרִין דְּעָלְמִין, וְשִׁית אֶלֶף טְפָחִים, בְּעִיגּוּלָא.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גּוֹ פְּשִׁיטוּ דְּבוּצִיצָא דְּנָפְקָא, אִתְפַּשְׁטַת הַאי דְּנָפַק מִגּוֹ הַאי קִשְׁרָא עִילָּאָה, דְּרָזָא דְּבוּצִיצָא, וּמָדֵיד בְּעִיגּוּלָא לְסִטְרָא רְבִיעָאָה, וַעֲבִיד מִשְׁחֲתָא, וּמָדֵיד אֶלֶף לְסִטְרָא יָמִינָא. מִשְׁחֲתָא דְּהַאי סִטְרָא דְּיָמִינָא, לִתְרַע דָּרוֹמָא, מָדֵיד אֶלֶף וְאֶלֶף וְאֶלֶף וְאֶלֶף, בְּהַהוּא סִטְרָא, לְאַרְבַּע סִטְרִין דְּעָלְמָא, אִשְׁתַּכָּחוֹ אַרְבַּע אֶלֶף. וְכֵן אִתְפַּשַּׁט הַאי פְּשִׁיטוּ לְכָל סִטְרִין.</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בִּתְרַע מִזְרָח, קָיְימָא פְּשִׁיטוּ אָחֳרָא, דְּנָפְקָא מֵהַאי פְּשִׁיטוּ דְּמָדֵיד מִשְׁחֲתָא, וְקָיְימָא הַהוּא פְּשִׁיטוּ אָחֳרָא בְּאֶמְצָעִיתָא, וּמָדֵיד אֶלֶף, בְּהַהוּא סִטְרָא בְּאֶמְצָעִיתָא.</w:t>
      </w:r>
    </w:p>
    <w:p w:rsidR="00007309" w:rsidRPr="00007309" w:rsidRDefault="00007309" w:rsidP="00007309">
      <w:pPr>
        <w:keepNext/>
        <w:spacing w:before="240" w:after="60"/>
        <w:outlineLvl w:val="1"/>
        <w:rPr>
          <w:rFonts w:ascii="Cambria" w:hAnsi="Cambria" w:cs="Times New Roman"/>
          <w:b/>
          <w:bCs/>
          <w:i/>
          <w:iCs/>
          <w:snapToGrid w:val="0"/>
          <w:sz w:val="28"/>
          <w:szCs w:val="28"/>
          <w:rtl/>
          <w:lang w:eastAsia="he-IL"/>
        </w:rPr>
      </w:pPr>
      <w:r w:rsidRPr="00007309">
        <w:rPr>
          <w:rFonts w:ascii="Cambria" w:hAnsi="Cambria" w:cs="Times New Roman" w:hint="cs"/>
          <w:b/>
          <w:bCs/>
          <w:i/>
          <w:iCs/>
          <w:snapToGrid w:val="0"/>
          <w:sz w:val="28"/>
          <w:szCs w:val="28"/>
          <w:rtl/>
          <w:lang w:eastAsia="he-IL"/>
        </w:rPr>
        <w:t>[מאמר 'קו המדה', זהר חדש דף עב ע"א]</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וְעָמֵיק בְּעוֹמְקָא, וּמָדֵיד מְדִידוּ בְּרָזָא דִמְהֵימְנוּתָא, בְּרָזָא דְּשִׁית סִדְרֵי מִשְׁנָה. וְאִלֵּין שִׁית סִדְרִין, קָיְימִין בְּהַהוּא עוֹמְקָא דְרָזָא דְבוּצִיצָא, דְּהַהוּא (דף עב ע"א) פְּשִׁיטוּ. אִלֵּין שִׁית סִדְרִין, קָיְימִין גּוֹ מְדִידוּ דְּשָׁנָה. שָׁנָ"ה, אִיהוּ סִימָן, בְּרָזָא דְּאִינוּן שִׁית סִדְרִין דְּמִשְׁנָה, דְּקָאֲמָרָן.</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הַאי פְּשִׁיטוּ קַדְמָאָה, דְּנָחֲתָא וּנְפֵיק מִגּוֹ הַהוּא קִשְׁרָא דְּקָאֲמָרָן, אוֹרְכָּא דִילֵיהּ לְמֶיעְבַּד מִשְׁחֲתָא. בּיהּ, אִיהוּ אַלְפֵי אַלְפִין רִבְוָון אַמִּין (עָלְמִין), עַד הַהוּא נְצִיצוּ בַּתְרָאָה, דְּלֵית בֵּיהּ נְהוֹרָא כְּלָל. וְרָזָא דָא לִבְנֵי מְהֵימְנוּתָא לְמֶיעְבַּד מִשְׁחֲתָא. אִיהוּ רָזָא דִכְתִיב, (דניאל ז י) אֶלֶף אַלְפִין יְשַׁמְשׁוּנֵיהּ וְרִבּוֹ רִבְוָון קֳדָמוֹהִי יְקוּמוּן. בְּהַאי אִיהוּ רָזָא לְמִשְׁחֲתָא, כִּדְקָאֲמָרָן.</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פְּשִׁיטוּ תִּנְיָינָא דְּקָאֲמָרָן, דְּנַחֲתָא וּנְפֵיק מִגּוֹ הַאי פְּשִׁיטוּ קַדְמָאָה, וְאִיהוּ קָיְימָא בְּאֶמְצָעִיתָא, אוֹרְכָּא דִילֵיהּ, לְמֶיעְבַּד בֵּיהּ מִשְׁחֲתָא בְּהַהוּא סִטְרָא, אֶלֶף רִבּוֹא עָלְמִין, וּשְׁבַע מְאָה אֶלֶף וַחֲמִשָּׁה וְשִׁבְעִין. וְסִימָנָךְ, (שמות לח כח) וְאֶת הָאֶלֶף וּשְׁבַע הַמֵּאוֹת וַחֲמִשָּׁה וְשִׁבְעִים עָשָׂה וָוִים לָעַמּוּדִים.</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זַכָּאִין אִינוּן דְּיָדְעִין לַאֲפָקָא רָזִין עִילָּאִין גּוֹ מְהֵימְנוּתָא, וְיָדְעֵי לְמֵיעַל לְיָמִינָא וְלִשְׂמָאלָא כִּדְקָא יָאוֹת בְּלָא כִסּוּפָא. וְעַל דָּא כְּתִיב (דניאל יב ג) וְהַמַּשְׂכִּלִים יַזְהִרוּ כְּזֹהַר הָרָקִיעַ.</w:t>
      </w:r>
    </w:p>
    <w:p w:rsidR="00007309" w:rsidRPr="00007309" w:rsidRDefault="00007309" w:rsidP="00007309">
      <w:pPr>
        <w:widowControl w:val="0"/>
        <w:jc w:val="both"/>
        <w:rPr>
          <w:rFonts w:cs="David"/>
          <w:snapToGrid w:val="0"/>
          <w:sz w:val="24"/>
          <w:szCs w:val="24"/>
          <w:rtl/>
          <w:lang w:eastAsia="he-IL"/>
        </w:rPr>
      </w:pPr>
      <w:r w:rsidRPr="00007309">
        <w:rPr>
          <w:rFonts w:cs="David"/>
          <w:snapToGrid w:val="0"/>
          <w:sz w:val="24"/>
          <w:szCs w:val="24"/>
          <w:rtl/>
          <w:lang w:eastAsia="he-IL"/>
        </w:rPr>
        <w:t>בּוּצִיצָא דְקַרְדִינוּתָא, כַּד עָבִיד מִשְׁחֲתָא, אִתְכְּנַשׁ לְגַוֵּיהּ, וְקָיְימָא בְּכָל דַּרְגָּא וְדַרְגָּא, בְּהַהוּא כְּנִישׁוּ וְקַיָּים לוֹן. לְבָתַר, קָיְימָא וְסָלְקָא מְעוּלֶפֶת, עַד דְּסָלְקִין וְאִתְגְּנֵיז, וְאִתְטַמַּר וְלָא אִתְיְידַע. וְכֹלָּא אִשְׁתָּאַר בְּקִיּוּמָא, כְּדֵין נָהִיר מַה דְּנָהִיר, וְאַפִּיק נַחֲלִין וּמַיִּין, לְרַוָּואָה כּוֹלָא. עַד הָכָא רָזָא דְּבוּצִיצָא דְּקַרְדִינוּתָא, לְאַחְדָא בָהּ בְּכָל סִטְרֵי מְהֵימְנוּתָא.</w:t>
      </w:r>
    </w:p>
    <w:p w:rsidR="00007309" w:rsidRDefault="00007309" w:rsidP="000D6746">
      <w:pPr>
        <w:widowControl w:val="0"/>
        <w:jc w:val="both"/>
        <w:rPr>
          <w:rFonts w:cs="David"/>
          <w:snapToGrid w:val="0"/>
          <w:sz w:val="24"/>
          <w:szCs w:val="24"/>
          <w:rtl/>
          <w:lang w:eastAsia="he-IL"/>
        </w:rPr>
      </w:pPr>
      <w:r w:rsidRPr="00007309">
        <w:rPr>
          <w:rFonts w:cs="David"/>
          <w:snapToGrid w:val="0"/>
          <w:sz w:val="24"/>
          <w:szCs w:val="24"/>
          <w:rtl/>
          <w:lang w:eastAsia="he-IL"/>
        </w:rPr>
        <w:t>בּוּצִיצָא דְקַרְדִינוּתָא, קָיְימָא גּוֹ טְמִירִין, וְסָלְקָא וְנָחֲתָא. מַאן דְּיָדַע רָזָא דְּחָכְמְתָא, יָכִיל לְאַדְבְּקָא וּלְמֶיעְבַּד מִשְׁחֲתֲין בְּכֻלְהוּ סִטְרִין, עַד דְּיָדַע בְּרָזִין עִילָּאִין, בְּרָזִין דְּמָארֵיהּ, בְּרָזִין דְּחָכְמְתָא, בְּגִין לְמִנְדַע וּלְאַדְבְּקָא. מַאן דְּיָדַע וְאִסְתַּכַּל, זַכָּאָה חוּלָקֵיהּ בְּהַאי עָלְמָא וּבְעָלְמָא דְאָתֵי. בְּגִין דְּהָא כְּלָלָא דָא, יְתַקֵּן רַגְלוֹי דְּבַר נָשׁ, לְעָאלָא בְּפַרְגּוֹדָא, וּלְמֵיהַךְ בְּאוֹרַח מֵישַׁר, זַכָּאָה אִיהוּ בְּעָלְמָא דֵין, וְזַכָּאָה אִיהוּ בְּעָלְמָא דְאָתֵי. (עַד כָּאן קַו הַמִּדָּה).</w:t>
      </w:r>
    </w:p>
    <w:p w:rsidR="000D6746" w:rsidRPr="00007309" w:rsidRDefault="000D6746" w:rsidP="000D6746">
      <w:pPr>
        <w:widowControl w:val="0"/>
        <w:jc w:val="both"/>
        <w:rPr>
          <w:rFonts w:cs="David"/>
          <w:snapToGrid w:val="0"/>
          <w:sz w:val="24"/>
          <w:szCs w:val="24"/>
          <w:rtl/>
          <w:lang w:eastAsia="he-IL"/>
        </w:rPr>
      </w:pPr>
    </w:p>
    <w:sectPr w:rsidR="000D6746" w:rsidRPr="00007309">
      <w:footnotePr>
        <w:numFmt w:val="hebrew1"/>
      </w:footnotePr>
      <w:pgSz w:w="11906" w:h="16838"/>
      <w:pgMar w:top="851" w:right="851" w:bottom="851" w:left="851" w:header="720" w:footer="720" w:gutter="0"/>
      <w:cols w:space="720"/>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6DAD" w:rsidRDefault="00156DAD">
      <w:r>
        <w:separator/>
      </w:r>
    </w:p>
  </w:endnote>
  <w:endnote w:type="continuationSeparator" w:id="0">
    <w:p w:rsidR="00156DAD" w:rsidRDefault="00156D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riam">
    <w:panose1 w:val="020B0502050101010101"/>
    <w:charset w:val="B1"/>
    <w:family w:val="swiss"/>
    <w:pitch w:val="variable"/>
    <w:sig w:usb0="00000801" w:usb1="00000000" w:usb2="00000000" w:usb3="00000000" w:csb0="0000002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FontbitLivorna">
    <w:altName w:val="Times New Roman"/>
    <w:panose1 w:val="00000000000000000000"/>
    <w:charset w:val="00"/>
    <w:family w:val="roman"/>
    <w:notTrueType/>
    <w:pitch w:val="variable"/>
    <w:sig w:usb0="00001803" w:usb1="00000000" w:usb2="00000000" w:usb3="00000000" w:csb0="00000021" w:csb1="00000000"/>
  </w:font>
  <w:font w:name="David">
    <w:panose1 w:val="020E0502060401010101"/>
    <w:charset w:val="B1"/>
    <w:family w:val="swiss"/>
    <w:pitch w:val="variable"/>
    <w:sig w:usb0="00000801" w:usb1="00000000" w:usb2="00000000" w:usb3="00000000" w:csb0="00000020" w:csb1="00000000"/>
  </w:font>
  <w:font w:name="Arial Unicode MS">
    <w:panose1 w:val="020B0604020202020204"/>
    <w:charset w:val="80"/>
    <w:family w:val="swiss"/>
    <w:pitch w:val="variable"/>
    <w:sig w:usb0="F7FFAFFF" w:usb1="E9DFFFFF" w:usb2="0000003F" w:usb3="00000000" w:csb0="003F01FF" w:csb1="00000000"/>
  </w:font>
  <w:font w:name="Guttman Frank">
    <w:panose1 w:val="02010401010101010101"/>
    <w:charset w:val="B1"/>
    <w:family w:val="auto"/>
    <w:pitch w:val="variable"/>
    <w:sig w:usb0="00000801" w:usb1="40000000" w:usb2="00000000" w:usb3="00000000" w:csb0="00000020" w:csb1="00000000"/>
  </w:font>
  <w:font w:name="Guttman Drogolin">
    <w:panose1 w:val="02010401010101010101"/>
    <w:charset w:val="B1"/>
    <w:family w:val="auto"/>
    <w:pitch w:val="variable"/>
    <w:sig w:usb0="00000801" w:usb1="40000000" w:usb2="00000000" w:usb3="00000000" w:csb0="00000020" w:csb1="00000000"/>
  </w:font>
  <w:font w:name="S-Rogel">
    <w:panose1 w:val="00000000000000000000"/>
    <w:charset w:val="B1"/>
    <w:family w:val="auto"/>
    <w:notTrueType/>
    <w:pitch w:val="variable"/>
    <w:sig w:usb0="00001801" w:usb1="00000000" w:usb2="00000000" w:usb3="00000000" w:csb0="00000020" w:csb1="00000000"/>
  </w:font>
  <w:font w:name="AhavaFullDot">
    <w:panose1 w:val="00000000000000000000"/>
    <w:charset w:val="B1"/>
    <w:family w:val="auto"/>
    <w:notTrueType/>
    <w:pitch w:val="variable"/>
    <w:sig w:usb0="00001801" w:usb1="00000000" w:usb2="00000000" w:usb3="00000000" w:csb0="00000020" w:csb1="00000000"/>
  </w:font>
  <w:font w:name="Guttman Adii-Light">
    <w:panose1 w:val="02010401010101010101"/>
    <w:charset w:val="B1"/>
    <w:family w:val="auto"/>
    <w:pitch w:val="variable"/>
    <w:sig w:usb0="00000801" w:usb1="4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Guttman Adii">
    <w:panose1 w:val="02010401010101010101"/>
    <w:charset w:val="B1"/>
    <w:family w:val="auto"/>
    <w:pitch w:val="variable"/>
    <w:sig w:usb0="00000801" w:usb1="40000000" w:usb2="00000000" w:usb3="00000000" w:csb0="00000020" w:csb1="00000000"/>
  </w:font>
  <w:font w:name="FrankRuehl">
    <w:panose1 w:val="020E0503060101010101"/>
    <w:charset w:val="B1"/>
    <w:family w:val="swiss"/>
    <w:pitch w:val="variable"/>
    <w:sig w:usb0="00000801" w:usb1="00000000" w:usb2="00000000" w:usb3="00000000" w:csb0="00000020" w:csb1="00000000"/>
  </w:font>
  <w:font w:name="Ezra SIL">
    <w:altName w:val="Courier New"/>
    <w:charset w:val="00"/>
    <w:family w:val="auto"/>
    <w:pitch w:val="variable"/>
    <w:sig w:usb0="00000000" w:usb1="40000000" w:usb2="00000000" w:usb3="00000000" w:csb0="0000002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6DAD" w:rsidRDefault="00156DAD">
      <w:r>
        <w:separator/>
      </w:r>
    </w:p>
  </w:footnote>
  <w:footnote w:type="continuationSeparator" w:id="0">
    <w:p w:rsidR="00156DAD" w:rsidRDefault="00156DAD">
      <w:r>
        <w:continuationSeparator/>
      </w:r>
    </w:p>
  </w:footnote>
  <w:footnote w:id="1">
    <w:p w:rsidR="00A13282" w:rsidRDefault="00A13282" w:rsidP="00D45634">
      <w:pPr>
        <w:pStyle w:val="a5"/>
      </w:pPr>
      <w:r>
        <w:rPr>
          <w:rStyle w:val="a7"/>
        </w:rPr>
        <w:footnoteRef/>
      </w:r>
      <w:r>
        <w:t xml:space="preserve"> </w:t>
      </w:r>
      <w:r>
        <w:rPr>
          <w:b/>
          <w:bCs/>
          <w:rtl/>
        </w:rPr>
        <w:t>באתכסיא ובאורח שכל.</w:t>
      </w:r>
      <w:r>
        <w:rPr>
          <w:rFonts w:cs="Tahoma"/>
          <w:b/>
          <w:bCs/>
          <w:szCs w:val="28"/>
          <w:rtl/>
        </w:rPr>
        <w:t xml:space="preserve"> </w:t>
      </w:r>
      <w:r>
        <w:rPr>
          <w:rStyle w:val="23"/>
          <w:rtl/>
        </w:rPr>
        <w:t xml:space="preserve">רוצה לומר שלא ראו אותם בחוש אלא בהשגתם:   </w:t>
      </w:r>
    </w:p>
  </w:footnote>
  <w:footnote w:id="2">
    <w:p w:rsidR="00A13282" w:rsidRDefault="00A13282" w:rsidP="00D45634">
      <w:pPr>
        <w:pStyle w:val="a5"/>
      </w:pPr>
      <w:r>
        <w:rPr>
          <w:rStyle w:val="a7"/>
        </w:rPr>
        <w:footnoteRef/>
      </w:r>
      <w:r>
        <w:rPr>
          <w:rStyle w:val="11"/>
        </w:rPr>
        <w:t xml:space="preserve"> </w:t>
      </w:r>
      <w:r w:rsidRPr="00954813">
        <w:rPr>
          <w:b/>
          <w:bCs/>
          <w:rtl/>
        </w:rPr>
        <w:t>לכל שמהן קדישין.</w:t>
      </w:r>
      <w:r>
        <w:rPr>
          <w:rStyle w:val="11"/>
          <w:rtl/>
        </w:rPr>
        <w:t xml:space="preserve"> </w:t>
      </w:r>
      <w:r>
        <w:rPr>
          <w:rStyle w:val="23"/>
          <w:rtl/>
        </w:rPr>
        <w:t>הן עשרה שמות של הספירות:</w:t>
      </w:r>
    </w:p>
  </w:footnote>
  <w:footnote w:id="3">
    <w:p w:rsidR="00A13282" w:rsidRDefault="00A13282" w:rsidP="00D45634">
      <w:pPr>
        <w:pStyle w:val="a5"/>
      </w:pPr>
      <w:r>
        <w:rPr>
          <w:rStyle w:val="a7"/>
        </w:rPr>
        <w:footnoteRef/>
      </w:r>
      <w:r>
        <w:t xml:space="preserve"> </w:t>
      </w:r>
      <w:r w:rsidRPr="00954813">
        <w:rPr>
          <w:b/>
          <w:bCs/>
          <w:rtl/>
        </w:rPr>
        <w:t>ולכל הויין.</w:t>
      </w:r>
      <w:r>
        <w:rPr>
          <w:rStyle w:val="11"/>
          <w:rtl/>
        </w:rPr>
        <w:t xml:space="preserve"> </w:t>
      </w:r>
      <w:r>
        <w:rPr>
          <w:rStyle w:val="23"/>
          <w:rtl/>
        </w:rPr>
        <w:t>רוצה לומר הן עשרה הוויות המנוקדין בט' מיני נקודות והעשירית בניקוד צבקות:</w:t>
      </w:r>
    </w:p>
  </w:footnote>
  <w:footnote w:id="4">
    <w:p w:rsidR="00A13282" w:rsidRDefault="00A13282" w:rsidP="00D45634">
      <w:pPr>
        <w:pStyle w:val="a5"/>
      </w:pPr>
      <w:r>
        <w:rPr>
          <w:rStyle w:val="a7"/>
        </w:rPr>
        <w:footnoteRef/>
      </w:r>
      <w:r>
        <w:t xml:space="preserve"> </w:t>
      </w:r>
      <w:r w:rsidRPr="00954813">
        <w:rPr>
          <w:rStyle w:val="11"/>
          <w:bCs/>
          <w:sz w:val="24"/>
          <w:szCs w:val="24"/>
          <w:rtl/>
        </w:rPr>
        <w:t>ולכל כינויין.</w:t>
      </w:r>
      <w:r>
        <w:rPr>
          <w:rStyle w:val="11"/>
          <w:rtl/>
        </w:rPr>
        <w:t xml:space="preserve"> </w:t>
      </w:r>
      <w:r>
        <w:rPr>
          <w:rStyle w:val="23"/>
          <w:rtl/>
        </w:rPr>
        <w:t>הן עשרה מיני כינויין. ועיין בספר "שערי אורה" להר"ר יוסף ג'קטיליא, ובשאר ספרים:</w:t>
      </w:r>
    </w:p>
  </w:footnote>
  <w:footnote w:id="5">
    <w:p w:rsidR="00A13282" w:rsidRDefault="00A13282" w:rsidP="00D45634">
      <w:pPr>
        <w:pStyle w:val="a5"/>
      </w:pPr>
      <w:r>
        <w:rPr>
          <w:rStyle w:val="a7"/>
        </w:rPr>
        <w:footnoteRef/>
      </w:r>
      <w:r>
        <w:t xml:space="preserve"> </w:t>
      </w:r>
      <w:r w:rsidRPr="00954813">
        <w:rPr>
          <w:rStyle w:val="11"/>
          <w:bCs/>
          <w:szCs w:val="24"/>
          <w:rtl/>
        </w:rPr>
        <w:t xml:space="preserve">לעשר ספירן. </w:t>
      </w:r>
      <w:r>
        <w:rPr>
          <w:rStyle w:val="23"/>
          <w:rtl/>
        </w:rPr>
        <w:t>הן עשר ספירות פנימיות, שהן יו"ד ק"א וא"ו ק"א, כמו שאומר בהקדמה שניה:</w:t>
      </w:r>
    </w:p>
  </w:footnote>
  <w:footnote w:id="6">
    <w:p w:rsidR="00A13282" w:rsidRDefault="00A13282" w:rsidP="00D45634">
      <w:pPr>
        <w:pStyle w:val="a5"/>
      </w:pPr>
      <w:r>
        <w:rPr>
          <w:rStyle w:val="a7"/>
        </w:rPr>
        <w:footnoteRef/>
      </w:r>
      <w:r>
        <w:t xml:space="preserve"> </w:t>
      </w:r>
      <w:r w:rsidRPr="00954813">
        <w:rPr>
          <w:rStyle w:val="11"/>
          <w:bCs/>
          <w:szCs w:val="24"/>
          <w:rtl/>
        </w:rPr>
        <w:t xml:space="preserve">כזהר הרקיע דאיהו כליל כל גוונין. </w:t>
      </w:r>
      <w:r>
        <w:rPr>
          <w:rStyle w:val="23"/>
          <w:rtl/>
        </w:rPr>
        <w:t>איהו יסוד ולכך נקרא כל:</w:t>
      </w:r>
    </w:p>
  </w:footnote>
  <w:footnote w:id="7">
    <w:p w:rsidR="00A13282" w:rsidRDefault="00A13282" w:rsidP="00D45634">
      <w:pPr>
        <w:pStyle w:val="a5"/>
        <w:rPr>
          <w:rtl/>
        </w:rPr>
      </w:pPr>
      <w:r>
        <w:rPr>
          <w:rtl/>
        </w:rPr>
        <w:t>[א.ה. נוסחא אחרת שהיתה כאן, הכנסתי בפנים לקמן]</w:t>
      </w:r>
    </w:p>
    <w:p w:rsidR="00A13282" w:rsidRDefault="00A13282" w:rsidP="00D45634">
      <w:pPr>
        <w:pStyle w:val="a5"/>
      </w:pPr>
      <w:r>
        <w:rPr>
          <w:rStyle w:val="a7"/>
        </w:rPr>
        <w:footnoteRef/>
      </w:r>
      <w:r>
        <w:t xml:space="preserve"> </w:t>
      </w:r>
      <w:r w:rsidRPr="00954813">
        <w:rPr>
          <w:rStyle w:val="11"/>
          <w:bCs/>
          <w:szCs w:val="24"/>
          <w:rtl/>
        </w:rPr>
        <w:t>הכי מהאי זהר זהרין כו'.</w:t>
      </w:r>
      <w:r>
        <w:rPr>
          <w:rStyle w:val="23"/>
          <w:rtl/>
        </w:rPr>
        <w:t xml:space="preserve"> רוצה לומר כמו מאן דמחי בפטיש כו' כן מהאי זהר כו': </w:t>
      </w:r>
    </w:p>
  </w:footnote>
  <w:footnote w:id="8">
    <w:p w:rsidR="00A13282" w:rsidRDefault="00A13282" w:rsidP="00D45634">
      <w:pPr>
        <w:pStyle w:val="a8"/>
        <w:spacing w:before="0" w:after="0" w:line="240" w:lineRule="auto"/>
        <w:ind w:right="0"/>
        <w:jc w:val="both"/>
        <w:rPr>
          <w:rStyle w:val="11"/>
          <w:bCs w:val="0"/>
          <w:szCs w:val="24"/>
          <w:rtl/>
        </w:rPr>
      </w:pPr>
      <w:r>
        <w:rPr>
          <w:rStyle w:val="23"/>
          <w:bCs w:val="0"/>
          <w:rtl/>
        </w:rPr>
        <w:t>[ובמקום אחר בליקוטיו ז"ל מנוחתו כבוד:</w:t>
      </w:r>
      <w:r>
        <w:rPr>
          <w:rStyle w:val="11"/>
          <w:bCs w:val="0"/>
          <w:szCs w:val="24"/>
          <w:rtl/>
        </w:rPr>
        <w:t xml:space="preserve"> נשמתין דמתיבתאן.</w:t>
      </w:r>
      <w:r>
        <w:rPr>
          <w:rStyle w:val="23"/>
          <w:bCs w:val="0"/>
          <w:rtl/>
        </w:rPr>
        <w:t xml:space="preserve"> שהן במתיבתות הידועים שהן נגד ו"ק כמו שאומר בתיקוני זוהר חדש:</w:t>
      </w:r>
      <w:r>
        <w:rPr>
          <w:rStyle w:val="11"/>
          <w:bCs w:val="0"/>
          <w:szCs w:val="24"/>
          <w:rtl/>
        </w:rPr>
        <w:t xml:space="preserve"> ולכל שמהן כו'.</w:t>
      </w:r>
      <w:r>
        <w:rPr>
          <w:rStyle w:val="23"/>
          <w:bCs w:val="0"/>
          <w:rtl/>
        </w:rPr>
        <w:t xml:space="preserve"> כבר כתבנו שהן ארבע מדרגות: לבוש והיכל וגוף ונשמה. לבוש והיכל אחד, ונשמה שניים: נפש ורוח:</w:t>
      </w:r>
      <w:r>
        <w:rPr>
          <w:rStyle w:val="11"/>
          <w:bCs w:val="0"/>
          <w:szCs w:val="24"/>
          <w:rtl/>
        </w:rPr>
        <w:t xml:space="preserve"> טמיר גניז.</w:t>
      </w:r>
      <w:r>
        <w:rPr>
          <w:rStyle w:val="23"/>
          <w:bCs w:val="0"/>
          <w:rtl/>
        </w:rPr>
        <w:t xml:space="preserve"> כתר, ובו שתי מדרגות: במופלא ממך, במכוסה ממך. וזהו טמיר וגניז: </w:t>
      </w:r>
      <w:r>
        <w:rPr>
          <w:rStyle w:val="11"/>
          <w:bCs w:val="0"/>
          <w:szCs w:val="24"/>
          <w:rtl/>
        </w:rPr>
        <w:t xml:space="preserve"> בהיר בשחקים.</w:t>
      </w:r>
      <w:r>
        <w:rPr>
          <w:rStyle w:val="23"/>
          <w:bCs w:val="0"/>
          <w:rtl/>
        </w:rPr>
        <w:t xml:space="preserve"> חכמה, שמשם אור, אוירא עלאה:</w:t>
      </w:r>
      <w:r>
        <w:rPr>
          <w:rStyle w:val="11"/>
          <w:bCs w:val="0"/>
          <w:szCs w:val="24"/>
          <w:rtl/>
        </w:rPr>
        <w:t xml:space="preserve"> זריק ניצוצין כו'.</w:t>
      </w:r>
      <w:r>
        <w:rPr>
          <w:rStyle w:val="23"/>
          <w:bCs w:val="0"/>
          <w:rtl/>
        </w:rPr>
        <w:t xml:space="preserve"> בינה, שמשם בוצינא דזריק ניצוצין כידוע שסוד נהורין וניצוצין, נהורין - בחכמה וניצוצין - בבינה שהן אוירא ובוצינא. ועיין בתוספתא ח"ב ס"ח מההוא נהירו נפקין נהורין וניצוצין נפקין מאינון תרעין כו':</w:t>
      </w:r>
      <w:r>
        <w:rPr>
          <w:rStyle w:val="11"/>
          <w:bCs w:val="0"/>
          <w:szCs w:val="24"/>
          <w:rtl/>
        </w:rPr>
        <w:t xml:space="preserve"> חוורו כסיהרא.</w:t>
      </w:r>
      <w:r>
        <w:rPr>
          <w:rStyle w:val="23"/>
          <w:bCs w:val="0"/>
          <w:rtl/>
        </w:rPr>
        <w:t xml:space="preserve"> חסד ששם הסיהרא, ברתא דאברהם כמו שאומר בתיקון ס"ט ובספר יצירה פ"ד ושם, שמאדים בגבורה:</w:t>
      </w:r>
      <w:r>
        <w:rPr>
          <w:rStyle w:val="11"/>
          <w:bCs w:val="0"/>
          <w:szCs w:val="24"/>
          <w:rtl/>
        </w:rPr>
        <w:t xml:space="preserve"> זהיר לכל עיבר כמאן דמחא פטיש כו'.</w:t>
      </w:r>
      <w:r>
        <w:rPr>
          <w:rStyle w:val="23"/>
          <w:bCs w:val="0"/>
          <w:rtl/>
        </w:rPr>
        <w:t xml:space="preserve"> הוא יסוד שבו מכין האורות ונצצין שהוא הרקיע המבדיל ומכח אור ישר מכין האורות וחוזרין באור חוזר כמו שאומר בנע"ח ועוד שבה’ ספירות מתפשטין ה’ חסדים וביסוד - הגבורות ושם נצצין:</w:t>
      </w:r>
      <w:r>
        <w:rPr>
          <w:rStyle w:val="11"/>
          <w:bCs w:val="0"/>
          <w:szCs w:val="24"/>
          <w:rtl/>
        </w:rPr>
        <w:t xml:space="preserve"> על צדיק דלעילא קאים עלמא דאתכסיא כו'.</w:t>
      </w:r>
      <w:r>
        <w:rPr>
          <w:rStyle w:val="23"/>
          <w:bCs w:val="0"/>
          <w:rtl/>
        </w:rPr>
        <w:t xml:space="preserve"> על דעת, שהוא צדיק כמו שביארנו, פירוש אחר, קאים בינה בסוד אם אין דעת אין בינה והיא עלמא דאתכסייא כידוע:</w:t>
      </w:r>
      <w:r>
        <w:rPr>
          <w:rStyle w:val="11"/>
          <w:bCs w:val="0"/>
          <w:szCs w:val="24"/>
          <w:rtl/>
        </w:rPr>
        <w:t xml:space="preserve"> ועל צדיק דלתתא קאים עלמא דאתגליא.</w:t>
      </w:r>
      <w:r>
        <w:rPr>
          <w:rStyle w:val="23"/>
          <w:bCs w:val="0"/>
          <w:rtl/>
        </w:rPr>
        <w:t xml:space="preserve"> פירוש על היסוד קאים מלכות והן שני עולמות, עולם הזה ועולם הבא וכל עולם בחינת נוק' כידוע והן בינה ומלכות וקיימין על ב' בריתות, ברית הלשון - סוד הדעת וברית המעור - יוסף, על דנטיר ברית זכה למלכות כמו שאומר בזוהר, ובתורה זוכה לעוה"ב, מרבה תורה כו'. ואמר ומתמן ועמך כלם צדיקים כו', שעליה קיימא לכן יורש הארץ ולכן כשנכנסו לארץ מל אותם יהושע ואמר בזאת תדעון כי אל חי כו': </w:t>
      </w:r>
      <w:r>
        <w:rPr>
          <w:rStyle w:val="11"/>
          <w:bCs w:val="0"/>
          <w:szCs w:val="24"/>
          <w:rtl/>
        </w:rPr>
        <w:t>ואמר הרקיע כו' ואיהו רקיע דאיהו לעיל מחיוון כו'.</w:t>
      </w:r>
      <w:r>
        <w:rPr>
          <w:rStyle w:val="23"/>
          <w:bCs w:val="0"/>
          <w:rtl/>
        </w:rPr>
        <w:t xml:space="preserve"> והוא ברקיע, צדיק דלתתא, לעיל מד' חיוון וכן הוא בצדיק דלעילא, לעיל מחיוון כו' שהן חסד גבורה תפארת, חיוון עלאין עם מלכות בין חג"ת לנה"י כמו שאומר לקמן דף ד' ע"א והוא זוהר הרקיע שאמר בתיקוני זוהר חדש דף פ' ע"א וכדין כזוהר הרקיע, רקיעא סתימאה דלא אתגלייא כלל וקיימי על רישי דחיוון קדישין דקיימין ברזא דאבהן והאי רקיעא סתימא עלה קיימא עלייהו ואפיק מניה זוהר דנהיר וזהיר לכלהו חיוון. והענין, כי לעולם יסוד בחינת רקיע וכאן הוא יסוד דבינה ושם גניז ה’ חסדים וה’ גבורות, סוד הדעת ומשם מתפשט הדעת למטה ודעת המתפשט הוא זוהר הרקיע של הדעת למעלה, ביסוד והוא דרגא דמשה שהוא דעת משה מלגאו כידוע ולכן השיג למ"ט שערי בינה וזהו בינה דרגא שהן נ' תרעין דמתפשטין מינה ושער החמשים דבוק בה ולכן לא השיג וזה שאומר שם בזוהר חדש דף ע"ח ע"ג כזוהר הרקיע ועל שמיה אתקרי ספר הזוהר כו' עיין שם וכשם שביסוד קבועין שמשא וסיהרא וכוכבייא ומזלי כן בדעת - נשמתין עלאין דחו"ב ושניהן מצדיקי הרבים על צדיק דלעילא קיימי אלין רבים דו"ק דהוא קיימא עלייהו וצדיק דלתתא קיימי הרבים דשכינתא שהן גוונין דאתגליין בשכינתא כמו שאומר בפרשת בראשית א' הנצנים אלין אבהן כו' עאל יוסף בארעא קדישא ונציב לון תמן וכדין נראו בארץ כו' ובדף י"ח את קשתי נתתי בענן מן יומא דאתברי עלמא כו עיין שם כל הענין וזו הלכה כרבים דא שכינתא שהיא כרבים דנראין בה ג' גוונין כרבים כנ"ל]:</w:t>
      </w:r>
      <w:r>
        <w:rPr>
          <w:rStyle w:val="11"/>
          <w:bCs w:val="0"/>
          <w:szCs w:val="24"/>
          <w:rtl/>
        </w:rPr>
        <w:t xml:space="preserve"> </w:t>
      </w:r>
    </w:p>
    <w:p w:rsidR="00A13282" w:rsidRDefault="00A13282" w:rsidP="00D45634">
      <w:pPr>
        <w:pStyle w:val="a5"/>
      </w:pPr>
      <w:r>
        <w:rPr>
          <w:rStyle w:val="a7"/>
        </w:rPr>
        <w:footnoteRef/>
      </w:r>
      <w:r>
        <w:t xml:space="preserve"> </w:t>
      </w:r>
      <w:r w:rsidRPr="00954813">
        <w:rPr>
          <w:rStyle w:val="11"/>
          <w:bCs/>
          <w:szCs w:val="24"/>
          <w:rtl/>
        </w:rPr>
        <w:t>כלהון רשימין כו'.</w:t>
      </w:r>
      <w:r>
        <w:rPr>
          <w:rStyle w:val="23"/>
          <w:rtl/>
        </w:rPr>
        <w:t xml:space="preserve"> רוצה לומר שיוצאין מן יסוד ונקבעין במלכות:</w:t>
      </w:r>
    </w:p>
  </w:footnote>
  <w:footnote w:id="9">
    <w:p w:rsidR="00A13282" w:rsidRDefault="00A13282" w:rsidP="00D45634">
      <w:pPr>
        <w:pStyle w:val="a5"/>
      </w:pPr>
      <w:r>
        <w:rPr>
          <w:rStyle w:val="a7"/>
        </w:rPr>
        <w:footnoteRef/>
      </w:r>
      <w:r>
        <w:t xml:space="preserve"> </w:t>
      </w:r>
      <w:r w:rsidRPr="00954813">
        <w:rPr>
          <w:rStyle w:val="11"/>
          <w:bCs/>
          <w:szCs w:val="24"/>
          <w:rtl/>
        </w:rPr>
        <w:t>אוף הכי כו'.</w:t>
      </w:r>
      <w:r>
        <w:rPr>
          <w:rStyle w:val="23"/>
          <w:rtl/>
        </w:rPr>
        <w:t xml:space="preserve"> רוצה לומר לא שנמשלין לרקיע, אלא לאותן שמזהירין ברקיע, והן הכוכבים, אף הן מאירין במלכות:</w:t>
      </w:r>
    </w:p>
  </w:footnote>
  <w:footnote w:id="10">
    <w:p w:rsidR="00A13282" w:rsidRDefault="00A13282" w:rsidP="00D45634">
      <w:pPr>
        <w:pStyle w:val="a5"/>
      </w:pPr>
      <w:r>
        <w:rPr>
          <w:rStyle w:val="a7"/>
        </w:rPr>
        <w:footnoteRef/>
      </w:r>
      <w:r>
        <w:t xml:space="preserve"> </w:t>
      </w:r>
      <w:r w:rsidRPr="00954813">
        <w:rPr>
          <w:rStyle w:val="11"/>
          <w:bCs/>
          <w:szCs w:val="24"/>
          <w:rtl/>
        </w:rPr>
        <w:t>ועלייהו כתיב כו'.</w:t>
      </w:r>
      <w:r>
        <w:rPr>
          <w:rStyle w:val="23"/>
          <w:rtl/>
        </w:rPr>
        <w:t xml:space="preserve"> קודם דפרחין מניה:</w:t>
      </w:r>
    </w:p>
  </w:footnote>
  <w:footnote w:id="11">
    <w:p w:rsidR="00A13282" w:rsidRDefault="00A13282" w:rsidP="00D45634">
      <w:pPr>
        <w:pStyle w:val="a5"/>
      </w:pPr>
      <w:r>
        <w:rPr>
          <w:rStyle w:val="a7"/>
        </w:rPr>
        <w:footnoteRef/>
      </w:r>
      <w:r>
        <w:t xml:space="preserve"> </w:t>
      </w:r>
      <w:r w:rsidRPr="00954813">
        <w:rPr>
          <w:rStyle w:val="11"/>
          <w:bCs/>
          <w:szCs w:val="24"/>
          <w:rtl/>
        </w:rPr>
        <w:t>וכולהו פרחין כו'.</w:t>
      </w:r>
      <w:r>
        <w:rPr>
          <w:rStyle w:val="23"/>
          <w:rtl/>
        </w:rPr>
        <w:t xml:space="preserve"> רוצה לומר לכך דימה אותן לכוכבי רקיע הואיל ופרחין מניה, אבל הן נהרין בסיהרא:</w:t>
      </w:r>
    </w:p>
  </w:footnote>
  <w:footnote w:id="12">
    <w:p w:rsidR="00A13282" w:rsidRDefault="00A13282" w:rsidP="00D45634">
      <w:pPr>
        <w:pStyle w:val="a5"/>
      </w:pPr>
      <w:r>
        <w:rPr>
          <w:rStyle w:val="a7"/>
        </w:rPr>
        <w:footnoteRef/>
      </w:r>
      <w:r>
        <w:t xml:space="preserve"> </w:t>
      </w:r>
      <w:r w:rsidRPr="00954813">
        <w:rPr>
          <w:rStyle w:val="11"/>
          <w:bCs/>
          <w:szCs w:val="24"/>
          <w:rtl/>
        </w:rPr>
        <w:t>ואיהו רקיע דאיהו לעיל מחיוון.</w:t>
      </w:r>
      <w:r>
        <w:rPr>
          <w:rStyle w:val="23"/>
          <w:rtl/>
        </w:rPr>
        <w:t xml:space="preserve"> שחיות הקודש הן במלכות, ד' רגלי המרכבה מסטרא דתלת אבהן והרביעית מסטרא דילה כידוע כמו שאומר בתיקון א' ציורא דאדם תמן כו', עיין שם, והוא מרכבתא עילאה:</w:t>
      </w:r>
    </w:p>
  </w:footnote>
  <w:footnote w:id="13">
    <w:p w:rsidR="00A13282" w:rsidRDefault="00A13282" w:rsidP="00D45634">
      <w:pPr>
        <w:pStyle w:val="a5"/>
      </w:pPr>
      <w:r>
        <w:rPr>
          <w:rStyle w:val="a7"/>
        </w:rPr>
        <w:footnoteRef/>
      </w:r>
      <w:r>
        <w:t xml:space="preserve"> </w:t>
      </w:r>
      <w:r w:rsidRPr="00954813">
        <w:rPr>
          <w:rStyle w:val="11"/>
          <w:bCs/>
          <w:szCs w:val="24"/>
          <w:rtl/>
        </w:rPr>
        <w:t>על צדיק דלעילא.</w:t>
      </w:r>
      <w:r>
        <w:rPr>
          <w:rStyle w:val="23"/>
          <w:rtl/>
        </w:rPr>
        <w:t xml:space="preserve"> הוא יסוד:</w:t>
      </w:r>
    </w:p>
  </w:footnote>
  <w:footnote w:id="14">
    <w:p w:rsidR="00A13282" w:rsidRDefault="00A13282" w:rsidP="00D45634">
      <w:pPr>
        <w:pStyle w:val="a5"/>
      </w:pPr>
      <w:r>
        <w:rPr>
          <w:rStyle w:val="a7"/>
        </w:rPr>
        <w:footnoteRef/>
      </w:r>
      <w:r>
        <w:t xml:space="preserve"> </w:t>
      </w:r>
      <w:r w:rsidRPr="00954813">
        <w:rPr>
          <w:rStyle w:val="11"/>
          <w:bCs/>
          <w:szCs w:val="24"/>
          <w:rtl/>
        </w:rPr>
        <w:t>קיימא עלמא דאתכסי'.</w:t>
      </w:r>
      <w:r>
        <w:rPr>
          <w:rStyle w:val="23"/>
          <w:rtl/>
        </w:rPr>
        <w:t xml:space="preserve"> הוא מלכות דאצילות:</w:t>
      </w:r>
    </w:p>
  </w:footnote>
  <w:footnote w:id="15">
    <w:p w:rsidR="00A13282" w:rsidRDefault="00A13282" w:rsidP="00D45634">
      <w:pPr>
        <w:pStyle w:val="a5"/>
      </w:pPr>
      <w:r>
        <w:rPr>
          <w:rStyle w:val="a7"/>
        </w:rPr>
        <w:footnoteRef/>
      </w:r>
      <w:r>
        <w:t xml:space="preserve"> </w:t>
      </w:r>
      <w:r w:rsidRPr="00954813">
        <w:rPr>
          <w:rStyle w:val="11"/>
          <w:bCs/>
          <w:szCs w:val="24"/>
          <w:rtl/>
        </w:rPr>
        <w:t>ועל צדיק דלתתא.</w:t>
      </w:r>
      <w:r>
        <w:rPr>
          <w:rStyle w:val="23"/>
          <w:rtl/>
        </w:rPr>
        <w:t xml:space="preserve"> הוא מט"ט:</w:t>
      </w:r>
    </w:p>
  </w:footnote>
  <w:footnote w:id="16">
    <w:p w:rsidR="00A13282" w:rsidRDefault="00A13282" w:rsidP="00D45634">
      <w:pPr>
        <w:pStyle w:val="a5"/>
      </w:pPr>
      <w:r>
        <w:rPr>
          <w:rStyle w:val="a7"/>
        </w:rPr>
        <w:footnoteRef/>
      </w:r>
      <w:r>
        <w:t xml:space="preserve"> </w:t>
      </w:r>
      <w:r w:rsidRPr="00954813">
        <w:rPr>
          <w:rStyle w:val="11"/>
          <w:bCs/>
          <w:szCs w:val="24"/>
          <w:rtl/>
        </w:rPr>
        <w:t>קיימא עלמא דאתגליא.</w:t>
      </w:r>
      <w:r>
        <w:rPr>
          <w:rStyle w:val="23"/>
          <w:rtl/>
        </w:rPr>
        <w:t xml:space="preserve"> הוא עולם היצירה ששם ראה יחזקאל כדלקמן:</w:t>
      </w:r>
    </w:p>
  </w:footnote>
  <w:footnote w:id="17">
    <w:p w:rsidR="00A13282" w:rsidRDefault="00A13282" w:rsidP="00D45634">
      <w:pPr>
        <w:pStyle w:val="a5"/>
      </w:pPr>
      <w:r>
        <w:rPr>
          <w:rStyle w:val="a7"/>
        </w:rPr>
        <w:footnoteRef/>
      </w:r>
      <w:r>
        <w:t xml:space="preserve"> </w:t>
      </w:r>
      <w:r w:rsidRPr="00954813">
        <w:rPr>
          <w:rStyle w:val="11"/>
          <w:bCs/>
          <w:szCs w:val="24"/>
          <w:rtl/>
        </w:rPr>
        <w:t>והיינו ומצדיקי.</w:t>
      </w:r>
      <w:r>
        <w:rPr>
          <w:rStyle w:val="23"/>
          <w:rtl/>
        </w:rPr>
        <w:t xml:space="preserve"> לשון רבים, על שם שני צדיקים כנ"ל:</w:t>
      </w:r>
    </w:p>
  </w:footnote>
  <w:footnote w:id="18">
    <w:p w:rsidR="00A13282" w:rsidRDefault="00A13282" w:rsidP="00D45634">
      <w:pPr>
        <w:pStyle w:val="a5"/>
      </w:pPr>
      <w:r>
        <w:rPr>
          <w:rStyle w:val="a7"/>
        </w:rPr>
        <w:footnoteRef/>
      </w:r>
      <w:r>
        <w:t xml:space="preserve"> </w:t>
      </w:r>
      <w:r w:rsidRPr="00954813">
        <w:rPr>
          <w:rStyle w:val="11"/>
          <w:bCs/>
          <w:szCs w:val="24"/>
          <w:rtl/>
        </w:rPr>
        <w:t>מההוא צדיקא דעלמא תליין.</w:t>
      </w:r>
      <w:r>
        <w:rPr>
          <w:rStyle w:val="23"/>
          <w:rtl/>
        </w:rPr>
        <w:t xml:space="preserve"> פירוש, אותן הרבים שהן כל הנשמות תליין מההוא צדיקא ואותן ששרשן מיצירה תליין בצדיק דלתתא:</w:t>
      </w:r>
    </w:p>
  </w:footnote>
  <w:footnote w:id="19">
    <w:p w:rsidR="00A13282" w:rsidRDefault="00A13282" w:rsidP="00D45634">
      <w:pPr>
        <w:pStyle w:val="a5"/>
      </w:pPr>
      <w:r>
        <w:rPr>
          <w:rStyle w:val="a7"/>
        </w:rPr>
        <w:footnoteRef/>
      </w:r>
      <w:r>
        <w:t xml:space="preserve"> </w:t>
      </w:r>
      <w:r w:rsidRPr="00954813">
        <w:rPr>
          <w:rStyle w:val="11"/>
          <w:bCs/>
          <w:szCs w:val="24"/>
          <w:rtl/>
        </w:rPr>
        <w:t>מאי הרבים.</w:t>
      </w:r>
      <w:r>
        <w:rPr>
          <w:rStyle w:val="23"/>
          <w:rtl/>
        </w:rPr>
        <w:t xml:space="preserve"> רוצה לומר למה נקראו רבים:</w:t>
      </w:r>
    </w:p>
  </w:footnote>
  <w:footnote w:id="20">
    <w:p w:rsidR="00A13282" w:rsidRDefault="00A13282" w:rsidP="00D45634">
      <w:pPr>
        <w:pStyle w:val="a5"/>
      </w:pPr>
      <w:r>
        <w:rPr>
          <w:rStyle w:val="a7"/>
        </w:rPr>
        <w:footnoteRef/>
      </w:r>
      <w:r>
        <w:t xml:space="preserve"> </w:t>
      </w:r>
      <w:r w:rsidRPr="00954813">
        <w:rPr>
          <w:rStyle w:val="11"/>
          <w:bCs/>
          <w:szCs w:val="24"/>
          <w:rtl/>
        </w:rPr>
        <w:t>אלין דאתמר עלייהו כו'.</w:t>
      </w:r>
      <w:r>
        <w:rPr>
          <w:rStyle w:val="23"/>
          <w:rtl/>
        </w:rPr>
        <w:t xml:space="preserve"> רוצה לומר אלין שנשמתן ושרשן מג' אבהן לפיכך זכו שהלכה כמותן שהלכה היא השכינה והיא מקבלת מן הג' אבות כמו שאמרו בזהר על פסוק כרוה נדיבי העם כו':</w:t>
      </w:r>
    </w:p>
  </w:footnote>
  <w:footnote w:id="21">
    <w:p w:rsidR="00A13282" w:rsidRDefault="00A13282" w:rsidP="00D45634">
      <w:pPr>
        <w:pStyle w:val="a5"/>
      </w:pPr>
      <w:r>
        <w:rPr>
          <w:rStyle w:val="a7"/>
        </w:rPr>
        <w:footnoteRef/>
      </w:r>
      <w:r>
        <w:t xml:space="preserve"> </w:t>
      </w:r>
      <w:r w:rsidRPr="00954813">
        <w:rPr>
          <w:rStyle w:val="11"/>
          <w:bCs/>
          <w:szCs w:val="24"/>
          <w:rtl/>
        </w:rPr>
        <w:t>ומתמן ועמך כו'.</w:t>
      </w:r>
      <w:r>
        <w:rPr>
          <w:rStyle w:val="23"/>
          <w:rtl/>
        </w:rPr>
        <w:t xml:space="preserve"> רוצה לומר מיסוד:</w:t>
      </w:r>
    </w:p>
  </w:footnote>
  <w:footnote w:id="22">
    <w:p w:rsidR="00A13282" w:rsidRDefault="00A13282" w:rsidP="00D45634">
      <w:pPr>
        <w:pStyle w:val="a5"/>
      </w:pPr>
      <w:r>
        <w:rPr>
          <w:rStyle w:val="a7"/>
        </w:rPr>
        <w:footnoteRef/>
      </w:r>
      <w:r>
        <w:t xml:space="preserve"> </w:t>
      </w:r>
      <w:r w:rsidRPr="00954813">
        <w:rPr>
          <w:rStyle w:val="11"/>
          <w:bCs/>
          <w:szCs w:val="24"/>
          <w:rtl/>
        </w:rPr>
        <w:t>דאיהו כלילא מעשר ספירות ומתמן אתקריאו כו'.</w:t>
      </w:r>
      <w:r>
        <w:rPr>
          <w:rStyle w:val="23"/>
          <w:rtl/>
        </w:rPr>
        <w:t xml:space="preserve"> רוצה לומר שלכך ירשו השכינה שהיא כלולה מכולם ומתמן נקראו צדיקים ולכך ירשו אותה וכן כל המדות נקראו על שמה:</w:t>
      </w:r>
    </w:p>
  </w:footnote>
  <w:footnote w:id="23">
    <w:p w:rsidR="00A13282" w:rsidRDefault="00A13282" w:rsidP="00D45634">
      <w:pPr>
        <w:pStyle w:val="a5"/>
      </w:pPr>
      <w:r>
        <w:rPr>
          <w:rStyle w:val="a7"/>
        </w:rPr>
        <w:footnoteRef/>
      </w:r>
      <w:r>
        <w:t xml:space="preserve"> </w:t>
      </w:r>
      <w:r w:rsidRPr="00954813">
        <w:rPr>
          <w:rStyle w:val="11"/>
          <w:bCs/>
          <w:szCs w:val="24"/>
          <w:rtl/>
        </w:rPr>
        <w:t>מלכים צדיקים כו'.</w:t>
      </w:r>
      <w:r>
        <w:rPr>
          <w:rStyle w:val="23"/>
          <w:rtl/>
        </w:rPr>
        <w:t xml:space="preserve"> הן כסדר, עשר ספירות מלמטה למעלה וכולן על העשר ספירות שכלולין בשכינה, כל אחד נקרא על שם שרשו ותיקונו. והכל בשכינה. וזה שאמר ומתמן אתקריאו וכו' שכולן בה כנ"ל:</w:t>
      </w:r>
    </w:p>
  </w:footnote>
  <w:footnote w:id="24">
    <w:p w:rsidR="00A13282" w:rsidRDefault="00A13282" w:rsidP="00D45634">
      <w:pPr>
        <w:pStyle w:val="a5"/>
      </w:pPr>
      <w:r>
        <w:rPr>
          <w:rStyle w:val="a7"/>
        </w:rPr>
        <w:footnoteRef/>
      </w:r>
      <w:r>
        <w:t xml:space="preserve"> </w:t>
      </w:r>
      <w:r w:rsidRPr="00954813">
        <w:rPr>
          <w:rStyle w:val="11"/>
          <w:bCs/>
          <w:szCs w:val="24"/>
          <w:rtl/>
        </w:rPr>
        <w:t>ורשותא אתיהיב כו'.</w:t>
      </w:r>
      <w:r>
        <w:rPr>
          <w:rStyle w:val="23"/>
          <w:rtl/>
        </w:rPr>
        <w:t xml:space="preserve"> חוזר למעלה כד אתכנשו וכו':</w:t>
      </w:r>
    </w:p>
  </w:footnote>
  <w:footnote w:id="25">
    <w:p w:rsidR="00A13282" w:rsidRDefault="00A13282" w:rsidP="00D45634">
      <w:pPr>
        <w:pStyle w:val="a5"/>
      </w:pPr>
      <w:r>
        <w:rPr>
          <w:rStyle w:val="a7"/>
        </w:rPr>
        <w:footnoteRef/>
      </w:r>
      <w:r>
        <w:t xml:space="preserve"> </w:t>
      </w:r>
      <w:r w:rsidRPr="00954813">
        <w:rPr>
          <w:rStyle w:val="11"/>
          <w:bCs/>
          <w:szCs w:val="24"/>
          <w:rtl/>
        </w:rPr>
        <w:t>לקננא בהאי חבורא.</w:t>
      </w:r>
      <w:r>
        <w:rPr>
          <w:rStyle w:val="23"/>
          <w:rtl/>
        </w:rPr>
        <w:t xml:space="preserve"> דבלימוד הקבלה יש מנוח לשכינתא ולכל דאזלין בתרה כדלקמן:</w:t>
      </w:r>
    </w:p>
  </w:footnote>
  <w:footnote w:id="26">
    <w:p w:rsidR="00A13282" w:rsidRDefault="00A13282" w:rsidP="00D45634">
      <w:pPr>
        <w:pStyle w:val="a5"/>
      </w:pPr>
      <w:r>
        <w:rPr>
          <w:rStyle w:val="a7"/>
        </w:rPr>
        <w:footnoteRef/>
      </w:r>
      <w:r>
        <w:t xml:space="preserve"> </w:t>
      </w:r>
      <w:r w:rsidRPr="00954813">
        <w:rPr>
          <w:rStyle w:val="11"/>
          <w:bCs/>
          <w:szCs w:val="24"/>
          <w:rtl/>
        </w:rPr>
        <w:t>דאתמר בה.</w:t>
      </w:r>
      <w:r>
        <w:rPr>
          <w:rStyle w:val="23"/>
          <w:rtl/>
        </w:rPr>
        <w:t xml:space="preserve"> רוצה לומר בשכינה:</w:t>
      </w:r>
    </w:p>
  </w:footnote>
  <w:footnote w:id="27">
    <w:p w:rsidR="00A13282" w:rsidRDefault="00A13282" w:rsidP="00D45634">
      <w:pPr>
        <w:pStyle w:val="a5"/>
      </w:pPr>
      <w:r>
        <w:rPr>
          <w:rStyle w:val="a7"/>
        </w:rPr>
        <w:footnoteRef/>
      </w:r>
      <w:r>
        <w:t xml:space="preserve"> </w:t>
      </w:r>
      <w:r w:rsidRPr="00954813">
        <w:rPr>
          <w:rStyle w:val="11"/>
          <w:bCs/>
          <w:szCs w:val="24"/>
          <w:rtl/>
        </w:rPr>
        <w:t>חד מבית ראשון.</w:t>
      </w:r>
      <w:r>
        <w:rPr>
          <w:rStyle w:val="23"/>
          <w:rtl/>
        </w:rPr>
        <w:t xml:space="preserve"> שאז בבית ראשון שכינה עילאה שרתה בישראל ובבית שני שכינה תתאה כידוע:</w:t>
      </w:r>
    </w:p>
  </w:footnote>
  <w:footnote w:id="28">
    <w:p w:rsidR="00A13282" w:rsidRDefault="00A13282" w:rsidP="00D45634">
      <w:pPr>
        <w:pStyle w:val="a5"/>
      </w:pPr>
      <w:r>
        <w:rPr>
          <w:rStyle w:val="a7"/>
        </w:rPr>
        <w:footnoteRef/>
      </w:r>
      <w:r>
        <w:t xml:space="preserve"> </w:t>
      </w:r>
      <w:r w:rsidRPr="00954813">
        <w:rPr>
          <w:rStyle w:val="11"/>
          <w:bCs/>
          <w:szCs w:val="24"/>
          <w:rtl/>
        </w:rPr>
        <w:t>לקיימא ביה אני כו'.</w:t>
      </w:r>
      <w:r>
        <w:rPr>
          <w:rStyle w:val="23"/>
          <w:rtl/>
        </w:rPr>
        <w:t xml:space="preserve"> רוצה לומר אעפ"י שגלו מכל מקום לא שלטו בהם הקליפות ח"ו כמו שאומר בתיקונים לקמן ומביא זה הפסוק לראיה ששניהם גלו:</w:t>
      </w:r>
    </w:p>
  </w:footnote>
  <w:footnote w:id="29">
    <w:p w:rsidR="00A13282" w:rsidRDefault="00A13282" w:rsidP="00D45634">
      <w:pPr>
        <w:pStyle w:val="a5"/>
      </w:pPr>
      <w:r>
        <w:rPr>
          <w:rStyle w:val="a7"/>
        </w:rPr>
        <w:footnoteRef/>
      </w:r>
      <w:r>
        <w:t xml:space="preserve"> </w:t>
      </w:r>
      <w:r w:rsidRPr="00954813">
        <w:rPr>
          <w:rStyle w:val="11"/>
          <w:bCs/>
          <w:szCs w:val="24"/>
          <w:rtl/>
        </w:rPr>
        <w:t>דא משה.</w:t>
      </w:r>
      <w:r>
        <w:rPr>
          <w:rStyle w:val="23"/>
          <w:rtl/>
        </w:rPr>
        <w:t xml:space="preserve"> כי רוחו מתלבש בכל דור ודור בצדיקים ובעלי תורה כמו אור השמש שזורח בלילה בכוכבים ויסורי הצדיקים וגלותן הן יסוריו וגלותו שעליו נאמר והוא מחולל כו':</w:t>
      </w:r>
    </w:p>
  </w:footnote>
  <w:footnote w:id="30">
    <w:p w:rsidR="00A13282" w:rsidRDefault="00A13282" w:rsidP="00D45634">
      <w:pPr>
        <w:pStyle w:val="a5"/>
      </w:pPr>
      <w:r>
        <w:rPr>
          <w:rStyle w:val="a7"/>
        </w:rPr>
        <w:footnoteRef/>
      </w:r>
      <w:r>
        <w:t xml:space="preserve"> </w:t>
      </w:r>
      <w:r w:rsidRPr="00954813">
        <w:rPr>
          <w:rStyle w:val="11"/>
          <w:bCs/>
          <w:szCs w:val="24"/>
          <w:rtl/>
        </w:rPr>
        <w:t>דאתמר בה ולא כו'.</w:t>
      </w:r>
      <w:r>
        <w:rPr>
          <w:rStyle w:val="23"/>
          <w:rtl/>
        </w:rPr>
        <w:t xml:space="preserve"> דמפסוק דלעיל לא משמע אלא דאיהי בגלותא אבל כאן מביא ראיה דאיהי אזלא נע ונד:</w:t>
      </w:r>
    </w:p>
  </w:footnote>
  <w:footnote w:id="31">
    <w:p w:rsidR="00A13282" w:rsidRDefault="00A13282" w:rsidP="00D45634">
      <w:pPr>
        <w:pStyle w:val="a5"/>
      </w:pPr>
      <w:r>
        <w:rPr>
          <w:rStyle w:val="a7"/>
        </w:rPr>
        <w:footnoteRef/>
      </w:r>
      <w:r>
        <w:t xml:space="preserve"> </w:t>
      </w:r>
      <w:r w:rsidRPr="00954813">
        <w:rPr>
          <w:rStyle w:val="11"/>
          <w:bCs/>
          <w:szCs w:val="24"/>
          <w:rtl/>
        </w:rPr>
        <w:t>אי"ה דמרחם עלה אוף כו'.</w:t>
      </w:r>
      <w:r>
        <w:rPr>
          <w:rStyle w:val="23"/>
          <w:rtl/>
        </w:rPr>
        <w:t xml:space="preserve"> פירוש שאין מרחם על הצדיקים כמו שאין מרחם על השכינה כמו שכתוב אין מנהל לה:</w:t>
      </w:r>
    </w:p>
  </w:footnote>
  <w:footnote w:id="32">
    <w:p w:rsidR="00A13282" w:rsidRDefault="00A13282" w:rsidP="00D45634">
      <w:pPr>
        <w:pStyle w:val="a5"/>
      </w:pPr>
      <w:r>
        <w:rPr>
          <w:rStyle w:val="a7"/>
        </w:rPr>
        <w:footnoteRef/>
      </w:r>
      <w:r>
        <w:t xml:space="preserve"> </w:t>
      </w:r>
      <w:r w:rsidRPr="00954813">
        <w:rPr>
          <w:rStyle w:val="11"/>
          <w:bCs/>
          <w:szCs w:val="24"/>
          <w:rtl/>
        </w:rPr>
        <w:t>בית דנשמעין כו'.</w:t>
      </w:r>
      <w:r>
        <w:rPr>
          <w:rStyle w:val="23"/>
          <w:rtl/>
        </w:rPr>
        <w:t xml:space="preserve"> רוצה לומר גוף האדם שנשמע בו דברי תורה כמו שאומר לקמן בסמוך ואילין עבדין דירה כו':</w:t>
      </w:r>
    </w:p>
  </w:footnote>
  <w:footnote w:id="33">
    <w:p w:rsidR="00A13282" w:rsidRDefault="00A13282" w:rsidP="00D45634">
      <w:pPr>
        <w:pStyle w:val="a5"/>
      </w:pPr>
      <w:r>
        <w:rPr>
          <w:rStyle w:val="a7"/>
        </w:rPr>
        <w:footnoteRef/>
      </w:r>
      <w:r>
        <w:t xml:space="preserve"> </w:t>
      </w:r>
      <w:r w:rsidRPr="00954813">
        <w:rPr>
          <w:rStyle w:val="11"/>
          <w:bCs/>
          <w:szCs w:val="24"/>
          <w:rtl/>
        </w:rPr>
        <w:t>כל בית כו'.</w:t>
      </w:r>
      <w:r>
        <w:rPr>
          <w:rStyle w:val="23"/>
          <w:rtl/>
        </w:rPr>
        <w:t xml:space="preserve"> רוצה לומר על הגוף כנ"ל:</w:t>
      </w:r>
    </w:p>
  </w:footnote>
  <w:footnote w:id="34">
    <w:p w:rsidR="00A13282" w:rsidRDefault="00A13282" w:rsidP="00D45634">
      <w:pPr>
        <w:pStyle w:val="a5"/>
      </w:pPr>
      <w:r>
        <w:rPr>
          <w:rStyle w:val="a7"/>
        </w:rPr>
        <w:footnoteRef/>
      </w:r>
      <w:r>
        <w:t xml:space="preserve"> </w:t>
      </w:r>
      <w:r w:rsidRPr="00954813">
        <w:rPr>
          <w:rStyle w:val="11"/>
          <w:bCs/>
          <w:szCs w:val="24"/>
          <w:rtl/>
        </w:rPr>
        <w:t xml:space="preserve">דאינון פקודין דעשה. </w:t>
      </w:r>
      <w:r>
        <w:rPr>
          <w:rStyle w:val="23"/>
          <w:rtl/>
        </w:rPr>
        <w:t>שנקראו כנפים כמו שאמרו (שבת מט ע"א) מה יונה כנפיה כו' ולימוד תורה הוא ממצוות עשה:</w:t>
      </w:r>
    </w:p>
  </w:footnote>
  <w:footnote w:id="35">
    <w:p w:rsidR="00A13282" w:rsidRDefault="00A13282" w:rsidP="00D45634">
      <w:pPr>
        <w:pStyle w:val="a5"/>
      </w:pPr>
      <w:r>
        <w:rPr>
          <w:rStyle w:val="a7"/>
        </w:rPr>
        <w:footnoteRef/>
      </w:r>
      <w:r>
        <w:t xml:space="preserve"> </w:t>
      </w:r>
      <w:r w:rsidRPr="00954813">
        <w:rPr>
          <w:rStyle w:val="11"/>
          <w:bCs/>
          <w:szCs w:val="24"/>
          <w:rtl/>
        </w:rPr>
        <w:t>ואת לרבות אפרוחים.</w:t>
      </w:r>
      <w:r>
        <w:rPr>
          <w:rStyle w:val="23"/>
          <w:rtl/>
        </w:rPr>
        <w:t xml:space="preserve"> דבלאו הכי הוה אמינא ששלח לא קאי אלא על ביצים דסמיך ליה:</w:t>
      </w:r>
    </w:p>
  </w:footnote>
  <w:footnote w:id="36">
    <w:p w:rsidR="00A13282" w:rsidRDefault="00A13282" w:rsidP="00D45634">
      <w:pPr>
        <w:pStyle w:val="a5"/>
      </w:pPr>
      <w:r>
        <w:rPr>
          <w:rStyle w:val="a7"/>
        </w:rPr>
        <w:footnoteRef/>
      </w:r>
      <w:r>
        <w:t xml:space="preserve"> </w:t>
      </w:r>
      <w:r w:rsidRPr="00954813">
        <w:rPr>
          <w:rStyle w:val="11"/>
          <w:bCs/>
          <w:szCs w:val="24"/>
          <w:rtl/>
        </w:rPr>
        <w:t>תחות אימא עילאה.</w:t>
      </w:r>
      <w:r>
        <w:rPr>
          <w:rStyle w:val="23"/>
          <w:rtl/>
        </w:rPr>
        <w:t xml:space="preserve"> רוצה לומר השכינה:</w:t>
      </w:r>
    </w:p>
  </w:footnote>
  <w:footnote w:id="37">
    <w:p w:rsidR="00962EFE" w:rsidRDefault="00962EFE" w:rsidP="00962EFE">
      <w:pPr>
        <w:pStyle w:val="aff7"/>
        <w:jc w:val="both"/>
      </w:pPr>
      <w:r>
        <w:rPr>
          <w:rStyle w:val="a7"/>
        </w:rPr>
        <w:footnoteRef/>
      </w:r>
      <w:r>
        <w:rPr>
          <w:rtl/>
        </w:rPr>
        <w:t xml:space="preserve"> </w:t>
      </w:r>
      <w:r>
        <w:rPr>
          <w:rFonts w:hint="cs"/>
          <w:rtl/>
        </w:rPr>
        <w:t>#</w:t>
      </w:r>
      <w:r>
        <w:rPr>
          <w:rFonts w:hAnsi="Courier New" w:cs="Arial"/>
          <w:b/>
          <w:bCs/>
          <w:szCs w:val="24"/>
          <w:rtl/>
          <w:lang w:eastAsia="en-US"/>
        </w:rPr>
        <w:t>חסידים גבורים כו'.</w:t>
      </w:r>
      <w:r>
        <w:rPr>
          <w:rFonts w:hAnsi="Courier New" w:cs="Arial"/>
          <w:szCs w:val="24"/>
          <w:rtl/>
          <w:lang w:eastAsia="en-US"/>
        </w:rPr>
        <w:t xml:space="preserve"> חשיב ששה בנים, ו"ק, תחות אימא: </w:t>
      </w:r>
    </w:p>
  </w:footnote>
  <w:footnote w:id="38">
    <w:p w:rsidR="00A13282" w:rsidRDefault="00A13282" w:rsidP="00D45634">
      <w:pPr>
        <w:pStyle w:val="a5"/>
      </w:pPr>
      <w:r>
        <w:rPr>
          <w:rStyle w:val="a7"/>
        </w:rPr>
        <w:footnoteRef/>
      </w:r>
      <w:r>
        <w:t xml:space="preserve"> </w:t>
      </w:r>
      <w:r w:rsidRPr="00954813">
        <w:rPr>
          <w:rStyle w:val="11"/>
          <w:bCs/>
          <w:szCs w:val="24"/>
          <w:rtl/>
        </w:rPr>
        <w:t>דעביד ליה קן.</w:t>
      </w:r>
      <w:r>
        <w:rPr>
          <w:rStyle w:val="23"/>
          <w:rtl/>
        </w:rPr>
        <w:t xml:space="preserve"> רוצה לומר שלכך אמר עם קונו לשון קן:</w:t>
      </w:r>
    </w:p>
  </w:footnote>
  <w:footnote w:id="39">
    <w:p w:rsidR="00A13282" w:rsidRDefault="00A13282" w:rsidP="00D45634">
      <w:pPr>
        <w:pStyle w:val="a5"/>
      </w:pPr>
      <w:r>
        <w:rPr>
          <w:rStyle w:val="a7"/>
        </w:rPr>
        <w:footnoteRef/>
      </w:r>
      <w:r>
        <w:t xml:space="preserve"> </w:t>
      </w:r>
      <w:r w:rsidRPr="00954813">
        <w:rPr>
          <w:rStyle w:val="11"/>
          <w:bCs/>
          <w:szCs w:val="24"/>
          <w:rtl/>
        </w:rPr>
        <w:t>דאיהו אכסני' דיליה.</w:t>
      </w:r>
      <w:r>
        <w:rPr>
          <w:rStyle w:val="23"/>
          <w:rtl/>
        </w:rPr>
        <w:t xml:space="preserve"> רוצה לומר שהקב"ה הוא אכסניא של האדם העניו, ועושה לו יתברך קן. ומאי הוא הקן ואמר:</w:t>
      </w:r>
    </w:p>
  </w:footnote>
  <w:footnote w:id="40">
    <w:p w:rsidR="00A13282" w:rsidRDefault="00A13282" w:rsidP="00D45634">
      <w:pPr>
        <w:pStyle w:val="a5"/>
      </w:pPr>
      <w:r>
        <w:rPr>
          <w:rStyle w:val="a7"/>
        </w:rPr>
        <w:footnoteRef/>
      </w:r>
      <w:r>
        <w:t xml:space="preserve"> </w:t>
      </w:r>
      <w:r w:rsidRPr="00954813">
        <w:rPr>
          <w:rStyle w:val="11"/>
          <w:bCs/>
          <w:szCs w:val="24"/>
          <w:rtl/>
        </w:rPr>
        <w:t>דא שכינתא.</w:t>
      </w:r>
      <w:r>
        <w:rPr>
          <w:rStyle w:val="23"/>
          <w:rtl/>
        </w:rPr>
        <w:t xml:space="preserve"> רוצה לומר שמייחד אותו יתברך בשכינה:</w:t>
      </w:r>
    </w:p>
  </w:footnote>
  <w:footnote w:id="41">
    <w:p w:rsidR="00962EFE" w:rsidRDefault="00962EFE" w:rsidP="00962EFE">
      <w:pPr>
        <w:pStyle w:val="a5"/>
      </w:pPr>
      <w:r>
        <w:rPr>
          <w:rStyle w:val="a7"/>
        </w:rPr>
        <w:footnoteRef/>
      </w:r>
      <w:r>
        <w:rPr>
          <w:rtl/>
        </w:rPr>
        <w:t xml:space="preserve"> </w:t>
      </w:r>
      <w:r>
        <w:rPr>
          <w:rFonts w:hint="cs"/>
          <w:rtl/>
        </w:rPr>
        <w:t>#</w:t>
      </w:r>
      <w:r w:rsidRPr="00962EFE">
        <w:rPr>
          <w:rFonts w:hAnsi="Courier New"/>
          <w:b/>
          <w:bCs/>
          <w:rtl/>
        </w:rPr>
        <w:t xml:space="preserve"> </w:t>
      </w:r>
      <w:r>
        <w:rPr>
          <w:rFonts w:hAnsi="Courier New"/>
          <w:b/>
          <w:bCs/>
          <w:rtl/>
        </w:rPr>
        <w:t>בית דיליה כו'.</w:t>
      </w:r>
      <w:r>
        <w:rPr>
          <w:rFonts w:hAnsi="Courier New"/>
          <w:rtl/>
        </w:rPr>
        <w:t xml:space="preserve"> חשיב ד' בד' עולמות מלכות שלהם לקב"ה. בית באצילות. היכל בבריאה. קן ביצירה כידוע. מלון בעשיה ולכן הוא בעשיה ששם בחצי הלילה: </w:t>
      </w:r>
    </w:p>
  </w:footnote>
  <w:footnote w:id="42">
    <w:p w:rsidR="00A13282" w:rsidRDefault="00A13282" w:rsidP="00D45634">
      <w:pPr>
        <w:pStyle w:val="a5"/>
      </w:pPr>
      <w:r>
        <w:rPr>
          <w:rStyle w:val="a7"/>
        </w:rPr>
        <w:footnoteRef/>
      </w:r>
      <w:r>
        <w:t xml:space="preserve"> </w:t>
      </w:r>
      <w:r w:rsidRPr="00954813">
        <w:rPr>
          <w:rStyle w:val="11"/>
          <w:bCs/>
          <w:szCs w:val="24"/>
          <w:rtl/>
        </w:rPr>
        <w:t>ובארעא קדישא כו'.</w:t>
      </w:r>
      <w:r>
        <w:rPr>
          <w:rStyle w:val="23"/>
          <w:rtl/>
        </w:rPr>
        <w:t xml:space="preserve"> רוצה לומר מה שאמרתי בית דיליה היכל דיליה, לא אמרתי אלא בארעא קדישא אבל בגלותא קן ומלון:</w:t>
      </w:r>
    </w:p>
  </w:footnote>
  <w:footnote w:id="43">
    <w:p w:rsidR="00A13282" w:rsidRDefault="00A13282" w:rsidP="00D45634">
      <w:pPr>
        <w:pStyle w:val="a5"/>
      </w:pPr>
      <w:r>
        <w:rPr>
          <w:rStyle w:val="a7"/>
        </w:rPr>
        <w:footnoteRef/>
      </w:r>
      <w:r>
        <w:t xml:space="preserve"> </w:t>
      </w:r>
      <w:r w:rsidRPr="00954813">
        <w:rPr>
          <w:rStyle w:val="11"/>
          <w:bCs/>
          <w:szCs w:val="24"/>
          <w:rtl/>
        </w:rPr>
        <w:t>ולאו מלון ואכסניא כו'.</w:t>
      </w:r>
      <w:r>
        <w:rPr>
          <w:rStyle w:val="23"/>
          <w:rtl/>
        </w:rPr>
        <w:t xml:space="preserve"> רוצה לומר מה שאמר דעביד ליה קן כו' מה צריך למעשיו של אדם לקן, הא אמרת דשכינתא איהי קן דיליה ומלון לכך אמר דלאו איהי מלון לקב"ה אלא כפום דתקין לה בר נש וזהו חסיד כו':</w:t>
      </w:r>
    </w:p>
  </w:footnote>
  <w:footnote w:id="44">
    <w:p w:rsidR="00A13282" w:rsidRDefault="00A13282" w:rsidP="00D45634">
      <w:pPr>
        <w:pStyle w:val="a5"/>
      </w:pPr>
      <w:r>
        <w:rPr>
          <w:rStyle w:val="a7"/>
        </w:rPr>
        <w:footnoteRef/>
      </w:r>
      <w:r>
        <w:t xml:space="preserve"> </w:t>
      </w:r>
      <w:r w:rsidRPr="00954813">
        <w:rPr>
          <w:rStyle w:val="11"/>
          <w:bCs/>
          <w:szCs w:val="24"/>
          <w:rtl/>
        </w:rPr>
        <w:t>ובגין דא יהיב כו'.</w:t>
      </w:r>
      <w:r>
        <w:rPr>
          <w:rStyle w:val="23"/>
          <w:rtl/>
        </w:rPr>
        <w:t xml:space="preserve"> לפי שכל מעשיו לעשות חסד כידוע ואכסניא היה:</w:t>
      </w:r>
    </w:p>
  </w:footnote>
  <w:footnote w:id="45">
    <w:p w:rsidR="00962EFE" w:rsidRDefault="00962EFE">
      <w:pPr>
        <w:pStyle w:val="a5"/>
        <w:rPr>
          <w:rtl/>
        </w:rPr>
      </w:pPr>
      <w:r>
        <w:rPr>
          <w:rStyle w:val="a7"/>
        </w:rPr>
        <w:footnoteRef/>
      </w:r>
      <w:r>
        <w:rPr>
          <w:rtl/>
        </w:rPr>
        <w:t xml:space="preserve"> </w:t>
      </w:r>
      <w:r>
        <w:rPr>
          <w:rFonts w:hAnsi="Courier New"/>
          <w:b/>
          <w:bCs/>
          <w:rtl/>
        </w:rPr>
        <w:t>גבורים מסטרא כו'.</w:t>
      </w:r>
      <w:r>
        <w:rPr>
          <w:rFonts w:hAnsi="Courier New"/>
          <w:rtl/>
        </w:rPr>
        <w:t xml:space="preserve"> שמשם דרגא דתפלין כמו שכתוב (ישעיהו סב, ח) ובזרוע עזו וכמו שאמרו (ברכות ו ע"א) בימינו זו תורה ובזרוע כו':</w:t>
      </w:r>
    </w:p>
  </w:footnote>
  <w:footnote w:id="46">
    <w:p w:rsidR="00A13282" w:rsidRDefault="00A13282" w:rsidP="00D45634">
      <w:pPr>
        <w:pStyle w:val="a5"/>
      </w:pPr>
      <w:r>
        <w:rPr>
          <w:rStyle w:val="a7"/>
        </w:rPr>
        <w:footnoteRef/>
      </w:r>
      <w:r>
        <w:t xml:space="preserve"> </w:t>
      </w:r>
      <w:r w:rsidRPr="00954813">
        <w:rPr>
          <w:rStyle w:val="11"/>
          <w:bCs/>
          <w:szCs w:val="24"/>
          <w:rtl/>
        </w:rPr>
        <w:t>בקישורא דתפילין.</w:t>
      </w:r>
      <w:r>
        <w:rPr>
          <w:rStyle w:val="23"/>
          <w:rtl/>
        </w:rPr>
        <w:t xml:space="preserve"> כמו שאומר להלן דבתפילין של ראש קושר עבד תחת רבו, ובשל יד שפחה כו':</w:t>
      </w:r>
    </w:p>
  </w:footnote>
  <w:footnote w:id="47">
    <w:p w:rsidR="00575308" w:rsidRDefault="00575308">
      <w:pPr>
        <w:pStyle w:val="a5"/>
      </w:pPr>
      <w:r>
        <w:rPr>
          <w:rStyle w:val="a7"/>
        </w:rPr>
        <w:footnoteRef/>
      </w:r>
      <w:r>
        <w:rPr>
          <w:rtl/>
        </w:rPr>
        <w:t xml:space="preserve"> </w:t>
      </w:r>
      <w:r w:rsidR="00962EFE">
        <w:rPr>
          <w:rFonts w:hAnsi="Courier New" w:hint="cs"/>
          <w:b/>
          <w:bCs/>
          <w:rtl/>
        </w:rPr>
        <w:t>#</w:t>
      </w:r>
      <w:r>
        <w:rPr>
          <w:rFonts w:hAnsi="Courier New"/>
          <w:b/>
          <w:bCs/>
          <w:rtl/>
        </w:rPr>
        <w:t>דמאן דל"ל תפילין כו' על נבל כי ישבע לחם.</w:t>
      </w:r>
      <w:r>
        <w:rPr>
          <w:rFonts w:hAnsi="Courier New"/>
          <w:rtl/>
        </w:rPr>
        <w:t xml:space="preserve"> שעבד ושפחה הם סם ונחש, קליפות של עשו (פירוש עמלק) וישמעאל, ימינא ושמאלא, אחוזין באברהם ויצחק אבל ערב רב הן אחוזים ביעקב והן קשין לישראל ולשכינתא יותר שהן השאור שבעיסה והוא מה שכתוב ונבל כי כו' שכל הקמצנין ואינן מחזיקים התורה הן מהן כמו שאומר בזוהר בראשית וברעיא מהימנא פרשת נשא ובשארי מקומות הרבה. וזהו שאומר דאיהי רגזא יתיר ורוצה לומר זהו מה שכתוב ותחת ארבע לא תוכל שאת שקאי על נבל. ושלישית היא תחת שנואה כו' הוא דרגא דדוד כידוע דעל כולן לא רגזה כל כך כמו על דרגא דיעקב ששם אין פסולת וזהו גלות מחמת הערב רב עד בטח בדד עין יעקב ששלשה גליות הראשונים היו נגד ג' הנ"ל, נגד ג' עבירות, תחת עבד כו' - עבודת גילולים. תחת שנואה כו' - גילוי עריות. ותחת שפחה כו' - שפיכות דמים וזה שאומר כי תירש. והכל מדה נגד מדה אבל גלות הד' תחת נבל כו' היא שנאת חנם</w:t>
      </w:r>
      <w:r>
        <w:rPr>
          <w:rFonts w:hAnsi="Courier New" w:hint="cs"/>
          <w:rtl/>
        </w:rPr>
        <w:t>,</w:t>
      </w:r>
      <w:r>
        <w:rPr>
          <w:rFonts w:hAnsi="Courier New"/>
          <w:rtl/>
        </w:rPr>
        <w:t xml:space="preserve"> נגד זה (היו) מוליכין ומנהיגים אותם נבל כו'</w:t>
      </w:r>
      <w:r>
        <w:rPr>
          <w:rFonts w:hAnsi="Courier New" w:hint="cs"/>
          <w:rtl/>
        </w:rPr>
        <w:t>,</w:t>
      </w:r>
      <w:r>
        <w:rPr>
          <w:rFonts w:hAnsi="Courier New"/>
          <w:rtl/>
        </w:rPr>
        <w:t xml:space="preserve"> ששונאים את התלמידי חכמים וכמו שאומר ברעיא מהימנא וכנ"ל:</w:t>
      </w:r>
    </w:p>
  </w:footnote>
  <w:footnote w:id="48">
    <w:p w:rsidR="00A13282" w:rsidRDefault="00A13282" w:rsidP="00D45634">
      <w:pPr>
        <w:pStyle w:val="a5"/>
      </w:pPr>
      <w:r>
        <w:rPr>
          <w:rStyle w:val="a7"/>
        </w:rPr>
        <w:footnoteRef/>
      </w:r>
      <w:r>
        <w:t xml:space="preserve"> </w:t>
      </w:r>
      <w:r w:rsidRPr="00954813">
        <w:rPr>
          <w:rStyle w:val="11"/>
          <w:bCs/>
          <w:szCs w:val="24"/>
          <w:rtl/>
        </w:rPr>
        <w:t>מסטרא דיליה כו'.</w:t>
      </w:r>
      <w:r>
        <w:rPr>
          <w:rStyle w:val="23"/>
          <w:rtl/>
        </w:rPr>
        <w:t xml:space="preserve"> פירוש מצד נשמתו שכל הפגמים בא מצד נשמתו:</w:t>
      </w:r>
    </w:p>
  </w:footnote>
  <w:footnote w:id="49">
    <w:p w:rsidR="00A13282" w:rsidRDefault="00A13282" w:rsidP="00D45634">
      <w:pPr>
        <w:pStyle w:val="a5"/>
      </w:pPr>
      <w:r>
        <w:rPr>
          <w:rStyle w:val="a7"/>
        </w:rPr>
        <w:footnoteRef/>
      </w:r>
      <w:r>
        <w:t xml:space="preserve"> </w:t>
      </w:r>
      <w:r w:rsidRPr="00954813">
        <w:rPr>
          <w:rStyle w:val="11"/>
          <w:bCs/>
          <w:szCs w:val="24"/>
          <w:rtl/>
        </w:rPr>
        <w:t>שליט עבד ושפחה.</w:t>
      </w:r>
      <w:r>
        <w:rPr>
          <w:rStyle w:val="23"/>
          <w:rtl/>
        </w:rPr>
        <w:t xml:space="preserve"> רוצה לומר ס"ם ולילית:</w:t>
      </w:r>
    </w:p>
  </w:footnote>
  <w:footnote w:id="50">
    <w:p w:rsidR="00A13282" w:rsidRDefault="00A13282" w:rsidP="00D45634">
      <w:pPr>
        <w:pStyle w:val="a5"/>
      </w:pPr>
      <w:r>
        <w:rPr>
          <w:rStyle w:val="a7"/>
        </w:rPr>
        <w:footnoteRef/>
      </w:r>
      <w:r>
        <w:t xml:space="preserve"> </w:t>
      </w:r>
      <w:r w:rsidRPr="00954813">
        <w:rPr>
          <w:rStyle w:val="11"/>
          <w:bCs/>
          <w:szCs w:val="24"/>
          <w:rtl/>
        </w:rPr>
        <w:t>הדא הוא דכתיב תחת עבד וכו'.</w:t>
      </w:r>
      <w:r>
        <w:rPr>
          <w:rStyle w:val="23"/>
          <w:rtl/>
        </w:rPr>
        <w:t xml:space="preserve"> ושם נאמר תחת שלש רגזה ארץ דהיא שכינתא:</w:t>
      </w:r>
    </w:p>
  </w:footnote>
  <w:footnote w:id="51">
    <w:p w:rsidR="00A13282" w:rsidRDefault="00A13282" w:rsidP="00D45634">
      <w:pPr>
        <w:pStyle w:val="a5"/>
      </w:pPr>
      <w:r>
        <w:rPr>
          <w:rStyle w:val="a7"/>
        </w:rPr>
        <w:footnoteRef/>
      </w:r>
      <w:r>
        <w:t xml:space="preserve"> </w:t>
      </w:r>
      <w:r w:rsidRPr="00954813">
        <w:rPr>
          <w:rStyle w:val="11"/>
          <w:bCs/>
          <w:szCs w:val="24"/>
          <w:rtl/>
        </w:rPr>
        <w:t>ואוף הכי איהי כו'.</w:t>
      </w:r>
      <w:r>
        <w:rPr>
          <w:rStyle w:val="23"/>
          <w:rtl/>
        </w:rPr>
        <w:t xml:space="preserve"> לפי שהתחיל לפרש שלושה דברים, מפרש כל הג' דברים:</w:t>
      </w:r>
    </w:p>
  </w:footnote>
  <w:footnote w:id="52">
    <w:p w:rsidR="00A13282" w:rsidRDefault="00A13282" w:rsidP="00D45634">
      <w:pPr>
        <w:pStyle w:val="a5"/>
      </w:pPr>
      <w:r>
        <w:rPr>
          <w:rStyle w:val="a7"/>
        </w:rPr>
        <w:footnoteRef/>
      </w:r>
      <w:r>
        <w:t xml:space="preserve"> </w:t>
      </w:r>
      <w:r w:rsidRPr="00954813">
        <w:rPr>
          <w:rStyle w:val="11"/>
          <w:bCs/>
          <w:szCs w:val="24"/>
          <w:rtl/>
        </w:rPr>
        <w:t>דאתמר ביה לכו וכו'.</w:t>
      </w:r>
      <w:r>
        <w:rPr>
          <w:rStyle w:val="23"/>
          <w:rtl/>
        </w:rPr>
        <w:t xml:space="preserve"> רוצה לומר על הקמצן שאינו מחזיק ידי לומדי תורה והוא בעצמו לומד תורה ששונא אותו ואת תורתו. כמו שאמרו בגמרא (יבמות קט ע"ב) כל האומר אין לי אלא תורה אף תורה אין לו. וכן אמרו במסכת עבודה זרה (יז ע"ב) כל העוסק בתורה בלבד דומה כמי שאין לו אלוה, עיין שם:</w:t>
      </w:r>
    </w:p>
  </w:footnote>
  <w:footnote w:id="53">
    <w:p w:rsidR="00A13282" w:rsidRDefault="00A13282" w:rsidP="00D45634">
      <w:pPr>
        <w:pStyle w:val="a5"/>
      </w:pPr>
      <w:r>
        <w:rPr>
          <w:rStyle w:val="a7"/>
        </w:rPr>
        <w:footnoteRef/>
      </w:r>
      <w:r>
        <w:t xml:space="preserve"> </w:t>
      </w:r>
      <w:r w:rsidRPr="00954813">
        <w:rPr>
          <w:rStyle w:val="11"/>
          <w:bCs/>
          <w:szCs w:val="24"/>
          <w:rtl/>
        </w:rPr>
        <w:t>נבל שמיה.</w:t>
      </w:r>
      <w:r>
        <w:rPr>
          <w:rStyle w:val="23"/>
          <w:rtl/>
        </w:rPr>
        <w:t xml:space="preserve"> כמו נבל בעלה של אביגיל:</w:t>
      </w:r>
    </w:p>
  </w:footnote>
  <w:footnote w:id="54">
    <w:p w:rsidR="00A13282" w:rsidRDefault="00A13282" w:rsidP="00D45634">
      <w:pPr>
        <w:pStyle w:val="a5"/>
      </w:pPr>
      <w:r>
        <w:rPr>
          <w:rStyle w:val="a7"/>
        </w:rPr>
        <w:footnoteRef/>
      </w:r>
      <w:r>
        <w:t xml:space="preserve"> </w:t>
      </w:r>
      <w:r w:rsidRPr="00954813">
        <w:rPr>
          <w:rStyle w:val="11"/>
          <w:bCs/>
          <w:szCs w:val="24"/>
          <w:rtl/>
        </w:rPr>
        <w:t>דהא קמצן איהו עני הדעת.</w:t>
      </w:r>
      <w:r>
        <w:rPr>
          <w:rStyle w:val="23"/>
          <w:rtl/>
        </w:rPr>
        <w:t xml:space="preserve"> נותן טעם למה נקרא קמצן נבל וקאמר דאיהו עני הדעת ועני הדעת נקרא נבל כמו שכתוב (דברים לב ו) עם נבל ולא חכם:</w:t>
      </w:r>
    </w:p>
  </w:footnote>
  <w:footnote w:id="55">
    <w:p w:rsidR="00A13282" w:rsidRDefault="00A13282" w:rsidP="00D45634">
      <w:pPr>
        <w:pStyle w:val="a5"/>
      </w:pPr>
      <w:r>
        <w:rPr>
          <w:rStyle w:val="a7"/>
        </w:rPr>
        <w:footnoteRef/>
      </w:r>
      <w:r>
        <w:t xml:space="preserve"> </w:t>
      </w:r>
      <w:r w:rsidRPr="00954813">
        <w:rPr>
          <w:rStyle w:val="11"/>
          <w:bCs/>
          <w:szCs w:val="24"/>
          <w:rtl/>
        </w:rPr>
        <w:t>ואורייתא בלא פקודיא כו'.</w:t>
      </w:r>
      <w:r>
        <w:rPr>
          <w:rStyle w:val="23"/>
          <w:rtl/>
        </w:rPr>
        <w:t xml:space="preserve"> לכך אינו מרוצה בתורתו אחר שאין חפץ במעשים לחזק ידי תלמידי חכמים:</w:t>
      </w:r>
    </w:p>
  </w:footnote>
  <w:footnote w:id="56">
    <w:p w:rsidR="00962EFE" w:rsidRDefault="00962EFE" w:rsidP="00962EFE">
      <w:pPr>
        <w:pStyle w:val="aff7"/>
        <w:jc w:val="both"/>
        <w:rPr>
          <w:rtl/>
        </w:rPr>
      </w:pPr>
      <w:r>
        <w:rPr>
          <w:rStyle w:val="a7"/>
        </w:rPr>
        <w:footnoteRef/>
      </w:r>
      <w:r>
        <w:rPr>
          <w:rtl/>
        </w:rPr>
        <w:t xml:space="preserve"> </w:t>
      </w:r>
      <w:r>
        <w:rPr>
          <w:rFonts w:hint="cs"/>
          <w:rtl/>
        </w:rPr>
        <w:t>#</w:t>
      </w:r>
      <w:r>
        <w:rPr>
          <w:rFonts w:hAnsi="Courier New" w:cs="Arial"/>
          <w:b/>
          <w:bCs/>
          <w:szCs w:val="24"/>
          <w:rtl/>
          <w:lang w:eastAsia="en-US"/>
        </w:rPr>
        <w:t>מארי תורה מסט' דעד"א דביה חצות כו'.</w:t>
      </w:r>
      <w:r>
        <w:rPr>
          <w:rFonts w:hAnsi="Courier New" w:cs="Arial"/>
          <w:szCs w:val="24"/>
          <w:rtl/>
          <w:lang w:eastAsia="en-US"/>
        </w:rPr>
        <w:t xml:space="preserve"> רוצה לומר שהלילה נחלק לב' חלקים פלגא דינא ופלגא רחמי והן ליל ולילה בתוספת ה' בסוד נער נערה דאנהר לה אימא ה' גבורות ממותקות והיא בזיווגא שאז נקרא ה'. שד' דרגין באשה, קטנה נערה בוגרת נשואה שנקרא ה', הוא חכם והיא חכמה הוא עשיר והיא עשירה הוא איש והיא אשה והן ראשי תיבות של נקב"ה ולכן דוקא בחצות והוא בסטרא דעמודא דאמצעיתא שהוא בין חסד לגבורה והוא בחצות ממש וזה שאומר ואיהי שומר מה כו': </w:t>
      </w:r>
    </w:p>
  </w:footnote>
  <w:footnote w:id="57">
    <w:p w:rsidR="00A13282" w:rsidRDefault="00A13282" w:rsidP="00D45634">
      <w:pPr>
        <w:pStyle w:val="a5"/>
      </w:pPr>
      <w:r>
        <w:rPr>
          <w:rStyle w:val="a7"/>
        </w:rPr>
        <w:footnoteRef/>
      </w:r>
      <w:r>
        <w:t xml:space="preserve"> </w:t>
      </w:r>
      <w:r w:rsidRPr="00954813">
        <w:rPr>
          <w:rStyle w:val="11"/>
          <w:bCs/>
          <w:szCs w:val="24"/>
          <w:rtl/>
        </w:rPr>
        <w:t>דביה חצות לילה כו'.</w:t>
      </w:r>
      <w:r>
        <w:rPr>
          <w:rStyle w:val="23"/>
          <w:rtl/>
        </w:rPr>
        <w:t xml:space="preserve"> מביא ראיה שהתורה מסטרא דעמודא דאמצעיתא שלכך היה קם בלילה לעסוק בתורה לחבר מדת לילה למדת התורה:</w:t>
      </w:r>
    </w:p>
  </w:footnote>
  <w:footnote w:id="58">
    <w:p w:rsidR="00A13282" w:rsidRDefault="00A13282" w:rsidP="00D45634">
      <w:pPr>
        <w:pStyle w:val="a5"/>
      </w:pPr>
      <w:r>
        <w:rPr>
          <w:rStyle w:val="a7"/>
        </w:rPr>
        <w:footnoteRef/>
      </w:r>
      <w:r>
        <w:t xml:space="preserve"> </w:t>
      </w:r>
      <w:r w:rsidRPr="00954813">
        <w:rPr>
          <w:rStyle w:val="11"/>
          <w:bCs/>
          <w:szCs w:val="24"/>
          <w:rtl/>
        </w:rPr>
        <w:t>ואיהו שומר כו'.</w:t>
      </w:r>
      <w:r>
        <w:rPr>
          <w:rStyle w:val="23"/>
          <w:rtl/>
        </w:rPr>
        <w:t xml:space="preserve"> מביא משלושה פסוקים שלילה נקראת השכינה, שומר מה מלילה שאנו אומרים להקב"ה מה תהא משכינתא, מתי תיפוק מגלותא ועוד פירש לילה רוצה לומר שהיא ליל ה"א וכן ליל שמורים:</w:t>
      </w:r>
    </w:p>
  </w:footnote>
  <w:footnote w:id="59">
    <w:p w:rsidR="00A13282" w:rsidRDefault="00A13282" w:rsidP="00D45634">
      <w:pPr>
        <w:pStyle w:val="a5"/>
      </w:pPr>
      <w:r>
        <w:rPr>
          <w:rStyle w:val="a7"/>
        </w:rPr>
        <w:footnoteRef/>
      </w:r>
      <w:r>
        <w:t xml:space="preserve"> </w:t>
      </w:r>
      <w:r w:rsidRPr="00954813">
        <w:rPr>
          <w:rStyle w:val="11"/>
          <w:bCs/>
          <w:szCs w:val="24"/>
          <w:rtl/>
        </w:rPr>
        <w:t>ובגינה.</w:t>
      </w:r>
      <w:r>
        <w:rPr>
          <w:rStyle w:val="23"/>
          <w:rtl/>
        </w:rPr>
        <w:t xml:space="preserve"> רוצה לומר בשביל השכינה שעסק הלילה בגינה:</w:t>
      </w:r>
    </w:p>
  </w:footnote>
  <w:footnote w:id="60">
    <w:p w:rsidR="00962EFE" w:rsidRDefault="00962EFE">
      <w:pPr>
        <w:pStyle w:val="a5"/>
      </w:pPr>
      <w:r>
        <w:rPr>
          <w:rStyle w:val="a7"/>
        </w:rPr>
        <w:footnoteRef/>
      </w:r>
      <w:r>
        <w:rPr>
          <w:rtl/>
        </w:rPr>
        <w:t xml:space="preserve"> </w:t>
      </w:r>
      <w:r>
        <w:rPr>
          <w:rFonts w:hint="cs"/>
          <w:rtl/>
        </w:rPr>
        <w:t>#</w:t>
      </w:r>
      <w:r w:rsidRPr="00962EFE">
        <w:rPr>
          <w:rFonts w:hAnsi="Courier New"/>
          <w:b/>
          <w:bCs/>
          <w:rtl/>
        </w:rPr>
        <w:t xml:space="preserve"> </w:t>
      </w:r>
      <w:r>
        <w:rPr>
          <w:rFonts w:hAnsi="Courier New"/>
          <w:b/>
          <w:bCs/>
          <w:rtl/>
        </w:rPr>
        <w:t>נביאים מסט' דנו"ה כו'.</w:t>
      </w:r>
      <w:r>
        <w:rPr>
          <w:rFonts w:hAnsi="Courier New"/>
          <w:rtl/>
        </w:rPr>
        <w:t xml:space="preserve"> לכן בכל אחד ד' נביאים. נביאים ראשונים נגד ד' אותיות הויה ואחרונים נגד ד' אותיות אדני וכולן מוסרים ליראת ה':</w:t>
      </w:r>
    </w:p>
  </w:footnote>
  <w:footnote w:id="61">
    <w:p w:rsidR="00A13282" w:rsidRDefault="00A13282" w:rsidP="00D45634">
      <w:pPr>
        <w:pStyle w:val="a5"/>
      </w:pPr>
      <w:r>
        <w:rPr>
          <w:rStyle w:val="a7"/>
        </w:rPr>
        <w:footnoteRef/>
      </w:r>
      <w:r>
        <w:t xml:space="preserve"> </w:t>
      </w:r>
      <w:r w:rsidRPr="00954813">
        <w:rPr>
          <w:rStyle w:val="11"/>
          <w:bCs/>
          <w:szCs w:val="24"/>
          <w:rtl/>
        </w:rPr>
        <w:t>דבהון כלילין כו'.</w:t>
      </w:r>
      <w:r>
        <w:rPr>
          <w:rStyle w:val="23"/>
          <w:rtl/>
        </w:rPr>
        <w:t xml:space="preserve"> מביא ראיה דנצח הוד אינון לקבליה דנביאים:</w:t>
      </w:r>
    </w:p>
  </w:footnote>
  <w:footnote w:id="62">
    <w:p w:rsidR="00A13282" w:rsidRDefault="00A13282" w:rsidP="00D45634">
      <w:pPr>
        <w:pStyle w:val="a5"/>
      </w:pPr>
      <w:r>
        <w:rPr>
          <w:rStyle w:val="a7"/>
        </w:rPr>
        <w:footnoteRef/>
      </w:r>
      <w:r>
        <w:t xml:space="preserve"> </w:t>
      </w:r>
      <w:r w:rsidRPr="00954813">
        <w:rPr>
          <w:rStyle w:val="11"/>
          <w:bCs/>
          <w:szCs w:val="24"/>
          <w:rtl/>
        </w:rPr>
        <w:t>ונביאים תרין כו'.</w:t>
      </w:r>
      <w:r>
        <w:rPr>
          <w:rStyle w:val="23"/>
          <w:rtl/>
        </w:rPr>
        <w:t xml:space="preserve"> עוד ראיה על הנ"ל:</w:t>
      </w:r>
    </w:p>
  </w:footnote>
  <w:footnote w:id="63">
    <w:p w:rsidR="00A13282" w:rsidRDefault="00A13282" w:rsidP="00D45634">
      <w:pPr>
        <w:pStyle w:val="a5"/>
      </w:pPr>
      <w:r>
        <w:rPr>
          <w:rStyle w:val="a7"/>
        </w:rPr>
        <w:footnoteRef/>
      </w:r>
      <w:r>
        <w:t xml:space="preserve"> </w:t>
      </w:r>
      <w:r w:rsidRPr="00954813">
        <w:rPr>
          <w:rStyle w:val="11"/>
          <w:bCs/>
          <w:szCs w:val="24"/>
          <w:rtl/>
        </w:rPr>
        <w:t>תרין.</w:t>
      </w:r>
      <w:r>
        <w:rPr>
          <w:rStyle w:val="23"/>
          <w:rtl/>
        </w:rPr>
        <w:t xml:space="preserve"> נביאים ראשונים ואחרונים:</w:t>
      </w:r>
    </w:p>
  </w:footnote>
  <w:footnote w:id="64">
    <w:p w:rsidR="00A13282" w:rsidRDefault="00A13282" w:rsidP="00D45634">
      <w:pPr>
        <w:pStyle w:val="a5"/>
      </w:pPr>
      <w:r>
        <w:rPr>
          <w:rStyle w:val="a7"/>
        </w:rPr>
        <w:footnoteRef/>
      </w:r>
      <w:r>
        <w:t xml:space="preserve"> </w:t>
      </w:r>
      <w:r w:rsidRPr="00954813">
        <w:rPr>
          <w:rStyle w:val="11"/>
          <w:bCs/>
          <w:szCs w:val="24"/>
          <w:rtl/>
        </w:rPr>
        <w:t>ולקבליה חזא כו'.</w:t>
      </w:r>
      <w:r>
        <w:rPr>
          <w:rStyle w:val="23"/>
          <w:rtl/>
        </w:rPr>
        <w:t xml:space="preserve"> שנתנבא מנצח הוד והן כלולין מעשר כנ"ל:</w:t>
      </w:r>
    </w:p>
  </w:footnote>
  <w:footnote w:id="65">
    <w:p w:rsidR="00A13282" w:rsidRDefault="00A13282" w:rsidP="00D45634">
      <w:pPr>
        <w:pStyle w:val="a5"/>
      </w:pPr>
      <w:r>
        <w:rPr>
          <w:rStyle w:val="a7"/>
        </w:rPr>
        <w:footnoteRef/>
      </w:r>
      <w:r>
        <w:t xml:space="preserve"> </w:t>
      </w:r>
      <w:r w:rsidRPr="00954813">
        <w:rPr>
          <w:rStyle w:val="11"/>
          <w:bCs/>
          <w:szCs w:val="24"/>
          <w:rtl/>
        </w:rPr>
        <w:t>דעסקין באורייתא לשמה.</w:t>
      </w:r>
      <w:r>
        <w:rPr>
          <w:rStyle w:val="23"/>
          <w:rtl/>
        </w:rPr>
        <w:t xml:space="preserve"> רוצה לומר בשביל השכינה, לייחד אותה עם התורה. והענין של לשמה שלומד על מנת לקיים מצותיה של התורה והמצות הן בשכינה אם כן הוא לשמה:</w:t>
      </w:r>
    </w:p>
  </w:footnote>
  <w:footnote w:id="66">
    <w:p w:rsidR="00A13282" w:rsidRDefault="00A13282" w:rsidP="00D45634">
      <w:pPr>
        <w:pStyle w:val="a5"/>
      </w:pPr>
      <w:r>
        <w:rPr>
          <w:rStyle w:val="a7"/>
        </w:rPr>
        <w:footnoteRef/>
      </w:r>
      <w:r>
        <w:t xml:space="preserve"> </w:t>
      </w:r>
      <w:r w:rsidRPr="00954813">
        <w:rPr>
          <w:rStyle w:val="11"/>
          <w:bCs/>
          <w:szCs w:val="24"/>
          <w:rtl/>
        </w:rPr>
        <w:t>ונטרין פקודהא.</w:t>
      </w:r>
      <w:r>
        <w:rPr>
          <w:rStyle w:val="23"/>
          <w:rtl/>
        </w:rPr>
        <w:t xml:space="preserve"> של השכינה:</w:t>
      </w:r>
    </w:p>
  </w:footnote>
  <w:footnote w:id="67">
    <w:p w:rsidR="00A13282" w:rsidRDefault="00A13282" w:rsidP="00D45634">
      <w:pPr>
        <w:pStyle w:val="a5"/>
      </w:pPr>
      <w:r>
        <w:rPr>
          <w:rStyle w:val="a7"/>
        </w:rPr>
        <w:footnoteRef/>
      </w:r>
      <w:r>
        <w:t xml:space="preserve"> </w:t>
      </w:r>
      <w:r w:rsidRPr="00954813">
        <w:rPr>
          <w:rStyle w:val="11"/>
          <w:bCs/>
          <w:szCs w:val="24"/>
          <w:rtl/>
        </w:rPr>
        <w:t>דתליין משם ה' כו'.</w:t>
      </w:r>
      <w:r>
        <w:rPr>
          <w:rStyle w:val="23"/>
          <w:rtl/>
        </w:rPr>
        <w:t xml:space="preserve"> כדלקמן, ו"ה עם זכרי רמ"ח כו':</w:t>
      </w:r>
    </w:p>
  </w:footnote>
  <w:footnote w:id="68">
    <w:p w:rsidR="00A13282" w:rsidRDefault="00A13282" w:rsidP="00D45634">
      <w:pPr>
        <w:pStyle w:val="a5"/>
      </w:pPr>
      <w:r>
        <w:rPr>
          <w:rStyle w:val="a7"/>
        </w:rPr>
        <w:footnoteRef/>
      </w:r>
      <w:r>
        <w:t xml:space="preserve"> </w:t>
      </w:r>
      <w:r w:rsidRPr="00954813">
        <w:rPr>
          <w:rStyle w:val="11"/>
          <w:bCs/>
          <w:szCs w:val="24"/>
          <w:rtl/>
        </w:rPr>
        <w:t>כדי לייחדא לשם כו'.</w:t>
      </w:r>
      <w:r>
        <w:rPr>
          <w:rStyle w:val="23"/>
          <w:rtl/>
        </w:rPr>
        <w:t xml:space="preserve"> דתרי"ג מצות אינון בה ותליין בשם ה':</w:t>
      </w:r>
    </w:p>
  </w:footnote>
  <w:footnote w:id="69">
    <w:p w:rsidR="00A13282" w:rsidRDefault="00A13282" w:rsidP="00D45634">
      <w:pPr>
        <w:pStyle w:val="a5"/>
      </w:pPr>
      <w:r>
        <w:rPr>
          <w:rStyle w:val="a7"/>
        </w:rPr>
        <w:footnoteRef/>
      </w:r>
      <w:r>
        <w:t xml:space="preserve"> </w:t>
      </w:r>
      <w:r w:rsidRPr="00954813">
        <w:rPr>
          <w:rStyle w:val="11"/>
          <w:bCs/>
          <w:szCs w:val="24"/>
          <w:rtl/>
        </w:rPr>
        <w:t>בכל אברין דיליה.</w:t>
      </w:r>
      <w:r>
        <w:rPr>
          <w:rStyle w:val="23"/>
          <w:rtl/>
        </w:rPr>
        <w:t xml:space="preserve"> שתרי"ג מצות הן נגד איבריו של אדם, מצוות עשה נגד רמ"ח איברים ומצוות לא תעשה נגד שס"ה גידין. וע"י עסק התורה שהוא שם ה', לקיים המצות שהוא בשכינה, מתיחדים:</w:t>
      </w:r>
    </w:p>
  </w:footnote>
  <w:footnote w:id="70">
    <w:p w:rsidR="00A13282" w:rsidRDefault="00A13282" w:rsidP="00D45634">
      <w:pPr>
        <w:pStyle w:val="a5"/>
      </w:pPr>
      <w:r>
        <w:rPr>
          <w:rStyle w:val="a7"/>
        </w:rPr>
        <w:footnoteRef/>
      </w:r>
      <w:r>
        <w:t xml:space="preserve"> </w:t>
      </w:r>
      <w:r w:rsidRPr="00954813">
        <w:rPr>
          <w:rStyle w:val="11"/>
          <w:bCs/>
          <w:szCs w:val="24"/>
          <w:rtl/>
        </w:rPr>
        <w:t>לאפקא זרעא מעליא.</w:t>
      </w:r>
      <w:r>
        <w:rPr>
          <w:rStyle w:val="23"/>
          <w:rtl/>
        </w:rPr>
        <w:t xml:space="preserve"> שע"י הזרע ההוא מתייחדים שניהם כן הקב"ה ושכינתא מתייחדים על ידו. ורוצה לומר ולכן נאמר על הבנים והוא נקרא בן:</w:t>
      </w:r>
    </w:p>
  </w:footnote>
  <w:footnote w:id="71">
    <w:p w:rsidR="00A13282" w:rsidRDefault="00A13282" w:rsidP="00D45634">
      <w:pPr>
        <w:pStyle w:val="a5"/>
      </w:pPr>
      <w:r>
        <w:rPr>
          <w:rStyle w:val="a7"/>
        </w:rPr>
        <w:footnoteRef/>
      </w:r>
      <w:r>
        <w:t xml:space="preserve"> </w:t>
      </w:r>
      <w:r w:rsidRPr="00954813">
        <w:rPr>
          <w:rStyle w:val="11"/>
          <w:bCs/>
          <w:szCs w:val="24"/>
          <w:rtl/>
        </w:rPr>
        <w:t>לרבות שם ה' כו'.</w:t>
      </w:r>
      <w:r>
        <w:rPr>
          <w:rStyle w:val="23"/>
          <w:rtl/>
        </w:rPr>
        <w:t xml:space="preserve"> רוצה לומר, אעפ"י שעוסק בתורה שהוא שם ה' מכל מקום הואיל ושכינתיה לא אשתכחת תמן, אסתלק שם ה' גם כן, דשכינתא איהי קן דיליה ומלון וכנ"ל:</w:t>
      </w:r>
    </w:p>
  </w:footnote>
  <w:footnote w:id="72">
    <w:p w:rsidR="00A13282" w:rsidRDefault="00A13282" w:rsidP="00D45634">
      <w:pPr>
        <w:pStyle w:val="a5"/>
      </w:pPr>
      <w:r>
        <w:rPr>
          <w:rStyle w:val="a7"/>
        </w:rPr>
        <w:footnoteRef/>
      </w:r>
      <w:r>
        <w:t xml:space="preserve"> </w:t>
      </w:r>
      <w:r w:rsidRPr="00954813">
        <w:rPr>
          <w:rStyle w:val="11"/>
          <w:bCs/>
          <w:szCs w:val="24"/>
          <w:rtl/>
        </w:rPr>
        <w:t>דעבדין עובדין דבנין.</w:t>
      </w:r>
      <w:r>
        <w:rPr>
          <w:rStyle w:val="23"/>
          <w:rtl/>
        </w:rPr>
        <w:t xml:space="preserve"> רוצה לומר שלכך נקראו בנים, דשבת מלכתא שהיא השכינה ויום השבת שהוא הקב"ה, הן אב ואם ולכך צריך לכבדם כמו שכתוב כבד את אביך כו':</w:t>
      </w:r>
    </w:p>
  </w:footnote>
  <w:footnote w:id="73">
    <w:p w:rsidR="00A13282" w:rsidRDefault="00A13282" w:rsidP="00D45634">
      <w:pPr>
        <w:pStyle w:val="a5"/>
      </w:pPr>
      <w:r>
        <w:rPr>
          <w:rStyle w:val="a7"/>
        </w:rPr>
        <w:footnoteRef/>
      </w:r>
      <w:r>
        <w:t xml:space="preserve"> </w:t>
      </w:r>
      <w:r w:rsidRPr="00954813">
        <w:rPr>
          <w:rStyle w:val="11"/>
          <w:bCs/>
          <w:szCs w:val="24"/>
          <w:rtl/>
        </w:rPr>
        <w:t>דתלת עלמין כו'.</w:t>
      </w:r>
      <w:r>
        <w:rPr>
          <w:rStyle w:val="23"/>
          <w:rtl/>
        </w:rPr>
        <w:t xml:space="preserve"> רוצה לומר סיפא דקרא דכבד, למען יאריכון ימיך ששם נאמר שני דברים בלבד אבל בתורה נאמר שלושה דברים, כי היא חייך וגו':</w:t>
      </w:r>
    </w:p>
  </w:footnote>
  <w:footnote w:id="74">
    <w:p w:rsidR="00A13282" w:rsidRDefault="00A13282" w:rsidP="00D45634">
      <w:pPr>
        <w:pStyle w:val="a5"/>
      </w:pPr>
      <w:r>
        <w:rPr>
          <w:rStyle w:val="a7"/>
        </w:rPr>
        <w:footnoteRef/>
      </w:r>
      <w:r>
        <w:t xml:space="preserve"> </w:t>
      </w:r>
      <w:r w:rsidRPr="00954813">
        <w:rPr>
          <w:rStyle w:val="11"/>
          <w:bCs/>
          <w:szCs w:val="24"/>
          <w:rtl/>
        </w:rPr>
        <w:t>תרין ירית כו'.</w:t>
      </w:r>
      <w:r>
        <w:rPr>
          <w:rStyle w:val="23"/>
          <w:rtl/>
        </w:rPr>
        <w:t xml:space="preserve"> נגד אבא ואמא:</w:t>
      </w:r>
    </w:p>
  </w:footnote>
  <w:footnote w:id="75">
    <w:p w:rsidR="00A13282" w:rsidRDefault="00A13282" w:rsidP="00D45634">
      <w:pPr>
        <w:pStyle w:val="a5"/>
      </w:pPr>
      <w:r>
        <w:rPr>
          <w:rStyle w:val="a7"/>
        </w:rPr>
        <w:footnoteRef/>
      </w:r>
      <w:r>
        <w:t xml:space="preserve"> </w:t>
      </w:r>
      <w:r w:rsidRPr="00954813">
        <w:rPr>
          <w:rStyle w:val="11"/>
          <w:bCs/>
          <w:szCs w:val="24"/>
          <w:rtl/>
        </w:rPr>
        <w:t>ותלת ירית.</w:t>
      </w:r>
      <w:r>
        <w:rPr>
          <w:rStyle w:val="23"/>
          <w:rtl/>
        </w:rPr>
        <w:t xml:space="preserve"> רוצה לומר בתורה זוכה לכל הג' דברים:</w:t>
      </w:r>
    </w:p>
  </w:footnote>
  <w:footnote w:id="76">
    <w:p w:rsidR="00A13282" w:rsidRDefault="00A13282" w:rsidP="00D45634">
      <w:pPr>
        <w:pStyle w:val="a5"/>
      </w:pPr>
      <w:r>
        <w:rPr>
          <w:rStyle w:val="a7"/>
        </w:rPr>
        <w:footnoteRef/>
      </w:r>
      <w:r>
        <w:t xml:space="preserve"> </w:t>
      </w:r>
      <w:r w:rsidRPr="00954813">
        <w:rPr>
          <w:rStyle w:val="11"/>
          <w:bCs/>
          <w:szCs w:val="24"/>
          <w:rtl/>
        </w:rPr>
        <w:t>דכליל לון בן י"ה.</w:t>
      </w:r>
      <w:r>
        <w:rPr>
          <w:rStyle w:val="23"/>
          <w:rtl/>
        </w:rPr>
        <w:t xml:space="preserve"> רוצה לומר שז"א נקרא בן י"ה כמו שאומר בתיקונים לקמן, כי הוא בן או"א שנקראים י"ה, י' - אבא, ה' - אמא, והוא כליל לון לפיכך נקרא יה"ו לפיכך זוכה על ידי התורה שהיא ז"א לג' עולמות:</w:t>
      </w:r>
    </w:p>
  </w:footnote>
  <w:footnote w:id="77">
    <w:p w:rsidR="00A13282" w:rsidRDefault="00A13282" w:rsidP="00D45634">
      <w:pPr>
        <w:pStyle w:val="a5"/>
      </w:pPr>
      <w:r>
        <w:rPr>
          <w:rStyle w:val="a7"/>
        </w:rPr>
        <w:footnoteRef/>
      </w:r>
      <w:r>
        <w:t xml:space="preserve"> </w:t>
      </w:r>
      <w:r w:rsidRPr="00954813">
        <w:rPr>
          <w:rStyle w:val="11"/>
          <w:bCs/>
          <w:szCs w:val="24"/>
          <w:rtl/>
        </w:rPr>
        <w:t>הה"ד כי כו'.</w:t>
      </w:r>
      <w:r>
        <w:rPr>
          <w:rStyle w:val="23"/>
          <w:rtl/>
        </w:rPr>
        <w:t xml:space="preserve"> דקאי על התורה:</w:t>
      </w:r>
    </w:p>
  </w:footnote>
  <w:footnote w:id="78">
    <w:p w:rsidR="00A13282" w:rsidRDefault="00A13282" w:rsidP="00D45634">
      <w:pPr>
        <w:pStyle w:val="a5"/>
      </w:pPr>
      <w:r>
        <w:rPr>
          <w:rStyle w:val="a7"/>
        </w:rPr>
        <w:footnoteRef/>
      </w:r>
      <w:r>
        <w:t xml:space="preserve"> </w:t>
      </w:r>
      <w:r w:rsidRPr="00954813">
        <w:rPr>
          <w:rStyle w:val="11"/>
          <w:bCs/>
          <w:szCs w:val="24"/>
          <w:rtl/>
        </w:rPr>
        <w:t>בעולם הזה דא גן כו'.</w:t>
      </w:r>
      <w:r>
        <w:rPr>
          <w:rStyle w:val="23"/>
          <w:rtl/>
        </w:rPr>
        <w:t xml:space="preserve"> שהן ג' עולמות שנר"ן שוכנים בתוכם, נפש - בעולם הזה ורוח - בגן עדן ונשמה - בצרורא דחיי שהוא עלמא אריכא ונקרא אריכא דשם אריכא דאנפין שאין שם דין כלל:</w:t>
      </w:r>
    </w:p>
  </w:footnote>
  <w:footnote w:id="79">
    <w:p w:rsidR="00A13282" w:rsidRDefault="00A13282" w:rsidP="00D45634">
      <w:pPr>
        <w:pStyle w:val="a5"/>
      </w:pPr>
      <w:r>
        <w:rPr>
          <w:rStyle w:val="a7"/>
        </w:rPr>
        <w:footnoteRef/>
      </w:r>
      <w:r>
        <w:t xml:space="preserve"> </w:t>
      </w:r>
      <w:r w:rsidRPr="00954813">
        <w:rPr>
          <w:rStyle w:val="11"/>
          <w:bCs/>
          <w:szCs w:val="24"/>
          <w:rtl/>
        </w:rPr>
        <w:t>בקישורא דתפילין.</w:t>
      </w:r>
      <w:r>
        <w:rPr>
          <w:rStyle w:val="23"/>
          <w:rtl/>
        </w:rPr>
        <w:t xml:space="preserve"> שהקשר הוא יסוד שקושר תפילין </w:t>
      </w:r>
      <w:r>
        <w:rPr>
          <w:rStyle w:val="23"/>
        </w:rPr>
        <w:t>–</w:t>
      </w:r>
      <w:r>
        <w:rPr>
          <w:rStyle w:val="23"/>
          <w:rtl/>
        </w:rPr>
        <w:t xml:space="preserve"> נוקבא, עם הרצועה שהוא וא"ו כדלקמן. ובכולהון צריך קישורא דתרווייהו כדלקמן בסמוך דלא ישתכח בכל יום פחות מתרווייהו:</w:t>
      </w:r>
    </w:p>
  </w:footnote>
  <w:footnote w:id="80">
    <w:p w:rsidR="00A13282" w:rsidRDefault="00A13282" w:rsidP="00D45634">
      <w:pPr>
        <w:pStyle w:val="a5"/>
      </w:pPr>
      <w:r>
        <w:rPr>
          <w:rStyle w:val="a7"/>
        </w:rPr>
        <w:footnoteRef/>
      </w:r>
      <w:r>
        <w:t xml:space="preserve"> </w:t>
      </w:r>
      <w:r w:rsidRPr="00954813">
        <w:rPr>
          <w:rStyle w:val="11"/>
          <w:bCs/>
          <w:szCs w:val="24"/>
          <w:rtl/>
        </w:rPr>
        <w:t>בתחומיה דאיהו ח' ימים כו'.</w:t>
      </w:r>
      <w:r>
        <w:rPr>
          <w:rStyle w:val="23"/>
          <w:rtl/>
        </w:rPr>
        <w:t xml:space="preserve"> דתחום שבת הוא ח' אלפים אמות וכן מילה לח' ימים ואינון ביסוד שהוא ח' לחכמה שהיא ראשית כמו שכתוב על השמינית:</w:t>
      </w:r>
    </w:p>
  </w:footnote>
  <w:footnote w:id="81">
    <w:p w:rsidR="00A13282" w:rsidRDefault="00A13282" w:rsidP="00D45634">
      <w:pPr>
        <w:pStyle w:val="a5"/>
      </w:pPr>
      <w:r>
        <w:rPr>
          <w:rStyle w:val="a7"/>
        </w:rPr>
        <w:footnoteRef/>
      </w:r>
      <w:r>
        <w:t xml:space="preserve"> </w:t>
      </w:r>
      <w:r w:rsidRPr="00954813">
        <w:rPr>
          <w:rStyle w:val="11"/>
          <w:bCs/>
          <w:szCs w:val="24"/>
          <w:rtl/>
        </w:rPr>
        <w:t>דאינון י' י'.</w:t>
      </w:r>
      <w:r>
        <w:rPr>
          <w:rStyle w:val="23"/>
          <w:rtl/>
        </w:rPr>
        <w:t xml:space="preserve"> דתרווייהו הן אותות כדקאמר אות ברית ואות שבת דכל אות היא י' דאיהו יסוד, יו"ד זעירא:</w:t>
      </w:r>
    </w:p>
  </w:footnote>
  <w:footnote w:id="82">
    <w:p w:rsidR="00A13282" w:rsidRDefault="00A13282" w:rsidP="00D45634">
      <w:pPr>
        <w:pStyle w:val="a5"/>
      </w:pPr>
      <w:r>
        <w:rPr>
          <w:rStyle w:val="a7"/>
        </w:rPr>
        <w:footnoteRef/>
      </w:r>
      <w:r>
        <w:t xml:space="preserve"> </w:t>
      </w:r>
      <w:r w:rsidRPr="00954813">
        <w:rPr>
          <w:rStyle w:val="11"/>
          <w:bCs/>
          <w:szCs w:val="24"/>
          <w:rtl/>
        </w:rPr>
        <w:t>מן יאקדונק"י.</w:t>
      </w:r>
      <w:r>
        <w:rPr>
          <w:rStyle w:val="23"/>
          <w:rtl/>
        </w:rPr>
        <w:t xml:space="preserve"> אות ברית, יו"ד מהוי' דאיהו זכר ואיהו סליק עד מוחא דאיהו חכמה שלכך נקרא משכיל ואות שבת היא נוקבא כמו שכתוב אות היא לעולם ולכך היא יו"ד מן אדנ"י, יסוד דידה, אות אחרון מן אדני:</w:t>
      </w:r>
    </w:p>
  </w:footnote>
  <w:footnote w:id="83">
    <w:p w:rsidR="00A13282" w:rsidRDefault="00A13282" w:rsidP="00D45634">
      <w:pPr>
        <w:pStyle w:val="a5"/>
      </w:pPr>
      <w:r>
        <w:rPr>
          <w:rStyle w:val="a7"/>
        </w:rPr>
        <w:footnoteRef/>
      </w:r>
      <w:r>
        <w:t xml:space="preserve"> </w:t>
      </w:r>
      <w:r w:rsidRPr="00954813">
        <w:rPr>
          <w:rStyle w:val="11"/>
          <w:bCs/>
          <w:szCs w:val="24"/>
          <w:rtl/>
        </w:rPr>
        <w:t>יד כהה.</w:t>
      </w:r>
      <w:r>
        <w:rPr>
          <w:rStyle w:val="23"/>
          <w:rtl/>
        </w:rPr>
        <w:t xml:space="preserve"> דאיהי נקראת יד והיא כהה דהיא אספקלריא דלא נהרא:</w:t>
      </w:r>
    </w:p>
  </w:footnote>
  <w:footnote w:id="84">
    <w:p w:rsidR="00A13282" w:rsidRDefault="00A13282" w:rsidP="00D45634">
      <w:pPr>
        <w:pStyle w:val="a5"/>
      </w:pPr>
      <w:r>
        <w:rPr>
          <w:rStyle w:val="a7"/>
        </w:rPr>
        <w:footnoteRef/>
      </w:r>
      <w:r>
        <w:t xml:space="preserve"> </w:t>
      </w:r>
      <w:r w:rsidRPr="00954813">
        <w:rPr>
          <w:rStyle w:val="11"/>
          <w:bCs/>
          <w:szCs w:val="24"/>
          <w:rtl/>
        </w:rPr>
        <w:t>והכא בכל אתר את כו'.</w:t>
      </w:r>
      <w:r>
        <w:rPr>
          <w:rStyle w:val="23"/>
          <w:rtl/>
        </w:rPr>
        <w:t xml:space="preserve"> הכא מפרש דכל מקום שאומר בכמה מקומות שלח כו' על קב"ה ושכינתיה מן האדם, הוא הדין דקאי על או"א מן בנים דאינון זו"ן והולך ומפרש כאן דשלח קאי על אב ואם ולמטה הוא מפרש ועל קן דציפורא כו' דבנים ואפרוחים וביצים הם זו"ן:</w:t>
      </w:r>
    </w:p>
  </w:footnote>
  <w:footnote w:id="85">
    <w:p w:rsidR="00A13282" w:rsidRDefault="00A13282" w:rsidP="00D45634">
      <w:pPr>
        <w:pStyle w:val="a5"/>
      </w:pPr>
      <w:r>
        <w:rPr>
          <w:rStyle w:val="a7"/>
        </w:rPr>
        <w:footnoteRef/>
      </w:r>
      <w:r>
        <w:t xml:space="preserve"> </w:t>
      </w:r>
      <w:r w:rsidRPr="00954813">
        <w:rPr>
          <w:rStyle w:val="11"/>
          <w:bCs/>
          <w:szCs w:val="24"/>
          <w:rtl/>
        </w:rPr>
        <w:t>ואיהי אורייתא כו'.</w:t>
      </w:r>
      <w:r>
        <w:rPr>
          <w:rStyle w:val="23"/>
          <w:rtl/>
        </w:rPr>
        <w:t xml:space="preserve"> הוא עוד ראיה דהיא אם שידוע דהיא אורייתא כמו שאמרו חמשים שערי בינה כו' וכתיב תורת אמך:</w:t>
      </w:r>
    </w:p>
  </w:footnote>
  <w:footnote w:id="86">
    <w:p w:rsidR="00A13282" w:rsidRDefault="00A13282" w:rsidP="00D45634">
      <w:pPr>
        <w:pStyle w:val="a5"/>
      </w:pPr>
      <w:r>
        <w:rPr>
          <w:rStyle w:val="a7"/>
        </w:rPr>
        <w:footnoteRef/>
      </w:r>
      <w:r>
        <w:t xml:space="preserve"> </w:t>
      </w:r>
      <w:r w:rsidRPr="00954813">
        <w:rPr>
          <w:rStyle w:val="11"/>
          <w:bCs/>
          <w:szCs w:val="24"/>
          <w:rtl/>
        </w:rPr>
        <w:t>ועל קן דציפורא דא.</w:t>
      </w:r>
      <w:r>
        <w:rPr>
          <w:rStyle w:val="23"/>
          <w:rtl/>
        </w:rPr>
        <w:t xml:space="preserve"> מה שאמרנו עכשיו שהציפורים הן זו"ן והקן המסכך עלייהו אימא עלאה דעלה נאמר לא תקח וכו' וכן אמר בתיקון ו' דקן ציפור היא סוכה, אימא עילאה כו', עיין שם:</w:t>
      </w:r>
    </w:p>
  </w:footnote>
  <w:footnote w:id="87">
    <w:p w:rsidR="00A13282" w:rsidRDefault="00A13282" w:rsidP="00D45634">
      <w:pPr>
        <w:pStyle w:val="a5"/>
      </w:pPr>
      <w:r>
        <w:rPr>
          <w:rStyle w:val="a7"/>
        </w:rPr>
        <w:footnoteRef/>
      </w:r>
      <w:r>
        <w:t xml:space="preserve"> </w:t>
      </w:r>
      <w:r w:rsidRPr="00954813">
        <w:rPr>
          <w:rStyle w:val="11"/>
          <w:bCs/>
          <w:szCs w:val="24"/>
          <w:rtl/>
        </w:rPr>
        <w:t>אינון אתרוגי דכל חד כו'.</w:t>
      </w:r>
      <w:r>
        <w:rPr>
          <w:rStyle w:val="23"/>
          <w:rtl/>
        </w:rPr>
        <w:t xml:space="preserve"> שגם היא כלולה מו"ק ורוצה לומר שלכך נאמר ביצים לשון רבים:</w:t>
      </w:r>
    </w:p>
  </w:footnote>
  <w:footnote w:id="88">
    <w:p w:rsidR="00A13282" w:rsidRDefault="00A13282" w:rsidP="00D45634">
      <w:pPr>
        <w:pStyle w:val="a5"/>
      </w:pPr>
      <w:r>
        <w:rPr>
          <w:rStyle w:val="a7"/>
        </w:rPr>
        <w:footnoteRef/>
      </w:r>
      <w:r>
        <w:t xml:space="preserve"> </w:t>
      </w:r>
      <w:r w:rsidRPr="00954813">
        <w:rPr>
          <w:rStyle w:val="11"/>
          <w:bCs/>
          <w:szCs w:val="24"/>
          <w:rtl/>
        </w:rPr>
        <w:t>כתמר.</w:t>
      </w:r>
      <w:r>
        <w:rPr>
          <w:rStyle w:val="23"/>
          <w:rtl/>
        </w:rPr>
        <w:t xml:space="preserve"> דאיהו לולב, כפות תמרים:</w:t>
      </w:r>
    </w:p>
  </w:footnote>
  <w:footnote w:id="89">
    <w:p w:rsidR="00A13282" w:rsidRDefault="00A13282" w:rsidP="00D45634">
      <w:pPr>
        <w:pStyle w:val="a5"/>
      </w:pPr>
      <w:r>
        <w:rPr>
          <w:rStyle w:val="a7"/>
        </w:rPr>
        <w:footnoteRef/>
      </w:r>
      <w:r>
        <w:t xml:space="preserve"> </w:t>
      </w:r>
      <w:r w:rsidRPr="00954813">
        <w:rPr>
          <w:rStyle w:val="11"/>
          <w:bCs/>
          <w:szCs w:val="24"/>
          <w:rtl/>
        </w:rPr>
        <w:t>תמניא לקבל כו'.</w:t>
      </w:r>
      <w:r>
        <w:rPr>
          <w:rStyle w:val="23"/>
          <w:rtl/>
        </w:rPr>
        <w:t xml:space="preserve"> דזו"ן הן הוי' אדנ"י והן כלולין באימא עילאה:</w:t>
      </w:r>
    </w:p>
  </w:footnote>
  <w:footnote w:id="90">
    <w:p w:rsidR="00A13282" w:rsidRDefault="00A13282" w:rsidP="00D45634">
      <w:pPr>
        <w:pStyle w:val="a5"/>
      </w:pPr>
      <w:r>
        <w:rPr>
          <w:rStyle w:val="a7"/>
        </w:rPr>
        <w:footnoteRef/>
      </w:r>
      <w:r>
        <w:t xml:space="preserve"> </w:t>
      </w:r>
      <w:r w:rsidRPr="00954813">
        <w:rPr>
          <w:rStyle w:val="11"/>
          <w:bCs/>
          <w:szCs w:val="24"/>
          <w:rtl/>
        </w:rPr>
        <w:t>ובכל פקודא ופקודא.</w:t>
      </w:r>
      <w:r>
        <w:rPr>
          <w:rStyle w:val="23"/>
          <w:rtl/>
        </w:rPr>
        <w:t xml:space="preserve"> רוצה לומר וכן בכל פקודא צריך להיות עשר ספירות כלילין בה:</w:t>
      </w:r>
    </w:p>
  </w:footnote>
  <w:footnote w:id="91">
    <w:p w:rsidR="00A13282" w:rsidRDefault="00A13282" w:rsidP="00D45634">
      <w:pPr>
        <w:pStyle w:val="a5"/>
      </w:pPr>
      <w:r>
        <w:rPr>
          <w:rStyle w:val="a7"/>
        </w:rPr>
        <w:footnoteRef/>
      </w:r>
      <w:r>
        <w:t xml:space="preserve"> </w:t>
      </w:r>
      <w:r w:rsidRPr="00954813">
        <w:rPr>
          <w:rStyle w:val="11"/>
          <w:bCs/>
          <w:szCs w:val="24"/>
          <w:rtl/>
        </w:rPr>
        <w:t>שלח תשלח כתר חכמה.</w:t>
      </w:r>
      <w:r>
        <w:rPr>
          <w:rStyle w:val="23"/>
          <w:rtl/>
        </w:rPr>
        <w:t xml:space="preserve"> ואת האם היא אימא עילאה:</w:t>
      </w:r>
    </w:p>
  </w:footnote>
  <w:footnote w:id="92">
    <w:p w:rsidR="00A13282" w:rsidRDefault="00A13282" w:rsidP="00D45634">
      <w:pPr>
        <w:pStyle w:val="a5"/>
      </w:pPr>
      <w:r>
        <w:rPr>
          <w:rStyle w:val="a7"/>
        </w:rPr>
        <w:footnoteRef/>
      </w:r>
      <w:r>
        <w:t xml:space="preserve"> </w:t>
      </w:r>
      <w:r w:rsidRPr="00954813">
        <w:rPr>
          <w:rStyle w:val="11"/>
          <w:bCs/>
          <w:szCs w:val="24"/>
          <w:rtl/>
        </w:rPr>
        <w:t>דבתרא.</w:t>
      </w:r>
      <w:r>
        <w:rPr>
          <w:rStyle w:val="23"/>
          <w:rtl/>
        </w:rPr>
        <w:t xml:space="preserve"> פירוש דמסכת בבא בתרא:</w:t>
      </w:r>
    </w:p>
  </w:footnote>
  <w:footnote w:id="93">
    <w:p w:rsidR="00A13282" w:rsidRDefault="00A13282" w:rsidP="00D45634">
      <w:pPr>
        <w:pStyle w:val="a5"/>
      </w:pPr>
      <w:r>
        <w:rPr>
          <w:rStyle w:val="a7"/>
        </w:rPr>
        <w:footnoteRef/>
      </w:r>
      <w:r>
        <w:t xml:space="preserve"> </w:t>
      </w:r>
      <w:r w:rsidRPr="00954813">
        <w:rPr>
          <w:rStyle w:val="11"/>
          <w:bCs/>
          <w:szCs w:val="24"/>
          <w:rtl/>
        </w:rPr>
        <w:t>אזיל בספינתא.</w:t>
      </w:r>
      <w:r>
        <w:rPr>
          <w:rStyle w:val="23"/>
          <w:rtl/>
        </w:rPr>
        <w:t xml:space="preserve"> פירוש שירד אל הים שהוא ים החכמה:</w:t>
      </w:r>
    </w:p>
  </w:footnote>
  <w:footnote w:id="94">
    <w:p w:rsidR="00A13282" w:rsidRDefault="00A13282" w:rsidP="00D45634">
      <w:pPr>
        <w:pStyle w:val="a5"/>
      </w:pPr>
      <w:r>
        <w:rPr>
          <w:rStyle w:val="a7"/>
        </w:rPr>
        <w:footnoteRef/>
      </w:r>
      <w:r>
        <w:t xml:space="preserve"> </w:t>
      </w:r>
      <w:r w:rsidRPr="00954813">
        <w:rPr>
          <w:rStyle w:val="11"/>
          <w:bCs/>
          <w:szCs w:val="24"/>
          <w:rtl/>
        </w:rPr>
        <w:t>ומאן ציפור כו'.</w:t>
      </w:r>
      <w:r>
        <w:rPr>
          <w:rStyle w:val="23"/>
          <w:rtl/>
        </w:rPr>
        <w:t xml:space="preserve"> הזוהר שאיל על איזה ספירה מזו"ן הוא רומז כאן:</w:t>
      </w:r>
    </w:p>
  </w:footnote>
  <w:footnote w:id="95">
    <w:p w:rsidR="00A13282" w:rsidRDefault="00A13282" w:rsidP="00D45634">
      <w:pPr>
        <w:pStyle w:val="a5"/>
      </w:pPr>
      <w:r>
        <w:rPr>
          <w:rStyle w:val="a7"/>
        </w:rPr>
        <w:footnoteRef/>
      </w:r>
      <w:r>
        <w:t xml:space="preserve"> </w:t>
      </w:r>
      <w:r w:rsidRPr="00954813">
        <w:rPr>
          <w:rStyle w:val="11"/>
          <w:bCs/>
          <w:szCs w:val="24"/>
          <w:rtl/>
        </w:rPr>
        <w:t>כגון פרחים כו'.</w:t>
      </w:r>
      <w:r>
        <w:rPr>
          <w:rStyle w:val="23"/>
          <w:rtl/>
        </w:rPr>
        <w:t xml:space="preserve"> רוצה לומר ו"ק הכלולין ביסוד. דתרין ווי"ן הן ת"ת ויסוד. ובת"ת הן באור ישר, מעילא לתתא, וביסוד מתתא לעילא, באור חוזר:</w:t>
      </w:r>
    </w:p>
  </w:footnote>
  <w:footnote w:id="96">
    <w:p w:rsidR="00A13282" w:rsidRDefault="00A13282" w:rsidP="00D45634">
      <w:pPr>
        <w:pStyle w:val="a5"/>
      </w:pPr>
      <w:r>
        <w:rPr>
          <w:rStyle w:val="a7"/>
        </w:rPr>
        <w:footnoteRef/>
      </w:r>
      <w:r>
        <w:t xml:space="preserve"> </w:t>
      </w:r>
      <w:r w:rsidRPr="00954813">
        <w:rPr>
          <w:rStyle w:val="11"/>
          <w:bCs/>
          <w:szCs w:val="24"/>
          <w:rtl/>
        </w:rPr>
        <w:t>דהא ביצים כו'.</w:t>
      </w:r>
      <w:r>
        <w:rPr>
          <w:rStyle w:val="23"/>
          <w:rtl/>
        </w:rPr>
        <w:t xml:space="preserve"> הוא ראיה לדבריו, דבנים הם תחות אימא עילאה על כן יש לספק מאן, או מבנים דגם הם ציפורים ומה דלא קראן אפרוחים דאפרוחים הן דלאו גמר פרי, או מאפרוחים ומפרש:</w:t>
      </w:r>
    </w:p>
  </w:footnote>
  <w:footnote w:id="97">
    <w:p w:rsidR="00A13282" w:rsidRDefault="00A13282" w:rsidP="00D45634">
      <w:pPr>
        <w:pStyle w:val="a5"/>
      </w:pPr>
      <w:r>
        <w:rPr>
          <w:rStyle w:val="a7"/>
        </w:rPr>
        <w:footnoteRef/>
      </w:r>
      <w:r>
        <w:t xml:space="preserve"> </w:t>
      </w:r>
      <w:r w:rsidRPr="00954813">
        <w:rPr>
          <w:rStyle w:val="11"/>
          <w:bCs/>
          <w:szCs w:val="24"/>
          <w:rtl/>
        </w:rPr>
        <w:t>אלא לא הוי כו'.</w:t>
      </w:r>
      <w:r>
        <w:rPr>
          <w:rStyle w:val="23"/>
          <w:rtl/>
        </w:rPr>
        <w:t xml:space="preserve"> ויש לפרש הכל על רבב"ח דרבב"ח מפרש שלא תטעה דציפרא הוא מבנים לכך קאמר דימא מטי כו' דקאי על צדיק כמו שמפרש והולך:</w:t>
      </w:r>
    </w:p>
  </w:footnote>
  <w:footnote w:id="98">
    <w:p w:rsidR="00A13282" w:rsidRDefault="00A13282" w:rsidP="00D45634">
      <w:pPr>
        <w:pStyle w:val="a5"/>
      </w:pPr>
      <w:r>
        <w:rPr>
          <w:rStyle w:val="a7"/>
        </w:rPr>
        <w:footnoteRef/>
      </w:r>
      <w:r>
        <w:t xml:space="preserve"> </w:t>
      </w:r>
      <w:r w:rsidRPr="00954813">
        <w:rPr>
          <w:rStyle w:val="11"/>
          <w:bCs/>
          <w:szCs w:val="24"/>
          <w:rtl/>
        </w:rPr>
        <w:t>עמודא חדא כו'.</w:t>
      </w:r>
      <w:r>
        <w:rPr>
          <w:rStyle w:val="23"/>
          <w:rtl/>
        </w:rPr>
        <w:t xml:space="preserve"> דרבב"ח קאמר שם ורישיה מטא לשמיא:</w:t>
      </w:r>
    </w:p>
  </w:footnote>
  <w:footnote w:id="99">
    <w:p w:rsidR="00A13282" w:rsidRDefault="00A13282" w:rsidP="00D45634">
      <w:pPr>
        <w:pStyle w:val="a5"/>
      </w:pPr>
      <w:r>
        <w:rPr>
          <w:rStyle w:val="a7"/>
        </w:rPr>
        <w:footnoteRef/>
      </w:r>
      <w:r>
        <w:t xml:space="preserve"> </w:t>
      </w:r>
      <w:r w:rsidRPr="00954813">
        <w:rPr>
          <w:rStyle w:val="11"/>
          <w:bCs/>
          <w:szCs w:val="24"/>
          <w:rtl/>
        </w:rPr>
        <w:t>מארעא עד רקיע.</w:t>
      </w:r>
      <w:r>
        <w:rPr>
          <w:rStyle w:val="23"/>
          <w:rtl/>
        </w:rPr>
        <w:t xml:space="preserve"> דכן כתיב כי כל בשמים ובארץ ומתרגמינן דאחיד כו':</w:t>
      </w:r>
    </w:p>
  </w:footnote>
  <w:footnote w:id="100">
    <w:p w:rsidR="00A13282" w:rsidRDefault="00A13282" w:rsidP="00D45634">
      <w:pPr>
        <w:pStyle w:val="a5"/>
      </w:pPr>
      <w:r>
        <w:rPr>
          <w:rStyle w:val="a7"/>
        </w:rPr>
        <w:footnoteRef/>
      </w:r>
      <w:r>
        <w:t xml:space="preserve"> </w:t>
      </w:r>
      <w:r w:rsidRPr="00954813">
        <w:rPr>
          <w:rStyle w:val="11"/>
          <w:bCs/>
          <w:szCs w:val="24"/>
          <w:rtl/>
        </w:rPr>
        <w:t>איהו ימא.</w:t>
      </w:r>
      <w:r>
        <w:rPr>
          <w:rStyle w:val="23"/>
          <w:rtl/>
        </w:rPr>
        <w:t xml:space="preserve"> ים בגימטריה חמשים:</w:t>
      </w:r>
    </w:p>
  </w:footnote>
  <w:footnote w:id="101">
    <w:p w:rsidR="00A13282" w:rsidRDefault="00A13282" w:rsidP="00D45634">
      <w:pPr>
        <w:pStyle w:val="a5"/>
      </w:pPr>
      <w:r>
        <w:rPr>
          <w:rStyle w:val="a7"/>
        </w:rPr>
        <w:footnoteRef/>
      </w:r>
      <w:r>
        <w:t xml:space="preserve"> </w:t>
      </w:r>
      <w:r w:rsidRPr="00954813">
        <w:rPr>
          <w:rStyle w:val="11"/>
          <w:bCs/>
          <w:szCs w:val="24"/>
          <w:rtl/>
        </w:rPr>
        <w:t>כגוונא דא כו'.</w:t>
      </w:r>
      <w:r>
        <w:rPr>
          <w:rStyle w:val="23"/>
          <w:rtl/>
        </w:rPr>
        <w:t xml:space="preserve"> דהיא נקראת י"ה על שם או"א דהיא כלולה משניהם:</w:t>
      </w:r>
    </w:p>
  </w:footnote>
  <w:footnote w:id="102">
    <w:p w:rsidR="00A13282" w:rsidRDefault="00A13282" w:rsidP="00D45634">
      <w:pPr>
        <w:pStyle w:val="a5"/>
      </w:pPr>
      <w:r>
        <w:rPr>
          <w:rStyle w:val="a7"/>
        </w:rPr>
        <w:footnoteRef/>
      </w:r>
      <w:r>
        <w:t xml:space="preserve"> </w:t>
      </w:r>
      <w:r w:rsidRPr="00954813">
        <w:rPr>
          <w:rStyle w:val="11"/>
          <w:bCs/>
          <w:szCs w:val="24"/>
          <w:rtl/>
        </w:rPr>
        <w:t>כל.</w:t>
      </w:r>
      <w:r>
        <w:rPr>
          <w:rStyle w:val="23"/>
          <w:rtl/>
        </w:rPr>
        <w:t xml:space="preserve"> גם כן גימטריה נו"ן:</w:t>
      </w:r>
    </w:p>
  </w:footnote>
  <w:footnote w:id="103">
    <w:p w:rsidR="00A13282" w:rsidRDefault="00A13282" w:rsidP="00D45634">
      <w:pPr>
        <w:pStyle w:val="a5"/>
      </w:pPr>
      <w:r>
        <w:rPr>
          <w:rStyle w:val="a7"/>
        </w:rPr>
        <w:footnoteRef/>
      </w:r>
      <w:r>
        <w:t xml:space="preserve"> </w:t>
      </w:r>
      <w:r w:rsidRPr="00954813">
        <w:rPr>
          <w:rStyle w:val="11"/>
          <w:bCs/>
          <w:szCs w:val="24"/>
          <w:rtl/>
        </w:rPr>
        <w:t>וכרסיא דלתתא.</w:t>
      </w:r>
      <w:r>
        <w:rPr>
          <w:rStyle w:val="23"/>
          <w:rtl/>
        </w:rPr>
        <w:t xml:space="preserve"> היא מלכות ורוצה לומר כאן דקאי גם כן על מט"ט דימא דמטי עד קרסולוי היא שכינתא תתאה שגם כן נקראת ים כמו שמפרש והולך והוא גם כן מארעא עד רקיע שהיא מרכבה לתרוייהו כמו שמפרש והולך והוא בדמותא דצדיק דבחול על ידו מתייחדין ובשבת על ידי צדיק ח"י עלמין:</w:t>
      </w:r>
    </w:p>
  </w:footnote>
  <w:footnote w:id="104">
    <w:p w:rsidR="00A13282" w:rsidRDefault="00A13282" w:rsidP="00D45634">
      <w:pPr>
        <w:pStyle w:val="a5"/>
      </w:pPr>
      <w:r>
        <w:rPr>
          <w:rStyle w:val="a7"/>
        </w:rPr>
        <w:footnoteRef/>
      </w:r>
      <w:r>
        <w:t xml:space="preserve"> </w:t>
      </w:r>
      <w:r w:rsidRPr="00954813">
        <w:rPr>
          <w:rStyle w:val="11"/>
          <w:bCs/>
          <w:szCs w:val="24"/>
          <w:rtl/>
        </w:rPr>
        <w:t>ים המלח.</w:t>
      </w:r>
      <w:r>
        <w:rPr>
          <w:rStyle w:val="23"/>
          <w:rtl/>
        </w:rPr>
        <w:t xml:space="preserve"> דמלח הוא דין כידוע והוא מלכות וזה שאמר כסא דין דתרין כסאות, כסא רחמים וכסא דין והן אימא עלאה ואימא תתאה והן ג"כ תרין ימים, דים דומה לרקיע כו' עד דומה לכסא הכבוד וזה שאמר ים המלח - כסא דין:</w:t>
      </w:r>
    </w:p>
  </w:footnote>
  <w:footnote w:id="105">
    <w:p w:rsidR="00A13282" w:rsidRDefault="00A13282" w:rsidP="00D45634">
      <w:pPr>
        <w:pStyle w:val="a5"/>
      </w:pPr>
      <w:r>
        <w:rPr>
          <w:rStyle w:val="a7"/>
        </w:rPr>
        <w:footnoteRef/>
      </w:r>
      <w:r>
        <w:t xml:space="preserve"> </w:t>
      </w:r>
      <w:r w:rsidRPr="00954813">
        <w:rPr>
          <w:rStyle w:val="11"/>
          <w:bCs/>
          <w:szCs w:val="24"/>
          <w:rtl/>
        </w:rPr>
        <w:t>עליה אתמר כי כו'.</w:t>
      </w:r>
      <w:r>
        <w:rPr>
          <w:rStyle w:val="23"/>
          <w:rtl/>
        </w:rPr>
        <w:t xml:space="preserve"> מביא ראיה דמט"ט נקרא צפור:</w:t>
      </w:r>
    </w:p>
  </w:footnote>
  <w:footnote w:id="106">
    <w:p w:rsidR="00A13282" w:rsidRDefault="00A13282" w:rsidP="00D45634">
      <w:pPr>
        <w:pStyle w:val="a5"/>
      </w:pPr>
      <w:r>
        <w:rPr>
          <w:rStyle w:val="a7"/>
        </w:rPr>
        <w:footnoteRef/>
      </w:r>
      <w:r>
        <w:t xml:space="preserve"> </w:t>
      </w:r>
      <w:r w:rsidRPr="00954813">
        <w:rPr>
          <w:rStyle w:val="11"/>
          <w:bCs/>
          <w:szCs w:val="24"/>
          <w:rtl/>
        </w:rPr>
        <w:t>שית יומין דחול.</w:t>
      </w:r>
      <w:r>
        <w:rPr>
          <w:rStyle w:val="23"/>
          <w:rtl/>
        </w:rPr>
        <w:t xml:space="preserve"> הן ו'"ק דיצירה:</w:t>
      </w:r>
    </w:p>
  </w:footnote>
  <w:footnote w:id="107">
    <w:p w:rsidR="00A13282" w:rsidRDefault="00A13282" w:rsidP="00D45634">
      <w:pPr>
        <w:pStyle w:val="a5"/>
      </w:pPr>
      <w:r>
        <w:rPr>
          <w:rStyle w:val="a7"/>
        </w:rPr>
        <w:footnoteRef/>
      </w:r>
      <w:r>
        <w:t xml:space="preserve"> </w:t>
      </w:r>
      <w:r w:rsidRPr="00954813">
        <w:rPr>
          <w:rStyle w:val="11"/>
          <w:bCs/>
          <w:szCs w:val="24"/>
          <w:rtl/>
        </w:rPr>
        <w:t>דאיהו קול.</w:t>
      </w:r>
      <w:r>
        <w:rPr>
          <w:rStyle w:val="23"/>
          <w:rtl/>
        </w:rPr>
        <w:t xml:space="preserve"> מביא ראיה דקול הוא עמודא דאמצעיתא דו' קצוות הן תורה:</w:t>
      </w:r>
    </w:p>
  </w:footnote>
  <w:footnote w:id="108">
    <w:p w:rsidR="00A13282" w:rsidRDefault="00A13282" w:rsidP="00D45634">
      <w:pPr>
        <w:pStyle w:val="a5"/>
      </w:pPr>
      <w:r>
        <w:rPr>
          <w:rStyle w:val="a7"/>
        </w:rPr>
        <w:footnoteRef/>
      </w:r>
      <w:r>
        <w:t xml:space="preserve"> </w:t>
      </w:r>
      <w:r w:rsidRPr="00954813">
        <w:rPr>
          <w:rStyle w:val="11"/>
          <w:bCs/>
          <w:szCs w:val="24"/>
          <w:rtl/>
        </w:rPr>
        <w:t>ואיהו שביעאה לון.</w:t>
      </w:r>
      <w:r>
        <w:rPr>
          <w:rStyle w:val="23"/>
          <w:rtl/>
        </w:rPr>
        <w:t xml:space="preserve"> רוצה לומר מט"ט הוא קול השביעי לו"ק דאיהו שליט עלייהו כנ"ל:</w:t>
      </w:r>
    </w:p>
  </w:footnote>
  <w:footnote w:id="109">
    <w:p w:rsidR="00A13282" w:rsidRDefault="00A13282" w:rsidP="00D45634">
      <w:pPr>
        <w:pStyle w:val="a5"/>
      </w:pPr>
      <w:r>
        <w:rPr>
          <w:rStyle w:val="a7"/>
        </w:rPr>
        <w:footnoteRef/>
      </w:r>
      <w:r>
        <w:t xml:space="preserve"> </w:t>
      </w:r>
      <w:r w:rsidRPr="00954813">
        <w:rPr>
          <w:rStyle w:val="11"/>
          <w:bCs/>
          <w:szCs w:val="24"/>
          <w:rtl/>
        </w:rPr>
        <w:t>באימא.</w:t>
      </w:r>
      <w:r>
        <w:rPr>
          <w:rStyle w:val="23"/>
          <w:rtl/>
        </w:rPr>
        <w:t xml:space="preserve"> רוצה לומר מצד אימא התחתונה הוא קול השביעי דלכך נאמר יחולל אילות:</w:t>
      </w:r>
    </w:p>
  </w:footnote>
  <w:footnote w:id="110">
    <w:p w:rsidR="00A13282" w:rsidRDefault="00A13282" w:rsidP="00D45634">
      <w:pPr>
        <w:pStyle w:val="a5"/>
      </w:pPr>
      <w:r>
        <w:rPr>
          <w:rStyle w:val="a7"/>
        </w:rPr>
        <w:footnoteRef/>
      </w:r>
      <w:r>
        <w:t xml:space="preserve"> </w:t>
      </w:r>
      <w:r w:rsidRPr="00954813">
        <w:rPr>
          <w:rStyle w:val="11"/>
          <w:bCs/>
          <w:szCs w:val="24"/>
          <w:rtl/>
        </w:rPr>
        <w:t>דבר דא צלותא.</w:t>
      </w:r>
      <w:r>
        <w:rPr>
          <w:rStyle w:val="23"/>
          <w:rtl/>
        </w:rPr>
        <w:t xml:space="preserve"> דצלותא היא מלכות שנקראת דבר כמו שאומר לקמן:</w:t>
      </w:r>
    </w:p>
  </w:footnote>
  <w:footnote w:id="111">
    <w:p w:rsidR="00A13282" w:rsidRDefault="00A13282" w:rsidP="00D45634">
      <w:pPr>
        <w:pStyle w:val="a5"/>
      </w:pPr>
      <w:r>
        <w:rPr>
          <w:rStyle w:val="a7"/>
        </w:rPr>
        <w:footnoteRef/>
      </w:r>
      <w:r>
        <w:t xml:space="preserve"> </w:t>
      </w:r>
      <w:r w:rsidRPr="00954813">
        <w:rPr>
          <w:rStyle w:val="11"/>
          <w:bCs/>
          <w:szCs w:val="24"/>
          <w:rtl/>
        </w:rPr>
        <w:t>דמטי לה כו'.</w:t>
      </w:r>
      <w:r>
        <w:rPr>
          <w:rStyle w:val="23"/>
          <w:rtl/>
        </w:rPr>
        <w:t xml:space="preserve"> שמשם זיווג השכינה:</w:t>
      </w:r>
    </w:p>
  </w:footnote>
  <w:footnote w:id="112">
    <w:p w:rsidR="00A13282" w:rsidRDefault="00A13282" w:rsidP="00D45634">
      <w:pPr>
        <w:pStyle w:val="a5"/>
      </w:pPr>
      <w:r>
        <w:rPr>
          <w:rStyle w:val="a7"/>
        </w:rPr>
        <w:footnoteRef/>
      </w:r>
      <w:r>
        <w:t xml:space="preserve"> </w:t>
      </w:r>
      <w:r w:rsidRPr="00954813">
        <w:rPr>
          <w:rStyle w:val="11"/>
          <w:bCs/>
          <w:szCs w:val="24"/>
          <w:rtl/>
        </w:rPr>
        <w:t>ורזא דדיבור אדני כו'.</w:t>
      </w:r>
      <w:r>
        <w:rPr>
          <w:rStyle w:val="23"/>
          <w:rtl/>
        </w:rPr>
        <w:t xml:space="preserve"> שמשם הדיבור ולכך אומרים אותו קודם התפלה שהיא דיבור:</w:t>
      </w:r>
    </w:p>
  </w:footnote>
  <w:footnote w:id="113">
    <w:p w:rsidR="00A13282" w:rsidRDefault="00A13282" w:rsidP="00D45634">
      <w:pPr>
        <w:pStyle w:val="a5"/>
      </w:pPr>
      <w:r>
        <w:rPr>
          <w:rStyle w:val="a7"/>
        </w:rPr>
        <w:footnoteRef/>
      </w:r>
      <w:r>
        <w:t xml:space="preserve"> </w:t>
      </w:r>
      <w:r w:rsidRPr="00954813">
        <w:rPr>
          <w:rStyle w:val="11"/>
          <w:bCs/>
          <w:szCs w:val="24"/>
          <w:rtl/>
        </w:rPr>
        <w:t>כגוונא דא כו'.</w:t>
      </w:r>
      <w:r>
        <w:rPr>
          <w:rStyle w:val="23"/>
          <w:rtl/>
        </w:rPr>
        <w:t xml:space="preserve"> שעל ידו מתייחדים:</w:t>
      </w:r>
    </w:p>
  </w:footnote>
  <w:footnote w:id="114">
    <w:p w:rsidR="00A13282" w:rsidRDefault="00A13282" w:rsidP="00D45634">
      <w:pPr>
        <w:pStyle w:val="a5"/>
      </w:pPr>
      <w:r>
        <w:rPr>
          <w:rStyle w:val="a7"/>
        </w:rPr>
        <w:footnoteRef/>
      </w:r>
      <w:r>
        <w:t xml:space="preserve"> </w:t>
      </w:r>
      <w:r w:rsidRPr="00954813">
        <w:rPr>
          <w:rStyle w:val="11"/>
          <w:bCs/>
          <w:szCs w:val="24"/>
          <w:rtl/>
        </w:rPr>
        <w:t>שר הפנים.</w:t>
      </w:r>
      <w:r>
        <w:rPr>
          <w:rStyle w:val="23"/>
          <w:rtl/>
        </w:rPr>
        <w:t xml:space="preserve"> דאיהו כדוגמת הצדיק בין זו"ן:</w:t>
      </w:r>
    </w:p>
  </w:footnote>
  <w:footnote w:id="115">
    <w:p w:rsidR="00A13282" w:rsidRDefault="00A13282" w:rsidP="00D45634">
      <w:pPr>
        <w:pStyle w:val="a5"/>
      </w:pPr>
      <w:r>
        <w:rPr>
          <w:rStyle w:val="a7"/>
        </w:rPr>
        <w:footnoteRef/>
      </w:r>
      <w:r>
        <w:t xml:space="preserve"> </w:t>
      </w:r>
      <w:r w:rsidRPr="00954813">
        <w:rPr>
          <w:rStyle w:val="11"/>
          <w:bCs/>
          <w:szCs w:val="24"/>
          <w:rtl/>
        </w:rPr>
        <w:t>אז ירננו.</w:t>
      </w:r>
      <w:r>
        <w:rPr>
          <w:rStyle w:val="23"/>
          <w:rtl/>
        </w:rPr>
        <w:t xml:space="preserve"> דאז בגימטריה ח' דהן ח' אותיות דתרין שמהן הנ"ל:</w:t>
      </w:r>
    </w:p>
  </w:footnote>
  <w:footnote w:id="116">
    <w:p w:rsidR="00A13282" w:rsidRDefault="00A13282" w:rsidP="00D45634">
      <w:pPr>
        <w:pStyle w:val="a5"/>
      </w:pPr>
      <w:r>
        <w:rPr>
          <w:rStyle w:val="a7"/>
        </w:rPr>
        <w:footnoteRef/>
      </w:r>
      <w:r>
        <w:t xml:space="preserve"> </w:t>
      </w:r>
      <w:r w:rsidRPr="00954813">
        <w:rPr>
          <w:rStyle w:val="11"/>
          <w:bCs/>
          <w:szCs w:val="24"/>
          <w:rtl/>
        </w:rPr>
        <w:t>ירננו.</w:t>
      </w:r>
      <w:r>
        <w:rPr>
          <w:rStyle w:val="23"/>
          <w:rtl/>
        </w:rPr>
        <w:t xml:space="preserve"> הן קול ודיבור:</w:t>
      </w:r>
    </w:p>
  </w:footnote>
  <w:footnote w:id="117">
    <w:p w:rsidR="00A13282" w:rsidRDefault="00A13282" w:rsidP="00D45634">
      <w:pPr>
        <w:pStyle w:val="a5"/>
      </w:pPr>
      <w:r>
        <w:rPr>
          <w:rStyle w:val="a7"/>
        </w:rPr>
        <w:footnoteRef/>
      </w:r>
      <w:r>
        <w:t xml:space="preserve"> </w:t>
      </w:r>
      <w:r w:rsidRPr="00954813">
        <w:rPr>
          <w:rStyle w:val="11"/>
          <w:bCs/>
          <w:szCs w:val="24"/>
          <w:rtl/>
        </w:rPr>
        <w:t>עצי היער.</w:t>
      </w:r>
      <w:r>
        <w:rPr>
          <w:rStyle w:val="23"/>
          <w:rtl/>
        </w:rPr>
        <w:t xml:space="preserve"> שהן נקראין עץ החיים ועץ הדעת:</w:t>
      </w:r>
    </w:p>
  </w:footnote>
  <w:footnote w:id="118">
    <w:p w:rsidR="00A13282" w:rsidRDefault="00A13282" w:rsidP="00D45634">
      <w:pPr>
        <w:pStyle w:val="a5"/>
      </w:pPr>
      <w:r>
        <w:rPr>
          <w:rStyle w:val="a7"/>
        </w:rPr>
        <w:footnoteRef/>
      </w:r>
      <w:r>
        <w:t xml:space="preserve"> </w:t>
      </w:r>
      <w:r w:rsidRPr="00954813">
        <w:rPr>
          <w:rStyle w:val="11"/>
          <w:bCs/>
          <w:szCs w:val="24"/>
          <w:rtl/>
        </w:rPr>
        <w:t>ונענה מלאך.</w:t>
      </w:r>
      <w:r>
        <w:rPr>
          <w:rStyle w:val="23"/>
          <w:rtl/>
        </w:rPr>
        <w:t xml:space="preserve"> הוא מט"ט כנ"ל:</w:t>
      </w:r>
    </w:p>
  </w:footnote>
  <w:footnote w:id="119">
    <w:p w:rsidR="00A13282" w:rsidRDefault="00A13282" w:rsidP="00D45634">
      <w:pPr>
        <w:pStyle w:val="a5"/>
      </w:pPr>
      <w:r>
        <w:rPr>
          <w:rStyle w:val="a7"/>
        </w:rPr>
        <w:footnoteRef/>
      </w:r>
      <w:r>
        <w:t xml:space="preserve"> </w:t>
      </w:r>
      <w:r w:rsidRPr="00954813">
        <w:rPr>
          <w:rStyle w:val="11"/>
          <w:bCs/>
          <w:szCs w:val="24"/>
          <w:rtl/>
        </w:rPr>
        <w:t>מגו אשא משמיא.</w:t>
      </w:r>
      <w:r>
        <w:rPr>
          <w:rStyle w:val="23"/>
          <w:rtl/>
        </w:rPr>
        <w:t xml:space="preserve"> הוא זו"ן שז"א נקרא שמים ושכינה נקראת אשא:</w:t>
      </w:r>
    </w:p>
  </w:footnote>
  <w:footnote w:id="120">
    <w:p w:rsidR="00A13282" w:rsidRDefault="00A13282" w:rsidP="00D45634">
      <w:pPr>
        <w:pStyle w:val="a5"/>
      </w:pPr>
      <w:r>
        <w:rPr>
          <w:rStyle w:val="a7"/>
        </w:rPr>
        <w:footnoteRef/>
      </w:r>
      <w:r>
        <w:t xml:space="preserve"> </w:t>
      </w:r>
      <w:r w:rsidRPr="00954813">
        <w:rPr>
          <w:rStyle w:val="11"/>
          <w:bCs/>
          <w:szCs w:val="24"/>
          <w:rtl/>
        </w:rPr>
        <w:t>ואמר הן הן כו'.</w:t>
      </w:r>
      <w:r>
        <w:rPr>
          <w:rStyle w:val="23"/>
          <w:rtl/>
        </w:rPr>
        <w:t xml:space="preserve"> שאלו השני שמות הן מעשה מרכבה שנעשה מרכבה לתרוייהו כנ"ל:</w:t>
      </w:r>
    </w:p>
  </w:footnote>
  <w:footnote w:id="121">
    <w:p w:rsidR="00A13282" w:rsidRDefault="00A13282" w:rsidP="00D45634">
      <w:pPr>
        <w:pStyle w:val="a5"/>
      </w:pPr>
      <w:r>
        <w:rPr>
          <w:rStyle w:val="a7"/>
        </w:rPr>
        <w:footnoteRef/>
      </w:r>
      <w:r>
        <w:t xml:space="preserve"> </w:t>
      </w:r>
      <w:r w:rsidRPr="00954813">
        <w:rPr>
          <w:rStyle w:val="11"/>
          <w:bCs/>
          <w:szCs w:val="24"/>
          <w:rtl/>
        </w:rPr>
        <w:t>והוו מתקבצי מה"ש.</w:t>
      </w:r>
      <w:r>
        <w:rPr>
          <w:rStyle w:val="23"/>
          <w:rtl/>
        </w:rPr>
        <w:t xml:space="preserve"> דבשעת היחוד ופניהם וכנפיהם כו' כמו שאומר לקמן:</w:t>
      </w:r>
    </w:p>
  </w:footnote>
  <w:footnote w:id="122">
    <w:p w:rsidR="00A13282" w:rsidRDefault="00A13282" w:rsidP="00D45634">
      <w:pPr>
        <w:pStyle w:val="a5"/>
      </w:pPr>
      <w:r>
        <w:rPr>
          <w:rStyle w:val="a7"/>
        </w:rPr>
        <w:footnoteRef/>
      </w:r>
      <w:r>
        <w:t xml:space="preserve"> </w:t>
      </w:r>
      <w:r w:rsidRPr="00954813">
        <w:rPr>
          <w:rStyle w:val="11"/>
          <w:bCs/>
          <w:szCs w:val="24"/>
          <w:rtl/>
        </w:rPr>
        <w:t>כבמזמוטי חתן וכלה.</w:t>
      </w:r>
      <w:r>
        <w:rPr>
          <w:rStyle w:val="23"/>
          <w:rtl/>
        </w:rPr>
        <w:t xml:space="preserve"> הן יחוד תרין שמהן הנ"ל שנקראו חתן וכלה כידוע:</w:t>
      </w:r>
    </w:p>
  </w:footnote>
  <w:footnote w:id="123">
    <w:p w:rsidR="00A13282" w:rsidRDefault="00A13282" w:rsidP="00D45634">
      <w:pPr>
        <w:pStyle w:val="a5"/>
      </w:pPr>
      <w:r>
        <w:rPr>
          <w:rStyle w:val="a7"/>
        </w:rPr>
        <w:footnoteRef/>
      </w:r>
      <w:r>
        <w:t xml:space="preserve"> </w:t>
      </w:r>
      <w:r w:rsidRPr="00954813">
        <w:rPr>
          <w:rStyle w:val="11"/>
          <w:bCs/>
          <w:szCs w:val="24"/>
          <w:rtl/>
        </w:rPr>
        <w:t>דאיהו יחיד נעלם.</w:t>
      </w:r>
      <w:r>
        <w:rPr>
          <w:rStyle w:val="23"/>
          <w:rtl/>
        </w:rPr>
        <w:t xml:space="preserve"> רוצה לומר אין סוף כמו שאומר בהקדמה שניה ולית דידע בך כלל ובר מינך כו':</w:t>
      </w:r>
    </w:p>
  </w:footnote>
  <w:footnote w:id="124">
    <w:p w:rsidR="00A13282" w:rsidRDefault="00A13282" w:rsidP="00D45634">
      <w:pPr>
        <w:pStyle w:val="a5"/>
      </w:pPr>
      <w:r>
        <w:rPr>
          <w:rStyle w:val="a7"/>
        </w:rPr>
        <w:footnoteRef/>
      </w:r>
      <w:r>
        <w:t xml:space="preserve"> </w:t>
      </w:r>
      <w:r w:rsidRPr="00954813">
        <w:rPr>
          <w:rStyle w:val="11"/>
          <w:bCs/>
          <w:szCs w:val="24"/>
          <w:rtl/>
        </w:rPr>
        <w:t>צריך לקשרא ליה כו'.</w:t>
      </w:r>
      <w:r>
        <w:rPr>
          <w:rStyle w:val="23"/>
          <w:rtl/>
        </w:rPr>
        <w:t xml:space="preserve"> שצריך מקודם להניח תפילין דבשעת קריאת שמע יהיה קשור בתפילין ומייחד בקריאת שמע:</w:t>
      </w:r>
    </w:p>
  </w:footnote>
  <w:footnote w:id="125">
    <w:p w:rsidR="00A13282" w:rsidRDefault="00A13282" w:rsidP="00D45634">
      <w:pPr>
        <w:pStyle w:val="a5"/>
      </w:pPr>
      <w:r>
        <w:rPr>
          <w:rStyle w:val="a7"/>
        </w:rPr>
        <w:footnoteRef/>
      </w:r>
      <w:r>
        <w:t xml:space="preserve"> </w:t>
      </w:r>
      <w:r w:rsidRPr="00954813">
        <w:rPr>
          <w:rStyle w:val="11"/>
          <w:bCs/>
          <w:szCs w:val="24"/>
          <w:rtl/>
        </w:rPr>
        <w:t>ובמאי קשרין.</w:t>
      </w:r>
      <w:r>
        <w:rPr>
          <w:rStyle w:val="23"/>
          <w:rtl/>
        </w:rPr>
        <w:t xml:space="preserve"> רוצה לומר כיצד קושרין:</w:t>
      </w:r>
    </w:p>
  </w:footnote>
  <w:footnote w:id="126">
    <w:p w:rsidR="00A13282" w:rsidRDefault="00A13282" w:rsidP="00D45634">
      <w:pPr>
        <w:pStyle w:val="a5"/>
      </w:pPr>
      <w:r>
        <w:rPr>
          <w:rStyle w:val="a7"/>
        </w:rPr>
        <w:footnoteRef/>
      </w:r>
      <w:r>
        <w:t xml:space="preserve"> </w:t>
      </w:r>
      <w:r w:rsidRPr="00954813">
        <w:rPr>
          <w:rStyle w:val="11"/>
          <w:bCs/>
          <w:szCs w:val="24"/>
          <w:rtl/>
        </w:rPr>
        <w:t>אדנ"י, ד' בתי דתפילין.</w:t>
      </w:r>
      <w:r>
        <w:rPr>
          <w:rStyle w:val="23"/>
          <w:rtl/>
        </w:rPr>
        <w:t xml:space="preserve"> הוא בשל יד כדלקמן ח' ע"ב עיין שם. ולא נחית הכא אלא לפרושי שם הויה ואדני דאיתנייהו בתפילין ומפרש והולך דתפילין דרישא הוא דז"א, הוי' ודיד - דנוקבא. והתפילין דז"א הוא אימא עילאה וזהו תפילין של ראש ותפילין של יד אנו מניחין לקשר זו"ן:</w:t>
      </w:r>
    </w:p>
  </w:footnote>
  <w:footnote w:id="127">
    <w:p w:rsidR="00A13282" w:rsidRDefault="00A13282" w:rsidP="00D45634">
      <w:pPr>
        <w:pStyle w:val="a5"/>
      </w:pPr>
      <w:r>
        <w:rPr>
          <w:rStyle w:val="a7"/>
        </w:rPr>
        <w:footnoteRef/>
      </w:r>
      <w:r>
        <w:t xml:space="preserve"> </w:t>
      </w:r>
      <w:r w:rsidRPr="00954813">
        <w:rPr>
          <w:rStyle w:val="11"/>
          <w:bCs/>
          <w:szCs w:val="24"/>
          <w:rtl/>
        </w:rPr>
        <w:t>ודא אימא כו'.</w:t>
      </w:r>
      <w:r>
        <w:rPr>
          <w:rStyle w:val="23"/>
          <w:rtl/>
        </w:rPr>
        <w:t xml:space="preserve"> רוצה לומר השם אהי':</w:t>
      </w:r>
    </w:p>
  </w:footnote>
  <w:footnote w:id="128">
    <w:p w:rsidR="00A13282" w:rsidRDefault="00A13282" w:rsidP="00D45634">
      <w:pPr>
        <w:pStyle w:val="a5"/>
      </w:pPr>
      <w:r>
        <w:rPr>
          <w:rStyle w:val="a7"/>
        </w:rPr>
        <w:footnoteRef/>
      </w:r>
      <w:r>
        <w:t xml:space="preserve"> </w:t>
      </w:r>
      <w:r w:rsidRPr="00954813">
        <w:rPr>
          <w:rStyle w:val="11"/>
          <w:bCs/>
          <w:szCs w:val="24"/>
          <w:rtl/>
        </w:rPr>
        <w:t>וקשרין ליה ישראל כו'.</w:t>
      </w:r>
      <w:r>
        <w:rPr>
          <w:rStyle w:val="23"/>
          <w:rtl/>
        </w:rPr>
        <w:t xml:space="preserve"> רוצה לומר דתפילין דרישא אנו מניחים בבחינת ז"א שהוא מניח אבל תפילין של יד אנו מניחין בבחינת עצמנו, לקשר זו"ן:</w:t>
      </w:r>
    </w:p>
  </w:footnote>
  <w:footnote w:id="129">
    <w:p w:rsidR="00A13282" w:rsidRDefault="00A13282" w:rsidP="00D45634">
      <w:pPr>
        <w:pStyle w:val="a5"/>
      </w:pPr>
      <w:r>
        <w:rPr>
          <w:rStyle w:val="a7"/>
        </w:rPr>
        <w:footnoteRef/>
      </w:r>
      <w:r>
        <w:t xml:space="preserve"> </w:t>
      </w:r>
      <w:r w:rsidRPr="00954813">
        <w:rPr>
          <w:rStyle w:val="11"/>
          <w:bCs/>
          <w:szCs w:val="24"/>
          <w:rtl/>
        </w:rPr>
        <w:t>ברא דסבא.</w:t>
      </w:r>
      <w:r>
        <w:rPr>
          <w:rStyle w:val="23"/>
          <w:rtl/>
        </w:rPr>
        <w:t xml:space="preserve"> לפי שנאמר בני בכורי ישראל והוא בכור שנוטל שני חלקים, דידיה ודנוקבא:</w:t>
      </w:r>
    </w:p>
  </w:footnote>
  <w:footnote w:id="130">
    <w:p w:rsidR="00A13282" w:rsidRDefault="00A13282" w:rsidP="00D45634">
      <w:pPr>
        <w:pStyle w:val="a5"/>
      </w:pPr>
      <w:r>
        <w:rPr>
          <w:rStyle w:val="a7"/>
        </w:rPr>
        <w:footnoteRef/>
      </w:r>
      <w:r>
        <w:t xml:space="preserve"> </w:t>
      </w:r>
      <w:r w:rsidRPr="00954813">
        <w:rPr>
          <w:rStyle w:val="11"/>
          <w:bCs/>
          <w:szCs w:val="24"/>
          <w:rtl/>
        </w:rPr>
        <w:t>דסבא דסבין.</w:t>
      </w:r>
      <w:r>
        <w:rPr>
          <w:rStyle w:val="23"/>
          <w:rtl/>
        </w:rPr>
        <w:t xml:space="preserve"> שחג"ת נקראו סבין:</w:t>
      </w:r>
    </w:p>
  </w:footnote>
  <w:footnote w:id="131">
    <w:p w:rsidR="00A13282" w:rsidRDefault="00A13282" w:rsidP="00D45634">
      <w:pPr>
        <w:pStyle w:val="a5"/>
      </w:pPr>
      <w:r>
        <w:rPr>
          <w:rStyle w:val="a7"/>
        </w:rPr>
        <w:footnoteRef/>
      </w:r>
      <w:r>
        <w:t xml:space="preserve"> </w:t>
      </w:r>
      <w:r w:rsidRPr="00954813">
        <w:rPr>
          <w:rStyle w:val="11"/>
          <w:bCs/>
          <w:szCs w:val="24"/>
          <w:rtl/>
        </w:rPr>
        <w:t>שיר דלוים.</w:t>
      </w:r>
      <w:r>
        <w:rPr>
          <w:rStyle w:val="23"/>
          <w:rtl/>
        </w:rPr>
        <w:t xml:space="preserve"> שהוא גבורה:</w:t>
      </w:r>
    </w:p>
  </w:footnote>
  <w:footnote w:id="132">
    <w:p w:rsidR="00A13282" w:rsidRDefault="00A13282" w:rsidP="00D45634">
      <w:pPr>
        <w:pStyle w:val="a5"/>
      </w:pPr>
      <w:r>
        <w:rPr>
          <w:rStyle w:val="a7"/>
        </w:rPr>
        <w:footnoteRef/>
      </w:r>
      <w:r>
        <w:t xml:space="preserve"> </w:t>
      </w:r>
      <w:r w:rsidRPr="00954813">
        <w:rPr>
          <w:rStyle w:val="11"/>
          <w:bCs/>
          <w:szCs w:val="24"/>
          <w:rtl/>
        </w:rPr>
        <w:t>אל מימינא.</w:t>
      </w:r>
      <w:r>
        <w:rPr>
          <w:rStyle w:val="23"/>
          <w:rtl/>
        </w:rPr>
        <w:t xml:space="preserve"> חסד:</w:t>
      </w:r>
    </w:p>
  </w:footnote>
  <w:footnote w:id="133">
    <w:p w:rsidR="00A13282" w:rsidRDefault="00A13282" w:rsidP="00D45634">
      <w:pPr>
        <w:pStyle w:val="a5"/>
      </w:pPr>
      <w:r>
        <w:rPr>
          <w:rStyle w:val="a7"/>
        </w:rPr>
        <w:footnoteRef/>
      </w:r>
      <w:r>
        <w:t xml:space="preserve"> </w:t>
      </w:r>
      <w:r w:rsidRPr="00954813">
        <w:rPr>
          <w:rStyle w:val="11"/>
          <w:bCs/>
          <w:szCs w:val="24"/>
          <w:rtl/>
        </w:rPr>
        <w:t>להעשיר יצפין.</w:t>
      </w:r>
      <w:r>
        <w:rPr>
          <w:rStyle w:val="23"/>
          <w:rtl/>
        </w:rPr>
        <w:t xml:space="preserve"> שנאמר מצפון זהב יאתה והוא מסטרא דבינה:</w:t>
      </w:r>
    </w:p>
  </w:footnote>
  <w:footnote w:id="134">
    <w:p w:rsidR="00A13282" w:rsidRDefault="00A13282" w:rsidP="00D45634">
      <w:pPr>
        <w:pStyle w:val="a5"/>
      </w:pPr>
      <w:r>
        <w:rPr>
          <w:rStyle w:val="a7"/>
        </w:rPr>
        <w:footnoteRef/>
      </w:r>
      <w:r>
        <w:t xml:space="preserve"> </w:t>
      </w:r>
      <w:r w:rsidRPr="00954813">
        <w:rPr>
          <w:rStyle w:val="11"/>
          <w:bCs/>
          <w:szCs w:val="24"/>
          <w:rtl/>
        </w:rPr>
        <w:t>קשורא דתרוייהו.</w:t>
      </w:r>
      <w:r>
        <w:rPr>
          <w:rStyle w:val="23"/>
          <w:rtl/>
        </w:rPr>
        <w:t xml:space="preserve"> בתפילין דרישא:</w:t>
      </w:r>
    </w:p>
  </w:footnote>
  <w:footnote w:id="135">
    <w:p w:rsidR="00A13282" w:rsidRDefault="00A13282" w:rsidP="00D45634">
      <w:pPr>
        <w:pStyle w:val="a5"/>
      </w:pPr>
      <w:r>
        <w:rPr>
          <w:rStyle w:val="a7"/>
        </w:rPr>
        <w:footnoteRef/>
      </w:r>
      <w:r>
        <w:t xml:space="preserve"> </w:t>
      </w:r>
      <w:r w:rsidRPr="00954813">
        <w:rPr>
          <w:rStyle w:val="11"/>
          <w:bCs/>
          <w:szCs w:val="24"/>
          <w:rtl/>
        </w:rPr>
        <w:t>יחודא דתרוייהו.</w:t>
      </w:r>
      <w:r>
        <w:rPr>
          <w:rStyle w:val="23"/>
          <w:rtl/>
        </w:rPr>
        <w:t xml:space="preserve"> בקריאת שמע וזהו יב"ק ועד כאן הוא סוד קריאת שמע ועכשיו הוא מפרש סוד תפלה:</w:t>
      </w:r>
    </w:p>
  </w:footnote>
  <w:footnote w:id="136">
    <w:p w:rsidR="00A13282" w:rsidRDefault="00A13282" w:rsidP="00D45634">
      <w:pPr>
        <w:pStyle w:val="a5"/>
      </w:pPr>
      <w:r>
        <w:rPr>
          <w:rStyle w:val="a7"/>
        </w:rPr>
        <w:footnoteRef/>
      </w:r>
      <w:r>
        <w:t xml:space="preserve"> </w:t>
      </w:r>
      <w:r w:rsidRPr="00954813">
        <w:rPr>
          <w:rStyle w:val="11"/>
          <w:bCs/>
          <w:szCs w:val="24"/>
          <w:rtl/>
        </w:rPr>
        <w:t>בחשאי.</w:t>
      </w:r>
      <w:r>
        <w:rPr>
          <w:rStyle w:val="23"/>
          <w:rtl/>
        </w:rPr>
        <w:t xml:space="preserve"> דבור בלא קול:</w:t>
      </w:r>
    </w:p>
  </w:footnote>
  <w:footnote w:id="137">
    <w:p w:rsidR="00A13282" w:rsidRDefault="00A13282" w:rsidP="00D45634">
      <w:pPr>
        <w:pStyle w:val="a5"/>
      </w:pPr>
      <w:r>
        <w:rPr>
          <w:rStyle w:val="a7"/>
        </w:rPr>
        <w:footnoteRef/>
      </w:r>
      <w:r>
        <w:t xml:space="preserve"> </w:t>
      </w:r>
      <w:r w:rsidRPr="00954813">
        <w:rPr>
          <w:rStyle w:val="11"/>
          <w:bCs/>
          <w:szCs w:val="24"/>
          <w:rtl/>
        </w:rPr>
        <w:t>קדש הקדשים.</w:t>
      </w:r>
      <w:r>
        <w:rPr>
          <w:rStyle w:val="23"/>
          <w:rtl/>
        </w:rPr>
        <w:t xml:space="preserve"> יסוד דנוקבא ומלכות דידה:</w:t>
      </w:r>
    </w:p>
  </w:footnote>
  <w:footnote w:id="138">
    <w:p w:rsidR="00A13282" w:rsidRDefault="00A13282" w:rsidP="00D45634">
      <w:pPr>
        <w:pStyle w:val="a5"/>
      </w:pPr>
      <w:r>
        <w:rPr>
          <w:rStyle w:val="a7"/>
        </w:rPr>
        <w:footnoteRef/>
      </w:r>
      <w:r>
        <w:t xml:space="preserve"> </w:t>
      </w:r>
      <w:r w:rsidRPr="00954813">
        <w:rPr>
          <w:rStyle w:val="11"/>
          <w:bCs/>
          <w:szCs w:val="24"/>
          <w:rtl/>
        </w:rPr>
        <w:t>דהא ברוח כו'.</w:t>
      </w:r>
      <w:r>
        <w:rPr>
          <w:rStyle w:val="23"/>
          <w:rtl/>
        </w:rPr>
        <w:t xml:space="preserve"> אינון ג' ספירות חג"ת דילה דאינון כנפי ג' החיות, אריה שור נשר:</w:t>
      </w:r>
    </w:p>
  </w:footnote>
  <w:footnote w:id="139">
    <w:p w:rsidR="00A13282" w:rsidRDefault="00A13282" w:rsidP="00D45634">
      <w:pPr>
        <w:pStyle w:val="a5"/>
      </w:pPr>
      <w:r>
        <w:rPr>
          <w:rStyle w:val="a7"/>
        </w:rPr>
        <w:footnoteRef/>
      </w:r>
      <w:r>
        <w:t xml:space="preserve"> </w:t>
      </w:r>
      <w:r w:rsidRPr="00954813">
        <w:rPr>
          <w:rStyle w:val="11"/>
          <w:bCs/>
          <w:szCs w:val="24"/>
          <w:rtl/>
        </w:rPr>
        <w:t>אלא בקול כו'.</w:t>
      </w:r>
      <w:r>
        <w:rPr>
          <w:rStyle w:val="23"/>
          <w:rtl/>
        </w:rPr>
        <w:t xml:space="preserve"> דאיהו דמות אדם רביעאה:</w:t>
      </w:r>
    </w:p>
  </w:footnote>
  <w:footnote w:id="140">
    <w:p w:rsidR="00A13282" w:rsidRDefault="00A13282" w:rsidP="00D45634">
      <w:pPr>
        <w:pStyle w:val="a5"/>
      </w:pPr>
      <w:r>
        <w:rPr>
          <w:rStyle w:val="a7"/>
        </w:rPr>
        <w:footnoteRef/>
      </w:r>
      <w:r>
        <w:t xml:space="preserve"> </w:t>
      </w:r>
      <w:r w:rsidRPr="00954813">
        <w:rPr>
          <w:rStyle w:val="11"/>
          <w:bCs/>
          <w:szCs w:val="24"/>
          <w:rtl/>
        </w:rPr>
        <w:t>ועלייהו כו'.</w:t>
      </w:r>
      <w:r>
        <w:rPr>
          <w:rStyle w:val="23"/>
          <w:rtl/>
        </w:rPr>
        <w:t xml:space="preserve"> רוח מסטרא דתפארת, ענן מסטרא דחסד כמו שאומר בתיקוני זוהר חדש ולכך כתיב גדול, ואש מסטרא דגבורה:</w:t>
      </w:r>
    </w:p>
  </w:footnote>
  <w:footnote w:id="141">
    <w:p w:rsidR="00A13282" w:rsidRDefault="00A13282" w:rsidP="00D45634">
      <w:pPr>
        <w:pStyle w:val="a5"/>
      </w:pPr>
      <w:r>
        <w:rPr>
          <w:rStyle w:val="a7"/>
        </w:rPr>
        <w:footnoteRef/>
      </w:r>
      <w:r>
        <w:t xml:space="preserve"> </w:t>
      </w:r>
      <w:r w:rsidRPr="00954813">
        <w:rPr>
          <w:rStyle w:val="11"/>
          <w:bCs/>
          <w:szCs w:val="24"/>
          <w:rtl/>
        </w:rPr>
        <w:t>קול דממה כו'.</w:t>
      </w:r>
      <w:r>
        <w:rPr>
          <w:rStyle w:val="23"/>
          <w:rtl/>
        </w:rPr>
        <w:t xml:space="preserve"> דבה הויה מהופכת כדלקמן:</w:t>
      </w:r>
    </w:p>
  </w:footnote>
  <w:footnote w:id="142">
    <w:p w:rsidR="00A13282" w:rsidRDefault="00A13282" w:rsidP="00D45634">
      <w:pPr>
        <w:pStyle w:val="a5"/>
      </w:pPr>
      <w:r>
        <w:rPr>
          <w:rStyle w:val="a7"/>
        </w:rPr>
        <w:footnoteRef/>
      </w:r>
      <w:r>
        <w:t xml:space="preserve"> </w:t>
      </w:r>
      <w:r>
        <w:rPr>
          <w:rStyle w:val="23"/>
          <w:bCs/>
          <w:rtl/>
        </w:rPr>
        <w:t>כגון טיפה כו'.</w:t>
      </w:r>
      <w:r>
        <w:rPr>
          <w:rStyle w:val="23"/>
          <w:rtl/>
        </w:rPr>
        <w:t xml:space="preserve"> שלכך איש מזריע תחלה יולדת נקבה דאז נקבה שליט על דכורא:</w:t>
      </w:r>
    </w:p>
  </w:footnote>
  <w:footnote w:id="143">
    <w:p w:rsidR="00A13282" w:rsidRDefault="00A13282" w:rsidP="00D45634">
      <w:pPr>
        <w:pStyle w:val="a5"/>
      </w:pPr>
      <w:r>
        <w:rPr>
          <w:rStyle w:val="a7"/>
        </w:rPr>
        <w:footnoteRef/>
      </w:r>
      <w:r>
        <w:t xml:space="preserve"> </w:t>
      </w:r>
      <w:r w:rsidRPr="00954813">
        <w:rPr>
          <w:rStyle w:val="11"/>
          <w:bCs/>
          <w:szCs w:val="24"/>
          <w:rtl/>
        </w:rPr>
        <w:t>סיני.</w:t>
      </w:r>
      <w:r>
        <w:rPr>
          <w:rStyle w:val="23"/>
          <w:rtl/>
        </w:rPr>
        <w:t xml:space="preserve"> הוא רעיא מהימנא:</w:t>
      </w:r>
    </w:p>
  </w:footnote>
  <w:footnote w:id="144">
    <w:p w:rsidR="00A13282" w:rsidRDefault="00A13282" w:rsidP="00D45634">
      <w:pPr>
        <w:pStyle w:val="a5"/>
      </w:pPr>
      <w:r>
        <w:rPr>
          <w:rStyle w:val="a7"/>
        </w:rPr>
        <w:footnoteRef/>
      </w:r>
      <w:r>
        <w:t xml:space="preserve"> </w:t>
      </w:r>
      <w:r w:rsidRPr="00954813">
        <w:rPr>
          <w:rStyle w:val="11"/>
          <w:bCs/>
          <w:szCs w:val="24"/>
          <w:rtl/>
        </w:rPr>
        <w:t>כשמיה כן כו'.</w:t>
      </w:r>
      <w:r>
        <w:rPr>
          <w:rStyle w:val="23"/>
          <w:rtl/>
        </w:rPr>
        <w:t xml:space="preserve"> רוצה לומר דאף על גב דאני ה' לא שניתי כו' מכל מקום בכרסיה שם שליט שפחה ח"ו כמו שמפרש והולך לקמן בסמוך:</w:t>
      </w:r>
    </w:p>
  </w:footnote>
  <w:footnote w:id="145">
    <w:p w:rsidR="00A13282" w:rsidRDefault="00A13282" w:rsidP="00D45634">
      <w:pPr>
        <w:pStyle w:val="a5"/>
      </w:pPr>
      <w:r>
        <w:rPr>
          <w:rStyle w:val="a7"/>
        </w:rPr>
        <w:footnoteRef/>
      </w:r>
      <w:r>
        <w:t xml:space="preserve"> </w:t>
      </w:r>
      <w:r w:rsidRPr="00954813">
        <w:rPr>
          <w:rStyle w:val="11"/>
          <w:bCs/>
          <w:szCs w:val="24"/>
          <w:rtl/>
        </w:rPr>
        <w:t>כן לבושי'.</w:t>
      </w:r>
      <w:r>
        <w:rPr>
          <w:rStyle w:val="23"/>
          <w:rtl/>
        </w:rPr>
        <w:t xml:space="preserve"> ואקרון בשמיה: ארבעה בגדי לבן - הוי', ארבעה בגדי זהב </w:t>
      </w:r>
      <w:r>
        <w:rPr>
          <w:rStyle w:val="23"/>
        </w:rPr>
        <w:t>–</w:t>
      </w:r>
      <w:r>
        <w:rPr>
          <w:rStyle w:val="23"/>
          <w:rtl/>
        </w:rPr>
        <w:t xml:space="preserve"> אדני, כנ"ל:</w:t>
      </w:r>
    </w:p>
  </w:footnote>
  <w:footnote w:id="146">
    <w:p w:rsidR="00A13282" w:rsidRDefault="00A13282" w:rsidP="00D45634">
      <w:pPr>
        <w:pStyle w:val="a5"/>
      </w:pPr>
      <w:r>
        <w:rPr>
          <w:rStyle w:val="a7"/>
        </w:rPr>
        <w:footnoteRef/>
      </w:r>
      <w:r>
        <w:t xml:space="preserve"> </w:t>
      </w:r>
      <w:r w:rsidRPr="00954813">
        <w:rPr>
          <w:rStyle w:val="11"/>
          <w:bCs/>
          <w:szCs w:val="24"/>
          <w:rtl/>
        </w:rPr>
        <w:t>דתמן נשמתין כו'.</w:t>
      </w:r>
      <w:r>
        <w:rPr>
          <w:rStyle w:val="23"/>
          <w:rtl/>
        </w:rPr>
        <w:t xml:space="preserve"> ולפיכך מטי תמן פגימא מסטרא דנשמתין:</w:t>
      </w:r>
    </w:p>
  </w:footnote>
  <w:footnote w:id="147">
    <w:p w:rsidR="00A13282" w:rsidRDefault="00A13282" w:rsidP="00D45634">
      <w:pPr>
        <w:pStyle w:val="a5"/>
      </w:pPr>
      <w:r>
        <w:rPr>
          <w:rStyle w:val="a7"/>
        </w:rPr>
        <w:footnoteRef/>
      </w:r>
      <w:r>
        <w:t xml:space="preserve"> </w:t>
      </w:r>
      <w:r w:rsidRPr="00954813">
        <w:rPr>
          <w:rStyle w:val="11"/>
          <w:bCs/>
          <w:szCs w:val="24"/>
          <w:rtl/>
        </w:rPr>
        <w:t>ואסתלק שם ה'.</w:t>
      </w:r>
      <w:r>
        <w:rPr>
          <w:rStyle w:val="23"/>
          <w:rtl/>
        </w:rPr>
        <w:t xml:space="preserve"> דאיהו כלל אצילות דתמן לא מטא פגימא:</w:t>
      </w:r>
    </w:p>
  </w:footnote>
  <w:footnote w:id="148">
    <w:p w:rsidR="00A13282" w:rsidRDefault="00A13282" w:rsidP="00D45634">
      <w:pPr>
        <w:pStyle w:val="a5"/>
      </w:pPr>
      <w:r>
        <w:rPr>
          <w:rStyle w:val="a7"/>
        </w:rPr>
        <w:footnoteRef/>
      </w:r>
      <w:r>
        <w:t xml:space="preserve"> </w:t>
      </w:r>
      <w:r w:rsidRPr="00954813">
        <w:rPr>
          <w:rStyle w:val="11"/>
          <w:bCs/>
          <w:szCs w:val="24"/>
          <w:rtl/>
        </w:rPr>
        <w:t>דכלילין בשם יאקדונק"י.</w:t>
      </w:r>
      <w:r>
        <w:rPr>
          <w:rStyle w:val="23"/>
          <w:rtl/>
        </w:rPr>
        <w:t xml:space="preserve"> כנ"ל דכל עשר ספירות כלולין בשני שמות אלו וזה שאומר כשמיה באצילות כן לבושיה בבריאה:</w:t>
      </w:r>
    </w:p>
  </w:footnote>
  <w:footnote w:id="149">
    <w:p w:rsidR="00A13282" w:rsidRDefault="00A13282" w:rsidP="00D45634">
      <w:pPr>
        <w:pStyle w:val="a5"/>
      </w:pPr>
      <w:r>
        <w:rPr>
          <w:rStyle w:val="a7"/>
        </w:rPr>
        <w:footnoteRef/>
      </w:r>
      <w:r>
        <w:t xml:space="preserve"> </w:t>
      </w:r>
      <w:r w:rsidRPr="00954813">
        <w:rPr>
          <w:rStyle w:val="11"/>
          <w:bCs/>
          <w:szCs w:val="24"/>
          <w:rtl/>
        </w:rPr>
        <w:t>ועילת על כולא כו'.</w:t>
      </w:r>
      <w:r>
        <w:rPr>
          <w:rStyle w:val="23"/>
          <w:rtl/>
        </w:rPr>
        <w:t xml:space="preserve"> בכל ד' עולמות אבי"ע חייהון אלקות ולא אשתני כלל ואין פגימה שולט:</w:t>
      </w:r>
    </w:p>
  </w:footnote>
  <w:footnote w:id="150">
    <w:p w:rsidR="00A13282" w:rsidRDefault="00A13282" w:rsidP="00D45634">
      <w:pPr>
        <w:pStyle w:val="a5"/>
      </w:pPr>
      <w:r>
        <w:rPr>
          <w:rStyle w:val="a7"/>
        </w:rPr>
        <w:footnoteRef/>
      </w:r>
      <w:r>
        <w:t xml:space="preserve"> </w:t>
      </w:r>
      <w:r w:rsidRPr="00954813">
        <w:rPr>
          <w:rStyle w:val="11"/>
          <w:bCs/>
          <w:szCs w:val="24"/>
          <w:rtl/>
        </w:rPr>
        <w:t>ברשות היחיד.</w:t>
      </w:r>
      <w:r>
        <w:rPr>
          <w:rStyle w:val="23"/>
          <w:rtl/>
        </w:rPr>
        <w:t xml:space="preserve"> יחידו של עולם דהוא אין סוף דהוא אדון על כלא, עלת על כלא:</w:t>
      </w:r>
    </w:p>
  </w:footnote>
  <w:footnote w:id="151">
    <w:p w:rsidR="00A13282" w:rsidRDefault="00A13282" w:rsidP="00D45634">
      <w:pPr>
        <w:pStyle w:val="a5"/>
      </w:pPr>
      <w:r>
        <w:rPr>
          <w:rStyle w:val="a7"/>
        </w:rPr>
        <w:footnoteRef/>
      </w:r>
      <w:r>
        <w:t xml:space="preserve"> </w:t>
      </w:r>
      <w:r w:rsidRPr="00954813">
        <w:rPr>
          <w:rStyle w:val="11"/>
          <w:bCs/>
          <w:szCs w:val="24"/>
          <w:rtl/>
        </w:rPr>
        <w:t>ובג"ד אין קדוש כה'.</w:t>
      </w:r>
      <w:r>
        <w:rPr>
          <w:rStyle w:val="23"/>
          <w:rtl/>
        </w:rPr>
        <w:t xml:space="preserve"> רוצה לומר אין, קדוש דהוא עלת על כלא דמתפשט נהוריה על כה', כ' - כתר, הויה - מחכמה ולמטה כמו שמפרש והולך:</w:t>
      </w:r>
    </w:p>
  </w:footnote>
  <w:footnote w:id="152">
    <w:p w:rsidR="00A13282" w:rsidRDefault="00A13282" w:rsidP="00D45634">
      <w:pPr>
        <w:pStyle w:val="a5"/>
      </w:pPr>
      <w:r>
        <w:rPr>
          <w:rStyle w:val="a7"/>
        </w:rPr>
        <w:footnoteRef/>
      </w:r>
      <w:r>
        <w:t xml:space="preserve"> </w:t>
      </w:r>
      <w:r w:rsidRPr="00954813">
        <w:rPr>
          <w:rStyle w:val="11"/>
          <w:bCs/>
          <w:szCs w:val="24"/>
          <w:rtl/>
        </w:rPr>
        <w:t>ומאריה דכלא.</w:t>
      </w:r>
      <w:r>
        <w:rPr>
          <w:rStyle w:val="23"/>
          <w:rtl/>
        </w:rPr>
        <w:t xml:space="preserve"> אין סוף:</w:t>
      </w:r>
    </w:p>
  </w:footnote>
  <w:footnote w:id="153">
    <w:p w:rsidR="00A13282" w:rsidRDefault="00A13282" w:rsidP="00D45634">
      <w:pPr>
        <w:pStyle w:val="a5"/>
      </w:pPr>
      <w:r>
        <w:rPr>
          <w:rStyle w:val="a7"/>
        </w:rPr>
        <w:footnoteRef/>
      </w:r>
      <w:r>
        <w:t xml:space="preserve"> </w:t>
      </w:r>
      <w:r w:rsidRPr="00954813">
        <w:rPr>
          <w:rStyle w:val="11"/>
          <w:bCs/>
          <w:szCs w:val="24"/>
          <w:rtl/>
        </w:rPr>
        <w:t>באת יוד כו'.</w:t>
      </w:r>
      <w:r>
        <w:rPr>
          <w:rStyle w:val="23"/>
          <w:rtl/>
        </w:rPr>
        <w:t xml:space="preserve"> רוצה לומר בינה דהיא עלמא דאתי, נבראת מחכמה דהיא אות יו"ד. והעולם הזה דהוא עולם השפל, עולם העשיה, נברא בה' אחרונה דמלכות מקננא באופן:</w:t>
      </w:r>
    </w:p>
  </w:footnote>
  <w:footnote w:id="154">
    <w:p w:rsidR="00A13282" w:rsidRDefault="00A13282" w:rsidP="00D45634">
      <w:pPr>
        <w:pStyle w:val="a5"/>
      </w:pPr>
      <w:r>
        <w:rPr>
          <w:rStyle w:val="a7"/>
        </w:rPr>
        <w:footnoteRef/>
      </w:r>
      <w:r>
        <w:t xml:space="preserve"> </w:t>
      </w:r>
      <w:r w:rsidRPr="00954813">
        <w:rPr>
          <w:rStyle w:val="11"/>
          <w:bCs/>
          <w:szCs w:val="24"/>
          <w:rtl/>
        </w:rPr>
        <w:t>ומקורין דכל כו'.</w:t>
      </w:r>
      <w:r>
        <w:rPr>
          <w:rStyle w:val="23"/>
          <w:rtl/>
        </w:rPr>
        <w:t xml:space="preserve"> רוצה לומר מילוי ע"ב ומילוי מ"ה. מילוי ע"ב הן דיודי"ן, מרמז על שם הויה. מילוי מ"ה - דאלפי"ן, מרמז על אהיה אדני כמו שמפרש והולך. ואלו הג' שמות הן יסוד כל האצילות וכל השמות. אקיק, כולל ג' ראשונות, הויה - ו' קצוות, אדני - מלכות:</w:t>
      </w:r>
    </w:p>
  </w:footnote>
  <w:footnote w:id="155">
    <w:p w:rsidR="00A13282" w:rsidRDefault="00A13282" w:rsidP="00D45634">
      <w:pPr>
        <w:pStyle w:val="a5"/>
      </w:pPr>
      <w:r>
        <w:rPr>
          <w:rStyle w:val="a7"/>
        </w:rPr>
        <w:footnoteRef/>
      </w:r>
      <w:r>
        <w:t xml:space="preserve"> </w:t>
      </w:r>
      <w:r w:rsidRPr="00954813">
        <w:rPr>
          <w:rStyle w:val="11"/>
          <w:bCs/>
          <w:szCs w:val="24"/>
          <w:rtl/>
        </w:rPr>
        <w:t>הכא.</w:t>
      </w:r>
      <w:r>
        <w:rPr>
          <w:rStyle w:val="23"/>
          <w:rtl/>
        </w:rPr>
        <w:t xml:space="preserve"> רוצה לומר באצילות:</w:t>
      </w:r>
    </w:p>
  </w:footnote>
  <w:footnote w:id="156">
    <w:p w:rsidR="00A13282" w:rsidRDefault="00A13282" w:rsidP="00D45634">
      <w:pPr>
        <w:pStyle w:val="a5"/>
      </w:pPr>
      <w:r>
        <w:rPr>
          <w:rStyle w:val="a7"/>
        </w:rPr>
        <w:footnoteRef/>
      </w:r>
      <w:r>
        <w:t xml:space="preserve"> </w:t>
      </w:r>
      <w:r w:rsidRPr="00954813">
        <w:rPr>
          <w:rStyle w:val="11"/>
          <w:bCs/>
          <w:szCs w:val="24"/>
          <w:rtl/>
        </w:rPr>
        <w:t>ראשית דרכו.</w:t>
      </w:r>
      <w:r>
        <w:rPr>
          <w:rStyle w:val="23"/>
          <w:rtl/>
        </w:rPr>
        <w:t xml:space="preserve"> דאיהי ראשית לנבראים:</w:t>
      </w:r>
    </w:p>
  </w:footnote>
  <w:footnote w:id="157">
    <w:p w:rsidR="00A13282" w:rsidRDefault="00A13282" w:rsidP="00D45634">
      <w:pPr>
        <w:pStyle w:val="a5"/>
      </w:pPr>
      <w:r>
        <w:rPr>
          <w:rStyle w:val="a7"/>
        </w:rPr>
        <w:footnoteRef/>
      </w:r>
      <w:r>
        <w:t xml:space="preserve"> </w:t>
      </w:r>
      <w:r w:rsidRPr="00954813">
        <w:rPr>
          <w:rStyle w:val="11"/>
          <w:bCs/>
          <w:szCs w:val="24"/>
          <w:rtl/>
        </w:rPr>
        <w:t>תורת ה' תמימה.</w:t>
      </w:r>
      <w:r>
        <w:rPr>
          <w:rStyle w:val="23"/>
          <w:rtl/>
        </w:rPr>
        <w:t xml:space="preserve"> תורת ה' כנ"ל תמימה שאין שולט שם שום פגם ועלה נאמר כולך יפה רעיתי ומום כו':</w:t>
      </w:r>
    </w:p>
  </w:footnote>
  <w:footnote w:id="158">
    <w:p w:rsidR="00A13282" w:rsidRDefault="00A13282" w:rsidP="00D45634">
      <w:pPr>
        <w:pStyle w:val="a5"/>
      </w:pPr>
      <w:r>
        <w:rPr>
          <w:rStyle w:val="a7"/>
        </w:rPr>
        <w:footnoteRef/>
      </w:r>
      <w:r>
        <w:t xml:space="preserve"> </w:t>
      </w:r>
      <w:r w:rsidRPr="00954813">
        <w:rPr>
          <w:rStyle w:val="11"/>
          <w:bCs/>
          <w:szCs w:val="24"/>
          <w:rtl/>
        </w:rPr>
        <w:t>מהכא דאית ספירות כו'.</w:t>
      </w:r>
      <w:r>
        <w:rPr>
          <w:rStyle w:val="23"/>
          <w:rtl/>
        </w:rPr>
        <w:t xml:space="preserve"> רוצה לומר דהכי פרושו של הפסוק כל הנקרא בשמי, בין הנקרא בהויה, בין הנקרא באדני אבל ולכבודי, אותן דאדני שנקראו כבודי, בראתיו, הרי נשתנו:</w:t>
      </w:r>
    </w:p>
  </w:footnote>
  <w:footnote w:id="159">
    <w:p w:rsidR="00A13282" w:rsidRDefault="00A13282" w:rsidP="00D45634">
      <w:pPr>
        <w:pStyle w:val="a5"/>
      </w:pPr>
      <w:r>
        <w:rPr>
          <w:rStyle w:val="a7"/>
        </w:rPr>
        <w:footnoteRef/>
      </w:r>
      <w:r>
        <w:t xml:space="preserve"> </w:t>
      </w:r>
      <w:r w:rsidRPr="00954813">
        <w:rPr>
          <w:rStyle w:val="11"/>
          <w:bCs/>
          <w:szCs w:val="24"/>
          <w:rtl/>
        </w:rPr>
        <w:t>אית שמהן דמיין לחותמא.</w:t>
      </w:r>
      <w:r>
        <w:rPr>
          <w:rStyle w:val="23"/>
          <w:rtl/>
        </w:rPr>
        <w:t xml:space="preserve"> והן דבריאה:</w:t>
      </w:r>
    </w:p>
  </w:footnote>
  <w:footnote w:id="160">
    <w:p w:rsidR="00A13282" w:rsidRDefault="00A13282" w:rsidP="00D45634">
      <w:pPr>
        <w:pStyle w:val="a5"/>
      </w:pPr>
      <w:r>
        <w:rPr>
          <w:rStyle w:val="a7"/>
        </w:rPr>
        <w:footnoteRef/>
      </w:r>
      <w:r>
        <w:t xml:space="preserve"> </w:t>
      </w:r>
      <w:r w:rsidRPr="00954813">
        <w:rPr>
          <w:rStyle w:val="11"/>
          <w:bCs/>
          <w:szCs w:val="24"/>
          <w:rtl/>
        </w:rPr>
        <w:t>ואית שמהן דאינון כו'.</w:t>
      </w:r>
      <w:r>
        <w:rPr>
          <w:rStyle w:val="23"/>
          <w:rtl/>
        </w:rPr>
        <w:t xml:space="preserve"> והן דיצירה:</w:t>
      </w:r>
    </w:p>
  </w:footnote>
  <w:footnote w:id="161">
    <w:p w:rsidR="00A13282" w:rsidRDefault="00A13282" w:rsidP="00D45634">
      <w:pPr>
        <w:pStyle w:val="a5"/>
      </w:pPr>
      <w:r>
        <w:rPr>
          <w:rStyle w:val="a7"/>
        </w:rPr>
        <w:footnoteRef/>
      </w:r>
      <w:r>
        <w:t xml:space="preserve"> </w:t>
      </w:r>
      <w:r w:rsidRPr="00954813">
        <w:rPr>
          <w:rStyle w:val="11"/>
          <w:bCs/>
          <w:szCs w:val="24"/>
          <w:rtl/>
        </w:rPr>
        <w:t>ודמות כמראה כו'.</w:t>
      </w:r>
      <w:r>
        <w:rPr>
          <w:rStyle w:val="23"/>
          <w:rtl/>
        </w:rPr>
        <w:t xml:space="preserve"> רוצה לומר ודמות הוא רושם דבשעוה הנחתם מחותם דהוא כמראה אבל החותם הוא מראה ממש כמו שאומר לעיל לחותמא דמלכא דבהון אשתמודע כו':</w:t>
      </w:r>
    </w:p>
  </w:footnote>
  <w:footnote w:id="162">
    <w:p w:rsidR="00A13282" w:rsidRDefault="00A13282" w:rsidP="00D45634">
      <w:pPr>
        <w:pStyle w:val="a5"/>
      </w:pPr>
      <w:r>
        <w:rPr>
          <w:rStyle w:val="a7"/>
        </w:rPr>
        <w:footnoteRef/>
      </w:r>
      <w:r>
        <w:t xml:space="preserve"> </w:t>
      </w:r>
      <w:r w:rsidRPr="00954813">
        <w:rPr>
          <w:rStyle w:val="11"/>
          <w:bCs/>
          <w:szCs w:val="24"/>
          <w:rtl/>
        </w:rPr>
        <w:t>הוא מראה כו.</w:t>
      </w:r>
      <w:r>
        <w:rPr>
          <w:rStyle w:val="23"/>
          <w:rtl/>
        </w:rPr>
        <w:t xml:space="preserve"> רוצה לומר אותה שראיתי, הוא בעצמו מראה כו' דמרשימו דציורא בשעוה הבין הציורא בחותם עצמו אבל לא ראה החותם עצמו דבכלם אמר שראה אבל בכאן לא קאמר דראה אלא שהבין ואפילו הכי לא הבין רק החותם:</w:t>
      </w:r>
    </w:p>
  </w:footnote>
  <w:footnote w:id="163">
    <w:p w:rsidR="00A13282" w:rsidRDefault="00A13282" w:rsidP="00D45634">
      <w:pPr>
        <w:pStyle w:val="a5"/>
      </w:pPr>
      <w:r>
        <w:rPr>
          <w:rStyle w:val="a7"/>
        </w:rPr>
        <w:footnoteRef/>
      </w:r>
      <w:r>
        <w:t xml:space="preserve"> </w:t>
      </w:r>
      <w:r w:rsidRPr="00954813">
        <w:rPr>
          <w:rStyle w:val="11"/>
          <w:bCs/>
          <w:szCs w:val="24"/>
          <w:rtl/>
        </w:rPr>
        <w:t>אלין מראות.</w:t>
      </w:r>
      <w:r>
        <w:rPr>
          <w:rStyle w:val="23"/>
          <w:rtl/>
        </w:rPr>
        <w:t xml:space="preserve"> שנאמר ואראה מראות כו':</w:t>
      </w:r>
    </w:p>
  </w:footnote>
  <w:footnote w:id="164">
    <w:p w:rsidR="00A13282" w:rsidRDefault="00A13282" w:rsidP="00D45634">
      <w:pPr>
        <w:pStyle w:val="a5"/>
      </w:pPr>
      <w:r>
        <w:rPr>
          <w:rStyle w:val="a7"/>
        </w:rPr>
        <w:footnoteRef/>
      </w:r>
      <w:r>
        <w:t xml:space="preserve"> </w:t>
      </w:r>
      <w:r w:rsidRPr="00954813">
        <w:rPr>
          <w:rStyle w:val="11"/>
          <w:bCs/>
          <w:szCs w:val="24"/>
          <w:rtl/>
        </w:rPr>
        <w:t>דעלייהו דאתוון אתמר ודמות החיות.</w:t>
      </w:r>
      <w:r>
        <w:rPr>
          <w:rStyle w:val="23"/>
          <w:rtl/>
        </w:rPr>
        <w:t xml:space="preserve"> דאינון מרובעין:</w:t>
      </w:r>
    </w:p>
  </w:footnote>
  <w:footnote w:id="165">
    <w:p w:rsidR="00A13282" w:rsidRDefault="00A13282" w:rsidP="00D45634">
      <w:pPr>
        <w:pStyle w:val="a5"/>
      </w:pPr>
      <w:r>
        <w:rPr>
          <w:rStyle w:val="a7"/>
        </w:rPr>
        <w:footnoteRef/>
      </w:r>
      <w:r>
        <w:t xml:space="preserve"> </w:t>
      </w:r>
      <w:r w:rsidRPr="00954813">
        <w:rPr>
          <w:rStyle w:val="11"/>
          <w:bCs/>
          <w:szCs w:val="24"/>
          <w:rtl/>
        </w:rPr>
        <w:t>מראיהון כגחלי אש אלין כו'.</w:t>
      </w:r>
      <w:r>
        <w:rPr>
          <w:rStyle w:val="23"/>
          <w:rtl/>
        </w:rPr>
        <w:t xml:space="preserve"> דאינון עגולין כמו שאומר לקמן:</w:t>
      </w:r>
    </w:p>
  </w:footnote>
  <w:footnote w:id="166">
    <w:p w:rsidR="00A13282" w:rsidRDefault="00A13282" w:rsidP="00D45634">
      <w:pPr>
        <w:pStyle w:val="a5"/>
      </w:pPr>
      <w:r>
        <w:rPr>
          <w:rStyle w:val="a7"/>
        </w:rPr>
        <w:footnoteRef/>
      </w:r>
      <w:r>
        <w:t xml:space="preserve"> </w:t>
      </w:r>
      <w:r>
        <w:rPr>
          <w:rStyle w:val="23"/>
          <w:bCs/>
          <w:rtl/>
        </w:rPr>
        <w:t>ובהון והמשכילים.</w:t>
      </w:r>
      <w:r>
        <w:rPr>
          <w:rStyle w:val="23"/>
          <w:rtl/>
        </w:rPr>
        <w:t xml:space="preserve"> רוצה לומר ועל האותיות ונקודות וטעמים נאמר והמשכילים כו':</w:t>
      </w:r>
    </w:p>
  </w:footnote>
  <w:footnote w:id="167">
    <w:p w:rsidR="00A13282" w:rsidRDefault="00A13282" w:rsidP="00D45634">
      <w:pPr>
        <w:pStyle w:val="a5"/>
      </w:pPr>
      <w:r>
        <w:rPr>
          <w:rStyle w:val="a7"/>
        </w:rPr>
        <w:footnoteRef/>
      </w:r>
      <w:r>
        <w:t xml:space="preserve"> </w:t>
      </w:r>
      <w:r w:rsidRPr="00954813">
        <w:rPr>
          <w:rStyle w:val="11"/>
          <w:bCs/>
          <w:szCs w:val="24"/>
          <w:rtl/>
        </w:rPr>
        <w:t>חיון עילאין כו'.</w:t>
      </w:r>
      <w:r>
        <w:rPr>
          <w:rStyle w:val="23"/>
          <w:rtl/>
        </w:rPr>
        <w:t xml:space="preserve"> כמו שאומר סגולתא דטעמין לעילא וסגול דנקודות לתתא והכל על אות ה"א ומפיק שבתוך הה"א היא הנקודה המתהלכת בין החיות:</w:t>
      </w:r>
    </w:p>
  </w:footnote>
  <w:footnote w:id="168">
    <w:p w:rsidR="00A13282" w:rsidRDefault="00A13282" w:rsidP="00D45634">
      <w:pPr>
        <w:pStyle w:val="a5"/>
      </w:pPr>
      <w:r>
        <w:rPr>
          <w:rStyle w:val="a7"/>
        </w:rPr>
        <w:footnoteRef/>
      </w:r>
      <w:r>
        <w:t xml:space="preserve"> </w:t>
      </w:r>
      <w:r w:rsidRPr="00954813">
        <w:rPr>
          <w:rStyle w:val="11"/>
          <w:bCs/>
          <w:szCs w:val="24"/>
          <w:rtl/>
        </w:rPr>
        <w:t>דרמיזין י'י'י'.</w:t>
      </w:r>
      <w:r>
        <w:rPr>
          <w:rStyle w:val="23"/>
          <w:rtl/>
        </w:rPr>
        <w:t xml:space="preserve"> והוא סגולתא וכן לקמן:</w:t>
      </w:r>
    </w:p>
  </w:footnote>
  <w:footnote w:id="169">
    <w:p w:rsidR="00A13282" w:rsidRDefault="00A13282" w:rsidP="00D45634">
      <w:pPr>
        <w:pStyle w:val="a5"/>
      </w:pPr>
      <w:r>
        <w:rPr>
          <w:rStyle w:val="a7"/>
        </w:rPr>
        <w:footnoteRef/>
      </w:r>
      <w:r>
        <w:t xml:space="preserve"> </w:t>
      </w:r>
      <w:r w:rsidRPr="00954813">
        <w:rPr>
          <w:rStyle w:val="11"/>
          <w:bCs/>
          <w:szCs w:val="24"/>
          <w:rtl/>
        </w:rPr>
        <w:t>נקודא דאמצעיתא כו'.</w:t>
      </w:r>
      <w:r>
        <w:rPr>
          <w:rStyle w:val="23"/>
          <w:rtl/>
        </w:rPr>
        <w:t xml:space="preserve"> היא מלכות שמתחלת בסוף התפארת:</w:t>
      </w:r>
    </w:p>
  </w:footnote>
  <w:footnote w:id="170">
    <w:p w:rsidR="00A13282" w:rsidRDefault="00A13282" w:rsidP="00D45634">
      <w:pPr>
        <w:pStyle w:val="a5"/>
      </w:pPr>
      <w:r>
        <w:rPr>
          <w:rStyle w:val="a7"/>
        </w:rPr>
        <w:footnoteRef/>
      </w:r>
      <w:r>
        <w:t xml:space="preserve"> </w:t>
      </w:r>
      <w:r w:rsidRPr="00954813">
        <w:rPr>
          <w:rStyle w:val="11"/>
          <w:bCs/>
          <w:szCs w:val="24"/>
          <w:rtl/>
        </w:rPr>
        <w:t>ששמה אדם.</w:t>
      </w:r>
      <w:r>
        <w:rPr>
          <w:rStyle w:val="23"/>
          <w:rtl/>
        </w:rPr>
        <w:t xml:space="preserve"> דתלת חיוון הנ"ל אינון אריה שור נשר:</w:t>
      </w:r>
    </w:p>
  </w:footnote>
  <w:footnote w:id="171">
    <w:p w:rsidR="00A13282" w:rsidRDefault="00A13282" w:rsidP="00D45634">
      <w:pPr>
        <w:pStyle w:val="a5"/>
      </w:pPr>
      <w:r>
        <w:rPr>
          <w:rStyle w:val="a7"/>
        </w:rPr>
        <w:footnoteRef/>
      </w:r>
      <w:r>
        <w:t xml:space="preserve"> </w:t>
      </w:r>
      <w:r w:rsidRPr="00954813">
        <w:rPr>
          <w:rStyle w:val="11"/>
          <w:bCs/>
          <w:szCs w:val="24"/>
          <w:rtl/>
        </w:rPr>
        <w:t>חכמה עילאה.</w:t>
      </w:r>
      <w:r>
        <w:rPr>
          <w:rStyle w:val="23"/>
          <w:rtl/>
        </w:rPr>
        <w:t xml:space="preserve"> רוצה לומר דהיא אתנטלית מחכמה כמו שכתוב (משלי ג יט) בחכמה יסד ארץ. וחכמה נקראת דביה אותיות כ"ח מ"ה, כ"ח - כ"ח אתוון דמילוי המילוי דשם מ"ה, והשם בעצמו הוא מ"ה, גימטריה אדם:</w:t>
      </w:r>
    </w:p>
  </w:footnote>
  <w:footnote w:id="172">
    <w:p w:rsidR="00A13282" w:rsidRDefault="00A13282" w:rsidP="00D45634">
      <w:pPr>
        <w:pStyle w:val="a5"/>
      </w:pPr>
      <w:r>
        <w:rPr>
          <w:rStyle w:val="a7"/>
        </w:rPr>
        <w:footnoteRef/>
      </w:r>
      <w:r>
        <w:t xml:space="preserve"> </w:t>
      </w:r>
      <w:r w:rsidRPr="00954813">
        <w:rPr>
          <w:rStyle w:val="11"/>
          <w:bCs/>
          <w:szCs w:val="24"/>
          <w:rtl/>
        </w:rPr>
        <w:t>בחמשה לחודש כו'.</w:t>
      </w:r>
      <w:r>
        <w:rPr>
          <w:rStyle w:val="23"/>
          <w:rtl/>
        </w:rPr>
        <w:t xml:space="preserve"> שעד כאן הוא בנקודות ועכשיו הוא מדבר באות ה':</w:t>
      </w:r>
    </w:p>
  </w:footnote>
  <w:footnote w:id="173">
    <w:p w:rsidR="00A13282" w:rsidRDefault="00A13282" w:rsidP="00D45634">
      <w:pPr>
        <w:pStyle w:val="a5"/>
      </w:pPr>
      <w:r>
        <w:rPr>
          <w:rStyle w:val="a7"/>
        </w:rPr>
        <w:footnoteRef/>
      </w:r>
      <w:r>
        <w:t xml:space="preserve"> </w:t>
      </w:r>
      <w:r w:rsidRPr="00954813">
        <w:rPr>
          <w:rStyle w:val="11"/>
          <w:bCs/>
          <w:szCs w:val="24"/>
          <w:rtl/>
        </w:rPr>
        <w:t>דאיהי אלקים.</w:t>
      </w:r>
      <w:r>
        <w:rPr>
          <w:rStyle w:val="23"/>
          <w:rtl/>
        </w:rPr>
        <w:t xml:space="preserve"> דאית בה ה' אותיות:</w:t>
      </w:r>
    </w:p>
  </w:footnote>
  <w:footnote w:id="174">
    <w:p w:rsidR="00A13282" w:rsidRDefault="00A13282" w:rsidP="00D45634">
      <w:pPr>
        <w:pStyle w:val="a5"/>
      </w:pPr>
      <w:r>
        <w:rPr>
          <w:rStyle w:val="a7"/>
        </w:rPr>
        <w:footnoteRef/>
      </w:r>
      <w:r>
        <w:t xml:space="preserve"> </w:t>
      </w:r>
      <w:r w:rsidRPr="00954813">
        <w:rPr>
          <w:rStyle w:val="11"/>
          <w:bCs/>
          <w:szCs w:val="24"/>
          <w:rtl/>
        </w:rPr>
        <w:t>כנוי.</w:t>
      </w:r>
      <w:r>
        <w:rPr>
          <w:rStyle w:val="23"/>
          <w:rtl/>
        </w:rPr>
        <w:t xml:space="preserve"> בגימטריה אלקים:</w:t>
      </w:r>
    </w:p>
  </w:footnote>
  <w:footnote w:id="175">
    <w:p w:rsidR="00A13282" w:rsidRDefault="00A13282" w:rsidP="00D45634">
      <w:pPr>
        <w:pStyle w:val="a5"/>
      </w:pPr>
      <w:r>
        <w:rPr>
          <w:rStyle w:val="a7"/>
        </w:rPr>
        <w:footnoteRef/>
      </w:r>
      <w:r>
        <w:t xml:space="preserve"> </w:t>
      </w:r>
      <w:r w:rsidRPr="00954813">
        <w:rPr>
          <w:rStyle w:val="11"/>
          <w:bCs/>
          <w:szCs w:val="24"/>
          <w:rtl/>
        </w:rPr>
        <w:t>לשם ה'.</w:t>
      </w:r>
      <w:r>
        <w:rPr>
          <w:rStyle w:val="23"/>
          <w:rtl/>
        </w:rPr>
        <w:t xml:space="preserve"> דארבע חיות הנ"ל הן ד' אותיות הוי':</w:t>
      </w:r>
    </w:p>
  </w:footnote>
  <w:footnote w:id="176">
    <w:p w:rsidR="00A13282" w:rsidRDefault="00A13282" w:rsidP="00D45634">
      <w:pPr>
        <w:pStyle w:val="a5"/>
      </w:pPr>
      <w:r>
        <w:rPr>
          <w:rStyle w:val="a7"/>
        </w:rPr>
        <w:footnoteRef/>
      </w:r>
      <w:r>
        <w:t xml:space="preserve"> </w:t>
      </w:r>
      <w:r w:rsidRPr="00954813">
        <w:rPr>
          <w:rStyle w:val="11"/>
          <w:bCs/>
          <w:szCs w:val="24"/>
          <w:rtl/>
        </w:rPr>
        <w:t>ואיהי כרסיא.</w:t>
      </w:r>
      <w:r>
        <w:rPr>
          <w:rStyle w:val="23"/>
          <w:rtl/>
        </w:rPr>
        <w:t xml:space="preserve"> רוצה לומר מלכות שעכשיו מדבר בבחינה אחרת. ד' חיון עילאין הן חכמה בינה גדולה גבורה וד' חיון תתאין הן תפארת נצח הוד יסוד כמו שאומר בתיקוני זוהר חדש דף ע"ג:</w:t>
      </w:r>
    </w:p>
  </w:footnote>
  <w:footnote w:id="177">
    <w:p w:rsidR="00A13282" w:rsidRDefault="00A13282" w:rsidP="00D45634">
      <w:pPr>
        <w:pStyle w:val="a5"/>
      </w:pPr>
      <w:r>
        <w:rPr>
          <w:rStyle w:val="a7"/>
        </w:rPr>
        <w:footnoteRef/>
      </w:r>
      <w:r>
        <w:t xml:space="preserve"> </w:t>
      </w:r>
      <w:r w:rsidRPr="00954813">
        <w:rPr>
          <w:rStyle w:val="11"/>
          <w:bCs/>
          <w:szCs w:val="24"/>
          <w:rtl/>
        </w:rPr>
        <w:t>ואיהי כתר כו'.</w:t>
      </w:r>
      <w:r>
        <w:rPr>
          <w:rStyle w:val="23"/>
          <w:rtl/>
        </w:rPr>
        <w:t xml:space="preserve"> רוצה לומר שמרמז ג"כ על כתר כמו שאומר בהקדמה שניה כתר מלכות ועלה אתמר כו' עיין שם:</w:t>
      </w:r>
    </w:p>
  </w:footnote>
  <w:footnote w:id="178">
    <w:p w:rsidR="00A13282" w:rsidRDefault="00A13282" w:rsidP="00D45634">
      <w:pPr>
        <w:pStyle w:val="a5"/>
      </w:pPr>
      <w:r>
        <w:rPr>
          <w:rStyle w:val="a7"/>
        </w:rPr>
        <w:footnoteRef/>
      </w:r>
      <w:r>
        <w:t xml:space="preserve"> </w:t>
      </w:r>
      <w:r w:rsidRPr="00954813">
        <w:rPr>
          <w:rStyle w:val="11"/>
          <w:bCs/>
          <w:szCs w:val="24"/>
          <w:rtl/>
        </w:rPr>
        <w:t>ואיהי כרסיא.</w:t>
      </w:r>
      <w:r>
        <w:rPr>
          <w:rStyle w:val="23"/>
          <w:rtl/>
        </w:rPr>
        <w:t xml:space="preserve"> רוצה לומר לכך נקרא אלקים כנ"ל:</w:t>
      </w:r>
    </w:p>
  </w:footnote>
  <w:footnote w:id="179">
    <w:p w:rsidR="00A13282" w:rsidRDefault="00A13282" w:rsidP="00D45634">
      <w:pPr>
        <w:pStyle w:val="a5"/>
      </w:pPr>
      <w:r>
        <w:rPr>
          <w:rStyle w:val="a7"/>
        </w:rPr>
        <w:footnoteRef/>
      </w:r>
      <w:r>
        <w:t xml:space="preserve"> </w:t>
      </w:r>
      <w:r w:rsidRPr="00954813">
        <w:rPr>
          <w:rStyle w:val="11"/>
          <w:bCs/>
          <w:szCs w:val="24"/>
          <w:rtl/>
        </w:rPr>
        <w:t>למארי כולא.</w:t>
      </w:r>
      <w:r>
        <w:rPr>
          <w:rStyle w:val="23"/>
          <w:rtl/>
        </w:rPr>
        <w:t xml:space="preserve"> הוא אין סוף:</w:t>
      </w:r>
    </w:p>
  </w:footnote>
  <w:footnote w:id="180">
    <w:p w:rsidR="00A13282" w:rsidRDefault="00A13282" w:rsidP="00D45634">
      <w:pPr>
        <w:pStyle w:val="a5"/>
      </w:pPr>
      <w:r>
        <w:rPr>
          <w:rStyle w:val="a7"/>
        </w:rPr>
        <w:footnoteRef/>
      </w:r>
      <w:r>
        <w:t xml:space="preserve"> </w:t>
      </w:r>
      <w:r w:rsidRPr="00954813">
        <w:rPr>
          <w:rStyle w:val="11"/>
          <w:bCs/>
          <w:szCs w:val="24"/>
          <w:rtl/>
        </w:rPr>
        <w:t>תלת ספרים.</w:t>
      </w:r>
      <w:r>
        <w:rPr>
          <w:rStyle w:val="23"/>
          <w:rtl/>
        </w:rPr>
        <w:t xml:space="preserve"> חסד גבורה תפארת כמו שאומר לקמן בסמוך דאיהו נהר כו':</w:t>
      </w:r>
    </w:p>
  </w:footnote>
  <w:footnote w:id="181">
    <w:p w:rsidR="00A13282" w:rsidRDefault="00A13282" w:rsidP="00D45634">
      <w:pPr>
        <w:pStyle w:val="a5"/>
      </w:pPr>
      <w:r>
        <w:rPr>
          <w:rStyle w:val="a7"/>
        </w:rPr>
        <w:footnoteRef/>
      </w:r>
      <w:r>
        <w:t xml:space="preserve"> </w:t>
      </w:r>
      <w:r w:rsidRPr="00954813">
        <w:rPr>
          <w:rStyle w:val="11"/>
          <w:bCs/>
          <w:szCs w:val="24"/>
          <w:rtl/>
        </w:rPr>
        <w:t>וירכב כו'.</w:t>
      </w:r>
      <w:r>
        <w:rPr>
          <w:rStyle w:val="23"/>
          <w:rtl/>
        </w:rPr>
        <w:t xml:space="preserve"> דכרוב ורכב וכבר הן שוין באותיותיהן:</w:t>
      </w:r>
    </w:p>
  </w:footnote>
  <w:footnote w:id="182">
    <w:p w:rsidR="00A13282" w:rsidRDefault="00A13282" w:rsidP="00D45634">
      <w:pPr>
        <w:pStyle w:val="a5"/>
      </w:pPr>
      <w:r>
        <w:rPr>
          <w:rStyle w:val="a7"/>
        </w:rPr>
        <w:footnoteRef/>
      </w:r>
      <w:r>
        <w:t xml:space="preserve"> </w:t>
      </w:r>
      <w:r w:rsidRPr="00954813">
        <w:rPr>
          <w:rStyle w:val="11"/>
          <w:bCs/>
          <w:szCs w:val="24"/>
          <w:rtl/>
        </w:rPr>
        <w:t>וסוסי אש.</w:t>
      </w:r>
      <w:r>
        <w:rPr>
          <w:rStyle w:val="23"/>
          <w:rtl/>
        </w:rPr>
        <w:t xml:space="preserve"> כנ"ל דתקין ליה סוסי' כו':</w:t>
      </w:r>
    </w:p>
  </w:footnote>
  <w:footnote w:id="183">
    <w:p w:rsidR="00A13282" w:rsidRDefault="00A13282" w:rsidP="00D45634">
      <w:pPr>
        <w:pStyle w:val="a5"/>
      </w:pPr>
      <w:r>
        <w:rPr>
          <w:rStyle w:val="a7"/>
        </w:rPr>
        <w:footnoteRef/>
      </w:r>
      <w:r>
        <w:t xml:space="preserve"> </w:t>
      </w:r>
      <w:r w:rsidRPr="00954813">
        <w:rPr>
          <w:rStyle w:val="11"/>
          <w:bCs/>
          <w:szCs w:val="24"/>
          <w:rtl/>
        </w:rPr>
        <w:t>שיתין רבוא.</w:t>
      </w:r>
      <w:r>
        <w:rPr>
          <w:rStyle w:val="23"/>
          <w:rtl/>
        </w:rPr>
        <w:t xml:space="preserve"> מסטרא דשש קצוות:</w:t>
      </w:r>
    </w:p>
  </w:footnote>
  <w:footnote w:id="184">
    <w:p w:rsidR="00A13282" w:rsidRDefault="00A13282" w:rsidP="00D45634">
      <w:pPr>
        <w:pStyle w:val="a5"/>
      </w:pPr>
      <w:r>
        <w:rPr>
          <w:rStyle w:val="a7"/>
        </w:rPr>
        <w:footnoteRef/>
      </w:r>
      <w:r>
        <w:t xml:space="preserve"> </w:t>
      </w:r>
      <w:r w:rsidRPr="00954813">
        <w:rPr>
          <w:rStyle w:val="11"/>
          <w:bCs/>
          <w:szCs w:val="24"/>
          <w:rtl/>
        </w:rPr>
        <w:t>ה' רקיע דיומא תניינא.</w:t>
      </w:r>
      <w:r>
        <w:rPr>
          <w:rStyle w:val="23"/>
          <w:rtl/>
        </w:rPr>
        <w:t xml:space="preserve"> שנאמר ביום השני ה' פעמים רקיע וביום הראשון ה' פעמים אור:</w:t>
      </w:r>
    </w:p>
  </w:footnote>
  <w:footnote w:id="185">
    <w:p w:rsidR="00A13282" w:rsidRDefault="00A13282" w:rsidP="00D45634">
      <w:pPr>
        <w:pStyle w:val="a5"/>
      </w:pPr>
      <w:r>
        <w:rPr>
          <w:rStyle w:val="a7"/>
        </w:rPr>
        <w:footnoteRef/>
      </w:r>
      <w:r>
        <w:t xml:space="preserve"> </w:t>
      </w:r>
      <w:r w:rsidRPr="00954813">
        <w:rPr>
          <w:rStyle w:val="11"/>
          <w:bCs/>
          <w:szCs w:val="24"/>
          <w:rtl/>
        </w:rPr>
        <w:t>דבה רשימין חיון.</w:t>
      </w:r>
      <w:r>
        <w:rPr>
          <w:rStyle w:val="23"/>
          <w:rtl/>
        </w:rPr>
        <w:t xml:space="preserve"> רוצה לומר ה' תניינא דאיהי מלכות דבה אינון חיות:</w:t>
      </w:r>
    </w:p>
  </w:footnote>
  <w:footnote w:id="186">
    <w:p w:rsidR="00A13282" w:rsidRDefault="00A13282" w:rsidP="00D45634">
      <w:pPr>
        <w:pStyle w:val="a5"/>
      </w:pPr>
      <w:r>
        <w:rPr>
          <w:rStyle w:val="a7"/>
        </w:rPr>
        <w:footnoteRef/>
      </w:r>
      <w:r>
        <w:t xml:space="preserve"> </w:t>
      </w:r>
      <w:r w:rsidRPr="00954813">
        <w:rPr>
          <w:rStyle w:val="11"/>
          <w:bCs/>
          <w:szCs w:val="24"/>
          <w:rtl/>
        </w:rPr>
        <w:t>דמקוריהון יו"ד ק"י וי"ו ק"י יקו"ק.</w:t>
      </w:r>
      <w:r>
        <w:rPr>
          <w:rStyle w:val="23"/>
          <w:rtl/>
        </w:rPr>
        <w:t xml:space="preserve"> דחיות אינון יודין כנ"ל וד' חיות אינון ד' יודין דמילוי ע"ב וההיא חיה דעל כולהון רמיזא ביו"ד דהוי' פשוטה:</w:t>
      </w:r>
    </w:p>
  </w:footnote>
  <w:footnote w:id="187">
    <w:p w:rsidR="00A13282" w:rsidRDefault="00A13282" w:rsidP="00D45634">
      <w:pPr>
        <w:pStyle w:val="a5"/>
      </w:pPr>
      <w:r>
        <w:rPr>
          <w:rStyle w:val="a7"/>
        </w:rPr>
        <w:footnoteRef/>
      </w:r>
      <w:r>
        <w:t xml:space="preserve"> </w:t>
      </w:r>
      <w:r w:rsidRPr="00954813">
        <w:rPr>
          <w:rStyle w:val="11"/>
          <w:bCs/>
          <w:szCs w:val="24"/>
          <w:rtl/>
        </w:rPr>
        <w:t>חמש אור.</w:t>
      </w:r>
      <w:r>
        <w:rPr>
          <w:rStyle w:val="23"/>
          <w:rtl/>
        </w:rPr>
        <w:t xml:space="preserve"> דבהון רואין לכך נקראין מראות:</w:t>
      </w:r>
    </w:p>
  </w:footnote>
  <w:footnote w:id="188">
    <w:p w:rsidR="00A13282" w:rsidRDefault="00A13282" w:rsidP="00D45634">
      <w:pPr>
        <w:pStyle w:val="a5"/>
      </w:pPr>
      <w:r>
        <w:rPr>
          <w:rStyle w:val="a7"/>
        </w:rPr>
        <w:footnoteRef/>
      </w:r>
      <w:r>
        <w:t xml:space="preserve"> </w:t>
      </w:r>
      <w:r w:rsidRPr="00954813">
        <w:rPr>
          <w:rStyle w:val="11"/>
          <w:bCs/>
          <w:szCs w:val="24"/>
          <w:rtl/>
        </w:rPr>
        <w:t>ה' קדמאה.</w:t>
      </w:r>
      <w:r>
        <w:rPr>
          <w:rStyle w:val="23"/>
          <w:rtl/>
        </w:rPr>
        <w:t xml:space="preserve"> בינה:</w:t>
      </w:r>
    </w:p>
  </w:footnote>
  <w:footnote w:id="189">
    <w:p w:rsidR="00A13282" w:rsidRDefault="00A13282" w:rsidP="00D45634">
      <w:pPr>
        <w:pStyle w:val="a5"/>
      </w:pPr>
      <w:r>
        <w:rPr>
          <w:rStyle w:val="a7"/>
        </w:rPr>
        <w:footnoteRef/>
      </w:r>
      <w:r>
        <w:t xml:space="preserve"> </w:t>
      </w:r>
      <w:r w:rsidRPr="00954813">
        <w:rPr>
          <w:rStyle w:val="11"/>
          <w:bCs/>
          <w:szCs w:val="24"/>
          <w:rtl/>
        </w:rPr>
        <w:t>דאיהו א' כו'.</w:t>
      </w:r>
      <w:r>
        <w:rPr>
          <w:rStyle w:val="23"/>
          <w:rtl/>
        </w:rPr>
        <w:t xml:space="preserve"> סדרן צריך להיות: קמץ, צרי, חירק, חולם, שורק:</w:t>
      </w:r>
    </w:p>
  </w:footnote>
  <w:footnote w:id="190">
    <w:p w:rsidR="00A13282" w:rsidRDefault="00A13282" w:rsidP="00D45634">
      <w:pPr>
        <w:pStyle w:val="a5"/>
      </w:pPr>
      <w:r>
        <w:rPr>
          <w:rStyle w:val="a7"/>
        </w:rPr>
        <w:footnoteRef/>
      </w:r>
      <w:r>
        <w:t xml:space="preserve"> </w:t>
      </w:r>
      <w:r w:rsidRPr="00954813">
        <w:rPr>
          <w:rStyle w:val="11"/>
          <w:bCs/>
          <w:szCs w:val="24"/>
          <w:rtl/>
        </w:rPr>
        <w:t>פתוחי כו'.</w:t>
      </w:r>
      <w:r>
        <w:rPr>
          <w:rStyle w:val="23"/>
          <w:rtl/>
        </w:rPr>
        <w:t xml:space="preserve"> אף על גב דשם בשור"ק בוא"ו, תירץ רשב"י בתיקון ע' עיין שם:</w:t>
      </w:r>
    </w:p>
  </w:footnote>
  <w:footnote w:id="191">
    <w:p w:rsidR="00A13282" w:rsidRDefault="00A13282" w:rsidP="00D45634">
      <w:pPr>
        <w:pStyle w:val="a5"/>
      </w:pPr>
      <w:r>
        <w:rPr>
          <w:rStyle w:val="a7"/>
        </w:rPr>
        <w:footnoteRef/>
      </w:r>
      <w:r>
        <w:t xml:space="preserve"> </w:t>
      </w:r>
      <w:r w:rsidRPr="00954813">
        <w:rPr>
          <w:rStyle w:val="11"/>
          <w:bCs/>
          <w:szCs w:val="24"/>
          <w:rtl/>
        </w:rPr>
        <w:t>וכל חד כו'.</w:t>
      </w:r>
      <w:r>
        <w:rPr>
          <w:rStyle w:val="23"/>
          <w:rtl/>
        </w:rPr>
        <w:t xml:space="preserve"> רוצה לומר אותיות של נקודות הן א' של אור:</w:t>
      </w:r>
    </w:p>
  </w:footnote>
  <w:footnote w:id="192">
    <w:p w:rsidR="00A13282" w:rsidRDefault="00A13282" w:rsidP="00D45634">
      <w:pPr>
        <w:pStyle w:val="a5"/>
      </w:pPr>
      <w:r>
        <w:rPr>
          <w:rStyle w:val="a7"/>
        </w:rPr>
        <w:footnoteRef/>
      </w:r>
      <w:r>
        <w:t xml:space="preserve"> </w:t>
      </w:r>
      <w:r w:rsidRPr="00954813">
        <w:rPr>
          <w:rStyle w:val="11"/>
          <w:bCs/>
          <w:szCs w:val="24"/>
          <w:rtl/>
        </w:rPr>
        <w:t>אחזי אקי"ק.</w:t>
      </w:r>
      <w:r>
        <w:rPr>
          <w:rStyle w:val="23"/>
          <w:rtl/>
        </w:rPr>
        <w:t xml:space="preserve"> דאיהו בבינה:</w:t>
      </w:r>
    </w:p>
  </w:footnote>
  <w:footnote w:id="193">
    <w:p w:rsidR="00A13282" w:rsidRDefault="00A13282" w:rsidP="00D45634">
      <w:pPr>
        <w:pStyle w:val="a5"/>
      </w:pPr>
      <w:r>
        <w:rPr>
          <w:rStyle w:val="a7"/>
        </w:rPr>
        <w:footnoteRef/>
      </w:r>
      <w:r>
        <w:t xml:space="preserve"> </w:t>
      </w:r>
      <w:r w:rsidRPr="00954813">
        <w:rPr>
          <w:rStyle w:val="11"/>
          <w:bCs/>
          <w:szCs w:val="24"/>
          <w:rtl/>
        </w:rPr>
        <w:t>ונקודין אלין סלקין אלקים.</w:t>
      </w:r>
      <w:r>
        <w:rPr>
          <w:rStyle w:val="23"/>
          <w:rtl/>
        </w:rPr>
        <w:t xml:space="preserve"> דכל נקודה עשר ורקיע ו' (כמו שאומר בתיקונים):</w:t>
      </w:r>
    </w:p>
  </w:footnote>
  <w:footnote w:id="194">
    <w:p w:rsidR="00A13282" w:rsidRDefault="00A13282" w:rsidP="00D45634">
      <w:pPr>
        <w:pStyle w:val="a5"/>
      </w:pPr>
      <w:r>
        <w:rPr>
          <w:rStyle w:val="a7"/>
        </w:rPr>
        <w:footnoteRef/>
      </w:r>
      <w:r>
        <w:t xml:space="preserve"> </w:t>
      </w:r>
      <w:r w:rsidRPr="00954813">
        <w:rPr>
          <w:rStyle w:val="11"/>
          <w:bCs/>
          <w:szCs w:val="24"/>
          <w:rtl/>
        </w:rPr>
        <w:t>אלקים.</w:t>
      </w:r>
      <w:r>
        <w:rPr>
          <w:rStyle w:val="23"/>
          <w:rtl/>
        </w:rPr>
        <w:t xml:space="preserve"> שלכך אמר מראות אלקים:</w:t>
      </w:r>
    </w:p>
  </w:footnote>
  <w:footnote w:id="195">
    <w:p w:rsidR="00A13282" w:rsidRDefault="00A13282" w:rsidP="00D45634">
      <w:pPr>
        <w:pStyle w:val="a5"/>
      </w:pPr>
      <w:r>
        <w:rPr>
          <w:rStyle w:val="a7"/>
        </w:rPr>
        <w:footnoteRef/>
      </w:r>
      <w:r>
        <w:t xml:space="preserve"> </w:t>
      </w:r>
      <w:r w:rsidRPr="00954813">
        <w:rPr>
          <w:rStyle w:val="11"/>
          <w:bCs/>
          <w:szCs w:val="24"/>
          <w:rtl/>
        </w:rPr>
        <w:t>דבהון שבע נקודין.</w:t>
      </w:r>
      <w:r>
        <w:rPr>
          <w:rStyle w:val="23"/>
          <w:rtl/>
        </w:rPr>
        <w:t xml:space="preserve"> רוצה לומר אותן שהן נקודות לבד מה שאין כן בקמץ:</w:t>
      </w:r>
    </w:p>
  </w:footnote>
  <w:footnote w:id="196">
    <w:p w:rsidR="00A13282" w:rsidRDefault="00A13282" w:rsidP="00D45634">
      <w:pPr>
        <w:pStyle w:val="a5"/>
      </w:pPr>
      <w:r>
        <w:rPr>
          <w:rStyle w:val="a7"/>
        </w:rPr>
        <w:footnoteRef/>
      </w:r>
      <w:r>
        <w:t xml:space="preserve"> </w:t>
      </w:r>
      <w:r w:rsidRPr="00954813">
        <w:rPr>
          <w:rStyle w:val="11"/>
          <w:bCs/>
          <w:szCs w:val="24"/>
          <w:rtl/>
        </w:rPr>
        <w:t>תלת לעילא.</w:t>
      </w:r>
      <w:r>
        <w:rPr>
          <w:rStyle w:val="23"/>
          <w:rtl/>
        </w:rPr>
        <w:t xml:space="preserve"> רוצה לומר קודם לחולם:</w:t>
      </w:r>
    </w:p>
  </w:footnote>
  <w:footnote w:id="197">
    <w:p w:rsidR="00A13282" w:rsidRDefault="00A13282" w:rsidP="00D45634">
      <w:pPr>
        <w:pStyle w:val="a5"/>
      </w:pPr>
      <w:r>
        <w:rPr>
          <w:rStyle w:val="a7"/>
        </w:rPr>
        <w:footnoteRef/>
      </w:r>
      <w:r>
        <w:t xml:space="preserve"> </w:t>
      </w:r>
      <w:r w:rsidRPr="00954813">
        <w:rPr>
          <w:rStyle w:val="11"/>
          <w:bCs/>
          <w:szCs w:val="24"/>
          <w:rtl/>
        </w:rPr>
        <w:t>לתתא.</w:t>
      </w:r>
      <w:r>
        <w:rPr>
          <w:rStyle w:val="23"/>
          <w:rtl/>
        </w:rPr>
        <w:t xml:space="preserve"> אחר החולם:</w:t>
      </w:r>
    </w:p>
  </w:footnote>
  <w:footnote w:id="198">
    <w:p w:rsidR="00A13282" w:rsidRDefault="00A13282" w:rsidP="00D45634">
      <w:pPr>
        <w:pStyle w:val="a5"/>
      </w:pPr>
      <w:r>
        <w:rPr>
          <w:rStyle w:val="a7"/>
        </w:rPr>
        <w:footnoteRef/>
      </w:r>
      <w:r>
        <w:t xml:space="preserve"> </w:t>
      </w:r>
      <w:r w:rsidRPr="00954813">
        <w:rPr>
          <w:rStyle w:val="11"/>
          <w:bCs/>
          <w:szCs w:val="24"/>
          <w:rtl/>
        </w:rPr>
        <w:t>דאתמר ביה ויתן כו'.</w:t>
      </w:r>
      <w:r>
        <w:rPr>
          <w:rStyle w:val="23"/>
          <w:rtl/>
        </w:rPr>
        <w:t xml:space="preserve"> שכללן בנקודה אחת שהוא הניצוץ של הקמץ וקבען ברקיע שהוא הפתח של הקמץ:</w:t>
      </w:r>
    </w:p>
  </w:footnote>
  <w:footnote w:id="199">
    <w:p w:rsidR="00A13282" w:rsidRDefault="00A13282" w:rsidP="00D45634">
      <w:pPr>
        <w:pStyle w:val="a5"/>
      </w:pPr>
      <w:r>
        <w:rPr>
          <w:rStyle w:val="a7"/>
        </w:rPr>
        <w:footnoteRef/>
      </w:r>
      <w:r>
        <w:t xml:space="preserve"> </w:t>
      </w:r>
      <w:r w:rsidRPr="00954813">
        <w:rPr>
          <w:rStyle w:val="11"/>
          <w:bCs/>
          <w:szCs w:val="24"/>
          <w:rtl/>
        </w:rPr>
        <w:t>ואיהו בצורת.</w:t>
      </w:r>
      <w:r>
        <w:rPr>
          <w:rStyle w:val="23"/>
          <w:rtl/>
        </w:rPr>
        <w:t xml:space="preserve"> רוצה לומר החמה:</w:t>
      </w:r>
    </w:p>
  </w:footnote>
  <w:footnote w:id="200">
    <w:p w:rsidR="00A13282" w:rsidRDefault="00A13282" w:rsidP="00D45634">
      <w:pPr>
        <w:pStyle w:val="a5"/>
      </w:pPr>
      <w:r>
        <w:rPr>
          <w:rStyle w:val="a7"/>
        </w:rPr>
        <w:footnoteRef/>
      </w:r>
      <w:r>
        <w:t xml:space="preserve"> </w:t>
      </w:r>
      <w:r w:rsidRPr="00954813">
        <w:rPr>
          <w:rStyle w:val="11"/>
          <w:bCs/>
          <w:szCs w:val="24"/>
          <w:rtl/>
        </w:rPr>
        <w:t>ד"א והמשכילים אינון נקודי.</w:t>
      </w:r>
      <w:r>
        <w:rPr>
          <w:rStyle w:val="23"/>
          <w:rtl/>
        </w:rPr>
        <w:t xml:space="preserve"> דלעיל דריש והמשכילים על אותיות:</w:t>
      </w:r>
    </w:p>
  </w:footnote>
  <w:footnote w:id="201">
    <w:p w:rsidR="00A13282" w:rsidRDefault="00A13282" w:rsidP="00D45634">
      <w:pPr>
        <w:pStyle w:val="a5"/>
      </w:pPr>
      <w:r>
        <w:rPr>
          <w:rStyle w:val="a7"/>
        </w:rPr>
        <w:footnoteRef/>
      </w:r>
      <w:r>
        <w:t xml:space="preserve"> </w:t>
      </w:r>
      <w:r w:rsidRPr="00954813">
        <w:rPr>
          <w:rStyle w:val="11"/>
          <w:bCs/>
          <w:szCs w:val="24"/>
          <w:rtl/>
        </w:rPr>
        <w:t>נקודין עגולין, אתוון מרובעין.</w:t>
      </w:r>
      <w:r>
        <w:rPr>
          <w:rStyle w:val="23"/>
          <w:rtl/>
        </w:rPr>
        <w:t xml:space="preserve"> כמו שמפרש והולך דחיות אינון מרובעין, וארבעה פנים כו' וגלגלי דכורסיא אינון עגולין וגלגלי הכסא עם הכסא הן נשמות החיות דאינון לבושין לכסא וכן הנקודין לאותיות וכן שם מ"ה לשם הוי':</w:t>
      </w:r>
    </w:p>
  </w:footnote>
  <w:footnote w:id="202">
    <w:p w:rsidR="00A13282" w:rsidRDefault="00A13282" w:rsidP="00D45634">
      <w:pPr>
        <w:pStyle w:val="a5"/>
      </w:pPr>
      <w:r>
        <w:rPr>
          <w:rStyle w:val="a7"/>
        </w:rPr>
        <w:footnoteRef/>
      </w:r>
      <w:r>
        <w:t xml:space="preserve"> </w:t>
      </w:r>
      <w:r w:rsidRPr="00954813">
        <w:rPr>
          <w:rStyle w:val="11"/>
          <w:bCs/>
          <w:szCs w:val="24"/>
          <w:rtl/>
        </w:rPr>
        <w:t>מראות דאיתגליין לך.</w:t>
      </w:r>
      <w:r>
        <w:rPr>
          <w:rStyle w:val="23"/>
          <w:rtl/>
        </w:rPr>
        <w:t xml:space="preserve"> הן ט' מראות מן וממעל לרקיע עד סוף הפרשה נאמר שם ט' פעמים מראה ועשירית, ואראה ואפול וכו' דלא יכיל להסתכל כמו שאומר לקמן:</w:t>
      </w:r>
    </w:p>
  </w:footnote>
  <w:footnote w:id="203">
    <w:p w:rsidR="00A13282" w:rsidRDefault="00A13282" w:rsidP="00D45634">
      <w:pPr>
        <w:pStyle w:val="a5"/>
      </w:pPr>
      <w:r>
        <w:rPr>
          <w:rStyle w:val="a7"/>
        </w:rPr>
        <w:footnoteRef/>
      </w:r>
      <w:r>
        <w:t xml:space="preserve"> </w:t>
      </w:r>
      <w:r w:rsidRPr="00954813">
        <w:rPr>
          <w:rStyle w:val="11"/>
          <w:bCs/>
          <w:szCs w:val="24"/>
          <w:rtl/>
        </w:rPr>
        <w:t>באיתגליי' ציורין.</w:t>
      </w:r>
      <w:r>
        <w:rPr>
          <w:rStyle w:val="23"/>
          <w:rtl/>
        </w:rPr>
        <w:t xml:space="preserve"> רוצה לומר ספירין דבריאה דאיתגלייה ליה מתוך השעוה אף על גב שלא ראה החותם:</w:t>
      </w:r>
    </w:p>
  </w:footnote>
  <w:footnote w:id="204">
    <w:p w:rsidR="00A13282" w:rsidRDefault="00A13282" w:rsidP="00D45634">
      <w:pPr>
        <w:pStyle w:val="a5"/>
      </w:pPr>
      <w:r>
        <w:rPr>
          <w:rStyle w:val="a7"/>
        </w:rPr>
        <w:footnoteRef/>
      </w:r>
      <w:r>
        <w:t xml:space="preserve"> </w:t>
      </w:r>
      <w:r w:rsidRPr="00954813">
        <w:rPr>
          <w:rStyle w:val="11"/>
          <w:bCs/>
          <w:szCs w:val="24"/>
          <w:rtl/>
        </w:rPr>
        <w:t>אבל בסתימו כו'.</w:t>
      </w:r>
      <w:r>
        <w:rPr>
          <w:rStyle w:val="23"/>
          <w:rtl/>
        </w:rPr>
        <w:t xml:space="preserve"> רוצה לומר באצילות:</w:t>
      </w:r>
    </w:p>
  </w:footnote>
  <w:footnote w:id="205">
    <w:p w:rsidR="00A13282" w:rsidRDefault="00A13282" w:rsidP="00D45634">
      <w:pPr>
        <w:pStyle w:val="a5"/>
      </w:pPr>
      <w:r>
        <w:rPr>
          <w:rStyle w:val="a7"/>
        </w:rPr>
        <w:footnoteRef/>
      </w:r>
      <w:r>
        <w:t xml:space="preserve"> </w:t>
      </w:r>
      <w:r w:rsidRPr="00954813">
        <w:rPr>
          <w:rStyle w:val="11"/>
          <w:bCs/>
          <w:szCs w:val="24"/>
          <w:rtl/>
        </w:rPr>
        <w:t>ואפילו מכל דיוקנין דאחזי לנביאי.</w:t>
      </w:r>
      <w:r>
        <w:rPr>
          <w:rStyle w:val="23"/>
          <w:rtl/>
        </w:rPr>
        <w:t xml:space="preserve"> רוצה לומר אפילו אותו דיוקן באצילות שהבין בסתימו דעיינין מתוך השעוה, אין לומר באין סוף כלל:</w:t>
      </w:r>
    </w:p>
  </w:footnote>
  <w:footnote w:id="206">
    <w:p w:rsidR="00A13282" w:rsidRDefault="00A13282" w:rsidP="00D45634">
      <w:pPr>
        <w:pStyle w:val="a5"/>
      </w:pPr>
      <w:r>
        <w:rPr>
          <w:rStyle w:val="a7"/>
        </w:rPr>
        <w:footnoteRef/>
      </w:r>
      <w:r>
        <w:t xml:space="preserve"> </w:t>
      </w:r>
      <w:r w:rsidRPr="00954813">
        <w:rPr>
          <w:rStyle w:val="11"/>
          <w:bCs/>
          <w:szCs w:val="24"/>
          <w:rtl/>
        </w:rPr>
        <w:t>צורת דיוקין דכלילא מכמה נהורין.</w:t>
      </w:r>
      <w:r>
        <w:rPr>
          <w:rStyle w:val="23"/>
          <w:rtl/>
        </w:rPr>
        <w:t xml:space="preserve"> קאי אדלעיל דקאמר באתגליא ציורין וקאמר שראה דיוקן אחד שכולל כל הט' מראות כמו שאומר לקמן שראה מתוך מט"ט דאיהו כליל כל המראות:</w:t>
      </w:r>
    </w:p>
  </w:footnote>
  <w:footnote w:id="207">
    <w:p w:rsidR="00A13282" w:rsidRDefault="00A13282" w:rsidP="00D45634">
      <w:pPr>
        <w:pStyle w:val="a5"/>
      </w:pPr>
      <w:r>
        <w:rPr>
          <w:rStyle w:val="a7"/>
        </w:rPr>
        <w:footnoteRef/>
      </w:r>
      <w:r>
        <w:t xml:space="preserve"> </w:t>
      </w:r>
      <w:r w:rsidRPr="00954813">
        <w:rPr>
          <w:rStyle w:val="11"/>
          <w:bCs/>
          <w:szCs w:val="24"/>
          <w:rtl/>
        </w:rPr>
        <w:t>דא אבן ספיר דמות כסא איהו לעילא כו'.</w:t>
      </w:r>
      <w:r>
        <w:rPr>
          <w:rStyle w:val="23"/>
          <w:rtl/>
        </w:rPr>
        <w:t xml:space="preserve"> דאבן היא ניצוץ, יו"ד ורקיע הוא ו' כנ"ל והאבן הוא למעלה מן רקיע אם כן הוא כזה   :</w:t>
      </w:r>
    </w:p>
  </w:footnote>
  <w:footnote w:id="208">
    <w:p w:rsidR="00A13282" w:rsidRDefault="00A13282" w:rsidP="00D45634">
      <w:pPr>
        <w:pStyle w:val="a5"/>
      </w:pPr>
      <w:r>
        <w:rPr>
          <w:rStyle w:val="a7"/>
        </w:rPr>
        <w:footnoteRef/>
      </w:r>
      <w:r>
        <w:t xml:space="preserve"> </w:t>
      </w:r>
      <w:r w:rsidRPr="00954813">
        <w:rPr>
          <w:rStyle w:val="11"/>
          <w:bCs/>
          <w:szCs w:val="24"/>
          <w:rtl/>
        </w:rPr>
        <w:t>ותחת רגליו כו'.</w:t>
      </w:r>
      <w:r>
        <w:rPr>
          <w:rStyle w:val="23"/>
          <w:rtl/>
        </w:rPr>
        <w:t xml:space="preserve"> אף על גב דאינו כתוב כאן, משום דכבר כתוב בתורה:</w:t>
      </w:r>
    </w:p>
  </w:footnote>
  <w:footnote w:id="209">
    <w:p w:rsidR="00A13282" w:rsidRDefault="00A13282" w:rsidP="00D45634">
      <w:pPr>
        <w:pStyle w:val="a5"/>
      </w:pPr>
      <w:r>
        <w:rPr>
          <w:rStyle w:val="a7"/>
        </w:rPr>
        <w:footnoteRef/>
      </w:r>
      <w:r>
        <w:t xml:space="preserve"> </w:t>
      </w:r>
      <w:r w:rsidRPr="00954813">
        <w:rPr>
          <w:rStyle w:val="11"/>
          <w:bCs/>
          <w:szCs w:val="24"/>
          <w:rtl/>
        </w:rPr>
        <w:t>איהי תחות ו"ה.</w:t>
      </w:r>
      <w:r>
        <w:rPr>
          <w:rStyle w:val="23"/>
          <w:rtl/>
        </w:rPr>
        <w:t xml:space="preserve"> שה' אחרונה שבשם היא נוקבא דז"א אבל מלכות הפרטי של עשר ספירות שהיא השכינה היא תחתם והיא שם אדני. דכתר ומלכות, זה - שרש השם, וזה - כלול מכל השם:</w:t>
      </w:r>
    </w:p>
  </w:footnote>
  <w:footnote w:id="210">
    <w:p w:rsidR="00A13282" w:rsidRDefault="00A13282" w:rsidP="00D45634">
      <w:pPr>
        <w:pStyle w:val="a5"/>
      </w:pPr>
      <w:r>
        <w:rPr>
          <w:rStyle w:val="a7"/>
        </w:rPr>
        <w:footnoteRef/>
      </w:r>
      <w:r>
        <w:t xml:space="preserve"> </w:t>
      </w:r>
      <w:r w:rsidRPr="00954813">
        <w:rPr>
          <w:rStyle w:val="11"/>
          <w:bCs/>
          <w:szCs w:val="24"/>
          <w:rtl/>
        </w:rPr>
        <w:t>ועוד רקיע דא כו'.</w:t>
      </w:r>
      <w:r>
        <w:rPr>
          <w:rStyle w:val="23"/>
          <w:rtl/>
        </w:rPr>
        <w:t xml:space="preserve"> רוצה לומר האיך כולם מרומזים בא' ואמר דעמודא דאמצעיתא כליל כל השם הויה, בין י"ה דחו"ב, בין ו"ה. והוא רקיע שבתוך הא' כמו שמפרש והולך וכתר הוא הנקודה שעל הרקיע של הא' ומלכות הוא נקודה שתחתיו כנ"ל:</w:t>
      </w:r>
    </w:p>
  </w:footnote>
  <w:footnote w:id="211">
    <w:p w:rsidR="00A13282" w:rsidRDefault="00A13282" w:rsidP="00D45634">
      <w:pPr>
        <w:pStyle w:val="a5"/>
      </w:pPr>
      <w:r>
        <w:rPr>
          <w:rStyle w:val="a7"/>
        </w:rPr>
        <w:footnoteRef/>
      </w:r>
      <w:r>
        <w:t xml:space="preserve"> </w:t>
      </w:r>
      <w:r w:rsidRPr="00954813">
        <w:rPr>
          <w:rStyle w:val="11"/>
          <w:bCs/>
          <w:szCs w:val="24"/>
          <w:rtl/>
        </w:rPr>
        <w:t>דכליל שם כו'.</w:t>
      </w:r>
      <w:r>
        <w:rPr>
          <w:rStyle w:val="23"/>
          <w:rtl/>
        </w:rPr>
        <w:t xml:space="preserve"> כידוע דירית לאו"א ונוקבא כליל בו:</w:t>
      </w:r>
    </w:p>
  </w:footnote>
  <w:footnote w:id="212">
    <w:p w:rsidR="00A13282" w:rsidRDefault="00A13282" w:rsidP="00D45634">
      <w:pPr>
        <w:pStyle w:val="a5"/>
      </w:pPr>
      <w:r>
        <w:rPr>
          <w:rStyle w:val="a7"/>
        </w:rPr>
        <w:footnoteRef/>
      </w:r>
      <w:r>
        <w:t xml:space="preserve"> </w:t>
      </w:r>
      <w:r w:rsidRPr="00954813">
        <w:rPr>
          <w:rStyle w:val="11"/>
          <w:bCs/>
          <w:szCs w:val="24"/>
          <w:rtl/>
        </w:rPr>
        <w:t>ואיהו כליל כו'.</w:t>
      </w:r>
      <w:r>
        <w:rPr>
          <w:rStyle w:val="23"/>
          <w:rtl/>
        </w:rPr>
        <w:t xml:space="preserve"> רוצה לומר לכך הוא רקיע דהוא ו' כנ"ל:</w:t>
      </w:r>
    </w:p>
  </w:footnote>
  <w:footnote w:id="213">
    <w:p w:rsidR="00A13282" w:rsidRDefault="00A13282" w:rsidP="00D45634">
      <w:pPr>
        <w:pStyle w:val="a5"/>
      </w:pPr>
      <w:r>
        <w:rPr>
          <w:rStyle w:val="a7"/>
        </w:rPr>
        <w:footnoteRef/>
      </w:r>
      <w:r>
        <w:t xml:space="preserve"> </w:t>
      </w:r>
      <w:r w:rsidRPr="00954813">
        <w:rPr>
          <w:rStyle w:val="11"/>
          <w:bCs/>
          <w:szCs w:val="24"/>
          <w:rtl/>
        </w:rPr>
        <w:t>דעליה אתמר כו'.</w:t>
      </w:r>
      <w:r>
        <w:rPr>
          <w:rStyle w:val="23"/>
          <w:rtl/>
        </w:rPr>
        <w:t xml:space="preserve"> מביא ראיה דהוא נקרא רקיע דכתיב נטוי כו' וכתיב נוטה שמים כו' ואיהו נקרא שמים, שמע מינה דהאי נטוי קאי עליו. והענין הוא דחיות קבועין במלכות כנ"ל ואיהו נטוי על ראשיהם:</w:t>
      </w:r>
    </w:p>
  </w:footnote>
  <w:footnote w:id="214">
    <w:p w:rsidR="00A13282" w:rsidRDefault="00A13282" w:rsidP="00D45634">
      <w:pPr>
        <w:pStyle w:val="a5"/>
      </w:pPr>
      <w:r>
        <w:rPr>
          <w:rStyle w:val="a7"/>
        </w:rPr>
        <w:footnoteRef/>
      </w:r>
      <w:r>
        <w:t xml:space="preserve"> </w:t>
      </w:r>
      <w:r w:rsidRPr="00954813">
        <w:rPr>
          <w:rStyle w:val="11"/>
          <w:bCs/>
          <w:szCs w:val="24"/>
          <w:rtl/>
        </w:rPr>
        <w:t>כגוונא דא כו'.</w:t>
      </w:r>
      <w:r>
        <w:rPr>
          <w:rStyle w:val="23"/>
          <w:rtl/>
        </w:rPr>
        <w:t xml:space="preserve"> רוצה לומר הו' שבאמצע הא' הוא פרוס כיריעה והוא ראיה דהוא רקיע שבאמצע הא':</w:t>
      </w:r>
    </w:p>
  </w:footnote>
  <w:footnote w:id="215">
    <w:p w:rsidR="00A13282" w:rsidRDefault="00A13282" w:rsidP="00D45634">
      <w:pPr>
        <w:pStyle w:val="a5"/>
      </w:pPr>
      <w:r>
        <w:rPr>
          <w:rStyle w:val="a7"/>
        </w:rPr>
        <w:footnoteRef/>
      </w:r>
      <w:r>
        <w:t xml:space="preserve"> </w:t>
      </w:r>
      <w:r w:rsidRPr="00954813">
        <w:rPr>
          <w:rStyle w:val="11"/>
          <w:bCs/>
          <w:szCs w:val="24"/>
          <w:rtl/>
        </w:rPr>
        <w:t>נוטה שמים לבדי.</w:t>
      </w:r>
      <w:r>
        <w:rPr>
          <w:rStyle w:val="23"/>
          <w:rtl/>
        </w:rPr>
        <w:t xml:space="preserve"> הוא עוד ראיה דנוטה קאי עליו:</w:t>
      </w:r>
    </w:p>
  </w:footnote>
  <w:footnote w:id="216">
    <w:p w:rsidR="00A13282" w:rsidRDefault="00A13282" w:rsidP="00D45634">
      <w:pPr>
        <w:pStyle w:val="a5"/>
      </w:pPr>
      <w:r>
        <w:rPr>
          <w:rStyle w:val="a7"/>
        </w:rPr>
        <w:footnoteRef/>
      </w:r>
      <w:r>
        <w:t xml:space="preserve"> </w:t>
      </w:r>
      <w:r w:rsidRPr="00954813">
        <w:rPr>
          <w:rStyle w:val="11"/>
          <w:bCs/>
          <w:szCs w:val="24"/>
          <w:rtl/>
        </w:rPr>
        <w:t>מאן כו'.</w:t>
      </w:r>
      <w:r>
        <w:rPr>
          <w:rStyle w:val="23"/>
          <w:rtl/>
        </w:rPr>
        <w:t xml:space="preserve"> מפרש המקרא וג"כ חיזק לדבריו הראשונים ורוצה לומר הואיל והוא כולל כל האצילות, דאף כתר נכלל בי"ה, בחולם, ומלכות בו"ה, בחירק הרי כולם נכללין בו:</w:t>
      </w:r>
    </w:p>
  </w:footnote>
  <w:footnote w:id="217">
    <w:p w:rsidR="00A13282" w:rsidRDefault="00A13282" w:rsidP="00D45634">
      <w:pPr>
        <w:pStyle w:val="a5"/>
      </w:pPr>
      <w:r>
        <w:rPr>
          <w:rStyle w:val="a7"/>
        </w:rPr>
        <w:footnoteRef/>
      </w:r>
      <w:r>
        <w:t xml:space="preserve"> </w:t>
      </w:r>
      <w:r w:rsidRPr="00954813">
        <w:rPr>
          <w:rStyle w:val="11"/>
          <w:bCs/>
          <w:szCs w:val="24"/>
          <w:rtl/>
        </w:rPr>
        <w:t>מאן נטה ליה, עלת כו'.</w:t>
      </w:r>
      <w:r>
        <w:rPr>
          <w:rStyle w:val="23"/>
          <w:rtl/>
        </w:rPr>
        <w:t xml:space="preserve"> וכל זה המראה הוא א' ולקמן מפרש באיזה ספירה רומז הא':</w:t>
      </w:r>
    </w:p>
  </w:footnote>
  <w:footnote w:id="218">
    <w:p w:rsidR="00A13282" w:rsidRDefault="00A13282" w:rsidP="00D45634">
      <w:pPr>
        <w:pStyle w:val="a5"/>
      </w:pPr>
      <w:r>
        <w:rPr>
          <w:rStyle w:val="a7"/>
        </w:rPr>
        <w:footnoteRef/>
      </w:r>
      <w:r>
        <w:t xml:space="preserve"> </w:t>
      </w:r>
      <w:r w:rsidRPr="00954813">
        <w:rPr>
          <w:rStyle w:val="11"/>
          <w:bCs/>
          <w:szCs w:val="24"/>
          <w:rtl/>
        </w:rPr>
        <w:t>תניינא כו'.</w:t>
      </w:r>
      <w:r>
        <w:rPr>
          <w:rStyle w:val="23"/>
          <w:rtl/>
        </w:rPr>
        <w:t xml:space="preserve"> דכל שנאמר מראה הוא מראה בפני עצמו כמו שמפרש והולך:</w:t>
      </w:r>
    </w:p>
  </w:footnote>
  <w:footnote w:id="219">
    <w:p w:rsidR="00A13282" w:rsidRDefault="00A13282" w:rsidP="00D45634">
      <w:pPr>
        <w:pStyle w:val="a5"/>
      </w:pPr>
      <w:r>
        <w:rPr>
          <w:rStyle w:val="a7"/>
        </w:rPr>
        <w:footnoteRef/>
      </w:r>
      <w:r>
        <w:t xml:space="preserve"> </w:t>
      </w:r>
      <w:r w:rsidRPr="00954813">
        <w:rPr>
          <w:rStyle w:val="11"/>
          <w:bCs/>
          <w:szCs w:val="24"/>
          <w:rtl/>
        </w:rPr>
        <w:t>דא איהו יו"ד כו'.</w:t>
      </w:r>
      <w:r>
        <w:rPr>
          <w:rStyle w:val="23"/>
          <w:rtl/>
        </w:rPr>
        <w:t xml:space="preserve"> גימטריא אד"ם:</w:t>
      </w:r>
    </w:p>
  </w:footnote>
  <w:footnote w:id="220">
    <w:p w:rsidR="00A13282" w:rsidRDefault="00A13282" w:rsidP="00D45634">
      <w:pPr>
        <w:pStyle w:val="a5"/>
      </w:pPr>
      <w:r>
        <w:rPr>
          <w:rStyle w:val="a7"/>
        </w:rPr>
        <w:footnoteRef/>
      </w:r>
      <w:r>
        <w:t xml:space="preserve"> </w:t>
      </w:r>
      <w:r w:rsidRPr="00954813">
        <w:rPr>
          <w:rStyle w:val="11"/>
          <w:bCs/>
          <w:szCs w:val="24"/>
          <w:rtl/>
        </w:rPr>
        <w:t>כליל תשע כו'.</w:t>
      </w:r>
      <w:r>
        <w:rPr>
          <w:rStyle w:val="23"/>
          <w:rtl/>
        </w:rPr>
        <w:t xml:space="preserve"> כמו שאומר להלן אלין אינון נקודי כו' דנהרין בהון כו':</w:t>
      </w:r>
    </w:p>
  </w:footnote>
  <w:footnote w:id="221">
    <w:p w:rsidR="00A13282" w:rsidRDefault="00A13282" w:rsidP="00D45634">
      <w:pPr>
        <w:pStyle w:val="a5"/>
      </w:pPr>
      <w:r>
        <w:rPr>
          <w:rStyle w:val="a7"/>
        </w:rPr>
        <w:footnoteRef/>
      </w:r>
      <w:r>
        <w:t xml:space="preserve"> </w:t>
      </w:r>
      <w:r w:rsidRPr="00954813">
        <w:rPr>
          <w:rStyle w:val="11"/>
          <w:bCs/>
          <w:szCs w:val="24"/>
          <w:rtl/>
        </w:rPr>
        <w:t>וכלא א'.</w:t>
      </w:r>
      <w:r>
        <w:rPr>
          <w:rStyle w:val="23"/>
          <w:rtl/>
        </w:rPr>
        <w:t xml:space="preserve"> רוצה לומר דכולן נכללין בא' שבמילוי הוא"ו שהוא תפארת דז"א:</w:t>
      </w:r>
    </w:p>
  </w:footnote>
  <w:footnote w:id="222">
    <w:p w:rsidR="00A13282" w:rsidRDefault="00A13282" w:rsidP="00D45634">
      <w:pPr>
        <w:pStyle w:val="a5"/>
      </w:pPr>
      <w:r>
        <w:rPr>
          <w:rStyle w:val="a7"/>
        </w:rPr>
        <w:footnoteRef/>
      </w:r>
      <w:r>
        <w:t xml:space="preserve"> </w:t>
      </w:r>
      <w:r w:rsidRPr="00954813">
        <w:rPr>
          <w:rStyle w:val="11"/>
          <w:bCs/>
          <w:szCs w:val="24"/>
          <w:rtl/>
        </w:rPr>
        <w:t>דלית אדם בלא א'.</w:t>
      </w:r>
      <w:r>
        <w:rPr>
          <w:rStyle w:val="23"/>
          <w:rtl/>
        </w:rPr>
        <w:t xml:space="preserve"> כי תחילתו של השם הוא ו"ו בלא א' כי נעשה מאחוריים דאהי' שהוא גימטריא דם ואח"כ נכנס בו א' דאהי' שהוא כלילת הפנים דאהי', בתוך מילוי הוא"ו ונעשה אדם וכולא ע"י האלף שממנו נעשה אדם אבל תחלתו דם לבד הרי הכל נכלל בא':</w:t>
      </w:r>
    </w:p>
  </w:footnote>
  <w:footnote w:id="223">
    <w:p w:rsidR="00A13282" w:rsidRDefault="00A13282" w:rsidP="00D45634">
      <w:pPr>
        <w:pStyle w:val="a5"/>
      </w:pPr>
      <w:r>
        <w:rPr>
          <w:rStyle w:val="a7"/>
        </w:rPr>
        <w:footnoteRef/>
      </w:r>
      <w:r>
        <w:t xml:space="preserve"> </w:t>
      </w:r>
      <w:r w:rsidRPr="00954813">
        <w:rPr>
          <w:rStyle w:val="11"/>
          <w:bCs/>
          <w:szCs w:val="24"/>
          <w:rtl/>
        </w:rPr>
        <w:t>וכלא איהו עמודא דאמצעיתא.</w:t>
      </w:r>
      <w:r>
        <w:rPr>
          <w:rStyle w:val="23"/>
          <w:rtl/>
        </w:rPr>
        <w:t xml:space="preserve"> דאיהו א' כנ"ל וכן הוא כאן:</w:t>
      </w:r>
    </w:p>
  </w:footnote>
  <w:footnote w:id="224">
    <w:p w:rsidR="00A13282" w:rsidRDefault="00A13282" w:rsidP="00D45634">
      <w:pPr>
        <w:pStyle w:val="a5"/>
      </w:pPr>
      <w:r>
        <w:rPr>
          <w:rStyle w:val="a7"/>
        </w:rPr>
        <w:footnoteRef/>
      </w:r>
      <w:r>
        <w:t xml:space="preserve"> </w:t>
      </w:r>
      <w:r w:rsidRPr="00954813">
        <w:rPr>
          <w:rStyle w:val="11"/>
          <w:bCs/>
          <w:szCs w:val="24"/>
          <w:rtl/>
        </w:rPr>
        <w:t>איהו הוי' דכליל ואיהו כו'.</w:t>
      </w:r>
      <w:r>
        <w:rPr>
          <w:rStyle w:val="23"/>
          <w:rtl/>
        </w:rPr>
        <w:t xml:space="preserve"> רוצה לומר שלמעלה במראה הראשונה אמרנו שכלא נכלל בו מצד הוי' פשוטה שהוא מצד אותיות כנזכר לעיל דבאתוון אתבריאו חיוון כו' ובהון נהרין ד' אתוון כו' והוא בחיצוניות וכאן כולא נכלל בו מצד מילוי דמ"ה והוא מצד נקודות כנ"ל מצד פנימיותו והכל נכלל בא' וזה שאומר לאחזאה דאם רץ לבך שוב לאחד רוצה לומר שאם תהרהר ח"ו מצד מספרן, שוב לאחד שהוא א', שכולן נכללין בו, להורות שכולן א':</w:t>
      </w:r>
    </w:p>
  </w:footnote>
  <w:footnote w:id="225">
    <w:p w:rsidR="00A13282" w:rsidRDefault="00A13282" w:rsidP="00D45634">
      <w:pPr>
        <w:pStyle w:val="a5"/>
      </w:pPr>
      <w:r>
        <w:rPr>
          <w:rStyle w:val="a7"/>
        </w:rPr>
        <w:footnoteRef/>
      </w:r>
      <w:r>
        <w:t xml:space="preserve"> </w:t>
      </w:r>
      <w:r>
        <w:rPr>
          <w:rFonts w:ascii="Arial"/>
          <w:b/>
          <w:bCs/>
          <w:sz w:val="38"/>
          <w:rtl/>
        </w:rPr>
        <w:t>ודא שכינתא דהכי כו'.</w:t>
      </w:r>
      <w:r>
        <w:rPr>
          <w:rFonts w:ascii="Arial"/>
          <w:sz w:val="38"/>
          <w:rtl/>
        </w:rPr>
        <w:t xml:space="preserve"> מביא ראיה שהיא נקראת אש וזה שאומר בגין דא כמראה אש:</w:t>
      </w:r>
    </w:p>
  </w:footnote>
  <w:footnote w:id="226">
    <w:p w:rsidR="00A13282" w:rsidRDefault="00A13282" w:rsidP="00D45634">
      <w:pPr>
        <w:pStyle w:val="a5"/>
      </w:pPr>
      <w:r>
        <w:rPr>
          <w:rStyle w:val="a7"/>
        </w:rPr>
        <w:footnoteRef/>
      </w:r>
      <w:r>
        <w:t xml:space="preserve"> </w:t>
      </w:r>
      <w:r>
        <w:rPr>
          <w:rFonts w:ascii="Arial"/>
          <w:b/>
          <w:bCs/>
          <w:sz w:val="38"/>
          <w:rtl/>
        </w:rPr>
        <w:t>בית לה דאיהי כו'.</w:t>
      </w:r>
      <w:r>
        <w:rPr>
          <w:rFonts w:ascii="Arial"/>
          <w:sz w:val="38"/>
          <w:rtl/>
        </w:rPr>
        <w:t xml:space="preserve"> שנקראת כנסת ישראל דכניש כולא בה:</w:t>
      </w:r>
    </w:p>
  </w:footnote>
  <w:footnote w:id="227">
    <w:p w:rsidR="00A13282" w:rsidRDefault="00A13282" w:rsidP="00D45634">
      <w:pPr>
        <w:pStyle w:val="a5"/>
      </w:pPr>
      <w:r>
        <w:rPr>
          <w:rStyle w:val="a7"/>
        </w:rPr>
        <w:footnoteRef/>
      </w:r>
      <w:r>
        <w:t xml:space="preserve"> </w:t>
      </w:r>
      <w:r>
        <w:rPr>
          <w:rFonts w:ascii="Arial"/>
          <w:b/>
          <w:bCs/>
          <w:sz w:val="38"/>
          <w:rtl/>
        </w:rPr>
        <w:t>אש נוגה כי כו'.</w:t>
      </w:r>
      <w:r>
        <w:rPr>
          <w:rFonts w:ascii="Arial"/>
          <w:sz w:val="38"/>
          <w:rtl/>
        </w:rPr>
        <w:t xml:space="preserve"> עכשיו הוא מביא ראיה מפסוקים. אש נוגה כמו שאומר לקמן דנקראת נוגה. כי ביתי כו' והיא נקראת תפלה כמו שכתוב ואני תפלתי כו':</w:t>
      </w:r>
    </w:p>
  </w:footnote>
  <w:footnote w:id="228">
    <w:p w:rsidR="00A13282" w:rsidRDefault="00A13282" w:rsidP="00D45634">
      <w:pPr>
        <w:pStyle w:val="a5"/>
      </w:pPr>
      <w:r>
        <w:rPr>
          <w:rStyle w:val="a7"/>
        </w:rPr>
        <w:footnoteRef/>
      </w:r>
      <w:r>
        <w:t xml:space="preserve"> </w:t>
      </w:r>
      <w:r>
        <w:rPr>
          <w:rFonts w:ascii="Arial"/>
          <w:b/>
          <w:bCs/>
          <w:sz w:val="38"/>
          <w:rtl/>
        </w:rPr>
        <w:t>ואיהי אש בית כו'.</w:t>
      </w:r>
      <w:r>
        <w:rPr>
          <w:rFonts w:ascii="Arial"/>
          <w:sz w:val="38"/>
          <w:rtl/>
        </w:rPr>
        <w:t xml:space="preserve"> עכשיו הוא מפרש כל השלש מראות. מראה הראשונה ראה בצורת א' והוא יום א' שהוא חסד כמו שמפרש והולך, אע"פ שאמר דא' שראה הוא ת"ת, ראה אותו מסטרא דחסד. מראה השניה ראה ב' שהוא גבורה כמו שמפרש והולך. וכן ראה בשכינה מסטרא דגבורה כנ"ל. והענין, כי ת"ת הוא הוא בסטרא דחסד, ומלכות בסטרא דגבורה, ומראה השלישית ראה ת"ת מצד עצמו דכולל חו"ג כנ"ל דאיהו יחודא דתרווייהו וראה ת"ת בין חו"ג כסדר מימין לשמאל דהוא בין חו"ג:</w:t>
      </w:r>
    </w:p>
  </w:footnote>
  <w:footnote w:id="229">
    <w:p w:rsidR="00A13282" w:rsidRDefault="00A13282" w:rsidP="00D45634">
      <w:pPr>
        <w:pStyle w:val="a5"/>
      </w:pPr>
      <w:r>
        <w:rPr>
          <w:rStyle w:val="a7"/>
        </w:rPr>
        <w:footnoteRef/>
      </w:r>
      <w:r>
        <w:t xml:space="preserve"> </w:t>
      </w:r>
      <w:r>
        <w:rPr>
          <w:rFonts w:ascii="Arial"/>
          <w:b/>
          <w:bCs/>
          <w:sz w:val="38"/>
          <w:rtl/>
        </w:rPr>
        <w:t>דאיהו ב' כו'.</w:t>
      </w:r>
      <w:r>
        <w:rPr>
          <w:rFonts w:ascii="Arial"/>
          <w:sz w:val="38"/>
          <w:rtl/>
        </w:rPr>
        <w:t xml:space="preserve"> רוצה לומר לכך קאמר אש בית, בית הוא ב', יומא תניינא ואש דאיתברי בו גיהנם:</w:t>
      </w:r>
    </w:p>
  </w:footnote>
  <w:footnote w:id="230">
    <w:p w:rsidR="00A13282" w:rsidRDefault="00A13282" w:rsidP="00D45634">
      <w:pPr>
        <w:pStyle w:val="a5"/>
      </w:pPr>
      <w:r>
        <w:rPr>
          <w:rStyle w:val="a7"/>
        </w:rPr>
        <w:footnoteRef/>
      </w:r>
      <w:r>
        <w:t xml:space="preserve"> </w:t>
      </w:r>
      <w:r>
        <w:rPr>
          <w:rFonts w:ascii="Arial"/>
          <w:b/>
          <w:bCs/>
          <w:sz w:val="38"/>
          <w:rtl/>
        </w:rPr>
        <w:t>א' יומא קדמאה כו'.</w:t>
      </w:r>
      <w:r>
        <w:rPr>
          <w:rFonts w:ascii="Arial"/>
          <w:sz w:val="38"/>
          <w:rtl/>
        </w:rPr>
        <w:t xml:space="preserve"> דא' איהו אור כמו שאומר לעיל ואיהו גן עדן שגנזו לצדיקים:</w:t>
      </w:r>
    </w:p>
  </w:footnote>
  <w:footnote w:id="231">
    <w:p w:rsidR="00A13282" w:rsidRDefault="00A13282" w:rsidP="00D45634">
      <w:pPr>
        <w:pStyle w:val="a5"/>
      </w:pPr>
      <w:r>
        <w:rPr>
          <w:rStyle w:val="a7"/>
        </w:rPr>
        <w:footnoteRef/>
      </w:r>
      <w:r>
        <w:t xml:space="preserve"> </w:t>
      </w:r>
      <w:r>
        <w:rPr>
          <w:rFonts w:ascii="Arial"/>
          <w:b/>
          <w:bCs/>
          <w:sz w:val="38"/>
          <w:rtl/>
        </w:rPr>
        <w:t>עמודא דאמצעיתא כמראה אדם.</w:t>
      </w:r>
      <w:r>
        <w:rPr>
          <w:rFonts w:ascii="Arial"/>
          <w:sz w:val="38"/>
          <w:rtl/>
        </w:rPr>
        <w:t xml:space="preserve"> כמו שאומר לעיל תפארת אקרי אדם:</w:t>
      </w:r>
    </w:p>
  </w:footnote>
  <w:footnote w:id="232">
    <w:p w:rsidR="00A13282" w:rsidRDefault="00A13282" w:rsidP="00D45634">
      <w:pPr>
        <w:pStyle w:val="a5"/>
      </w:pPr>
      <w:r>
        <w:rPr>
          <w:rStyle w:val="a7"/>
        </w:rPr>
        <w:footnoteRef/>
      </w:r>
      <w:r>
        <w:t xml:space="preserve"> </w:t>
      </w:r>
      <w:r>
        <w:rPr>
          <w:rFonts w:ascii="Arial"/>
          <w:b/>
          <w:bCs/>
          <w:sz w:val="38"/>
          <w:rtl/>
        </w:rPr>
        <w:t>כליל תרווייהו.</w:t>
      </w:r>
      <w:r>
        <w:rPr>
          <w:rFonts w:ascii="Arial"/>
          <w:sz w:val="38"/>
          <w:rtl/>
        </w:rPr>
        <w:t xml:space="preserve"> דשם מ"ה שהוא גימטריא אדם, כולל חו"ג:</w:t>
      </w:r>
    </w:p>
  </w:footnote>
  <w:footnote w:id="233">
    <w:p w:rsidR="00A13282" w:rsidRDefault="00A13282" w:rsidP="00D45634">
      <w:pPr>
        <w:pStyle w:val="a5"/>
      </w:pPr>
      <w:r>
        <w:rPr>
          <w:rStyle w:val="a7"/>
        </w:rPr>
        <w:footnoteRef/>
      </w:r>
      <w:r>
        <w:t xml:space="preserve"> </w:t>
      </w:r>
      <w:r>
        <w:rPr>
          <w:rFonts w:ascii="Arial"/>
          <w:b/>
          <w:bCs/>
          <w:sz w:val="38"/>
          <w:rtl/>
        </w:rPr>
        <w:t>וא"ו לימינא.</w:t>
      </w:r>
      <w:r>
        <w:rPr>
          <w:rFonts w:ascii="Arial"/>
          <w:sz w:val="38"/>
          <w:rtl/>
        </w:rPr>
        <w:t xml:space="preserve"> דוא"ו גימטריא אחד, לימינא שהוא א' כנ"ל:</w:t>
      </w:r>
    </w:p>
  </w:footnote>
  <w:footnote w:id="234">
    <w:p w:rsidR="00A13282" w:rsidRDefault="00A13282" w:rsidP="00D45634">
      <w:pPr>
        <w:pStyle w:val="a5"/>
      </w:pPr>
      <w:r>
        <w:rPr>
          <w:rStyle w:val="a7"/>
        </w:rPr>
        <w:footnoteRef/>
      </w:r>
      <w:r>
        <w:t xml:space="preserve"> </w:t>
      </w:r>
      <w:r>
        <w:rPr>
          <w:rFonts w:ascii="Arial"/>
          <w:b/>
          <w:bCs/>
          <w:sz w:val="38"/>
          <w:rtl/>
        </w:rPr>
        <w:t>ל"ב לשמאל' יו"ד כו'.</w:t>
      </w:r>
      <w:r>
        <w:rPr>
          <w:rFonts w:ascii="Arial"/>
          <w:sz w:val="38"/>
          <w:rtl/>
        </w:rPr>
        <w:t xml:space="preserve"> בית לה, ראשי תיבות ל"ב ואינון ל"ב אלהים שהם מסטרא דגבורה במעשה בראשית אף על גב דהן בחכמה מכל מקום הן בבוצינא דקרדוניתא שהוא גבורה דעתיק כידוע:</w:t>
      </w:r>
    </w:p>
  </w:footnote>
  <w:footnote w:id="235">
    <w:p w:rsidR="00A13282" w:rsidRDefault="00A13282" w:rsidP="00D45634">
      <w:pPr>
        <w:pStyle w:val="a5"/>
      </w:pPr>
      <w:r>
        <w:rPr>
          <w:rStyle w:val="a7"/>
        </w:rPr>
        <w:footnoteRef/>
      </w:r>
      <w:r>
        <w:t xml:space="preserve"> </w:t>
      </w:r>
      <w:r>
        <w:rPr>
          <w:rFonts w:ascii="Arial"/>
          <w:b/>
          <w:bCs/>
          <w:sz w:val="38"/>
          <w:rtl/>
        </w:rPr>
        <w:t>ממראה מתניו ולמעלה וממראה כו'.</w:t>
      </w:r>
      <w:r>
        <w:rPr>
          <w:rFonts w:ascii="Arial"/>
          <w:sz w:val="38"/>
          <w:rtl/>
        </w:rPr>
        <w:t xml:space="preserve"> כמו שאומר בתיקוני זוהר חדש דממראה מתניו ולמעלה נצח וממראה מתניו ולמטה הוד כידוע דבו"ק נקראים נצח - מעלה והוד - מטה כמו שאומר לקמן ירכא ימינא ואסתכל לעילא כו' ירכא כו' לתתא והענין כמו שאומר לקמן והאחת גבוהה מן השנית עיין שם:</w:t>
      </w:r>
    </w:p>
  </w:footnote>
  <w:footnote w:id="236">
    <w:p w:rsidR="00A13282" w:rsidRDefault="00A13282" w:rsidP="00D45634">
      <w:pPr>
        <w:pStyle w:val="a5"/>
      </w:pPr>
      <w:r>
        <w:rPr>
          <w:rStyle w:val="a7"/>
        </w:rPr>
        <w:footnoteRef/>
      </w:r>
      <w:r>
        <w:t xml:space="preserve"> </w:t>
      </w:r>
      <w:r>
        <w:rPr>
          <w:rFonts w:ascii="Arial"/>
          <w:b/>
          <w:bCs/>
          <w:sz w:val="38"/>
          <w:rtl/>
        </w:rPr>
        <w:t>דמתמן בנינא דעלמא.</w:t>
      </w:r>
      <w:r>
        <w:rPr>
          <w:rFonts w:ascii="Arial"/>
          <w:sz w:val="38"/>
          <w:rtl/>
        </w:rPr>
        <w:t xml:space="preserve"> רוצה לומר דלכך מתחיל מחסד המראות דמתמן בנינא שהן שבעת ימי בראשית, מה שאין כן למעלה, בג' ראשונות שאינן אלא במחשבה:</w:t>
      </w:r>
    </w:p>
  </w:footnote>
  <w:footnote w:id="237">
    <w:p w:rsidR="00A13282" w:rsidRDefault="00A13282" w:rsidP="00D45634">
      <w:pPr>
        <w:pStyle w:val="a5"/>
        <w:rPr>
          <w:rFonts w:ascii="Arial"/>
          <w:sz w:val="38"/>
          <w:rtl/>
        </w:rPr>
      </w:pPr>
      <w:r>
        <w:rPr>
          <w:rStyle w:val="a7"/>
        </w:rPr>
        <w:footnoteRef/>
      </w:r>
      <w:r>
        <w:t xml:space="preserve"> </w:t>
      </w:r>
      <w:r>
        <w:rPr>
          <w:rFonts w:ascii="Arial"/>
          <w:b/>
          <w:bCs/>
          <w:sz w:val="38"/>
          <w:rtl/>
        </w:rPr>
        <w:t>ה' עילאה כו'.</w:t>
      </w:r>
      <w:r>
        <w:rPr>
          <w:rFonts w:ascii="Arial"/>
          <w:sz w:val="38"/>
          <w:rtl/>
        </w:rPr>
        <w:t xml:space="preserve"> רוצה לומר שמראה הששית הוא בינה וראה אותה בששית, שהתחלת ראייתו הוא מחסד שלמעלה אין ראיה שולט אלא שראה הבינה באתפשטותא למטה בה' ספירין לפיכך אחר שהזכיר ה' ספירות, הזכיר הבינה בהתפשטותה ואח"כ ליסוד כסדר:</w:t>
      </w:r>
    </w:p>
    <w:p w:rsidR="00A13282" w:rsidRDefault="00A13282" w:rsidP="00D45634">
      <w:pPr>
        <w:pStyle w:val="a5"/>
      </w:pPr>
      <w:r>
        <w:rPr>
          <w:rFonts w:ascii="Arial"/>
          <w:b/>
          <w:bCs/>
          <w:sz w:val="38"/>
          <w:rtl/>
        </w:rPr>
        <w:t>ה' עילאה כו'.</w:t>
      </w:r>
      <w:r>
        <w:rPr>
          <w:rFonts w:ascii="Arial"/>
          <w:sz w:val="38"/>
          <w:rtl/>
        </w:rPr>
        <w:t xml:space="preserve"> רוצה לומר שהיא באות ה' שהתפשטותה בה' ספירות ובה נ' תרעין, עשר לכל ספירה כמו שאומר לקמן ואתפשטותא דה"א עילאה עד הוד כו':</w:t>
      </w:r>
    </w:p>
  </w:footnote>
  <w:footnote w:id="238">
    <w:p w:rsidR="00A13282" w:rsidRDefault="00A13282" w:rsidP="00D45634">
      <w:pPr>
        <w:pStyle w:val="a5"/>
      </w:pPr>
      <w:r>
        <w:rPr>
          <w:rStyle w:val="a7"/>
        </w:rPr>
        <w:footnoteRef/>
      </w:r>
      <w:r>
        <w:t xml:space="preserve"> </w:t>
      </w:r>
      <w:r>
        <w:rPr>
          <w:rFonts w:ascii="Arial"/>
          <w:b/>
          <w:bCs/>
          <w:sz w:val="38"/>
          <w:rtl/>
        </w:rPr>
        <w:t>ונגה לה סביב.</w:t>
      </w:r>
      <w:r>
        <w:rPr>
          <w:rFonts w:ascii="Arial"/>
          <w:sz w:val="38"/>
          <w:rtl/>
        </w:rPr>
        <w:t xml:space="preserve"> רוצה לומר שמשם מתחלת השכינה שנקראת נגה כידוע שבסיום האימא מתחלת וכמראה אש קאי על אימא עילאה דמינה מתערין:</w:t>
      </w:r>
    </w:p>
  </w:footnote>
  <w:footnote w:id="239">
    <w:p w:rsidR="00A13282" w:rsidRDefault="00A13282" w:rsidP="00D45634">
      <w:pPr>
        <w:pStyle w:val="a5"/>
      </w:pPr>
      <w:r>
        <w:rPr>
          <w:rStyle w:val="a7"/>
        </w:rPr>
        <w:footnoteRef/>
      </w:r>
      <w:r>
        <w:t xml:space="preserve"> </w:t>
      </w:r>
      <w:r>
        <w:rPr>
          <w:rFonts w:ascii="Arial"/>
          <w:b/>
          <w:bCs/>
          <w:sz w:val="38"/>
          <w:rtl/>
        </w:rPr>
        <w:t>ובה שית מראות.</w:t>
      </w:r>
      <w:r>
        <w:rPr>
          <w:rFonts w:ascii="Arial"/>
          <w:sz w:val="38"/>
          <w:rtl/>
        </w:rPr>
        <w:t xml:space="preserve"> רוצה לומר שהיא המשלמת לששה שהיא הששית:</w:t>
      </w:r>
    </w:p>
  </w:footnote>
  <w:footnote w:id="240">
    <w:p w:rsidR="00A13282" w:rsidRDefault="00A13282" w:rsidP="00D45634">
      <w:pPr>
        <w:pStyle w:val="a5"/>
      </w:pPr>
      <w:r>
        <w:rPr>
          <w:rStyle w:val="a7"/>
        </w:rPr>
        <w:footnoteRef/>
      </w:r>
      <w:r>
        <w:t xml:space="preserve"> </w:t>
      </w:r>
      <w:r>
        <w:rPr>
          <w:rFonts w:ascii="Arial"/>
          <w:b/>
          <w:bCs/>
          <w:sz w:val="38"/>
          <w:rtl/>
        </w:rPr>
        <w:t>דא צדיק.</w:t>
      </w:r>
      <w:r>
        <w:rPr>
          <w:rFonts w:ascii="Arial"/>
          <w:sz w:val="38"/>
          <w:rtl/>
        </w:rPr>
        <w:t xml:space="preserve"> שעל הקשת נאמר אות ברית:</w:t>
      </w:r>
    </w:p>
  </w:footnote>
  <w:footnote w:id="241">
    <w:p w:rsidR="00A13282" w:rsidRDefault="00A13282" w:rsidP="00D45634">
      <w:pPr>
        <w:pStyle w:val="a5"/>
      </w:pPr>
      <w:r>
        <w:rPr>
          <w:rStyle w:val="a7"/>
        </w:rPr>
        <w:footnoteRef/>
      </w:r>
      <w:r>
        <w:t xml:space="preserve"> </w:t>
      </w:r>
      <w:r>
        <w:rPr>
          <w:rFonts w:ascii="Arial"/>
          <w:b/>
          <w:bCs/>
          <w:sz w:val="38"/>
          <w:rtl/>
        </w:rPr>
        <w:t>דאיהו כליל כו'.</w:t>
      </w:r>
      <w:r>
        <w:rPr>
          <w:rFonts w:ascii="Arial"/>
          <w:sz w:val="38"/>
          <w:rtl/>
        </w:rPr>
        <w:t xml:space="preserve"> רוצה לומר שכל המראות ראה מתוך מט"ט שכולן נכללין בו:</w:t>
      </w:r>
    </w:p>
  </w:footnote>
  <w:footnote w:id="242">
    <w:p w:rsidR="00A13282" w:rsidRDefault="00A13282" w:rsidP="00D45634">
      <w:pPr>
        <w:pStyle w:val="a5"/>
      </w:pPr>
      <w:r>
        <w:rPr>
          <w:rStyle w:val="a7"/>
        </w:rPr>
        <w:footnoteRef/>
      </w:r>
      <w:r>
        <w:t xml:space="preserve"> </w:t>
      </w:r>
      <w:r>
        <w:rPr>
          <w:rFonts w:ascii="Arial"/>
          <w:b/>
          <w:bCs/>
          <w:sz w:val="38"/>
          <w:rtl/>
        </w:rPr>
        <w:t>דאתמר נקבה תסובב גבר.</w:t>
      </w:r>
      <w:r>
        <w:rPr>
          <w:rFonts w:ascii="Arial"/>
          <w:sz w:val="38"/>
          <w:rtl/>
        </w:rPr>
        <w:t xml:space="preserve"> רוצה לומר שהיא מסובבת היסוד ולכך נאמר סביב רוצה לומר סביב הקשת:</w:t>
      </w:r>
    </w:p>
  </w:footnote>
  <w:footnote w:id="243">
    <w:p w:rsidR="00A13282" w:rsidRDefault="00A13282" w:rsidP="00D45634">
      <w:pPr>
        <w:pStyle w:val="a5"/>
      </w:pPr>
      <w:r>
        <w:rPr>
          <w:rStyle w:val="a7"/>
        </w:rPr>
        <w:footnoteRef/>
      </w:r>
      <w:r>
        <w:t xml:space="preserve"> </w:t>
      </w:r>
      <w:r>
        <w:rPr>
          <w:rFonts w:ascii="Arial"/>
          <w:b/>
          <w:bCs/>
          <w:sz w:val="38"/>
          <w:rtl/>
        </w:rPr>
        <w:t>אש נגה.</w:t>
      </w:r>
      <w:r>
        <w:rPr>
          <w:rFonts w:ascii="Arial"/>
          <w:sz w:val="38"/>
          <w:rtl/>
        </w:rPr>
        <w:t xml:space="preserve"> ראיה שעלה אומר שהיא נקראת אש נגה:</w:t>
      </w:r>
    </w:p>
  </w:footnote>
  <w:footnote w:id="244">
    <w:p w:rsidR="00A13282" w:rsidRDefault="00A13282" w:rsidP="00D45634">
      <w:pPr>
        <w:pStyle w:val="a5"/>
      </w:pPr>
      <w:r>
        <w:rPr>
          <w:rStyle w:val="a7"/>
        </w:rPr>
        <w:footnoteRef/>
      </w:r>
      <w:r>
        <w:t xml:space="preserve"> </w:t>
      </w:r>
      <w:r>
        <w:rPr>
          <w:rFonts w:ascii="Arial"/>
          <w:b/>
          <w:bCs/>
          <w:sz w:val="38"/>
          <w:rtl/>
        </w:rPr>
        <w:t>חכמה עילאה.</w:t>
      </w:r>
      <w:r>
        <w:rPr>
          <w:rFonts w:ascii="Arial"/>
          <w:sz w:val="38"/>
          <w:rtl/>
        </w:rPr>
        <w:t xml:space="preserve"> שנקראת כבו"ד גימטריה ל"ב נתיבות חכמה:</w:t>
      </w:r>
    </w:p>
  </w:footnote>
  <w:footnote w:id="245">
    <w:p w:rsidR="00A13282" w:rsidRDefault="00A13282" w:rsidP="00D45634">
      <w:pPr>
        <w:pStyle w:val="a5"/>
      </w:pPr>
      <w:r>
        <w:rPr>
          <w:rStyle w:val="a7"/>
        </w:rPr>
        <w:footnoteRef/>
      </w:r>
      <w:r>
        <w:t xml:space="preserve"> </w:t>
      </w:r>
      <w:r>
        <w:rPr>
          <w:rFonts w:ascii="Arial"/>
          <w:b/>
          <w:bCs/>
          <w:sz w:val="38"/>
          <w:rtl/>
        </w:rPr>
        <w:t>דמות דילה.</w:t>
      </w:r>
      <w:r>
        <w:rPr>
          <w:rFonts w:ascii="Arial"/>
          <w:sz w:val="38"/>
          <w:rtl/>
        </w:rPr>
        <w:t xml:space="preserve"> רוצה לומר שנאמר מראה דמות, משמע אף המראה שראה ביצירה, לא ראה כבוד ה' בעצמו אלא דמות דילה והוא בשכינה שכל הספירות נכללין בה ולכך ראה חכמה אחר השכינה כנ"ל בינה אחר ה’ ספירות כי חכמה למעלה במקומה, אף ביצירה, אין ראיה שולט שם ולכך ראה אותה במלכות ובינה בז"א כי אבא יסד ברתא כמו שכתוב ה' בחכמה יסד ארץ שמשם הוא גילוי החכמה כידוע ואימא יסד ז"א כמו שכתוב כונן שמים בתבונה:</w:t>
      </w:r>
    </w:p>
  </w:footnote>
  <w:footnote w:id="246">
    <w:p w:rsidR="00A13282" w:rsidRDefault="00A13282" w:rsidP="00D45634">
      <w:pPr>
        <w:pStyle w:val="a5"/>
      </w:pPr>
      <w:r>
        <w:rPr>
          <w:rStyle w:val="a7"/>
        </w:rPr>
        <w:footnoteRef/>
      </w:r>
      <w:r>
        <w:t xml:space="preserve"> </w:t>
      </w:r>
      <w:r>
        <w:rPr>
          <w:rFonts w:ascii="Arial"/>
          <w:b/>
          <w:bCs/>
          <w:sz w:val="38"/>
          <w:rtl/>
        </w:rPr>
        <w:t>וכד מטא לדמות כתר כו'.</w:t>
      </w:r>
      <w:r>
        <w:rPr>
          <w:rFonts w:ascii="Arial"/>
          <w:sz w:val="38"/>
          <w:rtl/>
        </w:rPr>
        <w:t xml:space="preserve"> רוצה לומר שרצה לראות כתר היצירה, לא במקומה אלא למטה במלכות היצירה ששם נכלל כנ"ל:</w:t>
      </w:r>
    </w:p>
  </w:footnote>
  <w:footnote w:id="247">
    <w:p w:rsidR="00A13282" w:rsidRDefault="00A13282" w:rsidP="00D45634">
      <w:pPr>
        <w:pStyle w:val="a5"/>
      </w:pPr>
      <w:r>
        <w:rPr>
          <w:rStyle w:val="a7"/>
        </w:rPr>
        <w:footnoteRef/>
      </w:r>
      <w:r>
        <w:t xml:space="preserve"> </w:t>
      </w:r>
      <w:r>
        <w:rPr>
          <w:rFonts w:ascii="Arial"/>
          <w:b/>
          <w:bCs/>
          <w:sz w:val="38"/>
          <w:rtl/>
        </w:rPr>
        <w:t>דלא יכיל למסבל.</w:t>
      </w:r>
      <w:r>
        <w:rPr>
          <w:rFonts w:ascii="Arial"/>
          <w:sz w:val="38"/>
          <w:rtl/>
        </w:rPr>
        <w:t xml:space="preserve"> לכך לא נאמר בו מראה:</w:t>
      </w:r>
    </w:p>
  </w:footnote>
  <w:footnote w:id="248">
    <w:p w:rsidR="00A13282" w:rsidRDefault="00A13282" w:rsidP="00D45634">
      <w:pPr>
        <w:pStyle w:val="a5"/>
      </w:pPr>
      <w:r>
        <w:rPr>
          <w:rStyle w:val="a7"/>
        </w:rPr>
        <w:footnoteRef/>
      </w:r>
      <w:r>
        <w:t xml:space="preserve"> </w:t>
      </w:r>
      <w:r>
        <w:rPr>
          <w:rFonts w:ascii="Arial"/>
          <w:b/>
          <w:bCs/>
          <w:sz w:val="38"/>
          <w:rtl/>
        </w:rPr>
        <w:t>ואם מראות דלתתא כו'.</w:t>
      </w:r>
      <w:r>
        <w:rPr>
          <w:rFonts w:ascii="Arial"/>
          <w:sz w:val="38"/>
          <w:rtl/>
        </w:rPr>
        <w:t xml:space="preserve"> רוצה לומר אם כתר דיצירה, ורק דמות דידה, כל שכן וכל שכן לכתר דבריאה, במקומה למעלה וזה שאומר ומראות עילאין רוצה לומר למעלה זה שאומר דבריאה רוצה לומר שהן שני עילויין וזה שאומר כל שכן וכל שכן שתי פעמים וכן באצילות כתב למעלה שתי פעמים, כל שכן וכל שכן, שעד כאן הוא סיום השנה:</w:t>
      </w:r>
    </w:p>
  </w:footnote>
  <w:footnote w:id="249">
    <w:p w:rsidR="00A13282" w:rsidRDefault="00A13282" w:rsidP="00D45634">
      <w:pPr>
        <w:pStyle w:val="a5"/>
      </w:pPr>
      <w:r>
        <w:rPr>
          <w:rStyle w:val="a7"/>
        </w:rPr>
        <w:footnoteRef/>
      </w:r>
      <w:r>
        <w:t xml:space="preserve"> </w:t>
      </w:r>
      <w:r>
        <w:rPr>
          <w:rFonts w:ascii="Arial"/>
          <w:b/>
          <w:bCs/>
          <w:sz w:val="38"/>
          <w:rtl/>
        </w:rPr>
        <w:t>וברזא דאות א' כו'.</w:t>
      </w:r>
      <w:r>
        <w:rPr>
          <w:rFonts w:ascii="Arial"/>
          <w:sz w:val="38"/>
          <w:rtl/>
        </w:rPr>
        <w:t xml:space="preserve"> לפי שאמר למעלה דשמא מפרש כליל תשע נקודין ועשירית כליל מכלהו וכולהו כלילין באות א', אמר כאן שכל העשר מראות נכללין בא', ברזא דט' נקודין ועשרית כלילא מכולהו ובו כל המראות חוזרין לא' כנ"ל וזה שאומר תשכח חלם כו' די' שעל הא' הוא חולם על הו' שבאמצע הא' וי' שתחתיו הוא חירק והו' הוא שורק:</w:t>
      </w:r>
    </w:p>
  </w:footnote>
  <w:footnote w:id="250">
    <w:p w:rsidR="00A13282" w:rsidRDefault="00A13282" w:rsidP="00D45634">
      <w:pPr>
        <w:jc w:val="both"/>
      </w:pPr>
      <w:r>
        <w:rPr>
          <w:rStyle w:val="a7"/>
        </w:rPr>
        <w:footnoteRef/>
      </w:r>
      <w:r>
        <w:t xml:space="preserve"> </w:t>
      </w:r>
      <w:r>
        <w:rPr>
          <w:b/>
          <w:bCs/>
          <w:rtl/>
        </w:rPr>
        <w:t>ואיהי גלגל כו'.</w:t>
      </w:r>
      <w:r>
        <w:rPr>
          <w:rtl/>
        </w:rPr>
        <w:t xml:space="preserve"> דוא"ו הוא ג' נקודין, ראש תוך סוף, וג' נקודין שבו, חולם חירק שורק, הוא רומז לו"ק:</w:t>
      </w:r>
    </w:p>
  </w:footnote>
  <w:footnote w:id="251">
    <w:p w:rsidR="00A13282" w:rsidRDefault="00A13282" w:rsidP="00D45634">
      <w:pPr>
        <w:pStyle w:val="a5"/>
      </w:pPr>
      <w:r>
        <w:rPr>
          <w:rStyle w:val="a7"/>
        </w:rPr>
        <w:footnoteRef/>
      </w:r>
      <w:r>
        <w:t xml:space="preserve"> </w:t>
      </w:r>
      <w:r>
        <w:rPr>
          <w:rFonts w:ascii="Arial"/>
          <w:b/>
          <w:bCs/>
          <w:sz w:val="38"/>
          <w:rtl/>
        </w:rPr>
        <w:t>סהיד על יחודא.</w:t>
      </w:r>
      <w:r>
        <w:rPr>
          <w:rFonts w:ascii="Arial"/>
          <w:sz w:val="38"/>
          <w:rtl/>
        </w:rPr>
        <w:t xml:space="preserve"> רוצה לומר אות א' דהוא אחד:</w:t>
      </w:r>
    </w:p>
  </w:footnote>
  <w:footnote w:id="252">
    <w:p w:rsidR="00A13282" w:rsidRDefault="00A13282" w:rsidP="00D45634">
      <w:pPr>
        <w:pStyle w:val="a5"/>
      </w:pPr>
      <w:r>
        <w:rPr>
          <w:rStyle w:val="a7"/>
        </w:rPr>
        <w:footnoteRef/>
      </w:r>
      <w:r>
        <w:t xml:space="preserve"> </w:t>
      </w:r>
      <w:r>
        <w:rPr>
          <w:rFonts w:ascii="Arial"/>
          <w:b/>
          <w:bCs/>
          <w:sz w:val="38"/>
          <w:rtl/>
        </w:rPr>
        <w:t>כדי שתמליכהו כו'.</w:t>
      </w:r>
      <w:r>
        <w:rPr>
          <w:rFonts w:ascii="Arial"/>
          <w:sz w:val="38"/>
          <w:rtl/>
        </w:rPr>
        <w:t xml:space="preserve"> באחד דהוא א':</w:t>
      </w:r>
    </w:p>
  </w:footnote>
  <w:footnote w:id="253">
    <w:p w:rsidR="00A13282" w:rsidRDefault="00A13282" w:rsidP="00D45634">
      <w:pPr>
        <w:pStyle w:val="a5"/>
      </w:pPr>
      <w:r>
        <w:rPr>
          <w:rStyle w:val="a7"/>
        </w:rPr>
        <w:footnoteRef/>
      </w:r>
      <w:r>
        <w:t xml:space="preserve"> </w:t>
      </w:r>
      <w:r>
        <w:rPr>
          <w:rFonts w:ascii="Arial"/>
          <w:b/>
          <w:bCs/>
          <w:sz w:val="38"/>
          <w:rtl/>
        </w:rPr>
        <w:t>ו' כליל תלת כו'.</w:t>
      </w:r>
      <w:r>
        <w:rPr>
          <w:rFonts w:ascii="Arial"/>
          <w:sz w:val="38"/>
          <w:rtl/>
        </w:rPr>
        <w:t xml:space="preserve"> הן חולם חירק שורק הנ"ל שעל הו':</w:t>
      </w:r>
    </w:p>
  </w:footnote>
  <w:footnote w:id="254">
    <w:p w:rsidR="00A13282" w:rsidRDefault="00A13282" w:rsidP="00D45634">
      <w:pPr>
        <w:pStyle w:val="a5"/>
      </w:pPr>
      <w:r>
        <w:rPr>
          <w:rStyle w:val="a7"/>
        </w:rPr>
        <w:footnoteRef/>
      </w:r>
      <w:r>
        <w:t xml:space="preserve"> </w:t>
      </w:r>
      <w:r>
        <w:rPr>
          <w:rFonts w:ascii="Arial"/>
          <w:b/>
          <w:bCs/>
          <w:sz w:val="38"/>
          <w:rtl/>
        </w:rPr>
        <w:t>ובי' כולהו כו'.</w:t>
      </w:r>
      <w:r>
        <w:rPr>
          <w:rFonts w:ascii="Arial"/>
          <w:sz w:val="38"/>
          <w:rtl/>
        </w:rPr>
        <w:t xml:space="preserve"> כנ"ל דנכללין בא' שהוא אחד בחושבן אותיותיו. כל בחושבן האמור כאן, הכל הוא במספר קטן:</w:t>
      </w:r>
    </w:p>
  </w:footnote>
  <w:footnote w:id="255">
    <w:p w:rsidR="00A13282" w:rsidRDefault="00A13282" w:rsidP="00D45634">
      <w:pPr>
        <w:pStyle w:val="a5"/>
      </w:pPr>
      <w:r>
        <w:rPr>
          <w:rStyle w:val="a7"/>
        </w:rPr>
        <w:footnoteRef/>
      </w:r>
      <w:r>
        <w:t xml:space="preserve"> </w:t>
      </w:r>
      <w:r>
        <w:rPr>
          <w:rFonts w:ascii="Arial"/>
          <w:b/>
          <w:bCs/>
          <w:sz w:val="38"/>
          <w:rtl/>
        </w:rPr>
        <w:t>איהו קומץ.</w:t>
      </w:r>
      <w:r>
        <w:rPr>
          <w:rFonts w:ascii="Arial"/>
          <w:sz w:val="38"/>
          <w:rtl/>
        </w:rPr>
        <w:t xml:space="preserve"> כי כולם בחכמה עשית והן סתימין שם וזה שאומר קומץ:</w:t>
      </w:r>
    </w:p>
  </w:footnote>
  <w:footnote w:id="256">
    <w:p w:rsidR="00A13282" w:rsidRDefault="00A13282" w:rsidP="00D45634">
      <w:pPr>
        <w:pStyle w:val="a5"/>
      </w:pPr>
      <w:r>
        <w:rPr>
          <w:rStyle w:val="a7"/>
        </w:rPr>
        <w:footnoteRef/>
      </w:r>
      <w:r>
        <w:t xml:space="preserve"> </w:t>
      </w:r>
      <w:r>
        <w:rPr>
          <w:rFonts w:ascii="Arial"/>
          <w:b/>
          <w:bCs/>
          <w:sz w:val="38"/>
          <w:rtl/>
        </w:rPr>
        <w:t>שית סרי אנפין דחיוון.</w:t>
      </w:r>
      <w:r>
        <w:rPr>
          <w:rFonts w:ascii="Arial"/>
          <w:sz w:val="38"/>
          <w:rtl/>
        </w:rPr>
        <w:t xml:space="preserve"> שנאמר וארבעה פנים לאחת:</w:t>
      </w:r>
    </w:p>
  </w:footnote>
  <w:footnote w:id="257">
    <w:p w:rsidR="00A13282" w:rsidRDefault="00A13282" w:rsidP="00D45634">
      <w:pPr>
        <w:pStyle w:val="a5"/>
      </w:pPr>
      <w:r>
        <w:rPr>
          <w:rStyle w:val="a7"/>
        </w:rPr>
        <w:footnoteRef/>
      </w:r>
      <w:r>
        <w:t xml:space="preserve"> </w:t>
      </w:r>
      <w:r>
        <w:rPr>
          <w:rFonts w:ascii="Arial"/>
          <w:b/>
          <w:bCs/>
          <w:sz w:val="38"/>
          <w:rtl/>
        </w:rPr>
        <w:t>כל נקודין כו'.</w:t>
      </w:r>
      <w:r>
        <w:rPr>
          <w:rFonts w:ascii="Arial"/>
          <w:sz w:val="38"/>
          <w:rtl/>
        </w:rPr>
        <w:t xml:space="preserve"> דניצוצין של הט' נקודות הן ששה עשר:</w:t>
      </w:r>
    </w:p>
  </w:footnote>
  <w:footnote w:id="258">
    <w:p w:rsidR="00A13282" w:rsidRDefault="00A13282" w:rsidP="00D45634">
      <w:pPr>
        <w:pStyle w:val="a5"/>
      </w:pPr>
      <w:r>
        <w:rPr>
          <w:rStyle w:val="a7"/>
        </w:rPr>
        <w:footnoteRef/>
      </w:r>
      <w:r>
        <w:t xml:space="preserve"> </w:t>
      </w:r>
      <w:r w:rsidRPr="00954813">
        <w:rPr>
          <w:rStyle w:val="11"/>
          <w:bCs/>
          <w:szCs w:val="24"/>
          <w:rtl/>
        </w:rPr>
        <w:t>באלין חמש כו'.</w:t>
      </w:r>
      <w:r>
        <w:rPr>
          <w:rStyle w:val="23"/>
          <w:rtl/>
        </w:rPr>
        <w:t xml:space="preserve"> רוצה לומר אלה חמש נקודות הן סתימין בחכמה ששם קמץ דרמיזין בקומץ דיד בסתימו, כעין יו"ד דאיהי בחכמה ובבינה הן פתוחין ששם פתח ושם פתוח לחמש נקודות כל אחד בפרט ורמיז לחמש אצבעין בפתיחת היד ורמיז לה' דאיהי בבינה:</w:t>
      </w:r>
    </w:p>
  </w:footnote>
  <w:footnote w:id="259">
    <w:p w:rsidR="00A13282" w:rsidRDefault="00A13282" w:rsidP="00D45634">
      <w:pPr>
        <w:pStyle w:val="a5"/>
      </w:pPr>
      <w:r>
        <w:rPr>
          <w:rStyle w:val="a7"/>
        </w:rPr>
        <w:footnoteRef/>
      </w:r>
      <w:r>
        <w:t xml:space="preserve"> </w:t>
      </w:r>
      <w:r w:rsidRPr="00954813">
        <w:rPr>
          <w:rStyle w:val="11"/>
          <w:bCs/>
          <w:szCs w:val="24"/>
          <w:rtl/>
        </w:rPr>
        <w:t>הכהן.</w:t>
      </w:r>
      <w:r>
        <w:rPr>
          <w:rStyle w:val="23"/>
          <w:rtl/>
        </w:rPr>
        <w:t xml:space="preserve"> כנ"ל דחכמה נחית בברכה דכהנא:</w:t>
      </w:r>
    </w:p>
  </w:footnote>
  <w:footnote w:id="260">
    <w:p w:rsidR="00A13282" w:rsidRDefault="00A13282" w:rsidP="00D45634">
      <w:pPr>
        <w:pStyle w:val="a5"/>
      </w:pPr>
      <w:r>
        <w:rPr>
          <w:rStyle w:val="a7"/>
        </w:rPr>
        <w:footnoteRef/>
      </w:r>
      <w:r>
        <w:t xml:space="preserve"> </w:t>
      </w:r>
      <w:r w:rsidRPr="00954813">
        <w:rPr>
          <w:rStyle w:val="11"/>
          <w:bCs/>
          <w:szCs w:val="24"/>
          <w:rtl/>
        </w:rPr>
        <w:t>כחשבן.</w:t>
      </w:r>
      <w:r>
        <w:rPr>
          <w:rStyle w:val="23"/>
          <w:rtl/>
        </w:rPr>
        <w:t xml:space="preserve"> רוצה לומר חשבון דנקודין הוא במספר קטן:</w:t>
      </w:r>
    </w:p>
  </w:footnote>
  <w:footnote w:id="261">
    <w:p w:rsidR="00A13282" w:rsidRDefault="00A13282" w:rsidP="00D45634">
      <w:pPr>
        <w:pStyle w:val="a5"/>
      </w:pPr>
      <w:r>
        <w:rPr>
          <w:rStyle w:val="a7"/>
        </w:rPr>
        <w:footnoteRef/>
      </w:r>
      <w:r>
        <w:t xml:space="preserve"> </w:t>
      </w:r>
      <w:r w:rsidRPr="00954813">
        <w:rPr>
          <w:rStyle w:val="11"/>
          <w:bCs/>
          <w:szCs w:val="24"/>
          <w:rtl/>
        </w:rPr>
        <w:t>כי יד כו'.</w:t>
      </w:r>
      <w:r>
        <w:rPr>
          <w:rStyle w:val="23"/>
          <w:rtl/>
        </w:rPr>
        <w:t xml:space="preserve"> י"ד פרקין:</w:t>
      </w:r>
    </w:p>
  </w:footnote>
  <w:footnote w:id="262">
    <w:p w:rsidR="00A13282" w:rsidRDefault="00A13282" w:rsidP="00D45634">
      <w:pPr>
        <w:pStyle w:val="a5"/>
      </w:pPr>
      <w:r>
        <w:rPr>
          <w:rStyle w:val="a7"/>
        </w:rPr>
        <w:footnoteRef/>
      </w:r>
      <w:r>
        <w:t xml:space="preserve"> </w:t>
      </w:r>
      <w:r w:rsidRPr="00954813">
        <w:rPr>
          <w:rStyle w:val="11"/>
          <w:bCs/>
          <w:szCs w:val="24"/>
          <w:rtl/>
        </w:rPr>
        <w:t>על כס י-ה.</w:t>
      </w:r>
      <w:r>
        <w:rPr>
          <w:rStyle w:val="23"/>
          <w:rtl/>
        </w:rPr>
        <w:t xml:space="preserve"> דבהון אותיות י"ה כנ"ל:</w:t>
      </w:r>
    </w:p>
  </w:footnote>
  <w:footnote w:id="263">
    <w:p w:rsidR="00A13282" w:rsidRDefault="00A13282" w:rsidP="00D45634">
      <w:pPr>
        <w:pStyle w:val="a5"/>
      </w:pPr>
      <w:r>
        <w:rPr>
          <w:rStyle w:val="a7"/>
        </w:rPr>
        <w:footnoteRef/>
      </w:r>
      <w:r>
        <w:t xml:space="preserve"> </w:t>
      </w:r>
      <w:r>
        <w:rPr>
          <w:rFonts w:ascii="Arial"/>
          <w:b/>
          <w:bCs/>
          <w:sz w:val="38"/>
          <w:rtl/>
        </w:rPr>
        <w:t>איהו יו"ד.</w:t>
      </w:r>
      <w:r>
        <w:rPr>
          <w:rFonts w:ascii="Arial"/>
          <w:sz w:val="38"/>
          <w:rtl/>
        </w:rPr>
        <w:t xml:space="preserve"> רוצה לומר יו"ד מלא:</w:t>
      </w:r>
    </w:p>
  </w:footnote>
  <w:footnote w:id="264">
    <w:p w:rsidR="00A13282" w:rsidRDefault="00A13282" w:rsidP="00D45634">
      <w:pPr>
        <w:pStyle w:val="a5"/>
      </w:pPr>
      <w:r>
        <w:rPr>
          <w:rStyle w:val="a7"/>
        </w:rPr>
        <w:footnoteRef/>
      </w:r>
      <w:r>
        <w:t xml:space="preserve"> </w:t>
      </w:r>
      <w:r>
        <w:rPr>
          <w:rFonts w:ascii="Arial"/>
          <w:b/>
          <w:bCs/>
          <w:sz w:val="38"/>
          <w:rtl/>
        </w:rPr>
        <w:t>אלא יודיך ואינון כו'.</w:t>
      </w:r>
      <w:r>
        <w:rPr>
          <w:rFonts w:ascii="Arial"/>
          <w:sz w:val="38"/>
          <w:rtl/>
        </w:rPr>
        <w:t xml:space="preserve"> דבקמץ אינון סתימין באות יו"ד דאיהי קמץ כמו שאומר לעיל והיא חכמה, יו"ד עילאה, יו"ד של המילוי דבה תרין יודין ואינון חכמה עילאה חכמה תתאה דאבא יסד ברתא וזה שאומר ואינון י"י מן כו' ומתפתחין בפתח שהיא הבינה:</w:t>
      </w:r>
    </w:p>
  </w:footnote>
  <w:footnote w:id="265">
    <w:p w:rsidR="00A13282" w:rsidRDefault="00A13282" w:rsidP="00D45634">
      <w:pPr>
        <w:pStyle w:val="a5"/>
      </w:pPr>
      <w:r>
        <w:rPr>
          <w:rStyle w:val="a7"/>
        </w:rPr>
        <w:footnoteRef/>
      </w:r>
      <w:r>
        <w:t xml:space="preserve"> </w:t>
      </w:r>
      <w:r>
        <w:rPr>
          <w:rFonts w:ascii="Arial"/>
          <w:b/>
          <w:bCs/>
          <w:sz w:val="38"/>
          <w:rtl/>
        </w:rPr>
        <w:t>ובאן אתר מתפתחין.</w:t>
      </w:r>
      <w:r>
        <w:rPr>
          <w:rFonts w:ascii="Arial"/>
          <w:sz w:val="38"/>
          <w:rtl/>
        </w:rPr>
        <w:t xml:space="preserve"> דביו"ד איהו סתים, בקמץ כמו שאומר לעיל:</w:t>
      </w:r>
    </w:p>
  </w:footnote>
  <w:footnote w:id="266">
    <w:p w:rsidR="00A13282" w:rsidRDefault="00A13282" w:rsidP="00D45634">
      <w:pPr>
        <w:pStyle w:val="a5"/>
      </w:pPr>
      <w:r>
        <w:rPr>
          <w:rStyle w:val="a7"/>
        </w:rPr>
        <w:footnoteRef/>
      </w:r>
      <w:r>
        <w:t xml:space="preserve"> </w:t>
      </w:r>
      <w:r>
        <w:rPr>
          <w:rFonts w:ascii="Arial"/>
          <w:b/>
          <w:bCs/>
          <w:sz w:val="38"/>
          <w:rtl/>
        </w:rPr>
        <w:t>את שני כו'.</w:t>
      </w:r>
      <w:r>
        <w:rPr>
          <w:rFonts w:ascii="Arial"/>
          <w:sz w:val="38"/>
          <w:rtl/>
        </w:rPr>
        <w:t xml:space="preserve"> שת"ת מקבל מחו"ג וכן מלכות מחו"ג כמו שאומר לעיל ולכך בצרי ובשבא הן שני המאורות, ת"ת ומלכות, רק כי הגבורות מקבלות מאימא ע"י ת"ת אבל החסדים מקבלים מאבא שלא על ידו כידוע בסוד אבא יסד ברתא לכך בצרי שהוא חסד הן שוין ובשבא, גבורה, את המאור הגדול כו':</w:t>
      </w:r>
    </w:p>
  </w:footnote>
  <w:footnote w:id="267">
    <w:p w:rsidR="00A13282" w:rsidRDefault="00A13282" w:rsidP="00D45634">
      <w:pPr>
        <w:pStyle w:val="a5"/>
      </w:pPr>
      <w:r>
        <w:rPr>
          <w:rStyle w:val="a7"/>
        </w:rPr>
        <w:footnoteRef/>
      </w:r>
      <w:r>
        <w:t xml:space="preserve"> </w:t>
      </w:r>
      <w:r>
        <w:rPr>
          <w:rFonts w:ascii="Arial"/>
          <w:b/>
          <w:bCs/>
          <w:sz w:val="38"/>
          <w:rtl/>
        </w:rPr>
        <w:t>ואינון ל"ב כו'.</w:t>
      </w:r>
      <w:r>
        <w:rPr>
          <w:rFonts w:ascii="Arial"/>
          <w:sz w:val="38"/>
          <w:rtl/>
        </w:rPr>
        <w:t xml:space="preserve"> כנ"ל דהרוצה להחכים ידרים:</w:t>
      </w:r>
    </w:p>
  </w:footnote>
  <w:footnote w:id="268">
    <w:p w:rsidR="00A13282" w:rsidRDefault="00A13282" w:rsidP="00D45634">
      <w:pPr>
        <w:pStyle w:val="a5"/>
      </w:pPr>
      <w:r>
        <w:rPr>
          <w:rStyle w:val="a7"/>
        </w:rPr>
        <w:footnoteRef/>
      </w:r>
      <w:r>
        <w:t xml:space="preserve"> </w:t>
      </w:r>
      <w:r>
        <w:rPr>
          <w:rFonts w:ascii="Arial"/>
          <w:b/>
          <w:bCs/>
          <w:sz w:val="38"/>
          <w:rtl/>
        </w:rPr>
        <w:t>הרי מ"ב.</w:t>
      </w:r>
      <w:r>
        <w:rPr>
          <w:rFonts w:ascii="Arial"/>
          <w:sz w:val="38"/>
          <w:rtl/>
        </w:rPr>
        <w:t xml:space="preserve"> דז' ספירן, מחו"ג שהן תחילת הבנין, הן בשם מ"ב ובהון אצטיירו כמו שאומר בתיקון ד' וזה שאומר ובגין דא כו':</w:t>
      </w:r>
    </w:p>
  </w:footnote>
  <w:footnote w:id="269">
    <w:p w:rsidR="00A13282" w:rsidRDefault="00A13282" w:rsidP="00D45634">
      <w:pPr>
        <w:pStyle w:val="a5"/>
      </w:pPr>
      <w:r>
        <w:rPr>
          <w:rStyle w:val="a7"/>
        </w:rPr>
        <w:footnoteRef/>
      </w:r>
      <w:r>
        <w:t xml:space="preserve"> </w:t>
      </w:r>
      <w:r>
        <w:rPr>
          <w:rFonts w:ascii="Arial"/>
          <w:b/>
          <w:bCs/>
          <w:sz w:val="38"/>
          <w:rtl/>
        </w:rPr>
        <w:t>ובגין דא צרי כו'.</w:t>
      </w:r>
      <w:r>
        <w:rPr>
          <w:rFonts w:ascii="Arial"/>
          <w:sz w:val="38"/>
          <w:rtl/>
        </w:rPr>
        <w:t xml:space="preserve"> דבשם מ"ב צייר עלמא, מ"ב דמעשה בראשית:</w:t>
      </w:r>
    </w:p>
  </w:footnote>
  <w:footnote w:id="270">
    <w:p w:rsidR="00A13282" w:rsidRDefault="00A13282" w:rsidP="00D45634">
      <w:pPr>
        <w:pStyle w:val="a5"/>
      </w:pPr>
      <w:r>
        <w:rPr>
          <w:rStyle w:val="a7"/>
        </w:rPr>
        <w:footnoteRef/>
      </w:r>
      <w:r>
        <w:t xml:space="preserve"> </w:t>
      </w:r>
      <w:r>
        <w:rPr>
          <w:rFonts w:ascii="Arial"/>
          <w:b/>
          <w:bCs/>
          <w:sz w:val="38"/>
          <w:rtl/>
        </w:rPr>
        <w:t>בי' צייר כו'.</w:t>
      </w:r>
      <w:r>
        <w:rPr>
          <w:rFonts w:ascii="Arial"/>
          <w:sz w:val="38"/>
          <w:rtl/>
        </w:rPr>
        <w:t xml:space="preserve"> לשון צרי:</w:t>
      </w:r>
    </w:p>
  </w:footnote>
  <w:footnote w:id="271">
    <w:p w:rsidR="00A13282" w:rsidRDefault="00A13282" w:rsidP="00D45634">
      <w:pPr>
        <w:pStyle w:val="a5"/>
      </w:pPr>
      <w:r>
        <w:rPr>
          <w:rStyle w:val="a7"/>
        </w:rPr>
        <w:footnoteRef/>
      </w:r>
      <w:r>
        <w:t xml:space="preserve"> </w:t>
      </w:r>
      <w:r>
        <w:rPr>
          <w:rFonts w:ascii="Arial"/>
          <w:b/>
          <w:bCs/>
          <w:sz w:val="38"/>
          <w:rtl/>
        </w:rPr>
        <w:t>וייצר תמן צרי.</w:t>
      </w:r>
      <w:r>
        <w:rPr>
          <w:rFonts w:ascii="Arial"/>
          <w:sz w:val="38"/>
          <w:rtl/>
        </w:rPr>
        <w:t xml:space="preserve"> רוצה לומר דבתיבת וייצר יש שם אותיות צרי. וכן בכל מקום שאומר בתיקונים תמן, אינו דורש כל התיבה כמו שאומר לקמן בתיקונים:</w:t>
      </w:r>
    </w:p>
  </w:footnote>
  <w:footnote w:id="272">
    <w:p w:rsidR="00A13282" w:rsidRDefault="00A13282" w:rsidP="00D45634">
      <w:pPr>
        <w:pStyle w:val="a5"/>
      </w:pPr>
      <w:r>
        <w:rPr>
          <w:rStyle w:val="a7"/>
        </w:rPr>
        <w:footnoteRef/>
      </w:r>
      <w:r>
        <w:t xml:space="preserve"> </w:t>
      </w:r>
      <w:r>
        <w:rPr>
          <w:rFonts w:ascii="Arial"/>
          <w:b/>
          <w:bCs/>
          <w:sz w:val="38"/>
          <w:rtl/>
        </w:rPr>
        <w:t>בי' צייר אדם.</w:t>
      </w:r>
      <w:r>
        <w:rPr>
          <w:rFonts w:ascii="Arial"/>
          <w:sz w:val="38"/>
          <w:rtl/>
        </w:rPr>
        <w:t xml:space="preserve"> דוייצר קאי על אדם ועל כן הולך ומפרש חושבן אדם:</w:t>
      </w:r>
    </w:p>
  </w:footnote>
  <w:footnote w:id="273">
    <w:p w:rsidR="00A13282" w:rsidRDefault="00A13282" w:rsidP="00D45634">
      <w:pPr>
        <w:pStyle w:val="a5"/>
      </w:pPr>
      <w:r>
        <w:rPr>
          <w:rStyle w:val="a7"/>
        </w:rPr>
        <w:footnoteRef/>
      </w:r>
      <w:r>
        <w:t xml:space="preserve"> </w:t>
      </w:r>
      <w:r>
        <w:rPr>
          <w:rFonts w:ascii="Arial"/>
          <w:b/>
          <w:bCs/>
          <w:sz w:val="38"/>
          <w:rtl/>
        </w:rPr>
        <w:t>ביה צייר אדם.</w:t>
      </w:r>
      <w:r>
        <w:rPr>
          <w:rFonts w:ascii="Arial"/>
          <w:sz w:val="38"/>
          <w:rtl/>
        </w:rPr>
        <w:t xml:space="preserve"> רוצה לומר שמא מפרש שהוא בפנים הספירות כנ"ל וזה שאומר הרי כו' וזה סוד עשר ספירות בלי מה - מ"ב מלבר, מ"ה מלגאו. וכל זה הוא ג"כ בשב"א כי הוא ג"כ התחלת הבנין, זה מימין וזה משמאל אלא שהתחלת הציור הוא בחסד שלמעלה הן במחשבה ולכך הוא שם צרי צייר כו':</w:t>
      </w:r>
    </w:p>
  </w:footnote>
  <w:footnote w:id="274">
    <w:p w:rsidR="00A13282" w:rsidRDefault="00A13282" w:rsidP="00D45634">
      <w:pPr>
        <w:pStyle w:val="a5"/>
      </w:pPr>
      <w:r>
        <w:rPr>
          <w:rStyle w:val="a7"/>
        </w:rPr>
        <w:footnoteRef/>
      </w:r>
      <w:r>
        <w:t xml:space="preserve"> </w:t>
      </w:r>
      <w:r>
        <w:rPr>
          <w:rFonts w:ascii="Arial"/>
          <w:b/>
          <w:bCs/>
          <w:sz w:val="38"/>
          <w:rtl/>
        </w:rPr>
        <w:t>את המאור הגדול כו'.</w:t>
      </w:r>
      <w:r>
        <w:rPr>
          <w:rFonts w:ascii="Arial"/>
          <w:sz w:val="38"/>
          <w:rtl/>
        </w:rPr>
        <w:t xml:space="preserve"> דבצרי שניהם שוין אבל כאן אחד גבוה מחבירו:</w:t>
      </w:r>
    </w:p>
  </w:footnote>
  <w:footnote w:id="275">
    <w:p w:rsidR="00A13282" w:rsidRDefault="00A13282" w:rsidP="00D45634">
      <w:pPr>
        <w:pStyle w:val="a5"/>
      </w:pPr>
      <w:r>
        <w:rPr>
          <w:rStyle w:val="a7"/>
        </w:rPr>
        <w:footnoteRef/>
      </w:r>
      <w:r>
        <w:t xml:space="preserve"> </w:t>
      </w:r>
      <w:r>
        <w:rPr>
          <w:rFonts w:ascii="Arial"/>
          <w:bCs/>
          <w:sz w:val="38"/>
          <w:rtl/>
        </w:rPr>
        <w:t>ובי' רזא כו'.</w:t>
      </w:r>
      <w:r>
        <w:rPr>
          <w:rFonts w:ascii="Arial"/>
          <w:sz w:val="38"/>
          <w:rtl/>
        </w:rPr>
        <w:t xml:space="preserve"> לפי שנקודותיו שוות לצרי מפרש כל עניניו כמו בצרי לכך קאמר אוף הכי את כו':</w:t>
      </w:r>
    </w:p>
  </w:footnote>
  <w:footnote w:id="276">
    <w:p w:rsidR="00A13282" w:rsidRDefault="00A13282" w:rsidP="00D45634">
      <w:pPr>
        <w:pStyle w:val="a5"/>
      </w:pPr>
      <w:r>
        <w:rPr>
          <w:rStyle w:val="a7"/>
        </w:rPr>
        <w:footnoteRef/>
      </w:r>
      <w:r>
        <w:t xml:space="preserve"> </w:t>
      </w:r>
      <w:r>
        <w:rPr>
          <w:rFonts w:ascii="Arial"/>
          <w:b/>
          <w:bCs/>
          <w:sz w:val="38"/>
          <w:rtl/>
        </w:rPr>
        <w:t>ורזא דמלה כו'.</w:t>
      </w:r>
      <w:r>
        <w:rPr>
          <w:rFonts w:ascii="Arial"/>
          <w:sz w:val="38"/>
          <w:rtl/>
        </w:rPr>
        <w:t xml:space="preserve"> רוצה לומר דכתיב שמו מ"ה, דבשמו מרומז מ"ה, והוא באחת מנקודותיו והוא שב"א:</w:t>
      </w:r>
    </w:p>
  </w:footnote>
  <w:footnote w:id="277">
    <w:p w:rsidR="00A13282" w:rsidRDefault="00A13282" w:rsidP="00D45634">
      <w:pPr>
        <w:pStyle w:val="a5"/>
      </w:pPr>
      <w:r>
        <w:rPr>
          <w:rStyle w:val="a7"/>
        </w:rPr>
        <w:footnoteRef/>
      </w:r>
      <w:r>
        <w:t xml:space="preserve"> </w:t>
      </w:r>
      <w:r>
        <w:rPr>
          <w:rFonts w:ascii="Arial"/>
          <w:b/>
          <w:bCs/>
          <w:sz w:val="38"/>
          <w:rtl/>
        </w:rPr>
        <w:t>ואיהו וו"ו מן ויסע כו'.</w:t>
      </w:r>
      <w:r>
        <w:rPr>
          <w:rFonts w:ascii="Arial"/>
          <w:sz w:val="38"/>
          <w:rtl/>
        </w:rPr>
        <w:t xml:space="preserve"> שהוא בת"ת, כליל מג' אבהן:</w:t>
      </w:r>
    </w:p>
  </w:footnote>
  <w:footnote w:id="278">
    <w:p w:rsidR="00A13282" w:rsidRDefault="00A13282" w:rsidP="00D45634">
      <w:pPr>
        <w:pStyle w:val="a5"/>
      </w:pPr>
      <w:r>
        <w:rPr>
          <w:rStyle w:val="a7"/>
        </w:rPr>
        <w:footnoteRef/>
      </w:r>
      <w:r>
        <w:t xml:space="preserve"> </w:t>
      </w:r>
      <w:r>
        <w:rPr>
          <w:rFonts w:ascii="Arial"/>
          <w:b/>
          <w:bCs/>
          <w:sz w:val="38"/>
          <w:rtl/>
        </w:rPr>
        <w:t>ותלת נקודין יי"י.</w:t>
      </w:r>
      <w:r>
        <w:rPr>
          <w:rFonts w:ascii="Arial"/>
          <w:sz w:val="38"/>
          <w:rtl/>
        </w:rPr>
        <w:t xml:space="preserve"> הן אותיות שניות של ויסע כו':</w:t>
      </w:r>
    </w:p>
  </w:footnote>
  <w:footnote w:id="279">
    <w:p w:rsidR="00A13282" w:rsidRDefault="00A13282" w:rsidP="00D45634">
      <w:pPr>
        <w:pStyle w:val="a5"/>
      </w:pPr>
      <w:r>
        <w:rPr>
          <w:rStyle w:val="a7"/>
        </w:rPr>
        <w:footnoteRef/>
      </w:r>
      <w:r>
        <w:t xml:space="preserve"> </w:t>
      </w:r>
      <w:r>
        <w:rPr>
          <w:rFonts w:ascii="Arial"/>
          <w:b/>
          <w:bCs/>
          <w:sz w:val="38"/>
          <w:rtl/>
        </w:rPr>
        <w:t>איהו חמ"ד.</w:t>
      </w:r>
      <w:r>
        <w:rPr>
          <w:rFonts w:ascii="Arial"/>
          <w:sz w:val="38"/>
          <w:rtl/>
        </w:rPr>
        <w:t xml:space="preserve"> רוצה לומר סגול דסגל לשון חמד:</w:t>
      </w:r>
    </w:p>
  </w:footnote>
  <w:footnote w:id="280">
    <w:p w:rsidR="00A13282" w:rsidRDefault="00A13282" w:rsidP="00D45634">
      <w:pPr>
        <w:pStyle w:val="a5"/>
      </w:pPr>
      <w:r>
        <w:rPr>
          <w:rStyle w:val="a7"/>
        </w:rPr>
        <w:footnoteRef/>
      </w:r>
      <w:r>
        <w:t xml:space="preserve"> </w:t>
      </w:r>
      <w:r>
        <w:rPr>
          <w:rFonts w:ascii="Arial"/>
          <w:b/>
          <w:bCs/>
          <w:sz w:val="38"/>
          <w:rtl/>
        </w:rPr>
        <w:t>פני משה.</w:t>
      </w:r>
      <w:r>
        <w:rPr>
          <w:rFonts w:ascii="Arial"/>
          <w:sz w:val="38"/>
          <w:rtl/>
        </w:rPr>
        <w:t xml:space="preserve"> ת"ת וכן חמה:</w:t>
      </w:r>
    </w:p>
  </w:footnote>
  <w:footnote w:id="281">
    <w:p w:rsidR="00A13282" w:rsidRDefault="00A13282" w:rsidP="00D45634">
      <w:pPr>
        <w:pStyle w:val="a5"/>
      </w:pPr>
      <w:r>
        <w:rPr>
          <w:rStyle w:val="a7"/>
        </w:rPr>
        <w:footnoteRef/>
      </w:r>
      <w:r>
        <w:t xml:space="preserve"> </w:t>
      </w:r>
      <w:r>
        <w:rPr>
          <w:rFonts w:ascii="Arial"/>
          <w:b/>
          <w:bCs/>
          <w:sz w:val="38"/>
          <w:rtl/>
        </w:rPr>
        <w:t>הא אינון מ"ה כו'.</w:t>
      </w:r>
      <w:r>
        <w:rPr>
          <w:rFonts w:ascii="Arial"/>
          <w:sz w:val="38"/>
          <w:rtl/>
        </w:rPr>
        <w:t xml:space="preserve"> דאיהו בנצח וכן משה בנצח כידוע וזה שאומר נ' שערי בינה כו' וכן ביצירה - מט"ט שהוא דוגמת הת"ת וזה שאומר ולתתא כו':</w:t>
      </w:r>
    </w:p>
  </w:footnote>
  <w:footnote w:id="282">
    <w:p w:rsidR="00A13282" w:rsidRDefault="00A13282" w:rsidP="00D45634">
      <w:pPr>
        <w:pStyle w:val="a5"/>
      </w:pPr>
      <w:r>
        <w:rPr>
          <w:rStyle w:val="a7"/>
        </w:rPr>
        <w:footnoteRef/>
      </w:r>
      <w:r>
        <w:t xml:space="preserve"> </w:t>
      </w:r>
      <w:r>
        <w:rPr>
          <w:rFonts w:ascii="Arial"/>
          <w:b/>
          <w:bCs/>
          <w:sz w:val="38"/>
          <w:rtl/>
        </w:rPr>
        <w:t>ולתתא במלאכים.</w:t>
      </w:r>
      <w:r>
        <w:rPr>
          <w:rFonts w:ascii="Arial"/>
          <w:sz w:val="38"/>
          <w:rtl/>
        </w:rPr>
        <w:t xml:space="preserve"> רוצה לומר מדרגת משה:</w:t>
      </w:r>
    </w:p>
  </w:footnote>
  <w:footnote w:id="283">
    <w:p w:rsidR="00A13282" w:rsidRDefault="00A13282" w:rsidP="00D45634">
      <w:pPr>
        <w:jc w:val="both"/>
      </w:pPr>
      <w:r>
        <w:rPr>
          <w:rStyle w:val="a7"/>
        </w:rPr>
        <w:footnoteRef/>
      </w:r>
      <w:r>
        <w:t xml:space="preserve"> </w:t>
      </w:r>
      <w:r>
        <w:rPr>
          <w:rFonts w:ascii="Arial" w:cs="Arial"/>
          <w:b/>
          <w:bCs/>
          <w:sz w:val="38"/>
          <w:rtl/>
        </w:rPr>
        <w:t>חולם במלאכים.</w:t>
      </w:r>
      <w:r>
        <w:rPr>
          <w:rFonts w:ascii="Arial" w:cs="Arial"/>
          <w:sz w:val="38"/>
          <w:rtl/>
        </w:rPr>
        <w:t xml:space="preserve"> על גבי כל המלאכים כחולם דאיהו  </w:t>
      </w:r>
      <w:r>
        <w:rPr>
          <w:rtl/>
        </w:rPr>
        <w:t>על גבי כל נקודין:</w:t>
      </w:r>
    </w:p>
  </w:footnote>
  <w:footnote w:id="284">
    <w:p w:rsidR="00A13282" w:rsidRDefault="00A13282" w:rsidP="00D45634">
      <w:pPr>
        <w:pStyle w:val="a5"/>
      </w:pPr>
      <w:r>
        <w:rPr>
          <w:rStyle w:val="a7"/>
        </w:rPr>
        <w:footnoteRef/>
      </w:r>
      <w:r>
        <w:t xml:space="preserve"> </w:t>
      </w:r>
      <w:r>
        <w:rPr>
          <w:rFonts w:ascii="Arial"/>
          <w:b/>
          <w:bCs/>
          <w:sz w:val="38"/>
          <w:rtl/>
        </w:rPr>
        <w:t>חרק חושבנא ו"ה.</w:t>
      </w:r>
      <w:r>
        <w:rPr>
          <w:rFonts w:ascii="Arial"/>
          <w:sz w:val="38"/>
          <w:rtl/>
        </w:rPr>
        <w:t xml:space="preserve"> דנו"ה הן תרי פלגי דגופא ובהון הוי"ה אחת, י"ה בנצח ו"ה בהוד וכן איהו בנצח ואיהי בהוד. וי"ה הוא בשמים וו"ה בארץ כמו שכתוב י'שמחו ה'שמים ו'תגל ה'ארץ לכך חלם בגימטריה י"ה, חרק ו"ה:</w:t>
      </w:r>
    </w:p>
  </w:footnote>
  <w:footnote w:id="285">
    <w:p w:rsidR="00A13282" w:rsidRDefault="00A13282" w:rsidP="00D45634">
      <w:pPr>
        <w:pStyle w:val="a5"/>
      </w:pPr>
      <w:r>
        <w:rPr>
          <w:rStyle w:val="a7"/>
        </w:rPr>
        <w:footnoteRef/>
      </w:r>
      <w:r>
        <w:t xml:space="preserve"> </w:t>
      </w:r>
      <w:r>
        <w:rPr>
          <w:rFonts w:ascii="Arial"/>
          <w:b/>
          <w:bCs/>
          <w:sz w:val="38"/>
          <w:rtl/>
        </w:rPr>
        <w:t>איהו אם.</w:t>
      </w:r>
      <w:r>
        <w:rPr>
          <w:rFonts w:ascii="Arial"/>
          <w:sz w:val="38"/>
          <w:rtl/>
        </w:rPr>
        <w:t xml:space="preserve"> דאיהי בהוד והוא אם דאלקים דמ"ה הוא בנצח כנ"ל והוא אותיות לה"י מן אלקים הרי הוי' אלהים מתחלק בהן דהן תרי פלגי דגופא כנ"ל:</w:t>
      </w:r>
    </w:p>
  </w:footnote>
  <w:footnote w:id="286">
    <w:p w:rsidR="00A13282" w:rsidRDefault="00A13282" w:rsidP="00D45634">
      <w:pPr>
        <w:pStyle w:val="a5"/>
      </w:pPr>
      <w:r>
        <w:rPr>
          <w:rStyle w:val="a7"/>
        </w:rPr>
        <w:footnoteRef/>
      </w:r>
      <w:r>
        <w:t xml:space="preserve"> </w:t>
      </w:r>
      <w:r>
        <w:rPr>
          <w:rFonts w:ascii="Arial"/>
          <w:b/>
          <w:bCs/>
          <w:sz w:val="38"/>
          <w:rtl/>
        </w:rPr>
        <w:t>סוד ה' כו'.</w:t>
      </w:r>
      <w:r>
        <w:rPr>
          <w:rFonts w:ascii="Arial"/>
          <w:sz w:val="38"/>
          <w:rtl/>
        </w:rPr>
        <w:t xml:space="preserve"> דביה כל רזין גניזין:</w:t>
      </w:r>
    </w:p>
  </w:footnote>
  <w:footnote w:id="287">
    <w:p w:rsidR="00A13282" w:rsidRDefault="00A13282" w:rsidP="00D45634">
      <w:pPr>
        <w:pStyle w:val="a5"/>
      </w:pPr>
      <w:r>
        <w:rPr>
          <w:rStyle w:val="a7"/>
        </w:rPr>
        <w:footnoteRef/>
      </w:r>
      <w:r>
        <w:t xml:space="preserve"> </w:t>
      </w:r>
      <w:r>
        <w:rPr>
          <w:rFonts w:ascii="Arial"/>
          <w:b/>
          <w:bCs/>
          <w:sz w:val="38"/>
          <w:rtl/>
        </w:rPr>
        <w:t>ובי' רנו כו'.</w:t>
      </w:r>
      <w:r>
        <w:rPr>
          <w:rFonts w:ascii="Arial"/>
          <w:sz w:val="38"/>
          <w:rtl/>
        </w:rPr>
        <w:t xml:space="preserve"> כמו שאומר בתיקוני זוהר חדש דכמה קיצין הן כל אחד כפי מדה דתליא ביה ונ"ו הוא ביסוד דעד הוד אתפשטותא דנ' תרעין ויסוד הוא ו' זעירא כמו שאומר בזהר שמות, הרי נ"ו:</w:t>
      </w:r>
    </w:p>
  </w:footnote>
  <w:footnote w:id="288">
    <w:p w:rsidR="00A13282" w:rsidRDefault="00A13282" w:rsidP="00D45634">
      <w:pPr>
        <w:pStyle w:val="a5"/>
      </w:pPr>
      <w:r>
        <w:rPr>
          <w:rStyle w:val="a7"/>
        </w:rPr>
        <w:footnoteRef/>
      </w:r>
      <w:r>
        <w:t xml:space="preserve"> </w:t>
      </w:r>
      <w:r>
        <w:rPr>
          <w:rFonts w:ascii="Arial"/>
          <w:b/>
          <w:bCs/>
          <w:sz w:val="38"/>
          <w:rtl/>
        </w:rPr>
        <w:t>דכל נקודי כו'.</w:t>
      </w:r>
      <w:r>
        <w:rPr>
          <w:rFonts w:ascii="Arial"/>
          <w:sz w:val="38"/>
          <w:rtl/>
        </w:rPr>
        <w:t xml:space="preserve"> שבתחלה ביאר נו"ן ועכשיו מבאר ס' דהוא סוד ואמר דכל נקודי כו' ואם כן שורק - ביסוד וביה אותיות סוד וזה שאומר צדיק יסוד עולם ביה סוד:</w:t>
      </w:r>
    </w:p>
  </w:footnote>
  <w:footnote w:id="289">
    <w:p w:rsidR="00A13282" w:rsidRDefault="00A13282" w:rsidP="00D45634">
      <w:pPr>
        <w:pStyle w:val="a5"/>
      </w:pPr>
      <w:r>
        <w:rPr>
          <w:rStyle w:val="a7"/>
        </w:rPr>
        <w:footnoteRef/>
      </w:r>
      <w:r>
        <w:t xml:space="preserve"> </w:t>
      </w:r>
      <w:r>
        <w:rPr>
          <w:rFonts w:ascii="Arial"/>
          <w:b/>
          <w:bCs/>
          <w:sz w:val="38"/>
          <w:rtl/>
        </w:rPr>
        <w:t>שורק תניינא כו'.</w:t>
      </w:r>
      <w:r>
        <w:rPr>
          <w:rFonts w:ascii="Arial"/>
          <w:sz w:val="38"/>
          <w:rtl/>
        </w:rPr>
        <w:t xml:space="preserve"> הוא שורק גדול וזה שאומר בתוספת ו':</w:t>
      </w:r>
    </w:p>
  </w:footnote>
  <w:footnote w:id="290">
    <w:p w:rsidR="00A13282" w:rsidRDefault="00A13282" w:rsidP="00D45634">
      <w:pPr>
        <w:pStyle w:val="a5"/>
      </w:pPr>
      <w:r>
        <w:rPr>
          <w:rStyle w:val="a7"/>
        </w:rPr>
        <w:footnoteRef/>
      </w:r>
      <w:r>
        <w:t xml:space="preserve"> </w:t>
      </w:r>
      <w:r>
        <w:rPr>
          <w:rFonts w:ascii="Arial"/>
          <w:b/>
          <w:bCs/>
          <w:sz w:val="38"/>
          <w:rtl/>
        </w:rPr>
        <w:t>מ"ב.</w:t>
      </w:r>
      <w:r>
        <w:rPr>
          <w:rFonts w:ascii="Arial"/>
          <w:sz w:val="38"/>
          <w:rtl/>
        </w:rPr>
        <w:t xml:space="preserve"> רוצה לומר בגימטריה מ"ב שהוא במלכות ושם במלכות כליל שם מ"ב כמו שאומר בתיקון ד' וכאן חושב הנקודות מחכמה עד מלכות וסדרן: קמץ פתח צרי שבא סגול חולם חירק שורק שורק גדול, כסדר מחכמה. ואל תיקשי שבתיקון ע' קא חשיב מכתר עד יסוד, כבר תירץ האר"י ז"ל. וכן שם מונה סגול קודם לשבא. וכולא חשיב כאן כסדר רק הפתח, שמתחיל, משום דמפרש ביה קרא:</w:t>
      </w:r>
    </w:p>
  </w:footnote>
  <w:footnote w:id="291">
    <w:p w:rsidR="00A13282" w:rsidRDefault="00A13282" w:rsidP="00957FF7">
      <w:pPr>
        <w:pStyle w:val="a5"/>
      </w:pPr>
      <w:r>
        <w:rPr>
          <w:rStyle w:val="a7"/>
        </w:rPr>
        <w:footnoteRef/>
      </w:r>
      <w:r>
        <w:t xml:space="preserve"> </w:t>
      </w:r>
      <w:r w:rsidRPr="00954813">
        <w:rPr>
          <w:rStyle w:val="11"/>
          <w:bCs/>
          <w:szCs w:val="24"/>
          <w:rtl/>
        </w:rPr>
        <w:t>אי"ה א</w:t>
      </w:r>
      <w:r w:rsidR="00957FF7" w:rsidRPr="00954813">
        <w:rPr>
          <w:rStyle w:val="11"/>
          <w:rFonts w:hint="cs"/>
          <w:bCs/>
          <w:szCs w:val="24"/>
          <w:rtl/>
        </w:rPr>
        <w:t>ו</w:t>
      </w:r>
      <w:r w:rsidRPr="00954813">
        <w:rPr>
          <w:rStyle w:val="11"/>
          <w:bCs/>
          <w:szCs w:val="24"/>
          <w:rtl/>
        </w:rPr>
        <w:t>"ה.</w:t>
      </w:r>
      <w:r>
        <w:rPr>
          <w:rStyle w:val="23"/>
          <w:rtl/>
        </w:rPr>
        <w:t xml:space="preserve"> והן א' בחולם דהוא י"ה, והוא אי"ה. וא' בחירק הוא או"ה. ושניהם בגימטריה כ"ח:</w:t>
      </w:r>
    </w:p>
  </w:footnote>
  <w:footnote w:id="292">
    <w:p w:rsidR="00A13282" w:rsidRDefault="00A13282" w:rsidP="00D45634">
      <w:pPr>
        <w:pStyle w:val="a5"/>
      </w:pPr>
      <w:r>
        <w:rPr>
          <w:rStyle w:val="a7"/>
        </w:rPr>
        <w:footnoteRef/>
      </w:r>
      <w:r>
        <w:t xml:space="preserve"> </w:t>
      </w:r>
      <w:r w:rsidRPr="00954813">
        <w:rPr>
          <w:rStyle w:val="11"/>
          <w:bCs/>
          <w:szCs w:val="24"/>
          <w:rtl/>
        </w:rPr>
        <w:t>דרמיזין בכסא כו'.</w:t>
      </w:r>
      <w:r>
        <w:rPr>
          <w:rStyle w:val="23"/>
          <w:rtl/>
        </w:rPr>
        <w:t xml:space="preserve"> עד מקדשנו כ"ח אותיות עם יוד אחר שין דמקדשנו:</w:t>
      </w:r>
    </w:p>
  </w:footnote>
  <w:footnote w:id="293">
    <w:p w:rsidR="00A13282" w:rsidRDefault="00A13282" w:rsidP="00D45634">
      <w:pPr>
        <w:pStyle w:val="a5"/>
      </w:pPr>
      <w:r>
        <w:rPr>
          <w:rStyle w:val="a7"/>
        </w:rPr>
        <w:footnoteRef/>
      </w:r>
      <w:r>
        <w:t xml:space="preserve"> </w:t>
      </w:r>
      <w:r w:rsidRPr="00954813">
        <w:rPr>
          <w:rStyle w:val="11"/>
          <w:bCs/>
          <w:szCs w:val="24"/>
          <w:rtl/>
        </w:rPr>
        <w:t>מיד דאסתלקו.</w:t>
      </w:r>
      <w:r>
        <w:rPr>
          <w:rStyle w:val="23"/>
          <w:rtl/>
        </w:rPr>
        <w:t xml:space="preserve"> פירוש, דאתפגם הכסא ואסתלק מינה שם הוי' כנזכר לעיל דהוא אי"ה או"ה:</w:t>
      </w:r>
    </w:p>
  </w:footnote>
  <w:footnote w:id="294">
    <w:p w:rsidR="00A13282" w:rsidRDefault="00A13282" w:rsidP="00D45634">
      <w:pPr>
        <w:pStyle w:val="a5"/>
      </w:pPr>
      <w:r>
        <w:rPr>
          <w:rStyle w:val="a7"/>
        </w:rPr>
        <w:footnoteRef/>
      </w:r>
      <w:r>
        <w:t xml:space="preserve"> </w:t>
      </w:r>
      <w:r w:rsidRPr="00954813">
        <w:rPr>
          <w:rStyle w:val="11"/>
          <w:bCs/>
          <w:szCs w:val="24"/>
          <w:rtl/>
        </w:rPr>
        <w:t>ואית דמוסיף ביה ב' כו'.</w:t>
      </w:r>
      <w:r>
        <w:rPr>
          <w:rStyle w:val="23"/>
          <w:rtl/>
        </w:rPr>
        <w:t xml:space="preserve"> כמו שאמר בתיקוני זוהר חדש דף ע"ג ע"ב בתר אלף ומאתן. וע"ב הוא לתשלום המאה של החורבן שהיה בפרט קטן תתקכ"ח, והקץ הוא מאה לאלף הששי מכוון, כמו שאמר בתיקוני זוהר חדש ותנוח כו' לקץ הימין דאיהו ימינא, והוא חסד דיסוד, מאה דאלף הששי. ועיין שם כמה קיצין:</w:t>
      </w:r>
    </w:p>
  </w:footnote>
  <w:footnote w:id="295">
    <w:p w:rsidR="00A13282" w:rsidRDefault="00A13282" w:rsidP="00D45634">
      <w:pPr>
        <w:pStyle w:val="a5"/>
      </w:pPr>
      <w:r>
        <w:rPr>
          <w:rStyle w:val="a7"/>
        </w:rPr>
        <w:footnoteRef/>
      </w:r>
      <w:r>
        <w:t xml:space="preserve"> </w:t>
      </w:r>
      <w:r w:rsidRPr="00954813">
        <w:rPr>
          <w:rStyle w:val="11"/>
          <w:bCs/>
          <w:szCs w:val="24"/>
          <w:rtl/>
        </w:rPr>
        <w:t>ואית דחשיב כו'.</w:t>
      </w:r>
      <w:r>
        <w:rPr>
          <w:rStyle w:val="23"/>
          <w:rtl/>
        </w:rPr>
        <w:t xml:space="preserve"> כלומר שחושב עשרים שנה קודם החורבן, דסבירא ליה דעשרים שנה קודם החורבן בטל התמיד והוי ליה משבטל התמיד אלף מאתים ותשעים כמו שכתוב (דניאל יב יא) ומעת הוסר התמיד כו':</w:t>
      </w:r>
    </w:p>
  </w:footnote>
  <w:footnote w:id="296">
    <w:p w:rsidR="00A13282" w:rsidRDefault="00A13282" w:rsidP="00D45634">
      <w:pPr>
        <w:pStyle w:val="a5"/>
      </w:pPr>
      <w:r>
        <w:rPr>
          <w:rStyle w:val="a7"/>
        </w:rPr>
        <w:footnoteRef/>
      </w:r>
      <w:r>
        <w:t xml:space="preserve"> </w:t>
      </w:r>
      <w:r w:rsidRPr="00954813">
        <w:rPr>
          <w:rStyle w:val="11"/>
          <w:bCs/>
          <w:szCs w:val="24"/>
          <w:rtl/>
        </w:rPr>
        <w:t>אבל גז"ד כו'.</w:t>
      </w:r>
      <w:r>
        <w:rPr>
          <w:rStyle w:val="23"/>
          <w:rtl/>
        </w:rPr>
        <w:t xml:space="preserve"> דהוא חבלי משיח דבאמן יהא שמיה רבא ינצל מהן:</w:t>
      </w:r>
    </w:p>
  </w:footnote>
  <w:footnote w:id="297">
    <w:p w:rsidR="00A13282" w:rsidRDefault="00A13282" w:rsidP="00D45634">
      <w:pPr>
        <w:pStyle w:val="a5"/>
      </w:pPr>
      <w:r>
        <w:rPr>
          <w:rStyle w:val="a7"/>
        </w:rPr>
        <w:footnoteRef/>
      </w:r>
      <w:r>
        <w:t xml:space="preserve"> </w:t>
      </w:r>
      <w:r w:rsidRPr="00954813">
        <w:rPr>
          <w:rStyle w:val="11"/>
          <w:bCs/>
          <w:szCs w:val="24"/>
          <w:rtl/>
        </w:rPr>
        <w:t>ושם ה' כו'.</w:t>
      </w:r>
      <w:r>
        <w:rPr>
          <w:rStyle w:val="23"/>
          <w:rtl/>
        </w:rPr>
        <w:t xml:space="preserve"> כאן מפרש האיך אתברי בשם הוי' הכסא:</w:t>
      </w:r>
    </w:p>
  </w:footnote>
  <w:footnote w:id="298">
    <w:p w:rsidR="00A13282" w:rsidRDefault="00A13282" w:rsidP="00D45634">
      <w:pPr>
        <w:pStyle w:val="a5"/>
      </w:pPr>
      <w:r>
        <w:rPr>
          <w:rStyle w:val="a7"/>
        </w:rPr>
        <w:footnoteRef/>
      </w:r>
      <w:r>
        <w:t xml:space="preserve"> </w:t>
      </w:r>
      <w:r w:rsidRPr="00954813">
        <w:rPr>
          <w:rStyle w:val="11"/>
          <w:bCs/>
          <w:szCs w:val="24"/>
          <w:rtl/>
        </w:rPr>
        <w:t>ואית אורייתא כו'.</w:t>
      </w:r>
      <w:r>
        <w:rPr>
          <w:rStyle w:val="23"/>
          <w:rtl/>
        </w:rPr>
        <w:t xml:space="preserve"> רוצה לומר דלא תיקשי היאך אמר אורייתא איהי שכינה הא אורייתא איהי בבריאה לכך אמר ואית כו':</w:t>
      </w:r>
    </w:p>
  </w:footnote>
  <w:footnote w:id="299">
    <w:p w:rsidR="00A13282" w:rsidRDefault="00A13282" w:rsidP="00D45634">
      <w:pPr>
        <w:pStyle w:val="a5"/>
      </w:pPr>
      <w:r>
        <w:rPr>
          <w:rStyle w:val="a7"/>
        </w:rPr>
        <w:footnoteRef/>
      </w:r>
      <w:r>
        <w:t xml:space="preserve"> </w:t>
      </w:r>
      <w:r w:rsidRPr="00954813">
        <w:rPr>
          <w:rStyle w:val="11"/>
          <w:bCs/>
          <w:szCs w:val="24"/>
          <w:rtl/>
        </w:rPr>
        <w:t>ראשית דרכו.</w:t>
      </w:r>
      <w:r>
        <w:rPr>
          <w:rStyle w:val="23"/>
          <w:rtl/>
        </w:rPr>
        <w:t xml:space="preserve"> דאיהי ראשית לנבראים:</w:t>
      </w:r>
    </w:p>
  </w:footnote>
  <w:footnote w:id="300">
    <w:p w:rsidR="00A13282" w:rsidRDefault="00A13282" w:rsidP="00D45634">
      <w:pPr>
        <w:pStyle w:val="a5"/>
      </w:pPr>
      <w:r>
        <w:rPr>
          <w:rStyle w:val="a7"/>
        </w:rPr>
        <w:footnoteRef/>
      </w:r>
      <w:r>
        <w:t xml:space="preserve"> </w:t>
      </w:r>
      <w:r w:rsidRPr="00954813">
        <w:rPr>
          <w:rStyle w:val="11"/>
          <w:bCs/>
          <w:szCs w:val="24"/>
          <w:rtl/>
        </w:rPr>
        <w:t>תורת ה' תמימה.</w:t>
      </w:r>
      <w:r>
        <w:rPr>
          <w:rStyle w:val="23"/>
          <w:rtl/>
        </w:rPr>
        <w:t xml:space="preserve"> תורת ה' כנ"ל, תמימה, שאין שולט שם שום פגם. ועלה נאמר כולך יפה רעיתי ומום כו':</w:t>
      </w:r>
    </w:p>
  </w:footnote>
  <w:footnote w:id="301">
    <w:p w:rsidR="00A13282" w:rsidRDefault="00A13282" w:rsidP="00D45634">
      <w:pPr>
        <w:pStyle w:val="a5"/>
      </w:pPr>
      <w:r>
        <w:rPr>
          <w:rStyle w:val="a7"/>
        </w:rPr>
        <w:footnoteRef/>
      </w:r>
      <w:r>
        <w:t xml:space="preserve"> </w:t>
      </w:r>
      <w:r w:rsidRPr="00954813">
        <w:rPr>
          <w:rStyle w:val="11"/>
          <w:bCs/>
          <w:szCs w:val="24"/>
          <w:rtl/>
        </w:rPr>
        <w:t>ובה תמים כו'.</w:t>
      </w:r>
      <w:r>
        <w:rPr>
          <w:rStyle w:val="23"/>
          <w:rtl/>
        </w:rPr>
        <w:t xml:space="preserve"> כמו שאמר לעיל דבנשמתא פגימה לא שריא כו':</w:t>
      </w:r>
    </w:p>
  </w:footnote>
  <w:footnote w:id="302">
    <w:p w:rsidR="00A13282" w:rsidRDefault="00A13282" w:rsidP="00D45634">
      <w:pPr>
        <w:pStyle w:val="a5"/>
      </w:pPr>
      <w:r>
        <w:rPr>
          <w:rStyle w:val="a7"/>
        </w:rPr>
        <w:footnoteRef/>
      </w:r>
      <w:r>
        <w:t xml:space="preserve"> </w:t>
      </w:r>
      <w:r w:rsidRPr="00954813">
        <w:rPr>
          <w:rStyle w:val="11"/>
          <w:bCs/>
          <w:szCs w:val="24"/>
          <w:rtl/>
        </w:rPr>
        <w:t>ה' אלקיך.</w:t>
      </w:r>
      <w:r>
        <w:rPr>
          <w:rStyle w:val="23"/>
          <w:rtl/>
        </w:rPr>
        <w:t xml:space="preserve"> זו"ן, אורייתא דאצילות:</w:t>
      </w:r>
    </w:p>
  </w:footnote>
  <w:footnote w:id="303">
    <w:p w:rsidR="00A13282" w:rsidRDefault="00A13282" w:rsidP="00D45634">
      <w:pPr>
        <w:pStyle w:val="a5"/>
      </w:pPr>
      <w:r>
        <w:rPr>
          <w:rStyle w:val="a7"/>
        </w:rPr>
        <w:footnoteRef/>
      </w:r>
      <w:r>
        <w:t xml:space="preserve"> </w:t>
      </w:r>
      <w:r w:rsidRPr="00954813">
        <w:rPr>
          <w:rStyle w:val="11"/>
          <w:bCs/>
          <w:szCs w:val="24"/>
          <w:rtl/>
        </w:rPr>
        <w:t>ומנ"ל כו'.</w:t>
      </w:r>
      <w:r>
        <w:rPr>
          <w:rStyle w:val="23"/>
          <w:rtl/>
        </w:rPr>
        <w:t xml:space="preserve">  אף על גב דכתיב תורת ה' מכל מקום מינא לן דתליא בשמיה:</w:t>
      </w:r>
    </w:p>
  </w:footnote>
  <w:footnote w:id="304">
    <w:p w:rsidR="00A13282" w:rsidRDefault="00A13282" w:rsidP="00D45634">
      <w:pPr>
        <w:pStyle w:val="a5"/>
      </w:pPr>
      <w:r>
        <w:rPr>
          <w:rStyle w:val="a7"/>
        </w:rPr>
        <w:footnoteRef/>
      </w:r>
      <w:r>
        <w:t xml:space="preserve"> </w:t>
      </w:r>
      <w:r w:rsidRPr="00954813">
        <w:rPr>
          <w:rStyle w:val="11"/>
          <w:bCs/>
          <w:szCs w:val="24"/>
          <w:rtl/>
        </w:rPr>
        <w:t>ועם אנכי כו'.</w:t>
      </w:r>
      <w:r>
        <w:rPr>
          <w:rStyle w:val="23"/>
          <w:rtl/>
        </w:rPr>
        <w:t xml:space="preserve"> עיין בגמרא דמכות בסופה:</w:t>
      </w:r>
    </w:p>
  </w:footnote>
  <w:footnote w:id="305">
    <w:p w:rsidR="00A13282" w:rsidRDefault="00A13282" w:rsidP="00D45634">
      <w:pPr>
        <w:pStyle w:val="a5"/>
      </w:pPr>
      <w:r>
        <w:rPr>
          <w:rStyle w:val="a7"/>
        </w:rPr>
        <w:footnoteRef/>
      </w:r>
      <w:r>
        <w:t xml:space="preserve"> </w:t>
      </w:r>
      <w:r w:rsidRPr="00954813">
        <w:rPr>
          <w:rStyle w:val="11"/>
          <w:bCs/>
          <w:szCs w:val="24"/>
          <w:rtl/>
        </w:rPr>
        <w:t>והיינו ב' דאתוספת.</w:t>
      </w:r>
      <w:r>
        <w:rPr>
          <w:rStyle w:val="23"/>
          <w:rtl/>
        </w:rPr>
        <w:t xml:space="preserve"> ב' דבראשית:</w:t>
      </w:r>
    </w:p>
  </w:footnote>
  <w:footnote w:id="306">
    <w:p w:rsidR="00A13282" w:rsidRDefault="00A13282" w:rsidP="00D45634">
      <w:pPr>
        <w:pStyle w:val="a5"/>
      </w:pPr>
      <w:r>
        <w:rPr>
          <w:rStyle w:val="a7"/>
        </w:rPr>
        <w:footnoteRef/>
      </w:r>
      <w:r>
        <w:t xml:space="preserve"> </w:t>
      </w:r>
      <w:r w:rsidRPr="00954813">
        <w:rPr>
          <w:rStyle w:val="11"/>
          <w:bCs/>
          <w:szCs w:val="24"/>
          <w:rtl/>
        </w:rPr>
        <w:t>זאת התורה אדם כו'.</w:t>
      </w:r>
      <w:r>
        <w:rPr>
          <w:rStyle w:val="23"/>
          <w:rtl/>
        </w:rPr>
        <w:t xml:space="preserve"> רוצה לומר, ראיה דשכינה איתקרי תורה דכתיב זאת התורה וראיה דתליא בשמיה דכתיב אדם בגימטריה מ"ה דא יו"ד כו':</w:t>
      </w:r>
    </w:p>
  </w:footnote>
  <w:footnote w:id="307">
    <w:p w:rsidR="00A13282" w:rsidRDefault="00A13282" w:rsidP="00D45634">
      <w:pPr>
        <w:pStyle w:val="a5"/>
      </w:pPr>
      <w:r>
        <w:rPr>
          <w:rStyle w:val="a7"/>
        </w:rPr>
        <w:footnoteRef/>
      </w:r>
      <w:r>
        <w:t xml:space="preserve"> </w:t>
      </w:r>
      <w:r w:rsidRPr="00954813">
        <w:rPr>
          <w:rStyle w:val="11"/>
          <w:bCs/>
          <w:szCs w:val="24"/>
          <w:rtl/>
        </w:rPr>
        <w:t>ובגין דא כבוד כו'.</w:t>
      </w:r>
      <w:r>
        <w:rPr>
          <w:rStyle w:val="23"/>
          <w:rtl/>
        </w:rPr>
        <w:t xml:space="preserve"> רוצה לומר דאמרנו דאית אורייתא דאצילות דשכינה דנקראת כבוד אל ואורייתא דבריאה דנקראת כסא הכבוד:</w:t>
      </w:r>
    </w:p>
  </w:footnote>
  <w:footnote w:id="308">
    <w:p w:rsidR="00A13282" w:rsidRDefault="00A13282" w:rsidP="00D45634">
      <w:pPr>
        <w:pStyle w:val="a5"/>
      </w:pPr>
      <w:r>
        <w:rPr>
          <w:rStyle w:val="a7"/>
        </w:rPr>
        <w:footnoteRef/>
      </w:r>
      <w:r>
        <w:t xml:space="preserve"> </w:t>
      </w:r>
      <w:r w:rsidRPr="00954813">
        <w:rPr>
          <w:rStyle w:val="11"/>
          <w:bCs/>
          <w:szCs w:val="24"/>
          <w:rtl/>
        </w:rPr>
        <w:t>ומקבל בה כו'.</w:t>
      </w:r>
      <w:r>
        <w:rPr>
          <w:rStyle w:val="23"/>
          <w:rtl/>
        </w:rPr>
        <w:t xml:space="preserve"> כאן הוא ההגהה. וחסר ארבעה דרגין ביראת ה' וזהו סיומא דדרגא רביעאה: </w:t>
      </w:r>
      <w:r w:rsidRPr="00954813">
        <w:rPr>
          <w:rStyle w:val="11"/>
          <w:bCs/>
          <w:szCs w:val="24"/>
          <w:rtl/>
        </w:rPr>
        <w:t>ומקבל בה.</w:t>
      </w:r>
      <w:r>
        <w:rPr>
          <w:rStyle w:val="23"/>
          <w:rtl/>
        </w:rPr>
        <w:t xml:space="preserve"> רוצה לומר באהבת השכינה:</w:t>
      </w:r>
    </w:p>
  </w:footnote>
  <w:footnote w:id="309">
    <w:p w:rsidR="00A13282" w:rsidRDefault="00A13282" w:rsidP="00D45634">
      <w:pPr>
        <w:pStyle w:val="a5"/>
      </w:pPr>
      <w:r>
        <w:rPr>
          <w:rStyle w:val="a7"/>
        </w:rPr>
        <w:footnoteRef/>
      </w:r>
      <w:r>
        <w:t xml:space="preserve"> </w:t>
      </w:r>
      <w:r w:rsidRPr="00954813">
        <w:rPr>
          <w:rStyle w:val="11"/>
          <w:bCs/>
          <w:szCs w:val="24"/>
          <w:rtl/>
        </w:rPr>
        <w:t>אהבה בסופה.</w:t>
      </w:r>
      <w:r>
        <w:rPr>
          <w:rStyle w:val="23"/>
          <w:rtl/>
        </w:rPr>
        <w:t xml:space="preserve"> כמו שכתוב ואחריתך ישגה מאד (איוב ח ז) כמו שאמרו (בראשית רבה סו) צדיקים תחילתן כו':</w:t>
      </w:r>
    </w:p>
  </w:footnote>
  <w:footnote w:id="310">
    <w:p w:rsidR="00A13282" w:rsidRDefault="00A13282" w:rsidP="00D45634">
      <w:pPr>
        <w:pStyle w:val="a5"/>
      </w:pPr>
      <w:r>
        <w:rPr>
          <w:rStyle w:val="a7"/>
        </w:rPr>
        <w:footnoteRef/>
      </w:r>
      <w:r>
        <w:t xml:space="preserve"> </w:t>
      </w:r>
      <w:r w:rsidRPr="00954813">
        <w:rPr>
          <w:rStyle w:val="11"/>
          <w:bCs/>
          <w:szCs w:val="24"/>
          <w:rtl/>
        </w:rPr>
        <w:t>ובארח רזא כו'.</w:t>
      </w:r>
      <w:r>
        <w:rPr>
          <w:rStyle w:val="23"/>
          <w:rtl/>
        </w:rPr>
        <w:t xml:space="preserve"> דהוי' הוא תורה ואדנ"י הוא יראה:</w:t>
      </w:r>
    </w:p>
  </w:footnote>
  <w:footnote w:id="311">
    <w:p w:rsidR="00A13282" w:rsidRDefault="00A13282" w:rsidP="00D45634">
      <w:pPr>
        <w:pStyle w:val="a5"/>
      </w:pPr>
      <w:r>
        <w:rPr>
          <w:rStyle w:val="a7"/>
        </w:rPr>
        <w:footnoteRef/>
      </w:r>
      <w:r>
        <w:t xml:space="preserve"> </w:t>
      </w:r>
      <w:r w:rsidRPr="00954813">
        <w:rPr>
          <w:rStyle w:val="11"/>
          <w:bCs/>
          <w:szCs w:val="24"/>
          <w:rtl/>
        </w:rPr>
        <w:t>באש.</w:t>
      </w:r>
      <w:r>
        <w:rPr>
          <w:rStyle w:val="23"/>
          <w:rtl/>
        </w:rPr>
        <w:t xml:space="preserve"> אותיות שב"א:</w:t>
      </w:r>
    </w:p>
  </w:footnote>
  <w:footnote w:id="312">
    <w:p w:rsidR="00A13282" w:rsidRDefault="00A13282" w:rsidP="00D45634">
      <w:pPr>
        <w:pStyle w:val="a5"/>
      </w:pPr>
      <w:r>
        <w:rPr>
          <w:rStyle w:val="a7"/>
        </w:rPr>
        <w:footnoteRef/>
      </w:r>
      <w:r>
        <w:t xml:space="preserve"> </w:t>
      </w:r>
      <w:r w:rsidRPr="00954813">
        <w:rPr>
          <w:rStyle w:val="11"/>
          <w:bCs/>
          <w:szCs w:val="24"/>
          <w:rtl/>
        </w:rPr>
        <w:t>ובגין דלא יעבדון פירודא.</w:t>
      </w:r>
      <w:r>
        <w:rPr>
          <w:rStyle w:val="23"/>
          <w:rtl/>
        </w:rPr>
        <w:t xml:space="preserve"> רוצה לומר דלא שריא קב"ה בלא שכינתיה:</w:t>
      </w:r>
    </w:p>
  </w:footnote>
  <w:footnote w:id="313">
    <w:p w:rsidR="00A13282" w:rsidRDefault="00A13282" w:rsidP="00D45634">
      <w:pPr>
        <w:pStyle w:val="a5"/>
      </w:pPr>
      <w:r>
        <w:rPr>
          <w:rStyle w:val="a7"/>
        </w:rPr>
        <w:footnoteRef/>
      </w:r>
      <w:r>
        <w:t xml:space="preserve"> </w:t>
      </w:r>
      <w:r w:rsidRPr="00954813">
        <w:rPr>
          <w:rStyle w:val="11"/>
          <w:bCs/>
          <w:szCs w:val="24"/>
          <w:rtl/>
        </w:rPr>
        <w:t>דבה קריאת שמע.</w:t>
      </w:r>
      <w:r>
        <w:rPr>
          <w:rStyle w:val="23"/>
          <w:rtl/>
        </w:rPr>
        <w:t xml:space="preserve"> דקריאת שמע איהי בהיכל אהבה כידוע שהוא חסד שנאמר בה ואהבת וכן אומרים מקודם אהבה רבה:</w:t>
      </w:r>
    </w:p>
  </w:footnote>
  <w:footnote w:id="314">
    <w:p w:rsidR="00A13282" w:rsidRDefault="00A13282" w:rsidP="00D45634">
      <w:pPr>
        <w:pStyle w:val="a5"/>
      </w:pPr>
      <w:r>
        <w:rPr>
          <w:rStyle w:val="a7"/>
        </w:rPr>
        <w:footnoteRef/>
      </w:r>
      <w:r>
        <w:t xml:space="preserve"> </w:t>
      </w:r>
      <w:r w:rsidRPr="00954813">
        <w:rPr>
          <w:rStyle w:val="11"/>
          <w:bCs/>
          <w:szCs w:val="24"/>
          <w:rtl/>
        </w:rPr>
        <w:t>דאיהי אמונה.</w:t>
      </w:r>
      <w:r>
        <w:rPr>
          <w:rStyle w:val="23"/>
          <w:rtl/>
        </w:rPr>
        <w:t xml:space="preserve"> דקריאת שמע איהי אמונה שצריך להאמין אחדות השם וקיבול מצותיו שלכך אומרים אח"כ אמת כו':</w:t>
      </w:r>
    </w:p>
  </w:footnote>
  <w:footnote w:id="315">
    <w:p w:rsidR="00A13282" w:rsidRDefault="00A13282" w:rsidP="00D45634">
      <w:pPr>
        <w:pStyle w:val="a5"/>
      </w:pPr>
      <w:r>
        <w:rPr>
          <w:rStyle w:val="a7"/>
        </w:rPr>
        <w:footnoteRef/>
      </w:r>
      <w:r>
        <w:t xml:space="preserve"> </w:t>
      </w:r>
      <w:r w:rsidRPr="00954813">
        <w:rPr>
          <w:rStyle w:val="11"/>
          <w:bCs/>
          <w:szCs w:val="24"/>
          <w:rtl/>
        </w:rPr>
        <w:t>דבי' אתמר ואל כו'.</w:t>
      </w:r>
      <w:r>
        <w:rPr>
          <w:rStyle w:val="23"/>
          <w:rtl/>
        </w:rPr>
        <w:t xml:space="preserve"> רוצה לומר שלא יבא בעת דדינא שליט אלא בשעת החסד ולכך צריך ללבוש בגדי לבן:</w:t>
      </w:r>
    </w:p>
  </w:footnote>
  <w:footnote w:id="316">
    <w:p w:rsidR="00A13282" w:rsidRDefault="00A13282" w:rsidP="00D45634">
      <w:pPr>
        <w:pStyle w:val="a5"/>
      </w:pPr>
      <w:r>
        <w:rPr>
          <w:rStyle w:val="a7"/>
        </w:rPr>
        <w:footnoteRef/>
      </w:r>
      <w:r>
        <w:t xml:space="preserve"> </w:t>
      </w:r>
      <w:r w:rsidRPr="00954813">
        <w:rPr>
          <w:rStyle w:val="11"/>
          <w:bCs/>
          <w:szCs w:val="24"/>
          <w:rtl/>
        </w:rPr>
        <w:t>חסן כו'.</w:t>
      </w:r>
      <w:r>
        <w:rPr>
          <w:rStyle w:val="23"/>
          <w:rtl/>
        </w:rPr>
        <w:t xml:space="preserve"> כמו שמפרש לקמן:</w:t>
      </w:r>
    </w:p>
  </w:footnote>
  <w:footnote w:id="317">
    <w:p w:rsidR="00A13282" w:rsidRDefault="00A13282" w:rsidP="00D45634">
      <w:pPr>
        <w:pStyle w:val="a5"/>
      </w:pPr>
      <w:r>
        <w:rPr>
          <w:rStyle w:val="a7"/>
        </w:rPr>
        <w:footnoteRef/>
      </w:r>
      <w:r>
        <w:t xml:space="preserve"> </w:t>
      </w:r>
      <w:r w:rsidRPr="00954813">
        <w:rPr>
          <w:rStyle w:val="11"/>
          <w:bCs/>
          <w:szCs w:val="24"/>
          <w:rtl/>
        </w:rPr>
        <w:t>חכמה איהי סדר קדשים.</w:t>
      </w:r>
      <w:r>
        <w:rPr>
          <w:rStyle w:val="23"/>
          <w:rtl/>
        </w:rPr>
        <w:t xml:space="preserve"> כמו שאמרו בעירובין (נג ע"ב) עלץ בנערה אהרונית עירנית כו':</w:t>
      </w:r>
    </w:p>
  </w:footnote>
  <w:footnote w:id="318">
    <w:p w:rsidR="00A13282" w:rsidRDefault="00A13282" w:rsidP="00D45634">
      <w:pPr>
        <w:pStyle w:val="a5"/>
      </w:pPr>
      <w:r>
        <w:rPr>
          <w:rStyle w:val="a7"/>
        </w:rPr>
        <w:footnoteRef/>
      </w:r>
      <w:r>
        <w:t xml:space="preserve"> </w:t>
      </w:r>
      <w:r w:rsidRPr="00954813">
        <w:rPr>
          <w:rStyle w:val="11"/>
          <w:bCs/>
          <w:szCs w:val="24"/>
          <w:rtl/>
        </w:rPr>
        <w:t>ודעת.</w:t>
      </w:r>
      <w:r>
        <w:rPr>
          <w:rStyle w:val="23"/>
          <w:rtl/>
        </w:rPr>
        <w:t xml:space="preserve"> איהי יסוד דכל ידיעה ביסוד כמו שכתוב והאדם ידע כו' וכל יסוד הוא דעת של פרצוף (פירוש מדה) שלמטה:</w:t>
      </w:r>
    </w:p>
  </w:footnote>
  <w:footnote w:id="319">
    <w:p w:rsidR="00A13282" w:rsidRDefault="00A13282" w:rsidP="00D45634">
      <w:pPr>
        <w:pStyle w:val="a5"/>
      </w:pPr>
      <w:r>
        <w:rPr>
          <w:rStyle w:val="a7"/>
        </w:rPr>
        <w:footnoteRef/>
      </w:r>
      <w:r>
        <w:t xml:space="preserve"> </w:t>
      </w:r>
      <w:r w:rsidRPr="00954813">
        <w:rPr>
          <w:rStyle w:val="11"/>
          <w:bCs/>
          <w:szCs w:val="24"/>
          <w:rtl/>
        </w:rPr>
        <w:t>מסטרא דשכינתא כו'.</w:t>
      </w:r>
      <w:r>
        <w:rPr>
          <w:rStyle w:val="23"/>
          <w:rtl/>
        </w:rPr>
        <w:t xml:space="preserve"> שהיא נקראת אמונת ישראל:</w:t>
      </w:r>
    </w:p>
  </w:footnote>
  <w:footnote w:id="320">
    <w:p w:rsidR="00A13282" w:rsidRDefault="00A13282" w:rsidP="00D45634">
      <w:pPr>
        <w:pStyle w:val="a5"/>
      </w:pPr>
      <w:r>
        <w:rPr>
          <w:rStyle w:val="a7"/>
        </w:rPr>
        <w:footnoteRef/>
      </w:r>
      <w:r>
        <w:t xml:space="preserve"> </w:t>
      </w:r>
      <w:r w:rsidRPr="00954813">
        <w:rPr>
          <w:rStyle w:val="11"/>
          <w:bCs/>
          <w:szCs w:val="24"/>
          <w:rtl/>
        </w:rPr>
        <w:t>ומסטרא דצדיק כו'.</w:t>
      </w:r>
      <w:r>
        <w:rPr>
          <w:rStyle w:val="23"/>
          <w:rtl/>
        </w:rPr>
        <w:t xml:space="preserve"> רוצה לומר דמסטרא דתרוייהו נקראת אמונה דמלכות כלולה ביסוד:</w:t>
      </w:r>
    </w:p>
  </w:footnote>
  <w:footnote w:id="321">
    <w:p w:rsidR="00A13282" w:rsidRDefault="00A13282" w:rsidP="00D45634">
      <w:pPr>
        <w:pStyle w:val="a5"/>
      </w:pPr>
      <w:r>
        <w:rPr>
          <w:rStyle w:val="a7"/>
        </w:rPr>
        <w:footnoteRef/>
      </w:r>
      <w:r>
        <w:t xml:space="preserve"> </w:t>
      </w:r>
      <w:r w:rsidRPr="00954813">
        <w:rPr>
          <w:rStyle w:val="11"/>
          <w:bCs/>
          <w:szCs w:val="24"/>
          <w:rtl/>
        </w:rPr>
        <w:t>דביה אוכלין כו'.</w:t>
      </w:r>
      <w:r>
        <w:rPr>
          <w:rStyle w:val="23"/>
          <w:rtl/>
        </w:rPr>
        <w:t xml:space="preserve"> רוצה לומר דבסדר מועד מיתניא האי מתניתין:</w:t>
      </w:r>
    </w:p>
  </w:footnote>
  <w:footnote w:id="322">
    <w:p w:rsidR="00A13282" w:rsidRDefault="00A13282" w:rsidP="00D45634">
      <w:pPr>
        <w:pStyle w:val="a5"/>
      </w:pPr>
      <w:r>
        <w:rPr>
          <w:rStyle w:val="a7"/>
        </w:rPr>
        <w:footnoteRef/>
      </w:r>
      <w:r>
        <w:t xml:space="preserve"> </w:t>
      </w:r>
      <w:r w:rsidRPr="00954813">
        <w:rPr>
          <w:rStyle w:val="11"/>
          <w:bCs/>
          <w:szCs w:val="24"/>
          <w:rtl/>
        </w:rPr>
        <w:t>כל ארבע כו'.</w:t>
      </w:r>
      <w:r>
        <w:rPr>
          <w:rStyle w:val="23"/>
          <w:rtl/>
        </w:rPr>
        <w:t xml:space="preserve"> הו"ד היא אותיות דה"ו, ארבע וחמש ושש. וסוד דמתניתין (פסחים פרק א' משנה ד') מפרש בתיקונין דתולין כל חמש הוא גלות, אלף החמישי. ושורפין בתחילת שש, החמץ, דאינון הקליפות. ועל זה נאמר למועד קץ כו'. וזהו סדר מועד:</w:t>
      </w:r>
    </w:p>
  </w:footnote>
  <w:footnote w:id="323">
    <w:p w:rsidR="00A13282" w:rsidRDefault="00A13282" w:rsidP="00D45634">
      <w:pPr>
        <w:pStyle w:val="a5"/>
      </w:pPr>
      <w:r>
        <w:rPr>
          <w:rStyle w:val="a7"/>
        </w:rPr>
        <w:footnoteRef/>
      </w:r>
      <w:r>
        <w:t xml:space="preserve"> </w:t>
      </w:r>
      <w:r w:rsidRPr="00954813">
        <w:rPr>
          <w:rStyle w:val="11"/>
          <w:bCs/>
          <w:szCs w:val="24"/>
          <w:rtl/>
        </w:rPr>
        <w:t>חוסן כו'.</w:t>
      </w:r>
      <w:r>
        <w:rPr>
          <w:rStyle w:val="23"/>
          <w:rtl/>
        </w:rPr>
        <w:t xml:space="preserve"> דשם מתחלת נוקבא. ואשתו של אדם מעמידתו על רגליו כמו שאמרו ביבמות (סג ע"א) שלכך נאמר עזר כנגדו:</w:t>
      </w:r>
    </w:p>
  </w:footnote>
  <w:footnote w:id="324">
    <w:p w:rsidR="00A13282" w:rsidRDefault="00A13282" w:rsidP="00D45634">
      <w:pPr>
        <w:pStyle w:val="a5"/>
      </w:pPr>
      <w:r>
        <w:rPr>
          <w:rStyle w:val="a7"/>
        </w:rPr>
        <w:footnoteRef/>
      </w:r>
      <w:r>
        <w:t xml:space="preserve"> </w:t>
      </w:r>
      <w:r w:rsidRPr="00954813">
        <w:rPr>
          <w:rStyle w:val="11"/>
          <w:bCs/>
          <w:szCs w:val="24"/>
          <w:rtl/>
        </w:rPr>
        <w:t>ישועות כו'.</w:t>
      </w:r>
      <w:r>
        <w:rPr>
          <w:rStyle w:val="23"/>
          <w:rtl/>
        </w:rPr>
        <w:t xml:space="preserve"> דגבורות נקראין ישועות כידוע:</w:t>
      </w:r>
    </w:p>
  </w:footnote>
  <w:footnote w:id="325">
    <w:p w:rsidR="00A13282" w:rsidRDefault="00A13282" w:rsidP="00D45634">
      <w:pPr>
        <w:pStyle w:val="a5"/>
      </w:pPr>
      <w:r>
        <w:rPr>
          <w:rStyle w:val="a7"/>
        </w:rPr>
        <w:footnoteRef/>
      </w:r>
      <w:r>
        <w:t xml:space="preserve"> </w:t>
      </w:r>
      <w:r w:rsidRPr="00954813">
        <w:rPr>
          <w:rStyle w:val="11"/>
          <w:bCs/>
          <w:szCs w:val="24"/>
          <w:rtl/>
        </w:rPr>
        <w:t>ידרים.</w:t>
      </w:r>
      <w:r>
        <w:rPr>
          <w:rStyle w:val="23"/>
          <w:rtl/>
        </w:rPr>
        <w:t xml:space="preserve"> דחסד נקרא דרום:</w:t>
      </w:r>
    </w:p>
  </w:footnote>
  <w:footnote w:id="326">
    <w:p w:rsidR="00A13282" w:rsidRDefault="00A13282" w:rsidP="00D45634">
      <w:pPr>
        <w:pStyle w:val="a5"/>
      </w:pPr>
      <w:r>
        <w:rPr>
          <w:rStyle w:val="a7"/>
        </w:rPr>
        <w:footnoteRef/>
      </w:r>
      <w:r>
        <w:t xml:space="preserve"> </w:t>
      </w:r>
      <w:r w:rsidRPr="00954813">
        <w:rPr>
          <w:rStyle w:val="11"/>
          <w:bCs/>
          <w:szCs w:val="24"/>
          <w:rtl/>
        </w:rPr>
        <w:t>ועמיה נצח.</w:t>
      </w:r>
      <w:r>
        <w:rPr>
          <w:rStyle w:val="23"/>
          <w:rtl/>
        </w:rPr>
        <w:t xml:space="preserve"> דנקרא דעת ג"כ מטעם הנ"ל הרוצה להחכים כו' וזה שאומר נעימות בימינך כו':</w:t>
      </w:r>
    </w:p>
  </w:footnote>
  <w:footnote w:id="327">
    <w:p w:rsidR="00A13282" w:rsidRDefault="00A13282" w:rsidP="00D45634">
      <w:pPr>
        <w:pStyle w:val="a5"/>
      </w:pPr>
      <w:r>
        <w:rPr>
          <w:rStyle w:val="a7"/>
        </w:rPr>
        <w:footnoteRef/>
      </w:r>
      <w:r>
        <w:t xml:space="preserve"> </w:t>
      </w:r>
      <w:r w:rsidRPr="00954813">
        <w:rPr>
          <w:rStyle w:val="11"/>
          <w:bCs/>
          <w:szCs w:val="24"/>
          <w:rtl/>
        </w:rPr>
        <w:t>ברזא דלהט כו'.</w:t>
      </w:r>
      <w:r>
        <w:rPr>
          <w:rStyle w:val="23"/>
          <w:rtl/>
        </w:rPr>
        <w:t xml:space="preserve"> דאינון טהור וטמא, אסור ומותר:</w:t>
      </w:r>
    </w:p>
  </w:footnote>
  <w:footnote w:id="328">
    <w:p w:rsidR="00A13282" w:rsidRDefault="00A13282" w:rsidP="00D45634">
      <w:pPr>
        <w:pStyle w:val="a5"/>
      </w:pPr>
      <w:r>
        <w:rPr>
          <w:rStyle w:val="a7"/>
        </w:rPr>
        <w:footnoteRef/>
      </w:r>
      <w:r>
        <w:t xml:space="preserve"> </w:t>
      </w:r>
      <w:r w:rsidRPr="00954813">
        <w:rPr>
          <w:rStyle w:val="11"/>
          <w:bCs/>
          <w:szCs w:val="24"/>
          <w:rtl/>
        </w:rPr>
        <w:t>דבלאו אורייתא כו'.</w:t>
      </w:r>
      <w:r>
        <w:rPr>
          <w:rStyle w:val="23"/>
          <w:rtl/>
        </w:rPr>
        <w:t xml:space="preserve"> רוצה להביא ראיה דעל כרחך לית ליה חוסר באורייתא:</w:t>
      </w:r>
    </w:p>
  </w:footnote>
  <w:footnote w:id="329">
    <w:p w:rsidR="00A13282" w:rsidRDefault="00A13282" w:rsidP="00D45634">
      <w:pPr>
        <w:pStyle w:val="a5"/>
      </w:pPr>
      <w:r>
        <w:rPr>
          <w:rStyle w:val="a7"/>
        </w:rPr>
        <w:footnoteRef/>
      </w:r>
      <w:r>
        <w:t xml:space="preserve"> </w:t>
      </w:r>
      <w:r w:rsidRPr="00954813">
        <w:rPr>
          <w:rStyle w:val="11"/>
          <w:bCs/>
          <w:szCs w:val="24"/>
          <w:rtl/>
        </w:rPr>
        <w:t>כגוונא דלית כו'.</w:t>
      </w:r>
      <w:r>
        <w:rPr>
          <w:rStyle w:val="23"/>
          <w:rtl/>
        </w:rPr>
        <w:t xml:space="preserve"> הוא ראיה לדבריו דבלאו אורייתא לית דחילו:</w:t>
      </w:r>
    </w:p>
  </w:footnote>
  <w:footnote w:id="330">
    <w:p w:rsidR="00A13282" w:rsidRDefault="00A13282" w:rsidP="00D45634">
      <w:pPr>
        <w:pStyle w:val="a5"/>
      </w:pPr>
      <w:r>
        <w:rPr>
          <w:rStyle w:val="a7"/>
        </w:rPr>
        <w:footnoteRef/>
      </w:r>
      <w:r>
        <w:t xml:space="preserve"> </w:t>
      </w:r>
      <w:r w:rsidRPr="00954813">
        <w:rPr>
          <w:rStyle w:val="11"/>
          <w:bCs/>
          <w:szCs w:val="24"/>
          <w:rtl/>
        </w:rPr>
        <w:t>דלית אורייתא כו'.</w:t>
      </w:r>
      <w:r>
        <w:rPr>
          <w:rStyle w:val="23"/>
          <w:rtl/>
        </w:rPr>
        <w:t xml:space="preserve"> כמו שאומר לעיל, אי איכא יראת ה' אין כו':</w:t>
      </w:r>
    </w:p>
  </w:footnote>
  <w:footnote w:id="331">
    <w:p w:rsidR="00A13282" w:rsidRDefault="00A13282" w:rsidP="00D45634">
      <w:pPr>
        <w:pStyle w:val="a5"/>
      </w:pPr>
      <w:r>
        <w:rPr>
          <w:rStyle w:val="a7"/>
        </w:rPr>
        <w:footnoteRef/>
      </w:r>
      <w:r>
        <w:t xml:space="preserve"> </w:t>
      </w:r>
      <w:r w:rsidRPr="00954813">
        <w:rPr>
          <w:rStyle w:val="11"/>
          <w:bCs/>
          <w:szCs w:val="24"/>
          <w:rtl/>
        </w:rPr>
        <w:t>חסרון בביתיה.</w:t>
      </w:r>
      <w:r>
        <w:rPr>
          <w:rStyle w:val="23"/>
          <w:rtl/>
        </w:rPr>
        <w:t xml:space="preserve"> הוא הגוף כמו שמבאר בסמוך אם ה' לא יבנה כו':</w:t>
      </w:r>
    </w:p>
  </w:footnote>
  <w:footnote w:id="332">
    <w:p w:rsidR="00A13282" w:rsidRDefault="00A13282" w:rsidP="00D45634">
      <w:pPr>
        <w:pStyle w:val="a5"/>
      </w:pPr>
      <w:r>
        <w:rPr>
          <w:rStyle w:val="a7"/>
        </w:rPr>
        <w:footnoteRef/>
      </w:r>
      <w:r>
        <w:t xml:space="preserve"> </w:t>
      </w:r>
      <w:r w:rsidRPr="00954813">
        <w:rPr>
          <w:rStyle w:val="11"/>
          <w:bCs/>
          <w:szCs w:val="24"/>
          <w:rtl/>
        </w:rPr>
        <w:t>אם ה' לא כו'.</w:t>
      </w:r>
      <w:r>
        <w:rPr>
          <w:rStyle w:val="23"/>
          <w:rtl/>
        </w:rPr>
        <w:t xml:space="preserve"> רוצה לומר אם שם ה' לא שריא בגוף, שהוא בלא תורה ומצות, שוא עמלו בוניו בו, אביו ואמו הגופנים, כמו שאומר לעיל כל בית שאין נשמעין כו' וזה שאומר ודא גרים כו':</w:t>
      </w:r>
    </w:p>
  </w:footnote>
  <w:footnote w:id="333">
    <w:p w:rsidR="00A13282" w:rsidRDefault="00A13282" w:rsidP="00D45634">
      <w:pPr>
        <w:pStyle w:val="a5"/>
      </w:pPr>
      <w:r>
        <w:rPr>
          <w:rStyle w:val="a7"/>
        </w:rPr>
        <w:footnoteRef/>
      </w:r>
      <w:r>
        <w:t xml:space="preserve"> </w:t>
      </w:r>
      <w:r w:rsidRPr="00954813">
        <w:rPr>
          <w:rStyle w:val="11"/>
          <w:bCs/>
          <w:szCs w:val="24"/>
          <w:rtl/>
        </w:rPr>
        <w:t>ובגין דא בראשית כו'.</w:t>
      </w:r>
      <w:r>
        <w:rPr>
          <w:rStyle w:val="23"/>
          <w:rtl/>
        </w:rPr>
        <w:t xml:space="preserve"> רוצה לומר דבשביל ירא בשת, ברא אלקים כו':</w:t>
      </w:r>
    </w:p>
  </w:footnote>
  <w:footnote w:id="334">
    <w:p w:rsidR="00A13282" w:rsidRDefault="00A13282" w:rsidP="00D45634">
      <w:pPr>
        <w:pStyle w:val="a5"/>
      </w:pPr>
      <w:r>
        <w:rPr>
          <w:rStyle w:val="a7"/>
        </w:rPr>
        <w:footnoteRef/>
      </w:r>
      <w:r>
        <w:t xml:space="preserve"> </w:t>
      </w:r>
      <w:r w:rsidRPr="00954813">
        <w:rPr>
          <w:rStyle w:val="11"/>
          <w:bCs/>
          <w:szCs w:val="24"/>
          <w:rtl/>
        </w:rPr>
        <w:t>והארץ היתה כו'.</w:t>
      </w:r>
      <w:r>
        <w:rPr>
          <w:rStyle w:val="23"/>
          <w:rtl/>
        </w:rPr>
        <w:t xml:space="preserve"> דאינון ד' אבות נזיקין: תהו ובהו וחשך ותהום, ד' קליפין:</w:t>
      </w:r>
    </w:p>
  </w:footnote>
  <w:footnote w:id="335">
    <w:p w:rsidR="00A13282" w:rsidRDefault="00A13282" w:rsidP="00D45634">
      <w:pPr>
        <w:pStyle w:val="a5"/>
      </w:pPr>
      <w:r>
        <w:rPr>
          <w:rStyle w:val="a7"/>
        </w:rPr>
        <w:footnoteRef/>
      </w:r>
      <w:r>
        <w:t xml:space="preserve"> </w:t>
      </w:r>
      <w:r w:rsidRPr="00954813">
        <w:rPr>
          <w:rStyle w:val="11"/>
          <w:bCs/>
          <w:szCs w:val="24"/>
          <w:rtl/>
        </w:rPr>
        <w:t>כגוונא דחד.</w:t>
      </w:r>
      <w:r>
        <w:rPr>
          <w:rStyle w:val="23"/>
          <w:rtl/>
        </w:rPr>
        <w:t xml:space="preserve"> נקט בור משום דלקמן, אין בור כו':</w:t>
      </w:r>
    </w:p>
  </w:footnote>
  <w:footnote w:id="336">
    <w:p w:rsidR="00A13282" w:rsidRDefault="00A13282" w:rsidP="00D45634">
      <w:pPr>
        <w:pStyle w:val="a5"/>
      </w:pPr>
      <w:r>
        <w:rPr>
          <w:rStyle w:val="a7"/>
        </w:rPr>
        <w:footnoteRef/>
      </w:r>
      <w:r>
        <w:t xml:space="preserve"> </w:t>
      </w:r>
      <w:r w:rsidRPr="00954813">
        <w:rPr>
          <w:rStyle w:val="11"/>
          <w:bCs/>
          <w:szCs w:val="24"/>
          <w:rtl/>
        </w:rPr>
        <w:t>ובור בגין כו'.</w:t>
      </w:r>
      <w:r>
        <w:rPr>
          <w:rStyle w:val="23"/>
          <w:rtl/>
        </w:rPr>
        <w:t xml:space="preserve"> דכתיב והבור רק מתורה, אין בו מים של תורה:</w:t>
      </w:r>
    </w:p>
  </w:footnote>
  <w:footnote w:id="337">
    <w:p w:rsidR="00A13282" w:rsidRDefault="00A13282" w:rsidP="00D45634">
      <w:pPr>
        <w:pStyle w:val="a5"/>
      </w:pPr>
      <w:r>
        <w:rPr>
          <w:rStyle w:val="a7"/>
        </w:rPr>
        <w:footnoteRef/>
      </w:r>
      <w:r>
        <w:t xml:space="preserve"> </w:t>
      </w:r>
      <w:r w:rsidRPr="00954813">
        <w:rPr>
          <w:rStyle w:val="11"/>
          <w:bCs/>
          <w:szCs w:val="24"/>
          <w:rtl/>
        </w:rPr>
        <w:t>איהי שקולה לגביה.</w:t>
      </w:r>
      <w:r>
        <w:rPr>
          <w:rStyle w:val="23"/>
          <w:rtl/>
        </w:rPr>
        <w:t xml:space="preserve"> רוצה לומר דהיא שוה לו, לכך מתקיימת בו:</w:t>
      </w:r>
    </w:p>
  </w:footnote>
  <w:footnote w:id="338">
    <w:p w:rsidR="00A13282" w:rsidRDefault="00A13282" w:rsidP="00D45634">
      <w:pPr>
        <w:pStyle w:val="a5"/>
      </w:pPr>
      <w:r>
        <w:rPr>
          <w:rStyle w:val="a7"/>
        </w:rPr>
        <w:footnoteRef/>
      </w:r>
      <w:r>
        <w:t xml:space="preserve"> </w:t>
      </w:r>
      <w:r w:rsidRPr="00954813">
        <w:rPr>
          <w:rStyle w:val="11"/>
          <w:bCs/>
          <w:szCs w:val="24"/>
          <w:rtl/>
        </w:rPr>
        <w:t>דבהון אשתלימו תרי"ג כו'.</w:t>
      </w:r>
      <w:r>
        <w:rPr>
          <w:rStyle w:val="23"/>
          <w:rtl/>
        </w:rPr>
        <w:t xml:space="preserve"> דתורה בגימטריה תרי"א כנ"ל דאינון ב' פקודין צריך לאקדמא:</w:t>
      </w:r>
    </w:p>
  </w:footnote>
  <w:footnote w:id="339">
    <w:p w:rsidR="00A13282" w:rsidRDefault="00A13282" w:rsidP="00D45634">
      <w:pPr>
        <w:pStyle w:val="a5"/>
      </w:pPr>
      <w:r>
        <w:rPr>
          <w:rStyle w:val="a7"/>
        </w:rPr>
        <w:footnoteRef/>
      </w:r>
      <w:r>
        <w:t xml:space="preserve"> </w:t>
      </w:r>
      <w:r w:rsidRPr="00954813">
        <w:rPr>
          <w:rStyle w:val="11"/>
          <w:bCs/>
          <w:szCs w:val="24"/>
          <w:rtl/>
        </w:rPr>
        <w:t>ואי תימא הא כו'.</w:t>
      </w:r>
      <w:r>
        <w:rPr>
          <w:rStyle w:val="23"/>
          <w:rtl/>
        </w:rPr>
        <w:t xml:space="preserve"> רוצה לומר דלעיל אמר דצריך להקדים התורה ליראה, גדולה תורה כו', דתורה קודם ליראה מלמעלה למטה, דמיניה נפקת. וכאן אמר דיראה ואהבה נפקו מחסד וגבורה, דהן קודמים לתורה דהוא תפארת:</w:t>
      </w:r>
    </w:p>
  </w:footnote>
  <w:footnote w:id="340">
    <w:p w:rsidR="00A13282" w:rsidRDefault="00A13282" w:rsidP="00D45634">
      <w:pPr>
        <w:pStyle w:val="a5"/>
      </w:pPr>
      <w:r>
        <w:rPr>
          <w:rStyle w:val="a7"/>
        </w:rPr>
        <w:footnoteRef/>
      </w:r>
      <w:r>
        <w:t xml:space="preserve"> </w:t>
      </w:r>
      <w:r w:rsidRPr="00954813">
        <w:rPr>
          <w:rStyle w:val="11"/>
          <w:bCs/>
          <w:szCs w:val="24"/>
          <w:rtl/>
        </w:rPr>
        <w:t>דמהכא משמע כל כו'.</w:t>
      </w:r>
      <w:r>
        <w:rPr>
          <w:rStyle w:val="23"/>
          <w:rtl/>
        </w:rPr>
        <w:t xml:space="preserve"> דמחסד וגבורה - יראה ואהבה שהן קודמין שתורה דאיהי תפארת מינייהו נפיק:</w:t>
      </w:r>
    </w:p>
  </w:footnote>
  <w:footnote w:id="341">
    <w:p w:rsidR="00A13282" w:rsidRDefault="00A13282" w:rsidP="00D45634">
      <w:pPr>
        <w:pStyle w:val="a5"/>
      </w:pPr>
      <w:r>
        <w:rPr>
          <w:rStyle w:val="a7"/>
        </w:rPr>
        <w:footnoteRef/>
      </w:r>
      <w:r>
        <w:t xml:space="preserve"> </w:t>
      </w:r>
      <w:r w:rsidRPr="00954813">
        <w:rPr>
          <w:rStyle w:val="11"/>
          <w:bCs/>
          <w:szCs w:val="24"/>
          <w:rtl/>
        </w:rPr>
        <w:t>אלא כלא קשוט כו'.</w:t>
      </w:r>
      <w:r>
        <w:rPr>
          <w:rStyle w:val="23"/>
          <w:rtl/>
        </w:rPr>
        <w:t xml:space="preserve"> רוצה לומר דבשם הוי' היוד קודם שהוא חכמה, תורה. ובאדנ"י היוד, חכמה, הוא אחרון. לפיכך מסטרא דקב"ה צריך להקדים תורה ליראה ומסטרא דשכינה צריך להקדים יראה לתורה:</w:t>
      </w:r>
    </w:p>
  </w:footnote>
  <w:footnote w:id="342">
    <w:p w:rsidR="00A13282" w:rsidRDefault="00A13282" w:rsidP="00D45634">
      <w:pPr>
        <w:pStyle w:val="a5"/>
      </w:pPr>
      <w:r>
        <w:rPr>
          <w:rStyle w:val="a7"/>
        </w:rPr>
        <w:footnoteRef/>
      </w:r>
      <w:r>
        <w:t xml:space="preserve"> </w:t>
      </w:r>
      <w:r w:rsidRPr="00954813">
        <w:rPr>
          <w:rStyle w:val="11"/>
          <w:bCs/>
          <w:szCs w:val="24"/>
          <w:rtl/>
        </w:rPr>
        <w:t>תפארת איקרי אדם.</w:t>
      </w:r>
      <w:r>
        <w:rPr>
          <w:rStyle w:val="23"/>
          <w:rtl/>
        </w:rPr>
        <w:t xml:space="preserve"> רוצה לומר כמו אדם דראשון למחשבה כו' כן תפארת שנקראת אדם:</w:t>
      </w:r>
    </w:p>
  </w:footnote>
  <w:footnote w:id="343">
    <w:p w:rsidR="00A13282" w:rsidRDefault="00A13282" w:rsidP="00D45634">
      <w:pPr>
        <w:pStyle w:val="a5"/>
      </w:pPr>
      <w:r>
        <w:rPr>
          <w:rStyle w:val="a7"/>
        </w:rPr>
        <w:footnoteRef/>
      </w:r>
      <w:r>
        <w:t xml:space="preserve"> </w:t>
      </w:r>
      <w:r w:rsidRPr="00954813">
        <w:rPr>
          <w:rStyle w:val="11"/>
          <w:bCs/>
          <w:szCs w:val="24"/>
          <w:rtl/>
        </w:rPr>
        <w:t>איהו ראשון כו'.</w:t>
      </w:r>
      <w:r>
        <w:rPr>
          <w:rStyle w:val="23"/>
          <w:rtl/>
        </w:rPr>
        <w:t xml:space="preserve"> רוצה לומר יו"ד דהויה הוא חכמה דהוא ראשון:</w:t>
      </w:r>
    </w:p>
  </w:footnote>
  <w:footnote w:id="344">
    <w:p w:rsidR="00A13282" w:rsidRDefault="00A13282" w:rsidP="00D45634">
      <w:pPr>
        <w:pStyle w:val="a5"/>
      </w:pPr>
      <w:r>
        <w:rPr>
          <w:rStyle w:val="a7"/>
        </w:rPr>
        <w:footnoteRef/>
      </w:r>
      <w:r>
        <w:t xml:space="preserve"> </w:t>
      </w:r>
      <w:r w:rsidRPr="00954813">
        <w:rPr>
          <w:rStyle w:val="11"/>
          <w:bCs/>
          <w:szCs w:val="24"/>
          <w:rtl/>
        </w:rPr>
        <w:t>ובגין דא כוונה כו'.</w:t>
      </w:r>
      <w:r>
        <w:rPr>
          <w:rStyle w:val="23"/>
          <w:rtl/>
        </w:rPr>
        <w:t xml:space="preserve"> דמסטרא דשכינה דאיהי נקראת מצוה, היראה דאיהי מחשבה, קודם:</w:t>
      </w:r>
    </w:p>
  </w:footnote>
  <w:footnote w:id="345">
    <w:p w:rsidR="00A13282" w:rsidRDefault="00A13282" w:rsidP="00D45634">
      <w:pPr>
        <w:pStyle w:val="a5"/>
      </w:pPr>
      <w:r>
        <w:rPr>
          <w:rStyle w:val="a7"/>
        </w:rPr>
        <w:footnoteRef/>
      </w:r>
      <w:r>
        <w:t xml:space="preserve"> </w:t>
      </w:r>
      <w:r w:rsidRPr="00954813">
        <w:rPr>
          <w:rStyle w:val="11"/>
          <w:bCs/>
          <w:szCs w:val="24"/>
          <w:rtl/>
        </w:rPr>
        <w:t>ובגין דא אשה כי תזריע.</w:t>
      </w:r>
      <w:r>
        <w:rPr>
          <w:rStyle w:val="23"/>
          <w:rtl/>
        </w:rPr>
        <w:t xml:space="preserve"> רוצה לומר דהיא מזרעת קודם:</w:t>
      </w:r>
    </w:p>
  </w:footnote>
  <w:footnote w:id="346">
    <w:p w:rsidR="00A13282" w:rsidRDefault="00A13282" w:rsidP="00D45634">
      <w:pPr>
        <w:pStyle w:val="a5"/>
      </w:pPr>
      <w:r>
        <w:rPr>
          <w:rStyle w:val="a7"/>
        </w:rPr>
        <w:footnoteRef/>
      </w:r>
      <w:r>
        <w:t xml:space="preserve"> </w:t>
      </w:r>
      <w:r>
        <w:rPr>
          <w:rtl/>
        </w:rPr>
        <w:t xml:space="preserve"> * (ע' בפתיחה) </w:t>
      </w:r>
      <w:r>
        <w:rPr>
          <w:rFonts w:hAnsi="Courier New"/>
          <w:b/>
          <w:bCs/>
          <w:rtl/>
        </w:rPr>
        <w:t xml:space="preserve">בכל פקודי. </w:t>
      </w:r>
      <w:r>
        <w:rPr>
          <w:rFonts w:hAnsi="Courier New"/>
          <w:rtl/>
        </w:rPr>
        <w:t>כאן הוא סיום המאמר, ואח"כ הוא ליקוטים מלוקטים</w:t>
      </w:r>
      <w:r>
        <w:rPr>
          <w:rFonts w:hAnsi="Courier New"/>
          <w:b/>
          <w:bCs/>
          <w:rtl/>
        </w:rPr>
        <w:t xml:space="preserve"> דאורייתא אית כו' אתמר תמן אז כו' מהאי אז כו' ואית כבוד נברא כו' איהו עלת כו' </w:t>
      </w:r>
      <w:r>
        <w:rPr>
          <w:rFonts w:hAnsi="Courier New"/>
          <w:rtl/>
        </w:rPr>
        <w:t>כל אחד הוא ליקוט אחר ממקומות מפוזרים.</w:t>
      </w:r>
      <w:r>
        <w:rPr>
          <w:rFonts w:hAnsi="Courier New"/>
          <w:b/>
          <w:bCs/>
          <w:rtl/>
        </w:rPr>
        <w:t xml:space="preserve"> </w:t>
      </w:r>
    </w:p>
  </w:footnote>
  <w:footnote w:id="347">
    <w:p w:rsidR="00A13282" w:rsidRDefault="00A13282" w:rsidP="00D45634">
      <w:pPr>
        <w:pStyle w:val="a5"/>
      </w:pPr>
      <w:r>
        <w:rPr>
          <w:rStyle w:val="a7"/>
        </w:rPr>
        <w:footnoteRef/>
      </w:r>
      <w:r>
        <w:t xml:space="preserve"> </w:t>
      </w:r>
      <w:r w:rsidRPr="00954813">
        <w:rPr>
          <w:rStyle w:val="11"/>
          <w:bCs/>
          <w:szCs w:val="24"/>
          <w:rtl/>
        </w:rPr>
        <w:t>דיראה דאורייתא אית כו'.</w:t>
      </w:r>
      <w:r>
        <w:rPr>
          <w:rStyle w:val="23"/>
          <w:rtl/>
        </w:rPr>
        <w:t xml:space="preserve"> רוצה לומר דגם מסטרא דקב"ה יש יראה והוא יראה דאורייתא והוא תורה שבעל פה, נוקבא דז"א. וכולא בקב"ה דאיהו תורה. דתרין נוקבין, חד בשכינתא תתאה, מלכות, וחד - נוקבא דז"א והיא ה' דהויה:</w:t>
      </w:r>
    </w:p>
  </w:footnote>
  <w:footnote w:id="348">
    <w:p w:rsidR="00A13282" w:rsidRDefault="00A13282" w:rsidP="00D45634">
      <w:pPr>
        <w:pStyle w:val="a5"/>
      </w:pPr>
      <w:r>
        <w:rPr>
          <w:rStyle w:val="a7"/>
        </w:rPr>
        <w:footnoteRef/>
      </w:r>
      <w:r>
        <w:t xml:space="preserve"> </w:t>
      </w:r>
      <w:r w:rsidRPr="00954813">
        <w:rPr>
          <w:rStyle w:val="11"/>
          <w:bCs/>
          <w:szCs w:val="24"/>
          <w:rtl/>
        </w:rPr>
        <w:t>אתמר תמן כו'.</w:t>
      </w:r>
      <w:r>
        <w:rPr>
          <w:rStyle w:val="23"/>
          <w:rtl/>
        </w:rPr>
        <w:t xml:space="preserve"> רוצה לומר גם בז"א יש שני שמות, הוי"ה אדנ"י, דהן ח' אותיות, מנין א"ז. וזה שאומר, מלאך, דהוא בגימטריא שני שמות הנ"ל:</w:t>
      </w:r>
    </w:p>
  </w:footnote>
  <w:footnote w:id="349">
    <w:p w:rsidR="00A13282" w:rsidRDefault="00A13282" w:rsidP="00D45634">
      <w:pPr>
        <w:pStyle w:val="a5"/>
      </w:pPr>
      <w:r>
        <w:rPr>
          <w:rStyle w:val="a7"/>
        </w:rPr>
        <w:footnoteRef/>
      </w:r>
      <w:r>
        <w:t xml:space="preserve"> </w:t>
      </w:r>
      <w:r w:rsidRPr="00954813">
        <w:rPr>
          <w:rStyle w:val="11"/>
          <w:bCs/>
          <w:szCs w:val="24"/>
          <w:rtl/>
        </w:rPr>
        <w:t>מן השמים.</w:t>
      </w:r>
      <w:r>
        <w:rPr>
          <w:rStyle w:val="23"/>
          <w:rtl/>
        </w:rPr>
        <w:t xml:space="preserve"> רוצה לומר בז"א:</w:t>
      </w:r>
    </w:p>
  </w:footnote>
  <w:footnote w:id="350">
    <w:p w:rsidR="00A13282" w:rsidRDefault="00A13282" w:rsidP="00D45634">
      <w:pPr>
        <w:pStyle w:val="a5"/>
      </w:pPr>
      <w:r>
        <w:rPr>
          <w:rStyle w:val="a7"/>
        </w:rPr>
        <w:footnoteRef/>
      </w:r>
      <w:r>
        <w:t xml:space="preserve"> </w:t>
      </w:r>
      <w:r w:rsidRPr="00954813">
        <w:rPr>
          <w:rStyle w:val="11"/>
          <w:bCs/>
          <w:szCs w:val="24"/>
          <w:rtl/>
        </w:rPr>
        <w:t>מעשה מרכבה.</w:t>
      </w:r>
      <w:r>
        <w:rPr>
          <w:rStyle w:val="23"/>
          <w:rtl/>
        </w:rPr>
        <w:t xml:space="preserve"> כנ"ל דמט"ט מרכבה לז"א כמו שאמר לעיל ואיהו רכב לעמודא דאמצעיתא:</w:t>
      </w:r>
    </w:p>
  </w:footnote>
  <w:footnote w:id="351">
    <w:p w:rsidR="00A13282" w:rsidRDefault="00A13282" w:rsidP="00D45634">
      <w:pPr>
        <w:pStyle w:val="a5"/>
      </w:pPr>
      <w:r>
        <w:rPr>
          <w:rStyle w:val="a7"/>
        </w:rPr>
        <w:footnoteRef/>
      </w:r>
      <w:r>
        <w:t xml:space="preserve"> </w:t>
      </w:r>
      <w:r w:rsidRPr="00954813">
        <w:rPr>
          <w:rStyle w:val="11"/>
          <w:bCs/>
          <w:szCs w:val="24"/>
          <w:rtl/>
        </w:rPr>
        <w:t>מהאי אז תליין כו'.</w:t>
      </w:r>
      <w:r>
        <w:rPr>
          <w:rStyle w:val="23"/>
          <w:rtl/>
        </w:rPr>
        <w:t xml:space="preserve"> כמו שאומר בתיקוני זוהר חדש דף ע"ג, דס"ד כנפים וח' דא"ז - הוא ע"ב, וזהו חסד, ח' וס"ד:</w:t>
      </w:r>
    </w:p>
  </w:footnote>
  <w:footnote w:id="352">
    <w:p w:rsidR="00A13282" w:rsidRDefault="00A13282" w:rsidP="00D45634">
      <w:pPr>
        <w:pStyle w:val="a5"/>
      </w:pPr>
      <w:r>
        <w:rPr>
          <w:rStyle w:val="a7"/>
        </w:rPr>
        <w:footnoteRef/>
      </w:r>
      <w:r>
        <w:t xml:space="preserve"> </w:t>
      </w:r>
      <w:r w:rsidRPr="00954813">
        <w:rPr>
          <w:rStyle w:val="11"/>
          <w:bCs/>
          <w:szCs w:val="24"/>
          <w:rtl/>
        </w:rPr>
        <w:t>דביה צריך וכו'.</w:t>
      </w:r>
      <w:r>
        <w:rPr>
          <w:rStyle w:val="23"/>
          <w:rtl/>
        </w:rPr>
        <w:t xml:space="preserve"> דהם במלכות. ולכך נאמר והוכן בחסד כסא (ישעיהו טז ה) וסיפא דקרא וישב עליו, וזה שאומר וישב כו':</w:t>
      </w:r>
    </w:p>
  </w:footnote>
  <w:footnote w:id="353">
    <w:p w:rsidR="00A13282" w:rsidRDefault="00A13282" w:rsidP="00D45634">
      <w:pPr>
        <w:pStyle w:val="a5"/>
      </w:pPr>
      <w:r>
        <w:rPr>
          <w:rStyle w:val="a7"/>
        </w:rPr>
        <w:footnoteRef/>
      </w:r>
      <w:r>
        <w:t xml:space="preserve"> </w:t>
      </w:r>
      <w:r w:rsidRPr="00954813">
        <w:rPr>
          <w:rStyle w:val="11"/>
          <w:bCs/>
          <w:szCs w:val="24"/>
          <w:rtl/>
        </w:rPr>
        <w:t>עשור אמת מ"ה.</w:t>
      </w:r>
      <w:r>
        <w:rPr>
          <w:rStyle w:val="23"/>
          <w:rtl/>
        </w:rPr>
        <w:t xml:space="preserve"> דעשור א' הוא ג"כ א', דאין פחות מא':</w:t>
      </w:r>
    </w:p>
  </w:footnote>
  <w:footnote w:id="354">
    <w:p w:rsidR="00A13282" w:rsidRDefault="00A13282" w:rsidP="00D45634">
      <w:pPr>
        <w:pStyle w:val="a5"/>
      </w:pPr>
      <w:r>
        <w:rPr>
          <w:rStyle w:val="a7"/>
        </w:rPr>
        <w:footnoteRef/>
      </w:r>
      <w:r>
        <w:t xml:space="preserve"> </w:t>
      </w:r>
      <w:r w:rsidRPr="00954813">
        <w:rPr>
          <w:rStyle w:val="11"/>
          <w:bCs/>
          <w:szCs w:val="24"/>
          <w:rtl/>
        </w:rPr>
        <w:t>מוריד הטל.</w:t>
      </w:r>
      <w:r>
        <w:rPr>
          <w:rStyle w:val="23"/>
          <w:rtl/>
        </w:rPr>
        <w:t xml:space="preserve"> ראשי תיבות מ"ה, וטל - גימטריא יו"ד ק"א וא"ו, וזה שאומר לאנהרא כו':</w:t>
      </w:r>
    </w:p>
  </w:footnote>
  <w:footnote w:id="355">
    <w:p w:rsidR="00A13282" w:rsidRDefault="00A13282" w:rsidP="00D45634">
      <w:pPr>
        <w:pStyle w:val="a5"/>
      </w:pPr>
      <w:r>
        <w:rPr>
          <w:rStyle w:val="a7"/>
        </w:rPr>
        <w:footnoteRef/>
      </w:r>
      <w:r>
        <w:t xml:space="preserve"> </w:t>
      </w:r>
      <w:r w:rsidRPr="00954813">
        <w:rPr>
          <w:rStyle w:val="11"/>
          <w:bCs/>
          <w:szCs w:val="24"/>
          <w:rtl/>
        </w:rPr>
        <w:t>דאיהו כליל.</w:t>
      </w:r>
      <w:r>
        <w:rPr>
          <w:rStyle w:val="23"/>
          <w:rtl/>
        </w:rPr>
        <w:t xml:space="preserve"> דה"א גימטריא ו', והשם מ"ה הוא בת"ת ששניהם הם זו"ן דכלולין בהן עשר ספירות וזה שאומר עשר ספירות בלי מה, מ"ה בז"א, ובל"י במלכות, כמו שאומר בתיקון ד' דשם מ"ב הוא במלכות, ל"ב נתיבות ועשר אמירן, וזה - בל"י. וזה שאומר דאינון לקיבלייהו כו':</w:t>
      </w:r>
    </w:p>
  </w:footnote>
  <w:footnote w:id="356">
    <w:p w:rsidR="00A13282" w:rsidRDefault="00A13282" w:rsidP="00D45634">
      <w:pPr>
        <w:pStyle w:val="a5"/>
      </w:pPr>
      <w:r>
        <w:rPr>
          <w:rStyle w:val="a7"/>
        </w:rPr>
        <w:footnoteRef/>
      </w:r>
      <w:r>
        <w:t xml:space="preserve"> </w:t>
      </w:r>
      <w:r w:rsidRPr="00954813">
        <w:rPr>
          <w:rStyle w:val="11"/>
          <w:bCs/>
          <w:szCs w:val="24"/>
          <w:rtl/>
        </w:rPr>
        <w:t>עשרה עשרה הכף.</w:t>
      </w:r>
      <w:r>
        <w:rPr>
          <w:rStyle w:val="23"/>
          <w:rtl/>
        </w:rPr>
        <w:t xml:space="preserve"> כמו שאומר לקמן יוד מעילא לתתא, יוד מתתא לעילא, וזה הכף. וזה שאומר ודא כו':</w:t>
      </w:r>
    </w:p>
  </w:footnote>
  <w:footnote w:id="357">
    <w:p w:rsidR="00A13282" w:rsidRDefault="00A13282" w:rsidP="00D45634">
      <w:pPr>
        <w:pStyle w:val="a5"/>
      </w:pPr>
      <w:r>
        <w:rPr>
          <w:rStyle w:val="a7"/>
        </w:rPr>
        <w:footnoteRef/>
      </w:r>
      <w:r>
        <w:t xml:space="preserve"> </w:t>
      </w:r>
      <w:r w:rsidRPr="00954813">
        <w:rPr>
          <w:rStyle w:val="11"/>
          <w:bCs/>
          <w:szCs w:val="24"/>
          <w:rtl/>
        </w:rPr>
        <w:t>כ' מן כתר.</w:t>
      </w:r>
      <w:r>
        <w:rPr>
          <w:rStyle w:val="23"/>
          <w:rtl/>
        </w:rPr>
        <w:t xml:space="preserve"> דמן כתר ולתתא עשר, וכן למפרע עשר, עד כתר, לכך בו נכללין כ':</w:t>
      </w:r>
    </w:p>
  </w:footnote>
  <w:footnote w:id="358">
    <w:p w:rsidR="00A13282" w:rsidRDefault="00A13282" w:rsidP="00D45634">
      <w:pPr>
        <w:pStyle w:val="a5"/>
      </w:pPr>
      <w:r>
        <w:rPr>
          <w:rStyle w:val="a7"/>
        </w:rPr>
        <w:footnoteRef/>
      </w:r>
      <w:r>
        <w:t xml:space="preserve"> </w:t>
      </w:r>
      <w:r w:rsidRPr="00954813">
        <w:rPr>
          <w:rStyle w:val="11"/>
          <w:bCs/>
          <w:szCs w:val="24"/>
          <w:rtl/>
        </w:rPr>
        <w:t>עשרה מן כו'.</w:t>
      </w:r>
      <w:r>
        <w:rPr>
          <w:rStyle w:val="23"/>
          <w:rtl/>
        </w:rPr>
        <w:t xml:space="preserve"> כמו שאומר לעיל דבנוקבא הויה מהופכת:</w:t>
      </w:r>
    </w:p>
  </w:footnote>
  <w:footnote w:id="359">
    <w:p w:rsidR="00A13282" w:rsidRDefault="00A13282" w:rsidP="00D45634">
      <w:pPr>
        <w:pStyle w:val="a5"/>
      </w:pPr>
      <w:r>
        <w:rPr>
          <w:rStyle w:val="a7"/>
        </w:rPr>
        <w:footnoteRef/>
      </w:r>
      <w:r>
        <w:t xml:space="preserve"> </w:t>
      </w:r>
      <w:r w:rsidRPr="00954813">
        <w:rPr>
          <w:rStyle w:val="11"/>
          <w:bCs/>
          <w:szCs w:val="24"/>
          <w:rtl/>
        </w:rPr>
        <w:t>מדלג כו'.</w:t>
      </w:r>
      <w:r>
        <w:rPr>
          <w:rStyle w:val="23"/>
          <w:rtl/>
        </w:rPr>
        <w:t xml:space="preserve"> רוצה לומר מדלג ההרים, ראשי תיבות מ"ה. וכן מקפץ הגבעות כנ"ל דבתרווייהו שם מ"ה:</w:t>
      </w:r>
    </w:p>
  </w:footnote>
  <w:footnote w:id="360">
    <w:p w:rsidR="00A13282" w:rsidRDefault="00A13282" w:rsidP="00D45634">
      <w:pPr>
        <w:pStyle w:val="a5"/>
      </w:pPr>
      <w:r>
        <w:rPr>
          <w:rStyle w:val="a7"/>
        </w:rPr>
        <w:footnoteRef/>
      </w:r>
      <w:r>
        <w:t xml:space="preserve"> </w:t>
      </w:r>
      <w:r w:rsidRPr="00954813">
        <w:rPr>
          <w:rStyle w:val="11"/>
          <w:bCs/>
          <w:szCs w:val="24"/>
          <w:rtl/>
        </w:rPr>
        <w:t>אינון אמהן.</w:t>
      </w:r>
      <w:r>
        <w:rPr>
          <w:rStyle w:val="23"/>
          <w:rtl/>
        </w:rPr>
        <w:t xml:space="preserve"> שכינה עילאה ותתאה ורוצה לומר דלכך נאמר גבעות בלשון רבים:</w:t>
      </w:r>
    </w:p>
  </w:footnote>
  <w:footnote w:id="361">
    <w:p w:rsidR="00A13282" w:rsidRDefault="00A13282" w:rsidP="00D45634">
      <w:pPr>
        <w:pStyle w:val="a5"/>
      </w:pPr>
      <w:r>
        <w:rPr>
          <w:rStyle w:val="a7"/>
        </w:rPr>
        <w:footnoteRef/>
      </w:r>
      <w:r>
        <w:t xml:space="preserve"> </w:t>
      </w:r>
      <w:r>
        <w:rPr>
          <w:rFonts w:ascii="Arial"/>
          <w:b/>
          <w:bCs/>
          <w:sz w:val="38"/>
          <w:rtl/>
        </w:rPr>
        <w:t>דאיהו תנועה גדולה.</w:t>
      </w:r>
      <w:r>
        <w:rPr>
          <w:rFonts w:ascii="Arial"/>
          <w:sz w:val="38"/>
          <w:rtl/>
        </w:rPr>
        <w:t xml:space="preserve"> רוצה לומר מלך:</w:t>
      </w:r>
    </w:p>
  </w:footnote>
  <w:footnote w:id="362">
    <w:p w:rsidR="00A13282" w:rsidRDefault="00A13282" w:rsidP="00D45634">
      <w:pPr>
        <w:pStyle w:val="a5"/>
      </w:pPr>
      <w:r>
        <w:rPr>
          <w:rStyle w:val="a7"/>
        </w:rPr>
        <w:footnoteRef/>
      </w:r>
      <w:r>
        <w:t xml:space="preserve"> </w:t>
      </w:r>
      <w:r>
        <w:rPr>
          <w:rFonts w:ascii="Arial"/>
          <w:b/>
          <w:bCs/>
          <w:sz w:val="38"/>
          <w:rtl/>
        </w:rPr>
        <w:t>בגין כו'.</w:t>
      </w:r>
      <w:r>
        <w:rPr>
          <w:rFonts w:ascii="Arial"/>
          <w:sz w:val="38"/>
          <w:rtl/>
        </w:rPr>
        <w:t xml:space="preserve"> לפיכך הוא מלך על כולם:</w:t>
      </w:r>
    </w:p>
  </w:footnote>
  <w:footnote w:id="363">
    <w:p w:rsidR="00A13282" w:rsidRDefault="00A13282" w:rsidP="00D45634">
      <w:pPr>
        <w:pStyle w:val="a5"/>
      </w:pPr>
      <w:r>
        <w:rPr>
          <w:rStyle w:val="a7"/>
        </w:rPr>
        <w:footnoteRef/>
      </w:r>
      <w:r>
        <w:t xml:space="preserve"> </w:t>
      </w:r>
      <w:r>
        <w:rPr>
          <w:rFonts w:ascii="Arial"/>
          <w:b/>
          <w:bCs/>
          <w:sz w:val="38"/>
          <w:rtl/>
        </w:rPr>
        <w:t>אע"ג דכולהו כו'.</w:t>
      </w:r>
      <w:r>
        <w:rPr>
          <w:rFonts w:ascii="Arial"/>
          <w:sz w:val="38"/>
          <w:rtl/>
        </w:rPr>
        <w:t xml:space="preserve"> רוצה לומר אף על גב דכולהו הוו מלך זה לזה מכל מקום איהו מלך על כולם דהוא ראשית דכולהו:</w:t>
      </w:r>
    </w:p>
  </w:footnote>
  <w:footnote w:id="364">
    <w:p w:rsidR="00A13282" w:rsidRDefault="00A13282" w:rsidP="00D45634">
      <w:pPr>
        <w:pStyle w:val="a5"/>
      </w:pPr>
      <w:r>
        <w:rPr>
          <w:rStyle w:val="a7"/>
        </w:rPr>
        <w:footnoteRef/>
      </w:r>
      <w:r>
        <w:t xml:space="preserve"> </w:t>
      </w:r>
      <w:r>
        <w:rPr>
          <w:rFonts w:ascii="Arial"/>
          <w:b/>
          <w:bCs/>
          <w:sz w:val="38"/>
          <w:rtl/>
        </w:rPr>
        <w:t>כגון ברא כו'.</w:t>
      </w:r>
      <w:r>
        <w:rPr>
          <w:rFonts w:ascii="Arial"/>
          <w:sz w:val="38"/>
          <w:rtl/>
        </w:rPr>
        <w:t xml:space="preserve"> רוצה לומר אף על גב דכולהו באצילות מכל מקום הוה זה לזה כסא כגון ברא כו':</w:t>
      </w:r>
    </w:p>
  </w:footnote>
  <w:footnote w:id="365">
    <w:p w:rsidR="00A13282" w:rsidRDefault="00A13282" w:rsidP="00D45634">
      <w:pPr>
        <w:pStyle w:val="a5"/>
      </w:pPr>
      <w:r>
        <w:rPr>
          <w:rStyle w:val="a7"/>
        </w:rPr>
        <w:footnoteRef/>
      </w:r>
      <w:r>
        <w:t xml:space="preserve"> </w:t>
      </w:r>
      <w:r>
        <w:rPr>
          <w:rFonts w:ascii="Arial"/>
          <w:b/>
          <w:bCs/>
          <w:sz w:val="38"/>
          <w:rtl/>
        </w:rPr>
        <w:t>כעבד ושמש כו'.</w:t>
      </w:r>
      <w:r>
        <w:rPr>
          <w:rFonts w:ascii="Arial"/>
          <w:sz w:val="38"/>
          <w:rtl/>
        </w:rPr>
        <w:t xml:space="preserve"> חשיב ד' דברים שהן כנגד ד' פרצופין, או"א וזו"ן שהן כולן כסאות זה לזה עד א"א וקחשיב ממטה למעלה:</w:t>
      </w:r>
    </w:p>
  </w:footnote>
  <w:footnote w:id="366">
    <w:p w:rsidR="00A13282" w:rsidRDefault="00A13282" w:rsidP="00D45634">
      <w:pPr>
        <w:pStyle w:val="a5"/>
      </w:pPr>
      <w:r>
        <w:rPr>
          <w:rStyle w:val="a7"/>
        </w:rPr>
        <w:footnoteRef/>
      </w:r>
      <w:r>
        <w:t xml:space="preserve"> </w:t>
      </w:r>
      <w:r>
        <w:rPr>
          <w:rFonts w:ascii="Arial"/>
          <w:b/>
          <w:bCs/>
          <w:sz w:val="38"/>
          <w:rtl/>
        </w:rPr>
        <w:t>כגון שבא כו'.</w:t>
      </w:r>
      <w:r>
        <w:rPr>
          <w:rFonts w:ascii="Arial"/>
          <w:sz w:val="38"/>
          <w:rtl/>
        </w:rPr>
        <w:t xml:space="preserve"> רוצה לומר בחטף קמץ:</w:t>
      </w:r>
    </w:p>
  </w:footnote>
  <w:footnote w:id="367">
    <w:p w:rsidR="00A13282" w:rsidRDefault="00A13282" w:rsidP="00D45634">
      <w:pPr>
        <w:pStyle w:val="a5"/>
      </w:pPr>
      <w:r>
        <w:rPr>
          <w:rStyle w:val="a7"/>
        </w:rPr>
        <w:footnoteRef/>
      </w:r>
      <w:r>
        <w:t xml:space="preserve"> </w:t>
      </w:r>
      <w:r>
        <w:rPr>
          <w:rFonts w:ascii="Arial"/>
          <w:b/>
          <w:bCs/>
          <w:sz w:val="38"/>
          <w:rtl/>
        </w:rPr>
        <w:t>ורזא דקמץ.</w:t>
      </w:r>
      <w:r>
        <w:rPr>
          <w:rFonts w:ascii="Arial"/>
          <w:sz w:val="38"/>
          <w:rtl/>
        </w:rPr>
        <w:t xml:space="preserve"> חוזר ומפרש כאן קמץ ופתח משום דבכל נקודות מפרש למעלה אותיותיהן ונקודותיהן אבל בקמץ לא פירש רק הנקודה ובפתח רק האותיות לפיכך חוזר ומפרש כאן בשניהם האותיות עם הנקודות:</w:t>
      </w:r>
    </w:p>
  </w:footnote>
  <w:footnote w:id="368">
    <w:p w:rsidR="00A13282" w:rsidRDefault="00A13282" w:rsidP="00D45634">
      <w:pPr>
        <w:pStyle w:val="a5"/>
      </w:pPr>
      <w:r>
        <w:rPr>
          <w:rStyle w:val="a7"/>
        </w:rPr>
        <w:footnoteRef/>
      </w:r>
      <w:r>
        <w:t xml:space="preserve"> </w:t>
      </w:r>
      <w:r>
        <w:rPr>
          <w:rFonts w:ascii="Arial"/>
          <w:b/>
          <w:bCs/>
          <w:sz w:val="38"/>
          <w:rtl/>
        </w:rPr>
        <w:t>מ' דאיהו מלך כו'.</w:t>
      </w:r>
      <w:r>
        <w:rPr>
          <w:rFonts w:ascii="Arial"/>
          <w:sz w:val="38"/>
          <w:rtl/>
        </w:rPr>
        <w:t xml:space="preserve"> רוצה לומר דקמץ איהו בחכמה ושם הוא מילוי דיודין - ע"ב, ובפנימיות - מילוי דאלפין, מ"ה, כ"ח מ"ה, ובהן ה' יודין כמנין קמץ עם נקודותיו - נ', והיא ל"ך של מלך, וד' יודי"ן של ע"ב, מילוי דיודי"ן שהוא חכמה הוא מ' של מלך:</w:t>
      </w:r>
    </w:p>
  </w:footnote>
  <w:footnote w:id="369">
    <w:p w:rsidR="00A13282" w:rsidRDefault="00A13282" w:rsidP="00D45634">
      <w:pPr>
        <w:pStyle w:val="a5"/>
      </w:pPr>
      <w:r>
        <w:rPr>
          <w:rStyle w:val="a7"/>
        </w:rPr>
        <w:footnoteRef/>
      </w:r>
      <w:r>
        <w:t xml:space="preserve"> </w:t>
      </w:r>
      <w:r>
        <w:rPr>
          <w:rFonts w:ascii="Arial"/>
          <w:b/>
          <w:bCs/>
          <w:sz w:val="38"/>
          <w:rtl/>
        </w:rPr>
        <w:t>דאיהו מלך גדול.</w:t>
      </w:r>
      <w:r>
        <w:rPr>
          <w:rFonts w:ascii="Arial"/>
          <w:sz w:val="38"/>
          <w:rtl/>
        </w:rPr>
        <w:t xml:space="preserve"> כנ"ל דאיהו ראשית לכל:</w:t>
      </w:r>
    </w:p>
  </w:footnote>
  <w:footnote w:id="370">
    <w:p w:rsidR="00A13282" w:rsidRDefault="00A13282" w:rsidP="00D45634">
      <w:pPr>
        <w:pStyle w:val="a5"/>
      </w:pPr>
      <w:r>
        <w:rPr>
          <w:rStyle w:val="a7"/>
        </w:rPr>
        <w:footnoteRef/>
      </w:r>
      <w:r>
        <w:t xml:space="preserve"> </w:t>
      </w:r>
      <w:r>
        <w:rPr>
          <w:rFonts w:ascii="Arial"/>
          <w:b/>
          <w:bCs/>
          <w:sz w:val="38"/>
          <w:rtl/>
        </w:rPr>
        <w:t>כי בי.</w:t>
      </w:r>
      <w:r>
        <w:rPr>
          <w:rFonts w:ascii="Arial"/>
          <w:sz w:val="38"/>
          <w:rtl/>
        </w:rPr>
        <w:t xml:space="preserve"> גימטריה מ"ב:</w:t>
      </w:r>
    </w:p>
  </w:footnote>
  <w:footnote w:id="371">
    <w:p w:rsidR="00A13282" w:rsidRDefault="00A13282" w:rsidP="00D45634">
      <w:pPr>
        <w:pStyle w:val="a5"/>
      </w:pPr>
      <w:r>
        <w:rPr>
          <w:rStyle w:val="a7"/>
        </w:rPr>
        <w:footnoteRef/>
      </w:r>
      <w:r>
        <w:t xml:space="preserve"> </w:t>
      </w:r>
      <w:r>
        <w:rPr>
          <w:rFonts w:ascii="Arial"/>
          <w:b/>
          <w:bCs/>
          <w:sz w:val="38"/>
          <w:rtl/>
        </w:rPr>
        <w:t>פתחו לי כו'.</w:t>
      </w:r>
      <w:r>
        <w:rPr>
          <w:rFonts w:ascii="Arial"/>
          <w:sz w:val="38"/>
          <w:rtl/>
        </w:rPr>
        <w:t xml:space="preserve"> מביא הפסוקים ששם מרומז מ"ב ואח"כ מפרש פסוק ראשון ואח"כ השני. וזה שאומר כי בי כו'. ורוצה לומר דשם אב"ג ית"ץ, ד' נקודות בו. קמץ על א', שבא על ב', חירק על ג', פתח על ת'. וכן בכל הז' שמות של מ"ב:</w:t>
      </w:r>
    </w:p>
  </w:footnote>
  <w:footnote w:id="372">
    <w:p w:rsidR="00A13282" w:rsidRDefault="00A13282" w:rsidP="00D45634">
      <w:pPr>
        <w:pStyle w:val="a5"/>
      </w:pPr>
      <w:r>
        <w:rPr>
          <w:rStyle w:val="a7"/>
        </w:rPr>
        <w:footnoteRef/>
      </w:r>
      <w:r>
        <w:t xml:space="preserve"> </w:t>
      </w:r>
      <w:r>
        <w:rPr>
          <w:rFonts w:ascii="Arial"/>
          <w:b/>
          <w:bCs/>
          <w:sz w:val="38"/>
          <w:rtl/>
        </w:rPr>
        <w:t>כי בי.</w:t>
      </w:r>
      <w:r>
        <w:rPr>
          <w:rFonts w:ascii="Arial"/>
          <w:sz w:val="38"/>
          <w:rtl/>
        </w:rPr>
        <w:t xml:space="preserve"> הוא פתח כנ"ל:</w:t>
      </w:r>
    </w:p>
  </w:footnote>
  <w:footnote w:id="373">
    <w:p w:rsidR="00A13282" w:rsidRDefault="00A13282" w:rsidP="00D45634">
      <w:pPr>
        <w:pStyle w:val="a5"/>
      </w:pPr>
      <w:r>
        <w:rPr>
          <w:rStyle w:val="a7"/>
        </w:rPr>
        <w:footnoteRef/>
      </w:r>
      <w:r>
        <w:t xml:space="preserve"> </w:t>
      </w:r>
      <w:r>
        <w:rPr>
          <w:rFonts w:ascii="Arial"/>
          <w:b/>
          <w:bCs/>
          <w:sz w:val="38"/>
          <w:rtl/>
        </w:rPr>
        <w:t>חשק.</w:t>
      </w:r>
      <w:r>
        <w:rPr>
          <w:rFonts w:ascii="Arial"/>
          <w:sz w:val="38"/>
          <w:rtl/>
        </w:rPr>
        <w:t xml:space="preserve"> הוא ג' נקודות האחרים בשם זה, אפלטהו, ואשגבהו כי ידע שמי כו':</w:t>
      </w:r>
    </w:p>
  </w:footnote>
  <w:footnote w:id="374">
    <w:p w:rsidR="00792816" w:rsidRDefault="00792816" w:rsidP="0064446A">
      <w:pPr>
        <w:pStyle w:val="aff7"/>
        <w:jc w:val="both"/>
      </w:pPr>
      <w:r>
        <w:rPr>
          <w:rStyle w:val="a7"/>
        </w:rPr>
        <w:footnoteRef/>
      </w:r>
      <w:r>
        <w:rPr>
          <w:rtl/>
        </w:rPr>
        <w:t xml:space="preserve"> </w:t>
      </w:r>
      <w:r w:rsidR="0064446A">
        <w:rPr>
          <w:rFonts w:hAnsi="Courier New" w:cs="Arial" w:hint="cs"/>
          <w:b/>
          <w:bCs/>
          <w:szCs w:val="24"/>
          <w:rtl/>
          <w:lang w:eastAsia="en-US"/>
        </w:rPr>
        <w:t>**</w:t>
      </w:r>
      <w:r w:rsidRPr="0064446A">
        <w:rPr>
          <w:rFonts w:hAnsi="Courier New" w:cs="Arial"/>
          <w:b/>
          <w:bCs/>
          <w:szCs w:val="24"/>
          <w:rtl/>
          <w:lang w:eastAsia="en-US"/>
        </w:rPr>
        <w:t>חולם שבא קמץ</w:t>
      </w:r>
      <w:r w:rsidR="0064446A" w:rsidRPr="0064446A">
        <w:rPr>
          <w:rFonts w:hAnsi="Courier New" w:cs="Arial" w:hint="cs"/>
          <w:b/>
          <w:bCs/>
          <w:szCs w:val="24"/>
          <w:rtl/>
          <w:lang w:eastAsia="en-US"/>
        </w:rPr>
        <w:t>.</w:t>
      </w:r>
      <w:r>
        <w:rPr>
          <w:rFonts w:hAnsi="Courier New" w:cs="Arial"/>
          <w:szCs w:val="24"/>
          <w:rtl/>
          <w:lang w:eastAsia="en-US"/>
        </w:rPr>
        <w:t xml:space="preserve"> שהוא ניקוד דשם הוי"ה</w:t>
      </w:r>
      <w:r w:rsidR="0064446A">
        <w:rPr>
          <w:rFonts w:hAnsi="Courier New" w:cs="Arial" w:hint="cs"/>
          <w:szCs w:val="24"/>
          <w:rtl/>
          <w:lang w:eastAsia="en-US"/>
        </w:rPr>
        <w:t>,</w:t>
      </w:r>
      <w:r>
        <w:rPr>
          <w:rFonts w:hAnsi="Courier New" w:cs="Arial"/>
          <w:szCs w:val="24"/>
          <w:rtl/>
          <w:lang w:eastAsia="en-US"/>
        </w:rPr>
        <w:t xml:space="preserve"> וניקוד דשם מ"ב</w:t>
      </w:r>
      <w:r w:rsidR="0064446A">
        <w:rPr>
          <w:rFonts w:hAnsi="Courier New" w:cs="Arial" w:hint="cs"/>
          <w:szCs w:val="24"/>
          <w:rtl/>
          <w:lang w:eastAsia="en-US"/>
        </w:rPr>
        <w:t>,</w:t>
      </w:r>
      <w:r>
        <w:rPr>
          <w:rFonts w:hAnsi="Courier New" w:cs="Arial"/>
          <w:szCs w:val="24"/>
          <w:rtl/>
          <w:lang w:eastAsia="en-US"/>
        </w:rPr>
        <w:t xml:space="preserve"> כמש"ל קכ"ה ב'</w:t>
      </w:r>
      <w:r w:rsidR="0064446A">
        <w:rPr>
          <w:rFonts w:hAnsi="Courier New" w:cs="Arial" w:hint="cs"/>
          <w:szCs w:val="24"/>
          <w:rtl/>
          <w:lang w:eastAsia="en-US"/>
        </w:rPr>
        <w:t>.</w:t>
      </w:r>
      <w:r>
        <w:rPr>
          <w:rFonts w:hAnsi="Courier New" w:cs="Arial"/>
          <w:szCs w:val="24"/>
          <w:rtl/>
          <w:lang w:eastAsia="en-US"/>
        </w:rPr>
        <w:t xml:space="preserve"> וכ</w:t>
      </w:r>
      <w:r w:rsidR="0064446A">
        <w:rPr>
          <w:rFonts w:hAnsi="Courier New" w:cs="Arial" w:hint="cs"/>
          <w:szCs w:val="24"/>
          <w:rtl/>
          <w:lang w:eastAsia="en-US"/>
        </w:rPr>
        <w:t>ן הוא</w:t>
      </w:r>
      <w:r>
        <w:rPr>
          <w:rFonts w:hAnsi="Courier New" w:cs="Arial"/>
          <w:szCs w:val="24"/>
          <w:rtl/>
          <w:lang w:eastAsia="en-US"/>
        </w:rPr>
        <w:t xml:space="preserve"> ניקוד דשם צבאו"ת</w:t>
      </w:r>
      <w:r w:rsidR="0064446A">
        <w:rPr>
          <w:rFonts w:hAnsi="Courier New" w:cs="Arial" w:hint="cs"/>
          <w:szCs w:val="24"/>
          <w:rtl/>
          <w:lang w:eastAsia="en-US"/>
        </w:rPr>
        <w:t>,</w:t>
      </w:r>
      <w:r>
        <w:rPr>
          <w:rFonts w:hAnsi="Courier New" w:cs="Arial"/>
          <w:szCs w:val="24"/>
          <w:rtl/>
          <w:lang w:eastAsia="en-US"/>
        </w:rPr>
        <w:t xml:space="preserve"> ואדנ"י</w:t>
      </w:r>
      <w:r w:rsidR="0064446A">
        <w:rPr>
          <w:rFonts w:hAnsi="Courier New" w:cs="Arial" w:hint="cs"/>
          <w:szCs w:val="24"/>
          <w:rtl/>
          <w:lang w:eastAsia="en-US"/>
        </w:rPr>
        <w:t>.</w:t>
      </w:r>
      <w:r>
        <w:rPr>
          <w:rFonts w:hAnsi="Courier New" w:cs="Arial"/>
          <w:szCs w:val="24"/>
          <w:rtl/>
          <w:lang w:eastAsia="en-US"/>
        </w:rPr>
        <w:t xml:space="preserve"> ועמש"ש</w:t>
      </w:r>
      <w:r w:rsidR="0064446A">
        <w:rPr>
          <w:rFonts w:hAnsi="Courier New" w:cs="Arial" w:hint="cs"/>
          <w:szCs w:val="24"/>
          <w:rtl/>
          <w:lang w:eastAsia="en-US"/>
        </w:rPr>
        <w:t>.</w:t>
      </w:r>
      <w:r>
        <w:rPr>
          <w:rFonts w:hAnsi="Courier New" w:cs="Arial"/>
          <w:szCs w:val="24"/>
          <w:rtl/>
          <w:lang w:eastAsia="en-US"/>
        </w:rPr>
        <w:t xml:space="preserve"> וכן אמר לקמן ט' ב'</w:t>
      </w:r>
      <w:r w:rsidR="0064446A">
        <w:rPr>
          <w:rFonts w:hAnsi="Courier New" w:cs="Arial" w:hint="cs"/>
          <w:szCs w:val="24"/>
          <w:rtl/>
          <w:lang w:eastAsia="en-US"/>
        </w:rPr>
        <w:t>,</w:t>
      </w:r>
      <w:r>
        <w:rPr>
          <w:rFonts w:hAnsi="Courier New" w:cs="Arial"/>
          <w:szCs w:val="24"/>
          <w:rtl/>
          <w:lang w:eastAsia="en-US"/>
        </w:rPr>
        <w:t xml:space="preserve"> חש"ק חולם כו'</w:t>
      </w:r>
      <w:r w:rsidR="0064446A">
        <w:rPr>
          <w:rFonts w:hAnsi="Courier New" w:cs="Arial" w:hint="cs"/>
          <w:szCs w:val="24"/>
          <w:rtl/>
          <w:lang w:eastAsia="en-US"/>
        </w:rPr>
        <w:t>.</w:t>
      </w:r>
      <w:r>
        <w:rPr>
          <w:rFonts w:hAnsi="Courier New" w:cs="Arial"/>
          <w:szCs w:val="24"/>
          <w:rtl/>
          <w:lang w:eastAsia="en-US"/>
        </w:rPr>
        <w:t xml:space="preserve"> והן ג' גוונין דאבהן שהן כוללין הכל כמש"ש</w:t>
      </w:r>
      <w:r w:rsidR="0064446A">
        <w:rPr>
          <w:rFonts w:hAnsi="Courier New" w:cs="Arial" w:hint="cs"/>
          <w:szCs w:val="24"/>
          <w:rtl/>
          <w:lang w:eastAsia="en-US"/>
        </w:rPr>
        <w:t>.</w:t>
      </w:r>
      <w:r>
        <w:rPr>
          <w:rFonts w:hAnsi="Courier New" w:cs="Arial"/>
          <w:szCs w:val="24"/>
          <w:rtl/>
          <w:lang w:eastAsia="en-US"/>
        </w:rPr>
        <w:t xml:space="preserve"> ושם והוא רק באבותיך חש"ק כמש"ש</w:t>
      </w:r>
      <w:r w:rsidR="0064446A">
        <w:rPr>
          <w:rFonts w:hAnsi="Courier New" w:cs="Arial" w:hint="cs"/>
          <w:szCs w:val="24"/>
          <w:rtl/>
          <w:lang w:eastAsia="en-US"/>
        </w:rPr>
        <w:t>.</w:t>
      </w:r>
      <w:r>
        <w:rPr>
          <w:rFonts w:hAnsi="Courier New" w:cs="Arial"/>
          <w:szCs w:val="24"/>
          <w:rtl/>
          <w:lang w:eastAsia="en-US"/>
        </w:rPr>
        <w:t xml:space="preserve"> וע"ל ט' ב'</w:t>
      </w:r>
      <w:r w:rsidR="0064446A">
        <w:rPr>
          <w:rFonts w:hAnsi="Courier New" w:cs="Arial" w:hint="cs"/>
          <w:szCs w:val="24"/>
          <w:rtl/>
          <w:lang w:eastAsia="en-US"/>
        </w:rPr>
        <w:t>.</w:t>
      </w:r>
      <w:r>
        <w:rPr>
          <w:rFonts w:hAnsi="Courier New" w:cs="Arial"/>
          <w:szCs w:val="24"/>
          <w:rtl/>
          <w:lang w:eastAsia="en-US"/>
        </w:rPr>
        <w:t xml:space="preserve"> והן דשם מ"ב שהוא ו"ק</w:t>
      </w:r>
      <w:r w:rsidR="0064446A">
        <w:rPr>
          <w:rFonts w:hAnsi="Courier New" w:cs="Arial" w:hint="cs"/>
          <w:szCs w:val="24"/>
          <w:rtl/>
          <w:lang w:eastAsia="en-US"/>
        </w:rPr>
        <w:t>,</w:t>
      </w:r>
      <w:r>
        <w:rPr>
          <w:rFonts w:hAnsi="Courier New" w:cs="Arial"/>
          <w:szCs w:val="24"/>
          <w:rtl/>
          <w:lang w:eastAsia="en-US"/>
        </w:rPr>
        <w:t xml:space="preserve"> דכל שם ג' אבהן וג' בנין באותם הנקודות:</w:t>
      </w:r>
      <w:r>
        <w:rPr>
          <w:rFonts w:hAnsi="Courier New" w:cs="Arial"/>
          <w:b/>
          <w:bCs/>
          <w:szCs w:val="24"/>
          <w:rtl/>
          <w:lang w:eastAsia="en-US"/>
        </w:rPr>
        <w:t xml:space="preserve"> </w:t>
      </w:r>
    </w:p>
  </w:footnote>
  <w:footnote w:id="375">
    <w:p w:rsidR="00A13282" w:rsidRDefault="00A13282" w:rsidP="00D45634">
      <w:pPr>
        <w:pStyle w:val="a5"/>
      </w:pPr>
      <w:r>
        <w:rPr>
          <w:rStyle w:val="a7"/>
        </w:rPr>
        <w:footnoteRef/>
      </w:r>
      <w:r>
        <w:t xml:space="preserve"> </w:t>
      </w:r>
      <w:r>
        <w:rPr>
          <w:rFonts w:ascii="Arial"/>
          <w:b/>
          <w:bCs/>
          <w:sz w:val="38"/>
          <w:rtl/>
        </w:rPr>
        <w:t>קמץ קומץ כו'.</w:t>
      </w:r>
      <w:r>
        <w:rPr>
          <w:rFonts w:ascii="Arial"/>
          <w:sz w:val="38"/>
          <w:rtl/>
        </w:rPr>
        <w:t xml:space="preserve"> עכשיו מפרש פסוק שני. ורוצה לומר דקמץ סתים ביוד ואתפתח בה' כנ"ל שהן חו"ב. ואם כן בפתח כלול י"ה, וזה שאומר אבא ב"ם שהוא הפתח, אודה י"ה, דבפתח אתפתח השער, ובי' פותח את ידך, שמשם ממלאין שאלתו לפיכך אודה י"ה. וזה שאומר ופתח עליה כו', רוצה לומר דלשון פתחו הוא פתח, דקרא מיירי בו, ופתח השער הוא ג"כ בפתח דכתיב זה השער לה', ופתח - בו השם הויה כמו שאמר לעיל דפתח סליק לחושבן הוי"ה וזה שאומר זה השער לה':</w:t>
      </w:r>
    </w:p>
  </w:footnote>
  <w:footnote w:id="376">
    <w:p w:rsidR="00A13282" w:rsidRDefault="00A13282" w:rsidP="00D45634">
      <w:pPr>
        <w:pStyle w:val="a5"/>
      </w:pPr>
      <w:r>
        <w:rPr>
          <w:rStyle w:val="a7"/>
        </w:rPr>
        <w:footnoteRef/>
      </w:r>
      <w:r>
        <w:t xml:space="preserve"> </w:t>
      </w:r>
      <w:r>
        <w:rPr>
          <w:rFonts w:ascii="Arial"/>
          <w:b/>
          <w:bCs/>
          <w:sz w:val="38"/>
          <w:rtl/>
        </w:rPr>
        <w:t>וכמה רזין בנקודי.</w:t>
      </w:r>
      <w:r>
        <w:rPr>
          <w:rFonts w:ascii="Arial"/>
          <w:sz w:val="38"/>
          <w:rtl/>
        </w:rPr>
        <w:t xml:space="preserve"> לפי שסיים כאן רזי דנקודין אלא שמפרש הפסוק פתחו לי שהתחיל בו, אמר שיש עוד כמה רזין בנקידין:</w:t>
      </w:r>
    </w:p>
  </w:footnote>
  <w:footnote w:id="377">
    <w:p w:rsidR="00A13282" w:rsidRDefault="00A13282" w:rsidP="00D45634">
      <w:pPr>
        <w:pStyle w:val="a5"/>
      </w:pPr>
      <w:r>
        <w:rPr>
          <w:rStyle w:val="a7"/>
        </w:rPr>
        <w:footnoteRef/>
      </w:r>
      <w:r>
        <w:t xml:space="preserve"> </w:t>
      </w:r>
      <w:r>
        <w:rPr>
          <w:rFonts w:ascii="Arial"/>
          <w:b/>
          <w:bCs/>
          <w:sz w:val="38"/>
          <w:rtl/>
        </w:rPr>
        <w:t>ואינון תנועות לגבייהו.</w:t>
      </w:r>
      <w:r>
        <w:rPr>
          <w:rFonts w:ascii="Arial"/>
          <w:sz w:val="38"/>
          <w:rtl/>
        </w:rPr>
        <w:t xml:space="preserve"> רוצה לומר הטעמים תנועות לנקודות:</w:t>
      </w:r>
    </w:p>
  </w:footnote>
  <w:footnote w:id="378">
    <w:p w:rsidR="00A13282" w:rsidRDefault="00A13282" w:rsidP="00D45634">
      <w:pPr>
        <w:pStyle w:val="a5"/>
      </w:pPr>
      <w:r>
        <w:rPr>
          <w:rStyle w:val="a7"/>
        </w:rPr>
        <w:footnoteRef/>
      </w:r>
      <w:r>
        <w:t xml:space="preserve"> </w:t>
      </w:r>
      <w:r>
        <w:rPr>
          <w:rFonts w:ascii="Arial"/>
          <w:b/>
          <w:bCs/>
          <w:sz w:val="38"/>
          <w:rtl/>
        </w:rPr>
        <w:t>כגון עפ"י כו'.</w:t>
      </w:r>
      <w:r>
        <w:rPr>
          <w:rFonts w:ascii="Arial"/>
          <w:sz w:val="38"/>
          <w:rtl/>
        </w:rPr>
        <w:t xml:space="preserve"> רוצה לומר, דכן, על פי הטעמים, יחנו - בטעמים המפסיקים כגון אתנחתא סוף פסוק, ויסעו - בטעמים המשרתים:</w:t>
      </w:r>
    </w:p>
  </w:footnote>
  <w:footnote w:id="379">
    <w:p w:rsidR="00A13282" w:rsidRDefault="00A13282" w:rsidP="00D45634">
      <w:pPr>
        <w:pStyle w:val="a5"/>
      </w:pPr>
      <w:r>
        <w:rPr>
          <w:rStyle w:val="a7"/>
        </w:rPr>
        <w:footnoteRef/>
      </w:r>
      <w:r>
        <w:t xml:space="preserve"> </w:t>
      </w:r>
      <w:r>
        <w:rPr>
          <w:rFonts w:ascii="Arial"/>
          <w:b/>
          <w:bCs/>
          <w:sz w:val="38"/>
          <w:rtl/>
        </w:rPr>
        <w:t>דאנהיגין לון כו'.</w:t>
      </w:r>
      <w:r>
        <w:rPr>
          <w:rFonts w:ascii="Arial"/>
          <w:sz w:val="38"/>
          <w:rtl/>
        </w:rPr>
        <w:t xml:space="preserve"> הן ניגון הטעמים והן מפרשים המשך המאמר לפניו או לאחריו וכל ענין המאמר מתפרש על ידן ועיין בכוזרי באריכות:</w:t>
      </w:r>
    </w:p>
  </w:footnote>
  <w:footnote w:id="380">
    <w:p w:rsidR="00A13282" w:rsidRDefault="00A13282" w:rsidP="00D45634">
      <w:pPr>
        <w:pStyle w:val="a5"/>
      </w:pPr>
      <w:r>
        <w:rPr>
          <w:rStyle w:val="a7"/>
        </w:rPr>
        <w:footnoteRef/>
      </w:r>
      <w:r>
        <w:t xml:space="preserve"> </w:t>
      </w:r>
      <w:r>
        <w:rPr>
          <w:rFonts w:ascii="Arial"/>
          <w:b/>
          <w:bCs/>
          <w:sz w:val="38"/>
          <w:rtl/>
        </w:rPr>
        <w:t>אתוון מתנהגין כו'.</w:t>
      </w:r>
      <w:r>
        <w:rPr>
          <w:rFonts w:ascii="Arial"/>
          <w:sz w:val="38"/>
          <w:rtl/>
        </w:rPr>
        <w:t xml:space="preserve"> דבלא נקודות אין יכול לדבר כלל האות ולפיכך הן רוח האותיות:</w:t>
      </w:r>
    </w:p>
  </w:footnote>
  <w:footnote w:id="381">
    <w:p w:rsidR="00A13282" w:rsidRDefault="00A13282" w:rsidP="00D45634">
      <w:pPr>
        <w:jc w:val="both"/>
      </w:pPr>
      <w:r>
        <w:rPr>
          <w:rStyle w:val="a7"/>
        </w:rPr>
        <w:footnoteRef/>
      </w:r>
      <w:r>
        <w:t xml:space="preserve"> </w:t>
      </w:r>
      <w:r>
        <w:rPr>
          <w:b/>
          <w:bCs/>
          <w:rtl/>
        </w:rPr>
        <w:t>כי גבוה כו'.</w:t>
      </w:r>
      <w:r>
        <w:rPr>
          <w:rtl/>
        </w:rPr>
        <w:t xml:space="preserve"> שהן הנקודות על גבי האותיות וסיפיה דקרא וגבוהים עליהם דאל תיקשי לך הלא הנקודות הם תחת האותיות וגם הן קטנים מן האותיות והיאך קאמר כי גבוה כו' לכך קאמר ואית נקודה דכל עלמא תליא:</w:t>
      </w:r>
    </w:p>
  </w:footnote>
  <w:footnote w:id="382">
    <w:p w:rsidR="00A13282" w:rsidRDefault="00A13282" w:rsidP="00D45634">
      <w:pPr>
        <w:pStyle w:val="a5"/>
      </w:pPr>
      <w:r>
        <w:rPr>
          <w:rStyle w:val="a7"/>
        </w:rPr>
        <w:footnoteRef/>
      </w:r>
      <w:r>
        <w:t xml:space="preserve"> </w:t>
      </w:r>
      <w:r>
        <w:rPr>
          <w:rFonts w:ascii="Arial"/>
          <w:b/>
          <w:bCs/>
          <w:sz w:val="38"/>
          <w:rtl/>
        </w:rPr>
        <w:t>אינון אש.</w:t>
      </w:r>
      <w:r>
        <w:rPr>
          <w:rFonts w:ascii="Arial"/>
          <w:sz w:val="38"/>
          <w:rtl/>
        </w:rPr>
        <w:t xml:space="preserve"> כנ"ל החיות מראיהן כגחלי אש:</w:t>
      </w:r>
    </w:p>
  </w:footnote>
  <w:footnote w:id="383">
    <w:p w:rsidR="00A13282" w:rsidRDefault="00A13282" w:rsidP="00D45634">
      <w:pPr>
        <w:pStyle w:val="a5"/>
      </w:pPr>
      <w:r>
        <w:rPr>
          <w:rStyle w:val="a7"/>
        </w:rPr>
        <w:footnoteRef/>
      </w:r>
      <w:r>
        <w:t xml:space="preserve"> </w:t>
      </w:r>
      <w:r>
        <w:rPr>
          <w:rFonts w:ascii="Arial"/>
          <w:b/>
          <w:bCs/>
          <w:sz w:val="38"/>
          <w:rtl/>
        </w:rPr>
        <w:t>נקודי רוח.</w:t>
      </w:r>
      <w:r>
        <w:rPr>
          <w:rFonts w:ascii="Arial"/>
          <w:sz w:val="38"/>
          <w:rtl/>
        </w:rPr>
        <w:t xml:space="preserve"> כנ"ל פנימיות שבהן רוח:</w:t>
      </w:r>
    </w:p>
  </w:footnote>
  <w:footnote w:id="384">
    <w:p w:rsidR="00A13282" w:rsidRDefault="00A13282" w:rsidP="00D45634">
      <w:pPr>
        <w:pStyle w:val="a5"/>
      </w:pPr>
      <w:r>
        <w:rPr>
          <w:rStyle w:val="a7"/>
        </w:rPr>
        <w:footnoteRef/>
      </w:r>
      <w:r>
        <w:t xml:space="preserve"> </w:t>
      </w:r>
      <w:r>
        <w:rPr>
          <w:rFonts w:ascii="Arial"/>
          <w:b/>
          <w:bCs/>
          <w:sz w:val="38"/>
          <w:rtl/>
        </w:rPr>
        <w:t>ואינון כמבועי כו'.</w:t>
      </w:r>
      <w:r>
        <w:rPr>
          <w:rFonts w:ascii="Arial"/>
          <w:sz w:val="38"/>
          <w:rtl/>
        </w:rPr>
        <w:t xml:space="preserve"> כמו שאומר בהקדמה שניה דשמא מפרש איהו שקיו דאילנא כמיא כו':</w:t>
      </w:r>
    </w:p>
  </w:footnote>
  <w:footnote w:id="385">
    <w:p w:rsidR="00A13282" w:rsidRDefault="00A13282" w:rsidP="00D45634">
      <w:pPr>
        <w:pStyle w:val="a5"/>
      </w:pPr>
      <w:r>
        <w:rPr>
          <w:rStyle w:val="a7"/>
        </w:rPr>
        <w:footnoteRef/>
      </w:r>
      <w:r>
        <w:t xml:space="preserve"> </w:t>
      </w:r>
      <w:r>
        <w:rPr>
          <w:rFonts w:ascii="Arial"/>
          <w:b/>
          <w:bCs/>
          <w:sz w:val="38"/>
          <w:rtl/>
        </w:rPr>
        <w:t>כל חיתו שדי.</w:t>
      </w:r>
      <w:r>
        <w:rPr>
          <w:rFonts w:ascii="Arial"/>
          <w:sz w:val="38"/>
          <w:rtl/>
        </w:rPr>
        <w:t xml:space="preserve"> אילן אתוון כנ"ל:</w:t>
      </w:r>
    </w:p>
  </w:footnote>
  <w:footnote w:id="386">
    <w:p w:rsidR="00A13282" w:rsidRDefault="00A13282" w:rsidP="00D45634">
      <w:pPr>
        <w:pStyle w:val="a5"/>
      </w:pPr>
      <w:r>
        <w:rPr>
          <w:rStyle w:val="a7"/>
        </w:rPr>
        <w:footnoteRef/>
      </w:r>
      <w:r>
        <w:t xml:space="preserve"> </w:t>
      </w:r>
      <w:r>
        <w:rPr>
          <w:rFonts w:ascii="Arial"/>
          <w:b/>
          <w:bCs/>
          <w:sz w:val="38"/>
          <w:rtl/>
        </w:rPr>
        <w:t>ואית דשוי לון כו'.</w:t>
      </w:r>
      <w:r>
        <w:rPr>
          <w:rFonts w:ascii="Arial"/>
          <w:sz w:val="38"/>
          <w:rtl/>
        </w:rPr>
        <w:t xml:space="preserve"> שהן ד' אותיות הוי"ה כנ"ל, או"א זו"ן:</w:t>
      </w:r>
    </w:p>
  </w:footnote>
  <w:footnote w:id="387">
    <w:p w:rsidR="00A13282" w:rsidRDefault="00A13282" w:rsidP="00D45634">
      <w:pPr>
        <w:pStyle w:val="a5"/>
      </w:pPr>
      <w:r>
        <w:rPr>
          <w:rStyle w:val="a7"/>
        </w:rPr>
        <w:footnoteRef/>
      </w:r>
      <w:r>
        <w:t xml:space="preserve"> </w:t>
      </w:r>
      <w:r>
        <w:rPr>
          <w:rFonts w:ascii="Arial"/>
          <w:b/>
          <w:bCs/>
          <w:sz w:val="38"/>
          <w:rtl/>
        </w:rPr>
        <w:t>נקודי אדם.</w:t>
      </w:r>
      <w:r>
        <w:rPr>
          <w:rFonts w:ascii="Arial"/>
          <w:sz w:val="38"/>
          <w:rtl/>
        </w:rPr>
        <w:t xml:space="preserve"> הוא א"א שמתלבש בהם בפנימיותם והוא שמא מפרש והוא היושב על הכסא שהן כולם כסא ליה כנ"ל:</w:t>
      </w:r>
    </w:p>
  </w:footnote>
  <w:footnote w:id="388">
    <w:p w:rsidR="00A13282" w:rsidRDefault="00A13282" w:rsidP="00D45634">
      <w:pPr>
        <w:pStyle w:val="a5"/>
      </w:pPr>
      <w:r>
        <w:rPr>
          <w:rStyle w:val="a7"/>
        </w:rPr>
        <w:footnoteRef/>
      </w:r>
      <w:r>
        <w:t xml:space="preserve"> </w:t>
      </w:r>
      <w:r>
        <w:rPr>
          <w:rFonts w:ascii="Arial"/>
          <w:b/>
          <w:bCs/>
          <w:sz w:val="38"/>
          <w:rtl/>
        </w:rPr>
        <w:t>מסטרא דאימא ההי"ן כו'.</w:t>
      </w:r>
      <w:r>
        <w:rPr>
          <w:rFonts w:ascii="Arial"/>
          <w:sz w:val="38"/>
          <w:rtl/>
        </w:rPr>
        <w:t xml:space="preserve"> שעד כאן פירש הנקודות ועכשיו מפרש אותיות השם שהם ד' יסודות כנ"ל והד' יסודות מתהפכין, פעם מים למעלה, פעם אש למעלה, פעם המים גוברין, פעם אש, וכן בכל הד' יסודות שמהן מזגי כל הטבעים ורחמי ודיני הרוחנים ונטייתם לצד זה או לצד זה ועניינם כפי הוי"ה, אם היו"ד למעלה - מים למעלה וכן בכולם ואם שני יודי"ן וה"א כגון יי"ה - המים גוברין וכן בכולם:</w:t>
      </w:r>
    </w:p>
  </w:footnote>
  <w:footnote w:id="389">
    <w:p w:rsidR="00A13282" w:rsidRDefault="00A13282" w:rsidP="00D45634">
      <w:pPr>
        <w:pStyle w:val="a5"/>
      </w:pPr>
      <w:r>
        <w:rPr>
          <w:rStyle w:val="a7"/>
        </w:rPr>
        <w:footnoteRef/>
      </w:r>
      <w:r>
        <w:t xml:space="preserve"> </w:t>
      </w:r>
      <w:r>
        <w:rPr>
          <w:rFonts w:hAnsi="Courier New"/>
          <w:b/>
          <w:bCs/>
          <w:rtl/>
        </w:rPr>
        <w:t xml:space="preserve">ההי"ן לתתא מסט' כו' </w:t>
      </w:r>
      <w:r>
        <w:rPr>
          <w:rFonts w:hAnsi="Courier New"/>
          <w:rtl/>
        </w:rPr>
        <w:t>עד סוף הקדמה הכל ליקוטים וחסר כאן הרבה:</w:t>
      </w:r>
      <w:r>
        <w:rPr>
          <w:rFonts w:hAnsi="Courier New"/>
          <w:b/>
          <w:bCs/>
          <w:rtl/>
        </w:rPr>
        <w:t xml:space="preserve"> </w:t>
      </w:r>
    </w:p>
  </w:footnote>
  <w:footnote w:id="390">
    <w:p w:rsidR="00A13282" w:rsidRDefault="00A13282" w:rsidP="00D45634">
      <w:pPr>
        <w:pStyle w:val="a5"/>
      </w:pPr>
      <w:r>
        <w:rPr>
          <w:rStyle w:val="a7"/>
        </w:rPr>
        <w:footnoteRef/>
      </w:r>
      <w:r>
        <w:t xml:space="preserve"> </w:t>
      </w:r>
      <w:r>
        <w:rPr>
          <w:rFonts w:ascii="Arial"/>
          <w:b/>
          <w:bCs/>
          <w:sz w:val="38"/>
          <w:rtl/>
        </w:rPr>
        <w:t>למבני בהון כו'.</w:t>
      </w:r>
      <w:r>
        <w:rPr>
          <w:rFonts w:ascii="Arial"/>
          <w:sz w:val="38"/>
          <w:rtl/>
        </w:rPr>
        <w:t xml:space="preserve"> כמו שמפרש והולך דיה"ו איהו ביתא:</w:t>
      </w:r>
    </w:p>
  </w:footnote>
  <w:footnote w:id="391">
    <w:p w:rsidR="00A13282" w:rsidRDefault="00A13282" w:rsidP="00D45634">
      <w:pPr>
        <w:pStyle w:val="a5"/>
      </w:pPr>
      <w:r>
        <w:rPr>
          <w:rStyle w:val="a7"/>
        </w:rPr>
        <w:footnoteRef/>
      </w:r>
      <w:r>
        <w:t xml:space="preserve"> </w:t>
      </w:r>
      <w:r>
        <w:rPr>
          <w:rFonts w:ascii="Arial"/>
          <w:b/>
          <w:bCs/>
          <w:sz w:val="38"/>
          <w:rtl/>
        </w:rPr>
        <w:t>דאת י' כו'.</w:t>
      </w:r>
      <w:r>
        <w:rPr>
          <w:rFonts w:ascii="Arial"/>
          <w:sz w:val="38"/>
          <w:rtl/>
        </w:rPr>
        <w:t xml:space="preserve"> דיסוד איהו י' זעירא:</w:t>
      </w:r>
    </w:p>
  </w:footnote>
  <w:footnote w:id="392">
    <w:p w:rsidR="00A13282" w:rsidRDefault="00A13282" w:rsidP="00D45634">
      <w:pPr>
        <w:pStyle w:val="a5"/>
      </w:pPr>
      <w:r>
        <w:rPr>
          <w:rStyle w:val="a7"/>
        </w:rPr>
        <w:footnoteRef/>
      </w:r>
      <w:r>
        <w:t xml:space="preserve"> </w:t>
      </w:r>
      <w:r>
        <w:rPr>
          <w:rFonts w:ascii="Arial"/>
          <w:b/>
          <w:bCs/>
          <w:sz w:val="38"/>
          <w:rtl/>
        </w:rPr>
        <w:t>י"י מן יי"ק כו' אבנים שלמות.</w:t>
      </w:r>
      <w:r>
        <w:rPr>
          <w:rFonts w:ascii="Arial"/>
          <w:sz w:val="38"/>
          <w:rtl/>
        </w:rPr>
        <w:t xml:space="preserve"> רוצה לומר דלכך כתיב לשון רבים:</w:t>
      </w:r>
    </w:p>
  </w:footnote>
  <w:footnote w:id="393">
    <w:p w:rsidR="00A13282" w:rsidRDefault="00A13282" w:rsidP="00D45634">
      <w:pPr>
        <w:pStyle w:val="a5"/>
      </w:pPr>
      <w:r>
        <w:rPr>
          <w:rStyle w:val="a7"/>
        </w:rPr>
        <w:footnoteRef/>
      </w:r>
      <w:r>
        <w:t xml:space="preserve"> </w:t>
      </w:r>
      <w:r>
        <w:rPr>
          <w:rFonts w:ascii="Arial"/>
          <w:b/>
          <w:bCs/>
          <w:sz w:val="38"/>
          <w:rtl/>
        </w:rPr>
        <w:t>תבנה כו' דא ה'.</w:t>
      </w:r>
      <w:r>
        <w:rPr>
          <w:rFonts w:ascii="Arial"/>
          <w:sz w:val="38"/>
          <w:rtl/>
        </w:rPr>
        <w:t xml:space="preserve"> היא מלכות שנקראת בית כמו שאומר לעיל כי ביתי כו':</w:t>
      </w:r>
    </w:p>
  </w:footnote>
  <w:footnote w:id="394">
    <w:p w:rsidR="00A13282" w:rsidRDefault="00A13282" w:rsidP="00D45634">
      <w:pPr>
        <w:pStyle w:val="a5"/>
      </w:pPr>
      <w:r>
        <w:rPr>
          <w:rStyle w:val="a7"/>
        </w:rPr>
        <w:footnoteRef/>
      </w:r>
      <w:r>
        <w:t xml:space="preserve"> </w:t>
      </w:r>
      <w:r>
        <w:rPr>
          <w:rFonts w:ascii="Arial"/>
          <w:b/>
          <w:bCs/>
          <w:sz w:val="38"/>
          <w:rtl/>
        </w:rPr>
        <w:t>ו' דא קורה.</w:t>
      </w:r>
      <w:r>
        <w:rPr>
          <w:rFonts w:ascii="Arial"/>
          <w:sz w:val="38"/>
          <w:rtl/>
        </w:rPr>
        <w:t xml:space="preserve"> שעל הבית:</w:t>
      </w:r>
    </w:p>
  </w:footnote>
  <w:footnote w:id="395">
    <w:p w:rsidR="00A13282" w:rsidRDefault="00A13282" w:rsidP="00D45634">
      <w:pPr>
        <w:pStyle w:val="a5"/>
      </w:pPr>
      <w:r>
        <w:rPr>
          <w:rStyle w:val="a7"/>
        </w:rPr>
        <w:footnoteRef/>
      </w:r>
      <w:r>
        <w:t xml:space="preserve"> </w:t>
      </w:r>
      <w:r>
        <w:rPr>
          <w:rFonts w:ascii="Arial"/>
          <w:b/>
          <w:bCs/>
          <w:sz w:val="38"/>
          <w:rtl/>
        </w:rPr>
        <w:t>ועמודא כו'.</w:t>
      </w:r>
      <w:r>
        <w:rPr>
          <w:rFonts w:ascii="Arial"/>
          <w:sz w:val="38"/>
          <w:rtl/>
        </w:rPr>
        <w:t xml:space="preserve"> הן העמודים שהבית נכון עליהם, והוא תלמיד חכם שעל הבית ובתוכו, כמו שאמרו מלכא בביתיה כו':</w:t>
      </w:r>
    </w:p>
  </w:footnote>
  <w:footnote w:id="396">
    <w:p w:rsidR="00A13282" w:rsidRDefault="00A13282" w:rsidP="00D45634">
      <w:pPr>
        <w:pStyle w:val="a5"/>
      </w:pPr>
      <w:r>
        <w:rPr>
          <w:rStyle w:val="a7"/>
        </w:rPr>
        <w:footnoteRef/>
      </w:r>
      <w:r>
        <w:t xml:space="preserve"> </w:t>
      </w:r>
      <w:r>
        <w:rPr>
          <w:rFonts w:ascii="Arial"/>
          <w:b/>
          <w:bCs/>
          <w:sz w:val="38"/>
          <w:rtl/>
        </w:rPr>
        <w:t>ספירה תשיעאה כו'.</w:t>
      </w:r>
      <w:r>
        <w:rPr>
          <w:rFonts w:ascii="Arial"/>
          <w:sz w:val="38"/>
          <w:rtl/>
        </w:rPr>
        <w:t xml:space="preserve"> דהוא סמיך למלכות שהיא עשירית:</w:t>
      </w:r>
    </w:p>
  </w:footnote>
  <w:footnote w:id="397">
    <w:p w:rsidR="00A13282" w:rsidRDefault="00A13282" w:rsidP="00D45634">
      <w:pPr>
        <w:pStyle w:val="a5"/>
      </w:pPr>
      <w:r>
        <w:rPr>
          <w:rStyle w:val="a7"/>
        </w:rPr>
        <w:footnoteRef/>
      </w:r>
      <w:r>
        <w:t xml:space="preserve"> </w:t>
      </w:r>
      <w:r>
        <w:rPr>
          <w:rFonts w:ascii="Arial"/>
          <w:b/>
          <w:bCs/>
          <w:sz w:val="38"/>
          <w:rtl/>
        </w:rPr>
        <w:t>דאיהו סומך גאולה לתפלה.</w:t>
      </w:r>
      <w:r>
        <w:rPr>
          <w:rFonts w:ascii="Arial"/>
          <w:sz w:val="38"/>
          <w:rtl/>
        </w:rPr>
        <w:t xml:space="preserve"> שיסוד נקרא גואל ומלכות - תפלה לפיכך הוא יסודא דבנינא שכל הבית נסמך עליו:</w:t>
      </w:r>
    </w:p>
  </w:footnote>
  <w:footnote w:id="398">
    <w:p w:rsidR="00A13282" w:rsidRDefault="00A13282" w:rsidP="00D45634">
      <w:pPr>
        <w:pStyle w:val="a5"/>
      </w:pPr>
      <w:r>
        <w:rPr>
          <w:rStyle w:val="a7"/>
        </w:rPr>
        <w:footnoteRef/>
      </w:r>
      <w:r>
        <w:t xml:space="preserve"> </w:t>
      </w:r>
      <w:r>
        <w:rPr>
          <w:rFonts w:ascii="Arial"/>
          <w:b/>
          <w:bCs/>
          <w:sz w:val="38"/>
          <w:rtl/>
        </w:rPr>
        <w:t>ובי' סומך כו'.</w:t>
      </w:r>
      <w:r>
        <w:rPr>
          <w:rFonts w:ascii="Arial"/>
          <w:sz w:val="38"/>
          <w:rtl/>
        </w:rPr>
        <w:t xml:space="preserve"> דת"ת סומך על ידו למלכות:</w:t>
      </w:r>
    </w:p>
  </w:footnote>
  <w:footnote w:id="399">
    <w:p w:rsidR="00A13282" w:rsidRDefault="00A13282" w:rsidP="00D45634">
      <w:pPr>
        <w:pStyle w:val="a5"/>
      </w:pPr>
      <w:r>
        <w:rPr>
          <w:rStyle w:val="a7"/>
        </w:rPr>
        <w:footnoteRef/>
      </w:r>
      <w:r>
        <w:t xml:space="preserve"> </w:t>
      </w:r>
      <w:r>
        <w:rPr>
          <w:rFonts w:ascii="Arial"/>
          <w:b/>
          <w:bCs/>
          <w:sz w:val="38"/>
          <w:rtl/>
        </w:rPr>
        <w:t>כתפארת אדם.</w:t>
      </w:r>
      <w:r>
        <w:rPr>
          <w:rFonts w:ascii="Arial"/>
          <w:sz w:val="38"/>
          <w:rtl/>
        </w:rPr>
        <w:t xml:space="preserve"> שנקרא אדם כמו שאומר לעיל:</w:t>
      </w:r>
    </w:p>
  </w:footnote>
  <w:footnote w:id="400">
    <w:p w:rsidR="00A13282" w:rsidRDefault="00A13282" w:rsidP="00D45634">
      <w:pPr>
        <w:pStyle w:val="a5"/>
      </w:pPr>
      <w:r>
        <w:rPr>
          <w:rStyle w:val="a7"/>
        </w:rPr>
        <w:footnoteRef/>
      </w:r>
      <w:r>
        <w:t xml:space="preserve"> </w:t>
      </w:r>
      <w:r>
        <w:rPr>
          <w:rFonts w:ascii="Arial"/>
          <w:b/>
          <w:bCs/>
          <w:sz w:val="38"/>
          <w:rtl/>
        </w:rPr>
        <w:t>לשבת.</w:t>
      </w:r>
      <w:r>
        <w:rPr>
          <w:rFonts w:ascii="Arial"/>
          <w:sz w:val="38"/>
          <w:rtl/>
        </w:rPr>
        <w:t xml:space="preserve"> כנ"ל:</w:t>
      </w:r>
    </w:p>
  </w:footnote>
  <w:footnote w:id="401">
    <w:p w:rsidR="00A13282" w:rsidRDefault="00A13282" w:rsidP="00D45634">
      <w:pPr>
        <w:pStyle w:val="a5"/>
      </w:pPr>
      <w:r>
        <w:rPr>
          <w:rStyle w:val="a7"/>
        </w:rPr>
        <w:footnoteRef/>
      </w:r>
      <w:r>
        <w:t xml:space="preserve"> </w:t>
      </w:r>
      <w:r>
        <w:rPr>
          <w:rFonts w:ascii="Arial"/>
          <w:b/>
          <w:bCs/>
          <w:sz w:val="38"/>
          <w:rtl/>
        </w:rPr>
        <w:t>ובי' כל הזוקף זוקף בשם.</w:t>
      </w:r>
      <w:r>
        <w:rPr>
          <w:rFonts w:ascii="Arial"/>
          <w:sz w:val="38"/>
          <w:rtl/>
        </w:rPr>
        <w:t xml:space="preserve"> דהוא תלמיד חכם שהוא קורה ועמוד:</w:t>
      </w:r>
    </w:p>
  </w:footnote>
  <w:footnote w:id="402">
    <w:p w:rsidR="00A13282" w:rsidRDefault="00A13282" w:rsidP="00D45634">
      <w:pPr>
        <w:pStyle w:val="a5"/>
      </w:pPr>
      <w:r>
        <w:rPr>
          <w:rStyle w:val="a7"/>
        </w:rPr>
        <w:footnoteRef/>
      </w:r>
      <w:r>
        <w:t xml:space="preserve"> </w:t>
      </w:r>
      <w:r>
        <w:rPr>
          <w:rFonts w:ascii="Arial"/>
          <w:b/>
          <w:bCs/>
          <w:sz w:val="38"/>
          <w:rtl/>
        </w:rPr>
        <w:t>אבל לגבי יסוד כו'.</w:t>
      </w:r>
      <w:r>
        <w:rPr>
          <w:rFonts w:ascii="Arial"/>
          <w:sz w:val="38"/>
          <w:rtl/>
        </w:rPr>
        <w:t xml:space="preserve"> שהוא למטה, יסוד הבנין. והענין, כי יסוד כורע להקים המלכות וזוקפין אותן בשם אל הת"ת, וזה סומך ה' כו':</w:t>
      </w:r>
    </w:p>
  </w:footnote>
  <w:footnote w:id="403">
    <w:p w:rsidR="00A13282" w:rsidRDefault="00A13282" w:rsidP="00D45634">
      <w:pPr>
        <w:pStyle w:val="a5"/>
      </w:pPr>
      <w:r>
        <w:rPr>
          <w:rStyle w:val="a7"/>
        </w:rPr>
        <w:footnoteRef/>
      </w:r>
      <w:r>
        <w:t xml:space="preserve"> </w:t>
      </w:r>
      <w:r>
        <w:rPr>
          <w:rFonts w:ascii="Arial"/>
          <w:b/>
          <w:bCs/>
          <w:sz w:val="38"/>
          <w:rtl/>
        </w:rPr>
        <w:t>הה"ד ברכות כו'.</w:t>
      </w:r>
      <w:r>
        <w:rPr>
          <w:rFonts w:ascii="Arial"/>
          <w:sz w:val="38"/>
          <w:rtl/>
        </w:rPr>
        <w:t xml:space="preserve"> ראיה שצדיק הוא ברוך:</w:t>
      </w:r>
    </w:p>
  </w:footnote>
  <w:footnote w:id="404">
    <w:p w:rsidR="00A13282" w:rsidRDefault="00A13282" w:rsidP="00D45634">
      <w:pPr>
        <w:pStyle w:val="a5"/>
      </w:pPr>
      <w:r>
        <w:rPr>
          <w:rStyle w:val="a7"/>
        </w:rPr>
        <w:footnoteRef/>
      </w:r>
      <w:r>
        <w:t xml:space="preserve"> </w:t>
      </w:r>
      <w:r>
        <w:rPr>
          <w:rFonts w:ascii="Arial"/>
          <w:b/>
          <w:bCs/>
          <w:sz w:val="38"/>
          <w:rtl/>
        </w:rPr>
        <w:t>ואיהו ערוב כו'.</w:t>
      </w:r>
      <w:r>
        <w:rPr>
          <w:rFonts w:ascii="Arial"/>
          <w:sz w:val="38"/>
          <w:rtl/>
        </w:rPr>
        <w:t xml:space="preserve"> רוצה לומר יסוד. שמבוי הוא שכינה כמו שמפרש והולך, וקורה הוא תלמיד חכם כנ"ל, והעירוב הוא להניח הקורה על המבוי והוא ע"י יסוד:</w:t>
      </w:r>
    </w:p>
  </w:footnote>
  <w:footnote w:id="405">
    <w:p w:rsidR="00A13282" w:rsidRDefault="00A13282" w:rsidP="00D45634">
      <w:pPr>
        <w:pStyle w:val="a5"/>
      </w:pPr>
      <w:r>
        <w:rPr>
          <w:rStyle w:val="a7"/>
        </w:rPr>
        <w:footnoteRef/>
      </w:r>
      <w:r>
        <w:t xml:space="preserve"> </w:t>
      </w:r>
      <w:r>
        <w:rPr>
          <w:rFonts w:ascii="Arial"/>
          <w:b/>
          <w:bCs/>
          <w:sz w:val="38"/>
          <w:rtl/>
        </w:rPr>
        <w:t>דישפיל ביה הקורה כו'.</w:t>
      </w:r>
      <w:r>
        <w:rPr>
          <w:rFonts w:ascii="Arial"/>
          <w:sz w:val="38"/>
          <w:rtl/>
        </w:rPr>
        <w:t xml:space="preserve"> רצונו לתרץ כאן קושית הגמרא (ריש ערובין וריש סוכה) מאי שנא גבי סוכה דתני פסולה ומאי שנא גבי מבוי דתני ימעט, ומתרץ דימעט הוא עד שיעוריה, דהיינו, דלכתחילה יניח למעלה מעשרה טפחים, אבל גבי סוכה אין קפידא רק שלא יהיה למעלה מעשרים אמה. והענין, כי סתם מחיצות הוא עשרה טפחים, ובמבוי צריך להניח הקורה על גבי מבוי, אבל בסוכה מחיצות שאין מגיעות עד הסכך כשירה:</w:t>
      </w:r>
    </w:p>
  </w:footnote>
  <w:footnote w:id="406">
    <w:p w:rsidR="00A13282" w:rsidRDefault="00A13282" w:rsidP="00D45634">
      <w:pPr>
        <w:pStyle w:val="a5"/>
      </w:pPr>
      <w:r>
        <w:rPr>
          <w:rStyle w:val="a7"/>
        </w:rPr>
        <w:footnoteRef/>
      </w:r>
      <w:r>
        <w:t xml:space="preserve"> </w:t>
      </w:r>
      <w:r>
        <w:rPr>
          <w:rFonts w:ascii="Arial"/>
          <w:b/>
          <w:bCs/>
          <w:sz w:val="38"/>
          <w:rtl/>
        </w:rPr>
        <w:t>לית אדם דמרכבה.</w:t>
      </w:r>
      <w:r>
        <w:rPr>
          <w:rFonts w:ascii="Arial"/>
          <w:sz w:val="38"/>
          <w:rtl/>
        </w:rPr>
        <w:t xml:space="preserve"> רוצה לומר, שמא מפרש מלגאו לאצילות שהתחלתו מכתר. ושם יה"ו הוא ביסוד ומלכות ותפארת, מלמטה למעלה, דמלכות היא בין הת"ת ויסוד שמתחלת בסיום הת"ת וזהו בית של מטה אבל בביתא דלעילא שהוא ה' עילאה כנ"ל בית ראשון בית שני, הוא מלמעלה למטה, י' - חכמה, ה' - בינה, ו' - ת"ת, ג"כ אבן ובנין וקורה:</w:t>
      </w:r>
    </w:p>
  </w:footnote>
  <w:footnote w:id="407">
    <w:p w:rsidR="00A13282" w:rsidRDefault="00A13282" w:rsidP="00D45634">
      <w:pPr>
        <w:pStyle w:val="a5"/>
      </w:pPr>
      <w:r>
        <w:rPr>
          <w:rStyle w:val="a7"/>
        </w:rPr>
        <w:footnoteRef/>
      </w:r>
      <w:r>
        <w:t xml:space="preserve"> </w:t>
      </w:r>
      <w:r>
        <w:rPr>
          <w:rFonts w:ascii="Arial"/>
          <w:b/>
          <w:bCs/>
          <w:sz w:val="38"/>
          <w:rtl/>
        </w:rPr>
        <w:t>ואלין הוויין כו'.</w:t>
      </w:r>
      <w:r>
        <w:rPr>
          <w:rFonts w:ascii="Arial"/>
          <w:sz w:val="38"/>
          <w:rtl/>
        </w:rPr>
        <w:t xml:space="preserve"> נראה לי סדרן כמו שרשמתי, ושרשן נ"ד הוויות מד' אותיות: י"ב שה' כפול בהן. י"ב שיו"ד כפול. י"ב שוא"ו כפול. ו' שי"ק כפולים. ו' שי"ו כפולים. ו' שה"ו כפולים. והן רמוזים באותיות ד"ן שבאדנ"י כידוע. ותחסר אות הרביעי מכל הוי' שכל ע"ב הווין הוא מג' אותיות. ועוד ח"י הוויות מג' אותיות: ג' של יה"ה, ג' של יו"ו, ג' של הי"י, ג' של הו"ו, ג' של וי"י, ג' של וה"ה. והן ע"ב הוויין. ויש עוד ששה הויות של צירוף יה"ו רק שאין חושב כאן בין שהשורש מד' אותיות בין מג' רק שכפול אות בהן כמו שאומר לעיל מסטרא דאימא כו'. וכשתראה בע"ב צירופים, תמצא כ"ד צירופים של הוויין מג' אותיות, והן ח"י הנ"ל שאות אחת כפול וששה של יה"ו, הן כ"ד. ותמצא שכל צירוף בהם שלוש פעמים והוא שלוש כ"ד הידועים נגד שלש אותיות יה"ו הנ"ל:</w:t>
      </w:r>
    </w:p>
  </w:footnote>
  <w:footnote w:id="408">
    <w:p w:rsidR="00A13282" w:rsidRDefault="00A13282" w:rsidP="00D45634">
      <w:pPr>
        <w:pStyle w:val="a5"/>
      </w:pPr>
      <w:r>
        <w:rPr>
          <w:rStyle w:val="a7"/>
        </w:rPr>
        <w:footnoteRef/>
      </w:r>
      <w:r>
        <w:t xml:space="preserve"> </w:t>
      </w:r>
      <w:r>
        <w:rPr>
          <w:rFonts w:ascii="Arial"/>
          <w:b/>
          <w:bCs/>
          <w:sz w:val="38"/>
          <w:rtl/>
        </w:rPr>
        <w:t>תקונא ה' כו'.</w:t>
      </w:r>
      <w:r>
        <w:rPr>
          <w:rFonts w:ascii="Arial"/>
          <w:sz w:val="38"/>
          <w:rtl/>
        </w:rPr>
        <w:t xml:space="preserve"> סדרו כאן, שגם זה מיירי בד' אותיות הויה וד' אותיות אדנ"י והויה בהיפוכא:</w:t>
      </w:r>
    </w:p>
  </w:footnote>
  <w:footnote w:id="409">
    <w:p w:rsidR="00A13282" w:rsidRDefault="00A13282" w:rsidP="00D45634">
      <w:pPr>
        <w:pStyle w:val="a5"/>
      </w:pPr>
      <w:r>
        <w:rPr>
          <w:rStyle w:val="a7"/>
        </w:rPr>
        <w:footnoteRef/>
      </w:r>
      <w:r>
        <w:t xml:space="preserve"> </w:t>
      </w:r>
      <w:r>
        <w:rPr>
          <w:rFonts w:ascii="Arial"/>
          <w:b/>
          <w:bCs/>
          <w:sz w:val="38"/>
          <w:rtl/>
        </w:rPr>
        <w:t>תקונא ה'.</w:t>
      </w:r>
      <w:r>
        <w:rPr>
          <w:rFonts w:ascii="Arial"/>
          <w:sz w:val="38"/>
          <w:rtl/>
        </w:rPr>
        <w:t xml:space="preserve"> רוצה לומר בתיקונים הראשונים היה זה תיקון ה' וכן לקמן כסדר תיקון ו' ז' כו':</w:t>
      </w:r>
    </w:p>
  </w:footnote>
  <w:footnote w:id="410">
    <w:p w:rsidR="00A13282" w:rsidRDefault="00A13282" w:rsidP="00D45634">
      <w:pPr>
        <w:pStyle w:val="a5"/>
      </w:pPr>
      <w:r>
        <w:rPr>
          <w:rStyle w:val="a7"/>
        </w:rPr>
        <w:footnoteRef/>
      </w:r>
      <w:r>
        <w:t xml:space="preserve"> </w:t>
      </w:r>
      <w:r>
        <w:rPr>
          <w:rFonts w:ascii="Arial"/>
          <w:b/>
          <w:bCs/>
          <w:sz w:val="38"/>
          <w:rtl/>
        </w:rPr>
        <w:t>בראשית.</w:t>
      </w:r>
      <w:r>
        <w:rPr>
          <w:rFonts w:ascii="Arial"/>
          <w:sz w:val="38"/>
          <w:rtl/>
        </w:rPr>
        <w:t xml:space="preserve"> שכל השבעים תיקונים הוא על תיבת בראשית, ע' פנים לאורייתא כמנין סו"ד והן תיקוני השכינה דאיהי קבלה כדלקמן:</w:t>
      </w:r>
    </w:p>
  </w:footnote>
  <w:footnote w:id="411">
    <w:p w:rsidR="00A13282" w:rsidRDefault="00A13282" w:rsidP="00D45634">
      <w:pPr>
        <w:pStyle w:val="a5"/>
      </w:pPr>
      <w:r>
        <w:rPr>
          <w:rStyle w:val="a7"/>
        </w:rPr>
        <w:footnoteRef/>
      </w:r>
      <w:r>
        <w:t xml:space="preserve"> </w:t>
      </w:r>
      <w:r>
        <w:rPr>
          <w:rFonts w:ascii="Arial"/>
          <w:b/>
          <w:bCs/>
          <w:sz w:val="38"/>
          <w:rtl/>
        </w:rPr>
        <w:t>בת ראשי.</w:t>
      </w:r>
      <w:r>
        <w:rPr>
          <w:rFonts w:ascii="Arial"/>
          <w:sz w:val="38"/>
          <w:rtl/>
        </w:rPr>
        <w:t xml:space="preserve"> פירוש, שאלו השתי מלות הן אותיות בראשית וכן בכל השבעים תיקונים, במקום שלא יאמר תמן כו', דורש כל המלות בראשית. ורוצה לומר כאן, בת - מלכות, ראשי - חג"ת, דאינון ראשין, דמתמן מתחיל בניינא דעלמא כנ"ל והיא בת של הראשים כמו שכתוב (במדבר כא יח) כרוה נדיבי עם כו' וכולם מסטרא דילה, חגת"ם שבמלכות והן ד' רגלי המרכבה, ד' חיות, ד' אותיות אדנ"י, כמו שמפרש והולך:</w:t>
      </w:r>
    </w:p>
  </w:footnote>
  <w:footnote w:id="412">
    <w:p w:rsidR="00A13282" w:rsidRDefault="00A13282" w:rsidP="00D45634">
      <w:pPr>
        <w:pStyle w:val="a5"/>
      </w:pPr>
      <w:r>
        <w:rPr>
          <w:rStyle w:val="a7"/>
        </w:rPr>
        <w:footnoteRef/>
      </w:r>
      <w:r>
        <w:t xml:space="preserve"> </w:t>
      </w:r>
      <w:r>
        <w:rPr>
          <w:rFonts w:ascii="Arial"/>
          <w:b/>
          <w:bCs/>
          <w:sz w:val="38"/>
          <w:rtl/>
        </w:rPr>
        <w:t>אלה כו'.</w:t>
      </w:r>
      <w:r>
        <w:rPr>
          <w:rFonts w:ascii="Arial"/>
          <w:sz w:val="38"/>
          <w:rtl/>
        </w:rPr>
        <w:t xml:space="preserve"> מפרש דראשי הן חג"ת, ג' אבהן, דכתיב ראשי בית אבותם וכן אלה הוא בג' אבות כמו שאומר בתיקוני זוהר חדש בתחלתו אלה הם מועדי עיין שם:</w:t>
      </w:r>
    </w:p>
  </w:footnote>
  <w:footnote w:id="413">
    <w:p w:rsidR="00A13282" w:rsidRDefault="00A13282" w:rsidP="00D45634">
      <w:pPr>
        <w:pStyle w:val="a5"/>
      </w:pPr>
      <w:r>
        <w:rPr>
          <w:rStyle w:val="a7"/>
        </w:rPr>
        <w:footnoteRef/>
      </w:r>
      <w:r>
        <w:t xml:space="preserve"> </w:t>
      </w:r>
      <w:r>
        <w:rPr>
          <w:rFonts w:ascii="Arial"/>
          <w:b/>
          <w:bCs/>
          <w:sz w:val="38"/>
          <w:rtl/>
        </w:rPr>
        <w:t>בת עלה כו'.</w:t>
      </w:r>
      <w:r>
        <w:rPr>
          <w:rFonts w:ascii="Arial"/>
          <w:sz w:val="38"/>
          <w:rtl/>
        </w:rPr>
        <w:t xml:space="preserve"> עכשיו מפרש מלת בת ולמה הוא קודם לראשי במלת בראשית:</w:t>
      </w:r>
    </w:p>
  </w:footnote>
  <w:footnote w:id="414">
    <w:p w:rsidR="00A13282" w:rsidRDefault="00A13282" w:rsidP="00D45634">
      <w:pPr>
        <w:pStyle w:val="a5"/>
      </w:pPr>
      <w:r>
        <w:rPr>
          <w:rStyle w:val="a7"/>
        </w:rPr>
        <w:footnoteRef/>
      </w:r>
      <w:r>
        <w:t xml:space="preserve"> </w:t>
      </w:r>
      <w:r>
        <w:rPr>
          <w:rFonts w:ascii="Arial"/>
          <w:b/>
          <w:bCs/>
          <w:sz w:val="38"/>
          <w:rtl/>
        </w:rPr>
        <w:t>ואיהי יו"ד כו'.</w:t>
      </w:r>
      <w:r>
        <w:rPr>
          <w:rFonts w:ascii="Arial"/>
          <w:sz w:val="38"/>
          <w:rtl/>
        </w:rPr>
        <w:t xml:space="preserve"> מלכות שבמלכות הוא יו"ד כנ"ל:</w:t>
      </w:r>
    </w:p>
  </w:footnote>
  <w:footnote w:id="415">
    <w:p w:rsidR="00A13282" w:rsidRDefault="00A13282" w:rsidP="00D45634">
      <w:pPr>
        <w:pStyle w:val="a5"/>
      </w:pPr>
      <w:r>
        <w:rPr>
          <w:rStyle w:val="a7"/>
        </w:rPr>
        <w:footnoteRef/>
      </w:r>
      <w:r>
        <w:t xml:space="preserve"> </w:t>
      </w:r>
      <w:r>
        <w:rPr>
          <w:rFonts w:ascii="Arial"/>
          <w:b/>
          <w:bCs/>
          <w:sz w:val="38"/>
          <w:rtl/>
        </w:rPr>
        <w:t>מרגלית כו'.</w:t>
      </w:r>
      <w:r>
        <w:rPr>
          <w:rFonts w:ascii="Arial"/>
          <w:sz w:val="38"/>
          <w:rtl/>
        </w:rPr>
        <w:t xml:space="preserve"> דג' אותיות הראשונות מן אדנ"י הן ג' גוונין מג' אבות אבל אות הרביעי כלולה מכולם:</w:t>
      </w:r>
    </w:p>
  </w:footnote>
  <w:footnote w:id="416">
    <w:p w:rsidR="00A13282" w:rsidRDefault="00A13282" w:rsidP="00D45634">
      <w:pPr>
        <w:pStyle w:val="a5"/>
      </w:pPr>
      <w:r>
        <w:rPr>
          <w:rStyle w:val="a7"/>
        </w:rPr>
        <w:footnoteRef/>
      </w:r>
      <w:r>
        <w:t xml:space="preserve"> </w:t>
      </w:r>
      <w:r>
        <w:rPr>
          <w:rFonts w:ascii="Arial"/>
          <w:b/>
          <w:bCs/>
          <w:sz w:val="38"/>
          <w:rtl/>
        </w:rPr>
        <w:t>גוון תכלת ואוכם כו'.</w:t>
      </w:r>
      <w:r>
        <w:rPr>
          <w:rFonts w:ascii="Arial"/>
          <w:sz w:val="38"/>
          <w:rtl/>
        </w:rPr>
        <w:t xml:space="preserve"> רוצה לומר תכלת - מסטרא דילה עצמה, ואוכם - מסטרא דגבורה, דינא קשיא דינא רפיא:</w:t>
      </w:r>
    </w:p>
  </w:footnote>
  <w:footnote w:id="417">
    <w:p w:rsidR="00A13282" w:rsidRDefault="00A13282" w:rsidP="00D45634">
      <w:pPr>
        <w:pStyle w:val="a5"/>
      </w:pPr>
      <w:r>
        <w:rPr>
          <w:rStyle w:val="a7"/>
        </w:rPr>
        <w:footnoteRef/>
      </w:r>
      <w:r>
        <w:t xml:space="preserve"> </w:t>
      </w:r>
      <w:r>
        <w:rPr>
          <w:rFonts w:ascii="Arial"/>
          <w:b/>
          <w:bCs/>
          <w:sz w:val="38"/>
          <w:rtl/>
        </w:rPr>
        <w:t>את יו"ד מן אדנ"י כו'.</w:t>
      </w:r>
      <w:r>
        <w:rPr>
          <w:rFonts w:ascii="Arial"/>
          <w:sz w:val="38"/>
          <w:rtl/>
        </w:rPr>
        <w:t xml:space="preserve"> דבה ג' אותיות יו"ד כמו שמפרש והולך וכן הוא בכל הארבעה אותיות מן אדנ"י:</w:t>
      </w:r>
    </w:p>
  </w:footnote>
  <w:footnote w:id="418">
    <w:p w:rsidR="00A13282" w:rsidRDefault="00A13282" w:rsidP="00D45634">
      <w:pPr>
        <w:pStyle w:val="a5"/>
      </w:pPr>
      <w:r>
        <w:rPr>
          <w:rStyle w:val="a7"/>
        </w:rPr>
        <w:footnoteRef/>
      </w:r>
      <w:r>
        <w:t xml:space="preserve"> </w:t>
      </w:r>
      <w:r>
        <w:rPr>
          <w:rFonts w:ascii="Arial"/>
          <w:b/>
          <w:bCs/>
          <w:sz w:val="38"/>
          <w:rtl/>
        </w:rPr>
        <w:t>כלילא מי"ב גוונין.</w:t>
      </w:r>
      <w:r>
        <w:rPr>
          <w:rFonts w:ascii="Arial"/>
          <w:sz w:val="38"/>
          <w:rtl/>
        </w:rPr>
        <w:t xml:space="preserve"> כנ"ל דכל אות במילואו כלילא מג' גוונין של חג"ת אלא דג' גוונין של אות אחת אין דומה לג' גוונין של אות אחר, דהכל לפי המקבל, כדמיון השמש כידוע. והי"ב גוונין הן י"ב אבנים של החושן ובו ארבעה טורים נגד ד' אותיות הנ"ל, כל אחד מג' וזה שאומר וכולהו משולשים כו':</w:t>
      </w:r>
    </w:p>
  </w:footnote>
  <w:footnote w:id="419">
    <w:p w:rsidR="00A13282" w:rsidRDefault="00A13282" w:rsidP="00D45634">
      <w:pPr>
        <w:pStyle w:val="a5"/>
      </w:pPr>
      <w:r>
        <w:rPr>
          <w:rStyle w:val="a7"/>
        </w:rPr>
        <w:footnoteRef/>
      </w:r>
      <w:r>
        <w:t xml:space="preserve"> </w:t>
      </w:r>
      <w:r>
        <w:rPr>
          <w:rFonts w:ascii="Arial"/>
          <w:b/>
          <w:bCs/>
          <w:sz w:val="38"/>
          <w:rtl/>
        </w:rPr>
        <w:t>באבהן.</w:t>
      </w:r>
      <w:r>
        <w:rPr>
          <w:rFonts w:ascii="Arial"/>
          <w:sz w:val="38"/>
          <w:rtl/>
        </w:rPr>
        <w:t xml:space="preserve"> הן חג"ת וכן בכהנים לוים וישראלים:</w:t>
      </w:r>
    </w:p>
  </w:footnote>
  <w:footnote w:id="420">
    <w:p w:rsidR="00A13282" w:rsidRDefault="00A13282" w:rsidP="00D45634">
      <w:pPr>
        <w:pStyle w:val="a5"/>
      </w:pPr>
      <w:r>
        <w:rPr>
          <w:rStyle w:val="a7"/>
        </w:rPr>
        <w:footnoteRef/>
      </w:r>
      <w:r>
        <w:t xml:space="preserve"> </w:t>
      </w:r>
      <w:r>
        <w:rPr>
          <w:rFonts w:ascii="Arial"/>
          <w:b/>
          <w:bCs/>
          <w:sz w:val="38"/>
          <w:rtl/>
        </w:rPr>
        <w:t>ורזא דמלה ואהבת כו'.</w:t>
      </w:r>
      <w:r>
        <w:rPr>
          <w:rFonts w:ascii="Arial"/>
          <w:sz w:val="38"/>
          <w:rtl/>
        </w:rPr>
        <w:t xml:space="preserve"> רוצה לומר ראיה דחסד הוא לאהבה:</w:t>
      </w:r>
    </w:p>
  </w:footnote>
  <w:footnote w:id="421">
    <w:p w:rsidR="00A13282" w:rsidRDefault="00A13282" w:rsidP="00D45634">
      <w:pPr>
        <w:pStyle w:val="a5"/>
      </w:pPr>
      <w:r>
        <w:rPr>
          <w:rStyle w:val="a7"/>
        </w:rPr>
        <w:footnoteRef/>
      </w:r>
      <w:r>
        <w:t xml:space="preserve"> </w:t>
      </w:r>
      <w:r>
        <w:rPr>
          <w:rFonts w:ascii="Arial"/>
          <w:b/>
          <w:bCs/>
          <w:sz w:val="38"/>
          <w:rtl/>
        </w:rPr>
        <w:t>ואית גוון פשוט כפול כו'.</w:t>
      </w:r>
      <w:r>
        <w:rPr>
          <w:rFonts w:ascii="Arial"/>
          <w:sz w:val="38"/>
          <w:rtl/>
        </w:rPr>
        <w:t xml:space="preserve"> רוצה לומר דיש שאין בה אלא גוון אחד ויש שיש בה ב' גוונין ויש ג' כו':</w:t>
      </w:r>
    </w:p>
  </w:footnote>
  <w:footnote w:id="422">
    <w:p w:rsidR="00A13282" w:rsidRDefault="00A13282" w:rsidP="00D45634">
      <w:pPr>
        <w:pStyle w:val="a5"/>
      </w:pPr>
      <w:r>
        <w:rPr>
          <w:rStyle w:val="a7"/>
        </w:rPr>
        <w:footnoteRef/>
      </w:r>
      <w:r>
        <w:t xml:space="preserve"> </w:t>
      </w:r>
      <w:r>
        <w:rPr>
          <w:rFonts w:ascii="Arial"/>
          <w:b/>
          <w:bCs/>
          <w:sz w:val="38"/>
          <w:rtl/>
        </w:rPr>
        <w:t>עד דסליק כו'.</w:t>
      </w:r>
      <w:r>
        <w:rPr>
          <w:rFonts w:ascii="Arial"/>
          <w:sz w:val="38"/>
          <w:rtl/>
        </w:rPr>
        <w:t xml:space="preserve"> רוצה לומר שכל הארבעה ביחד הם עשרה:</w:t>
      </w:r>
    </w:p>
  </w:footnote>
  <w:footnote w:id="423">
    <w:p w:rsidR="00A13282" w:rsidRDefault="00A13282" w:rsidP="00D45634">
      <w:pPr>
        <w:pStyle w:val="a5"/>
      </w:pPr>
      <w:r>
        <w:rPr>
          <w:rStyle w:val="a7"/>
        </w:rPr>
        <w:footnoteRef/>
      </w:r>
      <w:r>
        <w:t xml:space="preserve"> </w:t>
      </w:r>
      <w:r>
        <w:rPr>
          <w:rFonts w:ascii="Arial"/>
          <w:b/>
          <w:bCs/>
          <w:sz w:val="38"/>
          <w:rtl/>
        </w:rPr>
        <w:t>נהירין כו'.</w:t>
      </w:r>
      <w:r>
        <w:rPr>
          <w:rFonts w:ascii="Arial"/>
          <w:sz w:val="38"/>
          <w:rtl/>
        </w:rPr>
        <w:t xml:space="preserve"> כמו שאומר לעיל, דאותיות אדנ"י הן גוונין ואותיות הוי"ה הן נהורין והגוונין הן לפי הנהורין, דמלכות לית לה מגרמה כלום אלא לפום הנהורין דמקבלת מז"א שהוא הויה, הכי איתעבידת גוונין, באות פשוט דאיהו יו"ד איתעבידת גוון אחד, באות כפול - י"ה, ב' גוונין, חיוור וסומק. ובאות פשוט חיוור לבד וכן בכולם:</w:t>
      </w:r>
    </w:p>
  </w:footnote>
  <w:footnote w:id="424">
    <w:p w:rsidR="00A13282" w:rsidRDefault="00A13282" w:rsidP="00D45634">
      <w:pPr>
        <w:pStyle w:val="a5"/>
      </w:pPr>
      <w:r>
        <w:rPr>
          <w:rStyle w:val="a7"/>
        </w:rPr>
        <w:footnoteRef/>
      </w:r>
      <w:r>
        <w:t xml:space="preserve"> </w:t>
      </w:r>
      <w:r>
        <w:rPr>
          <w:rFonts w:ascii="Arial"/>
          <w:b/>
          <w:bCs/>
          <w:sz w:val="38"/>
          <w:rtl/>
        </w:rPr>
        <w:t>לע"ב כו'.</w:t>
      </w:r>
      <w:r>
        <w:rPr>
          <w:rFonts w:ascii="Arial"/>
          <w:sz w:val="38"/>
          <w:rtl/>
        </w:rPr>
        <w:t xml:space="preserve"> דעשרה אותיות הנ"ל גימטריה ע"ב:</w:t>
      </w:r>
    </w:p>
  </w:footnote>
  <w:footnote w:id="425">
    <w:p w:rsidR="00A13282" w:rsidRDefault="00A13282" w:rsidP="00D45634">
      <w:pPr>
        <w:pStyle w:val="a5"/>
      </w:pPr>
      <w:r>
        <w:rPr>
          <w:rStyle w:val="a7"/>
        </w:rPr>
        <w:footnoteRef/>
      </w:r>
      <w:r>
        <w:t xml:space="preserve"> </w:t>
      </w:r>
      <w:r>
        <w:rPr>
          <w:rFonts w:ascii="Arial"/>
          <w:b/>
          <w:bCs/>
          <w:sz w:val="38"/>
          <w:rtl/>
        </w:rPr>
        <w:t>חש"ק כו'.</w:t>
      </w:r>
      <w:r>
        <w:rPr>
          <w:rFonts w:ascii="Arial"/>
          <w:sz w:val="38"/>
          <w:rtl/>
        </w:rPr>
        <w:t xml:space="preserve"> הואיל ופירש לעיל האבות, פירש חשק, שנאמר באבותיך חשק, רוצה לומר דחש"ק שהן נה"י כלילן באבותיך כמו שמפרש והולך:</w:t>
      </w:r>
    </w:p>
  </w:footnote>
  <w:footnote w:id="426">
    <w:p w:rsidR="00A13282" w:rsidRDefault="00A13282" w:rsidP="00D45634">
      <w:pPr>
        <w:pStyle w:val="a5"/>
      </w:pPr>
      <w:r>
        <w:rPr>
          <w:rStyle w:val="a7"/>
        </w:rPr>
        <w:footnoteRef/>
      </w:r>
      <w:r>
        <w:t xml:space="preserve"> </w:t>
      </w:r>
      <w:r>
        <w:rPr>
          <w:rFonts w:ascii="Arial"/>
          <w:b/>
          <w:bCs/>
          <w:sz w:val="38"/>
          <w:rtl/>
        </w:rPr>
        <w:t>אינון ניקוד צבאות.</w:t>
      </w:r>
      <w:r>
        <w:rPr>
          <w:rFonts w:ascii="Arial"/>
          <w:sz w:val="38"/>
          <w:rtl/>
        </w:rPr>
        <w:t xml:space="preserve"> כמו שאמרו חש"ק ה' צבאות, ה' הוא ת"ת דכליל מג' אבהן וזהו באבותיך חש"ק דאינון חג"ת. נה"י הוא ה' צבאות, ה' - בחג"ת, צבאות - בנה"י, כמו שמפרש והולך:</w:t>
      </w:r>
    </w:p>
  </w:footnote>
  <w:footnote w:id="427">
    <w:p w:rsidR="00A13282" w:rsidRDefault="00A13282" w:rsidP="00D45634">
      <w:pPr>
        <w:pStyle w:val="a5"/>
      </w:pPr>
      <w:r>
        <w:rPr>
          <w:rStyle w:val="a7"/>
        </w:rPr>
        <w:footnoteRef/>
      </w:r>
      <w:r>
        <w:t xml:space="preserve"> </w:t>
      </w:r>
      <w:r>
        <w:rPr>
          <w:rFonts w:ascii="Arial"/>
          <w:b/>
          <w:bCs/>
          <w:sz w:val="38"/>
          <w:rtl/>
        </w:rPr>
        <w:t>קמץ וכו'.</w:t>
      </w:r>
      <w:r>
        <w:rPr>
          <w:rFonts w:ascii="Arial"/>
          <w:sz w:val="38"/>
          <w:rtl/>
        </w:rPr>
        <w:t xml:space="preserve"> כמו שאומר לעיל וקמץ הכהן. וחולם הוא ת"ת דנטיל מיניה יסוד. וכאן משמע דחולם הוא ת"ת, וצריך לומר דסגול הוא נצח וזה שאומר לעיל דמט"ט הוא חולם, במלאכים, דאיהו רכב לעמודא דאמצעיתא:</w:t>
      </w:r>
    </w:p>
  </w:footnote>
  <w:footnote w:id="428">
    <w:p w:rsidR="00A13282" w:rsidRDefault="00A13282" w:rsidP="00D45634">
      <w:pPr>
        <w:pStyle w:val="a5"/>
      </w:pPr>
      <w:r>
        <w:rPr>
          <w:rStyle w:val="a7"/>
        </w:rPr>
        <w:footnoteRef/>
      </w:r>
      <w:r>
        <w:t xml:space="preserve"> </w:t>
      </w:r>
      <w:r>
        <w:rPr>
          <w:rFonts w:ascii="Arial"/>
          <w:b/>
          <w:bCs/>
          <w:sz w:val="38"/>
          <w:rtl/>
        </w:rPr>
        <w:t>ועוד וכו' והמשכילים.</w:t>
      </w:r>
      <w:r>
        <w:rPr>
          <w:rFonts w:ascii="Arial"/>
          <w:sz w:val="38"/>
          <w:rtl/>
        </w:rPr>
        <w:t xml:space="preserve"> שהתחלת הקדמה הוא בפסוק זה:</w:t>
      </w:r>
    </w:p>
  </w:footnote>
  <w:footnote w:id="429">
    <w:p w:rsidR="00A13282" w:rsidRDefault="00A13282" w:rsidP="00D45634">
      <w:pPr>
        <w:pStyle w:val="a5"/>
      </w:pPr>
      <w:r>
        <w:rPr>
          <w:rStyle w:val="a7"/>
        </w:rPr>
        <w:footnoteRef/>
      </w:r>
      <w:r>
        <w:t xml:space="preserve"> </w:t>
      </w:r>
      <w:r>
        <w:rPr>
          <w:rFonts w:ascii="Arial"/>
          <w:b/>
          <w:bCs/>
          <w:sz w:val="38"/>
          <w:rtl/>
        </w:rPr>
        <w:t>בפקודא תניינא כו'.</w:t>
      </w:r>
      <w:r>
        <w:rPr>
          <w:rFonts w:ascii="Arial"/>
          <w:sz w:val="38"/>
          <w:rtl/>
        </w:rPr>
        <w:t xml:space="preserve"> עיין בהקדמת הזהר בפקודין ותמצא פקודא קדמאה במלת בראשית היא יראה ושאר פקודין שם משאר פסוקים וכאן דורש גם שאר פקודין וקצת מאותן פקודין, הכל במלת בראשית. ופקודא קדמאה לא אמר כאן לפי שאמר שם ומכל מקום כלול כאן בתקון דלעיל שדרש בראשית על מלכות כנ"ל והיא יראת ה' ועיין שם בפקודא קדמאה וכן בפקודא תניינא הוא ג"כ פקודא ב' דשם עיין שם אלא שדרש שם מפסוק אחר:</w:t>
      </w:r>
    </w:p>
  </w:footnote>
  <w:footnote w:id="430">
    <w:p w:rsidR="00A13282" w:rsidRDefault="00A13282" w:rsidP="00D45634">
      <w:pPr>
        <w:pStyle w:val="a5"/>
      </w:pPr>
      <w:r>
        <w:rPr>
          <w:rStyle w:val="a7"/>
        </w:rPr>
        <w:footnoteRef/>
      </w:r>
      <w:r>
        <w:t xml:space="preserve"> </w:t>
      </w:r>
      <w:r>
        <w:rPr>
          <w:rFonts w:ascii="Arial"/>
          <w:b/>
          <w:bCs/>
          <w:sz w:val="38"/>
          <w:rtl/>
        </w:rPr>
        <w:t>לחשבון זעיר.</w:t>
      </w:r>
      <w:r>
        <w:rPr>
          <w:rFonts w:ascii="Arial"/>
          <w:sz w:val="38"/>
          <w:rtl/>
        </w:rPr>
        <w:t xml:space="preserve"> רוצה לומר מספר קטן:</w:t>
      </w:r>
    </w:p>
  </w:footnote>
  <w:footnote w:id="431">
    <w:p w:rsidR="00A13282" w:rsidRDefault="00A13282" w:rsidP="00D45634">
      <w:pPr>
        <w:pStyle w:val="a5"/>
      </w:pPr>
      <w:r>
        <w:rPr>
          <w:rStyle w:val="a7"/>
        </w:rPr>
        <w:footnoteRef/>
      </w:r>
      <w:r>
        <w:t xml:space="preserve"> </w:t>
      </w:r>
      <w:r>
        <w:rPr>
          <w:rFonts w:ascii="Arial"/>
          <w:b/>
          <w:bCs/>
          <w:sz w:val="38"/>
          <w:rtl/>
        </w:rPr>
        <w:t>דביה וא"ו.</w:t>
      </w:r>
      <w:r>
        <w:rPr>
          <w:rFonts w:ascii="Arial"/>
          <w:sz w:val="38"/>
          <w:rtl/>
        </w:rPr>
        <w:t xml:space="preserve"> רוצה לומר, דהתחלת הפסוקים הם בוא"ו ואיהו מקור השמות, דשם ע"ב הוא בת"ת והוא וא"ו דשמא מפרש והוא אחד כמו שאומר להלן והכל מסטרא דחסד כמו שאומר לעיל, א' יומא קדמאה כו':</w:t>
      </w:r>
    </w:p>
  </w:footnote>
  <w:footnote w:id="432">
    <w:p w:rsidR="00A13282" w:rsidRDefault="00A13282" w:rsidP="00D45634">
      <w:pPr>
        <w:pStyle w:val="a5"/>
      </w:pPr>
      <w:r>
        <w:rPr>
          <w:rStyle w:val="a7"/>
        </w:rPr>
        <w:footnoteRef/>
      </w:r>
      <w:r>
        <w:t xml:space="preserve"> </w:t>
      </w:r>
      <w:r>
        <w:rPr>
          <w:rFonts w:ascii="Arial"/>
          <w:b/>
          <w:bCs/>
          <w:sz w:val="38"/>
          <w:rtl/>
        </w:rPr>
        <w:t>ואיהו מצוה.</w:t>
      </w:r>
      <w:r>
        <w:rPr>
          <w:rFonts w:ascii="Arial"/>
          <w:sz w:val="38"/>
          <w:rtl/>
        </w:rPr>
        <w:t xml:space="preserve"> רוצה לומר מצד עצמה רק שתלויה בשמיה והן ד' דרגין כנ"ל:</w:t>
      </w:r>
    </w:p>
  </w:footnote>
  <w:footnote w:id="433">
    <w:p w:rsidR="00A13282" w:rsidRDefault="00A13282" w:rsidP="00D45634">
      <w:pPr>
        <w:pStyle w:val="a5"/>
      </w:pPr>
      <w:r>
        <w:rPr>
          <w:rStyle w:val="a7"/>
        </w:rPr>
        <w:footnoteRef/>
      </w:r>
      <w:r>
        <w:t xml:space="preserve"> </w:t>
      </w:r>
      <w:r>
        <w:rPr>
          <w:rFonts w:ascii="Arial"/>
          <w:b/>
          <w:bCs/>
          <w:sz w:val="38"/>
          <w:rtl/>
        </w:rPr>
        <w:t>פקודא תליתאה כו'.</w:t>
      </w:r>
      <w:r>
        <w:rPr>
          <w:rFonts w:ascii="Arial"/>
          <w:sz w:val="38"/>
          <w:rtl/>
        </w:rPr>
        <w:t xml:space="preserve"> אף על גב דבפקודין דשם הוא פקודא שביעאה, כאן אמר אותן שבמלת בראשית:</w:t>
      </w:r>
    </w:p>
  </w:footnote>
  <w:footnote w:id="434">
    <w:p w:rsidR="00A13282" w:rsidRDefault="00A13282" w:rsidP="00D45634">
      <w:pPr>
        <w:pStyle w:val="a5"/>
      </w:pPr>
      <w:r>
        <w:rPr>
          <w:rStyle w:val="a7"/>
        </w:rPr>
        <w:footnoteRef/>
      </w:r>
      <w:r>
        <w:t xml:space="preserve"> </w:t>
      </w:r>
      <w:r>
        <w:rPr>
          <w:rFonts w:ascii="Arial"/>
          <w:b/>
          <w:bCs/>
          <w:sz w:val="38"/>
          <w:rtl/>
        </w:rPr>
        <w:t>ברית אש.</w:t>
      </w:r>
      <w:r>
        <w:rPr>
          <w:rFonts w:ascii="Arial"/>
          <w:sz w:val="38"/>
          <w:rtl/>
        </w:rPr>
        <w:t xml:space="preserve"> דנפקא מאשא דיצחק, ק"ץ ח"י, מסטרא דבינה דאיהי אשא כנ"ל ועיין בזוהר ויקהל דף ר"ח וכן נוקבא ג"כ נפקא מתמן כידוע:</w:t>
      </w:r>
    </w:p>
  </w:footnote>
  <w:footnote w:id="435">
    <w:p w:rsidR="00A13282" w:rsidRDefault="00A13282" w:rsidP="00D45634">
      <w:pPr>
        <w:pStyle w:val="a5"/>
      </w:pPr>
      <w:r>
        <w:rPr>
          <w:rStyle w:val="a7"/>
        </w:rPr>
        <w:footnoteRef/>
      </w:r>
      <w:r>
        <w:t xml:space="preserve"> </w:t>
      </w:r>
      <w:r>
        <w:rPr>
          <w:rFonts w:ascii="Arial"/>
          <w:b/>
          <w:bCs/>
          <w:sz w:val="38"/>
          <w:rtl/>
        </w:rPr>
        <w:t>ועל תרין כו'.</w:t>
      </w:r>
      <w:r>
        <w:rPr>
          <w:rFonts w:ascii="Arial"/>
          <w:sz w:val="38"/>
          <w:rtl/>
        </w:rPr>
        <w:t xml:space="preserve"> רוצה לומר י"ה דהם אורות של אשות האלו:</w:t>
      </w:r>
    </w:p>
  </w:footnote>
  <w:footnote w:id="436">
    <w:p w:rsidR="00A13282" w:rsidRDefault="00A13282" w:rsidP="00D45634">
      <w:pPr>
        <w:pStyle w:val="a5"/>
      </w:pPr>
      <w:r>
        <w:rPr>
          <w:rStyle w:val="a7"/>
        </w:rPr>
        <w:footnoteRef/>
      </w:r>
      <w:r>
        <w:t xml:space="preserve"> </w:t>
      </w:r>
      <w:r>
        <w:rPr>
          <w:rFonts w:ascii="Arial"/>
          <w:b/>
          <w:bCs/>
          <w:sz w:val="38"/>
          <w:rtl/>
        </w:rPr>
        <w:t>כתנות אור.</w:t>
      </w:r>
      <w:r>
        <w:rPr>
          <w:rFonts w:ascii="Arial"/>
          <w:sz w:val="38"/>
          <w:rtl/>
        </w:rPr>
        <w:t xml:space="preserve"> לאדם ולחוה:</w:t>
      </w:r>
    </w:p>
  </w:footnote>
  <w:footnote w:id="437">
    <w:p w:rsidR="00A13282" w:rsidRDefault="00A13282" w:rsidP="00D45634">
      <w:pPr>
        <w:pStyle w:val="a5"/>
      </w:pPr>
      <w:r>
        <w:rPr>
          <w:rStyle w:val="a7"/>
        </w:rPr>
        <w:footnoteRef/>
      </w:r>
      <w:r>
        <w:t xml:space="preserve"> </w:t>
      </w:r>
      <w:r>
        <w:rPr>
          <w:rFonts w:ascii="Arial"/>
          <w:b/>
          <w:bCs/>
          <w:sz w:val="38"/>
          <w:rtl/>
        </w:rPr>
        <w:t>דאינון בהבדלה י"ה מן איש ואשה בתר דחאבו.</w:t>
      </w:r>
      <w:r>
        <w:rPr>
          <w:rFonts w:ascii="Arial"/>
          <w:sz w:val="38"/>
          <w:rtl/>
        </w:rPr>
        <w:t xml:space="preserve"> רוצה לומר אחר שחטאו נלקח מהם י"ה דהן מאורי האש ונעשה במקומם כתנות עור:</w:t>
      </w:r>
    </w:p>
  </w:footnote>
  <w:footnote w:id="438">
    <w:p w:rsidR="00A13282" w:rsidRDefault="00A13282" w:rsidP="00D45634">
      <w:pPr>
        <w:pStyle w:val="a5"/>
      </w:pPr>
      <w:r>
        <w:rPr>
          <w:rStyle w:val="a7"/>
        </w:rPr>
        <w:footnoteRef/>
      </w:r>
      <w:r>
        <w:t xml:space="preserve"> </w:t>
      </w:r>
      <w:r>
        <w:rPr>
          <w:rFonts w:ascii="Arial"/>
          <w:b/>
          <w:bCs/>
          <w:sz w:val="38"/>
          <w:rtl/>
        </w:rPr>
        <w:t>וילבישם.</w:t>
      </w:r>
      <w:r>
        <w:rPr>
          <w:rFonts w:ascii="Arial"/>
          <w:sz w:val="38"/>
          <w:rtl/>
        </w:rPr>
        <w:t xml:space="preserve"> רוצה לומר שלכך מברכין בורא כו', להפשיט עור של נחש ולהתלבש במאורי האש:</w:t>
      </w:r>
    </w:p>
  </w:footnote>
  <w:footnote w:id="439">
    <w:p w:rsidR="00A13282" w:rsidRDefault="00A13282" w:rsidP="00D45634">
      <w:pPr>
        <w:pStyle w:val="a5"/>
      </w:pPr>
      <w:r>
        <w:rPr>
          <w:rStyle w:val="a7"/>
        </w:rPr>
        <w:footnoteRef/>
      </w:r>
      <w:r>
        <w:t xml:space="preserve"> </w:t>
      </w:r>
      <w:r>
        <w:rPr>
          <w:rFonts w:ascii="Arial"/>
          <w:b/>
          <w:bCs/>
          <w:sz w:val="38"/>
          <w:rtl/>
        </w:rPr>
        <w:t>ואלין אינון כו'.</w:t>
      </w:r>
      <w:r>
        <w:rPr>
          <w:rFonts w:ascii="Arial"/>
          <w:sz w:val="38"/>
          <w:rtl/>
        </w:rPr>
        <w:t xml:space="preserve"> שהרשעים בחייהם קרויין מתים והגוף שלהם שהוא עור נחש הוא קבר להון:</w:t>
      </w:r>
    </w:p>
  </w:footnote>
  <w:footnote w:id="440">
    <w:p w:rsidR="00A13282" w:rsidRDefault="00A13282" w:rsidP="00D45634">
      <w:pPr>
        <w:pStyle w:val="a5"/>
      </w:pPr>
      <w:r>
        <w:rPr>
          <w:rStyle w:val="a7"/>
        </w:rPr>
        <w:footnoteRef/>
      </w:r>
      <w:r>
        <w:t xml:space="preserve"> </w:t>
      </w:r>
      <w:r>
        <w:rPr>
          <w:rFonts w:ascii="Arial"/>
          <w:b/>
          <w:bCs/>
          <w:sz w:val="38"/>
          <w:rtl/>
        </w:rPr>
        <w:t>דדוחקין לון שעתא כו'.</w:t>
      </w:r>
      <w:r>
        <w:rPr>
          <w:rFonts w:ascii="Arial"/>
          <w:sz w:val="38"/>
          <w:rtl/>
        </w:rPr>
        <w:t xml:space="preserve"> רוצה לומר לאחר מיתתן כמו שהיו מלובשין בההוא עור כל שעתא ולא פירשו ממנו:</w:t>
      </w:r>
    </w:p>
  </w:footnote>
  <w:footnote w:id="441">
    <w:p w:rsidR="00A13282" w:rsidRDefault="00A13282" w:rsidP="00D45634">
      <w:pPr>
        <w:pStyle w:val="a5"/>
      </w:pPr>
      <w:r>
        <w:rPr>
          <w:rStyle w:val="a7"/>
        </w:rPr>
        <w:footnoteRef/>
      </w:r>
      <w:r>
        <w:t xml:space="preserve"> </w:t>
      </w:r>
      <w:r>
        <w:rPr>
          <w:rFonts w:ascii="Arial"/>
          <w:b/>
          <w:bCs/>
          <w:sz w:val="38"/>
          <w:rtl/>
        </w:rPr>
        <w:t>ובמלאכא דילהון.</w:t>
      </w:r>
      <w:r>
        <w:rPr>
          <w:rFonts w:ascii="Arial"/>
          <w:sz w:val="38"/>
          <w:rtl/>
        </w:rPr>
        <w:t xml:space="preserve"> רוצה לומר מלאך הממונה על חיבוט הקבר שהלך אחריו כל ימיו:</w:t>
      </w:r>
    </w:p>
  </w:footnote>
  <w:footnote w:id="442">
    <w:p w:rsidR="00A13282" w:rsidRDefault="00A13282" w:rsidP="00D45634">
      <w:pPr>
        <w:pStyle w:val="a5"/>
      </w:pPr>
      <w:r>
        <w:rPr>
          <w:rStyle w:val="a7"/>
        </w:rPr>
        <w:footnoteRef/>
      </w:r>
      <w:r>
        <w:t xml:space="preserve"> </w:t>
      </w:r>
      <w:r>
        <w:rPr>
          <w:rFonts w:ascii="Arial"/>
          <w:b/>
          <w:bCs/>
          <w:sz w:val="38"/>
          <w:rtl/>
        </w:rPr>
        <w:t>דאתבקע דמא בציפרניהון.</w:t>
      </w:r>
      <w:r>
        <w:rPr>
          <w:rFonts w:ascii="Arial"/>
          <w:sz w:val="38"/>
          <w:rtl/>
        </w:rPr>
        <w:t xml:space="preserve"> כמו שמפרש והולך דהצפרנים הם שיורי מאורי האור והן הלבישו עור הנ"ל לכך אתבקע דמא דהוא מדוריה דיצר הרע בצפרנים:</w:t>
      </w:r>
    </w:p>
  </w:footnote>
  <w:footnote w:id="443">
    <w:p w:rsidR="00A13282" w:rsidRDefault="00A13282" w:rsidP="00D45634">
      <w:pPr>
        <w:pStyle w:val="a5"/>
      </w:pPr>
      <w:r>
        <w:rPr>
          <w:rStyle w:val="a7"/>
        </w:rPr>
        <w:footnoteRef/>
      </w:r>
      <w:r>
        <w:t xml:space="preserve"> </w:t>
      </w:r>
      <w:r>
        <w:rPr>
          <w:rFonts w:ascii="Arial"/>
          <w:b/>
          <w:bCs/>
          <w:sz w:val="38"/>
          <w:rtl/>
        </w:rPr>
        <w:t>ערומים הם מינייהו בגופא.</w:t>
      </w:r>
      <w:r>
        <w:rPr>
          <w:rFonts w:ascii="Arial"/>
          <w:sz w:val="38"/>
          <w:rtl/>
        </w:rPr>
        <w:t xml:space="preserve"> רוצה לומר דגופא שלהן היה מלובש בכתנות צפרנים:</w:t>
      </w:r>
    </w:p>
  </w:footnote>
  <w:footnote w:id="444">
    <w:p w:rsidR="00A13282" w:rsidRDefault="00A13282" w:rsidP="00D45634">
      <w:pPr>
        <w:pStyle w:val="a5"/>
      </w:pPr>
      <w:r>
        <w:rPr>
          <w:rStyle w:val="a7"/>
        </w:rPr>
        <w:footnoteRef/>
      </w:r>
      <w:r>
        <w:t xml:space="preserve"> </w:t>
      </w:r>
      <w:r>
        <w:rPr>
          <w:rFonts w:ascii="Arial"/>
          <w:b/>
          <w:bCs/>
          <w:sz w:val="38"/>
          <w:rtl/>
        </w:rPr>
        <w:t>ונשמתא כו'.</w:t>
      </w:r>
      <w:r>
        <w:rPr>
          <w:rFonts w:ascii="Arial"/>
          <w:sz w:val="38"/>
          <w:rtl/>
        </w:rPr>
        <w:t xml:space="preserve"> שהנר"ן היה מלובש במאורי האש ובשבת האדם מתלבש במאורי האש ואחיזתן בצפרני האדם ולכך במוצאי שבת, שמסתלקין, מברכין בורא כו' כדי להשאיר השארת מאורי האש ורואין בצפרנים להשאיר מן הצפרנים לגוף:</w:t>
      </w:r>
    </w:p>
  </w:footnote>
  <w:footnote w:id="445">
    <w:p w:rsidR="00A13282" w:rsidRDefault="00A13282" w:rsidP="00D45634">
      <w:pPr>
        <w:pStyle w:val="a5"/>
      </w:pPr>
      <w:r>
        <w:rPr>
          <w:rStyle w:val="a7"/>
        </w:rPr>
        <w:footnoteRef/>
      </w:r>
      <w:r>
        <w:t xml:space="preserve"> </w:t>
      </w:r>
      <w:r>
        <w:rPr>
          <w:rFonts w:ascii="Arial"/>
          <w:b/>
          <w:bCs/>
          <w:sz w:val="38"/>
          <w:rtl/>
        </w:rPr>
        <w:t>דבשבת אתחזא לון.</w:t>
      </w:r>
      <w:r>
        <w:rPr>
          <w:rFonts w:ascii="Arial"/>
          <w:sz w:val="38"/>
          <w:rtl/>
        </w:rPr>
        <w:t xml:space="preserve"> רוצה לומר כמו (ירמיהו לא ב) מרחוק ה' נראה לי:</w:t>
      </w:r>
    </w:p>
  </w:footnote>
  <w:footnote w:id="446">
    <w:p w:rsidR="00A13282" w:rsidRDefault="00A13282" w:rsidP="00D45634">
      <w:pPr>
        <w:pStyle w:val="a5"/>
      </w:pPr>
      <w:r>
        <w:rPr>
          <w:rStyle w:val="a7"/>
        </w:rPr>
        <w:footnoteRef/>
      </w:r>
      <w:r>
        <w:t xml:space="preserve"> </w:t>
      </w:r>
      <w:r>
        <w:rPr>
          <w:rFonts w:ascii="Arial"/>
          <w:b/>
          <w:bCs/>
          <w:sz w:val="38"/>
          <w:rtl/>
        </w:rPr>
        <w:t>בתרין פתילות דאש.</w:t>
      </w:r>
      <w:r>
        <w:rPr>
          <w:rFonts w:ascii="Arial"/>
          <w:sz w:val="38"/>
          <w:rtl/>
        </w:rPr>
        <w:t xml:space="preserve"> שהם כנגד איש ואשה, מאורי הנ"ל וכמו שאמרו אחד נגד זכור ואחד נגד שמור כידוע:</w:t>
      </w:r>
    </w:p>
  </w:footnote>
  <w:footnote w:id="447">
    <w:p w:rsidR="00A13282" w:rsidRDefault="00A13282" w:rsidP="00D45634">
      <w:pPr>
        <w:pStyle w:val="a5"/>
      </w:pPr>
      <w:r>
        <w:rPr>
          <w:rStyle w:val="a7"/>
        </w:rPr>
        <w:footnoteRef/>
      </w:r>
      <w:r>
        <w:t xml:space="preserve"> </w:t>
      </w:r>
      <w:r>
        <w:rPr>
          <w:rFonts w:ascii="Arial"/>
          <w:b/>
          <w:bCs/>
          <w:sz w:val="38"/>
          <w:rtl/>
        </w:rPr>
        <w:t>בכסות נקיה.</w:t>
      </w:r>
      <w:r>
        <w:rPr>
          <w:rFonts w:ascii="Arial"/>
          <w:sz w:val="38"/>
          <w:rtl/>
        </w:rPr>
        <w:t xml:space="preserve"> דהוא כתנות הנ"ל:</w:t>
      </w:r>
    </w:p>
  </w:footnote>
  <w:footnote w:id="448">
    <w:p w:rsidR="00A13282" w:rsidRDefault="00A13282" w:rsidP="00D45634">
      <w:pPr>
        <w:pStyle w:val="a5"/>
      </w:pPr>
      <w:r>
        <w:rPr>
          <w:rStyle w:val="a7"/>
        </w:rPr>
        <w:footnoteRef/>
      </w:r>
      <w:r>
        <w:t xml:space="preserve"> </w:t>
      </w:r>
      <w:r>
        <w:rPr>
          <w:rFonts w:ascii="Arial"/>
          <w:b/>
          <w:bCs/>
          <w:sz w:val="38"/>
          <w:rtl/>
        </w:rPr>
        <w:t>כלא מתיבתא.</w:t>
      </w:r>
      <w:r>
        <w:rPr>
          <w:rFonts w:ascii="Arial"/>
          <w:sz w:val="38"/>
          <w:rtl/>
        </w:rPr>
        <w:t xml:space="preserve"> דנחתו כמו שאומר בתחלת הקדמה:</w:t>
      </w:r>
    </w:p>
  </w:footnote>
  <w:footnote w:id="449">
    <w:p w:rsidR="00A13282" w:rsidRDefault="00A13282" w:rsidP="00D45634">
      <w:pPr>
        <w:pStyle w:val="a5"/>
      </w:pPr>
      <w:r>
        <w:rPr>
          <w:rStyle w:val="a7"/>
        </w:rPr>
        <w:footnoteRef/>
      </w:r>
      <w:r>
        <w:t xml:space="preserve"> </w:t>
      </w:r>
      <w:r>
        <w:rPr>
          <w:rFonts w:ascii="Arial"/>
          <w:b/>
          <w:bCs/>
          <w:sz w:val="38"/>
          <w:rtl/>
        </w:rPr>
        <w:t>חוליא.</w:t>
      </w:r>
      <w:r>
        <w:rPr>
          <w:rFonts w:ascii="Arial"/>
          <w:sz w:val="38"/>
          <w:rtl/>
        </w:rPr>
        <w:t xml:space="preserve"> דהוא כעין יו"ד:</w:t>
      </w:r>
    </w:p>
  </w:footnote>
  <w:footnote w:id="450">
    <w:p w:rsidR="00A13282" w:rsidRDefault="00A13282" w:rsidP="00D45634">
      <w:pPr>
        <w:pStyle w:val="a5"/>
      </w:pPr>
      <w:r>
        <w:rPr>
          <w:rStyle w:val="a7"/>
        </w:rPr>
        <w:footnoteRef/>
      </w:r>
      <w:r>
        <w:t xml:space="preserve"> </w:t>
      </w:r>
      <w:r>
        <w:rPr>
          <w:rFonts w:ascii="Arial"/>
          <w:b/>
          <w:bCs/>
          <w:sz w:val="38"/>
          <w:rtl/>
        </w:rPr>
        <w:t>נטיל בר נש חרבא כו'.</w:t>
      </w:r>
      <w:r>
        <w:rPr>
          <w:rFonts w:ascii="Arial"/>
          <w:sz w:val="38"/>
          <w:rtl/>
        </w:rPr>
        <w:t xml:space="preserve"> רוצה לומר, דבעובדא - קושרין אותו, ובדבור דקריאת שמע ותפלה - הורגין אותו. ולכך מניחין תפילין ואח"כ קוראין קריאת שמע:</w:t>
      </w:r>
    </w:p>
  </w:footnote>
  <w:footnote w:id="451">
    <w:p w:rsidR="00A13282" w:rsidRDefault="00A13282" w:rsidP="00D45634">
      <w:pPr>
        <w:pStyle w:val="a5"/>
      </w:pPr>
      <w:r>
        <w:rPr>
          <w:rStyle w:val="a7"/>
        </w:rPr>
        <w:footnoteRef/>
      </w:r>
      <w:r>
        <w:t xml:space="preserve"> </w:t>
      </w:r>
      <w:r>
        <w:rPr>
          <w:rFonts w:ascii="Arial"/>
          <w:b/>
          <w:bCs/>
          <w:sz w:val="38"/>
          <w:rtl/>
        </w:rPr>
        <w:t>דאתמר בה כו'.</w:t>
      </w:r>
      <w:r>
        <w:rPr>
          <w:rFonts w:ascii="Arial"/>
          <w:sz w:val="38"/>
          <w:rtl/>
        </w:rPr>
        <w:t xml:space="preserve"> ראיה דבמילולא קטלין בחרבא דכתיב רוממות כו' וחרב פיפיות בידם, ולכך אמר לשון נטיל כו':</w:t>
      </w:r>
    </w:p>
  </w:footnote>
  <w:footnote w:id="452">
    <w:p w:rsidR="00A13282" w:rsidRDefault="00A13282" w:rsidP="00D45634">
      <w:pPr>
        <w:pStyle w:val="a5"/>
      </w:pPr>
      <w:r>
        <w:rPr>
          <w:rStyle w:val="a7"/>
        </w:rPr>
        <w:footnoteRef/>
      </w:r>
      <w:r>
        <w:t xml:space="preserve"> </w:t>
      </w:r>
      <w:r>
        <w:rPr>
          <w:rFonts w:ascii="Arial"/>
          <w:b/>
          <w:bCs/>
          <w:sz w:val="38"/>
          <w:rtl/>
        </w:rPr>
        <w:t>דאיהו יו"ד כו'.</w:t>
      </w:r>
      <w:r>
        <w:rPr>
          <w:rFonts w:ascii="Arial"/>
          <w:sz w:val="38"/>
          <w:rtl/>
        </w:rPr>
        <w:t xml:space="preserve"> כנ"ל שהן ד' פרשיות של קריאת שמע:</w:t>
      </w:r>
    </w:p>
  </w:footnote>
  <w:footnote w:id="453">
    <w:p w:rsidR="00A13282" w:rsidRDefault="00A13282" w:rsidP="00D45634">
      <w:pPr>
        <w:jc w:val="both"/>
      </w:pPr>
      <w:r>
        <w:rPr>
          <w:rStyle w:val="a7"/>
        </w:rPr>
        <w:footnoteRef/>
      </w:r>
      <w:r>
        <w:t xml:space="preserve"> </w:t>
      </w:r>
      <w:r>
        <w:rPr>
          <w:b/>
          <w:bCs/>
          <w:rtl/>
        </w:rPr>
        <w:t>שם יקו"ק י' כו'.</w:t>
      </w:r>
      <w:r>
        <w:rPr>
          <w:rtl/>
        </w:rPr>
        <w:t xml:space="preserve"> שעד כאן פירש ג' אותיות הו"י ועכשיו הולך ומפרש כל הד' אותיות ועל ג' אותיות פירש פסוק אבנים כו' וכן בסוף פ' יתרו לא תבנה אתהן גזית וכתיב בסיפיה דקרא כי חרבך כו' דהאי חרבא הוא על המזיקין כמו שמפרש והולך:</w:t>
      </w:r>
    </w:p>
  </w:footnote>
  <w:footnote w:id="454">
    <w:p w:rsidR="00A13282" w:rsidRDefault="00A13282" w:rsidP="00D45634">
      <w:pPr>
        <w:pStyle w:val="a5"/>
      </w:pPr>
      <w:r>
        <w:rPr>
          <w:rStyle w:val="a7"/>
        </w:rPr>
        <w:footnoteRef/>
      </w:r>
      <w:r>
        <w:t xml:space="preserve"> </w:t>
      </w:r>
      <w:r>
        <w:rPr>
          <w:rFonts w:ascii="Arial"/>
          <w:b/>
          <w:bCs/>
          <w:sz w:val="38"/>
          <w:rtl/>
        </w:rPr>
        <w:t>ברישי' דחרבא.</w:t>
      </w:r>
      <w:r>
        <w:rPr>
          <w:rFonts w:ascii="Arial"/>
          <w:sz w:val="38"/>
          <w:rtl/>
        </w:rPr>
        <w:t xml:space="preserve"> מקום אחיזת החרב:</w:t>
      </w:r>
    </w:p>
  </w:footnote>
  <w:footnote w:id="455">
    <w:p w:rsidR="00A13282" w:rsidRDefault="00A13282" w:rsidP="00D45634">
      <w:pPr>
        <w:pStyle w:val="a5"/>
      </w:pPr>
      <w:r>
        <w:rPr>
          <w:rStyle w:val="a7"/>
        </w:rPr>
        <w:footnoteRef/>
      </w:r>
      <w:r>
        <w:t xml:space="preserve"> </w:t>
      </w:r>
      <w:r>
        <w:rPr>
          <w:rFonts w:ascii="Arial"/>
          <w:b/>
          <w:bCs/>
          <w:sz w:val="38"/>
          <w:rtl/>
        </w:rPr>
        <w:t>דלית מאן דנצח כו'.</w:t>
      </w:r>
      <w:r>
        <w:rPr>
          <w:rFonts w:ascii="Arial"/>
          <w:sz w:val="38"/>
          <w:rtl/>
        </w:rPr>
        <w:t xml:space="preserve"> שכאן אין כלל אחיזה לחיצונים כי אף שגם בבינה אין להם אחיזה מכל מקום דינין מתערין מינה:</w:t>
      </w:r>
    </w:p>
  </w:footnote>
  <w:footnote w:id="456">
    <w:p w:rsidR="00A13282" w:rsidRDefault="00A13282" w:rsidP="00D45634">
      <w:pPr>
        <w:pStyle w:val="a5"/>
      </w:pPr>
      <w:r>
        <w:rPr>
          <w:rStyle w:val="a7"/>
        </w:rPr>
        <w:footnoteRef/>
      </w:r>
      <w:r>
        <w:t xml:space="preserve"> </w:t>
      </w:r>
      <w:r>
        <w:rPr>
          <w:rFonts w:ascii="Arial"/>
          <w:bCs/>
          <w:sz w:val="38"/>
          <w:rtl/>
        </w:rPr>
        <w:t>לכל סטרא.</w:t>
      </w:r>
      <w:r>
        <w:rPr>
          <w:rFonts w:ascii="Arial"/>
          <w:sz w:val="38"/>
          <w:rtl/>
        </w:rPr>
        <w:t xml:space="preserve"> דהוא ו"ק וזה שאומר בשית ספירן:</w:t>
      </w:r>
    </w:p>
  </w:footnote>
  <w:footnote w:id="457">
    <w:p w:rsidR="00A13282" w:rsidRDefault="00A13282" w:rsidP="00D45634">
      <w:pPr>
        <w:pStyle w:val="a5"/>
      </w:pPr>
      <w:r>
        <w:rPr>
          <w:rStyle w:val="a7"/>
        </w:rPr>
        <w:footnoteRef/>
      </w:r>
      <w:r>
        <w:t xml:space="preserve"> </w:t>
      </w:r>
      <w:r>
        <w:rPr>
          <w:rFonts w:ascii="Arial"/>
          <w:b/>
          <w:bCs/>
          <w:sz w:val="38"/>
          <w:rtl/>
        </w:rPr>
        <w:t>אינון ה"ה.</w:t>
      </w:r>
      <w:r>
        <w:rPr>
          <w:rFonts w:ascii="Arial"/>
          <w:sz w:val="38"/>
          <w:rtl/>
        </w:rPr>
        <w:t xml:space="preserve"> דכל פה הוא בה' שקבועין בה ה' מוצאות לכך נקרא פה - מלכות כמו שאומר בהקדמה שניה וכן בינה כידוע:</w:t>
      </w:r>
    </w:p>
  </w:footnote>
  <w:footnote w:id="458">
    <w:p w:rsidR="00A13282" w:rsidRDefault="00A13282" w:rsidP="00D45634">
      <w:pPr>
        <w:pStyle w:val="a5"/>
      </w:pPr>
      <w:r>
        <w:rPr>
          <w:rStyle w:val="a7"/>
        </w:rPr>
        <w:footnoteRef/>
      </w:r>
      <w:r>
        <w:t xml:space="preserve"> </w:t>
      </w:r>
      <w:r>
        <w:rPr>
          <w:rFonts w:ascii="Arial"/>
          <w:b/>
          <w:bCs/>
          <w:sz w:val="38"/>
          <w:rtl/>
        </w:rPr>
        <w:t>ובג"ד בינה כו'.</w:t>
      </w:r>
      <w:r>
        <w:rPr>
          <w:rFonts w:ascii="Arial"/>
          <w:sz w:val="38"/>
          <w:rtl/>
        </w:rPr>
        <w:t xml:space="preserve"> דשם הוי"ה הוא בבינה כנ"ל בנקודת פתח ומסטרא דילה החרב על הסטרא אחרא:</w:t>
      </w:r>
    </w:p>
  </w:footnote>
  <w:footnote w:id="459">
    <w:p w:rsidR="00A13282" w:rsidRDefault="00A13282" w:rsidP="00D45634">
      <w:pPr>
        <w:pStyle w:val="a5"/>
      </w:pPr>
      <w:r>
        <w:rPr>
          <w:rStyle w:val="a7"/>
        </w:rPr>
        <w:footnoteRef/>
      </w:r>
      <w:r>
        <w:t xml:space="preserve"> </w:t>
      </w:r>
      <w:r>
        <w:rPr>
          <w:rFonts w:ascii="Arial"/>
          <w:b/>
          <w:bCs/>
          <w:sz w:val="38"/>
          <w:rtl/>
        </w:rPr>
        <w:t>הקורא קריאת שמע כו'.</w:t>
      </w:r>
      <w:r>
        <w:rPr>
          <w:rFonts w:ascii="Arial"/>
          <w:sz w:val="38"/>
          <w:rtl/>
        </w:rPr>
        <w:t xml:space="preserve"> דד' פרשיות בקריאת שמע כנגד ד' אותיות הוי"ה:</w:t>
      </w:r>
    </w:p>
  </w:footnote>
  <w:footnote w:id="460">
    <w:p w:rsidR="00A13282" w:rsidRDefault="00A13282" w:rsidP="00D45634">
      <w:pPr>
        <w:pStyle w:val="a5"/>
      </w:pPr>
      <w:r>
        <w:rPr>
          <w:rStyle w:val="a7"/>
        </w:rPr>
        <w:footnoteRef/>
      </w:r>
      <w:r>
        <w:t xml:space="preserve"> </w:t>
      </w:r>
      <w:r>
        <w:rPr>
          <w:rFonts w:ascii="Arial"/>
          <w:b/>
          <w:bCs/>
          <w:sz w:val="38"/>
          <w:rtl/>
        </w:rPr>
        <w:t>אדון המזיקין קשור.</w:t>
      </w:r>
      <w:r>
        <w:rPr>
          <w:rFonts w:ascii="Arial"/>
          <w:sz w:val="38"/>
          <w:rtl/>
        </w:rPr>
        <w:t xml:space="preserve"> דהוא סמ' כמו שאומר לקמן דהוא קשור בתפילין ברצועין על קרנוי:</w:t>
      </w:r>
    </w:p>
  </w:footnote>
  <w:footnote w:id="461">
    <w:p w:rsidR="00A13282" w:rsidRDefault="00A13282" w:rsidP="00D45634">
      <w:pPr>
        <w:pStyle w:val="a5"/>
      </w:pPr>
      <w:r>
        <w:rPr>
          <w:rStyle w:val="a7"/>
        </w:rPr>
        <w:footnoteRef/>
      </w:r>
      <w:r>
        <w:t xml:space="preserve"> </w:t>
      </w:r>
      <w:r>
        <w:rPr>
          <w:rFonts w:ascii="Arial"/>
          <w:b/>
          <w:bCs/>
          <w:sz w:val="38"/>
          <w:rtl/>
        </w:rPr>
        <w:t>דאתמר בה וישכם כו'.</w:t>
      </w:r>
      <w:r>
        <w:rPr>
          <w:rFonts w:ascii="Arial"/>
          <w:sz w:val="38"/>
          <w:rtl/>
        </w:rPr>
        <w:t xml:space="preserve"> רוצה לומר השכם כנ"ל:</w:t>
      </w:r>
    </w:p>
  </w:footnote>
  <w:footnote w:id="462">
    <w:p w:rsidR="00A13282" w:rsidRDefault="00A13282" w:rsidP="00D45634">
      <w:pPr>
        <w:pStyle w:val="a5"/>
      </w:pPr>
      <w:r>
        <w:rPr>
          <w:rStyle w:val="a7"/>
        </w:rPr>
        <w:footnoteRef/>
      </w:r>
      <w:r>
        <w:t xml:space="preserve"> </w:t>
      </w:r>
      <w:r>
        <w:rPr>
          <w:rFonts w:ascii="Arial"/>
          <w:b/>
          <w:bCs/>
          <w:sz w:val="38"/>
          <w:rtl/>
        </w:rPr>
        <w:t>בבקר.</w:t>
      </w:r>
      <w:r>
        <w:rPr>
          <w:rFonts w:ascii="Arial"/>
          <w:sz w:val="38"/>
          <w:rtl/>
        </w:rPr>
        <w:t xml:space="preserve"> שהיא תפלת שחרית כמו שאמרו בגמרא:</w:t>
      </w:r>
    </w:p>
  </w:footnote>
  <w:footnote w:id="463">
    <w:p w:rsidR="00A13282" w:rsidRDefault="00A13282" w:rsidP="00D45634">
      <w:pPr>
        <w:pStyle w:val="a5"/>
      </w:pPr>
      <w:r>
        <w:rPr>
          <w:rStyle w:val="a7"/>
        </w:rPr>
        <w:footnoteRef/>
      </w:r>
      <w:r>
        <w:t xml:space="preserve"> </w:t>
      </w:r>
      <w:r>
        <w:rPr>
          <w:rFonts w:ascii="Arial"/>
          <w:b/>
          <w:bCs/>
          <w:sz w:val="38"/>
          <w:rtl/>
        </w:rPr>
        <w:t>כ"ש מאן כו'.</w:t>
      </w:r>
      <w:r>
        <w:rPr>
          <w:rFonts w:ascii="Arial"/>
          <w:sz w:val="38"/>
          <w:rtl/>
        </w:rPr>
        <w:t xml:space="preserve"> שלמעלה אמר שישחוט אותו משום הבא כו' כל שכן מי שעושה בשביל כבוד השם כמו שמפרש והולך:</w:t>
      </w:r>
    </w:p>
  </w:footnote>
  <w:footnote w:id="464">
    <w:p w:rsidR="00A13282" w:rsidRDefault="00A13282" w:rsidP="00D45634">
      <w:pPr>
        <w:pStyle w:val="a5"/>
      </w:pPr>
      <w:r>
        <w:rPr>
          <w:rStyle w:val="a7"/>
        </w:rPr>
        <w:footnoteRef/>
      </w:r>
      <w:r>
        <w:t xml:space="preserve"> </w:t>
      </w:r>
      <w:r>
        <w:rPr>
          <w:rFonts w:ascii="Arial"/>
          <w:b/>
          <w:bCs/>
          <w:sz w:val="38"/>
          <w:rtl/>
        </w:rPr>
        <w:t>דבכל יומא תבע כו'.</w:t>
      </w:r>
      <w:r>
        <w:rPr>
          <w:rFonts w:ascii="Arial"/>
          <w:sz w:val="38"/>
          <w:rtl/>
        </w:rPr>
        <w:t xml:space="preserve"> דבאצילות לא שליט, רק דשם תובע חובין כמו שאומר לקמן:</w:t>
      </w:r>
    </w:p>
  </w:footnote>
  <w:footnote w:id="465">
    <w:p w:rsidR="00A13282" w:rsidRDefault="00A13282" w:rsidP="00D45634">
      <w:pPr>
        <w:pStyle w:val="a5"/>
      </w:pPr>
      <w:r>
        <w:rPr>
          <w:rStyle w:val="a7"/>
        </w:rPr>
        <w:footnoteRef/>
      </w:r>
      <w:r>
        <w:t xml:space="preserve"> </w:t>
      </w:r>
      <w:r>
        <w:rPr>
          <w:rFonts w:ascii="Arial"/>
          <w:b/>
          <w:bCs/>
          <w:sz w:val="38"/>
          <w:rtl/>
        </w:rPr>
        <w:t>משמיא וארעא.</w:t>
      </w:r>
      <w:r>
        <w:rPr>
          <w:rFonts w:ascii="Arial"/>
          <w:sz w:val="38"/>
          <w:rtl/>
        </w:rPr>
        <w:t xml:space="preserve"> הוא זו"ן דעשיה:</w:t>
      </w:r>
    </w:p>
  </w:footnote>
  <w:footnote w:id="466">
    <w:p w:rsidR="00A13282" w:rsidRDefault="00A13282" w:rsidP="00D45634">
      <w:pPr>
        <w:pStyle w:val="a5"/>
      </w:pPr>
      <w:r>
        <w:rPr>
          <w:rStyle w:val="a7"/>
        </w:rPr>
        <w:footnoteRef/>
      </w:r>
      <w:r>
        <w:t xml:space="preserve"> </w:t>
      </w:r>
      <w:r>
        <w:rPr>
          <w:rFonts w:ascii="Arial"/>
          <w:b/>
          <w:bCs/>
          <w:sz w:val="38"/>
          <w:rtl/>
        </w:rPr>
        <w:t>משמשא וסיהרא.</w:t>
      </w:r>
      <w:r>
        <w:rPr>
          <w:rFonts w:ascii="Arial"/>
          <w:sz w:val="38"/>
          <w:rtl/>
        </w:rPr>
        <w:t xml:space="preserve"> היא זו"ן של יצירה:</w:t>
      </w:r>
    </w:p>
  </w:footnote>
  <w:footnote w:id="467">
    <w:p w:rsidR="00A13282" w:rsidRDefault="00A13282" w:rsidP="00D45634">
      <w:pPr>
        <w:pStyle w:val="a5"/>
      </w:pPr>
      <w:r>
        <w:rPr>
          <w:rStyle w:val="a7"/>
        </w:rPr>
        <w:footnoteRef/>
      </w:r>
      <w:r>
        <w:t xml:space="preserve"> </w:t>
      </w:r>
      <w:r>
        <w:rPr>
          <w:rFonts w:ascii="Arial"/>
          <w:b/>
          <w:bCs/>
          <w:sz w:val="38"/>
          <w:rtl/>
        </w:rPr>
        <w:t>מתרין כורסיין.</w:t>
      </w:r>
      <w:r>
        <w:rPr>
          <w:rFonts w:ascii="Arial"/>
          <w:sz w:val="38"/>
          <w:rtl/>
        </w:rPr>
        <w:t xml:space="preserve"> הוא זו"ן של בריאה, כסא דין וכסא רחמים:</w:t>
      </w:r>
    </w:p>
  </w:footnote>
  <w:footnote w:id="468">
    <w:p w:rsidR="00A13282" w:rsidRDefault="00A13282" w:rsidP="00D45634">
      <w:pPr>
        <w:pStyle w:val="a5"/>
      </w:pPr>
      <w:r>
        <w:rPr>
          <w:rStyle w:val="a7"/>
        </w:rPr>
        <w:footnoteRef/>
      </w:r>
      <w:r>
        <w:t xml:space="preserve"> </w:t>
      </w:r>
      <w:r>
        <w:rPr>
          <w:rFonts w:ascii="Arial"/>
          <w:b/>
          <w:bCs/>
          <w:sz w:val="38"/>
          <w:rtl/>
        </w:rPr>
        <w:t>ותמן קב"ה ושכינתיה כו'.</w:t>
      </w:r>
      <w:r>
        <w:rPr>
          <w:rFonts w:ascii="Arial"/>
          <w:sz w:val="38"/>
          <w:rtl/>
        </w:rPr>
        <w:t xml:space="preserve"> קאי על יצירה:</w:t>
      </w:r>
    </w:p>
  </w:footnote>
  <w:footnote w:id="469">
    <w:p w:rsidR="00A13282" w:rsidRDefault="00A13282" w:rsidP="00D45634">
      <w:pPr>
        <w:pStyle w:val="a5"/>
      </w:pPr>
      <w:r>
        <w:rPr>
          <w:rStyle w:val="a7"/>
        </w:rPr>
        <w:footnoteRef/>
      </w:r>
      <w:r>
        <w:t xml:space="preserve"> </w:t>
      </w:r>
      <w:r>
        <w:rPr>
          <w:rFonts w:ascii="Arial"/>
          <w:b/>
          <w:bCs/>
          <w:sz w:val="38"/>
          <w:rtl/>
        </w:rPr>
        <w:t>ועל שמייהו.</w:t>
      </w:r>
      <w:r>
        <w:rPr>
          <w:rFonts w:ascii="Arial"/>
          <w:sz w:val="38"/>
          <w:rtl/>
        </w:rPr>
        <w:t xml:space="preserve"> רוצה לומר על שם שמש וירח שביצירה:</w:t>
      </w:r>
    </w:p>
  </w:footnote>
  <w:footnote w:id="470">
    <w:p w:rsidR="00A13282" w:rsidRDefault="00A13282" w:rsidP="00D45634">
      <w:pPr>
        <w:pStyle w:val="a5"/>
      </w:pPr>
      <w:r>
        <w:rPr>
          <w:rStyle w:val="a7"/>
        </w:rPr>
        <w:footnoteRef/>
      </w:r>
      <w:r>
        <w:t xml:space="preserve"> </w:t>
      </w:r>
      <w:r>
        <w:rPr>
          <w:rFonts w:ascii="Arial"/>
          <w:b/>
          <w:bCs/>
          <w:sz w:val="38"/>
          <w:rtl/>
        </w:rPr>
        <w:t>שמש ומגן כו'.</w:t>
      </w:r>
      <w:r>
        <w:rPr>
          <w:rFonts w:ascii="Arial"/>
          <w:sz w:val="38"/>
          <w:rtl/>
        </w:rPr>
        <w:t xml:space="preserve"> מגן מצד הירח דהיא חפיא עלנא בגדפהא:</w:t>
      </w:r>
    </w:p>
  </w:footnote>
  <w:footnote w:id="471">
    <w:p w:rsidR="00A13282" w:rsidRDefault="00A13282" w:rsidP="00D45634">
      <w:pPr>
        <w:pStyle w:val="a5"/>
      </w:pPr>
      <w:r>
        <w:rPr>
          <w:rStyle w:val="a7"/>
        </w:rPr>
        <w:footnoteRef/>
      </w:r>
      <w:r>
        <w:t xml:space="preserve"> </w:t>
      </w:r>
      <w:r>
        <w:rPr>
          <w:rFonts w:ascii="Arial"/>
          <w:b/>
          <w:bCs/>
          <w:sz w:val="38"/>
          <w:rtl/>
        </w:rPr>
        <w:t>ה' אלקים.</w:t>
      </w:r>
      <w:r>
        <w:rPr>
          <w:rFonts w:ascii="Arial"/>
          <w:sz w:val="38"/>
          <w:rtl/>
        </w:rPr>
        <w:t xml:space="preserve"> אינון קב"ה ושכינתיה:</w:t>
      </w:r>
    </w:p>
  </w:footnote>
  <w:footnote w:id="472">
    <w:p w:rsidR="00A13282" w:rsidRDefault="00A13282" w:rsidP="00D45634">
      <w:pPr>
        <w:pStyle w:val="a5"/>
      </w:pPr>
      <w:r>
        <w:rPr>
          <w:rStyle w:val="a7"/>
        </w:rPr>
        <w:footnoteRef/>
      </w:r>
      <w:r>
        <w:t xml:space="preserve"> </w:t>
      </w:r>
      <w:r>
        <w:rPr>
          <w:rFonts w:ascii="Arial"/>
          <w:b/>
          <w:bCs/>
          <w:sz w:val="38"/>
          <w:rtl/>
        </w:rPr>
        <w:t>לא יבוא עוד כו'.</w:t>
      </w:r>
      <w:r>
        <w:rPr>
          <w:rFonts w:ascii="Arial"/>
          <w:sz w:val="38"/>
          <w:rtl/>
        </w:rPr>
        <w:t xml:space="preserve"> דעכשיו מכסה לפעמים הסטרא אחרא כמו שכתוב (תהלים פא ד) בכסה כו' וכן העננים נאמר (איכה ג מד) סכותה בענן וזה שכתוב (ישעיהו נט ב) כי עונותיכם מבדילים כו':</w:t>
      </w:r>
    </w:p>
  </w:footnote>
  <w:footnote w:id="473">
    <w:p w:rsidR="00A13282" w:rsidRDefault="00A13282" w:rsidP="00D45634">
      <w:pPr>
        <w:pStyle w:val="a5"/>
      </w:pPr>
      <w:r>
        <w:rPr>
          <w:rStyle w:val="a7"/>
        </w:rPr>
        <w:footnoteRef/>
      </w:r>
      <w:r>
        <w:t xml:space="preserve"> </w:t>
      </w:r>
      <w:r>
        <w:rPr>
          <w:rFonts w:ascii="Arial"/>
          <w:b/>
          <w:bCs/>
          <w:sz w:val="38"/>
          <w:rtl/>
        </w:rPr>
        <w:t>ותמן ייתי כו'.</w:t>
      </w:r>
      <w:r>
        <w:rPr>
          <w:rFonts w:ascii="Arial"/>
          <w:sz w:val="38"/>
          <w:rtl/>
        </w:rPr>
        <w:t xml:space="preserve"> רוצה לומר דשם אין שליטה רק דתבע כו':</w:t>
      </w:r>
    </w:p>
  </w:footnote>
  <w:footnote w:id="474">
    <w:p w:rsidR="00A13282" w:rsidRDefault="00A13282" w:rsidP="00D45634">
      <w:pPr>
        <w:pStyle w:val="a5"/>
      </w:pPr>
      <w:r>
        <w:rPr>
          <w:rStyle w:val="a7"/>
        </w:rPr>
        <w:footnoteRef/>
      </w:r>
      <w:r>
        <w:t xml:space="preserve"> </w:t>
      </w:r>
      <w:r>
        <w:rPr>
          <w:rFonts w:ascii="Arial"/>
          <w:b/>
          <w:bCs/>
          <w:sz w:val="38"/>
          <w:rtl/>
        </w:rPr>
        <w:t>מאלין דאתמר כו'.</w:t>
      </w:r>
      <w:r>
        <w:rPr>
          <w:rFonts w:ascii="Arial"/>
          <w:sz w:val="38"/>
          <w:rtl/>
        </w:rPr>
        <w:t xml:space="preserve"> שנשמתן מאצילות:</w:t>
      </w:r>
    </w:p>
  </w:footnote>
  <w:footnote w:id="475">
    <w:p w:rsidR="00A13282" w:rsidRDefault="00A13282" w:rsidP="00D45634">
      <w:pPr>
        <w:pStyle w:val="a5"/>
      </w:pPr>
      <w:r>
        <w:rPr>
          <w:rStyle w:val="a7"/>
        </w:rPr>
        <w:footnoteRef/>
      </w:r>
      <w:r>
        <w:t xml:space="preserve"> </w:t>
      </w:r>
      <w:r>
        <w:rPr>
          <w:rFonts w:ascii="Arial"/>
          <w:b/>
          <w:bCs/>
          <w:sz w:val="38"/>
          <w:rtl/>
        </w:rPr>
        <w:t>דמסטרא דלהון.</w:t>
      </w:r>
      <w:r>
        <w:rPr>
          <w:rFonts w:ascii="Arial"/>
          <w:sz w:val="38"/>
          <w:rtl/>
        </w:rPr>
        <w:t xml:space="preserve"> רוצה לומר מג' עולמות הנ"ל:</w:t>
      </w:r>
    </w:p>
  </w:footnote>
  <w:footnote w:id="476">
    <w:p w:rsidR="00A13282" w:rsidRDefault="00A13282" w:rsidP="00D45634">
      <w:pPr>
        <w:pStyle w:val="a5"/>
      </w:pPr>
      <w:r>
        <w:rPr>
          <w:rStyle w:val="a7"/>
        </w:rPr>
        <w:footnoteRef/>
      </w:r>
      <w:r>
        <w:t xml:space="preserve"> </w:t>
      </w:r>
      <w:r>
        <w:rPr>
          <w:rFonts w:ascii="Arial"/>
          <w:b/>
          <w:bCs/>
          <w:sz w:val="38"/>
          <w:rtl/>
        </w:rPr>
        <w:t>בתרין קרנוי.</w:t>
      </w:r>
      <w:r>
        <w:rPr>
          <w:rFonts w:ascii="Arial"/>
          <w:sz w:val="38"/>
          <w:rtl/>
        </w:rPr>
        <w:t xml:space="preserve"> דלא ישלוט ויפגום בזו"ן של עולמות הנ"ל:</w:t>
      </w:r>
    </w:p>
  </w:footnote>
  <w:footnote w:id="477">
    <w:p w:rsidR="00A13282" w:rsidRDefault="00A13282" w:rsidP="00D45634">
      <w:pPr>
        <w:pStyle w:val="a5"/>
      </w:pPr>
      <w:r>
        <w:rPr>
          <w:rStyle w:val="a7"/>
        </w:rPr>
        <w:footnoteRef/>
      </w:r>
      <w:r>
        <w:t xml:space="preserve"> </w:t>
      </w:r>
      <w:r>
        <w:rPr>
          <w:rFonts w:ascii="Arial"/>
          <w:b/>
          <w:bCs/>
          <w:sz w:val="38"/>
          <w:rtl/>
        </w:rPr>
        <w:t>וחד בדרועא.</w:t>
      </w:r>
      <w:r>
        <w:rPr>
          <w:rFonts w:ascii="Arial"/>
          <w:sz w:val="38"/>
          <w:rtl/>
        </w:rPr>
        <w:t xml:space="preserve"> כמו שמפרש והולך בגין דלא יתקרב לסטרא דגבורא והוא מסטרא דלהון והן ג' רצועות של תפילין, ב' של ראש ואחת בזרוע שמאל שהוא גבורה:</w:t>
      </w:r>
    </w:p>
  </w:footnote>
  <w:footnote w:id="478">
    <w:p w:rsidR="00A13282" w:rsidRDefault="00A13282" w:rsidP="00D45634">
      <w:pPr>
        <w:pStyle w:val="a5"/>
      </w:pPr>
      <w:r>
        <w:rPr>
          <w:rStyle w:val="a7"/>
        </w:rPr>
        <w:footnoteRef/>
      </w:r>
      <w:r>
        <w:t xml:space="preserve"> </w:t>
      </w:r>
      <w:r>
        <w:rPr>
          <w:rFonts w:ascii="Arial"/>
          <w:b/>
          <w:bCs/>
          <w:sz w:val="38"/>
          <w:rtl/>
        </w:rPr>
        <w:t>אבל מסטרא כו'.</w:t>
      </w:r>
      <w:r>
        <w:rPr>
          <w:rFonts w:ascii="Arial"/>
          <w:sz w:val="38"/>
          <w:rtl/>
        </w:rPr>
        <w:t xml:space="preserve"> רוצה לומר דלכך אין צריך אלא לו' סטרין:</w:t>
      </w:r>
    </w:p>
  </w:footnote>
  <w:footnote w:id="479">
    <w:p w:rsidR="00A13282" w:rsidRDefault="00A13282" w:rsidP="00D45634">
      <w:pPr>
        <w:pStyle w:val="a5"/>
      </w:pPr>
      <w:r>
        <w:rPr>
          <w:rStyle w:val="a7"/>
        </w:rPr>
        <w:footnoteRef/>
      </w:r>
      <w:r>
        <w:t xml:space="preserve"> </w:t>
      </w:r>
      <w:r>
        <w:rPr>
          <w:rFonts w:ascii="Arial"/>
          <w:b/>
          <w:bCs/>
          <w:sz w:val="38"/>
          <w:rtl/>
        </w:rPr>
        <w:t>ועוד קריאת שמע כו'.</w:t>
      </w:r>
      <w:r>
        <w:rPr>
          <w:rFonts w:ascii="Arial"/>
          <w:sz w:val="38"/>
          <w:rtl/>
        </w:rPr>
        <w:t xml:space="preserve"> למעלה אמר שקריאת שמע הוא חרב, ועכשיו פירש שהוא ג"כ רומח וקירטא וקשת, והן נגד ד' אותיות הוי"ה:</w:t>
      </w:r>
    </w:p>
  </w:footnote>
  <w:footnote w:id="480">
    <w:p w:rsidR="00A13282" w:rsidRDefault="00A13282" w:rsidP="00D45634">
      <w:pPr>
        <w:pStyle w:val="a5"/>
      </w:pPr>
      <w:r>
        <w:rPr>
          <w:rStyle w:val="a7"/>
        </w:rPr>
        <w:footnoteRef/>
      </w:r>
      <w:r>
        <w:t xml:space="preserve"> </w:t>
      </w:r>
      <w:r>
        <w:rPr>
          <w:rFonts w:ascii="Arial"/>
          <w:b/>
          <w:bCs/>
          <w:sz w:val="38"/>
          <w:rtl/>
        </w:rPr>
        <w:t>כלילא משית כו'.</w:t>
      </w:r>
      <w:r>
        <w:rPr>
          <w:rFonts w:ascii="Arial"/>
          <w:sz w:val="38"/>
          <w:rtl/>
        </w:rPr>
        <w:t xml:space="preserve"> אף על גב דהששה תיבין הן בכלל רמ"ח מכל מקום בהם בחינה בפני עצמה:</w:t>
      </w:r>
    </w:p>
  </w:footnote>
  <w:footnote w:id="481">
    <w:p w:rsidR="00A13282" w:rsidRDefault="00A13282" w:rsidP="00D45634">
      <w:pPr>
        <w:pStyle w:val="a5"/>
      </w:pPr>
      <w:r>
        <w:rPr>
          <w:rStyle w:val="a7"/>
        </w:rPr>
        <w:footnoteRef/>
      </w:r>
      <w:r>
        <w:t xml:space="preserve"> </w:t>
      </w:r>
      <w:r>
        <w:rPr>
          <w:rFonts w:ascii="Arial"/>
          <w:b/>
          <w:bCs/>
          <w:sz w:val="38"/>
          <w:rtl/>
        </w:rPr>
        <w:t>והוא קירטא.</w:t>
      </w:r>
      <w:r>
        <w:rPr>
          <w:rFonts w:ascii="Arial"/>
          <w:sz w:val="38"/>
          <w:rtl/>
        </w:rPr>
        <w:t xml:space="preserve"> רוצה לומר שקריאת שמע הוא קלע:</w:t>
      </w:r>
    </w:p>
  </w:footnote>
  <w:footnote w:id="482">
    <w:p w:rsidR="00A13282" w:rsidRDefault="00A13282" w:rsidP="00D45634">
      <w:pPr>
        <w:jc w:val="both"/>
      </w:pPr>
      <w:r>
        <w:rPr>
          <w:rStyle w:val="a7"/>
        </w:rPr>
        <w:footnoteRef/>
      </w:r>
      <w:r>
        <w:t xml:space="preserve"> </w:t>
      </w:r>
      <w:r>
        <w:rPr>
          <w:b/>
          <w:bCs/>
          <w:rtl/>
        </w:rPr>
        <w:t>חמשא אבנין כו'.</w:t>
      </w:r>
      <w:r>
        <w:rPr>
          <w:rtl/>
        </w:rPr>
        <w:t xml:space="preserve"> רוצה לומר הן חמש אורות שמתפשטין בחמש ספירות חג"ת נ"ה ונכללין ביו"ד - יסוד כמו שאומר דה' עילאה כו' יו"ד יסוד נטיל כולא ובו נעשין כל החמש אורות אחד, וכן בקריאת שמע בפסוק ראשון חמש תיבות נגד חמש ספירות ונכללין בתיבה הששית שהוא אחד:</w:t>
      </w:r>
    </w:p>
  </w:footnote>
  <w:footnote w:id="483">
    <w:p w:rsidR="00A13282" w:rsidRDefault="00A13282" w:rsidP="00D45634">
      <w:pPr>
        <w:pStyle w:val="a5"/>
      </w:pPr>
      <w:r>
        <w:rPr>
          <w:rStyle w:val="a7"/>
        </w:rPr>
        <w:footnoteRef/>
      </w:r>
      <w:r>
        <w:t xml:space="preserve"> </w:t>
      </w:r>
      <w:r>
        <w:rPr>
          <w:rFonts w:ascii="Arial"/>
          <w:b/>
          <w:bCs/>
          <w:sz w:val="38"/>
          <w:rtl/>
        </w:rPr>
        <w:t>וקטיל בה ליצה"ר.</w:t>
      </w:r>
      <w:r>
        <w:rPr>
          <w:rFonts w:ascii="Arial"/>
          <w:sz w:val="38"/>
          <w:rtl/>
        </w:rPr>
        <w:t xml:space="preserve"> כמו שאמר לעיל דיוד הוא החוליא, בעובדא, ועכשיו במילולא - קטיל ליה:</w:t>
      </w:r>
    </w:p>
  </w:footnote>
  <w:footnote w:id="484">
    <w:p w:rsidR="00A13282" w:rsidRDefault="00A13282" w:rsidP="00D45634">
      <w:pPr>
        <w:pStyle w:val="a5"/>
      </w:pPr>
      <w:r>
        <w:rPr>
          <w:rStyle w:val="a7"/>
        </w:rPr>
        <w:footnoteRef/>
      </w:r>
      <w:r>
        <w:t xml:space="preserve"> </w:t>
      </w:r>
      <w:r>
        <w:rPr>
          <w:rFonts w:ascii="Arial"/>
          <w:b/>
          <w:bCs/>
          <w:sz w:val="38"/>
          <w:rtl/>
        </w:rPr>
        <w:t>ובאן אתר כו'.</w:t>
      </w:r>
      <w:r>
        <w:rPr>
          <w:rFonts w:ascii="Arial"/>
          <w:sz w:val="38"/>
          <w:rtl/>
        </w:rPr>
        <w:t xml:space="preserve"> רוצה לומר הקריאת שמע הוא אבני הקלע שנאמר אצל דוד (שמואל א יז מ) ויבחר לו חמש חלוקי אבנים ואח"כ כתיב ויקח משם אבן, שנעשו כולם אבן אחת אבל היכן הוא הקלע עצמו ואמר בתפילין וזה שאומר ויחזק דוד כו' בקלע ובאבן דהוא תפילין וקריאת שמע:</w:t>
      </w:r>
    </w:p>
  </w:footnote>
  <w:footnote w:id="485">
    <w:p w:rsidR="00A13282" w:rsidRDefault="00A13282" w:rsidP="00D45634">
      <w:pPr>
        <w:pStyle w:val="a5"/>
      </w:pPr>
      <w:r>
        <w:rPr>
          <w:rStyle w:val="a7"/>
        </w:rPr>
        <w:footnoteRef/>
      </w:r>
      <w:r>
        <w:t xml:space="preserve"> </w:t>
      </w:r>
      <w:r>
        <w:rPr>
          <w:rFonts w:ascii="Arial"/>
          <w:b/>
          <w:bCs/>
          <w:sz w:val="38"/>
          <w:rtl/>
        </w:rPr>
        <w:t>דאיהי כחוט דזרקא.</w:t>
      </w:r>
      <w:r>
        <w:rPr>
          <w:rFonts w:ascii="Arial"/>
          <w:sz w:val="38"/>
          <w:rtl/>
        </w:rPr>
        <w:t xml:space="preserve"> דזרקא הוא קלע, דזריק אבנין כמו שאומר בתיקונין לקמן:</w:t>
      </w:r>
    </w:p>
  </w:footnote>
  <w:footnote w:id="486">
    <w:p w:rsidR="00A13282" w:rsidRDefault="00A13282" w:rsidP="00D45634">
      <w:pPr>
        <w:pStyle w:val="a5"/>
      </w:pPr>
      <w:r>
        <w:rPr>
          <w:rStyle w:val="a7"/>
        </w:rPr>
        <w:footnoteRef/>
      </w:r>
      <w:r>
        <w:t xml:space="preserve"> </w:t>
      </w:r>
      <w:r>
        <w:rPr>
          <w:rFonts w:ascii="Arial"/>
          <w:b/>
          <w:bCs/>
          <w:sz w:val="38"/>
          <w:rtl/>
        </w:rPr>
        <w:t>ואיהי ק"ש קשת.</w:t>
      </w:r>
      <w:r>
        <w:rPr>
          <w:rFonts w:ascii="Arial"/>
          <w:sz w:val="38"/>
          <w:rtl/>
        </w:rPr>
        <w:t xml:space="preserve"> רוצה לומר דהיא לשון קשת:</w:t>
      </w:r>
    </w:p>
  </w:footnote>
  <w:footnote w:id="487">
    <w:p w:rsidR="00A13282" w:rsidRDefault="00A13282" w:rsidP="00D45634">
      <w:pPr>
        <w:pStyle w:val="a5"/>
      </w:pPr>
      <w:r>
        <w:rPr>
          <w:rStyle w:val="a7"/>
        </w:rPr>
        <w:footnoteRef/>
      </w:r>
      <w:r>
        <w:t xml:space="preserve"> </w:t>
      </w:r>
      <w:r>
        <w:rPr>
          <w:rFonts w:ascii="Arial"/>
          <w:b/>
          <w:bCs/>
          <w:sz w:val="38"/>
          <w:rtl/>
        </w:rPr>
        <w:t>מסטרא דברוך כו'.</w:t>
      </w:r>
      <w:r>
        <w:rPr>
          <w:rFonts w:ascii="Arial"/>
          <w:sz w:val="38"/>
          <w:rtl/>
        </w:rPr>
        <w:t xml:space="preserve"> דברוך הוא צדיק כמו שכתוב (משלי י ו) וברכות לראש כו' והוא קשת הברית יורה כחץ:</w:t>
      </w:r>
    </w:p>
  </w:footnote>
  <w:footnote w:id="488">
    <w:p w:rsidR="00A13282" w:rsidRDefault="00A13282" w:rsidP="00D45634">
      <w:pPr>
        <w:pStyle w:val="a5"/>
      </w:pPr>
      <w:r>
        <w:rPr>
          <w:rStyle w:val="a7"/>
        </w:rPr>
        <w:footnoteRef/>
      </w:r>
      <w:r>
        <w:t xml:space="preserve"> </w:t>
      </w:r>
      <w:r>
        <w:rPr>
          <w:rFonts w:ascii="Arial"/>
          <w:b/>
          <w:bCs/>
          <w:sz w:val="38"/>
          <w:rtl/>
        </w:rPr>
        <w:t>רומחא כו'.</w:t>
      </w:r>
      <w:r>
        <w:rPr>
          <w:rFonts w:ascii="Arial"/>
          <w:sz w:val="38"/>
          <w:rtl/>
        </w:rPr>
        <w:t xml:space="preserve"> לפי שפירש באיזה ספירה הוא הקשת, עכשיו פירש באיזה הן רומח וקלע. ואמר שהרומח הוא בעמודא דאמצעיתא ואוחז הרומח ביד, בה' אצבעות שהוא מלכות מסטרא דחסד שהיא בת היתה לאברהם ובכל שמה (בבא בתרא טז ע"ב) וזה שאומר ואיהי לימינא כו'. והוא ו"ה של השם, רמ"ח - ה', ו' של רומח - ו', והוא מסטרא דימינא:</w:t>
      </w:r>
    </w:p>
  </w:footnote>
  <w:footnote w:id="489">
    <w:p w:rsidR="00A13282" w:rsidRDefault="00A13282" w:rsidP="00D45634">
      <w:pPr>
        <w:pStyle w:val="a5"/>
      </w:pPr>
      <w:r>
        <w:rPr>
          <w:rStyle w:val="a7"/>
        </w:rPr>
        <w:footnoteRef/>
      </w:r>
      <w:r>
        <w:t xml:space="preserve"> </w:t>
      </w:r>
      <w:r>
        <w:rPr>
          <w:rFonts w:ascii="Arial"/>
          <w:b/>
          <w:bCs/>
          <w:sz w:val="38"/>
          <w:rtl/>
        </w:rPr>
        <w:t>קלע ה' כו'.</w:t>
      </w:r>
      <w:r>
        <w:rPr>
          <w:rFonts w:ascii="Arial"/>
          <w:sz w:val="38"/>
          <w:rtl/>
        </w:rPr>
        <w:t xml:space="preserve"> רוצה לומר, הקלע והאבן הן י"ה, חו"ב, והן י"ה שבתפילין, תפילין של ראש הוא ה' עילאה, והקשר של ראש הוא יו"ד, והן י"ה של השם והוא מסטרא דשמאלא כנ"ל דתפילין מסטרא דשמאלא וזה שאומר וכלא י"ה עם כו' רוצה לומר דמסטרא די"ה שהן לשמאלא אינון לא תעשה, ומסטרא דו"ה דאינון לימינא אינון מצוות עשה, וקלע עם הרומח הוא שם הוי"ה:</w:t>
      </w:r>
    </w:p>
  </w:footnote>
  <w:footnote w:id="490">
    <w:p w:rsidR="00A13282" w:rsidRDefault="00A13282" w:rsidP="00D45634">
      <w:pPr>
        <w:pStyle w:val="a5"/>
      </w:pPr>
      <w:r>
        <w:rPr>
          <w:rStyle w:val="a7"/>
        </w:rPr>
        <w:footnoteRef/>
      </w:r>
      <w:r>
        <w:t xml:space="preserve"> </w:t>
      </w:r>
      <w:r>
        <w:rPr>
          <w:rFonts w:ascii="Arial"/>
          <w:b/>
          <w:bCs/>
          <w:sz w:val="38"/>
          <w:rtl/>
        </w:rPr>
        <w:t>ומאן דנטיר כו'.</w:t>
      </w:r>
      <w:r>
        <w:rPr>
          <w:rFonts w:ascii="Arial"/>
          <w:sz w:val="38"/>
          <w:rtl/>
        </w:rPr>
        <w:t xml:space="preserve"> שהיא ספירה השמינית מחכמה כמו שאמר לעיל:</w:t>
      </w:r>
    </w:p>
  </w:footnote>
  <w:footnote w:id="491">
    <w:p w:rsidR="00A13282" w:rsidRDefault="00A13282" w:rsidP="00D45634">
      <w:pPr>
        <w:pStyle w:val="a5"/>
      </w:pPr>
      <w:r>
        <w:rPr>
          <w:rStyle w:val="a7"/>
        </w:rPr>
        <w:footnoteRef/>
      </w:r>
      <w:r>
        <w:t xml:space="preserve"> </w:t>
      </w:r>
      <w:r>
        <w:rPr>
          <w:rFonts w:ascii="Arial"/>
          <w:b/>
          <w:bCs/>
          <w:sz w:val="38"/>
          <w:rtl/>
        </w:rPr>
        <w:t>דאיהי מממנא כו'.</w:t>
      </w:r>
      <w:r>
        <w:rPr>
          <w:rFonts w:ascii="Arial"/>
          <w:sz w:val="38"/>
          <w:rtl/>
        </w:rPr>
        <w:t xml:space="preserve"> רוצה לומר והן המזיקין כמו שאמרו (בבא בתרא טז ע"א) הוא יצר הרע כו':</w:t>
      </w:r>
    </w:p>
  </w:footnote>
  <w:footnote w:id="492">
    <w:p w:rsidR="00A13282" w:rsidRDefault="00A13282" w:rsidP="00D45634">
      <w:pPr>
        <w:pStyle w:val="a5"/>
      </w:pPr>
      <w:r>
        <w:rPr>
          <w:rStyle w:val="a7"/>
        </w:rPr>
        <w:footnoteRef/>
      </w:r>
      <w:r>
        <w:t xml:space="preserve"> </w:t>
      </w:r>
      <w:r>
        <w:rPr>
          <w:rFonts w:ascii="Arial"/>
          <w:bCs/>
          <w:sz w:val="38"/>
          <w:rtl/>
        </w:rPr>
        <w:t>על שתין רבוא.</w:t>
      </w:r>
      <w:r>
        <w:rPr>
          <w:rFonts w:ascii="Arial"/>
          <w:sz w:val="38"/>
          <w:rtl/>
        </w:rPr>
        <w:t xml:space="preserve"> דזה לעומת זה כו' (קהלת ז יד), והוא ובת זוגיה כנגד תפארת ומלכות, כמו שאמר לעיל צריך לאעברא ליה כו', ובתפארת - ו"ק, שבו ששים רבוא נשמתין דישראל, והוא נטיר מכולם בעובדא כנ"ל דאיהי חוליא, וכל שכן מי שעושה שניהם, המעשה והדיבור, שהורגו ג"כ כנ"ל וזה שאומר כל שכן מאן כו':</w:t>
      </w:r>
    </w:p>
  </w:footnote>
  <w:footnote w:id="493">
    <w:p w:rsidR="00A13282" w:rsidRDefault="00A13282" w:rsidP="00D45634">
      <w:pPr>
        <w:pStyle w:val="a5"/>
      </w:pPr>
      <w:r>
        <w:rPr>
          <w:rStyle w:val="a7"/>
        </w:rPr>
        <w:footnoteRef/>
      </w:r>
      <w:r>
        <w:t xml:space="preserve"> </w:t>
      </w:r>
      <w:r>
        <w:rPr>
          <w:rFonts w:ascii="Arial"/>
          <w:b/>
          <w:bCs/>
          <w:sz w:val="38"/>
          <w:rtl/>
        </w:rPr>
        <w:t>ועוד ברית כו'.</w:t>
      </w:r>
      <w:r>
        <w:rPr>
          <w:rFonts w:ascii="Arial"/>
          <w:sz w:val="38"/>
          <w:rtl/>
        </w:rPr>
        <w:t xml:space="preserve"> חוזר לענינו הראשון:</w:t>
      </w:r>
    </w:p>
  </w:footnote>
  <w:footnote w:id="494">
    <w:p w:rsidR="00A13282" w:rsidRDefault="00A13282" w:rsidP="00D45634">
      <w:pPr>
        <w:pStyle w:val="a5"/>
      </w:pPr>
      <w:r>
        <w:rPr>
          <w:rStyle w:val="a7"/>
        </w:rPr>
        <w:footnoteRef/>
      </w:r>
      <w:r>
        <w:t xml:space="preserve"> </w:t>
      </w:r>
      <w:r>
        <w:rPr>
          <w:rFonts w:ascii="Arial"/>
          <w:b/>
          <w:bCs/>
          <w:sz w:val="38"/>
          <w:rtl/>
        </w:rPr>
        <w:t>מנא בעפרא כו'.</w:t>
      </w:r>
      <w:r>
        <w:rPr>
          <w:rFonts w:ascii="Arial"/>
          <w:sz w:val="38"/>
          <w:rtl/>
        </w:rPr>
        <w:t xml:space="preserve"> רוצה לומר כלי עם עפר ליתן בתוכו הערלה:</w:t>
      </w:r>
    </w:p>
  </w:footnote>
  <w:footnote w:id="495">
    <w:p w:rsidR="00A13282" w:rsidRDefault="00A13282" w:rsidP="00D45634">
      <w:pPr>
        <w:pStyle w:val="a5"/>
      </w:pPr>
      <w:r>
        <w:rPr>
          <w:rStyle w:val="a7"/>
        </w:rPr>
        <w:footnoteRef/>
      </w:r>
      <w:r>
        <w:t xml:space="preserve"> </w:t>
      </w:r>
      <w:r>
        <w:rPr>
          <w:rFonts w:ascii="Arial"/>
          <w:b/>
          <w:bCs/>
          <w:sz w:val="38"/>
          <w:rtl/>
        </w:rPr>
        <w:t>אתחשב כאלו כו'.</w:t>
      </w:r>
      <w:r>
        <w:rPr>
          <w:rFonts w:ascii="Arial"/>
          <w:sz w:val="38"/>
          <w:rtl/>
        </w:rPr>
        <w:t xml:space="preserve"> רוצה לומר בשתיהן, בדם ובעפר אתחשב כו' והולך ומפרש וההוא כו' ודם כו':</w:t>
      </w:r>
    </w:p>
  </w:footnote>
  <w:footnote w:id="496">
    <w:p w:rsidR="00A13282" w:rsidRDefault="00A13282" w:rsidP="00D45634">
      <w:pPr>
        <w:pStyle w:val="a5"/>
      </w:pPr>
      <w:r>
        <w:rPr>
          <w:rStyle w:val="a7"/>
        </w:rPr>
        <w:footnoteRef/>
      </w:r>
      <w:r>
        <w:t xml:space="preserve"> </w:t>
      </w:r>
      <w:r>
        <w:rPr>
          <w:rFonts w:ascii="Arial"/>
          <w:b/>
          <w:bCs/>
          <w:sz w:val="38"/>
          <w:rtl/>
        </w:rPr>
        <w:t>ושזיב ליה כו'.</w:t>
      </w:r>
      <w:r>
        <w:rPr>
          <w:rFonts w:ascii="Arial"/>
          <w:sz w:val="38"/>
          <w:rtl/>
        </w:rPr>
        <w:t xml:space="preserve"> כי אות ברית הוא צדיק וצדק כמו שאומר ברעיא מהימנא (רלו ע"א), זו"ן והן מאורי האור, י"ה כנ"ל ובתר דחאבו אתמשך בערלה עליהון עור של נחש, סמ' ונוקבא. לכך צריך לידון בשחיטת מלאך המות ובעפר - חיבוט הקבר כנ"ל. ובדם הברית ובחיתוך הערלה ונתינתה בעפר - ניצול משתיהם. כי בדם הברית נתגלה היוד ובהסרת הערלה הה"א. וזהו, עולה שהוא בז"א ומזבח - בנוקבא:</w:t>
      </w:r>
    </w:p>
  </w:footnote>
  <w:footnote w:id="497">
    <w:p w:rsidR="00A13282" w:rsidRDefault="00A13282" w:rsidP="00D45634">
      <w:pPr>
        <w:pStyle w:val="a5"/>
      </w:pPr>
      <w:r>
        <w:rPr>
          <w:rStyle w:val="a7"/>
        </w:rPr>
        <w:footnoteRef/>
      </w:r>
      <w:r>
        <w:t xml:space="preserve"> </w:t>
      </w:r>
      <w:r>
        <w:rPr>
          <w:rFonts w:ascii="Arial"/>
          <w:b/>
          <w:bCs/>
          <w:sz w:val="38"/>
          <w:rtl/>
        </w:rPr>
        <w:t>ואם ההוא.</w:t>
      </w:r>
      <w:r>
        <w:rPr>
          <w:rFonts w:ascii="Arial"/>
          <w:sz w:val="38"/>
          <w:rtl/>
        </w:rPr>
        <w:t xml:space="preserve"> בזה מפרש הפסוק (שמות כ כב) ואם מזבח אבנים שהוא מסטרא דסמ' ונוקבא, אבני נגף, לב האבן, כי חרבך הנפת כו' (שם) שאסור למול אותו:</w:t>
      </w:r>
    </w:p>
  </w:footnote>
  <w:footnote w:id="498">
    <w:p w:rsidR="00A13282" w:rsidRDefault="00A13282" w:rsidP="00D45634">
      <w:pPr>
        <w:pStyle w:val="a5"/>
      </w:pPr>
      <w:r>
        <w:rPr>
          <w:rStyle w:val="a7"/>
        </w:rPr>
        <w:footnoteRef/>
      </w:r>
      <w:r>
        <w:t xml:space="preserve"> </w:t>
      </w:r>
      <w:r>
        <w:rPr>
          <w:rFonts w:ascii="Arial"/>
          <w:b/>
          <w:bCs/>
          <w:sz w:val="38"/>
          <w:rtl/>
        </w:rPr>
        <w:t>תקין ליה כו'.</w:t>
      </w:r>
      <w:r>
        <w:rPr>
          <w:rFonts w:ascii="Arial"/>
          <w:sz w:val="38"/>
          <w:rtl/>
        </w:rPr>
        <w:t xml:space="preserve"> רוצה לומר שמתקן ליה מזבח חס וחלילה:</w:t>
      </w:r>
    </w:p>
  </w:footnote>
  <w:footnote w:id="499">
    <w:p w:rsidR="00A13282" w:rsidRDefault="00A13282" w:rsidP="00D45634">
      <w:pPr>
        <w:pStyle w:val="a5"/>
      </w:pPr>
      <w:r>
        <w:rPr>
          <w:rStyle w:val="a7"/>
        </w:rPr>
        <w:footnoteRef/>
      </w:r>
      <w:r>
        <w:t xml:space="preserve"> </w:t>
      </w:r>
      <w:r>
        <w:rPr>
          <w:rFonts w:ascii="Arial"/>
          <w:b/>
          <w:bCs/>
          <w:sz w:val="38"/>
          <w:rtl/>
        </w:rPr>
        <w:t>ואיהו מן האדמה כו'.</w:t>
      </w:r>
      <w:r>
        <w:rPr>
          <w:rFonts w:ascii="Arial"/>
          <w:sz w:val="38"/>
          <w:rtl/>
        </w:rPr>
        <w:t xml:space="preserve"> רוצה לומר ההוא מזבח אדמה שעושה:</w:t>
      </w:r>
    </w:p>
  </w:footnote>
  <w:footnote w:id="500">
    <w:p w:rsidR="00A13282" w:rsidRDefault="00A13282" w:rsidP="00D45634">
      <w:pPr>
        <w:pStyle w:val="a5"/>
      </w:pPr>
      <w:r>
        <w:rPr>
          <w:rStyle w:val="a7"/>
        </w:rPr>
        <w:footnoteRef/>
      </w:r>
      <w:r>
        <w:t xml:space="preserve"> </w:t>
      </w:r>
      <w:r>
        <w:rPr>
          <w:rFonts w:ascii="Arial"/>
          <w:b/>
          <w:bCs/>
          <w:sz w:val="38"/>
          <w:rtl/>
        </w:rPr>
        <w:t>ואיהי עפרא כו'.</w:t>
      </w:r>
      <w:r>
        <w:rPr>
          <w:rFonts w:ascii="Arial"/>
          <w:sz w:val="38"/>
          <w:rtl/>
        </w:rPr>
        <w:t xml:space="preserve"> רוצה לומר העפר שמכין, כבגד תבלה ותעשה עפר:</w:t>
      </w:r>
    </w:p>
  </w:footnote>
  <w:footnote w:id="501">
    <w:p w:rsidR="00A13282" w:rsidRDefault="00A13282" w:rsidP="00D45634">
      <w:pPr>
        <w:pStyle w:val="a5"/>
      </w:pPr>
      <w:r>
        <w:rPr>
          <w:rStyle w:val="a7"/>
        </w:rPr>
        <w:footnoteRef/>
      </w:r>
      <w:r>
        <w:t xml:space="preserve"> </w:t>
      </w:r>
      <w:r>
        <w:rPr>
          <w:rFonts w:ascii="Arial"/>
          <w:b/>
          <w:bCs/>
          <w:sz w:val="38"/>
          <w:rtl/>
        </w:rPr>
        <w:t>עמיה יהא חולקי'.</w:t>
      </w:r>
      <w:r>
        <w:rPr>
          <w:rFonts w:ascii="Arial"/>
          <w:sz w:val="38"/>
          <w:rtl/>
        </w:rPr>
        <w:t xml:space="preserve"> רוצה לומר ההוא שעושה המזבח הנ"ל:</w:t>
      </w:r>
    </w:p>
  </w:footnote>
  <w:footnote w:id="502">
    <w:p w:rsidR="00A13282" w:rsidRDefault="00A13282" w:rsidP="00D45634">
      <w:pPr>
        <w:pStyle w:val="a5"/>
      </w:pPr>
      <w:r>
        <w:rPr>
          <w:rStyle w:val="a7"/>
        </w:rPr>
        <w:footnoteRef/>
      </w:r>
      <w:r>
        <w:t xml:space="preserve"> </w:t>
      </w:r>
      <w:r>
        <w:rPr>
          <w:rFonts w:ascii="Arial"/>
          <w:b/>
          <w:bCs/>
          <w:sz w:val="38"/>
          <w:rtl/>
        </w:rPr>
        <w:t>וכאלו קשיר כו'.</w:t>
      </w:r>
      <w:r>
        <w:rPr>
          <w:rFonts w:ascii="Arial"/>
          <w:sz w:val="38"/>
          <w:rtl/>
        </w:rPr>
        <w:t xml:space="preserve"> רוצה לומר ההוא דם דברית:</w:t>
      </w:r>
    </w:p>
  </w:footnote>
  <w:footnote w:id="503">
    <w:p w:rsidR="00A13282" w:rsidRDefault="00A13282" w:rsidP="00D45634">
      <w:pPr>
        <w:pStyle w:val="a5"/>
      </w:pPr>
      <w:r>
        <w:rPr>
          <w:rStyle w:val="a7"/>
        </w:rPr>
        <w:footnoteRef/>
      </w:r>
      <w:r>
        <w:t xml:space="preserve"> </w:t>
      </w:r>
      <w:r>
        <w:rPr>
          <w:rFonts w:ascii="Arial"/>
          <w:b/>
          <w:bCs/>
          <w:sz w:val="38"/>
          <w:rtl/>
        </w:rPr>
        <w:t>פסל.</w:t>
      </w:r>
      <w:r>
        <w:rPr>
          <w:rFonts w:ascii="Arial"/>
          <w:sz w:val="38"/>
          <w:rtl/>
        </w:rPr>
        <w:t xml:space="preserve"> זכר:</w:t>
      </w:r>
    </w:p>
  </w:footnote>
  <w:footnote w:id="504">
    <w:p w:rsidR="00A13282" w:rsidRDefault="00A13282" w:rsidP="00D45634">
      <w:pPr>
        <w:pStyle w:val="a5"/>
      </w:pPr>
      <w:r>
        <w:rPr>
          <w:rStyle w:val="a7"/>
        </w:rPr>
        <w:footnoteRef/>
      </w:r>
      <w:r>
        <w:t xml:space="preserve"> </w:t>
      </w:r>
      <w:r>
        <w:rPr>
          <w:rFonts w:ascii="Arial"/>
          <w:b/>
          <w:bCs/>
          <w:sz w:val="38"/>
          <w:rtl/>
        </w:rPr>
        <w:t>ומסכה.</w:t>
      </w:r>
      <w:r>
        <w:rPr>
          <w:rFonts w:ascii="Arial"/>
          <w:sz w:val="38"/>
          <w:rtl/>
        </w:rPr>
        <w:t xml:space="preserve"> נקבה:</w:t>
      </w:r>
    </w:p>
  </w:footnote>
  <w:footnote w:id="505">
    <w:p w:rsidR="00A13282" w:rsidRDefault="00A13282" w:rsidP="00D45634">
      <w:pPr>
        <w:pStyle w:val="a5"/>
      </w:pPr>
      <w:r>
        <w:rPr>
          <w:rStyle w:val="a7"/>
        </w:rPr>
        <w:footnoteRef/>
      </w:r>
      <w:r>
        <w:t xml:space="preserve"> </w:t>
      </w:r>
      <w:r>
        <w:rPr>
          <w:rFonts w:ascii="Arial"/>
          <w:b/>
          <w:bCs/>
          <w:sz w:val="38"/>
          <w:rtl/>
        </w:rPr>
        <w:t>אשר יעשה כו'.</w:t>
      </w:r>
      <w:r>
        <w:rPr>
          <w:rFonts w:ascii="Arial"/>
          <w:sz w:val="38"/>
          <w:rtl/>
        </w:rPr>
        <w:t xml:space="preserve"> רוצה לומר אבוה דעביד ליה:</w:t>
      </w:r>
    </w:p>
  </w:footnote>
  <w:footnote w:id="506">
    <w:p w:rsidR="00A13282" w:rsidRDefault="00A13282" w:rsidP="00D45634">
      <w:pPr>
        <w:pStyle w:val="a5"/>
      </w:pPr>
      <w:r>
        <w:rPr>
          <w:rStyle w:val="a7"/>
        </w:rPr>
        <w:footnoteRef/>
      </w:r>
      <w:r>
        <w:t xml:space="preserve"> </w:t>
      </w:r>
      <w:r>
        <w:rPr>
          <w:rFonts w:ascii="Arial"/>
          <w:b/>
          <w:bCs/>
          <w:sz w:val="38"/>
          <w:rtl/>
        </w:rPr>
        <w:t>ואתמר ושם בסתר כו'.</w:t>
      </w:r>
      <w:r>
        <w:rPr>
          <w:rFonts w:ascii="Arial"/>
          <w:sz w:val="38"/>
          <w:rtl/>
        </w:rPr>
        <w:t xml:space="preserve"> רוצה לומר ברית קודש דהוא בסתרו של עולם דהוא בסתירו:</w:t>
      </w:r>
    </w:p>
  </w:footnote>
  <w:footnote w:id="507">
    <w:p w:rsidR="00A13282" w:rsidRDefault="00A13282" w:rsidP="00D45634">
      <w:pPr>
        <w:pStyle w:val="a5"/>
      </w:pPr>
      <w:r>
        <w:rPr>
          <w:rStyle w:val="a7"/>
        </w:rPr>
        <w:footnoteRef/>
      </w:r>
      <w:r>
        <w:t xml:space="preserve"> </w:t>
      </w:r>
      <w:r>
        <w:rPr>
          <w:rFonts w:ascii="Arial"/>
          <w:b/>
          <w:bCs/>
          <w:sz w:val="38"/>
          <w:rtl/>
        </w:rPr>
        <w:t>דההוא בר כו'.</w:t>
      </w:r>
      <w:r>
        <w:rPr>
          <w:rFonts w:ascii="Arial"/>
          <w:sz w:val="38"/>
          <w:rtl/>
        </w:rPr>
        <w:t xml:space="preserve"> רוצה לומר דלכך כתיב ארור אשר יעשה כו' דהוא מסטרא דארור:</w:t>
      </w:r>
    </w:p>
  </w:footnote>
  <w:footnote w:id="508">
    <w:p w:rsidR="00A13282" w:rsidRDefault="00A13282" w:rsidP="00D45634">
      <w:pPr>
        <w:pStyle w:val="a5"/>
      </w:pPr>
      <w:r>
        <w:rPr>
          <w:rStyle w:val="a7"/>
        </w:rPr>
        <w:footnoteRef/>
      </w:r>
      <w:r>
        <w:t xml:space="preserve"> </w:t>
      </w:r>
      <w:r>
        <w:rPr>
          <w:rFonts w:ascii="Arial"/>
          <w:b/>
          <w:bCs/>
          <w:sz w:val="38"/>
          <w:rtl/>
        </w:rPr>
        <w:t>דגרם מות כו'.</w:t>
      </w:r>
      <w:r>
        <w:rPr>
          <w:rFonts w:ascii="Arial"/>
          <w:sz w:val="38"/>
          <w:rtl/>
        </w:rPr>
        <w:t xml:space="preserve"> רוצה לומר דגרם לאדם ולאשתו, זו"ן ולפיכך נקרא פסל ומסכה לפיכך אסור ביה דם דברית ומנא עם עפרא, להתגלות מאורי הנ"ל:</w:t>
      </w:r>
    </w:p>
  </w:footnote>
  <w:footnote w:id="509">
    <w:p w:rsidR="00A13282" w:rsidRDefault="00A13282" w:rsidP="00D45634">
      <w:pPr>
        <w:pStyle w:val="a5"/>
      </w:pPr>
      <w:r>
        <w:rPr>
          <w:rStyle w:val="a7"/>
        </w:rPr>
        <w:footnoteRef/>
      </w:r>
      <w:r>
        <w:t xml:space="preserve"> </w:t>
      </w:r>
      <w:r>
        <w:rPr>
          <w:rFonts w:ascii="Arial"/>
          <w:b/>
          <w:bCs/>
          <w:sz w:val="38"/>
          <w:rtl/>
        </w:rPr>
        <w:t>דאתמר בה עץ כו'.</w:t>
      </w:r>
      <w:r>
        <w:rPr>
          <w:rFonts w:ascii="Arial"/>
          <w:sz w:val="38"/>
          <w:rtl/>
        </w:rPr>
        <w:t xml:space="preserve"> רוצה לומר דומיא דאילן שלש שנים כנ"ל ג' קליפין, דחטה עץ היא כמו שאמרו (סנהדרין ע ע"ב) חטה היה, וצריך לזרוק ממנה מוץ ומורסן וסובין לבד התבן שהוא דומיא דעץ האילן וזה שאומר דקליפה וקנה ועצו ועלין כו':</w:t>
      </w:r>
    </w:p>
  </w:footnote>
  <w:footnote w:id="510">
    <w:p w:rsidR="00A13282" w:rsidRDefault="00A13282" w:rsidP="00D45634">
      <w:pPr>
        <w:pStyle w:val="a5"/>
      </w:pPr>
      <w:r>
        <w:rPr>
          <w:rStyle w:val="a7"/>
        </w:rPr>
        <w:footnoteRef/>
      </w:r>
      <w:r>
        <w:t xml:space="preserve"> </w:t>
      </w:r>
      <w:r>
        <w:rPr>
          <w:rFonts w:ascii="Arial"/>
          <w:b/>
          <w:bCs/>
          <w:sz w:val="38"/>
          <w:rtl/>
        </w:rPr>
        <w:t>ובגין דא לאו כו'.</w:t>
      </w:r>
      <w:r>
        <w:rPr>
          <w:rFonts w:ascii="Arial"/>
          <w:sz w:val="38"/>
          <w:rtl/>
        </w:rPr>
        <w:t xml:space="preserve"> וכן אצל הברית לאו כולן שוין שיש חילוקים כמו שאומר בזוהר:</w:t>
      </w:r>
    </w:p>
  </w:footnote>
  <w:footnote w:id="511">
    <w:p w:rsidR="00A13282" w:rsidRDefault="00A13282" w:rsidP="00D45634">
      <w:pPr>
        <w:pStyle w:val="a5"/>
      </w:pPr>
      <w:r>
        <w:rPr>
          <w:rStyle w:val="a7"/>
        </w:rPr>
        <w:footnoteRef/>
      </w:r>
      <w:r>
        <w:t xml:space="preserve"> </w:t>
      </w:r>
      <w:r>
        <w:rPr>
          <w:rFonts w:ascii="Arial"/>
          <w:b/>
          <w:bCs/>
          <w:sz w:val="38"/>
          <w:rtl/>
        </w:rPr>
        <w:t>ראשית לנבראים.</w:t>
      </w:r>
      <w:r>
        <w:rPr>
          <w:rFonts w:ascii="Arial"/>
          <w:sz w:val="38"/>
          <w:rtl/>
        </w:rPr>
        <w:t xml:space="preserve"> שממנה נברא הכל והיא ראש לשועלים כידוע, ראש הבריאה:</w:t>
      </w:r>
    </w:p>
  </w:footnote>
  <w:footnote w:id="512">
    <w:p w:rsidR="00A13282" w:rsidRDefault="00A13282" w:rsidP="00D45634">
      <w:pPr>
        <w:pStyle w:val="a5"/>
      </w:pPr>
      <w:r>
        <w:rPr>
          <w:rStyle w:val="a7"/>
        </w:rPr>
        <w:footnoteRef/>
      </w:r>
      <w:r>
        <w:t xml:space="preserve"> </w:t>
      </w:r>
      <w:r>
        <w:rPr>
          <w:rFonts w:ascii="Arial"/>
          <w:b/>
          <w:bCs/>
          <w:sz w:val="38"/>
          <w:rtl/>
        </w:rPr>
        <w:t>מגיד מראשית אחרית.</w:t>
      </w:r>
      <w:r>
        <w:rPr>
          <w:rFonts w:ascii="Arial"/>
          <w:sz w:val="38"/>
          <w:rtl/>
        </w:rPr>
        <w:t xml:space="preserve"> רוצה לומר שה' מליל הכל על ידה כמו שאומר לקמן נגע בבת כו' והיא נקראת ראשית אחרית וזה שאומר מגיד כו':</w:t>
      </w:r>
    </w:p>
  </w:footnote>
  <w:footnote w:id="513">
    <w:p w:rsidR="00A13282" w:rsidRDefault="00A13282" w:rsidP="00D45634">
      <w:pPr>
        <w:pStyle w:val="a5"/>
      </w:pPr>
      <w:r>
        <w:rPr>
          <w:rStyle w:val="a7"/>
        </w:rPr>
        <w:footnoteRef/>
      </w:r>
      <w:r>
        <w:t xml:space="preserve"> </w:t>
      </w:r>
      <w:r>
        <w:rPr>
          <w:rFonts w:ascii="Arial"/>
          <w:b/>
          <w:bCs/>
          <w:sz w:val="38"/>
          <w:rtl/>
        </w:rPr>
        <w:t>כד כו'.</w:t>
      </w:r>
      <w:r>
        <w:rPr>
          <w:rFonts w:ascii="Arial"/>
          <w:sz w:val="38"/>
          <w:rtl/>
        </w:rPr>
        <w:t xml:space="preserve"> מפרש כאן למה נקראת ראשית ואחרית (ואורייתא):</w:t>
      </w:r>
    </w:p>
  </w:footnote>
  <w:footnote w:id="514">
    <w:p w:rsidR="00A13282" w:rsidRDefault="00A13282" w:rsidP="00D45634">
      <w:pPr>
        <w:pStyle w:val="a5"/>
      </w:pPr>
      <w:r>
        <w:rPr>
          <w:rStyle w:val="a7"/>
        </w:rPr>
        <w:footnoteRef/>
      </w:r>
      <w:r>
        <w:t xml:space="preserve"> </w:t>
      </w:r>
      <w:r>
        <w:rPr>
          <w:rFonts w:ascii="Arial"/>
          <w:b/>
          <w:bCs/>
          <w:sz w:val="38"/>
          <w:rtl/>
        </w:rPr>
        <w:t>עטרת כו' עטרה בראש כו'.</w:t>
      </w:r>
      <w:r>
        <w:rPr>
          <w:rFonts w:ascii="Arial"/>
          <w:sz w:val="38"/>
          <w:rtl/>
        </w:rPr>
        <w:t xml:space="preserve"> רוצה לומר באלו הג' שמות נקראת, שהיא עטרת בעלה. וכן בראש צדיק, יסוד. ולכך היא תגא דספר תורה, עטרת בעלה:</w:t>
      </w:r>
    </w:p>
  </w:footnote>
  <w:footnote w:id="515">
    <w:p w:rsidR="00A13282" w:rsidRDefault="00A13282" w:rsidP="00D45634">
      <w:pPr>
        <w:pStyle w:val="a5"/>
      </w:pPr>
      <w:r>
        <w:rPr>
          <w:rStyle w:val="a7"/>
        </w:rPr>
        <w:footnoteRef/>
      </w:r>
      <w:r>
        <w:t xml:space="preserve"> </w:t>
      </w:r>
      <w:r>
        <w:rPr>
          <w:rFonts w:ascii="Arial"/>
          <w:b/>
          <w:bCs/>
          <w:sz w:val="38"/>
          <w:rtl/>
        </w:rPr>
        <w:t>ותמן גבורים.</w:t>
      </w:r>
      <w:r>
        <w:rPr>
          <w:rFonts w:ascii="Arial"/>
          <w:sz w:val="38"/>
          <w:rtl/>
        </w:rPr>
        <w:t xml:space="preserve"> רוצה לומר בתורה שבעל פה שעומדים בפרץ, בפרצה של הלכה דאיהי קושיא, קליפה דחפיא עלה וזהו מלחמתה של תורה:</w:t>
      </w:r>
    </w:p>
  </w:footnote>
  <w:footnote w:id="516">
    <w:p w:rsidR="00A13282" w:rsidRDefault="00A13282" w:rsidP="00D45634">
      <w:pPr>
        <w:pStyle w:val="a5"/>
      </w:pPr>
      <w:r>
        <w:rPr>
          <w:rStyle w:val="a7"/>
        </w:rPr>
        <w:footnoteRef/>
      </w:r>
      <w:r>
        <w:t xml:space="preserve"> </w:t>
      </w:r>
      <w:r>
        <w:rPr>
          <w:rFonts w:ascii="Arial"/>
          <w:b/>
          <w:bCs/>
          <w:sz w:val="38"/>
          <w:rtl/>
        </w:rPr>
        <w:t>ע"י משה.</w:t>
      </w:r>
      <w:r>
        <w:rPr>
          <w:rFonts w:ascii="Arial"/>
          <w:sz w:val="38"/>
          <w:rtl/>
        </w:rPr>
        <w:t xml:space="preserve"> שהוא דרגא שלו:</w:t>
      </w:r>
    </w:p>
  </w:footnote>
  <w:footnote w:id="517">
    <w:p w:rsidR="00A13282" w:rsidRDefault="00A13282" w:rsidP="00D45634">
      <w:pPr>
        <w:pStyle w:val="a5"/>
      </w:pPr>
      <w:r>
        <w:rPr>
          <w:rStyle w:val="a7"/>
        </w:rPr>
        <w:footnoteRef/>
      </w:r>
      <w:r>
        <w:t xml:space="preserve"> </w:t>
      </w:r>
      <w:r>
        <w:rPr>
          <w:rFonts w:ascii="Arial"/>
          <w:b/>
          <w:bCs/>
          <w:sz w:val="38"/>
          <w:rtl/>
        </w:rPr>
        <w:t>ומסטרא דעמודא דאמציעא כו'.</w:t>
      </w:r>
      <w:r>
        <w:rPr>
          <w:rFonts w:ascii="Arial"/>
          <w:sz w:val="38"/>
          <w:rtl/>
        </w:rPr>
        <w:t xml:space="preserve"> נותן טעם למה נקראו נביאי קשוט:</w:t>
      </w:r>
    </w:p>
  </w:footnote>
  <w:footnote w:id="518">
    <w:p w:rsidR="00A13282" w:rsidRDefault="00A13282" w:rsidP="00D45634">
      <w:pPr>
        <w:pStyle w:val="a5"/>
      </w:pPr>
      <w:r>
        <w:rPr>
          <w:rStyle w:val="a7"/>
        </w:rPr>
        <w:footnoteRef/>
      </w:r>
      <w:r>
        <w:t xml:space="preserve"> </w:t>
      </w:r>
      <w:r>
        <w:rPr>
          <w:rFonts w:ascii="Arial"/>
          <w:b/>
          <w:bCs/>
          <w:sz w:val="38"/>
          <w:rtl/>
        </w:rPr>
        <w:t>ושכינתא תורת אמת.</w:t>
      </w:r>
      <w:r>
        <w:rPr>
          <w:rFonts w:ascii="Arial"/>
          <w:sz w:val="38"/>
          <w:rtl/>
        </w:rPr>
        <w:t xml:space="preserve"> חוזר לענינו הראשון דמסטרא דעמודא דאמצעיתא איתקריאת תורת אמת:</w:t>
      </w:r>
    </w:p>
  </w:footnote>
  <w:footnote w:id="519">
    <w:p w:rsidR="00A13282" w:rsidRDefault="00A13282" w:rsidP="00D45634">
      <w:pPr>
        <w:pStyle w:val="a5"/>
      </w:pPr>
      <w:r>
        <w:rPr>
          <w:rStyle w:val="a7"/>
        </w:rPr>
        <w:footnoteRef/>
      </w:r>
      <w:r>
        <w:t xml:space="preserve"> </w:t>
      </w:r>
      <w:r>
        <w:rPr>
          <w:rFonts w:ascii="Arial"/>
          <w:b/>
          <w:bCs/>
          <w:sz w:val="38"/>
          <w:rtl/>
        </w:rPr>
        <w:t>ואתקרי' מראה כו'.</w:t>
      </w:r>
      <w:r>
        <w:rPr>
          <w:rFonts w:ascii="Arial"/>
          <w:sz w:val="38"/>
          <w:rtl/>
        </w:rPr>
        <w:t xml:space="preserve"> נבואה מסטרא דנצח ורוח הקודש מסטרא דהוד כידוע:</w:t>
      </w:r>
    </w:p>
  </w:footnote>
  <w:footnote w:id="520">
    <w:p w:rsidR="00A13282" w:rsidRDefault="00A13282" w:rsidP="00D45634">
      <w:pPr>
        <w:pStyle w:val="a5"/>
      </w:pPr>
      <w:r>
        <w:rPr>
          <w:rStyle w:val="a7"/>
        </w:rPr>
        <w:footnoteRef/>
      </w:r>
      <w:r>
        <w:t xml:space="preserve"> </w:t>
      </w:r>
      <w:r>
        <w:rPr>
          <w:rFonts w:ascii="Arial"/>
          <w:b/>
          <w:bCs/>
          <w:sz w:val="38"/>
          <w:rtl/>
        </w:rPr>
        <w:t>וביום הז' נתנה.</w:t>
      </w:r>
      <w:r>
        <w:rPr>
          <w:rFonts w:ascii="Arial"/>
          <w:sz w:val="38"/>
          <w:rtl/>
        </w:rPr>
        <w:t xml:space="preserve"> חוזר למה שאמר תחלה וביומא תליתאה כו', האיך דנחתא מדרגא לדרגא ומלילת עם ישראל, שקיבלה שתי תורות - מחו"ג, וירדה על ידי משה - דרגא דת"ת, לשני לוחות - נ"ה, וניתנה ביום השביעי - יסוד:</w:t>
      </w:r>
    </w:p>
  </w:footnote>
  <w:footnote w:id="521">
    <w:p w:rsidR="00A13282" w:rsidRDefault="00A13282" w:rsidP="00D45634">
      <w:pPr>
        <w:pStyle w:val="a5"/>
      </w:pPr>
      <w:r>
        <w:rPr>
          <w:rStyle w:val="a7"/>
        </w:rPr>
        <w:footnoteRef/>
      </w:r>
      <w:r>
        <w:t xml:space="preserve"> </w:t>
      </w:r>
      <w:r>
        <w:rPr>
          <w:rFonts w:ascii="Arial"/>
          <w:b/>
          <w:bCs/>
          <w:sz w:val="38"/>
          <w:rtl/>
        </w:rPr>
        <w:t>ובדרגא דילי' כו'.</w:t>
      </w:r>
      <w:r>
        <w:rPr>
          <w:rFonts w:ascii="Arial"/>
          <w:sz w:val="38"/>
          <w:rtl/>
        </w:rPr>
        <w:t xml:space="preserve"> חוזר לענינו הראשון, דמסטרא דצדיק מליל עם ישראל דאינהו צדיקים:</w:t>
      </w:r>
    </w:p>
  </w:footnote>
  <w:footnote w:id="522">
    <w:p w:rsidR="00A13282" w:rsidRDefault="00A13282" w:rsidP="00D45634">
      <w:pPr>
        <w:pStyle w:val="a5"/>
      </w:pPr>
      <w:r>
        <w:rPr>
          <w:rStyle w:val="a7"/>
        </w:rPr>
        <w:footnoteRef/>
      </w:r>
      <w:r>
        <w:t xml:space="preserve"> </w:t>
      </w:r>
      <w:r>
        <w:rPr>
          <w:rFonts w:ascii="Arial"/>
          <w:b/>
          <w:bCs/>
          <w:sz w:val="38"/>
          <w:rtl/>
        </w:rPr>
        <w:t>והא אוקמוהו לי' כו'.</w:t>
      </w:r>
      <w:r>
        <w:rPr>
          <w:rFonts w:ascii="Arial"/>
          <w:sz w:val="38"/>
          <w:rtl/>
        </w:rPr>
        <w:t xml:space="preserve"> הוא בספר הבהיר (מ"ט ס"ג) ועיין שם:</w:t>
      </w:r>
    </w:p>
  </w:footnote>
  <w:footnote w:id="523">
    <w:p w:rsidR="00A13282" w:rsidRDefault="00A13282" w:rsidP="00D45634">
      <w:pPr>
        <w:pStyle w:val="a5"/>
      </w:pPr>
      <w:r>
        <w:rPr>
          <w:rStyle w:val="a7"/>
        </w:rPr>
        <w:footnoteRef/>
      </w:r>
      <w:r>
        <w:t xml:space="preserve"> </w:t>
      </w:r>
      <w:r>
        <w:rPr>
          <w:rFonts w:ascii="Arial"/>
          <w:b/>
          <w:bCs/>
          <w:sz w:val="38"/>
          <w:rtl/>
        </w:rPr>
        <w:t>לי' מלכין כו'.</w:t>
      </w:r>
      <w:r>
        <w:rPr>
          <w:rFonts w:ascii="Arial"/>
          <w:sz w:val="38"/>
          <w:rtl/>
        </w:rPr>
        <w:t xml:space="preserve"> רוצה לומר שהעשר ספירות, שאי אפשר שידבר על ידי כולם, כליל במלכות כולם ודבר על ידה:</w:t>
      </w:r>
    </w:p>
  </w:footnote>
  <w:footnote w:id="524">
    <w:p w:rsidR="00A13282" w:rsidRDefault="00A13282" w:rsidP="00D45634">
      <w:pPr>
        <w:pStyle w:val="a5"/>
      </w:pPr>
      <w:r>
        <w:rPr>
          <w:rStyle w:val="a7"/>
        </w:rPr>
        <w:footnoteRef/>
      </w:r>
      <w:r>
        <w:t xml:space="preserve"> </w:t>
      </w:r>
      <w:r>
        <w:rPr>
          <w:rFonts w:ascii="Arial"/>
          <w:b/>
          <w:bCs/>
          <w:sz w:val="38"/>
          <w:rtl/>
        </w:rPr>
        <w:t>ודא י' בת.</w:t>
      </w:r>
      <w:r>
        <w:rPr>
          <w:rFonts w:ascii="Arial"/>
          <w:sz w:val="38"/>
          <w:rtl/>
        </w:rPr>
        <w:t xml:space="preserve"> הוא פירוש על מה שאמר בבת יו"ד כלילין בה:</w:t>
      </w:r>
    </w:p>
  </w:footnote>
  <w:footnote w:id="525">
    <w:p w:rsidR="00A13282" w:rsidRDefault="00A13282" w:rsidP="00D45634">
      <w:pPr>
        <w:pStyle w:val="a5"/>
      </w:pPr>
      <w:r>
        <w:rPr>
          <w:rStyle w:val="a7"/>
        </w:rPr>
        <w:footnoteRef/>
      </w:r>
      <w:r>
        <w:t xml:space="preserve"> </w:t>
      </w:r>
      <w:r>
        <w:rPr>
          <w:rFonts w:ascii="Arial"/>
          <w:b/>
          <w:bCs/>
          <w:sz w:val="38"/>
          <w:rtl/>
        </w:rPr>
        <w:t>תחות ה' מן כו'.</w:t>
      </w:r>
      <w:r>
        <w:rPr>
          <w:rFonts w:ascii="Arial"/>
          <w:sz w:val="38"/>
          <w:rtl/>
        </w:rPr>
        <w:t xml:space="preserve"> כמו שמפרש והולך י' שאחר ה' הוא נוקבא:</w:t>
      </w:r>
    </w:p>
  </w:footnote>
  <w:footnote w:id="526">
    <w:p w:rsidR="00A13282" w:rsidRDefault="00A13282" w:rsidP="00D45634">
      <w:pPr>
        <w:pStyle w:val="a5"/>
      </w:pPr>
      <w:r>
        <w:rPr>
          <w:rStyle w:val="a7"/>
        </w:rPr>
        <w:footnoteRef/>
      </w:r>
      <w:r>
        <w:t xml:space="preserve"> </w:t>
      </w:r>
      <w:r>
        <w:rPr>
          <w:rFonts w:ascii="Arial"/>
          <w:b/>
          <w:bCs/>
          <w:sz w:val="38"/>
          <w:rtl/>
        </w:rPr>
        <w:t>כגון הוה"י כו' בכל שם כו' נוקבא.</w:t>
      </w:r>
      <w:r>
        <w:rPr>
          <w:rFonts w:ascii="Arial"/>
          <w:sz w:val="38"/>
          <w:rtl/>
        </w:rPr>
        <w:t xml:space="preserve"> הוא פירוש על מה שאמר בתחלה כלילא מכל הויין כו':</w:t>
      </w:r>
    </w:p>
  </w:footnote>
  <w:footnote w:id="527">
    <w:p w:rsidR="00A13282" w:rsidRDefault="00A13282" w:rsidP="00D45634">
      <w:pPr>
        <w:pStyle w:val="a5"/>
      </w:pPr>
      <w:r>
        <w:rPr>
          <w:rStyle w:val="a7"/>
        </w:rPr>
        <w:footnoteRef/>
      </w:r>
      <w:r>
        <w:t xml:space="preserve"> </w:t>
      </w:r>
      <w:r>
        <w:rPr>
          <w:rFonts w:ascii="Arial"/>
          <w:b/>
          <w:bCs/>
          <w:sz w:val="38"/>
          <w:rtl/>
        </w:rPr>
        <w:t>ובגין כו' וראית את אחורי.</w:t>
      </w:r>
      <w:r>
        <w:rPr>
          <w:rFonts w:ascii="Arial"/>
          <w:sz w:val="38"/>
          <w:rtl/>
        </w:rPr>
        <w:t xml:space="preserve"> רוצה לומר שלא תשיג את התורה ונבואה אלא ממנה שהיא אחורי וזה שאומר דלית נביא וחכם כו':</w:t>
      </w:r>
    </w:p>
  </w:footnote>
  <w:footnote w:id="528">
    <w:p w:rsidR="00A13282" w:rsidRDefault="00A13282" w:rsidP="00D45634">
      <w:pPr>
        <w:pStyle w:val="a5"/>
      </w:pPr>
      <w:r>
        <w:rPr>
          <w:rStyle w:val="a7"/>
        </w:rPr>
        <w:footnoteRef/>
      </w:r>
      <w:r>
        <w:t xml:space="preserve"> </w:t>
      </w:r>
      <w:r>
        <w:rPr>
          <w:rFonts w:ascii="Arial"/>
          <w:b/>
          <w:bCs/>
          <w:sz w:val="38"/>
          <w:rtl/>
        </w:rPr>
        <w:t>ובגין דא כו'.</w:t>
      </w:r>
      <w:r>
        <w:rPr>
          <w:rFonts w:ascii="Arial"/>
          <w:sz w:val="38"/>
          <w:rtl/>
        </w:rPr>
        <w:t xml:space="preserve"> כמו שאמר לעיל דרגא חמישאה ביראת ה' כו':</w:t>
      </w:r>
    </w:p>
  </w:footnote>
  <w:footnote w:id="529">
    <w:p w:rsidR="00A13282" w:rsidRDefault="00A13282" w:rsidP="00D45634">
      <w:pPr>
        <w:pStyle w:val="a5"/>
      </w:pPr>
      <w:r>
        <w:rPr>
          <w:rStyle w:val="a7"/>
        </w:rPr>
        <w:footnoteRef/>
      </w:r>
      <w:r>
        <w:t xml:space="preserve"> </w:t>
      </w:r>
      <w:r>
        <w:rPr>
          <w:rFonts w:ascii="Arial"/>
          <w:b/>
          <w:bCs/>
          <w:sz w:val="38"/>
          <w:rtl/>
        </w:rPr>
        <w:t>לנביא וחכם וחוזה.</w:t>
      </w:r>
      <w:r>
        <w:rPr>
          <w:rFonts w:ascii="Arial"/>
          <w:sz w:val="38"/>
          <w:rtl/>
        </w:rPr>
        <w:t xml:space="preserve"> ג' מדרגות מג' אבהן חג"ת אלא בה וזה שאומר חכם בחכמתו כו':</w:t>
      </w:r>
    </w:p>
  </w:footnote>
  <w:footnote w:id="530">
    <w:p w:rsidR="00A13282" w:rsidRDefault="00A13282" w:rsidP="00D45634">
      <w:pPr>
        <w:pStyle w:val="a5"/>
      </w:pPr>
      <w:r>
        <w:rPr>
          <w:rStyle w:val="a7"/>
        </w:rPr>
        <w:footnoteRef/>
      </w:r>
      <w:r>
        <w:t xml:space="preserve"> </w:t>
      </w:r>
      <w:r>
        <w:rPr>
          <w:rFonts w:ascii="Arial"/>
          <w:b/>
          <w:bCs/>
          <w:sz w:val="38"/>
          <w:rtl/>
        </w:rPr>
        <w:t>ויהיב לון קבלה מינה.</w:t>
      </w:r>
      <w:r>
        <w:rPr>
          <w:rFonts w:ascii="Arial"/>
          <w:sz w:val="38"/>
          <w:rtl/>
        </w:rPr>
        <w:t xml:space="preserve"> רוצה לומר דמסר לון מפתחות שלה:</w:t>
      </w:r>
    </w:p>
  </w:footnote>
  <w:footnote w:id="531">
    <w:p w:rsidR="00A13282" w:rsidRDefault="00A13282" w:rsidP="00D45634">
      <w:pPr>
        <w:pStyle w:val="a5"/>
        <w:rPr>
          <w:rtl/>
        </w:rPr>
      </w:pPr>
      <w:r>
        <w:rPr>
          <w:rStyle w:val="a7"/>
          <w:rtl/>
        </w:rPr>
        <w:footnoteRef/>
      </w:r>
      <w:r>
        <w:rPr>
          <w:rtl/>
        </w:rPr>
        <w:t xml:space="preserve"> </w:t>
      </w:r>
      <w:r>
        <w:rPr>
          <w:b/>
          <w:bCs/>
          <w:snapToGrid w:val="0"/>
          <w:rtl/>
        </w:rPr>
        <w:t>*בזאת כו'.</w:t>
      </w:r>
      <w:r>
        <w:rPr>
          <w:snapToGrid w:val="0"/>
          <w:rtl/>
        </w:rPr>
        <w:t xml:space="preserve"> (הובא מלקמן תיקון יט, דף לט ע"א) עד וכ"ח אתוון (שם דף לט ע"ב), והיא מהשמטות בתיקוני זוהר חדש פ"ג ע"ב והואיל דמסיים חכמה מסטרא דחכימיא טעו המגיהים (ושמו את זה שם בדף לט):</w:t>
      </w:r>
    </w:p>
  </w:footnote>
  <w:footnote w:id="532">
    <w:p w:rsidR="00A13282" w:rsidRDefault="00A13282" w:rsidP="00D45634">
      <w:pPr>
        <w:pStyle w:val="a5"/>
        <w:rPr>
          <w:rtl/>
        </w:rPr>
      </w:pPr>
      <w:r>
        <w:rPr>
          <w:rStyle w:val="a7"/>
          <w:rtl/>
        </w:rPr>
        <w:footnoteRef/>
      </w:r>
      <w:r>
        <w:rPr>
          <w:rtl/>
        </w:rPr>
        <w:t xml:space="preserve"> </w:t>
      </w:r>
      <w:r>
        <w:rPr>
          <w:b/>
          <w:bCs/>
          <w:snapToGrid w:val="0"/>
          <w:rtl/>
        </w:rPr>
        <w:t>ת"ח אין אדם כו'.</w:t>
      </w:r>
      <w:r>
        <w:rPr>
          <w:snapToGrid w:val="0"/>
          <w:rtl/>
        </w:rPr>
        <w:t xml:space="preserve"> כמו שאומר שם בתיקון ו' ובגין דא מאן דבעי לאשגא כו', וכן בדף י"ד ע"א ומאן למחזי כו', ושם ע"ב ולית ידיעה כלל במלכא כו' ושאר מקומות הרבה:</w:t>
      </w:r>
    </w:p>
  </w:footnote>
  <w:footnote w:id="533">
    <w:p w:rsidR="00A13282" w:rsidRDefault="00A13282" w:rsidP="00D45634">
      <w:pPr>
        <w:pStyle w:val="a5"/>
        <w:rPr>
          <w:rtl/>
        </w:rPr>
      </w:pPr>
      <w:r>
        <w:rPr>
          <w:rStyle w:val="a7"/>
          <w:rtl/>
        </w:rPr>
        <w:footnoteRef/>
      </w:r>
      <w:r>
        <w:rPr>
          <w:rtl/>
        </w:rPr>
        <w:t xml:space="preserve"> </w:t>
      </w:r>
      <w:r>
        <w:rPr>
          <w:b/>
          <w:bCs/>
          <w:snapToGrid w:val="0"/>
          <w:rtl/>
        </w:rPr>
        <w:t>דעלה אתמר מצא כו'.</w:t>
      </w:r>
      <w:r>
        <w:rPr>
          <w:snapToGrid w:val="0"/>
          <w:rtl/>
        </w:rPr>
        <w:t xml:space="preserve"> דאיהי אשה יראת ה' היא תתהלל ואתמר בה זאת הפעם כו' לזאת יקרא אשה כו':</w:t>
      </w:r>
    </w:p>
  </w:footnote>
  <w:footnote w:id="534">
    <w:p w:rsidR="00A13282" w:rsidRDefault="00A13282" w:rsidP="00D45634">
      <w:pPr>
        <w:pStyle w:val="a5"/>
        <w:rPr>
          <w:rtl/>
        </w:rPr>
      </w:pPr>
      <w:r>
        <w:rPr>
          <w:rStyle w:val="a7"/>
          <w:rtl/>
        </w:rPr>
        <w:footnoteRef/>
      </w:r>
      <w:r>
        <w:rPr>
          <w:rtl/>
        </w:rPr>
        <w:t xml:space="preserve"> </w:t>
      </w:r>
      <w:r>
        <w:rPr>
          <w:b/>
          <w:bCs/>
          <w:snapToGrid w:val="0"/>
          <w:rtl/>
        </w:rPr>
        <w:t>ודא היא עת כו'.</w:t>
      </w:r>
      <w:r>
        <w:rPr>
          <w:snapToGrid w:val="0"/>
          <w:rtl/>
        </w:rPr>
        <w:t xml:space="preserve"> רוצה לומר דכתיב בה (תהלים לב ו) על זאת יתפלל כו' לעת מצוא ואמרו (ברכות ח ע"א) לעת מצוא זו אשה שנאמר מצא אשה כו' ויפק רצון כו' כמו שאומר למטה ורוצה לומר והיא נקראת עת רצון, ואני תפלתי כו' (תהלים סט יד):</w:t>
      </w:r>
    </w:p>
  </w:footnote>
  <w:footnote w:id="535">
    <w:p w:rsidR="00A13282" w:rsidRDefault="00A13282" w:rsidP="00D45634">
      <w:pPr>
        <w:pStyle w:val="a5"/>
        <w:rPr>
          <w:rtl/>
        </w:rPr>
      </w:pPr>
      <w:r>
        <w:rPr>
          <w:rStyle w:val="a7"/>
          <w:rtl/>
        </w:rPr>
        <w:footnoteRef/>
      </w:r>
      <w:r>
        <w:rPr>
          <w:rtl/>
        </w:rPr>
        <w:t xml:space="preserve"> </w:t>
      </w:r>
      <w:r>
        <w:rPr>
          <w:b/>
          <w:bCs/>
          <w:snapToGrid w:val="0"/>
          <w:rtl/>
        </w:rPr>
        <w:t>ודא היא עת כו'.</w:t>
      </w:r>
      <w:r>
        <w:rPr>
          <w:snapToGrid w:val="0"/>
          <w:rtl/>
        </w:rPr>
        <w:t xml:space="preserve"> שהיא עתו כמו שאומר בזוהר פרשת אחרי מות, דף נ"ח ע”א לתת אכלם בעתו מאן עתו דא עתו דצדיק דא מטרוניתא כו':</w:t>
      </w:r>
    </w:p>
  </w:footnote>
  <w:footnote w:id="536">
    <w:p w:rsidR="00A13282" w:rsidRDefault="00A13282" w:rsidP="00D45634">
      <w:pPr>
        <w:pStyle w:val="a5"/>
        <w:rPr>
          <w:rtl/>
        </w:rPr>
      </w:pPr>
      <w:r>
        <w:rPr>
          <w:rStyle w:val="a7"/>
          <w:rtl/>
        </w:rPr>
        <w:footnoteRef/>
      </w:r>
      <w:r>
        <w:rPr>
          <w:rtl/>
        </w:rPr>
        <w:t xml:space="preserve"> </w:t>
      </w:r>
      <w:r>
        <w:rPr>
          <w:b/>
          <w:bCs/>
          <w:snapToGrid w:val="0"/>
          <w:rtl/>
        </w:rPr>
        <w:t>וכמה עתות כו'.</w:t>
      </w:r>
      <w:r>
        <w:rPr>
          <w:snapToGrid w:val="0"/>
          <w:rtl/>
        </w:rPr>
        <w:t xml:space="preserve"> כמו שאמרו שם ואל יבא בכל עת כו' אמר ר' אבא כו' ר' שמעון אומר הא אוקימנא מלה בעתו והכי הוא ודאי והכי אתא כו' בג"כ לא יטעי כו' במה ייעול בזאת, בזאת יבא אהרן אל הקודש דהאי היא עת כו' וכן בזוהר פרשת וירא קט"ז ע"ב ר"י פתח ואמר עת לעשות כו' דא כנסת ישראל דאקרי עת כמה דאת אמר ואל כו' מאי ואל יבא כו' עיין שם ובזוהר פרשת תרומה קנ"ה ע"ב ההוא טייעא דהוה טעין כו' פתח ואמר כו':</w:t>
      </w:r>
    </w:p>
  </w:footnote>
  <w:footnote w:id="537">
    <w:p w:rsidR="00A13282" w:rsidRDefault="00A13282" w:rsidP="00D45634">
      <w:pPr>
        <w:pStyle w:val="a5"/>
        <w:rPr>
          <w:rtl/>
        </w:rPr>
      </w:pPr>
      <w:r>
        <w:rPr>
          <w:rStyle w:val="a7"/>
          <w:rtl/>
        </w:rPr>
        <w:footnoteRef/>
      </w:r>
      <w:r>
        <w:rPr>
          <w:rtl/>
        </w:rPr>
        <w:t xml:space="preserve"> </w:t>
      </w:r>
      <w:r>
        <w:rPr>
          <w:b/>
          <w:bCs/>
          <w:snapToGrid w:val="0"/>
          <w:rtl/>
        </w:rPr>
        <w:t>ושלמה אמר כו'.</w:t>
      </w:r>
      <w:r>
        <w:rPr>
          <w:snapToGrid w:val="0"/>
          <w:rtl/>
        </w:rPr>
        <w:t xml:space="preserve"> עיין לקמן דף ק"ד ע”א וע"ב בארוכה:</w:t>
      </w:r>
    </w:p>
  </w:footnote>
  <w:footnote w:id="538">
    <w:p w:rsidR="00A13282" w:rsidRDefault="00A13282" w:rsidP="00D45634">
      <w:pPr>
        <w:pStyle w:val="a5"/>
        <w:rPr>
          <w:rtl/>
        </w:rPr>
      </w:pPr>
      <w:r>
        <w:rPr>
          <w:rStyle w:val="a7"/>
          <w:rtl/>
        </w:rPr>
        <w:footnoteRef/>
      </w:r>
      <w:r>
        <w:rPr>
          <w:rtl/>
        </w:rPr>
        <w:t xml:space="preserve"> </w:t>
      </w:r>
      <w:r>
        <w:rPr>
          <w:b/>
          <w:bCs/>
          <w:snapToGrid w:val="0"/>
          <w:rtl/>
        </w:rPr>
        <w:t>דאיהו קדש ישראל לה'.</w:t>
      </w:r>
      <w:r>
        <w:rPr>
          <w:snapToGrid w:val="0"/>
          <w:rtl/>
        </w:rPr>
        <w:t xml:space="preserve"> רוצה לומר שלא לחברא לה עם הקדש דאיהי ישראל דלעילא אלא בזאת יבא כו' אל הקדש:</w:t>
      </w:r>
    </w:p>
  </w:footnote>
  <w:footnote w:id="539">
    <w:p w:rsidR="00A13282" w:rsidRDefault="00A13282" w:rsidP="00D45634">
      <w:pPr>
        <w:pStyle w:val="a5"/>
        <w:rPr>
          <w:rtl/>
        </w:rPr>
      </w:pPr>
      <w:r>
        <w:rPr>
          <w:rStyle w:val="a7"/>
          <w:rtl/>
        </w:rPr>
        <w:footnoteRef/>
      </w:r>
      <w:r>
        <w:rPr>
          <w:rtl/>
        </w:rPr>
        <w:t xml:space="preserve"> </w:t>
      </w:r>
      <w:r>
        <w:rPr>
          <w:b/>
          <w:bCs/>
          <w:snapToGrid w:val="0"/>
          <w:rtl/>
        </w:rPr>
        <w:t>מאי אינון אמרין.</w:t>
      </w:r>
      <w:r>
        <w:rPr>
          <w:snapToGrid w:val="0"/>
          <w:rtl/>
        </w:rPr>
        <w:t xml:space="preserve"> רוצה לומר בני ישראל אמרין לה ונבקשנו עמך דהיא עמהם באות דתפילין כו' כמו שמפרש והולך ועיין לקמן י"ז ע"ב ונבקשנו עמך דבגינך איהו נחית עלן כו' וכמו שאומר לעיל ח' ע"ב ועוד ה' דיד כהה דאיהי יונה קדישא כו' עד דנחתין לה לגבייהו הא נחתין לה לגבייהו קשרין כו' ותפארת איהו כבוש באת יוד עם ה' תתאה ונפשו קשורה כו' ועיין בזוהר פרשת פנחס רכ"ד ע”א וע"ב:</w:t>
      </w:r>
    </w:p>
  </w:footnote>
  <w:footnote w:id="540">
    <w:p w:rsidR="004D58FB" w:rsidRPr="00BD5E91" w:rsidRDefault="004D58FB" w:rsidP="004D58FB">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למה כו'.</w:t>
      </w:r>
      <w:r w:rsidRPr="00BD5E91">
        <w:rPr>
          <w:sz w:val="22"/>
          <w:szCs w:val="22"/>
          <w:rtl/>
        </w:rPr>
        <w:t xml:space="preserve"> כיון שהכל בה:</w:t>
      </w:r>
    </w:p>
  </w:footnote>
  <w:footnote w:id="541">
    <w:p w:rsidR="004D58FB" w:rsidRPr="00BD5E91" w:rsidRDefault="004D58FB" w:rsidP="004D58FB">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מ"ש על זאת כו'.</w:t>
      </w:r>
      <w:r w:rsidRPr="00BD5E91">
        <w:rPr>
          <w:sz w:val="22"/>
          <w:szCs w:val="22"/>
          <w:rtl/>
        </w:rPr>
        <w:t xml:space="preserve"> ר"ל על זאת הספירות שעליה:</w:t>
      </w:r>
    </w:p>
  </w:footnote>
  <w:footnote w:id="542">
    <w:p w:rsidR="004D58FB" w:rsidRPr="00BD5E91" w:rsidRDefault="004D58FB" w:rsidP="004D58FB">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שיהוה בכל ספירה.</w:t>
      </w:r>
      <w:r w:rsidRPr="00BD5E91">
        <w:rPr>
          <w:sz w:val="22"/>
          <w:szCs w:val="22"/>
          <w:rtl/>
        </w:rPr>
        <w:t xml:space="preserve"> ר"ל שהוי' הוא כלול מכל ע"ס כידוע והויה בכל ספירה מורה שכל ספירה כלול מכולם לכן כשרוצה לעשות חסד כל הספירות נכללין בחסד ומלכות נכללת בחסד ומשפעת לתחתונים בחסד וכן בכולם כמש"ו:</w:t>
      </w:r>
    </w:p>
  </w:footnote>
  <w:footnote w:id="543">
    <w:p w:rsidR="004D58FB" w:rsidRPr="00BD5E91" w:rsidRDefault="004D58FB" w:rsidP="004D58FB">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כמ"ש דוד לך ה' כו'.</w:t>
      </w:r>
      <w:r w:rsidRPr="00BD5E91">
        <w:rPr>
          <w:sz w:val="22"/>
          <w:szCs w:val="22"/>
          <w:rtl/>
        </w:rPr>
        <w:t xml:space="preserve"> ראיה שהויה בכולם שנא' לך ה' כו' בכולם ה':</w:t>
      </w:r>
    </w:p>
  </w:footnote>
  <w:footnote w:id="544">
    <w:p w:rsidR="004D58FB" w:rsidRPr="00BD5E91" w:rsidRDefault="004D58FB" w:rsidP="004D58FB">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ואין צדקה כו'.</w:t>
      </w:r>
      <w:r w:rsidRPr="00BD5E91">
        <w:rPr>
          <w:sz w:val="22"/>
          <w:szCs w:val="22"/>
          <w:rtl/>
        </w:rPr>
        <w:t xml:space="preserve"> ר"ל מלכות צדק בה' נעשית צדקה:</w:t>
      </w:r>
      <w:r>
        <w:rPr>
          <w:rFonts w:hint="cs"/>
          <w:sz w:val="22"/>
          <w:szCs w:val="22"/>
          <w:rtl/>
        </w:rPr>
        <w:t xml:space="preserve"> </w:t>
      </w:r>
      <w:r w:rsidRPr="00BD5E91">
        <w:rPr>
          <w:b/>
          <w:bCs/>
          <w:sz w:val="22"/>
          <w:szCs w:val="22"/>
          <w:rtl/>
        </w:rPr>
        <w:t>ויסוד י'.</w:t>
      </w:r>
      <w:r w:rsidRPr="00BD5E91">
        <w:rPr>
          <w:sz w:val="22"/>
          <w:szCs w:val="22"/>
          <w:rtl/>
        </w:rPr>
        <w:t xml:space="preserve"> נקרא צדיק:</w:t>
      </w:r>
    </w:p>
  </w:footnote>
  <w:footnote w:id="545">
    <w:p w:rsidR="004D58FB" w:rsidRPr="00BD5E91" w:rsidRDefault="004D58FB" w:rsidP="004D58FB">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צדקה תרומם גוי.</w:t>
      </w:r>
      <w:r w:rsidRPr="00BD5E91">
        <w:rPr>
          <w:sz w:val="22"/>
          <w:szCs w:val="22"/>
          <w:rtl/>
        </w:rPr>
        <w:t xml:space="preserve"> שמלכות מרוממת את ישראל שהיא קרן ישראל:</w:t>
      </w:r>
    </w:p>
  </w:footnote>
  <w:footnote w:id="546">
    <w:p w:rsidR="004D58FB" w:rsidRPr="00BD5E91" w:rsidRDefault="004D58FB" w:rsidP="004D58FB">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ויחשבה כו'.</w:t>
      </w:r>
      <w:r w:rsidRPr="00BD5E91">
        <w:rPr>
          <w:sz w:val="22"/>
          <w:szCs w:val="22"/>
          <w:rtl/>
        </w:rPr>
        <w:t xml:space="preserve"> שבה נתברך בכל (בבא בתרא טז ע"ב) בת היתה לו לאברהם כו' ברתיה דאברהם כו':</w:t>
      </w:r>
    </w:p>
  </w:footnote>
  <w:footnote w:id="547">
    <w:p w:rsidR="004D58FB" w:rsidRPr="00BD5E91" w:rsidRDefault="004D58FB" w:rsidP="004D58FB">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ארוכה.</w:t>
      </w:r>
      <w:r w:rsidRPr="00BD5E91">
        <w:rPr>
          <w:sz w:val="22"/>
          <w:szCs w:val="22"/>
          <w:rtl/>
        </w:rPr>
        <w:t xml:space="preserve"> שוא"ו הוא עולם ארוך כמש"ל בדף הקודם:</w:t>
      </w:r>
    </w:p>
  </w:footnote>
  <w:footnote w:id="548">
    <w:p w:rsidR="004D58FB" w:rsidRPr="00BD5E91" w:rsidRDefault="004D58FB" w:rsidP="004D58FB">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ורחבה.</w:t>
      </w:r>
      <w:r w:rsidRPr="00BD5E91">
        <w:rPr>
          <w:sz w:val="22"/>
          <w:szCs w:val="22"/>
          <w:rtl/>
        </w:rPr>
        <w:t xml:space="preserve"> שהיא נקראת רחובות הנהר מרחב יה כידוע וזהו מני ים ר"ל מן ים נעשית רחבה מלכות ג"כ וכ"ז הוא במלכות, ים הוא בינה ימא דאורייתא נ' תרעין כידוע:</w:t>
      </w:r>
    </w:p>
  </w:footnote>
  <w:footnote w:id="549">
    <w:p w:rsidR="004D58FB" w:rsidRPr="00BD5E91" w:rsidRDefault="004D58FB" w:rsidP="004D58FB">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והבן כו' אמן בכל כחו.</w:t>
      </w:r>
      <w:r w:rsidRPr="00BD5E91">
        <w:rPr>
          <w:sz w:val="22"/>
          <w:szCs w:val="22"/>
          <w:rtl/>
        </w:rPr>
        <w:t xml:space="preserve"> ר"ל כפי שורש נשמתו במלכות יכלול הכל בה:</w:t>
      </w:r>
    </w:p>
  </w:footnote>
  <w:footnote w:id="550">
    <w:p w:rsidR="004D58FB" w:rsidRPr="00BD5E91" w:rsidRDefault="004D58FB" w:rsidP="004D58FB">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קודם שנברא העולם.</w:t>
      </w:r>
      <w:r w:rsidRPr="00BD5E91">
        <w:rPr>
          <w:sz w:val="22"/>
          <w:szCs w:val="22"/>
          <w:rtl/>
        </w:rPr>
        <w:t xml:space="preserve"> ר"ל העולם מתחיל מחכמה שהוא ראשית ומשם מתחיל שם הויה כידוע ושורש כל הויה בכתר דשם גנוז א"ס וזהו הוא ושמו לבד ושם כלול בא' שהוא אחד א' שבכתר וא' צורתו הויה כידוע ואח"כ מתחלק מחכמה ולמטה:</w:t>
      </w:r>
    </w:p>
  </w:footnote>
  <w:footnote w:id="551">
    <w:p w:rsidR="004D58FB" w:rsidRPr="00BD5E91" w:rsidRDefault="004D58FB" w:rsidP="004D58FB">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והיא יחוד כו'.</w:t>
      </w:r>
      <w:r w:rsidRPr="00BD5E91">
        <w:rPr>
          <w:sz w:val="22"/>
          <w:szCs w:val="22"/>
          <w:rtl/>
        </w:rPr>
        <w:t xml:space="preserve"> שבה מתייחדין כל הספירות דלא נחית עילת העילות ביה עד דאפיק ליה בת זוגיה:</w:t>
      </w:r>
    </w:p>
  </w:footnote>
  <w:footnote w:id="552">
    <w:p w:rsidR="004D58FB" w:rsidRPr="00BD5E91" w:rsidRDefault="004D58FB" w:rsidP="004D58FB">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השכל וידוע אותי.</w:t>
      </w:r>
      <w:r w:rsidRPr="00BD5E91">
        <w:rPr>
          <w:sz w:val="22"/>
          <w:szCs w:val="22"/>
          <w:rtl/>
        </w:rPr>
        <w:t xml:space="preserve"> שא"א להשיג אותו כי אם בזאת:</w:t>
      </w:r>
    </w:p>
  </w:footnote>
  <w:footnote w:id="553">
    <w:p w:rsidR="004D58FB" w:rsidRPr="00BD5E91" w:rsidRDefault="004D58FB" w:rsidP="004D58FB">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שכל הספירות כו'.</w:t>
      </w:r>
      <w:r w:rsidRPr="00BD5E91">
        <w:rPr>
          <w:sz w:val="22"/>
          <w:szCs w:val="22"/>
          <w:rtl/>
        </w:rPr>
        <w:t xml:space="preserve"> עוד שייך לכאן מ"ש בתי"ט (ל"ט ב') אחר זה וכ"ח אתוון כו' שמסיים שם וכולא בחכמה ורזא דמלה כלם בחכמה עשית. שאצילות הוא יוד של השם בחכמה דאקי"ק:</w:t>
      </w:r>
    </w:p>
  </w:footnote>
  <w:footnote w:id="554">
    <w:p w:rsidR="00A13282" w:rsidRDefault="00A13282" w:rsidP="00D45634">
      <w:pPr>
        <w:pStyle w:val="a5"/>
      </w:pPr>
      <w:r>
        <w:rPr>
          <w:rStyle w:val="a7"/>
        </w:rPr>
        <w:footnoteRef/>
      </w:r>
      <w:r>
        <w:t xml:space="preserve"> </w:t>
      </w:r>
      <w:r>
        <w:rPr>
          <w:rFonts w:ascii="Arial"/>
          <w:b/>
          <w:bCs/>
          <w:sz w:val="38"/>
          <w:rtl/>
        </w:rPr>
        <w:t>וזאת ליהודה ויאמר.</w:t>
      </w:r>
      <w:r>
        <w:rPr>
          <w:rFonts w:ascii="Arial"/>
          <w:sz w:val="38"/>
          <w:rtl/>
        </w:rPr>
        <w:t xml:space="preserve"> רוצה לומר דבריך ליה יעקב בה, דהיא דרגא דיהודה כנודע:</w:t>
      </w:r>
    </w:p>
  </w:footnote>
  <w:footnote w:id="555">
    <w:p w:rsidR="00A13282" w:rsidRDefault="00A13282" w:rsidP="00D45634">
      <w:pPr>
        <w:pStyle w:val="a5"/>
      </w:pPr>
      <w:r>
        <w:rPr>
          <w:rStyle w:val="a7"/>
        </w:rPr>
        <w:footnoteRef/>
      </w:r>
      <w:r>
        <w:t xml:space="preserve"> </w:t>
      </w:r>
      <w:r>
        <w:rPr>
          <w:rFonts w:ascii="Arial"/>
          <w:b/>
          <w:bCs/>
          <w:sz w:val="38"/>
          <w:rtl/>
        </w:rPr>
        <w:t>דאינון נהירין מגרמי'.</w:t>
      </w:r>
      <w:r>
        <w:rPr>
          <w:rFonts w:ascii="Arial"/>
          <w:sz w:val="38"/>
          <w:rtl/>
        </w:rPr>
        <w:t xml:space="preserve"> רוצה לומר מז"א דגוונין נהירין מיניה כמו שאומר לעיל:</w:t>
      </w:r>
    </w:p>
  </w:footnote>
  <w:footnote w:id="556">
    <w:p w:rsidR="00A13282" w:rsidRDefault="00A13282" w:rsidP="00D45634">
      <w:pPr>
        <w:pStyle w:val="a5"/>
      </w:pPr>
      <w:r>
        <w:rPr>
          <w:rStyle w:val="a7"/>
        </w:rPr>
        <w:footnoteRef/>
      </w:r>
      <w:r>
        <w:t xml:space="preserve"> </w:t>
      </w:r>
      <w:r>
        <w:rPr>
          <w:rFonts w:ascii="Arial"/>
          <w:b/>
          <w:bCs/>
          <w:sz w:val="38"/>
          <w:rtl/>
        </w:rPr>
        <w:t>וסגולה דילי' כו'.</w:t>
      </w:r>
      <w:r>
        <w:rPr>
          <w:rFonts w:ascii="Arial"/>
          <w:sz w:val="38"/>
          <w:rtl/>
        </w:rPr>
        <w:t xml:space="preserve"> רוצה לומר כי כל נקודות וטעמים של כל שם ושם יש להם סגולה בפני עצמה, דא לרחימו כנ"ל וכל הסגולות הכל מסטרא דילה כמו לרחימו איהי סגולה לרחימו מסטרא דחסד וכן כולם:</w:t>
      </w:r>
    </w:p>
  </w:footnote>
  <w:footnote w:id="557">
    <w:p w:rsidR="00A13282" w:rsidRDefault="00A13282" w:rsidP="00D45634">
      <w:pPr>
        <w:pStyle w:val="a5"/>
      </w:pPr>
      <w:r>
        <w:rPr>
          <w:rStyle w:val="a7"/>
        </w:rPr>
        <w:footnoteRef/>
      </w:r>
      <w:r>
        <w:t xml:space="preserve"> </w:t>
      </w:r>
      <w:r>
        <w:rPr>
          <w:rFonts w:ascii="Arial"/>
          <w:b/>
          <w:bCs/>
          <w:sz w:val="38"/>
          <w:rtl/>
        </w:rPr>
        <w:t>מסטרא דחולם איהי סגולתא.</w:t>
      </w:r>
      <w:r>
        <w:rPr>
          <w:rFonts w:ascii="Arial"/>
          <w:sz w:val="38"/>
          <w:rtl/>
        </w:rPr>
        <w:t xml:space="preserve"> רוצה לומר מסטרא דנקודת חולם היא הסגולה כמו שמפרש והולך למחול עונות ולחלום. והתחיל לפרש ענין החולם עצמו ואח"כ סגולתא דיליה:</w:t>
      </w:r>
    </w:p>
  </w:footnote>
  <w:footnote w:id="558">
    <w:p w:rsidR="00A13282" w:rsidRDefault="00A13282" w:rsidP="00D45634">
      <w:pPr>
        <w:pStyle w:val="a5"/>
      </w:pPr>
      <w:r>
        <w:rPr>
          <w:rStyle w:val="a7"/>
        </w:rPr>
        <w:footnoteRef/>
      </w:r>
      <w:r>
        <w:t xml:space="preserve"> </w:t>
      </w:r>
      <w:r>
        <w:rPr>
          <w:rFonts w:ascii="Arial"/>
          <w:b/>
          <w:bCs/>
          <w:sz w:val="38"/>
          <w:rtl/>
        </w:rPr>
        <w:t>ברזא הויה כיקוק.</w:t>
      </w:r>
      <w:r>
        <w:rPr>
          <w:rFonts w:ascii="Arial"/>
          <w:sz w:val="38"/>
          <w:rtl/>
        </w:rPr>
        <w:t xml:space="preserve"> רוצה לומר שאמר שהוא הויה אהי"ה ואמר ברזא דהויה בלבד הוא כיקו"ק שהוא עם הכולל נ"א כמו שמפרש והולך:</w:t>
      </w:r>
    </w:p>
  </w:footnote>
  <w:footnote w:id="559">
    <w:p w:rsidR="00A13282" w:rsidRDefault="00A13282" w:rsidP="00D45634">
      <w:pPr>
        <w:pStyle w:val="a5"/>
      </w:pPr>
      <w:r>
        <w:rPr>
          <w:rStyle w:val="a7"/>
        </w:rPr>
        <w:footnoteRef/>
      </w:r>
      <w:r>
        <w:t xml:space="preserve"> </w:t>
      </w:r>
      <w:r>
        <w:rPr>
          <w:rFonts w:ascii="Arial"/>
          <w:b/>
          <w:bCs/>
          <w:sz w:val="38"/>
          <w:rtl/>
        </w:rPr>
        <w:t>וסגולה דיליה כו'.</w:t>
      </w:r>
      <w:r>
        <w:rPr>
          <w:rFonts w:ascii="Arial"/>
          <w:sz w:val="38"/>
          <w:rtl/>
        </w:rPr>
        <w:t xml:space="preserve"> רוצה לומר לרפואה ולישועה:</w:t>
      </w:r>
    </w:p>
  </w:footnote>
  <w:footnote w:id="560">
    <w:p w:rsidR="00A13282" w:rsidRDefault="00A13282" w:rsidP="00D45634">
      <w:pPr>
        <w:pStyle w:val="a5"/>
      </w:pPr>
      <w:r>
        <w:rPr>
          <w:rStyle w:val="a7"/>
        </w:rPr>
        <w:footnoteRef/>
      </w:r>
      <w:r>
        <w:t xml:space="preserve"> </w:t>
      </w:r>
      <w:r>
        <w:rPr>
          <w:rFonts w:ascii="Arial"/>
          <w:b/>
          <w:bCs/>
          <w:sz w:val="38"/>
          <w:rtl/>
        </w:rPr>
        <w:t>אקי"ק כ"א כו'.</w:t>
      </w:r>
      <w:r>
        <w:rPr>
          <w:rFonts w:ascii="Arial"/>
          <w:sz w:val="38"/>
          <w:rtl/>
        </w:rPr>
        <w:t xml:space="preserve"> רוצה לומר שבו רומז כ' ואין סוף, והויה הוא תשע ספירות, והוא הסולם המוצב ארצה כו' כמו שמפרש והולך:</w:t>
      </w:r>
    </w:p>
  </w:footnote>
  <w:footnote w:id="561">
    <w:p w:rsidR="00A13282" w:rsidRDefault="00A13282" w:rsidP="00D45634">
      <w:pPr>
        <w:pStyle w:val="a5"/>
      </w:pPr>
      <w:r>
        <w:rPr>
          <w:rStyle w:val="a7"/>
        </w:rPr>
        <w:footnoteRef/>
      </w:r>
      <w:r>
        <w:t xml:space="preserve"> </w:t>
      </w:r>
      <w:r>
        <w:rPr>
          <w:rFonts w:ascii="Arial"/>
          <w:b/>
          <w:bCs/>
          <w:sz w:val="38"/>
          <w:rtl/>
        </w:rPr>
        <w:t>אין קדוש כה'.</w:t>
      </w:r>
      <w:r>
        <w:rPr>
          <w:rFonts w:ascii="Arial"/>
          <w:sz w:val="38"/>
          <w:rtl/>
        </w:rPr>
        <w:t xml:space="preserve"> רוצה לומר, אין הוא אין סוף, כ' דכה' הוא כתר, הויה הוא כל הספירות מחכמה עד מלכות, או"א וזו"ן, והכל הוא בחולם כנ"ל:</w:t>
      </w:r>
    </w:p>
  </w:footnote>
  <w:footnote w:id="562">
    <w:p w:rsidR="00A13282" w:rsidRDefault="00A13282" w:rsidP="00D45634">
      <w:pPr>
        <w:pStyle w:val="a5"/>
      </w:pPr>
      <w:r>
        <w:rPr>
          <w:rStyle w:val="a7"/>
        </w:rPr>
        <w:footnoteRef/>
      </w:r>
      <w:r>
        <w:t xml:space="preserve"> </w:t>
      </w:r>
      <w:r>
        <w:rPr>
          <w:rFonts w:ascii="Arial"/>
          <w:b/>
          <w:bCs/>
          <w:sz w:val="38"/>
          <w:rtl/>
        </w:rPr>
        <w:t>אשתאר אם כו'.</w:t>
      </w:r>
      <w:r>
        <w:rPr>
          <w:rFonts w:ascii="Arial"/>
          <w:sz w:val="38"/>
          <w:rtl/>
        </w:rPr>
        <w:t xml:space="preserve"> רוצה לומר חרק דהוא הוד דנטיל מבינה כנ"ל:</w:t>
      </w:r>
    </w:p>
  </w:footnote>
  <w:footnote w:id="563">
    <w:p w:rsidR="00A13282" w:rsidRDefault="00A13282" w:rsidP="00D45634">
      <w:pPr>
        <w:pStyle w:val="a5"/>
      </w:pPr>
      <w:r>
        <w:rPr>
          <w:rStyle w:val="a7"/>
        </w:rPr>
        <w:footnoteRef/>
      </w:r>
      <w:r>
        <w:t xml:space="preserve"> </w:t>
      </w:r>
      <w:r>
        <w:rPr>
          <w:rFonts w:ascii="Arial"/>
          <w:b/>
          <w:bCs/>
          <w:sz w:val="38"/>
          <w:rtl/>
        </w:rPr>
        <w:t>ירא שבת.</w:t>
      </w:r>
      <w:r>
        <w:rPr>
          <w:rFonts w:ascii="Arial"/>
          <w:sz w:val="38"/>
          <w:rtl/>
        </w:rPr>
        <w:t xml:space="preserve"> דתמן יראת ה' כמו שמפרש והולך, ברתא דמלכא דלא לשלטאה יראה רעה דהיא רצועה לאלקאה כמו שאומר בהקדמת הזוהר בפקודין:</w:t>
      </w:r>
    </w:p>
  </w:footnote>
  <w:footnote w:id="564">
    <w:p w:rsidR="00A13282" w:rsidRDefault="00A13282" w:rsidP="00D45634">
      <w:pPr>
        <w:pStyle w:val="a5"/>
      </w:pPr>
      <w:r>
        <w:rPr>
          <w:rStyle w:val="a7"/>
        </w:rPr>
        <w:footnoteRef/>
      </w:r>
      <w:r>
        <w:t xml:space="preserve"> </w:t>
      </w:r>
      <w:r>
        <w:rPr>
          <w:rFonts w:ascii="Arial"/>
          <w:b/>
          <w:bCs/>
          <w:sz w:val="38"/>
          <w:rtl/>
        </w:rPr>
        <w:t>בט"ל מלאכות.</w:t>
      </w:r>
      <w:r>
        <w:rPr>
          <w:rFonts w:ascii="Arial"/>
          <w:sz w:val="38"/>
          <w:rtl/>
        </w:rPr>
        <w:t xml:space="preserve"> רוצה לומר דשבת איהו ט"ל דקדושה כמו שאומר לקמן בסמוך:</w:t>
      </w:r>
    </w:p>
  </w:footnote>
  <w:footnote w:id="565">
    <w:p w:rsidR="00A13282" w:rsidRDefault="00A13282" w:rsidP="00D45634">
      <w:pPr>
        <w:pStyle w:val="a5"/>
      </w:pPr>
      <w:r>
        <w:rPr>
          <w:rStyle w:val="a7"/>
        </w:rPr>
        <w:footnoteRef/>
      </w:r>
      <w:r>
        <w:t xml:space="preserve"> </w:t>
      </w:r>
      <w:r>
        <w:rPr>
          <w:rFonts w:ascii="Arial"/>
          <w:b/>
          <w:bCs/>
          <w:sz w:val="38"/>
          <w:rtl/>
        </w:rPr>
        <w:t>לקבל מ' מלקיות כו'.</w:t>
      </w:r>
      <w:r>
        <w:rPr>
          <w:rFonts w:ascii="Arial"/>
          <w:sz w:val="38"/>
          <w:rtl/>
        </w:rPr>
        <w:t xml:space="preserve"> כמו שאומר בסמוך שלא ישלוט רצועה רעה, שפחה בישא, על עלמא:</w:t>
      </w:r>
    </w:p>
  </w:footnote>
  <w:footnote w:id="566">
    <w:p w:rsidR="00A13282" w:rsidRDefault="00A13282" w:rsidP="00D45634">
      <w:pPr>
        <w:pStyle w:val="a5"/>
      </w:pPr>
      <w:r>
        <w:rPr>
          <w:rStyle w:val="a7"/>
        </w:rPr>
        <w:footnoteRef/>
      </w:r>
      <w:r>
        <w:t xml:space="preserve"> </w:t>
      </w:r>
      <w:r>
        <w:rPr>
          <w:rFonts w:ascii="Arial"/>
          <w:b/>
          <w:bCs/>
          <w:sz w:val="38"/>
          <w:rtl/>
        </w:rPr>
        <w:t>שעטנז כו'.</w:t>
      </w:r>
      <w:r>
        <w:rPr>
          <w:rFonts w:ascii="Arial"/>
          <w:sz w:val="38"/>
          <w:rtl/>
        </w:rPr>
        <w:t xml:space="preserve"> רוצה לומר דהשפחה בישא היא שעטנז, שט"ן ע"ז כידוע והיא כלילא משור וחמור דאינון תרין פגמין בישין, שור מועד וחמור הוא ידוע, ועליהם נאמר לא תחרוש בשור ובחמור כו'. והרצועה שמלקין היא מעור של שור וחמור שהוא נגד השפחה הנ"ל:</w:t>
      </w:r>
    </w:p>
  </w:footnote>
  <w:footnote w:id="567">
    <w:p w:rsidR="00A13282" w:rsidRDefault="00A13282" w:rsidP="00D45634">
      <w:pPr>
        <w:pStyle w:val="a5"/>
      </w:pPr>
      <w:r>
        <w:rPr>
          <w:rStyle w:val="a7"/>
        </w:rPr>
        <w:footnoteRef/>
      </w:r>
      <w:r>
        <w:t xml:space="preserve"> </w:t>
      </w:r>
      <w:r>
        <w:rPr>
          <w:rFonts w:ascii="Arial"/>
          <w:b/>
          <w:bCs/>
          <w:sz w:val="38"/>
          <w:rtl/>
        </w:rPr>
        <w:t>דאמר יעקב כו'.</w:t>
      </w:r>
      <w:r>
        <w:rPr>
          <w:rFonts w:ascii="Arial"/>
          <w:sz w:val="38"/>
          <w:rtl/>
        </w:rPr>
        <w:t xml:space="preserve"> רוצה לומר ששלח לעשו שתחת ידו הוא השור והחמור הנ"ל לכך אל ילחם עמו כי כל סטרא דעשו בידו:</w:t>
      </w:r>
    </w:p>
  </w:footnote>
  <w:footnote w:id="568">
    <w:p w:rsidR="00A13282" w:rsidRDefault="00A13282" w:rsidP="00D45634">
      <w:pPr>
        <w:pStyle w:val="a5"/>
      </w:pPr>
      <w:r>
        <w:rPr>
          <w:rStyle w:val="a7"/>
        </w:rPr>
        <w:footnoteRef/>
      </w:r>
      <w:r>
        <w:t xml:space="preserve"> </w:t>
      </w:r>
      <w:r>
        <w:rPr>
          <w:rFonts w:ascii="Arial"/>
          <w:b/>
          <w:bCs/>
          <w:sz w:val="38"/>
          <w:rtl/>
        </w:rPr>
        <w:t>על כל דבר כו'.</w:t>
      </w:r>
      <w:r>
        <w:rPr>
          <w:rFonts w:ascii="Arial"/>
          <w:sz w:val="38"/>
          <w:rtl/>
        </w:rPr>
        <w:t xml:space="preserve"> רוצה לומר כל פשע שבא מסטרא דשור וחמור הנ"ל וכל זה מביא ראיה דשור וחמור אינון סטרא בישא כנ"ל:</w:t>
      </w:r>
    </w:p>
  </w:footnote>
  <w:footnote w:id="569">
    <w:p w:rsidR="00A13282" w:rsidRDefault="00A13282" w:rsidP="00D45634">
      <w:pPr>
        <w:pStyle w:val="a5"/>
      </w:pPr>
      <w:r>
        <w:rPr>
          <w:rStyle w:val="a7"/>
        </w:rPr>
        <w:footnoteRef/>
      </w:r>
      <w:r>
        <w:t xml:space="preserve"> </w:t>
      </w:r>
      <w:r>
        <w:rPr>
          <w:rFonts w:ascii="Arial"/>
          <w:b/>
          <w:bCs/>
          <w:sz w:val="38"/>
          <w:rtl/>
        </w:rPr>
        <w:t>דאין מלקין כו'.</w:t>
      </w:r>
      <w:r>
        <w:rPr>
          <w:rFonts w:ascii="Arial"/>
          <w:sz w:val="38"/>
          <w:rtl/>
        </w:rPr>
        <w:t xml:space="preserve"> רוצה לומר משום דלא שלטא כו' ולפיכך מלאכות דאינון לקבל מלקות - אסור וזה שאומר ווי ליה למאן כו':</w:t>
      </w:r>
    </w:p>
  </w:footnote>
  <w:footnote w:id="570">
    <w:p w:rsidR="00A13282" w:rsidRDefault="00A13282" w:rsidP="00D45634">
      <w:pPr>
        <w:pStyle w:val="a5"/>
      </w:pPr>
      <w:r>
        <w:rPr>
          <w:rStyle w:val="a7"/>
        </w:rPr>
        <w:footnoteRef/>
      </w:r>
      <w:r>
        <w:t xml:space="preserve"> </w:t>
      </w:r>
      <w:r>
        <w:rPr>
          <w:rFonts w:ascii="Arial"/>
          <w:b/>
          <w:bCs/>
          <w:sz w:val="38"/>
          <w:rtl/>
        </w:rPr>
        <w:t>ובגין דא.</w:t>
      </w:r>
      <w:r>
        <w:rPr>
          <w:rFonts w:ascii="Arial"/>
          <w:sz w:val="38"/>
          <w:rtl/>
        </w:rPr>
        <w:t xml:space="preserve"> רוצה לומר בגין דא דאיהי ברתא דמלכא כנ"ל לכך נאמר את שבתותי כו' ורוצה לומר הגמרא דשבת (סט ע"ב) שאמר שם את שבתותי כו' שמירה אחת כו' ומפרש כאן שהכל קאי עלה שעל ידה נשמרין כל הספירות שהיא שומר ישראל דלעילא וכשהיא נשמרת נשמרין כל הספירות וכן היא שומר ישראל דלתתא שכל הספירות שומרים אותנו - על ידה וזה שאומר</w:t>
      </w:r>
    </w:p>
  </w:footnote>
  <w:footnote w:id="571">
    <w:p w:rsidR="00A13282" w:rsidRDefault="00A13282" w:rsidP="00D45634">
      <w:pPr>
        <w:jc w:val="both"/>
      </w:pPr>
      <w:r>
        <w:rPr>
          <w:rStyle w:val="a7"/>
        </w:rPr>
        <w:footnoteRef/>
      </w:r>
      <w:r>
        <w:t xml:space="preserve"> </w:t>
      </w:r>
      <w:r>
        <w:rPr>
          <w:b/>
          <w:bCs/>
          <w:rtl/>
        </w:rPr>
        <w:t>ומאן דמחלל כו'.</w:t>
      </w:r>
      <w:r>
        <w:rPr>
          <w:rtl/>
        </w:rPr>
        <w:t xml:space="preserve"> כיון שהיא אינה שומרת אז גם הקב"ה אין שומר, ששמירתו על ידה:</w:t>
      </w:r>
    </w:p>
  </w:footnote>
  <w:footnote w:id="572">
    <w:p w:rsidR="00A13282" w:rsidRDefault="00A13282" w:rsidP="00D45634">
      <w:pPr>
        <w:pStyle w:val="a5"/>
      </w:pPr>
      <w:r>
        <w:rPr>
          <w:rStyle w:val="a7"/>
        </w:rPr>
        <w:footnoteRef/>
      </w:r>
      <w:r>
        <w:t xml:space="preserve"> </w:t>
      </w:r>
      <w:r>
        <w:rPr>
          <w:rFonts w:ascii="Arial"/>
          <w:b/>
          <w:bCs/>
          <w:sz w:val="38"/>
          <w:rtl/>
        </w:rPr>
        <w:t>ברשות דילה.</w:t>
      </w:r>
      <w:r>
        <w:rPr>
          <w:rFonts w:ascii="Arial"/>
          <w:sz w:val="38"/>
          <w:rtl/>
        </w:rPr>
        <w:t xml:space="preserve"> הן דיורין דשכינתא והן ג' עולמות בי"ע, דבאצילות אין רע שולט כנ"ל והזר הקרב יומת, רק שלא יכניס בג' עולמות הנ"ל וזה שאומר ג' שמות, שפחה חללה זונה, וחללה לשון מחלליה כו':</w:t>
      </w:r>
    </w:p>
  </w:footnote>
  <w:footnote w:id="573">
    <w:p w:rsidR="00A13282" w:rsidRDefault="00A13282" w:rsidP="00D45634">
      <w:pPr>
        <w:pStyle w:val="a5"/>
      </w:pPr>
      <w:r>
        <w:rPr>
          <w:rStyle w:val="a7"/>
        </w:rPr>
        <w:footnoteRef/>
      </w:r>
      <w:r>
        <w:t xml:space="preserve"> </w:t>
      </w:r>
      <w:r>
        <w:rPr>
          <w:rFonts w:ascii="Arial"/>
          <w:b/>
          <w:bCs/>
          <w:sz w:val="38"/>
          <w:rtl/>
        </w:rPr>
        <w:t>דרשות דילה כו'.</w:t>
      </w:r>
      <w:r>
        <w:rPr>
          <w:rFonts w:ascii="Arial"/>
          <w:sz w:val="38"/>
          <w:rtl/>
        </w:rPr>
        <w:t xml:space="preserve"> רוצה לומר דאינון נקראין תחום, שאסור לצאת מהן לסטרא אחרא, דלא שלטא בעלמא ואינון הגבול לה שלא יתקרב הסטרא אחרא:</w:t>
      </w:r>
    </w:p>
  </w:footnote>
  <w:footnote w:id="574">
    <w:p w:rsidR="00A13282" w:rsidRDefault="00A13282" w:rsidP="00D45634">
      <w:pPr>
        <w:pStyle w:val="a5"/>
      </w:pPr>
      <w:r>
        <w:rPr>
          <w:rStyle w:val="a7"/>
        </w:rPr>
        <w:footnoteRef/>
      </w:r>
      <w:r>
        <w:t xml:space="preserve"> </w:t>
      </w:r>
      <w:r>
        <w:rPr>
          <w:rFonts w:ascii="Arial"/>
          <w:b/>
          <w:bCs/>
          <w:sz w:val="38"/>
          <w:rtl/>
        </w:rPr>
        <w:t>ומאי ניהו והיה כו'.</w:t>
      </w:r>
      <w:r>
        <w:rPr>
          <w:rFonts w:ascii="Arial"/>
          <w:sz w:val="38"/>
          <w:rtl/>
        </w:rPr>
        <w:t xml:space="preserve"> רוצה לומר ישראל הן הגבול ששומרין את התורה ועל ידי זה אין מתקרב הסטרא אחרא:</w:t>
      </w:r>
    </w:p>
  </w:footnote>
  <w:footnote w:id="575">
    <w:p w:rsidR="00A13282" w:rsidRDefault="00A13282" w:rsidP="00D45634">
      <w:pPr>
        <w:pStyle w:val="a5"/>
      </w:pPr>
      <w:r>
        <w:rPr>
          <w:rStyle w:val="a7"/>
        </w:rPr>
        <w:footnoteRef/>
      </w:r>
      <w:r>
        <w:t xml:space="preserve"> </w:t>
      </w:r>
      <w:r>
        <w:rPr>
          <w:rFonts w:ascii="Arial"/>
          <w:b/>
          <w:bCs/>
          <w:sz w:val="38"/>
          <w:rtl/>
        </w:rPr>
        <w:t>ולית ים אלא אורייתא כו'.</w:t>
      </w:r>
      <w:r>
        <w:rPr>
          <w:rFonts w:ascii="Arial"/>
          <w:sz w:val="38"/>
          <w:rtl/>
        </w:rPr>
        <w:t xml:space="preserve"> רוצה לומר והן שומרים את התורה לפיכך הן גבול לתורה וכן לשבת כמו שמפרש והולך ושבת שקילא לכל אורייתא והיא ברתא דמלכא שנקרא אורייתא ושבת:</w:t>
      </w:r>
    </w:p>
  </w:footnote>
  <w:footnote w:id="576">
    <w:p w:rsidR="00A13282" w:rsidRDefault="00A13282" w:rsidP="00D45634">
      <w:pPr>
        <w:pStyle w:val="a5"/>
      </w:pPr>
      <w:r>
        <w:rPr>
          <w:rStyle w:val="a7"/>
        </w:rPr>
        <w:footnoteRef/>
      </w:r>
      <w:r>
        <w:t xml:space="preserve"> </w:t>
      </w:r>
      <w:r>
        <w:rPr>
          <w:rFonts w:ascii="Arial"/>
          <w:b/>
          <w:bCs/>
          <w:sz w:val="38"/>
          <w:rtl/>
        </w:rPr>
        <w:t>דאיהו חול לים כחולי' כו'.</w:t>
      </w:r>
      <w:r>
        <w:rPr>
          <w:rFonts w:ascii="Arial"/>
          <w:sz w:val="38"/>
          <w:rtl/>
        </w:rPr>
        <w:t xml:space="preserve"> רוצה לומר דחול לשון חוליא והוא שלשלת הכרוך על הצואר והחוליא הוא כל אחד מישראל ששומר את התורה ושבת:</w:t>
      </w:r>
    </w:p>
  </w:footnote>
  <w:footnote w:id="577">
    <w:p w:rsidR="00A13282" w:rsidRDefault="00A13282" w:rsidP="00D45634">
      <w:pPr>
        <w:pStyle w:val="a5"/>
      </w:pPr>
      <w:r>
        <w:rPr>
          <w:rStyle w:val="a7"/>
        </w:rPr>
        <w:footnoteRef/>
      </w:r>
      <w:r>
        <w:t xml:space="preserve"> </w:t>
      </w:r>
      <w:r>
        <w:rPr>
          <w:rFonts w:ascii="Arial"/>
          <w:b/>
          <w:bCs/>
          <w:sz w:val="38"/>
          <w:rtl/>
        </w:rPr>
        <w:t>דאיהו שור מועד.</w:t>
      </w:r>
      <w:r>
        <w:rPr>
          <w:rFonts w:ascii="Arial"/>
          <w:sz w:val="38"/>
          <w:rtl/>
        </w:rPr>
        <w:t xml:space="preserve"> רוצה לומר לכך צריך שלשה קשרים ולכך צריך על קרניו שהוא נוגח בקרן וזה בחול ובשבת שאין שם תפילין כנגדו אות שבת כנ"ל וזה שאומר ואיהו תפיס בקולר דשלשלאה דשבתא:</w:t>
      </w:r>
    </w:p>
  </w:footnote>
  <w:footnote w:id="578">
    <w:p w:rsidR="00A13282" w:rsidRDefault="00A13282" w:rsidP="00D45634">
      <w:pPr>
        <w:pStyle w:val="a5"/>
      </w:pPr>
      <w:r>
        <w:rPr>
          <w:rStyle w:val="a7"/>
        </w:rPr>
        <w:footnoteRef/>
      </w:r>
      <w:r>
        <w:t xml:space="preserve"> </w:t>
      </w:r>
      <w:r>
        <w:rPr>
          <w:rFonts w:ascii="Arial"/>
          <w:b/>
          <w:bCs/>
          <w:sz w:val="38"/>
          <w:rtl/>
        </w:rPr>
        <w:t>ושכינתא שבת כו'.</w:t>
      </w:r>
      <w:r>
        <w:rPr>
          <w:rFonts w:ascii="Arial"/>
          <w:sz w:val="38"/>
          <w:rtl/>
        </w:rPr>
        <w:t xml:space="preserve"> נותן טעם על שאסור להוציא מרשות היחיד לרשות הרבים שרשות הרבים הן הקליפות, עלמא דפירודא, והיא - רשות היחיד כמו שמפרש והולך:</w:t>
      </w:r>
    </w:p>
  </w:footnote>
  <w:footnote w:id="579">
    <w:p w:rsidR="00A13282" w:rsidRDefault="00A13282" w:rsidP="00D45634">
      <w:pPr>
        <w:pStyle w:val="a5"/>
      </w:pPr>
      <w:r>
        <w:rPr>
          <w:rStyle w:val="a7"/>
        </w:rPr>
        <w:footnoteRef/>
      </w:r>
      <w:r>
        <w:t xml:space="preserve"> </w:t>
      </w:r>
      <w:r>
        <w:rPr>
          <w:rFonts w:ascii="Arial"/>
          <w:b/>
          <w:bCs/>
          <w:sz w:val="38"/>
          <w:rtl/>
        </w:rPr>
        <w:t>דיחודא דעלמא.</w:t>
      </w:r>
      <w:r>
        <w:rPr>
          <w:rFonts w:ascii="Arial"/>
          <w:sz w:val="38"/>
          <w:rtl/>
        </w:rPr>
        <w:t xml:space="preserve"> רוצה לומר שכל הספירות מתיחדין בה:</w:t>
      </w:r>
    </w:p>
  </w:footnote>
  <w:footnote w:id="580">
    <w:p w:rsidR="00A13282" w:rsidRDefault="00A13282" w:rsidP="00D45634">
      <w:pPr>
        <w:pStyle w:val="a5"/>
      </w:pPr>
      <w:r>
        <w:rPr>
          <w:rStyle w:val="a7"/>
        </w:rPr>
        <w:footnoteRef/>
      </w:r>
      <w:r>
        <w:t xml:space="preserve"> </w:t>
      </w:r>
      <w:r>
        <w:rPr>
          <w:rFonts w:ascii="Arial"/>
          <w:b/>
          <w:bCs/>
          <w:sz w:val="38"/>
          <w:rtl/>
        </w:rPr>
        <w:t>גבהו כו'.</w:t>
      </w:r>
      <w:r>
        <w:rPr>
          <w:rFonts w:ascii="Arial"/>
          <w:sz w:val="38"/>
          <w:rtl/>
        </w:rPr>
        <w:t xml:space="preserve"> כמו שאומר לקמן בגין דבה ארבעה אתוון כו' ואיהי דמות אדם דאיהו יו"ד ק"א וא"ו ק"א, גבהו מצד הפנימיות ורחבו מצד החיצוניות, שהן אותיות ברחבן, ונקודות כי גבוה כו' כנ"ל:</w:t>
      </w:r>
    </w:p>
  </w:footnote>
  <w:footnote w:id="581">
    <w:p w:rsidR="00A13282" w:rsidRDefault="00A13282" w:rsidP="00D45634">
      <w:pPr>
        <w:pStyle w:val="a5"/>
      </w:pPr>
      <w:r>
        <w:rPr>
          <w:rStyle w:val="a7"/>
        </w:rPr>
        <w:footnoteRef/>
      </w:r>
      <w:r>
        <w:t xml:space="preserve"> </w:t>
      </w:r>
      <w:r>
        <w:rPr>
          <w:rFonts w:ascii="Arial"/>
          <w:b/>
          <w:bCs/>
          <w:sz w:val="38"/>
          <w:rtl/>
        </w:rPr>
        <w:t>דחריבת ביתיה.</w:t>
      </w:r>
      <w:r>
        <w:rPr>
          <w:rFonts w:ascii="Arial"/>
          <w:sz w:val="38"/>
          <w:rtl/>
        </w:rPr>
        <w:t xml:space="preserve"> רוצה לומר גופיה, והוא מיתה, וזה שאומר ונתץ כו', כי השפחה היא חרבא דמלאך המות, או עניות שעני חשוב כמת:</w:t>
      </w:r>
    </w:p>
  </w:footnote>
  <w:footnote w:id="582">
    <w:p w:rsidR="00A13282" w:rsidRDefault="00A13282" w:rsidP="00D45634">
      <w:pPr>
        <w:pStyle w:val="a5"/>
      </w:pPr>
      <w:r>
        <w:rPr>
          <w:rStyle w:val="a7"/>
        </w:rPr>
        <w:footnoteRef/>
      </w:r>
      <w:r>
        <w:t xml:space="preserve"> </w:t>
      </w:r>
      <w:r>
        <w:rPr>
          <w:rFonts w:ascii="Arial"/>
          <w:b/>
          <w:bCs/>
          <w:sz w:val="38"/>
          <w:rtl/>
        </w:rPr>
        <w:t>ענ"ג כו'.</w:t>
      </w:r>
      <w:r>
        <w:rPr>
          <w:rFonts w:ascii="Arial"/>
          <w:sz w:val="38"/>
          <w:rtl/>
        </w:rPr>
        <w:t xml:space="preserve"> רוצה לומר ראשי תיבות: עדן נהר גן, כסדר הילוכן, ורוצה לפרש כאן הט"ל דקדושה שהוא מצד עונג שבת:</w:t>
      </w:r>
    </w:p>
  </w:footnote>
  <w:footnote w:id="583">
    <w:p w:rsidR="00A13282" w:rsidRDefault="00A13282" w:rsidP="00D45634">
      <w:pPr>
        <w:pStyle w:val="a5"/>
      </w:pPr>
      <w:r>
        <w:rPr>
          <w:rStyle w:val="a7"/>
        </w:rPr>
        <w:footnoteRef/>
      </w:r>
      <w:r>
        <w:t xml:space="preserve"> </w:t>
      </w:r>
      <w:r>
        <w:rPr>
          <w:rFonts w:ascii="Arial"/>
          <w:b/>
          <w:bCs/>
          <w:sz w:val="38"/>
          <w:rtl/>
        </w:rPr>
        <w:t>דאיהו עדון נשמתין.</w:t>
      </w:r>
      <w:r>
        <w:rPr>
          <w:rFonts w:ascii="Arial"/>
          <w:sz w:val="38"/>
          <w:rtl/>
        </w:rPr>
        <w:t xml:space="preserve"> רוצה לומר עונג שבת הוא עדון נשמתין ולכך מרומז בו: עדן נהר גן, דנפקין ומתמלאין מעדן:</w:t>
      </w:r>
    </w:p>
  </w:footnote>
  <w:footnote w:id="584">
    <w:p w:rsidR="00A13282" w:rsidRDefault="00A13282" w:rsidP="00D45634">
      <w:pPr>
        <w:pStyle w:val="a5"/>
      </w:pPr>
      <w:r>
        <w:rPr>
          <w:rStyle w:val="a7"/>
        </w:rPr>
        <w:footnoteRef/>
      </w:r>
      <w:r>
        <w:t xml:space="preserve"> </w:t>
      </w:r>
      <w:r>
        <w:rPr>
          <w:rFonts w:ascii="Arial"/>
          <w:b/>
          <w:bCs/>
          <w:sz w:val="38"/>
          <w:rtl/>
        </w:rPr>
        <w:t>ו' נהר כו'.</w:t>
      </w:r>
      <w:r>
        <w:rPr>
          <w:rFonts w:ascii="Arial"/>
          <w:sz w:val="38"/>
          <w:rtl/>
        </w:rPr>
        <w:t xml:space="preserve"> רוצה לומר שענ"ג הוא יה"ו שהן ט"ל כמו שמפרש והולך:</w:t>
      </w:r>
    </w:p>
  </w:footnote>
  <w:footnote w:id="585">
    <w:p w:rsidR="00A13282" w:rsidRDefault="00A13282" w:rsidP="00D45634">
      <w:pPr>
        <w:pStyle w:val="a5"/>
      </w:pPr>
      <w:r>
        <w:rPr>
          <w:rStyle w:val="a7"/>
        </w:rPr>
        <w:footnoteRef/>
      </w:r>
      <w:r>
        <w:t xml:space="preserve"> </w:t>
      </w:r>
      <w:r>
        <w:rPr>
          <w:rFonts w:ascii="Arial"/>
          <w:b/>
          <w:bCs/>
          <w:sz w:val="38"/>
          <w:rtl/>
        </w:rPr>
        <w:t>מבין י"ה כו'.</w:t>
      </w:r>
      <w:r>
        <w:rPr>
          <w:rFonts w:ascii="Arial"/>
          <w:sz w:val="38"/>
          <w:rtl/>
        </w:rPr>
        <w:t xml:space="preserve"> רוצה לומר שהולך מכתר, בין חו"ב, ולפיכך נקרא י"ה ונהר עצמו וא"ו:</w:t>
      </w:r>
    </w:p>
  </w:footnote>
  <w:footnote w:id="586">
    <w:p w:rsidR="00A13282" w:rsidRDefault="00A13282" w:rsidP="00D45634">
      <w:pPr>
        <w:pStyle w:val="a5"/>
      </w:pPr>
      <w:r>
        <w:rPr>
          <w:rStyle w:val="a7"/>
        </w:rPr>
        <w:footnoteRef/>
      </w:r>
      <w:r>
        <w:t xml:space="preserve"> </w:t>
      </w:r>
      <w:r>
        <w:rPr>
          <w:rFonts w:ascii="Arial"/>
          <w:b/>
          <w:bCs/>
          <w:sz w:val="38"/>
          <w:rtl/>
        </w:rPr>
        <w:t>דאיהו מופלא ומכוסה.</w:t>
      </w:r>
      <w:r>
        <w:rPr>
          <w:rFonts w:ascii="Arial"/>
          <w:sz w:val="38"/>
          <w:rtl/>
        </w:rPr>
        <w:t xml:space="preserve"> כמו שאמרו (חגיגה יג ע"א) במופלא ממך כו' ובמכוסה כו', ובעדן כתיב עין לא כו', והוא ראיה דכתר איקרי עדן, וזה שאומר ובג"ד אתמר כו':</w:t>
      </w:r>
    </w:p>
  </w:footnote>
  <w:footnote w:id="587">
    <w:p w:rsidR="00A13282" w:rsidRDefault="00A13282" w:rsidP="00D45634">
      <w:pPr>
        <w:pStyle w:val="a5"/>
      </w:pPr>
      <w:r>
        <w:rPr>
          <w:rStyle w:val="a7"/>
        </w:rPr>
        <w:footnoteRef/>
      </w:r>
      <w:r>
        <w:t xml:space="preserve"> </w:t>
      </w:r>
      <w:r>
        <w:rPr>
          <w:rFonts w:ascii="Arial"/>
          <w:b/>
          <w:bCs/>
          <w:sz w:val="38"/>
          <w:rtl/>
        </w:rPr>
        <w:t>טל להחיות את המתים.</w:t>
      </w:r>
      <w:r>
        <w:rPr>
          <w:rFonts w:ascii="Arial"/>
          <w:sz w:val="38"/>
          <w:rtl/>
        </w:rPr>
        <w:t xml:space="preserve"> רוצה לומר שבו עתידים להחיות המתים כשעתיד להקים השכינה בטל דיליה ואז יקיצו וירננו שוכני עפר כמו שאומר בסוף הקדמה שניה, וכן הוא בשבת, דמאן דלא נטיר לה איהו מת כנ"ל, ומאן דנטיר יורד הטל עליו:</w:t>
      </w:r>
    </w:p>
  </w:footnote>
  <w:footnote w:id="588">
    <w:p w:rsidR="00A13282" w:rsidRDefault="00A13282" w:rsidP="00D45634">
      <w:pPr>
        <w:pStyle w:val="a5"/>
      </w:pPr>
      <w:r>
        <w:rPr>
          <w:rStyle w:val="a7"/>
        </w:rPr>
        <w:footnoteRef/>
      </w:r>
      <w:r>
        <w:t xml:space="preserve"> </w:t>
      </w:r>
      <w:r>
        <w:rPr>
          <w:rFonts w:ascii="Arial"/>
          <w:b/>
          <w:bCs/>
          <w:sz w:val="38"/>
          <w:rtl/>
        </w:rPr>
        <w:t>ועלה אוקמוהו כו'.</w:t>
      </w:r>
      <w:r>
        <w:rPr>
          <w:rFonts w:ascii="Arial"/>
          <w:sz w:val="38"/>
          <w:rtl/>
        </w:rPr>
        <w:t xml:space="preserve"> ושבת שקילא לאורייתא:</w:t>
      </w:r>
    </w:p>
  </w:footnote>
  <w:footnote w:id="589">
    <w:p w:rsidR="00A13282" w:rsidRDefault="00A13282" w:rsidP="00D45634">
      <w:pPr>
        <w:pStyle w:val="a5"/>
      </w:pPr>
      <w:r>
        <w:rPr>
          <w:rStyle w:val="a7"/>
        </w:rPr>
        <w:footnoteRef/>
      </w:r>
      <w:r>
        <w:t xml:space="preserve"> </w:t>
      </w:r>
      <w:r>
        <w:rPr>
          <w:rFonts w:ascii="Arial"/>
          <w:b/>
          <w:bCs/>
          <w:sz w:val="38"/>
          <w:rtl/>
        </w:rPr>
        <w:t>כי ביתי כו'.</w:t>
      </w:r>
      <w:r>
        <w:rPr>
          <w:rFonts w:ascii="Arial"/>
          <w:sz w:val="38"/>
          <w:rtl/>
        </w:rPr>
        <w:t xml:space="preserve"> רוצה לומר ביתי הוא המלכות, בית הכנסת:</w:t>
      </w:r>
    </w:p>
  </w:footnote>
  <w:footnote w:id="590">
    <w:p w:rsidR="00A13282" w:rsidRDefault="00A13282" w:rsidP="00D45634">
      <w:pPr>
        <w:pStyle w:val="a5"/>
      </w:pPr>
      <w:r>
        <w:rPr>
          <w:rStyle w:val="a7"/>
        </w:rPr>
        <w:footnoteRef/>
      </w:r>
      <w:r>
        <w:t xml:space="preserve"> </w:t>
      </w:r>
      <w:r>
        <w:rPr>
          <w:rFonts w:ascii="Arial"/>
          <w:b/>
          <w:bCs/>
          <w:sz w:val="38"/>
          <w:rtl/>
        </w:rPr>
        <w:t>ודרור.</w:t>
      </w:r>
      <w:r>
        <w:rPr>
          <w:rFonts w:ascii="Arial"/>
          <w:sz w:val="38"/>
          <w:rtl/>
        </w:rPr>
        <w:t xml:space="preserve"> בינה, בית המקדש, עלמא דחירו. וכן התורה - חרות, אל תקרי חרות אלא חירות:</w:t>
      </w:r>
    </w:p>
  </w:footnote>
  <w:footnote w:id="591">
    <w:p w:rsidR="00A13282" w:rsidRDefault="00A13282" w:rsidP="00D45634">
      <w:pPr>
        <w:pStyle w:val="a5"/>
      </w:pPr>
      <w:r>
        <w:rPr>
          <w:rStyle w:val="a7"/>
        </w:rPr>
        <w:footnoteRef/>
      </w:r>
      <w:r>
        <w:t xml:space="preserve"> </w:t>
      </w:r>
      <w:r>
        <w:rPr>
          <w:rFonts w:ascii="Arial"/>
          <w:b/>
          <w:bCs/>
          <w:sz w:val="38"/>
          <w:rtl/>
        </w:rPr>
        <w:t>מארי תורה כו'.</w:t>
      </w:r>
      <w:r>
        <w:rPr>
          <w:rFonts w:ascii="Arial"/>
          <w:sz w:val="38"/>
          <w:rtl/>
        </w:rPr>
        <w:t xml:space="preserve"> רוצה לומר מקרא משנה קבלה, שעליהן קאי והמשכילים יזהירו כזהר הרקיע כמו שאומר לקמן, וכן כאן והמשכילים הוא בית הכנסת, יזהירו - אלין מארי תורה כו', כזהר הרקיע הוא בי מדרשא, שהן כנגד נר"ן, אותיות נקודות וטעמים כנ"ל:</w:t>
      </w:r>
    </w:p>
  </w:footnote>
  <w:footnote w:id="592">
    <w:p w:rsidR="00A13282" w:rsidRDefault="00A13282" w:rsidP="00D45634">
      <w:pPr>
        <w:pStyle w:val="a5"/>
      </w:pPr>
      <w:r>
        <w:rPr>
          <w:rStyle w:val="a7"/>
        </w:rPr>
        <w:footnoteRef/>
      </w:r>
      <w:r>
        <w:t xml:space="preserve"> </w:t>
      </w:r>
      <w:r>
        <w:rPr>
          <w:rFonts w:ascii="Arial"/>
          <w:b/>
          <w:bCs/>
          <w:sz w:val="38"/>
          <w:rtl/>
        </w:rPr>
        <w:t>דבגינהון כו'.</w:t>
      </w:r>
      <w:r>
        <w:rPr>
          <w:rFonts w:ascii="Arial"/>
          <w:sz w:val="38"/>
          <w:rtl/>
        </w:rPr>
        <w:t xml:space="preserve"> רוצה לומר כמו הצפור שאינה מנחת הקן בשביל האפרוחים, כן השכינה את ישראל בשביל מארי תורה כו', וזה גם צפור מצאה בית ודרור כו', בשביל אשר שתה כו':</w:t>
      </w:r>
    </w:p>
  </w:footnote>
  <w:footnote w:id="593">
    <w:p w:rsidR="00A13282" w:rsidRDefault="00A13282" w:rsidP="00D45634">
      <w:pPr>
        <w:pStyle w:val="a5"/>
      </w:pPr>
      <w:r>
        <w:rPr>
          <w:rStyle w:val="a7"/>
        </w:rPr>
        <w:footnoteRef/>
      </w:r>
      <w:r>
        <w:t xml:space="preserve"> </w:t>
      </w:r>
      <w:r>
        <w:rPr>
          <w:rFonts w:ascii="Arial"/>
          <w:b/>
          <w:bCs/>
          <w:sz w:val="38"/>
          <w:rtl/>
        </w:rPr>
        <w:t>פתח ר"ש כו'.</w:t>
      </w:r>
      <w:r>
        <w:rPr>
          <w:rFonts w:ascii="Arial"/>
          <w:sz w:val="38"/>
          <w:rtl/>
        </w:rPr>
        <w:t xml:space="preserve"> כלל הענין הוא, והמשכילים - הן אותיות, ונפשא דמשותף עם גופא, ושכינתא דאיהי כלילא ד' גוונין, חיוור וסומק שהן חו"ג, ירוק ואוכם שהן תו"מ, ד' אותיות השם, ורקיע דגן עדן, וגופא דבני נשא בגן עדן, שבהן מצטיירין האותיות והגוונין:</w:t>
      </w:r>
    </w:p>
  </w:footnote>
  <w:footnote w:id="594">
    <w:p w:rsidR="00A13282" w:rsidRDefault="00A13282" w:rsidP="00D45634">
      <w:pPr>
        <w:pStyle w:val="a5"/>
      </w:pPr>
      <w:r>
        <w:rPr>
          <w:rStyle w:val="a7"/>
        </w:rPr>
        <w:footnoteRef/>
      </w:r>
      <w:r>
        <w:t xml:space="preserve"> </w:t>
      </w:r>
      <w:r>
        <w:rPr>
          <w:rFonts w:ascii="Arial"/>
          <w:b/>
          <w:bCs/>
          <w:sz w:val="38"/>
          <w:rtl/>
        </w:rPr>
        <w:t>יזהירו.</w:t>
      </w:r>
      <w:r>
        <w:rPr>
          <w:rFonts w:ascii="Arial"/>
          <w:sz w:val="38"/>
          <w:rtl/>
        </w:rPr>
        <w:t xml:space="preserve"> הן נקודות, ורוחא, וקב"ה, ונהורא דגוונין דקב"ה, וכוכביא דרקיע דגן עדן, ועיינין דבני נשא דגן עדן, שבהן נהרין הנהורין והנקודות:</w:t>
      </w:r>
    </w:p>
  </w:footnote>
  <w:footnote w:id="595">
    <w:p w:rsidR="00A13282" w:rsidRDefault="00A13282" w:rsidP="00D45634">
      <w:pPr>
        <w:pStyle w:val="a5"/>
      </w:pPr>
      <w:r>
        <w:rPr>
          <w:rStyle w:val="a7"/>
        </w:rPr>
        <w:footnoteRef/>
      </w:r>
      <w:r>
        <w:t xml:space="preserve"> </w:t>
      </w:r>
      <w:r>
        <w:rPr>
          <w:rFonts w:ascii="Arial"/>
          <w:b/>
          <w:bCs/>
          <w:sz w:val="38"/>
          <w:rtl/>
        </w:rPr>
        <w:t>כזהר.</w:t>
      </w:r>
      <w:r>
        <w:rPr>
          <w:rFonts w:ascii="Arial"/>
          <w:sz w:val="38"/>
          <w:rtl/>
        </w:rPr>
        <w:t xml:space="preserve"> הן הטעמים, ונשמתא, ואימא עילאה, וכרסיא דנשמתין ביה, ואספקלריא דאנפין דנהרא בעיינין ואנפין:</w:t>
      </w:r>
    </w:p>
  </w:footnote>
  <w:footnote w:id="596">
    <w:p w:rsidR="00A13282" w:rsidRDefault="00A13282" w:rsidP="00D45634">
      <w:pPr>
        <w:pStyle w:val="a5"/>
      </w:pPr>
      <w:r>
        <w:rPr>
          <w:rStyle w:val="a7"/>
        </w:rPr>
        <w:footnoteRef/>
      </w:r>
      <w:r>
        <w:t xml:space="preserve"> </w:t>
      </w:r>
      <w:r>
        <w:rPr>
          <w:rFonts w:ascii="Arial"/>
          <w:b/>
          <w:bCs/>
          <w:sz w:val="38"/>
          <w:rtl/>
        </w:rPr>
        <w:t>וגוונין לא נהרין כו'.</w:t>
      </w:r>
      <w:r>
        <w:rPr>
          <w:rFonts w:ascii="Arial"/>
          <w:sz w:val="38"/>
          <w:rtl/>
        </w:rPr>
        <w:t xml:space="preserve"> דמינה נהרין כנ"ל:</w:t>
      </w:r>
    </w:p>
  </w:footnote>
  <w:footnote w:id="597">
    <w:p w:rsidR="00A13282" w:rsidRDefault="00A13282" w:rsidP="00D45634">
      <w:pPr>
        <w:pStyle w:val="a5"/>
      </w:pPr>
      <w:r>
        <w:rPr>
          <w:rStyle w:val="a7"/>
        </w:rPr>
        <w:footnoteRef/>
      </w:r>
      <w:r>
        <w:t xml:space="preserve"> </w:t>
      </w:r>
      <w:r>
        <w:rPr>
          <w:rFonts w:ascii="Arial"/>
          <w:b/>
          <w:bCs/>
          <w:sz w:val="38"/>
          <w:rtl/>
        </w:rPr>
        <w:t>נפתחו השמים.</w:t>
      </w:r>
      <w:r>
        <w:rPr>
          <w:rFonts w:ascii="Arial"/>
          <w:sz w:val="38"/>
          <w:rtl/>
        </w:rPr>
        <w:t xml:space="preserve"> כנ"ל דאיהו סתים כו':</w:t>
      </w:r>
    </w:p>
  </w:footnote>
  <w:footnote w:id="598">
    <w:p w:rsidR="00A13282" w:rsidRDefault="00A13282" w:rsidP="00D45634">
      <w:pPr>
        <w:pStyle w:val="a5"/>
      </w:pPr>
      <w:r>
        <w:rPr>
          <w:rStyle w:val="a7"/>
        </w:rPr>
        <w:footnoteRef/>
      </w:r>
      <w:r>
        <w:t xml:space="preserve"> </w:t>
      </w:r>
      <w:r>
        <w:rPr>
          <w:rFonts w:ascii="Arial"/>
          <w:b/>
          <w:bCs/>
          <w:sz w:val="38"/>
          <w:rtl/>
        </w:rPr>
        <w:t>ואראה מראות כו'.</w:t>
      </w:r>
      <w:r>
        <w:rPr>
          <w:rFonts w:ascii="Arial"/>
          <w:sz w:val="38"/>
          <w:rtl/>
        </w:rPr>
        <w:t xml:space="preserve"> רוצה לומר הנהורין דנהרין בגוונין דהן בשכינה וזה מראות אלקים:</w:t>
      </w:r>
    </w:p>
  </w:footnote>
  <w:footnote w:id="599">
    <w:p w:rsidR="00A13282" w:rsidRDefault="00A13282" w:rsidP="00D45634">
      <w:pPr>
        <w:pStyle w:val="a5"/>
      </w:pPr>
      <w:r>
        <w:rPr>
          <w:rStyle w:val="a7"/>
        </w:rPr>
        <w:footnoteRef/>
      </w:r>
      <w:r>
        <w:t xml:space="preserve"> </w:t>
      </w:r>
      <w:r>
        <w:rPr>
          <w:rFonts w:ascii="Arial"/>
          <w:b/>
          <w:bCs/>
          <w:sz w:val="38"/>
          <w:rtl/>
        </w:rPr>
        <w:t>מר דאתמר כו'.</w:t>
      </w:r>
      <w:r>
        <w:rPr>
          <w:rFonts w:ascii="Arial"/>
          <w:sz w:val="38"/>
          <w:rtl/>
        </w:rPr>
        <w:t xml:space="preserve"> והוא יסוד שנקרא שלום, ומלאכין מסטרא דיליה בוכים על גריעותא דיליה דהוא מר בגלות:</w:t>
      </w:r>
    </w:p>
  </w:footnote>
  <w:footnote w:id="600">
    <w:p w:rsidR="00A13282" w:rsidRDefault="00A13282" w:rsidP="00D45634">
      <w:pPr>
        <w:pStyle w:val="a5"/>
      </w:pPr>
      <w:r>
        <w:rPr>
          <w:rStyle w:val="a7"/>
        </w:rPr>
        <w:footnoteRef/>
      </w:r>
      <w:r>
        <w:t xml:space="preserve"> </w:t>
      </w:r>
      <w:r>
        <w:rPr>
          <w:rFonts w:ascii="Arial"/>
          <w:b/>
          <w:bCs/>
          <w:sz w:val="38"/>
          <w:rtl/>
        </w:rPr>
        <w:t>אות בצבא דילה.</w:t>
      </w:r>
      <w:r>
        <w:rPr>
          <w:rFonts w:ascii="Arial"/>
          <w:sz w:val="38"/>
          <w:rtl/>
        </w:rPr>
        <w:t xml:space="preserve"> שנקרא אות כו':</w:t>
      </w:r>
    </w:p>
  </w:footnote>
  <w:footnote w:id="601">
    <w:p w:rsidR="00A13282" w:rsidRDefault="00A13282" w:rsidP="00D45634">
      <w:pPr>
        <w:pStyle w:val="a5"/>
      </w:pPr>
      <w:r>
        <w:rPr>
          <w:rStyle w:val="a7"/>
        </w:rPr>
        <w:footnoteRef/>
      </w:r>
      <w:r>
        <w:t xml:space="preserve"> </w:t>
      </w:r>
      <w:r>
        <w:rPr>
          <w:rFonts w:ascii="Arial"/>
          <w:b/>
          <w:bCs/>
          <w:sz w:val="38"/>
          <w:rtl/>
        </w:rPr>
        <w:t>בצבא דיליה.</w:t>
      </w:r>
      <w:r>
        <w:rPr>
          <w:rFonts w:ascii="Arial"/>
          <w:sz w:val="38"/>
          <w:rtl/>
        </w:rPr>
        <w:t xml:space="preserve"> הן נ"ה, שכולם נקראו צבאות. ועל מט"ט, שהוא צדיק דלתתא בדוגמא דיליה, אמרו דאיהו אות כו'. שארבעה שנכנסו לפרדס (חגיגה יד ע"ב) שהוא עולם היצירה. ג' הציצו (ירושלמי חגיגה ט ע"א פרק ב הלכה א), וכולם הציצו במט"ט דאיהו כבוד אל כמו שאמרו במדרש הנעלם דמשה רבינו עליו השלום ביקש לראותו ולא ניתן לו אבל ר' עקיבא לא ראהו, וזה שאמרו ומאי דרש, היכי ידע אותו, אות בצבא שלו כו':</w:t>
      </w:r>
    </w:p>
  </w:footnote>
  <w:footnote w:id="602">
    <w:p w:rsidR="00A13282" w:rsidRDefault="00A13282" w:rsidP="00D45634">
      <w:pPr>
        <w:jc w:val="both"/>
      </w:pPr>
      <w:r>
        <w:rPr>
          <w:rStyle w:val="a7"/>
        </w:rPr>
        <w:footnoteRef/>
      </w:r>
      <w:r>
        <w:t xml:space="preserve"> </w:t>
      </w:r>
      <w:r>
        <w:rPr>
          <w:b/>
          <w:bCs/>
          <w:rtl/>
        </w:rPr>
        <w:t>לי' מתפתחין רקיעין ובי' כו'.</w:t>
      </w:r>
      <w:r>
        <w:rPr>
          <w:rtl/>
        </w:rPr>
        <w:t xml:space="preserve"> דהוא כליל זו"ן, לכך מתפתחין ונהרין, וזה שאומר נפתחו כו' ואראה כו':</w:t>
      </w:r>
    </w:p>
  </w:footnote>
  <w:footnote w:id="603">
    <w:p w:rsidR="00A13282" w:rsidRDefault="00A13282" w:rsidP="00D45634">
      <w:pPr>
        <w:pStyle w:val="a5"/>
      </w:pPr>
      <w:r>
        <w:rPr>
          <w:rStyle w:val="a7"/>
        </w:rPr>
        <w:footnoteRef/>
      </w:r>
      <w:r>
        <w:t xml:space="preserve"> </w:t>
      </w:r>
      <w:r>
        <w:rPr>
          <w:rFonts w:ascii="Arial"/>
          <w:b/>
          <w:bCs/>
          <w:sz w:val="38"/>
          <w:rtl/>
        </w:rPr>
        <w:t>וכען בוצינא כו'.</w:t>
      </w:r>
      <w:r>
        <w:rPr>
          <w:rFonts w:ascii="Arial"/>
          <w:sz w:val="38"/>
          <w:rtl/>
        </w:rPr>
        <w:t xml:space="preserve"> דאת בדרגיה דיליה כמו שאמר לעיל כמה כו' ממשקופי רקיע, רוצה לומר שכולם מתפתחין כמו שאומר בגין דבך נהרא, ואמר וגוונין דרקיע כו', מצד הקב"ה, כמו שאומר וגוונין לא נהרין כו', הרי כליל משניהם:</w:t>
      </w:r>
    </w:p>
  </w:footnote>
  <w:footnote w:id="604">
    <w:p w:rsidR="00A13282" w:rsidRDefault="00A13282" w:rsidP="00D45634">
      <w:pPr>
        <w:pStyle w:val="a5"/>
      </w:pPr>
      <w:r>
        <w:rPr>
          <w:rStyle w:val="a7"/>
        </w:rPr>
        <w:footnoteRef/>
      </w:r>
      <w:r>
        <w:t xml:space="preserve"> </w:t>
      </w:r>
      <w:r>
        <w:rPr>
          <w:rFonts w:ascii="Arial"/>
          <w:b/>
          <w:bCs/>
          <w:sz w:val="38"/>
          <w:rtl/>
        </w:rPr>
        <w:t>קום נהיר כו'.</w:t>
      </w:r>
      <w:r>
        <w:rPr>
          <w:rFonts w:ascii="Arial"/>
          <w:sz w:val="38"/>
          <w:rtl/>
        </w:rPr>
        <w:t xml:space="preserve"> במילך:</w:t>
      </w:r>
    </w:p>
  </w:footnote>
  <w:footnote w:id="605">
    <w:p w:rsidR="00A13282" w:rsidRDefault="00A13282" w:rsidP="00D45634">
      <w:pPr>
        <w:pStyle w:val="a5"/>
      </w:pPr>
      <w:r>
        <w:rPr>
          <w:rStyle w:val="a7"/>
        </w:rPr>
        <w:footnoteRef/>
      </w:r>
      <w:r>
        <w:t xml:space="preserve"> </w:t>
      </w:r>
      <w:r>
        <w:rPr>
          <w:rFonts w:ascii="Arial"/>
          <w:b/>
          <w:bCs/>
          <w:sz w:val="38"/>
          <w:rtl/>
        </w:rPr>
        <w:t>ב' איהו בית כו'.</w:t>
      </w:r>
      <w:r>
        <w:rPr>
          <w:rFonts w:ascii="Arial"/>
          <w:sz w:val="38"/>
          <w:rtl/>
        </w:rPr>
        <w:t xml:space="preserve"> רוצה לומר מלכות, שבה כלולים כל האותיות:</w:t>
      </w:r>
    </w:p>
  </w:footnote>
  <w:footnote w:id="606">
    <w:p w:rsidR="00A13282" w:rsidRDefault="00A13282" w:rsidP="00D45634">
      <w:pPr>
        <w:pStyle w:val="a5"/>
      </w:pPr>
      <w:r>
        <w:rPr>
          <w:rStyle w:val="a7"/>
        </w:rPr>
        <w:footnoteRef/>
      </w:r>
      <w:r>
        <w:t xml:space="preserve"> </w:t>
      </w:r>
      <w:r>
        <w:rPr>
          <w:rFonts w:ascii="Arial"/>
          <w:b/>
          <w:bCs/>
          <w:sz w:val="38"/>
          <w:rtl/>
        </w:rPr>
        <w:t>ראשית נקודה כו'.</w:t>
      </w:r>
      <w:r>
        <w:rPr>
          <w:rFonts w:ascii="Arial"/>
          <w:sz w:val="38"/>
          <w:rtl/>
        </w:rPr>
        <w:t xml:space="preserve"> שבתוך הב' דגש קל, והוא נקודה, והיא ספירה הפנימית שבה כנ"ל, והוא מסטרא דחכמה כמו שאמר לעיל דנקודין מחכמה, והאי נקודה שבה כלולין תשעה נקודות והיא עשירית כמו האותיות:</w:t>
      </w:r>
    </w:p>
  </w:footnote>
  <w:footnote w:id="607">
    <w:p w:rsidR="00A13282" w:rsidRDefault="00A13282" w:rsidP="00D45634">
      <w:pPr>
        <w:pStyle w:val="a5"/>
      </w:pPr>
      <w:r>
        <w:rPr>
          <w:rStyle w:val="a7"/>
        </w:rPr>
        <w:footnoteRef/>
      </w:r>
      <w:r>
        <w:t xml:space="preserve"> </w:t>
      </w:r>
      <w:r>
        <w:rPr>
          <w:rFonts w:ascii="Arial"/>
          <w:b/>
          <w:bCs/>
          <w:sz w:val="38"/>
          <w:rtl/>
        </w:rPr>
        <w:t>עלה.</w:t>
      </w:r>
      <w:r>
        <w:rPr>
          <w:rFonts w:ascii="Arial"/>
          <w:sz w:val="38"/>
          <w:rtl/>
        </w:rPr>
        <w:t xml:space="preserve"> רוצה לומר על הנקודה הפנימית:</w:t>
      </w:r>
    </w:p>
  </w:footnote>
  <w:footnote w:id="608">
    <w:p w:rsidR="00A13282" w:rsidRDefault="00A13282" w:rsidP="00D45634">
      <w:pPr>
        <w:pStyle w:val="a5"/>
      </w:pPr>
      <w:r>
        <w:rPr>
          <w:rStyle w:val="a7"/>
        </w:rPr>
        <w:footnoteRef/>
      </w:r>
      <w:r>
        <w:t xml:space="preserve"> </w:t>
      </w:r>
      <w:r>
        <w:rPr>
          <w:rFonts w:ascii="Arial"/>
          <w:b/>
          <w:bCs/>
          <w:sz w:val="38"/>
          <w:rtl/>
        </w:rPr>
        <w:t>כל כבודה כו'.</w:t>
      </w:r>
      <w:r>
        <w:rPr>
          <w:rFonts w:ascii="Arial"/>
          <w:sz w:val="38"/>
          <w:rtl/>
        </w:rPr>
        <w:t xml:space="preserve"> רוצה לומר כבוד של בת מלך שהן עשר ספירות פנימים שהן מסטרא דחכמה שנקראת כבוד, ל"ב נתיבות, כלולין בנקודה של פנימה:</w:t>
      </w:r>
    </w:p>
  </w:footnote>
  <w:footnote w:id="609">
    <w:p w:rsidR="00A13282" w:rsidRDefault="00A13282" w:rsidP="00D45634">
      <w:pPr>
        <w:pStyle w:val="a5"/>
      </w:pPr>
      <w:r>
        <w:rPr>
          <w:rStyle w:val="a7"/>
        </w:rPr>
        <w:footnoteRef/>
      </w:r>
      <w:r>
        <w:t xml:space="preserve"> </w:t>
      </w:r>
      <w:r>
        <w:rPr>
          <w:rFonts w:ascii="Arial"/>
          <w:b/>
          <w:bCs/>
          <w:sz w:val="38"/>
          <w:rtl/>
        </w:rPr>
        <w:t>ספיר גזרתם.</w:t>
      </w:r>
      <w:r>
        <w:rPr>
          <w:rFonts w:ascii="Arial"/>
          <w:sz w:val="38"/>
          <w:rtl/>
        </w:rPr>
        <w:t xml:space="preserve"> דהיא אתנטלת מנהון:</w:t>
      </w:r>
    </w:p>
  </w:footnote>
  <w:footnote w:id="610">
    <w:p w:rsidR="00A13282" w:rsidRDefault="00A13282" w:rsidP="00D45634">
      <w:pPr>
        <w:pStyle w:val="a5"/>
      </w:pPr>
      <w:r>
        <w:rPr>
          <w:rStyle w:val="a7"/>
        </w:rPr>
        <w:footnoteRef/>
      </w:r>
      <w:r>
        <w:t xml:space="preserve"> </w:t>
      </w:r>
      <w:r>
        <w:rPr>
          <w:rFonts w:ascii="Arial"/>
          <w:b/>
          <w:bCs/>
          <w:sz w:val="38"/>
          <w:rtl/>
        </w:rPr>
        <w:t>ואלין אינון דנהרין.</w:t>
      </w:r>
      <w:r>
        <w:rPr>
          <w:rFonts w:ascii="Arial"/>
          <w:sz w:val="38"/>
          <w:rtl/>
        </w:rPr>
        <w:t xml:space="preserve"> כנ"ל דנקודות נהרין באתוון:</w:t>
      </w:r>
    </w:p>
  </w:footnote>
  <w:footnote w:id="611">
    <w:p w:rsidR="00A13282" w:rsidRDefault="00A13282" w:rsidP="00D45634">
      <w:pPr>
        <w:pStyle w:val="a5"/>
      </w:pPr>
      <w:r>
        <w:rPr>
          <w:rStyle w:val="a7"/>
        </w:rPr>
        <w:footnoteRef/>
      </w:r>
      <w:r>
        <w:t xml:space="preserve"> </w:t>
      </w:r>
      <w:r>
        <w:rPr>
          <w:rFonts w:ascii="Arial"/>
          <w:b/>
          <w:bCs/>
          <w:sz w:val="38"/>
          <w:rtl/>
        </w:rPr>
        <w:t>וספירים אתקריאו כו'.</w:t>
      </w:r>
      <w:r>
        <w:rPr>
          <w:rFonts w:ascii="Arial"/>
          <w:sz w:val="38"/>
          <w:rtl/>
        </w:rPr>
        <w:t xml:space="preserve"> רוצה לומר הנקודות, שהן עשר ספירות פנימים, נקראו ספירות כמו שאומר בהקדמה שניה, על שם דנהרין:</w:t>
      </w:r>
    </w:p>
  </w:footnote>
  <w:footnote w:id="612">
    <w:p w:rsidR="00A13282" w:rsidRDefault="00A13282" w:rsidP="00D45634">
      <w:pPr>
        <w:pStyle w:val="a5"/>
      </w:pPr>
      <w:r>
        <w:rPr>
          <w:rStyle w:val="a7"/>
        </w:rPr>
        <w:footnoteRef/>
      </w:r>
      <w:r>
        <w:t xml:space="preserve"> </w:t>
      </w:r>
      <w:r>
        <w:rPr>
          <w:rFonts w:ascii="Arial"/>
          <w:b/>
          <w:bCs/>
          <w:sz w:val="38"/>
          <w:rtl/>
        </w:rPr>
        <w:t>מספרים.</w:t>
      </w:r>
      <w:r>
        <w:rPr>
          <w:rFonts w:ascii="Arial"/>
          <w:sz w:val="38"/>
          <w:rtl/>
        </w:rPr>
        <w:t xml:space="preserve"> רוצה לומר נהרין:</w:t>
      </w:r>
    </w:p>
  </w:footnote>
  <w:footnote w:id="613">
    <w:p w:rsidR="00A13282" w:rsidRDefault="00A13282" w:rsidP="00D45634">
      <w:pPr>
        <w:pStyle w:val="a5"/>
      </w:pPr>
      <w:r>
        <w:rPr>
          <w:rStyle w:val="a7"/>
        </w:rPr>
        <w:footnoteRef/>
      </w:r>
      <w:r>
        <w:t xml:space="preserve"> </w:t>
      </w:r>
      <w:r>
        <w:rPr>
          <w:rFonts w:ascii="Arial"/>
          <w:b/>
          <w:bCs/>
          <w:sz w:val="38"/>
          <w:rtl/>
        </w:rPr>
        <w:t>כבוד אל.</w:t>
      </w:r>
      <w:r>
        <w:rPr>
          <w:rFonts w:ascii="Arial"/>
          <w:sz w:val="38"/>
          <w:rtl/>
        </w:rPr>
        <w:t xml:space="preserve"> רוצה לומר מחכמה כנ"ל:</w:t>
      </w:r>
    </w:p>
  </w:footnote>
  <w:footnote w:id="614">
    <w:p w:rsidR="00A13282" w:rsidRDefault="00A13282" w:rsidP="00D45634">
      <w:pPr>
        <w:pStyle w:val="a5"/>
      </w:pPr>
      <w:r>
        <w:rPr>
          <w:rStyle w:val="a7"/>
        </w:rPr>
        <w:footnoteRef/>
      </w:r>
      <w:r>
        <w:t xml:space="preserve"> </w:t>
      </w:r>
      <w:r>
        <w:rPr>
          <w:rFonts w:ascii="Arial"/>
          <w:b/>
          <w:bCs/>
          <w:sz w:val="38"/>
          <w:rtl/>
        </w:rPr>
        <w:t>אתקריאו עשר ספירות בלי מה.</w:t>
      </w:r>
      <w:r>
        <w:rPr>
          <w:rFonts w:ascii="Arial"/>
          <w:sz w:val="38"/>
          <w:rtl/>
        </w:rPr>
        <w:t xml:space="preserve"> רוצה לומר, בלי - ל"ב נתיבות, שהוא בחכמה, כבוד אל, ועשר ספירות. ומ"ה - על שם דנהיר בהון שם מ"ה, וזה שאומר ונחית בהו כו':</w:t>
      </w:r>
    </w:p>
  </w:footnote>
  <w:footnote w:id="615">
    <w:p w:rsidR="00A13282" w:rsidRDefault="00A13282" w:rsidP="00D45634">
      <w:pPr>
        <w:pStyle w:val="a5"/>
      </w:pPr>
      <w:r>
        <w:rPr>
          <w:rStyle w:val="a7"/>
        </w:rPr>
        <w:footnoteRef/>
      </w:r>
      <w:r>
        <w:t xml:space="preserve"> </w:t>
      </w:r>
      <w:r>
        <w:rPr>
          <w:rFonts w:ascii="Arial"/>
          <w:b/>
          <w:bCs/>
          <w:sz w:val="38"/>
          <w:rtl/>
        </w:rPr>
        <w:t>וכולהון נהירין באתוון.</w:t>
      </w:r>
      <w:r>
        <w:rPr>
          <w:rFonts w:ascii="Arial"/>
          <w:sz w:val="38"/>
          <w:rtl/>
        </w:rPr>
        <w:t xml:space="preserve"> רוצה לומר הנקודות ושם מ"ה שבתוכן:</w:t>
      </w:r>
    </w:p>
  </w:footnote>
  <w:footnote w:id="616">
    <w:p w:rsidR="00A13282" w:rsidRDefault="00A13282" w:rsidP="00D45634">
      <w:pPr>
        <w:pStyle w:val="a5"/>
      </w:pPr>
      <w:r>
        <w:rPr>
          <w:rStyle w:val="a7"/>
        </w:rPr>
        <w:footnoteRef/>
      </w:r>
      <w:r>
        <w:t xml:space="preserve"> </w:t>
      </w:r>
      <w:r>
        <w:rPr>
          <w:rFonts w:ascii="Arial"/>
          <w:b/>
          <w:bCs/>
          <w:sz w:val="38"/>
          <w:rtl/>
        </w:rPr>
        <w:t>אלין ספירן ואתוון כו'.</w:t>
      </w:r>
      <w:r>
        <w:rPr>
          <w:rFonts w:ascii="Arial"/>
          <w:sz w:val="38"/>
          <w:rtl/>
        </w:rPr>
        <w:t xml:space="preserve"> רוצה לומר, הב' - מהאותיות, והנקודה - מספירות כנ"ל:</w:t>
      </w:r>
    </w:p>
  </w:footnote>
  <w:footnote w:id="617">
    <w:p w:rsidR="00A13282" w:rsidRDefault="00A13282" w:rsidP="00D45634">
      <w:pPr>
        <w:pStyle w:val="a5"/>
      </w:pPr>
      <w:r>
        <w:rPr>
          <w:rStyle w:val="a7"/>
        </w:rPr>
        <w:footnoteRef/>
      </w:r>
      <w:r>
        <w:t xml:space="preserve"> </w:t>
      </w:r>
      <w:r>
        <w:rPr>
          <w:rFonts w:ascii="Arial"/>
          <w:b/>
          <w:bCs/>
          <w:sz w:val="38"/>
          <w:rtl/>
        </w:rPr>
        <w:t>בחכמה יבנה כו'.</w:t>
      </w:r>
      <w:r>
        <w:rPr>
          <w:rFonts w:ascii="Arial"/>
          <w:sz w:val="38"/>
          <w:rtl/>
        </w:rPr>
        <w:t xml:space="preserve"> רוצה לומר הנקודות דנהרין בה כנ"ל:</w:t>
      </w:r>
    </w:p>
  </w:footnote>
  <w:footnote w:id="618">
    <w:p w:rsidR="00A13282" w:rsidRDefault="00A13282" w:rsidP="00D45634">
      <w:pPr>
        <w:pStyle w:val="a5"/>
      </w:pPr>
      <w:r>
        <w:rPr>
          <w:rStyle w:val="a7"/>
        </w:rPr>
        <w:footnoteRef/>
      </w:r>
      <w:r>
        <w:t xml:space="preserve"> </w:t>
      </w:r>
      <w:r>
        <w:rPr>
          <w:rFonts w:ascii="Arial"/>
          <w:b/>
          <w:bCs/>
          <w:sz w:val="38"/>
          <w:rtl/>
        </w:rPr>
        <w:t>וחשוקיהם אלין כו'.</w:t>
      </w:r>
      <w:r>
        <w:rPr>
          <w:rFonts w:ascii="Arial"/>
          <w:sz w:val="38"/>
          <w:rtl/>
        </w:rPr>
        <w:t xml:space="preserve"> כמו שאמר לעיל חש"ק הוא נה"י:</w:t>
      </w:r>
    </w:p>
  </w:footnote>
  <w:footnote w:id="619">
    <w:p w:rsidR="00A13282" w:rsidRDefault="00A13282" w:rsidP="00D45634">
      <w:pPr>
        <w:pStyle w:val="a5"/>
      </w:pPr>
      <w:r>
        <w:rPr>
          <w:rStyle w:val="a7"/>
        </w:rPr>
        <w:footnoteRef/>
      </w:r>
      <w:r>
        <w:t xml:space="preserve"> </w:t>
      </w:r>
      <w:r>
        <w:rPr>
          <w:rFonts w:ascii="Arial"/>
          <w:b/>
          <w:bCs/>
          <w:sz w:val="38"/>
          <w:rtl/>
        </w:rPr>
        <w:t>דא נקודה מלגאו כו'.</w:t>
      </w:r>
      <w:r>
        <w:rPr>
          <w:rFonts w:ascii="Arial"/>
          <w:sz w:val="38"/>
          <w:rtl/>
        </w:rPr>
        <w:t xml:space="preserve"> רוצה לומר חכמה דהיא יו"ד:</w:t>
      </w:r>
    </w:p>
  </w:footnote>
  <w:footnote w:id="620">
    <w:p w:rsidR="00A13282" w:rsidRDefault="00A13282" w:rsidP="00D45634">
      <w:pPr>
        <w:pStyle w:val="a5"/>
      </w:pPr>
      <w:r>
        <w:rPr>
          <w:rStyle w:val="a7"/>
        </w:rPr>
        <w:footnoteRef/>
      </w:r>
      <w:r>
        <w:t xml:space="preserve"> </w:t>
      </w:r>
      <w:r>
        <w:rPr>
          <w:rFonts w:ascii="Arial"/>
          <w:b/>
          <w:bCs/>
          <w:sz w:val="38"/>
          <w:rtl/>
        </w:rPr>
        <w:t>מבריח כו'.</w:t>
      </w:r>
      <w:r>
        <w:rPr>
          <w:rFonts w:ascii="Arial"/>
          <w:sz w:val="38"/>
          <w:rtl/>
        </w:rPr>
        <w:t xml:space="preserve"> כל שם הוי"ה נכלל כאן שהוי"ה הוא בת"ת. והן מרומזים ב</w:t>
      </w:r>
      <w:r>
        <w:rPr>
          <w:rFonts w:ascii="Arial"/>
          <w:b/>
          <w:bCs/>
          <w:sz w:val="38"/>
          <w:szCs w:val="28"/>
          <w:rtl/>
        </w:rPr>
        <w:t>בּ</w:t>
      </w:r>
      <w:r>
        <w:rPr>
          <w:rFonts w:ascii="Arial"/>
          <w:sz w:val="38"/>
          <w:rtl/>
        </w:rPr>
        <w:t>. י' הוא הנקודה שבה, ו' הוא העמוד שבאורך, מבריח מן הקצה אל הקצה הוא מגג עליון לגג תחתון שהן ב' ההי"ן שנקראו ג"כ בריחים וזה שאומר לקמן בסמוך ה"ה כד נטלין כו':</w:t>
      </w:r>
    </w:p>
  </w:footnote>
  <w:footnote w:id="621">
    <w:p w:rsidR="00A13282" w:rsidRDefault="00A13282" w:rsidP="00D45634">
      <w:pPr>
        <w:pStyle w:val="a5"/>
      </w:pPr>
      <w:r>
        <w:rPr>
          <w:rStyle w:val="a7"/>
        </w:rPr>
        <w:footnoteRef/>
      </w:r>
      <w:r>
        <w:t xml:space="preserve"> </w:t>
      </w:r>
      <w:r>
        <w:rPr>
          <w:rFonts w:ascii="Arial"/>
          <w:b/>
          <w:bCs/>
          <w:sz w:val="38"/>
          <w:rtl/>
        </w:rPr>
        <w:t>קשורא דתלת כו'.</w:t>
      </w:r>
      <w:r>
        <w:rPr>
          <w:rFonts w:ascii="Arial"/>
          <w:sz w:val="38"/>
          <w:rtl/>
        </w:rPr>
        <w:t xml:space="preserve"> רוצה לומר היכן יסוד מרומז בב' ובמשכן:</w:t>
      </w:r>
    </w:p>
  </w:footnote>
  <w:footnote w:id="622">
    <w:p w:rsidR="00A13282" w:rsidRDefault="00A13282" w:rsidP="00D45634">
      <w:pPr>
        <w:pStyle w:val="a5"/>
      </w:pPr>
      <w:r>
        <w:rPr>
          <w:rStyle w:val="a7"/>
        </w:rPr>
        <w:footnoteRef/>
      </w:r>
      <w:r>
        <w:t xml:space="preserve"> </w:t>
      </w:r>
      <w:r>
        <w:rPr>
          <w:rFonts w:ascii="Arial"/>
          <w:b/>
          <w:bCs/>
          <w:sz w:val="38"/>
          <w:rtl/>
        </w:rPr>
        <w:t>יסוד עולם.</w:t>
      </w:r>
      <w:r>
        <w:rPr>
          <w:rFonts w:ascii="Arial"/>
          <w:sz w:val="38"/>
          <w:rtl/>
        </w:rPr>
        <w:t xml:space="preserve"> רוצה לומר שעליו אתקיים עלמא דהוא חג"ת:</w:t>
      </w:r>
    </w:p>
  </w:footnote>
  <w:footnote w:id="623">
    <w:p w:rsidR="00A13282" w:rsidRDefault="00A13282" w:rsidP="00D45634">
      <w:pPr>
        <w:pStyle w:val="a5"/>
      </w:pPr>
      <w:r>
        <w:rPr>
          <w:rStyle w:val="a7"/>
        </w:rPr>
        <w:footnoteRef/>
      </w:r>
      <w:r>
        <w:t xml:space="preserve"> </w:t>
      </w:r>
      <w:r>
        <w:rPr>
          <w:rFonts w:ascii="Arial"/>
          <w:b/>
          <w:bCs/>
          <w:sz w:val="38"/>
          <w:rtl/>
        </w:rPr>
        <w:t>המשכילים יזהירו.</w:t>
      </w:r>
      <w:r>
        <w:rPr>
          <w:rFonts w:ascii="Arial"/>
          <w:sz w:val="38"/>
          <w:rtl/>
        </w:rPr>
        <w:t xml:space="preserve"> כנ"ל המשכילים - רקימו דגוונין, יזהירו - ציורין דנקודין:</w:t>
      </w:r>
    </w:p>
  </w:footnote>
  <w:footnote w:id="624">
    <w:p w:rsidR="00A13282" w:rsidRDefault="00A13282" w:rsidP="00D45634">
      <w:pPr>
        <w:pStyle w:val="a5"/>
      </w:pPr>
      <w:r>
        <w:rPr>
          <w:rStyle w:val="a7"/>
        </w:rPr>
        <w:footnoteRef/>
      </w:r>
      <w:r>
        <w:t xml:space="preserve"> </w:t>
      </w:r>
      <w:r>
        <w:rPr>
          <w:rFonts w:ascii="Arial"/>
          <w:b/>
          <w:bCs/>
          <w:sz w:val="38"/>
          <w:rtl/>
        </w:rPr>
        <w:t>וכלא כו'.</w:t>
      </w:r>
      <w:r>
        <w:rPr>
          <w:rFonts w:ascii="Arial"/>
          <w:sz w:val="38"/>
          <w:rtl/>
        </w:rPr>
        <w:t xml:space="preserve"> רוצה לומר, ב' - הוא האותיות, רקימו דגוונין. ראשית - הוא הנקודות, מחכמה כנ"ל:</w:t>
      </w:r>
    </w:p>
  </w:footnote>
  <w:footnote w:id="625">
    <w:p w:rsidR="00A13282" w:rsidRDefault="00A13282" w:rsidP="00D45634">
      <w:pPr>
        <w:pStyle w:val="a5"/>
      </w:pPr>
      <w:r>
        <w:rPr>
          <w:rStyle w:val="a7"/>
        </w:rPr>
        <w:footnoteRef/>
      </w:r>
      <w:r>
        <w:t xml:space="preserve"> </w:t>
      </w:r>
      <w:r>
        <w:rPr>
          <w:rFonts w:ascii="Arial"/>
          <w:b/>
          <w:bCs/>
          <w:sz w:val="38"/>
          <w:rtl/>
        </w:rPr>
        <w:t>כזהר דא אלקים.</w:t>
      </w:r>
      <w:r>
        <w:rPr>
          <w:rFonts w:ascii="Arial"/>
          <w:sz w:val="38"/>
          <w:rtl/>
        </w:rPr>
        <w:t xml:space="preserve"> רוצה לומר אלקים, דבראשית ברא אלקים:</w:t>
      </w:r>
    </w:p>
  </w:footnote>
  <w:footnote w:id="626">
    <w:p w:rsidR="00A13282" w:rsidRDefault="00A13282" w:rsidP="00D45634">
      <w:pPr>
        <w:pStyle w:val="a5"/>
      </w:pPr>
      <w:r>
        <w:rPr>
          <w:rStyle w:val="a7"/>
        </w:rPr>
        <w:footnoteRef/>
      </w:r>
      <w:r>
        <w:t xml:space="preserve"> </w:t>
      </w:r>
      <w:r>
        <w:rPr>
          <w:rFonts w:ascii="Arial"/>
          <w:b/>
          <w:bCs/>
          <w:sz w:val="38"/>
          <w:rtl/>
        </w:rPr>
        <w:t>עאלת לגנתא כו'.</w:t>
      </w:r>
      <w:r>
        <w:rPr>
          <w:rFonts w:ascii="Arial"/>
          <w:sz w:val="38"/>
          <w:rtl/>
        </w:rPr>
        <w:t xml:space="preserve"> רוצה לומר שהתחיל לדרוש בעובדא דגן עדן וסיים מהרה וכן במשכן:</w:t>
      </w:r>
    </w:p>
  </w:footnote>
  <w:footnote w:id="627">
    <w:p w:rsidR="00A13282" w:rsidRDefault="00A13282" w:rsidP="00D45634">
      <w:pPr>
        <w:pStyle w:val="a5"/>
      </w:pPr>
      <w:r>
        <w:rPr>
          <w:rStyle w:val="a7"/>
        </w:rPr>
        <w:footnoteRef/>
      </w:r>
      <w:r>
        <w:t xml:space="preserve"> </w:t>
      </w:r>
      <w:r>
        <w:rPr>
          <w:rFonts w:ascii="Arial"/>
          <w:b/>
          <w:bCs/>
          <w:sz w:val="38"/>
          <w:rtl/>
        </w:rPr>
        <w:t>כמה חיילין כו'.</w:t>
      </w:r>
      <w:r>
        <w:rPr>
          <w:rFonts w:ascii="Arial"/>
          <w:sz w:val="38"/>
          <w:rtl/>
        </w:rPr>
        <w:t xml:space="preserve"> רוצה לומר המתיבתא דנחתו כנ"ל:</w:t>
      </w:r>
    </w:p>
  </w:footnote>
  <w:footnote w:id="628">
    <w:p w:rsidR="00A13282" w:rsidRDefault="00A13282" w:rsidP="00D45634">
      <w:pPr>
        <w:pStyle w:val="a5"/>
      </w:pPr>
      <w:r>
        <w:rPr>
          <w:rStyle w:val="a7"/>
        </w:rPr>
        <w:footnoteRef/>
      </w:r>
      <w:r>
        <w:t xml:space="preserve"> </w:t>
      </w:r>
      <w:r>
        <w:rPr>
          <w:rFonts w:ascii="Arial"/>
          <w:b/>
          <w:bCs/>
          <w:sz w:val="38"/>
          <w:rtl/>
        </w:rPr>
        <w:t>לעילא ותתא.</w:t>
      </w:r>
      <w:r>
        <w:rPr>
          <w:rFonts w:ascii="Arial"/>
          <w:sz w:val="38"/>
          <w:rtl/>
        </w:rPr>
        <w:t xml:space="preserve"> רוצה לומר, בשכינה ומט"ט, כמו שאומר לקמן המשכן וכתב אח"כ על מט"ט דאיהו מרכבה דילה ואיהו בדיוקנה:</w:t>
      </w:r>
    </w:p>
  </w:footnote>
  <w:footnote w:id="629">
    <w:p w:rsidR="00A13282" w:rsidRDefault="00A13282" w:rsidP="00D45634">
      <w:pPr>
        <w:pStyle w:val="a5"/>
      </w:pPr>
      <w:r>
        <w:rPr>
          <w:rStyle w:val="a7"/>
        </w:rPr>
        <w:footnoteRef/>
      </w:r>
      <w:r>
        <w:t xml:space="preserve"> </w:t>
      </w:r>
      <w:r>
        <w:rPr>
          <w:rFonts w:ascii="Arial"/>
          <w:b/>
          <w:bCs/>
          <w:sz w:val="38"/>
          <w:rtl/>
        </w:rPr>
        <w:t>ההוא דאיהו חכם כו'.</w:t>
      </w:r>
      <w:r>
        <w:rPr>
          <w:rFonts w:ascii="Arial"/>
          <w:sz w:val="38"/>
          <w:rtl/>
        </w:rPr>
        <w:t xml:space="preserve"> וזהו חכ"ם ל"ב:</w:t>
      </w:r>
    </w:p>
  </w:footnote>
  <w:footnote w:id="630">
    <w:p w:rsidR="00A13282" w:rsidRDefault="00A13282" w:rsidP="00D45634">
      <w:pPr>
        <w:pStyle w:val="a5"/>
      </w:pPr>
      <w:r>
        <w:rPr>
          <w:rStyle w:val="a7"/>
        </w:rPr>
        <w:footnoteRef/>
      </w:r>
      <w:r>
        <w:t xml:space="preserve"> </w:t>
      </w:r>
      <w:r>
        <w:rPr>
          <w:rFonts w:ascii="Arial"/>
          <w:b/>
          <w:bCs/>
          <w:sz w:val="38"/>
          <w:rtl/>
        </w:rPr>
        <w:t>בשית יומי.</w:t>
      </w:r>
      <w:r>
        <w:rPr>
          <w:rFonts w:ascii="Arial"/>
          <w:sz w:val="38"/>
          <w:rtl/>
        </w:rPr>
        <w:t xml:space="preserve"> ת"ת, ו"ק:</w:t>
      </w:r>
    </w:p>
  </w:footnote>
  <w:footnote w:id="631">
    <w:p w:rsidR="00A13282" w:rsidRDefault="00A13282" w:rsidP="00D45634">
      <w:pPr>
        <w:pStyle w:val="a5"/>
      </w:pPr>
      <w:r>
        <w:rPr>
          <w:rStyle w:val="a7"/>
        </w:rPr>
        <w:footnoteRef/>
      </w:r>
      <w:r>
        <w:t xml:space="preserve"> </w:t>
      </w:r>
      <w:r>
        <w:rPr>
          <w:rFonts w:ascii="Arial"/>
          <w:b/>
          <w:bCs/>
          <w:sz w:val="38"/>
          <w:rtl/>
        </w:rPr>
        <w:t>מעשר אמירן.</w:t>
      </w:r>
      <w:r>
        <w:rPr>
          <w:rFonts w:ascii="Arial"/>
          <w:sz w:val="38"/>
          <w:rtl/>
        </w:rPr>
        <w:t xml:space="preserve"> הן עשר ספירות שכלולין בחכמה שהיא יו"ד, והן י' מאמרות שבהן נברא העולם כמו שכתוב (תהלים קד כד) כולם בחכמה עשית, ולכך קורא אותן עשר אמירן. והכל הוא במעשה בראשית ובמשכן (מעשר אמירן) רוצה לומר דלכך נאמר עשר יריעות:</w:t>
      </w:r>
    </w:p>
  </w:footnote>
  <w:footnote w:id="632">
    <w:p w:rsidR="00A13282" w:rsidRDefault="00A13282" w:rsidP="00D45634">
      <w:pPr>
        <w:pStyle w:val="a5"/>
      </w:pPr>
      <w:r>
        <w:rPr>
          <w:rStyle w:val="a7"/>
        </w:rPr>
        <w:footnoteRef/>
      </w:r>
      <w:r>
        <w:t xml:space="preserve"> </w:t>
      </w:r>
      <w:r>
        <w:rPr>
          <w:rFonts w:ascii="Arial"/>
          <w:b/>
          <w:bCs/>
          <w:sz w:val="38"/>
          <w:rtl/>
        </w:rPr>
        <w:t>בעובדא דבראשית.</w:t>
      </w:r>
      <w:r>
        <w:rPr>
          <w:rFonts w:ascii="Arial"/>
          <w:sz w:val="38"/>
          <w:rtl/>
        </w:rPr>
        <w:t xml:space="preserve"> רוצה לומר וזהו בעושי המלאכה, דו"ק הן היו אומנין במעשה בראשית, כמו שאומר כי ששת ימים עשה, בששת לא כתיב כו'. וזהו חכם לב בעושי, ל"ב שהוא בעושי, והוא שש משזר ובו עשר יריעות:</w:t>
      </w:r>
    </w:p>
  </w:footnote>
  <w:footnote w:id="633">
    <w:p w:rsidR="00A13282" w:rsidRDefault="00A13282" w:rsidP="00D45634">
      <w:pPr>
        <w:pStyle w:val="a5"/>
      </w:pPr>
      <w:r>
        <w:rPr>
          <w:rStyle w:val="a7"/>
        </w:rPr>
        <w:footnoteRef/>
      </w:r>
      <w:r>
        <w:t xml:space="preserve"> </w:t>
      </w:r>
      <w:r>
        <w:rPr>
          <w:rFonts w:ascii="Arial"/>
          <w:b/>
          <w:bCs/>
          <w:sz w:val="38"/>
          <w:rtl/>
        </w:rPr>
        <w:t>בהון אשתמודעין אתוון.</w:t>
      </w:r>
      <w:r>
        <w:rPr>
          <w:rFonts w:ascii="Arial"/>
          <w:sz w:val="38"/>
          <w:rtl/>
        </w:rPr>
        <w:t xml:space="preserve"> רוצה לומר במעשה בראשית כנ"ל והמשכילים אינון אותיות כנ"ל. וזהו חכם לב, שהוא משכיל, שהוא יודע האותיות דעובדא דמשכנא כעובדא דבראשית כמו שביארנו. וזה שאמרו (ברכות נה ע"א) יודע היה בצלאל כו':</w:t>
      </w:r>
    </w:p>
  </w:footnote>
  <w:footnote w:id="634">
    <w:p w:rsidR="00A13282" w:rsidRDefault="00A13282" w:rsidP="00D45634">
      <w:pPr>
        <w:pStyle w:val="a5"/>
      </w:pPr>
      <w:r>
        <w:rPr>
          <w:rStyle w:val="a7"/>
        </w:rPr>
        <w:footnoteRef/>
      </w:r>
      <w:r>
        <w:t xml:space="preserve"> </w:t>
      </w:r>
      <w:r>
        <w:rPr>
          <w:rFonts w:ascii="Arial"/>
          <w:b/>
          <w:bCs/>
          <w:sz w:val="38"/>
          <w:rtl/>
        </w:rPr>
        <w:t>ואינון כ"ח כו'.</w:t>
      </w:r>
      <w:r>
        <w:rPr>
          <w:rFonts w:ascii="Arial"/>
          <w:sz w:val="38"/>
          <w:rtl/>
        </w:rPr>
        <w:t xml:space="preserve"> רוצה לומר מ"ב אותיות כמו שביארנו לעיל דששת ימי בראשית כלילן מעשר אמירן ול"ב שבילין שהן מ"ב, וזה שאומר לצרף אותיות שנבראו בהן שמים וארץ, שהן ששת ימים הנ"ל, וארץ כלולה מכל הו"ק כידוע:</w:t>
      </w:r>
    </w:p>
  </w:footnote>
  <w:footnote w:id="635">
    <w:p w:rsidR="00A13282" w:rsidRDefault="00A13282" w:rsidP="00D45634">
      <w:pPr>
        <w:pStyle w:val="a5"/>
      </w:pPr>
      <w:r>
        <w:rPr>
          <w:rStyle w:val="a7"/>
        </w:rPr>
        <w:footnoteRef/>
      </w:r>
      <w:r>
        <w:t xml:space="preserve"> </w:t>
      </w:r>
      <w:r>
        <w:rPr>
          <w:rFonts w:ascii="Arial"/>
          <w:b/>
          <w:bCs/>
          <w:sz w:val="38"/>
          <w:rtl/>
        </w:rPr>
        <w:t>כ"ח אתוון וארבע סרי כו'.</w:t>
      </w:r>
      <w:r>
        <w:rPr>
          <w:rFonts w:ascii="Arial"/>
          <w:sz w:val="38"/>
          <w:rtl/>
        </w:rPr>
        <w:t xml:space="preserve"> כמו שמפרש והולך, כ"ח - דבראשית ברא כו', וי"ד - דה' אלקינו ה'. כ"ח דבראשית הן ו"ק דששת ימים וזה שאומר את השמים כו' כנ"ל, אותיות שנבראו שמים וארץ. וי"ד דגניזין הן יה"ו (רוצה לומר ה' אלקינו ה' שהם או"א ות"ת כדלקמן בסמוך, הם יה"ו) דכליל ו"ק שהוא בן י"ה. וזה ה' אלקינו - שהוא או"א, יהו"ה - ת"ת. והן גניזין בכ"ח אותיות הנ"ל. בראשית - חכמה, אלקים - בינה, השמים - ת"ת, הארץ - דכלילא מכולהון. וזה ענינו, בראשית כלומר בחכמה, ברא אלקים את השמים. דאלקים הוא ל"ב נתיבות, ל"ב אלקים כמו שאומר לעיל בחכמה ובל"ב כו' כלילין כו' בחכמה דהוא כליל עשר אמירן אלקים ל"ב שבילין כנ"ל:</w:t>
      </w:r>
    </w:p>
  </w:footnote>
  <w:footnote w:id="636">
    <w:p w:rsidR="00A13282" w:rsidRDefault="00A13282" w:rsidP="00D45634">
      <w:pPr>
        <w:pStyle w:val="a5"/>
      </w:pPr>
      <w:r>
        <w:rPr>
          <w:rStyle w:val="a7"/>
        </w:rPr>
        <w:footnoteRef/>
      </w:r>
      <w:r>
        <w:t xml:space="preserve"> </w:t>
      </w:r>
      <w:r>
        <w:rPr>
          <w:rFonts w:ascii="Arial"/>
          <w:b/>
          <w:bCs/>
          <w:sz w:val="38"/>
          <w:rtl/>
        </w:rPr>
        <w:t>כח מעשיו.</w:t>
      </w:r>
      <w:r>
        <w:rPr>
          <w:rFonts w:ascii="Arial"/>
          <w:sz w:val="38"/>
          <w:rtl/>
        </w:rPr>
        <w:t xml:space="preserve"> רוצה לומר כ"ח דמעשה בראשית:</w:t>
      </w:r>
    </w:p>
  </w:footnote>
  <w:footnote w:id="637">
    <w:p w:rsidR="00A13282" w:rsidRDefault="00A13282" w:rsidP="00D45634">
      <w:pPr>
        <w:jc w:val="both"/>
      </w:pPr>
      <w:r>
        <w:rPr>
          <w:rStyle w:val="a7"/>
        </w:rPr>
        <w:footnoteRef/>
      </w:r>
      <w:r>
        <w:t xml:space="preserve"> </w:t>
      </w:r>
      <w:r>
        <w:rPr>
          <w:b/>
          <w:bCs/>
          <w:rtl/>
        </w:rPr>
        <w:t>וסימן אור כו'.</w:t>
      </w:r>
      <w:r>
        <w:rPr>
          <w:rtl/>
        </w:rPr>
        <w:t xml:space="preserve"> רוצה לומר באור הי"ד אותיות, שהן יה"ו, בודקין ומבערין החמץ מן ה' בתראה שהיא אור הנר. וכן לאעברא עמלק משם שהוא כס י"ה, כסא לאו"א וזה שאומר ובאלין י"ד כו':</w:t>
      </w:r>
    </w:p>
  </w:footnote>
  <w:footnote w:id="638">
    <w:p w:rsidR="00A13282" w:rsidRDefault="00A13282" w:rsidP="00D45634">
      <w:pPr>
        <w:pStyle w:val="a5"/>
      </w:pPr>
      <w:r>
        <w:rPr>
          <w:rStyle w:val="a7"/>
        </w:rPr>
        <w:footnoteRef/>
      </w:r>
      <w:r>
        <w:t xml:space="preserve"> </w:t>
      </w:r>
      <w:r>
        <w:rPr>
          <w:rFonts w:ascii="Arial"/>
          <w:b/>
          <w:bCs/>
          <w:sz w:val="38"/>
          <w:rtl/>
        </w:rPr>
        <w:t>אלין ארבע סרי דפורים.</w:t>
      </w:r>
      <w:r>
        <w:rPr>
          <w:rFonts w:ascii="Arial"/>
          <w:sz w:val="38"/>
          <w:rtl/>
        </w:rPr>
        <w:t xml:space="preserve"> רוצה לומר י"ד אתוון דה' אלקינו ה', שהוא בו"ק, הן י"ד דפורים. וי"ה דכליל בו - הוא בט"ו בו:</w:t>
      </w:r>
    </w:p>
  </w:footnote>
  <w:footnote w:id="639">
    <w:p w:rsidR="00A13282" w:rsidRDefault="00A13282" w:rsidP="00D45634">
      <w:pPr>
        <w:pStyle w:val="a5"/>
      </w:pPr>
      <w:r>
        <w:rPr>
          <w:rStyle w:val="a7"/>
        </w:rPr>
        <w:footnoteRef/>
      </w:r>
      <w:r>
        <w:t xml:space="preserve"> </w:t>
      </w:r>
      <w:r>
        <w:rPr>
          <w:rFonts w:ascii="Arial"/>
          <w:b/>
          <w:bCs/>
          <w:sz w:val="38"/>
          <w:rtl/>
        </w:rPr>
        <w:t>דא י"ד י"ה.</w:t>
      </w:r>
      <w:r>
        <w:rPr>
          <w:rFonts w:ascii="Arial"/>
          <w:sz w:val="38"/>
          <w:rtl/>
        </w:rPr>
        <w:t xml:space="preserve"> י"ד וט"ו שהן בפורים, למחות זכר עמלק, וזהו כי י"ד כו'. ולא כמו שאומר י"ד דפסח הוא כי יד כו', שאין שייך לו אלא י"ד דפסח הוא דכ"ח כמו שאומר אבל כו':</w:t>
      </w:r>
    </w:p>
  </w:footnote>
  <w:footnote w:id="640">
    <w:p w:rsidR="00A13282" w:rsidRDefault="00A13282" w:rsidP="00D45634">
      <w:pPr>
        <w:pStyle w:val="a5"/>
      </w:pPr>
      <w:r>
        <w:rPr>
          <w:rStyle w:val="a7"/>
        </w:rPr>
        <w:footnoteRef/>
      </w:r>
      <w:r>
        <w:t xml:space="preserve"> </w:t>
      </w:r>
      <w:r>
        <w:rPr>
          <w:rFonts w:ascii="Arial"/>
          <w:b/>
          <w:bCs/>
          <w:sz w:val="38"/>
          <w:rtl/>
        </w:rPr>
        <w:t>אבל סימנין כו'.</w:t>
      </w:r>
      <w:r>
        <w:rPr>
          <w:rFonts w:ascii="Arial"/>
          <w:sz w:val="38"/>
          <w:rtl/>
        </w:rPr>
        <w:t xml:space="preserve"> רוצה לומר ארבעה עשר הוא הת"ת כנ"ל, ואור י"ד הוא או"א. וזה שאומר לעיל אור לי"ד בודקין רוצה לומר עם י"ה כו'. וזהו י"ד י"ה שקאמר שם, וכן כאן אור י"ד, אור - או"א, י"ד - ת"ת. וכן י"ד אותיות קדמאין הוא בראשית ברא אלקים, הוא י"ד דאו"א כנ"ל ראשית עם אלקים. י"ד תניינין - את השמים כו', ו"ק:</w:t>
      </w:r>
    </w:p>
  </w:footnote>
  <w:footnote w:id="641">
    <w:p w:rsidR="00A13282" w:rsidRDefault="00A13282" w:rsidP="00D45634">
      <w:pPr>
        <w:pStyle w:val="a5"/>
      </w:pPr>
      <w:r>
        <w:rPr>
          <w:rStyle w:val="a7"/>
        </w:rPr>
        <w:footnoteRef/>
      </w:r>
      <w:r>
        <w:t xml:space="preserve"> </w:t>
      </w:r>
      <w:r>
        <w:rPr>
          <w:rFonts w:ascii="Arial"/>
          <w:b/>
          <w:bCs/>
          <w:sz w:val="38"/>
          <w:rtl/>
        </w:rPr>
        <w:t>ואינון כו'.</w:t>
      </w:r>
      <w:r>
        <w:rPr>
          <w:rFonts w:ascii="Arial"/>
          <w:sz w:val="38"/>
          <w:rtl/>
        </w:rPr>
        <w:t xml:space="preserve"> רוצה לומר י"ד פרקי אצבעות שבשבילן נקרא יד:</w:t>
      </w:r>
    </w:p>
  </w:footnote>
  <w:footnote w:id="642">
    <w:p w:rsidR="00A13282" w:rsidRDefault="00A13282" w:rsidP="00D45634">
      <w:pPr>
        <w:pStyle w:val="a5"/>
      </w:pPr>
      <w:r>
        <w:rPr>
          <w:rStyle w:val="a7"/>
        </w:rPr>
        <w:footnoteRef/>
      </w:r>
      <w:r>
        <w:t xml:space="preserve"> </w:t>
      </w:r>
      <w:r>
        <w:rPr>
          <w:rFonts w:ascii="Arial"/>
          <w:b/>
          <w:bCs/>
          <w:sz w:val="38"/>
          <w:rtl/>
        </w:rPr>
        <w:t>ואינון ג' פרקין כו'.</w:t>
      </w:r>
      <w:r>
        <w:rPr>
          <w:rFonts w:ascii="Arial"/>
          <w:sz w:val="38"/>
          <w:rtl/>
        </w:rPr>
        <w:t xml:space="preserve"> מפרש י"ד פרקין דגופא:</w:t>
      </w:r>
    </w:p>
  </w:footnote>
  <w:footnote w:id="643">
    <w:p w:rsidR="00A13282" w:rsidRDefault="00A13282" w:rsidP="00D45634">
      <w:pPr>
        <w:pStyle w:val="a5"/>
      </w:pPr>
      <w:r>
        <w:rPr>
          <w:rStyle w:val="a7"/>
        </w:rPr>
        <w:footnoteRef/>
      </w:r>
      <w:r>
        <w:t xml:space="preserve"> </w:t>
      </w:r>
      <w:r>
        <w:rPr>
          <w:rFonts w:ascii="Arial"/>
          <w:b/>
          <w:bCs/>
          <w:sz w:val="38"/>
          <w:rtl/>
        </w:rPr>
        <w:t>ורזא דמלה כו'.</w:t>
      </w:r>
      <w:r>
        <w:rPr>
          <w:rFonts w:ascii="Arial"/>
          <w:sz w:val="38"/>
          <w:rtl/>
        </w:rPr>
        <w:t xml:space="preserve"> והים עומד כו' הוא הגוף בו ב' פרקין:</w:t>
      </w:r>
    </w:p>
  </w:footnote>
  <w:footnote w:id="644">
    <w:p w:rsidR="00A13282" w:rsidRDefault="00A13282" w:rsidP="00D45634">
      <w:pPr>
        <w:pStyle w:val="a5"/>
      </w:pPr>
      <w:r>
        <w:rPr>
          <w:rStyle w:val="a7"/>
        </w:rPr>
        <w:footnoteRef/>
      </w:r>
      <w:r>
        <w:t xml:space="preserve"> </w:t>
      </w:r>
      <w:r>
        <w:rPr>
          <w:rFonts w:ascii="Arial"/>
          <w:b/>
          <w:bCs/>
          <w:sz w:val="38"/>
          <w:rtl/>
        </w:rPr>
        <w:t>וכולא דא כו'.</w:t>
      </w:r>
      <w:r>
        <w:rPr>
          <w:rFonts w:ascii="Arial"/>
          <w:sz w:val="38"/>
          <w:rtl/>
        </w:rPr>
        <w:t xml:space="preserve"> רוצה לומר אעפ"י שהים הוא בשכינה מכל מקום דא כגוונא דא כמו שמפרש והולך שהמשכן, שכינה, כלולה מכולהו תקונין דגופא. וזה שאומר תקונא דגופא כו' וענינו לפרש פסוק כל חכם לב כמו שמפרש והולך:</w:t>
      </w:r>
    </w:p>
  </w:footnote>
  <w:footnote w:id="645">
    <w:p w:rsidR="00A13282" w:rsidRDefault="00A13282" w:rsidP="00D45634">
      <w:pPr>
        <w:pStyle w:val="a5"/>
      </w:pPr>
      <w:r>
        <w:rPr>
          <w:rStyle w:val="a7"/>
        </w:rPr>
        <w:footnoteRef/>
      </w:r>
      <w:r>
        <w:t xml:space="preserve"> </w:t>
      </w:r>
      <w:r>
        <w:rPr>
          <w:rFonts w:ascii="Arial"/>
          <w:b/>
          <w:bCs/>
          <w:sz w:val="38"/>
          <w:rtl/>
        </w:rPr>
        <w:t>ודא איהו ויעשו כו'.</w:t>
      </w:r>
      <w:r>
        <w:rPr>
          <w:rFonts w:ascii="Arial"/>
          <w:sz w:val="38"/>
          <w:rtl/>
        </w:rPr>
        <w:t xml:space="preserve"> כנ"ל ל"ב ועשר יריען דכלילן בשש משזר:</w:t>
      </w:r>
    </w:p>
  </w:footnote>
  <w:footnote w:id="646">
    <w:p w:rsidR="00A13282" w:rsidRDefault="00A13282" w:rsidP="00D45634">
      <w:pPr>
        <w:pStyle w:val="a5"/>
      </w:pPr>
      <w:r>
        <w:rPr>
          <w:rStyle w:val="a7"/>
        </w:rPr>
        <w:footnoteRef/>
      </w:r>
      <w:r>
        <w:t xml:space="preserve"> </w:t>
      </w:r>
      <w:r>
        <w:rPr>
          <w:rFonts w:ascii="Arial"/>
          <w:b/>
          <w:bCs/>
          <w:sz w:val="38"/>
          <w:rtl/>
        </w:rPr>
        <w:t>דא שבת.</w:t>
      </w:r>
      <w:r>
        <w:rPr>
          <w:rFonts w:ascii="Arial"/>
          <w:sz w:val="38"/>
          <w:rtl/>
        </w:rPr>
        <w:t xml:space="preserve"> רוצה לומר שכינה עילאה, כמו שאומר דמשכן הוא שכינתא תתאה, כלול מששת ימי בראשית, וארון כנגד שבת:</w:t>
      </w:r>
    </w:p>
  </w:footnote>
  <w:footnote w:id="647">
    <w:p w:rsidR="00A13282" w:rsidRDefault="00A13282" w:rsidP="00D45634">
      <w:pPr>
        <w:pStyle w:val="a5"/>
      </w:pPr>
      <w:r>
        <w:rPr>
          <w:rStyle w:val="a7"/>
        </w:rPr>
        <w:footnoteRef/>
      </w:r>
      <w:r>
        <w:t xml:space="preserve"> </w:t>
      </w:r>
      <w:r>
        <w:rPr>
          <w:rFonts w:ascii="Arial"/>
          <w:b/>
          <w:bCs/>
          <w:sz w:val="38"/>
          <w:rtl/>
        </w:rPr>
        <w:t>דמשכנא איהו כו'.</w:t>
      </w:r>
      <w:r>
        <w:rPr>
          <w:rFonts w:ascii="Arial"/>
          <w:sz w:val="38"/>
          <w:rtl/>
        </w:rPr>
        <w:t xml:space="preserve"> שהיריעות שש משזר הן נקראין משכן כמו שכתוב בפסוק בהדיא:</w:t>
      </w:r>
    </w:p>
  </w:footnote>
  <w:footnote w:id="648">
    <w:p w:rsidR="00A13282" w:rsidRDefault="00A13282" w:rsidP="00D45634">
      <w:pPr>
        <w:pStyle w:val="a5"/>
      </w:pPr>
      <w:r>
        <w:rPr>
          <w:rStyle w:val="a7"/>
        </w:rPr>
        <w:footnoteRef/>
      </w:r>
      <w:r>
        <w:t xml:space="preserve"> </w:t>
      </w:r>
      <w:r>
        <w:rPr>
          <w:rFonts w:ascii="Arial"/>
          <w:b/>
          <w:bCs/>
          <w:sz w:val="38"/>
          <w:rtl/>
        </w:rPr>
        <w:t>איהו שש משזר כו'.</w:t>
      </w:r>
      <w:r>
        <w:rPr>
          <w:rFonts w:ascii="Arial"/>
          <w:sz w:val="38"/>
          <w:rtl/>
        </w:rPr>
        <w:t xml:space="preserve"> רוצה לומר שהיא השכינה, מלכות, דכלילא מו"ק כמו שמפרש והולך וזהו שש משזר ששזורה מששה שבה כלולין ביחד:</w:t>
      </w:r>
    </w:p>
  </w:footnote>
  <w:footnote w:id="649">
    <w:p w:rsidR="00A13282" w:rsidRDefault="00A13282" w:rsidP="00D45634">
      <w:pPr>
        <w:pStyle w:val="a5"/>
      </w:pPr>
      <w:r>
        <w:rPr>
          <w:rStyle w:val="a7"/>
        </w:rPr>
        <w:footnoteRef/>
      </w:r>
      <w:r>
        <w:t xml:space="preserve"> </w:t>
      </w:r>
      <w:r>
        <w:rPr>
          <w:rFonts w:ascii="Arial"/>
          <w:b/>
          <w:bCs/>
          <w:sz w:val="38"/>
          <w:rtl/>
        </w:rPr>
        <w:t>צלע המשכן כו'.</w:t>
      </w:r>
      <w:r>
        <w:rPr>
          <w:rFonts w:ascii="Arial"/>
          <w:sz w:val="38"/>
          <w:rtl/>
        </w:rPr>
        <w:t xml:space="preserve"> רוצה לומר שעליו נאמר ויקח אחת מצלעותיו, הוא מט"ט, ויסגור בשר הוא השכינה, כמו שכתוב שם לזאת יקרא אשה, בשר מבשרי, אבל הראשונה שהיא השפחה, עצם מעצמי, לא מצא עזר, וזהו צלעות המשכן שהן קרשים דוגמא דעצמות הגוף שהן קשים אבל בשר הגוף הוא השכינה שהיא דוגמת היריעות, ועצמות הן המרכבה לבשר, ובבשר כלילן אברים הפנימים שהן ו"ק וזה שאומר עלה אתמר כו':</w:t>
      </w:r>
    </w:p>
  </w:footnote>
  <w:footnote w:id="650">
    <w:p w:rsidR="00A13282" w:rsidRDefault="00A13282" w:rsidP="00D45634">
      <w:pPr>
        <w:pStyle w:val="a5"/>
      </w:pPr>
      <w:r>
        <w:rPr>
          <w:rStyle w:val="a7"/>
        </w:rPr>
        <w:footnoteRef/>
      </w:r>
      <w:r>
        <w:t xml:space="preserve"> </w:t>
      </w:r>
      <w:r>
        <w:rPr>
          <w:rFonts w:ascii="Arial"/>
          <w:b/>
          <w:bCs/>
          <w:sz w:val="38"/>
          <w:rtl/>
        </w:rPr>
        <w:t>עצם השמים לטוהר.</w:t>
      </w:r>
      <w:r>
        <w:rPr>
          <w:rFonts w:ascii="Arial"/>
          <w:sz w:val="38"/>
          <w:rtl/>
        </w:rPr>
        <w:t xml:space="preserve"> מביא ראיה שמט"ט נקרא עצם, שהוא היכל עצם השמים, שהוא יסוד דהיכלות, שהוא צדיק דלתתא כנ"ל:</w:t>
      </w:r>
    </w:p>
  </w:footnote>
  <w:footnote w:id="651">
    <w:p w:rsidR="00A13282" w:rsidRDefault="00A13282" w:rsidP="00D45634">
      <w:pPr>
        <w:pStyle w:val="a5"/>
      </w:pPr>
      <w:r>
        <w:rPr>
          <w:rStyle w:val="a7"/>
        </w:rPr>
        <w:footnoteRef/>
      </w:r>
      <w:r>
        <w:t xml:space="preserve"> </w:t>
      </w:r>
      <w:r>
        <w:rPr>
          <w:rFonts w:ascii="Arial"/>
          <w:b/>
          <w:bCs/>
          <w:sz w:val="38"/>
          <w:rtl/>
        </w:rPr>
        <w:t>דא לב.</w:t>
      </w:r>
      <w:r>
        <w:rPr>
          <w:rFonts w:ascii="Arial"/>
          <w:sz w:val="38"/>
          <w:rtl/>
        </w:rPr>
        <w:t xml:space="preserve"> דלב הוא דבר אחד, ולבא הוא דבר אחר, כמו שאומר בזהר פנחס, לב הוא אוקימנא אבל לבא כו', דלבא הוא לב הגופני ולב הוא אש היסודי שבלב, ועל לבא אמר לקמן שהוא פתורא ולב הוא ארון, וזהו אם אין קמח כו' (אבות ג יז). וזה שאומר לב נור דליק כו' רוצה לומר דארון הוא אותיות נור, וא' שבו הוא ל"ב נתיבות כידוע, י"ו למעלה י"ו למטה, ולכך נקרא ל"ב, ל"ב נתיבות:</w:t>
      </w:r>
    </w:p>
  </w:footnote>
  <w:footnote w:id="652">
    <w:p w:rsidR="00A13282" w:rsidRDefault="00A13282" w:rsidP="00D45634">
      <w:pPr>
        <w:pStyle w:val="a5"/>
      </w:pPr>
      <w:r>
        <w:rPr>
          <w:rStyle w:val="a7"/>
        </w:rPr>
        <w:footnoteRef/>
      </w:r>
      <w:r>
        <w:t xml:space="preserve"> </w:t>
      </w:r>
      <w:r>
        <w:rPr>
          <w:rFonts w:ascii="Arial"/>
          <w:b/>
          <w:bCs/>
          <w:sz w:val="38"/>
          <w:rtl/>
        </w:rPr>
        <w:t>ואיהו שבת.</w:t>
      </w:r>
      <w:r>
        <w:rPr>
          <w:rFonts w:ascii="Arial"/>
          <w:sz w:val="38"/>
          <w:rtl/>
        </w:rPr>
        <w:t xml:space="preserve"> כנ"ל:</w:t>
      </w:r>
    </w:p>
  </w:footnote>
  <w:footnote w:id="653">
    <w:p w:rsidR="00A13282" w:rsidRDefault="00A13282" w:rsidP="00D45634">
      <w:pPr>
        <w:pStyle w:val="a5"/>
      </w:pPr>
      <w:r>
        <w:rPr>
          <w:rStyle w:val="a7"/>
        </w:rPr>
        <w:footnoteRef/>
      </w:r>
      <w:r>
        <w:t xml:space="preserve"> </w:t>
      </w:r>
      <w:r>
        <w:rPr>
          <w:rFonts w:ascii="Arial"/>
          <w:b/>
          <w:bCs/>
          <w:sz w:val="38"/>
          <w:rtl/>
        </w:rPr>
        <w:t>וביה שכינתא כו'.</w:t>
      </w:r>
      <w:r>
        <w:rPr>
          <w:rFonts w:ascii="Arial"/>
          <w:sz w:val="38"/>
          <w:rtl/>
        </w:rPr>
        <w:t xml:space="preserve"> רוצה לומר שהתורה שמונח בארון היא השכינה עלאה שהיא תורת חכם, מחכמה. ובלב הוא הבינה שבו מבין דהלב מבין ובינה הוא השכינה עילאה. ובשבת הוא חירו כו' כנגד התורה שהיא חרות, אל תקרי חרות כו' (עירובין נד ע"א), דאור של גיהנם אין שולט בתלמידי חכמים כמו שאמרו בחגיגה (כז ע"א) וזה שאומר:</w:t>
      </w:r>
    </w:p>
  </w:footnote>
  <w:footnote w:id="654">
    <w:p w:rsidR="00A13282" w:rsidRDefault="00A13282" w:rsidP="00D45634">
      <w:pPr>
        <w:pStyle w:val="a5"/>
      </w:pPr>
      <w:r>
        <w:rPr>
          <w:rStyle w:val="a7"/>
        </w:rPr>
        <w:footnoteRef/>
      </w:r>
      <w:r>
        <w:t xml:space="preserve"> </w:t>
      </w:r>
      <w:r>
        <w:rPr>
          <w:rFonts w:ascii="Arial"/>
          <w:b/>
          <w:bCs/>
          <w:sz w:val="38"/>
          <w:rtl/>
        </w:rPr>
        <w:t>דבגינה לא שלטין כו'.</w:t>
      </w:r>
      <w:r>
        <w:rPr>
          <w:rFonts w:ascii="Arial"/>
          <w:sz w:val="38"/>
          <w:rtl/>
        </w:rPr>
        <w:t xml:space="preserve"> ששבת שקולה ככל התורה (ירושלמי ברכות ט ע"א, פרק א הלכה ה) כנ"ל:</w:t>
      </w:r>
    </w:p>
  </w:footnote>
  <w:footnote w:id="655">
    <w:p w:rsidR="00A13282" w:rsidRDefault="00A13282" w:rsidP="00D45634">
      <w:pPr>
        <w:pStyle w:val="a5"/>
      </w:pPr>
      <w:r>
        <w:rPr>
          <w:rStyle w:val="a7"/>
        </w:rPr>
        <w:footnoteRef/>
      </w:r>
      <w:r>
        <w:t xml:space="preserve"> </w:t>
      </w:r>
      <w:r>
        <w:rPr>
          <w:rFonts w:ascii="Arial"/>
          <w:b/>
          <w:bCs/>
          <w:sz w:val="38"/>
          <w:rtl/>
        </w:rPr>
        <w:t>ומאי ניהו כו'.</w:t>
      </w:r>
      <w:r>
        <w:rPr>
          <w:rFonts w:ascii="Arial"/>
          <w:sz w:val="38"/>
          <w:rtl/>
        </w:rPr>
        <w:t xml:space="preserve"> רוצה לומר זה בשבת אבל בגוף ובמשכן היכן מרומז ואמר שהכבד הוא הגיהנם (שהוא התאוה), ומרה הוא אש של גיהנם שהיא הקנאה שכל החלאין תלוין בה כמו שאמרו (בבא קמא צב ע"ב) על פסוק והסירותי מחלה כו' וזה שאומר ואחריתה מרה כו' עד יפלח חץ כבדו. ובמשכן הן מזבח הנחשת להעביר הגיהנם ואש של מזבח נגד אש של גיהנם, להעבירו. ולכך לא תכבה דגיהנם אין לו כבייה. וכן בתורה נאמר (יהושע א ח) והגית בו כו', ושמן על ראשך כו' (קהלת ט ח):</w:t>
      </w:r>
    </w:p>
  </w:footnote>
  <w:footnote w:id="656">
    <w:p w:rsidR="00A13282" w:rsidRDefault="00A13282" w:rsidP="00D45634">
      <w:pPr>
        <w:pStyle w:val="a5"/>
      </w:pPr>
      <w:r>
        <w:rPr>
          <w:rStyle w:val="a7"/>
        </w:rPr>
        <w:footnoteRef/>
      </w:r>
      <w:r>
        <w:t xml:space="preserve"> </w:t>
      </w:r>
      <w:r>
        <w:rPr>
          <w:rFonts w:ascii="Arial"/>
          <w:b/>
          <w:bCs/>
          <w:sz w:val="38"/>
          <w:rtl/>
        </w:rPr>
        <w:t>כפרת הלב כו'.</w:t>
      </w:r>
      <w:r>
        <w:rPr>
          <w:rFonts w:ascii="Arial"/>
          <w:sz w:val="38"/>
          <w:rtl/>
        </w:rPr>
        <w:t xml:space="preserve"> רוצה לומר כפרת הלב של האדם הוא במשכן כפרת של הארון ובשבת הוא </w:t>
      </w:r>
      <w:r>
        <w:rPr>
          <w:rFonts w:ascii="Arial"/>
          <w:b/>
          <w:bCs/>
          <w:sz w:val="38"/>
          <w:rtl/>
        </w:rPr>
        <w:t>פרישו כו'.</w:t>
      </w:r>
      <w:r>
        <w:rPr>
          <w:rFonts w:ascii="Arial"/>
          <w:sz w:val="38"/>
          <w:rtl/>
        </w:rPr>
        <w:t xml:space="preserve"> מאימא עילאה שהיא נקראת סוכה כנ"ל כמו כפרת שהוא פרוש על הארון והלב:</w:t>
      </w:r>
    </w:p>
  </w:footnote>
  <w:footnote w:id="657">
    <w:p w:rsidR="00A13282" w:rsidRDefault="00A13282" w:rsidP="00D45634">
      <w:pPr>
        <w:pStyle w:val="a5"/>
      </w:pPr>
      <w:r>
        <w:rPr>
          <w:rStyle w:val="a7"/>
        </w:rPr>
        <w:footnoteRef/>
      </w:r>
      <w:r>
        <w:t xml:space="preserve"> </w:t>
      </w:r>
      <w:r>
        <w:rPr>
          <w:rFonts w:ascii="Arial"/>
          <w:b/>
          <w:bCs/>
          <w:sz w:val="38"/>
          <w:rtl/>
        </w:rPr>
        <w:t>וחכמה במוחא כו'.</w:t>
      </w:r>
      <w:r>
        <w:rPr>
          <w:rFonts w:ascii="Arial"/>
          <w:sz w:val="38"/>
          <w:rtl/>
        </w:rPr>
        <w:t xml:space="preserve"> רוצה לומר שהמנורה היא חסד ובו המוח שהוא חכמה במוח. וכן במנורה השמן שבו האור. וכן בשולחן הוא הגבורה ובו לב שבו הלב מבין, ארון ותורה כנ"ל:</w:t>
      </w:r>
    </w:p>
  </w:footnote>
  <w:footnote w:id="658">
    <w:p w:rsidR="00A13282" w:rsidRDefault="00A13282" w:rsidP="00D45634">
      <w:pPr>
        <w:pStyle w:val="a5"/>
      </w:pPr>
      <w:r>
        <w:rPr>
          <w:rStyle w:val="a7"/>
        </w:rPr>
        <w:footnoteRef/>
      </w:r>
      <w:r>
        <w:t xml:space="preserve"> </w:t>
      </w:r>
      <w:r>
        <w:rPr>
          <w:rFonts w:ascii="Arial"/>
          <w:b/>
          <w:bCs/>
          <w:sz w:val="38"/>
          <w:rtl/>
        </w:rPr>
        <w:t>דאיהו משחא דאתמר כו'.</w:t>
      </w:r>
      <w:r>
        <w:rPr>
          <w:rFonts w:ascii="Arial"/>
          <w:sz w:val="38"/>
          <w:rtl/>
        </w:rPr>
        <w:t xml:space="preserve"> רוצה לומר המוח הוא השמן ושמן הטוב הוא מוח טוב שמוכן לחכמה וזהו יורד על הזקן שזקן הוא שקנה חכמה כידוע:</w:t>
      </w:r>
    </w:p>
  </w:footnote>
  <w:footnote w:id="659">
    <w:p w:rsidR="00A13282" w:rsidRDefault="00A13282" w:rsidP="00D45634">
      <w:pPr>
        <w:pStyle w:val="a5"/>
      </w:pPr>
      <w:r>
        <w:rPr>
          <w:rStyle w:val="a7"/>
        </w:rPr>
        <w:footnoteRef/>
      </w:r>
      <w:r>
        <w:t xml:space="preserve"> </w:t>
      </w:r>
      <w:r>
        <w:rPr>
          <w:rFonts w:ascii="Arial"/>
          <w:b/>
          <w:bCs/>
          <w:sz w:val="38"/>
          <w:rtl/>
        </w:rPr>
        <w:t>כנפי ריאה.</w:t>
      </w:r>
      <w:r>
        <w:rPr>
          <w:rFonts w:ascii="Arial"/>
          <w:sz w:val="38"/>
          <w:rtl/>
        </w:rPr>
        <w:t xml:space="preserve"> רוצה לומר האומות שהן שתי הערוגות, הן שני הכרובים:</w:t>
      </w:r>
    </w:p>
  </w:footnote>
  <w:footnote w:id="660">
    <w:p w:rsidR="00A13282" w:rsidRDefault="00A13282" w:rsidP="00D45634">
      <w:pPr>
        <w:pStyle w:val="a5"/>
      </w:pPr>
      <w:r>
        <w:rPr>
          <w:rStyle w:val="a7"/>
        </w:rPr>
        <w:footnoteRef/>
      </w:r>
      <w:r>
        <w:t xml:space="preserve"> </w:t>
      </w:r>
      <w:r>
        <w:rPr>
          <w:rFonts w:ascii="Arial"/>
          <w:b/>
          <w:bCs/>
          <w:sz w:val="38"/>
          <w:rtl/>
        </w:rPr>
        <w:t>פורשי כנפים.</w:t>
      </w:r>
      <w:r>
        <w:rPr>
          <w:rFonts w:ascii="Arial"/>
          <w:sz w:val="38"/>
          <w:rtl/>
        </w:rPr>
        <w:t xml:space="preserve"> הן האונות:</w:t>
      </w:r>
    </w:p>
  </w:footnote>
  <w:footnote w:id="661">
    <w:p w:rsidR="00A13282" w:rsidRDefault="00A13282" w:rsidP="00D45634">
      <w:pPr>
        <w:pStyle w:val="a5"/>
      </w:pPr>
      <w:r>
        <w:rPr>
          <w:rStyle w:val="a7"/>
        </w:rPr>
        <w:footnoteRef/>
      </w:r>
      <w:r>
        <w:t xml:space="preserve"> </w:t>
      </w:r>
      <w:r>
        <w:rPr>
          <w:rFonts w:ascii="Arial"/>
          <w:b/>
          <w:bCs/>
          <w:sz w:val="38"/>
          <w:rtl/>
        </w:rPr>
        <w:t>ודא שכינתא כו'.</w:t>
      </w:r>
      <w:r>
        <w:rPr>
          <w:rFonts w:ascii="Arial"/>
          <w:sz w:val="38"/>
          <w:rtl/>
        </w:rPr>
        <w:t xml:space="preserve"> רוצה לומר לכך נאמר בצפון כו' כלומר שהוא בצפון כד נטלא כו':</w:t>
      </w:r>
    </w:p>
  </w:footnote>
  <w:footnote w:id="662">
    <w:p w:rsidR="00A13282" w:rsidRDefault="00A13282" w:rsidP="00D45634">
      <w:pPr>
        <w:pStyle w:val="a5"/>
      </w:pPr>
      <w:r>
        <w:rPr>
          <w:rStyle w:val="a7"/>
        </w:rPr>
        <w:footnoteRef/>
      </w:r>
      <w:r>
        <w:t xml:space="preserve"> </w:t>
      </w:r>
      <w:r>
        <w:rPr>
          <w:rFonts w:ascii="Arial"/>
          <w:b/>
          <w:bCs/>
          <w:sz w:val="38"/>
          <w:rtl/>
        </w:rPr>
        <w:t>ברכת ה'.</w:t>
      </w:r>
      <w:r>
        <w:rPr>
          <w:rFonts w:ascii="Arial"/>
          <w:sz w:val="38"/>
          <w:rtl/>
        </w:rPr>
        <w:t xml:space="preserve"> דבינה נקראת ברכה כידוע:</w:t>
      </w:r>
    </w:p>
  </w:footnote>
  <w:footnote w:id="663">
    <w:p w:rsidR="00A13282" w:rsidRDefault="00A13282" w:rsidP="00D45634">
      <w:pPr>
        <w:pStyle w:val="a5"/>
      </w:pPr>
      <w:r>
        <w:rPr>
          <w:rStyle w:val="a7"/>
        </w:rPr>
        <w:footnoteRef/>
      </w:r>
      <w:r>
        <w:t xml:space="preserve"> </w:t>
      </w:r>
      <w:r>
        <w:rPr>
          <w:rFonts w:ascii="Arial"/>
          <w:b/>
          <w:bCs/>
          <w:sz w:val="38"/>
          <w:rtl/>
        </w:rPr>
        <w:t>תרין כליין.</w:t>
      </w:r>
      <w:r>
        <w:rPr>
          <w:rFonts w:ascii="Arial"/>
          <w:sz w:val="38"/>
          <w:rtl/>
        </w:rPr>
        <w:t xml:space="preserve"> שהן שופכין מי השפע לאמה:</w:t>
      </w:r>
    </w:p>
  </w:footnote>
  <w:footnote w:id="664">
    <w:p w:rsidR="00A13282" w:rsidRDefault="00A13282" w:rsidP="00D45634">
      <w:pPr>
        <w:pStyle w:val="a5"/>
      </w:pPr>
      <w:r>
        <w:rPr>
          <w:rStyle w:val="a7"/>
        </w:rPr>
        <w:footnoteRef/>
      </w:r>
      <w:r>
        <w:t xml:space="preserve"> </w:t>
      </w:r>
      <w:r>
        <w:rPr>
          <w:rFonts w:ascii="Arial"/>
          <w:b/>
          <w:bCs/>
          <w:sz w:val="38"/>
          <w:rtl/>
        </w:rPr>
        <w:t>ובהן שריין כו'.</w:t>
      </w:r>
      <w:r>
        <w:rPr>
          <w:rFonts w:ascii="Arial"/>
          <w:sz w:val="38"/>
          <w:rtl/>
        </w:rPr>
        <w:t xml:space="preserve"> שנצח נקרא מעלה, והוד - מטה כנ"ל לכך הכיור על כנו:</w:t>
      </w:r>
    </w:p>
  </w:footnote>
  <w:footnote w:id="665">
    <w:p w:rsidR="00A13282" w:rsidRDefault="00A13282" w:rsidP="00D45634">
      <w:pPr>
        <w:pStyle w:val="a5"/>
      </w:pPr>
      <w:r>
        <w:rPr>
          <w:rStyle w:val="a7"/>
        </w:rPr>
        <w:footnoteRef/>
      </w:r>
      <w:r>
        <w:t xml:space="preserve"> </w:t>
      </w:r>
      <w:r>
        <w:rPr>
          <w:rFonts w:ascii="Arial"/>
          <w:b/>
          <w:bCs/>
          <w:sz w:val="38"/>
          <w:rtl/>
        </w:rPr>
        <w:t>ופני ארי'.</w:t>
      </w:r>
      <w:r>
        <w:rPr>
          <w:rFonts w:ascii="Arial"/>
          <w:sz w:val="38"/>
          <w:rtl/>
        </w:rPr>
        <w:t xml:space="preserve"> כמו שאומר לקמן דאריה הוא ראיה, שהוא באור, וזה שאומר ותמן מנרתא דליק:</w:t>
      </w:r>
    </w:p>
  </w:footnote>
  <w:footnote w:id="666">
    <w:p w:rsidR="00A13282" w:rsidRDefault="00A13282" w:rsidP="00D45634">
      <w:pPr>
        <w:pStyle w:val="a5"/>
      </w:pPr>
      <w:r>
        <w:rPr>
          <w:rStyle w:val="a7"/>
        </w:rPr>
        <w:footnoteRef/>
      </w:r>
      <w:r>
        <w:t xml:space="preserve"> </w:t>
      </w:r>
      <w:r>
        <w:rPr>
          <w:rFonts w:ascii="Arial"/>
          <w:b/>
          <w:bCs/>
          <w:sz w:val="38"/>
          <w:rtl/>
        </w:rPr>
        <w:t>ופני שור.</w:t>
      </w:r>
      <w:r>
        <w:rPr>
          <w:rFonts w:ascii="Arial"/>
          <w:sz w:val="38"/>
          <w:rtl/>
        </w:rPr>
        <w:t xml:space="preserve"> שנאמר (משלי יד ד) ורב תבואות בכח שור וזה שאומר ותמן פתורא כו':</w:t>
      </w:r>
    </w:p>
  </w:footnote>
  <w:footnote w:id="667">
    <w:p w:rsidR="00A13282" w:rsidRDefault="00A13282" w:rsidP="00D45634">
      <w:pPr>
        <w:pStyle w:val="a5"/>
      </w:pPr>
      <w:r>
        <w:rPr>
          <w:rStyle w:val="a7"/>
        </w:rPr>
        <w:footnoteRef/>
      </w:r>
      <w:r>
        <w:t xml:space="preserve"> </w:t>
      </w:r>
      <w:r>
        <w:rPr>
          <w:rFonts w:ascii="Arial"/>
          <w:b/>
          <w:bCs/>
          <w:sz w:val="38"/>
          <w:rtl/>
        </w:rPr>
        <w:t>ופני נשר.</w:t>
      </w:r>
      <w:r>
        <w:rPr>
          <w:rFonts w:ascii="Arial"/>
          <w:sz w:val="38"/>
          <w:rtl/>
        </w:rPr>
        <w:t xml:space="preserve"> שנאמר כנשר ירחף כו' בגופא והוא כדמות המשכן שפרוס מלמעלה וזה שאומר ותמן משכנא מתתקנא:</w:t>
      </w:r>
    </w:p>
  </w:footnote>
  <w:footnote w:id="668">
    <w:p w:rsidR="00A13282" w:rsidRDefault="00A13282" w:rsidP="00D45634">
      <w:pPr>
        <w:pStyle w:val="a5"/>
      </w:pPr>
      <w:r>
        <w:rPr>
          <w:rStyle w:val="a7"/>
        </w:rPr>
        <w:footnoteRef/>
      </w:r>
      <w:r>
        <w:t xml:space="preserve"> </w:t>
      </w:r>
      <w:r>
        <w:rPr>
          <w:rFonts w:ascii="Arial"/>
          <w:b/>
          <w:bCs/>
          <w:sz w:val="38"/>
          <w:rtl/>
        </w:rPr>
        <w:t>דמות א' לארבעתן.</w:t>
      </w:r>
      <w:r>
        <w:rPr>
          <w:rFonts w:ascii="Arial"/>
          <w:sz w:val="38"/>
          <w:rtl/>
        </w:rPr>
        <w:t xml:space="preserve"> כתיב אצל האופנים שהן מסטרא דילה, ואצל החיות היא ד' אנפין דכל חיה, שהן דמות אחת בכל חיה והיא דמות אדם, חיה הרביעית. וד' אנפין מסטרא ד' אותיות הוי"ה, ואדם מסטרא דשמא מפרש שהיא כלולה מכולם והוא במשכן עשר אמות אורך כו', לא הקרשים אלא גובה המשכן מעל הארץ, והקרשים מרכבה לאותו גובה:</w:t>
      </w:r>
    </w:p>
  </w:footnote>
  <w:footnote w:id="669">
    <w:p w:rsidR="00A13282" w:rsidRDefault="00A13282" w:rsidP="00D45634">
      <w:pPr>
        <w:jc w:val="both"/>
      </w:pPr>
      <w:r>
        <w:rPr>
          <w:rStyle w:val="a7"/>
        </w:rPr>
        <w:footnoteRef/>
      </w:r>
      <w:r>
        <w:t xml:space="preserve"> </w:t>
      </w:r>
      <w:r>
        <w:rPr>
          <w:b/>
          <w:bCs/>
          <w:rtl/>
        </w:rPr>
        <w:t>ואיהי ד' דאחד.</w:t>
      </w:r>
      <w:r>
        <w:rPr>
          <w:rtl/>
        </w:rPr>
        <w:t xml:space="preserve"> שא' של אחד הוא כתר עליון, וח' הוא ח’ ספירות מחכמה, וד' מלכות, משלמת לעשר. לכך קאמר שהיא יו"ד אתוון דשמא מפרש. וכנגד הד' בעצמו אמר ד' אתוון דהוי"ה, והמנורה והשולחן והמשכן וקומה דמשכן הן ד' חיות שם הוי"ה וזה שאומר </w:t>
      </w:r>
      <w:r>
        <w:rPr>
          <w:rFonts w:ascii="Arial" w:cs="Arial"/>
          <w:b/>
          <w:bCs/>
          <w:sz w:val="38"/>
          <w:rtl/>
        </w:rPr>
        <w:t>ואמלא אותו כו'.</w:t>
      </w:r>
      <w:r>
        <w:rPr>
          <w:rFonts w:ascii="Arial" w:cs="Arial"/>
          <w:sz w:val="38"/>
          <w:rtl/>
        </w:rPr>
        <w:t xml:space="preserve"> שידע כל האתוון על תיקונין למעבד המשכן על תיקונו:</w:t>
      </w:r>
    </w:p>
  </w:footnote>
  <w:footnote w:id="670">
    <w:p w:rsidR="00A13282" w:rsidRDefault="00A13282" w:rsidP="00D45634">
      <w:pPr>
        <w:pStyle w:val="a5"/>
      </w:pPr>
      <w:r>
        <w:rPr>
          <w:rStyle w:val="a7"/>
        </w:rPr>
        <w:footnoteRef/>
      </w:r>
      <w:r>
        <w:t xml:space="preserve"> </w:t>
      </w:r>
      <w:r>
        <w:rPr>
          <w:rFonts w:ascii="Arial"/>
          <w:b/>
          <w:bCs/>
          <w:sz w:val="38"/>
          <w:rtl/>
        </w:rPr>
        <w:t>ד"א והמשכילין אינון כו'.</w:t>
      </w:r>
      <w:r>
        <w:rPr>
          <w:rFonts w:ascii="Arial"/>
          <w:sz w:val="38"/>
          <w:rtl/>
        </w:rPr>
        <w:t xml:space="preserve"> שבהן הנפש, שתופא דגופא, והן אותיות:</w:t>
      </w:r>
    </w:p>
  </w:footnote>
  <w:footnote w:id="671">
    <w:p w:rsidR="00A13282" w:rsidRDefault="00A13282" w:rsidP="00D45634">
      <w:pPr>
        <w:pStyle w:val="a5"/>
      </w:pPr>
      <w:r>
        <w:rPr>
          <w:rStyle w:val="a7"/>
        </w:rPr>
        <w:footnoteRef/>
      </w:r>
      <w:r>
        <w:t xml:space="preserve"> </w:t>
      </w:r>
      <w:r>
        <w:rPr>
          <w:rFonts w:ascii="Arial"/>
          <w:b/>
          <w:bCs/>
          <w:sz w:val="38"/>
          <w:rtl/>
        </w:rPr>
        <w:t>יזהירו כו'.</w:t>
      </w:r>
      <w:r>
        <w:rPr>
          <w:rFonts w:ascii="Arial"/>
          <w:sz w:val="38"/>
          <w:rtl/>
        </w:rPr>
        <w:t xml:space="preserve"> והוא הרוח שבא מהם נקודות:</w:t>
      </w:r>
    </w:p>
  </w:footnote>
  <w:footnote w:id="672">
    <w:p w:rsidR="00A13282" w:rsidRDefault="00A13282" w:rsidP="00D45634">
      <w:pPr>
        <w:pStyle w:val="a5"/>
      </w:pPr>
      <w:r>
        <w:rPr>
          <w:rStyle w:val="a7"/>
        </w:rPr>
        <w:footnoteRef/>
      </w:r>
      <w:r>
        <w:t xml:space="preserve"> </w:t>
      </w:r>
      <w:r>
        <w:rPr>
          <w:rFonts w:ascii="Arial"/>
          <w:b/>
          <w:bCs/>
          <w:sz w:val="38"/>
          <w:rtl/>
        </w:rPr>
        <w:t>דפרצופא כו'.</w:t>
      </w:r>
      <w:r>
        <w:rPr>
          <w:rFonts w:ascii="Arial"/>
          <w:sz w:val="38"/>
          <w:rtl/>
        </w:rPr>
        <w:t xml:space="preserve"> כמו שאומר בתיקון ע':</w:t>
      </w:r>
    </w:p>
  </w:footnote>
  <w:footnote w:id="673">
    <w:p w:rsidR="00A13282" w:rsidRDefault="00A13282" w:rsidP="00D45634">
      <w:pPr>
        <w:pStyle w:val="a5"/>
      </w:pPr>
      <w:r>
        <w:rPr>
          <w:rStyle w:val="a7"/>
        </w:rPr>
        <w:footnoteRef/>
      </w:r>
      <w:r>
        <w:t xml:space="preserve"> </w:t>
      </w:r>
      <w:r>
        <w:rPr>
          <w:rFonts w:ascii="Arial"/>
          <w:b/>
          <w:bCs/>
          <w:sz w:val="38"/>
          <w:rtl/>
        </w:rPr>
        <w:t>באברין דגופא.</w:t>
      </w:r>
      <w:r>
        <w:rPr>
          <w:rFonts w:ascii="Arial"/>
          <w:sz w:val="38"/>
          <w:rtl/>
        </w:rPr>
        <w:t xml:space="preserve"> שהם רבים:</w:t>
      </w:r>
    </w:p>
  </w:footnote>
  <w:footnote w:id="674">
    <w:p w:rsidR="00A13282" w:rsidRDefault="00A13282" w:rsidP="00D45634">
      <w:pPr>
        <w:pStyle w:val="a5"/>
      </w:pPr>
      <w:r>
        <w:rPr>
          <w:rStyle w:val="a7"/>
        </w:rPr>
        <w:footnoteRef/>
      </w:r>
      <w:r>
        <w:t xml:space="preserve"> </w:t>
      </w:r>
      <w:r>
        <w:rPr>
          <w:rFonts w:ascii="Arial"/>
          <w:b/>
          <w:bCs/>
          <w:sz w:val="38"/>
          <w:rtl/>
        </w:rPr>
        <w:t>ככוכבי' כו'.</w:t>
      </w:r>
      <w:r>
        <w:rPr>
          <w:rFonts w:ascii="Arial"/>
          <w:sz w:val="38"/>
          <w:rtl/>
        </w:rPr>
        <w:t xml:space="preserve"> שהן נקודות כמו שאומר לעיל וזה שאומר נהרין מזלייהו:</w:t>
      </w:r>
    </w:p>
  </w:footnote>
  <w:footnote w:id="675">
    <w:p w:rsidR="00A13282" w:rsidRDefault="00A13282" w:rsidP="00D45634">
      <w:pPr>
        <w:pStyle w:val="a5"/>
      </w:pPr>
      <w:r>
        <w:rPr>
          <w:rStyle w:val="a7"/>
        </w:rPr>
        <w:footnoteRef/>
      </w:r>
      <w:r>
        <w:t xml:space="preserve"> </w:t>
      </w:r>
      <w:r>
        <w:rPr>
          <w:rFonts w:ascii="Arial"/>
          <w:b/>
          <w:bCs/>
          <w:sz w:val="38"/>
          <w:rtl/>
        </w:rPr>
        <w:t>ד"א והמשכילים אילין ד' סטרי כו'.</w:t>
      </w:r>
      <w:r>
        <w:rPr>
          <w:rFonts w:ascii="Arial"/>
          <w:sz w:val="38"/>
          <w:rtl/>
        </w:rPr>
        <w:t xml:space="preserve"> ג"כ נגד ד' יסודין וד' חיות ונשמתא שאמר לעיל בסמוך והן כנגד נר"ן, אותיות נקודות טעמים כנ"ל והכל הולך אל מקום אחד:</w:t>
      </w:r>
    </w:p>
  </w:footnote>
  <w:footnote w:id="676">
    <w:p w:rsidR="00A13282" w:rsidRDefault="00A13282" w:rsidP="00D45634">
      <w:pPr>
        <w:pStyle w:val="a5"/>
      </w:pPr>
      <w:r>
        <w:rPr>
          <w:rStyle w:val="a7"/>
        </w:rPr>
        <w:footnoteRef/>
      </w:r>
      <w:r>
        <w:t xml:space="preserve"> </w:t>
      </w:r>
      <w:r>
        <w:rPr>
          <w:rFonts w:ascii="Arial"/>
          <w:b/>
          <w:bCs/>
          <w:sz w:val="38"/>
          <w:rtl/>
        </w:rPr>
        <w:t>אלין ד' מלאכי' כו'.</w:t>
      </w:r>
      <w:r>
        <w:rPr>
          <w:rFonts w:ascii="Arial"/>
          <w:sz w:val="38"/>
          <w:rtl/>
        </w:rPr>
        <w:t xml:space="preserve"> שהם עומדים בארבע רוחות העולם כמו שאומר בזהר ועליהם הכסא:</w:t>
      </w:r>
    </w:p>
  </w:footnote>
  <w:footnote w:id="677">
    <w:p w:rsidR="00A13282" w:rsidRDefault="00A13282" w:rsidP="00D45634">
      <w:pPr>
        <w:pStyle w:val="a5"/>
      </w:pPr>
      <w:r>
        <w:rPr>
          <w:rStyle w:val="a7"/>
        </w:rPr>
        <w:footnoteRef/>
      </w:r>
      <w:r>
        <w:t xml:space="preserve"> </w:t>
      </w:r>
      <w:r>
        <w:rPr>
          <w:rFonts w:ascii="Arial"/>
          <w:b/>
          <w:bCs/>
          <w:sz w:val="38"/>
          <w:rtl/>
        </w:rPr>
        <w:t>נוריאל.</w:t>
      </w:r>
      <w:r>
        <w:rPr>
          <w:rFonts w:ascii="Arial"/>
          <w:sz w:val="38"/>
          <w:rtl/>
        </w:rPr>
        <w:t xml:space="preserve"> צריך להיות אוריאל, כי נוריאל הוא על גביהם כמו שאומר לקמן בתיקונים בסוד ארגמ"ן:</w:t>
      </w:r>
    </w:p>
  </w:footnote>
  <w:footnote w:id="678">
    <w:p w:rsidR="00A13282" w:rsidRDefault="00A13282" w:rsidP="00D45634">
      <w:pPr>
        <w:pStyle w:val="a5"/>
      </w:pPr>
      <w:r>
        <w:rPr>
          <w:rStyle w:val="a7"/>
        </w:rPr>
        <w:footnoteRef/>
      </w:r>
      <w:r>
        <w:t xml:space="preserve"> </w:t>
      </w:r>
      <w:r>
        <w:rPr>
          <w:rFonts w:ascii="Arial"/>
          <w:b/>
          <w:bCs/>
          <w:sz w:val="38"/>
          <w:rtl/>
        </w:rPr>
        <w:t>ד"א כו' ושפתותינו שבח.</w:t>
      </w:r>
      <w:r>
        <w:rPr>
          <w:rFonts w:ascii="Arial"/>
          <w:sz w:val="38"/>
          <w:rtl/>
        </w:rPr>
        <w:t xml:space="preserve"> והוא משכיל כמו שכתוב משכיל לאסף, משכיל לדוד, כמה שבחים במשכיל:</w:t>
      </w:r>
    </w:p>
  </w:footnote>
  <w:footnote w:id="679">
    <w:p w:rsidR="00A13282" w:rsidRDefault="00A13282" w:rsidP="00D45634">
      <w:pPr>
        <w:pStyle w:val="a5"/>
      </w:pPr>
      <w:r>
        <w:rPr>
          <w:rStyle w:val="a7"/>
        </w:rPr>
        <w:footnoteRef/>
      </w:r>
      <w:r>
        <w:t xml:space="preserve"> </w:t>
      </w:r>
      <w:r>
        <w:rPr>
          <w:rFonts w:ascii="Arial"/>
          <w:b/>
          <w:bCs/>
          <w:sz w:val="38"/>
          <w:rtl/>
        </w:rPr>
        <w:t>ובהון כו'.</w:t>
      </w:r>
      <w:r>
        <w:rPr>
          <w:rFonts w:ascii="Arial"/>
          <w:sz w:val="38"/>
          <w:rtl/>
        </w:rPr>
        <w:t xml:space="preserve"> רוצה לומר האותיות שנקראו והמשכילים כנ"ל ונותן טעם כאן לשבחא למלכא:</w:t>
      </w:r>
    </w:p>
  </w:footnote>
  <w:footnote w:id="680">
    <w:p w:rsidR="00A13282" w:rsidRDefault="00A13282" w:rsidP="00D45634">
      <w:pPr>
        <w:pStyle w:val="a5"/>
      </w:pPr>
      <w:r>
        <w:rPr>
          <w:rStyle w:val="a7"/>
        </w:rPr>
        <w:footnoteRef/>
      </w:r>
      <w:r>
        <w:t xml:space="preserve"> </w:t>
      </w:r>
      <w:r>
        <w:rPr>
          <w:rFonts w:ascii="Arial"/>
          <w:b/>
          <w:bCs/>
          <w:sz w:val="38"/>
          <w:rtl/>
        </w:rPr>
        <w:t>יזהירו כו'.</w:t>
      </w:r>
      <w:r>
        <w:rPr>
          <w:rFonts w:ascii="Arial"/>
          <w:sz w:val="38"/>
          <w:rtl/>
        </w:rPr>
        <w:t xml:space="preserve"> לשון אור לכן נאמר ועינינו מאירות:</w:t>
      </w:r>
    </w:p>
  </w:footnote>
  <w:footnote w:id="681">
    <w:p w:rsidR="00A13282" w:rsidRDefault="00A13282" w:rsidP="00D45634">
      <w:pPr>
        <w:pStyle w:val="a5"/>
      </w:pPr>
      <w:r>
        <w:rPr>
          <w:rStyle w:val="a7"/>
        </w:rPr>
        <w:footnoteRef/>
      </w:r>
      <w:r>
        <w:t xml:space="preserve"> </w:t>
      </w:r>
      <w:r>
        <w:rPr>
          <w:rFonts w:ascii="Arial"/>
          <w:b/>
          <w:bCs/>
          <w:sz w:val="38"/>
          <w:rtl/>
        </w:rPr>
        <w:t>ז' גלדי כו'.</w:t>
      </w:r>
      <w:r>
        <w:rPr>
          <w:rFonts w:ascii="Arial"/>
          <w:sz w:val="38"/>
          <w:rtl/>
        </w:rPr>
        <w:t xml:space="preserve"> עכשיו מפרש יזהירו, בעיינין, מסטרא דנקודות:</w:t>
      </w:r>
    </w:p>
  </w:footnote>
  <w:footnote w:id="682">
    <w:p w:rsidR="00A13282" w:rsidRDefault="00A13282" w:rsidP="00D45634">
      <w:pPr>
        <w:pStyle w:val="a5"/>
      </w:pPr>
      <w:r>
        <w:rPr>
          <w:rStyle w:val="a7"/>
        </w:rPr>
        <w:footnoteRef/>
      </w:r>
      <w:r>
        <w:t xml:space="preserve"> </w:t>
      </w:r>
      <w:r>
        <w:rPr>
          <w:rFonts w:ascii="Arial"/>
          <w:b/>
          <w:bCs/>
          <w:sz w:val="38"/>
          <w:rtl/>
        </w:rPr>
        <w:t>דאתמר בהון ועינינו כו'.</w:t>
      </w:r>
      <w:r>
        <w:rPr>
          <w:rFonts w:ascii="Arial"/>
          <w:sz w:val="38"/>
          <w:rtl/>
        </w:rPr>
        <w:t xml:space="preserve"> רוצה לומר ז' גלדי עינא מאירות מן האור שבעיינין כמו ז' כוכבים משמש וירח:</w:t>
      </w:r>
    </w:p>
  </w:footnote>
  <w:footnote w:id="683">
    <w:p w:rsidR="00A13282" w:rsidRDefault="00A13282" w:rsidP="00D45634">
      <w:pPr>
        <w:pStyle w:val="a5"/>
      </w:pPr>
      <w:r>
        <w:rPr>
          <w:rStyle w:val="a7"/>
        </w:rPr>
        <w:footnoteRef/>
      </w:r>
      <w:r>
        <w:t xml:space="preserve"> </w:t>
      </w:r>
      <w:r>
        <w:rPr>
          <w:rFonts w:ascii="Arial"/>
          <w:b/>
          <w:bCs/>
          <w:sz w:val="38"/>
          <w:rtl/>
        </w:rPr>
        <w:t>אלא חמה כו'.</w:t>
      </w:r>
      <w:r>
        <w:rPr>
          <w:rFonts w:ascii="Arial"/>
          <w:sz w:val="38"/>
          <w:rtl/>
        </w:rPr>
        <w:t xml:space="preserve"> ולכך נאמר חמה ולבנה בה' נקבה ושמש וירח לשון זכר הן לכך נקרא בפסוק פעם בלשון זכר ופעם בלשון נקבה כפי הבחינה שמדבר ואנו רואין החמה והלבנה בכלל ז' כוכבי לכת:</w:t>
      </w:r>
    </w:p>
  </w:footnote>
  <w:footnote w:id="684">
    <w:p w:rsidR="00A13282" w:rsidRDefault="00A13282" w:rsidP="00D45634">
      <w:pPr>
        <w:pStyle w:val="a5"/>
      </w:pPr>
      <w:r>
        <w:rPr>
          <w:rStyle w:val="a7"/>
        </w:rPr>
        <w:footnoteRef/>
      </w:r>
      <w:r>
        <w:t xml:space="preserve"> </w:t>
      </w:r>
      <w:r>
        <w:rPr>
          <w:rFonts w:ascii="Arial"/>
          <w:b/>
          <w:bCs/>
          <w:sz w:val="38"/>
          <w:rtl/>
        </w:rPr>
        <w:t>וכלא אתקשר כו'.</w:t>
      </w:r>
      <w:r>
        <w:rPr>
          <w:rFonts w:ascii="Arial"/>
          <w:sz w:val="38"/>
          <w:rtl/>
        </w:rPr>
        <w:t xml:space="preserve"> רוצה לומר חמשה אלפין, בחמשה המשמשין לפומא, שאלפין הן כלל האותיות, וה' נקודין הן ה' תנועות גדולות שבהן נכללין כל הנקודות, הן ה' המשמשין לעין:</w:t>
      </w:r>
    </w:p>
  </w:footnote>
  <w:footnote w:id="685">
    <w:p w:rsidR="00A13282" w:rsidRDefault="00A13282" w:rsidP="00D45634">
      <w:pPr>
        <w:pStyle w:val="a5"/>
      </w:pPr>
      <w:r>
        <w:rPr>
          <w:rStyle w:val="a7"/>
        </w:rPr>
        <w:footnoteRef/>
      </w:r>
      <w:r>
        <w:t xml:space="preserve"> </w:t>
      </w:r>
      <w:r>
        <w:rPr>
          <w:rFonts w:ascii="Arial"/>
          <w:b/>
          <w:bCs/>
          <w:sz w:val="38"/>
          <w:rtl/>
        </w:rPr>
        <w:t>חמש לגו חמש.</w:t>
      </w:r>
      <w:r>
        <w:rPr>
          <w:rFonts w:ascii="Arial"/>
          <w:sz w:val="38"/>
          <w:rtl/>
        </w:rPr>
        <w:t xml:space="preserve"> רוצה לומר שראשיכם כו', הן המאירין בתוך טפכם, שהן עיני העדה נגד העינים כנ"ל כמו נקודות בתוך אותיות והן ב' ההי"ן, ה' עלאה דנהרא בה' תתאה:</w:t>
      </w:r>
    </w:p>
  </w:footnote>
  <w:footnote w:id="686">
    <w:p w:rsidR="00A13282" w:rsidRDefault="00A13282" w:rsidP="00D45634">
      <w:pPr>
        <w:pStyle w:val="a5"/>
      </w:pPr>
      <w:r>
        <w:rPr>
          <w:rStyle w:val="a7"/>
        </w:rPr>
        <w:footnoteRef/>
      </w:r>
      <w:r>
        <w:t xml:space="preserve"> </w:t>
      </w:r>
      <w:r>
        <w:rPr>
          <w:rFonts w:ascii="Arial"/>
          <w:b/>
          <w:bCs/>
          <w:sz w:val="38"/>
          <w:rtl/>
        </w:rPr>
        <w:t>ומינייהו כו'.</w:t>
      </w:r>
      <w:r>
        <w:rPr>
          <w:rFonts w:ascii="Arial"/>
          <w:sz w:val="38"/>
          <w:rtl/>
        </w:rPr>
        <w:t xml:space="preserve"> רוצה לומר מתוך הי' דנהיר בשתי ההין ניתן עשר הדברות בשני לוחות נגד שתי ההין, ה' דברות על לוח אחד, וכל אחד מאיר לה' מעלות של ישראל, ראשיכם כו', והלוח השני טפכם כו':</w:t>
      </w:r>
    </w:p>
  </w:footnote>
  <w:footnote w:id="687">
    <w:p w:rsidR="00A13282" w:rsidRDefault="00A13282" w:rsidP="00D45634">
      <w:pPr>
        <w:pStyle w:val="a5"/>
      </w:pPr>
      <w:r>
        <w:rPr>
          <w:rStyle w:val="a7"/>
        </w:rPr>
        <w:footnoteRef/>
      </w:r>
      <w:r>
        <w:t xml:space="preserve"> </w:t>
      </w:r>
      <w:r>
        <w:rPr>
          <w:rFonts w:ascii="Arial"/>
          <w:b/>
          <w:bCs/>
          <w:sz w:val="38"/>
          <w:rtl/>
        </w:rPr>
        <w:t>וכל העם כו'.</w:t>
      </w:r>
      <w:r>
        <w:rPr>
          <w:rFonts w:ascii="Arial"/>
          <w:sz w:val="38"/>
          <w:rtl/>
        </w:rPr>
        <w:t xml:space="preserve"> קול של עשרת הדברות, ו' דנפיק מן יו"ד. וכן באדם, בעיינין ופה הוא כולל כל השם הוי"ה. י"ה - בעינים, ו"ה - בפה. יו"ד - בעשר נקודין כנ"ל. ה' - חמשה דברים המשמשין לעינים, כנפי כו'. ו' - קול. ה' - בדיבור, בחמשה מוצאות כו':</w:t>
      </w:r>
    </w:p>
  </w:footnote>
  <w:footnote w:id="688">
    <w:p w:rsidR="00A13282" w:rsidRDefault="00A13282" w:rsidP="00D45634">
      <w:pPr>
        <w:pStyle w:val="a5"/>
      </w:pPr>
      <w:r>
        <w:rPr>
          <w:rStyle w:val="a7"/>
        </w:rPr>
        <w:footnoteRef/>
      </w:r>
      <w:r>
        <w:t xml:space="preserve"> </w:t>
      </w:r>
      <w:r>
        <w:rPr>
          <w:rFonts w:ascii="Arial"/>
          <w:b/>
          <w:bCs/>
          <w:sz w:val="38"/>
          <w:rtl/>
        </w:rPr>
        <w:t>ד"א כו' מארי מקרא.</w:t>
      </w:r>
      <w:r>
        <w:rPr>
          <w:rFonts w:ascii="Arial"/>
          <w:sz w:val="38"/>
          <w:rtl/>
        </w:rPr>
        <w:t xml:space="preserve"> בעשיה:</w:t>
      </w:r>
    </w:p>
  </w:footnote>
  <w:footnote w:id="689">
    <w:p w:rsidR="00A13282" w:rsidRDefault="00A13282" w:rsidP="00D45634">
      <w:pPr>
        <w:pStyle w:val="a5"/>
      </w:pPr>
      <w:r>
        <w:rPr>
          <w:rStyle w:val="a7"/>
        </w:rPr>
        <w:footnoteRef/>
      </w:r>
      <w:r>
        <w:t xml:space="preserve"> </w:t>
      </w:r>
      <w:r>
        <w:rPr>
          <w:rFonts w:ascii="Arial"/>
          <w:b/>
          <w:bCs/>
          <w:sz w:val="38"/>
          <w:rtl/>
        </w:rPr>
        <w:t>מארי משנה.</w:t>
      </w:r>
      <w:r>
        <w:rPr>
          <w:rFonts w:ascii="Arial"/>
          <w:sz w:val="38"/>
          <w:rtl/>
        </w:rPr>
        <w:t xml:space="preserve"> ביצירה. וכזהר - הלכה, כמו שאומר להלן, כנגד אותיות נקודות טעמים, נר"ן, כנ"ל:</w:t>
      </w:r>
    </w:p>
  </w:footnote>
  <w:footnote w:id="690">
    <w:p w:rsidR="00A13282" w:rsidRDefault="00A13282" w:rsidP="00D45634">
      <w:pPr>
        <w:pStyle w:val="a5"/>
      </w:pPr>
      <w:r>
        <w:rPr>
          <w:rStyle w:val="a7"/>
        </w:rPr>
        <w:footnoteRef/>
      </w:r>
      <w:r>
        <w:t xml:space="preserve"> </w:t>
      </w:r>
      <w:r>
        <w:rPr>
          <w:rFonts w:ascii="Arial"/>
          <w:b/>
          <w:bCs/>
          <w:sz w:val="38"/>
          <w:rtl/>
        </w:rPr>
        <w:t>דאינון מ"מ מ"ט כו'.</w:t>
      </w:r>
      <w:r>
        <w:rPr>
          <w:rFonts w:ascii="Arial"/>
          <w:sz w:val="38"/>
          <w:rtl/>
        </w:rPr>
        <w:t xml:space="preserve"> הוא ראיה על מארי מתניתין דהיא ביצירה שהיא מ"ט אנפין כו'. ומט"ט הוא מ"ט אנפין כו' כידוע בסוד מטה הנהפך לנחש:</w:t>
      </w:r>
    </w:p>
  </w:footnote>
  <w:footnote w:id="691">
    <w:p w:rsidR="00A13282" w:rsidRDefault="00A13282" w:rsidP="00D45634">
      <w:pPr>
        <w:pStyle w:val="a5"/>
      </w:pPr>
      <w:r>
        <w:rPr>
          <w:rStyle w:val="a7"/>
        </w:rPr>
        <w:footnoteRef/>
      </w:r>
      <w:r>
        <w:t xml:space="preserve"> </w:t>
      </w:r>
      <w:r>
        <w:rPr>
          <w:rFonts w:ascii="Arial"/>
          <w:b/>
          <w:bCs/>
          <w:sz w:val="38"/>
          <w:rtl/>
        </w:rPr>
        <w:t>דיחודא עלאה.</w:t>
      </w:r>
      <w:r>
        <w:rPr>
          <w:rFonts w:ascii="Arial"/>
          <w:sz w:val="38"/>
          <w:rtl/>
        </w:rPr>
        <w:t xml:space="preserve"> רוצה לומר פסוק ראשון:</w:t>
      </w:r>
    </w:p>
  </w:footnote>
  <w:footnote w:id="692">
    <w:p w:rsidR="00A13282" w:rsidRDefault="00A13282" w:rsidP="00D45634">
      <w:pPr>
        <w:pStyle w:val="a5"/>
      </w:pPr>
      <w:r>
        <w:rPr>
          <w:rStyle w:val="a7"/>
        </w:rPr>
        <w:footnoteRef/>
      </w:r>
      <w:r>
        <w:t xml:space="preserve"> </w:t>
      </w:r>
      <w:r>
        <w:rPr>
          <w:rFonts w:ascii="Arial"/>
          <w:b/>
          <w:bCs/>
          <w:sz w:val="38"/>
          <w:rtl/>
        </w:rPr>
        <w:t>כה תאמר כו'.</w:t>
      </w:r>
      <w:r>
        <w:rPr>
          <w:rFonts w:ascii="Arial"/>
          <w:sz w:val="38"/>
          <w:rtl/>
        </w:rPr>
        <w:t xml:space="preserve"> רוצה לומר אמירה שהיא מסטרא דבינה שהיא כ"ה כמו שאומר לקמן:</w:t>
      </w:r>
    </w:p>
  </w:footnote>
  <w:footnote w:id="693">
    <w:p w:rsidR="00A13282" w:rsidRDefault="00A13282" w:rsidP="00D45634">
      <w:pPr>
        <w:pStyle w:val="a5"/>
      </w:pPr>
      <w:r>
        <w:rPr>
          <w:rStyle w:val="a7"/>
        </w:rPr>
        <w:footnoteRef/>
      </w:r>
      <w:r>
        <w:t xml:space="preserve"> </w:t>
      </w:r>
      <w:r>
        <w:rPr>
          <w:rFonts w:ascii="Arial"/>
          <w:b/>
          <w:bCs/>
          <w:sz w:val="38"/>
          <w:rtl/>
        </w:rPr>
        <w:t>ובכ"ד.</w:t>
      </w:r>
      <w:r>
        <w:rPr>
          <w:rFonts w:ascii="Arial"/>
          <w:sz w:val="38"/>
          <w:rtl/>
        </w:rPr>
        <w:t xml:space="preserve"> הוא שכינה תתאה כמו שמפרש והולך:</w:t>
      </w:r>
    </w:p>
  </w:footnote>
  <w:footnote w:id="694">
    <w:p w:rsidR="00A13282" w:rsidRDefault="00A13282" w:rsidP="00D45634">
      <w:pPr>
        <w:pStyle w:val="a5"/>
      </w:pPr>
      <w:r>
        <w:rPr>
          <w:rStyle w:val="a7"/>
        </w:rPr>
        <w:footnoteRef/>
      </w:r>
      <w:r>
        <w:t xml:space="preserve"> </w:t>
      </w:r>
      <w:r>
        <w:rPr>
          <w:rFonts w:ascii="Arial"/>
          <w:b/>
          <w:bCs/>
          <w:sz w:val="38"/>
          <w:rtl/>
        </w:rPr>
        <w:t>ימא דאורייתא.</w:t>
      </w:r>
      <w:r>
        <w:rPr>
          <w:rFonts w:ascii="Arial"/>
          <w:sz w:val="38"/>
          <w:rtl/>
        </w:rPr>
        <w:t xml:space="preserve"> בינה כמו שאומר לקמן:</w:t>
      </w:r>
    </w:p>
  </w:footnote>
  <w:footnote w:id="695">
    <w:p w:rsidR="00A13282" w:rsidRDefault="00A13282" w:rsidP="00D45634">
      <w:pPr>
        <w:pStyle w:val="a5"/>
      </w:pPr>
      <w:r>
        <w:rPr>
          <w:rStyle w:val="a7"/>
        </w:rPr>
        <w:footnoteRef/>
      </w:r>
      <w:r>
        <w:t xml:space="preserve"> </w:t>
      </w:r>
      <w:r>
        <w:rPr>
          <w:rFonts w:ascii="Arial"/>
          <w:b/>
          <w:bCs/>
          <w:sz w:val="38"/>
          <w:rtl/>
        </w:rPr>
        <w:t>ותגיד.</w:t>
      </w:r>
      <w:r>
        <w:rPr>
          <w:rFonts w:ascii="Arial"/>
          <w:sz w:val="38"/>
          <w:rtl/>
        </w:rPr>
        <w:t xml:space="preserve"> דהגדה היא מלכות כמו שאומר בתיקוני זוהר חדש:</w:t>
      </w:r>
    </w:p>
  </w:footnote>
  <w:footnote w:id="696">
    <w:p w:rsidR="00A13282" w:rsidRDefault="00A13282" w:rsidP="00D45634">
      <w:pPr>
        <w:pStyle w:val="a5"/>
      </w:pPr>
      <w:r>
        <w:rPr>
          <w:rStyle w:val="a7"/>
        </w:rPr>
        <w:footnoteRef/>
      </w:r>
      <w:r>
        <w:t xml:space="preserve"> </w:t>
      </w:r>
      <w:r>
        <w:rPr>
          <w:rFonts w:ascii="Arial"/>
          <w:b/>
          <w:bCs/>
          <w:sz w:val="38"/>
          <w:rtl/>
        </w:rPr>
        <w:t>ומאי ניהו כו'.</w:t>
      </w:r>
      <w:r>
        <w:rPr>
          <w:rFonts w:ascii="Arial"/>
          <w:sz w:val="38"/>
          <w:rtl/>
        </w:rPr>
        <w:t xml:space="preserve"> רוצה לומר ומי הוא הנהר ההולך מן הים, שמן הנהר שואבת הכד, ואמר שהוא צדיק כו':</w:t>
      </w:r>
    </w:p>
  </w:footnote>
  <w:footnote w:id="697">
    <w:p w:rsidR="00A13282" w:rsidRDefault="00A13282" w:rsidP="00D45634">
      <w:pPr>
        <w:pStyle w:val="a5"/>
      </w:pPr>
      <w:r>
        <w:rPr>
          <w:rStyle w:val="a7"/>
        </w:rPr>
        <w:footnoteRef/>
      </w:r>
      <w:r>
        <w:t xml:space="preserve"> </w:t>
      </w:r>
      <w:r>
        <w:rPr>
          <w:rFonts w:ascii="Arial"/>
          <w:b/>
          <w:bCs/>
          <w:sz w:val="38"/>
          <w:rtl/>
        </w:rPr>
        <w:t>בגין דנחית כו'.</w:t>
      </w:r>
      <w:r>
        <w:rPr>
          <w:rFonts w:ascii="Arial"/>
          <w:sz w:val="38"/>
          <w:rtl/>
        </w:rPr>
        <w:t xml:space="preserve"> רוצה לומר אף על גב דהנהר, אמרינן לעיל דהוא ת"ת, לכך אמר בגין כו' ואם כן הוא גם כן נהר:</w:t>
      </w:r>
    </w:p>
  </w:footnote>
  <w:footnote w:id="698">
    <w:p w:rsidR="00A13282" w:rsidRDefault="00A13282" w:rsidP="00D45634">
      <w:pPr>
        <w:pStyle w:val="a5"/>
      </w:pPr>
      <w:r>
        <w:rPr>
          <w:rStyle w:val="a7"/>
        </w:rPr>
        <w:footnoteRef/>
      </w:r>
      <w:r>
        <w:t xml:space="preserve"> </w:t>
      </w:r>
      <w:r>
        <w:rPr>
          <w:rFonts w:ascii="Arial"/>
          <w:b/>
          <w:bCs/>
          <w:sz w:val="38"/>
          <w:rtl/>
        </w:rPr>
        <w:t>אסתלק.</w:t>
      </w:r>
      <w:r>
        <w:rPr>
          <w:rFonts w:ascii="Arial"/>
          <w:sz w:val="38"/>
          <w:rtl/>
        </w:rPr>
        <w:t xml:space="preserve"> רוצה לומר ת"ת:</w:t>
      </w:r>
    </w:p>
  </w:footnote>
  <w:footnote w:id="699">
    <w:p w:rsidR="00A13282" w:rsidRDefault="00A13282" w:rsidP="00D45634">
      <w:pPr>
        <w:pStyle w:val="a5"/>
      </w:pPr>
      <w:r>
        <w:rPr>
          <w:rStyle w:val="a7"/>
        </w:rPr>
        <w:footnoteRef/>
      </w:r>
      <w:r>
        <w:t xml:space="preserve"> </w:t>
      </w:r>
      <w:r>
        <w:rPr>
          <w:rFonts w:ascii="Arial"/>
          <w:b/>
          <w:bCs/>
          <w:sz w:val="38"/>
          <w:rtl/>
        </w:rPr>
        <w:t>בבית ראשון כו'.</w:t>
      </w:r>
      <w:r>
        <w:rPr>
          <w:rFonts w:ascii="Arial"/>
          <w:sz w:val="38"/>
          <w:rtl/>
        </w:rPr>
        <w:t xml:space="preserve"> שני בתים הן שתי ההי"ן. בבית ראשון הוא חרב, שאינו הולך לשם, ובבית שני - יבש, שאין משקה אותה:</w:t>
      </w:r>
    </w:p>
  </w:footnote>
  <w:footnote w:id="700">
    <w:p w:rsidR="00A13282" w:rsidRDefault="00A13282" w:rsidP="00D45634">
      <w:pPr>
        <w:pStyle w:val="a5"/>
      </w:pPr>
      <w:r>
        <w:rPr>
          <w:rStyle w:val="a7"/>
        </w:rPr>
        <w:footnoteRef/>
      </w:r>
      <w:r>
        <w:t xml:space="preserve"> </w:t>
      </w:r>
      <w:r>
        <w:rPr>
          <w:rFonts w:ascii="Arial"/>
          <w:b/>
          <w:bCs/>
          <w:sz w:val="38"/>
          <w:rtl/>
        </w:rPr>
        <w:t>אל ישוב כו'.</w:t>
      </w:r>
      <w:r>
        <w:rPr>
          <w:rFonts w:ascii="Arial"/>
          <w:sz w:val="38"/>
          <w:rtl/>
        </w:rPr>
        <w:t xml:space="preserve"> מצאתי שהוא ראשי תיבות אדנ"י. ונראה לי כי היא כלולה מכ"ד ספרים והוא כ"ד צירופי אדנ"י וראשי תיבות הנ"ל הוא צירוף החמישי כמו שאומר לקמן כדה כ"ד ה' כו':</w:t>
      </w:r>
    </w:p>
  </w:footnote>
  <w:footnote w:id="701">
    <w:p w:rsidR="00A13282" w:rsidRDefault="00A13282" w:rsidP="00D45634">
      <w:pPr>
        <w:pStyle w:val="a5"/>
      </w:pPr>
      <w:r>
        <w:rPr>
          <w:rStyle w:val="a7"/>
        </w:rPr>
        <w:footnoteRef/>
      </w:r>
      <w:r>
        <w:t xml:space="preserve"> </w:t>
      </w:r>
      <w:r>
        <w:rPr>
          <w:rFonts w:ascii="Arial"/>
          <w:b/>
          <w:bCs/>
          <w:sz w:val="38"/>
          <w:rtl/>
        </w:rPr>
        <w:t>דאיהו צדיק כו'.</w:t>
      </w:r>
      <w:r>
        <w:rPr>
          <w:rFonts w:ascii="Arial"/>
          <w:sz w:val="38"/>
          <w:rtl/>
        </w:rPr>
        <w:t xml:space="preserve"> רוצה לומר טעם למה נקרא דך. ואמר </w:t>
      </w:r>
      <w:r>
        <w:rPr>
          <w:rFonts w:ascii="Arial"/>
          <w:b/>
          <w:bCs/>
          <w:sz w:val="38"/>
          <w:rtl/>
        </w:rPr>
        <w:t>דך בשכינתא.</w:t>
      </w:r>
      <w:r>
        <w:rPr>
          <w:rFonts w:ascii="Arial"/>
          <w:sz w:val="38"/>
          <w:rtl/>
        </w:rPr>
        <w:t xml:space="preserve"> רוצה לומר כי פסוק שמע ישראל הוא ת"ת, וכ"ה אתוון הן בינה, וברוך כו' - הוא צדיק, וכ"ד אתוון הן מלכות. וזה שאומר ד"ך בשכינתא:</w:t>
      </w:r>
    </w:p>
  </w:footnote>
  <w:footnote w:id="702">
    <w:p w:rsidR="00A13282" w:rsidRDefault="00A13282" w:rsidP="00D45634">
      <w:pPr>
        <w:pStyle w:val="a5"/>
      </w:pPr>
      <w:r>
        <w:rPr>
          <w:rStyle w:val="a7"/>
        </w:rPr>
        <w:footnoteRef/>
      </w:r>
      <w:r>
        <w:t xml:space="preserve"> </w:t>
      </w:r>
      <w:r>
        <w:rPr>
          <w:rFonts w:ascii="Arial"/>
          <w:b/>
          <w:bCs/>
          <w:sz w:val="38"/>
          <w:rtl/>
        </w:rPr>
        <w:t>והמלך כו'.</w:t>
      </w:r>
      <w:r>
        <w:rPr>
          <w:rFonts w:ascii="Arial"/>
          <w:sz w:val="38"/>
          <w:rtl/>
        </w:rPr>
        <w:t xml:space="preserve"> רוצה לומר שלמה, שהוא יסוד, הוא ברוך. ומביא ראיה שיסוד נקרא ברוך:</w:t>
      </w:r>
    </w:p>
  </w:footnote>
  <w:footnote w:id="703">
    <w:p w:rsidR="00A13282" w:rsidRDefault="00A13282" w:rsidP="00D45634">
      <w:pPr>
        <w:pStyle w:val="a5"/>
      </w:pPr>
      <w:r>
        <w:rPr>
          <w:rStyle w:val="a7"/>
        </w:rPr>
        <w:footnoteRef/>
      </w:r>
      <w:r>
        <w:t xml:space="preserve"> </w:t>
      </w:r>
      <w:r>
        <w:rPr>
          <w:rFonts w:ascii="Arial"/>
          <w:b/>
          <w:bCs/>
          <w:sz w:val="38"/>
          <w:rtl/>
        </w:rPr>
        <w:t>ושמתי כ"ד כ"ד.</w:t>
      </w:r>
      <w:r>
        <w:rPr>
          <w:rFonts w:ascii="Arial"/>
          <w:sz w:val="38"/>
          <w:rtl/>
        </w:rPr>
        <w:t xml:space="preserve"> רוצה לומר צדיק ומלכות, דבגלותא נקראין דך וזה שאומר </w:t>
      </w:r>
      <w:r>
        <w:rPr>
          <w:rFonts w:ascii="Arial"/>
          <w:b/>
          <w:bCs/>
          <w:sz w:val="38"/>
          <w:rtl/>
        </w:rPr>
        <w:t>האי עני כו'.</w:t>
      </w:r>
      <w:r>
        <w:rPr>
          <w:rFonts w:ascii="Arial"/>
          <w:sz w:val="38"/>
          <w:rtl/>
        </w:rPr>
        <w:t xml:space="preserve"> רוצה לומר דך לשון עני:</w:t>
      </w:r>
    </w:p>
  </w:footnote>
  <w:footnote w:id="704">
    <w:p w:rsidR="00A13282" w:rsidRDefault="00A13282" w:rsidP="00D45634">
      <w:pPr>
        <w:pStyle w:val="a5"/>
      </w:pPr>
      <w:r>
        <w:rPr>
          <w:rStyle w:val="a7"/>
        </w:rPr>
        <w:footnoteRef/>
      </w:r>
      <w:r>
        <w:t xml:space="preserve"> </w:t>
      </w:r>
      <w:r>
        <w:rPr>
          <w:rFonts w:ascii="Arial"/>
          <w:b/>
          <w:bCs/>
          <w:sz w:val="38"/>
          <w:rtl/>
        </w:rPr>
        <w:t>דכ"ה.</w:t>
      </w:r>
      <w:r>
        <w:rPr>
          <w:rFonts w:ascii="Arial"/>
          <w:sz w:val="38"/>
          <w:rtl/>
        </w:rPr>
        <w:t xml:space="preserve"> שהיא ה' תתאה ורוצה לומר שהיא דכה מן כ"ד ספרים דשאבין מימא דאורייתא שהוא ה' חומשי תורה. וזה שאומר </w:t>
      </w:r>
      <w:r>
        <w:rPr>
          <w:rFonts w:ascii="Arial"/>
          <w:b/>
          <w:bCs/>
          <w:sz w:val="38"/>
          <w:rtl/>
        </w:rPr>
        <w:t>ואיהי כדה כו'.</w:t>
      </w:r>
      <w:r>
        <w:rPr>
          <w:rFonts w:ascii="Arial"/>
          <w:sz w:val="38"/>
          <w:rtl/>
        </w:rPr>
        <w:t xml:space="preserve"> רוצה לומר בפורקנא:</w:t>
      </w:r>
    </w:p>
  </w:footnote>
  <w:footnote w:id="705">
    <w:p w:rsidR="00A13282" w:rsidRDefault="00A13282" w:rsidP="00D45634">
      <w:pPr>
        <w:jc w:val="both"/>
      </w:pPr>
      <w:r>
        <w:rPr>
          <w:rStyle w:val="a7"/>
        </w:rPr>
        <w:footnoteRef/>
      </w:r>
      <w:r>
        <w:t xml:space="preserve"> </w:t>
      </w:r>
      <w:r>
        <w:rPr>
          <w:b/>
          <w:bCs/>
          <w:rtl/>
        </w:rPr>
        <w:t>כ"ד ה' כו'.</w:t>
      </w:r>
      <w:r>
        <w:rPr>
          <w:rtl/>
        </w:rPr>
        <w:t xml:space="preserve"> ה' עלאה הוא ה' חומשי תורה, וה' תתאה נעשה כדה בזמן ששואבת כ"ד מה' וזה שאומר לעיל תאמר - שהתורה היא אמירה, אבל כ"ד ספרים אין בהם מצוה לעשות רק הגדה לכן ותגיד. וזה שאומר לעיל ובכ"ד כו' ספרים אתמר בהון ותגיד:</w:t>
      </w:r>
    </w:p>
  </w:footnote>
  <w:footnote w:id="706">
    <w:p w:rsidR="00A13282" w:rsidRDefault="00A13282" w:rsidP="00D45634">
      <w:pPr>
        <w:pStyle w:val="a5"/>
      </w:pPr>
      <w:r>
        <w:rPr>
          <w:rStyle w:val="a7"/>
        </w:rPr>
        <w:footnoteRef/>
      </w:r>
      <w:r>
        <w:t xml:space="preserve"> </w:t>
      </w:r>
      <w:r>
        <w:rPr>
          <w:rFonts w:ascii="Arial"/>
          <w:b/>
          <w:bCs/>
          <w:sz w:val="38"/>
          <w:rtl/>
        </w:rPr>
        <w:t>ואינון ה' אצבעאן כו'.</w:t>
      </w:r>
      <w:r>
        <w:rPr>
          <w:rFonts w:ascii="Arial"/>
          <w:sz w:val="38"/>
          <w:rtl/>
        </w:rPr>
        <w:t xml:space="preserve"> רוצה לומר היכן ה' מרומז בכד ששואבין, ואמר בה' אצבעין וכן במלכות שהוא ה' תתאה, ה' אצבעין כידוע בסוד יד כהה, ה’ גבורות. ובה' הזה מתמלא ונעשה כדה. וזה שאומר ותמלא כדה ותעל, שאז עלייה לה כידוע:</w:t>
      </w:r>
    </w:p>
  </w:footnote>
  <w:footnote w:id="707">
    <w:p w:rsidR="00A13282" w:rsidRDefault="00A13282" w:rsidP="00D45634">
      <w:pPr>
        <w:pStyle w:val="a5"/>
      </w:pPr>
      <w:r>
        <w:rPr>
          <w:rStyle w:val="a7"/>
        </w:rPr>
        <w:footnoteRef/>
      </w:r>
      <w:r>
        <w:t xml:space="preserve"> </w:t>
      </w:r>
      <w:r>
        <w:rPr>
          <w:rFonts w:ascii="Arial"/>
          <w:b/>
          <w:bCs/>
          <w:sz w:val="38"/>
          <w:rtl/>
        </w:rPr>
        <w:t>את ודאי.</w:t>
      </w:r>
      <w:r>
        <w:rPr>
          <w:rFonts w:ascii="Arial"/>
          <w:sz w:val="38"/>
          <w:rtl/>
        </w:rPr>
        <w:t xml:space="preserve"> רוצה לומר מלכות שנקראת את, דכלילן בה אתוון מא' עד ת'. ולכן פושטין האצבעות שעליהן תשרה הברכה:</w:t>
      </w:r>
    </w:p>
  </w:footnote>
  <w:footnote w:id="708">
    <w:p w:rsidR="00A13282" w:rsidRDefault="00A13282" w:rsidP="00D45634">
      <w:pPr>
        <w:pStyle w:val="a5"/>
      </w:pPr>
      <w:r>
        <w:rPr>
          <w:rStyle w:val="a7"/>
        </w:rPr>
        <w:footnoteRef/>
      </w:r>
      <w:r>
        <w:t xml:space="preserve"> </w:t>
      </w:r>
      <w:r>
        <w:rPr>
          <w:rFonts w:ascii="Arial"/>
          <w:b/>
          <w:bCs/>
          <w:sz w:val="38"/>
          <w:rtl/>
        </w:rPr>
        <w:t>באת ו' כו'.</w:t>
      </w:r>
      <w:r>
        <w:rPr>
          <w:rFonts w:ascii="Arial"/>
          <w:sz w:val="38"/>
          <w:rtl/>
        </w:rPr>
        <w:t xml:space="preserve"> רוצה לומר שלכך אומרים ברוך שם כבוד מלכותו לעולם ועד אחר שמע ישראל, דכ"ד אתוון שואבין מכ"ה אתוון. וזה שאומר לעיל מאין שואבין, מכ"ה אתוון. במאי אתמליאת, ואמר באת ו' שהוא הפסוק שמע ישראל שהוא ת"ת, ושאיב מצדיק שהוא ברוך שם כבוד מלכותו לעולם ועד כנ"ל, ומיניה אתברכת על ידי כ"ה, וזהו ברוך שם כו', וזה שאומר במאי אתברכת, וזה שאומר לעיל כה תברכו כו':</w:t>
      </w:r>
    </w:p>
  </w:footnote>
  <w:footnote w:id="709">
    <w:p w:rsidR="00A13282" w:rsidRDefault="00A13282" w:rsidP="00D45634">
      <w:pPr>
        <w:pStyle w:val="a5"/>
      </w:pPr>
      <w:r>
        <w:rPr>
          <w:rStyle w:val="a7"/>
        </w:rPr>
        <w:footnoteRef/>
      </w:r>
      <w:r>
        <w:t xml:space="preserve"> </w:t>
      </w:r>
      <w:r>
        <w:rPr>
          <w:rFonts w:ascii="Arial"/>
          <w:b/>
          <w:bCs/>
          <w:sz w:val="38"/>
          <w:rtl/>
        </w:rPr>
        <w:t>וביה איתעבידת אות.</w:t>
      </w:r>
      <w:r>
        <w:rPr>
          <w:rFonts w:ascii="Arial"/>
          <w:sz w:val="38"/>
          <w:rtl/>
        </w:rPr>
        <w:t xml:space="preserve"> שהיא נקראת את קודם הברכה כנ"ל וזה אות ברית:</w:t>
      </w:r>
    </w:p>
  </w:footnote>
  <w:footnote w:id="710">
    <w:p w:rsidR="00A13282" w:rsidRDefault="00A13282" w:rsidP="00D45634">
      <w:pPr>
        <w:pStyle w:val="a5"/>
      </w:pPr>
      <w:r>
        <w:rPr>
          <w:rStyle w:val="a7"/>
        </w:rPr>
        <w:footnoteRef/>
      </w:r>
      <w:r>
        <w:t xml:space="preserve"> </w:t>
      </w:r>
      <w:r>
        <w:rPr>
          <w:rFonts w:ascii="Arial"/>
          <w:b/>
          <w:bCs/>
          <w:sz w:val="38"/>
          <w:rtl/>
        </w:rPr>
        <w:t>כ"ה איהי אימא כו'.</w:t>
      </w:r>
      <w:r>
        <w:rPr>
          <w:rFonts w:ascii="Arial"/>
          <w:sz w:val="38"/>
          <w:rtl/>
        </w:rPr>
        <w:t xml:space="preserve"> עכשיו מפרש כל מה שסתם למעלה:</w:t>
      </w:r>
    </w:p>
  </w:footnote>
  <w:footnote w:id="711">
    <w:p w:rsidR="00A13282" w:rsidRDefault="00A13282" w:rsidP="00D45634">
      <w:pPr>
        <w:pStyle w:val="a5"/>
      </w:pPr>
      <w:r>
        <w:rPr>
          <w:rStyle w:val="a7"/>
        </w:rPr>
        <w:footnoteRef/>
      </w:r>
      <w:r>
        <w:t xml:space="preserve"> </w:t>
      </w:r>
      <w:r>
        <w:rPr>
          <w:rFonts w:ascii="Arial"/>
          <w:b/>
          <w:bCs/>
          <w:sz w:val="38"/>
          <w:rtl/>
        </w:rPr>
        <w:t>ימא דאורייתא.</w:t>
      </w:r>
      <w:r>
        <w:rPr>
          <w:rFonts w:ascii="Arial"/>
          <w:sz w:val="38"/>
          <w:rtl/>
        </w:rPr>
        <w:t xml:space="preserve"> שממנה ניתנה התורה כידוע:</w:t>
      </w:r>
    </w:p>
  </w:footnote>
  <w:footnote w:id="712">
    <w:p w:rsidR="00A13282" w:rsidRDefault="00A13282" w:rsidP="00D45634">
      <w:pPr>
        <w:pStyle w:val="a5"/>
      </w:pPr>
      <w:r>
        <w:rPr>
          <w:rStyle w:val="a7"/>
        </w:rPr>
        <w:footnoteRef/>
      </w:r>
      <w:r>
        <w:t xml:space="preserve"> </w:t>
      </w:r>
      <w:r>
        <w:rPr>
          <w:rFonts w:ascii="Arial"/>
          <w:b/>
          <w:bCs/>
          <w:sz w:val="38"/>
          <w:rtl/>
        </w:rPr>
        <w:t>היא אתשקיא מינה.</w:t>
      </w:r>
      <w:r>
        <w:rPr>
          <w:rFonts w:ascii="Arial"/>
          <w:sz w:val="38"/>
          <w:rtl/>
        </w:rPr>
        <w:t xml:space="preserve"> רוצה לומר שהיא היתה שותה קודם לו:</w:t>
      </w:r>
    </w:p>
  </w:footnote>
  <w:footnote w:id="713">
    <w:p w:rsidR="00A13282" w:rsidRDefault="00A13282" w:rsidP="00D45634">
      <w:pPr>
        <w:pStyle w:val="a5"/>
      </w:pPr>
      <w:r>
        <w:rPr>
          <w:rStyle w:val="a7"/>
        </w:rPr>
        <w:footnoteRef/>
      </w:r>
      <w:r>
        <w:t xml:space="preserve"> </w:t>
      </w:r>
      <w:r>
        <w:rPr>
          <w:rFonts w:ascii="Arial"/>
          <w:b/>
          <w:bCs/>
          <w:sz w:val="38"/>
          <w:rtl/>
        </w:rPr>
        <w:t>על ידה ותשקהו.</w:t>
      </w:r>
      <w:r>
        <w:rPr>
          <w:rFonts w:ascii="Arial"/>
          <w:sz w:val="38"/>
          <w:rtl/>
        </w:rPr>
        <w:t xml:space="preserve"> שהיה שותה על ידה:</w:t>
      </w:r>
    </w:p>
  </w:footnote>
  <w:footnote w:id="714">
    <w:p w:rsidR="00A13282" w:rsidRDefault="00A13282" w:rsidP="00D45634">
      <w:pPr>
        <w:pStyle w:val="a5"/>
      </w:pPr>
      <w:r>
        <w:rPr>
          <w:rStyle w:val="a7"/>
        </w:rPr>
        <w:footnoteRef/>
      </w:r>
      <w:r>
        <w:t xml:space="preserve"> </w:t>
      </w:r>
      <w:r>
        <w:rPr>
          <w:rFonts w:ascii="Arial"/>
          <w:b/>
          <w:bCs/>
          <w:sz w:val="38"/>
          <w:rtl/>
        </w:rPr>
        <w:t>דאיהו אדון כו'.</w:t>
      </w:r>
      <w:r>
        <w:rPr>
          <w:rFonts w:ascii="Arial"/>
          <w:sz w:val="38"/>
          <w:rtl/>
        </w:rPr>
        <w:t xml:space="preserve"> רוצה לומר ת"ת:</w:t>
      </w:r>
    </w:p>
  </w:footnote>
  <w:footnote w:id="715">
    <w:p w:rsidR="00A13282" w:rsidRDefault="00A13282" w:rsidP="00D45634">
      <w:pPr>
        <w:pStyle w:val="a5"/>
      </w:pPr>
      <w:r>
        <w:rPr>
          <w:rStyle w:val="a7"/>
        </w:rPr>
        <w:footnoteRef/>
      </w:r>
      <w:r>
        <w:t xml:space="preserve"> </w:t>
      </w:r>
      <w:r>
        <w:rPr>
          <w:rFonts w:ascii="Arial"/>
          <w:b/>
          <w:bCs/>
          <w:sz w:val="38"/>
          <w:rtl/>
        </w:rPr>
        <w:t>דבהון גמולי חלב כו'.</w:t>
      </w:r>
      <w:r>
        <w:rPr>
          <w:rFonts w:ascii="Arial"/>
          <w:sz w:val="38"/>
          <w:rtl/>
        </w:rPr>
        <w:t xml:space="preserve"> רוצה לומר בעלי מצות אף שאינן בני תורה והן גמולי חלב:</w:t>
      </w:r>
    </w:p>
  </w:footnote>
  <w:footnote w:id="716">
    <w:p w:rsidR="00A13282" w:rsidRDefault="00A13282" w:rsidP="00D45634">
      <w:pPr>
        <w:pStyle w:val="a5"/>
      </w:pPr>
      <w:r>
        <w:rPr>
          <w:rStyle w:val="a7"/>
        </w:rPr>
        <w:footnoteRef/>
      </w:r>
      <w:r>
        <w:t xml:space="preserve"> </w:t>
      </w:r>
      <w:r>
        <w:rPr>
          <w:rFonts w:ascii="Arial"/>
          <w:b/>
          <w:bCs/>
          <w:sz w:val="38"/>
          <w:rtl/>
        </w:rPr>
        <w:t>ועתיקי כו'.</w:t>
      </w:r>
      <w:r>
        <w:rPr>
          <w:rFonts w:ascii="Arial"/>
          <w:sz w:val="38"/>
          <w:rtl/>
        </w:rPr>
        <w:t xml:space="preserve"> וכן בקריאת שמע, קודם פסוק ראשון שהוא ו' כנ"ל, כנגד בעלי תורה, כי ו' הוא תורה. ואח"כ לגמליך הן רמ"ח תיבות שהן כנגד רמ"ח איברים דמלכא, רמ"ח פיקודין, גם לגמליך אשאב, הן גמולי בעלי מצות:</w:t>
      </w:r>
    </w:p>
  </w:footnote>
  <w:footnote w:id="717">
    <w:p w:rsidR="00A13282" w:rsidRDefault="00A13282" w:rsidP="00D45634">
      <w:pPr>
        <w:pStyle w:val="a5"/>
      </w:pPr>
      <w:r>
        <w:rPr>
          <w:rStyle w:val="a7"/>
        </w:rPr>
        <w:footnoteRef/>
      </w:r>
      <w:r>
        <w:t xml:space="preserve"> </w:t>
      </w:r>
      <w:r>
        <w:rPr>
          <w:rFonts w:ascii="Arial"/>
          <w:b/>
          <w:bCs/>
          <w:sz w:val="38"/>
          <w:rtl/>
        </w:rPr>
        <w:t>כ"ה איהי כו'.</w:t>
      </w:r>
      <w:r>
        <w:rPr>
          <w:rFonts w:ascii="Arial"/>
          <w:sz w:val="38"/>
          <w:rtl/>
        </w:rPr>
        <w:t xml:space="preserve"> מביא ראיה כאן שכ"ה הוא שכינתא עילאה שנאמר כה אמר כו' ובבינה יצאו ממצרים שהיא עלמא דחירו:</w:t>
      </w:r>
    </w:p>
  </w:footnote>
  <w:footnote w:id="718">
    <w:p w:rsidR="00A13282" w:rsidRDefault="00A13282" w:rsidP="00D45634">
      <w:pPr>
        <w:pStyle w:val="a5"/>
      </w:pPr>
      <w:r>
        <w:rPr>
          <w:rStyle w:val="a7"/>
        </w:rPr>
        <w:footnoteRef/>
      </w:r>
      <w:r>
        <w:t xml:space="preserve"> </w:t>
      </w:r>
      <w:r>
        <w:rPr>
          <w:rFonts w:ascii="Arial"/>
          <w:b/>
          <w:bCs/>
          <w:sz w:val="38"/>
          <w:rtl/>
        </w:rPr>
        <w:t>איהי כ"ה כו'.</w:t>
      </w:r>
      <w:r>
        <w:rPr>
          <w:rFonts w:ascii="Arial"/>
          <w:sz w:val="38"/>
          <w:rtl/>
        </w:rPr>
        <w:t xml:space="preserve"> רוצה לומר ששתי פעמים כ"ה הוא נ' תרעין דחירו דילה שבהן יצאו ממצרים, נ' פעמים יציאת מצרים בתורה:</w:t>
      </w:r>
    </w:p>
  </w:footnote>
  <w:footnote w:id="719">
    <w:p w:rsidR="00A13282" w:rsidRDefault="00A13282" w:rsidP="00D45634">
      <w:pPr>
        <w:pStyle w:val="a5"/>
      </w:pPr>
      <w:r>
        <w:rPr>
          <w:rStyle w:val="a7"/>
        </w:rPr>
        <w:footnoteRef/>
      </w:r>
      <w:r>
        <w:t xml:space="preserve"> </w:t>
      </w:r>
      <w:r>
        <w:rPr>
          <w:rFonts w:ascii="Arial"/>
          <w:b/>
          <w:bCs/>
          <w:sz w:val="38"/>
          <w:rtl/>
        </w:rPr>
        <w:t>כ"ה כ"ד דשחרית כו'.</w:t>
      </w:r>
      <w:r>
        <w:rPr>
          <w:rFonts w:ascii="Arial"/>
          <w:sz w:val="38"/>
          <w:rtl/>
        </w:rPr>
        <w:t xml:space="preserve"> וכן דערבית והן כלולין בת"ת והן למעלה, כולו טהור. אבל במט"ט שהוא מרכבה לו, נחלקין למ"ט טמא מ"ט טהור וזה שאומר ואית מ"ט כו':</w:t>
      </w:r>
    </w:p>
  </w:footnote>
  <w:footnote w:id="720">
    <w:p w:rsidR="00A13282" w:rsidRDefault="00A13282" w:rsidP="00D45634">
      <w:pPr>
        <w:pStyle w:val="a5"/>
      </w:pPr>
      <w:r>
        <w:rPr>
          <w:rStyle w:val="a7"/>
        </w:rPr>
        <w:footnoteRef/>
      </w:r>
      <w:r>
        <w:t xml:space="preserve"> </w:t>
      </w:r>
      <w:r>
        <w:rPr>
          <w:rFonts w:ascii="Arial"/>
          <w:b/>
          <w:bCs/>
          <w:sz w:val="38"/>
          <w:rtl/>
        </w:rPr>
        <w:t>דאיהו תניינא כו'.</w:t>
      </w:r>
      <w:r>
        <w:rPr>
          <w:rFonts w:ascii="Arial"/>
          <w:sz w:val="38"/>
          <w:rtl/>
        </w:rPr>
        <w:t xml:space="preserve"> רוצה לומר לכך נקרא משנה:</w:t>
      </w:r>
    </w:p>
  </w:footnote>
  <w:footnote w:id="721">
    <w:p w:rsidR="00A13282" w:rsidRDefault="00A13282" w:rsidP="00D45634">
      <w:pPr>
        <w:pStyle w:val="a5"/>
      </w:pPr>
      <w:r>
        <w:rPr>
          <w:rStyle w:val="a7"/>
        </w:rPr>
        <w:footnoteRef/>
      </w:r>
      <w:r>
        <w:t xml:space="preserve"> </w:t>
      </w:r>
      <w:r>
        <w:rPr>
          <w:rFonts w:ascii="Arial"/>
          <w:b/>
          <w:bCs/>
          <w:sz w:val="38"/>
          <w:rtl/>
        </w:rPr>
        <w:t>שפחה דיליה.</w:t>
      </w:r>
      <w:r>
        <w:rPr>
          <w:rFonts w:ascii="Arial"/>
          <w:sz w:val="38"/>
          <w:rtl/>
        </w:rPr>
        <w:t xml:space="preserve"> רוצה לומר לכך נאמר משנה בה', נקבה. כמו שאמרו דמט"ט הוא שני למלך ומיט"ט הוא משנה למלך שהיא שפחה כו':</w:t>
      </w:r>
    </w:p>
  </w:footnote>
  <w:footnote w:id="722">
    <w:p w:rsidR="00A13282" w:rsidRDefault="00A13282" w:rsidP="00D45634">
      <w:pPr>
        <w:pStyle w:val="a5"/>
      </w:pPr>
      <w:r>
        <w:rPr>
          <w:rStyle w:val="a7"/>
        </w:rPr>
        <w:footnoteRef/>
      </w:r>
      <w:r>
        <w:t xml:space="preserve"> </w:t>
      </w:r>
      <w:r>
        <w:rPr>
          <w:rFonts w:ascii="Arial"/>
          <w:b/>
          <w:bCs/>
          <w:sz w:val="38"/>
          <w:rtl/>
        </w:rPr>
        <w:t>כגוונא דא משנה.</w:t>
      </w:r>
      <w:r>
        <w:rPr>
          <w:rFonts w:ascii="Arial"/>
          <w:sz w:val="38"/>
          <w:rtl/>
        </w:rPr>
        <w:t xml:space="preserve"> רוצה לומר משנה הוא לשון משנה למלך:</w:t>
      </w:r>
    </w:p>
  </w:footnote>
  <w:footnote w:id="723">
    <w:p w:rsidR="00A13282" w:rsidRDefault="00A13282" w:rsidP="00D45634">
      <w:pPr>
        <w:pStyle w:val="a5"/>
      </w:pPr>
      <w:r>
        <w:rPr>
          <w:rStyle w:val="a7"/>
        </w:rPr>
        <w:footnoteRef/>
      </w:r>
      <w:r>
        <w:t xml:space="preserve"> </w:t>
      </w:r>
      <w:r>
        <w:rPr>
          <w:rFonts w:ascii="Arial"/>
          <w:b/>
          <w:bCs/>
          <w:sz w:val="38"/>
          <w:rtl/>
        </w:rPr>
        <w:t>וביה יזהירו כו'.</w:t>
      </w:r>
      <w:r>
        <w:rPr>
          <w:rFonts w:ascii="Arial"/>
          <w:sz w:val="38"/>
          <w:rtl/>
        </w:rPr>
        <w:t xml:space="preserve"> רוצה לומר במט"ט:</w:t>
      </w:r>
    </w:p>
  </w:footnote>
  <w:footnote w:id="724">
    <w:p w:rsidR="00A13282" w:rsidRDefault="00A13282" w:rsidP="00D45634">
      <w:pPr>
        <w:pStyle w:val="a5"/>
      </w:pPr>
      <w:r>
        <w:rPr>
          <w:rStyle w:val="a7"/>
        </w:rPr>
        <w:footnoteRef/>
      </w:r>
      <w:r>
        <w:t xml:space="preserve"> </w:t>
      </w:r>
      <w:r>
        <w:rPr>
          <w:rFonts w:ascii="Arial"/>
          <w:b/>
          <w:bCs/>
          <w:sz w:val="38"/>
          <w:rtl/>
        </w:rPr>
        <w:t>דא הלכה דאיהו קבלה.</w:t>
      </w:r>
      <w:r>
        <w:rPr>
          <w:rFonts w:ascii="Arial"/>
          <w:sz w:val="38"/>
          <w:rtl/>
        </w:rPr>
        <w:t xml:space="preserve"> רוצה לומר, שמשנה שאין מורין ממנה היא ביצירה, והלכות פסוקות של הגמרא הוא בבריאה, והלכה למשה מסיני הוא בשכינה, וזה שאומר הלכה למשה, שהיא כלת משה:</w:t>
      </w:r>
    </w:p>
  </w:footnote>
  <w:footnote w:id="725">
    <w:p w:rsidR="00A13282" w:rsidRDefault="00A13282" w:rsidP="00D45634">
      <w:pPr>
        <w:pStyle w:val="a5"/>
      </w:pPr>
      <w:r>
        <w:rPr>
          <w:rStyle w:val="a7"/>
        </w:rPr>
        <w:footnoteRef/>
      </w:r>
      <w:r>
        <w:t xml:space="preserve"> </w:t>
      </w:r>
      <w:r>
        <w:rPr>
          <w:rFonts w:ascii="Arial"/>
          <w:b/>
          <w:bCs/>
          <w:sz w:val="38"/>
          <w:rtl/>
        </w:rPr>
        <w:t>דאיהי קבלה.</w:t>
      </w:r>
      <w:r>
        <w:rPr>
          <w:rFonts w:ascii="Arial"/>
          <w:sz w:val="38"/>
          <w:rtl/>
        </w:rPr>
        <w:t xml:space="preserve"> רוצה לומר שמקובלין איש מפי איש עד משה מסיני:</w:t>
      </w:r>
    </w:p>
  </w:footnote>
  <w:footnote w:id="726">
    <w:p w:rsidR="00A13282" w:rsidRDefault="00A13282" w:rsidP="00D45634">
      <w:pPr>
        <w:pStyle w:val="a5"/>
      </w:pPr>
      <w:r>
        <w:rPr>
          <w:rStyle w:val="a7"/>
        </w:rPr>
        <w:footnoteRef/>
      </w:r>
      <w:r>
        <w:t xml:space="preserve"> </w:t>
      </w:r>
      <w:r>
        <w:rPr>
          <w:rFonts w:ascii="Arial"/>
          <w:b/>
          <w:bCs/>
          <w:sz w:val="38"/>
          <w:rtl/>
        </w:rPr>
        <w:t>וכמה עולימתאן.</w:t>
      </w:r>
      <w:r>
        <w:rPr>
          <w:rFonts w:ascii="Arial"/>
          <w:sz w:val="38"/>
          <w:rtl/>
        </w:rPr>
        <w:t xml:space="preserve"> רוצה לומר נערות הראויות לתת כו' שהן בבריאה:</w:t>
      </w:r>
    </w:p>
  </w:footnote>
  <w:footnote w:id="727">
    <w:p w:rsidR="00A13282" w:rsidRDefault="00A13282" w:rsidP="00D45634">
      <w:pPr>
        <w:pStyle w:val="a5"/>
      </w:pPr>
      <w:r>
        <w:rPr>
          <w:rStyle w:val="a7"/>
        </w:rPr>
        <w:footnoteRef/>
      </w:r>
      <w:r>
        <w:t xml:space="preserve"> </w:t>
      </w:r>
      <w:r>
        <w:rPr>
          <w:rFonts w:ascii="Arial"/>
          <w:b/>
          <w:bCs/>
          <w:sz w:val="38"/>
          <w:rtl/>
        </w:rPr>
        <w:t>דאתמר בהון ועלמות אין מספר.</w:t>
      </w:r>
      <w:r>
        <w:rPr>
          <w:rFonts w:ascii="Arial"/>
          <w:sz w:val="38"/>
          <w:rtl/>
        </w:rPr>
        <w:t xml:space="preserve"> רישא דקרא ששים המה מלכות, שהן הלכות, כמו שאומר לקמן:</w:t>
      </w:r>
    </w:p>
  </w:footnote>
  <w:footnote w:id="728">
    <w:p w:rsidR="00A13282" w:rsidRDefault="00A13282" w:rsidP="00D45634">
      <w:pPr>
        <w:pStyle w:val="a5"/>
      </w:pPr>
      <w:r>
        <w:rPr>
          <w:rStyle w:val="a7"/>
        </w:rPr>
        <w:footnoteRef/>
      </w:r>
      <w:r>
        <w:t xml:space="preserve"> </w:t>
      </w:r>
      <w:r>
        <w:rPr>
          <w:rFonts w:ascii="Arial"/>
          <w:b/>
          <w:bCs/>
          <w:sz w:val="38"/>
          <w:rtl/>
        </w:rPr>
        <w:t>הה"ד ואת כו'.</w:t>
      </w:r>
      <w:r>
        <w:rPr>
          <w:rFonts w:ascii="Arial"/>
          <w:sz w:val="38"/>
          <w:rtl/>
        </w:rPr>
        <w:t xml:space="preserve"> רישא דקרא רבות בנות כו' שהן הלכות פסוקות שכתוב בהן אין מספר:</w:t>
      </w:r>
    </w:p>
  </w:footnote>
  <w:footnote w:id="729">
    <w:p w:rsidR="00A13282" w:rsidRDefault="00A13282" w:rsidP="00D45634">
      <w:pPr>
        <w:pStyle w:val="a5"/>
      </w:pPr>
      <w:r>
        <w:rPr>
          <w:rStyle w:val="a7"/>
        </w:rPr>
        <w:footnoteRef/>
      </w:r>
      <w:r>
        <w:t xml:space="preserve"> </w:t>
      </w:r>
      <w:r>
        <w:rPr>
          <w:rFonts w:ascii="Arial"/>
          <w:b/>
          <w:bCs/>
          <w:sz w:val="38"/>
          <w:rtl/>
        </w:rPr>
        <w:t>ואיהי עם כלהי.</w:t>
      </w:r>
      <w:r>
        <w:rPr>
          <w:rFonts w:ascii="Arial"/>
          <w:sz w:val="38"/>
          <w:rtl/>
        </w:rPr>
        <w:t xml:space="preserve"> רוצה לומר שעל ידה נפסק הלכה פסוקה שהיא הלכה:</w:t>
      </w:r>
    </w:p>
  </w:footnote>
  <w:footnote w:id="730">
    <w:p w:rsidR="00A13282" w:rsidRDefault="00A13282" w:rsidP="00D45634">
      <w:pPr>
        <w:pStyle w:val="a5"/>
      </w:pPr>
      <w:r>
        <w:rPr>
          <w:rStyle w:val="a7"/>
        </w:rPr>
        <w:footnoteRef/>
      </w:r>
      <w:r>
        <w:t xml:space="preserve"> </w:t>
      </w:r>
      <w:r>
        <w:rPr>
          <w:rFonts w:ascii="Arial"/>
          <w:b/>
          <w:bCs/>
          <w:sz w:val="38"/>
          <w:rtl/>
        </w:rPr>
        <w:t>הלכה כרבים.</w:t>
      </w:r>
      <w:r>
        <w:rPr>
          <w:rFonts w:ascii="Arial"/>
          <w:sz w:val="38"/>
          <w:rtl/>
        </w:rPr>
        <w:t xml:space="preserve"> שהן נקראו רבות כנ"ל:</w:t>
      </w:r>
    </w:p>
  </w:footnote>
  <w:footnote w:id="731">
    <w:p w:rsidR="00A13282" w:rsidRDefault="00A13282" w:rsidP="00D45634">
      <w:pPr>
        <w:pStyle w:val="a5"/>
      </w:pPr>
      <w:r>
        <w:rPr>
          <w:rStyle w:val="a7"/>
        </w:rPr>
        <w:footnoteRef/>
      </w:r>
      <w:r>
        <w:t xml:space="preserve"> </w:t>
      </w:r>
      <w:r>
        <w:rPr>
          <w:rFonts w:ascii="Arial"/>
          <w:b/>
          <w:bCs/>
          <w:sz w:val="38"/>
          <w:rtl/>
        </w:rPr>
        <w:t>ומצדיקי הרבים.</w:t>
      </w:r>
      <w:r>
        <w:rPr>
          <w:rFonts w:ascii="Arial"/>
          <w:sz w:val="38"/>
          <w:rtl/>
        </w:rPr>
        <w:t xml:space="preserve"> רוצה לומר העוסקים בהלכות פסוקות שנקראו רבים כנ"ל:</w:t>
      </w:r>
    </w:p>
  </w:footnote>
  <w:footnote w:id="732">
    <w:p w:rsidR="00A13282" w:rsidRDefault="00A13282" w:rsidP="00D45634">
      <w:pPr>
        <w:pStyle w:val="a5"/>
      </w:pPr>
      <w:r>
        <w:rPr>
          <w:rStyle w:val="a7"/>
        </w:rPr>
        <w:footnoteRef/>
      </w:r>
      <w:r>
        <w:t xml:space="preserve"> </w:t>
      </w:r>
      <w:r>
        <w:rPr>
          <w:rFonts w:ascii="Arial"/>
          <w:b/>
          <w:bCs/>
          <w:sz w:val="38"/>
          <w:rtl/>
        </w:rPr>
        <w:t>בה יהון.</w:t>
      </w:r>
      <w:r>
        <w:rPr>
          <w:rFonts w:ascii="Arial"/>
          <w:sz w:val="38"/>
          <w:rtl/>
        </w:rPr>
        <w:t xml:space="preserve"> רוצה לומר בהלכה למשה מסיני שהיא עם הרבים כנ"ל הלכה כרבים:</w:t>
      </w:r>
    </w:p>
  </w:footnote>
  <w:footnote w:id="733">
    <w:p w:rsidR="00A13282" w:rsidRDefault="00A13282" w:rsidP="00D45634">
      <w:pPr>
        <w:pStyle w:val="a5"/>
      </w:pPr>
      <w:r>
        <w:rPr>
          <w:rStyle w:val="a7"/>
        </w:rPr>
        <w:footnoteRef/>
      </w:r>
      <w:r>
        <w:t xml:space="preserve"> </w:t>
      </w:r>
      <w:r>
        <w:rPr>
          <w:rFonts w:ascii="Arial"/>
          <w:b/>
          <w:bCs/>
          <w:sz w:val="38"/>
          <w:rtl/>
        </w:rPr>
        <w:t>ככוכבים כו'.</w:t>
      </w:r>
      <w:r>
        <w:rPr>
          <w:rFonts w:ascii="Arial"/>
          <w:sz w:val="38"/>
          <w:rtl/>
        </w:rPr>
        <w:t xml:space="preserve"> כמו הכוכבים ברקיע כן יהיו, שהרקיע הוא הלכה למשה מסיני כנ"ל וזה שאומר בה יהון ככוכבים כו':</w:t>
      </w:r>
    </w:p>
  </w:footnote>
  <w:footnote w:id="734">
    <w:p w:rsidR="00A13282" w:rsidRDefault="00A13282" w:rsidP="00D45634">
      <w:pPr>
        <w:pStyle w:val="a5"/>
      </w:pPr>
      <w:r>
        <w:rPr>
          <w:rStyle w:val="a7"/>
        </w:rPr>
        <w:footnoteRef/>
      </w:r>
      <w:r>
        <w:t xml:space="preserve"> </w:t>
      </w:r>
      <w:r>
        <w:rPr>
          <w:rFonts w:ascii="Arial"/>
          <w:b/>
          <w:bCs/>
          <w:sz w:val="38"/>
          <w:rtl/>
        </w:rPr>
        <w:t>וכל חד אית ליה כו'.</w:t>
      </w:r>
      <w:r>
        <w:rPr>
          <w:rFonts w:ascii="Arial"/>
          <w:sz w:val="38"/>
          <w:rtl/>
        </w:rPr>
        <w:t xml:space="preserve"> רוצה לומר הלכה אחת:</w:t>
      </w:r>
    </w:p>
  </w:footnote>
  <w:footnote w:id="735">
    <w:p w:rsidR="00A13282" w:rsidRDefault="00A13282" w:rsidP="00D45634">
      <w:pPr>
        <w:pStyle w:val="a5"/>
      </w:pPr>
      <w:r>
        <w:rPr>
          <w:rStyle w:val="a7"/>
        </w:rPr>
        <w:footnoteRef/>
      </w:r>
      <w:r>
        <w:t xml:space="preserve"> </w:t>
      </w:r>
      <w:r>
        <w:rPr>
          <w:rFonts w:ascii="Arial"/>
          <w:b/>
          <w:bCs/>
          <w:sz w:val="38"/>
          <w:rtl/>
        </w:rPr>
        <w:t>כל צדיק.</w:t>
      </w:r>
      <w:r>
        <w:rPr>
          <w:rFonts w:ascii="Arial"/>
          <w:sz w:val="38"/>
          <w:rtl/>
        </w:rPr>
        <w:t xml:space="preserve"> שנאמר ומצדיקי כו' ככוכבים:</w:t>
      </w:r>
    </w:p>
  </w:footnote>
  <w:footnote w:id="736">
    <w:p w:rsidR="00A13282" w:rsidRDefault="00A13282" w:rsidP="00D45634">
      <w:pPr>
        <w:pStyle w:val="a5"/>
      </w:pPr>
      <w:r>
        <w:rPr>
          <w:rStyle w:val="a7"/>
        </w:rPr>
        <w:footnoteRef/>
      </w:r>
      <w:r>
        <w:t xml:space="preserve"> </w:t>
      </w:r>
      <w:r>
        <w:rPr>
          <w:rFonts w:ascii="Arial"/>
          <w:b/>
          <w:bCs/>
          <w:sz w:val="38"/>
          <w:rtl/>
        </w:rPr>
        <w:t>דכל מס' מטרוניתא.</w:t>
      </w:r>
      <w:r>
        <w:rPr>
          <w:rFonts w:ascii="Arial"/>
          <w:sz w:val="38"/>
          <w:rtl/>
        </w:rPr>
        <w:t xml:space="preserve"> רוצה לומר הלכה למשה מסיני של מסכת אחת:</w:t>
      </w:r>
    </w:p>
  </w:footnote>
  <w:footnote w:id="737">
    <w:p w:rsidR="00A13282" w:rsidRDefault="00A13282" w:rsidP="00D45634">
      <w:pPr>
        <w:pStyle w:val="a5"/>
      </w:pPr>
      <w:r>
        <w:rPr>
          <w:rStyle w:val="a7"/>
        </w:rPr>
        <w:footnoteRef/>
      </w:r>
      <w:r>
        <w:t xml:space="preserve"> </w:t>
      </w:r>
      <w:r>
        <w:rPr>
          <w:rFonts w:ascii="Arial"/>
          <w:b/>
          <w:bCs/>
          <w:sz w:val="38"/>
          <w:rtl/>
        </w:rPr>
        <w:t>דירית לה בהאי עלמא דהלכה.</w:t>
      </w:r>
      <w:r>
        <w:rPr>
          <w:rFonts w:ascii="Arial"/>
          <w:sz w:val="38"/>
          <w:rtl/>
        </w:rPr>
        <w:t xml:space="preserve"> רוצה לומר מי שזוכה למסכת של הלכות פסוקות זוכה לעולמות של מטרוניתא וזה שאומר עולימא דמטרוניתא:</w:t>
      </w:r>
    </w:p>
  </w:footnote>
  <w:footnote w:id="738">
    <w:p w:rsidR="00A13282" w:rsidRDefault="00A13282" w:rsidP="00D45634">
      <w:pPr>
        <w:pStyle w:val="a5"/>
      </w:pPr>
      <w:r>
        <w:rPr>
          <w:rStyle w:val="a7"/>
        </w:rPr>
        <w:footnoteRef/>
      </w:r>
      <w:r>
        <w:t xml:space="preserve"> </w:t>
      </w:r>
      <w:r>
        <w:rPr>
          <w:rFonts w:ascii="Arial"/>
          <w:b/>
          <w:bCs/>
          <w:sz w:val="38"/>
          <w:rtl/>
        </w:rPr>
        <w:t>זכאין אינון כו'.</w:t>
      </w:r>
      <w:r>
        <w:rPr>
          <w:rFonts w:ascii="Arial"/>
          <w:sz w:val="38"/>
          <w:rtl/>
        </w:rPr>
        <w:t xml:space="preserve"> רוצה לומר בהלכה למשה מסיני:</w:t>
      </w:r>
    </w:p>
  </w:footnote>
  <w:footnote w:id="739">
    <w:p w:rsidR="00A13282" w:rsidRDefault="00A13282" w:rsidP="00D45634">
      <w:pPr>
        <w:pStyle w:val="a5"/>
      </w:pPr>
      <w:r>
        <w:rPr>
          <w:rStyle w:val="a7"/>
        </w:rPr>
        <w:footnoteRef/>
      </w:r>
      <w:r>
        <w:t xml:space="preserve"> </w:t>
      </w:r>
      <w:r>
        <w:rPr>
          <w:rFonts w:ascii="Arial"/>
          <w:b/>
          <w:bCs/>
          <w:sz w:val="38"/>
          <w:rtl/>
        </w:rPr>
        <w:t>לאפקא לה כו'.</w:t>
      </w:r>
      <w:r>
        <w:rPr>
          <w:rFonts w:ascii="Arial"/>
          <w:sz w:val="38"/>
          <w:rtl/>
        </w:rPr>
        <w:t xml:space="preserve"> כמו שאומר להלן דבגלותא משנה שלטה:</w:t>
      </w:r>
    </w:p>
  </w:footnote>
  <w:footnote w:id="740">
    <w:p w:rsidR="00A13282" w:rsidRDefault="00A13282" w:rsidP="00D45634">
      <w:pPr>
        <w:pStyle w:val="a5"/>
      </w:pPr>
      <w:r>
        <w:rPr>
          <w:rStyle w:val="a7"/>
        </w:rPr>
        <w:footnoteRef/>
      </w:r>
      <w:r>
        <w:t xml:space="preserve"> </w:t>
      </w:r>
      <w:r>
        <w:rPr>
          <w:rFonts w:ascii="Arial"/>
          <w:b/>
          <w:bCs/>
          <w:sz w:val="38"/>
          <w:rtl/>
        </w:rPr>
        <w:t>ולמיזל לה כו'.</w:t>
      </w:r>
      <w:r>
        <w:rPr>
          <w:rFonts w:ascii="Arial"/>
          <w:sz w:val="38"/>
          <w:rtl/>
        </w:rPr>
        <w:t xml:space="preserve"> רוצה לומר לפיכך נקרא קבלה:</w:t>
      </w:r>
    </w:p>
  </w:footnote>
  <w:footnote w:id="741">
    <w:p w:rsidR="00A13282" w:rsidRDefault="00A13282" w:rsidP="00D45634">
      <w:pPr>
        <w:pStyle w:val="a5"/>
      </w:pPr>
      <w:r>
        <w:rPr>
          <w:rStyle w:val="a7"/>
        </w:rPr>
        <w:footnoteRef/>
      </w:r>
      <w:r>
        <w:t xml:space="preserve"> </w:t>
      </w:r>
      <w:r>
        <w:rPr>
          <w:rFonts w:ascii="Arial"/>
          <w:b/>
          <w:bCs/>
          <w:sz w:val="38"/>
          <w:rtl/>
        </w:rPr>
        <w:t>וביומי דמשה כו'.</w:t>
      </w:r>
      <w:r>
        <w:rPr>
          <w:rFonts w:ascii="Arial"/>
          <w:sz w:val="38"/>
          <w:rtl/>
        </w:rPr>
        <w:t xml:space="preserve"> דאז היו לומדים הכל בקבלה למשה מסיני ואז היתה קבלה בדרועוי לפיכך נקראת הלכה למשה מסיני דמשה הוא בדרגא דת"ת לפיכך היתה כלת משה:</w:t>
      </w:r>
    </w:p>
  </w:footnote>
  <w:footnote w:id="742">
    <w:p w:rsidR="00A13282" w:rsidRDefault="00A13282" w:rsidP="00D45634">
      <w:pPr>
        <w:pStyle w:val="a5"/>
      </w:pPr>
      <w:r>
        <w:rPr>
          <w:rStyle w:val="a7"/>
        </w:rPr>
        <w:footnoteRef/>
      </w:r>
      <w:r>
        <w:t xml:space="preserve"> </w:t>
      </w:r>
      <w:r>
        <w:rPr>
          <w:rFonts w:ascii="Arial"/>
          <w:b/>
          <w:bCs/>
          <w:sz w:val="38"/>
          <w:rtl/>
        </w:rPr>
        <w:t>יהושע דאיהו נער.</w:t>
      </w:r>
      <w:r>
        <w:rPr>
          <w:rFonts w:ascii="Arial"/>
          <w:sz w:val="38"/>
          <w:rtl/>
        </w:rPr>
        <w:t xml:space="preserve"> רוצה לומר דוגמת מט"ט דאקרי נער וכן איקרי יהושע נער משה בפסוק (שמות לג יא) כדוגמת מט"ט שהוא נער משרת לקב"ה כידוע בסוד עבדו זקן ביתו כן יהושע נער משה:</w:t>
      </w:r>
    </w:p>
  </w:footnote>
  <w:footnote w:id="743">
    <w:p w:rsidR="00A13282" w:rsidRDefault="00A13282" w:rsidP="00D45634">
      <w:pPr>
        <w:pStyle w:val="a5"/>
      </w:pPr>
      <w:r>
        <w:rPr>
          <w:rStyle w:val="a7"/>
        </w:rPr>
        <w:footnoteRef/>
      </w:r>
      <w:r>
        <w:t xml:space="preserve"> </w:t>
      </w:r>
      <w:r>
        <w:rPr>
          <w:rFonts w:ascii="Arial"/>
          <w:b/>
          <w:bCs/>
          <w:sz w:val="38"/>
          <w:rtl/>
        </w:rPr>
        <w:t>שלטא שפחה.</w:t>
      </w:r>
      <w:r>
        <w:rPr>
          <w:rFonts w:ascii="Arial"/>
          <w:sz w:val="38"/>
          <w:rtl/>
        </w:rPr>
        <w:t xml:space="preserve"> רוצה לומר שאז היו צריכין למשניות, כי משנה וגמרא והלכות פסוקות היו בכל דור מימות יהושע כמו שכתוב על רבי יוחנן בן זכאי שלא הניח כו' משנה, הלכות, גמרא כו':</w:t>
      </w:r>
    </w:p>
  </w:footnote>
  <w:footnote w:id="744">
    <w:p w:rsidR="00A13282" w:rsidRDefault="00A13282" w:rsidP="00D45634">
      <w:pPr>
        <w:pStyle w:val="a5"/>
      </w:pPr>
      <w:r>
        <w:rPr>
          <w:rStyle w:val="a7"/>
        </w:rPr>
        <w:footnoteRef/>
      </w:r>
      <w:r>
        <w:t xml:space="preserve"> </w:t>
      </w:r>
      <w:r>
        <w:rPr>
          <w:rFonts w:ascii="Arial"/>
          <w:b/>
          <w:bCs/>
          <w:sz w:val="38"/>
          <w:rtl/>
        </w:rPr>
        <w:t>שר צבא כו'.</w:t>
      </w:r>
      <w:r>
        <w:rPr>
          <w:rFonts w:ascii="Arial"/>
          <w:sz w:val="38"/>
          <w:rtl/>
        </w:rPr>
        <w:t xml:space="preserve"> שהוא מט"ט כמו שאמרו אות הוא בצבא שלו:</w:t>
      </w:r>
    </w:p>
  </w:footnote>
  <w:footnote w:id="745">
    <w:p w:rsidR="00A13282" w:rsidRDefault="00A13282" w:rsidP="00D45634">
      <w:pPr>
        <w:pStyle w:val="a5"/>
      </w:pPr>
      <w:r>
        <w:rPr>
          <w:rStyle w:val="a7"/>
        </w:rPr>
        <w:footnoteRef/>
      </w:r>
      <w:r>
        <w:t xml:space="preserve"> </w:t>
      </w:r>
      <w:r>
        <w:rPr>
          <w:rFonts w:ascii="Arial"/>
          <w:b/>
          <w:bCs/>
          <w:sz w:val="38"/>
          <w:rtl/>
        </w:rPr>
        <w:t>והא אוקימנא.</w:t>
      </w:r>
      <w:r>
        <w:rPr>
          <w:rFonts w:ascii="Arial"/>
          <w:sz w:val="38"/>
          <w:rtl/>
        </w:rPr>
        <w:t xml:space="preserve"> רוצה לומר, במקום אחר. שאמר עכשיו משה רבך לא רצה לקבלני, שאמר (שמות לג טו) אם אין פניך כו'. וכאן כל הד' עולמות מרומזים: מקרא משנה הלכה פסוקה הלכה למשה מסיני, שהן בפסוק והמשכילים יזהירו כזהר הרקיע ומצדיקי הרבים. ואמר קודם כזהר הרקיע, דמצדיקי הרבים אי אפשר בלתי אותה שהיא הלכה כרבים וזה שאומר ומצדיקי הרבים בה כו':</w:t>
      </w:r>
    </w:p>
  </w:footnote>
  <w:footnote w:id="746">
    <w:p w:rsidR="00A13282" w:rsidRDefault="00A13282" w:rsidP="00D45634">
      <w:pPr>
        <w:pStyle w:val="a5"/>
      </w:pPr>
      <w:r>
        <w:rPr>
          <w:rStyle w:val="a7"/>
        </w:rPr>
        <w:footnoteRef/>
      </w:r>
      <w:r>
        <w:t xml:space="preserve"> </w:t>
      </w:r>
      <w:r>
        <w:rPr>
          <w:rFonts w:ascii="Arial"/>
          <w:b/>
          <w:bCs/>
          <w:sz w:val="38"/>
          <w:rtl/>
        </w:rPr>
        <w:t>מט"ט איהו כו'.</w:t>
      </w:r>
      <w:r>
        <w:rPr>
          <w:rFonts w:ascii="Arial"/>
          <w:sz w:val="38"/>
          <w:rtl/>
        </w:rPr>
        <w:t xml:space="preserve"> מפרש גלותא דשכינתא בשפחה כמו שאומר לקמן בסמוך:</w:t>
      </w:r>
    </w:p>
  </w:footnote>
  <w:footnote w:id="747">
    <w:p w:rsidR="00A13282" w:rsidRDefault="00A13282" w:rsidP="00D45634">
      <w:pPr>
        <w:pStyle w:val="a5"/>
      </w:pPr>
      <w:r>
        <w:rPr>
          <w:rStyle w:val="a7"/>
        </w:rPr>
        <w:footnoteRef/>
      </w:r>
      <w:r>
        <w:t xml:space="preserve"> </w:t>
      </w:r>
      <w:r>
        <w:rPr>
          <w:rFonts w:ascii="Arial"/>
          <w:b/>
          <w:bCs/>
          <w:sz w:val="38"/>
          <w:rtl/>
        </w:rPr>
        <w:t>ביחודא דעלמא.</w:t>
      </w:r>
      <w:r>
        <w:rPr>
          <w:rFonts w:ascii="Arial"/>
          <w:sz w:val="38"/>
          <w:rtl/>
        </w:rPr>
        <w:t xml:space="preserve"> כמו שאומר לקמן דאין הקב"ה מתיחד בו, דאינו יחודו, כמו שאומר לעיל דעליה קאי לא מצא עזר:</w:t>
      </w:r>
    </w:p>
  </w:footnote>
  <w:footnote w:id="748">
    <w:p w:rsidR="00A13282" w:rsidRDefault="00A13282" w:rsidP="00D45634">
      <w:pPr>
        <w:pStyle w:val="a5"/>
      </w:pPr>
      <w:r>
        <w:rPr>
          <w:rStyle w:val="a7"/>
        </w:rPr>
        <w:footnoteRef/>
      </w:r>
      <w:r>
        <w:t xml:space="preserve"> </w:t>
      </w:r>
      <w:r>
        <w:rPr>
          <w:rFonts w:ascii="Arial"/>
          <w:b/>
          <w:bCs/>
          <w:sz w:val="38"/>
          <w:rtl/>
        </w:rPr>
        <w:t>אלא א"כ היה כו'.</w:t>
      </w:r>
      <w:r>
        <w:rPr>
          <w:rFonts w:ascii="Arial"/>
          <w:sz w:val="38"/>
          <w:rtl/>
        </w:rPr>
        <w:t xml:space="preserve"> דעל ידי מעשה הצדיקים מתבני האי נער ברזא דשמא קדישא כמו שאומר בזהר, ואם האדם חכם כו' אז האי נער ג"כ מתמלא בתלת דרגין אלין מסטרא דהאי בר נש:</w:t>
      </w:r>
    </w:p>
  </w:footnote>
  <w:footnote w:id="749">
    <w:p w:rsidR="00A13282" w:rsidRDefault="00A13282" w:rsidP="00D45634">
      <w:pPr>
        <w:pStyle w:val="a5"/>
      </w:pPr>
      <w:r>
        <w:rPr>
          <w:rStyle w:val="a7"/>
        </w:rPr>
        <w:footnoteRef/>
      </w:r>
      <w:r>
        <w:t xml:space="preserve"> </w:t>
      </w:r>
      <w:r>
        <w:rPr>
          <w:rFonts w:ascii="Arial"/>
          <w:b/>
          <w:bCs/>
          <w:sz w:val="38"/>
          <w:rtl/>
        </w:rPr>
        <w:t>דאתמר בהון ואמלא אותו כו'.</w:t>
      </w:r>
      <w:r>
        <w:rPr>
          <w:rFonts w:ascii="Arial"/>
          <w:sz w:val="38"/>
          <w:rtl/>
        </w:rPr>
        <w:t xml:space="preserve"> שאז היו ראוים לעשות המשכן, מט"ט, שגם הוא מתמלא בג' דרגין. וזה שאומר </w:t>
      </w:r>
      <w:r>
        <w:rPr>
          <w:rFonts w:ascii="Arial"/>
          <w:b/>
          <w:bCs/>
          <w:sz w:val="38"/>
          <w:rtl/>
        </w:rPr>
        <w:t>בגין דאיהו כו'.</w:t>
      </w:r>
      <w:r>
        <w:rPr>
          <w:rFonts w:ascii="Arial"/>
          <w:sz w:val="38"/>
          <w:rtl/>
        </w:rPr>
        <w:t xml:space="preserve"> רוצה לומר מט"ט:</w:t>
      </w:r>
    </w:p>
  </w:footnote>
  <w:footnote w:id="750">
    <w:p w:rsidR="00A13282" w:rsidRDefault="00A13282" w:rsidP="00D45634">
      <w:pPr>
        <w:pStyle w:val="a5"/>
      </w:pPr>
      <w:r>
        <w:rPr>
          <w:rStyle w:val="a7"/>
        </w:rPr>
        <w:footnoteRef/>
      </w:r>
      <w:r>
        <w:t xml:space="preserve"> </w:t>
      </w:r>
      <w:r>
        <w:rPr>
          <w:rFonts w:ascii="Arial"/>
          <w:b/>
          <w:bCs/>
          <w:sz w:val="38"/>
          <w:rtl/>
        </w:rPr>
        <w:t>ובכל מלאכה דא כו'.</w:t>
      </w:r>
      <w:r>
        <w:rPr>
          <w:rFonts w:ascii="Arial"/>
          <w:sz w:val="38"/>
          <w:rtl/>
        </w:rPr>
        <w:t xml:space="preserve"> מפרש סוף הפסוק דלעיל שנתמלא בכל מלאכה כו'. ואמר ובכל, משום דאיהי כלילא דתלת דרגין כנ"ל, ומשכנא דאתמלי כו' הוא דמתלבשא ביה ההיא דאיהי כלילא כמו שאומר לקמן, ואז דורשין ביחיד, דאז הקב"ה מתייחד בו בשכינתיה כמו שאומר לקמן. וזה שאומר </w:t>
      </w:r>
      <w:r>
        <w:rPr>
          <w:rFonts w:ascii="Arial"/>
          <w:b/>
          <w:bCs/>
          <w:sz w:val="38"/>
          <w:rtl/>
        </w:rPr>
        <w:t>דאין דורשין לה כו'.</w:t>
      </w:r>
      <w:r>
        <w:rPr>
          <w:rFonts w:ascii="Arial"/>
          <w:sz w:val="38"/>
          <w:rtl/>
        </w:rPr>
        <w:t xml:space="preserve"> רוצה לומר דבה מתייחד הקב"ה כמו שאומר לקמן והוא מרכבה דילה ומתייחד בו וזה שאומר מרכבה דילה כו':</w:t>
      </w:r>
    </w:p>
  </w:footnote>
  <w:footnote w:id="751">
    <w:p w:rsidR="00A13282" w:rsidRDefault="00A13282" w:rsidP="00D45634">
      <w:pPr>
        <w:pStyle w:val="a5"/>
      </w:pPr>
      <w:r>
        <w:rPr>
          <w:rStyle w:val="a7"/>
        </w:rPr>
        <w:footnoteRef/>
      </w:r>
      <w:r>
        <w:t xml:space="preserve"> </w:t>
      </w:r>
      <w:r>
        <w:rPr>
          <w:rFonts w:ascii="Arial"/>
          <w:b/>
          <w:bCs/>
          <w:sz w:val="38"/>
          <w:rtl/>
        </w:rPr>
        <w:t>גוף שכינתא.</w:t>
      </w:r>
      <w:r>
        <w:rPr>
          <w:rFonts w:ascii="Arial"/>
          <w:sz w:val="38"/>
          <w:rtl/>
        </w:rPr>
        <w:t xml:space="preserve"> רוצה לומר שכינה - נפש, והקב"ה - נשמה. והנשמה בלתי הנפש אינו מתייחד בגוף כמו שאומר לקמן:</w:t>
      </w:r>
    </w:p>
  </w:footnote>
  <w:footnote w:id="752">
    <w:p w:rsidR="00A13282" w:rsidRDefault="00A13282" w:rsidP="00D45634">
      <w:pPr>
        <w:pStyle w:val="a5"/>
      </w:pPr>
      <w:r>
        <w:rPr>
          <w:rStyle w:val="a7"/>
        </w:rPr>
        <w:footnoteRef/>
      </w:r>
      <w:r>
        <w:t xml:space="preserve"> </w:t>
      </w:r>
      <w:r>
        <w:rPr>
          <w:rFonts w:ascii="Arial"/>
          <w:b/>
          <w:bCs/>
          <w:sz w:val="38"/>
          <w:rtl/>
        </w:rPr>
        <w:t>ושכינתא איהי כו'.</w:t>
      </w:r>
      <w:r>
        <w:rPr>
          <w:rFonts w:ascii="Arial"/>
          <w:sz w:val="38"/>
          <w:rtl/>
        </w:rPr>
        <w:t xml:space="preserve"> רוצה לומר למה נקרא מרכבה:</w:t>
      </w:r>
    </w:p>
  </w:footnote>
  <w:footnote w:id="753">
    <w:p w:rsidR="00A13282" w:rsidRDefault="00A13282" w:rsidP="00D45634">
      <w:pPr>
        <w:pStyle w:val="a5"/>
      </w:pPr>
      <w:r>
        <w:rPr>
          <w:rStyle w:val="a7"/>
        </w:rPr>
        <w:footnoteRef/>
      </w:r>
      <w:r>
        <w:t xml:space="preserve"> </w:t>
      </w:r>
      <w:r>
        <w:rPr>
          <w:rFonts w:ascii="Arial"/>
          <w:b/>
          <w:bCs/>
          <w:sz w:val="38"/>
          <w:rtl/>
        </w:rPr>
        <w:t>איהי מ"ה כו'.</w:t>
      </w:r>
      <w:r>
        <w:rPr>
          <w:rFonts w:ascii="Arial"/>
          <w:sz w:val="38"/>
          <w:rtl/>
        </w:rPr>
        <w:t xml:space="preserve"> כמו שאומר לעיל דאיהי דמות אדם כו':</w:t>
      </w:r>
    </w:p>
  </w:footnote>
  <w:footnote w:id="754">
    <w:p w:rsidR="00A13282" w:rsidRDefault="00A13282" w:rsidP="00D45634">
      <w:pPr>
        <w:pStyle w:val="a5"/>
      </w:pPr>
      <w:r>
        <w:rPr>
          <w:rStyle w:val="a7"/>
        </w:rPr>
        <w:footnoteRef/>
      </w:r>
      <w:r>
        <w:t xml:space="preserve"> </w:t>
      </w:r>
      <w:r>
        <w:rPr>
          <w:rFonts w:ascii="Arial"/>
          <w:b/>
          <w:bCs/>
          <w:sz w:val="38"/>
          <w:rtl/>
        </w:rPr>
        <w:t>רכב אלקים.</w:t>
      </w:r>
      <w:r>
        <w:rPr>
          <w:rFonts w:ascii="Arial"/>
          <w:sz w:val="38"/>
          <w:rtl/>
        </w:rPr>
        <w:t xml:space="preserve"> רוצה לומר שכינה שנקראת אלקים:</w:t>
      </w:r>
    </w:p>
  </w:footnote>
  <w:footnote w:id="755">
    <w:p w:rsidR="00A13282" w:rsidRDefault="00A13282" w:rsidP="00D45634">
      <w:pPr>
        <w:pStyle w:val="a5"/>
      </w:pPr>
      <w:r>
        <w:rPr>
          <w:rStyle w:val="a7"/>
        </w:rPr>
        <w:footnoteRef/>
      </w:r>
      <w:r>
        <w:t xml:space="preserve"> </w:t>
      </w:r>
      <w:r>
        <w:rPr>
          <w:rFonts w:ascii="Arial"/>
          <w:b/>
          <w:bCs/>
          <w:sz w:val="38"/>
          <w:rtl/>
        </w:rPr>
        <w:t>רבותים אלפי.</w:t>
      </w:r>
      <w:r>
        <w:rPr>
          <w:rFonts w:ascii="Arial"/>
          <w:sz w:val="38"/>
          <w:rtl/>
        </w:rPr>
        <w:t xml:space="preserve"> רוצה לומר כ"ב אלפים, שאז שכינה שורה כמו שאמרו בגמרא (יבמות סד ע"א) שאין השכינה שורה פחות מב' רבבות וב' אלפים וכן במט"ט כנ"ל. והטעם דשכינה כלילא מכ"ב אתוון כנ"ל:</w:t>
      </w:r>
    </w:p>
  </w:footnote>
  <w:footnote w:id="756">
    <w:p w:rsidR="00A13282" w:rsidRDefault="00A13282" w:rsidP="00D45634">
      <w:pPr>
        <w:pStyle w:val="a5"/>
      </w:pPr>
      <w:r>
        <w:rPr>
          <w:rStyle w:val="a7"/>
        </w:rPr>
        <w:footnoteRef/>
      </w:r>
      <w:r>
        <w:t xml:space="preserve"> </w:t>
      </w:r>
      <w:r>
        <w:rPr>
          <w:rFonts w:ascii="Arial"/>
          <w:b/>
          <w:bCs/>
          <w:sz w:val="38"/>
          <w:rtl/>
        </w:rPr>
        <w:t>אדם.</w:t>
      </w:r>
      <w:r>
        <w:rPr>
          <w:rFonts w:ascii="Arial"/>
          <w:sz w:val="38"/>
          <w:rtl/>
        </w:rPr>
        <w:t xml:space="preserve"> הוא נ' פשוטה כמו שאומר בזהר:</w:t>
      </w:r>
    </w:p>
  </w:footnote>
  <w:footnote w:id="757">
    <w:p w:rsidR="00A13282" w:rsidRDefault="00A13282" w:rsidP="00D45634">
      <w:pPr>
        <w:pStyle w:val="a5"/>
      </w:pPr>
      <w:r>
        <w:rPr>
          <w:rStyle w:val="a7"/>
        </w:rPr>
        <w:footnoteRef/>
      </w:r>
      <w:r>
        <w:t xml:space="preserve"> </w:t>
      </w:r>
      <w:r>
        <w:rPr>
          <w:rFonts w:ascii="Arial"/>
          <w:b/>
          <w:bCs/>
          <w:sz w:val="38"/>
          <w:rtl/>
        </w:rPr>
        <w:t>ומט"ט איהו כו'.</w:t>
      </w:r>
      <w:r>
        <w:rPr>
          <w:rFonts w:ascii="Arial"/>
          <w:sz w:val="38"/>
          <w:rtl/>
        </w:rPr>
        <w:t xml:space="preserve"> מפרש איך הוא רכב דילה, בד' חיות, שהן חג"ת ואיהי כלולה מכולם:</w:t>
      </w:r>
    </w:p>
  </w:footnote>
  <w:footnote w:id="758">
    <w:p w:rsidR="00A13282" w:rsidRDefault="00A13282" w:rsidP="00D45634">
      <w:pPr>
        <w:pStyle w:val="a5"/>
      </w:pPr>
      <w:r>
        <w:rPr>
          <w:rStyle w:val="a7"/>
        </w:rPr>
        <w:footnoteRef/>
      </w:r>
      <w:r>
        <w:t xml:space="preserve"> </w:t>
      </w:r>
      <w:r>
        <w:rPr>
          <w:rFonts w:ascii="Arial"/>
          <w:b/>
          <w:bCs/>
          <w:sz w:val="38"/>
          <w:rtl/>
        </w:rPr>
        <w:t>איהו ארון כו'.</w:t>
      </w:r>
      <w:r>
        <w:rPr>
          <w:rFonts w:ascii="Arial"/>
          <w:sz w:val="38"/>
          <w:rtl/>
        </w:rPr>
        <w:t xml:space="preserve"> רוצה לומר שהוא משכן תתאה עם כל הכלים:</w:t>
      </w:r>
    </w:p>
  </w:footnote>
  <w:footnote w:id="759">
    <w:p w:rsidR="00A13282" w:rsidRDefault="00A13282" w:rsidP="00D45634">
      <w:pPr>
        <w:pStyle w:val="a5"/>
      </w:pPr>
      <w:r>
        <w:rPr>
          <w:rStyle w:val="a7"/>
        </w:rPr>
        <w:footnoteRef/>
      </w:r>
      <w:r>
        <w:t xml:space="preserve"> </w:t>
      </w:r>
      <w:r>
        <w:rPr>
          <w:rFonts w:ascii="Arial"/>
          <w:b/>
          <w:bCs/>
          <w:sz w:val="38"/>
          <w:rtl/>
        </w:rPr>
        <w:t>דאיהי לב.</w:t>
      </w:r>
      <w:r>
        <w:rPr>
          <w:rFonts w:ascii="Arial"/>
          <w:sz w:val="38"/>
          <w:rtl/>
        </w:rPr>
        <w:t xml:space="preserve"> כאן אמר לב, דארון הוא עמודא דאמצעיתא:</w:t>
      </w:r>
    </w:p>
  </w:footnote>
  <w:footnote w:id="760">
    <w:p w:rsidR="00A13282" w:rsidRDefault="00A13282" w:rsidP="00D45634">
      <w:pPr>
        <w:pStyle w:val="a5"/>
      </w:pPr>
      <w:r>
        <w:rPr>
          <w:rStyle w:val="a7"/>
        </w:rPr>
        <w:footnoteRef/>
      </w:r>
      <w:r>
        <w:t xml:space="preserve"> </w:t>
      </w:r>
      <w:r>
        <w:rPr>
          <w:rFonts w:ascii="Arial"/>
          <w:b/>
          <w:bCs/>
          <w:sz w:val="38"/>
          <w:rtl/>
        </w:rPr>
        <w:t>נור דליק.</w:t>
      </w:r>
      <w:r>
        <w:rPr>
          <w:rFonts w:ascii="Arial"/>
          <w:sz w:val="38"/>
          <w:rtl/>
        </w:rPr>
        <w:t xml:space="preserve"> רוצה לומר דמנורה הוא אותיות נור מה:</w:t>
      </w:r>
    </w:p>
  </w:footnote>
  <w:footnote w:id="761">
    <w:p w:rsidR="00A13282" w:rsidRDefault="00A13282" w:rsidP="00D45634">
      <w:pPr>
        <w:pStyle w:val="a5"/>
      </w:pPr>
      <w:r>
        <w:rPr>
          <w:rStyle w:val="a7"/>
        </w:rPr>
        <w:footnoteRef/>
      </w:r>
      <w:r>
        <w:t xml:space="preserve"> </w:t>
      </w:r>
      <w:r>
        <w:rPr>
          <w:rFonts w:ascii="Arial"/>
          <w:b/>
          <w:bCs/>
          <w:sz w:val="38"/>
          <w:rtl/>
        </w:rPr>
        <w:t>וצריך למהוי כו'.</w:t>
      </w:r>
      <w:r>
        <w:rPr>
          <w:rFonts w:ascii="Arial"/>
          <w:sz w:val="38"/>
          <w:rtl/>
        </w:rPr>
        <w:t xml:space="preserve"> וכן מה שאמר לב מבין ואיהו כו' הכל נתפרש לעיל:</w:t>
      </w:r>
    </w:p>
  </w:footnote>
  <w:footnote w:id="762">
    <w:p w:rsidR="00A13282" w:rsidRDefault="00A13282" w:rsidP="00D45634">
      <w:pPr>
        <w:pStyle w:val="a5"/>
      </w:pPr>
      <w:r>
        <w:rPr>
          <w:rStyle w:val="a7"/>
        </w:rPr>
        <w:footnoteRef/>
      </w:r>
      <w:r>
        <w:t xml:space="preserve"> </w:t>
      </w:r>
      <w:r>
        <w:rPr>
          <w:rFonts w:ascii="Arial"/>
          <w:b/>
          <w:bCs/>
          <w:sz w:val="38"/>
          <w:rtl/>
        </w:rPr>
        <w:t>שמן כתית.</w:t>
      </w:r>
      <w:r>
        <w:rPr>
          <w:rFonts w:ascii="Arial"/>
          <w:sz w:val="38"/>
          <w:rtl/>
        </w:rPr>
        <w:t xml:space="preserve"> רוצה לומר זרע קודש הבא ממוח, והוא על ידי כתישה בצדיק כמו שאומר בזהר וזהו כתית:</w:t>
      </w:r>
    </w:p>
  </w:footnote>
  <w:footnote w:id="763">
    <w:p w:rsidR="00A13282" w:rsidRDefault="00A13282" w:rsidP="00D45634">
      <w:pPr>
        <w:pStyle w:val="a5"/>
      </w:pPr>
      <w:r>
        <w:rPr>
          <w:rStyle w:val="a7"/>
        </w:rPr>
        <w:footnoteRef/>
      </w:r>
      <w:r>
        <w:t xml:space="preserve"> </w:t>
      </w:r>
      <w:r>
        <w:rPr>
          <w:rFonts w:ascii="Arial"/>
          <w:b/>
          <w:bCs/>
          <w:sz w:val="38"/>
          <w:rtl/>
        </w:rPr>
        <w:t>נהורא דילה עמודא דאמצעיתא.</w:t>
      </w:r>
      <w:r>
        <w:rPr>
          <w:rFonts w:ascii="Arial"/>
          <w:sz w:val="38"/>
          <w:rtl/>
        </w:rPr>
        <w:t xml:space="preserve"> כמו שאומר לעיל דאנהיר בגוונין דילה:</w:t>
      </w:r>
    </w:p>
  </w:footnote>
  <w:footnote w:id="764">
    <w:p w:rsidR="00A13282" w:rsidRDefault="00A13282" w:rsidP="00D45634">
      <w:pPr>
        <w:pStyle w:val="a5"/>
      </w:pPr>
      <w:r>
        <w:rPr>
          <w:rStyle w:val="a7"/>
        </w:rPr>
        <w:footnoteRef/>
      </w:r>
      <w:r>
        <w:t xml:space="preserve"> </w:t>
      </w:r>
      <w:r>
        <w:rPr>
          <w:rFonts w:ascii="Arial"/>
          <w:b/>
          <w:bCs/>
          <w:sz w:val="38"/>
          <w:rtl/>
        </w:rPr>
        <w:t>ואיהו רכב כו'.</w:t>
      </w:r>
      <w:r>
        <w:rPr>
          <w:rFonts w:ascii="Arial"/>
          <w:sz w:val="38"/>
          <w:rtl/>
        </w:rPr>
        <w:t xml:space="preserve"> כמו שאי אפשר האור במנורה בלא שמן, כן הקב"ה אינו מתייחד בההוא עבד בלא שכינתיה:</w:t>
      </w:r>
    </w:p>
  </w:footnote>
  <w:footnote w:id="765">
    <w:p w:rsidR="00A13282" w:rsidRDefault="00A13282" w:rsidP="00D45634">
      <w:pPr>
        <w:pStyle w:val="a5"/>
      </w:pPr>
      <w:r>
        <w:rPr>
          <w:rStyle w:val="a7"/>
        </w:rPr>
        <w:footnoteRef/>
      </w:r>
      <w:r>
        <w:t xml:space="preserve"> </w:t>
      </w:r>
      <w:r>
        <w:rPr>
          <w:rFonts w:ascii="Arial"/>
          <w:b/>
          <w:bCs/>
          <w:sz w:val="38"/>
          <w:rtl/>
        </w:rPr>
        <w:t>דאינון נר.</w:t>
      </w:r>
      <w:r>
        <w:rPr>
          <w:rFonts w:ascii="Arial"/>
          <w:sz w:val="38"/>
          <w:rtl/>
        </w:rPr>
        <w:t xml:space="preserve"> ראשי תיבות נפש רוח, ועם נשמה הן נר"ן:</w:t>
      </w:r>
    </w:p>
  </w:footnote>
  <w:footnote w:id="766">
    <w:p w:rsidR="00A13282" w:rsidRDefault="00A13282" w:rsidP="00D45634">
      <w:pPr>
        <w:pStyle w:val="a5"/>
      </w:pPr>
      <w:r>
        <w:rPr>
          <w:rStyle w:val="a7"/>
        </w:rPr>
        <w:footnoteRef/>
      </w:r>
      <w:r>
        <w:t xml:space="preserve"> </w:t>
      </w:r>
      <w:r>
        <w:rPr>
          <w:rFonts w:ascii="Arial"/>
          <w:b/>
          <w:bCs/>
          <w:sz w:val="38"/>
          <w:rtl/>
        </w:rPr>
        <w:t>איהו כינוי כו' שנוי כו'.</w:t>
      </w:r>
      <w:r>
        <w:rPr>
          <w:rFonts w:ascii="Arial"/>
          <w:sz w:val="38"/>
          <w:rtl/>
        </w:rPr>
        <w:t xml:space="preserve"> כמו שאומר לקמן שבו מחליפין אותיות של השמות ומרכיבין. וזה שאומר </w:t>
      </w:r>
      <w:r>
        <w:rPr>
          <w:rFonts w:ascii="Arial"/>
          <w:b/>
          <w:bCs/>
          <w:sz w:val="38"/>
          <w:rtl/>
        </w:rPr>
        <w:t>וביה מרכיבין כו'.</w:t>
      </w:r>
      <w:r>
        <w:rPr>
          <w:rFonts w:ascii="Arial"/>
          <w:sz w:val="38"/>
          <w:rtl/>
        </w:rPr>
        <w:t xml:space="preserve"> ורוצה לומר דלכך נקרא מרכבה:</w:t>
      </w:r>
    </w:p>
  </w:footnote>
  <w:footnote w:id="767">
    <w:p w:rsidR="00A13282" w:rsidRDefault="00A13282" w:rsidP="00D45634">
      <w:pPr>
        <w:pStyle w:val="a5"/>
      </w:pPr>
      <w:r>
        <w:rPr>
          <w:rStyle w:val="a7"/>
        </w:rPr>
        <w:footnoteRef/>
      </w:r>
      <w:r>
        <w:t xml:space="preserve"> </w:t>
      </w:r>
      <w:r>
        <w:rPr>
          <w:rFonts w:ascii="Arial"/>
          <w:b/>
          <w:bCs/>
          <w:sz w:val="38"/>
          <w:rtl/>
        </w:rPr>
        <w:t>מרכבות דסט' כו'.</w:t>
      </w:r>
      <w:r>
        <w:rPr>
          <w:rFonts w:ascii="Arial"/>
          <w:sz w:val="38"/>
          <w:rtl/>
        </w:rPr>
        <w:t xml:space="preserve"> עכשיו מתחיל לפרש המתניתין דאין דורשין:</w:t>
      </w:r>
    </w:p>
  </w:footnote>
  <w:footnote w:id="768">
    <w:p w:rsidR="00A13282" w:rsidRDefault="00A13282" w:rsidP="00D45634">
      <w:pPr>
        <w:pStyle w:val="a5"/>
      </w:pPr>
      <w:r>
        <w:rPr>
          <w:rStyle w:val="a7"/>
        </w:rPr>
        <w:footnoteRef/>
      </w:r>
      <w:r>
        <w:t xml:space="preserve"> </w:t>
      </w:r>
      <w:r>
        <w:rPr>
          <w:rFonts w:ascii="Arial"/>
          <w:b/>
          <w:bCs/>
          <w:sz w:val="38"/>
          <w:rtl/>
        </w:rPr>
        <w:t>עלייהו אתמר כו'.</w:t>
      </w:r>
      <w:r>
        <w:rPr>
          <w:rFonts w:ascii="Arial"/>
          <w:sz w:val="38"/>
          <w:rtl/>
        </w:rPr>
        <w:t xml:space="preserve"> דמרכבה דסטרא אחרא הוא לעומת הקדושה, ג"כ עיקרן ג' כמו בקדושה כמו שמפרש והולך:</w:t>
      </w:r>
    </w:p>
  </w:footnote>
  <w:footnote w:id="769">
    <w:p w:rsidR="00A13282" w:rsidRDefault="00A13282" w:rsidP="00D45634">
      <w:pPr>
        <w:pStyle w:val="a5"/>
      </w:pPr>
      <w:r>
        <w:rPr>
          <w:rStyle w:val="a7"/>
        </w:rPr>
        <w:footnoteRef/>
      </w:r>
      <w:r>
        <w:t xml:space="preserve"> </w:t>
      </w:r>
      <w:r>
        <w:rPr>
          <w:rFonts w:ascii="Arial"/>
          <w:b/>
          <w:bCs/>
          <w:sz w:val="38"/>
          <w:rtl/>
        </w:rPr>
        <w:t>דאינון כו'.</w:t>
      </w:r>
      <w:r>
        <w:rPr>
          <w:rFonts w:ascii="Arial"/>
          <w:sz w:val="38"/>
          <w:rtl/>
        </w:rPr>
        <w:t xml:space="preserve"> והן המרכבה דסטרא אחרא, ועון הוא לעומת חיה הרביעית דכלילא כנ"ל, והן בפסוק והוא רחום שאומרים קודם ערבית, שאז שליטה דידהו, ואומרים יכפר כו':</w:t>
      </w:r>
    </w:p>
  </w:footnote>
  <w:footnote w:id="770">
    <w:p w:rsidR="00A13282" w:rsidRDefault="00A13282" w:rsidP="00D45634">
      <w:pPr>
        <w:pStyle w:val="a5"/>
      </w:pPr>
      <w:r>
        <w:rPr>
          <w:rStyle w:val="a7"/>
        </w:rPr>
        <w:footnoteRef/>
      </w:r>
      <w:r>
        <w:t xml:space="preserve"> </w:t>
      </w:r>
      <w:r>
        <w:rPr>
          <w:rFonts w:ascii="Arial"/>
          <w:b/>
          <w:bCs/>
          <w:sz w:val="38"/>
          <w:rtl/>
        </w:rPr>
        <w:t>למהוי תליתאה.</w:t>
      </w:r>
      <w:r>
        <w:rPr>
          <w:rFonts w:ascii="Arial"/>
          <w:sz w:val="38"/>
          <w:rtl/>
        </w:rPr>
        <w:t xml:space="preserve"> רוצה לומר שלא יהיו הג' מרכבה להם, דוגמת עבד בשלשה חיות לקב"ה ושכינתיה, וידוע דאין זיווג בלתי שלישי אמצעי ביניהם וזה שאומר דיהון תרווייהו בפירודא:</w:t>
      </w:r>
    </w:p>
  </w:footnote>
  <w:footnote w:id="771">
    <w:p w:rsidR="00A13282" w:rsidRDefault="00A13282" w:rsidP="00D45634">
      <w:pPr>
        <w:pStyle w:val="a5"/>
      </w:pPr>
      <w:r>
        <w:rPr>
          <w:rStyle w:val="a7"/>
        </w:rPr>
        <w:footnoteRef/>
      </w:r>
      <w:r>
        <w:t xml:space="preserve"> </w:t>
      </w:r>
      <w:r>
        <w:rPr>
          <w:rFonts w:ascii="Arial"/>
          <w:b/>
          <w:bCs/>
          <w:sz w:val="38"/>
          <w:rtl/>
        </w:rPr>
        <w:t>ובגין דא לא כו'.</w:t>
      </w:r>
      <w:r>
        <w:rPr>
          <w:rFonts w:ascii="Arial"/>
          <w:sz w:val="38"/>
          <w:rtl/>
        </w:rPr>
        <w:t xml:space="preserve"> דתרי אינון בסטרא אחרא כנ"ל:</w:t>
      </w:r>
    </w:p>
  </w:footnote>
  <w:footnote w:id="772">
    <w:p w:rsidR="00A13282" w:rsidRDefault="00A13282" w:rsidP="00D45634">
      <w:pPr>
        <w:pStyle w:val="a5"/>
      </w:pPr>
      <w:r>
        <w:rPr>
          <w:rStyle w:val="a7"/>
        </w:rPr>
        <w:footnoteRef/>
      </w:r>
      <w:r>
        <w:t xml:space="preserve"> </w:t>
      </w:r>
      <w:r>
        <w:rPr>
          <w:rFonts w:ascii="Arial"/>
          <w:b/>
          <w:bCs/>
          <w:sz w:val="38"/>
          <w:rtl/>
        </w:rPr>
        <w:t>כגוונא דנשמתא כו'.</w:t>
      </w:r>
      <w:r>
        <w:rPr>
          <w:rFonts w:ascii="Arial"/>
          <w:sz w:val="38"/>
          <w:rtl/>
        </w:rPr>
        <w:t xml:space="preserve"> שהנשמה בלא הנפש אי אפשר להיות כלל בגוף ואינה מראה כחותיה וזה שאומר לקמן בלא שכינתיה אשתני ביה:</w:t>
      </w:r>
    </w:p>
  </w:footnote>
  <w:footnote w:id="773">
    <w:p w:rsidR="00A13282" w:rsidRDefault="00A13282" w:rsidP="00D45634">
      <w:pPr>
        <w:pStyle w:val="a5"/>
      </w:pPr>
      <w:r>
        <w:rPr>
          <w:rStyle w:val="a7"/>
        </w:rPr>
        <w:footnoteRef/>
      </w:r>
      <w:r>
        <w:t xml:space="preserve"> </w:t>
      </w:r>
      <w:r>
        <w:rPr>
          <w:rFonts w:ascii="Arial"/>
          <w:b/>
          <w:bCs/>
          <w:sz w:val="38"/>
          <w:rtl/>
        </w:rPr>
        <w:t>דאית ליה מרכבה כו'.</w:t>
      </w:r>
      <w:r>
        <w:rPr>
          <w:rFonts w:ascii="Arial"/>
          <w:sz w:val="38"/>
          <w:rtl/>
        </w:rPr>
        <w:t xml:space="preserve"> רוצה לומר שמט"ט, אית לו בו דבר שהוא מרכבה אמיתית לקב"ה, והיא השכינה כמו שמפרש והולך:</w:t>
      </w:r>
    </w:p>
  </w:footnote>
  <w:footnote w:id="774">
    <w:p w:rsidR="00A13282" w:rsidRDefault="00A13282" w:rsidP="00D45634">
      <w:pPr>
        <w:pStyle w:val="a5"/>
      </w:pPr>
      <w:r>
        <w:rPr>
          <w:rStyle w:val="a7"/>
        </w:rPr>
        <w:footnoteRef/>
      </w:r>
      <w:r>
        <w:t xml:space="preserve"> </w:t>
      </w:r>
      <w:r>
        <w:rPr>
          <w:rFonts w:ascii="Arial"/>
          <w:b/>
          <w:bCs/>
          <w:sz w:val="38"/>
          <w:rtl/>
        </w:rPr>
        <w:t>דאיהו מלאכה דיליה.</w:t>
      </w:r>
      <w:r>
        <w:rPr>
          <w:rFonts w:ascii="Arial"/>
          <w:sz w:val="38"/>
          <w:rtl/>
        </w:rPr>
        <w:t xml:space="preserve"> רוצה לומר השכינה, הכלולה מחכמה בינה דעת, ולכך נאמר לעיל בחכמה כו' ובכל מלאכה:</w:t>
      </w:r>
    </w:p>
  </w:footnote>
  <w:footnote w:id="775">
    <w:p w:rsidR="00A13282" w:rsidRDefault="00A13282" w:rsidP="00D45634">
      <w:pPr>
        <w:pStyle w:val="a5"/>
      </w:pPr>
      <w:r>
        <w:rPr>
          <w:rStyle w:val="a7"/>
        </w:rPr>
        <w:footnoteRef/>
      </w:r>
      <w:r>
        <w:t xml:space="preserve"> </w:t>
      </w:r>
      <w:r>
        <w:rPr>
          <w:rFonts w:ascii="Arial"/>
          <w:b/>
          <w:bCs/>
          <w:sz w:val="38"/>
          <w:rtl/>
        </w:rPr>
        <w:t>שלימו דתלת אתוון.</w:t>
      </w:r>
      <w:r>
        <w:rPr>
          <w:rFonts w:ascii="Arial"/>
          <w:sz w:val="38"/>
          <w:rtl/>
        </w:rPr>
        <w:t xml:space="preserve"> שבה נשלם השם כמו שאומר לקמן ובה אתקרי הויה בשלימו:</w:t>
      </w:r>
    </w:p>
  </w:footnote>
  <w:footnote w:id="776">
    <w:p w:rsidR="00A13282" w:rsidRDefault="00A13282" w:rsidP="00D45634">
      <w:pPr>
        <w:pStyle w:val="a5"/>
      </w:pPr>
      <w:r>
        <w:rPr>
          <w:rStyle w:val="a7"/>
        </w:rPr>
        <w:footnoteRef/>
      </w:r>
      <w:r>
        <w:t xml:space="preserve"> </w:t>
      </w:r>
      <w:r>
        <w:rPr>
          <w:rFonts w:ascii="Arial"/>
          <w:b/>
          <w:bCs/>
          <w:sz w:val="38"/>
          <w:rtl/>
        </w:rPr>
        <w:t>עלה אתמר ותכל כו'.</w:t>
      </w:r>
      <w:r>
        <w:rPr>
          <w:rFonts w:ascii="Arial"/>
          <w:sz w:val="38"/>
          <w:rtl/>
        </w:rPr>
        <w:t xml:space="preserve"> שבה נשלם השם:</w:t>
      </w:r>
    </w:p>
  </w:footnote>
  <w:footnote w:id="777">
    <w:p w:rsidR="00A13282" w:rsidRDefault="00A13282" w:rsidP="00D45634">
      <w:pPr>
        <w:pStyle w:val="a5"/>
      </w:pPr>
      <w:r>
        <w:rPr>
          <w:rStyle w:val="a7"/>
        </w:rPr>
        <w:footnoteRef/>
      </w:r>
      <w:r>
        <w:t xml:space="preserve"> </w:t>
      </w:r>
      <w:r>
        <w:rPr>
          <w:rFonts w:ascii="Arial"/>
          <w:b/>
          <w:bCs/>
          <w:sz w:val="38"/>
          <w:rtl/>
        </w:rPr>
        <w:t>ואיהו ה' כו'.</w:t>
      </w:r>
      <w:r>
        <w:rPr>
          <w:rFonts w:ascii="Arial"/>
          <w:sz w:val="38"/>
          <w:rtl/>
        </w:rPr>
        <w:t xml:space="preserve"> שששת ימי בראשית הוא ת"ת, שכלול מיה"ו. וה' דהששי משלמת, שאז ויכולו כו', כי המשכן ומעשה בראשית בגוונא חדא כנ"ל:</w:t>
      </w:r>
    </w:p>
  </w:footnote>
  <w:footnote w:id="778">
    <w:p w:rsidR="00A13282" w:rsidRDefault="00A13282" w:rsidP="00D45634">
      <w:pPr>
        <w:pStyle w:val="a5"/>
      </w:pPr>
      <w:r>
        <w:rPr>
          <w:rStyle w:val="a7"/>
        </w:rPr>
        <w:footnoteRef/>
      </w:r>
      <w:r>
        <w:t xml:space="preserve"> </w:t>
      </w:r>
      <w:r>
        <w:rPr>
          <w:rFonts w:ascii="Arial"/>
          <w:b/>
          <w:bCs/>
          <w:sz w:val="38"/>
          <w:rtl/>
        </w:rPr>
        <w:t>ובלא אלין כו'.</w:t>
      </w:r>
      <w:r>
        <w:rPr>
          <w:rFonts w:ascii="Arial"/>
          <w:sz w:val="38"/>
          <w:rtl/>
        </w:rPr>
        <w:t xml:space="preserve"> רוצה לומר כשאין במט"ט ג"ד הנ"ל שהיא השכינה:</w:t>
      </w:r>
    </w:p>
  </w:footnote>
  <w:footnote w:id="779">
    <w:p w:rsidR="00A13282" w:rsidRDefault="00A13282" w:rsidP="00D45634">
      <w:pPr>
        <w:pStyle w:val="a5"/>
      </w:pPr>
      <w:r>
        <w:rPr>
          <w:rStyle w:val="a7"/>
        </w:rPr>
        <w:footnoteRef/>
      </w:r>
      <w:r>
        <w:t xml:space="preserve"> </w:t>
      </w:r>
      <w:r>
        <w:rPr>
          <w:rFonts w:ascii="Arial"/>
          <w:b/>
          <w:bCs/>
          <w:sz w:val="38"/>
          <w:rtl/>
        </w:rPr>
        <w:t>קב"ה לעילא.</w:t>
      </w:r>
      <w:r>
        <w:rPr>
          <w:rFonts w:ascii="Arial"/>
          <w:sz w:val="38"/>
          <w:rtl/>
        </w:rPr>
        <w:t xml:space="preserve"> רוצה לומר במרכבה עליונה שהיא שכינתיה וזה שאומר חד בשכינתיה:</w:t>
      </w:r>
    </w:p>
  </w:footnote>
  <w:footnote w:id="780">
    <w:p w:rsidR="00A13282" w:rsidRDefault="00A13282" w:rsidP="00D45634">
      <w:pPr>
        <w:pStyle w:val="a5"/>
      </w:pPr>
      <w:r>
        <w:rPr>
          <w:rStyle w:val="a7"/>
        </w:rPr>
        <w:footnoteRef/>
      </w:r>
      <w:r>
        <w:t xml:space="preserve"> </w:t>
      </w:r>
      <w:r>
        <w:rPr>
          <w:rFonts w:ascii="Arial"/>
          <w:b/>
          <w:bCs/>
          <w:sz w:val="38"/>
          <w:rtl/>
        </w:rPr>
        <w:t>שמא ח"ו כו'.</w:t>
      </w:r>
      <w:r>
        <w:rPr>
          <w:rFonts w:ascii="Arial"/>
          <w:sz w:val="38"/>
          <w:rtl/>
        </w:rPr>
        <w:t xml:space="preserve"> שראה דאשתני והוא היה מקובל דאיהו כדוגמת הקב"ה ששמו כשם רבו לכך טעה כו':</w:t>
      </w:r>
    </w:p>
  </w:footnote>
  <w:footnote w:id="781">
    <w:p w:rsidR="00A13282" w:rsidRDefault="00A13282" w:rsidP="00D45634">
      <w:pPr>
        <w:pStyle w:val="a5"/>
      </w:pPr>
      <w:r>
        <w:rPr>
          <w:rStyle w:val="a7"/>
        </w:rPr>
        <w:footnoteRef/>
      </w:r>
      <w:r>
        <w:t xml:space="preserve"> </w:t>
      </w:r>
      <w:r>
        <w:rPr>
          <w:rFonts w:ascii="Arial"/>
          <w:b/>
          <w:bCs/>
          <w:sz w:val="38"/>
          <w:rtl/>
        </w:rPr>
        <w:t>אל תמירני.</w:t>
      </w:r>
      <w:r>
        <w:rPr>
          <w:rFonts w:ascii="Arial"/>
          <w:sz w:val="38"/>
          <w:rtl/>
        </w:rPr>
        <w:t xml:space="preserve"> רוצה לומר דלא אשתני ביה:</w:t>
      </w:r>
    </w:p>
  </w:footnote>
  <w:footnote w:id="782">
    <w:p w:rsidR="00A13282" w:rsidRDefault="00A13282" w:rsidP="00D45634">
      <w:pPr>
        <w:pStyle w:val="a5"/>
      </w:pPr>
      <w:r>
        <w:rPr>
          <w:rStyle w:val="a7"/>
        </w:rPr>
        <w:footnoteRef/>
      </w:r>
      <w:r>
        <w:t xml:space="preserve"> </w:t>
      </w:r>
      <w:r>
        <w:rPr>
          <w:rFonts w:ascii="Arial"/>
          <w:b/>
          <w:bCs/>
          <w:sz w:val="38"/>
          <w:rtl/>
        </w:rPr>
        <w:t>כי שמי בקרבו.</w:t>
      </w:r>
      <w:r>
        <w:rPr>
          <w:rFonts w:ascii="Arial"/>
          <w:sz w:val="38"/>
          <w:rtl/>
        </w:rPr>
        <w:t xml:space="preserve"> הוא השכינה:</w:t>
      </w:r>
    </w:p>
  </w:footnote>
  <w:footnote w:id="783">
    <w:p w:rsidR="00A13282" w:rsidRDefault="00A13282" w:rsidP="00D45634">
      <w:pPr>
        <w:pStyle w:val="a5"/>
      </w:pPr>
      <w:r>
        <w:rPr>
          <w:rStyle w:val="a7"/>
        </w:rPr>
        <w:footnoteRef/>
      </w:r>
      <w:r>
        <w:t xml:space="preserve"> </w:t>
      </w:r>
      <w:r>
        <w:rPr>
          <w:rFonts w:ascii="Arial"/>
          <w:b/>
          <w:bCs/>
          <w:sz w:val="38"/>
          <w:rtl/>
        </w:rPr>
        <w:t>בגין דמט"ט.</w:t>
      </w:r>
      <w:r>
        <w:rPr>
          <w:rFonts w:ascii="Arial"/>
          <w:sz w:val="38"/>
          <w:rtl/>
        </w:rPr>
        <w:t xml:space="preserve"> רוצה לומר מה שאמר וכד איהו לתתא כו':</w:t>
      </w:r>
    </w:p>
  </w:footnote>
  <w:footnote w:id="784">
    <w:p w:rsidR="00A13282" w:rsidRDefault="00A13282" w:rsidP="00D45634">
      <w:pPr>
        <w:pStyle w:val="a5"/>
      </w:pPr>
      <w:r>
        <w:rPr>
          <w:rStyle w:val="a7"/>
        </w:rPr>
        <w:footnoteRef/>
      </w:r>
      <w:r>
        <w:t xml:space="preserve"> </w:t>
      </w:r>
      <w:r>
        <w:rPr>
          <w:rFonts w:ascii="Arial"/>
          <w:b/>
          <w:bCs/>
          <w:sz w:val="38"/>
          <w:rtl/>
        </w:rPr>
        <w:t>ומה דאיהי מטרוניתא.</w:t>
      </w:r>
      <w:r>
        <w:rPr>
          <w:rFonts w:ascii="Arial"/>
          <w:sz w:val="38"/>
          <w:rtl/>
        </w:rPr>
        <w:t xml:space="preserve"> רוצה לומר שהיא בגלות ואינה מולכת, שאז שפחה תירש כו':</w:t>
      </w:r>
    </w:p>
  </w:footnote>
  <w:footnote w:id="785">
    <w:p w:rsidR="00A13282" w:rsidRDefault="00A13282" w:rsidP="00D45634">
      <w:pPr>
        <w:pStyle w:val="a5"/>
      </w:pPr>
      <w:r>
        <w:rPr>
          <w:rStyle w:val="a7"/>
        </w:rPr>
        <w:footnoteRef/>
      </w:r>
      <w:r>
        <w:t xml:space="preserve"> </w:t>
      </w:r>
      <w:r>
        <w:rPr>
          <w:rFonts w:ascii="Arial"/>
          <w:b/>
          <w:bCs/>
          <w:sz w:val="38"/>
          <w:rtl/>
        </w:rPr>
        <w:t>היא אמה כו'.</w:t>
      </w:r>
      <w:r>
        <w:rPr>
          <w:rFonts w:ascii="Arial"/>
          <w:sz w:val="38"/>
          <w:rtl/>
        </w:rPr>
        <w:t xml:space="preserve"> רוצה לומר דלכך נקראת אמה:</w:t>
      </w:r>
    </w:p>
  </w:footnote>
  <w:footnote w:id="786">
    <w:p w:rsidR="00A13282" w:rsidRDefault="00A13282" w:rsidP="00D45634">
      <w:pPr>
        <w:pStyle w:val="a5"/>
      </w:pPr>
      <w:r>
        <w:rPr>
          <w:rStyle w:val="a7"/>
        </w:rPr>
        <w:footnoteRef/>
      </w:r>
      <w:r>
        <w:t xml:space="preserve"> </w:t>
      </w:r>
      <w:r>
        <w:rPr>
          <w:rFonts w:ascii="Arial"/>
          <w:b/>
          <w:bCs/>
          <w:sz w:val="38"/>
          <w:rtl/>
        </w:rPr>
        <w:t>ובנהא.</w:t>
      </w:r>
      <w:r>
        <w:rPr>
          <w:rFonts w:ascii="Arial"/>
          <w:sz w:val="38"/>
          <w:rtl/>
        </w:rPr>
        <w:t xml:space="preserve"> רוצה לומר האומות שהיו משעבדין בישראל ואין חוששין לה:</w:t>
      </w:r>
    </w:p>
  </w:footnote>
  <w:footnote w:id="787">
    <w:p w:rsidR="00A13282" w:rsidRDefault="00A13282" w:rsidP="00D45634">
      <w:pPr>
        <w:pStyle w:val="a5"/>
      </w:pPr>
      <w:r>
        <w:rPr>
          <w:rStyle w:val="a7"/>
        </w:rPr>
        <w:footnoteRef/>
      </w:r>
      <w:r>
        <w:t xml:space="preserve"> </w:t>
      </w:r>
      <w:r>
        <w:rPr>
          <w:rFonts w:ascii="Arial"/>
          <w:b/>
          <w:bCs/>
          <w:sz w:val="38"/>
          <w:rtl/>
        </w:rPr>
        <w:t>איהי מתכסיא כו'.</w:t>
      </w:r>
      <w:r>
        <w:rPr>
          <w:rFonts w:ascii="Arial"/>
          <w:sz w:val="38"/>
          <w:rtl/>
        </w:rPr>
        <w:t xml:space="preserve"> רוצה לומר בגאולת מצרים אף על גב דלא נפקא מהאי גופא מכל מקום יצאה ממנה ומתכסיא בעבדא שאז הכירו הכל כחה כמו שכתוב (שמות ז יז) בזאת תדע כו':</w:t>
      </w:r>
    </w:p>
  </w:footnote>
  <w:footnote w:id="788">
    <w:p w:rsidR="00A13282" w:rsidRPr="000E309D" w:rsidRDefault="00A13282" w:rsidP="00D45634">
      <w:pPr>
        <w:jc w:val="both"/>
        <w:rPr>
          <w:rFonts w:ascii="Arial" w:cs="Arial"/>
          <w:sz w:val="38"/>
          <w:szCs w:val="24"/>
        </w:rPr>
      </w:pPr>
      <w:r>
        <w:rPr>
          <w:rStyle w:val="a7"/>
        </w:rPr>
        <w:footnoteRef/>
      </w:r>
      <w:r>
        <w:t xml:space="preserve"> </w:t>
      </w:r>
      <w:r w:rsidRPr="000E309D">
        <w:rPr>
          <w:rFonts w:ascii="Arial" w:cs="Arial"/>
          <w:b/>
          <w:bCs/>
          <w:sz w:val="38"/>
          <w:szCs w:val="24"/>
          <w:rtl/>
        </w:rPr>
        <w:t>כנשמתא בגופא.</w:t>
      </w:r>
      <w:r>
        <w:rPr>
          <w:rtl/>
        </w:rPr>
        <w:t xml:space="preserve"> </w:t>
      </w:r>
      <w:r w:rsidRPr="000E309D">
        <w:rPr>
          <w:rFonts w:ascii="Arial" w:cs="Arial"/>
          <w:sz w:val="38"/>
          <w:szCs w:val="24"/>
          <w:rtl/>
        </w:rPr>
        <w:t>רוצה לומר כמו הנשמה בגוף אף על פי שאינה נראית מכל מקום ניכר כחה אף על פי דמתכסיא בעצמה:</w:t>
      </w:r>
    </w:p>
  </w:footnote>
  <w:footnote w:id="789">
    <w:p w:rsidR="00A13282" w:rsidRDefault="00A13282" w:rsidP="00D45634">
      <w:pPr>
        <w:pStyle w:val="a5"/>
      </w:pPr>
      <w:r>
        <w:rPr>
          <w:rStyle w:val="a7"/>
        </w:rPr>
        <w:footnoteRef/>
      </w:r>
      <w:r>
        <w:t xml:space="preserve"> </w:t>
      </w:r>
      <w:r>
        <w:rPr>
          <w:rFonts w:ascii="Arial"/>
          <w:b/>
          <w:bCs/>
          <w:sz w:val="38"/>
          <w:rtl/>
        </w:rPr>
        <w:t>ובגינהא אתמר כו'.</w:t>
      </w:r>
      <w:r>
        <w:rPr>
          <w:rFonts w:ascii="Arial"/>
          <w:sz w:val="38"/>
          <w:rtl/>
        </w:rPr>
        <w:t xml:space="preserve"> רוצה לומר שהיתה מתלבשת באמה וזהו שנאמר מבית עבדים ולכך היו עבדים וזה שאומרים עבדים היינו כו' (דברים ו כא):</w:t>
      </w:r>
    </w:p>
  </w:footnote>
  <w:footnote w:id="790">
    <w:p w:rsidR="00A13282" w:rsidRDefault="00A13282" w:rsidP="00D45634">
      <w:pPr>
        <w:pStyle w:val="a5"/>
      </w:pPr>
      <w:r>
        <w:rPr>
          <w:rStyle w:val="a7"/>
        </w:rPr>
        <w:footnoteRef/>
      </w:r>
      <w:r>
        <w:t xml:space="preserve"> </w:t>
      </w:r>
      <w:r>
        <w:rPr>
          <w:rFonts w:ascii="Arial"/>
          <w:b/>
          <w:bCs/>
          <w:sz w:val="38"/>
          <w:rtl/>
        </w:rPr>
        <w:t>ובגין דא כו'.</w:t>
      </w:r>
      <w:r>
        <w:rPr>
          <w:rFonts w:ascii="Arial"/>
          <w:sz w:val="38"/>
          <w:rtl/>
        </w:rPr>
        <w:t xml:space="preserve"> רוצה לומר שאמר לעיל דבה בנהא לא אשתמודעין:</w:t>
      </w:r>
    </w:p>
  </w:footnote>
  <w:footnote w:id="791">
    <w:p w:rsidR="00A13282" w:rsidRDefault="00A13282" w:rsidP="00D45634">
      <w:pPr>
        <w:pStyle w:val="a5"/>
      </w:pPr>
      <w:r>
        <w:rPr>
          <w:rStyle w:val="a7"/>
        </w:rPr>
        <w:footnoteRef/>
      </w:r>
      <w:r>
        <w:t xml:space="preserve"> </w:t>
      </w:r>
      <w:r>
        <w:rPr>
          <w:rFonts w:ascii="Arial"/>
          <w:b/>
          <w:bCs/>
          <w:sz w:val="38"/>
          <w:rtl/>
        </w:rPr>
        <w:t>ובג"ד נפקו כו'.</w:t>
      </w:r>
      <w:r>
        <w:rPr>
          <w:rFonts w:ascii="Arial"/>
          <w:sz w:val="38"/>
          <w:rtl/>
        </w:rPr>
        <w:t xml:space="preserve"> רוצה לומר בגין דלא נפקת מהאי גופא אף על גב שניכרת בו כנ"ל מכל מקום נפקו כו' דהוא עבד:</w:t>
      </w:r>
    </w:p>
  </w:footnote>
  <w:footnote w:id="792">
    <w:p w:rsidR="00A13282" w:rsidRDefault="00A13282" w:rsidP="00D45634">
      <w:pPr>
        <w:pStyle w:val="a5"/>
      </w:pPr>
      <w:r>
        <w:rPr>
          <w:rStyle w:val="a7"/>
        </w:rPr>
        <w:footnoteRef/>
      </w:r>
      <w:r>
        <w:t xml:space="preserve"> </w:t>
      </w:r>
      <w:r>
        <w:rPr>
          <w:rFonts w:ascii="Arial"/>
          <w:b/>
          <w:bCs/>
          <w:sz w:val="38"/>
          <w:rtl/>
        </w:rPr>
        <w:t>חירו דאורייתא.</w:t>
      </w:r>
      <w:r>
        <w:rPr>
          <w:rFonts w:ascii="Arial"/>
          <w:sz w:val="38"/>
          <w:rtl/>
        </w:rPr>
        <w:t xml:space="preserve"> כמו שאמרו (אבות ו ב) חרות כו':</w:t>
      </w:r>
    </w:p>
  </w:footnote>
  <w:footnote w:id="793">
    <w:p w:rsidR="00A13282" w:rsidRDefault="00A13282" w:rsidP="00D45634">
      <w:pPr>
        <w:pStyle w:val="a5"/>
      </w:pPr>
      <w:r>
        <w:rPr>
          <w:rStyle w:val="a7"/>
        </w:rPr>
        <w:footnoteRef/>
      </w:r>
      <w:r>
        <w:t xml:space="preserve"> </w:t>
      </w:r>
      <w:r>
        <w:rPr>
          <w:rFonts w:ascii="Arial"/>
          <w:b/>
          <w:bCs/>
          <w:sz w:val="38"/>
          <w:rtl/>
        </w:rPr>
        <w:t>חירו במלכותא.</w:t>
      </w:r>
      <w:r>
        <w:rPr>
          <w:rFonts w:ascii="Arial"/>
          <w:sz w:val="38"/>
          <w:rtl/>
        </w:rPr>
        <w:t xml:space="preserve"> שאז מלכות יהיה בחירות וכן של ישרים למטה:</w:t>
      </w:r>
    </w:p>
  </w:footnote>
  <w:footnote w:id="794">
    <w:p w:rsidR="00A13282" w:rsidRDefault="00A13282" w:rsidP="00D45634">
      <w:pPr>
        <w:pStyle w:val="a5"/>
      </w:pPr>
      <w:r>
        <w:rPr>
          <w:rStyle w:val="a7"/>
        </w:rPr>
        <w:footnoteRef/>
      </w:r>
      <w:r>
        <w:t xml:space="preserve"> </w:t>
      </w:r>
      <w:r>
        <w:rPr>
          <w:rFonts w:ascii="Arial"/>
          <w:b/>
          <w:bCs/>
          <w:sz w:val="38"/>
          <w:rtl/>
        </w:rPr>
        <w:t>הה"ד יקרה היא כו'.</w:t>
      </w:r>
      <w:r>
        <w:rPr>
          <w:rFonts w:ascii="Arial"/>
          <w:sz w:val="38"/>
          <w:rtl/>
        </w:rPr>
        <w:t xml:space="preserve"> רוצה לומר באורייתא היא יקרה:</w:t>
      </w:r>
    </w:p>
  </w:footnote>
  <w:footnote w:id="795">
    <w:p w:rsidR="00A13282" w:rsidRDefault="00A13282" w:rsidP="00D45634">
      <w:pPr>
        <w:pStyle w:val="a5"/>
      </w:pPr>
      <w:r>
        <w:rPr>
          <w:rStyle w:val="a7"/>
        </w:rPr>
        <w:footnoteRef/>
      </w:r>
      <w:r>
        <w:t xml:space="preserve"> </w:t>
      </w:r>
      <w:r>
        <w:rPr>
          <w:rFonts w:ascii="Arial"/>
          <w:b/>
          <w:bCs/>
          <w:sz w:val="38"/>
          <w:rtl/>
        </w:rPr>
        <w:t>ואיהו נהיר כו'.</w:t>
      </w:r>
      <w:r>
        <w:rPr>
          <w:rFonts w:ascii="Arial"/>
          <w:sz w:val="38"/>
          <w:rtl/>
        </w:rPr>
        <w:t xml:space="preserve"> כמו שכתוב (דברים כח י) וראו כל כו' כי שם כו', כמו הנשמה בגוף אינה נראית רק כשמתפשטת, כן השם אחר שיתפשט מהאי גופא וישרה בישראל שלא על ידי מט"ט:</w:t>
      </w:r>
    </w:p>
  </w:footnote>
  <w:footnote w:id="796">
    <w:p w:rsidR="00A13282" w:rsidRDefault="00A13282" w:rsidP="00D45634">
      <w:pPr>
        <w:pStyle w:val="a5"/>
      </w:pPr>
      <w:r>
        <w:rPr>
          <w:rStyle w:val="a7"/>
        </w:rPr>
        <w:footnoteRef/>
      </w:r>
      <w:r>
        <w:t xml:space="preserve"> </w:t>
      </w:r>
      <w:r>
        <w:rPr>
          <w:rFonts w:ascii="Arial"/>
          <w:b/>
          <w:bCs/>
          <w:sz w:val="38"/>
          <w:rtl/>
        </w:rPr>
        <w:t>דאינון כוז"ו כו'.</w:t>
      </w:r>
      <w:r>
        <w:rPr>
          <w:rFonts w:ascii="Arial"/>
          <w:sz w:val="38"/>
          <w:rtl/>
        </w:rPr>
        <w:t xml:space="preserve"> הוא כינויו באותיות המאוחרות:</w:t>
      </w:r>
    </w:p>
  </w:footnote>
  <w:footnote w:id="797">
    <w:p w:rsidR="00A13282" w:rsidRDefault="00A13282" w:rsidP="00D45634">
      <w:pPr>
        <w:pStyle w:val="a5"/>
      </w:pPr>
      <w:r>
        <w:rPr>
          <w:rStyle w:val="a7"/>
        </w:rPr>
        <w:footnoteRef/>
      </w:r>
      <w:r>
        <w:t xml:space="preserve"> </w:t>
      </w:r>
      <w:r>
        <w:rPr>
          <w:rFonts w:ascii="Arial"/>
          <w:b/>
          <w:bCs/>
          <w:sz w:val="38"/>
          <w:rtl/>
        </w:rPr>
        <w:t>מצפ"ץ.</w:t>
      </w:r>
      <w:r>
        <w:rPr>
          <w:rFonts w:ascii="Arial"/>
          <w:sz w:val="38"/>
          <w:rtl/>
        </w:rPr>
        <w:t xml:space="preserve"> הוא מרכבה בחילוף א"ת ב"ש, ואז השם מתכסה בהעלם בהן והן הכנפים שמכסין את השם וזהו ותחת כנפיו כו' (תהלים צא ד) אבל אז יתפשט וזה שאומר ולא יכנף כו':</w:t>
      </w:r>
    </w:p>
  </w:footnote>
  <w:footnote w:id="798">
    <w:p w:rsidR="00A13282" w:rsidRDefault="00A13282" w:rsidP="00D45634">
      <w:pPr>
        <w:pStyle w:val="a5"/>
      </w:pPr>
      <w:r>
        <w:rPr>
          <w:rStyle w:val="a7"/>
        </w:rPr>
        <w:footnoteRef/>
      </w:r>
      <w:r>
        <w:t xml:space="preserve"> </w:t>
      </w:r>
      <w:r>
        <w:rPr>
          <w:rFonts w:ascii="Arial"/>
          <w:b/>
          <w:bCs/>
          <w:sz w:val="38"/>
          <w:rtl/>
        </w:rPr>
        <w:t>ויתלבש במרכבה כו'.</w:t>
      </w:r>
      <w:r>
        <w:rPr>
          <w:rFonts w:ascii="Arial"/>
          <w:sz w:val="38"/>
          <w:rtl/>
        </w:rPr>
        <w:t xml:space="preserve"> רוצה לומר שהשם הוא הוי"ה והמרכבה אדנ"י. ובמט"ט היא כוז"ו שהוא עם הוי"ה בגימטריה אדנ"י. וכינויו אלקים ובמט"ט מצפ"ץ שהוא גימטריה ש' כמנין אלקים דיודי"ן. ואז יהיו הכנויין ומרכבה הכל שמות התורה שאינן נמחקין שהן בספירות:</w:t>
      </w:r>
    </w:p>
  </w:footnote>
  <w:footnote w:id="799">
    <w:p w:rsidR="00A13282" w:rsidRDefault="00A13282" w:rsidP="00D45634">
      <w:pPr>
        <w:pStyle w:val="a5"/>
      </w:pPr>
      <w:r>
        <w:rPr>
          <w:rStyle w:val="a7"/>
        </w:rPr>
        <w:footnoteRef/>
      </w:r>
      <w:r>
        <w:t xml:space="preserve"> </w:t>
      </w:r>
      <w:r>
        <w:rPr>
          <w:rFonts w:ascii="Arial"/>
          <w:b/>
          <w:bCs/>
          <w:sz w:val="38"/>
          <w:rtl/>
        </w:rPr>
        <w:t>אהיה איהו יה"ו.</w:t>
      </w:r>
      <w:r>
        <w:rPr>
          <w:rFonts w:ascii="Arial"/>
          <w:sz w:val="38"/>
          <w:rtl/>
        </w:rPr>
        <w:t xml:space="preserve"> רוצה לומר דהא דאמר שהוא כינוי לשם הויה, ואמר דאקי"ק הוא יק"ו, ואדני הוא ה' בתראה כידוע:</w:t>
      </w:r>
    </w:p>
  </w:footnote>
  <w:footnote w:id="800">
    <w:p w:rsidR="00A13282" w:rsidRDefault="00A13282" w:rsidP="00D45634">
      <w:pPr>
        <w:pStyle w:val="a5"/>
      </w:pPr>
      <w:r>
        <w:rPr>
          <w:rStyle w:val="a7"/>
        </w:rPr>
        <w:footnoteRef/>
      </w:r>
      <w:r>
        <w:t xml:space="preserve"> </w:t>
      </w:r>
      <w:r>
        <w:rPr>
          <w:rFonts w:ascii="Arial"/>
          <w:b/>
          <w:bCs/>
          <w:sz w:val="38"/>
          <w:rtl/>
        </w:rPr>
        <w:t>ו' דאיהי כלילא כו'.</w:t>
      </w:r>
      <w:r>
        <w:rPr>
          <w:rFonts w:ascii="Arial"/>
          <w:sz w:val="38"/>
          <w:rtl/>
        </w:rPr>
        <w:t xml:space="preserve"> עכשיו מפרש ראיה שיק"ו הוא אקי"ק כמו שאומר לקמן:</w:t>
      </w:r>
    </w:p>
  </w:footnote>
  <w:footnote w:id="801">
    <w:p w:rsidR="00A13282" w:rsidRDefault="00A13282" w:rsidP="00D45634">
      <w:pPr>
        <w:pStyle w:val="a5"/>
      </w:pPr>
      <w:r>
        <w:rPr>
          <w:rStyle w:val="a7"/>
        </w:rPr>
        <w:footnoteRef/>
      </w:r>
      <w:r>
        <w:t xml:space="preserve"> </w:t>
      </w:r>
      <w:r>
        <w:rPr>
          <w:rtl/>
        </w:rPr>
        <w:t>ג.פ.: כפי שהעיר כאן מדפיס הספר, נוסחת הצרופים שגויה, ובספר יצירה הגירסה נכונה. שיניתי את הצירופים כאן לפי פירוש הגר"א בספר יצירה פרק א' משנה י"ג, ולהלן אביא את פירושו שם. נוסח המשנה בספר יצירה שונה מהנוסח כאן. שם כתוב (על פי גירסת הגר"א): חמש חתם רום ופנה למעלה וחתמו ביה"ו, שש חתם תחת ופנה למטה וחתמו בהי"ו, שבע חתם מזרח ופנה לפניו וחתמו בוי"ה, שמונה חתם מערב ופנה לחריו וחתמו בוה"י, תשע חתם דרום ופנה לימינו וחתמו ביו"ה, עשר חתם צפון ופנה לשמאלו וחתמו בהו"י. וזה לשון הגר"א שם: הן ו' קצוות הידועים שחתומים ביה"ו. ששלוש אותיות בונות ששה בתים כדלקמן. והתחיל ברום לפי ששם הוא כסדר יה"ו. וסדר בנין הבתים, שני הבתים שהתחלתן ביו"ד הוא בחסד ונצח שהן מימין כי יו"ד הוא בחכמה, והוד וגבורה התחלתן בה"א שהוא בינה, ות"ת ויסוד התחלתן בו"ו שהוא בדעת, וכן בשני הבתים של כל אות ואות חתם כסדר, מזרח קודם למערב, ורום ותחת הם קדומים לצפון ודרום לפי שאיהו בנצח ואיהי בהוד ולכן נקראים רום ותחת והן מתעלים בהתעלותן עד הכתר. עכ"ל עיין שם.</w:t>
      </w:r>
    </w:p>
  </w:footnote>
  <w:footnote w:id="802">
    <w:p w:rsidR="00A13282" w:rsidRDefault="00A13282" w:rsidP="00D45634">
      <w:pPr>
        <w:pStyle w:val="a5"/>
      </w:pPr>
      <w:r>
        <w:rPr>
          <w:rStyle w:val="a7"/>
        </w:rPr>
        <w:footnoteRef/>
      </w:r>
      <w:r>
        <w:t xml:space="preserve"> </w:t>
      </w:r>
      <w:r>
        <w:rPr>
          <w:rFonts w:ascii="Arial"/>
          <w:b/>
          <w:bCs/>
          <w:sz w:val="38"/>
          <w:rtl/>
        </w:rPr>
        <w:t>וחתים ביה בני.</w:t>
      </w:r>
      <w:r>
        <w:rPr>
          <w:rFonts w:ascii="Arial"/>
          <w:sz w:val="38"/>
          <w:rtl/>
        </w:rPr>
        <w:t xml:space="preserve"> שהוא בן י"ה וממנו באים:</w:t>
      </w:r>
    </w:p>
  </w:footnote>
  <w:footnote w:id="803">
    <w:p w:rsidR="00A13282" w:rsidRDefault="00A13282" w:rsidP="00D45634">
      <w:pPr>
        <w:pStyle w:val="a5"/>
      </w:pPr>
      <w:r>
        <w:rPr>
          <w:rStyle w:val="a7"/>
        </w:rPr>
        <w:footnoteRef/>
      </w:r>
      <w:r>
        <w:t xml:space="preserve"> </w:t>
      </w:r>
      <w:r>
        <w:rPr>
          <w:rFonts w:ascii="Arial"/>
          <w:b/>
          <w:bCs/>
          <w:sz w:val="38"/>
          <w:rtl/>
        </w:rPr>
        <w:t>בי' מזוני.</w:t>
      </w:r>
      <w:r>
        <w:rPr>
          <w:rFonts w:ascii="Arial"/>
          <w:sz w:val="38"/>
          <w:rtl/>
        </w:rPr>
        <w:t xml:space="preserve"> בספר יצירה כתוב ממשלה, דמזוני כבר נכלל בעותרא. וכן ממשלה הוא מצד העושר כמו שכתוב רבים יחלו כו' (משלי יט ו):</w:t>
      </w:r>
    </w:p>
  </w:footnote>
  <w:footnote w:id="804">
    <w:p w:rsidR="00A13282" w:rsidRDefault="00A13282" w:rsidP="00D45634">
      <w:pPr>
        <w:pStyle w:val="a5"/>
      </w:pPr>
      <w:r>
        <w:rPr>
          <w:rStyle w:val="a7"/>
        </w:rPr>
        <w:footnoteRef/>
      </w:r>
      <w:r>
        <w:t xml:space="preserve"> </w:t>
      </w:r>
      <w:r>
        <w:rPr>
          <w:rFonts w:ascii="Arial"/>
          <w:b/>
          <w:bCs/>
          <w:sz w:val="38"/>
          <w:rtl/>
        </w:rPr>
        <w:t>אסתכל לעילא לגביה כו'.</w:t>
      </w:r>
      <w:r>
        <w:rPr>
          <w:rFonts w:ascii="Arial"/>
          <w:sz w:val="38"/>
          <w:rtl/>
        </w:rPr>
        <w:t xml:space="preserve"> נותן טעם למה ביה חיי. ואמר אסתכל כו' שלכך נקרא נצח מעלה:</w:t>
      </w:r>
    </w:p>
  </w:footnote>
  <w:footnote w:id="805">
    <w:p w:rsidR="00A13282" w:rsidRDefault="00A13282" w:rsidP="00D45634">
      <w:pPr>
        <w:pStyle w:val="a5"/>
      </w:pPr>
      <w:r>
        <w:rPr>
          <w:rStyle w:val="a7"/>
        </w:rPr>
        <w:footnoteRef/>
      </w:r>
      <w:r>
        <w:t xml:space="preserve"> </w:t>
      </w:r>
      <w:r>
        <w:rPr>
          <w:rFonts w:ascii="Arial"/>
          <w:b/>
          <w:bCs/>
          <w:sz w:val="38"/>
          <w:rtl/>
        </w:rPr>
        <w:t>אסתכל לתתא לגבי אימא כו'.</w:t>
      </w:r>
      <w:r>
        <w:rPr>
          <w:rFonts w:ascii="Arial"/>
          <w:sz w:val="38"/>
          <w:rtl/>
        </w:rPr>
        <w:t xml:space="preserve"> כן צריך להיות כמו שאומר לעיל ואסתכל לתתא כו', שלכך נקרא מטה:</w:t>
      </w:r>
    </w:p>
  </w:footnote>
  <w:footnote w:id="806">
    <w:p w:rsidR="00A13282" w:rsidRDefault="00A13282" w:rsidP="00D45634">
      <w:pPr>
        <w:pStyle w:val="a5"/>
      </w:pPr>
      <w:r>
        <w:rPr>
          <w:rStyle w:val="a7"/>
        </w:rPr>
        <w:footnoteRef/>
      </w:r>
      <w:r>
        <w:t xml:space="preserve"> </w:t>
      </w:r>
      <w:r>
        <w:rPr>
          <w:rFonts w:ascii="Arial"/>
          <w:b/>
          <w:bCs/>
          <w:sz w:val="38"/>
          <w:rtl/>
        </w:rPr>
        <w:t>פנה למערב כו'.</w:t>
      </w:r>
      <w:r>
        <w:rPr>
          <w:rFonts w:ascii="Arial"/>
          <w:sz w:val="38"/>
          <w:rtl/>
        </w:rPr>
        <w:t xml:space="preserve"> בספר יצירה כתוב שבו חתום שלום, שלכן נקרא שלום:</w:t>
      </w:r>
    </w:p>
  </w:footnote>
  <w:footnote w:id="807">
    <w:p w:rsidR="00A13282" w:rsidRDefault="00A13282" w:rsidP="00D45634">
      <w:pPr>
        <w:pStyle w:val="a5"/>
      </w:pPr>
      <w:r>
        <w:rPr>
          <w:rStyle w:val="a7"/>
        </w:rPr>
        <w:footnoteRef/>
      </w:r>
      <w:r>
        <w:t xml:space="preserve"> </w:t>
      </w:r>
      <w:r>
        <w:rPr>
          <w:rFonts w:ascii="Arial"/>
          <w:b/>
          <w:bCs/>
          <w:sz w:val="38"/>
          <w:rtl/>
        </w:rPr>
        <w:t>דאיהי ערוב.</w:t>
      </w:r>
      <w:r>
        <w:rPr>
          <w:rFonts w:ascii="Arial"/>
          <w:sz w:val="38"/>
          <w:rtl/>
        </w:rPr>
        <w:t xml:space="preserve"> רוצה לומר שלכך נקרא מערב:</w:t>
      </w:r>
    </w:p>
  </w:footnote>
  <w:footnote w:id="808">
    <w:p w:rsidR="00A13282" w:rsidRDefault="00A13282" w:rsidP="00D45634">
      <w:pPr>
        <w:pStyle w:val="a5"/>
      </w:pPr>
      <w:r>
        <w:rPr>
          <w:rStyle w:val="a7"/>
        </w:rPr>
        <w:footnoteRef/>
      </w:r>
      <w:r>
        <w:t xml:space="preserve"> </w:t>
      </w:r>
      <w:r>
        <w:rPr>
          <w:rFonts w:ascii="Arial"/>
          <w:b/>
          <w:bCs/>
          <w:sz w:val="38"/>
          <w:rtl/>
        </w:rPr>
        <w:t>כל הויות.</w:t>
      </w:r>
      <w:r>
        <w:rPr>
          <w:rFonts w:ascii="Arial"/>
          <w:sz w:val="38"/>
          <w:rtl/>
        </w:rPr>
        <w:t xml:space="preserve"> רוצה לומר אלו ח"י אותיות:</w:t>
      </w:r>
    </w:p>
  </w:footnote>
  <w:footnote w:id="809">
    <w:p w:rsidR="00A13282" w:rsidRDefault="00A13282" w:rsidP="00D45634">
      <w:pPr>
        <w:pStyle w:val="a5"/>
      </w:pPr>
      <w:r>
        <w:rPr>
          <w:rStyle w:val="a7"/>
        </w:rPr>
        <w:footnoteRef/>
      </w:r>
      <w:r>
        <w:t xml:space="preserve"> </w:t>
      </w:r>
      <w:r>
        <w:rPr>
          <w:rFonts w:ascii="Arial"/>
          <w:b/>
          <w:bCs/>
          <w:sz w:val="38"/>
          <w:rtl/>
        </w:rPr>
        <w:t>מאימא עילאה.</w:t>
      </w:r>
      <w:r>
        <w:rPr>
          <w:rFonts w:ascii="Arial"/>
          <w:sz w:val="38"/>
          <w:rtl/>
        </w:rPr>
        <w:t xml:space="preserve"> עכשיו הוא מפרש היאך יה"ו הוא אהיה. דו', דאיהו שלימו דיק"ו, הוא כליל ו' הויות דלעיל, שהוא מאימא עילאה, ואימא עילאה הוא אהי-ה:</w:t>
      </w:r>
    </w:p>
  </w:footnote>
  <w:footnote w:id="810">
    <w:p w:rsidR="00A13282" w:rsidRDefault="00A13282" w:rsidP="00D45634">
      <w:pPr>
        <w:pStyle w:val="a5"/>
      </w:pPr>
      <w:r>
        <w:rPr>
          <w:rStyle w:val="a7"/>
        </w:rPr>
        <w:footnoteRef/>
      </w:r>
      <w:r>
        <w:t xml:space="preserve"> </w:t>
      </w:r>
      <w:r>
        <w:rPr>
          <w:rFonts w:ascii="Arial"/>
          <w:b/>
          <w:bCs/>
          <w:sz w:val="38"/>
          <w:rtl/>
        </w:rPr>
        <w:t>חיות דמרכבה כו'.</w:t>
      </w:r>
      <w:r>
        <w:rPr>
          <w:rFonts w:ascii="Arial"/>
          <w:sz w:val="38"/>
          <w:rtl/>
        </w:rPr>
        <w:t xml:space="preserve"> הוא ראיה שנקראת חיים כמו שמפרש:</w:t>
      </w:r>
    </w:p>
  </w:footnote>
  <w:footnote w:id="811">
    <w:p w:rsidR="00A13282" w:rsidRDefault="00A13282" w:rsidP="00D45634">
      <w:pPr>
        <w:pStyle w:val="a5"/>
      </w:pPr>
      <w:r>
        <w:rPr>
          <w:rStyle w:val="a7"/>
        </w:rPr>
        <w:footnoteRef/>
      </w:r>
      <w:r>
        <w:t xml:space="preserve"> </w:t>
      </w:r>
      <w:r>
        <w:rPr>
          <w:rFonts w:ascii="Arial"/>
          <w:b/>
          <w:bCs/>
          <w:sz w:val="38"/>
          <w:rtl/>
        </w:rPr>
        <w:t>כד"א עץ חיים כו'.</w:t>
      </w:r>
      <w:r>
        <w:rPr>
          <w:rFonts w:ascii="Arial"/>
          <w:sz w:val="38"/>
          <w:rtl/>
        </w:rPr>
        <w:t xml:space="preserve"> שאימא עילאה היא ימא דאורייתא כמו שאומר לעיל:</w:t>
      </w:r>
    </w:p>
  </w:footnote>
  <w:footnote w:id="812">
    <w:p w:rsidR="00A13282" w:rsidRDefault="00A13282" w:rsidP="00D45634">
      <w:pPr>
        <w:pStyle w:val="a5"/>
      </w:pPr>
      <w:r>
        <w:rPr>
          <w:rStyle w:val="a7"/>
        </w:rPr>
        <w:footnoteRef/>
      </w:r>
      <w:r>
        <w:t xml:space="preserve"> </w:t>
      </w:r>
      <w:r>
        <w:rPr>
          <w:rFonts w:ascii="Arial"/>
          <w:b/>
          <w:bCs/>
          <w:sz w:val="38"/>
          <w:rtl/>
        </w:rPr>
        <w:t>ואיהי מרכבה.</w:t>
      </w:r>
      <w:r>
        <w:rPr>
          <w:rFonts w:ascii="Arial"/>
          <w:sz w:val="38"/>
          <w:rtl/>
        </w:rPr>
        <w:t xml:space="preserve"> הוא מפרש שאמר לעיל דחיות המרכבה כו':</w:t>
      </w:r>
    </w:p>
  </w:footnote>
  <w:footnote w:id="813">
    <w:p w:rsidR="00A13282" w:rsidRDefault="00A13282" w:rsidP="00D45634">
      <w:pPr>
        <w:pStyle w:val="a5"/>
      </w:pPr>
      <w:r>
        <w:rPr>
          <w:rStyle w:val="a7"/>
        </w:rPr>
        <w:footnoteRef/>
      </w:r>
      <w:r>
        <w:t xml:space="preserve"> </w:t>
      </w:r>
      <w:r>
        <w:rPr>
          <w:rFonts w:ascii="Arial"/>
          <w:b/>
          <w:bCs/>
          <w:sz w:val="38"/>
          <w:rtl/>
        </w:rPr>
        <w:t>לחכמה.</w:t>
      </w:r>
      <w:r>
        <w:rPr>
          <w:rFonts w:ascii="Arial"/>
          <w:sz w:val="38"/>
          <w:rtl/>
        </w:rPr>
        <w:t xml:space="preserve"> רוצה לומר שחכמה הוא מ"ה כמו שאומר לעיל והיא - רכ"ב מ"ה:</w:t>
      </w:r>
    </w:p>
  </w:footnote>
  <w:footnote w:id="814">
    <w:p w:rsidR="00A13282" w:rsidRDefault="00A13282" w:rsidP="00D45634">
      <w:pPr>
        <w:pStyle w:val="a5"/>
      </w:pPr>
      <w:r>
        <w:rPr>
          <w:rStyle w:val="a7"/>
        </w:rPr>
        <w:footnoteRef/>
      </w:r>
      <w:r>
        <w:t xml:space="preserve"> </w:t>
      </w:r>
      <w:r>
        <w:rPr>
          <w:rFonts w:ascii="Arial"/>
          <w:b/>
          <w:bCs/>
          <w:sz w:val="38"/>
          <w:rtl/>
        </w:rPr>
        <w:t>מלכות תמן ה' כו'.</w:t>
      </w:r>
      <w:r>
        <w:rPr>
          <w:rFonts w:ascii="Arial"/>
          <w:sz w:val="38"/>
          <w:rtl/>
        </w:rPr>
        <w:t xml:space="preserve"> שעד כאן פירש היאך אקיק בהוי"ה, ועכשיו פירש איך אדנ"י בה' בתראה:</w:t>
      </w:r>
    </w:p>
  </w:footnote>
  <w:footnote w:id="815">
    <w:p w:rsidR="00A13282" w:rsidRDefault="00A13282" w:rsidP="00D45634">
      <w:pPr>
        <w:pStyle w:val="a5"/>
      </w:pPr>
      <w:r>
        <w:rPr>
          <w:rStyle w:val="a7"/>
        </w:rPr>
        <w:footnoteRef/>
      </w:r>
      <w:r>
        <w:t xml:space="preserve"> </w:t>
      </w:r>
      <w:r>
        <w:rPr>
          <w:rFonts w:ascii="Arial"/>
          <w:b/>
          <w:bCs/>
          <w:sz w:val="38"/>
          <w:rtl/>
        </w:rPr>
        <w:t>ובה אתקרי כו'.</w:t>
      </w:r>
      <w:r>
        <w:rPr>
          <w:rFonts w:ascii="Arial"/>
          <w:sz w:val="38"/>
          <w:rtl/>
        </w:rPr>
        <w:t xml:space="preserve"> רוצה לומר לפיכך בשם אדנ"י נשתלם הוי"ה ולפיכך ח"י אתוון הנ"ל הן כמנין אחורים דאדנ"י:</w:t>
      </w:r>
    </w:p>
  </w:footnote>
  <w:footnote w:id="816">
    <w:p w:rsidR="00A13282" w:rsidRDefault="00A13282" w:rsidP="00D45634">
      <w:pPr>
        <w:pStyle w:val="a5"/>
      </w:pPr>
      <w:r>
        <w:rPr>
          <w:rStyle w:val="a7"/>
        </w:rPr>
        <w:footnoteRef/>
      </w:r>
      <w:r>
        <w:t xml:space="preserve"> </w:t>
      </w:r>
      <w:r>
        <w:rPr>
          <w:rFonts w:ascii="Arial"/>
          <w:b/>
          <w:bCs/>
          <w:sz w:val="38"/>
          <w:rtl/>
        </w:rPr>
        <w:t>ז' זמנין כו'.</w:t>
      </w:r>
      <w:r>
        <w:rPr>
          <w:rFonts w:ascii="Arial"/>
          <w:sz w:val="38"/>
          <w:rtl/>
        </w:rPr>
        <w:t xml:space="preserve"> הוא ראיה שבה נשתלם השם, כמו ו' שבו נכלל יה"ו, בו ששה פעמים יה"ו שהוא כליל שית ספירן, כן ה' בתראה שבה, כולל ז' ספירן, כליל שבע הויות. ואינון גימטריה שתי פעמים אלקים עם עשר אותיותיהן:</w:t>
      </w:r>
    </w:p>
  </w:footnote>
  <w:footnote w:id="817">
    <w:p w:rsidR="00A13282" w:rsidRDefault="00A13282" w:rsidP="00D45634">
      <w:pPr>
        <w:pStyle w:val="a5"/>
      </w:pPr>
      <w:r>
        <w:rPr>
          <w:rStyle w:val="a7"/>
        </w:rPr>
        <w:footnoteRef/>
      </w:r>
      <w:r>
        <w:t xml:space="preserve"> </w:t>
      </w:r>
      <w:r>
        <w:rPr>
          <w:rFonts w:ascii="Arial"/>
          <w:b/>
          <w:bCs/>
          <w:sz w:val="38"/>
          <w:rtl/>
        </w:rPr>
        <w:t>י"ה תלתין כו'.</w:t>
      </w:r>
      <w:r>
        <w:rPr>
          <w:rFonts w:ascii="Arial"/>
          <w:sz w:val="38"/>
          <w:rtl/>
        </w:rPr>
        <w:t xml:space="preserve"> לפי שפירש האיך השם הוי"ה ושם יה"ו באלקים, עכשיו מפרש השם י"ה באלקים. ואמר שי"ה שבאלקים אינון ל"ב שבילין של חכמה, ומתכסיא בלב אלקים, בב' אותיות ה"י שבה, בבינה שהיא אלקים דמעשה בראשית כמו שאמר לעיל, בראשית, עם ראשית, ברא אלקים את כו' עיין שם. והן גימטריה סכ"ת והוא פרישו דסכת שלום דאימא עלאה כנ"ל:</w:t>
      </w:r>
    </w:p>
  </w:footnote>
  <w:footnote w:id="818">
    <w:p w:rsidR="00A13282" w:rsidRDefault="00A13282" w:rsidP="00D45634">
      <w:pPr>
        <w:pStyle w:val="a5"/>
      </w:pPr>
      <w:r>
        <w:rPr>
          <w:rStyle w:val="a7"/>
        </w:rPr>
        <w:footnoteRef/>
      </w:r>
      <w:r>
        <w:t xml:space="preserve"> </w:t>
      </w:r>
      <w:r>
        <w:rPr>
          <w:rFonts w:ascii="Arial"/>
          <w:b/>
          <w:bCs/>
          <w:sz w:val="38"/>
          <w:rtl/>
        </w:rPr>
        <w:t>א' עם כו'.</w:t>
      </w:r>
      <w:r>
        <w:rPr>
          <w:rFonts w:ascii="Arial"/>
          <w:sz w:val="38"/>
          <w:rtl/>
        </w:rPr>
        <w:t xml:space="preserve"> עכשיו מפרש אלף דאלקים שהוא אי"ה, כח"ב. ונשאר מאלקים אותיות ל"ם שהן שבעים והן ז' תחתונות שכל אחד כלול מיו"ד. הרי כל העשר ספירות נכללין באלקים ועשר ספירות הן שם הויה כנ"ל ואם כן שם הויה נכלל באלקים:</w:t>
      </w:r>
    </w:p>
  </w:footnote>
  <w:footnote w:id="819">
    <w:p w:rsidR="00A13282" w:rsidRDefault="00A13282" w:rsidP="00D45634">
      <w:pPr>
        <w:pStyle w:val="a5"/>
      </w:pPr>
      <w:r>
        <w:rPr>
          <w:rStyle w:val="a7"/>
        </w:rPr>
        <w:footnoteRef/>
      </w:r>
      <w:r>
        <w:t xml:space="preserve"> </w:t>
      </w:r>
      <w:r>
        <w:rPr>
          <w:rFonts w:ascii="Arial"/>
          <w:b/>
          <w:bCs/>
          <w:sz w:val="38"/>
          <w:rtl/>
        </w:rPr>
        <w:t>והמשכילים כו'.</w:t>
      </w:r>
      <w:r>
        <w:rPr>
          <w:rFonts w:ascii="Arial"/>
          <w:sz w:val="38"/>
          <w:rtl/>
        </w:rPr>
        <w:t xml:space="preserve"> עכשיו בסיום הקדמה מפרש כל מה שאמר לעיל, דהמשכילים אילן היכלין ואותיות שבו מרוקם היכלין דגן עדן, והנקודין ציורא דגן עדן. עכשיו מפרש האותיות, והיאך בהם כלולים הנקודות, ובסוף מפרש כל האותיות כסדר:</w:t>
      </w:r>
    </w:p>
  </w:footnote>
  <w:footnote w:id="820">
    <w:p w:rsidR="00A13282" w:rsidRDefault="00A13282" w:rsidP="00D45634">
      <w:pPr>
        <w:pStyle w:val="a5"/>
      </w:pPr>
      <w:r>
        <w:rPr>
          <w:rStyle w:val="a7"/>
        </w:rPr>
        <w:footnoteRef/>
      </w:r>
      <w:r>
        <w:t xml:space="preserve"> </w:t>
      </w:r>
      <w:r>
        <w:rPr>
          <w:rFonts w:ascii="Arial"/>
          <w:b/>
          <w:bCs/>
          <w:sz w:val="38"/>
          <w:rtl/>
        </w:rPr>
        <w:t>היכלין וציורין.</w:t>
      </w:r>
      <w:r>
        <w:rPr>
          <w:rFonts w:ascii="Arial"/>
          <w:sz w:val="38"/>
          <w:rtl/>
        </w:rPr>
        <w:t xml:space="preserve"> באתוון ונקודות:</w:t>
      </w:r>
    </w:p>
  </w:footnote>
  <w:footnote w:id="821">
    <w:p w:rsidR="00A13282" w:rsidRDefault="00A13282" w:rsidP="00D45634">
      <w:pPr>
        <w:pStyle w:val="a5"/>
      </w:pPr>
      <w:r>
        <w:rPr>
          <w:rStyle w:val="a7"/>
        </w:rPr>
        <w:footnoteRef/>
      </w:r>
      <w:r>
        <w:t xml:space="preserve"> </w:t>
      </w:r>
      <w:r>
        <w:rPr>
          <w:rFonts w:ascii="Arial"/>
          <w:b/>
          <w:bCs/>
          <w:sz w:val="38"/>
          <w:rtl/>
        </w:rPr>
        <w:t>מצויירין ומרוקמין באתוון.</w:t>
      </w:r>
      <w:r>
        <w:rPr>
          <w:rFonts w:ascii="Arial"/>
          <w:sz w:val="38"/>
          <w:rtl/>
        </w:rPr>
        <w:t xml:space="preserve"> שבאותיות כלולין ג"כ נקודות כמו שמפרש והולך:</w:t>
      </w:r>
    </w:p>
  </w:footnote>
  <w:footnote w:id="822">
    <w:p w:rsidR="00A13282" w:rsidRDefault="00A13282" w:rsidP="00D45634">
      <w:pPr>
        <w:pStyle w:val="a5"/>
      </w:pPr>
      <w:r>
        <w:rPr>
          <w:rStyle w:val="a7"/>
        </w:rPr>
        <w:footnoteRef/>
      </w:r>
      <w:r>
        <w:t xml:space="preserve"> </w:t>
      </w:r>
      <w:r>
        <w:rPr>
          <w:rFonts w:ascii="Arial"/>
          <w:b/>
          <w:bCs/>
          <w:sz w:val="38"/>
          <w:rtl/>
        </w:rPr>
        <w:t>א' ציורא כו'.</w:t>
      </w:r>
      <w:r>
        <w:rPr>
          <w:rFonts w:ascii="Arial"/>
          <w:sz w:val="38"/>
          <w:rtl/>
        </w:rPr>
        <w:t xml:space="preserve"> מפרש כמה אותיות שכלולין בהן נקודות והן מצויירין בכסא. ושאר אותיות כתב לקמן שהן כסויין כו':</w:t>
      </w:r>
    </w:p>
  </w:footnote>
  <w:footnote w:id="823">
    <w:p w:rsidR="00A13282" w:rsidRPr="000E309D" w:rsidRDefault="00A13282" w:rsidP="00D45634">
      <w:pPr>
        <w:jc w:val="both"/>
        <w:rPr>
          <w:rFonts w:ascii="Arial" w:cs="Arial"/>
          <w:sz w:val="38"/>
          <w:szCs w:val="24"/>
        </w:rPr>
      </w:pPr>
      <w:r>
        <w:rPr>
          <w:rStyle w:val="a7"/>
        </w:rPr>
        <w:footnoteRef/>
      </w:r>
      <w:r>
        <w:t xml:space="preserve"> </w:t>
      </w:r>
      <w:r w:rsidRPr="000E309D">
        <w:rPr>
          <w:rFonts w:ascii="Arial" w:cs="Arial"/>
          <w:b/>
          <w:bCs/>
          <w:sz w:val="38"/>
          <w:szCs w:val="24"/>
          <w:rtl/>
        </w:rPr>
        <w:t>דאיהי אנכי.</w:t>
      </w:r>
      <w:r>
        <w:rPr>
          <w:rtl/>
        </w:rPr>
        <w:t xml:space="preserve"> </w:t>
      </w:r>
      <w:r w:rsidRPr="000E309D">
        <w:rPr>
          <w:rFonts w:ascii="Arial" w:cs="Arial"/>
          <w:sz w:val="38"/>
          <w:szCs w:val="24"/>
          <w:rtl/>
        </w:rPr>
        <w:t>רוצה לומר שמתחלת בא', ובאות הראשון תמיד כלול כל המלה וכן לעיל אמר א' הוא אדם:</w:t>
      </w:r>
    </w:p>
  </w:footnote>
  <w:footnote w:id="824">
    <w:p w:rsidR="00A13282" w:rsidRDefault="00A13282" w:rsidP="00D45634">
      <w:pPr>
        <w:pStyle w:val="a5"/>
      </w:pPr>
      <w:r>
        <w:rPr>
          <w:rStyle w:val="a7"/>
        </w:rPr>
        <w:footnoteRef/>
      </w:r>
      <w:r>
        <w:t xml:space="preserve"> </w:t>
      </w:r>
      <w:r>
        <w:rPr>
          <w:rFonts w:ascii="Arial"/>
          <w:b/>
          <w:bCs/>
          <w:sz w:val="38"/>
          <w:rtl/>
        </w:rPr>
        <w:t>וקם שבט.</w:t>
      </w:r>
      <w:r>
        <w:rPr>
          <w:rFonts w:ascii="Arial"/>
          <w:sz w:val="38"/>
          <w:rtl/>
        </w:rPr>
        <w:t xml:space="preserve"> שהוא בדוגמת רקיע מיעקב וישראל שהן ת"ת, ות"ת הוא הוי"ה שכלול באות א' כמו שמפרש והולך ובו ניצוץ ורקיע:</w:t>
      </w:r>
    </w:p>
  </w:footnote>
  <w:footnote w:id="825">
    <w:p w:rsidR="00A13282" w:rsidRDefault="00A13282" w:rsidP="00D45634">
      <w:pPr>
        <w:pStyle w:val="a5"/>
      </w:pPr>
      <w:r>
        <w:rPr>
          <w:rStyle w:val="a7"/>
        </w:rPr>
        <w:footnoteRef/>
      </w:r>
      <w:r>
        <w:t xml:space="preserve"> </w:t>
      </w:r>
      <w:r>
        <w:rPr>
          <w:rFonts w:ascii="Arial"/>
          <w:b/>
          <w:bCs/>
          <w:sz w:val="38"/>
          <w:rtl/>
        </w:rPr>
        <w:t>חמה דנהרא כו'.</w:t>
      </w:r>
      <w:r>
        <w:rPr>
          <w:rFonts w:ascii="Arial"/>
          <w:sz w:val="38"/>
          <w:rtl/>
        </w:rPr>
        <w:t xml:space="preserve"> שהיא בינה כמו שמפרש והולך לקמן דחמה וסיהרא אינון ה' ה' שהן נוקבין כמו שאמר לעיל:</w:t>
      </w:r>
    </w:p>
  </w:footnote>
  <w:footnote w:id="826">
    <w:p w:rsidR="00A13282" w:rsidRDefault="00A13282" w:rsidP="00D45634">
      <w:pPr>
        <w:pStyle w:val="a5"/>
      </w:pPr>
      <w:r>
        <w:rPr>
          <w:rStyle w:val="a7"/>
        </w:rPr>
        <w:footnoteRef/>
      </w:r>
      <w:r>
        <w:t xml:space="preserve"> </w:t>
      </w:r>
      <w:r>
        <w:rPr>
          <w:rFonts w:ascii="Arial"/>
          <w:b/>
          <w:bCs/>
          <w:sz w:val="38"/>
          <w:rtl/>
        </w:rPr>
        <w:t>ותרוייהו בציורא דא.</w:t>
      </w:r>
      <w:r>
        <w:rPr>
          <w:rFonts w:ascii="Arial"/>
          <w:sz w:val="38"/>
          <w:rtl/>
        </w:rPr>
        <w:t xml:space="preserve"> רוצה לומר </w:t>
      </w:r>
      <w:r>
        <w:rPr>
          <w:rFonts w:ascii="Arial" w:hAnsi="Arial"/>
          <w:spacing w:val="-200"/>
          <w:szCs w:val="6"/>
          <w:vertAlign w:val="superscript"/>
        </w:rPr>
        <w:sym w:font="Symbol" w:char="F0C8"/>
      </w:r>
      <w:r>
        <w:rPr>
          <w:rFonts w:ascii="Arial" w:hAnsi="Arial"/>
          <w:szCs w:val="6"/>
          <w:vertAlign w:val="subscript"/>
        </w:rPr>
        <w:sym w:font="Symbol" w:char="F0C7"/>
      </w:r>
      <w:r>
        <w:rPr>
          <w:rFonts w:ascii="Arial"/>
          <w:sz w:val="38"/>
          <w:rtl/>
        </w:rPr>
        <w:t xml:space="preserve"> , שניצוץ שלמעלה מסתכל למטה, ששם אין מורא מפני סטרא אחרא, אבל ניצוץ שלמטה שמתירא מפני סטרא אחרא, הופכת פניה למעלה שלא יסתכל בה וזה שאומר כד ייתי כו':</w:t>
      </w:r>
    </w:p>
  </w:footnote>
  <w:footnote w:id="827">
    <w:p w:rsidR="00A13282" w:rsidRDefault="00A13282" w:rsidP="00D45634">
      <w:pPr>
        <w:pStyle w:val="a5"/>
      </w:pPr>
      <w:r>
        <w:rPr>
          <w:rStyle w:val="a7"/>
        </w:rPr>
        <w:footnoteRef/>
      </w:r>
      <w:r>
        <w:t xml:space="preserve"> </w:t>
      </w:r>
      <w:r>
        <w:rPr>
          <w:rFonts w:ascii="Arial"/>
          <w:b/>
          <w:bCs/>
          <w:sz w:val="38"/>
          <w:rtl/>
        </w:rPr>
        <w:t>תקעו בחודש שופר.</w:t>
      </w:r>
      <w:r>
        <w:rPr>
          <w:rFonts w:ascii="Arial"/>
          <w:sz w:val="38"/>
          <w:rtl/>
        </w:rPr>
        <w:t xml:space="preserve"> לערב השטן שלא יוכל להסתכל בה. ששופר הוא אימא עילאה שאין מורא כו' ומעוררין אותה להאיר למטה:</w:t>
      </w:r>
    </w:p>
  </w:footnote>
  <w:footnote w:id="828">
    <w:p w:rsidR="00A13282" w:rsidRDefault="00A13282" w:rsidP="00D45634">
      <w:pPr>
        <w:pStyle w:val="a5"/>
      </w:pPr>
      <w:r>
        <w:rPr>
          <w:rStyle w:val="a7"/>
        </w:rPr>
        <w:footnoteRef/>
      </w:r>
      <w:r>
        <w:t xml:space="preserve"> </w:t>
      </w:r>
      <w:r>
        <w:rPr>
          <w:rFonts w:ascii="Arial"/>
          <w:b/>
          <w:bCs/>
          <w:sz w:val="38"/>
          <w:rtl/>
        </w:rPr>
        <w:t>באן ירחא כו'.</w:t>
      </w:r>
      <w:r>
        <w:rPr>
          <w:rFonts w:ascii="Arial"/>
          <w:sz w:val="38"/>
          <w:rtl/>
        </w:rPr>
        <w:t xml:space="preserve"> רוצה לומר בתשרי שהוא מדת הדין כמו שאומר לקמן:</w:t>
      </w:r>
    </w:p>
  </w:footnote>
  <w:footnote w:id="829">
    <w:p w:rsidR="00A13282" w:rsidRDefault="00A13282" w:rsidP="00D45634">
      <w:pPr>
        <w:pStyle w:val="a5"/>
      </w:pPr>
      <w:r>
        <w:rPr>
          <w:rStyle w:val="a7"/>
        </w:rPr>
        <w:footnoteRef/>
      </w:r>
      <w:r>
        <w:t xml:space="preserve"> </w:t>
      </w:r>
      <w:r>
        <w:rPr>
          <w:rFonts w:ascii="Arial"/>
          <w:b/>
          <w:bCs/>
          <w:sz w:val="38"/>
          <w:rtl/>
        </w:rPr>
        <w:t>הוא שמי כו'.</w:t>
      </w:r>
      <w:r>
        <w:rPr>
          <w:rFonts w:ascii="Arial"/>
          <w:sz w:val="38"/>
          <w:rtl/>
        </w:rPr>
        <w:t xml:space="preserve"> שהיא מלכות:</w:t>
      </w:r>
    </w:p>
  </w:footnote>
  <w:footnote w:id="830">
    <w:p w:rsidR="00A13282" w:rsidRDefault="00A13282" w:rsidP="00D45634">
      <w:pPr>
        <w:pStyle w:val="a5"/>
      </w:pPr>
      <w:r>
        <w:rPr>
          <w:rStyle w:val="a7"/>
        </w:rPr>
        <w:footnoteRef/>
      </w:r>
      <w:r>
        <w:t xml:space="preserve"> </w:t>
      </w:r>
      <w:r>
        <w:rPr>
          <w:rFonts w:ascii="Arial"/>
          <w:b/>
          <w:bCs/>
          <w:sz w:val="38"/>
          <w:rtl/>
        </w:rPr>
        <w:t>ואיהו פתח.</w:t>
      </w:r>
      <w:r>
        <w:rPr>
          <w:rFonts w:ascii="Arial"/>
          <w:sz w:val="38"/>
          <w:rtl/>
        </w:rPr>
        <w:t xml:space="preserve"> רוצה לומר דא' הוא קמץ וב' הוא פתח:</w:t>
      </w:r>
    </w:p>
  </w:footnote>
  <w:footnote w:id="831">
    <w:p w:rsidR="00A13282" w:rsidRDefault="00A13282" w:rsidP="00D45634">
      <w:pPr>
        <w:pStyle w:val="a5"/>
      </w:pPr>
      <w:r>
        <w:rPr>
          <w:rStyle w:val="a7"/>
        </w:rPr>
        <w:footnoteRef/>
      </w:r>
      <w:r>
        <w:t xml:space="preserve"> </w:t>
      </w:r>
      <w:r>
        <w:rPr>
          <w:rFonts w:ascii="Arial"/>
          <w:b/>
          <w:bCs/>
          <w:sz w:val="38"/>
          <w:rtl/>
        </w:rPr>
        <w:t>עליה אתמר נוטה כו'.</w:t>
      </w:r>
      <w:r>
        <w:rPr>
          <w:rFonts w:ascii="Arial"/>
          <w:sz w:val="38"/>
          <w:rtl/>
        </w:rPr>
        <w:t xml:space="preserve"> רוצה לומר שהרקיע, שהוא שמים, מכסה על הנקודה מלכות כנ"ל:</w:t>
      </w:r>
    </w:p>
  </w:footnote>
  <w:footnote w:id="832">
    <w:p w:rsidR="00A13282" w:rsidRDefault="00A13282" w:rsidP="00D45634">
      <w:pPr>
        <w:pStyle w:val="a5"/>
      </w:pPr>
      <w:r>
        <w:rPr>
          <w:rStyle w:val="a7"/>
        </w:rPr>
        <w:footnoteRef/>
      </w:r>
      <w:r>
        <w:t xml:space="preserve"> </w:t>
      </w:r>
      <w:r>
        <w:rPr>
          <w:rFonts w:ascii="Arial"/>
          <w:b/>
          <w:bCs/>
          <w:sz w:val="38"/>
          <w:rtl/>
        </w:rPr>
        <w:t>ואיהו ו' דמכסיא כו'.</w:t>
      </w:r>
      <w:r>
        <w:rPr>
          <w:rFonts w:ascii="Arial"/>
          <w:sz w:val="38"/>
          <w:rtl/>
        </w:rPr>
        <w:t xml:space="preserve"> רוצה לומר שבוא"ו, ג' נקודות כלולים, למעלה ולמטה ואמצע, חולם חירק שורק, כמו שאומר לקמן. וכן בוא"ו דאלף, כמו שאומר שם. ורוצה לומר דלכן כאן ג' ווין, למעלה ולמטה ואמצע, שמכסין על ג' נקודות הנ"ל, ואיהי נקודה הפנימית שכלולה מג' הנקודות:</w:t>
      </w:r>
    </w:p>
  </w:footnote>
  <w:footnote w:id="833">
    <w:p w:rsidR="00A13282" w:rsidRDefault="00A13282" w:rsidP="00D45634">
      <w:pPr>
        <w:pStyle w:val="a5"/>
      </w:pPr>
      <w:r>
        <w:rPr>
          <w:rStyle w:val="a7"/>
        </w:rPr>
        <w:footnoteRef/>
      </w:r>
      <w:r>
        <w:t xml:space="preserve"> </w:t>
      </w:r>
      <w:r>
        <w:rPr>
          <w:rFonts w:ascii="Arial"/>
          <w:b/>
          <w:bCs/>
          <w:sz w:val="38"/>
          <w:rtl/>
        </w:rPr>
        <w:t>צ' תרין כו'.</w:t>
      </w:r>
      <w:r>
        <w:rPr>
          <w:rFonts w:ascii="Arial"/>
          <w:sz w:val="38"/>
          <w:rtl/>
        </w:rPr>
        <w:t xml:space="preserve"> רוצה לומר הצרי היכן מרומז, שעד כאן פירש קמץ ופתח, ומפרש כסדר צרי וסגול וכל הנקודות כסדר:</w:t>
      </w:r>
    </w:p>
  </w:footnote>
  <w:footnote w:id="834">
    <w:p w:rsidR="00A13282" w:rsidRDefault="00A13282" w:rsidP="00D45634">
      <w:pPr>
        <w:pStyle w:val="a5"/>
      </w:pPr>
      <w:r>
        <w:rPr>
          <w:rStyle w:val="a7"/>
        </w:rPr>
        <w:footnoteRef/>
      </w:r>
      <w:r>
        <w:t xml:space="preserve"> </w:t>
      </w:r>
      <w:r>
        <w:rPr>
          <w:rFonts w:ascii="Arial"/>
          <w:b/>
          <w:bCs/>
          <w:sz w:val="38"/>
          <w:rtl/>
        </w:rPr>
        <w:t>תרין ניצוצין כו'.</w:t>
      </w:r>
      <w:r>
        <w:rPr>
          <w:rFonts w:ascii="Arial"/>
          <w:sz w:val="38"/>
          <w:rtl/>
        </w:rPr>
        <w:t xml:space="preserve"> והוא"ו שלמטה הוא מכסה אותן כנ"ל. וכן כל האותיות, כולן נקודות קבועות בוא"ו כמו שמפרש והולך:</w:t>
      </w:r>
    </w:p>
  </w:footnote>
  <w:footnote w:id="835">
    <w:p w:rsidR="00A13282" w:rsidRDefault="00A13282" w:rsidP="00D45634">
      <w:pPr>
        <w:pStyle w:val="a5"/>
      </w:pPr>
      <w:r>
        <w:rPr>
          <w:rStyle w:val="a7"/>
        </w:rPr>
        <w:footnoteRef/>
      </w:r>
      <w:r>
        <w:t xml:space="preserve"> </w:t>
      </w:r>
      <w:r>
        <w:rPr>
          <w:rFonts w:ascii="Arial"/>
          <w:b/>
          <w:bCs/>
          <w:sz w:val="38"/>
          <w:rtl/>
        </w:rPr>
        <w:t>אינון תרין דע'.</w:t>
      </w:r>
      <w:r>
        <w:rPr>
          <w:rFonts w:ascii="Arial"/>
          <w:sz w:val="38"/>
          <w:rtl/>
        </w:rPr>
        <w:t xml:space="preserve"> רוצה לומר כמו שהצרי בצ' כן בע':</w:t>
      </w:r>
    </w:p>
  </w:footnote>
  <w:footnote w:id="836">
    <w:p w:rsidR="00A13282" w:rsidRDefault="00A13282" w:rsidP="00D45634">
      <w:pPr>
        <w:pStyle w:val="a5"/>
      </w:pPr>
      <w:r>
        <w:rPr>
          <w:rStyle w:val="a7"/>
        </w:rPr>
        <w:footnoteRef/>
      </w:r>
      <w:r>
        <w:t xml:space="preserve"> </w:t>
      </w:r>
      <w:r>
        <w:rPr>
          <w:rFonts w:ascii="Arial"/>
          <w:b/>
          <w:bCs/>
          <w:sz w:val="38"/>
          <w:rtl/>
        </w:rPr>
        <w:t>ואינון תלת כו'.</w:t>
      </w:r>
      <w:r>
        <w:rPr>
          <w:rFonts w:ascii="Arial"/>
          <w:sz w:val="38"/>
          <w:rtl/>
        </w:rPr>
        <w:t xml:space="preserve"> רוצה לומר שהוא ג"כ ג' נקודות כמו סגול מרומז בש'. והשב"א ג"כ מרומז בצ' וע'. ועכשיו מפרש שאר נקודות כסדר:</w:t>
      </w:r>
    </w:p>
  </w:footnote>
  <w:footnote w:id="837">
    <w:p w:rsidR="00A13282" w:rsidRDefault="00A13282" w:rsidP="00D45634">
      <w:pPr>
        <w:pStyle w:val="a5"/>
      </w:pPr>
      <w:r>
        <w:rPr>
          <w:rStyle w:val="a7"/>
        </w:rPr>
        <w:footnoteRef/>
      </w:r>
      <w:r>
        <w:t xml:space="preserve"> </w:t>
      </w:r>
      <w:r>
        <w:rPr>
          <w:rFonts w:ascii="Arial"/>
          <w:b/>
          <w:bCs/>
          <w:sz w:val="38"/>
          <w:rtl/>
        </w:rPr>
        <w:t>ו' רישא כו'.</w:t>
      </w:r>
      <w:r>
        <w:rPr>
          <w:rFonts w:ascii="Arial"/>
          <w:sz w:val="38"/>
          <w:rtl/>
        </w:rPr>
        <w:t xml:space="preserve"> רוצה לומר ו' בחולם הוא ז', ו' בשורק גדול הוא ו' בעצמו, ו' בחירק הוא ג', וכאן סיום כל הנקודות:</w:t>
      </w:r>
    </w:p>
  </w:footnote>
  <w:footnote w:id="838">
    <w:p w:rsidR="00A13282" w:rsidRDefault="00A13282" w:rsidP="00D45634">
      <w:pPr>
        <w:pStyle w:val="a5"/>
      </w:pPr>
      <w:r>
        <w:rPr>
          <w:rStyle w:val="a7"/>
        </w:rPr>
        <w:footnoteRef/>
      </w:r>
      <w:r>
        <w:t xml:space="preserve"> </w:t>
      </w:r>
      <w:r>
        <w:rPr>
          <w:rFonts w:ascii="Arial"/>
          <w:b/>
          <w:bCs/>
          <w:sz w:val="38"/>
          <w:rtl/>
        </w:rPr>
        <w:t>באת א' כו'.</w:t>
      </w:r>
      <w:r>
        <w:rPr>
          <w:rFonts w:ascii="Arial"/>
          <w:sz w:val="38"/>
          <w:rtl/>
        </w:rPr>
        <w:t xml:space="preserve"> רוצה לומר בה כלולין כל הנקודות. קמץ אמר לעיל, וכן פתח הוא הרקיע, ועכשיו מפרש שאר הנקודות:</w:t>
      </w:r>
    </w:p>
  </w:footnote>
  <w:footnote w:id="839">
    <w:p w:rsidR="00A13282" w:rsidRDefault="00A13282" w:rsidP="00D45634">
      <w:pPr>
        <w:pStyle w:val="a5"/>
      </w:pPr>
      <w:r>
        <w:rPr>
          <w:rStyle w:val="a7"/>
        </w:rPr>
        <w:footnoteRef/>
      </w:r>
      <w:r>
        <w:t xml:space="preserve"> </w:t>
      </w:r>
      <w:r>
        <w:rPr>
          <w:rFonts w:ascii="Arial"/>
          <w:b/>
          <w:bCs/>
          <w:sz w:val="38"/>
          <w:rtl/>
        </w:rPr>
        <w:t>ואינון בדיוקנא אחרא.</w:t>
      </w:r>
      <w:r>
        <w:rPr>
          <w:rFonts w:ascii="Arial"/>
          <w:sz w:val="38"/>
          <w:rtl/>
        </w:rPr>
        <w:t xml:space="preserve"> רוצה לומר שעד כאן פירש שהיודין שעליו הן נקודות, ועכשיו מפרש שהן ג"כ אותיות, והקוצין שעליהן הן נקודות:</w:t>
      </w:r>
    </w:p>
  </w:footnote>
  <w:footnote w:id="840">
    <w:p w:rsidR="00A13282" w:rsidRDefault="00A13282" w:rsidP="00D45634">
      <w:pPr>
        <w:pStyle w:val="a5"/>
      </w:pPr>
      <w:r>
        <w:rPr>
          <w:rStyle w:val="a7"/>
        </w:rPr>
        <w:footnoteRef/>
      </w:r>
      <w:r>
        <w:t xml:space="preserve"> </w:t>
      </w:r>
      <w:r>
        <w:rPr>
          <w:rFonts w:ascii="Arial"/>
          <w:b/>
          <w:bCs/>
          <w:sz w:val="38"/>
          <w:rtl/>
        </w:rPr>
        <w:t>ד' לתתא א'.</w:t>
      </w:r>
      <w:r>
        <w:rPr>
          <w:rFonts w:ascii="Arial"/>
          <w:sz w:val="38"/>
          <w:rtl/>
        </w:rPr>
        <w:t xml:space="preserve"> רוצה לומר שכל הג' אותיות הן א':</w:t>
      </w:r>
    </w:p>
  </w:footnote>
  <w:footnote w:id="841">
    <w:p w:rsidR="00A13282" w:rsidRDefault="00A13282" w:rsidP="00D45634">
      <w:pPr>
        <w:pStyle w:val="a5"/>
      </w:pPr>
      <w:r>
        <w:rPr>
          <w:rStyle w:val="a7"/>
        </w:rPr>
        <w:footnoteRef/>
      </w:r>
      <w:r>
        <w:t xml:space="preserve"> </w:t>
      </w:r>
      <w:r>
        <w:rPr>
          <w:rFonts w:ascii="Arial"/>
          <w:b/>
          <w:bCs/>
          <w:sz w:val="38"/>
          <w:rtl/>
        </w:rPr>
        <w:t>וכל או"א א'.</w:t>
      </w:r>
      <w:r>
        <w:rPr>
          <w:rFonts w:ascii="Arial"/>
          <w:sz w:val="38"/>
          <w:rtl/>
        </w:rPr>
        <w:t xml:space="preserve"> רוצה לומר, כל הנקודות, וכן האותיות הנ"ל שמרמזין על הנקודות, כלילין בא'. ואותיות אחרות הן כסויין לאלו האותיות כמו שאומר ואתוון אחרנין כו' נמצא כל האותיות ונקודות כלילין בא' שהוא כסא, נמצא כולן מצויירין בכסא, וזה שאומר וכלא איהו כו', ומפרש היאך מרוקמין בכסא:</w:t>
      </w:r>
    </w:p>
  </w:footnote>
  <w:footnote w:id="842">
    <w:p w:rsidR="00A13282" w:rsidRDefault="00A13282" w:rsidP="00D45634">
      <w:pPr>
        <w:pStyle w:val="a5"/>
      </w:pPr>
      <w:r>
        <w:rPr>
          <w:rStyle w:val="a7"/>
        </w:rPr>
        <w:footnoteRef/>
      </w:r>
      <w:r>
        <w:t xml:space="preserve"> </w:t>
      </w:r>
      <w:r>
        <w:rPr>
          <w:rFonts w:ascii="Arial"/>
          <w:b/>
          <w:bCs/>
          <w:sz w:val="38"/>
          <w:rtl/>
        </w:rPr>
        <w:t>ו' שית כו'.</w:t>
      </w:r>
      <w:r>
        <w:rPr>
          <w:rFonts w:ascii="Arial"/>
          <w:sz w:val="38"/>
          <w:rtl/>
        </w:rPr>
        <w:t xml:space="preserve"> וכן שאר אותיות שלא נתפרשו כאן:</w:t>
      </w:r>
    </w:p>
  </w:footnote>
  <w:footnote w:id="843">
    <w:p w:rsidR="00A13282" w:rsidRDefault="00A13282" w:rsidP="00D45634">
      <w:pPr>
        <w:pStyle w:val="a5"/>
      </w:pPr>
      <w:r>
        <w:rPr>
          <w:rStyle w:val="a7"/>
        </w:rPr>
        <w:footnoteRef/>
      </w:r>
      <w:r>
        <w:t xml:space="preserve"> </w:t>
      </w:r>
      <w:r>
        <w:rPr>
          <w:rFonts w:ascii="Arial"/>
          <w:b/>
          <w:bCs/>
          <w:sz w:val="38"/>
          <w:rtl/>
        </w:rPr>
        <w:t>אבל בכרסייא כו'.</w:t>
      </w:r>
      <w:r>
        <w:rPr>
          <w:rFonts w:ascii="Arial"/>
          <w:sz w:val="38"/>
          <w:rtl/>
        </w:rPr>
        <w:t xml:space="preserve"> לפי שהתורה היא אורייתא דבריאה כידוע, לפיכך הן כתובים בתורה כמו שמסודרין בכסא, ששם הוא כסדר:</w:t>
      </w:r>
    </w:p>
  </w:footnote>
  <w:footnote w:id="844">
    <w:p w:rsidR="00A13282" w:rsidRDefault="00A13282" w:rsidP="00D45634">
      <w:pPr>
        <w:pStyle w:val="a5"/>
      </w:pPr>
      <w:r>
        <w:rPr>
          <w:rStyle w:val="a7"/>
        </w:rPr>
        <w:footnoteRef/>
      </w:r>
      <w:r>
        <w:t xml:space="preserve"> </w:t>
      </w:r>
      <w:r>
        <w:rPr>
          <w:rFonts w:ascii="Arial"/>
          <w:b/>
          <w:bCs/>
          <w:sz w:val="38"/>
          <w:rtl/>
        </w:rPr>
        <w:t>ורזא דא.</w:t>
      </w:r>
      <w:r>
        <w:rPr>
          <w:rFonts w:ascii="Arial"/>
          <w:sz w:val="38"/>
          <w:rtl/>
        </w:rPr>
        <w:t xml:space="preserve"> רוצה לומר, סוד זה להבין כל האותיות שבתורה כולם סדורין בכסא:</w:t>
      </w:r>
    </w:p>
  </w:footnote>
  <w:footnote w:id="845">
    <w:p w:rsidR="00A13282" w:rsidRDefault="00A13282" w:rsidP="00D45634">
      <w:pPr>
        <w:pStyle w:val="a5"/>
      </w:pPr>
      <w:r>
        <w:rPr>
          <w:rStyle w:val="a7"/>
        </w:rPr>
        <w:footnoteRef/>
      </w:r>
      <w:r>
        <w:t xml:space="preserve"> </w:t>
      </w:r>
      <w:r>
        <w:rPr>
          <w:rFonts w:ascii="Arial"/>
          <w:b/>
          <w:bCs/>
          <w:sz w:val="38"/>
          <w:rtl/>
        </w:rPr>
        <w:t>לחכימא לבא.</w:t>
      </w:r>
      <w:r>
        <w:rPr>
          <w:rFonts w:ascii="Arial"/>
          <w:sz w:val="38"/>
          <w:rtl/>
        </w:rPr>
        <w:t xml:space="preserve"> רוצה לומר, אותן היודעים סודות הכסא שהוא מסטרא דבינה, דאימא מקנן בכרסיא, ומסטרה ניתן כנ"ל ימא דאורייתא, והיא נקראת לבא כמו שאומר בהקדמה שניה, רוצה לומר שלכך נקראו אותן היודעים בהיכלין ואתוון - המשכילים, כמו שהתחיל לעיל:</w:t>
      </w:r>
    </w:p>
  </w:footnote>
  <w:footnote w:id="846">
    <w:p w:rsidR="00A13282" w:rsidRDefault="00A13282" w:rsidP="00D45634">
      <w:pPr>
        <w:pStyle w:val="a5"/>
      </w:pPr>
      <w:r>
        <w:rPr>
          <w:rStyle w:val="a7"/>
        </w:rPr>
        <w:footnoteRef/>
      </w:r>
      <w:r>
        <w:t xml:space="preserve"> </w:t>
      </w:r>
      <w:r>
        <w:rPr>
          <w:rFonts w:ascii="Arial"/>
          <w:b/>
          <w:bCs/>
          <w:sz w:val="38"/>
          <w:rtl/>
        </w:rPr>
        <w:t>ע"א והמשכילים כו'.</w:t>
      </w:r>
      <w:r>
        <w:rPr>
          <w:rFonts w:ascii="Arial"/>
          <w:sz w:val="38"/>
          <w:rtl/>
        </w:rPr>
        <w:t xml:space="preserve"> רוצה לומר מטעם אחר נקראו האותיות והמשכילים:</w:t>
      </w:r>
    </w:p>
  </w:footnote>
  <w:footnote w:id="847">
    <w:p w:rsidR="00A13282" w:rsidRDefault="00A13282" w:rsidP="00D45634">
      <w:pPr>
        <w:pStyle w:val="a5"/>
      </w:pPr>
      <w:r>
        <w:rPr>
          <w:rStyle w:val="a7"/>
        </w:rPr>
        <w:footnoteRef/>
      </w:r>
      <w:r>
        <w:t xml:space="preserve"> </w:t>
      </w:r>
      <w:r>
        <w:rPr>
          <w:rFonts w:ascii="Arial"/>
          <w:b/>
          <w:bCs/>
          <w:sz w:val="38"/>
          <w:rtl/>
        </w:rPr>
        <w:t>בא' תשרי.</w:t>
      </w:r>
      <w:r>
        <w:rPr>
          <w:rFonts w:ascii="Arial"/>
          <w:sz w:val="38"/>
          <w:rtl/>
        </w:rPr>
        <w:t xml:space="preserve"> רוצה לומר באחד בתשרי נברא העולם:</w:t>
      </w:r>
    </w:p>
  </w:footnote>
  <w:footnote w:id="848">
    <w:p w:rsidR="00A13282" w:rsidRDefault="00A13282" w:rsidP="00D45634">
      <w:pPr>
        <w:pStyle w:val="a5"/>
      </w:pPr>
      <w:r>
        <w:rPr>
          <w:rStyle w:val="a7"/>
        </w:rPr>
        <w:footnoteRef/>
      </w:r>
      <w:r>
        <w:t xml:space="preserve"> </w:t>
      </w:r>
      <w:r>
        <w:rPr>
          <w:rFonts w:ascii="Arial"/>
          <w:b/>
          <w:bCs/>
          <w:sz w:val="38"/>
          <w:rtl/>
        </w:rPr>
        <w:t>והא אוקמוהו דבימינא כו'.</w:t>
      </w:r>
      <w:r>
        <w:rPr>
          <w:rFonts w:ascii="Arial"/>
          <w:sz w:val="38"/>
          <w:rtl/>
        </w:rPr>
        <w:t xml:space="preserve"> רוצה לומר ששיתף מדת החסד כמו שאמרו בגמרא (?, בראשית רבה ח). וכן כל אוקמוהו שבזהר קאי על הגמרא:</w:t>
      </w:r>
    </w:p>
  </w:footnote>
  <w:footnote w:id="849">
    <w:p w:rsidR="00A13282" w:rsidRDefault="00A13282" w:rsidP="00D45634">
      <w:pPr>
        <w:pStyle w:val="a5"/>
      </w:pPr>
      <w:r>
        <w:rPr>
          <w:rStyle w:val="a7"/>
        </w:rPr>
        <w:footnoteRef/>
      </w:r>
      <w:r>
        <w:t xml:space="preserve"> </w:t>
      </w:r>
      <w:r>
        <w:rPr>
          <w:rFonts w:ascii="Arial"/>
          <w:b/>
          <w:bCs/>
          <w:sz w:val="38"/>
          <w:rtl/>
        </w:rPr>
        <w:t>לא בעא כו' עד דשתף כו'.</w:t>
      </w:r>
      <w:r>
        <w:rPr>
          <w:rFonts w:ascii="Arial"/>
          <w:sz w:val="38"/>
          <w:rtl/>
        </w:rPr>
        <w:t xml:space="preserve"> רוצה לומר שת"ת השוה המחלוקת כמו שאומר בזהר בראשית:</w:t>
      </w:r>
    </w:p>
  </w:footnote>
  <w:footnote w:id="850">
    <w:p w:rsidR="00A13282" w:rsidRDefault="00A13282" w:rsidP="00D45634">
      <w:pPr>
        <w:pStyle w:val="a5"/>
      </w:pPr>
      <w:r>
        <w:rPr>
          <w:rStyle w:val="a7"/>
        </w:rPr>
        <w:footnoteRef/>
      </w:r>
      <w:r>
        <w:t xml:space="preserve"> </w:t>
      </w:r>
      <w:r>
        <w:rPr>
          <w:rFonts w:ascii="Arial"/>
          <w:b/>
          <w:bCs/>
          <w:sz w:val="38"/>
          <w:rtl/>
        </w:rPr>
        <w:t>נטל א"ב כו'.</w:t>
      </w:r>
      <w:r>
        <w:rPr>
          <w:rFonts w:ascii="Arial"/>
          <w:sz w:val="38"/>
          <w:rtl/>
        </w:rPr>
        <w:t xml:space="preserve"> רוצה לומר מחסד:</w:t>
      </w:r>
    </w:p>
  </w:footnote>
  <w:footnote w:id="851">
    <w:p w:rsidR="00A13282" w:rsidRDefault="00A13282" w:rsidP="00D45634">
      <w:pPr>
        <w:pStyle w:val="a5"/>
      </w:pPr>
      <w:r>
        <w:rPr>
          <w:rStyle w:val="a7"/>
        </w:rPr>
        <w:footnoteRef/>
      </w:r>
      <w:r>
        <w:t xml:space="preserve"> </w:t>
      </w:r>
      <w:r>
        <w:rPr>
          <w:rFonts w:ascii="Arial"/>
          <w:b/>
          <w:bCs/>
          <w:sz w:val="38"/>
          <w:rtl/>
        </w:rPr>
        <w:t>ונטל תש"ר מלמפרע.</w:t>
      </w:r>
      <w:r>
        <w:rPr>
          <w:rFonts w:ascii="Arial"/>
          <w:sz w:val="38"/>
          <w:rtl/>
        </w:rPr>
        <w:t xml:space="preserve"> הוא מגבורה:</w:t>
      </w:r>
    </w:p>
  </w:footnote>
  <w:footnote w:id="852">
    <w:p w:rsidR="00A13282" w:rsidRDefault="00A13282" w:rsidP="00D45634">
      <w:pPr>
        <w:pStyle w:val="a5"/>
      </w:pPr>
      <w:r>
        <w:rPr>
          <w:rStyle w:val="a7"/>
        </w:rPr>
        <w:footnoteRef/>
      </w:r>
      <w:r>
        <w:t xml:space="preserve"> </w:t>
      </w:r>
      <w:r>
        <w:rPr>
          <w:rFonts w:ascii="Arial"/>
          <w:b/>
          <w:bCs/>
          <w:sz w:val="38"/>
          <w:rtl/>
        </w:rPr>
        <w:t>ושתף כו'.</w:t>
      </w:r>
      <w:r>
        <w:rPr>
          <w:rFonts w:ascii="Arial"/>
          <w:sz w:val="38"/>
          <w:rtl/>
        </w:rPr>
        <w:t xml:space="preserve"> הוא מת"ת שהוא שם הויה ונעשה בראשית, וקודם לקח מגבורה כמו שאמרו בתחלה עלה במחשבה כו', לכך לקח ג' ואח"כ בחסד ב' ואח"כ בת"ת א':</w:t>
      </w:r>
    </w:p>
  </w:footnote>
  <w:footnote w:id="853">
    <w:p w:rsidR="00A13282" w:rsidRDefault="00A13282" w:rsidP="00D45634">
      <w:pPr>
        <w:pStyle w:val="a5"/>
      </w:pPr>
      <w:r>
        <w:rPr>
          <w:rStyle w:val="a7"/>
        </w:rPr>
        <w:footnoteRef/>
      </w:r>
      <w:r>
        <w:t xml:space="preserve"> </w:t>
      </w:r>
      <w:r>
        <w:rPr>
          <w:rFonts w:ascii="Arial"/>
          <w:b/>
          <w:bCs/>
          <w:sz w:val="38"/>
          <w:rtl/>
        </w:rPr>
        <w:t>אב"י אשר בידו כו'.</w:t>
      </w:r>
      <w:r>
        <w:rPr>
          <w:rFonts w:ascii="Arial"/>
          <w:sz w:val="38"/>
          <w:rtl/>
        </w:rPr>
        <w:t xml:space="preserve"> רוצה לומר, אב"י של אשר בידו והוא מלכות שבידה נפש כו' וכן אצלה מפקידין הנשמות:</w:t>
      </w:r>
    </w:p>
  </w:footnote>
  <w:footnote w:id="854">
    <w:p w:rsidR="00A13282" w:rsidRDefault="00A13282" w:rsidP="00D45634">
      <w:pPr>
        <w:pStyle w:val="a5"/>
      </w:pPr>
      <w:r>
        <w:rPr>
          <w:rStyle w:val="a7"/>
        </w:rPr>
        <w:footnoteRef/>
      </w:r>
      <w:r>
        <w:t xml:space="preserve"> </w:t>
      </w:r>
      <w:r>
        <w:rPr>
          <w:rFonts w:ascii="Arial"/>
          <w:b/>
          <w:bCs/>
          <w:sz w:val="38"/>
          <w:rtl/>
        </w:rPr>
        <w:t>ת' תורת כו'.</w:t>
      </w:r>
      <w:r>
        <w:rPr>
          <w:rFonts w:ascii="Arial"/>
          <w:sz w:val="38"/>
          <w:rtl/>
        </w:rPr>
        <w:t xml:space="preserve"> רוצה לומר ת"ת:</w:t>
      </w:r>
    </w:p>
  </w:footnote>
  <w:footnote w:id="855">
    <w:p w:rsidR="00A13282" w:rsidRDefault="00A13282" w:rsidP="00D45634">
      <w:pPr>
        <w:pStyle w:val="a5"/>
      </w:pPr>
      <w:r>
        <w:rPr>
          <w:rStyle w:val="a7"/>
        </w:rPr>
        <w:footnoteRef/>
      </w:r>
      <w:r>
        <w:t xml:space="preserve"> </w:t>
      </w:r>
      <w:r>
        <w:rPr>
          <w:rFonts w:ascii="Arial"/>
          <w:b/>
          <w:bCs/>
          <w:sz w:val="38"/>
          <w:rtl/>
        </w:rPr>
        <w:t>ש' שבת.</w:t>
      </w:r>
      <w:r>
        <w:rPr>
          <w:rFonts w:ascii="Arial"/>
          <w:sz w:val="38"/>
          <w:rtl/>
        </w:rPr>
        <w:t xml:space="preserve"> בינה כנ"ל:</w:t>
      </w:r>
    </w:p>
  </w:footnote>
  <w:footnote w:id="856">
    <w:p w:rsidR="00A13282" w:rsidRDefault="00A13282" w:rsidP="00D45634">
      <w:pPr>
        <w:pStyle w:val="a5"/>
      </w:pPr>
      <w:r>
        <w:rPr>
          <w:rStyle w:val="a7"/>
        </w:rPr>
        <w:footnoteRef/>
      </w:r>
      <w:r>
        <w:t xml:space="preserve"> </w:t>
      </w:r>
      <w:r>
        <w:rPr>
          <w:rFonts w:ascii="Arial"/>
          <w:b/>
          <w:bCs/>
          <w:sz w:val="38"/>
          <w:rtl/>
        </w:rPr>
        <w:t>ר' ראשית כו'.</w:t>
      </w:r>
      <w:r>
        <w:rPr>
          <w:rFonts w:ascii="Arial"/>
          <w:sz w:val="38"/>
          <w:rtl/>
        </w:rPr>
        <w:t xml:space="preserve"> חכמה, והן ד' אותיות הוי"ה:</w:t>
      </w:r>
    </w:p>
  </w:footnote>
  <w:footnote w:id="857">
    <w:p w:rsidR="00A13282" w:rsidRDefault="00A13282" w:rsidP="00D45634">
      <w:pPr>
        <w:pStyle w:val="a5"/>
      </w:pPr>
      <w:r>
        <w:rPr>
          <w:rStyle w:val="a7"/>
        </w:rPr>
        <w:footnoteRef/>
      </w:r>
      <w:r>
        <w:t xml:space="preserve"> </w:t>
      </w:r>
      <w:r>
        <w:rPr>
          <w:rFonts w:ascii="Arial"/>
          <w:b/>
          <w:bCs/>
          <w:sz w:val="38"/>
          <w:rtl/>
        </w:rPr>
        <w:t>אלא באות ב'.</w:t>
      </w:r>
      <w:r>
        <w:rPr>
          <w:rFonts w:ascii="Arial"/>
          <w:sz w:val="38"/>
          <w:rtl/>
        </w:rPr>
        <w:t xml:space="preserve"> שהיא בינה שהיא ביתא דלעיל ומסטרה נקרא גם המלכות בית:</w:t>
      </w:r>
    </w:p>
  </w:footnote>
  <w:footnote w:id="858">
    <w:p w:rsidR="00A13282" w:rsidRDefault="00A13282" w:rsidP="00D45634">
      <w:pPr>
        <w:pStyle w:val="a5"/>
      </w:pPr>
      <w:r>
        <w:rPr>
          <w:rStyle w:val="a7"/>
        </w:rPr>
        <w:footnoteRef/>
      </w:r>
      <w:r>
        <w:t xml:space="preserve"> </w:t>
      </w:r>
      <w:r>
        <w:rPr>
          <w:rFonts w:ascii="Arial"/>
          <w:b/>
          <w:bCs/>
          <w:sz w:val="38"/>
          <w:rtl/>
        </w:rPr>
        <w:t>בנין אב.</w:t>
      </w:r>
      <w:r>
        <w:rPr>
          <w:rFonts w:ascii="Arial"/>
          <w:sz w:val="38"/>
          <w:rtl/>
        </w:rPr>
        <w:t xml:space="preserve"> רוצה לומר בנין של החכמה שנקרא אב שנאמר כולם בחכמה עשית, והכל על ידה, בל"ב שבילין, ל"ב אלקים, כמו שאומר לעיל בראשית, שהיא חכמה, ברא אלקים בינה כו':</w:t>
      </w:r>
    </w:p>
  </w:footnote>
  <w:footnote w:id="859">
    <w:p w:rsidR="00A13282" w:rsidRDefault="00A13282" w:rsidP="00D45634">
      <w:pPr>
        <w:pStyle w:val="a5"/>
      </w:pPr>
      <w:r>
        <w:rPr>
          <w:rStyle w:val="a7"/>
        </w:rPr>
        <w:footnoteRef/>
      </w:r>
      <w:r>
        <w:t xml:space="preserve"> </w:t>
      </w:r>
      <w:r>
        <w:rPr>
          <w:rFonts w:ascii="Arial"/>
          <w:b/>
          <w:bCs/>
          <w:sz w:val="38"/>
          <w:rtl/>
        </w:rPr>
        <w:t>בניינא דעלמא כו'.</w:t>
      </w:r>
      <w:r>
        <w:rPr>
          <w:rFonts w:ascii="Arial"/>
          <w:sz w:val="38"/>
          <w:rtl/>
        </w:rPr>
        <w:t xml:space="preserve"> תפארת ומלכות, שהוא עולם חסד יבנה:</w:t>
      </w:r>
    </w:p>
  </w:footnote>
  <w:footnote w:id="860">
    <w:p w:rsidR="00A13282" w:rsidRDefault="00A13282" w:rsidP="00D45634">
      <w:pPr>
        <w:pStyle w:val="a5"/>
      </w:pPr>
      <w:r>
        <w:rPr>
          <w:rStyle w:val="a7"/>
        </w:rPr>
        <w:footnoteRef/>
      </w:r>
      <w:r>
        <w:t xml:space="preserve"> </w:t>
      </w:r>
      <w:r>
        <w:rPr>
          <w:rFonts w:ascii="Arial"/>
          <w:b/>
          <w:bCs/>
          <w:sz w:val="38"/>
          <w:rtl/>
        </w:rPr>
        <w:t>דאם ה' לא יבנה בית.</w:t>
      </w:r>
      <w:r>
        <w:rPr>
          <w:rFonts w:ascii="Arial"/>
          <w:sz w:val="38"/>
          <w:rtl/>
        </w:rPr>
        <w:t xml:space="preserve"> רוצה לומר על ידי הבית, שהיא תבנה תחלה:</w:t>
      </w:r>
    </w:p>
  </w:footnote>
  <w:footnote w:id="861">
    <w:p w:rsidR="00A13282" w:rsidRDefault="00A13282" w:rsidP="00D45634">
      <w:pPr>
        <w:pStyle w:val="a5"/>
      </w:pPr>
      <w:r>
        <w:rPr>
          <w:rStyle w:val="a7"/>
        </w:rPr>
        <w:footnoteRef/>
      </w:r>
      <w:r>
        <w:t xml:space="preserve"> </w:t>
      </w:r>
      <w:r>
        <w:rPr>
          <w:rFonts w:ascii="Arial"/>
          <w:b/>
          <w:bCs/>
          <w:sz w:val="38"/>
          <w:rtl/>
        </w:rPr>
        <w:t>ודא בראשית ברא אלקים.</w:t>
      </w:r>
      <w:r>
        <w:rPr>
          <w:rFonts w:ascii="Arial"/>
          <w:sz w:val="38"/>
          <w:rtl/>
        </w:rPr>
        <w:t xml:space="preserve"> רוצה לומר בראשונה ברא אלקים - בינה:</w:t>
      </w:r>
    </w:p>
  </w:footnote>
  <w:footnote w:id="862">
    <w:p w:rsidR="00A13282" w:rsidRDefault="00A13282" w:rsidP="00D45634">
      <w:pPr>
        <w:pStyle w:val="a5"/>
      </w:pPr>
      <w:r>
        <w:rPr>
          <w:rStyle w:val="a7"/>
        </w:rPr>
        <w:footnoteRef/>
      </w:r>
      <w:r>
        <w:t xml:space="preserve"> </w:t>
      </w:r>
      <w:r>
        <w:rPr>
          <w:rFonts w:ascii="Arial"/>
          <w:b/>
          <w:bCs/>
          <w:sz w:val="38"/>
          <w:rtl/>
        </w:rPr>
        <w:t>ואע"ג דאור הוא א'.</w:t>
      </w:r>
      <w:r>
        <w:rPr>
          <w:rFonts w:ascii="Arial"/>
          <w:sz w:val="38"/>
          <w:rtl/>
        </w:rPr>
        <w:t xml:space="preserve"> רוצה לומר חכמה והיאך אמרנו יהי אור בבינה:</w:t>
      </w:r>
    </w:p>
  </w:footnote>
  <w:footnote w:id="863">
    <w:p w:rsidR="00A13282" w:rsidRDefault="00A13282" w:rsidP="00D45634">
      <w:pPr>
        <w:pStyle w:val="a5"/>
      </w:pPr>
      <w:r>
        <w:rPr>
          <w:rStyle w:val="a7"/>
        </w:rPr>
        <w:footnoteRef/>
      </w:r>
      <w:r>
        <w:t xml:space="preserve"> </w:t>
      </w:r>
      <w:r>
        <w:rPr>
          <w:rFonts w:ascii="Arial"/>
          <w:b/>
          <w:bCs/>
          <w:sz w:val="38"/>
          <w:rtl/>
        </w:rPr>
        <w:t>אור דיליה כו'.</w:t>
      </w:r>
      <w:r>
        <w:rPr>
          <w:rFonts w:ascii="Arial"/>
          <w:sz w:val="38"/>
          <w:rtl/>
        </w:rPr>
        <w:t xml:space="preserve"> רוצה לומר מכל מקום אורות שלו נהירין בה, שהן ה' אורות דחמש פעמים אור דמעשה בראשית דאינון בה' עילאה:</w:t>
      </w:r>
    </w:p>
  </w:footnote>
  <w:footnote w:id="864">
    <w:p w:rsidR="00A13282" w:rsidRDefault="00A13282" w:rsidP="00D45634">
      <w:pPr>
        <w:pStyle w:val="a5"/>
      </w:pPr>
      <w:r>
        <w:rPr>
          <w:rStyle w:val="a7"/>
        </w:rPr>
        <w:footnoteRef/>
      </w:r>
      <w:r>
        <w:t xml:space="preserve"> </w:t>
      </w:r>
      <w:r>
        <w:rPr>
          <w:rFonts w:ascii="Arial"/>
          <w:b/>
          <w:bCs/>
          <w:sz w:val="38"/>
          <w:rtl/>
        </w:rPr>
        <w:t>ג' עמודא כו'.</w:t>
      </w:r>
      <w:r>
        <w:rPr>
          <w:rFonts w:ascii="Arial"/>
          <w:sz w:val="38"/>
          <w:rtl/>
        </w:rPr>
        <w:t xml:space="preserve"> הוא יסוד:</w:t>
      </w:r>
    </w:p>
  </w:footnote>
  <w:footnote w:id="865">
    <w:p w:rsidR="00A13282" w:rsidRDefault="00A13282" w:rsidP="00D45634">
      <w:pPr>
        <w:pStyle w:val="a5"/>
      </w:pPr>
      <w:r>
        <w:rPr>
          <w:rStyle w:val="a7"/>
        </w:rPr>
        <w:footnoteRef/>
      </w:r>
      <w:r>
        <w:t xml:space="preserve"> </w:t>
      </w:r>
      <w:r>
        <w:rPr>
          <w:rFonts w:ascii="Arial"/>
          <w:b/>
          <w:bCs/>
          <w:sz w:val="38"/>
          <w:rtl/>
        </w:rPr>
        <w:t>דסמיך ביתא.</w:t>
      </w:r>
      <w:r>
        <w:rPr>
          <w:rFonts w:ascii="Arial"/>
          <w:sz w:val="38"/>
          <w:rtl/>
        </w:rPr>
        <w:t xml:space="preserve"> דלתתא:</w:t>
      </w:r>
    </w:p>
  </w:footnote>
  <w:footnote w:id="866">
    <w:p w:rsidR="00A13282" w:rsidRDefault="00A13282" w:rsidP="00D45634">
      <w:pPr>
        <w:jc w:val="both"/>
      </w:pPr>
      <w:r>
        <w:rPr>
          <w:rStyle w:val="a7"/>
        </w:rPr>
        <w:footnoteRef/>
      </w:r>
      <w:r>
        <w:t xml:space="preserve"> </w:t>
      </w:r>
      <w:r>
        <w:rPr>
          <w:b/>
          <w:bCs/>
          <w:rtl/>
        </w:rPr>
        <w:t>דאיהו גמילות.</w:t>
      </w:r>
      <w:r>
        <w:rPr>
          <w:rtl/>
        </w:rPr>
        <w:t xml:space="preserve"> רוצה לומר שג' הוא גמילות והוא ביסוד, שהוא גומל חסדים, שהוא חסד דגניז בפום אמה כמו שאומר בזוהר והן חסדים טובים שיסוד נקרא טוב, טוב הגנוז:</w:t>
      </w:r>
    </w:p>
  </w:footnote>
  <w:footnote w:id="867">
    <w:p w:rsidR="00A13282" w:rsidRDefault="00A13282" w:rsidP="00D45634">
      <w:pPr>
        <w:pStyle w:val="a5"/>
      </w:pPr>
      <w:r>
        <w:rPr>
          <w:rStyle w:val="a7"/>
        </w:rPr>
        <w:footnoteRef/>
      </w:r>
      <w:r>
        <w:t xml:space="preserve"> </w:t>
      </w:r>
      <w:r>
        <w:rPr>
          <w:rFonts w:ascii="Arial"/>
          <w:b/>
          <w:bCs/>
          <w:sz w:val="38"/>
          <w:rtl/>
        </w:rPr>
        <w:t>איהו סמיך כו'.</w:t>
      </w:r>
      <w:r>
        <w:rPr>
          <w:rFonts w:ascii="Arial"/>
          <w:sz w:val="38"/>
          <w:rtl/>
        </w:rPr>
        <w:t xml:space="preserve"> רוצה לומר שהוא סמוך לד' שהיא מלכות ואיהו סמיך לה' שנקראת דלת שהיא דלה כמו שאומר לעיל. וזה שאומר דאיהי דלת ובאן כו':</w:t>
      </w:r>
    </w:p>
  </w:footnote>
  <w:footnote w:id="868">
    <w:p w:rsidR="00A13282" w:rsidRDefault="00A13282" w:rsidP="00D45634">
      <w:pPr>
        <w:pStyle w:val="a5"/>
      </w:pPr>
      <w:r>
        <w:rPr>
          <w:rStyle w:val="a7"/>
        </w:rPr>
        <w:footnoteRef/>
      </w:r>
      <w:r>
        <w:t xml:space="preserve"> </w:t>
      </w:r>
      <w:r>
        <w:rPr>
          <w:rFonts w:ascii="Arial"/>
          <w:b/>
          <w:bCs/>
          <w:sz w:val="38"/>
          <w:rtl/>
        </w:rPr>
        <w:t>בגלותא.</w:t>
      </w:r>
      <w:r>
        <w:rPr>
          <w:rFonts w:ascii="Arial"/>
          <w:sz w:val="38"/>
          <w:rtl/>
        </w:rPr>
        <w:t xml:space="preserve"> שאז היא דלה כמו שאומר לעיל ורוצה לומר גלותא הוא ג':</w:t>
      </w:r>
    </w:p>
  </w:footnote>
  <w:footnote w:id="869">
    <w:p w:rsidR="00A13282" w:rsidRDefault="00A13282" w:rsidP="00D45634">
      <w:pPr>
        <w:pStyle w:val="a5"/>
      </w:pPr>
      <w:r>
        <w:rPr>
          <w:rStyle w:val="a7"/>
        </w:rPr>
        <w:footnoteRef/>
      </w:r>
      <w:r>
        <w:t xml:space="preserve"> </w:t>
      </w:r>
      <w:r>
        <w:rPr>
          <w:rFonts w:ascii="Arial"/>
          <w:b/>
          <w:bCs/>
          <w:sz w:val="38"/>
          <w:rtl/>
        </w:rPr>
        <w:t>א' סמיך כו'.</w:t>
      </w:r>
      <w:r>
        <w:rPr>
          <w:rFonts w:ascii="Arial"/>
          <w:sz w:val="38"/>
          <w:rtl/>
        </w:rPr>
        <w:t xml:space="preserve"> רוצה לומר שלכך א' סמיך בא"ב אצל ב', וג' אצל ד', שהן ספירות הסמוכות, חו"ב, יסוד ומלכות:</w:t>
      </w:r>
    </w:p>
  </w:footnote>
  <w:footnote w:id="870">
    <w:p w:rsidR="00A13282" w:rsidRDefault="00A13282" w:rsidP="00D45634">
      <w:pPr>
        <w:pStyle w:val="a5"/>
      </w:pPr>
      <w:r>
        <w:rPr>
          <w:rStyle w:val="a7"/>
        </w:rPr>
        <w:footnoteRef/>
      </w:r>
      <w:r>
        <w:t xml:space="preserve"> </w:t>
      </w:r>
      <w:r>
        <w:rPr>
          <w:rFonts w:ascii="Arial"/>
          <w:b/>
          <w:bCs/>
          <w:sz w:val="38"/>
          <w:rtl/>
        </w:rPr>
        <w:t>ובמאי.</w:t>
      </w:r>
      <w:r>
        <w:rPr>
          <w:rFonts w:ascii="Arial"/>
          <w:sz w:val="38"/>
          <w:rtl/>
        </w:rPr>
        <w:t xml:space="preserve"> רוצה לומר במאי סמיך ג' לד' וגומל חסדים עמה:</w:t>
      </w:r>
    </w:p>
  </w:footnote>
  <w:footnote w:id="871">
    <w:p w:rsidR="00A13282" w:rsidRDefault="00A13282" w:rsidP="00D45634">
      <w:pPr>
        <w:pStyle w:val="a5"/>
      </w:pPr>
      <w:r>
        <w:rPr>
          <w:rStyle w:val="a7"/>
        </w:rPr>
        <w:footnoteRef/>
      </w:r>
      <w:r>
        <w:t xml:space="preserve"> </w:t>
      </w:r>
      <w:r>
        <w:rPr>
          <w:rFonts w:ascii="Arial"/>
          <w:b/>
          <w:bCs/>
          <w:sz w:val="38"/>
          <w:rtl/>
        </w:rPr>
        <w:t>ג' איהי גלגל.</w:t>
      </w:r>
      <w:r>
        <w:rPr>
          <w:rFonts w:ascii="Arial"/>
          <w:sz w:val="38"/>
          <w:rtl/>
        </w:rPr>
        <w:t xml:space="preserve"> רוצה לומר אות ראשון שבו, ויסוד הוא גלגל שכל הו"ק מתגלגלין על ידו למלכות:</w:t>
      </w:r>
    </w:p>
  </w:footnote>
  <w:footnote w:id="872">
    <w:p w:rsidR="00A13282" w:rsidRDefault="00A13282" w:rsidP="00D45634">
      <w:pPr>
        <w:pStyle w:val="a5"/>
      </w:pPr>
      <w:r>
        <w:rPr>
          <w:rStyle w:val="a7"/>
        </w:rPr>
        <w:footnoteRef/>
      </w:r>
      <w:r>
        <w:t xml:space="preserve"> </w:t>
      </w:r>
      <w:r>
        <w:rPr>
          <w:rFonts w:ascii="Arial"/>
          <w:b/>
          <w:bCs/>
          <w:sz w:val="38"/>
          <w:rtl/>
        </w:rPr>
        <w:t>בכמה גלילי כו'.</w:t>
      </w:r>
      <w:r>
        <w:rPr>
          <w:rFonts w:ascii="Arial"/>
          <w:sz w:val="38"/>
          <w:rtl/>
        </w:rPr>
        <w:t xml:space="preserve"> רוצה לומר ע"י חג"ת כמו שמפרש והולך:</w:t>
      </w:r>
    </w:p>
  </w:footnote>
  <w:footnote w:id="873">
    <w:p w:rsidR="00A13282" w:rsidRDefault="00A13282" w:rsidP="00D45634">
      <w:pPr>
        <w:pStyle w:val="a5"/>
      </w:pPr>
      <w:r>
        <w:rPr>
          <w:rStyle w:val="a7"/>
        </w:rPr>
        <w:footnoteRef/>
      </w:r>
      <w:r>
        <w:t xml:space="preserve"> </w:t>
      </w:r>
      <w:r>
        <w:rPr>
          <w:rFonts w:ascii="Arial"/>
          <w:b/>
          <w:bCs/>
          <w:sz w:val="38"/>
          <w:rtl/>
        </w:rPr>
        <w:t>בתרי שש כו'.</w:t>
      </w:r>
      <w:r>
        <w:rPr>
          <w:rFonts w:ascii="Arial"/>
          <w:sz w:val="38"/>
          <w:rtl/>
        </w:rPr>
        <w:t xml:space="preserve"> רוצה לומר בתרי שהן שש כמו שמפרש והולך:</w:t>
      </w:r>
    </w:p>
  </w:footnote>
  <w:footnote w:id="874">
    <w:p w:rsidR="00A13282" w:rsidRDefault="00A13282" w:rsidP="00D45634">
      <w:pPr>
        <w:pStyle w:val="a5"/>
      </w:pPr>
      <w:r>
        <w:rPr>
          <w:rStyle w:val="a7"/>
        </w:rPr>
        <w:footnoteRef/>
      </w:r>
      <w:r>
        <w:t xml:space="preserve"> </w:t>
      </w:r>
      <w:r>
        <w:rPr>
          <w:rFonts w:ascii="Arial"/>
          <w:b/>
          <w:bCs/>
          <w:sz w:val="38"/>
          <w:rtl/>
        </w:rPr>
        <w:t>דבהון שרי כו'.</w:t>
      </w:r>
      <w:r>
        <w:rPr>
          <w:rFonts w:ascii="Arial"/>
          <w:sz w:val="38"/>
          <w:rtl/>
        </w:rPr>
        <w:t xml:space="preserve"> רוצה לומר שהעולם מתחיל מחסד גבורה, והן שלש ספירות:</w:t>
      </w:r>
    </w:p>
  </w:footnote>
  <w:footnote w:id="875">
    <w:p w:rsidR="00A13282" w:rsidRDefault="00A13282" w:rsidP="00D45634">
      <w:pPr>
        <w:pStyle w:val="a5"/>
      </w:pPr>
      <w:r>
        <w:rPr>
          <w:rStyle w:val="a7"/>
        </w:rPr>
        <w:footnoteRef/>
      </w:r>
      <w:r>
        <w:t xml:space="preserve"> </w:t>
      </w:r>
      <w:r>
        <w:rPr>
          <w:rFonts w:ascii="Arial"/>
          <w:b/>
          <w:bCs/>
          <w:sz w:val="38"/>
          <w:rtl/>
        </w:rPr>
        <w:t>דכלילן בעמודא דאמצעיתא.</w:t>
      </w:r>
      <w:r>
        <w:rPr>
          <w:rFonts w:ascii="Arial"/>
          <w:sz w:val="38"/>
          <w:rtl/>
        </w:rPr>
        <w:t xml:space="preserve"> רוצה לומר ששתי הידים, חו"ג, כלולין בת"ת שהוא יחודא דתרוייהו כמו שאומר לעיל ורוצה לומר שלכך ג"כ בראשית, שית אתוון, שהוא ו'. וכן לכך כתיב בראשית, ב', שהן חסד גבורה, שכלולין באותיות ראשית, שהוא ת"ת כמו שמפרש והולך:</w:t>
      </w:r>
    </w:p>
  </w:footnote>
  <w:footnote w:id="876">
    <w:p w:rsidR="00A13282" w:rsidRDefault="00A13282" w:rsidP="00D45634">
      <w:pPr>
        <w:pStyle w:val="a5"/>
      </w:pPr>
      <w:r>
        <w:rPr>
          <w:rStyle w:val="a7"/>
        </w:rPr>
        <w:footnoteRef/>
      </w:r>
      <w:r>
        <w:t xml:space="preserve"> </w:t>
      </w:r>
      <w:r>
        <w:rPr>
          <w:rFonts w:ascii="Arial"/>
          <w:b/>
          <w:bCs/>
          <w:sz w:val="38"/>
          <w:rtl/>
        </w:rPr>
        <w:t>כי שם חלקת כו'.</w:t>
      </w:r>
      <w:r>
        <w:rPr>
          <w:rFonts w:ascii="Arial"/>
          <w:sz w:val="38"/>
          <w:rtl/>
        </w:rPr>
        <w:t xml:space="preserve"> רוצה לומר משה שהוא בדרגא דעמודא דאמצעיתא וכן מחוקק הוא חכמה כמו שאומר בספר יצירה שבו חקק כו'. וזה שאומר וירא ראשית לו, ולמה, כי שם חלקת מחוקק, שהוא חכמה, ספון, גנוז. ו' דנפיק מי', וחכמה נקרא ראשית:</w:t>
      </w:r>
    </w:p>
  </w:footnote>
  <w:footnote w:id="877">
    <w:p w:rsidR="00A13282" w:rsidRDefault="00A13282" w:rsidP="00D45634">
      <w:pPr>
        <w:pStyle w:val="a5"/>
      </w:pPr>
      <w:r>
        <w:rPr>
          <w:rStyle w:val="a7"/>
        </w:rPr>
        <w:footnoteRef/>
      </w:r>
      <w:r>
        <w:t xml:space="preserve"> </w:t>
      </w:r>
      <w:r>
        <w:rPr>
          <w:rFonts w:ascii="Arial"/>
          <w:b/>
          <w:bCs/>
          <w:sz w:val="38"/>
          <w:rtl/>
        </w:rPr>
        <w:t>ד' דלת.</w:t>
      </w:r>
      <w:r>
        <w:rPr>
          <w:rFonts w:ascii="Arial"/>
          <w:sz w:val="38"/>
          <w:rtl/>
        </w:rPr>
        <w:t xml:space="preserve"> שבו נכנסין לבית דלעילא כמו שכתוב זה השער כמו שאומר לעיל דלית רשו לנביא וחוזה כו':</w:t>
      </w:r>
    </w:p>
  </w:footnote>
  <w:footnote w:id="878">
    <w:p w:rsidR="00A13282" w:rsidRDefault="00A13282" w:rsidP="00D45634">
      <w:pPr>
        <w:pStyle w:val="a5"/>
      </w:pPr>
      <w:r>
        <w:rPr>
          <w:rStyle w:val="a7"/>
        </w:rPr>
        <w:footnoteRef/>
      </w:r>
      <w:r>
        <w:t xml:space="preserve"> </w:t>
      </w:r>
      <w:r>
        <w:rPr>
          <w:rFonts w:ascii="Arial"/>
          <w:b/>
          <w:bCs/>
          <w:sz w:val="38"/>
          <w:rtl/>
        </w:rPr>
        <w:t>ו' עמודא דסמיך לדלת.</w:t>
      </w:r>
      <w:r>
        <w:rPr>
          <w:rFonts w:ascii="Arial"/>
          <w:sz w:val="38"/>
          <w:rtl/>
        </w:rPr>
        <w:t xml:space="preserve"> רוצה לומר ו' שבתוך ה', שבלא ו' הוא ד':</w:t>
      </w:r>
    </w:p>
  </w:footnote>
  <w:footnote w:id="879">
    <w:p w:rsidR="00A13282" w:rsidRDefault="00A13282" w:rsidP="00D45634">
      <w:pPr>
        <w:pStyle w:val="a5"/>
      </w:pPr>
      <w:r>
        <w:rPr>
          <w:rStyle w:val="a7"/>
        </w:rPr>
        <w:footnoteRef/>
      </w:r>
      <w:r>
        <w:t xml:space="preserve"> </w:t>
      </w:r>
      <w:r>
        <w:rPr>
          <w:rFonts w:ascii="Arial"/>
          <w:b/>
          <w:bCs/>
          <w:sz w:val="38"/>
          <w:rtl/>
        </w:rPr>
        <w:t>ואינון ב' דרועין.</w:t>
      </w:r>
      <w:r>
        <w:rPr>
          <w:rFonts w:ascii="Arial"/>
          <w:sz w:val="38"/>
          <w:rtl/>
        </w:rPr>
        <w:t xml:space="preserve"> רוצה לומר ב' הגגין. בלא ו' דאינון שית פרקין, רוצה לומר בלא ו' שבתוך ה', הוא ד', ב' דרועין, שית פרקין. בלא ו' דכליל השית פרקין אז היא דלה עד שבא ו' בתוך הד' ונעשה ה' וזה שאומר דלותי ולי יהושע רוצה לומר ו' לי יושיע:</w:t>
      </w:r>
    </w:p>
  </w:footnote>
  <w:footnote w:id="880">
    <w:p w:rsidR="00A13282" w:rsidRDefault="00A13282" w:rsidP="00D45634">
      <w:pPr>
        <w:pStyle w:val="a5"/>
      </w:pPr>
      <w:r>
        <w:rPr>
          <w:rStyle w:val="a7"/>
        </w:rPr>
        <w:footnoteRef/>
      </w:r>
      <w:r>
        <w:t xml:space="preserve"> </w:t>
      </w:r>
      <w:r>
        <w:rPr>
          <w:rFonts w:ascii="Arial"/>
          <w:b/>
          <w:bCs/>
          <w:sz w:val="38"/>
          <w:rtl/>
        </w:rPr>
        <w:t>ואת ד' כו'.</w:t>
      </w:r>
      <w:r>
        <w:rPr>
          <w:rFonts w:ascii="Arial"/>
          <w:sz w:val="38"/>
          <w:rtl/>
        </w:rPr>
        <w:t xml:space="preserve"> רוצה לומר שני פרקים של הזרוע עד פרק היד לפיכך היא דלה שפרק הג' חסר בה, שד' הוא בצורת הזרוע והקנה, שני ווין:</w:t>
      </w:r>
    </w:p>
  </w:footnote>
  <w:footnote w:id="881">
    <w:p w:rsidR="00A13282" w:rsidRDefault="00A13282" w:rsidP="00D45634">
      <w:pPr>
        <w:pStyle w:val="a5"/>
      </w:pPr>
      <w:r>
        <w:rPr>
          <w:rStyle w:val="a7"/>
        </w:rPr>
        <w:footnoteRef/>
      </w:r>
      <w:r>
        <w:t xml:space="preserve"> </w:t>
      </w:r>
      <w:r>
        <w:rPr>
          <w:rFonts w:ascii="Arial"/>
          <w:b/>
          <w:bCs/>
          <w:sz w:val="38"/>
          <w:rtl/>
        </w:rPr>
        <w:t>ה' שלימו כו'.</w:t>
      </w:r>
      <w:r>
        <w:rPr>
          <w:rFonts w:ascii="Arial"/>
          <w:sz w:val="38"/>
          <w:rtl/>
        </w:rPr>
        <w:t xml:space="preserve"> רוצה לומר בוא"ו שבתוך ה' נעשה ג' פרקים בכל דרועא שהן ג' ווין וכן הוא משלים לתרין דרועין וגופא שהן ג' ווין שהן חג"ת וזה שאומר כללא כו':</w:t>
      </w:r>
    </w:p>
  </w:footnote>
  <w:footnote w:id="882">
    <w:p w:rsidR="00A13282" w:rsidRDefault="00A13282" w:rsidP="00D45634">
      <w:pPr>
        <w:pStyle w:val="a5"/>
      </w:pPr>
      <w:r>
        <w:rPr>
          <w:rStyle w:val="a7"/>
        </w:rPr>
        <w:footnoteRef/>
      </w:r>
      <w:r>
        <w:t xml:space="preserve"> </w:t>
      </w:r>
      <w:r>
        <w:rPr>
          <w:rFonts w:ascii="Arial"/>
          <w:b/>
          <w:bCs/>
          <w:sz w:val="38"/>
          <w:rtl/>
        </w:rPr>
        <w:t>ו' יחודא.</w:t>
      </w:r>
      <w:r>
        <w:rPr>
          <w:rFonts w:ascii="Arial"/>
          <w:sz w:val="38"/>
          <w:rtl/>
        </w:rPr>
        <w:t xml:space="preserve"> רוצה לומר שו' הוא ת"ת, מתייחד עם ה' מלכות:</w:t>
      </w:r>
    </w:p>
  </w:footnote>
  <w:footnote w:id="883">
    <w:p w:rsidR="00A13282" w:rsidRDefault="00A13282" w:rsidP="00D45634">
      <w:pPr>
        <w:pStyle w:val="a5"/>
      </w:pPr>
      <w:r>
        <w:rPr>
          <w:rStyle w:val="a7"/>
        </w:rPr>
        <w:footnoteRef/>
      </w:r>
      <w:r>
        <w:t xml:space="preserve"> </w:t>
      </w:r>
      <w:r>
        <w:rPr>
          <w:rFonts w:ascii="Arial"/>
          <w:b/>
          <w:bCs/>
          <w:sz w:val="38"/>
          <w:rtl/>
        </w:rPr>
        <w:t>שלימו דאת ד' כו'.</w:t>
      </w:r>
      <w:r>
        <w:rPr>
          <w:rFonts w:ascii="Arial"/>
          <w:sz w:val="38"/>
          <w:rtl/>
        </w:rPr>
        <w:t xml:space="preserve"> כנ"ל שהו' הוא ת"ת שבתוך הד' שהוא חסד גבורה, ב' דרועין:</w:t>
      </w:r>
    </w:p>
  </w:footnote>
  <w:footnote w:id="884">
    <w:p w:rsidR="00A13282" w:rsidRDefault="00A13282" w:rsidP="00D45634">
      <w:pPr>
        <w:pStyle w:val="a5"/>
      </w:pPr>
      <w:r>
        <w:rPr>
          <w:rStyle w:val="a7"/>
        </w:rPr>
        <w:footnoteRef/>
      </w:r>
      <w:r>
        <w:t xml:space="preserve"> </w:t>
      </w:r>
      <w:r>
        <w:rPr>
          <w:rFonts w:ascii="Arial"/>
          <w:b/>
          <w:bCs/>
          <w:sz w:val="38"/>
          <w:rtl/>
        </w:rPr>
        <w:t>כד נהיר בה כו'.</w:t>
      </w:r>
      <w:r>
        <w:rPr>
          <w:rFonts w:ascii="Arial"/>
          <w:sz w:val="38"/>
          <w:rtl/>
        </w:rPr>
        <w:t xml:space="preserve"> עכשיו מפרש אות זיי"ן:</w:t>
      </w:r>
    </w:p>
  </w:footnote>
  <w:footnote w:id="885">
    <w:p w:rsidR="00A13282" w:rsidRDefault="00A13282" w:rsidP="00D45634">
      <w:pPr>
        <w:pStyle w:val="a5"/>
      </w:pPr>
      <w:r>
        <w:rPr>
          <w:rStyle w:val="a7"/>
        </w:rPr>
        <w:footnoteRef/>
      </w:r>
      <w:r>
        <w:t xml:space="preserve"> </w:t>
      </w:r>
      <w:r>
        <w:rPr>
          <w:rFonts w:ascii="Arial"/>
          <w:b/>
          <w:bCs/>
          <w:sz w:val="38"/>
          <w:rtl/>
        </w:rPr>
        <w:t>שבעתים כאור כו'.</w:t>
      </w:r>
      <w:r>
        <w:rPr>
          <w:rFonts w:ascii="Arial"/>
          <w:sz w:val="38"/>
          <w:rtl/>
        </w:rPr>
        <w:t xml:space="preserve"> שהיא ז':</w:t>
      </w:r>
    </w:p>
  </w:footnote>
  <w:footnote w:id="886">
    <w:p w:rsidR="00A13282" w:rsidRDefault="00A13282" w:rsidP="00D45634">
      <w:pPr>
        <w:pStyle w:val="a5"/>
      </w:pPr>
      <w:r>
        <w:rPr>
          <w:rStyle w:val="a7"/>
        </w:rPr>
        <w:footnoteRef/>
      </w:r>
      <w:r>
        <w:t xml:space="preserve"> </w:t>
      </w:r>
      <w:r>
        <w:rPr>
          <w:rFonts w:ascii="Arial"/>
          <w:b/>
          <w:bCs/>
          <w:sz w:val="38"/>
          <w:rtl/>
        </w:rPr>
        <w:t>ודא שלימו דחמה וסיהרא.</w:t>
      </w:r>
      <w:r>
        <w:rPr>
          <w:rFonts w:ascii="Arial"/>
          <w:sz w:val="38"/>
          <w:rtl/>
        </w:rPr>
        <w:t xml:space="preserve"> רוצה לומר בעת שהוא נהיר בסיהרא וכן נהיר בחמה מסטרא דחכמה וחכמה הוא י' ות"ת הוא ו', י' על ו' הוא ז'. לפיכך יהיה שבעתים כו' דחמה ולבנה אינון נוקבין כנ"ל:</w:t>
      </w:r>
    </w:p>
  </w:footnote>
  <w:footnote w:id="887">
    <w:p w:rsidR="00A13282" w:rsidRDefault="00A13282" w:rsidP="00D45634">
      <w:pPr>
        <w:pStyle w:val="a5"/>
      </w:pPr>
      <w:r>
        <w:rPr>
          <w:rStyle w:val="a7"/>
        </w:rPr>
        <w:footnoteRef/>
      </w:r>
      <w:r>
        <w:t xml:space="preserve"> </w:t>
      </w:r>
      <w:r>
        <w:rPr>
          <w:rFonts w:ascii="Arial"/>
          <w:b/>
          <w:bCs/>
          <w:sz w:val="38"/>
          <w:rtl/>
        </w:rPr>
        <w:t>ובגין דא איהו.</w:t>
      </w:r>
      <w:r>
        <w:rPr>
          <w:rFonts w:ascii="Arial"/>
          <w:sz w:val="38"/>
          <w:rtl/>
        </w:rPr>
        <w:t xml:space="preserve"> רוצה לומר ת"ת:</w:t>
      </w:r>
    </w:p>
  </w:footnote>
  <w:footnote w:id="888">
    <w:p w:rsidR="00A13282" w:rsidRDefault="00A13282" w:rsidP="00D45634">
      <w:pPr>
        <w:pStyle w:val="a5"/>
      </w:pPr>
      <w:r>
        <w:rPr>
          <w:rStyle w:val="a7"/>
        </w:rPr>
        <w:footnoteRef/>
      </w:r>
      <w:r>
        <w:t xml:space="preserve"> </w:t>
      </w:r>
      <w:r>
        <w:rPr>
          <w:rFonts w:ascii="Arial"/>
          <w:b/>
          <w:bCs/>
          <w:sz w:val="38"/>
          <w:rtl/>
        </w:rPr>
        <w:t>זכור מסטרא דה' עילאה.</w:t>
      </w:r>
      <w:r>
        <w:rPr>
          <w:rFonts w:ascii="Arial"/>
          <w:sz w:val="38"/>
          <w:rtl/>
        </w:rPr>
        <w:t xml:space="preserve"> שמסטרא הוא ז' כליל י"ו וזה זכור ושמור כו' כידוע שכל שמירה מסטרא דה' תתאה כמו שאומר לעיל שמירה אחת לשבתות כו':</w:t>
      </w:r>
    </w:p>
  </w:footnote>
  <w:footnote w:id="889">
    <w:p w:rsidR="00A13282" w:rsidRDefault="00A13282" w:rsidP="00D45634">
      <w:pPr>
        <w:pStyle w:val="a5"/>
      </w:pPr>
      <w:r>
        <w:rPr>
          <w:rStyle w:val="a7"/>
        </w:rPr>
        <w:footnoteRef/>
      </w:r>
      <w:r>
        <w:t xml:space="preserve"> </w:t>
      </w:r>
      <w:r>
        <w:rPr>
          <w:rFonts w:ascii="Arial"/>
          <w:b/>
          <w:bCs/>
          <w:sz w:val="38"/>
          <w:rtl/>
        </w:rPr>
        <w:t>ח' כו'.</w:t>
      </w:r>
      <w:r>
        <w:rPr>
          <w:rFonts w:ascii="Arial"/>
          <w:sz w:val="38"/>
          <w:rtl/>
        </w:rPr>
        <w:t xml:space="preserve"> רוצה לומר יסוד:</w:t>
      </w:r>
    </w:p>
  </w:footnote>
  <w:footnote w:id="890">
    <w:p w:rsidR="00A13282" w:rsidRDefault="00A13282" w:rsidP="00D45634">
      <w:pPr>
        <w:pStyle w:val="a5"/>
      </w:pPr>
      <w:r>
        <w:rPr>
          <w:rStyle w:val="a7"/>
        </w:rPr>
        <w:footnoteRef/>
      </w:r>
      <w:r>
        <w:t xml:space="preserve"> </w:t>
      </w:r>
      <w:r>
        <w:rPr>
          <w:rFonts w:ascii="Arial"/>
          <w:b/>
          <w:bCs/>
          <w:sz w:val="38"/>
          <w:rtl/>
        </w:rPr>
        <w:t>ואינון וו"ו.</w:t>
      </w:r>
      <w:r>
        <w:rPr>
          <w:rFonts w:ascii="Arial"/>
          <w:sz w:val="38"/>
          <w:rtl/>
        </w:rPr>
        <w:t xml:space="preserve"> רוצה לומר חג"ת שהן ג' ווין כנ"ל, ג' ווין דויסע ויבא ויט:</w:t>
      </w:r>
    </w:p>
  </w:footnote>
  <w:footnote w:id="891">
    <w:p w:rsidR="00A13282" w:rsidRDefault="00A13282" w:rsidP="00D45634">
      <w:pPr>
        <w:pStyle w:val="a5"/>
      </w:pPr>
      <w:r>
        <w:rPr>
          <w:rStyle w:val="a7"/>
        </w:rPr>
        <w:footnoteRef/>
      </w:r>
      <w:r>
        <w:t xml:space="preserve"> </w:t>
      </w:r>
      <w:r>
        <w:rPr>
          <w:rFonts w:ascii="Arial"/>
          <w:b/>
          <w:bCs/>
          <w:sz w:val="38"/>
          <w:rtl/>
        </w:rPr>
        <w:t>ח' איהו מפשר.</w:t>
      </w:r>
      <w:r>
        <w:rPr>
          <w:rFonts w:ascii="Arial"/>
          <w:sz w:val="38"/>
          <w:rtl/>
        </w:rPr>
        <w:t xml:space="preserve"> רוצה לומר שח' הוא חולם:</w:t>
      </w:r>
    </w:p>
  </w:footnote>
  <w:footnote w:id="892">
    <w:p w:rsidR="00A13282" w:rsidRDefault="00A13282" w:rsidP="00D45634">
      <w:pPr>
        <w:pStyle w:val="a5"/>
      </w:pPr>
      <w:r>
        <w:rPr>
          <w:rStyle w:val="a7"/>
        </w:rPr>
        <w:footnoteRef/>
      </w:r>
      <w:r>
        <w:t xml:space="preserve"> </w:t>
      </w:r>
      <w:r>
        <w:rPr>
          <w:rFonts w:ascii="Arial"/>
          <w:b/>
          <w:bCs/>
          <w:sz w:val="38"/>
          <w:rtl/>
        </w:rPr>
        <w:t>בט'.</w:t>
      </w:r>
      <w:r>
        <w:rPr>
          <w:rFonts w:ascii="Arial"/>
          <w:sz w:val="38"/>
          <w:rtl/>
        </w:rPr>
        <w:t xml:space="preserve"> רוצה לומר ג"כ ביסוד, טוב הגנוז שבו כנ"ל:</w:t>
      </w:r>
    </w:p>
  </w:footnote>
  <w:footnote w:id="893">
    <w:p w:rsidR="00A13282" w:rsidRDefault="00A13282" w:rsidP="00D45634">
      <w:pPr>
        <w:pStyle w:val="a5"/>
      </w:pPr>
      <w:r>
        <w:rPr>
          <w:rStyle w:val="a7"/>
        </w:rPr>
        <w:footnoteRef/>
      </w:r>
      <w:r>
        <w:t xml:space="preserve"> </w:t>
      </w:r>
      <w:r>
        <w:rPr>
          <w:rFonts w:ascii="Arial"/>
          <w:b/>
          <w:bCs/>
          <w:sz w:val="38"/>
          <w:rtl/>
        </w:rPr>
        <w:t>דאיהו סחור לה.</w:t>
      </w:r>
      <w:r>
        <w:rPr>
          <w:rFonts w:ascii="Arial"/>
          <w:sz w:val="38"/>
          <w:rtl/>
        </w:rPr>
        <w:t xml:space="preserve"> רוצה לומר הט' סמוך לח' בא"ב ואיהו טוב הסמוך ביסוד ח':</w:t>
      </w:r>
    </w:p>
  </w:footnote>
  <w:footnote w:id="894">
    <w:p w:rsidR="00A13282" w:rsidRDefault="00A13282" w:rsidP="00D45634">
      <w:pPr>
        <w:pStyle w:val="a5"/>
      </w:pPr>
      <w:r>
        <w:rPr>
          <w:rStyle w:val="a7"/>
        </w:rPr>
        <w:footnoteRef/>
      </w:r>
      <w:r>
        <w:t xml:space="preserve"> </w:t>
      </w:r>
      <w:r>
        <w:rPr>
          <w:rFonts w:ascii="Arial"/>
          <w:b/>
          <w:bCs/>
          <w:sz w:val="38"/>
          <w:rtl/>
        </w:rPr>
        <w:t>בגין דאת ט'.</w:t>
      </w:r>
      <w:r>
        <w:rPr>
          <w:rFonts w:ascii="Arial"/>
          <w:sz w:val="38"/>
          <w:rtl/>
        </w:rPr>
        <w:t xml:space="preserve"> נותן טעם למה נקרא יסוד ח' וט':</w:t>
      </w:r>
    </w:p>
  </w:footnote>
  <w:footnote w:id="895">
    <w:p w:rsidR="00A13282" w:rsidRDefault="00A13282" w:rsidP="00D45634">
      <w:pPr>
        <w:pStyle w:val="a5"/>
      </w:pPr>
      <w:r>
        <w:rPr>
          <w:rStyle w:val="a7"/>
        </w:rPr>
        <w:footnoteRef/>
      </w:r>
      <w:r>
        <w:t xml:space="preserve"> </w:t>
      </w:r>
      <w:r>
        <w:rPr>
          <w:rFonts w:ascii="Arial"/>
          <w:b/>
          <w:bCs/>
          <w:sz w:val="38"/>
          <w:rtl/>
        </w:rPr>
        <w:t>ח' ספירה תמינאה מסטרא דאות א'.</w:t>
      </w:r>
      <w:r>
        <w:rPr>
          <w:rFonts w:ascii="Arial"/>
          <w:sz w:val="38"/>
          <w:rtl/>
        </w:rPr>
        <w:t xml:space="preserve"> רוצה לומר מחכמה, שמשם מתחילין, שנקראת ראשית והוא אות א' וכן בא"ב, ח' אות שמיני לא':</w:t>
      </w:r>
    </w:p>
  </w:footnote>
  <w:footnote w:id="896">
    <w:p w:rsidR="00A13282" w:rsidRDefault="00A13282" w:rsidP="00D45634">
      <w:pPr>
        <w:pStyle w:val="a5"/>
      </w:pPr>
      <w:r>
        <w:rPr>
          <w:rStyle w:val="a7"/>
        </w:rPr>
        <w:footnoteRef/>
      </w:r>
      <w:r>
        <w:t xml:space="preserve"> </w:t>
      </w:r>
      <w:r>
        <w:rPr>
          <w:rFonts w:ascii="Arial"/>
          <w:b/>
          <w:bCs/>
          <w:sz w:val="38"/>
          <w:rtl/>
        </w:rPr>
        <w:t>עשירית האיפה.</w:t>
      </w:r>
      <w:r>
        <w:rPr>
          <w:rFonts w:ascii="Arial"/>
          <w:sz w:val="38"/>
          <w:rtl/>
        </w:rPr>
        <w:t xml:space="preserve"> ידוע בזהר שקאי על מלכות ועיין בזהר פנחס:</w:t>
      </w:r>
    </w:p>
  </w:footnote>
  <w:footnote w:id="897">
    <w:p w:rsidR="00A13282" w:rsidRDefault="00A13282" w:rsidP="00D45634">
      <w:pPr>
        <w:pStyle w:val="a5"/>
      </w:pPr>
      <w:r>
        <w:rPr>
          <w:rStyle w:val="a7"/>
        </w:rPr>
        <w:footnoteRef/>
      </w:r>
      <w:r>
        <w:t xml:space="preserve"> </w:t>
      </w:r>
      <w:r>
        <w:rPr>
          <w:rFonts w:ascii="Arial"/>
          <w:b/>
          <w:bCs/>
          <w:sz w:val="38"/>
          <w:rtl/>
        </w:rPr>
        <w:t>כד נחית כו'.</w:t>
      </w:r>
      <w:r>
        <w:rPr>
          <w:rFonts w:ascii="Arial"/>
          <w:sz w:val="38"/>
          <w:rtl/>
        </w:rPr>
        <w:t xml:space="preserve"> דאין יסוד ח"י אלא בהתייחד בה אז אבר חי כמו שאומר בזהר:</w:t>
      </w:r>
    </w:p>
  </w:footnote>
  <w:footnote w:id="898">
    <w:p w:rsidR="00A13282" w:rsidRDefault="00A13282" w:rsidP="00D45634">
      <w:pPr>
        <w:pStyle w:val="a5"/>
      </w:pPr>
      <w:r>
        <w:rPr>
          <w:rStyle w:val="a7"/>
        </w:rPr>
        <w:footnoteRef/>
      </w:r>
      <w:r>
        <w:t xml:space="preserve"> </w:t>
      </w:r>
      <w:r>
        <w:rPr>
          <w:rFonts w:ascii="Arial"/>
          <w:b/>
          <w:bCs/>
          <w:sz w:val="38"/>
          <w:rtl/>
        </w:rPr>
        <w:t>לך ישלשו כו'.</w:t>
      </w:r>
      <w:r>
        <w:rPr>
          <w:rFonts w:ascii="Arial"/>
          <w:sz w:val="38"/>
          <w:rtl/>
        </w:rPr>
        <w:t xml:space="preserve"> שמורידין מלמעלה למטה עד המלכות - הקדושה, וזה לך מלכות:</w:t>
      </w:r>
    </w:p>
  </w:footnote>
  <w:footnote w:id="899">
    <w:p w:rsidR="00A13282" w:rsidRDefault="00A13282" w:rsidP="00D45634">
      <w:pPr>
        <w:pStyle w:val="a5"/>
      </w:pPr>
      <w:r>
        <w:rPr>
          <w:rStyle w:val="a7"/>
        </w:rPr>
        <w:footnoteRef/>
      </w:r>
      <w:r>
        <w:t xml:space="preserve"> </w:t>
      </w:r>
      <w:r>
        <w:rPr>
          <w:rFonts w:ascii="Arial"/>
          <w:b/>
          <w:bCs/>
          <w:sz w:val="38"/>
          <w:rtl/>
        </w:rPr>
        <w:t>כ' כתר.</w:t>
      </w:r>
      <w:r>
        <w:rPr>
          <w:rFonts w:ascii="Arial"/>
          <w:sz w:val="38"/>
          <w:rtl/>
        </w:rPr>
        <w:t xml:space="preserve"> שהיא עשרה ומעלין אותה עד כתר, עשר ספירות, והוי כ':</w:t>
      </w:r>
    </w:p>
  </w:footnote>
  <w:footnote w:id="900">
    <w:p w:rsidR="00A13282" w:rsidRDefault="00A13282" w:rsidP="00D45634">
      <w:pPr>
        <w:pStyle w:val="a5"/>
      </w:pPr>
      <w:r>
        <w:rPr>
          <w:rStyle w:val="a7"/>
        </w:rPr>
        <w:footnoteRef/>
      </w:r>
      <w:r>
        <w:t xml:space="preserve"> </w:t>
      </w:r>
      <w:r>
        <w:rPr>
          <w:rFonts w:ascii="Arial"/>
          <w:b/>
          <w:bCs/>
          <w:sz w:val="38"/>
          <w:rtl/>
        </w:rPr>
        <w:t>ל' ויחלום כו'.</w:t>
      </w:r>
      <w:r>
        <w:rPr>
          <w:rFonts w:ascii="Arial"/>
          <w:sz w:val="38"/>
          <w:rtl/>
        </w:rPr>
        <w:t xml:space="preserve"> רוצה לומר של' הוא בת"ת שהוא הסולם מוצב כו' שהוא מבריח מן הקצה אל הקצה כנ"ל:</w:t>
      </w:r>
    </w:p>
  </w:footnote>
  <w:footnote w:id="901">
    <w:p w:rsidR="00A13282" w:rsidRDefault="00A13282" w:rsidP="00D45634">
      <w:pPr>
        <w:pStyle w:val="a5"/>
      </w:pPr>
      <w:r>
        <w:rPr>
          <w:rStyle w:val="a7"/>
        </w:rPr>
        <w:footnoteRef/>
      </w:r>
      <w:r>
        <w:t xml:space="preserve"> </w:t>
      </w:r>
      <w:r>
        <w:rPr>
          <w:rFonts w:ascii="Arial"/>
          <w:b/>
          <w:bCs/>
          <w:sz w:val="38"/>
          <w:rtl/>
        </w:rPr>
        <w:t>והנה מלאכי כו'.</w:t>
      </w:r>
      <w:r>
        <w:rPr>
          <w:rFonts w:ascii="Arial"/>
          <w:sz w:val="38"/>
          <w:rtl/>
        </w:rPr>
        <w:t xml:space="preserve"> מפרש עכשיו מ' שהם מלאכי, והן נשמתין. שבל' שהוא ת"ת - עולין, ובנ' שהוא מלכות - יורדין מת"ת. וכן בא"ב, המ' אל הל' הוא בעליה למעלה לצד הא' ואל הנ' הוא בירידה למטה אל הת':</w:t>
      </w:r>
    </w:p>
  </w:footnote>
  <w:footnote w:id="902">
    <w:p w:rsidR="00A13282" w:rsidRDefault="00A13282" w:rsidP="00D45634">
      <w:pPr>
        <w:pStyle w:val="a5"/>
      </w:pPr>
      <w:r>
        <w:rPr>
          <w:rStyle w:val="a7"/>
        </w:rPr>
        <w:footnoteRef/>
      </w:r>
      <w:r>
        <w:t xml:space="preserve"> </w:t>
      </w:r>
      <w:r>
        <w:rPr>
          <w:rFonts w:ascii="Arial"/>
          <w:b/>
          <w:bCs/>
          <w:sz w:val="38"/>
          <w:rtl/>
        </w:rPr>
        <w:t>נפלת.</w:t>
      </w:r>
      <w:r>
        <w:rPr>
          <w:rFonts w:ascii="Arial"/>
          <w:sz w:val="38"/>
          <w:rtl/>
        </w:rPr>
        <w:t xml:space="preserve"> רוצה לומר שהוא נ':</w:t>
      </w:r>
    </w:p>
  </w:footnote>
  <w:footnote w:id="903">
    <w:p w:rsidR="00A13282" w:rsidRDefault="00A13282" w:rsidP="00D45634">
      <w:pPr>
        <w:pStyle w:val="a5"/>
      </w:pPr>
      <w:r>
        <w:rPr>
          <w:rStyle w:val="a7"/>
        </w:rPr>
        <w:footnoteRef/>
      </w:r>
      <w:r>
        <w:t xml:space="preserve"> </w:t>
      </w:r>
      <w:r>
        <w:rPr>
          <w:rFonts w:ascii="Arial"/>
          <w:b/>
          <w:bCs/>
          <w:sz w:val="38"/>
          <w:rtl/>
        </w:rPr>
        <w:t>משמים.</w:t>
      </w:r>
      <w:r>
        <w:rPr>
          <w:rFonts w:ascii="Arial"/>
          <w:sz w:val="38"/>
          <w:rtl/>
        </w:rPr>
        <w:t xml:space="preserve"> שהוא בת"ת:</w:t>
      </w:r>
    </w:p>
  </w:footnote>
  <w:footnote w:id="904">
    <w:p w:rsidR="00A13282" w:rsidRDefault="00A13282" w:rsidP="00D45634">
      <w:pPr>
        <w:pStyle w:val="a5"/>
      </w:pPr>
      <w:r>
        <w:rPr>
          <w:rStyle w:val="a7"/>
        </w:rPr>
        <w:footnoteRef/>
      </w:r>
      <w:r>
        <w:t xml:space="preserve"> </w:t>
      </w:r>
      <w:r>
        <w:rPr>
          <w:rFonts w:ascii="Arial"/>
          <w:b/>
          <w:bCs/>
          <w:sz w:val="38"/>
          <w:rtl/>
        </w:rPr>
        <w:t>אבל בס'.</w:t>
      </w:r>
      <w:r>
        <w:rPr>
          <w:rFonts w:ascii="Arial"/>
          <w:sz w:val="38"/>
          <w:rtl/>
        </w:rPr>
        <w:t xml:space="preserve"> עכשיו מפרש הס' אעפ"י שהוא ג"כ במלכות שהיא סנה, סלקין, שאז הנשמתין עולין ממנה אל הת"ת מה שאין כן בנ' שיורדין מת"ת אליה. וזה סל"ם, מן הס' אל ל' עולין מלאכים הנ"ל שהן מ', סל"ם. וזה שאומר איהי סל"ם כו':</w:t>
      </w:r>
    </w:p>
  </w:footnote>
  <w:footnote w:id="905">
    <w:p w:rsidR="00A13282" w:rsidRDefault="00A13282" w:rsidP="00D45634">
      <w:pPr>
        <w:pStyle w:val="a5"/>
      </w:pPr>
      <w:r>
        <w:rPr>
          <w:rStyle w:val="a7"/>
        </w:rPr>
        <w:footnoteRef/>
      </w:r>
      <w:r>
        <w:t xml:space="preserve"> </w:t>
      </w:r>
      <w:r>
        <w:rPr>
          <w:rFonts w:ascii="Arial"/>
          <w:b/>
          <w:bCs/>
          <w:sz w:val="38"/>
          <w:rtl/>
        </w:rPr>
        <w:t>ע' כו'.</w:t>
      </w:r>
      <w:r>
        <w:rPr>
          <w:rFonts w:ascii="Arial"/>
          <w:sz w:val="38"/>
          <w:rtl/>
        </w:rPr>
        <w:t xml:space="preserve"> רוצה לומר שהיא מלכות, שבה מצפין לעלות אל הת"ת, שאז נקראת ע', כמו שכתוב וכל עין כו':</w:t>
      </w:r>
    </w:p>
  </w:footnote>
  <w:footnote w:id="906">
    <w:p w:rsidR="00A13282" w:rsidRDefault="00A13282" w:rsidP="00D45634">
      <w:pPr>
        <w:pStyle w:val="a5"/>
      </w:pPr>
      <w:r>
        <w:rPr>
          <w:rStyle w:val="a7"/>
        </w:rPr>
        <w:footnoteRef/>
      </w:r>
      <w:r>
        <w:t xml:space="preserve"> </w:t>
      </w:r>
      <w:r>
        <w:rPr>
          <w:rFonts w:ascii="Arial"/>
          <w:b/>
          <w:bCs/>
          <w:sz w:val="38"/>
          <w:rtl/>
        </w:rPr>
        <w:t>פ' כו'.</w:t>
      </w:r>
      <w:r>
        <w:rPr>
          <w:rFonts w:ascii="Arial"/>
          <w:sz w:val="38"/>
          <w:rtl/>
        </w:rPr>
        <w:t xml:space="preserve"> רוצה לומר ת"ת שהנשמה סליק בו שאז הוא במקומו:</w:t>
      </w:r>
    </w:p>
  </w:footnote>
  <w:footnote w:id="907">
    <w:p w:rsidR="00A13282" w:rsidRDefault="00A13282" w:rsidP="00D45634">
      <w:pPr>
        <w:pStyle w:val="a5"/>
      </w:pPr>
      <w:r>
        <w:rPr>
          <w:rStyle w:val="a7"/>
        </w:rPr>
        <w:footnoteRef/>
      </w:r>
      <w:r>
        <w:t xml:space="preserve"> </w:t>
      </w:r>
      <w:r>
        <w:rPr>
          <w:rFonts w:ascii="Arial"/>
          <w:b/>
          <w:bCs/>
          <w:sz w:val="38"/>
          <w:rtl/>
        </w:rPr>
        <w:t>למלך.</w:t>
      </w:r>
      <w:r>
        <w:rPr>
          <w:rFonts w:ascii="Arial"/>
          <w:sz w:val="38"/>
          <w:rtl/>
        </w:rPr>
        <w:t xml:space="preserve"> רוצה לומר ל' מלך, שאז כל לשון כו' שכל הנשמות יעלו אל מקומם:</w:t>
      </w:r>
    </w:p>
  </w:footnote>
  <w:footnote w:id="908">
    <w:p w:rsidR="00A13282" w:rsidRDefault="00A13282" w:rsidP="00D45634">
      <w:pPr>
        <w:pStyle w:val="a5"/>
      </w:pPr>
      <w:r>
        <w:rPr>
          <w:rStyle w:val="a7"/>
        </w:rPr>
        <w:footnoteRef/>
      </w:r>
      <w:r>
        <w:t xml:space="preserve"> </w:t>
      </w:r>
      <w:r>
        <w:rPr>
          <w:rFonts w:ascii="Arial"/>
          <w:b/>
          <w:bCs/>
          <w:sz w:val="38"/>
          <w:rtl/>
        </w:rPr>
        <w:t>ק' כו'.</w:t>
      </w:r>
      <w:r>
        <w:rPr>
          <w:rFonts w:ascii="Arial"/>
          <w:sz w:val="38"/>
          <w:rtl/>
        </w:rPr>
        <w:t xml:space="preserve"> הוא סוד ת"ת, קול יעקב כו':</w:t>
      </w:r>
    </w:p>
  </w:footnote>
  <w:footnote w:id="909">
    <w:p w:rsidR="00A13282" w:rsidRDefault="00A13282" w:rsidP="00D45634">
      <w:pPr>
        <w:pStyle w:val="a5"/>
      </w:pPr>
      <w:r>
        <w:rPr>
          <w:rStyle w:val="a7"/>
        </w:rPr>
        <w:footnoteRef/>
      </w:r>
      <w:r>
        <w:t xml:space="preserve"> </w:t>
      </w:r>
      <w:r>
        <w:rPr>
          <w:rFonts w:ascii="Arial"/>
          <w:b/>
          <w:bCs/>
          <w:sz w:val="38"/>
          <w:rtl/>
        </w:rPr>
        <w:t>ר' כו'.</w:t>
      </w:r>
      <w:r>
        <w:rPr>
          <w:rFonts w:ascii="Arial"/>
          <w:sz w:val="38"/>
          <w:rtl/>
        </w:rPr>
        <w:t xml:space="preserve"> הוא חכמה כמו שכתוב ראשון כו':</w:t>
      </w:r>
    </w:p>
  </w:footnote>
  <w:footnote w:id="910">
    <w:p w:rsidR="00A13282" w:rsidRDefault="00A13282" w:rsidP="00D45634">
      <w:pPr>
        <w:pStyle w:val="a5"/>
      </w:pPr>
      <w:r>
        <w:rPr>
          <w:rStyle w:val="a7"/>
        </w:rPr>
        <w:footnoteRef/>
      </w:r>
      <w:r>
        <w:t xml:space="preserve"> </w:t>
      </w:r>
      <w:r>
        <w:rPr>
          <w:rFonts w:ascii="Arial"/>
          <w:b/>
          <w:bCs/>
          <w:sz w:val="38"/>
          <w:rtl/>
        </w:rPr>
        <w:t>ש' כו'.</w:t>
      </w:r>
      <w:r>
        <w:rPr>
          <w:rFonts w:ascii="Arial"/>
          <w:sz w:val="38"/>
          <w:rtl/>
        </w:rPr>
        <w:t xml:space="preserve"> הוא יסוד כמו שכתוב שלום כו' כנ"ל:</w:t>
      </w:r>
    </w:p>
  </w:footnote>
  <w:footnote w:id="911">
    <w:p w:rsidR="00A13282" w:rsidRDefault="00A13282" w:rsidP="00D45634">
      <w:pPr>
        <w:jc w:val="both"/>
        <w:rPr>
          <w:rStyle w:val="23"/>
        </w:rPr>
      </w:pPr>
      <w:r>
        <w:rPr>
          <w:rStyle w:val="a7"/>
        </w:rPr>
        <w:footnoteRef/>
      </w:r>
      <w:r>
        <w:t xml:space="preserve"> </w:t>
      </w:r>
      <w:r>
        <w:rPr>
          <w:rFonts w:ascii="Arial" w:cs="Arial"/>
          <w:b/>
          <w:bCs/>
          <w:sz w:val="38"/>
          <w:rtl/>
        </w:rPr>
        <w:t>ת'.</w:t>
      </w:r>
      <w:r>
        <w:rPr>
          <w:rFonts w:ascii="Arial" w:cs="Arial"/>
          <w:sz w:val="38"/>
          <w:rtl/>
        </w:rPr>
        <w:t xml:space="preserve"> הוא מלכות כמו שכתוב (איכה ד כב) בת ציון לא יוסיף להגלותך. צקרש"ת הן ה’ ספירות: חו"ב ת"ת יסוד מלכות:</w:t>
      </w:r>
    </w:p>
    <w:p w:rsidR="00A13282" w:rsidRDefault="00A13282" w:rsidP="00D45634">
      <w:pPr>
        <w:pStyle w:val="a5"/>
      </w:pPr>
    </w:p>
  </w:footnote>
  <w:footnote w:id="912">
    <w:p w:rsidR="00A13282" w:rsidRDefault="00A13282" w:rsidP="00D45634">
      <w:pPr>
        <w:pStyle w:val="a5"/>
      </w:pPr>
      <w:r>
        <w:rPr>
          <w:rStyle w:val="a7"/>
        </w:rPr>
        <w:footnoteRef/>
      </w:r>
      <w:r>
        <w:t xml:space="preserve"> </w:t>
      </w:r>
      <w:r>
        <w:rPr>
          <w:rFonts w:ascii="Arial"/>
          <w:b/>
          <w:bCs/>
          <w:sz w:val="38"/>
          <w:rtl/>
        </w:rPr>
        <w:t>הקדמה אחרת לתקוני הזוהר.</w:t>
      </w:r>
      <w:r>
        <w:rPr>
          <w:b/>
          <w:bCs/>
          <w:rtl/>
        </w:rPr>
        <w:t xml:space="preserve"> </w:t>
      </w:r>
      <w:r>
        <w:rPr>
          <w:rFonts w:ascii="Arial"/>
          <w:b/>
          <w:bCs/>
          <w:sz w:val="38"/>
          <w:rtl/>
        </w:rPr>
        <w:t>וחבריו ר' אלעזר כו'.</w:t>
      </w:r>
      <w:r>
        <w:rPr>
          <w:rFonts w:ascii="Arial"/>
          <w:sz w:val="38"/>
          <w:rtl/>
        </w:rPr>
        <w:t xml:space="preserve"> חסר כאן ר' יהודה:</w:t>
      </w:r>
    </w:p>
  </w:footnote>
  <w:footnote w:id="913">
    <w:p w:rsidR="00A13282" w:rsidRDefault="00A13282" w:rsidP="00D45634">
      <w:pPr>
        <w:pStyle w:val="a5"/>
      </w:pPr>
      <w:r>
        <w:rPr>
          <w:rStyle w:val="a7"/>
        </w:rPr>
        <w:footnoteRef/>
      </w:r>
      <w:r>
        <w:t xml:space="preserve"> </w:t>
      </w:r>
      <w:r>
        <w:rPr>
          <w:rFonts w:ascii="Arial"/>
          <w:b/>
          <w:bCs/>
          <w:sz w:val="38"/>
          <w:rtl/>
        </w:rPr>
        <w:t>מאי כזהר כו'.</w:t>
      </w:r>
      <w:r>
        <w:rPr>
          <w:rFonts w:ascii="Arial"/>
          <w:sz w:val="38"/>
          <w:rtl/>
        </w:rPr>
        <w:t xml:space="preserve"> רוצה לומר כאותן הדברים שיצאו מהם שהם מאירים לעולם כמו שאומר בתקוני זוהר חדש ומתכנשין לגביה כו' ואת אשר איננו פה כו' כך הם עצמם מאירים לעולם:</w:t>
      </w:r>
    </w:p>
  </w:footnote>
  <w:footnote w:id="914">
    <w:p w:rsidR="00A13282" w:rsidRDefault="00A13282" w:rsidP="00D45634">
      <w:pPr>
        <w:pStyle w:val="a5"/>
      </w:pPr>
      <w:r>
        <w:rPr>
          <w:rStyle w:val="a7"/>
        </w:rPr>
        <w:footnoteRef/>
      </w:r>
      <w:r>
        <w:t xml:space="preserve"> </w:t>
      </w:r>
      <w:r>
        <w:rPr>
          <w:rFonts w:ascii="Arial"/>
          <w:b/>
          <w:bCs/>
          <w:sz w:val="38"/>
          <w:rtl/>
        </w:rPr>
        <w:t>ומצדיקי הרבים בי'.</w:t>
      </w:r>
      <w:r>
        <w:rPr>
          <w:rFonts w:ascii="Arial"/>
          <w:sz w:val="38"/>
          <w:rtl/>
        </w:rPr>
        <w:t xml:space="preserve"> רוצה לומר אותן המתכנשין ביה ללמוד אותו כנ"ל:</w:t>
      </w:r>
    </w:p>
  </w:footnote>
  <w:footnote w:id="915">
    <w:p w:rsidR="00A13282" w:rsidRDefault="00A13282" w:rsidP="00D45634">
      <w:pPr>
        <w:pStyle w:val="a5"/>
      </w:pPr>
      <w:r>
        <w:rPr>
          <w:rStyle w:val="a7"/>
        </w:rPr>
        <w:footnoteRef/>
      </w:r>
      <w:r>
        <w:t xml:space="preserve"> </w:t>
      </w:r>
      <w:r>
        <w:rPr>
          <w:rFonts w:ascii="Arial"/>
          <w:b/>
          <w:bCs/>
          <w:sz w:val="38"/>
          <w:rtl/>
        </w:rPr>
        <w:t>יהון נפישין ככוכבים.</w:t>
      </w:r>
      <w:r>
        <w:rPr>
          <w:rFonts w:ascii="Arial"/>
          <w:sz w:val="38"/>
          <w:rtl/>
        </w:rPr>
        <w:t xml:space="preserve"> רוצה לומר לא על עצם אורן של כוכבים, דהא לעיל משמע דכוכבים יותר מאירים מזהר הרקיע:</w:t>
      </w:r>
    </w:p>
  </w:footnote>
  <w:footnote w:id="916">
    <w:p w:rsidR="00A13282" w:rsidRDefault="00A13282" w:rsidP="00D45634">
      <w:pPr>
        <w:pStyle w:val="a5"/>
      </w:pPr>
      <w:r>
        <w:rPr>
          <w:rStyle w:val="a7"/>
        </w:rPr>
        <w:footnoteRef/>
      </w:r>
      <w:r>
        <w:t xml:space="preserve"> </w:t>
      </w:r>
      <w:r>
        <w:rPr>
          <w:rFonts w:ascii="Arial"/>
          <w:b/>
          <w:bCs/>
          <w:sz w:val="38"/>
          <w:rtl/>
        </w:rPr>
        <w:t>לעולם ועד דלא כו'.</w:t>
      </w:r>
      <w:r>
        <w:rPr>
          <w:rFonts w:ascii="Arial"/>
          <w:sz w:val="38"/>
          <w:rtl/>
        </w:rPr>
        <w:t xml:space="preserve"> רוצה לומר כמו שמשא, אף על גב דאתכניש, נהיר בככביא. כן אף על גב דאתכנשו מארי דהאי חבורה, נהיר חבורם בהם לעולם:</w:t>
      </w:r>
    </w:p>
  </w:footnote>
  <w:footnote w:id="917">
    <w:p w:rsidR="00A13282" w:rsidRDefault="00A13282" w:rsidP="00D45634">
      <w:pPr>
        <w:pStyle w:val="a5"/>
      </w:pPr>
      <w:r>
        <w:rPr>
          <w:rStyle w:val="a7"/>
        </w:rPr>
        <w:footnoteRef/>
      </w:r>
      <w:r>
        <w:t xml:space="preserve"> </w:t>
      </w:r>
      <w:r>
        <w:rPr>
          <w:rFonts w:ascii="Arial"/>
          <w:b/>
          <w:bCs/>
          <w:sz w:val="38"/>
          <w:rtl/>
        </w:rPr>
        <w:t>לעלם ולעלמי עלמיא.</w:t>
      </w:r>
      <w:r>
        <w:rPr>
          <w:rFonts w:ascii="Arial"/>
          <w:sz w:val="38"/>
          <w:rtl/>
        </w:rPr>
        <w:t xml:space="preserve"> הוא תרגום של עולם ועד:</w:t>
      </w:r>
    </w:p>
  </w:footnote>
  <w:footnote w:id="918">
    <w:p w:rsidR="00A13282" w:rsidRDefault="00A13282" w:rsidP="00D45634">
      <w:pPr>
        <w:pStyle w:val="a5"/>
      </w:pPr>
      <w:r>
        <w:rPr>
          <w:rStyle w:val="a7"/>
        </w:rPr>
        <w:footnoteRef/>
      </w:r>
      <w:r>
        <w:t xml:space="preserve"> </w:t>
      </w:r>
      <w:r>
        <w:rPr>
          <w:rFonts w:ascii="Arial"/>
          <w:b/>
          <w:bCs/>
          <w:sz w:val="38"/>
          <w:rtl/>
        </w:rPr>
        <w:t>מארי מתיבתא כו'.</w:t>
      </w:r>
      <w:r>
        <w:rPr>
          <w:rFonts w:ascii="Arial"/>
          <w:sz w:val="38"/>
          <w:rtl/>
        </w:rPr>
        <w:t xml:space="preserve"> רוצה לומר ראשי הישיבות של שני המתיבתות, מתיבתא דלעילא ומתיבתא דרקיע, וזה שאומר דלעילא ולתתא:</w:t>
      </w:r>
    </w:p>
  </w:footnote>
  <w:footnote w:id="919">
    <w:p w:rsidR="00A13282" w:rsidRDefault="00A13282" w:rsidP="00D45634">
      <w:pPr>
        <w:pStyle w:val="a5"/>
      </w:pPr>
      <w:r>
        <w:rPr>
          <w:rStyle w:val="a7"/>
        </w:rPr>
        <w:footnoteRef/>
      </w:r>
      <w:r>
        <w:t xml:space="preserve"> </w:t>
      </w:r>
      <w:r>
        <w:rPr>
          <w:rFonts w:ascii="Arial"/>
          <w:b/>
          <w:bCs/>
          <w:sz w:val="38"/>
          <w:rtl/>
        </w:rPr>
        <w:t>רבון עלמין.</w:t>
      </w:r>
      <w:r>
        <w:rPr>
          <w:rFonts w:ascii="Arial"/>
          <w:sz w:val="38"/>
          <w:rtl/>
        </w:rPr>
        <w:t xml:space="preserve"> אין סוף:</w:t>
      </w:r>
    </w:p>
  </w:footnote>
  <w:footnote w:id="920">
    <w:p w:rsidR="00A13282" w:rsidRDefault="00A13282" w:rsidP="00D45634">
      <w:pPr>
        <w:pStyle w:val="a5"/>
      </w:pPr>
      <w:r>
        <w:rPr>
          <w:rStyle w:val="a7"/>
        </w:rPr>
        <w:footnoteRef/>
      </w:r>
      <w:r>
        <w:t xml:space="preserve"> </w:t>
      </w:r>
      <w:r>
        <w:rPr>
          <w:rFonts w:ascii="Arial"/>
          <w:b/>
          <w:bCs/>
          <w:sz w:val="38"/>
          <w:rtl/>
        </w:rPr>
        <w:t>חד ולא בחושבן.</w:t>
      </w:r>
      <w:r>
        <w:rPr>
          <w:rFonts w:ascii="Arial"/>
          <w:sz w:val="38"/>
          <w:rtl/>
        </w:rPr>
        <w:t xml:space="preserve"> רוצה לומר לא כאחד המנין שהוא נכנס בגדר מספר, וכתר עליון נדמה לאחד המנין אעפ"י שאינו מספר מכל מקום נכנס בגדרם, אבל אתה אין שני לך שאינך נדמה לשום ספירה כלל:</w:t>
      </w:r>
    </w:p>
  </w:footnote>
  <w:footnote w:id="921">
    <w:p w:rsidR="00A13282" w:rsidRDefault="00A13282" w:rsidP="00D45634">
      <w:pPr>
        <w:pStyle w:val="a5"/>
      </w:pPr>
      <w:r>
        <w:rPr>
          <w:rStyle w:val="a7"/>
        </w:rPr>
        <w:footnoteRef/>
      </w:r>
      <w:r>
        <w:t xml:space="preserve"> </w:t>
      </w:r>
      <w:r>
        <w:rPr>
          <w:rFonts w:ascii="Arial"/>
          <w:b/>
          <w:bCs/>
          <w:sz w:val="38"/>
          <w:rtl/>
        </w:rPr>
        <w:t>עילאה על כל עילאין סתימא כו'.</w:t>
      </w:r>
      <w:r>
        <w:rPr>
          <w:rFonts w:ascii="Arial"/>
          <w:sz w:val="38"/>
          <w:rtl/>
        </w:rPr>
        <w:t xml:space="preserve"> שיש כמה עולמות הרבה למעלה מן הספירות, סתימין בסתימו, אבל הוא על כולם:</w:t>
      </w:r>
    </w:p>
  </w:footnote>
  <w:footnote w:id="922">
    <w:p w:rsidR="00A13282" w:rsidRDefault="00A13282" w:rsidP="00D45634">
      <w:pPr>
        <w:pStyle w:val="a5"/>
      </w:pPr>
      <w:r>
        <w:rPr>
          <w:rStyle w:val="a7"/>
        </w:rPr>
        <w:footnoteRef/>
      </w:r>
      <w:r>
        <w:t xml:space="preserve"> </w:t>
      </w:r>
      <w:r>
        <w:rPr>
          <w:rFonts w:ascii="Arial"/>
          <w:b/>
          <w:bCs/>
          <w:sz w:val="38"/>
          <w:rtl/>
        </w:rPr>
        <w:t>עשר תיקונין וקרינן כו'.</w:t>
      </w:r>
      <w:r>
        <w:rPr>
          <w:rFonts w:ascii="Arial"/>
          <w:sz w:val="38"/>
          <w:rtl/>
        </w:rPr>
        <w:t xml:space="preserve"> הן פנימיות של כח"ב חג"ת נהי"ם שנקראו גופין לקמן:</w:t>
      </w:r>
    </w:p>
  </w:footnote>
  <w:footnote w:id="923">
    <w:p w:rsidR="00A13282" w:rsidRDefault="00A13282" w:rsidP="00D45634">
      <w:pPr>
        <w:pStyle w:val="a5"/>
      </w:pPr>
      <w:r>
        <w:rPr>
          <w:rStyle w:val="a7"/>
        </w:rPr>
        <w:footnoteRef/>
      </w:r>
      <w:r>
        <w:t xml:space="preserve"> </w:t>
      </w:r>
      <w:r>
        <w:rPr>
          <w:rFonts w:ascii="Arial"/>
          <w:b/>
          <w:bCs/>
          <w:sz w:val="38"/>
          <w:rtl/>
        </w:rPr>
        <w:t>עלמין סתימין כו'.</w:t>
      </w:r>
      <w:r>
        <w:rPr>
          <w:rFonts w:ascii="Arial"/>
          <w:sz w:val="38"/>
          <w:rtl/>
        </w:rPr>
        <w:t xml:space="preserve"> הן גופין ולבושין דבסמוך, שהן אצילות ובריאה, י"ה של השם, נגד חו"ב שהן נסתרות כדלקמן:</w:t>
      </w:r>
    </w:p>
  </w:footnote>
  <w:footnote w:id="924">
    <w:p w:rsidR="00A13282" w:rsidRDefault="00A13282" w:rsidP="00D45634">
      <w:pPr>
        <w:pStyle w:val="a5"/>
      </w:pPr>
      <w:r>
        <w:rPr>
          <w:rStyle w:val="a7"/>
        </w:rPr>
        <w:footnoteRef/>
      </w:r>
      <w:r>
        <w:t xml:space="preserve"> </w:t>
      </w:r>
      <w:r>
        <w:rPr>
          <w:rFonts w:ascii="Arial"/>
          <w:b/>
          <w:bCs/>
          <w:sz w:val="38"/>
          <w:rtl/>
        </w:rPr>
        <w:t>ועלמין דאתגלין.</w:t>
      </w:r>
      <w:r>
        <w:rPr>
          <w:rFonts w:ascii="Arial"/>
          <w:sz w:val="38"/>
          <w:rtl/>
        </w:rPr>
        <w:t xml:space="preserve"> הן יצירה ועשיה, שהן ו"ה של השם, נגד זו"ן שהן נגלות כדלקמן:</w:t>
      </w:r>
    </w:p>
  </w:footnote>
  <w:footnote w:id="925">
    <w:p w:rsidR="00A13282" w:rsidRDefault="00A13282" w:rsidP="00D45634">
      <w:pPr>
        <w:pStyle w:val="a5"/>
      </w:pPr>
      <w:r>
        <w:rPr>
          <w:rStyle w:val="a7"/>
        </w:rPr>
        <w:footnoteRef/>
      </w:r>
      <w:r>
        <w:t xml:space="preserve"> </w:t>
      </w:r>
      <w:r>
        <w:rPr>
          <w:rFonts w:ascii="Arial"/>
          <w:b/>
          <w:bCs/>
          <w:sz w:val="38"/>
          <w:rtl/>
        </w:rPr>
        <w:t>ובהון אתכסיאת כו'.</w:t>
      </w:r>
      <w:r>
        <w:rPr>
          <w:rFonts w:ascii="Arial"/>
          <w:sz w:val="38"/>
          <w:rtl/>
        </w:rPr>
        <w:t xml:space="preserve"> שהן יקר ליקריה:</w:t>
      </w:r>
    </w:p>
  </w:footnote>
  <w:footnote w:id="926">
    <w:p w:rsidR="00A13282" w:rsidRDefault="00A13282" w:rsidP="00D45634">
      <w:pPr>
        <w:pStyle w:val="a5"/>
      </w:pPr>
      <w:r>
        <w:rPr>
          <w:rStyle w:val="a7"/>
        </w:rPr>
        <w:footnoteRef/>
      </w:r>
      <w:r>
        <w:t xml:space="preserve"> </w:t>
      </w:r>
      <w:r>
        <w:rPr>
          <w:rFonts w:ascii="Arial"/>
          <w:b/>
          <w:bCs/>
          <w:sz w:val="38"/>
          <w:rtl/>
        </w:rPr>
        <w:t>דקשיר לון.</w:t>
      </w:r>
      <w:r>
        <w:rPr>
          <w:rFonts w:ascii="Arial"/>
          <w:sz w:val="38"/>
          <w:rtl/>
        </w:rPr>
        <w:t xml:space="preserve"> ספירות של פרצוף אחד:</w:t>
      </w:r>
    </w:p>
  </w:footnote>
  <w:footnote w:id="927">
    <w:p w:rsidR="00A13282" w:rsidRDefault="00A13282" w:rsidP="00D45634">
      <w:pPr>
        <w:pStyle w:val="a5"/>
      </w:pPr>
      <w:r>
        <w:rPr>
          <w:rStyle w:val="a7"/>
        </w:rPr>
        <w:footnoteRef/>
      </w:r>
      <w:r>
        <w:t xml:space="preserve"> </w:t>
      </w:r>
      <w:r>
        <w:rPr>
          <w:rFonts w:ascii="Arial"/>
          <w:b/>
          <w:bCs/>
          <w:sz w:val="38"/>
          <w:rtl/>
        </w:rPr>
        <w:t>ומייחד לון.</w:t>
      </w:r>
      <w:r>
        <w:rPr>
          <w:rFonts w:ascii="Arial"/>
          <w:sz w:val="38"/>
          <w:rtl/>
        </w:rPr>
        <w:t xml:space="preserve"> הפרצופים ליחד:</w:t>
      </w:r>
    </w:p>
  </w:footnote>
  <w:footnote w:id="928">
    <w:p w:rsidR="00A13282" w:rsidRDefault="00A13282" w:rsidP="00D45634">
      <w:pPr>
        <w:pStyle w:val="a5"/>
      </w:pPr>
      <w:r>
        <w:rPr>
          <w:rStyle w:val="a7"/>
        </w:rPr>
        <w:footnoteRef/>
      </w:r>
      <w:r>
        <w:t xml:space="preserve"> </w:t>
      </w:r>
      <w:r>
        <w:rPr>
          <w:rFonts w:ascii="Arial"/>
          <w:b/>
          <w:bCs/>
          <w:sz w:val="38"/>
          <w:rtl/>
        </w:rPr>
        <w:t>כסדרן חד אריך כו'.</w:t>
      </w:r>
      <w:r>
        <w:rPr>
          <w:rFonts w:ascii="Arial"/>
          <w:sz w:val="38"/>
          <w:rtl/>
        </w:rPr>
        <w:t xml:space="preserve"> רוצה לומר, חסד ודין ורחמים. גדולה - חסד, גבורה - דין, ת"ת - רחמים, וכן כולם כסדר:</w:t>
      </w:r>
    </w:p>
  </w:footnote>
  <w:footnote w:id="929">
    <w:p w:rsidR="00A13282" w:rsidRDefault="00A13282" w:rsidP="00D45634">
      <w:pPr>
        <w:pStyle w:val="a5"/>
      </w:pPr>
      <w:r>
        <w:rPr>
          <w:rStyle w:val="a7"/>
        </w:rPr>
        <w:footnoteRef/>
      </w:r>
      <w:r>
        <w:t xml:space="preserve"> </w:t>
      </w:r>
      <w:r>
        <w:rPr>
          <w:rFonts w:ascii="Arial"/>
          <w:b/>
          <w:bCs/>
          <w:sz w:val="38"/>
          <w:rtl/>
        </w:rPr>
        <w:t>ואנת כו' ולית כו'.</w:t>
      </w:r>
      <w:r>
        <w:rPr>
          <w:rFonts w:ascii="Arial"/>
          <w:sz w:val="38"/>
          <w:rtl/>
        </w:rPr>
        <w:t xml:space="preserve"> רוצה לומר, אע"פ שזה חסד וזה דין ואנת מלגאו, אינן מכריחים אותך לעשות כמדתן אלא הכל ברצונך:</w:t>
      </w:r>
    </w:p>
  </w:footnote>
  <w:footnote w:id="930">
    <w:p w:rsidR="00A13282" w:rsidRDefault="00A13282" w:rsidP="00D45634">
      <w:pPr>
        <w:pStyle w:val="a5"/>
      </w:pPr>
      <w:r>
        <w:rPr>
          <w:rStyle w:val="a7"/>
        </w:rPr>
        <w:footnoteRef/>
      </w:r>
      <w:r>
        <w:t xml:space="preserve"> </w:t>
      </w:r>
      <w:r>
        <w:rPr>
          <w:rFonts w:ascii="Arial"/>
          <w:b/>
          <w:bCs/>
          <w:sz w:val="38"/>
          <w:rtl/>
        </w:rPr>
        <w:t>ולא לתתא.</w:t>
      </w:r>
      <w:r>
        <w:rPr>
          <w:rFonts w:ascii="Arial"/>
          <w:sz w:val="38"/>
          <w:rtl/>
        </w:rPr>
        <w:t xml:space="preserve"> רוצה לומר אף הספירה שלמטה שאתה מתיחד בה, הספירה של מעלה ממנה אין מכריחה:</w:t>
      </w:r>
    </w:p>
  </w:footnote>
  <w:footnote w:id="931">
    <w:p w:rsidR="00A13282" w:rsidRDefault="00A13282" w:rsidP="00D45634">
      <w:pPr>
        <w:pStyle w:val="a5"/>
      </w:pPr>
      <w:r>
        <w:rPr>
          <w:rStyle w:val="a7"/>
        </w:rPr>
        <w:footnoteRef/>
      </w:r>
      <w:r>
        <w:t xml:space="preserve"> </w:t>
      </w:r>
      <w:r>
        <w:rPr>
          <w:rFonts w:ascii="Arial"/>
          <w:b/>
          <w:bCs/>
          <w:sz w:val="38"/>
          <w:rtl/>
        </w:rPr>
        <w:t>ולא מכל סטרא.</w:t>
      </w:r>
      <w:r>
        <w:rPr>
          <w:rFonts w:ascii="Arial"/>
          <w:sz w:val="38"/>
          <w:rtl/>
        </w:rPr>
        <w:t xml:space="preserve"> הן ו"ק שהעולם מתנהג בהן:</w:t>
      </w:r>
    </w:p>
  </w:footnote>
  <w:footnote w:id="932">
    <w:p w:rsidR="00A13282" w:rsidRDefault="00A13282" w:rsidP="00D45634">
      <w:pPr>
        <w:pStyle w:val="a5"/>
      </w:pPr>
      <w:r>
        <w:rPr>
          <w:rStyle w:val="a7"/>
        </w:rPr>
        <w:footnoteRef/>
      </w:r>
      <w:r>
        <w:t xml:space="preserve"> </w:t>
      </w:r>
      <w:r>
        <w:rPr>
          <w:rFonts w:ascii="Arial"/>
          <w:b/>
          <w:bCs/>
          <w:sz w:val="38"/>
          <w:rtl/>
        </w:rPr>
        <w:t>ועל אלין תרין כו'.</w:t>
      </w:r>
      <w:r>
        <w:rPr>
          <w:rFonts w:ascii="Arial"/>
          <w:sz w:val="38"/>
          <w:rtl/>
        </w:rPr>
        <w:t xml:space="preserve"> רוצה לומר שכל הספירות הן מלבר והן מלגאו:</w:t>
      </w:r>
    </w:p>
  </w:footnote>
  <w:footnote w:id="933">
    <w:p w:rsidR="00A13282" w:rsidRDefault="00A13282" w:rsidP="00D45634">
      <w:pPr>
        <w:pStyle w:val="a5"/>
      </w:pPr>
      <w:r>
        <w:rPr>
          <w:rStyle w:val="a7"/>
        </w:rPr>
        <w:footnoteRef/>
      </w:r>
      <w:r>
        <w:t xml:space="preserve"> </w:t>
      </w:r>
      <w:r>
        <w:rPr>
          <w:rFonts w:ascii="Arial"/>
          <w:b/>
          <w:bCs/>
          <w:sz w:val="38"/>
          <w:rtl/>
        </w:rPr>
        <w:t>לה' אלקינו.</w:t>
      </w:r>
      <w:r>
        <w:rPr>
          <w:rFonts w:ascii="Arial"/>
          <w:sz w:val="38"/>
          <w:rtl/>
        </w:rPr>
        <w:t xml:space="preserve"> הן חו"ב:</w:t>
      </w:r>
    </w:p>
  </w:footnote>
  <w:footnote w:id="934">
    <w:p w:rsidR="00A13282" w:rsidRDefault="00A13282" w:rsidP="00D45634">
      <w:pPr>
        <w:pStyle w:val="a5"/>
      </w:pPr>
      <w:r>
        <w:rPr>
          <w:rStyle w:val="a7"/>
        </w:rPr>
        <w:footnoteRef/>
      </w:r>
      <w:r>
        <w:t xml:space="preserve"> </w:t>
      </w:r>
      <w:r>
        <w:rPr>
          <w:rFonts w:ascii="Arial"/>
          <w:b/>
          <w:bCs/>
          <w:sz w:val="38"/>
          <w:rtl/>
        </w:rPr>
        <w:t>איהו כתר מלכות.</w:t>
      </w:r>
      <w:r>
        <w:rPr>
          <w:rFonts w:ascii="Arial"/>
          <w:sz w:val="38"/>
          <w:rtl/>
        </w:rPr>
        <w:t xml:space="preserve"> רוצה לומר, כתר שעל גבי המלכים, והוא אינו מכלל הגוף, כי הוא מלכות של עולם שלמעלה מהם. וזה שאומר מגיד מראשית אחרית:</w:t>
      </w:r>
    </w:p>
  </w:footnote>
  <w:footnote w:id="935">
    <w:p w:rsidR="00A13282" w:rsidRDefault="00A13282" w:rsidP="00D45634">
      <w:pPr>
        <w:pStyle w:val="a5"/>
      </w:pPr>
      <w:r>
        <w:rPr>
          <w:rStyle w:val="a7"/>
        </w:rPr>
        <w:footnoteRef/>
      </w:r>
      <w:r>
        <w:t xml:space="preserve"> </w:t>
      </w:r>
      <w:r>
        <w:rPr>
          <w:rFonts w:ascii="Arial"/>
          <w:b/>
          <w:bCs/>
          <w:sz w:val="38"/>
          <w:rtl/>
        </w:rPr>
        <w:t>ואיהו קרקפתא דתפילין.</w:t>
      </w:r>
      <w:r>
        <w:rPr>
          <w:rFonts w:ascii="Arial"/>
          <w:sz w:val="38"/>
          <w:rtl/>
        </w:rPr>
        <w:t xml:space="preserve"> רוצה לומר, גלגולת שעליה התפילין, וזה שאומר לעיל כתר תפילין, דתפילין הוא יקו"ק, שהוא מחכמה ולמטה, והוא על גביו:</w:t>
      </w:r>
    </w:p>
  </w:footnote>
  <w:footnote w:id="936">
    <w:p w:rsidR="00A13282" w:rsidRDefault="00A13282" w:rsidP="00D45634">
      <w:pPr>
        <w:pStyle w:val="a5"/>
      </w:pPr>
      <w:r>
        <w:rPr>
          <w:rStyle w:val="a7"/>
        </w:rPr>
        <w:footnoteRef/>
      </w:r>
      <w:r>
        <w:t xml:space="preserve"> </w:t>
      </w:r>
      <w:r>
        <w:rPr>
          <w:rFonts w:ascii="Arial"/>
          <w:b/>
          <w:bCs/>
          <w:sz w:val="38"/>
          <w:rtl/>
        </w:rPr>
        <w:t>לאשתמודעא בהון עלאין.</w:t>
      </w:r>
      <w:r>
        <w:rPr>
          <w:rFonts w:ascii="Arial"/>
          <w:sz w:val="38"/>
          <w:rtl/>
        </w:rPr>
        <w:t xml:space="preserve"> שמן התחתונים יכירו העליונים, כמו שאומר לעיל בדיוקנא וחותם בשעוה:</w:t>
      </w:r>
    </w:p>
  </w:footnote>
  <w:footnote w:id="937">
    <w:p w:rsidR="00A13282" w:rsidRDefault="00A13282" w:rsidP="00D45634">
      <w:pPr>
        <w:pStyle w:val="a5"/>
      </w:pPr>
      <w:r>
        <w:rPr>
          <w:rStyle w:val="a7"/>
        </w:rPr>
        <w:footnoteRef/>
      </w:r>
      <w:r>
        <w:t xml:space="preserve"> </w:t>
      </w:r>
      <w:r>
        <w:rPr>
          <w:rFonts w:ascii="Arial"/>
          <w:b/>
          <w:bCs/>
          <w:sz w:val="38"/>
          <w:rtl/>
        </w:rPr>
        <w:t>ואיך יתנהגון כו'.</w:t>
      </w:r>
      <w:r>
        <w:rPr>
          <w:rFonts w:ascii="Arial"/>
          <w:sz w:val="38"/>
          <w:rtl/>
        </w:rPr>
        <w:t xml:space="preserve"> רוצה לומר שבתחתונים, בעולם הזה, מכירין בשינוייהם והתהפכותם, מכירין היאך עולמות עליונים ותחתונים מנהיגין אותן:</w:t>
      </w:r>
    </w:p>
  </w:footnote>
  <w:footnote w:id="938">
    <w:p w:rsidR="00A13282" w:rsidRDefault="00A13282" w:rsidP="00D45634">
      <w:pPr>
        <w:pStyle w:val="a5"/>
      </w:pPr>
      <w:r>
        <w:rPr>
          <w:rStyle w:val="a7"/>
        </w:rPr>
        <w:footnoteRef/>
      </w:r>
      <w:r>
        <w:t xml:space="preserve"> </w:t>
      </w:r>
      <w:r>
        <w:rPr>
          <w:rFonts w:ascii="Arial"/>
          <w:b/>
          <w:bCs/>
          <w:sz w:val="38"/>
          <w:rtl/>
        </w:rPr>
        <w:t>ואיך אשתמודעא כו'.</w:t>
      </w:r>
      <w:r>
        <w:rPr>
          <w:rFonts w:ascii="Arial"/>
          <w:sz w:val="38"/>
          <w:rtl/>
        </w:rPr>
        <w:t xml:space="preserve"> רוצה לומר להכיר כבודו בעליונים ותחתונים:</w:t>
      </w:r>
    </w:p>
  </w:footnote>
  <w:footnote w:id="939">
    <w:p w:rsidR="00A13282" w:rsidRDefault="00A13282" w:rsidP="00D45634">
      <w:pPr>
        <w:pStyle w:val="a5"/>
      </w:pPr>
      <w:r>
        <w:rPr>
          <w:rStyle w:val="a7"/>
        </w:rPr>
        <w:footnoteRef/>
      </w:r>
      <w:r>
        <w:t xml:space="preserve"> </w:t>
      </w:r>
      <w:r>
        <w:rPr>
          <w:rFonts w:ascii="Arial"/>
          <w:b/>
          <w:bCs/>
          <w:sz w:val="38"/>
          <w:rtl/>
        </w:rPr>
        <w:t>ואנת אשתמודעא כו'.</w:t>
      </w:r>
      <w:r>
        <w:rPr>
          <w:rFonts w:ascii="Arial"/>
          <w:sz w:val="38"/>
          <w:rtl/>
        </w:rPr>
        <w:t xml:space="preserve"> שאין מכירין מהותו אלא מציאותו, שהוא אדון הכל:</w:t>
      </w:r>
    </w:p>
  </w:footnote>
  <w:footnote w:id="940">
    <w:p w:rsidR="00A13282" w:rsidRDefault="00A13282" w:rsidP="00D45634">
      <w:pPr>
        <w:pStyle w:val="a5"/>
      </w:pPr>
      <w:r>
        <w:rPr>
          <w:rStyle w:val="a7"/>
        </w:rPr>
        <w:footnoteRef/>
      </w:r>
      <w:r>
        <w:t xml:space="preserve"> </w:t>
      </w:r>
      <w:r>
        <w:rPr>
          <w:rFonts w:ascii="Arial"/>
          <w:b/>
          <w:bCs/>
          <w:sz w:val="38"/>
          <w:rtl/>
        </w:rPr>
        <w:t>אלא לאשתמודעא כו'.</w:t>
      </w:r>
      <w:r>
        <w:rPr>
          <w:rFonts w:ascii="Arial"/>
          <w:sz w:val="38"/>
          <w:rtl/>
        </w:rPr>
        <w:t xml:space="preserve"> רוצה לומר שאינו מנהיג בספירות אלא להכירו, ולידע שכפי שאדם מודד מודדין לו, שיש על הכל מדה ידועה והוא מעניש ומשלם שכר בהם:</w:t>
      </w:r>
    </w:p>
  </w:footnote>
  <w:footnote w:id="941">
    <w:p w:rsidR="00A13282" w:rsidRDefault="00A13282" w:rsidP="00D45634">
      <w:pPr>
        <w:pStyle w:val="a5"/>
      </w:pPr>
      <w:r>
        <w:rPr>
          <w:rStyle w:val="a7"/>
        </w:rPr>
        <w:footnoteRef/>
      </w:r>
      <w:r>
        <w:t xml:space="preserve"> </w:t>
      </w:r>
      <w:r>
        <w:rPr>
          <w:rFonts w:ascii="Arial"/>
          <w:b/>
          <w:bCs/>
          <w:sz w:val="38"/>
          <w:rtl/>
        </w:rPr>
        <w:t>דאינון צדק ומשפט.</w:t>
      </w:r>
      <w:r>
        <w:rPr>
          <w:rFonts w:ascii="Arial"/>
          <w:sz w:val="38"/>
          <w:rtl/>
        </w:rPr>
        <w:t xml:space="preserve"> שמלכות הוא בית דין דלתתא, ות"ת הוא רחמים:</w:t>
      </w:r>
    </w:p>
  </w:footnote>
  <w:footnote w:id="942">
    <w:p w:rsidR="00A13282" w:rsidRDefault="00A13282" w:rsidP="00D45634">
      <w:pPr>
        <w:pStyle w:val="a5"/>
      </w:pPr>
      <w:r>
        <w:rPr>
          <w:rStyle w:val="a7"/>
        </w:rPr>
        <w:footnoteRef/>
      </w:r>
      <w:r>
        <w:t xml:space="preserve"> </w:t>
      </w:r>
      <w:r>
        <w:rPr>
          <w:rFonts w:ascii="Arial"/>
          <w:b/>
          <w:bCs/>
          <w:sz w:val="38"/>
          <w:rtl/>
        </w:rPr>
        <w:t>מאזני צדק כו'.</w:t>
      </w:r>
      <w:r>
        <w:rPr>
          <w:rFonts w:ascii="Arial"/>
          <w:sz w:val="38"/>
          <w:rtl/>
        </w:rPr>
        <w:t xml:space="preserve"> כי נה"י משמשים למלכות בסוד תרין ביעין ואמה, ונקראו מאזני צדק שהן מכריעין לימין ולשמאל:</w:t>
      </w:r>
    </w:p>
  </w:footnote>
  <w:footnote w:id="943">
    <w:p w:rsidR="00A13282" w:rsidRDefault="00A13282" w:rsidP="00D45634">
      <w:pPr>
        <w:pStyle w:val="a5"/>
      </w:pPr>
      <w:r>
        <w:rPr>
          <w:rStyle w:val="a7"/>
        </w:rPr>
        <w:footnoteRef/>
      </w:r>
      <w:r>
        <w:t xml:space="preserve"> </w:t>
      </w:r>
      <w:r>
        <w:rPr>
          <w:rFonts w:ascii="Arial"/>
          <w:b/>
          <w:bCs/>
          <w:sz w:val="38"/>
          <w:rtl/>
        </w:rPr>
        <w:t>הין צדק כו'.</w:t>
      </w:r>
      <w:r>
        <w:rPr>
          <w:rFonts w:ascii="Arial"/>
          <w:sz w:val="38"/>
          <w:rtl/>
        </w:rPr>
        <w:t xml:space="preserve"> שעליו נאמר שמן משחת קודש יהיה זה כו', שמן דנפיק ממוחא שהוא קדש, יהיה זה - יסוד, ואתמלא צדק מיניה, ונאמר בו ושמן זית הין:</w:t>
      </w:r>
    </w:p>
  </w:footnote>
  <w:footnote w:id="944">
    <w:p w:rsidR="00A13282" w:rsidRDefault="00A13282" w:rsidP="00D45634">
      <w:pPr>
        <w:pStyle w:val="a5"/>
      </w:pPr>
      <w:r>
        <w:rPr>
          <w:rStyle w:val="a7"/>
        </w:rPr>
        <w:footnoteRef/>
      </w:r>
      <w:r>
        <w:t xml:space="preserve"> </w:t>
      </w:r>
      <w:r>
        <w:rPr>
          <w:rFonts w:ascii="Arial"/>
          <w:b/>
          <w:bCs/>
          <w:sz w:val="38"/>
          <w:rtl/>
        </w:rPr>
        <w:t>ואמר לך ה' כו'.</w:t>
      </w:r>
      <w:r>
        <w:rPr>
          <w:rFonts w:ascii="Arial"/>
          <w:sz w:val="38"/>
          <w:rtl/>
        </w:rPr>
        <w:t xml:space="preserve"> שבפסוק זה ז' ספירות תחתונות שבהן מתנהג העולם:</w:t>
      </w:r>
    </w:p>
  </w:footnote>
  <w:footnote w:id="945">
    <w:p w:rsidR="00A13282" w:rsidRDefault="00A13282" w:rsidP="00D45634">
      <w:pPr>
        <w:pStyle w:val="a5"/>
      </w:pPr>
      <w:r>
        <w:rPr>
          <w:rStyle w:val="a7"/>
        </w:rPr>
        <w:footnoteRef/>
      </w:r>
      <w:r>
        <w:t xml:space="preserve"> </w:t>
      </w:r>
      <w:r>
        <w:rPr>
          <w:rFonts w:ascii="Arial"/>
          <w:b/>
          <w:bCs/>
          <w:sz w:val="38"/>
          <w:rtl/>
        </w:rPr>
        <w:t>מיד יהיבה כו'.</w:t>
      </w:r>
      <w:r>
        <w:rPr>
          <w:rFonts w:ascii="Arial"/>
          <w:sz w:val="38"/>
          <w:rtl/>
        </w:rPr>
        <w:t xml:space="preserve"> רוצה לומר בזמן הגאולה:</w:t>
      </w:r>
    </w:p>
  </w:footnote>
  <w:footnote w:id="946">
    <w:p w:rsidR="00A13282" w:rsidRDefault="00A13282" w:rsidP="00D45634">
      <w:pPr>
        <w:pStyle w:val="a5"/>
      </w:pPr>
      <w:r>
        <w:rPr>
          <w:rStyle w:val="a7"/>
        </w:rPr>
        <w:footnoteRef/>
      </w:r>
      <w:r>
        <w:t xml:space="preserve"> </w:t>
      </w:r>
      <w:r>
        <w:rPr>
          <w:rFonts w:ascii="Arial"/>
          <w:b/>
          <w:bCs/>
          <w:sz w:val="38"/>
          <w:rtl/>
        </w:rPr>
        <w:t>תלת קלין.</w:t>
      </w:r>
      <w:r>
        <w:rPr>
          <w:rFonts w:ascii="Arial"/>
          <w:sz w:val="38"/>
          <w:rtl/>
        </w:rPr>
        <w:t xml:space="preserve"> מסטרא דתלת אבהן שרעיא מהימנא כלול מהן:</w:t>
      </w:r>
    </w:p>
  </w:footnote>
  <w:footnote w:id="947">
    <w:p w:rsidR="00A13282" w:rsidRDefault="00A13282" w:rsidP="00D45634">
      <w:pPr>
        <w:pStyle w:val="a5"/>
      </w:pPr>
      <w:r>
        <w:rPr>
          <w:rStyle w:val="a7"/>
        </w:rPr>
        <w:footnoteRef/>
      </w:r>
      <w:r>
        <w:t xml:space="preserve"> </w:t>
      </w:r>
      <w:r>
        <w:rPr>
          <w:rFonts w:ascii="Arial"/>
          <w:b/>
          <w:bCs/>
          <w:sz w:val="38"/>
          <w:rtl/>
        </w:rPr>
        <w:t>קול דודי כו'.</w:t>
      </w:r>
      <w:r>
        <w:rPr>
          <w:rFonts w:ascii="Arial"/>
          <w:sz w:val="38"/>
          <w:rtl/>
        </w:rPr>
        <w:t xml:space="preserve"> רוצה לומר הקב"ה, ת"ת, וזהו ולבי ער:</w:t>
      </w:r>
    </w:p>
  </w:footnote>
  <w:footnote w:id="948">
    <w:p w:rsidR="00A13282" w:rsidRDefault="00A13282" w:rsidP="00D45634">
      <w:pPr>
        <w:pStyle w:val="a5"/>
      </w:pPr>
      <w:r>
        <w:rPr>
          <w:rStyle w:val="a7"/>
        </w:rPr>
        <w:footnoteRef/>
      </w:r>
      <w:r>
        <w:t xml:space="preserve"> </w:t>
      </w:r>
      <w:r>
        <w:rPr>
          <w:rFonts w:ascii="Arial"/>
          <w:b/>
          <w:bCs/>
          <w:sz w:val="38"/>
          <w:rtl/>
        </w:rPr>
        <w:t>אחותי כו'.</w:t>
      </w:r>
      <w:r>
        <w:rPr>
          <w:rFonts w:ascii="Arial"/>
          <w:sz w:val="38"/>
          <w:rtl/>
        </w:rPr>
        <w:t xml:space="preserve"> ד' שמות כנגד ד' אותיות. אחותי - מסטרא דחכמה, שנאמר אמור לחכמה אחותי את. רעיתי - כנגד בינה, שחו"ב הן רעים דלא מתפרשין, ועליהם נאמר אכלו רעים. ובינה נקראת רעיתי, נקבה. יונתי - מסטרא דת"ת, כמו שאומר לקמן דף י"ט שכינתא מסטרא דנער - יונה. תמתי - מסטרא דמלכות, שעלה נאמר ומום אין בך ונאמר תם עונך כו' בהאי זמנא, וזה שאומר דהא תם כו':</w:t>
      </w:r>
    </w:p>
  </w:footnote>
  <w:footnote w:id="949">
    <w:p w:rsidR="00A13282" w:rsidRDefault="00A13282" w:rsidP="00D45634">
      <w:pPr>
        <w:pStyle w:val="a5"/>
      </w:pPr>
      <w:r>
        <w:rPr>
          <w:rStyle w:val="a7"/>
        </w:rPr>
        <w:footnoteRef/>
      </w:r>
      <w:r>
        <w:t xml:space="preserve"> </w:t>
      </w:r>
      <w:r>
        <w:rPr>
          <w:rFonts w:ascii="Arial"/>
          <w:b/>
          <w:bCs/>
          <w:sz w:val="38"/>
          <w:rtl/>
        </w:rPr>
        <w:t>בביתא דילי כו'.</w:t>
      </w:r>
      <w:r>
        <w:rPr>
          <w:rFonts w:ascii="Arial"/>
          <w:sz w:val="38"/>
          <w:rtl/>
        </w:rPr>
        <w:t xml:space="preserve"> הן דיורין דקב"ה למעלה שכנגדן בית המקדש למטה:</w:t>
      </w:r>
    </w:p>
  </w:footnote>
  <w:footnote w:id="950">
    <w:p w:rsidR="00A13282" w:rsidRDefault="00A13282" w:rsidP="00D45634">
      <w:pPr>
        <w:pStyle w:val="a5"/>
      </w:pPr>
      <w:r>
        <w:rPr>
          <w:rStyle w:val="a7"/>
        </w:rPr>
        <w:footnoteRef/>
      </w:r>
      <w:r>
        <w:t xml:space="preserve"> </w:t>
      </w:r>
      <w:r>
        <w:rPr>
          <w:rFonts w:ascii="Arial"/>
          <w:b/>
          <w:bCs/>
          <w:sz w:val="38"/>
          <w:rtl/>
        </w:rPr>
        <w:t>הרי לך סימנא כו'.</w:t>
      </w:r>
      <w:r>
        <w:rPr>
          <w:rFonts w:ascii="Arial"/>
          <w:sz w:val="38"/>
          <w:rtl/>
        </w:rPr>
        <w:t xml:space="preserve"> שלא נכנס להשפיע בהם:</w:t>
      </w:r>
    </w:p>
  </w:footnote>
  <w:footnote w:id="951">
    <w:p w:rsidR="00A13282" w:rsidRDefault="00A13282" w:rsidP="00D45634">
      <w:pPr>
        <w:pStyle w:val="a5"/>
      </w:pPr>
      <w:r>
        <w:rPr>
          <w:rStyle w:val="a7"/>
        </w:rPr>
        <w:footnoteRef/>
      </w:r>
      <w:r>
        <w:t xml:space="preserve"> </w:t>
      </w:r>
      <w:r>
        <w:rPr>
          <w:rFonts w:ascii="Arial"/>
          <w:b/>
          <w:bCs/>
          <w:sz w:val="38"/>
          <w:rtl/>
        </w:rPr>
        <w:t>מיד קם כו'.</w:t>
      </w:r>
      <w:r>
        <w:rPr>
          <w:rFonts w:ascii="Arial"/>
          <w:sz w:val="38"/>
          <w:rtl/>
        </w:rPr>
        <w:t xml:space="preserve"> רוצה לומר באותו הזמן:</w:t>
      </w:r>
    </w:p>
  </w:footnote>
  <w:footnote w:id="952">
    <w:p w:rsidR="00A13282" w:rsidRDefault="00A13282" w:rsidP="00D45634">
      <w:pPr>
        <w:pStyle w:val="a5"/>
      </w:pPr>
      <w:r>
        <w:rPr>
          <w:rStyle w:val="a7"/>
        </w:rPr>
        <w:footnoteRef/>
      </w:r>
      <w:r>
        <w:t xml:space="preserve"> </w:t>
      </w:r>
      <w:r>
        <w:rPr>
          <w:rFonts w:ascii="Arial"/>
          <w:b/>
          <w:bCs/>
          <w:sz w:val="38"/>
          <w:rtl/>
        </w:rPr>
        <w:t>ר"מ ואבהן.</w:t>
      </w:r>
      <w:r>
        <w:rPr>
          <w:rFonts w:ascii="Arial"/>
          <w:sz w:val="38"/>
          <w:rtl/>
        </w:rPr>
        <w:t xml:space="preserve"> שהן ד' אותיות יקוק כמו שאומר בתיקונים שמשה רבינו עליו השלום השלים שם הוי'. שהיה באבהן יה"ו לבד. וזה שאומר ושמי ה' לא כו' עיין שם:</w:t>
      </w:r>
    </w:p>
  </w:footnote>
  <w:footnote w:id="953">
    <w:p w:rsidR="00A13282" w:rsidRDefault="00A13282" w:rsidP="00D45634">
      <w:pPr>
        <w:pStyle w:val="a5"/>
      </w:pPr>
      <w:r>
        <w:rPr>
          <w:rStyle w:val="a7"/>
        </w:rPr>
        <w:footnoteRef/>
      </w:r>
      <w:r>
        <w:t xml:space="preserve"> </w:t>
      </w:r>
      <w:r>
        <w:rPr>
          <w:rFonts w:ascii="Arial"/>
          <w:b/>
          <w:bCs/>
          <w:sz w:val="38"/>
          <w:rtl/>
        </w:rPr>
        <w:t>בהאי פרשתא.</w:t>
      </w:r>
      <w:r>
        <w:rPr>
          <w:rFonts w:ascii="Arial"/>
          <w:sz w:val="38"/>
          <w:rtl/>
        </w:rPr>
        <w:t xml:space="preserve"> רוצה לומר בראשית של אותה הפרשה:</w:t>
      </w:r>
    </w:p>
  </w:footnote>
  <w:footnote w:id="954">
    <w:p w:rsidR="00A13282" w:rsidRDefault="00A13282">
      <w:pPr>
        <w:pStyle w:val="a5"/>
        <w:rPr>
          <w:rtl/>
        </w:rPr>
      </w:pPr>
      <w:r>
        <w:rPr>
          <w:rStyle w:val="a7"/>
          <w:rtl/>
        </w:rPr>
        <w:footnoteRef/>
      </w:r>
      <w:r>
        <w:rPr>
          <w:rtl/>
        </w:rPr>
        <w:t xml:space="preserve"> </w:t>
      </w:r>
      <w:r>
        <w:rPr>
          <w:b/>
          <w:bCs/>
          <w:rtl/>
        </w:rPr>
        <w:t>ב' ראשית.</w:t>
      </w:r>
      <w:r>
        <w:rPr>
          <w:rtl/>
        </w:rPr>
        <w:t xml:space="preserve"> רוצה לומר שב' - מלכות, כמו שאומר לקמן, הוא ראשית לכל, כמו שאומר לעיל, דלית רשו לכל נביא כו' וזה שכתוב זה השער כו':</w:t>
      </w:r>
    </w:p>
  </w:footnote>
  <w:footnote w:id="955">
    <w:p w:rsidR="00A13282" w:rsidRDefault="00A13282">
      <w:pPr>
        <w:pStyle w:val="a5"/>
        <w:rPr>
          <w:rtl/>
        </w:rPr>
      </w:pPr>
      <w:r>
        <w:rPr>
          <w:rStyle w:val="a7"/>
          <w:rtl/>
        </w:rPr>
        <w:footnoteRef/>
      </w:r>
      <w:r>
        <w:rPr>
          <w:rtl/>
        </w:rPr>
        <w:t xml:space="preserve"> </w:t>
      </w:r>
      <w:r>
        <w:rPr>
          <w:b/>
          <w:bCs/>
          <w:rtl/>
        </w:rPr>
        <w:t>יבאו בו דא כו'.</w:t>
      </w:r>
      <w:r>
        <w:rPr>
          <w:rtl/>
        </w:rPr>
        <w:t xml:space="preserve"> מפרש סיפא דקרא:</w:t>
      </w:r>
    </w:p>
  </w:footnote>
  <w:footnote w:id="956">
    <w:p w:rsidR="00A13282" w:rsidRDefault="00A13282">
      <w:pPr>
        <w:pStyle w:val="a5"/>
        <w:rPr>
          <w:rtl/>
        </w:rPr>
      </w:pPr>
      <w:r>
        <w:rPr>
          <w:rStyle w:val="a7"/>
          <w:rtl/>
        </w:rPr>
        <w:footnoteRef/>
      </w:r>
      <w:r>
        <w:rPr>
          <w:rtl/>
        </w:rPr>
        <w:t xml:space="preserve"> </w:t>
      </w:r>
      <w:r>
        <w:rPr>
          <w:b/>
          <w:bCs/>
          <w:rtl/>
        </w:rPr>
        <w:t>בה רשימין כו'.</w:t>
      </w:r>
      <w:r>
        <w:rPr>
          <w:rtl/>
        </w:rPr>
        <w:t xml:space="preserve"> רוצה לומר שהיא ראשית לעליונים ותחתונים, ואיהי ב' - אוצרא דכלא, כמו שאומר לקמן, ורוצה לומר לכך נקראת ב' לשון בית שהוא בית קיבול לכולם:</w:t>
      </w:r>
    </w:p>
  </w:footnote>
  <w:footnote w:id="957">
    <w:p w:rsidR="00A13282" w:rsidRDefault="00A13282">
      <w:pPr>
        <w:pStyle w:val="a5"/>
        <w:rPr>
          <w:rtl/>
        </w:rPr>
      </w:pPr>
      <w:r>
        <w:rPr>
          <w:rStyle w:val="a7"/>
          <w:rtl/>
        </w:rPr>
        <w:footnoteRef/>
      </w:r>
      <w:r>
        <w:rPr>
          <w:rtl/>
        </w:rPr>
        <w:t xml:space="preserve"> </w:t>
      </w:r>
      <w:r>
        <w:rPr>
          <w:b/>
          <w:bCs/>
          <w:rtl/>
        </w:rPr>
        <w:t>רשימין ומצויירין ומתחקקין.</w:t>
      </w:r>
      <w:r>
        <w:rPr>
          <w:rtl/>
        </w:rPr>
        <w:t xml:space="preserve"> כמו שאומר לעיל שיש דיוקנין וחותם ורשימו, וזה רשימו, ומצד החותם מצויירין, ומצד הדיוקנין מתחקקין כו', דחותם הכל בה מצד העליונים ותחתונים:</w:t>
      </w:r>
    </w:p>
  </w:footnote>
  <w:footnote w:id="958">
    <w:p w:rsidR="00A13282" w:rsidRDefault="00A13282">
      <w:pPr>
        <w:pStyle w:val="a5"/>
        <w:rPr>
          <w:rtl/>
        </w:rPr>
      </w:pPr>
      <w:r>
        <w:rPr>
          <w:rStyle w:val="a7"/>
          <w:rtl/>
        </w:rPr>
        <w:footnoteRef/>
      </w:r>
      <w:r>
        <w:rPr>
          <w:rtl/>
        </w:rPr>
        <w:t xml:space="preserve"> </w:t>
      </w:r>
      <w:r>
        <w:rPr>
          <w:b/>
          <w:bCs/>
          <w:rtl/>
        </w:rPr>
        <w:t>ותתאין.</w:t>
      </w:r>
      <w:r>
        <w:rPr>
          <w:rtl/>
        </w:rPr>
        <w:t xml:space="preserve"> ג' עולמות בי"ע:</w:t>
      </w:r>
    </w:p>
  </w:footnote>
  <w:footnote w:id="959">
    <w:p w:rsidR="00A13282" w:rsidRDefault="00A13282">
      <w:pPr>
        <w:pStyle w:val="a5"/>
        <w:rPr>
          <w:rtl/>
        </w:rPr>
      </w:pPr>
      <w:r>
        <w:rPr>
          <w:rStyle w:val="a7"/>
          <w:rtl/>
        </w:rPr>
        <w:footnoteRef/>
      </w:r>
      <w:r>
        <w:rPr>
          <w:rtl/>
        </w:rPr>
        <w:t xml:space="preserve"> </w:t>
      </w:r>
      <w:r>
        <w:rPr>
          <w:b/>
          <w:bCs/>
          <w:rtl/>
        </w:rPr>
        <w:t>ואיהו דמות אדם רשימא כו'.</w:t>
      </w:r>
      <w:r>
        <w:rPr>
          <w:rtl/>
        </w:rPr>
        <w:t xml:space="preserve"> רוצה לומר שהחיות אינן אלא ג', והיא משלמת לד', כמו שאומר לעיל והיא דמות אדם, שת"ת נקראת אדם, והיא דמותו, כמו שמפרש והולך, וזה שאומר ואיהו כו':</w:t>
      </w:r>
    </w:p>
  </w:footnote>
  <w:footnote w:id="960">
    <w:p w:rsidR="00A13282" w:rsidRDefault="00A13282">
      <w:pPr>
        <w:pStyle w:val="a5"/>
        <w:rPr>
          <w:rtl/>
        </w:rPr>
      </w:pPr>
      <w:r>
        <w:rPr>
          <w:rStyle w:val="a7"/>
          <w:rtl/>
        </w:rPr>
        <w:footnoteRef/>
      </w:r>
      <w:r>
        <w:rPr>
          <w:rtl/>
        </w:rPr>
        <w:t xml:space="preserve"> </w:t>
      </w:r>
      <w:r>
        <w:rPr>
          <w:b/>
          <w:bCs/>
          <w:rtl/>
        </w:rPr>
        <w:t>רשימא דארי' כו'.</w:t>
      </w:r>
      <w:r>
        <w:rPr>
          <w:rtl/>
        </w:rPr>
        <w:t xml:space="preserve"> רוצה לומר שאף הג' חיות שתחותה רשימין בה:</w:t>
      </w:r>
    </w:p>
  </w:footnote>
  <w:footnote w:id="961">
    <w:p w:rsidR="00A13282" w:rsidRDefault="00A13282">
      <w:pPr>
        <w:pStyle w:val="a5"/>
        <w:rPr>
          <w:rtl/>
        </w:rPr>
      </w:pPr>
      <w:r>
        <w:rPr>
          <w:rStyle w:val="a7"/>
          <w:rtl/>
        </w:rPr>
        <w:footnoteRef/>
      </w:r>
      <w:r>
        <w:rPr>
          <w:rtl/>
        </w:rPr>
        <w:t xml:space="preserve"> </w:t>
      </w:r>
      <w:r>
        <w:rPr>
          <w:b/>
          <w:bCs/>
          <w:rtl/>
        </w:rPr>
        <w:t>ורזא דמלה כו'.</w:t>
      </w:r>
      <w:r>
        <w:rPr>
          <w:rtl/>
        </w:rPr>
        <w:t xml:space="preserve"> רוצה לומר שלכך נאמר ודמות כו' אצל אדם לפי שהיא דמותו:</w:t>
      </w:r>
    </w:p>
  </w:footnote>
  <w:footnote w:id="962">
    <w:p w:rsidR="00A13282" w:rsidRDefault="00A13282">
      <w:pPr>
        <w:pStyle w:val="a5"/>
        <w:rPr>
          <w:rtl/>
        </w:rPr>
      </w:pPr>
      <w:r>
        <w:rPr>
          <w:rStyle w:val="a7"/>
          <w:rtl/>
        </w:rPr>
        <w:footnoteRef/>
      </w:r>
      <w:r>
        <w:rPr>
          <w:rtl/>
        </w:rPr>
        <w:t xml:space="preserve"> </w:t>
      </w:r>
      <w:r>
        <w:rPr>
          <w:b/>
          <w:bCs/>
          <w:rtl/>
        </w:rPr>
        <w:t>מלכא דכולהו כו'.</w:t>
      </w:r>
      <w:r>
        <w:rPr>
          <w:rtl/>
        </w:rPr>
        <w:t xml:space="preserve"> רוצה לומר אדם היושב על הכסא:</w:t>
      </w:r>
    </w:p>
  </w:footnote>
  <w:footnote w:id="963">
    <w:p w:rsidR="00A13282" w:rsidRDefault="00A13282">
      <w:pPr>
        <w:pStyle w:val="a5"/>
        <w:rPr>
          <w:rtl/>
        </w:rPr>
      </w:pPr>
      <w:r>
        <w:rPr>
          <w:rStyle w:val="a7"/>
          <w:rtl/>
        </w:rPr>
        <w:footnoteRef/>
      </w:r>
      <w:r>
        <w:rPr>
          <w:rtl/>
        </w:rPr>
        <w:t xml:space="preserve"> </w:t>
      </w:r>
      <w:r>
        <w:rPr>
          <w:b/>
          <w:bCs/>
          <w:rtl/>
        </w:rPr>
        <w:t>דהכי אמרין ישראל כו' דיוקנך כו'.</w:t>
      </w:r>
      <w:r>
        <w:rPr>
          <w:rtl/>
        </w:rPr>
        <w:t xml:space="preserve"> רוצה לומר שכינתך לא תסתלק ממנו:</w:t>
      </w:r>
    </w:p>
  </w:footnote>
  <w:footnote w:id="964">
    <w:p w:rsidR="00A13282" w:rsidRDefault="00A13282">
      <w:pPr>
        <w:pStyle w:val="a5"/>
        <w:rPr>
          <w:rtl/>
        </w:rPr>
      </w:pPr>
      <w:r>
        <w:rPr>
          <w:rStyle w:val="a7"/>
          <w:rtl/>
        </w:rPr>
        <w:footnoteRef/>
      </w:r>
      <w:r>
        <w:rPr>
          <w:rtl/>
        </w:rPr>
        <w:t xml:space="preserve"> </w:t>
      </w:r>
      <w:r>
        <w:rPr>
          <w:b/>
          <w:bCs/>
          <w:rtl/>
        </w:rPr>
        <w:t>כרשימו דתפילין כו'.</w:t>
      </w:r>
      <w:r>
        <w:rPr>
          <w:rtl/>
        </w:rPr>
        <w:t xml:space="preserve"> כי המקום שאנו מניחין, שם הוא קשורא דשכינתא בקב"ה, וזה שאומר על לבך:</w:t>
      </w:r>
    </w:p>
  </w:footnote>
  <w:footnote w:id="965">
    <w:p w:rsidR="00A13282" w:rsidRDefault="00A13282">
      <w:pPr>
        <w:pStyle w:val="a5"/>
        <w:rPr>
          <w:rtl/>
        </w:rPr>
      </w:pPr>
      <w:r>
        <w:rPr>
          <w:rStyle w:val="a7"/>
          <w:rtl/>
        </w:rPr>
        <w:footnoteRef/>
      </w:r>
      <w:r>
        <w:rPr>
          <w:rtl/>
        </w:rPr>
        <w:t xml:space="preserve"> </w:t>
      </w:r>
      <w:r>
        <w:rPr>
          <w:b/>
          <w:bCs/>
          <w:rtl/>
        </w:rPr>
        <w:t>ב' איהו.</w:t>
      </w:r>
      <w:r>
        <w:rPr>
          <w:rtl/>
        </w:rPr>
        <w:t xml:space="preserve"> רוצה לומר בית כנ"ל:</w:t>
      </w:r>
    </w:p>
  </w:footnote>
  <w:footnote w:id="966">
    <w:p w:rsidR="00A13282" w:rsidRDefault="00A13282">
      <w:pPr>
        <w:pStyle w:val="a5"/>
        <w:rPr>
          <w:rtl/>
        </w:rPr>
      </w:pPr>
      <w:r>
        <w:rPr>
          <w:rStyle w:val="a7"/>
          <w:rtl/>
        </w:rPr>
        <w:footnoteRef/>
      </w:r>
      <w:r>
        <w:rPr>
          <w:rtl/>
        </w:rPr>
        <w:t xml:space="preserve"> </w:t>
      </w:r>
      <w:r>
        <w:rPr>
          <w:b/>
          <w:bCs/>
          <w:rtl/>
        </w:rPr>
        <w:t>יראת ה'.</w:t>
      </w:r>
      <w:r>
        <w:rPr>
          <w:rtl/>
        </w:rPr>
        <w:t xml:space="preserve"> רוצה לומר מלכות:</w:t>
      </w:r>
    </w:p>
  </w:footnote>
  <w:footnote w:id="967">
    <w:p w:rsidR="00A13282" w:rsidRDefault="00A13282">
      <w:pPr>
        <w:pStyle w:val="a5"/>
        <w:rPr>
          <w:rtl/>
        </w:rPr>
      </w:pPr>
      <w:r>
        <w:rPr>
          <w:rStyle w:val="a7"/>
          <w:rtl/>
        </w:rPr>
        <w:footnoteRef/>
      </w:r>
      <w:r>
        <w:rPr>
          <w:rtl/>
        </w:rPr>
        <w:t xml:space="preserve"> </w:t>
      </w:r>
      <w:r>
        <w:rPr>
          <w:b/>
          <w:bCs/>
          <w:rtl/>
        </w:rPr>
        <w:t>ודא אורייתא.</w:t>
      </w:r>
      <w:r>
        <w:rPr>
          <w:rtl/>
        </w:rPr>
        <w:t xml:space="preserve"> רוצה לומר מלכות והיא ראשית דרכו כנ"ל:</w:t>
      </w:r>
    </w:p>
  </w:footnote>
  <w:footnote w:id="968">
    <w:p w:rsidR="00A13282" w:rsidRDefault="00A13282">
      <w:pPr>
        <w:pStyle w:val="a5"/>
        <w:rPr>
          <w:rtl/>
        </w:rPr>
      </w:pPr>
      <w:r>
        <w:rPr>
          <w:rStyle w:val="a7"/>
          <w:rtl/>
        </w:rPr>
        <w:footnoteRef/>
      </w:r>
      <w:r>
        <w:rPr>
          <w:rtl/>
        </w:rPr>
        <w:t xml:space="preserve"> </w:t>
      </w:r>
      <w:r>
        <w:rPr>
          <w:b/>
          <w:bCs/>
          <w:rtl/>
        </w:rPr>
        <w:t>דאית בה כו'.</w:t>
      </w:r>
      <w:r>
        <w:rPr>
          <w:rtl/>
        </w:rPr>
        <w:t xml:space="preserve"> רוצה לומר בתורה וכן במלכות הכל כלול בה:</w:t>
      </w:r>
    </w:p>
  </w:footnote>
  <w:footnote w:id="969">
    <w:p w:rsidR="00A13282" w:rsidRDefault="00A13282">
      <w:pPr>
        <w:pStyle w:val="a5"/>
        <w:rPr>
          <w:rtl/>
        </w:rPr>
      </w:pPr>
      <w:r>
        <w:rPr>
          <w:rStyle w:val="a7"/>
          <w:rtl/>
        </w:rPr>
        <w:footnoteRef/>
      </w:r>
      <w:r>
        <w:rPr>
          <w:rtl/>
        </w:rPr>
        <w:t xml:space="preserve"> </w:t>
      </w:r>
      <w:r>
        <w:rPr>
          <w:b/>
          <w:bCs/>
          <w:rtl/>
        </w:rPr>
        <w:t>טעמי ונקודי ואתוון.</w:t>
      </w:r>
      <w:r>
        <w:rPr>
          <w:rtl/>
        </w:rPr>
        <w:t xml:space="preserve"> וכלם כלולים בשם הוי', כמו שאומר בתיקוני זהר חדש דף ע"ג וכלהו רמיזין בשמא דא כו':</w:t>
      </w:r>
    </w:p>
  </w:footnote>
  <w:footnote w:id="970">
    <w:p w:rsidR="00A13282" w:rsidRDefault="00A13282">
      <w:pPr>
        <w:pStyle w:val="a5"/>
        <w:rPr>
          <w:rtl/>
        </w:rPr>
      </w:pPr>
      <w:r>
        <w:rPr>
          <w:rStyle w:val="a7"/>
          <w:rtl/>
        </w:rPr>
        <w:footnoteRef/>
      </w:r>
      <w:r>
        <w:rPr>
          <w:rtl/>
        </w:rPr>
        <w:t xml:space="preserve"> </w:t>
      </w:r>
      <w:r>
        <w:rPr>
          <w:b/>
          <w:bCs/>
          <w:rtl/>
        </w:rPr>
        <w:t>דכולהו תליין כו'.</w:t>
      </w:r>
      <w:r>
        <w:rPr>
          <w:rtl/>
        </w:rPr>
        <w:t xml:space="preserve"> רוצה לומר דלכך כתיב ה' קנני:</w:t>
      </w:r>
    </w:p>
  </w:footnote>
  <w:footnote w:id="971">
    <w:p w:rsidR="00A13282" w:rsidRDefault="00A13282">
      <w:pPr>
        <w:pStyle w:val="a5"/>
        <w:rPr>
          <w:rtl/>
        </w:rPr>
      </w:pPr>
      <w:r>
        <w:rPr>
          <w:rStyle w:val="a7"/>
          <w:rtl/>
        </w:rPr>
        <w:footnoteRef/>
      </w:r>
      <w:r>
        <w:rPr>
          <w:rtl/>
        </w:rPr>
        <w:t xml:space="preserve"> </w:t>
      </w:r>
      <w:r>
        <w:rPr>
          <w:b/>
          <w:bCs/>
          <w:rtl/>
        </w:rPr>
        <w:t>מדחילו כו'.</w:t>
      </w:r>
      <w:r>
        <w:rPr>
          <w:rtl/>
        </w:rPr>
        <w:t xml:space="preserve"> רוצה לומר מבינה, ששם י"ה בה, ועיין לעיל בדף יו"ד ע"ב קלע ה' עלאה לשמאלא כו' וכלא י"ה עם כו':</w:t>
      </w:r>
    </w:p>
  </w:footnote>
  <w:footnote w:id="972">
    <w:p w:rsidR="00A13282" w:rsidRDefault="00A13282">
      <w:pPr>
        <w:pStyle w:val="a5"/>
        <w:rPr>
          <w:rtl/>
        </w:rPr>
      </w:pPr>
      <w:r>
        <w:rPr>
          <w:rStyle w:val="a7"/>
          <w:rtl/>
        </w:rPr>
        <w:footnoteRef/>
      </w:r>
      <w:r>
        <w:rPr>
          <w:rtl/>
        </w:rPr>
        <w:t xml:space="preserve"> </w:t>
      </w:r>
      <w:r>
        <w:rPr>
          <w:b/>
          <w:bCs/>
          <w:rtl/>
        </w:rPr>
        <w:t>תקון ב' שב.</w:t>
      </w:r>
      <w:r>
        <w:rPr>
          <w:rtl/>
        </w:rPr>
        <w:t xml:space="preserve"> רוצה לומר זקנה, ואמרו (קדושין לב ע"ב) זקן - שקנה חכמה:</w:t>
      </w:r>
    </w:p>
  </w:footnote>
  <w:footnote w:id="973">
    <w:p w:rsidR="00A13282" w:rsidRDefault="00A13282">
      <w:pPr>
        <w:pStyle w:val="a5"/>
        <w:rPr>
          <w:rtl/>
        </w:rPr>
      </w:pPr>
      <w:r>
        <w:rPr>
          <w:rStyle w:val="a7"/>
          <w:rtl/>
        </w:rPr>
        <w:footnoteRef/>
      </w:r>
      <w:r>
        <w:rPr>
          <w:rtl/>
        </w:rPr>
        <w:t xml:space="preserve"> </w:t>
      </w:r>
      <w:r>
        <w:rPr>
          <w:b/>
          <w:bCs/>
          <w:rtl/>
        </w:rPr>
        <w:t>איהי גניזו כו'.</w:t>
      </w:r>
      <w:r>
        <w:rPr>
          <w:rtl/>
        </w:rPr>
        <w:t xml:space="preserve"> רוצה לומר שחכמה היא אור הגנוז והוא נתיב לא ידעו כו' ונעלמה מעיני כו' והיכן הוא טמיר במלכות. וזה שאומר:</w:t>
      </w:r>
    </w:p>
  </w:footnote>
  <w:footnote w:id="974">
    <w:p w:rsidR="00A13282" w:rsidRDefault="00A13282">
      <w:pPr>
        <w:pStyle w:val="a5"/>
        <w:rPr>
          <w:rtl/>
        </w:rPr>
      </w:pPr>
      <w:r>
        <w:rPr>
          <w:rStyle w:val="a7"/>
          <w:rtl/>
        </w:rPr>
        <w:footnoteRef/>
      </w:r>
      <w:r>
        <w:rPr>
          <w:rtl/>
        </w:rPr>
        <w:t xml:space="preserve"> </w:t>
      </w:r>
      <w:r>
        <w:rPr>
          <w:b/>
          <w:bCs/>
          <w:rtl/>
        </w:rPr>
        <w:t>איהי טמירו דילה.</w:t>
      </w:r>
      <w:r>
        <w:rPr>
          <w:rtl/>
        </w:rPr>
        <w:t xml:space="preserve"> ולכן ביראה ימצא חכמה:</w:t>
      </w:r>
    </w:p>
  </w:footnote>
  <w:footnote w:id="975">
    <w:p w:rsidR="00A13282" w:rsidRDefault="00A13282">
      <w:pPr>
        <w:pStyle w:val="a5"/>
        <w:rPr>
          <w:rtl/>
        </w:rPr>
      </w:pPr>
      <w:r>
        <w:rPr>
          <w:rStyle w:val="a7"/>
          <w:rtl/>
        </w:rPr>
        <w:footnoteRef/>
      </w:r>
      <w:r>
        <w:rPr>
          <w:rtl/>
        </w:rPr>
        <w:t xml:space="preserve"> </w:t>
      </w:r>
      <w:r>
        <w:rPr>
          <w:b/>
          <w:bCs/>
          <w:rtl/>
        </w:rPr>
        <w:t>דמלכא.</w:t>
      </w:r>
      <w:r>
        <w:rPr>
          <w:rtl/>
        </w:rPr>
        <w:t xml:space="preserve"> רוצה לומר חכמה:</w:t>
      </w:r>
    </w:p>
  </w:footnote>
  <w:footnote w:id="976">
    <w:p w:rsidR="00A13282" w:rsidRDefault="00A13282">
      <w:pPr>
        <w:pStyle w:val="a5"/>
        <w:rPr>
          <w:rtl/>
        </w:rPr>
      </w:pPr>
      <w:r>
        <w:rPr>
          <w:rStyle w:val="a7"/>
          <w:rtl/>
        </w:rPr>
        <w:footnoteRef/>
      </w:r>
      <w:r>
        <w:rPr>
          <w:rtl/>
        </w:rPr>
        <w:t xml:space="preserve"> </w:t>
      </w:r>
      <w:r>
        <w:rPr>
          <w:b/>
          <w:bCs/>
          <w:rtl/>
        </w:rPr>
        <w:t>תקון ג' רא"ש.</w:t>
      </w:r>
      <w:r>
        <w:rPr>
          <w:rtl/>
        </w:rPr>
        <w:t xml:space="preserve"> רוצה לומר חכמה:</w:t>
      </w:r>
    </w:p>
  </w:footnote>
  <w:footnote w:id="977">
    <w:p w:rsidR="00A13282" w:rsidRDefault="00A13282">
      <w:pPr>
        <w:pStyle w:val="a5"/>
        <w:rPr>
          <w:rtl/>
        </w:rPr>
      </w:pPr>
      <w:r>
        <w:rPr>
          <w:rStyle w:val="a7"/>
          <w:rtl/>
        </w:rPr>
        <w:footnoteRef/>
      </w:r>
      <w:r>
        <w:rPr>
          <w:rtl/>
        </w:rPr>
        <w:t xml:space="preserve"> </w:t>
      </w:r>
      <w:r>
        <w:rPr>
          <w:b/>
          <w:bCs/>
          <w:rtl/>
        </w:rPr>
        <w:t>למלכא.</w:t>
      </w:r>
      <w:r>
        <w:rPr>
          <w:rtl/>
        </w:rPr>
        <w:t xml:space="preserve"> חכמה כנ"ל:</w:t>
      </w:r>
    </w:p>
  </w:footnote>
  <w:footnote w:id="978">
    <w:p w:rsidR="00A13282" w:rsidRDefault="00A13282">
      <w:pPr>
        <w:pStyle w:val="a5"/>
        <w:rPr>
          <w:rtl/>
        </w:rPr>
      </w:pPr>
      <w:r>
        <w:rPr>
          <w:rStyle w:val="a7"/>
          <w:rtl/>
        </w:rPr>
        <w:footnoteRef/>
      </w:r>
      <w:r>
        <w:rPr>
          <w:rtl/>
        </w:rPr>
        <w:t xml:space="preserve"> </w:t>
      </w:r>
      <w:r>
        <w:rPr>
          <w:b/>
          <w:bCs/>
          <w:rtl/>
        </w:rPr>
        <w:t>בביתי'.</w:t>
      </w:r>
      <w:r>
        <w:rPr>
          <w:rtl/>
        </w:rPr>
        <w:t xml:space="preserve"> מלכות:</w:t>
      </w:r>
    </w:p>
  </w:footnote>
  <w:footnote w:id="979">
    <w:p w:rsidR="00A13282" w:rsidRDefault="00A13282">
      <w:pPr>
        <w:pStyle w:val="a5"/>
        <w:rPr>
          <w:rtl/>
        </w:rPr>
      </w:pPr>
      <w:r>
        <w:rPr>
          <w:rStyle w:val="a7"/>
          <w:rtl/>
        </w:rPr>
        <w:footnoteRef/>
      </w:r>
      <w:r>
        <w:rPr>
          <w:rtl/>
        </w:rPr>
        <w:t xml:space="preserve"> </w:t>
      </w:r>
      <w:r>
        <w:rPr>
          <w:b/>
          <w:bCs/>
          <w:rtl/>
        </w:rPr>
        <w:t>ורזא דמלה חכמה כו'.</w:t>
      </w:r>
      <w:r>
        <w:rPr>
          <w:rtl/>
        </w:rPr>
        <w:t xml:space="preserve"> רוצה לומר שאמרו שחכמתו של אדם אינה ניכרת אלא כשהוא בביתו:</w:t>
      </w:r>
    </w:p>
  </w:footnote>
  <w:footnote w:id="980">
    <w:p w:rsidR="00A13282" w:rsidRDefault="00A13282">
      <w:pPr>
        <w:pStyle w:val="a5"/>
        <w:rPr>
          <w:rtl/>
        </w:rPr>
      </w:pPr>
      <w:r>
        <w:rPr>
          <w:rStyle w:val="a7"/>
          <w:rtl/>
        </w:rPr>
        <w:footnoteRef/>
      </w:r>
      <w:r>
        <w:rPr>
          <w:rtl/>
        </w:rPr>
        <w:t xml:space="preserve"> </w:t>
      </w:r>
      <w:r>
        <w:rPr>
          <w:b/>
          <w:bCs/>
          <w:rtl/>
        </w:rPr>
        <w:t>אלא בהיכליה.</w:t>
      </w:r>
      <w:r>
        <w:rPr>
          <w:rtl/>
        </w:rPr>
        <w:t xml:space="preserve"> היכל גימטריה אדנ"י:</w:t>
      </w:r>
    </w:p>
  </w:footnote>
  <w:footnote w:id="981">
    <w:p w:rsidR="00A13282" w:rsidRDefault="00A13282">
      <w:pPr>
        <w:pStyle w:val="a5"/>
        <w:rPr>
          <w:rtl/>
        </w:rPr>
      </w:pPr>
      <w:r>
        <w:rPr>
          <w:rStyle w:val="a7"/>
          <w:rtl/>
        </w:rPr>
        <w:footnoteRef/>
      </w:r>
      <w:r>
        <w:rPr>
          <w:rtl/>
        </w:rPr>
        <w:t xml:space="preserve"> </w:t>
      </w:r>
      <w:r>
        <w:rPr>
          <w:b/>
          <w:bCs/>
          <w:rtl/>
        </w:rPr>
        <w:t>ואיהי כלילא כו'.</w:t>
      </w:r>
      <w:r>
        <w:rPr>
          <w:rtl/>
        </w:rPr>
        <w:t xml:space="preserve"> רוצה לומר למה נקראת היכל ואמר שהיא כלולה מז' היכלות שבבריאה:</w:t>
      </w:r>
    </w:p>
  </w:footnote>
  <w:footnote w:id="982">
    <w:p w:rsidR="00A13282" w:rsidRDefault="00A13282">
      <w:pPr>
        <w:pStyle w:val="a5"/>
        <w:rPr>
          <w:rtl/>
        </w:rPr>
      </w:pPr>
      <w:r>
        <w:rPr>
          <w:rStyle w:val="a7"/>
          <w:rtl/>
        </w:rPr>
        <w:footnoteRef/>
      </w:r>
      <w:r>
        <w:rPr>
          <w:rtl/>
        </w:rPr>
        <w:t xml:space="preserve"> </w:t>
      </w:r>
      <w:r>
        <w:rPr>
          <w:b/>
          <w:bCs/>
          <w:rtl/>
        </w:rPr>
        <w:t>מז' ארעין ועלייהו כו'.</w:t>
      </w:r>
      <w:r>
        <w:rPr>
          <w:rtl/>
        </w:rPr>
        <w:t xml:space="preserve"> רוצה לומר שגם מז' ארצות שלנו היא כלולה, והוא כמו ראיה לז' היכלין:</w:t>
      </w:r>
    </w:p>
  </w:footnote>
  <w:footnote w:id="983">
    <w:p w:rsidR="00A13282" w:rsidRDefault="00A13282">
      <w:pPr>
        <w:pStyle w:val="a5"/>
        <w:rPr>
          <w:rtl/>
        </w:rPr>
      </w:pPr>
      <w:r>
        <w:rPr>
          <w:rStyle w:val="a7"/>
          <w:rtl/>
        </w:rPr>
        <w:footnoteRef/>
      </w:r>
      <w:r>
        <w:rPr>
          <w:rtl/>
        </w:rPr>
        <w:t xml:space="preserve"> </w:t>
      </w:r>
      <w:r>
        <w:rPr>
          <w:b/>
          <w:bCs/>
          <w:rtl/>
        </w:rPr>
        <w:t>שמים לה'.</w:t>
      </w:r>
      <w:r>
        <w:rPr>
          <w:rtl/>
        </w:rPr>
        <w:t xml:space="preserve"> שהוא הוי"ה:</w:t>
      </w:r>
    </w:p>
  </w:footnote>
  <w:footnote w:id="984">
    <w:p w:rsidR="00A13282" w:rsidRDefault="00A13282">
      <w:pPr>
        <w:pStyle w:val="a5"/>
        <w:rPr>
          <w:rtl/>
        </w:rPr>
      </w:pPr>
      <w:r>
        <w:rPr>
          <w:rStyle w:val="a7"/>
          <w:rtl/>
        </w:rPr>
        <w:footnoteRef/>
      </w:r>
      <w:r>
        <w:rPr>
          <w:rtl/>
        </w:rPr>
        <w:t xml:space="preserve"> </w:t>
      </w:r>
      <w:r>
        <w:rPr>
          <w:b/>
          <w:bCs/>
          <w:rtl/>
        </w:rPr>
        <w:t>ולית ידיע' כו' דאיהי ב'.</w:t>
      </w:r>
      <w:r>
        <w:rPr>
          <w:rtl/>
        </w:rPr>
        <w:t xml:space="preserve"> רוצה לומר וזה ב' ראשית, באות ב' משיגין ויודעין ראשית שהוא חכמה:</w:t>
      </w:r>
    </w:p>
  </w:footnote>
  <w:footnote w:id="985">
    <w:p w:rsidR="00A13282" w:rsidRDefault="00A13282">
      <w:pPr>
        <w:pStyle w:val="a5"/>
        <w:rPr>
          <w:rtl/>
        </w:rPr>
      </w:pPr>
      <w:r>
        <w:rPr>
          <w:rStyle w:val="a7"/>
          <w:rtl/>
        </w:rPr>
        <w:footnoteRef/>
      </w:r>
      <w:r>
        <w:rPr>
          <w:rtl/>
        </w:rPr>
        <w:t xml:space="preserve"> </w:t>
      </w:r>
      <w:r>
        <w:rPr>
          <w:b/>
          <w:bCs/>
          <w:rtl/>
        </w:rPr>
        <w:t>ומאן דנטר כו'.</w:t>
      </w:r>
      <w:r>
        <w:rPr>
          <w:rtl/>
        </w:rPr>
        <w:t xml:space="preserve"> רוצה לומר מי הוא שנקרא אדם:</w:t>
      </w:r>
    </w:p>
  </w:footnote>
  <w:footnote w:id="986">
    <w:p w:rsidR="00A13282" w:rsidRDefault="00A13282">
      <w:pPr>
        <w:pStyle w:val="a5"/>
        <w:rPr>
          <w:rtl/>
        </w:rPr>
      </w:pPr>
      <w:r>
        <w:rPr>
          <w:rStyle w:val="a7"/>
          <w:rtl/>
        </w:rPr>
        <w:footnoteRef/>
      </w:r>
      <w:r>
        <w:rPr>
          <w:rtl/>
        </w:rPr>
        <w:t xml:space="preserve"> </w:t>
      </w:r>
      <w:r>
        <w:rPr>
          <w:b/>
          <w:bCs/>
          <w:rtl/>
        </w:rPr>
        <w:t>ותמן בראשית.</w:t>
      </w:r>
      <w:r>
        <w:rPr>
          <w:rtl/>
        </w:rPr>
        <w:t xml:space="preserve"> רוצה לומר בברית:</w:t>
      </w:r>
    </w:p>
  </w:footnote>
  <w:footnote w:id="987">
    <w:p w:rsidR="00A13282" w:rsidRDefault="00A13282">
      <w:pPr>
        <w:pStyle w:val="a5"/>
        <w:rPr>
          <w:rtl/>
        </w:rPr>
      </w:pPr>
      <w:r>
        <w:rPr>
          <w:rStyle w:val="a7"/>
          <w:rtl/>
        </w:rPr>
        <w:footnoteRef/>
      </w:r>
      <w:r>
        <w:rPr>
          <w:rtl/>
        </w:rPr>
        <w:t xml:space="preserve"> </w:t>
      </w:r>
      <w:r>
        <w:rPr>
          <w:b/>
          <w:bCs/>
          <w:rtl/>
        </w:rPr>
        <w:t>ברית אש כו'.</w:t>
      </w:r>
      <w:r>
        <w:rPr>
          <w:rtl/>
        </w:rPr>
        <w:t xml:space="preserve"> רוצה לומר דלכך נקרא איש, שברית הוא יו"ד, כמו שאומר לעיל:</w:t>
      </w:r>
    </w:p>
  </w:footnote>
  <w:footnote w:id="988">
    <w:p w:rsidR="00A13282" w:rsidRDefault="00A13282">
      <w:pPr>
        <w:pStyle w:val="a5"/>
        <w:rPr>
          <w:rtl/>
        </w:rPr>
      </w:pPr>
      <w:r>
        <w:rPr>
          <w:rStyle w:val="a7"/>
          <w:rtl/>
        </w:rPr>
        <w:footnoteRef/>
      </w:r>
      <w:r>
        <w:rPr>
          <w:rtl/>
        </w:rPr>
        <w:t xml:space="preserve"> </w:t>
      </w:r>
      <w:r>
        <w:rPr>
          <w:b/>
          <w:bCs/>
          <w:rtl/>
        </w:rPr>
        <w:t>תיקון ד' עפעפי.</w:t>
      </w:r>
      <w:r>
        <w:rPr>
          <w:rtl/>
        </w:rPr>
        <w:t xml:space="preserve"> הן שערות שמכסין העינים:</w:t>
      </w:r>
    </w:p>
  </w:footnote>
  <w:footnote w:id="989">
    <w:p w:rsidR="00A13282" w:rsidRDefault="00A13282">
      <w:pPr>
        <w:pStyle w:val="a5"/>
        <w:rPr>
          <w:rtl/>
        </w:rPr>
      </w:pPr>
      <w:r>
        <w:rPr>
          <w:rStyle w:val="a7"/>
          <w:rtl/>
        </w:rPr>
        <w:footnoteRef/>
      </w:r>
      <w:r>
        <w:rPr>
          <w:rtl/>
        </w:rPr>
        <w:t xml:space="preserve"> </w:t>
      </w:r>
      <w:r>
        <w:rPr>
          <w:b/>
          <w:bCs/>
          <w:rtl/>
        </w:rPr>
        <w:t>כרובי.</w:t>
      </w:r>
      <w:r>
        <w:rPr>
          <w:rtl/>
        </w:rPr>
        <w:t xml:space="preserve"> הן בשר שמכסין העינים:</w:t>
      </w:r>
    </w:p>
  </w:footnote>
  <w:footnote w:id="990">
    <w:p w:rsidR="00A13282" w:rsidRDefault="00A13282">
      <w:pPr>
        <w:pStyle w:val="a5"/>
        <w:rPr>
          <w:rtl/>
        </w:rPr>
      </w:pPr>
      <w:r>
        <w:rPr>
          <w:rStyle w:val="a7"/>
          <w:rtl/>
        </w:rPr>
        <w:footnoteRef/>
      </w:r>
      <w:r>
        <w:rPr>
          <w:rtl/>
        </w:rPr>
        <w:t xml:space="preserve"> </w:t>
      </w:r>
      <w:r>
        <w:rPr>
          <w:b/>
          <w:bCs/>
          <w:rtl/>
        </w:rPr>
        <w:t>ועוד כו'.</w:t>
      </w:r>
      <w:r>
        <w:rPr>
          <w:rtl/>
        </w:rPr>
        <w:t xml:space="preserve"> כאן דריש שערי צדק, ורוצה לומר צדק שמסתכלין באורח מישור כמו שמפרש והולך:</w:t>
      </w:r>
    </w:p>
  </w:footnote>
  <w:footnote w:id="991">
    <w:p w:rsidR="00A13282" w:rsidRDefault="00A13282">
      <w:pPr>
        <w:pStyle w:val="a5"/>
        <w:rPr>
          <w:rtl/>
        </w:rPr>
      </w:pPr>
      <w:r>
        <w:rPr>
          <w:rStyle w:val="a7"/>
          <w:rtl/>
        </w:rPr>
        <w:footnoteRef/>
      </w:r>
      <w:r>
        <w:rPr>
          <w:rtl/>
        </w:rPr>
        <w:t xml:space="preserve"> </w:t>
      </w:r>
      <w:r>
        <w:rPr>
          <w:b/>
          <w:bCs/>
          <w:rtl/>
        </w:rPr>
        <w:t>כי המות יפריד.</w:t>
      </w:r>
      <w:r>
        <w:rPr>
          <w:rtl/>
        </w:rPr>
        <w:t xml:space="preserve"> רוצה לומר בשביל המות דשריא שם לכך יפריד בין העינים:</w:t>
      </w:r>
    </w:p>
  </w:footnote>
  <w:footnote w:id="992">
    <w:p w:rsidR="00A13282" w:rsidRDefault="00A13282">
      <w:pPr>
        <w:pStyle w:val="a5"/>
        <w:rPr>
          <w:rtl/>
        </w:rPr>
      </w:pPr>
      <w:r>
        <w:rPr>
          <w:rStyle w:val="a7"/>
          <w:rtl/>
        </w:rPr>
        <w:footnoteRef/>
      </w:r>
      <w:r>
        <w:rPr>
          <w:rtl/>
        </w:rPr>
        <w:t xml:space="preserve"> </w:t>
      </w:r>
      <w:r>
        <w:rPr>
          <w:b/>
          <w:bCs/>
          <w:rtl/>
        </w:rPr>
        <w:t>בת עין כו'.</w:t>
      </w:r>
      <w:r>
        <w:rPr>
          <w:rtl/>
        </w:rPr>
        <w:t xml:space="preserve"> רוצה לומר לכך נקראים העינים שער י' שהשכינה איקרי זה השער:</w:t>
      </w:r>
    </w:p>
  </w:footnote>
  <w:footnote w:id="993">
    <w:p w:rsidR="00A13282" w:rsidRDefault="00A13282">
      <w:pPr>
        <w:pStyle w:val="a5"/>
        <w:rPr>
          <w:rtl/>
        </w:rPr>
      </w:pPr>
      <w:r>
        <w:rPr>
          <w:rStyle w:val="a7"/>
          <w:rtl/>
        </w:rPr>
        <w:footnoteRef/>
      </w:r>
      <w:r>
        <w:rPr>
          <w:rtl/>
        </w:rPr>
        <w:t xml:space="preserve"> </w:t>
      </w:r>
      <w:r>
        <w:rPr>
          <w:b/>
          <w:bCs/>
          <w:rtl/>
        </w:rPr>
        <w:t>שמרני.</w:t>
      </w:r>
      <w:r>
        <w:rPr>
          <w:rtl/>
        </w:rPr>
        <w:t xml:space="preserve"> שבשכינה הוא השמירה כמו שאומר לעיל בהקדמה:</w:t>
      </w:r>
    </w:p>
  </w:footnote>
  <w:footnote w:id="994">
    <w:p w:rsidR="00A13282" w:rsidRDefault="00A13282">
      <w:pPr>
        <w:pStyle w:val="a5"/>
        <w:rPr>
          <w:rtl/>
        </w:rPr>
      </w:pPr>
      <w:r>
        <w:rPr>
          <w:rStyle w:val="a7"/>
          <w:rtl/>
        </w:rPr>
        <w:footnoteRef/>
      </w:r>
      <w:r>
        <w:rPr>
          <w:rtl/>
        </w:rPr>
        <w:t xml:space="preserve"> </w:t>
      </w:r>
      <w:r>
        <w:rPr>
          <w:b/>
          <w:bCs/>
          <w:rtl/>
        </w:rPr>
        <w:t>כאישון.</w:t>
      </w:r>
      <w:r>
        <w:rPr>
          <w:rtl/>
        </w:rPr>
        <w:t xml:space="preserve"> גוון אוכמא:</w:t>
      </w:r>
    </w:p>
  </w:footnote>
  <w:footnote w:id="995">
    <w:p w:rsidR="00A13282" w:rsidRDefault="00A13282">
      <w:pPr>
        <w:pStyle w:val="a5"/>
        <w:rPr>
          <w:rtl/>
        </w:rPr>
      </w:pPr>
      <w:r>
        <w:rPr>
          <w:rStyle w:val="a7"/>
          <w:rtl/>
        </w:rPr>
        <w:footnoteRef/>
      </w:r>
      <w:r>
        <w:rPr>
          <w:rtl/>
        </w:rPr>
        <w:t xml:space="preserve"> </w:t>
      </w:r>
      <w:r>
        <w:rPr>
          <w:b/>
          <w:bCs/>
          <w:rtl/>
        </w:rPr>
        <w:t>קם ר"ש כו'.</w:t>
      </w:r>
      <w:r>
        <w:rPr>
          <w:rtl/>
        </w:rPr>
        <w:t xml:space="preserve"> כאן מפרש סיפיה דקרא אבא כו':</w:t>
      </w:r>
    </w:p>
  </w:footnote>
  <w:footnote w:id="996">
    <w:p w:rsidR="00A13282" w:rsidRDefault="00A13282">
      <w:pPr>
        <w:pStyle w:val="a5"/>
        <w:rPr>
          <w:rtl/>
        </w:rPr>
      </w:pPr>
      <w:r>
        <w:rPr>
          <w:rStyle w:val="a7"/>
          <w:rtl/>
        </w:rPr>
        <w:footnoteRef/>
      </w:r>
      <w:r>
        <w:rPr>
          <w:rtl/>
        </w:rPr>
        <w:t xml:space="preserve"> </w:t>
      </w:r>
      <w:r>
        <w:rPr>
          <w:b/>
          <w:bCs/>
          <w:rtl/>
        </w:rPr>
        <w:t>במ"ב כו'.</w:t>
      </w:r>
      <w:r>
        <w:rPr>
          <w:rtl/>
        </w:rPr>
        <w:t xml:space="preserve"> מבראשית כו' עד ב' דובוהו הן מ"ב אותיות שהן נגד שם מ"ב כידוע, ומפרש והולך:</w:t>
      </w:r>
    </w:p>
  </w:footnote>
  <w:footnote w:id="997">
    <w:p w:rsidR="00A13282" w:rsidRDefault="00A13282">
      <w:pPr>
        <w:pStyle w:val="a5"/>
        <w:rPr>
          <w:rtl/>
        </w:rPr>
      </w:pPr>
      <w:r>
        <w:rPr>
          <w:rStyle w:val="a7"/>
          <w:rtl/>
        </w:rPr>
        <w:footnoteRef/>
      </w:r>
      <w:r>
        <w:rPr>
          <w:rtl/>
        </w:rPr>
        <w:t xml:space="preserve"> </w:t>
      </w:r>
      <w:r>
        <w:rPr>
          <w:b/>
          <w:bCs/>
          <w:rtl/>
        </w:rPr>
        <w:t>ברוך שם כבוד מלכותו לעולם ועד.</w:t>
      </w:r>
      <w:r>
        <w:rPr>
          <w:rtl/>
        </w:rPr>
        <w:t xml:space="preserve"> לפי שהזכיר את השם אמר ברוך שם כבוד מלכותו לעולם ועד.</w:t>
      </w:r>
    </w:p>
  </w:footnote>
  <w:footnote w:id="998">
    <w:p w:rsidR="00A13282" w:rsidRDefault="00A13282">
      <w:pPr>
        <w:pStyle w:val="a5"/>
        <w:rPr>
          <w:rtl/>
        </w:rPr>
      </w:pPr>
      <w:r>
        <w:rPr>
          <w:rStyle w:val="a7"/>
          <w:rtl/>
        </w:rPr>
        <w:footnoteRef/>
      </w:r>
      <w:r>
        <w:rPr>
          <w:rtl/>
        </w:rPr>
        <w:t xml:space="preserve"> </w:t>
      </w:r>
      <w:r>
        <w:rPr>
          <w:b/>
          <w:bCs/>
          <w:rtl/>
        </w:rPr>
        <w:t>כל את כו'.</w:t>
      </w:r>
      <w:r>
        <w:rPr>
          <w:rtl/>
        </w:rPr>
        <w:t xml:space="preserve"> רוצה לומר או הוא מאמר או נתיב:</w:t>
      </w:r>
    </w:p>
  </w:footnote>
  <w:footnote w:id="999">
    <w:p w:rsidR="00A13282" w:rsidRDefault="00A13282">
      <w:pPr>
        <w:pStyle w:val="a5"/>
        <w:rPr>
          <w:rtl/>
        </w:rPr>
      </w:pPr>
      <w:r>
        <w:rPr>
          <w:rStyle w:val="a7"/>
          <w:rtl/>
        </w:rPr>
        <w:footnoteRef/>
      </w:r>
      <w:r>
        <w:rPr>
          <w:rtl/>
        </w:rPr>
        <w:t xml:space="preserve"> </w:t>
      </w:r>
      <w:r>
        <w:rPr>
          <w:b/>
          <w:bCs/>
          <w:rtl/>
        </w:rPr>
        <w:t>וכלהו תליין כו'.</w:t>
      </w:r>
      <w:r>
        <w:rPr>
          <w:rtl/>
        </w:rPr>
        <w:t xml:space="preserve"> והן רמוזים בג' גווני עינא חג"ת, דאתמשכי מכח"ב:</w:t>
      </w:r>
    </w:p>
  </w:footnote>
  <w:footnote w:id="1000">
    <w:p w:rsidR="00A13282" w:rsidRDefault="00A13282">
      <w:pPr>
        <w:pStyle w:val="a5"/>
        <w:rPr>
          <w:rtl/>
        </w:rPr>
      </w:pPr>
      <w:r>
        <w:rPr>
          <w:rStyle w:val="a7"/>
          <w:rtl/>
        </w:rPr>
        <w:footnoteRef/>
      </w:r>
      <w:r>
        <w:rPr>
          <w:rtl/>
        </w:rPr>
        <w:t xml:space="preserve"> </w:t>
      </w:r>
      <w:r>
        <w:rPr>
          <w:b/>
          <w:bCs/>
          <w:rtl/>
        </w:rPr>
        <w:t>ואינון שבע כו' וכלהו כו'.</w:t>
      </w:r>
      <w:r>
        <w:rPr>
          <w:rtl/>
        </w:rPr>
        <w:t xml:space="preserve"> והן רמוזים בבת עין וזה שאומר פתחו לי כו' אבא כו':</w:t>
      </w:r>
    </w:p>
  </w:footnote>
  <w:footnote w:id="1001">
    <w:p w:rsidR="00A13282" w:rsidRDefault="00A13282">
      <w:pPr>
        <w:pStyle w:val="a5"/>
        <w:rPr>
          <w:rtl/>
        </w:rPr>
      </w:pPr>
      <w:r>
        <w:rPr>
          <w:rStyle w:val="a7"/>
          <w:rtl/>
        </w:rPr>
        <w:footnoteRef/>
      </w:r>
      <w:r>
        <w:rPr>
          <w:rtl/>
        </w:rPr>
        <w:t xml:space="preserve"> </w:t>
      </w:r>
      <w:r>
        <w:rPr>
          <w:b/>
          <w:bCs/>
          <w:rtl/>
        </w:rPr>
        <w:t>ולית ספירה כו' ובג"ד אתמר כו' דלית כו'.</w:t>
      </w:r>
      <w:r>
        <w:rPr>
          <w:rtl/>
        </w:rPr>
        <w:t xml:space="preserve"> רוצה לומר דלכך נאמר פתחו לי שערי צדק שהן מלכות, אבא בם - ז' ספירות, אודה י"ה - ג' ספירות, שעל ידה אבא בכולם, והכל כלול בעין, וע"י העינים שרואין מעשה ה', מודים לה'. וזה שאומר פתחו לי כו', שהם העינים, אודה י"ה. והכל כלול במלת בראשית, ג' ספירות הראשונות, וז' ספירות דתליין מג' הראשונות, ונכללין במלכות, כנ"ל. ואח"כ פורט הכתוב עד ב' דובוהו, שהן נפרטים בז' ספירות כנ"ל. וזהו הו' דובוהו, שהן ז' תחתונות:</w:t>
      </w:r>
    </w:p>
  </w:footnote>
  <w:footnote w:id="1002">
    <w:p w:rsidR="00A13282" w:rsidRDefault="00A13282">
      <w:pPr>
        <w:pStyle w:val="a5"/>
        <w:rPr>
          <w:rtl/>
        </w:rPr>
      </w:pPr>
      <w:r>
        <w:rPr>
          <w:rStyle w:val="a7"/>
          <w:rtl/>
        </w:rPr>
        <w:footnoteRef/>
      </w:r>
      <w:r>
        <w:rPr>
          <w:rtl/>
        </w:rPr>
        <w:t xml:space="preserve"> </w:t>
      </w:r>
      <w:r>
        <w:rPr>
          <w:b/>
          <w:bCs/>
          <w:rtl/>
        </w:rPr>
        <w:t>שנת לעיני לעפעפי.</w:t>
      </w:r>
      <w:r>
        <w:rPr>
          <w:rtl/>
        </w:rPr>
        <w:t xml:space="preserve"> שהוא העינים והעפעפים כנ"ל, שיהיו פתוחים, כמו שאומר לעיל פתחו לי כו':</w:t>
      </w:r>
    </w:p>
  </w:footnote>
  <w:footnote w:id="1003">
    <w:p w:rsidR="00A13282" w:rsidRDefault="00A13282">
      <w:pPr>
        <w:pStyle w:val="a5"/>
        <w:rPr>
          <w:rtl/>
        </w:rPr>
      </w:pPr>
      <w:r>
        <w:rPr>
          <w:rStyle w:val="a7"/>
          <w:rtl/>
        </w:rPr>
        <w:footnoteRef/>
      </w:r>
      <w:r>
        <w:rPr>
          <w:rtl/>
        </w:rPr>
        <w:t xml:space="preserve"> </w:t>
      </w:r>
      <w:r>
        <w:rPr>
          <w:b/>
          <w:bCs/>
          <w:rtl/>
        </w:rPr>
        <w:t>עד אמצא כו'.</w:t>
      </w:r>
      <w:r>
        <w:rPr>
          <w:rtl/>
        </w:rPr>
        <w:t xml:space="preserve"> שהיא מקומו של הוי' כמו שאומר לעיל בתיקון ג':</w:t>
      </w:r>
    </w:p>
  </w:footnote>
  <w:footnote w:id="1004">
    <w:p w:rsidR="00A13282" w:rsidRDefault="00A13282">
      <w:pPr>
        <w:pStyle w:val="a5"/>
        <w:rPr>
          <w:rtl/>
        </w:rPr>
      </w:pPr>
      <w:r>
        <w:rPr>
          <w:rStyle w:val="a7"/>
          <w:rtl/>
        </w:rPr>
        <w:footnoteRef/>
      </w:r>
      <w:r>
        <w:rPr>
          <w:rtl/>
        </w:rPr>
        <w:t xml:space="preserve"> </w:t>
      </w:r>
      <w:r>
        <w:rPr>
          <w:b/>
          <w:bCs/>
          <w:rtl/>
        </w:rPr>
        <w:t>איהי כו'.</w:t>
      </w:r>
      <w:r>
        <w:rPr>
          <w:rtl/>
        </w:rPr>
        <w:t xml:space="preserve"> בא לפרש מה שאמר לעיל ולית ספירות כו' בגין דאיהי כו':</w:t>
      </w:r>
    </w:p>
  </w:footnote>
  <w:footnote w:id="1005">
    <w:p w:rsidR="00A13282" w:rsidRDefault="00A13282">
      <w:pPr>
        <w:pStyle w:val="a5"/>
        <w:rPr>
          <w:rtl/>
        </w:rPr>
      </w:pPr>
      <w:r>
        <w:rPr>
          <w:rStyle w:val="a7"/>
          <w:rtl/>
        </w:rPr>
        <w:footnoteRef/>
      </w:r>
      <w:r>
        <w:rPr>
          <w:rtl/>
        </w:rPr>
        <w:t xml:space="preserve"> </w:t>
      </w:r>
      <w:r>
        <w:rPr>
          <w:b/>
          <w:bCs/>
          <w:rtl/>
        </w:rPr>
        <w:t>שלימו דאדם.</w:t>
      </w:r>
      <w:r>
        <w:rPr>
          <w:rtl/>
        </w:rPr>
        <w:t xml:space="preserve"> רוצה לומר דשמא מפרש אינו נשלם אלא בה, בעשר אותיות:</w:t>
      </w:r>
    </w:p>
  </w:footnote>
  <w:footnote w:id="1006">
    <w:p w:rsidR="00A13282" w:rsidRDefault="00A13282">
      <w:pPr>
        <w:pStyle w:val="a5"/>
        <w:rPr>
          <w:rtl/>
        </w:rPr>
      </w:pPr>
      <w:r>
        <w:rPr>
          <w:rStyle w:val="a7"/>
          <w:rtl/>
        </w:rPr>
        <w:footnoteRef/>
      </w:r>
      <w:r>
        <w:rPr>
          <w:rtl/>
        </w:rPr>
        <w:t xml:space="preserve"> </w:t>
      </w:r>
      <w:r>
        <w:rPr>
          <w:b/>
          <w:bCs/>
          <w:rtl/>
        </w:rPr>
        <w:t>שלימו דיחודא.</w:t>
      </w:r>
      <w:r>
        <w:rPr>
          <w:rtl/>
        </w:rPr>
        <w:t xml:space="preserve"> שאין אין סוף מתייחד בספירות אלא על ידה, כמו שאומר לקמן עד דאפיק ליה בת זוגיה כו':</w:t>
      </w:r>
    </w:p>
  </w:footnote>
  <w:footnote w:id="1007">
    <w:p w:rsidR="00A13282" w:rsidRDefault="00A13282">
      <w:pPr>
        <w:pStyle w:val="a5"/>
        <w:rPr>
          <w:rtl/>
        </w:rPr>
      </w:pPr>
      <w:r>
        <w:rPr>
          <w:rStyle w:val="a7"/>
          <w:rtl/>
        </w:rPr>
        <w:footnoteRef/>
      </w:r>
      <w:r>
        <w:rPr>
          <w:rtl/>
        </w:rPr>
        <w:t xml:space="preserve"> </w:t>
      </w:r>
      <w:r>
        <w:rPr>
          <w:b/>
          <w:bCs/>
          <w:rtl/>
        </w:rPr>
        <w:t>שלימו דשמא קדישא.</w:t>
      </w:r>
      <w:r>
        <w:rPr>
          <w:rtl/>
        </w:rPr>
        <w:t xml:space="preserve"> ה' בתראה, והיא שלימו דג' אתוון, כמו שאומר לעיל בהקדמה:</w:t>
      </w:r>
    </w:p>
  </w:footnote>
  <w:footnote w:id="1008">
    <w:p w:rsidR="00A13282" w:rsidRDefault="00A13282">
      <w:pPr>
        <w:pStyle w:val="a5"/>
        <w:rPr>
          <w:b/>
          <w:bCs/>
          <w:rtl/>
        </w:rPr>
      </w:pPr>
      <w:r>
        <w:rPr>
          <w:rStyle w:val="a7"/>
          <w:rtl/>
        </w:rPr>
        <w:footnoteRef/>
      </w:r>
      <w:r>
        <w:rPr>
          <w:rtl/>
        </w:rPr>
        <w:t xml:space="preserve"> </w:t>
      </w:r>
      <w:r>
        <w:rPr>
          <w:b/>
          <w:bCs/>
          <w:rtl/>
        </w:rPr>
        <w:t>שלימו דכל ספירה.</w:t>
      </w:r>
      <w:r>
        <w:rPr>
          <w:rtl/>
        </w:rPr>
        <w:t xml:space="preserve"> כי כל הספירות כלולין מעשר, ואין בהם רק תשע, מכתר עד יסוד, והיא כלולה מעשר, והן עשר מלכיות בהן נשלמין כל הספירות מעשר כידוע:</w:t>
      </w:r>
      <w:r>
        <w:rPr>
          <w:b/>
          <w:bCs/>
          <w:rtl/>
        </w:rPr>
        <w:t xml:space="preserve"> </w:t>
      </w:r>
    </w:p>
    <w:p w:rsidR="00A13282" w:rsidRDefault="00A13282">
      <w:pPr>
        <w:pStyle w:val="a5"/>
        <w:rPr>
          <w:rtl/>
        </w:rPr>
      </w:pPr>
      <w:r>
        <w:rPr>
          <w:b/>
          <w:bCs/>
          <w:rtl/>
        </w:rPr>
        <w:t>[כללי השמות].</w:t>
      </w:r>
      <w:r>
        <w:rPr>
          <w:rtl/>
        </w:rPr>
        <w:t xml:space="preserve"> שם ע"ב הוא משלושה פסוקים ויסע ויבא ויט, שכל אחד הוא מע"ב אותיות. והן אחד ביושר, ואחד למפרע, ואחד ביושר. והן בחג"ת כלולים במלכות שם הצטרפות הפסוקים מג' אותיות מצד ת"ת שהוא כולל ג' אבהן והוא רמוז בשם הוי' במילוי יודין והוא מסטרא דחסד. ושם מ"ב הוא מבראשית עד ב' דובוהו, והן שלוש פעמים מ"ב עד ב' דויבדל. וכן רמוז אותיות בהר"ד בד' אותיות של תחלת מ"ב הנ"ל, והוא מסטרא דגבורה שבו נברא העולם, והוא רמוז בשם הוי', בד' אתוון, ובעשרה דמילוי דשמא מפרש, ובמילוי דמילוי כ"ח אתוון, שהוא מ"ב, כידוע. ושם כ"ב יוצא מברכת כהנים, שבו י"ג יודי"ן נגד י"ג תיקוני דיקנא דא"א, וט' ווי"ן נגד ט' תיקוני דיקנא דז"א, וכולן נכללין בו כידוע, והן כ"ב נגד כ"ב אותיות התורה, והוא מסטרא דת"ת. שם י"ב יוצא מפסוק מגדול עוז כו' ושתי תיבות יקו"ק צדיק. והן י"ב אותיות ביושר וי"ב למפרע וי"ב ביושר והן בצדיק יסוד עולם שנקרא זה, י"ב מזלות ו"ו, ויוצא מג' הויות ה' מלך כו' כמש"ל:</w:t>
      </w:r>
    </w:p>
  </w:footnote>
  <w:footnote w:id="1009">
    <w:p w:rsidR="00A13282" w:rsidRDefault="00A13282">
      <w:pPr>
        <w:pStyle w:val="a5"/>
        <w:rPr>
          <w:rtl/>
        </w:rPr>
      </w:pPr>
      <w:r>
        <w:rPr>
          <w:rStyle w:val="a7"/>
          <w:rtl/>
        </w:rPr>
        <w:footnoteRef/>
      </w:r>
      <w:r>
        <w:rPr>
          <w:rtl/>
        </w:rPr>
        <w:t xml:space="preserve"> </w:t>
      </w:r>
      <w:r>
        <w:rPr>
          <w:b/>
          <w:bCs/>
          <w:rtl/>
        </w:rPr>
        <w:t>תיקון ה' נקודה בהיכלי'.</w:t>
      </w:r>
      <w:r>
        <w:rPr>
          <w:rtl/>
        </w:rPr>
        <w:t xml:space="preserve"> רוצה לומר נקודה </w:t>
      </w:r>
      <w:r>
        <w:t>–</w:t>
      </w:r>
      <w:r>
        <w:rPr>
          <w:rtl/>
        </w:rPr>
        <w:t xml:space="preserve"> חכמה, בהיכליה </w:t>
      </w:r>
      <w:r>
        <w:t>–</w:t>
      </w:r>
      <w:r>
        <w:rPr>
          <w:rtl/>
        </w:rPr>
        <w:t xml:space="preserve"> בינה. וזה ב' בינה, דאיהי ביתא דלעילא, בית ראשון, ראשית חכמה, והוא נקודה בתוך הב' כמו שאומר לעיל בהקדמה:</w:t>
      </w:r>
    </w:p>
  </w:footnote>
  <w:footnote w:id="1010">
    <w:p w:rsidR="00A13282" w:rsidRDefault="00A13282">
      <w:pPr>
        <w:jc w:val="both"/>
        <w:rPr>
          <w:rFonts w:cs="Arial"/>
          <w:szCs w:val="24"/>
          <w:rtl/>
        </w:rPr>
      </w:pPr>
      <w:r>
        <w:rPr>
          <w:rStyle w:val="a7"/>
          <w:rFonts w:cs="Arial"/>
          <w:szCs w:val="24"/>
          <w:rtl/>
        </w:rPr>
        <w:footnoteRef/>
      </w:r>
      <w:r>
        <w:rPr>
          <w:rStyle w:val="a7"/>
          <w:rFonts w:cs="Arial"/>
          <w:szCs w:val="24"/>
          <w:rtl/>
        </w:rPr>
        <w:t xml:space="preserve"> </w:t>
      </w:r>
      <w:r>
        <w:rPr>
          <w:rFonts w:cs="Arial"/>
          <w:b/>
          <w:bCs/>
          <w:szCs w:val="24"/>
          <w:rtl/>
        </w:rPr>
        <w:t>איהי מחשבה סתימא.</w:t>
      </w:r>
      <w:r>
        <w:rPr>
          <w:rtl/>
        </w:rPr>
        <w:t xml:space="preserve"> </w:t>
      </w:r>
      <w:r>
        <w:rPr>
          <w:rFonts w:cs="Arial"/>
          <w:szCs w:val="24"/>
          <w:rtl/>
        </w:rPr>
        <w:t>רוצה לומר יסוד דחכמה, שהוא נתיב לא ידעו עיט, והוא סתום ביסוד הבינה:</w:t>
      </w:r>
    </w:p>
  </w:footnote>
  <w:footnote w:id="1011">
    <w:p w:rsidR="00A13282" w:rsidRDefault="00A13282">
      <w:pPr>
        <w:pStyle w:val="a5"/>
        <w:rPr>
          <w:rtl/>
        </w:rPr>
      </w:pPr>
      <w:r>
        <w:rPr>
          <w:rStyle w:val="a7"/>
          <w:rtl/>
        </w:rPr>
        <w:footnoteRef/>
      </w:r>
      <w:r>
        <w:rPr>
          <w:rtl/>
        </w:rPr>
        <w:t xml:space="preserve"> </w:t>
      </w:r>
      <w:r>
        <w:rPr>
          <w:b/>
          <w:bCs/>
          <w:rtl/>
        </w:rPr>
        <w:t>בריש הורמנותא.</w:t>
      </w:r>
      <w:r>
        <w:rPr>
          <w:rtl/>
        </w:rPr>
        <w:t xml:space="preserve"> שכתר הוא רצון, בסוד רצון ומחשבה והרהור וקול ודיבור, נגד ה' פרצופים:</w:t>
      </w:r>
    </w:p>
  </w:footnote>
  <w:footnote w:id="1012">
    <w:p w:rsidR="00A13282" w:rsidRDefault="00A13282">
      <w:pPr>
        <w:pStyle w:val="a5"/>
        <w:rPr>
          <w:rtl/>
        </w:rPr>
      </w:pPr>
      <w:r>
        <w:rPr>
          <w:rStyle w:val="a7"/>
          <w:rtl/>
        </w:rPr>
        <w:footnoteRef/>
      </w:r>
      <w:r>
        <w:rPr>
          <w:rtl/>
        </w:rPr>
        <w:t xml:space="preserve"> </w:t>
      </w:r>
      <w:r>
        <w:rPr>
          <w:b/>
          <w:bCs/>
          <w:rtl/>
        </w:rPr>
        <w:t>בוצינא דקרדוניתא.</w:t>
      </w:r>
      <w:r>
        <w:rPr>
          <w:rtl/>
        </w:rPr>
        <w:t xml:space="preserve"> כתר, שנקרא חושך לרוב העלמו, שנאמר (תהלים יח יב) ישת חושך סתרו, וזהו בוצינא דקרדוניתא אור החשוך, והוא מוחא סתימאה על שם גבורה דעתיק, שגבורה נקרא חושך כידוע, ובמוחא סתימאה נעשה הכל בסוד הבירורין במוחא כידוע:</w:t>
      </w:r>
    </w:p>
  </w:footnote>
  <w:footnote w:id="1013">
    <w:p w:rsidR="00A13282" w:rsidRDefault="00A13282">
      <w:pPr>
        <w:pStyle w:val="a5"/>
        <w:rPr>
          <w:rtl/>
        </w:rPr>
      </w:pPr>
      <w:r>
        <w:rPr>
          <w:rStyle w:val="a7"/>
          <w:rtl/>
        </w:rPr>
        <w:footnoteRef/>
      </w:r>
      <w:r>
        <w:rPr>
          <w:rtl/>
        </w:rPr>
        <w:t xml:space="preserve"> </w:t>
      </w:r>
      <w:r>
        <w:rPr>
          <w:b/>
          <w:bCs/>
          <w:rtl/>
        </w:rPr>
        <w:t>כד מדיד.</w:t>
      </w:r>
      <w:r>
        <w:rPr>
          <w:rtl/>
        </w:rPr>
        <w:t xml:space="preserve"> שמוחא סתימאה נקרא קו המדה, שבו מודדין את הכל:</w:t>
      </w:r>
    </w:p>
  </w:footnote>
  <w:footnote w:id="1014">
    <w:p w:rsidR="00A13282" w:rsidRDefault="00A13282">
      <w:pPr>
        <w:pStyle w:val="a5"/>
        <w:rPr>
          <w:rtl/>
        </w:rPr>
      </w:pPr>
      <w:r>
        <w:rPr>
          <w:rStyle w:val="a7"/>
          <w:rtl/>
        </w:rPr>
        <w:footnoteRef/>
      </w:r>
      <w:r>
        <w:rPr>
          <w:rtl/>
        </w:rPr>
        <w:t xml:space="preserve"> </w:t>
      </w:r>
      <w:r>
        <w:rPr>
          <w:b/>
          <w:bCs/>
          <w:rtl/>
        </w:rPr>
        <w:t>משיחא.</w:t>
      </w:r>
      <w:r>
        <w:rPr>
          <w:rtl/>
        </w:rPr>
        <w:t xml:space="preserve"> הוא חכמה, י', שנקראת מדה, כמו שאומר בסמוך:</w:t>
      </w:r>
    </w:p>
  </w:footnote>
  <w:footnote w:id="1015">
    <w:p w:rsidR="00A13282" w:rsidRDefault="00A13282">
      <w:pPr>
        <w:pStyle w:val="a5"/>
        <w:rPr>
          <w:rtl/>
        </w:rPr>
      </w:pPr>
      <w:r>
        <w:rPr>
          <w:rStyle w:val="a7"/>
          <w:rtl/>
        </w:rPr>
        <w:footnoteRef/>
      </w:r>
      <w:r>
        <w:rPr>
          <w:rtl/>
        </w:rPr>
        <w:t xml:space="preserve"> </w:t>
      </w:r>
      <w:r>
        <w:rPr>
          <w:b/>
          <w:bCs/>
          <w:rtl/>
        </w:rPr>
        <w:t>נפיק מיני' קו.</w:t>
      </w:r>
      <w:r>
        <w:rPr>
          <w:rtl/>
        </w:rPr>
        <w:t xml:space="preserve"> ו', כמו שאומר בסמוך, והוא עמודא דאמצעיתא דנפיק מחכמה, והוא באדם חוט השדרה דנפיק ממוח:</w:t>
      </w:r>
    </w:p>
  </w:footnote>
  <w:footnote w:id="1016">
    <w:p w:rsidR="00A13282" w:rsidRDefault="00A13282">
      <w:pPr>
        <w:pStyle w:val="a5"/>
        <w:rPr>
          <w:rtl/>
        </w:rPr>
      </w:pPr>
      <w:r>
        <w:rPr>
          <w:rStyle w:val="a7"/>
          <w:rtl/>
        </w:rPr>
        <w:footnoteRef/>
      </w:r>
      <w:r>
        <w:rPr>
          <w:rtl/>
        </w:rPr>
        <w:t xml:space="preserve"> </w:t>
      </w:r>
      <w:r>
        <w:rPr>
          <w:b/>
          <w:bCs/>
          <w:rtl/>
        </w:rPr>
        <w:t>דסתים האי מחשבה.</w:t>
      </w:r>
      <w:r>
        <w:rPr>
          <w:rtl/>
        </w:rPr>
        <w:t xml:space="preserve"> רוצה לומר דבתחילה קודם שנתפשט מן הבינה, והיה בתוכה בסוד העיבור:</w:t>
      </w:r>
    </w:p>
  </w:footnote>
  <w:footnote w:id="1017">
    <w:p w:rsidR="00A13282" w:rsidRDefault="00A13282">
      <w:pPr>
        <w:pStyle w:val="a5"/>
        <w:rPr>
          <w:rtl/>
        </w:rPr>
      </w:pPr>
      <w:r>
        <w:rPr>
          <w:rStyle w:val="a7"/>
          <w:rtl/>
        </w:rPr>
        <w:footnoteRef/>
      </w:r>
      <w:r>
        <w:rPr>
          <w:rtl/>
        </w:rPr>
        <w:t xml:space="preserve"> </w:t>
      </w:r>
      <w:r>
        <w:rPr>
          <w:b/>
          <w:bCs/>
          <w:rtl/>
        </w:rPr>
        <w:t>כגוונא כו'.</w:t>
      </w:r>
      <w:r>
        <w:rPr>
          <w:rtl/>
        </w:rPr>
        <w:t xml:space="preserve"> ב' עם ו', ואז היוד שבתוכה סתים:</w:t>
      </w:r>
    </w:p>
  </w:footnote>
  <w:footnote w:id="1018">
    <w:p w:rsidR="00A13282" w:rsidRDefault="00A13282">
      <w:pPr>
        <w:pStyle w:val="a5"/>
        <w:rPr>
          <w:rtl/>
        </w:rPr>
      </w:pPr>
      <w:r>
        <w:rPr>
          <w:rStyle w:val="a7"/>
          <w:rtl/>
        </w:rPr>
        <w:footnoteRef/>
      </w:r>
      <w:r>
        <w:rPr>
          <w:rtl/>
        </w:rPr>
        <w:t xml:space="preserve"> </w:t>
      </w:r>
      <w:r>
        <w:rPr>
          <w:b/>
          <w:bCs/>
          <w:rtl/>
        </w:rPr>
        <w:t>איהי אתפתחת.</w:t>
      </w:r>
      <w:r>
        <w:rPr>
          <w:rtl/>
        </w:rPr>
        <w:t xml:space="preserve"> דאיהי קיימא לשאלה, והוא ע"י עמודא דאמצעיתא, מקצה השמים, מה שאין כן בהיותה בתוכה, כמו שאומר בזהר אקי"ק אשר אקי"ק דזמין כו':</w:t>
      </w:r>
    </w:p>
  </w:footnote>
  <w:footnote w:id="1019">
    <w:p w:rsidR="00A13282" w:rsidRDefault="00A13282">
      <w:pPr>
        <w:pStyle w:val="a5"/>
        <w:rPr>
          <w:rtl/>
        </w:rPr>
      </w:pPr>
      <w:r>
        <w:rPr>
          <w:rStyle w:val="a7"/>
          <w:rtl/>
        </w:rPr>
        <w:footnoteRef/>
      </w:r>
      <w:r>
        <w:rPr>
          <w:rtl/>
        </w:rPr>
        <w:t xml:space="preserve"> </w:t>
      </w:r>
      <w:r>
        <w:rPr>
          <w:b/>
          <w:bCs/>
          <w:rtl/>
        </w:rPr>
        <w:t>מלםרבה המשרה בההוא היכל כו' דילי' ודא מם רבתי ואתעבידת כו'.</w:t>
      </w:r>
      <w:r>
        <w:rPr>
          <w:rtl/>
        </w:rPr>
        <w:t xml:space="preserve"> רוצה לומר כמו שכתוב בספרים אחרים דלמרבה בגימטריה זרע, המשרה גימטריה תיקון, ולכך מ' דלמרבה סתום:</w:t>
      </w:r>
    </w:p>
  </w:footnote>
  <w:footnote w:id="1020">
    <w:p w:rsidR="00A13282" w:rsidRDefault="00A13282">
      <w:pPr>
        <w:pStyle w:val="a5"/>
        <w:rPr>
          <w:rtl/>
        </w:rPr>
      </w:pPr>
      <w:r>
        <w:rPr>
          <w:rStyle w:val="a7"/>
          <w:rtl/>
        </w:rPr>
        <w:footnoteRef/>
      </w:r>
      <w:r>
        <w:rPr>
          <w:rtl/>
        </w:rPr>
        <w:t xml:space="preserve"> </w:t>
      </w:r>
      <w:r>
        <w:rPr>
          <w:b/>
          <w:bCs/>
          <w:rtl/>
        </w:rPr>
        <w:t>לתיקונא.</w:t>
      </w:r>
      <w:r>
        <w:rPr>
          <w:rtl/>
        </w:rPr>
        <w:t xml:space="preserve"> רוצה לומר לתיקון עמודא דאמצעיתא, כמו שאמרו (נדה לא ע"א) שלשה חדשים אחרונים כו':</w:t>
      </w:r>
    </w:p>
  </w:footnote>
  <w:footnote w:id="1021">
    <w:p w:rsidR="00A13282" w:rsidRDefault="00A13282">
      <w:pPr>
        <w:pStyle w:val="a5"/>
        <w:rPr>
          <w:rtl/>
        </w:rPr>
      </w:pPr>
      <w:r>
        <w:rPr>
          <w:rStyle w:val="a7"/>
          <w:rtl/>
        </w:rPr>
        <w:footnoteRef/>
      </w:r>
      <w:r>
        <w:rPr>
          <w:rtl/>
        </w:rPr>
        <w:t xml:space="preserve"> </w:t>
      </w:r>
      <w:r>
        <w:rPr>
          <w:b/>
          <w:bCs/>
          <w:rtl/>
        </w:rPr>
        <w:t>ודא מ"ם רבתי.</w:t>
      </w:r>
      <w:r>
        <w:rPr>
          <w:rtl/>
        </w:rPr>
        <w:t xml:space="preserve"> רוצה לומר שלכך היא גדולה, דבבינה אותיות גדולות כידוע:</w:t>
      </w:r>
    </w:p>
  </w:footnote>
  <w:footnote w:id="1022">
    <w:p w:rsidR="00A13282" w:rsidRDefault="00A13282">
      <w:pPr>
        <w:pStyle w:val="a5"/>
        <w:rPr>
          <w:rtl/>
        </w:rPr>
      </w:pPr>
      <w:r>
        <w:rPr>
          <w:rStyle w:val="a7"/>
          <w:rtl/>
        </w:rPr>
        <w:footnoteRef/>
      </w:r>
      <w:r>
        <w:rPr>
          <w:rtl/>
        </w:rPr>
        <w:t xml:space="preserve"> </w:t>
      </w:r>
      <w:r>
        <w:rPr>
          <w:b/>
          <w:bCs/>
          <w:rtl/>
        </w:rPr>
        <w:t>ואתעבידת עזקא.</w:t>
      </w:r>
      <w:r>
        <w:rPr>
          <w:rtl/>
        </w:rPr>
        <w:t xml:space="preserve"> חוזר כאן לפי שרוצה לומר ובגינה כו' ועלה כו':</w:t>
      </w:r>
    </w:p>
  </w:footnote>
  <w:footnote w:id="1023">
    <w:p w:rsidR="00A13282" w:rsidRDefault="00A13282">
      <w:pPr>
        <w:pStyle w:val="a5"/>
        <w:rPr>
          <w:rtl/>
        </w:rPr>
      </w:pPr>
      <w:r>
        <w:rPr>
          <w:rStyle w:val="a7"/>
          <w:rtl/>
        </w:rPr>
        <w:footnoteRef/>
      </w:r>
      <w:r>
        <w:rPr>
          <w:rtl/>
        </w:rPr>
        <w:t xml:space="preserve"> </w:t>
      </w:r>
      <w:r>
        <w:rPr>
          <w:b/>
          <w:bCs/>
          <w:rtl/>
        </w:rPr>
        <w:t>בטבעת זו.</w:t>
      </w:r>
      <w:r>
        <w:rPr>
          <w:rtl/>
        </w:rPr>
        <w:t xml:space="preserve"> שע"י אתעבידת טבעת, והוא רמז על חיבור שניהם:</w:t>
      </w:r>
    </w:p>
  </w:footnote>
  <w:footnote w:id="1024">
    <w:p w:rsidR="00A13282" w:rsidRDefault="00A13282">
      <w:pPr>
        <w:pStyle w:val="a5"/>
        <w:rPr>
          <w:rtl/>
        </w:rPr>
      </w:pPr>
      <w:r>
        <w:rPr>
          <w:rStyle w:val="a7"/>
          <w:rtl/>
        </w:rPr>
        <w:footnoteRef/>
      </w:r>
      <w:r>
        <w:rPr>
          <w:rtl/>
        </w:rPr>
        <w:t xml:space="preserve"> </w:t>
      </w:r>
      <w:r>
        <w:rPr>
          <w:b/>
          <w:bCs/>
          <w:rtl/>
        </w:rPr>
        <w:t>קוטרא.</w:t>
      </w:r>
      <w:r>
        <w:rPr>
          <w:rtl/>
        </w:rPr>
        <w:t xml:space="preserve"> הוא יסוד שנקרא קשר כמו שאומר לעיל:</w:t>
      </w:r>
    </w:p>
  </w:footnote>
  <w:footnote w:id="1025">
    <w:p w:rsidR="00A13282" w:rsidRDefault="00A13282">
      <w:pPr>
        <w:pStyle w:val="a5"/>
        <w:rPr>
          <w:rtl/>
        </w:rPr>
      </w:pPr>
      <w:r>
        <w:rPr>
          <w:rStyle w:val="a7"/>
          <w:rtl/>
        </w:rPr>
        <w:footnoteRef/>
      </w:r>
      <w:r>
        <w:rPr>
          <w:rtl/>
        </w:rPr>
        <w:t xml:space="preserve"> </w:t>
      </w:r>
      <w:r>
        <w:rPr>
          <w:b/>
          <w:bCs/>
          <w:rtl/>
        </w:rPr>
        <w:t>בגולמא.</w:t>
      </w:r>
      <w:r>
        <w:rPr>
          <w:rtl/>
        </w:rPr>
        <w:t xml:space="preserve"> הוא חכמה שנקראת גלם, גימטריא חכמה, כמו שכתוב גלמי - גלם יו"ד, כידוע:</w:t>
      </w:r>
    </w:p>
  </w:footnote>
  <w:footnote w:id="1026">
    <w:p w:rsidR="00A13282" w:rsidRDefault="00A13282">
      <w:pPr>
        <w:pStyle w:val="a5"/>
        <w:rPr>
          <w:rtl/>
        </w:rPr>
      </w:pPr>
      <w:r>
        <w:rPr>
          <w:rStyle w:val="a7"/>
          <w:rtl/>
        </w:rPr>
        <w:footnoteRef/>
      </w:r>
      <w:r>
        <w:rPr>
          <w:rtl/>
        </w:rPr>
        <w:t xml:space="preserve"> </w:t>
      </w:r>
      <w:r>
        <w:rPr>
          <w:b/>
          <w:bCs/>
          <w:rtl/>
        </w:rPr>
        <w:t>ואיהי לא כו'.</w:t>
      </w:r>
      <w:r>
        <w:rPr>
          <w:rtl/>
        </w:rPr>
        <w:t xml:space="preserve"> רוצה לומר בינה קודם שמתפשטת על עמודא דאמצעיתא, שהיא מצד עצמה סתימא כנ"ל:</w:t>
      </w:r>
    </w:p>
  </w:footnote>
  <w:footnote w:id="1027">
    <w:p w:rsidR="00A13282" w:rsidRDefault="00A13282">
      <w:pPr>
        <w:pStyle w:val="a5"/>
        <w:rPr>
          <w:rtl/>
        </w:rPr>
      </w:pPr>
      <w:r>
        <w:rPr>
          <w:rStyle w:val="a7"/>
          <w:rtl/>
        </w:rPr>
        <w:footnoteRef/>
      </w:r>
      <w:r>
        <w:rPr>
          <w:rtl/>
        </w:rPr>
        <w:t xml:space="preserve"> </w:t>
      </w:r>
      <w:r>
        <w:rPr>
          <w:b/>
          <w:bCs/>
          <w:rtl/>
        </w:rPr>
        <w:t>וכד אתפשטא כו'.</w:t>
      </w:r>
      <w:r>
        <w:rPr>
          <w:rtl/>
        </w:rPr>
        <w:t xml:space="preserve"> כמו שאומר לעיל דאימא עילאה עד הוד אתפשטא, ושם עבידת גוונין, וזה שאומר לקמן ודא דרועא דימינא כו' עד סמכי קשוט:</w:t>
      </w:r>
    </w:p>
  </w:footnote>
  <w:footnote w:id="1028">
    <w:p w:rsidR="00A13282" w:rsidRDefault="00A13282">
      <w:pPr>
        <w:pStyle w:val="a5"/>
        <w:rPr>
          <w:rtl/>
        </w:rPr>
      </w:pPr>
      <w:r>
        <w:rPr>
          <w:rStyle w:val="a7"/>
          <w:rtl/>
        </w:rPr>
        <w:footnoteRef/>
      </w:r>
      <w:r>
        <w:rPr>
          <w:rtl/>
        </w:rPr>
        <w:t xml:space="preserve"> </w:t>
      </w:r>
      <w:r>
        <w:rPr>
          <w:b/>
          <w:bCs/>
          <w:rtl/>
        </w:rPr>
        <w:t>לנהרא.</w:t>
      </w:r>
      <w:r>
        <w:rPr>
          <w:rtl/>
        </w:rPr>
        <w:t xml:space="preserve"> רוצה לומר שהיא נהרא בגוונין והיא מתחלקת לה' אורות לנהרא בגוונין, מה שאין כן בהיותה סתימא באות יוד שאינה מתחלקת כלל:</w:t>
      </w:r>
    </w:p>
  </w:footnote>
  <w:footnote w:id="1029">
    <w:p w:rsidR="00A13282" w:rsidRDefault="00A13282">
      <w:pPr>
        <w:pStyle w:val="a5"/>
        <w:rPr>
          <w:rtl/>
        </w:rPr>
      </w:pPr>
      <w:r>
        <w:rPr>
          <w:rStyle w:val="a7"/>
          <w:rtl/>
        </w:rPr>
        <w:footnoteRef/>
      </w:r>
      <w:r>
        <w:rPr>
          <w:rtl/>
        </w:rPr>
        <w:t xml:space="preserve"> </w:t>
      </w:r>
      <w:r>
        <w:rPr>
          <w:b/>
          <w:bCs/>
          <w:rtl/>
        </w:rPr>
        <w:t>אור מעוטף.</w:t>
      </w:r>
      <w:r>
        <w:rPr>
          <w:rtl/>
        </w:rPr>
        <w:t xml:space="preserve"> מלשון עוטה, וזה כשלמה שאדם מעוטף בו:</w:t>
      </w:r>
    </w:p>
  </w:footnote>
  <w:footnote w:id="1030">
    <w:p w:rsidR="00A13282" w:rsidRDefault="00A13282">
      <w:pPr>
        <w:pStyle w:val="a5"/>
        <w:rPr>
          <w:rtl/>
        </w:rPr>
      </w:pPr>
      <w:r>
        <w:rPr>
          <w:rStyle w:val="a7"/>
          <w:rtl/>
        </w:rPr>
        <w:footnoteRef/>
      </w:r>
      <w:r>
        <w:rPr>
          <w:rtl/>
        </w:rPr>
        <w:t xml:space="preserve"> </w:t>
      </w:r>
      <w:r>
        <w:rPr>
          <w:b/>
          <w:bCs/>
          <w:rtl/>
        </w:rPr>
        <w:t>אתקרי אויר.</w:t>
      </w:r>
      <w:r>
        <w:rPr>
          <w:rtl/>
        </w:rPr>
        <w:t xml:space="preserve"> רוצה לומר אויר שאינו נתפס ואינו מושג וזהו אוירא סתימאה:</w:t>
      </w:r>
    </w:p>
  </w:footnote>
  <w:footnote w:id="1031">
    <w:p w:rsidR="00A13282" w:rsidRDefault="00A13282">
      <w:pPr>
        <w:pStyle w:val="a5"/>
        <w:rPr>
          <w:rtl/>
        </w:rPr>
      </w:pPr>
      <w:r>
        <w:rPr>
          <w:rStyle w:val="a7"/>
          <w:rtl/>
        </w:rPr>
        <w:footnoteRef/>
      </w:r>
      <w:r>
        <w:rPr>
          <w:rtl/>
        </w:rPr>
        <w:t xml:space="preserve"> </w:t>
      </w:r>
      <w:r>
        <w:rPr>
          <w:b/>
          <w:bCs/>
          <w:rtl/>
        </w:rPr>
        <w:t>אור סתים כו'.</w:t>
      </w:r>
      <w:r>
        <w:rPr>
          <w:rtl/>
        </w:rPr>
        <w:t xml:space="preserve"> רוצה לומר אור בינה סתים באת יו"ד - חכמה כנ"ל דו' סתים לה כנ"ל:</w:t>
      </w:r>
    </w:p>
  </w:footnote>
  <w:footnote w:id="1032">
    <w:p w:rsidR="00A13282" w:rsidRDefault="00A13282">
      <w:pPr>
        <w:pStyle w:val="a5"/>
        <w:rPr>
          <w:rtl/>
        </w:rPr>
      </w:pPr>
      <w:r>
        <w:rPr>
          <w:rStyle w:val="a7"/>
          <w:rtl/>
        </w:rPr>
        <w:footnoteRef/>
      </w:r>
      <w:r>
        <w:rPr>
          <w:rtl/>
        </w:rPr>
        <w:t xml:space="preserve"> </w:t>
      </w:r>
      <w:r>
        <w:rPr>
          <w:b/>
          <w:bCs/>
          <w:rtl/>
        </w:rPr>
        <w:t>נקודה בהיכליה.</w:t>
      </w:r>
      <w:r>
        <w:rPr>
          <w:rtl/>
        </w:rPr>
        <w:t xml:space="preserve"> רוצה לומר לכך י' בתוך אור, אויר:</w:t>
      </w:r>
    </w:p>
  </w:footnote>
  <w:footnote w:id="1033">
    <w:p w:rsidR="00A13282" w:rsidRDefault="00A13282">
      <w:pPr>
        <w:pStyle w:val="a5"/>
        <w:rPr>
          <w:rtl/>
        </w:rPr>
      </w:pPr>
      <w:r>
        <w:rPr>
          <w:rStyle w:val="a7"/>
          <w:rtl/>
        </w:rPr>
        <w:footnoteRef/>
      </w:r>
      <w:r>
        <w:rPr>
          <w:rtl/>
        </w:rPr>
        <w:t xml:space="preserve"> </w:t>
      </w:r>
      <w:r>
        <w:rPr>
          <w:b/>
          <w:bCs/>
          <w:rtl/>
        </w:rPr>
        <w:t>ודא כו' יהי אור.</w:t>
      </w:r>
      <w:r>
        <w:rPr>
          <w:rtl/>
        </w:rPr>
        <w:t xml:space="preserve"> רוצה לומר י"ה י' אור, רוצה לומר שי"ה הן אור חו"ב והוא דאפיק יוד מאור:</w:t>
      </w:r>
    </w:p>
  </w:footnote>
  <w:footnote w:id="1034">
    <w:p w:rsidR="00A13282" w:rsidRDefault="00A13282">
      <w:pPr>
        <w:pStyle w:val="a5"/>
        <w:rPr>
          <w:rtl/>
        </w:rPr>
      </w:pPr>
      <w:r>
        <w:rPr>
          <w:rStyle w:val="a7"/>
          <w:rtl/>
        </w:rPr>
        <w:footnoteRef/>
      </w:r>
      <w:r>
        <w:rPr>
          <w:rtl/>
        </w:rPr>
        <w:t xml:space="preserve"> </w:t>
      </w:r>
      <w:r>
        <w:rPr>
          <w:b/>
          <w:bCs/>
          <w:rtl/>
        </w:rPr>
        <w:t>וחמש זמנין כו'.</w:t>
      </w:r>
      <w:r>
        <w:rPr>
          <w:rtl/>
        </w:rPr>
        <w:t xml:space="preserve"> ואינון ה' שלכך נאמר יהי אור שאור הוא ה':</w:t>
      </w:r>
    </w:p>
  </w:footnote>
  <w:footnote w:id="1035">
    <w:p w:rsidR="00A13282" w:rsidRDefault="00A13282">
      <w:pPr>
        <w:pStyle w:val="a5"/>
        <w:rPr>
          <w:rtl/>
        </w:rPr>
      </w:pPr>
      <w:r>
        <w:rPr>
          <w:rStyle w:val="a7"/>
          <w:rtl/>
        </w:rPr>
        <w:footnoteRef/>
      </w:r>
      <w:r>
        <w:rPr>
          <w:rtl/>
        </w:rPr>
        <w:t xml:space="preserve"> </w:t>
      </w:r>
      <w:r>
        <w:rPr>
          <w:b/>
          <w:bCs/>
          <w:rtl/>
        </w:rPr>
        <w:t>מי מדד כו'.</w:t>
      </w:r>
      <w:r>
        <w:rPr>
          <w:rtl/>
        </w:rPr>
        <w:t xml:space="preserve"> רוצה לומר מי </w:t>
      </w:r>
      <w:r>
        <w:t>–</w:t>
      </w:r>
      <w:r>
        <w:rPr>
          <w:rtl/>
        </w:rPr>
        <w:t xml:space="preserve"> בינה, מדד ע"י החכמה, שנקראת מדידה:</w:t>
      </w:r>
    </w:p>
  </w:footnote>
  <w:footnote w:id="1036">
    <w:p w:rsidR="00A13282" w:rsidRDefault="00A13282">
      <w:pPr>
        <w:pStyle w:val="a5"/>
        <w:rPr>
          <w:rtl/>
        </w:rPr>
      </w:pPr>
      <w:r>
        <w:rPr>
          <w:rStyle w:val="a7"/>
          <w:rtl/>
        </w:rPr>
        <w:footnoteRef/>
      </w:r>
      <w:r>
        <w:rPr>
          <w:rtl/>
        </w:rPr>
        <w:t xml:space="preserve"> </w:t>
      </w:r>
      <w:r>
        <w:rPr>
          <w:b/>
          <w:bCs/>
          <w:rtl/>
        </w:rPr>
        <w:t>ודא דרועא כו'.</w:t>
      </w:r>
      <w:r>
        <w:rPr>
          <w:rtl/>
        </w:rPr>
        <w:t xml:space="preserve"> כנ"ל ששם אתפשטת לאנהרא עד הוד:</w:t>
      </w:r>
    </w:p>
  </w:footnote>
  <w:footnote w:id="1037">
    <w:p w:rsidR="00A13282" w:rsidRDefault="00A13282">
      <w:pPr>
        <w:pStyle w:val="a5"/>
        <w:rPr>
          <w:rtl/>
        </w:rPr>
      </w:pPr>
      <w:r>
        <w:rPr>
          <w:rStyle w:val="a7"/>
          <w:rtl/>
        </w:rPr>
        <w:footnoteRef/>
      </w:r>
      <w:r>
        <w:rPr>
          <w:rtl/>
        </w:rPr>
        <w:t xml:space="preserve"> </w:t>
      </w:r>
      <w:r>
        <w:rPr>
          <w:b/>
          <w:bCs/>
          <w:rtl/>
        </w:rPr>
        <w:t>דרועה דימינא.</w:t>
      </w:r>
      <w:r>
        <w:rPr>
          <w:rtl/>
        </w:rPr>
        <w:t xml:space="preserve"> שנקראת מים:</w:t>
      </w:r>
    </w:p>
  </w:footnote>
  <w:footnote w:id="1038">
    <w:p w:rsidR="00A13282" w:rsidRDefault="00A13282">
      <w:pPr>
        <w:pStyle w:val="a5"/>
        <w:rPr>
          <w:rtl/>
        </w:rPr>
      </w:pPr>
      <w:r>
        <w:rPr>
          <w:rStyle w:val="a7"/>
          <w:rtl/>
        </w:rPr>
        <w:footnoteRef/>
      </w:r>
      <w:r>
        <w:rPr>
          <w:rtl/>
        </w:rPr>
        <w:t xml:space="preserve"> </w:t>
      </w:r>
      <w:r>
        <w:rPr>
          <w:b/>
          <w:bCs/>
          <w:rtl/>
        </w:rPr>
        <w:t>ושמים כו'.</w:t>
      </w:r>
      <w:r>
        <w:rPr>
          <w:rtl/>
        </w:rPr>
        <w:t xml:space="preserve"> כמו שאומר בספר יצירה ששמים נבראו מאש:</w:t>
      </w:r>
    </w:p>
  </w:footnote>
  <w:footnote w:id="1039">
    <w:p w:rsidR="00A13282" w:rsidRDefault="00A13282">
      <w:pPr>
        <w:pStyle w:val="a5"/>
        <w:rPr>
          <w:rtl/>
        </w:rPr>
      </w:pPr>
      <w:r>
        <w:rPr>
          <w:rStyle w:val="a7"/>
          <w:rtl/>
        </w:rPr>
        <w:footnoteRef/>
      </w:r>
      <w:r>
        <w:rPr>
          <w:rtl/>
        </w:rPr>
        <w:t xml:space="preserve"> </w:t>
      </w:r>
      <w:r>
        <w:rPr>
          <w:b/>
          <w:bCs/>
          <w:rtl/>
        </w:rPr>
        <w:t>וכל בשליש.</w:t>
      </w:r>
      <w:r>
        <w:rPr>
          <w:rtl/>
        </w:rPr>
        <w:t xml:space="preserve"> שהוא שלישי כמו שאומר בתיקוני זוהר חדש דף ע"ג דביה משולשין כו' בגין דישראל שלישי כו' עיין שם:</w:t>
      </w:r>
    </w:p>
  </w:footnote>
  <w:footnote w:id="1040">
    <w:p w:rsidR="00A13282" w:rsidRDefault="00A13282">
      <w:pPr>
        <w:pStyle w:val="a5"/>
        <w:rPr>
          <w:rtl/>
        </w:rPr>
      </w:pPr>
      <w:r>
        <w:rPr>
          <w:rStyle w:val="a7"/>
          <w:rtl/>
        </w:rPr>
        <w:footnoteRef/>
      </w:r>
      <w:r>
        <w:rPr>
          <w:rtl/>
        </w:rPr>
        <w:t xml:space="preserve"> </w:t>
      </w:r>
      <w:r>
        <w:rPr>
          <w:b/>
          <w:bCs/>
          <w:rtl/>
        </w:rPr>
        <w:t>עפר הארץ.</w:t>
      </w:r>
      <w:r>
        <w:rPr>
          <w:rtl/>
        </w:rPr>
        <w:t xml:space="preserve"> כמו שכתוב הכל היה מן העפר אפילו גלגל חמה:</w:t>
      </w:r>
    </w:p>
  </w:footnote>
  <w:footnote w:id="1041">
    <w:p w:rsidR="00A13282" w:rsidRDefault="00A13282">
      <w:pPr>
        <w:pStyle w:val="a5"/>
        <w:rPr>
          <w:rtl/>
        </w:rPr>
      </w:pPr>
      <w:r>
        <w:rPr>
          <w:rStyle w:val="a7"/>
          <w:rtl/>
        </w:rPr>
        <w:footnoteRef/>
      </w:r>
      <w:r>
        <w:rPr>
          <w:rtl/>
        </w:rPr>
        <w:t xml:space="preserve"> </w:t>
      </w:r>
      <w:r>
        <w:rPr>
          <w:b/>
          <w:bCs/>
          <w:rtl/>
        </w:rPr>
        <w:t>במאזנים כו'.</w:t>
      </w:r>
      <w:r>
        <w:rPr>
          <w:rtl/>
        </w:rPr>
        <w:t xml:space="preserve"> כמו שאומר בהקדמה שניה מאזני צדק כו', והן תרי גוונין אוכם ותכלת, וכל הגוונין הן בכללותם במלכות, כמו שאומר לעיל דגוונין במלכות, וזה שאומר בסמוך ה' תתאה חמש גוונין כו':</w:t>
      </w:r>
    </w:p>
  </w:footnote>
  <w:footnote w:id="1042">
    <w:p w:rsidR="00A13282" w:rsidRDefault="00A13282">
      <w:pPr>
        <w:pStyle w:val="a5"/>
        <w:rPr>
          <w:rtl/>
        </w:rPr>
      </w:pPr>
      <w:r>
        <w:rPr>
          <w:rStyle w:val="a7"/>
          <w:rtl/>
        </w:rPr>
        <w:footnoteRef/>
      </w:r>
      <w:r>
        <w:rPr>
          <w:rtl/>
        </w:rPr>
        <w:t xml:space="preserve"> </w:t>
      </w:r>
      <w:r>
        <w:rPr>
          <w:b/>
          <w:bCs/>
          <w:rtl/>
        </w:rPr>
        <w:t>יו"ד איהי מדה דילה.</w:t>
      </w:r>
      <w:r>
        <w:rPr>
          <w:rtl/>
        </w:rPr>
        <w:t xml:space="preserve"> כמו שאומר לעיל די' הוא מדה, והוא דחמשין תרעין דילה אתפשטת עד הוד עשר בכל ספירה, וזהו י' מדה שמודד עשר בכל ספירה:</w:t>
      </w:r>
    </w:p>
  </w:footnote>
  <w:footnote w:id="1043">
    <w:p w:rsidR="00A13282" w:rsidRDefault="00A13282">
      <w:pPr>
        <w:pStyle w:val="a5"/>
        <w:rPr>
          <w:rtl/>
        </w:rPr>
      </w:pPr>
      <w:r>
        <w:rPr>
          <w:rStyle w:val="a7"/>
          <w:rtl/>
        </w:rPr>
        <w:footnoteRef/>
      </w:r>
      <w:r>
        <w:rPr>
          <w:rtl/>
        </w:rPr>
        <w:t xml:space="preserve"> </w:t>
      </w:r>
      <w:r>
        <w:rPr>
          <w:b/>
          <w:bCs/>
          <w:rtl/>
        </w:rPr>
        <w:t>נוטה שמים כיריעה.</w:t>
      </w:r>
      <w:r>
        <w:rPr>
          <w:rtl/>
        </w:rPr>
        <w:t xml:space="preserve"> רוצה לומר כיריעה שהיא פרוסה כך האור אתפשט וזהו נוטה שמים:</w:t>
      </w:r>
    </w:p>
  </w:footnote>
  <w:footnote w:id="1044">
    <w:p w:rsidR="00A13282" w:rsidRDefault="00A13282">
      <w:pPr>
        <w:pStyle w:val="a5"/>
        <w:rPr>
          <w:rtl/>
        </w:rPr>
      </w:pPr>
      <w:r>
        <w:rPr>
          <w:rStyle w:val="a7"/>
          <w:rtl/>
        </w:rPr>
        <w:footnoteRef/>
      </w:r>
      <w:r>
        <w:rPr>
          <w:rtl/>
        </w:rPr>
        <w:t xml:space="preserve"> </w:t>
      </w:r>
      <w:r>
        <w:rPr>
          <w:b/>
          <w:bCs/>
          <w:rtl/>
        </w:rPr>
        <w:t>וראיתי' לזכור כו'.</w:t>
      </w:r>
      <w:r>
        <w:rPr>
          <w:rtl/>
        </w:rPr>
        <w:t xml:space="preserve"> כמו האדם שרואה באשתו, וזהו לזכור ברית, וכל התפשטות הוא ע"י ה' ספירות שנכללין ביסוד וחוזרין ונכללין במלכות, והכל נהיר לה מברית ואח"כ מתייחד עמה כידוע, וזה שאומר לעיל בהקדמה תיקון ה', דהוי"ה הוא נהורין, ואדנ"י גוונין:</w:t>
      </w:r>
    </w:p>
  </w:footnote>
  <w:footnote w:id="1045">
    <w:p w:rsidR="00A13282" w:rsidRDefault="00A13282">
      <w:pPr>
        <w:pStyle w:val="a5"/>
        <w:rPr>
          <w:rtl/>
        </w:rPr>
      </w:pPr>
      <w:r>
        <w:rPr>
          <w:rStyle w:val="a7"/>
          <w:rtl/>
        </w:rPr>
        <w:footnoteRef/>
      </w:r>
      <w:r>
        <w:rPr>
          <w:rtl/>
        </w:rPr>
        <w:t xml:space="preserve"> </w:t>
      </w:r>
      <w:r>
        <w:rPr>
          <w:b/>
          <w:bCs/>
          <w:rtl/>
        </w:rPr>
        <w:t>ולבתר דאיהי כו'.</w:t>
      </w:r>
      <w:r>
        <w:rPr>
          <w:rtl/>
        </w:rPr>
        <w:t xml:space="preserve"> דאיהי ה' תתאה ובה נהרא ה' עילאה במדה דילה י', ו' אתפשט לגבה וביה אתכלילת מכל השם הוי"ה:</w:t>
      </w:r>
    </w:p>
  </w:footnote>
  <w:footnote w:id="1046">
    <w:p w:rsidR="00A13282" w:rsidRDefault="00A13282">
      <w:pPr>
        <w:pStyle w:val="a5"/>
        <w:rPr>
          <w:rtl/>
        </w:rPr>
      </w:pPr>
      <w:r>
        <w:rPr>
          <w:rStyle w:val="a7"/>
          <w:rtl/>
        </w:rPr>
        <w:footnoteRef/>
      </w:r>
      <w:r>
        <w:rPr>
          <w:rtl/>
        </w:rPr>
        <w:t xml:space="preserve"> </w:t>
      </w:r>
      <w:r>
        <w:rPr>
          <w:b/>
          <w:bCs/>
          <w:rtl/>
        </w:rPr>
        <w:t xml:space="preserve">כמה דנקודה כו'. </w:t>
      </w:r>
      <w:r>
        <w:rPr>
          <w:rtl/>
        </w:rPr>
        <w:t xml:space="preserve">רוצה לומר כמה דנקודה יוד כלול מוא"ו, שהן עשר יריעות וכל אחד אורך שהוא ו', </w:t>
      </w:r>
      <w:r>
        <w:rPr>
          <w:b/>
          <w:bCs/>
          <w:rtl/>
        </w:rPr>
        <w:t>כך איהי כו'</w:t>
      </w:r>
      <w:r>
        <w:rPr>
          <w:rtl/>
        </w:rPr>
        <w:t xml:space="preserve"> שאורך הקרש הוא ו', עשר אמות י', והוא ו' כלול מיו"ד, וזה שאומר איהי מדה מתתא לעילא:</w:t>
      </w:r>
    </w:p>
  </w:footnote>
  <w:footnote w:id="1047">
    <w:p w:rsidR="00A13282" w:rsidRDefault="00A13282">
      <w:pPr>
        <w:pStyle w:val="a5"/>
        <w:rPr>
          <w:rtl/>
        </w:rPr>
      </w:pPr>
      <w:r>
        <w:rPr>
          <w:rStyle w:val="a7"/>
          <w:rtl/>
        </w:rPr>
        <w:footnoteRef/>
      </w:r>
      <w:r>
        <w:rPr>
          <w:rtl/>
        </w:rPr>
        <w:t xml:space="preserve"> </w:t>
      </w:r>
      <w:r>
        <w:rPr>
          <w:b/>
          <w:bCs/>
          <w:rtl/>
        </w:rPr>
        <w:t>ואמה ה'.</w:t>
      </w:r>
      <w:r>
        <w:rPr>
          <w:rtl/>
        </w:rPr>
        <w:t xml:space="preserve"> רוצה לומר אם ה':</w:t>
      </w:r>
    </w:p>
  </w:footnote>
  <w:footnote w:id="1048">
    <w:p w:rsidR="00A13282" w:rsidRDefault="00A13282">
      <w:pPr>
        <w:pStyle w:val="a5"/>
        <w:rPr>
          <w:rtl/>
        </w:rPr>
      </w:pPr>
      <w:r>
        <w:rPr>
          <w:rStyle w:val="a7"/>
          <w:rtl/>
        </w:rPr>
        <w:footnoteRef/>
      </w:r>
      <w:r>
        <w:rPr>
          <w:rtl/>
        </w:rPr>
        <w:t xml:space="preserve"> </w:t>
      </w:r>
      <w:r>
        <w:rPr>
          <w:b/>
          <w:bCs/>
          <w:rtl/>
        </w:rPr>
        <w:t>וחצי האמה כו' ואמאי כו'.</w:t>
      </w:r>
      <w:r>
        <w:rPr>
          <w:rtl/>
        </w:rPr>
        <w:t xml:space="preserve"> רוצה לומר בסוד ד' כנ"ל בסוף הקדמה וביריעות חמש יריעות כו' וחמש יריעות הן שתי ההין:</w:t>
      </w:r>
    </w:p>
  </w:footnote>
  <w:footnote w:id="1049">
    <w:p w:rsidR="00A13282" w:rsidRDefault="00A13282">
      <w:pPr>
        <w:pStyle w:val="a5"/>
        <w:rPr>
          <w:rtl/>
        </w:rPr>
      </w:pPr>
      <w:r>
        <w:rPr>
          <w:rStyle w:val="a7"/>
          <w:rtl/>
        </w:rPr>
        <w:footnoteRef/>
      </w:r>
      <w:r>
        <w:rPr>
          <w:rtl/>
        </w:rPr>
        <w:t xml:space="preserve"> </w:t>
      </w:r>
      <w:r>
        <w:rPr>
          <w:b/>
          <w:bCs/>
          <w:rtl/>
        </w:rPr>
        <w:t>והאי נקודה.</w:t>
      </w:r>
      <w:r>
        <w:rPr>
          <w:rtl/>
        </w:rPr>
        <w:t xml:space="preserve"> חכמה:</w:t>
      </w:r>
    </w:p>
  </w:footnote>
  <w:footnote w:id="1050">
    <w:p w:rsidR="00A13282" w:rsidRDefault="00A13282">
      <w:pPr>
        <w:pStyle w:val="a5"/>
        <w:rPr>
          <w:rtl/>
        </w:rPr>
      </w:pPr>
      <w:r>
        <w:rPr>
          <w:rStyle w:val="a7"/>
          <w:rtl/>
        </w:rPr>
        <w:footnoteRef/>
      </w:r>
      <w:r>
        <w:rPr>
          <w:rtl/>
        </w:rPr>
        <w:t xml:space="preserve"> </w:t>
      </w:r>
      <w:r>
        <w:rPr>
          <w:b/>
          <w:bCs/>
          <w:rtl/>
        </w:rPr>
        <w:t>לגבי א'.</w:t>
      </w:r>
      <w:r>
        <w:rPr>
          <w:rtl/>
        </w:rPr>
        <w:t xml:space="preserve"> כתר:</w:t>
      </w:r>
    </w:p>
  </w:footnote>
  <w:footnote w:id="1051">
    <w:p w:rsidR="00A13282" w:rsidRDefault="00A13282">
      <w:pPr>
        <w:pStyle w:val="a5"/>
        <w:rPr>
          <w:rtl/>
        </w:rPr>
      </w:pPr>
      <w:r>
        <w:rPr>
          <w:rStyle w:val="a7"/>
          <w:rtl/>
        </w:rPr>
        <w:footnoteRef/>
      </w:r>
      <w:r>
        <w:rPr>
          <w:rtl/>
        </w:rPr>
        <w:t xml:space="preserve"> </w:t>
      </w:r>
      <w:r>
        <w:rPr>
          <w:b/>
          <w:bCs/>
          <w:rtl/>
        </w:rPr>
        <w:t>דאיהו אוירא כו'.</w:t>
      </w:r>
      <w:r>
        <w:rPr>
          <w:rtl/>
        </w:rPr>
        <w:t xml:space="preserve"> רוצה לומר לכך נקרא א':</w:t>
      </w:r>
    </w:p>
  </w:footnote>
  <w:footnote w:id="1052">
    <w:p w:rsidR="00A13282" w:rsidRDefault="00A13282">
      <w:pPr>
        <w:pStyle w:val="a5"/>
        <w:rPr>
          <w:rtl/>
        </w:rPr>
      </w:pPr>
      <w:r>
        <w:rPr>
          <w:rStyle w:val="a7"/>
          <w:rtl/>
        </w:rPr>
        <w:footnoteRef/>
      </w:r>
      <w:r>
        <w:rPr>
          <w:rtl/>
        </w:rPr>
        <w:t xml:space="preserve"> </w:t>
      </w:r>
      <w:r>
        <w:rPr>
          <w:b/>
          <w:bCs/>
          <w:rtl/>
        </w:rPr>
        <w:t>אתקרי קמץ.</w:t>
      </w:r>
      <w:r>
        <w:rPr>
          <w:rtl/>
        </w:rPr>
        <w:t xml:space="preserve"> רוצה לומר שקמץ שתחת הא' וסליקו דהאי נקודה היא ביוד שעל הו' של האלף שעם הו' הוא קמץ והא' הוא כל הספירות, י' שעל האלף היא חכמה סתים בבינה, ו' הוא ת"ת, י' התחתון הוא מלכות ולפיכך נקרא כתר - א' שהוא שורש כל הספירות ובו עולין כל הספירות בא':</w:t>
      </w:r>
    </w:p>
  </w:footnote>
  <w:footnote w:id="1053">
    <w:p w:rsidR="00A13282" w:rsidRDefault="00A13282">
      <w:pPr>
        <w:pStyle w:val="a5"/>
        <w:rPr>
          <w:rtl/>
        </w:rPr>
      </w:pPr>
      <w:r>
        <w:rPr>
          <w:rStyle w:val="a7"/>
          <w:rtl/>
        </w:rPr>
        <w:footnoteRef/>
      </w:r>
      <w:r>
        <w:rPr>
          <w:rtl/>
        </w:rPr>
        <w:t xml:space="preserve"> </w:t>
      </w:r>
      <w:r>
        <w:rPr>
          <w:b/>
          <w:bCs/>
          <w:rtl/>
        </w:rPr>
        <w:t>קומץ סתים.</w:t>
      </w:r>
      <w:r>
        <w:rPr>
          <w:rtl/>
        </w:rPr>
        <w:t xml:space="preserve"> רוצה לומר דשם הוא סתים לכך נקרא קמץ לשון קומץ כמו שאומר לקמן:</w:t>
      </w:r>
    </w:p>
  </w:footnote>
  <w:footnote w:id="1054">
    <w:p w:rsidR="00A13282" w:rsidRDefault="00A13282">
      <w:pPr>
        <w:pStyle w:val="a5"/>
        <w:rPr>
          <w:rtl/>
        </w:rPr>
      </w:pPr>
      <w:r>
        <w:rPr>
          <w:rStyle w:val="a7"/>
          <w:rtl/>
        </w:rPr>
        <w:footnoteRef/>
      </w:r>
      <w:r>
        <w:rPr>
          <w:rtl/>
        </w:rPr>
        <w:t xml:space="preserve"> </w:t>
      </w:r>
      <w:r>
        <w:rPr>
          <w:b/>
          <w:bCs/>
          <w:rtl/>
        </w:rPr>
        <w:t>וקמץ הכהן.</w:t>
      </w:r>
      <w:r>
        <w:rPr>
          <w:rtl/>
        </w:rPr>
        <w:t xml:space="preserve"> הוא חכמה:</w:t>
      </w:r>
    </w:p>
  </w:footnote>
  <w:footnote w:id="1055">
    <w:p w:rsidR="00A13282" w:rsidRDefault="00A13282">
      <w:pPr>
        <w:pStyle w:val="a5"/>
        <w:rPr>
          <w:rtl/>
        </w:rPr>
      </w:pPr>
      <w:r>
        <w:rPr>
          <w:rStyle w:val="a7"/>
          <w:rtl/>
        </w:rPr>
        <w:footnoteRef/>
      </w:r>
      <w:r>
        <w:rPr>
          <w:rtl/>
        </w:rPr>
        <w:t xml:space="preserve"> </w:t>
      </w:r>
      <w:r>
        <w:rPr>
          <w:b/>
          <w:bCs/>
          <w:rtl/>
        </w:rPr>
        <w:t>מלא קומצו.</w:t>
      </w:r>
      <w:r>
        <w:rPr>
          <w:rtl/>
        </w:rPr>
        <w:t xml:space="preserve"> הן ה' אצבעאן, ה' אורות של בינה שכולן סתומים באת י':</w:t>
      </w:r>
    </w:p>
  </w:footnote>
  <w:footnote w:id="1056">
    <w:p w:rsidR="00A13282" w:rsidRDefault="00A13282">
      <w:pPr>
        <w:pStyle w:val="a5"/>
        <w:rPr>
          <w:rtl/>
        </w:rPr>
      </w:pPr>
      <w:r>
        <w:rPr>
          <w:rStyle w:val="a7"/>
          <w:rtl/>
        </w:rPr>
        <w:footnoteRef/>
      </w:r>
      <w:r>
        <w:rPr>
          <w:rtl/>
        </w:rPr>
        <w:t xml:space="preserve"> </w:t>
      </w:r>
      <w:r>
        <w:rPr>
          <w:b/>
          <w:bCs/>
          <w:rtl/>
        </w:rPr>
        <w:t>ם סתימא.</w:t>
      </w:r>
      <w:r>
        <w:rPr>
          <w:rtl/>
        </w:rPr>
        <w:t xml:space="preserve"> ונקודה בתוך המ' כנ"ל וא"ו של המ' הוא סתים ליוד כנ"ל והוא עם היוד - קמץ:</w:t>
      </w:r>
    </w:p>
  </w:footnote>
  <w:footnote w:id="1057">
    <w:p w:rsidR="00A13282" w:rsidRDefault="00A13282">
      <w:pPr>
        <w:pStyle w:val="a5"/>
        <w:rPr>
          <w:rtl/>
        </w:rPr>
      </w:pPr>
      <w:r>
        <w:rPr>
          <w:rStyle w:val="a7"/>
          <w:rtl/>
        </w:rPr>
        <w:footnoteRef/>
      </w:r>
      <w:r>
        <w:rPr>
          <w:rtl/>
        </w:rPr>
        <w:t xml:space="preserve"> </w:t>
      </w:r>
      <w:r>
        <w:rPr>
          <w:b/>
          <w:bCs/>
          <w:rtl/>
        </w:rPr>
        <w:t>פתח.</w:t>
      </w:r>
      <w:r>
        <w:rPr>
          <w:rtl/>
        </w:rPr>
        <w:t xml:space="preserve"> שבפתח הן מתפתחין כמו שאומר לעיל בהקדמה:</w:t>
      </w:r>
    </w:p>
  </w:footnote>
  <w:footnote w:id="1058">
    <w:p w:rsidR="00A13282" w:rsidRDefault="00A13282">
      <w:pPr>
        <w:pStyle w:val="a5"/>
        <w:rPr>
          <w:rtl/>
        </w:rPr>
      </w:pPr>
      <w:r>
        <w:rPr>
          <w:rStyle w:val="a7"/>
          <w:rtl/>
        </w:rPr>
        <w:footnoteRef/>
      </w:r>
      <w:r>
        <w:rPr>
          <w:rtl/>
        </w:rPr>
        <w:t xml:space="preserve"> </w:t>
      </w:r>
      <w:r>
        <w:rPr>
          <w:b/>
          <w:bCs/>
          <w:rtl/>
        </w:rPr>
        <w:t>דא ו'.</w:t>
      </w:r>
      <w:r>
        <w:rPr>
          <w:rtl/>
        </w:rPr>
        <w:t xml:space="preserve"> שהפתח הוא דוגמת ו' והוא ו' של המ"ם דפריש מיניה ואתפתח ונעשה ב' ובו מתפתחין ה' אורות של ה' עילאה בה’ ספירות ונכללין ביסוד שהן ו' קצוות, ו' של השם:</w:t>
      </w:r>
    </w:p>
  </w:footnote>
  <w:footnote w:id="1059">
    <w:p w:rsidR="00A13282" w:rsidRDefault="00A13282">
      <w:pPr>
        <w:pStyle w:val="a5"/>
        <w:rPr>
          <w:rtl/>
        </w:rPr>
      </w:pPr>
      <w:r>
        <w:rPr>
          <w:rStyle w:val="a7"/>
          <w:rtl/>
        </w:rPr>
        <w:footnoteRef/>
      </w:r>
      <w:r>
        <w:rPr>
          <w:rtl/>
        </w:rPr>
        <w:t xml:space="preserve"> </w:t>
      </w:r>
      <w:r>
        <w:rPr>
          <w:b/>
          <w:bCs/>
          <w:rtl/>
        </w:rPr>
        <w:t>ואיהו נטוי כו'.</w:t>
      </w:r>
      <w:r>
        <w:rPr>
          <w:rtl/>
        </w:rPr>
        <w:t xml:space="preserve"> שתחתיו עוד נקודה מלכות כמו שמפרש והולך ורוצה לומר דלכך כתיב רקיע נטוי כו' שהוא"ו הוא רקיע וזה שאומר כד כו' איהו רקיע:</w:t>
      </w:r>
    </w:p>
  </w:footnote>
  <w:footnote w:id="1060">
    <w:p w:rsidR="00A13282" w:rsidRDefault="00A13282">
      <w:pPr>
        <w:pStyle w:val="a5"/>
        <w:rPr>
          <w:rtl/>
        </w:rPr>
      </w:pPr>
      <w:r>
        <w:rPr>
          <w:rStyle w:val="a7"/>
          <w:rtl/>
        </w:rPr>
        <w:footnoteRef/>
      </w:r>
      <w:r>
        <w:rPr>
          <w:rStyle w:val="a7"/>
          <w:rtl/>
        </w:rPr>
        <w:t xml:space="preserve"> </w:t>
      </w:r>
      <w:r>
        <w:rPr>
          <w:b/>
          <w:bCs/>
          <w:rtl/>
        </w:rPr>
        <w:t>פתוח וודאי.</w:t>
      </w:r>
      <w:r>
        <w:rPr>
          <w:rtl/>
        </w:rPr>
        <w:t xml:space="preserve"> רוצה לומר שנקרא פתח דכד אתפרש מנקודה הוא פתוח ודאי כנ"ל שנעשה ב' ואתפתחת בוא"ו:</w:t>
      </w:r>
    </w:p>
  </w:footnote>
  <w:footnote w:id="1061">
    <w:p w:rsidR="00A13282" w:rsidRDefault="00A13282">
      <w:pPr>
        <w:pStyle w:val="a5"/>
        <w:rPr>
          <w:rtl/>
        </w:rPr>
      </w:pPr>
      <w:r>
        <w:rPr>
          <w:rStyle w:val="a7"/>
          <w:rtl/>
        </w:rPr>
        <w:footnoteRef/>
      </w:r>
      <w:r>
        <w:rPr>
          <w:rtl/>
        </w:rPr>
        <w:t xml:space="preserve"> </w:t>
      </w:r>
      <w:r>
        <w:rPr>
          <w:b/>
          <w:bCs/>
          <w:rtl/>
        </w:rPr>
        <w:t>נטוי על כו'.</w:t>
      </w:r>
      <w:r>
        <w:rPr>
          <w:rtl/>
        </w:rPr>
        <w:t xml:space="preserve"> מפרש סיפיה דקרא ורוצה לומר כאן הוא י' שתחת הא' שלא פירשו:</w:t>
      </w:r>
    </w:p>
  </w:footnote>
  <w:footnote w:id="1062">
    <w:p w:rsidR="00A13282" w:rsidRDefault="00A13282">
      <w:pPr>
        <w:pStyle w:val="a5"/>
        <w:rPr>
          <w:rtl/>
        </w:rPr>
      </w:pPr>
      <w:r>
        <w:rPr>
          <w:rStyle w:val="a7"/>
          <w:rtl/>
        </w:rPr>
        <w:footnoteRef/>
      </w:r>
      <w:r>
        <w:rPr>
          <w:rtl/>
        </w:rPr>
        <w:t xml:space="preserve"> </w:t>
      </w:r>
      <w:r>
        <w:rPr>
          <w:b/>
          <w:bCs/>
          <w:rtl/>
        </w:rPr>
        <w:t>דאיהי ניצוצא דקמץ.</w:t>
      </w:r>
      <w:r>
        <w:rPr>
          <w:rtl/>
        </w:rPr>
        <w:t xml:space="preserve"> י' תחת הוא"ו ובה נקרא כתר, א' והיא שלימו דא':</w:t>
      </w:r>
    </w:p>
  </w:footnote>
  <w:footnote w:id="1063">
    <w:p w:rsidR="00A13282" w:rsidRDefault="00A13282">
      <w:pPr>
        <w:pStyle w:val="a5"/>
        <w:rPr>
          <w:rtl/>
        </w:rPr>
      </w:pPr>
      <w:r>
        <w:rPr>
          <w:rStyle w:val="a7"/>
          <w:rtl/>
        </w:rPr>
        <w:footnoteRef/>
      </w:r>
      <w:r>
        <w:rPr>
          <w:rtl/>
        </w:rPr>
        <w:t xml:space="preserve"> </w:t>
      </w:r>
      <w:r>
        <w:rPr>
          <w:b/>
          <w:bCs/>
          <w:rtl/>
        </w:rPr>
        <w:t>הה"ד ודמות כו'.</w:t>
      </w:r>
      <w:r>
        <w:rPr>
          <w:rtl/>
        </w:rPr>
        <w:t xml:space="preserve"> כאן מפרש י' שתחת הא' ולקמן מפרש י' שעל הא':</w:t>
      </w:r>
    </w:p>
  </w:footnote>
  <w:footnote w:id="1064">
    <w:p w:rsidR="00A13282" w:rsidRDefault="00A13282">
      <w:pPr>
        <w:pStyle w:val="a5"/>
        <w:rPr>
          <w:rtl/>
        </w:rPr>
      </w:pPr>
      <w:r>
        <w:rPr>
          <w:rStyle w:val="a7"/>
          <w:rtl/>
        </w:rPr>
        <w:footnoteRef/>
      </w:r>
      <w:r>
        <w:rPr>
          <w:rtl/>
        </w:rPr>
        <w:t xml:space="preserve"> </w:t>
      </w:r>
      <w:r>
        <w:rPr>
          <w:b/>
          <w:bCs/>
          <w:rtl/>
        </w:rPr>
        <w:t>מאן רקיע דא צדיק.</w:t>
      </w:r>
      <w:r>
        <w:rPr>
          <w:rtl/>
        </w:rPr>
        <w:t xml:space="preserve"> דאי אפשר לומר על עמודא דאמצעיתא, ו"ק, דאם כן אי אפשר לומר על ראשי, כמו שמפרש והולך:</w:t>
      </w:r>
    </w:p>
  </w:footnote>
  <w:footnote w:id="1065">
    <w:p w:rsidR="00A13282" w:rsidRDefault="00A13282">
      <w:pPr>
        <w:pStyle w:val="a5"/>
        <w:rPr>
          <w:rtl/>
        </w:rPr>
      </w:pPr>
      <w:r>
        <w:rPr>
          <w:rStyle w:val="a7"/>
          <w:rtl/>
        </w:rPr>
        <w:footnoteRef/>
      </w:r>
      <w:r>
        <w:rPr>
          <w:rtl/>
        </w:rPr>
        <w:t xml:space="preserve"> </w:t>
      </w:r>
      <w:r>
        <w:rPr>
          <w:b/>
          <w:bCs/>
          <w:rtl/>
        </w:rPr>
        <w:t>והאי איהי.</w:t>
      </w:r>
      <w:r>
        <w:rPr>
          <w:rtl/>
        </w:rPr>
        <w:t xml:space="preserve"> רוצה לומר מלכות:</w:t>
      </w:r>
    </w:p>
  </w:footnote>
  <w:footnote w:id="1066">
    <w:p w:rsidR="00A13282" w:rsidRDefault="00A13282">
      <w:pPr>
        <w:pStyle w:val="a5"/>
        <w:rPr>
          <w:rtl/>
        </w:rPr>
      </w:pPr>
      <w:r>
        <w:rPr>
          <w:rStyle w:val="a7"/>
          <w:rtl/>
        </w:rPr>
        <w:footnoteRef/>
      </w:r>
      <w:r>
        <w:rPr>
          <w:rtl/>
        </w:rPr>
        <w:t xml:space="preserve"> </w:t>
      </w:r>
      <w:r>
        <w:rPr>
          <w:b/>
          <w:bCs/>
          <w:rtl/>
        </w:rPr>
        <w:t>ראשי החיה דלתתא.</w:t>
      </w:r>
      <w:r>
        <w:rPr>
          <w:rtl/>
        </w:rPr>
        <w:t xml:space="preserve"> רוצה לומר דאית חיה עילאה כמו שמפרש והולך:</w:t>
      </w:r>
    </w:p>
  </w:footnote>
  <w:footnote w:id="1067">
    <w:p w:rsidR="00A13282" w:rsidRDefault="00A13282">
      <w:pPr>
        <w:pStyle w:val="a5"/>
        <w:rPr>
          <w:rtl/>
        </w:rPr>
      </w:pPr>
      <w:r>
        <w:rPr>
          <w:rStyle w:val="a7"/>
          <w:rtl/>
        </w:rPr>
        <w:footnoteRef/>
      </w:r>
      <w:r>
        <w:rPr>
          <w:rtl/>
        </w:rPr>
        <w:t xml:space="preserve"> </w:t>
      </w:r>
      <w:r>
        <w:rPr>
          <w:b/>
          <w:bCs/>
          <w:rtl/>
        </w:rPr>
        <w:t>נצח והוד.</w:t>
      </w:r>
      <w:r>
        <w:rPr>
          <w:rtl/>
        </w:rPr>
        <w:t xml:space="preserve"> דיסוד הוא מתחיל למעלה מנו"ה כידוע:</w:t>
      </w:r>
    </w:p>
  </w:footnote>
  <w:footnote w:id="1068">
    <w:p w:rsidR="00A13282" w:rsidRDefault="00A13282">
      <w:pPr>
        <w:pStyle w:val="a5"/>
        <w:rPr>
          <w:rtl/>
        </w:rPr>
      </w:pPr>
      <w:r>
        <w:rPr>
          <w:rStyle w:val="a7"/>
          <w:rtl/>
        </w:rPr>
        <w:footnoteRef/>
      </w:r>
      <w:r>
        <w:rPr>
          <w:rtl/>
        </w:rPr>
        <w:t xml:space="preserve"> </w:t>
      </w:r>
      <w:r>
        <w:rPr>
          <w:b/>
          <w:bCs/>
          <w:rtl/>
        </w:rPr>
        <w:t>ואית חיה כו'.</w:t>
      </w:r>
      <w:r>
        <w:rPr>
          <w:rtl/>
        </w:rPr>
        <w:t xml:space="preserve"> כאן מפרש י' שעל הא':</w:t>
      </w:r>
    </w:p>
  </w:footnote>
  <w:footnote w:id="1069">
    <w:p w:rsidR="00A13282" w:rsidRDefault="00A13282">
      <w:pPr>
        <w:pStyle w:val="a5"/>
        <w:rPr>
          <w:rtl/>
        </w:rPr>
      </w:pPr>
      <w:r>
        <w:rPr>
          <w:rStyle w:val="a7"/>
          <w:rtl/>
        </w:rPr>
        <w:footnoteRef/>
      </w:r>
      <w:r>
        <w:rPr>
          <w:rtl/>
        </w:rPr>
        <w:t xml:space="preserve"> </w:t>
      </w:r>
      <w:r>
        <w:rPr>
          <w:b/>
          <w:bCs/>
          <w:rtl/>
        </w:rPr>
        <w:t>י' עילאה.</w:t>
      </w:r>
      <w:r>
        <w:rPr>
          <w:rtl/>
        </w:rPr>
        <w:t xml:space="preserve"> חכמה, דיוד תתאה מלכות:</w:t>
      </w:r>
    </w:p>
  </w:footnote>
  <w:footnote w:id="1070">
    <w:p w:rsidR="00A13282" w:rsidRDefault="00A13282">
      <w:pPr>
        <w:pStyle w:val="a5"/>
        <w:rPr>
          <w:rtl/>
        </w:rPr>
      </w:pPr>
      <w:r>
        <w:rPr>
          <w:rStyle w:val="a7"/>
          <w:rtl/>
        </w:rPr>
        <w:footnoteRef/>
      </w:r>
      <w:r>
        <w:rPr>
          <w:rtl/>
        </w:rPr>
        <w:t xml:space="preserve"> </w:t>
      </w:r>
      <w:r>
        <w:rPr>
          <w:b/>
          <w:bCs/>
          <w:rtl/>
        </w:rPr>
        <w:t>מחשבה עילאה.</w:t>
      </w:r>
      <w:r>
        <w:rPr>
          <w:rtl/>
        </w:rPr>
        <w:t xml:space="preserve"> חכמה בתוך הבינה:</w:t>
      </w:r>
    </w:p>
  </w:footnote>
  <w:footnote w:id="1071">
    <w:p w:rsidR="00A13282" w:rsidRDefault="00A13282">
      <w:pPr>
        <w:pStyle w:val="a5"/>
        <w:rPr>
          <w:rtl/>
        </w:rPr>
      </w:pPr>
      <w:r>
        <w:rPr>
          <w:rStyle w:val="a7"/>
          <w:rtl/>
        </w:rPr>
        <w:footnoteRef/>
      </w:r>
      <w:r>
        <w:rPr>
          <w:rtl/>
        </w:rPr>
        <w:t xml:space="preserve"> </w:t>
      </w:r>
      <w:r>
        <w:rPr>
          <w:b/>
          <w:bCs/>
          <w:rtl/>
        </w:rPr>
        <w:t>כתר ברישא רקיע דילה כו'.</w:t>
      </w:r>
      <w:r>
        <w:rPr>
          <w:rtl/>
        </w:rPr>
        <w:t xml:space="preserve"> רוצה לומר שהיא כתר על ת"ת שהוא גם כן נקרא רקיע כנ"ל:</w:t>
      </w:r>
    </w:p>
  </w:footnote>
  <w:footnote w:id="1072">
    <w:p w:rsidR="00A13282" w:rsidRDefault="00A13282">
      <w:pPr>
        <w:pStyle w:val="a5"/>
        <w:rPr>
          <w:rtl/>
        </w:rPr>
      </w:pPr>
      <w:r>
        <w:rPr>
          <w:rStyle w:val="a7"/>
          <w:rtl/>
        </w:rPr>
        <w:footnoteRef/>
      </w:r>
      <w:r>
        <w:rPr>
          <w:rtl/>
        </w:rPr>
        <w:t xml:space="preserve"> </w:t>
      </w:r>
      <w:r>
        <w:rPr>
          <w:b/>
          <w:bCs/>
          <w:rtl/>
        </w:rPr>
        <w:t>ואית עטרה בראש כו'.</w:t>
      </w:r>
      <w:r>
        <w:rPr>
          <w:rtl/>
        </w:rPr>
        <w:t xml:space="preserve"> גם כן ממטה למעלה, חיה </w:t>
      </w:r>
      <w:r>
        <w:t>–</w:t>
      </w:r>
      <w:r>
        <w:rPr>
          <w:rtl/>
        </w:rPr>
        <w:t xml:space="preserve"> כתר, וראשי החיה - חו"ב, ורקיע שעליהם הוא ו"ק, ו' של השם:</w:t>
      </w:r>
    </w:p>
  </w:footnote>
  <w:footnote w:id="1073">
    <w:p w:rsidR="00A13282" w:rsidRDefault="00A13282">
      <w:pPr>
        <w:pStyle w:val="a5"/>
        <w:rPr>
          <w:rtl/>
        </w:rPr>
      </w:pPr>
      <w:r>
        <w:rPr>
          <w:rStyle w:val="a7"/>
          <w:rtl/>
        </w:rPr>
        <w:footnoteRef/>
      </w:r>
      <w:r>
        <w:rPr>
          <w:rtl/>
        </w:rPr>
        <w:t xml:space="preserve"> </w:t>
      </w:r>
      <w:r>
        <w:rPr>
          <w:b/>
          <w:bCs/>
          <w:rtl/>
        </w:rPr>
        <w:t>ו' עילאה.</w:t>
      </w:r>
      <w:r>
        <w:rPr>
          <w:rtl/>
        </w:rPr>
        <w:t xml:space="preserve"> הוא ת"ת, שוא"ו תתאה הוא יסוד, ו' זעירא:</w:t>
      </w:r>
    </w:p>
  </w:footnote>
  <w:footnote w:id="1074">
    <w:p w:rsidR="00A13282" w:rsidRDefault="00A13282">
      <w:pPr>
        <w:pStyle w:val="a5"/>
        <w:rPr>
          <w:rtl/>
        </w:rPr>
      </w:pPr>
      <w:r>
        <w:rPr>
          <w:rStyle w:val="a7"/>
          <w:rtl/>
        </w:rPr>
        <w:footnoteRef/>
      </w:r>
      <w:r>
        <w:rPr>
          <w:rtl/>
        </w:rPr>
        <w:t xml:space="preserve"> </w:t>
      </w:r>
      <w:r>
        <w:rPr>
          <w:b/>
          <w:bCs/>
          <w:rtl/>
        </w:rPr>
        <w:t>עטרת.</w:t>
      </w:r>
      <w:r>
        <w:rPr>
          <w:rtl/>
        </w:rPr>
        <w:t xml:space="preserve"> ת"ת:</w:t>
      </w:r>
    </w:p>
  </w:footnote>
  <w:footnote w:id="1075">
    <w:p w:rsidR="00A13282" w:rsidRDefault="00A13282">
      <w:pPr>
        <w:pStyle w:val="a5"/>
        <w:rPr>
          <w:rtl/>
        </w:rPr>
      </w:pPr>
      <w:r>
        <w:rPr>
          <w:rStyle w:val="a7"/>
          <w:rtl/>
        </w:rPr>
        <w:footnoteRef/>
      </w:r>
      <w:r>
        <w:rPr>
          <w:rtl/>
        </w:rPr>
        <w:t xml:space="preserve"> </w:t>
      </w:r>
      <w:r>
        <w:rPr>
          <w:b/>
          <w:bCs/>
          <w:rtl/>
        </w:rPr>
        <w:t>תפארת.</w:t>
      </w:r>
      <w:r>
        <w:rPr>
          <w:rtl/>
        </w:rPr>
        <w:t xml:space="preserve"> כמו שאומר לעיל בהקדמה שבינה היא עטרת על גבי תפארת, וזה שאומר לעיל כתר ברישא רקיע דילה. ואמר דילה שהרקיע של מלכות הוא יסוד, ורקיע שלה הוא ת"ת:</w:t>
      </w:r>
    </w:p>
  </w:footnote>
  <w:footnote w:id="1076">
    <w:p w:rsidR="00A13282" w:rsidRDefault="00A13282">
      <w:pPr>
        <w:pStyle w:val="a5"/>
        <w:rPr>
          <w:rtl/>
        </w:rPr>
      </w:pPr>
      <w:r>
        <w:rPr>
          <w:rStyle w:val="a7"/>
          <w:rtl/>
        </w:rPr>
        <w:footnoteRef/>
      </w:r>
      <w:r>
        <w:rPr>
          <w:rtl/>
        </w:rPr>
        <w:t xml:space="preserve"> </w:t>
      </w:r>
      <w:r>
        <w:rPr>
          <w:b/>
          <w:bCs/>
          <w:rtl/>
        </w:rPr>
        <w:t>תרין דרועין.</w:t>
      </w:r>
      <w:r>
        <w:rPr>
          <w:rtl/>
        </w:rPr>
        <w:t xml:space="preserve"> והוא ממטה למעלה, בינה </w:t>
      </w:r>
      <w:r>
        <w:t>–</w:t>
      </w:r>
      <w:r>
        <w:rPr>
          <w:rtl/>
        </w:rPr>
        <w:t xml:space="preserve"> חיה, וראשי החיה חו"ג, ורקיע שעל גביהן - ת"ת, וזהו קמץ דלעיל כד סלקא כו' מלמטה למעלה:</w:t>
      </w:r>
    </w:p>
  </w:footnote>
  <w:footnote w:id="1077">
    <w:p w:rsidR="00A13282" w:rsidRDefault="00A13282">
      <w:pPr>
        <w:pStyle w:val="a5"/>
        <w:rPr>
          <w:rtl/>
        </w:rPr>
      </w:pPr>
      <w:r>
        <w:rPr>
          <w:rStyle w:val="a7"/>
          <w:rtl/>
        </w:rPr>
        <w:footnoteRef/>
      </w:r>
      <w:r>
        <w:rPr>
          <w:rtl/>
        </w:rPr>
        <w:t xml:space="preserve"> </w:t>
      </w:r>
      <w:r>
        <w:rPr>
          <w:b/>
          <w:bCs/>
          <w:rtl/>
        </w:rPr>
        <w:t>איהי י' בכל אתר.</w:t>
      </w:r>
      <w:r>
        <w:rPr>
          <w:rtl/>
        </w:rPr>
        <w:t xml:space="preserve"> רוצה לומר היוד כולל הג' חיות הנ"ל כמו שמפרש והולך:</w:t>
      </w:r>
    </w:p>
  </w:footnote>
  <w:footnote w:id="1078">
    <w:p w:rsidR="00A13282" w:rsidRDefault="00A13282">
      <w:pPr>
        <w:pStyle w:val="a5"/>
        <w:rPr>
          <w:rtl/>
        </w:rPr>
      </w:pPr>
      <w:r>
        <w:rPr>
          <w:rStyle w:val="a7"/>
          <w:rtl/>
        </w:rPr>
        <w:footnoteRef/>
      </w:r>
      <w:r>
        <w:rPr>
          <w:rtl/>
        </w:rPr>
        <w:t xml:space="preserve"> </w:t>
      </w:r>
      <w:r>
        <w:rPr>
          <w:b/>
          <w:bCs/>
          <w:rtl/>
        </w:rPr>
        <w:t>קוצא דיליה לעילא.</w:t>
      </w:r>
      <w:r>
        <w:rPr>
          <w:rtl/>
        </w:rPr>
        <w:t xml:space="preserve"> בכתר:</w:t>
      </w:r>
    </w:p>
  </w:footnote>
  <w:footnote w:id="1079">
    <w:p w:rsidR="00A13282" w:rsidRDefault="00A13282">
      <w:pPr>
        <w:pStyle w:val="a5"/>
        <w:rPr>
          <w:rtl/>
        </w:rPr>
      </w:pPr>
      <w:r>
        <w:rPr>
          <w:rStyle w:val="a7"/>
          <w:rtl/>
        </w:rPr>
        <w:footnoteRef/>
      </w:r>
      <w:r>
        <w:rPr>
          <w:rtl/>
        </w:rPr>
        <w:t xml:space="preserve"> </w:t>
      </w:r>
      <w:r>
        <w:rPr>
          <w:b/>
          <w:bCs/>
          <w:rtl/>
        </w:rPr>
        <w:t>באמצעיתא.</w:t>
      </w:r>
      <w:r>
        <w:rPr>
          <w:rtl/>
        </w:rPr>
        <w:t xml:space="preserve"> הוא עטרת תפארת כנ"ל:</w:t>
      </w:r>
    </w:p>
  </w:footnote>
  <w:footnote w:id="1080">
    <w:p w:rsidR="00A13282" w:rsidRDefault="00A13282">
      <w:pPr>
        <w:pStyle w:val="a5"/>
        <w:rPr>
          <w:rtl/>
        </w:rPr>
      </w:pPr>
      <w:r>
        <w:rPr>
          <w:rStyle w:val="a7"/>
          <w:rtl/>
        </w:rPr>
        <w:footnoteRef/>
      </w:r>
      <w:r>
        <w:rPr>
          <w:rtl/>
        </w:rPr>
        <w:t xml:space="preserve"> </w:t>
      </w:r>
      <w:r>
        <w:rPr>
          <w:b/>
          <w:bCs/>
          <w:rtl/>
        </w:rPr>
        <w:t>לתתא.</w:t>
      </w:r>
      <w:r>
        <w:rPr>
          <w:rtl/>
        </w:rPr>
        <w:t xml:space="preserve"> במלכות:</w:t>
      </w:r>
    </w:p>
  </w:footnote>
  <w:footnote w:id="1081">
    <w:p w:rsidR="00A13282" w:rsidRDefault="00A13282">
      <w:pPr>
        <w:pStyle w:val="a5"/>
        <w:rPr>
          <w:rtl/>
        </w:rPr>
      </w:pPr>
      <w:r>
        <w:rPr>
          <w:rStyle w:val="a7"/>
          <w:rtl/>
        </w:rPr>
        <w:footnoteRef/>
      </w:r>
      <w:r>
        <w:rPr>
          <w:rtl/>
        </w:rPr>
        <w:t xml:space="preserve"> </w:t>
      </w:r>
      <w:r>
        <w:rPr>
          <w:b/>
          <w:bCs/>
          <w:rtl/>
        </w:rPr>
        <w:t>כללא דאתוון כו'.</w:t>
      </w:r>
      <w:r>
        <w:rPr>
          <w:rtl/>
        </w:rPr>
        <w:t xml:space="preserve"> שלעילא כוללת כח"ב, ובאמצעיתא חג"ת, ולתתא נהי"ם:</w:t>
      </w:r>
    </w:p>
  </w:footnote>
  <w:footnote w:id="1082">
    <w:p w:rsidR="00A13282" w:rsidRDefault="00A13282">
      <w:pPr>
        <w:pStyle w:val="a5"/>
        <w:rPr>
          <w:rtl/>
        </w:rPr>
      </w:pPr>
      <w:r>
        <w:rPr>
          <w:rStyle w:val="a7"/>
          <w:rtl/>
        </w:rPr>
        <w:footnoteRef/>
      </w:r>
      <w:r>
        <w:rPr>
          <w:rtl/>
        </w:rPr>
        <w:t xml:space="preserve"> </w:t>
      </w:r>
      <w:r>
        <w:rPr>
          <w:b/>
          <w:bCs/>
          <w:rtl/>
        </w:rPr>
        <w:t>רישא דילה לעילא ברזא דטעמי וגיו כו'.</w:t>
      </w:r>
      <w:r>
        <w:rPr>
          <w:rtl/>
        </w:rPr>
        <w:t xml:space="preserve"> רוצה לומר שהטעמים הם על האותיות ונקודות תחתיהם והאותיות הן הגוף לשניהם שעליהם עומדים הטעמים והנקודות, כן ביו"ד, גיו של היוד הוא הגוף לנקודה שעליו ושתחתיו, שעליו עומדים:</w:t>
      </w:r>
    </w:p>
  </w:footnote>
  <w:footnote w:id="1083">
    <w:p w:rsidR="00A13282" w:rsidRDefault="00A13282">
      <w:pPr>
        <w:pStyle w:val="a5"/>
        <w:rPr>
          <w:rtl/>
        </w:rPr>
      </w:pPr>
      <w:r>
        <w:rPr>
          <w:rStyle w:val="a7"/>
          <w:rtl/>
        </w:rPr>
        <w:footnoteRef/>
      </w:r>
      <w:r>
        <w:rPr>
          <w:rtl/>
        </w:rPr>
        <w:t xml:space="preserve"> </w:t>
      </w:r>
      <w:r>
        <w:rPr>
          <w:b/>
          <w:bCs/>
          <w:rtl/>
        </w:rPr>
        <w:t>ולתתא איהי.</w:t>
      </w:r>
      <w:r>
        <w:rPr>
          <w:rtl/>
        </w:rPr>
        <w:t xml:space="preserve"> רוצה לומר במלכות:</w:t>
      </w:r>
    </w:p>
  </w:footnote>
  <w:footnote w:id="1084">
    <w:p w:rsidR="00A13282" w:rsidRDefault="00A13282">
      <w:pPr>
        <w:pStyle w:val="a5"/>
        <w:rPr>
          <w:rtl/>
        </w:rPr>
      </w:pPr>
      <w:r>
        <w:rPr>
          <w:rStyle w:val="a7"/>
          <w:rtl/>
        </w:rPr>
        <w:footnoteRef/>
      </w:r>
      <w:r>
        <w:rPr>
          <w:rtl/>
        </w:rPr>
        <w:t xml:space="preserve"> </w:t>
      </w:r>
      <w:r>
        <w:rPr>
          <w:b/>
          <w:bCs/>
          <w:rtl/>
        </w:rPr>
        <w:t>ולעילא מ"ד.</w:t>
      </w:r>
      <w:r>
        <w:rPr>
          <w:rtl/>
        </w:rPr>
        <w:t xml:space="preserve"> רוצה לומר בבינה, והן שני יודין של הא', כמו שמפרש והולך:</w:t>
      </w:r>
    </w:p>
  </w:footnote>
  <w:footnote w:id="1085">
    <w:p w:rsidR="00A13282" w:rsidRDefault="00A13282">
      <w:pPr>
        <w:pStyle w:val="a5"/>
        <w:rPr>
          <w:rtl/>
        </w:rPr>
      </w:pPr>
      <w:r>
        <w:rPr>
          <w:rStyle w:val="a7"/>
          <w:rtl/>
        </w:rPr>
        <w:footnoteRef/>
      </w:r>
      <w:r>
        <w:rPr>
          <w:rtl/>
        </w:rPr>
        <w:t xml:space="preserve"> </w:t>
      </w:r>
      <w:r>
        <w:rPr>
          <w:b/>
          <w:bCs/>
          <w:rtl/>
        </w:rPr>
        <w:t>לשם שמים.</w:t>
      </w:r>
      <w:r>
        <w:rPr>
          <w:rtl/>
        </w:rPr>
        <w:t xml:space="preserve"> שם - מלכות, שמים - בינה:</w:t>
      </w:r>
    </w:p>
  </w:footnote>
  <w:footnote w:id="1086">
    <w:p w:rsidR="00A13282" w:rsidRDefault="00A13282">
      <w:pPr>
        <w:pStyle w:val="a5"/>
        <w:rPr>
          <w:rtl/>
        </w:rPr>
      </w:pPr>
      <w:r>
        <w:rPr>
          <w:rStyle w:val="a7"/>
          <w:rtl/>
        </w:rPr>
        <w:footnoteRef/>
      </w:r>
      <w:r>
        <w:rPr>
          <w:rtl/>
        </w:rPr>
        <w:t xml:space="preserve"> </w:t>
      </w:r>
      <w:r>
        <w:rPr>
          <w:b/>
          <w:bCs/>
          <w:rtl/>
        </w:rPr>
        <w:t>כגון מחלוקת קרח כו'.</w:t>
      </w:r>
      <w:r>
        <w:rPr>
          <w:rtl/>
        </w:rPr>
        <w:t xml:space="preserve"> שרצה להפריש שמאלא מימינא ולא רצה להיות לוי לכהן, לאהרן ימינא:</w:t>
      </w:r>
    </w:p>
  </w:footnote>
  <w:footnote w:id="1087">
    <w:p w:rsidR="00A13282" w:rsidRDefault="00A13282">
      <w:pPr>
        <w:pStyle w:val="a5"/>
        <w:rPr>
          <w:rtl/>
        </w:rPr>
      </w:pPr>
      <w:r>
        <w:rPr>
          <w:rStyle w:val="a7"/>
          <w:rtl/>
        </w:rPr>
        <w:footnoteRef/>
      </w:r>
      <w:r>
        <w:rPr>
          <w:rtl/>
        </w:rPr>
        <w:t xml:space="preserve"> </w:t>
      </w:r>
      <w:r>
        <w:rPr>
          <w:b/>
          <w:bCs/>
          <w:rtl/>
        </w:rPr>
        <w:t>דאיהי א'.</w:t>
      </w:r>
      <w:r>
        <w:rPr>
          <w:rtl/>
        </w:rPr>
        <w:t xml:space="preserve"> רוצה לומר שוא"ו שבתוך הא' הוא נטוי ולא פריש ברוחב על היו"ד התחתון:</w:t>
      </w:r>
    </w:p>
  </w:footnote>
  <w:footnote w:id="1088">
    <w:p w:rsidR="00A13282" w:rsidRDefault="00A13282">
      <w:pPr>
        <w:pStyle w:val="a5"/>
        <w:rPr>
          <w:rtl/>
        </w:rPr>
      </w:pPr>
      <w:r>
        <w:rPr>
          <w:rStyle w:val="a7"/>
          <w:rtl/>
        </w:rPr>
        <w:footnoteRef/>
      </w:r>
      <w:r>
        <w:rPr>
          <w:rtl/>
        </w:rPr>
        <w:t xml:space="preserve"> </w:t>
      </w:r>
      <w:r>
        <w:rPr>
          <w:b/>
          <w:bCs/>
          <w:rtl/>
        </w:rPr>
        <w:t>ואינון שוין.</w:t>
      </w:r>
      <w:r>
        <w:rPr>
          <w:rtl/>
        </w:rPr>
        <w:t xml:space="preserve"> ורוצה לומר כד סלקין בכתר דמים עלאין סלקין ביו"ד העליון ומים תתאין ביוד התחתון והן כולם קרובין לעילת העילות שהוא על גבי כתר וזה שאומר הה"ד והיה אור כו' והוא כד סלקין בכתר וזה שאומר כאור שבעת הימים שהן ז’ תחתונות דעתיק שמתלבשין בכתר כידוע:</w:t>
      </w:r>
    </w:p>
  </w:footnote>
  <w:footnote w:id="1089">
    <w:p w:rsidR="00A13282" w:rsidRDefault="00A13282">
      <w:pPr>
        <w:pStyle w:val="a5"/>
        <w:rPr>
          <w:rtl/>
        </w:rPr>
      </w:pPr>
      <w:r>
        <w:rPr>
          <w:rStyle w:val="a7"/>
          <w:rtl/>
        </w:rPr>
        <w:footnoteRef/>
      </w:r>
      <w:r>
        <w:rPr>
          <w:rtl/>
        </w:rPr>
        <w:t xml:space="preserve"> </w:t>
      </w:r>
      <w:r>
        <w:rPr>
          <w:b/>
          <w:bCs/>
          <w:rtl/>
        </w:rPr>
        <w:t>ת"ח קמץ איהו סתים באות י'.</w:t>
      </w:r>
      <w:r>
        <w:rPr>
          <w:rtl/>
        </w:rPr>
        <w:t xml:space="preserve"> כמו שאומר לעיל בהקדמה דקמץ הוא יו"ד שהוא דוגמת היד כשהוא סתום וקומץ אצבעותיו, כל ה' אצבעות שהן ה' אורות שסתום באות יו"ד כנ"ל ואז היד היא כדוגמת יוד והיוד - בה ג' יודין כמו שאומר לעיל, קוצא דילה לעילא, גיו כו' וזה שאומר מכל סטרא, עילא ואמצעיתא ותתא והוא רמז לשלש ספירות כח"ב שכולן סתומין וזה שאומר ודא קומץ כו' שהיוד עצמה היא חכמה כנ"ל והקוץ הוא כתר, קוץ של השם, וסוף של היו"ד לתתא - בינה שבה סתום היוד והיא לכן נקראת גם כן יו"ד כנ"ל:</w:t>
      </w:r>
    </w:p>
  </w:footnote>
  <w:footnote w:id="1090">
    <w:p w:rsidR="00A13282" w:rsidRDefault="00A13282">
      <w:pPr>
        <w:pStyle w:val="a5"/>
        <w:rPr>
          <w:rtl/>
        </w:rPr>
      </w:pPr>
      <w:r>
        <w:rPr>
          <w:rStyle w:val="a7"/>
          <w:rtl/>
        </w:rPr>
        <w:footnoteRef/>
      </w:r>
      <w:r>
        <w:rPr>
          <w:rtl/>
        </w:rPr>
        <w:t xml:space="preserve"> </w:t>
      </w:r>
      <w:r>
        <w:rPr>
          <w:b/>
          <w:bCs/>
          <w:rtl/>
        </w:rPr>
        <w:t>דאינון ה' אצבעאן.</w:t>
      </w:r>
      <w:r>
        <w:rPr>
          <w:rtl/>
        </w:rPr>
        <w:t xml:space="preserve"> כמו שאומר לעיל בהקדמה שפתח הוא שפותח היד ואז הוא ה', חמש אצבעאן:</w:t>
      </w:r>
    </w:p>
  </w:footnote>
  <w:footnote w:id="1091">
    <w:p w:rsidR="00A13282" w:rsidRDefault="00A13282">
      <w:pPr>
        <w:pStyle w:val="a5"/>
        <w:rPr>
          <w:rtl/>
        </w:rPr>
      </w:pPr>
      <w:r>
        <w:rPr>
          <w:rStyle w:val="a7"/>
          <w:rtl/>
        </w:rPr>
        <w:footnoteRef/>
      </w:r>
      <w:r>
        <w:rPr>
          <w:rtl/>
        </w:rPr>
        <w:t xml:space="preserve"> </w:t>
      </w:r>
      <w:r>
        <w:rPr>
          <w:b/>
          <w:bCs/>
          <w:rtl/>
        </w:rPr>
        <w:t>עילאין.</w:t>
      </w:r>
      <w:r>
        <w:rPr>
          <w:rtl/>
        </w:rPr>
        <w:t xml:space="preserve"> של בינה, ה' עילאה כמו שמפרש והולך:</w:t>
      </w:r>
    </w:p>
  </w:footnote>
  <w:footnote w:id="1092">
    <w:p w:rsidR="00A13282" w:rsidRDefault="00A13282">
      <w:pPr>
        <w:pStyle w:val="a5"/>
        <w:rPr>
          <w:rtl/>
        </w:rPr>
      </w:pPr>
      <w:r>
        <w:rPr>
          <w:rStyle w:val="a7"/>
          <w:rtl/>
        </w:rPr>
        <w:footnoteRef/>
      </w:r>
      <w:r>
        <w:rPr>
          <w:rtl/>
        </w:rPr>
        <w:t xml:space="preserve"> </w:t>
      </w:r>
      <w:r>
        <w:rPr>
          <w:b/>
          <w:bCs/>
          <w:rtl/>
        </w:rPr>
        <w:t>ה' זמנין.</w:t>
      </w:r>
      <w:r>
        <w:rPr>
          <w:rtl/>
        </w:rPr>
        <w:t xml:space="preserve"> שנאמר חמש פעמים אור ביום ראשון:</w:t>
      </w:r>
    </w:p>
  </w:footnote>
  <w:footnote w:id="1093">
    <w:p w:rsidR="00A13282" w:rsidRDefault="00A13282">
      <w:pPr>
        <w:pStyle w:val="a5"/>
        <w:rPr>
          <w:rtl/>
        </w:rPr>
      </w:pPr>
      <w:r>
        <w:rPr>
          <w:rStyle w:val="a7"/>
          <w:rtl/>
        </w:rPr>
        <w:footnoteRef/>
      </w:r>
      <w:r>
        <w:rPr>
          <w:rtl/>
        </w:rPr>
        <w:t xml:space="preserve"> </w:t>
      </w:r>
      <w:r>
        <w:rPr>
          <w:b/>
          <w:bCs/>
          <w:rtl/>
        </w:rPr>
        <w:t>ה' נהורין כו'.</w:t>
      </w:r>
      <w:r>
        <w:rPr>
          <w:rtl/>
        </w:rPr>
        <w:t xml:space="preserve"> רוצה לומר שכל אחד הוא אור:</w:t>
      </w:r>
    </w:p>
  </w:footnote>
  <w:footnote w:id="1094">
    <w:p w:rsidR="00A13282" w:rsidRDefault="00A13282">
      <w:pPr>
        <w:pStyle w:val="a5"/>
        <w:rPr>
          <w:rtl/>
        </w:rPr>
      </w:pPr>
      <w:r>
        <w:rPr>
          <w:rStyle w:val="a7"/>
          <w:rtl/>
        </w:rPr>
        <w:footnoteRef/>
      </w:r>
      <w:r>
        <w:rPr>
          <w:rtl/>
        </w:rPr>
        <w:t xml:space="preserve"> </w:t>
      </w:r>
      <w:r>
        <w:rPr>
          <w:b/>
          <w:bCs/>
          <w:rtl/>
        </w:rPr>
        <w:t>דסלקין לעשר.</w:t>
      </w:r>
      <w:r>
        <w:rPr>
          <w:rtl/>
        </w:rPr>
        <w:t xml:space="preserve"> רוצה לומר ה' נקודות וה' אותיות שכולן היו סתומין ביוד של השם שהן עשר הנ"ל:</w:t>
      </w:r>
    </w:p>
  </w:footnote>
  <w:footnote w:id="1095">
    <w:p w:rsidR="00A13282" w:rsidRDefault="00A13282">
      <w:pPr>
        <w:pStyle w:val="a5"/>
        <w:rPr>
          <w:rtl/>
        </w:rPr>
      </w:pPr>
      <w:r>
        <w:rPr>
          <w:rStyle w:val="a7"/>
          <w:rtl/>
        </w:rPr>
        <w:footnoteRef/>
      </w:r>
      <w:r>
        <w:rPr>
          <w:rtl/>
        </w:rPr>
        <w:t xml:space="preserve"> </w:t>
      </w:r>
      <w:r>
        <w:rPr>
          <w:b/>
          <w:bCs/>
          <w:rtl/>
        </w:rPr>
        <w:t>דא א'.</w:t>
      </w:r>
      <w:r>
        <w:rPr>
          <w:rtl/>
        </w:rPr>
        <w:t xml:space="preserve"> דאלומתי הוא א':</w:t>
      </w:r>
    </w:p>
  </w:footnote>
  <w:footnote w:id="1096">
    <w:p w:rsidR="00A13282" w:rsidRDefault="00A13282">
      <w:pPr>
        <w:pStyle w:val="a5"/>
        <w:rPr>
          <w:rtl/>
        </w:rPr>
      </w:pPr>
      <w:r>
        <w:rPr>
          <w:rStyle w:val="a7"/>
          <w:rtl/>
        </w:rPr>
        <w:footnoteRef/>
      </w:r>
      <w:r>
        <w:rPr>
          <w:rtl/>
        </w:rPr>
        <w:t xml:space="preserve"> </w:t>
      </w:r>
      <w:r>
        <w:rPr>
          <w:b/>
          <w:bCs/>
          <w:rtl/>
        </w:rPr>
        <w:t>בקומה זקוף.</w:t>
      </w:r>
      <w:r>
        <w:rPr>
          <w:rtl/>
        </w:rPr>
        <w:t xml:space="preserve"> בקומה הוא קמה, זקוף הוא נצבה:</w:t>
      </w:r>
    </w:p>
  </w:footnote>
  <w:footnote w:id="1097">
    <w:p w:rsidR="00A13282" w:rsidRDefault="00A13282">
      <w:pPr>
        <w:pStyle w:val="a5"/>
        <w:rPr>
          <w:rtl/>
        </w:rPr>
      </w:pPr>
      <w:r>
        <w:rPr>
          <w:rStyle w:val="a7"/>
          <w:rtl/>
        </w:rPr>
        <w:footnoteRef/>
      </w:r>
      <w:r>
        <w:rPr>
          <w:rtl/>
        </w:rPr>
        <w:t xml:space="preserve"> </w:t>
      </w:r>
      <w:r>
        <w:rPr>
          <w:b/>
          <w:bCs/>
          <w:rtl/>
        </w:rPr>
        <w:t>וביה אסתלק יוסף בחלמא וכן יעקב.</w:t>
      </w:r>
      <w:r>
        <w:rPr>
          <w:rtl/>
        </w:rPr>
        <w:t xml:space="preserve"> רוצה לומר שא' בחולם הוא ת"ת כמו שמפרש והולך והוא מדרגת יעקב. וחולם שעל הא' הוא כתר ששם סליק ת"ת ולכן אסתלק ביה יעקב. וכן יוסף שביסוד נכללין כל הה' אורות, ה' נקודות הנ"ל ובנקודת חולם הוא עולה לכתר. וה' אותיות הן במלכות, ה' גוונין. וה' נקודות הן ה' אורות של ה' עילאה שמתפשטין בה' ספירות ונכללין ביסוד:</w:t>
      </w:r>
    </w:p>
  </w:footnote>
  <w:footnote w:id="1098">
    <w:p w:rsidR="00A13282" w:rsidRDefault="00A13282">
      <w:pPr>
        <w:pStyle w:val="a5"/>
        <w:rPr>
          <w:rtl/>
        </w:rPr>
      </w:pPr>
      <w:r>
        <w:rPr>
          <w:rStyle w:val="a7"/>
          <w:rtl/>
        </w:rPr>
        <w:footnoteRef/>
      </w:r>
      <w:r>
        <w:rPr>
          <w:rtl/>
        </w:rPr>
        <w:t xml:space="preserve"> </w:t>
      </w:r>
      <w:r>
        <w:rPr>
          <w:b/>
          <w:bCs/>
          <w:rtl/>
        </w:rPr>
        <w:t>והנה סלם.</w:t>
      </w:r>
      <w:r>
        <w:rPr>
          <w:rtl/>
        </w:rPr>
        <w:t xml:space="preserve"> יסוד:</w:t>
      </w:r>
    </w:p>
  </w:footnote>
  <w:footnote w:id="1099">
    <w:p w:rsidR="00A13282" w:rsidRDefault="00A13282">
      <w:pPr>
        <w:pStyle w:val="a5"/>
        <w:rPr>
          <w:rtl/>
        </w:rPr>
      </w:pPr>
      <w:r>
        <w:rPr>
          <w:rStyle w:val="a7"/>
          <w:rtl/>
        </w:rPr>
        <w:footnoteRef/>
      </w:r>
      <w:r>
        <w:rPr>
          <w:rtl/>
        </w:rPr>
        <w:t xml:space="preserve"> </w:t>
      </w:r>
      <w:r>
        <w:rPr>
          <w:b/>
          <w:bCs/>
          <w:rtl/>
        </w:rPr>
        <w:t>מוצב ארצה.</w:t>
      </w:r>
      <w:r>
        <w:rPr>
          <w:rtl/>
        </w:rPr>
        <w:t xml:space="preserve"> במלכות:</w:t>
      </w:r>
    </w:p>
  </w:footnote>
  <w:footnote w:id="1100">
    <w:p w:rsidR="00A13282" w:rsidRDefault="00A13282">
      <w:pPr>
        <w:pStyle w:val="a5"/>
        <w:rPr>
          <w:rtl/>
        </w:rPr>
      </w:pPr>
      <w:r>
        <w:rPr>
          <w:rStyle w:val="a7"/>
          <w:rtl/>
        </w:rPr>
        <w:footnoteRef/>
      </w:r>
      <w:r>
        <w:rPr>
          <w:rtl/>
        </w:rPr>
        <w:t xml:space="preserve"> </w:t>
      </w:r>
      <w:r>
        <w:rPr>
          <w:b/>
          <w:bCs/>
          <w:rtl/>
        </w:rPr>
        <w:t>וראשו מגיע השמימה דא א'.</w:t>
      </w:r>
      <w:r>
        <w:rPr>
          <w:rtl/>
        </w:rPr>
        <w:t xml:space="preserve"> רוצה לומר ת"ת:</w:t>
      </w:r>
    </w:p>
  </w:footnote>
  <w:footnote w:id="1101">
    <w:p w:rsidR="00A13282" w:rsidRDefault="00A13282">
      <w:pPr>
        <w:pStyle w:val="a5"/>
        <w:rPr>
          <w:rtl/>
        </w:rPr>
      </w:pPr>
      <w:r>
        <w:rPr>
          <w:rStyle w:val="a7"/>
          <w:rtl/>
        </w:rPr>
        <w:footnoteRef/>
      </w:r>
      <w:r>
        <w:rPr>
          <w:rtl/>
        </w:rPr>
        <w:t xml:space="preserve"> </w:t>
      </w:r>
      <w:r>
        <w:rPr>
          <w:b/>
          <w:bCs/>
          <w:rtl/>
        </w:rPr>
        <w:t>דאיהו ראש.</w:t>
      </w:r>
      <w:r>
        <w:rPr>
          <w:rtl/>
        </w:rPr>
        <w:t xml:space="preserve"> רוצה לומר אלף הוא ראש לכל האותיות וכן ת"ת ראש של יסוד ומגיע השמימה לבינה, שמים עליונים וזהו השמימה בה' בסוף, ה' עילאה:</w:t>
      </w:r>
    </w:p>
  </w:footnote>
  <w:footnote w:id="1102">
    <w:p w:rsidR="00A13282" w:rsidRDefault="00A13282">
      <w:pPr>
        <w:pStyle w:val="a5"/>
        <w:rPr>
          <w:rtl/>
        </w:rPr>
      </w:pPr>
      <w:r>
        <w:rPr>
          <w:rStyle w:val="a7"/>
          <w:rtl/>
        </w:rPr>
        <w:footnoteRef/>
      </w:r>
      <w:r>
        <w:rPr>
          <w:rtl/>
        </w:rPr>
        <w:t xml:space="preserve"> </w:t>
      </w:r>
      <w:r>
        <w:rPr>
          <w:b/>
          <w:bCs/>
          <w:rtl/>
        </w:rPr>
        <w:t>והנה מלאכי אלקים.</w:t>
      </w:r>
      <w:r>
        <w:rPr>
          <w:rtl/>
        </w:rPr>
        <w:t xml:space="preserve"> רוצה לומר ארבע ספירות ח"ג נ"ה שהן מלאכי של אלקים, בינה:</w:t>
      </w:r>
    </w:p>
  </w:footnote>
  <w:footnote w:id="1103">
    <w:p w:rsidR="00A13282" w:rsidRDefault="00A13282">
      <w:pPr>
        <w:pStyle w:val="a5"/>
        <w:rPr>
          <w:rtl/>
        </w:rPr>
      </w:pPr>
      <w:r>
        <w:rPr>
          <w:rStyle w:val="a7"/>
          <w:rtl/>
        </w:rPr>
        <w:footnoteRef/>
      </w:r>
      <w:r>
        <w:rPr>
          <w:rtl/>
        </w:rPr>
        <w:t xml:space="preserve"> </w:t>
      </w:r>
      <w:r>
        <w:rPr>
          <w:b/>
          <w:bCs/>
          <w:rtl/>
        </w:rPr>
        <w:t>עולים ויורדים בו.</w:t>
      </w:r>
      <w:r>
        <w:rPr>
          <w:rtl/>
        </w:rPr>
        <w:t xml:space="preserve"> בת"ת, ראש הסולם:</w:t>
      </w:r>
    </w:p>
  </w:footnote>
  <w:footnote w:id="1104">
    <w:p w:rsidR="00A13282" w:rsidRDefault="00A13282">
      <w:pPr>
        <w:pStyle w:val="a5"/>
        <w:rPr>
          <w:rtl/>
        </w:rPr>
      </w:pPr>
      <w:r>
        <w:rPr>
          <w:rStyle w:val="a7"/>
          <w:rtl/>
        </w:rPr>
        <w:footnoteRef/>
      </w:r>
      <w:r>
        <w:rPr>
          <w:rtl/>
        </w:rPr>
        <w:t xml:space="preserve"> </w:t>
      </w:r>
      <w:r>
        <w:rPr>
          <w:b/>
          <w:bCs/>
          <w:rtl/>
        </w:rPr>
        <w:t>עולים תרי.</w:t>
      </w:r>
      <w:r>
        <w:rPr>
          <w:rtl/>
        </w:rPr>
        <w:t xml:space="preserve"> ח"ג, למעלה מן ת"ת:</w:t>
      </w:r>
    </w:p>
  </w:footnote>
  <w:footnote w:id="1105">
    <w:p w:rsidR="00A13282" w:rsidRDefault="00A13282">
      <w:pPr>
        <w:pStyle w:val="a5"/>
        <w:rPr>
          <w:rtl/>
        </w:rPr>
      </w:pPr>
      <w:r>
        <w:rPr>
          <w:rStyle w:val="a7"/>
          <w:rtl/>
        </w:rPr>
        <w:footnoteRef/>
      </w:r>
      <w:r>
        <w:rPr>
          <w:rtl/>
        </w:rPr>
        <w:t xml:space="preserve"> </w:t>
      </w:r>
      <w:r>
        <w:rPr>
          <w:b/>
          <w:bCs/>
          <w:rtl/>
        </w:rPr>
        <w:t>ויורדים תרי.</w:t>
      </w:r>
      <w:r>
        <w:rPr>
          <w:rtl/>
        </w:rPr>
        <w:t xml:space="preserve"> נ"ה, למטה מן ת"ת:</w:t>
      </w:r>
    </w:p>
  </w:footnote>
  <w:footnote w:id="1106">
    <w:p w:rsidR="00A13282" w:rsidRDefault="00A13282">
      <w:pPr>
        <w:pStyle w:val="a5"/>
        <w:rPr>
          <w:rtl/>
        </w:rPr>
      </w:pPr>
      <w:r>
        <w:rPr>
          <w:rStyle w:val="a7"/>
          <w:rtl/>
        </w:rPr>
        <w:footnoteRef/>
      </w:r>
      <w:r>
        <w:rPr>
          <w:rtl/>
        </w:rPr>
        <w:t xml:space="preserve"> </w:t>
      </w:r>
      <w:r>
        <w:rPr>
          <w:b/>
          <w:bCs/>
          <w:rtl/>
        </w:rPr>
        <w:t>ואינון אָ אֵ כו'.</w:t>
      </w:r>
      <w:r>
        <w:rPr>
          <w:rtl/>
        </w:rPr>
        <w:t xml:space="preserve"> שתי נקודות קודם החולם, ושנים לאחר חולם. קמץ בימינא כמו שאומר לעיל בהקדמה וקמץ הכהן, וצר"י - בבינה כידוע והן בחו"ג כמו שאומר להלן חכמה נחית בימינא כו', וחולם חירק שורק הן בתנ"ה כידוע זהו סדר הנקודות שמתפשטין בחמש ספירות כנ"ל:</w:t>
      </w:r>
    </w:p>
  </w:footnote>
  <w:footnote w:id="1107">
    <w:p w:rsidR="00A13282" w:rsidRDefault="00A13282">
      <w:pPr>
        <w:pStyle w:val="a5"/>
        <w:rPr>
          <w:rtl/>
        </w:rPr>
      </w:pPr>
      <w:r>
        <w:rPr>
          <w:rStyle w:val="a7"/>
          <w:rtl/>
        </w:rPr>
        <w:footnoteRef/>
      </w:r>
      <w:r>
        <w:rPr>
          <w:rtl/>
        </w:rPr>
        <w:t xml:space="preserve"> </w:t>
      </w:r>
      <w:r>
        <w:rPr>
          <w:b/>
          <w:bCs/>
          <w:rtl/>
        </w:rPr>
        <w:t>דאסחר על רישא דעמודא דאמצעיתא ובג"ד כו'.</w:t>
      </w:r>
      <w:r>
        <w:rPr>
          <w:rtl/>
        </w:rPr>
        <w:t xml:space="preserve"> רוצה לומר שלחולם הן משתחוין כולם, כל הנקודות, ואמר על רישא כמו שכתוב וראשו מגיע כו':</w:t>
      </w:r>
    </w:p>
  </w:footnote>
  <w:footnote w:id="1108">
    <w:p w:rsidR="00A13282" w:rsidRDefault="00A13282">
      <w:pPr>
        <w:pStyle w:val="a5"/>
        <w:rPr>
          <w:rtl/>
        </w:rPr>
      </w:pPr>
      <w:r>
        <w:rPr>
          <w:rStyle w:val="a7"/>
          <w:rtl/>
        </w:rPr>
        <w:footnoteRef/>
      </w:r>
      <w:r>
        <w:rPr>
          <w:rtl/>
        </w:rPr>
        <w:t xml:space="preserve"> </w:t>
      </w:r>
      <w:r>
        <w:rPr>
          <w:b/>
          <w:bCs/>
          <w:rtl/>
        </w:rPr>
        <w:t>דלא בידין.</w:t>
      </w:r>
      <w:r>
        <w:rPr>
          <w:rtl/>
        </w:rPr>
        <w:t xml:space="preserve"> רוצה לומר ה' נקודות של ה' אצבעאן, דסלקא על גבי כולם:</w:t>
      </w:r>
    </w:p>
  </w:footnote>
  <w:footnote w:id="1109">
    <w:p w:rsidR="00A13282" w:rsidRDefault="00A13282">
      <w:pPr>
        <w:pStyle w:val="a5"/>
        <w:rPr>
          <w:rtl/>
        </w:rPr>
      </w:pPr>
      <w:r>
        <w:rPr>
          <w:rStyle w:val="a7"/>
          <w:rtl/>
        </w:rPr>
        <w:footnoteRef/>
      </w:r>
      <w:r>
        <w:rPr>
          <w:rtl/>
        </w:rPr>
        <w:t xml:space="preserve"> </w:t>
      </w:r>
      <w:r>
        <w:rPr>
          <w:b/>
          <w:bCs/>
          <w:rtl/>
        </w:rPr>
        <w:t>סגולת מלכים.</w:t>
      </w:r>
      <w:r>
        <w:rPr>
          <w:rtl/>
        </w:rPr>
        <w:t xml:space="preserve"> כמו שאומר לעיל בהקדמה שהיא סגולה מכל הגוונין שלה, דאיהו מלכות, ומצידה נקראו ישראל מלכים, כמו שאומר לעיל איהי סגולה דלהון:</w:t>
      </w:r>
    </w:p>
  </w:footnote>
  <w:footnote w:id="1110">
    <w:p w:rsidR="00A13282" w:rsidRDefault="00A13282">
      <w:pPr>
        <w:pStyle w:val="a5"/>
        <w:rPr>
          <w:rtl/>
        </w:rPr>
      </w:pPr>
      <w:r>
        <w:rPr>
          <w:rStyle w:val="a7"/>
          <w:rtl/>
        </w:rPr>
        <w:footnoteRef/>
      </w:r>
      <w:r>
        <w:rPr>
          <w:rtl/>
        </w:rPr>
        <w:t xml:space="preserve"> </w:t>
      </w:r>
      <w:r>
        <w:rPr>
          <w:b/>
          <w:bCs/>
          <w:rtl/>
        </w:rPr>
        <w:t>ואיהי שיחת כו'.</w:t>
      </w:r>
      <w:r>
        <w:rPr>
          <w:rtl/>
        </w:rPr>
        <w:t xml:space="preserve"> כמו שאומר לקמן בשעתא דאיהי סלקא כלהו מצפצפין לגבה בכמה שירין כו':</w:t>
      </w:r>
    </w:p>
  </w:footnote>
  <w:footnote w:id="1111">
    <w:p w:rsidR="00A13282" w:rsidRDefault="00A13282">
      <w:pPr>
        <w:pStyle w:val="a5"/>
        <w:rPr>
          <w:rtl/>
        </w:rPr>
      </w:pPr>
      <w:r>
        <w:rPr>
          <w:rStyle w:val="a7"/>
          <w:rtl/>
        </w:rPr>
        <w:footnoteRef/>
      </w:r>
      <w:r>
        <w:rPr>
          <w:rtl/>
        </w:rPr>
        <w:t xml:space="preserve"> </w:t>
      </w:r>
      <w:r>
        <w:rPr>
          <w:b/>
          <w:bCs/>
          <w:rtl/>
        </w:rPr>
        <w:t>ידיעת שמשא כו'.</w:t>
      </w:r>
      <w:r>
        <w:rPr>
          <w:rtl/>
        </w:rPr>
        <w:t xml:space="preserve"> שבה כל החשבונות כידוע:</w:t>
      </w:r>
    </w:p>
  </w:footnote>
  <w:footnote w:id="1112">
    <w:p w:rsidR="00A13282" w:rsidRDefault="00A13282">
      <w:pPr>
        <w:pStyle w:val="a5"/>
        <w:rPr>
          <w:rtl/>
        </w:rPr>
      </w:pPr>
      <w:r>
        <w:rPr>
          <w:rStyle w:val="a7"/>
          <w:rtl/>
        </w:rPr>
        <w:footnoteRef/>
      </w:r>
      <w:r>
        <w:rPr>
          <w:rtl/>
        </w:rPr>
        <w:t xml:space="preserve"> </w:t>
      </w:r>
      <w:r>
        <w:rPr>
          <w:b/>
          <w:bCs/>
          <w:rtl/>
        </w:rPr>
        <w:t>עת וזמן לכולא.</w:t>
      </w:r>
      <w:r>
        <w:rPr>
          <w:rtl/>
        </w:rPr>
        <w:t xml:space="preserve"> שהיא נקראת עת והיא אחרית הימים:</w:t>
      </w:r>
    </w:p>
  </w:footnote>
  <w:footnote w:id="1113">
    <w:p w:rsidR="00A13282" w:rsidRDefault="00A13282">
      <w:pPr>
        <w:pStyle w:val="a5"/>
        <w:rPr>
          <w:rtl/>
        </w:rPr>
      </w:pPr>
      <w:r>
        <w:rPr>
          <w:rStyle w:val="a7"/>
          <w:rtl/>
        </w:rPr>
        <w:footnoteRef/>
      </w:r>
      <w:r>
        <w:rPr>
          <w:rtl/>
        </w:rPr>
        <w:t xml:space="preserve"> </w:t>
      </w:r>
      <w:r>
        <w:rPr>
          <w:b/>
          <w:bCs/>
          <w:rtl/>
        </w:rPr>
        <w:t>כל טעמי כו'.</w:t>
      </w:r>
      <w:r>
        <w:rPr>
          <w:rtl/>
        </w:rPr>
        <w:t xml:space="preserve"> בכח"ב כמו שאומר לקמן בסוף התיקון:</w:t>
      </w:r>
    </w:p>
  </w:footnote>
  <w:footnote w:id="1114">
    <w:p w:rsidR="00A13282" w:rsidRDefault="00A13282">
      <w:pPr>
        <w:pStyle w:val="a5"/>
        <w:rPr>
          <w:rtl/>
        </w:rPr>
      </w:pPr>
      <w:r>
        <w:rPr>
          <w:rStyle w:val="a7"/>
          <w:rtl/>
        </w:rPr>
        <w:footnoteRef/>
      </w:r>
      <w:r>
        <w:rPr>
          <w:rtl/>
        </w:rPr>
        <w:t xml:space="preserve"> </w:t>
      </w:r>
      <w:r>
        <w:rPr>
          <w:b/>
          <w:bCs/>
          <w:rtl/>
        </w:rPr>
        <w:t>קלא כו'.</w:t>
      </w:r>
      <w:r>
        <w:rPr>
          <w:rtl/>
        </w:rPr>
        <w:t xml:space="preserve"> גם כן שם קלא - בחכמה, דבור - בבינה כמו שאומר בתיקוני זוהר חדש דף ע"ג ע"ב וישמע את הקול מגו אבא כו', ומחשבה - בכתר:</w:t>
      </w:r>
    </w:p>
  </w:footnote>
  <w:footnote w:id="1115">
    <w:p w:rsidR="00A13282" w:rsidRDefault="00A13282">
      <w:pPr>
        <w:pStyle w:val="a5"/>
        <w:rPr>
          <w:rtl/>
        </w:rPr>
      </w:pPr>
      <w:r>
        <w:rPr>
          <w:rStyle w:val="a7"/>
          <w:rtl/>
        </w:rPr>
        <w:footnoteRef/>
      </w:r>
      <w:r>
        <w:rPr>
          <w:rtl/>
        </w:rPr>
        <w:t xml:space="preserve"> </w:t>
      </w:r>
      <w:r>
        <w:rPr>
          <w:b/>
          <w:bCs/>
          <w:rtl/>
        </w:rPr>
        <w:t>כתר תורה כו'.</w:t>
      </w:r>
      <w:r>
        <w:rPr>
          <w:rtl/>
        </w:rPr>
        <w:t xml:space="preserve"> גם כן בכח"ב, וכל זה הוא גם כן למטה, בז’ תחתונות: </w:t>
      </w:r>
      <w:r>
        <w:rPr>
          <w:b/>
          <w:bCs/>
          <w:rtl/>
        </w:rPr>
        <w:t>כתר תורה כו'</w:t>
      </w:r>
      <w:r>
        <w:rPr>
          <w:rtl/>
        </w:rPr>
        <w:t xml:space="preserve"> - מבינה, וכתר כהונה </w:t>
      </w:r>
      <w:r>
        <w:t>–</w:t>
      </w:r>
      <w:r>
        <w:rPr>
          <w:rtl/>
        </w:rPr>
        <w:t xml:space="preserve"> מחכמה כמו שאומר לעיל וקמץ הכהן, וכתר מלכות </w:t>
      </w:r>
      <w:r>
        <w:t>–</w:t>
      </w:r>
      <w:r>
        <w:rPr>
          <w:rtl/>
        </w:rPr>
        <w:t xml:space="preserve"> בכתר כמו שאומר לעיל בהקדמה שניה כתר איהו כתר מלכות כו':</w:t>
      </w:r>
    </w:p>
  </w:footnote>
  <w:footnote w:id="1116">
    <w:p w:rsidR="00A13282" w:rsidRDefault="00A13282">
      <w:pPr>
        <w:pStyle w:val="a5"/>
        <w:rPr>
          <w:rtl/>
        </w:rPr>
      </w:pPr>
      <w:r>
        <w:rPr>
          <w:rStyle w:val="a7"/>
          <w:rtl/>
        </w:rPr>
        <w:footnoteRef/>
      </w:r>
      <w:r>
        <w:rPr>
          <w:rtl/>
        </w:rPr>
        <w:t xml:space="preserve"> </w:t>
      </w:r>
      <w:r>
        <w:rPr>
          <w:b/>
          <w:bCs/>
          <w:rtl/>
        </w:rPr>
        <w:t>כגוונא דא ש.</w:t>
      </w:r>
      <w:r>
        <w:rPr>
          <w:rtl/>
        </w:rPr>
        <w:t xml:space="preserve"> רוצה לומר ג' תגין באות ש', שהוא חג"ת, עטרת בעלה:</w:t>
      </w:r>
    </w:p>
  </w:footnote>
  <w:footnote w:id="1117">
    <w:p w:rsidR="00A13282" w:rsidRDefault="00A13282">
      <w:pPr>
        <w:pStyle w:val="a5"/>
        <w:rPr>
          <w:rtl/>
        </w:rPr>
      </w:pPr>
      <w:r>
        <w:rPr>
          <w:rStyle w:val="a7"/>
          <w:rtl/>
        </w:rPr>
        <w:footnoteRef/>
      </w:r>
      <w:r>
        <w:rPr>
          <w:rtl/>
        </w:rPr>
        <w:t xml:space="preserve"> </w:t>
      </w:r>
      <w:r>
        <w:rPr>
          <w:b/>
          <w:bCs/>
          <w:rtl/>
        </w:rPr>
        <w:t>ועל האי אבנא כו'.</w:t>
      </w:r>
      <w:r>
        <w:rPr>
          <w:rtl/>
        </w:rPr>
        <w:t xml:space="preserve"> רוצה לומר כמו שאומר לקמן בתיקונים שאבני שיש הן מ"ד מ"נ, שהן למעלה באצילות ביחודא, ושניהם הם מ"ט פנים טהור כמו שאומר למעלה בהקדמה, מה שאין כן למטה, בעולמות התחתונים, שחלוקין הן מ"ט פנים טהור מ"ט כו', ועל זה אמרו אל תאמרו מים מים, ששני מיני מים הם. ומ"ד - הוא יו"ד על גבי ו', ומ"נ - יו"ד תחת הו' כנ"ל. וכשהוא על גבי הוא"ו, הוא תגא בראש השי"ן כנ"ל והיא יו"ד על שין, ולמטה - יו"ד תחת השין. וזה אבני שיש, יוד אחר השין למטה - מ"נ, קודם השין למעלה - מ"ד, אל תאמרו כו':</w:t>
      </w:r>
    </w:p>
  </w:footnote>
  <w:footnote w:id="1118">
    <w:p w:rsidR="00A13282" w:rsidRDefault="00A13282">
      <w:pPr>
        <w:pStyle w:val="a5"/>
        <w:rPr>
          <w:rtl/>
        </w:rPr>
      </w:pPr>
      <w:r>
        <w:rPr>
          <w:rStyle w:val="a7"/>
          <w:rtl/>
        </w:rPr>
        <w:footnoteRef/>
      </w:r>
      <w:r>
        <w:rPr>
          <w:rtl/>
        </w:rPr>
        <w:t xml:space="preserve"> </w:t>
      </w:r>
      <w:r>
        <w:rPr>
          <w:b/>
          <w:bCs/>
          <w:rtl/>
        </w:rPr>
        <w:t>ב' כגוונא דא' ד'.</w:t>
      </w:r>
      <w:r>
        <w:rPr>
          <w:rtl/>
        </w:rPr>
        <w:t xml:space="preserve"> רוצה לומר ב' - בינה, ד' - מלכות:</w:t>
      </w:r>
    </w:p>
  </w:footnote>
  <w:footnote w:id="1119">
    <w:p w:rsidR="00A13282" w:rsidRDefault="00A13282">
      <w:pPr>
        <w:pStyle w:val="a5"/>
        <w:rPr>
          <w:rtl/>
        </w:rPr>
      </w:pPr>
      <w:r>
        <w:rPr>
          <w:rStyle w:val="a7"/>
          <w:rtl/>
        </w:rPr>
        <w:footnoteRef/>
      </w:r>
      <w:r>
        <w:rPr>
          <w:rtl/>
        </w:rPr>
        <w:t xml:space="preserve"> </w:t>
      </w:r>
      <w:r>
        <w:rPr>
          <w:b/>
          <w:bCs/>
          <w:rtl/>
        </w:rPr>
        <w:t>שיעור קומה ו'.</w:t>
      </w:r>
      <w:r>
        <w:rPr>
          <w:rtl/>
        </w:rPr>
        <w:t xml:space="preserve"> רוצה לומר שהוא שיעור של קומה, שקומה הוא ו':</w:t>
      </w:r>
    </w:p>
  </w:footnote>
  <w:footnote w:id="1120">
    <w:p w:rsidR="00A13282" w:rsidRDefault="00A13282">
      <w:pPr>
        <w:pStyle w:val="a5"/>
        <w:rPr>
          <w:rtl/>
        </w:rPr>
      </w:pPr>
      <w:r>
        <w:rPr>
          <w:rStyle w:val="a7"/>
          <w:rtl/>
        </w:rPr>
        <w:footnoteRef/>
      </w:r>
      <w:r>
        <w:rPr>
          <w:rtl/>
        </w:rPr>
        <w:t xml:space="preserve"> </w:t>
      </w:r>
      <w:r>
        <w:rPr>
          <w:b/>
          <w:bCs/>
          <w:rtl/>
        </w:rPr>
        <w:t>מעילא לתתא ומתתא לעילא.</w:t>
      </w:r>
      <w:r>
        <w:rPr>
          <w:rtl/>
        </w:rPr>
        <w:t xml:space="preserve"> רוצה לומר שהיא עולה בכולם וכולם נכללין בה:</w:t>
      </w:r>
    </w:p>
  </w:footnote>
  <w:footnote w:id="1121">
    <w:p w:rsidR="00A13282" w:rsidRDefault="00A13282">
      <w:pPr>
        <w:pStyle w:val="a5"/>
        <w:rPr>
          <w:rtl/>
        </w:rPr>
      </w:pPr>
      <w:r>
        <w:rPr>
          <w:rStyle w:val="a7"/>
          <w:rtl/>
        </w:rPr>
        <w:footnoteRef/>
      </w:r>
      <w:r>
        <w:rPr>
          <w:rtl/>
        </w:rPr>
        <w:t xml:space="preserve"> </w:t>
      </w:r>
      <w:r>
        <w:rPr>
          <w:b/>
          <w:bCs/>
          <w:rtl/>
        </w:rPr>
        <w:t>ורזא דמלה ולמקצה השמים.</w:t>
      </w:r>
      <w:r>
        <w:rPr>
          <w:rtl/>
        </w:rPr>
        <w:t xml:space="preserve"> למעלה:</w:t>
      </w:r>
    </w:p>
  </w:footnote>
  <w:footnote w:id="1122">
    <w:p w:rsidR="00A13282" w:rsidRDefault="00A13282">
      <w:pPr>
        <w:pStyle w:val="a5"/>
        <w:rPr>
          <w:rtl/>
        </w:rPr>
      </w:pPr>
      <w:r>
        <w:rPr>
          <w:rStyle w:val="a7"/>
          <w:rtl/>
        </w:rPr>
        <w:footnoteRef/>
      </w:r>
      <w:r>
        <w:rPr>
          <w:rtl/>
        </w:rPr>
        <w:t xml:space="preserve"> </w:t>
      </w:r>
      <w:r>
        <w:rPr>
          <w:b/>
          <w:bCs/>
          <w:rtl/>
        </w:rPr>
        <w:t>ועד קצה השמים.</w:t>
      </w:r>
      <w:r>
        <w:rPr>
          <w:rtl/>
        </w:rPr>
        <w:t xml:space="preserve"> לתתא:</w:t>
      </w:r>
    </w:p>
  </w:footnote>
  <w:footnote w:id="1123">
    <w:p w:rsidR="00A13282" w:rsidRDefault="00A13282">
      <w:pPr>
        <w:pStyle w:val="a5"/>
        <w:rPr>
          <w:rtl/>
        </w:rPr>
      </w:pPr>
      <w:r>
        <w:rPr>
          <w:rStyle w:val="a7"/>
          <w:rtl/>
        </w:rPr>
        <w:footnoteRef/>
      </w:r>
      <w:r>
        <w:rPr>
          <w:rtl/>
        </w:rPr>
        <w:t xml:space="preserve"> </w:t>
      </w:r>
      <w:r>
        <w:rPr>
          <w:b/>
          <w:bCs/>
          <w:rtl/>
        </w:rPr>
        <w:t>צפצוף עופין קדישין.</w:t>
      </w:r>
      <w:r>
        <w:rPr>
          <w:rtl/>
        </w:rPr>
        <w:t xml:space="preserve"> חיות הקודש:</w:t>
      </w:r>
    </w:p>
  </w:footnote>
  <w:footnote w:id="1124">
    <w:p w:rsidR="00A13282" w:rsidRDefault="00A13282">
      <w:pPr>
        <w:pStyle w:val="a5"/>
        <w:rPr>
          <w:rtl/>
        </w:rPr>
      </w:pPr>
      <w:r>
        <w:rPr>
          <w:rStyle w:val="a7"/>
          <w:rtl/>
        </w:rPr>
        <w:footnoteRef/>
      </w:r>
      <w:r>
        <w:rPr>
          <w:rtl/>
        </w:rPr>
        <w:t xml:space="preserve"> </w:t>
      </w:r>
      <w:r>
        <w:rPr>
          <w:b/>
          <w:bCs/>
          <w:rtl/>
        </w:rPr>
        <w:t>דאתמר בהון כי עוף השמים כו'.</w:t>
      </w:r>
      <w:r>
        <w:rPr>
          <w:rtl/>
        </w:rPr>
        <w:t xml:space="preserve"> קאי על החיות שהן עוף השמים - ת"ת, דהוא מקנן בהם כמו שאומר לקמן:</w:t>
      </w:r>
    </w:p>
  </w:footnote>
  <w:footnote w:id="1125">
    <w:p w:rsidR="00A13282" w:rsidRDefault="00A13282">
      <w:pPr>
        <w:pStyle w:val="a5"/>
        <w:rPr>
          <w:rtl/>
        </w:rPr>
      </w:pPr>
      <w:r>
        <w:rPr>
          <w:rStyle w:val="a7"/>
          <w:rtl/>
        </w:rPr>
        <w:footnoteRef/>
      </w:r>
      <w:r>
        <w:rPr>
          <w:rtl/>
        </w:rPr>
        <w:t xml:space="preserve"> </w:t>
      </w:r>
      <w:r>
        <w:rPr>
          <w:b/>
          <w:bCs/>
          <w:rtl/>
        </w:rPr>
        <w:t>יוליך את הקול.</w:t>
      </w:r>
      <w:r>
        <w:rPr>
          <w:rtl/>
        </w:rPr>
        <w:t xml:space="preserve"> קול דקריאת שמע כמו שאומר בהקדמה לעיל:</w:t>
      </w:r>
    </w:p>
  </w:footnote>
  <w:footnote w:id="1126">
    <w:p w:rsidR="00A13282" w:rsidRDefault="00A13282">
      <w:pPr>
        <w:pStyle w:val="a5"/>
        <w:rPr>
          <w:rtl/>
        </w:rPr>
      </w:pPr>
      <w:r>
        <w:rPr>
          <w:rStyle w:val="a7"/>
          <w:rtl/>
        </w:rPr>
        <w:footnoteRef/>
      </w:r>
      <w:r>
        <w:rPr>
          <w:rtl/>
        </w:rPr>
        <w:t xml:space="preserve"> </w:t>
      </w:r>
      <w:r>
        <w:rPr>
          <w:b/>
          <w:bCs/>
          <w:rtl/>
        </w:rPr>
        <w:t>דאינון ת"ח.</w:t>
      </w:r>
      <w:r>
        <w:rPr>
          <w:rtl/>
        </w:rPr>
        <w:t xml:space="preserve"> שכל שיחתן בה, שהיא הלכה כמו שאומר לעיל:</w:t>
      </w:r>
    </w:p>
  </w:footnote>
  <w:footnote w:id="1127">
    <w:p w:rsidR="00A13282" w:rsidRDefault="00A13282">
      <w:pPr>
        <w:pStyle w:val="a5"/>
        <w:rPr>
          <w:rtl/>
        </w:rPr>
      </w:pPr>
      <w:r>
        <w:rPr>
          <w:rStyle w:val="a7"/>
          <w:rtl/>
        </w:rPr>
        <w:footnoteRef/>
      </w:r>
      <w:r>
        <w:rPr>
          <w:rtl/>
        </w:rPr>
        <w:t xml:space="preserve"> </w:t>
      </w:r>
      <w:r>
        <w:rPr>
          <w:b/>
          <w:bCs/>
          <w:rtl/>
        </w:rPr>
        <w:t>ובגינה אתמר ויצא כו'.</w:t>
      </w:r>
      <w:r>
        <w:rPr>
          <w:rtl/>
        </w:rPr>
        <w:t xml:space="preserve"> שהיא שיחת, רוצה לומר תפלת הכל, שהיא נקראת תפלה ובה הוא התפלה כמו שאומר לעיל:</w:t>
      </w:r>
    </w:p>
  </w:footnote>
  <w:footnote w:id="1128">
    <w:p w:rsidR="00A13282" w:rsidRDefault="00A13282">
      <w:pPr>
        <w:pStyle w:val="a5"/>
        <w:rPr>
          <w:rtl/>
        </w:rPr>
      </w:pPr>
      <w:r>
        <w:rPr>
          <w:rStyle w:val="a7"/>
          <w:rtl/>
        </w:rPr>
        <w:footnoteRef/>
      </w:r>
      <w:r>
        <w:rPr>
          <w:rtl/>
        </w:rPr>
        <w:t xml:space="preserve"> </w:t>
      </w:r>
      <w:r>
        <w:rPr>
          <w:b/>
          <w:bCs/>
          <w:rtl/>
        </w:rPr>
        <w:t>תפלת ערבית רשות.</w:t>
      </w:r>
      <w:r>
        <w:rPr>
          <w:rtl/>
        </w:rPr>
        <w:t xml:space="preserve"> דאיהי רה"ר: </w:t>
      </w:r>
      <w:r>
        <w:rPr>
          <w:b/>
          <w:bCs/>
          <w:rtl/>
        </w:rPr>
        <w:t>תפלת ערבית רשות כו'.</w:t>
      </w:r>
      <w:r>
        <w:rPr>
          <w:rtl/>
        </w:rPr>
        <w:t xml:space="preserve"> רוצה לומר ביום, התפילה לחבר התפילה עם מדת היום ולכך היא חובה אבל בלילה שאין התפילה אלא מצד עצמה, לא לקשר, שבלילה אינה ברשות בעלה כמו שמפרש והולך, לכך היא רשות:</w:t>
      </w:r>
    </w:p>
  </w:footnote>
  <w:footnote w:id="1129">
    <w:p w:rsidR="00A13282" w:rsidRDefault="00A13282">
      <w:pPr>
        <w:pStyle w:val="a5"/>
        <w:rPr>
          <w:rtl/>
        </w:rPr>
      </w:pPr>
      <w:r>
        <w:rPr>
          <w:rStyle w:val="a7"/>
          <w:rtl/>
        </w:rPr>
        <w:footnoteRef/>
      </w:r>
      <w:r>
        <w:rPr>
          <w:rtl/>
        </w:rPr>
        <w:t xml:space="preserve"> </w:t>
      </w:r>
      <w:r>
        <w:rPr>
          <w:b/>
          <w:bCs/>
          <w:rtl/>
        </w:rPr>
        <w:t>ובג"ד ל"ל קביעותא כו'.</w:t>
      </w:r>
      <w:r>
        <w:rPr>
          <w:rtl/>
        </w:rPr>
        <w:t xml:space="preserve"> רוצה לומר שאמרו במתניתין (ברכות כו ע"א) תפילת הערב אין לה קבע, ופירשו בגמרא (שם כז ע"ב) שהיא רשות:</w:t>
      </w:r>
    </w:p>
  </w:footnote>
  <w:footnote w:id="1130">
    <w:p w:rsidR="00A13282" w:rsidRDefault="00A13282">
      <w:pPr>
        <w:pStyle w:val="a5"/>
        <w:rPr>
          <w:rtl/>
        </w:rPr>
      </w:pPr>
      <w:r>
        <w:rPr>
          <w:rStyle w:val="a7"/>
          <w:rtl/>
        </w:rPr>
        <w:footnoteRef/>
      </w:r>
      <w:r>
        <w:rPr>
          <w:rtl/>
        </w:rPr>
        <w:t xml:space="preserve"> </w:t>
      </w:r>
      <w:r>
        <w:rPr>
          <w:b/>
          <w:bCs/>
          <w:rtl/>
        </w:rPr>
        <w:t>זכאה איהו מאן דפגע בה.</w:t>
      </w:r>
      <w:r>
        <w:rPr>
          <w:rtl/>
        </w:rPr>
        <w:t xml:space="preserve"> רוצה לומר שמשתכחת השכינה עמו תמיד, ולו בוודאי תפילת ערבית קבע כמו שמפרש והולך:</w:t>
      </w:r>
    </w:p>
  </w:footnote>
  <w:footnote w:id="1131">
    <w:p w:rsidR="00A13282" w:rsidRDefault="00A13282">
      <w:pPr>
        <w:pStyle w:val="a5"/>
        <w:rPr>
          <w:rtl/>
        </w:rPr>
      </w:pPr>
      <w:r>
        <w:rPr>
          <w:rStyle w:val="a7"/>
          <w:rtl/>
        </w:rPr>
        <w:footnoteRef/>
      </w:r>
      <w:r>
        <w:rPr>
          <w:rtl/>
        </w:rPr>
        <w:t xml:space="preserve"> </w:t>
      </w:r>
      <w:r>
        <w:rPr>
          <w:b/>
          <w:bCs/>
          <w:rtl/>
        </w:rPr>
        <w:t>כגון יעקב כו'.</w:t>
      </w:r>
      <w:r>
        <w:rPr>
          <w:rtl/>
        </w:rPr>
        <w:t xml:space="preserve"> ולכך יעקב תיקן תפילת ערבית:</w:t>
      </w:r>
    </w:p>
  </w:footnote>
  <w:footnote w:id="1132">
    <w:p w:rsidR="00A13282" w:rsidRDefault="00A13282">
      <w:pPr>
        <w:pStyle w:val="a5"/>
        <w:rPr>
          <w:rtl/>
        </w:rPr>
      </w:pPr>
      <w:r>
        <w:rPr>
          <w:rStyle w:val="a7"/>
          <w:rtl/>
        </w:rPr>
        <w:footnoteRef/>
      </w:r>
      <w:r>
        <w:rPr>
          <w:rtl/>
        </w:rPr>
        <w:t xml:space="preserve"> </w:t>
      </w:r>
      <w:r>
        <w:rPr>
          <w:b/>
          <w:bCs/>
          <w:rtl/>
        </w:rPr>
        <w:t>ויפגע במקום.</w:t>
      </w:r>
      <w:r>
        <w:rPr>
          <w:rtl/>
        </w:rPr>
        <w:t xml:space="preserve"> מקום הוא השכינה כמו שאומר לקמן עד אמצא מקום לה' כו':</w:t>
      </w:r>
    </w:p>
  </w:footnote>
  <w:footnote w:id="1133">
    <w:p w:rsidR="00A13282" w:rsidRDefault="00A13282">
      <w:pPr>
        <w:pStyle w:val="a5"/>
        <w:rPr>
          <w:rtl/>
        </w:rPr>
      </w:pPr>
      <w:r>
        <w:rPr>
          <w:rStyle w:val="a7"/>
          <w:rtl/>
        </w:rPr>
        <w:footnoteRef/>
      </w:r>
      <w:r>
        <w:rPr>
          <w:rtl/>
        </w:rPr>
        <w:t xml:space="preserve"> </w:t>
      </w:r>
      <w:r>
        <w:rPr>
          <w:b/>
          <w:bCs/>
          <w:rtl/>
        </w:rPr>
        <w:t>וילן שם.</w:t>
      </w:r>
      <w:r>
        <w:rPr>
          <w:rtl/>
        </w:rPr>
        <w:t xml:space="preserve"> במקום, עמה, שקושר את השכינה בלילה עם האדם, ואח"כ כשבא היום, קושר לקב"ה עמה. וזה שאומר </w:t>
      </w:r>
      <w:r>
        <w:rPr>
          <w:b/>
          <w:bCs/>
          <w:rtl/>
        </w:rPr>
        <w:t>כי בא השמש</w:t>
      </w:r>
      <w:r>
        <w:rPr>
          <w:rtl/>
        </w:rPr>
        <w:t xml:space="preserve"> שהוא בעלה כמו שאומר לקמן כי שמש ומגן כו', וזה שאומר</w:t>
      </w:r>
      <w:r>
        <w:rPr>
          <w:b/>
          <w:bCs/>
          <w:rtl/>
        </w:rPr>
        <w:t xml:space="preserve"> עד דאתא בעלה כו'</w:t>
      </w:r>
      <w:r>
        <w:rPr>
          <w:rtl/>
        </w:rPr>
        <w:t>:</w:t>
      </w:r>
    </w:p>
  </w:footnote>
  <w:footnote w:id="1134">
    <w:p w:rsidR="00A13282" w:rsidRDefault="00A13282">
      <w:pPr>
        <w:pStyle w:val="a5"/>
        <w:rPr>
          <w:rtl/>
        </w:rPr>
      </w:pPr>
      <w:r>
        <w:rPr>
          <w:rStyle w:val="a7"/>
          <w:rtl/>
        </w:rPr>
        <w:footnoteRef/>
      </w:r>
      <w:r>
        <w:rPr>
          <w:rtl/>
        </w:rPr>
        <w:t xml:space="preserve"> </w:t>
      </w:r>
      <w:r>
        <w:rPr>
          <w:b/>
          <w:bCs/>
          <w:rtl/>
        </w:rPr>
        <w:t>מתמן ואילך קבעוה חובה.</w:t>
      </w:r>
      <w:r>
        <w:rPr>
          <w:rtl/>
        </w:rPr>
        <w:t xml:space="preserve"> הוא לשון הירושלמי, ומפרש לקמן דרוצה לומר משם ואילך, כשמתחיל היום, קבעוה, רוצה לומר לשכינה, חובה עם בעלה:</w:t>
      </w:r>
    </w:p>
  </w:footnote>
  <w:footnote w:id="1135">
    <w:p w:rsidR="00A13282" w:rsidRDefault="00A13282">
      <w:pPr>
        <w:pStyle w:val="a5"/>
        <w:rPr>
          <w:rtl/>
        </w:rPr>
      </w:pPr>
      <w:r>
        <w:rPr>
          <w:rStyle w:val="a7"/>
          <w:rtl/>
        </w:rPr>
        <w:footnoteRef/>
      </w:r>
      <w:r>
        <w:rPr>
          <w:rtl/>
        </w:rPr>
        <w:t xml:space="preserve"> </w:t>
      </w:r>
      <w:r>
        <w:rPr>
          <w:b/>
          <w:bCs/>
          <w:rtl/>
        </w:rPr>
        <w:t>אתמר ביה ויזרח לו השמש.</w:t>
      </w:r>
      <w:r>
        <w:rPr>
          <w:rtl/>
        </w:rPr>
        <w:t xml:space="preserve"> כנ"ל, דבלילה קשרה עמו, וביום קשר לקב"ה עמה, ונמצא קב"ה קשור עמו, וזה ויזרח לו השמש - קב"ה:</w:t>
      </w:r>
    </w:p>
  </w:footnote>
  <w:footnote w:id="1136">
    <w:p w:rsidR="00A13282" w:rsidRDefault="00A13282">
      <w:pPr>
        <w:pStyle w:val="a5"/>
        <w:rPr>
          <w:rtl/>
        </w:rPr>
      </w:pPr>
      <w:r>
        <w:rPr>
          <w:rStyle w:val="a7"/>
          <w:rtl/>
        </w:rPr>
        <w:footnoteRef/>
      </w:r>
      <w:r>
        <w:rPr>
          <w:rtl/>
        </w:rPr>
        <w:t xml:space="preserve"> </w:t>
      </w:r>
      <w:r>
        <w:rPr>
          <w:b/>
          <w:bCs/>
          <w:rtl/>
        </w:rPr>
        <w:t>מתמן ואילך קשר כו'.</w:t>
      </w:r>
      <w:r>
        <w:rPr>
          <w:rtl/>
        </w:rPr>
        <w:t xml:space="preserve"> כאן מפרש מה שאמר לעיל מתמן ואילך קבעוה חובה:</w:t>
      </w:r>
    </w:p>
  </w:footnote>
  <w:footnote w:id="1137">
    <w:p w:rsidR="00A13282" w:rsidRDefault="00A13282">
      <w:pPr>
        <w:pStyle w:val="a5"/>
        <w:rPr>
          <w:rtl/>
        </w:rPr>
      </w:pPr>
      <w:r>
        <w:rPr>
          <w:rStyle w:val="a7"/>
          <w:rtl/>
        </w:rPr>
        <w:footnoteRef/>
      </w:r>
      <w:r>
        <w:rPr>
          <w:rtl/>
        </w:rPr>
        <w:t xml:space="preserve"> </w:t>
      </w:r>
      <w:r>
        <w:rPr>
          <w:b/>
          <w:bCs/>
          <w:rtl/>
        </w:rPr>
        <w:t>קשר לה עמיה.</w:t>
      </w:r>
      <w:r>
        <w:rPr>
          <w:rtl/>
        </w:rPr>
        <w:t xml:space="preserve"> רוצה לומר עם קב"ה:</w:t>
      </w:r>
    </w:p>
  </w:footnote>
  <w:footnote w:id="1138">
    <w:p w:rsidR="00A13282" w:rsidRDefault="00A13282">
      <w:pPr>
        <w:pStyle w:val="a5"/>
        <w:rPr>
          <w:rtl/>
        </w:rPr>
      </w:pPr>
      <w:r>
        <w:rPr>
          <w:rStyle w:val="a7"/>
          <w:rtl/>
        </w:rPr>
        <w:footnoteRef/>
      </w:r>
      <w:r>
        <w:rPr>
          <w:rtl/>
        </w:rPr>
        <w:t xml:space="preserve"> </w:t>
      </w:r>
      <w:r>
        <w:rPr>
          <w:b/>
          <w:bCs/>
          <w:rtl/>
        </w:rPr>
        <w:t>מסטרא דשמאלא כו'.</w:t>
      </w:r>
      <w:r>
        <w:rPr>
          <w:rtl/>
        </w:rPr>
        <w:t xml:space="preserve"> שם קשור אבל מסטרא דימינא שוי כו' ששם אינו קשור, רק כתר תפילין ולכך תחילה תפלין של יד, דסדר היחוד הוא תחילה מצד שמאל, שמאלו תחת לראשי וימינו תחבקני ואח"כ בגופא, וזהו קריאת שמע, עמודא דאמצעיתא כידוע, וזה כל הקורא קריאת שמע בלא תפילין כו', ואח"כ התפילה - במלכות, ד' אותיות הוי"ה:</w:t>
      </w:r>
    </w:p>
  </w:footnote>
  <w:footnote w:id="1139">
    <w:p w:rsidR="00A13282" w:rsidRDefault="00A13282">
      <w:pPr>
        <w:pStyle w:val="a5"/>
        <w:rPr>
          <w:rtl/>
        </w:rPr>
      </w:pPr>
      <w:r>
        <w:rPr>
          <w:rStyle w:val="a7"/>
          <w:rtl/>
        </w:rPr>
        <w:footnoteRef/>
      </w:r>
      <w:r>
        <w:rPr>
          <w:rtl/>
        </w:rPr>
        <w:t xml:space="preserve"> </w:t>
      </w:r>
      <w:r>
        <w:rPr>
          <w:b/>
          <w:bCs/>
          <w:rtl/>
        </w:rPr>
        <w:t>ישחרונני.</w:t>
      </w:r>
      <w:r>
        <w:rPr>
          <w:rtl/>
        </w:rPr>
        <w:t xml:space="preserve"> רוצה לומר בשחר:</w:t>
      </w:r>
    </w:p>
  </w:footnote>
  <w:footnote w:id="1140">
    <w:p w:rsidR="00A13282" w:rsidRDefault="00A13282">
      <w:pPr>
        <w:pStyle w:val="a5"/>
        <w:rPr>
          <w:rtl/>
        </w:rPr>
      </w:pPr>
      <w:r>
        <w:rPr>
          <w:rStyle w:val="a7"/>
          <w:rtl/>
        </w:rPr>
        <w:footnoteRef/>
      </w:r>
      <w:r>
        <w:rPr>
          <w:rtl/>
        </w:rPr>
        <w:t xml:space="preserve"> </w:t>
      </w:r>
      <w:r>
        <w:rPr>
          <w:b/>
          <w:bCs/>
          <w:rtl/>
        </w:rPr>
        <w:t>ואז כו'.</w:t>
      </w:r>
      <w:r>
        <w:rPr>
          <w:rtl/>
        </w:rPr>
        <w:t xml:space="preserve"> רוצה לומר, אז - הן ח' אותיות הוי"ה ואדנ"י - ביחוד, כמו שאומר לקמן, ולכך ימצאונני:</w:t>
      </w:r>
    </w:p>
  </w:footnote>
  <w:footnote w:id="1141">
    <w:p w:rsidR="00A13282" w:rsidRDefault="00A13282">
      <w:pPr>
        <w:pStyle w:val="a5"/>
        <w:rPr>
          <w:rtl/>
        </w:rPr>
      </w:pPr>
      <w:r>
        <w:rPr>
          <w:rStyle w:val="a7"/>
          <w:rtl/>
        </w:rPr>
        <w:footnoteRef/>
      </w:r>
      <w:r>
        <w:rPr>
          <w:rtl/>
        </w:rPr>
        <w:t xml:space="preserve"> </w:t>
      </w:r>
      <w:r>
        <w:rPr>
          <w:b/>
          <w:bCs/>
          <w:rtl/>
        </w:rPr>
        <w:t>אל תתודע לרשות.</w:t>
      </w:r>
      <w:r>
        <w:rPr>
          <w:rtl/>
        </w:rPr>
        <w:t xml:space="preserve"> רוצה לומר שלא תקח אותה בלא בעלה ולכך אסור השררות בגלות, שהשררות הוא מסטרא דמלכות, ובגלות היא בלא בעלה:</w:t>
      </w:r>
    </w:p>
  </w:footnote>
  <w:footnote w:id="1142">
    <w:p w:rsidR="00A13282" w:rsidRDefault="00A13282">
      <w:pPr>
        <w:pStyle w:val="a5"/>
        <w:rPr>
          <w:rtl/>
        </w:rPr>
      </w:pPr>
      <w:r>
        <w:rPr>
          <w:rStyle w:val="a7"/>
          <w:rtl/>
        </w:rPr>
        <w:footnoteRef/>
      </w:r>
      <w:r>
        <w:rPr>
          <w:rtl/>
        </w:rPr>
        <w:t xml:space="preserve"> </w:t>
      </w:r>
      <w:r>
        <w:rPr>
          <w:b/>
          <w:bCs/>
          <w:rtl/>
        </w:rPr>
        <w:t>עד אמצא מקום לה'.</w:t>
      </w:r>
      <w:r>
        <w:rPr>
          <w:rtl/>
        </w:rPr>
        <w:t xml:space="preserve"> שתתייחד המקום עם ה' הנ"ל ואצל יעקב נאמר ויפגע במקום שהוא בדרגא דעמודא דאמצעיתא, פגע במקום, ודוד שהוא בדרגא דמקום, אמר אמצא מקום, שימצאה:</w:t>
      </w:r>
    </w:p>
  </w:footnote>
  <w:footnote w:id="1143">
    <w:p w:rsidR="00A13282" w:rsidRDefault="00A13282">
      <w:pPr>
        <w:pStyle w:val="a5"/>
        <w:rPr>
          <w:rtl/>
        </w:rPr>
      </w:pPr>
      <w:r>
        <w:rPr>
          <w:rStyle w:val="a7"/>
          <w:rtl/>
        </w:rPr>
        <w:footnoteRef/>
      </w:r>
      <w:r>
        <w:rPr>
          <w:rtl/>
        </w:rPr>
        <w:t xml:space="preserve"> </w:t>
      </w:r>
      <w:r>
        <w:rPr>
          <w:b/>
          <w:bCs/>
          <w:rtl/>
        </w:rPr>
        <w:t>דמחשבה עילאה ותתאה.</w:t>
      </w:r>
      <w:r>
        <w:rPr>
          <w:rtl/>
        </w:rPr>
        <w:t xml:space="preserve"> רוצה לומר חכמה ומלכות שהיא חכמה תתאה:</w:t>
      </w:r>
    </w:p>
  </w:footnote>
  <w:footnote w:id="1144">
    <w:p w:rsidR="00A13282" w:rsidRDefault="00A13282">
      <w:pPr>
        <w:pStyle w:val="a5"/>
        <w:rPr>
          <w:rtl/>
        </w:rPr>
      </w:pPr>
      <w:r>
        <w:rPr>
          <w:rStyle w:val="a7"/>
          <w:rtl/>
        </w:rPr>
        <w:footnoteRef/>
      </w:r>
      <w:r>
        <w:rPr>
          <w:rtl/>
        </w:rPr>
        <w:t xml:space="preserve"> </w:t>
      </w:r>
      <w:r>
        <w:rPr>
          <w:b/>
          <w:bCs/>
          <w:rtl/>
        </w:rPr>
        <w:t>דאיהו נקודה.</w:t>
      </w:r>
      <w:r>
        <w:rPr>
          <w:rtl/>
        </w:rPr>
        <w:t xml:space="preserve"> רוצה לומר מלכות:</w:t>
      </w:r>
    </w:p>
  </w:footnote>
  <w:footnote w:id="1145">
    <w:p w:rsidR="00A13282" w:rsidRDefault="00A13282">
      <w:pPr>
        <w:pStyle w:val="a5"/>
        <w:rPr>
          <w:rtl/>
        </w:rPr>
      </w:pPr>
      <w:r>
        <w:rPr>
          <w:rStyle w:val="a7"/>
          <w:rtl/>
        </w:rPr>
        <w:footnoteRef/>
      </w:r>
      <w:r>
        <w:rPr>
          <w:rStyle w:val="a7"/>
          <w:rtl/>
        </w:rPr>
        <w:t xml:space="preserve"> </w:t>
      </w:r>
      <w:r>
        <w:rPr>
          <w:b/>
          <w:bCs/>
          <w:rtl/>
        </w:rPr>
        <w:t>דכמה דאתוון כו'.</w:t>
      </w:r>
      <w:r>
        <w:rPr>
          <w:rtl/>
        </w:rPr>
        <w:t xml:space="preserve"> כמו שאומר בזוהר שיר השירים בסופו עיין שם:</w:t>
      </w:r>
    </w:p>
  </w:footnote>
  <w:footnote w:id="1146">
    <w:p w:rsidR="00A13282" w:rsidRDefault="00A13282">
      <w:pPr>
        <w:pStyle w:val="a5"/>
        <w:rPr>
          <w:rtl/>
        </w:rPr>
      </w:pPr>
      <w:r>
        <w:rPr>
          <w:rStyle w:val="a7"/>
          <w:rtl/>
        </w:rPr>
        <w:footnoteRef/>
      </w:r>
      <w:r>
        <w:rPr>
          <w:rtl/>
        </w:rPr>
        <w:t xml:space="preserve"> </w:t>
      </w:r>
      <w:r>
        <w:rPr>
          <w:b/>
          <w:bCs/>
          <w:rtl/>
        </w:rPr>
        <w:t>אבל אתוון כו'.</w:t>
      </w:r>
      <w:r>
        <w:rPr>
          <w:rtl/>
        </w:rPr>
        <w:t xml:space="preserve"> שמן הנקודות באים האותיות כמו באלף, נקודה שעל האלף ותחתיו כנ"ל:</w:t>
      </w:r>
    </w:p>
  </w:footnote>
  <w:footnote w:id="1147">
    <w:p w:rsidR="00A13282" w:rsidRDefault="00A13282">
      <w:pPr>
        <w:pStyle w:val="a5"/>
        <w:rPr>
          <w:rtl/>
        </w:rPr>
      </w:pPr>
      <w:r>
        <w:rPr>
          <w:rStyle w:val="a7"/>
          <w:rtl/>
        </w:rPr>
        <w:footnoteRef/>
      </w:r>
      <w:r>
        <w:rPr>
          <w:rtl/>
        </w:rPr>
        <w:t xml:space="preserve"> </w:t>
      </w:r>
      <w:r>
        <w:rPr>
          <w:b/>
          <w:bCs/>
          <w:rtl/>
        </w:rPr>
        <w:t>וכן נקודי כו'.</w:t>
      </w:r>
      <w:r>
        <w:rPr>
          <w:rtl/>
        </w:rPr>
        <w:t xml:space="preserve"> רוצה לומר כמו באלף:</w:t>
      </w:r>
    </w:p>
  </w:footnote>
  <w:footnote w:id="1148">
    <w:p w:rsidR="00A13282" w:rsidRDefault="00A13282">
      <w:pPr>
        <w:pStyle w:val="a5"/>
        <w:rPr>
          <w:rtl/>
        </w:rPr>
      </w:pPr>
      <w:r>
        <w:rPr>
          <w:rStyle w:val="a7"/>
          <w:rtl/>
        </w:rPr>
        <w:footnoteRef/>
      </w:r>
      <w:r>
        <w:rPr>
          <w:rtl/>
        </w:rPr>
        <w:t xml:space="preserve"> </w:t>
      </w:r>
      <w:r>
        <w:rPr>
          <w:b/>
          <w:bCs/>
          <w:rtl/>
        </w:rPr>
        <w:t>חלם לעילא כו'.</w:t>
      </w:r>
      <w:r>
        <w:rPr>
          <w:rtl/>
        </w:rPr>
        <w:t xml:space="preserve"> בסוד עטרת בעלה:</w:t>
      </w:r>
    </w:p>
  </w:footnote>
  <w:footnote w:id="1149">
    <w:p w:rsidR="00A13282" w:rsidRDefault="00A13282">
      <w:pPr>
        <w:pStyle w:val="a5"/>
        <w:rPr>
          <w:rtl/>
        </w:rPr>
      </w:pPr>
      <w:r>
        <w:rPr>
          <w:rStyle w:val="a7"/>
          <w:rtl/>
        </w:rPr>
        <w:footnoteRef/>
      </w:r>
      <w:r>
        <w:rPr>
          <w:rtl/>
        </w:rPr>
        <w:t xml:space="preserve"> </w:t>
      </w:r>
      <w:r>
        <w:rPr>
          <w:b/>
          <w:bCs/>
          <w:rtl/>
        </w:rPr>
        <w:t>חירק לתתא.</w:t>
      </w:r>
      <w:r>
        <w:rPr>
          <w:rtl/>
        </w:rPr>
        <w:t xml:space="preserve"> בסוד חיה תחת אלקי ישראל כנ"ל ואז היא יחוד של יסוד כמו שאומר לעיל בסוד ב':</w:t>
      </w:r>
    </w:p>
  </w:footnote>
  <w:footnote w:id="1150">
    <w:p w:rsidR="00A13282" w:rsidRDefault="00A13282">
      <w:pPr>
        <w:pStyle w:val="a5"/>
        <w:rPr>
          <w:rtl/>
        </w:rPr>
      </w:pPr>
      <w:r>
        <w:rPr>
          <w:rStyle w:val="a7"/>
          <w:rtl/>
        </w:rPr>
        <w:footnoteRef/>
      </w:r>
      <w:r>
        <w:rPr>
          <w:rtl/>
        </w:rPr>
        <w:t xml:space="preserve"> </w:t>
      </w:r>
      <w:r>
        <w:rPr>
          <w:b/>
          <w:bCs/>
          <w:rtl/>
        </w:rPr>
        <w:t>שורק באמצעיתא.</w:t>
      </w:r>
      <w:r>
        <w:rPr>
          <w:rtl/>
        </w:rPr>
        <w:t xml:space="preserve"> יחוד עם ת"ת בסוד פרצוף וזהו (ברכות סא ע"א) חד אמר פרצוף וחד אמר כו':</w:t>
      </w:r>
    </w:p>
  </w:footnote>
  <w:footnote w:id="1151">
    <w:p w:rsidR="00A13282" w:rsidRDefault="00A13282">
      <w:pPr>
        <w:pStyle w:val="a5"/>
        <w:rPr>
          <w:rtl/>
        </w:rPr>
      </w:pPr>
      <w:r>
        <w:rPr>
          <w:rStyle w:val="a7"/>
          <w:rtl/>
        </w:rPr>
        <w:footnoteRef/>
      </w:r>
      <w:r>
        <w:rPr>
          <w:rtl/>
        </w:rPr>
        <w:t xml:space="preserve"> </w:t>
      </w:r>
      <w:r>
        <w:rPr>
          <w:b/>
          <w:bCs/>
          <w:rtl/>
        </w:rPr>
        <w:t>קוצא באמצעיתא.</w:t>
      </w:r>
      <w:r>
        <w:rPr>
          <w:rtl/>
        </w:rPr>
        <w:t xml:space="preserve"> והיא אינה מגעת אלא עד הת"ת ואז היא מאחוריו בסוד ד', דלת כנ"ל וזהו קוץ שאחורי הד':</w:t>
      </w:r>
    </w:p>
  </w:footnote>
  <w:footnote w:id="1152">
    <w:p w:rsidR="00A13282" w:rsidRDefault="00A13282">
      <w:pPr>
        <w:pStyle w:val="a5"/>
        <w:rPr>
          <w:rtl/>
        </w:rPr>
      </w:pPr>
      <w:r>
        <w:rPr>
          <w:rStyle w:val="a7"/>
          <w:rtl/>
        </w:rPr>
        <w:footnoteRef/>
      </w:r>
      <w:r>
        <w:rPr>
          <w:rtl/>
        </w:rPr>
        <w:t xml:space="preserve"> </w:t>
      </w:r>
      <w:r>
        <w:rPr>
          <w:b/>
          <w:bCs/>
          <w:rtl/>
        </w:rPr>
        <w:t>וכלא חד.</w:t>
      </w:r>
      <w:r>
        <w:rPr>
          <w:rtl/>
        </w:rPr>
        <w:t xml:space="preserve"> רוצה לומר הכל במלכות וזה שאומר אני שהוא מלכות שנקראת אני, ראשון על גבי הוא"ו, ואני כו' ומבלעדי אין אלקים - מלכות, והן מרמזין על היה והוה ויהיה, וזה שאומר ומבלעדי, רוצה לומר עכשיו:</w:t>
      </w:r>
    </w:p>
  </w:footnote>
  <w:footnote w:id="1153">
    <w:p w:rsidR="00A13282" w:rsidRDefault="00A13282">
      <w:pPr>
        <w:pStyle w:val="a5"/>
        <w:rPr>
          <w:rtl/>
        </w:rPr>
      </w:pPr>
      <w:r>
        <w:rPr>
          <w:rStyle w:val="a7"/>
          <w:rtl/>
        </w:rPr>
        <w:footnoteRef/>
      </w:r>
      <w:r>
        <w:rPr>
          <w:rtl/>
        </w:rPr>
        <w:t xml:space="preserve"> </w:t>
      </w:r>
      <w:r>
        <w:rPr>
          <w:b/>
          <w:bCs/>
          <w:rtl/>
        </w:rPr>
        <w:t>ולקבלייהו חמה כו'.</w:t>
      </w:r>
      <w:r>
        <w:rPr>
          <w:rtl/>
        </w:rPr>
        <w:t xml:space="preserve"> כשמלכות למטה:</w:t>
      </w:r>
    </w:p>
  </w:footnote>
  <w:footnote w:id="1154">
    <w:p w:rsidR="00A13282" w:rsidRDefault="00A13282">
      <w:pPr>
        <w:pStyle w:val="a5"/>
        <w:rPr>
          <w:rtl/>
        </w:rPr>
      </w:pPr>
      <w:r>
        <w:rPr>
          <w:rStyle w:val="a7"/>
          <w:rtl/>
        </w:rPr>
        <w:footnoteRef/>
      </w:r>
      <w:r>
        <w:rPr>
          <w:rtl/>
        </w:rPr>
        <w:t xml:space="preserve"> </w:t>
      </w:r>
      <w:r>
        <w:rPr>
          <w:b/>
          <w:bCs/>
          <w:rtl/>
        </w:rPr>
        <w:t>דאינון צירי את כו'.</w:t>
      </w:r>
      <w:r>
        <w:rPr>
          <w:rtl/>
        </w:rPr>
        <w:t xml:space="preserve"> רוצה לומר החיות הן חמה ולבנה, למעלה, בסוד צירי כמו שאומר לעיל את שני כו' ואינון שוין ות"ת הוא תחתם וזהו סגול:</w:t>
      </w:r>
    </w:p>
  </w:footnote>
  <w:footnote w:id="1155">
    <w:p w:rsidR="00A13282" w:rsidRDefault="00A13282">
      <w:pPr>
        <w:pStyle w:val="a5"/>
        <w:rPr>
          <w:rtl/>
        </w:rPr>
      </w:pPr>
      <w:r>
        <w:rPr>
          <w:rStyle w:val="a7"/>
          <w:rtl/>
        </w:rPr>
        <w:footnoteRef/>
      </w:r>
      <w:r>
        <w:rPr>
          <w:rtl/>
        </w:rPr>
        <w:t xml:space="preserve"> </w:t>
      </w:r>
      <w:r>
        <w:rPr>
          <w:b/>
          <w:bCs/>
          <w:rtl/>
        </w:rPr>
        <w:t>שורק אופן כו'.</w:t>
      </w:r>
      <w:r>
        <w:rPr>
          <w:rtl/>
        </w:rPr>
        <w:t xml:space="preserve"> רוצה לומר שורק - ג' נקודות. ומלכות - למטה ות"ת בינה לאימא עילאה:</w:t>
      </w:r>
    </w:p>
  </w:footnote>
  <w:footnote w:id="1156">
    <w:p w:rsidR="00A13282" w:rsidRDefault="00A13282">
      <w:pPr>
        <w:pStyle w:val="a5"/>
        <w:rPr>
          <w:rtl/>
        </w:rPr>
      </w:pPr>
      <w:r>
        <w:rPr>
          <w:rStyle w:val="a7"/>
          <w:rtl/>
        </w:rPr>
        <w:footnoteRef/>
      </w:r>
      <w:r>
        <w:rPr>
          <w:rtl/>
        </w:rPr>
        <w:t xml:space="preserve"> </w:t>
      </w:r>
      <w:r>
        <w:rPr>
          <w:b/>
          <w:bCs/>
          <w:rtl/>
        </w:rPr>
        <w:t>והנה אופן כו'.</w:t>
      </w:r>
      <w:r>
        <w:rPr>
          <w:rtl/>
        </w:rPr>
        <w:t xml:space="preserve"> רוצה לומר מלכות למטה:</w:t>
      </w:r>
    </w:p>
  </w:footnote>
  <w:footnote w:id="1157">
    <w:p w:rsidR="00A13282" w:rsidRDefault="00A13282">
      <w:pPr>
        <w:pStyle w:val="a5"/>
        <w:rPr>
          <w:rtl/>
        </w:rPr>
      </w:pPr>
      <w:r>
        <w:rPr>
          <w:rStyle w:val="a7"/>
          <w:rtl/>
        </w:rPr>
        <w:footnoteRef/>
      </w:r>
      <w:r>
        <w:rPr>
          <w:rtl/>
        </w:rPr>
        <w:t xml:space="preserve"> </w:t>
      </w:r>
      <w:r>
        <w:rPr>
          <w:b/>
          <w:bCs/>
          <w:rtl/>
        </w:rPr>
        <w:t>כל ניצוץ כו'.</w:t>
      </w:r>
      <w:r>
        <w:rPr>
          <w:rtl/>
        </w:rPr>
        <w:t xml:space="preserve"> מפרש מה שאמר לעיל דאיהו נקודה ברשות בעלה כו' נקודין אינון דכר כו':</w:t>
      </w:r>
    </w:p>
  </w:footnote>
  <w:footnote w:id="1158">
    <w:p w:rsidR="00A13282" w:rsidRDefault="00A13282">
      <w:pPr>
        <w:pStyle w:val="a5"/>
        <w:rPr>
          <w:rtl/>
        </w:rPr>
      </w:pPr>
      <w:r>
        <w:rPr>
          <w:rStyle w:val="a7"/>
          <w:rtl/>
        </w:rPr>
        <w:footnoteRef/>
      </w:r>
      <w:r>
        <w:rPr>
          <w:rtl/>
        </w:rPr>
        <w:t xml:space="preserve"> </w:t>
      </w:r>
      <w:r>
        <w:rPr>
          <w:b/>
          <w:bCs/>
          <w:rtl/>
        </w:rPr>
        <w:t>יְהָו"ה כו' שבא איהו כו'.</w:t>
      </w:r>
      <w:r>
        <w:rPr>
          <w:rtl/>
        </w:rPr>
        <w:t xml:space="preserve"> עכשיו מפרש נקודה של השם. ונקוד שבא בי' וקמץ בה' כמו שאומר בזוהר דרוחא דשמאלא בספירה ימינא וכן להיפך:</w:t>
      </w:r>
    </w:p>
  </w:footnote>
  <w:footnote w:id="1159">
    <w:p w:rsidR="00A13282" w:rsidRDefault="00A13282">
      <w:pPr>
        <w:pStyle w:val="a5"/>
        <w:rPr>
          <w:rtl/>
        </w:rPr>
      </w:pPr>
      <w:r>
        <w:rPr>
          <w:rStyle w:val="a7"/>
          <w:rtl/>
        </w:rPr>
        <w:footnoteRef/>
      </w:r>
      <w:r>
        <w:rPr>
          <w:rtl/>
        </w:rPr>
        <w:t xml:space="preserve"> </w:t>
      </w:r>
      <w:r>
        <w:rPr>
          <w:b/>
          <w:bCs/>
          <w:rtl/>
        </w:rPr>
        <w:t>דמתמן אורייתא כו'.</w:t>
      </w:r>
      <w:r>
        <w:rPr>
          <w:rtl/>
        </w:rPr>
        <w:t xml:space="preserve"> רוצה לומר לכך הן שבא וקמץ קודם לו' של השם, שמשם איהו כו', והניקוד הוא בניקוד צבאות, וזה שאומר ובזמנא דאינון כו' רוצה לומר שהן חג"ת ביחוד:</w:t>
      </w:r>
    </w:p>
  </w:footnote>
  <w:footnote w:id="1160">
    <w:p w:rsidR="00A13282" w:rsidRDefault="00A13282">
      <w:pPr>
        <w:pStyle w:val="a5"/>
        <w:rPr>
          <w:rtl/>
        </w:rPr>
      </w:pPr>
      <w:r>
        <w:rPr>
          <w:rStyle w:val="a7"/>
          <w:rtl/>
        </w:rPr>
        <w:footnoteRef/>
      </w:r>
      <w:r>
        <w:rPr>
          <w:rtl/>
        </w:rPr>
        <w:t xml:space="preserve"> </w:t>
      </w:r>
      <w:r>
        <w:rPr>
          <w:b/>
          <w:bCs/>
          <w:rtl/>
        </w:rPr>
        <w:t>באבותיך חש"ק.</w:t>
      </w:r>
      <w:r>
        <w:rPr>
          <w:rtl/>
        </w:rPr>
        <w:t xml:space="preserve"> רוצה לומר חג"ת, ג' אבהן, וה' אחרונה בלי ניקוד דמלכות אין בה נקודה כידוע והיא מקבלת מכולם:</w:t>
      </w:r>
    </w:p>
  </w:footnote>
  <w:footnote w:id="1161">
    <w:p w:rsidR="00A13282" w:rsidRDefault="00A13282">
      <w:pPr>
        <w:pStyle w:val="a5"/>
        <w:rPr>
          <w:rtl/>
        </w:rPr>
      </w:pPr>
      <w:r>
        <w:rPr>
          <w:rStyle w:val="a7"/>
          <w:rtl/>
        </w:rPr>
        <w:footnoteRef/>
      </w:r>
      <w:r>
        <w:rPr>
          <w:rtl/>
        </w:rPr>
        <w:t xml:space="preserve"> </w:t>
      </w:r>
      <w:r>
        <w:rPr>
          <w:b/>
          <w:bCs/>
          <w:rtl/>
        </w:rPr>
        <w:t>מסטרא דא' כו'.</w:t>
      </w:r>
      <w:r>
        <w:rPr>
          <w:rtl/>
        </w:rPr>
        <w:t xml:space="preserve"> רוצה לומר דא' הוא כתר, וא' מרמז על היחוד והוא גימט' הוי' כמו שמפרש והולך וזה שאומר היה הקב"ה לחוד רוצה לומר בלא אדם שהוא מחכמה ולמטה וזה שאומר (פרקי ר' אליעזר ריש פרק ג') קודם שנברא העולם, רוצה לומר מחכמה ולמטה, היה הוא ושמו אחד, ורוצה לומר דשם הוי"ה היה נכלל באות אל"ף עד שנברא מחכמה ולמטה, התחיל השם להתפשט, יו"ד - בחכמה, ה' - בבינה כו' כידוע וזהו כתר, שהוא שורש הספירות של השם באות אלף:</w:t>
      </w:r>
    </w:p>
  </w:footnote>
  <w:footnote w:id="1162">
    <w:p w:rsidR="00A13282" w:rsidRDefault="00A13282">
      <w:pPr>
        <w:pStyle w:val="a5"/>
        <w:rPr>
          <w:rtl/>
        </w:rPr>
      </w:pPr>
      <w:r>
        <w:rPr>
          <w:rStyle w:val="a7"/>
          <w:rtl/>
        </w:rPr>
        <w:footnoteRef/>
      </w:r>
      <w:r>
        <w:rPr>
          <w:rtl/>
        </w:rPr>
        <w:t xml:space="preserve"> </w:t>
      </w:r>
      <w:r>
        <w:rPr>
          <w:b/>
          <w:bCs/>
          <w:rtl/>
        </w:rPr>
        <w:t>דאיהו יוד כו'.</w:t>
      </w:r>
      <w:r>
        <w:rPr>
          <w:rtl/>
        </w:rPr>
        <w:t xml:space="preserve"> רוצה לפרש כאן האיך כל הספירות, אעפ"י שהן מפורשין בהוי"ה, נכללין באלף ולכן כתר שרשם ולכן נקראים כל התשע ספירות בשם אדם דהוא א':</w:t>
      </w:r>
    </w:p>
  </w:footnote>
  <w:footnote w:id="1163">
    <w:p w:rsidR="00A13282" w:rsidRDefault="00A13282">
      <w:pPr>
        <w:pStyle w:val="a5"/>
        <w:rPr>
          <w:rtl/>
        </w:rPr>
      </w:pPr>
      <w:r>
        <w:rPr>
          <w:rStyle w:val="a7"/>
          <w:rtl/>
        </w:rPr>
        <w:footnoteRef/>
      </w:r>
      <w:r>
        <w:rPr>
          <w:rtl/>
        </w:rPr>
        <w:t xml:space="preserve"> </w:t>
      </w:r>
      <w:r>
        <w:rPr>
          <w:b/>
          <w:bCs/>
          <w:rtl/>
        </w:rPr>
        <w:t>יו"ד ברישא כו'.</w:t>
      </w:r>
      <w:r>
        <w:rPr>
          <w:rtl/>
        </w:rPr>
        <w:t xml:space="preserve"> רוצה לומר חו"ב נכללין בי', כנ"ל, ו' באמצע - ו"ק, יו"ד למטה - מלכות. וכאן רמוז כל הספירות באות אלף ועכשיו מפרש האיך רמוזין בנקודות וזה שאומר ובנקודי כו':</w:t>
      </w:r>
    </w:p>
  </w:footnote>
  <w:footnote w:id="1164">
    <w:p w:rsidR="00A13282" w:rsidRDefault="00A13282">
      <w:pPr>
        <w:pStyle w:val="a5"/>
        <w:rPr>
          <w:rtl/>
        </w:rPr>
      </w:pPr>
      <w:r>
        <w:rPr>
          <w:rStyle w:val="a7"/>
          <w:rtl/>
        </w:rPr>
        <w:footnoteRef/>
      </w:r>
      <w:r>
        <w:rPr>
          <w:rtl/>
        </w:rPr>
        <w:t xml:space="preserve"> </w:t>
      </w:r>
      <w:r>
        <w:rPr>
          <w:b/>
          <w:bCs/>
          <w:rtl/>
        </w:rPr>
        <w:t>אשתמודעאן כו'.</w:t>
      </w:r>
      <w:r>
        <w:rPr>
          <w:rtl/>
        </w:rPr>
        <w:t xml:space="preserve"> רוצה לומר שמהם אנו יודעים דתשע ספירות הן:</w:t>
      </w:r>
    </w:p>
  </w:footnote>
  <w:footnote w:id="1165">
    <w:p w:rsidR="00A13282" w:rsidRDefault="00A13282">
      <w:pPr>
        <w:pStyle w:val="a5"/>
        <w:rPr>
          <w:rtl/>
        </w:rPr>
      </w:pPr>
      <w:r>
        <w:rPr>
          <w:rStyle w:val="a7"/>
          <w:rtl/>
        </w:rPr>
        <w:footnoteRef/>
      </w:r>
      <w:r>
        <w:rPr>
          <w:rtl/>
        </w:rPr>
        <w:t xml:space="preserve"> </w:t>
      </w:r>
      <w:r>
        <w:rPr>
          <w:b/>
          <w:bCs/>
          <w:rtl/>
        </w:rPr>
        <w:t>דתשע כו'.</w:t>
      </w:r>
      <w:r>
        <w:rPr>
          <w:rtl/>
        </w:rPr>
        <w:t xml:space="preserve"> וכן בא' תשע ספירות כנ"ל:</w:t>
      </w:r>
    </w:p>
  </w:footnote>
  <w:footnote w:id="1166">
    <w:p w:rsidR="00A13282" w:rsidRDefault="00A13282">
      <w:pPr>
        <w:pStyle w:val="a5"/>
        <w:rPr>
          <w:rtl/>
        </w:rPr>
      </w:pPr>
      <w:r>
        <w:rPr>
          <w:rStyle w:val="a7"/>
          <w:rtl/>
        </w:rPr>
        <w:footnoteRef/>
      </w:r>
      <w:r>
        <w:rPr>
          <w:rtl/>
        </w:rPr>
        <w:t xml:space="preserve"> </w:t>
      </w:r>
      <w:r>
        <w:rPr>
          <w:b/>
          <w:bCs/>
          <w:rtl/>
        </w:rPr>
        <w:t>ביד רמה.</w:t>
      </w:r>
      <w:r>
        <w:rPr>
          <w:rtl/>
        </w:rPr>
        <w:t xml:space="preserve"> רוצה לומר מסטרא דת"ת שכולל הכל:</w:t>
      </w:r>
    </w:p>
  </w:footnote>
  <w:footnote w:id="1167">
    <w:p w:rsidR="00A13282" w:rsidRDefault="00A13282">
      <w:pPr>
        <w:pStyle w:val="a5"/>
        <w:rPr>
          <w:rtl/>
        </w:rPr>
      </w:pPr>
      <w:r>
        <w:rPr>
          <w:rStyle w:val="a7"/>
          <w:rtl/>
        </w:rPr>
        <w:footnoteRef/>
      </w:r>
      <w:r>
        <w:rPr>
          <w:rtl/>
        </w:rPr>
        <w:t xml:space="preserve"> </w:t>
      </w:r>
      <w:r>
        <w:rPr>
          <w:b/>
          <w:bCs/>
          <w:rtl/>
        </w:rPr>
        <w:t>איהו פרק.</w:t>
      </w:r>
      <w:r>
        <w:rPr>
          <w:rtl/>
        </w:rPr>
        <w:t xml:space="preserve"> הנזכר כאן:</w:t>
      </w:r>
    </w:p>
  </w:footnote>
  <w:footnote w:id="1168">
    <w:p w:rsidR="00A13282" w:rsidRDefault="00A13282">
      <w:pPr>
        <w:pStyle w:val="a5"/>
        <w:rPr>
          <w:rtl/>
        </w:rPr>
      </w:pPr>
      <w:r>
        <w:rPr>
          <w:rStyle w:val="a7"/>
          <w:rtl/>
        </w:rPr>
        <w:footnoteRef/>
      </w:r>
      <w:r>
        <w:rPr>
          <w:rtl/>
        </w:rPr>
        <w:t xml:space="preserve"> </w:t>
      </w:r>
      <w:r>
        <w:rPr>
          <w:b/>
          <w:bCs/>
          <w:rtl/>
        </w:rPr>
        <w:t>מדה.</w:t>
      </w:r>
      <w:r>
        <w:rPr>
          <w:rtl/>
        </w:rPr>
        <w:t xml:space="preserve"> הנ"ל:</w:t>
      </w:r>
    </w:p>
  </w:footnote>
  <w:footnote w:id="1169">
    <w:p w:rsidR="00A13282" w:rsidRDefault="00A13282">
      <w:pPr>
        <w:pStyle w:val="a5"/>
        <w:rPr>
          <w:rtl/>
        </w:rPr>
      </w:pPr>
      <w:r>
        <w:rPr>
          <w:rStyle w:val="a7"/>
          <w:rtl/>
        </w:rPr>
        <w:footnoteRef/>
      </w:r>
      <w:r>
        <w:rPr>
          <w:rtl/>
        </w:rPr>
        <w:t xml:space="preserve"> </w:t>
      </w:r>
      <w:r>
        <w:rPr>
          <w:b/>
          <w:bCs/>
          <w:rtl/>
        </w:rPr>
        <w:t>אמה וקו המדה.</w:t>
      </w:r>
      <w:r>
        <w:rPr>
          <w:rtl/>
        </w:rPr>
        <w:t xml:space="preserve"> גם כן למעלה שם:</w:t>
      </w:r>
    </w:p>
  </w:footnote>
  <w:footnote w:id="1170">
    <w:p w:rsidR="00A13282" w:rsidRDefault="00A13282">
      <w:pPr>
        <w:pStyle w:val="a5"/>
        <w:rPr>
          <w:rtl/>
        </w:rPr>
      </w:pPr>
      <w:r>
        <w:rPr>
          <w:rStyle w:val="a7"/>
          <w:rtl/>
        </w:rPr>
        <w:footnoteRef/>
      </w:r>
      <w:r>
        <w:rPr>
          <w:rtl/>
        </w:rPr>
        <w:t xml:space="preserve"> </w:t>
      </w:r>
      <w:r>
        <w:rPr>
          <w:b/>
          <w:bCs/>
          <w:rtl/>
        </w:rPr>
        <w:t>וקנה.</w:t>
      </w:r>
      <w:r>
        <w:rPr>
          <w:rtl/>
        </w:rPr>
        <w:t xml:space="preserve"> הנזכר כאן:</w:t>
      </w:r>
    </w:p>
  </w:footnote>
  <w:footnote w:id="1171">
    <w:p w:rsidR="00A13282" w:rsidRDefault="00A13282">
      <w:pPr>
        <w:pStyle w:val="a5"/>
        <w:rPr>
          <w:rtl/>
        </w:rPr>
      </w:pPr>
      <w:r>
        <w:rPr>
          <w:rStyle w:val="a7"/>
          <w:rtl/>
        </w:rPr>
        <w:footnoteRef/>
      </w:r>
      <w:r>
        <w:rPr>
          <w:rtl/>
        </w:rPr>
        <w:t xml:space="preserve"> </w:t>
      </w:r>
      <w:r>
        <w:rPr>
          <w:b/>
          <w:bCs/>
          <w:rtl/>
        </w:rPr>
        <w:t>ואינון ג' טיפין.</w:t>
      </w:r>
      <w:r>
        <w:rPr>
          <w:rtl/>
        </w:rPr>
        <w:t xml:space="preserve"> ג' אותיות יה"ו:</w:t>
      </w:r>
    </w:p>
  </w:footnote>
  <w:footnote w:id="1172">
    <w:p w:rsidR="00A13282" w:rsidRDefault="00A13282">
      <w:pPr>
        <w:pStyle w:val="a5"/>
        <w:rPr>
          <w:rtl/>
        </w:rPr>
      </w:pPr>
      <w:r>
        <w:rPr>
          <w:rStyle w:val="a7"/>
          <w:rtl/>
        </w:rPr>
        <w:footnoteRef/>
      </w:r>
      <w:r>
        <w:rPr>
          <w:rtl/>
        </w:rPr>
        <w:t xml:space="preserve"> </w:t>
      </w:r>
      <w:r>
        <w:rPr>
          <w:b/>
          <w:bCs/>
          <w:rtl/>
        </w:rPr>
        <w:t>וכלהו אתכללין במלכות.</w:t>
      </w:r>
      <w:r>
        <w:rPr>
          <w:rtl/>
        </w:rPr>
        <w:t xml:space="preserve"> רוצה לומר: אתוון נקודין וטעמים:</w:t>
      </w:r>
    </w:p>
  </w:footnote>
  <w:footnote w:id="1173">
    <w:p w:rsidR="00A13282" w:rsidRDefault="00A13282">
      <w:pPr>
        <w:pStyle w:val="a5"/>
        <w:rPr>
          <w:rtl/>
        </w:rPr>
      </w:pPr>
      <w:r>
        <w:rPr>
          <w:rStyle w:val="a7"/>
          <w:rtl/>
        </w:rPr>
        <w:footnoteRef/>
      </w:r>
      <w:r>
        <w:rPr>
          <w:rtl/>
        </w:rPr>
        <w:t xml:space="preserve"> </w:t>
      </w:r>
      <w:r>
        <w:rPr>
          <w:b/>
          <w:bCs/>
          <w:rtl/>
        </w:rPr>
        <w:t>ועלייהו אתמר וכנפיהם.</w:t>
      </w:r>
      <w:r>
        <w:rPr>
          <w:rtl/>
        </w:rPr>
        <w:t xml:space="preserve"> כמו שאומר בתקוני זוהר חדש שד' גדפין הן ד' אותיות אדנ"י - במלכות, ושם אותיות מצד עצמה של מלכות מאימא עילאה:</w:t>
      </w:r>
    </w:p>
  </w:footnote>
  <w:footnote w:id="1174">
    <w:p w:rsidR="00A13282" w:rsidRDefault="00A13282">
      <w:pPr>
        <w:pStyle w:val="a5"/>
        <w:rPr>
          <w:rtl/>
        </w:rPr>
      </w:pPr>
      <w:r>
        <w:rPr>
          <w:rStyle w:val="a7"/>
          <w:rtl/>
        </w:rPr>
        <w:footnoteRef/>
      </w:r>
      <w:r>
        <w:rPr>
          <w:rtl/>
        </w:rPr>
        <w:t xml:space="preserve"> </w:t>
      </w:r>
      <w:r>
        <w:rPr>
          <w:b/>
          <w:bCs/>
          <w:rtl/>
        </w:rPr>
        <w:t>בת קול.</w:t>
      </w:r>
      <w:r>
        <w:rPr>
          <w:rtl/>
        </w:rPr>
        <w:t xml:space="preserve"> רוצה לומר נקודות, במלכות, הוא מחכמה כנ"ל שנקראת קול ועליה נאמר נקודה בהיכליה:</w:t>
      </w:r>
    </w:p>
  </w:footnote>
  <w:footnote w:id="1175">
    <w:p w:rsidR="00A13282" w:rsidRDefault="00A13282">
      <w:pPr>
        <w:pStyle w:val="a5"/>
        <w:rPr>
          <w:rtl/>
        </w:rPr>
      </w:pPr>
      <w:r>
        <w:rPr>
          <w:rStyle w:val="a7"/>
          <w:rtl/>
        </w:rPr>
        <w:footnoteRef/>
      </w:r>
      <w:r>
        <w:rPr>
          <w:rtl/>
        </w:rPr>
        <w:t xml:space="preserve"> </w:t>
      </w:r>
      <w:r>
        <w:rPr>
          <w:b/>
          <w:bCs/>
          <w:rtl/>
        </w:rPr>
        <w:t>טעמי אינון מאני קרבא.</w:t>
      </w:r>
      <w:r>
        <w:rPr>
          <w:rtl/>
        </w:rPr>
        <w:t xml:space="preserve"> כמו שאומר לקמן ובתקוני זוהר חדש, פתח ואמר זרקא כו', והוא במלכות מסטרא דכתר, דכד סלקא לשם אתמר עלה עד די התגזר' כו' ומחת לצלמא כו' כנ"ל וצלמא הוא אדם בליעל כידוע:</w:t>
      </w:r>
    </w:p>
  </w:footnote>
  <w:footnote w:id="1176">
    <w:p w:rsidR="00A13282" w:rsidRDefault="00A13282">
      <w:pPr>
        <w:pStyle w:val="a5"/>
        <w:rPr>
          <w:rtl/>
        </w:rPr>
      </w:pPr>
      <w:r>
        <w:rPr>
          <w:rStyle w:val="a7"/>
          <w:rtl/>
        </w:rPr>
        <w:footnoteRef/>
      </w:r>
      <w:r>
        <w:rPr>
          <w:rtl/>
        </w:rPr>
        <w:t xml:space="preserve"> </w:t>
      </w:r>
      <w:r>
        <w:rPr>
          <w:b/>
          <w:bCs/>
          <w:rtl/>
        </w:rPr>
        <w:t>רפה איהו כו'.</w:t>
      </w:r>
      <w:r>
        <w:rPr>
          <w:rtl/>
        </w:rPr>
        <w:t xml:space="preserve"> שבימים קדמונים היו נוהגים על הרפה לעשות למעלה קו ברוחב על האות והשמיטוהו אחרונים שמן העדר הדגש ניכר:</w:t>
      </w:r>
    </w:p>
  </w:footnote>
  <w:footnote w:id="1177">
    <w:p w:rsidR="00A13282" w:rsidRDefault="00A13282">
      <w:pPr>
        <w:pStyle w:val="a5"/>
        <w:rPr>
          <w:rtl/>
        </w:rPr>
      </w:pPr>
      <w:r>
        <w:rPr>
          <w:rStyle w:val="a7"/>
          <w:rtl/>
        </w:rPr>
        <w:footnoteRef/>
      </w:r>
      <w:r>
        <w:rPr>
          <w:rtl/>
        </w:rPr>
        <w:t xml:space="preserve"> </w:t>
      </w:r>
      <w:r>
        <w:rPr>
          <w:b/>
          <w:bCs/>
          <w:rtl/>
        </w:rPr>
        <w:t>דאינון יהו"ה ד' אתוון וודאי.</w:t>
      </w:r>
      <w:r>
        <w:rPr>
          <w:rtl/>
        </w:rPr>
        <w:t xml:space="preserve"> רוצה לומר דהחיות הן ד' אותיות הוי"ה כמו שאומר לעיל בהקדמה, ורפה שעל גבי הוי"ה הוא רקיע בדמות וא"ו:</w:t>
      </w:r>
    </w:p>
  </w:footnote>
  <w:footnote w:id="1178">
    <w:p w:rsidR="00A13282" w:rsidRDefault="00A13282">
      <w:pPr>
        <w:pStyle w:val="a5"/>
        <w:rPr>
          <w:rtl/>
        </w:rPr>
      </w:pPr>
      <w:r>
        <w:rPr>
          <w:rStyle w:val="a7"/>
          <w:rtl/>
        </w:rPr>
        <w:footnoteRef/>
      </w:r>
      <w:r>
        <w:rPr>
          <w:rtl/>
        </w:rPr>
        <w:t xml:space="preserve"> </w:t>
      </w:r>
      <w:r>
        <w:rPr>
          <w:b/>
          <w:bCs/>
          <w:rtl/>
        </w:rPr>
        <w:t>כגוונא דא יהו"ה ואינון כמתג כו'.</w:t>
      </w:r>
      <w:r>
        <w:rPr>
          <w:rtl/>
        </w:rPr>
        <w:t xml:space="preserve"> רוצה לומר כמתג שעל גבי הסוס כן הוא רפה והוא כדמות וא"ו כמו מתג ו'. וכמו רסן שבתוך הפה של הסוס כן הוא דגש שהאותיות הן כסוס לרוכב כנ"ל. והן בחיות - מט"ט, שבהיותו על גביהן בסוד מטטרו"ן אז הוא בסוד מתג והוא רקיע שעל גבי החיות כידוע שהוא צדיק דלתתא, רקיע כמו שאומר לעיל בהקדמה דף ד ע"א, ובהיותו בתוך החיות בסוד נוריאל ארגמ"ן אז הוא דגש והוא מה שנאמר היא מתהלכת בין החיות שאמר לעיל נקודה שבתוך ה' כי החיות הן במלכות כמו שאמר לעיל בתיקון א'. ובהיותו על גביהן אז הוא בסוד יסוד, רקיע, ובהיותו בתוכה אז הוא בנוקבא, מלכות. וזה שאומר היא מתהלכת כו' ועל ידה מתנהגים החיות כידוע וזהו כמתג ורסן לאותיות שהן החיות:</w:t>
      </w:r>
    </w:p>
  </w:footnote>
  <w:footnote w:id="1179">
    <w:p w:rsidR="00A13282" w:rsidRDefault="00A13282">
      <w:pPr>
        <w:pStyle w:val="a5"/>
        <w:rPr>
          <w:rtl/>
        </w:rPr>
      </w:pPr>
      <w:r>
        <w:rPr>
          <w:rStyle w:val="a7"/>
          <w:rtl/>
        </w:rPr>
        <w:footnoteRef/>
      </w:r>
      <w:r>
        <w:rPr>
          <w:rtl/>
        </w:rPr>
        <w:t xml:space="preserve"> </w:t>
      </w:r>
      <w:r>
        <w:rPr>
          <w:b/>
          <w:bCs/>
          <w:rtl/>
        </w:rPr>
        <w:t>רצוא בדגש ושוב ברפה.</w:t>
      </w:r>
      <w:r>
        <w:rPr>
          <w:rtl/>
        </w:rPr>
        <w:t xml:space="preserve"> רוצה לומר בדגש נחטפין האותיות, אות שלפני הדגש עם האות הדגושה כידוע מה שאין כן ברפה שהאות שלפניה נמשכת וזהו ושוב. וכן בחיות, בהיותו בתוכם הן רצין על ידו להשיג למעלה, מה שאין כן בהיותו על גביהן שאז ושוב. וזה שאומר לקמן רצוא - בנוריאל, ושוב - במטטרו"ן. כי רצוא גימטריה נוריאל, ושוב גימטריה מטטרו"ן וכל זה כנ"ל:</w:t>
      </w:r>
    </w:p>
    <w:p w:rsidR="00A13282" w:rsidRDefault="00A13282">
      <w:pPr>
        <w:pStyle w:val="a5"/>
        <w:rPr>
          <w:rtl/>
        </w:rPr>
      </w:pPr>
    </w:p>
  </w:footnote>
  <w:footnote w:id="1180">
    <w:p w:rsidR="00A13282" w:rsidRDefault="00A13282">
      <w:pPr>
        <w:pStyle w:val="a5"/>
        <w:rPr>
          <w:rtl/>
        </w:rPr>
      </w:pPr>
      <w:r>
        <w:rPr>
          <w:rStyle w:val="a7"/>
          <w:rtl/>
        </w:rPr>
        <w:footnoteRef/>
      </w:r>
      <w:r>
        <w:rPr>
          <w:rtl/>
        </w:rPr>
        <w:t xml:space="preserve"> </w:t>
      </w:r>
      <w:r>
        <w:rPr>
          <w:b/>
          <w:bCs/>
          <w:rtl/>
        </w:rPr>
        <w:t>תיקון ו'. במלכות קדישא דאיהי כו'.</w:t>
      </w:r>
      <w:r>
        <w:rPr>
          <w:rtl/>
        </w:rPr>
        <w:t xml:space="preserve"> רוצה לומר לכך לא תזוז מינן כו' - להקימה:</w:t>
      </w:r>
    </w:p>
  </w:footnote>
  <w:footnote w:id="1181">
    <w:p w:rsidR="00A13282" w:rsidRDefault="00A13282">
      <w:pPr>
        <w:pStyle w:val="a5"/>
        <w:rPr>
          <w:rtl/>
        </w:rPr>
      </w:pPr>
      <w:r>
        <w:rPr>
          <w:rStyle w:val="a7"/>
          <w:rtl/>
        </w:rPr>
        <w:footnoteRef/>
      </w:r>
      <w:r>
        <w:rPr>
          <w:rtl/>
        </w:rPr>
        <w:t xml:space="preserve"> </w:t>
      </w:r>
      <w:r>
        <w:rPr>
          <w:b/>
          <w:bCs/>
          <w:rtl/>
        </w:rPr>
        <w:t>דאיהי נפילא כו'.</w:t>
      </w:r>
      <w:r>
        <w:rPr>
          <w:rtl/>
        </w:rPr>
        <w:t xml:space="preserve"> כמו שכתוב (עמוס ט יא) סכת דוד הנופלת:</w:t>
      </w:r>
    </w:p>
  </w:footnote>
  <w:footnote w:id="1182">
    <w:p w:rsidR="00A13282" w:rsidRDefault="00A13282">
      <w:pPr>
        <w:pStyle w:val="a5"/>
        <w:rPr>
          <w:rtl/>
        </w:rPr>
      </w:pPr>
      <w:r>
        <w:rPr>
          <w:rStyle w:val="a7"/>
          <w:rtl/>
        </w:rPr>
        <w:footnoteRef/>
      </w:r>
      <w:r>
        <w:rPr>
          <w:rtl/>
        </w:rPr>
        <w:t xml:space="preserve"> </w:t>
      </w:r>
      <w:r>
        <w:rPr>
          <w:b/>
          <w:bCs/>
          <w:rtl/>
        </w:rPr>
        <w:t>טול רשותא.</w:t>
      </w:r>
      <w:r>
        <w:rPr>
          <w:rtl/>
        </w:rPr>
        <w:t xml:space="preserve"> מקב"ה:</w:t>
      </w:r>
    </w:p>
  </w:footnote>
  <w:footnote w:id="1183">
    <w:p w:rsidR="00A13282" w:rsidRDefault="00A13282">
      <w:pPr>
        <w:pStyle w:val="a5"/>
        <w:rPr>
          <w:rtl/>
        </w:rPr>
      </w:pPr>
      <w:r>
        <w:rPr>
          <w:rStyle w:val="a7"/>
          <w:rtl/>
        </w:rPr>
        <w:footnoteRef/>
      </w:r>
      <w:r>
        <w:rPr>
          <w:rtl/>
        </w:rPr>
        <w:t xml:space="preserve"> </w:t>
      </w:r>
      <w:r>
        <w:rPr>
          <w:b/>
          <w:bCs/>
          <w:rtl/>
        </w:rPr>
        <w:t>נטרין לך.</w:t>
      </w:r>
      <w:r>
        <w:rPr>
          <w:rtl/>
        </w:rPr>
        <w:t xml:space="preserve"> על ביאתך כמו שכתוב (מלאכי ג כג) הנה אנכי שולח לכם כו':</w:t>
      </w:r>
    </w:p>
  </w:footnote>
  <w:footnote w:id="1184">
    <w:p w:rsidR="00A13282" w:rsidRDefault="00A13282">
      <w:pPr>
        <w:pStyle w:val="a5"/>
        <w:rPr>
          <w:rtl/>
        </w:rPr>
      </w:pPr>
      <w:r>
        <w:rPr>
          <w:rStyle w:val="a7"/>
          <w:rtl/>
        </w:rPr>
        <w:footnoteRef/>
      </w:r>
      <w:r>
        <w:rPr>
          <w:rtl/>
        </w:rPr>
        <w:t xml:space="preserve"> </w:t>
      </w:r>
      <w:r>
        <w:rPr>
          <w:b/>
          <w:bCs/>
          <w:rtl/>
        </w:rPr>
        <w:t>מלאכי השרת.</w:t>
      </w:r>
      <w:r>
        <w:rPr>
          <w:rtl/>
        </w:rPr>
        <w:t xml:space="preserve"> מפרש שאמר לעיל וחילהא, מפרש מי הם. ואמר מלאכי השרת כו' כמה צפרין כו':</w:t>
      </w:r>
    </w:p>
  </w:footnote>
  <w:footnote w:id="1185">
    <w:p w:rsidR="00A13282" w:rsidRDefault="00A13282">
      <w:pPr>
        <w:pStyle w:val="a5"/>
        <w:rPr>
          <w:rtl/>
        </w:rPr>
      </w:pPr>
      <w:r>
        <w:rPr>
          <w:rStyle w:val="a7"/>
          <w:rtl/>
        </w:rPr>
        <w:footnoteRef/>
      </w:r>
      <w:r>
        <w:rPr>
          <w:rtl/>
        </w:rPr>
        <w:t xml:space="preserve"> </w:t>
      </w:r>
      <w:r>
        <w:rPr>
          <w:b/>
          <w:bCs/>
          <w:rtl/>
        </w:rPr>
        <w:t>חוצה לבר מהיכלין לא אית כו'.</w:t>
      </w:r>
      <w:r>
        <w:rPr>
          <w:rtl/>
        </w:rPr>
        <w:t xml:space="preserve"> שהתפלה נכנסת להיכלין כידוע:</w:t>
      </w:r>
    </w:p>
  </w:footnote>
  <w:footnote w:id="1186">
    <w:p w:rsidR="00A13282" w:rsidRDefault="00A13282">
      <w:pPr>
        <w:pStyle w:val="a5"/>
        <w:rPr>
          <w:rtl/>
        </w:rPr>
      </w:pPr>
      <w:r>
        <w:rPr>
          <w:rStyle w:val="a7"/>
          <w:rtl/>
        </w:rPr>
        <w:footnoteRef/>
      </w:r>
      <w:r>
        <w:rPr>
          <w:rtl/>
        </w:rPr>
        <w:t xml:space="preserve"> </w:t>
      </w:r>
      <w:r>
        <w:rPr>
          <w:b/>
          <w:bCs/>
          <w:rtl/>
        </w:rPr>
        <w:t>כמה צפרין כו'.</w:t>
      </w:r>
      <w:r>
        <w:rPr>
          <w:rtl/>
        </w:rPr>
        <w:t xml:space="preserve"> רוצה לומר ישראל:</w:t>
      </w:r>
    </w:p>
  </w:footnote>
  <w:footnote w:id="1187">
    <w:p w:rsidR="00A13282" w:rsidRDefault="00A13282">
      <w:pPr>
        <w:pStyle w:val="a5"/>
        <w:rPr>
          <w:rtl/>
        </w:rPr>
      </w:pPr>
      <w:r>
        <w:rPr>
          <w:rStyle w:val="a7"/>
          <w:rtl/>
        </w:rPr>
        <w:footnoteRef/>
      </w:r>
      <w:r>
        <w:rPr>
          <w:rtl/>
        </w:rPr>
        <w:t xml:space="preserve"> </w:t>
      </w:r>
      <w:r>
        <w:rPr>
          <w:b/>
          <w:bCs/>
          <w:rtl/>
        </w:rPr>
        <w:t>לגבי אמהן.</w:t>
      </w:r>
      <w:r>
        <w:rPr>
          <w:rtl/>
        </w:rPr>
        <w:t xml:space="preserve"> מלכות:</w:t>
      </w:r>
    </w:p>
  </w:footnote>
  <w:footnote w:id="1188">
    <w:p w:rsidR="00A13282" w:rsidRDefault="00A13282">
      <w:pPr>
        <w:pStyle w:val="a5"/>
        <w:rPr>
          <w:rtl/>
        </w:rPr>
      </w:pPr>
      <w:r>
        <w:rPr>
          <w:rStyle w:val="a7"/>
          <w:rtl/>
        </w:rPr>
        <w:footnoteRef/>
      </w:r>
      <w:r>
        <w:rPr>
          <w:rtl/>
        </w:rPr>
        <w:t xml:space="preserve"> </w:t>
      </w:r>
      <w:r>
        <w:rPr>
          <w:b/>
          <w:bCs/>
          <w:rtl/>
        </w:rPr>
        <w:t>דאינון מקננן על ארעא.</w:t>
      </w:r>
      <w:r>
        <w:rPr>
          <w:rtl/>
        </w:rPr>
        <w:t xml:space="preserve"> רוצה לומר דכתיב קן צפור כו' על הארץ, והן ישראל ואמם של צפרין - מלכות:</w:t>
      </w:r>
    </w:p>
  </w:footnote>
  <w:footnote w:id="1189">
    <w:p w:rsidR="00A13282" w:rsidRDefault="00A13282">
      <w:pPr>
        <w:pStyle w:val="a5"/>
        <w:rPr>
          <w:rtl/>
        </w:rPr>
      </w:pPr>
      <w:r>
        <w:rPr>
          <w:rStyle w:val="a7"/>
          <w:rtl/>
        </w:rPr>
        <w:footnoteRef/>
      </w:r>
      <w:r>
        <w:rPr>
          <w:rtl/>
        </w:rPr>
        <w:t xml:space="preserve"> </w:t>
      </w:r>
      <w:r>
        <w:rPr>
          <w:b/>
          <w:bCs/>
          <w:rtl/>
        </w:rPr>
        <w:t>דאיהי אימא כו'.</w:t>
      </w:r>
      <w:r>
        <w:rPr>
          <w:rtl/>
        </w:rPr>
        <w:t xml:space="preserve"> מלכות:</w:t>
      </w:r>
    </w:p>
  </w:footnote>
  <w:footnote w:id="1190">
    <w:p w:rsidR="00A13282" w:rsidRDefault="00A13282">
      <w:pPr>
        <w:pStyle w:val="a5"/>
        <w:rPr>
          <w:rtl/>
        </w:rPr>
      </w:pPr>
      <w:r>
        <w:rPr>
          <w:rStyle w:val="a7"/>
          <w:rtl/>
        </w:rPr>
        <w:footnoteRef/>
      </w:r>
      <w:r>
        <w:rPr>
          <w:rtl/>
        </w:rPr>
        <w:t xml:space="preserve"> </w:t>
      </w:r>
      <w:r>
        <w:rPr>
          <w:b/>
          <w:bCs/>
          <w:rtl/>
        </w:rPr>
        <w:t>ודא ב' כו'.</w:t>
      </w:r>
      <w:r>
        <w:rPr>
          <w:rtl/>
        </w:rPr>
        <w:t xml:space="preserve"> רוצה לומר שהיא נקראת בזמן דהיא אתבני והיא על מקומה בבית המקדש:</w:t>
      </w:r>
    </w:p>
  </w:footnote>
  <w:footnote w:id="1191">
    <w:p w:rsidR="00A13282" w:rsidRDefault="00A13282">
      <w:pPr>
        <w:pStyle w:val="a5"/>
        <w:rPr>
          <w:rtl/>
        </w:rPr>
      </w:pPr>
      <w:r>
        <w:rPr>
          <w:rStyle w:val="a7"/>
          <w:rtl/>
        </w:rPr>
        <w:footnoteRef/>
      </w:r>
      <w:r>
        <w:rPr>
          <w:rtl/>
        </w:rPr>
        <w:t xml:space="preserve"> </w:t>
      </w:r>
      <w:r>
        <w:rPr>
          <w:b/>
          <w:bCs/>
          <w:rtl/>
        </w:rPr>
        <w:t>דאינון ששת ימי המעשה.</w:t>
      </w:r>
      <w:r>
        <w:rPr>
          <w:rtl/>
        </w:rPr>
        <w:t xml:space="preserve"> רוצה לומר דבששת ימי המעשה הן סגורין, ובחגין וזמנין מתפתחין, כמו שאומר לקמן, והן נקראין ששת ימי המעשה, והן כל המועדים, שבת ושלשה חגים וראש השנה ויום הכפורים, כמו שאומר בזוהר חדש דף כ"ד, וזה שאומר חגין וזמנין ויומין טבין, ואמר כולהו פרחין לגבה שאז אתוסף בהו עדונין ותפנוקין כמו שאומר בזוהר חדש שם, והכל ע"י הקרבנות המוספים כמו שאומר שם, וזהו אשר שתה אפרוחיה את מזבחותיך כו', וזה שאומר כאן כולהו פרחין כו':</w:t>
      </w:r>
    </w:p>
  </w:footnote>
  <w:footnote w:id="1192">
    <w:p w:rsidR="00A13282" w:rsidRDefault="00A13282">
      <w:pPr>
        <w:pStyle w:val="a5"/>
        <w:rPr>
          <w:rtl/>
        </w:rPr>
      </w:pPr>
      <w:r>
        <w:rPr>
          <w:rStyle w:val="a7"/>
          <w:rtl/>
        </w:rPr>
        <w:footnoteRef/>
      </w:r>
      <w:r>
        <w:rPr>
          <w:rtl/>
        </w:rPr>
        <w:t xml:space="preserve"> </w:t>
      </w:r>
      <w:r>
        <w:rPr>
          <w:b/>
          <w:bCs/>
          <w:rtl/>
        </w:rPr>
        <w:t>ואפרוחין דאינון ישראל כו'.</w:t>
      </w:r>
      <w:r>
        <w:rPr>
          <w:rtl/>
        </w:rPr>
        <w:t xml:space="preserve"> חוזר לענין ראשון לפרש הפסוק כי יקרא כו' שאמר דקן צפור איהי מלכות, וצפרים שלה הן ישראל, ומפרש כאן מה שכתוב אפרוחים או ביצים:</w:t>
      </w:r>
    </w:p>
  </w:footnote>
  <w:footnote w:id="1193">
    <w:p w:rsidR="00A13282" w:rsidRDefault="00A13282">
      <w:pPr>
        <w:pStyle w:val="a5"/>
        <w:rPr>
          <w:rtl/>
        </w:rPr>
      </w:pPr>
      <w:r>
        <w:rPr>
          <w:rStyle w:val="a7"/>
          <w:rtl/>
        </w:rPr>
        <w:footnoteRef/>
      </w:r>
      <w:r>
        <w:rPr>
          <w:rtl/>
        </w:rPr>
        <w:t xml:space="preserve"> </w:t>
      </w:r>
      <w:r>
        <w:rPr>
          <w:b/>
          <w:bCs/>
          <w:rtl/>
        </w:rPr>
        <w:t>אתמר בה לא כו'.</w:t>
      </w:r>
      <w:r>
        <w:rPr>
          <w:rtl/>
        </w:rPr>
        <w:t xml:space="preserve"> רוצה לומר לא שריא עליהון:</w:t>
      </w:r>
    </w:p>
  </w:footnote>
  <w:footnote w:id="1194">
    <w:p w:rsidR="00A13282" w:rsidRDefault="00A13282">
      <w:pPr>
        <w:pStyle w:val="a5"/>
        <w:rPr>
          <w:rtl/>
        </w:rPr>
      </w:pPr>
      <w:r>
        <w:rPr>
          <w:rStyle w:val="a7"/>
          <w:rtl/>
        </w:rPr>
        <w:footnoteRef/>
      </w:r>
      <w:r>
        <w:rPr>
          <w:rtl/>
        </w:rPr>
        <w:t xml:space="preserve"> </w:t>
      </w:r>
      <w:r>
        <w:rPr>
          <w:b/>
          <w:bCs/>
          <w:rtl/>
        </w:rPr>
        <w:t>א"ה מאי כי יקרא.</w:t>
      </w:r>
      <w:r>
        <w:rPr>
          <w:rtl/>
        </w:rPr>
        <w:t xml:space="preserve"> רוצה לומר מאחר דקאי על השכינה:</w:t>
      </w:r>
    </w:p>
  </w:footnote>
  <w:footnote w:id="1195">
    <w:p w:rsidR="00A13282" w:rsidRDefault="00A13282">
      <w:pPr>
        <w:pStyle w:val="a5"/>
        <w:rPr>
          <w:rtl/>
        </w:rPr>
      </w:pPr>
      <w:r>
        <w:rPr>
          <w:rStyle w:val="a7"/>
          <w:rtl/>
        </w:rPr>
        <w:footnoteRef/>
      </w:r>
      <w:r>
        <w:rPr>
          <w:rtl/>
        </w:rPr>
        <w:t xml:space="preserve"> </w:t>
      </w:r>
      <w:r>
        <w:rPr>
          <w:b/>
          <w:bCs/>
          <w:rtl/>
        </w:rPr>
        <w:t>אלא בזמנא כו'.</w:t>
      </w:r>
      <w:r>
        <w:rPr>
          <w:rtl/>
        </w:rPr>
        <w:t xml:space="preserve"> רוצה לומר אז שלח תשלח:</w:t>
      </w:r>
    </w:p>
  </w:footnote>
  <w:footnote w:id="1196">
    <w:p w:rsidR="00A13282" w:rsidRDefault="00A13282">
      <w:pPr>
        <w:pStyle w:val="a5"/>
        <w:rPr>
          <w:rtl/>
        </w:rPr>
      </w:pPr>
      <w:r>
        <w:rPr>
          <w:rStyle w:val="a7"/>
          <w:rtl/>
        </w:rPr>
        <w:footnoteRef/>
      </w:r>
      <w:r>
        <w:rPr>
          <w:rtl/>
        </w:rPr>
        <w:t xml:space="preserve"> </w:t>
      </w:r>
      <w:r>
        <w:rPr>
          <w:b/>
          <w:bCs/>
          <w:rtl/>
        </w:rPr>
        <w:t>דל"ל לשכינתא אתר.</w:t>
      </w:r>
      <w:r>
        <w:rPr>
          <w:rtl/>
        </w:rPr>
        <w:t xml:space="preserve"> רוצה לומר נשמתא בקביעות:</w:t>
      </w:r>
    </w:p>
  </w:footnote>
  <w:footnote w:id="1197">
    <w:p w:rsidR="00A13282" w:rsidRDefault="00A13282">
      <w:pPr>
        <w:pStyle w:val="a5"/>
        <w:rPr>
          <w:rtl/>
        </w:rPr>
      </w:pPr>
      <w:r>
        <w:rPr>
          <w:rStyle w:val="a7"/>
          <w:rtl/>
        </w:rPr>
        <w:footnoteRef/>
      </w:r>
      <w:r>
        <w:rPr>
          <w:rtl/>
        </w:rPr>
        <w:t xml:space="preserve"> </w:t>
      </w:r>
      <w:r>
        <w:rPr>
          <w:b/>
          <w:bCs/>
          <w:rtl/>
        </w:rPr>
        <w:t>הקובע מקום לתפילתו.</w:t>
      </w:r>
      <w:r>
        <w:rPr>
          <w:rtl/>
        </w:rPr>
        <w:t xml:space="preserve"> רוצה לומר שקובע הנשמה שלו לשכינה שנקראת תפלה ולכך אויביו נופלין תחתיו שהן היצר הרע וחיילותיו כמו שאומר לעיל שאז והזר הקרב יומת:</w:t>
      </w:r>
    </w:p>
  </w:footnote>
  <w:footnote w:id="1198">
    <w:p w:rsidR="00A13282" w:rsidRDefault="00A13282">
      <w:pPr>
        <w:pStyle w:val="a5"/>
        <w:rPr>
          <w:rtl/>
        </w:rPr>
      </w:pPr>
      <w:r>
        <w:rPr>
          <w:rStyle w:val="a7"/>
          <w:rtl/>
        </w:rPr>
        <w:footnoteRef/>
      </w:r>
      <w:r>
        <w:rPr>
          <w:rtl/>
        </w:rPr>
        <w:t xml:space="preserve"> </w:t>
      </w:r>
      <w:r>
        <w:rPr>
          <w:b/>
          <w:bCs/>
          <w:rtl/>
        </w:rPr>
        <w:t>דודאי נשמתא איהי קן צפור וגופא כו'.</w:t>
      </w:r>
      <w:r>
        <w:rPr>
          <w:rtl/>
        </w:rPr>
        <w:t xml:space="preserve"> ורוצה לומר דשכינה אתקריא צפור, והוה ליה למימר כי יקרא צפור, ואמר דנשמתא היא קן צפור שהיא גם כן במקרה כמו שמפרש והולך:</w:t>
      </w:r>
    </w:p>
  </w:footnote>
  <w:footnote w:id="1199">
    <w:p w:rsidR="00A13282" w:rsidRDefault="00A13282">
      <w:pPr>
        <w:pStyle w:val="a5"/>
        <w:rPr>
          <w:rtl/>
        </w:rPr>
      </w:pPr>
      <w:r>
        <w:rPr>
          <w:rStyle w:val="a7"/>
          <w:rtl/>
        </w:rPr>
        <w:footnoteRef/>
      </w:r>
      <w:r>
        <w:rPr>
          <w:rtl/>
        </w:rPr>
        <w:t xml:space="preserve"> </w:t>
      </w:r>
      <w:r>
        <w:rPr>
          <w:b/>
          <w:bCs/>
          <w:rtl/>
        </w:rPr>
        <w:t>וכן נשמתין כו' דאתקריאו בתולות אחריה כו'.</w:t>
      </w:r>
      <w:r>
        <w:rPr>
          <w:rtl/>
        </w:rPr>
        <w:t xml:space="preserve"> רוצה לומר שהולכין אחריה, ולכך יתבין בגופא כו':</w:t>
      </w:r>
    </w:p>
  </w:footnote>
  <w:footnote w:id="1200">
    <w:p w:rsidR="00A13282" w:rsidRDefault="00A13282">
      <w:pPr>
        <w:pStyle w:val="a5"/>
        <w:rPr>
          <w:rtl/>
        </w:rPr>
      </w:pPr>
      <w:r>
        <w:rPr>
          <w:rStyle w:val="a7"/>
          <w:rtl/>
        </w:rPr>
        <w:footnoteRef/>
      </w:r>
      <w:r>
        <w:rPr>
          <w:rtl/>
        </w:rPr>
        <w:t xml:space="preserve"> </w:t>
      </w:r>
      <w:r>
        <w:rPr>
          <w:b/>
          <w:bCs/>
          <w:rtl/>
        </w:rPr>
        <w:t>בזמנא דלאו אינון כו'.</w:t>
      </w:r>
      <w:r>
        <w:rPr>
          <w:rtl/>
        </w:rPr>
        <w:t xml:space="preserve"> רוצה לומר דכי יקרא קאי גם הגוף ונשמה בזמנא דגופא לאו קבוע בבתי כנסיות כו'. וזה שאומר לעיל דגופא קן לנשמתא:</w:t>
      </w:r>
    </w:p>
  </w:footnote>
  <w:footnote w:id="1201">
    <w:p w:rsidR="00A13282" w:rsidRDefault="00A13282">
      <w:pPr>
        <w:pStyle w:val="a5"/>
        <w:rPr>
          <w:rtl/>
        </w:rPr>
      </w:pPr>
      <w:r>
        <w:rPr>
          <w:rStyle w:val="a7"/>
          <w:rtl/>
        </w:rPr>
        <w:footnoteRef/>
      </w:r>
      <w:r>
        <w:rPr>
          <w:rtl/>
        </w:rPr>
        <w:t xml:space="preserve"> </w:t>
      </w:r>
      <w:r>
        <w:rPr>
          <w:b/>
          <w:bCs/>
          <w:rtl/>
        </w:rPr>
        <w:t>ודא איהו כו' לפניך.</w:t>
      </w:r>
      <w:r>
        <w:rPr>
          <w:rtl/>
        </w:rPr>
        <w:t xml:space="preserve"> קא דייק מלת לפניך:</w:t>
      </w:r>
    </w:p>
  </w:footnote>
  <w:footnote w:id="1202">
    <w:p w:rsidR="00A13282" w:rsidRDefault="00A13282">
      <w:pPr>
        <w:pStyle w:val="a5"/>
        <w:rPr>
          <w:rtl/>
        </w:rPr>
      </w:pPr>
      <w:r>
        <w:rPr>
          <w:rStyle w:val="a7"/>
          <w:rtl/>
        </w:rPr>
        <w:footnoteRef/>
      </w:r>
      <w:r>
        <w:rPr>
          <w:rtl/>
        </w:rPr>
        <w:t xml:space="preserve"> </w:t>
      </w:r>
      <w:r>
        <w:rPr>
          <w:b/>
          <w:bCs/>
          <w:rtl/>
        </w:rPr>
        <w:t>ועוד קן צפור כו'.</w:t>
      </w:r>
      <w:r>
        <w:rPr>
          <w:rtl/>
        </w:rPr>
        <w:t xml:space="preserve"> רוצה לומר כמו למטה הנשמה קן לשכינה וגוף - לנשמה, כן לעילא כרסייא - לשכינה ומט"ט - לכסא. וזה שאומר קן צפור לעילא כרסיא לפי שרוצה לומר אצל מט"ט - לתתא. והכסא דוגמת הנשמה שבאה משם:</w:t>
      </w:r>
    </w:p>
  </w:footnote>
  <w:footnote w:id="1203">
    <w:p w:rsidR="00A13282" w:rsidRDefault="00A13282">
      <w:pPr>
        <w:pStyle w:val="a5"/>
        <w:rPr>
          <w:rtl/>
        </w:rPr>
      </w:pPr>
      <w:r>
        <w:rPr>
          <w:rStyle w:val="a7"/>
          <w:rtl/>
        </w:rPr>
        <w:footnoteRef/>
      </w:r>
      <w:r>
        <w:rPr>
          <w:rtl/>
        </w:rPr>
        <w:t xml:space="preserve"> </w:t>
      </w:r>
      <w:r>
        <w:rPr>
          <w:b/>
          <w:bCs/>
          <w:rtl/>
        </w:rPr>
        <w:t>וקן דילה.</w:t>
      </w:r>
      <w:r>
        <w:rPr>
          <w:rtl/>
        </w:rPr>
        <w:t xml:space="preserve"> רוצה לומר של הכסא, הוא מט"ט שהוא דוגמת הגוף לנשמה, כן הוא - גוף לכסא, וכמו אם אין שכינה שורה בנשמה אין הנשמה שורה בגוף, כן אם אין שכינה שורה בכסא אז אין כסא שורה בו, וע"י הכסא שורה בו השכינה במט"ט כמו ע"י הנשמה שורה השכינה בגוף ולכן נקרא מט"ט - גוף דשכינתא כמו שאומר לעיל בהקדמה:</w:t>
      </w:r>
    </w:p>
  </w:footnote>
  <w:footnote w:id="1204">
    <w:p w:rsidR="00A13282" w:rsidRDefault="00A13282">
      <w:pPr>
        <w:pStyle w:val="a5"/>
        <w:rPr>
          <w:rtl/>
        </w:rPr>
      </w:pPr>
      <w:r>
        <w:rPr>
          <w:rStyle w:val="a7"/>
          <w:rtl/>
        </w:rPr>
        <w:footnoteRef/>
      </w:r>
      <w:r>
        <w:rPr>
          <w:rtl/>
        </w:rPr>
        <w:t xml:space="preserve"> </w:t>
      </w:r>
      <w:r>
        <w:rPr>
          <w:b/>
          <w:bCs/>
          <w:rtl/>
        </w:rPr>
        <w:t>ועליה אתמר.</w:t>
      </w:r>
      <w:r>
        <w:rPr>
          <w:rtl/>
        </w:rPr>
        <w:t xml:space="preserve"> רוצה לומר על מט"ט:</w:t>
      </w:r>
    </w:p>
  </w:footnote>
  <w:footnote w:id="1205">
    <w:p w:rsidR="00A13282" w:rsidRDefault="00A13282">
      <w:pPr>
        <w:pStyle w:val="a5"/>
        <w:rPr>
          <w:rtl/>
        </w:rPr>
      </w:pPr>
      <w:r>
        <w:rPr>
          <w:rStyle w:val="a7"/>
          <w:rtl/>
        </w:rPr>
        <w:footnoteRef/>
      </w:r>
      <w:r>
        <w:rPr>
          <w:rtl/>
        </w:rPr>
        <w:t xml:space="preserve"> </w:t>
      </w:r>
      <w:r>
        <w:rPr>
          <w:b/>
          <w:bCs/>
          <w:rtl/>
        </w:rPr>
        <w:t>ונקה לא ינקה.</w:t>
      </w:r>
      <w:r>
        <w:rPr>
          <w:rtl/>
        </w:rPr>
        <w:t xml:space="preserve"> דכתיב כי לא ישא לפשעכם:</w:t>
      </w:r>
    </w:p>
  </w:footnote>
  <w:footnote w:id="1206">
    <w:p w:rsidR="00A13282" w:rsidRDefault="00A13282">
      <w:pPr>
        <w:pStyle w:val="a5"/>
        <w:rPr>
          <w:rtl/>
        </w:rPr>
      </w:pPr>
      <w:r>
        <w:rPr>
          <w:rStyle w:val="a7"/>
          <w:rtl/>
        </w:rPr>
        <w:footnoteRef/>
      </w:r>
      <w:r>
        <w:rPr>
          <w:rtl/>
        </w:rPr>
        <w:t xml:space="preserve"> </w:t>
      </w:r>
      <w:r>
        <w:rPr>
          <w:b/>
          <w:bCs/>
          <w:rtl/>
        </w:rPr>
        <w:t>דתמן קן.</w:t>
      </w:r>
      <w:r>
        <w:rPr>
          <w:rtl/>
        </w:rPr>
        <w:t xml:space="preserve"> רוצה לומר במלת ונקה ינקה - אותיות קן בהם, ומביא ראיה שהוא נקרא קן:</w:t>
      </w:r>
    </w:p>
  </w:footnote>
  <w:footnote w:id="1207">
    <w:p w:rsidR="00A13282" w:rsidRDefault="00A13282">
      <w:pPr>
        <w:pStyle w:val="a5"/>
        <w:rPr>
          <w:rtl/>
        </w:rPr>
      </w:pPr>
      <w:r>
        <w:rPr>
          <w:rStyle w:val="a7"/>
          <w:rtl/>
        </w:rPr>
        <w:footnoteRef/>
      </w:r>
      <w:r>
        <w:rPr>
          <w:rtl/>
        </w:rPr>
        <w:t xml:space="preserve"> </w:t>
      </w:r>
      <w:r>
        <w:rPr>
          <w:b/>
          <w:bCs/>
          <w:rtl/>
        </w:rPr>
        <w:t>ואיהו קנא ונוקם.</w:t>
      </w:r>
      <w:r>
        <w:rPr>
          <w:rtl/>
        </w:rPr>
        <w:t xml:space="preserve"> כנ"ל כי לא ישא כו' ורוצה לומר במלת קנא ונוקם גם כן אותיות קן:</w:t>
      </w:r>
    </w:p>
  </w:footnote>
  <w:footnote w:id="1208">
    <w:p w:rsidR="00A13282" w:rsidRDefault="00A13282">
      <w:pPr>
        <w:pStyle w:val="a5"/>
        <w:rPr>
          <w:rtl/>
        </w:rPr>
      </w:pPr>
      <w:r>
        <w:rPr>
          <w:rStyle w:val="a7"/>
          <w:rtl/>
        </w:rPr>
        <w:footnoteRef/>
      </w:r>
      <w:r>
        <w:rPr>
          <w:rtl/>
        </w:rPr>
        <w:t xml:space="preserve"> </w:t>
      </w:r>
      <w:r>
        <w:rPr>
          <w:b/>
          <w:bCs/>
          <w:rtl/>
        </w:rPr>
        <w:t>בזמנא דלא אשכחת.</w:t>
      </w:r>
      <w:r>
        <w:rPr>
          <w:rtl/>
        </w:rPr>
        <w:t xml:space="preserve"> רוצה לומר השכינה כנ"ל דכתיב כי יקרא - במקרה. והענין כמו שאומר בזוהר דמט"ט אתבני בשמא קדישא ע"י מעשה הצדיקים וזה בזמנא כו' וקן צפור דקרא נתפרש בשני פנים, למעלה ולמטה. למעלה - בכסא, ולמטה - במטטרו"ן. וזה שאומר לעילא כו'. לתתא מט"ט:</w:t>
      </w:r>
    </w:p>
  </w:footnote>
  <w:footnote w:id="1209">
    <w:p w:rsidR="00A13282" w:rsidRDefault="00A13282">
      <w:pPr>
        <w:pStyle w:val="a5"/>
        <w:rPr>
          <w:rtl/>
        </w:rPr>
      </w:pPr>
      <w:r>
        <w:rPr>
          <w:rStyle w:val="a7"/>
          <w:rtl/>
        </w:rPr>
        <w:footnoteRef/>
      </w:r>
      <w:r>
        <w:rPr>
          <w:rtl/>
        </w:rPr>
        <w:t xml:space="preserve"> </w:t>
      </w:r>
      <w:r>
        <w:rPr>
          <w:b/>
          <w:bCs/>
          <w:rtl/>
        </w:rPr>
        <w:t>בדרך דא כו'.</w:t>
      </w:r>
      <w:r>
        <w:rPr>
          <w:rtl/>
        </w:rPr>
        <w:t xml:space="preserve"> רוצה לומר שמלכות נקראת דרך כמו שכתוב מתו במדבר בדרך רוצה לומר שע"י הדרך מתו שהוציאו דבת הארץ - מלכות וכן קבורת רחל בדרך כמו שמפרש והולך, ורוצה לומר בזמן שאין הצדיקים בדור ואין מוצאה מקום לנוח אז היא שורה על הצדיקים ישיני עפר וזה שאומר מתו במדבר בדרך רוצה לומר ששם שורה:</w:t>
      </w:r>
    </w:p>
  </w:footnote>
  <w:footnote w:id="1210">
    <w:p w:rsidR="00A13282" w:rsidRDefault="00A13282">
      <w:pPr>
        <w:pStyle w:val="a5"/>
        <w:rPr>
          <w:rtl/>
        </w:rPr>
      </w:pPr>
      <w:r>
        <w:rPr>
          <w:rStyle w:val="a7"/>
          <w:rtl/>
        </w:rPr>
        <w:footnoteRef/>
      </w:r>
      <w:r>
        <w:rPr>
          <w:rtl/>
        </w:rPr>
        <w:t xml:space="preserve"> </w:t>
      </w:r>
      <w:r>
        <w:rPr>
          <w:b/>
          <w:bCs/>
          <w:rtl/>
        </w:rPr>
        <w:t>ועוד בדרך כו'.</w:t>
      </w:r>
      <w:r>
        <w:rPr>
          <w:rtl/>
        </w:rPr>
        <w:t xml:space="preserve"> רוצה לומר ששם עיקר שרייתה כידוע:</w:t>
      </w:r>
    </w:p>
  </w:footnote>
  <w:footnote w:id="1211">
    <w:p w:rsidR="00A13282" w:rsidRDefault="00A13282">
      <w:pPr>
        <w:pStyle w:val="a5"/>
        <w:rPr>
          <w:rtl/>
        </w:rPr>
      </w:pPr>
      <w:r>
        <w:rPr>
          <w:rStyle w:val="a7"/>
          <w:rtl/>
        </w:rPr>
        <w:footnoteRef/>
      </w:r>
      <w:r>
        <w:rPr>
          <w:rtl/>
        </w:rPr>
        <w:t xml:space="preserve"> </w:t>
      </w:r>
      <w:r>
        <w:rPr>
          <w:b/>
          <w:bCs/>
          <w:rtl/>
        </w:rPr>
        <w:t>דאיהי בפרשת אורחין כו'.</w:t>
      </w:r>
      <w:r>
        <w:rPr>
          <w:rtl/>
        </w:rPr>
        <w:t xml:space="preserve"> רוצה לומר בדרך ורוצה לומר שלכך נאמר מלון אורחים כמו שמפרש והולך ועלה אתמר כו':</w:t>
      </w:r>
    </w:p>
  </w:footnote>
  <w:footnote w:id="1212">
    <w:p w:rsidR="00A13282" w:rsidRDefault="00A13282">
      <w:pPr>
        <w:pStyle w:val="a5"/>
        <w:rPr>
          <w:rtl/>
        </w:rPr>
      </w:pPr>
      <w:r>
        <w:rPr>
          <w:rStyle w:val="a7"/>
          <w:rtl/>
        </w:rPr>
        <w:footnoteRef/>
      </w:r>
      <w:r>
        <w:rPr>
          <w:rtl/>
        </w:rPr>
        <w:t xml:space="preserve"> </w:t>
      </w:r>
      <w:r>
        <w:rPr>
          <w:b/>
          <w:bCs/>
          <w:rtl/>
        </w:rPr>
        <w:t>מי יתנני כו'.</w:t>
      </w:r>
      <w:r>
        <w:rPr>
          <w:rtl/>
        </w:rPr>
        <w:t xml:space="preserve"> רוצה לומר שתשרה שם ולא על ישראל מחמת עונותיהם שנסתלקה מהם כמו שכתוב ואלכה אל מקומי כו':</w:t>
      </w:r>
    </w:p>
  </w:footnote>
  <w:footnote w:id="1213">
    <w:p w:rsidR="00A13282" w:rsidRDefault="00A13282">
      <w:pPr>
        <w:pStyle w:val="a5"/>
        <w:rPr>
          <w:rtl/>
        </w:rPr>
      </w:pPr>
      <w:r>
        <w:rPr>
          <w:rStyle w:val="a7"/>
          <w:rtl/>
        </w:rPr>
        <w:footnoteRef/>
      </w:r>
      <w:r>
        <w:rPr>
          <w:rtl/>
        </w:rPr>
        <w:t xml:space="preserve"> </w:t>
      </w:r>
      <w:r>
        <w:rPr>
          <w:b/>
          <w:bCs/>
          <w:rtl/>
        </w:rPr>
        <w:t>מלון אורחים.</w:t>
      </w:r>
      <w:r>
        <w:rPr>
          <w:rtl/>
        </w:rPr>
        <w:t xml:space="preserve"> לפי פשוטו רוצה לומר בגלות שהוא מלון אבל מפרש לקמן שהאורחים לנים שם וזה שאומר ואינון שני משיחים כו':</w:t>
      </w:r>
    </w:p>
  </w:footnote>
  <w:footnote w:id="1214">
    <w:p w:rsidR="00A13282" w:rsidRDefault="00A13282">
      <w:pPr>
        <w:pStyle w:val="a5"/>
        <w:rPr>
          <w:rtl/>
        </w:rPr>
      </w:pPr>
      <w:r>
        <w:rPr>
          <w:rStyle w:val="a7"/>
          <w:rtl/>
        </w:rPr>
        <w:footnoteRef/>
      </w:r>
      <w:r>
        <w:rPr>
          <w:rtl/>
        </w:rPr>
        <w:t xml:space="preserve"> </w:t>
      </w:r>
      <w:r>
        <w:rPr>
          <w:b/>
          <w:bCs/>
          <w:rtl/>
        </w:rPr>
        <w:t>דא איהו עץ החיים.</w:t>
      </w:r>
      <w:r>
        <w:rPr>
          <w:rtl/>
        </w:rPr>
        <w:t xml:space="preserve"> רוצה לומר עמודא דאמצעיתא ורוצה לומר בזמן שמוצאה תלמיד חכם למטה אז לה נייחא בעץ החיים:</w:t>
      </w:r>
    </w:p>
  </w:footnote>
  <w:footnote w:id="1215">
    <w:p w:rsidR="00A13282" w:rsidRDefault="00A13282">
      <w:pPr>
        <w:pStyle w:val="a5"/>
        <w:rPr>
          <w:rtl/>
        </w:rPr>
      </w:pPr>
      <w:r>
        <w:rPr>
          <w:rStyle w:val="a7"/>
          <w:rtl/>
        </w:rPr>
        <w:footnoteRef/>
      </w:r>
      <w:r>
        <w:rPr>
          <w:rtl/>
        </w:rPr>
        <w:t xml:space="preserve"> </w:t>
      </w:r>
      <w:r>
        <w:rPr>
          <w:b/>
          <w:bCs/>
          <w:rtl/>
        </w:rPr>
        <w:t>ועליה אתמר כי כו'.</w:t>
      </w:r>
      <w:r>
        <w:rPr>
          <w:rtl/>
        </w:rPr>
        <w:t xml:space="preserve"> כמו שאומר בזוהר בזמן שהאדם הוא עץ השדה שהוא תלמיד חכם - ממנו תאכל כו' וכן בעמודא דאמצעיתא שנקרא אדם - הוא עץ השדה דלעילא:</w:t>
      </w:r>
    </w:p>
  </w:footnote>
  <w:footnote w:id="1216">
    <w:p w:rsidR="00A13282" w:rsidRDefault="00A13282">
      <w:pPr>
        <w:pStyle w:val="a5"/>
        <w:rPr>
          <w:rtl/>
        </w:rPr>
      </w:pPr>
      <w:r>
        <w:rPr>
          <w:rStyle w:val="a7"/>
          <w:rtl/>
        </w:rPr>
        <w:footnoteRef/>
      </w:r>
      <w:r>
        <w:rPr>
          <w:rtl/>
        </w:rPr>
        <w:t xml:space="preserve"> </w:t>
      </w:r>
      <w:r>
        <w:rPr>
          <w:b/>
          <w:bCs/>
          <w:rtl/>
        </w:rPr>
        <w:t>על פלגי מים.</w:t>
      </w:r>
      <w:r>
        <w:rPr>
          <w:rtl/>
        </w:rPr>
        <w:t xml:space="preserve"> הן מ"ד מ"נ כמו שאומר להלן:</w:t>
      </w:r>
    </w:p>
  </w:footnote>
  <w:footnote w:id="1217">
    <w:p w:rsidR="00A13282" w:rsidRDefault="00A13282">
      <w:pPr>
        <w:pStyle w:val="a5"/>
        <w:rPr>
          <w:rtl/>
        </w:rPr>
      </w:pPr>
      <w:r>
        <w:rPr>
          <w:rStyle w:val="a7"/>
          <w:rtl/>
        </w:rPr>
        <w:footnoteRef/>
      </w:r>
      <w:r>
        <w:rPr>
          <w:rtl/>
        </w:rPr>
        <w:t xml:space="preserve"> </w:t>
      </w:r>
      <w:r>
        <w:rPr>
          <w:b/>
          <w:bCs/>
          <w:rtl/>
        </w:rPr>
        <w:t>דא עתו דצדיק.</w:t>
      </w:r>
      <w:r>
        <w:rPr>
          <w:rtl/>
        </w:rPr>
        <w:t xml:space="preserve"> רוצה לומר מלכות נקרא עת כידוע והיא עת של צדיק שיש כמה עתים כידוע:</w:t>
      </w:r>
    </w:p>
  </w:footnote>
  <w:footnote w:id="1218">
    <w:p w:rsidR="00A13282" w:rsidRDefault="00A13282">
      <w:pPr>
        <w:pStyle w:val="a5"/>
        <w:rPr>
          <w:rtl/>
        </w:rPr>
      </w:pPr>
      <w:r>
        <w:rPr>
          <w:rStyle w:val="a7"/>
          <w:rtl/>
        </w:rPr>
        <w:footnoteRef/>
      </w:r>
      <w:r>
        <w:rPr>
          <w:rtl/>
        </w:rPr>
        <w:t xml:space="preserve"> </w:t>
      </w:r>
      <w:r>
        <w:rPr>
          <w:b/>
          <w:bCs/>
          <w:rtl/>
        </w:rPr>
        <w:t>דאיהי ל"ש.</w:t>
      </w:r>
      <w:r>
        <w:rPr>
          <w:rtl/>
        </w:rPr>
        <w:t xml:space="preserve"> רוצה לומר מלכות ואז הוא זיווגא דשכינתא וזהו עתו כו':</w:t>
      </w:r>
    </w:p>
  </w:footnote>
  <w:footnote w:id="1219">
    <w:p w:rsidR="00A13282" w:rsidRDefault="00A13282">
      <w:pPr>
        <w:pStyle w:val="a5"/>
        <w:rPr>
          <w:rtl/>
        </w:rPr>
      </w:pPr>
      <w:r>
        <w:rPr>
          <w:rStyle w:val="a7"/>
          <w:rtl/>
        </w:rPr>
        <w:footnoteRef/>
      </w:r>
      <w:r>
        <w:rPr>
          <w:rtl/>
        </w:rPr>
        <w:t xml:space="preserve"> </w:t>
      </w:r>
      <w:r>
        <w:rPr>
          <w:b/>
          <w:bCs/>
          <w:rtl/>
        </w:rPr>
        <w:t>דצדיק מיניה כו'.</w:t>
      </w:r>
      <w:r>
        <w:rPr>
          <w:rtl/>
        </w:rPr>
        <w:t xml:space="preserve"> רוצה לומר לכך נאמר פריו יתן כו':</w:t>
      </w:r>
    </w:p>
  </w:footnote>
  <w:footnote w:id="1220">
    <w:p w:rsidR="00A13282" w:rsidRDefault="00A13282">
      <w:pPr>
        <w:pStyle w:val="a5"/>
        <w:rPr>
          <w:rtl/>
        </w:rPr>
      </w:pPr>
      <w:r>
        <w:rPr>
          <w:rStyle w:val="a7"/>
          <w:rtl/>
        </w:rPr>
        <w:footnoteRef/>
      </w:r>
      <w:r>
        <w:rPr>
          <w:rtl/>
        </w:rPr>
        <w:t xml:space="preserve"> </w:t>
      </w:r>
      <w:r>
        <w:rPr>
          <w:b/>
          <w:bCs/>
          <w:rtl/>
        </w:rPr>
        <w:t>דאתקריאו פנים חדשות.</w:t>
      </w:r>
      <w:r>
        <w:rPr>
          <w:rtl/>
        </w:rPr>
        <w:t xml:space="preserve"> כמו שאמרו (טושו"ע אבה"ע סב ח) שבת הוא פנים חדשות אצל ז' ברכות לחתן ורוצה לומר זהו פריו יתן כו' שבכל פעם פרחין מיניה נשמתין חדתין כו':</w:t>
      </w:r>
    </w:p>
  </w:footnote>
  <w:footnote w:id="1221">
    <w:p w:rsidR="00A13282" w:rsidRDefault="00A13282">
      <w:pPr>
        <w:pStyle w:val="a5"/>
        <w:rPr>
          <w:rtl/>
        </w:rPr>
      </w:pPr>
      <w:r>
        <w:rPr>
          <w:rStyle w:val="a7"/>
          <w:rtl/>
        </w:rPr>
        <w:footnoteRef/>
      </w:r>
      <w:r>
        <w:rPr>
          <w:rtl/>
        </w:rPr>
        <w:t xml:space="preserve"> </w:t>
      </w:r>
      <w:r>
        <w:rPr>
          <w:b/>
          <w:bCs/>
          <w:rtl/>
        </w:rPr>
        <w:t>אפרוחים כו'.</w:t>
      </w:r>
      <w:r>
        <w:rPr>
          <w:rtl/>
        </w:rPr>
        <w:t xml:space="preserve"> הולך ומפרש הקרא:</w:t>
      </w:r>
    </w:p>
  </w:footnote>
  <w:footnote w:id="1222">
    <w:p w:rsidR="00A13282" w:rsidRDefault="00A13282">
      <w:pPr>
        <w:pStyle w:val="a5"/>
        <w:rPr>
          <w:rtl/>
        </w:rPr>
      </w:pPr>
      <w:r>
        <w:rPr>
          <w:rStyle w:val="a7"/>
          <w:rtl/>
        </w:rPr>
        <w:footnoteRef/>
      </w:r>
      <w:r>
        <w:rPr>
          <w:rtl/>
        </w:rPr>
        <w:t xml:space="preserve"> </w:t>
      </w:r>
      <w:r>
        <w:rPr>
          <w:b/>
          <w:bCs/>
          <w:rtl/>
        </w:rPr>
        <w:t>דבגינהון שריא כו'.</w:t>
      </w:r>
      <w:r>
        <w:rPr>
          <w:rtl/>
        </w:rPr>
        <w:t xml:space="preserve"> רוצה לומר לכך כתיב והאם רובצת כו':</w:t>
      </w:r>
    </w:p>
  </w:footnote>
  <w:footnote w:id="1223">
    <w:p w:rsidR="00A13282" w:rsidRDefault="00A13282">
      <w:pPr>
        <w:pStyle w:val="a5"/>
        <w:rPr>
          <w:rtl/>
        </w:rPr>
      </w:pPr>
      <w:r>
        <w:rPr>
          <w:rStyle w:val="a7"/>
          <w:rtl/>
        </w:rPr>
        <w:footnoteRef/>
      </w:r>
      <w:r>
        <w:rPr>
          <w:rtl/>
        </w:rPr>
        <w:t xml:space="preserve"> </w:t>
      </w:r>
      <w:r>
        <w:rPr>
          <w:b/>
          <w:bCs/>
          <w:rtl/>
        </w:rPr>
        <w:t>ואילין אינון כו'.</w:t>
      </w:r>
      <w:r>
        <w:rPr>
          <w:rtl/>
        </w:rPr>
        <w:t xml:space="preserve"> רוצה לומר ביצים וכן הם תינוקות שגם הם מארי מקרא כידוע:</w:t>
      </w:r>
    </w:p>
  </w:footnote>
  <w:footnote w:id="1224">
    <w:p w:rsidR="00A13282" w:rsidRDefault="00A13282">
      <w:pPr>
        <w:pStyle w:val="a5"/>
        <w:rPr>
          <w:rtl/>
        </w:rPr>
      </w:pPr>
      <w:r>
        <w:rPr>
          <w:rStyle w:val="a7"/>
          <w:rtl/>
        </w:rPr>
        <w:footnoteRef/>
      </w:r>
      <w:r>
        <w:rPr>
          <w:rtl/>
        </w:rPr>
        <w:t xml:space="preserve"> </w:t>
      </w:r>
      <w:r>
        <w:rPr>
          <w:b/>
          <w:bCs/>
          <w:rtl/>
        </w:rPr>
        <w:t>ובזמנא דאינון כו'.</w:t>
      </w:r>
      <w:r>
        <w:rPr>
          <w:rtl/>
        </w:rPr>
        <w:t xml:space="preserve"> רוצה לתרץ, מה שהתחיל הקרא באפרוחים וביצים, ואמר לא תקח כו' הבנים, ואמר בזמנא כו' ירתין נשמתין ועוסקין בקבלה, ואז נקראו בנים, ואז לא תקח, כמו שמפרש והולך:</w:t>
      </w:r>
    </w:p>
  </w:footnote>
  <w:footnote w:id="1225">
    <w:p w:rsidR="00A13282" w:rsidRDefault="00A13282">
      <w:pPr>
        <w:pStyle w:val="a5"/>
        <w:rPr>
          <w:rtl/>
        </w:rPr>
      </w:pPr>
      <w:r>
        <w:rPr>
          <w:rStyle w:val="a7"/>
          <w:rtl/>
        </w:rPr>
        <w:footnoteRef/>
      </w:r>
      <w:r>
        <w:rPr>
          <w:rtl/>
        </w:rPr>
        <w:t xml:space="preserve"> </w:t>
      </w:r>
      <w:r>
        <w:rPr>
          <w:b/>
          <w:bCs/>
          <w:rtl/>
        </w:rPr>
        <w:t>ינוקין אנפי זוטרי כו'.</w:t>
      </w:r>
      <w:r>
        <w:rPr>
          <w:rtl/>
        </w:rPr>
        <w:t xml:space="preserve"> רוצה לומר ד' אנפין דילה הוא על התינוקות שנקראים אנפי זוטרי שאמרו היינו כרוב כו' וזה ד' אנפין דכרוב והיא נקראת כמו שאומר בזוהר חדש ד' ע"ג עיין שם:</w:t>
      </w:r>
    </w:p>
  </w:footnote>
  <w:footnote w:id="1226">
    <w:p w:rsidR="00A13282" w:rsidRDefault="00A13282">
      <w:pPr>
        <w:pStyle w:val="a5"/>
        <w:rPr>
          <w:rtl/>
        </w:rPr>
      </w:pPr>
      <w:r>
        <w:rPr>
          <w:rStyle w:val="a7"/>
          <w:rtl/>
        </w:rPr>
        <w:footnoteRef/>
      </w:r>
      <w:r>
        <w:rPr>
          <w:rtl/>
        </w:rPr>
        <w:t xml:space="preserve"> </w:t>
      </w:r>
      <w:r>
        <w:rPr>
          <w:b/>
          <w:bCs/>
          <w:rtl/>
        </w:rPr>
        <w:t>ואינון ד' אנפין לכל חד וחד.</w:t>
      </w:r>
      <w:r>
        <w:rPr>
          <w:rtl/>
        </w:rPr>
        <w:t xml:space="preserve"> רוצה לומר שלכל חיה וחיה ד' אנפין. ומה שכתיב (יחזקאל י יד) פני האחד פני הכרוב, באותו פנים - ד' אנפין, וזה שאומר ובהון אימא רביעא כו':</w:t>
      </w:r>
    </w:p>
  </w:footnote>
  <w:footnote w:id="1227">
    <w:p w:rsidR="00A13282" w:rsidRDefault="00A13282">
      <w:pPr>
        <w:pStyle w:val="a5"/>
        <w:rPr>
          <w:rtl/>
        </w:rPr>
      </w:pPr>
      <w:r>
        <w:rPr>
          <w:rStyle w:val="a7"/>
          <w:rtl/>
        </w:rPr>
        <w:footnoteRef/>
      </w:r>
      <w:r>
        <w:rPr>
          <w:rtl/>
        </w:rPr>
        <w:t xml:space="preserve"> </w:t>
      </w:r>
      <w:r>
        <w:rPr>
          <w:b/>
          <w:bCs/>
          <w:rtl/>
        </w:rPr>
        <w:t>דאתמר בהון המו מעי לו.</w:t>
      </w:r>
      <w:r>
        <w:rPr>
          <w:rtl/>
        </w:rPr>
        <w:t xml:space="preserve"> סיפא דקרא רחם ארחמנו. וזה שאומר </w:t>
      </w:r>
      <w:r>
        <w:rPr>
          <w:b/>
          <w:bCs/>
          <w:rtl/>
        </w:rPr>
        <w:t>בנין דרחימו כו'.</w:t>
      </w:r>
      <w:r>
        <w:rPr>
          <w:rtl/>
        </w:rPr>
        <w:t xml:space="preserve"> ורוצה לומר שהן נקראים בנים - שהן ממעים, ולכך המו כו' - שיצאו משם, כמו אשה על בניה ורוצה לומר שהן מאצילות כמו שאומר לעיל ירתין מתמן נשמתין:</w:t>
      </w:r>
    </w:p>
  </w:footnote>
  <w:footnote w:id="1228">
    <w:p w:rsidR="00A13282" w:rsidRDefault="00A13282">
      <w:pPr>
        <w:pStyle w:val="a5"/>
        <w:rPr>
          <w:rtl/>
        </w:rPr>
      </w:pPr>
      <w:r>
        <w:rPr>
          <w:rStyle w:val="a7"/>
          <w:rtl/>
        </w:rPr>
        <w:footnoteRef/>
      </w:r>
      <w:r>
        <w:rPr>
          <w:rtl/>
        </w:rPr>
        <w:t xml:space="preserve"> </w:t>
      </w:r>
      <w:r>
        <w:rPr>
          <w:b/>
          <w:bCs/>
          <w:rtl/>
        </w:rPr>
        <w:t>דודאי קב"ה כו' ושכינתיה כו'.</w:t>
      </w:r>
      <w:r>
        <w:rPr>
          <w:rtl/>
        </w:rPr>
        <w:t xml:space="preserve"> חוזר לפרש מה שאמר למעלה ובזמנא דאינון כו':</w:t>
      </w:r>
    </w:p>
  </w:footnote>
  <w:footnote w:id="1229">
    <w:p w:rsidR="00A13282" w:rsidRDefault="00A13282">
      <w:pPr>
        <w:pStyle w:val="a5"/>
        <w:rPr>
          <w:rtl/>
        </w:rPr>
      </w:pPr>
      <w:r>
        <w:rPr>
          <w:rStyle w:val="a7"/>
          <w:rtl/>
        </w:rPr>
        <w:footnoteRef/>
      </w:r>
      <w:r>
        <w:rPr>
          <w:rtl/>
        </w:rPr>
        <w:t xml:space="preserve"> </w:t>
      </w:r>
      <w:r>
        <w:rPr>
          <w:b/>
          <w:bCs/>
          <w:rtl/>
        </w:rPr>
        <w:t>זכור ושמור.</w:t>
      </w:r>
      <w:r>
        <w:rPr>
          <w:rtl/>
        </w:rPr>
        <w:t xml:space="preserve"> רוצה לומר קידוש ושמירת שבת:</w:t>
      </w:r>
    </w:p>
  </w:footnote>
  <w:footnote w:id="1230">
    <w:p w:rsidR="00A13282" w:rsidRDefault="00A13282">
      <w:pPr>
        <w:pStyle w:val="a5"/>
        <w:rPr>
          <w:rtl/>
        </w:rPr>
      </w:pPr>
      <w:r>
        <w:rPr>
          <w:rStyle w:val="a7"/>
          <w:rtl/>
        </w:rPr>
        <w:footnoteRef/>
      </w:r>
      <w:r>
        <w:rPr>
          <w:rtl/>
        </w:rPr>
        <w:t xml:space="preserve"> </w:t>
      </w:r>
      <w:r>
        <w:rPr>
          <w:b/>
          <w:bCs/>
          <w:rtl/>
        </w:rPr>
        <w:t>וברחימו ודחילו.</w:t>
      </w:r>
      <w:r>
        <w:rPr>
          <w:rtl/>
        </w:rPr>
        <w:t xml:space="preserve"> דיראה הוא במוחא - י' של השם, ואהבה - בלבא, ה'. ורוצה לומר לייחדא כל ד' אותיות הוי"ה שהן כל האצילות:</w:t>
      </w:r>
    </w:p>
  </w:footnote>
  <w:footnote w:id="1231">
    <w:p w:rsidR="00A13282" w:rsidRDefault="00A13282">
      <w:pPr>
        <w:pStyle w:val="a5"/>
        <w:rPr>
          <w:rtl/>
        </w:rPr>
      </w:pPr>
      <w:r>
        <w:rPr>
          <w:rStyle w:val="a7"/>
          <w:rtl/>
        </w:rPr>
        <w:footnoteRef/>
      </w:r>
      <w:r>
        <w:rPr>
          <w:rtl/>
        </w:rPr>
        <w:t xml:space="preserve"> </w:t>
      </w:r>
      <w:r>
        <w:rPr>
          <w:b/>
          <w:bCs/>
          <w:rtl/>
        </w:rPr>
        <w:t>זכור ושמור אינון כו'.</w:t>
      </w:r>
      <w:r>
        <w:rPr>
          <w:rtl/>
        </w:rPr>
        <w:t xml:space="preserve"> רוצה לומר בחול היחוד ע"י התפילין, ובשבת ע"י זכור ושמור:</w:t>
      </w:r>
    </w:p>
  </w:footnote>
  <w:footnote w:id="1232">
    <w:p w:rsidR="00A13282" w:rsidRDefault="00A13282">
      <w:pPr>
        <w:pStyle w:val="a5"/>
        <w:rPr>
          <w:rtl/>
        </w:rPr>
      </w:pPr>
      <w:r>
        <w:rPr>
          <w:rStyle w:val="a7"/>
          <w:rtl/>
        </w:rPr>
        <w:footnoteRef/>
      </w:r>
      <w:r>
        <w:rPr>
          <w:rtl/>
        </w:rPr>
        <w:t xml:space="preserve"> </w:t>
      </w:r>
      <w:r>
        <w:rPr>
          <w:b/>
          <w:bCs/>
          <w:rtl/>
        </w:rPr>
        <w:t>וזכאה כו'.</w:t>
      </w:r>
      <w:r>
        <w:rPr>
          <w:rtl/>
        </w:rPr>
        <w:t xml:space="preserve"> חוזר על זכאה דלעיל:</w:t>
      </w:r>
    </w:p>
  </w:footnote>
  <w:footnote w:id="1233">
    <w:p w:rsidR="00A13282" w:rsidRDefault="00A13282">
      <w:pPr>
        <w:pStyle w:val="a5"/>
        <w:rPr>
          <w:rtl/>
        </w:rPr>
      </w:pPr>
      <w:r>
        <w:rPr>
          <w:rStyle w:val="a7"/>
          <w:rtl/>
        </w:rPr>
        <w:footnoteRef/>
      </w:r>
      <w:r>
        <w:rPr>
          <w:rtl/>
        </w:rPr>
        <w:t xml:space="preserve"> </w:t>
      </w:r>
      <w:r>
        <w:rPr>
          <w:b/>
          <w:bCs/>
          <w:rtl/>
        </w:rPr>
        <w:t>דבזמנא דישראל כו'.</w:t>
      </w:r>
      <w:r>
        <w:rPr>
          <w:rtl/>
        </w:rPr>
        <w:t xml:space="preserve"> חוזר למעלה לפרש הפסוק לא תקח כו':</w:t>
      </w:r>
    </w:p>
  </w:footnote>
  <w:footnote w:id="1234">
    <w:p w:rsidR="00A13282" w:rsidRDefault="00A13282">
      <w:pPr>
        <w:pStyle w:val="a5"/>
        <w:rPr>
          <w:rtl/>
        </w:rPr>
      </w:pPr>
      <w:r>
        <w:rPr>
          <w:rStyle w:val="a7"/>
          <w:rtl/>
        </w:rPr>
        <w:footnoteRef/>
      </w:r>
      <w:r>
        <w:rPr>
          <w:rtl/>
        </w:rPr>
        <w:t xml:space="preserve"> </w:t>
      </w:r>
      <w:r>
        <w:rPr>
          <w:b/>
          <w:bCs/>
          <w:rtl/>
        </w:rPr>
        <w:t>תרין תרוכין.</w:t>
      </w:r>
      <w:r>
        <w:rPr>
          <w:rtl/>
        </w:rPr>
        <w:t xml:space="preserve"> רוצה לומר לכך נאמר שלח תשלח, כמו שאומר לקמן חד - מבית ראשון, וחד - מבית שני, והן שתי השכינות כמו שאומר בהקדמה דף א', וכן הוא בכל המצות, ומפרש כאן משום שאמר למעלה אשר שתה ששת ימי המעשה כו', רוצה לומר בשבת אימא עילאה דרור קן לה וזהו חירו דשבתא, כמו שאומר לעיל בהקדמה עיין שם:</w:t>
      </w:r>
    </w:p>
  </w:footnote>
  <w:footnote w:id="1235">
    <w:p w:rsidR="00A13282" w:rsidRDefault="00A13282">
      <w:pPr>
        <w:pStyle w:val="a5"/>
        <w:rPr>
          <w:rtl/>
        </w:rPr>
      </w:pPr>
      <w:r>
        <w:rPr>
          <w:rStyle w:val="a7"/>
          <w:rtl/>
        </w:rPr>
        <w:footnoteRef/>
      </w:r>
      <w:r>
        <w:rPr>
          <w:rtl/>
        </w:rPr>
        <w:t xml:space="preserve"> </w:t>
      </w:r>
      <w:r>
        <w:rPr>
          <w:b/>
          <w:bCs/>
          <w:rtl/>
        </w:rPr>
        <w:t>ואעברן מינייהו כו'.</w:t>
      </w:r>
      <w:r>
        <w:rPr>
          <w:rtl/>
        </w:rPr>
        <w:t xml:space="preserve"> שמילה ופריעה הן בזו"נ:</w:t>
      </w:r>
    </w:p>
  </w:footnote>
  <w:footnote w:id="1236">
    <w:p w:rsidR="00A13282" w:rsidRDefault="00A13282">
      <w:pPr>
        <w:pStyle w:val="a5"/>
        <w:rPr>
          <w:rtl/>
        </w:rPr>
      </w:pPr>
      <w:r>
        <w:rPr>
          <w:rStyle w:val="a7"/>
          <w:rtl/>
        </w:rPr>
        <w:footnoteRef/>
      </w:r>
      <w:r>
        <w:rPr>
          <w:rtl/>
        </w:rPr>
        <w:t xml:space="preserve"> </w:t>
      </w:r>
      <w:r>
        <w:rPr>
          <w:b/>
          <w:bCs/>
          <w:rtl/>
        </w:rPr>
        <w:t>בזמנא דמייחדין כו'.</w:t>
      </w:r>
      <w:r>
        <w:rPr>
          <w:rtl/>
        </w:rPr>
        <w:t xml:space="preserve"> רוצה לומר בסוד יב"ק כמו שאומר בהקדמה, קדושין שמקדש אותה הוא ה' של השם, וז' ברכות - י' של השם כמו שאומר שם חכמה נחית בברכה כו' עיין שם ויחודם של חתן וכלה הן ו"ה של השם:</w:t>
      </w:r>
    </w:p>
  </w:footnote>
  <w:footnote w:id="1237">
    <w:p w:rsidR="00A13282" w:rsidRDefault="00A13282">
      <w:pPr>
        <w:pStyle w:val="a5"/>
        <w:rPr>
          <w:rtl/>
        </w:rPr>
      </w:pPr>
      <w:r>
        <w:rPr>
          <w:rStyle w:val="a7"/>
          <w:rtl/>
        </w:rPr>
        <w:footnoteRef/>
      </w:r>
      <w:r>
        <w:rPr>
          <w:rtl/>
        </w:rPr>
        <w:t xml:space="preserve"> </w:t>
      </w:r>
      <w:r>
        <w:rPr>
          <w:b/>
          <w:bCs/>
          <w:rtl/>
        </w:rPr>
        <w:t>ודא גרים.</w:t>
      </w:r>
      <w:r>
        <w:rPr>
          <w:rtl/>
        </w:rPr>
        <w:t xml:space="preserve"> רוצה לומר כל הנאמר למעלה:</w:t>
      </w:r>
    </w:p>
  </w:footnote>
  <w:footnote w:id="1238">
    <w:p w:rsidR="00A13282" w:rsidRDefault="00A13282">
      <w:pPr>
        <w:pStyle w:val="a5"/>
        <w:rPr>
          <w:rtl/>
        </w:rPr>
      </w:pPr>
      <w:r>
        <w:rPr>
          <w:rStyle w:val="a7"/>
          <w:rtl/>
        </w:rPr>
        <w:footnoteRef/>
      </w:r>
      <w:r>
        <w:rPr>
          <w:rtl/>
        </w:rPr>
        <w:t xml:space="preserve"> </w:t>
      </w:r>
      <w:r>
        <w:rPr>
          <w:b/>
          <w:bCs/>
          <w:rtl/>
        </w:rPr>
        <w:t>מאתרהא ומקינהא.</w:t>
      </w:r>
      <w:r>
        <w:rPr>
          <w:rtl/>
        </w:rPr>
        <w:t xml:space="preserve"> רוצה לומר דרור מקן לה, שלה, וצפור - מביתה כנ"ל וזה שאומר תרין שלוחין כו':</w:t>
      </w:r>
    </w:p>
  </w:footnote>
  <w:footnote w:id="1239">
    <w:p w:rsidR="00A13282" w:rsidRDefault="00A13282">
      <w:pPr>
        <w:pStyle w:val="a5"/>
        <w:rPr>
          <w:rtl/>
        </w:rPr>
      </w:pPr>
      <w:r>
        <w:rPr>
          <w:rStyle w:val="a7"/>
          <w:rtl/>
        </w:rPr>
        <w:footnoteRef/>
      </w:r>
      <w:r>
        <w:rPr>
          <w:rtl/>
        </w:rPr>
        <w:t xml:space="preserve"> </w:t>
      </w:r>
      <w:r>
        <w:rPr>
          <w:b/>
          <w:bCs/>
          <w:rtl/>
        </w:rPr>
        <w:t>ואי תימא כו'.</w:t>
      </w:r>
      <w:r>
        <w:rPr>
          <w:rtl/>
        </w:rPr>
        <w:t xml:space="preserve"> רוצה לומר שלא תטעה בזה לכך אמר קרא כן איש כו' ומה שלא נכתב כאן בפסוק שלח תשלח בשביל שהוא לא שולח בעונותיו וביה באמת אין השילוח רק שהוא עושה בשבילה ולזה אמר קרא כצפור נודדת כו' כן כו' וזה שאומר בגין לנטרא לה כו':</w:t>
      </w:r>
    </w:p>
  </w:footnote>
  <w:footnote w:id="1240">
    <w:p w:rsidR="00A13282" w:rsidRDefault="00A13282">
      <w:pPr>
        <w:pStyle w:val="a5"/>
        <w:rPr>
          <w:rtl/>
        </w:rPr>
      </w:pPr>
      <w:r>
        <w:rPr>
          <w:rStyle w:val="a7"/>
          <w:rtl/>
        </w:rPr>
        <w:footnoteRef/>
      </w:r>
      <w:r>
        <w:rPr>
          <w:rtl/>
        </w:rPr>
        <w:t xml:space="preserve"> </w:t>
      </w:r>
      <w:r>
        <w:rPr>
          <w:b/>
          <w:bCs/>
          <w:rtl/>
        </w:rPr>
        <w:t>הה"ד אני כו'.</w:t>
      </w:r>
      <w:r>
        <w:rPr>
          <w:rtl/>
        </w:rPr>
        <w:t xml:space="preserve"> רוצה לומר שאני - מלכות, הוא שמי כו':</w:t>
      </w:r>
    </w:p>
  </w:footnote>
  <w:footnote w:id="1241">
    <w:p w:rsidR="00A13282" w:rsidRDefault="00A13282">
      <w:pPr>
        <w:pStyle w:val="a5"/>
        <w:rPr>
          <w:rtl/>
        </w:rPr>
      </w:pPr>
      <w:r>
        <w:rPr>
          <w:rStyle w:val="a7"/>
          <w:rtl/>
        </w:rPr>
        <w:footnoteRef/>
      </w:r>
      <w:r>
        <w:rPr>
          <w:rtl/>
        </w:rPr>
        <w:t xml:space="preserve"> </w:t>
      </w:r>
      <w:r>
        <w:rPr>
          <w:b/>
          <w:bCs/>
          <w:rtl/>
        </w:rPr>
        <w:t>לפסילים אלין כו'.</w:t>
      </w:r>
      <w:r>
        <w:rPr>
          <w:rtl/>
        </w:rPr>
        <w:t xml:space="preserve"> שכל אומה עובד לשר שלה:</w:t>
      </w:r>
    </w:p>
  </w:footnote>
  <w:footnote w:id="1242">
    <w:p w:rsidR="00A13282" w:rsidRDefault="00A13282">
      <w:pPr>
        <w:pStyle w:val="a5"/>
        <w:rPr>
          <w:rtl/>
        </w:rPr>
      </w:pPr>
      <w:r>
        <w:rPr>
          <w:rStyle w:val="a7"/>
          <w:rtl/>
        </w:rPr>
        <w:footnoteRef/>
      </w:r>
      <w:r>
        <w:rPr>
          <w:rtl/>
        </w:rPr>
        <w:t xml:space="preserve"> </w:t>
      </w:r>
      <w:r>
        <w:rPr>
          <w:b/>
          <w:bCs/>
          <w:rtl/>
        </w:rPr>
        <w:t>איהו אסור כו' ואיהו חבוש כו'.</w:t>
      </w:r>
      <w:r>
        <w:rPr>
          <w:rtl/>
        </w:rPr>
        <w:t xml:space="preserve"> ורוצה לומר שלזה אין חבוש כו' מבית האסורים, שהוא חבוש ואסור:</w:t>
      </w:r>
    </w:p>
  </w:footnote>
  <w:footnote w:id="1243">
    <w:p w:rsidR="00A13282" w:rsidRDefault="00A13282">
      <w:pPr>
        <w:pStyle w:val="a5"/>
        <w:rPr>
          <w:rtl/>
        </w:rPr>
      </w:pPr>
      <w:r>
        <w:rPr>
          <w:rStyle w:val="a7"/>
          <w:rtl/>
        </w:rPr>
        <w:footnoteRef/>
      </w:r>
      <w:r>
        <w:rPr>
          <w:rtl/>
        </w:rPr>
        <w:t xml:space="preserve"> </w:t>
      </w:r>
      <w:r>
        <w:rPr>
          <w:b/>
          <w:bCs/>
          <w:rtl/>
        </w:rPr>
        <w:t>צרור המור דודי לי.</w:t>
      </w:r>
      <w:r>
        <w:rPr>
          <w:rtl/>
        </w:rPr>
        <w:t xml:space="preserve"> רוצה לומר שהוא צרור עמה כמו צרור המור באדם וזהו בין שדי ילין אף בלילה שהוא הגלות:</w:t>
      </w:r>
    </w:p>
  </w:footnote>
  <w:footnote w:id="1244">
    <w:p w:rsidR="00A13282" w:rsidRDefault="00A13282">
      <w:pPr>
        <w:pStyle w:val="a5"/>
        <w:rPr>
          <w:rtl/>
        </w:rPr>
      </w:pPr>
      <w:r>
        <w:rPr>
          <w:rStyle w:val="a7"/>
          <w:rtl/>
        </w:rPr>
        <w:footnoteRef/>
      </w:r>
      <w:r>
        <w:rPr>
          <w:rtl/>
        </w:rPr>
        <w:t xml:space="preserve"> </w:t>
      </w:r>
      <w:r>
        <w:rPr>
          <w:b/>
          <w:bCs/>
          <w:rtl/>
        </w:rPr>
        <w:t>דאיהי עת כו'.</w:t>
      </w:r>
      <w:r>
        <w:rPr>
          <w:rtl/>
        </w:rPr>
        <w:t xml:space="preserve"> רוצה לומר שנאמר ואל יבוא בכל עת, רק בה, שהיא עת לעשות, שבה עשיית המצות ותיקונם לה':</w:t>
      </w:r>
    </w:p>
  </w:footnote>
  <w:footnote w:id="1245">
    <w:p w:rsidR="00A13282" w:rsidRDefault="00A13282">
      <w:pPr>
        <w:pStyle w:val="a5"/>
        <w:rPr>
          <w:rtl/>
        </w:rPr>
      </w:pPr>
      <w:r>
        <w:rPr>
          <w:rStyle w:val="a7"/>
          <w:rtl/>
        </w:rPr>
        <w:footnoteRef/>
      </w:r>
      <w:r>
        <w:rPr>
          <w:rtl/>
        </w:rPr>
        <w:t xml:space="preserve"> </w:t>
      </w:r>
      <w:r>
        <w:rPr>
          <w:b/>
          <w:bCs/>
          <w:rtl/>
        </w:rPr>
        <w:t>ומשה בגינה אתקיים בעלמא.</w:t>
      </w:r>
      <w:r>
        <w:rPr>
          <w:rtl/>
        </w:rPr>
        <w:t xml:space="preserve"> רוצה לומר שמשה לא מת אלא נהיר בישראל, והכל על ידה, וזה שאומר וזאת הברכה כו' והכל ע"י שנדבק בה לפני מותו:</w:t>
      </w:r>
    </w:p>
  </w:footnote>
  <w:footnote w:id="1246">
    <w:p w:rsidR="00A13282" w:rsidRDefault="00A13282">
      <w:pPr>
        <w:pStyle w:val="a5"/>
        <w:rPr>
          <w:rtl/>
        </w:rPr>
      </w:pPr>
      <w:r>
        <w:rPr>
          <w:rStyle w:val="a7"/>
          <w:rtl/>
        </w:rPr>
        <w:footnoteRef/>
      </w:r>
      <w:r>
        <w:rPr>
          <w:rtl/>
        </w:rPr>
        <w:t xml:space="preserve"> </w:t>
      </w:r>
      <w:r>
        <w:rPr>
          <w:b/>
          <w:bCs/>
          <w:rtl/>
        </w:rPr>
        <w:t>בעבור זאת.</w:t>
      </w:r>
      <w:r>
        <w:rPr>
          <w:rtl/>
        </w:rPr>
        <w:t xml:space="preserve"> רוצה לומר שתכיר את זאת שהיא מלקה אותך:</w:t>
      </w:r>
    </w:p>
  </w:footnote>
  <w:footnote w:id="1247">
    <w:p w:rsidR="00A13282" w:rsidRDefault="00A13282">
      <w:pPr>
        <w:pStyle w:val="a5"/>
        <w:rPr>
          <w:rtl/>
        </w:rPr>
      </w:pPr>
      <w:r>
        <w:rPr>
          <w:rStyle w:val="a7"/>
          <w:rtl/>
        </w:rPr>
        <w:footnoteRef/>
      </w:r>
      <w:r>
        <w:rPr>
          <w:rtl/>
        </w:rPr>
        <w:t xml:space="preserve"> </w:t>
      </w:r>
      <w:r>
        <w:rPr>
          <w:b/>
          <w:bCs/>
          <w:rtl/>
        </w:rPr>
        <w:t>דיהון בה.</w:t>
      </w:r>
      <w:r>
        <w:rPr>
          <w:rtl/>
        </w:rPr>
        <w:t xml:space="preserve"> רוצה לומר שכל שאלתין יהון על ידה לה':</w:t>
      </w:r>
    </w:p>
  </w:footnote>
  <w:footnote w:id="1248">
    <w:p w:rsidR="00A13282" w:rsidRDefault="00A13282">
      <w:pPr>
        <w:pStyle w:val="a5"/>
        <w:rPr>
          <w:rtl/>
        </w:rPr>
      </w:pPr>
      <w:r>
        <w:rPr>
          <w:rStyle w:val="a7"/>
          <w:rtl/>
        </w:rPr>
        <w:footnoteRef/>
      </w:r>
      <w:r>
        <w:rPr>
          <w:rtl/>
        </w:rPr>
        <w:t xml:space="preserve"> </w:t>
      </w:r>
      <w:r>
        <w:rPr>
          <w:b/>
          <w:bCs/>
          <w:rtl/>
        </w:rPr>
        <w:t>דאתמר עלה ומלכותו כו'.</w:t>
      </w:r>
      <w:r>
        <w:rPr>
          <w:rtl/>
        </w:rPr>
        <w:t xml:space="preserve"> רוצה לומר לכך אם תחנה כו':</w:t>
      </w:r>
    </w:p>
  </w:footnote>
  <w:footnote w:id="1249">
    <w:p w:rsidR="00A13282" w:rsidRDefault="00A13282">
      <w:pPr>
        <w:pStyle w:val="a5"/>
        <w:rPr>
          <w:rtl/>
        </w:rPr>
      </w:pPr>
      <w:r>
        <w:rPr>
          <w:rStyle w:val="a7"/>
          <w:rtl/>
        </w:rPr>
        <w:footnoteRef/>
      </w:r>
      <w:r>
        <w:rPr>
          <w:rtl/>
        </w:rPr>
        <w:t xml:space="preserve"> </w:t>
      </w:r>
      <w:r>
        <w:rPr>
          <w:b/>
          <w:bCs/>
          <w:rtl/>
        </w:rPr>
        <w:t>ומאן דלא שת כו'.</w:t>
      </w:r>
      <w:r>
        <w:rPr>
          <w:rtl/>
        </w:rPr>
        <w:t xml:space="preserve"> רוצה לומר פרעה שכתיב ולא שת לבו גם לזאת:</w:t>
      </w:r>
    </w:p>
  </w:footnote>
  <w:footnote w:id="1250">
    <w:p w:rsidR="00A13282" w:rsidRDefault="00A13282">
      <w:pPr>
        <w:pStyle w:val="a5"/>
        <w:rPr>
          <w:rtl/>
        </w:rPr>
      </w:pPr>
      <w:r>
        <w:rPr>
          <w:rStyle w:val="a7"/>
          <w:rtl/>
        </w:rPr>
        <w:footnoteRef/>
      </w:r>
      <w:r>
        <w:rPr>
          <w:rtl/>
        </w:rPr>
        <w:t xml:space="preserve"> </w:t>
      </w:r>
      <w:r>
        <w:rPr>
          <w:b/>
          <w:bCs/>
          <w:rtl/>
        </w:rPr>
        <w:t>עליה כו'.</w:t>
      </w:r>
      <w:r>
        <w:rPr>
          <w:rtl/>
        </w:rPr>
        <w:t xml:space="preserve"> שנאמר (שמות ט ל) טרם תיראון:</w:t>
      </w:r>
    </w:p>
  </w:footnote>
  <w:footnote w:id="1251">
    <w:p w:rsidR="00A13282" w:rsidRDefault="00A13282">
      <w:pPr>
        <w:pStyle w:val="a5"/>
        <w:rPr>
          <w:rtl/>
        </w:rPr>
      </w:pPr>
      <w:r>
        <w:rPr>
          <w:rStyle w:val="a7"/>
          <w:rtl/>
        </w:rPr>
        <w:footnoteRef/>
      </w:r>
      <w:r>
        <w:rPr>
          <w:rtl/>
        </w:rPr>
        <w:t xml:space="preserve"> </w:t>
      </w:r>
      <w:r>
        <w:rPr>
          <w:b/>
          <w:bCs/>
          <w:rtl/>
        </w:rPr>
        <w:t>ונבקשנו עמך בכמה כו'.</w:t>
      </w:r>
      <w:r>
        <w:rPr>
          <w:rtl/>
        </w:rPr>
        <w:t xml:space="preserve"> רוצה לומר שנשאל בקשות על ידך ונהיה עמך ואז ונבקשנו וזה שאומר דבגינך איהו כו':</w:t>
      </w:r>
    </w:p>
  </w:footnote>
  <w:footnote w:id="1252">
    <w:p w:rsidR="00A13282" w:rsidRDefault="00A13282">
      <w:pPr>
        <w:pStyle w:val="a5"/>
        <w:rPr>
          <w:rtl/>
        </w:rPr>
      </w:pPr>
      <w:r>
        <w:rPr>
          <w:rStyle w:val="a7"/>
          <w:rtl/>
        </w:rPr>
        <w:footnoteRef/>
      </w:r>
      <w:r>
        <w:rPr>
          <w:rtl/>
        </w:rPr>
        <w:t xml:space="preserve"> </w:t>
      </w:r>
      <w:r>
        <w:rPr>
          <w:b/>
          <w:bCs/>
          <w:rtl/>
        </w:rPr>
        <w:t>דלא זז מננא אלא כו'.</w:t>
      </w:r>
      <w:r>
        <w:rPr>
          <w:rtl/>
        </w:rPr>
        <w:t xml:space="preserve"> וזהו היפה בנשים:</w:t>
      </w:r>
    </w:p>
  </w:footnote>
  <w:footnote w:id="1253">
    <w:p w:rsidR="00A13282" w:rsidRDefault="00A13282">
      <w:pPr>
        <w:pStyle w:val="a5"/>
        <w:rPr>
          <w:rtl/>
        </w:rPr>
      </w:pPr>
      <w:r>
        <w:rPr>
          <w:rStyle w:val="a7"/>
          <w:rtl/>
        </w:rPr>
        <w:footnoteRef/>
      </w:r>
      <w:r>
        <w:rPr>
          <w:rtl/>
        </w:rPr>
        <w:t xml:space="preserve"> </w:t>
      </w:r>
      <w:r>
        <w:rPr>
          <w:b/>
          <w:bCs/>
          <w:rtl/>
        </w:rPr>
        <w:t>דבגינך הוה אסיר כו'.</w:t>
      </w:r>
      <w:r>
        <w:rPr>
          <w:rtl/>
        </w:rPr>
        <w:t xml:space="preserve"> רוצה לומר דהשכינה היתה תמיד עם ישראל והקב"ה על ידה היה עם ישראל ובזמן הזיווג אינו אסור אלא בזמן שאינו זיווג שאז הוא עמנו בשביל השכינה:</w:t>
      </w:r>
    </w:p>
  </w:footnote>
  <w:footnote w:id="1254">
    <w:p w:rsidR="00A13282" w:rsidRDefault="00A13282">
      <w:pPr>
        <w:pStyle w:val="a5"/>
        <w:rPr>
          <w:rtl/>
        </w:rPr>
      </w:pPr>
      <w:r>
        <w:rPr>
          <w:rStyle w:val="a7"/>
          <w:rtl/>
        </w:rPr>
        <w:footnoteRef/>
      </w:r>
      <w:r>
        <w:rPr>
          <w:rtl/>
        </w:rPr>
        <w:t xml:space="preserve"> </w:t>
      </w:r>
      <w:r>
        <w:rPr>
          <w:b/>
          <w:bCs/>
          <w:rtl/>
        </w:rPr>
        <w:t>הה"ד יהיה כו'.</w:t>
      </w:r>
      <w:r>
        <w:rPr>
          <w:rtl/>
        </w:rPr>
        <w:t xml:space="preserve"> רוצה לומר דכתיב השער הזה יהיה סגור והוא מלכות שנקראת שער ובה סגור כו' כי ה' אלקי ישראל כו' סגור שם וזה שאומר דהכי איהי כו':</w:t>
      </w:r>
    </w:p>
  </w:footnote>
  <w:footnote w:id="1255">
    <w:p w:rsidR="00A13282" w:rsidRDefault="00A13282">
      <w:pPr>
        <w:pStyle w:val="a5"/>
        <w:rPr>
          <w:rtl/>
        </w:rPr>
      </w:pPr>
      <w:r>
        <w:rPr>
          <w:rStyle w:val="a7"/>
          <w:rtl/>
        </w:rPr>
        <w:footnoteRef/>
      </w:r>
      <w:r>
        <w:rPr>
          <w:rtl/>
        </w:rPr>
        <w:t xml:space="preserve"> </w:t>
      </w:r>
      <w:r>
        <w:rPr>
          <w:b/>
          <w:bCs/>
          <w:rtl/>
        </w:rPr>
        <w:t>ווי לון כו'.</w:t>
      </w:r>
      <w:r>
        <w:rPr>
          <w:rtl/>
        </w:rPr>
        <w:t xml:space="preserve"> רוצה לומר דמסטרא דלהון קב"ה אסיר בגלות, דלא עביד תשובה כמו שמפרש והולך:</w:t>
      </w:r>
    </w:p>
  </w:footnote>
  <w:footnote w:id="1256">
    <w:p w:rsidR="00A13282" w:rsidRDefault="00A13282">
      <w:pPr>
        <w:pStyle w:val="a5"/>
        <w:rPr>
          <w:rtl/>
        </w:rPr>
      </w:pPr>
      <w:r>
        <w:rPr>
          <w:rStyle w:val="a7"/>
          <w:rtl/>
        </w:rPr>
        <w:footnoteRef/>
      </w:r>
      <w:r>
        <w:rPr>
          <w:rtl/>
        </w:rPr>
        <w:t xml:space="preserve"> </w:t>
      </w:r>
      <w:r>
        <w:rPr>
          <w:b/>
          <w:bCs/>
          <w:rtl/>
        </w:rPr>
        <w:t>תליא בידיהון.</w:t>
      </w:r>
      <w:r>
        <w:rPr>
          <w:rtl/>
        </w:rPr>
        <w:t xml:space="preserve"> רוצה לומר שיעשו תשובה:</w:t>
      </w:r>
    </w:p>
  </w:footnote>
  <w:footnote w:id="1257">
    <w:p w:rsidR="00A13282" w:rsidRDefault="00A13282">
      <w:pPr>
        <w:pStyle w:val="a5"/>
        <w:rPr>
          <w:rtl/>
        </w:rPr>
      </w:pPr>
      <w:r>
        <w:rPr>
          <w:rStyle w:val="a7"/>
          <w:rtl/>
        </w:rPr>
        <w:footnoteRef/>
      </w:r>
      <w:r>
        <w:rPr>
          <w:rtl/>
        </w:rPr>
        <w:t xml:space="preserve"> </w:t>
      </w:r>
      <w:r>
        <w:rPr>
          <w:b/>
          <w:bCs/>
          <w:rtl/>
        </w:rPr>
        <w:t>חלו נא.</w:t>
      </w:r>
      <w:r>
        <w:rPr>
          <w:rtl/>
        </w:rPr>
        <w:t xml:space="preserve"> אותיות חלונא כ"מ:</w:t>
      </w:r>
    </w:p>
  </w:footnote>
  <w:footnote w:id="1258">
    <w:p w:rsidR="00A13282" w:rsidRDefault="00A13282">
      <w:pPr>
        <w:pStyle w:val="a5"/>
        <w:rPr>
          <w:rtl/>
        </w:rPr>
      </w:pPr>
      <w:r>
        <w:rPr>
          <w:rStyle w:val="a7"/>
          <w:rtl/>
        </w:rPr>
        <w:footnoteRef/>
      </w:r>
      <w:r>
        <w:rPr>
          <w:rtl/>
        </w:rPr>
        <w:t xml:space="preserve"> </w:t>
      </w:r>
      <w:r>
        <w:rPr>
          <w:b/>
          <w:bCs/>
          <w:rtl/>
        </w:rPr>
        <w:t>לההוא דאתמר כו'.</w:t>
      </w:r>
      <w:r>
        <w:rPr>
          <w:rtl/>
        </w:rPr>
        <w:t xml:space="preserve"> רוצה לומר עמודא דאמצעיתא שהוא חלון כמו שאומר לקמן, וזה שאמר: נא פני אל, שהוא עמודא דאמצעיתא, ומנלן, דכתיב אל נא רפא כו' והוא עמודא דאמצעיתא, ומנלן, ואמר: דאסוותיה בידיה, דדרגיה רפאל, פני נשר:</w:t>
      </w:r>
    </w:p>
  </w:footnote>
  <w:footnote w:id="1259">
    <w:p w:rsidR="00A13282" w:rsidRDefault="00A13282">
      <w:pPr>
        <w:pStyle w:val="a5"/>
        <w:rPr>
          <w:rtl/>
        </w:rPr>
      </w:pPr>
      <w:r>
        <w:rPr>
          <w:rStyle w:val="a7"/>
          <w:rtl/>
        </w:rPr>
        <w:footnoteRef/>
      </w:r>
      <w:r>
        <w:rPr>
          <w:rtl/>
        </w:rPr>
        <w:t xml:space="preserve"> </w:t>
      </w:r>
      <w:r>
        <w:rPr>
          <w:b/>
          <w:bCs/>
          <w:rtl/>
        </w:rPr>
        <w:t>דאיהו יד כו'.</w:t>
      </w:r>
      <w:r>
        <w:rPr>
          <w:rtl/>
        </w:rPr>
        <w:t xml:space="preserve"> כמו שאמר לעיל בהקדמה שהוא חולם, מוחל עונות, גימטריה כ"א עיין שם:</w:t>
      </w:r>
    </w:p>
  </w:footnote>
  <w:footnote w:id="1260">
    <w:p w:rsidR="00A13282" w:rsidRDefault="00A13282">
      <w:pPr>
        <w:pStyle w:val="a5"/>
        <w:rPr>
          <w:rtl/>
        </w:rPr>
      </w:pPr>
      <w:r>
        <w:rPr>
          <w:rStyle w:val="a7"/>
          <w:rtl/>
        </w:rPr>
        <w:footnoteRef/>
      </w:r>
      <w:r>
        <w:rPr>
          <w:rtl/>
        </w:rPr>
        <w:t xml:space="preserve"> </w:t>
      </w:r>
      <w:r>
        <w:rPr>
          <w:b/>
          <w:bCs/>
          <w:rtl/>
        </w:rPr>
        <w:t>ואיהי.</w:t>
      </w:r>
      <w:r>
        <w:rPr>
          <w:rtl/>
        </w:rPr>
        <w:t xml:space="preserve"> רוצה לומר בינה:</w:t>
      </w:r>
    </w:p>
  </w:footnote>
  <w:footnote w:id="1261">
    <w:p w:rsidR="00A13282" w:rsidRDefault="00A13282">
      <w:pPr>
        <w:pStyle w:val="a5"/>
        <w:rPr>
          <w:rtl/>
        </w:rPr>
      </w:pPr>
      <w:r>
        <w:rPr>
          <w:rStyle w:val="a7"/>
          <w:rtl/>
        </w:rPr>
        <w:footnoteRef/>
      </w:r>
      <w:r>
        <w:rPr>
          <w:rtl/>
        </w:rPr>
        <w:t xml:space="preserve"> </w:t>
      </w:r>
      <w:r>
        <w:rPr>
          <w:b/>
          <w:bCs/>
          <w:rtl/>
        </w:rPr>
        <w:t>בעד החלון.</w:t>
      </w:r>
      <w:r>
        <w:rPr>
          <w:rtl/>
        </w:rPr>
        <w:t xml:space="preserve"> עמודא דאמצעיתא:</w:t>
      </w:r>
    </w:p>
  </w:footnote>
  <w:footnote w:id="1262">
    <w:p w:rsidR="00A13282" w:rsidRDefault="00A13282">
      <w:pPr>
        <w:pStyle w:val="a5"/>
        <w:rPr>
          <w:rtl/>
        </w:rPr>
      </w:pPr>
      <w:r>
        <w:rPr>
          <w:rStyle w:val="a7"/>
          <w:rtl/>
        </w:rPr>
        <w:footnoteRef/>
      </w:r>
      <w:r>
        <w:rPr>
          <w:rtl/>
        </w:rPr>
        <w:t xml:space="preserve"> </w:t>
      </w:r>
      <w:r>
        <w:rPr>
          <w:b/>
          <w:bCs/>
          <w:rtl/>
        </w:rPr>
        <w:t>בתרועה.</w:t>
      </w:r>
      <w:r>
        <w:rPr>
          <w:rtl/>
        </w:rPr>
        <w:t xml:space="preserve"> רוצה לומר שהוא עמודא דאמצעיתא. והוא ביום הכפורים, יובל, אימא עילאה שבה היו תוקעין:</w:t>
      </w:r>
    </w:p>
  </w:footnote>
  <w:footnote w:id="1263">
    <w:p w:rsidR="00A13282" w:rsidRDefault="00A13282">
      <w:pPr>
        <w:pStyle w:val="a5"/>
        <w:rPr>
          <w:rtl/>
        </w:rPr>
      </w:pPr>
      <w:r>
        <w:rPr>
          <w:rStyle w:val="a7"/>
          <w:rtl/>
        </w:rPr>
        <w:footnoteRef/>
      </w:r>
      <w:r>
        <w:rPr>
          <w:rtl/>
        </w:rPr>
        <w:t xml:space="preserve"> </w:t>
      </w:r>
      <w:r>
        <w:rPr>
          <w:b/>
          <w:bCs/>
          <w:rtl/>
        </w:rPr>
        <w:t>דאיהי יבבא.</w:t>
      </w:r>
      <w:r>
        <w:rPr>
          <w:rtl/>
        </w:rPr>
        <w:t xml:space="preserve"> רוצה לומר לכך נאמר ותיבב והיא תיבב שהיא שופר כידוע:</w:t>
      </w:r>
    </w:p>
  </w:footnote>
  <w:footnote w:id="1264">
    <w:p w:rsidR="00A13282" w:rsidRDefault="00A13282">
      <w:pPr>
        <w:pStyle w:val="a5"/>
        <w:rPr>
          <w:rtl/>
        </w:rPr>
      </w:pPr>
      <w:r>
        <w:rPr>
          <w:rStyle w:val="a7"/>
          <w:rtl/>
        </w:rPr>
        <w:footnoteRef/>
      </w:r>
      <w:r>
        <w:rPr>
          <w:rtl/>
        </w:rPr>
        <w:t xml:space="preserve"> </w:t>
      </w:r>
      <w:r>
        <w:rPr>
          <w:b/>
          <w:bCs/>
          <w:rtl/>
        </w:rPr>
        <w:t>דאתמר בה ויפתח כו' ודא יוה"כ.</w:t>
      </w:r>
      <w:r>
        <w:rPr>
          <w:rtl/>
        </w:rPr>
        <w:t xml:space="preserve"> שביום הכפורים חלונות התיבה, והוא תשובה, אימא עילאה, פתוחים. וזה שאומר מקץ ארבעים יום שהם מ' יום הידועים מר"ח אלול:</w:t>
      </w:r>
    </w:p>
  </w:footnote>
  <w:footnote w:id="1265">
    <w:p w:rsidR="00A13282" w:rsidRDefault="00A13282">
      <w:pPr>
        <w:pStyle w:val="a5"/>
        <w:rPr>
          <w:rtl/>
        </w:rPr>
      </w:pPr>
      <w:r>
        <w:rPr>
          <w:rStyle w:val="a7"/>
          <w:rtl/>
        </w:rPr>
        <w:footnoteRef/>
      </w:r>
      <w:r>
        <w:rPr>
          <w:rtl/>
        </w:rPr>
        <w:t xml:space="preserve"> </w:t>
      </w:r>
      <w:r>
        <w:rPr>
          <w:b/>
          <w:bCs/>
          <w:rtl/>
        </w:rPr>
        <w:t>דביה אור.</w:t>
      </w:r>
      <w:r>
        <w:rPr>
          <w:rtl/>
        </w:rPr>
        <w:t xml:space="preserve"> רוצה לומר שבחלון - אור, ותורה שהוא עמודא דאמצעיתא נקרא אור כמו שכתוב ותורה אור לפיכך נקרא חלון וזה שאומר ותורה אור והענין כי היא מתפשטת עד הוד ובעמודא דאמצעיתא הוא חלון שלה:</w:t>
      </w:r>
    </w:p>
  </w:footnote>
  <w:footnote w:id="1266">
    <w:p w:rsidR="00A13282" w:rsidRDefault="00A13282">
      <w:pPr>
        <w:pStyle w:val="a5"/>
        <w:rPr>
          <w:rtl/>
        </w:rPr>
      </w:pPr>
      <w:r>
        <w:rPr>
          <w:rStyle w:val="a7"/>
          <w:rtl/>
        </w:rPr>
        <w:footnoteRef/>
      </w:r>
      <w:r>
        <w:rPr>
          <w:rtl/>
        </w:rPr>
        <w:t xml:space="preserve"> </w:t>
      </w:r>
      <w:r>
        <w:rPr>
          <w:b/>
          <w:bCs/>
          <w:rtl/>
        </w:rPr>
        <w:t>ואיהו אור כו'.</w:t>
      </w:r>
      <w:r>
        <w:rPr>
          <w:rtl/>
        </w:rPr>
        <w:t xml:space="preserve"> רוצה לומר עמודא דאמצעיתא:</w:t>
      </w:r>
    </w:p>
  </w:footnote>
  <w:footnote w:id="1267">
    <w:p w:rsidR="00A13282" w:rsidRDefault="00A13282">
      <w:pPr>
        <w:pStyle w:val="a5"/>
        <w:rPr>
          <w:rtl/>
        </w:rPr>
      </w:pPr>
      <w:r>
        <w:rPr>
          <w:rStyle w:val="a7"/>
          <w:rtl/>
        </w:rPr>
        <w:footnoteRef/>
      </w:r>
      <w:r>
        <w:rPr>
          <w:rtl/>
        </w:rPr>
        <w:t xml:space="preserve"> </w:t>
      </w:r>
      <w:r>
        <w:rPr>
          <w:b/>
          <w:bCs/>
          <w:rtl/>
        </w:rPr>
        <w:t>ויפן כה וכה.</w:t>
      </w:r>
      <w:r>
        <w:rPr>
          <w:rtl/>
        </w:rPr>
        <w:t xml:space="preserve"> קאי אלמעלה, משגיח מן החלונות, ויפן כה וכה. ורוצה לומר מן החלון שהוא רחב שייך ויפן כה וכה, מן החרכים שהוא צר כמו שכתוב מציץ מן החרכים שם וירא כי כו', וזה שאומר מציץ מן כו' וירא כו', והענין כמו שאומר שביום הכפורים משגיח בהשגחה מן החלונות של הנ' שערים פתוחים ובהו כ"ה כ"ה, ובעשי"ת מציץ כו':</w:t>
      </w:r>
    </w:p>
  </w:footnote>
  <w:footnote w:id="1268">
    <w:p w:rsidR="00A13282" w:rsidRDefault="00A13282">
      <w:pPr>
        <w:pStyle w:val="a5"/>
        <w:rPr>
          <w:rtl/>
        </w:rPr>
      </w:pPr>
      <w:r>
        <w:rPr>
          <w:rStyle w:val="a7"/>
          <w:rtl/>
        </w:rPr>
        <w:footnoteRef/>
      </w:r>
      <w:r>
        <w:rPr>
          <w:rtl/>
        </w:rPr>
        <w:t xml:space="preserve"> </w:t>
      </w:r>
      <w:r>
        <w:rPr>
          <w:b/>
          <w:bCs/>
          <w:rtl/>
        </w:rPr>
        <w:t>דאבא ובנוי כו'.</w:t>
      </w:r>
      <w:r>
        <w:rPr>
          <w:rtl/>
        </w:rPr>
        <w:t xml:space="preserve"> רוצה לומר הקב"ה וישראל אסירין בבית הכנסת שהיא שכינה, שעל ידה הקב"ה אסיר בישראל בגלות:</w:t>
      </w:r>
    </w:p>
  </w:footnote>
  <w:footnote w:id="1269">
    <w:p w:rsidR="00A13282" w:rsidRDefault="00A13282">
      <w:pPr>
        <w:pStyle w:val="a5"/>
        <w:rPr>
          <w:rtl/>
        </w:rPr>
      </w:pPr>
      <w:r>
        <w:rPr>
          <w:rStyle w:val="a7"/>
          <w:rtl/>
        </w:rPr>
        <w:footnoteRef/>
      </w:r>
      <w:r>
        <w:rPr>
          <w:rtl/>
        </w:rPr>
        <w:t xml:space="preserve"> </w:t>
      </w:r>
      <w:r>
        <w:rPr>
          <w:b/>
          <w:bCs/>
          <w:rtl/>
        </w:rPr>
        <w:t>דאתמר בהון אנשי כו'.</w:t>
      </w:r>
      <w:r>
        <w:rPr>
          <w:rtl/>
        </w:rPr>
        <w:t xml:space="preserve"> ד' מדרגות נגד ד' אותיות הוי"ה כידוע:</w:t>
      </w:r>
    </w:p>
  </w:footnote>
  <w:footnote w:id="1270">
    <w:p w:rsidR="00A13282" w:rsidRDefault="00A13282">
      <w:pPr>
        <w:pStyle w:val="a5"/>
        <w:rPr>
          <w:rtl/>
        </w:rPr>
      </w:pPr>
      <w:r>
        <w:rPr>
          <w:rStyle w:val="a7"/>
          <w:rtl/>
        </w:rPr>
        <w:footnoteRef/>
      </w:r>
      <w:r>
        <w:rPr>
          <w:rtl/>
        </w:rPr>
        <w:t xml:space="preserve"> </w:t>
      </w:r>
      <w:r>
        <w:rPr>
          <w:b/>
          <w:bCs/>
          <w:rtl/>
        </w:rPr>
        <w:t>שונאי בצע.</w:t>
      </w:r>
      <w:r>
        <w:rPr>
          <w:rtl/>
        </w:rPr>
        <w:t xml:space="preserve"> היפך אנשים דלעיל:</w:t>
      </w:r>
    </w:p>
  </w:footnote>
  <w:footnote w:id="1271">
    <w:p w:rsidR="00A13282" w:rsidRDefault="00A13282">
      <w:pPr>
        <w:pStyle w:val="a5"/>
        <w:rPr>
          <w:rtl/>
        </w:rPr>
      </w:pPr>
      <w:r>
        <w:rPr>
          <w:rStyle w:val="a7"/>
          <w:rtl/>
        </w:rPr>
        <w:footnoteRef/>
      </w:r>
      <w:r>
        <w:rPr>
          <w:rtl/>
        </w:rPr>
        <w:t xml:space="preserve"> </w:t>
      </w:r>
      <w:r>
        <w:rPr>
          <w:b/>
          <w:bCs/>
          <w:rtl/>
        </w:rPr>
        <w:t>מזונא כו'.</w:t>
      </w:r>
      <w:r>
        <w:rPr>
          <w:rtl/>
        </w:rPr>
        <w:t xml:space="preserve"> גם כן ד' מדרגות נגדם:</w:t>
      </w:r>
    </w:p>
  </w:footnote>
  <w:footnote w:id="1272">
    <w:p w:rsidR="00A13282" w:rsidRDefault="00A13282">
      <w:pPr>
        <w:pStyle w:val="a5"/>
        <w:rPr>
          <w:rtl/>
        </w:rPr>
      </w:pPr>
      <w:r>
        <w:rPr>
          <w:rStyle w:val="a7"/>
          <w:rtl/>
        </w:rPr>
        <w:footnoteRef/>
      </w:r>
      <w:r>
        <w:rPr>
          <w:rtl/>
        </w:rPr>
        <w:t xml:space="preserve"> </w:t>
      </w:r>
      <w:r>
        <w:rPr>
          <w:b/>
          <w:bCs/>
          <w:rtl/>
        </w:rPr>
        <w:t>ואינון עזי כו'.</w:t>
      </w:r>
      <w:r>
        <w:rPr>
          <w:rtl/>
        </w:rPr>
        <w:t xml:space="preserve"> רוצה לומר שנאמר (ישעיהו נו יא) והכלבים עזי נפש לא ידעו שבעה, שאינן שבעים בבצעא דהאי עלמא:</w:t>
      </w:r>
    </w:p>
  </w:footnote>
  <w:footnote w:id="1273">
    <w:p w:rsidR="00A13282" w:rsidRDefault="00A13282">
      <w:pPr>
        <w:pStyle w:val="a5"/>
        <w:rPr>
          <w:rtl/>
        </w:rPr>
      </w:pPr>
      <w:r>
        <w:rPr>
          <w:rStyle w:val="a7"/>
          <w:rtl/>
        </w:rPr>
        <w:footnoteRef/>
      </w:r>
      <w:r>
        <w:rPr>
          <w:rtl/>
        </w:rPr>
        <w:t xml:space="preserve"> </w:t>
      </w:r>
      <w:r>
        <w:rPr>
          <w:b/>
          <w:bCs/>
          <w:rtl/>
        </w:rPr>
        <w:t>דאינון כו'.</w:t>
      </w:r>
      <w:r>
        <w:rPr>
          <w:rtl/>
        </w:rPr>
        <w:t xml:space="preserve"> רוצה לומר העזים הן פלחי כוכביא והם נדמו להם:</w:t>
      </w:r>
    </w:p>
  </w:footnote>
  <w:footnote w:id="1274">
    <w:p w:rsidR="00A13282" w:rsidRDefault="00A13282">
      <w:pPr>
        <w:pStyle w:val="a5"/>
        <w:rPr>
          <w:rtl/>
        </w:rPr>
      </w:pPr>
      <w:r>
        <w:rPr>
          <w:rStyle w:val="a7"/>
          <w:rtl/>
        </w:rPr>
        <w:footnoteRef/>
      </w:r>
      <w:r>
        <w:rPr>
          <w:rtl/>
        </w:rPr>
        <w:t xml:space="preserve"> </w:t>
      </w:r>
      <w:r>
        <w:rPr>
          <w:b/>
          <w:bCs/>
          <w:rtl/>
        </w:rPr>
        <w:t>דצווחי כו'.</w:t>
      </w:r>
      <w:r>
        <w:rPr>
          <w:rtl/>
        </w:rPr>
        <w:t xml:space="preserve"> רוצה לומר אותן ישראל:</w:t>
      </w:r>
    </w:p>
  </w:footnote>
  <w:footnote w:id="1275">
    <w:p w:rsidR="00A13282" w:rsidRDefault="00A13282">
      <w:pPr>
        <w:pStyle w:val="a5"/>
        <w:rPr>
          <w:rtl/>
        </w:rPr>
      </w:pPr>
      <w:r>
        <w:rPr>
          <w:rStyle w:val="a7"/>
          <w:rtl/>
        </w:rPr>
        <w:footnoteRef/>
      </w:r>
      <w:r>
        <w:rPr>
          <w:rtl/>
        </w:rPr>
        <w:t xml:space="preserve"> </w:t>
      </w:r>
      <w:r>
        <w:rPr>
          <w:b/>
          <w:bCs/>
          <w:rtl/>
        </w:rPr>
        <w:t>ולית לה בשת אנפין דלא כו'.</w:t>
      </w:r>
      <w:r>
        <w:rPr>
          <w:rtl/>
        </w:rPr>
        <w:t xml:space="preserve"> רוצה לומר לכך נקראו עזי נפש:</w:t>
      </w:r>
    </w:p>
  </w:footnote>
  <w:footnote w:id="1276">
    <w:p w:rsidR="00A13282" w:rsidRDefault="00A13282">
      <w:pPr>
        <w:pStyle w:val="a5"/>
        <w:rPr>
          <w:rtl/>
        </w:rPr>
      </w:pPr>
      <w:r>
        <w:rPr>
          <w:rStyle w:val="a7"/>
          <w:rtl/>
        </w:rPr>
        <w:footnoteRef/>
      </w:r>
      <w:r>
        <w:rPr>
          <w:rtl/>
        </w:rPr>
        <w:t xml:space="preserve"> </w:t>
      </w:r>
      <w:r>
        <w:rPr>
          <w:b/>
          <w:bCs/>
          <w:rtl/>
        </w:rPr>
        <w:t>דאתמר בהון ויתערבו כו'.</w:t>
      </w:r>
      <w:r>
        <w:rPr>
          <w:rtl/>
        </w:rPr>
        <w:t xml:space="preserve"> ראיה שהן נדמו במעשיהם לעובדי כוכבים:</w:t>
      </w:r>
    </w:p>
  </w:footnote>
  <w:footnote w:id="1277">
    <w:p w:rsidR="00A13282" w:rsidRDefault="00A13282">
      <w:pPr>
        <w:pStyle w:val="a5"/>
        <w:rPr>
          <w:rtl/>
        </w:rPr>
      </w:pPr>
      <w:r>
        <w:rPr>
          <w:rStyle w:val="a7"/>
          <w:rtl/>
        </w:rPr>
        <w:footnoteRef/>
      </w:r>
      <w:r>
        <w:rPr>
          <w:rtl/>
        </w:rPr>
        <w:t xml:space="preserve"> </w:t>
      </w:r>
      <w:r>
        <w:rPr>
          <w:b/>
          <w:bCs/>
          <w:rtl/>
        </w:rPr>
        <w:t>ואינון ערב כו'.</w:t>
      </w:r>
      <w:r>
        <w:rPr>
          <w:rtl/>
        </w:rPr>
        <w:t xml:space="preserve"> רוצה לומר מלשון ויתערבו כו' ורוצה לומר שנשמתן מערב רב שהם שאלו בשר (במדבר יא יג) תנה לנו בשר ונאכלה, בצעין דהאי עלמא שעליהן נאמר (ישעיהו מ ו) כל הבשר חציר וכל חסדו כו' כמו שמפרש והולך דכל חסד כו':</w:t>
      </w:r>
    </w:p>
  </w:footnote>
  <w:footnote w:id="1278">
    <w:p w:rsidR="00A13282" w:rsidRDefault="00A13282">
      <w:pPr>
        <w:pStyle w:val="a5"/>
        <w:rPr>
          <w:rtl/>
        </w:rPr>
      </w:pPr>
      <w:r>
        <w:rPr>
          <w:rStyle w:val="a7"/>
          <w:rtl/>
        </w:rPr>
        <w:footnoteRef/>
      </w:r>
      <w:r>
        <w:rPr>
          <w:rtl/>
        </w:rPr>
        <w:t xml:space="preserve"> </w:t>
      </w:r>
      <w:r>
        <w:rPr>
          <w:b/>
          <w:bCs/>
          <w:rtl/>
        </w:rPr>
        <w:t>מזונא דאיהו תורה.</w:t>
      </w:r>
      <w:r>
        <w:rPr>
          <w:rtl/>
        </w:rPr>
        <w:t xml:space="preserve"> שנאמר (משלי ט ה) לכו לחמו כו':</w:t>
      </w:r>
    </w:p>
  </w:footnote>
  <w:footnote w:id="1279">
    <w:p w:rsidR="00A13282" w:rsidRDefault="00A13282">
      <w:pPr>
        <w:pStyle w:val="a5"/>
        <w:rPr>
          <w:rtl/>
        </w:rPr>
      </w:pPr>
      <w:r>
        <w:rPr>
          <w:rStyle w:val="a7"/>
          <w:rtl/>
        </w:rPr>
        <w:footnoteRef/>
      </w:r>
      <w:r>
        <w:rPr>
          <w:rtl/>
        </w:rPr>
        <w:t xml:space="preserve"> </w:t>
      </w:r>
      <w:r>
        <w:rPr>
          <w:b/>
          <w:bCs/>
          <w:rtl/>
        </w:rPr>
        <w:t>שארה כו'.</w:t>
      </w:r>
      <w:r>
        <w:rPr>
          <w:rtl/>
        </w:rPr>
        <w:t xml:space="preserve"> מזונות של השכינה שהיא זיווגא דקב"ה ועלה אתמר שארה כו', שצריך כל אדם לעשות בכל יום ג' דברים שלה כמו שמפרש והולך וזה שכתוב (שמות כא ו) לא יגרע, וזה שצריך לשאול:</w:t>
      </w:r>
    </w:p>
  </w:footnote>
  <w:footnote w:id="1280">
    <w:p w:rsidR="00A13282" w:rsidRDefault="00A13282">
      <w:pPr>
        <w:pStyle w:val="a5"/>
        <w:rPr>
          <w:rtl/>
        </w:rPr>
      </w:pPr>
      <w:r>
        <w:rPr>
          <w:rStyle w:val="a7"/>
          <w:rtl/>
        </w:rPr>
        <w:footnoteRef/>
      </w:r>
      <w:r>
        <w:rPr>
          <w:rtl/>
        </w:rPr>
        <w:t xml:space="preserve"> </w:t>
      </w:r>
      <w:r>
        <w:rPr>
          <w:b/>
          <w:bCs/>
          <w:rtl/>
        </w:rPr>
        <w:t>ועטיפו דילה בתפילין דיד.</w:t>
      </w:r>
      <w:r>
        <w:rPr>
          <w:rtl/>
        </w:rPr>
        <w:t xml:space="preserve"> כמו שמפרש והולך:</w:t>
      </w:r>
    </w:p>
  </w:footnote>
  <w:footnote w:id="1281">
    <w:p w:rsidR="00A13282" w:rsidRDefault="00A13282">
      <w:pPr>
        <w:pStyle w:val="a5"/>
        <w:rPr>
          <w:rtl/>
        </w:rPr>
      </w:pPr>
      <w:r>
        <w:rPr>
          <w:rStyle w:val="a7"/>
          <w:rtl/>
        </w:rPr>
        <w:footnoteRef/>
      </w:r>
      <w:r>
        <w:rPr>
          <w:rtl/>
        </w:rPr>
        <w:t xml:space="preserve"> </w:t>
      </w:r>
      <w:r>
        <w:rPr>
          <w:b/>
          <w:bCs/>
          <w:rtl/>
        </w:rPr>
        <w:t>תפלה.</w:t>
      </w:r>
      <w:r>
        <w:rPr>
          <w:rtl/>
        </w:rPr>
        <w:t xml:space="preserve"> רוצה לומר תפילין:</w:t>
      </w:r>
    </w:p>
  </w:footnote>
  <w:footnote w:id="1282">
    <w:p w:rsidR="00A13282" w:rsidRDefault="00A13282">
      <w:pPr>
        <w:pStyle w:val="a5"/>
        <w:rPr>
          <w:rtl/>
        </w:rPr>
      </w:pPr>
      <w:r>
        <w:rPr>
          <w:rStyle w:val="a7"/>
          <w:rtl/>
        </w:rPr>
        <w:footnoteRef/>
      </w:r>
      <w:r>
        <w:rPr>
          <w:rtl/>
        </w:rPr>
        <w:t xml:space="preserve"> </w:t>
      </w:r>
      <w:r>
        <w:rPr>
          <w:b/>
          <w:bCs/>
          <w:rtl/>
        </w:rPr>
        <w:t>לעני.</w:t>
      </w:r>
      <w:r>
        <w:rPr>
          <w:rtl/>
        </w:rPr>
        <w:t xml:space="preserve"> רוצה לומר מלכות, יד כהה, כי יעטוף. הרי שנאמר עטיפה בתפילין, וזה כסותה והוא מסטרא דילה וכן ציצית כמו שאומר להלן והוכן בחסד כסא:</w:t>
      </w:r>
    </w:p>
  </w:footnote>
  <w:footnote w:id="1283">
    <w:p w:rsidR="00A13282" w:rsidRDefault="00A13282">
      <w:pPr>
        <w:pStyle w:val="a5"/>
        <w:rPr>
          <w:rtl/>
        </w:rPr>
      </w:pPr>
      <w:r>
        <w:rPr>
          <w:rStyle w:val="a7"/>
          <w:rtl/>
        </w:rPr>
        <w:footnoteRef/>
      </w:r>
      <w:r>
        <w:rPr>
          <w:rtl/>
        </w:rPr>
        <w:t xml:space="preserve"> </w:t>
      </w:r>
      <w:r>
        <w:rPr>
          <w:b/>
          <w:bCs/>
          <w:rtl/>
        </w:rPr>
        <w:t>דא ק"ש בעונתה.</w:t>
      </w:r>
      <w:r>
        <w:rPr>
          <w:rtl/>
        </w:rPr>
        <w:t xml:space="preserve"> והוא בת"ת כידוע, ויחודא - זה עונתה:</w:t>
      </w:r>
    </w:p>
  </w:footnote>
  <w:footnote w:id="1284">
    <w:p w:rsidR="00A13282" w:rsidRDefault="00A13282">
      <w:pPr>
        <w:pStyle w:val="a5"/>
        <w:rPr>
          <w:rtl/>
        </w:rPr>
      </w:pPr>
      <w:r>
        <w:rPr>
          <w:rStyle w:val="a7"/>
          <w:rtl/>
        </w:rPr>
        <w:footnoteRef/>
      </w:r>
      <w:r>
        <w:rPr>
          <w:rtl/>
        </w:rPr>
        <w:t xml:space="preserve"> </w:t>
      </w:r>
      <w:r>
        <w:rPr>
          <w:b/>
          <w:bCs/>
          <w:rtl/>
        </w:rPr>
        <w:t>והן כל אלה.</w:t>
      </w:r>
      <w:r>
        <w:rPr>
          <w:rtl/>
        </w:rPr>
        <w:t xml:space="preserve"> רוצה לומר אלה הנ"ל, שלש אלה. ולכך, פעמים שלש, שהן נר"ן הבאים בג' גלגולים כמו שאומר לקמן, שהן מבינה תפארת ומלכות, לתקן ג' דברים הנ"ל שאמר כאן, ששנים מהם באים בג' גלגולים והן: לבוש הנפש מבריאה והוא כנגד ציצית שהוא בכסא כנ"ל, ונפש נגד תפילין של יד, ורוח נגד קריאת שמע. וזה שאומר פעמים שלש:</w:t>
      </w:r>
    </w:p>
  </w:footnote>
  <w:footnote w:id="1285">
    <w:p w:rsidR="00A13282" w:rsidRDefault="00A13282">
      <w:pPr>
        <w:pStyle w:val="a5"/>
        <w:rPr>
          <w:rtl/>
        </w:rPr>
      </w:pPr>
      <w:r>
        <w:rPr>
          <w:rStyle w:val="a7"/>
          <w:rtl/>
        </w:rPr>
        <w:footnoteRef/>
      </w:r>
      <w:r>
        <w:rPr>
          <w:rtl/>
        </w:rPr>
        <w:t xml:space="preserve"> </w:t>
      </w:r>
      <w:r>
        <w:rPr>
          <w:b/>
          <w:bCs/>
          <w:rtl/>
        </w:rPr>
        <w:t>ובג"ד כי כו'.</w:t>
      </w:r>
      <w:r>
        <w:rPr>
          <w:rtl/>
        </w:rPr>
        <w:t xml:space="preserve"> רוצה לומר כסויא דציצית:</w:t>
      </w:r>
    </w:p>
  </w:footnote>
  <w:footnote w:id="1286">
    <w:p w:rsidR="00A13282" w:rsidRDefault="00A13282">
      <w:pPr>
        <w:jc w:val="both"/>
        <w:rPr>
          <w:rFonts w:cs="Arial"/>
          <w:szCs w:val="24"/>
          <w:rtl/>
        </w:rPr>
      </w:pPr>
      <w:r>
        <w:rPr>
          <w:rStyle w:val="a7"/>
          <w:rFonts w:cs="Arial"/>
          <w:szCs w:val="24"/>
          <w:rtl/>
        </w:rPr>
        <w:footnoteRef/>
      </w:r>
      <w:r>
        <w:rPr>
          <w:rFonts w:cs="Arial"/>
          <w:szCs w:val="24"/>
          <w:rtl/>
        </w:rPr>
        <w:t xml:space="preserve"> </w:t>
      </w:r>
      <w:r>
        <w:rPr>
          <w:rFonts w:cs="Arial"/>
          <w:b/>
          <w:bCs/>
          <w:szCs w:val="24"/>
          <w:rtl/>
        </w:rPr>
        <w:t>היא שמלתו כו'.</w:t>
      </w:r>
      <w:r>
        <w:rPr>
          <w:rFonts w:cs="Arial"/>
          <w:szCs w:val="24"/>
          <w:rtl/>
        </w:rPr>
        <w:t xml:space="preserve"> עטיפא דתפילין והיא עורו:</w:t>
      </w:r>
    </w:p>
  </w:footnote>
  <w:footnote w:id="1287">
    <w:p w:rsidR="00A13282" w:rsidRDefault="00A13282">
      <w:pPr>
        <w:pStyle w:val="a5"/>
        <w:rPr>
          <w:rtl/>
        </w:rPr>
      </w:pPr>
      <w:r>
        <w:rPr>
          <w:rStyle w:val="a7"/>
          <w:rtl/>
        </w:rPr>
        <w:footnoteRef/>
      </w:r>
      <w:r>
        <w:rPr>
          <w:rtl/>
        </w:rPr>
        <w:t xml:space="preserve"> </w:t>
      </w:r>
      <w:r>
        <w:rPr>
          <w:b/>
          <w:bCs/>
          <w:rtl/>
        </w:rPr>
        <w:t>במה ישכב כו'.</w:t>
      </w:r>
      <w:r>
        <w:rPr>
          <w:rtl/>
        </w:rPr>
        <w:t xml:space="preserve"> קריאת שמע שנאמר (במדבר כד ט) כרע שכב כו':</w:t>
      </w:r>
    </w:p>
  </w:footnote>
  <w:footnote w:id="1288">
    <w:p w:rsidR="00A13282" w:rsidRDefault="00A13282">
      <w:pPr>
        <w:pStyle w:val="a5"/>
        <w:rPr>
          <w:rtl/>
        </w:rPr>
      </w:pPr>
      <w:r>
        <w:rPr>
          <w:rStyle w:val="a7"/>
          <w:rtl/>
        </w:rPr>
        <w:footnoteRef/>
      </w:r>
      <w:r>
        <w:rPr>
          <w:rtl/>
        </w:rPr>
        <w:t xml:space="preserve"> </w:t>
      </w:r>
      <w:r>
        <w:rPr>
          <w:b/>
          <w:bCs/>
          <w:rtl/>
        </w:rPr>
        <w:t>ואלין כו'.</w:t>
      </w:r>
      <w:r>
        <w:rPr>
          <w:rtl/>
        </w:rPr>
        <w:t xml:space="preserve"> רוצה לומר התלת לבושין הנ"ל הן תלת כסויין כו':</w:t>
      </w:r>
    </w:p>
  </w:footnote>
  <w:footnote w:id="1289">
    <w:p w:rsidR="00A13282" w:rsidRDefault="00A13282">
      <w:pPr>
        <w:pStyle w:val="a5"/>
        <w:rPr>
          <w:rtl/>
        </w:rPr>
      </w:pPr>
      <w:r>
        <w:rPr>
          <w:rStyle w:val="a7"/>
          <w:rtl/>
        </w:rPr>
        <w:footnoteRef/>
      </w:r>
      <w:r>
        <w:rPr>
          <w:rtl/>
        </w:rPr>
        <w:t xml:space="preserve"> </w:t>
      </w:r>
      <w:r>
        <w:rPr>
          <w:b/>
          <w:bCs/>
          <w:rtl/>
        </w:rPr>
        <w:t>שלש פעמים.</w:t>
      </w:r>
      <w:r>
        <w:rPr>
          <w:rtl/>
        </w:rPr>
        <w:t xml:space="preserve"> הן פעמים שלש הנ"ל:</w:t>
      </w:r>
    </w:p>
  </w:footnote>
  <w:footnote w:id="1290">
    <w:p w:rsidR="00A13282" w:rsidRDefault="00A13282">
      <w:pPr>
        <w:pStyle w:val="a5"/>
        <w:rPr>
          <w:rtl/>
        </w:rPr>
      </w:pPr>
      <w:r>
        <w:rPr>
          <w:rStyle w:val="a7"/>
          <w:rtl/>
        </w:rPr>
        <w:footnoteRef/>
      </w:r>
      <w:r>
        <w:rPr>
          <w:rtl/>
        </w:rPr>
        <w:t xml:space="preserve"> </w:t>
      </w:r>
      <w:r>
        <w:rPr>
          <w:b/>
          <w:bCs/>
          <w:rtl/>
        </w:rPr>
        <w:t>יראה.</w:t>
      </w:r>
      <w:r>
        <w:rPr>
          <w:rtl/>
        </w:rPr>
        <w:t xml:space="preserve"> שהן ג' גוונין דעינא:</w:t>
      </w:r>
    </w:p>
  </w:footnote>
  <w:footnote w:id="1291">
    <w:p w:rsidR="00A13282" w:rsidRDefault="00A13282">
      <w:pPr>
        <w:pStyle w:val="a5"/>
        <w:rPr>
          <w:rtl/>
        </w:rPr>
      </w:pPr>
      <w:r>
        <w:rPr>
          <w:rStyle w:val="a7"/>
          <w:rtl/>
        </w:rPr>
        <w:footnoteRef/>
      </w:r>
      <w:r>
        <w:rPr>
          <w:rtl/>
        </w:rPr>
        <w:t xml:space="preserve"> </w:t>
      </w:r>
      <w:r>
        <w:rPr>
          <w:b/>
          <w:bCs/>
          <w:rtl/>
        </w:rPr>
        <w:t>כל זכורך.</w:t>
      </w:r>
      <w:r>
        <w:rPr>
          <w:rtl/>
        </w:rPr>
        <w:t xml:space="preserve"> היא הנשמה שהיא דכורא לגבייה כידוע:</w:t>
      </w:r>
    </w:p>
  </w:footnote>
  <w:footnote w:id="1292">
    <w:p w:rsidR="00A13282" w:rsidRDefault="00A13282">
      <w:pPr>
        <w:pStyle w:val="a5"/>
        <w:rPr>
          <w:rtl/>
        </w:rPr>
      </w:pPr>
      <w:r>
        <w:rPr>
          <w:rStyle w:val="a7"/>
          <w:rtl/>
        </w:rPr>
        <w:footnoteRef/>
      </w:r>
      <w:r>
        <w:rPr>
          <w:rtl/>
        </w:rPr>
        <w:t xml:space="preserve"> </w:t>
      </w:r>
      <w:r>
        <w:rPr>
          <w:b/>
          <w:bCs/>
          <w:rtl/>
        </w:rPr>
        <w:t>תלת גוונין דשרגא.</w:t>
      </w:r>
      <w:r>
        <w:rPr>
          <w:rtl/>
        </w:rPr>
        <w:t xml:space="preserve"> כמו שאומר בזוהר שבנר - ג' גוונין בו עיין שם. עוד אפשר לומר, ג' הנ"ל הן כנגד חג"ת: כסויא דציצית מימין שנאמר והוכן בחסד כנ"ל ותפילין דיד משמאל כידוע וקריאת שמע בעמודא דאמצעיתא כנ"ל, והן כולן לבושין לשארה, שהיא תורה, מבינה. ואם שלש כו' - קאי אציצית ותפילין וקריאת שמע, וזה יעשה לה שהן עשיית המצות והן לבושין לנשמתא בג' גלגולי, שלבושי הנשמה הן מחג"ת והן באין בג' גלגולין עם הנשמה. וכאן קורא לכל ג' חלקי נר"ן בשם נשמה, ולקמן מפרש, דנפש - בגלגול ראשון כו'. והן ג' גוונין דעינא כידוע וג' גוונין דקשת והוא הנכון ועיקר:</w:t>
      </w:r>
    </w:p>
  </w:footnote>
  <w:footnote w:id="1293">
    <w:p w:rsidR="00A13282" w:rsidRDefault="00A13282">
      <w:pPr>
        <w:pStyle w:val="a5"/>
        <w:rPr>
          <w:rtl/>
        </w:rPr>
      </w:pPr>
      <w:r>
        <w:rPr>
          <w:rStyle w:val="a7"/>
          <w:rtl/>
        </w:rPr>
        <w:footnoteRef/>
      </w:r>
      <w:r>
        <w:rPr>
          <w:rtl/>
        </w:rPr>
        <w:t xml:space="preserve"> </w:t>
      </w:r>
      <w:r>
        <w:rPr>
          <w:b/>
          <w:bCs/>
          <w:rtl/>
        </w:rPr>
        <w:t>בלבת אש דא בת עין.</w:t>
      </w:r>
      <w:r>
        <w:rPr>
          <w:rtl/>
        </w:rPr>
        <w:t xml:space="preserve"> לעיל דריש לגוון ב' ממלת אש, וכאן - בלבת:</w:t>
      </w:r>
    </w:p>
  </w:footnote>
  <w:footnote w:id="1294">
    <w:p w:rsidR="00A13282" w:rsidRDefault="00A13282">
      <w:pPr>
        <w:pStyle w:val="a5"/>
        <w:rPr>
          <w:rtl/>
        </w:rPr>
      </w:pPr>
      <w:r>
        <w:rPr>
          <w:rStyle w:val="a7"/>
          <w:rtl/>
        </w:rPr>
        <w:footnoteRef/>
      </w:r>
      <w:r>
        <w:rPr>
          <w:rtl/>
        </w:rPr>
        <w:t xml:space="preserve"> </w:t>
      </w:r>
      <w:r>
        <w:rPr>
          <w:b/>
          <w:bCs/>
          <w:rtl/>
        </w:rPr>
        <w:t>אור דעינא כו'.</w:t>
      </w:r>
      <w:r>
        <w:rPr>
          <w:rtl/>
        </w:rPr>
        <w:t xml:space="preserve"> שהוא כולל חג"ת, שאמר לעיל נהירין תלת כו'. ורוצה לומר שזה שאומר בעין יראו, שהאור יהיה בבת עין, בשוב ה' - עמודא דאמצעיתא, ציון - מלכות, וזה: עין, שהוא עמודא דאמצעיתא, בעין, רוצה לומר ב' עין, כמו שאומר ביתא דיליה, והוא ב', וזה שאומר בעין, והוא מלכות, כשיהיה עין - עמודא דאמצעיתא, בעין - מלכות, אז יראה:</w:t>
      </w:r>
    </w:p>
  </w:footnote>
  <w:footnote w:id="1295">
    <w:p w:rsidR="00A13282" w:rsidRDefault="00A13282">
      <w:pPr>
        <w:pStyle w:val="a5"/>
        <w:rPr>
          <w:rtl/>
        </w:rPr>
      </w:pPr>
      <w:r>
        <w:rPr>
          <w:rStyle w:val="a7"/>
          <w:rtl/>
        </w:rPr>
        <w:footnoteRef/>
      </w:r>
      <w:r>
        <w:rPr>
          <w:rtl/>
        </w:rPr>
        <w:t xml:space="preserve"> </w:t>
      </w:r>
      <w:r>
        <w:rPr>
          <w:b/>
          <w:bCs/>
          <w:rtl/>
        </w:rPr>
        <w:t>בההוא כו' עננא כו'.</w:t>
      </w:r>
      <w:r>
        <w:rPr>
          <w:rtl/>
        </w:rPr>
        <w:t xml:space="preserve"> שמעכב את האור ליכנס לבת עין, כמו ענן שמעכב את האור בעולם והוא תבלול כמו שמפרש והולך:</w:t>
      </w:r>
    </w:p>
  </w:footnote>
  <w:footnote w:id="1296">
    <w:p w:rsidR="00A13282" w:rsidRDefault="00A13282">
      <w:pPr>
        <w:pStyle w:val="a5"/>
        <w:rPr>
          <w:rtl/>
        </w:rPr>
      </w:pPr>
      <w:r>
        <w:rPr>
          <w:rStyle w:val="a7"/>
          <w:rtl/>
        </w:rPr>
        <w:footnoteRef/>
      </w:r>
      <w:r>
        <w:rPr>
          <w:rtl/>
        </w:rPr>
        <w:t xml:space="preserve"> </w:t>
      </w:r>
      <w:r>
        <w:rPr>
          <w:b/>
          <w:bCs/>
          <w:rtl/>
        </w:rPr>
        <w:t>רומי רבתא.</w:t>
      </w:r>
      <w:r>
        <w:rPr>
          <w:rtl/>
        </w:rPr>
        <w:t xml:space="preserve"> שהעולם דומה לעין כמו שאומר בזוהר:</w:t>
      </w:r>
    </w:p>
  </w:footnote>
  <w:footnote w:id="1297">
    <w:p w:rsidR="00A13282" w:rsidRDefault="00A13282">
      <w:pPr>
        <w:pStyle w:val="a5"/>
        <w:rPr>
          <w:rtl/>
        </w:rPr>
      </w:pPr>
      <w:r>
        <w:rPr>
          <w:rStyle w:val="a7"/>
          <w:rtl/>
        </w:rPr>
        <w:footnoteRef/>
      </w:r>
      <w:r>
        <w:rPr>
          <w:rtl/>
        </w:rPr>
        <w:t xml:space="preserve"> </w:t>
      </w:r>
      <w:r>
        <w:rPr>
          <w:b/>
          <w:bCs/>
          <w:rtl/>
        </w:rPr>
        <w:t>תעמוד בחוץ.</w:t>
      </w:r>
      <w:r>
        <w:rPr>
          <w:rtl/>
        </w:rPr>
        <w:t xml:space="preserve"> כמו שאומר להלן לא אבוא בעיר - דלא עאלנא בישובא:</w:t>
      </w:r>
    </w:p>
  </w:footnote>
  <w:footnote w:id="1298">
    <w:p w:rsidR="00A13282" w:rsidRDefault="00A13282">
      <w:pPr>
        <w:pStyle w:val="a5"/>
        <w:rPr>
          <w:rtl/>
        </w:rPr>
      </w:pPr>
      <w:r>
        <w:rPr>
          <w:rStyle w:val="a7"/>
          <w:rtl/>
        </w:rPr>
        <w:footnoteRef/>
      </w:r>
      <w:r>
        <w:rPr>
          <w:rtl/>
        </w:rPr>
        <w:t xml:space="preserve"> </w:t>
      </w:r>
      <w:r>
        <w:rPr>
          <w:b/>
          <w:bCs/>
          <w:rtl/>
        </w:rPr>
        <w:t>אנכי די"מ.</w:t>
      </w:r>
      <w:r>
        <w:rPr>
          <w:rtl/>
        </w:rPr>
        <w:t xml:space="preserve"> שהיא בינה:</w:t>
      </w:r>
    </w:p>
  </w:footnote>
  <w:footnote w:id="1299">
    <w:p w:rsidR="00A13282" w:rsidRDefault="00A13282">
      <w:pPr>
        <w:pStyle w:val="a5"/>
        <w:rPr>
          <w:rtl/>
        </w:rPr>
      </w:pPr>
      <w:r>
        <w:rPr>
          <w:rStyle w:val="a7"/>
          <w:rtl/>
        </w:rPr>
        <w:footnoteRef/>
      </w:r>
      <w:r>
        <w:rPr>
          <w:rtl/>
        </w:rPr>
        <w:t xml:space="preserve"> </w:t>
      </w:r>
      <w:r>
        <w:rPr>
          <w:b/>
          <w:bCs/>
          <w:rtl/>
        </w:rPr>
        <w:t>יגאלך טוב.</w:t>
      </w:r>
      <w:r>
        <w:rPr>
          <w:rtl/>
        </w:rPr>
        <w:t xml:space="preserve"> יסוד שהוא הקץ כמו שאומר בתקוני זוהר חדש:</w:t>
      </w:r>
    </w:p>
  </w:footnote>
  <w:footnote w:id="1300">
    <w:p w:rsidR="00A13282" w:rsidRDefault="00A13282">
      <w:pPr>
        <w:pStyle w:val="a5"/>
        <w:rPr>
          <w:rtl/>
        </w:rPr>
      </w:pPr>
      <w:r>
        <w:rPr>
          <w:rStyle w:val="a7"/>
          <w:rtl/>
        </w:rPr>
        <w:footnoteRef/>
      </w:r>
      <w:r>
        <w:rPr>
          <w:rtl/>
        </w:rPr>
        <w:t xml:space="preserve"> </w:t>
      </w:r>
      <w:r>
        <w:rPr>
          <w:b/>
          <w:bCs/>
          <w:rtl/>
        </w:rPr>
        <w:t>דאיהי ימינא כו'.</w:t>
      </w:r>
      <w:r>
        <w:rPr>
          <w:rtl/>
        </w:rPr>
        <w:t xml:space="preserve"> רוצה לומר עד הבוקר:</w:t>
      </w:r>
    </w:p>
  </w:footnote>
  <w:footnote w:id="1301">
    <w:p w:rsidR="00A13282" w:rsidRDefault="00A13282">
      <w:pPr>
        <w:pStyle w:val="a5"/>
        <w:rPr>
          <w:rtl/>
        </w:rPr>
      </w:pPr>
      <w:r>
        <w:rPr>
          <w:rStyle w:val="a7"/>
          <w:rtl/>
        </w:rPr>
        <w:footnoteRef/>
      </w:r>
      <w:r>
        <w:rPr>
          <w:rtl/>
        </w:rPr>
        <w:t xml:space="preserve"> </w:t>
      </w:r>
      <w:r>
        <w:rPr>
          <w:b/>
          <w:bCs/>
          <w:rtl/>
        </w:rPr>
        <w:t>בההוא כו'.</w:t>
      </w:r>
      <w:r>
        <w:rPr>
          <w:rtl/>
        </w:rPr>
        <w:t xml:space="preserve"> דבינה אקרי נשר כמו שאומר להלן:</w:t>
      </w:r>
    </w:p>
  </w:footnote>
  <w:footnote w:id="1302">
    <w:p w:rsidR="00A13282" w:rsidRDefault="00A13282">
      <w:pPr>
        <w:pStyle w:val="a5"/>
        <w:rPr>
          <w:rtl/>
        </w:rPr>
      </w:pPr>
      <w:r>
        <w:rPr>
          <w:rStyle w:val="a7"/>
          <w:rtl/>
        </w:rPr>
        <w:footnoteRef/>
      </w:r>
      <w:r>
        <w:rPr>
          <w:rtl/>
        </w:rPr>
        <w:t xml:space="preserve"> </w:t>
      </w:r>
      <w:r>
        <w:rPr>
          <w:b/>
          <w:bCs/>
          <w:rtl/>
        </w:rPr>
        <w:t>על גוזליו ירחף.</w:t>
      </w:r>
      <w:r>
        <w:rPr>
          <w:rtl/>
        </w:rPr>
        <w:t xml:space="preserve"> הן ו"ק כמו שאומר לעיל, ולמטה - ישראל:</w:t>
      </w:r>
    </w:p>
  </w:footnote>
  <w:footnote w:id="1303">
    <w:p w:rsidR="00A13282" w:rsidRDefault="00A13282">
      <w:pPr>
        <w:pStyle w:val="a5"/>
        <w:rPr>
          <w:rtl/>
        </w:rPr>
      </w:pPr>
      <w:r>
        <w:rPr>
          <w:rStyle w:val="a7"/>
          <w:rtl/>
        </w:rPr>
        <w:footnoteRef/>
      </w:r>
      <w:r>
        <w:rPr>
          <w:rtl/>
        </w:rPr>
        <w:t xml:space="preserve"> </w:t>
      </w:r>
      <w:r>
        <w:rPr>
          <w:b/>
          <w:bCs/>
          <w:rtl/>
        </w:rPr>
        <w:t>הה"ד כו' לדרתם.</w:t>
      </w:r>
      <w:r>
        <w:rPr>
          <w:rtl/>
        </w:rPr>
        <w:t xml:space="preserve"> רוצה לומר לשון דירה:</w:t>
      </w:r>
    </w:p>
  </w:footnote>
  <w:footnote w:id="1304">
    <w:p w:rsidR="00A13282" w:rsidRDefault="00A13282">
      <w:pPr>
        <w:pStyle w:val="a5"/>
        <w:rPr>
          <w:rtl/>
        </w:rPr>
      </w:pPr>
      <w:r>
        <w:rPr>
          <w:rStyle w:val="a7"/>
          <w:rtl/>
        </w:rPr>
        <w:footnoteRef/>
      </w:r>
      <w:r>
        <w:rPr>
          <w:rtl/>
        </w:rPr>
        <w:t xml:space="preserve"> </w:t>
      </w:r>
      <w:r>
        <w:rPr>
          <w:b/>
          <w:bCs/>
          <w:rtl/>
        </w:rPr>
        <w:t>דבגינה.</w:t>
      </w:r>
      <w:r>
        <w:rPr>
          <w:rtl/>
        </w:rPr>
        <w:t xml:space="preserve"> רוצה לומר בשביל הנשמה שהיא מבינה:</w:t>
      </w:r>
    </w:p>
  </w:footnote>
  <w:footnote w:id="1305">
    <w:p w:rsidR="00A13282" w:rsidRDefault="00A13282">
      <w:pPr>
        <w:pStyle w:val="a5"/>
        <w:rPr>
          <w:rtl/>
        </w:rPr>
      </w:pPr>
      <w:r>
        <w:rPr>
          <w:rStyle w:val="a7"/>
          <w:rtl/>
        </w:rPr>
        <w:footnoteRef/>
      </w:r>
      <w:r>
        <w:rPr>
          <w:rtl/>
        </w:rPr>
        <w:t xml:space="preserve"> </w:t>
      </w:r>
      <w:r>
        <w:rPr>
          <w:b/>
          <w:bCs/>
          <w:rtl/>
        </w:rPr>
        <w:t>איהו וינפש כו'.</w:t>
      </w:r>
      <w:r>
        <w:rPr>
          <w:rtl/>
        </w:rPr>
        <w:t xml:space="preserve"> דנפשין מסטרא דמלכות, וזה שאומר ויהיב לון כו':</w:t>
      </w:r>
    </w:p>
  </w:footnote>
  <w:footnote w:id="1306">
    <w:p w:rsidR="00A13282" w:rsidRDefault="00A13282">
      <w:pPr>
        <w:pStyle w:val="a5"/>
        <w:rPr>
          <w:rtl/>
        </w:rPr>
      </w:pPr>
      <w:r>
        <w:rPr>
          <w:rStyle w:val="a7"/>
          <w:rtl/>
        </w:rPr>
        <w:footnoteRef/>
      </w:r>
      <w:r>
        <w:rPr>
          <w:rtl/>
        </w:rPr>
        <w:t xml:space="preserve"> </w:t>
      </w:r>
      <w:r>
        <w:rPr>
          <w:b/>
          <w:bCs/>
          <w:rtl/>
        </w:rPr>
        <w:t>ע' דתליין כו'.</w:t>
      </w:r>
      <w:r>
        <w:rPr>
          <w:rtl/>
        </w:rPr>
        <w:t xml:space="preserve"> שזכור ושמור הן ו"ק ומלכות, ז' ספירות, כל אחת מעשר, וכללא דילהון - תפארת ומלכות, הרי הן ע"ב:</w:t>
      </w:r>
    </w:p>
  </w:footnote>
  <w:footnote w:id="1307">
    <w:p w:rsidR="00A13282" w:rsidRDefault="00A13282">
      <w:pPr>
        <w:pStyle w:val="a5"/>
        <w:rPr>
          <w:rtl/>
        </w:rPr>
      </w:pPr>
      <w:r>
        <w:rPr>
          <w:rStyle w:val="a7"/>
          <w:rtl/>
        </w:rPr>
        <w:footnoteRef/>
      </w:r>
      <w:r>
        <w:rPr>
          <w:rtl/>
        </w:rPr>
        <w:t xml:space="preserve"> </w:t>
      </w:r>
      <w:r>
        <w:rPr>
          <w:b/>
          <w:bCs/>
          <w:rtl/>
        </w:rPr>
        <w:t>ואתקריאו אלין כו'.</w:t>
      </w:r>
      <w:r>
        <w:rPr>
          <w:rtl/>
        </w:rPr>
        <w:t xml:space="preserve"> רוצה לומר, דלכך הכנסת שבת הוא הכנסת אורחים, כמו שאומר בגמרא (שבת קיט ע"א) אלו מקלעי ר' יוחנן כו' וכן אמר לקמן מאן דמקבל אורחין כו':</w:t>
      </w:r>
    </w:p>
  </w:footnote>
  <w:footnote w:id="1308">
    <w:p w:rsidR="00A13282" w:rsidRDefault="00A13282">
      <w:pPr>
        <w:pStyle w:val="a5"/>
        <w:rPr>
          <w:rtl/>
        </w:rPr>
      </w:pPr>
      <w:r>
        <w:rPr>
          <w:rStyle w:val="a7"/>
          <w:rtl/>
        </w:rPr>
        <w:footnoteRef/>
      </w:r>
      <w:r>
        <w:rPr>
          <w:rtl/>
        </w:rPr>
        <w:t xml:space="preserve"> </w:t>
      </w:r>
      <w:r>
        <w:rPr>
          <w:b/>
          <w:bCs/>
          <w:rtl/>
        </w:rPr>
        <w:t>ושלום עמה.</w:t>
      </w:r>
      <w:r>
        <w:rPr>
          <w:rtl/>
        </w:rPr>
        <w:t xml:space="preserve"> רוצה לומר דלכך אמר סכת שלום, והיא מלך שהשלום שלו, והן שבת כידוע, שכינתא עילאה מסטרא דצדיק - מלמטה למעלה, בצדיק - מלמעלה למטה:</w:t>
      </w:r>
    </w:p>
  </w:footnote>
  <w:footnote w:id="1309">
    <w:p w:rsidR="00A13282" w:rsidRDefault="00A13282">
      <w:pPr>
        <w:pStyle w:val="a5"/>
        <w:rPr>
          <w:rtl/>
        </w:rPr>
      </w:pPr>
      <w:r>
        <w:rPr>
          <w:rStyle w:val="a7"/>
          <w:rtl/>
        </w:rPr>
        <w:footnoteRef/>
      </w:r>
      <w:r>
        <w:rPr>
          <w:rtl/>
        </w:rPr>
        <w:t xml:space="preserve"> </w:t>
      </w:r>
      <w:r>
        <w:rPr>
          <w:b/>
          <w:bCs/>
          <w:rtl/>
        </w:rPr>
        <w:t>ואית סוכה כו'.</w:t>
      </w:r>
      <w:r>
        <w:rPr>
          <w:rtl/>
        </w:rPr>
        <w:t xml:space="preserve"> והיא מלכות שנקראת גם כן שבת, מסטרא דת"ת, ו"ק - היא השביעי, כנ"ל שבת וינפש:</w:t>
      </w:r>
    </w:p>
  </w:footnote>
  <w:footnote w:id="1310">
    <w:p w:rsidR="00A13282" w:rsidRDefault="00A13282">
      <w:pPr>
        <w:pStyle w:val="a5"/>
        <w:rPr>
          <w:rtl/>
        </w:rPr>
      </w:pPr>
      <w:r>
        <w:rPr>
          <w:rStyle w:val="a7"/>
          <w:rtl/>
        </w:rPr>
        <w:footnoteRef/>
      </w:r>
      <w:r>
        <w:rPr>
          <w:rtl/>
        </w:rPr>
        <w:t xml:space="preserve"> </w:t>
      </w:r>
      <w:r>
        <w:rPr>
          <w:b/>
          <w:bCs/>
          <w:rtl/>
        </w:rPr>
        <w:t>כ"ו ה"ס.</w:t>
      </w:r>
      <w:r>
        <w:rPr>
          <w:rtl/>
        </w:rPr>
        <w:t xml:space="preserve"> רוצה לומר אותיות סוכה והן בתפארת ומלכות, ונכלל ביסוד, וזה שאומר סוכת שלום:</w:t>
      </w:r>
    </w:p>
  </w:footnote>
  <w:footnote w:id="1311">
    <w:p w:rsidR="00A13282" w:rsidRDefault="00A13282">
      <w:pPr>
        <w:pStyle w:val="a5"/>
        <w:rPr>
          <w:rtl/>
        </w:rPr>
      </w:pPr>
      <w:r>
        <w:rPr>
          <w:rStyle w:val="a7"/>
          <w:rtl/>
        </w:rPr>
        <w:footnoteRef/>
      </w:r>
      <w:r>
        <w:rPr>
          <w:rtl/>
        </w:rPr>
        <w:t xml:space="preserve"> </w:t>
      </w:r>
      <w:r>
        <w:rPr>
          <w:b/>
          <w:bCs/>
          <w:rtl/>
        </w:rPr>
        <w:t>כוס ת'.</w:t>
      </w:r>
      <w:r>
        <w:rPr>
          <w:rtl/>
        </w:rPr>
        <w:t xml:space="preserve"> רוצה לומר אותיות סוכת. שמלכות נקראת כוס, גימטריה אלקים, ת' - ת"ת, ושלום כולל אותם:</w:t>
      </w:r>
    </w:p>
  </w:footnote>
  <w:footnote w:id="1312">
    <w:p w:rsidR="00A13282" w:rsidRDefault="00A13282">
      <w:pPr>
        <w:pStyle w:val="a5"/>
        <w:rPr>
          <w:rtl/>
        </w:rPr>
      </w:pPr>
      <w:r>
        <w:rPr>
          <w:rStyle w:val="a7"/>
          <w:rtl/>
        </w:rPr>
        <w:footnoteRef/>
      </w:r>
      <w:r>
        <w:rPr>
          <w:rtl/>
        </w:rPr>
        <w:t xml:space="preserve"> </w:t>
      </w:r>
      <w:r>
        <w:rPr>
          <w:b/>
          <w:bCs/>
          <w:rtl/>
        </w:rPr>
        <w:t>בכל עץ כו'.</w:t>
      </w:r>
      <w:r>
        <w:rPr>
          <w:rtl/>
        </w:rPr>
        <w:t xml:space="preserve"> רוצה לומר מלכות:</w:t>
      </w:r>
    </w:p>
  </w:footnote>
  <w:footnote w:id="1313">
    <w:p w:rsidR="00A13282" w:rsidRDefault="00A13282">
      <w:pPr>
        <w:pStyle w:val="a5"/>
        <w:rPr>
          <w:rtl/>
        </w:rPr>
      </w:pPr>
      <w:r>
        <w:rPr>
          <w:rStyle w:val="a7"/>
          <w:rtl/>
        </w:rPr>
        <w:footnoteRef/>
      </w:r>
      <w:r>
        <w:rPr>
          <w:rtl/>
        </w:rPr>
        <w:t xml:space="preserve"> </w:t>
      </w:r>
      <w:r>
        <w:rPr>
          <w:b/>
          <w:bCs/>
          <w:rtl/>
        </w:rPr>
        <w:t>ז' הקפות.</w:t>
      </w:r>
      <w:r>
        <w:rPr>
          <w:rtl/>
        </w:rPr>
        <w:t xml:space="preserve"> ממלכות, שבה שבע ספירות, שבע ארצות:</w:t>
      </w:r>
    </w:p>
  </w:footnote>
  <w:footnote w:id="1314">
    <w:p w:rsidR="00A13282" w:rsidRDefault="00A13282">
      <w:pPr>
        <w:pStyle w:val="a5"/>
        <w:rPr>
          <w:rtl/>
        </w:rPr>
      </w:pPr>
      <w:r>
        <w:rPr>
          <w:rStyle w:val="a7"/>
          <w:rtl/>
        </w:rPr>
        <w:footnoteRef/>
      </w:r>
      <w:r>
        <w:rPr>
          <w:rtl/>
        </w:rPr>
        <w:t xml:space="preserve"> </w:t>
      </w:r>
      <w:r>
        <w:rPr>
          <w:b/>
          <w:bCs/>
          <w:rtl/>
        </w:rPr>
        <w:t>עץ איהו לולב.</w:t>
      </w:r>
      <w:r>
        <w:rPr>
          <w:rtl/>
        </w:rPr>
        <w:t xml:space="preserve"> רוצה לומר ופרי שלו הוא אתרוג, וזה שאומר דאיהו אתרוג, רוצה לומר שזה שכתוב בכל עץ - בכל מלכות דנפקא מעץ:</w:t>
      </w:r>
    </w:p>
  </w:footnote>
  <w:footnote w:id="1315">
    <w:p w:rsidR="00A13282" w:rsidRDefault="00A13282">
      <w:pPr>
        <w:pStyle w:val="a5"/>
        <w:rPr>
          <w:rtl/>
        </w:rPr>
      </w:pPr>
      <w:r>
        <w:rPr>
          <w:rStyle w:val="a7"/>
          <w:rtl/>
        </w:rPr>
        <w:footnoteRef/>
      </w:r>
      <w:r>
        <w:rPr>
          <w:rtl/>
        </w:rPr>
        <w:t xml:space="preserve"> </w:t>
      </w:r>
      <w:r>
        <w:rPr>
          <w:b/>
          <w:bCs/>
          <w:rtl/>
        </w:rPr>
        <w:t>וצריך כו'.</w:t>
      </w:r>
      <w:r>
        <w:rPr>
          <w:rtl/>
        </w:rPr>
        <w:t xml:space="preserve"> ורוצה לומר דאפרוחים וביצים הם תפארת ומלכות מסטרא דסוכה, ובכל עץ הוא תפארת ומלכות מסטרא דאתרוג:</w:t>
      </w:r>
    </w:p>
  </w:footnote>
  <w:footnote w:id="1316">
    <w:p w:rsidR="00A13282" w:rsidRDefault="00A13282">
      <w:pPr>
        <w:pStyle w:val="a5"/>
        <w:rPr>
          <w:rtl/>
        </w:rPr>
      </w:pPr>
      <w:r>
        <w:rPr>
          <w:rStyle w:val="a7"/>
          <w:rtl/>
        </w:rPr>
        <w:footnoteRef/>
      </w:r>
      <w:r>
        <w:rPr>
          <w:rtl/>
        </w:rPr>
        <w:t xml:space="preserve"> </w:t>
      </w:r>
      <w:r>
        <w:rPr>
          <w:b/>
          <w:bCs/>
          <w:rtl/>
        </w:rPr>
        <w:t>ותלת נענועין כו'.</w:t>
      </w:r>
      <w:r>
        <w:rPr>
          <w:rtl/>
        </w:rPr>
        <w:t xml:space="preserve"> נגד ששה הויו"ת מג' אותיות, בו"ק - ח"י אותיות. והן כלולים בד' מקומות - חגת"ם. ע"ב (ד' פעמים ח"י, ג.פ.) - נגד ע' דתליין מזכור ושמור כנ"ל:</w:t>
      </w:r>
    </w:p>
  </w:footnote>
  <w:footnote w:id="1317">
    <w:p w:rsidR="00A13282" w:rsidRDefault="00A13282">
      <w:pPr>
        <w:pStyle w:val="a5"/>
        <w:rPr>
          <w:rtl/>
        </w:rPr>
      </w:pPr>
      <w:r>
        <w:rPr>
          <w:rStyle w:val="a7"/>
          <w:rtl/>
        </w:rPr>
        <w:footnoteRef/>
      </w:r>
      <w:r>
        <w:rPr>
          <w:rtl/>
        </w:rPr>
        <w:t xml:space="preserve"> </w:t>
      </w:r>
      <w:r>
        <w:rPr>
          <w:b/>
          <w:bCs/>
          <w:rtl/>
        </w:rPr>
        <w:t>לשבעין ותרין כו'.</w:t>
      </w:r>
      <w:r>
        <w:rPr>
          <w:rtl/>
        </w:rPr>
        <w:t xml:space="preserve"> זה לעומת זה, בשבע ספירות הטומאה. ודוכרא ונוקבא דכליל. והן שבעים בני שם וחם ויפת, לבד נמרוד, ונכתב שם להודיע גבורתו, וזה שכתוב (בראשית י ח) וכוש ילד, ולא כתיב בין הבנים. ואדום וישמעאל, דעל ישמעאל נאמר לגוי. וכן יעקב ועשו שנאמר שני גוים כו'. ויעקב אינו נחשב כמו שכתוב (במדבר כג ט) הן עם כו'. וישמעאל ועשו כוללים אותן כידוע:</w:t>
      </w:r>
    </w:p>
  </w:footnote>
  <w:footnote w:id="1318">
    <w:p w:rsidR="00A13282" w:rsidRDefault="00A13282">
      <w:pPr>
        <w:jc w:val="both"/>
        <w:rPr>
          <w:rFonts w:ascii="Arial" w:cs="Arial"/>
          <w:sz w:val="38"/>
          <w:szCs w:val="24"/>
          <w:rtl/>
        </w:rPr>
      </w:pPr>
      <w:r>
        <w:rPr>
          <w:rStyle w:val="a7"/>
          <w:rFonts w:cs="Arial"/>
          <w:szCs w:val="24"/>
          <w:rtl/>
        </w:rPr>
        <w:footnoteRef/>
      </w:r>
      <w:r>
        <w:rPr>
          <w:szCs w:val="24"/>
          <w:rtl/>
        </w:rPr>
        <w:t xml:space="preserve"> </w:t>
      </w:r>
      <w:r>
        <w:rPr>
          <w:rFonts w:ascii="Arial" w:cs="Arial"/>
          <w:b/>
          <w:bCs/>
          <w:sz w:val="38"/>
          <w:szCs w:val="24"/>
          <w:rtl/>
        </w:rPr>
        <w:t>דאינון וא"ו מן וה"ו אנ"י וה"ו.</w:t>
      </w:r>
      <w:r>
        <w:rPr>
          <w:rFonts w:ascii="Arial" w:cs="Arial"/>
          <w:sz w:val="38"/>
          <w:szCs w:val="24"/>
          <w:rtl/>
        </w:rPr>
        <w:t xml:space="preserve"> רוצה לומר, ראשי תיבות של אלו השלשה שמות הוא וא"ו. ואני הראשון הוא אני וא"ו, שהן תפארת ומלכות, כולל ע"ב שמות כנ"ל. ולכך אומרים שתי פעמים, אני כו', משום ראשי תיבות הנ"ל:</w:t>
      </w:r>
    </w:p>
  </w:footnote>
  <w:footnote w:id="1319">
    <w:p w:rsidR="00A13282" w:rsidRDefault="00A13282">
      <w:pPr>
        <w:pStyle w:val="a5"/>
        <w:rPr>
          <w:rtl/>
        </w:rPr>
      </w:pPr>
      <w:r>
        <w:rPr>
          <w:rStyle w:val="a7"/>
          <w:rtl/>
        </w:rPr>
        <w:footnoteRef/>
      </w:r>
      <w:r>
        <w:rPr>
          <w:rtl/>
        </w:rPr>
        <w:t xml:space="preserve"> </w:t>
      </w:r>
      <w:r>
        <w:rPr>
          <w:b/>
          <w:bCs/>
          <w:rtl/>
        </w:rPr>
        <w:t xml:space="preserve">מיו"ד ספירן. </w:t>
      </w:r>
      <w:r>
        <w:rPr>
          <w:rtl/>
        </w:rPr>
        <w:t>שת"ת כולל ו"ק, ובינה כולל שלש ספירות הראשונות, ומלכות - נר"ן:</w:t>
      </w:r>
    </w:p>
  </w:footnote>
  <w:footnote w:id="1320">
    <w:p w:rsidR="00A13282" w:rsidRDefault="00A13282">
      <w:pPr>
        <w:pStyle w:val="a5"/>
        <w:rPr>
          <w:rtl/>
        </w:rPr>
      </w:pPr>
      <w:r>
        <w:rPr>
          <w:rStyle w:val="a7"/>
          <w:rtl/>
        </w:rPr>
        <w:footnoteRef/>
      </w:r>
      <w:r>
        <w:rPr>
          <w:rStyle w:val="a7"/>
          <w:rtl/>
        </w:rPr>
        <w:t xml:space="preserve"> </w:t>
      </w:r>
      <w:r>
        <w:rPr>
          <w:b/>
          <w:bCs/>
          <w:rtl/>
        </w:rPr>
        <w:t>כל ממנא אוליף זכו על עופין</w:t>
      </w:r>
      <w:r>
        <w:rPr>
          <w:rtl/>
        </w:rPr>
        <w:t>. רוצה לומר, עופות ממש שבעולם הזה, וזה שאומר וקב"ה כו':</w:t>
      </w:r>
    </w:p>
  </w:footnote>
  <w:footnote w:id="1321">
    <w:p w:rsidR="00A13282" w:rsidRDefault="00A13282">
      <w:pPr>
        <w:pStyle w:val="a5"/>
        <w:rPr>
          <w:rtl/>
        </w:rPr>
      </w:pPr>
      <w:r>
        <w:rPr>
          <w:rStyle w:val="a7"/>
          <w:rtl/>
        </w:rPr>
        <w:footnoteRef/>
      </w:r>
      <w:r>
        <w:rPr>
          <w:rtl/>
        </w:rPr>
        <w:t xml:space="preserve"> </w:t>
      </w:r>
      <w:r>
        <w:rPr>
          <w:b/>
          <w:bCs/>
          <w:rtl/>
        </w:rPr>
        <w:t>אתחרב בית ראשון</w:t>
      </w:r>
      <w:r>
        <w:rPr>
          <w:rStyle w:val="a7"/>
          <w:rtl/>
        </w:rPr>
        <w:t xml:space="preserve"> </w:t>
      </w:r>
      <w:r>
        <w:rPr>
          <w:b/>
          <w:bCs/>
          <w:rtl/>
        </w:rPr>
        <w:t>כו'.</w:t>
      </w:r>
      <w:r>
        <w:rPr>
          <w:rtl/>
        </w:rPr>
        <w:t xml:space="preserve"> והן שתי ההי"ן, וכן בנשמתא - שני גלגולים. שהיא נע ונד למצוא גלגול שלישי שלא תתחרב, כמו שכתוב הן כל אלה כו', דוגמת בית שלישי:</w:t>
      </w:r>
    </w:p>
  </w:footnote>
  <w:footnote w:id="1322">
    <w:p w:rsidR="00A13282" w:rsidRDefault="00A13282">
      <w:pPr>
        <w:pStyle w:val="a5"/>
        <w:rPr>
          <w:rtl/>
        </w:rPr>
      </w:pPr>
      <w:r>
        <w:rPr>
          <w:rStyle w:val="a7"/>
          <w:rtl/>
        </w:rPr>
        <w:footnoteRef/>
      </w:r>
      <w:r>
        <w:rPr>
          <w:rtl/>
        </w:rPr>
        <w:t xml:space="preserve"> </w:t>
      </w:r>
      <w:r>
        <w:rPr>
          <w:b/>
          <w:bCs/>
          <w:rtl/>
        </w:rPr>
        <w:t>ובגין אלין נשמתין כו'.</w:t>
      </w:r>
      <w:r>
        <w:rPr>
          <w:rtl/>
        </w:rPr>
        <w:t xml:space="preserve"> רוצה לומר בשביל הנשמות הנ"ל, ולכך רמוזים במעשה בראשית - דאתבריאו קדם כו', וכן לכך רמוזים בתי מקדשים שם, וכל זה בשביל שלא קיימו פריה ורביה שהוא (איוב כב טז) ונהר יסוד כו' כידוע:</w:t>
      </w:r>
    </w:p>
  </w:footnote>
  <w:footnote w:id="1323">
    <w:p w:rsidR="00A13282" w:rsidRDefault="00A13282">
      <w:pPr>
        <w:pStyle w:val="a5"/>
        <w:rPr>
          <w:rtl/>
        </w:rPr>
      </w:pPr>
      <w:r>
        <w:rPr>
          <w:rStyle w:val="a7"/>
          <w:rtl/>
        </w:rPr>
        <w:footnoteRef/>
      </w:r>
      <w:r>
        <w:rPr>
          <w:rtl/>
        </w:rPr>
        <w:t xml:space="preserve"> </w:t>
      </w:r>
      <w:r>
        <w:rPr>
          <w:b/>
          <w:bCs/>
          <w:rtl/>
        </w:rPr>
        <w:t>א"כ ת"ח כו'.</w:t>
      </w:r>
      <w:r>
        <w:rPr>
          <w:rtl/>
        </w:rPr>
        <w:t xml:space="preserve"> רוצה לומר דיבום הוא בשביל נשמת המת שלא קיים פריה ורביה שיבוא בגלגול מבנה כידוע ותלמיד חכם הוא מסטרא דחכמה ותורה מסטרא דת"ת הוא בנו ואין צריך לחזור בגלגול:</w:t>
      </w:r>
    </w:p>
  </w:footnote>
  <w:footnote w:id="1324">
    <w:p w:rsidR="00A13282" w:rsidRDefault="00A13282">
      <w:pPr>
        <w:pStyle w:val="a5"/>
        <w:rPr>
          <w:rtl/>
        </w:rPr>
      </w:pPr>
      <w:r>
        <w:rPr>
          <w:rStyle w:val="a7"/>
          <w:rtl/>
        </w:rPr>
        <w:footnoteRef/>
      </w:r>
      <w:r>
        <w:rPr>
          <w:rtl/>
        </w:rPr>
        <w:t xml:space="preserve"> </w:t>
      </w:r>
      <w:r>
        <w:rPr>
          <w:b/>
          <w:bCs/>
          <w:rtl/>
        </w:rPr>
        <w:t>א"ל ברי כו'.</w:t>
      </w:r>
      <w:r>
        <w:rPr>
          <w:rtl/>
        </w:rPr>
        <w:t xml:space="preserve"> שיש נשמות שאינן מתוקנין והן יבואו באשתו בגלגול:</w:t>
      </w:r>
    </w:p>
  </w:footnote>
  <w:footnote w:id="1325">
    <w:p w:rsidR="00A13282" w:rsidRDefault="00A13282">
      <w:pPr>
        <w:pStyle w:val="a5"/>
        <w:rPr>
          <w:rtl/>
        </w:rPr>
      </w:pPr>
      <w:r>
        <w:rPr>
          <w:rStyle w:val="a7"/>
          <w:rtl/>
        </w:rPr>
        <w:footnoteRef/>
      </w:r>
      <w:r>
        <w:rPr>
          <w:rtl/>
        </w:rPr>
        <w:t xml:space="preserve"> </w:t>
      </w:r>
      <w:r>
        <w:rPr>
          <w:b/>
          <w:bCs/>
          <w:rtl/>
        </w:rPr>
        <w:t>למאן דלאו כו'.</w:t>
      </w:r>
      <w:r>
        <w:rPr>
          <w:rtl/>
        </w:rPr>
        <w:t xml:space="preserve"> רוצה לומר שהוא אינו צדיק:</w:t>
      </w:r>
    </w:p>
  </w:footnote>
  <w:footnote w:id="1326">
    <w:p w:rsidR="00A13282" w:rsidRDefault="00A13282">
      <w:pPr>
        <w:pStyle w:val="a5"/>
        <w:rPr>
          <w:rtl/>
        </w:rPr>
      </w:pPr>
      <w:r>
        <w:rPr>
          <w:rStyle w:val="a7"/>
          <w:rtl/>
        </w:rPr>
        <w:footnoteRef/>
      </w:r>
      <w:r>
        <w:rPr>
          <w:rtl/>
        </w:rPr>
        <w:t xml:space="preserve"> </w:t>
      </w:r>
      <w:r>
        <w:rPr>
          <w:b/>
          <w:bCs/>
          <w:rtl/>
        </w:rPr>
        <w:t>רזא דהרכבה.</w:t>
      </w:r>
      <w:r>
        <w:rPr>
          <w:rtl/>
        </w:rPr>
        <w:t xml:space="preserve"> רוצה לומר כל הגלגולים, כל אחד בגוף אחר והגוף אחר על כרחך שלא ממין הגוף הראשון ואפילו שניהם צדיקים:</w:t>
      </w:r>
    </w:p>
  </w:footnote>
  <w:footnote w:id="1327">
    <w:p w:rsidR="00A13282" w:rsidRDefault="00A13282">
      <w:pPr>
        <w:pStyle w:val="a5"/>
        <w:rPr>
          <w:rtl/>
        </w:rPr>
      </w:pPr>
      <w:r>
        <w:rPr>
          <w:rStyle w:val="a7"/>
          <w:rtl/>
        </w:rPr>
        <w:footnoteRef/>
      </w:r>
      <w:r>
        <w:rPr>
          <w:rtl/>
        </w:rPr>
        <w:t xml:space="preserve"> </w:t>
      </w:r>
      <w:r>
        <w:rPr>
          <w:b/>
          <w:bCs/>
          <w:rtl/>
        </w:rPr>
        <w:t>איהו רזא דצדיק כו'.</w:t>
      </w:r>
      <w:r>
        <w:rPr>
          <w:rtl/>
        </w:rPr>
        <w:t xml:space="preserve"> רוצה לומר אם היה בגוף ראשון רשע ועכשיו צדיק - הוא צדיק ורע לו. שמשלמין לו על גלגול ראשון, ולהיפך - רשע וטוב לו:</w:t>
      </w:r>
    </w:p>
  </w:footnote>
  <w:footnote w:id="1328">
    <w:p w:rsidR="00A13282" w:rsidRDefault="00A13282">
      <w:pPr>
        <w:pStyle w:val="a5"/>
        <w:rPr>
          <w:rtl/>
        </w:rPr>
      </w:pPr>
      <w:r>
        <w:rPr>
          <w:rStyle w:val="a7"/>
          <w:rtl/>
        </w:rPr>
        <w:footnoteRef/>
      </w:r>
      <w:r>
        <w:rPr>
          <w:rtl/>
        </w:rPr>
        <w:t xml:space="preserve"> </w:t>
      </w:r>
      <w:r>
        <w:rPr>
          <w:b/>
          <w:bCs/>
          <w:rtl/>
        </w:rPr>
        <w:t>אבל אם המיר כו'.</w:t>
      </w:r>
      <w:r>
        <w:rPr>
          <w:rtl/>
        </w:rPr>
        <w:t xml:space="preserve"> רוצה לומר דבגלגולין יש צדיק ורשע, רשע וצדיק, כנ"ל. אבל במצות יבום באשתו של תלמיד חכם לא יהיה אלא קודש בקודש, שתלמיד חכם היה ראוי לבא וממירין אותו תמורת התלמיד חכם כנ"ל וזה לא ימיר כו' והיה הוא כו':</w:t>
      </w:r>
    </w:p>
  </w:footnote>
  <w:footnote w:id="1329">
    <w:p w:rsidR="00A13282" w:rsidRDefault="00A13282">
      <w:pPr>
        <w:pStyle w:val="a5"/>
        <w:rPr>
          <w:rtl/>
        </w:rPr>
      </w:pPr>
      <w:r>
        <w:rPr>
          <w:rStyle w:val="a7"/>
          <w:rtl/>
        </w:rPr>
        <w:footnoteRef/>
      </w:r>
      <w:r>
        <w:rPr>
          <w:rtl/>
        </w:rPr>
        <w:t xml:space="preserve"> </w:t>
      </w:r>
      <w:r>
        <w:rPr>
          <w:b/>
          <w:bCs/>
          <w:rtl/>
        </w:rPr>
        <w:t>וכד אשכחת אתר.</w:t>
      </w:r>
      <w:r>
        <w:rPr>
          <w:rtl/>
        </w:rPr>
        <w:t xml:space="preserve"> רוצה לומר וזה שילוח היונה שלשה פעמים מן התיבה:</w:t>
      </w:r>
    </w:p>
  </w:footnote>
  <w:footnote w:id="1330">
    <w:p w:rsidR="00A13282" w:rsidRDefault="00A13282">
      <w:pPr>
        <w:pStyle w:val="a5"/>
        <w:rPr>
          <w:rtl/>
        </w:rPr>
      </w:pPr>
      <w:r>
        <w:rPr>
          <w:rStyle w:val="a7"/>
          <w:rtl/>
        </w:rPr>
        <w:footnoteRef/>
      </w:r>
      <w:r>
        <w:rPr>
          <w:rtl/>
        </w:rPr>
        <w:t xml:space="preserve"> </w:t>
      </w:r>
      <w:r>
        <w:rPr>
          <w:b/>
          <w:bCs/>
          <w:rtl/>
        </w:rPr>
        <w:t>ודרור קן לה.</w:t>
      </w:r>
      <w:r>
        <w:rPr>
          <w:rtl/>
        </w:rPr>
        <w:t xml:space="preserve"> רוצה לומר קן של הדרור שהן ו"ק:</w:t>
      </w:r>
    </w:p>
  </w:footnote>
  <w:footnote w:id="1331">
    <w:p w:rsidR="00A13282" w:rsidRDefault="00A13282">
      <w:pPr>
        <w:pStyle w:val="a5"/>
        <w:rPr>
          <w:rtl/>
        </w:rPr>
      </w:pPr>
      <w:r>
        <w:rPr>
          <w:rStyle w:val="a7"/>
          <w:rtl/>
        </w:rPr>
        <w:footnoteRef/>
      </w:r>
      <w:r>
        <w:rPr>
          <w:rtl/>
        </w:rPr>
        <w:t xml:space="preserve"> </w:t>
      </w:r>
      <w:r>
        <w:rPr>
          <w:b/>
          <w:bCs/>
          <w:rtl/>
        </w:rPr>
        <w:t>וגלגולי' דיליה את מזבחותיך ה' צבאות.</w:t>
      </w:r>
      <w:r>
        <w:rPr>
          <w:rtl/>
        </w:rPr>
        <w:t xml:space="preserve"> רוצה לומר דאז הוא נשמתא, מסטרא דילה, דזה מזבחותיך - שני מזבחות, עד מזבח הפנימי שהוא בינה, ושם השם צבאות כידוע:</w:t>
      </w:r>
    </w:p>
  </w:footnote>
  <w:footnote w:id="1332">
    <w:p w:rsidR="00A13282" w:rsidRDefault="00A13282">
      <w:pPr>
        <w:pStyle w:val="a5"/>
        <w:rPr>
          <w:rtl/>
        </w:rPr>
      </w:pPr>
      <w:r>
        <w:rPr>
          <w:rStyle w:val="a7"/>
          <w:rtl/>
        </w:rPr>
        <w:footnoteRef/>
      </w:r>
      <w:r>
        <w:rPr>
          <w:rtl/>
        </w:rPr>
        <w:t xml:space="preserve"> </w:t>
      </w:r>
      <w:r>
        <w:rPr>
          <w:b/>
          <w:bCs/>
          <w:rtl/>
        </w:rPr>
        <w:t>האם לרבות נשמתא כו'.</w:t>
      </w:r>
      <w:r>
        <w:rPr>
          <w:rtl/>
        </w:rPr>
        <w:t xml:space="preserve"> שהיא אם של רוח ונפש כידוע:</w:t>
      </w:r>
    </w:p>
  </w:footnote>
  <w:footnote w:id="1333">
    <w:p w:rsidR="00A13282" w:rsidRDefault="00A13282">
      <w:pPr>
        <w:pStyle w:val="a5"/>
        <w:rPr>
          <w:rtl/>
        </w:rPr>
      </w:pPr>
      <w:r>
        <w:rPr>
          <w:rStyle w:val="a7"/>
          <w:rtl/>
        </w:rPr>
        <w:footnoteRef/>
      </w:r>
      <w:r>
        <w:rPr>
          <w:rtl/>
        </w:rPr>
        <w:t xml:space="preserve"> </w:t>
      </w:r>
      <w:r>
        <w:rPr>
          <w:b/>
          <w:bCs/>
          <w:rtl/>
        </w:rPr>
        <w:t>דאתמר בה כו'.</w:t>
      </w:r>
      <w:r>
        <w:rPr>
          <w:rtl/>
        </w:rPr>
        <w:t xml:space="preserve"> כידוע בעת שהאדם חוטא מסתלק הנשמה ולא נשאר אלא רוח ונפש:</w:t>
      </w:r>
    </w:p>
  </w:footnote>
  <w:footnote w:id="1334">
    <w:p w:rsidR="00A13282" w:rsidRDefault="00A13282">
      <w:pPr>
        <w:pStyle w:val="a5"/>
        <w:rPr>
          <w:rtl/>
        </w:rPr>
      </w:pPr>
      <w:r>
        <w:rPr>
          <w:rStyle w:val="a7"/>
          <w:rtl/>
        </w:rPr>
        <w:footnoteRef/>
      </w:r>
      <w:r>
        <w:rPr>
          <w:rtl/>
        </w:rPr>
        <w:t xml:space="preserve"> </w:t>
      </w:r>
      <w:r>
        <w:rPr>
          <w:b/>
          <w:bCs/>
          <w:rtl/>
        </w:rPr>
        <w:t>את לרבות כו'.</w:t>
      </w:r>
      <w:r>
        <w:rPr>
          <w:rtl/>
        </w:rPr>
        <w:t xml:space="preserve"> רוצה לומר שלא תטעה שהאם היא כלולה באלו שני שלוחין כמו שכתוב שלח תשלח את האם לכך נאמר את - שלוח שלישי:</w:t>
      </w:r>
    </w:p>
  </w:footnote>
  <w:footnote w:id="1335">
    <w:p w:rsidR="00A13282" w:rsidRDefault="00A13282">
      <w:pPr>
        <w:pStyle w:val="a5"/>
        <w:rPr>
          <w:rtl/>
        </w:rPr>
      </w:pPr>
      <w:r>
        <w:rPr>
          <w:rStyle w:val="a7"/>
          <w:rtl/>
        </w:rPr>
        <w:footnoteRef/>
      </w:r>
      <w:r>
        <w:rPr>
          <w:rtl/>
        </w:rPr>
        <w:t xml:space="preserve"> </w:t>
      </w:r>
      <w:r>
        <w:rPr>
          <w:b/>
          <w:bCs/>
          <w:rtl/>
        </w:rPr>
        <w:t>ובג"ד.</w:t>
      </w:r>
      <w:r>
        <w:rPr>
          <w:rtl/>
        </w:rPr>
        <w:t xml:space="preserve"> חוזר למעלה דיהיב לון נפשין כו':</w:t>
      </w:r>
    </w:p>
  </w:footnote>
  <w:footnote w:id="1336">
    <w:p w:rsidR="00A13282" w:rsidRDefault="00A13282">
      <w:pPr>
        <w:pStyle w:val="a5"/>
        <w:rPr>
          <w:rtl/>
        </w:rPr>
      </w:pPr>
      <w:r>
        <w:rPr>
          <w:rStyle w:val="a7"/>
          <w:rtl/>
        </w:rPr>
        <w:footnoteRef/>
      </w:r>
      <w:r>
        <w:rPr>
          <w:rtl/>
        </w:rPr>
        <w:t xml:space="preserve"> </w:t>
      </w:r>
      <w:r>
        <w:rPr>
          <w:b/>
          <w:bCs/>
          <w:rtl/>
        </w:rPr>
        <w:t>ואתמר בהון גם כו'.</w:t>
      </w:r>
      <w:r>
        <w:rPr>
          <w:rtl/>
        </w:rPr>
        <w:t xml:space="preserve"> רוצה לומר בנר"ן שלו, שלא יצטרך לבוא בגלגול:</w:t>
      </w:r>
    </w:p>
  </w:footnote>
  <w:footnote w:id="1337">
    <w:p w:rsidR="00A13282" w:rsidRDefault="00A13282">
      <w:pPr>
        <w:pStyle w:val="a5"/>
        <w:rPr>
          <w:rtl/>
        </w:rPr>
      </w:pPr>
      <w:r>
        <w:rPr>
          <w:rStyle w:val="a7"/>
          <w:rtl/>
        </w:rPr>
        <w:footnoteRef/>
      </w:r>
      <w:r>
        <w:rPr>
          <w:rtl/>
        </w:rPr>
        <w:t xml:space="preserve"> </w:t>
      </w:r>
      <w:r>
        <w:rPr>
          <w:b/>
          <w:bCs/>
          <w:rtl/>
        </w:rPr>
        <w:t>דבמדה כו'.</w:t>
      </w:r>
      <w:r>
        <w:rPr>
          <w:rtl/>
        </w:rPr>
        <w:t xml:space="preserve"> דבקבלת אורחין - אושפיזין הנ"ל, דמקבלין לנר"ן שלו:</w:t>
      </w:r>
    </w:p>
  </w:footnote>
  <w:footnote w:id="1338">
    <w:p w:rsidR="00A13282" w:rsidRDefault="00A13282">
      <w:pPr>
        <w:pStyle w:val="a5"/>
        <w:rPr>
          <w:rtl/>
        </w:rPr>
      </w:pPr>
      <w:r>
        <w:rPr>
          <w:rStyle w:val="a7"/>
          <w:rtl/>
        </w:rPr>
        <w:footnoteRef/>
      </w:r>
      <w:r>
        <w:rPr>
          <w:rtl/>
        </w:rPr>
        <w:t xml:space="preserve"> </w:t>
      </w:r>
      <w:r>
        <w:rPr>
          <w:rFonts w:ascii="Arial"/>
          <w:b/>
          <w:bCs/>
          <w:sz w:val="38"/>
          <w:rtl/>
        </w:rPr>
        <w:t>ובגיניה וקראתם כו'.</w:t>
      </w:r>
      <w:r>
        <w:rPr>
          <w:rFonts w:ascii="Arial"/>
          <w:sz w:val="38"/>
          <w:rtl/>
        </w:rPr>
        <w:t xml:space="preserve"> שיגלו ע"י לימוד הזוהר:</w:t>
      </w:r>
    </w:p>
  </w:footnote>
  <w:footnote w:id="1339">
    <w:p w:rsidR="00A13282" w:rsidRDefault="00A13282">
      <w:pPr>
        <w:pStyle w:val="a5"/>
        <w:rPr>
          <w:rtl/>
        </w:rPr>
      </w:pPr>
      <w:r>
        <w:rPr>
          <w:rStyle w:val="a7"/>
          <w:rtl/>
        </w:rPr>
        <w:footnoteRef/>
      </w:r>
      <w:r>
        <w:rPr>
          <w:rtl/>
        </w:rPr>
        <w:t xml:space="preserve"> </w:t>
      </w:r>
      <w:r>
        <w:rPr>
          <w:rFonts w:ascii="Arial"/>
          <w:b/>
          <w:bCs/>
          <w:sz w:val="38"/>
          <w:rtl/>
        </w:rPr>
        <w:t>פתח אליהו כו'.</w:t>
      </w:r>
      <w:r>
        <w:rPr>
          <w:rFonts w:ascii="Arial"/>
          <w:sz w:val="38"/>
          <w:rtl/>
        </w:rPr>
        <w:t xml:space="preserve"> נראה לי דג' תיקונין כאן: ירא בושת א', ירא שמים ב', ראש בית ג'. והם תיקון ו' ז' ח'. כי תיקון ו' לא נתפרש עדיין כלל מלת בראשית, כי כל זה היה הקדמה שאמר לעיל (דף יח ע"ב) מיד דנפיק כו'. ותיקון השביעי שייך לששי. ובתיקון ח', שני תיקונים בו: ח' וט'. וזה שאומר </w:t>
      </w:r>
      <w:r>
        <w:rPr>
          <w:rFonts w:ascii="Arial"/>
          <w:b/>
          <w:bCs/>
          <w:sz w:val="38"/>
          <w:rtl/>
        </w:rPr>
        <w:t>ירא בשת ודא בראשית יהא לך כו' ודא בראשית.</w:t>
      </w:r>
      <w:r>
        <w:rPr>
          <w:rFonts w:ascii="Arial"/>
          <w:sz w:val="38"/>
          <w:rtl/>
        </w:rPr>
        <w:t xml:space="preserve"> רוצה לומר, של ירא שמים. והולך ומפרש שניהם. בתחלה מפרש הראשון וזה שאומר בראשית ירא בשת וי ליה כו':</w:t>
      </w:r>
    </w:p>
  </w:footnote>
  <w:footnote w:id="1340">
    <w:p w:rsidR="00A13282" w:rsidRDefault="00A13282">
      <w:pPr>
        <w:pStyle w:val="a5"/>
        <w:rPr>
          <w:rtl/>
        </w:rPr>
      </w:pPr>
      <w:r>
        <w:rPr>
          <w:rStyle w:val="a7"/>
          <w:rtl/>
        </w:rPr>
        <w:footnoteRef/>
      </w:r>
      <w:r>
        <w:rPr>
          <w:rtl/>
        </w:rPr>
        <w:t xml:space="preserve"> </w:t>
      </w:r>
      <w:r>
        <w:rPr>
          <w:rFonts w:ascii="Arial"/>
          <w:b/>
          <w:bCs/>
          <w:sz w:val="38"/>
          <w:rtl/>
        </w:rPr>
        <w:t>נחש כו' גיהנם.</w:t>
      </w:r>
      <w:r>
        <w:rPr>
          <w:rFonts w:ascii="Arial"/>
          <w:sz w:val="38"/>
          <w:rtl/>
        </w:rPr>
        <w:t xml:space="preserve"> נגד שני הנ"ל - שני בתים. והן ביתא והיכלא דקאמר כאן:</w:t>
      </w:r>
    </w:p>
  </w:footnote>
  <w:footnote w:id="1341">
    <w:p w:rsidR="00A13282" w:rsidRDefault="00A13282">
      <w:pPr>
        <w:pStyle w:val="a5"/>
        <w:rPr>
          <w:rFonts w:ascii="Arial"/>
          <w:sz w:val="38"/>
          <w:rtl/>
        </w:rPr>
      </w:pPr>
      <w:r>
        <w:rPr>
          <w:rStyle w:val="a7"/>
          <w:rtl/>
        </w:rPr>
        <w:footnoteRef/>
      </w:r>
      <w:r>
        <w:rPr>
          <w:rtl/>
        </w:rPr>
        <w:t xml:space="preserve"> </w:t>
      </w:r>
      <w:r>
        <w:rPr>
          <w:rFonts w:ascii="Arial"/>
          <w:b/>
          <w:bCs/>
          <w:sz w:val="38"/>
          <w:rtl/>
        </w:rPr>
        <w:t>בחלל דילה כו'.</w:t>
      </w:r>
      <w:r>
        <w:rPr>
          <w:rFonts w:ascii="Arial"/>
          <w:sz w:val="38"/>
          <w:rtl/>
        </w:rPr>
        <w:t xml:space="preserve"> רוצה לומר ג' ראשונות של בריאה:</w:t>
      </w:r>
    </w:p>
    <w:p w:rsidR="00A13282" w:rsidRDefault="00A13282">
      <w:pPr>
        <w:pStyle w:val="a5"/>
        <w:rPr>
          <w:rtl/>
        </w:rPr>
      </w:pPr>
    </w:p>
  </w:footnote>
  <w:footnote w:id="1342">
    <w:p w:rsidR="00A13282" w:rsidRDefault="00A13282">
      <w:pPr>
        <w:pStyle w:val="a5"/>
        <w:rPr>
          <w:rtl/>
        </w:rPr>
      </w:pPr>
      <w:r>
        <w:rPr>
          <w:rStyle w:val="a7"/>
          <w:rtl/>
        </w:rPr>
        <w:footnoteRef/>
      </w:r>
      <w:r>
        <w:rPr>
          <w:rtl/>
        </w:rPr>
        <w:t xml:space="preserve"> </w:t>
      </w:r>
      <w:r>
        <w:rPr>
          <w:rFonts w:ascii="Arial"/>
          <w:b/>
          <w:bCs/>
          <w:sz w:val="38"/>
          <w:rtl/>
        </w:rPr>
        <w:t>תיקון י'.</w:t>
      </w:r>
      <w:r>
        <w:rPr>
          <w:rFonts w:ascii="Arial"/>
          <w:sz w:val="38"/>
          <w:rtl/>
        </w:rPr>
        <w:t xml:space="preserve"> </w:t>
      </w:r>
      <w:r>
        <w:rPr>
          <w:rFonts w:ascii="Arial"/>
          <w:b/>
          <w:bCs/>
          <w:sz w:val="38"/>
          <w:rtl/>
        </w:rPr>
        <w:t>שיר תאב.</w:t>
      </w:r>
      <w:r>
        <w:rPr>
          <w:rFonts w:ascii="Arial"/>
          <w:sz w:val="38"/>
          <w:rtl/>
        </w:rPr>
        <w:t xml:space="preserve"> קאי לעיל, ובההוא זמנא כו' באבוד רשעים רנה, כמו שמפרש והולך והאי שיר מתי יתער כו':</w:t>
      </w:r>
    </w:p>
  </w:footnote>
  <w:footnote w:id="1343">
    <w:p w:rsidR="00A13282" w:rsidRDefault="00A13282">
      <w:pPr>
        <w:pStyle w:val="a5"/>
        <w:rPr>
          <w:rtl/>
        </w:rPr>
      </w:pPr>
      <w:r>
        <w:rPr>
          <w:rStyle w:val="a7"/>
          <w:rtl/>
        </w:rPr>
        <w:footnoteRef/>
      </w:r>
      <w:r>
        <w:rPr>
          <w:rtl/>
        </w:rPr>
        <w:t xml:space="preserve"> </w:t>
      </w:r>
      <w:r>
        <w:rPr>
          <w:rFonts w:ascii="Arial"/>
          <w:b/>
          <w:bCs/>
          <w:sz w:val="38"/>
          <w:rtl/>
        </w:rPr>
        <w:t>והאי איהו שיר כו'.</w:t>
      </w:r>
      <w:r>
        <w:rPr>
          <w:rFonts w:ascii="Arial"/>
          <w:sz w:val="38"/>
          <w:rtl/>
        </w:rPr>
        <w:t xml:space="preserve"> רוצה לומר שההוא שיר יהיה בדרגא דבינה שהיא עטרת תפארת על כל ז’ ספירות:</w:t>
      </w:r>
    </w:p>
  </w:footnote>
  <w:footnote w:id="1344">
    <w:p w:rsidR="00A13282" w:rsidRDefault="00A13282">
      <w:pPr>
        <w:pStyle w:val="a5"/>
        <w:rPr>
          <w:rtl/>
        </w:rPr>
      </w:pPr>
      <w:r>
        <w:rPr>
          <w:rStyle w:val="a7"/>
          <w:rtl/>
        </w:rPr>
        <w:footnoteRef/>
      </w:r>
      <w:r>
        <w:rPr>
          <w:rtl/>
        </w:rPr>
        <w:t xml:space="preserve"> </w:t>
      </w:r>
      <w:r>
        <w:rPr>
          <w:rFonts w:ascii="Arial"/>
          <w:b/>
          <w:bCs/>
          <w:sz w:val="38"/>
          <w:rtl/>
        </w:rPr>
        <w:t>למלך כו'.</w:t>
      </w:r>
      <w:r>
        <w:rPr>
          <w:rFonts w:ascii="Arial"/>
          <w:sz w:val="38"/>
          <w:rtl/>
        </w:rPr>
        <w:t xml:space="preserve"> בינה:</w:t>
      </w:r>
    </w:p>
  </w:footnote>
  <w:footnote w:id="1345">
    <w:p w:rsidR="00A13282" w:rsidRDefault="00A13282">
      <w:pPr>
        <w:pStyle w:val="a5"/>
        <w:rPr>
          <w:rtl/>
        </w:rPr>
      </w:pPr>
      <w:r>
        <w:rPr>
          <w:rStyle w:val="a7"/>
          <w:rtl/>
        </w:rPr>
        <w:footnoteRef/>
      </w:r>
      <w:r>
        <w:rPr>
          <w:rtl/>
        </w:rPr>
        <w:t xml:space="preserve"> </w:t>
      </w:r>
      <w:r>
        <w:rPr>
          <w:rFonts w:ascii="Arial"/>
          <w:b/>
          <w:bCs/>
          <w:sz w:val="38"/>
          <w:rtl/>
        </w:rPr>
        <w:t>באז סליק כו'.</w:t>
      </w:r>
      <w:r>
        <w:rPr>
          <w:rFonts w:ascii="Arial"/>
          <w:sz w:val="38"/>
          <w:rtl/>
        </w:rPr>
        <w:t xml:space="preserve"> רוצה לומר בינה, שנקראת אז כידוע, א' על ז', שכהן גדול ביום הכפורים היה אומר אחת ושבע כידוע:</w:t>
      </w:r>
    </w:p>
  </w:footnote>
  <w:footnote w:id="1346">
    <w:p w:rsidR="00A13282" w:rsidRDefault="00A13282">
      <w:pPr>
        <w:pStyle w:val="a5"/>
        <w:rPr>
          <w:rtl/>
        </w:rPr>
      </w:pPr>
      <w:r>
        <w:rPr>
          <w:rStyle w:val="a7"/>
          <w:rtl/>
        </w:rPr>
        <w:footnoteRef/>
      </w:r>
      <w:r>
        <w:rPr>
          <w:rFonts w:ascii="Arial"/>
          <w:sz w:val="38"/>
          <w:rtl/>
        </w:rPr>
        <w:t xml:space="preserve"> </w:t>
      </w:r>
      <w:r>
        <w:rPr>
          <w:rFonts w:ascii="Arial"/>
          <w:b/>
          <w:bCs/>
          <w:sz w:val="38"/>
          <w:rtl/>
        </w:rPr>
        <w:t>אבל שיר כו'.</w:t>
      </w:r>
      <w:r>
        <w:rPr>
          <w:rFonts w:ascii="Arial"/>
          <w:sz w:val="38"/>
          <w:rtl/>
        </w:rPr>
        <w:t xml:space="preserve"> רוצה לומר, כל זה שאמרנו בדרגא דבינה דשם סליק השיר אבל שיר עצמו הוא במלכות שנקראת חכמת שלמה, של יסוד שנקרא שלמה, ומשם נקראת חכמה זעירא ורוצה לומר זה שאמר אשר לשלמה:</w:t>
      </w:r>
    </w:p>
  </w:footnote>
  <w:footnote w:id="1347">
    <w:p w:rsidR="00A13282" w:rsidRDefault="00A13282">
      <w:pPr>
        <w:pStyle w:val="a5"/>
        <w:rPr>
          <w:rtl/>
        </w:rPr>
      </w:pPr>
      <w:r>
        <w:rPr>
          <w:rStyle w:val="a7"/>
          <w:rtl/>
        </w:rPr>
        <w:footnoteRef/>
      </w:r>
      <w:r>
        <w:rPr>
          <w:rtl/>
        </w:rPr>
        <w:t xml:space="preserve"> </w:t>
      </w:r>
      <w:r>
        <w:rPr>
          <w:rFonts w:ascii="Arial"/>
          <w:b/>
          <w:bCs/>
          <w:sz w:val="38"/>
          <w:rtl/>
        </w:rPr>
        <w:t>בההוא זמנא ותרב כו'.</w:t>
      </w:r>
      <w:r>
        <w:rPr>
          <w:rFonts w:ascii="Arial"/>
          <w:sz w:val="38"/>
          <w:rtl/>
        </w:rPr>
        <w:t xml:space="preserve"> דסליק למעלה למעלה כנ"ל וכמו שמפרש והולך, ונקראת שיר מסטרא דחכמה עלאה כמו שמפרש והולך כד סלקא לגבי י' כו':</w:t>
      </w:r>
    </w:p>
  </w:footnote>
  <w:footnote w:id="1348">
    <w:p w:rsidR="00A13282" w:rsidRDefault="00A13282">
      <w:pPr>
        <w:pStyle w:val="a5"/>
        <w:rPr>
          <w:rtl/>
        </w:rPr>
      </w:pPr>
      <w:r>
        <w:rPr>
          <w:rStyle w:val="a7"/>
          <w:rtl/>
        </w:rPr>
        <w:footnoteRef/>
      </w:r>
      <w:r>
        <w:rPr>
          <w:rtl/>
        </w:rPr>
        <w:t xml:space="preserve"> </w:t>
      </w:r>
      <w:r>
        <w:rPr>
          <w:rFonts w:ascii="Arial"/>
          <w:b/>
          <w:bCs/>
          <w:sz w:val="38"/>
          <w:rtl/>
        </w:rPr>
        <w:t>ומאן סליק כו'.</w:t>
      </w:r>
      <w:r>
        <w:rPr>
          <w:rFonts w:ascii="Arial"/>
          <w:sz w:val="38"/>
          <w:rtl/>
        </w:rPr>
        <w:t xml:space="preserve"> כמו שאומר בתיקוני זוהר חדש דהוא יסלק לה לעתיד עיין שם:</w:t>
      </w:r>
    </w:p>
  </w:footnote>
  <w:footnote w:id="1349">
    <w:p w:rsidR="00A13282" w:rsidRDefault="00A13282">
      <w:pPr>
        <w:pStyle w:val="a5"/>
        <w:rPr>
          <w:rtl/>
        </w:rPr>
      </w:pPr>
      <w:r>
        <w:rPr>
          <w:rStyle w:val="a7"/>
          <w:rtl/>
        </w:rPr>
        <w:footnoteRef/>
      </w:r>
      <w:r>
        <w:rPr>
          <w:rtl/>
        </w:rPr>
        <w:t xml:space="preserve"> </w:t>
      </w:r>
      <w:r>
        <w:rPr>
          <w:rFonts w:ascii="Arial"/>
          <w:b/>
          <w:bCs/>
          <w:sz w:val="38"/>
          <w:rtl/>
        </w:rPr>
        <w:t>ורזא דמלה כו'.</w:t>
      </w:r>
      <w:r>
        <w:rPr>
          <w:rFonts w:ascii="Arial"/>
          <w:sz w:val="38"/>
          <w:rtl/>
        </w:rPr>
        <w:t xml:space="preserve"> כמו שמפרש והולך שלכן נאמר ישיר - דסליק לה לי' עילאה:</w:t>
      </w:r>
    </w:p>
  </w:footnote>
  <w:footnote w:id="1350">
    <w:p w:rsidR="00A13282" w:rsidRDefault="00A13282">
      <w:pPr>
        <w:pStyle w:val="a5"/>
        <w:rPr>
          <w:rtl/>
        </w:rPr>
      </w:pPr>
      <w:r>
        <w:rPr>
          <w:rStyle w:val="a7"/>
          <w:rtl/>
        </w:rPr>
        <w:footnoteRef/>
      </w:r>
      <w:r>
        <w:rPr>
          <w:rtl/>
        </w:rPr>
        <w:t xml:space="preserve"> </w:t>
      </w:r>
      <w:r>
        <w:rPr>
          <w:rFonts w:ascii="Arial"/>
          <w:b/>
          <w:bCs/>
          <w:sz w:val="38"/>
          <w:rtl/>
        </w:rPr>
        <w:t>באן כו' בתלשא.</w:t>
      </w:r>
      <w:r>
        <w:rPr>
          <w:rFonts w:ascii="Arial"/>
          <w:sz w:val="38"/>
          <w:rtl/>
        </w:rPr>
        <w:t xml:space="preserve"> רוצה לומר, התלישא שעל גבי תיבת משה - שם סליק לה, כמו שמפרש והולך:</w:t>
      </w:r>
    </w:p>
  </w:footnote>
  <w:footnote w:id="1351">
    <w:p w:rsidR="00A13282" w:rsidRDefault="00A13282">
      <w:pPr>
        <w:pStyle w:val="a5"/>
        <w:rPr>
          <w:rtl/>
        </w:rPr>
      </w:pPr>
      <w:r>
        <w:rPr>
          <w:rStyle w:val="a7"/>
          <w:rtl/>
        </w:rPr>
        <w:footnoteRef/>
      </w:r>
      <w:r>
        <w:rPr>
          <w:rtl/>
        </w:rPr>
        <w:t xml:space="preserve"> </w:t>
      </w:r>
      <w:r>
        <w:rPr>
          <w:rFonts w:ascii="Arial"/>
          <w:b/>
          <w:bCs/>
          <w:sz w:val="38"/>
          <w:rtl/>
        </w:rPr>
        <w:t>האי תגא כו'.</w:t>
      </w:r>
      <w:r>
        <w:rPr>
          <w:rFonts w:ascii="Arial"/>
          <w:sz w:val="38"/>
          <w:rtl/>
        </w:rPr>
        <w:t xml:space="preserve"> רוצה לומר שצורת התלישא הוא ו' ועל גבי ו' טבעת כמין י', וסליק לה ליו"ד שעל גבי ו' והוא י' דישיר:</w:t>
      </w:r>
    </w:p>
  </w:footnote>
  <w:footnote w:id="1352">
    <w:p w:rsidR="00A13282" w:rsidRDefault="00A13282">
      <w:pPr>
        <w:pStyle w:val="a5"/>
        <w:rPr>
          <w:rtl/>
        </w:rPr>
      </w:pPr>
      <w:r>
        <w:rPr>
          <w:rStyle w:val="a7"/>
          <w:rtl/>
        </w:rPr>
        <w:footnoteRef/>
      </w:r>
      <w:r>
        <w:rPr>
          <w:rtl/>
        </w:rPr>
        <w:t xml:space="preserve"> </w:t>
      </w:r>
      <w:r>
        <w:rPr>
          <w:rFonts w:ascii="Arial"/>
          <w:b/>
          <w:bCs/>
          <w:sz w:val="38"/>
          <w:rtl/>
        </w:rPr>
        <w:t>ותקום מן ה' דמשה ושריא כו'.</w:t>
      </w:r>
      <w:r>
        <w:rPr>
          <w:rFonts w:ascii="Arial"/>
          <w:sz w:val="38"/>
          <w:rtl/>
        </w:rPr>
        <w:t xml:space="preserve"> רוצה לומר שהתלישא עומד על ה' דמשה, בסוף האות כידוע, וטבעת שבראשה נוטה לשמאל על גבי ו' דובני ישראל, ורוצה לומר דה' דמשה הוא ה' תתאה כידוע, ו' הוא עמודא דאמצעיתא, ונעשית ראש הי' רוצה לומר שסלקא לי' על גבי ו', ונעשית ז'. וזהו תלישא - י' על גבי ו' והוא בחכמה עילאה:</w:t>
      </w:r>
    </w:p>
  </w:footnote>
  <w:footnote w:id="1353">
    <w:p w:rsidR="00A13282" w:rsidRDefault="00A13282">
      <w:pPr>
        <w:pStyle w:val="a5"/>
        <w:rPr>
          <w:rtl/>
        </w:rPr>
      </w:pPr>
      <w:r>
        <w:rPr>
          <w:rStyle w:val="a7"/>
          <w:rtl/>
        </w:rPr>
        <w:footnoteRef/>
      </w:r>
      <w:r>
        <w:rPr>
          <w:rtl/>
        </w:rPr>
        <w:t xml:space="preserve"> </w:t>
      </w:r>
      <w:r>
        <w:rPr>
          <w:rFonts w:ascii="Arial"/>
          <w:b/>
          <w:bCs/>
          <w:sz w:val="38"/>
          <w:rtl/>
        </w:rPr>
        <w:t>וסליק לה עד אתר כו'.</w:t>
      </w:r>
      <w:r>
        <w:rPr>
          <w:rFonts w:ascii="Arial"/>
          <w:sz w:val="38"/>
          <w:rtl/>
        </w:rPr>
        <w:t xml:space="preserve"> רוצה לומר לחכמה, דמשם אתנטלת ולשם סלקת ע"י משה, כמו שאומר בתיקוני זוהר חדש, דקירטא דילך סלקא לאתר עילאה כו', עיין שם ועיין לקמן נ"ד ב'. ואמר דאתגזרת מתמן, מלשון הפסוק, עד די התגזרת אבן כו'. וזהו תלישא - לשון התגזרת:</w:t>
      </w:r>
    </w:p>
  </w:footnote>
  <w:footnote w:id="1354">
    <w:p w:rsidR="00A13282" w:rsidRDefault="00A13282">
      <w:pPr>
        <w:pStyle w:val="a5"/>
        <w:rPr>
          <w:rtl/>
        </w:rPr>
      </w:pPr>
      <w:r>
        <w:rPr>
          <w:rStyle w:val="a7"/>
          <w:rtl/>
        </w:rPr>
        <w:footnoteRef/>
      </w:r>
      <w:r>
        <w:rPr>
          <w:rtl/>
        </w:rPr>
        <w:t xml:space="preserve"> </w:t>
      </w:r>
      <w:r>
        <w:rPr>
          <w:rFonts w:ascii="Arial"/>
          <w:b/>
          <w:bCs/>
          <w:sz w:val="38"/>
          <w:rtl/>
        </w:rPr>
        <w:t>וכד נחית לגבי ה'.</w:t>
      </w:r>
      <w:r>
        <w:rPr>
          <w:rFonts w:ascii="Arial"/>
          <w:sz w:val="38"/>
          <w:rtl/>
        </w:rPr>
        <w:t xml:space="preserve"> רוצה לומר ה' תתאה, שיו"ד עילאה וה' תתאה הן תעלומות חכמה, חכמה עילאה וחכמה תתאה כידוע שמשם השירים:</w:t>
      </w:r>
    </w:p>
  </w:footnote>
  <w:footnote w:id="1355">
    <w:p w:rsidR="00A13282" w:rsidRDefault="00A13282">
      <w:pPr>
        <w:pStyle w:val="a5"/>
        <w:rPr>
          <w:rtl/>
        </w:rPr>
      </w:pPr>
      <w:r>
        <w:rPr>
          <w:rStyle w:val="a7"/>
          <w:rtl/>
        </w:rPr>
        <w:footnoteRef/>
      </w:r>
      <w:r>
        <w:rPr>
          <w:rtl/>
        </w:rPr>
        <w:t xml:space="preserve"> </w:t>
      </w:r>
      <w:r>
        <w:rPr>
          <w:rFonts w:ascii="Arial"/>
          <w:b/>
          <w:bCs/>
          <w:sz w:val="38"/>
          <w:rtl/>
        </w:rPr>
        <w:t>הה"ד אז ישיר כו'.</w:t>
      </w:r>
      <w:r>
        <w:rPr>
          <w:rFonts w:ascii="Arial"/>
          <w:sz w:val="38"/>
          <w:rtl/>
        </w:rPr>
        <w:t xml:space="preserve"> רוצה לומר שמשה סליק השירה בה' תתאה, שהיא הזאת, אל אז ישיר:</w:t>
      </w:r>
    </w:p>
  </w:footnote>
  <w:footnote w:id="1356">
    <w:p w:rsidR="00A13282" w:rsidRDefault="00A13282">
      <w:pPr>
        <w:pStyle w:val="a5"/>
        <w:rPr>
          <w:rtl/>
        </w:rPr>
      </w:pPr>
      <w:r>
        <w:rPr>
          <w:rStyle w:val="a7"/>
          <w:rtl/>
        </w:rPr>
        <w:footnoteRef/>
      </w:r>
      <w:r>
        <w:rPr>
          <w:rtl/>
        </w:rPr>
        <w:t xml:space="preserve"> </w:t>
      </w:r>
      <w:r>
        <w:rPr>
          <w:rFonts w:ascii="Arial"/>
          <w:b/>
          <w:bCs/>
          <w:sz w:val="38"/>
          <w:rtl/>
        </w:rPr>
        <w:t>עד אין סוף.</w:t>
      </w:r>
      <w:r>
        <w:rPr>
          <w:rFonts w:ascii="Arial"/>
          <w:sz w:val="38"/>
          <w:rtl/>
        </w:rPr>
        <w:t xml:space="preserve"> רוצה לומר בכתר, דשם נקרא המאציל - אין סוף, כמו שאומר ברעיא מהימנא:</w:t>
      </w:r>
    </w:p>
  </w:footnote>
  <w:footnote w:id="1357">
    <w:p w:rsidR="00A13282" w:rsidRDefault="00A13282">
      <w:pPr>
        <w:pStyle w:val="a5"/>
        <w:rPr>
          <w:rtl/>
        </w:rPr>
      </w:pPr>
      <w:r>
        <w:rPr>
          <w:rStyle w:val="a7"/>
          <w:rtl/>
        </w:rPr>
        <w:footnoteRef/>
      </w:r>
      <w:r>
        <w:rPr>
          <w:rtl/>
        </w:rPr>
        <w:t xml:space="preserve"> </w:t>
      </w:r>
      <w:r>
        <w:rPr>
          <w:rFonts w:ascii="Arial"/>
          <w:b/>
          <w:bCs/>
          <w:sz w:val="38"/>
          <w:rtl/>
        </w:rPr>
        <w:t>דאיהו י' כו'.</w:t>
      </w:r>
      <w:r>
        <w:rPr>
          <w:rFonts w:ascii="Arial"/>
          <w:sz w:val="38"/>
          <w:rtl/>
        </w:rPr>
        <w:t xml:space="preserve"> רוצה לומר שהא' כולל כל הספירות: י' - רישא דא' הוא כתר עליון, כולל שלש ספירות. ו' דא' - עמודא דאמצעיתא, כולל ו"ק. י' תתאה - מלכות. וכשהיא בי', רישא דא', בכתר עליון - היא על גבי ו', עמודא דאמצעיתא, עטרה על רישא. וזה שאומר, ובאן סליקת כו':</w:t>
      </w:r>
    </w:p>
  </w:footnote>
  <w:footnote w:id="1358">
    <w:p w:rsidR="00A13282" w:rsidRDefault="00A13282">
      <w:pPr>
        <w:pStyle w:val="a5"/>
        <w:rPr>
          <w:rtl/>
        </w:rPr>
      </w:pPr>
      <w:r>
        <w:rPr>
          <w:rStyle w:val="a7"/>
          <w:rtl/>
        </w:rPr>
        <w:footnoteRef/>
      </w:r>
      <w:r>
        <w:rPr>
          <w:rtl/>
        </w:rPr>
        <w:t xml:space="preserve"> </w:t>
      </w:r>
      <w:r>
        <w:rPr>
          <w:rFonts w:ascii="Arial"/>
          <w:b/>
          <w:bCs/>
          <w:sz w:val="38"/>
          <w:rtl/>
        </w:rPr>
        <w:t>כד סליקת כו' וכד כו' יחודי'.</w:t>
      </w:r>
      <w:r>
        <w:rPr>
          <w:rFonts w:ascii="Arial"/>
          <w:sz w:val="38"/>
          <w:rtl/>
        </w:rPr>
        <w:t xml:space="preserve"> הן שני יודי"ן של האלף, ו' - עמודא דאמצעיתא:</w:t>
      </w:r>
    </w:p>
  </w:footnote>
  <w:footnote w:id="1359">
    <w:p w:rsidR="00A13282" w:rsidRDefault="00A13282">
      <w:pPr>
        <w:pStyle w:val="a5"/>
        <w:rPr>
          <w:rtl/>
        </w:rPr>
      </w:pPr>
      <w:r>
        <w:rPr>
          <w:rStyle w:val="a7"/>
          <w:rtl/>
        </w:rPr>
        <w:footnoteRef/>
      </w:r>
      <w:r>
        <w:rPr>
          <w:rtl/>
        </w:rPr>
        <w:t xml:space="preserve"> </w:t>
      </w:r>
      <w:r>
        <w:rPr>
          <w:rFonts w:ascii="Arial"/>
          <w:b/>
          <w:bCs/>
          <w:sz w:val="38"/>
          <w:rtl/>
        </w:rPr>
        <w:t>איהי תגא לעילא.</w:t>
      </w:r>
      <w:r>
        <w:rPr>
          <w:rFonts w:ascii="Arial"/>
          <w:sz w:val="38"/>
          <w:rtl/>
        </w:rPr>
        <w:t xml:space="preserve"> רוצה לומר שהתגין הן זיינין, י' על גבי ו' כנ"ל:</w:t>
      </w:r>
    </w:p>
  </w:footnote>
  <w:footnote w:id="1360">
    <w:p w:rsidR="00A13282" w:rsidRDefault="00A13282">
      <w:pPr>
        <w:pStyle w:val="a5"/>
        <w:rPr>
          <w:rtl/>
        </w:rPr>
      </w:pPr>
      <w:r>
        <w:rPr>
          <w:rStyle w:val="a7"/>
          <w:rtl/>
        </w:rPr>
        <w:footnoteRef/>
      </w:r>
      <w:r>
        <w:rPr>
          <w:rtl/>
        </w:rPr>
        <w:t xml:space="preserve"> </w:t>
      </w:r>
      <w:r>
        <w:rPr>
          <w:rFonts w:ascii="Arial"/>
          <w:b/>
          <w:bCs/>
          <w:sz w:val="38"/>
          <w:rtl/>
        </w:rPr>
        <w:t>תגא דס"ת.</w:t>
      </w:r>
      <w:r>
        <w:rPr>
          <w:rFonts w:ascii="Arial"/>
          <w:sz w:val="38"/>
          <w:rtl/>
        </w:rPr>
        <w:t xml:space="preserve"> רוצה לומר שספר תורה הוא ו', עמודא דאמצעיתא, והיא כללא דתגא על גבי ספר תורה:</w:t>
      </w:r>
    </w:p>
  </w:footnote>
  <w:footnote w:id="1361">
    <w:p w:rsidR="00A13282" w:rsidRDefault="00A13282">
      <w:pPr>
        <w:pStyle w:val="a5"/>
        <w:rPr>
          <w:rtl/>
        </w:rPr>
      </w:pPr>
      <w:r>
        <w:rPr>
          <w:rStyle w:val="a7"/>
          <w:rtl/>
        </w:rPr>
        <w:footnoteRef/>
      </w:r>
      <w:r>
        <w:rPr>
          <w:rtl/>
        </w:rPr>
        <w:t xml:space="preserve"> </w:t>
      </w:r>
      <w:r>
        <w:rPr>
          <w:rFonts w:ascii="Arial"/>
          <w:b/>
          <w:bCs/>
          <w:sz w:val="38"/>
          <w:rtl/>
        </w:rPr>
        <w:t>בגינה אתמר כו'.</w:t>
      </w:r>
      <w:r>
        <w:rPr>
          <w:rFonts w:ascii="Arial"/>
          <w:sz w:val="38"/>
          <w:rtl/>
        </w:rPr>
        <w:t xml:space="preserve"> רוצה לומר שהיא כתר תורה, עטרת בעלה, וכל המשתמש בכתר תורה כו' (נדרים סב ע"א) וזהו גם כן ודאשתמש כו':</w:t>
      </w:r>
    </w:p>
  </w:footnote>
  <w:footnote w:id="1362">
    <w:p w:rsidR="00A13282" w:rsidRDefault="00A13282">
      <w:pPr>
        <w:pStyle w:val="a5"/>
        <w:rPr>
          <w:rtl/>
        </w:rPr>
      </w:pPr>
      <w:r>
        <w:rPr>
          <w:rStyle w:val="a7"/>
          <w:rtl/>
        </w:rPr>
        <w:footnoteRef/>
      </w:r>
      <w:r>
        <w:rPr>
          <w:rtl/>
        </w:rPr>
        <w:t xml:space="preserve"> </w:t>
      </w:r>
      <w:r>
        <w:rPr>
          <w:rFonts w:ascii="Arial"/>
          <w:b/>
          <w:bCs/>
          <w:sz w:val="38"/>
          <w:rtl/>
        </w:rPr>
        <w:t>ואיהי נקודה כו'.</w:t>
      </w:r>
      <w:r>
        <w:rPr>
          <w:rFonts w:ascii="Arial"/>
          <w:sz w:val="38"/>
          <w:rtl/>
        </w:rPr>
        <w:t xml:space="preserve"> רוצה לומר שקמץ הוא י' תחת ו', דוגמת י' שתחת ו' של האלף:</w:t>
      </w:r>
    </w:p>
  </w:footnote>
  <w:footnote w:id="1363">
    <w:p w:rsidR="00A13282" w:rsidRDefault="00A13282">
      <w:pPr>
        <w:pStyle w:val="a5"/>
        <w:rPr>
          <w:rtl/>
        </w:rPr>
      </w:pPr>
      <w:r>
        <w:rPr>
          <w:rStyle w:val="a7"/>
          <w:rtl/>
        </w:rPr>
        <w:footnoteRef/>
      </w:r>
      <w:r>
        <w:rPr>
          <w:rtl/>
        </w:rPr>
        <w:t xml:space="preserve"> </w:t>
      </w:r>
      <w:r>
        <w:rPr>
          <w:rFonts w:ascii="Arial"/>
          <w:b/>
          <w:bCs/>
          <w:sz w:val="38"/>
          <w:rtl/>
        </w:rPr>
        <w:t>לעילא איהו כו' לתתא כו'.</w:t>
      </w:r>
      <w:r>
        <w:rPr>
          <w:rFonts w:ascii="Arial"/>
          <w:sz w:val="38"/>
          <w:rtl/>
        </w:rPr>
        <w:t xml:space="preserve"> נותן כלל על כל התגין והנקודות של התורה:</w:t>
      </w:r>
    </w:p>
  </w:footnote>
  <w:footnote w:id="1364">
    <w:p w:rsidR="00A13282" w:rsidRDefault="00A13282">
      <w:pPr>
        <w:pStyle w:val="a5"/>
        <w:rPr>
          <w:rtl/>
        </w:rPr>
      </w:pPr>
      <w:r>
        <w:rPr>
          <w:rStyle w:val="a7"/>
          <w:rtl/>
        </w:rPr>
        <w:footnoteRef/>
      </w:r>
      <w:r>
        <w:rPr>
          <w:rtl/>
        </w:rPr>
        <w:t xml:space="preserve"> </w:t>
      </w:r>
      <w:r>
        <w:rPr>
          <w:rFonts w:ascii="Arial"/>
          <w:b/>
          <w:bCs/>
          <w:sz w:val="38"/>
          <w:rtl/>
        </w:rPr>
        <w:t>כד איהי חיה בינייהו.</w:t>
      </w:r>
      <w:r>
        <w:rPr>
          <w:rFonts w:ascii="Arial"/>
          <w:sz w:val="38"/>
          <w:rtl/>
        </w:rPr>
        <w:t xml:space="preserve"> רוצה לומר בין החיות, כמו שכתוב היא מתהלכת בין החיות:</w:t>
      </w:r>
    </w:p>
  </w:footnote>
  <w:footnote w:id="1365">
    <w:p w:rsidR="00A13282" w:rsidRDefault="00A13282">
      <w:pPr>
        <w:pStyle w:val="a5"/>
        <w:rPr>
          <w:rtl/>
        </w:rPr>
      </w:pPr>
      <w:r>
        <w:rPr>
          <w:rStyle w:val="a7"/>
          <w:rtl/>
        </w:rPr>
        <w:footnoteRef/>
      </w:r>
      <w:r>
        <w:rPr>
          <w:rtl/>
        </w:rPr>
        <w:t xml:space="preserve"> </w:t>
      </w:r>
      <w:r>
        <w:rPr>
          <w:rFonts w:ascii="Arial"/>
          <w:b/>
          <w:bCs/>
          <w:sz w:val="38"/>
          <w:rtl/>
        </w:rPr>
        <w:t>פתחין גדפין.</w:t>
      </w:r>
      <w:r>
        <w:rPr>
          <w:rFonts w:ascii="Arial"/>
          <w:sz w:val="38"/>
          <w:rtl/>
        </w:rPr>
        <w:t xml:space="preserve"> כמו שכתוב וכנפיהם פרודות מלמעלה:</w:t>
      </w:r>
    </w:p>
  </w:footnote>
  <w:footnote w:id="1366">
    <w:p w:rsidR="00A13282" w:rsidRDefault="00A13282">
      <w:pPr>
        <w:pStyle w:val="a5"/>
        <w:rPr>
          <w:rtl/>
        </w:rPr>
      </w:pPr>
      <w:r>
        <w:rPr>
          <w:rStyle w:val="a7"/>
          <w:rtl/>
        </w:rPr>
        <w:footnoteRef/>
      </w:r>
      <w:r>
        <w:rPr>
          <w:rtl/>
        </w:rPr>
        <w:t xml:space="preserve"> </w:t>
      </w:r>
      <w:r>
        <w:rPr>
          <w:rFonts w:ascii="Arial"/>
          <w:b/>
          <w:bCs/>
          <w:sz w:val="38"/>
          <w:rtl/>
        </w:rPr>
        <w:t>לגבה לקבלא לה בחדוה בכמה כו'.</w:t>
      </w:r>
      <w:r>
        <w:rPr>
          <w:rFonts w:ascii="Arial"/>
          <w:sz w:val="38"/>
          <w:rtl/>
        </w:rPr>
        <w:t xml:space="preserve"> רוצה לומר, שזהו קול כנפיהם, בשירות, שמקבלין לה בחדוה כמו שמפרש והולך מה כתיב בחיון ואשמע כו':</w:t>
      </w:r>
    </w:p>
  </w:footnote>
  <w:footnote w:id="1367">
    <w:p w:rsidR="00A13282" w:rsidRDefault="00A13282">
      <w:pPr>
        <w:pStyle w:val="a5"/>
        <w:rPr>
          <w:rtl/>
        </w:rPr>
      </w:pPr>
      <w:r>
        <w:rPr>
          <w:rStyle w:val="a7"/>
          <w:rtl/>
        </w:rPr>
        <w:footnoteRef/>
      </w:r>
      <w:r>
        <w:rPr>
          <w:rtl/>
        </w:rPr>
        <w:t xml:space="preserve"> </w:t>
      </w:r>
      <w:r>
        <w:rPr>
          <w:rFonts w:ascii="Arial"/>
          <w:b/>
          <w:bCs/>
          <w:sz w:val="38"/>
          <w:rtl/>
        </w:rPr>
        <w:t>באות ו' כו' עמודא דאמצעיתא.</w:t>
      </w:r>
      <w:r>
        <w:rPr>
          <w:rFonts w:ascii="Arial"/>
          <w:sz w:val="38"/>
          <w:rtl/>
        </w:rPr>
        <w:t xml:space="preserve"> שנחתא מי', רישא דא' - בו':</w:t>
      </w:r>
    </w:p>
  </w:footnote>
  <w:footnote w:id="1368">
    <w:p w:rsidR="00A13282" w:rsidRDefault="00A13282">
      <w:pPr>
        <w:pStyle w:val="a5"/>
        <w:rPr>
          <w:rtl/>
        </w:rPr>
      </w:pPr>
      <w:r>
        <w:rPr>
          <w:rStyle w:val="a7"/>
          <w:rtl/>
        </w:rPr>
        <w:footnoteRef/>
      </w:r>
      <w:r>
        <w:rPr>
          <w:rtl/>
        </w:rPr>
        <w:t xml:space="preserve"> </w:t>
      </w:r>
      <w:r>
        <w:rPr>
          <w:rFonts w:ascii="Arial"/>
          <w:b/>
          <w:bCs/>
          <w:sz w:val="38"/>
          <w:rtl/>
        </w:rPr>
        <w:t>ביה קראן לה כו'.</w:t>
      </w:r>
      <w:r>
        <w:rPr>
          <w:rFonts w:ascii="Arial"/>
          <w:sz w:val="38"/>
          <w:rtl/>
        </w:rPr>
        <w:t xml:space="preserve"> רוצה לומר שעמודא דאמצעיתא נקרא ישראל, והיא נקראת בסטרא דיליה - שיר אל, כמו שאומר לקמן:</w:t>
      </w:r>
    </w:p>
  </w:footnote>
  <w:footnote w:id="1369">
    <w:p w:rsidR="00A13282" w:rsidRDefault="00A13282">
      <w:pPr>
        <w:pStyle w:val="a5"/>
        <w:rPr>
          <w:rtl/>
        </w:rPr>
      </w:pPr>
      <w:r>
        <w:rPr>
          <w:rStyle w:val="a7"/>
          <w:rtl/>
        </w:rPr>
        <w:footnoteRef/>
      </w:r>
      <w:r>
        <w:rPr>
          <w:rtl/>
        </w:rPr>
        <w:t xml:space="preserve"> </w:t>
      </w:r>
      <w:r>
        <w:rPr>
          <w:rFonts w:ascii="Arial"/>
          <w:b/>
          <w:bCs/>
          <w:sz w:val="38"/>
          <w:rtl/>
        </w:rPr>
        <w:t>חזור בך כו'.</w:t>
      </w:r>
      <w:r>
        <w:rPr>
          <w:rFonts w:ascii="Arial"/>
          <w:sz w:val="38"/>
          <w:rtl/>
        </w:rPr>
        <w:t xml:space="preserve"> דתקונא דצלותא לאו הכי, שבתחלה סליקת בשירין ותושבחן דפסוקי דזמרה בי' רישא דא' כמו שמפרש והולך, ואח"כ קראן לה דתיחות לגבייהו בו' דאלף - בקריאת שמע, ובתפלת שמונה עשרה נחתת בי' תתאה דא' שאז היא יחודא דיליה כמו שאומר לעיל וכד נחיתת כו', וזה שאומר לקמן אבל יחודא דילה בנקודת שורק כו':</w:t>
      </w:r>
    </w:p>
  </w:footnote>
  <w:footnote w:id="1370">
    <w:p w:rsidR="00A13282" w:rsidRDefault="00A13282">
      <w:pPr>
        <w:pStyle w:val="a5"/>
        <w:rPr>
          <w:rtl/>
        </w:rPr>
      </w:pPr>
      <w:r>
        <w:rPr>
          <w:rStyle w:val="a7"/>
          <w:rtl/>
        </w:rPr>
        <w:footnoteRef/>
      </w:r>
      <w:r>
        <w:rPr>
          <w:rtl/>
        </w:rPr>
        <w:t xml:space="preserve"> </w:t>
      </w:r>
      <w:r>
        <w:rPr>
          <w:rFonts w:ascii="Arial"/>
          <w:b/>
          <w:bCs/>
          <w:sz w:val="38"/>
          <w:rtl/>
        </w:rPr>
        <w:t>כלהו חיון מצפצפין.</w:t>
      </w:r>
      <w:r>
        <w:rPr>
          <w:rFonts w:ascii="Arial"/>
          <w:sz w:val="38"/>
          <w:rtl/>
        </w:rPr>
        <w:t xml:space="preserve"> ולכן אומרים פסוקי דזמרה ואח"כ והאופנים וחיות ושרפים, שישראל חברים אז לגבייהו:</w:t>
      </w:r>
    </w:p>
  </w:footnote>
  <w:footnote w:id="1371">
    <w:p w:rsidR="00A13282" w:rsidRDefault="00A13282">
      <w:pPr>
        <w:pStyle w:val="a5"/>
        <w:rPr>
          <w:rtl/>
        </w:rPr>
      </w:pPr>
      <w:r>
        <w:rPr>
          <w:rStyle w:val="a7"/>
          <w:rtl/>
        </w:rPr>
        <w:footnoteRef/>
      </w:r>
      <w:r>
        <w:rPr>
          <w:rtl/>
        </w:rPr>
        <w:t xml:space="preserve"> </w:t>
      </w:r>
      <w:r>
        <w:rPr>
          <w:rFonts w:ascii="Arial"/>
          <w:b/>
          <w:bCs/>
          <w:sz w:val="38"/>
          <w:rtl/>
        </w:rPr>
        <w:t>הה"ד רבות כו'.</w:t>
      </w:r>
      <w:r>
        <w:rPr>
          <w:rFonts w:ascii="Arial"/>
          <w:sz w:val="38"/>
          <w:rtl/>
        </w:rPr>
        <w:t xml:space="preserve"> שהן סלקין כולם עמה, וזהו היכלות דברכות קריאת שמע, וכן כריכות ז' דתפילין על קנה של זרוע כמו שאומר לקמן דקשרין לה בקריאת שמע כד נחתת כמו שמפרש והולך:</w:t>
      </w:r>
    </w:p>
  </w:footnote>
  <w:footnote w:id="1372">
    <w:p w:rsidR="00A13282" w:rsidRDefault="00A13282">
      <w:pPr>
        <w:pStyle w:val="a5"/>
        <w:rPr>
          <w:rtl/>
        </w:rPr>
      </w:pPr>
      <w:r>
        <w:rPr>
          <w:rStyle w:val="a7"/>
          <w:rtl/>
        </w:rPr>
        <w:footnoteRef/>
      </w:r>
      <w:r>
        <w:rPr>
          <w:rtl/>
        </w:rPr>
        <w:t xml:space="preserve"> </w:t>
      </w:r>
      <w:r>
        <w:rPr>
          <w:rFonts w:ascii="Arial"/>
          <w:b/>
          <w:bCs/>
          <w:sz w:val="38"/>
          <w:rtl/>
        </w:rPr>
        <w:t>ישראל סבא.</w:t>
      </w:r>
      <w:r>
        <w:rPr>
          <w:rFonts w:ascii="Arial"/>
          <w:sz w:val="38"/>
          <w:rtl/>
        </w:rPr>
        <w:t xml:space="preserve"> עמודא דאמצעיתא, שצדיק נקרא ישראל זוטא כידוע:</w:t>
      </w:r>
    </w:p>
  </w:footnote>
  <w:footnote w:id="1373">
    <w:p w:rsidR="00A13282" w:rsidRDefault="00A13282">
      <w:pPr>
        <w:pStyle w:val="a5"/>
        <w:rPr>
          <w:rtl/>
        </w:rPr>
      </w:pPr>
      <w:r>
        <w:rPr>
          <w:rStyle w:val="a7"/>
          <w:rtl/>
        </w:rPr>
        <w:footnoteRef/>
      </w:r>
      <w:r>
        <w:rPr>
          <w:rtl/>
        </w:rPr>
        <w:t xml:space="preserve"> </w:t>
      </w:r>
      <w:r>
        <w:rPr>
          <w:rFonts w:ascii="Arial"/>
          <w:b/>
          <w:bCs/>
          <w:sz w:val="38"/>
          <w:rtl/>
        </w:rPr>
        <w:t>ואיהי שיר אל כו'.</w:t>
      </w:r>
      <w:r>
        <w:rPr>
          <w:rFonts w:ascii="Arial"/>
          <w:sz w:val="38"/>
          <w:rtl/>
        </w:rPr>
        <w:t xml:space="preserve"> כנ"ל רוצה לומר של אל:</w:t>
      </w:r>
    </w:p>
  </w:footnote>
  <w:footnote w:id="1374">
    <w:p w:rsidR="00A13282" w:rsidRDefault="00A13282">
      <w:pPr>
        <w:pStyle w:val="a5"/>
        <w:rPr>
          <w:rtl/>
        </w:rPr>
      </w:pPr>
      <w:r>
        <w:rPr>
          <w:rStyle w:val="a7"/>
          <w:rtl/>
        </w:rPr>
        <w:footnoteRef/>
      </w:r>
      <w:r>
        <w:rPr>
          <w:rtl/>
        </w:rPr>
        <w:t xml:space="preserve"> </w:t>
      </w:r>
      <w:r>
        <w:rPr>
          <w:rFonts w:ascii="Arial"/>
          <w:b/>
          <w:bCs/>
          <w:sz w:val="38"/>
          <w:rtl/>
        </w:rPr>
        <w:t>דתהא קשורה עמי'.</w:t>
      </w:r>
      <w:r>
        <w:rPr>
          <w:rFonts w:ascii="Arial"/>
          <w:sz w:val="38"/>
          <w:rtl/>
        </w:rPr>
        <w:t xml:space="preserve"> רוצה לומר שהתפילין של יד הוא מלכות, והרצועה - עמודא דאמצעיתא, וקשר הוא יסוד. ובקשר הן קשורין יחד, וזה שאומר, בתפלה דיד לתתא, רוצה לומר שאז היא יחודיה לתתא כמו שמפרש והולך וקשר דתרווייהו איהו שורק, וכן לקמן, ובשורק איהי יחודא כו':</w:t>
      </w:r>
    </w:p>
  </w:footnote>
  <w:footnote w:id="1375">
    <w:p w:rsidR="00A13282" w:rsidRDefault="00A13282">
      <w:pPr>
        <w:pStyle w:val="a5"/>
        <w:rPr>
          <w:rtl/>
        </w:rPr>
      </w:pPr>
      <w:r>
        <w:rPr>
          <w:rStyle w:val="a7"/>
          <w:rtl/>
        </w:rPr>
        <w:footnoteRef/>
      </w:r>
      <w:r>
        <w:rPr>
          <w:rtl/>
        </w:rPr>
        <w:t xml:space="preserve"> </w:t>
      </w:r>
      <w:r>
        <w:rPr>
          <w:rFonts w:ascii="Arial"/>
          <w:b/>
          <w:bCs/>
          <w:sz w:val="38"/>
          <w:rtl/>
        </w:rPr>
        <w:t>ורזא דמלה כו'.</w:t>
      </w:r>
      <w:r>
        <w:rPr>
          <w:rFonts w:ascii="Arial"/>
          <w:sz w:val="38"/>
          <w:rtl/>
        </w:rPr>
        <w:t xml:space="preserve"> רוצה לומר בפסוק, שיחודם ע"י קשר, שנאמר ונפשו קשורה כו' ורוצה לומר שעמודא דאמצעיתא קשור ביסוד כמו שאומר לעיל בהקדמה:</w:t>
      </w:r>
    </w:p>
  </w:footnote>
  <w:footnote w:id="1376">
    <w:p w:rsidR="00A13282" w:rsidRDefault="00A13282">
      <w:pPr>
        <w:pStyle w:val="a5"/>
        <w:rPr>
          <w:rtl/>
        </w:rPr>
      </w:pPr>
      <w:r>
        <w:rPr>
          <w:rStyle w:val="a7"/>
          <w:rtl/>
        </w:rPr>
        <w:footnoteRef/>
      </w:r>
      <w:r>
        <w:rPr>
          <w:rtl/>
        </w:rPr>
        <w:t xml:space="preserve"> </w:t>
      </w:r>
      <w:r>
        <w:rPr>
          <w:rFonts w:ascii="Arial"/>
          <w:b/>
          <w:bCs/>
          <w:sz w:val="38"/>
          <w:rtl/>
        </w:rPr>
        <w:t>וקשר דתרווייהו כו'.</w:t>
      </w:r>
      <w:r>
        <w:rPr>
          <w:rFonts w:ascii="Arial"/>
          <w:sz w:val="38"/>
          <w:rtl/>
        </w:rPr>
        <w:t xml:space="preserve"> רוצה לומר, שרק - הוא קשר בהיפך אתוון, ושלשלת הוא לשון קשר כמו שלשלאין, והוא בקשר של ראש כמו שאומר לעיל בהקדמה, אסור ביו"ד בתפילין של ראש, והן שני יודי"ן דא' כנ"ל: בקשר של יד - יחודיה, ובקשר של ראש - עטרת רישיה, תפילין של ראש. והן טעמים - לעיל, ונקודות - לתתא, ושרק האמור כאן הוא שרק של ג' נקודות, שרק קטן, ולכן הוא שרק בלא ו', וכן לקמן, אתעבידת שרק - גם כן שרק קטן, אבל שאר שורק שבזה הענין - הכל שורק, לכן נאמר בכולם שורק מלא ו'. ורוצה לומר, שרק של ג' נקודות - מורה על קשורא, כמו שאומר לקמן, שבו רמוז ג' נקודות: לעילא ולתתא ובאמצע. וכן הוא שלשלת לעילא - ג' קוין, גם כן רומז אל הנ"ל:</w:t>
      </w:r>
    </w:p>
  </w:footnote>
  <w:footnote w:id="1377">
    <w:p w:rsidR="00A13282" w:rsidRDefault="00A13282">
      <w:pPr>
        <w:pStyle w:val="a5"/>
        <w:rPr>
          <w:rtl/>
        </w:rPr>
      </w:pPr>
      <w:r>
        <w:rPr>
          <w:rStyle w:val="a7"/>
          <w:rtl/>
        </w:rPr>
        <w:footnoteRef/>
      </w:r>
      <w:r>
        <w:rPr>
          <w:rtl/>
        </w:rPr>
        <w:t xml:space="preserve"> </w:t>
      </w:r>
      <w:r>
        <w:rPr>
          <w:rFonts w:ascii="Arial"/>
          <w:b/>
          <w:bCs/>
          <w:sz w:val="38"/>
          <w:rtl/>
        </w:rPr>
        <w:t>ברזא דטעמי אתקריית תנועה.</w:t>
      </w:r>
      <w:r>
        <w:rPr>
          <w:rFonts w:ascii="Arial"/>
          <w:sz w:val="38"/>
          <w:rtl/>
        </w:rPr>
        <w:t xml:space="preserve"> רוצה לומר דלטעמים קורא בזוהר תנועות כמו שאומר בתיקוני זוהר חדש במתני' עיין שם, ורוצה לומר, תנועה דסלקא לעילא:</w:t>
      </w:r>
    </w:p>
  </w:footnote>
  <w:footnote w:id="1378">
    <w:p w:rsidR="00A13282" w:rsidRDefault="00A13282">
      <w:pPr>
        <w:pStyle w:val="a5"/>
        <w:rPr>
          <w:rtl/>
        </w:rPr>
      </w:pPr>
      <w:r>
        <w:rPr>
          <w:rStyle w:val="a7"/>
          <w:rtl/>
        </w:rPr>
        <w:footnoteRef/>
      </w:r>
      <w:r>
        <w:rPr>
          <w:rtl/>
        </w:rPr>
        <w:t xml:space="preserve"> </w:t>
      </w:r>
      <w:r>
        <w:rPr>
          <w:rFonts w:ascii="Arial"/>
          <w:b/>
          <w:bCs/>
          <w:sz w:val="38"/>
          <w:rtl/>
        </w:rPr>
        <w:t>מסטרא כו'.</w:t>
      </w:r>
      <w:r>
        <w:rPr>
          <w:rFonts w:ascii="Arial"/>
          <w:sz w:val="38"/>
          <w:rtl/>
        </w:rPr>
        <w:t xml:space="preserve"> שהטעמים - על גבי אותיות, ונקודות - למטה, כמו שאומר בתיקוני זוהר חדש:</w:t>
      </w:r>
    </w:p>
  </w:footnote>
  <w:footnote w:id="1379">
    <w:p w:rsidR="00A13282" w:rsidRDefault="00A13282">
      <w:pPr>
        <w:jc w:val="both"/>
        <w:rPr>
          <w:rFonts w:ascii="Arial" w:cs="Arial"/>
          <w:sz w:val="38"/>
          <w:szCs w:val="24"/>
          <w:rtl/>
        </w:rPr>
      </w:pPr>
      <w:r>
        <w:rPr>
          <w:rStyle w:val="a7"/>
          <w:rFonts w:cs="Arial"/>
          <w:szCs w:val="24"/>
          <w:rtl/>
        </w:rPr>
        <w:footnoteRef/>
      </w:r>
      <w:r>
        <w:rPr>
          <w:rtl/>
        </w:rPr>
        <w:t xml:space="preserve"> </w:t>
      </w:r>
      <w:r>
        <w:rPr>
          <w:rFonts w:ascii="Arial" w:cs="Arial"/>
          <w:b/>
          <w:bCs/>
          <w:sz w:val="38"/>
          <w:szCs w:val="24"/>
          <w:rtl/>
        </w:rPr>
        <w:t>וצריך לארכא כו' עד בבעלה.</w:t>
      </w:r>
      <w:r>
        <w:rPr>
          <w:rtl/>
        </w:rPr>
        <w:t xml:space="preserve"> </w:t>
      </w:r>
      <w:r>
        <w:rPr>
          <w:rFonts w:ascii="Arial" w:cs="Arial"/>
          <w:sz w:val="38"/>
          <w:szCs w:val="24"/>
          <w:rtl/>
        </w:rPr>
        <w:t>מפרש ג' מדריגות שלה, ברזא דאלף: י' - לעילא, י' - לתתא, ו' באמצע. רביע וחירק - שניהם יודין, ושורק גדול - הוא ו'. ואף בשורק היא נקודה בוא"ו, שבכל מקום היא י' זעירא, והן מורין: אני ראשון ואני אחרון ומבלעדי כו', כמו שאומר בתיקוני זוהר חדש, למעלה - עד אין סוף, ולמטה - עד אין תכלית, וזה שאומר עד אין סוף לעילא כו' עד אין תכלית לאמלכא כו':</w:t>
      </w:r>
    </w:p>
  </w:footnote>
  <w:footnote w:id="1380">
    <w:p w:rsidR="00A13282" w:rsidRDefault="00A13282">
      <w:pPr>
        <w:pStyle w:val="a5"/>
        <w:rPr>
          <w:rtl/>
        </w:rPr>
      </w:pPr>
      <w:r>
        <w:rPr>
          <w:rStyle w:val="a7"/>
          <w:rtl/>
        </w:rPr>
        <w:footnoteRef/>
      </w:r>
      <w:r>
        <w:rPr>
          <w:rtl/>
        </w:rPr>
        <w:t xml:space="preserve"> </w:t>
      </w:r>
      <w:r>
        <w:rPr>
          <w:rFonts w:ascii="Arial"/>
          <w:b/>
          <w:bCs/>
          <w:sz w:val="38"/>
          <w:rtl/>
        </w:rPr>
        <w:t>ובחלם איהי כו' עד כגוונא דא ו'.</w:t>
      </w:r>
      <w:r>
        <w:rPr>
          <w:rFonts w:ascii="Arial"/>
          <w:sz w:val="38"/>
          <w:rtl/>
        </w:rPr>
        <w:t xml:space="preserve"> מפרש כאן כל השלשה בחינות - הכל בנקודות:</w:t>
      </w:r>
    </w:p>
  </w:footnote>
  <w:footnote w:id="1381">
    <w:p w:rsidR="00A13282" w:rsidRDefault="00A13282">
      <w:pPr>
        <w:pStyle w:val="a5"/>
        <w:rPr>
          <w:rtl/>
        </w:rPr>
      </w:pPr>
      <w:r>
        <w:rPr>
          <w:rStyle w:val="a7"/>
          <w:rtl/>
        </w:rPr>
        <w:footnoteRef/>
      </w:r>
      <w:r>
        <w:rPr>
          <w:rtl/>
        </w:rPr>
        <w:t xml:space="preserve"> </w:t>
      </w:r>
      <w:r>
        <w:rPr>
          <w:rFonts w:ascii="Arial"/>
          <w:b/>
          <w:bCs/>
          <w:sz w:val="38"/>
          <w:rtl/>
        </w:rPr>
        <w:t>כרסיא.</w:t>
      </w:r>
      <w:r>
        <w:rPr>
          <w:rFonts w:ascii="Arial"/>
          <w:sz w:val="38"/>
          <w:rtl/>
        </w:rPr>
        <w:t xml:space="preserve"> שאז יורדת בבריאה, ראש לשועלים, כמו שאומר להלן לאמלכא לה על תתאין:</w:t>
      </w:r>
    </w:p>
  </w:footnote>
  <w:footnote w:id="1382">
    <w:p w:rsidR="00A13282" w:rsidRDefault="00A13282">
      <w:pPr>
        <w:pStyle w:val="a5"/>
        <w:rPr>
          <w:rtl/>
        </w:rPr>
      </w:pPr>
      <w:r>
        <w:rPr>
          <w:rStyle w:val="a7"/>
          <w:rtl/>
        </w:rPr>
        <w:footnoteRef/>
      </w:r>
      <w:r>
        <w:rPr>
          <w:rtl/>
        </w:rPr>
        <w:t xml:space="preserve"> </w:t>
      </w:r>
      <w:r>
        <w:rPr>
          <w:rFonts w:ascii="Arial"/>
          <w:b/>
          <w:bCs/>
          <w:sz w:val="38"/>
          <w:rtl/>
        </w:rPr>
        <w:t>כגוונא דא ו'.</w:t>
      </w:r>
      <w:r>
        <w:rPr>
          <w:rFonts w:ascii="Arial"/>
          <w:sz w:val="38"/>
          <w:rtl/>
        </w:rPr>
        <w:t xml:space="preserve"> רוצה לומר ג' נקודין הנ"ל - הכל בו', עמודא דאמצעיתא, והוא גם כן אלף הנ"ל:</w:t>
      </w:r>
    </w:p>
  </w:footnote>
  <w:footnote w:id="1383">
    <w:p w:rsidR="00A13282" w:rsidRDefault="00A13282">
      <w:pPr>
        <w:pStyle w:val="a5"/>
        <w:rPr>
          <w:rtl/>
        </w:rPr>
      </w:pPr>
      <w:r>
        <w:rPr>
          <w:rStyle w:val="a7"/>
          <w:rtl/>
        </w:rPr>
        <w:footnoteRef/>
      </w:r>
      <w:r>
        <w:rPr>
          <w:rtl/>
        </w:rPr>
        <w:t xml:space="preserve"> </w:t>
      </w:r>
      <w:r>
        <w:rPr>
          <w:rFonts w:ascii="Arial"/>
          <w:b/>
          <w:bCs/>
          <w:sz w:val="38"/>
          <w:rtl/>
        </w:rPr>
        <w:t>וכד איהי לעילא כו' עד קשורא דילי'.</w:t>
      </w:r>
      <w:r>
        <w:rPr>
          <w:rFonts w:ascii="Arial"/>
          <w:sz w:val="38"/>
          <w:rtl/>
        </w:rPr>
        <w:t xml:space="preserve"> כאן מפרש שכל הג' נקודות כולן רמוזין בשרק קטן, ג' נקודות:</w:t>
      </w:r>
    </w:p>
  </w:footnote>
  <w:footnote w:id="1384">
    <w:p w:rsidR="00A13282" w:rsidRDefault="00A13282">
      <w:pPr>
        <w:pStyle w:val="a5"/>
        <w:rPr>
          <w:rtl/>
        </w:rPr>
      </w:pPr>
      <w:r>
        <w:rPr>
          <w:rStyle w:val="a7"/>
          <w:rtl/>
        </w:rPr>
        <w:footnoteRef/>
      </w:r>
      <w:r>
        <w:rPr>
          <w:rtl/>
        </w:rPr>
        <w:t xml:space="preserve"> </w:t>
      </w:r>
      <w:r>
        <w:rPr>
          <w:rFonts w:ascii="Arial"/>
          <w:b/>
          <w:bCs/>
          <w:sz w:val="38"/>
          <w:rtl/>
        </w:rPr>
        <w:t>ואיהי ברתא תחות רגלוי.</w:t>
      </w:r>
      <w:r>
        <w:rPr>
          <w:rFonts w:ascii="Arial"/>
          <w:sz w:val="38"/>
          <w:rtl/>
        </w:rPr>
        <w:t xml:space="preserve"> כנ"ל דהיא נחתא לבריאה, ואמר ברתא כו', כמו שכתוב (רות ג ח-יא,טז) והנה אשה שוכבת תחת מרגלותיו ויאמר מי את בתי כו' כידוע:</w:t>
      </w:r>
    </w:p>
  </w:footnote>
  <w:footnote w:id="1385">
    <w:p w:rsidR="00A13282" w:rsidRDefault="00A13282">
      <w:pPr>
        <w:pStyle w:val="a5"/>
        <w:rPr>
          <w:rtl/>
        </w:rPr>
      </w:pPr>
      <w:r>
        <w:rPr>
          <w:rStyle w:val="a7"/>
          <w:rtl/>
        </w:rPr>
        <w:footnoteRef/>
      </w:r>
      <w:r>
        <w:rPr>
          <w:rtl/>
        </w:rPr>
        <w:t xml:space="preserve"> </w:t>
      </w:r>
      <w:r>
        <w:rPr>
          <w:rFonts w:ascii="Arial"/>
          <w:b/>
          <w:bCs/>
          <w:sz w:val="38"/>
          <w:rtl/>
        </w:rPr>
        <w:t>אתעבידת שרק  קשורא דילי'.</w:t>
      </w:r>
      <w:r>
        <w:rPr>
          <w:rFonts w:ascii="Arial"/>
          <w:sz w:val="38"/>
          <w:rtl/>
        </w:rPr>
        <w:t xml:space="preserve"> רוצה לומר בכל הג' נקודות - נעשית קשורא. וזהו ג' קשרים: קשר של יד - תחותיה, וקשר של ראש - תגא על רישיה, וקשר השלישי, כנגד שורק גדול, הוא אחד - יחודיה. כמו שאומר להלן ובשורק יחודיה, וזה שאומר לעיל קשרין לה בתפלה דיד לתתא כו':</w:t>
      </w:r>
    </w:p>
  </w:footnote>
  <w:footnote w:id="1386">
    <w:p w:rsidR="00A13282" w:rsidRDefault="00A13282">
      <w:pPr>
        <w:pStyle w:val="a5"/>
        <w:rPr>
          <w:rtl/>
        </w:rPr>
      </w:pPr>
      <w:r>
        <w:rPr>
          <w:rStyle w:val="a7"/>
          <w:rtl/>
        </w:rPr>
        <w:footnoteRef/>
      </w:r>
      <w:r>
        <w:rPr>
          <w:rtl/>
        </w:rPr>
        <w:t xml:space="preserve"> </w:t>
      </w:r>
      <w:r>
        <w:rPr>
          <w:rFonts w:ascii="Arial"/>
          <w:b/>
          <w:bCs/>
          <w:sz w:val="38"/>
          <w:rtl/>
        </w:rPr>
        <w:t>וכד בעי כו' שבא.</w:t>
      </w:r>
      <w:r>
        <w:rPr>
          <w:rFonts w:ascii="Arial"/>
          <w:sz w:val="38"/>
          <w:rtl/>
        </w:rPr>
        <w:t xml:space="preserve"> רוצה לומר מסיטרא דשני נקודות, למעלה ולמטה, שהוא שבא למטה כנ"ל בחירק לאמלכא לה כו' ולמעלה, כמו שאומר להלן, דסלקת לכתר, אבן די התגזרת לא בידין ומחת לצלמא כו':</w:t>
      </w:r>
    </w:p>
  </w:footnote>
  <w:footnote w:id="1387">
    <w:p w:rsidR="00A13282" w:rsidRDefault="00A13282">
      <w:pPr>
        <w:pStyle w:val="a5"/>
        <w:rPr>
          <w:rtl/>
        </w:rPr>
      </w:pPr>
      <w:r>
        <w:rPr>
          <w:rStyle w:val="a7"/>
          <w:rtl/>
        </w:rPr>
        <w:footnoteRef/>
      </w:r>
      <w:r>
        <w:rPr>
          <w:rtl/>
        </w:rPr>
        <w:t xml:space="preserve"> </w:t>
      </w:r>
      <w:r>
        <w:rPr>
          <w:rFonts w:ascii="Arial"/>
          <w:b/>
          <w:bCs/>
          <w:sz w:val="38"/>
          <w:rtl/>
        </w:rPr>
        <w:t>תביר.</w:t>
      </w:r>
      <w:r>
        <w:rPr>
          <w:rFonts w:ascii="Arial"/>
          <w:sz w:val="38"/>
          <w:rtl/>
        </w:rPr>
        <w:t xml:space="preserve"> רוצה לומר מסיטרא דנקודות - נקרא שבא, ומסיטרא דטעמים - תביר, ושניהם לשון שבירה והן מסיטרא דגבורה כידוע:</w:t>
      </w:r>
    </w:p>
  </w:footnote>
  <w:footnote w:id="1388">
    <w:p w:rsidR="00A13282" w:rsidRDefault="00A13282">
      <w:pPr>
        <w:pStyle w:val="a5"/>
        <w:rPr>
          <w:rtl/>
        </w:rPr>
      </w:pPr>
      <w:r>
        <w:rPr>
          <w:rStyle w:val="a7"/>
          <w:rtl/>
        </w:rPr>
        <w:footnoteRef/>
      </w:r>
      <w:r>
        <w:rPr>
          <w:rtl/>
        </w:rPr>
        <w:t xml:space="preserve"> </w:t>
      </w:r>
      <w:r>
        <w:rPr>
          <w:rFonts w:ascii="Arial"/>
          <w:b/>
          <w:bCs/>
          <w:sz w:val="38"/>
          <w:rtl/>
        </w:rPr>
        <w:t>שבר תשבר.</w:t>
      </w:r>
      <w:r>
        <w:rPr>
          <w:rFonts w:ascii="Arial"/>
          <w:sz w:val="38"/>
          <w:rtl/>
        </w:rPr>
        <w:t xml:space="preserve"> רוצה לומר, בהן אותיות שבא תביר:</w:t>
      </w:r>
    </w:p>
  </w:footnote>
  <w:footnote w:id="1389">
    <w:p w:rsidR="00A13282" w:rsidRDefault="00A13282">
      <w:pPr>
        <w:pStyle w:val="a5"/>
        <w:rPr>
          <w:rtl/>
        </w:rPr>
      </w:pPr>
      <w:r>
        <w:rPr>
          <w:rStyle w:val="a7"/>
          <w:rtl/>
        </w:rPr>
        <w:footnoteRef/>
      </w:r>
      <w:r>
        <w:rPr>
          <w:rtl/>
        </w:rPr>
        <w:t xml:space="preserve"> </w:t>
      </w:r>
      <w:r>
        <w:rPr>
          <w:rFonts w:ascii="Arial"/>
          <w:b/>
          <w:bCs/>
          <w:sz w:val="38"/>
          <w:rtl/>
        </w:rPr>
        <w:t>אבל יחודא כו'.</w:t>
      </w:r>
      <w:r>
        <w:rPr>
          <w:rFonts w:ascii="Arial"/>
          <w:sz w:val="38"/>
          <w:rtl/>
        </w:rPr>
        <w:t xml:space="preserve"> רוצה לומר סגולת שני הנקודות - לשבר, אבל נקודה השלישית שבאמצע - היא יחודא, ומכל מקום בכולם היא קשורא דוא"ו, כמו שאומר להלן וּ וכן באלף בוא"ו שבו:</w:t>
      </w:r>
    </w:p>
  </w:footnote>
  <w:footnote w:id="1390">
    <w:p w:rsidR="00A13282" w:rsidRDefault="00A13282">
      <w:pPr>
        <w:pStyle w:val="a5"/>
        <w:rPr>
          <w:rtl/>
        </w:rPr>
      </w:pPr>
      <w:r>
        <w:rPr>
          <w:rStyle w:val="a7"/>
          <w:rtl/>
        </w:rPr>
        <w:footnoteRef/>
      </w:r>
      <w:r>
        <w:rPr>
          <w:rtl/>
        </w:rPr>
        <w:t xml:space="preserve"> </w:t>
      </w:r>
      <w:r>
        <w:rPr>
          <w:rFonts w:ascii="Arial"/>
          <w:b/>
          <w:bCs/>
          <w:sz w:val="38"/>
          <w:rtl/>
        </w:rPr>
        <w:t>דאיהו יסוד.</w:t>
      </w:r>
      <w:r>
        <w:rPr>
          <w:rFonts w:ascii="Arial"/>
          <w:sz w:val="38"/>
          <w:rtl/>
        </w:rPr>
        <w:t xml:space="preserve"> רוצה לומר שהשורק הוא ביסוד כידוע ושם הוא היחוד:</w:t>
      </w:r>
    </w:p>
  </w:footnote>
  <w:footnote w:id="1391">
    <w:p w:rsidR="00A13282" w:rsidRDefault="00A13282">
      <w:pPr>
        <w:pStyle w:val="a5"/>
        <w:rPr>
          <w:rtl/>
        </w:rPr>
      </w:pPr>
      <w:r>
        <w:rPr>
          <w:rStyle w:val="a7"/>
          <w:rtl/>
        </w:rPr>
        <w:footnoteRef/>
      </w:r>
      <w:r>
        <w:rPr>
          <w:rtl/>
        </w:rPr>
        <w:t xml:space="preserve"> </w:t>
      </w:r>
      <w:r>
        <w:rPr>
          <w:rFonts w:ascii="Arial"/>
          <w:b/>
          <w:bCs/>
          <w:sz w:val="38"/>
          <w:rtl/>
        </w:rPr>
        <w:t>ח"י עלמין ח"י כו'.</w:t>
      </w:r>
      <w:r>
        <w:rPr>
          <w:rFonts w:ascii="Arial"/>
          <w:sz w:val="38"/>
          <w:rtl/>
        </w:rPr>
        <w:t xml:space="preserve"> רוצה לומר שבח"י ברכות הוא היחוד מסיטרא דח"י עלמין:</w:t>
      </w:r>
    </w:p>
  </w:footnote>
  <w:footnote w:id="1392">
    <w:p w:rsidR="00A13282" w:rsidRDefault="00A13282">
      <w:pPr>
        <w:pStyle w:val="a5"/>
        <w:rPr>
          <w:rtl/>
        </w:rPr>
      </w:pPr>
      <w:r>
        <w:rPr>
          <w:rStyle w:val="a7"/>
          <w:rtl/>
        </w:rPr>
        <w:footnoteRef/>
      </w:r>
      <w:r>
        <w:rPr>
          <w:rtl/>
        </w:rPr>
        <w:t xml:space="preserve"> </w:t>
      </w:r>
      <w:r>
        <w:rPr>
          <w:rFonts w:ascii="Arial"/>
          <w:b/>
          <w:bCs/>
          <w:sz w:val="38"/>
          <w:rtl/>
        </w:rPr>
        <w:t>בזמנא כו'.</w:t>
      </w:r>
      <w:r>
        <w:rPr>
          <w:rFonts w:ascii="Arial"/>
          <w:sz w:val="38"/>
          <w:rtl/>
        </w:rPr>
        <w:t xml:space="preserve"> דהיחוד הוא בחשאי כמו שמפרש והולך, כמו שאמרו (ברכות טו ע"ב) ומה רחם שמכניסין בחשאי:</w:t>
      </w:r>
    </w:p>
  </w:footnote>
  <w:footnote w:id="1393">
    <w:p w:rsidR="00A13282" w:rsidRDefault="00A13282">
      <w:pPr>
        <w:pStyle w:val="a5"/>
        <w:rPr>
          <w:rtl/>
        </w:rPr>
      </w:pPr>
      <w:r>
        <w:rPr>
          <w:rStyle w:val="a7"/>
          <w:rtl/>
        </w:rPr>
        <w:footnoteRef/>
      </w:r>
      <w:r>
        <w:rPr>
          <w:rtl/>
        </w:rPr>
        <w:t xml:space="preserve"> </w:t>
      </w:r>
      <w:r>
        <w:rPr>
          <w:rFonts w:ascii="Arial"/>
          <w:b/>
          <w:bCs/>
          <w:sz w:val="38"/>
          <w:rtl/>
        </w:rPr>
        <w:t>לארקא לה ברכאין.</w:t>
      </w:r>
      <w:r>
        <w:rPr>
          <w:rFonts w:ascii="Arial"/>
          <w:sz w:val="38"/>
          <w:rtl/>
        </w:rPr>
        <w:t xml:space="preserve"> רוצה לומר לכך הוא ח"י ברכאין:</w:t>
      </w:r>
    </w:p>
  </w:footnote>
  <w:footnote w:id="1394">
    <w:p w:rsidR="00A13282" w:rsidRDefault="00A13282">
      <w:pPr>
        <w:pStyle w:val="a5"/>
        <w:rPr>
          <w:rtl/>
        </w:rPr>
      </w:pPr>
      <w:r>
        <w:rPr>
          <w:rStyle w:val="a7"/>
          <w:rtl/>
        </w:rPr>
        <w:footnoteRef/>
      </w:r>
      <w:r>
        <w:rPr>
          <w:rtl/>
        </w:rPr>
        <w:t xml:space="preserve"> </w:t>
      </w:r>
      <w:r>
        <w:rPr>
          <w:rFonts w:ascii="Arial"/>
          <w:b/>
          <w:bCs/>
          <w:sz w:val="38"/>
          <w:rtl/>
        </w:rPr>
        <w:t>דאיהי שד מן שדי.</w:t>
      </w:r>
      <w:r>
        <w:rPr>
          <w:rFonts w:ascii="Arial"/>
          <w:sz w:val="38"/>
          <w:rtl/>
        </w:rPr>
        <w:t xml:space="preserve"> רוצה לומר דכל האותיות שהן בצדיק הן שם שדי דצדיק - י' שומר שד. כמו ברית, שהוא י', ח"ו אם פוגם - הולך הי' ונשאר שד. ולכן (נדרים כ ע"ב) היה (ר"א) משמש בצניעות, שלא יסתלק הי' וישאר שד, וזהו שכפאו שד, שבשבילו צריך הצניעות. וכן הוא במזוזה ולכן שם הוא שדי, דהמזיקין שורין אצל הפתח, ואות דמזוזה שומר מהם, כמו שאמרו בתיקוני זוהר חדש, וזה שאומר דבההוא זמנא כו' מזוזת כו' רוצה לומר חסר ו' תניינא? [סימן השאלה במקור. ג.פ.]:</w:t>
      </w:r>
    </w:p>
  </w:footnote>
  <w:footnote w:id="1395">
    <w:p w:rsidR="00A13282" w:rsidRDefault="00A13282">
      <w:pPr>
        <w:pStyle w:val="a5"/>
        <w:rPr>
          <w:rtl/>
        </w:rPr>
      </w:pPr>
      <w:r>
        <w:rPr>
          <w:rStyle w:val="a7"/>
          <w:rtl/>
        </w:rPr>
        <w:footnoteRef/>
      </w:r>
      <w:r>
        <w:rPr>
          <w:rtl/>
        </w:rPr>
        <w:t xml:space="preserve"> </w:t>
      </w:r>
      <w:r>
        <w:rPr>
          <w:rFonts w:ascii="Arial"/>
          <w:b/>
          <w:bCs/>
          <w:sz w:val="38"/>
          <w:rtl/>
        </w:rPr>
        <w:t>ואם הוא כו'.</w:t>
      </w:r>
      <w:r>
        <w:rPr>
          <w:rFonts w:ascii="Arial"/>
          <w:sz w:val="38"/>
          <w:rtl/>
        </w:rPr>
        <w:t xml:space="preserve"> רוצה לומר שמסתלק הי' וכן במזוזה וזה שאומר לפתח כו'. וכן הברית הוא פתח האדם כמו שאמרו בזוהר ושם צריך שמירה כידוע וכן הוא בתפלה וזה שאומר ולא עוד כו'. רוצה לומר דאין השכינה, שהיא אמונת ישראל, שורה עליו וזה שאומר ולא למגנא כו':</w:t>
      </w:r>
    </w:p>
  </w:footnote>
  <w:footnote w:id="1396">
    <w:p w:rsidR="00A13282" w:rsidRDefault="00A13282">
      <w:pPr>
        <w:pStyle w:val="a5"/>
        <w:rPr>
          <w:rtl/>
        </w:rPr>
      </w:pPr>
      <w:r>
        <w:rPr>
          <w:rStyle w:val="a7"/>
          <w:rtl/>
        </w:rPr>
        <w:footnoteRef/>
      </w:r>
      <w:r>
        <w:rPr>
          <w:rtl/>
        </w:rPr>
        <w:t xml:space="preserve"> </w:t>
      </w:r>
      <w:r>
        <w:rPr>
          <w:rFonts w:ascii="Arial"/>
          <w:b/>
          <w:bCs/>
          <w:sz w:val="38"/>
          <w:rtl/>
        </w:rPr>
        <w:t>כולהו חיון כו'.</w:t>
      </w:r>
      <w:r>
        <w:rPr>
          <w:rFonts w:ascii="Arial"/>
          <w:sz w:val="38"/>
          <w:rtl/>
        </w:rPr>
        <w:t xml:space="preserve"> רוצה לומר, ולכך בתפלת שמונה עשרה ברכות וקדושה, והן יב"ק כידוע:</w:t>
      </w:r>
    </w:p>
  </w:footnote>
  <w:footnote w:id="1397">
    <w:p w:rsidR="00A13282" w:rsidRDefault="00A13282">
      <w:pPr>
        <w:pStyle w:val="a5"/>
        <w:rPr>
          <w:rtl/>
        </w:rPr>
      </w:pPr>
      <w:r>
        <w:rPr>
          <w:rStyle w:val="a7"/>
          <w:rtl/>
        </w:rPr>
        <w:footnoteRef/>
      </w:r>
      <w:r>
        <w:rPr>
          <w:rtl/>
        </w:rPr>
        <w:t xml:space="preserve"> </w:t>
      </w:r>
      <w:r>
        <w:rPr>
          <w:rFonts w:ascii="Arial"/>
          <w:b/>
          <w:bCs/>
          <w:sz w:val="38"/>
          <w:rtl/>
        </w:rPr>
        <w:t>ובג"ד תקינו כו'.</w:t>
      </w:r>
      <w:r>
        <w:rPr>
          <w:rFonts w:ascii="Arial"/>
          <w:sz w:val="38"/>
          <w:rtl/>
        </w:rPr>
        <w:t xml:space="preserve"> שיהא יחודם בברכה וקדושה, יב"ק, כמו שמפרש והולך:</w:t>
      </w:r>
    </w:p>
  </w:footnote>
  <w:footnote w:id="1398">
    <w:p w:rsidR="00A13282" w:rsidRDefault="00A13282">
      <w:pPr>
        <w:pStyle w:val="a5"/>
        <w:rPr>
          <w:rtl/>
        </w:rPr>
      </w:pPr>
      <w:r>
        <w:rPr>
          <w:rStyle w:val="a7"/>
          <w:rtl/>
        </w:rPr>
        <w:footnoteRef/>
      </w:r>
      <w:r>
        <w:rPr>
          <w:rtl/>
        </w:rPr>
        <w:t xml:space="preserve"> </w:t>
      </w:r>
      <w:r>
        <w:rPr>
          <w:rFonts w:ascii="Arial"/>
          <w:b/>
          <w:bCs/>
          <w:sz w:val="38"/>
          <w:rtl/>
        </w:rPr>
        <w:t>והכי כל מזונייהו כו'.</w:t>
      </w:r>
      <w:r>
        <w:rPr>
          <w:rFonts w:ascii="Arial"/>
          <w:sz w:val="38"/>
          <w:rtl/>
        </w:rPr>
        <w:t xml:space="preserve"> כמו שאמר ברעיא מהימנא, ברוך אתה - ברכה, אשר קדשנו - קדושה. והוא: קדושת נט"י, וברכת אכילה, ואכילה הוא שפע עלאה - יחודא:</w:t>
      </w:r>
    </w:p>
  </w:footnote>
  <w:footnote w:id="1399">
    <w:p w:rsidR="00A13282" w:rsidRDefault="00A13282">
      <w:pPr>
        <w:pStyle w:val="a5"/>
        <w:rPr>
          <w:rtl/>
        </w:rPr>
      </w:pPr>
      <w:r>
        <w:rPr>
          <w:rStyle w:val="a7"/>
          <w:rtl/>
        </w:rPr>
        <w:footnoteRef/>
      </w:r>
      <w:r>
        <w:rPr>
          <w:rtl/>
        </w:rPr>
        <w:t xml:space="preserve"> </w:t>
      </w:r>
      <w:r>
        <w:rPr>
          <w:rFonts w:ascii="Arial"/>
          <w:b/>
          <w:bCs/>
          <w:sz w:val="38"/>
          <w:rtl/>
        </w:rPr>
        <w:t>ולית קדושה כו'.</w:t>
      </w:r>
      <w:r>
        <w:rPr>
          <w:rFonts w:ascii="Arial"/>
          <w:sz w:val="38"/>
          <w:rtl/>
        </w:rPr>
        <w:t xml:space="preserve"> רוצה לומר ולכן טבעת קדושין הוא מסטרא דקדש, י' עלאה:</w:t>
      </w:r>
    </w:p>
  </w:footnote>
  <w:footnote w:id="1400">
    <w:p w:rsidR="00A13282" w:rsidRDefault="00A13282">
      <w:pPr>
        <w:pStyle w:val="a5"/>
        <w:rPr>
          <w:rtl/>
        </w:rPr>
      </w:pPr>
      <w:r>
        <w:rPr>
          <w:rStyle w:val="a7"/>
          <w:rtl/>
        </w:rPr>
        <w:footnoteRef/>
      </w:r>
      <w:r>
        <w:rPr>
          <w:rtl/>
        </w:rPr>
        <w:t xml:space="preserve"> </w:t>
      </w:r>
      <w:r>
        <w:rPr>
          <w:rFonts w:ascii="Arial"/>
          <w:b/>
          <w:bCs/>
          <w:sz w:val="38"/>
          <w:rtl/>
        </w:rPr>
        <w:t>ובגין דטבעת כו'.</w:t>
      </w:r>
      <w:r>
        <w:rPr>
          <w:rFonts w:ascii="Arial"/>
          <w:sz w:val="38"/>
          <w:rtl/>
        </w:rPr>
        <w:t xml:space="preserve"> רוצה לומר ולכן מקדשין בטבעת, שהטבעת היא צורת י' כמו שמפרש והולך:</w:t>
      </w:r>
    </w:p>
  </w:footnote>
  <w:footnote w:id="1401">
    <w:p w:rsidR="00A13282" w:rsidRDefault="00A13282">
      <w:pPr>
        <w:pStyle w:val="a5"/>
        <w:rPr>
          <w:rtl/>
        </w:rPr>
      </w:pPr>
      <w:r>
        <w:rPr>
          <w:rStyle w:val="a7"/>
          <w:rtl/>
        </w:rPr>
        <w:footnoteRef/>
      </w:r>
      <w:r>
        <w:rPr>
          <w:rtl/>
        </w:rPr>
        <w:t xml:space="preserve"> </w:t>
      </w:r>
      <w:r>
        <w:rPr>
          <w:rFonts w:ascii="Arial"/>
          <w:b/>
          <w:bCs/>
          <w:sz w:val="38"/>
          <w:rtl/>
        </w:rPr>
        <w:t>ואתעבידת ז'.</w:t>
      </w:r>
      <w:r>
        <w:rPr>
          <w:rFonts w:ascii="Arial"/>
          <w:sz w:val="38"/>
          <w:rtl/>
        </w:rPr>
        <w:t xml:space="preserve"> רוצה לומר כמו שמפרש והולך דלכך מברכין לה בז' ברכות, ורוצה לומר ואתעבידת - שהיא נעשית עטרת בעלה, י' על גבי ו', ז':</w:t>
      </w:r>
    </w:p>
  </w:footnote>
  <w:footnote w:id="1402">
    <w:p w:rsidR="00A13282" w:rsidRDefault="00A13282">
      <w:pPr>
        <w:pStyle w:val="a5"/>
        <w:rPr>
          <w:rtl/>
        </w:rPr>
      </w:pPr>
      <w:r>
        <w:rPr>
          <w:rStyle w:val="a7"/>
          <w:rtl/>
        </w:rPr>
        <w:footnoteRef/>
      </w:r>
      <w:r>
        <w:rPr>
          <w:rtl/>
        </w:rPr>
        <w:t xml:space="preserve"> </w:t>
      </w:r>
      <w:r>
        <w:rPr>
          <w:rFonts w:ascii="Arial"/>
          <w:b/>
          <w:bCs/>
          <w:sz w:val="38"/>
          <w:rtl/>
        </w:rPr>
        <w:t>דירתא כלה.</w:t>
      </w:r>
      <w:r>
        <w:rPr>
          <w:rFonts w:ascii="Arial"/>
          <w:sz w:val="38"/>
          <w:rtl/>
        </w:rPr>
        <w:t xml:space="preserve"> דלעילא:</w:t>
      </w:r>
    </w:p>
  </w:footnote>
  <w:footnote w:id="1403">
    <w:p w:rsidR="00A13282" w:rsidRDefault="00A13282">
      <w:pPr>
        <w:pStyle w:val="a5"/>
        <w:rPr>
          <w:rtl/>
        </w:rPr>
      </w:pPr>
      <w:r>
        <w:rPr>
          <w:rStyle w:val="a7"/>
          <w:rtl/>
        </w:rPr>
        <w:footnoteRef/>
      </w:r>
      <w:r>
        <w:rPr>
          <w:rtl/>
        </w:rPr>
        <w:t xml:space="preserve"> </w:t>
      </w:r>
      <w:r>
        <w:rPr>
          <w:rFonts w:ascii="Arial"/>
          <w:b/>
          <w:bCs/>
          <w:sz w:val="38"/>
          <w:rtl/>
        </w:rPr>
        <w:t>מאי נשיקות פיהו.</w:t>
      </w:r>
      <w:r>
        <w:rPr>
          <w:rFonts w:ascii="Arial"/>
          <w:sz w:val="38"/>
          <w:rtl/>
        </w:rPr>
        <w:t xml:space="preserve"> רוצה לומר ה' ו' הן מיותר, ונשיקות - לשון רבים, ומפרש שה' ו' הן חתן וכלה, וכל אחד נשיקות, תרין שפוון:</w:t>
      </w:r>
    </w:p>
  </w:footnote>
  <w:footnote w:id="1404">
    <w:p w:rsidR="00A13282" w:rsidRDefault="00A13282">
      <w:pPr>
        <w:pStyle w:val="a5"/>
        <w:rPr>
          <w:rtl/>
        </w:rPr>
      </w:pPr>
      <w:r>
        <w:rPr>
          <w:rStyle w:val="a7"/>
          <w:rtl/>
        </w:rPr>
        <w:footnoteRef/>
      </w:r>
      <w:r>
        <w:rPr>
          <w:rtl/>
        </w:rPr>
        <w:t xml:space="preserve"> </w:t>
      </w:r>
      <w:r>
        <w:rPr>
          <w:rFonts w:ascii="Arial"/>
          <w:b/>
          <w:bCs/>
          <w:sz w:val="38"/>
          <w:rtl/>
        </w:rPr>
        <w:t>אינון ארבע כו'.</w:t>
      </w:r>
      <w:r>
        <w:rPr>
          <w:rFonts w:ascii="Arial"/>
          <w:sz w:val="38"/>
          <w:rtl/>
        </w:rPr>
        <w:t xml:space="preserve"> כמו שאומר לקמן דשפתים נקראים גדפין:</w:t>
      </w:r>
    </w:p>
  </w:footnote>
  <w:footnote w:id="1405">
    <w:p w:rsidR="00A13282" w:rsidRDefault="00A13282">
      <w:pPr>
        <w:pStyle w:val="a5"/>
        <w:rPr>
          <w:rtl/>
        </w:rPr>
      </w:pPr>
      <w:r>
        <w:rPr>
          <w:rStyle w:val="a7"/>
          <w:rtl/>
        </w:rPr>
        <w:footnoteRef/>
      </w:r>
      <w:r>
        <w:rPr>
          <w:rtl/>
        </w:rPr>
        <w:t xml:space="preserve"> </w:t>
      </w:r>
      <w:r>
        <w:rPr>
          <w:rFonts w:ascii="Arial"/>
          <w:b/>
          <w:bCs/>
          <w:sz w:val="38"/>
          <w:rtl/>
        </w:rPr>
        <w:t>לאחת מהן.</w:t>
      </w:r>
      <w:r>
        <w:rPr>
          <w:rFonts w:ascii="Arial"/>
          <w:sz w:val="38"/>
          <w:rtl/>
        </w:rPr>
        <w:t xml:space="preserve"> רוצה לומר ששניהם נעשו אחת:</w:t>
      </w:r>
    </w:p>
  </w:footnote>
  <w:footnote w:id="1406">
    <w:p w:rsidR="00A13282" w:rsidRDefault="00A13282">
      <w:pPr>
        <w:pStyle w:val="a5"/>
        <w:rPr>
          <w:rtl/>
        </w:rPr>
      </w:pPr>
      <w:r>
        <w:rPr>
          <w:rStyle w:val="a7"/>
          <w:rtl/>
        </w:rPr>
        <w:footnoteRef/>
      </w:r>
      <w:r>
        <w:rPr>
          <w:rtl/>
        </w:rPr>
        <w:t xml:space="preserve"> </w:t>
      </w:r>
      <w:r>
        <w:rPr>
          <w:rFonts w:ascii="Arial"/>
          <w:b/>
          <w:bCs/>
          <w:sz w:val="38"/>
          <w:rtl/>
        </w:rPr>
        <w:t>וכד אתכלילן כו'.</w:t>
      </w:r>
      <w:r>
        <w:rPr>
          <w:rFonts w:ascii="Arial"/>
          <w:sz w:val="38"/>
          <w:rtl/>
        </w:rPr>
        <w:t xml:space="preserve"> שהדרועין הן כנפים כידוע:</w:t>
      </w:r>
    </w:p>
  </w:footnote>
  <w:footnote w:id="1407">
    <w:p w:rsidR="00A13282" w:rsidRDefault="00A13282">
      <w:pPr>
        <w:pStyle w:val="a5"/>
        <w:rPr>
          <w:rtl/>
        </w:rPr>
      </w:pPr>
      <w:r>
        <w:rPr>
          <w:rStyle w:val="a7"/>
          <w:rtl/>
        </w:rPr>
        <w:footnoteRef/>
      </w:r>
      <w:r>
        <w:rPr>
          <w:rtl/>
        </w:rPr>
        <w:t xml:space="preserve"> </w:t>
      </w:r>
      <w:r>
        <w:rPr>
          <w:rFonts w:ascii="Arial"/>
          <w:b/>
          <w:bCs/>
          <w:sz w:val="38"/>
          <w:rtl/>
        </w:rPr>
        <w:t>אתמר בהון כו'.</w:t>
      </w:r>
      <w:r>
        <w:rPr>
          <w:rFonts w:ascii="Arial"/>
          <w:sz w:val="38"/>
          <w:rtl/>
        </w:rPr>
        <w:t xml:space="preserve"> ורוצה לומר בתפלת הלחש שהוא מסיטרא דאדני כידוע אז הן בבחינת נישוק קודם היחוד, ד' גדפין דאדנ"י, ובחזרה, שאז הוא יחוד הוי"ה ואדני, כידוע בבחינות היחוד וזה שאומר ואינון ד' כו':</w:t>
      </w:r>
    </w:p>
  </w:footnote>
  <w:footnote w:id="1408">
    <w:p w:rsidR="00A13282" w:rsidRDefault="00A13282">
      <w:pPr>
        <w:pStyle w:val="a5"/>
        <w:rPr>
          <w:rtl/>
        </w:rPr>
      </w:pPr>
      <w:r>
        <w:rPr>
          <w:rStyle w:val="a7"/>
          <w:rtl/>
        </w:rPr>
        <w:footnoteRef/>
      </w:r>
      <w:r>
        <w:rPr>
          <w:rtl/>
        </w:rPr>
        <w:t xml:space="preserve"> </w:t>
      </w:r>
      <w:r>
        <w:rPr>
          <w:rFonts w:ascii="Arial"/>
          <w:b/>
          <w:bCs/>
          <w:sz w:val="38"/>
          <w:rtl/>
        </w:rPr>
        <w:t>בחיבורא חדא כו'.</w:t>
      </w:r>
      <w:r>
        <w:rPr>
          <w:rFonts w:ascii="Arial"/>
          <w:sz w:val="38"/>
          <w:rtl/>
        </w:rPr>
        <w:t xml:space="preserve"> רוצה לומר כי השמות הן אז משולבות, כי ביה - שני פנים ושני דרועין, שתי אותיות הויה ושתי אותיות אדנ"י, וכן בה:</w:t>
      </w:r>
    </w:p>
  </w:footnote>
  <w:footnote w:id="1409">
    <w:p w:rsidR="00A13282" w:rsidRDefault="00A13282">
      <w:pPr>
        <w:pStyle w:val="a5"/>
        <w:rPr>
          <w:rtl/>
        </w:rPr>
      </w:pPr>
      <w:r>
        <w:rPr>
          <w:rStyle w:val="a7"/>
          <w:rtl/>
        </w:rPr>
        <w:footnoteRef/>
      </w:r>
      <w:r>
        <w:rPr>
          <w:rtl/>
        </w:rPr>
        <w:t xml:space="preserve"> </w:t>
      </w:r>
      <w:r>
        <w:rPr>
          <w:rFonts w:ascii="Arial"/>
          <w:b/>
          <w:bCs/>
          <w:sz w:val="38"/>
          <w:rtl/>
        </w:rPr>
        <w:t>כד מתחברין כו' ממללות.</w:t>
      </w:r>
      <w:r>
        <w:rPr>
          <w:rFonts w:ascii="Arial"/>
          <w:sz w:val="38"/>
          <w:rtl/>
        </w:rPr>
        <w:t xml:space="preserve"> תפלת קול רם:</w:t>
      </w:r>
    </w:p>
  </w:footnote>
  <w:footnote w:id="1410">
    <w:p w:rsidR="00A13282" w:rsidRDefault="00A13282">
      <w:pPr>
        <w:pStyle w:val="a5"/>
        <w:rPr>
          <w:rtl/>
        </w:rPr>
      </w:pPr>
      <w:r>
        <w:rPr>
          <w:rStyle w:val="a7"/>
          <w:rtl/>
        </w:rPr>
        <w:footnoteRef/>
      </w:r>
      <w:r>
        <w:rPr>
          <w:rtl/>
        </w:rPr>
        <w:t xml:space="preserve"> </w:t>
      </w:r>
      <w:r>
        <w:rPr>
          <w:rFonts w:ascii="Arial"/>
          <w:b/>
          <w:bCs/>
          <w:sz w:val="38"/>
          <w:rtl/>
        </w:rPr>
        <w:t>זמנין חשות.</w:t>
      </w:r>
      <w:r>
        <w:rPr>
          <w:rFonts w:ascii="Arial"/>
          <w:sz w:val="38"/>
          <w:rtl/>
        </w:rPr>
        <w:t xml:space="preserve"> רוצה לומר שקהל צריכין לשתוק בכל הברכה ובסוף הברכה לענות אמן וזהו זמנין כו':</w:t>
      </w:r>
    </w:p>
  </w:footnote>
  <w:footnote w:id="1411">
    <w:p w:rsidR="00A13282" w:rsidRDefault="00A13282">
      <w:pPr>
        <w:pStyle w:val="a5"/>
        <w:rPr>
          <w:rtl/>
        </w:rPr>
      </w:pPr>
      <w:r>
        <w:rPr>
          <w:rStyle w:val="a7"/>
          <w:rtl/>
        </w:rPr>
        <w:footnoteRef/>
      </w:r>
      <w:r>
        <w:rPr>
          <w:rtl/>
        </w:rPr>
        <w:t xml:space="preserve"> </w:t>
      </w:r>
      <w:r>
        <w:rPr>
          <w:rFonts w:ascii="Arial"/>
          <w:b/>
          <w:bCs/>
          <w:sz w:val="38"/>
          <w:rtl/>
        </w:rPr>
        <w:t>גדול העונה כו'.</w:t>
      </w:r>
      <w:r>
        <w:rPr>
          <w:rFonts w:ascii="Arial"/>
          <w:sz w:val="38"/>
          <w:rtl/>
        </w:rPr>
        <w:t xml:space="preserve"> דהמברך תמיד ממלל בקלא, שהוא הויה, שעליו נאמר חיות אש ממללות. ובקהל - זמנין כו' כידוע, שחש הוא אדני ומל הוא הויה, ומתחברין כחדא. והוא כמו שבארנו, דבתפלת החזן נכללת במחשבה הוי"ה ככתיבתו, ובדיבורו - אדנ"י. ובעניית אמן, שהוא גימטריה שני שמות אלו - מתחברין כחדא. וזה שאומר בגין דמתחברין כו':</w:t>
      </w:r>
    </w:p>
  </w:footnote>
  <w:footnote w:id="1412">
    <w:p w:rsidR="00A13282" w:rsidRDefault="00A13282">
      <w:pPr>
        <w:pStyle w:val="a5"/>
        <w:rPr>
          <w:rtl/>
        </w:rPr>
      </w:pPr>
      <w:r>
        <w:rPr>
          <w:rStyle w:val="a7"/>
          <w:rtl/>
        </w:rPr>
        <w:footnoteRef/>
      </w:r>
      <w:r>
        <w:rPr>
          <w:rtl/>
        </w:rPr>
        <w:t xml:space="preserve"> </w:t>
      </w:r>
      <w:r>
        <w:rPr>
          <w:rFonts w:ascii="Arial"/>
          <w:b/>
          <w:bCs/>
          <w:sz w:val="38"/>
          <w:rtl/>
        </w:rPr>
        <w:t>אינון ד' חיון אינון אדני.</w:t>
      </w:r>
      <w:r>
        <w:rPr>
          <w:rFonts w:ascii="Arial"/>
          <w:sz w:val="38"/>
          <w:rtl/>
        </w:rPr>
        <w:t xml:space="preserve"> מפרש כאן היאך נכללין שני שמות הנ"ל בד' חיות. ואמר שחיות עצמן הן אדני כמו שאמר למעלה בתיקון א', שבמלכות תמן ד' חיון, והן מקבלין עליהן ד' אותיות הוי"ה, כמו שמפרש והולך:</w:t>
      </w:r>
    </w:p>
  </w:footnote>
  <w:footnote w:id="1413">
    <w:p w:rsidR="00A13282" w:rsidRDefault="00A13282">
      <w:pPr>
        <w:jc w:val="both"/>
        <w:rPr>
          <w:rFonts w:ascii="Arial" w:cs="Arial"/>
          <w:sz w:val="38"/>
          <w:szCs w:val="24"/>
          <w:rtl/>
        </w:rPr>
      </w:pPr>
      <w:r>
        <w:rPr>
          <w:rStyle w:val="a7"/>
          <w:rFonts w:cs="Arial"/>
          <w:szCs w:val="24"/>
          <w:rtl/>
        </w:rPr>
        <w:footnoteRef/>
      </w:r>
      <w:r>
        <w:rPr>
          <w:rtl/>
        </w:rPr>
        <w:t xml:space="preserve"> </w:t>
      </w:r>
      <w:r>
        <w:rPr>
          <w:rFonts w:ascii="Arial" w:cs="Arial"/>
          <w:b/>
          <w:bCs/>
          <w:sz w:val="38"/>
          <w:szCs w:val="24"/>
          <w:rtl/>
        </w:rPr>
        <w:t>ובזמנא כו'.</w:t>
      </w:r>
      <w:r>
        <w:rPr>
          <w:rtl/>
        </w:rPr>
        <w:t xml:space="preserve"> </w:t>
      </w:r>
      <w:r>
        <w:rPr>
          <w:rFonts w:ascii="Arial" w:cs="Arial"/>
          <w:sz w:val="38"/>
          <w:szCs w:val="24"/>
          <w:rtl/>
        </w:rPr>
        <w:t>רוצה לומר בזמנא דמלכות היא בימין, מסיטרא דאריה, אז הרוצה כו' שחכמה היא במוחא ונאמר אריה אל הימין שהוא דרום:</w:t>
      </w:r>
    </w:p>
  </w:footnote>
  <w:footnote w:id="1414">
    <w:p w:rsidR="00A13282" w:rsidRDefault="00A13282">
      <w:pPr>
        <w:pStyle w:val="a5"/>
        <w:rPr>
          <w:rtl/>
        </w:rPr>
      </w:pPr>
      <w:r>
        <w:rPr>
          <w:rStyle w:val="a7"/>
          <w:rtl/>
        </w:rPr>
        <w:footnoteRef/>
      </w:r>
      <w:r>
        <w:rPr>
          <w:rtl/>
        </w:rPr>
        <w:t xml:space="preserve"> </w:t>
      </w:r>
      <w:r>
        <w:rPr>
          <w:rFonts w:ascii="Arial"/>
          <w:b/>
          <w:bCs/>
          <w:sz w:val="38"/>
          <w:rtl/>
        </w:rPr>
        <w:t>לקבל לבא.</w:t>
      </w:r>
      <w:r>
        <w:rPr>
          <w:rFonts w:ascii="Arial"/>
          <w:sz w:val="38"/>
          <w:rtl/>
        </w:rPr>
        <w:t xml:space="preserve"> שהלב הוא בשמאל:</w:t>
      </w:r>
    </w:p>
  </w:footnote>
  <w:footnote w:id="1415">
    <w:p w:rsidR="00A13282" w:rsidRDefault="00A13282">
      <w:pPr>
        <w:pStyle w:val="a5"/>
        <w:rPr>
          <w:rtl/>
        </w:rPr>
      </w:pPr>
      <w:r>
        <w:rPr>
          <w:rStyle w:val="a7"/>
          <w:rtl/>
        </w:rPr>
        <w:footnoteRef/>
      </w:r>
      <w:r>
        <w:rPr>
          <w:rtl/>
        </w:rPr>
        <w:t xml:space="preserve"> </w:t>
      </w:r>
      <w:r>
        <w:rPr>
          <w:rFonts w:ascii="Arial"/>
          <w:b/>
          <w:bCs/>
          <w:sz w:val="38"/>
          <w:rtl/>
        </w:rPr>
        <w:t>ה' הבל דלבא.</w:t>
      </w:r>
      <w:r>
        <w:rPr>
          <w:rFonts w:ascii="Arial"/>
          <w:sz w:val="38"/>
          <w:rtl/>
        </w:rPr>
        <w:t xml:space="preserve"> רוצה לומר שהבל בא מלב, הבל הוא אותיות הלב, ה' לב, ששם שריא ה', וזה שאומר תמן ה':</w:t>
      </w:r>
    </w:p>
  </w:footnote>
  <w:footnote w:id="1416">
    <w:p w:rsidR="00A13282" w:rsidRDefault="00A13282">
      <w:pPr>
        <w:pStyle w:val="a5"/>
        <w:rPr>
          <w:rtl/>
        </w:rPr>
      </w:pPr>
      <w:r>
        <w:rPr>
          <w:rStyle w:val="a7"/>
          <w:rtl/>
        </w:rPr>
        <w:footnoteRef/>
      </w:r>
      <w:r>
        <w:rPr>
          <w:rtl/>
        </w:rPr>
        <w:t xml:space="preserve"> </w:t>
      </w:r>
      <w:r>
        <w:rPr>
          <w:rFonts w:ascii="Arial"/>
          <w:b/>
          <w:bCs/>
          <w:sz w:val="38"/>
          <w:rtl/>
        </w:rPr>
        <w:t>מצפון כו'.</w:t>
      </w:r>
      <w:r>
        <w:rPr>
          <w:rFonts w:ascii="Arial"/>
          <w:sz w:val="38"/>
          <w:rtl/>
        </w:rPr>
        <w:t xml:space="preserve"> רוצה לומר וזה שאומר הרוצה להעשיר כו' כמו שמפרש והולך ולכן שם שור, ורב תבואות בכח שור (משלי יד ד):</w:t>
      </w:r>
    </w:p>
  </w:footnote>
  <w:footnote w:id="1417">
    <w:p w:rsidR="00A13282" w:rsidRDefault="00A13282">
      <w:pPr>
        <w:pStyle w:val="a5"/>
        <w:rPr>
          <w:rtl/>
        </w:rPr>
      </w:pPr>
      <w:r>
        <w:rPr>
          <w:rStyle w:val="a7"/>
          <w:rtl/>
        </w:rPr>
        <w:footnoteRef/>
      </w:r>
      <w:r>
        <w:rPr>
          <w:rtl/>
        </w:rPr>
        <w:t xml:space="preserve"> </w:t>
      </w:r>
      <w:r>
        <w:rPr>
          <w:rFonts w:ascii="Arial"/>
          <w:b/>
          <w:bCs/>
          <w:sz w:val="38"/>
          <w:rtl/>
        </w:rPr>
        <w:t>י"ק דחילו כו'.</w:t>
      </w:r>
      <w:r>
        <w:rPr>
          <w:rFonts w:ascii="Arial"/>
          <w:sz w:val="38"/>
          <w:rtl/>
        </w:rPr>
        <w:t xml:space="preserve"> מפרש ו' דברים: א', ד' חיות. ב', ד' אותיות הויה. ג', ד' פרצופים, או"א זו"נ. ד', ד' רגלי המרכבה, חגת"ם. ה', ד' דברים: יראה אהבה תורה ומצות. ו', אברים דשריא בהון: מוחא ולבא כו'. וזה שאומר י"ה כו' עד ושמאלא, וזה שאומר אל הימין כו' אל השמאל כו':</w:t>
      </w:r>
    </w:p>
  </w:footnote>
  <w:footnote w:id="1418">
    <w:p w:rsidR="00A13282" w:rsidRDefault="00A13282">
      <w:pPr>
        <w:pStyle w:val="a5"/>
        <w:rPr>
          <w:rtl/>
        </w:rPr>
      </w:pPr>
      <w:r>
        <w:rPr>
          <w:rStyle w:val="a7"/>
          <w:rtl/>
        </w:rPr>
        <w:footnoteRef/>
      </w:r>
      <w:r>
        <w:rPr>
          <w:rtl/>
        </w:rPr>
        <w:t xml:space="preserve"> </w:t>
      </w:r>
      <w:r>
        <w:rPr>
          <w:rFonts w:ascii="Arial"/>
          <w:b/>
          <w:bCs/>
          <w:sz w:val="38"/>
          <w:rtl/>
        </w:rPr>
        <w:t>דרועא כו'.</w:t>
      </w:r>
      <w:r>
        <w:rPr>
          <w:rFonts w:ascii="Arial"/>
          <w:sz w:val="38"/>
          <w:rtl/>
        </w:rPr>
        <w:t xml:space="preserve"> שחכמה נחית בימינא, בינה - בשמאלא, כמו שאומר לעיל בהקדמה:</w:t>
      </w:r>
    </w:p>
  </w:footnote>
  <w:footnote w:id="1419">
    <w:p w:rsidR="00A13282" w:rsidRDefault="00A13282">
      <w:pPr>
        <w:pStyle w:val="a5"/>
        <w:rPr>
          <w:rtl/>
        </w:rPr>
      </w:pPr>
      <w:r>
        <w:rPr>
          <w:rStyle w:val="a7"/>
          <w:rtl/>
        </w:rPr>
        <w:footnoteRef/>
      </w:r>
      <w:r>
        <w:rPr>
          <w:rtl/>
        </w:rPr>
        <w:t xml:space="preserve"> </w:t>
      </w:r>
      <w:r>
        <w:rPr>
          <w:rFonts w:ascii="Arial"/>
          <w:b/>
          <w:bCs/>
          <w:sz w:val="38"/>
          <w:rtl/>
        </w:rPr>
        <w:t>דסלקין לחושבן כו'.</w:t>
      </w:r>
      <w:r>
        <w:rPr>
          <w:rFonts w:ascii="Arial"/>
          <w:sz w:val="38"/>
          <w:rtl/>
        </w:rPr>
        <w:t xml:space="preserve"> רוצה לומר שחסד גימטריה ע"ב, וגבורה גימטריה רי"ו, שהן כלל ופרט כידוע, והן אותיות ויעבר, עיבור, ועיבור הוא באו"א כידוע, וזהו ויעבר ה' רוצה לומר עיבור ה', והוא ראיה דאו"א הן בחו"ג, ימינא ושמאלא:</w:t>
      </w:r>
    </w:p>
  </w:footnote>
  <w:footnote w:id="1420">
    <w:p w:rsidR="00A13282" w:rsidRDefault="00A13282">
      <w:pPr>
        <w:pStyle w:val="a5"/>
        <w:rPr>
          <w:rtl/>
        </w:rPr>
      </w:pPr>
      <w:r>
        <w:rPr>
          <w:rStyle w:val="a7"/>
          <w:rtl/>
        </w:rPr>
        <w:footnoteRef/>
      </w:r>
      <w:r>
        <w:rPr>
          <w:rtl/>
        </w:rPr>
        <w:t xml:space="preserve"> </w:t>
      </w:r>
      <w:r>
        <w:rPr>
          <w:rFonts w:ascii="Arial"/>
          <w:b/>
          <w:bCs/>
          <w:sz w:val="38"/>
          <w:rtl/>
        </w:rPr>
        <w:t>וברוחא דפומא כו'.</w:t>
      </w:r>
      <w:r>
        <w:rPr>
          <w:rFonts w:ascii="Arial"/>
          <w:sz w:val="38"/>
          <w:rtl/>
        </w:rPr>
        <w:t xml:space="preserve"> רוצה לומר פריחת הנשר באויר:</w:t>
      </w:r>
    </w:p>
  </w:footnote>
  <w:footnote w:id="1421">
    <w:p w:rsidR="00A13282" w:rsidRDefault="00A13282">
      <w:pPr>
        <w:pStyle w:val="a5"/>
        <w:rPr>
          <w:rtl/>
        </w:rPr>
      </w:pPr>
      <w:r>
        <w:rPr>
          <w:rStyle w:val="a7"/>
          <w:rtl/>
        </w:rPr>
        <w:footnoteRef/>
      </w:r>
      <w:r>
        <w:rPr>
          <w:rtl/>
        </w:rPr>
        <w:t xml:space="preserve"> </w:t>
      </w:r>
      <w:r>
        <w:rPr>
          <w:rFonts w:ascii="Arial"/>
          <w:b/>
          <w:bCs/>
          <w:sz w:val="38"/>
          <w:rtl/>
        </w:rPr>
        <w:t>עוף השמים.</w:t>
      </w:r>
      <w:r>
        <w:rPr>
          <w:rFonts w:ascii="Arial"/>
          <w:sz w:val="38"/>
          <w:rtl/>
        </w:rPr>
        <w:t xml:space="preserve"> דרך הנשר בשמים, ת"ת:</w:t>
      </w:r>
    </w:p>
  </w:footnote>
  <w:footnote w:id="1422">
    <w:p w:rsidR="00A13282" w:rsidRDefault="00A13282">
      <w:pPr>
        <w:pStyle w:val="a5"/>
        <w:rPr>
          <w:rtl/>
        </w:rPr>
      </w:pPr>
      <w:r>
        <w:rPr>
          <w:rStyle w:val="a7"/>
          <w:rtl/>
        </w:rPr>
        <w:footnoteRef/>
      </w:r>
      <w:r>
        <w:rPr>
          <w:rtl/>
        </w:rPr>
        <w:t xml:space="preserve"> </w:t>
      </w:r>
      <w:r>
        <w:rPr>
          <w:rFonts w:ascii="Arial"/>
          <w:b/>
          <w:bCs/>
          <w:sz w:val="38"/>
          <w:rtl/>
        </w:rPr>
        <w:t>ובעל כנפים.</w:t>
      </w:r>
      <w:r>
        <w:rPr>
          <w:rFonts w:ascii="Arial"/>
          <w:sz w:val="38"/>
          <w:rtl/>
        </w:rPr>
        <w:t xml:space="preserve"> השפתים כנ"ל:</w:t>
      </w:r>
    </w:p>
  </w:footnote>
  <w:footnote w:id="1423">
    <w:p w:rsidR="00A13282" w:rsidRDefault="00A13282">
      <w:pPr>
        <w:pStyle w:val="a5"/>
        <w:rPr>
          <w:rtl/>
        </w:rPr>
      </w:pPr>
      <w:r>
        <w:rPr>
          <w:rStyle w:val="a7"/>
          <w:rtl/>
        </w:rPr>
        <w:footnoteRef/>
      </w:r>
      <w:r>
        <w:rPr>
          <w:rtl/>
        </w:rPr>
        <w:t xml:space="preserve"> </w:t>
      </w:r>
      <w:r>
        <w:rPr>
          <w:rFonts w:ascii="Arial"/>
          <w:b/>
          <w:bCs/>
          <w:sz w:val="38"/>
          <w:rtl/>
        </w:rPr>
        <w:t>דחכמה ובינה כו'.</w:t>
      </w:r>
      <w:r>
        <w:rPr>
          <w:rFonts w:ascii="Arial"/>
          <w:sz w:val="38"/>
          <w:rtl/>
        </w:rPr>
        <w:t xml:space="preserve"> כידוע שג' הראשונות הן נסתרות, וכן מוחא ולבא - בפנים הגוף, וכן דחילו ורחימו - אין ניכר, מה שאין כן בתורה ומצוה שהן נגלות בכל ענינים הנ"ל כמו שאומר לקמן:</w:t>
      </w:r>
    </w:p>
  </w:footnote>
  <w:footnote w:id="1424">
    <w:p w:rsidR="00A13282" w:rsidRDefault="00A13282">
      <w:pPr>
        <w:pStyle w:val="a5"/>
        <w:rPr>
          <w:rtl/>
        </w:rPr>
      </w:pPr>
      <w:r>
        <w:rPr>
          <w:rStyle w:val="a7"/>
          <w:rtl/>
        </w:rPr>
        <w:footnoteRef/>
      </w:r>
      <w:r>
        <w:rPr>
          <w:rtl/>
        </w:rPr>
        <w:t xml:space="preserve"> </w:t>
      </w:r>
      <w:r>
        <w:rPr>
          <w:rFonts w:ascii="Arial"/>
          <w:b/>
          <w:bCs/>
          <w:sz w:val="38"/>
          <w:rtl/>
        </w:rPr>
        <w:t>לא פרחת לעילא.</w:t>
      </w:r>
      <w:r>
        <w:rPr>
          <w:rFonts w:ascii="Arial"/>
          <w:sz w:val="38"/>
          <w:rtl/>
        </w:rPr>
        <w:t xml:space="preserve"> רוצה לומר לאו"א שהן לעילא, כמו שאומר לקמן בלא דחילו כו' קדם י"ה:</w:t>
      </w:r>
    </w:p>
  </w:footnote>
  <w:footnote w:id="1425">
    <w:p w:rsidR="00A13282" w:rsidRDefault="00A13282">
      <w:pPr>
        <w:pStyle w:val="a5"/>
        <w:rPr>
          <w:rtl/>
        </w:rPr>
      </w:pPr>
      <w:r>
        <w:rPr>
          <w:rStyle w:val="a7"/>
          <w:rtl/>
        </w:rPr>
        <w:footnoteRef/>
      </w:r>
      <w:r>
        <w:rPr>
          <w:rtl/>
        </w:rPr>
        <w:t xml:space="preserve"> </w:t>
      </w:r>
      <w:r>
        <w:rPr>
          <w:rFonts w:ascii="Arial"/>
          <w:b/>
          <w:bCs/>
          <w:sz w:val="38"/>
          <w:rtl/>
        </w:rPr>
        <w:t>ובהאי נשר תליין כו'.</w:t>
      </w:r>
      <w:r>
        <w:rPr>
          <w:rFonts w:ascii="Arial"/>
          <w:sz w:val="38"/>
          <w:rtl/>
        </w:rPr>
        <w:t xml:space="preserve"> שהוא כללא דג' אותיות יה"ו, שבהם תליין בני חיי ומזוני, כמו שאומר בתיקוני זוהר חדש:</w:t>
      </w:r>
    </w:p>
  </w:footnote>
  <w:footnote w:id="1426">
    <w:p w:rsidR="00A13282" w:rsidRDefault="00A13282">
      <w:pPr>
        <w:pStyle w:val="a5"/>
        <w:rPr>
          <w:rtl/>
        </w:rPr>
      </w:pPr>
      <w:r>
        <w:rPr>
          <w:rStyle w:val="a7"/>
          <w:rtl/>
        </w:rPr>
        <w:footnoteRef/>
      </w:r>
      <w:r>
        <w:rPr>
          <w:rtl/>
        </w:rPr>
        <w:t xml:space="preserve"> </w:t>
      </w:r>
      <w:r>
        <w:rPr>
          <w:rFonts w:ascii="Arial"/>
          <w:b/>
          <w:bCs/>
          <w:sz w:val="38"/>
          <w:rtl/>
        </w:rPr>
        <w:t>דאיהו מזלא כו'.</w:t>
      </w:r>
      <w:r>
        <w:rPr>
          <w:rFonts w:ascii="Arial"/>
          <w:sz w:val="38"/>
          <w:rtl/>
        </w:rPr>
        <w:t xml:space="preserve"> כללא דכולהו דסליק עד כתר:</w:t>
      </w:r>
    </w:p>
  </w:footnote>
  <w:footnote w:id="1427">
    <w:p w:rsidR="00A13282" w:rsidRDefault="00A13282">
      <w:pPr>
        <w:pStyle w:val="a5"/>
        <w:rPr>
          <w:rtl/>
        </w:rPr>
      </w:pPr>
      <w:r>
        <w:rPr>
          <w:rStyle w:val="a7"/>
          <w:rtl/>
        </w:rPr>
        <w:footnoteRef/>
      </w:r>
      <w:r>
        <w:rPr>
          <w:rtl/>
        </w:rPr>
        <w:t xml:space="preserve"> </w:t>
      </w:r>
      <w:r>
        <w:rPr>
          <w:rFonts w:ascii="Arial"/>
          <w:b/>
          <w:bCs/>
          <w:sz w:val="38"/>
          <w:rtl/>
        </w:rPr>
        <w:t>ברמ"ח אברים.</w:t>
      </w:r>
      <w:r>
        <w:rPr>
          <w:rFonts w:ascii="Arial"/>
          <w:sz w:val="38"/>
          <w:rtl/>
        </w:rPr>
        <w:t xml:space="preserve"> שבאברים תליין עשיית המצות, ואיהי ה' זעירא דהבראם - גימטריה רמ"ח, בראם - אותיות אברם וכן ה' דאברהם:</w:t>
      </w:r>
    </w:p>
  </w:footnote>
  <w:footnote w:id="1428">
    <w:p w:rsidR="00A13282" w:rsidRDefault="00A13282">
      <w:pPr>
        <w:pStyle w:val="a5"/>
        <w:rPr>
          <w:rtl/>
        </w:rPr>
      </w:pPr>
      <w:r>
        <w:rPr>
          <w:rStyle w:val="a7"/>
          <w:rtl/>
        </w:rPr>
        <w:footnoteRef/>
      </w:r>
      <w:r>
        <w:rPr>
          <w:rtl/>
        </w:rPr>
        <w:t xml:space="preserve"> </w:t>
      </w:r>
      <w:r>
        <w:rPr>
          <w:rFonts w:ascii="Arial"/>
          <w:b/>
          <w:bCs/>
          <w:sz w:val="38"/>
          <w:rtl/>
        </w:rPr>
        <w:t>ועל כלא אדם.</w:t>
      </w:r>
      <w:r>
        <w:rPr>
          <w:rFonts w:ascii="Arial"/>
          <w:sz w:val="38"/>
          <w:rtl/>
        </w:rPr>
        <w:t xml:space="preserve"> רוצה לומר אדם היושב על הכסא והוא שמא מפרש, גימטריה אדם. והוא מחשבה דסלקא על ד' דברים: יראה ואהבה ותורה ומצוה. וזה שאומר דא מחשבה, שד' חיון - ד' אותיות הוי"ה פשוטה, ואדם על גביהן - שמא מפרש המתפשט בתוכם:</w:t>
      </w:r>
    </w:p>
  </w:footnote>
  <w:footnote w:id="1429">
    <w:p w:rsidR="00A13282" w:rsidRDefault="00A13282">
      <w:pPr>
        <w:pStyle w:val="a5"/>
        <w:rPr>
          <w:rtl/>
        </w:rPr>
      </w:pPr>
      <w:r>
        <w:rPr>
          <w:rStyle w:val="a7"/>
          <w:rtl/>
        </w:rPr>
        <w:footnoteRef/>
      </w:r>
      <w:r>
        <w:rPr>
          <w:rtl/>
        </w:rPr>
        <w:t xml:space="preserve"> </w:t>
      </w:r>
      <w:r>
        <w:rPr>
          <w:rFonts w:ascii="Arial"/>
          <w:b/>
          <w:bCs/>
          <w:sz w:val="38"/>
          <w:rtl/>
        </w:rPr>
        <w:t>במלכותא אשתלם כו'.</w:t>
      </w:r>
      <w:r>
        <w:rPr>
          <w:rFonts w:ascii="Arial"/>
          <w:sz w:val="38"/>
          <w:rtl/>
        </w:rPr>
        <w:t xml:space="preserve"> רוצה לומר, שהמלכות היא כתר, כתר מלכות, כמו שאומר להלן, ולכן היא דמות אדם, כתר שנקרא אדם כנ"ל, ובה אשתלם עילא ותתא:</w:t>
      </w:r>
    </w:p>
  </w:footnote>
  <w:footnote w:id="1430">
    <w:p w:rsidR="00A13282" w:rsidRDefault="00A13282">
      <w:pPr>
        <w:pStyle w:val="a5"/>
        <w:rPr>
          <w:rtl/>
        </w:rPr>
      </w:pPr>
      <w:r>
        <w:rPr>
          <w:rStyle w:val="a7"/>
          <w:rtl/>
        </w:rPr>
        <w:footnoteRef/>
      </w:r>
      <w:r>
        <w:rPr>
          <w:rtl/>
        </w:rPr>
        <w:t xml:space="preserve"> </w:t>
      </w:r>
      <w:r>
        <w:rPr>
          <w:rFonts w:ascii="Arial"/>
          <w:b/>
          <w:bCs/>
          <w:sz w:val="38"/>
          <w:rtl/>
        </w:rPr>
        <w:t>ואיהי כלילא כו'.</w:t>
      </w:r>
      <w:r>
        <w:rPr>
          <w:rFonts w:ascii="Arial"/>
          <w:sz w:val="38"/>
          <w:rtl/>
        </w:rPr>
        <w:t xml:space="preserve"> שד' פרשיות הן ד' אותיות הוי"ה שכלול בה, כמו שאומר לעיל איהי כלילא דכולהו:</w:t>
      </w:r>
    </w:p>
  </w:footnote>
  <w:footnote w:id="1431">
    <w:p w:rsidR="00A13282" w:rsidRDefault="00A13282">
      <w:pPr>
        <w:pStyle w:val="a5"/>
        <w:rPr>
          <w:rtl/>
        </w:rPr>
      </w:pPr>
      <w:r>
        <w:rPr>
          <w:rStyle w:val="a7"/>
          <w:rtl/>
        </w:rPr>
        <w:footnoteRef/>
      </w:r>
      <w:r>
        <w:rPr>
          <w:rtl/>
        </w:rPr>
        <w:t xml:space="preserve"> </w:t>
      </w:r>
      <w:r>
        <w:rPr>
          <w:rFonts w:ascii="Arial"/>
          <w:b/>
          <w:bCs/>
          <w:sz w:val="38"/>
          <w:rtl/>
        </w:rPr>
        <w:t>דאינון רמ"ח כו'.</w:t>
      </w:r>
      <w:r>
        <w:rPr>
          <w:rFonts w:ascii="Arial"/>
          <w:sz w:val="38"/>
          <w:rtl/>
        </w:rPr>
        <w:t xml:space="preserve"> שהיא שריא ברמ"ח איברים כנ"ל:</w:t>
      </w:r>
    </w:p>
  </w:footnote>
  <w:footnote w:id="1432">
    <w:p w:rsidR="00A13282" w:rsidRDefault="00A13282">
      <w:pPr>
        <w:pStyle w:val="a5"/>
        <w:rPr>
          <w:rtl/>
        </w:rPr>
      </w:pPr>
      <w:r>
        <w:rPr>
          <w:rStyle w:val="a7"/>
          <w:rtl/>
        </w:rPr>
        <w:footnoteRef/>
      </w:r>
      <w:r>
        <w:rPr>
          <w:rtl/>
        </w:rPr>
        <w:t xml:space="preserve"> </w:t>
      </w:r>
      <w:r>
        <w:rPr>
          <w:rFonts w:ascii="Arial"/>
          <w:b/>
          <w:bCs/>
          <w:sz w:val="38"/>
          <w:rtl/>
        </w:rPr>
        <w:t>ה' אלקיכם אמת.</w:t>
      </w:r>
      <w:r>
        <w:rPr>
          <w:rFonts w:ascii="Arial"/>
          <w:sz w:val="38"/>
          <w:rtl/>
        </w:rPr>
        <w:t xml:space="preserve"> שהיא כללא דקריאת שמע, ועם ה' אלקיכם אמת - נשלם הוי"ה, שה' אלקיכם הוא או"א כידוע, ואמת הוא עמודא דאמצעיתא וכן אל מלך נאמן:</w:t>
      </w:r>
    </w:p>
  </w:footnote>
  <w:footnote w:id="1433">
    <w:p w:rsidR="00A13282" w:rsidRDefault="00A13282">
      <w:pPr>
        <w:pStyle w:val="a5"/>
        <w:rPr>
          <w:rtl/>
        </w:rPr>
      </w:pPr>
      <w:r>
        <w:rPr>
          <w:rStyle w:val="a7"/>
          <w:rtl/>
        </w:rPr>
        <w:footnoteRef/>
      </w:r>
      <w:r>
        <w:rPr>
          <w:rtl/>
        </w:rPr>
        <w:t xml:space="preserve"> </w:t>
      </w:r>
      <w:r>
        <w:rPr>
          <w:rFonts w:ascii="Arial"/>
          <w:b/>
          <w:bCs/>
          <w:sz w:val="38"/>
          <w:rtl/>
        </w:rPr>
        <w:t>שמע ודאי חיון שמעין גדפייהו.</w:t>
      </w:r>
      <w:r>
        <w:rPr>
          <w:rFonts w:ascii="Arial"/>
          <w:sz w:val="38"/>
          <w:rtl/>
        </w:rPr>
        <w:t xml:space="preserve"> רוצה לומר כמו שכתוב ואשמע את קול כנפיהם:</w:t>
      </w:r>
    </w:p>
  </w:footnote>
  <w:footnote w:id="1434">
    <w:p w:rsidR="00A13282" w:rsidRDefault="00A13282">
      <w:pPr>
        <w:pStyle w:val="a5"/>
        <w:rPr>
          <w:rtl/>
        </w:rPr>
      </w:pPr>
      <w:r>
        <w:rPr>
          <w:rStyle w:val="a7"/>
          <w:rtl/>
        </w:rPr>
        <w:footnoteRef/>
      </w:r>
      <w:r>
        <w:rPr>
          <w:rtl/>
        </w:rPr>
        <w:t xml:space="preserve"> </w:t>
      </w:r>
      <w:r>
        <w:rPr>
          <w:rFonts w:ascii="Arial"/>
          <w:b/>
          <w:bCs/>
          <w:sz w:val="38"/>
          <w:rtl/>
        </w:rPr>
        <w:t>בכנפי מצוה כו' דארבע כנפות כו'.</w:t>
      </w:r>
      <w:r>
        <w:rPr>
          <w:rFonts w:ascii="Arial"/>
          <w:sz w:val="38"/>
          <w:rtl/>
        </w:rPr>
        <w:t xml:space="preserve"> רוצה לומר, כנגד ארבע כנפים של החיות, וזה כסותך, שהן בכסא שהיא לבושא דאדם של אצילות כמו שאומר ברעיא מהימנא וכן ציצית הוא בכסא כמו שמפרש והולך ולכן אמרו תכלת כו' דומה לכסא:</w:t>
      </w:r>
    </w:p>
  </w:footnote>
  <w:footnote w:id="1435">
    <w:p w:rsidR="00A13282" w:rsidRDefault="00A13282">
      <w:pPr>
        <w:pStyle w:val="a5"/>
        <w:rPr>
          <w:rtl/>
        </w:rPr>
      </w:pPr>
      <w:r>
        <w:rPr>
          <w:rStyle w:val="a7"/>
          <w:rtl/>
        </w:rPr>
        <w:footnoteRef/>
      </w:r>
      <w:r>
        <w:rPr>
          <w:rtl/>
        </w:rPr>
        <w:t xml:space="preserve"> </w:t>
      </w:r>
      <w:r>
        <w:rPr>
          <w:rFonts w:ascii="Arial"/>
          <w:b/>
          <w:bCs/>
          <w:sz w:val="38"/>
          <w:rtl/>
        </w:rPr>
        <w:t>דאיהי כגוונא כו'.</w:t>
      </w:r>
      <w:r>
        <w:rPr>
          <w:rFonts w:ascii="Arial"/>
          <w:sz w:val="38"/>
          <w:rtl/>
        </w:rPr>
        <w:t xml:space="preserve"> רוצה לומר ששם נאמר (שמות כח לה) ונשמע קולו כו':</w:t>
      </w:r>
    </w:p>
  </w:footnote>
  <w:footnote w:id="1436">
    <w:p w:rsidR="00A13282" w:rsidRDefault="00A13282">
      <w:pPr>
        <w:pStyle w:val="a5"/>
        <w:rPr>
          <w:rtl/>
        </w:rPr>
      </w:pPr>
      <w:r>
        <w:rPr>
          <w:rStyle w:val="a7"/>
          <w:rtl/>
        </w:rPr>
        <w:footnoteRef/>
      </w:r>
      <w:r>
        <w:rPr>
          <w:rtl/>
        </w:rPr>
        <w:t xml:space="preserve"> </w:t>
      </w:r>
      <w:r>
        <w:rPr>
          <w:rFonts w:ascii="Arial"/>
          <w:b/>
          <w:bCs/>
          <w:sz w:val="38"/>
          <w:rtl/>
        </w:rPr>
        <w:t>דפעמונים כו'.</w:t>
      </w:r>
      <w:r>
        <w:rPr>
          <w:rFonts w:ascii="Arial"/>
          <w:sz w:val="38"/>
          <w:rtl/>
        </w:rPr>
        <w:t xml:space="preserve"> וכן קשרים בתוך החוליות:</w:t>
      </w:r>
    </w:p>
  </w:footnote>
  <w:footnote w:id="1437">
    <w:p w:rsidR="00A13282" w:rsidRDefault="00A13282">
      <w:pPr>
        <w:pStyle w:val="a5"/>
        <w:rPr>
          <w:rtl/>
        </w:rPr>
      </w:pPr>
      <w:r>
        <w:rPr>
          <w:rStyle w:val="a7"/>
          <w:rtl/>
        </w:rPr>
        <w:footnoteRef/>
      </w:r>
      <w:r>
        <w:rPr>
          <w:rtl/>
        </w:rPr>
        <w:t xml:space="preserve"> </w:t>
      </w:r>
      <w:r>
        <w:rPr>
          <w:rFonts w:ascii="Arial"/>
          <w:b/>
          <w:bCs/>
          <w:sz w:val="38"/>
          <w:rtl/>
        </w:rPr>
        <w:t>דאינון לקבל כו'.</w:t>
      </w:r>
      <w:r>
        <w:rPr>
          <w:rFonts w:ascii="Arial"/>
          <w:sz w:val="38"/>
          <w:rtl/>
        </w:rPr>
        <w:t xml:space="preserve"> רוצה לומר שבכנור נשמע הקול:</w:t>
      </w:r>
    </w:p>
  </w:footnote>
  <w:footnote w:id="1438">
    <w:p w:rsidR="00A13282" w:rsidRDefault="00A13282">
      <w:pPr>
        <w:pStyle w:val="a5"/>
        <w:rPr>
          <w:rtl/>
        </w:rPr>
      </w:pPr>
      <w:r>
        <w:rPr>
          <w:rStyle w:val="a7"/>
          <w:rtl/>
        </w:rPr>
        <w:footnoteRef/>
      </w:r>
      <w:r>
        <w:rPr>
          <w:rtl/>
        </w:rPr>
        <w:t xml:space="preserve"> </w:t>
      </w:r>
      <w:r>
        <w:rPr>
          <w:rFonts w:ascii="Arial"/>
          <w:b/>
          <w:bCs/>
          <w:sz w:val="38"/>
          <w:rtl/>
        </w:rPr>
        <w:t>דקלא דנגונא כו'.</w:t>
      </w:r>
      <w:r>
        <w:rPr>
          <w:rFonts w:ascii="Arial"/>
          <w:sz w:val="38"/>
          <w:rtl/>
        </w:rPr>
        <w:t xml:space="preserve"> שהקול מכל נימין נכלל ביחד וזהו אחד דשמע:</w:t>
      </w:r>
    </w:p>
  </w:footnote>
  <w:footnote w:id="1439">
    <w:p w:rsidR="00A13282" w:rsidRDefault="00A13282">
      <w:pPr>
        <w:pStyle w:val="a5"/>
        <w:rPr>
          <w:rtl/>
        </w:rPr>
      </w:pPr>
      <w:r>
        <w:rPr>
          <w:rStyle w:val="a7"/>
          <w:rtl/>
        </w:rPr>
        <w:footnoteRef/>
      </w:r>
      <w:r>
        <w:rPr>
          <w:rtl/>
        </w:rPr>
        <w:t xml:space="preserve"> </w:t>
      </w:r>
      <w:r>
        <w:rPr>
          <w:rFonts w:ascii="Arial"/>
          <w:b/>
          <w:bCs/>
          <w:sz w:val="38"/>
          <w:rtl/>
        </w:rPr>
        <w:t>ואינון כו'.</w:t>
      </w:r>
      <w:r>
        <w:rPr>
          <w:rFonts w:ascii="Arial"/>
          <w:sz w:val="38"/>
          <w:rtl/>
        </w:rPr>
        <w:t xml:space="preserve"> רוצה לומר החיות שבכסא שכנגדן הציצית כנ"ל, תרין שמות משולבים כנ"ל, אריה שריא י' כו':</w:t>
      </w:r>
    </w:p>
  </w:footnote>
  <w:footnote w:id="1440">
    <w:p w:rsidR="00A13282" w:rsidRDefault="00A13282">
      <w:pPr>
        <w:pStyle w:val="a5"/>
        <w:rPr>
          <w:rtl/>
        </w:rPr>
      </w:pPr>
      <w:r>
        <w:rPr>
          <w:rStyle w:val="a7"/>
          <w:rtl/>
        </w:rPr>
        <w:footnoteRef/>
      </w:r>
      <w:r>
        <w:rPr>
          <w:rtl/>
        </w:rPr>
        <w:t xml:space="preserve"> </w:t>
      </w:r>
      <w:r>
        <w:rPr>
          <w:rFonts w:ascii="Arial"/>
          <w:b/>
          <w:bCs/>
          <w:sz w:val="38"/>
          <w:rtl/>
        </w:rPr>
        <w:t>לכל חד כו'.</w:t>
      </w:r>
      <w:r>
        <w:rPr>
          <w:rFonts w:ascii="Arial"/>
          <w:sz w:val="38"/>
          <w:rtl/>
        </w:rPr>
        <w:t xml:space="preserve"> רוצה לומר לכל חד מד' פנים של כל חיה:</w:t>
      </w:r>
    </w:p>
  </w:footnote>
  <w:footnote w:id="1441">
    <w:p w:rsidR="00A13282" w:rsidRDefault="00A13282">
      <w:pPr>
        <w:pStyle w:val="a5"/>
        <w:rPr>
          <w:rtl/>
        </w:rPr>
      </w:pPr>
      <w:r>
        <w:rPr>
          <w:rStyle w:val="a7"/>
          <w:rtl/>
        </w:rPr>
        <w:footnoteRef/>
      </w:r>
      <w:r>
        <w:rPr>
          <w:rtl/>
        </w:rPr>
        <w:t xml:space="preserve"> </w:t>
      </w:r>
      <w:r>
        <w:rPr>
          <w:rFonts w:ascii="Arial"/>
          <w:b/>
          <w:bCs/>
          <w:sz w:val="38"/>
          <w:rtl/>
        </w:rPr>
        <w:t>סלקין ע"ב.</w:t>
      </w:r>
      <w:r>
        <w:rPr>
          <w:rFonts w:ascii="Arial"/>
          <w:sz w:val="38"/>
          <w:rtl/>
        </w:rPr>
        <w:t xml:space="preserve"> רוצה לומר ע"ב אנפין, ע"ב גדפין, בהצטרף עם כל אחד שני שמות הנ"ל:</w:t>
      </w:r>
    </w:p>
  </w:footnote>
  <w:footnote w:id="1442">
    <w:p w:rsidR="00A13282" w:rsidRDefault="00A13282">
      <w:pPr>
        <w:pStyle w:val="a5"/>
        <w:rPr>
          <w:rtl/>
        </w:rPr>
      </w:pPr>
      <w:r>
        <w:rPr>
          <w:rStyle w:val="a7"/>
          <w:rtl/>
        </w:rPr>
        <w:footnoteRef/>
      </w:r>
      <w:r>
        <w:rPr>
          <w:rtl/>
        </w:rPr>
        <w:t xml:space="preserve"> </w:t>
      </w:r>
      <w:r>
        <w:rPr>
          <w:rFonts w:ascii="Arial"/>
          <w:b/>
          <w:bCs/>
          <w:sz w:val="38"/>
          <w:rtl/>
        </w:rPr>
        <w:t>לקבל ארבע אנפין וארבע כו'.</w:t>
      </w:r>
      <w:r>
        <w:rPr>
          <w:rFonts w:ascii="Arial"/>
          <w:sz w:val="38"/>
          <w:rtl/>
        </w:rPr>
        <w:t xml:space="preserve"> כמו שאומר בתיקוני זוהר חדש, ס"ד אנפין וס"ד גדפין כו' דאינון ע"ב אנפין וע"ב גדפין ואית דאמרי ארבע אנפין כו' דאינון ל"ב אנפין וגדפין, וכלא קשוט, ורוצה לומר דהא בפרטא הן שתי פעמים ס"ד, ובכללא הן ד' פעמים ח':</w:t>
      </w:r>
    </w:p>
  </w:footnote>
  <w:footnote w:id="1443">
    <w:p w:rsidR="00A13282" w:rsidRDefault="00A13282">
      <w:pPr>
        <w:pStyle w:val="a5"/>
        <w:rPr>
          <w:rtl/>
        </w:rPr>
      </w:pPr>
      <w:r>
        <w:rPr>
          <w:rStyle w:val="a7"/>
          <w:rtl/>
        </w:rPr>
        <w:footnoteRef/>
      </w:r>
      <w:r>
        <w:rPr>
          <w:rtl/>
        </w:rPr>
        <w:t xml:space="preserve"> </w:t>
      </w:r>
      <w:r>
        <w:rPr>
          <w:rFonts w:ascii="Arial"/>
          <w:b/>
          <w:bCs/>
          <w:sz w:val="38"/>
          <w:rtl/>
        </w:rPr>
        <w:t>ובחשבן זעיר דחנוך.</w:t>
      </w:r>
      <w:r>
        <w:rPr>
          <w:rFonts w:ascii="Arial"/>
          <w:sz w:val="38"/>
          <w:rtl/>
        </w:rPr>
        <w:t xml:space="preserve"> רוצה לומר במספר קטן שבעולם יצירה של חנוך, מט"ט, ששם החיות, ששם חושבין מספר קטן:</w:t>
      </w:r>
    </w:p>
  </w:footnote>
  <w:footnote w:id="1444">
    <w:p w:rsidR="00A13282" w:rsidRDefault="00A13282">
      <w:pPr>
        <w:pStyle w:val="a5"/>
        <w:rPr>
          <w:rtl/>
        </w:rPr>
      </w:pPr>
      <w:r>
        <w:rPr>
          <w:rStyle w:val="a7"/>
          <w:rtl/>
        </w:rPr>
        <w:footnoteRef/>
      </w:r>
      <w:r>
        <w:rPr>
          <w:rtl/>
        </w:rPr>
        <w:t xml:space="preserve"> </w:t>
      </w:r>
      <w:r>
        <w:rPr>
          <w:rFonts w:ascii="Arial"/>
          <w:b/>
          <w:bCs/>
          <w:sz w:val="38"/>
          <w:rtl/>
        </w:rPr>
        <w:t>אז איהו שדי.</w:t>
      </w:r>
      <w:r>
        <w:rPr>
          <w:rFonts w:ascii="Arial"/>
          <w:sz w:val="38"/>
          <w:rtl/>
        </w:rPr>
        <w:t xml:space="preserve"> רוצה לומר שדי - גימטריה במספר קטן ח', גימטריה א"ז, והוא מט"ט שנקרא שדי והוא כלל החיות כידוע:</w:t>
      </w:r>
    </w:p>
  </w:footnote>
  <w:footnote w:id="1445">
    <w:p w:rsidR="00A13282" w:rsidRDefault="00A13282">
      <w:pPr>
        <w:pStyle w:val="a5"/>
        <w:rPr>
          <w:rtl/>
        </w:rPr>
      </w:pPr>
      <w:r>
        <w:rPr>
          <w:rStyle w:val="a7"/>
          <w:rtl/>
        </w:rPr>
        <w:footnoteRef/>
      </w:r>
      <w:r>
        <w:rPr>
          <w:rtl/>
        </w:rPr>
        <w:t xml:space="preserve"> </w:t>
      </w:r>
      <w:r>
        <w:rPr>
          <w:rFonts w:ascii="Arial"/>
          <w:b/>
          <w:bCs/>
          <w:sz w:val="38"/>
          <w:rtl/>
        </w:rPr>
        <w:t>אז ישיר בכל אתר.</w:t>
      </w:r>
      <w:r>
        <w:rPr>
          <w:rFonts w:ascii="Arial"/>
          <w:sz w:val="38"/>
          <w:rtl/>
        </w:rPr>
        <w:t xml:space="preserve"> רוצה לומר בדרגא דיליה נאמר:</w:t>
      </w:r>
    </w:p>
  </w:footnote>
  <w:footnote w:id="1446">
    <w:p w:rsidR="00A13282" w:rsidRDefault="00A13282">
      <w:pPr>
        <w:pStyle w:val="a5"/>
        <w:rPr>
          <w:rtl/>
        </w:rPr>
      </w:pPr>
      <w:r>
        <w:rPr>
          <w:rStyle w:val="a7"/>
          <w:rtl/>
        </w:rPr>
        <w:footnoteRef/>
      </w:r>
      <w:r>
        <w:rPr>
          <w:rtl/>
        </w:rPr>
        <w:t xml:space="preserve"> </w:t>
      </w:r>
      <w:r>
        <w:rPr>
          <w:rFonts w:ascii="Arial"/>
          <w:b/>
          <w:bCs/>
          <w:sz w:val="38"/>
          <w:rtl/>
        </w:rPr>
        <w:t>ואמרו מ"מ כל כו' משבע.</w:t>
      </w:r>
      <w:r>
        <w:rPr>
          <w:rFonts w:ascii="Arial"/>
          <w:sz w:val="38"/>
          <w:rtl/>
        </w:rPr>
        <w:t xml:space="preserve"> רוצה לומר, שבע גימטריה ישיר במספר קטן, וזה שכתוב אז ישיר, ואמרו כל הפוחת מפני שהוא במספר קטן שהוא פוחת:</w:t>
      </w:r>
    </w:p>
  </w:footnote>
  <w:footnote w:id="1447">
    <w:p w:rsidR="00A13282" w:rsidRDefault="00A13282">
      <w:pPr>
        <w:pStyle w:val="a5"/>
        <w:rPr>
          <w:rtl/>
        </w:rPr>
      </w:pPr>
      <w:r>
        <w:rPr>
          <w:rStyle w:val="a7"/>
          <w:rtl/>
        </w:rPr>
        <w:footnoteRef/>
      </w:r>
      <w:r>
        <w:rPr>
          <w:rtl/>
        </w:rPr>
        <w:t xml:space="preserve"> </w:t>
      </w:r>
      <w:r>
        <w:rPr>
          <w:rFonts w:ascii="Arial"/>
          <w:b/>
          <w:bCs/>
          <w:sz w:val="38"/>
          <w:rtl/>
        </w:rPr>
        <w:t>וכל מאן דאוסיף כו'.</w:t>
      </w:r>
      <w:r>
        <w:rPr>
          <w:rFonts w:ascii="Arial"/>
          <w:sz w:val="38"/>
          <w:rtl/>
        </w:rPr>
        <w:t xml:space="preserve"> כבר נתבאר לעיל, כנגד אחד דאצילות במספר גדול אחד, י"ג, ולכן כל המוסיף כו':</w:t>
      </w:r>
    </w:p>
  </w:footnote>
  <w:footnote w:id="1448">
    <w:p w:rsidR="00A13282" w:rsidRDefault="00A13282">
      <w:pPr>
        <w:pStyle w:val="a5"/>
        <w:rPr>
          <w:rtl/>
        </w:rPr>
      </w:pPr>
      <w:r>
        <w:rPr>
          <w:rStyle w:val="a7"/>
          <w:rtl/>
        </w:rPr>
        <w:footnoteRef/>
      </w:r>
      <w:r>
        <w:rPr>
          <w:rtl/>
        </w:rPr>
        <w:t xml:space="preserve"> </w:t>
      </w:r>
      <w:r>
        <w:rPr>
          <w:rFonts w:ascii="Arial"/>
          <w:b/>
          <w:bCs/>
          <w:sz w:val="38"/>
          <w:rtl/>
        </w:rPr>
        <w:t>ואינון ז' כו'.</w:t>
      </w:r>
      <w:r>
        <w:rPr>
          <w:rFonts w:ascii="Arial"/>
          <w:sz w:val="38"/>
          <w:rtl/>
        </w:rPr>
        <w:t xml:space="preserve"> חוזר לפרש הז', די"ג נתפרש לעיל:</w:t>
      </w:r>
    </w:p>
  </w:footnote>
  <w:footnote w:id="1449">
    <w:p w:rsidR="00A13282" w:rsidRDefault="00A13282">
      <w:pPr>
        <w:pStyle w:val="a5"/>
        <w:rPr>
          <w:rtl/>
        </w:rPr>
      </w:pPr>
      <w:r>
        <w:rPr>
          <w:rStyle w:val="a7"/>
          <w:rtl/>
        </w:rPr>
        <w:footnoteRef/>
      </w:r>
      <w:r>
        <w:rPr>
          <w:rtl/>
        </w:rPr>
        <w:t xml:space="preserve"> </w:t>
      </w:r>
      <w:r>
        <w:rPr>
          <w:rFonts w:ascii="Arial"/>
          <w:b/>
          <w:bCs/>
          <w:sz w:val="38"/>
          <w:rtl/>
        </w:rPr>
        <w:t>לקבל ז' ימי בראשית דרמיזין כו'.</w:t>
      </w:r>
      <w:r>
        <w:rPr>
          <w:rFonts w:ascii="Arial"/>
          <w:sz w:val="38"/>
          <w:rtl/>
        </w:rPr>
        <w:t xml:space="preserve"> כל זה ביצירה כידוע והוא ז' דא"ז, שהן ד' חיות - חגת"ם, ז’ ספירות תחתונות ומט"ט על גביהן, א' על גבי ז', אז:</w:t>
      </w:r>
    </w:p>
  </w:footnote>
  <w:footnote w:id="1450">
    <w:p w:rsidR="00A13282" w:rsidRDefault="00A13282">
      <w:pPr>
        <w:pStyle w:val="a5"/>
        <w:rPr>
          <w:rtl/>
        </w:rPr>
      </w:pPr>
      <w:r>
        <w:rPr>
          <w:rStyle w:val="a7"/>
          <w:rtl/>
        </w:rPr>
        <w:footnoteRef/>
      </w:r>
      <w:r>
        <w:rPr>
          <w:rtl/>
        </w:rPr>
        <w:t xml:space="preserve"> </w:t>
      </w:r>
      <w:r>
        <w:rPr>
          <w:rFonts w:ascii="Arial"/>
          <w:b/>
          <w:bCs/>
          <w:sz w:val="38"/>
          <w:rtl/>
        </w:rPr>
        <w:t>שש כנפים כו'.</w:t>
      </w:r>
      <w:r>
        <w:rPr>
          <w:rFonts w:ascii="Arial"/>
          <w:sz w:val="38"/>
          <w:rtl/>
        </w:rPr>
        <w:t xml:space="preserve"> בכל שם שש אותיות, והן כנפים, כמו שמפרש והולך דבהון פרחת כו', ששם מ"ב - סגולה דילה להעלות כידוע:</w:t>
      </w:r>
    </w:p>
  </w:footnote>
  <w:footnote w:id="1451">
    <w:p w:rsidR="00A13282" w:rsidRDefault="00A13282">
      <w:pPr>
        <w:pStyle w:val="a5"/>
        <w:rPr>
          <w:rtl/>
        </w:rPr>
      </w:pPr>
      <w:r>
        <w:rPr>
          <w:rStyle w:val="a7"/>
          <w:rtl/>
        </w:rPr>
        <w:footnoteRef/>
      </w:r>
      <w:r>
        <w:rPr>
          <w:rtl/>
        </w:rPr>
        <w:t xml:space="preserve"> </w:t>
      </w:r>
      <w:r>
        <w:rPr>
          <w:rFonts w:ascii="Arial"/>
          <w:b/>
          <w:bCs/>
          <w:sz w:val="38"/>
          <w:rtl/>
        </w:rPr>
        <w:t>ואינון תמן מ"ב.</w:t>
      </w:r>
      <w:r>
        <w:rPr>
          <w:rFonts w:ascii="Arial"/>
          <w:sz w:val="38"/>
          <w:rtl/>
        </w:rPr>
        <w:t xml:space="preserve"> רוצה לומר השם הנ"ל כידוע:</w:t>
      </w:r>
    </w:p>
  </w:footnote>
  <w:footnote w:id="1452">
    <w:p w:rsidR="00A13282" w:rsidRDefault="00A13282">
      <w:pPr>
        <w:pStyle w:val="a5"/>
        <w:rPr>
          <w:rtl/>
        </w:rPr>
      </w:pPr>
      <w:r>
        <w:rPr>
          <w:rStyle w:val="a7"/>
          <w:rtl/>
        </w:rPr>
        <w:footnoteRef/>
      </w:r>
      <w:r>
        <w:rPr>
          <w:rtl/>
        </w:rPr>
        <w:t xml:space="preserve"> </w:t>
      </w:r>
      <w:r>
        <w:rPr>
          <w:rFonts w:ascii="Arial"/>
          <w:b/>
          <w:bCs/>
          <w:sz w:val="38"/>
          <w:rtl/>
        </w:rPr>
        <w:t>כי שם ה' כו'.</w:t>
      </w:r>
      <w:r>
        <w:rPr>
          <w:rFonts w:ascii="Arial"/>
          <w:sz w:val="38"/>
          <w:rtl/>
        </w:rPr>
        <w:t xml:space="preserve"> רוצה לומר שם של מ"ב:</w:t>
      </w:r>
    </w:p>
  </w:footnote>
  <w:footnote w:id="1453">
    <w:p w:rsidR="00A13282" w:rsidRDefault="00A13282">
      <w:pPr>
        <w:pStyle w:val="a5"/>
        <w:rPr>
          <w:rtl/>
        </w:rPr>
      </w:pPr>
      <w:r>
        <w:rPr>
          <w:rStyle w:val="a7"/>
          <w:rtl/>
        </w:rPr>
        <w:footnoteRef/>
      </w:r>
      <w:r>
        <w:rPr>
          <w:rtl/>
        </w:rPr>
        <w:t xml:space="preserve"> </w:t>
      </w:r>
      <w:r>
        <w:rPr>
          <w:rFonts w:ascii="Arial"/>
          <w:b/>
          <w:bCs/>
          <w:sz w:val="38"/>
          <w:rtl/>
        </w:rPr>
        <w:t>ואינון תכשיטין כו.</w:t>
      </w:r>
      <w:r>
        <w:rPr>
          <w:rFonts w:ascii="Arial"/>
          <w:sz w:val="38"/>
          <w:rtl/>
        </w:rPr>
        <w:t xml:space="preserve"> שהציצית הוא לבושא דילה כנ"ל:</w:t>
      </w:r>
    </w:p>
  </w:footnote>
  <w:footnote w:id="1454">
    <w:p w:rsidR="00A13282" w:rsidRDefault="00A13282">
      <w:pPr>
        <w:jc w:val="both"/>
        <w:rPr>
          <w:rFonts w:ascii="Arial" w:cs="Arial"/>
          <w:sz w:val="38"/>
          <w:szCs w:val="24"/>
          <w:rtl/>
        </w:rPr>
      </w:pPr>
      <w:r>
        <w:rPr>
          <w:rStyle w:val="a7"/>
          <w:rFonts w:cs="Arial"/>
          <w:szCs w:val="24"/>
          <w:rtl/>
        </w:rPr>
        <w:footnoteRef/>
      </w:r>
      <w:r>
        <w:rPr>
          <w:rtl/>
        </w:rPr>
        <w:t xml:space="preserve"> </w:t>
      </w:r>
      <w:r>
        <w:rPr>
          <w:rFonts w:ascii="Arial" w:cs="Arial"/>
          <w:b/>
          <w:bCs/>
          <w:sz w:val="38"/>
          <w:szCs w:val="24"/>
          <w:rtl/>
        </w:rPr>
        <w:t>עטרת זהב כו'.</w:t>
      </w:r>
      <w:r>
        <w:rPr>
          <w:rtl/>
        </w:rPr>
        <w:t xml:space="preserve"> </w:t>
      </w:r>
      <w:r>
        <w:rPr>
          <w:rFonts w:ascii="Arial" w:cs="Arial"/>
          <w:sz w:val="38"/>
          <w:szCs w:val="24"/>
          <w:rtl/>
        </w:rPr>
        <w:t>לשון הכתוב (אסתר ח טו) בלבוש מלכות תכלת, שהן ציצית - לבוש מלכות כנ"ל, ועטרת זהב גדולה - תפילין דרישא מסיטרא דאימא ששם זהב כמו שאומר לעיל ה', מצפון זהב כו', והיא נקראת גדולה, ה' רברבא, שם אותיות גדולות כידוע, וכתיב ויסר המלך את טבעתו ויתנה למרדכי, וזה טבעת דדרועא:</w:t>
      </w:r>
    </w:p>
  </w:footnote>
  <w:footnote w:id="1455">
    <w:p w:rsidR="00A13282" w:rsidRDefault="00A13282">
      <w:pPr>
        <w:pStyle w:val="a5"/>
        <w:rPr>
          <w:rtl/>
        </w:rPr>
      </w:pPr>
      <w:r>
        <w:rPr>
          <w:rStyle w:val="a7"/>
          <w:rtl/>
        </w:rPr>
        <w:footnoteRef/>
      </w:r>
      <w:r>
        <w:rPr>
          <w:rtl/>
        </w:rPr>
        <w:t xml:space="preserve"> </w:t>
      </w:r>
      <w:r>
        <w:rPr>
          <w:rFonts w:ascii="Arial"/>
          <w:b/>
          <w:bCs/>
          <w:sz w:val="38"/>
          <w:rtl/>
        </w:rPr>
        <w:t>אינון בחופה.</w:t>
      </w:r>
      <w:r>
        <w:rPr>
          <w:rFonts w:ascii="Arial"/>
          <w:sz w:val="38"/>
          <w:rtl/>
        </w:rPr>
        <w:t xml:space="preserve"> היכל ק"ק, אדני שפתי כו':</w:t>
      </w:r>
    </w:p>
  </w:footnote>
  <w:footnote w:id="1456">
    <w:p w:rsidR="00A13282" w:rsidRDefault="00A13282">
      <w:pPr>
        <w:pStyle w:val="a5"/>
        <w:rPr>
          <w:rtl/>
        </w:rPr>
      </w:pPr>
      <w:r>
        <w:rPr>
          <w:rStyle w:val="a7"/>
          <w:rtl/>
        </w:rPr>
        <w:footnoteRef/>
      </w:r>
      <w:r>
        <w:rPr>
          <w:rtl/>
        </w:rPr>
        <w:t xml:space="preserve"> </w:t>
      </w:r>
      <w:r>
        <w:rPr>
          <w:rFonts w:ascii="Arial"/>
          <w:b/>
          <w:bCs/>
          <w:sz w:val="38"/>
          <w:rtl/>
        </w:rPr>
        <w:t>צריכין עמא כו' עם חזן כו.</w:t>
      </w:r>
      <w:r>
        <w:rPr>
          <w:rFonts w:ascii="Arial"/>
          <w:sz w:val="38"/>
          <w:rtl/>
        </w:rPr>
        <w:t xml:space="preserve"> הן תפלת הקהל בלחש, ותפלת הש"ץ בקול רם:</w:t>
      </w:r>
    </w:p>
  </w:footnote>
  <w:footnote w:id="1457">
    <w:p w:rsidR="00A13282" w:rsidRDefault="00A13282">
      <w:pPr>
        <w:pStyle w:val="a5"/>
        <w:rPr>
          <w:rtl/>
        </w:rPr>
      </w:pPr>
      <w:r>
        <w:rPr>
          <w:rStyle w:val="a7"/>
          <w:rtl/>
        </w:rPr>
        <w:footnoteRef/>
      </w:r>
      <w:r>
        <w:rPr>
          <w:rtl/>
        </w:rPr>
        <w:t xml:space="preserve"> </w:t>
      </w:r>
      <w:r>
        <w:rPr>
          <w:rFonts w:ascii="Arial"/>
          <w:b/>
          <w:bCs/>
          <w:sz w:val="38"/>
          <w:rtl/>
        </w:rPr>
        <w:t>לברכא לון כו'.</w:t>
      </w:r>
      <w:r>
        <w:rPr>
          <w:rFonts w:ascii="Arial"/>
          <w:sz w:val="38"/>
          <w:rtl/>
        </w:rPr>
        <w:t xml:space="preserve"> לקמן בתיקון י"ב מפרש, דז' ברכות הן ז' ברכות קריאת שמע, וכן הקדושה - קדושת יוצר אור, אבל כאן אי אפשר לומר כן, דכאן אומר למיקם בעמידה כו' ובעמדם כו', וצריך לומר כמו שאמרו בגמרא (ברכות לד ע"א) כלהו אמצעיות חדא ברכתא נינהו, והיא נגד ברכה השביעית דכלה, אשר ברא כו', שחשיב י"ב דברים: ששון ושמחה כו' עד וריעות, וכן נכללין כולן בהביננו, וזה שאומר בגמרא (ברכות כא ע"א) אם יכול לחדש דבר יחזור ויתפלל כו' - נגד פנים חדשות שחוזרין ומברכין ז' ברכות:</w:t>
      </w:r>
    </w:p>
  </w:footnote>
  <w:footnote w:id="1458">
    <w:p w:rsidR="00A13282" w:rsidRDefault="00A13282">
      <w:pPr>
        <w:pStyle w:val="a5"/>
        <w:rPr>
          <w:rtl/>
        </w:rPr>
      </w:pPr>
      <w:r>
        <w:rPr>
          <w:rStyle w:val="a7"/>
          <w:rtl/>
        </w:rPr>
        <w:footnoteRef/>
      </w:r>
      <w:r>
        <w:rPr>
          <w:rtl/>
        </w:rPr>
        <w:t xml:space="preserve"> </w:t>
      </w:r>
      <w:r>
        <w:rPr>
          <w:rFonts w:ascii="Arial"/>
          <w:b/>
          <w:bCs/>
          <w:sz w:val="38"/>
          <w:rtl/>
        </w:rPr>
        <w:t>ולקדשא כו'.</w:t>
      </w:r>
      <w:r>
        <w:rPr>
          <w:rFonts w:ascii="Arial"/>
          <w:sz w:val="38"/>
          <w:rtl/>
        </w:rPr>
        <w:t xml:space="preserve"> קדושה:</w:t>
      </w:r>
    </w:p>
  </w:footnote>
  <w:footnote w:id="1459">
    <w:p w:rsidR="00A13282" w:rsidRDefault="00A13282">
      <w:pPr>
        <w:pStyle w:val="a5"/>
        <w:rPr>
          <w:rtl/>
        </w:rPr>
      </w:pPr>
      <w:r>
        <w:rPr>
          <w:rStyle w:val="a7"/>
          <w:rtl/>
        </w:rPr>
        <w:footnoteRef/>
      </w:r>
      <w:r>
        <w:rPr>
          <w:rtl/>
        </w:rPr>
        <w:t xml:space="preserve"> </w:t>
      </w:r>
      <w:r>
        <w:rPr>
          <w:rFonts w:ascii="Arial"/>
          <w:b/>
          <w:bCs/>
          <w:sz w:val="38"/>
          <w:rtl/>
        </w:rPr>
        <w:t xml:space="preserve">דהוו מנגנין כו'. </w:t>
      </w:r>
      <w:r>
        <w:rPr>
          <w:rFonts w:ascii="Arial"/>
          <w:sz w:val="38"/>
          <w:rtl/>
        </w:rPr>
        <w:t>כנגד מזמוטי חתן וכלה, דמנגנין, שאמרו (חגיגה יד ע"ב) והיו מתקבצין מלאכי השרת כבמזמוטי חתן וכלה, ששותקין בברכות חתן וכלה:</w:t>
      </w:r>
    </w:p>
  </w:footnote>
  <w:footnote w:id="1460">
    <w:p w:rsidR="00A13282" w:rsidRDefault="00A13282">
      <w:pPr>
        <w:pStyle w:val="a5"/>
        <w:rPr>
          <w:rtl/>
        </w:rPr>
      </w:pPr>
      <w:r>
        <w:rPr>
          <w:rStyle w:val="a7"/>
          <w:rtl/>
        </w:rPr>
        <w:footnoteRef/>
      </w:r>
      <w:r>
        <w:rPr>
          <w:rtl/>
        </w:rPr>
        <w:t xml:space="preserve"> </w:t>
      </w:r>
      <w:r>
        <w:rPr>
          <w:rFonts w:ascii="Arial"/>
          <w:b/>
          <w:bCs/>
          <w:sz w:val="38"/>
          <w:rtl/>
        </w:rPr>
        <w:t>שם ה' כו'.</w:t>
      </w:r>
      <w:r>
        <w:rPr>
          <w:rFonts w:ascii="Arial"/>
          <w:sz w:val="38"/>
          <w:rtl/>
        </w:rPr>
        <w:t xml:space="preserve"> שהוא שין שבו, וראו - שהוא נראה, כמו שאמרו (ברכות ו ע"א) וראו כל עמי הארץ כו' אלו תפילין שבראש, והוא שם ה' כמו שאומר לקמן שמי עם י"ה - שס"ה, והוא בה - י"ק, וכן שס"ה כמו שמפרש והולך שין כו' [מצאתי ש'ם י'קוק נ'קרא ראשי תיבות שין]:</w:t>
      </w:r>
    </w:p>
  </w:footnote>
  <w:footnote w:id="1461">
    <w:p w:rsidR="00A13282" w:rsidRDefault="00A13282">
      <w:pPr>
        <w:pStyle w:val="a5"/>
        <w:rPr>
          <w:rtl/>
        </w:rPr>
      </w:pPr>
      <w:r>
        <w:rPr>
          <w:rStyle w:val="a7"/>
          <w:rtl/>
        </w:rPr>
        <w:footnoteRef/>
      </w:r>
      <w:r>
        <w:rPr>
          <w:rtl/>
        </w:rPr>
        <w:t xml:space="preserve"> </w:t>
      </w:r>
      <w:r>
        <w:rPr>
          <w:rFonts w:ascii="Arial"/>
          <w:b/>
          <w:bCs/>
          <w:sz w:val="38"/>
          <w:rtl/>
        </w:rPr>
        <w:t>ה' דיד כו'.</w:t>
      </w:r>
      <w:r>
        <w:rPr>
          <w:rFonts w:ascii="Arial"/>
          <w:sz w:val="38"/>
          <w:rtl/>
        </w:rPr>
        <w:t xml:space="preserve"> רוצה לומר תפלין של יד, ורוצה לומר תפלין של ראש ושל יד הן שס"ה, וכן שין עם י"ד של שד"י שהן ברצועות שהן יד כהה - ה', רוצה לומר שצורת ה' הוא ד"י, יד - הוא שס"ה:</w:t>
      </w:r>
    </w:p>
  </w:footnote>
  <w:footnote w:id="1462">
    <w:p w:rsidR="00A13282" w:rsidRDefault="00A13282">
      <w:pPr>
        <w:pStyle w:val="a5"/>
        <w:rPr>
          <w:rtl/>
        </w:rPr>
      </w:pPr>
      <w:r>
        <w:rPr>
          <w:rStyle w:val="a7"/>
          <w:rtl/>
        </w:rPr>
        <w:footnoteRef/>
      </w:r>
      <w:r>
        <w:rPr>
          <w:rtl/>
        </w:rPr>
        <w:t xml:space="preserve"> </w:t>
      </w:r>
      <w:r>
        <w:rPr>
          <w:rFonts w:ascii="Arial"/>
          <w:b/>
          <w:bCs/>
          <w:sz w:val="38"/>
          <w:rtl/>
        </w:rPr>
        <w:t>אורייתא כו'.</w:t>
      </w:r>
      <w:r>
        <w:rPr>
          <w:rFonts w:ascii="Arial"/>
          <w:sz w:val="38"/>
          <w:rtl/>
        </w:rPr>
        <w:t xml:space="preserve"> רוצה לומר תרי"ג מצות כנ"ל:</w:t>
      </w:r>
    </w:p>
  </w:footnote>
  <w:footnote w:id="1463">
    <w:p w:rsidR="00A13282" w:rsidRDefault="00A13282">
      <w:pPr>
        <w:pStyle w:val="a5"/>
        <w:rPr>
          <w:rtl/>
        </w:rPr>
      </w:pPr>
      <w:r>
        <w:rPr>
          <w:rStyle w:val="a7"/>
          <w:rtl/>
        </w:rPr>
        <w:footnoteRef/>
      </w:r>
      <w:r>
        <w:rPr>
          <w:rtl/>
        </w:rPr>
        <w:t xml:space="preserve"> </w:t>
      </w:r>
      <w:r>
        <w:rPr>
          <w:rFonts w:ascii="Arial"/>
          <w:b/>
          <w:bCs/>
          <w:sz w:val="38"/>
          <w:rtl/>
        </w:rPr>
        <w:t>תלת חיילין דיליה.</w:t>
      </w:r>
      <w:r>
        <w:rPr>
          <w:rFonts w:ascii="Arial"/>
          <w:sz w:val="38"/>
          <w:rtl/>
        </w:rPr>
        <w:t xml:space="preserve"> אופנים וחיות ושרפים שאומרים בברכת יוצר אור:</w:t>
      </w:r>
    </w:p>
  </w:footnote>
  <w:footnote w:id="1464">
    <w:p w:rsidR="00A13282" w:rsidRDefault="00A13282">
      <w:pPr>
        <w:pStyle w:val="a5"/>
        <w:rPr>
          <w:rtl/>
        </w:rPr>
      </w:pPr>
      <w:r>
        <w:rPr>
          <w:rStyle w:val="a7"/>
          <w:rtl/>
        </w:rPr>
        <w:footnoteRef/>
      </w:r>
      <w:r>
        <w:rPr>
          <w:rtl/>
        </w:rPr>
        <w:t xml:space="preserve"> </w:t>
      </w:r>
      <w:r>
        <w:rPr>
          <w:rFonts w:ascii="Arial"/>
          <w:b/>
          <w:bCs/>
          <w:sz w:val="38"/>
          <w:rtl/>
        </w:rPr>
        <w:t>בזמירות.</w:t>
      </w:r>
      <w:r>
        <w:rPr>
          <w:rFonts w:ascii="Arial"/>
          <w:sz w:val="38"/>
          <w:rtl/>
        </w:rPr>
        <w:t xml:space="preserve"> פסוקי דזמרה. ושירות - שירת הים. ותשבחות - י"ג תשבחות דישתבח ששם אתיין ג' חיילין כמו שאמרו בתיקוני זוהר חדש:</w:t>
      </w:r>
    </w:p>
  </w:footnote>
  <w:footnote w:id="1465">
    <w:p w:rsidR="00A13282" w:rsidRDefault="00A13282">
      <w:pPr>
        <w:pStyle w:val="a5"/>
        <w:rPr>
          <w:rtl/>
        </w:rPr>
      </w:pPr>
      <w:r>
        <w:rPr>
          <w:rStyle w:val="a7"/>
          <w:rtl/>
        </w:rPr>
        <w:footnoteRef/>
      </w:r>
      <w:r>
        <w:rPr>
          <w:rtl/>
        </w:rPr>
        <w:t xml:space="preserve"> </w:t>
      </w:r>
      <w:r>
        <w:rPr>
          <w:rFonts w:ascii="Arial"/>
          <w:b/>
          <w:bCs/>
          <w:sz w:val="38"/>
          <w:rtl/>
        </w:rPr>
        <w:t>מה אמרין אל מלך כו'.</w:t>
      </w:r>
      <w:r>
        <w:rPr>
          <w:rFonts w:ascii="Arial"/>
          <w:sz w:val="38"/>
          <w:rtl/>
        </w:rPr>
        <w:t xml:space="preserve"> רוצה לומר לאחר תפלת שמונה עשרה:</w:t>
      </w:r>
    </w:p>
  </w:footnote>
  <w:footnote w:id="1466">
    <w:p w:rsidR="00A13282" w:rsidRDefault="00A13282">
      <w:pPr>
        <w:pStyle w:val="a5"/>
        <w:rPr>
          <w:rtl/>
        </w:rPr>
      </w:pPr>
      <w:r>
        <w:rPr>
          <w:rStyle w:val="a7"/>
          <w:rtl/>
        </w:rPr>
        <w:footnoteRef/>
      </w:r>
      <w:r>
        <w:rPr>
          <w:rtl/>
        </w:rPr>
        <w:t xml:space="preserve"> </w:t>
      </w:r>
      <w:r>
        <w:rPr>
          <w:rFonts w:ascii="Arial"/>
          <w:b/>
          <w:bCs/>
          <w:sz w:val="38"/>
          <w:rtl/>
        </w:rPr>
        <w:t>כשור לעול כו'.</w:t>
      </w:r>
      <w:r>
        <w:rPr>
          <w:rFonts w:ascii="Arial"/>
          <w:sz w:val="38"/>
          <w:rtl/>
        </w:rPr>
        <w:t xml:space="preserve"> רוצה לומר, כמו שאמרו בתיקוני זוהר חדש שקושרין את שור וכן חמור דסטרא אחרא למשא תחותייהו, תחת יצר טוב עיין שם:</w:t>
      </w:r>
    </w:p>
  </w:footnote>
  <w:footnote w:id="1467">
    <w:p w:rsidR="00A13282" w:rsidRDefault="00A13282">
      <w:pPr>
        <w:pStyle w:val="a5"/>
        <w:rPr>
          <w:rtl/>
        </w:rPr>
      </w:pPr>
      <w:r>
        <w:rPr>
          <w:rStyle w:val="a7"/>
          <w:rtl/>
        </w:rPr>
        <w:footnoteRef/>
      </w:r>
      <w:r>
        <w:rPr>
          <w:rtl/>
        </w:rPr>
        <w:t xml:space="preserve"> </w:t>
      </w:r>
      <w:r>
        <w:rPr>
          <w:rFonts w:ascii="Arial"/>
          <w:b/>
          <w:bCs/>
          <w:sz w:val="38"/>
          <w:rtl/>
        </w:rPr>
        <w:t>ובשבת אתמר כו'.</w:t>
      </w:r>
      <w:r>
        <w:rPr>
          <w:rFonts w:ascii="Arial"/>
          <w:sz w:val="38"/>
          <w:rtl/>
        </w:rPr>
        <w:t xml:space="preserve"> שאין מניחין תפילין, דסטרא אחרא לא שלטא אז:</w:t>
      </w:r>
    </w:p>
  </w:footnote>
  <w:footnote w:id="1468">
    <w:p w:rsidR="00A13282" w:rsidRDefault="00A13282">
      <w:pPr>
        <w:pStyle w:val="a5"/>
        <w:rPr>
          <w:rtl/>
        </w:rPr>
      </w:pPr>
      <w:r>
        <w:rPr>
          <w:rStyle w:val="a7"/>
          <w:rtl/>
        </w:rPr>
        <w:footnoteRef/>
      </w:r>
      <w:r>
        <w:rPr>
          <w:rtl/>
        </w:rPr>
        <w:t xml:space="preserve"> </w:t>
      </w:r>
      <w:r>
        <w:rPr>
          <w:rFonts w:ascii="Arial"/>
          <w:b/>
          <w:bCs/>
          <w:sz w:val="38"/>
          <w:rtl/>
        </w:rPr>
        <w:t>אינון קשורא כו'.</w:t>
      </w:r>
      <w:r>
        <w:rPr>
          <w:rFonts w:ascii="Arial"/>
          <w:sz w:val="38"/>
          <w:rtl/>
        </w:rPr>
        <w:t xml:space="preserve"> כמו שאמרו שם דלא שיצי לון:</w:t>
      </w:r>
    </w:p>
  </w:footnote>
  <w:footnote w:id="1469">
    <w:p w:rsidR="00A13282" w:rsidRDefault="00A13282">
      <w:pPr>
        <w:pStyle w:val="a5"/>
        <w:rPr>
          <w:rtl/>
        </w:rPr>
      </w:pPr>
      <w:r>
        <w:rPr>
          <w:rStyle w:val="a7"/>
          <w:rtl/>
        </w:rPr>
        <w:footnoteRef/>
      </w:r>
      <w:r>
        <w:rPr>
          <w:rtl/>
        </w:rPr>
        <w:t xml:space="preserve"> </w:t>
      </w:r>
      <w:r>
        <w:rPr>
          <w:rFonts w:ascii="Arial"/>
          <w:b/>
          <w:bCs/>
          <w:sz w:val="38"/>
          <w:rtl/>
        </w:rPr>
        <w:t>דהכי אינון עשרה כו'.</w:t>
      </w:r>
      <w:r>
        <w:rPr>
          <w:rFonts w:ascii="Arial"/>
          <w:sz w:val="38"/>
          <w:rtl/>
        </w:rPr>
        <w:t xml:space="preserve"> רוצה לומר כמו בתפלין שכלולין בהם עשר ספירות קדישין:</w:t>
      </w:r>
    </w:p>
  </w:footnote>
  <w:footnote w:id="1470">
    <w:p w:rsidR="00A13282" w:rsidRDefault="00A13282">
      <w:pPr>
        <w:pStyle w:val="a5"/>
        <w:rPr>
          <w:rtl/>
        </w:rPr>
      </w:pPr>
      <w:r>
        <w:rPr>
          <w:rStyle w:val="a7"/>
          <w:rtl/>
        </w:rPr>
        <w:footnoteRef/>
      </w:r>
      <w:r>
        <w:rPr>
          <w:rtl/>
        </w:rPr>
        <w:t xml:space="preserve"> </w:t>
      </w:r>
      <w:r>
        <w:rPr>
          <w:rFonts w:ascii="Arial"/>
          <w:b/>
          <w:bCs/>
          <w:sz w:val="38"/>
          <w:rtl/>
        </w:rPr>
        <w:t>עשר אתוון בגלותא כו'.</w:t>
      </w:r>
      <w:r>
        <w:rPr>
          <w:rFonts w:ascii="Arial"/>
          <w:sz w:val="38"/>
          <w:rtl/>
        </w:rPr>
        <w:t xml:space="preserve"> כמו שכתוב ומלכותו בכל משלה וזהו גלות השכינה כידוע:</w:t>
      </w:r>
    </w:p>
  </w:footnote>
  <w:footnote w:id="1471">
    <w:p w:rsidR="00A13282" w:rsidRDefault="00A13282">
      <w:pPr>
        <w:pStyle w:val="a5"/>
        <w:rPr>
          <w:rtl/>
        </w:rPr>
      </w:pPr>
      <w:r>
        <w:rPr>
          <w:rStyle w:val="a7"/>
          <w:rtl/>
        </w:rPr>
        <w:footnoteRef/>
      </w:r>
      <w:r>
        <w:rPr>
          <w:rtl/>
        </w:rPr>
        <w:t xml:space="preserve"> </w:t>
      </w:r>
      <w:r>
        <w:rPr>
          <w:rFonts w:ascii="Arial"/>
          <w:b/>
          <w:bCs/>
          <w:sz w:val="38"/>
          <w:rtl/>
        </w:rPr>
        <w:t>ובזמנא דצדיקיא כו'.</w:t>
      </w:r>
      <w:r>
        <w:rPr>
          <w:rFonts w:ascii="Arial"/>
          <w:sz w:val="38"/>
          <w:rtl/>
        </w:rPr>
        <w:t xml:space="preserve"> דלרשעים אינון קשורא כו' אבל בצדיקים - אתכפיין כו':</w:t>
      </w:r>
    </w:p>
  </w:footnote>
  <w:footnote w:id="1472">
    <w:p w:rsidR="00A13282" w:rsidRDefault="00A13282">
      <w:pPr>
        <w:pStyle w:val="a5"/>
        <w:rPr>
          <w:rtl/>
        </w:rPr>
      </w:pPr>
      <w:r>
        <w:rPr>
          <w:rStyle w:val="a7"/>
          <w:rtl/>
        </w:rPr>
        <w:footnoteRef/>
      </w:r>
      <w:r>
        <w:rPr>
          <w:rtl/>
        </w:rPr>
        <w:t xml:space="preserve"> </w:t>
      </w:r>
      <w:r>
        <w:rPr>
          <w:rFonts w:ascii="Arial"/>
          <w:b/>
          <w:bCs/>
          <w:sz w:val="38"/>
          <w:rtl/>
        </w:rPr>
        <w:t>בההוא זימנא יעול כו'.</w:t>
      </w:r>
      <w:r>
        <w:rPr>
          <w:rFonts w:ascii="Arial"/>
          <w:sz w:val="38"/>
          <w:rtl/>
        </w:rPr>
        <w:t xml:space="preserve"> רוצה לומר כשהם מתתקנין כו' והקליפה מתפרשת כידוע, דקודם לכן צריכין לאפרשא הקליפה:</w:t>
      </w:r>
    </w:p>
  </w:footnote>
  <w:footnote w:id="1473">
    <w:p w:rsidR="00A13282" w:rsidRDefault="00A13282">
      <w:pPr>
        <w:pStyle w:val="a5"/>
        <w:rPr>
          <w:rtl/>
        </w:rPr>
      </w:pPr>
      <w:r>
        <w:rPr>
          <w:rStyle w:val="a7"/>
          <w:rtl/>
        </w:rPr>
        <w:footnoteRef/>
      </w:r>
      <w:r>
        <w:rPr>
          <w:rtl/>
        </w:rPr>
        <w:t xml:space="preserve"> </w:t>
      </w:r>
      <w:r>
        <w:rPr>
          <w:rFonts w:ascii="Arial"/>
          <w:b/>
          <w:bCs/>
          <w:sz w:val="38"/>
          <w:rtl/>
        </w:rPr>
        <w:t>דאלין תלת כתבין.</w:t>
      </w:r>
      <w:r>
        <w:rPr>
          <w:rFonts w:ascii="Arial"/>
          <w:sz w:val="38"/>
          <w:rtl/>
        </w:rPr>
        <w:t xml:space="preserve"> דהן רישא ושני דרועין כמו שמפרש והולך שהן שלושה ספרים: ספר וספר וספור, כמו שאומר בספר יצירה, שני ספרים - בשתי ידים, וספור - בלשון, כמו שאומר שם, כף זכות וכף חובה ולשון חק מכריע בנתיים:</w:t>
      </w:r>
    </w:p>
  </w:footnote>
  <w:footnote w:id="1474">
    <w:p w:rsidR="00A13282" w:rsidRDefault="00A13282">
      <w:pPr>
        <w:pStyle w:val="a5"/>
        <w:rPr>
          <w:rtl/>
        </w:rPr>
      </w:pPr>
      <w:r>
        <w:rPr>
          <w:rStyle w:val="a7"/>
          <w:rtl/>
        </w:rPr>
        <w:footnoteRef/>
      </w:r>
      <w:r>
        <w:rPr>
          <w:rtl/>
        </w:rPr>
        <w:t xml:space="preserve"> </w:t>
      </w:r>
      <w:r>
        <w:rPr>
          <w:rFonts w:ascii="Arial"/>
          <w:b/>
          <w:bCs/>
          <w:sz w:val="38"/>
          <w:rtl/>
        </w:rPr>
        <w:t>כל זכוון.</w:t>
      </w:r>
      <w:r>
        <w:rPr>
          <w:rFonts w:ascii="Arial"/>
          <w:sz w:val="38"/>
          <w:rtl/>
        </w:rPr>
        <w:t xml:space="preserve"> ולכן יקשט עצמו בשבחין לסדר:</w:t>
      </w:r>
    </w:p>
  </w:footnote>
  <w:footnote w:id="1475">
    <w:p w:rsidR="00A13282" w:rsidRDefault="00A13282">
      <w:pPr>
        <w:pStyle w:val="a5"/>
        <w:rPr>
          <w:rtl/>
        </w:rPr>
      </w:pPr>
      <w:r>
        <w:rPr>
          <w:rStyle w:val="a7"/>
          <w:rtl/>
        </w:rPr>
        <w:footnoteRef/>
      </w:r>
      <w:r>
        <w:rPr>
          <w:rtl/>
        </w:rPr>
        <w:t xml:space="preserve"> </w:t>
      </w:r>
      <w:r>
        <w:rPr>
          <w:rFonts w:ascii="Arial"/>
          <w:b/>
          <w:bCs/>
          <w:sz w:val="38"/>
          <w:rtl/>
        </w:rPr>
        <w:t>חתמין.</w:t>
      </w:r>
      <w:r>
        <w:rPr>
          <w:rFonts w:ascii="Arial"/>
          <w:sz w:val="38"/>
          <w:rtl/>
        </w:rPr>
        <w:t xml:space="preserve"> לכל אחד כפי הנקצב עליו וזה שאומר ובג"ד צריך כו':</w:t>
      </w:r>
    </w:p>
  </w:footnote>
  <w:footnote w:id="1476">
    <w:p w:rsidR="00A13282" w:rsidRDefault="00A13282">
      <w:pPr>
        <w:pStyle w:val="a5"/>
        <w:rPr>
          <w:rtl/>
        </w:rPr>
      </w:pPr>
      <w:r>
        <w:rPr>
          <w:rStyle w:val="a7"/>
          <w:rtl/>
        </w:rPr>
        <w:footnoteRef/>
      </w:r>
      <w:r>
        <w:rPr>
          <w:rtl/>
        </w:rPr>
        <w:t xml:space="preserve"> </w:t>
      </w:r>
      <w:r>
        <w:rPr>
          <w:rFonts w:ascii="Arial"/>
          <w:b/>
          <w:bCs/>
          <w:sz w:val="38"/>
          <w:rtl/>
        </w:rPr>
        <w:t>דתמן איהי כו'.</w:t>
      </w:r>
      <w:r>
        <w:rPr>
          <w:rFonts w:ascii="Arial"/>
          <w:sz w:val="38"/>
          <w:rtl/>
        </w:rPr>
        <w:t xml:space="preserve"> רוצה לומר המלכות נקראת קבלה מסיטרא דתלת בתראין ששם היא מקבל ולכן צריך כו' כעבד המקבל כו':</w:t>
      </w:r>
    </w:p>
  </w:footnote>
  <w:footnote w:id="1477">
    <w:p w:rsidR="00A13282" w:rsidRDefault="00A13282">
      <w:pPr>
        <w:pStyle w:val="a5"/>
        <w:rPr>
          <w:rtl/>
        </w:rPr>
      </w:pPr>
      <w:r>
        <w:rPr>
          <w:rStyle w:val="a7"/>
          <w:rtl/>
        </w:rPr>
        <w:footnoteRef/>
      </w:r>
      <w:r>
        <w:rPr>
          <w:rtl/>
        </w:rPr>
        <w:t xml:space="preserve"> </w:t>
      </w:r>
      <w:r>
        <w:rPr>
          <w:rFonts w:ascii="Arial"/>
          <w:b/>
          <w:bCs/>
          <w:sz w:val="38"/>
          <w:rtl/>
        </w:rPr>
        <w:t>חותמא דקשוט.</w:t>
      </w:r>
      <w:r>
        <w:rPr>
          <w:rFonts w:ascii="Arial"/>
          <w:sz w:val="38"/>
          <w:rtl/>
        </w:rPr>
        <w:t xml:space="preserve"> רוצה לומר, שהיא מקבל החותם, כמו שחותמין על אדמה שמקבל צורת החותם, כן היא, כמו שאומר להלן בתיקון א’ שימני כחותם כו', שהיא חותם של עמודא דאמצעיתא - דמות אדם, כמו שאומר שם, וזהו חותמא דקשוט, שחותם של הקב"ה הוא אמת כידוע, והוא בעמודא דאמצעיתא כידוע, תתן אמת ליעקב, וכן נו"ה נקראין ירכי קשוט כמו שאומר להלן ותלת בתראין הן גוף ותרין שוקין כמו שמפרש והולך:</w:t>
      </w:r>
    </w:p>
  </w:footnote>
  <w:footnote w:id="1478">
    <w:p w:rsidR="00A13282" w:rsidRDefault="00A13282">
      <w:pPr>
        <w:pStyle w:val="a5"/>
        <w:rPr>
          <w:rtl/>
        </w:rPr>
      </w:pPr>
      <w:r>
        <w:rPr>
          <w:rStyle w:val="a7"/>
          <w:rtl/>
        </w:rPr>
        <w:footnoteRef/>
      </w:r>
      <w:r>
        <w:rPr>
          <w:rtl/>
        </w:rPr>
        <w:t xml:space="preserve"> </w:t>
      </w:r>
      <w:r>
        <w:rPr>
          <w:rFonts w:ascii="Arial"/>
          <w:b/>
          <w:bCs/>
          <w:sz w:val="38"/>
          <w:rtl/>
        </w:rPr>
        <w:t>ואיהי כו'.</w:t>
      </w:r>
      <w:r>
        <w:rPr>
          <w:rFonts w:ascii="Arial"/>
          <w:sz w:val="38"/>
          <w:rtl/>
        </w:rPr>
        <w:t xml:space="preserve"> רוצה לומר שאמר לעיל איהי בית קבול כו': </w:t>
      </w:r>
    </w:p>
  </w:footnote>
  <w:footnote w:id="1479">
    <w:p w:rsidR="00A13282" w:rsidRDefault="00A13282">
      <w:pPr>
        <w:pStyle w:val="a5"/>
        <w:rPr>
          <w:rtl/>
        </w:rPr>
      </w:pPr>
      <w:r>
        <w:rPr>
          <w:rStyle w:val="a7"/>
          <w:rtl/>
        </w:rPr>
        <w:footnoteRef/>
      </w:r>
      <w:r>
        <w:rPr>
          <w:rtl/>
        </w:rPr>
        <w:t xml:space="preserve"> </w:t>
      </w:r>
      <w:r>
        <w:rPr>
          <w:rFonts w:ascii="Arial"/>
          <w:b/>
          <w:bCs/>
          <w:sz w:val="38"/>
          <w:rtl/>
        </w:rPr>
        <w:t>באמצעיות צריך למשאל דתמן כו'.</w:t>
      </w:r>
      <w:r>
        <w:rPr>
          <w:rFonts w:ascii="Arial"/>
          <w:sz w:val="38"/>
          <w:rtl/>
        </w:rPr>
        <w:t xml:space="preserve"> שצריך לשאול מבעל הכתיבה והחתימה כמו שמפרש והולך:</w:t>
      </w:r>
    </w:p>
  </w:footnote>
  <w:footnote w:id="1480">
    <w:p w:rsidR="00A13282" w:rsidRDefault="00A13282">
      <w:pPr>
        <w:pStyle w:val="a5"/>
        <w:rPr>
          <w:rtl/>
        </w:rPr>
      </w:pPr>
      <w:r>
        <w:rPr>
          <w:rStyle w:val="a7"/>
          <w:rtl/>
        </w:rPr>
        <w:footnoteRef/>
      </w:r>
      <w:r>
        <w:rPr>
          <w:rtl/>
        </w:rPr>
        <w:t xml:space="preserve"> </w:t>
      </w:r>
      <w:r>
        <w:rPr>
          <w:rFonts w:ascii="Arial"/>
          <w:b/>
          <w:bCs/>
          <w:sz w:val="38"/>
          <w:rtl/>
        </w:rPr>
        <w:t>ו' ו'.</w:t>
      </w:r>
      <w:r>
        <w:rPr>
          <w:rFonts w:ascii="Arial"/>
          <w:sz w:val="38"/>
          <w:rtl/>
        </w:rPr>
        <w:t xml:space="preserve"> רוצה לומר ת"ת ויסוד, אע"ג דחשיב בתלת בתראין גופא, ו' ו' דכאן הן שמש וירח דנהרין בז' כוכבים, גוף וברית כמו שאומר להלן:</w:t>
      </w:r>
    </w:p>
  </w:footnote>
  <w:footnote w:id="1481">
    <w:p w:rsidR="00A13282" w:rsidRDefault="00A13282">
      <w:pPr>
        <w:pStyle w:val="a5"/>
        <w:rPr>
          <w:rtl/>
        </w:rPr>
      </w:pPr>
      <w:r>
        <w:rPr>
          <w:rStyle w:val="a7"/>
          <w:rtl/>
        </w:rPr>
        <w:footnoteRef/>
      </w:r>
      <w:r>
        <w:rPr>
          <w:rtl/>
        </w:rPr>
        <w:t xml:space="preserve"> </w:t>
      </w:r>
      <w:r>
        <w:rPr>
          <w:rFonts w:ascii="Arial"/>
          <w:b/>
          <w:bCs/>
          <w:sz w:val="38"/>
          <w:rtl/>
        </w:rPr>
        <w:t>חד מארי כו'.</w:t>
      </w:r>
      <w:r>
        <w:rPr>
          <w:rFonts w:ascii="Arial"/>
          <w:sz w:val="38"/>
          <w:rtl/>
        </w:rPr>
        <w:t xml:space="preserve"> שת"ת הוא כלל שני דרועין, ויסוד - כלל שני שוקין כידוע:</w:t>
      </w:r>
    </w:p>
  </w:footnote>
  <w:footnote w:id="1482">
    <w:p w:rsidR="00A13282" w:rsidRDefault="00A13282">
      <w:pPr>
        <w:pStyle w:val="a5"/>
        <w:rPr>
          <w:rtl/>
        </w:rPr>
      </w:pPr>
      <w:r>
        <w:rPr>
          <w:rStyle w:val="a7"/>
          <w:rtl/>
        </w:rPr>
        <w:footnoteRef/>
      </w:r>
      <w:r>
        <w:rPr>
          <w:rtl/>
        </w:rPr>
        <w:t xml:space="preserve"> </w:t>
      </w:r>
      <w:r>
        <w:rPr>
          <w:rFonts w:ascii="Arial"/>
          <w:b/>
          <w:bCs/>
          <w:sz w:val="38"/>
          <w:rtl/>
        </w:rPr>
        <w:t>כלילן י"ב.</w:t>
      </w:r>
      <w:r>
        <w:rPr>
          <w:rFonts w:ascii="Arial"/>
          <w:sz w:val="38"/>
          <w:rtl/>
        </w:rPr>
        <w:t xml:space="preserve"> ת"ת - כלל שני דרועין שבהן שית פירקין ולכן הוא ו', וכן יסוד - כלל שני שוקין, שית פרקין, שוקיו עמודי שש והוא ו' גם כן, והן י"ב בקר שהים עליהם מלמעלה, ג' לכל רוח, ג' פרקין של כל אחד:</w:t>
      </w:r>
    </w:p>
  </w:footnote>
  <w:footnote w:id="1483">
    <w:p w:rsidR="00A13282" w:rsidRDefault="00A13282">
      <w:pPr>
        <w:pStyle w:val="a5"/>
        <w:rPr>
          <w:rtl/>
        </w:rPr>
      </w:pPr>
      <w:r>
        <w:rPr>
          <w:rStyle w:val="a7"/>
          <w:rtl/>
        </w:rPr>
        <w:footnoteRef/>
      </w:r>
      <w:r>
        <w:rPr>
          <w:rtl/>
        </w:rPr>
        <w:t xml:space="preserve"> </w:t>
      </w:r>
      <w:r>
        <w:rPr>
          <w:rFonts w:ascii="Arial"/>
          <w:b/>
          <w:bCs/>
          <w:sz w:val="38"/>
          <w:rtl/>
        </w:rPr>
        <w:t>תלת כו'.</w:t>
      </w:r>
      <w:r>
        <w:rPr>
          <w:rFonts w:ascii="Arial"/>
          <w:sz w:val="38"/>
          <w:rtl/>
        </w:rPr>
        <w:t xml:space="preserve"> עכשיו מפרש כל הנ"ל:</w:t>
      </w:r>
    </w:p>
  </w:footnote>
  <w:footnote w:id="1484">
    <w:p w:rsidR="00A13282" w:rsidRDefault="00A13282">
      <w:pPr>
        <w:pStyle w:val="a5"/>
        <w:rPr>
          <w:rtl/>
        </w:rPr>
      </w:pPr>
      <w:r>
        <w:rPr>
          <w:rStyle w:val="a7"/>
          <w:rtl/>
        </w:rPr>
        <w:footnoteRef/>
      </w:r>
      <w:r>
        <w:rPr>
          <w:rtl/>
        </w:rPr>
        <w:t xml:space="preserve"> </w:t>
      </w:r>
      <w:r>
        <w:rPr>
          <w:rFonts w:ascii="Arial"/>
          <w:b/>
          <w:bCs/>
          <w:sz w:val="38"/>
          <w:rtl/>
        </w:rPr>
        <w:t>בג"ד צריך לאחזרא תלת כו'.</w:t>
      </w:r>
      <w:r>
        <w:rPr>
          <w:rFonts w:ascii="Arial"/>
          <w:sz w:val="38"/>
          <w:rtl/>
        </w:rPr>
        <w:t xml:space="preserve"> רוצה לומר כמו שאמר לעיל דתמן איהי בית קיבול רוצה לומר, בתלת בתראין מתחלת קומתה ומשם מקבלת ולכן הולכין לאחור תלת פסיעין - משלש ספירות הנ"ל אל מלכות. וזה שאומר הא אתפטר ממלכא כו' והיא עומדת לאחוריו וזה שאומר לאחורא - אליה ולכן הן תלת פסיעין - שהן ברגלין וזה שאומר נותן שלום לימינו כו' רוצה לומר לנו"ה שהן נקראים שלום מסיטרא דיסוד כמו שאמרו וכל בניך למודי ה' - שהן נו"ה, ורב שלום כו', וזה שאומר ויאסוף רגליו - נו"ה, אל המטה - מלכות. ורוצה לומר, כתיב בסיפא דקרא ויגוע ויאסף כו', ששם הוא אילנא דמותא, ולכן צריך תיכף למסור עצמו למיתה ברחום וחנון כידוע. והכלל, כי שלש ראשונות - שנים בחו"ג כידוע ושלישית - בכח"ב, ולכן שלש פעמים קדוש, שכל שלש ראשונות נקראו קדש כידוע. וכן ברכה אחרונה של תפלת שמונה עשרה כולל כל קו האמצעי, שכולא נקרא על שם גופא כידוע, ולכן שם שלש פעמים שלום - על שם יסוד ותרין בתראין, נו"ה. והן עשר ספירות נכללין בששה - ו' של השם, שבו נכללין עשר ספירות, כלל הוי"ה כידוע:</w:t>
      </w:r>
    </w:p>
  </w:footnote>
  <w:footnote w:id="1485">
    <w:p w:rsidR="00A13282" w:rsidRDefault="00A13282">
      <w:pPr>
        <w:pStyle w:val="a5"/>
      </w:pPr>
      <w:r>
        <w:rPr>
          <w:rStyle w:val="a7"/>
        </w:rPr>
        <w:footnoteRef/>
      </w:r>
      <w:r>
        <w:t xml:space="preserve"> </w:t>
      </w:r>
      <w:r>
        <w:rPr>
          <w:rFonts w:ascii="Arial"/>
          <w:b/>
          <w:bCs/>
          <w:sz w:val="38"/>
          <w:rtl/>
        </w:rPr>
        <w:t>ועוד ה' דיד כהה.</w:t>
      </w:r>
      <w:r>
        <w:rPr>
          <w:rFonts w:ascii="Arial"/>
          <w:sz w:val="38"/>
          <w:rtl/>
        </w:rPr>
        <w:t xml:space="preserve"> הוא ה' אחרונה שבשם כמו שאומר לקמן, ואמר, ועוד, משום דלמעלה קמפרש ד' אותיות הוי"ה משום ה' אחרונה כנ"ל, ועכשיו מפרש והולך גם כן כל השם:</w:t>
      </w:r>
    </w:p>
  </w:footnote>
  <w:footnote w:id="1486">
    <w:p w:rsidR="00A13282" w:rsidRDefault="00A13282">
      <w:pPr>
        <w:pStyle w:val="a5"/>
      </w:pPr>
      <w:r>
        <w:rPr>
          <w:rStyle w:val="a7"/>
        </w:rPr>
        <w:footnoteRef/>
      </w:r>
      <w:r>
        <w:t xml:space="preserve"> </w:t>
      </w:r>
      <w:r>
        <w:rPr>
          <w:rFonts w:ascii="Arial"/>
          <w:b/>
          <w:bCs/>
          <w:sz w:val="38"/>
          <w:rtl/>
        </w:rPr>
        <w:t>מצפצפאן כו'.</w:t>
      </w:r>
      <w:r>
        <w:rPr>
          <w:rFonts w:ascii="Arial"/>
          <w:sz w:val="38"/>
          <w:rtl/>
        </w:rPr>
        <w:t xml:space="preserve"> הן פסוקי דזמרה:</w:t>
      </w:r>
    </w:p>
  </w:footnote>
  <w:footnote w:id="1487">
    <w:p w:rsidR="00A13282" w:rsidRDefault="00A13282">
      <w:pPr>
        <w:pStyle w:val="a5"/>
      </w:pPr>
      <w:r>
        <w:rPr>
          <w:rStyle w:val="a7"/>
        </w:rPr>
        <w:footnoteRef/>
      </w:r>
      <w:r>
        <w:t xml:space="preserve"> </w:t>
      </w:r>
      <w:r>
        <w:rPr>
          <w:rFonts w:ascii="Arial"/>
          <w:b/>
          <w:bCs/>
          <w:sz w:val="38"/>
          <w:rtl/>
        </w:rPr>
        <w:t>קשרין לה ברצועה.</w:t>
      </w:r>
      <w:r>
        <w:rPr>
          <w:rFonts w:ascii="Arial"/>
          <w:sz w:val="38"/>
          <w:rtl/>
        </w:rPr>
        <w:t xml:space="preserve"> רוצה לומר, כאן סוד תפילין וקריאת שמע דאינון ברזא חדא. דנחתין לה בברכה דתפילין של יד, וקשרין לה ברצועה שהיא ו', והקשר הוא י' שהוא יסוד והוא היחוד בין זו"ן. וכן בקריאת שמע - דנחתין לה כנ"ל, וקשרין בשית תיבין - זהו שמע ישראל, והקשר הוא אחד, שהוא היחוד והוא יסוד שהיא תיבה ששית משית תיבין. וכנגד תפילין של ראש, שהוא ו' - הוא ח"י ברכאין, לפיכך שניהם מעומד כמו שאומר בזהר שצריך לאחזאה בעובדא ובמילולא:</w:t>
      </w:r>
    </w:p>
  </w:footnote>
  <w:footnote w:id="1488">
    <w:p w:rsidR="00A13282" w:rsidRDefault="00A13282">
      <w:pPr>
        <w:pStyle w:val="a5"/>
      </w:pPr>
      <w:r>
        <w:rPr>
          <w:rStyle w:val="a7"/>
        </w:rPr>
        <w:footnoteRef/>
      </w:r>
      <w:r>
        <w:t xml:space="preserve"> </w:t>
      </w:r>
      <w:r>
        <w:rPr>
          <w:rFonts w:ascii="Arial"/>
          <w:b/>
          <w:bCs/>
          <w:sz w:val="38"/>
          <w:rtl/>
        </w:rPr>
        <w:t>ובגין דא כו'.</w:t>
      </w:r>
      <w:r>
        <w:rPr>
          <w:rFonts w:ascii="Arial"/>
          <w:sz w:val="38"/>
          <w:rtl/>
        </w:rPr>
        <w:t xml:space="preserve"> רוצה לומר עד שיניח של ראש, וכן בין גאולה לתפילה:</w:t>
      </w:r>
    </w:p>
  </w:footnote>
  <w:footnote w:id="1489">
    <w:p w:rsidR="00A13282" w:rsidRDefault="00A13282">
      <w:pPr>
        <w:pStyle w:val="a5"/>
      </w:pPr>
      <w:r>
        <w:rPr>
          <w:rStyle w:val="a7"/>
        </w:rPr>
        <w:footnoteRef/>
      </w:r>
      <w:r>
        <w:t xml:space="preserve"> </w:t>
      </w:r>
      <w:r>
        <w:rPr>
          <w:b/>
          <w:bCs/>
          <w:rtl/>
        </w:rPr>
        <w:t>עטרת תפארת.</w:t>
      </w:r>
      <w:r>
        <w:rPr>
          <w:rtl/>
        </w:rPr>
        <w:t xml:space="preserve"> רוצה לומר שהיא עטרת על תפארת מצד הכתר כמו שאומר לקמן מעוטר בכתר על רישיה:</w:t>
      </w:r>
    </w:p>
  </w:footnote>
  <w:footnote w:id="1490">
    <w:p w:rsidR="00A13282" w:rsidRDefault="00A13282">
      <w:pPr>
        <w:pStyle w:val="a5"/>
      </w:pPr>
      <w:r>
        <w:rPr>
          <w:rStyle w:val="a7"/>
        </w:rPr>
        <w:footnoteRef/>
      </w:r>
      <w:r>
        <w:t xml:space="preserve"> </w:t>
      </w:r>
      <w:r>
        <w:rPr>
          <w:rFonts w:ascii="Arial"/>
          <w:b/>
          <w:bCs/>
          <w:sz w:val="38"/>
          <w:rtl/>
        </w:rPr>
        <w:t>עלה אתמר פארך כו'.</w:t>
      </w:r>
      <w:r>
        <w:rPr>
          <w:rFonts w:ascii="Arial"/>
          <w:sz w:val="38"/>
          <w:rtl/>
        </w:rPr>
        <w:t xml:space="preserve"> רוצה לומר פארך - תפילין של ראש, שהוא ו', תפארת, חבוש עליך רוצה לומר על האדם:</w:t>
      </w:r>
    </w:p>
  </w:footnote>
  <w:footnote w:id="1491">
    <w:p w:rsidR="00A13282" w:rsidRDefault="00A13282">
      <w:pPr>
        <w:pStyle w:val="a5"/>
      </w:pPr>
      <w:r>
        <w:rPr>
          <w:rStyle w:val="a7"/>
        </w:rPr>
        <w:footnoteRef/>
      </w:r>
      <w:r>
        <w:t xml:space="preserve"> </w:t>
      </w:r>
      <w:r>
        <w:rPr>
          <w:rFonts w:ascii="Arial"/>
          <w:b/>
          <w:bCs/>
          <w:sz w:val="38"/>
          <w:rtl/>
        </w:rPr>
        <w:t>והאי איהו הויה.</w:t>
      </w:r>
      <w:r>
        <w:rPr>
          <w:rFonts w:ascii="Arial"/>
          <w:sz w:val="38"/>
          <w:rtl/>
        </w:rPr>
        <w:t xml:space="preserve"> ה' על ו', תפילין של ראש - ו', קשור באת יוד, עם ה' תתאה:</w:t>
      </w:r>
    </w:p>
  </w:footnote>
  <w:footnote w:id="1492">
    <w:p w:rsidR="00A13282" w:rsidRDefault="00A13282">
      <w:pPr>
        <w:pStyle w:val="a5"/>
      </w:pPr>
      <w:r>
        <w:rPr>
          <w:rStyle w:val="a7"/>
        </w:rPr>
        <w:footnoteRef/>
      </w:r>
      <w:r>
        <w:t xml:space="preserve"> </w:t>
      </w:r>
      <w:r>
        <w:rPr>
          <w:rFonts w:ascii="Arial"/>
          <w:b/>
          <w:bCs/>
          <w:sz w:val="38"/>
          <w:rtl/>
        </w:rPr>
        <w:t>דאתמר ביה הנה כו'.</w:t>
      </w:r>
      <w:r>
        <w:rPr>
          <w:rFonts w:ascii="Arial"/>
          <w:sz w:val="38"/>
          <w:rtl/>
        </w:rPr>
        <w:t xml:space="preserve"> כמו שאומר לקמן ועיקר תפילין משמאלא כו'. ויד ה' הויה, הוא מסטרא דשמאלא כמו שמפרש והולך:</w:t>
      </w:r>
    </w:p>
  </w:footnote>
  <w:footnote w:id="1493">
    <w:p w:rsidR="00A13282" w:rsidRDefault="00A13282">
      <w:pPr>
        <w:pStyle w:val="a5"/>
      </w:pPr>
      <w:r>
        <w:rPr>
          <w:rStyle w:val="a7"/>
        </w:rPr>
        <w:footnoteRef/>
      </w:r>
      <w:r>
        <w:t xml:space="preserve"> </w:t>
      </w:r>
      <w:r>
        <w:rPr>
          <w:b/>
          <w:bCs/>
          <w:rtl/>
        </w:rPr>
        <w:t>ובגין דא אוקמוהו כו'.</w:t>
      </w:r>
      <w:r>
        <w:rPr>
          <w:rtl/>
        </w:rPr>
        <w:t xml:space="preserve"> רוצה לומר, שיהיה הדין באמצע, כמו שמפרש והולך:</w:t>
      </w:r>
    </w:p>
  </w:footnote>
  <w:footnote w:id="1494">
    <w:p w:rsidR="00A13282" w:rsidRDefault="00A13282">
      <w:pPr>
        <w:pStyle w:val="a5"/>
      </w:pPr>
      <w:r>
        <w:rPr>
          <w:rStyle w:val="a7"/>
        </w:rPr>
        <w:footnoteRef/>
      </w:r>
      <w:r>
        <w:t xml:space="preserve"> </w:t>
      </w:r>
      <w:r>
        <w:rPr>
          <w:rFonts w:ascii="Arial"/>
          <w:b/>
          <w:bCs/>
          <w:sz w:val="38"/>
          <w:rtl/>
        </w:rPr>
        <w:t>וירא ישראל את היד הגדולה כו'.</w:t>
      </w:r>
      <w:r>
        <w:rPr>
          <w:rFonts w:ascii="Arial"/>
          <w:sz w:val="38"/>
          <w:rtl/>
        </w:rPr>
        <w:t xml:space="preserve"> דגדולה היא חסד, וכתיב אשר עשה יקו"ק:</w:t>
      </w:r>
    </w:p>
  </w:footnote>
  <w:footnote w:id="1495">
    <w:p w:rsidR="00A13282" w:rsidRDefault="00A13282">
      <w:pPr>
        <w:pStyle w:val="a5"/>
      </w:pPr>
      <w:r>
        <w:rPr>
          <w:rStyle w:val="a7"/>
        </w:rPr>
        <w:footnoteRef/>
      </w:r>
      <w:r>
        <w:t xml:space="preserve"> </w:t>
      </w:r>
      <w:r>
        <w:rPr>
          <w:rFonts w:ascii="Arial"/>
          <w:b/>
          <w:bCs/>
          <w:sz w:val="38"/>
          <w:rtl/>
        </w:rPr>
        <w:t>דאתמר בה ובני כו'.</w:t>
      </w:r>
      <w:r>
        <w:rPr>
          <w:rFonts w:ascii="Arial"/>
          <w:sz w:val="38"/>
          <w:rtl/>
        </w:rPr>
        <w:t xml:space="preserve"> וכתיב (שמות יג כא עיי"ש) בעמוד ענן יומם, שהוא עמודא דאמצעיתא, וכתיב (שם) וה' הולך כו':</w:t>
      </w:r>
    </w:p>
  </w:footnote>
  <w:footnote w:id="1496">
    <w:p w:rsidR="00A13282" w:rsidRDefault="00A13282">
      <w:pPr>
        <w:pStyle w:val="a5"/>
      </w:pPr>
      <w:r>
        <w:rPr>
          <w:rStyle w:val="a7"/>
        </w:rPr>
        <w:footnoteRef/>
      </w:r>
      <w:r>
        <w:t xml:space="preserve"> </w:t>
      </w:r>
      <w:r>
        <w:rPr>
          <w:rFonts w:ascii="Arial"/>
          <w:b/>
          <w:bCs/>
          <w:sz w:val="38"/>
          <w:rtl/>
        </w:rPr>
        <w:t>דאיהי יד ה' הויה.</w:t>
      </w:r>
      <w:r>
        <w:rPr>
          <w:rFonts w:ascii="Arial"/>
          <w:sz w:val="38"/>
          <w:rtl/>
        </w:rPr>
        <w:t xml:space="preserve"> וכתיב (שמות ט ג) דבר כבד מאד, והא דכתיב יד ה', הכי פירושו, דרשעים מהפכים מידת הרחמים למידת הדין (בראשית רבה פ' לג), וזה שאומר יד ה' הויה:</w:t>
      </w:r>
    </w:p>
  </w:footnote>
  <w:footnote w:id="1497">
    <w:p w:rsidR="00A13282" w:rsidRDefault="00A13282">
      <w:pPr>
        <w:pStyle w:val="a5"/>
      </w:pPr>
      <w:r>
        <w:rPr>
          <w:rStyle w:val="a7"/>
        </w:rPr>
        <w:footnoteRef/>
      </w:r>
      <w:r>
        <w:t xml:space="preserve"> </w:t>
      </w:r>
      <w:r>
        <w:rPr>
          <w:rFonts w:ascii="Arial"/>
          <w:b/>
          <w:bCs/>
          <w:sz w:val="38"/>
          <w:rtl/>
        </w:rPr>
        <w:t>עלה אתמר והיה.</w:t>
      </w:r>
      <w:r>
        <w:rPr>
          <w:rFonts w:ascii="Arial"/>
          <w:sz w:val="38"/>
          <w:rtl/>
        </w:rPr>
        <w:t xml:space="preserve"> רוצה לומר דיד רמה הוא שם והיה, מסטרא דחסד דאיהו בימינא דתמן חכמה, כמו שאומר לקמן בסמוך, והחכמה הוא יקו"ק - י' ברישא, ומסטרא דשמאלא דאיהי בינה - ה' ברישא, ומסטרא דתפארת - ו' ברישא:</w:t>
      </w:r>
    </w:p>
  </w:footnote>
  <w:footnote w:id="1498">
    <w:p w:rsidR="00A13282" w:rsidRDefault="00A13282">
      <w:pPr>
        <w:pStyle w:val="a5"/>
      </w:pPr>
      <w:r>
        <w:rPr>
          <w:rStyle w:val="a7"/>
        </w:rPr>
        <w:footnoteRef/>
      </w:r>
      <w:r>
        <w:t xml:space="preserve"> </w:t>
      </w:r>
      <w:r>
        <w:rPr>
          <w:rFonts w:ascii="Arial"/>
          <w:b/>
          <w:bCs/>
          <w:sz w:val="38"/>
          <w:rtl/>
        </w:rPr>
        <w:t>למלך על כו'.</w:t>
      </w:r>
      <w:r>
        <w:rPr>
          <w:rFonts w:ascii="Arial"/>
          <w:sz w:val="38"/>
          <w:rtl/>
        </w:rPr>
        <w:t xml:space="preserve"> שאז בני ישראל יצאו ביד רמה:</w:t>
      </w:r>
    </w:p>
  </w:footnote>
  <w:footnote w:id="1499">
    <w:p w:rsidR="00A13282" w:rsidRDefault="00A13282">
      <w:pPr>
        <w:pStyle w:val="a5"/>
      </w:pPr>
      <w:r>
        <w:rPr>
          <w:rStyle w:val="a7"/>
        </w:rPr>
        <w:footnoteRef/>
      </w:r>
      <w:r>
        <w:t xml:space="preserve"> </w:t>
      </w:r>
      <w:r>
        <w:rPr>
          <w:rFonts w:ascii="Arial"/>
          <w:b/>
          <w:bCs/>
          <w:sz w:val="38"/>
          <w:rtl/>
        </w:rPr>
        <w:t>יד שכינתא כו'.</w:t>
      </w:r>
      <w:r>
        <w:rPr>
          <w:rFonts w:ascii="Arial"/>
          <w:sz w:val="38"/>
          <w:rtl/>
        </w:rPr>
        <w:t xml:space="preserve"> עכשיו מפרש יד, מה שאמר לעיל ה' דיד כהה, ולקמן מפרש ה' דכהה:</w:t>
      </w:r>
    </w:p>
  </w:footnote>
  <w:footnote w:id="1500">
    <w:p w:rsidR="00A13282" w:rsidRDefault="00A13282">
      <w:pPr>
        <w:pStyle w:val="a5"/>
      </w:pPr>
      <w:r>
        <w:rPr>
          <w:rStyle w:val="a7"/>
        </w:rPr>
        <w:footnoteRef/>
      </w:r>
      <w:r>
        <w:t xml:space="preserve"> </w:t>
      </w:r>
      <w:r>
        <w:rPr>
          <w:rFonts w:ascii="Arial"/>
          <w:b/>
          <w:bCs/>
          <w:sz w:val="38"/>
          <w:rtl/>
        </w:rPr>
        <w:t>איהי היד כו'.</w:t>
      </w:r>
      <w:r>
        <w:rPr>
          <w:rFonts w:ascii="Arial"/>
          <w:sz w:val="38"/>
          <w:rtl/>
        </w:rPr>
        <w:t xml:space="preserve"> מה שאמר לעיל יד ה' מימינא כו' - הכל עלה אתמר:</w:t>
      </w:r>
    </w:p>
  </w:footnote>
  <w:footnote w:id="1501">
    <w:p w:rsidR="00A13282" w:rsidRDefault="00A13282">
      <w:pPr>
        <w:pStyle w:val="a5"/>
      </w:pPr>
      <w:r>
        <w:rPr>
          <w:rStyle w:val="a7"/>
        </w:rPr>
        <w:footnoteRef/>
      </w:r>
      <w:r>
        <w:t xml:space="preserve"> </w:t>
      </w:r>
      <w:r>
        <w:rPr>
          <w:rFonts w:ascii="Arial"/>
          <w:b/>
          <w:bCs/>
          <w:sz w:val="38"/>
          <w:rtl/>
        </w:rPr>
        <w:t>מעוטר בכתר.</w:t>
      </w:r>
      <w:r>
        <w:rPr>
          <w:rFonts w:ascii="Arial"/>
          <w:sz w:val="38"/>
          <w:rtl/>
        </w:rPr>
        <w:t xml:space="preserve"> רוצה לומר דתמן כתר:</w:t>
      </w:r>
    </w:p>
  </w:footnote>
  <w:footnote w:id="1502">
    <w:p w:rsidR="00A13282" w:rsidRDefault="00A13282">
      <w:pPr>
        <w:pStyle w:val="a5"/>
      </w:pPr>
      <w:r>
        <w:rPr>
          <w:rStyle w:val="a7"/>
        </w:rPr>
        <w:footnoteRef/>
      </w:r>
      <w:r>
        <w:t xml:space="preserve"> </w:t>
      </w:r>
      <w:r>
        <w:rPr>
          <w:rFonts w:ascii="Arial"/>
          <w:b/>
          <w:bCs/>
          <w:sz w:val="38"/>
          <w:rtl/>
        </w:rPr>
        <w:t>תפילין דמארי עלמא.</w:t>
      </w:r>
      <w:r>
        <w:rPr>
          <w:rFonts w:ascii="Arial"/>
          <w:sz w:val="38"/>
          <w:rtl/>
        </w:rPr>
        <w:t xml:space="preserve"> רוצה לומר דתפילין דקב"ה הוא ו' כנ"ל, ועטרת שעליו הוא כתר כנ"ל. והענין כמו שאומר לקמן דד' בתי דרישא אינון אקי"ק, והוא בינה מצד כתר, ובהן חבוש ד' פרשיין דאינון הוי"ה, כמו שאומר לקמן, והוא עמודא דאמצעיתא:</w:t>
      </w:r>
    </w:p>
  </w:footnote>
  <w:footnote w:id="1503">
    <w:p w:rsidR="00A13282" w:rsidRDefault="00A13282">
      <w:pPr>
        <w:pStyle w:val="a5"/>
      </w:pPr>
      <w:r>
        <w:rPr>
          <w:rStyle w:val="a7"/>
        </w:rPr>
        <w:footnoteRef/>
      </w:r>
      <w:r>
        <w:t xml:space="preserve"> </w:t>
      </w:r>
      <w:r>
        <w:rPr>
          <w:rFonts w:ascii="Arial"/>
          <w:b/>
          <w:bCs/>
          <w:sz w:val="38"/>
          <w:rtl/>
        </w:rPr>
        <w:t>שין של תפילין כו'.</w:t>
      </w:r>
      <w:r>
        <w:rPr>
          <w:rFonts w:ascii="Arial"/>
          <w:sz w:val="38"/>
          <w:rtl/>
        </w:rPr>
        <w:t xml:space="preserve"> שעד כאן פירש בתפילין מ"ב אזכרות שהיא בשכינה מסטרא דשלש ראשונות כח"ב, ועכשיו מפרש ז' אחרונות דידה:</w:t>
      </w:r>
    </w:p>
  </w:footnote>
  <w:footnote w:id="1504">
    <w:p w:rsidR="00A13282" w:rsidRDefault="00A13282">
      <w:pPr>
        <w:pStyle w:val="a5"/>
      </w:pPr>
      <w:r>
        <w:rPr>
          <w:rStyle w:val="a7"/>
        </w:rPr>
        <w:footnoteRef/>
      </w:r>
      <w:r>
        <w:t xml:space="preserve"> </w:t>
      </w:r>
      <w:r>
        <w:rPr>
          <w:rFonts w:ascii="Arial"/>
          <w:b/>
          <w:bCs/>
          <w:sz w:val="38"/>
          <w:rtl/>
        </w:rPr>
        <w:t>הלכה למשה מסיני.</w:t>
      </w:r>
      <w:r>
        <w:rPr>
          <w:rFonts w:ascii="Arial"/>
          <w:sz w:val="38"/>
          <w:rtl/>
        </w:rPr>
        <w:t xml:space="preserve"> רוצה לומר בז' תחתונות דידה, דאיהי הלכה, כמו שאומר לקמן, והוא מסטרא דז' תחתונות, מ"ט פנים טהור כו':</w:t>
      </w:r>
    </w:p>
  </w:footnote>
  <w:footnote w:id="1505">
    <w:p w:rsidR="00A13282" w:rsidRDefault="00A13282">
      <w:pPr>
        <w:pStyle w:val="a5"/>
      </w:pPr>
      <w:r>
        <w:rPr>
          <w:rStyle w:val="a7"/>
        </w:rPr>
        <w:footnoteRef/>
      </w:r>
      <w:r>
        <w:t xml:space="preserve"> </w:t>
      </w:r>
      <w:r>
        <w:rPr>
          <w:rFonts w:ascii="Arial"/>
          <w:b/>
          <w:bCs/>
          <w:sz w:val="38"/>
          <w:rtl/>
        </w:rPr>
        <w:t>לקבל שבע כו'.</w:t>
      </w:r>
      <w:r>
        <w:rPr>
          <w:rFonts w:ascii="Arial"/>
          <w:sz w:val="38"/>
          <w:rtl/>
        </w:rPr>
        <w:t xml:space="preserve"> רוצה לומר שבע היכלות, דאינון עולימין דאזלין בתרה, כמו שאומר לקמן, דהלכה - עולימא דמטרוניתא עיין שם:</w:t>
      </w:r>
    </w:p>
  </w:footnote>
  <w:footnote w:id="1506">
    <w:p w:rsidR="00A13282" w:rsidRDefault="00A13282">
      <w:pPr>
        <w:pStyle w:val="a5"/>
      </w:pPr>
      <w:r>
        <w:rPr>
          <w:rStyle w:val="a7"/>
        </w:rPr>
        <w:footnoteRef/>
      </w:r>
      <w:r>
        <w:t xml:space="preserve"> </w:t>
      </w:r>
      <w:r>
        <w:rPr>
          <w:rFonts w:ascii="Arial"/>
          <w:b/>
          <w:bCs/>
          <w:sz w:val="38"/>
          <w:rtl/>
        </w:rPr>
        <w:t>ואינון בשחר כו'.</w:t>
      </w:r>
      <w:r>
        <w:rPr>
          <w:rFonts w:ascii="Arial"/>
          <w:sz w:val="38"/>
          <w:rtl/>
        </w:rPr>
        <w:t xml:space="preserve"> דא איהו במילולא כנ"ל:</w:t>
      </w:r>
    </w:p>
  </w:footnote>
  <w:footnote w:id="1507">
    <w:p w:rsidR="00A13282" w:rsidRDefault="00A13282">
      <w:pPr>
        <w:pStyle w:val="a5"/>
      </w:pPr>
      <w:r>
        <w:rPr>
          <w:rStyle w:val="a7"/>
        </w:rPr>
        <w:footnoteRef/>
      </w:r>
      <w:r>
        <w:t xml:space="preserve"> </w:t>
      </w:r>
      <w:r>
        <w:rPr>
          <w:rFonts w:ascii="Arial"/>
          <w:b/>
          <w:bCs/>
          <w:sz w:val="38"/>
          <w:rtl/>
        </w:rPr>
        <w:t>אית שבעה רואי כו'.</w:t>
      </w:r>
      <w:r>
        <w:rPr>
          <w:rFonts w:ascii="Arial"/>
          <w:sz w:val="38"/>
          <w:rtl/>
        </w:rPr>
        <w:t xml:space="preserve"> ואינהו ז' אחרונות של עצמה, והם רואי פני המלך דאיהו קב"ה:</w:t>
      </w:r>
    </w:p>
  </w:footnote>
  <w:footnote w:id="1508">
    <w:p w:rsidR="00A13282" w:rsidRDefault="00A13282">
      <w:pPr>
        <w:pStyle w:val="a5"/>
      </w:pPr>
      <w:r>
        <w:rPr>
          <w:rStyle w:val="a7"/>
        </w:rPr>
        <w:footnoteRef/>
      </w:r>
      <w:r>
        <w:t xml:space="preserve"> </w:t>
      </w:r>
      <w:r>
        <w:rPr>
          <w:rFonts w:ascii="Arial"/>
          <w:b/>
          <w:bCs/>
          <w:sz w:val="38"/>
          <w:rtl/>
        </w:rPr>
        <w:t>היושבים ראשונה כו'.</w:t>
      </w:r>
      <w:r>
        <w:rPr>
          <w:rFonts w:ascii="Arial"/>
          <w:sz w:val="38"/>
          <w:rtl/>
        </w:rPr>
        <w:t xml:space="preserve"> קודם הנערות הנ"ל, ואינון דכורא לגבי הנערות, שהן בבריאה, כמו שאומר בזהר ואע"ג דאיהי נוקבא איהי דכורא לגבי דלתתא, עיין שם. וכתוב שם עוד, וכל דמקבל מאחרא איהו ביתא כו', ולכך אצל הנערות כתיב מבית המלך, ורואי הנ"ל - יושבים במלכות:</w:t>
      </w:r>
    </w:p>
  </w:footnote>
  <w:footnote w:id="1509">
    <w:p w:rsidR="00A13282" w:rsidRDefault="00A13282">
      <w:pPr>
        <w:pStyle w:val="a5"/>
      </w:pPr>
      <w:r>
        <w:rPr>
          <w:rStyle w:val="a7"/>
        </w:rPr>
        <w:footnoteRef/>
      </w:r>
      <w:r>
        <w:t xml:space="preserve"> </w:t>
      </w:r>
      <w:r>
        <w:rPr>
          <w:rFonts w:ascii="Arial"/>
          <w:b/>
          <w:bCs/>
          <w:sz w:val="38"/>
          <w:rtl/>
        </w:rPr>
        <w:t>ותפארת כבוש כו'.</w:t>
      </w:r>
      <w:r>
        <w:rPr>
          <w:rFonts w:ascii="Arial"/>
          <w:sz w:val="38"/>
          <w:rtl/>
        </w:rPr>
        <w:t xml:space="preserve"> כמו שאומר לעיל דאנן קשרין לה' תתאה באות ו' שהוא הרצועה, והקשר הוא יו"ד, וזה שאמרו (יבמות סה ע"ב ?, בראשית רבה פ' ח) האיש מצווה לכבוש, שהוא כובש אותה להיות עמנו, אבל אין האשה מצווה לכבוש, שהיא אינה כובשת אותו. ובמה כובש אותה - באות יו"ד, ואז הוא גם כן כבוש עם היו"ד, דרצועה איהי קשורה עם הקשר, וכן ו' עם יו"ד - קשור תמיד, גוף וברית, וכשהברית מתייחד עמה אז הוא גם כן קשור עמה, דכל חמודיה ביה, וזה שאומר ונפשו קשורה בנפשו, הרי שהוא"ו כובש הה' להיות, אבל מי כופה אותו להיות עמה - אימא עילאה בתפלין של ראש, דשם איהו חבוש בד' פרשיות בתוך ד' בתים שהוא ו' בתוך ה' עילאה כנ"ל, ואז חבוש עמנו עם היו"ד שהוא יסוד. בתחילה כובשין אותה בו, ואח"כ חובשין אותו, ואז הם עמנו. וזה סוד תפלין של ראש ותפלין של יד:</w:t>
      </w:r>
    </w:p>
  </w:footnote>
  <w:footnote w:id="1510">
    <w:p w:rsidR="00A13282" w:rsidRDefault="00A13282">
      <w:pPr>
        <w:pStyle w:val="a5"/>
      </w:pPr>
      <w:r>
        <w:rPr>
          <w:rStyle w:val="a7"/>
        </w:rPr>
        <w:footnoteRef/>
      </w:r>
      <w:r>
        <w:t xml:space="preserve"> </w:t>
      </w:r>
      <w:r>
        <w:rPr>
          <w:rFonts w:ascii="Arial"/>
          <w:b/>
          <w:bCs/>
          <w:sz w:val="38"/>
          <w:rtl/>
        </w:rPr>
        <w:t>ובג"ד אין חבוש כו'.</w:t>
      </w:r>
      <w:r>
        <w:rPr>
          <w:rFonts w:ascii="Arial"/>
          <w:sz w:val="38"/>
          <w:rtl/>
        </w:rPr>
        <w:t xml:space="preserve"> שהוא עצמו עמנו בגלות עד דהיא מפקא אותו, דבידה תרעין דחירו:</w:t>
      </w:r>
    </w:p>
  </w:footnote>
  <w:footnote w:id="1511">
    <w:p w:rsidR="00A13282" w:rsidRDefault="00A13282">
      <w:pPr>
        <w:pStyle w:val="a5"/>
      </w:pPr>
      <w:r>
        <w:rPr>
          <w:rStyle w:val="a7"/>
        </w:rPr>
        <w:footnoteRef/>
      </w:r>
      <w:r>
        <w:t xml:space="preserve"> </w:t>
      </w:r>
      <w:r>
        <w:rPr>
          <w:rFonts w:ascii="Arial"/>
          <w:b/>
          <w:bCs/>
          <w:sz w:val="38"/>
          <w:rtl/>
        </w:rPr>
        <w:t>לא צר בא'.</w:t>
      </w:r>
      <w:r>
        <w:rPr>
          <w:rFonts w:ascii="Arial"/>
          <w:sz w:val="38"/>
          <w:rtl/>
        </w:rPr>
        <w:t xml:space="preserve"> מפרש הכתיב:</w:t>
      </w:r>
    </w:p>
  </w:footnote>
  <w:footnote w:id="1512">
    <w:p w:rsidR="00A13282" w:rsidRDefault="00A13282">
      <w:pPr>
        <w:pStyle w:val="a5"/>
      </w:pPr>
      <w:r>
        <w:rPr>
          <w:rStyle w:val="a7"/>
        </w:rPr>
        <w:footnoteRef/>
      </w:r>
      <w:r>
        <w:t xml:space="preserve"> </w:t>
      </w:r>
      <w:r>
        <w:rPr>
          <w:rFonts w:ascii="Arial"/>
          <w:b/>
          <w:bCs/>
          <w:sz w:val="38"/>
          <w:rtl/>
        </w:rPr>
        <w:t>לא צר ודאי כו'.</w:t>
      </w:r>
      <w:r>
        <w:rPr>
          <w:rFonts w:ascii="Arial"/>
          <w:sz w:val="38"/>
          <w:rtl/>
        </w:rPr>
        <w:t xml:space="preserve"> דנשמתא מסטרא דאצילות - אין יצר הרע שולט כנ"ל:</w:t>
      </w:r>
    </w:p>
  </w:footnote>
  <w:footnote w:id="1513">
    <w:p w:rsidR="00A13282" w:rsidRDefault="00A13282">
      <w:pPr>
        <w:pStyle w:val="a5"/>
      </w:pPr>
      <w:r>
        <w:rPr>
          <w:rStyle w:val="a7"/>
        </w:rPr>
        <w:footnoteRef/>
      </w:r>
      <w:r>
        <w:t xml:space="preserve"> </w:t>
      </w:r>
      <w:r>
        <w:rPr>
          <w:rFonts w:ascii="Arial"/>
          <w:b/>
          <w:bCs/>
          <w:sz w:val="38"/>
          <w:rtl/>
        </w:rPr>
        <w:t>ורזא דמלה.</w:t>
      </w:r>
      <w:r>
        <w:rPr>
          <w:rFonts w:ascii="Arial"/>
          <w:sz w:val="38"/>
          <w:rtl/>
        </w:rPr>
        <w:t xml:space="preserve"> רוצה לומר דתפילין וקריאת שמע מרומז בפסוק אחד:</w:t>
      </w:r>
    </w:p>
  </w:footnote>
  <w:footnote w:id="1514">
    <w:p w:rsidR="00A13282" w:rsidRDefault="00A13282">
      <w:pPr>
        <w:pStyle w:val="a5"/>
      </w:pPr>
      <w:r>
        <w:rPr>
          <w:rStyle w:val="a7"/>
        </w:rPr>
        <w:footnoteRef/>
      </w:r>
      <w:r>
        <w:t xml:space="preserve"> </w:t>
      </w:r>
      <w:r>
        <w:rPr>
          <w:rFonts w:ascii="Arial"/>
          <w:b/>
          <w:bCs/>
          <w:sz w:val="38"/>
          <w:rtl/>
        </w:rPr>
        <w:t>ידע שמי.</w:t>
      </w:r>
      <w:r>
        <w:rPr>
          <w:rFonts w:ascii="Arial"/>
          <w:sz w:val="38"/>
          <w:rtl/>
        </w:rPr>
        <w:t xml:space="preserve"> הן ד' אותיות הויה שמפרש לקמן, אז - ואענהו, כמו שכתוב וה' יענה, ויקראני - בקריאת שמע, וזה שאומר תקרא וה' יענה:</w:t>
      </w:r>
    </w:p>
  </w:footnote>
  <w:footnote w:id="1515">
    <w:p w:rsidR="00A13282" w:rsidRDefault="00A13282">
      <w:pPr>
        <w:pStyle w:val="a5"/>
      </w:pPr>
      <w:r>
        <w:rPr>
          <w:rStyle w:val="a7"/>
        </w:rPr>
        <w:footnoteRef/>
      </w:r>
      <w:r>
        <w:t xml:space="preserve"> </w:t>
      </w:r>
      <w:r>
        <w:rPr>
          <w:rFonts w:ascii="Arial"/>
          <w:b/>
          <w:bCs/>
          <w:sz w:val="38"/>
          <w:rtl/>
        </w:rPr>
        <w:t>וה' יענה כו' דאינון אדנ"י.</w:t>
      </w:r>
      <w:r>
        <w:rPr>
          <w:rFonts w:ascii="Arial"/>
          <w:sz w:val="38"/>
          <w:rtl/>
        </w:rPr>
        <w:t xml:space="preserve"> רוצה לומר דלכך כתיב וה', בו', כמו שאמרו (ירושלמי ברכות פ"ט ה"ה) הוא ובית דינו, הוא - בתפלין של ראש, ובית דינו - בתפלין של יד:</w:t>
      </w:r>
    </w:p>
  </w:footnote>
  <w:footnote w:id="1516">
    <w:p w:rsidR="00A13282" w:rsidRDefault="00A13282">
      <w:pPr>
        <w:pStyle w:val="a5"/>
      </w:pPr>
      <w:r>
        <w:rPr>
          <w:rStyle w:val="a7"/>
        </w:rPr>
        <w:footnoteRef/>
      </w:r>
      <w:r>
        <w:t xml:space="preserve"> </w:t>
      </w:r>
      <w:r>
        <w:rPr>
          <w:rFonts w:ascii="Arial"/>
          <w:b/>
          <w:bCs/>
          <w:sz w:val="38"/>
          <w:rtl/>
        </w:rPr>
        <w:t>וד' אתוון בכלל כ"ה.</w:t>
      </w:r>
      <w:r>
        <w:rPr>
          <w:rFonts w:ascii="Arial"/>
          <w:sz w:val="38"/>
          <w:rtl/>
        </w:rPr>
        <w:t xml:space="preserve"> רוצה לומר דלכך נקראת כה"ה - עם ה' דילה:</w:t>
      </w:r>
    </w:p>
  </w:footnote>
  <w:footnote w:id="1517">
    <w:p w:rsidR="00A13282" w:rsidRDefault="00A13282">
      <w:pPr>
        <w:pStyle w:val="a5"/>
      </w:pPr>
      <w:r>
        <w:rPr>
          <w:rStyle w:val="a7"/>
        </w:rPr>
        <w:footnoteRef/>
      </w:r>
      <w:r>
        <w:t xml:space="preserve"> </w:t>
      </w:r>
      <w:r>
        <w:rPr>
          <w:rFonts w:ascii="Arial"/>
          <w:b/>
          <w:bCs/>
          <w:sz w:val="38"/>
          <w:rtl/>
        </w:rPr>
        <w:t>דאיהו כללא כו' הויה ד' פרשין.</w:t>
      </w:r>
      <w:r>
        <w:rPr>
          <w:rFonts w:ascii="Arial"/>
          <w:sz w:val="38"/>
          <w:rtl/>
        </w:rPr>
        <w:t xml:space="preserve"> וזהו שמא שלים - יקוק אלקים. יקוק - בד' פרשיות, אלקים - בה' בתים:</w:t>
      </w:r>
    </w:p>
  </w:footnote>
  <w:footnote w:id="1518">
    <w:p w:rsidR="00A13282" w:rsidRDefault="00A13282">
      <w:pPr>
        <w:pStyle w:val="a5"/>
      </w:pPr>
      <w:r>
        <w:rPr>
          <w:rStyle w:val="a7"/>
        </w:rPr>
        <w:footnoteRef/>
      </w:r>
      <w:r>
        <w:t xml:space="preserve"> </w:t>
      </w:r>
      <w:r>
        <w:rPr>
          <w:rFonts w:ascii="Arial"/>
          <w:b/>
          <w:bCs/>
          <w:sz w:val="38"/>
          <w:rtl/>
        </w:rPr>
        <w:t>קדש כו'.</w:t>
      </w:r>
      <w:r>
        <w:rPr>
          <w:rFonts w:ascii="Arial"/>
          <w:sz w:val="38"/>
          <w:rtl/>
        </w:rPr>
        <w:t xml:space="preserve"> עכשיו מפרש כל העשר ספירות בתפילין:</w:t>
      </w:r>
    </w:p>
  </w:footnote>
  <w:footnote w:id="1519">
    <w:p w:rsidR="00A13282" w:rsidRDefault="00A13282">
      <w:pPr>
        <w:pStyle w:val="a5"/>
      </w:pPr>
      <w:r>
        <w:rPr>
          <w:rStyle w:val="a7"/>
        </w:rPr>
        <w:footnoteRef/>
      </w:r>
      <w:r>
        <w:t xml:space="preserve"> </w:t>
      </w:r>
      <w:r>
        <w:rPr>
          <w:rFonts w:ascii="Arial"/>
          <w:b/>
          <w:bCs/>
          <w:sz w:val="38"/>
          <w:rtl/>
        </w:rPr>
        <w:t>ואתפשטותא כו'.</w:t>
      </w:r>
      <w:r>
        <w:rPr>
          <w:rFonts w:ascii="Arial"/>
          <w:sz w:val="38"/>
          <w:rtl/>
        </w:rPr>
        <w:t xml:space="preserve"> רוצה לומר שכל האורות וכן ה' חסדים וכן ה' גבורות - כלולין בתחילה בחכמה, שהיא יו"ד, ושם הוא עשר באת י', ואח"כ בבינה - נחלק לה', והן חמש פעמים עשר, ונחלקין אח"כ בחמש ספירות חג"ת נ"ה. ותפלין של ראש: הבתים הן ה' עילאה, והקשר - יוד עילאה, שכל קשר הוא יו"ד כנ"ל, ומן התפילין מתפשטין שתי הרצועות באות יו"ד ויורדין למטה והן נ"ה:</w:t>
      </w:r>
    </w:p>
  </w:footnote>
  <w:footnote w:id="1520">
    <w:p w:rsidR="00A13282" w:rsidRDefault="00A13282">
      <w:pPr>
        <w:pStyle w:val="a5"/>
      </w:pPr>
      <w:r>
        <w:rPr>
          <w:rStyle w:val="a7"/>
        </w:rPr>
        <w:footnoteRef/>
      </w:r>
      <w:r>
        <w:t xml:space="preserve"> </w:t>
      </w:r>
      <w:r>
        <w:rPr>
          <w:b/>
          <w:bCs/>
          <w:rtl/>
        </w:rPr>
        <w:t>והיינו ה"י מאלקים.</w:t>
      </w:r>
      <w:r>
        <w:rPr>
          <w:rtl/>
        </w:rPr>
        <w:t xml:space="preserve"> דאלקים כולל תשע ספירות כמו הוי"ה, רק כי הו"ק, שבהויה כלול בו', כאן נחלק לשניים - ה"י: ה' - לה’ ספירות, יוד - יסוד כנ"ל, ולפיכך הן ה' בתים. א' - חכמה כנ"ל דאיהו אלף, אדם, והוא בסוד פלא, פליאות חכמה. ל' </w:t>
      </w:r>
      <w:r>
        <w:t>–</w:t>
      </w:r>
      <w:r>
        <w:rPr>
          <w:rtl/>
        </w:rPr>
        <w:t xml:space="preserve"> בינה, מגדל הפורח באויר, היתר נדרים כו'. ה"י - ו"ק כנ"ל. מ' </w:t>
      </w:r>
      <w:r>
        <w:t>–</w:t>
      </w:r>
      <w:r>
        <w:rPr>
          <w:rtl/>
        </w:rPr>
        <w:t xml:space="preserve"> מלכות. וזה שאומר ה"י מן אלקים - דמתחלקין בה’ ספירות ונכללין ביסוד וכן בתפלין של ראש עם הקשר:</w:t>
      </w:r>
    </w:p>
  </w:footnote>
  <w:footnote w:id="1521">
    <w:p w:rsidR="00A13282" w:rsidRDefault="00A13282">
      <w:pPr>
        <w:pStyle w:val="a5"/>
      </w:pPr>
      <w:r>
        <w:rPr>
          <w:rStyle w:val="a7"/>
        </w:rPr>
        <w:footnoteRef/>
      </w:r>
      <w:r>
        <w:t xml:space="preserve"> </w:t>
      </w:r>
      <w:r>
        <w:rPr>
          <w:rFonts w:ascii="Arial"/>
          <w:b/>
          <w:bCs/>
          <w:sz w:val="38"/>
          <w:rtl/>
        </w:rPr>
        <w:t>כלה.</w:t>
      </w:r>
      <w:r>
        <w:rPr>
          <w:rFonts w:ascii="Arial"/>
          <w:sz w:val="38"/>
          <w:rtl/>
        </w:rPr>
        <w:t xml:space="preserve"> עם ה' תתאה:</w:t>
      </w:r>
    </w:p>
  </w:footnote>
  <w:footnote w:id="1522">
    <w:p w:rsidR="00A13282" w:rsidRDefault="00A13282">
      <w:pPr>
        <w:pStyle w:val="a5"/>
      </w:pPr>
      <w:r>
        <w:rPr>
          <w:rStyle w:val="a7"/>
        </w:rPr>
        <w:footnoteRef/>
      </w:r>
      <w:r>
        <w:t xml:space="preserve"> </w:t>
      </w:r>
      <w:r>
        <w:rPr>
          <w:rFonts w:ascii="Arial"/>
          <w:b/>
          <w:bCs/>
          <w:sz w:val="38"/>
          <w:rtl/>
        </w:rPr>
        <w:t>כ' כתר.</w:t>
      </w:r>
      <w:r>
        <w:rPr>
          <w:rFonts w:ascii="Arial"/>
          <w:sz w:val="38"/>
          <w:rtl/>
        </w:rPr>
        <w:t xml:space="preserve"> רוצה לומר כ' של כה', כמו שאומר לקמן:</w:t>
      </w:r>
    </w:p>
  </w:footnote>
  <w:footnote w:id="1523">
    <w:p w:rsidR="00A13282" w:rsidRDefault="00A13282">
      <w:pPr>
        <w:pStyle w:val="a5"/>
      </w:pPr>
      <w:r>
        <w:rPr>
          <w:rStyle w:val="a7"/>
        </w:rPr>
        <w:footnoteRef/>
      </w:r>
      <w:r>
        <w:t xml:space="preserve"> </w:t>
      </w:r>
      <w:r>
        <w:rPr>
          <w:rFonts w:ascii="Arial"/>
          <w:b/>
          <w:bCs/>
          <w:sz w:val="38"/>
          <w:rtl/>
        </w:rPr>
        <w:t>דמארי עלמא איהו שמיה.</w:t>
      </w:r>
      <w:r>
        <w:rPr>
          <w:rFonts w:ascii="Arial"/>
          <w:sz w:val="38"/>
          <w:rtl/>
        </w:rPr>
        <w:t xml:space="preserve"> רוצה לומר, דמארי עלמא הוא שמו - ד' אותיות הויה, והוא תפילין דשוי, רוצה לומר הוא התפילין שמניחן, וכתר - עליה. וגירסא הנכונה ודא רצועה כו' [עיין בהגהות]:</w:t>
      </w:r>
    </w:p>
  </w:footnote>
  <w:footnote w:id="1524">
    <w:p w:rsidR="00A13282" w:rsidRDefault="00A13282">
      <w:pPr>
        <w:pStyle w:val="a5"/>
      </w:pPr>
      <w:r>
        <w:rPr>
          <w:rStyle w:val="a7"/>
        </w:rPr>
        <w:footnoteRef/>
      </w:r>
      <w:r>
        <w:t xml:space="preserve"> </w:t>
      </w:r>
      <w:r>
        <w:rPr>
          <w:rFonts w:ascii="Arial"/>
          <w:b/>
          <w:bCs/>
          <w:sz w:val="38"/>
          <w:rtl/>
        </w:rPr>
        <w:t>ודא הוא רזא כו'.</w:t>
      </w:r>
      <w:r>
        <w:rPr>
          <w:rFonts w:ascii="Arial"/>
          <w:sz w:val="38"/>
          <w:rtl/>
        </w:rPr>
        <w:t xml:space="preserve"> רוצה לומר דלילה דהוא מסטרא דשמאלא, ד' אותיות של השם, שהוא נגד ד' משמרות הוי, סדרן - הוי"ה, וזהו הוי"ה לילה, רוצה לומר, דה' דהלילה - שדי למלת הוי, דהלילה הוא ה' תתאה. והוא חוזר ומפרש כאן מה שאמר דבתפילין הויה באמצע, וחוזר ומפרש בדרך אחר וזה שאומר ואית דאמר כו':</w:t>
      </w:r>
    </w:p>
  </w:footnote>
  <w:footnote w:id="1525">
    <w:p w:rsidR="00A13282" w:rsidRDefault="00A13282">
      <w:pPr>
        <w:pStyle w:val="a5"/>
      </w:pPr>
      <w:r>
        <w:rPr>
          <w:rStyle w:val="a7"/>
        </w:rPr>
        <w:footnoteRef/>
      </w:r>
      <w:r>
        <w:t xml:space="preserve"> </w:t>
      </w:r>
      <w:r>
        <w:rPr>
          <w:rFonts w:ascii="Arial"/>
          <w:b/>
          <w:bCs/>
          <w:sz w:val="38"/>
          <w:rtl/>
        </w:rPr>
        <w:t>קוי"ק ו"י כו'.</w:t>
      </w:r>
      <w:r>
        <w:rPr>
          <w:rFonts w:ascii="Arial"/>
          <w:sz w:val="38"/>
          <w:rtl/>
        </w:rPr>
        <w:t xml:space="preserve"> רוצה לומר דלכך קרא ה"ה שבאמצע - הויות, מלבד הטעם שכתבו התוספות שפרשיות הן והיה, מכל מקום למה קרא הוי"ה בסדר הזה, אמר דהויה הוא ו"י באמצע, והוא מסטרא דאות ה', לכך קראן ה"ה שבאמצע - הויה, וזה שאומר יקק"ו ה' ה' באמצע:</w:t>
      </w:r>
    </w:p>
  </w:footnote>
  <w:footnote w:id="1526">
    <w:p w:rsidR="00A13282" w:rsidRDefault="00A13282">
      <w:pPr>
        <w:pStyle w:val="a5"/>
      </w:pPr>
      <w:r>
        <w:rPr>
          <w:rStyle w:val="a7"/>
        </w:rPr>
        <w:footnoteRef/>
      </w:r>
      <w:r>
        <w:t xml:space="preserve"> </w:t>
      </w:r>
      <w:r>
        <w:rPr>
          <w:rFonts w:ascii="Arial"/>
          <w:b/>
          <w:bCs/>
          <w:sz w:val="38"/>
          <w:rtl/>
        </w:rPr>
        <w:t>דרמיזי בשם יו"ד ק"י וא"ו ק"י.</w:t>
      </w:r>
      <w:r>
        <w:rPr>
          <w:rFonts w:ascii="Arial"/>
          <w:sz w:val="38"/>
          <w:rtl/>
        </w:rPr>
        <w:t xml:space="preserve"> רוצה לומר שלשה יודין. והוא רומז על שלש הויות, שהתחלתן ביו"ד, ומקורן גם כן יו"ד:</w:t>
      </w:r>
    </w:p>
  </w:footnote>
  <w:footnote w:id="1527">
    <w:p w:rsidR="00A13282" w:rsidRDefault="00A13282">
      <w:pPr>
        <w:pStyle w:val="a5"/>
      </w:pPr>
      <w:r>
        <w:rPr>
          <w:rStyle w:val="a7"/>
        </w:rPr>
        <w:footnoteRef/>
      </w:r>
      <w:r>
        <w:t xml:space="preserve"> </w:t>
      </w:r>
      <w:r>
        <w:rPr>
          <w:rFonts w:ascii="Arial"/>
          <w:b/>
          <w:bCs/>
          <w:sz w:val="38"/>
          <w:rtl/>
        </w:rPr>
        <w:t>תלת ווין כו'.</w:t>
      </w:r>
      <w:r>
        <w:rPr>
          <w:rFonts w:ascii="Arial"/>
          <w:sz w:val="38"/>
          <w:rtl/>
        </w:rPr>
        <w:t xml:space="preserve"> רוצה לומר במילוי דע"ב - שלשה ווין. והוא מילוי יודין. וכן נמי במילוי הנ"ל דס"ג יש שלשה ווין. וכן בכל הד' מילויין, רק שכל אחד מפרש מקורו ממילוי אחר. ומקור דשש ההין - נראה לי ממילוי דמ"ה ומילוי דב"ן, כי נגד שתי ההין - שני מילויין:</w:t>
      </w:r>
    </w:p>
  </w:footnote>
  <w:footnote w:id="1528">
    <w:p w:rsidR="00A13282" w:rsidRDefault="00A13282">
      <w:pPr>
        <w:pStyle w:val="a5"/>
      </w:pPr>
      <w:r>
        <w:rPr>
          <w:rStyle w:val="a7"/>
        </w:rPr>
        <w:footnoteRef/>
      </w:r>
      <w:r>
        <w:t xml:space="preserve"> </w:t>
      </w:r>
      <w:r>
        <w:rPr>
          <w:rFonts w:ascii="Arial"/>
          <w:b/>
          <w:bCs/>
          <w:sz w:val="38"/>
          <w:rtl/>
        </w:rPr>
        <w:t>שמהן לעילא.</w:t>
      </w:r>
      <w:r>
        <w:rPr>
          <w:rFonts w:ascii="Arial"/>
          <w:sz w:val="38"/>
          <w:rtl/>
        </w:rPr>
        <w:t xml:space="preserve"> רוצה לומר שנקודות שלש הויות - מנקודות מֶלֶך מָלַך יִמְלוֹך:</w:t>
      </w:r>
    </w:p>
  </w:footnote>
  <w:footnote w:id="1529">
    <w:p w:rsidR="00A13282" w:rsidRDefault="00A13282">
      <w:pPr>
        <w:pStyle w:val="a5"/>
      </w:pPr>
      <w:r>
        <w:rPr>
          <w:rStyle w:val="a7"/>
        </w:rPr>
        <w:footnoteRef/>
      </w:r>
      <w:r>
        <w:t xml:space="preserve"> </w:t>
      </w:r>
      <w:r>
        <w:rPr>
          <w:rFonts w:ascii="Arial"/>
          <w:b/>
          <w:bCs/>
          <w:sz w:val="38"/>
          <w:rtl/>
        </w:rPr>
        <w:t>ד' שמהן כו'.</w:t>
      </w:r>
      <w:r>
        <w:rPr>
          <w:rFonts w:ascii="Arial"/>
          <w:sz w:val="38"/>
          <w:rtl/>
        </w:rPr>
        <w:t xml:space="preserve"> רוצה לומר מכל אות תולה שם אחד, והן י"ב צירופים הנ"ל: שלשה שתחילתן יו"ד - משלשה יודין של שלשה שמות אלו וכן כולם:</w:t>
      </w:r>
    </w:p>
  </w:footnote>
  <w:footnote w:id="1530">
    <w:p w:rsidR="00A13282" w:rsidRDefault="00A13282">
      <w:pPr>
        <w:pStyle w:val="a5"/>
      </w:pPr>
      <w:r>
        <w:rPr>
          <w:rStyle w:val="a7"/>
        </w:rPr>
        <w:footnoteRef/>
      </w:r>
      <w:r>
        <w:t xml:space="preserve"> </w:t>
      </w:r>
      <w:r>
        <w:rPr>
          <w:rFonts w:ascii="Arial"/>
          <w:b/>
          <w:bCs/>
          <w:sz w:val="38"/>
          <w:rtl/>
        </w:rPr>
        <w:t>וקרא זה כו'.</w:t>
      </w:r>
      <w:r>
        <w:rPr>
          <w:rFonts w:ascii="Arial"/>
          <w:sz w:val="38"/>
          <w:rtl/>
        </w:rPr>
        <w:t xml:space="preserve"> גימטריה י"ב:</w:t>
      </w:r>
    </w:p>
  </w:footnote>
  <w:footnote w:id="1531">
    <w:p w:rsidR="00A13282" w:rsidRDefault="00A13282">
      <w:pPr>
        <w:pStyle w:val="a5"/>
      </w:pPr>
      <w:r>
        <w:rPr>
          <w:rStyle w:val="a7"/>
        </w:rPr>
        <w:footnoteRef/>
      </w:r>
      <w:r>
        <w:t xml:space="preserve"> </w:t>
      </w:r>
      <w:r>
        <w:rPr>
          <w:rFonts w:ascii="Arial"/>
          <w:b/>
          <w:bCs/>
          <w:sz w:val="38"/>
          <w:rtl/>
        </w:rPr>
        <w:t>דתלת חיון.</w:t>
      </w:r>
      <w:r>
        <w:rPr>
          <w:rFonts w:ascii="Arial"/>
          <w:sz w:val="38"/>
          <w:rtl/>
        </w:rPr>
        <w:t xml:space="preserve"> נגד שלש הויות הנ"ל. ומלך מלך ימלוך הן גם כן מרומז בשלש הויות שהן: היה והוה ויהיה, תצרף השלש תיבות ויבאו שלש הויות, והן י"ב גדפין דתלת חיון וזה שאומר אל זה כו':</w:t>
      </w:r>
    </w:p>
  </w:footnote>
  <w:footnote w:id="1532">
    <w:p w:rsidR="00A13282" w:rsidRDefault="00A13282">
      <w:pPr>
        <w:pStyle w:val="a5"/>
      </w:pPr>
      <w:r>
        <w:rPr>
          <w:rStyle w:val="a7"/>
        </w:rPr>
        <w:footnoteRef/>
      </w:r>
      <w:r>
        <w:t xml:space="preserve"> </w:t>
      </w:r>
      <w:r>
        <w:rPr>
          <w:rFonts w:ascii="Arial"/>
          <w:b/>
          <w:bCs/>
          <w:sz w:val="38"/>
          <w:rtl/>
        </w:rPr>
        <w:t>ועל כולהו פני אדם.</w:t>
      </w:r>
      <w:r>
        <w:rPr>
          <w:rFonts w:ascii="Arial"/>
          <w:sz w:val="38"/>
          <w:rtl/>
        </w:rPr>
        <w:t xml:space="preserve"> הוא שמא מפרש, גימטריה אדם, שהוא אדם על הכסא שהויה שלו הוא פנים הרביעי והוא פני אדם. שד' חיות הן: ובאחת - ד' פנים כולן של אדם, ובשני - כולן של נשר:</w:t>
      </w:r>
    </w:p>
  </w:footnote>
  <w:footnote w:id="1533">
    <w:p w:rsidR="00A13282" w:rsidRDefault="00A13282">
      <w:pPr>
        <w:pStyle w:val="a5"/>
      </w:pPr>
      <w:r>
        <w:rPr>
          <w:rStyle w:val="a7"/>
        </w:rPr>
        <w:footnoteRef/>
      </w:r>
      <w:r>
        <w:t xml:space="preserve"> </w:t>
      </w:r>
      <w:r>
        <w:rPr>
          <w:rFonts w:ascii="Arial"/>
          <w:b/>
          <w:bCs/>
          <w:sz w:val="38"/>
          <w:rtl/>
        </w:rPr>
        <w:t>ותפילין הוא כו'.</w:t>
      </w:r>
      <w:r>
        <w:rPr>
          <w:rFonts w:ascii="Arial"/>
          <w:sz w:val="38"/>
          <w:rtl/>
        </w:rPr>
        <w:t xml:space="preserve"> שתפילין הוא ד' אותיות הויה כנ"ל:</w:t>
      </w:r>
    </w:p>
  </w:footnote>
  <w:footnote w:id="1534">
    <w:p w:rsidR="00A13282" w:rsidRDefault="00A13282">
      <w:pPr>
        <w:pStyle w:val="a5"/>
      </w:pPr>
      <w:r>
        <w:rPr>
          <w:rStyle w:val="a7"/>
        </w:rPr>
        <w:footnoteRef/>
      </w:r>
      <w:r>
        <w:t xml:space="preserve"> </w:t>
      </w:r>
      <w:r>
        <w:rPr>
          <w:rFonts w:ascii="Arial"/>
          <w:b/>
          <w:bCs/>
          <w:sz w:val="38"/>
          <w:rtl/>
        </w:rPr>
        <w:t>ציצית פני כו'.</w:t>
      </w:r>
      <w:r>
        <w:rPr>
          <w:rFonts w:ascii="Arial"/>
          <w:sz w:val="38"/>
          <w:rtl/>
        </w:rPr>
        <w:t xml:space="preserve"> כמו שאומר בתיקונים, שית סרי פנים ושית סרי גדפין הן ל"ב חוטין בכל ציצית, ד' פנים וד' גדפין וחיה הרביעית היא כלולה מכל השלש חיות, ולכך לא חשיב אלא שלש חיון, ועיין כל זה בתיקון א' וזה שאומר לעיל (כא ע"ב) כורסיא למריה בכנפי מצוה וישב עליו באמת - מ"ה, שהוא תפילין, דתפילין איהו בז"א שהוא אדם כנ"ל כמו שאמרו (ברכות ו ע"א) נשבע ה' כו', וציצית היא במלכות:</w:t>
      </w:r>
    </w:p>
  </w:footnote>
  <w:footnote w:id="1535">
    <w:p w:rsidR="00A13282" w:rsidRDefault="00A13282">
      <w:pPr>
        <w:pStyle w:val="a5"/>
      </w:pPr>
      <w:r>
        <w:rPr>
          <w:rStyle w:val="a7"/>
        </w:rPr>
        <w:footnoteRef/>
      </w:r>
      <w:r>
        <w:t xml:space="preserve"> </w:t>
      </w:r>
      <w:r>
        <w:rPr>
          <w:b/>
          <w:bCs/>
          <w:rtl/>
        </w:rPr>
        <w:t>אינון אחיות.</w:t>
      </w:r>
      <w:r>
        <w:rPr>
          <w:rtl/>
        </w:rPr>
        <w:t xml:space="preserve"> רוצה לומר שמתחברין הההי"ן ביחד אבל אינן בזיווג עם היו"ד והוי"ו וכן אינון אחים כו':</w:t>
      </w:r>
    </w:p>
  </w:footnote>
  <w:footnote w:id="1536">
    <w:p w:rsidR="00A13282" w:rsidRDefault="00A13282">
      <w:pPr>
        <w:pStyle w:val="a5"/>
      </w:pPr>
      <w:r>
        <w:rPr>
          <w:rStyle w:val="a7"/>
        </w:rPr>
        <w:footnoteRef/>
      </w:r>
      <w:r>
        <w:t xml:space="preserve"> </w:t>
      </w:r>
      <w:r>
        <w:rPr>
          <w:rFonts w:ascii="Arial"/>
          <w:b/>
          <w:bCs/>
          <w:sz w:val="38"/>
          <w:rtl/>
        </w:rPr>
        <w:t>תרין ההין כחדא כו'.</w:t>
      </w:r>
      <w:r>
        <w:rPr>
          <w:rFonts w:ascii="Arial"/>
          <w:sz w:val="38"/>
          <w:rtl/>
        </w:rPr>
        <w:t xml:space="preserve"> רוצה לומר ששניהם נתרחקו, מה שאין כן לעיל דלא נתרחקו, וכאן הוא כזה - יוק"ק, שה' ראשונה נתרחק מן היו"ד, וה' אחרונה - מן הו', ושתיהן צריך עלייה:</w:t>
      </w:r>
    </w:p>
  </w:footnote>
  <w:footnote w:id="1537">
    <w:p w:rsidR="00A13282" w:rsidRDefault="00A13282">
      <w:pPr>
        <w:pStyle w:val="a5"/>
      </w:pPr>
      <w:r>
        <w:rPr>
          <w:rStyle w:val="a7"/>
        </w:rPr>
        <w:footnoteRef/>
      </w:r>
      <w:r>
        <w:t xml:space="preserve"> </w:t>
      </w:r>
      <w:r>
        <w:rPr>
          <w:rFonts w:ascii="Arial"/>
          <w:b/>
          <w:bCs/>
          <w:sz w:val="38"/>
          <w:rtl/>
        </w:rPr>
        <w:t>י"ו רחוקים או קרובים כו'.</w:t>
      </w:r>
      <w:r>
        <w:rPr>
          <w:rFonts w:ascii="Arial"/>
          <w:sz w:val="38"/>
          <w:rtl/>
        </w:rPr>
        <w:t xml:space="preserve"> עכשיו מפרש הוויות דלעיל דאחים ואחיות:</w:t>
      </w:r>
    </w:p>
  </w:footnote>
  <w:footnote w:id="1538">
    <w:p w:rsidR="00A13282" w:rsidRDefault="00A13282">
      <w:pPr>
        <w:pStyle w:val="a5"/>
      </w:pPr>
      <w:r>
        <w:rPr>
          <w:rStyle w:val="a7"/>
        </w:rPr>
        <w:footnoteRef/>
      </w:r>
      <w:r>
        <w:t xml:space="preserve"> </w:t>
      </w:r>
      <w:r>
        <w:rPr>
          <w:rFonts w:ascii="Arial"/>
          <w:b/>
          <w:bCs/>
          <w:sz w:val="38"/>
          <w:rtl/>
        </w:rPr>
        <w:t>שלום לרחוק כו'.</w:t>
      </w:r>
      <w:r>
        <w:rPr>
          <w:rFonts w:ascii="Arial"/>
          <w:sz w:val="38"/>
          <w:rtl/>
        </w:rPr>
        <w:t xml:space="preserve"> שצריך לקרב את הקרובים לגבי רחוקים כמו שמפרש והולך, יקק"ו - שצריך ליחד ה' עם יו"ד, ה' עם ו':</w:t>
      </w:r>
    </w:p>
  </w:footnote>
  <w:footnote w:id="1539">
    <w:p w:rsidR="00A13282" w:rsidRDefault="00A13282">
      <w:pPr>
        <w:pStyle w:val="a5"/>
      </w:pPr>
      <w:r>
        <w:rPr>
          <w:rStyle w:val="a7"/>
        </w:rPr>
        <w:footnoteRef/>
      </w:r>
      <w:r>
        <w:t xml:space="preserve"> </w:t>
      </w:r>
      <w:r>
        <w:rPr>
          <w:rFonts w:ascii="Arial"/>
          <w:b/>
          <w:bCs/>
          <w:sz w:val="38"/>
          <w:rtl/>
        </w:rPr>
        <w:t>קרבן עולה ויורד.</w:t>
      </w:r>
      <w:r>
        <w:rPr>
          <w:rFonts w:ascii="Arial"/>
          <w:sz w:val="38"/>
          <w:rtl/>
        </w:rPr>
        <w:t xml:space="preserve"> דאימא עילאה היא נקראת עולה כמו שאומר ברעיא מהימנא פרשת צו דף כ"ז, ומלכות נקראת חטאת כמו שאומר דף כ"ח, ואצל העולה כתיב היא העולה, דסלקא, ואצל חטאת כתיב וירד כמו שמפרש והולך - דנחתא, וזה עולה ויורד:</w:t>
      </w:r>
    </w:p>
  </w:footnote>
  <w:footnote w:id="1540">
    <w:p w:rsidR="00A13282" w:rsidRDefault="00A13282">
      <w:pPr>
        <w:pStyle w:val="a5"/>
      </w:pPr>
      <w:r>
        <w:rPr>
          <w:rStyle w:val="a7"/>
        </w:rPr>
        <w:footnoteRef/>
      </w:r>
      <w:r>
        <w:t xml:space="preserve"> </w:t>
      </w:r>
      <w:r>
        <w:rPr>
          <w:rFonts w:ascii="Arial"/>
          <w:b/>
          <w:bCs/>
          <w:sz w:val="38"/>
          <w:rtl/>
        </w:rPr>
        <w:t>ע"כ יעזב כו'.</w:t>
      </w:r>
      <w:r>
        <w:rPr>
          <w:rFonts w:ascii="Arial"/>
          <w:sz w:val="38"/>
          <w:rtl/>
        </w:rPr>
        <w:t xml:space="preserve"> דלא צריכין אלא דברתא נחתא לגבא ו', אע"ג דו' אינו אצל י"ה דהוא אביו ואמו, אין חוששין, דעל כן יעזב כו':</w:t>
      </w:r>
    </w:p>
  </w:footnote>
  <w:footnote w:id="1541">
    <w:p w:rsidR="00A13282" w:rsidRDefault="00A13282">
      <w:pPr>
        <w:pStyle w:val="a5"/>
      </w:pPr>
      <w:r>
        <w:rPr>
          <w:rStyle w:val="a7"/>
        </w:rPr>
        <w:footnoteRef/>
      </w:r>
      <w:r>
        <w:t xml:space="preserve"> </w:t>
      </w:r>
      <w:r>
        <w:rPr>
          <w:rFonts w:ascii="Arial"/>
          <w:b/>
          <w:bCs/>
          <w:sz w:val="38"/>
          <w:rtl/>
        </w:rPr>
        <w:t>חמש אשות כו'.</w:t>
      </w:r>
      <w:r>
        <w:rPr>
          <w:rFonts w:ascii="Arial"/>
          <w:sz w:val="38"/>
          <w:rtl/>
        </w:rPr>
        <w:t xml:space="preserve"> הן שתי ההי"ן, וזה שאומר היא העולה, בה', וכן וירד מעשות החטאת, בה', ומפרש ברעיא מהימנא שם ענין חמש אשות דסלקין ונחתין:</w:t>
      </w:r>
    </w:p>
  </w:footnote>
  <w:footnote w:id="1542">
    <w:p w:rsidR="00A13282" w:rsidRDefault="00A13282">
      <w:pPr>
        <w:pStyle w:val="a5"/>
      </w:pPr>
      <w:r>
        <w:rPr>
          <w:rStyle w:val="a7"/>
        </w:rPr>
        <w:footnoteRef/>
      </w:r>
      <w:r>
        <w:t xml:space="preserve"> </w:t>
      </w:r>
      <w:r>
        <w:rPr>
          <w:rFonts w:ascii="Arial"/>
          <w:b/>
          <w:bCs/>
          <w:sz w:val="38"/>
          <w:rtl/>
        </w:rPr>
        <w:t>קוק"י כד כו'.</w:t>
      </w:r>
      <w:r>
        <w:rPr>
          <w:rFonts w:ascii="Arial"/>
          <w:sz w:val="38"/>
          <w:rtl/>
        </w:rPr>
        <w:t xml:space="preserve"> עכשיו מפרש שם ראשון הנ"ל שאמר לעיל נוקבא:</w:t>
      </w:r>
    </w:p>
  </w:footnote>
  <w:footnote w:id="1543">
    <w:p w:rsidR="00A13282" w:rsidRDefault="00A13282">
      <w:pPr>
        <w:pStyle w:val="a5"/>
      </w:pPr>
      <w:r>
        <w:rPr>
          <w:rStyle w:val="a7"/>
        </w:rPr>
        <w:footnoteRef/>
      </w:r>
      <w:r>
        <w:t xml:space="preserve"> </w:t>
      </w:r>
      <w:r>
        <w:rPr>
          <w:rFonts w:ascii="Arial"/>
          <w:b/>
          <w:bCs/>
          <w:sz w:val="38"/>
          <w:rtl/>
        </w:rPr>
        <w:t>מצרי דמזלזל כו'.</w:t>
      </w:r>
      <w:r>
        <w:rPr>
          <w:rFonts w:ascii="Arial"/>
          <w:sz w:val="38"/>
          <w:rtl/>
        </w:rPr>
        <w:t xml:space="preserve"> רוצה לומר שדן אותו מדה כנגד מדה, דמצרי הפך שמיה - מה שמו מה לי, כמו שמפרש והולך, מה יכיל למעבד לי, וזלזל גם כן בשם עצמו - מה שמו, והוא הויה מהופכת בסופי תיבות, באותו הויה עצמו דן אותו:</w:t>
      </w:r>
    </w:p>
  </w:footnote>
  <w:footnote w:id="1544">
    <w:p w:rsidR="00A13282" w:rsidRDefault="00A13282">
      <w:pPr>
        <w:pStyle w:val="a5"/>
        <w:rPr>
          <w:rFonts w:ascii="Arial"/>
          <w:sz w:val="38"/>
          <w:rtl/>
        </w:rPr>
      </w:pPr>
      <w:r>
        <w:rPr>
          <w:rStyle w:val="a7"/>
        </w:rPr>
        <w:footnoteRef/>
      </w:r>
      <w:r>
        <w:t xml:space="preserve"> </w:t>
      </w:r>
      <w:r>
        <w:rPr>
          <w:rFonts w:ascii="Arial"/>
          <w:b/>
          <w:bCs/>
          <w:sz w:val="38"/>
          <w:rtl/>
        </w:rPr>
        <w:t>ואם אתוון כו'.</w:t>
      </w:r>
      <w:r>
        <w:rPr>
          <w:rFonts w:ascii="Arial"/>
          <w:sz w:val="38"/>
          <w:rtl/>
        </w:rPr>
        <w:t xml:space="preserve"> רוצה לומר דכאן אעפ"י שהוא בסופי תיבות מכל מקום הנקודה היא מראשי תיבות כי הראש הוא בעצמו הסוף כי אין בכל התיבות כי אם נקודה אחת בכל תיבה חוץ תיבת שמו ומכל מקום הוא תנועה אחת השבא עם החולם, דמשמש ליה כנ"ל. ואם תחשוב מספר הנקודות תמצא ע"ב, וזה שם ע"ב שהרג המצרי. [</w:t>
      </w:r>
      <w:r>
        <w:rPr>
          <w:rFonts w:ascii="Arial"/>
          <w:b/>
          <w:bCs/>
          <w:sz w:val="38"/>
          <w:rtl/>
        </w:rPr>
        <w:t>הגהה</w:t>
      </w:r>
      <w:r>
        <w:rPr>
          <w:rFonts w:ascii="Arial"/>
          <w:sz w:val="38"/>
          <w:rtl/>
        </w:rPr>
        <w:t xml:space="preserve"> (לפי הנראה היא מתלמידו הרמ"ש ז"ל). צריך עיון, דהנקודות שבראשי תיבות עולין ב"ן ולא ע"ב. ובאמת זה שאומר שבשם ע"ב הרג את המצרי אעפ"י שכן כתוב בילקוט ראובני בשם כוונת האר"י, הנה בכוונת האר"י עצמו כתוב בשם מ"ב, וכן כתב בי"ר שם בשם הבחיי, ואפשר שגם כאן צריך להיות כן, והיינו שאינו חושב השבא שתחת השי"ן וחושב במקומו החולם לבדו שעל סוף תיבת שמו, והוא כמו ראש תיבה, וכמו שאומר כאן שהשבא עם החולם אינם רק תנועה אחת, שמשמש ליה, רוצה לומר שהשבא משמש לחולם, ולפי זה יהיה עולה הנקודות מ"ב]. וזה שאומר ונקודי קָוְקָ"יִ (מנוקד קמץ שוא קמץ חריק), רוצה לומר דעם הנקודה הרג המצרי. ו"י קרובים דא לדא הוא הענין כמו ה"ה קרובים דא לדא אבל תרי ההי"ן כחדא צריך עלייה לשתיהן:</w:t>
      </w:r>
    </w:p>
    <w:p w:rsidR="00A13282" w:rsidRDefault="00A13282">
      <w:pPr>
        <w:pStyle w:val="a5"/>
      </w:pPr>
    </w:p>
  </w:footnote>
  <w:footnote w:id="1545">
    <w:p w:rsidR="00A13282" w:rsidRDefault="00A13282">
      <w:pPr>
        <w:pStyle w:val="a5"/>
        <w:rPr>
          <w:rtl/>
        </w:rPr>
      </w:pPr>
      <w:r>
        <w:rPr>
          <w:rStyle w:val="a7"/>
          <w:rtl/>
        </w:rPr>
        <w:footnoteRef/>
      </w:r>
      <w:r>
        <w:rPr>
          <w:rtl/>
        </w:rPr>
        <w:t xml:space="preserve"> </w:t>
      </w:r>
      <w:r>
        <w:rPr>
          <w:rFonts w:ascii="Arial"/>
          <w:b/>
          <w:bCs/>
          <w:sz w:val="38"/>
          <w:rtl/>
        </w:rPr>
        <w:t>תיקון י"א.</w:t>
      </w:r>
      <w:r>
        <w:rPr>
          <w:rFonts w:ascii="Arial"/>
          <w:sz w:val="38"/>
          <w:rtl/>
        </w:rPr>
        <w:t xml:space="preserve"> </w:t>
      </w:r>
      <w:r>
        <w:rPr>
          <w:rFonts w:ascii="Arial"/>
          <w:b/>
          <w:bCs/>
          <w:sz w:val="38"/>
          <w:rtl/>
        </w:rPr>
        <w:t>שית היכלין.</w:t>
      </w:r>
      <w:r>
        <w:rPr>
          <w:rFonts w:ascii="Arial"/>
          <w:sz w:val="38"/>
          <w:rtl/>
        </w:rPr>
        <w:t xml:space="preserve"> ו"ק:</w:t>
      </w:r>
    </w:p>
  </w:footnote>
  <w:footnote w:id="1546">
    <w:p w:rsidR="00A13282" w:rsidRDefault="00A13282">
      <w:pPr>
        <w:pStyle w:val="a5"/>
        <w:rPr>
          <w:rtl/>
        </w:rPr>
      </w:pPr>
      <w:r>
        <w:rPr>
          <w:rStyle w:val="a7"/>
          <w:rtl/>
        </w:rPr>
        <w:footnoteRef/>
      </w:r>
      <w:r>
        <w:rPr>
          <w:rtl/>
        </w:rPr>
        <w:t xml:space="preserve"> </w:t>
      </w:r>
      <w:r>
        <w:rPr>
          <w:rFonts w:ascii="Arial"/>
          <w:b/>
          <w:bCs/>
          <w:sz w:val="38"/>
          <w:rtl/>
        </w:rPr>
        <w:t>הכי אימא תתאה כו'.</w:t>
      </w:r>
      <w:r>
        <w:rPr>
          <w:rFonts w:ascii="Arial"/>
          <w:sz w:val="38"/>
          <w:rtl/>
        </w:rPr>
        <w:t xml:space="preserve"> והיא שביעאה עלייהו, בהיכל ק"ק כידוע:</w:t>
      </w:r>
    </w:p>
  </w:footnote>
  <w:footnote w:id="1547">
    <w:p w:rsidR="00A13282" w:rsidRDefault="00A13282">
      <w:pPr>
        <w:pStyle w:val="a5"/>
        <w:rPr>
          <w:rtl/>
        </w:rPr>
      </w:pPr>
      <w:r>
        <w:rPr>
          <w:rStyle w:val="a7"/>
          <w:rtl/>
        </w:rPr>
        <w:footnoteRef/>
      </w:r>
      <w:r>
        <w:rPr>
          <w:rtl/>
        </w:rPr>
        <w:t xml:space="preserve"> </w:t>
      </w:r>
      <w:r>
        <w:rPr>
          <w:rFonts w:ascii="Arial"/>
          <w:b/>
          <w:bCs/>
          <w:sz w:val="38"/>
          <w:rtl/>
        </w:rPr>
        <w:t>ומאי ניהו את כו'.</w:t>
      </w:r>
      <w:r>
        <w:rPr>
          <w:rFonts w:ascii="Arial"/>
          <w:sz w:val="38"/>
          <w:rtl/>
        </w:rPr>
        <w:t xml:space="preserve"> דשמים הן ו"ק, ו' היכלין, והיכל לבנת הספיר כולל יסוד ומלכות כידוע, וזהו ואת הארץ:</w:t>
      </w:r>
    </w:p>
  </w:footnote>
  <w:footnote w:id="1548">
    <w:p w:rsidR="00A13282" w:rsidRDefault="00A13282">
      <w:pPr>
        <w:pStyle w:val="a5"/>
        <w:rPr>
          <w:rtl/>
        </w:rPr>
      </w:pPr>
      <w:r>
        <w:rPr>
          <w:rStyle w:val="a7"/>
          <w:rtl/>
        </w:rPr>
        <w:footnoteRef/>
      </w:r>
      <w:r>
        <w:rPr>
          <w:rtl/>
        </w:rPr>
        <w:t xml:space="preserve"> </w:t>
      </w:r>
      <w:r>
        <w:rPr>
          <w:rFonts w:ascii="Arial"/>
          <w:b/>
          <w:bCs/>
          <w:sz w:val="38"/>
          <w:rtl/>
        </w:rPr>
        <w:t>שית מאנין.</w:t>
      </w:r>
      <w:r>
        <w:rPr>
          <w:rFonts w:ascii="Arial"/>
          <w:sz w:val="38"/>
          <w:rtl/>
        </w:rPr>
        <w:t xml:space="preserve"> להיכלין עילאין כמו שמפרש והולך:</w:t>
      </w:r>
    </w:p>
  </w:footnote>
  <w:footnote w:id="1549">
    <w:p w:rsidR="00A13282" w:rsidRDefault="00A13282">
      <w:pPr>
        <w:pStyle w:val="a5"/>
        <w:rPr>
          <w:rtl/>
        </w:rPr>
      </w:pPr>
      <w:r>
        <w:rPr>
          <w:rStyle w:val="a7"/>
          <w:rtl/>
        </w:rPr>
        <w:footnoteRef/>
      </w:r>
      <w:r>
        <w:rPr>
          <w:rtl/>
        </w:rPr>
        <w:t xml:space="preserve"> </w:t>
      </w:r>
      <w:r>
        <w:rPr>
          <w:rFonts w:ascii="Arial"/>
          <w:b/>
          <w:bCs/>
          <w:sz w:val="38"/>
          <w:rtl/>
        </w:rPr>
        <w:t>כי ששת ימים כו'.</w:t>
      </w:r>
      <w:r>
        <w:rPr>
          <w:rFonts w:ascii="Arial"/>
          <w:sz w:val="38"/>
          <w:rtl/>
        </w:rPr>
        <w:t xml:space="preserve"> רוצה לומר דהוה ליה למכתב בששת, אלא ששת ימים עשה אימא תתא, ומאן נינהו ששת הימים, ומפרש קרא את השמים כו', ואימא תתאה - שבת דידהו, וכן אימא עילאה - שבת דאצילות:</w:t>
      </w:r>
    </w:p>
  </w:footnote>
  <w:footnote w:id="1550">
    <w:p w:rsidR="00A13282" w:rsidRDefault="00A13282">
      <w:pPr>
        <w:pStyle w:val="a5"/>
        <w:rPr>
          <w:rtl/>
        </w:rPr>
      </w:pPr>
      <w:r>
        <w:rPr>
          <w:rStyle w:val="a7"/>
          <w:rtl/>
        </w:rPr>
        <w:footnoteRef/>
      </w:r>
      <w:r>
        <w:rPr>
          <w:rtl/>
        </w:rPr>
        <w:t xml:space="preserve"> </w:t>
      </w:r>
      <w:r>
        <w:rPr>
          <w:rFonts w:ascii="Arial"/>
          <w:b/>
          <w:bCs/>
          <w:sz w:val="38"/>
          <w:rtl/>
        </w:rPr>
        <w:t>ושכינתא לבר מהיכליה.</w:t>
      </w:r>
      <w:r>
        <w:rPr>
          <w:rFonts w:ascii="Arial"/>
          <w:sz w:val="38"/>
          <w:rtl/>
        </w:rPr>
        <w:t xml:space="preserve"> הן היכלין דאפיקת:</w:t>
      </w:r>
    </w:p>
  </w:footnote>
  <w:footnote w:id="1551">
    <w:p w:rsidR="00A13282" w:rsidRDefault="00A13282">
      <w:pPr>
        <w:pStyle w:val="a5"/>
        <w:rPr>
          <w:rtl/>
        </w:rPr>
      </w:pPr>
      <w:r>
        <w:rPr>
          <w:rStyle w:val="a7"/>
          <w:rtl/>
        </w:rPr>
        <w:footnoteRef/>
      </w:r>
      <w:r>
        <w:rPr>
          <w:rtl/>
        </w:rPr>
        <w:t xml:space="preserve"> </w:t>
      </w:r>
      <w:r>
        <w:rPr>
          <w:rFonts w:ascii="Arial"/>
          <w:b/>
          <w:bCs/>
          <w:sz w:val="38"/>
          <w:rtl/>
        </w:rPr>
        <w:t>וקב"ה לבר מהיכליה.</w:t>
      </w:r>
      <w:r>
        <w:rPr>
          <w:rFonts w:ascii="Arial"/>
          <w:sz w:val="38"/>
          <w:rtl/>
        </w:rPr>
        <w:t xml:space="preserve"> הוא אימא תתאה, היכל השביעי, כמו שאומר להלן מלכא בהיכליה דאיהי אדני כו':</w:t>
      </w:r>
    </w:p>
  </w:footnote>
  <w:footnote w:id="1552">
    <w:p w:rsidR="00A13282" w:rsidRDefault="00A13282">
      <w:pPr>
        <w:pStyle w:val="a5"/>
        <w:rPr>
          <w:rtl/>
        </w:rPr>
      </w:pPr>
      <w:r>
        <w:rPr>
          <w:rStyle w:val="a7"/>
          <w:rtl/>
        </w:rPr>
        <w:footnoteRef/>
      </w:r>
      <w:r>
        <w:rPr>
          <w:rtl/>
        </w:rPr>
        <w:t xml:space="preserve"> </w:t>
      </w:r>
      <w:r>
        <w:rPr>
          <w:rFonts w:ascii="Arial"/>
          <w:b/>
          <w:bCs/>
          <w:sz w:val="38"/>
          <w:rtl/>
        </w:rPr>
        <w:t>ומלאכיא כו'.</w:t>
      </w:r>
      <w:r>
        <w:rPr>
          <w:rFonts w:ascii="Arial"/>
          <w:sz w:val="38"/>
          <w:rtl/>
        </w:rPr>
        <w:t xml:space="preserve"> הן היכלין דיצירה:</w:t>
      </w:r>
    </w:p>
  </w:footnote>
  <w:footnote w:id="1553">
    <w:p w:rsidR="00A13282" w:rsidRDefault="00A13282">
      <w:pPr>
        <w:pStyle w:val="a5"/>
        <w:rPr>
          <w:rtl/>
        </w:rPr>
      </w:pPr>
      <w:r>
        <w:rPr>
          <w:rStyle w:val="a7"/>
          <w:rtl/>
        </w:rPr>
        <w:footnoteRef/>
      </w:r>
      <w:r>
        <w:rPr>
          <w:rtl/>
        </w:rPr>
        <w:t xml:space="preserve"> </w:t>
      </w:r>
      <w:r>
        <w:rPr>
          <w:rFonts w:ascii="Arial"/>
          <w:b/>
          <w:bCs/>
          <w:sz w:val="38"/>
          <w:rtl/>
        </w:rPr>
        <w:t>אבל שערי דמעה.</w:t>
      </w:r>
      <w:r>
        <w:rPr>
          <w:rFonts w:ascii="Arial"/>
          <w:sz w:val="38"/>
          <w:rtl/>
        </w:rPr>
        <w:t xml:space="preserve"> רוצה לומר היכל השביעי - בינה, שערי תשובה, שהן פתוחין לעולם, כמו שאומר לקמן בתיובתא בבכיה כו':</w:t>
      </w:r>
    </w:p>
  </w:footnote>
  <w:footnote w:id="1554">
    <w:p w:rsidR="00A13282" w:rsidRDefault="00A13282">
      <w:pPr>
        <w:pStyle w:val="a5"/>
        <w:rPr>
          <w:rtl/>
        </w:rPr>
      </w:pPr>
      <w:r>
        <w:rPr>
          <w:rStyle w:val="a7"/>
          <w:rtl/>
        </w:rPr>
        <w:footnoteRef/>
      </w:r>
      <w:r>
        <w:rPr>
          <w:rtl/>
        </w:rPr>
        <w:t xml:space="preserve"> </w:t>
      </w:r>
      <w:r>
        <w:rPr>
          <w:rFonts w:ascii="Arial"/>
          <w:b/>
          <w:bCs/>
          <w:sz w:val="38"/>
          <w:rtl/>
        </w:rPr>
        <w:t>לאלין שערים.</w:t>
      </w:r>
      <w:r>
        <w:rPr>
          <w:rFonts w:ascii="Arial"/>
          <w:sz w:val="38"/>
          <w:rtl/>
        </w:rPr>
        <w:t xml:space="preserve"> רוצה לומר של דמעה:</w:t>
      </w:r>
    </w:p>
  </w:footnote>
  <w:footnote w:id="1555">
    <w:p w:rsidR="00A13282" w:rsidRDefault="00A13282">
      <w:pPr>
        <w:pStyle w:val="a5"/>
        <w:rPr>
          <w:rtl/>
        </w:rPr>
      </w:pPr>
      <w:r>
        <w:rPr>
          <w:rStyle w:val="a7"/>
          <w:rtl/>
        </w:rPr>
        <w:footnoteRef/>
      </w:r>
      <w:r>
        <w:rPr>
          <w:rtl/>
        </w:rPr>
        <w:t xml:space="preserve"> </w:t>
      </w:r>
      <w:r>
        <w:rPr>
          <w:rFonts w:ascii="Arial"/>
          <w:b/>
          <w:bCs/>
          <w:sz w:val="38"/>
          <w:rtl/>
        </w:rPr>
        <w:t>מארי דדמעה.</w:t>
      </w:r>
      <w:r>
        <w:rPr>
          <w:rFonts w:ascii="Arial"/>
          <w:sz w:val="38"/>
          <w:rtl/>
        </w:rPr>
        <w:t xml:space="preserve"> רוצה לומר אדם בעל הדמעות הבוכה:</w:t>
      </w:r>
    </w:p>
  </w:footnote>
  <w:footnote w:id="1556">
    <w:p w:rsidR="00A13282" w:rsidRDefault="00A13282">
      <w:pPr>
        <w:pStyle w:val="a5"/>
        <w:rPr>
          <w:rtl/>
        </w:rPr>
      </w:pPr>
      <w:r>
        <w:rPr>
          <w:rStyle w:val="a7"/>
          <w:rtl/>
        </w:rPr>
        <w:footnoteRef/>
      </w:r>
      <w:r>
        <w:rPr>
          <w:rtl/>
        </w:rPr>
        <w:t xml:space="preserve"> </w:t>
      </w:r>
      <w:r>
        <w:rPr>
          <w:rFonts w:ascii="Arial"/>
          <w:b/>
          <w:bCs/>
          <w:sz w:val="38"/>
          <w:rtl/>
        </w:rPr>
        <w:t>דאתמר ביה כו'.</w:t>
      </w:r>
      <w:r>
        <w:rPr>
          <w:rFonts w:ascii="Arial"/>
          <w:sz w:val="38"/>
          <w:rtl/>
        </w:rPr>
        <w:t xml:space="preserve"> רוצה לומר שבו נאמר נער בוכה:</w:t>
      </w:r>
    </w:p>
  </w:footnote>
  <w:footnote w:id="1557">
    <w:p w:rsidR="00A13282" w:rsidRDefault="00A13282">
      <w:pPr>
        <w:pStyle w:val="a5"/>
        <w:rPr>
          <w:rtl/>
        </w:rPr>
      </w:pPr>
      <w:r>
        <w:rPr>
          <w:rStyle w:val="a7"/>
          <w:rtl/>
        </w:rPr>
        <w:footnoteRef/>
      </w:r>
      <w:r>
        <w:rPr>
          <w:rtl/>
        </w:rPr>
        <w:t xml:space="preserve"> </w:t>
      </w:r>
      <w:r>
        <w:rPr>
          <w:rFonts w:ascii="Arial"/>
          <w:b/>
          <w:bCs/>
          <w:sz w:val="38"/>
          <w:rtl/>
        </w:rPr>
        <w:t>ותפתח.</w:t>
      </w:r>
      <w:r>
        <w:rPr>
          <w:rFonts w:ascii="Arial"/>
          <w:sz w:val="38"/>
          <w:rtl/>
        </w:rPr>
        <w:t xml:space="preserve"> רוצה לומר בינה:</w:t>
      </w:r>
    </w:p>
  </w:footnote>
  <w:footnote w:id="1558">
    <w:p w:rsidR="00A13282" w:rsidRDefault="00A13282">
      <w:pPr>
        <w:pStyle w:val="a5"/>
        <w:rPr>
          <w:rtl/>
        </w:rPr>
      </w:pPr>
      <w:r>
        <w:rPr>
          <w:rStyle w:val="a7"/>
          <w:rtl/>
        </w:rPr>
        <w:footnoteRef/>
      </w:r>
      <w:r>
        <w:rPr>
          <w:rtl/>
        </w:rPr>
        <w:t xml:space="preserve"> </w:t>
      </w:r>
      <w:r>
        <w:rPr>
          <w:rFonts w:ascii="Arial"/>
          <w:b/>
          <w:bCs/>
          <w:sz w:val="38"/>
          <w:rtl/>
        </w:rPr>
        <w:t>את הילד.</w:t>
      </w:r>
      <w:r>
        <w:rPr>
          <w:rFonts w:ascii="Arial"/>
          <w:sz w:val="38"/>
          <w:rtl/>
        </w:rPr>
        <w:t xml:space="preserve"> ישראל:</w:t>
      </w:r>
    </w:p>
  </w:footnote>
  <w:footnote w:id="1559">
    <w:p w:rsidR="00A13282" w:rsidRDefault="00A13282">
      <w:pPr>
        <w:pStyle w:val="a5"/>
        <w:rPr>
          <w:rtl/>
        </w:rPr>
      </w:pPr>
      <w:r>
        <w:rPr>
          <w:rStyle w:val="a7"/>
          <w:rtl/>
        </w:rPr>
        <w:footnoteRef/>
      </w:r>
      <w:r>
        <w:rPr>
          <w:rtl/>
        </w:rPr>
        <w:t xml:space="preserve"> </w:t>
      </w:r>
      <w:r>
        <w:rPr>
          <w:rFonts w:ascii="Arial"/>
          <w:b/>
          <w:bCs/>
          <w:sz w:val="38"/>
          <w:rtl/>
        </w:rPr>
        <w:t>אלא ביה.</w:t>
      </w:r>
      <w:r>
        <w:rPr>
          <w:rFonts w:ascii="Arial"/>
          <w:sz w:val="38"/>
          <w:rtl/>
        </w:rPr>
        <w:t xml:space="preserve"> בנער הזה:</w:t>
      </w:r>
    </w:p>
  </w:footnote>
  <w:footnote w:id="1560">
    <w:p w:rsidR="00A13282" w:rsidRDefault="00A13282">
      <w:pPr>
        <w:pStyle w:val="a5"/>
        <w:rPr>
          <w:rtl/>
        </w:rPr>
      </w:pPr>
      <w:r>
        <w:rPr>
          <w:rStyle w:val="a7"/>
          <w:rtl/>
        </w:rPr>
        <w:footnoteRef/>
      </w:r>
      <w:r>
        <w:rPr>
          <w:rtl/>
        </w:rPr>
        <w:t xml:space="preserve"> </w:t>
      </w:r>
      <w:r>
        <w:rPr>
          <w:rFonts w:ascii="Arial"/>
          <w:b/>
          <w:bCs/>
          <w:sz w:val="38"/>
          <w:rtl/>
        </w:rPr>
        <w:t>ועוד ותפתח כד כו'.</w:t>
      </w:r>
      <w:r>
        <w:rPr>
          <w:rFonts w:ascii="Arial"/>
          <w:sz w:val="38"/>
          <w:rtl/>
        </w:rPr>
        <w:t xml:space="preserve"> רוצה לומר שותפתח קאי על ישראל כמו שאמרו (שיר השירים רבה פ' ה) פתחו לי כחודה של מחט ואני אפתח כו', וזהו ותפתח:</w:t>
      </w:r>
    </w:p>
  </w:footnote>
  <w:footnote w:id="1561">
    <w:p w:rsidR="00A13282" w:rsidRDefault="00A13282">
      <w:pPr>
        <w:pStyle w:val="a5"/>
        <w:rPr>
          <w:rtl/>
        </w:rPr>
      </w:pPr>
      <w:r>
        <w:rPr>
          <w:rStyle w:val="a7"/>
          <w:rtl/>
        </w:rPr>
        <w:footnoteRef/>
      </w:r>
      <w:r>
        <w:rPr>
          <w:rtl/>
        </w:rPr>
        <w:t xml:space="preserve"> </w:t>
      </w:r>
      <w:r>
        <w:rPr>
          <w:rFonts w:ascii="Arial"/>
          <w:b/>
          <w:bCs/>
          <w:sz w:val="38"/>
          <w:rtl/>
        </w:rPr>
        <w:t>דאית היכלא כו'.</w:t>
      </w:r>
      <w:r>
        <w:rPr>
          <w:rFonts w:ascii="Arial"/>
          <w:sz w:val="38"/>
          <w:rtl/>
        </w:rPr>
        <w:t xml:space="preserve"> קא חשיב שבעה היכלין כסדר ז' היכלין כמו שאומר לעיל, חוץ מהיכלא דנגונא שהוא דגבורה דחשיב קודם היכלא דנהורא חסד:</w:t>
      </w:r>
    </w:p>
  </w:footnote>
  <w:footnote w:id="1562">
    <w:p w:rsidR="00A13282" w:rsidRDefault="00A13282">
      <w:pPr>
        <w:pStyle w:val="a5"/>
        <w:rPr>
          <w:rtl/>
        </w:rPr>
      </w:pPr>
      <w:r>
        <w:rPr>
          <w:rStyle w:val="a7"/>
          <w:rtl/>
        </w:rPr>
        <w:footnoteRef/>
      </w:r>
      <w:r>
        <w:rPr>
          <w:rtl/>
        </w:rPr>
        <w:t xml:space="preserve"> </w:t>
      </w:r>
      <w:r>
        <w:rPr>
          <w:rFonts w:ascii="Arial"/>
          <w:b/>
          <w:bCs/>
          <w:sz w:val="38"/>
          <w:rtl/>
        </w:rPr>
        <w:t>ובג"ד דוד כו'.</w:t>
      </w:r>
      <w:r>
        <w:rPr>
          <w:rFonts w:ascii="Arial"/>
          <w:sz w:val="38"/>
          <w:rtl/>
        </w:rPr>
        <w:t xml:space="preserve"> דהוא מתקשר שם כידוע:</w:t>
      </w:r>
    </w:p>
  </w:footnote>
  <w:footnote w:id="1563">
    <w:p w:rsidR="00A13282" w:rsidRDefault="00A13282">
      <w:pPr>
        <w:pStyle w:val="a5"/>
        <w:rPr>
          <w:rtl/>
        </w:rPr>
      </w:pPr>
      <w:r>
        <w:rPr>
          <w:rStyle w:val="a7"/>
          <w:rtl/>
        </w:rPr>
        <w:footnoteRef/>
      </w:r>
      <w:r>
        <w:rPr>
          <w:rtl/>
        </w:rPr>
        <w:t xml:space="preserve"> </w:t>
      </w:r>
      <w:r>
        <w:rPr>
          <w:rFonts w:ascii="Arial"/>
          <w:b/>
          <w:bCs/>
          <w:sz w:val="38"/>
          <w:rtl/>
        </w:rPr>
        <w:t>הה"ד כו'.</w:t>
      </w:r>
      <w:r>
        <w:rPr>
          <w:rFonts w:ascii="Arial"/>
          <w:sz w:val="38"/>
          <w:rtl/>
        </w:rPr>
        <w:t xml:space="preserve"> מביא ראיה שע"י ניגון שורה רוח ה':</w:t>
      </w:r>
    </w:p>
  </w:footnote>
  <w:footnote w:id="1564">
    <w:p w:rsidR="00A13282" w:rsidRDefault="00A13282">
      <w:pPr>
        <w:pStyle w:val="a5"/>
        <w:rPr>
          <w:rtl/>
        </w:rPr>
      </w:pPr>
      <w:r>
        <w:rPr>
          <w:rStyle w:val="a7"/>
          <w:rtl/>
        </w:rPr>
        <w:footnoteRef/>
      </w:r>
      <w:r>
        <w:rPr>
          <w:rtl/>
        </w:rPr>
        <w:t xml:space="preserve"> </w:t>
      </w:r>
      <w:r>
        <w:rPr>
          <w:rFonts w:ascii="Arial"/>
          <w:b/>
          <w:bCs/>
          <w:sz w:val="38"/>
          <w:rtl/>
        </w:rPr>
        <w:t>דהוה חכם גבור ועשיר.</w:t>
      </w:r>
      <w:r>
        <w:rPr>
          <w:rFonts w:ascii="Arial"/>
          <w:sz w:val="38"/>
          <w:rtl/>
        </w:rPr>
        <w:t xml:space="preserve"> שת"ת כליל חג"ת, וחכמה - בימינא כנ"ל, ועשיר - ת"ת, שכד אסתלק למעלה, נקרא מלכות - דך, מסיטרא דצדיק, אבל מסיטרא דת"ת - עשירה היא כמו שאומר לקמן:</w:t>
      </w:r>
    </w:p>
  </w:footnote>
  <w:footnote w:id="1565">
    <w:p w:rsidR="00A13282" w:rsidRDefault="00A13282">
      <w:pPr>
        <w:pStyle w:val="a5"/>
        <w:rPr>
          <w:rtl/>
        </w:rPr>
      </w:pPr>
      <w:r>
        <w:rPr>
          <w:rStyle w:val="a7"/>
          <w:rtl/>
        </w:rPr>
        <w:footnoteRef/>
      </w:r>
      <w:r>
        <w:rPr>
          <w:rtl/>
        </w:rPr>
        <w:t xml:space="preserve"> </w:t>
      </w:r>
      <w:r>
        <w:rPr>
          <w:rFonts w:ascii="Arial"/>
          <w:b/>
          <w:bCs/>
          <w:sz w:val="38"/>
          <w:rtl/>
        </w:rPr>
        <w:t>דצדיקיא.</w:t>
      </w:r>
      <w:r>
        <w:rPr>
          <w:rFonts w:ascii="Arial"/>
          <w:sz w:val="38"/>
          <w:rtl/>
        </w:rPr>
        <w:t xml:space="preserve"> רוצה לומר דנטרין ברית:</w:t>
      </w:r>
    </w:p>
  </w:footnote>
  <w:footnote w:id="1566">
    <w:p w:rsidR="00A13282" w:rsidRDefault="00A13282">
      <w:pPr>
        <w:pStyle w:val="a5"/>
        <w:rPr>
          <w:rtl/>
        </w:rPr>
      </w:pPr>
      <w:r>
        <w:rPr>
          <w:rStyle w:val="a7"/>
          <w:rtl/>
        </w:rPr>
        <w:footnoteRef/>
      </w:r>
      <w:r>
        <w:rPr>
          <w:rtl/>
        </w:rPr>
        <w:t xml:space="preserve"> </w:t>
      </w:r>
      <w:r>
        <w:rPr>
          <w:rFonts w:ascii="Arial"/>
          <w:b/>
          <w:bCs/>
          <w:sz w:val="38"/>
          <w:rtl/>
        </w:rPr>
        <w:t>ולא ראיתי כו'.</w:t>
      </w:r>
      <w:r>
        <w:rPr>
          <w:rFonts w:ascii="Arial"/>
          <w:sz w:val="38"/>
          <w:rtl/>
        </w:rPr>
        <w:t xml:space="preserve"> רוצה לומר בזמן שאין הצדיק נעזב אז אין זרעו הצדיקים והעניים כו' וזה שאומר וכען בגלותא כו':</w:t>
      </w:r>
    </w:p>
  </w:footnote>
  <w:footnote w:id="1567">
    <w:p w:rsidR="00A13282" w:rsidRDefault="00A13282">
      <w:pPr>
        <w:pStyle w:val="a5"/>
        <w:rPr>
          <w:rtl/>
        </w:rPr>
      </w:pPr>
      <w:r>
        <w:rPr>
          <w:rStyle w:val="a7"/>
          <w:rtl/>
        </w:rPr>
        <w:footnoteRef/>
      </w:r>
      <w:r>
        <w:rPr>
          <w:rtl/>
        </w:rPr>
        <w:t xml:space="preserve"> </w:t>
      </w:r>
      <w:r>
        <w:rPr>
          <w:rFonts w:ascii="Arial"/>
          <w:b/>
          <w:bCs/>
          <w:sz w:val="38"/>
          <w:rtl/>
        </w:rPr>
        <w:t>מאי אבד.</w:t>
      </w:r>
      <w:r>
        <w:rPr>
          <w:rFonts w:ascii="Arial"/>
          <w:sz w:val="38"/>
          <w:rtl/>
        </w:rPr>
        <w:t xml:space="preserve"> רוצה לומר דהוה ליה למימר נאבד:</w:t>
      </w:r>
    </w:p>
  </w:footnote>
  <w:footnote w:id="1568">
    <w:p w:rsidR="00A13282" w:rsidRDefault="00A13282">
      <w:pPr>
        <w:pStyle w:val="a5"/>
        <w:rPr>
          <w:rtl/>
        </w:rPr>
      </w:pPr>
      <w:r>
        <w:rPr>
          <w:rStyle w:val="a7"/>
          <w:rtl/>
        </w:rPr>
        <w:footnoteRef/>
      </w:r>
      <w:r>
        <w:rPr>
          <w:rtl/>
        </w:rPr>
        <w:t xml:space="preserve"> </w:t>
      </w:r>
      <w:r>
        <w:rPr>
          <w:rFonts w:ascii="Arial"/>
          <w:b/>
          <w:bCs/>
          <w:sz w:val="38"/>
          <w:rtl/>
        </w:rPr>
        <w:t>בבית ראשון.</w:t>
      </w:r>
      <w:r>
        <w:rPr>
          <w:rFonts w:ascii="Arial"/>
          <w:sz w:val="38"/>
          <w:rtl/>
        </w:rPr>
        <w:t xml:space="preserve"> רוצה לומר בינה, שחרב מינה, דאסתלק ת"ת, כרוב אחד לבינה, ונשאר כרוב השני בגלות - מלכות, וכן נו"ה שהן שני כרובים שבהן הקב"ה, ת"ת - שט בח"י עולמות, צדיק שט בים - מלכות, אסתלק בגלות נצח עם ת"ת, דאיהו בנצח ואיהי בהוד, ונשאר כרוב השני הוד עם מלכות, שעליו נאמר כל היום דו"ה, בדרגא דיליה ביום החמישי כידוע, ולכן נקרא היכל העניים:</w:t>
      </w:r>
    </w:p>
  </w:footnote>
  <w:footnote w:id="1569">
    <w:p w:rsidR="00A13282" w:rsidRDefault="00A13282">
      <w:pPr>
        <w:pStyle w:val="a5"/>
        <w:rPr>
          <w:rtl/>
        </w:rPr>
      </w:pPr>
      <w:r>
        <w:rPr>
          <w:rStyle w:val="a7"/>
          <w:rtl/>
        </w:rPr>
        <w:footnoteRef/>
      </w:r>
      <w:r>
        <w:rPr>
          <w:rtl/>
        </w:rPr>
        <w:t xml:space="preserve"> </w:t>
      </w:r>
      <w:r>
        <w:rPr>
          <w:rFonts w:ascii="Arial"/>
          <w:b/>
          <w:bCs/>
          <w:sz w:val="38"/>
          <w:rtl/>
        </w:rPr>
        <w:t>ויבש בבית שני.</w:t>
      </w:r>
      <w:r>
        <w:rPr>
          <w:rFonts w:ascii="Arial"/>
          <w:sz w:val="38"/>
          <w:rtl/>
        </w:rPr>
        <w:t xml:space="preserve"> מלכות שם הוא יבש דלית לה אלא מה שנותן לה צדיק, וזה שאומר בגין דלית לה מדילה:</w:t>
      </w:r>
    </w:p>
  </w:footnote>
  <w:footnote w:id="1570">
    <w:p w:rsidR="00A13282" w:rsidRDefault="00A13282">
      <w:pPr>
        <w:pStyle w:val="a5"/>
        <w:rPr>
          <w:rtl/>
        </w:rPr>
      </w:pPr>
      <w:r>
        <w:rPr>
          <w:rStyle w:val="a7"/>
          <w:rtl/>
        </w:rPr>
        <w:footnoteRef/>
      </w:r>
      <w:r>
        <w:rPr>
          <w:rtl/>
        </w:rPr>
        <w:t xml:space="preserve"> </w:t>
      </w:r>
      <w:r>
        <w:rPr>
          <w:rFonts w:ascii="Arial"/>
          <w:b/>
          <w:bCs/>
          <w:sz w:val="38"/>
          <w:rtl/>
        </w:rPr>
        <w:t>עניין צווחין כו'.</w:t>
      </w:r>
      <w:r>
        <w:rPr>
          <w:rFonts w:ascii="Arial"/>
          <w:sz w:val="38"/>
          <w:rtl/>
        </w:rPr>
        <w:t xml:space="preserve"> כמו שכתוב (ישעיהו מא יז) העניים והאביונים מבקשים מים ואין כו', בשביל שנהר יחרב כו', וזה שאומר, לגבי ח"י עלמין כו' ולית מאן כו':</w:t>
      </w:r>
    </w:p>
  </w:footnote>
  <w:footnote w:id="1571">
    <w:p w:rsidR="00A13282" w:rsidRDefault="00A13282">
      <w:pPr>
        <w:pStyle w:val="a5"/>
        <w:rPr>
          <w:rtl/>
        </w:rPr>
      </w:pPr>
      <w:r>
        <w:rPr>
          <w:rStyle w:val="a7"/>
          <w:rtl/>
        </w:rPr>
        <w:footnoteRef/>
      </w:r>
      <w:r>
        <w:rPr>
          <w:rtl/>
        </w:rPr>
        <w:t xml:space="preserve"> </w:t>
      </w:r>
      <w:r>
        <w:rPr>
          <w:rFonts w:ascii="Arial"/>
          <w:b/>
          <w:bCs/>
          <w:sz w:val="38"/>
          <w:rtl/>
        </w:rPr>
        <w:t>אל מקום אחד.</w:t>
      </w:r>
      <w:r>
        <w:rPr>
          <w:rFonts w:ascii="Arial"/>
          <w:sz w:val="38"/>
          <w:rtl/>
        </w:rPr>
        <w:t xml:space="preserve"> כמו שאומר להלן דאסתלק ת"ת לבינה:</w:t>
      </w:r>
    </w:p>
  </w:footnote>
  <w:footnote w:id="1572">
    <w:p w:rsidR="00A13282" w:rsidRDefault="00A13282">
      <w:pPr>
        <w:pStyle w:val="a5"/>
        <w:rPr>
          <w:rtl/>
        </w:rPr>
      </w:pPr>
      <w:r>
        <w:rPr>
          <w:rStyle w:val="a7"/>
          <w:rtl/>
        </w:rPr>
        <w:footnoteRef/>
      </w:r>
      <w:r>
        <w:rPr>
          <w:rtl/>
        </w:rPr>
        <w:t xml:space="preserve"> </w:t>
      </w:r>
      <w:r>
        <w:rPr>
          <w:rFonts w:ascii="Arial"/>
          <w:b/>
          <w:bCs/>
          <w:sz w:val="38"/>
          <w:rtl/>
        </w:rPr>
        <w:t>ותרעין אחרנין כו'.</w:t>
      </w:r>
      <w:r>
        <w:rPr>
          <w:rFonts w:ascii="Arial"/>
          <w:sz w:val="38"/>
          <w:rtl/>
        </w:rPr>
        <w:t xml:space="preserve"> רוצה לומר וכן כל השערים ננעלו חוץ משערי דמעה כמו שמפרש והולך ולית תרעא כו':</w:t>
      </w:r>
    </w:p>
  </w:footnote>
  <w:footnote w:id="1573">
    <w:p w:rsidR="00A13282" w:rsidRDefault="00A13282">
      <w:pPr>
        <w:pStyle w:val="a5"/>
        <w:rPr>
          <w:rtl/>
        </w:rPr>
      </w:pPr>
      <w:r>
        <w:rPr>
          <w:rStyle w:val="a7"/>
          <w:rtl/>
        </w:rPr>
        <w:footnoteRef/>
      </w:r>
      <w:r>
        <w:rPr>
          <w:rtl/>
        </w:rPr>
        <w:t xml:space="preserve"> </w:t>
      </w:r>
      <w:r>
        <w:rPr>
          <w:rFonts w:ascii="Arial"/>
          <w:b/>
          <w:bCs/>
          <w:sz w:val="38"/>
          <w:rtl/>
        </w:rPr>
        <w:t>בת עין.</w:t>
      </w:r>
      <w:r>
        <w:rPr>
          <w:rFonts w:ascii="Arial"/>
          <w:sz w:val="38"/>
          <w:rtl/>
        </w:rPr>
        <w:t xml:space="preserve"> מלכות מסיטרא דבינה - היכל השביעי, וכן היא היכל שביעי כנ"ל:</w:t>
      </w:r>
    </w:p>
  </w:footnote>
  <w:footnote w:id="1574">
    <w:p w:rsidR="00A13282" w:rsidRDefault="00A13282">
      <w:pPr>
        <w:pStyle w:val="a5"/>
        <w:rPr>
          <w:rtl/>
        </w:rPr>
      </w:pPr>
      <w:r>
        <w:rPr>
          <w:rStyle w:val="a7"/>
          <w:rtl/>
        </w:rPr>
        <w:footnoteRef/>
      </w:r>
      <w:r>
        <w:rPr>
          <w:rtl/>
        </w:rPr>
        <w:t xml:space="preserve"> </w:t>
      </w:r>
      <w:r>
        <w:rPr>
          <w:rFonts w:ascii="Arial"/>
          <w:b/>
          <w:bCs/>
          <w:sz w:val="38"/>
          <w:rtl/>
        </w:rPr>
        <w:t>ובה והנה כו'.</w:t>
      </w:r>
      <w:r>
        <w:rPr>
          <w:rFonts w:ascii="Arial"/>
          <w:sz w:val="38"/>
          <w:rtl/>
        </w:rPr>
        <w:t xml:space="preserve"> רוצה לומר בשבילה:</w:t>
      </w:r>
    </w:p>
  </w:footnote>
  <w:footnote w:id="1575">
    <w:p w:rsidR="00A13282" w:rsidRDefault="00A13282">
      <w:pPr>
        <w:pStyle w:val="a5"/>
        <w:rPr>
          <w:rtl/>
        </w:rPr>
      </w:pPr>
      <w:r>
        <w:rPr>
          <w:rStyle w:val="a7"/>
          <w:rtl/>
        </w:rPr>
        <w:footnoteRef/>
      </w:r>
      <w:r>
        <w:rPr>
          <w:rtl/>
        </w:rPr>
        <w:t xml:space="preserve"> </w:t>
      </w:r>
      <w:r>
        <w:rPr>
          <w:rFonts w:ascii="Arial"/>
          <w:b/>
          <w:bCs/>
          <w:sz w:val="38"/>
          <w:rtl/>
        </w:rPr>
        <w:t>בלבת אש כו'.</w:t>
      </w:r>
      <w:r>
        <w:rPr>
          <w:rFonts w:ascii="Arial"/>
          <w:sz w:val="38"/>
          <w:rtl/>
        </w:rPr>
        <w:t xml:space="preserve"> רוצה לומר בת מן לבת, וכן לב בלב"ת, כמו שאומר בתיקון שאחריו ואיהי לב כו', והוא גימטריה בכי, בבכי - גימטריה דל, על דלותה, והן ל"ד אותיות דמילוי המילוי דאדני, דלית לה מגרמה, חסר א' (ובעץ חיים תיקון נוקבא פ"ב כתב חסר יו"ד במילוי התי"ו ועיין שם) דתא"ו והוא מקום אחד הנ"ל:</w:t>
      </w:r>
    </w:p>
  </w:footnote>
  <w:footnote w:id="1576">
    <w:p w:rsidR="00A13282" w:rsidRDefault="00A13282">
      <w:pPr>
        <w:pStyle w:val="a5"/>
        <w:rPr>
          <w:rFonts w:ascii="Arial"/>
          <w:sz w:val="38"/>
          <w:rtl/>
        </w:rPr>
      </w:pPr>
      <w:r>
        <w:rPr>
          <w:rStyle w:val="a7"/>
          <w:rtl/>
        </w:rPr>
        <w:footnoteRef/>
      </w:r>
      <w:r>
        <w:rPr>
          <w:rtl/>
        </w:rPr>
        <w:t xml:space="preserve"> </w:t>
      </w:r>
      <w:r>
        <w:rPr>
          <w:rFonts w:ascii="Arial"/>
          <w:b/>
          <w:bCs/>
          <w:sz w:val="38"/>
          <w:rtl/>
        </w:rPr>
        <w:t>דאתחזי למשה כו' ואיהי בת כו'.</w:t>
      </w:r>
      <w:r>
        <w:rPr>
          <w:rFonts w:ascii="Arial"/>
          <w:sz w:val="38"/>
          <w:rtl/>
        </w:rPr>
        <w:t xml:space="preserve"> כמו שמפרש והולך בתיקון י"ב:</w:t>
      </w:r>
    </w:p>
    <w:p w:rsidR="00A13282" w:rsidRDefault="00A13282">
      <w:pPr>
        <w:pStyle w:val="a5"/>
        <w:rPr>
          <w:rtl/>
        </w:rPr>
      </w:pPr>
    </w:p>
  </w:footnote>
  <w:footnote w:id="1577">
    <w:p w:rsidR="00A13282" w:rsidRDefault="00A13282">
      <w:pPr>
        <w:pStyle w:val="a5"/>
        <w:rPr>
          <w:rtl/>
        </w:rPr>
      </w:pPr>
      <w:r>
        <w:rPr>
          <w:rStyle w:val="a7"/>
          <w:rtl/>
        </w:rPr>
        <w:footnoteRef/>
      </w:r>
      <w:r>
        <w:rPr>
          <w:rtl/>
        </w:rPr>
        <w:t xml:space="preserve"> </w:t>
      </w:r>
      <w:r>
        <w:rPr>
          <w:rFonts w:ascii="Arial"/>
          <w:b/>
          <w:bCs/>
          <w:sz w:val="38"/>
          <w:rtl/>
        </w:rPr>
        <w:t>תיקון יב.</w:t>
      </w:r>
      <w:r>
        <w:rPr>
          <w:rFonts w:ascii="Arial"/>
          <w:sz w:val="38"/>
          <w:rtl/>
        </w:rPr>
        <w:t xml:space="preserve"> </w:t>
      </w:r>
      <w:r>
        <w:rPr>
          <w:rFonts w:ascii="Arial"/>
          <w:b/>
          <w:bCs/>
          <w:sz w:val="38"/>
          <w:rtl/>
        </w:rPr>
        <w:t>מאמר קדמאה דכולא כו'.</w:t>
      </w:r>
      <w:r>
        <w:rPr>
          <w:rFonts w:ascii="Arial"/>
          <w:sz w:val="38"/>
          <w:rtl/>
        </w:rPr>
        <w:t xml:space="preserve"> רוצה לומר כמו שאמרו (ראש השנה לב ע"א) תשעה מאמרות נינהו בראשית נמי מאמר, והן עשר ספירות ואמר כאן שמאמרות הן מלמטה למעלה, מאמר הראשון - מלכות, ומרומז בראשי תיבות וסופי תיבות בראשית - בת. ומפרש כאן מה שאמר בתיקון הקודם בלבת בת לב וזה שאומר ואיהי ל"ב כו':</w:t>
      </w:r>
    </w:p>
  </w:footnote>
  <w:footnote w:id="1578">
    <w:p w:rsidR="00A13282" w:rsidRDefault="00A13282">
      <w:pPr>
        <w:pStyle w:val="a5"/>
        <w:rPr>
          <w:rtl/>
        </w:rPr>
      </w:pPr>
      <w:r>
        <w:rPr>
          <w:rStyle w:val="a7"/>
          <w:rtl/>
        </w:rPr>
        <w:footnoteRef/>
      </w:r>
      <w:r>
        <w:rPr>
          <w:rtl/>
        </w:rPr>
        <w:t xml:space="preserve"> </w:t>
      </w:r>
      <w:r>
        <w:rPr>
          <w:rFonts w:ascii="Arial"/>
          <w:b/>
          <w:bCs/>
          <w:sz w:val="38"/>
          <w:rtl/>
        </w:rPr>
        <w:t>ומסטרא דשמאלא כו'.</w:t>
      </w:r>
      <w:r>
        <w:rPr>
          <w:rFonts w:ascii="Arial"/>
          <w:sz w:val="38"/>
          <w:rtl/>
        </w:rPr>
        <w:t xml:space="preserve"> רוצה לומר לכך כתיב בלבת אש כמו שמפרש והולך:</w:t>
      </w:r>
    </w:p>
  </w:footnote>
  <w:footnote w:id="1579">
    <w:p w:rsidR="00A13282" w:rsidRDefault="00A13282">
      <w:pPr>
        <w:pStyle w:val="a5"/>
        <w:rPr>
          <w:rtl/>
        </w:rPr>
      </w:pPr>
      <w:r>
        <w:rPr>
          <w:rStyle w:val="a7"/>
          <w:rtl/>
        </w:rPr>
        <w:footnoteRef/>
      </w:r>
      <w:r>
        <w:rPr>
          <w:rtl/>
        </w:rPr>
        <w:t xml:space="preserve"> </w:t>
      </w:r>
      <w:r>
        <w:rPr>
          <w:rFonts w:ascii="Arial"/>
          <w:b/>
          <w:bCs/>
          <w:sz w:val="38"/>
          <w:rtl/>
        </w:rPr>
        <w:t>אתיהיבת כו'.</w:t>
      </w:r>
      <w:r>
        <w:rPr>
          <w:rFonts w:ascii="Arial"/>
          <w:sz w:val="38"/>
          <w:rtl/>
        </w:rPr>
        <w:t xml:space="preserve"> רוצה לומר - התורה, שניתנה על פי המלכות כמו שאמרו (ספר הבהיר) נגע בבת כו', וניתנה ע"י גבורה כמו שאמרו תורה בגבורה ניתנה כמו שכתוב וידבר אלקים את כל הדברים כו':</w:t>
      </w:r>
    </w:p>
  </w:footnote>
  <w:footnote w:id="1580">
    <w:p w:rsidR="00A13282" w:rsidRDefault="00A13282">
      <w:pPr>
        <w:pStyle w:val="a5"/>
        <w:rPr>
          <w:rtl/>
        </w:rPr>
      </w:pPr>
      <w:r>
        <w:rPr>
          <w:rStyle w:val="a7"/>
          <w:rtl/>
        </w:rPr>
        <w:footnoteRef/>
      </w:r>
      <w:r>
        <w:rPr>
          <w:rtl/>
        </w:rPr>
        <w:t xml:space="preserve"> </w:t>
      </w:r>
      <w:r>
        <w:rPr>
          <w:rFonts w:ascii="Arial"/>
          <w:b/>
          <w:bCs/>
          <w:sz w:val="38"/>
          <w:rtl/>
        </w:rPr>
        <w:t>סומקא.</w:t>
      </w:r>
      <w:r>
        <w:rPr>
          <w:rFonts w:ascii="Arial"/>
          <w:sz w:val="38"/>
          <w:rtl/>
        </w:rPr>
        <w:t xml:space="preserve"> רוצה לומר גוון אש:</w:t>
      </w:r>
    </w:p>
  </w:footnote>
  <w:footnote w:id="1581">
    <w:p w:rsidR="00A13282" w:rsidRDefault="00A13282">
      <w:pPr>
        <w:jc w:val="both"/>
        <w:rPr>
          <w:rFonts w:ascii="Arial" w:cs="Arial"/>
          <w:sz w:val="38"/>
          <w:szCs w:val="24"/>
          <w:rtl/>
        </w:rPr>
      </w:pPr>
      <w:r>
        <w:rPr>
          <w:rStyle w:val="a7"/>
          <w:rFonts w:cs="Arial"/>
          <w:szCs w:val="24"/>
          <w:rtl/>
        </w:rPr>
        <w:footnoteRef/>
      </w:r>
      <w:r>
        <w:rPr>
          <w:rtl/>
        </w:rPr>
        <w:t xml:space="preserve"> </w:t>
      </w:r>
      <w:r>
        <w:rPr>
          <w:rFonts w:ascii="Arial" w:cs="Arial"/>
          <w:b/>
          <w:bCs/>
          <w:sz w:val="38"/>
          <w:szCs w:val="24"/>
          <w:rtl/>
        </w:rPr>
        <w:t>בגין שושנים כו'.</w:t>
      </w:r>
      <w:r>
        <w:rPr>
          <w:rtl/>
        </w:rPr>
        <w:t xml:space="preserve"> </w:t>
      </w:r>
      <w:r>
        <w:rPr>
          <w:rFonts w:ascii="Arial" w:cs="Arial"/>
          <w:sz w:val="38"/>
          <w:szCs w:val="24"/>
          <w:rtl/>
        </w:rPr>
        <w:t>רוצה לומר כמו שושנים דנזרעין בין הקוצין - שהקוצים שמירה לשושנים, כן ישראל בגלותא בין ערב רב - כדי למהר גאולתם כמו שמפרש והולך לכן לא כלה הקוצים כדי להיות השושנים ביניהן בגלות הזה:</w:t>
      </w:r>
    </w:p>
  </w:footnote>
  <w:footnote w:id="1582">
    <w:p w:rsidR="00A13282" w:rsidRDefault="00A13282">
      <w:pPr>
        <w:pStyle w:val="a5"/>
        <w:rPr>
          <w:rtl/>
        </w:rPr>
      </w:pPr>
      <w:r>
        <w:rPr>
          <w:rStyle w:val="a7"/>
          <w:rtl/>
        </w:rPr>
        <w:footnoteRef/>
      </w:r>
      <w:r>
        <w:rPr>
          <w:rtl/>
        </w:rPr>
        <w:t xml:space="preserve"> </w:t>
      </w:r>
      <w:r>
        <w:rPr>
          <w:rFonts w:ascii="Arial"/>
          <w:b/>
          <w:bCs/>
          <w:sz w:val="38"/>
          <w:rtl/>
        </w:rPr>
        <w:t>ודא איהו רזא כו'.</w:t>
      </w:r>
      <w:r>
        <w:rPr>
          <w:rFonts w:ascii="Arial"/>
          <w:sz w:val="38"/>
          <w:rtl/>
        </w:rPr>
        <w:t xml:space="preserve"> רוצה לומר כי כבר הייתי עושה כלה בכל וגו' רק ואותך, רוצה לומר, בשבילך לא אעשה כלה:</w:t>
      </w:r>
    </w:p>
  </w:footnote>
  <w:footnote w:id="1583">
    <w:p w:rsidR="00A13282" w:rsidRDefault="00A13282">
      <w:pPr>
        <w:pStyle w:val="a5"/>
        <w:rPr>
          <w:rtl/>
        </w:rPr>
      </w:pPr>
      <w:r>
        <w:rPr>
          <w:rStyle w:val="a7"/>
          <w:rtl/>
        </w:rPr>
        <w:footnoteRef/>
      </w:r>
      <w:r>
        <w:rPr>
          <w:rtl/>
        </w:rPr>
        <w:t xml:space="preserve"> </w:t>
      </w:r>
      <w:r>
        <w:rPr>
          <w:rFonts w:ascii="Arial"/>
          <w:b/>
          <w:bCs/>
          <w:sz w:val="38"/>
          <w:rtl/>
        </w:rPr>
        <w:t>אחזי ליה כו'.</w:t>
      </w:r>
      <w:r>
        <w:rPr>
          <w:rFonts w:ascii="Arial"/>
          <w:sz w:val="38"/>
          <w:rtl/>
        </w:rPr>
        <w:t xml:space="preserve"> רוצה לומר כלה לשון כַּלָה:</w:t>
      </w:r>
    </w:p>
  </w:footnote>
  <w:footnote w:id="1584">
    <w:p w:rsidR="00A13282" w:rsidRDefault="00A13282">
      <w:pPr>
        <w:pStyle w:val="a5"/>
        <w:rPr>
          <w:rtl/>
        </w:rPr>
      </w:pPr>
      <w:r>
        <w:rPr>
          <w:rStyle w:val="a7"/>
          <w:rtl/>
        </w:rPr>
        <w:footnoteRef/>
      </w:r>
      <w:r>
        <w:rPr>
          <w:rtl/>
        </w:rPr>
        <w:t xml:space="preserve"> </w:t>
      </w:r>
      <w:r>
        <w:rPr>
          <w:rFonts w:ascii="Arial"/>
          <w:b/>
          <w:bCs/>
          <w:sz w:val="38"/>
          <w:rtl/>
        </w:rPr>
        <w:t>כד דחקין לשכינתא וישראל כו'.</w:t>
      </w:r>
      <w:r>
        <w:rPr>
          <w:rFonts w:ascii="Arial"/>
          <w:sz w:val="38"/>
          <w:rtl/>
        </w:rPr>
        <w:t xml:space="preserve"> רוצה לומר אז נעשית השכינה כלה, שיבא חתן בשבילה כמו שמפרש והולך:</w:t>
      </w:r>
    </w:p>
  </w:footnote>
  <w:footnote w:id="1585">
    <w:p w:rsidR="00A13282" w:rsidRDefault="00A13282">
      <w:pPr>
        <w:pStyle w:val="a5"/>
        <w:rPr>
          <w:rtl/>
        </w:rPr>
      </w:pPr>
      <w:r>
        <w:rPr>
          <w:rStyle w:val="a7"/>
          <w:rtl/>
        </w:rPr>
        <w:footnoteRef/>
      </w:r>
      <w:r>
        <w:rPr>
          <w:rtl/>
        </w:rPr>
        <w:t xml:space="preserve"> </w:t>
      </w:r>
      <w:r>
        <w:rPr>
          <w:rFonts w:ascii="Arial"/>
          <w:b/>
          <w:bCs/>
          <w:sz w:val="38"/>
          <w:rtl/>
        </w:rPr>
        <w:t>ודוחקא דגלותא.</w:t>
      </w:r>
      <w:r>
        <w:rPr>
          <w:rFonts w:ascii="Arial"/>
          <w:sz w:val="38"/>
          <w:rtl/>
        </w:rPr>
        <w:t xml:space="preserve"> כמו שאמרו בזוהר במדבר דף רצ"ט שכלה בדגש תוך הכ' הוא כַּלָה, וברפה הוא כָלָה, לכן דחיק גורם דחיק שהוא דגש כַּלָה, וזה שאומר כי אעשה כלה רוצה לומר כבר עשיתי את הכַּלָה רק שאתה מעכב שאיני רוצה לדחוק אותך ביותר וזהו ואותך לא כו':</w:t>
      </w:r>
    </w:p>
  </w:footnote>
  <w:footnote w:id="1586">
    <w:p w:rsidR="00A13282" w:rsidRDefault="00A13282">
      <w:pPr>
        <w:pStyle w:val="a5"/>
        <w:rPr>
          <w:rtl/>
        </w:rPr>
      </w:pPr>
      <w:r>
        <w:rPr>
          <w:rStyle w:val="a7"/>
          <w:rtl/>
        </w:rPr>
        <w:footnoteRef/>
      </w:r>
      <w:r>
        <w:rPr>
          <w:rtl/>
        </w:rPr>
        <w:t xml:space="preserve"> </w:t>
      </w:r>
      <w:r>
        <w:rPr>
          <w:rFonts w:ascii="Arial"/>
          <w:b/>
          <w:bCs/>
          <w:sz w:val="38"/>
          <w:rtl/>
        </w:rPr>
        <w:t>וכולא קשוט כו'.</w:t>
      </w:r>
      <w:r>
        <w:rPr>
          <w:rFonts w:ascii="Arial"/>
          <w:sz w:val="38"/>
          <w:rtl/>
        </w:rPr>
        <w:t xml:space="preserve"> רוצה לומר שאתלבש בגופא אחרא - מט"ט, ואזדווג בשכינה, וכל זה רמיז ליה שע"י גופא, עובדא דבר נש, וכן אשה, עובדא דבר נש - אין יכולת לתקן השכינה. וכן בית המקדש שנתבנה ע"י בני אדם אין לו קיום, וזה שאומר וכן אחזי כו':</w:t>
      </w:r>
    </w:p>
  </w:footnote>
  <w:footnote w:id="1587">
    <w:p w:rsidR="00A13282" w:rsidRDefault="00A13282">
      <w:pPr>
        <w:pStyle w:val="a5"/>
        <w:rPr>
          <w:rtl/>
        </w:rPr>
      </w:pPr>
      <w:r>
        <w:rPr>
          <w:rStyle w:val="a7"/>
          <w:rtl/>
        </w:rPr>
        <w:footnoteRef/>
      </w:r>
      <w:r>
        <w:rPr>
          <w:rtl/>
        </w:rPr>
        <w:t xml:space="preserve"> </w:t>
      </w:r>
      <w:r>
        <w:rPr>
          <w:rFonts w:ascii="Arial"/>
          <w:b/>
          <w:bCs/>
          <w:sz w:val="38"/>
          <w:rtl/>
        </w:rPr>
        <w:t>הה"ד גדול יהיה כו'.</w:t>
      </w:r>
      <w:r>
        <w:rPr>
          <w:rFonts w:ascii="Arial"/>
          <w:sz w:val="38"/>
          <w:rtl/>
        </w:rPr>
        <w:t xml:space="preserve"> רוצה לומר הבית האחרון, הוא שיבנה לעתיד:</w:t>
      </w:r>
    </w:p>
  </w:footnote>
  <w:footnote w:id="1588">
    <w:p w:rsidR="00A13282" w:rsidRDefault="00A13282">
      <w:pPr>
        <w:pStyle w:val="a5"/>
        <w:rPr>
          <w:rtl/>
        </w:rPr>
      </w:pPr>
      <w:r>
        <w:rPr>
          <w:rStyle w:val="a7"/>
          <w:rtl/>
        </w:rPr>
        <w:footnoteRef/>
      </w:r>
      <w:r>
        <w:rPr>
          <w:rtl/>
        </w:rPr>
        <w:t xml:space="preserve"> </w:t>
      </w:r>
      <w:r>
        <w:rPr>
          <w:rFonts w:ascii="Arial"/>
          <w:b/>
          <w:bCs/>
          <w:sz w:val="38"/>
          <w:rtl/>
        </w:rPr>
        <w:t>בגין כו'.</w:t>
      </w:r>
      <w:r>
        <w:rPr>
          <w:rFonts w:ascii="Arial"/>
          <w:sz w:val="38"/>
          <w:rtl/>
        </w:rPr>
        <w:t xml:space="preserve"> רוצה לומר בשביל שיהיה מעשה ה':</w:t>
      </w:r>
    </w:p>
  </w:footnote>
  <w:footnote w:id="1589">
    <w:p w:rsidR="00A13282" w:rsidRDefault="00A13282">
      <w:pPr>
        <w:pStyle w:val="a5"/>
        <w:rPr>
          <w:rtl/>
        </w:rPr>
      </w:pPr>
      <w:r>
        <w:rPr>
          <w:rStyle w:val="a7"/>
          <w:rtl/>
        </w:rPr>
        <w:footnoteRef/>
      </w:r>
      <w:r>
        <w:rPr>
          <w:rtl/>
        </w:rPr>
        <w:t xml:space="preserve"> </w:t>
      </w:r>
      <w:r>
        <w:rPr>
          <w:rFonts w:ascii="Arial"/>
          <w:b/>
          <w:bCs/>
          <w:sz w:val="38"/>
          <w:rtl/>
        </w:rPr>
        <w:t>אתמר בבי מקדשא כו' ואתמר כו'.</w:t>
      </w:r>
      <w:r>
        <w:rPr>
          <w:rFonts w:ascii="Arial"/>
          <w:sz w:val="38"/>
          <w:rtl/>
        </w:rPr>
        <w:t xml:space="preserve"> רוצה לומר המקדש הוא אשה הנ"ל, והוא אשה דמשה. ואשה הגופנית של משה אין לה קיום שהוא מקדש ראשון אבל אשה השנית דנפקא מבין כובין - השכינה, הוא מקדש שני שיהיה לעתיד כמו שכתוב ואני אהיה כו' חומת אש והיא בלבת אש, היא יהיה לה קיום לכן צוה לו של נעלך:</w:t>
      </w:r>
    </w:p>
  </w:footnote>
  <w:footnote w:id="1590">
    <w:p w:rsidR="00A13282" w:rsidRDefault="00A13282">
      <w:pPr>
        <w:pStyle w:val="a5"/>
        <w:rPr>
          <w:rtl/>
        </w:rPr>
      </w:pPr>
      <w:r>
        <w:rPr>
          <w:rStyle w:val="a7"/>
          <w:rtl/>
        </w:rPr>
        <w:footnoteRef/>
      </w:r>
      <w:r>
        <w:rPr>
          <w:rtl/>
        </w:rPr>
        <w:t xml:space="preserve"> </w:t>
      </w:r>
      <w:r>
        <w:rPr>
          <w:rFonts w:ascii="Arial"/>
          <w:b/>
          <w:bCs/>
          <w:sz w:val="38"/>
          <w:rtl/>
        </w:rPr>
        <w:t>דאיהי בת כו'.</w:t>
      </w:r>
      <w:r>
        <w:rPr>
          <w:rFonts w:ascii="Arial"/>
          <w:sz w:val="38"/>
          <w:rtl/>
        </w:rPr>
        <w:t xml:space="preserve"> רוצה לומר ששה בנים של לאה, ו"ק, והיא בת יחידה והיא בת של בלבת, נשאר ל"ב, ל"ב נתיבות חכמה, כמו שאומר לעיל ויבן כו' מן האדם דא חכמה:</w:t>
      </w:r>
    </w:p>
  </w:footnote>
  <w:footnote w:id="1591">
    <w:p w:rsidR="00A13282" w:rsidRDefault="00A13282">
      <w:pPr>
        <w:pStyle w:val="a5"/>
        <w:rPr>
          <w:rtl/>
        </w:rPr>
      </w:pPr>
      <w:r>
        <w:rPr>
          <w:rStyle w:val="a7"/>
          <w:rtl/>
        </w:rPr>
        <w:footnoteRef/>
      </w:r>
      <w:r>
        <w:rPr>
          <w:rtl/>
        </w:rPr>
        <w:t xml:space="preserve"> </w:t>
      </w:r>
      <w:r>
        <w:rPr>
          <w:rFonts w:ascii="Arial"/>
          <w:b/>
          <w:bCs/>
          <w:sz w:val="38"/>
          <w:rtl/>
        </w:rPr>
        <w:t>דמנה נפיק כו'.</w:t>
      </w:r>
      <w:r>
        <w:rPr>
          <w:rFonts w:ascii="Arial"/>
          <w:sz w:val="38"/>
          <w:rtl/>
        </w:rPr>
        <w:t xml:space="preserve"> רוצה לומר אש הוא נהורא דאורייתא:</w:t>
      </w:r>
    </w:p>
  </w:footnote>
  <w:footnote w:id="1592">
    <w:p w:rsidR="00A13282" w:rsidRDefault="00A13282">
      <w:pPr>
        <w:pStyle w:val="a5"/>
        <w:rPr>
          <w:rtl/>
        </w:rPr>
      </w:pPr>
      <w:r>
        <w:rPr>
          <w:rStyle w:val="a7"/>
          <w:rtl/>
        </w:rPr>
        <w:footnoteRef/>
      </w:r>
      <w:r>
        <w:rPr>
          <w:rtl/>
        </w:rPr>
        <w:t xml:space="preserve"> </w:t>
      </w:r>
      <w:r>
        <w:rPr>
          <w:rFonts w:ascii="Arial"/>
          <w:b/>
          <w:bCs/>
          <w:sz w:val="38"/>
          <w:rtl/>
        </w:rPr>
        <w:t>כגוונא דא אתמר ותפתח.</w:t>
      </w:r>
      <w:r>
        <w:rPr>
          <w:rFonts w:ascii="Arial"/>
          <w:sz w:val="38"/>
          <w:rtl/>
        </w:rPr>
        <w:t xml:space="preserve"> חוזר למעלה בתיקון הקודם, ותפתח ותראהו כו' ומאי איהי בת עין כו' בלבת כו' ופירש כאן בלבת בת לב, ועכשיו חוזר לענינו הראשון:</w:t>
      </w:r>
    </w:p>
  </w:footnote>
  <w:footnote w:id="1593">
    <w:p w:rsidR="00A13282" w:rsidRDefault="00A13282">
      <w:pPr>
        <w:pStyle w:val="a5"/>
        <w:rPr>
          <w:rtl/>
        </w:rPr>
      </w:pPr>
      <w:r>
        <w:rPr>
          <w:rStyle w:val="a7"/>
          <w:rtl/>
        </w:rPr>
        <w:footnoteRef/>
      </w:r>
      <w:r>
        <w:rPr>
          <w:rtl/>
        </w:rPr>
        <w:t xml:space="preserve"> </w:t>
      </w:r>
      <w:r>
        <w:rPr>
          <w:rFonts w:ascii="Arial"/>
          <w:b/>
          <w:bCs/>
          <w:sz w:val="38"/>
          <w:rtl/>
        </w:rPr>
        <w:t>בההוא זמנא כל כו'.</w:t>
      </w:r>
      <w:r>
        <w:rPr>
          <w:rFonts w:ascii="Arial"/>
          <w:sz w:val="38"/>
          <w:rtl/>
        </w:rPr>
        <w:t xml:space="preserve"> כמו שאומר לעיל שיר תאב כו':</w:t>
      </w:r>
    </w:p>
  </w:footnote>
  <w:footnote w:id="1594">
    <w:p w:rsidR="00A13282" w:rsidRDefault="00A13282">
      <w:pPr>
        <w:pStyle w:val="a5"/>
        <w:rPr>
          <w:rtl/>
        </w:rPr>
      </w:pPr>
      <w:r>
        <w:rPr>
          <w:rStyle w:val="a7"/>
          <w:rtl/>
        </w:rPr>
        <w:footnoteRef/>
      </w:r>
      <w:r>
        <w:rPr>
          <w:rtl/>
        </w:rPr>
        <w:t xml:space="preserve"> </w:t>
      </w:r>
      <w:r>
        <w:rPr>
          <w:rFonts w:ascii="Arial"/>
          <w:b/>
          <w:bCs/>
          <w:sz w:val="38"/>
          <w:rtl/>
        </w:rPr>
        <w:t>ועופין כו'.</w:t>
      </w:r>
      <w:r>
        <w:rPr>
          <w:rFonts w:ascii="Arial"/>
          <w:sz w:val="38"/>
          <w:rtl/>
        </w:rPr>
        <w:t xml:space="preserve"> שהן צפרים הנ"ל:</w:t>
      </w:r>
    </w:p>
  </w:footnote>
  <w:footnote w:id="1595">
    <w:p w:rsidR="00A13282" w:rsidRDefault="00A13282">
      <w:pPr>
        <w:pStyle w:val="a5"/>
        <w:rPr>
          <w:rtl/>
        </w:rPr>
      </w:pPr>
      <w:r>
        <w:rPr>
          <w:rStyle w:val="a7"/>
          <w:rtl/>
        </w:rPr>
        <w:footnoteRef/>
      </w:r>
      <w:r>
        <w:rPr>
          <w:rtl/>
        </w:rPr>
        <w:t xml:space="preserve"> </w:t>
      </w:r>
      <w:r>
        <w:rPr>
          <w:rFonts w:ascii="Arial"/>
          <w:b/>
          <w:bCs/>
          <w:sz w:val="38"/>
          <w:rtl/>
        </w:rPr>
        <w:t>דאינון קדוש כו'.</w:t>
      </w:r>
      <w:r>
        <w:rPr>
          <w:rFonts w:ascii="Arial"/>
          <w:sz w:val="38"/>
          <w:rtl/>
        </w:rPr>
        <w:t xml:space="preserve"> של ברכת יוצר אור, ששם אופנים וחיות שהן חיון ועופין הנ"ל:</w:t>
      </w:r>
    </w:p>
  </w:footnote>
  <w:footnote w:id="1596">
    <w:p w:rsidR="00A13282" w:rsidRDefault="00A13282">
      <w:pPr>
        <w:pStyle w:val="a5"/>
        <w:rPr>
          <w:rtl/>
        </w:rPr>
      </w:pPr>
      <w:r>
        <w:rPr>
          <w:rStyle w:val="a7"/>
          <w:rtl/>
        </w:rPr>
        <w:footnoteRef/>
      </w:r>
      <w:r>
        <w:rPr>
          <w:rtl/>
        </w:rPr>
        <w:t xml:space="preserve"> </w:t>
      </w:r>
      <w:r>
        <w:rPr>
          <w:rFonts w:ascii="Arial"/>
          <w:b/>
          <w:bCs/>
          <w:sz w:val="38"/>
          <w:rtl/>
        </w:rPr>
        <w:t>ולית קדושה כו'.</w:t>
      </w:r>
      <w:r>
        <w:rPr>
          <w:rFonts w:ascii="Arial"/>
          <w:sz w:val="38"/>
          <w:rtl/>
        </w:rPr>
        <w:t xml:space="preserve"> רוצה לומר חכמה שהיא י' של השם, והוא ראיה שקדש הוא מסטרא דחכמה כמו שמפרש והולך:</w:t>
      </w:r>
    </w:p>
  </w:footnote>
  <w:footnote w:id="1597">
    <w:p w:rsidR="00A13282" w:rsidRDefault="00A13282">
      <w:pPr>
        <w:pStyle w:val="a5"/>
        <w:rPr>
          <w:rtl/>
        </w:rPr>
      </w:pPr>
      <w:r>
        <w:rPr>
          <w:rStyle w:val="a7"/>
          <w:rtl/>
        </w:rPr>
        <w:footnoteRef/>
      </w:r>
      <w:r>
        <w:rPr>
          <w:rtl/>
        </w:rPr>
        <w:t xml:space="preserve"> </w:t>
      </w:r>
      <w:r>
        <w:rPr>
          <w:rFonts w:ascii="Arial"/>
          <w:b/>
          <w:bCs/>
          <w:sz w:val="38"/>
          <w:rtl/>
        </w:rPr>
        <w:t>ראשית ודאי.</w:t>
      </w:r>
      <w:r>
        <w:rPr>
          <w:rFonts w:ascii="Arial"/>
          <w:sz w:val="38"/>
          <w:rtl/>
        </w:rPr>
        <w:t xml:space="preserve"> רוצה לומר חכמה שנקראת ראשית, כמו שכתוב ראשית חכמה, וזהו קדש ישראל - שישראל עלו במחשבה:</w:t>
      </w:r>
    </w:p>
  </w:footnote>
  <w:footnote w:id="1598">
    <w:p w:rsidR="00A13282" w:rsidRDefault="00A13282">
      <w:pPr>
        <w:pStyle w:val="a5"/>
        <w:rPr>
          <w:rtl/>
        </w:rPr>
      </w:pPr>
      <w:r>
        <w:rPr>
          <w:rStyle w:val="a7"/>
          <w:rtl/>
        </w:rPr>
        <w:footnoteRef/>
      </w:r>
      <w:r>
        <w:rPr>
          <w:rtl/>
        </w:rPr>
        <w:t xml:space="preserve"> </w:t>
      </w:r>
      <w:r>
        <w:rPr>
          <w:rFonts w:ascii="Arial"/>
          <w:b/>
          <w:bCs/>
          <w:sz w:val="38"/>
          <w:rtl/>
        </w:rPr>
        <w:t>ואינון שבע כו'.</w:t>
      </w:r>
      <w:r>
        <w:rPr>
          <w:rFonts w:ascii="Arial"/>
          <w:sz w:val="38"/>
          <w:rtl/>
        </w:rPr>
        <w:t xml:space="preserve"> רוצה לומר שכולם מתברכין מברכה כידוע:</w:t>
      </w:r>
    </w:p>
  </w:footnote>
  <w:footnote w:id="1599">
    <w:p w:rsidR="00A13282" w:rsidRDefault="00A13282">
      <w:pPr>
        <w:pStyle w:val="a5"/>
        <w:rPr>
          <w:rtl/>
        </w:rPr>
      </w:pPr>
      <w:r>
        <w:rPr>
          <w:rStyle w:val="a7"/>
          <w:rtl/>
        </w:rPr>
        <w:footnoteRef/>
      </w:r>
      <w:r>
        <w:rPr>
          <w:rtl/>
        </w:rPr>
        <w:t xml:space="preserve"> </w:t>
      </w:r>
      <w:r>
        <w:rPr>
          <w:rFonts w:ascii="Arial"/>
          <w:b/>
          <w:bCs/>
          <w:sz w:val="38"/>
          <w:rtl/>
        </w:rPr>
        <w:t>בשחרית כו'.</w:t>
      </w:r>
      <w:r>
        <w:rPr>
          <w:rFonts w:ascii="Arial"/>
          <w:sz w:val="38"/>
          <w:rtl/>
        </w:rPr>
        <w:t xml:space="preserve"> והן חג"ת - שת"ת כללא דילהון, ובערבית כו' והן נהי"ם - שיסוד ומלכות כללא דילהון כידוע, סוד ערבית כידוע:</w:t>
      </w:r>
    </w:p>
  </w:footnote>
  <w:footnote w:id="1600">
    <w:p w:rsidR="00A13282" w:rsidRDefault="00A13282">
      <w:pPr>
        <w:pStyle w:val="a5"/>
        <w:rPr>
          <w:rtl/>
        </w:rPr>
      </w:pPr>
      <w:r>
        <w:rPr>
          <w:rStyle w:val="a7"/>
          <w:rtl/>
        </w:rPr>
        <w:footnoteRef/>
      </w:r>
      <w:r>
        <w:rPr>
          <w:rtl/>
        </w:rPr>
        <w:t xml:space="preserve"> </w:t>
      </w:r>
      <w:r>
        <w:rPr>
          <w:rFonts w:ascii="Arial"/>
          <w:b/>
          <w:bCs/>
          <w:sz w:val="38"/>
          <w:rtl/>
        </w:rPr>
        <w:t>ודא איהו שמע כו'.</w:t>
      </w:r>
      <w:r>
        <w:rPr>
          <w:rFonts w:ascii="Arial"/>
          <w:sz w:val="38"/>
          <w:rtl/>
        </w:rPr>
        <w:t xml:space="preserve"> רוצה לומר שמע כו' - הן חמשה תיבין, חמש ספירות חג"ת נ"ה. אחד - הוא יסוד ומלכות: א"ח - יסוד, ד' - מלכות כידוע:</w:t>
      </w:r>
    </w:p>
  </w:footnote>
  <w:footnote w:id="1601">
    <w:p w:rsidR="00A13282" w:rsidRDefault="00A13282">
      <w:pPr>
        <w:pStyle w:val="a5"/>
        <w:rPr>
          <w:rFonts w:ascii="Arial"/>
          <w:sz w:val="38"/>
          <w:rtl/>
        </w:rPr>
      </w:pPr>
      <w:r>
        <w:rPr>
          <w:rStyle w:val="a7"/>
          <w:rtl/>
        </w:rPr>
        <w:footnoteRef/>
      </w:r>
      <w:r>
        <w:rPr>
          <w:rtl/>
        </w:rPr>
        <w:t xml:space="preserve"> </w:t>
      </w:r>
      <w:r>
        <w:rPr>
          <w:rFonts w:ascii="Arial"/>
          <w:b/>
          <w:bCs/>
          <w:sz w:val="38"/>
          <w:rtl/>
        </w:rPr>
        <w:t>מנגן מאליו בעשרה כו'.</w:t>
      </w:r>
      <w:r>
        <w:rPr>
          <w:rFonts w:ascii="Arial"/>
          <w:sz w:val="38"/>
          <w:rtl/>
        </w:rPr>
        <w:t xml:space="preserve"> רוצה לומר, מלכות סלקא בכל עשר ספירות, והן עשרה ניגונין כמו שאומר בתיקון שאחריו, וזהו מאליו כמו שכתוב די התגזרת אבן די לא בידין:</w:t>
      </w:r>
    </w:p>
    <w:p w:rsidR="00A13282" w:rsidRDefault="00A13282">
      <w:pPr>
        <w:pStyle w:val="a5"/>
        <w:rPr>
          <w:rtl/>
        </w:rPr>
      </w:pPr>
    </w:p>
  </w:footnote>
  <w:footnote w:id="1602">
    <w:p w:rsidR="00A13282" w:rsidRDefault="00A13282">
      <w:pPr>
        <w:pStyle w:val="a5"/>
        <w:rPr>
          <w:rtl/>
        </w:rPr>
      </w:pPr>
      <w:r>
        <w:rPr>
          <w:rStyle w:val="a7"/>
          <w:rtl/>
        </w:rPr>
        <w:footnoteRef/>
      </w:r>
      <w:r>
        <w:rPr>
          <w:rtl/>
        </w:rPr>
        <w:t xml:space="preserve"> </w:t>
      </w:r>
      <w:r>
        <w:rPr>
          <w:rFonts w:ascii="Arial"/>
          <w:b/>
          <w:bCs/>
          <w:sz w:val="38"/>
          <w:rtl/>
        </w:rPr>
        <w:t>תיקון יג. תמן אשרי.</w:t>
      </w:r>
      <w:r>
        <w:rPr>
          <w:rFonts w:ascii="Arial"/>
          <w:sz w:val="38"/>
          <w:rtl/>
        </w:rPr>
        <w:t xml:space="preserve"> רוצה לומר ניגון הראשון מן עשרה הניגונים הנ"ל בתיקון הקודם, והוא האותיות הנשארים מן בת בתיקון הקודם, ואשרי - הוא כתר, כמו שמפרש והולך, והוא מגיד מראשית אחרית, בת אשרי: </w:t>
      </w:r>
    </w:p>
  </w:footnote>
  <w:footnote w:id="1603">
    <w:p w:rsidR="00A13282" w:rsidRDefault="00A13282">
      <w:pPr>
        <w:pStyle w:val="a5"/>
        <w:rPr>
          <w:rtl/>
        </w:rPr>
      </w:pPr>
      <w:r>
        <w:rPr>
          <w:rStyle w:val="a7"/>
          <w:rtl/>
        </w:rPr>
        <w:footnoteRef/>
      </w:r>
      <w:r>
        <w:rPr>
          <w:rtl/>
        </w:rPr>
        <w:t xml:space="preserve"> </w:t>
      </w:r>
      <w:r>
        <w:rPr>
          <w:rFonts w:ascii="Arial"/>
          <w:b/>
          <w:bCs/>
          <w:sz w:val="38"/>
          <w:rtl/>
        </w:rPr>
        <w:t>ודא איהו אשרי כו'.</w:t>
      </w:r>
      <w:r>
        <w:rPr>
          <w:rFonts w:ascii="Arial"/>
          <w:sz w:val="38"/>
          <w:rtl/>
        </w:rPr>
        <w:t xml:space="preserve"> מפרש לקמן אשר לא הלך כו' זכי לאתדבק בכתרא כו':</w:t>
      </w:r>
    </w:p>
  </w:footnote>
  <w:footnote w:id="1604">
    <w:p w:rsidR="00A13282" w:rsidRDefault="00A13282">
      <w:pPr>
        <w:pStyle w:val="a5"/>
        <w:rPr>
          <w:rtl/>
        </w:rPr>
      </w:pPr>
      <w:r>
        <w:rPr>
          <w:rStyle w:val="a7"/>
          <w:rtl/>
        </w:rPr>
        <w:footnoteRef/>
      </w:r>
      <w:r>
        <w:rPr>
          <w:rtl/>
        </w:rPr>
        <w:t xml:space="preserve"> </w:t>
      </w:r>
      <w:r>
        <w:rPr>
          <w:rFonts w:ascii="Arial"/>
          <w:b/>
          <w:bCs/>
          <w:sz w:val="38"/>
          <w:rtl/>
        </w:rPr>
        <w:t>ואיהו אהי"ה אשר אהי"ה.</w:t>
      </w:r>
      <w:r>
        <w:rPr>
          <w:rFonts w:ascii="Arial"/>
          <w:sz w:val="38"/>
          <w:rtl/>
        </w:rPr>
        <w:t xml:space="preserve"> ששלשה שמות הללו - בכתר, שכלול כח"ב בשלשה רישין כידוע, והוא ראיה שאשר הוא בכתר:</w:t>
      </w:r>
    </w:p>
  </w:footnote>
  <w:footnote w:id="1605">
    <w:p w:rsidR="00A13282" w:rsidRDefault="00A13282">
      <w:pPr>
        <w:pStyle w:val="a5"/>
        <w:rPr>
          <w:rtl/>
        </w:rPr>
      </w:pPr>
      <w:r>
        <w:rPr>
          <w:rStyle w:val="a7"/>
          <w:rtl/>
        </w:rPr>
        <w:footnoteRef/>
      </w:r>
      <w:r>
        <w:rPr>
          <w:rtl/>
        </w:rPr>
        <w:t xml:space="preserve"> </w:t>
      </w:r>
      <w:r>
        <w:rPr>
          <w:rFonts w:ascii="Arial"/>
          <w:b/>
          <w:bCs/>
          <w:sz w:val="38"/>
          <w:rtl/>
        </w:rPr>
        <w:t>רישא כו'.</w:t>
      </w:r>
      <w:r>
        <w:rPr>
          <w:rFonts w:ascii="Arial"/>
          <w:sz w:val="38"/>
          <w:rtl/>
        </w:rPr>
        <w:t xml:space="preserve"> רוצה לומר רישא - אותיות אשרי, ואמר רישא לכל רישין - שח"ב גם כן נקראו רישין, והוא - רישא להם:</w:t>
      </w:r>
    </w:p>
  </w:footnote>
  <w:footnote w:id="1606">
    <w:p w:rsidR="00A13282" w:rsidRDefault="00A13282">
      <w:pPr>
        <w:pStyle w:val="a5"/>
        <w:rPr>
          <w:rtl/>
        </w:rPr>
      </w:pPr>
      <w:r>
        <w:rPr>
          <w:rStyle w:val="a7"/>
          <w:rtl/>
        </w:rPr>
        <w:footnoteRef/>
      </w:r>
      <w:r>
        <w:rPr>
          <w:rtl/>
        </w:rPr>
        <w:t xml:space="preserve"> </w:t>
      </w:r>
      <w:r>
        <w:rPr>
          <w:rFonts w:ascii="Arial"/>
          <w:b/>
          <w:bCs/>
          <w:sz w:val="38"/>
          <w:rtl/>
        </w:rPr>
        <w:t>ראשך כו'.</w:t>
      </w:r>
      <w:r>
        <w:rPr>
          <w:rFonts w:ascii="Arial"/>
          <w:sz w:val="38"/>
          <w:rtl/>
        </w:rPr>
        <w:t xml:space="preserve"> רוצה לומר לשון אשרי כנ"ל. ודלת ראשך כו'. דאתנטלת מהאי רישא ושם סליקת, וזה שאומר וביה משבחין לבת כו'. ורוצה לומר זהו בראשית בת אשרי כנ"ל:</w:t>
      </w:r>
    </w:p>
  </w:footnote>
  <w:footnote w:id="1607">
    <w:p w:rsidR="00A13282" w:rsidRDefault="00A13282">
      <w:pPr>
        <w:pStyle w:val="a5"/>
        <w:rPr>
          <w:rtl/>
        </w:rPr>
      </w:pPr>
      <w:r>
        <w:rPr>
          <w:rStyle w:val="a7"/>
          <w:rtl/>
        </w:rPr>
        <w:footnoteRef/>
      </w:r>
      <w:r>
        <w:rPr>
          <w:rtl/>
        </w:rPr>
        <w:t xml:space="preserve"> </w:t>
      </w:r>
      <w:r>
        <w:rPr>
          <w:rFonts w:ascii="Arial"/>
          <w:b/>
          <w:bCs/>
          <w:sz w:val="38"/>
          <w:rtl/>
        </w:rPr>
        <w:t>מאן זכי כו'.</w:t>
      </w:r>
      <w:r>
        <w:rPr>
          <w:rFonts w:ascii="Arial"/>
          <w:sz w:val="38"/>
          <w:rtl/>
        </w:rPr>
        <w:t xml:space="preserve"> חוזר למעלה, ודא איהו אשרי האיש, ואמר מאן זכי לאעלא בהאי אשרי:</w:t>
      </w:r>
    </w:p>
  </w:footnote>
  <w:footnote w:id="1608">
    <w:p w:rsidR="00A13282" w:rsidRDefault="00A13282">
      <w:pPr>
        <w:pStyle w:val="a5"/>
        <w:rPr>
          <w:rtl/>
        </w:rPr>
      </w:pPr>
      <w:r>
        <w:rPr>
          <w:rStyle w:val="a7"/>
          <w:rtl/>
        </w:rPr>
        <w:footnoteRef/>
      </w:r>
      <w:r>
        <w:rPr>
          <w:rtl/>
        </w:rPr>
        <w:t xml:space="preserve"> </w:t>
      </w:r>
      <w:r>
        <w:rPr>
          <w:rFonts w:ascii="Arial"/>
          <w:b/>
          <w:bCs/>
          <w:sz w:val="38"/>
          <w:rtl/>
        </w:rPr>
        <w:t>דאיהי עצה בישא מסטרא דעץ הדעת טוב ורע.</w:t>
      </w:r>
      <w:r>
        <w:rPr>
          <w:rFonts w:ascii="Arial"/>
          <w:sz w:val="38"/>
          <w:rtl/>
        </w:rPr>
        <w:t xml:space="preserve"> רוצה לומר עצת - לשון עץ הדעת מסטרא דרע, עצת רשעים - וזהו עצה בישא, כי המייעץ לרע מראהו לו שהוא טוב ומוליכו ברע, וכן הוא עץ הדעת טוב ורע, נחמד למראה כמו שכתוב (משלי ה ג,ד) חלק משמן חכה ואחריתה כו':</w:t>
      </w:r>
    </w:p>
  </w:footnote>
  <w:footnote w:id="1609">
    <w:p w:rsidR="00A13282" w:rsidRDefault="00A13282">
      <w:pPr>
        <w:pStyle w:val="a5"/>
        <w:rPr>
          <w:rtl/>
        </w:rPr>
      </w:pPr>
      <w:r>
        <w:rPr>
          <w:rStyle w:val="a7"/>
          <w:rtl/>
        </w:rPr>
        <w:footnoteRef/>
      </w:r>
      <w:r>
        <w:rPr>
          <w:rtl/>
        </w:rPr>
        <w:t xml:space="preserve"> </w:t>
      </w:r>
      <w:r>
        <w:rPr>
          <w:rFonts w:ascii="Arial"/>
          <w:b/>
          <w:bCs/>
          <w:sz w:val="38"/>
          <w:rtl/>
        </w:rPr>
        <w:t>כנדה במושבה.</w:t>
      </w:r>
      <w:r>
        <w:rPr>
          <w:rFonts w:ascii="Arial"/>
          <w:sz w:val="38"/>
          <w:rtl/>
        </w:rPr>
        <w:t xml:space="preserve"> רוצה לומר זהו לשון ובמושב - מושב הזב ונדה, כמו שכתוב (ישעיהו ל כב) תזרם כמו דוה כו':</w:t>
      </w:r>
    </w:p>
  </w:footnote>
  <w:footnote w:id="1610">
    <w:p w:rsidR="00A13282" w:rsidRDefault="00A13282">
      <w:pPr>
        <w:pStyle w:val="a5"/>
        <w:rPr>
          <w:rtl/>
        </w:rPr>
      </w:pPr>
      <w:r>
        <w:rPr>
          <w:rStyle w:val="a7"/>
          <w:rtl/>
        </w:rPr>
        <w:footnoteRef/>
      </w:r>
      <w:r>
        <w:rPr>
          <w:rtl/>
        </w:rPr>
        <w:t xml:space="preserve"> </w:t>
      </w:r>
      <w:r>
        <w:rPr>
          <w:rFonts w:ascii="Arial"/>
          <w:b/>
          <w:bCs/>
          <w:sz w:val="38"/>
          <w:rtl/>
        </w:rPr>
        <w:t>ומאן דאתדבק כו'.</w:t>
      </w:r>
      <w:r>
        <w:rPr>
          <w:rFonts w:ascii="Arial"/>
          <w:sz w:val="38"/>
          <w:rtl/>
        </w:rPr>
        <w:t xml:space="preserve"> מפרש סיפא דפסוק, כי אם בתורת כו' והיה כעץ כו':</w:t>
      </w:r>
    </w:p>
  </w:footnote>
  <w:footnote w:id="1611">
    <w:p w:rsidR="00A13282" w:rsidRDefault="00A13282">
      <w:pPr>
        <w:pStyle w:val="a5"/>
        <w:rPr>
          <w:rtl/>
        </w:rPr>
      </w:pPr>
      <w:r>
        <w:rPr>
          <w:rStyle w:val="a7"/>
          <w:rtl/>
        </w:rPr>
        <w:footnoteRef/>
      </w:r>
      <w:r>
        <w:rPr>
          <w:rtl/>
        </w:rPr>
        <w:t xml:space="preserve"> </w:t>
      </w:r>
      <w:r>
        <w:rPr>
          <w:rFonts w:ascii="Arial"/>
          <w:b/>
          <w:bCs/>
          <w:sz w:val="38"/>
          <w:rtl/>
        </w:rPr>
        <w:t>דאיהי כתרא ורישא דאורייתא.</w:t>
      </w:r>
      <w:r>
        <w:rPr>
          <w:rFonts w:ascii="Arial"/>
          <w:sz w:val="38"/>
          <w:rtl/>
        </w:rPr>
        <w:t xml:space="preserve"> רוצה לומר זה שכתוב כי אם בתורת כו', והוא רישא לאורייתא, שאורייתא מתחיל מחכמה. וזהו בתורת ה', מחכמה, ששם מתחיל השם:</w:t>
      </w:r>
    </w:p>
  </w:footnote>
  <w:footnote w:id="1612">
    <w:p w:rsidR="00A13282" w:rsidRDefault="00A13282">
      <w:pPr>
        <w:pStyle w:val="a5"/>
        <w:rPr>
          <w:rtl/>
        </w:rPr>
      </w:pPr>
      <w:r>
        <w:rPr>
          <w:rStyle w:val="a7"/>
          <w:rtl/>
        </w:rPr>
        <w:footnoteRef/>
      </w:r>
      <w:r>
        <w:rPr>
          <w:rtl/>
        </w:rPr>
        <w:t xml:space="preserve"> </w:t>
      </w:r>
      <w:r>
        <w:rPr>
          <w:rFonts w:ascii="Arial"/>
          <w:b/>
          <w:bCs/>
          <w:sz w:val="38"/>
          <w:rtl/>
        </w:rPr>
        <w:t>והי' כעץ כו'.</w:t>
      </w:r>
      <w:r>
        <w:rPr>
          <w:rFonts w:ascii="Arial"/>
          <w:sz w:val="38"/>
          <w:rtl/>
        </w:rPr>
        <w:t xml:space="preserve"> לא כאותו העץ שאמר למעלה - עץ הדעת טוב ורע וזה שאומר ודא כו':</w:t>
      </w:r>
    </w:p>
  </w:footnote>
  <w:footnote w:id="1613">
    <w:p w:rsidR="00A13282" w:rsidRDefault="00A13282">
      <w:pPr>
        <w:pStyle w:val="a5"/>
        <w:rPr>
          <w:rtl/>
        </w:rPr>
      </w:pPr>
      <w:r>
        <w:rPr>
          <w:rStyle w:val="a7"/>
          <w:rtl/>
        </w:rPr>
        <w:footnoteRef/>
      </w:r>
      <w:r>
        <w:rPr>
          <w:rtl/>
        </w:rPr>
        <w:t xml:space="preserve"> </w:t>
      </w:r>
      <w:r>
        <w:rPr>
          <w:rFonts w:ascii="Arial"/>
          <w:b/>
          <w:bCs/>
          <w:sz w:val="38"/>
          <w:rtl/>
        </w:rPr>
        <w:t>על פלגי מים.</w:t>
      </w:r>
      <w:r>
        <w:rPr>
          <w:rFonts w:ascii="Arial"/>
          <w:sz w:val="38"/>
          <w:rtl/>
        </w:rPr>
        <w:t xml:space="preserve"> רוצה לומר כמו שאמרו בתיקוני זוהר חדש ששלשה רישין בכתר, בסוד אלף, יו"י, שני יודין: מים עליונים מים תחתונים, וא"ו - באמצע, והוא נקרא עץ החיים כידוע, שתול בתוך שני יודין, מים עליונים מים תחתונים, שהם נקראים פלגי מים כידוע:</w:t>
      </w:r>
    </w:p>
  </w:footnote>
  <w:footnote w:id="1614">
    <w:p w:rsidR="00A13282" w:rsidRDefault="00A13282">
      <w:pPr>
        <w:pStyle w:val="a5"/>
        <w:rPr>
          <w:rtl/>
        </w:rPr>
      </w:pPr>
      <w:r>
        <w:rPr>
          <w:rStyle w:val="a7"/>
          <w:rtl/>
        </w:rPr>
        <w:footnoteRef/>
      </w:r>
      <w:r>
        <w:rPr>
          <w:rtl/>
        </w:rPr>
        <w:t xml:space="preserve"> </w:t>
      </w:r>
      <w:r>
        <w:rPr>
          <w:rFonts w:ascii="Arial"/>
          <w:b/>
          <w:bCs/>
          <w:sz w:val="38"/>
          <w:rtl/>
        </w:rPr>
        <w:t>ועלהו לא יבול.</w:t>
      </w:r>
      <w:r>
        <w:rPr>
          <w:rFonts w:ascii="Arial"/>
          <w:sz w:val="38"/>
          <w:rtl/>
        </w:rPr>
        <w:t xml:space="preserve"> רוצה לומר שאין בו רע:</w:t>
      </w:r>
    </w:p>
  </w:footnote>
  <w:footnote w:id="1615">
    <w:p w:rsidR="00A13282" w:rsidRDefault="00A13282">
      <w:pPr>
        <w:pStyle w:val="a5"/>
        <w:rPr>
          <w:rtl/>
        </w:rPr>
      </w:pPr>
      <w:r>
        <w:rPr>
          <w:rStyle w:val="a7"/>
          <w:rtl/>
        </w:rPr>
        <w:footnoteRef/>
      </w:r>
      <w:r>
        <w:rPr>
          <w:rtl/>
        </w:rPr>
        <w:t xml:space="preserve"> </w:t>
      </w:r>
      <w:r>
        <w:rPr>
          <w:rFonts w:ascii="Arial"/>
          <w:b/>
          <w:bCs/>
          <w:sz w:val="38"/>
          <w:rtl/>
        </w:rPr>
        <w:t>שר י'.</w:t>
      </w:r>
      <w:r>
        <w:rPr>
          <w:rFonts w:ascii="Arial"/>
          <w:sz w:val="38"/>
          <w:rtl/>
        </w:rPr>
        <w:t xml:space="preserve"> אותיות שיר, והן אותיות אשר שבכתר, רק שם אלף, שאלף הוא בכתר, וכאן - י', שחכמה הוא י' של השם:</w:t>
      </w:r>
    </w:p>
  </w:footnote>
  <w:footnote w:id="1616">
    <w:p w:rsidR="00A13282" w:rsidRDefault="00A13282">
      <w:pPr>
        <w:pStyle w:val="a5"/>
        <w:rPr>
          <w:rtl/>
        </w:rPr>
      </w:pPr>
      <w:r>
        <w:rPr>
          <w:rStyle w:val="a7"/>
          <w:rtl/>
        </w:rPr>
        <w:footnoteRef/>
      </w:r>
      <w:r>
        <w:rPr>
          <w:rtl/>
        </w:rPr>
        <w:t xml:space="preserve"> </w:t>
      </w:r>
      <w:r>
        <w:rPr>
          <w:rFonts w:ascii="Arial"/>
          <w:b/>
          <w:bCs/>
          <w:sz w:val="38"/>
          <w:rtl/>
        </w:rPr>
        <w:t>ותלת יודין כו'.</w:t>
      </w:r>
      <w:r>
        <w:rPr>
          <w:rFonts w:ascii="Arial"/>
          <w:sz w:val="38"/>
          <w:rtl/>
        </w:rPr>
        <w:t xml:space="preserve"> מבאר ששיר הוא בחכמה שנאמר (תהלים קכא) שיר למעלות, כמו שמפרש והולך:</w:t>
      </w:r>
    </w:p>
  </w:footnote>
  <w:footnote w:id="1617">
    <w:p w:rsidR="00A13282" w:rsidRDefault="00A13282">
      <w:pPr>
        <w:pStyle w:val="a5"/>
        <w:rPr>
          <w:rtl/>
        </w:rPr>
      </w:pPr>
      <w:r>
        <w:rPr>
          <w:rStyle w:val="a7"/>
          <w:rtl/>
        </w:rPr>
        <w:footnoteRef/>
      </w:r>
      <w:r>
        <w:rPr>
          <w:rtl/>
        </w:rPr>
        <w:t xml:space="preserve"> קטע זה מוגה על פי הגהות הגר"א שממוהר"ר מרדכי במוהר"ר דובער כמבואר בפתיחה.</w:t>
      </w:r>
    </w:p>
  </w:footnote>
  <w:footnote w:id="1618">
    <w:p w:rsidR="00A13282" w:rsidRDefault="00A13282">
      <w:pPr>
        <w:pStyle w:val="a5"/>
        <w:rPr>
          <w:rtl/>
        </w:rPr>
      </w:pPr>
      <w:r>
        <w:rPr>
          <w:rStyle w:val="a7"/>
          <w:rtl/>
        </w:rPr>
        <w:footnoteRef/>
      </w:r>
      <w:r>
        <w:rPr>
          <w:rtl/>
        </w:rPr>
        <w:t xml:space="preserve"> </w:t>
      </w:r>
      <w:r>
        <w:rPr>
          <w:rFonts w:ascii="Arial"/>
          <w:b/>
          <w:bCs/>
          <w:sz w:val="38"/>
          <w:rtl/>
        </w:rPr>
        <w:t>בשמא סתים כו'.</w:t>
      </w:r>
      <w:r>
        <w:rPr>
          <w:rFonts w:ascii="Arial"/>
          <w:sz w:val="38"/>
          <w:rtl/>
        </w:rPr>
        <w:t xml:space="preserve"> שמילוי אלפין נקרא שמא מפרש כידוע, שהוא למטה בז"ת, וזה - בשלש ראשונות הנסתרות כמו שאומר להלן:</w:t>
      </w:r>
    </w:p>
  </w:footnote>
  <w:footnote w:id="1619">
    <w:p w:rsidR="00A13282" w:rsidRDefault="00A13282">
      <w:pPr>
        <w:pStyle w:val="a5"/>
        <w:rPr>
          <w:rtl/>
        </w:rPr>
      </w:pPr>
      <w:r>
        <w:rPr>
          <w:rStyle w:val="a7"/>
          <w:rtl/>
        </w:rPr>
        <w:footnoteRef/>
      </w:r>
      <w:r>
        <w:rPr>
          <w:rtl/>
        </w:rPr>
        <w:t xml:space="preserve"> </w:t>
      </w:r>
      <w:r>
        <w:rPr>
          <w:rFonts w:ascii="Arial"/>
          <w:b/>
          <w:bCs/>
          <w:sz w:val="38"/>
          <w:rtl/>
        </w:rPr>
        <w:t>ל' מעלות אינון ודאי.</w:t>
      </w:r>
      <w:r>
        <w:rPr>
          <w:rFonts w:ascii="Arial"/>
          <w:sz w:val="38"/>
          <w:rtl/>
        </w:rPr>
        <w:t xml:space="preserve"> רוצה לומר כמו שאמרו (אבות ו ה) והמלכות ניקנית בשלושים מעלות:</w:t>
      </w:r>
    </w:p>
  </w:footnote>
  <w:footnote w:id="1620">
    <w:p w:rsidR="00A13282" w:rsidRDefault="00A13282">
      <w:pPr>
        <w:pStyle w:val="a5"/>
        <w:rPr>
          <w:rtl/>
        </w:rPr>
      </w:pPr>
      <w:r>
        <w:rPr>
          <w:rStyle w:val="a7"/>
          <w:rtl/>
        </w:rPr>
        <w:footnoteRef/>
      </w:r>
      <w:r>
        <w:rPr>
          <w:rtl/>
        </w:rPr>
        <w:t xml:space="preserve"> </w:t>
      </w:r>
      <w:r>
        <w:rPr>
          <w:rFonts w:ascii="Arial"/>
          <w:b/>
          <w:bCs/>
          <w:sz w:val="38"/>
          <w:rtl/>
        </w:rPr>
        <w:t>אינון תלתין דרגין דבהון כו'.</w:t>
      </w:r>
      <w:r>
        <w:rPr>
          <w:rFonts w:ascii="Arial"/>
          <w:sz w:val="38"/>
          <w:rtl/>
        </w:rPr>
        <w:t xml:space="preserve"> רוצה לומר שלש מדרגות (סלקא ז"א ואו"א) וכל אחד כלול מעשר:</w:t>
      </w:r>
    </w:p>
  </w:footnote>
  <w:footnote w:id="1621">
    <w:p w:rsidR="00A13282" w:rsidRDefault="00A13282">
      <w:pPr>
        <w:pStyle w:val="a5"/>
        <w:rPr>
          <w:rtl/>
        </w:rPr>
      </w:pPr>
      <w:r>
        <w:rPr>
          <w:rStyle w:val="a7"/>
          <w:rtl/>
        </w:rPr>
        <w:footnoteRef/>
      </w:r>
      <w:r>
        <w:rPr>
          <w:rtl/>
        </w:rPr>
        <w:t xml:space="preserve"> </w:t>
      </w:r>
      <w:r>
        <w:rPr>
          <w:rFonts w:ascii="Arial"/>
          <w:b/>
          <w:bCs/>
          <w:sz w:val="38"/>
          <w:rtl/>
        </w:rPr>
        <w:t>(סלקא לגבי אבא.</w:t>
      </w:r>
      <w:r>
        <w:rPr>
          <w:rFonts w:ascii="Arial"/>
          <w:sz w:val="38"/>
          <w:rtl/>
        </w:rPr>
        <w:t xml:space="preserve"> דמשם אתבניאת כמו שכתוב (משלי כד ג) בחכמה יבנה בית כמו שאומר להלן):</w:t>
      </w:r>
    </w:p>
  </w:footnote>
  <w:footnote w:id="1622">
    <w:p w:rsidR="00A13282" w:rsidRDefault="00A13282">
      <w:pPr>
        <w:pStyle w:val="a5"/>
        <w:rPr>
          <w:rtl/>
        </w:rPr>
      </w:pPr>
      <w:r>
        <w:rPr>
          <w:rStyle w:val="a7"/>
          <w:rtl/>
        </w:rPr>
        <w:footnoteRef/>
      </w:r>
      <w:r>
        <w:rPr>
          <w:rtl/>
        </w:rPr>
        <w:t xml:space="preserve"> </w:t>
      </w:r>
      <w:r>
        <w:rPr>
          <w:rFonts w:ascii="Arial"/>
          <w:b/>
          <w:bCs/>
          <w:sz w:val="38"/>
          <w:rtl/>
        </w:rPr>
        <w:t>צהלי קולך בת גלים.</w:t>
      </w:r>
      <w:r>
        <w:rPr>
          <w:rFonts w:ascii="Arial"/>
          <w:sz w:val="38"/>
          <w:rtl/>
        </w:rPr>
        <w:t xml:space="preserve"> רוצה לומר בת גלים - מלכות כמו שמפרש והולך, צהלי בקולך - עמודא דאמצעיתא כמו שאומר לקמן דסליק בך:</w:t>
      </w:r>
    </w:p>
  </w:footnote>
  <w:footnote w:id="1623">
    <w:p w:rsidR="00A13282" w:rsidRDefault="00A13282">
      <w:pPr>
        <w:pStyle w:val="a5"/>
        <w:rPr>
          <w:rtl/>
        </w:rPr>
      </w:pPr>
      <w:r>
        <w:rPr>
          <w:rStyle w:val="a7"/>
          <w:rtl/>
        </w:rPr>
        <w:footnoteRef/>
      </w:r>
      <w:r>
        <w:rPr>
          <w:rtl/>
        </w:rPr>
        <w:t xml:space="preserve"> </w:t>
      </w:r>
      <w:r>
        <w:rPr>
          <w:rFonts w:ascii="Arial"/>
          <w:b/>
          <w:bCs/>
          <w:sz w:val="38"/>
          <w:rtl/>
        </w:rPr>
        <w:t>בת עשרה גלגלים.</w:t>
      </w:r>
      <w:r>
        <w:rPr>
          <w:rFonts w:ascii="Arial"/>
          <w:sz w:val="38"/>
          <w:rtl/>
        </w:rPr>
        <w:t xml:space="preserve"> רוצה לומר גלגלים הם ספירות של חכמה, שגלגל הוא י', ושם הוא עשר גלגלים - עשר ספירות של חכמה, ששם עשר ספירות בלי מה כידוע והן עשרה גלגלים שבכסא מסטרא דחכמה:</w:t>
      </w:r>
    </w:p>
  </w:footnote>
  <w:footnote w:id="1624">
    <w:p w:rsidR="00A13282" w:rsidRDefault="00A13282">
      <w:pPr>
        <w:pStyle w:val="a5"/>
        <w:rPr>
          <w:rtl/>
        </w:rPr>
      </w:pPr>
      <w:r>
        <w:rPr>
          <w:rStyle w:val="a7"/>
          <w:rtl/>
        </w:rPr>
        <w:footnoteRef/>
      </w:r>
      <w:r>
        <w:rPr>
          <w:rtl/>
        </w:rPr>
        <w:t xml:space="preserve"> </w:t>
      </w:r>
      <w:r>
        <w:rPr>
          <w:rFonts w:ascii="Arial"/>
          <w:b/>
          <w:bCs/>
          <w:sz w:val="38"/>
          <w:rtl/>
        </w:rPr>
        <w:t>דקולו סלקא כגלי ימא.</w:t>
      </w:r>
      <w:r>
        <w:rPr>
          <w:rFonts w:ascii="Arial"/>
          <w:sz w:val="38"/>
          <w:rtl/>
        </w:rPr>
        <w:t xml:space="preserve"> רוצה לומר כמו שהגלין מגביהין והולכין כן אלו מוסיפין והולכין כמו שאמרו (סוכה נא ע"ב) אפיק שפה ועייל שפה דמיחזי כאדותא דימא, ורוצה לומר זה שאומר קולך בת גלים:</w:t>
      </w:r>
    </w:p>
  </w:footnote>
  <w:footnote w:id="1625">
    <w:p w:rsidR="00A13282" w:rsidRDefault="00A13282">
      <w:pPr>
        <w:pStyle w:val="a5"/>
        <w:rPr>
          <w:rtl/>
        </w:rPr>
      </w:pPr>
      <w:r>
        <w:rPr>
          <w:rStyle w:val="a7"/>
          <w:rtl/>
        </w:rPr>
        <w:footnoteRef/>
      </w:r>
      <w:r>
        <w:rPr>
          <w:rtl/>
        </w:rPr>
        <w:t xml:space="preserve"> </w:t>
      </w:r>
      <w:r>
        <w:rPr>
          <w:rFonts w:ascii="Arial"/>
          <w:b/>
          <w:bCs/>
          <w:sz w:val="38"/>
          <w:rtl/>
        </w:rPr>
        <w:t>וגלי ימא דלעילא כו'.</w:t>
      </w:r>
      <w:r>
        <w:rPr>
          <w:rFonts w:ascii="Arial"/>
          <w:sz w:val="38"/>
          <w:rtl/>
        </w:rPr>
        <w:t xml:space="preserve"> רוצה לומר והוא נגד שיר פשוט כו' שעולה לעשר כנ"ל:</w:t>
      </w:r>
    </w:p>
  </w:footnote>
  <w:footnote w:id="1626">
    <w:p w:rsidR="00A13282" w:rsidRDefault="00A13282">
      <w:pPr>
        <w:pStyle w:val="a5"/>
        <w:rPr>
          <w:rtl/>
        </w:rPr>
      </w:pPr>
      <w:r>
        <w:rPr>
          <w:rStyle w:val="a7"/>
          <w:rtl/>
        </w:rPr>
        <w:footnoteRef/>
      </w:r>
      <w:r>
        <w:rPr>
          <w:rtl/>
        </w:rPr>
        <w:t xml:space="preserve"> </w:t>
      </w:r>
      <w:r>
        <w:rPr>
          <w:rFonts w:ascii="Arial"/>
          <w:b/>
          <w:bCs/>
          <w:sz w:val="38"/>
          <w:rtl/>
        </w:rPr>
        <w:t>דסליק יקו"ק בשיר כו'.</w:t>
      </w:r>
      <w:r>
        <w:rPr>
          <w:rFonts w:ascii="Arial"/>
          <w:sz w:val="38"/>
          <w:rtl/>
        </w:rPr>
        <w:t xml:space="preserve"> כמו שאומר לעיל בהקדמה שעשר גלגלים הן מילוי דאלפין, וד' חיון הם ד' אותיות הוי"ה עיין שם:</w:t>
      </w:r>
    </w:p>
  </w:footnote>
  <w:footnote w:id="1627">
    <w:p w:rsidR="00A13282" w:rsidRDefault="00A13282">
      <w:pPr>
        <w:pStyle w:val="a5"/>
        <w:rPr>
          <w:rtl/>
        </w:rPr>
      </w:pPr>
      <w:r>
        <w:rPr>
          <w:rStyle w:val="a7"/>
          <w:rtl/>
        </w:rPr>
        <w:footnoteRef/>
      </w:r>
      <w:r>
        <w:rPr>
          <w:rtl/>
        </w:rPr>
        <w:t xml:space="preserve"> </w:t>
      </w:r>
      <w:r>
        <w:rPr>
          <w:rFonts w:ascii="Arial"/>
          <w:b/>
          <w:bCs/>
          <w:sz w:val="38"/>
          <w:rtl/>
        </w:rPr>
        <w:t>בשיר פשוט כו'.</w:t>
      </w:r>
      <w:r>
        <w:rPr>
          <w:rFonts w:ascii="Arial"/>
          <w:sz w:val="38"/>
          <w:rtl/>
        </w:rPr>
        <w:t xml:space="preserve"> מפרש האיך הוא בכנור, ואמר שיר פשוט כו', דהניגון הוא מורכב מה' נימין שבכנור: ואם הוא משתי נימין נקרא שיר פשוט, שפחות משתי נימין אי אפשר, ומשלש נימין נקרא שיר כפול, ומארבע - משולש, ומחמש - מרובע, והן גם כן עולין לעשר:</w:t>
      </w:r>
    </w:p>
  </w:footnote>
  <w:footnote w:id="1628">
    <w:p w:rsidR="00A13282" w:rsidRDefault="00A13282">
      <w:pPr>
        <w:pStyle w:val="a5"/>
        <w:rPr>
          <w:rtl/>
        </w:rPr>
      </w:pPr>
      <w:r>
        <w:rPr>
          <w:rStyle w:val="a7"/>
          <w:rtl/>
        </w:rPr>
        <w:footnoteRef/>
      </w:r>
      <w:r>
        <w:rPr>
          <w:rtl/>
        </w:rPr>
        <w:t xml:space="preserve"> </w:t>
      </w:r>
      <w:r>
        <w:rPr>
          <w:rFonts w:ascii="Arial"/>
          <w:b/>
          <w:bCs/>
          <w:sz w:val="38"/>
          <w:rtl/>
        </w:rPr>
        <w:t>ידיו גלילי כו'.</w:t>
      </w:r>
      <w:r>
        <w:rPr>
          <w:rFonts w:ascii="Arial"/>
          <w:sz w:val="38"/>
          <w:rtl/>
        </w:rPr>
        <w:t xml:space="preserve"> רוצה לומר לשון גלגלים כמו שמפרש והולך:</w:t>
      </w:r>
    </w:p>
  </w:footnote>
  <w:footnote w:id="1629">
    <w:p w:rsidR="00A13282" w:rsidRDefault="00A13282">
      <w:pPr>
        <w:pStyle w:val="a5"/>
        <w:rPr>
          <w:rtl/>
        </w:rPr>
      </w:pPr>
      <w:r>
        <w:rPr>
          <w:rStyle w:val="a7"/>
          <w:rtl/>
        </w:rPr>
        <w:footnoteRef/>
      </w:r>
      <w:r>
        <w:rPr>
          <w:rtl/>
        </w:rPr>
        <w:t xml:space="preserve"> </w:t>
      </w:r>
      <w:r>
        <w:rPr>
          <w:rFonts w:ascii="Arial"/>
          <w:b/>
          <w:bCs/>
          <w:sz w:val="38"/>
          <w:rtl/>
        </w:rPr>
        <w:t>בתרין דרועין כו'.</w:t>
      </w:r>
      <w:r>
        <w:rPr>
          <w:rFonts w:ascii="Arial"/>
          <w:sz w:val="38"/>
          <w:rtl/>
        </w:rPr>
        <w:t xml:space="preserve"> רוצה לומר בתרשיש - אותיות בתרי שש, ורוצה לומר שידיו של עמודא דאמצעיתא ממולאים בידיה, שהוא סליק בהן והיא סלקא בידיו כמו שמפרש והולך:</w:t>
      </w:r>
    </w:p>
  </w:footnote>
  <w:footnote w:id="1630">
    <w:p w:rsidR="00A13282" w:rsidRDefault="00A13282">
      <w:pPr>
        <w:pStyle w:val="a5"/>
        <w:rPr>
          <w:rtl/>
        </w:rPr>
      </w:pPr>
      <w:r>
        <w:rPr>
          <w:rStyle w:val="a7"/>
          <w:rtl/>
        </w:rPr>
        <w:footnoteRef/>
      </w:r>
      <w:r>
        <w:rPr>
          <w:rtl/>
        </w:rPr>
        <w:t xml:space="preserve"> </w:t>
      </w:r>
      <w:r>
        <w:rPr>
          <w:rFonts w:ascii="Arial"/>
          <w:b/>
          <w:bCs/>
          <w:sz w:val="38"/>
          <w:rtl/>
        </w:rPr>
        <w:t>שש מעלות לכסא.</w:t>
      </w:r>
      <w:r>
        <w:rPr>
          <w:rFonts w:ascii="Arial"/>
          <w:sz w:val="38"/>
          <w:rtl/>
        </w:rPr>
        <w:t xml:space="preserve"> רוצה לומר שנאמר אצל שלמה (מלכים א י יט) שהיתה דוגמת כסא הכבוד כמו שכתוב (דברי הימים א כט כג) וישב שלמה על כסא ה':</w:t>
      </w:r>
    </w:p>
  </w:footnote>
  <w:footnote w:id="1631">
    <w:p w:rsidR="00A13282" w:rsidRDefault="00A13282">
      <w:pPr>
        <w:pStyle w:val="a5"/>
        <w:rPr>
          <w:rtl/>
        </w:rPr>
      </w:pPr>
      <w:r>
        <w:rPr>
          <w:rStyle w:val="a7"/>
          <w:rtl/>
        </w:rPr>
        <w:footnoteRef/>
      </w:r>
      <w:r>
        <w:rPr>
          <w:rtl/>
        </w:rPr>
        <w:t xml:space="preserve"> </w:t>
      </w:r>
      <w:r>
        <w:rPr>
          <w:rFonts w:ascii="Arial"/>
          <w:b/>
          <w:bCs/>
          <w:sz w:val="38"/>
          <w:rtl/>
        </w:rPr>
        <w:t>בגדפייהו.</w:t>
      </w:r>
      <w:r>
        <w:rPr>
          <w:rFonts w:ascii="Arial"/>
          <w:sz w:val="38"/>
          <w:rtl/>
        </w:rPr>
        <w:t xml:space="preserve"> רוצה לומר שלהם שש כנפים, סליק בהון ו' על שית דרגין, כמו שמפרש והולך, ושרפים הן בכסא:</w:t>
      </w:r>
    </w:p>
  </w:footnote>
  <w:footnote w:id="1632">
    <w:p w:rsidR="00A13282" w:rsidRDefault="00A13282">
      <w:pPr>
        <w:pStyle w:val="a5"/>
        <w:rPr>
          <w:rtl/>
        </w:rPr>
      </w:pPr>
      <w:r>
        <w:rPr>
          <w:rStyle w:val="a7"/>
          <w:rtl/>
        </w:rPr>
        <w:footnoteRef/>
      </w:r>
      <w:r>
        <w:rPr>
          <w:rtl/>
        </w:rPr>
        <w:t xml:space="preserve"> </w:t>
      </w:r>
      <w:r>
        <w:rPr>
          <w:rFonts w:ascii="Arial"/>
          <w:b/>
          <w:bCs/>
          <w:sz w:val="38"/>
          <w:rtl/>
        </w:rPr>
        <w:t>כי עוף השמים כו'.</w:t>
      </w:r>
      <w:r>
        <w:rPr>
          <w:rFonts w:ascii="Arial"/>
          <w:sz w:val="38"/>
          <w:rtl/>
        </w:rPr>
        <w:t xml:space="preserve"> רוצה לומר שרפים, שנאמר (ישעיהו ו ב) ובשתים יעופף, והן עוף השמים - ו', שנקרא שמים, יוליך את הקול דקריאת שמע, ו' - עמודא דאמצעיתא, וזה שאומר צהלי קולך כו' כנ"ל:</w:t>
      </w:r>
    </w:p>
  </w:footnote>
  <w:footnote w:id="1633">
    <w:p w:rsidR="00A13282" w:rsidRDefault="00A13282">
      <w:pPr>
        <w:pStyle w:val="a5"/>
        <w:rPr>
          <w:rtl/>
        </w:rPr>
      </w:pPr>
      <w:r>
        <w:rPr>
          <w:rStyle w:val="a7"/>
          <w:rtl/>
        </w:rPr>
        <w:footnoteRef/>
      </w:r>
      <w:r>
        <w:rPr>
          <w:rtl/>
        </w:rPr>
        <w:t xml:space="preserve"> </w:t>
      </w:r>
      <w:r>
        <w:rPr>
          <w:rFonts w:ascii="Arial"/>
          <w:b/>
          <w:bCs/>
          <w:sz w:val="38"/>
          <w:rtl/>
        </w:rPr>
        <w:t>דאיהו ו'.</w:t>
      </w:r>
      <w:r>
        <w:rPr>
          <w:rFonts w:ascii="Arial"/>
          <w:sz w:val="38"/>
          <w:rtl/>
        </w:rPr>
        <w:t xml:space="preserve"> רוצה לומר עמודא דאמצעיתא כולל חו"ג כמו שאומר לעיל בהקדמה בסופו:</w:t>
      </w:r>
    </w:p>
  </w:footnote>
  <w:footnote w:id="1634">
    <w:p w:rsidR="00A13282" w:rsidRDefault="00A13282">
      <w:pPr>
        <w:pStyle w:val="a5"/>
        <w:rPr>
          <w:rtl/>
        </w:rPr>
      </w:pPr>
      <w:r>
        <w:rPr>
          <w:rStyle w:val="a7"/>
          <w:rtl/>
        </w:rPr>
        <w:footnoteRef/>
      </w:r>
      <w:r>
        <w:rPr>
          <w:rtl/>
        </w:rPr>
        <w:t xml:space="preserve"> </w:t>
      </w:r>
      <w:r>
        <w:rPr>
          <w:rFonts w:ascii="Arial"/>
          <w:b/>
          <w:bCs/>
          <w:sz w:val="38"/>
          <w:rtl/>
        </w:rPr>
        <w:t>ועלייהו אתמר שוקיו כו'.</w:t>
      </w:r>
      <w:r>
        <w:rPr>
          <w:rFonts w:ascii="Arial"/>
          <w:sz w:val="38"/>
          <w:rtl/>
        </w:rPr>
        <w:t xml:space="preserve"> רוצה לומר שש - הוא שית פרקין שבשוקיים, ובדרועין היא סלקא בשית, ובשוקין נחתא בשית:</w:t>
      </w:r>
    </w:p>
  </w:footnote>
  <w:footnote w:id="1635">
    <w:p w:rsidR="00A13282" w:rsidRDefault="00A13282">
      <w:pPr>
        <w:pStyle w:val="a5"/>
        <w:rPr>
          <w:rtl/>
        </w:rPr>
      </w:pPr>
      <w:r>
        <w:rPr>
          <w:rStyle w:val="a7"/>
          <w:rtl/>
        </w:rPr>
        <w:footnoteRef/>
      </w:r>
      <w:r>
        <w:rPr>
          <w:rtl/>
        </w:rPr>
        <w:t xml:space="preserve"> </w:t>
      </w:r>
      <w:r>
        <w:rPr>
          <w:rFonts w:ascii="Arial"/>
          <w:b/>
          <w:bCs/>
          <w:sz w:val="38"/>
          <w:rtl/>
        </w:rPr>
        <w:t>וניגונא כד סליק כו'.</w:t>
      </w:r>
      <w:r>
        <w:rPr>
          <w:rFonts w:ascii="Arial"/>
          <w:sz w:val="38"/>
          <w:rtl/>
        </w:rPr>
        <w:t xml:space="preserve"> רוצה לומר שהניגון הולך ומגביה כידוע לחכמי הניגון ואח"כ הולך ויורד, ומעלתו הן ששה מדרגות, כל אחד מגביה על חבירו, וכן בירידה. וזהו קול ו', דסלקא בשית ונחתא בשית:</w:t>
      </w:r>
    </w:p>
  </w:footnote>
  <w:footnote w:id="1636">
    <w:p w:rsidR="00A13282" w:rsidRDefault="00A13282">
      <w:pPr>
        <w:pStyle w:val="a5"/>
        <w:rPr>
          <w:rtl/>
        </w:rPr>
      </w:pPr>
      <w:r>
        <w:rPr>
          <w:rStyle w:val="a7"/>
          <w:rtl/>
        </w:rPr>
        <w:footnoteRef/>
      </w:r>
      <w:r>
        <w:rPr>
          <w:rtl/>
        </w:rPr>
        <w:t xml:space="preserve"> </w:t>
      </w:r>
      <w:r>
        <w:rPr>
          <w:rFonts w:ascii="Arial"/>
          <w:b/>
          <w:bCs/>
          <w:sz w:val="38"/>
          <w:rtl/>
        </w:rPr>
        <w:t>ועשרה גלגלין כו'.</w:t>
      </w:r>
      <w:r>
        <w:rPr>
          <w:rFonts w:ascii="Arial"/>
          <w:sz w:val="38"/>
          <w:rtl/>
        </w:rPr>
        <w:t xml:space="preserve"> כאן מפרש ד' האותיות של השם:</w:t>
      </w:r>
    </w:p>
  </w:footnote>
  <w:footnote w:id="1637">
    <w:p w:rsidR="00A13282" w:rsidRDefault="00A13282">
      <w:pPr>
        <w:pStyle w:val="a5"/>
        <w:rPr>
          <w:rtl/>
        </w:rPr>
      </w:pPr>
      <w:r>
        <w:rPr>
          <w:rStyle w:val="a7"/>
          <w:rtl/>
        </w:rPr>
        <w:footnoteRef/>
      </w:r>
      <w:r>
        <w:rPr>
          <w:rtl/>
        </w:rPr>
        <w:t xml:space="preserve"> </w:t>
      </w:r>
      <w:r>
        <w:rPr>
          <w:rFonts w:ascii="Arial"/>
          <w:b/>
          <w:bCs/>
          <w:sz w:val="38"/>
          <w:rtl/>
        </w:rPr>
        <w:t>חמש בחמש.</w:t>
      </w:r>
      <w:r>
        <w:rPr>
          <w:rFonts w:ascii="Arial"/>
          <w:sz w:val="38"/>
          <w:rtl/>
        </w:rPr>
        <w:t xml:space="preserve"> רוצה לומר חמש אצבעאן בחמש נימין, שהן ה' ה' של השם, דנפקין מי' והן סלקין ביו"ד של השם דרך ו' שהוא סלם וזה שאומר דסלקין ביו"ד בשית כו'. רוצה לומר דסלקין לחכמה דרך עמודא דאמצעיתא:</w:t>
      </w:r>
    </w:p>
  </w:footnote>
  <w:footnote w:id="1638">
    <w:p w:rsidR="00A13282" w:rsidRDefault="00A13282">
      <w:pPr>
        <w:pStyle w:val="a5"/>
        <w:rPr>
          <w:rtl/>
        </w:rPr>
      </w:pPr>
      <w:r>
        <w:rPr>
          <w:rStyle w:val="a7"/>
          <w:rtl/>
        </w:rPr>
        <w:footnoteRef/>
      </w:r>
      <w:r>
        <w:rPr>
          <w:rtl/>
        </w:rPr>
        <w:t xml:space="preserve"> </w:t>
      </w:r>
      <w:r>
        <w:rPr>
          <w:rFonts w:ascii="Arial"/>
          <w:b/>
          <w:bCs/>
          <w:sz w:val="38"/>
          <w:rtl/>
        </w:rPr>
        <w:t>בחמש נימין דכנור.</w:t>
      </w:r>
      <w:r>
        <w:rPr>
          <w:rFonts w:ascii="Arial"/>
          <w:sz w:val="38"/>
          <w:rtl/>
        </w:rPr>
        <w:t xml:space="preserve"> עכשיו מפרש הכל, האיך סלקא כל זה בשיר של כנור. ואמר, בחמש נימין, וסלקא בשית דרגין דניגונא, כמו שאומר לקמן, וכל דרגא הוא בחמש נימין, והן תלתין דרגין:</w:t>
      </w:r>
    </w:p>
  </w:footnote>
  <w:footnote w:id="1639">
    <w:p w:rsidR="00A13282" w:rsidRDefault="00A13282">
      <w:pPr>
        <w:pStyle w:val="a5"/>
        <w:rPr>
          <w:rtl/>
        </w:rPr>
      </w:pPr>
      <w:r>
        <w:rPr>
          <w:rStyle w:val="a7"/>
          <w:rtl/>
        </w:rPr>
        <w:footnoteRef/>
      </w:r>
      <w:r>
        <w:rPr>
          <w:rtl/>
        </w:rPr>
        <w:t xml:space="preserve"> </w:t>
      </w:r>
      <w:r>
        <w:rPr>
          <w:rFonts w:ascii="Arial"/>
          <w:b/>
          <w:bCs/>
          <w:sz w:val="38"/>
          <w:rtl/>
        </w:rPr>
        <w:t>דאינון חמש אזכרות כו'.</w:t>
      </w:r>
      <w:r>
        <w:rPr>
          <w:rFonts w:ascii="Arial"/>
          <w:sz w:val="38"/>
          <w:rtl/>
        </w:rPr>
        <w:t xml:space="preserve"> דנגון הוא בסוד הוי"ה כמו שאומר לקמן לקבל עשר אצבעאן כו':</w:t>
      </w:r>
    </w:p>
  </w:footnote>
  <w:footnote w:id="1640">
    <w:p w:rsidR="00A13282" w:rsidRDefault="00A13282">
      <w:pPr>
        <w:pStyle w:val="a5"/>
        <w:rPr>
          <w:rtl/>
        </w:rPr>
      </w:pPr>
      <w:r>
        <w:rPr>
          <w:rStyle w:val="a7"/>
          <w:rtl/>
        </w:rPr>
        <w:footnoteRef/>
      </w:r>
      <w:r>
        <w:rPr>
          <w:rtl/>
        </w:rPr>
        <w:t xml:space="preserve"> </w:t>
      </w:r>
      <w:r>
        <w:rPr>
          <w:rFonts w:ascii="Arial"/>
          <w:b/>
          <w:bCs/>
          <w:sz w:val="38"/>
          <w:rtl/>
        </w:rPr>
        <w:t>ואיהו כגוונא דסלם כו'.</w:t>
      </w:r>
      <w:r>
        <w:rPr>
          <w:rFonts w:ascii="Arial"/>
          <w:sz w:val="38"/>
          <w:rtl/>
        </w:rPr>
        <w:t xml:space="preserve"> רוצה לומר וא"ו:</w:t>
      </w:r>
    </w:p>
  </w:footnote>
  <w:footnote w:id="1641">
    <w:p w:rsidR="00A13282" w:rsidRDefault="00A13282">
      <w:pPr>
        <w:pStyle w:val="a5"/>
        <w:rPr>
          <w:rtl/>
        </w:rPr>
      </w:pPr>
      <w:r>
        <w:rPr>
          <w:rStyle w:val="a7"/>
          <w:rtl/>
        </w:rPr>
        <w:footnoteRef/>
      </w:r>
      <w:r>
        <w:rPr>
          <w:rtl/>
        </w:rPr>
        <w:t xml:space="preserve"> </w:t>
      </w:r>
      <w:r>
        <w:rPr>
          <w:rFonts w:ascii="Arial"/>
          <w:b/>
          <w:bCs/>
          <w:sz w:val="38"/>
          <w:rtl/>
        </w:rPr>
        <w:t>והנה כו'.</w:t>
      </w:r>
      <w:r>
        <w:rPr>
          <w:rFonts w:ascii="Arial"/>
          <w:sz w:val="38"/>
          <w:rtl/>
        </w:rPr>
        <w:t xml:space="preserve"> שתי ההי"ן שנקראות אלקים:</w:t>
      </w:r>
    </w:p>
  </w:footnote>
  <w:footnote w:id="1642">
    <w:p w:rsidR="00A13282" w:rsidRDefault="00A13282">
      <w:pPr>
        <w:pStyle w:val="a5"/>
        <w:rPr>
          <w:rtl/>
        </w:rPr>
      </w:pPr>
      <w:r>
        <w:rPr>
          <w:rStyle w:val="a7"/>
          <w:rtl/>
        </w:rPr>
        <w:footnoteRef/>
      </w:r>
      <w:r>
        <w:rPr>
          <w:rtl/>
        </w:rPr>
        <w:t xml:space="preserve"> </w:t>
      </w:r>
      <w:r>
        <w:rPr>
          <w:rFonts w:ascii="Arial"/>
          <w:b/>
          <w:bCs/>
          <w:sz w:val="38"/>
          <w:rtl/>
        </w:rPr>
        <w:t>וכולא כו'.</w:t>
      </w:r>
      <w:r>
        <w:rPr>
          <w:rFonts w:ascii="Arial"/>
          <w:sz w:val="38"/>
          <w:rtl/>
        </w:rPr>
        <w:t xml:space="preserve"> רוצה לומר, שאמר לעיל י' גלגלין - שמא מפרש, ד' חיון - יקו"ק, וכולם הם י"ד, עשרה ניגונין ושיר פשוט כו', וזה שאומר מנגן ביד, וזהו דוד - גימטריה י"ד:</w:t>
      </w:r>
    </w:p>
  </w:footnote>
  <w:footnote w:id="1643">
    <w:p w:rsidR="00A13282" w:rsidRDefault="00A13282">
      <w:pPr>
        <w:pStyle w:val="a5"/>
        <w:rPr>
          <w:rtl/>
        </w:rPr>
      </w:pPr>
      <w:r>
        <w:rPr>
          <w:rStyle w:val="a7"/>
          <w:rtl/>
        </w:rPr>
        <w:footnoteRef/>
      </w:r>
      <w:r>
        <w:rPr>
          <w:rtl/>
        </w:rPr>
        <w:t xml:space="preserve"> </w:t>
      </w:r>
      <w:r>
        <w:rPr>
          <w:rFonts w:ascii="Arial"/>
          <w:b/>
          <w:bCs/>
          <w:sz w:val="38"/>
          <w:rtl/>
        </w:rPr>
        <w:t>ו' איהו גופא כו'.</w:t>
      </w:r>
      <w:r>
        <w:rPr>
          <w:rFonts w:ascii="Arial"/>
          <w:sz w:val="38"/>
          <w:rtl/>
        </w:rPr>
        <w:t xml:space="preserve"> רוצה לומר עוף השמים שמוליך את הקול - כולל הוי"ה, וכן קלא דניגונא - כליל הוי"ה, והכל, שו' - עמודא דאמצעיתא, כלול הוי"ה כידוע, והוא קלא, וזה שאומר ביה סליק כו', וכן עוף השמים בדרגא דידיה. וכלל הענין, עשרה ניגונין - נגד י' של השם, עשר גלגלים, גלי ימא דבינה דאשתכחו מחכמה, והן עשרה גלגלים של הכסא ששם מקנן אמא בתלת ספירות, שש מעלות של הניגון שעולה ויורד, נגד ו' של השם, שש מעלות לכסא, שבהן עולים ויורדים מלאכי אלקים. ד' שירים: שיר פשוט כו', נגד ד' אותיות הוי"ה אחוריים, והן ד' עמודי הכסא, ד' חיון. ששה מעלות עם עמודים ד' - הן י', מילוי יו"ד, והכל יו"ד במלואו, חמש נימין בחמש אצבעאן - ה' ה' של השם, והכל עולה שלשים מעלות, והן ה' נימין בו' קלין - ל' כנ"ל. ויו"ד ה"ה היא מלכות דסלקא לחכמה, ה"ה ביו"ד, וכן עשרה ניגונין בד' שירים נגד י"ד אתוון של השם: י' גלגלים ד' חיון:</w:t>
      </w:r>
    </w:p>
  </w:footnote>
  <w:footnote w:id="1644">
    <w:p w:rsidR="00A13282" w:rsidRDefault="00A13282">
      <w:pPr>
        <w:pStyle w:val="a5"/>
        <w:rPr>
          <w:rtl/>
        </w:rPr>
      </w:pPr>
      <w:r>
        <w:rPr>
          <w:rStyle w:val="a7"/>
          <w:rtl/>
        </w:rPr>
        <w:footnoteRef/>
      </w:r>
      <w:r>
        <w:rPr>
          <w:rtl/>
        </w:rPr>
        <w:t xml:space="preserve"> </w:t>
      </w:r>
      <w:r>
        <w:rPr>
          <w:rFonts w:ascii="Arial"/>
          <w:b/>
          <w:bCs/>
          <w:sz w:val="38"/>
          <w:rtl/>
        </w:rPr>
        <w:t>ועוד ו' איהי כו'.</w:t>
      </w:r>
      <w:r>
        <w:rPr>
          <w:rFonts w:ascii="Arial"/>
          <w:sz w:val="38"/>
          <w:rtl/>
        </w:rPr>
        <w:t xml:space="preserve"> רוצה לומר שוא"ו כולל י"ד במנורה גם כן, כמו קלא דניגונא שכולל י"ד, ומנורה הוא גם כן בחכמה כידוע:</w:t>
      </w:r>
    </w:p>
  </w:footnote>
  <w:footnote w:id="1645">
    <w:p w:rsidR="00A13282" w:rsidRDefault="00A13282">
      <w:pPr>
        <w:pStyle w:val="a5"/>
        <w:rPr>
          <w:rtl/>
        </w:rPr>
      </w:pPr>
      <w:r>
        <w:rPr>
          <w:rStyle w:val="a7"/>
          <w:rtl/>
        </w:rPr>
        <w:footnoteRef/>
      </w:r>
      <w:r>
        <w:rPr>
          <w:rtl/>
        </w:rPr>
        <w:t xml:space="preserve"> </w:t>
      </w:r>
      <w:r>
        <w:rPr>
          <w:rFonts w:ascii="Arial"/>
          <w:b/>
          <w:bCs/>
          <w:sz w:val="38"/>
          <w:rtl/>
        </w:rPr>
        <w:t>שבעה ושבעה כו'.</w:t>
      </w:r>
      <w:r>
        <w:rPr>
          <w:rFonts w:ascii="Arial"/>
          <w:sz w:val="38"/>
          <w:rtl/>
        </w:rPr>
        <w:t xml:space="preserve"> רוצה לומר שמנורה הוא שבעה ו' עם י', ז', וז' ווי"ן הרי שבעה ושבעה, וזה שאומר שלשה קני מנורה מצד האחד ושלשה כו'. שי"ו באמצע, ושתי ההין משני הצדדים, כמו בעוף השמים דלעיל שתי גדפוי מצדדים:</w:t>
      </w:r>
    </w:p>
  </w:footnote>
  <w:footnote w:id="1646">
    <w:p w:rsidR="00A13282" w:rsidRDefault="00A13282">
      <w:pPr>
        <w:pStyle w:val="a5"/>
        <w:rPr>
          <w:rtl/>
        </w:rPr>
      </w:pPr>
      <w:r>
        <w:rPr>
          <w:rStyle w:val="a7"/>
          <w:rtl/>
        </w:rPr>
        <w:footnoteRef/>
      </w:r>
      <w:r>
        <w:rPr>
          <w:rtl/>
        </w:rPr>
        <w:t xml:space="preserve"> </w:t>
      </w:r>
      <w:r>
        <w:rPr>
          <w:rFonts w:ascii="Arial"/>
          <w:b/>
          <w:bCs/>
          <w:sz w:val="38"/>
          <w:rtl/>
        </w:rPr>
        <w:t>וסלקא ה' באות ו'.</w:t>
      </w:r>
      <w:r>
        <w:rPr>
          <w:rFonts w:ascii="Arial"/>
          <w:sz w:val="38"/>
          <w:rtl/>
        </w:rPr>
        <w:t xml:space="preserve"> ונכללת גם כן מו', שית תיבין דבשכמ"לו:</w:t>
      </w:r>
    </w:p>
  </w:footnote>
  <w:footnote w:id="1647">
    <w:p w:rsidR="00A13282" w:rsidRDefault="00A13282">
      <w:pPr>
        <w:pStyle w:val="a5"/>
        <w:rPr>
          <w:rtl/>
        </w:rPr>
      </w:pPr>
      <w:r>
        <w:rPr>
          <w:rStyle w:val="a7"/>
          <w:rtl/>
        </w:rPr>
        <w:footnoteRef/>
      </w:r>
      <w:r>
        <w:rPr>
          <w:rtl/>
        </w:rPr>
        <w:t xml:space="preserve"> </w:t>
      </w:r>
      <w:r>
        <w:rPr>
          <w:rFonts w:ascii="Arial"/>
          <w:b/>
          <w:bCs/>
          <w:sz w:val="38"/>
          <w:rtl/>
        </w:rPr>
        <w:t>ולבתר סליק כו'.</w:t>
      </w:r>
      <w:r>
        <w:rPr>
          <w:rFonts w:ascii="Arial"/>
          <w:sz w:val="38"/>
          <w:rtl/>
        </w:rPr>
        <w:t xml:space="preserve"> רוצה לומר ונכללין שניהם מששים וזהו שיר דסליק ליוד באות ו' כנ"ל:</w:t>
      </w:r>
    </w:p>
  </w:footnote>
  <w:footnote w:id="1648">
    <w:p w:rsidR="00A13282" w:rsidRDefault="00A13282">
      <w:pPr>
        <w:pStyle w:val="a5"/>
        <w:rPr>
          <w:rtl/>
        </w:rPr>
      </w:pPr>
      <w:r>
        <w:rPr>
          <w:rStyle w:val="a7"/>
          <w:rtl/>
        </w:rPr>
        <w:footnoteRef/>
      </w:r>
      <w:r>
        <w:rPr>
          <w:rtl/>
        </w:rPr>
        <w:t xml:space="preserve"> </w:t>
      </w:r>
      <w:r>
        <w:rPr>
          <w:rFonts w:ascii="Arial"/>
          <w:b/>
          <w:bCs/>
          <w:sz w:val="38"/>
          <w:rtl/>
        </w:rPr>
        <w:t>ואינון אתוון כו'.</w:t>
      </w:r>
      <w:r>
        <w:rPr>
          <w:rFonts w:ascii="Arial"/>
          <w:sz w:val="38"/>
          <w:rtl/>
        </w:rPr>
        <w:t xml:space="preserve"> עיין בשל"ה. וע"ה כתב שהן שש עשרה אותיות דקאמר בגמרא (ברכות טו ע"ב) בכל לבבך כו'. שמספר קטן גימטריה ששים:</w:t>
      </w:r>
    </w:p>
  </w:footnote>
  <w:footnote w:id="1649">
    <w:p w:rsidR="00A13282" w:rsidRDefault="00A13282">
      <w:pPr>
        <w:pStyle w:val="a5"/>
        <w:rPr>
          <w:rtl/>
        </w:rPr>
      </w:pPr>
      <w:r>
        <w:rPr>
          <w:rStyle w:val="a7"/>
          <w:rtl/>
        </w:rPr>
        <w:footnoteRef/>
      </w:r>
      <w:r>
        <w:rPr>
          <w:rtl/>
        </w:rPr>
        <w:t xml:space="preserve"> </w:t>
      </w:r>
      <w:r>
        <w:rPr>
          <w:rFonts w:ascii="Arial"/>
          <w:b/>
          <w:bCs/>
          <w:sz w:val="38"/>
          <w:rtl/>
        </w:rPr>
        <w:t>ריוח בין הדבקים.</w:t>
      </w:r>
      <w:r>
        <w:rPr>
          <w:rFonts w:ascii="Arial"/>
          <w:sz w:val="38"/>
          <w:rtl/>
        </w:rPr>
        <w:t xml:space="preserve"> שהן ו"ק דזו"נ שדבוקים באחוריים, ונותן ריוח זהו הנסירה להזדווג בפנים:</w:t>
      </w:r>
    </w:p>
  </w:footnote>
  <w:footnote w:id="1650">
    <w:p w:rsidR="00A13282" w:rsidRDefault="00A13282">
      <w:pPr>
        <w:pStyle w:val="a5"/>
        <w:rPr>
          <w:rtl/>
        </w:rPr>
      </w:pPr>
      <w:r>
        <w:rPr>
          <w:rStyle w:val="a7"/>
          <w:rtl/>
        </w:rPr>
        <w:footnoteRef/>
      </w:r>
      <w:r>
        <w:rPr>
          <w:rtl/>
        </w:rPr>
        <w:t xml:space="preserve"> </w:t>
      </w:r>
      <w:r>
        <w:rPr>
          <w:rFonts w:ascii="Arial"/>
          <w:b/>
          <w:bCs/>
          <w:sz w:val="38"/>
          <w:rtl/>
        </w:rPr>
        <w:t>ושלמה עלייהו כו'.</w:t>
      </w:r>
      <w:r>
        <w:rPr>
          <w:rFonts w:ascii="Arial"/>
          <w:sz w:val="38"/>
          <w:rtl/>
        </w:rPr>
        <w:t xml:space="preserve"> על ששים הדבקות שהן דכורין אמר ששים מגבורי ישראל דלעילא - עמודא דאמצעיתא, שנטרין מטתו וזה שאומר ואינון כו':</w:t>
      </w:r>
    </w:p>
  </w:footnote>
  <w:footnote w:id="1651">
    <w:p w:rsidR="00A13282" w:rsidRDefault="00A13282">
      <w:pPr>
        <w:pStyle w:val="a5"/>
        <w:rPr>
          <w:rtl/>
        </w:rPr>
      </w:pPr>
      <w:r>
        <w:rPr>
          <w:rStyle w:val="a7"/>
          <w:rtl/>
        </w:rPr>
        <w:footnoteRef/>
      </w:r>
      <w:r>
        <w:rPr>
          <w:rtl/>
        </w:rPr>
        <w:t xml:space="preserve"> </w:t>
      </w:r>
      <w:r>
        <w:rPr>
          <w:rFonts w:ascii="Arial"/>
          <w:b/>
          <w:bCs/>
          <w:sz w:val="38"/>
          <w:rtl/>
        </w:rPr>
        <w:t>ולקבלייהו כו'.</w:t>
      </w:r>
      <w:r>
        <w:rPr>
          <w:rFonts w:ascii="Arial"/>
          <w:sz w:val="38"/>
          <w:rtl/>
        </w:rPr>
        <w:t xml:space="preserve"> רוצה לומר הן נוקבין לקבל ששים דדכורין:</w:t>
      </w:r>
    </w:p>
  </w:footnote>
  <w:footnote w:id="1652">
    <w:p w:rsidR="00A13282" w:rsidRDefault="00A13282">
      <w:pPr>
        <w:pStyle w:val="a5"/>
        <w:rPr>
          <w:rtl/>
        </w:rPr>
      </w:pPr>
      <w:r>
        <w:rPr>
          <w:rStyle w:val="a7"/>
          <w:rtl/>
        </w:rPr>
        <w:footnoteRef/>
      </w:r>
      <w:r>
        <w:rPr>
          <w:rtl/>
        </w:rPr>
        <w:t xml:space="preserve"> </w:t>
      </w:r>
      <w:r>
        <w:rPr>
          <w:rFonts w:ascii="Arial"/>
          <w:b/>
          <w:bCs/>
          <w:sz w:val="38"/>
          <w:rtl/>
        </w:rPr>
        <w:t>בתיקו' כו'.</w:t>
      </w:r>
      <w:r>
        <w:rPr>
          <w:rFonts w:ascii="Arial"/>
          <w:sz w:val="38"/>
          <w:rtl/>
        </w:rPr>
        <w:t xml:space="preserve"> כנ"ל:</w:t>
      </w:r>
    </w:p>
  </w:footnote>
  <w:footnote w:id="1653">
    <w:p w:rsidR="00A13282" w:rsidRDefault="00A13282">
      <w:pPr>
        <w:pStyle w:val="a5"/>
        <w:rPr>
          <w:rtl/>
        </w:rPr>
      </w:pPr>
      <w:r>
        <w:rPr>
          <w:rStyle w:val="a7"/>
          <w:rtl/>
        </w:rPr>
        <w:footnoteRef/>
      </w:r>
      <w:r>
        <w:rPr>
          <w:rtl/>
        </w:rPr>
        <w:t xml:space="preserve"> </w:t>
      </w:r>
      <w:r>
        <w:rPr>
          <w:rFonts w:ascii="Arial"/>
          <w:b/>
          <w:bCs/>
          <w:sz w:val="38"/>
          <w:rtl/>
        </w:rPr>
        <w:t>דא סליק כו'.</w:t>
      </w:r>
      <w:r>
        <w:rPr>
          <w:rFonts w:ascii="Arial"/>
          <w:sz w:val="38"/>
          <w:rtl/>
        </w:rPr>
        <w:t xml:space="preserve"> רוצה לומר שנאמר ודמות פניהם, רוצה לומר של כלם, כמו שאומר לעיל:</w:t>
      </w:r>
    </w:p>
  </w:footnote>
  <w:footnote w:id="1654">
    <w:p w:rsidR="00A13282" w:rsidRDefault="00A13282">
      <w:pPr>
        <w:pStyle w:val="a5"/>
        <w:rPr>
          <w:rtl/>
        </w:rPr>
      </w:pPr>
      <w:r>
        <w:rPr>
          <w:rStyle w:val="a7"/>
          <w:rtl/>
        </w:rPr>
        <w:footnoteRef/>
      </w:r>
      <w:r>
        <w:rPr>
          <w:rtl/>
        </w:rPr>
        <w:t xml:space="preserve"> </w:t>
      </w:r>
      <w:r>
        <w:rPr>
          <w:rFonts w:ascii="Arial"/>
          <w:b/>
          <w:bCs/>
          <w:sz w:val="38"/>
          <w:rtl/>
        </w:rPr>
        <w:t>לארבעתם דא יקו"ק והכי שור והכי נשר.</w:t>
      </w:r>
      <w:r>
        <w:rPr>
          <w:rFonts w:ascii="Arial"/>
          <w:sz w:val="38"/>
          <w:rtl/>
        </w:rPr>
        <w:t xml:space="preserve"> רוצה לומר ד' פנים של כל אחד הן ד' אותיות הוי"ה כמו שאומר לעיל ג' הויות ובכולהו עשר אותיות, אדם, והן תלתין דרגין הנ"ל:</w:t>
      </w:r>
    </w:p>
  </w:footnote>
  <w:footnote w:id="1655">
    <w:p w:rsidR="00A13282" w:rsidRDefault="00A13282">
      <w:pPr>
        <w:pStyle w:val="a5"/>
        <w:rPr>
          <w:rtl/>
        </w:rPr>
      </w:pPr>
      <w:r>
        <w:rPr>
          <w:rStyle w:val="a7"/>
          <w:rtl/>
        </w:rPr>
        <w:footnoteRef/>
      </w:r>
      <w:r>
        <w:rPr>
          <w:rtl/>
        </w:rPr>
        <w:t xml:space="preserve"> </w:t>
      </w:r>
      <w:r>
        <w:rPr>
          <w:rFonts w:ascii="Arial"/>
          <w:b/>
          <w:bCs/>
          <w:sz w:val="38"/>
          <w:rtl/>
        </w:rPr>
        <w:t>כחוט השני כו'.</w:t>
      </w:r>
      <w:r>
        <w:rPr>
          <w:rFonts w:ascii="Arial"/>
          <w:sz w:val="38"/>
          <w:rtl/>
        </w:rPr>
        <w:t xml:space="preserve"> רוצה לומר שיר דילה:</w:t>
      </w:r>
    </w:p>
  </w:footnote>
  <w:footnote w:id="1656">
    <w:p w:rsidR="00A13282" w:rsidRDefault="00A13282">
      <w:pPr>
        <w:pStyle w:val="a5"/>
        <w:rPr>
          <w:rtl/>
        </w:rPr>
      </w:pPr>
      <w:r>
        <w:rPr>
          <w:rStyle w:val="a7"/>
          <w:rtl/>
        </w:rPr>
        <w:footnoteRef/>
      </w:r>
      <w:r>
        <w:rPr>
          <w:rtl/>
        </w:rPr>
        <w:t xml:space="preserve"> </w:t>
      </w:r>
      <w:r>
        <w:rPr>
          <w:rFonts w:ascii="Arial"/>
          <w:b/>
          <w:bCs/>
          <w:sz w:val="38"/>
          <w:rtl/>
        </w:rPr>
        <w:t>מה הקב"ה דן כו'.</w:t>
      </w:r>
      <w:r>
        <w:rPr>
          <w:rFonts w:ascii="Arial"/>
          <w:sz w:val="38"/>
          <w:rtl/>
        </w:rPr>
        <w:t xml:space="preserve"> בגמרא (ברכות י ע"א) הגירסה אינו כן אלא מה הקב"ה טהור אף הנשמה טהורה:</w:t>
      </w:r>
    </w:p>
  </w:footnote>
  <w:footnote w:id="1657">
    <w:p w:rsidR="00A13282" w:rsidRDefault="00A13282">
      <w:pPr>
        <w:pStyle w:val="a5"/>
        <w:rPr>
          <w:rtl/>
        </w:rPr>
      </w:pPr>
      <w:r>
        <w:rPr>
          <w:rStyle w:val="a7"/>
          <w:rtl/>
        </w:rPr>
        <w:footnoteRef/>
      </w:r>
      <w:r>
        <w:rPr>
          <w:rtl/>
        </w:rPr>
        <w:t xml:space="preserve"> </w:t>
      </w:r>
      <w:r>
        <w:rPr>
          <w:rFonts w:ascii="Arial"/>
          <w:b/>
          <w:bCs/>
          <w:sz w:val="38"/>
          <w:rtl/>
        </w:rPr>
        <w:t>נשמתא דנה כו'.</w:t>
      </w:r>
      <w:r>
        <w:rPr>
          <w:rFonts w:ascii="Arial"/>
          <w:sz w:val="38"/>
          <w:rtl/>
        </w:rPr>
        <w:t xml:space="preserve"> וזה שכתוב (בראשית ו ג) לא ידון רוחי באדם לעולם:</w:t>
      </w:r>
    </w:p>
  </w:footnote>
  <w:footnote w:id="1658">
    <w:p w:rsidR="00A13282" w:rsidRDefault="00A13282">
      <w:pPr>
        <w:pStyle w:val="a5"/>
        <w:rPr>
          <w:rtl/>
        </w:rPr>
      </w:pPr>
      <w:r>
        <w:rPr>
          <w:rStyle w:val="a7"/>
          <w:rtl/>
        </w:rPr>
        <w:footnoteRef/>
      </w:r>
      <w:r>
        <w:rPr>
          <w:rtl/>
        </w:rPr>
        <w:t xml:space="preserve"> </w:t>
      </w:r>
      <w:r>
        <w:rPr>
          <w:rFonts w:ascii="Arial"/>
          <w:b/>
          <w:bCs/>
          <w:sz w:val="38"/>
          <w:rtl/>
        </w:rPr>
        <w:t>דא בינה.</w:t>
      </w:r>
      <w:r>
        <w:rPr>
          <w:rFonts w:ascii="Arial"/>
          <w:sz w:val="38"/>
          <w:rtl/>
        </w:rPr>
        <w:t xml:space="preserve"> רוצה לומר עלה אמרו הקב"ה:</w:t>
      </w:r>
    </w:p>
  </w:footnote>
  <w:footnote w:id="1659">
    <w:p w:rsidR="00A13282" w:rsidRDefault="00A13282">
      <w:pPr>
        <w:pStyle w:val="a5"/>
        <w:rPr>
          <w:rtl/>
        </w:rPr>
      </w:pPr>
      <w:r>
        <w:rPr>
          <w:rStyle w:val="a7"/>
          <w:rtl/>
        </w:rPr>
        <w:footnoteRef/>
      </w:r>
      <w:r>
        <w:rPr>
          <w:rtl/>
        </w:rPr>
        <w:t xml:space="preserve"> </w:t>
      </w:r>
      <w:r>
        <w:rPr>
          <w:rFonts w:ascii="Arial"/>
          <w:b/>
          <w:bCs/>
          <w:sz w:val="38"/>
          <w:rtl/>
        </w:rPr>
        <w:t>מי כו'.</w:t>
      </w:r>
      <w:r>
        <w:rPr>
          <w:rFonts w:ascii="Arial"/>
          <w:sz w:val="38"/>
          <w:rtl/>
        </w:rPr>
        <w:t xml:space="preserve"> ורוצה לומר לכך נאמר ואל מי כו' כמו שמפרש והולך:</w:t>
      </w:r>
    </w:p>
  </w:footnote>
  <w:footnote w:id="1660">
    <w:p w:rsidR="00A13282" w:rsidRDefault="00A13282">
      <w:pPr>
        <w:pStyle w:val="a5"/>
        <w:rPr>
          <w:rtl/>
        </w:rPr>
      </w:pPr>
      <w:r>
        <w:rPr>
          <w:rStyle w:val="a7"/>
          <w:rtl/>
        </w:rPr>
        <w:footnoteRef/>
      </w:r>
      <w:r>
        <w:rPr>
          <w:rtl/>
        </w:rPr>
        <w:t xml:space="preserve"> </w:t>
      </w:r>
      <w:r>
        <w:rPr>
          <w:rFonts w:ascii="Arial"/>
          <w:b/>
          <w:bCs/>
          <w:sz w:val="38"/>
          <w:rtl/>
        </w:rPr>
        <w:t>כלהו תיקונין בלב.</w:t>
      </w:r>
      <w:r>
        <w:rPr>
          <w:rFonts w:ascii="Arial"/>
          <w:sz w:val="38"/>
          <w:rtl/>
        </w:rPr>
        <w:t xml:space="preserve"> דרגא דבינה, כמו שאומר לעיל, ושם שריא ה' עילאה כמו שאומר לעיל:</w:t>
      </w:r>
    </w:p>
  </w:footnote>
  <w:footnote w:id="1661">
    <w:p w:rsidR="00A13282" w:rsidRDefault="00A13282">
      <w:pPr>
        <w:pStyle w:val="a5"/>
        <w:rPr>
          <w:rtl/>
        </w:rPr>
      </w:pPr>
      <w:r>
        <w:rPr>
          <w:rStyle w:val="a7"/>
          <w:rtl/>
        </w:rPr>
        <w:footnoteRef/>
      </w:r>
      <w:r>
        <w:rPr>
          <w:rtl/>
        </w:rPr>
        <w:t xml:space="preserve"> </w:t>
      </w:r>
      <w:r>
        <w:rPr>
          <w:rFonts w:ascii="Arial"/>
          <w:b/>
          <w:bCs/>
          <w:sz w:val="38"/>
          <w:rtl/>
        </w:rPr>
        <w:t>ה' איהי ממש הבל.</w:t>
      </w:r>
      <w:r>
        <w:rPr>
          <w:rFonts w:ascii="Arial"/>
          <w:sz w:val="38"/>
          <w:rtl/>
        </w:rPr>
        <w:t xml:space="preserve"> רוצה לומר אתא קלילא שאין בה אלא הבל כידוע, והוא אותיות הלב - ה' לב:</w:t>
      </w:r>
    </w:p>
  </w:footnote>
  <w:footnote w:id="1662">
    <w:p w:rsidR="00A13282" w:rsidRDefault="00A13282">
      <w:pPr>
        <w:pStyle w:val="a5"/>
        <w:rPr>
          <w:rtl/>
        </w:rPr>
      </w:pPr>
      <w:r>
        <w:rPr>
          <w:rStyle w:val="a7"/>
          <w:rtl/>
        </w:rPr>
        <w:footnoteRef/>
      </w:r>
      <w:r>
        <w:rPr>
          <w:rtl/>
        </w:rPr>
        <w:t xml:space="preserve"> </w:t>
      </w:r>
      <w:r>
        <w:rPr>
          <w:rFonts w:ascii="Arial"/>
          <w:b/>
          <w:bCs/>
          <w:sz w:val="38"/>
          <w:rtl/>
        </w:rPr>
        <w:t>דא ו'.</w:t>
      </w:r>
      <w:r>
        <w:rPr>
          <w:rFonts w:ascii="Arial"/>
          <w:sz w:val="38"/>
          <w:rtl/>
        </w:rPr>
        <w:t xml:space="preserve"> עם תלת הראשונים:</w:t>
      </w:r>
    </w:p>
  </w:footnote>
  <w:footnote w:id="1663">
    <w:p w:rsidR="00A13282" w:rsidRDefault="00A13282">
      <w:pPr>
        <w:pStyle w:val="a5"/>
        <w:rPr>
          <w:rtl/>
        </w:rPr>
      </w:pPr>
      <w:r>
        <w:rPr>
          <w:rStyle w:val="a7"/>
          <w:rtl/>
        </w:rPr>
        <w:footnoteRef/>
      </w:r>
      <w:r>
        <w:rPr>
          <w:rtl/>
        </w:rPr>
        <w:t xml:space="preserve"> </w:t>
      </w:r>
      <w:r>
        <w:rPr>
          <w:rFonts w:ascii="Arial"/>
          <w:b/>
          <w:bCs/>
          <w:sz w:val="38"/>
          <w:rtl/>
        </w:rPr>
        <w:t>חמש כנפי ריאה.</w:t>
      </w:r>
      <w:r>
        <w:rPr>
          <w:rFonts w:ascii="Arial"/>
          <w:sz w:val="38"/>
          <w:rtl/>
        </w:rPr>
        <w:t xml:space="preserve"> כמו שאמרו (חולין מז ע"א) חמש אוני אית לריאה, והן ה’ ספירות שמתפשטין בהן נ' תרעין דבינה מן הלב, תלתא מימינא - חת"נ, ושתים משמאלא - ג"ה, שת"ת נוטה לימינא כמו שאומר לקמן:</w:t>
      </w:r>
    </w:p>
  </w:footnote>
  <w:footnote w:id="1664">
    <w:p w:rsidR="00A13282" w:rsidRDefault="00A13282">
      <w:pPr>
        <w:pStyle w:val="a5"/>
        <w:rPr>
          <w:rtl/>
        </w:rPr>
      </w:pPr>
      <w:r>
        <w:rPr>
          <w:rStyle w:val="a7"/>
          <w:rtl/>
        </w:rPr>
        <w:footnoteRef/>
      </w:r>
      <w:r>
        <w:rPr>
          <w:rtl/>
        </w:rPr>
        <w:t xml:space="preserve"> </w:t>
      </w:r>
      <w:r>
        <w:rPr>
          <w:rFonts w:ascii="Arial"/>
          <w:b/>
          <w:bCs/>
          <w:sz w:val="38"/>
          <w:rtl/>
        </w:rPr>
        <w:t>דאיהי כלפי כבד כו'.</w:t>
      </w:r>
      <w:r>
        <w:rPr>
          <w:rFonts w:ascii="Arial"/>
          <w:sz w:val="38"/>
          <w:rtl/>
        </w:rPr>
        <w:t xml:space="preserve"> שהאכילה מצד הכבד וזהו אש אוכלה:</w:t>
      </w:r>
    </w:p>
  </w:footnote>
  <w:footnote w:id="1665">
    <w:p w:rsidR="00A13282" w:rsidRDefault="00A13282">
      <w:pPr>
        <w:pStyle w:val="a5"/>
        <w:rPr>
          <w:rtl/>
        </w:rPr>
      </w:pPr>
      <w:r>
        <w:rPr>
          <w:rStyle w:val="a7"/>
          <w:rtl/>
        </w:rPr>
        <w:footnoteRef/>
      </w:r>
      <w:r>
        <w:rPr>
          <w:rtl/>
        </w:rPr>
        <w:t xml:space="preserve"> </w:t>
      </w:r>
      <w:r>
        <w:rPr>
          <w:rFonts w:ascii="Arial"/>
          <w:b/>
          <w:bCs/>
          <w:sz w:val="38"/>
          <w:rtl/>
        </w:rPr>
        <w:t>דנשבין על לבא.</w:t>
      </w:r>
      <w:r>
        <w:rPr>
          <w:rFonts w:ascii="Arial"/>
          <w:sz w:val="38"/>
          <w:rtl/>
        </w:rPr>
        <w:t xml:space="preserve"> שהוא רוח אלקים המרחפת על פני המים דריאה:</w:t>
      </w:r>
    </w:p>
  </w:footnote>
  <w:footnote w:id="1666">
    <w:p w:rsidR="00A13282" w:rsidRDefault="00A13282">
      <w:pPr>
        <w:pStyle w:val="a5"/>
        <w:rPr>
          <w:rtl/>
        </w:rPr>
      </w:pPr>
      <w:r>
        <w:rPr>
          <w:rStyle w:val="a7"/>
          <w:rtl/>
        </w:rPr>
        <w:footnoteRef/>
      </w:r>
      <w:r>
        <w:rPr>
          <w:rtl/>
        </w:rPr>
        <w:t xml:space="preserve"> </w:t>
      </w:r>
      <w:r>
        <w:rPr>
          <w:rFonts w:ascii="Arial"/>
          <w:b/>
          <w:bCs/>
          <w:sz w:val="38"/>
          <w:rtl/>
        </w:rPr>
        <w:t>דה' ה' כו'.</w:t>
      </w:r>
      <w:r>
        <w:rPr>
          <w:rFonts w:ascii="Arial"/>
          <w:sz w:val="38"/>
          <w:rtl/>
        </w:rPr>
        <w:t xml:space="preserve"> אמירא מאודנא שמאלא, ודבורא מימינא, קלא מאמצע בקנה, מחשבה בלבא - ד' אותיות הוי"ה, ורוצה לומר זה שאומר ברכי נפשי את יהו"ה - בינה:</w:t>
      </w:r>
    </w:p>
  </w:footnote>
  <w:footnote w:id="1667">
    <w:p w:rsidR="00A13282" w:rsidRDefault="00A13282">
      <w:pPr>
        <w:pStyle w:val="a5"/>
        <w:rPr>
          <w:rtl/>
        </w:rPr>
      </w:pPr>
      <w:r>
        <w:rPr>
          <w:rStyle w:val="a7"/>
          <w:rtl/>
        </w:rPr>
        <w:footnoteRef/>
      </w:r>
      <w:r>
        <w:rPr>
          <w:rtl/>
        </w:rPr>
        <w:t xml:space="preserve"> </w:t>
      </w:r>
      <w:r>
        <w:rPr>
          <w:rFonts w:ascii="Arial"/>
          <w:b/>
          <w:bCs/>
          <w:sz w:val="38"/>
          <w:rtl/>
        </w:rPr>
        <w:t>ורזא דמלה וזרוע ה' כו'.</w:t>
      </w:r>
      <w:r>
        <w:rPr>
          <w:rFonts w:ascii="Arial"/>
          <w:sz w:val="38"/>
          <w:rtl/>
        </w:rPr>
        <w:t xml:space="preserve"> רוצה לומר הקץ דתליא בימינא - למי נגלה, שסתום מכל:</w:t>
      </w:r>
    </w:p>
  </w:footnote>
  <w:footnote w:id="1668">
    <w:p w:rsidR="00A13282" w:rsidRDefault="00A13282">
      <w:pPr>
        <w:pStyle w:val="a5"/>
        <w:rPr>
          <w:rtl/>
        </w:rPr>
      </w:pPr>
      <w:r>
        <w:rPr>
          <w:rStyle w:val="a7"/>
          <w:rtl/>
        </w:rPr>
        <w:footnoteRef/>
      </w:r>
      <w:r>
        <w:rPr>
          <w:rtl/>
        </w:rPr>
        <w:t xml:space="preserve"> </w:t>
      </w:r>
      <w:r>
        <w:rPr>
          <w:rFonts w:ascii="Arial"/>
          <w:b/>
          <w:bCs/>
          <w:sz w:val="38"/>
          <w:rtl/>
        </w:rPr>
        <w:t>עד הבקר.</w:t>
      </w:r>
      <w:r>
        <w:rPr>
          <w:rFonts w:ascii="Arial"/>
          <w:sz w:val="38"/>
          <w:rtl/>
        </w:rPr>
        <w:t xml:space="preserve"> כידוע ימינא:</w:t>
      </w:r>
    </w:p>
  </w:footnote>
  <w:footnote w:id="1669">
    <w:p w:rsidR="00A13282" w:rsidRDefault="00A13282">
      <w:pPr>
        <w:pStyle w:val="a5"/>
        <w:rPr>
          <w:rtl/>
        </w:rPr>
      </w:pPr>
      <w:r>
        <w:rPr>
          <w:rStyle w:val="a7"/>
          <w:rtl/>
        </w:rPr>
        <w:footnoteRef/>
      </w:r>
      <w:r>
        <w:rPr>
          <w:rtl/>
        </w:rPr>
        <w:t xml:space="preserve"> </w:t>
      </w:r>
      <w:r>
        <w:rPr>
          <w:rFonts w:ascii="Arial"/>
          <w:b/>
          <w:bCs/>
          <w:sz w:val="38"/>
          <w:rtl/>
        </w:rPr>
        <w:t>ואמאי אתקרי זרוע ה'.</w:t>
      </w:r>
      <w:r>
        <w:rPr>
          <w:rFonts w:ascii="Arial"/>
          <w:sz w:val="38"/>
          <w:rtl/>
        </w:rPr>
        <w:t xml:space="preserve"> רוצה לומר אמאי נכלל ביה כל השם:</w:t>
      </w:r>
    </w:p>
  </w:footnote>
  <w:footnote w:id="1670">
    <w:p w:rsidR="00A13282" w:rsidRDefault="00A13282">
      <w:pPr>
        <w:pStyle w:val="a5"/>
        <w:rPr>
          <w:rtl/>
        </w:rPr>
      </w:pPr>
      <w:r>
        <w:rPr>
          <w:rStyle w:val="a7"/>
          <w:rtl/>
        </w:rPr>
        <w:footnoteRef/>
      </w:r>
      <w:r>
        <w:rPr>
          <w:rtl/>
        </w:rPr>
        <w:t xml:space="preserve"> </w:t>
      </w:r>
      <w:r>
        <w:rPr>
          <w:rFonts w:ascii="Arial"/>
          <w:b/>
          <w:bCs/>
          <w:sz w:val="38"/>
          <w:rtl/>
        </w:rPr>
        <w:t>ודא עמודא דאמצעיתא כו'.</w:t>
      </w:r>
      <w:r>
        <w:rPr>
          <w:rFonts w:ascii="Arial"/>
          <w:sz w:val="38"/>
          <w:rtl/>
        </w:rPr>
        <w:t xml:space="preserve"> רוצה לומר דעמודא דאמצעיתא כולל כל השם כנ"ל, והוא אתקשר בימינא כמו שמפרש והולך, לכן בימינא נכלל גם כן השם:</w:t>
      </w:r>
    </w:p>
  </w:footnote>
  <w:footnote w:id="1671">
    <w:p w:rsidR="00A13282" w:rsidRDefault="00A13282">
      <w:pPr>
        <w:pStyle w:val="a5"/>
        <w:rPr>
          <w:rtl/>
        </w:rPr>
      </w:pPr>
      <w:r>
        <w:rPr>
          <w:rStyle w:val="a7"/>
          <w:rtl/>
        </w:rPr>
        <w:footnoteRef/>
      </w:r>
      <w:r>
        <w:rPr>
          <w:rtl/>
        </w:rPr>
        <w:t xml:space="preserve"> </w:t>
      </w:r>
      <w:r>
        <w:rPr>
          <w:rFonts w:ascii="Arial"/>
          <w:b/>
          <w:bCs/>
          <w:sz w:val="38"/>
          <w:rtl/>
        </w:rPr>
        <w:t>זרוע תפארתו.</w:t>
      </w:r>
      <w:r>
        <w:rPr>
          <w:rFonts w:ascii="Arial"/>
          <w:sz w:val="38"/>
          <w:rtl/>
        </w:rPr>
        <w:t xml:space="preserve"> רוצה לומר, זרוע - דרועא ימינא, תפארתו - עמודא דאמצעיתא, והוא לימין משה:</w:t>
      </w:r>
    </w:p>
  </w:footnote>
  <w:footnote w:id="1672">
    <w:p w:rsidR="00A13282" w:rsidRDefault="00A13282">
      <w:pPr>
        <w:pStyle w:val="a5"/>
        <w:rPr>
          <w:rtl/>
        </w:rPr>
      </w:pPr>
      <w:r>
        <w:rPr>
          <w:rStyle w:val="a7"/>
          <w:rtl/>
        </w:rPr>
        <w:footnoteRef/>
      </w:r>
      <w:r>
        <w:rPr>
          <w:rtl/>
        </w:rPr>
        <w:t xml:space="preserve"> </w:t>
      </w:r>
      <w:r>
        <w:rPr>
          <w:rFonts w:ascii="Arial"/>
          <w:b/>
          <w:bCs/>
          <w:sz w:val="38"/>
          <w:rtl/>
        </w:rPr>
        <w:t>ואיהו בוקע כו'.</w:t>
      </w:r>
      <w:r>
        <w:rPr>
          <w:rFonts w:ascii="Arial"/>
          <w:sz w:val="38"/>
          <w:rtl/>
        </w:rPr>
        <w:t xml:space="preserve"> הוא סיפא דקרא, בוקע כו' - לעשות לו שם עולם, וזה שאומר למהוי ליה כו':</w:t>
      </w:r>
    </w:p>
  </w:footnote>
  <w:footnote w:id="1673">
    <w:p w:rsidR="00A13282" w:rsidRDefault="00A13282">
      <w:pPr>
        <w:pStyle w:val="a5"/>
        <w:rPr>
          <w:rtl/>
        </w:rPr>
      </w:pPr>
      <w:r>
        <w:rPr>
          <w:rStyle w:val="a7"/>
          <w:rtl/>
        </w:rPr>
        <w:footnoteRef/>
      </w:r>
      <w:r>
        <w:rPr>
          <w:rtl/>
        </w:rPr>
        <w:t xml:space="preserve"> </w:t>
      </w:r>
      <w:r>
        <w:rPr>
          <w:rFonts w:ascii="Arial"/>
          <w:b/>
          <w:bCs/>
          <w:sz w:val="38"/>
          <w:rtl/>
        </w:rPr>
        <w:t>זרע.</w:t>
      </w:r>
      <w:r>
        <w:rPr>
          <w:rFonts w:ascii="Arial"/>
          <w:sz w:val="38"/>
          <w:rtl/>
        </w:rPr>
        <w:t xml:space="preserve"> רוצה לומר לשון זרוע:</w:t>
      </w:r>
    </w:p>
  </w:footnote>
  <w:footnote w:id="1674">
    <w:p w:rsidR="00A13282" w:rsidRDefault="00A13282">
      <w:pPr>
        <w:pStyle w:val="a5"/>
        <w:rPr>
          <w:rtl/>
        </w:rPr>
      </w:pPr>
      <w:r>
        <w:rPr>
          <w:rStyle w:val="a7"/>
          <w:rtl/>
        </w:rPr>
        <w:footnoteRef/>
      </w:r>
      <w:r>
        <w:rPr>
          <w:rtl/>
        </w:rPr>
        <w:t xml:space="preserve"> </w:t>
      </w:r>
      <w:r>
        <w:rPr>
          <w:rFonts w:ascii="Arial"/>
          <w:b/>
          <w:bCs/>
          <w:sz w:val="38"/>
          <w:rtl/>
        </w:rPr>
        <w:t>אברהם כו'.</w:t>
      </w:r>
      <w:r>
        <w:rPr>
          <w:rFonts w:ascii="Arial"/>
          <w:sz w:val="38"/>
          <w:rtl/>
        </w:rPr>
        <w:t xml:space="preserve"> הוא זרוע:</w:t>
      </w:r>
    </w:p>
  </w:footnote>
  <w:footnote w:id="1675">
    <w:p w:rsidR="00A13282" w:rsidRDefault="00A13282">
      <w:pPr>
        <w:pStyle w:val="a5"/>
        <w:rPr>
          <w:rtl/>
        </w:rPr>
      </w:pPr>
      <w:r>
        <w:rPr>
          <w:rStyle w:val="a7"/>
          <w:rtl/>
        </w:rPr>
        <w:footnoteRef/>
      </w:r>
      <w:r>
        <w:rPr>
          <w:rtl/>
        </w:rPr>
        <w:t xml:space="preserve"> </w:t>
      </w:r>
      <w:r>
        <w:rPr>
          <w:rFonts w:ascii="Arial"/>
          <w:b/>
          <w:bCs/>
          <w:sz w:val="38"/>
          <w:rtl/>
        </w:rPr>
        <w:t>ה' דאברהם.</w:t>
      </w:r>
      <w:r>
        <w:rPr>
          <w:rFonts w:ascii="Arial"/>
          <w:sz w:val="38"/>
          <w:rtl/>
        </w:rPr>
        <w:t xml:space="preserve"> דהיא מימינא, ברתא דאברהם:</w:t>
      </w:r>
    </w:p>
  </w:footnote>
  <w:footnote w:id="1676">
    <w:p w:rsidR="00A13282" w:rsidRDefault="00A13282">
      <w:pPr>
        <w:pStyle w:val="a5"/>
        <w:rPr>
          <w:rtl/>
        </w:rPr>
      </w:pPr>
      <w:r>
        <w:rPr>
          <w:rStyle w:val="a7"/>
          <w:rtl/>
        </w:rPr>
        <w:footnoteRef/>
      </w:r>
      <w:r>
        <w:rPr>
          <w:rtl/>
        </w:rPr>
        <w:t xml:space="preserve"> </w:t>
      </w:r>
      <w:r>
        <w:rPr>
          <w:rFonts w:ascii="Arial"/>
          <w:b/>
          <w:bCs/>
          <w:sz w:val="38"/>
          <w:rtl/>
        </w:rPr>
        <w:t>ובה אשתלים משה.</w:t>
      </w:r>
      <w:r>
        <w:rPr>
          <w:rFonts w:ascii="Arial"/>
          <w:sz w:val="38"/>
          <w:rtl/>
        </w:rPr>
        <w:t xml:space="preserve"> רוצה לומר עם שם הנ"ל:</w:t>
      </w:r>
    </w:p>
  </w:footnote>
  <w:footnote w:id="1677">
    <w:p w:rsidR="00A13282" w:rsidRDefault="00A13282">
      <w:pPr>
        <w:pStyle w:val="a5"/>
        <w:rPr>
          <w:rtl/>
        </w:rPr>
      </w:pPr>
      <w:r>
        <w:rPr>
          <w:rStyle w:val="a7"/>
          <w:rtl/>
        </w:rPr>
        <w:footnoteRef/>
      </w:r>
      <w:r>
        <w:rPr>
          <w:rtl/>
        </w:rPr>
        <w:t xml:space="preserve"> </w:t>
      </w:r>
      <w:r>
        <w:rPr>
          <w:rFonts w:ascii="Arial"/>
          <w:b/>
          <w:bCs/>
          <w:sz w:val="38"/>
          <w:rtl/>
        </w:rPr>
        <w:t>ודא הוא וזרוע כו'.</w:t>
      </w:r>
      <w:r>
        <w:rPr>
          <w:rFonts w:ascii="Arial"/>
          <w:sz w:val="38"/>
          <w:rtl/>
        </w:rPr>
        <w:t xml:space="preserve"> רוצה לומר משה שהוא בדרגא דמי:</w:t>
      </w:r>
    </w:p>
  </w:footnote>
  <w:footnote w:id="1678">
    <w:p w:rsidR="00A13282" w:rsidRDefault="00A13282">
      <w:pPr>
        <w:pStyle w:val="a5"/>
        <w:rPr>
          <w:rtl/>
        </w:rPr>
      </w:pPr>
      <w:r>
        <w:rPr>
          <w:rStyle w:val="a7"/>
          <w:rtl/>
        </w:rPr>
        <w:footnoteRef/>
      </w:r>
      <w:r>
        <w:rPr>
          <w:rtl/>
        </w:rPr>
        <w:t xml:space="preserve"> </w:t>
      </w:r>
      <w:r>
        <w:rPr>
          <w:rFonts w:ascii="Arial"/>
          <w:b/>
          <w:bCs/>
          <w:sz w:val="38"/>
          <w:rtl/>
        </w:rPr>
        <w:t>ומתמן רעמין כו'.</w:t>
      </w:r>
      <w:r>
        <w:rPr>
          <w:rFonts w:ascii="Arial"/>
          <w:sz w:val="38"/>
          <w:rtl/>
        </w:rPr>
        <w:t xml:space="preserve"> רוצה לומר קלין ורוצה לומר שקלין מסטרא דגבורה:</w:t>
      </w:r>
    </w:p>
  </w:footnote>
  <w:footnote w:id="1679">
    <w:p w:rsidR="00A13282" w:rsidRDefault="00A13282">
      <w:pPr>
        <w:pStyle w:val="a5"/>
        <w:rPr>
          <w:rtl/>
        </w:rPr>
      </w:pPr>
      <w:r>
        <w:rPr>
          <w:rStyle w:val="a7"/>
          <w:rtl/>
        </w:rPr>
        <w:footnoteRef/>
      </w:r>
      <w:r>
        <w:rPr>
          <w:rtl/>
        </w:rPr>
        <w:t xml:space="preserve"> </w:t>
      </w:r>
      <w:r>
        <w:rPr>
          <w:rFonts w:ascii="Arial"/>
          <w:b/>
          <w:bCs/>
          <w:sz w:val="38"/>
          <w:rtl/>
        </w:rPr>
        <w:t>ומתמן רעה כו'.</w:t>
      </w:r>
      <w:r>
        <w:rPr>
          <w:rFonts w:ascii="Arial"/>
          <w:sz w:val="38"/>
          <w:rtl/>
        </w:rPr>
        <w:t xml:space="preserve"> רוצה לומר תש"ת מסטרא דחג"ת - כלם בגבורה כמו שמפרש והולך:</w:t>
      </w:r>
    </w:p>
  </w:footnote>
  <w:footnote w:id="1680">
    <w:p w:rsidR="00806CC4" w:rsidRDefault="00806CC4" w:rsidP="00806CC4">
      <w:pPr>
        <w:pStyle w:val="a5"/>
        <w:rPr>
          <w:rtl/>
        </w:rPr>
      </w:pPr>
      <w:r>
        <w:rPr>
          <w:rStyle w:val="a7"/>
          <w:rtl/>
        </w:rPr>
        <w:footnoteRef/>
      </w:r>
      <w:r>
        <w:rPr>
          <w:rtl/>
        </w:rPr>
        <w:t xml:space="preserve"> </w:t>
      </w:r>
      <w:r>
        <w:rPr>
          <w:rFonts w:ascii="Arial"/>
          <w:b/>
          <w:bCs/>
          <w:sz w:val="38"/>
          <w:rtl/>
        </w:rPr>
        <w:t>מוט כו' בתקיעה מסטרא דמטה כו'.</w:t>
      </w:r>
      <w:r>
        <w:rPr>
          <w:rFonts w:ascii="Arial"/>
          <w:sz w:val="38"/>
          <w:rtl/>
        </w:rPr>
        <w:t xml:space="preserve"> רוצה לומר מוט - לשון מטה כלפי חסד, ורוצה לומר שכולם יהא בגבורה, רק שמוט - בתקיעה, הוא מטה כלפי חסד, ולכך הוא רק התמוטטה הארץ:</w:t>
      </w:r>
    </w:p>
  </w:footnote>
  <w:footnote w:id="1681">
    <w:p w:rsidR="00A13282" w:rsidRDefault="00A13282">
      <w:pPr>
        <w:pStyle w:val="a5"/>
        <w:rPr>
          <w:rtl/>
        </w:rPr>
      </w:pPr>
      <w:r>
        <w:rPr>
          <w:rStyle w:val="a7"/>
          <w:rtl/>
        </w:rPr>
        <w:footnoteRef/>
      </w:r>
      <w:r>
        <w:rPr>
          <w:rtl/>
        </w:rPr>
        <w:t xml:space="preserve"> </w:t>
      </w:r>
      <w:r>
        <w:rPr>
          <w:rFonts w:ascii="Arial"/>
          <w:b/>
          <w:bCs/>
          <w:sz w:val="38"/>
          <w:rtl/>
        </w:rPr>
        <w:t>ואתעבידו כו'.</w:t>
      </w:r>
      <w:r>
        <w:rPr>
          <w:rFonts w:ascii="Arial"/>
          <w:sz w:val="38"/>
          <w:rtl/>
        </w:rPr>
        <w:t xml:space="preserve"> שכולם הם קלא דכליל אמ"ש וקלא מסטרא דגבורה כנ"ל:</w:t>
      </w:r>
    </w:p>
  </w:footnote>
  <w:footnote w:id="1682">
    <w:p w:rsidR="00A13282" w:rsidRDefault="00A13282">
      <w:pPr>
        <w:pStyle w:val="a5"/>
        <w:rPr>
          <w:rtl/>
        </w:rPr>
      </w:pPr>
      <w:r>
        <w:rPr>
          <w:rStyle w:val="a7"/>
          <w:rtl/>
        </w:rPr>
        <w:footnoteRef/>
      </w:r>
      <w:r>
        <w:rPr>
          <w:rtl/>
        </w:rPr>
        <w:t xml:space="preserve"> </w:t>
      </w:r>
      <w:r>
        <w:rPr>
          <w:rFonts w:ascii="Arial"/>
          <w:b/>
          <w:bCs/>
          <w:sz w:val="38"/>
          <w:rtl/>
        </w:rPr>
        <w:t>בארעא דישראל כו'.</w:t>
      </w:r>
      <w:r>
        <w:rPr>
          <w:rFonts w:ascii="Arial"/>
          <w:sz w:val="38"/>
          <w:rtl/>
        </w:rPr>
        <w:t xml:space="preserve"> רוצה לומר וזה שאומר הארץ - ארץ ישראל:</w:t>
      </w:r>
    </w:p>
  </w:footnote>
  <w:footnote w:id="1683">
    <w:p w:rsidR="00A13282" w:rsidRDefault="00A13282">
      <w:pPr>
        <w:pStyle w:val="a5"/>
        <w:rPr>
          <w:rtl/>
        </w:rPr>
      </w:pPr>
      <w:r>
        <w:rPr>
          <w:rStyle w:val="a7"/>
          <w:rtl/>
        </w:rPr>
        <w:footnoteRef/>
      </w:r>
      <w:r>
        <w:rPr>
          <w:rtl/>
        </w:rPr>
        <w:t xml:space="preserve"> </w:t>
      </w:r>
      <w:r>
        <w:rPr>
          <w:rFonts w:ascii="Arial"/>
          <w:b/>
          <w:bCs/>
          <w:sz w:val="38"/>
          <w:rtl/>
        </w:rPr>
        <w:t>הללוי"ה הללוה"ו.</w:t>
      </w:r>
      <w:r>
        <w:rPr>
          <w:rFonts w:ascii="Arial"/>
          <w:sz w:val="38"/>
          <w:rtl/>
        </w:rPr>
        <w:t xml:space="preserve"> רוצה לומר עמודא דאמצעיתא שכלול יקו"ק וזהו הללו י"ה הללו ו"ה:</w:t>
      </w:r>
    </w:p>
  </w:footnote>
  <w:footnote w:id="1684">
    <w:p w:rsidR="00A13282" w:rsidRDefault="00A13282">
      <w:pPr>
        <w:pStyle w:val="a5"/>
        <w:rPr>
          <w:rtl/>
        </w:rPr>
      </w:pPr>
      <w:r>
        <w:rPr>
          <w:rStyle w:val="a7"/>
          <w:rtl/>
        </w:rPr>
        <w:footnoteRef/>
      </w:r>
      <w:r>
        <w:rPr>
          <w:rtl/>
        </w:rPr>
        <w:t xml:space="preserve"> </w:t>
      </w:r>
      <w:r>
        <w:rPr>
          <w:rFonts w:ascii="Arial"/>
          <w:b/>
          <w:bCs/>
          <w:sz w:val="38"/>
          <w:rtl/>
        </w:rPr>
        <w:t>ודא הו.</w:t>
      </w:r>
      <w:r>
        <w:rPr>
          <w:rFonts w:ascii="Arial"/>
          <w:sz w:val="38"/>
          <w:rtl/>
        </w:rPr>
        <w:t xml:space="preserve"> רוצה לומר הו מלשון הוא, שקאי על עמודא דאמצעיתא וזה שאומר עלה כו' - הוא לה', שהוא עמודא דאמצעיתא, יקו"ק:</w:t>
      </w:r>
    </w:p>
  </w:footnote>
  <w:footnote w:id="1685">
    <w:p w:rsidR="00A13282" w:rsidRDefault="00A13282">
      <w:pPr>
        <w:pStyle w:val="a5"/>
        <w:rPr>
          <w:rtl/>
        </w:rPr>
      </w:pPr>
      <w:r>
        <w:rPr>
          <w:rStyle w:val="a7"/>
          <w:rtl/>
        </w:rPr>
        <w:footnoteRef/>
      </w:r>
      <w:r>
        <w:rPr>
          <w:rtl/>
        </w:rPr>
        <w:t xml:space="preserve"> </w:t>
      </w:r>
      <w:r>
        <w:rPr>
          <w:rFonts w:ascii="Arial"/>
          <w:b/>
          <w:bCs/>
          <w:sz w:val="38"/>
          <w:rtl/>
        </w:rPr>
        <w:t>ורזא כו'.</w:t>
      </w:r>
      <w:r>
        <w:rPr>
          <w:rFonts w:ascii="Arial"/>
          <w:sz w:val="38"/>
          <w:rtl/>
        </w:rPr>
        <w:t xml:space="preserve"> רוצה לומר שנאמר הללו כו' יקו"ק:</w:t>
      </w:r>
    </w:p>
  </w:footnote>
  <w:footnote w:id="1686">
    <w:p w:rsidR="00A13282" w:rsidRDefault="00A13282">
      <w:pPr>
        <w:pStyle w:val="a5"/>
        <w:rPr>
          <w:rtl/>
        </w:rPr>
      </w:pPr>
      <w:r>
        <w:rPr>
          <w:rStyle w:val="a7"/>
          <w:rtl/>
        </w:rPr>
        <w:footnoteRef/>
      </w:r>
      <w:r>
        <w:rPr>
          <w:rtl/>
        </w:rPr>
        <w:t xml:space="preserve"> </w:t>
      </w:r>
      <w:r>
        <w:rPr>
          <w:rFonts w:ascii="Arial"/>
          <w:b/>
          <w:bCs/>
          <w:sz w:val="38"/>
          <w:rtl/>
        </w:rPr>
        <w:t>ורזא דמלה מה כו'.</w:t>
      </w:r>
      <w:r>
        <w:rPr>
          <w:rFonts w:ascii="Arial"/>
          <w:sz w:val="38"/>
          <w:rtl/>
        </w:rPr>
        <w:t xml:space="preserve"> רוצה לומר ראשי תיבות משה. וביה כו' - גם כן ראשי תיבות משה:</w:t>
      </w:r>
    </w:p>
  </w:footnote>
  <w:footnote w:id="1687">
    <w:p w:rsidR="00A13282" w:rsidRDefault="00A13282">
      <w:pPr>
        <w:pStyle w:val="a5"/>
        <w:rPr>
          <w:rtl/>
        </w:rPr>
      </w:pPr>
      <w:r>
        <w:rPr>
          <w:rStyle w:val="a7"/>
          <w:rtl/>
        </w:rPr>
        <w:footnoteRef/>
      </w:r>
      <w:r>
        <w:rPr>
          <w:rtl/>
        </w:rPr>
        <w:t xml:space="preserve"> </w:t>
      </w:r>
      <w:r>
        <w:rPr>
          <w:rFonts w:ascii="Arial"/>
          <w:b/>
          <w:bCs/>
          <w:sz w:val="38"/>
          <w:rtl/>
        </w:rPr>
        <w:t>בגין כו'.</w:t>
      </w:r>
      <w:r>
        <w:rPr>
          <w:rFonts w:ascii="Arial"/>
          <w:sz w:val="38"/>
          <w:rtl/>
        </w:rPr>
        <w:t xml:space="preserve"> רוצה לומר וזה שאומר הללו כו' הושע ה' - עמודא דאמצעיתא:</w:t>
      </w:r>
    </w:p>
  </w:footnote>
  <w:footnote w:id="1688">
    <w:p w:rsidR="00A13282" w:rsidRDefault="00A13282">
      <w:pPr>
        <w:pStyle w:val="a5"/>
        <w:rPr>
          <w:rtl/>
        </w:rPr>
      </w:pPr>
      <w:r>
        <w:rPr>
          <w:rStyle w:val="a7"/>
          <w:rtl/>
        </w:rPr>
        <w:footnoteRef/>
      </w:r>
      <w:r>
        <w:rPr>
          <w:rtl/>
        </w:rPr>
        <w:t xml:space="preserve"> </w:t>
      </w:r>
      <w:r>
        <w:rPr>
          <w:rFonts w:ascii="Arial"/>
          <w:b/>
          <w:bCs/>
          <w:sz w:val="38"/>
          <w:rtl/>
        </w:rPr>
        <w:t>הכי יפריש לון כו'.</w:t>
      </w:r>
      <w:r>
        <w:rPr>
          <w:rFonts w:ascii="Arial"/>
          <w:sz w:val="38"/>
          <w:rtl/>
        </w:rPr>
        <w:t xml:space="preserve"> רוצה לומר שלא ימצאו בין אלף הששי לאלף השביעי:</w:t>
      </w:r>
    </w:p>
  </w:footnote>
  <w:footnote w:id="1689">
    <w:p w:rsidR="00A13282" w:rsidRDefault="00A13282">
      <w:pPr>
        <w:pStyle w:val="a5"/>
        <w:rPr>
          <w:rtl/>
        </w:rPr>
      </w:pPr>
      <w:r>
        <w:rPr>
          <w:rStyle w:val="a7"/>
          <w:rtl/>
        </w:rPr>
        <w:footnoteRef/>
      </w:r>
      <w:r>
        <w:rPr>
          <w:rtl/>
        </w:rPr>
        <w:t xml:space="preserve"> </w:t>
      </w:r>
      <w:r>
        <w:rPr>
          <w:rFonts w:ascii="Arial"/>
          <w:b/>
          <w:bCs/>
          <w:sz w:val="38"/>
          <w:rtl/>
        </w:rPr>
        <w:t>דבגינייהו הות כו'.</w:t>
      </w:r>
      <w:r>
        <w:rPr>
          <w:rFonts w:ascii="Arial"/>
          <w:sz w:val="38"/>
          <w:rtl/>
        </w:rPr>
        <w:t xml:space="preserve"> כמו שמפרש והולך דוא"ו, רגל הה', אתפרש, ונעשית ד', לשון דלת, עני, וזהו לחם עני וזהו בין שש לשבע, שש הוא ו', שבע הוא ז', מלכות, בת שבע:</w:t>
      </w:r>
    </w:p>
  </w:footnote>
  <w:footnote w:id="1690">
    <w:p w:rsidR="00A13282" w:rsidRDefault="00A13282">
      <w:pPr>
        <w:pStyle w:val="a5"/>
        <w:rPr>
          <w:rtl/>
        </w:rPr>
      </w:pPr>
      <w:r>
        <w:rPr>
          <w:rStyle w:val="a7"/>
          <w:rtl/>
        </w:rPr>
        <w:footnoteRef/>
      </w:r>
      <w:r>
        <w:rPr>
          <w:rtl/>
        </w:rPr>
        <w:t xml:space="preserve"> </w:t>
      </w:r>
      <w:r>
        <w:rPr>
          <w:rFonts w:ascii="Arial"/>
          <w:b/>
          <w:bCs/>
          <w:sz w:val="38"/>
          <w:rtl/>
        </w:rPr>
        <w:t>כאור החמה.</w:t>
      </w:r>
      <w:r>
        <w:rPr>
          <w:rFonts w:ascii="Arial"/>
          <w:sz w:val="38"/>
          <w:rtl/>
        </w:rPr>
        <w:t xml:space="preserve"> בינה, ה' שלימא:</w:t>
      </w:r>
    </w:p>
  </w:footnote>
  <w:footnote w:id="1691">
    <w:p w:rsidR="00A13282" w:rsidRDefault="00A13282">
      <w:pPr>
        <w:pStyle w:val="a5"/>
        <w:rPr>
          <w:rtl/>
        </w:rPr>
      </w:pPr>
      <w:r>
        <w:rPr>
          <w:rStyle w:val="a7"/>
          <w:rtl/>
        </w:rPr>
        <w:footnoteRef/>
      </w:r>
      <w:r>
        <w:rPr>
          <w:rtl/>
        </w:rPr>
        <w:t xml:space="preserve"> </w:t>
      </w:r>
      <w:r>
        <w:rPr>
          <w:rFonts w:ascii="Arial"/>
          <w:b/>
          <w:bCs/>
          <w:sz w:val="38"/>
          <w:rtl/>
        </w:rPr>
        <w:t>כמצוה.</w:t>
      </w:r>
      <w:r>
        <w:rPr>
          <w:rFonts w:ascii="Arial"/>
          <w:sz w:val="38"/>
          <w:rtl/>
        </w:rPr>
        <w:t xml:space="preserve"> רוצה לומר מצה הוא ד', ועם ו' נקראת מצוה, ולכן בלילה הראשונה נקראת מצוה כי הוא בסוד ה' עילאה - בינה, כמו שאומר לקמן, ולכן בו היתה אור הלבנה כאור החמה, לילה כיום יאיר (תהלים קלט יב):</w:t>
      </w:r>
    </w:p>
  </w:footnote>
  <w:footnote w:id="1692">
    <w:p w:rsidR="00A13282" w:rsidRDefault="00A13282">
      <w:pPr>
        <w:pStyle w:val="a5"/>
        <w:rPr>
          <w:rtl/>
        </w:rPr>
      </w:pPr>
      <w:r>
        <w:rPr>
          <w:rStyle w:val="a7"/>
          <w:rtl/>
        </w:rPr>
        <w:footnoteRef/>
      </w:r>
      <w:r>
        <w:rPr>
          <w:rtl/>
        </w:rPr>
        <w:t xml:space="preserve"> </w:t>
      </w:r>
      <w:r>
        <w:rPr>
          <w:rFonts w:ascii="Arial"/>
          <w:b/>
          <w:bCs/>
          <w:sz w:val="38"/>
          <w:rtl/>
        </w:rPr>
        <w:t>הלל גמור.</w:t>
      </w:r>
      <w:r>
        <w:rPr>
          <w:rFonts w:ascii="Arial"/>
          <w:sz w:val="38"/>
          <w:rtl/>
        </w:rPr>
        <w:t xml:space="preserve"> ביום ראשון שהוא מסטרא דבינה כמו שאמרו בתיקוני זוהר חדש שיום הראשון של פסח הוא מסטרא דבינה:</w:t>
      </w:r>
    </w:p>
  </w:footnote>
  <w:footnote w:id="1693">
    <w:p w:rsidR="00A13282" w:rsidRDefault="00A13282">
      <w:pPr>
        <w:pStyle w:val="a5"/>
        <w:rPr>
          <w:rtl/>
        </w:rPr>
      </w:pPr>
      <w:r>
        <w:rPr>
          <w:rStyle w:val="a7"/>
          <w:rtl/>
        </w:rPr>
        <w:footnoteRef/>
      </w:r>
      <w:r>
        <w:rPr>
          <w:rtl/>
        </w:rPr>
        <w:t xml:space="preserve"> </w:t>
      </w:r>
      <w:r>
        <w:rPr>
          <w:rFonts w:ascii="Arial"/>
          <w:b/>
          <w:bCs/>
          <w:sz w:val="38"/>
          <w:rtl/>
        </w:rPr>
        <w:t>איהו מרור כו'.</w:t>
      </w:r>
      <w:r>
        <w:rPr>
          <w:rFonts w:ascii="Arial"/>
          <w:sz w:val="38"/>
          <w:rtl/>
        </w:rPr>
        <w:t xml:space="preserve"> רוצה לומר מרור - לשון זכר, ומרה - לשון נקבה:</w:t>
      </w:r>
    </w:p>
  </w:footnote>
  <w:footnote w:id="1694">
    <w:p w:rsidR="00A13282" w:rsidRDefault="00A13282">
      <w:pPr>
        <w:pStyle w:val="a5"/>
        <w:rPr>
          <w:rtl/>
        </w:rPr>
      </w:pPr>
      <w:r>
        <w:rPr>
          <w:rStyle w:val="a7"/>
          <w:rtl/>
        </w:rPr>
        <w:footnoteRef/>
      </w:r>
      <w:r>
        <w:rPr>
          <w:rtl/>
        </w:rPr>
        <w:t xml:space="preserve"> </w:t>
      </w:r>
      <w:r>
        <w:rPr>
          <w:rFonts w:ascii="Arial"/>
          <w:b/>
          <w:bCs/>
          <w:sz w:val="38"/>
          <w:rtl/>
        </w:rPr>
        <w:t>ומאן גרים דא י' כו'.</w:t>
      </w:r>
      <w:r>
        <w:rPr>
          <w:rFonts w:ascii="Arial"/>
          <w:sz w:val="38"/>
          <w:rtl/>
        </w:rPr>
        <w:t xml:space="preserve"> רוצה לומר, וזה שאומר המר שדי כו', לכך לא נשלמו בפסח:</w:t>
      </w:r>
    </w:p>
  </w:footnote>
  <w:footnote w:id="1695">
    <w:p w:rsidR="00A13282" w:rsidRDefault="00A13282">
      <w:pPr>
        <w:pStyle w:val="a5"/>
        <w:rPr>
          <w:rtl/>
        </w:rPr>
      </w:pPr>
      <w:r>
        <w:rPr>
          <w:rStyle w:val="a7"/>
          <w:rtl/>
        </w:rPr>
        <w:footnoteRef/>
      </w:r>
      <w:r>
        <w:rPr>
          <w:rtl/>
        </w:rPr>
        <w:t xml:space="preserve"> </w:t>
      </w:r>
      <w:r>
        <w:rPr>
          <w:rFonts w:ascii="Arial"/>
          <w:b/>
          <w:bCs/>
          <w:sz w:val="38"/>
          <w:rtl/>
        </w:rPr>
        <w:t>נצח ישראל לא ישקר.</w:t>
      </w:r>
      <w:r>
        <w:rPr>
          <w:rFonts w:ascii="Arial"/>
          <w:sz w:val="38"/>
          <w:rtl/>
        </w:rPr>
        <w:t xml:space="preserve"> שבדרגא דיליה באלף השביעי לא שלטא שיקרא כנ"ל, אוכלין כל ד' כו'. והענין כי הפירוד נעשית בה'  - אלף החמישי, דרגא דהוד, כל היום דו"ה. אבל ד' דה' לא נעשה בו פירוד לכן אוכלין כל ד' וכן ו' של ה' בו שורפין כל שש כמו שאומר להלן:</w:t>
      </w:r>
    </w:p>
  </w:footnote>
  <w:footnote w:id="1696">
    <w:p w:rsidR="00A13282" w:rsidRDefault="00A13282">
      <w:pPr>
        <w:pStyle w:val="a5"/>
        <w:rPr>
          <w:rtl/>
        </w:rPr>
      </w:pPr>
      <w:r>
        <w:rPr>
          <w:rStyle w:val="a7"/>
          <w:rtl/>
        </w:rPr>
        <w:footnoteRef/>
      </w:r>
      <w:r>
        <w:rPr>
          <w:rtl/>
        </w:rPr>
        <w:t xml:space="preserve"> </w:t>
      </w:r>
      <w:r>
        <w:rPr>
          <w:rFonts w:ascii="Arial"/>
          <w:b/>
          <w:bCs/>
          <w:sz w:val="38"/>
          <w:rtl/>
        </w:rPr>
        <w:t>למנצח על אילת השחר.</w:t>
      </w:r>
      <w:r>
        <w:rPr>
          <w:rFonts w:ascii="Arial"/>
          <w:sz w:val="38"/>
          <w:rtl/>
        </w:rPr>
        <w:t xml:space="preserve"> כמו שאומר ברעיא מהימנא פרשת משפטים דאילת השחר אעילת רישא בין ברכהא, שהן נו"ה, וזהו למנצח עיין שם:</w:t>
      </w:r>
    </w:p>
  </w:footnote>
  <w:footnote w:id="1697">
    <w:p w:rsidR="00A13282" w:rsidRDefault="00A13282">
      <w:pPr>
        <w:pStyle w:val="a5"/>
        <w:rPr>
          <w:rtl/>
        </w:rPr>
      </w:pPr>
      <w:r>
        <w:rPr>
          <w:rStyle w:val="a7"/>
          <w:rtl/>
        </w:rPr>
        <w:footnoteRef/>
      </w:r>
      <w:r>
        <w:rPr>
          <w:rtl/>
        </w:rPr>
        <w:t xml:space="preserve"> </w:t>
      </w:r>
      <w:r>
        <w:rPr>
          <w:rFonts w:ascii="Arial"/>
          <w:b/>
          <w:bCs/>
          <w:sz w:val="38"/>
          <w:rtl/>
        </w:rPr>
        <w:t>ואינון נסין.</w:t>
      </w:r>
      <w:r>
        <w:rPr>
          <w:rFonts w:ascii="Arial"/>
          <w:sz w:val="38"/>
          <w:rtl/>
        </w:rPr>
        <w:t xml:space="preserve"> כידוע בסוד חנוכה ופורים, (יומא כא ע"א) כרובים בנס כו':</w:t>
      </w:r>
    </w:p>
  </w:footnote>
  <w:footnote w:id="1698">
    <w:p w:rsidR="00A13282" w:rsidRDefault="00A13282">
      <w:pPr>
        <w:pStyle w:val="a5"/>
        <w:rPr>
          <w:rtl/>
        </w:rPr>
      </w:pPr>
      <w:r>
        <w:rPr>
          <w:rStyle w:val="a7"/>
          <w:rtl/>
        </w:rPr>
        <w:footnoteRef/>
      </w:r>
      <w:r>
        <w:rPr>
          <w:rtl/>
        </w:rPr>
        <w:t xml:space="preserve"> </w:t>
      </w:r>
      <w:r>
        <w:rPr>
          <w:rFonts w:ascii="Arial"/>
          <w:b/>
          <w:bCs/>
          <w:sz w:val="38"/>
          <w:rtl/>
        </w:rPr>
        <w:t>אז כו'.</w:t>
      </w:r>
      <w:r>
        <w:rPr>
          <w:rFonts w:ascii="Arial"/>
          <w:sz w:val="38"/>
          <w:rtl/>
        </w:rPr>
        <w:t xml:space="preserve"> רוצה לומר הוד - ספירה שמינית כנ"ל, וזהו אז: א' - כתר, על ז' - מחכמה עד הוד:</w:t>
      </w:r>
    </w:p>
  </w:footnote>
  <w:footnote w:id="1699">
    <w:p w:rsidR="00A13282" w:rsidRDefault="00A13282">
      <w:pPr>
        <w:pStyle w:val="a5"/>
        <w:rPr>
          <w:rtl/>
        </w:rPr>
      </w:pPr>
      <w:r>
        <w:rPr>
          <w:rStyle w:val="a7"/>
          <w:rtl/>
        </w:rPr>
        <w:footnoteRef/>
      </w:r>
      <w:r>
        <w:rPr>
          <w:rtl/>
        </w:rPr>
        <w:t xml:space="preserve"> </w:t>
      </w:r>
      <w:r>
        <w:rPr>
          <w:rFonts w:ascii="Arial"/>
          <w:b/>
          <w:bCs/>
          <w:sz w:val="38"/>
          <w:rtl/>
        </w:rPr>
        <w:t>הוד דיהיב למשה.</w:t>
      </w:r>
      <w:r>
        <w:rPr>
          <w:rFonts w:ascii="Arial"/>
          <w:sz w:val="38"/>
          <w:rtl/>
        </w:rPr>
        <w:t xml:space="preserve"> כמו שכתוב (שמות לד לה) קרן עור פני משה, והוא קרן אחת שהיה לו במצחו משתי הקרנים כידוע וזה שכתוב (במדבר כז כ) ונתתה מהודך עליו, שממנו (בבא בתרא עה ע"א) פני יהושע כפני לבנה:</w:t>
      </w:r>
    </w:p>
  </w:footnote>
  <w:footnote w:id="1700">
    <w:p w:rsidR="00A13282" w:rsidRDefault="00A13282">
      <w:pPr>
        <w:pStyle w:val="a5"/>
        <w:rPr>
          <w:rtl/>
        </w:rPr>
      </w:pPr>
      <w:r>
        <w:rPr>
          <w:rStyle w:val="a7"/>
          <w:rtl/>
        </w:rPr>
        <w:footnoteRef/>
      </w:r>
      <w:r>
        <w:rPr>
          <w:rtl/>
        </w:rPr>
        <w:t xml:space="preserve"> </w:t>
      </w:r>
      <w:r>
        <w:rPr>
          <w:rFonts w:ascii="Arial"/>
          <w:b/>
          <w:bCs/>
          <w:sz w:val="38"/>
          <w:rtl/>
        </w:rPr>
        <w:t>ואיהו תמניא כו'.</w:t>
      </w:r>
      <w:r>
        <w:rPr>
          <w:rFonts w:ascii="Arial"/>
          <w:sz w:val="38"/>
          <w:rtl/>
        </w:rPr>
        <w:t xml:space="preserve"> רוצה לומר שהברית אתכליל משמונה ספירות שעל גביו:</w:t>
      </w:r>
    </w:p>
  </w:footnote>
  <w:footnote w:id="1701">
    <w:p w:rsidR="00A13282" w:rsidRDefault="00A13282">
      <w:pPr>
        <w:pStyle w:val="a5"/>
        <w:rPr>
          <w:rtl/>
        </w:rPr>
      </w:pPr>
      <w:r>
        <w:rPr>
          <w:rStyle w:val="a7"/>
          <w:rtl/>
        </w:rPr>
        <w:footnoteRef/>
      </w:r>
      <w:r>
        <w:rPr>
          <w:rtl/>
        </w:rPr>
        <w:t xml:space="preserve"> </w:t>
      </w:r>
      <w:r>
        <w:rPr>
          <w:rFonts w:ascii="Arial"/>
          <w:b/>
          <w:bCs/>
          <w:sz w:val="38"/>
          <w:rtl/>
        </w:rPr>
        <w:t>י' דמילה.</w:t>
      </w:r>
      <w:r>
        <w:rPr>
          <w:rFonts w:ascii="Arial"/>
          <w:sz w:val="38"/>
          <w:rtl/>
        </w:rPr>
        <w:t xml:space="preserve"> מלכות - ברית קודש כידוע:</w:t>
      </w:r>
    </w:p>
  </w:footnote>
  <w:footnote w:id="1702">
    <w:p w:rsidR="00A13282" w:rsidRDefault="00A13282">
      <w:pPr>
        <w:pStyle w:val="a5"/>
        <w:rPr>
          <w:rtl/>
        </w:rPr>
      </w:pPr>
      <w:r>
        <w:rPr>
          <w:rStyle w:val="a7"/>
          <w:rtl/>
        </w:rPr>
        <w:footnoteRef/>
      </w:r>
      <w:r>
        <w:rPr>
          <w:rtl/>
        </w:rPr>
        <w:t xml:space="preserve"> </w:t>
      </w:r>
      <w:r>
        <w:rPr>
          <w:rFonts w:ascii="Arial"/>
          <w:b/>
          <w:bCs/>
          <w:sz w:val="38"/>
          <w:rtl/>
        </w:rPr>
        <w:t>ומיד דעלה זית כו'.</w:t>
      </w:r>
      <w:r>
        <w:rPr>
          <w:rFonts w:ascii="Arial"/>
          <w:sz w:val="38"/>
          <w:rtl/>
        </w:rPr>
        <w:t xml:space="preserve"> רוצה לומר שמן דנרות דחנוכה:</w:t>
      </w:r>
    </w:p>
  </w:footnote>
  <w:footnote w:id="1703">
    <w:p w:rsidR="00A13282" w:rsidRDefault="00A13282">
      <w:pPr>
        <w:pStyle w:val="a5"/>
        <w:rPr>
          <w:rtl/>
        </w:rPr>
      </w:pPr>
      <w:r>
        <w:rPr>
          <w:rStyle w:val="a7"/>
          <w:rtl/>
        </w:rPr>
        <w:footnoteRef/>
      </w:r>
      <w:r>
        <w:rPr>
          <w:rtl/>
        </w:rPr>
        <w:t xml:space="preserve"> </w:t>
      </w:r>
      <w:r>
        <w:rPr>
          <w:rFonts w:ascii="Arial"/>
          <w:b/>
          <w:bCs/>
          <w:sz w:val="38"/>
          <w:rtl/>
        </w:rPr>
        <w:t>בחודש השביעי.</w:t>
      </w:r>
      <w:r>
        <w:rPr>
          <w:rFonts w:ascii="Arial"/>
          <w:sz w:val="38"/>
          <w:rtl/>
        </w:rPr>
        <w:t xml:space="preserve"> נצח - ספירה השביעי:</w:t>
      </w:r>
    </w:p>
  </w:footnote>
  <w:footnote w:id="1704">
    <w:p w:rsidR="00A13282" w:rsidRDefault="00A13282">
      <w:pPr>
        <w:pStyle w:val="a5"/>
        <w:rPr>
          <w:rtl/>
        </w:rPr>
      </w:pPr>
      <w:r>
        <w:rPr>
          <w:rStyle w:val="a7"/>
          <w:rtl/>
        </w:rPr>
        <w:footnoteRef/>
      </w:r>
      <w:r>
        <w:rPr>
          <w:rtl/>
        </w:rPr>
        <w:t xml:space="preserve"> </w:t>
      </w:r>
      <w:r>
        <w:rPr>
          <w:rFonts w:ascii="Arial"/>
          <w:b/>
          <w:bCs/>
          <w:sz w:val="38"/>
          <w:rtl/>
        </w:rPr>
        <w:t>בההיא ירכא כו'.</w:t>
      </w:r>
      <w:r>
        <w:rPr>
          <w:rFonts w:ascii="Arial"/>
          <w:sz w:val="38"/>
          <w:rtl/>
        </w:rPr>
        <w:t xml:space="preserve"> רוצה לומר בהוד והוא באלף החמישי כנ"ל:</w:t>
      </w:r>
    </w:p>
  </w:footnote>
  <w:footnote w:id="1705">
    <w:p w:rsidR="00A13282" w:rsidRDefault="00A13282">
      <w:pPr>
        <w:pStyle w:val="a5"/>
        <w:rPr>
          <w:rtl/>
        </w:rPr>
      </w:pPr>
      <w:r>
        <w:rPr>
          <w:rStyle w:val="a7"/>
          <w:rtl/>
        </w:rPr>
        <w:footnoteRef/>
      </w:r>
      <w:r>
        <w:rPr>
          <w:rtl/>
        </w:rPr>
        <w:t xml:space="preserve"> </w:t>
      </w:r>
      <w:r>
        <w:rPr>
          <w:rFonts w:ascii="Arial"/>
          <w:b/>
          <w:bCs/>
          <w:sz w:val="38"/>
          <w:rtl/>
        </w:rPr>
        <w:t>דפרח מיניה י'.</w:t>
      </w:r>
      <w:r>
        <w:rPr>
          <w:rFonts w:ascii="Arial"/>
          <w:sz w:val="38"/>
          <w:rtl/>
        </w:rPr>
        <w:t xml:space="preserve"> רוצה לומר י' דמילה שהוא קלקול הירך כנ"ל:</w:t>
      </w:r>
    </w:p>
  </w:footnote>
  <w:footnote w:id="1706">
    <w:p w:rsidR="00A13282" w:rsidRDefault="00A13282">
      <w:pPr>
        <w:pStyle w:val="a5"/>
        <w:rPr>
          <w:rtl/>
        </w:rPr>
      </w:pPr>
      <w:r>
        <w:rPr>
          <w:rStyle w:val="a7"/>
          <w:rtl/>
        </w:rPr>
        <w:footnoteRef/>
      </w:r>
      <w:r>
        <w:rPr>
          <w:rtl/>
        </w:rPr>
        <w:t xml:space="preserve"> </w:t>
      </w:r>
      <w:r>
        <w:rPr>
          <w:rFonts w:ascii="Arial"/>
          <w:b/>
          <w:bCs/>
          <w:sz w:val="38"/>
          <w:rtl/>
        </w:rPr>
        <w:t>עקב.</w:t>
      </w:r>
      <w:r>
        <w:rPr>
          <w:rFonts w:ascii="Arial"/>
          <w:sz w:val="38"/>
          <w:rtl/>
        </w:rPr>
        <w:t xml:space="preserve"> רוצה לומר שליטא דנחש כמו שמפרש והולך:</w:t>
      </w:r>
    </w:p>
  </w:footnote>
  <w:footnote w:id="1707">
    <w:p w:rsidR="00A13282" w:rsidRDefault="00A13282">
      <w:pPr>
        <w:pStyle w:val="a5"/>
        <w:rPr>
          <w:rtl/>
        </w:rPr>
      </w:pPr>
      <w:r>
        <w:rPr>
          <w:rStyle w:val="a7"/>
          <w:rtl/>
        </w:rPr>
        <w:footnoteRef/>
      </w:r>
      <w:r>
        <w:rPr>
          <w:rtl/>
        </w:rPr>
        <w:t xml:space="preserve"> </w:t>
      </w:r>
      <w:r>
        <w:rPr>
          <w:rFonts w:ascii="Arial"/>
          <w:b/>
          <w:bCs/>
          <w:sz w:val="38"/>
          <w:rtl/>
        </w:rPr>
        <w:t>כד אשתלימת סוכה.</w:t>
      </w:r>
      <w:r>
        <w:rPr>
          <w:rFonts w:ascii="Arial"/>
          <w:sz w:val="38"/>
          <w:rtl/>
        </w:rPr>
        <w:t xml:space="preserve"> רוצה לומר מלכות, ורוצה לומר זה שכתוב ויבא יעקב שלם, וכתיב לעיל מיניה ויעקב נסע סכותה:</w:t>
      </w:r>
    </w:p>
  </w:footnote>
  <w:footnote w:id="1708">
    <w:p w:rsidR="00A13282" w:rsidRDefault="00A13282">
      <w:pPr>
        <w:pStyle w:val="a5"/>
        <w:rPr>
          <w:rtl/>
        </w:rPr>
      </w:pPr>
      <w:r>
        <w:rPr>
          <w:rStyle w:val="a7"/>
          <w:rtl/>
        </w:rPr>
        <w:footnoteRef/>
      </w:r>
      <w:r>
        <w:rPr>
          <w:rtl/>
        </w:rPr>
        <w:t xml:space="preserve"> </w:t>
      </w:r>
      <w:r>
        <w:rPr>
          <w:rFonts w:ascii="Arial"/>
          <w:b/>
          <w:bCs/>
          <w:sz w:val="38"/>
          <w:rtl/>
        </w:rPr>
        <w:t>דא מגופא.</w:t>
      </w:r>
      <w:r>
        <w:rPr>
          <w:rFonts w:ascii="Arial"/>
          <w:sz w:val="38"/>
          <w:rtl/>
        </w:rPr>
        <w:t xml:space="preserve"> כלל הוי"ה, ומשה - מנשמתא, כלל מילוי דמ"ה:</w:t>
      </w:r>
    </w:p>
  </w:footnote>
  <w:footnote w:id="1709">
    <w:p w:rsidR="00A13282" w:rsidRDefault="00A13282">
      <w:pPr>
        <w:pStyle w:val="a5"/>
        <w:rPr>
          <w:rtl/>
        </w:rPr>
      </w:pPr>
      <w:r>
        <w:rPr>
          <w:rStyle w:val="a7"/>
          <w:rtl/>
        </w:rPr>
        <w:footnoteRef/>
      </w:r>
      <w:r>
        <w:rPr>
          <w:rtl/>
        </w:rPr>
        <w:t xml:space="preserve"> </w:t>
      </w:r>
      <w:r>
        <w:rPr>
          <w:rFonts w:ascii="Arial"/>
          <w:b/>
          <w:bCs/>
          <w:sz w:val="38"/>
          <w:rtl/>
        </w:rPr>
        <w:t>ובגין דא כו'.</w:t>
      </w:r>
      <w:r>
        <w:rPr>
          <w:rFonts w:ascii="Arial"/>
          <w:sz w:val="38"/>
          <w:rtl/>
        </w:rPr>
        <w:t xml:space="preserve"> רוצה לומר שלם - הוא בתרין ירכין:</w:t>
      </w:r>
    </w:p>
  </w:footnote>
  <w:footnote w:id="1710">
    <w:p w:rsidR="00A13282" w:rsidRDefault="00A13282">
      <w:pPr>
        <w:pStyle w:val="a5"/>
        <w:rPr>
          <w:rtl/>
        </w:rPr>
      </w:pPr>
      <w:r>
        <w:rPr>
          <w:rStyle w:val="a7"/>
          <w:rtl/>
        </w:rPr>
        <w:footnoteRef/>
      </w:r>
      <w:r>
        <w:rPr>
          <w:rtl/>
        </w:rPr>
        <w:t xml:space="preserve"> </w:t>
      </w:r>
      <w:r>
        <w:rPr>
          <w:rFonts w:ascii="Arial"/>
          <w:b/>
          <w:bCs/>
          <w:sz w:val="38"/>
          <w:rtl/>
        </w:rPr>
        <w:t>הה"ד ויבן כו'.</w:t>
      </w:r>
      <w:r>
        <w:rPr>
          <w:rFonts w:ascii="Arial"/>
          <w:sz w:val="38"/>
          <w:rtl/>
        </w:rPr>
        <w:t xml:space="preserve"> רוצה לומר שנסע לשכינה שנקראת סכות, ויבן אותה - בסוד בית, כמו שכתוב ויבן כו':</w:t>
      </w:r>
    </w:p>
  </w:footnote>
  <w:footnote w:id="1711">
    <w:p w:rsidR="00A13282" w:rsidRDefault="00A13282">
      <w:pPr>
        <w:pStyle w:val="a5"/>
        <w:rPr>
          <w:rtl/>
        </w:rPr>
      </w:pPr>
      <w:r>
        <w:rPr>
          <w:rStyle w:val="a7"/>
          <w:rtl/>
        </w:rPr>
        <w:footnoteRef/>
      </w:r>
      <w:r>
        <w:rPr>
          <w:rtl/>
        </w:rPr>
        <w:t xml:space="preserve"> </w:t>
      </w:r>
      <w:r>
        <w:rPr>
          <w:rFonts w:ascii="Arial"/>
          <w:b/>
          <w:bCs/>
          <w:sz w:val="38"/>
          <w:rtl/>
        </w:rPr>
        <w:t>סוכה שלימתא.</w:t>
      </w:r>
      <w:r>
        <w:rPr>
          <w:rFonts w:ascii="Arial"/>
          <w:sz w:val="38"/>
          <w:rtl/>
        </w:rPr>
        <w:t xml:space="preserve"> רוצה לומר שסכה הוא חסר ו', ובזמנא דאתחבר ו' עמה הוי סוכה שלימה - מלא ו', ואז הוא גימטריה שני שמות הללו, מה שאין כן בהיותה חסר ו' שאז היא גימטריה אלקים ורוצה לומר וזה ויבא יעקב שלם:</w:t>
      </w:r>
    </w:p>
  </w:footnote>
  <w:footnote w:id="1712">
    <w:p w:rsidR="00A13282" w:rsidRDefault="00A13282">
      <w:pPr>
        <w:pStyle w:val="a5"/>
        <w:rPr>
          <w:rtl/>
        </w:rPr>
      </w:pPr>
      <w:r>
        <w:rPr>
          <w:rStyle w:val="a7"/>
          <w:rtl/>
        </w:rPr>
        <w:footnoteRef/>
      </w:r>
      <w:r>
        <w:rPr>
          <w:rtl/>
        </w:rPr>
        <w:t xml:space="preserve"> </w:t>
      </w:r>
      <w:r>
        <w:rPr>
          <w:rFonts w:ascii="Arial"/>
          <w:b/>
          <w:bCs/>
          <w:sz w:val="38"/>
          <w:rtl/>
        </w:rPr>
        <w:t>אמאי אתמר כו'.</w:t>
      </w:r>
      <w:r>
        <w:rPr>
          <w:rFonts w:ascii="Arial"/>
          <w:sz w:val="38"/>
          <w:rtl/>
        </w:rPr>
        <w:t xml:space="preserve"> רוצה לומר ולמה לא בכל ימי הסכות:</w:t>
      </w:r>
    </w:p>
  </w:footnote>
  <w:footnote w:id="1713">
    <w:p w:rsidR="00A13282" w:rsidRDefault="00A13282">
      <w:pPr>
        <w:pStyle w:val="a5"/>
        <w:rPr>
          <w:rtl/>
        </w:rPr>
      </w:pPr>
      <w:r>
        <w:rPr>
          <w:rStyle w:val="a7"/>
          <w:rtl/>
        </w:rPr>
        <w:footnoteRef/>
      </w:r>
      <w:r>
        <w:rPr>
          <w:rtl/>
        </w:rPr>
        <w:t xml:space="preserve"> </w:t>
      </w:r>
      <w:r>
        <w:rPr>
          <w:rFonts w:ascii="Arial"/>
          <w:b/>
          <w:bCs/>
          <w:sz w:val="38"/>
          <w:rtl/>
        </w:rPr>
        <w:t>בימינא נטלין לון.</w:t>
      </w:r>
      <w:r>
        <w:rPr>
          <w:rFonts w:ascii="Arial"/>
          <w:sz w:val="38"/>
          <w:rtl/>
        </w:rPr>
        <w:t xml:space="preserve"> כמו שכתוב (שמות טו ו) ימינך ה' תרעץ אויב:</w:t>
      </w:r>
    </w:p>
  </w:footnote>
  <w:footnote w:id="1714">
    <w:p w:rsidR="00A13282" w:rsidRDefault="00A13282">
      <w:pPr>
        <w:pStyle w:val="a5"/>
        <w:rPr>
          <w:rtl/>
        </w:rPr>
      </w:pPr>
      <w:r>
        <w:rPr>
          <w:rStyle w:val="a7"/>
          <w:rtl/>
        </w:rPr>
        <w:footnoteRef/>
      </w:r>
      <w:r>
        <w:rPr>
          <w:rtl/>
        </w:rPr>
        <w:t xml:space="preserve"> </w:t>
      </w:r>
      <w:r>
        <w:rPr>
          <w:rFonts w:ascii="Arial"/>
          <w:b/>
          <w:bCs/>
          <w:sz w:val="38"/>
          <w:rtl/>
        </w:rPr>
        <w:t>וקרבא בע' אומין.</w:t>
      </w:r>
      <w:r>
        <w:rPr>
          <w:rFonts w:ascii="Arial"/>
          <w:sz w:val="38"/>
          <w:rtl/>
        </w:rPr>
        <w:t xml:space="preserve"> הן ע' פרי החג, וכולן נכללין בראשון, כמו שאומר שהן מסטרא דע"ב, ובשם ע"ב נצחין לון, וכללא דע"ב הוא וא"ו, גימטריה י"ג, עיין שם (דף י"ח ע"ב) ולכך ביום הראשון י"ג פרים:</w:t>
      </w:r>
    </w:p>
  </w:footnote>
  <w:footnote w:id="1715">
    <w:p w:rsidR="00A13282" w:rsidRDefault="00A13282">
      <w:pPr>
        <w:pStyle w:val="a5"/>
        <w:rPr>
          <w:rtl/>
        </w:rPr>
      </w:pPr>
      <w:r>
        <w:rPr>
          <w:rStyle w:val="a7"/>
          <w:rtl/>
        </w:rPr>
        <w:footnoteRef/>
      </w:r>
      <w:r>
        <w:rPr>
          <w:rtl/>
        </w:rPr>
        <w:t xml:space="preserve"> </w:t>
      </w:r>
      <w:r>
        <w:rPr>
          <w:rFonts w:ascii="Arial"/>
          <w:b/>
          <w:bCs/>
          <w:sz w:val="38"/>
          <w:rtl/>
        </w:rPr>
        <w:t>מקצץ בנטיעות מאן דמברך כו'.</w:t>
      </w:r>
      <w:r>
        <w:rPr>
          <w:rFonts w:ascii="Arial"/>
          <w:sz w:val="38"/>
          <w:rtl/>
        </w:rPr>
        <w:t xml:space="preserve"> רוצה לומר על הפסול:</w:t>
      </w:r>
    </w:p>
  </w:footnote>
  <w:footnote w:id="1716">
    <w:p w:rsidR="00A13282" w:rsidRDefault="00A13282">
      <w:pPr>
        <w:pStyle w:val="a5"/>
        <w:rPr>
          <w:rtl/>
        </w:rPr>
      </w:pPr>
      <w:r>
        <w:rPr>
          <w:rStyle w:val="a7"/>
          <w:rtl/>
        </w:rPr>
        <w:footnoteRef/>
      </w:r>
      <w:r>
        <w:rPr>
          <w:rtl/>
        </w:rPr>
        <w:t xml:space="preserve"> </w:t>
      </w:r>
      <w:r>
        <w:rPr>
          <w:rFonts w:ascii="Arial"/>
          <w:b/>
          <w:bCs/>
          <w:sz w:val="38"/>
          <w:rtl/>
        </w:rPr>
        <w:t>בגין כו'.</w:t>
      </w:r>
      <w:r>
        <w:rPr>
          <w:rFonts w:ascii="Arial"/>
          <w:sz w:val="38"/>
          <w:rtl/>
        </w:rPr>
        <w:t xml:space="preserve"> רוצה לומר שהוא יסוד כמו שמפרש והולך:</w:t>
      </w:r>
    </w:p>
  </w:footnote>
  <w:footnote w:id="1717">
    <w:p w:rsidR="00A13282" w:rsidRDefault="00A13282">
      <w:pPr>
        <w:pStyle w:val="a5"/>
        <w:rPr>
          <w:rtl/>
        </w:rPr>
      </w:pPr>
      <w:r>
        <w:rPr>
          <w:rStyle w:val="a7"/>
          <w:rtl/>
        </w:rPr>
        <w:footnoteRef/>
      </w:r>
      <w:r>
        <w:rPr>
          <w:rtl/>
        </w:rPr>
        <w:t xml:space="preserve"> </w:t>
      </w:r>
      <w:r>
        <w:rPr>
          <w:rFonts w:ascii="Arial"/>
          <w:b/>
          <w:bCs/>
          <w:sz w:val="38"/>
          <w:rtl/>
        </w:rPr>
        <w:t>ח"י נענועין.</w:t>
      </w:r>
      <w:r>
        <w:rPr>
          <w:rFonts w:ascii="Arial"/>
          <w:sz w:val="38"/>
          <w:rtl/>
        </w:rPr>
        <w:t xml:space="preserve"> רוצה לומר מסטרא דח"י עלמין:</w:t>
      </w:r>
    </w:p>
  </w:footnote>
  <w:footnote w:id="1718">
    <w:p w:rsidR="00A13282" w:rsidRDefault="00A13282">
      <w:pPr>
        <w:pStyle w:val="a5"/>
        <w:rPr>
          <w:rtl/>
        </w:rPr>
      </w:pPr>
      <w:r>
        <w:rPr>
          <w:rStyle w:val="a7"/>
          <w:rtl/>
        </w:rPr>
        <w:footnoteRef/>
      </w:r>
      <w:r>
        <w:rPr>
          <w:rtl/>
        </w:rPr>
        <w:t xml:space="preserve"> </w:t>
      </w:r>
      <w:r>
        <w:rPr>
          <w:rFonts w:ascii="Arial"/>
          <w:b/>
          <w:bCs/>
          <w:sz w:val="38"/>
          <w:rtl/>
        </w:rPr>
        <w:t>ואינון לקבל כו'.</w:t>
      </w:r>
      <w:r>
        <w:rPr>
          <w:rFonts w:ascii="Arial"/>
          <w:sz w:val="38"/>
          <w:rtl/>
        </w:rPr>
        <w:t xml:space="preserve"> רוצה לומר תיקונין שבראש, ויסוד ומלכות, שהן לולב ואתרוג - הן פה ולשון כידוע:</w:t>
      </w:r>
    </w:p>
  </w:footnote>
  <w:footnote w:id="1719">
    <w:p w:rsidR="00A13282" w:rsidRDefault="00A13282">
      <w:pPr>
        <w:pStyle w:val="a5"/>
        <w:rPr>
          <w:rtl/>
        </w:rPr>
      </w:pPr>
      <w:r>
        <w:rPr>
          <w:rStyle w:val="a7"/>
          <w:rtl/>
        </w:rPr>
        <w:footnoteRef/>
      </w:r>
      <w:r>
        <w:rPr>
          <w:rtl/>
        </w:rPr>
        <w:t xml:space="preserve"> </w:t>
      </w:r>
      <w:r>
        <w:rPr>
          <w:rFonts w:ascii="Arial"/>
          <w:b/>
          <w:bCs/>
          <w:sz w:val="38"/>
          <w:rtl/>
        </w:rPr>
        <w:t>תלת וחמשין סדרין.</w:t>
      </w:r>
      <w:r>
        <w:rPr>
          <w:rFonts w:ascii="Arial"/>
          <w:sz w:val="38"/>
          <w:rtl/>
        </w:rPr>
        <w:t xml:space="preserve"> שנצבים וילך - סדרא אחד הוא, ולא חלקו אלא להפסיק בין תבא לראש השנה כשחל בב"ג:</w:t>
      </w:r>
    </w:p>
  </w:footnote>
  <w:footnote w:id="1720">
    <w:p w:rsidR="00A13282" w:rsidRDefault="00A13282">
      <w:pPr>
        <w:pStyle w:val="a5"/>
        <w:rPr>
          <w:rtl/>
        </w:rPr>
      </w:pPr>
      <w:r>
        <w:rPr>
          <w:rStyle w:val="a7"/>
          <w:rtl/>
        </w:rPr>
        <w:footnoteRef/>
      </w:r>
      <w:r>
        <w:rPr>
          <w:rtl/>
        </w:rPr>
        <w:t xml:space="preserve"> </w:t>
      </w:r>
      <w:r>
        <w:rPr>
          <w:rFonts w:ascii="Arial"/>
          <w:b/>
          <w:bCs/>
          <w:sz w:val="38"/>
          <w:rtl/>
        </w:rPr>
        <w:t>כגוונא דחוג הארץ.</w:t>
      </w:r>
      <w:r>
        <w:rPr>
          <w:rFonts w:ascii="Arial"/>
          <w:sz w:val="38"/>
          <w:rtl/>
        </w:rPr>
        <w:t xml:space="preserve"> וכן כל חגין מסבבין ומשקין לשמיני עצרת, וזהו (סוכה מז ע"א) בפני עצמו - כמו מרכז בתוך העיגול:</w:t>
      </w:r>
    </w:p>
  </w:footnote>
  <w:footnote w:id="1721">
    <w:p w:rsidR="00A13282" w:rsidRDefault="00A13282">
      <w:pPr>
        <w:pStyle w:val="a5"/>
        <w:rPr>
          <w:rtl/>
        </w:rPr>
      </w:pPr>
      <w:r>
        <w:rPr>
          <w:rStyle w:val="a7"/>
          <w:rtl/>
        </w:rPr>
        <w:footnoteRef/>
      </w:r>
      <w:r>
        <w:rPr>
          <w:rtl/>
        </w:rPr>
        <w:t xml:space="preserve"> </w:t>
      </w:r>
      <w:r>
        <w:rPr>
          <w:rFonts w:ascii="Arial"/>
          <w:b/>
          <w:bCs/>
          <w:sz w:val="38"/>
          <w:rtl/>
        </w:rPr>
        <w:t>מתמן רנה.</w:t>
      </w:r>
      <w:r>
        <w:rPr>
          <w:rFonts w:ascii="Arial"/>
          <w:sz w:val="38"/>
          <w:rtl/>
        </w:rPr>
        <w:t xml:space="preserve"> ר' - בכ"ח, נ' - בבינה נ' תרעין, ה' - בה’ ספירות, שכוללן יסוד:</w:t>
      </w:r>
    </w:p>
  </w:footnote>
  <w:footnote w:id="1722">
    <w:p w:rsidR="00A13282" w:rsidRDefault="00A13282">
      <w:pPr>
        <w:pStyle w:val="a5"/>
        <w:rPr>
          <w:rtl/>
        </w:rPr>
      </w:pPr>
      <w:r>
        <w:rPr>
          <w:rStyle w:val="a7"/>
          <w:rtl/>
        </w:rPr>
        <w:footnoteRef/>
      </w:r>
      <w:r>
        <w:rPr>
          <w:rtl/>
        </w:rPr>
        <w:t xml:space="preserve"> </w:t>
      </w:r>
      <w:r>
        <w:rPr>
          <w:rFonts w:ascii="Arial"/>
          <w:b/>
          <w:bCs/>
          <w:sz w:val="38"/>
          <w:rtl/>
        </w:rPr>
        <w:t>וביה פורקנא.</w:t>
      </w:r>
      <w:r>
        <w:rPr>
          <w:rFonts w:ascii="Arial"/>
          <w:sz w:val="38"/>
          <w:rtl/>
        </w:rPr>
        <w:t xml:space="preserve"> כמו שכתוב (ירמיהו לא ו) רנו ליעקב שמחה, כמו שאומר להלן:</w:t>
      </w:r>
    </w:p>
  </w:footnote>
  <w:footnote w:id="1723">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עשיראה בתפלה כו'.</w:t>
      </w:r>
      <w:r w:rsidRPr="00BD5E91">
        <w:rPr>
          <w:sz w:val="22"/>
          <w:szCs w:val="22"/>
          <w:rtl/>
        </w:rPr>
        <w:t xml:space="preserve"> הוא סיום תיקון י"ב בעשר כו' ע"ס כסדר ע"ש וחשיב שם תשעה:</w:t>
      </w:r>
    </w:p>
  </w:footnote>
  <w:footnote w:id="1724">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שמעה ה' צדק.</w:t>
      </w:r>
      <w:r w:rsidRPr="00BD5E91">
        <w:rPr>
          <w:sz w:val="22"/>
          <w:szCs w:val="22"/>
          <w:rtl/>
        </w:rPr>
        <w:t xml:space="preserve"> שהוא מלכות שישמע בקשתה על ישראל וזהו תפלה לדוד וז"ש עליה אתמר כו': </w:t>
      </w:r>
    </w:p>
  </w:footnote>
  <w:footnote w:id="1725">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ואיוב מה דאמר כו'.</w:t>
      </w:r>
      <w:r w:rsidRPr="00BD5E91">
        <w:rPr>
          <w:sz w:val="22"/>
          <w:szCs w:val="22"/>
          <w:rtl/>
        </w:rPr>
        <w:t xml:space="preserve"> שקובל על גודל יסוריו וכן מה שסיפר גדולתו שהיה לו מקדם ואיך היה עכשיו שפל עד מאד כמ"ש (איכה א ז) זכרה ירושלים ימי עניה ומרודיה כל מחמודיה כו' וכן כל הענין של איוב הכל רמז על הגלות וז"ש (בבא בתרא טו ע"א) איוב כו' אלא משל היה:</w:t>
      </w:r>
    </w:p>
  </w:footnote>
  <w:footnote w:id="1726">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דאמר כלה כו'.</w:t>
      </w:r>
      <w:r w:rsidRPr="00BD5E91">
        <w:rPr>
          <w:sz w:val="22"/>
          <w:szCs w:val="22"/>
          <w:rtl/>
        </w:rPr>
        <w:t xml:space="preserve"> ר"ל שיאבדו ח"ו בגלות:</w:t>
      </w:r>
    </w:p>
  </w:footnote>
  <w:footnote w:id="1727">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בסוף יומיא.</w:t>
      </w:r>
      <w:r w:rsidRPr="00BD5E91">
        <w:rPr>
          <w:sz w:val="22"/>
          <w:szCs w:val="22"/>
          <w:rtl/>
        </w:rPr>
        <w:t xml:space="preserve"> חבלי משיח:</w:t>
      </w:r>
    </w:p>
  </w:footnote>
  <w:footnote w:id="1728">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ויירא יעקב כו'.</w:t>
      </w:r>
      <w:r w:rsidRPr="00BD5E91">
        <w:rPr>
          <w:sz w:val="22"/>
          <w:szCs w:val="22"/>
          <w:rtl/>
        </w:rPr>
        <w:t xml:space="preserve"> מפני עשו אחיו בגלות מחריבי הבית שכל הפ' ג"כ רמז לגלות כמ"ש קצת במדרש ע"ש:</w:t>
      </w:r>
    </w:p>
  </w:footnote>
  <w:footnote w:id="1729">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לתלת סטרין.</w:t>
      </w:r>
      <w:r w:rsidRPr="00BD5E91">
        <w:rPr>
          <w:sz w:val="22"/>
          <w:szCs w:val="22"/>
          <w:rtl/>
        </w:rPr>
        <w:t xml:space="preserve"> הערב רב שבהן וע"ה טובים שבהן ות"ח כמ"ש בר"מ שהן ג' סטרין העם ועמי וישראל:</w:t>
      </w:r>
    </w:p>
  </w:footnote>
  <w:footnote w:id="1730">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השפחות וילדיהן ראשונה.</w:t>
      </w:r>
      <w:r w:rsidRPr="00BD5E91">
        <w:rPr>
          <w:sz w:val="22"/>
          <w:szCs w:val="22"/>
          <w:rtl/>
        </w:rPr>
        <w:t xml:space="preserve"> הן הע"ר בנוי דלילית שפחה בישא ועליה נאמר (משלי ל כג) שפחה כי תירש גברתה וכן בניה שהן רישין דעמא קדישא בגלות בתראה שנא' (איכה א ה) היו צריה לראש כמ"ש בר"מ וז"ש ברישא זה כו':</w:t>
      </w:r>
    </w:p>
  </w:footnote>
  <w:footnote w:id="1731">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ואת לאה וילדיה אחרונים.</w:t>
      </w:r>
      <w:r w:rsidRPr="00BD5E91">
        <w:rPr>
          <w:sz w:val="22"/>
          <w:szCs w:val="22"/>
          <w:rtl/>
        </w:rPr>
        <w:t xml:space="preserve"> הן ע"ה טבין:</w:t>
      </w:r>
    </w:p>
  </w:footnote>
  <w:footnote w:id="1732">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ואת רחל כו'.</w:t>
      </w:r>
      <w:r w:rsidRPr="00BD5E91">
        <w:rPr>
          <w:sz w:val="22"/>
          <w:szCs w:val="22"/>
          <w:rtl/>
        </w:rPr>
        <w:t xml:space="preserve"> הן הת"ח שרחל עקרת הבית ולכן הקדים התורה בכ"מ רחל ללאה, (רות ד יא) כרחל וכלאה כו' והן אחרונים שהן שפלים ונבזים כמ"ש (משנה סוטה ט טו) יראי חטא ימאסו וחכמת סופרים תסרח כמו שהאריך בר"מ ע"ש וכן נקראו ישראל על שם יוסף וזהו ואת יוסף:</w:t>
      </w:r>
    </w:p>
  </w:footnote>
  <w:footnote w:id="1733">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ואמר ונתן כו'.</w:t>
      </w:r>
      <w:r w:rsidRPr="00BD5E91">
        <w:rPr>
          <w:sz w:val="22"/>
          <w:szCs w:val="22"/>
          <w:rtl/>
        </w:rPr>
        <w:t xml:space="preserve"> בשביל הת"ח שהן בגלות חסרין מכל טוב כמ"ש בר"מ:</w:t>
      </w:r>
    </w:p>
  </w:footnote>
  <w:footnote w:id="1734">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אמר רעב כו'.</w:t>
      </w:r>
      <w:r w:rsidRPr="00BD5E91">
        <w:rPr>
          <w:sz w:val="22"/>
          <w:szCs w:val="22"/>
          <w:rtl/>
        </w:rPr>
        <w:t xml:space="preserve"> לא שדוד אמר אלא על עם דוד אמרו ור"ל אותן שכ' ספר שמואל:</w:t>
      </w:r>
    </w:p>
  </w:footnote>
  <w:footnote w:id="1735">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במדבר.</w:t>
      </w:r>
      <w:r w:rsidRPr="00BD5E91">
        <w:rPr>
          <w:sz w:val="22"/>
          <w:szCs w:val="22"/>
          <w:rtl/>
        </w:rPr>
        <w:t xml:space="preserve"> בגלות וכן במדבר שיהיו לעתיד שנאמר (הושע ב טז) והולכתיה המדבר ושם יסבלו צרות גדולות שיאכלו מלוחים ושאר צרות כידוע:</w:t>
      </w:r>
    </w:p>
  </w:footnote>
  <w:footnote w:id="1736">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ובגין דחזא כו'.</w:t>
      </w:r>
      <w:r w:rsidRPr="00BD5E91">
        <w:rPr>
          <w:sz w:val="22"/>
          <w:szCs w:val="22"/>
          <w:rtl/>
        </w:rPr>
        <w:t xml:space="preserve"> בגלות כנ"ל ונהר יחרב ויבש:</w:t>
      </w:r>
    </w:p>
  </w:footnote>
  <w:footnote w:id="1737">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הוה איהו נטיל כו'.</w:t>
      </w:r>
      <w:r w:rsidRPr="00BD5E91">
        <w:rPr>
          <w:sz w:val="22"/>
          <w:szCs w:val="22"/>
          <w:rtl/>
        </w:rPr>
        <w:t xml:space="preserve"> כמ"ש (שמואל ב טו ל) וראש לו חפוי כו':</w:t>
      </w:r>
    </w:p>
  </w:footnote>
  <w:footnote w:id="1738">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דחזרו כו'.</w:t>
      </w:r>
      <w:r w:rsidRPr="00BD5E91">
        <w:rPr>
          <w:sz w:val="22"/>
          <w:szCs w:val="22"/>
          <w:rtl/>
        </w:rPr>
        <w:t xml:space="preserve"> מגלות שאז יהיה שיר תאב כו' כמ"ש בתיקונים ת"י ע"ש:</w:t>
      </w:r>
    </w:p>
  </w:footnote>
  <w:footnote w:id="1739">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תקן עשר כו'.</w:t>
      </w:r>
      <w:r w:rsidRPr="00BD5E91">
        <w:rPr>
          <w:sz w:val="22"/>
          <w:szCs w:val="22"/>
          <w:rtl/>
        </w:rPr>
        <w:t xml:space="preserve"> עשר הנ"ל:</w:t>
      </w:r>
    </w:p>
  </w:footnote>
  <w:footnote w:id="1740">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ובסוף כלהו כו'.</w:t>
      </w:r>
      <w:r w:rsidRPr="00BD5E91">
        <w:rPr>
          <w:sz w:val="22"/>
          <w:szCs w:val="22"/>
          <w:rtl/>
        </w:rPr>
        <w:t xml:space="preserve"> שהיא סוף דעשר הנ"ל:</w:t>
      </w:r>
    </w:p>
  </w:footnote>
  <w:footnote w:id="1741">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תפלה לדוד כו'.</w:t>
      </w:r>
      <w:r w:rsidRPr="00BD5E91">
        <w:rPr>
          <w:sz w:val="22"/>
          <w:szCs w:val="22"/>
          <w:rtl/>
        </w:rPr>
        <w:t xml:space="preserve"> סיפא דקרא כי עני ואביון אני וז"ש חזא כו':</w:t>
      </w:r>
    </w:p>
  </w:footnote>
  <w:footnote w:id="1742">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צלותין דניגונא.</w:t>
      </w:r>
      <w:r w:rsidRPr="00BD5E91">
        <w:rPr>
          <w:sz w:val="22"/>
          <w:szCs w:val="22"/>
          <w:rtl/>
        </w:rPr>
        <w:t xml:space="preserve"> עשר מיני ניגונא הנ"ל:</w:t>
      </w:r>
    </w:p>
  </w:footnote>
  <w:footnote w:id="1743">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ובג"ד צלותא דעני אקדים לכולהו.</w:t>
      </w:r>
      <w:r w:rsidRPr="00BD5E91">
        <w:rPr>
          <w:sz w:val="22"/>
          <w:szCs w:val="22"/>
          <w:rtl/>
        </w:rPr>
        <w:t xml:space="preserve"> דבתפלה צריך למיעבד עצמו כעני וכעבד וכחסיד כמ"ש בזוהר וכעני צריך לעשות בהתחלה כשיאמר אדנ"י שפתי לתרעא דהיכלא וזהו צלותא דעני אקדים כו':</w:t>
      </w:r>
    </w:p>
  </w:footnote>
  <w:footnote w:id="1744">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מאן צלותא כו'.</w:t>
      </w:r>
      <w:r w:rsidRPr="00BD5E91">
        <w:rPr>
          <w:sz w:val="22"/>
          <w:szCs w:val="22"/>
          <w:rtl/>
        </w:rPr>
        <w:t xml:space="preserve"> ולפיכך הקדים התנא (משנה ברכות א א) מאימתי קורין בערבית:</w:t>
      </w:r>
    </w:p>
  </w:footnote>
  <w:footnote w:id="1745">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 צלותא דערבית.</w:t>
      </w:r>
      <w:r w:rsidRPr="00BD5E91">
        <w:rPr>
          <w:sz w:val="22"/>
          <w:szCs w:val="22"/>
          <w:rtl/>
        </w:rPr>
        <w:t xml:space="preserve"> רמז לגלות וז"ש דאיהי כו': </w:t>
      </w:r>
    </w:p>
  </w:footnote>
  <w:footnote w:id="1746">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לעני דילה.</w:t>
      </w:r>
      <w:r w:rsidRPr="00BD5E91">
        <w:rPr>
          <w:sz w:val="22"/>
          <w:szCs w:val="22"/>
          <w:rtl/>
        </w:rPr>
        <w:t xml:space="preserve"> יסוד שהוא יום השביעי וצדקה הוא אימא עילאה כידוע דאתגליא בשבת שהיא יום השביעי ממטה למעלה והיא ג"כ שבת כידוע:</w:t>
      </w:r>
    </w:p>
  </w:footnote>
  <w:footnote w:id="1747">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שמש בשבת.</w:t>
      </w:r>
      <w:r w:rsidRPr="00BD5E91">
        <w:rPr>
          <w:sz w:val="22"/>
          <w:szCs w:val="22"/>
          <w:rtl/>
        </w:rPr>
        <w:t xml:space="preserve"> (תהלים פד יב) כי שמש ומגן ה' אלקים:</w:t>
      </w:r>
    </w:p>
  </w:footnote>
  <w:footnote w:id="1748">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לעניים.</w:t>
      </w:r>
      <w:r w:rsidRPr="00BD5E91">
        <w:rPr>
          <w:sz w:val="22"/>
          <w:szCs w:val="22"/>
          <w:rtl/>
        </w:rPr>
        <w:t xml:space="preserve"> צדיק וצדק:</w:t>
      </w:r>
    </w:p>
  </w:footnote>
  <w:footnote w:id="1749">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כעני לתרעא דמלכא.</w:t>
      </w:r>
      <w:r w:rsidRPr="00BD5E91">
        <w:rPr>
          <w:sz w:val="22"/>
          <w:szCs w:val="22"/>
          <w:rtl/>
        </w:rPr>
        <w:t xml:space="preserve"> אצל אדנ"י שפתי כו' כמש"ו כעני עומד בפתח ששם הוא פתחא דהיכלא:</w:t>
      </w:r>
    </w:p>
  </w:footnote>
  <w:footnote w:id="1750">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בכל שית כו'.</w:t>
      </w:r>
      <w:r w:rsidRPr="00BD5E91">
        <w:rPr>
          <w:sz w:val="22"/>
          <w:szCs w:val="22"/>
          <w:rtl/>
        </w:rPr>
        <w:t xml:space="preserve"> שבחול היא ענייה משא"כ בשבת כנ"ל שמש כו' וכמש"ו דבשבת מתפתחין כו':</w:t>
      </w:r>
    </w:p>
  </w:footnote>
  <w:footnote w:id="1751">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ומתעטף כו' כעני.</w:t>
      </w:r>
      <w:r w:rsidRPr="00BD5E91">
        <w:rPr>
          <w:sz w:val="22"/>
          <w:szCs w:val="22"/>
          <w:rtl/>
        </w:rPr>
        <w:t xml:space="preserve"> כמ"ש לעני כי יעטוף:</w:t>
      </w:r>
    </w:p>
  </w:footnote>
  <w:footnote w:id="1752">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ויהא בתפילין כאביון.</w:t>
      </w:r>
      <w:r w:rsidRPr="00BD5E91">
        <w:rPr>
          <w:sz w:val="22"/>
          <w:szCs w:val="22"/>
          <w:rtl/>
        </w:rPr>
        <w:t xml:space="preserve"> תפלין של יד יד כהה תפלה לעני כו' ועני הוא גרוע יותר מאביון שאביון אינו מתבזה שטלית הוא בכסא כמ"ש בתיקוני' והוכן בחסד כסא ע"ב קשרים וחוליין ותפלין הוא בשכינה וכבודי לאחר לא אתן:</w:t>
      </w:r>
    </w:p>
  </w:footnote>
  <w:footnote w:id="1753">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לתרעא דהיכלא כו'.</w:t>
      </w:r>
      <w:r w:rsidRPr="00BD5E91">
        <w:rPr>
          <w:sz w:val="22"/>
          <w:szCs w:val="22"/>
          <w:rtl/>
        </w:rPr>
        <w:t xml:space="preserve"> כעני עומד בפתח תרעא גי' מילוי אדנ"י:</w:t>
      </w:r>
    </w:p>
  </w:footnote>
  <w:footnote w:id="1754">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דאיהי אדנ"י.</w:t>
      </w:r>
      <w:r w:rsidRPr="00BD5E91">
        <w:rPr>
          <w:sz w:val="22"/>
          <w:szCs w:val="22"/>
          <w:rtl/>
        </w:rPr>
        <w:t xml:space="preserve"> ר"ל היכל:</w:t>
      </w:r>
    </w:p>
  </w:footnote>
  <w:footnote w:id="1755">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נשרא כו'.</w:t>
      </w:r>
      <w:r w:rsidRPr="00BD5E91">
        <w:rPr>
          <w:sz w:val="22"/>
          <w:szCs w:val="22"/>
          <w:rtl/>
        </w:rPr>
        <w:t xml:space="preserve">  יעקב שהוא תיקן ערבית:</w:t>
      </w:r>
    </w:p>
  </w:footnote>
  <w:footnote w:id="1756">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ביומין דחול.</w:t>
      </w:r>
      <w:r w:rsidRPr="00BD5E91">
        <w:rPr>
          <w:sz w:val="22"/>
          <w:szCs w:val="22"/>
          <w:rtl/>
        </w:rPr>
        <w:t xml:space="preserve"> החיות דיצירה שהתפלה בחול ע"י מט"ט כידוע משא"כ בשבת דאבהן בעצמן נחיתן כמש"ל:</w:t>
      </w:r>
    </w:p>
  </w:footnote>
  <w:footnote w:id="1757">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אתקרי אוריאל כו'.</w:t>
      </w:r>
      <w:r w:rsidRPr="00BD5E91">
        <w:rPr>
          <w:sz w:val="22"/>
          <w:szCs w:val="22"/>
          <w:rtl/>
        </w:rPr>
        <w:t xml:space="preserve"> שהוא בדרגא דעד"א כלול מחו"ג כידוע:</w:t>
      </w:r>
    </w:p>
  </w:footnote>
  <w:footnote w:id="1758">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מסט' דחסד.</w:t>
      </w:r>
      <w:r w:rsidRPr="00BD5E91">
        <w:rPr>
          <w:sz w:val="22"/>
          <w:szCs w:val="22"/>
          <w:rtl/>
        </w:rPr>
        <w:t xml:space="preserve"> ששם אריה וזהו אוריאל:</w:t>
      </w:r>
    </w:p>
  </w:footnote>
  <w:footnote w:id="1759">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מסט' דגבורה כו'.</w:t>
      </w:r>
      <w:r w:rsidRPr="00BD5E91">
        <w:rPr>
          <w:sz w:val="22"/>
          <w:szCs w:val="22"/>
          <w:rtl/>
        </w:rPr>
        <w:t xml:space="preserve"> ומ"מ שמאל כלול תמיד בימין לכן נוריאל באל:</w:t>
      </w:r>
    </w:p>
  </w:footnote>
  <w:footnote w:id="1760">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דאתמר ביה נהר כו'.</w:t>
      </w:r>
      <w:r w:rsidRPr="00BD5E91">
        <w:rPr>
          <w:sz w:val="22"/>
          <w:szCs w:val="22"/>
          <w:rtl/>
        </w:rPr>
        <w:t xml:space="preserve"> שנהר הוא מט"ט כלול כל החיות מסט' דימינא נקרא נהר פלגיו ומסט' דשמאלא נהר דינור ומסט' דעד"א נהר כבר כידוע:</w:t>
      </w:r>
    </w:p>
  </w:footnote>
  <w:footnote w:id="1761">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בדרועוי וגדפוי.</w:t>
      </w:r>
      <w:r w:rsidRPr="00BD5E91">
        <w:rPr>
          <w:sz w:val="22"/>
          <w:szCs w:val="22"/>
          <w:rtl/>
        </w:rPr>
        <w:t xml:space="preserve"> שנא' וידי אדם מתחת כנפיהם וכ"ה בכל חיה ובשור הוא קרניו ואפשר שהן ב' כנפים שנתמעטו לאחר החורבן שהן עכשיו בסתירו כמ"ש לקבל בעלי תשובה מפני מדת הדין ששולט בגלות והן המקבלין התפלה כמ"ש בתיקונים וז"ש נשא לבבנו אל כפים:</w:t>
      </w:r>
    </w:p>
  </w:footnote>
  <w:footnote w:id="1762">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בתלת אבהן.</w:t>
      </w:r>
      <w:r w:rsidRPr="00BD5E91">
        <w:rPr>
          <w:sz w:val="22"/>
          <w:szCs w:val="22"/>
          <w:rtl/>
        </w:rPr>
        <w:t xml:space="preserve"> באצי' חג"ת:</w:t>
      </w:r>
    </w:p>
  </w:footnote>
  <w:footnote w:id="1763">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דשבת ש'.</w:t>
      </w:r>
      <w:r w:rsidRPr="00BD5E91">
        <w:rPr>
          <w:sz w:val="22"/>
          <w:szCs w:val="22"/>
          <w:rtl/>
        </w:rPr>
        <w:t xml:space="preserve"> חג"ת כידוע ג' אבהן:</w:t>
      </w:r>
    </w:p>
  </w:footnote>
  <w:footnote w:id="1764">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בת יחידה כו'.</w:t>
      </w:r>
      <w:r w:rsidRPr="00BD5E91">
        <w:rPr>
          <w:sz w:val="22"/>
          <w:szCs w:val="22"/>
          <w:rtl/>
        </w:rPr>
        <w:t xml:space="preserve"> מלכות ובחול חיה הרביעית אדם בדרגא דידה כלל החיות:</w:t>
      </w:r>
    </w:p>
  </w:footnote>
  <w:footnote w:id="1765">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חיוון עילאין כו'.</w:t>
      </w:r>
      <w:r w:rsidRPr="00BD5E91">
        <w:rPr>
          <w:sz w:val="22"/>
          <w:szCs w:val="22"/>
          <w:rtl/>
        </w:rPr>
        <w:t xml:space="preserve"> חג"ת שהן ג' חיוון הנ"ל:</w:t>
      </w:r>
    </w:p>
  </w:footnote>
  <w:footnote w:id="1766">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שאו שערים.</w:t>
      </w:r>
      <w:r w:rsidRPr="00BD5E91">
        <w:rPr>
          <w:sz w:val="22"/>
          <w:szCs w:val="22"/>
          <w:rtl/>
        </w:rPr>
        <w:t xml:space="preserve"> תרעין דהיכלין:</w:t>
      </w:r>
    </w:p>
  </w:footnote>
  <w:footnote w:id="1767">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ראשיכם.</w:t>
      </w:r>
      <w:r w:rsidRPr="00BD5E91">
        <w:rPr>
          <w:sz w:val="22"/>
          <w:szCs w:val="22"/>
          <w:rtl/>
        </w:rPr>
        <w:t xml:space="preserve"> שהן ראשים כמ"ש (דבה"י א ח כח) אלה ראשי אבות חג"ת כידוע:</w:t>
      </w:r>
    </w:p>
  </w:footnote>
  <w:footnote w:id="1768">
    <w:p w:rsidR="00B558C5" w:rsidRPr="00BD5E91" w:rsidRDefault="00B558C5" w:rsidP="00B558C5">
      <w:pPr>
        <w:jc w:val="both"/>
        <w:rPr>
          <w:rFonts w:cs="Arial"/>
          <w:sz w:val="22"/>
          <w:szCs w:val="22"/>
          <w:rtl/>
        </w:rPr>
      </w:pPr>
      <w:r w:rsidRPr="00BD5E91">
        <w:rPr>
          <w:rStyle w:val="a7"/>
          <w:rFonts w:cs="Arial"/>
          <w:sz w:val="22"/>
          <w:szCs w:val="22"/>
          <w:rtl/>
        </w:rPr>
        <w:footnoteRef/>
      </w:r>
      <w:r w:rsidRPr="00BD5E91">
        <w:rPr>
          <w:rFonts w:cs="Arial"/>
          <w:sz w:val="22"/>
          <w:szCs w:val="22"/>
          <w:rtl/>
        </w:rPr>
        <w:t xml:space="preserve"> </w:t>
      </w:r>
      <w:r w:rsidRPr="00BD5E91">
        <w:rPr>
          <w:rFonts w:cs="Arial"/>
          <w:b/>
          <w:bCs/>
          <w:sz w:val="22"/>
          <w:szCs w:val="22"/>
          <w:rtl/>
        </w:rPr>
        <w:t>היכלא קדמאה כו'.</w:t>
      </w:r>
      <w:r w:rsidRPr="00BD5E91">
        <w:rPr>
          <w:rFonts w:cs="Arial"/>
          <w:sz w:val="22"/>
          <w:szCs w:val="22"/>
          <w:rtl/>
        </w:rPr>
        <w:t xml:space="preserve"> ז"ת כסדר נו"ה הן אספקלריא דנהרא ודלא נהרא כמ"ש בתיקו' שהוא בנצח והיא בהוד:</w:t>
      </w:r>
    </w:p>
  </w:footnote>
  <w:footnote w:id="1769">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ועלייהו כתיב כו'.</w:t>
      </w:r>
      <w:r w:rsidRPr="00BD5E91">
        <w:rPr>
          <w:sz w:val="22"/>
          <w:szCs w:val="22"/>
          <w:rtl/>
        </w:rPr>
        <w:t xml:space="preserve"> ר"ל שבראשית הוא אותיות ברא שית והן ו"ק ו' היכלות ברא אלקים שברא היכל השביעי מלכות וחלקן ואמר ב"פ ברא שו"ק הן פרצוף לבדו ומלכות פרצוף לבדו וכ"ז הוא בבינה שהיא כולל הז' היכלות זו"נ בה' עילאה שהוא צורת ד"ו דו פרצופין ו' ו"ק ו' היכלין ד' היכל השביעי היכל דין וכ"ה למטה במקומן לאחר שיצאו מאימא וזהו את השמים ואת הארץ ז' היכלות וז"ש ואינון ז' היכלין כו' והן ו"ה שבשם ו' ו' היכלין ה' היכל השביעי שקודם היא ד' כנ"ל ולאחר שמקבלת מדכורא נעשית ה' כידוע ו' בתוך ה' ולכן היא ג"כ ז' היכלין וכן היא נכללת בו בעטרת כידוע והן ז' רקיעין ז' ארעין והן שלשה תפלות של שבת שהן בבינה ו"ק מלכות כמ"ש בתי"ח ובכ"א ז' ברכות ז' היכלין וז"ש. ולקבלייהו ז' קלי כו' שאמרו הני ז' דשבתא כנגד מי כנגד שבעה קולות כו':</w:t>
      </w:r>
    </w:p>
  </w:footnote>
  <w:footnote w:id="1770">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וי"ח אזכרות דהבו כו' דבהון כו'.</w:t>
      </w:r>
      <w:r w:rsidRPr="00BD5E91">
        <w:rPr>
          <w:sz w:val="22"/>
          <w:szCs w:val="22"/>
          <w:rtl/>
        </w:rPr>
        <w:t xml:space="preserve"> ר"ל ח"י ברכות של חול שאמרו שהוא כנגד ח"י אזכרות דהבו כו' והוא כנגד ח"י עלמין דמתלבש במט"ט בט"ט שבו כידוע בחול כמ"ש יהיה סגור ששת ימי המעשה שמט"ט נק' ששת ימי המעשה כמ"ש לעיל בדף הקודם ושליט בשית יומין דחול כו' וביה ששת ימים תעבוד ועשית כל מלאכתך ולית עבודה אלא צלותא כו' שהוא המקבל  התפלה בימות החול כידוע וז"ש לעיל נחית נשרא כו' שהוא כולל החיות כידוע וז"ש ברכב אלקים כו':</w:t>
      </w:r>
    </w:p>
  </w:footnote>
  <w:footnote w:id="1771">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דאינון י"ח אלפי רבוא כו'.</w:t>
      </w:r>
      <w:r w:rsidRPr="00BD5E91">
        <w:rPr>
          <w:sz w:val="22"/>
          <w:szCs w:val="22"/>
          <w:rtl/>
        </w:rPr>
        <w:t xml:space="preserve"> והוא כמ"ש (ע"ז ג ע"ב) א"ת שנאן  אלא שאינן ורכב הוא מט"ט שהוא רכב לקב"ה כמ"ש (שם) בלילה מאי עביד רוכב על כרוב קל שלו ושט בח"י עולמות והענין כי לילה הוא הגלות ואמר רוכב כו' שכרוב הוא מט"ט שהוא כלל החיות שנק' כרובים כמ"ש (יחזקאל י כ) ואדע כי כרובים המה ובו מתלבש הויה והוא אחוריים דהויה פשוטה ומילואה שהוא ע"ב ק"ל כמ"ש (ישעיהו יט א) הנה ה' רוכב על ע"ב ק"ל והן רב דרוכב והוי' רוכב עליו ומתלבש בו כ"ו דרוכב וזהו ה' רוכב על ע"ב ק"ל שלכן נק' כרוב וידוע דכל דרגין דלעילא נכללין בדרגא דלתתא והוא קל וזהו כרוב קל שלו שכרוב א' נשאר בגלות והוא הנ"ל וזהו ושט בח"י עולמות כנ"ל והוא רכב נהר כב"ר מסט' דעד"א כנ"ל והוא כולל ג' ראשונות שהן רכב כמ"ש לקמן דף ס' מאי רכב ר' חכמה כ' כתר ב' בינה ובוא"ו דעד"א נעשה כרוב והקב"ה רוכב והוא רכב אלקים של מלכות שהיא כלל כל הספירות וכולם מתלבשין בו וזהו על נהר כבר שחזא בו יחזקאל כל ע"ס כמש"ל דף ע"ג ע"א ובה"ת ובשבת מתפתחין היכל וביום השבת יפתח:</w:t>
      </w:r>
    </w:p>
  </w:footnote>
  <w:footnote w:id="1772">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במדה ובמשקל.</w:t>
      </w:r>
      <w:r w:rsidRPr="00BD5E91">
        <w:rPr>
          <w:sz w:val="22"/>
          <w:szCs w:val="22"/>
          <w:rtl/>
        </w:rPr>
        <w:t xml:space="preserve"> כמ"ש מאזני צדק כו' וצדק הוא צלותא מאזני צדק אבני צדק משקל איפת צדק כו' מדה:</w:t>
      </w:r>
    </w:p>
  </w:footnote>
  <w:footnote w:id="1773">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במאזנייא.</w:t>
      </w:r>
      <w:r w:rsidRPr="00BD5E91">
        <w:rPr>
          <w:sz w:val="22"/>
          <w:szCs w:val="22"/>
          <w:rtl/>
        </w:rPr>
        <w:t xml:space="preserve"> כנ"ל והוא הטיקלא ששוקלין אם לקדושה אם לס"א וכן בתשרי שג' ספרים נפתחים בו מזלו מאזנים:</w:t>
      </w:r>
    </w:p>
  </w:footnote>
  <w:footnote w:id="1774">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אע"ג כו'.</w:t>
      </w:r>
      <w:r w:rsidRPr="00BD5E91">
        <w:rPr>
          <w:sz w:val="22"/>
          <w:szCs w:val="22"/>
          <w:rtl/>
        </w:rPr>
        <w:t xml:space="preserve"> על נשמתא:</w:t>
      </w:r>
    </w:p>
  </w:footnote>
  <w:footnote w:id="1775">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בלא מחשבה.</w:t>
      </w:r>
      <w:r w:rsidRPr="00BD5E91">
        <w:rPr>
          <w:sz w:val="22"/>
          <w:szCs w:val="22"/>
          <w:rtl/>
        </w:rPr>
        <w:t xml:space="preserve"> ר"ל כוונה:</w:t>
      </w:r>
    </w:p>
  </w:footnote>
  <w:footnote w:id="1776">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אם טעה כו'.</w:t>
      </w:r>
      <w:r w:rsidRPr="00BD5E91">
        <w:rPr>
          <w:sz w:val="22"/>
          <w:szCs w:val="22"/>
          <w:rtl/>
        </w:rPr>
        <w:t xml:space="preserve"> שכ"א הוא בפ"ע ג' מיני עבד כמ"ש בדף הקודם  ע"ג וז"ש ובג"ד אוקמוה כו':</w:t>
      </w:r>
    </w:p>
  </w:footnote>
  <w:footnote w:id="1777">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מי יעלה כו'.</w:t>
      </w:r>
      <w:r w:rsidRPr="00BD5E91">
        <w:rPr>
          <w:sz w:val="22"/>
          <w:szCs w:val="22"/>
          <w:rtl/>
        </w:rPr>
        <w:t xml:space="preserve"> שב' דברים צריך לעליית התפלה א' שלא יהיה במארי דצלותין חובין כמ"ש לעיל בדף ע"ד ע"ב וסמא'  וחייליה רדפין אבתריה בכמה חובין כו'. וא' שהתפלה עצמה תהא נקיה כמ"ש כאן וזהו (תהלים כד ג) מי יעלה כו' נקי כפים מן העבירה ובר לבב בתפלה וזהו אשר לא נשא לשוא נפשו שהוא התפלה ואשפוך את נפשי (שמואל א א טו) ולא נשבע למרמה במעשיו שמשביעין אותו קודם לידתו כידוע (נדה ל ע"ב) כמ"ש (ויקרא ה א) ונפש כי תחטא ושמעה כו' וזה התפלה ישא ברכה כו':</w:t>
      </w:r>
    </w:p>
  </w:footnote>
  <w:footnote w:id="1778">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איהי מטה.</w:t>
      </w:r>
      <w:r w:rsidRPr="00BD5E91">
        <w:rPr>
          <w:sz w:val="22"/>
          <w:szCs w:val="22"/>
          <w:rtl/>
        </w:rPr>
        <w:t xml:space="preserve"> שהן ג' דרגין שלחן ומנורה ומטה צפון ודרום ומערב ק"ק נקרא חדר המטות:</w:t>
      </w:r>
    </w:p>
  </w:footnote>
  <w:footnote w:id="1779">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ביעקב.</w:t>
      </w:r>
      <w:r w:rsidRPr="00BD5E91">
        <w:rPr>
          <w:sz w:val="22"/>
          <w:szCs w:val="22"/>
          <w:rtl/>
        </w:rPr>
        <w:t xml:space="preserve"> שהוא תקן לתפלת ערבית:</w:t>
      </w:r>
    </w:p>
  </w:footnote>
  <w:footnote w:id="1780">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על ראש המטה.</w:t>
      </w:r>
      <w:r w:rsidRPr="00BD5E91">
        <w:rPr>
          <w:sz w:val="22"/>
          <w:szCs w:val="22"/>
          <w:rtl/>
        </w:rPr>
        <w:t xml:space="preserve"> לדרגיה עד"א שהוא על ראש המטה כמ"ש בזוהר והוא לן עמה בגלותא שהוא ערבית ויפגע במקום וילן שם כידוע:</w:t>
      </w:r>
    </w:p>
  </w:footnote>
  <w:footnote w:id="1781">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דאיהו בבי מרעא.</w:t>
      </w:r>
      <w:r w:rsidRPr="00BD5E91">
        <w:rPr>
          <w:sz w:val="22"/>
          <w:szCs w:val="22"/>
          <w:rtl/>
        </w:rPr>
        <w:t xml:space="preserve"> ר"ל חולת אהבה רשות בלא בעלה לכן היא דרגא דמטה מעריב כנ"ל:</w:t>
      </w:r>
    </w:p>
  </w:footnote>
  <w:footnote w:id="1782">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כמעט כו'.</w:t>
      </w:r>
      <w:r w:rsidRPr="00BD5E91">
        <w:rPr>
          <w:sz w:val="22"/>
          <w:szCs w:val="22"/>
          <w:rtl/>
        </w:rPr>
        <w:t xml:space="preserve"> רישא דקרא על משכבי בלילות שהוא בגלות כמ"ש בזוהר בקשתי כו' כמ"ש ונבקשנו עמך בכמה צלותין ובעותין כמעט כו' ובסיפא דקרא מי זאת עולה כו' שהוא התפלה ואמר הנה מטתו כו' מפחד בלילות דלא ירדפון ס"א אבתרואי כמ"ש למטה שלכך אומרים קודם ערבית והוא רחום כו':</w:t>
      </w:r>
    </w:p>
  </w:footnote>
  <w:footnote w:id="1783">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ואמר שאו שערים כו'.</w:t>
      </w:r>
      <w:r w:rsidRPr="00BD5E91">
        <w:rPr>
          <w:sz w:val="22"/>
          <w:szCs w:val="22"/>
          <w:rtl/>
        </w:rPr>
        <w:t xml:space="preserve"> הוא סיפא דקרא הנ"ל מי יעלה שאו שערים דמתפתחין כמ"ש לעיל חיון עלאין כו' פתחין ואמרין כו' וכן בחול חיון תתאין שהן בדרגא דילהון:</w:t>
      </w:r>
    </w:p>
  </w:footnote>
  <w:footnote w:id="1784">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מסט' דעד"א וצדיק.</w:t>
      </w:r>
      <w:r w:rsidRPr="00BD5E91">
        <w:rPr>
          <w:sz w:val="22"/>
          <w:szCs w:val="22"/>
          <w:rtl/>
        </w:rPr>
        <w:t xml:space="preserve"> ב"פ מלך והן ד' אותיות השם ד' חיון ד' תפלות אימא עילאה ותתאה הן שמאלא וימינא  דשכינה תתאה באבא והן י"ה שחרית ומנחה עד"א ו' ערבית והן ג' חיון הנ"ל צדיק תפלת מוסף דכליל כל התפלות ובו נכלל שכינה תתאה והוא ה' של השם חיה רביעית:</w:t>
      </w:r>
    </w:p>
  </w:footnote>
  <w:footnote w:id="1785">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ובג"ד מצלין כו'.</w:t>
      </w:r>
      <w:r w:rsidRPr="00BD5E91">
        <w:rPr>
          <w:sz w:val="22"/>
          <w:szCs w:val="22"/>
          <w:rtl/>
        </w:rPr>
        <w:t xml:space="preserve"> בערבית שאז הוא שליטה דילהון בו תרמוש כל חיתו כו' דאיהו נחש ר"ל נוק' דיליה והיא נק' עון שהיא המחטאת לאדם כי נפת תטפנה כו' כמ"ש לקמן דף ס"ב ע"ג בחטאו נוק' כו' דא נחש דפתי כו' והיא נגד ה' אחרונה ולא כו' נגד ג' אותיות ראשונות שהן ד' חיון דס"א כידוע:</w:t>
      </w:r>
    </w:p>
  </w:footnote>
  <w:footnote w:id="1786">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שבע אינון כו'.</w:t>
      </w:r>
      <w:r w:rsidRPr="00BD5E91">
        <w:rPr>
          <w:sz w:val="22"/>
          <w:szCs w:val="22"/>
          <w:rtl/>
        </w:rPr>
        <w:t xml:space="preserve"> נגד ז' היכלין הנ"ל והוא בד' דרגין הנ"ל שהן כוללין ז"ת כידוע:</w:t>
      </w:r>
    </w:p>
  </w:footnote>
  <w:footnote w:id="1787">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ותליין מנייהו כו'.</w:t>
      </w:r>
      <w:r w:rsidRPr="00BD5E91">
        <w:rPr>
          <w:sz w:val="22"/>
          <w:szCs w:val="22"/>
          <w:rtl/>
        </w:rPr>
        <w:t xml:space="preserve"> שכ"א כלול מי':</w:t>
      </w:r>
    </w:p>
  </w:footnote>
  <w:footnote w:id="1788">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ולכל רקיעא כו'.</w:t>
      </w:r>
      <w:r w:rsidRPr="00BD5E91">
        <w:rPr>
          <w:sz w:val="22"/>
          <w:szCs w:val="22"/>
          <w:rtl/>
        </w:rPr>
        <w:t xml:space="preserve"> ז' רקיעין נגד ז' ממנן:</w:t>
      </w:r>
    </w:p>
  </w:footnote>
  <w:footnote w:id="1789">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אינון מקטרגין. </w:t>
      </w:r>
      <w:r w:rsidRPr="00BD5E91">
        <w:rPr>
          <w:sz w:val="22"/>
          <w:szCs w:val="22"/>
          <w:rtl/>
        </w:rPr>
        <w:t>שהתפלה עולה בז' רקיעים כמ"ש בזוהר ויקהל ושם בודקין את התפלות:</w:t>
      </w:r>
    </w:p>
  </w:footnote>
  <w:footnote w:id="1790">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ותליין מנייהו ע' כו'.</w:t>
      </w:r>
      <w:r w:rsidRPr="00BD5E91">
        <w:rPr>
          <w:sz w:val="22"/>
          <w:szCs w:val="22"/>
          <w:rtl/>
        </w:rPr>
        <w:t xml:space="preserve"> בכ"א אלף רבוא ור"ל כמש"ו ז"ש יפול מצדך כו' וע' הן שבעין ממנן על שבעין אומות שהן מקטרגין על התפלה כמ"ש בזוהר:</w:t>
      </w:r>
    </w:p>
  </w:footnote>
  <w:footnote w:id="1791">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יפול מצדך אלף.</w:t>
      </w:r>
      <w:r w:rsidRPr="00BD5E91">
        <w:rPr>
          <w:sz w:val="22"/>
          <w:szCs w:val="22"/>
          <w:rtl/>
        </w:rPr>
        <w:t xml:space="preserve"> בתפלין ש"י שהוא בשמאל:</w:t>
      </w:r>
    </w:p>
  </w:footnote>
  <w:footnote w:id="1792">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ורבבה מימינך.</w:t>
      </w:r>
      <w:r w:rsidRPr="00BD5E91">
        <w:rPr>
          <w:sz w:val="22"/>
          <w:szCs w:val="22"/>
          <w:rtl/>
        </w:rPr>
        <w:t xml:space="preserve"> בציצית שהוא מימינא והוכן בחסד כסא כמ"ש בתיקונים והכל בשביל תש"ר עד"א שם ה' שכולל שניהן ימינא ושמאלא כמ"ש למטה תפארת הוי' כליל כולא וז"ש ובזכות תפלין דרישא כו':</w:t>
      </w:r>
    </w:p>
  </w:footnote>
  <w:footnote w:id="1793">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שם ה' הא כו'.</w:t>
      </w:r>
      <w:r w:rsidRPr="00BD5E91">
        <w:rPr>
          <w:sz w:val="22"/>
          <w:szCs w:val="22"/>
          <w:rtl/>
        </w:rPr>
        <w:t xml:space="preserve"> כמ"ש בגמ' (ברכות ו ע"א) ופי' בה"ת ע"ש:</w:t>
      </w:r>
    </w:p>
  </w:footnote>
  <w:footnote w:id="1794">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הויה תפלין עליה.</w:t>
      </w:r>
      <w:r w:rsidRPr="00BD5E91">
        <w:rPr>
          <w:sz w:val="22"/>
          <w:szCs w:val="22"/>
          <w:rtl/>
        </w:rPr>
        <w:t xml:space="preserve"> והן ד' דרגין דשם הויה, ציצית ותפלין ש"י - ימינא ושמאלא, תש"ר ותפלה - הוי' אדנ"י, עד"א ושכינתיה, שכלל כולם ד' אותיות הויה:</w:t>
      </w:r>
    </w:p>
  </w:footnote>
  <w:footnote w:id="1795">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מיד כלהו דחלין.</w:t>
      </w:r>
      <w:r w:rsidRPr="00BD5E91">
        <w:rPr>
          <w:sz w:val="22"/>
          <w:szCs w:val="22"/>
          <w:rtl/>
        </w:rPr>
        <w:t xml:space="preserve"> כמ"ש (דברים כח י) ויראו ממך:</w:t>
      </w:r>
    </w:p>
  </w:footnote>
  <w:footnote w:id="1796">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ומנהון ברחין.</w:t>
      </w:r>
      <w:r w:rsidRPr="00BD5E91">
        <w:rPr>
          <w:sz w:val="22"/>
          <w:szCs w:val="22"/>
          <w:rtl/>
        </w:rPr>
        <w:t xml:space="preserve"> ז"ש ויראו ממך:</w:t>
      </w:r>
    </w:p>
  </w:footnote>
  <w:footnote w:id="1797">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הה"ד יפול כו' אליך לא יגש.</w:t>
      </w:r>
      <w:r w:rsidRPr="00BD5E91">
        <w:rPr>
          <w:sz w:val="22"/>
          <w:szCs w:val="22"/>
          <w:rtl/>
        </w:rPr>
        <w:t xml:space="preserve"> אלו דברחין:</w:t>
      </w:r>
    </w:p>
  </w:footnote>
  <w:footnote w:id="1798">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כי ידברו.</w:t>
      </w:r>
      <w:r w:rsidRPr="00BD5E91">
        <w:rPr>
          <w:sz w:val="22"/>
          <w:szCs w:val="22"/>
          <w:rtl/>
        </w:rPr>
        <w:t xml:space="preserve"> דבור דצלותא:</w:t>
      </w:r>
    </w:p>
  </w:footnote>
  <w:footnote w:id="1799">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את אויבים.</w:t>
      </w:r>
      <w:r w:rsidRPr="00BD5E91">
        <w:rPr>
          <w:sz w:val="22"/>
          <w:szCs w:val="22"/>
          <w:rtl/>
        </w:rPr>
        <w:t xml:space="preserve"> הנ"ל:</w:t>
      </w:r>
    </w:p>
  </w:footnote>
  <w:footnote w:id="1800">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דאיהו תרעא כו'.</w:t>
      </w:r>
      <w:r w:rsidRPr="00BD5E91">
        <w:rPr>
          <w:sz w:val="22"/>
          <w:szCs w:val="22"/>
          <w:rtl/>
        </w:rPr>
        <w:t xml:space="preserve"> ר"ל התפלה כנ"ל:</w:t>
      </w:r>
    </w:p>
  </w:footnote>
  <w:footnote w:id="1801">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ואע"ג דבאתר כו'.</w:t>
      </w:r>
      <w:r w:rsidRPr="00BD5E91">
        <w:rPr>
          <w:sz w:val="22"/>
          <w:szCs w:val="22"/>
          <w:rtl/>
        </w:rPr>
        <w:t xml:space="preserve"> על ת"ח כו'</w:t>
      </w:r>
      <w:r>
        <w:rPr>
          <w:rFonts w:hint="cs"/>
          <w:sz w:val="22"/>
          <w:szCs w:val="22"/>
          <w:rtl/>
        </w:rPr>
        <w:t xml:space="preserve"> (קדושין ל ע"ב)</w:t>
      </w:r>
      <w:r w:rsidRPr="00BD5E91">
        <w:rPr>
          <w:sz w:val="22"/>
          <w:szCs w:val="22"/>
          <w:rtl/>
        </w:rPr>
        <w:t>:</w:t>
      </w:r>
    </w:p>
  </w:footnote>
  <w:footnote w:id="1802">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הכא אתריה.</w:t>
      </w:r>
      <w:r w:rsidRPr="00BD5E91">
        <w:rPr>
          <w:sz w:val="22"/>
          <w:szCs w:val="22"/>
          <w:rtl/>
        </w:rPr>
        <w:t xml:space="preserve"> ר"ל עיקר הקרא על התפלה שהוא בשער כנ"ל:</w:t>
      </w:r>
    </w:p>
  </w:footnote>
  <w:footnote w:id="1803">
    <w:p w:rsidR="00B558C5" w:rsidRPr="00BD5E91" w:rsidRDefault="00B558C5" w:rsidP="00B558C5">
      <w:pPr>
        <w:jc w:val="both"/>
        <w:rPr>
          <w:rFonts w:cs="Arial"/>
          <w:sz w:val="22"/>
          <w:szCs w:val="22"/>
          <w:rtl/>
        </w:rPr>
      </w:pPr>
      <w:r w:rsidRPr="00BD5E91">
        <w:rPr>
          <w:rStyle w:val="a7"/>
          <w:rFonts w:cs="Arial"/>
          <w:sz w:val="22"/>
          <w:szCs w:val="22"/>
          <w:rtl/>
        </w:rPr>
        <w:footnoteRef/>
      </w:r>
      <w:r w:rsidRPr="00BD5E91">
        <w:rPr>
          <w:rFonts w:cs="Arial"/>
          <w:sz w:val="22"/>
          <w:szCs w:val="22"/>
          <w:rtl/>
        </w:rPr>
        <w:t xml:space="preserve"> </w:t>
      </w:r>
      <w:r w:rsidRPr="00BD5E91">
        <w:rPr>
          <w:rFonts w:cs="Arial"/>
          <w:b/>
          <w:bCs/>
          <w:sz w:val="22"/>
          <w:szCs w:val="22"/>
          <w:rtl/>
        </w:rPr>
        <w:t>וצלותא איהי כו' בגין כו'.</w:t>
      </w:r>
      <w:r w:rsidRPr="00BD5E91">
        <w:rPr>
          <w:rFonts w:cs="Arial"/>
          <w:sz w:val="22"/>
          <w:szCs w:val="22"/>
          <w:rtl/>
        </w:rPr>
        <w:t xml:space="preserve"> ר"ל דל"ת הא רישא דקרא קאי על ד"ת כחצים ביד גבור כו' אשרי הגבר כו' כמ"ש בגמ' לכך אמר דתפלה בלא אורייתא לא סלקא כמ"ש לעיל דף ע"ד ע"ג ההוא צלותא כו' דהוו בלא זכו דאורייתא כו' והכי כד צלותא כו' סלקא באורייתא כו' ע"ש וז"ש כחצים כו' אשרי הגבר כו' אז לא יבושו כו' בצלותא:</w:t>
      </w:r>
    </w:p>
  </w:footnote>
  <w:footnote w:id="1804">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לא צריך הפסקה.</w:t>
      </w:r>
      <w:r w:rsidRPr="00BD5E91">
        <w:rPr>
          <w:sz w:val="22"/>
          <w:szCs w:val="22"/>
          <w:rtl/>
        </w:rPr>
        <w:t xml:space="preserve"> ר"ל לכן יפסיק בתורה בשביל התפלה כמ"ש (שבת י ע"א) מסיר כו' כנ"ל:</w:t>
      </w:r>
    </w:p>
  </w:footnote>
  <w:footnote w:id="1805">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תורה ומצוה כו'.</w:t>
      </w:r>
      <w:r w:rsidRPr="00BD5E91">
        <w:rPr>
          <w:sz w:val="22"/>
          <w:szCs w:val="22"/>
          <w:rtl/>
        </w:rPr>
        <w:t xml:space="preserve"> שהן ד' אותיות הויה כידוע וז"ש כל פקודין כו':</w:t>
      </w:r>
    </w:p>
  </w:footnote>
  <w:footnote w:id="1806">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ורמ"ח תיבין כו'.</w:t>
      </w:r>
      <w:r w:rsidRPr="00BD5E91">
        <w:rPr>
          <w:sz w:val="22"/>
          <w:szCs w:val="22"/>
          <w:rtl/>
        </w:rPr>
        <w:t xml:space="preserve"> עכשיו חוזר ומפרש היאך בתפלה נכלל שם הויה וכל הפקודין כידוע דהיא שקולה נגד כל המצות והן נכללין בהוי"ה כנ"ל:</w:t>
      </w:r>
    </w:p>
  </w:footnote>
  <w:footnote w:id="1807">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מרחימו כו'.</w:t>
      </w:r>
      <w:r w:rsidRPr="00BD5E91">
        <w:rPr>
          <w:sz w:val="22"/>
          <w:szCs w:val="22"/>
          <w:rtl/>
        </w:rPr>
        <w:t xml:space="preserve"> ר"ל רחם שהוא רחימו הוא אותיות רמ"ח שמ"ע הן בימינא וז"ש ואתייהיבו כו':</w:t>
      </w:r>
    </w:p>
  </w:footnote>
  <w:footnote w:id="1808">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כלילן באברהם.</w:t>
      </w:r>
      <w:r w:rsidRPr="00BD5E91">
        <w:rPr>
          <w:sz w:val="22"/>
          <w:szCs w:val="22"/>
          <w:rtl/>
        </w:rPr>
        <w:t xml:space="preserve"> אברהם גי' רמ"ח והוא ימינא כמש"ו זרע כו':</w:t>
      </w:r>
    </w:p>
  </w:footnote>
  <w:footnote w:id="1809">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אינון עז.</w:t>
      </w:r>
      <w:r w:rsidRPr="00BD5E91">
        <w:rPr>
          <w:sz w:val="22"/>
          <w:szCs w:val="22"/>
          <w:rtl/>
        </w:rPr>
        <w:t xml:space="preserve"> ר"ל לשון גבורה:</w:t>
      </w:r>
    </w:p>
  </w:footnote>
  <w:footnote w:id="1810">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מיראה.</w:t>
      </w:r>
      <w:r w:rsidRPr="00BD5E91">
        <w:rPr>
          <w:sz w:val="22"/>
          <w:szCs w:val="22"/>
          <w:rtl/>
        </w:rPr>
        <w:t xml:space="preserve"> כמ"ש ויראו ממך ור"ל שק"ש ותפלין הן דחילו ורחימו הנ"ל והן ריעין דלא מתפרשין ולכן כל הקורא ק"ש בלא תפלין כו'</w:t>
      </w:r>
      <w:r>
        <w:rPr>
          <w:rFonts w:hint="cs"/>
          <w:sz w:val="22"/>
          <w:szCs w:val="22"/>
          <w:rtl/>
        </w:rPr>
        <w:t xml:space="preserve"> (ברכות יד ע"ב).</w:t>
      </w:r>
      <w:r w:rsidRPr="00BD5E91">
        <w:rPr>
          <w:sz w:val="22"/>
          <w:szCs w:val="22"/>
          <w:rtl/>
        </w:rPr>
        <w:t xml:space="preserve"> ויראה קודם לאהבה כידוע וכן תפלין לק"ש קודם:</w:t>
      </w:r>
    </w:p>
  </w:footnote>
  <w:footnote w:id="1811">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דאיהי לשמאלא.</w:t>
      </w:r>
      <w:r w:rsidRPr="00BD5E91">
        <w:rPr>
          <w:sz w:val="22"/>
          <w:szCs w:val="22"/>
          <w:rtl/>
        </w:rPr>
        <w:t xml:space="preserve"> ובזרוע עזו כמש"ו:</w:t>
      </w:r>
    </w:p>
  </w:footnote>
  <w:footnote w:id="1812">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דתמן כל כו'.</w:t>
      </w:r>
      <w:r w:rsidRPr="00BD5E91">
        <w:rPr>
          <w:sz w:val="22"/>
          <w:szCs w:val="22"/>
          <w:rtl/>
        </w:rPr>
        <w:t xml:space="preserve"> ותפלין לאקשרא כולהון כמ"ש לעיל וכולהון נפלין כנ"ל:</w:t>
      </w:r>
    </w:p>
  </w:footnote>
  <w:footnote w:id="1813">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הה"ד אהבו כו'.</w:t>
      </w:r>
      <w:r w:rsidRPr="00BD5E91">
        <w:rPr>
          <w:sz w:val="22"/>
          <w:szCs w:val="22"/>
          <w:rtl/>
        </w:rPr>
        <w:t xml:space="preserve"> חוזר למעלה שאהבה הוא בימינא שנא' (תהלים לא כד) אהבו כו' כל חסידיו:</w:t>
      </w:r>
    </w:p>
  </w:footnote>
  <w:footnote w:id="1814">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תפארת ה' כו'.</w:t>
      </w:r>
      <w:r w:rsidRPr="00BD5E91">
        <w:rPr>
          <w:sz w:val="22"/>
          <w:szCs w:val="22"/>
          <w:rtl/>
        </w:rPr>
        <w:t xml:space="preserve"> שהוא כולל ימינא ושמאלא כמש"ל ע"א ולכן בו כל ד' אותיות הויה וז"ש תפארת ה' כו':</w:t>
      </w:r>
    </w:p>
  </w:footnote>
  <w:footnote w:id="1815">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ה' נצב עליו.</w:t>
      </w:r>
      <w:r w:rsidRPr="00BD5E91">
        <w:rPr>
          <w:sz w:val="22"/>
          <w:szCs w:val="22"/>
          <w:rtl/>
        </w:rPr>
        <w:t xml:space="preserve"> שהאבות הן המרכבה כ"א לדרגא דיליה ג' חיון הנ"ל:</w:t>
      </w:r>
    </w:p>
  </w:footnote>
  <w:footnote w:id="1816">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ישראל סליק כו'.</w:t>
      </w:r>
      <w:r w:rsidRPr="00BD5E91">
        <w:rPr>
          <w:sz w:val="22"/>
          <w:szCs w:val="22"/>
          <w:rtl/>
        </w:rPr>
        <w:t xml:space="preserve"> שהוא מלגאו דאצילות כמ"ש בה"ת ולעיל וכולל שם הכל והוא מחשבה דלגו. וז"ש ורזא דמלה כו':</w:t>
      </w:r>
    </w:p>
  </w:footnote>
  <w:footnote w:id="1817">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חשב מה.</w:t>
      </w:r>
      <w:r w:rsidRPr="00BD5E91">
        <w:rPr>
          <w:sz w:val="22"/>
          <w:szCs w:val="22"/>
          <w:rtl/>
        </w:rPr>
        <w:t xml:space="preserve"> ר"ל הן אותיות מחשבה:</w:t>
      </w:r>
    </w:p>
  </w:footnote>
  <w:footnote w:id="1818">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ותשכח כו'.</w:t>
      </w:r>
      <w:r w:rsidRPr="00BD5E91">
        <w:rPr>
          <w:sz w:val="22"/>
          <w:szCs w:val="22"/>
          <w:rtl/>
        </w:rPr>
        <w:t xml:space="preserve"> ר"ל חשב גי' של מ"ה ותשכח כו' שהמילוי אינו בכתב אלא במחשבה:</w:t>
      </w:r>
    </w:p>
  </w:footnote>
  <w:footnote w:id="1819">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את האדם.</w:t>
      </w:r>
      <w:r w:rsidRPr="00BD5E91">
        <w:rPr>
          <w:sz w:val="22"/>
          <w:szCs w:val="22"/>
          <w:rtl/>
        </w:rPr>
        <w:t xml:space="preserve"> אדם גי' שמא מפרש:</w:t>
      </w:r>
    </w:p>
  </w:footnote>
  <w:footnote w:id="1820">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דכד צלותא דיליה כו'.</w:t>
      </w:r>
      <w:r w:rsidRPr="00BD5E91">
        <w:rPr>
          <w:sz w:val="22"/>
          <w:szCs w:val="22"/>
          <w:rtl/>
        </w:rPr>
        <w:t xml:space="preserve"> הוא התפלה בכוונה שהוא מחשבה שהוא עיקר התפלה כמ"ש (תענית ב ע"א) איזה עבודה שבלב זו תפלה והוא בעד"א ור"ל שק"ש ותפלין ותפלה הן ג' אותיות יק"ו ג' אבהן, ומלכות שהוא התפלה עצמה כלילא מכלהו וז"ש אדנ"י שפתי כו' ה' אחרונה:</w:t>
      </w:r>
    </w:p>
  </w:footnote>
  <w:footnote w:id="1821">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מסט' דעד"א כו'.</w:t>
      </w:r>
      <w:r w:rsidRPr="00BD5E91">
        <w:rPr>
          <w:sz w:val="22"/>
          <w:szCs w:val="22"/>
          <w:rtl/>
        </w:rPr>
        <w:t xml:space="preserve"> שהוא כולל ג' אלו כמש"ו ג' אותיות יק"ו:</w:t>
      </w:r>
    </w:p>
  </w:footnote>
  <w:footnote w:id="1822">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ואיהו בני כו'.</w:t>
      </w:r>
      <w:r w:rsidRPr="00BD5E91">
        <w:rPr>
          <w:sz w:val="22"/>
          <w:szCs w:val="22"/>
          <w:rtl/>
        </w:rPr>
        <w:t xml:space="preserve"> מסט' דחכמה אבא כמ"ש מה שמו ומה שם בנו:</w:t>
      </w:r>
    </w:p>
  </w:footnote>
  <w:footnote w:id="1823">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ואיהו כו' דנפיק.</w:t>
      </w:r>
      <w:r w:rsidRPr="00BD5E91">
        <w:rPr>
          <w:sz w:val="22"/>
          <w:szCs w:val="22"/>
          <w:rtl/>
        </w:rPr>
        <w:t xml:space="preserve"> ר"ל מבינה שנקרא חיים אלקים חיים:</w:t>
      </w:r>
    </w:p>
  </w:footnote>
  <w:footnote w:id="1824">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ואיהו אילנא כו'.</w:t>
      </w:r>
      <w:r w:rsidRPr="00BD5E91">
        <w:rPr>
          <w:sz w:val="22"/>
          <w:szCs w:val="22"/>
          <w:rtl/>
        </w:rPr>
        <w:t xml:space="preserve"> כמ"ש לעיל בדף ע"ג ע"ד ע"ש:</w:t>
      </w:r>
    </w:p>
  </w:footnote>
  <w:footnote w:id="1825">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במזלא קרישא כו'.</w:t>
      </w:r>
      <w:r w:rsidRPr="00BD5E91">
        <w:rPr>
          <w:sz w:val="22"/>
          <w:szCs w:val="22"/>
          <w:rtl/>
        </w:rPr>
        <w:t xml:space="preserve"> כתר עתיק יומין שישראל נק' סבא והוא סבא דסבין וכח"ב נכללין בחג"ת ימינא ושמאלא ועד"א יק"ו והיא היכלא דכלילא מכלהו:</w:t>
      </w:r>
    </w:p>
  </w:footnote>
  <w:footnote w:id="1826">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דחשיבא לקרבנא.</w:t>
      </w:r>
      <w:r w:rsidRPr="00BD5E91">
        <w:rPr>
          <w:sz w:val="22"/>
          <w:szCs w:val="22"/>
          <w:rtl/>
        </w:rPr>
        <w:t xml:space="preserve"> שנא' בהן לחמי לאשי כמ"ש תפלות כנגד תמידין תקנום:</w:t>
      </w:r>
    </w:p>
  </w:footnote>
  <w:footnote w:id="1827">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דמקבל לה כו'.</w:t>
      </w:r>
      <w:r w:rsidRPr="00BD5E91">
        <w:rPr>
          <w:sz w:val="22"/>
          <w:szCs w:val="22"/>
          <w:rtl/>
        </w:rPr>
        <w:t xml:space="preserve"> שהן ג' תפלות הנ"ל וכלל התפלה הוא צדיק ח"י עלמין ח"י ברכות וברכות לראש צדיק כידוע שכנגדו תפלת מוסף שהן סמיכו דילה בחו"ג וזקיפו דילה בעד"א ויחודא דילה בצדיק כמ"ש בתיקונים והן ד' אותיות השם כנ"ל:</w:t>
      </w:r>
    </w:p>
  </w:footnote>
  <w:footnote w:id="1828">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דאיהו אות כו'.</w:t>
      </w:r>
      <w:r w:rsidRPr="00BD5E91">
        <w:rPr>
          <w:sz w:val="22"/>
          <w:szCs w:val="22"/>
          <w:rtl/>
        </w:rPr>
        <w:t xml:space="preserve"> שכל אות הוא בצדיק אות ברית שכנגדו תפלת מוסף דשבת ויו"ט שניתוסף בשבת וי"ט שלכן נוהגין אף בר"ח לחלוץ תפלין קודם מוסף שהוא בעצמו אות:</w:t>
      </w:r>
    </w:p>
  </w:footnote>
  <w:footnote w:id="1829">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ואית למישאל כו'.</w:t>
      </w:r>
      <w:r w:rsidRPr="00BD5E91">
        <w:rPr>
          <w:sz w:val="22"/>
          <w:szCs w:val="22"/>
          <w:rtl/>
        </w:rPr>
        <w:t xml:space="preserve"> שהן ד' התפלות הנ"ל כמש"ו לזמנין צלותא כו' לזמנין כו':</w:t>
      </w:r>
    </w:p>
  </w:footnote>
  <w:footnote w:id="1830">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ודאי הוי"ה כו'.</w:t>
      </w:r>
      <w:r w:rsidRPr="00BD5E91">
        <w:rPr>
          <w:sz w:val="22"/>
          <w:szCs w:val="22"/>
          <w:rtl/>
        </w:rPr>
        <w:t xml:space="preserve"> ר"ל בכל דרגא נכלל השם וצלותא היכל ה' אדנ"י רק כי בימינא נכלל כל וכולם נק' חסדים וכן בכל ספירה כידוע ז"ש בזמנא דבעי כו' וכד סליקת כו' צריך לאכללא כו':</w:t>
      </w:r>
    </w:p>
  </w:footnote>
  <w:footnote w:id="1831">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דאיהו קדושה כו'.</w:t>
      </w:r>
      <w:r w:rsidRPr="00BD5E91">
        <w:rPr>
          <w:sz w:val="22"/>
          <w:szCs w:val="22"/>
          <w:rtl/>
        </w:rPr>
        <w:t xml:space="preserve"> יב"ק ג' אבהן שנכללת מכולם כנ"ל שעמה ד' אותיות הויה:</w:t>
      </w:r>
    </w:p>
  </w:footnote>
  <w:footnote w:id="1832">
    <w:p w:rsidR="00B558C5" w:rsidRPr="00BD5E91" w:rsidRDefault="00B558C5" w:rsidP="00B558C5">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תנועין.</w:t>
      </w:r>
      <w:r w:rsidRPr="00BD5E91">
        <w:rPr>
          <w:sz w:val="22"/>
          <w:szCs w:val="22"/>
          <w:rtl/>
        </w:rPr>
        <w:t xml:space="preserve"> ר"ל טעמי מקרא כמש"ו זרקא לזרוק אותו שמקיף את השכינה שהיא שופר הולך כידוע וזהו מקף שפר הולך והיא נכללת בג' אבהן יק"ו סגולתא:</w:t>
      </w:r>
    </w:p>
  </w:footnote>
  <w:footnote w:id="1833">
    <w:p w:rsidR="00A13282" w:rsidRDefault="00A13282">
      <w:pPr>
        <w:pStyle w:val="a5"/>
        <w:rPr>
          <w:rtl/>
        </w:rPr>
      </w:pPr>
      <w:r>
        <w:rPr>
          <w:rStyle w:val="a7"/>
          <w:rtl/>
        </w:rPr>
        <w:footnoteRef/>
      </w:r>
      <w:r>
        <w:rPr>
          <w:rtl/>
        </w:rPr>
        <w:t xml:space="preserve"> </w:t>
      </w:r>
      <w:r>
        <w:rPr>
          <w:rFonts w:ascii="Arial"/>
          <w:b/>
          <w:bCs/>
          <w:sz w:val="38"/>
          <w:rtl/>
        </w:rPr>
        <w:t>וצדיק נטיל כו'.</w:t>
      </w:r>
      <w:r>
        <w:rPr>
          <w:rFonts w:ascii="Arial"/>
          <w:sz w:val="38"/>
          <w:rtl/>
        </w:rPr>
        <w:t xml:space="preserve"> חסר כאן:</w:t>
      </w:r>
    </w:p>
  </w:footnote>
  <w:footnote w:id="1834">
    <w:p w:rsidR="00A13282" w:rsidRDefault="00A13282">
      <w:pPr>
        <w:pStyle w:val="a5"/>
        <w:rPr>
          <w:rtl/>
        </w:rPr>
      </w:pPr>
      <w:r>
        <w:rPr>
          <w:rStyle w:val="a7"/>
          <w:rtl/>
        </w:rPr>
        <w:footnoteRef/>
      </w:r>
      <w:r>
        <w:rPr>
          <w:rtl/>
        </w:rPr>
        <w:t xml:space="preserve"> </w:t>
      </w:r>
      <w:r>
        <w:rPr>
          <w:rFonts w:ascii="Arial"/>
          <w:b/>
          <w:bCs/>
          <w:sz w:val="38"/>
          <w:rtl/>
        </w:rPr>
        <w:t>דנחתין מן י'.</w:t>
      </w:r>
      <w:r>
        <w:rPr>
          <w:rFonts w:ascii="Arial"/>
          <w:sz w:val="38"/>
          <w:rtl/>
        </w:rPr>
        <w:t xml:space="preserve"> רוצה לומר חכמה - מוחא, והן תלת יודי"ן דכלילן ביוד כמו שאומר להלן:</w:t>
      </w:r>
    </w:p>
  </w:footnote>
  <w:footnote w:id="1835">
    <w:p w:rsidR="00A13282" w:rsidRDefault="00A13282">
      <w:pPr>
        <w:pStyle w:val="a5"/>
        <w:rPr>
          <w:rtl/>
        </w:rPr>
      </w:pPr>
      <w:r>
        <w:rPr>
          <w:rStyle w:val="a7"/>
          <w:rtl/>
        </w:rPr>
        <w:footnoteRef/>
      </w:r>
      <w:r>
        <w:rPr>
          <w:rtl/>
        </w:rPr>
        <w:t xml:space="preserve"> </w:t>
      </w:r>
      <w:r>
        <w:rPr>
          <w:rFonts w:ascii="Arial"/>
          <w:b/>
          <w:bCs/>
          <w:sz w:val="38"/>
          <w:rtl/>
        </w:rPr>
        <w:t>דאיהו קשת כו'.</w:t>
      </w:r>
      <w:r>
        <w:rPr>
          <w:rFonts w:ascii="Arial"/>
          <w:sz w:val="38"/>
          <w:rtl/>
        </w:rPr>
        <w:t xml:space="preserve"> רוצה לומר זריק חץ כמו שמפרש והולך:</w:t>
      </w:r>
    </w:p>
  </w:footnote>
  <w:footnote w:id="1836">
    <w:p w:rsidR="00A13282" w:rsidRDefault="00A13282">
      <w:pPr>
        <w:pStyle w:val="a5"/>
        <w:rPr>
          <w:rtl/>
        </w:rPr>
      </w:pPr>
      <w:r>
        <w:rPr>
          <w:rStyle w:val="a7"/>
          <w:rtl/>
        </w:rPr>
        <w:footnoteRef/>
      </w:r>
      <w:r>
        <w:rPr>
          <w:rtl/>
        </w:rPr>
        <w:t xml:space="preserve"> </w:t>
      </w:r>
      <w:r>
        <w:rPr>
          <w:rFonts w:ascii="Arial"/>
          <w:b/>
          <w:bCs/>
          <w:sz w:val="38"/>
          <w:rtl/>
        </w:rPr>
        <w:t>דאיהי צלותא.</w:t>
      </w:r>
      <w:r>
        <w:rPr>
          <w:rFonts w:ascii="Arial"/>
          <w:sz w:val="38"/>
          <w:rtl/>
        </w:rPr>
        <w:t xml:space="preserve"> רוצה לומר בצלותא להרוג אותו:</w:t>
      </w:r>
    </w:p>
  </w:footnote>
  <w:footnote w:id="1837">
    <w:p w:rsidR="00A13282" w:rsidRDefault="00A13282">
      <w:pPr>
        <w:pStyle w:val="a5"/>
        <w:rPr>
          <w:rtl/>
        </w:rPr>
      </w:pPr>
      <w:r>
        <w:rPr>
          <w:rStyle w:val="a7"/>
          <w:rtl/>
        </w:rPr>
        <w:footnoteRef/>
      </w:r>
      <w:r>
        <w:rPr>
          <w:rtl/>
        </w:rPr>
        <w:t xml:space="preserve"> </w:t>
      </w:r>
      <w:r>
        <w:rPr>
          <w:rFonts w:ascii="Arial"/>
          <w:b/>
          <w:bCs/>
          <w:sz w:val="38"/>
          <w:rtl/>
        </w:rPr>
        <w:t>מגדלא.</w:t>
      </w:r>
      <w:r>
        <w:rPr>
          <w:rFonts w:ascii="Arial"/>
          <w:sz w:val="38"/>
          <w:rtl/>
        </w:rPr>
        <w:t xml:space="preserve"> מלכות, וצדיק יושב על המגדול, כמו שמפרש והולך:</w:t>
      </w:r>
    </w:p>
  </w:footnote>
  <w:footnote w:id="1838">
    <w:p w:rsidR="00A13282" w:rsidRDefault="00A13282">
      <w:pPr>
        <w:pStyle w:val="a5"/>
        <w:rPr>
          <w:rtl/>
        </w:rPr>
      </w:pPr>
      <w:r>
        <w:rPr>
          <w:rStyle w:val="a7"/>
          <w:rtl/>
        </w:rPr>
        <w:footnoteRef/>
      </w:r>
      <w:r>
        <w:rPr>
          <w:rtl/>
        </w:rPr>
        <w:t xml:space="preserve"> </w:t>
      </w:r>
      <w:r>
        <w:rPr>
          <w:rFonts w:ascii="Arial"/>
          <w:b/>
          <w:bCs/>
          <w:sz w:val="38"/>
          <w:rtl/>
        </w:rPr>
        <w:t>בכמה עאנין כו'.</w:t>
      </w:r>
      <w:r>
        <w:rPr>
          <w:rFonts w:ascii="Arial"/>
          <w:sz w:val="38"/>
          <w:rtl/>
        </w:rPr>
        <w:t xml:space="preserve"> רוצה לומר ישראל לנטרא לון, עאנין - מסטרא דת"ת, ותורין - מסטרא דגבורה, ואמרין - מסטרא דחסד:</w:t>
      </w:r>
    </w:p>
  </w:footnote>
  <w:footnote w:id="1839">
    <w:p w:rsidR="00A13282" w:rsidRDefault="00A13282">
      <w:pPr>
        <w:pStyle w:val="a5"/>
        <w:rPr>
          <w:rtl/>
        </w:rPr>
      </w:pPr>
      <w:r>
        <w:rPr>
          <w:rStyle w:val="a7"/>
          <w:rtl/>
        </w:rPr>
        <w:footnoteRef/>
      </w:r>
      <w:r>
        <w:rPr>
          <w:rtl/>
        </w:rPr>
        <w:t xml:space="preserve"> </w:t>
      </w:r>
      <w:r>
        <w:rPr>
          <w:rFonts w:ascii="Arial"/>
          <w:b/>
          <w:bCs/>
          <w:sz w:val="38"/>
          <w:rtl/>
        </w:rPr>
        <w:t>וחוטרא בידיה.</w:t>
      </w:r>
      <w:r>
        <w:rPr>
          <w:rFonts w:ascii="Arial"/>
          <w:sz w:val="38"/>
          <w:rtl/>
        </w:rPr>
        <w:t xml:space="preserve"> שבו הכה את המצרי שהוא נחש כידוע:</w:t>
      </w:r>
    </w:p>
  </w:footnote>
  <w:footnote w:id="1840">
    <w:p w:rsidR="00A13282" w:rsidRDefault="00A13282">
      <w:pPr>
        <w:pStyle w:val="a5"/>
        <w:rPr>
          <w:rtl/>
        </w:rPr>
      </w:pPr>
      <w:r>
        <w:rPr>
          <w:rStyle w:val="a7"/>
          <w:rtl/>
        </w:rPr>
        <w:footnoteRef/>
      </w:r>
      <w:r>
        <w:rPr>
          <w:rtl/>
        </w:rPr>
        <w:t xml:space="preserve"> </w:t>
      </w:r>
      <w:r>
        <w:rPr>
          <w:rFonts w:ascii="Arial"/>
          <w:b/>
          <w:bCs/>
          <w:sz w:val="38"/>
          <w:rtl/>
        </w:rPr>
        <w:t>חד בר נש כו'.</w:t>
      </w:r>
      <w:r>
        <w:rPr>
          <w:rFonts w:ascii="Arial"/>
          <w:sz w:val="38"/>
          <w:rtl/>
        </w:rPr>
        <w:t xml:space="preserve"> יסוד, כמו שמפרש והולך:</w:t>
      </w:r>
    </w:p>
  </w:footnote>
  <w:footnote w:id="1841">
    <w:p w:rsidR="00A13282" w:rsidRDefault="00A13282">
      <w:pPr>
        <w:pStyle w:val="a5"/>
        <w:rPr>
          <w:rtl/>
        </w:rPr>
      </w:pPr>
      <w:r>
        <w:rPr>
          <w:rStyle w:val="a7"/>
          <w:rtl/>
        </w:rPr>
        <w:footnoteRef/>
      </w:r>
      <w:r>
        <w:rPr>
          <w:rtl/>
        </w:rPr>
        <w:t xml:space="preserve"> </w:t>
      </w:r>
      <w:r>
        <w:rPr>
          <w:rFonts w:ascii="Arial"/>
          <w:b/>
          <w:bCs/>
          <w:sz w:val="38"/>
          <w:rtl/>
        </w:rPr>
        <w:t>וקשתא כו'.</w:t>
      </w:r>
      <w:r>
        <w:rPr>
          <w:rFonts w:ascii="Arial"/>
          <w:sz w:val="38"/>
          <w:rtl/>
        </w:rPr>
        <w:t xml:space="preserve"> הכל בצלותא כמו שמפרש והולך:</w:t>
      </w:r>
    </w:p>
  </w:footnote>
  <w:footnote w:id="1842">
    <w:p w:rsidR="00A13282" w:rsidRDefault="00A13282">
      <w:pPr>
        <w:pStyle w:val="a5"/>
        <w:rPr>
          <w:rtl/>
        </w:rPr>
      </w:pPr>
      <w:r>
        <w:rPr>
          <w:rStyle w:val="a7"/>
          <w:rtl/>
        </w:rPr>
        <w:footnoteRef/>
      </w:r>
      <w:r>
        <w:rPr>
          <w:rtl/>
        </w:rPr>
        <w:t xml:space="preserve"> </w:t>
      </w:r>
      <w:r>
        <w:rPr>
          <w:rFonts w:ascii="Arial"/>
          <w:b/>
          <w:bCs/>
          <w:sz w:val="38"/>
          <w:rtl/>
        </w:rPr>
        <w:t>חוט השני דשפה.</w:t>
      </w:r>
      <w:r>
        <w:rPr>
          <w:rFonts w:ascii="Arial"/>
          <w:sz w:val="38"/>
          <w:rtl/>
        </w:rPr>
        <w:t xml:space="preserve"> רוצה לומר שנאמר (שה"ש ד ג) כחוט השני שפתותיך כו' חוט של קשת כו':</w:t>
      </w:r>
    </w:p>
  </w:footnote>
  <w:footnote w:id="1843">
    <w:p w:rsidR="00A13282" w:rsidRDefault="00A13282">
      <w:pPr>
        <w:pStyle w:val="a5"/>
        <w:rPr>
          <w:rtl/>
        </w:rPr>
      </w:pPr>
      <w:r>
        <w:rPr>
          <w:rStyle w:val="a7"/>
          <w:rtl/>
        </w:rPr>
        <w:footnoteRef/>
      </w:r>
      <w:r>
        <w:rPr>
          <w:rtl/>
        </w:rPr>
        <w:t xml:space="preserve"> </w:t>
      </w:r>
      <w:r>
        <w:rPr>
          <w:rFonts w:ascii="Arial"/>
          <w:b/>
          <w:bCs/>
          <w:sz w:val="38"/>
          <w:rtl/>
        </w:rPr>
        <w:t>דביה.</w:t>
      </w:r>
      <w:r>
        <w:rPr>
          <w:rFonts w:ascii="Arial"/>
          <w:sz w:val="38"/>
          <w:rtl/>
        </w:rPr>
        <w:t xml:space="preserve"> רוצה לומר בפה שהוא הקשת בכללו:</w:t>
      </w:r>
    </w:p>
  </w:footnote>
  <w:footnote w:id="1844">
    <w:p w:rsidR="00A13282" w:rsidRDefault="00A13282">
      <w:pPr>
        <w:pStyle w:val="a5"/>
        <w:rPr>
          <w:rtl/>
        </w:rPr>
      </w:pPr>
      <w:r>
        <w:rPr>
          <w:rStyle w:val="a7"/>
          <w:rtl/>
        </w:rPr>
        <w:footnoteRef/>
      </w:r>
      <w:r>
        <w:rPr>
          <w:rtl/>
        </w:rPr>
        <w:t xml:space="preserve"> </w:t>
      </w:r>
      <w:r>
        <w:rPr>
          <w:rFonts w:ascii="Arial"/>
          <w:b/>
          <w:bCs/>
          <w:sz w:val="38"/>
          <w:rtl/>
        </w:rPr>
        <w:t>צדיק דלתתא מיניה.</w:t>
      </w:r>
      <w:r>
        <w:rPr>
          <w:rFonts w:ascii="Arial"/>
          <w:sz w:val="38"/>
          <w:rtl/>
        </w:rPr>
        <w:t xml:space="preserve"> רוצה לומר ישראל:</w:t>
      </w:r>
    </w:p>
  </w:footnote>
  <w:footnote w:id="1845">
    <w:p w:rsidR="00A13282" w:rsidRDefault="00A13282">
      <w:pPr>
        <w:pStyle w:val="a5"/>
        <w:rPr>
          <w:rtl/>
        </w:rPr>
      </w:pPr>
      <w:r>
        <w:rPr>
          <w:rStyle w:val="a7"/>
          <w:rtl/>
        </w:rPr>
        <w:footnoteRef/>
      </w:r>
      <w:r>
        <w:rPr>
          <w:rtl/>
        </w:rPr>
        <w:t xml:space="preserve"> </w:t>
      </w:r>
      <w:r>
        <w:rPr>
          <w:rFonts w:ascii="Arial"/>
          <w:b/>
          <w:bCs/>
          <w:sz w:val="38"/>
          <w:rtl/>
        </w:rPr>
        <w:t>זנבא דילי'.</w:t>
      </w:r>
      <w:r>
        <w:rPr>
          <w:rFonts w:ascii="Arial"/>
          <w:sz w:val="38"/>
          <w:rtl/>
        </w:rPr>
        <w:t xml:space="preserve"> רוצה לומר בסוד פרצוף וזנב כמו שמפרש והולך:</w:t>
      </w:r>
    </w:p>
  </w:footnote>
  <w:footnote w:id="1846">
    <w:p w:rsidR="00A13282" w:rsidRDefault="00A13282">
      <w:pPr>
        <w:pStyle w:val="a5"/>
        <w:rPr>
          <w:rtl/>
        </w:rPr>
      </w:pPr>
      <w:r>
        <w:rPr>
          <w:rStyle w:val="a7"/>
          <w:rtl/>
        </w:rPr>
        <w:footnoteRef/>
      </w:r>
      <w:r>
        <w:rPr>
          <w:rtl/>
        </w:rPr>
        <w:t xml:space="preserve"> </w:t>
      </w:r>
      <w:r>
        <w:rPr>
          <w:rFonts w:ascii="Arial"/>
          <w:b/>
          <w:bCs/>
          <w:sz w:val="38"/>
          <w:rtl/>
        </w:rPr>
        <w:t>יותרת.</w:t>
      </w:r>
      <w:r>
        <w:rPr>
          <w:rFonts w:ascii="Arial"/>
          <w:sz w:val="38"/>
          <w:rtl/>
        </w:rPr>
        <w:t xml:space="preserve"> שהוא לשון זנב הנותר מיניה:</w:t>
      </w:r>
    </w:p>
  </w:footnote>
  <w:footnote w:id="1847">
    <w:p w:rsidR="00A13282" w:rsidRDefault="00A13282">
      <w:pPr>
        <w:pStyle w:val="a5"/>
        <w:rPr>
          <w:rtl/>
        </w:rPr>
      </w:pPr>
      <w:r>
        <w:rPr>
          <w:rStyle w:val="a7"/>
          <w:rtl/>
        </w:rPr>
        <w:footnoteRef/>
      </w:r>
      <w:r>
        <w:rPr>
          <w:rtl/>
        </w:rPr>
        <w:t xml:space="preserve"> </w:t>
      </w:r>
      <w:r>
        <w:rPr>
          <w:rFonts w:ascii="Arial"/>
          <w:b/>
          <w:bCs/>
          <w:sz w:val="38"/>
          <w:rtl/>
        </w:rPr>
        <w:t>יותרת אתקריאת כו'.</w:t>
      </w:r>
      <w:r>
        <w:rPr>
          <w:rFonts w:ascii="Arial"/>
          <w:sz w:val="38"/>
          <w:rtl/>
        </w:rPr>
        <w:t xml:space="preserve"> רוצה לומר שהיא נותנת המותר לכבד וזהו יותרת הכבד:</w:t>
      </w:r>
    </w:p>
  </w:footnote>
  <w:footnote w:id="1848">
    <w:p w:rsidR="00A13282" w:rsidRDefault="00A13282">
      <w:pPr>
        <w:pStyle w:val="a5"/>
        <w:rPr>
          <w:rtl/>
        </w:rPr>
      </w:pPr>
      <w:r>
        <w:rPr>
          <w:rStyle w:val="a7"/>
          <w:rtl/>
        </w:rPr>
        <w:footnoteRef/>
      </w:r>
      <w:r>
        <w:rPr>
          <w:rtl/>
        </w:rPr>
        <w:t xml:space="preserve"> </w:t>
      </w:r>
      <w:r>
        <w:rPr>
          <w:rFonts w:ascii="Arial"/>
          <w:b/>
          <w:bCs/>
          <w:sz w:val="38"/>
          <w:rtl/>
        </w:rPr>
        <w:t>יוד זרע.</w:t>
      </w:r>
      <w:r>
        <w:rPr>
          <w:rFonts w:ascii="Arial"/>
          <w:sz w:val="38"/>
          <w:rtl/>
        </w:rPr>
        <w:t xml:space="preserve"> רוצה לומר שהזרע הוא טפה כמין יוד:</w:t>
      </w:r>
    </w:p>
  </w:footnote>
  <w:footnote w:id="1849">
    <w:p w:rsidR="00A13282" w:rsidRDefault="00A13282">
      <w:pPr>
        <w:pStyle w:val="a5"/>
        <w:rPr>
          <w:rtl/>
        </w:rPr>
      </w:pPr>
      <w:r>
        <w:rPr>
          <w:rStyle w:val="a7"/>
          <w:rtl/>
        </w:rPr>
        <w:footnoteRef/>
      </w:r>
      <w:r>
        <w:rPr>
          <w:rtl/>
        </w:rPr>
        <w:t xml:space="preserve"> </w:t>
      </w:r>
      <w:r>
        <w:rPr>
          <w:rFonts w:ascii="Arial"/>
          <w:b/>
          <w:bCs/>
          <w:sz w:val="38"/>
          <w:rtl/>
        </w:rPr>
        <w:t>דאתמשך מיניה ו'.</w:t>
      </w:r>
      <w:r>
        <w:rPr>
          <w:rFonts w:ascii="Arial"/>
          <w:sz w:val="38"/>
          <w:rtl/>
        </w:rPr>
        <w:t xml:space="preserve"> רוצה לומר משיכת הזרע בירייתו הוא ו':</w:t>
      </w:r>
    </w:p>
  </w:footnote>
  <w:footnote w:id="1850">
    <w:p w:rsidR="00A13282" w:rsidRDefault="00A13282">
      <w:pPr>
        <w:pStyle w:val="a5"/>
        <w:rPr>
          <w:rtl/>
        </w:rPr>
      </w:pPr>
      <w:r>
        <w:rPr>
          <w:rStyle w:val="a7"/>
          <w:rtl/>
        </w:rPr>
        <w:footnoteRef/>
      </w:r>
      <w:r>
        <w:rPr>
          <w:rtl/>
        </w:rPr>
        <w:t xml:space="preserve"> </w:t>
      </w:r>
      <w:r>
        <w:rPr>
          <w:rFonts w:ascii="Arial"/>
          <w:b/>
          <w:bCs/>
          <w:sz w:val="38"/>
          <w:rtl/>
        </w:rPr>
        <w:t>ודא ז'.</w:t>
      </w:r>
      <w:r>
        <w:rPr>
          <w:rFonts w:ascii="Arial"/>
          <w:sz w:val="38"/>
          <w:rtl/>
        </w:rPr>
        <w:t xml:space="preserve"> רוצה לומר, י' על גבי ו' הוא ז' - ראשי תיבות זרע:</w:t>
      </w:r>
    </w:p>
  </w:footnote>
  <w:footnote w:id="1851">
    <w:p w:rsidR="00A13282" w:rsidRDefault="00A13282">
      <w:pPr>
        <w:pStyle w:val="a5"/>
        <w:rPr>
          <w:rtl/>
        </w:rPr>
      </w:pPr>
      <w:r>
        <w:rPr>
          <w:rStyle w:val="a7"/>
          <w:rtl/>
        </w:rPr>
        <w:footnoteRef/>
      </w:r>
      <w:r>
        <w:rPr>
          <w:rtl/>
        </w:rPr>
        <w:t xml:space="preserve"> </w:t>
      </w:r>
      <w:r>
        <w:rPr>
          <w:rFonts w:ascii="Arial"/>
          <w:b/>
          <w:bCs/>
          <w:sz w:val="38"/>
          <w:rtl/>
        </w:rPr>
        <w:t>בת עין.</w:t>
      </w:r>
      <w:r>
        <w:rPr>
          <w:rFonts w:ascii="Arial"/>
          <w:sz w:val="38"/>
          <w:rtl/>
        </w:rPr>
        <w:t xml:space="preserve"> רוצה לומר שזרע נקרא עין המים, תלת טיפין בסוד ג' גוונין דעינא כידוע:</w:t>
      </w:r>
    </w:p>
  </w:footnote>
  <w:footnote w:id="1852">
    <w:p w:rsidR="00A13282" w:rsidRDefault="00A13282">
      <w:pPr>
        <w:pStyle w:val="a5"/>
        <w:rPr>
          <w:rtl/>
        </w:rPr>
      </w:pPr>
      <w:r>
        <w:rPr>
          <w:rStyle w:val="a7"/>
          <w:rtl/>
        </w:rPr>
        <w:footnoteRef/>
      </w:r>
      <w:r>
        <w:rPr>
          <w:rtl/>
        </w:rPr>
        <w:t xml:space="preserve"> </w:t>
      </w:r>
      <w:r>
        <w:rPr>
          <w:rFonts w:ascii="Arial"/>
          <w:b/>
          <w:bCs/>
          <w:sz w:val="38"/>
          <w:rtl/>
        </w:rPr>
        <w:t>דאיהו ז' ודאי.</w:t>
      </w:r>
      <w:r>
        <w:rPr>
          <w:rFonts w:ascii="Arial"/>
          <w:sz w:val="38"/>
          <w:rtl/>
        </w:rPr>
        <w:t xml:space="preserve"> רוצה לומר המלכות נקראת בת שבע:</w:t>
      </w:r>
    </w:p>
  </w:footnote>
  <w:footnote w:id="1853">
    <w:p w:rsidR="00A13282" w:rsidRDefault="00A13282">
      <w:pPr>
        <w:pStyle w:val="a5"/>
        <w:rPr>
          <w:rtl/>
        </w:rPr>
      </w:pPr>
      <w:r>
        <w:rPr>
          <w:rStyle w:val="a7"/>
          <w:rtl/>
        </w:rPr>
        <w:footnoteRef/>
      </w:r>
      <w:r>
        <w:rPr>
          <w:rtl/>
        </w:rPr>
        <w:t xml:space="preserve"> </w:t>
      </w:r>
      <w:r>
        <w:rPr>
          <w:rFonts w:ascii="Arial"/>
          <w:b/>
          <w:bCs/>
          <w:sz w:val="38"/>
          <w:rtl/>
        </w:rPr>
        <w:t>מאי מטרה כו'.</w:t>
      </w:r>
      <w:r>
        <w:rPr>
          <w:rFonts w:ascii="Arial"/>
          <w:sz w:val="38"/>
          <w:rtl/>
        </w:rPr>
        <w:t xml:space="preserve"> רוצה לומר שנאמר ביהונתן (שמואל א כ כ) והנה שלשת החצים כו' שהן תלת טפין דמוחא - ביהונתן שהוא יסוד, ושלח למטרה - למלכות, סיהרא, סוד דוד, שבשבילו שלח החצים ביום ראש חודש סיהרא:</w:t>
      </w:r>
    </w:p>
  </w:footnote>
  <w:footnote w:id="1854">
    <w:p w:rsidR="00A13282" w:rsidRDefault="00A13282">
      <w:pPr>
        <w:pStyle w:val="a5"/>
        <w:rPr>
          <w:rtl/>
        </w:rPr>
      </w:pPr>
      <w:r>
        <w:rPr>
          <w:rStyle w:val="a7"/>
          <w:rtl/>
        </w:rPr>
        <w:footnoteRef/>
      </w:r>
      <w:r>
        <w:rPr>
          <w:rtl/>
        </w:rPr>
        <w:t xml:space="preserve"> </w:t>
      </w:r>
      <w:r>
        <w:rPr>
          <w:rFonts w:ascii="Arial"/>
          <w:b/>
          <w:bCs/>
          <w:sz w:val="38"/>
          <w:rtl/>
        </w:rPr>
        <w:t>ברחימו דעיינין.</w:t>
      </w:r>
      <w:r>
        <w:rPr>
          <w:rFonts w:ascii="Arial"/>
          <w:sz w:val="38"/>
          <w:rtl/>
        </w:rPr>
        <w:t xml:space="preserve"> בסוד אהבת יהונתן ודוד ואמר דעיינין כנ"ל - בת עין:</w:t>
      </w:r>
    </w:p>
  </w:footnote>
  <w:footnote w:id="1855">
    <w:p w:rsidR="00A13282" w:rsidRDefault="00A13282">
      <w:pPr>
        <w:pStyle w:val="a5"/>
        <w:rPr>
          <w:rtl/>
        </w:rPr>
      </w:pPr>
      <w:r>
        <w:rPr>
          <w:rStyle w:val="a7"/>
          <w:rtl/>
        </w:rPr>
        <w:footnoteRef/>
      </w:r>
      <w:r>
        <w:rPr>
          <w:rtl/>
        </w:rPr>
        <w:t xml:space="preserve"> </w:t>
      </w:r>
      <w:r>
        <w:rPr>
          <w:rFonts w:ascii="Arial"/>
          <w:b/>
          <w:bCs/>
          <w:sz w:val="38"/>
          <w:rtl/>
        </w:rPr>
        <w:t>ולמאן כו'.</w:t>
      </w:r>
      <w:r>
        <w:rPr>
          <w:rFonts w:ascii="Arial"/>
          <w:sz w:val="38"/>
          <w:rtl/>
        </w:rPr>
        <w:t xml:space="preserve"> רוצה לומר לא תירא כו' מחץ כו':</w:t>
      </w:r>
    </w:p>
  </w:footnote>
  <w:footnote w:id="1856">
    <w:p w:rsidR="00A13282" w:rsidRDefault="00A13282">
      <w:pPr>
        <w:pStyle w:val="a5"/>
        <w:rPr>
          <w:rtl/>
        </w:rPr>
      </w:pPr>
      <w:r>
        <w:rPr>
          <w:rStyle w:val="a7"/>
          <w:rtl/>
        </w:rPr>
        <w:footnoteRef/>
      </w:r>
      <w:r>
        <w:rPr>
          <w:rtl/>
        </w:rPr>
        <w:t xml:space="preserve"> </w:t>
      </w:r>
      <w:r>
        <w:rPr>
          <w:rFonts w:ascii="Arial"/>
          <w:b/>
          <w:bCs/>
          <w:sz w:val="38"/>
          <w:rtl/>
        </w:rPr>
        <w:t>אבר מן החי.</w:t>
      </w:r>
      <w:r>
        <w:rPr>
          <w:rFonts w:ascii="Arial"/>
          <w:sz w:val="38"/>
          <w:rtl/>
        </w:rPr>
        <w:t xml:space="preserve"> רוצה לומר דהוא ח"י עלמין:</w:t>
      </w:r>
    </w:p>
  </w:footnote>
  <w:footnote w:id="1857">
    <w:p w:rsidR="00A13282" w:rsidRDefault="00A13282">
      <w:pPr>
        <w:pStyle w:val="a5"/>
        <w:rPr>
          <w:rtl/>
        </w:rPr>
      </w:pPr>
      <w:r>
        <w:rPr>
          <w:rStyle w:val="a7"/>
          <w:rtl/>
        </w:rPr>
        <w:footnoteRef/>
      </w:r>
      <w:r>
        <w:rPr>
          <w:rtl/>
        </w:rPr>
        <w:t xml:space="preserve"> </w:t>
      </w:r>
      <w:r>
        <w:rPr>
          <w:rFonts w:ascii="Arial"/>
          <w:b/>
          <w:bCs/>
          <w:sz w:val="38"/>
          <w:rtl/>
        </w:rPr>
        <w:t>דאת ז' ו' כו'.</w:t>
      </w:r>
      <w:r>
        <w:rPr>
          <w:rFonts w:ascii="Arial"/>
          <w:sz w:val="38"/>
          <w:rtl/>
        </w:rPr>
        <w:t xml:space="preserve"> רוצה לומר שו"י - כולם נכללים באת ז', לפי שגוף וברית כחדא, ונכלל הגוף - עמודא דאמצעיתא, בברית שהוא יום השביעי כידוע, אות ז', ולכן בתיבת באברתו שהוא ברית נכלל גם כן עמודא דאמצעיתא ששם זרע, י', ואתמשך מיניה ו' כנ"ל:</w:t>
      </w:r>
    </w:p>
  </w:footnote>
  <w:footnote w:id="1858">
    <w:p w:rsidR="00A13282" w:rsidRDefault="00A13282">
      <w:pPr>
        <w:pStyle w:val="a5"/>
        <w:rPr>
          <w:rtl/>
        </w:rPr>
      </w:pPr>
      <w:r>
        <w:rPr>
          <w:rStyle w:val="a7"/>
          <w:rtl/>
        </w:rPr>
        <w:footnoteRef/>
      </w:r>
      <w:r>
        <w:rPr>
          <w:rtl/>
        </w:rPr>
        <w:t xml:space="preserve"> </w:t>
      </w:r>
      <w:r>
        <w:rPr>
          <w:rFonts w:ascii="Arial"/>
          <w:b/>
          <w:bCs/>
          <w:sz w:val="38"/>
          <w:rtl/>
        </w:rPr>
        <w:t>אמתו דא כו'.</w:t>
      </w:r>
      <w:r>
        <w:rPr>
          <w:rFonts w:ascii="Arial"/>
          <w:sz w:val="38"/>
          <w:rtl/>
        </w:rPr>
        <w:t xml:space="preserve"> שנקרא אמת, כמו שכתוב (מיכה ז כ) תתן אמת ליעקב:</w:t>
      </w:r>
    </w:p>
  </w:footnote>
  <w:footnote w:id="1859">
    <w:p w:rsidR="00A13282" w:rsidRDefault="00A13282">
      <w:pPr>
        <w:pStyle w:val="a5"/>
        <w:rPr>
          <w:rtl/>
        </w:rPr>
      </w:pPr>
      <w:r>
        <w:rPr>
          <w:rStyle w:val="a7"/>
          <w:rtl/>
        </w:rPr>
        <w:footnoteRef/>
      </w:r>
      <w:r>
        <w:rPr>
          <w:rtl/>
        </w:rPr>
        <w:t xml:space="preserve"> </w:t>
      </w:r>
      <w:r>
        <w:rPr>
          <w:rFonts w:ascii="Arial"/>
          <w:b/>
          <w:bCs/>
          <w:sz w:val="38"/>
          <w:rtl/>
        </w:rPr>
        <w:t>צדיק איהו כו'.</w:t>
      </w:r>
      <w:r>
        <w:rPr>
          <w:rFonts w:ascii="Arial"/>
          <w:sz w:val="38"/>
          <w:rtl/>
        </w:rPr>
        <w:t xml:space="preserve"> כמו שחכמה עם עמודא דאמצעיתא הוא ז', כן יסוד עם עמודא דאמצעיתא, והכל בזכות התורה שהיא עמודא דאמצעיתא, והברית - ביסוד, שבשניהם נכלל כל השם כמו שאומר וצדיק איהו בצלמו כדמותו וזה שאומר זכאה כו':</w:t>
      </w:r>
    </w:p>
  </w:footnote>
  <w:footnote w:id="1860">
    <w:p w:rsidR="00A13282" w:rsidRDefault="00A13282">
      <w:pPr>
        <w:pStyle w:val="a5"/>
      </w:pPr>
      <w:r>
        <w:rPr>
          <w:rtl/>
        </w:rPr>
        <w:t>(</w:t>
      </w:r>
      <w:r>
        <w:rPr>
          <w:rStyle w:val="a7"/>
        </w:rPr>
        <w:footnoteRef/>
      </w:r>
      <w:r>
        <w:t xml:space="preserve"> </w:t>
      </w:r>
      <w:r>
        <w:rPr>
          <w:b/>
          <w:bCs/>
          <w:rtl/>
        </w:rPr>
        <w:t xml:space="preserve">קמו תנאין ואמוריאין כו'. </w:t>
      </w:r>
      <w:r>
        <w:rPr>
          <w:rtl/>
        </w:rPr>
        <w:t>שייך לסוף תיקון י"ג דקאמר שלח לי למטרה כו' מאי מטרה כו', מטרה ודאי שכינתא דאיהי אגינת על ישראל מחויא בישא, סמאל, ולמאן דאיהי אגינת עליה אתמר ביה לא תירא מפחד כו' צנה וסוחרה אמתו, צנה וסוחרה - שכינתא עלאה ותתאה, אמתו דא עמודא דאמצעיתא כו' זכאה כו':)</w:t>
      </w:r>
    </w:p>
  </w:footnote>
  <w:footnote w:id="1861">
    <w:p w:rsidR="00A13282" w:rsidRDefault="00A13282">
      <w:pPr>
        <w:pStyle w:val="a5"/>
      </w:pPr>
      <w:r>
        <w:rPr>
          <w:rStyle w:val="a7"/>
        </w:rPr>
        <w:footnoteRef/>
      </w:r>
      <w:r>
        <w:t xml:space="preserve"> </w:t>
      </w:r>
      <w:r>
        <w:rPr>
          <w:b/>
          <w:bCs/>
          <w:rtl/>
        </w:rPr>
        <w:t xml:space="preserve">תנאין ואמוראין. </w:t>
      </w:r>
      <w:r>
        <w:rPr>
          <w:rtl/>
        </w:rPr>
        <w:t>הן תרין מתיבתין, שהן מסטרא דו"ק, וכמו שאומר בתיקון כ"א [דף] נ"ג א' ב'. ועיין בתיקוני זוהר חדש בארוכה ולעיל א' א'. וזה שאומר לקמן (א.ה. בתיקון עשרין וחד בדף מב ע"א) קם ר"ש בקדמיתא פתח ואמר כו' א"ל רבי שים בסלע כו':</w:t>
      </w:r>
    </w:p>
  </w:footnote>
  <w:footnote w:id="1862">
    <w:p w:rsidR="00A13282" w:rsidRDefault="00A13282">
      <w:pPr>
        <w:pStyle w:val="a5"/>
      </w:pPr>
      <w:r>
        <w:rPr>
          <w:rStyle w:val="a7"/>
        </w:rPr>
        <w:footnoteRef/>
      </w:r>
      <w:r>
        <w:t xml:space="preserve"> </w:t>
      </w:r>
      <w:r>
        <w:rPr>
          <w:b/>
          <w:bCs/>
          <w:rtl/>
        </w:rPr>
        <w:t xml:space="preserve">מטרה תהא אגינת כו'. </w:t>
      </w:r>
      <w:r>
        <w:rPr>
          <w:rtl/>
        </w:rPr>
        <w:t>(כמש"ש מטרה ודאי שכינתא דאיהי אגינת כו' ולמאן כו') ורוצה לומר, מטרה - לשון שמירה, והוא ירח בן יומו, ובצורתו - הקו הסובב לההוא נקודה דבפנים - בת עין, ועיין רעיא מהימנא פרשת פנחס דהיא הופכת צורת כ' לכל צד - דלא תסתכל חמה בישא בה, וכן הצדיקים הם בת עין דילה דהזרע יירה לשם כמו שאומר שם, והזרע הם הצדיקים, גירין דיליה כנ"ל, והמטרה שומרת החצים דבקרבה - והוא הסוד, שצריך ליתן דוקא באשה להיות שומרת אותם ולא לבטלה ח"ו, ומה שאמר מחצים - היינו חצים דחויא כמו שמפרש והולך מחץ יעוף כו', וכמו שהמטרה מקבלת החצים דקדושה כן היא נוטרת מחצים דס"א:</w:t>
      </w:r>
    </w:p>
  </w:footnote>
  <w:footnote w:id="1863">
    <w:p w:rsidR="00A13282" w:rsidRDefault="00A13282">
      <w:pPr>
        <w:pStyle w:val="a5"/>
      </w:pPr>
      <w:r>
        <w:rPr>
          <w:rStyle w:val="a7"/>
        </w:rPr>
        <w:footnoteRef/>
      </w:r>
      <w:r>
        <w:t xml:space="preserve"> </w:t>
      </w:r>
      <w:r>
        <w:rPr>
          <w:b/>
          <w:bCs/>
          <w:rtl/>
        </w:rPr>
        <w:t xml:space="preserve">וקשתא וחצים דסטרא דקדושה. </w:t>
      </w:r>
      <w:r>
        <w:rPr>
          <w:rtl/>
        </w:rPr>
        <w:t xml:space="preserve">כבר נתבאר לעיל מה הם, והם בפסוק זה באברתו יסך לך, וכמו שאומר שם באברתו יסך לך - דא אבר מן החי - צדיק, ותחת כנפיו תחסה אינון ה' ה', דאת ו' איהו אברתו, כליל י"ו, גופא דיליה - ו', רישא דיליה - יו"ד, גדפוי - ה' ה' כו', ורוצה לומר דאברתו הוא צדיק, וגוף הברית הוא ו', ועטרה דיליה שהוא רישא דיליה וברכות לראש צדיק והכל כליל בתיבת אברתו, ותחת כנפיו רוצה לומר כנפיו של צדיק והן ה' ה' והן גירין של צדיק שהוא שלשה ווין כמו שאומר למטה אסתמר מגירין דיליה דאינון תלת ווי"ן דסלקין ח"י בחושבן ודא ח"י עלמין והן ג' טפין דזרע דאתארכו כמו שאומר לקמן נ"ה ג' והן צורת ה' כמו שאומר לקמן ל"ט ב', ה' אית  בה תלת ווין דאינון ח"י ברכאין כגוונא דא </w:t>
      </w:r>
      <w:r>
        <w:rPr>
          <w:rFonts w:cs="Miriam"/>
          <w:b/>
          <w:bCs/>
          <w:rtl/>
        </w:rPr>
        <w:t>ה</w:t>
      </w:r>
      <w:r>
        <w:rPr>
          <w:b/>
          <w:bCs/>
          <w:rtl/>
        </w:rPr>
        <w:t xml:space="preserve">' </w:t>
      </w:r>
      <w:r>
        <w:rPr>
          <w:rtl/>
        </w:rPr>
        <w:t>כו' וביה שריא ח"י ברכאין דה' עלאה ומיניה אתמשיכו לה' זעירא כו' דאינון ימינא ושמאלא ואינון ה"ה כו', וכן הוא כאן שלחו"ג בכל אחד ה', ג' ווין, והן כנפיו והכל בצדיק דכליל הוי"ה שלימה והן קשתא וחצים. וצנה וסוחרה אמתו הוא הוי"ה אחרת דכליל עמודא דאמצעיתא וזה שאומר שם זכאה איהו מאן דנטיר ברית מילה ואורייתא דאיהו עמודא דאמצעיתא דתרווייהו מגינין עליה, חד בעלמא דא וחד בעלמא דאתי, והן שתי בריתות: ברית הלשון וברית המעור, וברית המעור מוליד בגופני והוא העולם הזה והוא בה' תתאה - העולם הזה, וברית הלשון מוליד ברוחני - העולם הבא, והוא בפה, ה' עלאה, פתוחי חותם, ה' תנועות גדולות וה' תנועות קטנות, פתוחי חותם ותולדותיהם, ה"ח וה"ג, וכן הוא בברית המעור - ה"ח וה"ג, וזה מוליד בנים, וזה - תלמידים הנקראים בנים שכבוד רבו כו' (משנה כריתות ו ט) שזה מביאו לחיי עולם הבא וזה מביאו כו' (משנה ב"מ ב יא), וזה שאומר צנה וסוחרה אמתו צנה דא כו' ואמר שם אמתו דא עמודא דאמצעיתא רישא דיליה חכמה עילאה וכמו שצדיק כליל העטרה דאינון חד, כן הוא הגוף והראש והן גם כן הוי"ה שלימה, וכל זה הוא בצדיק כנ"ל, כנפיו - דוגמת צנה וסוחרה, אברתו - דכליל י"ו בגופא ורישא, וכן הוא באמתו דכליל י"ו גופא ורישא, וזה שאומר שם צדיק איהו בדמותו כצלמו, ורוצה לומר שנאמר באדם שהוליד שת בדמותו כצלמו, ושת הוא יסוד כמו שכתוב חשופי שת (ישעיה כ ד), שת - שממנו הושתת העולם, צדיק יסוד עולם (משלי י כה), וענין צדיק יסוד עולם, כמו שהבנים יסוד האשה כמו שכתוב (בראשית ל ג) אבנה גם אנכי ממנה, נמצא שברית - יסוד שלה, שממנה נבנית הבנים, וכן הוא בנים - לשון בנין, וכן הוא בצדיק דלעילא - שהצדיקים הם בנין העולם, וכמו שכתוב (תהלים יא ג) כי השתות וצדיק הוא יסוד שממנה הצדיקים ולכן נקרא שת, והצדיק הוא בדמותו כצלמו - כמו שזה מוליד ברוחני כן הוא מוליד בגופני ולכן הם מגינין חד כו':</w:t>
      </w:r>
    </w:p>
  </w:footnote>
  <w:footnote w:id="1864">
    <w:p w:rsidR="00A13282" w:rsidRDefault="00A13282">
      <w:pPr>
        <w:pStyle w:val="a5"/>
      </w:pPr>
      <w:r>
        <w:rPr>
          <w:rStyle w:val="a7"/>
        </w:rPr>
        <w:footnoteRef/>
      </w:r>
      <w:r>
        <w:t xml:space="preserve"> </w:t>
      </w:r>
      <w:r>
        <w:rPr>
          <w:b/>
          <w:bCs/>
          <w:rtl/>
        </w:rPr>
        <w:t xml:space="preserve">צנה דא כו'. </w:t>
      </w:r>
      <w:r>
        <w:rPr>
          <w:rtl/>
        </w:rPr>
        <w:t>שהיא מגן לאדם ועומדת נגד החרב דס"א ומקבלת כמו שכתוב (ישעיהו נג ה) כי הוא מחולל מפשעינו מדוכא כו' וכל הפרשה שנאמר על משיח שהוא מרכבה דילה, וכל משיח סתם הוא בה כמו שאמרו בזוהר בכמה מקומות משיח סתם כו' והוא דוד מלך ישראל כו':</w:t>
      </w:r>
    </w:p>
  </w:footnote>
  <w:footnote w:id="1865">
    <w:p w:rsidR="00A13282" w:rsidRDefault="00A13282">
      <w:pPr>
        <w:pStyle w:val="a5"/>
      </w:pPr>
      <w:r>
        <w:rPr>
          <w:rStyle w:val="a7"/>
        </w:rPr>
        <w:footnoteRef/>
      </w:r>
      <w:r>
        <w:t xml:space="preserve"> </w:t>
      </w:r>
      <w:r>
        <w:rPr>
          <w:b/>
          <w:bCs/>
          <w:rtl/>
        </w:rPr>
        <w:t xml:space="preserve">וסחרה כו'. </w:t>
      </w:r>
      <w:r>
        <w:rPr>
          <w:rtl/>
        </w:rPr>
        <w:t>דהיא מקפת בסוד החשמל וסוכת שלום דפריסת בגדפהא כנשר יעיר קנו על גוזליו ירחף, וכן שבעה הבלים דנפקין מפה, פתוחי חותם, ומקיפין לאדם, וכן הוא סחרה - בגולגלתא, לחכמה - מוחא דבגוה, עומר לגלגלת וכמו שבארנו בריש תיקון י"ט:</w:t>
      </w:r>
    </w:p>
  </w:footnote>
  <w:footnote w:id="1866">
    <w:p w:rsidR="00A13282" w:rsidRDefault="00A13282">
      <w:pPr>
        <w:pStyle w:val="a5"/>
        <w:rPr>
          <w:rtl/>
        </w:rPr>
      </w:pPr>
      <w:r>
        <w:rPr>
          <w:rStyle w:val="a7"/>
        </w:rPr>
        <w:footnoteRef/>
      </w:r>
      <w:r>
        <w:t xml:space="preserve"> </w:t>
      </w:r>
      <w:r>
        <w:rPr>
          <w:b/>
          <w:bCs/>
          <w:rtl/>
        </w:rPr>
        <w:t xml:space="preserve">אמתו דא עד"א. </w:t>
      </w:r>
      <w:r>
        <w:rPr>
          <w:rtl/>
        </w:rPr>
        <w:t>כמו שכתוב (מיכה ז כ) תתן אמת ליעקב, תורת אמת (מלאכי ב ו):</w:t>
      </w:r>
    </w:p>
    <w:p w:rsidR="00A13282" w:rsidRDefault="00A13282">
      <w:pPr>
        <w:pStyle w:val="a5"/>
      </w:pPr>
    </w:p>
  </w:footnote>
  <w:footnote w:id="1867">
    <w:p w:rsidR="00A13282" w:rsidRDefault="00A13282">
      <w:pPr>
        <w:pStyle w:val="a5"/>
        <w:rPr>
          <w:rtl/>
        </w:rPr>
      </w:pPr>
      <w:r>
        <w:rPr>
          <w:rStyle w:val="a7"/>
          <w:rtl/>
        </w:rPr>
        <w:footnoteRef/>
      </w:r>
      <w:r>
        <w:rPr>
          <w:rtl/>
        </w:rPr>
        <w:t xml:space="preserve"> </w:t>
      </w:r>
      <w:r>
        <w:rPr>
          <w:rFonts w:ascii="Arial"/>
          <w:b/>
          <w:bCs/>
          <w:sz w:val="38"/>
          <w:rtl/>
        </w:rPr>
        <w:t>תיקון יד.</w:t>
      </w:r>
      <w:r>
        <w:rPr>
          <w:rFonts w:ascii="Arial"/>
          <w:sz w:val="38"/>
          <w:rtl/>
        </w:rPr>
        <w:t xml:space="preserve"> </w:t>
      </w:r>
      <w:r>
        <w:rPr>
          <w:rFonts w:ascii="Arial"/>
          <w:b/>
          <w:bCs/>
          <w:sz w:val="38"/>
          <w:rtl/>
        </w:rPr>
        <w:t>בראשית עלה כו'.</w:t>
      </w:r>
      <w:r>
        <w:rPr>
          <w:rFonts w:ascii="Arial"/>
          <w:sz w:val="38"/>
          <w:rtl/>
        </w:rPr>
        <w:t xml:space="preserve"> רוצה לומר חכמה שבה נברא הכל כמו שכתוב (תהלים קד כד) כלם בחכמה כו':</w:t>
      </w:r>
    </w:p>
  </w:footnote>
  <w:footnote w:id="1868">
    <w:p w:rsidR="00A13282" w:rsidRDefault="00A13282">
      <w:pPr>
        <w:pStyle w:val="a5"/>
        <w:rPr>
          <w:rtl/>
        </w:rPr>
      </w:pPr>
      <w:r>
        <w:rPr>
          <w:rStyle w:val="a7"/>
          <w:rtl/>
        </w:rPr>
        <w:footnoteRef/>
      </w:r>
      <w:r>
        <w:rPr>
          <w:rtl/>
        </w:rPr>
        <w:t xml:space="preserve"> </w:t>
      </w:r>
      <w:r>
        <w:rPr>
          <w:rFonts w:ascii="Arial"/>
          <w:b/>
          <w:bCs/>
          <w:sz w:val="38"/>
          <w:rtl/>
        </w:rPr>
        <w:t>עלה אתמר קדש כו'.</w:t>
      </w:r>
      <w:r>
        <w:rPr>
          <w:rFonts w:ascii="Arial"/>
          <w:sz w:val="38"/>
          <w:rtl/>
        </w:rPr>
        <w:t xml:space="preserve"> דהיא אתקרי קדש, והיא בכור:</w:t>
      </w:r>
    </w:p>
  </w:footnote>
  <w:footnote w:id="1869">
    <w:p w:rsidR="00A13282" w:rsidRDefault="00A13282" w:rsidP="007C2ACC">
      <w:pPr>
        <w:pStyle w:val="a5"/>
        <w:rPr>
          <w:rtl/>
        </w:rPr>
      </w:pPr>
      <w:r>
        <w:rPr>
          <w:rStyle w:val="a7"/>
          <w:rtl/>
        </w:rPr>
        <w:footnoteRef/>
      </w:r>
      <w:r>
        <w:rPr>
          <w:rtl/>
        </w:rPr>
        <w:t xml:space="preserve"> </w:t>
      </w:r>
      <w:r>
        <w:rPr>
          <w:rFonts w:ascii="Arial"/>
          <w:b/>
          <w:bCs/>
          <w:sz w:val="38"/>
          <w:rtl/>
        </w:rPr>
        <w:t>דכל בכורים כו'.</w:t>
      </w:r>
      <w:r>
        <w:rPr>
          <w:rFonts w:ascii="Arial"/>
          <w:sz w:val="38"/>
          <w:rtl/>
        </w:rPr>
        <w:t xml:space="preserve"> רוצה לומר, עשר ספירות נקראו מסטרא דחכמה - בכורים, וכן ז' מינין שהן ז’ ספירות תחתונות - כולן מביאין מהם בכורים, ורוצה לומר דזה שכתוב כל בכר שהיא כל בכר דכל כו':</w:t>
      </w:r>
    </w:p>
  </w:footnote>
  <w:footnote w:id="1870">
    <w:p w:rsidR="00A13282" w:rsidRDefault="00A13282" w:rsidP="00941E7B">
      <w:pPr>
        <w:pStyle w:val="a5"/>
        <w:rPr>
          <w:rtl/>
        </w:rPr>
      </w:pPr>
      <w:r>
        <w:rPr>
          <w:rStyle w:val="a7"/>
          <w:rtl/>
        </w:rPr>
        <w:footnoteRef/>
      </w:r>
      <w:r>
        <w:rPr>
          <w:rtl/>
        </w:rPr>
        <w:t xml:space="preserve"> </w:t>
      </w:r>
      <w:r>
        <w:rPr>
          <w:rFonts w:ascii="Arial"/>
          <w:b/>
          <w:bCs/>
          <w:sz w:val="38"/>
          <w:rtl/>
        </w:rPr>
        <w:t>ראשית כל כו'.</w:t>
      </w:r>
      <w:r>
        <w:rPr>
          <w:rFonts w:ascii="Arial"/>
          <w:sz w:val="38"/>
          <w:rtl/>
        </w:rPr>
        <w:t xml:space="preserve"> שהיא ראשית לכל ובכורי כל:</w:t>
      </w:r>
    </w:p>
  </w:footnote>
  <w:footnote w:id="1871">
    <w:p w:rsidR="00A13282" w:rsidRDefault="00A13282">
      <w:pPr>
        <w:pStyle w:val="a5"/>
        <w:rPr>
          <w:rtl/>
        </w:rPr>
      </w:pPr>
      <w:r>
        <w:rPr>
          <w:rStyle w:val="a7"/>
          <w:rtl/>
        </w:rPr>
        <w:footnoteRef/>
      </w:r>
      <w:r>
        <w:rPr>
          <w:rtl/>
        </w:rPr>
        <w:t xml:space="preserve"> </w:t>
      </w:r>
      <w:r>
        <w:rPr>
          <w:rFonts w:ascii="Arial"/>
          <w:b/>
          <w:bCs/>
          <w:sz w:val="38"/>
          <w:rtl/>
        </w:rPr>
        <w:t>קדמאה דכולא כו'.</w:t>
      </w:r>
      <w:r>
        <w:rPr>
          <w:rFonts w:ascii="Arial"/>
          <w:sz w:val="38"/>
          <w:rtl/>
        </w:rPr>
        <w:t xml:space="preserve"> שהוא קודם לכל ז’ ספירות תחתונות, כמו שאמרו בתיקוני זוהר חדש, נשאו נהרות - חו"ג, קולם - עמודא דאמצעיתא:</w:t>
      </w:r>
    </w:p>
  </w:footnote>
  <w:footnote w:id="1872">
    <w:p w:rsidR="00A13282" w:rsidRDefault="00A13282">
      <w:pPr>
        <w:pStyle w:val="a5"/>
        <w:rPr>
          <w:rtl/>
        </w:rPr>
      </w:pPr>
      <w:r>
        <w:rPr>
          <w:rStyle w:val="a7"/>
          <w:rtl/>
        </w:rPr>
        <w:footnoteRef/>
      </w:r>
      <w:r>
        <w:rPr>
          <w:rtl/>
        </w:rPr>
        <w:t xml:space="preserve"> </w:t>
      </w:r>
      <w:r>
        <w:rPr>
          <w:rFonts w:ascii="Arial"/>
          <w:b/>
          <w:bCs/>
          <w:sz w:val="38"/>
          <w:rtl/>
        </w:rPr>
        <w:t>מאי אדמתך כו'.</w:t>
      </w:r>
      <w:r>
        <w:rPr>
          <w:rFonts w:ascii="Arial"/>
          <w:sz w:val="38"/>
          <w:rtl/>
        </w:rPr>
        <w:t xml:space="preserve"> ואינון בכורי אדמתך - דצמחין בה, כמו שמפרש והולך דאינון תלמידי חכמים משם צמחין כו':</w:t>
      </w:r>
    </w:p>
  </w:footnote>
  <w:footnote w:id="1873">
    <w:p w:rsidR="00A13282" w:rsidRDefault="00A13282">
      <w:pPr>
        <w:pStyle w:val="a5"/>
        <w:rPr>
          <w:rtl/>
        </w:rPr>
      </w:pPr>
      <w:r>
        <w:rPr>
          <w:rStyle w:val="a7"/>
          <w:rtl/>
        </w:rPr>
        <w:footnoteRef/>
      </w:r>
      <w:r>
        <w:rPr>
          <w:rtl/>
        </w:rPr>
        <w:t xml:space="preserve"> </w:t>
      </w:r>
      <w:r>
        <w:rPr>
          <w:rFonts w:ascii="Arial"/>
          <w:b/>
          <w:bCs/>
          <w:sz w:val="38"/>
          <w:rtl/>
        </w:rPr>
        <w:t>ואינון כל בכורי כל מסטרא כו'.</w:t>
      </w:r>
      <w:r>
        <w:rPr>
          <w:rFonts w:ascii="Arial"/>
          <w:sz w:val="38"/>
          <w:rtl/>
        </w:rPr>
        <w:t xml:space="preserve"> רוצה לומר שכל בכורי כל - קאי עלייהו, שהן עשבין ודשאין כו', כמו שמפרש והולך, וחכמה הוא ראשית להם:</w:t>
      </w:r>
    </w:p>
  </w:footnote>
  <w:footnote w:id="1874">
    <w:p w:rsidR="00A13282" w:rsidRDefault="00A13282">
      <w:pPr>
        <w:pStyle w:val="a5"/>
        <w:rPr>
          <w:rtl/>
        </w:rPr>
      </w:pPr>
      <w:r>
        <w:rPr>
          <w:rStyle w:val="a7"/>
          <w:rtl/>
        </w:rPr>
        <w:footnoteRef/>
      </w:r>
      <w:r>
        <w:rPr>
          <w:rtl/>
        </w:rPr>
        <w:t xml:space="preserve"> </w:t>
      </w:r>
      <w:r>
        <w:rPr>
          <w:rFonts w:ascii="Arial"/>
          <w:b/>
          <w:bCs/>
          <w:sz w:val="38"/>
          <w:rtl/>
        </w:rPr>
        <w:t>אילנין.</w:t>
      </w:r>
      <w:r>
        <w:rPr>
          <w:rFonts w:ascii="Arial"/>
          <w:sz w:val="38"/>
          <w:rtl/>
        </w:rPr>
        <w:t xml:space="preserve"> רוצה לומר יסוד ות"ת כמו שמפרש והולך:</w:t>
      </w:r>
    </w:p>
  </w:footnote>
  <w:footnote w:id="1875">
    <w:p w:rsidR="00A13282" w:rsidRDefault="00A13282">
      <w:pPr>
        <w:pStyle w:val="a5"/>
        <w:rPr>
          <w:rtl/>
        </w:rPr>
      </w:pPr>
      <w:r>
        <w:rPr>
          <w:rStyle w:val="a7"/>
          <w:rtl/>
        </w:rPr>
        <w:footnoteRef/>
      </w:r>
      <w:r>
        <w:rPr>
          <w:rtl/>
        </w:rPr>
        <w:t xml:space="preserve"> </w:t>
      </w:r>
      <w:r>
        <w:rPr>
          <w:rFonts w:ascii="Arial"/>
          <w:b/>
          <w:bCs/>
          <w:sz w:val="38"/>
          <w:rtl/>
        </w:rPr>
        <w:t>צמח צדיק.</w:t>
      </w:r>
      <w:r>
        <w:rPr>
          <w:rFonts w:ascii="Arial"/>
          <w:sz w:val="38"/>
          <w:rtl/>
        </w:rPr>
        <w:t xml:space="preserve"> שצדיק בה צומח, דאיהו עץ פרי, שהוא עושה פירות כידוע, וזהו יסוד. ועכשיו מפרש ת"ת - אילנא רבא כו':</w:t>
      </w:r>
    </w:p>
  </w:footnote>
  <w:footnote w:id="1876">
    <w:p w:rsidR="00A13282" w:rsidRDefault="00A13282">
      <w:pPr>
        <w:pStyle w:val="a5"/>
        <w:rPr>
          <w:rtl/>
        </w:rPr>
      </w:pPr>
      <w:r>
        <w:rPr>
          <w:rStyle w:val="a7"/>
          <w:rtl/>
        </w:rPr>
        <w:footnoteRef/>
      </w:r>
      <w:r>
        <w:rPr>
          <w:rtl/>
        </w:rPr>
        <w:t xml:space="preserve"> </w:t>
      </w:r>
      <w:r>
        <w:rPr>
          <w:rFonts w:ascii="Arial"/>
          <w:b/>
          <w:bCs/>
          <w:sz w:val="38"/>
          <w:rtl/>
        </w:rPr>
        <w:t>עשבין ודשאין דאינון ת"ח.</w:t>
      </w:r>
      <w:r>
        <w:rPr>
          <w:rFonts w:ascii="Arial"/>
          <w:sz w:val="38"/>
          <w:rtl/>
        </w:rPr>
        <w:t xml:space="preserve"> כמו שאמרו (סנהדרין קב ע"א) שכל תלמידי חכמים היו דומין לפניהם כעשבי השדה, ותלמידי חכמים הן נו"ה, למודי ה', כמו שאמרו (ברכות סד ע"א) תלמידי חכמים מרבים שלום בעולם, כלומר, נו"ה שהן שתי כליות, תרין ביעין - מרבים שלום - יסוד, בעולם - מלכות, שנאמר וכל בניך למודי ה' - נו"ה, ורב שלום כו' בוניך - שבונין את הבית - מלכות, והן עמודים של הבית דעלייהו קיימא בסוד יכין ובועז:</w:t>
      </w:r>
    </w:p>
  </w:footnote>
  <w:footnote w:id="1877">
    <w:p w:rsidR="00A13282" w:rsidRDefault="00A13282">
      <w:pPr>
        <w:pStyle w:val="a5"/>
        <w:rPr>
          <w:rtl/>
        </w:rPr>
      </w:pPr>
      <w:r>
        <w:rPr>
          <w:rStyle w:val="a7"/>
          <w:rtl/>
        </w:rPr>
        <w:footnoteRef/>
      </w:r>
      <w:r>
        <w:rPr>
          <w:rtl/>
        </w:rPr>
        <w:t xml:space="preserve"> </w:t>
      </w:r>
      <w:r>
        <w:rPr>
          <w:rFonts w:ascii="Arial"/>
          <w:b/>
          <w:bCs/>
          <w:sz w:val="38"/>
          <w:rtl/>
        </w:rPr>
        <w:t>מעין גנים כו'.</w:t>
      </w:r>
      <w:r>
        <w:rPr>
          <w:rFonts w:ascii="Arial"/>
          <w:sz w:val="38"/>
          <w:rtl/>
        </w:rPr>
        <w:t xml:space="preserve"> מעין חכמה כמו שאומר ברעיא מהימנא פרשת בא שמקור ומעין וים הם כח"ב, מקור - כתר, מעין - חכמה, ים - בינה, וזה שאומר מעין גנים ונוזלים מן לבנון - כתר:</w:t>
      </w:r>
    </w:p>
  </w:footnote>
  <w:footnote w:id="1878">
    <w:p w:rsidR="00A13282" w:rsidRDefault="00A13282">
      <w:pPr>
        <w:pStyle w:val="a5"/>
        <w:rPr>
          <w:rtl/>
        </w:rPr>
      </w:pPr>
      <w:r>
        <w:rPr>
          <w:rStyle w:val="a7"/>
          <w:rtl/>
        </w:rPr>
        <w:footnoteRef/>
      </w:r>
      <w:r>
        <w:rPr>
          <w:rtl/>
        </w:rPr>
        <w:t xml:space="preserve"> </w:t>
      </w:r>
      <w:r>
        <w:rPr>
          <w:rFonts w:ascii="Arial"/>
          <w:b/>
          <w:bCs/>
          <w:sz w:val="38"/>
          <w:rtl/>
        </w:rPr>
        <w:t>ראשית כל.</w:t>
      </w:r>
      <w:r>
        <w:rPr>
          <w:rFonts w:ascii="Arial"/>
          <w:sz w:val="38"/>
          <w:rtl/>
        </w:rPr>
        <w:t xml:space="preserve"> רוצה לומר שהמים קדמו לכל, וכן חכמה, וכן המים לכל הפירות קודמין, שהכל ע"י המטר כמו שכתוב (בראשית ב ו) ואד יעלה מן הארץ כו' ויצמח כו':</w:t>
      </w:r>
    </w:p>
  </w:footnote>
  <w:footnote w:id="1879">
    <w:p w:rsidR="00A13282" w:rsidRDefault="00A13282">
      <w:pPr>
        <w:pStyle w:val="a5"/>
        <w:rPr>
          <w:rtl/>
        </w:rPr>
      </w:pPr>
      <w:r>
        <w:rPr>
          <w:rStyle w:val="a7"/>
          <w:rtl/>
        </w:rPr>
        <w:footnoteRef/>
      </w:r>
      <w:r>
        <w:rPr>
          <w:rtl/>
        </w:rPr>
        <w:t xml:space="preserve"> </w:t>
      </w:r>
      <w:r>
        <w:rPr>
          <w:rFonts w:ascii="Arial"/>
          <w:b/>
          <w:bCs/>
          <w:sz w:val="38"/>
          <w:rtl/>
        </w:rPr>
        <w:t>ומאין נפקא כו'.</w:t>
      </w:r>
      <w:r>
        <w:rPr>
          <w:rFonts w:ascii="Arial"/>
          <w:sz w:val="38"/>
          <w:rtl/>
        </w:rPr>
        <w:t xml:space="preserve"> רוצה לומר ע"י מי נפק המעין להון אל הפירות, ואמר, מבית ה' רוצה לומר בינה, בית דלעילא:</w:t>
      </w:r>
    </w:p>
  </w:footnote>
  <w:footnote w:id="1880">
    <w:p w:rsidR="00A13282" w:rsidRDefault="00A13282">
      <w:pPr>
        <w:pStyle w:val="a5"/>
        <w:rPr>
          <w:rtl/>
        </w:rPr>
      </w:pPr>
      <w:r>
        <w:rPr>
          <w:rStyle w:val="a7"/>
          <w:rtl/>
        </w:rPr>
        <w:footnoteRef/>
      </w:r>
      <w:r>
        <w:rPr>
          <w:rtl/>
        </w:rPr>
        <w:t xml:space="preserve"> </w:t>
      </w:r>
      <w:r>
        <w:rPr>
          <w:rFonts w:ascii="Arial"/>
          <w:b/>
          <w:bCs/>
          <w:sz w:val="38"/>
          <w:rtl/>
        </w:rPr>
        <w:t>ובגין דא ראשית בכורי תביא כו'.</w:t>
      </w:r>
      <w:r>
        <w:rPr>
          <w:rFonts w:ascii="Arial"/>
          <w:sz w:val="38"/>
          <w:rtl/>
        </w:rPr>
        <w:t xml:space="preserve"> רוצה לומר, שתביא חכמה שהיא ראשית לאילנין ודשאין שהן שבע ספירות תחתונות, תביא הראשית - חכמה, אל בית ה' - בית המקדש, בינה, ואח"כ מבית המקדש, בית ה', תתן לכהן, איש חסד, שהוא כלל שבע ספירות:</w:t>
      </w:r>
    </w:p>
  </w:footnote>
  <w:footnote w:id="1881">
    <w:p w:rsidR="00A13282" w:rsidRDefault="00A13282">
      <w:pPr>
        <w:pStyle w:val="a5"/>
        <w:rPr>
          <w:rtl/>
        </w:rPr>
      </w:pPr>
      <w:r>
        <w:rPr>
          <w:rStyle w:val="a7"/>
          <w:rtl/>
        </w:rPr>
        <w:footnoteRef/>
      </w:r>
      <w:r>
        <w:rPr>
          <w:rtl/>
        </w:rPr>
        <w:t xml:space="preserve"> </w:t>
      </w:r>
      <w:r>
        <w:rPr>
          <w:rFonts w:ascii="Arial"/>
          <w:b/>
          <w:bCs/>
          <w:sz w:val="38"/>
          <w:rtl/>
        </w:rPr>
        <w:t>וכן ראשית דעאני ואמרי כו'.</w:t>
      </w:r>
      <w:r>
        <w:rPr>
          <w:rFonts w:ascii="Arial"/>
          <w:sz w:val="38"/>
          <w:rtl/>
        </w:rPr>
        <w:t xml:space="preserve"> שהן חו"ג, הרי כל הו"ק. עאני ואמרי - חו"ג, בכורי אילנין - ת"ת ויסוד, בכורי אדמתך שהן דשאין ועשבין - נו"ה, ואדמתך כלילא דכולהו:</w:t>
      </w:r>
    </w:p>
  </w:footnote>
  <w:footnote w:id="1882">
    <w:p w:rsidR="00A13282" w:rsidRDefault="00A13282">
      <w:pPr>
        <w:pStyle w:val="a5"/>
        <w:rPr>
          <w:rtl/>
        </w:rPr>
      </w:pPr>
      <w:r>
        <w:rPr>
          <w:rStyle w:val="a7"/>
          <w:rtl/>
        </w:rPr>
        <w:footnoteRef/>
      </w:r>
      <w:r>
        <w:rPr>
          <w:rtl/>
        </w:rPr>
        <w:t xml:space="preserve"> </w:t>
      </w:r>
      <w:r>
        <w:rPr>
          <w:rFonts w:ascii="Arial"/>
          <w:b/>
          <w:bCs/>
          <w:sz w:val="38"/>
          <w:rtl/>
        </w:rPr>
        <w:t>דלא ייתון למיכל בשר בחלב.</w:t>
      </w:r>
      <w:r>
        <w:rPr>
          <w:rFonts w:ascii="Arial"/>
          <w:sz w:val="38"/>
          <w:rtl/>
        </w:rPr>
        <w:t xml:space="preserve"> רוצה לומר, שלא יטעו בהון ויהו גרמין לאתערבא בשר בחלב, ברזין דלעילא שנקרא אכילה:</w:t>
      </w:r>
    </w:p>
  </w:footnote>
  <w:footnote w:id="1883">
    <w:p w:rsidR="00A13282" w:rsidRDefault="00A13282">
      <w:pPr>
        <w:pStyle w:val="a5"/>
        <w:rPr>
          <w:rtl/>
        </w:rPr>
      </w:pPr>
      <w:r>
        <w:rPr>
          <w:rStyle w:val="a7"/>
          <w:rtl/>
        </w:rPr>
        <w:footnoteRef/>
      </w:r>
      <w:r>
        <w:rPr>
          <w:rtl/>
        </w:rPr>
        <w:t xml:space="preserve"> </w:t>
      </w:r>
      <w:r>
        <w:rPr>
          <w:rFonts w:ascii="Arial"/>
          <w:b/>
          <w:bCs/>
          <w:sz w:val="38"/>
          <w:rtl/>
        </w:rPr>
        <w:t>בשור ובחמור.</w:t>
      </w:r>
      <w:r>
        <w:rPr>
          <w:rFonts w:ascii="Arial"/>
          <w:sz w:val="38"/>
          <w:rtl/>
        </w:rPr>
        <w:t xml:space="preserve"> שהן ימינא ושמאלא כמו שמפרש והולך:</w:t>
      </w:r>
    </w:p>
  </w:footnote>
  <w:footnote w:id="1884">
    <w:p w:rsidR="00A13282" w:rsidRDefault="00A13282">
      <w:pPr>
        <w:pStyle w:val="a5"/>
        <w:rPr>
          <w:rtl/>
        </w:rPr>
      </w:pPr>
      <w:r>
        <w:rPr>
          <w:rStyle w:val="a7"/>
          <w:rtl/>
        </w:rPr>
        <w:footnoteRef/>
      </w:r>
      <w:r>
        <w:rPr>
          <w:rtl/>
        </w:rPr>
        <w:t xml:space="preserve"> </w:t>
      </w:r>
      <w:r>
        <w:rPr>
          <w:rFonts w:ascii="Arial"/>
          <w:b/>
          <w:bCs/>
          <w:sz w:val="38"/>
          <w:rtl/>
        </w:rPr>
        <w:t>כד בוכרא דאיהו ישראל כו'.</w:t>
      </w:r>
      <w:r>
        <w:rPr>
          <w:rFonts w:ascii="Arial"/>
          <w:sz w:val="38"/>
          <w:rtl/>
        </w:rPr>
        <w:t xml:space="preserve"> כמו שאומר להלן ברא בוכרא קדמאה דכולא כו', ורוצה לומר ראשית בכורי אדמתך - עמודא דאמצעיתא, תביא בית ה' - אל מלכותא קדישא, וכן ישראל צריכין לבוא בית ה' בדרגא דעמודא דאמצעיתא, ולכן רגלים מסטרא דתלת אבהן, חג"ת, שכולל עמודא דאמצעיתא, ורוצה לומר, זה שאומר קודם לכן שלש פעמים בשנה כו' וכתב אח"כ לא תבשל כו' וכן כתיב קודם לכן כל בכור בניך כו' ולא יראו פני ריקם:</w:t>
      </w:r>
    </w:p>
  </w:footnote>
  <w:footnote w:id="1885">
    <w:p w:rsidR="00A13282" w:rsidRDefault="00A13282">
      <w:pPr>
        <w:pStyle w:val="a5"/>
        <w:rPr>
          <w:rtl/>
        </w:rPr>
      </w:pPr>
      <w:r>
        <w:rPr>
          <w:rStyle w:val="a7"/>
          <w:rtl/>
        </w:rPr>
        <w:footnoteRef/>
      </w:r>
      <w:r>
        <w:rPr>
          <w:rtl/>
        </w:rPr>
        <w:t xml:space="preserve"> </w:t>
      </w:r>
      <w:r>
        <w:rPr>
          <w:rFonts w:ascii="Arial"/>
          <w:b/>
          <w:bCs/>
          <w:sz w:val="38"/>
          <w:rtl/>
        </w:rPr>
        <w:t>חלב אתערב בבשרא.</w:t>
      </w:r>
      <w:r>
        <w:rPr>
          <w:rFonts w:ascii="Arial"/>
          <w:sz w:val="38"/>
          <w:rtl/>
        </w:rPr>
        <w:t xml:space="preserve"> רוצה לומר ימינא בשמאלא, שעמודא דאמצעיתא הוא מחלוקת לשם שמים כידוע, שהוא עושה שלום במרומיו בין אש ומים, רוצה לומר בין חו"ג, ומכריע ביניהם, שהם שני כתובים המכחישים זה את זה עד שיבוא הכתוב השלישי כו', ומלכות היא מקבלת מכולם ע"י עמודא דאמצעיתא, ובה יש בית קיבול מכולם: בחסד דילה - מקבלת מחסד, וכן בכל ספירה, וכשאין עמודא דאמצעיתא בה אז היא מקבלת שלא ממינה וזהו חלב בבשרא, חלב - ימינא, בבשרא - שמאלא:</w:t>
      </w:r>
    </w:p>
  </w:footnote>
  <w:footnote w:id="1886">
    <w:p w:rsidR="00A13282" w:rsidRDefault="00A13282">
      <w:pPr>
        <w:pStyle w:val="a5"/>
        <w:rPr>
          <w:rtl/>
        </w:rPr>
      </w:pPr>
      <w:r>
        <w:rPr>
          <w:rStyle w:val="a7"/>
          <w:rtl/>
        </w:rPr>
        <w:footnoteRef/>
      </w:r>
      <w:r>
        <w:rPr>
          <w:rtl/>
        </w:rPr>
        <w:t xml:space="preserve"> </w:t>
      </w:r>
      <w:r>
        <w:rPr>
          <w:rFonts w:ascii="Arial"/>
          <w:b/>
          <w:bCs/>
          <w:sz w:val="38"/>
          <w:rtl/>
        </w:rPr>
        <w:t>שור איהו מסטרא דדכיו.</w:t>
      </w:r>
      <w:r>
        <w:rPr>
          <w:rFonts w:ascii="Arial"/>
          <w:sz w:val="38"/>
          <w:rtl/>
        </w:rPr>
        <w:t xml:space="preserve"> גבורה:</w:t>
      </w:r>
    </w:p>
  </w:footnote>
  <w:footnote w:id="1887">
    <w:p w:rsidR="00A13282" w:rsidRDefault="00A13282">
      <w:pPr>
        <w:pStyle w:val="a5"/>
        <w:rPr>
          <w:rtl/>
        </w:rPr>
      </w:pPr>
      <w:r>
        <w:rPr>
          <w:rStyle w:val="a7"/>
          <w:rtl/>
        </w:rPr>
        <w:footnoteRef/>
      </w:r>
      <w:r>
        <w:rPr>
          <w:rtl/>
        </w:rPr>
        <w:t xml:space="preserve"> </w:t>
      </w:r>
      <w:r>
        <w:rPr>
          <w:rFonts w:ascii="Arial"/>
          <w:b/>
          <w:bCs/>
          <w:sz w:val="38"/>
          <w:rtl/>
        </w:rPr>
        <w:t>וחמור מסטרא דמסאבו.</w:t>
      </w:r>
      <w:r>
        <w:rPr>
          <w:rFonts w:ascii="Arial"/>
          <w:sz w:val="38"/>
          <w:rtl/>
        </w:rPr>
        <w:t xml:space="preserve"> ימינא דסטרא אחרא:</w:t>
      </w:r>
    </w:p>
  </w:footnote>
  <w:footnote w:id="1888">
    <w:p w:rsidR="00A13282" w:rsidRDefault="00A13282">
      <w:pPr>
        <w:pStyle w:val="a5"/>
        <w:rPr>
          <w:rtl/>
        </w:rPr>
      </w:pPr>
      <w:r>
        <w:rPr>
          <w:rStyle w:val="a7"/>
          <w:rtl/>
        </w:rPr>
        <w:footnoteRef/>
      </w:r>
      <w:r>
        <w:rPr>
          <w:rtl/>
        </w:rPr>
        <w:t xml:space="preserve"> </w:t>
      </w:r>
      <w:r>
        <w:rPr>
          <w:rFonts w:ascii="Arial"/>
          <w:b/>
          <w:bCs/>
          <w:sz w:val="38"/>
          <w:rtl/>
        </w:rPr>
        <w:t>טב וביש.</w:t>
      </w:r>
      <w:r>
        <w:rPr>
          <w:rFonts w:ascii="Arial"/>
          <w:sz w:val="38"/>
          <w:rtl/>
        </w:rPr>
        <w:t xml:space="preserve"> רוצה לומר הרכבה דעץ הדעת טוב ורע:</w:t>
      </w:r>
    </w:p>
  </w:footnote>
  <w:footnote w:id="1889">
    <w:p w:rsidR="00A13282" w:rsidRDefault="00A13282">
      <w:pPr>
        <w:pStyle w:val="a5"/>
        <w:rPr>
          <w:rtl/>
        </w:rPr>
      </w:pPr>
      <w:r>
        <w:rPr>
          <w:rStyle w:val="a7"/>
          <w:rtl/>
        </w:rPr>
        <w:footnoteRef/>
      </w:r>
      <w:r>
        <w:rPr>
          <w:rtl/>
        </w:rPr>
        <w:t xml:space="preserve"> </w:t>
      </w:r>
      <w:r>
        <w:rPr>
          <w:rFonts w:ascii="Arial"/>
          <w:b/>
          <w:bCs/>
          <w:sz w:val="38"/>
          <w:rtl/>
        </w:rPr>
        <w:t>תוצא הארץ נפש חיה למינה.</w:t>
      </w:r>
      <w:r>
        <w:rPr>
          <w:rFonts w:ascii="Arial"/>
          <w:sz w:val="38"/>
          <w:rtl/>
        </w:rPr>
        <w:t xml:space="preserve"> רוצה לומר כמו שבארנו לעיל דמקבלת חסד מחסד כנ"ל:</w:t>
      </w:r>
    </w:p>
  </w:footnote>
  <w:footnote w:id="1890">
    <w:p w:rsidR="00A13282" w:rsidRDefault="00A13282">
      <w:pPr>
        <w:pStyle w:val="a5"/>
        <w:rPr>
          <w:rtl/>
        </w:rPr>
      </w:pPr>
      <w:r>
        <w:rPr>
          <w:rStyle w:val="a7"/>
          <w:rtl/>
        </w:rPr>
        <w:footnoteRef/>
      </w:r>
      <w:r>
        <w:rPr>
          <w:rtl/>
        </w:rPr>
        <w:t xml:space="preserve"> </w:t>
      </w:r>
      <w:r>
        <w:rPr>
          <w:rFonts w:ascii="Arial"/>
          <w:b/>
          <w:bCs/>
          <w:sz w:val="38"/>
          <w:rtl/>
        </w:rPr>
        <w:t>ההוא בר דאתרכיב כו'.</w:t>
      </w:r>
      <w:r>
        <w:rPr>
          <w:rFonts w:ascii="Arial"/>
          <w:sz w:val="38"/>
          <w:rtl/>
        </w:rPr>
        <w:t xml:space="preserve"> רוצה לומר כשאין עמודא דאמצעיתא בביתיה ואין זיווג - מקבלת בימינא דילה משמאלא, וההוא ברא דאתייליד הוא גדיא - מסטרא דשמאלא, בחלב אמו - ימינא דילה:</w:t>
      </w:r>
    </w:p>
  </w:footnote>
  <w:footnote w:id="1891">
    <w:p w:rsidR="00A13282" w:rsidRDefault="00A13282">
      <w:pPr>
        <w:pStyle w:val="a5"/>
        <w:rPr>
          <w:rtl/>
        </w:rPr>
      </w:pPr>
      <w:r>
        <w:rPr>
          <w:rStyle w:val="a7"/>
          <w:rtl/>
        </w:rPr>
        <w:footnoteRef/>
      </w:r>
      <w:r>
        <w:rPr>
          <w:rtl/>
        </w:rPr>
        <w:t xml:space="preserve"> </w:t>
      </w:r>
      <w:r>
        <w:rPr>
          <w:rFonts w:ascii="Arial"/>
          <w:b/>
          <w:bCs/>
          <w:sz w:val="38"/>
          <w:rtl/>
        </w:rPr>
        <w:t>מלה בדוכתהא.</w:t>
      </w:r>
      <w:r>
        <w:rPr>
          <w:rFonts w:ascii="Arial"/>
          <w:sz w:val="38"/>
          <w:rtl/>
        </w:rPr>
        <w:t xml:space="preserve"> רוצה לומר השתא שפיר סמיכת הפסוקים הללו: ראשית בכורי כו', לא תבשל גדי כו':</w:t>
      </w:r>
    </w:p>
  </w:footnote>
  <w:footnote w:id="1892">
    <w:p w:rsidR="00A13282" w:rsidRDefault="00A13282">
      <w:pPr>
        <w:pStyle w:val="a5"/>
        <w:rPr>
          <w:rtl/>
        </w:rPr>
      </w:pPr>
      <w:r>
        <w:rPr>
          <w:rStyle w:val="a7"/>
          <w:rtl/>
        </w:rPr>
        <w:footnoteRef/>
      </w:r>
      <w:r>
        <w:rPr>
          <w:rtl/>
        </w:rPr>
        <w:t xml:space="preserve"> </w:t>
      </w:r>
      <w:r>
        <w:rPr>
          <w:rFonts w:ascii="Arial"/>
          <w:b/>
          <w:bCs/>
          <w:sz w:val="38"/>
          <w:rtl/>
        </w:rPr>
        <w:t>ודא איהו מלאתך ודמעך לא תאחר.</w:t>
      </w:r>
      <w:r>
        <w:rPr>
          <w:rFonts w:ascii="Arial"/>
          <w:sz w:val="38"/>
          <w:rtl/>
        </w:rPr>
        <w:t xml:space="preserve"> רוצה לומר ואח"כ כתב בכור בניך תתן לי, רוצה לומר כמו שמפרש והולך, שאם תתן לי בכור בניך - טפה קדמאה, אז מלאתך, שהוא בת זוגיה, שעמה נתמלא, שהן תרי פלגי דגופא - לא תאחר - שלא תהיה לאחר, ולא תתאחר לך, אלא תבוא לך תיכף:</w:t>
      </w:r>
    </w:p>
  </w:footnote>
  <w:footnote w:id="1893">
    <w:p w:rsidR="00A13282" w:rsidRDefault="00A13282">
      <w:pPr>
        <w:pStyle w:val="a5"/>
        <w:rPr>
          <w:rtl/>
        </w:rPr>
      </w:pPr>
      <w:r>
        <w:rPr>
          <w:rStyle w:val="a7"/>
          <w:rtl/>
        </w:rPr>
        <w:footnoteRef/>
      </w:r>
      <w:r>
        <w:rPr>
          <w:rtl/>
        </w:rPr>
        <w:t xml:space="preserve"> </w:t>
      </w:r>
      <w:r>
        <w:rPr>
          <w:rFonts w:ascii="Arial"/>
          <w:b/>
          <w:bCs/>
          <w:sz w:val="38"/>
          <w:rtl/>
        </w:rPr>
        <w:t>ראשית בכורי.</w:t>
      </w:r>
      <w:r>
        <w:rPr>
          <w:rFonts w:ascii="Arial"/>
          <w:sz w:val="38"/>
          <w:rtl/>
        </w:rPr>
        <w:t xml:space="preserve"> רוצה לומר ראשית בכורי אדמתך - טפה קדמאה, ראשית אונא, טפה בוכרא - תביא בית ה' - בזיווגא דיליה, אז לא תבשל גדי בחלב אמו:</w:t>
      </w:r>
    </w:p>
  </w:footnote>
  <w:footnote w:id="1894">
    <w:p w:rsidR="00A13282" w:rsidRDefault="00A13282">
      <w:pPr>
        <w:pStyle w:val="a5"/>
        <w:rPr>
          <w:rtl/>
        </w:rPr>
      </w:pPr>
      <w:r>
        <w:rPr>
          <w:rStyle w:val="a7"/>
          <w:rtl/>
        </w:rPr>
        <w:footnoteRef/>
      </w:r>
      <w:r>
        <w:rPr>
          <w:rtl/>
        </w:rPr>
        <w:t xml:space="preserve"> </w:t>
      </w:r>
      <w:r>
        <w:rPr>
          <w:rFonts w:ascii="Arial"/>
          <w:b/>
          <w:bCs/>
          <w:sz w:val="38"/>
          <w:rtl/>
        </w:rPr>
        <w:t>דההוא בר כו'.</w:t>
      </w:r>
      <w:r>
        <w:rPr>
          <w:rFonts w:ascii="Arial"/>
          <w:sz w:val="38"/>
          <w:rtl/>
        </w:rPr>
        <w:t xml:space="preserve"> רוצה לומר שמאשת שלא ממינו נקרא ברא דאתייליד - גדיא כנ"ל, וזהו לא תבשל כו':</w:t>
      </w:r>
    </w:p>
  </w:footnote>
  <w:footnote w:id="1895">
    <w:p w:rsidR="00A13282" w:rsidRDefault="00A13282">
      <w:pPr>
        <w:pStyle w:val="a5"/>
        <w:rPr>
          <w:rtl/>
        </w:rPr>
      </w:pPr>
      <w:r>
        <w:rPr>
          <w:rStyle w:val="a7"/>
          <w:rtl/>
        </w:rPr>
        <w:footnoteRef/>
      </w:r>
      <w:r>
        <w:rPr>
          <w:rtl/>
        </w:rPr>
        <w:t xml:space="preserve"> </w:t>
      </w:r>
      <w:r>
        <w:rPr>
          <w:rFonts w:ascii="Arial"/>
          <w:b/>
          <w:bCs/>
          <w:sz w:val="38"/>
          <w:rtl/>
        </w:rPr>
        <w:t>דאיהי כנגדו כו'.</w:t>
      </w:r>
      <w:r>
        <w:rPr>
          <w:rFonts w:ascii="Arial"/>
          <w:sz w:val="38"/>
          <w:rtl/>
        </w:rPr>
        <w:t xml:space="preserve"> רוצה לומר כמו שאמרו (יבמות סג ע"א) זכה - עזר, לא זכה - כנגדו, רוצה לומר, זכה ליטול בת מינו - עזר לו בעולם הזה ובעולם הבא, כמו שמפרש והולך, ואי לאו - כנגדו, בהיפוכא מכל זה כמו שמפרש והולך:</w:t>
      </w:r>
    </w:p>
  </w:footnote>
  <w:footnote w:id="1896">
    <w:p w:rsidR="00A13282" w:rsidRDefault="00A13282" w:rsidP="00A30853">
      <w:pPr>
        <w:pStyle w:val="a5"/>
        <w:rPr>
          <w:rtl/>
        </w:rPr>
      </w:pPr>
      <w:r>
        <w:rPr>
          <w:rStyle w:val="a7"/>
          <w:rtl/>
        </w:rPr>
        <w:footnoteRef/>
      </w:r>
      <w:r>
        <w:rPr>
          <w:rtl/>
        </w:rPr>
        <w:t xml:space="preserve"> </w:t>
      </w:r>
      <w:r>
        <w:rPr>
          <w:rFonts w:ascii="Arial"/>
          <w:b/>
          <w:bCs/>
          <w:sz w:val="38"/>
          <w:rtl/>
        </w:rPr>
        <w:t>באורייתא בפקודא בדחילו ברחימו.</w:t>
      </w:r>
      <w:r>
        <w:rPr>
          <w:rFonts w:ascii="Arial"/>
          <w:sz w:val="38"/>
          <w:rtl/>
        </w:rPr>
        <w:t xml:space="preserve"> רוצה לומר ד' דרגין של ד' אותיות הוי"ה, בד' פרצופים או"א וזו"נ, וכל זה הוא רמז לגופא, שהוא אשתו</w:t>
      </w:r>
      <w:r>
        <w:rPr>
          <w:rFonts w:ascii="Arial" w:hint="cs"/>
          <w:sz w:val="38"/>
          <w:rtl/>
        </w:rPr>
        <w:t>,</w:t>
      </w:r>
      <w:r>
        <w:rPr>
          <w:rFonts w:ascii="Arial"/>
          <w:sz w:val="38"/>
          <w:rtl/>
        </w:rPr>
        <w:t xml:space="preserve"> בת זוגיה דנשמתיה, אם הוא נטיר טפה קדמאה בגלגול הראשון</w:t>
      </w:r>
      <w:r>
        <w:rPr>
          <w:rFonts w:ascii="Arial" w:hint="cs"/>
          <w:sz w:val="38"/>
          <w:rtl/>
        </w:rPr>
        <w:t>,</w:t>
      </w:r>
      <w:r>
        <w:rPr>
          <w:rFonts w:ascii="Arial"/>
          <w:sz w:val="38"/>
          <w:rtl/>
        </w:rPr>
        <w:t xml:space="preserve"> דלא פגים ברית, אז נותנין לו בגלגולא תניינא בת זוגיה גופא דאיהו ממיניה דנשמתא, והיא אשת חיל עטרת בעלה (משלי יב ד), שבה האריך ומשבח אשה טובה (משלי לא י), והוא גוף טוב, שבקל יכול הנשמה לילך בדרך ה', והיא מולכת את הנשמה בדרך טובה, ועלה נאמר (משלי יט כב) מצא אשה מצא טוב ועלה אמרו זכה עזר כו':</w:t>
      </w:r>
    </w:p>
  </w:footnote>
  <w:footnote w:id="1897">
    <w:p w:rsidR="00A13282" w:rsidRDefault="00A13282">
      <w:pPr>
        <w:pStyle w:val="a5"/>
        <w:rPr>
          <w:rtl/>
        </w:rPr>
      </w:pPr>
      <w:r>
        <w:rPr>
          <w:rStyle w:val="a7"/>
          <w:rtl/>
        </w:rPr>
        <w:footnoteRef/>
      </w:r>
      <w:r>
        <w:rPr>
          <w:rtl/>
        </w:rPr>
        <w:t xml:space="preserve"> </w:t>
      </w:r>
      <w:r>
        <w:rPr>
          <w:rFonts w:ascii="Arial"/>
          <w:b/>
          <w:bCs/>
          <w:sz w:val="38"/>
          <w:rtl/>
        </w:rPr>
        <w:t>ועם כל דא אם חזר כו' ויהיב ליה כו'.</w:t>
      </w:r>
      <w:r>
        <w:rPr>
          <w:rFonts w:ascii="Arial"/>
          <w:sz w:val="38"/>
          <w:rtl/>
        </w:rPr>
        <w:t xml:space="preserve"> וזה שאמרו (סוטה ב ע"א) אין מזווגין את האדם בזיווג שני אלא לפי מעשיו, וכן נותנין גוף לאדם בגלגולא תניינא אלא לפי מעשיו בגלגולא קדמאה, ואם שב בתיובתא בגלגולא תניינא נותנין לו בגלגולא תליתאה בת זוגיה גופא ממיניה, וזה שאומר ויהיב ליה בת זוגיה, וזה שכתוב (איוב לג כט) הן כל אלה יפעל אל פעמים שלש עם גבר:</w:t>
      </w:r>
    </w:p>
  </w:footnote>
  <w:footnote w:id="1898">
    <w:p w:rsidR="00A13282" w:rsidRDefault="00A13282">
      <w:pPr>
        <w:pStyle w:val="a5"/>
        <w:rPr>
          <w:rtl/>
        </w:rPr>
      </w:pPr>
      <w:r>
        <w:rPr>
          <w:rStyle w:val="a7"/>
          <w:rtl/>
        </w:rPr>
        <w:footnoteRef/>
      </w:r>
      <w:r>
        <w:rPr>
          <w:rtl/>
        </w:rPr>
        <w:t xml:space="preserve"> </w:t>
      </w:r>
      <w:r>
        <w:rPr>
          <w:rFonts w:ascii="Arial"/>
          <w:b/>
          <w:bCs/>
          <w:sz w:val="38"/>
          <w:rtl/>
        </w:rPr>
        <w:t>עשר מילין אתמר כו'.</w:t>
      </w:r>
      <w:r>
        <w:rPr>
          <w:rFonts w:ascii="Arial"/>
          <w:sz w:val="38"/>
          <w:rtl/>
        </w:rPr>
        <w:t xml:space="preserve"> בזוהר חדש דף מ' קחשיב שנים עשר דברים, והן כנגד שנים עשר דברים בברכת אשר ברא כנ"ל:</w:t>
      </w:r>
    </w:p>
  </w:footnote>
  <w:footnote w:id="1899">
    <w:p w:rsidR="00A13282" w:rsidRDefault="00A13282">
      <w:pPr>
        <w:pStyle w:val="a5"/>
        <w:rPr>
          <w:rFonts w:ascii="Arial"/>
          <w:sz w:val="38"/>
          <w:rtl/>
        </w:rPr>
      </w:pPr>
      <w:r>
        <w:rPr>
          <w:rStyle w:val="a7"/>
          <w:rtl/>
        </w:rPr>
        <w:footnoteRef/>
      </w:r>
      <w:r>
        <w:rPr>
          <w:rtl/>
        </w:rPr>
        <w:t xml:space="preserve"> </w:t>
      </w:r>
      <w:r>
        <w:rPr>
          <w:rFonts w:ascii="Arial"/>
          <w:b/>
          <w:bCs/>
          <w:sz w:val="38"/>
          <w:rtl/>
        </w:rPr>
        <w:t>והא אוקמוה כו'.</w:t>
      </w:r>
      <w:r>
        <w:rPr>
          <w:rFonts w:ascii="Arial"/>
          <w:sz w:val="38"/>
          <w:rtl/>
        </w:rPr>
        <w:t xml:space="preserve"> בגמרא</w:t>
      </w:r>
      <w:r>
        <w:rPr>
          <w:rFonts w:ascii="Arial" w:hint="cs"/>
          <w:sz w:val="38"/>
          <w:rtl/>
        </w:rPr>
        <w:t xml:space="preserve"> (יבמות סג ע"ב וס"ב ע"ב עיי"ש)</w:t>
      </w:r>
      <w:r>
        <w:rPr>
          <w:rFonts w:ascii="Arial"/>
          <w:sz w:val="38"/>
          <w:rtl/>
        </w:rPr>
        <w:t>:</w:t>
      </w:r>
    </w:p>
    <w:p w:rsidR="00A13282" w:rsidRDefault="00A13282">
      <w:pPr>
        <w:pStyle w:val="a5"/>
        <w:rPr>
          <w:rtl/>
        </w:rPr>
      </w:pPr>
    </w:p>
  </w:footnote>
  <w:footnote w:id="1900">
    <w:p w:rsidR="00A13282" w:rsidRDefault="00A13282">
      <w:pPr>
        <w:pStyle w:val="a5"/>
        <w:rPr>
          <w:rtl/>
        </w:rPr>
      </w:pPr>
      <w:r>
        <w:rPr>
          <w:rStyle w:val="a7"/>
          <w:rtl/>
        </w:rPr>
        <w:footnoteRef/>
      </w:r>
      <w:r>
        <w:rPr>
          <w:rtl/>
        </w:rPr>
        <w:t xml:space="preserve"> </w:t>
      </w:r>
      <w:r>
        <w:rPr>
          <w:rFonts w:ascii="Arial"/>
          <w:b/>
          <w:bCs/>
          <w:sz w:val="38"/>
          <w:rtl/>
        </w:rPr>
        <w:t>תיקון טו.</w:t>
      </w:r>
      <w:r>
        <w:rPr>
          <w:rFonts w:ascii="Arial"/>
          <w:sz w:val="38"/>
          <w:rtl/>
        </w:rPr>
        <w:t xml:space="preserve"> </w:t>
      </w:r>
      <w:r>
        <w:rPr>
          <w:rFonts w:ascii="Arial"/>
          <w:b/>
          <w:bCs/>
          <w:sz w:val="38"/>
          <w:rtl/>
        </w:rPr>
        <w:t>איש תם.</w:t>
      </w:r>
      <w:r>
        <w:rPr>
          <w:rFonts w:ascii="Arial"/>
          <w:sz w:val="38"/>
          <w:rtl/>
        </w:rPr>
        <w:t xml:space="preserve"> תם, בלא פסולת:</w:t>
      </w:r>
    </w:p>
  </w:footnote>
  <w:footnote w:id="1901">
    <w:p w:rsidR="00A13282" w:rsidRDefault="00A13282">
      <w:pPr>
        <w:pStyle w:val="a5"/>
        <w:rPr>
          <w:rtl/>
        </w:rPr>
      </w:pPr>
      <w:r>
        <w:rPr>
          <w:rStyle w:val="a7"/>
          <w:rtl/>
        </w:rPr>
        <w:footnoteRef/>
      </w:r>
      <w:r>
        <w:rPr>
          <w:rtl/>
        </w:rPr>
        <w:t xml:space="preserve"> </w:t>
      </w:r>
      <w:r>
        <w:rPr>
          <w:rFonts w:ascii="Arial"/>
          <w:b/>
          <w:bCs/>
          <w:sz w:val="38"/>
          <w:rtl/>
        </w:rPr>
        <w:t>סם חיים.</w:t>
      </w:r>
      <w:r>
        <w:rPr>
          <w:rFonts w:ascii="Arial"/>
          <w:sz w:val="38"/>
          <w:rtl/>
        </w:rPr>
        <w:t xml:space="preserve"> רוצה לומר כמו שאמרו (יומא עב ע"ב) זכה נעשית לו סם חיים כו':</w:t>
      </w:r>
    </w:p>
  </w:footnote>
  <w:footnote w:id="1902">
    <w:p w:rsidR="00A13282" w:rsidRDefault="00A13282">
      <w:pPr>
        <w:pStyle w:val="a5"/>
        <w:rPr>
          <w:rtl/>
        </w:rPr>
      </w:pPr>
      <w:r>
        <w:rPr>
          <w:rStyle w:val="a7"/>
          <w:rtl/>
        </w:rPr>
        <w:footnoteRef/>
      </w:r>
      <w:r>
        <w:rPr>
          <w:rtl/>
        </w:rPr>
        <w:t xml:space="preserve"> </w:t>
      </w:r>
      <w:r>
        <w:rPr>
          <w:rFonts w:ascii="Arial"/>
          <w:b/>
          <w:bCs/>
          <w:sz w:val="38"/>
          <w:rtl/>
        </w:rPr>
        <w:t>ואיהו נטיר ליה כו'.</w:t>
      </w:r>
      <w:r>
        <w:rPr>
          <w:rFonts w:ascii="Arial"/>
          <w:sz w:val="38"/>
          <w:rtl/>
        </w:rPr>
        <w:t xml:space="preserve"> כמו שאומר בתיקון הקודם:</w:t>
      </w:r>
    </w:p>
  </w:footnote>
  <w:footnote w:id="1903">
    <w:p w:rsidR="00A13282" w:rsidRDefault="00A13282">
      <w:pPr>
        <w:pStyle w:val="a5"/>
        <w:rPr>
          <w:rtl/>
        </w:rPr>
      </w:pPr>
      <w:r>
        <w:rPr>
          <w:rStyle w:val="a7"/>
          <w:rtl/>
        </w:rPr>
        <w:footnoteRef/>
      </w:r>
      <w:r>
        <w:rPr>
          <w:rtl/>
        </w:rPr>
        <w:t xml:space="preserve"> </w:t>
      </w:r>
      <w:r>
        <w:rPr>
          <w:rFonts w:ascii="Arial"/>
          <w:b/>
          <w:bCs/>
          <w:sz w:val="38"/>
          <w:rtl/>
        </w:rPr>
        <w:t>לחם עני כו'.</w:t>
      </w:r>
      <w:r>
        <w:rPr>
          <w:rFonts w:ascii="Arial"/>
          <w:sz w:val="38"/>
          <w:rtl/>
        </w:rPr>
        <w:t xml:space="preserve"> רוצה לומר שהיא שמורה - נקראת עשירה, אבל אי לאו - עני, כמו שמפרש והולך מאן דמזלזל כו':</w:t>
      </w:r>
    </w:p>
  </w:footnote>
  <w:footnote w:id="1904">
    <w:p w:rsidR="00A13282" w:rsidRDefault="00A13282">
      <w:pPr>
        <w:pStyle w:val="a5"/>
        <w:rPr>
          <w:rtl/>
        </w:rPr>
      </w:pPr>
      <w:r>
        <w:rPr>
          <w:rStyle w:val="a7"/>
          <w:rtl/>
        </w:rPr>
        <w:footnoteRef/>
      </w:r>
      <w:r>
        <w:rPr>
          <w:rtl/>
        </w:rPr>
        <w:t xml:space="preserve"> </w:t>
      </w:r>
      <w:r>
        <w:rPr>
          <w:rFonts w:ascii="Arial"/>
          <w:b/>
          <w:bCs/>
          <w:sz w:val="38"/>
          <w:rtl/>
        </w:rPr>
        <w:t>טפין בכזית.</w:t>
      </w:r>
      <w:r>
        <w:rPr>
          <w:rFonts w:ascii="Arial"/>
          <w:sz w:val="38"/>
          <w:rtl/>
        </w:rPr>
        <w:t xml:space="preserve"> רוצה לומר, טפין דזרע שהן שמן זית, וזהו כזית:</w:t>
      </w:r>
    </w:p>
  </w:footnote>
  <w:footnote w:id="1905">
    <w:p w:rsidR="00A13282" w:rsidRDefault="00A13282">
      <w:pPr>
        <w:pStyle w:val="a5"/>
        <w:rPr>
          <w:rtl/>
        </w:rPr>
      </w:pPr>
      <w:r>
        <w:rPr>
          <w:rStyle w:val="a7"/>
          <w:rtl/>
        </w:rPr>
        <w:footnoteRef/>
      </w:r>
      <w:r>
        <w:rPr>
          <w:rtl/>
        </w:rPr>
        <w:t xml:space="preserve"> </w:t>
      </w:r>
      <w:r>
        <w:rPr>
          <w:rFonts w:ascii="Arial"/>
          <w:b/>
          <w:bCs/>
          <w:sz w:val="38"/>
          <w:rtl/>
        </w:rPr>
        <w:t>אוקירו כו.</w:t>
      </w:r>
      <w:r>
        <w:rPr>
          <w:rFonts w:ascii="Arial"/>
          <w:sz w:val="38"/>
          <w:rtl/>
        </w:rPr>
        <w:t xml:space="preserve"> דהוא גורם עשירות:</w:t>
      </w:r>
    </w:p>
  </w:footnote>
  <w:footnote w:id="1906">
    <w:p w:rsidR="00A13282" w:rsidRDefault="00A13282" w:rsidP="009778F8">
      <w:pPr>
        <w:pStyle w:val="a5"/>
        <w:rPr>
          <w:rtl/>
        </w:rPr>
      </w:pPr>
      <w:r>
        <w:rPr>
          <w:rStyle w:val="a7"/>
          <w:rtl/>
        </w:rPr>
        <w:footnoteRef/>
      </w:r>
      <w:r>
        <w:rPr>
          <w:rtl/>
        </w:rPr>
        <w:t xml:space="preserve"> </w:t>
      </w:r>
      <w:r>
        <w:rPr>
          <w:rFonts w:ascii="Arial"/>
          <w:b/>
          <w:bCs/>
          <w:sz w:val="38"/>
          <w:rtl/>
        </w:rPr>
        <w:t>דפסולת דאברהם כו'.</w:t>
      </w:r>
      <w:r>
        <w:rPr>
          <w:rFonts w:ascii="Arial"/>
          <w:sz w:val="38"/>
          <w:rtl/>
        </w:rPr>
        <w:t xml:space="preserve"> שהם גלגולא דאדם, דלא נפק פסולת דקין והבל כמו שאמרו (שבת קמו ע"א) עד ג' דורות לא פסק זוהמא מאבותינו, עד יעקב שהוא גלגולגא דשת:</w:t>
      </w:r>
    </w:p>
  </w:footnote>
  <w:footnote w:id="1907">
    <w:p w:rsidR="00A13282" w:rsidRDefault="00A13282" w:rsidP="009778F8">
      <w:pPr>
        <w:pStyle w:val="a5"/>
        <w:rPr>
          <w:rtl/>
        </w:rPr>
      </w:pPr>
      <w:r>
        <w:rPr>
          <w:rStyle w:val="a7"/>
          <w:rtl/>
        </w:rPr>
        <w:footnoteRef/>
      </w:r>
      <w:r>
        <w:rPr>
          <w:rtl/>
        </w:rPr>
        <w:t xml:space="preserve"> </w:t>
      </w:r>
      <w:r>
        <w:rPr>
          <w:rFonts w:ascii="Arial"/>
          <w:b/>
          <w:bCs/>
          <w:sz w:val="38"/>
          <w:rtl/>
        </w:rPr>
        <w:t>יעקב בגין כו'.</w:t>
      </w:r>
      <w:r>
        <w:rPr>
          <w:rFonts w:ascii="Arial"/>
          <w:sz w:val="38"/>
          <w:rtl/>
        </w:rPr>
        <w:t xml:space="preserve"> רוצה לומר, כל אותן הבאים מסטרא דיעקב נקיים מערב רב דישמעאל ועשו:</w:t>
      </w:r>
    </w:p>
  </w:footnote>
  <w:footnote w:id="1908">
    <w:p w:rsidR="00A13282" w:rsidRDefault="00A13282">
      <w:pPr>
        <w:pStyle w:val="a5"/>
        <w:rPr>
          <w:rFonts w:ascii="Arial"/>
          <w:sz w:val="38"/>
          <w:rtl/>
        </w:rPr>
      </w:pPr>
      <w:r>
        <w:rPr>
          <w:rStyle w:val="a7"/>
          <w:rtl/>
        </w:rPr>
        <w:footnoteRef/>
      </w:r>
      <w:r>
        <w:rPr>
          <w:rtl/>
        </w:rPr>
        <w:t xml:space="preserve"> </w:t>
      </w:r>
      <w:r>
        <w:rPr>
          <w:rFonts w:ascii="Arial"/>
          <w:b/>
          <w:bCs/>
          <w:sz w:val="38"/>
          <w:rtl/>
        </w:rPr>
        <w:t>וכל מאן כו'.</w:t>
      </w:r>
      <w:r>
        <w:rPr>
          <w:rFonts w:ascii="Arial"/>
          <w:sz w:val="38"/>
          <w:rtl/>
        </w:rPr>
        <w:t xml:space="preserve"> דאות ברית הן יסוד ומלכות:</w:t>
      </w:r>
    </w:p>
    <w:p w:rsidR="00A13282" w:rsidRDefault="00A13282">
      <w:pPr>
        <w:pStyle w:val="a5"/>
        <w:rPr>
          <w:rtl/>
        </w:rPr>
      </w:pPr>
    </w:p>
  </w:footnote>
  <w:footnote w:id="1909">
    <w:p w:rsidR="00A13282" w:rsidRDefault="00A13282">
      <w:pPr>
        <w:pStyle w:val="a5"/>
        <w:rPr>
          <w:rtl/>
        </w:rPr>
      </w:pPr>
      <w:r>
        <w:rPr>
          <w:rStyle w:val="a7"/>
          <w:rtl/>
        </w:rPr>
        <w:footnoteRef/>
      </w:r>
      <w:r>
        <w:rPr>
          <w:rtl/>
        </w:rPr>
        <w:t xml:space="preserve"> </w:t>
      </w:r>
      <w:r>
        <w:rPr>
          <w:rFonts w:ascii="Arial"/>
          <w:b/>
          <w:bCs/>
          <w:sz w:val="38"/>
          <w:rtl/>
        </w:rPr>
        <w:t>תיקון טז.</w:t>
      </w:r>
      <w:r>
        <w:rPr>
          <w:rFonts w:ascii="Arial"/>
          <w:sz w:val="38"/>
          <w:rtl/>
        </w:rPr>
        <w:t xml:space="preserve"> </w:t>
      </w:r>
      <w:r>
        <w:rPr>
          <w:rFonts w:ascii="Arial"/>
          <w:b/>
          <w:bCs/>
          <w:sz w:val="38"/>
          <w:rtl/>
        </w:rPr>
        <w:t>דאדם חלתו כו'.</w:t>
      </w:r>
      <w:r>
        <w:rPr>
          <w:rFonts w:ascii="Arial"/>
          <w:sz w:val="38"/>
          <w:rtl/>
        </w:rPr>
        <w:t xml:space="preserve"> רוצה לומר, ראשית של עולם, כמו חלה שנוטלין מן העסה שהוא יו"ד כמו שאומר להלן, כן אדה"ר - יוד של השם, חכמה כידוע:</w:t>
      </w:r>
    </w:p>
  </w:footnote>
  <w:footnote w:id="1910">
    <w:p w:rsidR="00A13282" w:rsidRDefault="00A13282">
      <w:pPr>
        <w:pStyle w:val="a5"/>
        <w:rPr>
          <w:rtl/>
        </w:rPr>
      </w:pPr>
      <w:r>
        <w:rPr>
          <w:rStyle w:val="a7"/>
          <w:rtl/>
        </w:rPr>
        <w:footnoteRef/>
      </w:r>
      <w:r>
        <w:rPr>
          <w:rtl/>
        </w:rPr>
        <w:t xml:space="preserve"> </w:t>
      </w:r>
      <w:r>
        <w:rPr>
          <w:rFonts w:ascii="Arial"/>
          <w:b/>
          <w:bCs/>
          <w:sz w:val="38"/>
          <w:rtl/>
        </w:rPr>
        <w:t>חלה תרימו כו'.</w:t>
      </w:r>
      <w:r>
        <w:rPr>
          <w:rFonts w:ascii="Arial"/>
          <w:sz w:val="38"/>
          <w:rtl/>
        </w:rPr>
        <w:t xml:space="preserve"> רוצה לומר, כמו שאומר ברעיא מהימנא, מאי תרימו כמו רום ידיהו כו', רוצה לומר לחכמה:</w:t>
      </w:r>
    </w:p>
  </w:footnote>
  <w:footnote w:id="1911">
    <w:p w:rsidR="00A13282" w:rsidRDefault="00A13282">
      <w:pPr>
        <w:pStyle w:val="a5"/>
        <w:rPr>
          <w:rtl/>
        </w:rPr>
      </w:pPr>
      <w:r>
        <w:rPr>
          <w:rStyle w:val="a7"/>
          <w:rtl/>
        </w:rPr>
        <w:footnoteRef/>
      </w:r>
      <w:r>
        <w:rPr>
          <w:rtl/>
        </w:rPr>
        <w:t xml:space="preserve"> </w:t>
      </w:r>
      <w:r>
        <w:rPr>
          <w:rFonts w:ascii="Arial"/>
          <w:b/>
          <w:bCs/>
          <w:sz w:val="38"/>
          <w:rtl/>
        </w:rPr>
        <w:t>מאי חלה.</w:t>
      </w:r>
      <w:r>
        <w:rPr>
          <w:rFonts w:ascii="Arial"/>
          <w:sz w:val="38"/>
          <w:rtl/>
        </w:rPr>
        <w:t xml:space="preserve"> מדקדק, מה הוא האותיות של חלה:</w:t>
      </w:r>
    </w:p>
  </w:footnote>
  <w:footnote w:id="1912">
    <w:p w:rsidR="00A13282" w:rsidRDefault="00A13282">
      <w:pPr>
        <w:pStyle w:val="a5"/>
        <w:rPr>
          <w:rtl/>
        </w:rPr>
      </w:pPr>
      <w:r>
        <w:rPr>
          <w:rStyle w:val="a7"/>
          <w:rtl/>
        </w:rPr>
        <w:footnoteRef/>
      </w:r>
      <w:r>
        <w:rPr>
          <w:rtl/>
        </w:rPr>
        <w:t xml:space="preserve"> </w:t>
      </w:r>
      <w:r>
        <w:rPr>
          <w:rFonts w:ascii="Arial"/>
          <w:b/>
          <w:bCs/>
          <w:sz w:val="38"/>
          <w:rtl/>
        </w:rPr>
        <w:t>אלא שבעת כו'.</w:t>
      </w:r>
      <w:r>
        <w:rPr>
          <w:rFonts w:ascii="Arial"/>
          <w:sz w:val="38"/>
          <w:rtl/>
        </w:rPr>
        <w:t xml:space="preserve"> רוצה לומר, שכינה - כלילא מז' מינין כמו שמפרש והולך:</w:t>
      </w:r>
    </w:p>
  </w:footnote>
  <w:footnote w:id="1913">
    <w:p w:rsidR="00A13282" w:rsidRDefault="00A13282">
      <w:pPr>
        <w:pStyle w:val="a5"/>
        <w:rPr>
          <w:rtl/>
        </w:rPr>
      </w:pPr>
      <w:r>
        <w:rPr>
          <w:rStyle w:val="a7"/>
          <w:rtl/>
        </w:rPr>
        <w:footnoteRef/>
      </w:r>
      <w:r>
        <w:rPr>
          <w:rtl/>
        </w:rPr>
        <w:t xml:space="preserve"> </w:t>
      </w:r>
      <w:r>
        <w:rPr>
          <w:rFonts w:ascii="Arial"/>
          <w:b/>
          <w:bCs/>
          <w:sz w:val="38"/>
          <w:rtl/>
        </w:rPr>
        <w:t>דהוא דבש תמרים.</w:t>
      </w:r>
      <w:r>
        <w:rPr>
          <w:rFonts w:ascii="Arial"/>
          <w:sz w:val="38"/>
          <w:rtl/>
        </w:rPr>
        <w:t xml:space="preserve"> רוצה לומר מארץ:</w:t>
      </w:r>
    </w:p>
  </w:footnote>
  <w:footnote w:id="1914">
    <w:p w:rsidR="00A13282" w:rsidRDefault="00A13282">
      <w:pPr>
        <w:pStyle w:val="a5"/>
        <w:rPr>
          <w:rtl/>
        </w:rPr>
      </w:pPr>
      <w:r>
        <w:rPr>
          <w:rStyle w:val="a7"/>
          <w:rtl/>
        </w:rPr>
        <w:footnoteRef/>
      </w:r>
      <w:r>
        <w:rPr>
          <w:rtl/>
        </w:rPr>
        <w:t xml:space="preserve"> </w:t>
      </w:r>
      <w:r>
        <w:rPr>
          <w:rFonts w:ascii="Arial"/>
          <w:b/>
          <w:bCs/>
          <w:sz w:val="38"/>
          <w:rtl/>
        </w:rPr>
        <w:t>חטה אילנא כו'.</w:t>
      </w:r>
      <w:r>
        <w:rPr>
          <w:rFonts w:ascii="Arial"/>
          <w:sz w:val="38"/>
          <w:rtl/>
        </w:rPr>
        <w:t xml:space="preserve"> כמו שאמרו בגמרא (סנהדרין ע ע"ב) ורוצה לומר, במלכות:</w:t>
      </w:r>
    </w:p>
  </w:footnote>
  <w:footnote w:id="1915">
    <w:p w:rsidR="00A13282" w:rsidRDefault="00A13282">
      <w:pPr>
        <w:pStyle w:val="a5"/>
        <w:rPr>
          <w:rtl/>
        </w:rPr>
      </w:pPr>
      <w:r>
        <w:rPr>
          <w:rStyle w:val="a7"/>
          <w:rtl/>
        </w:rPr>
        <w:footnoteRef/>
      </w:r>
      <w:r>
        <w:rPr>
          <w:rtl/>
        </w:rPr>
        <w:t xml:space="preserve"> </w:t>
      </w:r>
      <w:r>
        <w:rPr>
          <w:rFonts w:ascii="Arial"/>
          <w:b/>
          <w:bCs/>
          <w:sz w:val="38"/>
          <w:rtl/>
        </w:rPr>
        <w:t>ובג"ד לא חל כו'.</w:t>
      </w:r>
      <w:r>
        <w:rPr>
          <w:rFonts w:ascii="Arial"/>
          <w:sz w:val="38"/>
          <w:rtl/>
        </w:rPr>
        <w:t xml:space="preserve"> ורוצה לומר זהו אותיות חלה - חל ה', ונשאר אותיות ח"ט מן חט"ה:</w:t>
      </w:r>
    </w:p>
  </w:footnote>
  <w:footnote w:id="1916">
    <w:p w:rsidR="00A13282" w:rsidRDefault="00A13282">
      <w:pPr>
        <w:pStyle w:val="a5"/>
        <w:rPr>
          <w:rtl/>
        </w:rPr>
      </w:pPr>
      <w:r>
        <w:rPr>
          <w:rStyle w:val="a7"/>
          <w:rtl/>
        </w:rPr>
        <w:footnoteRef/>
      </w:r>
      <w:r>
        <w:rPr>
          <w:rtl/>
        </w:rPr>
        <w:t xml:space="preserve"> </w:t>
      </w:r>
      <w:r>
        <w:rPr>
          <w:rFonts w:ascii="Arial"/>
          <w:b/>
          <w:bCs/>
          <w:sz w:val="38"/>
          <w:rtl/>
        </w:rPr>
        <w:t>טפה דא י'.</w:t>
      </w:r>
      <w:r>
        <w:rPr>
          <w:rFonts w:ascii="Arial"/>
          <w:sz w:val="38"/>
          <w:rtl/>
        </w:rPr>
        <w:t xml:space="preserve"> רוצה לומר חלה שמוציאין מן העסה - כמין טפה:</w:t>
      </w:r>
    </w:p>
  </w:footnote>
  <w:footnote w:id="1917">
    <w:p w:rsidR="00A13282" w:rsidRDefault="00A13282">
      <w:pPr>
        <w:pStyle w:val="a5"/>
        <w:rPr>
          <w:rtl/>
        </w:rPr>
      </w:pPr>
      <w:r>
        <w:rPr>
          <w:rStyle w:val="a7"/>
          <w:rtl/>
        </w:rPr>
        <w:footnoteRef/>
      </w:r>
      <w:r>
        <w:rPr>
          <w:rtl/>
        </w:rPr>
        <w:t xml:space="preserve"> </w:t>
      </w:r>
      <w:r>
        <w:rPr>
          <w:rFonts w:ascii="Arial"/>
          <w:b/>
          <w:bCs/>
          <w:sz w:val="38"/>
          <w:rtl/>
        </w:rPr>
        <w:t>ומיד חל כו'.</w:t>
      </w:r>
      <w:r>
        <w:rPr>
          <w:rFonts w:ascii="Arial"/>
          <w:sz w:val="38"/>
          <w:rtl/>
        </w:rPr>
        <w:t xml:space="preserve"> רוצה לומר ה', כנ"ל, הרי העסה והטפה - י"ה, שהוא באיש ואשה, שמשם הבן, בינה - בן י"ה, ואדה"ר יהיב טפה - י', בח"ט, כמו שאומר בתיקון י"ז שלא חל בו ה':</w:t>
      </w:r>
    </w:p>
  </w:footnote>
  <w:footnote w:id="1918">
    <w:p w:rsidR="00A13282" w:rsidRDefault="00A13282">
      <w:pPr>
        <w:pStyle w:val="a5"/>
        <w:rPr>
          <w:rtl/>
        </w:rPr>
      </w:pPr>
      <w:r>
        <w:rPr>
          <w:rStyle w:val="a7"/>
          <w:rtl/>
        </w:rPr>
        <w:footnoteRef/>
      </w:r>
      <w:r>
        <w:rPr>
          <w:rtl/>
        </w:rPr>
        <w:t xml:space="preserve"> </w:t>
      </w:r>
      <w:r>
        <w:rPr>
          <w:rFonts w:ascii="Arial"/>
          <w:b/>
          <w:bCs/>
          <w:sz w:val="38"/>
          <w:rtl/>
        </w:rPr>
        <w:t>הא לכם זרע.</w:t>
      </w:r>
      <w:r>
        <w:rPr>
          <w:rFonts w:ascii="Arial"/>
          <w:sz w:val="38"/>
          <w:rtl/>
        </w:rPr>
        <w:t xml:space="preserve"> רוצה לומר שיתן זרע בה"א, וזה שאומר ובג"ד חלה כו'. שהיא ה' מן אשה וזה שכתוב (יחזקאל מד ל) ראשית עריסותיכם כו' להניח ברכה אל ביתך:</w:t>
      </w:r>
    </w:p>
  </w:footnote>
  <w:footnote w:id="1919">
    <w:p w:rsidR="00A13282" w:rsidRDefault="00A13282">
      <w:pPr>
        <w:pStyle w:val="a5"/>
        <w:rPr>
          <w:rtl/>
        </w:rPr>
      </w:pPr>
      <w:r>
        <w:rPr>
          <w:rStyle w:val="a7"/>
          <w:rtl/>
        </w:rPr>
        <w:footnoteRef/>
      </w:r>
      <w:r>
        <w:rPr>
          <w:rtl/>
        </w:rPr>
        <w:t xml:space="preserve"> </w:t>
      </w:r>
      <w:r>
        <w:rPr>
          <w:rFonts w:ascii="Arial"/>
          <w:b/>
          <w:bCs/>
          <w:sz w:val="38"/>
          <w:rtl/>
        </w:rPr>
        <w:t>דבגינה כו'.</w:t>
      </w:r>
      <w:r>
        <w:rPr>
          <w:rFonts w:ascii="Arial"/>
          <w:sz w:val="38"/>
          <w:rtl/>
        </w:rPr>
        <w:t xml:space="preserve"> שלא חל ה"א:</w:t>
      </w:r>
    </w:p>
  </w:footnote>
  <w:footnote w:id="1920">
    <w:p w:rsidR="00A13282" w:rsidRDefault="00A13282">
      <w:pPr>
        <w:pStyle w:val="a5"/>
        <w:rPr>
          <w:rtl/>
        </w:rPr>
      </w:pPr>
      <w:r>
        <w:rPr>
          <w:rStyle w:val="a7"/>
          <w:rtl/>
        </w:rPr>
        <w:footnoteRef/>
      </w:r>
      <w:r>
        <w:rPr>
          <w:rtl/>
        </w:rPr>
        <w:t xml:space="preserve"> </w:t>
      </w:r>
      <w:r>
        <w:rPr>
          <w:rFonts w:ascii="Arial"/>
          <w:b/>
          <w:bCs/>
          <w:sz w:val="38"/>
          <w:rtl/>
        </w:rPr>
        <w:t>ולאפקא לה מעסתה דאיהו טפה דילה.</w:t>
      </w:r>
      <w:r>
        <w:rPr>
          <w:rFonts w:ascii="Arial"/>
          <w:sz w:val="38"/>
          <w:rtl/>
        </w:rPr>
        <w:t xml:space="preserve"> רוצה לומר, העסה שהיא ה"א - טפה דילה, להחזיר ה"א על היו"ד - טפה שמוציאין מן העסה, שקודם היה היו"ד בלא ה"א כנ"ל:</w:t>
      </w:r>
    </w:p>
  </w:footnote>
  <w:footnote w:id="1921">
    <w:p w:rsidR="00A13282" w:rsidRDefault="00A13282" w:rsidP="00063D95">
      <w:pPr>
        <w:pStyle w:val="a5"/>
        <w:rPr>
          <w:rtl/>
        </w:rPr>
      </w:pPr>
      <w:r>
        <w:rPr>
          <w:rStyle w:val="a7"/>
          <w:rtl/>
        </w:rPr>
        <w:footnoteRef/>
      </w:r>
      <w:r>
        <w:rPr>
          <w:rtl/>
        </w:rPr>
        <w:t xml:space="preserve"> </w:t>
      </w:r>
      <w:r>
        <w:rPr>
          <w:rFonts w:ascii="Arial"/>
          <w:b/>
          <w:bCs/>
          <w:sz w:val="38"/>
          <w:rtl/>
        </w:rPr>
        <w:t>באתערו דשלהובין דאשא.</w:t>
      </w:r>
      <w:r>
        <w:rPr>
          <w:rFonts w:ascii="Arial"/>
          <w:sz w:val="38"/>
          <w:rtl/>
        </w:rPr>
        <w:t xml:space="preserve"> כמו שכתוב (שיר השירים ח ו) רשפיה רשפי אש שלהבת י"ה וכתיב אח"כ מים רבים כו', וזה שאומר ורזא דמלה כו'. ורוצה לומר רשפיה - רשף י"ה, רשפי אש - שתי אשות, של איש ואשה - שהן רשף י"ה שבאלו שתי אשות, וזה </w:t>
      </w:r>
      <w:r>
        <w:rPr>
          <w:rFonts w:ascii="Arial" w:hint="cs"/>
          <w:sz w:val="38"/>
          <w:rtl/>
        </w:rPr>
        <w:t>שכתוב</w:t>
      </w:r>
      <w:r>
        <w:rPr>
          <w:rFonts w:ascii="Arial"/>
          <w:sz w:val="38"/>
          <w:rtl/>
        </w:rPr>
        <w:t xml:space="preserve"> שלהבת י"ה, והוא דוקא בליל שבת כידוע, שבערב שבת יורד שלהבת מן י"ה ומפריש הקליפות ונשאר ה' נקיה, וזה שאומר דשלהובין דאשא - אש של אשה, וה' דילה - ה' של י"ה שהוא בינה שנקרא רחימו, וזה שאומר דרחימו, ואז לא יוכלו לכבות את האהבה, שלא יוכלו לכבות אש דילה, כיון שה"א בתוך האש של אשה, וכן אש שלו כיון שחל ה' כנ"ל כיון שהוא מאהבה לא יוכלו לכבות אותה:</w:t>
      </w:r>
    </w:p>
  </w:footnote>
  <w:footnote w:id="1922">
    <w:p w:rsidR="00A13282" w:rsidRDefault="00A13282">
      <w:pPr>
        <w:pStyle w:val="a5"/>
        <w:rPr>
          <w:rtl/>
        </w:rPr>
      </w:pPr>
      <w:r>
        <w:rPr>
          <w:rStyle w:val="a7"/>
          <w:rtl/>
        </w:rPr>
        <w:footnoteRef/>
      </w:r>
      <w:r>
        <w:rPr>
          <w:rtl/>
        </w:rPr>
        <w:t xml:space="preserve"> </w:t>
      </w:r>
      <w:r>
        <w:rPr>
          <w:rFonts w:ascii="Arial"/>
          <w:b/>
          <w:bCs/>
          <w:sz w:val="38"/>
          <w:rtl/>
        </w:rPr>
        <w:t>ואתערו כו' מאתתי'.</w:t>
      </w:r>
      <w:r>
        <w:rPr>
          <w:rFonts w:ascii="Arial"/>
          <w:sz w:val="38"/>
          <w:rtl/>
        </w:rPr>
        <w:t xml:space="preserve"> שיחול ה"א האהבה כנ"ל:</w:t>
      </w:r>
    </w:p>
  </w:footnote>
  <w:footnote w:id="1923">
    <w:p w:rsidR="00A13282" w:rsidRDefault="00A13282">
      <w:pPr>
        <w:pStyle w:val="a5"/>
        <w:rPr>
          <w:rtl/>
        </w:rPr>
      </w:pPr>
      <w:r>
        <w:rPr>
          <w:rStyle w:val="a7"/>
          <w:rtl/>
        </w:rPr>
        <w:footnoteRef/>
      </w:r>
      <w:r>
        <w:rPr>
          <w:rtl/>
        </w:rPr>
        <w:t xml:space="preserve"> </w:t>
      </w:r>
      <w:r>
        <w:rPr>
          <w:rFonts w:ascii="Arial"/>
          <w:b/>
          <w:bCs/>
          <w:sz w:val="38"/>
          <w:rtl/>
        </w:rPr>
        <w:t>ברחימו ודחילו.</w:t>
      </w:r>
      <w:r>
        <w:rPr>
          <w:rFonts w:ascii="Arial"/>
          <w:sz w:val="38"/>
          <w:rtl/>
        </w:rPr>
        <w:t xml:space="preserve"> שהן י"ה כידוע, שיחול בהם י"ה בתוך שתי האשות שלהן, ואמר לעיל ויהיב ליה זרע כו' דאיהו ו', וזה שאומר ודא איהו אשה כו', וזה שאמרו (שבועות יח ע"ב) כל המקדש עצמו בשעת תשמיש הויין ליה בנים זכרים:</w:t>
      </w:r>
    </w:p>
  </w:footnote>
  <w:footnote w:id="1924">
    <w:p w:rsidR="00A13282" w:rsidRDefault="00A13282">
      <w:pPr>
        <w:pStyle w:val="a5"/>
        <w:rPr>
          <w:rFonts w:ascii="Arial"/>
          <w:sz w:val="38"/>
          <w:rtl/>
        </w:rPr>
      </w:pPr>
      <w:r>
        <w:rPr>
          <w:rStyle w:val="a7"/>
          <w:rtl/>
        </w:rPr>
        <w:footnoteRef/>
      </w:r>
      <w:r>
        <w:rPr>
          <w:rtl/>
        </w:rPr>
        <w:t xml:space="preserve"> </w:t>
      </w:r>
      <w:r>
        <w:rPr>
          <w:rFonts w:ascii="Arial"/>
          <w:b/>
          <w:bCs/>
          <w:sz w:val="38"/>
          <w:rtl/>
        </w:rPr>
        <w:t>חטה איהו כו'.</w:t>
      </w:r>
      <w:r>
        <w:rPr>
          <w:rFonts w:ascii="Arial"/>
          <w:sz w:val="38"/>
          <w:rtl/>
        </w:rPr>
        <w:t xml:space="preserve"> רוצה לומר חטה דקודשא, שחל בו ה' - בינה, ואז גימטריה כ"ב אתוון כו' שהוא בבינה כידוע שהיא ימא דאורייתא כמו שאומר בתיקון י"ז אבל חטה כו':</w:t>
      </w:r>
    </w:p>
    <w:p w:rsidR="00A13282" w:rsidRDefault="00A13282">
      <w:pPr>
        <w:pStyle w:val="a5"/>
        <w:rPr>
          <w:rFonts w:ascii="Arial"/>
          <w:sz w:val="38"/>
          <w:rtl/>
        </w:rPr>
      </w:pPr>
    </w:p>
  </w:footnote>
  <w:footnote w:id="1925">
    <w:p w:rsidR="00A13282" w:rsidRDefault="00A13282">
      <w:pPr>
        <w:pStyle w:val="a5"/>
        <w:rPr>
          <w:rtl/>
        </w:rPr>
      </w:pPr>
      <w:r>
        <w:rPr>
          <w:rStyle w:val="a7"/>
          <w:rtl/>
        </w:rPr>
        <w:footnoteRef/>
      </w:r>
      <w:r>
        <w:rPr>
          <w:rtl/>
        </w:rPr>
        <w:t xml:space="preserve"> </w:t>
      </w:r>
      <w:r>
        <w:rPr>
          <w:rFonts w:ascii="Arial"/>
          <w:b/>
          <w:bCs/>
          <w:sz w:val="38"/>
          <w:rtl/>
        </w:rPr>
        <w:t>תיקון יז.</w:t>
      </w:r>
      <w:r>
        <w:rPr>
          <w:rFonts w:ascii="Arial"/>
          <w:sz w:val="38"/>
          <w:rtl/>
        </w:rPr>
        <w:t xml:space="preserve"> </w:t>
      </w:r>
      <w:r>
        <w:rPr>
          <w:rFonts w:ascii="Arial"/>
          <w:b/>
          <w:bCs/>
          <w:sz w:val="38"/>
          <w:rtl/>
        </w:rPr>
        <w:t>ואיהי עשירית לעשר כו'.</w:t>
      </w:r>
      <w:r>
        <w:rPr>
          <w:rFonts w:ascii="Arial"/>
          <w:sz w:val="38"/>
          <w:rtl/>
        </w:rPr>
        <w:t xml:space="preserve"> רוצה לומר לכל העשר ספירות, שהיא עשירית מכל, שבכל ספירה ט' חלקים נשארו, והיא נוטלת המעשר מכל ספירה, כמו שאומר לקמן. וזה שאומר, ובגינה מעשרין בהאי עלמא, רוצה לומר, במלכות, שהיא עולם הזה, שמלובשת בקליפין כידוע:</w:t>
      </w:r>
    </w:p>
  </w:footnote>
  <w:footnote w:id="1926">
    <w:p w:rsidR="00A13282" w:rsidRDefault="00A13282">
      <w:pPr>
        <w:pStyle w:val="a5"/>
        <w:rPr>
          <w:rtl/>
        </w:rPr>
      </w:pPr>
      <w:r>
        <w:rPr>
          <w:rStyle w:val="a7"/>
          <w:rtl/>
        </w:rPr>
        <w:footnoteRef/>
      </w:r>
      <w:r>
        <w:rPr>
          <w:rtl/>
        </w:rPr>
        <w:t xml:space="preserve"> </w:t>
      </w:r>
      <w:r>
        <w:rPr>
          <w:rFonts w:ascii="Arial"/>
          <w:b/>
          <w:bCs/>
          <w:sz w:val="38"/>
          <w:rtl/>
        </w:rPr>
        <w:t>זריק בה טפה.</w:t>
      </w:r>
      <w:r>
        <w:rPr>
          <w:rFonts w:ascii="Arial"/>
          <w:sz w:val="38"/>
          <w:rtl/>
        </w:rPr>
        <w:t xml:space="preserve"> רוצה לומר המעשר שהיא יוד - עשר, והטפה מחכמה שהיא יוד, והיא נקודה בהיכלא, נקודה פנימית שבסיהרא, חכמה כידוע:</w:t>
      </w:r>
    </w:p>
  </w:footnote>
  <w:footnote w:id="1927">
    <w:p w:rsidR="00A13282" w:rsidRDefault="00A13282">
      <w:pPr>
        <w:pStyle w:val="a5"/>
        <w:rPr>
          <w:rtl/>
        </w:rPr>
      </w:pPr>
      <w:r>
        <w:rPr>
          <w:rStyle w:val="a7"/>
          <w:rtl/>
        </w:rPr>
        <w:footnoteRef/>
      </w:r>
      <w:r>
        <w:rPr>
          <w:rtl/>
        </w:rPr>
        <w:t xml:space="preserve"> </w:t>
      </w:r>
      <w:r>
        <w:rPr>
          <w:rFonts w:ascii="Arial"/>
          <w:b/>
          <w:bCs/>
          <w:sz w:val="38"/>
          <w:rtl/>
        </w:rPr>
        <w:t>אבל בעלמא דאתי.</w:t>
      </w:r>
      <w:r>
        <w:rPr>
          <w:rFonts w:ascii="Arial"/>
          <w:sz w:val="38"/>
          <w:rtl/>
        </w:rPr>
        <w:t xml:space="preserve"> בינה כנ"ל:</w:t>
      </w:r>
    </w:p>
  </w:footnote>
  <w:footnote w:id="1928">
    <w:p w:rsidR="00A13282" w:rsidRDefault="00A13282">
      <w:pPr>
        <w:pStyle w:val="a5"/>
        <w:rPr>
          <w:rtl/>
        </w:rPr>
      </w:pPr>
      <w:r>
        <w:rPr>
          <w:rStyle w:val="a7"/>
          <w:rtl/>
        </w:rPr>
        <w:footnoteRef/>
      </w:r>
      <w:r>
        <w:rPr>
          <w:rtl/>
        </w:rPr>
        <w:t xml:space="preserve"> </w:t>
      </w:r>
      <w:r>
        <w:rPr>
          <w:rFonts w:ascii="Arial"/>
          <w:b/>
          <w:bCs/>
          <w:sz w:val="38"/>
          <w:rtl/>
        </w:rPr>
        <w:t>איהי ולבושא.</w:t>
      </w:r>
      <w:r>
        <w:rPr>
          <w:rFonts w:ascii="Arial"/>
          <w:sz w:val="38"/>
          <w:rtl/>
        </w:rPr>
        <w:t xml:space="preserve"> שהיא ה' מן חטה, ולבושין דילה - יסוד ומלכות, שה' דילה מתפשט בנ' תרעין דילה - בה' ספירות מחסד עד הוד, ומתלבשין ביסוד, וחוזר ומתלבשין במלכות בסוד חותם בתוך חותם, שלכן נקראין כל, כלה, כידוע. וזהו ח"ט מן חטה, שהתחלת הספירות מחכמה שנקראין ראשית, ויסוד הוא ספירה ח', שלכן וביום השמיני ימול כו', ומלכות - ט', והוא חותם בתוך חותם, שיין שלה יין דמנטרא דלא נגע בה עובד כוכבים, עלמא דחירות כידוע:</w:t>
      </w:r>
    </w:p>
  </w:footnote>
  <w:footnote w:id="1929">
    <w:p w:rsidR="00A13282" w:rsidRDefault="00A13282">
      <w:pPr>
        <w:pStyle w:val="a5"/>
        <w:rPr>
          <w:rtl/>
        </w:rPr>
      </w:pPr>
      <w:r>
        <w:rPr>
          <w:rStyle w:val="a7"/>
          <w:rtl/>
        </w:rPr>
        <w:footnoteRef/>
      </w:r>
      <w:r>
        <w:rPr>
          <w:rtl/>
        </w:rPr>
        <w:t xml:space="preserve"> </w:t>
      </w:r>
      <w:r>
        <w:rPr>
          <w:rFonts w:ascii="Arial"/>
          <w:b/>
          <w:bCs/>
          <w:sz w:val="38"/>
          <w:rtl/>
        </w:rPr>
        <w:t>ואיהי עשרין כו'.</w:t>
      </w:r>
      <w:r>
        <w:rPr>
          <w:rFonts w:ascii="Arial"/>
          <w:sz w:val="38"/>
          <w:rtl/>
        </w:rPr>
        <w:t xml:space="preserve"> כנ"ל, וכ"ב אותיות נכללין ביסוד כידוע, וחוזר ונכללין במלכות, שלכן נקראת אתה, בסוד כלה - כל ה', וכן כ"ב אותיות הוא א"ת - מא' עד ת', בתוספת ה' כנ"ל:</w:t>
      </w:r>
    </w:p>
  </w:footnote>
  <w:footnote w:id="1930">
    <w:p w:rsidR="00A13282" w:rsidRDefault="00A13282">
      <w:pPr>
        <w:pStyle w:val="a5"/>
        <w:rPr>
          <w:rtl/>
        </w:rPr>
      </w:pPr>
      <w:r>
        <w:rPr>
          <w:rStyle w:val="a7"/>
          <w:rtl/>
        </w:rPr>
        <w:footnoteRef/>
      </w:r>
      <w:r>
        <w:rPr>
          <w:rtl/>
        </w:rPr>
        <w:t xml:space="preserve"> </w:t>
      </w:r>
      <w:r>
        <w:rPr>
          <w:rFonts w:ascii="Arial"/>
          <w:b/>
          <w:bCs/>
          <w:sz w:val="38"/>
          <w:rtl/>
        </w:rPr>
        <w:t>לדקדק בה' כו'.</w:t>
      </w:r>
      <w:r>
        <w:rPr>
          <w:rFonts w:ascii="Arial"/>
          <w:sz w:val="38"/>
          <w:rtl/>
        </w:rPr>
        <w:t xml:space="preserve"> שסמוך לה' הוא מוץ של ה</w:t>
      </w:r>
      <w:r>
        <w:rPr>
          <w:rFonts w:ascii="Arial"/>
          <w:b/>
          <w:bCs/>
          <w:sz w:val="38"/>
          <w:rtl/>
        </w:rPr>
        <w:t>מוצ</w:t>
      </w:r>
      <w:r>
        <w:rPr>
          <w:rFonts w:ascii="Arial"/>
          <w:sz w:val="38"/>
          <w:rtl/>
        </w:rPr>
        <w:t>יא, ואח"כ י"א של המוצ</w:t>
      </w:r>
      <w:r>
        <w:rPr>
          <w:rFonts w:ascii="Arial"/>
          <w:b/>
          <w:bCs/>
          <w:sz w:val="38"/>
          <w:rtl/>
        </w:rPr>
        <w:t>יא</w:t>
      </w:r>
      <w:r>
        <w:rPr>
          <w:rFonts w:ascii="Arial"/>
          <w:sz w:val="38"/>
          <w:rtl/>
        </w:rPr>
        <w:t xml:space="preserve"> שהוא תבן במספר קטן, כי בסטרא אחרא מחשבין מספר קטן כידוע בסוד י"א ארורים, לכך צריך להפריד הה"א מהן. ואמר בעל הבית - שהמוציא הוא בכזית, יו"ד של השם, טפין בכזית, ובעל הבית הוא דזריק י' בה"א, כנ"ל, בעל האשה שנקראת בית:</w:t>
      </w:r>
    </w:p>
  </w:footnote>
  <w:footnote w:id="1931">
    <w:p w:rsidR="00A13282" w:rsidRDefault="00A13282">
      <w:pPr>
        <w:pStyle w:val="a5"/>
        <w:rPr>
          <w:rtl/>
        </w:rPr>
      </w:pPr>
      <w:r>
        <w:rPr>
          <w:rStyle w:val="a7"/>
          <w:rtl/>
        </w:rPr>
        <w:footnoteRef/>
      </w:r>
      <w:r>
        <w:rPr>
          <w:rtl/>
        </w:rPr>
        <w:t xml:space="preserve"> </w:t>
      </w:r>
      <w:r>
        <w:rPr>
          <w:rFonts w:ascii="Arial"/>
          <w:b/>
          <w:bCs/>
          <w:sz w:val="38"/>
          <w:rtl/>
        </w:rPr>
        <w:t>דכל ספירן סלקין כו'.</w:t>
      </w:r>
      <w:r>
        <w:rPr>
          <w:rFonts w:ascii="Arial"/>
          <w:sz w:val="38"/>
          <w:rtl/>
        </w:rPr>
        <w:t xml:space="preserve"> שהיא נוטלת העשירית מכל כנ"ל, ובה עשר ספירות, מעשר מכל עשר ספירות, נמצא בכל הספירות תשעים, ועמה מאה. ונותנת מעשר ללוי שמתייחד בעישור ספירה גבורה דילה, ועוד מעשר לכהן - ספירה חסד דילה, תרין דרועין דילה בתרין דרועין דילה שהן כהן ולוי, וכל ספירן דילה הן מעשר כנ"ל. ונותן קודם ללוי כמו שכתוב (שיר השירים ב ו) שמאלו תחת לראשי ואח"כ וימינו תחבקני, דקודם סלקא בגבורה והוא סליק לה בכל עשר ספירות דילה כידוע, שלכן שם מעשר שלם עשר ממאה, ואח"כ נוטל ממנה הכהן ספירה דיליה, חסד, אחד מעשר דילה וזהו מעשר מן המעשר:</w:t>
      </w:r>
    </w:p>
  </w:footnote>
  <w:footnote w:id="1932">
    <w:p w:rsidR="00A13282" w:rsidRDefault="00A13282">
      <w:pPr>
        <w:pStyle w:val="a5"/>
        <w:rPr>
          <w:rtl/>
        </w:rPr>
      </w:pPr>
      <w:r>
        <w:rPr>
          <w:rStyle w:val="a7"/>
          <w:rtl/>
        </w:rPr>
        <w:footnoteRef/>
      </w:r>
      <w:r>
        <w:rPr>
          <w:rtl/>
        </w:rPr>
        <w:t xml:space="preserve"> </w:t>
      </w:r>
      <w:r>
        <w:rPr>
          <w:rFonts w:ascii="Arial"/>
          <w:b/>
          <w:bCs/>
          <w:sz w:val="38"/>
          <w:rtl/>
        </w:rPr>
        <w:t>תרי ממאה.</w:t>
      </w:r>
      <w:r>
        <w:rPr>
          <w:rFonts w:ascii="Arial"/>
          <w:sz w:val="38"/>
          <w:rtl/>
        </w:rPr>
        <w:t xml:space="preserve"> חו"ג דילה, שקודם צריך לכלול בה חו"ג בחסד, שמאלא בימינא, ואח"כ לעורר הגבורה, ואח"כ בחסד כידוע. וזהו תרומה שנותנין קודם לכהן, וזה שאומר לקבל תרין לוחין כו'. שהן שני ספרים בשתי ידים שהן בחו"ג כידוע:</w:t>
      </w:r>
    </w:p>
  </w:footnote>
  <w:footnote w:id="1933">
    <w:p w:rsidR="00A13282" w:rsidRDefault="00A13282">
      <w:pPr>
        <w:pStyle w:val="a5"/>
        <w:rPr>
          <w:rtl/>
        </w:rPr>
      </w:pPr>
      <w:r>
        <w:rPr>
          <w:rStyle w:val="a7"/>
          <w:rtl/>
        </w:rPr>
        <w:footnoteRef/>
      </w:r>
      <w:r>
        <w:rPr>
          <w:rtl/>
        </w:rPr>
        <w:t xml:space="preserve"> </w:t>
      </w:r>
      <w:r>
        <w:rPr>
          <w:rFonts w:ascii="Arial"/>
          <w:b/>
          <w:bCs/>
          <w:sz w:val="38"/>
          <w:rtl/>
        </w:rPr>
        <w:t>ודא איהו תורה מ'.</w:t>
      </w:r>
      <w:r>
        <w:rPr>
          <w:rFonts w:ascii="Arial"/>
          <w:sz w:val="38"/>
          <w:rtl/>
        </w:rPr>
        <w:t xml:space="preserve"> רוצה לומר אותיות תרומה - תורה מ', שניתן במ' יום, וכן תרומה עין יפה בארבעים, שהן כלל כל המרכבה חגת"ם, בסוד יב"ק, שקודם בשמאל - קדושה, ואח"כ ברכה - בימין, ואח"כ יחוד - תפארת ומלכות. וזה שאמרו (נדרים לח ע"א) התורה ניתנה למשה, ומשה עין יפה נהג בה ונתן לישראל, שלכן ניתנה בארבעים שנה:</w:t>
      </w:r>
    </w:p>
  </w:footnote>
  <w:footnote w:id="1934">
    <w:p w:rsidR="00A13282" w:rsidRDefault="00A13282">
      <w:pPr>
        <w:pStyle w:val="a5"/>
        <w:rPr>
          <w:rtl/>
        </w:rPr>
      </w:pPr>
      <w:r>
        <w:rPr>
          <w:rStyle w:val="a7"/>
          <w:rtl/>
        </w:rPr>
        <w:footnoteRef/>
      </w:r>
      <w:r>
        <w:rPr>
          <w:rtl/>
        </w:rPr>
        <w:t xml:space="preserve"> </w:t>
      </w:r>
      <w:r>
        <w:rPr>
          <w:rFonts w:ascii="Arial"/>
          <w:b/>
          <w:bCs/>
          <w:sz w:val="38"/>
          <w:rtl/>
        </w:rPr>
        <w:t>ובה אתעבידו כו'.</w:t>
      </w:r>
      <w:r>
        <w:rPr>
          <w:rFonts w:ascii="Arial"/>
          <w:sz w:val="38"/>
          <w:rtl/>
        </w:rPr>
        <w:t xml:space="preserve"> שכל ספירה אחד מעשר בה:</w:t>
      </w:r>
    </w:p>
  </w:footnote>
  <w:footnote w:id="1935">
    <w:p w:rsidR="00A13282" w:rsidRDefault="00A13282">
      <w:pPr>
        <w:pStyle w:val="a5"/>
        <w:rPr>
          <w:rtl/>
        </w:rPr>
      </w:pPr>
      <w:r>
        <w:rPr>
          <w:rStyle w:val="a7"/>
          <w:rtl/>
        </w:rPr>
        <w:footnoteRef/>
      </w:r>
      <w:r>
        <w:rPr>
          <w:rtl/>
        </w:rPr>
        <w:t xml:space="preserve"> </w:t>
      </w:r>
      <w:r>
        <w:rPr>
          <w:rFonts w:ascii="Arial"/>
          <w:b/>
          <w:bCs/>
          <w:sz w:val="38"/>
          <w:rtl/>
        </w:rPr>
        <w:t>תלת אבהן כו'.</w:t>
      </w:r>
      <w:r>
        <w:rPr>
          <w:rFonts w:ascii="Arial"/>
          <w:sz w:val="38"/>
          <w:rtl/>
        </w:rPr>
        <w:t xml:space="preserve"> רוצה לומר חג"ת דילה והן בסוד סגול כמו שאומר בתיקון י"ח:</w:t>
      </w:r>
    </w:p>
  </w:footnote>
  <w:footnote w:id="1936">
    <w:p w:rsidR="00A13282" w:rsidRDefault="00A13282">
      <w:pPr>
        <w:pStyle w:val="a5"/>
        <w:rPr>
          <w:rFonts w:ascii="Arial"/>
          <w:sz w:val="38"/>
          <w:rtl/>
        </w:rPr>
      </w:pPr>
      <w:r>
        <w:rPr>
          <w:rStyle w:val="a7"/>
          <w:rtl/>
        </w:rPr>
        <w:footnoteRef/>
      </w:r>
      <w:r>
        <w:rPr>
          <w:rtl/>
        </w:rPr>
        <w:t xml:space="preserve"> </w:t>
      </w:r>
      <w:r>
        <w:rPr>
          <w:rFonts w:ascii="Arial"/>
          <w:b/>
          <w:bCs/>
          <w:sz w:val="38"/>
          <w:rtl/>
        </w:rPr>
        <w:t>תרי נביאי כו'.</w:t>
      </w:r>
      <w:r>
        <w:rPr>
          <w:rFonts w:ascii="Arial"/>
          <w:sz w:val="38"/>
          <w:rtl/>
        </w:rPr>
        <w:t xml:space="preserve"> נ"ה שהן בסוד צירי כמו שאומר שם, ורוצה לומר שהן שני עשרונים לאיל. ועשרון לכבש הוא יסוד, בסוד חירק תחת הצירי, כמו שאומר בתיקון הנ"ל. והטעם שאינו בנ"ה בסוד סגול, כמו ת"ת בחו"ג, לפי שבינה מתפשטת בה' שלה בנ' תרעין דילה שכל אחד כלול מעשר, בה' ספירות מחסד עד הוד. וזה שאמרו עץ החיים - בינה, מהלך ת"ק שנה - בכל ספירה עשר, וחג"ת נכללין כאחד כידוע בסוד ויסע ויבא ויט, אבל יסוד אינו ממנינם, והוא יתום מאמו, כנ"ל שאמרו יוסף יתום מאמו, אלא שהכל נכלל בו בסוד כל, והכל בסוד יו"ד אחד כידוע בסוד הכללות, וזהו יוד דיסוד יו"ד זעירא, וזה שאמרו (משניות פרה פ"א מ"ב) פר בן שלש - בסוד חג"ת כנ"ל, איל בן שתים - נו"ה, כבש בן שנה - יסוד, נגד עשרונים הנ"ל, והכל במלכות, והן ו"ק, שלכן ברגלים וחדשים באין הכל עולות כי עולה בדכורא כידוע, ושעיר עזים לחטאת - בנוקבא, כי חטאת בנוקבא, והוא במלכות דילה שרגליה כו' להפריש ממנה השעיר כידוע, כמו שכתוב ושעיר לחטאת כו' הביאו עלי חטאת על שמעטתי את הירח (שבועות ט ע"א), במלכות דילה, סיהרא - דלית לה מגרמה כלום:</w:t>
      </w:r>
    </w:p>
    <w:p w:rsidR="00A13282" w:rsidRDefault="00A13282">
      <w:pPr>
        <w:pStyle w:val="a5"/>
        <w:rPr>
          <w:rtl/>
        </w:rPr>
      </w:pPr>
    </w:p>
  </w:footnote>
  <w:footnote w:id="1937">
    <w:p w:rsidR="00A13282" w:rsidRDefault="00A13282">
      <w:pPr>
        <w:pStyle w:val="a5"/>
        <w:rPr>
          <w:rtl/>
        </w:rPr>
      </w:pPr>
      <w:r>
        <w:rPr>
          <w:rStyle w:val="a7"/>
          <w:rtl/>
        </w:rPr>
        <w:footnoteRef/>
      </w:r>
      <w:r>
        <w:rPr>
          <w:rtl/>
        </w:rPr>
        <w:t xml:space="preserve"> </w:t>
      </w:r>
      <w:r>
        <w:rPr>
          <w:rFonts w:ascii="Arial"/>
          <w:b/>
          <w:bCs/>
          <w:sz w:val="38"/>
          <w:rtl/>
        </w:rPr>
        <w:t>תיקון יח.</w:t>
      </w:r>
      <w:r>
        <w:rPr>
          <w:rFonts w:ascii="Arial"/>
          <w:sz w:val="38"/>
          <w:rtl/>
        </w:rPr>
        <w:t xml:space="preserve"> </w:t>
      </w:r>
      <w:r>
        <w:rPr>
          <w:rFonts w:ascii="Arial"/>
          <w:b/>
          <w:bCs/>
          <w:sz w:val="38"/>
          <w:rtl/>
        </w:rPr>
        <w:t>אינון שית דרגין דנבואה כו'.</w:t>
      </w:r>
      <w:r>
        <w:rPr>
          <w:rFonts w:ascii="Arial"/>
          <w:sz w:val="38"/>
          <w:rtl/>
        </w:rPr>
        <w:t xml:space="preserve"> נו"ה שהן נביאי קשוט, שמהן נפיק נבואה ובהן שית פרקין, בכל אחד ג' פרקין וזה שאומר. שוקיו כו':</w:t>
      </w:r>
    </w:p>
  </w:footnote>
  <w:footnote w:id="1938">
    <w:p w:rsidR="00A13282" w:rsidRDefault="00A13282">
      <w:pPr>
        <w:pStyle w:val="a5"/>
        <w:rPr>
          <w:rtl/>
        </w:rPr>
      </w:pPr>
      <w:r>
        <w:rPr>
          <w:rStyle w:val="a7"/>
          <w:rtl/>
        </w:rPr>
        <w:footnoteRef/>
      </w:r>
      <w:r>
        <w:rPr>
          <w:rtl/>
        </w:rPr>
        <w:t xml:space="preserve"> </w:t>
      </w:r>
      <w:r>
        <w:rPr>
          <w:rFonts w:ascii="Arial"/>
          <w:b/>
          <w:bCs/>
          <w:sz w:val="38"/>
          <w:rtl/>
        </w:rPr>
        <w:t>וכמה דאינון כו'.</w:t>
      </w:r>
      <w:r>
        <w:rPr>
          <w:rFonts w:ascii="Arial"/>
          <w:sz w:val="38"/>
          <w:rtl/>
        </w:rPr>
        <w:t xml:space="preserve"> רוצה לומר כמו בנו"ה - שית, כן בחו"ג - שית פרקין, שנאמר בהם בתרשיש:</w:t>
      </w:r>
    </w:p>
  </w:footnote>
  <w:footnote w:id="1939">
    <w:p w:rsidR="00A13282" w:rsidRDefault="00A13282">
      <w:pPr>
        <w:pStyle w:val="a5"/>
        <w:rPr>
          <w:rtl/>
        </w:rPr>
      </w:pPr>
      <w:r>
        <w:rPr>
          <w:rStyle w:val="a7"/>
          <w:rtl/>
        </w:rPr>
        <w:footnoteRef/>
      </w:r>
      <w:r>
        <w:rPr>
          <w:rtl/>
        </w:rPr>
        <w:t xml:space="preserve"> </w:t>
      </w:r>
      <w:r>
        <w:rPr>
          <w:rFonts w:ascii="Arial"/>
          <w:b/>
          <w:bCs/>
          <w:sz w:val="38"/>
          <w:rtl/>
        </w:rPr>
        <w:t>באן אתר ביסוד כו'.</w:t>
      </w:r>
      <w:r>
        <w:rPr>
          <w:rFonts w:ascii="Arial"/>
          <w:sz w:val="38"/>
          <w:rtl/>
        </w:rPr>
        <w:t xml:space="preserve"> כמו שמפרש והולך בי' דאיהו עטרה דברית שהוא יו"ד כמו שאומר לעיל בתקון י”ז דכל ספירן סלקין בה לעשר וכו':</w:t>
      </w:r>
    </w:p>
  </w:footnote>
  <w:footnote w:id="1940">
    <w:p w:rsidR="00A13282" w:rsidRDefault="00A13282">
      <w:pPr>
        <w:pStyle w:val="a5"/>
        <w:rPr>
          <w:rtl/>
        </w:rPr>
      </w:pPr>
      <w:r>
        <w:rPr>
          <w:rStyle w:val="a7"/>
          <w:rtl/>
        </w:rPr>
        <w:footnoteRef/>
      </w:r>
      <w:r>
        <w:rPr>
          <w:rtl/>
        </w:rPr>
        <w:t xml:space="preserve"> </w:t>
      </w:r>
      <w:r>
        <w:rPr>
          <w:rFonts w:ascii="Arial"/>
          <w:b/>
          <w:bCs/>
          <w:sz w:val="38"/>
          <w:rtl/>
        </w:rPr>
        <w:t>אשתאר יד כו'.</w:t>
      </w:r>
      <w:r>
        <w:rPr>
          <w:rFonts w:ascii="Arial"/>
          <w:sz w:val="38"/>
          <w:rtl/>
        </w:rPr>
        <w:t xml:space="preserve"> דס' רומז לשיתין, וא"ו לנו"ה שהן שש כנ"ל:</w:t>
      </w:r>
    </w:p>
  </w:footnote>
  <w:footnote w:id="1941">
    <w:p w:rsidR="00A13282" w:rsidRDefault="00A13282">
      <w:pPr>
        <w:pStyle w:val="a5"/>
        <w:rPr>
          <w:rtl/>
        </w:rPr>
      </w:pPr>
      <w:r>
        <w:rPr>
          <w:rStyle w:val="a7"/>
          <w:rtl/>
        </w:rPr>
        <w:footnoteRef/>
      </w:r>
      <w:r>
        <w:rPr>
          <w:rtl/>
        </w:rPr>
        <w:t xml:space="preserve"> </w:t>
      </w:r>
      <w:r>
        <w:rPr>
          <w:rFonts w:ascii="Arial"/>
          <w:b/>
          <w:bCs/>
          <w:sz w:val="38"/>
          <w:rtl/>
        </w:rPr>
        <w:t>דאינון בחמש אצבעאן כו'.</w:t>
      </w:r>
      <w:r>
        <w:rPr>
          <w:rFonts w:ascii="Arial"/>
          <w:sz w:val="38"/>
          <w:rtl/>
        </w:rPr>
        <w:t xml:space="preserve"> רוצה לומר שהיא ה' תתאה, ה' אצבעות, וכן י"ד אותיות כלולין בה', הוי"ה פשוטה אחת וד' אותיות של המילוי, נמצא יסוד כולל כל הד' ספירות של הנבואה - נהי"ם שהן מרכבה תחתונה כמו שאומר למטה:</w:t>
      </w:r>
    </w:p>
  </w:footnote>
  <w:footnote w:id="1942">
    <w:p w:rsidR="00A13282" w:rsidRDefault="00A13282">
      <w:pPr>
        <w:pStyle w:val="a5"/>
        <w:rPr>
          <w:rtl/>
        </w:rPr>
      </w:pPr>
      <w:r>
        <w:rPr>
          <w:rStyle w:val="a7"/>
          <w:rtl/>
        </w:rPr>
        <w:footnoteRef/>
      </w:r>
      <w:r>
        <w:rPr>
          <w:rtl/>
        </w:rPr>
        <w:t xml:space="preserve"> </w:t>
      </w:r>
      <w:r>
        <w:rPr>
          <w:rFonts w:ascii="Arial"/>
          <w:b/>
          <w:bCs/>
          <w:sz w:val="38"/>
          <w:rtl/>
        </w:rPr>
        <w:t>אתוון דקב"ה כו'.</w:t>
      </w:r>
      <w:r>
        <w:rPr>
          <w:rFonts w:ascii="Arial"/>
          <w:sz w:val="38"/>
          <w:rtl/>
        </w:rPr>
        <w:t xml:space="preserve"> דהי"ד אותיות בעמודא דאמצעיתא: פשוטה - בחיצוניותו, ומילואו - בפנימיותו, כידוע:</w:t>
      </w:r>
    </w:p>
  </w:footnote>
  <w:footnote w:id="1943">
    <w:p w:rsidR="00A13282" w:rsidRDefault="00A13282">
      <w:pPr>
        <w:pStyle w:val="a5"/>
        <w:rPr>
          <w:rtl/>
        </w:rPr>
      </w:pPr>
      <w:r>
        <w:rPr>
          <w:rStyle w:val="a7"/>
          <w:rtl/>
        </w:rPr>
        <w:footnoteRef/>
      </w:r>
      <w:r>
        <w:rPr>
          <w:rtl/>
        </w:rPr>
        <w:t xml:space="preserve"> </w:t>
      </w:r>
      <w:r>
        <w:rPr>
          <w:rFonts w:ascii="Arial"/>
          <w:b/>
          <w:bCs/>
          <w:sz w:val="38"/>
          <w:rtl/>
        </w:rPr>
        <w:t>וביד הנביאים.</w:t>
      </w:r>
      <w:r>
        <w:rPr>
          <w:rFonts w:ascii="Arial"/>
          <w:sz w:val="38"/>
          <w:rtl/>
        </w:rPr>
        <w:t xml:space="preserve"> שהיא כלולה מנביאים, נו"ה - שבה נראין, כמו שמפרש והולך:</w:t>
      </w:r>
    </w:p>
  </w:footnote>
  <w:footnote w:id="1944">
    <w:p w:rsidR="00A13282" w:rsidRDefault="00A13282">
      <w:pPr>
        <w:pStyle w:val="a5"/>
        <w:rPr>
          <w:rtl/>
        </w:rPr>
      </w:pPr>
      <w:r>
        <w:rPr>
          <w:rStyle w:val="a7"/>
          <w:rtl/>
        </w:rPr>
        <w:footnoteRef/>
      </w:r>
      <w:r>
        <w:rPr>
          <w:rtl/>
        </w:rPr>
        <w:t xml:space="preserve"> </w:t>
      </w:r>
      <w:r>
        <w:rPr>
          <w:rFonts w:ascii="Arial"/>
          <w:b/>
          <w:bCs/>
          <w:sz w:val="38"/>
          <w:rtl/>
        </w:rPr>
        <w:t>ס"ו מן כו'.</w:t>
      </w:r>
      <w:r>
        <w:rPr>
          <w:rFonts w:ascii="Arial"/>
          <w:sz w:val="38"/>
          <w:rtl/>
        </w:rPr>
        <w:t xml:space="preserve"> עכשיו מפרש שכל יסוד כלול בכסא ששם הנבואה:</w:t>
      </w:r>
    </w:p>
  </w:footnote>
  <w:footnote w:id="1945">
    <w:p w:rsidR="00A13282" w:rsidRDefault="00A13282">
      <w:pPr>
        <w:pStyle w:val="a5"/>
        <w:rPr>
          <w:rtl/>
        </w:rPr>
      </w:pPr>
      <w:r>
        <w:rPr>
          <w:rStyle w:val="a7"/>
          <w:rtl/>
        </w:rPr>
        <w:footnoteRef/>
      </w:r>
      <w:r>
        <w:rPr>
          <w:rtl/>
        </w:rPr>
        <w:t xml:space="preserve"> </w:t>
      </w:r>
      <w:r>
        <w:rPr>
          <w:rFonts w:ascii="Arial"/>
          <w:b/>
          <w:bCs/>
          <w:sz w:val="38"/>
          <w:rtl/>
        </w:rPr>
        <w:t>וכרסייא תמן כו'.</w:t>
      </w:r>
      <w:r>
        <w:rPr>
          <w:rFonts w:ascii="Arial"/>
          <w:sz w:val="38"/>
          <w:rtl/>
        </w:rPr>
        <w:t xml:space="preserve"> רוצה לומר הכסא עצמה - תמן שכינה - י"ד, שיתין גלגלים - ס', שש מעלות - ו':</w:t>
      </w:r>
    </w:p>
  </w:footnote>
  <w:footnote w:id="1946">
    <w:p w:rsidR="00A13282" w:rsidRDefault="00A13282">
      <w:pPr>
        <w:pStyle w:val="a5"/>
        <w:rPr>
          <w:rtl/>
        </w:rPr>
      </w:pPr>
      <w:r>
        <w:rPr>
          <w:rStyle w:val="a7"/>
          <w:rtl/>
        </w:rPr>
        <w:footnoteRef/>
      </w:r>
      <w:r>
        <w:rPr>
          <w:rtl/>
        </w:rPr>
        <w:t xml:space="preserve"> </w:t>
      </w:r>
      <w:r>
        <w:rPr>
          <w:rFonts w:ascii="Arial"/>
          <w:b/>
          <w:bCs/>
          <w:sz w:val="38"/>
          <w:rtl/>
        </w:rPr>
        <w:t>דאיהי דמיון כו'.</w:t>
      </w:r>
      <w:r>
        <w:rPr>
          <w:rFonts w:ascii="Arial"/>
          <w:sz w:val="38"/>
          <w:rtl/>
        </w:rPr>
        <w:t xml:space="preserve"> רוצה לומר זהו וביד הנביאים אדמה:</w:t>
      </w:r>
    </w:p>
  </w:footnote>
  <w:footnote w:id="1947">
    <w:p w:rsidR="00A13282" w:rsidRDefault="00A13282">
      <w:pPr>
        <w:pStyle w:val="a5"/>
        <w:rPr>
          <w:rtl/>
        </w:rPr>
      </w:pPr>
      <w:r>
        <w:rPr>
          <w:rStyle w:val="a7"/>
          <w:rtl/>
        </w:rPr>
        <w:footnoteRef/>
      </w:r>
      <w:r>
        <w:rPr>
          <w:rtl/>
        </w:rPr>
        <w:t xml:space="preserve"> </w:t>
      </w:r>
      <w:r>
        <w:rPr>
          <w:rFonts w:ascii="Arial"/>
          <w:b/>
          <w:bCs/>
          <w:sz w:val="38"/>
          <w:rtl/>
        </w:rPr>
        <w:t>ותמונת ה'.</w:t>
      </w:r>
      <w:r>
        <w:rPr>
          <w:rFonts w:ascii="Arial"/>
          <w:sz w:val="38"/>
          <w:rtl/>
        </w:rPr>
        <w:t xml:space="preserve"> שבה כלולין י"ד אותיות דקב"ה כנ"ל:</w:t>
      </w:r>
    </w:p>
  </w:footnote>
  <w:footnote w:id="1948">
    <w:p w:rsidR="00A13282" w:rsidRDefault="00A13282">
      <w:pPr>
        <w:pStyle w:val="a5"/>
        <w:rPr>
          <w:rtl/>
        </w:rPr>
      </w:pPr>
      <w:r>
        <w:rPr>
          <w:rStyle w:val="a7"/>
          <w:rtl/>
        </w:rPr>
        <w:footnoteRef/>
      </w:r>
      <w:r>
        <w:rPr>
          <w:rtl/>
        </w:rPr>
        <w:t xml:space="preserve"> </w:t>
      </w:r>
      <w:r>
        <w:rPr>
          <w:rFonts w:ascii="Arial"/>
          <w:b/>
          <w:bCs/>
          <w:sz w:val="38"/>
          <w:rtl/>
        </w:rPr>
        <w:t>ע"ש דכל כו'.</w:t>
      </w:r>
      <w:r>
        <w:rPr>
          <w:rFonts w:ascii="Arial"/>
          <w:sz w:val="38"/>
          <w:rtl/>
        </w:rPr>
        <w:t xml:space="preserve"> רוצה לומר זהו יביט:</w:t>
      </w:r>
    </w:p>
  </w:footnote>
  <w:footnote w:id="1949">
    <w:p w:rsidR="00A13282" w:rsidRDefault="00A13282">
      <w:pPr>
        <w:pStyle w:val="a5"/>
        <w:rPr>
          <w:rtl/>
        </w:rPr>
      </w:pPr>
      <w:r>
        <w:rPr>
          <w:rStyle w:val="a7"/>
          <w:rtl/>
        </w:rPr>
        <w:footnoteRef/>
      </w:r>
      <w:r>
        <w:rPr>
          <w:rtl/>
        </w:rPr>
        <w:t xml:space="preserve"> </w:t>
      </w:r>
      <w:r>
        <w:rPr>
          <w:rFonts w:ascii="Arial"/>
          <w:b/>
          <w:bCs/>
          <w:sz w:val="38"/>
          <w:rtl/>
        </w:rPr>
        <w:t>דכל פרצופין דנביאי כו'.</w:t>
      </w:r>
      <w:r>
        <w:rPr>
          <w:rFonts w:ascii="Arial"/>
          <w:sz w:val="38"/>
          <w:rtl/>
        </w:rPr>
        <w:t xml:space="preserve"> רוצה לומר הצורה שנדמית לנביאים, לכך נקראת על שמם דמיון:</w:t>
      </w:r>
    </w:p>
  </w:footnote>
  <w:footnote w:id="1950">
    <w:p w:rsidR="00A13282" w:rsidRDefault="00A13282">
      <w:pPr>
        <w:pStyle w:val="a5"/>
        <w:rPr>
          <w:rtl/>
        </w:rPr>
      </w:pPr>
      <w:r>
        <w:rPr>
          <w:rStyle w:val="a7"/>
          <w:rtl/>
        </w:rPr>
        <w:footnoteRef/>
      </w:r>
      <w:r>
        <w:rPr>
          <w:rtl/>
        </w:rPr>
        <w:t xml:space="preserve"> </w:t>
      </w:r>
      <w:r>
        <w:rPr>
          <w:rFonts w:ascii="Arial"/>
          <w:b/>
          <w:bCs/>
          <w:sz w:val="38"/>
          <w:rtl/>
        </w:rPr>
        <w:t>דכל הנהורין כו'.</w:t>
      </w:r>
      <w:r>
        <w:rPr>
          <w:rFonts w:ascii="Arial"/>
          <w:sz w:val="38"/>
          <w:rtl/>
        </w:rPr>
        <w:t xml:space="preserve"> הספירות:</w:t>
      </w:r>
    </w:p>
  </w:footnote>
  <w:footnote w:id="1951">
    <w:p w:rsidR="00A13282" w:rsidRDefault="00A13282">
      <w:pPr>
        <w:pStyle w:val="a5"/>
        <w:rPr>
          <w:rtl/>
        </w:rPr>
      </w:pPr>
      <w:r>
        <w:rPr>
          <w:rStyle w:val="a7"/>
          <w:rtl/>
        </w:rPr>
        <w:footnoteRef/>
      </w:r>
      <w:r>
        <w:rPr>
          <w:rtl/>
        </w:rPr>
        <w:t xml:space="preserve"> </w:t>
      </w:r>
      <w:r>
        <w:rPr>
          <w:rFonts w:ascii="Arial"/>
          <w:b/>
          <w:bCs/>
          <w:sz w:val="38"/>
          <w:rtl/>
        </w:rPr>
        <w:t>בסתימו דעיינין כו'.</w:t>
      </w:r>
      <w:r>
        <w:rPr>
          <w:rFonts w:ascii="Arial"/>
          <w:sz w:val="38"/>
          <w:rtl/>
        </w:rPr>
        <w:t xml:space="preserve"> שהוקשה לו דכתיב אם יהיה נביאכם ה' במראה כו', וכתיב לא כן עבדי ומראה כו'. ואמר דשני מיני מראה הן: אחד - דרגא דמרע"ה, ואחד - דרגא דנביאים. לכן נאמר אצל משה ולא בחידות ואצל הנביאים כתיב בב' - מלכות, ואצלו כתיב ומראה, בוא"ו, עמודא דאמצעיתא:</w:t>
      </w:r>
    </w:p>
  </w:footnote>
  <w:footnote w:id="1952">
    <w:p w:rsidR="00A13282" w:rsidRDefault="00A13282">
      <w:pPr>
        <w:pStyle w:val="a5"/>
        <w:rPr>
          <w:rtl/>
        </w:rPr>
      </w:pPr>
      <w:r>
        <w:rPr>
          <w:rStyle w:val="a7"/>
          <w:rtl/>
        </w:rPr>
        <w:footnoteRef/>
      </w:r>
      <w:r>
        <w:rPr>
          <w:rtl/>
        </w:rPr>
        <w:t xml:space="preserve"> </w:t>
      </w:r>
      <w:r>
        <w:rPr>
          <w:rFonts w:ascii="Arial"/>
          <w:b/>
          <w:bCs/>
          <w:sz w:val="38"/>
          <w:rtl/>
        </w:rPr>
        <w:t>אתקריאת מראה בחלום.</w:t>
      </w:r>
      <w:r>
        <w:rPr>
          <w:rFonts w:ascii="Arial"/>
          <w:sz w:val="38"/>
          <w:rtl/>
        </w:rPr>
        <w:t xml:space="preserve"> כמו בחלום שעינים סתומין ורואה מראות בחלום מה שאין כן בהקיץ:</w:t>
      </w:r>
    </w:p>
  </w:footnote>
  <w:footnote w:id="1953">
    <w:p w:rsidR="00A13282" w:rsidRDefault="00A13282">
      <w:pPr>
        <w:pStyle w:val="a5"/>
        <w:rPr>
          <w:rtl/>
        </w:rPr>
      </w:pPr>
      <w:r>
        <w:rPr>
          <w:rStyle w:val="a7"/>
          <w:rtl/>
        </w:rPr>
        <w:footnoteRef/>
      </w:r>
      <w:r>
        <w:rPr>
          <w:rtl/>
        </w:rPr>
        <w:t xml:space="preserve"> </w:t>
      </w:r>
      <w:r>
        <w:rPr>
          <w:rFonts w:ascii="Arial"/>
          <w:b/>
          <w:bCs/>
          <w:sz w:val="38"/>
          <w:rtl/>
        </w:rPr>
        <w:t>ורזא דמלה אני כו'.</w:t>
      </w:r>
      <w:r>
        <w:rPr>
          <w:rFonts w:ascii="Arial"/>
          <w:sz w:val="38"/>
          <w:rtl/>
        </w:rPr>
        <w:t xml:space="preserve"> אני - מלכות, שמסטרה מראה בחלום, כמו שמפרש והולך, ישנה, ולבי, שהוא עמודא דאמצעיתא כידוע - ער, מסטריה מראה בהקיץ, כמו שמפרש והולך. ישנה - גימטריה שס"ה, מסטרא דמלכות, שס"ה לא תעשה כידוע, ומסטרא דעמודא דאמצעיתא - רמ"ח מצוות עשה, ועמודא דאמצעיתא הוא ע' כידוע, ע' אנפין, ע' שמות, ע' דער, ולבי ר' - גימטריה רמ"ח. והענין, כי בעין תרין כרובי עינא, ותרין עפעפי, שהן ד' גדפין דחיות, שהן ד' אותיות אדני, ובעין ג' גוונים, עם בת עין, שכינתא, דמשתתפת באבהן - ד' פני החיה, ד' אותיות הוי"ה כידוע, ולכן כשהעין סתום אז המראה מצד כרובי ועפעפי עינא, מסטרא דמלכות, אבל בפתיחו דעיינין - המראה מצד גוונין שהוא בעמודא דאמצעיתא, הוי"ה, וזה שאומר לעיל בתיקון ד' פתחו לי דא אינון תרין עפעפי כו'. שהן שערי צדק - מלכות, ואמר שם תלת גווני עינא כו' אפתח עיני לאסתכלא בהון כו'. רוצה לומר לראות בפתיחו דעיינין בהקיץ כנ"ל:</w:t>
      </w:r>
    </w:p>
  </w:footnote>
  <w:footnote w:id="1954">
    <w:p w:rsidR="00A13282" w:rsidRDefault="00A13282">
      <w:pPr>
        <w:pStyle w:val="a5"/>
        <w:rPr>
          <w:rtl/>
        </w:rPr>
      </w:pPr>
      <w:r>
        <w:rPr>
          <w:rStyle w:val="a7"/>
          <w:rtl/>
        </w:rPr>
        <w:footnoteRef/>
      </w:r>
      <w:r>
        <w:rPr>
          <w:rtl/>
        </w:rPr>
        <w:t xml:space="preserve"> </w:t>
      </w:r>
      <w:r>
        <w:rPr>
          <w:rFonts w:ascii="Arial"/>
          <w:b/>
          <w:bCs/>
          <w:sz w:val="38"/>
          <w:rtl/>
        </w:rPr>
        <w:t>חד סגרון וחד פתחון.</w:t>
      </w:r>
      <w:r>
        <w:rPr>
          <w:rFonts w:ascii="Arial"/>
          <w:sz w:val="38"/>
          <w:rtl/>
        </w:rPr>
        <w:t xml:space="preserve"> אדנ"י הוי"ה:</w:t>
      </w:r>
    </w:p>
  </w:footnote>
  <w:footnote w:id="1955">
    <w:p w:rsidR="00A13282" w:rsidRDefault="00A13282">
      <w:pPr>
        <w:pStyle w:val="a5"/>
        <w:rPr>
          <w:rtl/>
        </w:rPr>
      </w:pPr>
      <w:r>
        <w:rPr>
          <w:rStyle w:val="a7"/>
          <w:rtl/>
        </w:rPr>
        <w:footnoteRef/>
      </w:r>
      <w:r>
        <w:rPr>
          <w:rtl/>
        </w:rPr>
        <w:t xml:space="preserve"> </w:t>
      </w:r>
      <w:r>
        <w:rPr>
          <w:rFonts w:ascii="Arial"/>
          <w:b/>
          <w:bCs/>
          <w:sz w:val="38"/>
          <w:rtl/>
        </w:rPr>
        <w:t>ומטטרון דאתקרי כו'.</w:t>
      </w:r>
      <w:r>
        <w:rPr>
          <w:rFonts w:ascii="Arial"/>
          <w:sz w:val="38"/>
          <w:rtl/>
        </w:rPr>
        <w:t xml:space="preserve"> שהוא יסוד, כלול משני שמות הנ"ל, ושני השמות הן בנו"ה: בנצח הוא אספקלריא דנהרא, ובהוד - אספקלריא דלא נהרא, כמו שאומר בתיקוני זוהר חדש, וזה שאומר איהו בנצח ואיהי בהוד ולכן משה, בנצח, זכה לאספקלריא דנהרא, ואהרן - בהוד ולכן נאמר לו במראה אליו כו':</w:t>
      </w:r>
    </w:p>
  </w:footnote>
  <w:footnote w:id="1956">
    <w:p w:rsidR="00A13282" w:rsidRDefault="00A13282">
      <w:pPr>
        <w:pStyle w:val="a5"/>
        <w:rPr>
          <w:rtl/>
        </w:rPr>
      </w:pPr>
      <w:r>
        <w:rPr>
          <w:rStyle w:val="a7"/>
          <w:rtl/>
        </w:rPr>
        <w:footnoteRef/>
      </w:r>
      <w:r>
        <w:rPr>
          <w:rtl/>
        </w:rPr>
        <w:t xml:space="preserve"> </w:t>
      </w:r>
      <w:r>
        <w:rPr>
          <w:rFonts w:ascii="Arial"/>
          <w:b/>
          <w:bCs/>
          <w:sz w:val="38"/>
          <w:rtl/>
        </w:rPr>
        <w:t>פה אל פה כו'.</w:t>
      </w:r>
      <w:r>
        <w:rPr>
          <w:rFonts w:ascii="Arial"/>
          <w:sz w:val="38"/>
          <w:rtl/>
        </w:rPr>
        <w:t xml:space="preserve"> בהקיץ:</w:t>
      </w:r>
    </w:p>
  </w:footnote>
  <w:footnote w:id="1957">
    <w:p w:rsidR="00A13282" w:rsidRDefault="00A13282">
      <w:pPr>
        <w:pStyle w:val="a5"/>
        <w:rPr>
          <w:rtl/>
        </w:rPr>
      </w:pPr>
      <w:r>
        <w:rPr>
          <w:rStyle w:val="a7"/>
          <w:rtl/>
        </w:rPr>
        <w:footnoteRef/>
      </w:r>
      <w:r>
        <w:rPr>
          <w:rtl/>
        </w:rPr>
        <w:t xml:space="preserve"> </w:t>
      </w:r>
      <w:r>
        <w:rPr>
          <w:rFonts w:ascii="Arial"/>
          <w:b/>
          <w:bCs/>
          <w:sz w:val="38"/>
          <w:rtl/>
        </w:rPr>
        <w:t>לצדיקים.</w:t>
      </w:r>
      <w:r>
        <w:rPr>
          <w:rFonts w:ascii="Arial"/>
          <w:sz w:val="38"/>
          <w:rtl/>
        </w:rPr>
        <w:t xml:space="preserve"> מסטרא דצדיק:</w:t>
      </w:r>
    </w:p>
  </w:footnote>
  <w:footnote w:id="1958">
    <w:p w:rsidR="00A13282" w:rsidRDefault="00A13282">
      <w:pPr>
        <w:pStyle w:val="a5"/>
        <w:rPr>
          <w:rtl/>
        </w:rPr>
      </w:pPr>
      <w:r>
        <w:rPr>
          <w:rStyle w:val="a7"/>
          <w:rtl/>
        </w:rPr>
        <w:footnoteRef/>
      </w:r>
      <w:r>
        <w:rPr>
          <w:rtl/>
        </w:rPr>
        <w:t xml:space="preserve"> </w:t>
      </w:r>
      <w:r>
        <w:rPr>
          <w:rFonts w:ascii="Arial"/>
          <w:b/>
          <w:bCs/>
          <w:sz w:val="38"/>
          <w:rtl/>
        </w:rPr>
        <w:t>מראה בחלום.</w:t>
      </w:r>
      <w:r>
        <w:rPr>
          <w:rFonts w:ascii="Arial"/>
          <w:sz w:val="38"/>
          <w:rtl/>
        </w:rPr>
        <w:t xml:space="preserve"> וזה שאמרו (ברכות נז ע"ב) חלום אחד מששים בנבואה, שבצדיק ששים דרגין כנ"ל, וחלום - אחד מששים בו:</w:t>
      </w:r>
    </w:p>
  </w:footnote>
  <w:footnote w:id="1959">
    <w:p w:rsidR="00A13282" w:rsidRDefault="00A13282">
      <w:pPr>
        <w:pStyle w:val="a5"/>
        <w:rPr>
          <w:b/>
          <w:bCs/>
          <w:rtl/>
        </w:rPr>
      </w:pPr>
      <w:r>
        <w:rPr>
          <w:rStyle w:val="a7"/>
          <w:rtl/>
        </w:rPr>
        <w:footnoteRef/>
      </w:r>
      <w:r>
        <w:rPr>
          <w:rtl/>
        </w:rPr>
        <w:t xml:space="preserve"> </w:t>
      </w:r>
      <w:r>
        <w:rPr>
          <w:b/>
          <w:bCs/>
          <w:rtl/>
        </w:rPr>
        <w:t xml:space="preserve">והוא אתחזיא וכו'. </w:t>
      </w:r>
      <w:r>
        <w:rPr>
          <w:rFonts w:ascii="Arial"/>
          <w:sz w:val="38"/>
          <w:rtl/>
        </w:rPr>
        <w:t>רוצה לומר דעמודא דאמצעיתא אתחזיא בה מתרין סטרין: אחד - מסטרא דגופא, הוי"ה פשוטה, ואחד - מסטרא דשמא מפרש דאיהו מלגאו, כמו שאומר בהתחלת תיקונין יהו"ה פשוטה הוא ד' חיות, ושמא מפרש הוא אדם שעל הכסא כמו שאומר בתיקון ב' וד' חיון הוא נהי"ם ואדם שעל הכסא ת"ת:</w:t>
      </w:r>
    </w:p>
  </w:footnote>
  <w:footnote w:id="1960">
    <w:p w:rsidR="00A13282" w:rsidRDefault="00A13282">
      <w:pPr>
        <w:pStyle w:val="a5"/>
        <w:rPr>
          <w:rtl/>
        </w:rPr>
      </w:pPr>
      <w:r>
        <w:rPr>
          <w:rStyle w:val="a7"/>
          <w:rtl/>
        </w:rPr>
        <w:footnoteRef/>
      </w:r>
      <w:r>
        <w:rPr>
          <w:rtl/>
        </w:rPr>
        <w:t xml:space="preserve"> </w:t>
      </w:r>
      <w:r>
        <w:rPr>
          <w:rFonts w:ascii="Arial"/>
          <w:b/>
          <w:bCs/>
          <w:sz w:val="38"/>
          <w:rtl/>
        </w:rPr>
        <w:t>ואל יתהלל כו'.</w:t>
      </w:r>
      <w:r>
        <w:rPr>
          <w:rFonts w:ascii="Arial"/>
          <w:sz w:val="38"/>
          <w:rtl/>
        </w:rPr>
        <w:t xml:space="preserve"> שנאמר אל יתהלל כו' כי אם בזאת יתהלל כו'. שראשי תיבות הוא הוי"ה, והוא מד' חיון הנ"ל שמהן בא הנבואה:</w:t>
      </w:r>
    </w:p>
  </w:footnote>
  <w:footnote w:id="1961">
    <w:p w:rsidR="00A13282" w:rsidRDefault="00A13282">
      <w:pPr>
        <w:pStyle w:val="a5"/>
        <w:rPr>
          <w:rtl/>
        </w:rPr>
      </w:pPr>
      <w:r>
        <w:rPr>
          <w:rStyle w:val="a7"/>
          <w:rtl/>
        </w:rPr>
        <w:footnoteRef/>
      </w:r>
      <w:r>
        <w:rPr>
          <w:rtl/>
        </w:rPr>
        <w:t xml:space="preserve"> </w:t>
      </w:r>
      <w:r>
        <w:rPr>
          <w:rFonts w:ascii="Arial"/>
          <w:b/>
          <w:bCs/>
          <w:sz w:val="38"/>
          <w:rtl/>
        </w:rPr>
        <w:t>נביא.</w:t>
      </w:r>
      <w:r>
        <w:rPr>
          <w:rFonts w:ascii="Arial"/>
          <w:sz w:val="38"/>
          <w:rtl/>
        </w:rPr>
        <w:t xml:space="preserve"> מסטרא דנצח. וחוזה מסטרא דהוד:</w:t>
      </w:r>
    </w:p>
  </w:footnote>
  <w:footnote w:id="1962">
    <w:p w:rsidR="00A13282" w:rsidRDefault="00A13282">
      <w:pPr>
        <w:pStyle w:val="a5"/>
        <w:rPr>
          <w:rtl/>
        </w:rPr>
      </w:pPr>
      <w:r>
        <w:rPr>
          <w:rStyle w:val="a7"/>
          <w:rtl/>
        </w:rPr>
        <w:footnoteRef/>
      </w:r>
      <w:r>
        <w:rPr>
          <w:rtl/>
        </w:rPr>
        <w:t xml:space="preserve"> </w:t>
      </w:r>
      <w:r>
        <w:rPr>
          <w:rFonts w:ascii="Arial"/>
          <w:b/>
          <w:bCs/>
          <w:sz w:val="38"/>
          <w:rtl/>
        </w:rPr>
        <w:t>ואית אדם כו'.</w:t>
      </w:r>
      <w:r>
        <w:rPr>
          <w:rFonts w:ascii="Arial"/>
          <w:sz w:val="38"/>
          <w:rtl/>
        </w:rPr>
        <w:t xml:space="preserve"> ומרכבה שלו ד' חיון בחג"ת כמו שאומר בתיקוני זוהר חדש:</w:t>
      </w:r>
    </w:p>
  </w:footnote>
  <w:footnote w:id="1963">
    <w:p w:rsidR="00A13282" w:rsidRDefault="00A13282">
      <w:pPr>
        <w:pStyle w:val="a5"/>
        <w:rPr>
          <w:rtl/>
        </w:rPr>
      </w:pPr>
      <w:r>
        <w:rPr>
          <w:rStyle w:val="a7"/>
          <w:rtl/>
        </w:rPr>
        <w:footnoteRef/>
      </w:r>
      <w:r>
        <w:rPr>
          <w:rtl/>
        </w:rPr>
        <w:t xml:space="preserve"> </w:t>
      </w:r>
      <w:r>
        <w:rPr>
          <w:rFonts w:ascii="Arial"/>
          <w:b/>
          <w:bCs/>
          <w:sz w:val="38"/>
          <w:rtl/>
        </w:rPr>
        <w:t>כ"ח מ"ה.</w:t>
      </w:r>
      <w:r>
        <w:rPr>
          <w:rFonts w:ascii="Arial"/>
          <w:sz w:val="38"/>
          <w:rtl/>
        </w:rPr>
        <w:t xml:space="preserve"> רוצה לומר מ"ה - גימטריה אדם, שמא מפרש, כ"ח אתוון דמילוי המילוי כידוע:</w:t>
      </w:r>
    </w:p>
  </w:footnote>
  <w:footnote w:id="1964">
    <w:p w:rsidR="00A13282" w:rsidRDefault="00A13282">
      <w:pPr>
        <w:pStyle w:val="a5"/>
        <w:rPr>
          <w:rtl/>
        </w:rPr>
      </w:pPr>
      <w:r>
        <w:rPr>
          <w:rStyle w:val="a7"/>
          <w:rtl/>
        </w:rPr>
        <w:footnoteRef/>
      </w:r>
      <w:r>
        <w:rPr>
          <w:rtl/>
        </w:rPr>
        <w:t xml:space="preserve"> </w:t>
      </w:r>
      <w:r>
        <w:rPr>
          <w:rFonts w:ascii="Arial"/>
          <w:b/>
          <w:bCs/>
          <w:sz w:val="38"/>
          <w:rtl/>
        </w:rPr>
        <w:t>אתער משנתך.</w:t>
      </w:r>
      <w:r>
        <w:rPr>
          <w:rFonts w:ascii="Arial"/>
          <w:sz w:val="38"/>
          <w:rtl/>
        </w:rPr>
        <w:t xml:space="preserve"> שהוא מתלבש בכל הנביאים וכל החכמים כמו אור בכוכבים כמו שמפרש והולך, ועכשיו הם במראה בחלום, אני ישנה:</w:t>
      </w:r>
    </w:p>
  </w:footnote>
  <w:footnote w:id="1965">
    <w:p w:rsidR="00A13282" w:rsidRDefault="00A13282">
      <w:pPr>
        <w:pStyle w:val="a5"/>
        <w:rPr>
          <w:rtl/>
        </w:rPr>
      </w:pPr>
      <w:r>
        <w:rPr>
          <w:rStyle w:val="a7"/>
          <w:rtl/>
        </w:rPr>
        <w:footnoteRef/>
      </w:r>
      <w:r>
        <w:rPr>
          <w:rtl/>
        </w:rPr>
        <w:t xml:space="preserve"> </w:t>
      </w:r>
      <w:r>
        <w:rPr>
          <w:rFonts w:ascii="Arial"/>
          <w:b/>
          <w:bCs/>
          <w:sz w:val="38"/>
          <w:rtl/>
        </w:rPr>
        <w:t>קום אנהיר כו'.</w:t>
      </w:r>
      <w:r>
        <w:rPr>
          <w:rFonts w:ascii="Arial"/>
          <w:sz w:val="38"/>
          <w:rtl/>
        </w:rPr>
        <w:t xml:space="preserve"> בפתיחו דעיניין שבו אור:</w:t>
      </w:r>
    </w:p>
  </w:footnote>
  <w:footnote w:id="1966">
    <w:p w:rsidR="00A13282" w:rsidRDefault="00A13282">
      <w:pPr>
        <w:pStyle w:val="a5"/>
        <w:rPr>
          <w:rtl/>
        </w:rPr>
      </w:pPr>
      <w:r>
        <w:rPr>
          <w:rStyle w:val="a7"/>
          <w:rtl/>
        </w:rPr>
        <w:footnoteRef/>
      </w:r>
      <w:r>
        <w:rPr>
          <w:rtl/>
        </w:rPr>
        <w:t xml:space="preserve"> </w:t>
      </w:r>
      <w:r>
        <w:rPr>
          <w:rFonts w:ascii="Arial"/>
          <w:b/>
          <w:bCs/>
          <w:sz w:val="38"/>
          <w:rtl/>
        </w:rPr>
        <w:t>ביתא דנבואה.</w:t>
      </w:r>
      <w:r>
        <w:rPr>
          <w:rFonts w:ascii="Arial"/>
          <w:sz w:val="38"/>
          <w:rtl/>
        </w:rPr>
        <w:t xml:space="preserve"> בינה, שמשם הנבואה שמתפשטת עד נו"ה, שמשם בפתיחו עמודא דאמצעיתא דסליק לבינה, המראה הגדול:</w:t>
      </w:r>
    </w:p>
  </w:footnote>
  <w:footnote w:id="1967">
    <w:p w:rsidR="00A13282" w:rsidRDefault="00A13282">
      <w:pPr>
        <w:pStyle w:val="a5"/>
        <w:rPr>
          <w:rtl/>
        </w:rPr>
      </w:pPr>
      <w:r>
        <w:rPr>
          <w:rStyle w:val="a7"/>
          <w:rtl/>
        </w:rPr>
        <w:footnoteRef/>
      </w:r>
      <w:r>
        <w:rPr>
          <w:rtl/>
        </w:rPr>
        <w:t xml:space="preserve"> </w:t>
      </w:r>
      <w:r>
        <w:rPr>
          <w:rFonts w:ascii="Arial"/>
          <w:b/>
          <w:bCs/>
          <w:sz w:val="38"/>
          <w:rtl/>
        </w:rPr>
        <w:t xml:space="preserve">איהי סתימא. </w:t>
      </w:r>
      <w:r>
        <w:rPr>
          <w:rFonts w:ascii="Arial"/>
          <w:sz w:val="38"/>
          <w:rtl/>
        </w:rPr>
        <w:t>בסתימו דעיינין:</w:t>
      </w:r>
    </w:p>
  </w:footnote>
  <w:footnote w:id="1968">
    <w:p w:rsidR="00A13282" w:rsidRDefault="00A13282">
      <w:pPr>
        <w:pStyle w:val="a5"/>
        <w:rPr>
          <w:rtl/>
        </w:rPr>
      </w:pPr>
      <w:r>
        <w:rPr>
          <w:rStyle w:val="a7"/>
          <w:rtl/>
        </w:rPr>
        <w:footnoteRef/>
      </w:r>
      <w:r>
        <w:rPr>
          <w:rtl/>
        </w:rPr>
        <w:t xml:space="preserve"> </w:t>
      </w:r>
      <w:r>
        <w:rPr>
          <w:rFonts w:ascii="Arial"/>
          <w:b/>
          <w:bCs/>
          <w:sz w:val="38"/>
          <w:rtl/>
        </w:rPr>
        <w:t>דמלכא עילאה.</w:t>
      </w:r>
      <w:r>
        <w:rPr>
          <w:rFonts w:ascii="Arial"/>
          <w:sz w:val="38"/>
          <w:rtl/>
        </w:rPr>
        <w:t xml:space="preserve"> חכמה:</w:t>
      </w:r>
    </w:p>
  </w:footnote>
  <w:footnote w:id="1969">
    <w:p w:rsidR="00A13282" w:rsidRDefault="00A13282">
      <w:pPr>
        <w:pStyle w:val="a5"/>
        <w:rPr>
          <w:rtl/>
        </w:rPr>
      </w:pPr>
      <w:r>
        <w:rPr>
          <w:rStyle w:val="a7"/>
          <w:rtl/>
        </w:rPr>
        <w:footnoteRef/>
      </w:r>
      <w:r>
        <w:rPr>
          <w:rtl/>
        </w:rPr>
        <w:t xml:space="preserve"> </w:t>
      </w:r>
      <w:r>
        <w:rPr>
          <w:rFonts w:ascii="Arial"/>
          <w:b/>
          <w:bCs/>
          <w:sz w:val="38"/>
          <w:rtl/>
        </w:rPr>
        <w:t>בית ב' כו'.</w:t>
      </w:r>
      <w:r>
        <w:rPr>
          <w:rFonts w:ascii="Arial"/>
          <w:sz w:val="38"/>
          <w:rtl/>
        </w:rPr>
        <w:t xml:space="preserve"> מפרש למה נקרא בית, ואמר ב' כו' שהיא כוללת חו"ב ות"ת, בינה - בן י"ה:</w:t>
      </w:r>
    </w:p>
  </w:footnote>
  <w:footnote w:id="1970">
    <w:p w:rsidR="00A13282" w:rsidRDefault="00A13282">
      <w:pPr>
        <w:pStyle w:val="a5"/>
        <w:rPr>
          <w:rtl/>
        </w:rPr>
      </w:pPr>
      <w:r>
        <w:rPr>
          <w:rStyle w:val="a7"/>
          <w:rtl/>
        </w:rPr>
        <w:footnoteRef/>
      </w:r>
      <w:r>
        <w:rPr>
          <w:rtl/>
        </w:rPr>
        <w:t xml:space="preserve"> </w:t>
      </w:r>
      <w:r>
        <w:rPr>
          <w:rFonts w:ascii="Arial"/>
          <w:b/>
          <w:bCs/>
          <w:sz w:val="38"/>
          <w:rtl/>
        </w:rPr>
        <w:t>בן בית דלעילא.</w:t>
      </w:r>
      <w:r>
        <w:rPr>
          <w:rFonts w:ascii="Arial"/>
          <w:sz w:val="38"/>
          <w:rtl/>
        </w:rPr>
        <w:t xml:space="preserve"> קאי אמה שאמר למעלה כבן בית - ת"ת:</w:t>
      </w:r>
    </w:p>
  </w:footnote>
  <w:footnote w:id="1971">
    <w:p w:rsidR="00A13282" w:rsidRDefault="00A13282">
      <w:pPr>
        <w:pStyle w:val="a5"/>
        <w:rPr>
          <w:rtl/>
        </w:rPr>
      </w:pPr>
      <w:r>
        <w:rPr>
          <w:rStyle w:val="a7"/>
          <w:rtl/>
        </w:rPr>
        <w:footnoteRef/>
      </w:r>
      <w:r>
        <w:rPr>
          <w:rtl/>
        </w:rPr>
        <w:t xml:space="preserve"> </w:t>
      </w:r>
      <w:r>
        <w:rPr>
          <w:rFonts w:ascii="Arial"/>
          <w:b/>
          <w:bCs/>
          <w:sz w:val="38"/>
          <w:rtl/>
        </w:rPr>
        <w:t>דבההוא בית כו' ואנת כו'.</w:t>
      </w:r>
      <w:r>
        <w:rPr>
          <w:rFonts w:ascii="Arial"/>
          <w:sz w:val="38"/>
          <w:rtl/>
        </w:rPr>
        <w:t xml:space="preserve"> דמלכות אין נכנסת שם אלא בעתים ידועים, כמו שכתוב במועדם, אבל ת"ת עייל שם תמיד אפילו בזמן הגלות וזה שאומר ולא עוד כו' דמשה בדרגא דעמודא דאמצעיתא ונביאים בדרגא דמלכות כנ"ל:</w:t>
      </w:r>
    </w:p>
  </w:footnote>
  <w:footnote w:id="1972">
    <w:p w:rsidR="00A13282" w:rsidRDefault="00A13282">
      <w:pPr>
        <w:pStyle w:val="a5"/>
        <w:rPr>
          <w:rtl/>
        </w:rPr>
      </w:pPr>
      <w:r>
        <w:rPr>
          <w:rStyle w:val="a7"/>
          <w:rtl/>
        </w:rPr>
        <w:footnoteRef/>
      </w:r>
      <w:r>
        <w:rPr>
          <w:rtl/>
        </w:rPr>
        <w:t xml:space="preserve"> </w:t>
      </w:r>
      <w:r>
        <w:rPr>
          <w:rFonts w:ascii="Arial"/>
          <w:b/>
          <w:bCs/>
          <w:sz w:val="38"/>
          <w:rtl/>
        </w:rPr>
        <w:t>אלא בזאת כו'.</w:t>
      </w:r>
      <w:r>
        <w:rPr>
          <w:rFonts w:ascii="Arial"/>
          <w:sz w:val="38"/>
          <w:rtl/>
        </w:rPr>
        <w:t xml:space="preserve"> רוצה לומר בשעה שזאת נכנסת, ורוצה לומר אם זאת:</w:t>
      </w:r>
    </w:p>
  </w:footnote>
  <w:footnote w:id="1973">
    <w:p w:rsidR="00A13282" w:rsidRDefault="00A13282">
      <w:pPr>
        <w:pStyle w:val="a5"/>
        <w:rPr>
          <w:rtl/>
        </w:rPr>
      </w:pPr>
      <w:r>
        <w:rPr>
          <w:rStyle w:val="a7"/>
          <w:rtl/>
        </w:rPr>
        <w:footnoteRef/>
      </w:r>
      <w:r>
        <w:rPr>
          <w:rtl/>
        </w:rPr>
        <w:t xml:space="preserve"> </w:t>
      </w:r>
      <w:r>
        <w:rPr>
          <w:rFonts w:ascii="Arial"/>
          <w:b/>
          <w:bCs/>
          <w:sz w:val="38"/>
          <w:rtl/>
        </w:rPr>
        <w:t>אל הקודש.</w:t>
      </w:r>
      <w:r>
        <w:rPr>
          <w:rFonts w:ascii="Arial"/>
          <w:sz w:val="38"/>
          <w:rtl/>
        </w:rPr>
        <w:t xml:space="preserve"> בינה, שהיא היכל ק"ק כידוע:</w:t>
      </w:r>
    </w:p>
  </w:footnote>
  <w:footnote w:id="1974">
    <w:p w:rsidR="00A13282" w:rsidRDefault="00A13282">
      <w:pPr>
        <w:pStyle w:val="a5"/>
        <w:rPr>
          <w:rtl/>
        </w:rPr>
      </w:pPr>
      <w:r>
        <w:rPr>
          <w:rStyle w:val="a7"/>
          <w:rtl/>
        </w:rPr>
        <w:footnoteRef/>
      </w:r>
      <w:r>
        <w:rPr>
          <w:rtl/>
        </w:rPr>
        <w:t xml:space="preserve"> </w:t>
      </w:r>
      <w:r>
        <w:rPr>
          <w:rFonts w:ascii="Arial"/>
          <w:b/>
          <w:bCs/>
          <w:sz w:val="38"/>
          <w:rtl/>
        </w:rPr>
        <w:t>מנהון ברישא כו'.</w:t>
      </w:r>
      <w:r>
        <w:rPr>
          <w:rFonts w:ascii="Arial"/>
          <w:sz w:val="38"/>
          <w:rtl/>
        </w:rPr>
        <w:t xml:space="preserve"> כמו שמפרש והולך בתיקון הזה, וכולן מפורשים בפסוק, שישעיה אמר ואראה, בעיניין, וחבקוק אמר ה' שמעתי שמעך כו', וכן כל התיקונין, וכל זה במלכות דבה אתחזיא, וזה שאומר אבל משה בכל כו' איהי הוה כו':</w:t>
      </w:r>
    </w:p>
  </w:footnote>
  <w:footnote w:id="1975">
    <w:p w:rsidR="00A13282" w:rsidRDefault="00A13282">
      <w:pPr>
        <w:pStyle w:val="a5"/>
        <w:rPr>
          <w:rtl/>
        </w:rPr>
      </w:pPr>
      <w:r>
        <w:rPr>
          <w:rStyle w:val="a7"/>
          <w:rtl/>
        </w:rPr>
        <w:footnoteRef/>
      </w:r>
      <w:r>
        <w:rPr>
          <w:rtl/>
        </w:rPr>
        <w:t xml:space="preserve"> </w:t>
      </w:r>
      <w:r>
        <w:rPr>
          <w:rFonts w:ascii="Arial"/>
          <w:b/>
          <w:bCs/>
          <w:sz w:val="38"/>
          <w:rtl/>
        </w:rPr>
        <w:t>דאינון ככביא ומזלי כו'.</w:t>
      </w:r>
      <w:r>
        <w:rPr>
          <w:rFonts w:ascii="Arial"/>
          <w:sz w:val="38"/>
          <w:rtl/>
        </w:rPr>
        <w:t xml:space="preserve"> רוצה לומר רבים כמו השערות, ושם י"ג נימין כידוע, נגד י"ב מזלות - י"ב נימין, ואחד הכולל אותן, כמו תלי שכולל י"ב מזלות:</w:t>
      </w:r>
    </w:p>
  </w:footnote>
  <w:footnote w:id="1976">
    <w:p w:rsidR="00A13282" w:rsidRDefault="00A13282">
      <w:pPr>
        <w:pStyle w:val="a5"/>
        <w:rPr>
          <w:rtl/>
        </w:rPr>
      </w:pPr>
      <w:r>
        <w:rPr>
          <w:rStyle w:val="a7"/>
          <w:rtl/>
        </w:rPr>
        <w:footnoteRef/>
      </w:r>
      <w:r>
        <w:rPr>
          <w:rtl/>
        </w:rPr>
        <w:t xml:space="preserve"> </w:t>
      </w:r>
      <w:r>
        <w:rPr>
          <w:rFonts w:ascii="Arial"/>
          <w:b/>
          <w:bCs/>
          <w:sz w:val="38"/>
          <w:rtl/>
        </w:rPr>
        <w:t>מצוה דכל כו'.</w:t>
      </w:r>
      <w:r>
        <w:rPr>
          <w:rFonts w:ascii="Arial"/>
          <w:sz w:val="38"/>
          <w:rtl/>
        </w:rPr>
        <w:t xml:space="preserve"> רמ"ח מצוות עשה נגד רמ"ח אברים, ובה המצוה כידוע:</w:t>
      </w:r>
    </w:p>
  </w:footnote>
  <w:footnote w:id="1977">
    <w:p w:rsidR="00A13282" w:rsidRDefault="00A13282">
      <w:pPr>
        <w:pStyle w:val="a5"/>
        <w:rPr>
          <w:rtl/>
        </w:rPr>
      </w:pPr>
      <w:r>
        <w:rPr>
          <w:rStyle w:val="a7"/>
          <w:rtl/>
        </w:rPr>
        <w:footnoteRef/>
      </w:r>
      <w:r>
        <w:rPr>
          <w:rtl/>
        </w:rPr>
        <w:t xml:space="preserve"> </w:t>
      </w:r>
      <w:r>
        <w:rPr>
          <w:rFonts w:ascii="Arial"/>
          <w:b/>
          <w:bCs/>
          <w:sz w:val="38"/>
          <w:rtl/>
        </w:rPr>
        <w:t>קום אפתח כו'.</w:t>
      </w:r>
      <w:r>
        <w:rPr>
          <w:rFonts w:ascii="Arial"/>
          <w:sz w:val="38"/>
          <w:rtl/>
        </w:rPr>
        <w:t xml:space="preserve"> כנ"ל דלדידיה הוא בפתיחו:</w:t>
      </w:r>
    </w:p>
  </w:footnote>
  <w:footnote w:id="1978">
    <w:p w:rsidR="00A13282" w:rsidRDefault="00A13282">
      <w:pPr>
        <w:pStyle w:val="a5"/>
        <w:rPr>
          <w:rtl/>
        </w:rPr>
      </w:pPr>
      <w:r>
        <w:rPr>
          <w:rStyle w:val="a7"/>
          <w:rtl/>
        </w:rPr>
        <w:footnoteRef/>
      </w:r>
      <w:r>
        <w:rPr>
          <w:rtl/>
        </w:rPr>
        <w:t xml:space="preserve"> </w:t>
      </w:r>
      <w:r>
        <w:rPr>
          <w:rFonts w:ascii="Arial"/>
          <w:b/>
          <w:bCs/>
          <w:sz w:val="38"/>
          <w:rtl/>
        </w:rPr>
        <w:t>למלכא כו'.</w:t>
      </w:r>
      <w:r>
        <w:rPr>
          <w:rFonts w:ascii="Arial"/>
          <w:sz w:val="38"/>
          <w:rtl/>
        </w:rPr>
        <w:t xml:space="preserve"> רוצה לומר דלכך דפקין להיכלא דמלכא שהיא מטרוניתא:</w:t>
      </w:r>
    </w:p>
  </w:footnote>
  <w:footnote w:id="1979">
    <w:p w:rsidR="00A13282" w:rsidRDefault="00A13282">
      <w:pPr>
        <w:pStyle w:val="a5"/>
        <w:rPr>
          <w:rtl/>
        </w:rPr>
      </w:pPr>
      <w:r>
        <w:rPr>
          <w:rStyle w:val="a7"/>
          <w:rtl/>
        </w:rPr>
        <w:footnoteRef/>
      </w:r>
      <w:r>
        <w:rPr>
          <w:rtl/>
        </w:rPr>
        <w:t xml:space="preserve"> </w:t>
      </w:r>
      <w:r>
        <w:rPr>
          <w:rFonts w:ascii="Arial"/>
          <w:b/>
          <w:bCs/>
          <w:sz w:val="38"/>
          <w:rtl/>
        </w:rPr>
        <w:t>בת יוד.</w:t>
      </w:r>
      <w:r>
        <w:rPr>
          <w:rFonts w:ascii="Arial"/>
          <w:sz w:val="38"/>
          <w:rtl/>
        </w:rPr>
        <w:t xml:space="preserve"> בחכמה יבנה בית, בחכמה יסד ארץ:</w:t>
      </w:r>
    </w:p>
  </w:footnote>
  <w:footnote w:id="1980">
    <w:p w:rsidR="00A13282" w:rsidRDefault="00A13282">
      <w:pPr>
        <w:pStyle w:val="a5"/>
        <w:rPr>
          <w:rtl/>
        </w:rPr>
      </w:pPr>
      <w:r>
        <w:rPr>
          <w:rStyle w:val="a7"/>
          <w:rtl/>
        </w:rPr>
        <w:footnoteRef/>
      </w:r>
      <w:r>
        <w:rPr>
          <w:rtl/>
        </w:rPr>
        <w:t xml:space="preserve"> </w:t>
      </w:r>
      <w:r>
        <w:rPr>
          <w:rFonts w:ascii="Arial"/>
          <w:b/>
          <w:bCs/>
          <w:sz w:val="38"/>
          <w:rtl/>
        </w:rPr>
        <w:t>אל יתהלל המתהלל כו'.</w:t>
      </w:r>
      <w:r>
        <w:rPr>
          <w:rFonts w:ascii="Arial"/>
          <w:sz w:val="38"/>
          <w:rtl/>
        </w:rPr>
        <w:t xml:space="preserve"> המתהלל כו', רוצה לומר סיפא דקרא דאל יתהלל:</w:t>
      </w:r>
    </w:p>
  </w:footnote>
  <w:footnote w:id="1981">
    <w:p w:rsidR="00A13282" w:rsidRDefault="00A13282">
      <w:pPr>
        <w:pStyle w:val="a5"/>
        <w:rPr>
          <w:rtl/>
        </w:rPr>
      </w:pPr>
      <w:r>
        <w:rPr>
          <w:rStyle w:val="a7"/>
          <w:rtl/>
        </w:rPr>
        <w:footnoteRef/>
      </w:r>
      <w:r>
        <w:rPr>
          <w:rtl/>
        </w:rPr>
        <w:t xml:space="preserve"> </w:t>
      </w:r>
      <w:r>
        <w:rPr>
          <w:rFonts w:ascii="Arial"/>
          <w:b/>
          <w:bCs/>
          <w:sz w:val="38"/>
          <w:rtl/>
        </w:rPr>
        <w:t>תרין תרעין שבא כו'.</w:t>
      </w:r>
      <w:r>
        <w:rPr>
          <w:rFonts w:ascii="Arial"/>
          <w:sz w:val="38"/>
          <w:rtl/>
        </w:rPr>
        <w:t xml:space="preserve"> רוצה לומר, השפתים דוגמת שבא - זו על גבי זו, וזה שאומר עלייהו כו', וזהו, אדני - שהוא צדק, שפתי כו':</w:t>
      </w:r>
    </w:p>
  </w:footnote>
  <w:footnote w:id="1982">
    <w:p w:rsidR="00A13282" w:rsidRDefault="00A13282">
      <w:pPr>
        <w:pStyle w:val="a5"/>
        <w:rPr>
          <w:rtl/>
        </w:rPr>
      </w:pPr>
      <w:r>
        <w:rPr>
          <w:rStyle w:val="a7"/>
          <w:rtl/>
        </w:rPr>
        <w:footnoteRef/>
      </w:r>
      <w:r>
        <w:rPr>
          <w:rtl/>
        </w:rPr>
        <w:t xml:space="preserve"> </w:t>
      </w:r>
      <w:r>
        <w:rPr>
          <w:rFonts w:ascii="Arial"/>
          <w:b/>
          <w:bCs/>
          <w:sz w:val="38"/>
          <w:rtl/>
        </w:rPr>
        <w:t>מלגאו.</w:t>
      </w:r>
      <w:r>
        <w:rPr>
          <w:rFonts w:ascii="Arial"/>
          <w:sz w:val="38"/>
          <w:rtl/>
        </w:rPr>
        <w:t xml:space="preserve"> רוצה לומר בתוך השערים, נקודה פנימית שהיא סגולה:</w:t>
      </w:r>
    </w:p>
  </w:footnote>
  <w:footnote w:id="1983">
    <w:p w:rsidR="00A13282" w:rsidRDefault="00A13282">
      <w:pPr>
        <w:pStyle w:val="a5"/>
        <w:rPr>
          <w:rtl/>
        </w:rPr>
      </w:pPr>
      <w:r>
        <w:rPr>
          <w:rStyle w:val="a7"/>
          <w:rtl/>
        </w:rPr>
        <w:footnoteRef/>
      </w:r>
      <w:r>
        <w:rPr>
          <w:rtl/>
        </w:rPr>
        <w:t xml:space="preserve"> </w:t>
      </w:r>
      <w:r>
        <w:rPr>
          <w:rFonts w:ascii="Arial"/>
          <w:b/>
          <w:bCs/>
          <w:sz w:val="38"/>
          <w:rtl/>
        </w:rPr>
        <w:t>ואיהי סגולתא.</w:t>
      </w:r>
      <w:r>
        <w:rPr>
          <w:rFonts w:ascii="Arial"/>
          <w:sz w:val="38"/>
          <w:rtl/>
        </w:rPr>
        <w:t xml:space="preserve"> מסטרא דטעמים נקודה על גבי צרי:</w:t>
      </w:r>
    </w:p>
  </w:footnote>
  <w:footnote w:id="1984">
    <w:p w:rsidR="00A13282" w:rsidRDefault="00A13282">
      <w:pPr>
        <w:pStyle w:val="a5"/>
        <w:rPr>
          <w:rtl/>
        </w:rPr>
      </w:pPr>
      <w:r>
        <w:rPr>
          <w:rStyle w:val="a7"/>
          <w:rtl/>
        </w:rPr>
        <w:footnoteRef/>
      </w:r>
      <w:r>
        <w:rPr>
          <w:rtl/>
        </w:rPr>
        <w:t xml:space="preserve"> </w:t>
      </w:r>
      <w:r>
        <w:rPr>
          <w:rFonts w:ascii="Arial"/>
          <w:b/>
          <w:bCs/>
          <w:sz w:val="38"/>
          <w:rtl/>
        </w:rPr>
        <w:t>אבוא איהו עשר.</w:t>
      </w:r>
      <w:r>
        <w:rPr>
          <w:rFonts w:ascii="Arial"/>
          <w:sz w:val="38"/>
          <w:rtl/>
        </w:rPr>
        <w:t xml:space="preserve"> בגימטריה, דחלם - ספירה עשירית, כתר. בם - הוא שבא, גימטריה מ"ב, כמו שאומר בהקדמה, והן שערי צדק כנ"ל, וזהו בם:</w:t>
      </w:r>
    </w:p>
  </w:footnote>
  <w:footnote w:id="1985">
    <w:p w:rsidR="00A13282" w:rsidRDefault="00A13282">
      <w:pPr>
        <w:pStyle w:val="a5"/>
        <w:rPr>
          <w:rtl/>
        </w:rPr>
      </w:pPr>
      <w:r>
        <w:rPr>
          <w:rStyle w:val="a7"/>
          <w:rtl/>
        </w:rPr>
        <w:footnoteRef/>
      </w:r>
      <w:r>
        <w:rPr>
          <w:rtl/>
        </w:rPr>
        <w:t xml:space="preserve"> </w:t>
      </w:r>
      <w:r>
        <w:rPr>
          <w:rFonts w:ascii="Arial"/>
          <w:b/>
          <w:bCs/>
          <w:sz w:val="38"/>
          <w:rtl/>
        </w:rPr>
        <w:t>זה כו'.</w:t>
      </w:r>
      <w:r>
        <w:rPr>
          <w:rFonts w:ascii="Arial"/>
          <w:sz w:val="38"/>
          <w:rtl/>
        </w:rPr>
        <w:t xml:space="preserve"> דהוא גם כן שער - זה אצל זה:</w:t>
      </w:r>
    </w:p>
  </w:footnote>
  <w:footnote w:id="1986">
    <w:p w:rsidR="00A13282" w:rsidRDefault="00A13282">
      <w:pPr>
        <w:pStyle w:val="a5"/>
        <w:rPr>
          <w:rtl/>
        </w:rPr>
      </w:pPr>
      <w:r>
        <w:rPr>
          <w:rStyle w:val="a7"/>
          <w:rtl/>
        </w:rPr>
        <w:footnoteRef/>
      </w:r>
      <w:r>
        <w:rPr>
          <w:rtl/>
        </w:rPr>
        <w:t xml:space="preserve"> </w:t>
      </w:r>
      <w:r>
        <w:rPr>
          <w:rFonts w:ascii="Arial"/>
          <w:b/>
          <w:bCs/>
          <w:sz w:val="38"/>
          <w:rtl/>
        </w:rPr>
        <w:t>בתרוייהו.</w:t>
      </w:r>
      <w:r>
        <w:rPr>
          <w:rFonts w:ascii="Arial"/>
          <w:sz w:val="38"/>
          <w:rtl/>
        </w:rPr>
        <w:t xml:space="preserve"> רוצה לומר בשניהן בא, והוא ברית ועטרה - זה בנצח וזה בהוד, וזהו צדיקים, ושניהם נקראו אות ברית כידוע:</w:t>
      </w:r>
    </w:p>
  </w:footnote>
  <w:footnote w:id="1987">
    <w:p w:rsidR="00A13282" w:rsidRDefault="00A13282">
      <w:pPr>
        <w:pStyle w:val="a5"/>
        <w:rPr>
          <w:rtl/>
        </w:rPr>
      </w:pPr>
      <w:r>
        <w:rPr>
          <w:rStyle w:val="a7"/>
          <w:rtl/>
        </w:rPr>
        <w:footnoteRef/>
      </w:r>
      <w:r>
        <w:rPr>
          <w:rtl/>
        </w:rPr>
        <w:t xml:space="preserve"> </w:t>
      </w:r>
      <w:r>
        <w:rPr>
          <w:rFonts w:ascii="Arial"/>
          <w:b/>
          <w:bCs/>
          <w:sz w:val="38"/>
          <w:rtl/>
        </w:rPr>
        <w:t>שורק באת כו'.</w:t>
      </w:r>
      <w:r>
        <w:rPr>
          <w:rFonts w:ascii="Arial"/>
          <w:sz w:val="38"/>
          <w:rtl/>
        </w:rPr>
        <w:t xml:space="preserve"> הוא שורק גדול:</w:t>
      </w:r>
    </w:p>
  </w:footnote>
  <w:footnote w:id="1988">
    <w:p w:rsidR="00A13282" w:rsidRDefault="00A13282">
      <w:pPr>
        <w:pStyle w:val="a5"/>
        <w:rPr>
          <w:rtl/>
        </w:rPr>
      </w:pPr>
      <w:r>
        <w:rPr>
          <w:rStyle w:val="a7"/>
          <w:rtl/>
        </w:rPr>
        <w:footnoteRef/>
      </w:r>
      <w:r>
        <w:rPr>
          <w:rtl/>
        </w:rPr>
        <w:t xml:space="preserve"> </w:t>
      </w:r>
      <w:r>
        <w:rPr>
          <w:rFonts w:ascii="Arial"/>
          <w:b/>
          <w:bCs/>
          <w:sz w:val="38"/>
          <w:rtl/>
        </w:rPr>
        <w:t>דא שכינתא כו'.</w:t>
      </w:r>
      <w:r>
        <w:rPr>
          <w:rFonts w:ascii="Arial"/>
          <w:sz w:val="38"/>
          <w:rtl/>
        </w:rPr>
        <w:t xml:space="preserve"> שהיא מקבלת כל צלותין, ורוצה לומר בכולם קאי אשכינה - שכוללת כל הנקודין כמו שמפרש והולך:</w:t>
      </w:r>
    </w:p>
  </w:footnote>
  <w:footnote w:id="1989">
    <w:p w:rsidR="00A13282" w:rsidRDefault="00A13282">
      <w:pPr>
        <w:pStyle w:val="a5"/>
        <w:rPr>
          <w:rtl/>
        </w:rPr>
      </w:pPr>
      <w:r>
        <w:rPr>
          <w:rStyle w:val="a7"/>
          <w:rtl/>
        </w:rPr>
        <w:footnoteRef/>
      </w:r>
      <w:r>
        <w:rPr>
          <w:rtl/>
        </w:rPr>
        <w:t xml:space="preserve"> </w:t>
      </w:r>
      <w:r>
        <w:rPr>
          <w:rFonts w:ascii="Arial"/>
          <w:b/>
          <w:bCs/>
          <w:sz w:val="38"/>
          <w:rtl/>
        </w:rPr>
        <w:t>ואיהי חירק כו' ואיהי סגול כו'.</w:t>
      </w:r>
      <w:r>
        <w:rPr>
          <w:rFonts w:ascii="Arial"/>
          <w:sz w:val="38"/>
          <w:rtl/>
        </w:rPr>
        <w:t xml:space="preserve"> כמו שאומר בתקון י”ז, דת"ת נכלל בחו"ג, מה שאין כן ביסוד:</w:t>
      </w:r>
    </w:p>
  </w:footnote>
  <w:footnote w:id="1990">
    <w:p w:rsidR="00A13282" w:rsidRDefault="00A13282">
      <w:pPr>
        <w:pStyle w:val="a5"/>
        <w:rPr>
          <w:rtl/>
        </w:rPr>
      </w:pPr>
      <w:r>
        <w:rPr>
          <w:rStyle w:val="a7"/>
          <w:rtl/>
        </w:rPr>
        <w:footnoteRef/>
      </w:r>
      <w:r>
        <w:rPr>
          <w:rtl/>
        </w:rPr>
        <w:t xml:space="preserve"> </w:t>
      </w:r>
      <w:r>
        <w:rPr>
          <w:rFonts w:ascii="Arial"/>
          <w:b/>
          <w:bCs/>
          <w:sz w:val="38"/>
          <w:rtl/>
        </w:rPr>
        <w:t>ואיהי חולם כו'.</w:t>
      </w:r>
      <w:r>
        <w:rPr>
          <w:rFonts w:ascii="Arial"/>
          <w:sz w:val="38"/>
          <w:rtl/>
        </w:rPr>
        <w:t xml:space="preserve"> דבשלושה מקומות אלו - שרשה, כידוע:</w:t>
      </w:r>
    </w:p>
  </w:footnote>
  <w:footnote w:id="1991">
    <w:p w:rsidR="00A13282" w:rsidRDefault="00A13282">
      <w:pPr>
        <w:pStyle w:val="a5"/>
        <w:rPr>
          <w:rtl/>
        </w:rPr>
      </w:pPr>
      <w:r>
        <w:rPr>
          <w:rStyle w:val="a7"/>
          <w:rtl/>
        </w:rPr>
        <w:footnoteRef/>
      </w:r>
      <w:r>
        <w:rPr>
          <w:rtl/>
        </w:rPr>
        <w:t xml:space="preserve"> </w:t>
      </w:r>
      <w:r>
        <w:rPr>
          <w:rFonts w:ascii="Arial"/>
          <w:b/>
          <w:bCs/>
          <w:sz w:val="38"/>
          <w:rtl/>
        </w:rPr>
        <w:t>כד סליקת כו'.</w:t>
      </w:r>
      <w:r>
        <w:rPr>
          <w:rFonts w:ascii="Arial"/>
          <w:sz w:val="38"/>
          <w:rtl/>
        </w:rPr>
        <w:t xml:space="preserve"> חשיב כל האברים שאמר למעלה:</w:t>
      </w:r>
    </w:p>
  </w:footnote>
  <w:footnote w:id="1992">
    <w:p w:rsidR="00A13282" w:rsidRDefault="00A13282">
      <w:pPr>
        <w:pStyle w:val="a5"/>
        <w:rPr>
          <w:rtl/>
        </w:rPr>
      </w:pPr>
      <w:r>
        <w:rPr>
          <w:rStyle w:val="a7"/>
          <w:rtl/>
        </w:rPr>
        <w:footnoteRef/>
      </w:r>
      <w:r>
        <w:rPr>
          <w:rtl/>
        </w:rPr>
        <w:t xml:space="preserve"> </w:t>
      </w:r>
      <w:r>
        <w:rPr>
          <w:rFonts w:ascii="Arial"/>
          <w:b/>
          <w:bCs/>
          <w:sz w:val="38"/>
          <w:rtl/>
        </w:rPr>
        <w:t>וכמה פקודין כו'.</w:t>
      </w:r>
      <w:r>
        <w:rPr>
          <w:rFonts w:ascii="Arial"/>
          <w:sz w:val="38"/>
          <w:rtl/>
        </w:rPr>
        <w:t xml:space="preserve"> גם כן עינים כמו שמפרש והולך: </w:t>
      </w:r>
    </w:p>
  </w:footnote>
  <w:footnote w:id="1993">
    <w:p w:rsidR="00A13282" w:rsidRDefault="00A13282">
      <w:pPr>
        <w:pStyle w:val="a5"/>
        <w:rPr>
          <w:rtl/>
        </w:rPr>
      </w:pPr>
      <w:r>
        <w:rPr>
          <w:rStyle w:val="a7"/>
          <w:rtl/>
        </w:rPr>
        <w:footnoteRef/>
      </w:r>
      <w:r>
        <w:rPr>
          <w:rtl/>
        </w:rPr>
        <w:t xml:space="preserve"> </w:t>
      </w:r>
      <w:r>
        <w:rPr>
          <w:rFonts w:ascii="Arial"/>
          <w:b/>
          <w:bCs/>
          <w:sz w:val="38"/>
          <w:rtl/>
        </w:rPr>
        <w:t>על קלין כו' ועל שיחת כו'.</w:t>
      </w:r>
      <w:r>
        <w:rPr>
          <w:rFonts w:ascii="Arial"/>
          <w:sz w:val="38"/>
          <w:rtl/>
        </w:rPr>
        <w:t xml:space="preserve"> רוצה לומר קול ודבור:</w:t>
      </w:r>
    </w:p>
  </w:footnote>
  <w:footnote w:id="1994">
    <w:p w:rsidR="00A13282" w:rsidRDefault="00A13282">
      <w:pPr>
        <w:pStyle w:val="a5"/>
        <w:rPr>
          <w:rtl/>
        </w:rPr>
      </w:pPr>
      <w:r>
        <w:rPr>
          <w:rStyle w:val="a7"/>
          <w:rtl/>
        </w:rPr>
        <w:footnoteRef/>
      </w:r>
      <w:r>
        <w:rPr>
          <w:rtl/>
        </w:rPr>
        <w:t xml:space="preserve"> </w:t>
      </w:r>
      <w:r>
        <w:rPr>
          <w:rFonts w:ascii="Arial"/>
          <w:b/>
          <w:bCs/>
          <w:sz w:val="38"/>
          <w:rtl/>
        </w:rPr>
        <w:t>בכמה גוונין.</w:t>
      </w:r>
      <w:r>
        <w:rPr>
          <w:rFonts w:ascii="Arial"/>
          <w:sz w:val="38"/>
          <w:rtl/>
        </w:rPr>
        <w:t xml:space="preserve"> דכלילן בד' גוונין דאנפין דחיון כידוע:</w:t>
      </w:r>
    </w:p>
  </w:footnote>
  <w:footnote w:id="1995">
    <w:p w:rsidR="00A13282" w:rsidRDefault="00A13282">
      <w:pPr>
        <w:pStyle w:val="a5"/>
        <w:rPr>
          <w:rtl/>
        </w:rPr>
      </w:pPr>
      <w:r>
        <w:rPr>
          <w:rStyle w:val="a7"/>
          <w:rtl/>
        </w:rPr>
        <w:footnoteRef/>
      </w:r>
      <w:r>
        <w:rPr>
          <w:rtl/>
        </w:rPr>
        <w:t xml:space="preserve"> </w:t>
      </w:r>
      <w:r>
        <w:rPr>
          <w:rFonts w:ascii="Arial"/>
          <w:b/>
          <w:bCs/>
          <w:sz w:val="38"/>
          <w:rtl/>
        </w:rPr>
        <w:t>רוחין ואשין כו' על ריחא ותננא.</w:t>
      </w:r>
      <w:r>
        <w:rPr>
          <w:rFonts w:ascii="Arial"/>
          <w:sz w:val="38"/>
          <w:rtl/>
        </w:rPr>
        <w:t xml:space="preserve"> כמו שאמרו בזוהר דמתרין נוקבין דחוטמא: מימינא נפיק רוחא, ומשמאלא - תננא:</w:t>
      </w:r>
    </w:p>
  </w:footnote>
  <w:footnote w:id="1996">
    <w:p w:rsidR="00A13282" w:rsidRDefault="00A13282">
      <w:pPr>
        <w:pStyle w:val="a5"/>
        <w:rPr>
          <w:rtl/>
        </w:rPr>
      </w:pPr>
      <w:r>
        <w:rPr>
          <w:rStyle w:val="a7"/>
          <w:rtl/>
        </w:rPr>
        <w:footnoteRef/>
      </w:r>
      <w:r>
        <w:rPr>
          <w:rtl/>
        </w:rPr>
        <w:t xml:space="preserve"> </w:t>
      </w:r>
      <w:r>
        <w:rPr>
          <w:rFonts w:ascii="Arial"/>
          <w:b/>
          <w:bCs/>
          <w:sz w:val="38"/>
          <w:rtl/>
        </w:rPr>
        <w:t>וצלותין.</w:t>
      </w:r>
      <w:r>
        <w:rPr>
          <w:rFonts w:ascii="Arial"/>
          <w:sz w:val="38"/>
          <w:rtl/>
        </w:rPr>
        <w:t xml:space="preserve"> בקנה:</w:t>
      </w:r>
    </w:p>
  </w:footnote>
  <w:footnote w:id="1997">
    <w:p w:rsidR="00A13282" w:rsidRDefault="00A13282">
      <w:pPr>
        <w:pStyle w:val="a5"/>
        <w:rPr>
          <w:rtl/>
        </w:rPr>
      </w:pPr>
      <w:r>
        <w:rPr>
          <w:rStyle w:val="a7"/>
          <w:rtl/>
        </w:rPr>
        <w:footnoteRef/>
      </w:r>
      <w:r>
        <w:rPr>
          <w:rtl/>
        </w:rPr>
        <w:t xml:space="preserve"> </w:t>
      </w:r>
      <w:r>
        <w:rPr>
          <w:rFonts w:ascii="Arial"/>
          <w:b/>
          <w:bCs/>
          <w:sz w:val="38"/>
          <w:rtl/>
        </w:rPr>
        <w:t>ואלין אתקריאו אשים.</w:t>
      </w:r>
      <w:r>
        <w:rPr>
          <w:rFonts w:ascii="Arial"/>
          <w:sz w:val="38"/>
          <w:rtl/>
        </w:rPr>
        <w:t xml:space="preserve"> דושט, אבל דקנה נקראו בני אלים:</w:t>
      </w:r>
    </w:p>
  </w:footnote>
  <w:footnote w:id="1998">
    <w:p w:rsidR="00A13282" w:rsidRDefault="00A13282">
      <w:pPr>
        <w:pStyle w:val="a5"/>
        <w:rPr>
          <w:rtl/>
        </w:rPr>
      </w:pPr>
      <w:r>
        <w:rPr>
          <w:rStyle w:val="a7"/>
          <w:rtl/>
        </w:rPr>
        <w:footnoteRef/>
      </w:r>
      <w:r>
        <w:rPr>
          <w:rtl/>
        </w:rPr>
        <w:t xml:space="preserve"> </w:t>
      </w:r>
      <w:r>
        <w:rPr>
          <w:rFonts w:ascii="Arial"/>
          <w:b/>
          <w:bCs/>
          <w:sz w:val="38"/>
          <w:rtl/>
        </w:rPr>
        <w:t>וכמה כו' מארי דידן.</w:t>
      </w:r>
      <w:r>
        <w:rPr>
          <w:rFonts w:ascii="Arial"/>
          <w:sz w:val="38"/>
          <w:rtl/>
        </w:rPr>
        <w:t xml:space="preserve"> תפילין של יד, וצדקה, כמו שאומר לקמן וכן כולם מפרש לקמן:</w:t>
      </w:r>
    </w:p>
  </w:footnote>
  <w:footnote w:id="1999">
    <w:p w:rsidR="00A13282" w:rsidRDefault="00A13282">
      <w:pPr>
        <w:pStyle w:val="a5"/>
        <w:rPr>
          <w:rtl/>
        </w:rPr>
      </w:pPr>
      <w:r>
        <w:rPr>
          <w:rStyle w:val="a7"/>
          <w:rtl/>
        </w:rPr>
        <w:footnoteRef/>
      </w:r>
      <w:r>
        <w:rPr>
          <w:rtl/>
        </w:rPr>
        <w:t xml:space="preserve"> </w:t>
      </w:r>
      <w:r>
        <w:rPr>
          <w:rFonts w:ascii="Arial"/>
          <w:b/>
          <w:bCs/>
          <w:sz w:val="38"/>
          <w:rtl/>
        </w:rPr>
        <w:t>ולעילא מכולהו כו'.</w:t>
      </w:r>
      <w:r>
        <w:rPr>
          <w:rFonts w:ascii="Arial"/>
          <w:sz w:val="38"/>
          <w:rtl/>
        </w:rPr>
        <w:t xml:space="preserve"> עמודא דאמצעיתא - למעלה מו"ק שהן ג' ראשונות וג' אחרונות:</w:t>
      </w:r>
    </w:p>
  </w:footnote>
  <w:footnote w:id="2000">
    <w:p w:rsidR="00A13282" w:rsidRDefault="00A13282">
      <w:pPr>
        <w:pStyle w:val="a5"/>
        <w:rPr>
          <w:rtl/>
        </w:rPr>
      </w:pPr>
      <w:r>
        <w:rPr>
          <w:rStyle w:val="a7"/>
          <w:rtl/>
        </w:rPr>
        <w:footnoteRef/>
      </w:r>
      <w:r>
        <w:rPr>
          <w:rtl/>
        </w:rPr>
        <w:t xml:space="preserve"> </w:t>
      </w:r>
      <w:r>
        <w:rPr>
          <w:rFonts w:ascii="Arial"/>
          <w:b/>
          <w:bCs/>
          <w:sz w:val="38"/>
          <w:rtl/>
        </w:rPr>
        <w:t>ולתתא כו'.</w:t>
      </w:r>
      <w:r>
        <w:rPr>
          <w:rFonts w:ascii="Arial"/>
          <w:sz w:val="38"/>
          <w:rtl/>
        </w:rPr>
        <w:t xml:space="preserve"> צדיק, כמו שמפרש והולך, והן בסטרא דחו"ג, שהן שתי ידים, וזהו יד יד:</w:t>
      </w:r>
    </w:p>
  </w:footnote>
  <w:footnote w:id="2001">
    <w:p w:rsidR="00A13282" w:rsidRDefault="00A13282">
      <w:pPr>
        <w:pStyle w:val="a5"/>
        <w:rPr>
          <w:rtl/>
        </w:rPr>
      </w:pPr>
      <w:r>
        <w:rPr>
          <w:rStyle w:val="a7"/>
          <w:rtl/>
        </w:rPr>
        <w:footnoteRef/>
      </w:r>
      <w:r>
        <w:rPr>
          <w:rtl/>
        </w:rPr>
        <w:t xml:space="preserve"> </w:t>
      </w:r>
      <w:r>
        <w:rPr>
          <w:rFonts w:ascii="Arial"/>
          <w:b/>
          <w:bCs/>
          <w:sz w:val="38"/>
          <w:rtl/>
        </w:rPr>
        <w:t>עליה אתמר ובני כו'.</w:t>
      </w:r>
      <w:r>
        <w:rPr>
          <w:rFonts w:ascii="Arial"/>
          <w:sz w:val="38"/>
          <w:rtl/>
        </w:rPr>
        <w:t xml:space="preserve"> מביא ראיה שעמודא דאמצעיתא נקרא יד:</w:t>
      </w:r>
    </w:p>
  </w:footnote>
  <w:footnote w:id="2002">
    <w:p w:rsidR="00A13282" w:rsidRDefault="00A13282">
      <w:pPr>
        <w:pStyle w:val="a5"/>
        <w:rPr>
          <w:rtl/>
        </w:rPr>
      </w:pPr>
      <w:r>
        <w:rPr>
          <w:rStyle w:val="a7"/>
          <w:rtl/>
        </w:rPr>
        <w:footnoteRef/>
      </w:r>
      <w:r>
        <w:rPr>
          <w:rtl/>
        </w:rPr>
        <w:t xml:space="preserve"> </w:t>
      </w:r>
      <w:r>
        <w:rPr>
          <w:rFonts w:ascii="Arial"/>
          <w:b/>
          <w:bCs/>
          <w:sz w:val="38"/>
          <w:rtl/>
        </w:rPr>
        <w:t>דתמן חכמה כו'.</w:t>
      </w:r>
      <w:r>
        <w:rPr>
          <w:rFonts w:ascii="Arial"/>
          <w:sz w:val="38"/>
          <w:rtl/>
        </w:rPr>
        <w:t xml:space="preserve"> דחו"ב הן שני ספרים, ספר וספר, כמו שאומר בספר יצירה, ומתלבשין בידים כידוע:</w:t>
      </w:r>
    </w:p>
  </w:footnote>
  <w:footnote w:id="2003">
    <w:p w:rsidR="00A13282" w:rsidRDefault="00A13282">
      <w:pPr>
        <w:pStyle w:val="a5"/>
        <w:rPr>
          <w:rtl/>
        </w:rPr>
      </w:pPr>
      <w:r>
        <w:rPr>
          <w:rStyle w:val="a7"/>
          <w:rtl/>
        </w:rPr>
        <w:footnoteRef/>
      </w:r>
      <w:r>
        <w:rPr>
          <w:rtl/>
        </w:rPr>
        <w:t xml:space="preserve"> </w:t>
      </w:r>
      <w:r>
        <w:rPr>
          <w:rFonts w:ascii="Arial"/>
          <w:b/>
          <w:bCs/>
          <w:sz w:val="38"/>
          <w:rtl/>
        </w:rPr>
        <w:t>דאיהו כל פה.</w:t>
      </w:r>
      <w:r>
        <w:rPr>
          <w:rFonts w:ascii="Arial"/>
          <w:sz w:val="38"/>
          <w:rtl/>
        </w:rPr>
        <w:t xml:space="preserve"> רוצה לומר שידוע שהוא נקרא כל:</w:t>
      </w:r>
    </w:p>
  </w:footnote>
  <w:footnote w:id="2004">
    <w:p w:rsidR="00A13282" w:rsidRDefault="00A13282">
      <w:pPr>
        <w:pStyle w:val="a5"/>
        <w:rPr>
          <w:rtl/>
        </w:rPr>
      </w:pPr>
      <w:r>
        <w:rPr>
          <w:rStyle w:val="a7"/>
          <w:rtl/>
        </w:rPr>
        <w:footnoteRef/>
      </w:r>
      <w:r>
        <w:rPr>
          <w:rtl/>
        </w:rPr>
        <w:t xml:space="preserve"> </w:t>
      </w:r>
      <w:r>
        <w:rPr>
          <w:rFonts w:ascii="Arial"/>
          <w:b/>
          <w:bCs/>
          <w:sz w:val="38"/>
          <w:rtl/>
        </w:rPr>
        <w:t>חתמנו לחיים.</w:t>
      </w:r>
      <w:r>
        <w:rPr>
          <w:rFonts w:ascii="Arial"/>
          <w:sz w:val="38"/>
          <w:rtl/>
        </w:rPr>
        <w:t xml:space="preserve"> שהיא נקראת חיים כידוע:</w:t>
      </w:r>
    </w:p>
  </w:footnote>
  <w:footnote w:id="2005">
    <w:p w:rsidR="00A13282" w:rsidRDefault="00A13282">
      <w:pPr>
        <w:pStyle w:val="a5"/>
        <w:rPr>
          <w:rtl/>
        </w:rPr>
      </w:pPr>
      <w:r>
        <w:rPr>
          <w:rStyle w:val="a7"/>
          <w:rtl/>
        </w:rPr>
        <w:footnoteRef/>
      </w:r>
      <w:r>
        <w:rPr>
          <w:rtl/>
        </w:rPr>
        <w:t xml:space="preserve"> </w:t>
      </w:r>
      <w:r>
        <w:rPr>
          <w:rFonts w:ascii="Arial"/>
          <w:b/>
          <w:bCs/>
          <w:sz w:val="38"/>
          <w:rtl/>
        </w:rPr>
        <w:t>כמה דאמרי' כו'.</w:t>
      </w:r>
      <w:r>
        <w:rPr>
          <w:rFonts w:ascii="Arial"/>
          <w:sz w:val="38"/>
          <w:rtl/>
        </w:rPr>
        <w:t xml:space="preserve"> בברכת שלום - בצדיק:</w:t>
      </w:r>
    </w:p>
  </w:footnote>
  <w:footnote w:id="2006">
    <w:p w:rsidR="00A13282" w:rsidRDefault="00A13282">
      <w:pPr>
        <w:pStyle w:val="a5"/>
        <w:rPr>
          <w:rtl/>
        </w:rPr>
      </w:pPr>
      <w:r>
        <w:rPr>
          <w:rStyle w:val="a7"/>
          <w:rtl/>
        </w:rPr>
        <w:footnoteRef/>
      </w:r>
      <w:r>
        <w:rPr>
          <w:rtl/>
        </w:rPr>
        <w:t xml:space="preserve"> </w:t>
      </w:r>
      <w:r>
        <w:rPr>
          <w:rFonts w:ascii="Arial"/>
          <w:b/>
          <w:bCs/>
          <w:sz w:val="38"/>
          <w:rtl/>
        </w:rPr>
        <w:t>הא קא אתיין כו'.</w:t>
      </w:r>
      <w:r>
        <w:rPr>
          <w:rFonts w:ascii="Arial"/>
          <w:sz w:val="38"/>
          <w:rtl/>
        </w:rPr>
        <w:t xml:space="preserve"> עכשיו הולך ומפרש כל האברים:</w:t>
      </w:r>
    </w:p>
  </w:footnote>
  <w:footnote w:id="2007">
    <w:p w:rsidR="00A13282" w:rsidRDefault="00A13282">
      <w:pPr>
        <w:pStyle w:val="a5"/>
        <w:rPr>
          <w:rtl/>
        </w:rPr>
      </w:pPr>
      <w:r>
        <w:rPr>
          <w:rStyle w:val="a7"/>
          <w:rtl/>
        </w:rPr>
        <w:footnoteRef/>
      </w:r>
      <w:r>
        <w:rPr>
          <w:rtl/>
        </w:rPr>
        <w:t xml:space="preserve"> </w:t>
      </w:r>
      <w:r>
        <w:rPr>
          <w:rFonts w:ascii="Arial"/>
          <w:b/>
          <w:bCs/>
          <w:sz w:val="38"/>
          <w:rtl/>
        </w:rPr>
        <w:t>בעמידה.</w:t>
      </w:r>
      <w:r>
        <w:rPr>
          <w:rFonts w:ascii="Arial"/>
          <w:sz w:val="38"/>
          <w:rtl/>
        </w:rPr>
        <w:t xml:space="preserve"> דאינון ברגלים:</w:t>
      </w:r>
    </w:p>
  </w:footnote>
  <w:footnote w:id="2008">
    <w:p w:rsidR="00A13282" w:rsidRDefault="00A13282">
      <w:pPr>
        <w:pStyle w:val="a5"/>
        <w:rPr>
          <w:rtl/>
        </w:rPr>
      </w:pPr>
      <w:r>
        <w:rPr>
          <w:rStyle w:val="a7"/>
          <w:rtl/>
        </w:rPr>
        <w:footnoteRef/>
      </w:r>
      <w:r>
        <w:rPr>
          <w:rtl/>
        </w:rPr>
        <w:t xml:space="preserve"> </w:t>
      </w:r>
      <w:r>
        <w:rPr>
          <w:rFonts w:ascii="Arial"/>
          <w:b/>
          <w:bCs/>
          <w:sz w:val="38"/>
          <w:rtl/>
        </w:rPr>
        <w:t>וינתן לך כו'.</w:t>
      </w:r>
      <w:r>
        <w:rPr>
          <w:rFonts w:ascii="Arial"/>
          <w:sz w:val="38"/>
          <w:rtl/>
        </w:rPr>
        <w:t xml:space="preserve"> דשם - כעבד המקבל פרס:</w:t>
      </w:r>
    </w:p>
  </w:footnote>
  <w:footnote w:id="2009">
    <w:p w:rsidR="00A13282" w:rsidRDefault="00A13282">
      <w:pPr>
        <w:pStyle w:val="a5"/>
        <w:rPr>
          <w:rtl/>
        </w:rPr>
      </w:pPr>
      <w:r>
        <w:rPr>
          <w:rStyle w:val="a7"/>
          <w:rtl/>
        </w:rPr>
        <w:footnoteRef/>
      </w:r>
      <w:r>
        <w:rPr>
          <w:rtl/>
        </w:rPr>
        <w:t xml:space="preserve"> </w:t>
      </w:r>
      <w:r>
        <w:rPr>
          <w:rFonts w:ascii="Arial"/>
          <w:b/>
          <w:bCs/>
          <w:sz w:val="38"/>
          <w:rtl/>
        </w:rPr>
        <w:t>תפתח דא פתחון.</w:t>
      </w:r>
      <w:r>
        <w:rPr>
          <w:rFonts w:ascii="Arial"/>
          <w:sz w:val="38"/>
          <w:rtl/>
        </w:rPr>
        <w:t xml:space="preserve"> וכן בכולם:</w:t>
      </w:r>
    </w:p>
  </w:footnote>
  <w:footnote w:id="2010">
    <w:p w:rsidR="00A13282" w:rsidRDefault="00A13282">
      <w:pPr>
        <w:pStyle w:val="a5"/>
        <w:rPr>
          <w:rtl/>
        </w:rPr>
      </w:pPr>
      <w:r>
        <w:rPr>
          <w:rStyle w:val="a7"/>
          <w:rtl/>
        </w:rPr>
        <w:footnoteRef/>
      </w:r>
      <w:r>
        <w:rPr>
          <w:rtl/>
        </w:rPr>
        <w:t xml:space="preserve"> </w:t>
      </w:r>
      <w:r>
        <w:rPr>
          <w:rFonts w:ascii="Arial"/>
          <w:b/>
          <w:bCs/>
          <w:sz w:val="38"/>
          <w:rtl/>
        </w:rPr>
        <w:t>תשיעאה כו'.</w:t>
      </w:r>
      <w:r>
        <w:rPr>
          <w:rFonts w:ascii="Arial"/>
          <w:sz w:val="38"/>
          <w:rtl/>
        </w:rPr>
        <w:t xml:space="preserve"> טעם על ח"י ביסוד:</w:t>
      </w:r>
    </w:p>
  </w:footnote>
  <w:footnote w:id="2011">
    <w:p w:rsidR="00A13282" w:rsidRDefault="00A13282">
      <w:pPr>
        <w:pStyle w:val="a5"/>
        <w:rPr>
          <w:rtl/>
        </w:rPr>
      </w:pPr>
      <w:r>
        <w:rPr>
          <w:rStyle w:val="a7"/>
          <w:rtl/>
        </w:rPr>
        <w:footnoteRef/>
      </w:r>
      <w:r>
        <w:rPr>
          <w:rtl/>
        </w:rPr>
        <w:t xml:space="preserve"> </w:t>
      </w:r>
      <w:r>
        <w:rPr>
          <w:rFonts w:ascii="Arial"/>
          <w:b/>
          <w:bCs/>
          <w:sz w:val="38"/>
          <w:rtl/>
        </w:rPr>
        <w:t>והיו לאותות ולמועדים.</w:t>
      </w:r>
      <w:r>
        <w:rPr>
          <w:rFonts w:ascii="Arial"/>
          <w:sz w:val="38"/>
          <w:rtl/>
        </w:rPr>
        <w:t xml:space="preserve"> שכולם ביסוד כמו שאמרו (רעיא מהימנא קעח ע"ב, רעיא מהימנא רלח ע"א) אות דשבת אות דיום טוב:</w:t>
      </w:r>
    </w:p>
  </w:footnote>
  <w:footnote w:id="2012">
    <w:p w:rsidR="00A13282" w:rsidRDefault="00A13282">
      <w:pPr>
        <w:pStyle w:val="a5"/>
        <w:rPr>
          <w:rtl/>
        </w:rPr>
      </w:pPr>
      <w:r>
        <w:rPr>
          <w:rStyle w:val="a7"/>
          <w:rtl/>
        </w:rPr>
        <w:footnoteRef/>
      </w:r>
      <w:r>
        <w:rPr>
          <w:rtl/>
        </w:rPr>
        <w:t xml:space="preserve"> </w:t>
      </w:r>
      <w:r>
        <w:rPr>
          <w:rFonts w:ascii="Arial"/>
          <w:b/>
          <w:bCs/>
          <w:sz w:val="38"/>
          <w:rtl/>
        </w:rPr>
        <w:t>אינון דסגדין כו'.</w:t>
      </w:r>
      <w:r>
        <w:rPr>
          <w:rFonts w:ascii="Arial"/>
          <w:sz w:val="38"/>
          <w:rtl/>
        </w:rPr>
        <w:t xml:space="preserve"> דכריעה ביסוד - בברוך, כמו שמפרש והולך:</w:t>
      </w:r>
    </w:p>
  </w:footnote>
  <w:footnote w:id="2013">
    <w:p w:rsidR="00A13282" w:rsidRDefault="00A13282">
      <w:pPr>
        <w:pStyle w:val="a5"/>
        <w:rPr>
          <w:rtl/>
        </w:rPr>
      </w:pPr>
      <w:r>
        <w:rPr>
          <w:rStyle w:val="a7"/>
          <w:rtl/>
        </w:rPr>
        <w:footnoteRef/>
      </w:r>
      <w:r>
        <w:rPr>
          <w:rtl/>
        </w:rPr>
        <w:t xml:space="preserve"> </w:t>
      </w:r>
      <w:r>
        <w:rPr>
          <w:rFonts w:ascii="Arial"/>
          <w:b/>
          <w:bCs/>
          <w:sz w:val="38"/>
          <w:rtl/>
        </w:rPr>
        <w:t>דהוו מכסיין כו'.</w:t>
      </w:r>
      <w:r>
        <w:rPr>
          <w:rFonts w:ascii="Arial"/>
          <w:sz w:val="38"/>
          <w:rtl/>
        </w:rPr>
        <w:t xml:space="preserve"> מכסין את הגוף, והן מסטרא דלבושין דמלכות שאמר לעיל:</w:t>
      </w:r>
    </w:p>
  </w:footnote>
  <w:footnote w:id="2014">
    <w:p w:rsidR="00A13282" w:rsidRDefault="00A13282">
      <w:pPr>
        <w:pStyle w:val="a5"/>
        <w:rPr>
          <w:rtl/>
        </w:rPr>
      </w:pPr>
      <w:r>
        <w:rPr>
          <w:rStyle w:val="a7"/>
          <w:rtl/>
        </w:rPr>
        <w:footnoteRef/>
      </w:r>
      <w:r>
        <w:rPr>
          <w:rtl/>
        </w:rPr>
        <w:t xml:space="preserve"> </w:t>
      </w:r>
      <w:r>
        <w:rPr>
          <w:rFonts w:ascii="Arial"/>
          <w:b/>
          <w:bCs/>
          <w:sz w:val="38"/>
          <w:rtl/>
        </w:rPr>
        <w:t>ולכסאה כו'.</w:t>
      </w:r>
      <w:r>
        <w:rPr>
          <w:rFonts w:ascii="Arial"/>
          <w:sz w:val="38"/>
          <w:rtl/>
        </w:rPr>
        <w:t xml:space="preserve"> דהוו מכסיין כו':</w:t>
      </w:r>
    </w:p>
  </w:footnote>
  <w:footnote w:id="2015">
    <w:p w:rsidR="00A13282" w:rsidRDefault="00A13282">
      <w:pPr>
        <w:pStyle w:val="a5"/>
        <w:rPr>
          <w:rtl/>
        </w:rPr>
      </w:pPr>
      <w:r>
        <w:rPr>
          <w:rStyle w:val="a7"/>
          <w:rtl/>
        </w:rPr>
        <w:footnoteRef/>
      </w:r>
      <w:r>
        <w:rPr>
          <w:rtl/>
        </w:rPr>
        <w:t xml:space="preserve"> </w:t>
      </w:r>
      <w:r>
        <w:rPr>
          <w:rFonts w:ascii="Arial"/>
          <w:b/>
          <w:bCs/>
          <w:sz w:val="38"/>
          <w:rtl/>
        </w:rPr>
        <w:t>דאינון ג"ג.</w:t>
      </w:r>
      <w:r>
        <w:rPr>
          <w:rFonts w:ascii="Arial"/>
          <w:sz w:val="38"/>
          <w:rtl/>
        </w:rPr>
        <w:t xml:space="preserve"> תפלין וצדקה:</w:t>
      </w:r>
    </w:p>
  </w:footnote>
  <w:footnote w:id="2016">
    <w:p w:rsidR="00A13282" w:rsidRDefault="00A13282">
      <w:pPr>
        <w:pStyle w:val="a5"/>
        <w:rPr>
          <w:rtl/>
        </w:rPr>
      </w:pPr>
      <w:r>
        <w:rPr>
          <w:rStyle w:val="a7"/>
          <w:rtl/>
        </w:rPr>
        <w:footnoteRef/>
      </w:r>
      <w:r>
        <w:rPr>
          <w:rtl/>
        </w:rPr>
        <w:t xml:space="preserve"> </w:t>
      </w:r>
      <w:r>
        <w:rPr>
          <w:rFonts w:ascii="Arial"/>
          <w:b/>
          <w:bCs/>
          <w:sz w:val="38"/>
          <w:rtl/>
        </w:rPr>
        <w:t>דאית דלא כו'.</w:t>
      </w:r>
      <w:r>
        <w:rPr>
          <w:rFonts w:ascii="Arial"/>
          <w:sz w:val="38"/>
          <w:rtl/>
        </w:rPr>
        <w:t xml:space="preserve"> הן הבינונים כמו שמפרש והולך:</w:t>
      </w:r>
    </w:p>
  </w:footnote>
  <w:footnote w:id="2017">
    <w:p w:rsidR="00A13282" w:rsidRDefault="00A13282">
      <w:pPr>
        <w:pStyle w:val="a5"/>
        <w:rPr>
          <w:rtl/>
        </w:rPr>
      </w:pPr>
      <w:r>
        <w:rPr>
          <w:rStyle w:val="a7"/>
          <w:rtl/>
        </w:rPr>
        <w:footnoteRef/>
      </w:r>
      <w:r>
        <w:rPr>
          <w:rtl/>
        </w:rPr>
        <w:t xml:space="preserve"> </w:t>
      </w:r>
      <w:r>
        <w:rPr>
          <w:rFonts w:ascii="Arial"/>
          <w:b/>
          <w:bCs/>
          <w:sz w:val="38"/>
          <w:rtl/>
        </w:rPr>
        <w:t>ושפירין למחזי.</w:t>
      </w:r>
      <w:r>
        <w:rPr>
          <w:rFonts w:ascii="Arial"/>
          <w:sz w:val="38"/>
          <w:rtl/>
        </w:rPr>
        <w:t xml:space="preserve"> הן וטובי מראה, וחוזר כאן משום דרוצה לומר דעלייהו כו':</w:t>
      </w:r>
    </w:p>
  </w:footnote>
  <w:footnote w:id="2018">
    <w:p w:rsidR="00A13282" w:rsidRDefault="00A13282">
      <w:pPr>
        <w:pStyle w:val="a5"/>
        <w:rPr>
          <w:rtl/>
        </w:rPr>
      </w:pPr>
      <w:r>
        <w:rPr>
          <w:rStyle w:val="a7"/>
          <w:rtl/>
        </w:rPr>
        <w:footnoteRef/>
      </w:r>
      <w:r>
        <w:rPr>
          <w:rtl/>
        </w:rPr>
        <w:t xml:space="preserve"> </w:t>
      </w:r>
      <w:r>
        <w:rPr>
          <w:rFonts w:ascii="Arial"/>
          <w:b/>
          <w:bCs/>
          <w:sz w:val="38"/>
          <w:rtl/>
        </w:rPr>
        <w:t>דידעין בחכמה כו'.</w:t>
      </w:r>
      <w:r>
        <w:rPr>
          <w:rFonts w:ascii="Arial"/>
          <w:sz w:val="38"/>
          <w:rtl/>
        </w:rPr>
        <w:t xml:space="preserve"> רוצה לומר זהו ויודעי כו' - שלשה דברים האלו:</w:t>
      </w:r>
    </w:p>
  </w:footnote>
  <w:footnote w:id="2019">
    <w:p w:rsidR="00A13282" w:rsidRDefault="00A13282">
      <w:pPr>
        <w:pStyle w:val="a5"/>
        <w:rPr>
          <w:rtl/>
        </w:rPr>
      </w:pPr>
      <w:r>
        <w:rPr>
          <w:rStyle w:val="a7"/>
          <w:rtl/>
        </w:rPr>
        <w:footnoteRef/>
      </w:r>
      <w:r>
        <w:rPr>
          <w:rtl/>
        </w:rPr>
        <w:t xml:space="preserve"> </w:t>
      </w:r>
      <w:r>
        <w:rPr>
          <w:rFonts w:ascii="Arial"/>
          <w:b/>
          <w:bCs/>
          <w:sz w:val="38"/>
          <w:rtl/>
        </w:rPr>
        <w:t>אלא כו'.</w:t>
      </w:r>
      <w:r>
        <w:rPr>
          <w:rFonts w:ascii="Arial"/>
          <w:sz w:val="38"/>
          <w:rtl/>
        </w:rPr>
        <w:t xml:space="preserve"> כמו שאמרו (חגיגה יא ע"ב) חכ"ם ומבי"ן מדעת"ו:</w:t>
      </w:r>
    </w:p>
  </w:footnote>
  <w:footnote w:id="2020">
    <w:p w:rsidR="00A13282" w:rsidRDefault="00A13282">
      <w:pPr>
        <w:pStyle w:val="a5"/>
        <w:rPr>
          <w:rtl/>
        </w:rPr>
      </w:pPr>
      <w:r>
        <w:rPr>
          <w:rStyle w:val="a7"/>
          <w:rtl/>
        </w:rPr>
        <w:footnoteRef/>
      </w:r>
      <w:r>
        <w:rPr>
          <w:rtl/>
        </w:rPr>
        <w:t xml:space="preserve"> </w:t>
      </w:r>
      <w:r>
        <w:rPr>
          <w:rFonts w:ascii="Arial"/>
          <w:b/>
          <w:bCs/>
          <w:sz w:val="38"/>
          <w:rtl/>
        </w:rPr>
        <w:t>ואשר כח כו'.</w:t>
      </w:r>
      <w:r>
        <w:rPr>
          <w:rFonts w:ascii="Arial"/>
          <w:sz w:val="38"/>
          <w:rtl/>
        </w:rPr>
        <w:t xml:space="preserve"> דידעין במעשה בראשית כמו שמפרש והולך:</w:t>
      </w:r>
    </w:p>
  </w:footnote>
  <w:footnote w:id="2021">
    <w:p w:rsidR="00A13282" w:rsidRDefault="00A13282">
      <w:pPr>
        <w:pStyle w:val="a5"/>
        <w:rPr>
          <w:rtl/>
        </w:rPr>
      </w:pPr>
      <w:r>
        <w:rPr>
          <w:rStyle w:val="a7"/>
          <w:rtl/>
        </w:rPr>
        <w:footnoteRef/>
      </w:r>
      <w:r>
        <w:rPr>
          <w:rtl/>
        </w:rPr>
        <w:t xml:space="preserve"> </w:t>
      </w:r>
      <w:r>
        <w:rPr>
          <w:rFonts w:ascii="Arial"/>
          <w:b/>
          <w:bCs/>
          <w:sz w:val="38"/>
          <w:rtl/>
        </w:rPr>
        <w:t>כ"ח אתוון כו'.</w:t>
      </w:r>
      <w:r>
        <w:rPr>
          <w:rFonts w:ascii="Arial"/>
          <w:sz w:val="38"/>
          <w:rtl/>
        </w:rPr>
        <w:t xml:space="preserve"> דפסוק ראשון בראשית כו', והוא כ"ח אתוון דמילוי המילוי דשם שהוא בבינה כידוע:</w:t>
      </w:r>
    </w:p>
  </w:footnote>
  <w:footnote w:id="2022">
    <w:p w:rsidR="00A13282" w:rsidRDefault="00A13282">
      <w:pPr>
        <w:pStyle w:val="a5"/>
        <w:rPr>
          <w:rtl/>
        </w:rPr>
      </w:pPr>
      <w:r>
        <w:rPr>
          <w:rStyle w:val="a7"/>
          <w:rtl/>
        </w:rPr>
        <w:footnoteRef/>
      </w:r>
      <w:r>
        <w:rPr>
          <w:rtl/>
        </w:rPr>
        <w:t xml:space="preserve"> </w:t>
      </w:r>
      <w:r>
        <w:rPr>
          <w:rFonts w:ascii="Arial"/>
          <w:b/>
          <w:bCs/>
          <w:sz w:val="38"/>
          <w:rtl/>
        </w:rPr>
        <w:t>לעמוד כו'.</w:t>
      </w:r>
      <w:r>
        <w:rPr>
          <w:rFonts w:ascii="Arial"/>
          <w:sz w:val="38"/>
          <w:rtl/>
        </w:rPr>
        <w:t xml:space="preserve"> רוצה לומר, זה שאמר לעמוד בהיכל המלך - שהיא התפלה, כמו שאומר לעיל, וזה שאומר אילין יעלון כו', ורוצה לומר, לעמוד - קאי אכולהו, אשר אין בהם כו' - בכל המעלות האלו - אלו ראוין לעמוד בהיכל המלך, וזה שאומר לעמוד בכלהו:</w:t>
      </w:r>
    </w:p>
  </w:footnote>
  <w:footnote w:id="2023">
    <w:p w:rsidR="00A13282" w:rsidRDefault="00A13282">
      <w:pPr>
        <w:pStyle w:val="a5"/>
        <w:rPr>
          <w:rtl/>
        </w:rPr>
      </w:pPr>
      <w:r>
        <w:rPr>
          <w:rStyle w:val="a7"/>
          <w:rtl/>
        </w:rPr>
        <w:footnoteRef/>
      </w:r>
      <w:r>
        <w:rPr>
          <w:rtl/>
        </w:rPr>
        <w:t xml:space="preserve"> </w:t>
      </w:r>
      <w:r>
        <w:rPr>
          <w:rFonts w:ascii="Arial"/>
          <w:b/>
          <w:bCs/>
          <w:sz w:val="38"/>
          <w:rtl/>
        </w:rPr>
        <w:t>דקראין לקוב"ה.</w:t>
      </w:r>
      <w:r>
        <w:rPr>
          <w:rFonts w:ascii="Arial"/>
          <w:sz w:val="38"/>
          <w:rtl/>
        </w:rPr>
        <w:t xml:space="preserve"> קול:</w:t>
      </w:r>
    </w:p>
  </w:footnote>
  <w:footnote w:id="2024">
    <w:p w:rsidR="00A13282" w:rsidRDefault="00A13282">
      <w:pPr>
        <w:pStyle w:val="a5"/>
        <w:rPr>
          <w:rtl/>
        </w:rPr>
      </w:pPr>
      <w:r>
        <w:rPr>
          <w:rStyle w:val="a7"/>
          <w:rtl/>
        </w:rPr>
        <w:footnoteRef/>
      </w:r>
      <w:r>
        <w:rPr>
          <w:rtl/>
        </w:rPr>
        <w:t xml:space="preserve"> </w:t>
      </w:r>
      <w:r>
        <w:rPr>
          <w:rFonts w:ascii="Arial"/>
          <w:b/>
          <w:bCs/>
          <w:sz w:val="38"/>
          <w:rtl/>
        </w:rPr>
        <w:t>אדהכי הא מארי דרגלין.</w:t>
      </w:r>
      <w:r>
        <w:rPr>
          <w:rFonts w:ascii="Arial"/>
          <w:sz w:val="38"/>
          <w:rtl/>
        </w:rPr>
        <w:t xml:space="preserve"> חוזר בתחלה:</w:t>
      </w:r>
    </w:p>
  </w:footnote>
  <w:footnote w:id="2025">
    <w:p w:rsidR="00A13282" w:rsidRDefault="00A13282">
      <w:pPr>
        <w:pStyle w:val="a5"/>
        <w:rPr>
          <w:rtl/>
        </w:rPr>
      </w:pPr>
      <w:r>
        <w:rPr>
          <w:rStyle w:val="a7"/>
          <w:rtl/>
        </w:rPr>
        <w:footnoteRef/>
      </w:r>
      <w:r>
        <w:rPr>
          <w:rtl/>
        </w:rPr>
        <w:t xml:space="preserve"> </w:t>
      </w:r>
      <w:r>
        <w:rPr>
          <w:rFonts w:ascii="Arial"/>
          <w:b/>
          <w:bCs/>
          <w:sz w:val="38"/>
          <w:rtl/>
        </w:rPr>
        <w:t>מארי דעמידה כו' לעמוד כו'.</w:t>
      </w:r>
      <w:r>
        <w:rPr>
          <w:rFonts w:ascii="Arial"/>
          <w:sz w:val="38"/>
          <w:rtl/>
        </w:rPr>
        <w:t xml:space="preserve"> ברגלין:</w:t>
      </w:r>
    </w:p>
  </w:footnote>
  <w:footnote w:id="2026">
    <w:p w:rsidR="00A13282" w:rsidRDefault="00A13282">
      <w:pPr>
        <w:pStyle w:val="a5"/>
        <w:rPr>
          <w:rtl/>
        </w:rPr>
      </w:pPr>
      <w:r>
        <w:rPr>
          <w:rStyle w:val="a7"/>
          <w:rtl/>
        </w:rPr>
        <w:footnoteRef/>
      </w:r>
      <w:r>
        <w:rPr>
          <w:rtl/>
        </w:rPr>
        <w:t xml:space="preserve"> </w:t>
      </w:r>
      <w:r>
        <w:rPr>
          <w:rFonts w:ascii="Arial"/>
          <w:b/>
          <w:bCs/>
          <w:sz w:val="38"/>
          <w:rtl/>
        </w:rPr>
        <w:t>דאתמר ביה אדנ"י כו'.</w:t>
      </w:r>
      <w:r>
        <w:rPr>
          <w:rFonts w:ascii="Arial"/>
          <w:sz w:val="38"/>
          <w:rtl/>
        </w:rPr>
        <w:t xml:space="preserve"> רוצה לומר תפתח את תרעי - שהוא שפתי כנ"ל, דהיכל - שהוא אדני:</w:t>
      </w:r>
    </w:p>
  </w:footnote>
  <w:footnote w:id="2027">
    <w:p w:rsidR="00A13282" w:rsidRDefault="00A13282">
      <w:pPr>
        <w:pStyle w:val="a5"/>
        <w:rPr>
          <w:rtl/>
        </w:rPr>
      </w:pPr>
      <w:r>
        <w:rPr>
          <w:rStyle w:val="a7"/>
          <w:rtl/>
        </w:rPr>
        <w:footnoteRef/>
      </w:r>
      <w:r>
        <w:rPr>
          <w:rtl/>
        </w:rPr>
        <w:t xml:space="preserve"> </w:t>
      </w:r>
      <w:r>
        <w:rPr>
          <w:rFonts w:ascii="Arial"/>
          <w:b/>
          <w:bCs/>
          <w:sz w:val="38"/>
          <w:rtl/>
        </w:rPr>
        <w:t>פתחו לי כו'.</w:t>
      </w:r>
      <w:r>
        <w:rPr>
          <w:rFonts w:ascii="Arial"/>
          <w:sz w:val="38"/>
          <w:rtl/>
        </w:rPr>
        <w:t xml:space="preserve"> שפתי תפתח:</w:t>
      </w:r>
    </w:p>
  </w:footnote>
  <w:footnote w:id="2028">
    <w:p w:rsidR="00A13282" w:rsidRDefault="00A13282">
      <w:pPr>
        <w:pStyle w:val="a5"/>
        <w:rPr>
          <w:rtl/>
        </w:rPr>
      </w:pPr>
      <w:r>
        <w:rPr>
          <w:rStyle w:val="a7"/>
          <w:rtl/>
        </w:rPr>
        <w:footnoteRef/>
      </w:r>
      <w:r>
        <w:rPr>
          <w:rtl/>
        </w:rPr>
        <w:t xml:space="preserve"> </w:t>
      </w:r>
      <w:r>
        <w:rPr>
          <w:rFonts w:ascii="Arial"/>
          <w:b/>
          <w:bCs/>
          <w:sz w:val="38"/>
          <w:rtl/>
        </w:rPr>
        <w:t>דכד פומי' כו'.</w:t>
      </w:r>
      <w:r>
        <w:rPr>
          <w:rFonts w:ascii="Arial"/>
          <w:sz w:val="38"/>
          <w:rtl/>
        </w:rPr>
        <w:t xml:space="preserve"> רוצה לומר שמכוון בתפלתו לשכינה כמו שמפרש והולך:</w:t>
      </w:r>
    </w:p>
  </w:footnote>
  <w:footnote w:id="2029">
    <w:p w:rsidR="00A13282" w:rsidRDefault="00A13282">
      <w:pPr>
        <w:pStyle w:val="a5"/>
        <w:rPr>
          <w:rtl/>
        </w:rPr>
      </w:pPr>
      <w:r>
        <w:rPr>
          <w:rStyle w:val="a7"/>
          <w:rtl/>
        </w:rPr>
        <w:footnoteRef/>
      </w:r>
      <w:r>
        <w:rPr>
          <w:rtl/>
        </w:rPr>
        <w:t xml:space="preserve"> </w:t>
      </w:r>
      <w:r>
        <w:rPr>
          <w:rFonts w:ascii="Arial"/>
          <w:b/>
          <w:bCs/>
          <w:sz w:val="38"/>
          <w:rtl/>
        </w:rPr>
        <w:t>אז תמניא כו'.</w:t>
      </w:r>
      <w:r>
        <w:rPr>
          <w:rFonts w:ascii="Arial"/>
          <w:sz w:val="38"/>
          <w:rtl/>
        </w:rPr>
        <w:t xml:space="preserve"> שתפלתו בדחילו ורחימו - שהן או"א:</w:t>
      </w:r>
    </w:p>
  </w:footnote>
  <w:footnote w:id="2030">
    <w:p w:rsidR="00A13282" w:rsidRDefault="00A13282">
      <w:pPr>
        <w:pStyle w:val="a5"/>
        <w:rPr>
          <w:rtl/>
        </w:rPr>
      </w:pPr>
      <w:r>
        <w:rPr>
          <w:rStyle w:val="a7"/>
          <w:rtl/>
        </w:rPr>
        <w:footnoteRef/>
      </w:r>
      <w:r>
        <w:rPr>
          <w:rtl/>
        </w:rPr>
        <w:t xml:space="preserve"> </w:t>
      </w:r>
      <w:r>
        <w:rPr>
          <w:rFonts w:ascii="Arial"/>
          <w:b/>
          <w:bCs/>
          <w:sz w:val="38"/>
          <w:rtl/>
        </w:rPr>
        <w:t>ובית דינו.</w:t>
      </w:r>
      <w:r>
        <w:rPr>
          <w:rFonts w:ascii="Arial"/>
          <w:sz w:val="38"/>
          <w:rtl/>
        </w:rPr>
        <w:t xml:space="preserve"> מלכות:</w:t>
      </w:r>
    </w:p>
  </w:footnote>
  <w:footnote w:id="2031">
    <w:p w:rsidR="00A13282" w:rsidRDefault="00A13282">
      <w:pPr>
        <w:pStyle w:val="a5"/>
        <w:rPr>
          <w:rtl/>
        </w:rPr>
      </w:pPr>
      <w:r>
        <w:rPr>
          <w:rStyle w:val="a7"/>
          <w:rtl/>
        </w:rPr>
        <w:footnoteRef/>
      </w:r>
      <w:r>
        <w:rPr>
          <w:rtl/>
        </w:rPr>
        <w:t xml:space="preserve"> </w:t>
      </w:r>
      <w:r>
        <w:rPr>
          <w:rFonts w:ascii="Arial"/>
          <w:b/>
          <w:bCs/>
          <w:sz w:val="38"/>
          <w:rtl/>
        </w:rPr>
        <w:t>אתוון דחשמ"ל דאינון כו'.</w:t>
      </w:r>
      <w:r>
        <w:rPr>
          <w:rFonts w:ascii="Arial"/>
          <w:sz w:val="38"/>
          <w:rtl/>
        </w:rPr>
        <w:t xml:space="preserve"> דתפלה מיושב - בהיכלות, ששם השכינה, ומעומד - במלכא:</w:t>
      </w:r>
    </w:p>
  </w:footnote>
  <w:footnote w:id="2032">
    <w:p w:rsidR="00A13282" w:rsidRDefault="00A13282">
      <w:pPr>
        <w:pStyle w:val="a5"/>
        <w:rPr>
          <w:rtl/>
        </w:rPr>
      </w:pPr>
      <w:r>
        <w:rPr>
          <w:rStyle w:val="a7"/>
          <w:rtl/>
        </w:rPr>
        <w:footnoteRef/>
      </w:r>
      <w:r>
        <w:rPr>
          <w:rtl/>
        </w:rPr>
        <w:t xml:space="preserve"> </w:t>
      </w:r>
      <w:r>
        <w:rPr>
          <w:rFonts w:ascii="Arial"/>
          <w:b/>
          <w:bCs/>
          <w:sz w:val="38"/>
          <w:rtl/>
        </w:rPr>
        <w:t>נביא או כו'.</w:t>
      </w:r>
      <w:r>
        <w:rPr>
          <w:rFonts w:ascii="Arial"/>
          <w:sz w:val="38"/>
          <w:rtl/>
        </w:rPr>
        <w:t xml:space="preserve"> כמו שאומר להלן הא קא אתיין מארי נביאייא כו', וכן אמר נביא (איכה ג כא) זאת אשיב אל לבי על כן אוחיל, וכן אמר לקמן וכד נביא וחוזה סליק כו':</w:t>
      </w:r>
    </w:p>
  </w:footnote>
  <w:footnote w:id="2033">
    <w:p w:rsidR="00A13282" w:rsidRDefault="00A13282">
      <w:pPr>
        <w:pStyle w:val="a5"/>
        <w:rPr>
          <w:rtl/>
        </w:rPr>
      </w:pPr>
      <w:r>
        <w:rPr>
          <w:rStyle w:val="a7"/>
          <w:rtl/>
        </w:rPr>
        <w:footnoteRef/>
      </w:r>
      <w:r>
        <w:rPr>
          <w:rtl/>
        </w:rPr>
        <w:t xml:space="preserve"> </w:t>
      </w:r>
      <w:r>
        <w:rPr>
          <w:rFonts w:ascii="Arial"/>
          <w:b/>
          <w:bCs/>
          <w:sz w:val="38"/>
          <w:rtl/>
        </w:rPr>
        <w:t>או חכם.</w:t>
      </w:r>
      <w:r>
        <w:rPr>
          <w:rFonts w:ascii="Arial"/>
          <w:sz w:val="38"/>
          <w:rtl/>
        </w:rPr>
        <w:t xml:space="preserve"> כמו שכתוב (ירמיהו ט כב) אל יתהלל חכם כו' כי אם בזאת:</w:t>
      </w:r>
    </w:p>
  </w:footnote>
  <w:footnote w:id="2034">
    <w:p w:rsidR="00A13282" w:rsidRDefault="00A13282">
      <w:pPr>
        <w:pStyle w:val="a5"/>
        <w:rPr>
          <w:rtl/>
        </w:rPr>
      </w:pPr>
      <w:r>
        <w:rPr>
          <w:rStyle w:val="a7"/>
          <w:rtl/>
        </w:rPr>
        <w:footnoteRef/>
      </w:r>
      <w:r>
        <w:rPr>
          <w:rtl/>
        </w:rPr>
        <w:t xml:space="preserve"> </w:t>
      </w:r>
      <w:r>
        <w:rPr>
          <w:rFonts w:ascii="Arial"/>
          <w:b/>
          <w:bCs/>
          <w:sz w:val="38"/>
          <w:rtl/>
        </w:rPr>
        <w:t>או צדיק.</w:t>
      </w:r>
      <w:r>
        <w:rPr>
          <w:rFonts w:ascii="Arial"/>
          <w:sz w:val="38"/>
          <w:rtl/>
        </w:rPr>
        <w:t xml:space="preserve"> כמו שכתוב (תהלים קיח כ) זה השער לה' צדיקים כו':</w:t>
      </w:r>
    </w:p>
  </w:footnote>
  <w:footnote w:id="2035">
    <w:p w:rsidR="00A13282" w:rsidRDefault="00A13282">
      <w:pPr>
        <w:pStyle w:val="a5"/>
        <w:rPr>
          <w:rtl/>
        </w:rPr>
      </w:pPr>
      <w:r>
        <w:rPr>
          <w:rStyle w:val="a7"/>
          <w:rtl/>
        </w:rPr>
        <w:footnoteRef/>
      </w:r>
      <w:r>
        <w:rPr>
          <w:rtl/>
        </w:rPr>
        <w:t xml:space="preserve"> </w:t>
      </w:r>
      <w:r>
        <w:rPr>
          <w:rFonts w:ascii="Arial"/>
          <w:b/>
          <w:bCs/>
          <w:sz w:val="38"/>
          <w:rtl/>
        </w:rPr>
        <w:t>או חסיד.</w:t>
      </w:r>
      <w:r>
        <w:rPr>
          <w:rFonts w:ascii="Arial"/>
          <w:sz w:val="38"/>
          <w:rtl/>
        </w:rPr>
        <w:t xml:space="preserve"> כמו שכתוב (תהלים לב ו) על זאת יתפלל כל חסיד כו' וזה שאמרו (ברכות ח ע"א) לעת מצוא זו אשה:</w:t>
      </w:r>
    </w:p>
  </w:footnote>
  <w:footnote w:id="2036">
    <w:p w:rsidR="00A13282" w:rsidRDefault="00A13282">
      <w:pPr>
        <w:pStyle w:val="a5"/>
        <w:rPr>
          <w:rtl/>
        </w:rPr>
      </w:pPr>
      <w:r>
        <w:rPr>
          <w:rStyle w:val="a7"/>
          <w:rtl/>
        </w:rPr>
        <w:footnoteRef/>
      </w:r>
      <w:r>
        <w:rPr>
          <w:rtl/>
        </w:rPr>
        <w:t xml:space="preserve"> </w:t>
      </w:r>
      <w:r>
        <w:rPr>
          <w:rFonts w:ascii="Arial"/>
          <w:b/>
          <w:bCs/>
          <w:sz w:val="38"/>
          <w:rtl/>
        </w:rPr>
        <w:t>אם שכינה כו'.</w:t>
      </w:r>
      <w:r>
        <w:rPr>
          <w:rFonts w:ascii="Arial"/>
          <w:sz w:val="38"/>
          <w:rtl/>
        </w:rPr>
        <w:t xml:space="preserve"> הם ג' דרגין דחשיב למעלה: צדיקים ובינונים ורשעים:</w:t>
      </w:r>
    </w:p>
  </w:footnote>
  <w:footnote w:id="2037">
    <w:p w:rsidR="00A13282" w:rsidRDefault="00A13282">
      <w:pPr>
        <w:pStyle w:val="a5"/>
        <w:rPr>
          <w:rtl/>
        </w:rPr>
      </w:pPr>
      <w:r>
        <w:rPr>
          <w:rStyle w:val="a7"/>
          <w:rtl/>
        </w:rPr>
        <w:footnoteRef/>
      </w:r>
      <w:r>
        <w:rPr>
          <w:rtl/>
        </w:rPr>
        <w:t xml:space="preserve"> </w:t>
      </w:r>
      <w:r>
        <w:rPr>
          <w:rFonts w:ascii="Arial"/>
          <w:b/>
          <w:bCs/>
          <w:sz w:val="38"/>
          <w:rtl/>
        </w:rPr>
        <w:t>והכי כד ב"נ נחית כו'.</w:t>
      </w:r>
      <w:r>
        <w:rPr>
          <w:rFonts w:ascii="Arial"/>
          <w:sz w:val="38"/>
          <w:rtl/>
        </w:rPr>
        <w:t xml:space="preserve"> רבקה - התפלה, כמו שאמרו ברעיא מהימנא:</w:t>
      </w:r>
    </w:p>
  </w:footnote>
  <w:footnote w:id="2038">
    <w:p w:rsidR="00A13282" w:rsidRDefault="00A13282">
      <w:pPr>
        <w:pStyle w:val="a5"/>
        <w:rPr>
          <w:rtl/>
        </w:rPr>
      </w:pPr>
      <w:r>
        <w:rPr>
          <w:rStyle w:val="a7"/>
          <w:rtl/>
        </w:rPr>
        <w:footnoteRef/>
      </w:r>
      <w:r>
        <w:rPr>
          <w:rtl/>
        </w:rPr>
        <w:t xml:space="preserve"> </w:t>
      </w:r>
      <w:r>
        <w:rPr>
          <w:rFonts w:ascii="Arial"/>
          <w:b/>
          <w:bCs/>
          <w:sz w:val="38"/>
          <w:rtl/>
        </w:rPr>
        <w:t>לדרך פעמיו.</w:t>
      </w:r>
      <w:r>
        <w:rPr>
          <w:rFonts w:ascii="Arial"/>
          <w:sz w:val="38"/>
          <w:rtl/>
        </w:rPr>
        <w:t xml:space="preserve"> פעמים - הן הרגלין, כמו שמפרש והולך:</w:t>
      </w:r>
    </w:p>
  </w:footnote>
  <w:footnote w:id="2039">
    <w:p w:rsidR="00A13282" w:rsidRDefault="00A13282">
      <w:pPr>
        <w:pStyle w:val="a5"/>
        <w:rPr>
          <w:rtl/>
        </w:rPr>
      </w:pPr>
      <w:r>
        <w:rPr>
          <w:rStyle w:val="a7"/>
          <w:rtl/>
        </w:rPr>
        <w:footnoteRef/>
      </w:r>
      <w:r>
        <w:rPr>
          <w:rtl/>
        </w:rPr>
        <w:t xml:space="preserve"> </w:t>
      </w:r>
      <w:r>
        <w:rPr>
          <w:rFonts w:ascii="Arial"/>
          <w:b/>
          <w:bCs/>
          <w:sz w:val="38"/>
          <w:rtl/>
        </w:rPr>
        <w:t>אינון רגלין.</w:t>
      </w:r>
      <w:r>
        <w:rPr>
          <w:rFonts w:ascii="Arial"/>
          <w:sz w:val="38"/>
          <w:rtl/>
        </w:rPr>
        <w:t xml:space="preserve"> שלה:</w:t>
      </w:r>
    </w:p>
  </w:footnote>
  <w:footnote w:id="2040">
    <w:p w:rsidR="00A13282" w:rsidRDefault="00A13282">
      <w:pPr>
        <w:pStyle w:val="a5"/>
        <w:rPr>
          <w:rtl/>
        </w:rPr>
      </w:pPr>
      <w:r>
        <w:rPr>
          <w:rStyle w:val="a7"/>
          <w:rtl/>
        </w:rPr>
        <w:footnoteRef/>
      </w:r>
      <w:r>
        <w:rPr>
          <w:rtl/>
        </w:rPr>
        <w:t xml:space="preserve"> </w:t>
      </w:r>
      <w:r>
        <w:rPr>
          <w:rFonts w:ascii="Arial"/>
          <w:b/>
          <w:bCs/>
          <w:sz w:val="38"/>
          <w:rtl/>
        </w:rPr>
        <w:t>פעמיך.</w:t>
      </w:r>
      <w:r>
        <w:rPr>
          <w:rFonts w:ascii="Arial"/>
          <w:sz w:val="38"/>
          <w:rtl/>
        </w:rPr>
        <w:t xml:space="preserve"> ישראל:</w:t>
      </w:r>
    </w:p>
  </w:footnote>
  <w:footnote w:id="2041">
    <w:p w:rsidR="00A13282" w:rsidRDefault="00A13282">
      <w:pPr>
        <w:pStyle w:val="a5"/>
        <w:rPr>
          <w:rtl/>
        </w:rPr>
      </w:pPr>
      <w:r>
        <w:rPr>
          <w:rStyle w:val="a7"/>
          <w:rtl/>
        </w:rPr>
        <w:footnoteRef/>
      </w:r>
      <w:r>
        <w:rPr>
          <w:rtl/>
        </w:rPr>
        <w:t xml:space="preserve"> </w:t>
      </w:r>
      <w:r>
        <w:rPr>
          <w:rFonts w:ascii="Arial"/>
          <w:b/>
          <w:bCs/>
          <w:sz w:val="38"/>
          <w:rtl/>
        </w:rPr>
        <w:t>רגליו.</w:t>
      </w:r>
      <w:r>
        <w:rPr>
          <w:rFonts w:ascii="Arial"/>
          <w:sz w:val="38"/>
          <w:rtl/>
        </w:rPr>
        <w:t xml:space="preserve"> ישראל:</w:t>
      </w:r>
    </w:p>
  </w:footnote>
  <w:footnote w:id="2042">
    <w:p w:rsidR="00A13282" w:rsidRDefault="00A13282">
      <w:pPr>
        <w:pStyle w:val="a5"/>
        <w:rPr>
          <w:rtl/>
        </w:rPr>
      </w:pPr>
      <w:r>
        <w:rPr>
          <w:rStyle w:val="a7"/>
          <w:rtl/>
        </w:rPr>
        <w:footnoteRef/>
      </w:r>
      <w:r>
        <w:rPr>
          <w:rtl/>
        </w:rPr>
        <w:t xml:space="preserve"> </w:t>
      </w:r>
      <w:r>
        <w:rPr>
          <w:rFonts w:ascii="Arial"/>
          <w:b/>
          <w:bCs/>
          <w:sz w:val="38"/>
          <w:rtl/>
        </w:rPr>
        <w:t>בגינייהו עומד כו'.</w:t>
      </w:r>
      <w:r>
        <w:rPr>
          <w:rFonts w:ascii="Arial"/>
          <w:sz w:val="38"/>
          <w:rtl/>
        </w:rPr>
        <w:t xml:space="preserve"> רוצה לומר בשביל עמידה שלהן וזה שאומר בזמנא דאינון קיימין כו':</w:t>
      </w:r>
    </w:p>
  </w:footnote>
  <w:footnote w:id="2043">
    <w:p w:rsidR="00A13282" w:rsidRDefault="00A13282">
      <w:pPr>
        <w:pStyle w:val="a5"/>
        <w:rPr>
          <w:rtl/>
        </w:rPr>
      </w:pPr>
      <w:r>
        <w:rPr>
          <w:rStyle w:val="a7"/>
          <w:rtl/>
        </w:rPr>
        <w:footnoteRef/>
      </w:r>
      <w:r>
        <w:rPr>
          <w:rtl/>
        </w:rPr>
        <w:t xml:space="preserve"> </w:t>
      </w:r>
      <w:r>
        <w:rPr>
          <w:rFonts w:ascii="Arial"/>
          <w:b/>
          <w:bCs/>
          <w:sz w:val="38"/>
          <w:rtl/>
        </w:rPr>
        <w:t>ולי' אמרין כו'.</w:t>
      </w:r>
      <w:r>
        <w:rPr>
          <w:rFonts w:ascii="Arial"/>
          <w:sz w:val="38"/>
          <w:rtl/>
        </w:rPr>
        <w:t xml:space="preserve"> ישראל סבא:</w:t>
      </w:r>
    </w:p>
  </w:footnote>
  <w:footnote w:id="2044">
    <w:p w:rsidR="00A13282" w:rsidRDefault="00A13282">
      <w:pPr>
        <w:pStyle w:val="a5"/>
        <w:rPr>
          <w:rtl/>
        </w:rPr>
      </w:pPr>
      <w:r>
        <w:rPr>
          <w:rStyle w:val="a7"/>
          <w:rtl/>
        </w:rPr>
        <w:footnoteRef/>
      </w:r>
      <w:r>
        <w:rPr>
          <w:rtl/>
        </w:rPr>
        <w:t xml:space="preserve"> </w:t>
      </w:r>
      <w:r>
        <w:rPr>
          <w:rFonts w:ascii="Arial"/>
          <w:b/>
          <w:bCs/>
          <w:sz w:val="38"/>
          <w:rtl/>
        </w:rPr>
        <w:t>בגין דיומין כו'.</w:t>
      </w:r>
      <w:r>
        <w:rPr>
          <w:rFonts w:ascii="Arial"/>
          <w:sz w:val="38"/>
          <w:rtl/>
        </w:rPr>
        <w:t xml:space="preserve"> רוצה לומר לכך דווקא בשבת ויום טוב:</w:t>
      </w:r>
    </w:p>
  </w:footnote>
  <w:footnote w:id="2045">
    <w:p w:rsidR="00A13282" w:rsidRDefault="00A13282">
      <w:pPr>
        <w:pStyle w:val="a5"/>
        <w:rPr>
          <w:rtl/>
        </w:rPr>
      </w:pPr>
      <w:r>
        <w:rPr>
          <w:rStyle w:val="a7"/>
          <w:rtl/>
        </w:rPr>
        <w:footnoteRef/>
      </w:r>
      <w:r>
        <w:rPr>
          <w:rtl/>
        </w:rPr>
        <w:t xml:space="preserve"> </w:t>
      </w:r>
      <w:r>
        <w:rPr>
          <w:rFonts w:ascii="Arial"/>
          <w:b/>
          <w:bCs/>
          <w:sz w:val="38"/>
          <w:rtl/>
        </w:rPr>
        <w:t>הפונה קדים.</w:t>
      </w:r>
      <w:r>
        <w:rPr>
          <w:rFonts w:ascii="Arial"/>
          <w:sz w:val="38"/>
          <w:rtl/>
        </w:rPr>
        <w:t xml:space="preserve"> לת"ת - שהוא מזרח:</w:t>
      </w:r>
    </w:p>
  </w:footnote>
  <w:footnote w:id="2046">
    <w:p w:rsidR="00A13282" w:rsidRDefault="00A13282">
      <w:pPr>
        <w:pStyle w:val="a5"/>
        <w:rPr>
          <w:rtl/>
        </w:rPr>
      </w:pPr>
      <w:r>
        <w:rPr>
          <w:rStyle w:val="a7"/>
          <w:rtl/>
        </w:rPr>
        <w:footnoteRef/>
      </w:r>
      <w:r>
        <w:rPr>
          <w:rtl/>
        </w:rPr>
        <w:t xml:space="preserve"> </w:t>
      </w:r>
      <w:r>
        <w:rPr>
          <w:rFonts w:ascii="Arial"/>
          <w:b/>
          <w:bCs/>
          <w:sz w:val="38"/>
          <w:rtl/>
        </w:rPr>
        <w:t>בגין דמטטרון כו'.</w:t>
      </w:r>
      <w:r>
        <w:rPr>
          <w:rFonts w:ascii="Arial"/>
          <w:sz w:val="38"/>
          <w:rtl/>
        </w:rPr>
        <w:t xml:space="preserve"> שהוא ו"ק דחול - בשית אתוון דיליה, והוא עבד, לכן הם ימי המעשה, ובחול אומרין בו שמע ישראל - ישראל זוטא, שעל ידו מתייחדין זו"נ בחול, כנ"ל בהקדמה:</w:t>
      </w:r>
    </w:p>
  </w:footnote>
  <w:footnote w:id="2047">
    <w:p w:rsidR="00A13282" w:rsidRDefault="00A13282">
      <w:pPr>
        <w:pStyle w:val="a5"/>
        <w:rPr>
          <w:rtl/>
        </w:rPr>
      </w:pPr>
      <w:r>
        <w:rPr>
          <w:rStyle w:val="a7"/>
          <w:rtl/>
        </w:rPr>
        <w:footnoteRef/>
      </w:r>
      <w:r>
        <w:rPr>
          <w:rtl/>
        </w:rPr>
        <w:t xml:space="preserve"> </w:t>
      </w:r>
      <w:r>
        <w:rPr>
          <w:rFonts w:ascii="Arial"/>
          <w:b/>
          <w:bCs/>
          <w:sz w:val="38"/>
          <w:rtl/>
        </w:rPr>
        <w:t>במתנת חלקו.</w:t>
      </w:r>
      <w:r>
        <w:rPr>
          <w:rFonts w:ascii="Arial"/>
          <w:sz w:val="38"/>
          <w:rtl/>
        </w:rPr>
        <w:t xml:space="preserve"> שזכה לבינה, ושם השמחה, יין המשמח:</w:t>
      </w:r>
    </w:p>
  </w:footnote>
  <w:footnote w:id="2048">
    <w:p w:rsidR="00A13282" w:rsidRDefault="00A13282">
      <w:pPr>
        <w:pStyle w:val="a5"/>
        <w:rPr>
          <w:rtl/>
        </w:rPr>
      </w:pPr>
      <w:r>
        <w:rPr>
          <w:rStyle w:val="a7"/>
          <w:rtl/>
        </w:rPr>
        <w:footnoteRef/>
      </w:r>
      <w:r>
        <w:rPr>
          <w:rtl/>
        </w:rPr>
        <w:t xml:space="preserve"> </w:t>
      </w:r>
      <w:r>
        <w:rPr>
          <w:rFonts w:ascii="Arial"/>
          <w:b/>
          <w:bCs/>
          <w:sz w:val="38"/>
          <w:rtl/>
        </w:rPr>
        <w:t>כל חי.</w:t>
      </w:r>
      <w:r>
        <w:rPr>
          <w:rFonts w:ascii="Arial"/>
          <w:sz w:val="38"/>
          <w:rtl/>
        </w:rPr>
        <w:t xml:space="preserve"> שהיא חיים, וממנה נשמה דפרח לכל חי - ליסוד:</w:t>
      </w:r>
    </w:p>
  </w:footnote>
  <w:footnote w:id="2049">
    <w:p w:rsidR="00A13282" w:rsidRDefault="00A13282">
      <w:pPr>
        <w:pStyle w:val="a5"/>
        <w:rPr>
          <w:rtl/>
        </w:rPr>
      </w:pPr>
      <w:r>
        <w:rPr>
          <w:rStyle w:val="a7"/>
          <w:rtl/>
        </w:rPr>
        <w:footnoteRef/>
      </w:r>
      <w:r>
        <w:rPr>
          <w:rtl/>
        </w:rPr>
        <w:t xml:space="preserve"> </w:t>
      </w:r>
      <w:r>
        <w:rPr>
          <w:rFonts w:ascii="Arial"/>
          <w:b/>
          <w:bCs/>
          <w:sz w:val="38"/>
          <w:rtl/>
        </w:rPr>
        <w:t>דיש כ"ב.</w:t>
      </w:r>
      <w:r>
        <w:rPr>
          <w:rFonts w:ascii="Arial"/>
          <w:sz w:val="38"/>
          <w:rtl/>
        </w:rPr>
        <w:t xml:space="preserve"> אותיות וישכב:</w:t>
      </w:r>
    </w:p>
  </w:footnote>
  <w:footnote w:id="2050">
    <w:p w:rsidR="00A13282" w:rsidRDefault="00A13282">
      <w:pPr>
        <w:pStyle w:val="a5"/>
        <w:rPr>
          <w:rtl/>
        </w:rPr>
      </w:pPr>
      <w:r>
        <w:rPr>
          <w:rStyle w:val="a7"/>
          <w:rtl/>
        </w:rPr>
        <w:footnoteRef/>
      </w:r>
      <w:r>
        <w:rPr>
          <w:rtl/>
        </w:rPr>
        <w:t xml:space="preserve"> </w:t>
      </w:r>
      <w:r>
        <w:rPr>
          <w:rFonts w:ascii="Arial"/>
          <w:b/>
          <w:bCs/>
          <w:sz w:val="38"/>
          <w:rtl/>
        </w:rPr>
        <w:t>דאורייתא.</w:t>
      </w:r>
      <w:r>
        <w:rPr>
          <w:rFonts w:ascii="Arial"/>
          <w:sz w:val="38"/>
          <w:rtl/>
        </w:rPr>
        <w:t xml:space="preserve"> שהיא ימא דאורייתא:</w:t>
      </w:r>
    </w:p>
  </w:footnote>
  <w:footnote w:id="2051">
    <w:p w:rsidR="00A13282" w:rsidRDefault="00A13282">
      <w:pPr>
        <w:pStyle w:val="a5"/>
        <w:rPr>
          <w:rtl/>
        </w:rPr>
      </w:pPr>
      <w:r>
        <w:rPr>
          <w:rStyle w:val="a7"/>
          <w:rtl/>
        </w:rPr>
        <w:footnoteRef/>
      </w:r>
      <w:r>
        <w:rPr>
          <w:rtl/>
        </w:rPr>
        <w:t xml:space="preserve"> </w:t>
      </w:r>
      <w:r>
        <w:rPr>
          <w:rFonts w:ascii="Arial"/>
          <w:b/>
          <w:bCs/>
          <w:sz w:val="38"/>
          <w:rtl/>
        </w:rPr>
        <w:t>ואינון נשמה כו'.</w:t>
      </w:r>
      <w:r>
        <w:rPr>
          <w:rFonts w:ascii="Arial"/>
          <w:sz w:val="38"/>
          <w:rtl/>
        </w:rPr>
        <w:t xml:space="preserve"> שהן שלש שבתות דשריין בשבת, כמו שאמרו ברעיא מהימנא פרשה יתרו, והן שלש סעודות גם כן:</w:t>
      </w:r>
    </w:p>
  </w:footnote>
  <w:footnote w:id="2052">
    <w:p w:rsidR="00A13282" w:rsidRDefault="00A13282">
      <w:pPr>
        <w:pStyle w:val="a5"/>
        <w:rPr>
          <w:rtl/>
        </w:rPr>
      </w:pPr>
      <w:r>
        <w:rPr>
          <w:rStyle w:val="a7"/>
          <w:rtl/>
        </w:rPr>
        <w:footnoteRef/>
      </w:r>
      <w:r>
        <w:rPr>
          <w:rtl/>
        </w:rPr>
        <w:t xml:space="preserve"> </w:t>
      </w:r>
      <w:r>
        <w:rPr>
          <w:rFonts w:ascii="Arial"/>
          <w:b/>
          <w:bCs/>
          <w:sz w:val="38"/>
          <w:rtl/>
        </w:rPr>
        <w:t>ברית מילה כו'.</w:t>
      </w:r>
      <w:r>
        <w:rPr>
          <w:rFonts w:ascii="Arial"/>
          <w:sz w:val="38"/>
          <w:rtl/>
        </w:rPr>
        <w:t xml:space="preserve"> מי יעלה כו' - הוי"ה, כמו שאומר להלן תיקון כ"ב, וצבאות - נו"ה:</w:t>
      </w:r>
    </w:p>
  </w:footnote>
  <w:footnote w:id="2053">
    <w:p w:rsidR="00A13282" w:rsidRDefault="00A13282">
      <w:pPr>
        <w:pStyle w:val="a5"/>
        <w:rPr>
          <w:rtl/>
        </w:rPr>
      </w:pPr>
      <w:r>
        <w:rPr>
          <w:rStyle w:val="a7"/>
          <w:rtl/>
        </w:rPr>
        <w:footnoteRef/>
      </w:r>
      <w:r>
        <w:rPr>
          <w:rtl/>
        </w:rPr>
        <w:t xml:space="preserve"> </w:t>
      </w:r>
      <w:r>
        <w:rPr>
          <w:rFonts w:ascii="Arial"/>
          <w:b/>
          <w:bCs/>
          <w:sz w:val="38"/>
          <w:rtl/>
        </w:rPr>
        <w:t>כל הכורע כו'.</w:t>
      </w:r>
      <w:r>
        <w:rPr>
          <w:rFonts w:ascii="Arial"/>
          <w:sz w:val="38"/>
          <w:rtl/>
        </w:rPr>
        <w:t xml:space="preserve"> שהן לתתא:</w:t>
      </w:r>
    </w:p>
  </w:footnote>
  <w:footnote w:id="2054">
    <w:p w:rsidR="00A13282" w:rsidRDefault="00A13282">
      <w:pPr>
        <w:pStyle w:val="a5"/>
        <w:rPr>
          <w:rtl/>
        </w:rPr>
      </w:pPr>
      <w:r>
        <w:rPr>
          <w:rStyle w:val="a7"/>
          <w:rtl/>
        </w:rPr>
        <w:footnoteRef/>
      </w:r>
      <w:r>
        <w:rPr>
          <w:rtl/>
        </w:rPr>
        <w:t xml:space="preserve"> </w:t>
      </w:r>
      <w:r>
        <w:rPr>
          <w:rFonts w:ascii="Arial"/>
          <w:b/>
          <w:bCs/>
          <w:sz w:val="38"/>
          <w:rtl/>
        </w:rPr>
        <w:t>וכל הזוקף כו'.</w:t>
      </w:r>
      <w:r>
        <w:rPr>
          <w:rFonts w:ascii="Arial"/>
          <w:sz w:val="38"/>
          <w:rtl/>
        </w:rPr>
        <w:t xml:space="preserve"> שהן לעילא, וזה שאומר ובהון הוה כו'. רוצה לומר בהוי"ה אדנ"י. והיא משבחת כו'. רוצה לומר בהוי"ה אקי"ק, והענין כי הוי"ה אקי"ק - שרשם בחו"ב, והוי"ה אדנ"י - שרשם בנו"ה, כי איהו בנצח ואיהי בהוד, וזה שאומר בפנים, תא חזי הוי"ה אדנ"י איהו קב"ה ושכינתיה בתרין שוקין כו':</w:t>
      </w:r>
    </w:p>
  </w:footnote>
  <w:footnote w:id="2055">
    <w:p w:rsidR="00A13282" w:rsidRDefault="00A13282">
      <w:pPr>
        <w:pStyle w:val="a5"/>
        <w:rPr>
          <w:rtl/>
        </w:rPr>
      </w:pPr>
      <w:r>
        <w:rPr>
          <w:rStyle w:val="a7"/>
          <w:rtl/>
        </w:rPr>
        <w:footnoteRef/>
      </w:r>
      <w:r>
        <w:rPr>
          <w:rtl/>
        </w:rPr>
        <w:t xml:space="preserve"> </w:t>
      </w:r>
      <w:r>
        <w:rPr>
          <w:rFonts w:ascii="Arial"/>
          <w:b/>
          <w:bCs/>
          <w:sz w:val="38"/>
          <w:rtl/>
        </w:rPr>
        <w:t>ובג"ד גדול כו'.</w:t>
      </w:r>
      <w:r>
        <w:rPr>
          <w:rFonts w:ascii="Arial"/>
          <w:sz w:val="38"/>
          <w:rtl/>
        </w:rPr>
        <w:t xml:space="preserve"> שמתייחדים כאחד, מה שאין כן בברכה שאינן בשילוב, וכמו בענפין:</w:t>
      </w:r>
    </w:p>
  </w:footnote>
  <w:footnote w:id="2056">
    <w:p w:rsidR="00A13282" w:rsidRDefault="00A13282">
      <w:pPr>
        <w:pStyle w:val="a5"/>
        <w:rPr>
          <w:rtl/>
        </w:rPr>
      </w:pPr>
      <w:r>
        <w:rPr>
          <w:rStyle w:val="a7"/>
          <w:rtl/>
        </w:rPr>
        <w:footnoteRef/>
      </w:r>
      <w:r>
        <w:rPr>
          <w:rtl/>
        </w:rPr>
        <w:t xml:space="preserve"> </w:t>
      </w:r>
      <w:r>
        <w:rPr>
          <w:rFonts w:ascii="Arial"/>
          <w:b/>
          <w:bCs/>
          <w:sz w:val="38"/>
          <w:rtl/>
        </w:rPr>
        <w:t>וכן במלכות כו'.</w:t>
      </w:r>
      <w:r>
        <w:rPr>
          <w:rFonts w:ascii="Arial"/>
          <w:sz w:val="38"/>
          <w:rtl/>
        </w:rPr>
        <w:t xml:space="preserve"> ובה מתחברין כל הד' שמהן יחד, בשילוב, וזהו קרית ארבע כו', וכמו תפילין של יד דאינן רק בית אחד לבד:</w:t>
      </w:r>
    </w:p>
  </w:footnote>
  <w:footnote w:id="2057">
    <w:p w:rsidR="00A13282" w:rsidRDefault="00A13282">
      <w:pPr>
        <w:pStyle w:val="a5"/>
        <w:rPr>
          <w:rtl/>
        </w:rPr>
      </w:pPr>
      <w:r>
        <w:rPr>
          <w:rStyle w:val="a7"/>
          <w:rtl/>
        </w:rPr>
        <w:footnoteRef/>
      </w:r>
      <w:r>
        <w:rPr>
          <w:rtl/>
        </w:rPr>
        <w:t xml:space="preserve"> </w:t>
      </w:r>
      <w:r>
        <w:rPr>
          <w:rFonts w:ascii="Arial"/>
          <w:b/>
          <w:bCs/>
          <w:sz w:val="38"/>
          <w:rtl/>
        </w:rPr>
        <w:t>בלכתם כו'.</w:t>
      </w:r>
      <w:r>
        <w:rPr>
          <w:rFonts w:ascii="Arial"/>
          <w:sz w:val="38"/>
          <w:rtl/>
        </w:rPr>
        <w:t xml:space="preserve"> בלכתם של החיות - שהן הנקודין, ילכו האופנים - שהן האותיות:</w:t>
      </w:r>
    </w:p>
  </w:footnote>
  <w:footnote w:id="2058">
    <w:p w:rsidR="00A13282" w:rsidRDefault="00A13282">
      <w:pPr>
        <w:pStyle w:val="a5"/>
        <w:rPr>
          <w:rtl/>
        </w:rPr>
      </w:pPr>
      <w:r>
        <w:rPr>
          <w:rStyle w:val="a7"/>
          <w:rtl/>
        </w:rPr>
        <w:footnoteRef/>
      </w:r>
      <w:r>
        <w:rPr>
          <w:rtl/>
        </w:rPr>
        <w:t xml:space="preserve"> </w:t>
      </w:r>
      <w:r>
        <w:rPr>
          <w:rFonts w:ascii="Arial"/>
          <w:b/>
          <w:bCs/>
          <w:sz w:val="38"/>
          <w:rtl/>
        </w:rPr>
        <w:t>ארבע קדושות.</w:t>
      </w:r>
      <w:r>
        <w:rPr>
          <w:rFonts w:ascii="Arial"/>
          <w:sz w:val="38"/>
          <w:rtl/>
        </w:rPr>
        <w:t xml:space="preserve"> בשחרית ומנחה ושל יוצר וסדר קדושה:</w:t>
      </w:r>
    </w:p>
  </w:footnote>
  <w:footnote w:id="2059">
    <w:p w:rsidR="00A13282" w:rsidRDefault="00A13282">
      <w:pPr>
        <w:pStyle w:val="a5"/>
        <w:rPr>
          <w:rtl/>
        </w:rPr>
      </w:pPr>
      <w:r>
        <w:rPr>
          <w:rStyle w:val="a7"/>
          <w:rtl/>
        </w:rPr>
        <w:footnoteRef/>
      </w:r>
      <w:r>
        <w:rPr>
          <w:rtl/>
        </w:rPr>
        <w:t xml:space="preserve"> </w:t>
      </w:r>
      <w:r>
        <w:rPr>
          <w:rFonts w:ascii="Arial"/>
          <w:b/>
          <w:bCs/>
          <w:sz w:val="38"/>
          <w:rtl/>
        </w:rPr>
        <w:t>עד חצי המלכות באמצעין.</w:t>
      </w:r>
      <w:r>
        <w:rPr>
          <w:rFonts w:ascii="Arial"/>
          <w:sz w:val="38"/>
          <w:rtl/>
        </w:rPr>
        <w:t xml:space="preserve"> שהן י"ב ברכאן - חצי צירופי אדנ"י. אבל כל הגהה זו שכתובה למטה אינו שייך לכאן ולא גרסינן לה כאן:</w:t>
      </w:r>
    </w:p>
  </w:footnote>
  <w:footnote w:id="2060">
    <w:p w:rsidR="00A13282" w:rsidRDefault="00A13282">
      <w:pPr>
        <w:pStyle w:val="a5"/>
        <w:rPr>
          <w:rtl/>
        </w:rPr>
      </w:pPr>
      <w:r>
        <w:rPr>
          <w:rStyle w:val="a7"/>
          <w:rtl/>
        </w:rPr>
        <w:footnoteRef/>
      </w:r>
      <w:r>
        <w:rPr>
          <w:rtl/>
        </w:rPr>
        <w:t xml:space="preserve"> </w:t>
      </w:r>
      <w:r>
        <w:rPr>
          <w:rFonts w:ascii="Arial"/>
          <w:b/>
          <w:bCs/>
          <w:sz w:val="38"/>
          <w:rtl/>
        </w:rPr>
        <w:t>וקמת עלייהו.</w:t>
      </w:r>
      <w:r>
        <w:rPr>
          <w:rFonts w:ascii="Arial"/>
          <w:sz w:val="38"/>
          <w:rtl/>
        </w:rPr>
        <w:t xml:space="preserve"> רוצה לומר, על ידם:</w:t>
      </w:r>
    </w:p>
  </w:footnote>
  <w:footnote w:id="2061">
    <w:p w:rsidR="00A13282" w:rsidRDefault="00A13282">
      <w:pPr>
        <w:pStyle w:val="a5"/>
        <w:rPr>
          <w:rtl/>
        </w:rPr>
      </w:pPr>
      <w:r>
        <w:rPr>
          <w:rStyle w:val="a7"/>
          <w:rtl/>
        </w:rPr>
        <w:footnoteRef/>
      </w:r>
      <w:r>
        <w:rPr>
          <w:rtl/>
        </w:rPr>
        <w:t xml:space="preserve"> </w:t>
      </w:r>
      <w:r>
        <w:rPr>
          <w:rFonts w:ascii="Arial"/>
          <w:b/>
          <w:bCs/>
          <w:sz w:val="38"/>
          <w:rtl/>
        </w:rPr>
        <w:t>דבהון אדנ"י כו'.</w:t>
      </w:r>
      <w:r>
        <w:rPr>
          <w:rFonts w:ascii="Arial"/>
          <w:sz w:val="38"/>
          <w:rtl/>
        </w:rPr>
        <w:t xml:space="preserve"> ראשי תיבות שס"ה, שהן באדני מסטרא דאמא עילאה, וזה שאומר. ביום הכפורים. שהיא אמא, ורוצה לומר, שאומרים אותו ביום הכפורים - בתשובה שהיא אמא, ואומרים סלחה - על לא תעשה, שהן שם, וזה שאומר. וכד לא כו':</w:t>
      </w:r>
    </w:p>
  </w:footnote>
  <w:footnote w:id="2062">
    <w:p w:rsidR="00A13282" w:rsidRDefault="00A13282">
      <w:pPr>
        <w:pStyle w:val="a5"/>
        <w:rPr>
          <w:rtl/>
        </w:rPr>
      </w:pPr>
      <w:r>
        <w:rPr>
          <w:rStyle w:val="a7"/>
          <w:rtl/>
        </w:rPr>
        <w:footnoteRef/>
      </w:r>
      <w:r>
        <w:rPr>
          <w:rtl/>
        </w:rPr>
        <w:t xml:space="preserve"> </w:t>
      </w:r>
      <w:r>
        <w:rPr>
          <w:rFonts w:ascii="Arial"/>
          <w:b/>
          <w:bCs/>
          <w:sz w:val="38"/>
          <w:rtl/>
        </w:rPr>
        <w:t>ותרין הויו"ת כו'.</w:t>
      </w:r>
      <w:r>
        <w:rPr>
          <w:rFonts w:ascii="Arial"/>
          <w:sz w:val="38"/>
          <w:rtl/>
        </w:rPr>
        <w:t xml:space="preserve"> רוצה לומר, שלא תקשה הא אמרינן דאבא יסד ברתא, וכאן אומרים שהיא בסטרא דאמא, לכן אמר ותרין כו', ובזה מתורץ כל הסתירות שהן בזוהר, דהכל לפי הצירוף, וכמה צירופין, כמו שאומר לעיל בהקדמה:</w:t>
      </w:r>
    </w:p>
  </w:footnote>
  <w:footnote w:id="2063">
    <w:p w:rsidR="00A13282" w:rsidRDefault="00A13282">
      <w:pPr>
        <w:pStyle w:val="a5"/>
        <w:rPr>
          <w:rtl/>
        </w:rPr>
      </w:pPr>
      <w:r>
        <w:rPr>
          <w:rStyle w:val="a7"/>
          <w:rtl/>
        </w:rPr>
        <w:footnoteRef/>
      </w:r>
      <w:r>
        <w:rPr>
          <w:rtl/>
        </w:rPr>
        <w:t xml:space="preserve"> </w:t>
      </w:r>
      <w:r>
        <w:rPr>
          <w:rFonts w:ascii="Arial"/>
          <w:b/>
          <w:bCs/>
          <w:sz w:val="38"/>
          <w:rtl/>
        </w:rPr>
        <w:t>ודא רזא כו'.</w:t>
      </w:r>
      <w:r>
        <w:rPr>
          <w:rFonts w:ascii="Arial"/>
          <w:sz w:val="38"/>
          <w:rtl/>
        </w:rPr>
        <w:t xml:space="preserve"> רוצה לומר, כשהן בצירוף הזה - צריך לקרב עולה ויורד:</w:t>
      </w:r>
    </w:p>
  </w:footnote>
  <w:footnote w:id="2064">
    <w:p w:rsidR="00A13282" w:rsidRDefault="00A13282">
      <w:pPr>
        <w:pStyle w:val="a5"/>
        <w:rPr>
          <w:rtl/>
        </w:rPr>
      </w:pPr>
      <w:r>
        <w:rPr>
          <w:rStyle w:val="a7"/>
          <w:rtl/>
        </w:rPr>
        <w:footnoteRef/>
      </w:r>
      <w:r>
        <w:rPr>
          <w:rtl/>
        </w:rPr>
        <w:t xml:space="preserve"> </w:t>
      </w:r>
      <w:r>
        <w:rPr>
          <w:rFonts w:ascii="Arial"/>
          <w:b/>
          <w:bCs/>
          <w:sz w:val="38"/>
          <w:rtl/>
        </w:rPr>
        <w:t>וידוע אותי.</w:t>
      </w:r>
      <w:r>
        <w:rPr>
          <w:rFonts w:ascii="Arial"/>
          <w:sz w:val="38"/>
          <w:rtl/>
        </w:rPr>
        <w:t xml:space="preserve"> לשון חיבור:</w:t>
      </w:r>
    </w:p>
  </w:footnote>
  <w:footnote w:id="2065">
    <w:p w:rsidR="00A13282" w:rsidRDefault="00A13282">
      <w:pPr>
        <w:pStyle w:val="a5"/>
        <w:rPr>
          <w:rtl/>
        </w:rPr>
      </w:pPr>
      <w:r>
        <w:rPr>
          <w:rStyle w:val="a7"/>
          <w:rtl/>
        </w:rPr>
        <w:footnoteRef/>
      </w:r>
      <w:r>
        <w:rPr>
          <w:rtl/>
        </w:rPr>
        <w:t xml:space="preserve"> </w:t>
      </w:r>
      <w:r>
        <w:rPr>
          <w:rFonts w:ascii="Arial"/>
          <w:b/>
          <w:bCs/>
          <w:sz w:val="38"/>
          <w:rtl/>
        </w:rPr>
        <w:t>וכד חזא בר נש כו'.</w:t>
      </w:r>
      <w:r>
        <w:rPr>
          <w:rFonts w:ascii="Arial"/>
          <w:sz w:val="38"/>
          <w:rtl/>
        </w:rPr>
        <w:t xml:space="preserve"> רוצה לומר, שלא תקשה, הא גם כן בהוי"ה כסדר יש לומר דה"א ראשונה היא ברתא עם אבא, וצריך לנחתא לה, ותירץ, דאין הכרח בזה עד שרואין ה' על ו' - שעל כרחך היא אמא, ועל כרחך ה' ראשונה - ברתא:</w:t>
      </w:r>
    </w:p>
  </w:footnote>
  <w:footnote w:id="2066">
    <w:p w:rsidR="00A13282" w:rsidRDefault="00A13282">
      <w:pPr>
        <w:pStyle w:val="a5"/>
        <w:rPr>
          <w:rtl/>
        </w:rPr>
      </w:pPr>
      <w:r>
        <w:rPr>
          <w:rStyle w:val="a7"/>
          <w:rtl/>
        </w:rPr>
        <w:footnoteRef/>
      </w:r>
      <w:r>
        <w:rPr>
          <w:rtl/>
        </w:rPr>
        <w:t xml:space="preserve"> </w:t>
      </w:r>
      <w:r>
        <w:rPr>
          <w:rFonts w:ascii="Arial"/>
          <w:b/>
          <w:bCs/>
          <w:sz w:val="38"/>
          <w:rtl/>
        </w:rPr>
        <w:t>יוק"ק כו'.</w:t>
      </w:r>
      <w:r>
        <w:rPr>
          <w:rFonts w:ascii="Arial"/>
          <w:sz w:val="38"/>
          <w:rtl/>
        </w:rPr>
        <w:t xml:space="preserve"> וזה שאומר לעיל רזא עלאה כו':</w:t>
      </w:r>
    </w:p>
  </w:footnote>
  <w:footnote w:id="2067">
    <w:p w:rsidR="00A13282" w:rsidRDefault="00A13282">
      <w:pPr>
        <w:pStyle w:val="a5"/>
        <w:rPr>
          <w:rtl/>
        </w:rPr>
      </w:pPr>
      <w:r>
        <w:rPr>
          <w:rStyle w:val="a7"/>
          <w:rtl/>
        </w:rPr>
        <w:footnoteRef/>
      </w:r>
      <w:r>
        <w:rPr>
          <w:rtl/>
        </w:rPr>
        <w:t xml:space="preserve"> </w:t>
      </w:r>
      <w:r>
        <w:rPr>
          <w:rFonts w:ascii="Arial"/>
          <w:b/>
          <w:bCs/>
          <w:sz w:val="38"/>
          <w:rtl/>
        </w:rPr>
        <w:t>איהי קמת עמהון כו'.</w:t>
      </w:r>
      <w:r>
        <w:rPr>
          <w:rFonts w:ascii="Arial"/>
          <w:sz w:val="38"/>
          <w:rtl/>
        </w:rPr>
        <w:t xml:space="preserve"> לאגנא עליהון:</w:t>
      </w:r>
    </w:p>
  </w:footnote>
  <w:footnote w:id="2068">
    <w:p w:rsidR="00A13282" w:rsidRDefault="00A13282">
      <w:pPr>
        <w:pStyle w:val="a5"/>
        <w:rPr>
          <w:rtl/>
        </w:rPr>
      </w:pPr>
      <w:r>
        <w:rPr>
          <w:rStyle w:val="a7"/>
          <w:rtl/>
        </w:rPr>
        <w:footnoteRef/>
      </w:r>
      <w:r>
        <w:rPr>
          <w:rtl/>
        </w:rPr>
        <w:t xml:space="preserve"> </w:t>
      </w:r>
      <w:r>
        <w:rPr>
          <w:rFonts w:ascii="Arial"/>
          <w:b/>
          <w:bCs/>
          <w:sz w:val="38"/>
          <w:rtl/>
        </w:rPr>
        <w:t>והקיצות למיחת בימא כו'.</w:t>
      </w:r>
      <w:r>
        <w:rPr>
          <w:rFonts w:ascii="Arial"/>
          <w:sz w:val="38"/>
          <w:rtl/>
        </w:rPr>
        <w:t xml:space="preserve"> דשם כתיב (יונה א ו) מה לך נרדם, (תהלים קז כג, כד) יורדי הים המה כו', (קידושין פב ע"א) הספנין רובן חסידים:</w:t>
      </w:r>
    </w:p>
  </w:footnote>
  <w:footnote w:id="2069">
    <w:p w:rsidR="00A13282" w:rsidRDefault="00A13282">
      <w:pPr>
        <w:pStyle w:val="a5"/>
        <w:rPr>
          <w:rtl/>
        </w:rPr>
      </w:pPr>
      <w:r>
        <w:rPr>
          <w:rStyle w:val="a7"/>
          <w:rtl/>
        </w:rPr>
        <w:footnoteRef/>
      </w:r>
      <w:r>
        <w:rPr>
          <w:rtl/>
        </w:rPr>
        <w:t xml:space="preserve"> </w:t>
      </w:r>
      <w:r>
        <w:rPr>
          <w:rFonts w:ascii="Arial"/>
          <w:b/>
          <w:bCs/>
          <w:sz w:val="38"/>
          <w:rtl/>
        </w:rPr>
        <w:t>הא אחרנין כו'.</w:t>
      </w:r>
      <w:r>
        <w:rPr>
          <w:rFonts w:ascii="Arial"/>
          <w:sz w:val="38"/>
          <w:rtl/>
        </w:rPr>
        <w:t xml:space="preserve"> שהראשונים - ברגלין דשכינה:</w:t>
      </w:r>
    </w:p>
  </w:footnote>
  <w:footnote w:id="2070">
    <w:p w:rsidR="00A13282" w:rsidRDefault="00A13282">
      <w:pPr>
        <w:pStyle w:val="a5"/>
        <w:rPr>
          <w:rtl/>
        </w:rPr>
      </w:pPr>
      <w:r>
        <w:rPr>
          <w:rStyle w:val="a7"/>
          <w:rtl/>
        </w:rPr>
        <w:footnoteRef/>
      </w:r>
      <w:r>
        <w:rPr>
          <w:rtl/>
        </w:rPr>
        <w:t xml:space="preserve"> </w:t>
      </w:r>
      <w:r>
        <w:rPr>
          <w:rFonts w:ascii="Arial"/>
          <w:b/>
          <w:bCs/>
          <w:sz w:val="38"/>
          <w:rtl/>
        </w:rPr>
        <w:t>אינון רגל ישרה.</w:t>
      </w:r>
      <w:r>
        <w:rPr>
          <w:rFonts w:ascii="Arial"/>
          <w:sz w:val="38"/>
          <w:rtl/>
        </w:rPr>
        <w:t xml:space="preserve"> שבכל צד שוה:</w:t>
      </w:r>
    </w:p>
  </w:footnote>
  <w:footnote w:id="2071">
    <w:p w:rsidR="00A13282" w:rsidRDefault="00A13282">
      <w:pPr>
        <w:pStyle w:val="a5"/>
        <w:rPr>
          <w:rtl/>
        </w:rPr>
      </w:pPr>
      <w:r>
        <w:rPr>
          <w:rStyle w:val="a7"/>
          <w:rtl/>
        </w:rPr>
        <w:footnoteRef/>
      </w:r>
      <w:r>
        <w:rPr>
          <w:rtl/>
        </w:rPr>
        <w:t xml:space="preserve"> </w:t>
      </w:r>
      <w:r>
        <w:rPr>
          <w:rFonts w:ascii="Arial"/>
          <w:b/>
          <w:bCs/>
          <w:sz w:val="38"/>
          <w:rtl/>
        </w:rPr>
        <w:t>סליק רוחיה.</w:t>
      </w:r>
      <w:r>
        <w:rPr>
          <w:rFonts w:ascii="Arial"/>
          <w:sz w:val="38"/>
          <w:rtl/>
        </w:rPr>
        <w:t xml:space="preserve"> דנקודין הן רוח, וזה שכתוב (יחזקאל א כ) כי רוח החיה כו' (שם) שמה הרוח כו':</w:t>
      </w:r>
    </w:p>
  </w:footnote>
  <w:footnote w:id="2072">
    <w:p w:rsidR="00A13282" w:rsidRDefault="00A13282">
      <w:pPr>
        <w:pStyle w:val="a5"/>
        <w:rPr>
          <w:rtl/>
        </w:rPr>
      </w:pPr>
      <w:r>
        <w:rPr>
          <w:rStyle w:val="a7"/>
          <w:rtl/>
        </w:rPr>
        <w:footnoteRef/>
      </w:r>
      <w:r>
        <w:rPr>
          <w:rtl/>
        </w:rPr>
        <w:t xml:space="preserve"> </w:t>
      </w:r>
      <w:r>
        <w:rPr>
          <w:rFonts w:ascii="Arial"/>
          <w:b/>
          <w:bCs/>
          <w:sz w:val="38"/>
          <w:rtl/>
        </w:rPr>
        <w:t>דאית רעש כו'.</w:t>
      </w:r>
      <w:r>
        <w:rPr>
          <w:rFonts w:ascii="Arial"/>
          <w:sz w:val="38"/>
          <w:rtl/>
        </w:rPr>
        <w:t xml:space="preserve"> רוצה לומר, לכן אמר גדול - גדול ה' כו':</w:t>
      </w:r>
    </w:p>
  </w:footnote>
  <w:footnote w:id="2073">
    <w:p w:rsidR="00A13282" w:rsidRDefault="00A13282">
      <w:pPr>
        <w:pStyle w:val="a5"/>
        <w:rPr>
          <w:rtl/>
        </w:rPr>
      </w:pPr>
      <w:r>
        <w:rPr>
          <w:rStyle w:val="a7"/>
          <w:rtl/>
        </w:rPr>
        <w:footnoteRef/>
      </w:r>
      <w:r>
        <w:rPr>
          <w:rtl/>
        </w:rPr>
        <w:t xml:space="preserve"> </w:t>
      </w:r>
      <w:r>
        <w:rPr>
          <w:rFonts w:ascii="Arial"/>
          <w:b/>
          <w:bCs/>
          <w:sz w:val="38"/>
          <w:rtl/>
        </w:rPr>
        <w:t>דוי.</w:t>
      </w:r>
      <w:r>
        <w:rPr>
          <w:rFonts w:ascii="Arial"/>
          <w:sz w:val="38"/>
          <w:rtl/>
        </w:rPr>
        <w:t xml:space="preserve"> שנתהפך יו"ד, שכינה כלילא מעשר כמו שמפרש והולך:</w:t>
      </w:r>
    </w:p>
  </w:footnote>
  <w:footnote w:id="2074">
    <w:p w:rsidR="00A13282" w:rsidRDefault="00A13282">
      <w:pPr>
        <w:pStyle w:val="a5"/>
        <w:rPr>
          <w:rtl/>
        </w:rPr>
      </w:pPr>
      <w:r>
        <w:rPr>
          <w:rStyle w:val="a7"/>
          <w:rtl/>
        </w:rPr>
        <w:footnoteRef/>
      </w:r>
      <w:r>
        <w:rPr>
          <w:rtl/>
        </w:rPr>
        <w:t xml:space="preserve"> </w:t>
      </w:r>
      <w:r>
        <w:rPr>
          <w:rFonts w:ascii="Arial"/>
          <w:b/>
          <w:bCs/>
          <w:sz w:val="38"/>
          <w:rtl/>
        </w:rPr>
        <w:t>סערה.</w:t>
      </w:r>
      <w:r>
        <w:rPr>
          <w:rFonts w:ascii="Arial"/>
          <w:sz w:val="38"/>
          <w:rtl/>
        </w:rPr>
        <w:t xml:space="preserve"> אותיות ערש - עשר, אלא בשמאל, לב כסיל בשמאל, דלכן נקרא סמאל, לשון שמאל - ובס':</w:t>
      </w:r>
    </w:p>
  </w:footnote>
  <w:footnote w:id="2075">
    <w:p w:rsidR="00A13282" w:rsidRDefault="00A13282">
      <w:pPr>
        <w:pStyle w:val="a5"/>
        <w:rPr>
          <w:rtl/>
        </w:rPr>
      </w:pPr>
      <w:r>
        <w:rPr>
          <w:rStyle w:val="a7"/>
          <w:rtl/>
        </w:rPr>
        <w:footnoteRef/>
      </w:r>
      <w:r>
        <w:rPr>
          <w:rtl/>
        </w:rPr>
        <w:t xml:space="preserve"> </w:t>
      </w:r>
      <w:r>
        <w:rPr>
          <w:rFonts w:ascii="Arial"/>
          <w:b/>
          <w:bCs/>
          <w:sz w:val="38"/>
          <w:rtl/>
        </w:rPr>
        <w:t>רגלין דמועדים.</w:t>
      </w:r>
      <w:r>
        <w:rPr>
          <w:rFonts w:ascii="Arial"/>
          <w:sz w:val="38"/>
          <w:rtl/>
        </w:rPr>
        <w:t xml:space="preserve"> לשון שלש רגלים:</w:t>
      </w:r>
    </w:p>
  </w:footnote>
  <w:footnote w:id="2076">
    <w:p w:rsidR="00A13282" w:rsidRDefault="00A13282">
      <w:pPr>
        <w:pStyle w:val="a5"/>
        <w:rPr>
          <w:rtl/>
        </w:rPr>
      </w:pPr>
      <w:r>
        <w:rPr>
          <w:rStyle w:val="a7"/>
          <w:rtl/>
        </w:rPr>
        <w:footnoteRef/>
      </w:r>
      <w:r>
        <w:rPr>
          <w:rtl/>
        </w:rPr>
        <w:t xml:space="preserve"> </w:t>
      </w:r>
      <w:r>
        <w:rPr>
          <w:rFonts w:ascii="Arial"/>
          <w:b/>
          <w:bCs/>
          <w:sz w:val="38"/>
          <w:rtl/>
        </w:rPr>
        <w:t>פעמיך.</w:t>
      </w:r>
      <w:r>
        <w:rPr>
          <w:rFonts w:ascii="Arial"/>
          <w:sz w:val="38"/>
          <w:rtl/>
        </w:rPr>
        <w:t xml:space="preserve"> כמו שמפרש והולך - שלש פעמים:</w:t>
      </w:r>
    </w:p>
  </w:footnote>
  <w:footnote w:id="2077">
    <w:p w:rsidR="00A13282" w:rsidRDefault="00A13282">
      <w:pPr>
        <w:pStyle w:val="a5"/>
        <w:rPr>
          <w:rtl/>
        </w:rPr>
      </w:pPr>
      <w:r>
        <w:rPr>
          <w:rStyle w:val="a7"/>
          <w:rtl/>
        </w:rPr>
        <w:footnoteRef/>
      </w:r>
      <w:r>
        <w:rPr>
          <w:rtl/>
        </w:rPr>
        <w:t xml:space="preserve"> </w:t>
      </w:r>
      <w:r>
        <w:rPr>
          <w:rFonts w:ascii="Arial"/>
          <w:b/>
          <w:bCs/>
          <w:sz w:val="38"/>
          <w:rtl/>
        </w:rPr>
        <w:t>נעילת פסח כו'.</w:t>
      </w:r>
      <w:r>
        <w:rPr>
          <w:rFonts w:ascii="Arial"/>
          <w:sz w:val="38"/>
          <w:rtl/>
        </w:rPr>
        <w:t xml:space="preserve"> שנועלין עצמן בעזרה, לשון עצרת:</w:t>
      </w:r>
    </w:p>
  </w:footnote>
  <w:footnote w:id="2078">
    <w:p w:rsidR="00A13282" w:rsidRDefault="00A13282">
      <w:pPr>
        <w:pStyle w:val="a5"/>
        <w:rPr>
          <w:rtl/>
        </w:rPr>
      </w:pPr>
      <w:r>
        <w:rPr>
          <w:rStyle w:val="a7"/>
          <w:rtl/>
        </w:rPr>
        <w:footnoteRef/>
      </w:r>
      <w:r>
        <w:rPr>
          <w:rtl/>
        </w:rPr>
        <w:t xml:space="preserve"> </w:t>
      </w:r>
      <w:r>
        <w:rPr>
          <w:rFonts w:ascii="Arial"/>
          <w:b/>
          <w:bCs/>
          <w:sz w:val="38"/>
          <w:rtl/>
        </w:rPr>
        <w:t>שוקיו עמודי כו'.</w:t>
      </w:r>
      <w:r>
        <w:rPr>
          <w:rFonts w:ascii="Arial"/>
          <w:sz w:val="38"/>
          <w:rtl/>
        </w:rPr>
        <w:t xml:space="preserve"> כמו שאומר לעיל בתחלת התיקון:</w:t>
      </w:r>
    </w:p>
  </w:footnote>
  <w:footnote w:id="2079">
    <w:p w:rsidR="00AF6C4B" w:rsidRDefault="00AF6C4B" w:rsidP="00AF6C4B">
      <w:pPr>
        <w:pStyle w:val="aff7"/>
        <w:jc w:val="both"/>
      </w:pPr>
      <w:r>
        <w:rPr>
          <w:rStyle w:val="a7"/>
        </w:rPr>
        <w:footnoteRef/>
      </w:r>
      <w:r>
        <w:rPr>
          <w:rtl/>
        </w:rPr>
        <w:t xml:space="preserve"> </w:t>
      </w:r>
      <w:r>
        <w:rPr>
          <w:rFonts w:hAnsi="Courier New" w:cs="Arial" w:hint="cs"/>
          <w:b/>
          <w:bCs/>
          <w:szCs w:val="24"/>
          <w:rtl/>
          <w:lang w:eastAsia="en-US"/>
        </w:rPr>
        <w:t>**</w:t>
      </w:r>
      <w:r w:rsidRPr="00AF6C4B">
        <w:rPr>
          <w:rFonts w:hAnsi="Courier New" w:cs="Arial"/>
          <w:b/>
          <w:bCs/>
          <w:szCs w:val="24"/>
          <w:rtl/>
          <w:lang w:eastAsia="en-US"/>
        </w:rPr>
        <w:t>ואיהו שית לקבל כו' וסליק כו'.</w:t>
      </w:r>
      <w:r>
        <w:rPr>
          <w:rFonts w:hAnsi="Courier New" w:cs="Arial"/>
          <w:szCs w:val="24"/>
          <w:rtl/>
          <w:lang w:eastAsia="en-US"/>
        </w:rPr>
        <w:t xml:space="preserve"> כמש"ל ק"ג ב'</w:t>
      </w:r>
      <w:r>
        <w:rPr>
          <w:rFonts w:hAnsi="Courier New" w:cs="Arial" w:hint="cs"/>
          <w:szCs w:val="24"/>
          <w:rtl/>
          <w:lang w:eastAsia="en-US"/>
        </w:rPr>
        <w:t>,</w:t>
      </w:r>
      <w:r>
        <w:rPr>
          <w:rFonts w:hAnsi="Courier New" w:cs="Arial"/>
          <w:szCs w:val="24"/>
          <w:rtl/>
          <w:lang w:eastAsia="en-US"/>
        </w:rPr>
        <w:t xml:space="preserve"> דבעד"א סליק לשיתין ובצדיק לשית ע"ש</w:t>
      </w:r>
      <w:r>
        <w:rPr>
          <w:rFonts w:hAnsi="Courier New" w:cs="Arial" w:hint="cs"/>
          <w:szCs w:val="24"/>
          <w:rtl/>
          <w:lang w:eastAsia="en-US"/>
        </w:rPr>
        <w:t>.</w:t>
      </w:r>
      <w:r>
        <w:rPr>
          <w:rFonts w:hAnsi="Courier New" w:cs="Arial"/>
          <w:szCs w:val="24"/>
          <w:rtl/>
          <w:lang w:eastAsia="en-US"/>
        </w:rPr>
        <w:t xml:space="preserve"> ואמר כגוונא דששים ושית כו' כמנין גלגל. והענין כמ"ש בפנים</w:t>
      </w:r>
      <w:r>
        <w:rPr>
          <w:rFonts w:hAnsi="Courier New" w:cs="Arial" w:hint="cs"/>
          <w:szCs w:val="24"/>
          <w:rtl/>
          <w:lang w:eastAsia="en-US"/>
        </w:rPr>
        <w:t>,</w:t>
      </w:r>
      <w:r>
        <w:rPr>
          <w:rFonts w:hAnsi="Courier New" w:cs="Arial"/>
          <w:szCs w:val="24"/>
          <w:rtl/>
          <w:lang w:eastAsia="en-US"/>
        </w:rPr>
        <w:t xml:space="preserve"> דבדכורא י"ב מזלות</w:t>
      </w:r>
      <w:r>
        <w:rPr>
          <w:rFonts w:hAnsi="Courier New" w:cs="Arial" w:hint="cs"/>
          <w:szCs w:val="24"/>
          <w:rtl/>
          <w:lang w:eastAsia="en-US"/>
        </w:rPr>
        <w:t>,</w:t>
      </w:r>
      <w:r>
        <w:rPr>
          <w:rFonts w:hAnsi="Courier New" w:cs="Arial"/>
          <w:szCs w:val="24"/>
          <w:rtl/>
          <w:lang w:eastAsia="en-US"/>
        </w:rPr>
        <w:t xml:space="preserve"> שית בדרגא דעד"א דכליל ו"ק</w:t>
      </w:r>
      <w:r>
        <w:rPr>
          <w:rFonts w:hAnsi="Courier New" w:cs="Arial" w:hint="cs"/>
          <w:szCs w:val="24"/>
          <w:rtl/>
          <w:lang w:eastAsia="en-US"/>
        </w:rPr>
        <w:t>,</w:t>
      </w:r>
      <w:r>
        <w:rPr>
          <w:rFonts w:hAnsi="Courier New" w:cs="Arial"/>
          <w:szCs w:val="24"/>
          <w:rtl/>
          <w:lang w:eastAsia="en-US"/>
        </w:rPr>
        <w:t xml:space="preserve"> ושית בצדיק ג"כ כליל ו"ק</w:t>
      </w:r>
      <w:r>
        <w:rPr>
          <w:rFonts w:hAnsi="Courier New" w:cs="Arial" w:hint="cs"/>
          <w:szCs w:val="24"/>
          <w:rtl/>
          <w:lang w:eastAsia="en-US"/>
        </w:rPr>
        <w:t>.</w:t>
      </w:r>
      <w:r>
        <w:rPr>
          <w:rFonts w:hAnsi="Courier New" w:cs="Arial"/>
          <w:szCs w:val="24"/>
          <w:rtl/>
          <w:lang w:eastAsia="en-US"/>
        </w:rPr>
        <w:t xml:space="preserve"> ובנוק' הן שבעה כפולות</w:t>
      </w:r>
      <w:r>
        <w:rPr>
          <w:rFonts w:hAnsi="Courier New" w:cs="Arial" w:hint="cs"/>
          <w:szCs w:val="24"/>
          <w:rtl/>
          <w:lang w:eastAsia="en-US"/>
        </w:rPr>
        <w:t>,</w:t>
      </w:r>
      <w:r>
        <w:rPr>
          <w:rFonts w:hAnsi="Courier New" w:cs="Arial"/>
          <w:szCs w:val="24"/>
          <w:rtl/>
          <w:lang w:eastAsia="en-US"/>
        </w:rPr>
        <w:t xml:space="preserve"> מעילא לתתא ומתתא לעילא</w:t>
      </w:r>
      <w:r>
        <w:rPr>
          <w:rFonts w:hAnsi="Courier New" w:cs="Arial" w:hint="cs"/>
          <w:szCs w:val="24"/>
          <w:rtl/>
          <w:lang w:eastAsia="en-US"/>
        </w:rPr>
        <w:t>.</w:t>
      </w:r>
      <w:r>
        <w:rPr>
          <w:rFonts w:hAnsi="Courier New" w:cs="Arial"/>
          <w:szCs w:val="24"/>
          <w:rtl/>
          <w:lang w:eastAsia="en-US"/>
        </w:rPr>
        <w:t xml:space="preserve"> דכל הספ</w:t>
      </w:r>
      <w:r>
        <w:rPr>
          <w:rFonts w:hAnsi="Courier New" w:cs="Arial" w:hint="cs"/>
          <w:szCs w:val="24"/>
          <w:rtl/>
          <w:lang w:eastAsia="en-US"/>
        </w:rPr>
        <w:t>י</w:t>
      </w:r>
      <w:r>
        <w:rPr>
          <w:rFonts w:hAnsi="Courier New" w:cs="Arial"/>
          <w:szCs w:val="24"/>
          <w:rtl/>
          <w:lang w:eastAsia="en-US"/>
        </w:rPr>
        <w:t>רות הן תחלה באור ישר ואח"כ באור חוזר להיפוך</w:t>
      </w:r>
      <w:r>
        <w:rPr>
          <w:rFonts w:hAnsi="Courier New" w:cs="Arial" w:hint="cs"/>
          <w:szCs w:val="24"/>
          <w:rtl/>
          <w:lang w:eastAsia="en-US"/>
        </w:rPr>
        <w:t>.</w:t>
      </w:r>
      <w:r>
        <w:rPr>
          <w:rFonts w:hAnsi="Courier New" w:cs="Arial"/>
          <w:szCs w:val="24"/>
          <w:rtl/>
          <w:lang w:eastAsia="en-US"/>
        </w:rPr>
        <w:t xml:space="preserve"> וכמ"ש בסוד ב' דלתין</w:t>
      </w:r>
      <w:r>
        <w:rPr>
          <w:rFonts w:hAnsi="Courier New" w:cs="Arial" w:hint="cs"/>
          <w:szCs w:val="24"/>
          <w:rtl/>
          <w:lang w:eastAsia="en-US"/>
        </w:rPr>
        <w:t>.</w:t>
      </w:r>
      <w:r>
        <w:rPr>
          <w:rFonts w:hAnsi="Courier New" w:cs="Arial"/>
          <w:szCs w:val="24"/>
          <w:rtl/>
          <w:lang w:eastAsia="en-US"/>
        </w:rPr>
        <w:t xml:space="preserve"> והוא ביסוד מסט' דחסד שהוא ו"ק</w:t>
      </w:r>
      <w:r>
        <w:rPr>
          <w:rFonts w:hAnsi="Courier New" w:cs="Arial" w:hint="cs"/>
          <w:szCs w:val="24"/>
          <w:rtl/>
          <w:lang w:eastAsia="en-US"/>
        </w:rPr>
        <w:t>,</w:t>
      </w:r>
      <w:r>
        <w:rPr>
          <w:rFonts w:hAnsi="Courier New" w:cs="Arial"/>
          <w:szCs w:val="24"/>
          <w:rtl/>
          <w:lang w:eastAsia="en-US"/>
        </w:rPr>
        <w:t xml:space="preserve"> ו' באור ישר ו' באור חוזר</w:t>
      </w:r>
      <w:r>
        <w:rPr>
          <w:rFonts w:hAnsi="Courier New" w:cs="Arial" w:hint="cs"/>
          <w:szCs w:val="24"/>
          <w:rtl/>
          <w:lang w:eastAsia="en-US"/>
        </w:rPr>
        <w:t>.</w:t>
      </w:r>
      <w:r>
        <w:rPr>
          <w:rFonts w:hAnsi="Courier New" w:cs="Arial"/>
          <w:szCs w:val="24"/>
          <w:rtl/>
          <w:lang w:eastAsia="en-US"/>
        </w:rPr>
        <w:t xml:space="preserve"> והן ב' ווין דוא"ו</w:t>
      </w:r>
      <w:r>
        <w:rPr>
          <w:rFonts w:hAnsi="Courier New" w:cs="Arial" w:hint="cs"/>
          <w:szCs w:val="24"/>
          <w:rtl/>
          <w:lang w:eastAsia="en-US"/>
        </w:rPr>
        <w:t>.</w:t>
      </w:r>
      <w:r>
        <w:rPr>
          <w:rFonts w:hAnsi="Courier New" w:cs="Arial"/>
          <w:szCs w:val="24"/>
          <w:rtl/>
          <w:lang w:eastAsia="en-US"/>
        </w:rPr>
        <w:t xml:space="preserve"> ובנוק' ז' וז'</w:t>
      </w:r>
      <w:r>
        <w:rPr>
          <w:rFonts w:hAnsi="Courier New" w:cs="Arial" w:hint="cs"/>
          <w:szCs w:val="24"/>
          <w:rtl/>
          <w:lang w:eastAsia="en-US"/>
        </w:rPr>
        <w:t>,</w:t>
      </w:r>
      <w:r>
        <w:rPr>
          <w:rFonts w:hAnsi="Courier New" w:cs="Arial"/>
          <w:szCs w:val="24"/>
          <w:rtl/>
          <w:lang w:eastAsia="en-US"/>
        </w:rPr>
        <w:t xml:space="preserve"> שהן שבעה ושבעה מוצקות וכמ"ש בפנים ובס"י בארוכה</w:t>
      </w:r>
      <w:r>
        <w:rPr>
          <w:rFonts w:hAnsi="Courier New" w:cs="Arial" w:hint="cs"/>
          <w:szCs w:val="24"/>
          <w:rtl/>
          <w:lang w:eastAsia="en-US"/>
        </w:rPr>
        <w:t>.</w:t>
      </w:r>
      <w:r>
        <w:rPr>
          <w:rFonts w:hAnsi="Courier New" w:cs="Arial"/>
          <w:szCs w:val="24"/>
          <w:rtl/>
          <w:lang w:eastAsia="en-US"/>
        </w:rPr>
        <w:t xml:space="preserve"> וז"ש אשתאר י"ד כו' שהוא בנוק'</w:t>
      </w:r>
      <w:r>
        <w:rPr>
          <w:rFonts w:hAnsi="Courier New" w:cs="Arial" w:hint="cs"/>
          <w:szCs w:val="24"/>
          <w:rtl/>
          <w:lang w:eastAsia="en-US"/>
        </w:rPr>
        <w:t>.</w:t>
      </w:r>
      <w:r>
        <w:rPr>
          <w:rFonts w:hAnsi="Courier New" w:cs="Arial"/>
          <w:szCs w:val="24"/>
          <w:rtl/>
          <w:lang w:eastAsia="en-US"/>
        </w:rPr>
        <w:t xml:space="preserve"> ונחלק גלגל לשנים</w:t>
      </w:r>
      <w:r>
        <w:rPr>
          <w:rFonts w:hAnsi="Courier New" w:cs="Arial" w:hint="cs"/>
          <w:szCs w:val="24"/>
          <w:rtl/>
          <w:lang w:eastAsia="en-US"/>
        </w:rPr>
        <w:t>,</w:t>
      </w:r>
      <w:r>
        <w:rPr>
          <w:rFonts w:hAnsi="Courier New" w:cs="Arial"/>
          <w:szCs w:val="24"/>
          <w:rtl/>
          <w:lang w:eastAsia="en-US"/>
        </w:rPr>
        <w:t xml:space="preserve"> שהו"ק ג' מסט' דימינא וג' מסט' דשמאלא</w:t>
      </w:r>
      <w:r>
        <w:rPr>
          <w:rFonts w:hAnsi="Courier New" w:cs="Arial" w:hint="cs"/>
          <w:szCs w:val="24"/>
          <w:rtl/>
          <w:lang w:eastAsia="en-US"/>
        </w:rPr>
        <w:t>.</w:t>
      </w:r>
      <w:r>
        <w:rPr>
          <w:rFonts w:hAnsi="Courier New" w:cs="Arial"/>
          <w:szCs w:val="24"/>
          <w:rtl/>
          <w:lang w:eastAsia="en-US"/>
        </w:rPr>
        <w:t xml:space="preserve"> וז"ס מ"ש בזכר וטמאה שבעת ימים</w:t>
      </w:r>
      <w:r>
        <w:rPr>
          <w:rFonts w:hAnsi="Courier New" w:cs="Arial" w:hint="cs"/>
          <w:szCs w:val="24"/>
          <w:rtl/>
          <w:lang w:eastAsia="en-US"/>
        </w:rPr>
        <w:t>,</w:t>
      </w:r>
      <w:r>
        <w:rPr>
          <w:rFonts w:hAnsi="Courier New" w:cs="Arial"/>
          <w:szCs w:val="24"/>
          <w:rtl/>
          <w:lang w:eastAsia="en-US"/>
        </w:rPr>
        <w:t xml:space="preserve"> שהן ז' דידה מסט' דימינא</w:t>
      </w:r>
      <w:r>
        <w:rPr>
          <w:rFonts w:hAnsi="Courier New" w:cs="Arial" w:hint="cs"/>
          <w:szCs w:val="24"/>
          <w:rtl/>
          <w:lang w:eastAsia="en-US"/>
        </w:rPr>
        <w:t>,</w:t>
      </w:r>
      <w:r>
        <w:rPr>
          <w:rFonts w:hAnsi="Courier New" w:cs="Arial"/>
          <w:szCs w:val="24"/>
          <w:rtl/>
          <w:lang w:eastAsia="en-US"/>
        </w:rPr>
        <w:t xml:space="preserve"> וביום השמיני ימול כו'</w:t>
      </w:r>
      <w:r>
        <w:rPr>
          <w:rFonts w:hAnsi="Courier New" w:cs="Arial" w:hint="cs"/>
          <w:szCs w:val="24"/>
          <w:rtl/>
          <w:lang w:eastAsia="en-US"/>
        </w:rPr>
        <w:t>,</w:t>
      </w:r>
      <w:r>
        <w:rPr>
          <w:rFonts w:hAnsi="Courier New" w:cs="Arial"/>
          <w:szCs w:val="24"/>
          <w:rtl/>
          <w:lang w:eastAsia="en-US"/>
        </w:rPr>
        <w:t xml:space="preserve"> שנכנס ליסוד</w:t>
      </w:r>
      <w:r>
        <w:rPr>
          <w:rFonts w:hAnsi="Courier New" w:cs="Arial" w:hint="cs"/>
          <w:szCs w:val="24"/>
          <w:rtl/>
          <w:lang w:eastAsia="en-US"/>
        </w:rPr>
        <w:t>,</w:t>
      </w:r>
      <w:r>
        <w:rPr>
          <w:rFonts w:hAnsi="Courier New" w:cs="Arial"/>
          <w:szCs w:val="24"/>
          <w:rtl/>
          <w:lang w:eastAsia="en-US"/>
        </w:rPr>
        <w:t xml:space="preserve"> ושלשים ושלשת ימים תשב ע"ד טהרה שהן ג"ל דימינא</w:t>
      </w:r>
      <w:r>
        <w:rPr>
          <w:rFonts w:hAnsi="Courier New" w:cs="Arial" w:hint="cs"/>
          <w:szCs w:val="24"/>
          <w:rtl/>
          <w:lang w:eastAsia="en-US"/>
        </w:rPr>
        <w:t>.</w:t>
      </w:r>
      <w:r>
        <w:rPr>
          <w:rFonts w:hAnsi="Courier New" w:cs="Arial"/>
          <w:szCs w:val="24"/>
          <w:rtl/>
          <w:lang w:eastAsia="en-US"/>
        </w:rPr>
        <w:t xml:space="preserve"> אבל בנקבה שהיא מסטרא דשמאלא</w:t>
      </w:r>
      <w:r>
        <w:rPr>
          <w:rFonts w:hAnsi="Courier New" w:cs="Arial" w:hint="cs"/>
          <w:szCs w:val="24"/>
          <w:rtl/>
          <w:lang w:eastAsia="en-US"/>
        </w:rPr>
        <w:t>,</w:t>
      </w:r>
      <w:r>
        <w:rPr>
          <w:rFonts w:hAnsi="Courier New" w:cs="Arial"/>
          <w:szCs w:val="24"/>
          <w:rtl/>
          <w:lang w:eastAsia="en-US"/>
        </w:rPr>
        <w:t xml:space="preserve"> ונוטלת שתיהן</w:t>
      </w:r>
      <w:r>
        <w:rPr>
          <w:rFonts w:hAnsi="Courier New" w:cs="Arial" w:hint="cs"/>
          <w:szCs w:val="24"/>
          <w:rtl/>
          <w:lang w:eastAsia="en-US"/>
        </w:rPr>
        <w:t>,</w:t>
      </w:r>
      <w:r>
        <w:rPr>
          <w:rFonts w:hAnsi="Courier New" w:cs="Arial"/>
          <w:szCs w:val="24"/>
          <w:rtl/>
          <w:lang w:eastAsia="en-US"/>
        </w:rPr>
        <w:t xml:space="preserve"> שלעולם שמאלא נט</w:t>
      </w:r>
      <w:r>
        <w:rPr>
          <w:rFonts w:hAnsi="Courier New" w:cs="Arial" w:hint="cs"/>
          <w:szCs w:val="24"/>
          <w:rtl/>
          <w:lang w:eastAsia="en-US"/>
        </w:rPr>
        <w:t>י</w:t>
      </w:r>
      <w:r>
        <w:rPr>
          <w:rFonts w:hAnsi="Courier New" w:cs="Arial"/>
          <w:szCs w:val="24"/>
          <w:rtl/>
          <w:lang w:eastAsia="en-US"/>
        </w:rPr>
        <w:t>ל ג"כ דימינא בסוד אלקים דנטיל אל דימינא</w:t>
      </w:r>
      <w:r>
        <w:rPr>
          <w:rFonts w:hAnsi="Courier New" w:cs="Arial" w:hint="cs"/>
          <w:szCs w:val="24"/>
          <w:rtl/>
          <w:lang w:eastAsia="en-US"/>
        </w:rPr>
        <w:t>,</w:t>
      </w:r>
      <w:r>
        <w:rPr>
          <w:rFonts w:hAnsi="Courier New" w:cs="Arial"/>
          <w:szCs w:val="24"/>
          <w:rtl/>
          <w:lang w:eastAsia="en-US"/>
        </w:rPr>
        <w:t xml:space="preserve"> ולכן היא כפולה בשניהן</w:t>
      </w:r>
      <w:r>
        <w:rPr>
          <w:rFonts w:hAnsi="Courier New" w:cs="Arial" w:hint="cs"/>
          <w:szCs w:val="24"/>
          <w:rtl/>
          <w:lang w:eastAsia="en-US"/>
        </w:rPr>
        <w:t>,</w:t>
      </w:r>
      <w:r>
        <w:rPr>
          <w:rFonts w:hAnsi="Courier New" w:cs="Arial"/>
          <w:szCs w:val="24"/>
          <w:rtl/>
          <w:lang w:eastAsia="en-US"/>
        </w:rPr>
        <w:t xml:space="preserve"> י"ד דנוקבא וס"ו דדכורא</w:t>
      </w:r>
      <w:r>
        <w:rPr>
          <w:rFonts w:hAnsi="Courier New" w:cs="Arial" w:hint="cs"/>
          <w:szCs w:val="24"/>
          <w:rtl/>
          <w:lang w:eastAsia="en-US"/>
        </w:rPr>
        <w:t>,</w:t>
      </w:r>
      <w:r>
        <w:rPr>
          <w:rFonts w:hAnsi="Courier New" w:cs="Arial"/>
          <w:szCs w:val="24"/>
          <w:rtl/>
          <w:lang w:eastAsia="en-US"/>
        </w:rPr>
        <w:t xml:space="preserve"> והוא מנין יסו"ד כולו</w:t>
      </w:r>
      <w:r>
        <w:rPr>
          <w:rFonts w:hAnsi="Courier New" w:cs="Arial" w:hint="cs"/>
          <w:szCs w:val="24"/>
          <w:rtl/>
          <w:lang w:eastAsia="en-US"/>
        </w:rPr>
        <w:t>.</w:t>
      </w:r>
      <w:r>
        <w:rPr>
          <w:rFonts w:hAnsi="Courier New" w:cs="Arial"/>
          <w:szCs w:val="24"/>
          <w:rtl/>
          <w:lang w:eastAsia="en-US"/>
        </w:rPr>
        <w:t xml:space="preserve"> וע"ל ק"כ א' מענין י"ד ומש"ש:</w:t>
      </w:r>
    </w:p>
  </w:footnote>
  <w:footnote w:id="2080">
    <w:p w:rsidR="00A13282" w:rsidRDefault="00A13282">
      <w:pPr>
        <w:pStyle w:val="a5"/>
        <w:rPr>
          <w:rtl/>
        </w:rPr>
      </w:pPr>
      <w:r>
        <w:rPr>
          <w:rStyle w:val="a7"/>
          <w:rtl/>
        </w:rPr>
        <w:footnoteRef/>
      </w:r>
      <w:r>
        <w:rPr>
          <w:rtl/>
        </w:rPr>
        <w:t xml:space="preserve"> </w:t>
      </w:r>
      <w:r>
        <w:rPr>
          <w:rFonts w:ascii="Arial"/>
          <w:b/>
          <w:bCs/>
          <w:sz w:val="38"/>
          <w:rtl/>
        </w:rPr>
        <w:t>איהי תמונת כל.</w:t>
      </w:r>
      <w:r>
        <w:rPr>
          <w:rFonts w:ascii="Arial"/>
          <w:sz w:val="38"/>
          <w:rtl/>
        </w:rPr>
        <w:t xml:space="preserve"> רוצה לומר, כל הספירות, ורוצה לומר לכן היא יד כותבת ויד חותמת כנ"ל, וזה שאומר ובג"ד כו':</w:t>
      </w:r>
    </w:p>
  </w:footnote>
  <w:footnote w:id="2081">
    <w:p w:rsidR="00A13282" w:rsidRDefault="00A13282">
      <w:pPr>
        <w:pStyle w:val="a5"/>
        <w:rPr>
          <w:rtl/>
        </w:rPr>
      </w:pPr>
      <w:r>
        <w:rPr>
          <w:rStyle w:val="a7"/>
          <w:rtl/>
        </w:rPr>
        <w:footnoteRef/>
      </w:r>
      <w:r>
        <w:rPr>
          <w:rtl/>
        </w:rPr>
        <w:t xml:space="preserve"> </w:t>
      </w:r>
      <w:r>
        <w:rPr>
          <w:rFonts w:ascii="Arial"/>
          <w:b/>
          <w:bCs/>
          <w:sz w:val="38"/>
          <w:rtl/>
        </w:rPr>
        <w:t>וזה לך האות.</w:t>
      </w:r>
      <w:r>
        <w:rPr>
          <w:rFonts w:ascii="Arial"/>
          <w:sz w:val="38"/>
          <w:rtl/>
        </w:rPr>
        <w:t xml:space="preserve"> וזה, חושבן ח"י:</w:t>
      </w:r>
    </w:p>
  </w:footnote>
  <w:footnote w:id="2082">
    <w:p w:rsidR="00A13282" w:rsidRDefault="00A13282">
      <w:pPr>
        <w:pStyle w:val="a5"/>
        <w:rPr>
          <w:rtl/>
        </w:rPr>
      </w:pPr>
      <w:r>
        <w:rPr>
          <w:rStyle w:val="a7"/>
          <w:rtl/>
        </w:rPr>
        <w:footnoteRef/>
      </w:r>
      <w:r>
        <w:rPr>
          <w:rtl/>
        </w:rPr>
        <w:t xml:space="preserve"> </w:t>
      </w:r>
      <w:r>
        <w:rPr>
          <w:rFonts w:ascii="Arial"/>
          <w:b/>
          <w:bCs/>
          <w:sz w:val="38"/>
          <w:rtl/>
        </w:rPr>
        <w:t>ושבעה כו'.</w:t>
      </w:r>
      <w:r>
        <w:rPr>
          <w:rFonts w:ascii="Arial"/>
          <w:sz w:val="38"/>
          <w:rtl/>
        </w:rPr>
        <w:t xml:space="preserve"> השביעי - הוא נקודה האמצעי שכולל כל הוא"ו כידוע:</w:t>
      </w:r>
    </w:p>
  </w:footnote>
  <w:footnote w:id="2083">
    <w:p w:rsidR="00A13282" w:rsidRDefault="00A13282">
      <w:pPr>
        <w:pStyle w:val="a5"/>
        <w:rPr>
          <w:rtl/>
        </w:rPr>
      </w:pPr>
      <w:r>
        <w:rPr>
          <w:rStyle w:val="a7"/>
          <w:rtl/>
        </w:rPr>
        <w:footnoteRef/>
      </w:r>
      <w:r>
        <w:rPr>
          <w:rtl/>
        </w:rPr>
        <w:t xml:space="preserve"> </w:t>
      </w:r>
      <w:r>
        <w:rPr>
          <w:b/>
          <w:bCs/>
          <w:rtl/>
        </w:rPr>
        <w:t>א</w:t>
      </w:r>
      <w:r>
        <w:rPr>
          <w:rFonts w:ascii="Arial"/>
          <w:b/>
          <w:bCs/>
          <w:sz w:val="38"/>
          <w:rtl/>
        </w:rPr>
        <w:t>' כוכבא.</w:t>
      </w:r>
      <w:r>
        <w:rPr>
          <w:rFonts w:ascii="Arial"/>
          <w:sz w:val="38"/>
          <w:rtl/>
        </w:rPr>
        <w:t xml:space="preserve"> רוצה לומר א' שבתוך הוא"ו - נקודה האמצעית:</w:t>
      </w:r>
    </w:p>
  </w:footnote>
  <w:footnote w:id="2084">
    <w:p w:rsidR="00A13282" w:rsidRDefault="00A13282">
      <w:pPr>
        <w:pStyle w:val="a5"/>
        <w:rPr>
          <w:rtl/>
        </w:rPr>
      </w:pPr>
      <w:r>
        <w:rPr>
          <w:rStyle w:val="a7"/>
          <w:rtl/>
        </w:rPr>
        <w:footnoteRef/>
      </w:r>
      <w:r>
        <w:rPr>
          <w:rtl/>
        </w:rPr>
        <w:t xml:space="preserve"> </w:t>
      </w:r>
      <w:r>
        <w:rPr>
          <w:rFonts w:ascii="Arial"/>
          <w:b/>
          <w:bCs/>
          <w:sz w:val="38"/>
          <w:rtl/>
        </w:rPr>
        <w:t>שית מזלות כו'.</w:t>
      </w:r>
      <w:r>
        <w:rPr>
          <w:rFonts w:ascii="Arial"/>
          <w:sz w:val="38"/>
          <w:rtl/>
        </w:rPr>
        <w:t xml:space="preserve"> חוזר למעלה ואיהו כליל תרי כו':</w:t>
      </w:r>
    </w:p>
  </w:footnote>
  <w:footnote w:id="2085">
    <w:p w:rsidR="00A13282" w:rsidRDefault="00A13282">
      <w:pPr>
        <w:pStyle w:val="a5"/>
        <w:rPr>
          <w:rtl/>
        </w:rPr>
      </w:pPr>
      <w:r>
        <w:rPr>
          <w:rStyle w:val="a7"/>
          <w:rtl/>
        </w:rPr>
        <w:footnoteRef/>
      </w:r>
      <w:r>
        <w:rPr>
          <w:rtl/>
        </w:rPr>
        <w:t xml:space="preserve"> </w:t>
      </w:r>
      <w:r>
        <w:rPr>
          <w:rFonts w:ascii="Arial"/>
          <w:b/>
          <w:bCs/>
          <w:sz w:val="38"/>
          <w:rtl/>
        </w:rPr>
        <w:t>תלוי ארוך.</w:t>
      </w:r>
      <w:r>
        <w:rPr>
          <w:rFonts w:ascii="Arial"/>
          <w:sz w:val="38"/>
          <w:rtl/>
        </w:rPr>
        <w:t xml:space="preserve"> ו' אריכא, וביסוד - ו' זעירא:</w:t>
      </w:r>
    </w:p>
  </w:footnote>
  <w:footnote w:id="2086">
    <w:p w:rsidR="00A13282" w:rsidRDefault="00A13282">
      <w:pPr>
        <w:pStyle w:val="a5"/>
        <w:rPr>
          <w:rtl/>
        </w:rPr>
      </w:pPr>
      <w:r>
        <w:rPr>
          <w:rStyle w:val="a7"/>
          <w:rtl/>
        </w:rPr>
        <w:footnoteRef/>
      </w:r>
      <w:r>
        <w:rPr>
          <w:rtl/>
        </w:rPr>
        <w:t xml:space="preserve"> </w:t>
      </w:r>
      <w:r>
        <w:rPr>
          <w:rFonts w:ascii="Arial"/>
          <w:b/>
          <w:bCs/>
          <w:sz w:val="38"/>
          <w:rtl/>
        </w:rPr>
        <w:t>והכי אינון כו'.</w:t>
      </w:r>
      <w:r>
        <w:rPr>
          <w:rFonts w:ascii="Arial"/>
          <w:sz w:val="38"/>
          <w:rtl/>
        </w:rPr>
        <w:t xml:space="preserve"> שיסוד תלוי בין שתי רגלין, ולפי שהוא דבר שצריך לכסות ולא לדבר בגלוי - אמר ולחכימא ברמיזא:</w:t>
      </w:r>
    </w:p>
  </w:footnote>
  <w:footnote w:id="2087">
    <w:p w:rsidR="00A13282" w:rsidRDefault="00A13282">
      <w:pPr>
        <w:pStyle w:val="a5"/>
        <w:rPr>
          <w:rtl/>
        </w:rPr>
      </w:pPr>
      <w:r>
        <w:rPr>
          <w:rStyle w:val="a7"/>
          <w:rtl/>
        </w:rPr>
        <w:footnoteRef/>
      </w:r>
      <w:r>
        <w:rPr>
          <w:rtl/>
        </w:rPr>
        <w:t xml:space="preserve"> </w:t>
      </w:r>
      <w:r>
        <w:rPr>
          <w:rFonts w:ascii="Arial"/>
          <w:b/>
          <w:bCs/>
          <w:sz w:val="38"/>
          <w:rtl/>
        </w:rPr>
        <w:t>ודא בהו.</w:t>
      </w:r>
      <w:r>
        <w:rPr>
          <w:rFonts w:ascii="Arial"/>
          <w:sz w:val="38"/>
          <w:rtl/>
        </w:rPr>
        <w:t xml:space="preserve"> אבנים מפולמות, קשה כאבן:</w:t>
      </w:r>
    </w:p>
  </w:footnote>
  <w:footnote w:id="2088">
    <w:p w:rsidR="00A13282" w:rsidRDefault="00A13282">
      <w:pPr>
        <w:pStyle w:val="a5"/>
        <w:rPr>
          <w:rtl/>
        </w:rPr>
      </w:pPr>
      <w:r>
        <w:rPr>
          <w:rStyle w:val="a7"/>
          <w:rtl/>
        </w:rPr>
        <w:footnoteRef/>
      </w:r>
      <w:r>
        <w:rPr>
          <w:rtl/>
        </w:rPr>
        <w:t xml:space="preserve"> </w:t>
      </w:r>
      <w:r>
        <w:rPr>
          <w:rFonts w:ascii="Arial"/>
          <w:b/>
          <w:bCs/>
          <w:sz w:val="38"/>
          <w:rtl/>
        </w:rPr>
        <w:t>ודא חשך.</w:t>
      </w:r>
      <w:r>
        <w:rPr>
          <w:rFonts w:ascii="Arial"/>
          <w:sz w:val="38"/>
          <w:rtl/>
        </w:rPr>
        <w:t xml:space="preserve"> ששם חשך, בתוך קליפה הקשה דאגוז:</w:t>
      </w:r>
    </w:p>
  </w:footnote>
  <w:footnote w:id="2089">
    <w:p w:rsidR="00A13282" w:rsidRDefault="00A13282">
      <w:pPr>
        <w:pStyle w:val="a5"/>
        <w:rPr>
          <w:rtl/>
        </w:rPr>
      </w:pPr>
      <w:r>
        <w:rPr>
          <w:rStyle w:val="a7"/>
          <w:rtl/>
        </w:rPr>
        <w:footnoteRef/>
      </w:r>
      <w:r>
        <w:rPr>
          <w:rtl/>
        </w:rPr>
        <w:t xml:space="preserve"> </w:t>
      </w:r>
      <w:r>
        <w:rPr>
          <w:rFonts w:ascii="Arial"/>
          <w:b/>
          <w:bCs/>
          <w:sz w:val="38"/>
          <w:rtl/>
        </w:rPr>
        <w:t>שבר תשבר.</w:t>
      </w:r>
      <w:r>
        <w:rPr>
          <w:rFonts w:ascii="Arial"/>
          <w:sz w:val="38"/>
          <w:rtl/>
        </w:rPr>
        <w:t xml:space="preserve"> הקל</w:t>
      </w:r>
      <w:r w:rsidR="00690A17">
        <w:rPr>
          <w:rFonts w:ascii="Arial" w:hint="cs"/>
          <w:sz w:val="38"/>
          <w:rtl/>
        </w:rPr>
        <w:t>י</w:t>
      </w:r>
      <w:r>
        <w:rPr>
          <w:rFonts w:ascii="Arial"/>
          <w:sz w:val="38"/>
          <w:rtl/>
        </w:rPr>
        <w:t>פין דאגוז:</w:t>
      </w:r>
    </w:p>
  </w:footnote>
  <w:footnote w:id="2090">
    <w:p w:rsidR="00A13282" w:rsidRDefault="00A13282">
      <w:pPr>
        <w:pStyle w:val="a5"/>
        <w:rPr>
          <w:rtl/>
        </w:rPr>
      </w:pPr>
      <w:r>
        <w:rPr>
          <w:rStyle w:val="a7"/>
          <w:rtl/>
        </w:rPr>
        <w:footnoteRef/>
      </w:r>
      <w:r>
        <w:rPr>
          <w:rtl/>
        </w:rPr>
        <w:t xml:space="preserve"> </w:t>
      </w:r>
      <w:r>
        <w:rPr>
          <w:rFonts w:ascii="Arial"/>
          <w:b/>
          <w:bCs/>
          <w:sz w:val="38"/>
          <w:rtl/>
        </w:rPr>
        <w:t>דותקע.</w:t>
      </w:r>
      <w:r>
        <w:rPr>
          <w:rFonts w:ascii="Arial"/>
          <w:sz w:val="38"/>
          <w:rtl/>
        </w:rPr>
        <w:t xml:space="preserve"> לשון תקיעה:</w:t>
      </w:r>
    </w:p>
  </w:footnote>
  <w:footnote w:id="2091">
    <w:p w:rsidR="00A13282" w:rsidRDefault="00A13282">
      <w:pPr>
        <w:pStyle w:val="a5"/>
        <w:rPr>
          <w:rtl/>
        </w:rPr>
      </w:pPr>
      <w:r>
        <w:rPr>
          <w:rStyle w:val="a7"/>
          <w:rtl/>
        </w:rPr>
        <w:footnoteRef/>
      </w:r>
      <w:r>
        <w:rPr>
          <w:rtl/>
        </w:rPr>
        <w:t xml:space="preserve"> </w:t>
      </w:r>
      <w:r>
        <w:rPr>
          <w:rFonts w:ascii="Arial"/>
          <w:b/>
          <w:bCs/>
          <w:sz w:val="38"/>
          <w:rtl/>
        </w:rPr>
        <w:t>מה שהיה כו'.</w:t>
      </w:r>
      <w:r>
        <w:rPr>
          <w:rFonts w:ascii="Arial"/>
          <w:sz w:val="38"/>
          <w:rtl/>
        </w:rPr>
        <w:t xml:space="preserve"> ראשי תיבות משה, ורוצה לומר, שהיה - גואל הראשון, הוא כו':</w:t>
      </w:r>
    </w:p>
  </w:footnote>
  <w:footnote w:id="2092">
    <w:p w:rsidR="00A13282" w:rsidRDefault="00A13282">
      <w:pPr>
        <w:pStyle w:val="a5"/>
        <w:rPr>
          <w:rtl/>
        </w:rPr>
      </w:pPr>
      <w:r>
        <w:rPr>
          <w:rStyle w:val="a7"/>
          <w:rtl/>
        </w:rPr>
        <w:footnoteRef/>
      </w:r>
      <w:r>
        <w:rPr>
          <w:rtl/>
        </w:rPr>
        <w:t xml:space="preserve"> </w:t>
      </w:r>
      <w:r>
        <w:rPr>
          <w:rFonts w:ascii="Arial"/>
          <w:b/>
          <w:bCs/>
          <w:sz w:val="38"/>
          <w:rtl/>
        </w:rPr>
        <w:t>גוף דילה.</w:t>
      </w:r>
      <w:r>
        <w:rPr>
          <w:rFonts w:ascii="Arial"/>
          <w:sz w:val="38"/>
          <w:rtl/>
        </w:rPr>
        <w:t xml:space="preserve"> רוצה לומר, הנורא:</w:t>
      </w:r>
    </w:p>
  </w:footnote>
  <w:footnote w:id="2093">
    <w:p w:rsidR="00A13282" w:rsidRDefault="00A13282">
      <w:pPr>
        <w:pStyle w:val="a5"/>
        <w:rPr>
          <w:rtl/>
        </w:rPr>
      </w:pPr>
      <w:r>
        <w:rPr>
          <w:rStyle w:val="a7"/>
          <w:rtl/>
        </w:rPr>
        <w:footnoteRef/>
      </w:r>
      <w:r>
        <w:rPr>
          <w:rtl/>
        </w:rPr>
        <w:t xml:space="preserve"> </w:t>
      </w:r>
      <w:r>
        <w:rPr>
          <w:rFonts w:ascii="Arial"/>
          <w:b/>
          <w:bCs/>
          <w:sz w:val="38"/>
          <w:rtl/>
        </w:rPr>
        <w:t>דא ציון.</w:t>
      </w:r>
      <w:r>
        <w:rPr>
          <w:rFonts w:ascii="Arial"/>
          <w:sz w:val="38"/>
          <w:rtl/>
        </w:rPr>
        <w:t xml:space="preserve"> אות ברית כמו שמפרש והולך כגוונא דטבור:</w:t>
      </w:r>
    </w:p>
  </w:footnote>
  <w:footnote w:id="2094">
    <w:p w:rsidR="00A13282" w:rsidRDefault="00A13282">
      <w:pPr>
        <w:pStyle w:val="a5"/>
        <w:rPr>
          <w:rtl/>
        </w:rPr>
      </w:pPr>
      <w:r>
        <w:rPr>
          <w:rStyle w:val="a7"/>
          <w:rtl/>
        </w:rPr>
        <w:footnoteRef/>
      </w:r>
      <w:r>
        <w:rPr>
          <w:rtl/>
        </w:rPr>
        <w:t xml:space="preserve"> </w:t>
      </w:r>
      <w:r>
        <w:rPr>
          <w:rFonts w:ascii="Arial"/>
          <w:b/>
          <w:bCs/>
          <w:sz w:val="38"/>
          <w:rtl/>
        </w:rPr>
        <w:t>דא נקודה דסיהרא כו'.</w:t>
      </w:r>
      <w:r>
        <w:rPr>
          <w:rFonts w:ascii="Arial"/>
          <w:sz w:val="38"/>
          <w:rtl/>
        </w:rPr>
        <w:t xml:space="preserve"> באמצע כנ"ל, והיא - חכמה דילה כמו שמפרש והולך, וכן בתיקון י"ט, והיא - אות ברית דיליה שהוא עטרת היסוד, והוא - חכמה דילה, רוחא דבגוה, דמשם שרשה, ועיין מה שנכתוב לקמן תיקון מ"ם מזה בארוכה:</w:t>
      </w:r>
    </w:p>
  </w:footnote>
  <w:footnote w:id="2095">
    <w:p w:rsidR="00A13282" w:rsidRDefault="00A13282">
      <w:pPr>
        <w:pStyle w:val="a5"/>
        <w:rPr>
          <w:rtl/>
        </w:rPr>
      </w:pPr>
      <w:r>
        <w:rPr>
          <w:rStyle w:val="a7"/>
          <w:rtl/>
        </w:rPr>
        <w:footnoteRef/>
      </w:r>
      <w:r>
        <w:rPr>
          <w:rtl/>
        </w:rPr>
        <w:t xml:space="preserve"> </w:t>
      </w:r>
      <w:r>
        <w:rPr>
          <w:rFonts w:ascii="Arial"/>
          <w:b/>
          <w:bCs/>
          <w:sz w:val="38"/>
          <w:rtl/>
        </w:rPr>
        <w:t>והיא ראשית כו'.</w:t>
      </w:r>
      <w:r>
        <w:rPr>
          <w:rFonts w:ascii="Arial"/>
          <w:sz w:val="38"/>
          <w:rtl/>
        </w:rPr>
        <w:t xml:space="preserve"> רוצה לומר זהו בראשית - ב' ראשית, שהוא חכמה, נקודה הנ"ל, והוא נקודה שבתוך הבית, כמו שמפרש והולך:</w:t>
      </w:r>
    </w:p>
  </w:footnote>
  <w:footnote w:id="2096">
    <w:p w:rsidR="00A13282" w:rsidRDefault="00A13282">
      <w:pPr>
        <w:pStyle w:val="a5"/>
        <w:rPr>
          <w:rtl/>
        </w:rPr>
      </w:pPr>
      <w:r>
        <w:rPr>
          <w:rStyle w:val="a7"/>
          <w:rtl/>
        </w:rPr>
        <w:footnoteRef/>
      </w:r>
      <w:r>
        <w:rPr>
          <w:rtl/>
        </w:rPr>
        <w:t xml:space="preserve"> </w:t>
      </w:r>
      <w:r>
        <w:rPr>
          <w:rFonts w:ascii="Arial"/>
          <w:b/>
          <w:bCs/>
          <w:sz w:val="38"/>
          <w:rtl/>
        </w:rPr>
        <w:t>בת קול כו'.</w:t>
      </w:r>
      <w:r>
        <w:rPr>
          <w:rFonts w:ascii="Arial"/>
          <w:sz w:val="38"/>
          <w:rtl/>
        </w:rPr>
        <w:t xml:space="preserve"> רוצה לומר, לכך נקרא בית, בת קול, י' נקודה:</w:t>
      </w:r>
    </w:p>
  </w:footnote>
  <w:footnote w:id="2097">
    <w:p w:rsidR="00A13282" w:rsidRDefault="00A13282">
      <w:pPr>
        <w:pStyle w:val="a5"/>
        <w:rPr>
          <w:rtl/>
        </w:rPr>
      </w:pPr>
      <w:r>
        <w:rPr>
          <w:rStyle w:val="a7"/>
          <w:rtl/>
        </w:rPr>
        <w:footnoteRef/>
      </w:r>
      <w:r>
        <w:rPr>
          <w:rtl/>
        </w:rPr>
        <w:t xml:space="preserve"> </w:t>
      </w:r>
      <w:r>
        <w:rPr>
          <w:rFonts w:ascii="Arial"/>
          <w:b/>
          <w:bCs/>
          <w:sz w:val="38"/>
          <w:rtl/>
        </w:rPr>
        <w:t>כללא כו'.</w:t>
      </w:r>
      <w:r>
        <w:rPr>
          <w:rFonts w:ascii="Arial"/>
          <w:sz w:val="38"/>
          <w:rtl/>
        </w:rPr>
        <w:t xml:space="preserve"> כמו שאומר להלן בתיקון כ"ח שהיא כוללת כל האותיות - באות בית, וכל הנקודין - בנקודה שבתוך הב', ונמצאו הכל נרמז בב' של בראשית:</w:t>
      </w:r>
    </w:p>
  </w:footnote>
  <w:footnote w:id="2098">
    <w:p w:rsidR="00A13282" w:rsidRDefault="00A13282">
      <w:pPr>
        <w:pStyle w:val="a5"/>
        <w:rPr>
          <w:rtl/>
        </w:rPr>
      </w:pPr>
      <w:r>
        <w:rPr>
          <w:rStyle w:val="a7"/>
          <w:rtl/>
        </w:rPr>
        <w:footnoteRef/>
      </w:r>
      <w:r>
        <w:rPr>
          <w:rtl/>
        </w:rPr>
        <w:t xml:space="preserve"> </w:t>
      </w:r>
      <w:r>
        <w:rPr>
          <w:rFonts w:ascii="Arial"/>
          <w:b/>
          <w:bCs/>
          <w:sz w:val="38"/>
          <w:rtl/>
        </w:rPr>
        <w:t>מסטרא אחרא.</w:t>
      </w:r>
      <w:r>
        <w:rPr>
          <w:rFonts w:ascii="Arial"/>
          <w:sz w:val="38"/>
          <w:rtl/>
        </w:rPr>
        <w:t xml:space="preserve"> רוצה לומר באחור של הבית:</w:t>
      </w:r>
    </w:p>
  </w:footnote>
  <w:footnote w:id="2099">
    <w:p w:rsidR="00A13282" w:rsidRDefault="00A13282">
      <w:pPr>
        <w:pStyle w:val="a5"/>
        <w:rPr>
          <w:rtl/>
        </w:rPr>
      </w:pPr>
      <w:r>
        <w:rPr>
          <w:rStyle w:val="a7"/>
          <w:rtl/>
        </w:rPr>
        <w:footnoteRef/>
      </w:r>
      <w:r>
        <w:rPr>
          <w:rtl/>
        </w:rPr>
        <w:t xml:space="preserve"> </w:t>
      </w:r>
      <w:r>
        <w:rPr>
          <w:rFonts w:ascii="Arial"/>
          <w:b/>
          <w:bCs/>
          <w:sz w:val="38"/>
          <w:rtl/>
        </w:rPr>
        <w:t>עין יעקב.</w:t>
      </w:r>
      <w:r>
        <w:rPr>
          <w:rFonts w:ascii="Arial"/>
          <w:sz w:val="38"/>
          <w:rtl/>
        </w:rPr>
        <w:t xml:space="preserve"> נקודה הנ"ל:</w:t>
      </w:r>
    </w:p>
  </w:footnote>
  <w:footnote w:id="2100">
    <w:p w:rsidR="00A13282" w:rsidRDefault="00A13282">
      <w:pPr>
        <w:pStyle w:val="a5"/>
        <w:rPr>
          <w:rtl/>
        </w:rPr>
      </w:pPr>
      <w:r>
        <w:rPr>
          <w:rStyle w:val="a7"/>
          <w:rtl/>
        </w:rPr>
        <w:footnoteRef/>
      </w:r>
      <w:r>
        <w:rPr>
          <w:rtl/>
        </w:rPr>
        <w:t xml:space="preserve"> </w:t>
      </w:r>
      <w:r>
        <w:rPr>
          <w:rFonts w:ascii="Arial"/>
          <w:b/>
          <w:bCs/>
          <w:sz w:val="38"/>
          <w:rtl/>
        </w:rPr>
        <w:t>הא מארי דקומה.</w:t>
      </w:r>
      <w:r>
        <w:rPr>
          <w:rFonts w:ascii="Arial"/>
          <w:sz w:val="38"/>
          <w:rtl/>
        </w:rPr>
        <w:t xml:space="preserve"> רוצה לומר מסטרא דקב"ה כמו שמפרש והולך:</w:t>
      </w:r>
    </w:p>
  </w:footnote>
  <w:footnote w:id="2101">
    <w:p w:rsidR="00A13282" w:rsidRDefault="00A13282">
      <w:pPr>
        <w:pStyle w:val="a5"/>
        <w:rPr>
          <w:rtl/>
        </w:rPr>
      </w:pPr>
      <w:r>
        <w:rPr>
          <w:rStyle w:val="a7"/>
          <w:rtl/>
        </w:rPr>
        <w:footnoteRef/>
      </w:r>
      <w:r>
        <w:rPr>
          <w:rtl/>
        </w:rPr>
        <w:t xml:space="preserve"> </w:t>
      </w:r>
      <w:r>
        <w:rPr>
          <w:rFonts w:ascii="Arial"/>
          <w:b/>
          <w:bCs/>
          <w:sz w:val="38"/>
          <w:rtl/>
        </w:rPr>
        <w:t>מראות אלקים.</w:t>
      </w:r>
      <w:r>
        <w:rPr>
          <w:rFonts w:ascii="Arial"/>
          <w:sz w:val="38"/>
          <w:rtl/>
        </w:rPr>
        <w:t xml:space="preserve"> בינה - חמש אתוון דאלקים, ה' נהורין דילה:</w:t>
      </w:r>
    </w:p>
  </w:footnote>
  <w:footnote w:id="2102">
    <w:p w:rsidR="00A13282" w:rsidRDefault="00A13282">
      <w:pPr>
        <w:pStyle w:val="a5"/>
        <w:rPr>
          <w:rtl/>
        </w:rPr>
      </w:pPr>
      <w:r>
        <w:rPr>
          <w:rStyle w:val="a7"/>
          <w:rtl/>
        </w:rPr>
        <w:footnoteRef/>
      </w:r>
      <w:r>
        <w:rPr>
          <w:rtl/>
        </w:rPr>
        <w:t xml:space="preserve"> </w:t>
      </w:r>
      <w:r>
        <w:rPr>
          <w:rFonts w:ascii="Arial"/>
          <w:b/>
          <w:bCs/>
          <w:sz w:val="38"/>
          <w:rtl/>
        </w:rPr>
        <w:t>בגין דאיהו ו'.</w:t>
      </w:r>
      <w:r>
        <w:rPr>
          <w:rFonts w:ascii="Arial"/>
          <w:sz w:val="38"/>
          <w:rtl/>
        </w:rPr>
        <w:t xml:space="preserve"> רוצה לומר צורת פתח, לכך מתפתחין ביה:</w:t>
      </w:r>
    </w:p>
  </w:footnote>
  <w:footnote w:id="2103">
    <w:p w:rsidR="00A13282" w:rsidRDefault="00A13282">
      <w:pPr>
        <w:pStyle w:val="a5"/>
        <w:rPr>
          <w:rtl/>
        </w:rPr>
      </w:pPr>
      <w:r>
        <w:rPr>
          <w:rStyle w:val="a7"/>
          <w:rtl/>
        </w:rPr>
        <w:footnoteRef/>
      </w:r>
      <w:r>
        <w:rPr>
          <w:rtl/>
        </w:rPr>
        <w:t xml:space="preserve"> </w:t>
      </w:r>
      <w:r>
        <w:rPr>
          <w:rFonts w:ascii="Arial"/>
          <w:b/>
          <w:bCs/>
          <w:sz w:val="38"/>
          <w:rtl/>
        </w:rPr>
        <w:t>ובגיניה כו'.</w:t>
      </w:r>
      <w:r>
        <w:rPr>
          <w:rFonts w:ascii="Arial"/>
          <w:sz w:val="38"/>
          <w:rtl/>
        </w:rPr>
        <w:t xml:space="preserve"> רוצה לומר מעשר - בכל עשר ספירות:</w:t>
      </w:r>
    </w:p>
  </w:footnote>
  <w:footnote w:id="2104">
    <w:p w:rsidR="00A13282" w:rsidRDefault="00A13282">
      <w:pPr>
        <w:pStyle w:val="a5"/>
        <w:rPr>
          <w:rtl/>
        </w:rPr>
      </w:pPr>
      <w:r>
        <w:rPr>
          <w:rStyle w:val="a7"/>
          <w:rtl/>
        </w:rPr>
        <w:footnoteRef/>
      </w:r>
      <w:r>
        <w:rPr>
          <w:rtl/>
        </w:rPr>
        <w:t xml:space="preserve"> </w:t>
      </w:r>
      <w:r>
        <w:rPr>
          <w:rFonts w:ascii="Arial"/>
          <w:b/>
          <w:bCs/>
          <w:sz w:val="38"/>
          <w:rtl/>
        </w:rPr>
        <w:t>על שכם.</w:t>
      </w:r>
      <w:r>
        <w:rPr>
          <w:rFonts w:ascii="Arial"/>
          <w:sz w:val="38"/>
          <w:rtl/>
        </w:rPr>
        <w:t xml:space="preserve"> שהם שתי כתפין, שני פרקין אחרונין דידין:</w:t>
      </w:r>
    </w:p>
  </w:footnote>
  <w:footnote w:id="2105">
    <w:p w:rsidR="00A13282" w:rsidRDefault="00A13282">
      <w:pPr>
        <w:pStyle w:val="a5"/>
        <w:rPr>
          <w:rtl/>
        </w:rPr>
      </w:pPr>
      <w:r>
        <w:rPr>
          <w:rStyle w:val="a7"/>
          <w:rtl/>
        </w:rPr>
        <w:footnoteRef/>
      </w:r>
      <w:r>
        <w:rPr>
          <w:rtl/>
        </w:rPr>
        <w:t xml:space="preserve"> </w:t>
      </w:r>
      <w:r>
        <w:rPr>
          <w:rFonts w:ascii="Arial"/>
          <w:b/>
          <w:bCs/>
          <w:sz w:val="38"/>
          <w:rtl/>
        </w:rPr>
        <w:t>שניהם.</w:t>
      </w:r>
      <w:r>
        <w:rPr>
          <w:rFonts w:ascii="Arial"/>
          <w:sz w:val="38"/>
          <w:rtl/>
        </w:rPr>
        <w:t xml:space="preserve"> שני הכתפין:</w:t>
      </w:r>
    </w:p>
  </w:footnote>
  <w:footnote w:id="2106">
    <w:p w:rsidR="00A13282" w:rsidRDefault="00A13282">
      <w:pPr>
        <w:pStyle w:val="a5"/>
        <w:rPr>
          <w:rtl/>
        </w:rPr>
      </w:pPr>
      <w:r>
        <w:rPr>
          <w:rStyle w:val="a7"/>
          <w:rtl/>
        </w:rPr>
        <w:footnoteRef/>
      </w:r>
      <w:r>
        <w:rPr>
          <w:rtl/>
        </w:rPr>
        <w:t xml:space="preserve"> </w:t>
      </w:r>
      <w:r>
        <w:rPr>
          <w:rFonts w:ascii="Arial"/>
          <w:b/>
          <w:bCs/>
          <w:sz w:val="38"/>
          <w:rtl/>
        </w:rPr>
        <w:t>ערות אביהם כו'.</w:t>
      </w:r>
      <w:r>
        <w:rPr>
          <w:rFonts w:ascii="Arial"/>
          <w:sz w:val="38"/>
          <w:rtl/>
        </w:rPr>
        <w:t xml:space="preserve"> דהכתפין - הן הדעת שיורד ביסוד כידוע, ולכן וישימו כו' ויכסו כו':</w:t>
      </w:r>
    </w:p>
  </w:footnote>
  <w:footnote w:id="2107">
    <w:p w:rsidR="00A13282" w:rsidRDefault="00A13282">
      <w:pPr>
        <w:pStyle w:val="a5"/>
        <w:rPr>
          <w:rtl/>
        </w:rPr>
      </w:pPr>
      <w:r>
        <w:rPr>
          <w:rStyle w:val="a7"/>
          <w:rtl/>
        </w:rPr>
        <w:footnoteRef/>
      </w:r>
      <w:r>
        <w:rPr>
          <w:rtl/>
        </w:rPr>
        <w:t xml:space="preserve"> </w:t>
      </w:r>
      <w:r>
        <w:rPr>
          <w:rFonts w:ascii="Arial"/>
          <w:b/>
          <w:bCs/>
          <w:sz w:val="38"/>
          <w:rtl/>
        </w:rPr>
        <w:t>נדיבי עמים כו'.</w:t>
      </w:r>
      <w:r>
        <w:rPr>
          <w:rFonts w:ascii="Arial"/>
          <w:sz w:val="38"/>
          <w:rtl/>
        </w:rPr>
        <w:t xml:space="preserve"> סיפא דקרא, עם אלקי אברהם, שהן בעלי גמילות חסדים:</w:t>
      </w:r>
    </w:p>
  </w:footnote>
  <w:footnote w:id="2108">
    <w:p w:rsidR="00A13282" w:rsidRDefault="00A13282">
      <w:pPr>
        <w:pStyle w:val="a5"/>
        <w:rPr>
          <w:rtl/>
        </w:rPr>
      </w:pPr>
      <w:r>
        <w:rPr>
          <w:rStyle w:val="a7"/>
          <w:rtl/>
        </w:rPr>
        <w:footnoteRef/>
      </w:r>
      <w:r>
        <w:rPr>
          <w:rtl/>
        </w:rPr>
        <w:t xml:space="preserve"> </w:t>
      </w:r>
      <w:r>
        <w:rPr>
          <w:rFonts w:ascii="Arial"/>
          <w:b/>
          <w:bCs/>
          <w:sz w:val="38"/>
          <w:rtl/>
        </w:rPr>
        <w:t>מימינו אש כו'.</w:t>
      </w:r>
      <w:r>
        <w:rPr>
          <w:rFonts w:ascii="Arial"/>
          <w:sz w:val="38"/>
          <w:rtl/>
        </w:rPr>
        <w:t xml:space="preserve"> רוצה לומר, אש - הוא בשמאלא, ומשניהם - דת למו, וכמו שאומר בזוהר פרשת יתרו:</w:t>
      </w:r>
    </w:p>
  </w:footnote>
  <w:footnote w:id="2109">
    <w:p w:rsidR="00A13282" w:rsidRDefault="00A13282">
      <w:pPr>
        <w:pStyle w:val="a5"/>
        <w:rPr>
          <w:rtl/>
        </w:rPr>
      </w:pPr>
      <w:r>
        <w:rPr>
          <w:rStyle w:val="a7"/>
          <w:rtl/>
        </w:rPr>
        <w:footnoteRef/>
      </w:r>
      <w:r>
        <w:rPr>
          <w:rtl/>
        </w:rPr>
        <w:t xml:space="preserve"> </w:t>
      </w:r>
      <w:r>
        <w:rPr>
          <w:rFonts w:ascii="Arial"/>
          <w:b/>
          <w:bCs/>
          <w:sz w:val="38"/>
          <w:rtl/>
        </w:rPr>
        <w:t>קבל דורונא כו'.</w:t>
      </w:r>
      <w:r>
        <w:rPr>
          <w:rFonts w:ascii="Arial"/>
          <w:sz w:val="38"/>
          <w:rtl/>
        </w:rPr>
        <w:t xml:space="preserve"> רוצה לומר, עונג שבת - שלוין ועושין יותר בוותרנותא:</w:t>
      </w:r>
    </w:p>
  </w:footnote>
  <w:footnote w:id="2110">
    <w:p w:rsidR="00A13282" w:rsidRDefault="00A13282">
      <w:pPr>
        <w:pStyle w:val="a5"/>
        <w:rPr>
          <w:rtl/>
        </w:rPr>
      </w:pPr>
      <w:r>
        <w:rPr>
          <w:rStyle w:val="a7"/>
          <w:rtl/>
        </w:rPr>
        <w:footnoteRef/>
      </w:r>
      <w:r>
        <w:rPr>
          <w:rtl/>
        </w:rPr>
        <w:t xml:space="preserve"> </w:t>
      </w:r>
      <w:r>
        <w:rPr>
          <w:rFonts w:ascii="Arial"/>
          <w:b/>
          <w:bCs/>
          <w:sz w:val="38"/>
          <w:rtl/>
        </w:rPr>
        <w:t>ודורונא דשכינתא.</w:t>
      </w:r>
      <w:r>
        <w:rPr>
          <w:rFonts w:ascii="Arial"/>
          <w:sz w:val="38"/>
          <w:rtl/>
        </w:rPr>
        <w:t xml:space="preserve"> רוצה לומר בכל הנ"ל:</w:t>
      </w:r>
    </w:p>
  </w:footnote>
  <w:footnote w:id="2111">
    <w:p w:rsidR="00A13282" w:rsidRDefault="00A13282">
      <w:pPr>
        <w:pStyle w:val="a5"/>
        <w:rPr>
          <w:rtl/>
        </w:rPr>
      </w:pPr>
      <w:r>
        <w:rPr>
          <w:rStyle w:val="a7"/>
          <w:rtl/>
        </w:rPr>
        <w:footnoteRef/>
      </w:r>
      <w:r>
        <w:rPr>
          <w:rtl/>
        </w:rPr>
        <w:t xml:space="preserve"> </w:t>
      </w:r>
      <w:r>
        <w:rPr>
          <w:rFonts w:ascii="Arial"/>
          <w:b/>
          <w:bCs/>
          <w:sz w:val="38"/>
          <w:rtl/>
        </w:rPr>
        <w:t xml:space="preserve">במתנת חלקו. </w:t>
      </w:r>
      <w:r>
        <w:rPr>
          <w:rFonts w:ascii="Arial"/>
          <w:sz w:val="38"/>
          <w:rtl/>
        </w:rPr>
        <w:t>רוצה לומר, מה שנותן לו חלקו - כלת משה:</w:t>
      </w:r>
    </w:p>
  </w:footnote>
  <w:footnote w:id="2112">
    <w:p w:rsidR="00A13282" w:rsidRDefault="00A13282">
      <w:pPr>
        <w:pStyle w:val="a5"/>
        <w:rPr>
          <w:rtl/>
        </w:rPr>
      </w:pPr>
      <w:r>
        <w:rPr>
          <w:rStyle w:val="a7"/>
          <w:rtl/>
        </w:rPr>
        <w:footnoteRef/>
      </w:r>
      <w:r>
        <w:rPr>
          <w:rtl/>
        </w:rPr>
        <w:t xml:space="preserve"> </w:t>
      </w:r>
      <w:r>
        <w:rPr>
          <w:rFonts w:ascii="Arial"/>
          <w:b/>
          <w:bCs/>
          <w:sz w:val="38"/>
          <w:rtl/>
        </w:rPr>
        <w:t>וההוא דאתמר פותח כו'.</w:t>
      </w:r>
      <w:r>
        <w:rPr>
          <w:rFonts w:ascii="Arial"/>
          <w:sz w:val="38"/>
          <w:rtl/>
        </w:rPr>
        <w:t xml:space="preserve"> רוצה לומר, הקב"ה, ו' - פותח ידך, וכמו שאומר לעיל בהקדמה, ידיך - יודיך, עם ו' הפותח - הוא הוי"ה, עמודא דאמצעיתא:</w:t>
      </w:r>
    </w:p>
  </w:footnote>
  <w:footnote w:id="2113">
    <w:p w:rsidR="00EA7581" w:rsidRDefault="00EA7581" w:rsidP="00EA7581">
      <w:pPr>
        <w:pStyle w:val="a5"/>
        <w:rPr>
          <w:rtl/>
        </w:rPr>
      </w:pPr>
      <w:r>
        <w:rPr>
          <w:rStyle w:val="a7"/>
        </w:rPr>
        <w:footnoteRef/>
      </w:r>
      <w:r>
        <w:rPr>
          <w:rtl/>
        </w:rPr>
        <w:t xml:space="preserve"> </w:t>
      </w:r>
      <w:r>
        <w:rPr>
          <w:rFonts w:hint="cs"/>
          <w:rtl/>
        </w:rPr>
        <w:t>(ג.פ. ביאור הגר"א על הפסקה הזו עד לדיוקנא דמלכא, הבאתי מתיקונים מזהר חדש דף פג ע"ד)</w:t>
      </w:r>
    </w:p>
  </w:footnote>
  <w:footnote w:id="2114">
    <w:p w:rsidR="00EA7581" w:rsidRPr="00BD5E91" w:rsidRDefault="00EA7581" w:rsidP="00EA7581">
      <w:pPr>
        <w:pStyle w:val="a5"/>
        <w:rPr>
          <w:sz w:val="22"/>
          <w:szCs w:val="22"/>
          <w:rtl/>
        </w:rPr>
      </w:pPr>
      <w:r w:rsidRPr="00BD5E91">
        <w:rPr>
          <w:rStyle w:val="a7"/>
          <w:sz w:val="22"/>
          <w:szCs w:val="22"/>
          <w:rtl/>
        </w:rPr>
        <w:footnoteRef/>
      </w:r>
      <w:r w:rsidRPr="00BD5E91">
        <w:rPr>
          <w:sz w:val="22"/>
          <w:szCs w:val="22"/>
          <w:rtl/>
        </w:rPr>
        <w:t xml:space="preserve"> </w:t>
      </w:r>
      <w:r w:rsidRPr="00EA7581">
        <w:rPr>
          <w:b/>
          <w:bCs/>
          <w:sz w:val="22"/>
          <w:szCs w:val="22"/>
          <w:rtl/>
        </w:rPr>
        <w:t>כדורונא דשכינה</w:t>
      </w:r>
      <w:r w:rsidRPr="00EA7581">
        <w:rPr>
          <w:rFonts w:hint="cs"/>
          <w:b/>
          <w:bCs/>
          <w:sz w:val="22"/>
          <w:szCs w:val="22"/>
          <w:rtl/>
        </w:rPr>
        <w:t>.</w:t>
      </w:r>
      <w:r>
        <w:rPr>
          <w:rFonts w:hint="cs"/>
          <w:sz w:val="22"/>
          <w:szCs w:val="22"/>
          <w:rtl/>
        </w:rPr>
        <w:t xml:space="preserve"> ר"ל</w:t>
      </w:r>
      <w:r w:rsidRPr="00BD5E91">
        <w:rPr>
          <w:sz w:val="22"/>
          <w:szCs w:val="22"/>
          <w:rtl/>
        </w:rPr>
        <w:t xml:space="preserve"> לאייתאה שכינה לגבי קב"ה:</w:t>
      </w:r>
    </w:p>
  </w:footnote>
  <w:footnote w:id="2115">
    <w:p w:rsidR="00EA7581" w:rsidRPr="00BD5E91" w:rsidRDefault="00EA7581" w:rsidP="00EA7581">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דעביד ביה מצוה כו'.</w:t>
      </w:r>
      <w:r w:rsidRPr="00BD5E91">
        <w:rPr>
          <w:sz w:val="22"/>
          <w:szCs w:val="22"/>
          <w:rtl/>
        </w:rPr>
        <w:t xml:space="preserve"> שמצוה הוא שכינה ובאותו אבר מעלה השכינה ונחית קב"ה ביה:</w:t>
      </w:r>
    </w:p>
  </w:footnote>
  <w:footnote w:id="2116">
    <w:p w:rsidR="00EA7581" w:rsidRPr="00BD5E91" w:rsidRDefault="00EA7581" w:rsidP="00EA7581">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לדיוקנא דמלכא.</w:t>
      </w:r>
      <w:r w:rsidRPr="00BD5E91">
        <w:rPr>
          <w:sz w:val="22"/>
          <w:szCs w:val="22"/>
          <w:rtl/>
        </w:rPr>
        <w:t xml:space="preserve"> שיה"ו בכל אבר ואבר ורמ"ח אברים נגד רמ"ח דעד"א כידוע שמס' רמ"ח מ"ע שבכל אבר שם הויה שכל פיקודא נכלל מכל שם הוי"ה כמ"ש בר"מ:</w:t>
      </w:r>
    </w:p>
  </w:footnote>
  <w:footnote w:id="2117">
    <w:p w:rsidR="00A13282" w:rsidRDefault="00A13282">
      <w:pPr>
        <w:pStyle w:val="a5"/>
        <w:rPr>
          <w:rtl/>
        </w:rPr>
      </w:pPr>
      <w:r>
        <w:rPr>
          <w:rStyle w:val="a7"/>
          <w:rtl/>
        </w:rPr>
        <w:footnoteRef/>
      </w:r>
      <w:r>
        <w:rPr>
          <w:rtl/>
        </w:rPr>
        <w:t xml:space="preserve"> </w:t>
      </w:r>
      <w:r>
        <w:rPr>
          <w:rFonts w:ascii="Arial"/>
          <w:b/>
          <w:bCs/>
          <w:sz w:val="38"/>
          <w:rtl/>
        </w:rPr>
        <w:t>בריש הורמנו כו' באוירא.</w:t>
      </w:r>
      <w:r>
        <w:rPr>
          <w:rFonts w:ascii="Arial"/>
          <w:sz w:val="38"/>
          <w:rtl/>
        </w:rPr>
        <w:t xml:space="preserve"> באוירא דגלגלתא - חכמתא עלאה:</w:t>
      </w:r>
    </w:p>
  </w:footnote>
  <w:footnote w:id="2118">
    <w:p w:rsidR="00A13282" w:rsidRDefault="00A13282">
      <w:pPr>
        <w:pStyle w:val="a5"/>
        <w:rPr>
          <w:rtl/>
        </w:rPr>
      </w:pPr>
      <w:r>
        <w:rPr>
          <w:rStyle w:val="a7"/>
          <w:rtl/>
        </w:rPr>
        <w:footnoteRef/>
      </w:r>
      <w:r>
        <w:rPr>
          <w:rtl/>
        </w:rPr>
        <w:t xml:space="preserve"> </w:t>
      </w:r>
      <w:r>
        <w:rPr>
          <w:rFonts w:ascii="Arial"/>
          <w:b/>
          <w:bCs/>
          <w:sz w:val="38"/>
          <w:rtl/>
        </w:rPr>
        <w:t>נקודה חדא.</w:t>
      </w:r>
      <w:r>
        <w:rPr>
          <w:rFonts w:ascii="Arial"/>
          <w:sz w:val="38"/>
          <w:rtl/>
        </w:rPr>
        <w:t xml:space="preserve"> חכמה:</w:t>
      </w:r>
    </w:p>
  </w:footnote>
  <w:footnote w:id="2119">
    <w:p w:rsidR="00A13282" w:rsidRDefault="00A13282">
      <w:pPr>
        <w:pStyle w:val="a5"/>
        <w:rPr>
          <w:rtl/>
        </w:rPr>
      </w:pPr>
      <w:r>
        <w:rPr>
          <w:rStyle w:val="a7"/>
          <w:rtl/>
        </w:rPr>
        <w:footnoteRef/>
      </w:r>
      <w:r>
        <w:rPr>
          <w:rtl/>
        </w:rPr>
        <w:t xml:space="preserve"> </w:t>
      </w:r>
      <w:r>
        <w:rPr>
          <w:rFonts w:ascii="Arial"/>
          <w:b/>
          <w:bCs/>
          <w:sz w:val="38"/>
          <w:rtl/>
        </w:rPr>
        <w:t>י"ה אויר.</w:t>
      </w:r>
      <w:r>
        <w:rPr>
          <w:rFonts w:ascii="Arial"/>
          <w:sz w:val="38"/>
          <w:rtl/>
        </w:rPr>
        <w:t xml:space="preserve"> הוא כח"ב. אויר - כתר, י"ה - חו"ב. ורוצה לומר, יהי אור - שיצא היו"ד מן אויר וישאר אור, ואז יהיה בסוד הגילוי, וזהו יהי - הוי"ה, ויו"ד הראשון של יהי הוא היציאה מן אויר, והשני - שנתלבש בה"א, כמו שמפרש והולך:</w:t>
      </w:r>
    </w:p>
  </w:footnote>
  <w:footnote w:id="2120">
    <w:p w:rsidR="00A13282" w:rsidRDefault="00A13282">
      <w:pPr>
        <w:pStyle w:val="a5"/>
        <w:rPr>
          <w:rtl/>
        </w:rPr>
      </w:pPr>
      <w:r>
        <w:rPr>
          <w:rStyle w:val="a7"/>
          <w:rtl/>
        </w:rPr>
        <w:footnoteRef/>
      </w:r>
      <w:r>
        <w:rPr>
          <w:rtl/>
        </w:rPr>
        <w:t xml:space="preserve"> </w:t>
      </w:r>
      <w:r>
        <w:rPr>
          <w:rFonts w:ascii="Arial"/>
          <w:b/>
          <w:bCs/>
          <w:sz w:val="38"/>
          <w:rtl/>
        </w:rPr>
        <w:t>בהיכלא עילאה.</w:t>
      </w:r>
      <w:r>
        <w:rPr>
          <w:rFonts w:ascii="Arial"/>
          <w:sz w:val="38"/>
          <w:rtl/>
        </w:rPr>
        <w:t xml:space="preserve"> בינה:</w:t>
      </w:r>
    </w:p>
  </w:footnote>
  <w:footnote w:id="2121">
    <w:p w:rsidR="00A13282" w:rsidRDefault="00A13282">
      <w:pPr>
        <w:pStyle w:val="a5"/>
        <w:rPr>
          <w:rtl/>
        </w:rPr>
      </w:pPr>
      <w:r>
        <w:rPr>
          <w:rStyle w:val="a7"/>
          <w:rtl/>
        </w:rPr>
        <w:footnoteRef/>
      </w:r>
      <w:r>
        <w:rPr>
          <w:rtl/>
        </w:rPr>
        <w:t xml:space="preserve"> </w:t>
      </w:r>
      <w:r>
        <w:rPr>
          <w:rFonts w:ascii="Arial"/>
          <w:b/>
          <w:bCs/>
          <w:sz w:val="38"/>
          <w:rtl/>
        </w:rPr>
        <w:t>ועלה אתמר כו'.</w:t>
      </w:r>
      <w:r>
        <w:rPr>
          <w:rFonts w:ascii="Arial"/>
          <w:sz w:val="38"/>
          <w:rtl/>
        </w:rPr>
        <w:t xml:space="preserve"> כמו שאמרו בהתחלת התיקון שבינה נקרא בית:</w:t>
      </w:r>
    </w:p>
  </w:footnote>
  <w:footnote w:id="2122">
    <w:p w:rsidR="00A13282" w:rsidRDefault="00A13282">
      <w:pPr>
        <w:pStyle w:val="a5"/>
        <w:rPr>
          <w:rtl/>
        </w:rPr>
      </w:pPr>
      <w:r>
        <w:rPr>
          <w:rStyle w:val="a7"/>
          <w:rtl/>
        </w:rPr>
        <w:footnoteRef/>
      </w:r>
      <w:r>
        <w:rPr>
          <w:rtl/>
        </w:rPr>
        <w:t xml:space="preserve"> </w:t>
      </w:r>
      <w:r>
        <w:rPr>
          <w:rFonts w:ascii="Arial"/>
          <w:b/>
          <w:bCs/>
          <w:sz w:val="38"/>
          <w:rtl/>
        </w:rPr>
        <w:t>חמש גוונין.</w:t>
      </w:r>
      <w:r>
        <w:rPr>
          <w:rFonts w:ascii="Arial"/>
          <w:sz w:val="38"/>
          <w:rtl/>
        </w:rPr>
        <w:t xml:space="preserve"> שגוון החמישי כוללת הד' גוונין, והוא גוון תכלת - כוללת, והוא באוירא, סביב הנקודה, כמו שמפרש והולך:</w:t>
      </w:r>
    </w:p>
  </w:footnote>
  <w:footnote w:id="2123">
    <w:p w:rsidR="00A13282" w:rsidRDefault="00A13282">
      <w:pPr>
        <w:pStyle w:val="a5"/>
        <w:rPr>
          <w:rtl/>
        </w:rPr>
      </w:pPr>
      <w:r>
        <w:rPr>
          <w:rStyle w:val="a7"/>
          <w:rtl/>
        </w:rPr>
        <w:footnoteRef/>
      </w:r>
      <w:r>
        <w:rPr>
          <w:rtl/>
        </w:rPr>
        <w:t xml:space="preserve"> </w:t>
      </w:r>
      <w:r>
        <w:rPr>
          <w:rFonts w:ascii="Arial"/>
          <w:b/>
          <w:bCs/>
          <w:sz w:val="38"/>
          <w:rtl/>
        </w:rPr>
        <w:t>כחוטא חוורא.</w:t>
      </w:r>
      <w:r>
        <w:rPr>
          <w:rFonts w:ascii="Arial"/>
          <w:sz w:val="38"/>
          <w:rtl/>
        </w:rPr>
        <w:t xml:space="preserve"> הן החמש גוונין, ובת עין היא הנקודה, כמו שאמרו בריש תיקון י”ט והאי בת נקודה כו':</w:t>
      </w:r>
    </w:p>
  </w:footnote>
  <w:footnote w:id="2124">
    <w:p w:rsidR="00A13282" w:rsidRDefault="00A13282">
      <w:pPr>
        <w:pStyle w:val="a5"/>
        <w:rPr>
          <w:rtl/>
        </w:rPr>
      </w:pPr>
      <w:r>
        <w:rPr>
          <w:rStyle w:val="a7"/>
          <w:rtl/>
        </w:rPr>
        <w:footnoteRef/>
      </w:r>
      <w:r>
        <w:rPr>
          <w:rtl/>
        </w:rPr>
        <w:t xml:space="preserve"> </w:t>
      </w:r>
      <w:r>
        <w:rPr>
          <w:rFonts w:ascii="Arial"/>
          <w:b/>
          <w:bCs/>
          <w:sz w:val="38"/>
          <w:rtl/>
        </w:rPr>
        <w:t>איהי בארבע כו'.</w:t>
      </w:r>
      <w:r>
        <w:rPr>
          <w:rFonts w:ascii="Arial"/>
          <w:sz w:val="38"/>
          <w:rtl/>
        </w:rPr>
        <w:t xml:space="preserve"> רוצה לומר בארבע גוונין:</w:t>
      </w:r>
    </w:p>
  </w:footnote>
  <w:footnote w:id="2125">
    <w:p w:rsidR="00A13282" w:rsidRDefault="00A13282">
      <w:pPr>
        <w:pStyle w:val="a5"/>
        <w:rPr>
          <w:rtl/>
        </w:rPr>
      </w:pPr>
      <w:r>
        <w:rPr>
          <w:rStyle w:val="a7"/>
          <w:rtl/>
        </w:rPr>
        <w:footnoteRef/>
      </w:r>
      <w:r>
        <w:rPr>
          <w:rtl/>
        </w:rPr>
        <w:t xml:space="preserve"> </w:t>
      </w:r>
      <w:r>
        <w:rPr>
          <w:rFonts w:ascii="Arial"/>
          <w:b/>
          <w:bCs/>
          <w:sz w:val="38"/>
          <w:rtl/>
        </w:rPr>
        <w:t>וסלקא בעשר.</w:t>
      </w:r>
      <w:r>
        <w:rPr>
          <w:rFonts w:ascii="Arial"/>
          <w:sz w:val="38"/>
          <w:rtl/>
        </w:rPr>
        <w:t xml:space="preserve"> כמו שמפרש והולך, ד' אותיות הוי"ה דמילואם הוא עשר, והן עשרה מיני גוונין דכללן הוא ארבעה:</w:t>
      </w:r>
    </w:p>
  </w:footnote>
  <w:footnote w:id="2126">
    <w:p w:rsidR="00A13282" w:rsidRDefault="00A13282">
      <w:pPr>
        <w:pStyle w:val="a5"/>
        <w:rPr>
          <w:rtl/>
        </w:rPr>
      </w:pPr>
      <w:r>
        <w:rPr>
          <w:rStyle w:val="a7"/>
          <w:rtl/>
        </w:rPr>
        <w:footnoteRef/>
      </w:r>
      <w:r>
        <w:rPr>
          <w:rtl/>
        </w:rPr>
        <w:t xml:space="preserve"> </w:t>
      </w:r>
      <w:r>
        <w:rPr>
          <w:rFonts w:ascii="Arial"/>
          <w:b/>
          <w:bCs/>
          <w:sz w:val="38"/>
          <w:rtl/>
        </w:rPr>
        <w:t>ואינון כולהו כו'.</w:t>
      </w:r>
      <w:r>
        <w:rPr>
          <w:rFonts w:ascii="Arial"/>
          <w:sz w:val="38"/>
          <w:rtl/>
        </w:rPr>
        <w:t xml:space="preserve"> רוצה לומר שהן כולם גווני דאשא:</w:t>
      </w:r>
    </w:p>
  </w:footnote>
  <w:footnote w:id="2127">
    <w:p w:rsidR="00A13282" w:rsidRDefault="00A13282">
      <w:pPr>
        <w:pStyle w:val="a5"/>
        <w:rPr>
          <w:rtl/>
        </w:rPr>
      </w:pPr>
      <w:r>
        <w:rPr>
          <w:rStyle w:val="a7"/>
          <w:rtl/>
        </w:rPr>
        <w:footnoteRef/>
      </w:r>
      <w:r>
        <w:rPr>
          <w:rtl/>
        </w:rPr>
        <w:t xml:space="preserve"> </w:t>
      </w:r>
      <w:r>
        <w:rPr>
          <w:rFonts w:ascii="Arial"/>
          <w:b/>
          <w:bCs/>
          <w:sz w:val="38"/>
          <w:rtl/>
        </w:rPr>
        <w:t>שבע אינון כו'.</w:t>
      </w:r>
      <w:r>
        <w:rPr>
          <w:rFonts w:ascii="Arial"/>
          <w:sz w:val="38"/>
          <w:rtl/>
        </w:rPr>
        <w:t xml:space="preserve"> כידוע בסוד שבעה רקיעין וז' היכלות, דג"ר - נחשבין לאחת, וכן נו"ה - בשבע רקיעין, וזה שאומר ואינון לקבל שבע רקיעין:</w:t>
      </w:r>
    </w:p>
  </w:footnote>
  <w:footnote w:id="2128">
    <w:p w:rsidR="00A13282" w:rsidRDefault="00A13282">
      <w:pPr>
        <w:pStyle w:val="a5"/>
        <w:rPr>
          <w:rtl/>
        </w:rPr>
      </w:pPr>
      <w:r>
        <w:rPr>
          <w:rStyle w:val="a7"/>
          <w:rtl/>
        </w:rPr>
        <w:footnoteRef/>
      </w:r>
      <w:r>
        <w:rPr>
          <w:rtl/>
        </w:rPr>
        <w:t xml:space="preserve"> </w:t>
      </w:r>
      <w:r>
        <w:rPr>
          <w:rFonts w:ascii="Arial"/>
          <w:b/>
          <w:bCs/>
          <w:sz w:val="38"/>
          <w:rtl/>
        </w:rPr>
        <w:t>עד דסלקין כלא כו'.</w:t>
      </w:r>
      <w:r>
        <w:rPr>
          <w:rFonts w:ascii="Arial"/>
          <w:sz w:val="38"/>
          <w:rtl/>
        </w:rPr>
        <w:t xml:space="preserve"> רוצה לומר ז' פעמים ה' - הוא ל"ה, עם נקודה שהיא המדה - הוא ל"ו, וכן הוא ארבע פעמים ט' נקודין שמצויירין כאן:</w:t>
      </w:r>
    </w:p>
  </w:footnote>
  <w:footnote w:id="2129">
    <w:p w:rsidR="00A13282" w:rsidRDefault="00A13282">
      <w:pPr>
        <w:pStyle w:val="a5"/>
        <w:rPr>
          <w:rFonts w:ascii="Arial"/>
          <w:sz w:val="38"/>
          <w:rtl/>
        </w:rPr>
      </w:pPr>
      <w:r>
        <w:rPr>
          <w:rStyle w:val="a7"/>
          <w:rtl/>
        </w:rPr>
        <w:footnoteRef/>
      </w:r>
      <w:r>
        <w:rPr>
          <w:rtl/>
        </w:rPr>
        <w:t xml:space="preserve"> </w:t>
      </w:r>
      <w:r>
        <w:rPr>
          <w:rFonts w:ascii="Arial"/>
          <w:b/>
          <w:bCs/>
          <w:sz w:val="38"/>
          <w:rtl/>
        </w:rPr>
        <w:t>דאתכלילן כו'.</w:t>
      </w:r>
      <w:r>
        <w:rPr>
          <w:rFonts w:ascii="Arial"/>
          <w:sz w:val="38"/>
          <w:rtl/>
        </w:rPr>
        <w:t xml:space="preserve"> ואינה ממניינם - שהיא כוללת כולם:</w:t>
      </w:r>
    </w:p>
    <w:p w:rsidR="00A13282" w:rsidRDefault="00A13282">
      <w:pPr>
        <w:pStyle w:val="a5"/>
        <w:rPr>
          <w:rtl/>
        </w:rPr>
      </w:pPr>
    </w:p>
  </w:footnote>
  <w:footnote w:id="2130">
    <w:p w:rsidR="00A13282" w:rsidRDefault="00A13282">
      <w:pPr>
        <w:pStyle w:val="a5"/>
        <w:rPr>
          <w:rtl/>
        </w:rPr>
      </w:pPr>
      <w:r>
        <w:rPr>
          <w:rStyle w:val="a7"/>
          <w:rtl/>
        </w:rPr>
        <w:footnoteRef/>
      </w:r>
      <w:r>
        <w:rPr>
          <w:rtl/>
        </w:rPr>
        <w:t xml:space="preserve"> </w:t>
      </w:r>
      <w:r>
        <w:rPr>
          <w:rFonts w:ascii="Arial"/>
          <w:b/>
          <w:bCs/>
          <w:sz w:val="38"/>
          <w:rtl/>
        </w:rPr>
        <w:t>תיקון יט. בראשית כו' תמן בת.</w:t>
      </w:r>
      <w:r>
        <w:rPr>
          <w:rFonts w:ascii="Arial"/>
          <w:sz w:val="38"/>
          <w:rtl/>
        </w:rPr>
        <w:t xml:space="preserve"> כנ"ל:</w:t>
      </w:r>
    </w:p>
  </w:footnote>
  <w:footnote w:id="2131">
    <w:p w:rsidR="00A13282" w:rsidRDefault="00A13282">
      <w:pPr>
        <w:pStyle w:val="a5"/>
        <w:rPr>
          <w:rtl/>
        </w:rPr>
      </w:pPr>
      <w:r>
        <w:rPr>
          <w:rStyle w:val="a7"/>
          <w:rtl/>
        </w:rPr>
        <w:footnoteRef/>
      </w:r>
      <w:r>
        <w:rPr>
          <w:rtl/>
        </w:rPr>
        <w:t xml:space="preserve"> </w:t>
      </w:r>
      <w:r>
        <w:rPr>
          <w:rFonts w:ascii="Arial"/>
          <w:b/>
          <w:bCs/>
          <w:sz w:val="38"/>
          <w:rtl/>
        </w:rPr>
        <w:t>והאי בת נקודה כו'.</w:t>
      </w:r>
      <w:r>
        <w:rPr>
          <w:rFonts w:ascii="Arial"/>
          <w:sz w:val="38"/>
          <w:rtl/>
        </w:rPr>
        <w:t xml:space="preserve"> רוצה לומר חכמת שלמה, והיא נקודה פנימית של סיהרא כמו שאומר ברעיא מהימנא פרשת פנחס עיין שם, והחוט המקיף לסיהרא - הוא כתר שלה, והוא נקרא אוירא - בסוד אוירא דגלגלתא, והחוט - הוא דוגמת הגלגלת, ואויר שבה - דוגמת אוירא דגלגלתא, ונקרא בת, כמו שאמרו על בת עין שהיא חכמה כמו שאומר בתיקוני זוהר חדש. וזה שאומר עלה אתמר כו':</w:t>
      </w:r>
    </w:p>
  </w:footnote>
  <w:footnote w:id="2132">
    <w:p w:rsidR="00A13282" w:rsidRDefault="00A13282">
      <w:pPr>
        <w:pStyle w:val="a5"/>
        <w:rPr>
          <w:rtl/>
        </w:rPr>
      </w:pPr>
      <w:r>
        <w:rPr>
          <w:rStyle w:val="a7"/>
          <w:rtl/>
        </w:rPr>
        <w:footnoteRef/>
      </w:r>
      <w:r>
        <w:rPr>
          <w:rtl/>
        </w:rPr>
        <w:t xml:space="preserve"> </w:t>
      </w:r>
      <w:r>
        <w:rPr>
          <w:rFonts w:ascii="Arial"/>
          <w:b/>
          <w:bCs/>
          <w:sz w:val="38"/>
          <w:rtl/>
        </w:rPr>
        <w:t>איהי ודאי כו'.</w:t>
      </w:r>
      <w:r>
        <w:rPr>
          <w:rFonts w:ascii="Arial"/>
          <w:sz w:val="38"/>
          <w:rtl/>
        </w:rPr>
        <w:t xml:space="preserve"> רוצה לומר אור - הוא כתר, וחכמה - הוא יו"ד, וזה שאומר ובה כו' רוצה לומר שלכן נקרא כתר - אויר, בהיותה גנוז היו"ד בה:</w:t>
      </w:r>
    </w:p>
  </w:footnote>
  <w:footnote w:id="2133">
    <w:p w:rsidR="00A13282" w:rsidRDefault="00A13282">
      <w:pPr>
        <w:pStyle w:val="a5"/>
        <w:rPr>
          <w:rtl/>
        </w:rPr>
      </w:pPr>
      <w:r>
        <w:rPr>
          <w:rStyle w:val="a7"/>
          <w:rtl/>
        </w:rPr>
        <w:footnoteRef/>
      </w:r>
      <w:r>
        <w:rPr>
          <w:rtl/>
        </w:rPr>
        <w:t xml:space="preserve"> </w:t>
      </w:r>
      <w:r>
        <w:rPr>
          <w:rFonts w:ascii="Arial"/>
          <w:b/>
          <w:bCs/>
          <w:sz w:val="38"/>
          <w:rtl/>
        </w:rPr>
        <w:t>בלבת.</w:t>
      </w:r>
      <w:r>
        <w:rPr>
          <w:rFonts w:ascii="Arial"/>
          <w:sz w:val="38"/>
          <w:rtl/>
        </w:rPr>
        <w:t xml:space="preserve"> ל"ב - ל"ב נתיבות, בת - כנ"ל:</w:t>
      </w:r>
    </w:p>
  </w:footnote>
  <w:footnote w:id="2134">
    <w:p w:rsidR="00A13282" w:rsidRDefault="00A13282">
      <w:pPr>
        <w:pStyle w:val="a5"/>
        <w:rPr>
          <w:rtl/>
        </w:rPr>
      </w:pPr>
      <w:r>
        <w:rPr>
          <w:rStyle w:val="a7"/>
          <w:rtl/>
        </w:rPr>
        <w:footnoteRef/>
      </w:r>
      <w:r>
        <w:rPr>
          <w:rtl/>
        </w:rPr>
        <w:t xml:space="preserve"> </w:t>
      </w:r>
      <w:r>
        <w:rPr>
          <w:rFonts w:ascii="Arial"/>
          <w:b/>
          <w:bCs/>
          <w:sz w:val="38"/>
          <w:rtl/>
        </w:rPr>
        <w:t>מתוך הסנה.</w:t>
      </w:r>
      <w:r>
        <w:rPr>
          <w:rFonts w:ascii="Arial"/>
          <w:sz w:val="38"/>
          <w:rtl/>
        </w:rPr>
        <w:t xml:space="preserve"> רוצה לומר הסנה - הוא אור הנ"ל, והוא דרגא דמשה, לכן נגלה לו שם, ולכן אמר לו שם אקי"ק ולבת בתוך הסנה כנ"ל, סנה - גימטריה שלש שמות יב"ק, עם השמות, וזה שאומר חמש זמנין כו' וחמש כו':</w:t>
      </w:r>
    </w:p>
  </w:footnote>
  <w:footnote w:id="2135">
    <w:p w:rsidR="00A13282" w:rsidRDefault="00A13282">
      <w:pPr>
        <w:pStyle w:val="a5"/>
        <w:rPr>
          <w:rtl/>
        </w:rPr>
      </w:pPr>
      <w:r>
        <w:rPr>
          <w:rStyle w:val="a7"/>
          <w:rtl/>
        </w:rPr>
        <w:footnoteRef/>
      </w:r>
      <w:r>
        <w:rPr>
          <w:rtl/>
        </w:rPr>
        <w:t xml:space="preserve"> </w:t>
      </w:r>
      <w:r>
        <w:rPr>
          <w:rFonts w:ascii="Arial"/>
          <w:b/>
          <w:bCs/>
          <w:sz w:val="38"/>
          <w:rtl/>
        </w:rPr>
        <w:t>ואינון חמש כו'.</w:t>
      </w:r>
      <w:r>
        <w:rPr>
          <w:rFonts w:ascii="Arial"/>
          <w:sz w:val="38"/>
          <w:rtl/>
        </w:rPr>
        <w:t xml:space="preserve"> רוצה לומר כי אויר נקרא כתר, אור ויוד גנוז בה כנ"ל, אח"כ נפיק היו"ד - חכמה, ואח"כ יוצא האור והיא בינה, כי בכתר - שורש חו"ב זו"נ כידוע, והיא היו"ד והאור, ואח"כ יוצאין מהם חו"ב. ונקראת בינה - אור, ולכן נקרא בינה גלגלתא, וכן נקרא בכל שמות שבה - אקיק וכן כולם כידוע, שעיקר התגלות הכתר - באור, ובינה היא ה' עילאה לכן ה’ פעמים אור, והם מתפשטין בה’ ספירות - מחסד עד הוד כידוע, וכמו שמפרש והולך ועלייהו אתמר כו':</w:t>
      </w:r>
    </w:p>
  </w:footnote>
  <w:footnote w:id="2136">
    <w:p w:rsidR="00A13282" w:rsidRDefault="00A13282">
      <w:pPr>
        <w:pStyle w:val="a5"/>
        <w:rPr>
          <w:rtl/>
        </w:rPr>
      </w:pPr>
      <w:r>
        <w:rPr>
          <w:rStyle w:val="a7"/>
          <w:rtl/>
        </w:rPr>
        <w:footnoteRef/>
      </w:r>
      <w:r>
        <w:rPr>
          <w:rtl/>
        </w:rPr>
        <w:t xml:space="preserve"> </w:t>
      </w:r>
      <w:r>
        <w:rPr>
          <w:rFonts w:ascii="Arial"/>
          <w:b/>
          <w:bCs/>
          <w:sz w:val="38"/>
          <w:rtl/>
        </w:rPr>
        <w:t>חמש תיקונין דמדה.</w:t>
      </w:r>
      <w:r>
        <w:rPr>
          <w:rFonts w:ascii="Arial"/>
          <w:sz w:val="38"/>
          <w:rtl/>
        </w:rPr>
        <w:t xml:space="preserve"> רוצה לומר דחמשה מיני מדות הם: שלשה - במדידה: שעל וזרת ושליש, ושני מיני משקל: פלס ומאזנים. חג"ת נקראים מדות - שמודדין לכל אחד כמדתו, שלשה ספרים נפתחים כו', ונו"ה - נקרא מאזני צדקה כמו שאומר לעיל י"ג ב':</w:t>
      </w:r>
    </w:p>
  </w:footnote>
  <w:footnote w:id="2137">
    <w:p w:rsidR="00A13282" w:rsidRDefault="00A13282">
      <w:pPr>
        <w:pStyle w:val="a5"/>
        <w:rPr>
          <w:rtl/>
        </w:rPr>
      </w:pPr>
      <w:r>
        <w:rPr>
          <w:rStyle w:val="a7"/>
          <w:rtl/>
        </w:rPr>
        <w:footnoteRef/>
      </w:r>
      <w:r>
        <w:rPr>
          <w:rtl/>
        </w:rPr>
        <w:t xml:space="preserve"> </w:t>
      </w:r>
      <w:r>
        <w:rPr>
          <w:rFonts w:ascii="Arial"/>
          <w:b/>
          <w:bCs/>
          <w:sz w:val="38"/>
          <w:rtl/>
        </w:rPr>
        <w:t>דאינון לקבלייהו כו'.</w:t>
      </w:r>
      <w:r>
        <w:rPr>
          <w:rFonts w:ascii="Arial"/>
          <w:sz w:val="38"/>
          <w:rtl/>
        </w:rPr>
        <w:t xml:space="preserve"> רוצה לומר חמש תנועות גדולות, וחמש אלפין הוא ראשי תיבות של אור, ואמר בשורק קטן כמו שאומר לקמן שהוא במקום שורק גדול:</w:t>
      </w:r>
    </w:p>
  </w:footnote>
  <w:footnote w:id="2138">
    <w:p w:rsidR="00A13282" w:rsidRDefault="00A13282">
      <w:pPr>
        <w:pStyle w:val="a5"/>
        <w:rPr>
          <w:rtl/>
        </w:rPr>
      </w:pPr>
      <w:r>
        <w:rPr>
          <w:rStyle w:val="a7"/>
          <w:rtl/>
        </w:rPr>
        <w:footnoteRef/>
      </w:r>
      <w:r>
        <w:rPr>
          <w:rtl/>
        </w:rPr>
        <w:t xml:space="preserve"> </w:t>
      </w:r>
      <w:r>
        <w:rPr>
          <w:rFonts w:ascii="Arial"/>
          <w:b/>
          <w:bCs/>
          <w:sz w:val="38"/>
          <w:rtl/>
        </w:rPr>
        <w:t>דא חסד.</w:t>
      </w:r>
      <w:r>
        <w:rPr>
          <w:rFonts w:ascii="Arial"/>
          <w:sz w:val="38"/>
          <w:rtl/>
        </w:rPr>
        <w:t xml:space="preserve"> שנאמר מים, וזה שעלו - ש"ע לו, ש"ע נהורין:</w:t>
      </w:r>
    </w:p>
  </w:footnote>
  <w:footnote w:id="2139">
    <w:p w:rsidR="00A13282" w:rsidRDefault="00A13282">
      <w:pPr>
        <w:pStyle w:val="a5"/>
        <w:rPr>
          <w:rtl/>
        </w:rPr>
      </w:pPr>
      <w:r>
        <w:rPr>
          <w:rStyle w:val="a7"/>
          <w:rtl/>
        </w:rPr>
        <w:footnoteRef/>
      </w:r>
      <w:r>
        <w:rPr>
          <w:rtl/>
        </w:rPr>
        <w:t xml:space="preserve"> </w:t>
      </w:r>
      <w:r>
        <w:rPr>
          <w:rFonts w:ascii="Arial"/>
          <w:b/>
          <w:bCs/>
          <w:sz w:val="38"/>
          <w:rtl/>
        </w:rPr>
        <w:t>מאי זרת כו'.</w:t>
      </w:r>
      <w:r>
        <w:rPr>
          <w:rFonts w:ascii="Arial"/>
          <w:sz w:val="38"/>
          <w:rtl/>
        </w:rPr>
        <w:t xml:space="preserve"> כמו שאמרו (כתובות ה ע"ב, זוהר שמות דף רלד ע"א) זהו זרת למדוד החושן, (שמות כח טז) זרת ארכו כו', וחושן מכפר על הדין כמו שאמרו (זבחים פח ע"ב) שנאמר חשן משפט:</w:t>
      </w:r>
    </w:p>
  </w:footnote>
  <w:footnote w:id="2140">
    <w:p w:rsidR="00A13282" w:rsidRDefault="00A13282">
      <w:pPr>
        <w:pStyle w:val="a5"/>
        <w:rPr>
          <w:rtl/>
        </w:rPr>
      </w:pPr>
      <w:r>
        <w:rPr>
          <w:rStyle w:val="a7"/>
          <w:rtl/>
        </w:rPr>
        <w:footnoteRef/>
      </w:r>
      <w:r>
        <w:rPr>
          <w:rtl/>
        </w:rPr>
        <w:t xml:space="preserve"> </w:t>
      </w:r>
      <w:r>
        <w:rPr>
          <w:rFonts w:ascii="Arial"/>
          <w:b/>
          <w:bCs/>
          <w:sz w:val="38"/>
          <w:rtl/>
        </w:rPr>
        <w:t>דאיהו תליתאי.</w:t>
      </w:r>
      <w:r>
        <w:rPr>
          <w:rFonts w:ascii="Arial"/>
          <w:sz w:val="38"/>
          <w:rtl/>
        </w:rPr>
        <w:t xml:space="preserve"> ועל ידו כל הספירות משולשין כמו שאומר בזוהר חדש ע"ג ג', וזה שאמרו (שבת פח ע"א) בריך רחמנא דיהיב אוריין תליתאי ע"י כו', וזהו בשליש כו':</w:t>
      </w:r>
    </w:p>
  </w:footnote>
  <w:footnote w:id="2141">
    <w:p w:rsidR="00A13282" w:rsidRDefault="00A13282">
      <w:pPr>
        <w:pStyle w:val="a5"/>
        <w:rPr>
          <w:rtl/>
        </w:rPr>
      </w:pPr>
      <w:r>
        <w:rPr>
          <w:rStyle w:val="a7"/>
          <w:rtl/>
        </w:rPr>
        <w:footnoteRef/>
      </w:r>
      <w:r>
        <w:rPr>
          <w:rtl/>
        </w:rPr>
        <w:t xml:space="preserve"> </w:t>
      </w:r>
      <w:r>
        <w:rPr>
          <w:rFonts w:ascii="Arial"/>
          <w:b/>
          <w:bCs/>
          <w:sz w:val="38"/>
          <w:rtl/>
        </w:rPr>
        <w:t>דא הוד.</w:t>
      </w:r>
      <w:r>
        <w:rPr>
          <w:rFonts w:ascii="Arial"/>
          <w:sz w:val="38"/>
          <w:rtl/>
        </w:rPr>
        <w:t xml:space="preserve"> שנכלל בנצח, ולכן בו מאזנים - שנים, משני צדדין:</w:t>
      </w:r>
    </w:p>
  </w:footnote>
  <w:footnote w:id="2142">
    <w:p w:rsidR="00A13282" w:rsidRDefault="00A13282">
      <w:pPr>
        <w:pStyle w:val="a5"/>
        <w:rPr>
          <w:rtl/>
        </w:rPr>
      </w:pPr>
      <w:r>
        <w:rPr>
          <w:rStyle w:val="a7"/>
          <w:rtl/>
        </w:rPr>
        <w:footnoteRef/>
      </w:r>
      <w:r>
        <w:rPr>
          <w:rtl/>
        </w:rPr>
        <w:t xml:space="preserve"> </w:t>
      </w:r>
      <w:r>
        <w:rPr>
          <w:rFonts w:ascii="Arial"/>
          <w:b/>
          <w:bCs/>
          <w:sz w:val="38"/>
          <w:rtl/>
        </w:rPr>
        <w:t>דאת ה'.</w:t>
      </w:r>
      <w:r>
        <w:rPr>
          <w:rFonts w:ascii="Arial"/>
          <w:sz w:val="38"/>
          <w:rtl/>
        </w:rPr>
        <w:t xml:space="preserve"> ה' ראשונה כנ"ל:</w:t>
      </w:r>
    </w:p>
  </w:footnote>
  <w:footnote w:id="2143">
    <w:p w:rsidR="00A13282" w:rsidRDefault="00A13282">
      <w:pPr>
        <w:pStyle w:val="a5"/>
        <w:rPr>
          <w:rtl/>
        </w:rPr>
      </w:pPr>
      <w:r>
        <w:rPr>
          <w:rStyle w:val="a7"/>
          <w:rtl/>
        </w:rPr>
        <w:footnoteRef/>
      </w:r>
      <w:r>
        <w:rPr>
          <w:rtl/>
        </w:rPr>
        <w:t xml:space="preserve"> </w:t>
      </w:r>
      <w:r>
        <w:rPr>
          <w:rFonts w:ascii="Arial"/>
          <w:b/>
          <w:bCs/>
          <w:sz w:val="38"/>
          <w:rtl/>
        </w:rPr>
        <w:t>דהאי נקודה כו'.</w:t>
      </w:r>
      <w:r>
        <w:rPr>
          <w:rFonts w:ascii="Arial"/>
          <w:sz w:val="38"/>
          <w:rtl/>
        </w:rPr>
        <w:t xml:space="preserve"> יו"ד של חכמה, לכן נ' תרעין מתפשטין בהאי מדידה - עד הוד, י' פעמים ה' כנ"ל בהקדמה. ואמר דהאי נקודה כו' רוצה לומר לכן נחלק לה' נקודות לפי שיוצאין מהאי נקודה:</w:t>
      </w:r>
    </w:p>
  </w:footnote>
  <w:footnote w:id="2144">
    <w:p w:rsidR="00A13282" w:rsidRDefault="00A13282">
      <w:pPr>
        <w:pStyle w:val="a5"/>
        <w:rPr>
          <w:rtl/>
        </w:rPr>
      </w:pPr>
      <w:r>
        <w:rPr>
          <w:rStyle w:val="a7"/>
          <w:rtl/>
        </w:rPr>
        <w:footnoteRef/>
      </w:r>
      <w:r>
        <w:rPr>
          <w:rtl/>
        </w:rPr>
        <w:t xml:space="preserve"> </w:t>
      </w:r>
      <w:r>
        <w:rPr>
          <w:rFonts w:ascii="Arial"/>
          <w:b/>
          <w:bCs/>
          <w:sz w:val="38"/>
          <w:rtl/>
        </w:rPr>
        <w:t>דאיהי יוד כו'.</w:t>
      </w:r>
      <w:r>
        <w:rPr>
          <w:rFonts w:ascii="Arial"/>
          <w:sz w:val="38"/>
          <w:rtl/>
        </w:rPr>
        <w:t xml:space="preserve"> רוצה לומר הנקודה הוא יוד - שהיא בצורת נקודה, והיא חכמה - יוד של שם כנ"ל, ומחכמה - נקודות, כידוע:</w:t>
      </w:r>
    </w:p>
  </w:footnote>
  <w:footnote w:id="2145">
    <w:p w:rsidR="00A13282" w:rsidRDefault="00A13282">
      <w:pPr>
        <w:pStyle w:val="a5"/>
        <w:rPr>
          <w:rtl/>
        </w:rPr>
      </w:pPr>
      <w:r>
        <w:rPr>
          <w:rStyle w:val="a7"/>
          <w:rtl/>
        </w:rPr>
        <w:footnoteRef/>
      </w:r>
      <w:r>
        <w:rPr>
          <w:rtl/>
        </w:rPr>
        <w:t xml:space="preserve"> </w:t>
      </w:r>
      <w:r>
        <w:rPr>
          <w:rFonts w:ascii="Arial"/>
          <w:b/>
          <w:bCs/>
          <w:sz w:val="38"/>
          <w:rtl/>
        </w:rPr>
        <w:t>איהו אזיל.</w:t>
      </w:r>
      <w:r>
        <w:rPr>
          <w:rFonts w:ascii="Arial"/>
          <w:sz w:val="38"/>
          <w:rtl/>
        </w:rPr>
        <w:t xml:space="preserve"> רוצה לומר ה' הנ"ל:</w:t>
      </w:r>
    </w:p>
  </w:footnote>
  <w:footnote w:id="2146">
    <w:p w:rsidR="00A13282" w:rsidRDefault="00A13282">
      <w:pPr>
        <w:pStyle w:val="a5"/>
        <w:rPr>
          <w:rtl/>
        </w:rPr>
      </w:pPr>
      <w:r>
        <w:rPr>
          <w:rStyle w:val="a7"/>
          <w:rtl/>
        </w:rPr>
        <w:footnoteRef/>
      </w:r>
      <w:r>
        <w:rPr>
          <w:rtl/>
        </w:rPr>
        <w:t xml:space="preserve"> </w:t>
      </w:r>
      <w:r>
        <w:rPr>
          <w:rFonts w:ascii="Arial"/>
          <w:b/>
          <w:bCs/>
          <w:sz w:val="38"/>
          <w:rtl/>
        </w:rPr>
        <w:t>חמש מאה.</w:t>
      </w:r>
      <w:r>
        <w:rPr>
          <w:rFonts w:ascii="Arial"/>
          <w:sz w:val="38"/>
          <w:rtl/>
        </w:rPr>
        <w:t xml:space="preserve"> שכל עשר נחלק לעשר, כמו שאמרו בספר יצירה:</w:t>
      </w:r>
    </w:p>
  </w:footnote>
  <w:footnote w:id="2147">
    <w:p w:rsidR="00A13282" w:rsidRDefault="00A13282">
      <w:pPr>
        <w:pStyle w:val="a5"/>
        <w:rPr>
          <w:rtl/>
        </w:rPr>
      </w:pPr>
      <w:r>
        <w:rPr>
          <w:rStyle w:val="a7"/>
          <w:rtl/>
        </w:rPr>
        <w:footnoteRef/>
      </w:r>
      <w:r>
        <w:rPr>
          <w:rtl/>
        </w:rPr>
        <w:t xml:space="preserve"> </w:t>
      </w:r>
      <w:r>
        <w:rPr>
          <w:rFonts w:ascii="Arial"/>
          <w:b/>
          <w:bCs/>
          <w:sz w:val="38"/>
          <w:rtl/>
        </w:rPr>
        <w:t>בין כל חד כו'.</w:t>
      </w:r>
      <w:r>
        <w:rPr>
          <w:rFonts w:ascii="Arial"/>
          <w:sz w:val="38"/>
          <w:rtl/>
        </w:rPr>
        <w:t xml:space="preserve"> כמו שאמרו אצל הרקיעים (פסחים צד ע"ב) בין כל רקיע כו' ועוביו של רקיע כו', שהן ז"ת, שמתפשט ה' עילאה בנ' תרעין - כל אחד כלול מעשר, עד הוד, ונכללין ביסוד ומלכות, שהן שבעה רקיעים:</w:t>
      </w:r>
    </w:p>
  </w:footnote>
  <w:footnote w:id="2148">
    <w:p w:rsidR="00A13282" w:rsidRDefault="00A13282">
      <w:pPr>
        <w:pStyle w:val="a5"/>
        <w:rPr>
          <w:rtl/>
        </w:rPr>
      </w:pPr>
      <w:r>
        <w:rPr>
          <w:rStyle w:val="a7"/>
          <w:rtl/>
        </w:rPr>
        <w:footnoteRef/>
      </w:r>
      <w:r>
        <w:rPr>
          <w:rtl/>
        </w:rPr>
        <w:t xml:space="preserve"> </w:t>
      </w:r>
      <w:r>
        <w:rPr>
          <w:rFonts w:ascii="Arial"/>
          <w:b/>
          <w:bCs/>
          <w:sz w:val="38"/>
          <w:rtl/>
        </w:rPr>
        <w:t>עץ החיים.</w:t>
      </w:r>
      <w:r>
        <w:rPr>
          <w:rFonts w:ascii="Arial"/>
          <w:sz w:val="38"/>
          <w:rtl/>
        </w:rPr>
        <w:t xml:space="preserve"> הוא בינה, ומתפשט כנ"ל, אבל הכל הוא על הדעת שממנה נפיק נהר כו' ועיין מה שבארנו מזה בתיקון מ"ב בארוכה:</w:t>
      </w:r>
    </w:p>
  </w:footnote>
  <w:footnote w:id="2149">
    <w:p w:rsidR="00A13282" w:rsidRDefault="00A13282">
      <w:pPr>
        <w:pStyle w:val="a5"/>
        <w:rPr>
          <w:rtl/>
        </w:rPr>
      </w:pPr>
      <w:r>
        <w:rPr>
          <w:rStyle w:val="a7"/>
          <w:rtl/>
        </w:rPr>
        <w:footnoteRef/>
      </w:r>
      <w:r>
        <w:rPr>
          <w:rtl/>
        </w:rPr>
        <w:t xml:space="preserve"> </w:t>
      </w:r>
      <w:r>
        <w:rPr>
          <w:rFonts w:ascii="Arial"/>
          <w:b/>
          <w:bCs/>
          <w:sz w:val="38"/>
          <w:rtl/>
        </w:rPr>
        <w:t>מהלך חמש כו'.</w:t>
      </w:r>
      <w:r>
        <w:rPr>
          <w:rFonts w:ascii="Arial"/>
          <w:sz w:val="38"/>
          <w:rtl/>
        </w:rPr>
        <w:t xml:space="preserve"> רוצה לומר נ' תרעין דילה כנ"ל - בה’ ספירות, וכולם ביחד בסוד ת"ק שנה, ואח"כ בכל אחד בפרטות - בכל רקיע ובין כל רקיע כנ"ל, וזה שאומר, ובין כו' ובעובי כו', ולכן נאמר בפסוק חמשה בריחים שלש פעמים כמו שמפרש והולך. והענין, כי הי, במלואו דיודין - הוא חושבן ג' ההי"ן, וה' עצמה - הוא בחינת התפשטות דילה בעצמה ושרשה, ואח"כ התפשטותה ביסוד הנקודה שהיא יוד - נחלק לעובי כו' ובין כו' כנ"ל:</w:t>
      </w:r>
    </w:p>
  </w:footnote>
  <w:footnote w:id="2150">
    <w:p w:rsidR="00A13282" w:rsidRDefault="00A13282">
      <w:pPr>
        <w:pStyle w:val="a5"/>
        <w:rPr>
          <w:rtl/>
        </w:rPr>
      </w:pPr>
      <w:r>
        <w:rPr>
          <w:rStyle w:val="a7"/>
          <w:rtl/>
        </w:rPr>
        <w:footnoteRef/>
      </w:r>
      <w:r>
        <w:rPr>
          <w:rtl/>
        </w:rPr>
        <w:t xml:space="preserve"> </w:t>
      </w:r>
      <w:r>
        <w:rPr>
          <w:rFonts w:ascii="Arial"/>
          <w:b/>
          <w:bCs/>
          <w:sz w:val="38"/>
          <w:rtl/>
        </w:rPr>
        <w:t>חמשה לקרשי כו'.</w:t>
      </w:r>
      <w:r>
        <w:rPr>
          <w:rFonts w:ascii="Arial"/>
          <w:sz w:val="38"/>
          <w:rtl/>
        </w:rPr>
        <w:t xml:space="preserve"> הן חג"ת, לירכתים - הן נו"ה, כמו שמפרש והולך. והן ה’ פעמים חמשה, ועוד כנגדן בין כל אחד ואחד ה’ פעמים חמשה - כ"ה וכ"ה, והן נ' תרעין דילה כידוע:</w:t>
      </w:r>
    </w:p>
  </w:footnote>
  <w:footnote w:id="2151">
    <w:p w:rsidR="00A13282" w:rsidRDefault="00A13282">
      <w:pPr>
        <w:pStyle w:val="a5"/>
        <w:rPr>
          <w:rtl/>
        </w:rPr>
      </w:pPr>
      <w:r>
        <w:rPr>
          <w:rStyle w:val="a7"/>
          <w:rtl/>
        </w:rPr>
        <w:footnoteRef/>
      </w:r>
      <w:r>
        <w:rPr>
          <w:rtl/>
        </w:rPr>
        <w:t xml:space="preserve"> </w:t>
      </w:r>
      <w:r>
        <w:rPr>
          <w:rFonts w:ascii="Arial"/>
          <w:b/>
          <w:bCs/>
          <w:sz w:val="38"/>
          <w:rtl/>
        </w:rPr>
        <w:t>דא שכינתא עילאה.</w:t>
      </w:r>
      <w:r>
        <w:rPr>
          <w:rFonts w:ascii="Arial"/>
          <w:sz w:val="38"/>
          <w:rtl/>
        </w:rPr>
        <w:t xml:space="preserve"> שהכל ממנה ובה גם כן ה' כנ"ל:</w:t>
      </w:r>
    </w:p>
  </w:footnote>
  <w:footnote w:id="2152">
    <w:p w:rsidR="00A13282" w:rsidRDefault="00A13282">
      <w:pPr>
        <w:pStyle w:val="a5"/>
        <w:rPr>
          <w:rtl/>
        </w:rPr>
      </w:pPr>
      <w:r>
        <w:rPr>
          <w:rStyle w:val="a7"/>
          <w:rtl/>
        </w:rPr>
        <w:footnoteRef/>
      </w:r>
      <w:r>
        <w:rPr>
          <w:rtl/>
        </w:rPr>
        <w:t xml:space="preserve"> </w:t>
      </w:r>
      <w:r>
        <w:rPr>
          <w:rFonts w:ascii="Arial"/>
          <w:b/>
          <w:bCs/>
          <w:sz w:val="38"/>
          <w:rtl/>
        </w:rPr>
        <w:t>על ראשי החיה.</w:t>
      </w:r>
      <w:r>
        <w:rPr>
          <w:rFonts w:ascii="Arial"/>
          <w:sz w:val="38"/>
          <w:rtl/>
        </w:rPr>
        <w:t xml:space="preserve"> חג"ת, ורקיע שעליהן - בינה כידוע. ורוצה לומר, ונאמר כעין הקרח הנורא - שהוא ממים, והוא ראיה שנקראת ימה, וענין קרח הנורא ידוע - אור הנראה דרך הקרח והיא נקראת אויר:</w:t>
      </w:r>
    </w:p>
  </w:footnote>
  <w:footnote w:id="2153">
    <w:p w:rsidR="00A13282" w:rsidRDefault="00A13282">
      <w:pPr>
        <w:pStyle w:val="a5"/>
        <w:rPr>
          <w:rtl/>
        </w:rPr>
      </w:pPr>
      <w:r>
        <w:rPr>
          <w:rStyle w:val="a7"/>
          <w:rtl/>
        </w:rPr>
        <w:footnoteRef/>
      </w:r>
      <w:r>
        <w:rPr>
          <w:rtl/>
        </w:rPr>
        <w:t xml:space="preserve"> </w:t>
      </w:r>
      <w:r>
        <w:rPr>
          <w:rFonts w:ascii="Arial"/>
          <w:b/>
          <w:bCs/>
          <w:sz w:val="38"/>
          <w:rtl/>
        </w:rPr>
        <w:t>ואיהו דאוקמוהו כו'.</w:t>
      </w:r>
      <w:r>
        <w:rPr>
          <w:rFonts w:ascii="Arial"/>
          <w:sz w:val="38"/>
          <w:rtl/>
        </w:rPr>
        <w:t xml:space="preserve"> רוצה לומר על בינה:</w:t>
      </w:r>
    </w:p>
  </w:footnote>
  <w:footnote w:id="2154">
    <w:p w:rsidR="00A13282" w:rsidRDefault="00A13282">
      <w:pPr>
        <w:pStyle w:val="a5"/>
        <w:rPr>
          <w:rtl/>
        </w:rPr>
      </w:pPr>
      <w:r>
        <w:rPr>
          <w:rStyle w:val="a7"/>
          <w:rtl/>
        </w:rPr>
        <w:footnoteRef/>
      </w:r>
      <w:r>
        <w:rPr>
          <w:rtl/>
        </w:rPr>
        <w:t xml:space="preserve"> </w:t>
      </w:r>
      <w:r>
        <w:rPr>
          <w:rFonts w:ascii="Arial"/>
          <w:b/>
          <w:bCs/>
          <w:sz w:val="38"/>
          <w:rtl/>
        </w:rPr>
        <w:t>מים העליונים.</w:t>
      </w:r>
      <w:r>
        <w:rPr>
          <w:rFonts w:ascii="Arial"/>
          <w:sz w:val="38"/>
          <w:rtl/>
        </w:rPr>
        <w:t xml:space="preserve"> בינה שמתפשט עד הוד:</w:t>
      </w:r>
    </w:p>
  </w:footnote>
  <w:footnote w:id="2155">
    <w:p w:rsidR="00A13282" w:rsidRDefault="00A13282">
      <w:pPr>
        <w:pStyle w:val="a5"/>
        <w:rPr>
          <w:rtl/>
        </w:rPr>
      </w:pPr>
      <w:r>
        <w:rPr>
          <w:rStyle w:val="a7"/>
          <w:rtl/>
        </w:rPr>
        <w:footnoteRef/>
      </w:r>
      <w:r>
        <w:rPr>
          <w:rtl/>
        </w:rPr>
        <w:t xml:space="preserve"> </w:t>
      </w:r>
      <w:r>
        <w:rPr>
          <w:rFonts w:ascii="Arial"/>
          <w:b/>
          <w:bCs/>
          <w:sz w:val="38"/>
          <w:rtl/>
        </w:rPr>
        <w:t>למים התחתונים.</w:t>
      </w:r>
      <w:r>
        <w:rPr>
          <w:rFonts w:ascii="Arial"/>
          <w:sz w:val="38"/>
          <w:rtl/>
        </w:rPr>
        <w:t xml:space="preserve"> מלכות:</w:t>
      </w:r>
    </w:p>
  </w:footnote>
  <w:footnote w:id="2156">
    <w:p w:rsidR="00A13282" w:rsidRDefault="00A13282">
      <w:pPr>
        <w:pStyle w:val="a5"/>
        <w:rPr>
          <w:rtl/>
        </w:rPr>
      </w:pPr>
      <w:r>
        <w:rPr>
          <w:rStyle w:val="a7"/>
          <w:rtl/>
        </w:rPr>
        <w:footnoteRef/>
      </w:r>
      <w:r>
        <w:rPr>
          <w:rtl/>
        </w:rPr>
        <w:t xml:space="preserve"> </w:t>
      </w:r>
      <w:r>
        <w:rPr>
          <w:rFonts w:ascii="Arial"/>
          <w:b/>
          <w:bCs/>
          <w:sz w:val="38"/>
          <w:rtl/>
        </w:rPr>
        <w:t>כמלא נימא.</w:t>
      </w:r>
      <w:r>
        <w:rPr>
          <w:rFonts w:ascii="Arial"/>
          <w:sz w:val="38"/>
          <w:rtl/>
        </w:rPr>
        <w:t xml:space="preserve"> יסוד כמו שמפרש והולך, וידוע שמלכות כליל כל יסוד בגוה בזיווגא, אם כן לא נשאר בינתיים רק כלשהו, וזהו כמלא נימא, והוא חוט דסחיר לברית כמו שמפרש והולך, ורוצה לומר השערות בגובה על גבי ברית כידוע וזה שאומר כתרי כסי כו':</w:t>
      </w:r>
    </w:p>
  </w:footnote>
  <w:footnote w:id="2157">
    <w:p w:rsidR="00A13282" w:rsidRDefault="00A13282">
      <w:pPr>
        <w:pStyle w:val="a5"/>
        <w:rPr>
          <w:rtl/>
        </w:rPr>
      </w:pPr>
      <w:r>
        <w:rPr>
          <w:rStyle w:val="a7"/>
          <w:rtl/>
        </w:rPr>
        <w:footnoteRef/>
      </w:r>
      <w:r>
        <w:rPr>
          <w:rtl/>
        </w:rPr>
        <w:t xml:space="preserve"> </w:t>
      </w:r>
      <w:r>
        <w:rPr>
          <w:rFonts w:ascii="Arial"/>
          <w:b/>
          <w:bCs/>
          <w:sz w:val="38"/>
          <w:rtl/>
        </w:rPr>
        <w:t>ובה קב"ה כו'.</w:t>
      </w:r>
      <w:r>
        <w:rPr>
          <w:rFonts w:ascii="Arial"/>
          <w:sz w:val="38"/>
          <w:rtl/>
        </w:rPr>
        <w:t xml:space="preserve"> רוצה לומר ביסוד, כמו שמפרש והולך שהוא דרגא דצדיקים, וכמו שאומר בסוף תיקוני זוהר חדש במתני' דשם עיין שם, לכן מדקדק השם יתברך עמהם במדה הזו, ובמה שנזהר בו, וכמו שאמרו על ראב"ש אוטם אזנו כו' (מכות כד ע"א) וערש"י שם (ע"ב):</w:t>
      </w:r>
    </w:p>
  </w:footnote>
  <w:footnote w:id="2158">
    <w:p w:rsidR="00A13282" w:rsidRDefault="00A13282">
      <w:pPr>
        <w:pStyle w:val="a5"/>
        <w:rPr>
          <w:rtl/>
        </w:rPr>
      </w:pPr>
      <w:r>
        <w:rPr>
          <w:rStyle w:val="a7"/>
          <w:rtl/>
        </w:rPr>
        <w:footnoteRef/>
      </w:r>
      <w:r>
        <w:rPr>
          <w:rtl/>
        </w:rPr>
        <w:t xml:space="preserve"> </w:t>
      </w:r>
      <w:r>
        <w:rPr>
          <w:rFonts w:ascii="Arial"/>
          <w:b/>
          <w:bCs/>
          <w:sz w:val="38"/>
          <w:rtl/>
        </w:rPr>
        <w:t>ומנע זרעא מינה.</w:t>
      </w:r>
      <w:r>
        <w:rPr>
          <w:rFonts w:ascii="Arial"/>
          <w:sz w:val="38"/>
          <w:rtl/>
        </w:rPr>
        <w:t xml:space="preserve"> רוצה לומר ממים התחתונים, כמו שאומר לקמן וכגנה זרועיה כו':</w:t>
      </w:r>
    </w:p>
  </w:footnote>
  <w:footnote w:id="2159">
    <w:p w:rsidR="00A13282" w:rsidRDefault="00A13282">
      <w:pPr>
        <w:pStyle w:val="a5"/>
        <w:rPr>
          <w:rtl/>
        </w:rPr>
      </w:pPr>
      <w:r>
        <w:rPr>
          <w:rStyle w:val="a7"/>
          <w:rtl/>
        </w:rPr>
        <w:footnoteRef/>
      </w:r>
      <w:r>
        <w:rPr>
          <w:rtl/>
        </w:rPr>
        <w:t xml:space="preserve"> </w:t>
      </w:r>
      <w:r>
        <w:rPr>
          <w:rFonts w:ascii="Arial"/>
          <w:b/>
          <w:bCs/>
          <w:sz w:val="38"/>
          <w:rtl/>
        </w:rPr>
        <w:t>דאחזר עלמא כו'.</w:t>
      </w:r>
      <w:r>
        <w:rPr>
          <w:rFonts w:ascii="Arial"/>
          <w:sz w:val="38"/>
          <w:rtl/>
        </w:rPr>
        <w:t xml:space="preserve"> כמו שאמרו במבול שקלקלו באות ברית ולכן נדונו במים עילאין ותתאין כמו שכתוב (בראשית ז יא) ביום הזה כו':</w:t>
      </w:r>
    </w:p>
  </w:footnote>
  <w:footnote w:id="2160">
    <w:p w:rsidR="00A13282" w:rsidRDefault="00A13282">
      <w:pPr>
        <w:pStyle w:val="a5"/>
        <w:rPr>
          <w:rtl/>
        </w:rPr>
      </w:pPr>
      <w:r>
        <w:rPr>
          <w:rStyle w:val="a7"/>
          <w:rtl/>
        </w:rPr>
        <w:footnoteRef/>
      </w:r>
      <w:r>
        <w:rPr>
          <w:rtl/>
        </w:rPr>
        <w:t xml:space="preserve"> </w:t>
      </w:r>
      <w:r>
        <w:rPr>
          <w:rFonts w:ascii="Arial"/>
          <w:b/>
          <w:bCs/>
          <w:sz w:val="38"/>
          <w:rtl/>
        </w:rPr>
        <w:t>לשבת יצרה ודאי.</w:t>
      </w:r>
      <w:r>
        <w:rPr>
          <w:rFonts w:ascii="Arial"/>
          <w:sz w:val="38"/>
          <w:rtl/>
        </w:rPr>
        <w:t xml:space="preserve"> רוצה לומר מלכות, כמו שכתוב (ישעיהו מד יג) לשבת בית, ואמרו כתפארת אדם - דכורא, לשבת בית - נוקבא, ולשבת בית אז לא תהו כו':</w:t>
      </w:r>
    </w:p>
  </w:footnote>
  <w:footnote w:id="2161">
    <w:p w:rsidR="00A13282" w:rsidRDefault="00A13282">
      <w:pPr>
        <w:pStyle w:val="a5"/>
        <w:rPr>
          <w:rtl/>
        </w:rPr>
      </w:pPr>
      <w:r>
        <w:rPr>
          <w:rStyle w:val="a7"/>
          <w:rtl/>
        </w:rPr>
        <w:footnoteRef/>
      </w:r>
      <w:r>
        <w:rPr>
          <w:rtl/>
        </w:rPr>
        <w:t xml:space="preserve"> </w:t>
      </w:r>
      <w:r>
        <w:rPr>
          <w:rFonts w:ascii="Arial"/>
          <w:b/>
          <w:bCs/>
          <w:sz w:val="38"/>
          <w:rtl/>
        </w:rPr>
        <w:t>מים עליונים כו'.</w:t>
      </w:r>
      <w:r>
        <w:rPr>
          <w:rFonts w:ascii="Arial"/>
          <w:sz w:val="38"/>
          <w:rtl/>
        </w:rPr>
        <w:t xml:space="preserve"> בינה - ימא דאורייתא, כמו שאומר לעיל בהקדמה, ה' עילאה שמתפשט בה' ספירות כנ"ל, והן חמשה חומשי תורה שהן נ' פרשיות כמו שאמרו במדרש הנעלם פרשת וירא, והן נ' תרעין:</w:t>
      </w:r>
    </w:p>
  </w:footnote>
  <w:footnote w:id="2162">
    <w:p w:rsidR="00A13282" w:rsidRDefault="00A13282">
      <w:pPr>
        <w:pStyle w:val="a5"/>
        <w:rPr>
          <w:rtl/>
        </w:rPr>
      </w:pPr>
      <w:r>
        <w:rPr>
          <w:rStyle w:val="a7"/>
          <w:rtl/>
        </w:rPr>
        <w:footnoteRef/>
      </w:r>
      <w:r>
        <w:rPr>
          <w:rtl/>
        </w:rPr>
        <w:t xml:space="preserve"> </w:t>
      </w:r>
      <w:r>
        <w:rPr>
          <w:rFonts w:ascii="Arial"/>
          <w:b/>
          <w:bCs/>
          <w:sz w:val="38"/>
          <w:rtl/>
        </w:rPr>
        <w:t>דאיהו רזא.</w:t>
      </w:r>
      <w:r>
        <w:rPr>
          <w:rFonts w:ascii="Arial"/>
          <w:sz w:val="38"/>
          <w:rtl/>
        </w:rPr>
        <w:t xml:space="preserve"> רוצה לומר, הקבלה - הוא חיבור שני התורות, שמביא סודות קבלה שבעל פה - במקרא, ולכן כל עסקן של ראשונים במדרשי המקראות, וכן הוא בפשוטי המדרשות כמו ספרא וספרי - שמביא הלכות שבעל פה הכל במקרא, ולכן התחיל התורת כהנים בי"ג מדות, וכולו הולך אל הי"ג מדות, כי יסוד - בו י"ג תיקונין: חמשה חומשי תורה - בחמש ספירות מחסד עד הוד כנ"ל, ומדרשי המקראות - ביסוד, והן נגד ו' תיבות של פסוק שמע ישראל: חמש תיבות - בחמש ספירות, אחד - ביסוד, שמחבר כאחד, אחד - גימטריה י"ג, כמו שאומר בתיקוני זוהר חדש, ואח"כ ו' תיבות בשכמל"ו - במלכות, נגד תורה שבעל פה, ששה סדרים, ו"ק דילה, אבל בתורה שבכתב - יסוד כליל משניהם, לפי שכולו גנוז במלכות לכן הוא בעל פה - מדרשי המקראות, וכל זה הוא בסודות קבלה כמו שמפרש והולך:</w:t>
      </w:r>
    </w:p>
  </w:footnote>
  <w:footnote w:id="2163">
    <w:p w:rsidR="00A13282" w:rsidRDefault="00A13282">
      <w:pPr>
        <w:pStyle w:val="a5"/>
        <w:rPr>
          <w:rtl/>
        </w:rPr>
      </w:pPr>
      <w:r>
        <w:rPr>
          <w:rStyle w:val="a7"/>
          <w:rtl/>
        </w:rPr>
        <w:footnoteRef/>
      </w:r>
      <w:r>
        <w:rPr>
          <w:rtl/>
        </w:rPr>
        <w:t xml:space="preserve"> </w:t>
      </w:r>
      <w:r>
        <w:rPr>
          <w:rFonts w:ascii="Arial"/>
          <w:b/>
          <w:bCs/>
          <w:sz w:val="38"/>
          <w:rtl/>
        </w:rPr>
        <w:t>יסודא ועיקרא כו'.</w:t>
      </w:r>
      <w:r>
        <w:rPr>
          <w:rFonts w:ascii="Arial"/>
          <w:sz w:val="38"/>
          <w:rtl/>
        </w:rPr>
        <w:t xml:space="preserve"> כי המקרא בלבד לית ליה הבנה, וכן תורה שבעל פה הקשו בכולם מנא לן, עד שהביאו מן התורה, ואמר ועיקרא כו'. שיסוד הוא עיקר שניהם שלכן נקרא יסוד הבנין של כל ז' ימי הבנין, ואמר לעיל ואיהו רקיע כו' והפוך רקיע ותשכח עיקר, ויסודא כו', והוא הרקיע שבין מים למים שהוא יסוד כמו שאומר לעיל שם, שהוא רקיע השני משבעה רקיעים - יסוד כידוע, והוא נברא בשני - דרגא דיצחק כידוע:</w:t>
      </w:r>
    </w:p>
  </w:footnote>
  <w:footnote w:id="2164">
    <w:p w:rsidR="00A13282" w:rsidRDefault="00A13282">
      <w:pPr>
        <w:pStyle w:val="a5"/>
        <w:rPr>
          <w:rtl/>
        </w:rPr>
      </w:pPr>
      <w:r>
        <w:rPr>
          <w:rStyle w:val="a7"/>
          <w:rtl/>
        </w:rPr>
        <w:footnoteRef/>
      </w:r>
      <w:r>
        <w:rPr>
          <w:rtl/>
        </w:rPr>
        <w:t xml:space="preserve"> </w:t>
      </w:r>
      <w:r>
        <w:rPr>
          <w:rFonts w:ascii="Arial"/>
          <w:b/>
          <w:bCs/>
          <w:sz w:val="38"/>
          <w:rtl/>
        </w:rPr>
        <w:t>ומאן דמנע כו'.</w:t>
      </w:r>
      <w:r>
        <w:rPr>
          <w:rFonts w:ascii="Arial"/>
          <w:sz w:val="38"/>
          <w:rtl/>
        </w:rPr>
        <w:t xml:space="preserve"> כנ"ל:</w:t>
      </w:r>
    </w:p>
  </w:footnote>
  <w:footnote w:id="2165">
    <w:p w:rsidR="00A13282" w:rsidRDefault="00A13282">
      <w:pPr>
        <w:pStyle w:val="a5"/>
        <w:rPr>
          <w:rtl/>
        </w:rPr>
      </w:pPr>
      <w:r>
        <w:rPr>
          <w:rStyle w:val="a7"/>
          <w:rtl/>
        </w:rPr>
        <w:footnoteRef/>
      </w:r>
      <w:r>
        <w:rPr>
          <w:rtl/>
        </w:rPr>
        <w:t xml:space="preserve"> </w:t>
      </w:r>
      <w:r>
        <w:rPr>
          <w:rFonts w:ascii="Arial"/>
          <w:b/>
          <w:bCs/>
          <w:sz w:val="38"/>
          <w:rtl/>
        </w:rPr>
        <w:t>ואלין אינון.</w:t>
      </w:r>
      <w:r>
        <w:rPr>
          <w:rFonts w:ascii="Arial"/>
          <w:sz w:val="38"/>
          <w:rtl/>
        </w:rPr>
        <w:t xml:space="preserve"> רוצה לומר מאן הוא דמנע, ואמר, ואלין כו', ואם כן אין לרזא עיקר בתורה שבכתב כנ"ל:</w:t>
      </w:r>
    </w:p>
  </w:footnote>
  <w:footnote w:id="2166">
    <w:p w:rsidR="00A13282" w:rsidRDefault="00A13282">
      <w:pPr>
        <w:pStyle w:val="a5"/>
        <w:rPr>
          <w:rtl/>
        </w:rPr>
      </w:pPr>
      <w:r>
        <w:rPr>
          <w:rStyle w:val="a7"/>
          <w:rtl/>
        </w:rPr>
        <w:footnoteRef/>
      </w:r>
      <w:r>
        <w:rPr>
          <w:rtl/>
        </w:rPr>
        <w:t xml:space="preserve"> </w:t>
      </w:r>
      <w:r>
        <w:rPr>
          <w:rFonts w:ascii="Arial"/>
          <w:b/>
          <w:bCs/>
          <w:sz w:val="38"/>
          <w:rtl/>
        </w:rPr>
        <w:t>ואינון ד"ו כו'.</w:t>
      </w:r>
      <w:r>
        <w:rPr>
          <w:rFonts w:ascii="Arial"/>
          <w:sz w:val="38"/>
          <w:rtl/>
        </w:rPr>
        <w:t xml:space="preserve"> רוצה לומר תורה שבכתב ושבעל פה - זו"ן:</w:t>
      </w:r>
    </w:p>
  </w:footnote>
  <w:footnote w:id="2167">
    <w:p w:rsidR="00A13282" w:rsidRDefault="00A13282">
      <w:pPr>
        <w:pStyle w:val="a5"/>
        <w:rPr>
          <w:rtl/>
        </w:rPr>
      </w:pPr>
      <w:r>
        <w:rPr>
          <w:rStyle w:val="a7"/>
          <w:rtl/>
        </w:rPr>
        <w:footnoteRef/>
      </w:r>
      <w:r>
        <w:rPr>
          <w:rtl/>
        </w:rPr>
        <w:t xml:space="preserve"> </w:t>
      </w:r>
      <w:r>
        <w:rPr>
          <w:rFonts w:ascii="Arial"/>
          <w:b/>
          <w:bCs/>
          <w:sz w:val="38"/>
          <w:rtl/>
        </w:rPr>
        <w:t>ג"ן סדרים.</w:t>
      </w:r>
      <w:r>
        <w:rPr>
          <w:rFonts w:ascii="Arial"/>
          <w:sz w:val="38"/>
          <w:rtl/>
        </w:rPr>
        <w:t xml:space="preserve"> דנצבים וילך - חד סדרא הוא, רק שמחלקין בשביל ב"ג ראש השנה:</w:t>
      </w:r>
    </w:p>
  </w:footnote>
  <w:footnote w:id="2168">
    <w:p w:rsidR="00A13282" w:rsidRDefault="00A13282">
      <w:pPr>
        <w:pStyle w:val="a5"/>
        <w:rPr>
          <w:rtl/>
        </w:rPr>
      </w:pPr>
      <w:r>
        <w:rPr>
          <w:rStyle w:val="a7"/>
          <w:rtl/>
        </w:rPr>
        <w:footnoteRef/>
      </w:r>
      <w:r>
        <w:rPr>
          <w:rtl/>
        </w:rPr>
        <w:t xml:space="preserve"> </w:t>
      </w:r>
      <w:r>
        <w:rPr>
          <w:rFonts w:ascii="Arial"/>
          <w:b/>
          <w:bCs/>
          <w:sz w:val="38"/>
          <w:rtl/>
        </w:rPr>
        <w:t>דאתמר בה גן כו'.</w:t>
      </w:r>
      <w:r>
        <w:rPr>
          <w:rFonts w:ascii="Arial"/>
          <w:sz w:val="38"/>
          <w:rtl/>
        </w:rPr>
        <w:t xml:space="preserve"> דכולן כלול בשכינה - תורה שבעל פה, כמו שאומר לקמן בדף שאחריו דאיהי שכינתא כו' גן, כלילא מתלת וחמשין כו' עיין שם:</w:t>
      </w:r>
    </w:p>
  </w:footnote>
  <w:footnote w:id="2169">
    <w:p w:rsidR="00A13282" w:rsidRDefault="00A13282">
      <w:pPr>
        <w:pStyle w:val="a5"/>
        <w:rPr>
          <w:rtl/>
        </w:rPr>
      </w:pPr>
      <w:r>
        <w:rPr>
          <w:rStyle w:val="a7"/>
          <w:rtl/>
        </w:rPr>
        <w:footnoteRef/>
      </w:r>
      <w:r>
        <w:rPr>
          <w:rtl/>
        </w:rPr>
        <w:t xml:space="preserve"> </w:t>
      </w:r>
      <w:r>
        <w:rPr>
          <w:rFonts w:ascii="Arial"/>
          <w:b/>
          <w:bCs/>
          <w:sz w:val="38"/>
          <w:rtl/>
        </w:rPr>
        <w:t>דמ"ם סתומה ו' איהי כו'.</w:t>
      </w:r>
      <w:r>
        <w:rPr>
          <w:rFonts w:ascii="Arial"/>
          <w:sz w:val="38"/>
          <w:rtl/>
        </w:rPr>
        <w:t xml:space="preserve"> כמו שאומר לעיל בתיקון ה', בקדמיתא איהו מ"ם סתימא, וכד אתפשט קו דאיהו ו' כו' עיין שם דוא"ו סגיר לה:</w:t>
      </w:r>
    </w:p>
  </w:footnote>
  <w:footnote w:id="2170">
    <w:p w:rsidR="00A13282" w:rsidRDefault="00A13282">
      <w:pPr>
        <w:pStyle w:val="a5"/>
        <w:rPr>
          <w:rtl/>
        </w:rPr>
      </w:pPr>
      <w:r>
        <w:rPr>
          <w:rStyle w:val="a7"/>
          <w:rtl/>
        </w:rPr>
        <w:footnoteRef/>
      </w:r>
      <w:r>
        <w:rPr>
          <w:rtl/>
        </w:rPr>
        <w:t xml:space="preserve"> </w:t>
      </w:r>
      <w:r>
        <w:rPr>
          <w:rFonts w:ascii="Arial"/>
          <w:b/>
          <w:bCs/>
          <w:sz w:val="38"/>
          <w:rtl/>
        </w:rPr>
        <w:t>בשית יומי דשבוע כו'.</w:t>
      </w:r>
      <w:r>
        <w:rPr>
          <w:rFonts w:ascii="Arial"/>
          <w:sz w:val="38"/>
          <w:rtl/>
        </w:rPr>
        <w:t xml:space="preserve"> כנגד הוא"ו:</w:t>
      </w:r>
    </w:p>
  </w:footnote>
  <w:footnote w:id="2171">
    <w:p w:rsidR="00A13282" w:rsidRDefault="00A13282">
      <w:pPr>
        <w:pStyle w:val="a5"/>
        <w:rPr>
          <w:rtl/>
        </w:rPr>
      </w:pPr>
      <w:r>
        <w:rPr>
          <w:rStyle w:val="a7"/>
          <w:rtl/>
        </w:rPr>
        <w:footnoteRef/>
      </w:r>
      <w:r>
        <w:rPr>
          <w:rtl/>
        </w:rPr>
        <w:t xml:space="preserve"> </w:t>
      </w:r>
      <w:r>
        <w:rPr>
          <w:rFonts w:ascii="Arial"/>
          <w:b/>
          <w:bCs/>
          <w:sz w:val="38"/>
          <w:rtl/>
        </w:rPr>
        <w:t>כנועל דלת בפני לווין.</w:t>
      </w:r>
      <w:r>
        <w:rPr>
          <w:rFonts w:ascii="Arial"/>
          <w:sz w:val="38"/>
          <w:rtl/>
        </w:rPr>
        <w:t xml:space="preserve"> כמו שמפרש והולך לוו עלי כו', ורוצה לומר נועל דלת - ד' של ד"ו פרצופין, שה"א של בינה מתחלק לזו"נ, ד"ו פרצופין, ו' - לעמודא דאמצעיתא ו"ק, ד' - מלכות כידוע, ו' שולט כל ימי החול, ו' ימים, ד' - מלכות, שולטת ביום שבת, לכן שבת - לית לה מגרמה כלום, דלה, כמו מלכות רק מה שמקבלת מו"ק, לכן כל ששת ימי המעשה צריך להכין לשבת, מחד שבתך לשבתך, וכל ימות החול סגור הד' - שהוא דלת, ובשבת - נפתחת ושלטא, ומכל מקום הכל מתברכים על ידה - דכשמשפיעים לה מתברכין מלמעלה, וכן כל ימי המעשה מתברכין על ידי שבת - כשמכינים לה, והיא עטרת וכלילא משלש ראשונות כידוע, וכן מורים אותיות אדני: אי"נ - הן ג"ר כידוע, ד' - מלכות, וכן בכסא: ו' דרגין לכסא נגד ו' הנ"ל - ו"ק, ד' רגלי הכסא נגד ד' הנ"ל שכלולה מד’ ספירות, והן ביחד עשר ספירות, וכן בהיכלות: ו' היכלות, והיא - היכל השביעי, ק"ק, וכוללת כל ג"ר כידוע, והיא משלמת לו עשר ספירות, שהוא ו"ק, וכן אף שהיא בבחינת ספירה אחת - משלמת לעשר ספירות, כי וא"ו - ראשו של וא"ו הוא ג"ר, רק בדקות, והיא משלמת לעשר, רק שאז גם כן בדקות, ועכשיו - משלמת גם כן בפועל, והכל בצורת ה', ואח"כ מקבלת ממנו, מו"ק שלו - ונעשית ה' - ו' בתוך ד', ונעשית עשר ספירות. נמצא שלש בחינות בה: ובחינה ראשונה בהיותה כלולה בו, בוא"ו, בדקות הרגל שבו כידוע, ואח"כ - ד', ואח"כ - ה' כנ"ל. וכל השלש בחינות - בשבת בשלש סעודות: סעודה הראשונה - במלכות, שניה - בעתיקא, בינה, בג"ר כמו שאומר ברעיא מהימנא פרשת בא, ואח"כ - בז"א, והכל במלכות כנ"ל, וסימן לשלש בחינות אלו: ה' ו' ד' מלכות:</w:t>
      </w:r>
    </w:p>
  </w:footnote>
  <w:footnote w:id="2172">
    <w:p w:rsidR="00A13282" w:rsidRDefault="00A13282">
      <w:pPr>
        <w:pStyle w:val="a5"/>
        <w:rPr>
          <w:rtl/>
        </w:rPr>
      </w:pPr>
      <w:r>
        <w:rPr>
          <w:rStyle w:val="a7"/>
          <w:rtl/>
        </w:rPr>
        <w:footnoteRef/>
      </w:r>
      <w:r>
        <w:rPr>
          <w:rtl/>
        </w:rPr>
        <w:t xml:space="preserve"> </w:t>
      </w:r>
      <w:r>
        <w:rPr>
          <w:rFonts w:ascii="Arial"/>
          <w:b/>
          <w:bCs/>
          <w:sz w:val="38"/>
          <w:rtl/>
        </w:rPr>
        <w:t>לוו עלי.</w:t>
      </w:r>
      <w:r>
        <w:rPr>
          <w:rFonts w:ascii="Arial"/>
          <w:sz w:val="38"/>
          <w:rtl/>
        </w:rPr>
        <w:t xml:space="preserve"> רוצה לומר - בשבילי, כמו שמלוין בשביל שבת - כן מלוין לשבת, למעלה, והוא בסוד צדקה לעניים, וזה שאומר ואני - שהוא מלכות, פורע, וכן למעלה - מתברכין בשבילה, כמו שאמרו (יבמות סב ע"ב) כל שאין לו אשה כו' שנאמר להניח ברכה אל ביתך:</w:t>
      </w:r>
    </w:p>
  </w:footnote>
  <w:footnote w:id="2173">
    <w:p w:rsidR="00A13282" w:rsidRDefault="00A13282">
      <w:pPr>
        <w:pStyle w:val="a5"/>
        <w:rPr>
          <w:rtl/>
        </w:rPr>
      </w:pPr>
      <w:r>
        <w:rPr>
          <w:rStyle w:val="a7"/>
          <w:rtl/>
        </w:rPr>
        <w:footnoteRef/>
      </w:r>
      <w:r>
        <w:rPr>
          <w:rtl/>
        </w:rPr>
        <w:t xml:space="preserve"> </w:t>
      </w:r>
      <w:r>
        <w:rPr>
          <w:rFonts w:ascii="Arial"/>
          <w:b/>
          <w:bCs/>
          <w:sz w:val="38"/>
          <w:rtl/>
        </w:rPr>
        <w:t>ואיהי תוספת כו'.</w:t>
      </w:r>
      <w:r>
        <w:rPr>
          <w:rFonts w:ascii="Arial"/>
          <w:sz w:val="38"/>
          <w:rtl/>
        </w:rPr>
        <w:t xml:space="preserve"> רוצה לומר שבשבת ניתוסף השגה באדם כידוע, ורוצה לומר, מה שאמרו (ביצה טז ע"א) כל מזונותיו של אדם כו' שהמוסיף כו' והגורע כו' - קאי הכל על מזונות הנשמה כמו שמפרש והולך, וגם כן כפשוטו כמו שמפרש והולך ואם הוא עשיר כו':</w:t>
      </w:r>
    </w:p>
  </w:footnote>
  <w:footnote w:id="2174">
    <w:p w:rsidR="00A13282" w:rsidRDefault="00A13282">
      <w:pPr>
        <w:pStyle w:val="a5"/>
        <w:rPr>
          <w:rtl/>
        </w:rPr>
      </w:pPr>
      <w:r>
        <w:rPr>
          <w:rStyle w:val="a7"/>
          <w:rtl/>
        </w:rPr>
        <w:footnoteRef/>
      </w:r>
      <w:r>
        <w:rPr>
          <w:rtl/>
        </w:rPr>
        <w:t xml:space="preserve"> </w:t>
      </w:r>
      <w:r>
        <w:rPr>
          <w:rFonts w:ascii="Arial"/>
          <w:b/>
          <w:bCs/>
          <w:sz w:val="38"/>
          <w:rtl/>
        </w:rPr>
        <w:t>נשמת כל חי.</w:t>
      </w:r>
      <w:r>
        <w:rPr>
          <w:rFonts w:ascii="Arial"/>
          <w:sz w:val="38"/>
          <w:rtl/>
        </w:rPr>
        <w:t xml:space="preserve"> רוצה לומר, מבינה אל יסוד כידוע:</w:t>
      </w:r>
    </w:p>
  </w:footnote>
  <w:footnote w:id="2175">
    <w:p w:rsidR="00A13282" w:rsidRDefault="00A13282">
      <w:pPr>
        <w:pStyle w:val="a5"/>
        <w:rPr>
          <w:rtl/>
        </w:rPr>
      </w:pPr>
      <w:r>
        <w:rPr>
          <w:rStyle w:val="a7"/>
          <w:rtl/>
        </w:rPr>
        <w:footnoteRef/>
      </w:r>
      <w:r>
        <w:rPr>
          <w:rtl/>
        </w:rPr>
        <w:t xml:space="preserve"> </w:t>
      </w:r>
      <w:r>
        <w:rPr>
          <w:rFonts w:ascii="Arial"/>
          <w:b/>
          <w:bCs/>
          <w:sz w:val="38"/>
          <w:rtl/>
        </w:rPr>
        <w:t>וכגנה.</w:t>
      </w:r>
      <w:r>
        <w:rPr>
          <w:rFonts w:ascii="Arial"/>
          <w:sz w:val="38"/>
          <w:rtl/>
        </w:rPr>
        <w:t xml:space="preserve"> גן הנ"ל:</w:t>
      </w:r>
    </w:p>
  </w:footnote>
  <w:footnote w:id="2176">
    <w:p w:rsidR="00A13282" w:rsidRDefault="00A13282">
      <w:pPr>
        <w:pStyle w:val="a5"/>
        <w:rPr>
          <w:rtl/>
        </w:rPr>
      </w:pPr>
      <w:r>
        <w:rPr>
          <w:rStyle w:val="a7"/>
          <w:rtl/>
        </w:rPr>
        <w:footnoteRef/>
      </w:r>
      <w:r>
        <w:rPr>
          <w:rtl/>
        </w:rPr>
        <w:t xml:space="preserve"> </w:t>
      </w:r>
      <w:r>
        <w:rPr>
          <w:rFonts w:ascii="Arial"/>
          <w:b/>
          <w:bCs/>
          <w:sz w:val="38"/>
          <w:rtl/>
        </w:rPr>
        <w:t>זרועי'.</w:t>
      </w:r>
      <w:r>
        <w:rPr>
          <w:rFonts w:ascii="Arial"/>
          <w:sz w:val="38"/>
          <w:rtl/>
        </w:rPr>
        <w:t xml:space="preserve"> כמו שמפרש והולך ומאן כו':</w:t>
      </w:r>
    </w:p>
  </w:footnote>
  <w:footnote w:id="2177">
    <w:p w:rsidR="00A13282" w:rsidRDefault="00A13282">
      <w:pPr>
        <w:pStyle w:val="a5"/>
        <w:rPr>
          <w:rtl/>
        </w:rPr>
      </w:pPr>
      <w:r>
        <w:rPr>
          <w:rStyle w:val="a7"/>
          <w:rtl/>
        </w:rPr>
        <w:footnoteRef/>
      </w:r>
      <w:r>
        <w:rPr>
          <w:rtl/>
        </w:rPr>
        <w:t xml:space="preserve"> </w:t>
      </w:r>
      <w:r>
        <w:rPr>
          <w:rFonts w:ascii="Arial"/>
          <w:b/>
          <w:bCs/>
          <w:sz w:val="38"/>
          <w:rtl/>
        </w:rPr>
        <w:t>ובג"ד כו' ביומא קדמאה.</w:t>
      </w:r>
      <w:r>
        <w:rPr>
          <w:rFonts w:ascii="Arial"/>
          <w:sz w:val="38"/>
          <w:rtl/>
        </w:rPr>
        <w:t xml:space="preserve"> כמו שאמרו ביתו של אברהם פתוח לרוחה, שבו פותח את ידיך, והוא בית של בראשית, שאתפתח המ"ם ונעשית ב' כנ"ל, והוא ביום ראשון, וכן פתחי לי כו' - הוא ששה אותיות של בראשית כמו שאומר לקמן, פתחי - ב', אחותי כו' עד שראשי, ראשי תיבות ראשית:</w:t>
      </w:r>
    </w:p>
  </w:footnote>
  <w:footnote w:id="2178">
    <w:p w:rsidR="00A13282" w:rsidRDefault="00A13282">
      <w:pPr>
        <w:pStyle w:val="a5"/>
        <w:rPr>
          <w:rtl/>
        </w:rPr>
      </w:pPr>
      <w:r>
        <w:rPr>
          <w:rStyle w:val="a7"/>
          <w:rtl/>
        </w:rPr>
        <w:footnoteRef/>
      </w:r>
      <w:r>
        <w:rPr>
          <w:rtl/>
        </w:rPr>
        <w:t xml:space="preserve"> </w:t>
      </w:r>
      <w:r>
        <w:rPr>
          <w:rFonts w:ascii="Arial"/>
          <w:b/>
          <w:bCs/>
          <w:sz w:val="38"/>
          <w:rtl/>
        </w:rPr>
        <w:t>למאן לאת י'.</w:t>
      </w:r>
      <w:r>
        <w:rPr>
          <w:rFonts w:ascii="Arial"/>
          <w:sz w:val="38"/>
          <w:rtl/>
        </w:rPr>
        <w:t xml:space="preserve"> רוצה לומר, לי - הוא ליו"ד:</w:t>
      </w:r>
    </w:p>
  </w:footnote>
  <w:footnote w:id="2179">
    <w:p w:rsidR="00A13282" w:rsidRDefault="00A13282">
      <w:pPr>
        <w:pStyle w:val="a5"/>
        <w:rPr>
          <w:rtl/>
        </w:rPr>
      </w:pPr>
      <w:r>
        <w:rPr>
          <w:rStyle w:val="a7"/>
          <w:rtl/>
        </w:rPr>
        <w:footnoteRef/>
      </w:r>
      <w:r>
        <w:rPr>
          <w:rtl/>
        </w:rPr>
        <w:t xml:space="preserve"> </w:t>
      </w:r>
      <w:r>
        <w:rPr>
          <w:rFonts w:ascii="Arial"/>
          <w:b/>
          <w:bCs/>
          <w:sz w:val="38"/>
          <w:rtl/>
        </w:rPr>
        <w:t>דאיהו נקודה דקמץ.</w:t>
      </w:r>
      <w:r>
        <w:rPr>
          <w:rFonts w:ascii="Arial"/>
          <w:sz w:val="38"/>
          <w:rtl/>
        </w:rPr>
        <w:t xml:space="preserve"> רוצה לומר, שבתוך בית - נקודה הנ"ל, וכשהוא דבוק בוא"ו אז סגור הוא"ו בבית, ונעשית מ"ם סתומה כנ"ל, והוא קמץ, והוא לשון סתום וקמץ, ובהפרד הוא"ו כעין פתח אז נפתח, וזהו פתח, ואז נתגלה הנקודה י' הנ"ל, וזהו לאת י', והוא ביום השבת שאז נתגלה היוד כמו שמפרש והולך, וזה שאומר כד אתפתח כו':</w:t>
      </w:r>
    </w:p>
  </w:footnote>
  <w:footnote w:id="2180">
    <w:p w:rsidR="00A13282" w:rsidRDefault="00A13282">
      <w:pPr>
        <w:pStyle w:val="a5"/>
        <w:rPr>
          <w:rtl/>
        </w:rPr>
      </w:pPr>
      <w:r>
        <w:rPr>
          <w:rStyle w:val="a7"/>
          <w:rtl/>
        </w:rPr>
        <w:footnoteRef/>
      </w:r>
      <w:r>
        <w:rPr>
          <w:rtl/>
        </w:rPr>
        <w:t xml:space="preserve"> </w:t>
      </w:r>
      <w:r>
        <w:rPr>
          <w:rFonts w:ascii="Arial"/>
          <w:b/>
          <w:bCs/>
          <w:sz w:val="38"/>
          <w:rtl/>
        </w:rPr>
        <w:t>ואיהו י"ו טפה כו'.</w:t>
      </w:r>
      <w:r>
        <w:rPr>
          <w:rFonts w:ascii="Arial"/>
          <w:sz w:val="38"/>
          <w:rtl/>
        </w:rPr>
        <w:t xml:space="preserve"> טפה הוא חכמה, וזרע - עמודא דאמצעיתא, והכל במלכות, וקמץ הוא בחסד בסוד וקמץ הכהן כידוע, וזה שאומר ובג"ד פתחי לי ביומא כו' נקודה דקמץ:</w:t>
      </w:r>
    </w:p>
  </w:footnote>
  <w:footnote w:id="2181">
    <w:p w:rsidR="00A13282" w:rsidRDefault="00A13282">
      <w:pPr>
        <w:pStyle w:val="a5"/>
        <w:rPr>
          <w:rtl/>
        </w:rPr>
      </w:pPr>
      <w:r>
        <w:rPr>
          <w:rStyle w:val="a7"/>
          <w:rtl/>
        </w:rPr>
        <w:footnoteRef/>
      </w:r>
      <w:r>
        <w:rPr>
          <w:rtl/>
        </w:rPr>
        <w:t xml:space="preserve"> </w:t>
      </w:r>
      <w:r>
        <w:rPr>
          <w:rFonts w:ascii="Arial"/>
          <w:b/>
          <w:bCs/>
          <w:sz w:val="38"/>
          <w:rtl/>
        </w:rPr>
        <w:t>אחותי כו'.</w:t>
      </w:r>
      <w:r>
        <w:rPr>
          <w:rFonts w:ascii="Arial"/>
          <w:sz w:val="38"/>
          <w:rtl/>
        </w:rPr>
        <w:t xml:space="preserve"> שהקירוב - בשמאל, בסוד שמאלו תחת כו', אבל עיקר הזיווג אינו אלא בגוף כמו שכתוב אצל האבות: ביעקב - ויפגע במקום וילן כו', ואמרו שאף יעקב לא יכול לאזדווגא בה עד דאתגלגל ביה רוחא דמשה כמו שאומר בתיקוני זוהר חדש עיין שם. וזה שאומר, רעיתי ביומא כו' - והוא דרגא דרעיא מהימנא, וכן באלף השלישי נתגלה רעיא מהימנא:</w:t>
      </w:r>
    </w:p>
  </w:footnote>
  <w:footnote w:id="2182">
    <w:p w:rsidR="00A13282" w:rsidRDefault="00A13282">
      <w:pPr>
        <w:pStyle w:val="a5"/>
        <w:rPr>
          <w:rtl/>
        </w:rPr>
      </w:pPr>
      <w:r>
        <w:rPr>
          <w:rStyle w:val="a7"/>
          <w:rtl/>
        </w:rPr>
        <w:footnoteRef/>
      </w:r>
      <w:r>
        <w:rPr>
          <w:rtl/>
        </w:rPr>
        <w:t xml:space="preserve"> </w:t>
      </w:r>
      <w:r>
        <w:rPr>
          <w:rFonts w:ascii="Arial"/>
          <w:b/>
          <w:bCs/>
          <w:sz w:val="38"/>
          <w:rtl/>
        </w:rPr>
        <w:t>יונתי ביומא כו'.</w:t>
      </w:r>
      <w:r>
        <w:rPr>
          <w:rFonts w:ascii="Arial"/>
          <w:sz w:val="38"/>
          <w:rtl/>
        </w:rPr>
        <w:t xml:space="preserve"> באלף הרביעי, שבו עמד בית המקדש ושכן השכינה בישראל ומצאה היונה מנוח לכף רגלה, כי שלש שלוחין של היונה מן התיבה הוא בשלשה בתי מקדשים:</w:t>
      </w:r>
    </w:p>
  </w:footnote>
  <w:footnote w:id="2183">
    <w:p w:rsidR="00A13282" w:rsidRDefault="00A13282">
      <w:pPr>
        <w:pStyle w:val="a5"/>
        <w:rPr>
          <w:rtl/>
        </w:rPr>
      </w:pPr>
      <w:r>
        <w:rPr>
          <w:rStyle w:val="a7"/>
          <w:rtl/>
        </w:rPr>
        <w:footnoteRef/>
      </w:r>
      <w:r>
        <w:rPr>
          <w:rtl/>
        </w:rPr>
        <w:t xml:space="preserve"> </w:t>
      </w:r>
      <w:r>
        <w:rPr>
          <w:rFonts w:ascii="Arial"/>
          <w:b/>
          <w:bCs/>
          <w:sz w:val="38"/>
          <w:rtl/>
        </w:rPr>
        <w:t>תמתי כו' תם כו'.</w:t>
      </w:r>
      <w:r>
        <w:rPr>
          <w:rFonts w:ascii="Arial"/>
          <w:sz w:val="38"/>
          <w:rtl/>
        </w:rPr>
        <w:t xml:space="preserve"> בגלות, כמו שאמרו (ויקרא רבה יא) שבו נטלו אפיפוסין על עונותיהם, באלף החמישי - כל היום דו"ה כידוע:</w:t>
      </w:r>
    </w:p>
  </w:footnote>
  <w:footnote w:id="2184">
    <w:p w:rsidR="00A13282" w:rsidRDefault="00A13282">
      <w:pPr>
        <w:pStyle w:val="a5"/>
        <w:rPr>
          <w:rtl/>
        </w:rPr>
      </w:pPr>
      <w:r>
        <w:rPr>
          <w:rStyle w:val="a7"/>
          <w:rtl/>
        </w:rPr>
        <w:footnoteRef/>
      </w:r>
      <w:r>
        <w:rPr>
          <w:rtl/>
        </w:rPr>
        <w:t xml:space="preserve"> </w:t>
      </w:r>
      <w:r>
        <w:rPr>
          <w:rFonts w:ascii="Arial"/>
          <w:b/>
          <w:bCs/>
          <w:sz w:val="38"/>
          <w:rtl/>
        </w:rPr>
        <w:t>על ראש כו'.</w:t>
      </w:r>
      <w:r>
        <w:rPr>
          <w:rFonts w:ascii="Arial"/>
          <w:sz w:val="38"/>
          <w:rtl/>
        </w:rPr>
        <w:t xml:space="preserve"> כמו שכתוב (משלי י ו) וברכות לראש צדיק, וליה ההשתחויה כידוע, כורע בברוך, וכמו שאומר בזוהר על הפסוק וישתחו כו':</w:t>
      </w:r>
    </w:p>
  </w:footnote>
  <w:footnote w:id="2185">
    <w:p w:rsidR="00A13282" w:rsidRDefault="00A13282">
      <w:pPr>
        <w:pStyle w:val="a5"/>
        <w:rPr>
          <w:rtl/>
        </w:rPr>
      </w:pPr>
      <w:r>
        <w:rPr>
          <w:rStyle w:val="a7"/>
          <w:rtl/>
        </w:rPr>
        <w:footnoteRef/>
      </w:r>
      <w:r>
        <w:rPr>
          <w:rtl/>
        </w:rPr>
        <w:t xml:space="preserve"> </w:t>
      </w:r>
      <w:r>
        <w:rPr>
          <w:rFonts w:ascii="Arial"/>
          <w:b/>
          <w:bCs/>
          <w:sz w:val="38"/>
          <w:rtl/>
        </w:rPr>
        <w:t>טל ביומא כו' טפה יוד כו'.</w:t>
      </w:r>
      <w:r>
        <w:rPr>
          <w:rFonts w:ascii="Arial"/>
          <w:sz w:val="38"/>
          <w:rtl/>
        </w:rPr>
        <w:t xml:space="preserve"> שמוח הוא טלא דבדולחא, וכן הטפה נקרא טל, וידוע שהטפה הוא בסוד שלש טפים של ג' מוחין של יה"ו, בסוד מ"ב זיווגין במילואן גימטריה טל:</w:t>
      </w:r>
    </w:p>
  </w:footnote>
  <w:footnote w:id="2186">
    <w:p w:rsidR="00A13282" w:rsidRDefault="00A13282">
      <w:pPr>
        <w:pStyle w:val="a5"/>
        <w:rPr>
          <w:rtl/>
        </w:rPr>
      </w:pPr>
      <w:r>
        <w:rPr>
          <w:rStyle w:val="a7"/>
          <w:rtl/>
        </w:rPr>
        <w:footnoteRef/>
      </w:r>
      <w:r>
        <w:rPr>
          <w:rtl/>
        </w:rPr>
        <w:t xml:space="preserve"> </w:t>
      </w:r>
      <w:r>
        <w:rPr>
          <w:rFonts w:ascii="Arial"/>
          <w:b/>
          <w:bCs/>
          <w:sz w:val="38"/>
          <w:rtl/>
        </w:rPr>
        <w:t>ודא נקודה.</w:t>
      </w:r>
      <w:r>
        <w:rPr>
          <w:rFonts w:ascii="Arial"/>
          <w:sz w:val="38"/>
          <w:rtl/>
        </w:rPr>
        <w:t xml:space="preserve"> והיא חכמה כנ"ל, וזה שאומר ההיא טפה דאיהי חכמה, וירתא ברתא בשבת - דאבא יסד ברתא, ולכך נקראת חכמה זעירא:</w:t>
      </w:r>
    </w:p>
  </w:footnote>
  <w:footnote w:id="2187">
    <w:p w:rsidR="00A13282" w:rsidRDefault="00A13282">
      <w:pPr>
        <w:pStyle w:val="a5"/>
        <w:rPr>
          <w:rtl/>
        </w:rPr>
      </w:pPr>
      <w:r>
        <w:rPr>
          <w:rStyle w:val="a7"/>
          <w:rtl/>
        </w:rPr>
        <w:footnoteRef/>
      </w:r>
      <w:r>
        <w:rPr>
          <w:rtl/>
        </w:rPr>
        <w:t xml:space="preserve"> </w:t>
      </w:r>
      <w:r>
        <w:rPr>
          <w:rFonts w:ascii="Arial"/>
          <w:b/>
          <w:bCs/>
          <w:sz w:val="38"/>
          <w:rtl/>
        </w:rPr>
        <w:t>טל תורה מחייהו.</w:t>
      </w:r>
      <w:r>
        <w:rPr>
          <w:rFonts w:ascii="Arial"/>
          <w:sz w:val="38"/>
          <w:rtl/>
        </w:rPr>
        <w:t xml:space="preserve"> בסוד והחכמה תחיה בעליה:</w:t>
      </w:r>
    </w:p>
  </w:footnote>
  <w:footnote w:id="2188">
    <w:p w:rsidR="00A13282" w:rsidRDefault="00A13282">
      <w:pPr>
        <w:pStyle w:val="a5"/>
        <w:rPr>
          <w:rtl/>
        </w:rPr>
      </w:pPr>
      <w:r>
        <w:rPr>
          <w:rStyle w:val="a7"/>
          <w:rtl/>
        </w:rPr>
        <w:footnoteRef/>
      </w:r>
      <w:r>
        <w:rPr>
          <w:rtl/>
        </w:rPr>
        <w:t xml:space="preserve"> </w:t>
      </w:r>
      <w:r>
        <w:rPr>
          <w:rFonts w:ascii="Arial"/>
          <w:b/>
          <w:bCs/>
          <w:sz w:val="38"/>
          <w:rtl/>
        </w:rPr>
        <w:t>גל נעול.</w:t>
      </w:r>
      <w:r>
        <w:rPr>
          <w:rFonts w:ascii="Arial"/>
          <w:sz w:val="38"/>
          <w:rtl/>
        </w:rPr>
        <w:t xml:space="preserve"> הולך ומפרש סיפא דקרא הנ"ל, גן נעול, שפירש על ד"ו פרצופים, רוצה לומר, הד' - שהיא בסוד ב', והוא"ו - דסגיר לב', ועכשיו מפרש גל נעול - על הנקודה שבתוכה, כמו שמפרש והולך:</w:t>
      </w:r>
    </w:p>
  </w:footnote>
  <w:footnote w:id="2189">
    <w:p w:rsidR="00A13282" w:rsidRDefault="00A13282">
      <w:pPr>
        <w:pStyle w:val="a5"/>
        <w:rPr>
          <w:rtl/>
        </w:rPr>
      </w:pPr>
      <w:r>
        <w:rPr>
          <w:rStyle w:val="a7"/>
          <w:rtl/>
        </w:rPr>
        <w:footnoteRef/>
      </w:r>
      <w:r>
        <w:rPr>
          <w:rtl/>
        </w:rPr>
        <w:t xml:space="preserve"> </w:t>
      </w:r>
      <w:r>
        <w:rPr>
          <w:rFonts w:ascii="Arial"/>
          <w:b/>
          <w:bCs/>
          <w:sz w:val="38"/>
          <w:rtl/>
        </w:rPr>
        <w:t>כמו גלגל.</w:t>
      </w:r>
      <w:r>
        <w:rPr>
          <w:rFonts w:ascii="Arial"/>
          <w:sz w:val="38"/>
          <w:rtl/>
        </w:rPr>
        <w:t xml:space="preserve"> דגלגל הוא י', כמו שאומר לקמן בתיקונים, בסוד גלגול:</w:t>
      </w:r>
    </w:p>
  </w:footnote>
  <w:footnote w:id="2190">
    <w:p w:rsidR="00A13282" w:rsidRDefault="00A13282">
      <w:pPr>
        <w:pStyle w:val="a5"/>
        <w:rPr>
          <w:rtl/>
        </w:rPr>
      </w:pPr>
      <w:r>
        <w:rPr>
          <w:rStyle w:val="a7"/>
          <w:rtl/>
        </w:rPr>
        <w:footnoteRef/>
      </w:r>
      <w:r>
        <w:rPr>
          <w:rtl/>
        </w:rPr>
        <w:t xml:space="preserve"> </w:t>
      </w:r>
      <w:r>
        <w:rPr>
          <w:rFonts w:ascii="Arial"/>
          <w:b/>
          <w:bCs/>
          <w:sz w:val="38"/>
          <w:rtl/>
        </w:rPr>
        <w:t>מעין חתום כו'.</w:t>
      </w:r>
      <w:r>
        <w:rPr>
          <w:rFonts w:ascii="Arial"/>
          <w:sz w:val="38"/>
          <w:rtl/>
        </w:rPr>
        <w:t xml:space="preserve"> דמעיין גם כן הוא יו"ד, כמו שאומר ברעיא מהימנא פרשת בא בסוד מקור ומעין וים כו', וכן בתיקוני זוהר חדש, ובהיר, והוא חתום בגן שהוא מ"ם סתומה כנ"ל:</w:t>
      </w:r>
    </w:p>
  </w:footnote>
  <w:footnote w:id="2191">
    <w:p w:rsidR="00A13282" w:rsidRDefault="00A13282">
      <w:pPr>
        <w:pStyle w:val="a5"/>
        <w:rPr>
          <w:rtl/>
        </w:rPr>
      </w:pPr>
      <w:r>
        <w:rPr>
          <w:rStyle w:val="a7"/>
          <w:rtl/>
        </w:rPr>
        <w:footnoteRef/>
      </w:r>
      <w:r>
        <w:rPr>
          <w:rtl/>
        </w:rPr>
        <w:t xml:space="preserve"> </w:t>
      </w:r>
      <w:r>
        <w:rPr>
          <w:rFonts w:ascii="Arial"/>
          <w:b/>
          <w:bCs/>
          <w:sz w:val="38"/>
          <w:rtl/>
        </w:rPr>
        <w:t>ומיד השקו כו'.</w:t>
      </w:r>
      <w:r>
        <w:rPr>
          <w:rFonts w:ascii="Arial"/>
          <w:sz w:val="38"/>
          <w:rtl/>
        </w:rPr>
        <w:t xml:space="preserve"> רוצה לומר המעין:</w:t>
      </w:r>
    </w:p>
  </w:footnote>
  <w:footnote w:id="2192">
    <w:p w:rsidR="00A13282" w:rsidRDefault="00A13282">
      <w:pPr>
        <w:pStyle w:val="a5"/>
        <w:rPr>
          <w:rtl/>
        </w:rPr>
      </w:pPr>
      <w:r>
        <w:rPr>
          <w:rStyle w:val="a7"/>
          <w:rtl/>
        </w:rPr>
        <w:footnoteRef/>
      </w:r>
      <w:r>
        <w:rPr>
          <w:rtl/>
        </w:rPr>
        <w:t xml:space="preserve"> </w:t>
      </w:r>
      <w:r>
        <w:rPr>
          <w:rFonts w:ascii="Arial"/>
          <w:b/>
          <w:bCs/>
          <w:sz w:val="38"/>
          <w:rtl/>
        </w:rPr>
        <w:t>דאינון אברין כו'.</w:t>
      </w:r>
      <w:r>
        <w:rPr>
          <w:rFonts w:ascii="Arial"/>
          <w:sz w:val="38"/>
          <w:rtl/>
        </w:rPr>
        <w:t xml:space="preserve"> רוצה לומר ישראל:</w:t>
      </w:r>
    </w:p>
  </w:footnote>
  <w:footnote w:id="2193">
    <w:p w:rsidR="00A13282" w:rsidRDefault="00A13282">
      <w:pPr>
        <w:pStyle w:val="a5"/>
        <w:rPr>
          <w:rtl/>
        </w:rPr>
      </w:pPr>
      <w:r>
        <w:rPr>
          <w:rStyle w:val="a7"/>
          <w:rtl/>
        </w:rPr>
        <w:footnoteRef/>
      </w:r>
      <w:r>
        <w:rPr>
          <w:rtl/>
        </w:rPr>
        <w:t xml:space="preserve"> </w:t>
      </w:r>
      <w:r>
        <w:rPr>
          <w:rFonts w:ascii="Arial"/>
          <w:b/>
          <w:bCs/>
          <w:sz w:val="38"/>
          <w:rtl/>
        </w:rPr>
        <w:t>כלהו רועים.</w:t>
      </w:r>
      <w:r>
        <w:rPr>
          <w:rFonts w:ascii="Arial"/>
          <w:sz w:val="38"/>
          <w:rtl/>
        </w:rPr>
        <w:t xml:space="preserve"> רוצה לומר, השקו כו' - אמר לכלהו רועים, שהן שבעה רועים הידועים, שהן כלל האברים - דמשתקיין מן המוח והטפה:</w:t>
      </w:r>
    </w:p>
  </w:footnote>
  <w:footnote w:id="2194">
    <w:p w:rsidR="00A13282" w:rsidRDefault="00A13282">
      <w:pPr>
        <w:pStyle w:val="a5"/>
        <w:rPr>
          <w:rtl/>
        </w:rPr>
      </w:pPr>
      <w:r>
        <w:rPr>
          <w:rStyle w:val="a7"/>
          <w:rtl/>
        </w:rPr>
        <w:footnoteRef/>
      </w:r>
      <w:r>
        <w:rPr>
          <w:rtl/>
        </w:rPr>
        <w:t xml:space="preserve"> </w:t>
      </w:r>
      <w:r>
        <w:rPr>
          <w:rFonts w:ascii="Arial"/>
          <w:b/>
          <w:bCs/>
          <w:sz w:val="38"/>
          <w:rtl/>
        </w:rPr>
        <w:t>איש האלקים.</w:t>
      </w:r>
      <w:r>
        <w:rPr>
          <w:rFonts w:ascii="Arial"/>
          <w:sz w:val="38"/>
          <w:rtl/>
        </w:rPr>
        <w:t xml:space="preserve"> בעלה דשכינתא, שהוא כולל כל האברים, וזה שאומר איהו שולטנותיה כו'. שהן שבע ספירות של עמודא דאמצעיתא:</w:t>
      </w:r>
    </w:p>
  </w:footnote>
  <w:footnote w:id="2195">
    <w:p w:rsidR="00A13282" w:rsidRDefault="00A13282">
      <w:pPr>
        <w:pStyle w:val="a5"/>
        <w:rPr>
          <w:rtl/>
        </w:rPr>
      </w:pPr>
      <w:r>
        <w:rPr>
          <w:rStyle w:val="a7"/>
          <w:rtl/>
        </w:rPr>
        <w:footnoteRef/>
      </w:r>
      <w:r>
        <w:rPr>
          <w:rtl/>
        </w:rPr>
        <w:t xml:space="preserve"> </w:t>
      </w:r>
      <w:r>
        <w:rPr>
          <w:rFonts w:ascii="Arial"/>
          <w:b/>
          <w:bCs/>
          <w:sz w:val="38"/>
          <w:rtl/>
        </w:rPr>
        <w:t>צדיק איהו רקיע כו'.</w:t>
      </w:r>
      <w:r>
        <w:rPr>
          <w:rFonts w:ascii="Arial"/>
          <w:sz w:val="38"/>
          <w:rtl/>
        </w:rPr>
        <w:t xml:space="preserve"> חוזר לפרש למעלה, ואיהו דאוקמוהו אין בין כו':</w:t>
      </w:r>
    </w:p>
  </w:footnote>
  <w:footnote w:id="2196">
    <w:p w:rsidR="00A13282" w:rsidRDefault="00A13282">
      <w:pPr>
        <w:pStyle w:val="a5"/>
        <w:rPr>
          <w:rtl/>
        </w:rPr>
      </w:pPr>
      <w:r>
        <w:rPr>
          <w:rStyle w:val="a7"/>
          <w:rtl/>
        </w:rPr>
        <w:footnoteRef/>
      </w:r>
      <w:r>
        <w:rPr>
          <w:rtl/>
        </w:rPr>
        <w:t xml:space="preserve"> </w:t>
      </w:r>
      <w:r>
        <w:rPr>
          <w:rFonts w:ascii="Arial"/>
          <w:b/>
          <w:bCs/>
          <w:sz w:val="38"/>
          <w:rtl/>
        </w:rPr>
        <w:t>בין ים.</w:t>
      </w:r>
      <w:r>
        <w:rPr>
          <w:rFonts w:ascii="Arial"/>
          <w:sz w:val="38"/>
          <w:rtl/>
        </w:rPr>
        <w:t xml:space="preserve"> על שם נ' תרעין - קריאת שמע, דשחרית וערבית כידוע, שתי פעמים נ' תרעין, של בינה ומלכות, גימטריה ים:</w:t>
      </w:r>
    </w:p>
  </w:footnote>
  <w:footnote w:id="2197">
    <w:p w:rsidR="00A13282" w:rsidRDefault="00A13282">
      <w:pPr>
        <w:pStyle w:val="a5"/>
        <w:rPr>
          <w:rtl/>
        </w:rPr>
      </w:pPr>
      <w:r>
        <w:rPr>
          <w:rStyle w:val="a7"/>
          <w:rtl/>
        </w:rPr>
        <w:footnoteRef/>
      </w:r>
      <w:r>
        <w:rPr>
          <w:rtl/>
        </w:rPr>
        <w:t xml:space="preserve"> </w:t>
      </w:r>
      <w:r>
        <w:rPr>
          <w:rFonts w:ascii="Arial"/>
          <w:b/>
          <w:bCs/>
          <w:sz w:val="38"/>
          <w:rtl/>
        </w:rPr>
        <w:t>ולית נימא כו'.</w:t>
      </w:r>
      <w:r>
        <w:rPr>
          <w:rFonts w:ascii="Arial"/>
          <w:sz w:val="38"/>
          <w:rtl/>
        </w:rPr>
        <w:t xml:space="preserve"> מפרש האיך ו' נפיק מיוד:</w:t>
      </w:r>
    </w:p>
  </w:footnote>
  <w:footnote w:id="2198">
    <w:p w:rsidR="00A13282" w:rsidRDefault="00A13282">
      <w:pPr>
        <w:pStyle w:val="a5"/>
        <w:rPr>
          <w:rtl/>
        </w:rPr>
      </w:pPr>
      <w:r>
        <w:rPr>
          <w:rStyle w:val="a7"/>
          <w:rtl/>
        </w:rPr>
        <w:footnoteRef/>
      </w:r>
      <w:r>
        <w:rPr>
          <w:rtl/>
        </w:rPr>
        <w:t xml:space="preserve"> </w:t>
      </w:r>
      <w:r>
        <w:rPr>
          <w:rFonts w:ascii="Arial"/>
          <w:b/>
          <w:bCs/>
          <w:sz w:val="38"/>
          <w:rtl/>
        </w:rPr>
        <w:t>דסלקא באוירא כו'.</w:t>
      </w:r>
      <w:r>
        <w:rPr>
          <w:rFonts w:ascii="Arial"/>
          <w:sz w:val="38"/>
          <w:rtl/>
        </w:rPr>
        <w:t xml:space="preserve"> רוצה לומר היו"ד סליק באוירא - בכתר כנ"ל דנפיק מגו אוירא כו', ונחתא עד מלכות שהיא יוד זעירא - חכמה זעירא כנ"ל, וזהו עד אין סוף - בכתר, ועד אין תכלית - במלכות, כמו שאמרו אין סוף למעלה ואין תכלית למטה:</w:t>
      </w:r>
    </w:p>
  </w:footnote>
  <w:footnote w:id="2199">
    <w:p w:rsidR="00A13282" w:rsidRDefault="00A13282">
      <w:pPr>
        <w:pStyle w:val="a5"/>
        <w:rPr>
          <w:rtl/>
        </w:rPr>
      </w:pPr>
      <w:r>
        <w:rPr>
          <w:rStyle w:val="a7"/>
          <w:rtl/>
        </w:rPr>
        <w:footnoteRef/>
      </w:r>
      <w:r>
        <w:rPr>
          <w:rtl/>
        </w:rPr>
        <w:t xml:space="preserve"> </w:t>
      </w:r>
      <w:r>
        <w:rPr>
          <w:rFonts w:ascii="Arial"/>
          <w:b/>
          <w:bCs/>
          <w:sz w:val="38"/>
          <w:rtl/>
        </w:rPr>
        <w:t>ואיהי עשר.</w:t>
      </w:r>
      <w:r>
        <w:rPr>
          <w:rFonts w:ascii="Arial"/>
          <w:sz w:val="38"/>
          <w:rtl/>
        </w:rPr>
        <w:t xml:space="preserve"> רוצה לומר היו"ד, לפי שכולל עשר ספירות, מכתר עד מלכות כנ"ל:</w:t>
      </w:r>
    </w:p>
  </w:footnote>
  <w:footnote w:id="2200">
    <w:p w:rsidR="00A13282" w:rsidRDefault="00A13282">
      <w:pPr>
        <w:pStyle w:val="a5"/>
        <w:rPr>
          <w:rtl/>
        </w:rPr>
      </w:pPr>
      <w:r>
        <w:rPr>
          <w:rStyle w:val="a7"/>
          <w:rtl/>
        </w:rPr>
        <w:footnoteRef/>
      </w:r>
      <w:r>
        <w:rPr>
          <w:rtl/>
        </w:rPr>
        <w:t xml:space="preserve"> </w:t>
      </w:r>
      <w:r>
        <w:rPr>
          <w:rFonts w:ascii="Arial"/>
          <w:b/>
          <w:bCs/>
          <w:sz w:val="38"/>
          <w:rtl/>
        </w:rPr>
        <w:t>אינון מאות כו'.</w:t>
      </w:r>
      <w:r>
        <w:rPr>
          <w:rFonts w:ascii="Arial"/>
          <w:sz w:val="38"/>
          <w:rtl/>
        </w:rPr>
        <w:t xml:space="preserve"> דעשר סלקין למאה כנ"ל:</w:t>
      </w:r>
    </w:p>
  </w:footnote>
  <w:footnote w:id="2201">
    <w:p w:rsidR="00A13282" w:rsidRDefault="00A13282">
      <w:pPr>
        <w:pStyle w:val="a5"/>
        <w:rPr>
          <w:rtl/>
        </w:rPr>
      </w:pPr>
      <w:r>
        <w:rPr>
          <w:rStyle w:val="a7"/>
          <w:rtl/>
        </w:rPr>
        <w:footnoteRef/>
      </w:r>
      <w:r>
        <w:rPr>
          <w:rtl/>
        </w:rPr>
        <w:t xml:space="preserve"> </w:t>
      </w:r>
      <w:r>
        <w:rPr>
          <w:rFonts w:ascii="Arial"/>
          <w:b/>
          <w:bCs/>
          <w:sz w:val="38"/>
          <w:rtl/>
        </w:rPr>
        <w:t>דשיעור קומה דאיהו כו'.</w:t>
      </w:r>
      <w:r>
        <w:rPr>
          <w:rFonts w:ascii="Arial"/>
          <w:sz w:val="38"/>
          <w:rtl/>
        </w:rPr>
        <w:t xml:space="preserve"> רוצה לומר כמו שאמרו במאמר קו המדה דאזיל על אמה ופלגא בוצינא דקו המדה וסימן מדה דארון עיין שם:</w:t>
      </w:r>
    </w:p>
  </w:footnote>
  <w:footnote w:id="2202">
    <w:p w:rsidR="00A13282" w:rsidRDefault="00A13282">
      <w:pPr>
        <w:pStyle w:val="a5"/>
        <w:rPr>
          <w:rtl/>
        </w:rPr>
      </w:pPr>
      <w:r>
        <w:rPr>
          <w:rStyle w:val="a7"/>
          <w:rtl/>
        </w:rPr>
        <w:footnoteRef/>
      </w:r>
      <w:r>
        <w:rPr>
          <w:rtl/>
        </w:rPr>
        <w:t xml:space="preserve"> </w:t>
      </w:r>
      <w:r>
        <w:rPr>
          <w:rFonts w:ascii="Arial"/>
          <w:b/>
          <w:bCs/>
          <w:sz w:val="38"/>
          <w:rtl/>
        </w:rPr>
        <w:t>איהו מדה בין כו'.</w:t>
      </w:r>
      <w:r>
        <w:rPr>
          <w:rFonts w:ascii="Arial"/>
          <w:sz w:val="38"/>
          <w:rtl/>
        </w:rPr>
        <w:t xml:space="preserve"> זה הכלל: כל מדה באורך - הוא ו', וכל מדה בעיגולא - הוא י', כמו שמפרש והולך:</w:t>
      </w:r>
    </w:p>
  </w:footnote>
  <w:footnote w:id="2203">
    <w:p w:rsidR="00A13282" w:rsidRDefault="00A13282">
      <w:pPr>
        <w:pStyle w:val="a5"/>
        <w:rPr>
          <w:rtl/>
        </w:rPr>
      </w:pPr>
      <w:r>
        <w:rPr>
          <w:rStyle w:val="a7"/>
          <w:rtl/>
        </w:rPr>
        <w:footnoteRef/>
      </w:r>
      <w:r>
        <w:rPr>
          <w:rtl/>
        </w:rPr>
        <w:t xml:space="preserve"> </w:t>
      </w:r>
      <w:r>
        <w:rPr>
          <w:rFonts w:ascii="Arial"/>
          <w:b/>
          <w:bCs/>
          <w:sz w:val="38"/>
          <w:rtl/>
        </w:rPr>
        <w:t>איהו שעורא דאורכא כו'.</w:t>
      </w:r>
      <w:r>
        <w:rPr>
          <w:rFonts w:ascii="Arial"/>
          <w:sz w:val="38"/>
          <w:rtl/>
        </w:rPr>
        <w:t xml:space="preserve"> כמו שאמרו בבכורות (מד ע"א) ועיין רמב"ם (הלכות ביאת המקדש פ"ח הל"ז) שם:</w:t>
      </w:r>
    </w:p>
  </w:footnote>
  <w:footnote w:id="2204">
    <w:p w:rsidR="00A13282" w:rsidRDefault="00A13282">
      <w:pPr>
        <w:pStyle w:val="a5"/>
        <w:rPr>
          <w:rtl/>
        </w:rPr>
      </w:pPr>
      <w:r>
        <w:rPr>
          <w:rStyle w:val="a7"/>
          <w:rtl/>
        </w:rPr>
        <w:footnoteRef/>
      </w:r>
      <w:r>
        <w:rPr>
          <w:rtl/>
        </w:rPr>
        <w:t xml:space="preserve"> </w:t>
      </w:r>
      <w:r>
        <w:rPr>
          <w:rFonts w:ascii="Arial"/>
          <w:b/>
          <w:bCs/>
          <w:sz w:val="38"/>
          <w:rtl/>
        </w:rPr>
        <w:t>י' איהו מדה דשפה.</w:t>
      </w:r>
      <w:r>
        <w:rPr>
          <w:rFonts w:ascii="Arial"/>
          <w:sz w:val="38"/>
          <w:rtl/>
        </w:rPr>
        <w:t xml:space="preserve"> רוצה לומר חוט השפה בעיגולא, הסובב כנ"ל:</w:t>
      </w:r>
    </w:p>
  </w:footnote>
  <w:footnote w:id="2205">
    <w:p w:rsidR="00A13282" w:rsidRDefault="00A13282">
      <w:pPr>
        <w:pStyle w:val="a5"/>
        <w:rPr>
          <w:rtl/>
        </w:rPr>
      </w:pPr>
      <w:r>
        <w:rPr>
          <w:rStyle w:val="a7"/>
          <w:rtl/>
        </w:rPr>
        <w:footnoteRef/>
      </w:r>
      <w:r>
        <w:rPr>
          <w:rtl/>
        </w:rPr>
        <w:t xml:space="preserve"> </w:t>
      </w:r>
      <w:r>
        <w:rPr>
          <w:rFonts w:ascii="Arial"/>
          <w:b/>
          <w:bCs/>
          <w:sz w:val="38"/>
          <w:rtl/>
        </w:rPr>
        <w:t>ומדה דקמץ סתים.</w:t>
      </w:r>
      <w:r>
        <w:rPr>
          <w:rFonts w:ascii="Arial"/>
          <w:sz w:val="38"/>
          <w:rtl/>
        </w:rPr>
        <w:t xml:space="preserve"> רוצה לומר של היוד, שהוא קמץ, סתים מלשון קמץ, כנ"ל לפי שהוא בעגולא ומדת העיגול אינו ניכר לעין אבל מדת האורך גלוי, שהוא ו', והוא פתח כנ"ל:</w:t>
      </w:r>
    </w:p>
  </w:footnote>
  <w:footnote w:id="2206">
    <w:p w:rsidR="00A13282" w:rsidRDefault="00A13282">
      <w:pPr>
        <w:pStyle w:val="a5"/>
        <w:rPr>
          <w:rtl/>
        </w:rPr>
      </w:pPr>
      <w:r>
        <w:rPr>
          <w:rStyle w:val="a7"/>
          <w:rtl/>
        </w:rPr>
        <w:footnoteRef/>
      </w:r>
      <w:r>
        <w:rPr>
          <w:rtl/>
        </w:rPr>
        <w:t xml:space="preserve"> </w:t>
      </w:r>
      <w:r>
        <w:rPr>
          <w:rFonts w:ascii="Arial"/>
          <w:b/>
          <w:bCs/>
          <w:sz w:val="38"/>
          <w:rtl/>
        </w:rPr>
        <w:t>אתפתח בה' אצבעאן.</w:t>
      </w:r>
      <w:r>
        <w:rPr>
          <w:rFonts w:ascii="Arial"/>
          <w:sz w:val="38"/>
          <w:rtl/>
        </w:rPr>
        <w:t xml:space="preserve"> שקומץ היד סתום, והוא קמץ, ואתפתח היד בה' אצבעין. והענין כי קמץ הוא בחכמה, שהוא סתים, והוא י', שהוא כולל כל העשר ספירות מאין סוף עד אין תכלית כנ"ל, ובבינה - אתפתח, בה' של בינה, ואזיל ה' מאות, בה’ ספירות, ונכלל ביסוד. ולכן בינה ויסוד נקראים שבת, יום השביעי, שכלל שלהן שבע ספירות - מתחיל מבינה ומסתיים ביסוד, שה' מאות סלקין בבינה ונחתין ביסוד, והוא קו המדה, ונקרא קו המדה - בה’ ספירות חג"ת נ"ה, ושיעור קומה - בבינה ויסוד, כמו שמפרש והולך וכד נחית כו', ומדה נקרא היוד, וזהו קו המדה - קו דנפיק ממדה:</w:t>
      </w:r>
    </w:p>
  </w:footnote>
  <w:footnote w:id="2207">
    <w:p w:rsidR="00A13282" w:rsidRDefault="00A13282">
      <w:pPr>
        <w:pStyle w:val="a5"/>
        <w:rPr>
          <w:rtl/>
        </w:rPr>
      </w:pPr>
      <w:r>
        <w:rPr>
          <w:rStyle w:val="a7"/>
          <w:rtl/>
        </w:rPr>
        <w:footnoteRef/>
      </w:r>
      <w:r>
        <w:rPr>
          <w:rtl/>
        </w:rPr>
        <w:t xml:space="preserve"> </w:t>
      </w:r>
      <w:r>
        <w:rPr>
          <w:rFonts w:ascii="Arial"/>
          <w:b/>
          <w:bCs/>
          <w:sz w:val="38"/>
          <w:rtl/>
        </w:rPr>
        <w:t>אתקרי שיעור.</w:t>
      </w:r>
      <w:r>
        <w:rPr>
          <w:rFonts w:ascii="Arial"/>
          <w:sz w:val="38"/>
          <w:rtl/>
        </w:rPr>
        <w:t xml:space="preserve"> הוא אותיות עש"ר ו', כמו שאומר לעיל בתיקון י"ח, דשם ו' סליק לשיתין עיין שם:</w:t>
      </w:r>
    </w:p>
  </w:footnote>
  <w:footnote w:id="2208">
    <w:p w:rsidR="00A13282" w:rsidRDefault="00A13282">
      <w:pPr>
        <w:pStyle w:val="a5"/>
        <w:rPr>
          <w:rtl/>
        </w:rPr>
      </w:pPr>
      <w:r>
        <w:rPr>
          <w:rStyle w:val="a7"/>
          <w:rtl/>
        </w:rPr>
        <w:footnoteRef/>
      </w:r>
      <w:r>
        <w:rPr>
          <w:rtl/>
        </w:rPr>
        <w:t xml:space="preserve"> </w:t>
      </w:r>
      <w:r>
        <w:rPr>
          <w:rFonts w:ascii="Arial"/>
          <w:b/>
          <w:bCs/>
          <w:sz w:val="38"/>
          <w:rtl/>
        </w:rPr>
        <w:t>אתקרי קומה.</w:t>
      </w:r>
      <w:r>
        <w:rPr>
          <w:rFonts w:ascii="Arial"/>
          <w:sz w:val="38"/>
          <w:rtl/>
        </w:rPr>
        <w:t xml:space="preserve"> דקומה - בראש, והיא הבינה שהיא גלגלת הראש כידוע וכמו שמפרש והולך והוא אותיות מקוה כמו שמפרש והולך:</w:t>
      </w:r>
    </w:p>
  </w:footnote>
  <w:footnote w:id="2209">
    <w:p w:rsidR="00A13282" w:rsidRDefault="00A13282">
      <w:pPr>
        <w:pStyle w:val="a5"/>
        <w:rPr>
          <w:rtl/>
        </w:rPr>
      </w:pPr>
      <w:r>
        <w:rPr>
          <w:rStyle w:val="a7"/>
          <w:rtl/>
        </w:rPr>
        <w:footnoteRef/>
      </w:r>
      <w:r>
        <w:rPr>
          <w:rtl/>
        </w:rPr>
        <w:t xml:space="preserve"> </w:t>
      </w:r>
      <w:r>
        <w:rPr>
          <w:rFonts w:ascii="Arial"/>
          <w:b/>
          <w:bCs/>
          <w:sz w:val="38"/>
          <w:rtl/>
        </w:rPr>
        <w:t>וימודו בעומר כו'.</w:t>
      </w:r>
      <w:r>
        <w:rPr>
          <w:rFonts w:ascii="Arial"/>
          <w:sz w:val="38"/>
          <w:rtl/>
        </w:rPr>
        <w:t xml:space="preserve"> רוצה לומר מדה דגלגלת בבוצינא דקרדינותא:</w:t>
      </w:r>
    </w:p>
  </w:footnote>
  <w:footnote w:id="2210">
    <w:p w:rsidR="00A13282" w:rsidRDefault="00A13282">
      <w:pPr>
        <w:pStyle w:val="a5"/>
        <w:rPr>
          <w:rtl/>
        </w:rPr>
      </w:pPr>
      <w:r>
        <w:rPr>
          <w:rStyle w:val="a7"/>
          <w:rtl/>
        </w:rPr>
        <w:footnoteRef/>
      </w:r>
      <w:r>
        <w:rPr>
          <w:rtl/>
        </w:rPr>
        <w:t xml:space="preserve"> </w:t>
      </w:r>
      <w:r>
        <w:rPr>
          <w:rFonts w:ascii="Arial"/>
          <w:b/>
          <w:bCs/>
          <w:sz w:val="38"/>
          <w:rtl/>
        </w:rPr>
        <w:t>איהי ספירת.</w:t>
      </w:r>
      <w:r>
        <w:rPr>
          <w:rFonts w:ascii="Arial"/>
          <w:sz w:val="38"/>
          <w:rtl/>
        </w:rPr>
        <w:t xml:space="preserve"> דבה המספר כידוע, ולכן בה היוד, דכל מספר סליק לעשר והיא עשירית ובה סלקין כל הספירות לעשר, ובה נקראין כל המדות ספירות, ומצד חכמה נקראין מדות:</w:t>
      </w:r>
    </w:p>
  </w:footnote>
  <w:footnote w:id="2211">
    <w:p w:rsidR="00A13282" w:rsidRDefault="00A13282">
      <w:pPr>
        <w:pStyle w:val="a5"/>
        <w:rPr>
          <w:rtl/>
        </w:rPr>
      </w:pPr>
      <w:r>
        <w:rPr>
          <w:rStyle w:val="a7"/>
          <w:rtl/>
        </w:rPr>
        <w:footnoteRef/>
      </w:r>
      <w:r>
        <w:rPr>
          <w:rtl/>
        </w:rPr>
        <w:t xml:space="preserve"> </w:t>
      </w:r>
      <w:r>
        <w:rPr>
          <w:rFonts w:ascii="Arial"/>
          <w:b/>
          <w:bCs/>
          <w:sz w:val="38"/>
          <w:rtl/>
        </w:rPr>
        <w:t>שבע יומין.</w:t>
      </w:r>
      <w:r>
        <w:rPr>
          <w:rFonts w:ascii="Arial"/>
          <w:sz w:val="38"/>
          <w:rtl/>
        </w:rPr>
        <w:t xml:space="preserve"> דשבוע, וכן דזבה - שבעה נקיים:</w:t>
      </w:r>
    </w:p>
  </w:footnote>
  <w:footnote w:id="2212">
    <w:p w:rsidR="00A13282" w:rsidRDefault="00A13282">
      <w:pPr>
        <w:pStyle w:val="a5"/>
        <w:rPr>
          <w:rtl/>
        </w:rPr>
      </w:pPr>
      <w:r>
        <w:rPr>
          <w:rStyle w:val="a7"/>
          <w:rtl/>
        </w:rPr>
        <w:footnoteRef/>
      </w:r>
      <w:r>
        <w:rPr>
          <w:rtl/>
        </w:rPr>
        <w:t xml:space="preserve"> </w:t>
      </w:r>
      <w:r>
        <w:rPr>
          <w:rFonts w:ascii="Arial"/>
          <w:b/>
          <w:bCs/>
          <w:sz w:val="38"/>
          <w:rtl/>
        </w:rPr>
        <w:t>דאינון ז' כו'.</w:t>
      </w:r>
      <w:r>
        <w:rPr>
          <w:rFonts w:ascii="Arial"/>
          <w:sz w:val="38"/>
          <w:rtl/>
        </w:rPr>
        <w:t xml:space="preserve"> דספירת העומר:</w:t>
      </w:r>
    </w:p>
  </w:footnote>
  <w:footnote w:id="2213">
    <w:p w:rsidR="00A13282" w:rsidRDefault="00A13282">
      <w:pPr>
        <w:pStyle w:val="a5"/>
        <w:rPr>
          <w:rtl/>
        </w:rPr>
      </w:pPr>
      <w:r>
        <w:rPr>
          <w:rStyle w:val="a7"/>
          <w:rtl/>
        </w:rPr>
        <w:footnoteRef/>
      </w:r>
      <w:r>
        <w:rPr>
          <w:rtl/>
        </w:rPr>
        <w:t xml:space="preserve"> </w:t>
      </w:r>
      <w:r>
        <w:rPr>
          <w:rFonts w:ascii="Arial"/>
          <w:b/>
          <w:bCs/>
          <w:sz w:val="38"/>
          <w:rtl/>
        </w:rPr>
        <w:t>דשיתא דכל כו'.</w:t>
      </w:r>
      <w:r>
        <w:rPr>
          <w:rFonts w:ascii="Arial"/>
          <w:sz w:val="38"/>
          <w:rtl/>
        </w:rPr>
        <w:t xml:space="preserve"> שהן ו"ק, שהן שם של מ"ב:</w:t>
      </w:r>
    </w:p>
  </w:footnote>
  <w:footnote w:id="2214">
    <w:p w:rsidR="00A13282" w:rsidRDefault="00A13282">
      <w:pPr>
        <w:pStyle w:val="a5"/>
        <w:rPr>
          <w:rtl/>
        </w:rPr>
      </w:pPr>
      <w:r>
        <w:rPr>
          <w:rStyle w:val="a7"/>
          <w:rtl/>
        </w:rPr>
        <w:footnoteRef/>
      </w:r>
      <w:r>
        <w:rPr>
          <w:rtl/>
        </w:rPr>
        <w:t xml:space="preserve"> </w:t>
      </w:r>
      <w:r>
        <w:rPr>
          <w:rFonts w:ascii="Arial"/>
          <w:b/>
          <w:bCs/>
          <w:sz w:val="38"/>
          <w:rtl/>
        </w:rPr>
        <w:t>ושבע שבתות.</w:t>
      </w:r>
      <w:r>
        <w:rPr>
          <w:rFonts w:ascii="Arial"/>
          <w:sz w:val="38"/>
          <w:rtl/>
        </w:rPr>
        <w:t xml:space="preserve"> מלכות - כלל כלהו, וכן כלל השמות של מ"ב כידוע:</w:t>
      </w:r>
    </w:p>
  </w:footnote>
  <w:footnote w:id="2215">
    <w:p w:rsidR="00A13282" w:rsidRDefault="00A13282">
      <w:pPr>
        <w:pStyle w:val="a5"/>
        <w:rPr>
          <w:rtl/>
        </w:rPr>
      </w:pPr>
      <w:r>
        <w:rPr>
          <w:rStyle w:val="a7"/>
          <w:rtl/>
        </w:rPr>
        <w:footnoteRef/>
      </w:r>
      <w:r>
        <w:rPr>
          <w:rtl/>
        </w:rPr>
        <w:t xml:space="preserve"> </w:t>
      </w:r>
      <w:r>
        <w:rPr>
          <w:rFonts w:ascii="Arial"/>
          <w:b/>
          <w:bCs/>
          <w:sz w:val="38"/>
          <w:rtl/>
        </w:rPr>
        <w:t>שמע ישראל כו'.</w:t>
      </w:r>
      <w:r>
        <w:rPr>
          <w:rFonts w:ascii="Arial"/>
          <w:sz w:val="38"/>
          <w:rtl/>
        </w:rPr>
        <w:t xml:space="preserve"> מ"ט אותיות:</w:t>
      </w:r>
    </w:p>
  </w:footnote>
  <w:footnote w:id="2216">
    <w:p w:rsidR="00A13282" w:rsidRDefault="00A13282">
      <w:pPr>
        <w:pStyle w:val="a5"/>
        <w:rPr>
          <w:rtl/>
        </w:rPr>
      </w:pPr>
      <w:r>
        <w:rPr>
          <w:rStyle w:val="a7"/>
          <w:rtl/>
        </w:rPr>
        <w:footnoteRef/>
      </w:r>
      <w:r>
        <w:rPr>
          <w:rtl/>
        </w:rPr>
        <w:t xml:space="preserve"> </w:t>
      </w:r>
      <w:r>
        <w:rPr>
          <w:rFonts w:ascii="Arial"/>
          <w:b/>
          <w:bCs/>
          <w:sz w:val="38"/>
          <w:rtl/>
        </w:rPr>
        <w:t>דבהון כו'.</w:t>
      </w:r>
      <w:r>
        <w:rPr>
          <w:rFonts w:ascii="Arial"/>
          <w:sz w:val="38"/>
          <w:rtl/>
        </w:rPr>
        <w:t xml:space="preserve"> רוצה לומר במ"ט אלו, כידוע שספירת העומר לדכאה אתתא לבעלה:</w:t>
      </w:r>
    </w:p>
  </w:footnote>
  <w:footnote w:id="2217">
    <w:p w:rsidR="00A13282" w:rsidRDefault="00A13282">
      <w:pPr>
        <w:pStyle w:val="a5"/>
        <w:rPr>
          <w:rtl/>
        </w:rPr>
      </w:pPr>
      <w:r>
        <w:rPr>
          <w:rStyle w:val="a7"/>
          <w:rtl/>
        </w:rPr>
        <w:footnoteRef/>
      </w:r>
      <w:r>
        <w:rPr>
          <w:rtl/>
        </w:rPr>
        <w:t xml:space="preserve"> </w:t>
      </w:r>
      <w:r>
        <w:rPr>
          <w:rFonts w:ascii="Arial"/>
          <w:b/>
          <w:bCs/>
          <w:sz w:val="38"/>
          <w:rtl/>
        </w:rPr>
        <w:t>מקוה דיליה איהו כו'.</w:t>
      </w:r>
      <w:r>
        <w:rPr>
          <w:rFonts w:ascii="Arial"/>
          <w:sz w:val="38"/>
          <w:rtl/>
        </w:rPr>
        <w:t xml:space="preserve"> רוצה לומר בינה שהיא קומה וכנ"ל וכמו שמפרש והולך:</w:t>
      </w:r>
    </w:p>
  </w:footnote>
  <w:footnote w:id="2218">
    <w:p w:rsidR="00A13282" w:rsidRDefault="00A13282">
      <w:pPr>
        <w:pStyle w:val="a5"/>
        <w:rPr>
          <w:rtl/>
        </w:rPr>
      </w:pPr>
      <w:r>
        <w:rPr>
          <w:rStyle w:val="a7"/>
          <w:rtl/>
        </w:rPr>
        <w:footnoteRef/>
      </w:r>
      <w:r>
        <w:rPr>
          <w:rtl/>
        </w:rPr>
        <w:t xml:space="preserve"> </w:t>
      </w:r>
      <w:r>
        <w:rPr>
          <w:rFonts w:ascii="Arial"/>
          <w:b/>
          <w:bCs/>
          <w:sz w:val="38"/>
          <w:rtl/>
        </w:rPr>
        <w:t>דאיהו מקוה כו'.</w:t>
      </w:r>
      <w:r>
        <w:rPr>
          <w:rFonts w:ascii="Arial"/>
          <w:sz w:val="38"/>
          <w:rtl/>
        </w:rPr>
        <w:t xml:space="preserve"> רוצה לומר בינה, שהיא מקוה ישראל, שמטהרת ישראל ביום הכפורים, שהיא בינה, כמו שאמרו (משנה יומא פרק ח ט) אשריכם ישראל מי מטהר כו' שנאמר מקוה ישראל ה' כו', וכן מקוה ישראל דלעילא כידוע:</w:t>
      </w:r>
    </w:p>
  </w:footnote>
  <w:footnote w:id="2219">
    <w:p w:rsidR="00A13282" w:rsidRDefault="00A13282">
      <w:pPr>
        <w:jc w:val="both"/>
        <w:rPr>
          <w:rFonts w:ascii="Arial" w:cs="Arial"/>
          <w:sz w:val="38"/>
          <w:szCs w:val="24"/>
          <w:rtl/>
        </w:rPr>
      </w:pPr>
      <w:r>
        <w:rPr>
          <w:rStyle w:val="a7"/>
          <w:rFonts w:cs="Arial"/>
          <w:szCs w:val="24"/>
          <w:rtl/>
        </w:rPr>
        <w:footnoteRef/>
      </w:r>
      <w:r>
        <w:rPr>
          <w:rStyle w:val="a7"/>
          <w:rtl/>
        </w:rPr>
        <w:t xml:space="preserve"> </w:t>
      </w:r>
      <w:r>
        <w:rPr>
          <w:rFonts w:ascii="Arial" w:cs="Arial"/>
          <w:b/>
          <w:bCs/>
          <w:sz w:val="38"/>
          <w:szCs w:val="24"/>
          <w:rtl/>
        </w:rPr>
        <w:t>אינון ברזא דא כו'.</w:t>
      </w:r>
      <w:r>
        <w:rPr>
          <w:rFonts w:ascii="Arial" w:cs="Arial"/>
          <w:sz w:val="38"/>
          <w:szCs w:val="24"/>
          <w:rtl/>
        </w:rPr>
        <w:t xml:space="preserve"> שהן רתיכין דילה, בין לה' עילאה בין לה' תתאה, כמו שאומר פרשת פנחס ר"נ א' ובזוהר חדש פרשת בראשית ה' ג', דאינון שנים</w:t>
      </w:r>
      <w:r>
        <w:rPr>
          <w:rFonts w:ascii="Arial" w:cs="Arial"/>
          <w:sz w:val="38"/>
          <w:rtl/>
        </w:rPr>
        <w:t xml:space="preserve"> </w:t>
      </w:r>
      <w:r>
        <w:rPr>
          <w:rFonts w:ascii="Arial" w:cs="Arial"/>
          <w:sz w:val="38"/>
          <w:szCs w:val="24"/>
          <w:rtl/>
        </w:rPr>
        <w:t>עשר בקר דתחותה, תלת לכל סטר, מתחלקין כל אחד לתלת, והאי נקודה האמצעית - משלים לעשרה לכל סטר, ועיין שם, וכן הוא כאן, למעלה בה"א עילאה דאיהי גם כן קיימא על תריסר שבטין עלאין, ועיין בזוהר פרשת ויחי רמ"א א' פתח ר' אבא ואמר ויעש כו' פתח ר' אליעזר ואמר והוא כו' עיין שם, וזאת הבחינה הוא מ"ם סתימא דהכי היא צורתה לד' סטרין, וגם חושבניה דמ"ם הכי הוא, וכן שעוריה דמקוה, ובהון אתדכאית אתתיה כו'. דשיעור דילה גם כן בארבעים הוא כמו שאמרו שם ושם, וצריך מקוה מים שכל גופו עולה בהם, והן כלהו גופה - דכלילין באת ה' בתראה כמו שביארנו שם, וזה שאומר דבהון אתדכאית כו'. ואלו הארבעים הם תליסר מכילין דרחמי: י"ב בקר הנ"ל ונקודה ההיא, כמו שאומר בזוהר חדש שם, והן מים דמקוה, חסדים (כלומר דמקוה הוא אקי' דההי"ן, באימא) והוא במזל תחתון - ונקה, דשם וזרקתי עליכם מים וכו', והן המים שיצאו לעתיד לבוא וירפאו הכל כמו שכתוב ביום ההוא כו', והוא מזל י"ג דכליל כל י"ג מכילין דרחמי שהן ארבעים כנ"ל, וכן אלו הי"ג - בעלמא עילאה שכיח, כמו שאומר בפרק ב' דספרא דצניעותא. וענין הי"ג דאמר דההוא נקודה אשלים לי"ג, והוא ד' דאשלים לארבעים, ידוע בד' חיות ואופנים, שהן ט"ז פנים והן י"ג, כי ד' פני אדם שבאמצען - הן אחד, ושם יחודא, נשאר שלש פנים לכל צד, ואינון כל אחד לג', שהן י"ב חיות גדולות, כמו שאומר בזוהר פרשת פקודי רנ"ד ב' אלין ארבע נהורין עלאין אית תחותייהו תמניא אחרנין כו', ובזוהר פרשת ויקהל ובראשית ושאר מקומות הרבה, ואינון מתפרשין תלת תלת גם כן, כמו שאומר בזוהר פרשת פנחס רכ"ח א' עיין שם, ופני אדם בכל צד - משלים לעשר, דהוא עשר אתוון דשמא מפרש, אדם, והיחודא הוא בהאי אדם, דט' שהן לכל סטר - הן א"ח דז"א, דסתים לה, והיא - ד' דאחד - באמצע, כמו שאומר ברעיא מהימנא פרשת פנחס שם עיין שם. ומ"ם הזאת - מ"ם סתימא דבינה - ד’ תחתונות דבה, שנקרא תבונה, שבה עולין זו"נ, וזה שאומר בן ארבעים לבינה, ובס' דילה - ניתר כל האיסורים בששים, וזהו בה' שלה שהן ד"ו, מ' וס', (ואלו שנים - ו' ד', שהן דו"נ, שהן הנהגת עולם הזה, אבל י' דילה - שהוא עה"ב, לכן אין נטהרין עד לעתיד לבוא), ועוד י' שבה' - מתכשר כל הפסולין, והוא לעתיד לבוא שעתידין ממזרין להתכשר שנאמר בהם עד דור עשירי כו', והוא שער החמשים - שבה חוזר הכל להכשירו, שלמטה מתפשטין, מ"ט פנים טהור - בשבע ספירות תתאין, וכנגדן, מ"ט פנים טמא, שהוא מקנן במט"ט - עץ הדעת טוב ורע, אבל היא בעצמה - חירו דכלא, שער החמשים, ה' דכליל כל החמשים, ה’ פעמים י' דבה, ונקרא מטה האלקים - מ"ט וה' דכליל לון, ושם - אלו ואלו דברי אלקים חיים, שמא דבינה, דשם אף האסור מותר, והענין כי האסור הוא מצד עץ הדעת טוב ורע, דשם הסטרא אחרא, אבל בעץ החיים - לא יגורך רע, ומינה מתפשטין חו"ג, מסטרא דחסד - טהור אף בעץ הדעת טוב ורע, ומסטרא דגבורה - טמא שם, ות"ת - מכריע פעם לכאן כו', וזה סוד שהתורה ניתנה במ"ט פנים טהור ובמ"ט פנים טמא, והוא בדרגא דחו"ג, ובהגיע לת"ת - שם נאמר כהלכה, ולוחות הראשונות ניתנו בעץ החיים - דשם לא יום ולא לילה, לעת ערב יהיה אור, יום השביעי דאין לילה נזכר בו, וממנה שני ענפין יוצאין - חו"ג - על כל דבר, אלא כיון שמגיע לת"ת - מכריע לצד אחד, ושם נקרא הלכה, וזה שאומר הלכה כרבים מסטרא דאבהן כו' עיין שם. אלא שלהלכה שהוא במלכות - אינו כן, וכן הוא בבריאה - דשם מקננת, וזהו תלמיד ותיק שיכול לטהר את השרץ כו' (עירובין יג ע"ב), ועץ הדעת טוב ורע - הן בשלש דרגין, טהור טמא כו', והן נטהרין בעץ החיים דבינה, ביו"ד שהה"א כוללן, וכנ"ל:</w:t>
      </w:r>
    </w:p>
  </w:footnote>
  <w:footnote w:id="2220">
    <w:p w:rsidR="00A13282" w:rsidRDefault="00A13282">
      <w:pPr>
        <w:pStyle w:val="a5"/>
        <w:rPr>
          <w:rtl/>
        </w:rPr>
      </w:pPr>
      <w:r>
        <w:rPr>
          <w:rStyle w:val="a7"/>
          <w:rtl/>
        </w:rPr>
        <w:footnoteRef/>
      </w:r>
      <w:r>
        <w:rPr>
          <w:rtl/>
        </w:rPr>
        <w:t xml:space="preserve"> </w:t>
      </w:r>
      <w:r>
        <w:rPr>
          <w:rFonts w:ascii="Arial"/>
          <w:b/>
          <w:bCs/>
          <w:sz w:val="38"/>
          <w:rtl/>
        </w:rPr>
        <w:t>וקדם האי שעורא צריך למנאה שבעה כו'.</w:t>
      </w:r>
      <w:r>
        <w:rPr>
          <w:rFonts w:ascii="Arial"/>
          <w:sz w:val="38"/>
          <w:rtl/>
        </w:rPr>
        <w:t xml:space="preserve"> הענין, כי מ"ם הנ"ל הן מ"ב, ברזא דזכור ושמור, כמו שאומר ברעיא מהימנא שם, כי א"ח דאחד דסובב לה - הוא זכור, וד' דבאמצעיתא - הוא שמור עיין שם, ורוצה לומר, דבכל אחד הכוללם, והענין, כי הד' דמ"ם סתומה שבד' סטרין, התפשטות הנקודה לד' סטרין, יש באמצעיתא נקודה אחת המחברן, וזהו ה"א - נקודה בתוך ד', ובה ה', וכמו שאומר בזוהר חדש שם, רזא דהא - דלת הוה, וההוא נקודה דשריא באמצעיתא אתעביד ה"א, וכן הוא כאן, בענין ד' דילה, שהוא ד' דאחד כנ"ל. וכן הוא בא"ח דיליה, שיש עשירית ביה הכוללן והוא קוצו של ד', אות ברית כידוע, שאף שא"ח הוא ד’ פעמים, מכל מקום בקוץ הנ"ל נכלל לאחד, כמו בנקודה הנ"ל, וכמו תפילין של ראש ותפילין של יד, ושני אלו הן זכור ושמור, והן תרין אזנין לאחדא בימינא ושמאלא דקאמר בזוהר חדש ו' ב' שהן תרין אודנין דלבא, רוח צפונית דכנור ורוח דרומית, כמו שאומר לעיל ל"ג ב', שהן זכור ושמור, ובהן נשלם שם מ"ב, כמו שאומר בזוהר חדש שם, וברעיא מהימנא פרשת פנחס שם, והיא ב' דבראשית דהיא מ"ם, כמו שאומר לעיל ריש תיקון ה', ולקמן תיקון ל"ו, ב' ב' כללות הנ"ל, ומ"ם - פרטות הנ"ל, שהן מ"ב, וזה שאומר לקמן תיקון ל"ו דבימות החול נקראת מ"ם סתימא, ובשבת - ב' פתיחא, דבשבת נתגלין נקודות הנ"ל: אות ברית אות שבת, כמו שאומר שם, והן זכור ושמור של שבת. והכלל - שהן מ"ב, ושבעה יומין נקיים - הרי מ"ט, וז' הימים - הן ז' עולמתין דילה, ז' קצוות דילה, דצריכה לדכאה לון מקדם, וזה שאומר. לאשלמא בהון כו'. ויש עוד מ"ב בענין אחר: ז’ פעמים ו' - דשם מ"ב, והוא מסטרא דאות ס', או ו', ו"ק, דסחרין לה כל אחד מו"ק, משית סטרין, ועם מלכות - הוא מ"ב. ויש עוד מ"ב - דמרגלא: והן בשלש דרגין - בי"ע, בעשיה - נוק', מסטרא דאת ד' ומ"ם סתימא, וביצירה - מסטרא דאת ו' וס', ובבריאה - המרגלא כידוע, אקיק יה"ו דאמא, דמקננת בה, והיא י' דה"א שמתגלה בשבת, וד' דה"א - הן בחול, הימים והלילות, זו"נ, יצירה ועשיה, אבל בשבת, היו"ד - אין לא יום ולא לילה כנ"ל:</w:t>
      </w:r>
    </w:p>
  </w:footnote>
  <w:footnote w:id="2221">
    <w:p w:rsidR="00A13282" w:rsidRDefault="00A13282">
      <w:pPr>
        <w:pStyle w:val="a5"/>
        <w:rPr>
          <w:rtl/>
        </w:rPr>
      </w:pPr>
      <w:r>
        <w:rPr>
          <w:rStyle w:val="a7"/>
          <w:rtl/>
        </w:rPr>
        <w:footnoteRef/>
      </w:r>
      <w:r>
        <w:rPr>
          <w:rtl/>
        </w:rPr>
        <w:t xml:space="preserve"> </w:t>
      </w:r>
      <w:r>
        <w:rPr>
          <w:rFonts w:ascii="Arial"/>
          <w:b/>
          <w:bCs/>
          <w:sz w:val="38"/>
          <w:rtl/>
        </w:rPr>
        <w:t>ובהון אתחברת אורייתא כו'.</w:t>
      </w:r>
      <w:r>
        <w:rPr>
          <w:rFonts w:ascii="Arial"/>
          <w:sz w:val="38"/>
          <w:rtl/>
        </w:rPr>
        <w:t xml:space="preserve"> רוצה לומר במ"ט הנ"ל, שהן שמע ישראל ובשכמל"ו כנ"ל, שהן זו"נ, אורייתא דבכתב ודבעל פה, והן גם כן אח"ד הנ"ל דמקוה, ונעשין אחד:</w:t>
      </w:r>
    </w:p>
  </w:footnote>
  <w:footnote w:id="2222">
    <w:p w:rsidR="00A13282" w:rsidRDefault="00A13282">
      <w:pPr>
        <w:pStyle w:val="a5"/>
        <w:rPr>
          <w:rtl/>
        </w:rPr>
      </w:pPr>
      <w:r>
        <w:rPr>
          <w:rStyle w:val="a7"/>
          <w:rtl/>
        </w:rPr>
        <w:footnoteRef/>
      </w:r>
      <w:r>
        <w:rPr>
          <w:rtl/>
        </w:rPr>
        <w:t xml:space="preserve"> </w:t>
      </w:r>
      <w:r>
        <w:rPr>
          <w:rFonts w:ascii="Arial"/>
          <w:b/>
          <w:bCs/>
          <w:sz w:val="38"/>
          <w:rtl/>
        </w:rPr>
        <w:t>ביומא דשבועות.</w:t>
      </w:r>
      <w:r>
        <w:rPr>
          <w:rFonts w:ascii="Arial"/>
          <w:sz w:val="38"/>
          <w:rtl/>
        </w:rPr>
        <w:t xml:space="preserve"> שהוא שער החמשים, יסוד דבינה, מקוה הנ"ל, והן שתי הלחם דשבועות, שתי תורות, דאתמר (משלי ט ה) לכו לחמו בלחמי, ועליהון אתמר (רות א יט) ותלכנה שתיהן כו' כמו שאומר להלן ריש תיקון ל"א ובזוהר חדש ס"ה א' וברעיא מהימנא פרשת אמור ועיין שם צ"ח א' ב' בארוכה, וזה שאומר. דאינון דו פרצופין דאדם. רוצה לומר, וזהו שתי הלחם, והן בה"א עלאה, דהוא ד"ו כנ"ל, ובה מתחברין:</w:t>
      </w:r>
    </w:p>
  </w:footnote>
  <w:footnote w:id="2223">
    <w:p w:rsidR="00A13282" w:rsidRDefault="00A13282">
      <w:pPr>
        <w:pStyle w:val="a5"/>
        <w:rPr>
          <w:rtl/>
        </w:rPr>
      </w:pPr>
      <w:r>
        <w:rPr>
          <w:rStyle w:val="a7"/>
          <w:rtl/>
        </w:rPr>
        <w:footnoteRef/>
      </w:r>
      <w:r>
        <w:rPr>
          <w:rtl/>
        </w:rPr>
        <w:t xml:space="preserve"> </w:t>
      </w:r>
      <w:r>
        <w:rPr>
          <w:rFonts w:ascii="Arial"/>
          <w:b/>
          <w:bCs/>
          <w:sz w:val="38"/>
          <w:rtl/>
        </w:rPr>
        <w:t>דהוא בחלופא דאתוון רחם.</w:t>
      </w:r>
      <w:r>
        <w:rPr>
          <w:rFonts w:ascii="Arial"/>
          <w:sz w:val="38"/>
          <w:rtl/>
        </w:rPr>
        <w:t xml:space="preserve"> רוצה לומר בחלופא אתוון - למ"ד ברי"ש, והוא ביסוד הבינה, מקוה הנ"ל, ועיין בזוהר פרשת אמור צ"ז וצ"ח בארוכה:</w:t>
      </w:r>
    </w:p>
  </w:footnote>
  <w:footnote w:id="2224">
    <w:p w:rsidR="00A13282" w:rsidRDefault="00A13282">
      <w:pPr>
        <w:pStyle w:val="a5"/>
        <w:rPr>
          <w:rtl/>
        </w:rPr>
      </w:pPr>
      <w:r>
        <w:rPr>
          <w:rStyle w:val="a7"/>
          <w:rtl/>
        </w:rPr>
        <w:footnoteRef/>
      </w:r>
      <w:r>
        <w:rPr>
          <w:rtl/>
        </w:rPr>
        <w:t xml:space="preserve"> </w:t>
      </w:r>
      <w:r>
        <w:rPr>
          <w:rFonts w:ascii="Arial"/>
          <w:b/>
          <w:bCs/>
          <w:sz w:val="38"/>
          <w:rtl/>
        </w:rPr>
        <w:t>דאיהו רמ"ח כו'.</w:t>
      </w:r>
      <w:r>
        <w:rPr>
          <w:rFonts w:ascii="Arial"/>
          <w:sz w:val="38"/>
          <w:rtl/>
        </w:rPr>
        <w:t xml:space="preserve"> דאתייהיבו בתורה שבכתב ובעל פה:</w:t>
      </w:r>
    </w:p>
  </w:footnote>
  <w:footnote w:id="2225">
    <w:p w:rsidR="00A13282" w:rsidRDefault="00A13282">
      <w:pPr>
        <w:pStyle w:val="a5"/>
        <w:rPr>
          <w:rtl/>
        </w:rPr>
      </w:pPr>
      <w:r>
        <w:rPr>
          <w:rStyle w:val="a7"/>
          <w:rtl/>
        </w:rPr>
        <w:footnoteRef/>
      </w:r>
      <w:r>
        <w:rPr>
          <w:rtl/>
        </w:rPr>
        <w:t xml:space="preserve"> </w:t>
      </w:r>
      <w:r>
        <w:rPr>
          <w:rFonts w:ascii="Arial"/>
          <w:b/>
          <w:bCs/>
          <w:sz w:val="38"/>
          <w:rtl/>
        </w:rPr>
        <w:t>ורזא דמלה קדש כו'.</w:t>
      </w:r>
      <w:r>
        <w:rPr>
          <w:rFonts w:ascii="Arial"/>
          <w:sz w:val="38"/>
          <w:rtl/>
        </w:rPr>
        <w:t xml:space="preserve"> דז"א, דביה רמ"ח פיקודין - הוא בוכרא, בני בכורי ישראל, ועיין בזוהר פרשת בא מ"ג ב' בכור דא בן בכור דכתיב כו', והוא פטר רחם דילה ברמ"ח אברים - רמ"ח פקודין, ורחמה נפתח בנ' שערים כמו שאומר בזוהר פרשת בראשית י"ג ב', ואע"ג דשם כתוב דיו"ד אפתח רחמה - היינו ע"י וא"ו, דיו"ד היא המפתח דפתח להיולדת להוציא הולד כמו שביארנו שם עיין שם, ועיין שם ב' ב' בההוא מפתחא בארוכה, וזה שאמרו (בכורות מה ע"א) שיש מפתח לאשה, ואמרו שם איידי דזוטרא - והוא י' הנ"ל, שבילא דבו, ואמרו שם שתי דלתות ושני צירים, והן ד' של ה"א, שהוא דלת אחת ובו ציר אחד - י', יוד שבו, ושתי דלתות וצירים הם מ"ם סתומה הנ"ל, שהוא הרחם כנ"ל, ובלידה נפתחין הדלתות ונכנס ברא בוכרא - שורש הדעת, בה, ונעשית ה"א, והיא הפתיחה לנ’ שערי בינה שהן בה"א:</w:t>
      </w:r>
    </w:p>
  </w:footnote>
  <w:footnote w:id="2226">
    <w:p w:rsidR="00A13282" w:rsidRDefault="00A13282" w:rsidP="00272931">
      <w:pPr>
        <w:pStyle w:val="a5"/>
        <w:rPr>
          <w:rtl/>
        </w:rPr>
      </w:pPr>
      <w:r>
        <w:rPr>
          <w:rStyle w:val="a7"/>
          <w:rtl/>
        </w:rPr>
        <w:footnoteRef/>
      </w:r>
      <w:r>
        <w:rPr>
          <w:rtl/>
        </w:rPr>
        <w:t xml:space="preserve"> </w:t>
      </w:r>
      <w:r>
        <w:rPr>
          <w:rFonts w:ascii="Arial"/>
          <w:b/>
          <w:bCs/>
          <w:sz w:val="38"/>
          <w:rtl/>
        </w:rPr>
        <w:t>מתקרבין כל פקודין דעשה כו'.</w:t>
      </w:r>
      <w:r>
        <w:rPr>
          <w:rFonts w:ascii="Arial"/>
          <w:sz w:val="38"/>
          <w:rtl/>
        </w:rPr>
        <w:t xml:space="preserve"> שהן רמ"ח אברים, וזה שאומר - כעצמים, וכמו שכתוב (יחזקאל לז ז) ותקרבו עצמות כו', בבטן - שהוא בינה, כמו שאומר בתיקון ל’ מבטן מי כו', המלאה - דהיא נקראת מליאה, אלקים חיים, מלא י"ה, בינה בן י"ה דכלילן בה' י' וד' דה"א ווא"ו, ויום השבועות - זמן הביכורים שנאמר (שמות כב כח) מלאתך כו':</w:t>
      </w:r>
    </w:p>
  </w:footnote>
  <w:footnote w:id="2227">
    <w:p w:rsidR="00A13282" w:rsidRDefault="00A13282">
      <w:pPr>
        <w:pStyle w:val="a5"/>
        <w:rPr>
          <w:rtl/>
        </w:rPr>
      </w:pPr>
      <w:r>
        <w:rPr>
          <w:rStyle w:val="a7"/>
          <w:rtl/>
        </w:rPr>
        <w:footnoteRef/>
      </w:r>
      <w:r>
        <w:rPr>
          <w:rtl/>
        </w:rPr>
        <w:t xml:space="preserve"> </w:t>
      </w:r>
      <w:r>
        <w:rPr>
          <w:rFonts w:ascii="Arial"/>
          <w:b/>
          <w:bCs/>
          <w:sz w:val="38"/>
          <w:rtl/>
        </w:rPr>
        <w:t>ובההוא זמנא כו'.</w:t>
      </w:r>
      <w:r>
        <w:rPr>
          <w:rFonts w:ascii="Arial"/>
          <w:sz w:val="38"/>
          <w:rtl/>
        </w:rPr>
        <w:t xml:space="preserve"> כנ"ל דפקודין דעשה שהן רמ"ח אברים מתקרבין זה אל זה ע"י הקרבת שתי הלחם, וצינורות - הן הגידין שמחברין האברים ומשתקיין האברים על ידן, והן שס"ה לא תעשה דאורייתא:</w:t>
      </w:r>
    </w:p>
  </w:footnote>
  <w:footnote w:id="2228">
    <w:p w:rsidR="00A13282" w:rsidRDefault="00A13282">
      <w:pPr>
        <w:pStyle w:val="a5"/>
        <w:rPr>
          <w:rtl/>
        </w:rPr>
      </w:pPr>
      <w:r>
        <w:rPr>
          <w:rStyle w:val="a7"/>
          <w:rtl/>
        </w:rPr>
        <w:footnoteRef/>
      </w:r>
      <w:r>
        <w:rPr>
          <w:rtl/>
        </w:rPr>
        <w:t xml:space="preserve"> </w:t>
      </w:r>
      <w:r>
        <w:rPr>
          <w:rFonts w:ascii="Arial"/>
          <w:b/>
          <w:bCs/>
          <w:sz w:val="38"/>
          <w:rtl/>
        </w:rPr>
        <w:t>הדא הוא דכתיב מקבילות כו'.</w:t>
      </w:r>
      <w:r>
        <w:rPr>
          <w:rFonts w:ascii="Arial"/>
          <w:sz w:val="38"/>
          <w:rtl/>
        </w:rPr>
        <w:t xml:space="preserve"> רוצה לומר מקבלין זה מזה:</w:t>
      </w:r>
    </w:p>
  </w:footnote>
  <w:footnote w:id="2229">
    <w:p w:rsidR="00A13282" w:rsidRDefault="00A13282">
      <w:pPr>
        <w:pStyle w:val="a5"/>
        <w:rPr>
          <w:rtl/>
        </w:rPr>
      </w:pPr>
      <w:r>
        <w:rPr>
          <w:rStyle w:val="a7"/>
          <w:rtl/>
        </w:rPr>
        <w:footnoteRef/>
      </w:r>
      <w:r>
        <w:rPr>
          <w:rtl/>
        </w:rPr>
        <w:t xml:space="preserve"> </w:t>
      </w:r>
      <w:r>
        <w:rPr>
          <w:rFonts w:ascii="Arial"/>
          <w:b/>
          <w:bCs/>
          <w:sz w:val="38"/>
          <w:rtl/>
        </w:rPr>
        <w:t>הדא דאת אמר ונותנין רשות כו'.</w:t>
      </w:r>
      <w:r>
        <w:rPr>
          <w:rFonts w:ascii="Arial"/>
          <w:sz w:val="38"/>
          <w:rtl/>
        </w:rPr>
        <w:t xml:space="preserve"> רוצה לומר, מה שאומרים בברכות קריאת שמע, ועיקר ההתקרבות דקאמר כאן רמ"ח פקודין דמצוה, ברמ"ח דאורייתא, דאיהו מצוה בכל אבר דיליה, וזהו ההתקרבות הוא בשתי הלחם:</w:t>
      </w:r>
    </w:p>
  </w:footnote>
  <w:footnote w:id="2230">
    <w:p w:rsidR="00A13282" w:rsidRDefault="00A13282">
      <w:pPr>
        <w:pStyle w:val="a5"/>
        <w:rPr>
          <w:rtl/>
        </w:rPr>
      </w:pPr>
      <w:r>
        <w:rPr>
          <w:rStyle w:val="a7"/>
          <w:rtl/>
        </w:rPr>
        <w:footnoteRef/>
      </w:r>
      <w:r>
        <w:rPr>
          <w:rtl/>
        </w:rPr>
        <w:t xml:space="preserve"> </w:t>
      </w:r>
      <w:r>
        <w:rPr>
          <w:rFonts w:ascii="Arial"/>
          <w:b/>
          <w:bCs/>
          <w:sz w:val="38"/>
          <w:rtl/>
        </w:rPr>
        <w:t>ומאי אמרי כו'.</w:t>
      </w:r>
      <w:r>
        <w:rPr>
          <w:rFonts w:ascii="Arial"/>
          <w:sz w:val="38"/>
          <w:rtl/>
        </w:rPr>
        <w:t xml:space="preserve"> כמו שאמרו בסוף פרק ג' דתענית כשמנסכין כו', והן נו"ה - בשני ספלים, מים ויין, ימינא ושמאלא:</w:t>
      </w:r>
    </w:p>
  </w:footnote>
  <w:footnote w:id="2231">
    <w:p w:rsidR="00A13282" w:rsidRDefault="00A13282">
      <w:pPr>
        <w:pStyle w:val="a5"/>
        <w:rPr>
          <w:rtl/>
        </w:rPr>
      </w:pPr>
      <w:r>
        <w:rPr>
          <w:rStyle w:val="a7"/>
          <w:rtl/>
        </w:rPr>
        <w:footnoteRef/>
      </w:r>
      <w:r>
        <w:rPr>
          <w:rtl/>
        </w:rPr>
        <w:t xml:space="preserve"> </w:t>
      </w:r>
      <w:r>
        <w:rPr>
          <w:rFonts w:ascii="Arial"/>
          <w:b/>
          <w:bCs/>
          <w:sz w:val="38"/>
          <w:rtl/>
        </w:rPr>
        <w:t>לקבלייהו תרין שפוון.</w:t>
      </w:r>
      <w:r>
        <w:rPr>
          <w:rFonts w:ascii="Arial"/>
          <w:sz w:val="38"/>
          <w:rtl/>
        </w:rPr>
        <w:t xml:space="preserve"> רוצה לומר בשבועות. שפוון דאורייתא - אפיקי מים של תורה, שעל ידם מתחבר תורה שבכתב ובעל פה ע"י לימוד התורה:</w:t>
      </w:r>
    </w:p>
  </w:footnote>
  <w:footnote w:id="2232">
    <w:p w:rsidR="00A13282" w:rsidRDefault="00A13282">
      <w:pPr>
        <w:pStyle w:val="a5"/>
        <w:rPr>
          <w:rtl/>
        </w:rPr>
      </w:pPr>
      <w:r>
        <w:rPr>
          <w:rStyle w:val="a7"/>
          <w:rtl/>
        </w:rPr>
        <w:footnoteRef/>
      </w:r>
      <w:r>
        <w:rPr>
          <w:rtl/>
        </w:rPr>
        <w:t xml:space="preserve"> </w:t>
      </w:r>
      <w:r>
        <w:rPr>
          <w:rFonts w:ascii="Arial"/>
          <w:b/>
          <w:bCs/>
          <w:sz w:val="38"/>
          <w:rtl/>
        </w:rPr>
        <w:t>ותרווייהו אתשקיין כו'.</w:t>
      </w:r>
      <w:r>
        <w:rPr>
          <w:rFonts w:ascii="Arial"/>
          <w:sz w:val="38"/>
          <w:rtl/>
        </w:rPr>
        <w:t xml:space="preserve"> ורוצה לומר, זה שאומר תהום אל תהום - עמודא דאמצעיתא ומלכות, קורא - לקבלא דין מן דין, וכמו שאומר לעיל וקרא זה אל זה - ומקבלין דין מן דין, וכמו שאומר לעיל כל אחד אומר לחברו אבע מימך, לקול - הוא נו"ה, קול שני ריעים, צנוריך - יסוד, וע"י שלושה אלו הן מתחברין כידוע, ואמר דכליל כלא כו', דכלילין בי' כו', רוצה לומר וזה שאומר צנוריך לשון רבים דכליל כל האברים וכל שפעם שהולך בכל הצינורות:</w:t>
      </w:r>
    </w:p>
  </w:footnote>
  <w:footnote w:id="2233">
    <w:p w:rsidR="00A13282" w:rsidRDefault="00A13282">
      <w:pPr>
        <w:pStyle w:val="a5"/>
        <w:rPr>
          <w:rtl/>
        </w:rPr>
      </w:pPr>
      <w:r>
        <w:rPr>
          <w:rStyle w:val="a7"/>
          <w:rtl/>
        </w:rPr>
        <w:footnoteRef/>
      </w:r>
      <w:r>
        <w:rPr>
          <w:rtl/>
        </w:rPr>
        <w:t xml:space="preserve"> </w:t>
      </w:r>
      <w:r>
        <w:rPr>
          <w:rFonts w:ascii="Arial"/>
          <w:b/>
          <w:bCs/>
          <w:sz w:val="38"/>
          <w:rtl/>
        </w:rPr>
        <w:t>כל צינורין כו' דאיהו נהר כו'.</w:t>
      </w:r>
      <w:r>
        <w:rPr>
          <w:rFonts w:ascii="Arial"/>
          <w:sz w:val="38"/>
          <w:rtl/>
        </w:rPr>
        <w:t xml:space="preserve"> רוצה לומר, דעת דהוא ו', והוא הנהר דמהלך בכל האברים עד שמגיע לברית שנקרא על שמו כי שם קיבוץ הדעת והתגלותו:</w:t>
      </w:r>
    </w:p>
  </w:footnote>
  <w:footnote w:id="2234">
    <w:p w:rsidR="00A13282" w:rsidRDefault="00A13282">
      <w:pPr>
        <w:pStyle w:val="a5"/>
        <w:rPr>
          <w:rtl/>
        </w:rPr>
      </w:pPr>
      <w:r>
        <w:rPr>
          <w:rStyle w:val="a7"/>
          <w:rtl/>
        </w:rPr>
        <w:footnoteRef/>
      </w:r>
      <w:r>
        <w:rPr>
          <w:rtl/>
        </w:rPr>
        <w:t xml:space="preserve"> </w:t>
      </w:r>
      <w:r>
        <w:rPr>
          <w:rFonts w:ascii="Arial"/>
          <w:b/>
          <w:bCs/>
          <w:sz w:val="38"/>
          <w:rtl/>
        </w:rPr>
        <w:t>דנפיק ממעינא דמיא כו'.</w:t>
      </w:r>
      <w:r>
        <w:rPr>
          <w:rFonts w:ascii="Arial"/>
          <w:sz w:val="38"/>
          <w:rtl/>
        </w:rPr>
        <w:t xml:space="preserve"> שהוא בין י"ה, שהוא הזרע שנותן אבא לאמא, ומתמליא מיניה, ושם נתגדל ונתרבה ויוצא הולד, ומכל מקום השורש נשאר שם כידוע, והוא הדעת, נהר דנפיק כו', וזה שאומר ומיניה כו', ועיין בזוהר פרשת בא מ"ב ב', ורוצה לומר בכאן, זה שאומר כל משבריך וגליך כו', משבריך - הוא ה"א, שנשבר הרגל מינה ונפתח בלידה - ביציאת מצרים - ביציאת הבן מינה, כמו שאומר בזוהר פרשת פנחס רנ"ב א', דתבר ח' מחמץ ונעשית מצה. וגליך - הוא י', גל נעול מעין חתום, והוא המעין. וצינוריך - הוא הוא"ו, וזה שאומר כל צינורין כו' מן את ו':</w:t>
      </w:r>
    </w:p>
  </w:footnote>
  <w:footnote w:id="2235">
    <w:p w:rsidR="00A13282" w:rsidRDefault="00A13282">
      <w:pPr>
        <w:pStyle w:val="a5"/>
        <w:rPr>
          <w:rtl/>
        </w:rPr>
      </w:pPr>
      <w:r>
        <w:rPr>
          <w:rStyle w:val="a7"/>
          <w:rtl/>
        </w:rPr>
        <w:footnoteRef/>
      </w:r>
      <w:r>
        <w:rPr>
          <w:rtl/>
        </w:rPr>
        <w:t xml:space="preserve"> </w:t>
      </w:r>
      <w:r>
        <w:rPr>
          <w:rFonts w:ascii="Arial"/>
          <w:b/>
          <w:bCs/>
          <w:sz w:val="38"/>
          <w:rtl/>
        </w:rPr>
        <w:t>דאיהי ים עלאה.</w:t>
      </w:r>
      <w:r>
        <w:rPr>
          <w:rFonts w:ascii="Arial"/>
          <w:sz w:val="38"/>
          <w:rtl/>
        </w:rPr>
        <w:t xml:space="preserve"> כמו שאומר בזוהר פרשת בא עיין שם, וה' הוא י"ם - נ’ שערי בינה, והוא פתוח כמו ים דפתוח כמו שאמרו (ילקוט שמעוני תהלים סה סימן תשפט) למה נמשלה תשובה לים מה כו', אבל מקוה נמשלה למ"ם דאיהי סתום:</w:t>
      </w:r>
    </w:p>
  </w:footnote>
  <w:footnote w:id="2236">
    <w:p w:rsidR="00A13282" w:rsidRDefault="00A13282">
      <w:pPr>
        <w:pStyle w:val="a5"/>
        <w:rPr>
          <w:rtl/>
        </w:rPr>
      </w:pPr>
      <w:r>
        <w:rPr>
          <w:rStyle w:val="a7"/>
          <w:rtl/>
        </w:rPr>
        <w:footnoteRef/>
      </w:r>
      <w:r>
        <w:rPr>
          <w:rtl/>
        </w:rPr>
        <w:t xml:space="preserve"> </w:t>
      </w:r>
      <w:r>
        <w:rPr>
          <w:rFonts w:ascii="Arial"/>
          <w:b/>
          <w:bCs/>
          <w:sz w:val="38"/>
          <w:rtl/>
        </w:rPr>
        <w:t>כלילין בקרקע.</w:t>
      </w:r>
      <w:r>
        <w:rPr>
          <w:rFonts w:ascii="Arial"/>
          <w:sz w:val="38"/>
          <w:rtl/>
        </w:rPr>
        <w:t xml:space="preserve"> רוצה לומר דצנורין הן להשקות את הקרקע - ארץ:</w:t>
      </w:r>
    </w:p>
  </w:footnote>
  <w:footnote w:id="2237">
    <w:p w:rsidR="00A13282" w:rsidRDefault="00A13282">
      <w:pPr>
        <w:pStyle w:val="a5"/>
        <w:rPr>
          <w:rtl/>
        </w:rPr>
      </w:pPr>
      <w:r>
        <w:rPr>
          <w:rStyle w:val="a7"/>
          <w:rtl/>
        </w:rPr>
        <w:footnoteRef/>
      </w:r>
      <w:r>
        <w:rPr>
          <w:rtl/>
        </w:rPr>
        <w:t xml:space="preserve"> </w:t>
      </w:r>
      <w:r>
        <w:rPr>
          <w:rFonts w:ascii="Arial"/>
          <w:b/>
          <w:bCs/>
          <w:sz w:val="38"/>
          <w:rtl/>
        </w:rPr>
        <w:t>גל נעול.</w:t>
      </w:r>
      <w:r>
        <w:rPr>
          <w:rFonts w:ascii="Arial"/>
          <w:sz w:val="38"/>
          <w:rtl/>
        </w:rPr>
        <w:t xml:space="preserve"> הוא נקודה דידה, אות ברית, חכמת שלמה, והוא מעין חתום כל ימי השבוע, כמו שאומר לקמן תיקון ל”ו, וזה שאומר בגין דאיהי כו' ואיהי חכמת שלמה כו':</w:t>
      </w:r>
    </w:p>
  </w:footnote>
  <w:footnote w:id="2238">
    <w:p w:rsidR="00A13282" w:rsidRDefault="00A13282">
      <w:pPr>
        <w:pStyle w:val="a5"/>
        <w:rPr>
          <w:rtl/>
        </w:rPr>
      </w:pPr>
      <w:r>
        <w:rPr>
          <w:rStyle w:val="a7"/>
          <w:rtl/>
        </w:rPr>
        <w:footnoteRef/>
      </w:r>
      <w:r>
        <w:rPr>
          <w:rtl/>
        </w:rPr>
        <w:t xml:space="preserve"> </w:t>
      </w:r>
      <w:r>
        <w:rPr>
          <w:rFonts w:ascii="Arial"/>
          <w:b/>
          <w:bCs/>
          <w:sz w:val="38"/>
          <w:rtl/>
        </w:rPr>
        <w:t>דאיהי י' עלאה.</w:t>
      </w:r>
      <w:r>
        <w:rPr>
          <w:rFonts w:ascii="Arial"/>
          <w:sz w:val="38"/>
          <w:rtl/>
        </w:rPr>
        <w:t xml:space="preserve"> חכמה עליונה, וידוע שכל הנחלים הולכים אליה בתוך יו"ד דידה הנ"ל, ושם - ותרב, ועיין במקום אחר שכתבנו שכלל הנקודות הן סך הכל מנין ותרב:</w:t>
      </w:r>
    </w:p>
  </w:footnote>
  <w:footnote w:id="2239">
    <w:p w:rsidR="00A13282" w:rsidRDefault="00A13282">
      <w:pPr>
        <w:pStyle w:val="a5"/>
        <w:rPr>
          <w:rtl/>
        </w:rPr>
      </w:pPr>
      <w:r>
        <w:rPr>
          <w:rStyle w:val="a7"/>
          <w:rtl/>
        </w:rPr>
        <w:footnoteRef/>
      </w:r>
      <w:r>
        <w:rPr>
          <w:rtl/>
        </w:rPr>
        <w:t xml:space="preserve"> </w:t>
      </w:r>
      <w:r>
        <w:rPr>
          <w:rFonts w:ascii="Arial"/>
          <w:b/>
          <w:bCs/>
          <w:sz w:val="38"/>
          <w:rtl/>
        </w:rPr>
        <w:t>בני קדם.</w:t>
      </w:r>
      <w:r>
        <w:rPr>
          <w:rFonts w:ascii="Arial"/>
          <w:sz w:val="38"/>
          <w:rtl/>
        </w:rPr>
        <w:t xml:space="preserve"> קדם הוא כתר, דשם ימי קדם, כמו שאומר באדרא רבא, ושם המקור, כמו שאומר שם בזוהר פרשת בא, והמעין נפיק מן המקור בל"ב שבילין, ואינון בני קדם, והיא אתרביאת ומתגדלת עד דמטיא לשם, ושם היא תגא בראש וא"ו, כמו שמפרש והולך, והיא ז' - תגא, ובתחלה היתה בסוד חירק - יו"ד תחת ו', וכד אשתקיא מינה נקרא שורק, וכד היא מטיא ליו"ד עלאה היא חולם, וזה שאומר ת"ח שכינתא כו', ושם ביוד עלאה התחברות שתי חכמות, תעלומות חכמה, ועיין בזוהר פרשת בראשית ז' ב' ר"ח פתח כו' ב' תרין אינון דמתחבראן כחדא חד כו', ועיין שם ו' א' ומקדשי תיראו כו' והיא חכמת שלמה:</w:t>
      </w:r>
    </w:p>
  </w:footnote>
  <w:footnote w:id="2240">
    <w:p w:rsidR="00A13282" w:rsidRDefault="00A13282">
      <w:pPr>
        <w:pStyle w:val="a5"/>
        <w:rPr>
          <w:rtl/>
        </w:rPr>
      </w:pPr>
      <w:r>
        <w:rPr>
          <w:rStyle w:val="a7"/>
          <w:rtl/>
        </w:rPr>
        <w:footnoteRef/>
      </w:r>
      <w:r>
        <w:rPr>
          <w:rtl/>
        </w:rPr>
        <w:t xml:space="preserve"> </w:t>
      </w:r>
      <w:r>
        <w:rPr>
          <w:rFonts w:ascii="Arial"/>
          <w:b/>
          <w:bCs/>
          <w:sz w:val="38"/>
          <w:rtl/>
        </w:rPr>
        <w:t>ות"ח שכינתא כו'.</w:t>
      </w:r>
      <w:r>
        <w:rPr>
          <w:rFonts w:ascii="Arial"/>
          <w:sz w:val="38"/>
          <w:rtl/>
        </w:rPr>
        <w:t xml:space="preserve"> בתלת דרגין כנ"ל וכמו שמפרש והולך:</w:t>
      </w:r>
    </w:p>
  </w:footnote>
  <w:footnote w:id="2241">
    <w:p w:rsidR="00A13282" w:rsidRDefault="00A13282">
      <w:pPr>
        <w:pStyle w:val="a5"/>
        <w:rPr>
          <w:rtl/>
        </w:rPr>
      </w:pPr>
      <w:r>
        <w:rPr>
          <w:rStyle w:val="a7"/>
          <w:rtl/>
        </w:rPr>
        <w:footnoteRef/>
      </w:r>
      <w:r>
        <w:rPr>
          <w:rtl/>
        </w:rPr>
        <w:t xml:space="preserve"> </w:t>
      </w:r>
      <w:r>
        <w:rPr>
          <w:rFonts w:ascii="Arial"/>
          <w:b/>
          <w:bCs/>
          <w:sz w:val="38"/>
          <w:rtl/>
        </w:rPr>
        <w:t>למאן כו' דכליל כו'.</w:t>
      </w:r>
      <w:r>
        <w:rPr>
          <w:rFonts w:ascii="Arial"/>
          <w:sz w:val="38"/>
          <w:rtl/>
        </w:rPr>
        <w:t xml:space="preserve"> וצנורין הן נקודות כנ"ל וכלהו אתקריאו צינורין כו', והיא שלש צינורין, שלש נקודות כנ"ל, הרי תשעה נקודין הנ"ל, וזה שאומר למעלה כל צינורין אינון אשתקיין מן את ו' דאיהו כו', ששית צינורין ביה, ואיהי - שלש צינורין - גם כן מתשקייא מניה, וכמו שאומר למאן לההוא צינור כו', והן סוד ו' ד' - ד"ו פרצופין, שהוא - ו' נקודות, והיא - ד', שהעשירית היא כלילה מכולם כידוע, שעלה אמרו (ילקוט שמעוני תהלים סח סימן תשצו) אלפי שאינן:</w:t>
      </w:r>
    </w:p>
  </w:footnote>
  <w:footnote w:id="2242">
    <w:p w:rsidR="00A13282" w:rsidRDefault="00A13282">
      <w:pPr>
        <w:pStyle w:val="a5"/>
        <w:rPr>
          <w:rtl/>
        </w:rPr>
      </w:pPr>
      <w:r>
        <w:rPr>
          <w:rStyle w:val="a7"/>
          <w:rtl/>
        </w:rPr>
        <w:footnoteRef/>
      </w:r>
      <w:r>
        <w:rPr>
          <w:rtl/>
        </w:rPr>
        <w:t xml:space="preserve"> </w:t>
      </w:r>
      <w:r>
        <w:rPr>
          <w:rFonts w:ascii="Arial"/>
          <w:b/>
          <w:bCs/>
          <w:sz w:val="38"/>
          <w:rtl/>
        </w:rPr>
        <w:t>דכלהון משית אתוון ואיהו אב"ג ית"ץ כו' מניה וכל חד כליל שית אחרנין.</w:t>
      </w:r>
      <w:r>
        <w:rPr>
          <w:rFonts w:ascii="Arial"/>
          <w:sz w:val="38"/>
          <w:rtl/>
        </w:rPr>
        <w:t xml:space="preserve"> הענין, שהוא - הדעת, שהוא וא"ו, נהר כו' כנ"ל, ואיהו צינור דנפיק ממעיינא דמיא כנ"ל, והוא משקה לשית צינורין - ו"ק, ועם כללותיהן דהוא מלכות דכל חד וחד, דכלולה מכל שית אתוון דכל חד - הוא מ"ט פנים כנ"ל, והוא מלכות דז"א הקבועה בכל ספירה, אבל מלכות - נוק' - היא כלולה משלש צנורין, וכל אחד משבע, דהיא בת שבע - יו"ד על ו', דהיא ז', והן כ"א, ומשלמת לשבעים פנים, ושלש דידה - הן ג"ר, דעל ידם נשלם לעשר, והוא הסוד מה שאמרו בזוהר פרשת תרומה וברעיא מהימנא, דלעילא הוא מ"ב, ובזה הוא ע"ב, דהיא משלמת למ"ט כנ"ל, ולע', והוא כ"ח דילה - כח מעשיו, והוא סוד כ"ב אתוון וכ"ח אתוון, כ"ח כנ"ל והוא - אי"ה או"ה, וכ"ב - בחשבו כל הכללות של ז"א לאחד, והוא בחינה הרביעית שבה. והוא סוד אמה וחצי האמה דלקמן ל"ט ב' וחצי האמה דא יו"ד כו' ג' טפחים ודא ג', ורוצה לומר כנ"ל, דוא"ו צינורין - בה ו"ט, וג' בה שהיא יו"ד, חכמה זעירא, ובהיפוכא דהוי"ה דכן הוא מדת הקרשים מתחיל בההי"ן עשר אמות כמו שאומר שם. ובחינה הרביעית שבה נקראת ים דאתמליא מכלהון, כל הנחלים הולכים אל הים, והוא ה' כלולה מחמשים, ים, כל, כלה. וכאן - בהיפוכא, דבדידיה הנהר ו' יוצא מי"ה, וכאן - משקה לי"ה, וה"א - מלכות, דבו משלמת כאן וכאן, ושם נפיק מי"ה ומשקה לה' הנ"ל, וכאן נפיק מה"א ומשקה לי"ה:</w:t>
      </w:r>
    </w:p>
  </w:footnote>
  <w:footnote w:id="2243">
    <w:p w:rsidR="00A13282" w:rsidRDefault="00A13282">
      <w:pPr>
        <w:pStyle w:val="a5"/>
        <w:rPr>
          <w:rtl/>
        </w:rPr>
      </w:pPr>
      <w:r>
        <w:rPr>
          <w:rStyle w:val="a7"/>
          <w:rtl/>
        </w:rPr>
        <w:footnoteRef/>
      </w:r>
      <w:r>
        <w:rPr>
          <w:rtl/>
        </w:rPr>
        <w:t xml:space="preserve"> </w:t>
      </w:r>
      <w:r>
        <w:rPr>
          <w:rFonts w:ascii="Arial"/>
          <w:b/>
          <w:bCs/>
          <w:sz w:val="38"/>
          <w:rtl/>
        </w:rPr>
        <w:t>אתקריאת חרק כו' כגוונא דא ו והכי אתקרי לגבי י והכי לגבי ה.</w:t>
      </w:r>
      <w:r>
        <w:rPr>
          <w:rFonts w:ascii="Arial"/>
          <w:sz w:val="38"/>
          <w:rtl/>
        </w:rPr>
        <w:t xml:space="preserve"> הכל בג' נקודין הנ"ל. ורוצה לומר שזהו גם כן ט' צינורין הנ"ל דכלילין בה - ג' מכל אחד:</w:t>
      </w:r>
    </w:p>
  </w:footnote>
  <w:footnote w:id="2244">
    <w:p w:rsidR="00A13282" w:rsidRDefault="00A13282">
      <w:pPr>
        <w:pStyle w:val="a5"/>
        <w:rPr>
          <w:rtl/>
        </w:rPr>
      </w:pPr>
      <w:r>
        <w:rPr>
          <w:rStyle w:val="a7"/>
          <w:rtl/>
        </w:rPr>
        <w:footnoteRef/>
      </w:r>
      <w:r>
        <w:rPr>
          <w:rtl/>
        </w:rPr>
        <w:t xml:space="preserve"> </w:t>
      </w:r>
      <w:r>
        <w:rPr>
          <w:rFonts w:ascii="Arial"/>
          <w:b/>
          <w:bCs/>
          <w:sz w:val="38"/>
          <w:rtl/>
        </w:rPr>
        <w:t>ורזא דמלה אני כו'.</w:t>
      </w:r>
      <w:r>
        <w:rPr>
          <w:rFonts w:ascii="Arial"/>
          <w:sz w:val="38"/>
          <w:rtl/>
        </w:rPr>
        <w:t xml:space="preserve"> דסלקא בכתר - אי"ן, ולכן היא ראשון אף לגבי י', וכד סלקא לגבי חכמה - ראשון לגבי ה', חולם עליה, ובבינה - לגבי ו', וכן בשורק וחירק, אלא שבהיותה בחכמה בבחינת חכמה - נקראת שורק, ובבחינת כתר - חירק, ובבחינת בינה - חולם, וכן בכולם:</w:t>
      </w:r>
    </w:p>
  </w:footnote>
  <w:footnote w:id="2245">
    <w:p w:rsidR="00A13282" w:rsidRDefault="00A13282">
      <w:pPr>
        <w:pStyle w:val="a5"/>
        <w:rPr>
          <w:rtl/>
        </w:rPr>
      </w:pPr>
      <w:r>
        <w:rPr>
          <w:rStyle w:val="a7"/>
          <w:rtl/>
        </w:rPr>
        <w:footnoteRef/>
      </w:r>
      <w:r>
        <w:rPr>
          <w:rtl/>
        </w:rPr>
        <w:t xml:space="preserve"> </w:t>
      </w:r>
      <w:r>
        <w:rPr>
          <w:rFonts w:ascii="Arial"/>
          <w:b/>
          <w:bCs/>
          <w:sz w:val="38"/>
          <w:rtl/>
        </w:rPr>
        <w:t>ו' כו'.</w:t>
      </w:r>
      <w:r>
        <w:rPr>
          <w:rFonts w:ascii="Arial"/>
          <w:sz w:val="38"/>
          <w:rtl/>
        </w:rPr>
        <w:t xml:space="preserve"> רוצה לומר דכתיב ומבלעדי אין אלקים, ואין הוא אני, והכל בסטרא דנוק', וזה שאומר אין אלקים, ורוצה לומר כל הנוק' הכל מסטרהא, ראשית האצילות הוא מח"ס - ראשית הכל - והוא נוק', וכמו שאומר בריש הזוהר, בריש הורמנותא דמלכא בוצינא כו', ועלה אמרו סוף המעשה תחלת המחשבה - מ"ס, אבל כתרא - גלגלתא - אינו אלא שורש, ולכן רישא לכל רישין, ולכן אדם - שמא מפרש, לא נחית עד דהוא עם נוקבא:</w:t>
      </w:r>
    </w:p>
  </w:footnote>
  <w:footnote w:id="2246">
    <w:p w:rsidR="00A13282" w:rsidRDefault="00A13282">
      <w:pPr>
        <w:pStyle w:val="a5"/>
        <w:rPr>
          <w:rtl/>
        </w:rPr>
      </w:pPr>
      <w:r>
        <w:rPr>
          <w:rStyle w:val="a7"/>
          <w:rtl/>
        </w:rPr>
        <w:footnoteRef/>
      </w:r>
      <w:r>
        <w:rPr>
          <w:rtl/>
        </w:rPr>
        <w:t xml:space="preserve"> </w:t>
      </w:r>
      <w:r>
        <w:rPr>
          <w:rFonts w:ascii="Arial"/>
          <w:b/>
          <w:bCs/>
          <w:sz w:val="38"/>
          <w:rtl/>
        </w:rPr>
        <w:t>ולזמנין כו' נוטה כו'.</w:t>
      </w:r>
      <w:r>
        <w:rPr>
          <w:rFonts w:ascii="Arial"/>
          <w:sz w:val="38"/>
          <w:rtl/>
        </w:rPr>
        <w:t xml:space="preserve"> רוצה לומר דיוד שעליה - הוא הנוטה לשמים, והוא כיריעה - צורת ו', וכמו שאומר לעיל דף ה' ע"ב דעליה אתמר נוטה שמים כו' נוטה שמים לבדי מאן נטה כו' עיין שם בארוכה כל הענין, שאלו שתי צורות הוא סוד חולם חירק, אי"ה או"ה, סוד כל השם:</w:t>
      </w:r>
    </w:p>
  </w:footnote>
  <w:footnote w:id="2247">
    <w:p w:rsidR="00A13282" w:rsidRDefault="00A13282">
      <w:pPr>
        <w:pStyle w:val="a5"/>
        <w:rPr>
          <w:rtl/>
        </w:rPr>
      </w:pPr>
      <w:r>
        <w:rPr>
          <w:rStyle w:val="a7"/>
          <w:rtl/>
        </w:rPr>
        <w:footnoteRef/>
      </w:r>
      <w:r>
        <w:rPr>
          <w:rtl/>
        </w:rPr>
        <w:t xml:space="preserve"> </w:t>
      </w:r>
      <w:r>
        <w:rPr>
          <w:rFonts w:ascii="Arial"/>
          <w:b/>
          <w:bCs/>
          <w:sz w:val="38"/>
          <w:rtl/>
        </w:rPr>
        <w:t>כד סלקא על רישיה אתקריאת תגא זרקא.</w:t>
      </w:r>
      <w:r>
        <w:rPr>
          <w:rFonts w:ascii="Arial"/>
          <w:sz w:val="38"/>
          <w:rtl/>
        </w:rPr>
        <w:t xml:space="preserve"> תגא - עטרת בעלה, כמו שמפרש והולך, ולכן תגין בראש אותיות, ואתעבידת זיין, זיונין, את עדיים, ולכן ז' אותיות צריכין תגין, ועיין לעיל דף כ' ע"ב כד סליקת כו' איהו תגא לעילא כו':</w:t>
      </w:r>
    </w:p>
  </w:footnote>
  <w:footnote w:id="2248">
    <w:p w:rsidR="00A13282" w:rsidRDefault="00A13282">
      <w:pPr>
        <w:pStyle w:val="a5"/>
        <w:rPr>
          <w:rtl/>
        </w:rPr>
      </w:pPr>
      <w:r>
        <w:rPr>
          <w:rStyle w:val="a7"/>
          <w:rtl/>
        </w:rPr>
        <w:footnoteRef/>
      </w:r>
      <w:r>
        <w:rPr>
          <w:rtl/>
        </w:rPr>
        <w:t xml:space="preserve"> </w:t>
      </w:r>
      <w:r>
        <w:rPr>
          <w:rFonts w:ascii="Arial"/>
          <w:b/>
          <w:bCs/>
          <w:sz w:val="38"/>
          <w:rtl/>
        </w:rPr>
        <w:t>זרקא.</w:t>
      </w:r>
      <w:r>
        <w:rPr>
          <w:rFonts w:ascii="Arial"/>
          <w:sz w:val="38"/>
          <w:rtl/>
        </w:rPr>
        <w:t xml:space="preserve"> דגם טעמים מסטרא דלעילא כמו שאומר שם והיא זרקא י' על ו' גם כן ועיין לקמן דף ל"ט ע"ב דא ו"י דאיהו ברזא דז' דכל תגין כו', ודף מ' ע"א, זרקא האי תגא איהי י' וחוטא דילה ו':</w:t>
      </w:r>
    </w:p>
  </w:footnote>
  <w:footnote w:id="2249">
    <w:p w:rsidR="00FB1D80" w:rsidRDefault="00FB1D80" w:rsidP="00FB1D80">
      <w:pPr>
        <w:pStyle w:val="aff7"/>
        <w:jc w:val="both"/>
        <w:rPr>
          <w:rtl/>
        </w:rPr>
      </w:pPr>
      <w:r>
        <w:rPr>
          <w:rStyle w:val="a7"/>
        </w:rPr>
        <w:footnoteRef/>
      </w:r>
      <w:r>
        <w:rPr>
          <w:rtl/>
        </w:rPr>
        <w:t xml:space="preserve"> </w:t>
      </w:r>
      <w:r>
        <w:rPr>
          <w:rFonts w:hAnsi="Courier New" w:cs="Arial" w:hint="cs"/>
          <w:b/>
          <w:bCs/>
          <w:szCs w:val="24"/>
          <w:rtl/>
          <w:lang w:eastAsia="en-US"/>
        </w:rPr>
        <w:t>**</w:t>
      </w:r>
      <w:r>
        <w:rPr>
          <w:rFonts w:hAnsi="Courier New" w:cs="Arial"/>
          <w:b/>
          <w:bCs/>
          <w:szCs w:val="24"/>
          <w:rtl/>
          <w:lang w:eastAsia="en-US"/>
        </w:rPr>
        <w:t xml:space="preserve">בההוא זמנא אתמר בה אשת חיל. </w:t>
      </w:r>
      <w:r>
        <w:rPr>
          <w:rFonts w:hAnsi="Courier New" w:cs="Arial"/>
          <w:szCs w:val="24"/>
          <w:rtl/>
          <w:lang w:eastAsia="en-US"/>
        </w:rPr>
        <w:t>דחיל הוא מסט' דחכמה</w:t>
      </w:r>
      <w:r>
        <w:rPr>
          <w:rFonts w:hAnsi="Courier New" w:cs="Arial" w:hint="cs"/>
          <w:szCs w:val="24"/>
          <w:rtl/>
          <w:lang w:eastAsia="en-US"/>
        </w:rPr>
        <w:t>,</w:t>
      </w:r>
      <w:r>
        <w:rPr>
          <w:rFonts w:hAnsi="Courier New" w:cs="Arial"/>
          <w:szCs w:val="24"/>
          <w:rtl/>
          <w:lang w:eastAsia="en-US"/>
        </w:rPr>
        <w:t xml:space="preserve"> כמש"ל ק"כ ב' אנשי חיל כו' ובג"ד כו'</w:t>
      </w:r>
      <w:r>
        <w:rPr>
          <w:rFonts w:hAnsi="Courier New" w:cs="Arial" w:hint="cs"/>
          <w:szCs w:val="24"/>
          <w:rtl/>
          <w:lang w:eastAsia="en-US"/>
        </w:rPr>
        <w:t>.</w:t>
      </w:r>
      <w:r>
        <w:rPr>
          <w:rFonts w:hAnsi="Courier New" w:cs="Arial"/>
          <w:szCs w:val="24"/>
          <w:rtl/>
          <w:lang w:eastAsia="en-US"/>
        </w:rPr>
        <w:t xml:space="preserve"> ושם קכ"ח א' אנשי כו' מסט' דמוחא</w:t>
      </w:r>
      <w:r>
        <w:rPr>
          <w:rFonts w:hAnsi="Courier New" w:cs="Arial" w:hint="cs"/>
          <w:szCs w:val="24"/>
          <w:rtl/>
          <w:lang w:eastAsia="en-US"/>
        </w:rPr>
        <w:t>.</w:t>
      </w:r>
      <w:r>
        <w:rPr>
          <w:rFonts w:hAnsi="Courier New" w:cs="Arial"/>
          <w:szCs w:val="24"/>
          <w:rtl/>
          <w:lang w:eastAsia="en-US"/>
        </w:rPr>
        <w:t xml:space="preserve"> ורזא כ"ח מ"ה דחכמה כמש"ל ל"ט א'</w:t>
      </w:r>
      <w:r>
        <w:rPr>
          <w:rFonts w:hAnsi="Courier New" w:cs="Arial" w:hint="cs"/>
          <w:szCs w:val="24"/>
          <w:rtl/>
          <w:lang w:eastAsia="en-US"/>
        </w:rPr>
        <w:t>.</w:t>
      </w:r>
      <w:r>
        <w:rPr>
          <w:rFonts w:hAnsi="Courier New" w:cs="Arial"/>
          <w:szCs w:val="24"/>
          <w:rtl/>
          <w:lang w:eastAsia="en-US"/>
        </w:rPr>
        <w:t xml:space="preserve"> ואמר שם ובגין דאסתלק האי כו'</w:t>
      </w:r>
      <w:r>
        <w:rPr>
          <w:rFonts w:hAnsi="Courier New" w:cs="Arial" w:hint="cs"/>
          <w:szCs w:val="24"/>
          <w:rtl/>
          <w:lang w:eastAsia="en-US"/>
        </w:rPr>
        <w:t>.</w:t>
      </w:r>
      <w:r>
        <w:rPr>
          <w:rFonts w:hAnsi="Courier New" w:cs="Arial"/>
          <w:szCs w:val="24"/>
          <w:rtl/>
          <w:lang w:eastAsia="en-US"/>
        </w:rPr>
        <w:t xml:space="preserve"> והוא בשביל אנשי חיל דאסתלקו מישראל ולא נמצאו</w:t>
      </w:r>
      <w:r>
        <w:rPr>
          <w:rFonts w:hAnsi="Courier New" w:cs="Arial" w:hint="cs"/>
          <w:szCs w:val="24"/>
          <w:rtl/>
          <w:lang w:eastAsia="en-US"/>
        </w:rPr>
        <w:t>.</w:t>
      </w:r>
      <w:r>
        <w:rPr>
          <w:rFonts w:hAnsi="Courier New" w:cs="Arial"/>
          <w:szCs w:val="24"/>
          <w:rtl/>
          <w:lang w:eastAsia="en-US"/>
        </w:rPr>
        <w:t xml:space="preserve"> וכן מארי דעובדין בכ"ח פרקין דידין דתמן כ"ח מ"ה ותמן יו"ד דחכמה עיי"ש:</w:t>
      </w:r>
    </w:p>
  </w:footnote>
  <w:footnote w:id="2250">
    <w:p w:rsidR="00A13282" w:rsidRDefault="00A13282">
      <w:pPr>
        <w:pStyle w:val="a5"/>
        <w:rPr>
          <w:rtl/>
        </w:rPr>
      </w:pPr>
      <w:r>
        <w:rPr>
          <w:rStyle w:val="a7"/>
          <w:rtl/>
        </w:rPr>
        <w:footnoteRef/>
      </w:r>
      <w:r>
        <w:rPr>
          <w:rtl/>
        </w:rPr>
        <w:t xml:space="preserve"> </w:t>
      </w:r>
      <w:r>
        <w:rPr>
          <w:rFonts w:ascii="Arial"/>
          <w:b/>
          <w:bCs/>
          <w:sz w:val="38"/>
          <w:rtl/>
        </w:rPr>
        <w:t>הדא הוא דכתיב לחם כו'.</w:t>
      </w:r>
      <w:r>
        <w:rPr>
          <w:rFonts w:ascii="Arial"/>
          <w:sz w:val="38"/>
          <w:rtl/>
        </w:rPr>
        <w:t xml:space="preserve"> דקאי על המן כמו שאמרו בגמרא (יומא עה ע"ב) ובפסוק שם, ואמרו בזוהר פרשת בשלח ס"א ב' ותא חזי כל יומא ויומא נטיף טלא מע"ק לז"א ומתברכאן חקל תפוחין קדישין כו' הדא הוא דכתיב לחם אבירים כו', וכאן הוא כנוי לזיווג, ולחם - הוא טפה דנחית מחכמה, מלחם אביה תאכל:</w:t>
      </w:r>
    </w:p>
  </w:footnote>
  <w:footnote w:id="2251">
    <w:p w:rsidR="00A13282" w:rsidRDefault="00A13282">
      <w:pPr>
        <w:pStyle w:val="a5"/>
        <w:rPr>
          <w:rtl/>
        </w:rPr>
      </w:pPr>
      <w:r>
        <w:rPr>
          <w:rStyle w:val="a7"/>
          <w:rtl/>
        </w:rPr>
        <w:footnoteRef/>
      </w:r>
      <w:r>
        <w:rPr>
          <w:rtl/>
        </w:rPr>
        <w:t xml:space="preserve"> </w:t>
      </w:r>
      <w:r>
        <w:rPr>
          <w:rFonts w:ascii="Arial"/>
          <w:b/>
          <w:bCs/>
          <w:sz w:val="38"/>
          <w:rtl/>
        </w:rPr>
        <w:t>מסטרא דילה אתקריאת חירק.</w:t>
      </w:r>
      <w:r>
        <w:rPr>
          <w:rFonts w:ascii="Arial"/>
          <w:sz w:val="38"/>
          <w:rtl/>
        </w:rPr>
        <w:t xml:space="preserve"> הן שלש דרגין דמהימנותא שכולל הכל וכנ"ל:</w:t>
      </w:r>
    </w:p>
  </w:footnote>
  <w:footnote w:id="2252">
    <w:p w:rsidR="00A13282" w:rsidRDefault="00A13282">
      <w:pPr>
        <w:pStyle w:val="a5"/>
        <w:rPr>
          <w:rtl/>
        </w:rPr>
      </w:pPr>
      <w:r>
        <w:rPr>
          <w:rStyle w:val="a7"/>
          <w:rtl/>
        </w:rPr>
        <w:footnoteRef/>
      </w:r>
      <w:r>
        <w:rPr>
          <w:rtl/>
        </w:rPr>
        <w:t xml:space="preserve"> </w:t>
      </w:r>
      <w:r>
        <w:rPr>
          <w:rFonts w:ascii="Arial"/>
          <w:b/>
          <w:bCs/>
          <w:sz w:val="38"/>
          <w:rtl/>
        </w:rPr>
        <w:t>חקר ובגינה כו'.</w:t>
      </w:r>
      <w:r>
        <w:rPr>
          <w:rFonts w:ascii="Arial"/>
          <w:sz w:val="38"/>
          <w:rtl/>
        </w:rPr>
        <w:t xml:space="preserve"> דבה נכנסין לחקור, שהיא תרעא לחכמה, וכמו שאומר בזוהר פרשת בראשית ז' ב' ר"ח פתח כו' אבל החקר כו' כמו שאמרו שם א' ב' כיון דמטי תמן מה - מה ידעת, מה פשפשת כו':</w:t>
      </w:r>
    </w:p>
  </w:footnote>
  <w:footnote w:id="2253">
    <w:p w:rsidR="00A13282" w:rsidRDefault="00A13282">
      <w:pPr>
        <w:pStyle w:val="a5"/>
        <w:rPr>
          <w:rtl/>
        </w:rPr>
      </w:pPr>
      <w:r>
        <w:rPr>
          <w:rStyle w:val="a7"/>
          <w:rtl/>
        </w:rPr>
        <w:footnoteRef/>
      </w:r>
      <w:r>
        <w:rPr>
          <w:rtl/>
        </w:rPr>
        <w:t xml:space="preserve"> </w:t>
      </w:r>
      <w:r>
        <w:rPr>
          <w:rFonts w:ascii="Arial"/>
          <w:b/>
          <w:bCs/>
          <w:sz w:val="38"/>
          <w:rtl/>
        </w:rPr>
        <w:t>ואיהי קרח כו' תליתאה דצלותא כו'.</w:t>
      </w:r>
      <w:r>
        <w:rPr>
          <w:rFonts w:ascii="Arial"/>
          <w:sz w:val="38"/>
          <w:rtl/>
        </w:rPr>
        <w:t xml:space="preserve"> רוצה לומר, דהכל קאי עלה דאיהי האל כו', והיא נקראת בשלש שמהן: בחולם - הגדול, וכמו שאומר למעלה [בעמוד] א' ותרב חכמת שלמה אתרביאת כו'. עד דמטי לההוא מבועא עילאה דאיהי י' עלאה כו', והגבור - מסטרא דעמודא דאמצעיתא, כמו שאומר באידרא רבא קמ"א ב' תאנא תפארת כליל כו' ותקין מעוי כו', והנורא - מסטרא דידה - חירק, דאיהי יראה, וזה שאומר דאיהו שמא תליתאה - מביא ראיה על חירק - נקודה השלישית, ולכן הכל שם בההין, והן שלש דרגין - צנורות דבה, והאל - הוא הרביעי - דכלולה מהם, אע"ג שפירושים אחרים הם באלו שלש שמות - מכל מקום שבעים פנים לתורה:</w:t>
      </w:r>
    </w:p>
  </w:footnote>
  <w:footnote w:id="2254">
    <w:p w:rsidR="00A13282" w:rsidRDefault="00A13282">
      <w:pPr>
        <w:pStyle w:val="a5"/>
        <w:rPr>
          <w:rtl/>
        </w:rPr>
      </w:pPr>
      <w:r>
        <w:rPr>
          <w:rStyle w:val="a7"/>
          <w:rtl/>
        </w:rPr>
        <w:footnoteRef/>
      </w:r>
      <w:r>
        <w:rPr>
          <w:rtl/>
        </w:rPr>
        <w:t xml:space="preserve"> </w:t>
      </w:r>
      <w:r>
        <w:rPr>
          <w:rFonts w:ascii="Arial"/>
          <w:b/>
          <w:bCs/>
          <w:sz w:val="38"/>
          <w:rtl/>
        </w:rPr>
        <w:t>קרח הנורא.</w:t>
      </w:r>
      <w:r>
        <w:rPr>
          <w:rFonts w:ascii="Arial"/>
          <w:sz w:val="38"/>
          <w:rtl/>
        </w:rPr>
        <w:t xml:space="preserve"> רוצה לומר, של הנורא - עמודא דאמצעיתא:</w:t>
      </w:r>
    </w:p>
  </w:footnote>
  <w:footnote w:id="2255">
    <w:p w:rsidR="00FB1D80" w:rsidRDefault="00FB1D80" w:rsidP="00FB1D80">
      <w:pPr>
        <w:pStyle w:val="a5"/>
      </w:pPr>
      <w:r>
        <w:rPr>
          <w:rStyle w:val="a7"/>
        </w:rPr>
        <w:footnoteRef/>
      </w:r>
      <w:r>
        <w:rPr>
          <w:rtl/>
        </w:rPr>
        <w:t xml:space="preserve"> </w:t>
      </w:r>
      <w:r>
        <w:rPr>
          <w:rFonts w:hint="cs"/>
          <w:rtl/>
        </w:rPr>
        <w:t>**</w:t>
      </w:r>
      <w:r w:rsidRPr="00FB1D80">
        <w:rPr>
          <w:rFonts w:hAnsi="Courier New"/>
          <w:b/>
          <w:bCs/>
          <w:rtl/>
        </w:rPr>
        <w:t>ומאי ניהו תלת אור סגול ותרין אור שבא כו'.</w:t>
      </w:r>
      <w:r>
        <w:rPr>
          <w:rFonts w:hAnsi="Courier New"/>
          <w:rtl/>
        </w:rPr>
        <w:t xml:space="preserve"> עמש"ש</w:t>
      </w:r>
      <w:r>
        <w:rPr>
          <w:rFonts w:hAnsi="Courier New" w:hint="cs"/>
          <w:rtl/>
        </w:rPr>
        <w:t>.</w:t>
      </w:r>
      <w:r>
        <w:rPr>
          <w:rFonts w:hAnsi="Courier New"/>
          <w:rtl/>
        </w:rPr>
        <w:t xml:space="preserve"> אבל י"ל הענין כמש"ל קכ"ה א' דג' נקודין אלו</w:t>
      </w:r>
      <w:r>
        <w:rPr>
          <w:rFonts w:hAnsi="Courier New" w:hint="cs"/>
          <w:rtl/>
        </w:rPr>
        <w:t>,</w:t>
      </w:r>
      <w:r>
        <w:rPr>
          <w:rFonts w:hAnsi="Courier New"/>
          <w:rtl/>
        </w:rPr>
        <w:t xml:space="preserve"> חולם שורק חירק</w:t>
      </w:r>
      <w:r>
        <w:rPr>
          <w:rFonts w:hAnsi="Courier New" w:hint="cs"/>
          <w:rtl/>
        </w:rPr>
        <w:t>,</w:t>
      </w:r>
      <w:r>
        <w:rPr>
          <w:rFonts w:hAnsi="Courier New"/>
          <w:rtl/>
        </w:rPr>
        <w:t xml:space="preserve"> והן סגולתא שרק סגול</w:t>
      </w:r>
      <w:r>
        <w:rPr>
          <w:rFonts w:hAnsi="Courier New" w:hint="cs"/>
          <w:rtl/>
        </w:rPr>
        <w:t>.</w:t>
      </w:r>
      <w:r>
        <w:rPr>
          <w:rFonts w:hAnsi="Courier New"/>
          <w:rtl/>
        </w:rPr>
        <w:t xml:space="preserve"> ואמר שם חולם כד אסתלק בצרי אתעביד סגולתא</w:t>
      </w:r>
      <w:r>
        <w:rPr>
          <w:rFonts w:hAnsi="Courier New" w:hint="cs"/>
          <w:rtl/>
        </w:rPr>
        <w:t>.</w:t>
      </w:r>
      <w:r>
        <w:rPr>
          <w:rFonts w:hAnsi="Courier New"/>
          <w:rtl/>
        </w:rPr>
        <w:t xml:space="preserve"> חירק דנחתא בצרי אתעביד סגול</w:t>
      </w:r>
      <w:r>
        <w:rPr>
          <w:rFonts w:hAnsi="Courier New" w:hint="cs"/>
          <w:rtl/>
        </w:rPr>
        <w:t>.</w:t>
      </w:r>
      <w:r>
        <w:rPr>
          <w:rFonts w:hAnsi="Courier New"/>
          <w:rtl/>
        </w:rPr>
        <w:t xml:space="preserve"> וכד עאל בשבא שרק</w:t>
      </w:r>
      <w:r>
        <w:rPr>
          <w:rFonts w:hAnsi="Courier New" w:hint="cs"/>
          <w:rtl/>
        </w:rPr>
        <w:t>.</w:t>
      </w:r>
      <w:r>
        <w:rPr>
          <w:rFonts w:hAnsi="Courier New"/>
          <w:rtl/>
        </w:rPr>
        <w:t xml:space="preserve"> וכלא נקודה חדא</w:t>
      </w:r>
      <w:r>
        <w:rPr>
          <w:rFonts w:hAnsi="Courier New" w:hint="cs"/>
          <w:rtl/>
        </w:rPr>
        <w:t>,</w:t>
      </w:r>
      <w:r>
        <w:rPr>
          <w:rFonts w:hAnsi="Courier New"/>
          <w:rtl/>
        </w:rPr>
        <w:t xml:space="preserve"> חלם איהו לעילא בסגולתא</w:t>
      </w:r>
      <w:r>
        <w:rPr>
          <w:rFonts w:hAnsi="Courier New" w:hint="cs"/>
          <w:rtl/>
        </w:rPr>
        <w:t>.</w:t>
      </w:r>
      <w:r>
        <w:rPr>
          <w:rFonts w:hAnsi="Courier New"/>
          <w:rtl/>
        </w:rPr>
        <w:t xml:space="preserve"> חירק איהו לתתא בסגול</w:t>
      </w:r>
      <w:r>
        <w:rPr>
          <w:rFonts w:hAnsi="Courier New" w:hint="cs"/>
          <w:rtl/>
        </w:rPr>
        <w:t>.</w:t>
      </w:r>
      <w:r>
        <w:rPr>
          <w:rFonts w:hAnsi="Courier New"/>
          <w:rtl/>
        </w:rPr>
        <w:t xml:space="preserve"> שורק איהי באמצעיתא כו'</w:t>
      </w:r>
      <w:r>
        <w:rPr>
          <w:rFonts w:hAnsi="Courier New" w:hint="cs"/>
          <w:rtl/>
        </w:rPr>
        <w:t>.</w:t>
      </w:r>
      <w:r>
        <w:rPr>
          <w:rFonts w:hAnsi="Courier New"/>
          <w:rtl/>
        </w:rPr>
        <w:t xml:space="preserve"> וכל ג' נקודין אלו הכל בשכינתא כנ"ל</w:t>
      </w:r>
      <w:r>
        <w:rPr>
          <w:rFonts w:hAnsi="Courier New" w:hint="cs"/>
          <w:rtl/>
        </w:rPr>
        <w:t>.</w:t>
      </w:r>
      <w:r>
        <w:rPr>
          <w:rFonts w:hAnsi="Courier New"/>
          <w:rtl/>
        </w:rPr>
        <w:t xml:space="preserve"> אלא כד סלקא ונחתא והן נגד ג' דרגין דכלילא שם וז"ש כד סלקא על גדפייהו דתרין כו' (לא עליהם אלא על גדפייהו) נעשית שורק ואמרה סמכוני באשישות שהן שבא ב' אשות ששבא הוא באש ב' אש מסט' דגבורה והיא סלקא על גבייהו לאסתמכא בחג"ת כמש"ו ומאי ניהו אלין אשישות אינון תרין אשות כו' שהן אש ואש י"ה כמש"ו דאינון י"ק ואינון אנפוי דרחמי לדינא אמאי בעאת כו' ר"ל סהדותא דאנפוי שבטי י"ה עדות כו' שהן חו"ג וסלקא על נו"ה לאסתמכא בחו"ג ואמר וכד נחתת איהי תחות צרי כו' דתפוחים הן נו"ה כמש"ל תכ"ו ותס"ט קט"ז א' וקמ"ח א' ועמ"ש בתכ"ו בליקוטים ואמר ותמן ריחא דשושנה. ר"ל דהיא כלילא מתלת ב' גוונין דשושנה אינון חו"ג לכן היא בעא לאסתמכא בחו"ג לקבלא מנהון דכ"ד מקבל ממינה ומשתוקק להן וריחא דשושנה הוא ת"ת דילה לכן בעא לאסתמכא בריחא דאשישות והוא במשקה ובריח ואשישות הן אשישי ענבים ויש ענבים חוורים יין לבן יין אדום ולכן סלקא ע"ג נו"ה לאסתלמא באשישות חג"ת וז"ש ובגין דארחת בי' אמרת סמכוני באשישות ובי' אתעביד סגולתא כד סלקא וכד נחתא אמרת רפדוני בתפוחים ואלין אינון תרי כו' כצ"ל. דהם ג"כ חוור וסומק ועיקרא דתפוח אינו אלא לריח והיא נתתא לברית דתמן הריח דהגוונין הן נו"ה וריח בברית כמו בחג"ת וז"ש ובגין דארחת וכד אתחברת בי' אתעבידת סגול וכנ"ל והוא לשון סגולה ורחימו כמש"ל וז"ש ובהאי אתר איהו רחימו דילה כו' הה"ד כי כו' ר"ל לאחר רפדוני בתפוחים אמרה כי חולת אהבה אני. ואמר מה דהוה צרי אתעבידת צייר שהיא מקבלת מהצרי אתעביד ג"כ צרי צייר דכולהו עלמין כמו הצדיק ועליהן נאמר וייצר ה' אלקים וייצר לשון צרי וצייר והן בב' יודין דוייצר שהן צרי והן בצדיק כמש"ל קי"ד א' ב' וכן בשכינתא וזהו ה' אלקים ואמר ויצמח ה' אלקים כו' דמן האדמה שכינתא נצמח פרי דעץ עושה פרי שהן הנקודין וכמש"ו וצדיק איהו עץ פרי כו' וכד ישראל כו' ואמר מה כתיב בשורק חירק כו' דג' דרגין ג"ר וזו"נ הן ג' נקודין חולם שורק חירק והנה בג"ר לא פסק נביעו לעלמין ואין שם שליטה כלל לכן דוקא באלו שריקה בשפתים וחריקה בשינים ב' דרגין עצם ובשר. והנה אמר למעלה ששורק כולל ב' נקודין שבא סגול והן נקוד דאלקים א' שבא סגול שכלילן בשורק ול' ה' חולם חירק ועמש"ל נ"ג ד' בארוכה הרבה והן נקודין דיין סמכוני באשישות לרוואה חמרא ותפוחים למתקא חמרא שהן נקוד אלקים ואותיות הוי"ה שהוא רחמים:</w:t>
      </w:r>
    </w:p>
  </w:footnote>
  <w:footnote w:id="2256">
    <w:p w:rsidR="00A13282" w:rsidRDefault="00A13282">
      <w:pPr>
        <w:pStyle w:val="a5"/>
        <w:rPr>
          <w:rFonts w:ascii="Arial"/>
          <w:sz w:val="38"/>
          <w:rtl/>
        </w:rPr>
      </w:pPr>
      <w:r>
        <w:rPr>
          <w:rStyle w:val="a7"/>
          <w:rtl/>
        </w:rPr>
        <w:footnoteRef/>
      </w:r>
      <w:r>
        <w:rPr>
          <w:rtl/>
        </w:rPr>
        <w:t xml:space="preserve"> </w:t>
      </w:r>
      <w:r>
        <w:rPr>
          <w:rFonts w:ascii="Arial"/>
          <w:b/>
          <w:bCs/>
          <w:sz w:val="38"/>
          <w:rtl/>
        </w:rPr>
        <w:t>כד סלקא על גדפייהו כו'.</w:t>
      </w:r>
      <w:r>
        <w:rPr>
          <w:rFonts w:ascii="Arial"/>
          <w:sz w:val="38"/>
          <w:rtl/>
        </w:rPr>
        <w:t xml:space="preserve"> התיקון הזה משובש מאד בכמה מקומות, ובו ליקוטין הרבה, ומהופך! וכאן צריך להיות: ורזא דמלה סמכוני באשישות רפדוני בתפוחים ומאי ניהו אלין אשישות כו'. אבל הענין בעצמו גם כן מהופך! דאשישות - הן נ"ה, שהן שתי אשות, בורא מאורי האש, וכמו שאומר להלן סוף התיקונים תיקון ו' [דף] קמ"ב א', בראשית תמן תרי אש כו', ועלייהו אתמר סמכוני כו'. ותפוח - הוא בעמודא דאמצעיתא. ועיין מה שאמרו שם ובאדרא רבה, התפוח בשלשה גוונין דחג"ת, וזה שאומר שם דתפוחים מברכין בהדס בג' עלים כו' על תלת אבהן, וזה שאומר כאן באשישות, שהוא רומז על שב"א בא"ש, באשישות - שתי אשות, ותפוח רומז לסגול דחג"ת, שלשה גוונין, ושני תפוחין הן שיתא גווני כמו שאומר באדרא רבה, והוא רוחא דמשיח - רוח חכמה ובינה כמו שאומר שם באדרא רבה [דף] ק"ל ב' ואינון שיתא רוחין כו', ולכן הן כפולין - שני תפוחין ובכל אחד שלש, וזה שאומר וריח אפך כתפוחים, דמחוטמא קאתו כמו שאומר שם, וצ"ע.</w:t>
      </w:r>
    </w:p>
    <w:p w:rsidR="00A13282" w:rsidRDefault="00A13282">
      <w:pPr>
        <w:pStyle w:val="a5"/>
        <w:rPr>
          <w:rFonts w:ascii="Arial"/>
          <w:sz w:val="38"/>
          <w:rtl/>
        </w:rPr>
      </w:pPr>
      <w:r>
        <w:rPr>
          <w:rFonts w:ascii="Arial"/>
          <w:sz w:val="38"/>
          <w:rtl/>
        </w:rPr>
        <w:t>וגם מה שאומר למטה ובגין דארחת באת ו' דאיהו בברית - יותר נכון להיות דאיהו בעמודא דאמצעיתא - דשם הוא"ו, ורוצה לומר בזה דסמכוני באשישות - הוא י"ה כמו שמפרש והולך דאינון איש ואשה כו' דתמן י"ה, ובתפוחים - דתמן ו', דהיא בעיא ביה"ו לאסתמכא, להאיר בה"א דילה, ובתפוחים - ו', שהוא בעמודא דאמצעיתא, ובתפוחים שלשה גוונין - שיתא רוחין הנ"ל, דכלילן בעמודא דאמצעיתא.</w:t>
      </w:r>
    </w:p>
    <w:p w:rsidR="00A13282" w:rsidRDefault="00A13282">
      <w:pPr>
        <w:pStyle w:val="a5"/>
        <w:rPr>
          <w:rFonts w:ascii="Arial"/>
          <w:sz w:val="38"/>
          <w:rtl/>
        </w:rPr>
      </w:pPr>
      <w:r>
        <w:rPr>
          <w:rFonts w:ascii="Arial"/>
          <w:sz w:val="38"/>
          <w:rtl/>
        </w:rPr>
        <w:t>וגם מה שאומר בתפוחים אלין כו' דאינון חוור וסומק - התפוח אינו חיוור וסומק. ועוד, מאי ראיה מביא שהוא בנו"ה, הלא כבר אמר למעלה חוור וסומק כו' חסד וגבורה, ועוד, דמזה אינו מוכח דאינון נו"ה - בתפוח, הלא כבר אמר באשישות גם כן חוור וסומק.</w:t>
      </w:r>
    </w:p>
    <w:p w:rsidR="00A13282" w:rsidRDefault="00A13282">
      <w:pPr>
        <w:pStyle w:val="a5"/>
        <w:rPr>
          <w:rFonts w:ascii="Arial"/>
          <w:sz w:val="38"/>
          <w:rtl/>
        </w:rPr>
      </w:pPr>
      <w:r>
        <w:rPr>
          <w:rFonts w:ascii="Arial"/>
          <w:sz w:val="38"/>
          <w:rtl/>
        </w:rPr>
        <w:t>אלא כך צריך לומר: ומאי ניהו אילין אשישות כו' דאינון י"ה, ואלין אינון תרין סמכי קשוט דאינון חוור וסומק. אמאי בעאת לאסתמכא תמן כו' ובגין דארחת באת ו', דאיהו בעמודא דאמצעיתא, אמרת רפדוני בתפוחים. ואח"כ צריך להיות: ובגין דארחת באת ברית, דבהאי אתר איהו רחימו דילה כו' ויחודא דבעלה, אמרת כי חולת אהבה כו', עד בלענו, ומפרש כל הפסוק הזה על ו"ק. ואח"כ צריך להיות: צירי - דאתעבידת צייר כו'. ואח"כ צריך להיות: כד סלקא על גדפייהו וכו'. ואח"כ: קמץ פתח דא כו'.</w:t>
      </w:r>
    </w:p>
    <w:p w:rsidR="00A13282" w:rsidRDefault="00A13282">
      <w:pPr>
        <w:pStyle w:val="a5"/>
        <w:rPr>
          <w:rtl/>
        </w:rPr>
      </w:pPr>
      <w:r>
        <w:rPr>
          <w:rFonts w:ascii="Arial"/>
          <w:sz w:val="38"/>
          <w:rtl/>
        </w:rPr>
        <w:t xml:space="preserve">ומפרש והולך אלו ארבע נקודות הנשארות מהתשע שלא נתבארו עד כאן. וזהו סוד הבדלה בחמש ספירות - הבדלה ביסוד, ביסוד - אור זרוע לצדיק, ובו - בין אור לחושך, וביה - לאור יום (בראשית א ה), וכן בין קודש לחול - דהוא אות ברית קודש, דבה - עץ הדעת טוב ורע, והוא - עץ החיים כו', וכן בין ישראל לעמים - באות ברית קודש, והיא - צדק, בה גירי צדק, ומסטרא דיליה היא עץ החיים וכנסת ישראל ואור, וכן בין יום השביעי. וארבע תיקונין: קדש - נגד יצחק, קדש ידיד ושם קדושה, אור - אור דאברהם, ישראל - בישראל, ובורא פרי הגפן - במלכות, שהיא פרי הגפן: </w:t>
      </w:r>
    </w:p>
  </w:footnote>
  <w:footnote w:id="2257">
    <w:p w:rsidR="00A13282" w:rsidRDefault="00A13282">
      <w:pPr>
        <w:pStyle w:val="a5"/>
        <w:rPr>
          <w:rtl/>
        </w:rPr>
      </w:pPr>
      <w:r>
        <w:rPr>
          <w:rStyle w:val="a7"/>
          <w:rtl/>
        </w:rPr>
        <w:footnoteRef/>
      </w:r>
      <w:r>
        <w:rPr>
          <w:rtl/>
        </w:rPr>
        <w:t xml:space="preserve"> </w:t>
      </w:r>
      <w:r>
        <w:rPr>
          <w:rFonts w:ascii="Arial"/>
          <w:b/>
          <w:bCs/>
          <w:sz w:val="38"/>
          <w:rtl/>
        </w:rPr>
        <w:t>איהו טמיר וגניז.</w:t>
      </w:r>
      <w:r>
        <w:rPr>
          <w:rFonts w:ascii="Arial"/>
          <w:sz w:val="38"/>
          <w:rtl/>
        </w:rPr>
        <w:t xml:space="preserve"> רוצה לומר בתוך הוא"ו, לא כמו חולם וחירק ושאר נקודות:</w:t>
      </w:r>
    </w:p>
  </w:footnote>
  <w:footnote w:id="2258">
    <w:p w:rsidR="00A13282" w:rsidRDefault="00A13282">
      <w:pPr>
        <w:pStyle w:val="a5"/>
        <w:rPr>
          <w:rtl/>
        </w:rPr>
      </w:pPr>
      <w:r>
        <w:rPr>
          <w:rStyle w:val="a7"/>
          <w:rtl/>
        </w:rPr>
        <w:footnoteRef/>
      </w:r>
      <w:r>
        <w:rPr>
          <w:rtl/>
        </w:rPr>
        <w:t xml:space="preserve"> </w:t>
      </w:r>
      <w:r>
        <w:rPr>
          <w:rFonts w:ascii="Arial"/>
          <w:b/>
          <w:bCs/>
          <w:sz w:val="38"/>
          <w:rtl/>
        </w:rPr>
        <w:t>מסטרא דצדיק.</w:t>
      </w:r>
      <w:r>
        <w:rPr>
          <w:rFonts w:ascii="Arial"/>
          <w:sz w:val="38"/>
          <w:rtl/>
        </w:rPr>
        <w:t xml:space="preserve"> דהוא כולל ו"ק, גוף וברית - חד, וביה איהי יחודא בשורק, כמו שאומר לעיל תיקון י' ושאר מקומות:</w:t>
      </w:r>
    </w:p>
  </w:footnote>
  <w:footnote w:id="2259">
    <w:p w:rsidR="00A13282" w:rsidRDefault="00A13282">
      <w:pPr>
        <w:pStyle w:val="a5"/>
        <w:rPr>
          <w:rtl/>
        </w:rPr>
      </w:pPr>
      <w:r>
        <w:rPr>
          <w:rStyle w:val="a7"/>
          <w:rtl/>
        </w:rPr>
        <w:footnoteRef/>
      </w:r>
      <w:r>
        <w:rPr>
          <w:rtl/>
        </w:rPr>
        <w:t xml:space="preserve"> </w:t>
      </w:r>
      <w:r>
        <w:rPr>
          <w:rFonts w:ascii="Arial"/>
          <w:b/>
          <w:bCs/>
          <w:sz w:val="38"/>
          <w:rtl/>
        </w:rPr>
        <w:t>דאיהו ברית.</w:t>
      </w:r>
      <w:r>
        <w:rPr>
          <w:rFonts w:ascii="Arial"/>
          <w:sz w:val="38"/>
          <w:rtl/>
        </w:rPr>
        <w:t xml:space="preserve"> שהוא גימטריה שורק עם הוא"ו, שבו גניז, לכן כל שורק בוא"ו:</w:t>
      </w:r>
    </w:p>
  </w:footnote>
  <w:footnote w:id="2260">
    <w:p w:rsidR="00A13282" w:rsidRDefault="00A13282">
      <w:pPr>
        <w:pStyle w:val="a5"/>
        <w:rPr>
          <w:rtl/>
        </w:rPr>
      </w:pPr>
      <w:r>
        <w:rPr>
          <w:rStyle w:val="a7"/>
          <w:rtl/>
        </w:rPr>
        <w:footnoteRef/>
      </w:r>
      <w:r>
        <w:rPr>
          <w:rtl/>
        </w:rPr>
        <w:t xml:space="preserve"> </w:t>
      </w:r>
      <w:r>
        <w:rPr>
          <w:rFonts w:ascii="Arial"/>
          <w:b/>
          <w:bCs/>
          <w:sz w:val="38"/>
          <w:rtl/>
        </w:rPr>
        <w:t>דאיהו רז.</w:t>
      </w:r>
      <w:r>
        <w:rPr>
          <w:rFonts w:ascii="Arial"/>
          <w:sz w:val="38"/>
          <w:rtl/>
        </w:rPr>
        <w:t xml:space="preserve"> רוצה לומר סוד ה' כו' (תהלים כה יד) דהוא ביסוד - סוד מיסוד כידוע:</w:t>
      </w:r>
    </w:p>
  </w:footnote>
  <w:footnote w:id="2261">
    <w:p w:rsidR="00A13282" w:rsidRDefault="00A13282">
      <w:pPr>
        <w:pStyle w:val="a5"/>
        <w:rPr>
          <w:rtl/>
        </w:rPr>
      </w:pPr>
      <w:r>
        <w:rPr>
          <w:rStyle w:val="a7"/>
          <w:rtl/>
        </w:rPr>
        <w:footnoteRef/>
      </w:r>
      <w:r>
        <w:rPr>
          <w:rtl/>
        </w:rPr>
        <w:t xml:space="preserve"> </w:t>
      </w:r>
      <w:r>
        <w:rPr>
          <w:rFonts w:ascii="Arial"/>
          <w:b/>
          <w:bCs/>
          <w:sz w:val="38"/>
          <w:rtl/>
        </w:rPr>
        <w:t>תלת אור סגול ותרין שבא.</w:t>
      </w:r>
      <w:r>
        <w:rPr>
          <w:rFonts w:ascii="Arial"/>
          <w:sz w:val="38"/>
          <w:rtl/>
        </w:rPr>
        <w:t xml:space="preserve"> והן חג"ת - סגול, ונ"ה - שבא שהן מעלה ומטה, והן כלולין בשורק כמו שאומר כאן, וזה סוד אלקים בנקודותיו, וסוד מלאכי אלקים עולים ויורדים, עולים - בלמ"ד ,ויורדים - בה':</w:t>
      </w:r>
    </w:p>
  </w:footnote>
  <w:footnote w:id="2262">
    <w:p w:rsidR="00A13282" w:rsidRDefault="00A13282">
      <w:pPr>
        <w:jc w:val="both"/>
        <w:rPr>
          <w:rFonts w:ascii="Arial" w:cs="Arial"/>
          <w:sz w:val="38"/>
          <w:szCs w:val="24"/>
          <w:rtl/>
        </w:rPr>
      </w:pPr>
      <w:r>
        <w:rPr>
          <w:rStyle w:val="a7"/>
          <w:rFonts w:cs="Arial"/>
          <w:szCs w:val="24"/>
          <w:rtl/>
        </w:rPr>
        <w:footnoteRef/>
      </w:r>
      <w:r>
        <w:rPr>
          <w:rStyle w:val="a7"/>
          <w:rFonts w:cs="Arial"/>
          <w:szCs w:val="24"/>
          <w:rtl/>
        </w:rPr>
        <w:t xml:space="preserve"> </w:t>
      </w:r>
      <w:r>
        <w:rPr>
          <w:rFonts w:ascii="Arial" w:cs="Arial"/>
          <w:b/>
          <w:bCs/>
          <w:sz w:val="38"/>
          <w:szCs w:val="24"/>
          <w:rtl/>
        </w:rPr>
        <w:t>באשישות כו' בתפוחים ומאי ניהו כו'.</w:t>
      </w:r>
      <w:r>
        <w:rPr>
          <w:b/>
          <w:bCs/>
          <w:rtl/>
        </w:rPr>
        <w:t xml:space="preserve"> </w:t>
      </w:r>
      <w:r>
        <w:rPr>
          <w:rFonts w:ascii="Arial" w:cs="Arial"/>
          <w:sz w:val="38"/>
          <w:szCs w:val="24"/>
          <w:rtl/>
        </w:rPr>
        <w:t>רוצה לומר בזה דסמכוני באשישות הוא י"ה, כמו שמפרש והולך דאינון איש ואשה כו' דתמן י"ה. ובתפוחים דתמן ו', דהיא בעיא ביה"ו - לאסתמכא, להאיר בה"א דילה ובתפוחים - ו', שהוא בעמודא דאמצעיתא, ובתפוחים שלש גוונין, שיתא רוחין הנ"ל, דכלילן בעמודא דאמצעיתא:</w:t>
      </w:r>
    </w:p>
  </w:footnote>
  <w:footnote w:id="2263">
    <w:p w:rsidR="00A13282" w:rsidRDefault="00A13282">
      <w:pPr>
        <w:pStyle w:val="a5"/>
        <w:rPr>
          <w:rtl/>
        </w:rPr>
      </w:pPr>
      <w:r>
        <w:rPr>
          <w:rStyle w:val="a7"/>
          <w:rtl/>
        </w:rPr>
        <w:footnoteRef/>
      </w:r>
      <w:r>
        <w:rPr>
          <w:rtl/>
        </w:rPr>
        <w:t xml:space="preserve"> </w:t>
      </w:r>
      <w:r>
        <w:rPr>
          <w:rFonts w:ascii="Arial"/>
          <w:b/>
          <w:bCs/>
          <w:sz w:val="38"/>
          <w:rtl/>
        </w:rPr>
        <w:t>מה כתיב בשורק חירק כו'.</w:t>
      </w:r>
      <w:r>
        <w:rPr>
          <w:rFonts w:ascii="Arial"/>
          <w:sz w:val="38"/>
          <w:rtl/>
        </w:rPr>
        <w:t xml:space="preserve"> דהוא מסטרא דעמודא דאמצעיתא ונוק', דהן ו"ה, שכנגדן שלטו, ואנו מבקשים שלא יהא למלשינים תקוה, חיל בלע ויקיאנו (איוב כ טו):</w:t>
      </w:r>
    </w:p>
  </w:footnote>
  <w:footnote w:id="2264">
    <w:p w:rsidR="00A13282" w:rsidRDefault="00A13282">
      <w:pPr>
        <w:pStyle w:val="a5"/>
        <w:rPr>
          <w:rtl/>
        </w:rPr>
      </w:pPr>
      <w:r>
        <w:rPr>
          <w:rStyle w:val="a7"/>
          <w:rtl/>
        </w:rPr>
        <w:footnoteRef/>
      </w:r>
      <w:r>
        <w:rPr>
          <w:rtl/>
        </w:rPr>
        <w:t xml:space="preserve"> </w:t>
      </w:r>
      <w:r>
        <w:rPr>
          <w:rFonts w:ascii="Arial"/>
          <w:b/>
          <w:bCs/>
          <w:sz w:val="38"/>
          <w:rtl/>
        </w:rPr>
        <w:t>שן.</w:t>
      </w:r>
      <w:r>
        <w:rPr>
          <w:rFonts w:ascii="Arial"/>
          <w:sz w:val="38"/>
          <w:rtl/>
        </w:rPr>
        <w:t xml:space="preserve"> דארס נחש בין שיניו, דמוץ ותבן הן זו"נ של סטרא אחרא, והן ח"ט דחטה כמו שאומר בזוהר פרשת בלק וברעיא מהימנא פרשת פנחס והן אותיות אמצעיות דנחש ושטן והן בין שן ושן:</w:t>
      </w:r>
    </w:p>
  </w:footnote>
  <w:footnote w:id="2265">
    <w:p w:rsidR="00A13282" w:rsidRDefault="00A13282">
      <w:pPr>
        <w:pStyle w:val="a5"/>
        <w:rPr>
          <w:rtl/>
        </w:rPr>
      </w:pPr>
      <w:r>
        <w:rPr>
          <w:rStyle w:val="a7"/>
          <w:b/>
          <w:bCs/>
          <w:rtl/>
        </w:rPr>
        <w:footnoteRef/>
      </w:r>
      <w:r>
        <w:rPr>
          <w:rtl/>
        </w:rPr>
        <w:t xml:space="preserve"> </w:t>
      </w:r>
      <w:r>
        <w:rPr>
          <w:rFonts w:ascii="Arial"/>
          <w:sz w:val="38"/>
          <w:rtl/>
        </w:rPr>
        <w:t xml:space="preserve">מפרש והולך אלו ארבע נקודות הנשארות מהתשע שלא נתבארו עד כאן. וזהו סוד הבדלה בחמש ספירות - הבדלה ביסוד, ביסוד - אור זרוע לצדיק, ובו - בין אור לחושך, וביה - לאור יום (בראשית א ה), וכן בין קודש לחול - דהוא אות ברית קודש, דבה - עץ הדעת טוב ורע, והוא - עץ החיים כו', וכן בין ישראל לעמים - באות ברית קודש, והיא - צדק, בה גירי צדק, ומסטרא דיליה היא עץ החיים וכנסת ישראל ואור, וכן בין יום השביעי. וארבע תיקונין: קדש - נגד יצחק, קדש ידיד ושם קדושה, אור - אור דאברהם, ישראל - בישראל, ובורא פרי הגפן - במלכות, שהיא פרי הגפן: </w:t>
      </w:r>
    </w:p>
  </w:footnote>
  <w:footnote w:id="2266">
    <w:p w:rsidR="00A13282" w:rsidRDefault="00A13282">
      <w:pPr>
        <w:pStyle w:val="a5"/>
        <w:rPr>
          <w:rtl/>
        </w:rPr>
      </w:pPr>
      <w:r>
        <w:rPr>
          <w:rStyle w:val="a7"/>
          <w:rtl/>
        </w:rPr>
        <w:footnoteRef/>
      </w:r>
      <w:r>
        <w:rPr>
          <w:rtl/>
        </w:rPr>
        <w:t xml:space="preserve"> </w:t>
      </w:r>
      <w:r>
        <w:rPr>
          <w:rFonts w:ascii="Arial"/>
          <w:b/>
          <w:bCs/>
          <w:sz w:val="38"/>
          <w:rtl/>
        </w:rPr>
        <w:t>קמץ פתח דא כו'.</w:t>
      </w:r>
      <w:r>
        <w:rPr>
          <w:rFonts w:ascii="Arial"/>
          <w:sz w:val="38"/>
          <w:rtl/>
        </w:rPr>
        <w:t xml:space="preserve"> כמו שאומר לעיל בהקדמה, דקמץ ביוד של שם דהוא סתים, ופתח בה"א פתוח, עיין שם בארוכה:</w:t>
      </w:r>
    </w:p>
  </w:footnote>
  <w:footnote w:id="2267">
    <w:p w:rsidR="00A13282" w:rsidRDefault="00A13282">
      <w:pPr>
        <w:pStyle w:val="a5"/>
        <w:rPr>
          <w:rtl/>
        </w:rPr>
      </w:pPr>
      <w:r>
        <w:rPr>
          <w:rStyle w:val="a7"/>
          <w:rtl/>
        </w:rPr>
        <w:footnoteRef/>
      </w:r>
      <w:r>
        <w:rPr>
          <w:rtl/>
        </w:rPr>
        <w:t xml:space="preserve"> </w:t>
      </w:r>
      <w:r>
        <w:rPr>
          <w:rFonts w:ascii="Arial"/>
          <w:b/>
          <w:bCs/>
          <w:sz w:val="38"/>
          <w:rtl/>
        </w:rPr>
        <w:t>דגש ורפה.</w:t>
      </w:r>
      <w:r>
        <w:rPr>
          <w:rFonts w:ascii="Arial"/>
          <w:sz w:val="38"/>
          <w:rtl/>
        </w:rPr>
        <w:t xml:space="preserve"> כד איהו כו' וכבר ביארתי למעלה ענין רצוא ושוב דהוא נוריאל ומט"ט:</w:t>
      </w:r>
    </w:p>
  </w:footnote>
  <w:footnote w:id="2268">
    <w:p w:rsidR="00A13282" w:rsidRDefault="00A13282">
      <w:pPr>
        <w:pStyle w:val="a5"/>
        <w:rPr>
          <w:rtl/>
        </w:rPr>
      </w:pPr>
      <w:r>
        <w:rPr>
          <w:rStyle w:val="a7"/>
          <w:rtl/>
        </w:rPr>
        <w:footnoteRef/>
      </w:r>
      <w:r>
        <w:rPr>
          <w:rFonts w:ascii="Arial"/>
          <w:sz w:val="38"/>
          <w:rtl/>
        </w:rPr>
        <w:t xml:space="preserve"> </w:t>
      </w:r>
      <w:r>
        <w:rPr>
          <w:rFonts w:ascii="Arial"/>
          <w:b/>
          <w:bCs/>
          <w:sz w:val="38"/>
          <w:rtl/>
        </w:rPr>
        <w:t>ושוב בדגש.</w:t>
      </w:r>
      <w:r>
        <w:rPr>
          <w:rFonts w:ascii="Arial"/>
          <w:sz w:val="38"/>
          <w:rtl/>
        </w:rPr>
        <w:t xml:space="preserve"> רוצה לומר, דדגש חזק ורפה בט"ס שק"ץ נוזלי"ם - אינן ניכרים כלל, ואף בבג"ד כפ"ת, כפי קריאת הספרדים שהיא הנכונה, כמו שאמרו (ברכות טו ע"ב): עשב בשדך, הכנף פתיל, ועוד ראיות הרבה. ואמר</w:t>
      </w:r>
    </w:p>
  </w:footnote>
  <w:footnote w:id="2269">
    <w:p w:rsidR="00A13282" w:rsidRDefault="00A13282">
      <w:pPr>
        <w:pStyle w:val="a5"/>
        <w:rPr>
          <w:rtl/>
        </w:rPr>
      </w:pPr>
      <w:r>
        <w:rPr>
          <w:rStyle w:val="a7"/>
          <w:rtl/>
        </w:rPr>
        <w:footnoteRef/>
      </w:r>
      <w:r>
        <w:rPr>
          <w:rtl/>
        </w:rPr>
        <w:t xml:space="preserve"> </w:t>
      </w:r>
      <w:r>
        <w:rPr>
          <w:rFonts w:ascii="Arial"/>
          <w:b/>
          <w:bCs/>
          <w:sz w:val="38"/>
          <w:rtl/>
        </w:rPr>
        <w:t>שבע זיינין.</w:t>
      </w:r>
      <w:r>
        <w:rPr>
          <w:rFonts w:ascii="Arial"/>
          <w:sz w:val="38"/>
          <w:rtl/>
        </w:rPr>
        <w:t xml:space="preserve"> רוצה לומר ז' זיינין בז' אותיות, כמו שאמרו בגמרא (מנחות כט ע"ב), ואינון רמוזין בשם הוי"ה - שלש בכל ה', ו' וי' - הוא ז' אחד. ואמר </w:t>
      </w:r>
      <w:r>
        <w:rPr>
          <w:rFonts w:ascii="Arial"/>
          <w:b/>
          <w:bCs/>
          <w:sz w:val="38"/>
          <w:rtl/>
        </w:rPr>
        <w:t>אתוון בעובדא דאברים.</w:t>
      </w:r>
      <w:r>
        <w:rPr>
          <w:rFonts w:ascii="Arial"/>
          <w:sz w:val="38"/>
          <w:rtl/>
        </w:rPr>
        <w:t xml:space="preserve"> שאין אותיות בדבור בלא נקודה, אלא בכתיבה בכ"ח פרקין דידין, כח מעשיו דעובדא דבראשית, כמו שמפרש והולך. וזה שאומר נקודין בדבורא. ואמר</w:t>
      </w:r>
    </w:p>
  </w:footnote>
  <w:footnote w:id="2270">
    <w:p w:rsidR="00A13282" w:rsidRDefault="00A13282">
      <w:pPr>
        <w:pStyle w:val="a5"/>
        <w:rPr>
          <w:rtl/>
        </w:rPr>
      </w:pPr>
      <w:r>
        <w:rPr>
          <w:rStyle w:val="a7"/>
          <w:rtl/>
        </w:rPr>
        <w:footnoteRef/>
      </w:r>
      <w:r>
        <w:rPr>
          <w:rtl/>
        </w:rPr>
        <w:t xml:space="preserve"> </w:t>
      </w:r>
      <w:r>
        <w:rPr>
          <w:rFonts w:ascii="Arial"/>
          <w:b/>
          <w:bCs/>
          <w:sz w:val="38"/>
          <w:rtl/>
        </w:rPr>
        <w:t>תגין במחשבה דמוחא ולבא כו'.</w:t>
      </w:r>
      <w:r>
        <w:rPr>
          <w:rFonts w:ascii="Arial"/>
          <w:sz w:val="38"/>
          <w:rtl/>
        </w:rPr>
        <w:t xml:space="preserve"> שהן שלשה הכוללין הכל: מחשבה דבור ומעשה, ואמר דמוחא ולבא, שהן ארבע אותיות הוי"ה: במוחא ולבא ופומא ואברין, כמו שאומר ברעיא מהימנא פרשת נשא קכ"ב ושאר מקומות. ולפי שמוחא ולבא לא מתפרדין לכן הם בתגין שהם המחשבה דלבא ומוחא. ובזוהר חדש פרשת יתרו כ"ט ג', תא חזי תלת שותפין אינון, אדם דבריאה אדם דיצירה אדם דעשיה. אדם דבריאה איהי נשמתא בה חשיב בר נש ודא המחשבה עולם המחשבה ודאי אתקריאת. רוח - אדם דיצירה, עולם הדבור כו'. ואע"ג דחשיב להו, לית ליה רשות לאפקא לון מההוא חילא דאתמר ביה מהכח אל הפועל, עד דאתלבשו נשמתא ורוחא בנפשא, ובה אפיקו כלא לפועל, בגין דנפש איהי עולם המעשה כו' ולית חילא למחשבה ולאו לרוחא לאפקא חילא לעובדא בלא נפשא. ועם כל דא - דתלת שותפין אלין בבר נש, לא מחשבה אית לה חילא לחשב בלא שכינתא עלאה - דתמן חכמה, רוצה לומר שהיא כוללת חכמה גם כן, שהמחשבה בשניהם, במוחא ולבא. ולא רוחא אית לה רשו לציירא - בלא תפארת, דאיהו כליל שית ספירות, ורוצה לומר והן מקננין ביצירה, ובינה </w:t>
      </w:r>
      <w:r>
        <w:rPr>
          <w:rFonts w:ascii="Arial"/>
        </w:rPr>
        <w:t>–</w:t>
      </w:r>
      <w:r>
        <w:rPr>
          <w:rFonts w:ascii="Arial"/>
          <w:sz w:val="38"/>
          <w:rtl/>
        </w:rPr>
        <w:t xml:space="preserve"> תלת, הא תשע, ונפש לית לה חילא למעבד עובדא בלא מלכות דאיהי מעשה בראשית, עלה אתמר תוצא הארץ נפש חיה. ורוצה לומר אלו נר"ן שכוללין כלל האדם הן משלשה עולמות בי"ע - כלל העולמות הנבראין, והן מושפעים מכלל הספירות שהן עשר, בשלש דרגין כנ"ל, דבינה - בתלת ספירין - מקננת בבריאה, (וז"א - ביצירה), ומלכות - בעשיה. והן שלש דרגין: דמחשבה ודבורא ועובדא. אבל בריאה - באלקים דאיהי בינה, הדא הוא דכתיב בראשית ברא אלקים, ויברא אלקים את שני המאורות הגדולים, ויברא אלקים את האדם בצלמו, דהיא נקראת אלקים חיים, דחיים שמה. הוי"ה איהו יצירה. הדא הוא דכתיב יהי אור ויהי אור, יהי רקיע, בכל אתר ויהי כן, איהו תפארת כליל שית ספירין, הוא טוב דכל יומי בראשית, רוצה לומר שש פעמים טוב, והוא צייר, יצר טוב, דאתמר, וייצר ה' אלקים. ביצירה תשכח הוי"ה [רוצה לומר דאתמר בוייצר שם הוי"ה, והוא בת"ת דנקרא הוי"ה. וכן ביצירה דמקננן ביה. ואע"ג דאלקים נמי כתיב שם, הרי כבר אמר דבינה - צייר על ידו. וכן בעשיה כנ"ל. ורוצה לומר, שכל ויהי הוא לשון הוי"ה]. מאן דבעי למפעל עשיה, לית ליה רשו למעבד עובדא בצלותא, אלא בעובדין טבין דתליא במעשה, בהון נחית שכינתא עליה, דאיהי עולם המעשה, דאיהי מעשה בראשית, דאיהי פועל, ובינה - כח, כ"ח אתוון דקרא קדמאה דבראשית, כ"ח מ"ה דאיהי חכמה, מחשבה, ה' אלקינו ה', כוזו במוכסז כוזו. פעולה דהאי כח לאו איהי אלא במעשה, דאיהי פועל אדנ"י, ודא איהו מהכח אל הפועל. והפועל, לית ליה חילא למפעל - בלא דיבור דאיהו הוי"ה, תפארת דכליל כלא. הכא לית קיצוץ ופירוד במחשבה ודיבור ומעשה, תפארת כליל כלא, והכי אתכליל כלא בבינה, והכי אתכליל כולא במלכות כו', עיין שם בארוכה. ועיין שם בענין תלת קטירין דבר נש דאינון נר"ן, שהן במחשבה דיבור ומעשה. וזהו, התגין - בחו"ב, והן זיונין דלא אתשכחו, וניתן לישראל בסיני שני כתרים, ממלכת כהנים וגוי קדוש, נגד נעשה ונשמע, שהן חילא דזו"נ, דבור ומעשה, וכמו שאומר למטה ונשמע הוא בדבור, ואלו שני כתרים - הן שלשה, כמו שאומר באידרא זוטא, והייתם לי סגולה כו' והן שלשה תגין דזיונין, וכמו שאומר לקמן [עמוד] ב', תלת כתרין דשין, ואמר שם, שי"ן תלת תגין לעילא כמו זיינין כו' ועיין מה שבארנו שם. וידוע ששם מ"ב דשמא מפרש מתחלק: פשוטה - בג"ר, מלאה - בת"ת אדם מ"ה, מילוי המילוי - במלכות. והן: תגין - בהוי"ה פשוטה, כמו שאומר לעיל שבע זיינין אינון כגוונא דא כו' שבעה תגין. יו"ד נקודין - ביו"ד אתוון דמ"ה. כ"ח אתוון עד אלף - בכ"ח דמ"ה כנ"ל. וכן מתחלק שם מ"ב הנ"ל - בג"ר עצמן כידוע. וכן מתחלקין התגין ונקודות ואותיות - בג"ר, שהן גם כן אדם דבריאה ויצירה ועשיה. וכמו שאומר להלן בתיקון ס"ט ובריש תיקון ע', שזו"נ הן בדוגמא דחו"ב, והכל ענין אחד. וזה שאומר ומאלין כו' כמו שאומר למטה. והענין כי חו"ב הן כח של זו"נ וכמו שאומר לקמן מהכח אל הפועל. והן: נסתרות - במוחא ולבא, כלים פנימים של ראש וגוף. וזו"נ - ברישא וגופא, פומא ואברים - כלים החיצונים שלהם - לגמור במעשה. וכמו שאומר ברעיא מהימנא קפ"ג ב' הנסתרות - יראה ואהבה, דאינון במוחא ולבא, בחללא דגופא וברישא. והנגלות - התורה והמצוה, דאינון בגופא וברישא לבר. ורזא דמלה כו' עיין שם. ורוצה לומר, תורה ומצוה - דבורא ועובדא, ומוחא ולבא - הן כלים פנימים שלהן, ועושין כל זה בהעלם:</w:t>
      </w:r>
    </w:p>
  </w:footnote>
  <w:footnote w:id="2271">
    <w:p w:rsidR="00A13282" w:rsidRDefault="00A13282">
      <w:pPr>
        <w:pStyle w:val="a5"/>
        <w:rPr>
          <w:rtl/>
        </w:rPr>
      </w:pPr>
      <w:r>
        <w:rPr>
          <w:rStyle w:val="a7"/>
          <w:rtl/>
        </w:rPr>
        <w:footnoteRef/>
      </w:r>
      <w:r>
        <w:rPr>
          <w:rtl/>
        </w:rPr>
        <w:t xml:space="preserve"> </w:t>
      </w:r>
      <w:r>
        <w:rPr>
          <w:rFonts w:ascii="Arial"/>
          <w:b/>
          <w:bCs/>
          <w:sz w:val="38"/>
          <w:rtl/>
        </w:rPr>
        <w:t>ומאלין נקודי ואתוון עביד כו'.</w:t>
      </w:r>
      <w:r>
        <w:rPr>
          <w:rFonts w:ascii="Arial"/>
          <w:sz w:val="38"/>
          <w:rtl/>
        </w:rPr>
        <w:t xml:space="preserve"> רוצה לומר, ההוא סתים וגניז - הוא חכמה. וכרסיא כו' - הוא בינה. וכמו שאומר להלן דתגין הוא בכתר, ונקודין ואותיות - בחו"ב. וחו"ב כלולין זה בזה בסוד הבן כו'. ולפיכך שניהן הן בחכמה וכן בבינה. וזה שאומר, שמאלו עביד כו' וכמו שכתוב (תהלים קד כד) כולם בחכמה עשית וכמו שאומר להלן ב' וכלא בחכמה, ורזא כו' אית חכמה מסטרא דאתוון ואית חכמה מסטרא דנקודין כו' וכולם כולל בבינה דהוא כרסיא דיליה, ואמר טמירא [ואמר טמירא עילאה נגד סתים וגניז, טמירא - נגד גניז, ועילאה - נגד סתים והבן, כנ"ל מנחם] עילאה, שיש עוד כסא למטה </w:t>
      </w:r>
      <w:r>
        <w:rPr>
          <w:rFonts w:ascii="Arial"/>
        </w:rPr>
        <w:t>–</w:t>
      </w:r>
      <w:r>
        <w:rPr>
          <w:rFonts w:ascii="Arial"/>
          <w:sz w:val="38"/>
          <w:rtl/>
        </w:rPr>
        <w:t xml:space="preserve"> מלכות, כמו שאומר למטה, ושאר מקומות:</w:t>
      </w:r>
    </w:p>
  </w:footnote>
  <w:footnote w:id="2272">
    <w:p w:rsidR="00A13282" w:rsidRDefault="00A13282">
      <w:pPr>
        <w:pStyle w:val="a5"/>
        <w:rPr>
          <w:rtl/>
        </w:rPr>
      </w:pPr>
      <w:r>
        <w:rPr>
          <w:rStyle w:val="a7"/>
          <w:rtl/>
        </w:rPr>
        <w:footnoteRef/>
      </w:r>
      <w:r>
        <w:rPr>
          <w:rtl/>
        </w:rPr>
        <w:t xml:space="preserve"> </w:t>
      </w:r>
      <w:r>
        <w:rPr>
          <w:rFonts w:ascii="Arial"/>
          <w:b/>
          <w:bCs/>
          <w:sz w:val="38"/>
          <w:rtl/>
        </w:rPr>
        <w:t>ועליה אתמר אתה כו'.</w:t>
      </w:r>
      <w:r>
        <w:rPr>
          <w:rFonts w:ascii="Arial"/>
          <w:sz w:val="38"/>
          <w:rtl/>
        </w:rPr>
        <w:t xml:space="preserve"> רוצה לומר סיפא, כסאך לדור ודור, ומפרש והולך הקרא, מאי אתה ההוא כו' רוצה לומר דכתיב ביה ארוממך, והוא חכמה שלכן כתיב אתה כו' תשב, שהוא יושב על הכסא, והוא אדם - שמא מפרש - על הכסא, ומביא ראיה דכתיב ארוממך והוא נקרא רום, בגבהי מרומים:</w:t>
      </w:r>
    </w:p>
  </w:footnote>
  <w:footnote w:id="2273">
    <w:p w:rsidR="00A13282" w:rsidRDefault="00A13282">
      <w:pPr>
        <w:pStyle w:val="a5"/>
        <w:rPr>
          <w:rtl/>
        </w:rPr>
      </w:pPr>
      <w:r>
        <w:rPr>
          <w:rStyle w:val="a7"/>
          <w:rtl/>
        </w:rPr>
        <w:footnoteRef/>
      </w:r>
      <w:r>
        <w:rPr>
          <w:rtl/>
        </w:rPr>
        <w:t xml:space="preserve"> </w:t>
      </w:r>
      <w:r>
        <w:rPr>
          <w:rFonts w:ascii="Arial"/>
          <w:b/>
          <w:bCs/>
          <w:sz w:val="38"/>
          <w:rtl/>
        </w:rPr>
        <w:t>רום ידיהו נשא.</w:t>
      </w:r>
      <w:r>
        <w:rPr>
          <w:rFonts w:ascii="Arial"/>
          <w:sz w:val="38"/>
          <w:rtl/>
        </w:rPr>
        <w:t xml:space="preserve"> כמו שמפרש והולך דנושאין ידים לרום השמים, רום של השמים, מרום וקדוש, ונושאים עשר אצבעות לשם, שהוא יו"ד של שם, עשר אתוון דשמא מפרש, וזה שאומר ומאי ניהו כו' ועיין לקמן סוף תיקון כ"ב ס"ז ב', יו"ד שריא בעשר אצבען כו' מחכמה שריא דאיהי באצבען, ואמר דאיהו חכמה - כח מ"ה, מביא ראיה דמ"ה הוא בחכמה, ורוצה לומר כ"ח מ"ה הן המילוי ומילוי המילוי, דפשוט הוא בכתר שהן התגין, ובחכמה הוא שניהם נקודין ואתוון כנ"ל, וזה שאומר ועלה אתמר כ"ח מעשיו כו' דבכ"ח אתוון דשמא מפרש וכן דאתוון תליא עובדא כ"ח אתוון דבראשית, ואמר והאי איהו כ"ח כו' רוצה לומר לכן הם בידין דתליא בהן חכמה, דבהון כ"ח פרקין, ואמר למטה יו"ד כו' אינון עשר אצבעין כו', הרי כ"ח מ"ה בהון, ובהון עובדא דבראשית דאתמר כולם בחכמה עשית, ולכן נושאין אותן לרום השמים, יו"ד של שם, דהוא דרגא דלהון, ואמר כל זה לראיה שרום הוא חכמה, ועליו נאמר אתה, ועיקר הענין שכלולין באצבעאן שהן עובדא - כ"ח ומ"ה שכלולין זה בזה כנ"ל, וכן בדבורא כלולין י' נקודות וכ"ח אתוון, אבל תגין אינן נגלין לא באצבעאן ולא בדבורא רק במחשבה, ולכן משני אלו נברא העולם ויאמר אלקים ויעש אלקים, בדבר ה' שמים כו', שמיך מעשה אצבעותיך כו', וזה שאומר בל"ב נתיבות פליאות חכמה כו', שהן האתוון והנקודין, כמו שביארנו שם:</w:t>
      </w:r>
    </w:p>
  </w:footnote>
  <w:footnote w:id="2274">
    <w:p w:rsidR="00A13282" w:rsidRDefault="00A13282">
      <w:pPr>
        <w:pStyle w:val="a5"/>
        <w:rPr>
          <w:rtl/>
        </w:rPr>
      </w:pPr>
      <w:r>
        <w:rPr>
          <w:rStyle w:val="a7"/>
          <w:rtl/>
        </w:rPr>
        <w:footnoteRef/>
      </w:r>
      <w:r>
        <w:rPr>
          <w:rtl/>
        </w:rPr>
        <w:t xml:space="preserve"> </w:t>
      </w:r>
      <w:r>
        <w:rPr>
          <w:rFonts w:ascii="Arial"/>
          <w:b/>
          <w:bCs/>
          <w:sz w:val="38"/>
          <w:rtl/>
        </w:rPr>
        <w:t>ובג"ד אתמר למי כו'.</w:t>
      </w:r>
      <w:r>
        <w:rPr>
          <w:rFonts w:ascii="Arial"/>
          <w:sz w:val="38"/>
          <w:rtl/>
        </w:rPr>
        <w:t xml:space="preserve"> רוצה לומר בספר הבהיר ז' ב' שאלו תלמידיו כו':</w:t>
      </w:r>
    </w:p>
  </w:footnote>
  <w:footnote w:id="2275">
    <w:p w:rsidR="00A13282" w:rsidRDefault="00A13282">
      <w:pPr>
        <w:pStyle w:val="a5"/>
        <w:rPr>
          <w:rtl/>
        </w:rPr>
      </w:pPr>
      <w:r>
        <w:rPr>
          <w:rStyle w:val="a7"/>
          <w:rtl/>
        </w:rPr>
        <w:footnoteRef/>
      </w:r>
      <w:r>
        <w:rPr>
          <w:rtl/>
        </w:rPr>
        <w:t xml:space="preserve"> </w:t>
      </w:r>
      <w:r>
        <w:rPr>
          <w:rFonts w:ascii="Arial"/>
          <w:b/>
          <w:bCs/>
          <w:sz w:val="38"/>
          <w:rtl/>
        </w:rPr>
        <w:t>דאינון כוז"ו כו'.</w:t>
      </w:r>
      <w:r>
        <w:rPr>
          <w:rFonts w:ascii="Arial"/>
          <w:sz w:val="38"/>
          <w:rtl/>
        </w:rPr>
        <w:t xml:space="preserve"> (ועיין לעיל ד' ב' עיין שם היטב ותבין כאן) שהן בשתי הידים, השמות עצמן - בי"ד פרקין דימין, וחילופם - בשמאל, ובכל אחד מהידים כולל שלשה אבהן כמו שאומר באדרא רבה קמ"ב ב', דרועא קדמאה תלת קשרין אתקשרו ביה ואתכלילו כו' בתלת קשרין דאבהתא כו' עיין שם, ופרק הרביעי שהן האצבעאן - הוא אדם, כל השלש חיות - חג"ת, ונושאין אותן לאדם בחכמה, ואלו שלש חיות הן שלשה השמות דיחודא, והן מתייחדין באחד, שהוא השלמת ל"ב שבילין לאדם, וזה שאומר ידיהו, יה"ו, שלשה הנ"ל, והן בראשי תיבות נש"א:</w:t>
      </w:r>
    </w:p>
  </w:footnote>
  <w:footnote w:id="2276">
    <w:p w:rsidR="00A13282" w:rsidRDefault="00A13282">
      <w:pPr>
        <w:pStyle w:val="a5"/>
        <w:rPr>
          <w:rtl/>
        </w:rPr>
      </w:pPr>
      <w:r>
        <w:rPr>
          <w:rStyle w:val="a7"/>
          <w:rtl/>
        </w:rPr>
        <w:footnoteRef/>
      </w:r>
      <w:r>
        <w:rPr>
          <w:rtl/>
        </w:rPr>
        <w:t xml:space="preserve"> </w:t>
      </w:r>
      <w:r>
        <w:rPr>
          <w:rFonts w:ascii="Arial"/>
          <w:b/>
          <w:bCs/>
          <w:sz w:val="38"/>
          <w:rtl/>
        </w:rPr>
        <w:t>דאיהי ה' כו' אחד.</w:t>
      </w:r>
      <w:r>
        <w:rPr>
          <w:rFonts w:ascii="Arial"/>
          <w:sz w:val="38"/>
          <w:rtl/>
        </w:rPr>
        <w:t xml:space="preserve"> מביא תיבת אחד לבאר מה שאמר דיחודא עילאה:</w:t>
      </w:r>
    </w:p>
  </w:footnote>
  <w:footnote w:id="2277">
    <w:p w:rsidR="00A13282" w:rsidRDefault="00A13282">
      <w:pPr>
        <w:pStyle w:val="a5"/>
        <w:rPr>
          <w:rtl/>
        </w:rPr>
      </w:pPr>
      <w:r>
        <w:rPr>
          <w:rStyle w:val="a7"/>
          <w:rtl/>
        </w:rPr>
        <w:footnoteRef/>
      </w:r>
      <w:r>
        <w:rPr>
          <w:rtl/>
        </w:rPr>
        <w:t xml:space="preserve"> </w:t>
      </w:r>
      <w:r>
        <w:rPr>
          <w:rFonts w:ascii="Arial"/>
          <w:bCs/>
          <w:sz w:val="38"/>
          <w:rtl/>
        </w:rPr>
        <w:t>ובגין דאסתלק כו'.</w:t>
      </w:r>
      <w:r>
        <w:rPr>
          <w:rFonts w:ascii="Arial"/>
          <w:sz w:val="38"/>
          <w:rtl/>
        </w:rPr>
        <w:t xml:space="preserve"> משום דלא אשתדלו בדחילו ורחימו, כמו שאומר להלן מ"ם ב', והן חו"ב כמו שאומר שם, שהן כ"ח מ"ה, ועיקר הדבר שלא היה בהם אנשי מעשה בעובדין דאצבעאן שהן כ"ח הנ"ל שנקרא אנשי חיל כמו שכתוב ואתה תחזה כו', והן ימינא, וכן כח הוא בימינא כידוע, והוא בחכמה כמו שאומר להלן ק"כ ב' קכ"א א', והן גם כן בחכמה באצבעאן כנ"ל, וזה שאומר למעלה ל"ח ב' בההוא זמנא אתמר בה אשת חיל כו':</w:t>
      </w:r>
    </w:p>
  </w:footnote>
  <w:footnote w:id="2278">
    <w:p w:rsidR="00A13282" w:rsidRDefault="00A13282">
      <w:pPr>
        <w:pStyle w:val="a5"/>
        <w:rPr>
          <w:rtl/>
        </w:rPr>
      </w:pPr>
      <w:r>
        <w:rPr>
          <w:rStyle w:val="a7"/>
          <w:rtl/>
        </w:rPr>
        <w:footnoteRef/>
      </w:r>
      <w:r>
        <w:rPr>
          <w:rtl/>
        </w:rPr>
        <w:t xml:space="preserve"> </w:t>
      </w:r>
      <w:r>
        <w:rPr>
          <w:rFonts w:ascii="Arial"/>
          <w:b/>
          <w:bCs/>
          <w:sz w:val="38"/>
          <w:rtl/>
        </w:rPr>
        <w:t xml:space="preserve">יו"ד כו' </w:t>
      </w:r>
      <w:r>
        <w:rPr>
          <w:b/>
          <w:bCs/>
          <w:snapToGrid w:val="0"/>
          <w:rtl/>
        </w:rPr>
        <w:t>אינון כו'.</w:t>
      </w:r>
      <w:r>
        <w:rPr>
          <w:snapToGrid w:val="0"/>
          <w:rtl/>
        </w:rPr>
        <w:t xml:space="preserve"> כנ"ל להורות שכלהו באצבעאן:</w:t>
      </w:r>
    </w:p>
  </w:footnote>
  <w:footnote w:id="2279">
    <w:p w:rsidR="00A13282" w:rsidRDefault="00A13282">
      <w:pPr>
        <w:pStyle w:val="a5"/>
        <w:rPr>
          <w:rtl/>
        </w:rPr>
      </w:pPr>
      <w:r>
        <w:rPr>
          <w:rStyle w:val="a7"/>
          <w:rtl/>
        </w:rPr>
        <w:footnoteRef/>
      </w:r>
      <w:r>
        <w:rPr>
          <w:rtl/>
        </w:rPr>
        <w:t xml:space="preserve"> </w:t>
      </w:r>
      <w:r>
        <w:rPr>
          <w:b/>
          <w:bCs/>
          <w:snapToGrid w:val="0"/>
          <w:rtl/>
        </w:rPr>
        <w:t>דאתמר בהון ידיו כו'.</w:t>
      </w:r>
      <w:r>
        <w:rPr>
          <w:snapToGrid w:val="0"/>
          <w:rtl/>
        </w:rPr>
        <w:t xml:space="preserve"> רוצה לומר, גלילי הן עשר גלגלין, שהן עשר נקודין כמו שאומר להלן:</w:t>
      </w:r>
    </w:p>
  </w:footnote>
  <w:footnote w:id="2280">
    <w:p w:rsidR="00A13282" w:rsidRDefault="00A13282">
      <w:pPr>
        <w:pStyle w:val="a5"/>
        <w:rPr>
          <w:rtl/>
        </w:rPr>
      </w:pPr>
      <w:r>
        <w:rPr>
          <w:rStyle w:val="a7"/>
          <w:rtl/>
        </w:rPr>
        <w:footnoteRef/>
      </w:r>
      <w:r>
        <w:rPr>
          <w:rtl/>
        </w:rPr>
        <w:t xml:space="preserve"> </w:t>
      </w:r>
      <w:r>
        <w:rPr>
          <w:b/>
          <w:bCs/>
          <w:snapToGrid w:val="0"/>
          <w:rtl/>
        </w:rPr>
        <w:t>דבהון כו' דאינון כו'.</w:t>
      </w:r>
      <w:r>
        <w:rPr>
          <w:snapToGrid w:val="0"/>
          <w:rtl/>
        </w:rPr>
        <w:t xml:space="preserve"> עתה משלים הדבר, דבהון כ"ח מ"ה ונושאין לרום ונאמר אתה ארוממך, וזה שאומר ובגין דא ה' אלקי אתה, רוצה לומר דכתיב ארוממך:</w:t>
      </w:r>
    </w:p>
  </w:footnote>
  <w:footnote w:id="2281">
    <w:p w:rsidR="00A13282" w:rsidRDefault="00A13282">
      <w:pPr>
        <w:pStyle w:val="a5"/>
        <w:rPr>
          <w:rtl/>
        </w:rPr>
      </w:pPr>
      <w:r>
        <w:rPr>
          <w:rStyle w:val="a7"/>
          <w:rtl/>
        </w:rPr>
        <w:footnoteRef/>
      </w:r>
      <w:r>
        <w:rPr>
          <w:rtl/>
        </w:rPr>
        <w:t xml:space="preserve"> </w:t>
      </w:r>
      <w:r>
        <w:rPr>
          <w:b/>
          <w:bCs/>
          <w:snapToGrid w:val="0"/>
          <w:rtl/>
        </w:rPr>
        <w:t>ומאי כסאך</w:t>
      </w:r>
      <w:r>
        <w:rPr>
          <w:snapToGrid w:val="0"/>
          <w:rtl/>
        </w:rPr>
        <w:t xml:space="preserve"> </w:t>
      </w:r>
      <w:r>
        <w:rPr>
          <w:b/>
          <w:bCs/>
          <w:snapToGrid w:val="0"/>
          <w:rtl/>
        </w:rPr>
        <w:t>כו'.</w:t>
      </w:r>
      <w:r>
        <w:rPr>
          <w:snapToGrid w:val="0"/>
          <w:rtl/>
        </w:rPr>
        <w:t xml:space="preserve"> למעלה מפרש אתה דפסוק אתה ה' לעולם כו', ועתה מפרש כסאך, וזה שאומר מעולם אתה, וכמו שאמרו כחדא נפקין וכחדא שריין ולא כו':</w:t>
      </w:r>
    </w:p>
  </w:footnote>
  <w:footnote w:id="2282">
    <w:p w:rsidR="00A13282" w:rsidRDefault="00A13282">
      <w:pPr>
        <w:pStyle w:val="a5"/>
        <w:rPr>
          <w:rtl/>
        </w:rPr>
      </w:pPr>
      <w:r>
        <w:rPr>
          <w:rStyle w:val="a7"/>
          <w:rtl/>
        </w:rPr>
        <w:footnoteRef/>
      </w:r>
      <w:r>
        <w:rPr>
          <w:rtl/>
        </w:rPr>
        <w:t xml:space="preserve"> </w:t>
      </w:r>
      <w:r>
        <w:rPr>
          <w:b/>
          <w:bCs/>
          <w:snapToGrid w:val="0"/>
          <w:rtl/>
        </w:rPr>
        <w:t>ומאי נכון כו' ונאמן עומד וכ"ו באמצע הה"ד כו'.</w:t>
      </w:r>
      <w:r>
        <w:rPr>
          <w:snapToGrid w:val="0"/>
          <w:rtl/>
        </w:rPr>
        <w:t xml:space="preserve"> רוצה לומר דמכון דיליה הוא צדק ומשפט כמו שכתוב צדק ומשפט כו', ועיין באידרא זוטא רצ"א ב' עיין שם בארוכה, ובזוהר פרשת אחרי מות נ"ט ב', וזה שאומר נאמן כו' דאמרינן (שבת קד ע"א) נ' פשוטה נ' כפופה נאמן פשוט כו', ורוצה לומר נאמן יושב - ההוא כפופה - בז"א, וכמו שמפרש והולך כתפארת אדם לשבת בית, שהוא יושב בבית, והוא נאמן עומד, וכמו שאומר לקמן איהו יתיב על כורסייא, ושניהם נקראין נאמן - שבהו רזא דמהימנותא כמו שאומר באידרא רבא, וכמו שאמרו אני ה', אני נאמן לשלם שכר, אני נאמן כו', וההיא כרסייא מייחדם - דנקראת בינה - בן י"ה, דכליל יה"ו מסטרא דז"א, וגם כלילא מה' תתאה, ה' אתוון דאלקים, ומתפשטת בתוכם במ"ט שערים דילה, וזהו כ"ו באמצע, וזה שאומר הה"ד כתפארת כו', והתפשטותה ידוע - דעת המייחדם, בסוד והאדם ידע כו':</w:t>
      </w:r>
    </w:p>
  </w:footnote>
  <w:footnote w:id="2283">
    <w:p w:rsidR="00A13282" w:rsidRDefault="00A13282">
      <w:pPr>
        <w:pStyle w:val="a5"/>
        <w:rPr>
          <w:rtl/>
        </w:rPr>
      </w:pPr>
      <w:r>
        <w:rPr>
          <w:rStyle w:val="a7"/>
          <w:rtl/>
        </w:rPr>
        <w:footnoteRef/>
      </w:r>
      <w:r>
        <w:rPr>
          <w:rtl/>
        </w:rPr>
        <w:t xml:space="preserve"> </w:t>
      </w:r>
      <w:r>
        <w:rPr>
          <w:b/>
          <w:bCs/>
          <w:snapToGrid w:val="0"/>
          <w:rtl/>
        </w:rPr>
        <w:t>ומאי מאז אלא כו'.</w:t>
      </w:r>
      <w:r>
        <w:rPr>
          <w:snapToGrid w:val="0"/>
          <w:rtl/>
        </w:rPr>
        <w:t xml:space="preserve"> רוצה לומר, וה' - הוא ובית דינו, זו"נ, ונכון הכסא מהם, שהם מכונים דילה, וזה שאומר ומאי א"ז אלין כו', והוא יחוד, שהוא בדעת ויסוד, ושני מיני היחוד הן: אחד בלאה שהיא ה' אחרונה, ואחד ברחל - אדנ"י, ובסוד אחד דקריאת שמע ובשכמל"ו, וקשר של ראש ותפילין של יד דהיא עקרת הבית פרצוף גמור:</w:t>
      </w:r>
    </w:p>
  </w:footnote>
  <w:footnote w:id="2284">
    <w:p w:rsidR="00A13282" w:rsidRDefault="00A13282">
      <w:pPr>
        <w:pStyle w:val="a5"/>
        <w:rPr>
          <w:rtl/>
        </w:rPr>
      </w:pPr>
      <w:r>
        <w:rPr>
          <w:rStyle w:val="a7"/>
          <w:rtl/>
        </w:rPr>
        <w:footnoteRef/>
      </w:r>
      <w:r>
        <w:rPr>
          <w:rtl/>
        </w:rPr>
        <w:t xml:space="preserve"> </w:t>
      </w:r>
      <w:r>
        <w:rPr>
          <w:b/>
          <w:bCs/>
          <w:snapToGrid w:val="0"/>
          <w:rtl/>
        </w:rPr>
        <w:t>לחושבן אמן.</w:t>
      </w:r>
      <w:r>
        <w:rPr>
          <w:snapToGrid w:val="0"/>
          <w:rtl/>
        </w:rPr>
        <w:t xml:space="preserve"> דהן נאמנים הנ"ל, וזה שאומר אמן - א"ל מ"לך נ"אמן:</w:t>
      </w:r>
    </w:p>
  </w:footnote>
  <w:footnote w:id="2285">
    <w:p w:rsidR="00A13282" w:rsidRDefault="00A13282">
      <w:pPr>
        <w:pStyle w:val="a5"/>
        <w:rPr>
          <w:rtl/>
        </w:rPr>
      </w:pPr>
      <w:r>
        <w:rPr>
          <w:rStyle w:val="a7"/>
          <w:rtl/>
        </w:rPr>
        <w:footnoteRef/>
      </w:r>
      <w:r>
        <w:rPr>
          <w:rtl/>
        </w:rPr>
        <w:t xml:space="preserve"> </w:t>
      </w:r>
      <w:r>
        <w:rPr>
          <w:b/>
          <w:bCs/>
          <w:snapToGrid w:val="0"/>
          <w:rtl/>
        </w:rPr>
        <w:t>ודא איהו העונה כו'.</w:t>
      </w:r>
      <w:r>
        <w:rPr>
          <w:snapToGrid w:val="0"/>
          <w:rtl/>
        </w:rPr>
        <w:t xml:space="preserve"> רוצה לומר, כמו שאומר רש"י (שבת קיט ע"ב) בכל כוונתו, שהוא הפנימית דחכמה - שהוא הכח, ובדחילו ורחימו דשם, וזהו בכל כחו, וכמו שאמרו אין מראין דלועין אלא כו' [ברכות נ"ו ב' תניא אין מראין דלועין אלא למי שהוא ירא שמים בכל כחו], וכתיב בכל מאדך:</w:t>
      </w:r>
    </w:p>
  </w:footnote>
  <w:footnote w:id="2286">
    <w:p w:rsidR="00A13282" w:rsidRDefault="00A13282">
      <w:pPr>
        <w:pStyle w:val="a5"/>
        <w:rPr>
          <w:rtl/>
        </w:rPr>
      </w:pPr>
      <w:r>
        <w:rPr>
          <w:rStyle w:val="a7"/>
          <w:rtl/>
        </w:rPr>
        <w:footnoteRef/>
      </w:r>
      <w:r>
        <w:rPr>
          <w:rtl/>
        </w:rPr>
        <w:t xml:space="preserve"> </w:t>
      </w:r>
      <w:r>
        <w:rPr>
          <w:b/>
          <w:bCs/>
          <w:snapToGrid w:val="0"/>
          <w:rtl/>
        </w:rPr>
        <w:t>ובגין דא אוקמוהו כו'.</w:t>
      </w:r>
      <w:r>
        <w:rPr>
          <w:snapToGrid w:val="0"/>
          <w:rtl/>
        </w:rPr>
        <w:t xml:space="preserve"> עיין לעיל ד' ב' בארוכה, ועיין מה שבארנו שם. ועוד יותר נכון, שהן כ"ח, דכליל בעשר אצבעין - שהן עשר אמירין - בל"ב שבילין, וזה סוד מ"ב. וע' דשבעים שנין הן ע"ב דחבלי יולדה. והענין הוא בשם ע"ב, דהוא כ"ח עם שתי פעמים א"ב דזו"נ כידוע, והן יחודא דאמן. וזהו אמן עם כ"ח - בכל כחו:</w:t>
      </w:r>
    </w:p>
  </w:footnote>
  <w:footnote w:id="2287">
    <w:p w:rsidR="00A13282" w:rsidRDefault="00A13282">
      <w:pPr>
        <w:pStyle w:val="a5"/>
        <w:rPr>
          <w:rtl/>
        </w:rPr>
      </w:pPr>
      <w:r>
        <w:rPr>
          <w:rStyle w:val="a7"/>
          <w:rtl/>
        </w:rPr>
        <w:footnoteRef/>
      </w:r>
      <w:r>
        <w:rPr>
          <w:rtl/>
        </w:rPr>
        <w:t xml:space="preserve"> </w:t>
      </w:r>
      <w:r>
        <w:rPr>
          <w:b/>
          <w:bCs/>
          <w:snapToGrid w:val="0"/>
          <w:rtl/>
        </w:rPr>
        <w:t>ועוד אתה כו'.</w:t>
      </w:r>
      <w:r>
        <w:rPr>
          <w:snapToGrid w:val="0"/>
          <w:rtl/>
        </w:rPr>
        <w:t xml:space="preserve"> רוצה לומר, למעלה דריש על חו"ב, וכאן - על זו"נ. תשב - כמו שאומר לעיל לשבת בית, ומפרש והולך, אתה ההוא דאתמר כו', והוא בת"ת, וכמו שאומר למטה, ומביא ראיה, שאומרים אבינו אתה, והוא אבינו, והוא אב הרחמן. ועיין באידרא רבא קמ"א ע"ב, תו אתפשט האי תפארת כו' כל רחמים וכל סטרא דרחמי כו':</w:t>
      </w:r>
    </w:p>
  </w:footnote>
  <w:footnote w:id="2288">
    <w:p w:rsidR="00A13282" w:rsidRDefault="00A13282">
      <w:pPr>
        <w:pStyle w:val="a5"/>
        <w:rPr>
          <w:rtl/>
        </w:rPr>
      </w:pPr>
      <w:r>
        <w:rPr>
          <w:rStyle w:val="a7"/>
          <w:rtl/>
        </w:rPr>
        <w:footnoteRef/>
      </w:r>
      <w:r>
        <w:rPr>
          <w:rtl/>
        </w:rPr>
        <w:t xml:space="preserve"> </w:t>
      </w:r>
      <w:r>
        <w:rPr>
          <w:b/>
          <w:bCs/>
          <w:snapToGrid w:val="0"/>
          <w:rtl/>
        </w:rPr>
        <w:t>ואיהו כליל כו'.</w:t>
      </w:r>
      <w:r>
        <w:rPr>
          <w:snapToGrid w:val="0"/>
          <w:rtl/>
        </w:rPr>
        <w:t xml:space="preserve"> רוצה לומר, דזהו א"ת, כמו שאומר בזוהר פרשת בראשית ט"ו ב', ושאר מקומות הרבה, וה' הכפולים:</w:t>
      </w:r>
    </w:p>
  </w:footnote>
  <w:footnote w:id="2289">
    <w:p w:rsidR="00A13282" w:rsidRDefault="00A13282">
      <w:pPr>
        <w:pStyle w:val="a5"/>
        <w:rPr>
          <w:rtl/>
        </w:rPr>
      </w:pPr>
      <w:r>
        <w:rPr>
          <w:rStyle w:val="a7"/>
          <w:rtl/>
        </w:rPr>
        <w:footnoteRef/>
      </w:r>
      <w:r>
        <w:rPr>
          <w:rtl/>
        </w:rPr>
        <w:t xml:space="preserve"> </w:t>
      </w:r>
      <w:r>
        <w:rPr>
          <w:b/>
          <w:bCs/>
          <w:snapToGrid w:val="0"/>
          <w:rtl/>
        </w:rPr>
        <w:t>וכד ישראל כו'.</w:t>
      </w:r>
      <w:r>
        <w:rPr>
          <w:snapToGrid w:val="0"/>
          <w:rtl/>
        </w:rPr>
        <w:t xml:space="preserve"> דלגביה קיימין, כמו שאומר בזוהר פרשת חיי שרה קל"ב ב', ורוצה לומר, זה שאומרים ברוך אתה - דלגביה קיימין. ומפרש כאן דנ' כפופה - בז"א, ופשוטה - בנוק', אבל בזוהר פרשת אחרי מות ס"ו ב' ושאר מקומות אמר להיפוך (ואפשר לומר באמת בהיפוך, דאינון עלמא דעמידה ועלמא דישיבה, כמו שאמרו שם בזוהר פרשת חיי שרה ושאר מקומות, ולשבת בית קאי אנוק' כידוע וזהו הנכון, ונראה לי דהאי לשבת הוא סוד יחוד בעת התפלה, ובסוד לא לתוהו בראה לשבת יצרה, וזהו דיתיב על כרסייא והבן כנ"ל, ונון פשוטה כליל זו"נ, כמו שאומר בזוהר וילך רפ"ה ע"ב, ובויצא בסתרי תורה, וכן משמע בזוהר פרשת אחרי מות עיין שם, ולכן בו נאמן עומד, והוא לשבת בית, וישראל כד מטין לגביה - קיימין, לאחזאה שבחא דדכורא, דהיא כלילא ביה בעת היחוד, ואתקריאת על שם בעלה, והבן מאד. מנחם):</w:t>
      </w:r>
    </w:p>
  </w:footnote>
  <w:footnote w:id="2290">
    <w:p w:rsidR="00A13282" w:rsidRDefault="00A13282">
      <w:pPr>
        <w:pStyle w:val="a5"/>
        <w:rPr>
          <w:rtl/>
        </w:rPr>
      </w:pPr>
      <w:r>
        <w:rPr>
          <w:rStyle w:val="a7"/>
          <w:rtl/>
        </w:rPr>
        <w:footnoteRef/>
      </w:r>
      <w:r>
        <w:rPr>
          <w:rtl/>
        </w:rPr>
        <w:t xml:space="preserve"> </w:t>
      </w:r>
      <w:r>
        <w:rPr>
          <w:b/>
          <w:bCs/>
          <w:snapToGrid w:val="0"/>
          <w:rtl/>
        </w:rPr>
        <w:t>ומאי ניהו לדור כו'.</w:t>
      </w:r>
      <w:r>
        <w:rPr>
          <w:snapToGrid w:val="0"/>
          <w:rtl/>
        </w:rPr>
        <w:t xml:space="preserve"> רוצה לומר בזמן דאיהו יתיב על הכסא ונהיר לה אז נקראת אספקלריא דנהרא וכמו שאומר לקמן פ"ג  א' ובגין דא מסטרא כו' וכד כו', והוא דרגא דמשה רבינו עליו השלום כמו שמפרש והולך, וזה שאומר כסאך - דיתיב עלה ונהיר לה בכל דור, בסטרא דמשה דאתפשטותיה בכל דור עד ששים רבוא, וכמו שמפרש והולך ולית דור כו', וכמו שאומר לקמן ק"ג א' ובגין דא אתמר ביה דור הולך כו', ושם ק"י א' דעליה אתמר דור הולך ודור בא ולית דור כו' ואתפשטותיה הוא בכל דרא ודרא, בכל צדיק וחכם דמתעסק באורייתא עד ששים רבוא כו' וע"י כסאך כנ"ל. וזה שאומר והארץ כו' - דאיהי עומד כנ"ל, ועיין לקמן ק"ט א' דור הולך כו' אבל שכינתא כו':</w:t>
      </w:r>
    </w:p>
  </w:footnote>
  <w:footnote w:id="2291">
    <w:p w:rsidR="00A13282" w:rsidRDefault="00A13282">
      <w:pPr>
        <w:pStyle w:val="a5"/>
        <w:rPr>
          <w:rtl/>
        </w:rPr>
      </w:pPr>
      <w:r>
        <w:rPr>
          <w:rStyle w:val="a7"/>
          <w:rtl/>
        </w:rPr>
        <w:footnoteRef/>
      </w:r>
      <w:r>
        <w:rPr>
          <w:rtl/>
        </w:rPr>
        <w:t xml:space="preserve"> </w:t>
      </w:r>
      <w:r>
        <w:rPr>
          <w:b/>
          <w:bCs/>
          <w:snapToGrid w:val="0"/>
          <w:rtl/>
        </w:rPr>
        <w:t>וכ"ח אתוון כו'.</w:t>
      </w:r>
      <w:r>
        <w:rPr>
          <w:snapToGrid w:val="0"/>
          <w:rtl/>
        </w:rPr>
        <w:t xml:space="preserve"> דלכך הוא כ"ח אתוון בפסוק ראשון דבראשית, וחוזר למעלה מה שאמר דכ"ח היא בעובדא וכנ"ל:</w:t>
      </w:r>
    </w:p>
  </w:footnote>
  <w:footnote w:id="2292">
    <w:p w:rsidR="00A13282" w:rsidRDefault="00A13282">
      <w:pPr>
        <w:pStyle w:val="a5"/>
        <w:rPr>
          <w:rtl/>
        </w:rPr>
      </w:pPr>
      <w:r>
        <w:rPr>
          <w:rStyle w:val="a7"/>
          <w:rtl/>
        </w:rPr>
        <w:footnoteRef/>
      </w:r>
      <w:r>
        <w:rPr>
          <w:rtl/>
        </w:rPr>
        <w:t xml:space="preserve"> </w:t>
      </w:r>
      <w:r>
        <w:rPr>
          <w:b/>
          <w:bCs/>
          <w:snapToGrid w:val="0"/>
          <w:rtl/>
        </w:rPr>
        <w:t>בין לכתיבה כו'.</w:t>
      </w:r>
      <w:r>
        <w:rPr>
          <w:snapToGrid w:val="0"/>
          <w:rtl/>
        </w:rPr>
        <w:t xml:space="preserve"> רוצה לומר כמו שאומר למעלה דאתוון בלא נקודין אינן ניכרים אלא בכתיבה, והן כ"ח אתוון דפסוק וידבר אלקים כו' והוא שם כ"ח בכתיבה, ובבראשית - בעובדא דידין:</w:t>
      </w:r>
    </w:p>
  </w:footnote>
  <w:footnote w:id="2293">
    <w:p w:rsidR="00A13282" w:rsidRDefault="00A13282">
      <w:pPr>
        <w:pStyle w:val="a5"/>
        <w:rPr>
          <w:rtl/>
        </w:rPr>
      </w:pPr>
      <w:r>
        <w:rPr>
          <w:rStyle w:val="a7"/>
          <w:rtl/>
        </w:rPr>
        <w:footnoteRef/>
      </w:r>
      <w:r>
        <w:rPr>
          <w:rtl/>
        </w:rPr>
        <w:t xml:space="preserve"> </w:t>
      </w:r>
      <w:r>
        <w:rPr>
          <w:b/>
          <w:bCs/>
          <w:snapToGrid w:val="0"/>
          <w:rtl/>
        </w:rPr>
        <w:t>ודא איהו רזא כו'.</w:t>
      </w:r>
      <w:r>
        <w:rPr>
          <w:snapToGrid w:val="0"/>
          <w:rtl/>
        </w:rPr>
        <w:t xml:space="preserve"> עיין מה שכתבנו לעיל מה שאמרו בזוהר חדש פרשת יתרו, ורוצה לומר, דבכל דבר קודם שנעשה - הוא בכח, רוצה לומר שיש ביד כח לעשות, וכח דידה הוא בכ"ח פרקין - כח מ"ה, ופועל - הוא העובדא עצמה:</w:t>
      </w:r>
    </w:p>
  </w:footnote>
  <w:footnote w:id="2294">
    <w:p w:rsidR="00A13282" w:rsidRDefault="00A13282">
      <w:pPr>
        <w:pStyle w:val="a5"/>
        <w:rPr>
          <w:rtl/>
        </w:rPr>
      </w:pPr>
      <w:r>
        <w:rPr>
          <w:rStyle w:val="a7"/>
          <w:rtl/>
        </w:rPr>
        <w:footnoteRef/>
      </w:r>
      <w:r>
        <w:rPr>
          <w:rtl/>
        </w:rPr>
        <w:t xml:space="preserve"> </w:t>
      </w:r>
      <w:r>
        <w:rPr>
          <w:b/>
          <w:bCs/>
          <w:snapToGrid w:val="0"/>
          <w:rtl/>
        </w:rPr>
        <w:t>וכלא בחכמה.</w:t>
      </w:r>
      <w:r>
        <w:rPr>
          <w:snapToGrid w:val="0"/>
          <w:rtl/>
        </w:rPr>
        <w:t xml:space="preserve"> רוצה לומר, אף הכח דעובדא הוא גם כן בחכמה, שכלולין כנ"ל, ולכן נקראת חכמה - כ"ח מ"ה, דשניהם בה, וזה שאומר אית חכמה כו' ואית חכמה כו':</w:t>
      </w:r>
    </w:p>
  </w:footnote>
  <w:footnote w:id="2295">
    <w:p w:rsidR="00A13282" w:rsidRDefault="00A13282">
      <w:pPr>
        <w:pStyle w:val="a5"/>
        <w:rPr>
          <w:rtl/>
        </w:rPr>
      </w:pPr>
      <w:r>
        <w:rPr>
          <w:rStyle w:val="a7"/>
          <w:rtl/>
        </w:rPr>
        <w:footnoteRef/>
      </w:r>
      <w:r>
        <w:rPr>
          <w:rtl/>
        </w:rPr>
        <w:t xml:space="preserve"> </w:t>
      </w:r>
      <w:r>
        <w:rPr>
          <w:b/>
          <w:bCs/>
          <w:snapToGrid w:val="0"/>
          <w:rtl/>
        </w:rPr>
        <w:t>ובהון רזא דדבורא כו'.</w:t>
      </w:r>
      <w:r>
        <w:rPr>
          <w:snapToGrid w:val="0"/>
          <w:rtl/>
        </w:rPr>
        <w:t xml:space="preserve"> רוצה לומר בנקודין, דאתווין אמר למעלה דהן לעובדא, והן שמושי השמות, ועיין לקמן צ"ב א' שם הדורש כו' וכן מה שאמר תגין אינון למחשבה:</w:t>
      </w:r>
    </w:p>
  </w:footnote>
  <w:footnote w:id="2296">
    <w:p w:rsidR="00A13282" w:rsidRDefault="00A13282">
      <w:pPr>
        <w:pStyle w:val="a5"/>
        <w:rPr>
          <w:rtl/>
        </w:rPr>
      </w:pPr>
      <w:r>
        <w:rPr>
          <w:rStyle w:val="a7"/>
          <w:rtl/>
        </w:rPr>
        <w:footnoteRef/>
      </w:r>
      <w:r>
        <w:rPr>
          <w:rtl/>
        </w:rPr>
        <w:t xml:space="preserve"> </w:t>
      </w:r>
      <w:r>
        <w:rPr>
          <w:b/>
          <w:bCs/>
          <w:snapToGrid w:val="0"/>
          <w:rtl/>
        </w:rPr>
        <w:t>ואינון ברזא כו'.</w:t>
      </w:r>
      <w:r>
        <w:rPr>
          <w:snapToGrid w:val="0"/>
          <w:rtl/>
        </w:rPr>
        <w:t xml:space="preserve"> דשם שלשה תגין: בזהב ובכסף ובנחשת, וכמו שאומר למטה תלת כתרין דש', תלת ספירות עלאין וכלהו כלילן כו', ועיין בתיקוני זוהר חדש צ' א' גליף גליפין כו' בכל מאני כסף וזהב ונחשת כו', וכמו שאומר לעיל דאינון שלשה זיונין:</w:t>
      </w:r>
    </w:p>
  </w:footnote>
  <w:footnote w:id="2297">
    <w:p w:rsidR="00A13282" w:rsidRDefault="00A13282">
      <w:pPr>
        <w:pStyle w:val="a5"/>
        <w:rPr>
          <w:rtl/>
        </w:rPr>
      </w:pPr>
      <w:r>
        <w:rPr>
          <w:rStyle w:val="a7"/>
          <w:rtl/>
        </w:rPr>
        <w:footnoteRef/>
      </w:r>
      <w:r>
        <w:rPr>
          <w:rtl/>
        </w:rPr>
        <w:t xml:space="preserve"> </w:t>
      </w:r>
      <w:r>
        <w:rPr>
          <w:b/>
          <w:bCs/>
          <w:snapToGrid w:val="0"/>
          <w:rtl/>
        </w:rPr>
        <w:t>וכלהון תליא כו' ואיהי כו'.</w:t>
      </w:r>
      <w:r>
        <w:rPr>
          <w:snapToGrid w:val="0"/>
          <w:rtl/>
        </w:rPr>
        <w:t xml:space="preserve"> רוצה לומר, שהתגין וטעמים ונקודין - כלולים הכל באותיות, דהכל להנהיג האותיות, וכלולין גם כן כולם באותיות וכמו שמפרש והולך וברזא דאת א' כו' אתוון דאיהו כליל כל כ"ו אתוון דהוא רזא דכ"ו, וכמו שאומר לעיל ה' ב' והכי סליק א' כו', ונקודין: קמץ, פתח - ברקיע דבו, ונקודה שתחתיה כנ"ל ל"ח ב', ושאר נקודין כמו שאומר להלן ע"ד ב' וכלא אתרמיז באת א', נקודא לעילא כו' ואיהו שורק, תלת נקודין, כלא איהו א', וכן טעמי - בסוד יו"ד ו' וכמו שאומר להלן [דף] מ"ם [עמוד] א' זרקא האי תגא כו', וכן סגולתא - ברזא דסגול, וכן רביע - ברזא דחולם, וכמו שאומר בכמה מקומות:</w:t>
      </w:r>
    </w:p>
  </w:footnote>
  <w:footnote w:id="2298">
    <w:p w:rsidR="00A13282" w:rsidRDefault="00A13282">
      <w:pPr>
        <w:pStyle w:val="a5"/>
        <w:rPr>
          <w:rtl/>
        </w:rPr>
      </w:pPr>
      <w:r>
        <w:rPr>
          <w:rStyle w:val="a7"/>
          <w:rtl/>
        </w:rPr>
        <w:footnoteRef/>
      </w:r>
      <w:r>
        <w:rPr>
          <w:rtl/>
        </w:rPr>
        <w:t xml:space="preserve"> </w:t>
      </w:r>
      <w:r>
        <w:rPr>
          <w:b/>
          <w:bCs/>
          <w:snapToGrid w:val="0"/>
          <w:rtl/>
        </w:rPr>
        <w:t>שבת הגדול כו'.</w:t>
      </w:r>
      <w:r>
        <w:rPr>
          <w:snapToGrid w:val="0"/>
          <w:rtl/>
        </w:rPr>
        <w:t xml:space="preserve"> מפרש והולך רזא דשלשה תגין דש':</w:t>
      </w:r>
    </w:p>
  </w:footnote>
  <w:footnote w:id="2299">
    <w:p w:rsidR="00A13282" w:rsidRDefault="00A13282">
      <w:pPr>
        <w:pStyle w:val="a5"/>
        <w:rPr>
          <w:rtl/>
        </w:rPr>
      </w:pPr>
      <w:r>
        <w:rPr>
          <w:rStyle w:val="a7"/>
          <w:rtl/>
        </w:rPr>
        <w:footnoteRef/>
      </w:r>
      <w:r>
        <w:rPr>
          <w:rtl/>
        </w:rPr>
        <w:t xml:space="preserve"> </w:t>
      </w:r>
      <w:r>
        <w:rPr>
          <w:b/>
          <w:bCs/>
          <w:snapToGrid w:val="0"/>
          <w:rtl/>
        </w:rPr>
        <w:t>ביה שקיל שבת.</w:t>
      </w:r>
      <w:r>
        <w:rPr>
          <w:snapToGrid w:val="0"/>
          <w:rtl/>
        </w:rPr>
        <w:t xml:space="preserve"> רוצה לומר, בתפארת - דהוא תורה, וכמו שאומר לעיל א' ואיהו כליל כל אתוון כו' עמודא דאמצעיתא, ונה"י נכללין בחג"ת כמו שאומר בתיקון ל', ע"ז א', וכמה דנצח כו' יום אחד כו'. ומלכות כוללת שלשה אבהן כידוע והיא ב"ת דשב"ת, ובשבת הקטן אמר בתיקון ע’ קכ"ה א' ודא רזא דשבת, ש' - שלשה ענפין וכו' תרין שבתות: אימא עלאה - בתלת דרגין, ואימא תתאה כו' עיין שם, אבל כאן אמר דבת - שלשה דרגין, ות' - תפארת, וצריך לומר בשבת הקטן כמו בגדול, דש' איהי כלילא משלש ספירות עלאין, ובת - חג"ת כליל נה"י:</w:t>
      </w:r>
    </w:p>
  </w:footnote>
  <w:footnote w:id="2300">
    <w:p w:rsidR="00A13282" w:rsidRDefault="00A13282">
      <w:pPr>
        <w:pStyle w:val="a5"/>
        <w:rPr>
          <w:rtl/>
        </w:rPr>
      </w:pPr>
      <w:r>
        <w:rPr>
          <w:rStyle w:val="a7"/>
          <w:rtl/>
        </w:rPr>
        <w:footnoteRef/>
      </w:r>
      <w:r>
        <w:rPr>
          <w:rtl/>
        </w:rPr>
        <w:t xml:space="preserve"> </w:t>
      </w:r>
      <w:r>
        <w:rPr>
          <w:b/>
          <w:bCs/>
          <w:snapToGrid w:val="0"/>
          <w:rtl/>
        </w:rPr>
        <w:t>וכלהו כלילן בש' דאיהי תיובתא שכינתא כו'.</w:t>
      </w:r>
      <w:r>
        <w:rPr>
          <w:snapToGrid w:val="0"/>
          <w:rtl/>
        </w:rPr>
        <w:t xml:space="preserve"> רוצה לומר דגם חג"ת כלילן בשלשה ווין - ענפין דש', כמו שאומר בכמה מקומות, ונקודה שמחברת השלשה ווין - הוא מלכות, שבה מתחברין בסוד שם ע"ב, ונה"י נכללין כנ"ל, והיא כוללת הכל כמו שאומר בבהיר ב' ב' שי"ן, כולל כל העולם ולמה כו' עיין שם, ומראה כאן כחו של שי"ן, וזה שאומר דאיהי תיובתא כו', דתשובה כוללת הכל, וזה לשון הבהיר שם: אר"א מאי דכתיב ה' איש כו', אמר ליה בני, אל"ף - ראש, יו"ד - שני לה, שי"ן - כולל כל העולם מפני שכתיב בה תשובה, ורוצה לומר דת' נוסף בה והשורש מתחיל משי"ן, ואמר שכתיב תשובה - כי שבת בינה כנ"ל, ובינה כוללת ג"ר בכל מקום כידוע, ובתשובה הוא שבת ו"ה, וזהו תשובה - שמחזיר הכל לשורש, והכל נכלל בשי"ן כנ"ל:</w:t>
      </w:r>
    </w:p>
  </w:footnote>
  <w:footnote w:id="2301">
    <w:p w:rsidR="00A13282" w:rsidRDefault="00A13282">
      <w:pPr>
        <w:pStyle w:val="a5"/>
        <w:rPr>
          <w:rtl/>
        </w:rPr>
      </w:pPr>
      <w:r>
        <w:rPr>
          <w:rStyle w:val="a7"/>
          <w:rtl/>
        </w:rPr>
        <w:footnoteRef/>
      </w:r>
      <w:r>
        <w:rPr>
          <w:rtl/>
        </w:rPr>
        <w:t xml:space="preserve"> </w:t>
      </w:r>
      <w:r>
        <w:rPr>
          <w:b/>
          <w:bCs/>
          <w:snapToGrid w:val="0"/>
          <w:rtl/>
        </w:rPr>
        <w:t>ועלה אתמר תפלת כו'.</w:t>
      </w:r>
      <w:r>
        <w:rPr>
          <w:snapToGrid w:val="0"/>
          <w:rtl/>
        </w:rPr>
        <w:t xml:space="preserve"> דתפלה - צריך לעומקא דכלא דכתיב ממעמקים, והיא כוללת כל פה, דכל התפלות שמתפללין לכל הכל כלולין בה, ולכן בכל התפלות צריך לכוין בה - עומקא דכולא כנ"ל:</w:t>
      </w:r>
    </w:p>
  </w:footnote>
  <w:footnote w:id="2302">
    <w:p w:rsidR="00A13282" w:rsidRDefault="00A13282">
      <w:pPr>
        <w:pStyle w:val="a5"/>
        <w:rPr>
          <w:rtl/>
        </w:rPr>
      </w:pPr>
      <w:r>
        <w:rPr>
          <w:rStyle w:val="a7"/>
          <w:rtl/>
        </w:rPr>
        <w:footnoteRef/>
      </w:r>
      <w:r>
        <w:rPr>
          <w:rtl/>
        </w:rPr>
        <w:t xml:space="preserve"> </w:t>
      </w:r>
      <w:r>
        <w:rPr>
          <w:b/>
          <w:bCs/>
          <w:snapToGrid w:val="0"/>
          <w:rtl/>
        </w:rPr>
        <w:t>אלא כל איהו כו'.</w:t>
      </w:r>
      <w:r>
        <w:rPr>
          <w:snapToGrid w:val="0"/>
          <w:rtl/>
        </w:rPr>
        <w:t xml:space="preserve"> רוצה לומר דנקרא כל בדרגיה עמודא דאמצעיתא דכולל יה"ו - בן י"ה, וחג"ת כמו שמפרש והולך, ונה"י לא פירש כנ"ל דכלולין בחג"ת, וכליל לשכינתא כמו שמפרש והולך, ולפי שהוא בבינה - בן י"ה לכן גם היא כוללת הכל:</w:t>
      </w:r>
    </w:p>
  </w:footnote>
  <w:footnote w:id="2303">
    <w:p w:rsidR="00A13282" w:rsidRDefault="00A13282">
      <w:pPr>
        <w:pStyle w:val="a5"/>
        <w:rPr>
          <w:rtl/>
        </w:rPr>
      </w:pPr>
      <w:r>
        <w:rPr>
          <w:rStyle w:val="a7"/>
          <w:rtl/>
        </w:rPr>
        <w:footnoteRef/>
      </w:r>
      <w:r>
        <w:rPr>
          <w:rtl/>
        </w:rPr>
        <w:t xml:space="preserve"> </w:t>
      </w:r>
      <w:r>
        <w:rPr>
          <w:b/>
          <w:bCs/>
          <w:snapToGrid w:val="0"/>
          <w:rtl/>
        </w:rPr>
        <w:t>ואיהו אות בצדיק כו'.</w:t>
      </w:r>
      <w:r>
        <w:rPr>
          <w:snapToGrid w:val="0"/>
          <w:rtl/>
        </w:rPr>
        <w:t xml:space="preserve"> מפרש והולך האיך כולל השכינה שנקראת אות - בצדיק, על שם ו' דיליה ואת דילה, כמו שמפרש והולך, וגוף וצדיק חד הוא כנ"ל, ובזה כוללה גם כן והוא כל פה, ובינה  גם כן על שמו כנ"ל:</w:t>
      </w:r>
    </w:p>
  </w:footnote>
  <w:footnote w:id="2304">
    <w:p w:rsidR="00A13282" w:rsidRDefault="00A13282">
      <w:pPr>
        <w:pStyle w:val="a5"/>
        <w:rPr>
          <w:rtl/>
        </w:rPr>
      </w:pPr>
      <w:r>
        <w:rPr>
          <w:rStyle w:val="a7"/>
          <w:rtl/>
        </w:rPr>
        <w:footnoteRef/>
      </w:r>
      <w:r>
        <w:rPr>
          <w:rtl/>
        </w:rPr>
        <w:t xml:space="preserve"> </w:t>
      </w:r>
      <w:r>
        <w:rPr>
          <w:b/>
          <w:bCs/>
          <w:snapToGrid w:val="0"/>
          <w:rtl/>
        </w:rPr>
        <w:t>ואיהו כליל כו'.</w:t>
      </w:r>
      <w:r>
        <w:rPr>
          <w:snapToGrid w:val="0"/>
          <w:rtl/>
        </w:rPr>
        <w:t xml:space="preserve"> מפרש והולך שנקרא תפלת כו' - שכולל כל התפלה, ואמר שכולל שלשה ווין: וא"ו דידיה, ושני ווין דשתי ההין, כמו שמפרש והולך, וזה שאומר למעלה איהו ממוצע בתלת כו', שהוא ו' דבינה ואיהו ממוצע בגופא כו' והוא וא"ו דידיה, ואיהו אות בצדיק כו' רוצה לומר ו' דאות כנ"ל, והוא וא"ו דמלכות וזה שאומר ואיהו כליל תרין כו' על שתי קצותיו דשתי ההי"ן כמו שמפרש והולך, וזה שאומר למעלה איהו ממוצע בתלת כו' - שהוא ו' דבינה, ואיהו ממוצע בגופא כו' - והוא וא"ו דידיה, ואיהו אות בצדיק כו' רוצה לומר ו' דאות כנ"ל, והוא וא"ו דמלכות, וזה שאומר ואיהו כליל תרין כו' על שתי קצותיו, דשתי ההי"ן - הן שתי קצותיו, מקצה השמים ועד קצה השמים, וכמו שאומר למטה ו' דאיהו במציעות ה' ה' כו', והן ווין של הההין, רגל שמאלי שבתוכם ועיין למטה:</w:t>
      </w:r>
    </w:p>
  </w:footnote>
  <w:footnote w:id="2305">
    <w:p w:rsidR="00A13282" w:rsidRDefault="00A13282">
      <w:pPr>
        <w:pStyle w:val="a5"/>
        <w:rPr>
          <w:rtl/>
        </w:rPr>
      </w:pPr>
      <w:r>
        <w:rPr>
          <w:rStyle w:val="a7"/>
          <w:rtl/>
        </w:rPr>
        <w:footnoteRef/>
      </w:r>
      <w:r>
        <w:rPr>
          <w:rtl/>
        </w:rPr>
        <w:t xml:space="preserve"> </w:t>
      </w:r>
      <w:r>
        <w:rPr>
          <w:b/>
          <w:bCs/>
          <w:snapToGrid w:val="0"/>
          <w:rtl/>
        </w:rPr>
        <w:t>דאתמר בהון ד"ו פרצופים.</w:t>
      </w:r>
      <w:r>
        <w:rPr>
          <w:snapToGrid w:val="0"/>
          <w:rtl/>
        </w:rPr>
        <w:t xml:space="preserve"> רוצה לומר דעל ה' אמרו ד"ו פרצופים, דו' שבתוכה, אלמא כליל ו' בה, והוא עליו זכר של ד':</w:t>
      </w:r>
    </w:p>
  </w:footnote>
  <w:footnote w:id="2306">
    <w:p w:rsidR="00A13282" w:rsidRDefault="00A13282">
      <w:pPr>
        <w:pStyle w:val="a5"/>
        <w:rPr>
          <w:rtl/>
        </w:rPr>
      </w:pPr>
      <w:r>
        <w:rPr>
          <w:rStyle w:val="a7"/>
          <w:rtl/>
        </w:rPr>
        <w:footnoteRef/>
      </w:r>
      <w:r>
        <w:rPr>
          <w:rtl/>
        </w:rPr>
        <w:t xml:space="preserve"> </w:t>
      </w:r>
      <w:r>
        <w:rPr>
          <w:b/>
          <w:bCs/>
          <w:snapToGrid w:val="0"/>
          <w:rtl/>
        </w:rPr>
        <w:t>ודא איהו שיעור קומה.</w:t>
      </w:r>
      <w:r>
        <w:rPr>
          <w:snapToGrid w:val="0"/>
          <w:rtl/>
        </w:rPr>
        <w:t xml:space="preserve"> דכולל כל העשר ספירות, והכל בוא"ו, וא"ו הוא שיעור קומה, כמו שאומר לעיל ל"ז ב', ואמר דאתמר ביה עשר אמות, אמות - מסטרא דאת ו', ועשר - מסטרא דכליל כל עשר ספירות, ואמר במאי סליק כו' שכולל כל הוי"ה: וא"ו, שתי ההין בשלשה ווין כנ"ל, ויו"ד כמו שאומר כאן:</w:t>
      </w:r>
    </w:p>
  </w:footnote>
  <w:footnote w:id="2307">
    <w:p w:rsidR="00A13282" w:rsidRDefault="00A13282">
      <w:pPr>
        <w:pStyle w:val="a5"/>
        <w:rPr>
          <w:rtl/>
        </w:rPr>
      </w:pPr>
      <w:r>
        <w:rPr>
          <w:rStyle w:val="a7"/>
          <w:rtl/>
        </w:rPr>
        <w:footnoteRef/>
      </w:r>
      <w:r>
        <w:rPr>
          <w:rtl/>
        </w:rPr>
        <w:t xml:space="preserve"> </w:t>
      </w:r>
      <w:r>
        <w:rPr>
          <w:b/>
          <w:bCs/>
          <w:snapToGrid w:val="0"/>
          <w:rtl/>
        </w:rPr>
        <w:t>קם סבא כו'.</w:t>
      </w:r>
      <w:r>
        <w:rPr>
          <w:snapToGrid w:val="0"/>
          <w:rtl/>
        </w:rPr>
        <w:t xml:space="preserve"> מפרש דבריו בביאור יותר:</w:t>
      </w:r>
    </w:p>
  </w:footnote>
  <w:footnote w:id="2308">
    <w:p w:rsidR="00A13282" w:rsidRDefault="00A13282">
      <w:pPr>
        <w:pStyle w:val="a5"/>
        <w:rPr>
          <w:rtl/>
        </w:rPr>
      </w:pPr>
      <w:r>
        <w:rPr>
          <w:rStyle w:val="a7"/>
          <w:rtl/>
        </w:rPr>
        <w:footnoteRef/>
      </w:r>
      <w:r>
        <w:rPr>
          <w:rtl/>
        </w:rPr>
        <w:t xml:space="preserve"> </w:t>
      </w:r>
      <w:r>
        <w:rPr>
          <w:b/>
          <w:bCs/>
          <w:snapToGrid w:val="0"/>
          <w:rtl/>
        </w:rPr>
        <w:t>ודאי ה' כו'.</w:t>
      </w:r>
      <w:r>
        <w:rPr>
          <w:snapToGrid w:val="0"/>
          <w:rtl/>
        </w:rPr>
        <w:t xml:space="preserve"> דהוא לא כליל שתי ההין בו אלא הרגל שמאלי לבד - בח"י ברכאין דביה, והוא אמר שכל הההין רמוזין שם כמו שמפרש והולך אית בה כו', וכן במלכות, וכולן כלולין בו, והוא בשלשה ווין הנ"ל - אל שני קצותיו כו' כנ"ל אבל מכל מקום כל הההין רמוזין בו כנ"ל:</w:t>
      </w:r>
    </w:p>
  </w:footnote>
  <w:footnote w:id="2309">
    <w:p w:rsidR="00A13282" w:rsidRDefault="00A13282">
      <w:pPr>
        <w:pStyle w:val="a5"/>
        <w:rPr>
          <w:rtl/>
        </w:rPr>
      </w:pPr>
      <w:r>
        <w:rPr>
          <w:rStyle w:val="a7"/>
          <w:rtl/>
        </w:rPr>
        <w:footnoteRef/>
      </w:r>
      <w:r>
        <w:rPr>
          <w:rtl/>
        </w:rPr>
        <w:t xml:space="preserve"> </w:t>
      </w:r>
      <w:r>
        <w:rPr>
          <w:b/>
          <w:bCs/>
          <w:snapToGrid w:val="0"/>
          <w:rtl/>
        </w:rPr>
        <w:t>שתי כתפות כו'.</w:t>
      </w:r>
      <w:r>
        <w:rPr>
          <w:snapToGrid w:val="0"/>
          <w:rtl/>
        </w:rPr>
        <w:t xml:space="preserve"> עתה מפרש שתי קצותיו הנ"ל דאתמר ברישא דקרא. שתי כתפות, וכתף הוא חושבן ת"ק שנה דה"א, והן ימינא ושמאלא, דה"א עילאה היא בימינא, וה"א תתאה בשמאלא, כמו שאומר לקמן ס"ח ב' מנרתא בדרום ופתורא כו' ועיין מה שבארנו שם, וכתף הוא צורת ד', ועם קצה שבגוף נעשה ה', וכן בכתף השני, והן גופא דכולל שלשה - חג"ת - בתרי סטרין דיליה, רוצה לומר של הגוף עצמו - כולל ח"ג, והוא עצמו באמצע - בחוט השדרה כידוע, וזהו וחבר - ע"י חבורא דשתי קצוות - נעשין ה', כמו שמפרש והולך, ועתה מפרש מה שאמר למעלה ודא איהו שיעור קומה כו', ואמר ו' דאיהו במציעות כו', ורוצה לומר, וא"ו העצמי של שם</w:t>
      </w:r>
      <w:r>
        <w:rPr>
          <w:snapToGrid w:val="0"/>
        </w:rPr>
        <w:t>:</w:t>
      </w:r>
    </w:p>
  </w:footnote>
  <w:footnote w:id="2310">
    <w:p w:rsidR="00A13282" w:rsidRDefault="00A13282">
      <w:pPr>
        <w:pStyle w:val="a5"/>
        <w:rPr>
          <w:rtl/>
        </w:rPr>
      </w:pPr>
      <w:r>
        <w:rPr>
          <w:rStyle w:val="a7"/>
          <w:rtl/>
        </w:rPr>
        <w:footnoteRef/>
      </w:r>
      <w:r>
        <w:rPr>
          <w:rtl/>
        </w:rPr>
        <w:t xml:space="preserve"> </w:t>
      </w:r>
      <w:r>
        <w:rPr>
          <w:b/>
          <w:bCs/>
          <w:snapToGrid w:val="0"/>
          <w:rtl/>
        </w:rPr>
        <w:t>ברזא דז' דכל תגין כו'.</w:t>
      </w:r>
      <w:r>
        <w:rPr>
          <w:snapToGrid w:val="0"/>
          <w:rtl/>
        </w:rPr>
        <w:t xml:space="preserve"> רוצה לומר, לכן ו"י חשיב כחדא, ויוד הזה הוא מלכות ברזא דתגא, כנ"ל ל"ח ב', וזהו וחצי אמה, מצה פרוסה, ברזא דאת ג', והוא הוי"ה דבה יו"ד למטה, דבה רזא דמשכנא, וזה שאומר דכל תגין כו'</w:t>
      </w:r>
      <w:r>
        <w:rPr>
          <w:snapToGrid w:val="0"/>
        </w:rPr>
        <w:t>:</w:t>
      </w:r>
    </w:p>
  </w:footnote>
  <w:footnote w:id="2311">
    <w:p w:rsidR="00A13282" w:rsidRDefault="00A13282">
      <w:pPr>
        <w:pStyle w:val="a5"/>
        <w:rPr>
          <w:rtl/>
        </w:rPr>
      </w:pPr>
      <w:r>
        <w:rPr>
          <w:rStyle w:val="a7"/>
          <w:rtl/>
        </w:rPr>
        <w:footnoteRef/>
      </w:r>
      <w:r>
        <w:rPr>
          <w:rtl/>
        </w:rPr>
        <w:t xml:space="preserve"> </w:t>
      </w:r>
      <w:r>
        <w:rPr>
          <w:b/>
          <w:bCs/>
          <w:snapToGrid w:val="0"/>
          <w:rtl/>
        </w:rPr>
        <w:t>דכל תגין ביה אתקריאו.</w:t>
      </w:r>
      <w:r>
        <w:rPr>
          <w:snapToGrid w:val="0"/>
          <w:rtl/>
        </w:rPr>
        <w:t xml:space="preserve"> רוצה לומר, תגא - הוא ז' זיונין, ובז' אותיות, והוא י' על ו' - ז'</w:t>
      </w:r>
      <w:r>
        <w:rPr>
          <w:snapToGrid w:val="0"/>
        </w:rPr>
        <w:t>:</w:t>
      </w:r>
    </w:p>
  </w:footnote>
  <w:footnote w:id="2312">
    <w:p w:rsidR="00A13282" w:rsidRDefault="00A13282">
      <w:pPr>
        <w:pStyle w:val="a5"/>
        <w:rPr>
          <w:rtl/>
        </w:rPr>
      </w:pPr>
      <w:r>
        <w:rPr>
          <w:rStyle w:val="a7"/>
          <w:rtl/>
        </w:rPr>
        <w:footnoteRef/>
      </w:r>
      <w:r>
        <w:rPr>
          <w:rtl/>
        </w:rPr>
        <w:t xml:space="preserve"> </w:t>
      </w:r>
      <w:r>
        <w:rPr>
          <w:b/>
          <w:bCs/>
          <w:snapToGrid w:val="0"/>
          <w:rtl/>
        </w:rPr>
        <w:t>ביה אתקריאו בכל אתר אמה כו'.</w:t>
      </w:r>
      <w:r>
        <w:rPr>
          <w:snapToGrid w:val="0"/>
          <w:rtl/>
        </w:rPr>
        <w:t xml:space="preserve"> מפרש חצי האמה כו'</w:t>
      </w:r>
      <w:r>
        <w:rPr>
          <w:snapToGrid w:val="0"/>
        </w:rPr>
        <w:t>:</w:t>
      </w:r>
    </w:p>
  </w:footnote>
  <w:footnote w:id="2313">
    <w:p w:rsidR="00A13282" w:rsidRDefault="00A13282">
      <w:pPr>
        <w:pStyle w:val="a5"/>
        <w:rPr>
          <w:rtl/>
        </w:rPr>
      </w:pPr>
      <w:r>
        <w:rPr>
          <w:rStyle w:val="a7"/>
          <w:rtl/>
        </w:rPr>
        <w:footnoteRef/>
      </w:r>
      <w:r>
        <w:rPr>
          <w:rtl/>
        </w:rPr>
        <w:t xml:space="preserve"> </w:t>
      </w:r>
      <w:r>
        <w:rPr>
          <w:b/>
          <w:bCs/>
          <w:snapToGrid w:val="0"/>
          <w:rtl/>
        </w:rPr>
        <w:t>ג"ט ודא ג'.</w:t>
      </w:r>
      <w:r>
        <w:rPr>
          <w:snapToGrid w:val="0"/>
          <w:rtl/>
        </w:rPr>
        <w:t xml:space="preserve"> רוצה לומר שלשה יודין דכלילין ביוד: קוצא וגזעא ושבילא, והן שלש נקודין דאיהי כליל לן, וכמו שאומר לעיל ל"ח א' והוא"ו וא"ו כמו שאומר ושיעורא דיוד הוא בארכו חצי דוא"ו וזה שאומר דתרין יודין כו', ורוצה לומר, אם תמתח יוד השני, ג' הנ"ל, קוצא כו', ותעמיד תחת היו"ד הראשון - יהיה שעורא דוא"ו, וכמו שאומר בזוהר פרשת תצוה קפ"א א' ובספרא דאדם קדמאה בדיוקנא דאתוון כו' וכן שעורא דיליה כגוונא דא כו', וזהו וחצי האמה, ואמר כאן באורך וברוחב - יו"ד וא"ו, באורך הוא מסטרא דיוד עילאה דביה סליק לעשר, וברוחב - מסטרא דאת יוד תתאה כנ"ל, וה"ה - הן שתי כתפות כנ"ל, ואע"ג דאינון לא כתיבי אצל קרשים, כתיב בהו שתי ידות לקרש כו', והן שתי כתפות, ועוד שתי ההין מפרש לקמן וחמשה בריחים וחמשה כו', והוא נגד ו"י שתי פעמים כנ"ל באורך ורוחב - מסטרא דזו"ן, כמו שאמרו (שבת ו ע"א) ברשות היחיד ארכו כו'</w:t>
      </w:r>
      <w:r>
        <w:rPr>
          <w:snapToGrid w:val="0"/>
        </w:rPr>
        <w:t>:</w:t>
      </w:r>
    </w:p>
  </w:footnote>
  <w:footnote w:id="2314">
    <w:p w:rsidR="00A13282" w:rsidRDefault="00A13282">
      <w:pPr>
        <w:pStyle w:val="a5"/>
        <w:rPr>
          <w:rtl/>
        </w:rPr>
      </w:pPr>
      <w:r>
        <w:rPr>
          <w:rStyle w:val="a7"/>
          <w:rtl/>
        </w:rPr>
        <w:footnoteRef/>
      </w:r>
      <w:r>
        <w:rPr>
          <w:rtl/>
        </w:rPr>
        <w:t xml:space="preserve"> </w:t>
      </w:r>
      <w:r>
        <w:rPr>
          <w:b/>
          <w:bCs/>
          <w:snapToGrid w:val="0"/>
          <w:rtl/>
        </w:rPr>
        <w:t>ועשר אמות דא איהו שיעורא דגופא כו'.</w:t>
      </w:r>
      <w:r>
        <w:rPr>
          <w:snapToGrid w:val="0"/>
          <w:rtl/>
        </w:rPr>
        <w:t xml:space="preserve"> והוא ברזא דוא"ו יו"ד כנ"ל, וחמשה בריחים כו' - הן ה"ה, וכמו שאמרו בזוהר פרשת בלק קפ"ז א' האחד והשנית אמר קרא כו'. ויוד הזה - יוד זעירא הוא, ברזא דאת ד', שלש נקודין ברזא דאת ג', ונקודה העשירית הכלולה מכולם, כמו שאומר לעיל ל"ח א' עיין שם, וזהו ו"י ברזא דז', שנעשית הוא"ו - זיין, והוא שניתוסף בו הנקודה הכלולה - יוד הנ"ל, והיא כלולה עוד משלשה - הרי עשרה, ולכן האורך והרוחב הן שוין - ששניהם ברזא דעשרה, אלא ששם ביוד עילאה, דמעצמה עשרה וכלולה בוא"ו - לכן הן באמות, וכאן בחיבורא ולא בכלילות - לכן הן טפחים, ועוד דכאן בחינה העשירית - לית לה מגרמא כלום, ולכן הן תשעה מה שאין כן שם</w:t>
      </w:r>
      <w:r>
        <w:rPr>
          <w:snapToGrid w:val="0"/>
        </w:rPr>
        <w:t>:</w:t>
      </w:r>
    </w:p>
  </w:footnote>
  <w:footnote w:id="2315">
    <w:p w:rsidR="00A13282" w:rsidRDefault="00A13282">
      <w:pPr>
        <w:pStyle w:val="a5"/>
        <w:rPr>
          <w:rtl/>
        </w:rPr>
      </w:pPr>
      <w:r>
        <w:rPr>
          <w:rStyle w:val="a7"/>
          <w:rtl/>
        </w:rPr>
        <w:footnoteRef/>
      </w:r>
      <w:r>
        <w:rPr>
          <w:rtl/>
        </w:rPr>
        <w:t xml:space="preserve"> </w:t>
      </w:r>
      <w:r>
        <w:rPr>
          <w:b/>
          <w:bCs/>
          <w:snapToGrid w:val="0"/>
          <w:rtl/>
        </w:rPr>
        <w:t>לקבל עשרה דברים כו' ולא אשתאר כו'.</w:t>
      </w:r>
      <w:r>
        <w:rPr>
          <w:snapToGrid w:val="0"/>
          <w:rtl/>
        </w:rPr>
        <w:t xml:space="preserve"> דהיתה ברזא דהוי"ה - י' עילאה, ועתה ברזא דיוד תתאה - י' זעירא דאשתאר עמנו, והיא - לית לה אלא ד', וזה שנעשה יוד - ד', וכוס של ברכה הוא הגוף, כמו שאומר למטה ה' זעירא גופא - בית קיבול דכלהו, רוצה לומר דאלקים - מלא י"ה, ולכן נקרא גם כן אלקים, והוא חושבן כוס כמו שאומר לקמן סוף תיקון מ”ז, והיא בית קיבול לברכה, אלקים דבינה, כמו שאומר לקמן שם, ובינה - היא ברכה כמו שאומר לעיל כ"ד א' תליתאה בברכה כו' ושאר מקומות ועיין מה שנבאר למטה:</w:t>
      </w:r>
    </w:p>
  </w:footnote>
  <w:footnote w:id="2316">
    <w:p w:rsidR="00A13282" w:rsidRDefault="00A13282">
      <w:pPr>
        <w:pStyle w:val="a5"/>
        <w:rPr>
          <w:rtl/>
        </w:rPr>
      </w:pPr>
      <w:r>
        <w:rPr>
          <w:rStyle w:val="a7"/>
          <w:rtl/>
        </w:rPr>
        <w:footnoteRef/>
      </w:r>
      <w:r>
        <w:rPr>
          <w:rtl/>
        </w:rPr>
        <w:t xml:space="preserve"> </w:t>
      </w:r>
      <w:r>
        <w:rPr>
          <w:b/>
          <w:bCs/>
          <w:snapToGrid w:val="0"/>
          <w:rtl/>
        </w:rPr>
        <w:t>הקשר כו' בין קשר לקשר.</w:t>
      </w:r>
      <w:r>
        <w:rPr>
          <w:snapToGrid w:val="0"/>
          <w:rtl/>
        </w:rPr>
        <w:t xml:space="preserve"> רוצה לומר דבין קשר לקשר - הוא אמה, והן עשר כנ"ל:</w:t>
      </w:r>
    </w:p>
  </w:footnote>
  <w:footnote w:id="2317">
    <w:p w:rsidR="00A13282" w:rsidRDefault="00A13282">
      <w:pPr>
        <w:pStyle w:val="a5"/>
        <w:rPr>
          <w:rtl/>
        </w:rPr>
      </w:pPr>
      <w:r>
        <w:rPr>
          <w:rStyle w:val="a7"/>
          <w:rtl/>
        </w:rPr>
        <w:footnoteRef/>
      </w:r>
      <w:r>
        <w:rPr>
          <w:rtl/>
        </w:rPr>
        <w:t xml:space="preserve"> </w:t>
      </w:r>
      <w:r>
        <w:rPr>
          <w:b/>
          <w:bCs/>
          <w:snapToGrid w:val="0"/>
          <w:rtl/>
        </w:rPr>
        <w:t>וחמשה כו'.</w:t>
      </w:r>
      <w:r>
        <w:rPr>
          <w:snapToGrid w:val="0"/>
          <w:rtl/>
        </w:rPr>
        <w:t xml:space="preserve"> עתה מפרש שתי ההין, כמו שאמר למעלה, ונשלם הגוף בהויה, וכאן הוא בהוי"ה עילאה - לכן עשר אמות כנ"ל, וה"ה דבריחים - הם שכינה עילאה ותתאה, כמו שמפרש והולך</w:t>
      </w:r>
      <w:r>
        <w:rPr>
          <w:snapToGrid w:val="0"/>
        </w:rPr>
        <w:t>:</w:t>
      </w:r>
    </w:p>
  </w:footnote>
  <w:footnote w:id="2318">
    <w:p w:rsidR="00A13282" w:rsidRDefault="00A13282">
      <w:pPr>
        <w:pStyle w:val="a5"/>
        <w:rPr>
          <w:rtl/>
        </w:rPr>
      </w:pPr>
      <w:r>
        <w:rPr>
          <w:rStyle w:val="a7"/>
          <w:rtl/>
        </w:rPr>
        <w:footnoteRef/>
      </w:r>
      <w:r>
        <w:rPr>
          <w:rtl/>
        </w:rPr>
        <w:t xml:space="preserve"> </w:t>
      </w:r>
      <w:r>
        <w:rPr>
          <w:b/>
          <w:bCs/>
          <w:snapToGrid w:val="0"/>
          <w:rtl/>
        </w:rPr>
        <w:t>ואינון כולהו מדה.</w:t>
      </w:r>
      <w:r>
        <w:rPr>
          <w:snapToGrid w:val="0"/>
          <w:rtl/>
        </w:rPr>
        <w:t xml:space="preserve"> רוצה לומר דכל אצבע ואצבע הוא מדה אחרת, והן חמש מדות דקרא, כמו שמפרש והולך ואינון כו', והא אוקמוהו, ורוצה לומר בריש תיקון ה', ואינון חמש ועלייהו אתמר מי מדד כו' חמש ספירות, כמו שאומר שם, ואמר שם דאינון ה' עילאה - בשכינה עילאה, עיין שם ובסוף תקון י”ח ועלייהו אתמר מי מדד כו', וזה שאומר ואינון א' א' כו', וכן לעיל בהקדמה ד' ב', חמש אור דיומא קדמאה לקבל ה' קדמאה כו':</w:t>
      </w:r>
    </w:p>
  </w:footnote>
  <w:footnote w:id="2319">
    <w:p w:rsidR="00A13282" w:rsidRDefault="00A13282">
      <w:pPr>
        <w:pStyle w:val="a5"/>
        <w:rPr>
          <w:rtl/>
        </w:rPr>
      </w:pPr>
      <w:r>
        <w:rPr>
          <w:rStyle w:val="a7"/>
          <w:rtl/>
        </w:rPr>
        <w:footnoteRef/>
      </w:r>
      <w:r>
        <w:rPr>
          <w:rtl/>
        </w:rPr>
        <w:t xml:space="preserve"> </w:t>
      </w:r>
      <w:r>
        <w:rPr>
          <w:b/>
          <w:bCs/>
          <w:snapToGrid w:val="0"/>
          <w:rtl/>
        </w:rPr>
        <w:t>אינון ברזא דאלקים כו'.</w:t>
      </w:r>
      <w:r>
        <w:rPr>
          <w:snapToGrid w:val="0"/>
          <w:rtl/>
        </w:rPr>
        <w:t xml:space="preserve"> דאלקים - נקראת בינה, וכן מלכות, וכמו שאומר למטה, וכאן רוצה לומר ה' עילאה, וכמו שמפרש והולך ורזא דאלקים כו' בינה ודאי, שכוללת בן י"ה, ובן הוא מלא כמו שאומר לקמן ריש תיקון ל"ח ושאר מקומות</w:t>
      </w:r>
      <w:r>
        <w:rPr>
          <w:snapToGrid w:val="0"/>
        </w:rPr>
        <w:t>:</w:t>
      </w:r>
    </w:p>
  </w:footnote>
  <w:footnote w:id="2320">
    <w:p w:rsidR="00A13282" w:rsidRDefault="00A13282">
      <w:pPr>
        <w:pStyle w:val="a5"/>
        <w:rPr>
          <w:rtl/>
        </w:rPr>
      </w:pPr>
      <w:r>
        <w:rPr>
          <w:rStyle w:val="a7"/>
          <w:rtl/>
        </w:rPr>
        <w:footnoteRef/>
      </w:r>
      <w:r>
        <w:rPr>
          <w:rtl/>
        </w:rPr>
        <w:t xml:space="preserve"> </w:t>
      </w:r>
      <w:r>
        <w:rPr>
          <w:b/>
          <w:bCs/>
          <w:snapToGrid w:val="0"/>
          <w:rtl/>
        </w:rPr>
        <w:t>והכי ה' אלפין כו'.</w:t>
      </w:r>
      <w:r>
        <w:rPr>
          <w:snapToGrid w:val="0"/>
          <w:rtl/>
        </w:rPr>
        <w:t xml:space="preserve"> עיין לעיל ריש תיקון ה' שם וחמש זימנין אור אינון בעובדא דבראשית ואינון ה' ועלייהו אתמר מי מדד כו' ה' עילאה - חמש אור, ה' תתאה - חמש גוונין דנהרין בהון חמש אור וכד אתפשטא כו', ורוצה לומר שלכן הן שתי פעמים חמש אצבעאן כנ"ל - שתי ההין, שתי פעמים ה' אור, אור וגוונין:</w:t>
      </w:r>
    </w:p>
  </w:footnote>
  <w:footnote w:id="2321">
    <w:p w:rsidR="00A13282" w:rsidRDefault="00A13282">
      <w:pPr>
        <w:pStyle w:val="a5"/>
        <w:rPr>
          <w:rtl/>
        </w:rPr>
      </w:pPr>
      <w:r>
        <w:rPr>
          <w:rStyle w:val="a7"/>
          <w:rtl/>
        </w:rPr>
        <w:footnoteRef/>
      </w:r>
      <w:r>
        <w:rPr>
          <w:rtl/>
        </w:rPr>
        <w:t xml:space="preserve"> </w:t>
      </w:r>
      <w:r>
        <w:rPr>
          <w:b/>
          <w:bCs/>
          <w:snapToGrid w:val="0"/>
          <w:rtl/>
        </w:rPr>
        <w:t>ואלין אינון תלת כו'.</w:t>
      </w:r>
      <w:r>
        <w:rPr>
          <w:snapToGrid w:val="0"/>
          <w:rtl/>
        </w:rPr>
        <w:t xml:space="preserve"> רוצה לומר יה"ו דאלקים - דכוללין כל אלקים והחמש נקודין כנ"ל, ואיהי ה' רביעאה - ה' אותיות דאלקים, שכוללת כל שלש בחינות דאלקים וכמו שאומר לקמן ריש תיקון ל"ח עיין שם, וזה שאומר ה' זעירא - גופא, רוצה לומר לגבי נר"ן - בית קיבול דכולהו, רוצה לומר דתלת הנ"ל, וזה שאומר למעלה והכי ה' אלפין כלילין בה' תתאה, רוצה לומר דה' עילאה הוא אלקים, מלא י"ה - כליל ה' נקודין בחושבן, וה' זעירא - כליל להון בה' אתוון דאלקים:</w:t>
      </w:r>
    </w:p>
  </w:footnote>
  <w:footnote w:id="2322">
    <w:p w:rsidR="00A13282" w:rsidRDefault="00A13282">
      <w:pPr>
        <w:pStyle w:val="a5"/>
        <w:rPr>
          <w:rtl/>
        </w:rPr>
      </w:pPr>
      <w:r>
        <w:rPr>
          <w:rStyle w:val="a7"/>
          <w:rtl/>
        </w:rPr>
        <w:footnoteRef/>
      </w:r>
      <w:r>
        <w:rPr>
          <w:rtl/>
        </w:rPr>
        <w:t xml:space="preserve"> </w:t>
      </w:r>
      <w:r>
        <w:rPr>
          <w:b/>
          <w:bCs/>
          <w:snapToGrid w:val="0"/>
          <w:rtl/>
        </w:rPr>
        <w:t>פתילה דאתאחדן כו' דאיהו נר כו'.</w:t>
      </w:r>
      <w:r>
        <w:rPr>
          <w:snapToGrid w:val="0"/>
          <w:rtl/>
        </w:rPr>
        <w:t xml:space="preserve"> רוצה לומר, נ"ר - הוא נפש רוח, ונשמת כו', וכתיב נר - דכולהו כלילין בנר, ומה שלא נכלל בנר רק נפש רוח, ואמר נשמה לחודא - משום דההוא נהורא עילאה אינו נראה בנר, ושריא עלייהו בהעלם</w:t>
      </w:r>
      <w:r>
        <w:rPr>
          <w:snapToGrid w:val="0"/>
        </w:rPr>
        <w:t>:</w:t>
      </w:r>
    </w:p>
  </w:footnote>
  <w:footnote w:id="2323">
    <w:p w:rsidR="00A13282" w:rsidRDefault="00A13282">
      <w:pPr>
        <w:pStyle w:val="a5"/>
        <w:rPr>
          <w:rtl/>
        </w:rPr>
      </w:pPr>
      <w:r>
        <w:rPr>
          <w:rStyle w:val="a7"/>
          <w:rtl/>
        </w:rPr>
        <w:footnoteRef/>
      </w:r>
      <w:r>
        <w:rPr>
          <w:rtl/>
        </w:rPr>
        <w:t xml:space="preserve"> </w:t>
      </w:r>
      <w:r>
        <w:rPr>
          <w:b/>
          <w:bCs/>
          <w:snapToGrid w:val="0"/>
          <w:rtl/>
        </w:rPr>
        <w:t>זית כו'.</w:t>
      </w:r>
      <w:r>
        <w:rPr>
          <w:snapToGrid w:val="0"/>
          <w:rtl/>
        </w:rPr>
        <w:t xml:space="preserve"> רוצה לומר השמן דעל גבי פתילה - דרגא דיסוד, והוא זית משבעה מינין כידוע:</w:t>
      </w:r>
    </w:p>
  </w:footnote>
  <w:footnote w:id="2324">
    <w:p w:rsidR="00A13282" w:rsidRDefault="00A13282">
      <w:pPr>
        <w:pStyle w:val="a5"/>
        <w:rPr>
          <w:rtl/>
        </w:rPr>
      </w:pPr>
      <w:r>
        <w:rPr>
          <w:rStyle w:val="a7"/>
          <w:rtl/>
        </w:rPr>
        <w:footnoteRef/>
      </w:r>
      <w:r>
        <w:rPr>
          <w:rtl/>
        </w:rPr>
        <w:t xml:space="preserve"> </w:t>
      </w:r>
      <w:r>
        <w:rPr>
          <w:b/>
          <w:bCs/>
          <w:rtl/>
        </w:rPr>
        <w:t>דאתמר ביה שמן זית זך כתית כו' באינון זיתים כו'.</w:t>
      </w:r>
      <w:r>
        <w:rPr>
          <w:rtl/>
        </w:rPr>
        <w:t xml:space="preserve"> </w:t>
      </w:r>
      <w:r>
        <w:rPr>
          <w:snapToGrid w:val="0"/>
          <w:rtl/>
        </w:rPr>
        <w:t>רוצה לומר דזית - הוא האבר עצמו של היסוד, והוא כתיש כו' להוציא הזרע מכל אברי הגוף, ולכן נקרא כל, והזרע - הוא השמן, וניתן על גבי פתילה - בנוק', ועיין בזוהר פרשת פנחס רמ"ז א' ב' בלולה בשמן כתית כו' מאי כתית עיין שם היטב, ואמר זך - כ"ז אתוון דאתה</w:t>
      </w:r>
      <w:r>
        <w:rPr>
          <w:snapToGrid w:val="0"/>
        </w:rPr>
        <w:t>:</w:t>
      </w:r>
    </w:p>
  </w:footnote>
  <w:footnote w:id="2325">
    <w:p w:rsidR="00A13282" w:rsidRDefault="00A13282">
      <w:pPr>
        <w:pStyle w:val="a5"/>
        <w:rPr>
          <w:rtl/>
        </w:rPr>
      </w:pPr>
      <w:r>
        <w:rPr>
          <w:rStyle w:val="a7"/>
          <w:rtl/>
        </w:rPr>
        <w:footnoteRef/>
      </w:r>
      <w:r>
        <w:rPr>
          <w:rtl/>
        </w:rPr>
        <w:t xml:space="preserve"> </w:t>
      </w:r>
      <w:r>
        <w:rPr>
          <w:b/>
          <w:bCs/>
          <w:snapToGrid w:val="0"/>
          <w:rtl/>
        </w:rPr>
        <w:t>ודא ברית כו'.</w:t>
      </w:r>
      <w:r>
        <w:rPr>
          <w:snapToGrid w:val="0"/>
          <w:rtl/>
        </w:rPr>
        <w:t xml:space="preserve"> רוצה לומר הזית הוא כתיש לגבי שכינה כנ"ל, וכמו שאומר בזוהר פרשת פנחס שם עיין שם</w:t>
      </w:r>
      <w:r>
        <w:rPr>
          <w:snapToGrid w:val="0"/>
        </w:rPr>
        <w:t>:</w:t>
      </w:r>
    </w:p>
  </w:footnote>
  <w:footnote w:id="2326">
    <w:p w:rsidR="00A13282" w:rsidRDefault="00A13282">
      <w:pPr>
        <w:pStyle w:val="a5"/>
        <w:rPr>
          <w:rtl/>
        </w:rPr>
      </w:pPr>
      <w:r>
        <w:rPr>
          <w:rStyle w:val="a7"/>
          <w:rtl/>
        </w:rPr>
        <w:footnoteRef/>
      </w:r>
      <w:r>
        <w:rPr>
          <w:rtl/>
        </w:rPr>
        <w:t xml:space="preserve"> </w:t>
      </w:r>
      <w:r>
        <w:rPr>
          <w:b/>
          <w:bCs/>
          <w:snapToGrid w:val="0"/>
          <w:rtl/>
        </w:rPr>
        <w:t>דאתקרי ג"ד.</w:t>
      </w:r>
      <w:r>
        <w:rPr>
          <w:snapToGrid w:val="0"/>
          <w:rtl/>
        </w:rPr>
        <w:t xml:space="preserve"> רוצה לומר, דהברית נקראת גד, דהוא יום השביעי - דכליל ז’ ספירות באימא כמו שאמרו בכמה מקומות, וזהו ג"ד: ג' - דנה"י, וד' - דבינה חג"ת</w:t>
      </w:r>
      <w:r>
        <w:rPr>
          <w:snapToGrid w:val="0"/>
        </w:rPr>
        <w:t>:</w:t>
      </w:r>
    </w:p>
  </w:footnote>
  <w:footnote w:id="2327">
    <w:p w:rsidR="00A13282" w:rsidRDefault="00A13282">
      <w:pPr>
        <w:pStyle w:val="a5"/>
        <w:rPr>
          <w:rtl/>
        </w:rPr>
      </w:pPr>
      <w:r>
        <w:rPr>
          <w:rStyle w:val="a7"/>
          <w:rtl/>
        </w:rPr>
        <w:footnoteRef/>
      </w:r>
      <w:r>
        <w:rPr>
          <w:rtl/>
        </w:rPr>
        <w:t xml:space="preserve"> </w:t>
      </w:r>
      <w:r>
        <w:rPr>
          <w:b/>
          <w:bCs/>
          <w:snapToGrid w:val="0"/>
          <w:rtl/>
        </w:rPr>
        <w:t>ורזא כו' בההוא יו"ד.</w:t>
      </w:r>
      <w:r>
        <w:rPr>
          <w:snapToGrid w:val="0"/>
          <w:rtl/>
        </w:rPr>
        <w:t xml:space="preserve"> רוצה לומר, הזרע - שהוא טפה דיוד, כמו שאמרו בכמה מקומות, והוא המן - שהוא השמן, והוא ששוחקים בשחקים לצדיקים - צדיק וצדק, וזה שאומר שהמן הוא כזרע של גד - יסוד, והמן הוא מן דשמן, שהוא מן דשחקים - נ"ה, שתים שאינן ממותקים עד ששוחקין, והן מ"ה דמשה שהוא בנו"ה, כי ארבע חיות הן: שלש - בחג"ת, ש' דמשה, ורביעית - אדם, במ"ה דמשה, כמו שאומר לקמן ק"ט א' ובמקומות הרבה, והוא בנו"ה דתמן הנוק' כידוע, ושם ה' בתראה, חיה רביעית, פני אדם, ומשם המן ניתן לאדם, והיא אינה ממותקת, שהיא דינ"א במלכות - אדנ"י, עד שישחקו כתית כנ"ל כתיש כתישא, וכמו שאומר בזוהר פרשת פנחס ברעיא מהימנא שם אמר רעיא מהימנא בוצינא קדישא כו' ועוד אית רזא תניינא כו' עיין שם היטב בארוכה, והוא סוד גדול שלכך לא ניתנה התורה לתחתונים שהם אדם בארץ כי אם ע"י יסורים, כתית כו' לגבי שכינתא, ולכך אכלו בזכות משה, מה, חיה רביעית דאבהן, כמו שאמרו שם דהוא אשלים לון לאבהן כמו שבארנו בכמה מקומות, והוא בדרגא דנו"ה, והוא מ"ן מה' גבורות, וזה שאומר ואמאי אתקרי נשה כו' (ועיין לעיל ל"ב ב' בגיד הנשה דאיהו צדיק כו' עיין שם בדבריו) לא ידעו מה הוא דנחית לון קב"ה, רוצה לומר דגיד הנשה הוא בנו"ה כת"ק (במס' חולין, פרק ז' משנה א) בירך כו', ושם הוא סטרא דמ"ן כנ"ל, ולא ידעו ישראל כי הוא מ"ה דמשה על כן קראו על שם מקום מוצאם - מ"ן, כמו אדם שאינו יודע שמו של פלוני וקורא על שם אביו או משפחתו, וכמו שאמרו (סוטה יב ע"א) בת ק"ל שנה כו', ואבהן זכו לש' דשמן - דהוא ש' דמשה,</w:t>
      </w:r>
      <w:bookmarkStart w:id="187" w:name="כאן"/>
      <w:bookmarkEnd w:id="187"/>
      <w:r>
        <w:rPr>
          <w:snapToGrid w:val="0"/>
          <w:rtl/>
        </w:rPr>
        <w:t xml:space="preserve"> כמו שאמרו בסוף פרק קמא דב"ב שלשה הטעימן הקב"ה מעין העולם הבא כו', והן שלש חיות, שהן בשמים עלמא אריכא, וישראל שהן חיה רביעית כמו שאמרו בזוהר פרשת ואתחנן רס"ב ב' עיין שם, והיו ישראל ראוין למ"ן - אלא ותקע כף ירך יעקב על כן לא יאכלו בני ישראל כו', והוא המ"ן כמו שאומר כאן, ובימי משה דתקין נו"ה וזכה אליהן - זכו בשבילו, ולעתיד לבוא כי יבוא שילה - יזכו בה גם כן, וזה שאומר מה הוא כליל מעשר כו', ומכל מקום הוא בדרגא דדכורא, אספקלריא דנהרא, דרגא דמשה, אלא מבחינה הרביעית שבו, וזה שאומר ודא מנא דאורייתא וסליק כו'. וזהו טעם גיד הנשה - דאתנטיל מהון המן, דנגע ההוא שרו של עשו והוא טמא, כמו כל דבר שבקדושה דאתנטיל ממנה, והוא טעם לכל הטומאות ואסורין שבתורה, והכל בחטא האדם, כיון דהגיע לכף כו', דרגא דאדם - ותקע כו', בנגיעת עץ הדעת דהוא הוא בעצמו, והוא חטא הסלע בשביל ערב רב דהן מעץ הדעת טוב ורע, והן רע דישראל - כי ברע הוא, ונשאר מערב רב - רד, ולכן רד כו', ולכן הם לא בקשו המן, וזה שאומר וערב רב שאילו כו', והוא דרגא דנוק' ששם עץ הדעת טוב ורע וכמו שאומר בזוהר סוף פרשת בהעלותך, ובה סטרא דגבורה והוא בשר כמו שאומר לקמן קל"ח א' ולכן ואף ה' כו'</w:t>
      </w:r>
      <w:r>
        <w:rPr>
          <w:snapToGrid w:val="0"/>
        </w:rPr>
        <w:t>:</w:t>
      </w:r>
    </w:p>
  </w:footnote>
  <w:footnote w:id="2328">
    <w:p w:rsidR="00A13282" w:rsidRDefault="00A13282">
      <w:pPr>
        <w:pStyle w:val="a5"/>
        <w:rPr>
          <w:rtl/>
        </w:rPr>
      </w:pPr>
      <w:r>
        <w:rPr>
          <w:rStyle w:val="a7"/>
          <w:rtl/>
        </w:rPr>
        <w:footnoteRef/>
      </w:r>
      <w:r>
        <w:rPr>
          <w:rtl/>
        </w:rPr>
        <w:t xml:space="preserve"> </w:t>
      </w:r>
      <w:r>
        <w:rPr>
          <w:b/>
          <w:bCs/>
          <w:snapToGrid w:val="0"/>
          <w:rtl/>
        </w:rPr>
        <w:t>איהו כזרע גד ועינו כו'.</w:t>
      </w:r>
      <w:r>
        <w:rPr>
          <w:snapToGrid w:val="0"/>
          <w:rtl/>
        </w:rPr>
        <w:t xml:space="preserve"> הוא כליל מימינא ושמאלא - חו"ג, והן בנו"ה, וכמו שאומר לעיל ל"ח ב' אינון תרי סמכי קשוט דאינון חיוור וסמק</w:t>
      </w:r>
      <w:r>
        <w:rPr>
          <w:snapToGrid w:val="0"/>
        </w:rPr>
        <w:t>:</w:t>
      </w:r>
    </w:p>
  </w:footnote>
  <w:footnote w:id="2329">
    <w:p w:rsidR="00A13282" w:rsidRDefault="00A13282">
      <w:pPr>
        <w:pStyle w:val="a5"/>
        <w:rPr>
          <w:rtl/>
        </w:rPr>
      </w:pPr>
      <w:r>
        <w:rPr>
          <w:rStyle w:val="a7"/>
          <w:rtl/>
        </w:rPr>
        <w:footnoteRef/>
      </w:r>
      <w:r>
        <w:rPr>
          <w:rtl/>
        </w:rPr>
        <w:t xml:space="preserve"> </w:t>
      </w:r>
      <w:r>
        <w:rPr>
          <w:b/>
          <w:bCs/>
          <w:snapToGrid w:val="0"/>
          <w:rtl/>
        </w:rPr>
        <w:t>והאי בשר כו'.</w:t>
      </w:r>
      <w:r>
        <w:rPr>
          <w:snapToGrid w:val="0"/>
          <w:rtl/>
        </w:rPr>
        <w:t xml:space="preserve"> הוא בנוק' - בשר מבשרי כו' וכמו שאומר בזוהר פרשת צו ברעיא מהימנא ל"ג ב' בבשרא דאיהי בשר הקודש כו' בבשר היורד כו' מאי מן השמים כו', דאיהי מקבלת הגבורות מן השמים, ואיהי כוללת בי"ע שלכן אמרו עלה דהיא עץ הדעת מסטרא דעלמין רגלי' כו', וזה שאומר ועכ"ד אמרו אין כו' אלא דאדם בחטאו מהפך הגבורות שם בעץ הדעת טוב ורע - לרע, וזה שאומר למטה אם זכו כו'</w:t>
      </w:r>
      <w:r>
        <w:rPr>
          <w:snapToGrid w:val="0"/>
        </w:rPr>
        <w:t>:</w:t>
      </w:r>
    </w:p>
  </w:footnote>
  <w:footnote w:id="2330">
    <w:p w:rsidR="00A13282" w:rsidRDefault="00A13282">
      <w:pPr>
        <w:pStyle w:val="a5"/>
        <w:rPr>
          <w:rtl/>
        </w:rPr>
      </w:pPr>
      <w:r>
        <w:rPr>
          <w:rStyle w:val="a7"/>
          <w:rtl/>
        </w:rPr>
        <w:footnoteRef/>
      </w:r>
      <w:r>
        <w:rPr>
          <w:rtl/>
        </w:rPr>
        <w:t xml:space="preserve"> </w:t>
      </w:r>
      <w:r>
        <w:rPr>
          <w:b/>
          <w:bCs/>
          <w:snapToGrid w:val="0"/>
          <w:rtl/>
        </w:rPr>
        <w:t>בשגם הוא בשר.</w:t>
      </w:r>
      <w:r>
        <w:rPr>
          <w:snapToGrid w:val="0"/>
          <w:rtl/>
        </w:rPr>
        <w:t xml:space="preserve"> דע"י הערב רב לקה בסלע כמו שאומר בתיקונים לקמן וברעיא מהימנא, ולכך ימיו מאה ועשרים, ונלקח ממנו המטה, ונשאר בדרגא דעבד - במט"ט, ושם מגיד מראשית אחרית, דערב רב הן רע דדור המבול כידוע ועיין ברעיא מהימנא פרשת משפטים קט"ו א' דקדם דחזרת בתיובתא כו' וההוא רע שותפא כו' וכען דחזרת כו' עיין שם בארוכה. והענין הוא שנחית בגלותא, דאתפשטותיה הוא בישראל בכל דור ודור, כמו החמה בלבנה ובכוכבים ובעולם, ועל אור דיליה המתפשט בהדורות בתלמידי חכמים אמרו דהוא בגלגולא, והוא מחולל מפשעינו דהתלמידי חכמים הן מבוזים בדור, וסביל נצוצא דנהורא דיליה - דהוא אורייתיה המתפשטת בהון, ולכשיחזרו ישראל בתשובה ויהיו עין יעקב - דהוא שבעים נפש נקי, דאתערבו בשבעים נפש לבד שתים דישמעאל ועשו, דאינן נוגעין בהן, מוץ ותבן, אבל אינון סובין ומורסן, ואז יהיו ברזא דבן וזה שאומר ורזא דא כו' הוא סוד גדול מאד ולא ניתן רשות כו'</w:t>
      </w:r>
      <w:r>
        <w:rPr>
          <w:snapToGrid w:val="0"/>
        </w:rPr>
        <w:t>:</w:t>
      </w:r>
    </w:p>
  </w:footnote>
  <w:footnote w:id="2331">
    <w:p w:rsidR="00A13282" w:rsidRDefault="00A13282">
      <w:pPr>
        <w:pStyle w:val="a5"/>
        <w:rPr>
          <w:snapToGrid w:val="0"/>
          <w:rtl/>
        </w:rPr>
      </w:pPr>
      <w:r>
        <w:rPr>
          <w:rStyle w:val="a7"/>
          <w:rtl/>
        </w:rPr>
        <w:footnoteRef/>
      </w:r>
      <w:r>
        <w:rPr>
          <w:rtl/>
        </w:rPr>
        <w:t xml:space="preserve"> </w:t>
      </w:r>
      <w:r>
        <w:rPr>
          <w:b/>
          <w:bCs/>
          <w:snapToGrid w:val="0"/>
          <w:rtl/>
        </w:rPr>
        <w:t>והאי בשר כו' ועליה אתמר שבר כו'.</w:t>
      </w:r>
      <w:r>
        <w:rPr>
          <w:snapToGrid w:val="0"/>
          <w:rtl/>
        </w:rPr>
        <w:t xml:space="preserve"> שהוא לחם מחמישה מינין - מסטרא דה' בתראה, ובה טוב ורע, וזהו אם זכו כו', והוא סטרא דרעבון, דרעב הוא אחוריים דהוי"ה אלקים, ושבע - מילוי דלהון כידוע, והוא שבר, דשברים - בסטרא דגבורה, והוא בשר שור, ואם זכו קדש דאתפרע בפריעה - שור תם כמו שאומר בזוהר פרשת שלח, ושם קדש ידיד כו' והוא אות ברית - דהוא בנוק'</w:t>
      </w:r>
      <w:r>
        <w:rPr>
          <w:snapToGrid w:val="0"/>
        </w:rPr>
        <w:t>:</w:t>
      </w:r>
    </w:p>
    <w:p w:rsidR="00A13282" w:rsidRDefault="00A13282">
      <w:pPr>
        <w:pStyle w:val="a5"/>
        <w:rPr>
          <w:rtl/>
        </w:rPr>
      </w:pPr>
    </w:p>
  </w:footnote>
  <w:footnote w:id="2332">
    <w:p w:rsidR="00A13282" w:rsidRDefault="00A13282">
      <w:pPr>
        <w:pStyle w:val="a5"/>
        <w:jc w:val="left"/>
      </w:pPr>
      <w:r>
        <w:rPr>
          <w:rStyle w:val="a7"/>
        </w:rPr>
        <w:footnoteRef/>
      </w:r>
      <w:r>
        <w:t xml:space="preserve"> </w:t>
      </w:r>
      <w:r>
        <w:rPr>
          <w:b/>
          <w:bCs/>
          <w:rtl/>
        </w:rPr>
        <w:t xml:space="preserve">תיקון כ'. דא שכינתא תתאה. </w:t>
      </w:r>
      <w:r>
        <w:rPr>
          <w:rtl/>
        </w:rPr>
        <w:t>כמו שאומר בכמה מקומות, ושפה הוא שכינה, ועיין ביאורנו מקום אחר בארוכה:</w:t>
      </w:r>
    </w:p>
  </w:footnote>
  <w:footnote w:id="2333">
    <w:p w:rsidR="00A13282" w:rsidRDefault="00A13282">
      <w:pPr>
        <w:pStyle w:val="a5"/>
        <w:jc w:val="left"/>
      </w:pPr>
      <w:r>
        <w:rPr>
          <w:rStyle w:val="a7"/>
        </w:rPr>
        <w:footnoteRef/>
      </w:r>
      <w:r>
        <w:t xml:space="preserve"> </w:t>
      </w:r>
      <w:r>
        <w:rPr>
          <w:b/>
          <w:bCs/>
          <w:rtl/>
        </w:rPr>
        <w:t xml:space="preserve">דא ברית צדיק. </w:t>
      </w:r>
      <w:r>
        <w:rPr>
          <w:rtl/>
        </w:rPr>
        <w:t>עיין מה שנבאר לקמן נ"ג א' בארוכה:</w:t>
      </w:r>
    </w:p>
  </w:footnote>
  <w:footnote w:id="2334">
    <w:p w:rsidR="00A13282" w:rsidRDefault="00A13282">
      <w:pPr>
        <w:pStyle w:val="a5"/>
        <w:jc w:val="left"/>
      </w:pPr>
      <w:r>
        <w:rPr>
          <w:rStyle w:val="a7"/>
        </w:rPr>
        <w:footnoteRef/>
      </w:r>
      <w:r>
        <w:t xml:space="preserve"> </w:t>
      </w:r>
      <w:r>
        <w:rPr>
          <w:b/>
          <w:bCs/>
          <w:rtl/>
        </w:rPr>
        <w:t xml:space="preserve">עליה אתמר שופר כו'. </w:t>
      </w:r>
      <w:r>
        <w:rPr>
          <w:rtl/>
        </w:rPr>
        <w:t>עיין לעיל סוף תיקון י”ג, [דף] כ"ה ב' תשיעאה ברנה כו' ורזה דמלה שופר הולך כו':</w:t>
      </w:r>
    </w:p>
  </w:footnote>
  <w:footnote w:id="2335">
    <w:p w:rsidR="00A13282" w:rsidRDefault="00A13282">
      <w:pPr>
        <w:pStyle w:val="a5"/>
        <w:jc w:val="left"/>
      </w:pPr>
      <w:r>
        <w:rPr>
          <w:rStyle w:val="a7"/>
        </w:rPr>
        <w:footnoteRef/>
      </w:r>
      <w:r>
        <w:t xml:space="preserve"> </w:t>
      </w:r>
      <w:r>
        <w:rPr>
          <w:b/>
          <w:bCs/>
          <w:rtl/>
        </w:rPr>
        <w:t xml:space="preserve">גירים דיליה כו'. </w:t>
      </w:r>
      <w:r>
        <w:rPr>
          <w:rtl/>
        </w:rPr>
        <w:t>כמו שכתוב (תהלים קכז ד) כחצים ביד גבור</w:t>
      </w:r>
      <w:r>
        <w:rPr>
          <w:b/>
          <w:bCs/>
          <w:rtl/>
        </w:rPr>
        <w:t xml:space="preserve"> </w:t>
      </w:r>
      <w:r>
        <w:rPr>
          <w:rtl/>
        </w:rPr>
        <w:t>כן כו', וכמו שנבאר לקמן נ"ד ב' ובזוהר פרשת בראשית ואפיק ליה כגירא בידא כו', וחץ הוא הוי"ה פשוטה ובריבוע:</w:t>
      </w:r>
    </w:p>
  </w:footnote>
  <w:footnote w:id="2336">
    <w:p w:rsidR="00A13282" w:rsidRDefault="00A13282">
      <w:pPr>
        <w:pStyle w:val="a5"/>
        <w:jc w:val="left"/>
      </w:pPr>
      <w:r>
        <w:rPr>
          <w:rStyle w:val="a7"/>
        </w:rPr>
        <w:footnoteRef/>
      </w:r>
      <w:r>
        <w:t xml:space="preserve"> </w:t>
      </w:r>
      <w:r>
        <w:rPr>
          <w:b/>
          <w:bCs/>
          <w:rtl/>
        </w:rPr>
        <w:t xml:space="preserve">אינון כו' נפקין מגלותא. </w:t>
      </w:r>
      <w:r>
        <w:rPr>
          <w:rtl/>
        </w:rPr>
        <w:t>וזהו שופר כו', וכמו שאומר שם כ"ה ב':</w:t>
      </w:r>
    </w:p>
  </w:footnote>
  <w:footnote w:id="2337">
    <w:p w:rsidR="00A13282" w:rsidRDefault="00A13282">
      <w:pPr>
        <w:pStyle w:val="a5"/>
        <w:jc w:val="left"/>
      </w:pPr>
      <w:r>
        <w:rPr>
          <w:rStyle w:val="a7"/>
        </w:rPr>
        <w:footnoteRef/>
      </w:r>
      <w:r>
        <w:t xml:space="preserve"> </w:t>
      </w:r>
      <w:r>
        <w:rPr>
          <w:b/>
          <w:bCs/>
          <w:rtl/>
        </w:rPr>
        <w:t xml:space="preserve">הא לכם כו'. </w:t>
      </w:r>
      <w:r>
        <w:rPr>
          <w:rtl/>
        </w:rPr>
        <w:t>וכתיב שם והאדמה לא תשם - בגלותא, ולכן נקרא צדיק - גואל:</w:t>
      </w:r>
    </w:p>
  </w:footnote>
  <w:footnote w:id="2338">
    <w:p w:rsidR="00A13282" w:rsidRDefault="00A13282">
      <w:pPr>
        <w:pStyle w:val="a5"/>
        <w:rPr>
          <w:rtl/>
        </w:rPr>
      </w:pPr>
      <w:r>
        <w:rPr>
          <w:rStyle w:val="a7"/>
          <w:rtl/>
        </w:rPr>
        <w:footnoteRef/>
      </w:r>
      <w:r>
        <w:rPr>
          <w:b/>
          <w:bCs/>
          <w:snapToGrid w:val="0"/>
          <w:rtl/>
        </w:rPr>
        <w:t>קירטא כו'.</w:t>
      </w:r>
      <w:r>
        <w:rPr>
          <w:snapToGrid w:val="0"/>
          <w:rtl/>
        </w:rPr>
        <w:t xml:space="preserve"> רוצה לומר כלי הרועים, והוא כעין שפה, ושפה - גימטריה שכינה, וזה שאומר דאיהי ה' זעירא, ורוצה לומר זה שאומר (ועיין לקמן נ"ט א' בהגהה) (שמואל א יז מ) ויקח חמשה אבנים כו', ורוצה לומר דלכן ניתן בה ה' אבנים, וה' אבנים עצמן - ה' עילאה, כמו שמפרש והולך חמש כו', ואח"כ נעשו ה' אבנים - חד, כמו שכתוב (שם פסוק מט) וישלח כו' ויקח משם אבן כו', וזה שאומר אתעבידו ה' אבנים חד והוא י' דשם, וכמו שאומר למעלה בגין דאת י' כו', ווא"ו של השם - הוא כריכו דכלהו, כמו שמפרש והולך כריכו דכלהו כו', והוא ביד הנוטל אותן - החמש ואח"כ האחד כמו שכתוב גבי דוד, והן בקריאת שמע: ה' תיבות ראשונות - ה' עילאה, וכ"ב אתוון דבהון - הן ה' תתאה, כמו שאומר מחמש תיקונין כו' ה' זעירא, וה' עילאה - מתיבין, והיא - מאתוון, אחד - הוא י', ואדם הכורך את כל הוא"ו תיבות הוא לא האדם אלא הכריכה עצמה</w:t>
      </w:r>
      <w:r>
        <w:rPr>
          <w:snapToGrid w:val="0"/>
        </w:rPr>
        <w:t>:</w:t>
      </w:r>
    </w:p>
  </w:footnote>
  <w:footnote w:id="2339">
    <w:p w:rsidR="00A13282" w:rsidRDefault="00A13282">
      <w:pPr>
        <w:pStyle w:val="a5"/>
        <w:rPr>
          <w:rtl/>
        </w:rPr>
      </w:pPr>
      <w:r>
        <w:rPr>
          <w:rStyle w:val="a7"/>
          <w:rtl/>
        </w:rPr>
        <w:footnoteRef/>
      </w:r>
      <w:r>
        <w:rPr>
          <w:rtl/>
        </w:rPr>
        <w:t xml:space="preserve"> </w:t>
      </w:r>
      <w:r>
        <w:rPr>
          <w:b/>
          <w:bCs/>
          <w:snapToGrid w:val="0"/>
          <w:rtl/>
        </w:rPr>
        <w:t>ובההוא כריכא צריך לסחרא אבנא ולארכא כו'.</w:t>
      </w:r>
      <w:r>
        <w:rPr>
          <w:snapToGrid w:val="0"/>
          <w:rtl/>
        </w:rPr>
        <w:t xml:space="preserve"> רוצה לומר י' דכאן הוא מלכות בהוי"ה, נוק' כנ"ל, ולכן צריך להאריך באחד, בו"ק, וזה שאומר ורזא דמלה להאריך כו'</w:t>
      </w:r>
      <w:r>
        <w:rPr>
          <w:snapToGrid w:val="0"/>
        </w:rPr>
        <w:t>:</w:t>
      </w:r>
    </w:p>
  </w:footnote>
  <w:footnote w:id="2340">
    <w:p w:rsidR="00A13282" w:rsidRDefault="00A13282">
      <w:pPr>
        <w:pStyle w:val="a5"/>
        <w:rPr>
          <w:rtl/>
        </w:rPr>
      </w:pPr>
      <w:r>
        <w:rPr>
          <w:rStyle w:val="a7"/>
          <w:rtl/>
        </w:rPr>
        <w:footnoteRef/>
      </w:r>
      <w:r>
        <w:rPr>
          <w:rtl/>
        </w:rPr>
        <w:t xml:space="preserve"> </w:t>
      </w:r>
      <w:r>
        <w:rPr>
          <w:b/>
          <w:bCs/>
          <w:snapToGrid w:val="0"/>
          <w:rtl/>
        </w:rPr>
        <w:t>האי אבנא כלילא מעשר כו'.</w:t>
      </w:r>
      <w:r>
        <w:rPr>
          <w:snapToGrid w:val="0"/>
          <w:rtl/>
        </w:rPr>
        <w:t xml:space="preserve"> כן הוא בנוסחאות אחרות ונכון הוא. ורוצה לומר דלכן נקרא י' ואע"ג דכריך לה מו"ק מכל מקום סליק לה עד אין סוף, ועיין בסוף ח"א א' ב' ובסליקו על גבי כתר ג' צחצחות והוא רזא דאחד (א.ה. הרב יצחק עמנואל שליט"א העיר שלשון זה נמצא גם באריז"ל בעץ חיים אך בזהר לא מצאנוהו)</w:t>
      </w:r>
      <w:r>
        <w:rPr>
          <w:snapToGrid w:val="0"/>
        </w:rPr>
        <w:t>:</w:t>
      </w:r>
    </w:p>
  </w:footnote>
  <w:footnote w:id="2341">
    <w:p w:rsidR="00A13282" w:rsidRDefault="00A13282">
      <w:pPr>
        <w:pStyle w:val="a5"/>
        <w:rPr>
          <w:rtl/>
        </w:rPr>
      </w:pPr>
      <w:r>
        <w:rPr>
          <w:rStyle w:val="a7"/>
          <w:rtl/>
        </w:rPr>
        <w:footnoteRef/>
      </w:r>
      <w:r>
        <w:rPr>
          <w:rtl/>
        </w:rPr>
        <w:t xml:space="preserve"> </w:t>
      </w:r>
      <w:r>
        <w:rPr>
          <w:b/>
          <w:bCs/>
          <w:snapToGrid w:val="0"/>
          <w:rtl/>
        </w:rPr>
        <w:t>אלא בנקודא.</w:t>
      </w:r>
      <w:r>
        <w:rPr>
          <w:snapToGrid w:val="0"/>
          <w:rtl/>
        </w:rPr>
        <w:t xml:space="preserve"> דהא לית לה נקודה מגרמה כנ"ל, אלא כלילא מכלהו</w:t>
      </w:r>
      <w:r>
        <w:rPr>
          <w:snapToGrid w:val="0"/>
        </w:rPr>
        <w:t>:</w:t>
      </w:r>
    </w:p>
  </w:footnote>
  <w:footnote w:id="2342">
    <w:p w:rsidR="00A13282" w:rsidRDefault="00A13282">
      <w:pPr>
        <w:pStyle w:val="a5"/>
        <w:rPr>
          <w:rtl/>
        </w:rPr>
      </w:pPr>
      <w:r>
        <w:rPr>
          <w:rStyle w:val="a7"/>
          <w:rtl/>
        </w:rPr>
        <w:footnoteRef/>
      </w:r>
      <w:r>
        <w:rPr>
          <w:rtl/>
        </w:rPr>
        <w:t xml:space="preserve"> </w:t>
      </w:r>
      <w:r>
        <w:rPr>
          <w:b/>
          <w:bCs/>
          <w:snapToGrid w:val="0"/>
          <w:rtl/>
        </w:rPr>
        <w:t>דתלת נקודין כו'.</w:t>
      </w:r>
      <w:r>
        <w:rPr>
          <w:snapToGrid w:val="0"/>
          <w:rtl/>
        </w:rPr>
        <w:t xml:space="preserve"> והן נקודין דאבהן - חש"ק, דהיא נקודה באדנ"י, באבותיך חש"ק כו':</w:t>
      </w:r>
    </w:p>
  </w:footnote>
  <w:footnote w:id="2343">
    <w:p w:rsidR="00A13282" w:rsidRDefault="00A13282" w:rsidP="002D629A">
      <w:pPr>
        <w:pStyle w:val="a5"/>
        <w:rPr>
          <w:rtl/>
        </w:rPr>
      </w:pPr>
      <w:r>
        <w:rPr>
          <w:rtl/>
        </w:rPr>
        <w:t>עיין ריש תיקון כ"ב בביאור הגר"א ד"ה קם סבא, שהוא שייך לכאן.</w:t>
      </w:r>
    </w:p>
    <w:p w:rsidR="00A13282" w:rsidRDefault="00A13282" w:rsidP="002D629A">
      <w:pPr>
        <w:pStyle w:val="a5"/>
      </w:pPr>
      <w:r>
        <w:rPr>
          <w:rStyle w:val="a7"/>
        </w:rPr>
        <w:footnoteRef/>
      </w:r>
      <w:r>
        <w:t xml:space="preserve"> </w:t>
      </w:r>
      <w:r>
        <w:rPr>
          <w:b/>
          <w:bCs/>
          <w:rtl/>
        </w:rPr>
        <w:t>תיקון כא.</w:t>
      </w:r>
      <w:r>
        <w:rPr>
          <w:rtl/>
        </w:rPr>
        <w:t xml:space="preserve"> </w:t>
      </w:r>
      <w:r>
        <w:rPr>
          <w:b/>
          <w:bCs/>
          <w:rtl/>
        </w:rPr>
        <w:t>נחתין תרין סבין.</w:t>
      </w:r>
      <w:r>
        <w:rPr>
          <w:rtl/>
        </w:rPr>
        <w:t xml:space="preserve"> במדרגת חו"ב - והן סבין ודאי: </w:t>
      </w:r>
    </w:p>
  </w:footnote>
  <w:footnote w:id="2344">
    <w:p w:rsidR="00A13282" w:rsidRDefault="00A13282" w:rsidP="002D629A">
      <w:pPr>
        <w:pStyle w:val="a5"/>
      </w:pPr>
      <w:r>
        <w:rPr>
          <w:rStyle w:val="a7"/>
        </w:rPr>
        <w:footnoteRef/>
      </w:r>
      <w:r>
        <w:t xml:space="preserve"> </w:t>
      </w:r>
      <w:r>
        <w:rPr>
          <w:b/>
          <w:bCs/>
          <w:rtl/>
        </w:rPr>
        <w:t>אתעסקנא במה דהוינא ואנן לא הוינא.</w:t>
      </w:r>
      <w:r>
        <w:rPr>
          <w:rtl/>
        </w:rPr>
        <w:t xml:space="preserve"> רוצה לומר, כשהיינו קודם המתקלא שנקרא לא היו, וכמו שכתוב והארץ היתה כו'</w:t>
      </w:r>
      <w:r>
        <w:t xml:space="preserve"> :</w:t>
      </w:r>
    </w:p>
  </w:footnote>
  <w:footnote w:id="2345">
    <w:p w:rsidR="00A13282" w:rsidRDefault="00A13282" w:rsidP="002D629A">
      <w:pPr>
        <w:pStyle w:val="a5"/>
      </w:pPr>
      <w:r>
        <w:rPr>
          <w:rStyle w:val="a7"/>
        </w:rPr>
        <w:footnoteRef/>
      </w:r>
      <w:r>
        <w:t xml:space="preserve"> </w:t>
      </w:r>
      <w:r>
        <w:rPr>
          <w:b/>
          <w:bCs/>
          <w:rtl/>
        </w:rPr>
        <w:t>ודא ב' ודאי ראשית.</w:t>
      </w:r>
      <w:r>
        <w:rPr>
          <w:rtl/>
        </w:rPr>
        <w:t xml:space="preserve"> רוצה לומר שראשיתם היו שנים - חו"ב, קודם המתקלא</w:t>
      </w:r>
      <w:r>
        <w:t xml:space="preserve"> :</w:t>
      </w:r>
    </w:p>
  </w:footnote>
  <w:footnote w:id="2346">
    <w:p w:rsidR="00A13282" w:rsidRDefault="00A13282" w:rsidP="002D629A">
      <w:pPr>
        <w:pStyle w:val="a5"/>
      </w:pPr>
      <w:r>
        <w:rPr>
          <w:rStyle w:val="a7"/>
        </w:rPr>
        <w:footnoteRef/>
      </w:r>
      <w:r>
        <w:t xml:space="preserve"> </w:t>
      </w:r>
      <w:r>
        <w:rPr>
          <w:b/>
          <w:bCs/>
          <w:rtl/>
        </w:rPr>
        <w:t>הא סבא כו'.</w:t>
      </w:r>
      <w:r>
        <w:rPr>
          <w:rtl/>
        </w:rPr>
        <w:t xml:space="preserve"> רוצה לומר כאשר נשתתף הכתר בהם - בעולם התיקון, א' דאנכי (שאז הוא בחינת ס"ג - גימטריה סבא, וכן לשון סב מורה על הסילוק, וכן הוא סוד עתיק. מנחם) והוא ברא כידוע, והיו שלשה בעולם התוהו, אבל בתיקון ג"ר כחדא, והוא ע"י הדעת שנעשו בו שלשת השותפין לבשר אחד, שנים גניזין דאו"א כל אחד ה' דברים בולד, ה’ חסדים וה’ גבורות, ושנים דא"א שנותן נגד שניהם, והוא נקרא מי על שם הנ' שערי בינה המתפשטין, והוא אלקים דכאן. וזה שאומר אלקים ודאי מי ברא אלה באלין תלת, רוצה לומר באלה שהן כידוע שאלה הוא שלשה ברא לשבע תחתונות את כו'</w:t>
      </w:r>
      <w:r>
        <w:t xml:space="preserve"> :</w:t>
      </w:r>
    </w:p>
  </w:footnote>
  <w:footnote w:id="2347">
    <w:p w:rsidR="00A13282" w:rsidRDefault="00A13282" w:rsidP="002D629A">
      <w:pPr>
        <w:pStyle w:val="a5"/>
      </w:pPr>
      <w:r>
        <w:rPr>
          <w:rStyle w:val="a7"/>
        </w:rPr>
        <w:footnoteRef/>
      </w:r>
      <w:r>
        <w:t xml:space="preserve"> </w:t>
      </w:r>
      <w:r>
        <w:rPr>
          <w:b/>
          <w:bCs/>
          <w:rtl/>
        </w:rPr>
        <w:t>ואיהו רביעאה ושביעאה.</w:t>
      </w:r>
      <w:r>
        <w:rPr>
          <w:rtl/>
        </w:rPr>
        <w:t xml:space="preserve"> רביעי לג"ר ושביעי לו"ק שהיא השביעית בכל מקום שמצטרף בינה לו"ק היינו הדעת שבה</w:t>
      </w:r>
      <w:r>
        <w:t xml:space="preserve"> :</w:t>
      </w:r>
    </w:p>
  </w:footnote>
  <w:footnote w:id="2348">
    <w:p w:rsidR="00A13282" w:rsidRDefault="00A13282" w:rsidP="002D629A">
      <w:pPr>
        <w:pStyle w:val="a5"/>
      </w:pPr>
      <w:r>
        <w:rPr>
          <w:rStyle w:val="a7"/>
        </w:rPr>
        <w:footnoteRef/>
      </w:r>
      <w:r>
        <w:t xml:space="preserve"> </w:t>
      </w:r>
      <w:r>
        <w:rPr>
          <w:b/>
          <w:bCs/>
          <w:rtl/>
        </w:rPr>
        <w:t>הא אינון שבעה סבין ותלת גניזין עלייהו באלין שבעה סבין חד כו'.</w:t>
      </w:r>
      <w:r>
        <w:rPr>
          <w:rtl/>
        </w:rPr>
        <w:t xml:space="preserve"> חד עולימא הוא ואת הארץ שהיא נקראת נער נערה, ותלת גניזין הן כתר חכמה בינה, ואמר מזנב שהיא משמש לכולם, הלילה לכל שבעה ימים, וכלילא בדכורא, וכמו שאמרו חד אמר זנב וחד אמר פרצוף, והוא קודם התיקון דילה נקראת זנב, נקודה חדא כלולה עמו, עטרה על ברית, תגא ואין שימוש דאשתמש בתגא כו' ז' דזנב עם ב"ן דילה שהיא בחינה אחרונה שבה בסוד נפשה כמו שכתוב בבנימין ויהי בצאת כו' ואז נקרא נער כידוע, וכשנתקנת בסוד התיקון היא פרצוף בזיווג עמו - נערה, וכאן ואת הארץ עדיין והארץ היתה תוהו וזה שאומר הוה מזנב בלשון עבר כי התוהו כו' נאמר הכל בארץ וכמו שאמרו באידרא רבא [דף] קמ"ב א' ובגין כך בכלהו כתרים כו' ההוא נוק' כו' עיין שם</w:t>
      </w:r>
      <w:r>
        <w:t xml:space="preserve"> :</w:t>
      </w:r>
    </w:p>
  </w:footnote>
  <w:footnote w:id="2349">
    <w:p w:rsidR="00A13282" w:rsidRDefault="00A13282" w:rsidP="002D629A">
      <w:pPr>
        <w:pStyle w:val="a5"/>
      </w:pPr>
      <w:r>
        <w:rPr>
          <w:rStyle w:val="a7"/>
        </w:rPr>
        <w:footnoteRef/>
      </w:r>
      <w:r>
        <w:t xml:space="preserve"> </w:t>
      </w:r>
      <w:r>
        <w:rPr>
          <w:b/>
          <w:bCs/>
          <w:rtl/>
        </w:rPr>
        <w:t>ואלין סבין כו'.</w:t>
      </w:r>
      <w:r>
        <w:rPr>
          <w:rtl/>
        </w:rPr>
        <w:t xml:space="preserve"> כמו שאמרו בסוף אידרא רבא קמ"ד ב' והוה קארי להו ר"ש שבעה כו' אר"א אנן שיתא כו'</w:t>
      </w:r>
      <w:r>
        <w:t xml:space="preserve"> :</w:t>
      </w:r>
    </w:p>
  </w:footnote>
  <w:footnote w:id="2350">
    <w:p w:rsidR="00A13282" w:rsidRDefault="00A13282" w:rsidP="002D629A">
      <w:pPr>
        <w:pStyle w:val="a5"/>
      </w:pPr>
      <w:r>
        <w:rPr>
          <w:rStyle w:val="a7"/>
        </w:rPr>
        <w:footnoteRef/>
      </w:r>
      <w:r>
        <w:t xml:space="preserve"> </w:t>
      </w:r>
      <w:r>
        <w:rPr>
          <w:b/>
          <w:bCs/>
          <w:rtl/>
        </w:rPr>
        <w:t>א"ל ר' כו'.</w:t>
      </w:r>
      <w:r>
        <w:rPr>
          <w:rtl/>
        </w:rPr>
        <w:t xml:space="preserve"> רוצה לומר שכינת עוזנו דרדפת בתר צדיקייא ואמר למטה אדהכי הא עולימא כו'. והענין כי בזמן בית המקדש נקראת פרצוף תמיד, ועתה נקראת זנב כנ"ל ימות החול ומתקננת במט"ט וכמו שאומר לעיל בהקדמה תניינא וכן בצדיקים לאחר מותן דאזלין נע ונד בתרה כמו שביארנו שם, ובזוהר פרשת בראשית דף ו' א'. והענין כי מה שאמרו שם שמקננת במט"ט ואז נקראת נער על שמו, כי הצדיקים בחייהם שיש להם נר"ן מתקינין אותה בכל עשר ספירות משלשה דרגין והיא פרצוף, אבל לאחר מותן שלא נשארה להם כאן אלא נפשא וכן מט"ט נפשו שנשאר כאן מקננת בהם כשאין צדיק בדור והן עולימין דילה, כי אין רוחן ונשמתן יורדין, ולכן הם מחמרים אחר בעירן לקבל נפשן שהן נפש הבהמית מסטרא דבהמה אלף הרים, וזו כל התכלית של הבריאה לתקן הנפש שלא תהא נכרתת ותעשה מרכבה, אדם ובהמה, מ"ה דבריר ב"ן. ולכן העולימא מזנב בתריהון ותמיד הולך למצוא מארי תורה שהן בסוד נוק' נפש ורודפין אחר רוח ונשמה לחבר כל השלש בחינות שבשכינה וכן בחינת מט"ט רק הנפש לבד, וזו ענין הכרת של הנפש שאינה נעשית מרכבה לה. וענין המחמר כי אלו הצדיקים מעלתן גדולה שיש לנפשם השפעה מרוחם ולכן יכולים לילך אחר השכינה כמו בחייהם, כי הנפש בעצמה אין לה תנועה כמו אותיות בלא נקודין וכמו שאמרו והארץ לעולם עומדת עיגולא רהיט כו' כל כבודה כו' לשבת בית, לילה לשינתא, ואינהו הופכין לילות לימים לכן כו' והולכין בצורת אדם, אבל שאר צדיקים שלא זכו לזה מחמר אחריהם ומשפיע בהם שגם הם יכולים לילך אחריה וזו גם כן מדרגת רבי וריה"ג אבל מדרגת ר"ה סבא אפילו בחול והן רודפין אחרי מארי תורה מאד כנ"ל וכל שכן אחריהם שהן שבעה דרגין הנ"ל ואמר בארחא כמו שכתוב כי יקרא קן כו' בדרך וזה שאומר לעיל [דף] א' ב' דהכי אוקמוהו רבנן כו' על בתי הצדיקים והוא מה שאמרו ליחרב ביתך כו' והוא ברכה אחרת כנ"ל</w:t>
      </w:r>
      <w:r>
        <w:t xml:space="preserve"> :</w:t>
      </w:r>
    </w:p>
  </w:footnote>
  <w:footnote w:id="2351">
    <w:p w:rsidR="00A13282" w:rsidRDefault="00A13282" w:rsidP="002D629A">
      <w:pPr>
        <w:pStyle w:val="a5"/>
      </w:pPr>
      <w:r>
        <w:rPr>
          <w:rStyle w:val="a7"/>
        </w:rPr>
        <w:footnoteRef/>
      </w:r>
      <w:r>
        <w:t xml:space="preserve"> </w:t>
      </w:r>
      <w:r>
        <w:rPr>
          <w:b/>
          <w:bCs/>
          <w:rtl/>
        </w:rPr>
        <w:t>א"ל אערענא כו'.</w:t>
      </w:r>
      <w:r>
        <w:rPr>
          <w:rtl/>
        </w:rPr>
        <w:t xml:space="preserve"> רוצה לומר בתפלה שהוא מלחמה עם הס"א כמו שאמרו בתיקוני זוהר ובתיקוני זוהר חדש בכמה מקומות וכמו שכתוב רוממות כו' וחרב כו' וכמו שאומר לעיל ח' א' אבל בקריאת שמע דצלותא כו' וכמו שאמרו בזוהר פרשת פנחס דקריאת שמע איהו קשת ורומח וחרב כו':</w:t>
      </w:r>
    </w:p>
  </w:footnote>
  <w:footnote w:id="2352">
    <w:p w:rsidR="00A13282" w:rsidRDefault="00A13282" w:rsidP="002D629A">
      <w:pPr>
        <w:pStyle w:val="a5"/>
      </w:pPr>
      <w:r>
        <w:rPr>
          <w:rStyle w:val="a7"/>
        </w:rPr>
        <w:footnoteRef/>
      </w:r>
      <w:r>
        <w:t xml:space="preserve"> </w:t>
      </w:r>
      <w:r>
        <w:rPr>
          <w:rtl/>
        </w:rPr>
        <w:t xml:space="preserve"> </w:t>
      </w:r>
      <w:r>
        <w:rPr>
          <w:b/>
          <w:bCs/>
          <w:rtl/>
        </w:rPr>
        <w:t>ואינון כו'.</w:t>
      </w:r>
      <w:r>
        <w:rPr>
          <w:rtl/>
        </w:rPr>
        <w:t xml:space="preserve"> כמו שאמרו בכמה מקומות דמלאכין נחתין וסלקין לקבלא צלותא</w:t>
      </w:r>
      <w:r>
        <w:t xml:space="preserve"> :</w:t>
      </w:r>
    </w:p>
  </w:footnote>
  <w:footnote w:id="2353">
    <w:p w:rsidR="00A13282" w:rsidRDefault="00A13282" w:rsidP="002D629A">
      <w:pPr>
        <w:pStyle w:val="a5"/>
      </w:pPr>
      <w:r>
        <w:rPr>
          <w:rStyle w:val="a7"/>
        </w:rPr>
        <w:footnoteRef/>
      </w:r>
      <w:r>
        <w:t xml:space="preserve"> </w:t>
      </w:r>
      <w:r>
        <w:rPr>
          <w:b/>
          <w:bCs/>
          <w:rtl/>
        </w:rPr>
        <w:t>מזרזין.</w:t>
      </w:r>
      <w:r>
        <w:rPr>
          <w:rtl/>
        </w:rPr>
        <w:t xml:space="preserve"> כמו שאמרו למטה וחמושים</w:t>
      </w:r>
      <w:r>
        <w:t xml:space="preserve"> :</w:t>
      </w:r>
    </w:p>
  </w:footnote>
  <w:footnote w:id="2354">
    <w:p w:rsidR="00A13282" w:rsidRDefault="00A13282" w:rsidP="002D629A">
      <w:pPr>
        <w:pStyle w:val="a5"/>
      </w:pPr>
      <w:r>
        <w:rPr>
          <w:rStyle w:val="a7"/>
        </w:rPr>
        <w:footnoteRef/>
      </w:r>
      <w:r>
        <w:t xml:space="preserve"> </w:t>
      </w:r>
      <w:r>
        <w:rPr>
          <w:b/>
          <w:bCs/>
          <w:rtl/>
        </w:rPr>
        <w:t>מסטרא דחמשין כו'.</w:t>
      </w:r>
      <w:r>
        <w:rPr>
          <w:rtl/>
        </w:rPr>
        <w:t xml:space="preserve"> כ"ה וכ"ה דשחרית וערבית ויך את המצרי בה' אבנין דקירטא כו':</w:t>
      </w:r>
    </w:p>
  </w:footnote>
  <w:footnote w:id="2355">
    <w:p w:rsidR="00A13282" w:rsidRDefault="00A13282" w:rsidP="002D629A">
      <w:pPr>
        <w:pStyle w:val="a5"/>
      </w:pPr>
      <w:r>
        <w:rPr>
          <w:rStyle w:val="a7"/>
        </w:rPr>
        <w:footnoteRef/>
      </w:r>
      <w:r>
        <w:t xml:space="preserve"> </w:t>
      </w:r>
      <w:r>
        <w:rPr>
          <w:b/>
          <w:bCs/>
          <w:rtl/>
        </w:rPr>
        <w:t xml:space="preserve"> דבהון וחמושים כו'.</w:t>
      </w:r>
      <w:r>
        <w:rPr>
          <w:rtl/>
        </w:rPr>
        <w:t xml:space="preserve"> כמו שאמרו בזוהר מסטרא דחמשים עלמא דחירו לכן שחיט לס"א דשם אין שטן כו' ונטבע בים גימטריא חמשים חמשים מכות כמו שמפרש והולך</w:t>
      </w:r>
      <w:r>
        <w:t xml:space="preserve"> :</w:t>
      </w:r>
    </w:p>
  </w:footnote>
  <w:footnote w:id="2356">
    <w:p w:rsidR="00A13282" w:rsidRDefault="00A13282" w:rsidP="002D629A">
      <w:pPr>
        <w:pStyle w:val="a5"/>
      </w:pPr>
      <w:r>
        <w:rPr>
          <w:rStyle w:val="a7"/>
        </w:rPr>
        <w:footnoteRef/>
      </w:r>
      <w:r>
        <w:t xml:space="preserve"> </w:t>
      </w:r>
      <w:r>
        <w:rPr>
          <w:b/>
          <w:bCs/>
          <w:rtl/>
        </w:rPr>
        <w:t>מלאכין דנחתין.</w:t>
      </w:r>
      <w:r>
        <w:rPr>
          <w:rtl/>
        </w:rPr>
        <w:t xml:space="preserve"> רוצה לומר אינהו נקראים בני ישראל כמו שאמרו בריש פרשת שמות אלא שכתיב עלו לכך קאמר דנחתין כו'. כלהו הוו סלקין כו' כמו ישראל מן הים שרדף פרעה אחריהם ועיין זוהר חדש ע"ד ב' וכען צריך לפרשא ע"פ דסלקא צלותא מינה כצפור וכיונה וכנשרא וישראל כד נפקו כו'. ואמר בתוקפא דגבורה כמו שכתוב ביד רמה ורוצה לומר בכל זה שזהו עולימא דמזנב שתפלה בסוד השכינה מלכות</w:t>
      </w:r>
      <w:r>
        <w:t>:</w:t>
      </w:r>
    </w:p>
  </w:footnote>
  <w:footnote w:id="2357">
    <w:p w:rsidR="00A13282" w:rsidRDefault="00A13282" w:rsidP="002D629A">
      <w:pPr>
        <w:pStyle w:val="a5"/>
      </w:pPr>
      <w:r>
        <w:rPr>
          <w:rStyle w:val="a7"/>
        </w:rPr>
        <w:footnoteRef/>
      </w:r>
      <w:r>
        <w:t xml:space="preserve"> </w:t>
      </w:r>
      <w:r>
        <w:rPr>
          <w:b/>
          <w:bCs/>
          <w:rtl/>
        </w:rPr>
        <w:t>אמר לך ולחבריא הוה לכו כו'.</w:t>
      </w:r>
      <w:r>
        <w:rPr>
          <w:rtl/>
        </w:rPr>
        <w:t xml:space="preserve"> שהשיב לו שבתפלה עצמה יש חילוקים שיש מסטרא דכל עשר ספירות והחלשין הן מסטרא דעולימא כו' וכמו שמפרש והולך לכן הוה לכו לאסתכלא שעליהן מוטל שהן שבעה סבין הנ"ל</w:t>
      </w:r>
      <w:r>
        <w:t xml:space="preserve"> :</w:t>
      </w:r>
    </w:p>
  </w:footnote>
  <w:footnote w:id="2358">
    <w:p w:rsidR="00A13282" w:rsidRDefault="00A13282" w:rsidP="002D629A">
      <w:pPr>
        <w:pStyle w:val="a5"/>
      </w:pPr>
      <w:r>
        <w:rPr>
          <w:rStyle w:val="a7"/>
        </w:rPr>
        <w:footnoteRef/>
      </w:r>
      <w:r>
        <w:t xml:space="preserve"> </w:t>
      </w:r>
      <w:r>
        <w:rPr>
          <w:b/>
          <w:bCs/>
          <w:rtl/>
        </w:rPr>
        <w:t>הנחשלים כו'.</w:t>
      </w:r>
      <w:r>
        <w:rPr>
          <w:rtl/>
        </w:rPr>
        <w:t xml:space="preserve"> דנחש רדיף אחריהן כמו שמפרש והולך והן בקוצו של ד' עטרה אות ברית והוא אותיות נחש מילה כידוע</w:t>
      </w:r>
      <w:r>
        <w:t xml:space="preserve"> :</w:t>
      </w:r>
    </w:p>
  </w:footnote>
  <w:footnote w:id="2359">
    <w:p w:rsidR="00A13282" w:rsidRDefault="00A13282" w:rsidP="002D629A">
      <w:pPr>
        <w:pStyle w:val="a5"/>
      </w:pPr>
      <w:r>
        <w:rPr>
          <w:rStyle w:val="a7"/>
        </w:rPr>
        <w:footnoteRef/>
      </w:r>
      <w:r>
        <w:t xml:space="preserve"> </w:t>
      </w:r>
      <w:r>
        <w:rPr>
          <w:b/>
          <w:bCs/>
          <w:rtl/>
        </w:rPr>
        <w:t>דאלין עשר.</w:t>
      </w:r>
      <w:r>
        <w:rPr>
          <w:rtl/>
        </w:rPr>
        <w:t xml:space="preserve"> עשרה בני אדם של בית הכנסת</w:t>
      </w:r>
      <w:r>
        <w:t xml:space="preserve"> :</w:t>
      </w:r>
    </w:p>
  </w:footnote>
  <w:footnote w:id="2360">
    <w:p w:rsidR="00A13282" w:rsidRDefault="00A13282" w:rsidP="002D629A">
      <w:pPr>
        <w:pStyle w:val="a5"/>
      </w:pPr>
      <w:r>
        <w:rPr>
          <w:rStyle w:val="a7"/>
        </w:rPr>
        <w:footnoteRef/>
      </w:r>
      <w:r>
        <w:t xml:space="preserve"> </w:t>
      </w:r>
      <w:r>
        <w:rPr>
          <w:b/>
          <w:bCs/>
          <w:rtl/>
        </w:rPr>
        <w:t>אפילו נחש כו'.</w:t>
      </w:r>
      <w:r>
        <w:rPr>
          <w:rtl/>
        </w:rPr>
        <w:t xml:space="preserve"> כנ"ל והוא בשביל עונות של המתפלל וזו מעלת תפלה בעשרה</w:t>
      </w:r>
      <w:r>
        <w:t xml:space="preserve"> :</w:t>
      </w:r>
    </w:p>
  </w:footnote>
  <w:footnote w:id="2361">
    <w:p w:rsidR="00A13282" w:rsidRDefault="00A13282" w:rsidP="002D629A">
      <w:pPr>
        <w:pStyle w:val="a5"/>
      </w:pPr>
      <w:r>
        <w:rPr>
          <w:rStyle w:val="a7"/>
        </w:rPr>
        <w:footnoteRef/>
      </w:r>
      <w:r>
        <w:t xml:space="preserve"> </w:t>
      </w:r>
      <w:r>
        <w:rPr>
          <w:b/>
          <w:bCs/>
          <w:rtl/>
        </w:rPr>
        <w:t>דאיהי קוצא.</w:t>
      </w:r>
      <w:r>
        <w:rPr>
          <w:rtl/>
        </w:rPr>
        <w:t xml:space="preserve"> שהיא משלמת לעשרה - א"ח ד', גבוה עשרה ורחבו ארבעה - במילואו ופשוטו, שהן זו"נ - רוח ונפש, וכן הוי"ה אדנ"י גם כן גבוה כו', והוא זנב ופרצוף זנב בקוצא של ד' זנב לאריות דנכללת בדכורא וד' עצמה הוא פרצוף, וכן בה' של הוי"ה ואדנ"י:</w:t>
      </w:r>
    </w:p>
  </w:footnote>
  <w:footnote w:id="2362">
    <w:p w:rsidR="00A13282" w:rsidRDefault="00A13282" w:rsidP="002D629A">
      <w:pPr>
        <w:pStyle w:val="a5"/>
      </w:pPr>
      <w:r>
        <w:rPr>
          <w:rStyle w:val="a7"/>
        </w:rPr>
        <w:footnoteRef/>
      </w:r>
      <w:r>
        <w:t xml:space="preserve"> </w:t>
      </w:r>
      <w:r>
        <w:rPr>
          <w:rtl/>
        </w:rPr>
        <w:t xml:space="preserve"> </w:t>
      </w:r>
      <w:r>
        <w:rPr>
          <w:b/>
          <w:bCs/>
          <w:rtl/>
        </w:rPr>
        <w:t>לא יפסיק כו' דבגין כו' אבל בגין כו'.</w:t>
      </w:r>
      <w:r>
        <w:rPr>
          <w:rtl/>
        </w:rPr>
        <w:t xml:space="preserve"> הענין כי כל זמן שמאמין באחדותו יתברך אפילו עובר כמה עבירות אינו מומר לכל התורה ואף על פי שחטא ישראל הוא ומצטרף למנין כמו שאמרו עבריין כו' ונכלל תפלתו בכלל ישראל, ותפלתו היא בקוץ הנ"ל, והענין כי קוץ הנ"ל הוא מבועא דלא פריש מבירא לעלמין כי זאת בחינה אחרונה, מלכות של ז"א, אות ברית של ישראל דבוק תמיד בה כיון שתמיד ישראל מאמינים באחדותו, וזה הקוץ מורה דלא ליחלף באל אחר שלכן הד' והר' גדולים, אבל שאר הבחינות שתלוים בשאר מצות מסתלקין בעוונותינו הרבים מחמת עונות כשרובם ח"ו כו' וזה הוא סטרא דנחש - בשאר עבירות, אבל עקרב הוא המודה בעבודת כוכבים ומשתחוה לאל אחר וכן בבת אל נכר אז הקוץ ח"ו מסתלק מצדו וזהו פירוד הגמור וזה שאומר ואיהו פוסק וברח כו' רוצה לומר יוסף במדרגתו ומסתלק הקב"ה ממנו כלל וכלל ואין תפלתו עולה כלל דהעליה משכינה לז"א - ע"י זיווג, וזה סוד נחש ועקרב, דעקרב הוא הכופר בעקר - אותיות עקרב, ובמקום ד' עם עקב עושה ר' עם עק"ב. וזה סוד יעקב שקוצו של ד' הוא יו"ד, אות ברית, ולכן יעקב - נוק' ורוצה לומר של דכורא ולכן תפלת יעקב רשות - שהיא בחינה אחרונה הנשארת בלילה, שיעקב תיקנה - שאינה מסתלקת לעולם, ואמרו בניו שמע ישראל כו' אחד, וכן לעולם אנו אומרים שמע ישראל - סבא כו', כמו שאמרו במדרש רבה (דברים פרשה ב) מה שאין כן של אברהם ויצחק</w:t>
      </w:r>
      <w:r>
        <w:t xml:space="preserve"> :</w:t>
      </w:r>
    </w:p>
  </w:footnote>
  <w:footnote w:id="2363">
    <w:p w:rsidR="00A13282" w:rsidRDefault="00A13282" w:rsidP="002D629A">
      <w:pPr>
        <w:pStyle w:val="a5"/>
      </w:pPr>
      <w:r>
        <w:rPr>
          <w:rStyle w:val="a7"/>
        </w:rPr>
        <w:footnoteRef/>
      </w:r>
      <w:r>
        <w:t xml:space="preserve"> </w:t>
      </w:r>
      <w:r>
        <w:rPr>
          <w:rtl/>
        </w:rPr>
        <w:t xml:space="preserve"> </w:t>
      </w:r>
      <w:r>
        <w:rPr>
          <w:b/>
          <w:bCs/>
          <w:rtl/>
        </w:rPr>
        <w:t>דעקרת ביתא כו'.</w:t>
      </w:r>
      <w:r>
        <w:rPr>
          <w:rtl/>
        </w:rPr>
        <w:t xml:space="preserve"> כי באצילות לא יגורך רע (תהלים ה ה), והזר כו' (במדבר א נא), אלא בבריאה - עץ הדעת טוב ורע - בשם המשותף, ודי למבין, ושם הוא בגד שלו גם כן - גימטריא ט':</w:t>
      </w:r>
    </w:p>
  </w:footnote>
  <w:footnote w:id="2364">
    <w:p w:rsidR="00A13282" w:rsidRDefault="00A13282" w:rsidP="002D629A">
      <w:pPr>
        <w:pStyle w:val="a5"/>
      </w:pPr>
      <w:r>
        <w:rPr>
          <w:rStyle w:val="a7"/>
        </w:rPr>
        <w:footnoteRef/>
      </w:r>
      <w:r>
        <w:t xml:space="preserve"> </w:t>
      </w:r>
      <w:r>
        <w:rPr>
          <w:rtl/>
        </w:rPr>
        <w:t xml:space="preserve"> </w:t>
      </w:r>
      <w:r>
        <w:rPr>
          <w:b/>
          <w:bCs/>
          <w:rtl/>
        </w:rPr>
        <w:t>שכבה.</w:t>
      </w:r>
      <w:r>
        <w:rPr>
          <w:rtl/>
        </w:rPr>
        <w:t xml:space="preserve"> שעל זה נקראת זונה כמו שבארנו במשלי (פירוש הגר"א שם פרק ז פסוק יז, נפתי משכבי, עיי"ש. ג.פ.)</w:t>
      </w:r>
      <w:r>
        <w:t xml:space="preserve"> :</w:t>
      </w:r>
    </w:p>
  </w:footnote>
  <w:footnote w:id="2365">
    <w:p w:rsidR="00A13282" w:rsidRDefault="00A13282" w:rsidP="002D629A">
      <w:pPr>
        <w:pStyle w:val="a5"/>
      </w:pPr>
      <w:r>
        <w:rPr>
          <w:rStyle w:val="a7"/>
        </w:rPr>
        <w:footnoteRef/>
      </w:r>
      <w:r>
        <w:t xml:space="preserve"> </w:t>
      </w:r>
      <w:r>
        <w:rPr>
          <w:b/>
          <w:bCs/>
          <w:rtl/>
        </w:rPr>
        <w:t>א"ל מאן אנת.</w:t>
      </w:r>
      <w:r>
        <w:rPr>
          <w:rtl/>
        </w:rPr>
        <w:t xml:space="preserve"> שראו שהוא עולימא הנ"ל ומדרגתו גדולה למאד כנ"ל</w:t>
      </w:r>
      <w:r>
        <w:t xml:space="preserve"> :</w:t>
      </w:r>
    </w:p>
  </w:footnote>
  <w:footnote w:id="2366">
    <w:p w:rsidR="00A13282" w:rsidRDefault="00A13282" w:rsidP="002D629A">
      <w:pPr>
        <w:pStyle w:val="a5"/>
      </w:pPr>
      <w:r>
        <w:rPr>
          <w:rStyle w:val="a7"/>
        </w:rPr>
        <w:footnoteRef/>
      </w:r>
      <w:r>
        <w:t xml:space="preserve"> </w:t>
      </w:r>
      <w:r>
        <w:rPr>
          <w:b/>
          <w:bCs/>
          <w:rtl/>
        </w:rPr>
        <w:t>דנונא חדא כו'.</w:t>
      </w:r>
      <w:r>
        <w:rPr>
          <w:rtl/>
        </w:rPr>
        <w:t xml:space="preserve"> רוצה לומר יסוד, כמו שאומר לקמן ע"ב לויתן לעילא כו', והוא עולה בדעת ומתמלא ממוחא בינה - ימא רבא, ונכנסין בו כל הנשמות וזה שאומר ואפיק לון כו', שהוא חי, ומסטריה - בן איש חי כמו שאמרו בזוהר פרשת בראשית על פסוק ובניהו כו' ובריש פרשת שמות ב' א' זוהר איבא דאילנא כו' אלין אקרון חיין להאי עלמא וחיין כו', ומכל מקום עיקר הלויתן הוא בדעת - דרגא דמשה רבינו עליו השלום כמו שאמרו בזוהר פרשת שמות י"א ב' מבית לוי דא קב"ה אתר דחכמה עילאה וההוא נהר מתחברן כחדא ולא מתפרשין לעלמין מבית לוי דאשרי לויתן לחידו לעלמא כו' וכן בזוהר פרשת שלח קע"ד א', אלא שהנהר הוא הולך בכולם נקרא על שם צדיק וכמו שאומר לקמן בתיקון מ' כי הצדיק אין פעולתו לשמש אלא בהאי נהר ונקרא חי על שם האי נהר כי אז נקרא אבר חי ונקרא דעת וידע אדם כו' והאדם ידע כו', וזה שאומר ברעיא מהימנא פרשת תצא רע"ט א' בגין דאנת לויתן נחש בריח דימא דאורייתא מארי דכל נונין לויתן על שם אורייתא דאתמר בה כי לוית חן הם לראשך כו' מאי ניהו לויתן א"ל בוצינא קדישא האי איהו דדרגיה עמודא דאמצעיתא וצדיק, דאתמר ביה גוף וברית חשבינן חד, ואתרבי בימא דא דאיהי אימא עילאה ים דבה מייחדין לקב"ה כ"ה כ"ה אתוון דאינון ים בחושבן, ואיהו לויתן קאים על שפת הים, ועלמא קאי על סנפירוי - דא צדיק יסוד עולם דכל עלמא קאים עלוי, ורוצה לומר האי איהו דדרגיה כו' רוצה לומר הדעת דהוא בת"ת ויסוד, דביה אמרו גוף וברית אחד, ונקרא לויתן נחש בריח על שם שניהם כמו שאמרו לקמן ב' לויתן לעילא כו' נחש בריח כו', והדעת הזה הוא שט בימא רברבא ושם גדל ולכן נקרא דג, וכל נשמות דמשכילים בקבלה מארי מתניתין הן מיניה כמו שאומר לעיל דף א' ע"א אוף אלין נשמתין דמשכילים כו' וכולהו פרחין מן רקיע ודא צדיק חי העולמים כו', ואלו נקראים נוני ימא דידעין לשטטא בימא דחכמתא, אבל העוסקין בפשוטו הן ביבשה כמו שאומר לקמן תיקון ל' דף ע"ו ע"ב דגרמין דאסתלק כו' ואשתארת ב' יבשה כו', וכן בתיקון מ"ג ואמר ברעיא מהימנא פרשת תצא דף רע"ח ע"ב דגים וחגבים כו' תנינא דמתניתין דבה אתרבו כנוני ימא ואי אינון דיבשתא יפלון למיא ולא ידעין לשטטא כו' עיין שם בדבריו, וזה שאומר דבלע כל נונין דימא, ואמר ואפיק לון חיים לבר כנ"ל דאינון דאכלין מיניה אקרון חיים בעלמא דין וחיים כו', ואמר בימא רברבא - דאיהי ים הגדול וכמו שאומר לקמן נ"ג א' שבע ימין אינון וים עילאה על כלהו שהוא ים אוקינוס דאיהו עמוק דלית ליה סוף, ואמר ולזמנין איהו כו', הענין, שהדעת הוא בים הגדול - לויתן שבו, דהוא בים אוקינוס שהוא בבינ"ה - בן י"ה, והוא הנהר דמתפשטין מיניה ששה נהרות - בו"ק, כמו שאומר לעיל ל"ח א' ולקמן צ"א א'. וכד נחית בנוק' דהיא יבשה, וליבשה קרא ארץ, דאז (ישעיהו יא ט) ומלאה הארץ דעה כמים לים מכסים וכמו שבארנו לקמן פ"ט א' בארוכה עיין שם, ומכל מקום אף בזמן הזה הוא לפרקים וכמו שאמרו הראשונים דכל דבר שיהיה לעתיד הוא עתה לפרקים, ובזמן שיש צדיק בדור כמו רשב"י וכיוצא, וכן אותו העולם הוא ימא ונשמתין דמתיבתאן הם נוני ימא, ועולם הזה הוא יבשה ומשה רבינו עליו השלום הוא נונא רבא והוא בלע כל נוני ימא שם, דנשמתין מתחדשין שם כל יום בימא כמו נשמתין כאן דמתחדשין בכל יום - במלכות, (איכה ג כג) חדשים לבקרים רבה אמונתך, מלכותא קדישא, כן הוא שם באימא עילאה - ימא, והן מתחדשין שם כל יום בכמה חדושין כמו שאמרו בזוהר פרשת שלח קס"ח א', אי ר' כד סלקין לעילא כל אינון רוחין, דו"נ, בההוא זמנא שמעין כמה מלין חדתין ועתיקין כו' כד סלקין מתפשטין מלבושיהון וסלקין כו', והוא כמו בעולם הזה שהנפש מתפשטת מגופא וסלקת לאפריון, ושם סלקין לאפרסמון, כמו שאמרו בזוהר פרשת תרומה קכ"ד ב' ועיין בזוהר פרשת בראשית י"ט א' ציורא דאדם לתתא מצטיירין בציורייהו במלבושא כו' עיין שם בדבריו והוא כגוונא דההוא עלמא באפרסמון בימא עילאה וחידושא דלהון באורייתא כנ"ל והכל על ידי הדעת וע"י משה רבינו עליו השלום, דכל חידושים דעלמא מתחדשין על ידו - דהוא שמשא דנהיר בכוכביא, וזהו דבלע כל נונין כו' ואפיק לון חיים לבר - דהדר מתלבשין בלבושין חיים כמו האדם משינתא דנשמתא מתחדש ליה ושם הוא החיים אמיתיים, וזה שאומר לבר למטה דנחתין מתלבשין בגופא דו"ק לבר כמו שאומר למטה, ושם למעלה בההוא לויתן דבלע - שם השעשוע של הקב"ה בצדיקייא כמו שאומר בזוהר פרשת תרומה שם עיין שם ושאר מקומות, וזה שכתוב (תהלים קד כו) לויתן זה יצרת כו' ואמרו (ילקוט שמעוני ישעיהו מג המשך סימן תנב) משחק עם לויתן, והן חדושי תורה שמחדש להן יתברך, ומשה רבינו עליו השלום אע"ג דשט בימא, לזמנין נפיק ביבשתא, כמו לעתיד לבוא שיהיה בקביעות - כן הוא בזמן הזה כמו בימי רשב"י דנחית בחבורא דיליה, וכן כיוצא וכן כל דאתיין מדרגיה כמו ר"ה סבא - מניחין אותו העולם שהוא ימא ואזלין לזה העולם אחר חדושי תורה וכמו שאמרו בזוהר פרשת בלק קפ"ח א' אינון דאפילו נוני ימא רבא נפקין ביבשתא לגבייהו כו' אר"א נשיקה קדמאה על נונין כו', וזה שאומר ברא דנונא כו' - שהוא ניצוץ משה רבינו עליו השלום</w:t>
      </w:r>
      <w:r>
        <w:t xml:space="preserve"> :</w:t>
      </w:r>
    </w:p>
  </w:footnote>
  <w:footnote w:id="2367">
    <w:p w:rsidR="00A13282" w:rsidRDefault="00A13282" w:rsidP="002D629A">
      <w:pPr>
        <w:pStyle w:val="a5"/>
      </w:pPr>
      <w:r>
        <w:rPr>
          <w:rStyle w:val="a7"/>
        </w:rPr>
        <w:footnoteRef/>
      </w:r>
      <w:r>
        <w:t xml:space="preserve"> </w:t>
      </w:r>
      <w:r>
        <w:rPr>
          <w:b/>
          <w:bCs/>
          <w:rtl/>
        </w:rPr>
        <w:t>לקיימא בי' וידגו כו'.</w:t>
      </w:r>
      <w:r>
        <w:rPr>
          <w:rtl/>
        </w:rPr>
        <w:t xml:space="preserve"> שכתיב וידגו, וכתיב בקרב הארץ</w:t>
      </w:r>
      <w:r>
        <w:t xml:space="preserve"> :</w:t>
      </w:r>
    </w:p>
  </w:footnote>
  <w:footnote w:id="2368">
    <w:p w:rsidR="00A13282" w:rsidRDefault="00A13282" w:rsidP="002D629A">
      <w:pPr>
        <w:pStyle w:val="a5"/>
      </w:pPr>
      <w:r>
        <w:rPr>
          <w:rStyle w:val="a7"/>
        </w:rPr>
        <w:footnoteRef/>
      </w:r>
      <w:r>
        <w:t xml:space="preserve"> </w:t>
      </w:r>
      <w:r>
        <w:rPr>
          <w:b/>
          <w:bCs/>
          <w:rtl/>
        </w:rPr>
        <w:t>מגדלא חדא כו'.</w:t>
      </w:r>
      <w:r>
        <w:rPr>
          <w:rtl/>
        </w:rPr>
        <w:t xml:space="preserve"> הוא מגדל השן, ל' של חול, דל' - הוא מגדל הפורח באויר, והוא פרח בדיבורא, ברוחא דפומא, אויר השלישי - ה' אלקינו ה', ועיין בזוהר פרשת בראשית ומה שבארנו שם</w:t>
      </w:r>
      <w:r>
        <w:t xml:space="preserve"> :</w:t>
      </w:r>
    </w:p>
  </w:footnote>
  <w:footnote w:id="2369">
    <w:p w:rsidR="00A13282" w:rsidRDefault="00A13282" w:rsidP="002D629A">
      <w:pPr>
        <w:pStyle w:val="a5"/>
      </w:pPr>
      <w:r>
        <w:rPr>
          <w:rStyle w:val="a7"/>
        </w:rPr>
        <w:footnoteRef/>
      </w:r>
      <w:r>
        <w:t xml:space="preserve"> </w:t>
      </w:r>
      <w:r>
        <w:rPr>
          <w:b/>
          <w:bCs/>
          <w:rtl/>
        </w:rPr>
        <w:t>דכד צחי כו'.</w:t>
      </w:r>
      <w:r>
        <w:rPr>
          <w:rtl/>
        </w:rPr>
        <w:t xml:space="preserve"> כבר כתבנו שהוא צדיק, והנה הצדיק מתעורר מחימום הגבורות ואח"כ יורד בתוכו מימי החסדים וכמו שאמרו בתחלה שמאלו תחת לראשי ואח"כ ימינו תחבקני ועיין בזוהר פרשת תרומה קס"ט ב' ואתערו דחדוה שמאלא איהו דכתיב שמאלו תחת לראשי כו' וההוא אילנא דחיי עביד פירין ואיבין באתערותא דא כו' ונגיד לברית קדישא לנגדא לון בההוא גפן ודא מסטרא דימינא דהא לית איבא משתכחא אלא בימינא, שמאלא אתער וימינא עביד, ומבשרי כו' וזהו צחי לזווגא בשלהובין דרחימו - צמא לך בשרי (תהלים סג ב) ובשרי ידוע - בשר קודש, ואמר אפתח פומיה כו' דמתפתח ובלע מיא דימא מהבינה, דמשם יורד משך הזרע ומוריד לנוק' ועל ידי זה מתכבה השלהובין ואינו יכול לעורר עוד פעם אחרת לזיווג עד זמן מה שתתמלא הבינה עוד והוא משך שבעים שנה, כי היא נקראת שבעים שנה וכמו שאומר בזוהר פרשת שמות ט' ב' עיין שם. והנה כל האברים, שהן שבע ספירות, מתרוקנין בההוא משך הזרע עד שכל האברים יתמלאו והן במשך שבעים שנה כמו שאמרו בתיקוני זוהר חדש במתני' דעשר ספירות דהן מהלך חמשים שנה בחמש ספירות, והוא נטיל עשרים מדיליה כו' עיין שם, אבל לעתיד לבוא שתתרבה הדעת והאהבה, רשפיה רשפי כו', ואז מים רבים לא יוכלו לכבות, ואף על פי שירדו מים רבים - תמיד בזיווג, כמו שכתוב ומלאה הארץ דעה כמים לים מכסים מכל מקום לא יוכלו לכבות את האהבה שתהיה כגוונא עלמא עילאה ונהרות, שהן שבעה נהרות, לא ישטפוה</w:t>
      </w:r>
      <w:r>
        <w:t xml:space="preserve"> :</w:t>
      </w:r>
    </w:p>
  </w:footnote>
  <w:footnote w:id="2370">
    <w:p w:rsidR="00A13282" w:rsidRDefault="00A13282" w:rsidP="002D629A">
      <w:pPr>
        <w:pStyle w:val="a5"/>
      </w:pPr>
      <w:r>
        <w:rPr>
          <w:rStyle w:val="a7"/>
        </w:rPr>
        <w:footnoteRef/>
      </w:r>
      <w:r>
        <w:t xml:space="preserve"> </w:t>
      </w:r>
      <w:r>
        <w:rPr>
          <w:b/>
          <w:bCs/>
          <w:rtl/>
        </w:rPr>
        <w:t>ורזא דמלה יבטח כו'.</w:t>
      </w:r>
      <w:r>
        <w:rPr>
          <w:rtl/>
        </w:rPr>
        <w:t xml:space="preserve"> כמו שאמרו בגמרא (בבא בתרא עד ע"ב), ואמר יבטח - שמעורר לזיווג - שהוא בוטח כי יגיח כו', שיודע כי אין נסתר מחמתו, שכל האברים מתעוררין עמיה והוא שאיב לגביה כו'</w:t>
      </w:r>
      <w:r>
        <w:t xml:space="preserve"> :</w:t>
      </w:r>
    </w:p>
  </w:footnote>
  <w:footnote w:id="2371">
    <w:p w:rsidR="00A13282" w:rsidRDefault="00A13282" w:rsidP="002D629A">
      <w:pPr>
        <w:pStyle w:val="a5"/>
      </w:pPr>
      <w:r>
        <w:rPr>
          <w:rStyle w:val="a7"/>
        </w:rPr>
        <w:footnoteRef/>
      </w:r>
      <w:r>
        <w:t xml:space="preserve"> </w:t>
      </w:r>
      <w:r>
        <w:rPr>
          <w:b/>
          <w:bCs/>
          <w:rtl/>
        </w:rPr>
        <w:t>ואתון לא כו'.</w:t>
      </w:r>
      <w:r>
        <w:rPr>
          <w:rtl/>
        </w:rPr>
        <w:t xml:space="preserve"> כמו שאמרו ד"ך ים, כמו שאומר לקמן בתיקון כ"ח ובתיקוני זוהר חדש ושאר מקומות הרבה דאיהו בלע ימא דאורייתא, נש"ב, והוא משה רבינו עליו השלום, מעט מאלקים, אבל לית ליה אלא כ"ד ספרים והכל על דרגיה, ורב המנונא ניצוץ נשמתו כידוע</w:t>
      </w:r>
      <w:r>
        <w:t xml:space="preserve"> :</w:t>
      </w:r>
    </w:p>
  </w:footnote>
  <w:footnote w:id="2372">
    <w:p w:rsidR="00A13282" w:rsidRDefault="00A13282" w:rsidP="002D629A">
      <w:pPr>
        <w:pStyle w:val="a5"/>
      </w:pPr>
      <w:r>
        <w:rPr>
          <w:rStyle w:val="a7"/>
        </w:rPr>
        <w:footnoteRef/>
      </w:r>
      <w:r>
        <w:t xml:space="preserve"> </w:t>
      </w:r>
      <w:r>
        <w:rPr>
          <w:b/>
          <w:bCs/>
          <w:rtl/>
        </w:rPr>
        <w:t>א"ל כו' קרב ביה.</w:t>
      </w:r>
      <w:r>
        <w:rPr>
          <w:rtl/>
        </w:rPr>
        <w:t xml:space="preserve"> ענין המלחמה, דבחטא הסלע דגרמו ערב רב נסתרה התורה בגחון, כמו שאמרו בזוהר פרשת בראשית כ"ו ב' ושים בסלע דחויא קנך, כמו שאמרו בתיקוני זוהר חדש ע"ה א' והוא בשלש קליפין הראשונות מפרדס, וראשונה - תהו, קליפה ירוקא, פשט, הוא רכה - פישון, אבל בהו - אבנים מפולמות, קליפה קשה דאגוזא - קשיא מאד, ולחכימא ברמיזא, ועלה מתכנשין כל מארי מתניתין לתברא לה ולית מאן דמתברא לה עד שיבוא משה רבינו עליו השלום כמו שאומר למטה ועיין שם בתיקוני זוהר חדש ובזוהר פרשת תצא בארוכה, וזהו כל הקרבא - להבין רמזים דאורייתא דאיהי סתימא, וכמו דנפיק בהכאה טפין ממנה, כן לא נפקי בהכאה דמארי מתניתין שהם בעלי הקבלה אלא טפין, והוא לתברא סלע דחויא, דרך נחש עלי צור</w:t>
      </w:r>
      <w:r>
        <w:t xml:space="preserve"> :</w:t>
      </w:r>
    </w:p>
  </w:footnote>
  <w:footnote w:id="2373">
    <w:p w:rsidR="00A13282" w:rsidRDefault="00A13282" w:rsidP="002D629A">
      <w:pPr>
        <w:pStyle w:val="a5"/>
      </w:pPr>
      <w:r>
        <w:rPr>
          <w:rStyle w:val="a7"/>
        </w:rPr>
        <w:footnoteRef/>
      </w:r>
      <w:r>
        <w:t xml:space="preserve"> </w:t>
      </w:r>
      <w:r>
        <w:rPr>
          <w:b/>
          <w:bCs/>
          <w:rtl/>
        </w:rPr>
        <w:t xml:space="preserve"> דאיהו בלע וקטיל.</w:t>
      </w:r>
      <w:r>
        <w:rPr>
          <w:rtl/>
        </w:rPr>
        <w:t xml:space="preserve"> רוצה לומר, בלע - בנורא דגיהנם, וקטיל - בסם המות דיליה דאינון שני נוקבין דיליה ועיין מה שבארנו לקמן בתיקוני זוהר חדש פ"ח א'. והן מרה וטחול וכמו שבארנו שם. ועיין לקמן מ"ג א' מרה סם המות דיליה טחול נחש כו' ומרה איהו חרבא דמלאך המות כמה דאת אמר ואחריתה כו' ואיהו שחוק הכסיל כו' בגין דאיהו שאול תחתית דאתמר ביה צדיק ממנו בולע כו' עיין שם בארוכה, וכן שם מ"ד ב' ושם מ"ו א' בארוכה הרבה, וברעיא מהימנא פרשת פנחס, ואמר בתיקוני זוהר חדש ע"ו א' קם ר"ש בוצינא קדישא כו', עיין שם כל הענין כמו שאומר כאן. ואמר ולא עוד אלא כו'. רוצה לומר אפילו לצדיקים גדולים שהן בדרגא עילאה מאד אפילו הכי אין מקוה ממות ולכן לא אמר ח"ו בהון בלע</w:t>
      </w:r>
      <w:r>
        <w:t xml:space="preserve"> :</w:t>
      </w:r>
    </w:p>
  </w:footnote>
  <w:footnote w:id="2374">
    <w:p w:rsidR="00A13282" w:rsidRDefault="00A13282" w:rsidP="002D629A">
      <w:pPr>
        <w:pStyle w:val="a5"/>
      </w:pPr>
      <w:r>
        <w:rPr>
          <w:rStyle w:val="a7"/>
        </w:rPr>
        <w:footnoteRef/>
      </w:r>
      <w:r>
        <w:t xml:space="preserve"> </w:t>
      </w:r>
      <w:r>
        <w:rPr>
          <w:b/>
          <w:bCs/>
          <w:rtl/>
        </w:rPr>
        <w:t>וברת' איהו כו'.</w:t>
      </w:r>
      <w:r>
        <w:rPr>
          <w:rtl/>
        </w:rPr>
        <w:t xml:space="preserve"> רוצה לומר, מעין חתום דבה, דנעלמה מעין כל חי - חכמה שלה, שהיא לבנה והיא תורה שבעל פה ועיין לקמן בסוף תיקון נ"ב מה שבארנו שם על מה שאומר שם דא לבנה כו', והיא בת מלך כמו שאומר למטה</w:t>
      </w:r>
      <w:r>
        <w:t xml:space="preserve"> :</w:t>
      </w:r>
    </w:p>
  </w:footnote>
  <w:footnote w:id="2375">
    <w:p w:rsidR="00A13282" w:rsidRDefault="00A13282" w:rsidP="002D629A">
      <w:pPr>
        <w:pStyle w:val="a5"/>
      </w:pPr>
      <w:r>
        <w:rPr>
          <w:rStyle w:val="a7"/>
        </w:rPr>
        <w:footnoteRef/>
      </w:r>
      <w:r>
        <w:t xml:space="preserve"> </w:t>
      </w:r>
      <w:r>
        <w:rPr>
          <w:b/>
          <w:bCs/>
          <w:rtl/>
        </w:rPr>
        <w:t>והיא על מגדלא כו'.</w:t>
      </w:r>
      <w:r>
        <w:rPr>
          <w:rtl/>
        </w:rPr>
        <w:t xml:space="preserve"> שהוא מגדל השן כנ"ל, נקודה בהיכליה, וכאן היא על מגדלא כו'</w:t>
      </w:r>
      <w:r>
        <w:t xml:space="preserve"> :</w:t>
      </w:r>
    </w:p>
  </w:footnote>
  <w:footnote w:id="2376">
    <w:p w:rsidR="00A13282" w:rsidRDefault="00A13282" w:rsidP="002D629A">
      <w:pPr>
        <w:pStyle w:val="a5"/>
      </w:pPr>
      <w:r>
        <w:rPr>
          <w:rStyle w:val="a7"/>
        </w:rPr>
        <w:footnoteRef/>
      </w:r>
      <w:r>
        <w:t xml:space="preserve"> </w:t>
      </w:r>
      <w:r>
        <w:rPr>
          <w:b/>
          <w:bCs/>
          <w:rtl/>
        </w:rPr>
        <w:t>ומכריזין כו'.</w:t>
      </w:r>
      <w:r>
        <w:rPr>
          <w:rtl/>
        </w:rPr>
        <w:t xml:space="preserve"> כמו שאמרו (משנה אבות ו ב) בכל יום בת קול יוצאת כו' מעלבונה כו', והעלבון שלה - מהאי חויא וכמו שמפרש והולך, דכל מאן כו' והוא לתברא להאי סלע הנ"ל</w:t>
      </w:r>
      <w:r>
        <w:t xml:space="preserve"> :</w:t>
      </w:r>
    </w:p>
  </w:footnote>
  <w:footnote w:id="2377">
    <w:p w:rsidR="00A13282" w:rsidRDefault="00A13282" w:rsidP="002D629A">
      <w:pPr>
        <w:pStyle w:val="a5"/>
      </w:pPr>
      <w:r>
        <w:rPr>
          <w:rStyle w:val="a7"/>
        </w:rPr>
        <w:footnoteRef/>
      </w:r>
      <w:r>
        <w:t xml:space="preserve"> </w:t>
      </w:r>
      <w:r>
        <w:rPr>
          <w:b/>
          <w:bCs/>
          <w:rtl/>
        </w:rPr>
        <w:t>דיהבין ליה לאנתו.</w:t>
      </w:r>
      <w:r>
        <w:rPr>
          <w:rtl/>
        </w:rPr>
        <w:t xml:space="preserve"> כמו שאמרו (פסחים מט ע"ב) כל הלומד תורה בפני עם הארץ כאלו בועל ארוסתו בפניו, ואמר ארוסתו דכבר ארוסה היא מסיני כמו שכתוב (דברים לג ד) תורה צוה לנו משה מורשה, אל תקרי מורשה כו' (פסחים שם), אלא שאינה נשואה עד שילמוד אותה, וכמו שאמרו (עבודה זרה יט ע"א) כי אם בתורת ה' כו' בתחלה תורת ה' ואח"כ היא תורתו, וכמו שאמרו (קידושין לב ע"ב) הדר אמר רבא אין תורה דיליה היא דכתיב ובתורתו, אבל לברתא דמלכא לית דזכה לה עד דיקטול לההוא חויא, ואפילו משה רבינו עליו השלום עדיין לא זכה אליה בשביל חטא הסלע, וכמו שאמרו בתיקוני זוהר חדש שם אבל ברתא דמלכא עלה אתמר רבות בנות עשו חיל ואת עלית על כלנה, ואיהי ארוסה למשה, הלכה למשה מסיני, ועד כאן לאו איהי נשואה ליה עד דיקטול לחויא ויעול לארעא קדישא דבגין דא לא עאל לארעא קדישא עד דיזכה לה דמתרין לוחין דאתברו פרחה מיניה, ובגלותא רביעאה יזכה לה, ובגינה יזכה לארעא קדישא, ועתה מתכסה בסלע דמט"ט וכמו שאומר לקמן ק"א א' בגין דאורייתא מתרין לוחין אלין כו' ויהיב לון אחרנין מסטרא דעץ הדעת טוב ורע כו' אבל ברתא דמלכא היא עץ החיים ועיין ברעיא מהימנא פרשת פנחס רמ"ח ב' סיהרא דעץ החיים ההיא נקודה דלגאו מינה איהי כמבועא דלית ליה פסק כו' והיא בת מלך פנימאה כמו שכתוב כל כבודה בת מלך פנימה והוא ההיא נקודה דלגאו והיא נקראת כבו"ד - בל"ב נתיבות, בלבת אש, ל"ב ב"ת, ואמר פנימאה - משום דאית בת עין חיצון, כמו שאמרו בתיקוני זוהר חדש ע"ג ד' בת דקיקא זעירא אית מלגאו תחות בת עינא עילאה ודא שכינתא תתאה, דבת עינא עילאה - תמן חכמה, והיא שמדובר בה כאן</w:t>
      </w:r>
      <w:r>
        <w:t xml:space="preserve"> :</w:t>
      </w:r>
    </w:p>
  </w:footnote>
  <w:footnote w:id="2378">
    <w:p w:rsidR="00A13282" w:rsidRDefault="00A13282" w:rsidP="002D629A">
      <w:pPr>
        <w:pStyle w:val="a5"/>
      </w:pPr>
      <w:r>
        <w:rPr>
          <w:rStyle w:val="a7"/>
        </w:rPr>
        <w:footnoteRef/>
      </w:r>
      <w:r>
        <w:t xml:space="preserve"> </w:t>
      </w:r>
      <w:r>
        <w:rPr>
          <w:b/>
          <w:bCs/>
          <w:rtl/>
        </w:rPr>
        <w:t>איהו ז' ימי כו'.</w:t>
      </w:r>
      <w:r>
        <w:rPr>
          <w:rtl/>
        </w:rPr>
        <w:t xml:space="preserve"> שהן ז"ת וה' הוא הדעת, ה' אור כידוע, ה’ חסדים שהוא עוטה אור כשלמה, וב' הוא בינה, נקודה בהיכליה, בחכמה יבנה בית, ואלו הן ארבעה לבושי זהב שלה כמו שאומר לעיל ג' ב' ולקמן ריש תיקון ל"ח, והן כי ז"ת - הן שני לבושין, שהן זו"נ, וה' אור הוא במקום חכמה - דמיניה הן כמו שאמרו בתוספתא נהיר נהירו כו' חד יריעא מרקמה כו', והן ארבע אותיות אדנ"י במקום יקו"ק דדכורא</w:t>
      </w:r>
      <w:r>
        <w:t xml:space="preserve"> :</w:t>
      </w:r>
    </w:p>
  </w:footnote>
  <w:footnote w:id="2379">
    <w:p w:rsidR="00A13282" w:rsidRDefault="00A13282" w:rsidP="002D629A">
      <w:pPr>
        <w:pStyle w:val="a5"/>
      </w:pPr>
      <w:r>
        <w:rPr>
          <w:rStyle w:val="a7"/>
        </w:rPr>
        <w:footnoteRef/>
      </w:r>
      <w:r>
        <w:t xml:space="preserve"> </w:t>
      </w:r>
      <w:r>
        <w:rPr>
          <w:b/>
          <w:bCs/>
          <w:rtl/>
        </w:rPr>
        <w:t>יפה כלבנה תורה כו'.</w:t>
      </w:r>
      <w:r>
        <w:rPr>
          <w:rtl/>
        </w:rPr>
        <w:t xml:space="preserve"> כנ"ל וכמו שאמרו ברעיא מהימנא שם, נקודה דנגיד עלה מלגאו איהי חכמה ואמאי אתקריאת לבנה על שם לבון הלכה דאיהי מלגאו כל כבודה בת מלך פנימה כו' עיין שם</w:t>
      </w:r>
      <w:r>
        <w:t xml:space="preserve"> :</w:t>
      </w:r>
    </w:p>
  </w:footnote>
  <w:footnote w:id="2380">
    <w:p w:rsidR="00A13282" w:rsidRDefault="00A13282" w:rsidP="002D629A">
      <w:pPr>
        <w:pStyle w:val="a5"/>
      </w:pPr>
      <w:r>
        <w:rPr>
          <w:rStyle w:val="a7"/>
        </w:rPr>
        <w:footnoteRef/>
      </w:r>
      <w:r>
        <w:t xml:space="preserve"> </w:t>
      </w:r>
      <w:r>
        <w:rPr>
          <w:b/>
          <w:bCs/>
          <w:rtl/>
        </w:rPr>
        <w:t>כמה גברין כמה מארי תריסין.</w:t>
      </w:r>
      <w:r>
        <w:rPr>
          <w:rtl/>
        </w:rPr>
        <w:t xml:space="preserve"> גבורים - הן בעלי מעשים כמו ר' חנינא בן דוסא וכמו שאומר לעיל א' ב' גבורים מסטרא דגבורה דיהבין תוקפא למאריהון כו' וקישורא דתפילין דמאן דלית ליה תפילין בשעת קריאת שמע כו', והוא עבד ושפחה בישא הנ"ל, והם גבורים בתפלה וכמו שאומר לעיל כ"ה ב' פתח ר"ש ואמר עילאין אתקינו ואזדרזו במאני קרבא לגבי חויא דאיהו מקננא בטורין ואיהו קטיל לאדם קדמאה ולכל דרין דהוו קאתין אבתריה ובגין דא כרוזא נפיק בכל יומא מאן דקטיל ההוא חויא דאיהו מקננא בטורין - יהבין ליה ברתא דמלכא דאיהי צלותא דיתיב על מגדלא דאתמר בה מגדול עוז כו', וחויא לא חשיב לון כו' עד דאתא רעיא מהימנא ונטיל חץ כו', ואמר בתיקוני זוהר חדש ע"ה ב' במאני קרבא דילך כו' נחש אשת זנונים דמקננא בשבע סלעים ובעלה בשבע טורין, קום באבנא דילך דאסתלקו בטורין, לתברא טורין וסלעין דחויא כו', וזה שאומר גברין, ואמר כמה מארי תריסין - נגד התורה, לאגחא קרבא - כמו שכתוב בספר מלחמות ה' כו' (במדבר כא יד), והם הלוחמים מלחמתה - לתברא האי סלע כנ"ל, ותפלה היא בת מלך חיצונה לגבי תורה, ולכן היא בטורין וכאן בסלע וכמו שאומר לקמן ס"ו ב' דנוק' איהי כו' ועיין מה שכתבנו שם:</w:t>
      </w:r>
    </w:p>
  </w:footnote>
  <w:footnote w:id="2381">
    <w:p w:rsidR="00A13282" w:rsidRDefault="00A13282" w:rsidP="002D629A">
      <w:pPr>
        <w:pStyle w:val="a5"/>
      </w:pPr>
      <w:r>
        <w:rPr>
          <w:rStyle w:val="a7"/>
        </w:rPr>
        <w:footnoteRef/>
      </w:r>
      <w:r>
        <w:t xml:space="preserve"> </w:t>
      </w:r>
      <w:r>
        <w:rPr>
          <w:rtl/>
        </w:rPr>
        <w:t xml:space="preserve"> </w:t>
      </w:r>
      <w:r>
        <w:rPr>
          <w:b/>
          <w:bCs/>
          <w:rtl/>
        </w:rPr>
        <w:t>וכמה תריסין אתעבידו פסקות כו'.</w:t>
      </w:r>
      <w:r>
        <w:rPr>
          <w:rtl/>
        </w:rPr>
        <w:t xml:space="preserve"> דאתפסקו בקרבא ונעשו פסק הלכה לקוטות, ואינון בתולות אחריה כו' אבל ברתא לא אשכחן לה וכמו שאומר שם בתיקוני זוהר חדש קם ר"ש כו' ולכל דעאלין בקרבא דא כו' קמי ברתיה דמלכא דאתמר בה כל כבודה בת מלך פנימה וגו' דהא כמה כרוזין נפקין בגינה הדא הוא דכתיב בראש הומיות תקרא כו' אליכם אישים אקרא כו' דהא כמה פרשין תקיפין הוו מתכנשין לאגחא קרבא עם חויא, נחש הקדמוני דקטל לאדם קדמאה כו' וכמה מארי תריסין הוו מתכנשין לגביה בבתי כנסיות ובבתי מדרשות ופסקין עלה כמה פסקות בקלין וחמורין, וירא כי אין איש - לית בהו חד דיקטול לחויא, וכרוזין נפקין מאן דקטיל לחויא יהא הלכה דיליה, וכמה הלכות פסוקות אינון דאתמר בכל חד הלכה כפלוני, ואינון בתולות אחריה רעותיה דברתא דמלכא אבל ברתא דמלכא עלה אתמר רבות כו' כנ"ל, וזה שאומר אתעבידו פסקות, והן בעלי תריסין, אע"פ שלא יכלו להרויח ברתא דמלכא מכל מקום זכו לבתולות - למקבע הלכה כמותן באינון לקוטות, וזהו תועלת הכרוז, ואמר שם בבתי כנסיות ובבתי מדרשות - והוא כנ"ל בתפלה ובתורה, לתברא טורין וסלעין, ואמר שם וירא כו' וכן אמר כאן ויפן כ"ה וכ"ה וכו' - והן חמשים אתוון דקריאת שמע וכמו שאמרו בתיקוני זוהר חדש שם ויפן כ"ה וכ"ה ויך את המצרי, דבימא דאימא עילאה דאיהי נ' תרעין - מחא ליה, דאתרמיזו בכ"ה וכ"ה אתוון דמייחדין בהון לקב"ה תרין זמנין כו' אינון נ', ובאלין נ' מחי לפרעה וכל עבדיו נ' מכות, דבה קטיל לחויא כמו שאומר לעיל ח' א' וזכאה איהו מאן כו', וכן בחמשים שערי בינה דאורייתא - דאז יתגלה ולא יתן מ"ט לצדיק, ומשם קטיל לחויא, דשם עלמא דחירו, וכימי מצרים אראנו נפלאות - נ' פלאות, והוא המלחמה על הים שם, ולקו שם נ' מכות מנ' שערי בינה</w:t>
      </w:r>
      <w:r>
        <w:t xml:space="preserve"> :</w:t>
      </w:r>
    </w:p>
  </w:footnote>
  <w:footnote w:id="2382">
    <w:p w:rsidR="00A13282" w:rsidRDefault="00A13282" w:rsidP="002D629A">
      <w:pPr>
        <w:pStyle w:val="a5"/>
      </w:pPr>
      <w:r>
        <w:rPr>
          <w:rStyle w:val="a7"/>
        </w:rPr>
        <w:footnoteRef/>
      </w:r>
      <w:r>
        <w:t xml:space="preserve"> </w:t>
      </w:r>
      <w:r>
        <w:rPr>
          <w:b/>
          <w:bCs/>
          <w:rtl/>
        </w:rPr>
        <w:t xml:space="preserve">שילה משה דאיהו מורשה דילי' וודאי. </w:t>
      </w:r>
      <w:r>
        <w:rPr>
          <w:rtl/>
        </w:rPr>
        <w:t>רוצה לומר, משה - חושבן שילה. דמורשה דיליה רוצה לומר מאורסה, כלה דיליה, דעד כאן אינה נשואה כנ"ל וכמו שאמרו כלת משה, וזה שאומר ודאי כמו כידוע:</w:t>
      </w:r>
    </w:p>
  </w:footnote>
  <w:footnote w:id="2383">
    <w:p w:rsidR="00A13282" w:rsidRDefault="00A13282" w:rsidP="002D629A">
      <w:pPr>
        <w:pStyle w:val="a5"/>
      </w:pPr>
      <w:r>
        <w:rPr>
          <w:rStyle w:val="a7"/>
        </w:rPr>
        <w:footnoteRef/>
      </w:r>
      <w:r>
        <w:t xml:space="preserve"> </w:t>
      </w:r>
      <w:r>
        <w:rPr>
          <w:rtl/>
        </w:rPr>
        <w:t xml:space="preserve"> </w:t>
      </w:r>
      <w:r>
        <w:rPr>
          <w:b/>
          <w:bCs/>
          <w:rtl/>
        </w:rPr>
        <w:t>איהו קטיל כו'.</w:t>
      </w:r>
      <w:r>
        <w:rPr>
          <w:rtl/>
        </w:rPr>
        <w:t xml:space="preserve"> דהוא המצרי מסטרא דקין - בנה דחויא כידוע</w:t>
      </w:r>
      <w:r>
        <w:t xml:space="preserve"> :</w:t>
      </w:r>
    </w:p>
  </w:footnote>
  <w:footnote w:id="2384">
    <w:p w:rsidR="00A13282" w:rsidRDefault="00A13282" w:rsidP="002D629A">
      <w:pPr>
        <w:pStyle w:val="a5"/>
      </w:pPr>
      <w:r>
        <w:rPr>
          <w:rStyle w:val="a7"/>
        </w:rPr>
        <w:footnoteRef/>
      </w:r>
      <w:r>
        <w:t xml:space="preserve"> </w:t>
      </w:r>
      <w:r>
        <w:rPr>
          <w:b/>
          <w:bCs/>
          <w:rtl/>
        </w:rPr>
        <w:t>ולו יקהת עמים בגין כו'.</w:t>
      </w:r>
      <w:r>
        <w:rPr>
          <w:rtl/>
        </w:rPr>
        <w:t xml:space="preserve"> רוצה לומר דהן אותיות ולוי קהת, ועמים - הוא דעמרם, נקרא על שם דבני משה רבו למעלה, כמו שמפרש והולך ובני, וכמו שכתוב (דברים ט יד) ואעשה אותך לגוי עצום, ואמרו (ברכות ז ע"א) כל דבר שיצא מפי הקב"ה אפילו כו' שאמר ובני כו' ותני רב יוסף כו', וזהו עם רם - כמו רב, וכן הוא עמים - לשון רב, עמים רבים, והנה י"ר דמתחלפין כאן - עיין לקמן קי"א ב', ר"י מן בראשית כו', והכל על שם הגאולה: שילה - על שם יובל שי לו כו' (ישעיהו יח ז), עמים - כנ"ל, וכמו שכתוב (ישעיהו נד ב) הרחיבי מקום אהלך כו' כי ימין ושמאל תפרוצי כו', וקהת - על שם קיבוץ גלויות, בישורון מלך בהתאסף כו' (דברים לג ה), ולוי - על שם כי ילוה אישי אלי (בראשית כט לד), דעד כאן היא ארוסה והוא בעלה דלאה - פה אל פה כו' (במדבר יב ח), ואמר לא יסור שבט מיהודה ומחוקק כו' כמו שאמרו (סנהדרין ה ע"א) אלו בני הלל שמלמדין כו', עד כי יבוא כו' - ואז ילמד הוא את התורה, ויבקע ימא דאורייתא, כמו שאומר למטה, וכן שבט כמו שכתוב ויהי בישורון מלך בהתאסף כו'</w:t>
      </w:r>
      <w:r>
        <w:t>:</w:t>
      </w:r>
    </w:p>
  </w:footnote>
  <w:footnote w:id="2385">
    <w:p w:rsidR="00A13282" w:rsidRDefault="00A13282" w:rsidP="002D629A">
      <w:pPr>
        <w:pStyle w:val="a5"/>
      </w:pPr>
      <w:r>
        <w:rPr>
          <w:rStyle w:val="a7"/>
        </w:rPr>
        <w:footnoteRef/>
      </w:r>
      <w:r>
        <w:t xml:space="preserve"> </w:t>
      </w:r>
      <w:r>
        <w:rPr>
          <w:b/>
          <w:bCs/>
          <w:rtl/>
        </w:rPr>
        <w:t>וחיליה בימא כו'.</w:t>
      </w:r>
      <w:r>
        <w:rPr>
          <w:rtl/>
        </w:rPr>
        <w:t xml:space="preserve"> דעשה נסים בים וביבשה במצרים, וכן ברקיע - במכת חשך, ועלה לרקיע והוריד כו', ורוצה לומר בזה, בתורה שבכתב ושבעל פה, דהן שמים וארץ, ליבשה קרא ארץ, וזהו ברקיעא וביבשתא, ובימא - הוא ברזין דאורייתא כמו שאומר לעיל</w:t>
      </w:r>
      <w:r>
        <w:t xml:space="preserve"> :</w:t>
      </w:r>
    </w:p>
  </w:footnote>
  <w:footnote w:id="2386">
    <w:p w:rsidR="00A13282" w:rsidRDefault="00A13282" w:rsidP="002D629A">
      <w:pPr>
        <w:pStyle w:val="a5"/>
      </w:pPr>
      <w:r>
        <w:rPr>
          <w:rStyle w:val="a7"/>
        </w:rPr>
        <w:footnoteRef/>
      </w:r>
      <w:r>
        <w:t xml:space="preserve"> </w:t>
      </w:r>
      <w:r>
        <w:rPr>
          <w:b/>
          <w:bCs/>
          <w:rtl/>
        </w:rPr>
        <w:t>וכמה מארי קרבין כו'.</w:t>
      </w:r>
      <w:r>
        <w:rPr>
          <w:rtl/>
        </w:rPr>
        <w:t xml:space="preserve"> רוצה לומר עם החויא, קודם בא משה רבינו עליו השלום וכמו שאומר לעיל ובגין דכרוזא כריז כו'</w:t>
      </w:r>
      <w:r>
        <w:t xml:space="preserve"> :</w:t>
      </w:r>
    </w:p>
  </w:footnote>
  <w:footnote w:id="2387">
    <w:p w:rsidR="00A13282" w:rsidRDefault="00A13282" w:rsidP="002D629A">
      <w:pPr>
        <w:pStyle w:val="a5"/>
      </w:pPr>
      <w:r>
        <w:rPr>
          <w:rStyle w:val="a7"/>
        </w:rPr>
        <w:footnoteRef/>
      </w:r>
      <w:r>
        <w:t xml:space="preserve"> </w:t>
      </w:r>
      <w:r>
        <w:rPr>
          <w:b/>
          <w:bCs/>
          <w:rtl/>
        </w:rPr>
        <w:t xml:space="preserve">עיינין כו'. </w:t>
      </w:r>
      <w:r>
        <w:rPr>
          <w:rtl/>
        </w:rPr>
        <w:t>דרש אניות - כמו עיינין, והן אניות ממש, כי הים - העובר בו יטבע אם לא יכול לשוט או ע"י אניה ויכול להוליך האניה במשוטין - והוא בחכמה זו, יש מקומות עמוקים ומסוכנים שאין אניה יכול לעבור שם, או שאין בעל האניה יכול בכחו להעבירו שם, ואמר בזוהר פרשת משפטים ק' ב' סבא סבא הא אמינא דעאלת בימא רבא בלא חבלין ובלא דגלא, מה תעביד, אי תימא דתסליק לעילא - לא תיכול, אי תימא דתיחות לתתא - הא עומקא דתהומא רבא, מה תעביד, אי סבא אי סבא, לא אית לך לאהדרא לאחורא בעדנין אלין לא הוית ולא אתרגלית לאתחלשא בתוקפך, דהא ידעת דבר נש אחרא בכל דרא דא לא עאל באדרא בעמקא דא דאנת תמן, בריה דיוחאי ידע לאסתמרא ארחוי, ואי עאל בימא עמיקא - אשגח בקדמיתא היך יעביד וישוט טב בימא בזמנא חדא עד לא ייעול, ואנת סבא לא אשגחת בקדמיתך, השתא סבא הואיל ואנת תמן - לא תשבוק כל ארחך למשטטא לימינא ושמאלא ולארכא ולפותיא לעמקא ולרומא, לא תדחל סבא סבא אתקיף בתוקפך, כמה גבורים תקיפין תברת בתוקפיהון וכמה קרבין נצחת כו'. ואמר ברעיא מהימנא פרשת תצא רע"ח ב', תנינא דמתניתין דבה אתרבו, נקראו נוני ימא, והן מארי מתניתין דאתמר בכל מקום, ואמר שם ואי אינון דביבשתא יפלון למיא ולא ידעין לשטטא - מיד מתים, ואמר למאן דעאל ונפיק - דמאן דעאל ולא נפיק טב ליה כו' (זוהר במדבר קמא ע"א), ורוצה לומר שנכנס בים ונטבע שם, ויש מקומות מסוכנים כמו שאמרו בזוהר פרשת בשלח בהאי לא תשאל כו', ואמר ברעיא מהימנא פרשת תצא רע"ט א' ומאן דנקיבו דיליה בההוא סלע בלא רשו - אתא חויא לנשכא ליה ואית כו'</w:t>
      </w:r>
      <w:r>
        <w:t xml:space="preserve"> :</w:t>
      </w:r>
    </w:p>
  </w:footnote>
  <w:footnote w:id="2388">
    <w:p w:rsidR="00A13282" w:rsidRDefault="00A13282" w:rsidP="002D629A">
      <w:pPr>
        <w:pStyle w:val="a5"/>
      </w:pPr>
      <w:r>
        <w:rPr>
          <w:rStyle w:val="a7"/>
        </w:rPr>
        <w:footnoteRef/>
      </w:r>
      <w:r>
        <w:t xml:space="preserve"> </w:t>
      </w:r>
      <w:r>
        <w:rPr>
          <w:b/>
          <w:bCs/>
          <w:rtl/>
        </w:rPr>
        <w:t>ויקרע ימא דאורייתא.</w:t>
      </w:r>
      <w:r>
        <w:rPr>
          <w:rtl/>
        </w:rPr>
        <w:t xml:space="preserve"> הקריעה הוא שיהא הים כמו היבשה, שיוכלו לילך כל אחד שם בלא סכנה, ולא יצטרכו לטרוח לשוט, ויתגלה כמו יבשה - פשוטו של תורה</w:t>
      </w:r>
      <w:r>
        <w:t xml:space="preserve"> :</w:t>
      </w:r>
    </w:p>
  </w:footnote>
  <w:footnote w:id="2389">
    <w:p w:rsidR="00A13282" w:rsidRDefault="00A13282" w:rsidP="002D629A">
      <w:pPr>
        <w:pStyle w:val="a5"/>
      </w:pPr>
      <w:r>
        <w:rPr>
          <w:rStyle w:val="a7"/>
        </w:rPr>
        <w:footnoteRef/>
      </w:r>
      <w:r>
        <w:t xml:space="preserve"> </w:t>
      </w:r>
      <w:r>
        <w:rPr>
          <w:b/>
          <w:bCs/>
          <w:rtl/>
        </w:rPr>
        <w:t>וסוס ורוכבו כו'.</w:t>
      </w:r>
      <w:r>
        <w:rPr>
          <w:rtl/>
        </w:rPr>
        <w:t xml:space="preserve"> כמו שאמרו בפרקי דר' אליעזר שרכב ס"ם כו' ופתה לחוה כו', וכשיתגלה ימה של תורה, דאיהי אימא עילאה, עלמא דחירו שאין ס"א שולט נגדה, והיא סוכת שלם דאין שטן ואין פגע כו' (מלכים א ה יח) כידוע, וזה שכתוב (ישעיהו יא ט) לא ירעו ולא ישחיתו בכל הר קדשי כי מלאה הארץ דעה את ה' כמים לים מכסים, תולה כי מלאה, ודייק לים מכסים, והמים הוא הדעת שהוא מפתח דכסי פתחהא וזהו לים מכסים וזה שאומר וסוס ורוכבו כו'</w:t>
      </w:r>
      <w:r>
        <w:t xml:space="preserve"> :</w:t>
      </w:r>
    </w:p>
  </w:footnote>
  <w:footnote w:id="2390">
    <w:p w:rsidR="00A13282" w:rsidRDefault="00A13282" w:rsidP="002D629A">
      <w:pPr>
        <w:pStyle w:val="a5"/>
      </w:pPr>
      <w:r>
        <w:rPr>
          <w:rStyle w:val="a7"/>
        </w:rPr>
        <w:footnoteRef/>
      </w:r>
      <w:r>
        <w:t xml:space="preserve"> </w:t>
      </w:r>
      <w:r>
        <w:rPr>
          <w:b/>
          <w:bCs/>
          <w:rtl/>
        </w:rPr>
        <w:t>בקדמיתא כו'.</w:t>
      </w:r>
      <w:r>
        <w:rPr>
          <w:rtl/>
        </w:rPr>
        <w:t xml:space="preserve"> רוצה לומר בגוף הים של העולם הזה, והלכו בחמר הים</w:t>
      </w:r>
      <w:r>
        <w:t>:</w:t>
      </w:r>
    </w:p>
  </w:footnote>
  <w:footnote w:id="2391">
    <w:p w:rsidR="00A13282" w:rsidRDefault="00A13282" w:rsidP="002D629A">
      <w:pPr>
        <w:pStyle w:val="a5"/>
        <w:rPr>
          <w:rtl/>
        </w:rPr>
      </w:pPr>
      <w:r>
        <w:rPr>
          <w:rStyle w:val="a7"/>
          <w:rtl/>
        </w:rPr>
        <w:footnoteRef/>
      </w:r>
      <w:r>
        <w:rPr>
          <w:rtl/>
        </w:rPr>
        <w:t xml:space="preserve"> </w:t>
      </w:r>
      <w:r>
        <w:rPr>
          <w:b/>
          <w:bCs/>
          <w:rtl/>
        </w:rPr>
        <w:t>דא קולמוס כו'.</w:t>
      </w:r>
      <w:r>
        <w:rPr>
          <w:rtl/>
        </w:rPr>
        <w:t xml:space="preserve"> רוצה לומר שבקולמוס נכתב התורה, ונתגלה על ידו, והוא ו' - דרגא דעמודא דאמצעיתא, ואמר בתיקוני זוהר חדש שם קום לגביה בחוטרא דילך למחא ליה כו', בקדמיתא מחית ליה על ימא, כען קום מחי ליה בימא דאורייתא בקולמוס דילך, בדרועא דילך, ביד דילך, ועיין מה שבארנו שם דקולמוס היינו עמודא דאמצעיתא דהוא וא"ו, והוא מטה דהוא גם כן ו', כמו שאמרו ברעיא מהימנא פרשת משפטים קט"ו א' ומטה דאתמסר בידך יהא עץ חיים, ו', דאיהו בן י"ה, וייעול במ"ט אנפין דאורייתא כו' והוא הקולמוס - עץ חיים, כמו שאמרו שם דקדם דחזרת בתיובתא לא הוות אלא באילנא דטוב ורע, עבד ונער הוה שמך בקדמיתא כו', וההוא רע שותפא דעבד גרם לך למחטי בסלע בגין דמטה דאתמסר לך הוה דאילנא טוב ורע, מט"ט - טוב, ס"ם - רע, וכען דחזרת בתיובתא ואתדבקת באילנא דחיי, הא נפקת מעבד, ואתהדרת בן לקב"ה, ומטה דאתמסר בידך הוא עץ חיים, ו' דאיהו בן י"ה כו' כנ"ל ורוצה לומר דכל עניינו תליא בישראל, דלוחות הראשונות ניתנו לו מעץ חיים, וכיון שחטאו בעגל - נשברו, ואתיהיב לון בסטרא דעץ הדעת טוב ורע, והתפשטותו בישראל היא כמו השמש בנבראים, וליקוי השמש הוא דמתכסה השמש ואינו מאיר לעולם, וזהו גלותא דיליה - בגלות רביעי, וכל מה שאמרו בזוהר וברעיא מהימנא עליו - הכל על התפשטות אורו בתלמידי חכמים, ושם (ישעיהו נג ה) מחולל מפשעינו ובחבורתו כו' לא תואר לו כו', ובתחלה שהיו ערב רב בישראל שעשו העגל - גרמו להשבר הלוחות, ואתייהיב ליה מעץ הדעת טוב ורע, וכן בסלע - שותפות דערב רב בישראל גרם ליה לבוא לידי טעות, וכן העונש שלא בא לארץ ישראל ולישא ארוסתו - הכל הוא בישראל, שלא זכו ללמוד התורה מעץ חיים, והכל בשביל שותפות הערב רב, שהם רע וישראל טוב, והם עץ הדעת טוב ורע, ולכן לא יגלה עץ החיים עד לעתיד לבוא שיהיה (דברים לג כח) בדד עי"ן יעקב - שבעים נפש דיעקב, ויתבטלו שלשת הקליפות משלשה גוונין דעין - אז יתגלה עץ החיים, וכמו שאמרו בזוהר פרשת בראשית כ"ז ב' בזמנא דערב רב מעורבין בישראל לית קריבו כו', אעשה לו עזר כנגדו - משנה, אתתא דההוא נער, ואיהי שפחה דמטרוניתא כו', ולאו איהי בת זוגיה, יחודא דיליה, דלית יחודא עד דערב רב יתמחון מעלמא, ובגין דא אתקבר משה לבר מארעא קדישא, וקבורתיה דיליה משנה איהי, ולא ידע גבר עד יומא הדין קבורתיה דיליה, משנה דשלטא על מטרוניתא דאיהו קבלה למשה כו', בגין דא תחת שלש כו' - ושפחה, דא משנה כו', וזהו תיובתא דיליה, דישראל יחזרון בתשובה כמו שכתוב (דברים ל ב) ושבת עד ה' אלקיך כו' ומל כו', ויתמחון הערב רב ויהיו ברזא דעץ החיים, ויחזרו להן לוחות הראשונות שלא נתגלה להם כלל עדיין, שתיכף ירידתן נשברו, וזה שאומר למעלה דאיהי ארוסה דיליה, שהנשואין היו - אם ניתנו לישראל, וכיון שניתנו ביד משה - נתארסה ועדיין לא נישאת, ואמר לקמן ק"א א' דתרין לוחות היו מסטרא דתרין יודין, ו' דאיהו נטוי בינייהו איהו עץ חיים כו', והוא"ו הוא הקולמוס שהוא המכתב שנברא בערב שבת בין השמשות, והוא בין שני יודין - דנטיל די"ו שהוא יו"ד ויהיב על המגילה, והוא ו' דנטיל מיו"ד דלמעלה ויהיב למטה, הבריח התיכון כידוע:</w:t>
      </w:r>
      <w:r>
        <w:t xml:space="preserve"> </w:t>
      </w:r>
    </w:p>
  </w:footnote>
  <w:footnote w:id="2392">
    <w:p w:rsidR="00A13282" w:rsidRDefault="00A13282" w:rsidP="002D629A">
      <w:pPr>
        <w:pStyle w:val="a5"/>
      </w:pPr>
      <w:r>
        <w:rPr>
          <w:rStyle w:val="a7"/>
        </w:rPr>
        <w:footnoteRef/>
      </w:r>
      <w:r>
        <w:t xml:space="preserve"> </w:t>
      </w:r>
      <w:r>
        <w:rPr>
          <w:b/>
          <w:bCs/>
          <w:rtl/>
        </w:rPr>
        <w:t>בגין דעליה אתגליא כו'.</w:t>
      </w:r>
      <w:r>
        <w:rPr>
          <w:rtl/>
        </w:rPr>
        <w:t xml:space="preserve"> רוצה לומר על משה רבינו עליו השלום, דזרוע הוא חסד כמו שאומר לקמן ודא הוה דרועא ימינא כו' ורזא דמלה וזרוע ה' על מי נגלתה ובה אומאה דפורקנא כו' שכבי עד הבוקר, ואמאי אתקרי זרוע ה' - רוצה לומר למה נקראת בשם יקו"ק, בגין דכף היד - ביה יו"ד, ה' אצבעאן - ה', קנה דימינא דאיהי דרועא - ו', כתף - ביה ה', ודא עמודא דאמצעיתא דאתקשר בימינא לאקמא לשכינתא מגלותא, ומשה דאיהו דיוקנא דעמודא דאמצעיתא אתמר ביה מוליך לימין משה זרוע תפארתו (ישעיהו סג יב), ואיהו בוקע מים דאורייתא לגבי זרע אברהם דאינון ימינא למהוי ליה שם עולם, ואתקשר בה' דאברהם דאיהו ה' חומשי תורה, ובה אשתלים משה, ומיד דאשתלים - אתגליא עליה ימינא, ודא הוא וזרוע ה' על מי נגלתה, ורוצה לומר דאשתלים בה' שלו דהוא במשכונא לאברהם ואז יתגליא עליו זרוע ה', וזרוע הוא הקנה - ו', וקנה הוא קולמוס כמו שאמרו (שבת פ ע"ב) קנה לעשות קולמוס, שזכה קנה לעשות קולמוס לכתוב כו' (תענית כ ע"ב), והוא וא"ו כנ"ל וזה שאומר בתיקוני זוהר חדש שם בקולמוס דילך בדרועא דילך ביד דילך, והיד הוא י"ה, וקולמוס שהוא הקנה - ו', וכמו שאומר לקמן בתיקון נ"ה כותב באת ו' דאיהו קולמוס, קנה דדרועא, ודרועא הוא הכתף ה', שהכתף הנ"ל אינו כתף לבד אלא פרק עליון של יד, מקום הנחת תפילין עם הכתף שהוא צורת ה', והוא נקרא שם דרועא, והוא שם הוי"ה, עמודא דאמצעיתא, דרגא דמשה, ואתקשר בימינא ושם הקולמוס דביה נחית חכמה בימינא, וזה שאמרו (ברכות נו ע"ב) הרואה קנה יצפה לחכמה, וביה נתגלה התורה ע"י כתיבה בקולמוס, וכל זמן שהוא סתום - אינה מתגלה, וכשיעשה קולמוס ויתפתח - ירד הדי"ו - יו"ד של חכמה, על ספר שהוא מלכות, והקולמוס והיד הוא ו' של הוי"ה, דרגא דמשה, וכל היד אתקשר ביה משה כנ"ל ובתיקון כ"ב, ס"ב ב', דעליה אתמר מימינו אש דת למו מימינא אתייהיב אורייתא בגין דא מוליך לימין משה זרוע תפארתו ובוקע מים דאורייתא מתמן מ"ה דאברהם כו' ורזא דמלה כימי צאתך מארץ כו' ואמר על מי נגלתה, מי - דרגא דמשה שיתגלה נש"ב, וזרוע ה' - ו', עץ החיים, דיתגלה על מ"ט שערי בינה, וכמו שאמרו ברעיא מהימנא פרשת משפטים קט"ו א' ומטה דיתמסר בידך הוא עץ החיים, ו' דאיהו בן י"ה וייעול במ"ט אנפין דילך כו' כנ"ל, ומ"י הוא י"ם, וזרוע יתגלה על הים - לבקע אותו, וזה שאומר על מי, ומי - הוא דרגא דבינה שהוא הים כנ"ל וכמו שאומר לקמן שכינתא עילאה איהי ימא כו', והוא הוא"ו דפרח משני הלוחות כנ"ל ועתה יתגלה עמהם, ועל מי - הוא חכמה, שהוא על מי וכנ"ל הרואה קנה כו' ואמרו (שם) קנים - יצפה לבינה, רוצה לומר שני קנים, דימינא ושמאלא, דבשמאלא - בינה, ורוצה לומר גם לבינה, שבכללה החכמה כמו שאמרו (ילקוט שמעוני דברים א תתב) מה בין חכם לנבון כו', ועליו הפרשה הנ"ל נאמרה לעתיד, (ישעיהו נג) מי האמין לשמועתנו וזרוע ה' כו' לא תאר לו ולא הדר כו', בגלות הזה נבזים ושפלים בין העמי הארצות ערב רב, וכן קבורתו של משה שפלה - באגדה, וכן הלכה דיליה - במשנה, שפחה, ואז (שם) ישכיל עבדי ירום ונשא וגבה מאד כו', ועיין ברעיא מהימנא פרשת תצא ופרשת נשא וכן דרשו בגמרא (סוטה יד ע"א) מה שכתוב שם (ישעיהו נג יב) לכן אחלק לו ברבים כו' תחת אשר וכו'</w:t>
      </w:r>
      <w:r>
        <w:t xml:space="preserve"> :</w:t>
      </w:r>
    </w:p>
  </w:footnote>
  <w:footnote w:id="2393">
    <w:p w:rsidR="00A13282" w:rsidRDefault="00A13282" w:rsidP="002D629A">
      <w:pPr>
        <w:pStyle w:val="a5"/>
      </w:pPr>
      <w:r>
        <w:rPr>
          <w:rStyle w:val="a7"/>
        </w:rPr>
        <w:footnoteRef/>
      </w:r>
      <w:r>
        <w:t xml:space="preserve"> </w:t>
      </w:r>
      <w:r>
        <w:rPr>
          <w:b/>
          <w:bCs/>
          <w:rtl/>
        </w:rPr>
        <w:t>בההוא זמנא כו' שליט חויא קדישא כו'.</w:t>
      </w:r>
      <w:r>
        <w:rPr>
          <w:rtl/>
        </w:rPr>
        <w:t xml:space="preserve"> רוצה לומר דרגא דעמודא דאמצעיתא כמו שאומר למטה נחש בריח דא ההוא דאתמר ביה והבריח התיכון בתוך הקרשים ודא עמודא דאמצעיתא כו', וכן משה בדרגיה וכמו שאמרו ברעיא מהימנא פרשת תצא רע"ט א' דאנת לויתן נחש בריח דימא דאורייתא מארי דכל נונין, לויתן - על שם אורייתא דאתמר בה (משלי א ט) כי לוית חן כו' והוא מארי דאורייתא דשליט על ימא כמו שאומר למעלה וחיליה בימא וביבשתא כו'</w:t>
      </w:r>
      <w:r>
        <w:t xml:space="preserve"> :</w:t>
      </w:r>
    </w:p>
  </w:footnote>
  <w:footnote w:id="2394">
    <w:p w:rsidR="00A13282" w:rsidRDefault="00A13282" w:rsidP="002D629A">
      <w:pPr>
        <w:pStyle w:val="a5"/>
      </w:pPr>
      <w:r>
        <w:rPr>
          <w:rStyle w:val="a7"/>
        </w:rPr>
        <w:footnoteRef/>
      </w:r>
      <w:r>
        <w:t xml:space="preserve"> </w:t>
      </w:r>
      <w:r>
        <w:rPr>
          <w:b/>
          <w:bCs/>
          <w:rtl/>
        </w:rPr>
        <w:t>ובההוא זמנא שם אזלין אניות כו'.</w:t>
      </w:r>
      <w:r>
        <w:rPr>
          <w:rtl/>
        </w:rPr>
        <w:t xml:space="preserve"> שהן עיינין דאורייתא כנ"ל. בהבטחה דלא יטבעו כמו שלשה מארבעה שנכנסו לפרדס, ונדב ואביהוא וכיוצא - שנטבעו</w:t>
      </w:r>
      <w:r>
        <w:t xml:space="preserve"> :</w:t>
      </w:r>
    </w:p>
  </w:footnote>
  <w:footnote w:id="2395">
    <w:p w:rsidR="00A13282" w:rsidRDefault="00A13282" w:rsidP="002D629A">
      <w:pPr>
        <w:pStyle w:val="a5"/>
      </w:pPr>
      <w:r>
        <w:rPr>
          <w:rStyle w:val="a7"/>
        </w:rPr>
        <w:footnoteRef/>
      </w:r>
      <w:r>
        <w:t xml:space="preserve"> </w:t>
      </w:r>
      <w:r>
        <w:rPr>
          <w:b/>
          <w:bCs/>
          <w:rtl/>
        </w:rPr>
        <w:t>דהא רוח סערה.</w:t>
      </w:r>
      <w:r>
        <w:rPr>
          <w:rtl/>
        </w:rPr>
        <w:t xml:space="preserve"> דאיהו מתבר לספינתא דעליו נאמר (יונה א ד) ויהי סער גדול בים והאניה כו', דהוא (יחזקאל א ד) רוח סערה ענן גדול כו' שראה יחזקאל, שלש קליפות שבו נטבעו אותן השלשה הנ"ל כמו שאומר לעיל י"א א' קליפה דערלה דכסי על י' אית לה תלת קליפין כגלדי בצלים דא על דא ואינון כקליפין דאגוזא דאתמר עלייהו והארץ היתה תוהו - דא קו ירוק, קליפה קדמאה דאגוזא, ובהו - אבנים מפולמות, דא קליפה תניינא דאגוזא קשה כאבן, וחושך - קליפה תליתאה, והוא: ראשונה - במקרא, שמסירין בעודה רכה, שלומדין עם התינוק, אבל השניה, אותה קשה כאבן - במשנה, שפחה דמטרוניתא, סלע דהכה משה רבינו עליו השלום, ועלה מכין ואינם יכולים לשברה עד דייתי משה רבינו עליו השלום כנ"ל, ארבעה נכנסו לפרדס, שלשה אכלו מאלין קליפין כו', והכל בעץ הדעת טוב ורע, ואמר ברעיא מהימנא פרשת תצא רע"ט ב' קום טול אבנא דא כו' לתברא קליפין דאגוזא, דהא כמה רועים פרנסי דרא אתכנשו על האי אבנא דאיהו מעין החכמה בהאי סלע דנביעו דילה ברזין סתימין דלית להו סוף, ועלה אתמר (איוב כח יב) והחכמה מאין תמצא, והוא מה שאמר לעיל ברתא דמלכא כו' וכל תוקפא דלהון לאעברא קליפה דלעילא, וכד מטו לקליפה תניינא דאיהי תקיפא קשיא להון ומחאן בה כל יומיהון כלהו בלישנהון דאינון תקיפין כפטשין - ולית להו רשו לאפקא מינה מיא אלא אלין טפין דנפקין על ידך בזמנא דאתמר בה (במדבר כ יא) ויך את הסלע במטהו פעמים ובמחאה תניינא נפקין טפין ואלין אינון רמיזין דחכמה רמיזין דקבלה כו' סלע אחרא דאתקריאת קליפה, משנה, נוקבא דעבד נער, עלה אתמר (משלי כט יט) בדברים לא יוסר עבד, אלא דמחאן ומתברין ממנה כמה פסקות כו', והענין כי שם מלבר הוא ס"א, נגד האי שפחה הוא שפחה בישא, ושם בים היצירה אינון מצולת ים, ועיין בזוהר פרשת בראשית נ"ב א' בארוכה הרבה</w:t>
      </w:r>
      <w:r>
        <w:t xml:space="preserve"> :</w:t>
      </w:r>
    </w:p>
  </w:footnote>
  <w:footnote w:id="2396">
    <w:p w:rsidR="00A13282" w:rsidRDefault="00A13282" w:rsidP="002D629A">
      <w:pPr>
        <w:pStyle w:val="a5"/>
      </w:pPr>
      <w:r>
        <w:rPr>
          <w:rStyle w:val="a7"/>
        </w:rPr>
        <w:footnoteRef/>
      </w:r>
      <w:r>
        <w:t xml:space="preserve"> </w:t>
      </w:r>
      <w:r>
        <w:rPr>
          <w:b/>
          <w:bCs/>
          <w:rtl/>
        </w:rPr>
        <w:t>שם רמש כו'.</w:t>
      </w:r>
      <w:r>
        <w:rPr>
          <w:rtl/>
        </w:rPr>
        <w:t xml:space="preserve"> מפרש למטה דאינון הלכות פסוקות כו'</w:t>
      </w:r>
      <w:r>
        <w:t xml:space="preserve"> :</w:t>
      </w:r>
    </w:p>
  </w:footnote>
  <w:footnote w:id="2397">
    <w:p w:rsidR="00A13282" w:rsidRDefault="00A13282" w:rsidP="002D629A">
      <w:pPr>
        <w:pStyle w:val="a5"/>
      </w:pPr>
      <w:r>
        <w:rPr>
          <w:rStyle w:val="a7"/>
        </w:rPr>
        <w:footnoteRef/>
      </w:r>
      <w:r>
        <w:t xml:space="preserve"> </w:t>
      </w:r>
      <w:r>
        <w:rPr>
          <w:b/>
          <w:bCs/>
          <w:rtl/>
        </w:rPr>
        <w:t>שם אניות.</w:t>
      </w:r>
      <w:r>
        <w:rPr>
          <w:rtl/>
        </w:rPr>
        <w:t xml:space="preserve"> כנ"ל</w:t>
      </w:r>
      <w:r>
        <w:t xml:space="preserve"> :</w:t>
      </w:r>
    </w:p>
  </w:footnote>
  <w:footnote w:id="2398">
    <w:p w:rsidR="00A13282" w:rsidRDefault="00A13282" w:rsidP="002D629A">
      <w:pPr>
        <w:pStyle w:val="a5"/>
      </w:pPr>
      <w:r>
        <w:rPr>
          <w:rStyle w:val="a7"/>
        </w:rPr>
        <w:footnoteRef/>
      </w:r>
      <w:r>
        <w:t xml:space="preserve"> </w:t>
      </w:r>
      <w:r>
        <w:rPr>
          <w:b/>
          <w:bCs/>
          <w:rtl/>
        </w:rPr>
        <w:t>לויתן זה כו'.</w:t>
      </w:r>
      <w:r>
        <w:rPr>
          <w:rtl/>
        </w:rPr>
        <w:t xml:space="preserve"> והוא הדעת שתתרבה בארץ שהוא השמחה הגדולה אשר אין למעלה ממנה, ועל זה נאמר יצרת לשחק בו, וכמו שאמרו במדרש הנעלם קל"ה א' אר"י לר"ח הא דתנינן דעתיד הקב"ה לעשות לצדיקים סעודה לעתיד לבוא כו' ויחזו את האלקים כו' עיין שם בארוכה ואמר שם ק"מ א' דתנינן אר"פ השגת הצדיקים לעתיד לבוא יותר ממלאכי השרת דכתיב כמים לים מכסים</w:t>
      </w:r>
      <w:r>
        <w:t xml:space="preserve"> :</w:t>
      </w:r>
    </w:p>
  </w:footnote>
  <w:footnote w:id="2399">
    <w:p w:rsidR="00A13282" w:rsidRDefault="00A13282" w:rsidP="002D629A">
      <w:pPr>
        <w:pStyle w:val="a5"/>
      </w:pPr>
      <w:r>
        <w:rPr>
          <w:rStyle w:val="a7"/>
        </w:rPr>
        <w:footnoteRef/>
      </w:r>
      <w:r>
        <w:t xml:space="preserve"> </w:t>
      </w:r>
      <w:r>
        <w:rPr>
          <w:b/>
          <w:bCs/>
          <w:rtl/>
        </w:rPr>
        <w:t>ויהא חדי עמהון.</w:t>
      </w:r>
      <w:r>
        <w:rPr>
          <w:rtl/>
        </w:rPr>
        <w:t xml:space="preserve"> רוצה לומר הלויתן, והוא הקב"ה, צדיקו של עולם, שהוא לויתן כמו שאומר למטה לויתן דא כו' והוא השעשוע של הקב"ה עם הצדיקים - שמחדש להם התורה</w:t>
      </w:r>
      <w:r>
        <w:t xml:space="preserve"> :</w:t>
      </w:r>
    </w:p>
  </w:footnote>
  <w:footnote w:id="2400">
    <w:p w:rsidR="00A13282" w:rsidRDefault="00A13282" w:rsidP="002D629A">
      <w:pPr>
        <w:pStyle w:val="a5"/>
      </w:pPr>
      <w:r>
        <w:rPr>
          <w:rStyle w:val="a7"/>
        </w:rPr>
        <w:footnoteRef/>
      </w:r>
      <w:r>
        <w:t xml:space="preserve"> </w:t>
      </w:r>
      <w:r>
        <w:rPr>
          <w:b/>
          <w:bCs/>
          <w:rtl/>
        </w:rPr>
        <w:t>הה"ד שיתו לבכם כו'.</w:t>
      </w:r>
      <w:r>
        <w:rPr>
          <w:rtl/>
        </w:rPr>
        <w:t xml:space="preserve"> רוצה לומר כמו שאומר בירושלמי בפ"ב דמגילה ר"ב ר"ח עולא בר"א בשם ר"ח עתיד הקב"ה לעשות ראש חולה לצדיקים לעתיד לבוא מאי טעמא שיתו לבכם לחילה לחולה כתיב, והצדיקים מראים אותו באצבע כו' וכהאי גוונא אמרו בגמרא דילן בסוף תענית עתיד הקב"ה לעשות מחול לצדיקים כו' והוא כמו שאמרו במדרש הנעלם שם אר"י א"ר עתיד הקב"ה לשמוח באותו הזמן עם הצדיקים להשרות שכינתו עמהם והכל ישמחו באותה שעה הדא הוא דכתיב ישמח ה' במעשיו באותו הזמן ישיגו הצדיקים דעת שלימה דאר"י ביומא דחדי קוב"ה בעובדוי זמינן אינון צדיקיא למנדע ליה בלבהון כאלו חזו ליה בעינא הה"ד ואמר ביום ההוא הנה אלהינו זה וגו' והוא מאמר הנ"ל והוא סעודת הלויתן כנ"ל וכמו שאמרו שם סעודות הצדיקים לעתיד לבוא כהאי דכתיב ויחזו את האלקים ויאכלו וישתו, והראיה היא ההשגה כנ"ל. וזה שכתוב וכולם אליך כו' אכלם. דהוא אכילה הנ"ל, ואמר שם באתר חד תנינן נהנין ובאתר חד תנינן ניזונין מאי בין האי להאי כו' אבל בצדיקים שזכו - ניזונין עד שישיגו השגה שלימה ואין אכילה ושתיה אלא זו, וזו היא הסעודה והאכילה כו'</w:t>
      </w:r>
      <w:r>
        <w:t xml:space="preserve"> :</w:t>
      </w:r>
    </w:p>
  </w:footnote>
  <w:footnote w:id="2401">
    <w:p w:rsidR="00A13282" w:rsidRDefault="00A13282" w:rsidP="002D629A">
      <w:pPr>
        <w:pStyle w:val="a5"/>
      </w:pPr>
      <w:r>
        <w:rPr>
          <w:rStyle w:val="a7"/>
        </w:rPr>
        <w:footnoteRef/>
      </w:r>
      <w:r>
        <w:t xml:space="preserve"> </w:t>
      </w:r>
      <w:r>
        <w:rPr>
          <w:b/>
          <w:bCs/>
          <w:rtl/>
        </w:rPr>
        <w:t>דאיהו עתו דצדיק.</w:t>
      </w:r>
      <w:r>
        <w:rPr>
          <w:rtl/>
        </w:rPr>
        <w:t xml:space="preserve"> רוצה לומר, מלכות - הוא עת של צדיק, וצדיק הוא הלויתן, כנ"ל, והוא יתן להם מן האכילה ע"י העת שלו, והיא נבנית מתרי דרועין - חושבן עתו, דלכן אברהם ויצחק חפרו אותה. ואמר אכלם כנ"ל דניזונין מזיו כו' - וזהו אכלם - יתן להם ע"י עתו, וזהו בעתו, דהיא נקראת עת וכמו שאמרו בזוהר פרשת אחרי מות ללכת בהאי צדיק לאשכחא ברכאן וחידו והיינו רזא דתנינן לויתן זה יצרת לשחק וע"ד כולם אליך ישברון לתת אכלם בעתו מאן עתו דא עתו דצדיק דא מטרוניתא דאקרי עתו דצדיק ובג"כ כולהו מחכאן להאי עתו כולהו דאתזון מהאי אתר אתזנון כו'</w:t>
      </w:r>
      <w:r>
        <w:t xml:space="preserve"> :</w:t>
      </w:r>
    </w:p>
  </w:footnote>
  <w:footnote w:id="2402">
    <w:p w:rsidR="00A13282" w:rsidRDefault="00A13282" w:rsidP="002D629A">
      <w:pPr>
        <w:pStyle w:val="a5"/>
      </w:pPr>
      <w:r>
        <w:rPr>
          <w:rStyle w:val="a7"/>
        </w:rPr>
        <w:footnoteRef/>
      </w:r>
      <w:r>
        <w:t xml:space="preserve"> </w:t>
      </w:r>
      <w:r>
        <w:rPr>
          <w:b/>
          <w:bCs/>
          <w:rtl/>
        </w:rPr>
        <w:t>תתן להם ילקטון דא כו'.</w:t>
      </w:r>
      <w:r>
        <w:rPr>
          <w:rtl/>
        </w:rPr>
        <w:t xml:space="preserve"> כמו שאמרו (חגיגה יב ע"ב) שחקים שבו כו' מן לצדיקים לעתיד לבוא, והמן הוא הבינה להבין דברי תורה, וזהו לבד הדעת והוא מסטרא דעמודא דאמצעיתא - לחם מן השמים כמו שאמרו בזוהר פרשת בשלח עיין שם, וזה שאומר דאתמר כו' מסטרא כו' וכמו שאמרו מן - בזכות משה והוא מסטרא דעמודא דאמצעיתא, והענין כי הלויתן וברתא דמלכא מה שאמר לעיל - הכל בנו"ק, תורה שבעל פה, כמו שאומר לעיל תורה שבעל פה קראן לה, והוא הסלע שצוה השם יתברך לדבר אליו, אלא שהיא ברתא דמלכא באצילות, והוא הכה ונזדמן לו נוק' דיצירה כנ"ל, והנה שלש קליפין דאגוז הן נגד בי"ע: תהו - קו ירוק - בעשיה, מקרא, והשניה - בהו, סלע הנ"ל - ביצירה, משנה, וחשך - חללא, על פני תהום - הוא בבינה, בורא חשך כתיב בורא, וכמו שאמרו בזוהר פרשת תרומה קכ"ה א' עיין שם יוצר אור ביצירה דשם חוורא דאגוזא ובורא חשך בבריאה ישת חושך סתרו והוא חושך שאין יכולים להשיגה, שאבן דיצירה מסכך בעדה, ושם הוא תהום כמו שאמרו בזוהר פרשת צו למ"ד א' במדבחא אית כבש חד בדרגין ידיעאן ודרגא תתאה מטי ונחית לתהומא עילאה מגו שית חד כו' ובההוא אתר אית חיילין דאמרי קדוש כו', והוא בבריאה ששם השרפים כידוע וכמו שאמרו בתיקוני זוהר חדש ע"ג א' ושאר מקומות, באתר אחרא אשתכחי גלגלי ימא דנהמין ונחתין בדרגין ידיעין ותמן חיילין אמרין בקל נעימותא ברוך כבוד ה' ממקומו כו' באתר אחרא משתכחי חיילין חיילין קיימין בדחילו בזיע ברתת כמה דאת אמר ונוגה להם ויראה להם כו', והכל במלכות דבי"ע, וזה שאומר שם, מגו שית חד, שהוא יסוד כידוע, ואמר שם במדבחא אית כבש חד בדרגין ידיעאן כו' כנ"ל רוצה לומר שש מעלות לכסא, ואמר תהומא עילאה - והוא ביסוד דבינה דידה, והיא נקראת תהומא רבא, ויסודה למטה הוא תהום התחתון, ושתי נוק' - בינה ומלכות, הן שני תהומין, ובשניהן הוא הדעת, וכמו שכתוב בדעתו תהומות נבקעו - שנבקע הפה, והוא תהום עילאה, ויסודה - שהוא פה של מטה - תהום התחתון, ועיין שם ל"ב ב' ואית בס"א דתהומין סלקין כו' ואית תהום עילאה ותהומא תתאה ובכולהו כו', ועיין בזוהר פרשת פקודי רס"ח א' דנפקו מגו תהומא רבא ואיהו האי היכלא כמה דאת אמר משפטיך תהום רבה וכו' מהכא נפקי אשא דרוחא תקיפא כו' ושם הוא חללא דאגוזא בקדושה ונגדו בס"א - נוק' דתהומא רבה, וביצירה הוא הים בנוק', ים עילאה בבינה דנוק', והוא גם כן ביסוד דבינה דנוק' דיצירה, והוא בדעת - כמים לים מכסים, וים האחרון - במלכות דידה, ושם התכלת - נגד מצולת ים, שלא יזונו עיניהם, ושם סלע הנ"ל, ורוח סערה שעל ימא עילאה הוא מחוץ - שלא יכנסו לשם, והוא כמו להט החרב המתהפכת מחוץ לגן עדן, והוא מהיכלא שביעאה דס"א, כמו שאמרו בזוהר פרשת פקודי שם ומהכא נפקי כל אינון זיקין ניציצין דמתדעכי לאלתר, להטי ומתדעכי, ועיין שם רנ"ג א' ב' וגן עדן הוא יסוד דבינה דמלכות דעשיה, וציון הוא יסוד דנוק' דידה, והן שתי נקודות פרישן כמו שאמרו בזוהר פרשת תצוה קפ"ד ב' ירושלים באמצעיתא דכל ישובא דעלמא בתרין נקודין אתפרשת מלכו שמיא סטרא דקדושה חד דילה וחד דעלמא דאתי נקודה עילאה טמיראה כו' נקודה דנטלא מאימא עלאה טמירא איהי גן עדן דארעא כו', והם שלש דרגין דמקנן מלכות בהם, בבריאה בינה דידה כו' ולא זכה בה אלא משה, אבל בימי יהושע שלטא משנה, נער, עתה באתי, אבל ברתא היא דרגא דחכמה דבה - והוא באצילות, וכמו שאומר לקמן דהיא סיהרא דעץ חיים, דבי"ע הן עץ הדעת טוב ורע, והיא - נקודה בהיכלה, היכל הוא חללא דב', שהיא בינה, כרסיא, שבה מתחלת התורה שהוא דבריאה כידוע, וכמו שאמרו בסוף תיקוני זוהר חדש, ושם תהום - חללא דאגוזא, וזה שאומר ברעיא מהימנא פרשת תצא רע"ט א' ובזמנא דנוק' פתיחא, כל מאן דהוה נפיל תמן לא הוה סליק, ומשיח בן דוד נפיל תמן עם משיח בן יוסף, דחד איהו עני ורוכב על החמור, וחד איהו בכור שורו איהו משיח בן יוסף, והאי הוא כי יכרה איש בור וכו' ובגין דא אקרי משיח בר נפלי ואיהי נפלת אבתרייהו ואתמר עלה נפלה כו', והענין כי התרין משיחין הן נשמתין מסטרא דאצילות, ועתה בגלות הן בבריאה, בתהום הנ"ל, והוא נפילת מלכות גם כן שם וכנ"ל, ועיין מה שנבאר לקמן בתיקון נ' בזמנא דנחיתת במלכות דבריאה - דאז נפלה, לא תוסיף לנפול עוד, דאין נפילה אחריה יותר, וזה שאומר שם תהום הוא המות, דבריאה - לנגדה סטרא דמות, כמו שאמרו בענין שמנה המלכים דירדו לבריאה וכמו שאמרו באידרא רבא וזה שאומר רע"ח ב' דהא נונין בסלע קנא דלהון כו' ומאן דבעי לאתתקפא בסלע דנוני ימא דמארי מתניתין דאינון תנאין, בעי למהוי תקיף לישנא חדידא חריפא לנקוב עד דמטי לתהומא רבא דתמן כי עוד חזון למועד ויפח לקץ ולא יכזב, ואוקמוה דהאי קרא נוקב ויורד עד תהומא רבא, ורוצה לומר דסוד הקץ אינו כשאר רמיזין לאשכחא בסלע דנפקו טיפין מיניה, סלע דיצירה, אלא בעו למנקב להאי סלע מעבר אל עבר עד שיגיע לתהום בריאה ושם יתגלה, ולכן לא יתגלה לשום אדם אלא למשה, דהוא יתבר להאי סלע, וזה שאומר שם ומאן נחית לתהומא רבא לאשכחא זמנא דא אלא אנת דאתמר בך צדקתך כהררי אל כו', ורוצה לומר דביה נאמר צדקת ה' עשה ומשפטיו כו' ואמר בזוהר חדש י"א א' ועוד אמר ר' יוחנן בן זכאי מאי דכתיב אל גנת אגוז ירדתי לראות באבי הנחל זהו מה שראה יחזקאל באותו הרקיע שנברא בשני, שבראו הקב"ה וסתמו מכל רבבות קודש שלו, והוא בסלע הנ"ל, ואותן העולמות דכסיף בהון קב"ה סתמם ממנו והוא בכרסייא כידוע ויקר הדרו סתם מאותן עולמות והוא כל כבודה הנ"ל, ושם מה שאמר לעיל בהקדמה תניינא, י"א, קדש הלולים דהא קדש, ושם ר"ע כו' מוחא כו', ולא לשם ממש אלא אפילו בעץ הדעת בדרגא דנגדה אתמר בה קדש הלולים, ואפילו נגד שלש ערלים וברביעי כו', והכלל כמו שאומר לעיל שהדעת - שבו תהומות נבקעו, פה שלמעלה ופה שלמטה, והים - הוא במט"ט, ושם הלויתן שהוא מט"ט, וכנגדו הלויתן ידוע (איוב מ ל) יכרו עליו חברים כו', והוא בים - במלכות, וימא עילאה - בינה דבה, ושם הלויתן, ותחת הים - מצולת ים דאטבעו בה, ורוח סערה נשיב שם כנ"ל, ולעתיד לבוא יעביר השם יתברך אותם, ואז שם אניות יהלכון כו' ולויתן כו' - מסטרא דדעת בנוק' והוא גם כן בצדיק כמו שמפרש והולך, והמן הוא מסטרא דדכורא כמו שמפרש והולך ששת ימים כו'</w:t>
      </w:r>
      <w:r>
        <w:t xml:space="preserve"> :</w:t>
      </w:r>
    </w:p>
  </w:footnote>
  <w:footnote w:id="2403">
    <w:p w:rsidR="00A13282" w:rsidRDefault="00A13282" w:rsidP="002D629A">
      <w:pPr>
        <w:pStyle w:val="a5"/>
      </w:pPr>
      <w:r>
        <w:rPr>
          <w:rStyle w:val="a7"/>
        </w:rPr>
        <w:footnoteRef/>
      </w:r>
      <w:r>
        <w:t xml:space="preserve"> </w:t>
      </w:r>
      <w:r>
        <w:rPr>
          <w:b/>
          <w:bCs/>
          <w:rtl/>
        </w:rPr>
        <w:t>לויתן לעילא דא צדיק.</w:t>
      </w:r>
      <w:r>
        <w:rPr>
          <w:rtl/>
        </w:rPr>
        <w:t xml:space="preserve"> וכן אמר בזוהר פרשת אחרי מות כנ"ל, אבל בזוהר פרשת שמות ופרשת שלח אמר שהוא בין או"א - בדעת, אבל הכל אחד, כמו שאומר לעיל דהוא נקרא על שם הדעת ולכן נקרא גם כן נהר דנגיד ונפיק מעדן והוא משלים לשבעים שנה דנטיל מאו"א והכל ע"י הדעת - בן י"ה, והלויתן סתום, וכשיבקע הים ויעשה יבשה - ישכחו אותו</w:t>
      </w:r>
      <w:r>
        <w:t xml:space="preserve"> :</w:t>
      </w:r>
    </w:p>
  </w:footnote>
  <w:footnote w:id="2404">
    <w:p w:rsidR="00A13282" w:rsidRDefault="00A13282" w:rsidP="002D629A">
      <w:pPr>
        <w:pStyle w:val="a5"/>
      </w:pPr>
      <w:r>
        <w:rPr>
          <w:rStyle w:val="a7"/>
        </w:rPr>
        <w:footnoteRef/>
      </w:r>
      <w:r>
        <w:t xml:space="preserve"> </w:t>
      </w:r>
      <w:r>
        <w:rPr>
          <w:b/>
          <w:bCs/>
          <w:rtl/>
        </w:rPr>
        <w:t>דאיהו כדג כו'.</w:t>
      </w:r>
      <w:r>
        <w:rPr>
          <w:rtl/>
        </w:rPr>
        <w:t xml:space="preserve"> כמו שאמרו כל העולם כולו על סנפירו של לויתן עומד והוא כדג קטן בתוך הים כו', והוא ים אוקיינוס - ים הסובב את כל העולם, שהוא דרגא דבינה דסובבת כל הו"ק שהן העולם</w:t>
      </w:r>
      <w:r>
        <w:t xml:space="preserve"> :</w:t>
      </w:r>
    </w:p>
  </w:footnote>
  <w:footnote w:id="2405">
    <w:p w:rsidR="00A13282" w:rsidRDefault="00A13282" w:rsidP="002D629A">
      <w:pPr>
        <w:pStyle w:val="a5"/>
      </w:pPr>
      <w:r>
        <w:rPr>
          <w:rStyle w:val="a7"/>
        </w:rPr>
        <w:footnoteRef/>
      </w:r>
      <w:r>
        <w:t xml:space="preserve"> </w:t>
      </w:r>
      <w:r>
        <w:rPr>
          <w:b/>
          <w:bCs/>
          <w:rtl/>
        </w:rPr>
        <w:t>נחש בריח כו'.</w:t>
      </w:r>
      <w:r>
        <w:rPr>
          <w:rtl/>
        </w:rPr>
        <w:t xml:space="preserve"> ולכן אתקרי לויתן - נחש בריח, דהוא כולל שניהם ובו נעשין גוף וברית - אחד, והוא דרגיה דמשה רבינו עליו השלום כמו שאמרו בזוהר פרשת תצא וכנ"ל</w:t>
      </w:r>
      <w:r>
        <w:t xml:space="preserve"> :</w:t>
      </w:r>
    </w:p>
  </w:footnote>
  <w:footnote w:id="2406">
    <w:p w:rsidR="00A13282" w:rsidRDefault="00A13282" w:rsidP="002D629A">
      <w:pPr>
        <w:pStyle w:val="a5"/>
      </w:pPr>
      <w:r>
        <w:rPr>
          <w:rStyle w:val="a7"/>
        </w:rPr>
        <w:footnoteRef/>
      </w:r>
      <w:r>
        <w:t xml:space="preserve"> </w:t>
      </w:r>
      <w:r>
        <w:rPr>
          <w:b/>
          <w:bCs/>
          <w:rtl/>
        </w:rPr>
        <w:t>תרין גדפוי כו'.</w:t>
      </w:r>
      <w:r>
        <w:rPr>
          <w:rtl/>
        </w:rPr>
        <w:t xml:space="preserve"> רוצה לומר אלו סנפיריו שהוא פורח בהן והן נקראים כנפים כידוע, והן עוף יעופף, מיכאל וגבריאל - בחו"ג</w:t>
      </w:r>
      <w:r>
        <w:t xml:space="preserve"> :</w:t>
      </w:r>
    </w:p>
  </w:footnote>
  <w:footnote w:id="2407">
    <w:p w:rsidR="00A13282" w:rsidRDefault="00A13282" w:rsidP="002D629A">
      <w:pPr>
        <w:pStyle w:val="a5"/>
      </w:pPr>
      <w:r>
        <w:rPr>
          <w:rStyle w:val="a7"/>
        </w:rPr>
        <w:footnoteRef/>
      </w:r>
      <w:r>
        <w:t xml:space="preserve"> </w:t>
      </w:r>
      <w:r>
        <w:rPr>
          <w:b/>
          <w:bCs/>
          <w:rtl/>
        </w:rPr>
        <w:t>דמתמן אוריית' אתיהיב'.</w:t>
      </w:r>
      <w:r>
        <w:rPr>
          <w:rtl/>
        </w:rPr>
        <w:t xml:space="preserve"> מצוות עשה ומצוות לא תעשה, וכמו שאומר לקמן בתיקון ל"ב ובסוף תיקון ל"ה ובסוף תיקון נ"ד את האדם כו' אורייתא דאתייהיבת לאדם מא' ועד ת', דאתייהיבת מימינא ומשמאלא דתמן פקודין דעשה ולא תעשה כו'</w:t>
      </w:r>
      <w:r>
        <w:t xml:space="preserve"> :</w:t>
      </w:r>
    </w:p>
  </w:footnote>
  <w:footnote w:id="2408">
    <w:p w:rsidR="00A13282" w:rsidRDefault="00A13282" w:rsidP="002D629A">
      <w:pPr>
        <w:pStyle w:val="a5"/>
      </w:pPr>
      <w:r>
        <w:rPr>
          <w:rStyle w:val="a7"/>
        </w:rPr>
        <w:footnoteRef/>
      </w:r>
      <w:r>
        <w:t xml:space="preserve"> </w:t>
      </w:r>
      <w:r>
        <w:rPr>
          <w:b/>
          <w:bCs/>
          <w:rtl/>
        </w:rPr>
        <w:t>תרין קשקשוי כו'.</w:t>
      </w:r>
      <w:r>
        <w:rPr>
          <w:rtl/>
        </w:rPr>
        <w:t xml:space="preserve"> וזה שכתוב (איוב מא ז) גאוה אפיקי, שהן נקראים אפיקי כמו שאומר לעיל דף ל"ח ע"א ובזוהר פרשת אחרי מות דף ס"ח א' ובזוהר פרשת ויקהל דף רי"ט ב', עיין שם ושם, והן לבוש ללויתן ומכסין ליה, שנו"ה מכסים ליסוד, רוצה לומר משני צדדים הקשקשת שעליהם שהן מדובקין כאחד כל הקשקשין שמצד אחד כמו שכתוב גאוה כו' סגור כו' אחד באחד יגשו ורוח לא יבוא ביניהם איש באחיהו ידבקו כו' ואמרו גאוה כו' אלו קשקשין שבו, ונראה שזה שכתוב איש באחיהו ידבקו - בכל הקשקשין שמצד אחד, ואמר על שני מיני הקשקשין שבשני הצדדין - אחד באחד, שהן שנים</w:t>
      </w:r>
      <w:r>
        <w:t xml:space="preserve"> :</w:t>
      </w:r>
    </w:p>
  </w:footnote>
  <w:footnote w:id="2409">
    <w:p w:rsidR="00A13282" w:rsidRDefault="00A13282" w:rsidP="002D629A">
      <w:pPr>
        <w:pStyle w:val="a5"/>
      </w:pPr>
      <w:r>
        <w:rPr>
          <w:rStyle w:val="a7"/>
        </w:rPr>
        <w:footnoteRef/>
      </w:r>
      <w:r>
        <w:t xml:space="preserve"> </w:t>
      </w:r>
      <w:r>
        <w:rPr>
          <w:b/>
          <w:bCs/>
          <w:rtl/>
        </w:rPr>
        <w:t>תרין סמכי קשוט.</w:t>
      </w:r>
      <w:r>
        <w:rPr>
          <w:rtl/>
        </w:rPr>
        <w:t xml:space="preserve"> וזה שאמרו (נדה נא ע"ב) שהקשקשת הן סימני טהרה, כל שיש לו קשקשת כו', כי שקר אין לו רגלים, על גחונך כו', ואמרו ולכתוב קשקשת ולא בעי סנפיר, ואמרו משום יגדיל תורה ויאדיר, והענין כי התורה רמזה לנו על הלויתן כל אשר לו כו' אותם תאכלו, שנזכה לאכלה, והוא נקרא כל, ואמרו אותם - עם הסנפיר והקשקשת, והוא ו"ק, ששת ימים תלקטהו, כי הלויתן נחש בריח הוא ת"ת ויסוד כנ"ל, ושני קשקשים, ושני סנפירים, ותורה אתייהיבת בגדולה ובגבורה, מצוות עשה ומצוות לא תעשה, וזהו יגדיל תורה ויאדיר, והוא חו"ג דדעת - שנזכה להם, ולכן פרט הכתוב בזה מצוות עשה ומצוות לא תעשה, כל אשר לו כו' וכל אשר אין לו כו'</w:t>
      </w:r>
      <w:r>
        <w:t xml:space="preserve"> :</w:t>
      </w:r>
    </w:p>
  </w:footnote>
  <w:footnote w:id="2410">
    <w:p w:rsidR="00A13282" w:rsidRDefault="00A13282" w:rsidP="002D629A">
      <w:pPr>
        <w:pStyle w:val="a5"/>
      </w:pPr>
      <w:r>
        <w:rPr>
          <w:rStyle w:val="a7"/>
        </w:rPr>
        <w:footnoteRef/>
      </w:r>
      <w:r>
        <w:t xml:space="preserve"> </w:t>
      </w:r>
      <w:r>
        <w:rPr>
          <w:b/>
          <w:bCs/>
          <w:rtl/>
        </w:rPr>
        <w:t>שכינתא עילאה.</w:t>
      </w:r>
      <w:r>
        <w:rPr>
          <w:rtl/>
        </w:rPr>
        <w:t xml:space="preserve"> בחמשים שערי בינה, וים הוא חמש גוונין דה"א, ארבעה - מארבע סטרין, ונוצר הולד בארבעים יום שהן דידה, והטיפה דבגוה שהיא מחכמה - הוא יו"ד, והן חמשים, ים, והוא מה שאומר בספרא דצניעותא דף ס"ד, ה' - ד' הות, ומדאתעברת - נעשית ה"א, והוא ים בהכפל ביו"ד של חכמה דמסטרהא נקראת ים, ים החכמה, דאתמליא מיניה כמו שאומר לעיל דף ל"ח א', ועיין לקמן תיקון נ"ב ומה שבארנו שם בארוכה, ובינה כוללת ג"ר, וכולל כאן כל העשר ספירות וכמו שמפרש והולך שכינתא תתאה כו' ורוצה לומר דעל ידה הולכין בימא, דכל השגות הכל ממנה, בזאת כו', והיא המלמדת לאדם דעת, רוח הקודש, ועיין בזוהר פרשת בראשית מ' ב', בארבע זיוויין דתחתיה דמנהון ארבע לארבע סטרין, ולכן המשילו הגוף לאניה - והאניה חשבה כו', דהיא גופא כמו שאומר לקמן דף ס"ג ב' עיין שם</w:t>
      </w:r>
      <w:r>
        <w:t xml:space="preserve"> :</w:t>
      </w:r>
    </w:p>
  </w:footnote>
  <w:footnote w:id="2411">
    <w:p w:rsidR="00A13282" w:rsidRDefault="00A13282" w:rsidP="002D629A">
      <w:pPr>
        <w:pStyle w:val="a5"/>
      </w:pPr>
      <w:r>
        <w:rPr>
          <w:rStyle w:val="a7"/>
        </w:rPr>
        <w:footnoteRef/>
      </w:r>
      <w:r>
        <w:t xml:space="preserve"> </w:t>
      </w:r>
      <w:r>
        <w:rPr>
          <w:b/>
          <w:bCs/>
          <w:rtl/>
        </w:rPr>
        <w:t>דאיהו ל"ב אלקים כו'.</w:t>
      </w:r>
      <w:r>
        <w:rPr>
          <w:rtl/>
        </w:rPr>
        <w:t xml:space="preserve"> שהוא בלב של ים דבינה כלולה מחו"ב כידוע, חכם כו', ומסטרהא הוא נ' שערי בינה, ומסטרא דחכמה בה ל"ב אלקים דעובדא דבראשית, והוא בלב ים ,באמצעיתא ביו"ד, של המ"ם כנ"ל, דשם הוא נקודה בהיכליה, נקודה בחלל, וכמו שבארנו לעיל, והשכינה עולה עד היו"ד דחכמה, ותרב חכמת שלמה כו', עד דמטו להאי מבועא עילאה דאיהו יוד, חכמת כל בני קדם, ובההוא זימנא אתעבידת תגא בראש ו' עיין שם ל"ח א' ושם היא נעלמת כמו שאומר לעיל כ' ב' האי תגא דתלשא איהי י', ישיר כו', ושריא על רישא דאת ו', ואתעבידת תגא - ז', וסליק לה עד אתר דאתגזרת מתמן, ורוצה לומר מחכמה עיין שם, ואמר שם כד אסתליקת מינייהו שואלים איה מקום כבודו כו' ועיין לקמן ע"ו א' נתיב לא ידעו כו' איה מקום כבודו כו' כד איהי בהאי נתיב לית לון ידיעה בה כו', ועיין לעיל ל"ז א' דהאי נקודה טמירה וגניזה דאתמר בה ונעלמה מעין כל חי ועלה אתמר נתיב לא ידעו כו' והאי בת נקודה סתימא כו' ועלה אמר שלמה שלשה המה נפלאו ממני כו' דרך אניה בלב ים ששם ונעלמה כו' אמרתי אחכמה כו' - להגיע אל ההיא חכמה - והיא רחוקה ממני, כמו שאמרו ותתצב אחותו מרחוק, אמור לחכמה כו' כידוע:</w:t>
      </w:r>
    </w:p>
  </w:footnote>
  <w:footnote w:id="2412">
    <w:p w:rsidR="00A13282" w:rsidRDefault="00A13282" w:rsidP="002D629A">
      <w:pPr>
        <w:pStyle w:val="a5"/>
      </w:pPr>
      <w:r>
        <w:rPr>
          <w:rStyle w:val="a7"/>
        </w:rPr>
        <w:footnoteRef/>
      </w:r>
      <w:r>
        <w:t xml:space="preserve"> </w:t>
      </w:r>
      <w:r>
        <w:rPr>
          <w:b/>
          <w:bCs/>
          <w:rtl/>
        </w:rPr>
        <w:t xml:space="preserve"> שם כו' כד"א ועלמות כו'.</w:t>
      </w:r>
      <w:r>
        <w:rPr>
          <w:rtl/>
        </w:rPr>
        <w:t xml:space="preserve"> ששים המה מלכות, ס' מסכתות דכלל התורה שהן ששים גבורים מגבורי ישראל - מסטרא דו"ק, כמו שאומר לעיל כ"ג א' בגין בעלה דאיהו עמודא דאמצעיתא כליל שית סדרין והוא מסטרא דו"ק דעמודא דאמצעיתא, ושמנים פילגשים - תמנין ספרי דאגדתא - מסטרא דיסוד, שכל הגדה מסטרא דיסוד, ורזין דחכמתא ביה - סוד מיסוד, ולכן הן תמנין בחושבן יסו"ד, שבעים - מסוד, ויוד - מיוד, צדיק וברית, ועלמות אין מספר - מסטרא דמלכות דשם ברכות ואינון כולהו רעותיה בהיכלין דשם ששים אילות בסחרני כו':</w:t>
      </w:r>
    </w:p>
  </w:footnote>
  <w:footnote w:id="2413">
    <w:p w:rsidR="00A13282" w:rsidRDefault="00A13282" w:rsidP="002D629A">
      <w:pPr>
        <w:pStyle w:val="a5"/>
      </w:pPr>
      <w:r>
        <w:rPr>
          <w:rStyle w:val="a7"/>
        </w:rPr>
        <w:footnoteRef/>
      </w:r>
      <w:r>
        <w:t xml:space="preserve"> </w:t>
      </w:r>
      <w:r>
        <w:rPr>
          <w:b/>
          <w:bCs/>
          <w:rtl/>
        </w:rPr>
        <w:t xml:space="preserve"> חיות כו'.</w:t>
      </w:r>
      <w:r>
        <w:rPr>
          <w:rtl/>
        </w:rPr>
        <w:t xml:space="preserve"> שהן אותן המרכבות שהן לקוב"ה ושכינתיה דנחתין בקריאת שמע ותפלה, כמו שאומר לעיל בהקדמה ובתיקוני זוהר חדש ושאר מקומות הרבה, והן נקראין על שם דנפקו מתמן כמו שאומר לקמן דף פ"ח ב' ובתיקון נ"ז דף צ"ב ב', והן מסטרא דמאור הגדול ומאור הקטן, וזה שאומר קטנות עם גדולות וכמו שאמרו בזוהר פרשת תרומה דף קל"ח ב' ועל דא מזבח הנחושת קטן, ודוד הוא הקטן דכתיב את המאור כו' עיין שם:</w:t>
      </w:r>
    </w:p>
  </w:footnote>
  <w:footnote w:id="2414">
    <w:p w:rsidR="00A13282" w:rsidRDefault="00A13282" w:rsidP="002D629A">
      <w:pPr>
        <w:pStyle w:val="a5"/>
      </w:pPr>
      <w:r>
        <w:rPr>
          <w:rStyle w:val="a7"/>
        </w:rPr>
        <w:footnoteRef/>
      </w:r>
      <w:r>
        <w:t xml:space="preserve"> </w:t>
      </w:r>
      <w:r>
        <w:rPr>
          <w:b/>
          <w:bCs/>
          <w:rtl/>
        </w:rPr>
        <w:t xml:space="preserve"> פתח ר"א כו'.</w:t>
      </w:r>
      <w:r>
        <w:rPr>
          <w:rtl/>
        </w:rPr>
        <w:t xml:space="preserve"> רוצה לומר כיון דשבע ימים אינון, הן כל שבע ספירות עם מלכות - למאן אינון יונקים וכתיב יינקו:</w:t>
      </w:r>
    </w:p>
  </w:footnote>
  <w:footnote w:id="2415">
    <w:p w:rsidR="00A13282" w:rsidRDefault="00A13282" w:rsidP="002D629A">
      <w:pPr>
        <w:pStyle w:val="a5"/>
      </w:pPr>
      <w:r>
        <w:rPr>
          <w:rStyle w:val="a7"/>
        </w:rPr>
        <w:footnoteRef/>
      </w:r>
      <w:r>
        <w:t xml:space="preserve"> </w:t>
      </w:r>
      <w:r>
        <w:rPr>
          <w:b/>
          <w:bCs/>
          <w:rtl/>
        </w:rPr>
        <w:t xml:space="preserve"> א"ל ברי שבעה כו'.</w:t>
      </w:r>
      <w:r>
        <w:rPr>
          <w:rtl/>
        </w:rPr>
        <w:t xml:space="preserve"> רוצה לומר דהן שבעה דדכורא ושבע דנוק' כמו שאומר בזוהר חדש שיר השירים מ"ט ב' ג', שבעה ושבעה - אלין תתאי דקיימין לקבליהון דעלאי, וכולהו אחיד לנרות אשר על ראשה, שבעה ושבעה מוצקות - אלין שבעת ימים ושבעת ימים, אלין עלאי ואלין תתאי, דמתחבראן כחדא, והוא כמו שאמרו דכל מה שברא הקב"ה - זכר ונקבה בראו, ושבעה הן בהצטרף יסוד הבינה, היכל השביעי, והוא הדעת - נהר הכוללם עמהם, והוא היכל השביעי, וכן ים עלאה כנ"ל, וכמו שאמר וים עלאה על כולהו, ואע"ג שהן שמונה עם העטרת - יסוד ועטרת נכללין בלבנת הספיר, ופעמים נו"ה כמו ברקיעים - שחקים, אבל וילון רקיע - בשנים, וכמו שאמרו בזוהר פרשת פנחס שבלבנת הספיר הן שני רקיעים, ועיין בזוהר פרשת בראשית ל"א א' שבעה היכלין מדורין אינון לעילא דאינון רזא דמהימנותא עלאה ושבעה היכלין אינון לתתא כגוונא דלעילא עיין שם בדבריו, ובזוהר פרשת פקודי רמ"ה א' לחזות בנועם ה' - באינון שבעה רקיעים לעילא, ולבקר בהיכלו - באינון שבעה רקיעים דלתתא, ואלין קיימין אלין לקבל אלין, ובכולהו קמת בגנתא דעדן אינון שבע חופות קדישין כו' עד דאתא אברהם חסידא ושארי לאתקנא עלמא, ועאל גו מהימנותא קדישא ואתקין לעילא ותתא באינון רקיעים עלאין ובאינון רקיעים תתאין, אינון תתאין היכלין לאינון רקיעים עלאין לאתאחדא דא בדא ולאתקשרא דא בדא, כמה דאוקימנא באינון היכלין דקאמרן, והוא יחודא דשמע ישראל וברוך שם כבוד מלכותו לעולם ועד, וזה שאומר והכי אינון רקיעין שבעה כו', וחשיב כאן שבעה דברים שהן שבע פעמים שבע, שבע שבתות - מ"ט שערי בינה. ואמר וכלהו זכרים ונקבות - כנ"ל שבעה דדכורא בשבעה דנוק', ובכולן הבינה - שהיא הדעת - היא השביעית למעלה, והוא תירוץ על קושיתו למאן כו', ורוצה לומר דדכורא מניקין לנוקבא, ואמר וראשין תרין - הן חו"ב, וגם כן זכר ונקבה כמו שאומר וכולהו זכרים ונקבות, דמחכמה ולמטה הכל זכרים ונקבות כמו שאמרו באידרא זוטא, לבד בכתר - אמר ואין אלקים עמדי, וזה שאומר ולעילא חד כו', ומכל מקום מושרשין בו זכר ונקבה, וזה שאומר טמיר וגניז, וכמו שאמרו במופלא ממך כו' ובמכוסה, שהן שני ראשים: גלגלתא - מופלא, ומ"ס - מכוסה, שהן שורש חו"ג, אוירא ובוצינא, לבד ההוא דלא עייל כו' ברח לך כו'</w:t>
      </w:r>
      <w:r>
        <w:t xml:space="preserve"> :</w:t>
      </w:r>
    </w:p>
  </w:footnote>
  <w:footnote w:id="2416">
    <w:p w:rsidR="00A13282" w:rsidRDefault="00A13282" w:rsidP="002D629A">
      <w:pPr>
        <w:pStyle w:val="a5"/>
      </w:pPr>
      <w:r>
        <w:rPr>
          <w:rStyle w:val="a7"/>
        </w:rPr>
        <w:footnoteRef/>
      </w:r>
      <w:r>
        <w:t xml:space="preserve"> </w:t>
      </w:r>
      <w:r>
        <w:rPr>
          <w:b/>
          <w:bCs/>
          <w:rtl/>
        </w:rPr>
        <w:t>ורזא דמלה שנים כו'.</w:t>
      </w:r>
      <w:r>
        <w:rPr>
          <w:rtl/>
        </w:rPr>
        <w:t xml:space="preserve"> רוצה לומר שמה שאמרה התורה בבהמה טמאה שנים שנים - היינו ארבע מכל מין - שני זכרים ושתי נקבות, וכן אמר ברעיא מהימנא ולעיל מ"ו ב' ושאר מקומות, ואמר למעלה וים עילאה על כלהו - הוא גם כן ממניינא, אע"ג דבגמרא (בבא בתרא עד ע"ב) חשיב שבעה ימים בלא הוא - כבר כתבנו ששנים נכללין כאחד, ושבעה ימים הן ספורים בגמרא (שם) וכן שבעה רקיעים. ושבע ארצות ושבעה היכלות בזוהר פרשת בראשית. הרים - שבעה הן בארץ ישראל והן במקרא. ישובין שבעה - הן ידועין, וכמו שאמרו בזוהר גם כן משם רב המנונא. וכרסיין - שבעה הן במעשה בראשית בברייתא, וכל הדכורין נכללין כאחד וכן הנוק' וזה שכתוב עד די כרסיין רמיו ואמרו (סנהדרין לח ע"ב) אחד לו ואחד לדוד, וראב"י אמר א' לכסא כו', ואמרו (שם) אחד לדין כו', והכל אחד. וכן הראשין דלהון - תרין, ונאמר כרסייה שביבין כו' - הוא על חד הטמיר וגניז וכמו שכתוב ועתיק יומין כו', שהכרסייא הוא בוצינא דקרדינותא כמו שבארנו שם, ולכן נאמר שביבין כו', וכמו שאמרו באידרא רבא קום ר' יהודא לתקנא כו', וכמו שביארנו במקום אחר עיין שם</w:t>
      </w:r>
      <w:r>
        <w:t xml:space="preserve"> :</w:t>
      </w:r>
    </w:p>
  </w:footnote>
  <w:footnote w:id="2417">
    <w:p w:rsidR="00A13282" w:rsidRDefault="00A13282" w:rsidP="002D629A">
      <w:pPr>
        <w:pStyle w:val="a5"/>
      </w:pPr>
      <w:r>
        <w:rPr>
          <w:rStyle w:val="a7"/>
        </w:rPr>
        <w:footnoteRef/>
      </w:r>
      <w:r>
        <w:t xml:space="preserve"> </w:t>
      </w:r>
      <w:r>
        <w:rPr>
          <w:b/>
          <w:bCs/>
          <w:rtl/>
        </w:rPr>
        <w:t>לויתן דא כו'.</w:t>
      </w:r>
      <w:r>
        <w:rPr>
          <w:rtl/>
        </w:rPr>
        <w:t xml:space="preserve"> אמר שהלויתן כולל כל הימים - שהוא צדיק, ורישיה דאיהו עמודא דאמצעיתא - כולל ים העליון שהוא הדעת, וארבעה סנפיריו וקשקשת - בחו"ג ונ"ה, וזנביה - הוא מלכות, והן שבעה</w:t>
      </w:r>
      <w:r>
        <w:t xml:space="preserve"> :</w:t>
      </w:r>
    </w:p>
  </w:footnote>
  <w:footnote w:id="2418">
    <w:p w:rsidR="00A13282" w:rsidRDefault="00A13282" w:rsidP="002D629A">
      <w:pPr>
        <w:pStyle w:val="a5"/>
      </w:pPr>
      <w:r>
        <w:rPr>
          <w:rStyle w:val="a7"/>
        </w:rPr>
        <w:footnoteRef/>
      </w:r>
      <w:r>
        <w:t xml:space="preserve"> </w:t>
      </w:r>
      <w:r>
        <w:rPr>
          <w:b/>
          <w:bCs/>
          <w:rtl/>
        </w:rPr>
        <w:t>דאיהי כלילא כו'.</w:t>
      </w:r>
      <w:r>
        <w:rPr>
          <w:rtl/>
        </w:rPr>
        <w:t xml:space="preserve"> לבד הים בעצמו, שהיא כלולה מזו"נ, כמו לבנת וספיר, ונגד לבנת שם בנוק' היא כלולה משבע והן שבעה בשבעה, והלויתן אע"פ שהוא בים העליון מכל מקום כולל כל הימים כי הדעת הוא הנהר דכולל ו' צינורות וכמו שאומר לעיל ל"ח א', ואלו שני ימים העליון והשביעי הן כל אחד כוללין שבעה, כמו שאמרו בזוהר חדש שיר השירים מ"ט ג' תו (שבעה ושבעה) תרין דרגין אינון וכל חד איקרי שבעה, חד איהו עלמא דאתי כו' וחד איהו צדיק כו', עיין שם היטב</w:t>
      </w:r>
      <w:r>
        <w:t xml:space="preserve"> :</w:t>
      </w:r>
    </w:p>
  </w:footnote>
  <w:footnote w:id="2419">
    <w:p w:rsidR="00A13282" w:rsidRDefault="00A13282" w:rsidP="002D629A">
      <w:pPr>
        <w:pStyle w:val="a5"/>
      </w:pPr>
      <w:r>
        <w:rPr>
          <w:rStyle w:val="a7"/>
        </w:rPr>
        <w:footnoteRef/>
      </w:r>
      <w:r>
        <w:t xml:space="preserve"> </w:t>
      </w:r>
      <w:r>
        <w:rPr>
          <w:b/>
          <w:bCs/>
          <w:rtl/>
        </w:rPr>
        <w:t>דעלה אתמר שבע כו'.</w:t>
      </w:r>
      <w:r>
        <w:rPr>
          <w:rtl/>
        </w:rPr>
        <w:t xml:space="preserve"> רוצה לומר על מלכות והיא בת שבע</w:t>
      </w:r>
      <w:r>
        <w:t xml:space="preserve"> :</w:t>
      </w:r>
    </w:p>
  </w:footnote>
  <w:footnote w:id="2420">
    <w:p w:rsidR="00A13282" w:rsidRDefault="00A13282" w:rsidP="002D629A">
      <w:pPr>
        <w:pStyle w:val="a5"/>
      </w:pPr>
      <w:r>
        <w:rPr>
          <w:rStyle w:val="a7"/>
        </w:rPr>
        <w:footnoteRef/>
      </w:r>
      <w:r>
        <w:t xml:space="preserve"> </w:t>
      </w:r>
      <w:r>
        <w:rPr>
          <w:b/>
          <w:bCs/>
          <w:rtl/>
        </w:rPr>
        <w:t>הא מארי תריסין.</w:t>
      </w:r>
      <w:r>
        <w:rPr>
          <w:rtl/>
        </w:rPr>
        <w:t xml:space="preserve"> הן מארי מתניתין דלמעלה נ"ב ב' וכמה תריסין כו'</w:t>
      </w:r>
      <w:r>
        <w:t xml:space="preserve"> :</w:t>
      </w:r>
    </w:p>
  </w:footnote>
  <w:footnote w:id="2421">
    <w:p w:rsidR="00A13282" w:rsidRDefault="00A13282" w:rsidP="002D629A">
      <w:pPr>
        <w:pStyle w:val="a5"/>
      </w:pPr>
      <w:r>
        <w:rPr>
          <w:rStyle w:val="a7"/>
        </w:rPr>
        <w:footnoteRef/>
      </w:r>
      <w:r>
        <w:t xml:space="preserve"> </w:t>
      </w:r>
      <w:r>
        <w:rPr>
          <w:b/>
          <w:bCs/>
          <w:rtl/>
        </w:rPr>
        <w:t>מלובשין שריין.</w:t>
      </w:r>
      <w:r>
        <w:rPr>
          <w:rtl/>
        </w:rPr>
        <w:t xml:space="preserve"> הן לאגנא לשכינתא ואורייתא - מחויא - בקרבא, והוא מאמא עילאה, לבוש חשמל המקיפים לה וכמו שאומר לקמן ס"א ב', והוא מה שכתוב וילבש צדקה כשריון, וצדקה ידוע באימא, מתנת חנם דשם אהי"ה, וחנותי את אשר אחון, שהוא עולם הוותרנות מתנת חלקו, ומארי תריסין המלובשין שריון הן בעלי הצדקה דאמר למעלה כ"ט ב' דאיהי צדקה, צ' - תשעים כו':</w:t>
      </w:r>
    </w:p>
  </w:footnote>
  <w:footnote w:id="2422">
    <w:p w:rsidR="00A13282" w:rsidRDefault="00A13282" w:rsidP="002D629A">
      <w:pPr>
        <w:pStyle w:val="a5"/>
      </w:pPr>
      <w:r>
        <w:rPr>
          <w:rStyle w:val="a7"/>
        </w:rPr>
        <w:footnoteRef/>
      </w:r>
      <w:r>
        <w:t xml:space="preserve"> </w:t>
      </w:r>
      <w:r>
        <w:rPr>
          <w:rtl/>
        </w:rPr>
        <w:t xml:space="preserve"> </w:t>
      </w:r>
      <w:r>
        <w:rPr>
          <w:b/>
          <w:bCs/>
          <w:rtl/>
        </w:rPr>
        <w:t>קשתותיהן כו'.</w:t>
      </w:r>
      <w:r>
        <w:rPr>
          <w:rtl/>
        </w:rPr>
        <w:t xml:space="preserve"> מלחמה זו בקשת דקריאת שמע כמו שאמרו ברעיא מהימנא פרשת עקב רע"ב א' א"ל חבריא ברי כו' דהא ודאי בקריאת שמע אוקמוהו כו', וקשת הוא צדיק כמו שאומר שם קשת דזריק חצים וכל זרע כו', וכן אמר בזוהר פרשת פנחס רוצה לומר ב' בגין דלית יחודא כו' אלא בצדיק דאיהו קשת כו', וכן בתיקוני זוהר חדש ע"ג ב' קשת דאיהו צדיק כו', וכן למעלה ו' א' כמראה הקשת דא צדיק כו', ובתיקון י"ג, כ"ה ב', לגבי צדיק דאיהו קשת כו' עיין שם בדבריו וכן במקומות הרבה. אבל בזוהר פרשת בראשית י"ח א' אמר כמראה הקשת כו' ותראה היבשה כו' נפקת רחל וכו' וכן בשאר מקומות גם כן. והענין הוא באות הברית, דאיהי בצדיק, ואיהי נוק', רחל, כמו שאומר לקמן בתיקון ל"ו דהוא מעין חתום דידה. ועיין בזוהר פרשת נח ע"א ב' ובג"כ קשתו דא ברית דקשת דאתכליל בצדיק כו' עיין שם, והוא כמו לבנת הספיר ולכן הקשת הוא ברקיע, סיהרא קדישא ועיין לעיל ל"ג ב' אר"ש ברי בגין כו' והן קליפין דערלה דעל ברית וכמו שאומר לקמן תיקון ל"ז דף פ"א א' עיין שם בארוכה. והקרבא דחויא הוא בשלש תיבין: ה' אלקינו ה', דהן שלשה גוונין דעלמא עילאה דמתייחדין בברוך שם כבוד מלכותו לעולם ועד, ששם שלשה גוונין דעלמא תתאה וכמו שאמרו בזוהר פרשת בראשית י"ח ב', וזה שאומר בזוהר פרשת עקב שם קשת דזריק חצים הן שלשה חצים לי למטרה כמו שאומר בסוף תיקון י"ג דהיא בת עין, עיין שם, ויוסף נציב לון בארעא וכמו שאמרו בזוהר פרשת בראשית א' ב' עאל יוסף כו' בשעתא דאתגלי קשת כו' והן שלשה - ברוך שם כבוד, ומלכותו - דכליל לון, ועיין בזוהר פרשת תרומה קס"ב א' בארוכה שהן רזא דארבע עיטרין שהן שלשה, והן רזא דאבהן דקאמר בזוהר פרשת בראשית הנ"ל והן שלשה החצים הנ"ל והבן רזא דאבהן בכל מקום, והן ארבעה שנעשו שלשה בעמודא דאמצעיתא דכליל שנים בדעת, והקשת דזריק החצים הוא ברית דצדיק דזריק לפלח חץ כבדו דחויא ובתר דא לשלח למטרה כו' כמו שאומר לעיל בסוף תיקון י"ג והן קשתי אש שהוא שלהבת י"ה רשפיה כו' להלחם בחויא וכמו שאומר לקמן דף ס"ו ב', וכן לשלח למטרה הוא בשלהובין דרחימו, מים רבים לא יוכלו לכבות כו'. והענין, כי התעוררות הזיווג הוא בשלהובין דגבורה, שמאלו כו', ואח"כ וימינו, דהוא טפת החסדים, והחסדים גוברים מאד ומכבים את אש התאוה ולכן נפסק התאוה עד זמן גדול, אבל לעתיד לבוא אף שתמלא הארץ דעה כמים כו' שכל כך יפוצו נהר הדעת, טפת החסדים, מכל מקום תהיה שלהבת האהבה גדולה מאד עד שלא יוכלו לכבות האהבה, ולכן יהיה הזיווג תמידי, ולכן תתרבה גם כן הדעת מאד, שכל שהשלהבת האהבה גוברת - יורד החסדים תמיד כמים לים מכסים, וזהו מים רבים כו' ונהרות כו', והענין הוא כי בזמן הזה שאין אהבה שלנו לבורא גדולה כל כך שלא יוכלו לכבות לון - אינו תמידי, וזה שכתוב השבעתי אתכם אם תעירו כו' כמו שביארנו שם ובתיקון ל' דף ע"ו ב'</w:t>
      </w:r>
      <w:r>
        <w:t xml:space="preserve"> :</w:t>
      </w:r>
    </w:p>
  </w:footnote>
  <w:footnote w:id="2423">
    <w:p w:rsidR="00A13282" w:rsidRDefault="00A13282" w:rsidP="002D629A">
      <w:pPr>
        <w:pStyle w:val="a5"/>
      </w:pPr>
      <w:r>
        <w:rPr>
          <w:rStyle w:val="a7"/>
        </w:rPr>
        <w:footnoteRef/>
      </w:r>
      <w:r>
        <w:t xml:space="preserve"> </w:t>
      </w:r>
      <w:r>
        <w:rPr>
          <w:b/>
          <w:bCs/>
          <w:rtl/>
        </w:rPr>
        <w:t>ורומחיהון כו'.</w:t>
      </w:r>
      <w:r>
        <w:rPr>
          <w:rtl/>
        </w:rPr>
        <w:t xml:space="preserve"> גם כן כמו שאמרו ברעיא מהימנא שם, ובתיקונים לקמן, שהוא רמ"ח דקריאת שמע עם שית תיבין דיחודא, ואע"ג דהן ממנינא, מכל מקום שתי בחינות בו, ועיין מה שנבאר לקמן בתיקון נ"א. והן ו"ק דכוללין כל הגוף כמו שבארנו בהיכלות בארוכה, עיין שם, ורמ"ח אברים דגופא. והן כלל ופרט. וכל זה כליל הברית, דאיהו ו' זעירא, ורמ"ח עלמין ביה, דהוא כליל כל אברין דגופא וכל רמ"ח פקודין כמו שאומר לעיל ל"ח א' ולקמן פ"ב ב' ושאר מקומות הרבה, וכמו שאומר לקמן נ"ד א' ב' בהגהה אלין אינון רמ"ח תיבין כו' אינון רמ"ח אברים דכלילין בברית דאיהו צדיק, והכל אש דהוא ברית אש כמו שאומר לעיל יו"ד א' אש דאיש ואשה וכנ"ל, ועיין לקמן נ"ד ב', דרומח - הוא כד הטפה אזלת מתתא לעילא ואתארכת בוא"ו כרומח, וכד נחתת הוא קשת, עיין שם</w:t>
      </w:r>
      <w:r>
        <w:t xml:space="preserve"> :</w:t>
      </w:r>
    </w:p>
  </w:footnote>
  <w:footnote w:id="2424">
    <w:p w:rsidR="00A13282" w:rsidRDefault="00A13282" w:rsidP="002D629A">
      <w:pPr>
        <w:pStyle w:val="a5"/>
      </w:pPr>
      <w:r>
        <w:rPr>
          <w:rStyle w:val="a7"/>
        </w:rPr>
        <w:footnoteRef/>
      </w:r>
      <w:r>
        <w:t xml:space="preserve"> </w:t>
      </w:r>
      <w:r>
        <w:rPr>
          <w:b/>
          <w:bCs/>
          <w:rtl/>
        </w:rPr>
        <w:t>וסייפיהון כו'.</w:t>
      </w:r>
      <w:r>
        <w:rPr>
          <w:rtl/>
        </w:rPr>
        <w:t xml:space="preserve"> חרב גם כן מבואר ברעיא מהימנא שם דהוא באחד, והוא בשם הוי"ה כמו שאומר שם ולקמן נ"ה א' והכל באחד, ועיין בסוף ח"א א' ב' וכד מטי לאחד כו', וח' - תמניא דרגין כו', וד' רבתא כו' ושם שחיט ליה כמו שאומר לעיל ח' א', והוא בפה ד' של אחד, ועיין מה שבארנו שם, ושם הוא הנענוע דחרבא דשית סטרין, ושם הוא דלית אחר, ד' רבתא דלא לאחלפא בר', ואנחנו עדים - ע"ד רבתא, משמשת בשני עדים אחד לו ואחד לה - ועד</w:t>
      </w:r>
      <w:r>
        <w:t xml:space="preserve"> :</w:t>
      </w:r>
    </w:p>
  </w:footnote>
  <w:footnote w:id="2425">
    <w:p w:rsidR="00A13282" w:rsidRDefault="00A13282" w:rsidP="002D629A">
      <w:pPr>
        <w:pStyle w:val="a5"/>
      </w:pPr>
      <w:r>
        <w:rPr>
          <w:rStyle w:val="a7"/>
        </w:rPr>
        <w:footnoteRef/>
      </w:r>
      <w:r>
        <w:t xml:space="preserve"> </w:t>
      </w:r>
      <w:r>
        <w:rPr>
          <w:b/>
          <w:bCs/>
          <w:rtl/>
        </w:rPr>
        <w:t>להבה.</w:t>
      </w:r>
      <w:r>
        <w:rPr>
          <w:rtl/>
        </w:rPr>
        <w:t xml:space="preserve"> מ"ב דבראשית - בגבורה, ושם הוא החרב כידוע, והוא המלחמה החזקה מהכל</w:t>
      </w:r>
      <w:r>
        <w:t xml:space="preserve"> :</w:t>
      </w:r>
    </w:p>
  </w:footnote>
  <w:footnote w:id="2426">
    <w:p w:rsidR="00A13282" w:rsidRDefault="00A13282" w:rsidP="002D629A">
      <w:pPr>
        <w:pStyle w:val="a5"/>
      </w:pPr>
      <w:r>
        <w:rPr>
          <w:rStyle w:val="a7"/>
        </w:rPr>
        <w:footnoteRef/>
      </w:r>
      <w:r>
        <w:t xml:space="preserve"> </w:t>
      </w:r>
      <w:r>
        <w:rPr>
          <w:b/>
          <w:bCs/>
          <w:rtl/>
        </w:rPr>
        <w:t>כלהו מארי עיינין.</w:t>
      </w:r>
      <w:r>
        <w:rPr>
          <w:rtl/>
        </w:rPr>
        <w:t xml:space="preserve"> שהן בהיכל הרביעי, והן בפקיחו דעיינין דבעו לאסתמרא בקרבא וכמו שאומר אנן פקיחי עיינין, דבתורה שבעל פה בלא רזא - הוא סתימו דעיינין, כמו שאמרו בתיקוני זוהר חדש ע"ג ד' וכמה אינון דמיכין כו' עיין שם</w:t>
      </w:r>
      <w:r>
        <w:t xml:space="preserve"> :</w:t>
      </w:r>
    </w:p>
  </w:footnote>
  <w:footnote w:id="2427">
    <w:p w:rsidR="00A13282" w:rsidRDefault="00A13282" w:rsidP="002D629A">
      <w:pPr>
        <w:pStyle w:val="a5"/>
      </w:pPr>
      <w:r>
        <w:rPr>
          <w:rStyle w:val="a7"/>
        </w:rPr>
        <w:footnoteRef/>
      </w:r>
      <w:r>
        <w:t xml:space="preserve"> </w:t>
      </w:r>
      <w:r>
        <w:rPr>
          <w:b/>
          <w:bCs/>
          <w:rtl/>
        </w:rPr>
        <w:t>בודאי הא כו'.</w:t>
      </w:r>
      <w:r>
        <w:rPr>
          <w:rtl/>
        </w:rPr>
        <w:t xml:space="preserve"> הן מארי תריסין, שדורשין רזי תורה בקרא, והוא הקרבא, דקרא סתים בסלע כנ"ל, והן מחאן לסלע, וזהו בבי מדרשא. ואינון דמתגדלין תמיד ברזין אקראין נוני כו', והן שזכו לפנימיות החכמה כפי שרשם, והן שבהם ניצוץ מרעיא מהימנא, וזה שאומר ולא עוד כו' דמתרבין בימא</w:t>
      </w:r>
      <w:r>
        <w:t xml:space="preserve"> :</w:t>
      </w:r>
    </w:p>
  </w:footnote>
  <w:footnote w:id="2428">
    <w:p w:rsidR="00A13282" w:rsidRDefault="00A13282" w:rsidP="002D629A">
      <w:pPr>
        <w:pStyle w:val="a5"/>
      </w:pPr>
      <w:r>
        <w:rPr>
          <w:rStyle w:val="a7"/>
        </w:rPr>
        <w:footnoteRef/>
      </w:r>
      <w:r>
        <w:t xml:space="preserve"> </w:t>
      </w:r>
      <w:r>
        <w:rPr>
          <w:b/>
          <w:bCs/>
          <w:rtl/>
        </w:rPr>
        <w:t>רשת כו'.</w:t>
      </w:r>
      <w:r>
        <w:rPr>
          <w:rtl/>
        </w:rPr>
        <w:t xml:space="preserve"> דברי תורה, שהן נמשכין אחר דברי תורה כמו שאמרו בזוהר פרשת בלק שמניחין כו' דלית חמרא כו' ועיין בזוהר פרשת פנחס רנ"ד א' וישראל ידעי למיצד צידה כו', והוא הצידה, וקורא רשת - שהוא על נוני ימא</w:t>
      </w:r>
      <w:r>
        <w:t xml:space="preserve"> :</w:t>
      </w:r>
    </w:p>
  </w:footnote>
  <w:footnote w:id="2429">
    <w:p w:rsidR="00A13282" w:rsidRDefault="00A13282" w:rsidP="002D629A">
      <w:pPr>
        <w:pStyle w:val="a5"/>
      </w:pPr>
      <w:r>
        <w:rPr>
          <w:rStyle w:val="a7"/>
        </w:rPr>
        <w:footnoteRef/>
      </w:r>
      <w:r>
        <w:t xml:space="preserve"> </w:t>
      </w:r>
      <w:r>
        <w:rPr>
          <w:b/>
          <w:bCs/>
          <w:rtl/>
        </w:rPr>
        <w:t>ולמארי תריסין כו'.</w:t>
      </w:r>
      <w:r>
        <w:rPr>
          <w:rtl/>
        </w:rPr>
        <w:t xml:space="preserve"> למתבר ההוא סלע דחויא, מה שאין כן לנוני ימא כנ"ל</w:t>
      </w:r>
      <w:r>
        <w:t xml:space="preserve"> :</w:t>
      </w:r>
    </w:p>
  </w:footnote>
  <w:footnote w:id="2430">
    <w:p w:rsidR="00A13282" w:rsidRDefault="00A13282" w:rsidP="002D629A">
      <w:pPr>
        <w:pStyle w:val="a5"/>
      </w:pPr>
      <w:r>
        <w:rPr>
          <w:rStyle w:val="a7"/>
        </w:rPr>
        <w:footnoteRef/>
      </w:r>
      <w:r>
        <w:t xml:space="preserve"> </w:t>
      </w:r>
      <w:r>
        <w:rPr>
          <w:b/>
          <w:bCs/>
          <w:rtl/>
        </w:rPr>
        <w:t>בקירטא.</w:t>
      </w:r>
      <w:r>
        <w:rPr>
          <w:rtl/>
        </w:rPr>
        <w:t xml:space="preserve"> מפורש בזוהר פרשת עקב שם, ולקמן, דקירטא הוא אחד, וחמש אבנין דקירטא הוא חמש תיבין שלפניה, דנעשו אחד בה, וכמו שאומר לעיל בתיקון י"ט עיין שם</w:t>
      </w:r>
      <w:r>
        <w:t xml:space="preserve"> :</w:t>
      </w:r>
    </w:p>
  </w:footnote>
  <w:footnote w:id="2431">
    <w:p w:rsidR="00FB1D80" w:rsidRDefault="00FB1D80" w:rsidP="00FB1D80">
      <w:pPr>
        <w:pStyle w:val="aff7"/>
        <w:jc w:val="both"/>
        <w:rPr>
          <w:rtl/>
        </w:rPr>
      </w:pPr>
      <w:r>
        <w:rPr>
          <w:rStyle w:val="a7"/>
        </w:rPr>
        <w:footnoteRef/>
      </w:r>
      <w:r>
        <w:rPr>
          <w:rtl/>
        </w:rPr>
        <w:t xml:space="preserve"> </w:t>
      </w:r>
      <w:r>
        <w:rPr>
          <w:rFonts w:hAnsi="Courier New" w:cs="Arial" w:hint="cs"/>
          <w:b/>
          <w:bCs/>
          <w:szCs w:val="24"/>
          <w:rtl/>
          <w:lang w:eastAsia="en-US"/>
        </w:rPr>
        <w:t>**</w:t>
      </w:r>
      <w:r>
        <w:rPr>
          <w:rFonts w:hAnsi="Courier New" w:cs="Arial"/>
          <w:b/>
          <w:bCs/>
          <w:szCs w:val="24"/>
          <w:rtl/>
          <w:lang w:eastAsia="en-US"/>
        </w:rPr>
        <w:t xml:space="preserve">בקירטא באבנין כו'. </w:t>
      </w:r>
      <w:r>
        <w:rPr>
          <w:rFonts w:hAnsi="Courier New" w:cs="Arial"/>
          <w:szCs w:val="24"/>
          <w:rtl/>
          <w:lang w:eastAsia="en-US"/>
        </w:rPr>
        <w:t>ע"ל יו"ד ב' ענין החרב ורומח וקרטא דהוא קלע כמש"ש וקשת ואמר שם דקשת הוא בשכמל"ו דהוא באות הברית מלכות וענין המגן לקבל הכאת החצים בו והוא ג' גוונין דבה שמקבלין ג' גירין ממנו מקשתו דאין לך מפה כו' וקשת הוא מ"ד ומגן הוא מ"נ ששם יורדין מ"ד ולפ"ז הוא מאחד אבל שם כ' שהוא בשכמל"ו וכן בפ' בראשית ובפ' תרומה כתב דבשכמל"ו הוא יחודא דידה בנוק' דידה אבל בתיקונים אמר בכ"מ דבשכמל"ו מסט' דצדיק וכן אמר שם כנ"ל ואמר וברכות לראש צקיק וכן אמר לקמן דהוא ד"ך בכ"ד אתוון כו' ונראה שהוא מלמטה למעלה באור חוזר ובגלותא אמר לקמן דהוא אשתקיא מינה. והענין כמ"ש כי לא המטיר כו' ואדם אין כו' דאדם הוא הצדיק להשקות את האדמה הן ע"י מטר הן ע"י נהרות שעושה לה יאורין והנה כשהאדם מהיר ומצליח במלאכתו אז משקה אותם משא"כ בלא"ה אז היא שותה ממנה מה שהשקו אותה הראשונים ונשאר בה וכ"ה בצדיק דלעילא וכ"ה בתורה שעתה אין אנו מקבלין שום דבר חדש בתורה כמו בזמן בהמ"ק אלא מה שאנו מוצאין כתוב בספרי הראשונים ובזמן בהמ"ק היו משקים לתורה וכמ"ש על ר"ע דברים שלא נתגלו למרע"ה כו' ודריש על כל קוץ וקוץ וזו היא השקאת התורה משא"כ עתה מלכה ושרי' וגו' אין תורה ואין לנו אלא ספיחי הראשונים הלואי [שנוכל] להבין דבריהם וכמ"ש (בריש א"ר) ואינון בשולי כרמא לא ידעין כו' וכמו הזרע שזורעין בקרקע שהאדם זורע בקרקע ומביא לה זרע ממקום אחר וכשאין אדם טורח בה אז היא נזרעת מעצמה ספיחין ומאכלת לאדם כשאין אדם שיכול לטרוח בשבילה וכ"ה בגלות ואדם אין לעבוד כו' עד שיבא משיח כמ"ש בתנ"א ע"ש ובפ' בראשית וכל שיח כו' הוא משיח כו':</w:t>
      </w:r>
    </w:p>
  </w:footnote>
  <w:footnote w:id="2432">
    <w:p w:rsidR="00A13282" w:rsidRDefault="00A13282" w:rsidP="002D629A">
      <w:pPr>
        <w:pStyle w:val="a5"/>
      </w:pPr>
      <w:r>
        <w:rPr>
          <w:rStyle w:val="a7"/>
        </w:rPr>
        <w:footnoteRef/>
      </w:r>
      <w:r>
        <w:t xml:space="preserve"> </w:t>
      </w:r>
      <w:r>
        <w:rPr>
          <w:b/>
          <w:bCs/>
          <w:rtl/>
        </w:rPr>
        <w:t>בקשתא בגירין דקשתא.</w:t>
      </w:r>
      <w:r>
        <w:rPr>
          <w:rtl/>
        </w:rPr>
        <w:t xml:space="preserve"> כנ"ל, שהן ה' אלקינו ה', גירין דקשתא, ואחד - קשתא</w:t>
      </w:r>
      <w:r>
        <w:t xml:space="preserve"> :</w:t>
      </w:r>
    </w:p>
  </w:footnote>
  <w:footnote w:id="2433">
    <w:p w:rsidR="00A13282" w:rsidRDefault="00A13282" w:rsidP="002D629A">
      <w:pPr>
        <w:pStyle w:val="a5"/>
      </w:pPr>
      <w:r>
        <w:rPr>
          <w:rStyle w:val="a7"/>
        </w:rPr>
        <w:footnoteRef/>
      </w:r>
      <w:r>
        <w:t xml:space="preserve"> </w:t>
      </w:r>
      <w:r>
        <w:rPr>
          <w:b/>
          <w:bCs/>
          <w:rtl/>
        </w:rPr>
        <w:t>ברומחא.</w:t>
      </w:r>
      <w:r>
        <w:rPr>
          <w:rtl/>
        </w:rPr>
        <w:t xml:space="preserve"> גם כן כבר נתבאר למעלה, וכן בחרבא, והוא חתיך הטפה לתלת טפין - דנעשה סגולתא, וכמו שאומר לקמן נ"ד ב' וכולן רמיזין בטעמים דאורייתא כמו שאמרו זרקא כו', וכמו שאומר לעיל בסוף תיקון ה' טעמי מאני קרבא, ועיין לקמן בהג"ה פתח ואמר זרקא מקף כו', ולמעלה בתיקון כ', ובתיקוני זוהר חדש:</w:t>
      </w:r>
    </w:p>
  </w:footnote>
  <w:footnote w:id="2434">
    <w:p w:rsidR="00A13282" w:rsidRDefault="00A13282" w:rsidP="002D629A">
      <w:pPr>
        <w:pStyle w:val="a5"/>
      </w:pPr>
      <w:r>
        <w:rPr>
          <w:rStyle w:val="a7"/>
        </w:rPr>
        <w:footnoteRef/>
      </w:r>
      <w:r>
        <w:t xml:space="preserve"> </w:t>
      </w:r>
      <w:r>
        <w:rPr>
          <w:rtl/>
        </w:rPr>
        <w:t xml:space="preserve"> </w:t>
      </w:r>
      <w:r>
        <w:rPr>
          <w:b/>
          <w:bCs/>
          <w:rtl/>
        </w:rPr>
        <w:t>החזק מגן.</w:t>
      </w:r>
      <w:r>
        <w:rPr>
          <w:rtl/>
        </w:rPr>
        <w:t xml:space="preserve"> נקט לשון המקרא החזק מגן וצנה וקומה בעזרתי, ומפורש גם כן בזוהר פרשת עקב שם שהם שמשין דשלשה אבהן, והן שלשה גוונין דקשת, ברוך שם כבוד דברוך שם כבוד מלכותו לעולם ועד וכנ"ל, והוא בשכינתא תתאה כנ"ל, וצנה דומה למגן והוא בשכינה עלאה, ועיין לעיל סוף תיקון י"ד צנה וסוחרה שכינתא עלאה ותתאה ומגן הוא (סוחרה כמו שכתב המפרש והוא) נקבה תסובב גבר</w:t>
      </w:r>
      <w:r>
        <w:t xml:space="preserve"> :</w:t>
      </w:r>
    </w:p>
  </w:footnote>
  <w:footnote w:id="2435">
    <w:p w:rsidR="00A13282" w:rsidRDefault="00A13282" w:rsidP="002D629A">
      <w:pPr>
        <w:pStyle w:val="a5"/>
      </w:pPr>
      <w:r>
        <w:rPr>
          <w:rStyle w:val="a7"/>
        </w:rPr>
        <w:footnoteRef/>
      </w:r>
      <w:r>
        <w:t xml:space="preserve"> </w:t>
      </w:r>
      <w:r>
        <w:rPr>
          <w:b/>
          <w:bCs/>
          <w:rtl/>
        </w:rPr>
        <w:t>דאית כו' בסוסוון.</w:t>
      </w:r>
      <w:r>
        <w:rPr>
          <w:rtl/>
        </w:rPr>
        <w:t xml:space="preserve"> סוסים הן האותיות, דנעשו סוסים לנקודות כגופא לנשמתא, וכנוק' לדכורא, כמו שכתוב (שיר השירים א ט) לסוסתי כו' דמיתיך רעיתי, ועיין לעיל סוף תיקון ה' ונקודי לאתוון כנשמתא לגופא דגופא איהו כסוס לרוכב ואתוון כו', ועיין מה שבארנו לקמן סוף תיקון מ"ז, והן הקרבא באותיות ובתיבות של תורה, ויש קרבא בנקודות לבד והן רגלין של האדם שהוא הנקודות, וכמו שאומר לעיל בהקדמה ובתיקון כ"ח דחיות שהן סוסין דמרכבה - הן האותיות, ואדם - הוא הנקודות, עשרה, שמא מפרש, אדם, וארבע חיות - הן ארבעה סוסים למרכבה, כמו שכתוב במלכים א' (י כט), וודאי שאין תיבה בלא נקודות, וכן אין כוונת המלחמה בסוסים, אלא הרוכבים עם הסוסים, ואית קרבא בנקודות לבד בלא סוסים - והן רגלין, וזה שאומר ואית אחרנין כו' ועיין לקמן בהגהה שמעו הרים כו' ועוד שמעו הרים מאן הרים אלין תלת נקודין עיין שם בבאורנו</w:t>
      </w:r>
      <w:r>
        <w:t xml:space="preserve"> :</w:t>
      </w:r>
    </w:p>
  </w:footnote>
  <w:footnote w:id="2436">
    <w:p w:rsidR="00A13282" w:rsidRDefault="00A13282" w:rsidP="002D629A">
      <w:pPr>
        <w:pStyle w:val="a5"/>
      </w:pPr>
      <w:r>
        <w:rPr>
          <w:rStyle w:val="a7"/>
        </w:rPr>
        <w:footnoteRef/>
      </w:r>
      <w:r>
        <w:t xml:space="preserve"> </w:t>
      </w:r>
      <w:r>
        <w:rPr>
          <w:b/>
          <w:bCs/>
          <w:rtl/>
        </w:rPr>
        <w:t>דעלייהו אתמר כו'.</w:t>
      </w:r>
      <w:r>
        <w:rPr>
          <w:rtl/>
        </w:rPr>
        <w:t xml:space="preserve"> רוצה לומר דכתיב הגברים, והן נקודות, דאתוון הן נוקבין כנ"ל, ועיין לעיל ל"א ב', אלין נפקין אחרנין דפקין לפתחא ואינון מארי רגלין מסטרא דרגלין דקב"ה כו' ועלייהו אתמר כשש מאות אלף רגלי הגברים, דלמעלה אמר רגלין מסטרא דשכינתא, דגם בשכינה בחינת זכר ונקבה, ולזה אמר מסטרא דרגלין דקב"ה כו', ולכן הן כשש מאות אלף - שהן מו"ק, וכמו שאומר לעיל בסוף תיקון י”ח ובגיניה קיימין שיתין אלף רבוא על טורין סגיאין שהן הררי אלף, וכמו שבארנו שם, והן שתי הנ"ל, דמארי תריסין מגיחין בסוסוון, אבל בימא לאו אורחא לאגחא בסוסוון אלא ברגלין, והן נקודות, דהן גלי ימא - עשרה גלגלין, כמו שאמרו בכמה מקומות. ומתחיל קם ר"ש כו' שהוא ריב ה', והוא הקרבא, דבגין החויא איהי מרחקא מבעלה, ומתחיל לפרש ריב ה' בשית סדרין כו' והוא מארי תריסין כנ"ל, ואח"כ מפרש בנקודין כנ"ל</w:t>
      </w:r>
      <w:r>
        <w:t xml:space="preserve"> :</w:t>
      </w:r>
    </w:p>
  </w:footnote>
  <w:footnote w:id="2437">
    <w:p w:rsidR="00A13282" w:rsidRDefault="00A13282" w:rsidP="002D629A">
      <w:pPr>
        <w:pStyle w:val="a5"/>
      </w:pPr>
      <w:r>
        <w:rPr>
          <w:rStyle w:val="a7"/>
        </w:rPr>
        <w:footnoteRef/>
      </w:r>
      <w:r>
        <w:t xml:space="preserve"> </w:t>
      </w:r>
      <w:r>
        <w:rPr>
          <w:b/>
          <w:bCs/>
          <w:rtl/>
        </w:rPr>
        <w:t>דאיהי ריב ה' בגין בנהא איהי ריב ברבי ורב ורב' כו'.</w:t>
      </w:r>
      <w:r>
        <w:rPr>
          <w:rtl/>
        </w:rPr>
        <w:t xml:space="preserve"> אמר דאיהי ריב ה' בגין בנהא, רוצה לומר שצועקת תמיד לה' על בנהא דאינון בגלותא ועל מסכני דבהון, כמו שאמרו בתיקוני זוהר חדש ע"ה א' עיין שם בדבריו. ובהגהה כאן, ריב איהי קטטה ומחלוקת לקב"ה על בנהא דאינון בגלותא בזמנא דלאו אינון כו' וצועקת תמיד כי נמכרנו אני ועמי כו' כי אין הצר כו' ותפול לפני רגליו ותתחנן לו כו' ואח"כ אמר איהי ריב ברבי כו' רוצה לומר שהמחלוקת בתנאים ואמוראים הכל בהלכה דאיהי שכינתא כמו שאומר לעיל א' א', דכל אחד אומר הלכה כמותו, והלכה כרבים דאינון אבהן כמו שאומר שם, והן הרים דכאן, כמו שאומר לקמן ובגין דא שמעו הרים אלין אבהן, והן רבי ורב ורבא וכמו שאמרו בתיקוני זוהר חדש כל רב - מבבל, ורבי - מארץ ישראל, ורבא - משאר ארעין, וכמו שאמרו דיו"ד דרבי הוא חכמה, וכמו שאומר לקמן בריש תיקון כ"ב דאוירא דארץ ישראל מחכים עיין שם, והוא חסד לימינא, ורב מבבל - בבינה, לשמאלא, בגבורה, ואין שם אות נוספת כי שמאלא נכלל בימינא ואשתאר בגריעו, ולחשך קרא לילה, ועיין בזוהר פרשת בראשית י"ז א' ובגין דההוא חושך תיאובתיה לאתכללא בימינא כו', חשך לא נהיר אלא כד אתכליל באור לילה דנפיק מניה כו' רזא דנקודה עלאה ורזא כו', ורוצה לומר דהן יו"ד וא"ו כמו שמפרש והולך, ורבא - משאר ארעין, והן שבעים ארצות הידועים שהן בעמודא דאמצעיתא, שבעים נפש ומשפחות דיעקב, שכנגדן שבעים אומות, ועיין לקמן תיקון ל"ב בארוכה, וכנגדן אתייהב אורייתא בשבעים אנפין ובמצוות עשה ומצוות לא תעשה, מימינא ושמאלא, ועיין מה שבארנו שם, והן ע"ב שמהן, והוא כתנות אור - עור דאל"ף, שהיו עם אחד ושפה אחת, אתהפך לשבעים בני אדם, ויחזרו לעתיד לבא כי אז אהפוך אל עמים שפה כו' (צפניה ג ט), והוא א' דרבא, והוא מסטרא דכתר, דשם א', אי"ה או"ה, ושם הכל לאחד, וארץ ישראל הוא אור י' ולכן אוירא דארץ ישראל דאויר אורי', ובבל - חושך, וכמו שאמרו (פסחים לד ע"ב) משום דיתביתו בארעא דחשוכא כו' ונקראת שאול עמוקה כו', והיא לצפון כמו שאמרו בגמרא (גיטין ו ע"א) בבל כו', וכמו שכתוב (ירמיהו א יד) מצפון תפתח כו', (תענית י ע"א) ועתירה בבל דחצדא, לטובעני כו', ושם השלטנותא כמו שאמרו בזוהר פרשת פקודי בהיכל הרביעי, ואור התורה בארץ ישראל כנ"ל, וזה שאומר לא יסור שבט מיהודה - אלו ראשי גלויות שבבבל, ומחוקק כו', ואלו שנים - חו"ג הן, הכוללים הכל, שמכל מקום יוצא תורה גם כן מבבל שנכללת בימין, אבל שאר ארעין אין להם אלא מה שמקבלין תורה מארץ ישראל ומבבל, ועיין בזוהר פרשת בלק קפ"ז א' פתח ואמר החכם כו' האיך לא אשגחתון כו' והאחד והשנית אמר קרא כו', והן אלו שני תלמודים - בבלי וירושלמי, וקרא לבבלי במחשכים כו', נעם וחובלים, ימינא ושמאלא, ועמודא דאמצעיתא אינו אלא התכללותם, ימינא ושמאלא שם יחד, ולכן ניתוסף בו גם כן אות מסטרא דימינא, ועל התכללותם שם בא' - לכן בו א', והוא באלף דוא"ו כידוע, קרקע ערבות, ונראה מזה שרבא דנזכר בגמרא לא היה אלא כינוי לגודל תורתו, כמו ר' יהודה הנשיא שנקרא רבי, וכן ר' אבא, ריש סדרא דבבל, שנקרא רב, וכן נחמני שנקרא אביי כידוע, ואף שרבא היה מבבל מכל מקום נקרא על שם ישיבתו שבאו מכל ארצות אליו, ודקדקו התורה הרבה, ונקראים הויות דאביי ורבא וכידוע, וכן רב אף שהיה מארץ ישראל, נקרא על שם ישיבתו מבבל, ונקרא רב סתם שהיה ראש ואב לכל ישיבות בבל, וכן רבא, ורב הוא בשלשתן רב ה' כנ"ל. והענין הוא, כמו שכתוב (ישעיהו יט א) הנה ה' רוכב על עב קל, ואמר בתיקוני זוהר חדש פ"ד ב' ג' שהמה אחוריים דפשוט ומילואו, והענין כי הנוק' היא נבנית מאחוריים דדכורא כידוע, וכמו שאמרו באידרא רבא, והנה ז"א נקרא מלא כמו שאומר לקמן בריש תיקון ל"ח על שם פשוטו ומלואו דהוא מקומו של עולם, כמו שאומר לקמן בתיקון מ"ב והיא אחוריים דיליה, והוא בגלותא, אבל בבניינא ולעתיד לבוא היא באה בפנים וה' רוכב בה וכמו שאומר לקמן בתיקון כ"ב [דף] ס"ה ע"ב, ואיהי אתקריאת ע"ב, ובה רכיב ו' למפרק לישראל, הדא הוא דכתיב הנה ה' רוכב על ע"ב ק"ל כו', ולכן בגלותא היא רב לה' - בעבור ה' בעלה, פנים דילה, והוא בתורה שבעל פה, דשם היא הריב והמחלוקת והן האחוריים הנ"ל, ואלו שלשה: רבי ורב ורבא, הן מתיבתא עילאה, תלת טיפין דחג"ת, והאיתנים הן דנה"י - שני מתיבתין כוללין ו"ק דשית סדרין, וכמו שאומר לקמן בתיקוני זוהר חדש דף ע"ד ד' בארוכה עיין שם. וזה שאומר בגין בעלה כו' כליל כו', ואמר דאיהי מריבת בהון כו', שתורה שבעל פה היא מסטרהא, והיא תלמד לאדם דעת, ושריא בפומיהון, כמו שאומר לקמן ע"ב, ואף עתה - ע"י סלע, ומכל מקום הכל על ידה, וכל המחלוקת של תנאים ואמוראים - הלכה כדברי מי - שכולם דברי אלקים חיים, רוצה לומר בשביל הלכה, שהיא כלת משה, הלכה למשה מסיני, אותיות הכלה כידוע, והוא דעת - דרגא דמשה, דכל אחד רוצה להמשיך לדרגיה: רבי ורב כו', ולכן הלכה כבית הלל - דמוליך לימין משה, כמו שאומר לעיל בתיקון י"ג ולקמן בתיקון כ"ב. וזה שאומר בגין בעלה, דהוא בעלה כנ"ל, וכמו שאומר לקמן [דף] נ"ה ע"א עד דייתי בעלה כו', והוא כליל ששה נהרות, כמו שאומר לעיל תיקון י"ט [דף] ל"ח ע"א, והן שית סדרין: אמונת עתיך כו', ויסוד - שנקרא על שם הנהר - נאמר בו ודעת:</w:t>
      </w:r>
    </w:p>
  </w:footnote>
  <w:footnote w:id="2438">
    <w:p w:rsidR="00A13282" w:rsidRDefault="00A13282" w:rsidP="002D629A">
      <w:pPr>
        <w:pStyle w:val="a5"/>
      </w:pPr>
      <w:r>
        <w:rPr>
          <w:rStyle w:val="a7"/>
        </w:rPr>
        <w:footnoteRef/>
      </w:r>
      <w:r>
        <w:t xml:space="preserve"> </w:t>
      </w:r>
      <w:r>
        <w:rPr>
          <w:b/>
          <w:bCs/>
          <w:sz w:val="24"/>
          <w:rtl/>
        </w:rPr>
        <w:t xml:space="preserve">ועלייהו כו'. </w:t>
      </w:r>
      <w:r>
        <w:rPr>
          <w:rtl/>
        </w:rPr>
        <w:t>שני שלמא הן: במתיבתא עילאה דחג"ת, ומתיבתא תתאה דנה"י, וכמו שמפרש והולך והן שתי שלמות, מכריעין בין המחלוקת דבין הצדדים וכמו שאומר בזוהר פרשת בראשית בענין שלשה ימים הראשונים, דמחלוקת בשני, ובשלישי - הכריע כו', שני כתובים המכחישים כו', שזה מים - קר ולח, וזה אש - חם ויבש, ואתא רוחא ואכריע בינייהו - חם ולח, ועיין בזוהר פרשת וארא והן תרי שלמא כמו שמפרש והולך, וכן אמר בזוהר פרשת בראשית ה' ו' עיין שם, ועיין בזוהר חדש שיר השירים נ' א' מאי כלא הכי וכי סגיאין שלמין נינהו אלא חד שלמא איהו ותרין נינהו חד שלמא איהו דאיהו שלמא דביתא דבגיניה אשתמודע דכורא דכר, וחד שלמא אחרא דאיהו שלמא דתרין סטרין דאחיד חד דעאל באמצעיתא בין תרין סטרין ועביד שלמא בינייהו איהו שלום אחרא, אבל שלום דדכורא אשתמודע דכר בגיניה איהו צדיק כו' וע"ד אקרי אחד כו', והענין כי שני יחודים הן: אחד בין ימינא לשמאלא באדם עצמו, והשני בין דכורא לנוק', ושניהם נקראו אחד - שמייחדין, ובו נעשו אחד, ומכל מקום עיקר השלום הוא בצדיק, ולכן נקרא שלמא דכולא ביה, כי גם בת"ת צריך מכל מקום יחוד בין דידיה לדידה - ונקראין אחד, העמודא דאמצעיתא נקרא אחד כי ידים הם שנים - ימינא ושמאלא, וכן רגלים, וכן מוחין, מה שאין כן בעמודא דאמצעיתא שהוא אחד לבד, וזהו בו ובה לבדם, אבל הן תרי פלגא דגופא, זכר ונקבה בראם ויקרא שמם אדם (בראשית ה ב), כי אחד קראתיו כו' (ישעיה נא ב), ולפיכך אף כל קו האמצעי כפול, לבד הצדיק, דליתא בדידה, וזה שאומר שם דבגיניה אשתמודע דכורא דכר, רוצה לומר דלית כוותיה בה, ולכן הוא אחד ביחוד גמור, וכל היחודים הן בו העיקר, והוא שלמא דכולא, וזה סוד שתרין יחודין: ה' אחד, ושמו אחד, ואח"כ לייחדא לון כאחד - כי ה' הוא האלקים, והוא כנ"ל, דתחלה צריך לייחדא כל אחד בקו האמצעי - ה' אחד ושמו אחד, ואח"כ בצדיק - שלמא דכולא, וכנגד אלו שני שלמות - הן שני ריב: אחד בהרים ואחד באיתנים כמו שמפרש והולך, וכמו שאומר לקמן בהגהה ב', ועוד תרין רבות אינון חד צדיק וחד עמודא דאמצעיתא כו', והשלום הוא בהן - שהן כלולים: עמודא דאמצעיתא - משני הקוים, וצדיק - מיסוד ועטרה, והוא דידה וקשורה בו, שלעולם הלילה נכללת ביום, וחשך - באור, וכמו שבארנו למעלה, והן בתורה שבעל פה, אחד - להכריע בדידה בין המחלוקת, ואחד - לקשרה בתורה שבכתב, וכמו שאומר לעיל ריש תיקון י"ח סוד ת"כ ואחד, והן ח"י טורי אפרסמון - ה' וי"ג, והן שני מיני עלין דשושנה דבראשית, ושמע ותורה שבעל פה:</w:t>
      </w:r>
    </w:p>
  </w:footnote>
  <w:footnote w:id="2439">
    <w:p w:rsidR="00A13282" w:rsidRDefault="00A13282" w:rsidP="002D629A">
      <w:pPr>
        <w:pStyle w:val="a5"/>
      </w:pPr>
      <w:r>
        <w:rPr>
          <w:rStyle w:val="a7"/>
        </w:rPr>
        <w:footnoteRef/>
      </w:r>
      <w:r>
        <w:t xml:space="preserve"> </w:t>
      </w:r>
      <w:r>
        <w:rPr>
          <w:b/>
          <w:bCs/>
          <w:rtl/>
        </w:rPr>
        <w:t>במעוזי.</w:t>
      </w:r>
      <w:r>
        <w:rPr>
          <w:rtl/>
        </w:rPr>
        <w:t xml:space="preserve"> ה' עוז לעמו כו'. והיא גבורות עוז שבעל פה ושם המחלוקת ולכן צריך לשלום וזה שאומר ה' עוז כו' ה' יברך כו':</w:t>
      </w:r>
    </w:p>
  </w:footnote>
  <w:footnote w:id="2440">
    <w:p w:rsidR="00A13282" w:rsidRDefault="00A13282" w:rsidP="002D629A">
      <w:pPr>
        <w:pStyle w:val="a5"/>
      </w:pPr>
      <w:r>
        <w:rPr>
          <w:rStyle w:val="a7"/>
        </w:rPr>
        <w:footnoteRef/>
      </w:r>
      <w:r>
        <w:t xml:space="preserve"> </w:t>
      </w:r>
      <w:r>
        <w:rPr>
          <w:b/>
          <w:bCs/>
          <w:rtl/>
        </w:rPr>
        <w:t>דבגלותא כו'.</w:t>
      </w:r>
      <w:r>
        <w:rPr>
          <w:rtl/>
        </w:rPr>
        <w:t xml:space="preserve"> כיון שגלו כו' (חגיגה ה ע"ב), מלכה ושריה כו' (איכה ב ט) - בעמודא דאמצעיתא, אבל בצדיק, ברית - כל מצוה כו' עדיין כו' (שבת קל ע"א), וכן כל המצות הן בצדיק - רמ"ח פקודין דכלילן, וישראל מצויינים כו' (ספרי עקב פיסקא מג):</w:t>
      </w:r>
    </w:p>
  </w:footnote>
  <w:footnote w:id="2441">
    <w:p w:rsidR="00A13282" w:rsidRDefault="00A13282" w:rsidP="002D629A">
      <w:pPr>
        <w:pStyle w:val="a5"/>
      </w:pPr>
      <w:r>
        <w:rPr>
          <w:rStyle w:val="a7"/>
        </w:rPr>
        <w:footnoteRef/>
      </w:r>
      <w:r>
        <w:t xml:space="preserve"> </w:t>
      </w:r>
      <w:r>
        <w:rPr>
          <w:b/>
          <w:bCs/>
          <w:rtl/>
        </w:rPr>
        <w:t>מרחוק ה'.</w:t>
      </w:r>
      <w:r>
        <w:rPr>
          <w:rtl/>
        </w:rPr>
        <w:t xml:space="preserve"> ה' - בעמודא דאמצעיתא, ומרחוק - דסליק דעת דעמודא דאמצעיתא - בחכמה, ונתרחק ממנה ומאתנו:</w:t>
      </w:r>
    </w:p>
  </w:footnote>
  <w:footnote w:id="2442">
    <w:p w:rsidR="00A13282" w:rsidRDefault="00A13282" w:rsidP="002D629A">
      <w:pPr>
        <w:pStyle w:val="a5"/>
      </w:pPr>
      <w:r>
        <w:rPr>
          <w:rStyle w:val="a7"/>
        </w:rPr>
        <w:footnoteRef/>
      </w:r>
      <w:r>
        <w:t xml:space="preserve"> </w:t>
      </w:r>
      <w:r>
        <w:rPr>
          <w:b/>
          <w:bCs/>
          <w:rtl/>
        </w:rPr>
        <w:t>צדיק קרוב לה.</w:t>
      </w:r>
      <w:r>
        <w:rPr>
          <w:rtl/>
        </w:rPr>
        <w:t xml:space="preserve"> כנ"ל, וכן מסטרא דבעל הבית - אין האיש בביתו (משלי ז יט), ואין בית עתה אבל היא מלון אורחים (ירמיהו ט א) - מצות בחוץ לארץ, ומצות התלויות בבית המקדש - הוא בית:</w:t>
      </w:r>
    </w:p>
  </w:footnote>
  <w:footnote w:id="2443">
    <w:p w:rsidR="00A13282" w:rsidRDefault="00A13282" w:rsidP="002D629A">
      <w:pPr>
        <w:pStyle w:val="a5"/>
      </w:pPr>
      <w:r>
        <w:rPr>
          <w:rStyle w:val="a7"/>
        </w:rPr>
        <w:footnoteRef/>
      </w:r>
      <w:r>
        <w:t xml:space="preserve"> </w:t>
      </w:r>
      <w:r>
        <w:rPr>
          <w:b/>
          <w:bCs/>
          <w:rtl/>
        </w:rPr>
        <w:t>טוב שכן כו'.</w:t>
      </w:r>
      <w:r>
        <w:rPr>
          <w:rtl/>
        </w:rPr>
        <w:t xml:space="preserve"> דא"ח - הוא עמודא דאמצעיתא, א"ח ד', כי אחד קראתיו, וצדיק - הוא בקוצו של ד' עמה באות אחת, מה שאין כן בא"ח, בעלה, והוא גם כן שכן באות ב', נקודה בהיכליה, שכן בביתה, וכן במ"ם - א"ח סביב לה מכל סטר, ונקודה באמצעיתא, והמ"ם הוא ב' בעצמו כמו שאומר לעיל ריש תיקון ה' (רחוק - הוא דאתרחק ו' בעלה, וזהו החילוק בחושבן בין רחוק לקרוב):</w:t>
      </w:r>
    </w:p>
  </w:footnote>
  <w:footnote w:id="2444">
    <w:p w:rsidR="00A13282" w:rsidRDefault="00A13282" w:rsidP="002D629A">
      <w:pPr>
        <w:pStyle w:val="a5"/>
      </w:pPr>
      <w:r>
        <w:rPr>
          <w:rStyle w:val="a7"/>
        </w:rPr>
        <w:footnoteRef/>
      </w:r>
      <w:r>
        <w:t xml:space="preserve"> </w:t>
      </w:r>
      <w:r>
        <w:rPr>
          <w:b/>
          <w:bCs/>
          <w:rtl/>
        </w:rPr>
        <w:t>ובג"ד כו' בגין דמרחקין כו'.</w:t>
      </w:r>
      <w:r>
        <w:rPr>
          <w:rtl/>
        </w:rPr>
        <w:t xml:space="preserve"> דהן היו מקרבין לה ואחידון בה, שמאלו תחת כו', והן סוד הדעת, שלשה עיטרין דהן ארבעה כנ"ל:</w:t>
      </w:r>
    </w:p>
  </w:footnote>
  <w:footnote w:id="2445">
    <w:p w:rsidR="00A13282" w:rsidRDefault="00A13282" w:rsidP="002D629A">
      <w:pPr>
        <w:pStyle w:val="a5"/>
      </w:pPr>
      <w:r>
        <w:rPr>
          <w:rStyle w:val="a7"/>
        </w:rPr>
        <w:footnoteRef/>
      </w:r>
      <w:r>
        <w:t xml:space="preserve"> </w:t>
      </w:r>
      <w:r>
        <w:rPr>
          <w:b/>
          <w:bCs/>
          <w:rtl/>
        </w:rPr>
        <w:t>אמוראים כו'.</w:t>
      </w:r>
      <w:r>
        <w:rPr>
          <w:rtl/>
        </w:rPr>
        <w:t xml:space="preserve"> הנה בשם האריז"ל כתב דתנאים - בנו"ה דז"א, וכאן - בדידה, ואין המאמר סובל, דכלהו משתעי בחד גוונא, אבל הענין כי נה"י הן קרובין לה בגלותא כנ"ל - לקרוב, ולכן אורן מרובה - תנאים, אבל חג"ת הן רחוק, וכן כתב האר"י במקום אחר. (ועיין לעיל מ"ג א' מה שבארנו שם בענין אחר, והכל עולה לקנה אחד, ועיקר התנאים רוצה לומר שונין המתניתין, שגמרא עדיף, ותנאים הן ברייתות ותניא דמסייע מתניתין ועיין לעיל דהלכה היא בחג"ת, וברייתא - בנו"ה, ומתניתין - ביסוד, כמו שאומר בזוהר פרשת פנחס ועיין לעיל ב' ב', ומקרא גם כן למטה מברייתא ומתניתין אף שהיא קודם):</w:t>
      </w:r>
    </w:p>
  </w:footnote>
  <w:footnote w:id="2446">
    <w:p w:rsidR="00A13282" w:rsidRDefault="00A13282" w:rsidP="002D629A">
      <w:pPr>
        <w:pStyle w:val="a5"/>
      </w:pPr>
      <w:r>
        <w:rPr>
          <w:rStyle w:val="a7"/>
        </w:rPr>
        <w:footnoteRef/>
      </w:r>
      <w:r>
        <w:t xml:space="preserve"> </w:t>
      </w:r>
      <w:r>
        <w:rPr>
          <w:b/>
          <w:bCs/>
          <w:rtl/>
        </w:rPr>
        <w:t>והאתנים כו'.</w:t>
      </w:r>
      <w:r>
        <w:rPr>
          <w:rtl/>
        </w:rPr>
        <w:t xml:space="preserve"> ירכין תקיפין כנחשין כמו שאומר בסבא עיין שם:</w:t>
      </w:r>
    </w:p>
  </w:footnote>
  <w:footnote w:id="2447">
    <w:p w:rsidR="00A13282" w:rsidRDefault="00A13282" w:rsidP="002D629A">
      <w:pPr>
        <w:pStyle w:val="a5"/>
      </w:pPr>
      <w:r>
        <w:rPr>
          <w:rStyle w:val="a7"/>
        </w:rPr>
        <w:footnoteRef/>
      </w:r>
      <w:r>
        <w:t xml:space="preserve"> </w:t>
      </w:r>
      <w:r>
        <w:rPr>
          <w:b/>
          <w:bCs/>
          <w:rtl/>
        </w:rPr>
        <w:t>אתנים בהיפוך כו'.</w:t>
      </w:r>
      <w:r>
        <w:rPr>
          <w:rtl/>
        </w:rPr>
        <w:t xml:space="preserve"> עיין מה שבארנו לעיל י"ג א' (לא מצאתי. ג.פ.) דהוא באור חוזר ולכן הוא בהיפוך אתוון:</w:t>
      </w:r>
    </w:p>
  </w:footnote>
  <w:footnote w:id="2448">
    <w:p w:rsidR="00A13282" w:rsidRDefault="00A13282" w:rsidP="002D629A">
      <w:pPr>
        <w:pStyle w:val="a5"/>
      </w:pPr>
      <w:r>
        <w:rPr>
          <w:rStyle w:val="a7"/>
        </w:rPr>
        <w:footnoteRef/>
      </w:r>
      <w:r>
        <w:t xml:space="preserve"> </w:t>
      </w:r>
      <w:r>
        <w:rPr>
          <w:b/>
          <w:bCs/>
          <w:rtl/>
        </w:rPr>
        <w:t>איתני עולם.</w:t>
      </w:r>
      <w:r>
        <w:rPr>
          <w:rtl/>
        </w:rPr>
        <w:t xml:space="preserve"> מוסדי ארץ כנ"ל, ביעין ואמה שמשם שפעה שלשה עדרי כו':</w:t>
      </w:r>
    </w:p>
  </w:footnote>
  <w:footnote w:id="2449">
    <w:p w:rsidR="00A13282" w:rsidRDefault="00A13282" w:rsidP="002D629A">
      <w:pPr>
        <w:pStyle w:val="a5"/>
      </w:pPr>
      <w:r>
        <w:rPr>
          <w:rStyle w:val="a7"/>
        </w:rPr>
        <w:footnoteRef/>
      </w:r>
      <w:r>
        <w:t xml:space="preserve"> </w:t>
      </w:r>
      <w:r>
        <w:rPr>
          <w:b/>
          <w:bCs/>
          <w:rtl/>
        </w:rPr>
        <w:t>והא איתן כו'.</w:t>
      </w:r>
      <w:r>
        <w:rPr>
          <w:rtl/>
        </w:rPr>
        <w:t xml:space="preserve"> הוא השלישי והששי מו"ק:</w:t>
      </w:r>
    </w:p>
  </w:footnote>
  <w:footnote w:id="2450">
    <w:p w:rsidR="00A13282" w:rsidRDefault="00A13282" w:rsidP="002D629A">
      <w:pPr>
        <w:pStyle w:val="a5"/>
      </w:pPr>
      <w:r>
        <w:rPr>
          <w:rStyle w:val="a7"/>
        </w:rPr>
        <w:footnoteRef/>
      </w:r>
      <w:r>
        <w:t xml:space="preserve"> </w:t>
      </w:r>
      <w:r>
        <w:rPr>
          <w:b/>
          <w:bCs/>
          <w:rtl/>
        </w:rPr>
        <w:t>דמסייע כו'.</w:t>
      </w:r>
      <w:r>
        <w:rPr>
          <w:rtl/>
        </w:rPr>
        <w:t xml:space="preserve"> כנ"ל - לקרוב, ששתי בריתות הן: ברית הלשון ומעור, תורה ומצות, והן רחוק וקרוב:</w:t>
      </w:r>
    </w:p>
  </w:footnote>
  <w:footnote w:id="2451">
    <w:p w:rsidR="00A13282" w:rsidRDefault="00A13282" w:rsidP="002D629A">
      <w:pPr>
        <w:pStyle w:val="a5"/>
      </w:pPr>
      <w:r>
        <w:rPr>
          <w:rStyle w:val="a7"/>
        </w:rPr>
        <w:footnoteRef/>
      </w:r>
      <w:r>
        <w:t xml:space="preserve"> </w:t>
      </w:r>
      <w:r>
        <w:rPr>
          <w:b/>
          <w:bCs/>
          <w:rtl/>
        </w:rPr>
        <w:t>ועלה אתמר איתן כו'.</w:t>
      </w:r>
      <w:r>
        <w:rPr>
          <w:rtl/>
        </w:rPr>
        <w:t xml:space="preserve"> דנאמר על יתרו שנתחתן במשה, ואף שיהיו בגלות מכל מקום איתן כו', ומכל מקום גנוז משה בצדיק דהוא קרוב לארץ והוא במט"ט דעל ידי משה רבינו עליו השלום נתלבש השכינה במט"ט בגלותא כמו שאומר ברעיא מהימנא פרשת משפטים שמשה עתה בדרגא דעבד, שש שנים יעבוד, וזהו ושים בסלע כו' כמו שמפרש והולך:</w:t>
      </w:r>
    </w:p>
  </w:footnote>
  <w:footnote w:id="2452">
    <w:p w:rsidR="00A13282" w:rsidRDefault="00A13282" w:rsidP="002D629A">
      <w:pPr>
        <w:pStyle w:val="a5"/>
      </w:pPr>
      <w:r>
        <w:rPr>
          <w:rStyle w:val="a7"/>
        </w:rPr>
        <w:footnoteRef/>
      </w:r>
      <w:r>
        <w:t xml:space="preserve"> </w:t>
      </w:r>
      <w:r>
        <w:rPr>
          <w:bCs/>
          <w:rtl/>
        </w:rPr>
        <w:t>והאי סלע כו'.</w:t>
      </w:r>
      <w:r>
        <w:rPr>
          <w:rtl/>
        </w:rPr>
        <w:t xml:space="preserve"> הכלל כמו שבארנו למעלה, דדעת שהוא התורה והוא משה על שמיה וזהו בסלע כו':</w:t>
      </w:r>
    </w:p>
  </w:footnote>
  <w:footnote w:id="2453">
    <w:p w:rsidR="00A13282" w:rsidRDefault="00A13282" w:rsidP="002D629A">
      <w:pPr>
        <w:pStyle w:val="a5"/>
      </w:pPr>
      <w:r>
        <w:rPr>
          <w:rStyle w:val="a7"/>
        </w:rPr>
        <w:footnoteRef/>
      </w:r>
      <w:r>
        <w:t xml:space="preserve"> </w:t>
      </w:r>
      <w:r>
        <w:rPr>
          <w:bCs/>
          <w:rtl/>
        </w:rPr>
        <w:t>אלא טפין כו'.</w:t>
      </w:r>
      <w:r>
        <w:rPr>
          <w:rtl/>
        </w:rPr>
        <w:t xml:space="preserve"> והוא האור דשמשא המאיר בככביא בכל דור:</w:t>
      </w:r>
    </w:p>
  </w:footnote>
  <w:footnote w:id="2454">
    <w:p w:rsidR="00A13282" w:rsidRDefault="00A13282" w:rsidP="002D629A">
      <w:pPr>
        <w:pStyle w:val="a5"/>
      </w:pPr>
      <w:r>
        <w:rPr>
          <w:rStyle w:val="a7"/>
        </w:rPr>
        <w:footnoteRef/>
      </w:r>
      <w:r>
        <w:t xml:space="preserve"> </w:t>
      </w:r>
      <w:r>
        <w:rPr>
          <w:b/>
          <w:bCs/>
          <w:rtl/>
        </w:rPr>
        <w:t>טפין טפין.</w:t>
      </w:r>
      <w:r>
        <w:rPr>
          <w:rtl/>
        </w:rPr>
        <w:t xml:space="preserve"> ברעיא מהימנא פרשת תצא שהן רמיזין דקבלה, וגם בתורה שבעל פה אינן אלא פסקי הלכות ואינן מים נובעים לחדש הלכות כמעין הנובע רק כל אחד מה שקבל מעט מעט:</w:t>
      </w:r>
    </w:p>
  </w:footnote>
  <w:footnote w:id="2455">
    <w:p w:rsidR="00A13282" w:rsidRDefault="00A13282" w:rsidP="002D629A">
      <w:pPr>
        <w:pStyle w:val="a5"/>
      </w:pPr>
      <w:r>
        <w:rPr>
          <w:rStyle w:val="a7"/>
        </w:rPr>
        <w:footnoteRef/>
      </w:r>
      <w:r>
        <w:t xml:space="preserve"> </w:t>
      </w:r>
      <w:r>
        <w:rPr>
          <w:b/>
          <w:bCs/>
          <w:rtl/>
        </w:rPr>
        <w:t>באלין פסקות.</w:t>
      </w:r>
      <w:r>
        <w:rPr>
          <w:rtl/>
        </w:rPr>
        <w:t xml:space="preserve"> רוצה לומר כמו שאומר לעיל נ"ב ב' וכמה תריסין כו' ולקמן ס"א ב' פסק אתקריאת כו' אית דפקסין כו'. ורוצה לומר פסק הוא שמקשין ומפרקין בכמה פירוקין עד שמוציאין הדין לאורה וכמו שאומר שם ולבתר דפסקין לון מתקנין לון בכמה פירוקין כו' ועיין מה שבארנו שם:</w:t>
      </w:r>
    </w:p>
  </w:footnote>
  <w:footnote w:id="2456">
    <w:p w:rsidR="00A13282" w:rsidRDefault="00A13282" w:rsidP="002D629A">
      <w:pPr>
        <w:pStyle w:val="a5"/>
      </w:pPr>
      <w:r>
        <w:rPr>
          <w:rStyle w:val="a7"/>
        </w:rPr>
        <w:footnoteRef/>
      </w:r>
      <w:r>
        <w:t xml:space="preserve"> </w:t>
      </w:r>
      <w:r>
        <w:rPr>
          <w:b/>
          <w:bCs/>
          <w:rtl/>
        </w:rPr>
        <w:t>ובגין ויך משה כו'.</w:t>
      </w:r>
      <w:r>
        <w:rPr>
          <w:rtl/>
        </w:rPr>
        <w:t xml:space="preserve"> דפעם הראשון לא נפיק אלא טפין, ובפעם השני ויצאו מים כו', והוא לעתיד לבוא שיבקע ימא דאורייתא כנ"ל:</w:t>
      </w:r>
    </w:p>
  </w:footnote>
  <w:footnote w:id="2457">
    <w:p w:rsidR="00A13282" w:rsidRDefault="00A13282" w:rsidP="002D629A">
      <w:pPr>
        <w:pStyle w:val="a5"/>
      </w:pPr>
      <w:r>
        <w:rPr>
          <w:rStyle w:val="a7"/>
        </w:rPr>
        <w:footnoteRef/>
      </w:r>
      <w:r>
        <w:t xml:space="preserve"> </w:t>
      </w:r>
      <w:r>
        <w:rPr>
          <w:b/>
          <w:bCs/>
          <w:rtl/>
        </w:rPr>
        <w:t>דא גרים.</w:t>
      </w:r>
      <w:r>
        <w:rPr>
          <w:rtl/>
        </w:rPr>
        <w:t xml:space="preserve"> כמו שאומר למטה דאשתאר יבש בלא שכינה דהיא מעין דלית ליה פסק והיא כפטיש כו':</w:t>
      </w:r>
    </w:p>
  </w:footnote>
  <w:footnote w:id="2458">
    <w:p w:rsidR="00A13282" w:rsidRDefault="00A13282" w:rsidP="002D629A">
      <w:pPr>
        <w:pStyle w:val="a5"/>
      </w:pPr>
      <w:r>
        <w:rPr>
          <w:rStyle w:val="a7"/>
        </w:rPr>
        <w:footnoteRef/>
      </w:r>
      <w:r>
        <w:t xml:space="preserve"> </w:t>
      </w:r>
      <w:r>
        <w:rPr>
          <w:b/>
          <w:bCs/>
          <w:rtl/>
        </w:rPr>
        <w:t>וכמה מחלוקת כו'.</w:t>
      </w:r>
      <w:r>
        <w:rPr>
          <w:rtl/>
        </w:rPr>
        <w:t xml:space="preserve"> שמים רבים יוצאים ביחד, אבל טפין כל אחד לבדה, במחלוקת:</w:t>
      </w:r>
    </w:p>
  </w:footnote>
  <w:footnote w:id="2459">
    <w:p w:rsidR="00A13282" w:rsidRDefault="00A13282" w:rsidP="002D629A">
      <w:pPr>
        <w:pStyle w:val="a5"/>
      </w:pPr>
      <w:r>
        <w:rPr>
          <w:rStyle w:val="a7"/>
        </w:rPr>
        <w:footnoteRef/>
      </w:r>
      <w:r>
        <w:t xml:space="preserve"> </w:t>
      </w:r>
      <w:r>
        <w:rPr>
          <w:b/>
          <w:bCs/>
          <w:rtl/>
        </w:rPr>
        <w:t>ומאן גרים כו'.</w:t>
      </w:r>
      <w:r>
        <w:rPr>
          <w:rtl/>
        </w:rPr>
        <w:t xml:space="preserve"> כמו שאמרו (סנהדרין פח ע"ב) משרבו כו' שלא שמשו כל צרכם רבה המחלוקת, והמחלוקת שלא לשם שמים הוא מערב רב הקופצים להורות וליטול עטרה, נעשה לנו שם כו', וע"י ערב רב טעה להכות, שכעס עליהם ובא לטעות, כמו שאמרו (ויקרא רבה יג) בשלשה מקומות כעס משה רבינו עליו השלום, וכמו שכתוב ויתעבר ה' כו' (דברים ג כו), וירע למשה בעבורם (תהלים קו לב), התאנף בגללכם (דברים א לז), וגם הם גרמו לזה - כמו הנשמות לאדם הראשון, והתפשטות משה בהם גרם גם כן, עיין בזוהר פרשת בראשית כ"ח ב' ומשה בגינייהו כו' דבגינייהו עבר כו' ואינון גרמו כו' עיין שם בדבריו:</w:t>
      </w:r>
    </w:p>
  </w:footnote>
  <w:footnote w:id="2460">
    <w:p w:rsidR="00A13282" w:rsidRDefault="00A13282" w:rsidP="002D629A">
      <w:pPr>
        <w:pStyle w:val="a5"/>
      </w:pPr>
      <w:r>
        <w:rPr>
          <w:rStyle w:val="a7"/>
        </w:rPr>
        <w:footnoteRef/>
      </w:r>
      <w:r>
        <w:t xml:space="preserve"> </w:t>
      </w:r>
      <w:r>
        <w:rPr>
          <w:b/>
          <w:bCs/>
          <w:rtl/>
        </w:rPr>
        <w:t>ובג"ד שמעו כו'.</w:t>
      </w:r>
      <w:r>
        <w:rPr>
          <w:rtl/>
        </w:rPr>
        <w:t xml:space="preserve"> דאינון המורים, והן במט"ט, ושם - בדברים לא כו', אבל שכינתא אקדימת לתמן כמו שאומר למטה:</w:t>
      </w:r>
    </w:p>
  </w:footnote>
  <w:footnote w:id="2461">
    <w:p w:rsidR="00A13282" w:rsidRDefault="00A13282" w:rsidP="002D629A">
      <w:pPr>
        <w:pStyle w:val="a5"/>
      </w:pPr>
      <w:r>
        <w:rPr>
          <w:rStyle w:val="a7"/>
        </w:rPr>
        <w:footnoteRef/>
      </w:r>
      <w:r>
        <w:t xml:space="preserve"> </w:t>
      </w:r>
      <w:r>
        <w:rPr>
          <w:b/>
          <w:bCs/>
          <w:rtl/>
        </w:rPr>
        <w:t>לא הוו טרחין כו'.</w:t>
      </w:r>
      <w:r>
        <w:rPr>
          <w:rtl/>
        </w:rPr>
        <w:t xml:space="preserve"> דהכאה גרם לטרוח בהכאת סלע בלישנהון:</w:t>
      </w:r>
    </w:p>
  </w:footnote>
  <w:footnote w:id="2462">
    <w:p w:rsidR="00A13282" w:rsidRDefault="00A13282" w:rsidP="002D629A">
      <w:pPr>
        <w:pStyle w:val="a5"/>
      </w:pPr>
      <w:r>
        <w:rPr>
          <w:rStyle w:val="a7"/>
        </w:rPr>
        <w:footnoteRef/>
      </w:r>
      <w:r>
        <w:t xml:space="preserve"> </w:t>
      </w:r>
      <w:r>
        <w:rPr>
          <w:b/>
          <w:bCs/>
          <w:rtl/>
        </w:rPr>
        <w:t>ודברתם כו'.</w:t>
      </w:r>
      <w:r>
        <w:rPr>
          <w:rtl/>
        </w:rPr>
        <w:t xml:space="preserve"> שאז היה בדיבור התורה נגלית פנימיות שהיא מימי הדעת כמו שכתוב כי מלאה כו' כמים כו' וזהו ונתן מימיו - מעצמו, וזה שאומר בלא טורח:</w:t>
      </w:r>
    </w:p>
  </w:footnote>
  <w:footnote w:id="2463">
    <w:p w:rsidR="00A13282" w:rsidRDefault="00A13282" w:rsidP="002D629A">
      <w:pPr>
        <w:pStyle w:val="a5"/>
      </w:pPr>
      <w:r>
        <w:rPr>
          <w:rStyle w:val="a7"/>
        </w:rPr>
        <w:footnoteRef/>
      </w:r>
      <w:r>
        <w:t xml:space="preserve"> </w:t>
      </w:r>
      <w:r>
        <w:rPr>
          <w:b/>
          <w:bCs/>
          <w:rtl/>
        </w:rPr>
        <w:t>בלא קשיא כו'.</w:t>
      </w:r>
      <w:r>
        <w:rPr>
          <w:rtl/>
        </w:rPr>
        <w:t xml:space="preserve"> שלשה דברים: בקשיא - שהוא קושי מאד, והכל גרם ההכאה שהוא קשיא, והטפין הן מחלוקת כנ"ל, ופסק - שהוא הסלע במיעוט המים טפין טפין:</w:t>
      </w:r>
    </w:p>
  </w:footnote>
  <w:footnote w:id="2464">
    <w:p w:rsidR="00A13282" w:rsidRDefault="00A13282" w:rsidP="002D629A">
      <w:pPr>
        <w:pStyle w:val="a5"/>
      </w:pPr>
      <w:r>
        <w:rPr>
          <w:rStyle w:val="a7"/>
        </w:rPr>
        <w:footnoteRef/>
      </w:r>
      <w:r>
        <w:t xml:space="preserve"> </w:t>
      </w:r>
      <w:r>
        <w:rPr>
          <w:b/>
          <w:bCs/>
          <w:rtl/>
        </w:rPr>
        <w:t>כה דברי.</w:t>
      </w:r>
      <w:r>
        <w:rPr>
          <w:rtl/>
        </w:rPr>
        <w:t xml:space="preserve"> שהוא ודברתם, שהיא השכינה, דבר ה' היה בתורה מעין גנים דלית ליה פסק כמו שאומר לקמן נ"ד א' עץ החיים מה שאין כן במט"ט כמו שאומר ברעיא מהימנא פרשת פנחס רמ"ח ב' אבל סיהרא כו' הלא כה דברי כו', וסיפא כפטיש יפוצץ סלע - בדבורי, והיה נבקע הסלע:</w:t>
      </w:r>
    </w:p>
  </w:footnote>
  <w:footnote w:id="2465">
    <w:p w:rsidR="00A13282" w:rsidRDefault="00A13282" w:rsidP="002D629A">
      <w:pPr>
        <w:pStyle w:val="a5"/>
      </w:pPr>
      <w:r>
        <w:rPr>
          <w:rStyle w:val="a7"/>
        </w:rPr>
        <w:footnoteRef/>
      </w:r>
      <w:r>
        <w:t xml:space="preserve"> </w:t>
      </w:r>
      <w:r>
        <w:rPr>
          <w:b/>
          <w:bCs/>
          <w:rtl/>
        </w:rPr>
        <w:t>הוה שריא בפומיהון.</w:t>
      </w:r>
      <w:r>
        <w:rPr>
          <w:rtl/>
        </w:rPr>
        <w:t xml:space="preserve"> שהוא דבור - בפה, והוא תורה שבעל פה, פה אל פה כו', דרגא דמשה, וזה שאומר דאיהי אורייתא דבעל פה, ונאמר ונתתי דברי בפיך, וכל דבור נאמר בו אדבר בו דשריא בפומיהון:</w:t>
      </w:r>
    </w:p>
  </w:footnote>
  <w:footnote w:id="2466">
    <w:p w:rsidR="00A13282" w:rsidRDefault="00A13282" w:rsidP="002D629A">
      <w:pPr>
        <w:pStyle w:val="a5"/>
      </w:pPr>
      <w:r>
        <w:rPr>
          <w:rStyle w:val="a7"/>
        </w:rPr>
        <w:footnoteRef/>
      </w:r>
      <w:r>
        <w:t xml:space="preserve"> </w:t>
      </w:r>
      <w:r>
        <w:rPr>
          <w:b/>
          <w:bCs/>
          <w:rtl/>
        </w:rPr>
        <w:t>דאיהי על ס' כו'.</w:t>
      </w:r>
      <w:r>
        <w:rPr>
          <w:rtl/>
        </w:rPr>
        <w:t xml:space="preserve"> דשיתין איילות דסחרני כורסיא, ששים המה כו' אחת כו' - דסלקא על גבן, הלכה למשה מסיני, ואלו הששים הן סלע ואיהי על גביהן וזה שאומר דשכינתא נח על טנרא:</w:t>
      </w:r>
    </w:p>
  </w:footnote>
  <w:footnote w:id="2467">
    <w:p w:rsidR="00A13282" w:rsidRDefault="00A13282" w:rsidP="002D629A">
      <w:pPr>
        <w:pStyle w:val="a5"/>
      </w:pPr>
      <w:r>
        <w:rPr>
          <w:rStyle w:val="a7"/>
        </w:rPr>
        <w:footnoteRef/>
      </w:r>
      <w:r>
        <w:t xml:space="preserve"> </w:t>
      </w:r>
      <w:r>
        <w:rPr>
          <w:b/>
          <w:bCs/>
          <w:rtl/>
        </w:rPr>
        <w:t>דבכל אתר דבעי כו'.</w:t>
      </w:r>
      <w:r>
        <w:rPr>
          <w:rtl/>
        </w:rPr>
        <w:t xml:space="preserve"> זכות תורתם, דאשה כי תזריע כו', כמו שנבאר לקמן נ"ו א' בהגה, מה שאין כן ברפידים שלא ניתנה התורה עדיין:</w:t>
      </w:r>
    </w:p>
  </w:footnote>
  <w:footnote w:id="2468">
    <w:p w:rsidR="00A13282" w:rsidRDefault="00A13282" w:rsidP="002D629A">
      <w:pPr>
        <w:pStyle w:val="a5"/>
      </w:pPr>
      <w:r>
        <w:rPr>
          <w:rStyle w:val="a7"/>
        </w:rPr>
        <w:footnoteRef/>
      </w:r>
      <w:r>
        <w:t xml:space="preserve"> </w:t>
      </w:r>
      <w:r>
        <w:rPr>
          <w:b/>
          <w:bCs/>
          <w:rtl/>
        </w:rPr>
        <w:t>דקלנא הות כו'.</w:t>
      </w:r>
      <w:r>
        <w:rPr>
          <w:rtl/>
        </w:rPr>
        <w:t xml:space="preserve"> דאתמר בה דברי כאש כו' וכפטיש כו' כנ"ל, ובהכאה זו דימו אותה לשפחה דמט"ט - ולא כן, דאף במט"ט אם היא תמן אין צריך להכאה, וזה שאומר ובג"ד אסתלק כו', שסלקו במעשיהם ומחשבתם כאלו אין שם שכינה:</w:t>
      </w:r>
    </w:p>
  </w:footnote>
  <w:footnote w:id="2469">
    <w:p w:rsidR="00A13282" w:rsidRDefault="00A13282" w:rsidP="002D629A">
      <w:pPr>
        <w:pStyle w:val="a5"/>
      </w:pPr>
      <w:r>
        <w:rPr>
          <w:rStyle w:val="a7"/>
        </w:rPr>
        <w:footnoteRef/>
      </w:r>
      <w:r>
        <w:t xml:space="preserve"> </w:t>
      </w:r>
      <w:r>
        <w:rPr>
          <w:b/>
          <w:bCs/>
          <w:rtl/>
        </w:rPr>
        <w:t>דאיהי י' כו'.</w:t>
      </w:r>
      <w:r>
        <w:rPr>
          <w:rtl/>
        </w:rPr>
        <w:t xml:space="preserve"> יו"ד הוא מעין חכמה דלית ליה פסק כנ"ל:</w:t>
      </w:r>
    </w:p>
  </w:footnote>
  <w:footnote w:id="2470">
    <w:p w:rsidR="00A13282" w:rsidRDefault="00A13282" w:rsidP="002D629A">
      <w:pPr>
        <w:pStyle w:val="a5"/>
      </w:pPr>
      <w:r>
        <w:rPr>
          <w:rStyle w:val="a7"/>
        </w:rPr>
        <w:footnoteRef/>
      </w:r>
      <w:r>
        <w:t xml:space="preserve"> </w:t>
      </w:r>
      <w:r>
        <w:rPr>
          <w:b/>
          <w:bCs/>
          <w:rtl/>
        </w:rPr>
        <w:t>אחד דאיהי מלכות.</w:t>
      </w:r>
      <w:r>
        <w:rPr>
          <w:rtl/>
        </w:rPr>
        <w:t xml:space="preserve"> עיין לקמן תיקון מ”ב ובזוהר פרשת בראשית ועיין מה שבארנו שם:</w:t>
      </w:r>
    </w:p>
  </w:footnote>
  <w:footnote w:id="2471">
    <w:p w:rsidR="00A13282" w:rsidRDefault="00A13282" w:rsidP="002D629A">
      <w:pPr>
        <w:pStyle w:val="a5"/>
      </w:pPr>
      <w:r>
        <w:rPr>
          <w:rStyle w:val="a7"/>
        </w:rPr>
        <w:footnoteRef/>
      </w:r>
      <w:r>
        <w:t xml:space="preserve"> </w:t>
      </w:r>
      <w:r>
        <w:rPr>
          <w:b/>
          <w:bCs/>
          <w:rtl/>
        </w:rPr>
        <w:t>דא סלע כו'.</w:t>
      </w:r>
      <w:r>
        <w:rPr>
          <w:rtl/>
        </w:rPr>
        <w:t xml:space="preserve"> שהוא יבש כסלע בלא מעין גנים ונאמר בו כי שמי בקרבו (שמות כג כא), וכל טוב כו' (בראשית כד י), והוא מתבנאה בשם ע"י הצדיקים - זכאה אתון צדיקייא כו':</w:t>
      </w:r>
    </w:p>
  </w:footnote>
  <w:footnote w:id="2472">
    <w:p w:rsidR="00A13282" w:rsidRDefault="00A13282" w:rsidP="002D629A">
      <w:pPr>
        <w:pStyle w:val="a5"/>
      </w:pPr>
      <w:r>
        <w:rPr>
          <w:rStyle w:val="a7"/>
        </w:rPr>
        <w:footnoteRef/>
      </w:r>
      <w:r>
        <w:t xml:space="preserve"> </w:t>
      </w:r>
      <w:r>
        <w:rPr>
          <w:b/>
          <w:bCs/>
          <w:rtl/>
        </w:rPr>
        <w:t>דבגיניה אתמר ויקח כו'.</w:t>
      </w:r>
      <w:r>
        <w:rPr>
          <w:rtl/>
        </w:rPr>
        <w:t xml:space="preserve"> רוצה לומר צלע דא הוא סיהרא דעץ הדעת, צלע המשכן, משכנא דמט"ט, וצלע - קשה כאבן, ועלה אתמר יפה כלבנה - חוור, ויסגור בשר - כלת משה - סומק, כחמה שנאמר ברה כו', כחוט השני שפתותיך, אבל סיהרא בסוד עטרה דחסד שריא בפום אמה, ואמר ויסגור - שהיא נסגרת כנ"ל, וזה שאומר ההוא דאתמר כו' בשגם, ידוע, ועיין בזוהר פרשת בראשית כ"ח א' בארוכה:</w:t>
      </w:r>
    </w:p>
  </w:footnote>
  <w:footnote w:id="2473">
    <w:p w:rsidR="00A13282" w:rsidRDefault="00A13282" w:rsidP="002D629A">
      <w:pPr>
        <w:pStyle w:val="a5"/>
      </w:pPr>
      <w:r>
        <w:rPr>
          <w:rStyle w:val="a7"/>
        </w:rPr>
        <w:footnoteRef/>
      </w:r>
      <w:r>
        <w:t xml:space="preserve"> </w:t>
      </w:r>
      <w:r>
        <w:rPr>
          <w:b/>
          <w:bCs/>
          <w:rtl/>
        </w:rPr>
        <w:t>ועד דנחית לה לא עלה כו'.</w:t>
      </w:r>
      <w:r>
        <w:rPr>
          <w:rtl/>
        </w:rPr>
        <w:t xml:space="preserve"> רוצה לומר הדעת - בחינת משה, רוצה לומר וזהו ויסגור בשר כו', והוא ההוא מבועא - גבורות גשמים:</w:t>
      </w:r>
    </w:p>
  </w:footnote>
  <w:footnote w:id="2474">
    <w:p w:rsidR="00A13282" w:rsidRDefault="00A13282" w:rsidP="002D629A">
      <w:pPr>
        <w:pStyle w:val="a5"/>
      </w:pPr>
      <w:r>
        <w:rPr>
          <w:rStyle w:val="a7"/>
        </w:rPr>
        <w:footnoteRef/>
      </w:r>
      <w:r>
        <w:t xml:space="preserve"> </w:t>
      </w:r>
      <w:r>
        <w:rPr>
          <w:b/>
          <w:bCs/>
          <w:rtl/>
        </w:rPr>
        <w:t>ובאתר דאסתלק כו'.</w:t>
      </w:r>
      <w:r>
        <w:rPr>
          <w:rtl/>
        </w:rPr>
        <w:t xml:space="preserve"> רוצה לומר סטרא דמרה, דמבועא הוא סם חיים, ומרה - סם המות כמו שאומר לעיל תיקון כ' זהו ברע ובטוב. רוצה לומר תורת עץ הדעת, טהור כו', כמו שמפרש והולך וימררו כו':</w:t>
      </w:r>
    </w:p>
  </w:footnote>
  <w:footnote w:id="2475">
    <w:p w:rsidR="00A13282" w:rsidRDefault="00A13282" w:rsidP="002D629A">
      <w:pPr>
        <w:pStyle w:val="a5"/>
      </w:pPr>
      <w:r>
        <w:rPr>
          <w:rStyle w:val="a7"/>
        </w:rPr>
        <w:footnoteRef/>
      </w:r>
      <w:r>
        <w:t xml:space="preserve"> </w:t>
      </w:r>
      <w:r>
        <w:rPr>
          <w:b/>
          <w:bCs/>
          <w:rtl/>
        </w:rPr>
        <w:t>והא אוקמוה.</w:t>
      </w:r>
      <w:r>
        <w:rPr>
          <w:rtl/>
        </w:rPr>
        <w:t xml:space="preserve"> עיין בזוהר פרשת בראשית כ"ז א':</w:t>
      </w:r>
    </w:p>
  </w:footnote>
  <w:footnote w:id="2476">
    <w:p w:rsidR="00A13282" w:rsidRDefault="00A13282" w:rsidP="002D629A">
      <w:pPr>
        <w:pStyle w:val="a5"/>
      </w:pPr>
      <w:r>
        <w:rPr>
          <w:rStyle w:val="a7"/>
        </w:rPr>
        <w:footnoteRef/>
      </w:r>
      <w:r>
        <w:t xml:space="preserve"> </w:t>
      </w:r>
      <w:r>
        <w:rPr>
          <w:b/>
          <w:bCs/>
          <w:rtl/>
        </w:rPr>
        <w:t>קראן לי מר'.</w:t>
      </w:r>
      <w:r>
        <w:rPr>
          <w:rtl/>
        </w:rPr>
        <w:t xml:space="preserve"> דנאמר בה אני מלאה הלכתי - מלא י"ה, והן יה"ו, דאז וימתקו המים כנ"ל בעץ החיים דהוא יה"ו כנ"ל, ועתה ריקם כו', נאלמתי מוא"ו - דום י"ה, וכמו שאומר לקמן, וזהו מרתה - מסטרא דעץ הדעת דאתלבשה תמן:</w:t>
      </w:r>
    </w:p>
  </w:footnote>
  <w:footnote w:id="2477">
    <w:p w:rsidR="00A13282" w:rsidRDefault="00A13282" w:rsidP="002D629A">
      <w:pPr>
        <w:pStyle w:val="a5"/>
      </w:pPr>
      <w:r>
        <w:rPr>
          <w:rStyle w:val="a7"/>
        </w:rPr>
        <w:footnoteRef/>
      </w:r>
      <w:r>
        <w:t xml:space="preserve"> </w:t>
      </w:r>
      <w:r>
        <w:rPr>
          <w:b/>
          <w:bCs/>
          <w:rtl/>
        </w:rPr>
        <w:t>איהי מעין כו'.</w:t>
      </w:r>
      <w:r>
        <w:rPr>
          <w:rtl/>
        </w:rPr>
        <w:t xml:space="preserve"> רוצה לומר תורה שבעל פה, כלת משה, והוא יו"ד דילה, והוא סיהרא דעץ החיים כנ"ל - ו"ק דילה הוא גם כן עץ החיים דאתשקיא, והחיים דאיהי ההוא מבועא - והחכמה תחיה בעליה כמו שאומר למעלה וכל הוי"ה הנ"ל - הכל בה וכמו שאומר לעיל על ההוא מבועא דשכינתא כו' ויו"ד דידה היא טפה דאתמשכת ממוחא ועיין לקמן [עמוד] ב' שמאריך בהאי טפה והיא יו"ד דאדני והיא ברתא דמלכא:</w:t>
      </w:r>
    </w:p>
  </w:footnote>
  <w:footnote w:id="2478">
    <w:p w:rsidR="00A13282" w:rsidRDefault="00A13282" w:rsidP="002D629A">
      <w:pPr>
        <w:pStyle w:val="a5"/>
      </w:pPr>
      <w:r>
        <w:rPr>
          <w:rStyle w:val="a7"/>
        </w:rPr>
        <w:footnoteRef/>
      </w:r>
      <w:r>
        <w:t xml:space="preserve"> </w:t>
      </w:r>
      <w:r>
        <w:rPr>
          <w:b/>
          <w:bCs/>
          <w:rtl/>
        </w:rPr>
        <w:t>וכמה טפין כו'.</w:t>
      </w:r>
      <w:r>
        <w:rPr>
          <w:rtl/>
        </w:rPr>
        <w:t xml:space="preserve"> הלכות פסוקת וכנ"ל ועלמות ואין מספר:</w:t>
      </w:r>
    </w:p>
  </w:footnote>
  <w:footnote w:id="2479">
    <w:p w:rsidR="00A13282" w:rsidRDefault="00A13282" w:rsidP="002D629A">
      <w:pPr>
        <w:pStyle w:val="a5"/>
      </w:pPr>
      <w:r>
        <w:rPr>
          <w:rStyle w:val="a7"/>
        </w:rPr>
        <w:footnoteRef/>
      </w:r>
      <w:r>
        <w:t xml:space="preserve"> </w:t>
      </w:r>
      <w:r>
        <w:rPr>
          <w:b/>
          <w:bCs/>
          <w:rtl/>
        </w:rPr>
        <w:t>קרקפתא כו'.</w:t>
      </w:r>
      <w:r>
        <w:rPr>
          <w:rtl/>
        </w:rPr>
        <w:t xml:space="preserve"> והוא סלע דברתא דמלכא שהוא בדבור ובפיוסא כמו שאומר ברעיא מהימנא פרשת תצא, והוא בינה, לבושא לחכמה, נקודה בהיכליה, וכמו שאומר לעיל ל"ז ב' וימודו בעומר דא שכינתא עילאה דאיהי עומר לגלגלת דאיהי גלגלתא דרישא, ומה שאומר לקמן בינה לבא, כאן הוא בינה שבחכמה, ובתוך הלב יש נקודה גם כן - חכמה שבבינה, ומה שאומר לעיל י"ג א' כתר עליון איהו כו' קרקפתא דתפילין, שם מיירי בגלגלת למעלה גבוה על המוח, והוא גם כן לבושא לאור אין סוף שבתוכו וכמו שאומר לקמן סוף תיקון כ”ב כתר עילאה כו' אין סוף אתקרי מלגאו, כתר עילאה מלבר כו' והוא אוירא עילאה שבתוכו כמו שאומר באידרא זוטא רפ"ח א' גלגלתא דרישא כו' וחכמתא עילאה סתימאה בהאי גלגלתא אשתכח והוא אוירא עילאה וכמו שכתב האר"י זללה"ה ונקרא אין סוף כמו שאמרו בזוהר פרשת בראשית ט"ו א' ועיין מה שבארנו שם, וגלגלתא הנ"ל היא נוק' דכתר דא"א, ואוירא - דכורא, אלא ששם אין דכורא ונוק' כלל וכלל, דשורש זכר ונקבה מתחיל ממ"ס כמו שאמרו באידרא זוטא אבל שם אין אלקים עמדי אבל מכל מקום הם שורש לשורש זכר ונקבה שבמ"ס ולכן בהאי גלגלתא הוא טלא דבדולחא אף דשם כולו חסד מכל מקום הוא כשמתפשט למטה בז"א נקרא בדולח וכמו שאמרו באידרא רבא קל"ה ב' בהאי גלגלתא נטיף טלא מרישא חוורא דאתמלי מיניה תדיר, ומהאי טלא זמינין מתיא לאחייאה, והוא טלא דאתכליל בתרי גווני: מסטרא דרישא חוורא - חוור בגווי' דכליל כלהו חוורי, וכולהו חוורי, אבל כד אתיישבן בהאי רישא דז"א אתחזי ביה סומקא, כהאי בדולחא דאיהי חוורא ואתחזיה גוונא סומקא בגוונא חוורא כו', מה שאין כן באוירא שאין התפשטותו גורם לדין כלל, כי זהו החילוק בין אוירא לבוצינא - שלמעלה כולם רחמים גדולים אלא בהתפשטותם, ואלו שני שורש השרשים לחו"ב, דאבא הוא מרוחא דגניז בעתיק יומין כמו שאמרו באידרא זוטא, ואמר באידרא רבא שם והאי אוירא הוא טמיר דטמירין דעתיק יומין ברוחא דגניז בה, וגלגלתא שורש לאימא ולכן היא גם כן גלגלתא לבושא למ"ס, והן כח"ב דא"א: גלגלתא ומ"ס ולבושא דמ"ס, אלא שהלבושא הוא נכלל במ"ס - חכמה - בינה שבחכמה כנ"ל, ונכלל גם כן בכתר כי כל עניינה נקרא על שם הכתר ונקראת אהי"ה, וכל י"ג תיקונין בה משתכחין, וכן כל הענינים כידוע, והיא כתר לז"א, וזה שאומר דכל ג"ר נכללין בה, דחכמה - בה כלול ומלובש, וכתר נכלל גם כן בה, דגולגלתא הוא הכל כאחד, וכמו שאמרו בגוף וברית דהן אחד מטעם זה, ועל קרקפתא הנ"ל ואוירא אמרו בכתר דהוא טמיר וגניז, דאוירא הוא גניז כנ"ל ברוחא דגניז בה ברוחא דגניז בעתיק יומין, וגלגלתא נקרא עתיקא, טמיר דטמירין כמו שאמרו באידרא רבא ובאידרא זוטא עיין שם באידרא רבא קכ"ח א' תאנא עתיקא דעתיקין טמירא דטמירין כו' ושם ושם ובהרבה מקומות עיין שם, ועיין בזוהר פרשת בשלח ס"ד א' ב' ומאן צור כמה דאת אמר כו' ר' אבא אמר אית צור ואית צור מסטרא דצור עילאה כו' מסטרא דאימא כו' וע"ד מצור עילאה אפיק מיא מאתר דלתתא ומה שמיה דלתתא סלע דכתיב והוצאת להם מים מן הסלע ובמה אפיק האי סלע מיא בחילא דצור דלעילא, והנה ידוע שהיא נקראת כל שמהן דילה על שם קבלתה מהספירות, אם לחסד מקבלת מחסד שלמעלה בחסד דילה ומשם היא עושה חסד, וכן בכולם, וכן כאן שמקבלת מאימא בבינה שלה שם נקרא סלע על שם הצור ומשם יהיבת מים, וכאן היא ברתא דמלכא סלע דברתא דמלכא, דמוחא דפנים ממנה נקראת בת מלך, כמו שאומר לעיל נ"ב ב', ועיין ברעיא מהימנא פרשת תצא רע"ט ב' על האי אבנא דאיהי סלע דילך לאפקא מיא מתמן דכלה דילך מעין החכמה בהאי סלע דנביעא דילה ברזין סתימין דלית להו סוף ועלה אתמר והחכמה מאין תמצא, ורוצה לומר דחכמה האי מעין בהאי סלע והכל במלכות דאצילות כמו שאומר שם פתח רעיא מהימנא ואמר סבא סבא כו', וטעות סופר שם, וכך צריך להיות, ולא דבור אלא אבן סלע דמשה כו', ולא גרסינן דאיהי ושם אלא דבור ופיוסא אבל שכחתי ונקטתי סלע אחרא כו' כך צריך להיות, אבל סלע דילי איהי ברתא דמלכא בגינה אתמר ודברתם אל הסלע לעיניהם ונתן מימיו - בדבור ופיוס כו', ועיין בריש פרשת משפטים צ"ד ב' ושכינתא אית דאתקריאת ברתא דמלכא כו' תא חזי בר נש כד אתיליד יהבין ליה נפשא כו' ותלת אלין אינון אמה ועבד ושפחה דברתא דמלכא, זכה יתיר יהבין ליה בארח אצילות מסטרא דבת יחידה ואתקריאת איהי בת מלך כו', ואמר דבת יחידה כמו שכתוב ששים המה מלכות כו' אחת היא יונתי אחת היא לאמה כו', ומסטרה נקראת הנשמה - יחידה, והוא דרגא דמשה שלא זכה שום אדם אליה, והענין שאף שנר"ן היא דרגא דבי"ע כידוע וכמו שאומר בזוהר פרשת משפטים שם, כל זה הוא לפי סדר הבריאה אבל אחר החטא ירדו ממדרגתם, ועיין מה שבארנו בליקוטים מ"א א' ב' בארוכה. והנה סלע זו הוא ק"ק דהיכלות, כי ג"ר דילה מקננן בכורסיא וכמו שחו"ב לא מתפרדין - כן בריאה ביחודא באצילות, וכמו שאמר המגיד, והנה כמו שחכמה, מוחא - הוא ההוא נביעו, וסלע - בינה, כן הוא באצילות - ההוא נביעו, וסלע - בבריאה, ולכן אמר דנקט סלע דשפחה דמט"ט ולא קאמר דבריאה, ומשם ניתנה התורה ואף שאמר בזוהר פרשת משפטים דאמה שם, היינו במלכות דבריאה, וכן עבד ושפחה הכל במלכות שלהם וכן סלע וכמו שאמרו שפחה דמט"ט משנה כו':</w:t>
      </w:r>
    </w:p>
  </w:footnote>
  <w:footnote w:id="2480">
    <w:p w:rsidR="00A13282" w:rsidRDefault="00A13282" w:rsidP="002D629A">
      <w:pPr>
        <w:pStyle w:val="a5"/>
      </w:pPr>
      <w:r>
        <w:rPr>
          <w:rStyle w:val="a7"/>
        </w:rPr>
        <w:footnoteRef/>
      </w:r>
      <w:r>
        <w:t xml:space="preserve"> </w:t>
      </w:r>
      <w:r>
        <w:rPr>
          <w:b/>
          <w:bCs/>
          <w:rtl/>
        </w:rPr>
        <w:t>על אלין טפין כו'.</w:t>
      </w:r>
      <w:r>
        <w:rPr>
          <w:rtl/>
        </w:rPr>
        <w:t xml:space="preserve"> דפשטא דקרא נאמר על בניו ממש והטפין של הזרע נקראים חצים כנ"ל סוף תיקון י”ג זרע יורה כחץ לגבי כלה כו' עיין שם, וזה שאומר כחצים ביד כו' וכן הבנים אחר שהולידם נקראים גם כן חצים על שם כך, ובהם (תהלים קכז ה) לא יבושו כו' כמו שאמרו (ברכות ד ע"א) חכם בני ושמח לבי ואשיבה חורפי דבר, וכן בתרעא דגן עדן, ששם זה השער, וכמו שאמרו בזוהר פרשת בלק קצ"ו ב' אשר שתה אפרוחיה אלין אינון צדיקיא דזכו לבנין קדישין כו' דהא זכותא דבנייהו בהאי עלמא אגין עלייהו ומעטרין להו תמן מאן רוחא דזכי לכל האי האי דשתה אפרוחיה כו', ומדרשו על התלמידים וכמו שאמרו בפרק קמא דקדושין כי הם נקראים בנים. והענין, כי בנים נקראים מצד הגופים ותלמידים נקראים בנים מצד החכמה שהוליד להם והוא רוח הפנימי דבהן, והן ברית הלשון והמעור ששניהם הם דעת המוליד אלא שזה מוליד בגופני, הזרע שהוא גופני מוליד בגופני, והדבור שהוא רוחני מוליד רוחני, ומכאן כמה כח הדיבור - שמוליד בנים רוחנים וזה שאמרו (משנה ערכין ג ה) נמצא האומר בפיו כו', וכן כבוד רבו קודם לאביו, והנה כמו שברית נקראת קשת יורה חצים כן הלשון שהוא גם כן דרגא דיסוד כידוע, לשון למודים נקרא גם כן קשת, וכמו שאומר לעיל בסוף תיקון י”ג לגבי צדיק דאיהו קשת כו' וקשתא איהו לישנא דפומא, אגוזא דקשתא - פומא, חוט השני דא שפה, חוט של קשת דביה הוה צדיק זריק חצים דאינון מלולים כו', והן כאן מלולין דחכמתא, והן הטפין דאמר כאן, והן שלש טפין דחכמה ובינה ודעת דנפיק מפומא, ועיין בזוהר פרשת משפטים קכ"ג א' דוגמת שלש טפים דלמטה, וע"ש תלת טפין דנחתין מן יוד כו', וכן בתפלה הן שלש צלותין, ואמר לא יבושו כו' דבהן יפלח חץ כבדו דחויא כו' ובהן ילחם באהבה עם התלמידי חכמים, את והב בסופה וכמו שאמרו שם בגמרא מאי לא יבושו כו' וכמו שאומר שם בסוף תיקון י”ג לבתר דיפלח חץ כבדו זרע יורה כחץ לגבי כלה כו' וזהו ענין המלחמה שאמר למעלה נ"ב א' בקשתא כו' וכן מה שאומר בזוהר פרשת בלק ובזוהר פרשת עקב, ואמר בזוהר פרשת בלק שננא דחרבא לגבך כו', ובתיקונים לקמן קשתי לגבך כו', ובתיקוני זוהר חדש, והוא המלחמה של רחימו כמו יורה כחץ אל האשה והמלחמה נקראת בזיווג לפי שהם שני הפכים, מ"ד ומ"נ, ושני דינים הן: אחד, דינא דקודשא, יראת ה', והוא שלהובא דרחימותא וכל התעוררות והשמחה ושכר העולם הבא וכל טובה - הכל שם, וכמו שכתוב מה רב טובך אשר צפנת, בצפון תערוך שלחן לפני כו', והוא יין המשומר בענביו המשמח כו', עין לא ראתה כו', ויש יראה רעה, רצועא בישא, דינא דמסאבותא על ראש רשעים יחול וכמו שאמר בזוהר שהקשה הואל השם אוהב משפט למה נותן הדין ברשעים ומשני כנ"ל, והם הן שתי המלחמות, דינא דלאו קדישא לגבי חיוא יפלח חץ כו' והוא ויזובו בהכאה הראשונה ואח"כ בשניה מים ושתאן חיוון ברא, חיות הקודש, ולכן צריכין חבריא ללמוד יחד באהבה גדולה לאדבקא רוחא ברוחא כמו שאמרו בזוהר פרשת ויקהל וכמו שאמרו (עירובין ק ע"ב) גם בלא דעת כו' כמו בני שנואה ונקראים התלמידים גם כן חצים, כנ"ל גבי בנים, אבל עיקרן על טפין דחכמתא, וזה שאומר לא יבושו כו', כי בחכמה לא יבוש לפלפל בשער וללמד תורה ברבים, ואמר דאיהי תרעא דצדיק אות כו', כמו למטה שעטרה שהוא שער מלשון זה השער כו' - נקראת קשת כי שם הקשת וכמו שאומר לקמן ומשם יורה כחץ וכן הוא בלשון - שהוא יסוד, ופומא הוא אות ברית שלו, והוא השער זה השער, וכמו שאומר לעיל ל' א' וזכאין שפוון דאינון תרעין דהיכלא כגוונא דאלין דאתמר בהון פתחו לי שערי צדק, ופה ומילה שניהם הם שערים שהם נקובים ונפתחים להוציא דבור וזרע וחושבנם חד (רוצה לומר פה מילה) גם כן, והם מכוונים בכל דבר ושניהם הן ברית כמו שאמרו בספר יצירה והן ברית התורה והמילה וע"י שניהם זוכה ובא לתרעא דגן עדן ונקרא צדיק וזה שכתוב זה השער כו':</w:t>
      </w:r>
    </w:p>
  </w:footnote>
  <w:footnote w:id="2481">
    <w:p w:rsidR="00A13282" w:rsidRDefault="00A13282" w:rsidP="002D629A">
      <w:pPr>
        <w:pStyle w:val="a5"/>
      </w:pPr>
      <w:r>
        <w:rPr>
          <w:rStyle w:val="a7"/>
        </w:rPr>
        <w:footnoteRef/>
      </w:r>
      <w:r>
        <w:t xml:space="preserve"> </w:t>
      </w:r>
      <w:r>
        <w:rPr>
          <w:b/>
          <w:bCs/>
          <w:rtl/>
        </w:rPr>
        <w:t>ועוד שמעו כו'.</w:t>
      </w:r>
      <w:r>
        <w:rPr>
          <w:rtl/>
        </w:rPr>
        <w:t xml:space="preserve"> דחג"ת הן שלשה יודין, ומסטרא דלהון הן שלשים מעלות דברתא דמלכא סלקא בהון כמו שאומר לעיל כ"ג ב' ותלת יודין אינון י' י' י', ואינון רישא וסיפא ואמצעיתא דאת י', ואינון רמיזין בשמא סתים דאיהו יו"ד ה"י וא"ו ה"י, באלין תלת שבח דוד מלכא לברתא דמלכא הה"ד שיר למעלות - ל' מעלות, ל' מעלות אינון וודאי, אינון תלתין דרגין דבהון ברתא סלקא כו' - והן אבהן דבהון סלקא, ועיין לקמן פ"ט א' דאינון תלת אבהן תקינו תלת צלותין כו' לסלקא שכינתא בהון כו', דעמודא דאמצעיתא איהו גופא, ותרין דרועין דיליה - ימינא ושמאלא, דבהון אחיד בה ועל גופא אסתלקת, ותלתן דרגין עיין בזוהר חדש פרשת בראשית תלתין רתיכין דבהון עיין שם בדבריו ועיין לקמן נ"ה א' ולבתר חתיכא לה לתלת למהוי תגא כו' ועיין בתיקוני זוהר חדש ע"ו ב' בארוכה. ואמר והאתנים כו' תלת ווי"ן, וזהו דאמר בתיקון נ”א דשי"ח - בצדיק, ח"י כליל נה"י, שלשה ווין, והענין כי שני דרגין דדכורא: אב ובן, יו"ד וא"ו, וחג"ת נקראים אבהן דאעלו במחשבה כמו שאמרו בריש פרשת בראשית, אבל נה"י אתקרי בנין, וכל בניך כו', וא"ו, ולכן נקרא צדיק דכליל לון - ח"י, וכלן נכלל בשי"ן כמו שאומר לעיל בתיקון י”ט, והן שלשה תגין דשי"ן, ג"ר, כמו שבארנו שם ועיין לקמן נ"ה א' ושלשה יודין דשי"ן ושלשה ווין הן ו"ק כמו שאומר כאן, ונקודה התחתונה דקושר כולן הוא מלכות, קשר כולם, ועיין לקמן נ"ה א' ודא רזא דשי"ן דאיהי סלקא בג"ר ומשם היא תגא, וכמו שאומר לעיל תיקון י’ ותיקון י”ט ועיין לקמן ב' דאמר בסליקו היא וא"ו והן מסטרא דנה"י דמוליכין לגבי בעלה כמו שאומר לעיל נ"ה א' בהגהה וכד נחתת על גבי חג"ת הוי שלשה יודין וזה שאומר לקמן נ"ה ב' בהגהה בשלשלת סלקא בשורק נחתא, דשלשלת הוא שלשה ווין ושורק שלשה יודין, והכל בש"ין: שלשלת, שרק. ונראה מכאן דאע"ג דקאמר בזוהר חדש ז' ב' דהני תתאין רתיכין דלהון כגוונא דעלאין, נראה מכל מקום שאינן אלא ששה לכל אחד אבל למעלה כ"ג ב' אמר ולבתר סליק ו' בי', שית זימנין עשר, עד דסליק לשתין כו' וכן לקמן ס"ט א' ואינון שית סלקין כו', ונראה שארבעה בכל אחד דנה"י הן תמיד בנוק' שהן מוסדי ארץ ובהון אתקריאת ז"ה השער, וגם שבחג"ת ארבעה הן דידה, ד"ו פרצופים, והן כ"ד צרופי אדנ"י, כ"ד מעלות שהכהונה נקנית בהם, כ"ד קשוטי כלה, ויבאה כו', מכל מקום בגלותא שם רחוק כנ"ל ואיהי ריב בכל הדרגין מה שאין כן בנה"י, ושלשה יודין - הן שהמלכות נקנית בהן, דבהון סלקא ברתא דמלכא כו' כנ"ל, דוד דאתחבר באבהן, ועוד שלשה ווין הנ"ל הן מ"ח מעלות שהתורה נקנית בהם, דצריך לחברא בה כל הדרגין וכנ"ל דאיהי מריבת בהון בשית סדרי כו' כליל שית סדרין ואמר דכלהו אתרמיזו כו', שהן משמשות על עיקר השורש דבשלש תיבות אלו, ובע"ב דבהון הוא תרי דרגין, חג"ת - עשב, ונה"י - שיח כמו שאומר לקמן בתיקון נ”א, וכאן דריש על האותיות ובהגה דריש על הנקודות, ועיין לעיל נ"ג א' דאית מארי כו' ואית כו' ועיין מה שבארנו שם:</w:t>
      </w:r>
    </w:p>
  </w:footnote>
  <w:footnote w:id="2482">
    <w:p w:rsidR="00A13282" w:rsidRDefault="00A13282" w:rsidP="002D629A">
      <w:pPr>
        <w:pStyle w:val="a5"/>
      </w:pPr>
      <w:r>
        <w:rPr>
          <w:rStyle w:val="a7"/>
        </w:rPr>
        <w:footnoteRef/>
      </w:r>
      <w:r>
        <w:t xml:space="preserve"> </w:t>
      </w:r>
      <w:r>
        <w:rPr>
          <w:b/>
          <w:bCs/>
          <w:rtl/>
        </w:rPr>
        <w:t>קום אלעזר כו'.</w:t>
      </w:r>
      <w:r>
        <w:rPr>
          <w:rtl/>
        </w:rPr>
        <w:t xml:space="preserve"> מפרש והולך אלין תלת יודין כמו שאומר לקמן [עמוד] ב' וכד נחיתת כו' ולקמן נ"ה א' ומפרש דרגא דיו"ד ודרגא דוא"ו כמו שמפרש והולך ההוא עולימא. קירטא כו'. קלע כו'. המלחמה דקירטא הוא קלע כמו שאומר לעיל יו"ד ב' איהי קירטא בתפילין חוט דקלע כו', ומפרש הזרקא דהן כלי המלחמה כמו שאומר לעיל סוף תיקון ה’ טעמי מאני קרבי, ומפרש התחלתם זרקא שופר הולך סגולתא, ואמר דזרקא הוא הקירטא, חוט דזרקא הוא חוט דקירטא, ותגא דזרקא למעלה שהוא יו"ד הוא גם כן דקירטא דיש לו תגא למעלה ובה מונח אבן לזרוק ועל שם כך נקרא זרקא, והן י"ו הנ"ל, הרים ואיתנים ולכן אמר קום כנ"ל:</w:t>
      </w:r>
    </w:p>
  </w:footnote>
  <w:footnote w:id="2483">
    <w:p w:rsidR="00A13282" w:rsidRDefault="00A13282" w:rsidP="002D629A">
      <w:pPr>
        <w:pStyle w:val="a5"/>
      </w:pPr>
      <w:r>
        <w:rPr>
          <w:rStyle w:val="a7"/>
        </w:rPr>
        <w:footnoteRef/>
      </w:r>
      <w:r>
        <w:t xml:space="preserve"> </w:t>
      </w:r>
      <w:r>
        <w:rPr>
          <w:b/>
          <w:bCs/>
          <w:rtl/>
        </w:rPr>
        <w:t>ובג"ד אסתלקת עזקא מן זרקא כו'.</w:t>
      </w:r>
      <w:r>
        <w:rPr>
          <w:rtl/>
        </w:rPr>
        <w:t xml:space="preserve"> רוצה לומר דעזקא שהוא התגא דעל זרקא - כפוף כעין עזקא לקבל האי טיפה דסלקא מינה מ"נ ויורדת אח"כ והשקה כו', וזה שאומר לקבלא עלה כו', ואותיות א"ד - בהן עולה כמו שמפרש והולך, ובאותיות ו"י - עליהן עולה כמו שמפרש והולך והן ו"י דזרקא, הרים ואיתנים:</w:t>
      </w:r>
    </w:p>
  </w:footnote>
  <w:footnote w:id="2484">
    <w:p w:rsidR="00A13282" w:rsidRDefault="00A13282" w:rsidP="002D629A">
      <w:pPr>
        <w:pStyle w:val="a5"/>
      </w:pPr>
      <w:r>
        <w:rPr>
          <w:rStyle w:val="a7"/>
        </w:rPr>
        <w:footnoteRef/>
      </w:r>
      <w:r>
        <w:t xml:space="preserve"> </w:t>
      </w:r>
      <w:r>
        <w:rPr>
          <w:b/>
          <w:bCs/>
          <w:rtl/>
        </w:rPr>
        <w:t>כד סליקת כו'.</w:t>
      </w:r>
      <w:r>
        <w:rPr>
          <w:rtl/>
        </w:rPr>
        <w:t xml:space="preserve"> עתה מפרש והולך מהו עלייתה, א"ד יעלה, ועלייתה בו"י, והן ארבע אותיות דאדנ"י ודהוי"ה כמו שמפרש והולך, והענין כי אימא מעלה אותה בחמש גבורות דהן מעלה מ"נ כידוע וזה שאומר כד סליקת כו', ואימא נקראת אהי"ה - דרמיזא בא' של אדנ"י, אהי"ה והוי"ה רמיזין בראש וסוף של א"דנ"י כמו שאמרו ברעיא מהימנא פרשת נשא קמ"ו ב' ושאר מקומות, וכן הוא כאן כמו שאומר למטה וסליקו דילה הוא בד' כמו שמפרש והולך וסליקת בד' כו' דאינון תרין כו', וזהו וא"ד יעלה, ואמר ועל מאן סליקת כו' כעזקא באצבעא, שהוא נ' דאדנ"י, שהוא כעזקא דזרקא, ועיין למטה טול קשת בידך דאיהו כגוונא דאצבעא ועזקא והוא צורת נ"ו וכן אמר כאן דאיהי וא"ו דאיהי כריכא כו' ושתי בחינות הן התגא בעצמה הוא צורת יו"ד והוא עזקא שלם אבל כל הכפיפו דזרקא הוא צורת נ'. ואמר עד דסליק לאת יו"ד כו' - והוא יו"ד דאדנ"י, וכן הוא ארבע אותיות דהוי"ה, דאימא ה' ראשונה וסליקו דילה בד' הוא ה' אחרונה שהיא ד', ועיין לקמן סוף תיקון מ”ז וסליקו דילה על וא"ו ועולה ליו"ד, והן ד' כלולין בד', וארבעה דברים צריך לעליה: שעולה על כותל שוה לגג וצריך אחד למעלה להעלות אותו והוא נאחז בידיו בהמעלה, והן ארבעה דברים: שעל הכותל עולה, ולגג עולה, והיא העולה בידיה ורגליה, והמעלה אותה, ואלו שני דברים - א"ד - הן העולים, דה’ גבורות מעלים המ"נ, ולכן וא"ד יעלה, אבל לו"י היא עולה, שהן דכורין, ושתי ההין - נוק', ווא"ו יו"ד הן הקירטא והזרקא כנ"ל:</w:t>
      </w:r>
    </w:p>
  </w:footnote>
  <w:footnote w:id="2485">
    <w:p w:rsidR="00A13282" w:rsidRDefault="00A13282" w:rsidP="002D629A">
      <w:pPr>
        <w:pStyle w:val="a5"/>
      </w:pPr>
      <w:r>
        <w:rPr>
          <w:rStyle w:val="a7"/>
        </w:rPr>
        <w:footnoteRef/>
      </w:r>
      <w:r>
        <w:t xml:space="preserve"> </w:t>
      </w:r>
      <w:r>
        <w:rPr>
          <w:b/>
          <w:bCs/>
          <w:rtl/>
        </w:rPr>
        <w:t>עד דסליק לאת כו'.</w:t>
      </w:r>
      <w:r>
        <w:rPr>
          <w:rtl/>
        </w:rPr>
        <w:t xml:space="preserve"> עיין לעיל תיקון י”ט, [דף] ל"ח א', ובתיקון י’, [דף] כ' ב', ואמר [דף] ל"ח א' אתרביאת מכל שקיו כו' עד דמטי לההוא מבועא עילאה דאיהו י' עילאה חכמת כל בני קדם ובההוא זימנא אתעבידת איהי תגא ברישא דאת ו' כו' עיין שם ובתיקון י’:</w:t>
      </w:r>
    </w:p>
  </w:footnote>
  <w:footnote w:id="2486">
    <w:p w:rsidR="00A13282" w:rsidRDefault="00A13282" w:rsidP="002D629A">
      <w:pPr>
        <w:pStyle w:val="a5"/>
      </w:pPr>
      <w:r>
        <w:rPr>
          <w:rStyle w:val="a7"/>
        </w:rPr>
        <w:footnoteRef/>
      </w:r>
      <w:r>
        <w:t xml:space="preserve"> </w:t>
      </w:r>
      <w:r>
        <w:rPr>
          <w:b/>
          <w:bCs/>
          <w:rtl/>
        </w:rPr>
        <w:t>ונטילת נביעו כו'.</w:t>
      </w:r>
      <w:r>
        <w:rPr>
          <w:rtl/>
        </w:rPr>
        <w:t xml:space="preserve"> והן ג"ר דכלילין ביו"ד כמו שאמרו בזוהר פרשת ויקרא והן שלשה יודי"ן דשם ס"ג כמו שאומר לעיל כ"ג ב', והן שלשה יודי"ן הנ"ל דהרים, ושלשה ווין הם גם כן דשם הנ"ל - דשלשה ווין שם, אלא דאין צריך לפרש דבכל מילוי הוא כן מכל מקום בזה השם הוא ונשאר ארבע אותיות: א"ד דסליקת כנ"ל, ושתי ההין דכלילת א"ד כנ"ל - והן נוקבין, ארבע אותיות, ושלשה ווין ויודין - דכורין, ו' אותיות, ד"ו פרצופין - ו"ד:</w:t>
      </w:r>
    </w:p>
  </w:footnote>
  <w:footnote w:id="2487">
    <w:p w:rsidR="00A13282" w:rsidRDefault="00A13282" w:rsidP="002D629A">
      <w:pPr>
        <w:pStyle w:val="a5"/>
      </w:pPr>
      <w:r>
        <w:rPr>
          <w:rStyle w:val="a7"/>
        </w:rPr>
        <w:footnoteRef/>
      </w:r>
      <w:r>
        <w:t xml:space="preserve"> </w:t>
      </w:r>
      <w:r>
        <w:rPr>
          <w:b/>
          <w:bCs/>
          <w:rtl/>
        </w:rPr>
        <w:t>הולך סגולתא.</w:t>
      </w:r>
      <w:r>
        <w:rPr>
          <w:rtl/>
        </w:rPr>
        <w:t xml:space="preserve"> רוצה לומר שני טעמים האחרים: שופר הולך סגולתא, הולך - לשון נחיתת, וסגולתא - שלש טיפין, ושופר - מפרש בתיקוני זוהר חדש ע"ו ב' דאינון שלש טיפין אינון משופרא שופרא דמוחא, ואמר שם דאינון מתלת י' י' י' דסגולתא דאתרמיזו בשם יו"ד ה"י וא"ו ה"י כו':</w:t>
      </w:r>
    </w:p>
  </w:footnote>
  <w:footnote w:id="2488">
    <w:p w:rsidR="00A13282" w:rsidRDefault="00A13282" w:rsidP="002D629A">
      <w:pPr>
        <w:pStyle w:val="a5"/>
      </w:pPr>
      <w:r>
        <w:rPr>
          <w:rStyle w:val="a7"/>
        </w:rPr>
        <w:footnoteRef/>
      </w:r>
      <w:r>
        <w:t xml:space="preserve"> </w:t>
      </w:r>
      <w:r>
        <w:rPr>
          <w:b/>
          <w:bCs/>
          <w:rtl/>
        </w:rPr>
        <w:t>יו"ד עילאה כו'.</w:t>
      </w:r>
      <w:r>
        <w:rPr>
          <w:rtl/>
        </w:rPr>
        <w:t xml:space="preserve"> עתה מפרש דאיהי נטלא תלת יודי"ן והיא כלולה גם כן בשלשה מקומות - בשלשה דרגין דקו אמצעי: כתר, תפארת, יסוד, והן: חולם שורק חירק, תגא ויחודא וכרסיא, ועיין מה שבארנו לעיל נ"ג ב' בארוכה, והכל כליל בא': דיו"ד מורה על ג"ר וכנ"ל דיו"ד כליל ג"ר, ו' - עמודא דאמצעיתא, י' דלמטה - מלכות, והוא חושבן שם הוי"ה דכלילא באלף, והכל בה, דהיא קשר כולם, ונגד זה שלשה אלפין בשם מ"ה, והכל בה: אלף דיו"ד ה"א - בפומא, סופא דגולגלתא, אלף בטבורא - בוא"ו באמצעיתא - שורק, אלף דה"א אחרונה - בסופה, עטרת הברית, ועיין מה שנבאר לקמן סוף תיקון כ”ה שלש פעמים דנכללת השושנה באלו שלשה אלפין:</w:t>
      </w:r>
    </w:p>
  </w:footnote>
  <w:footnote w:id="2489">
    <w:p w:rsidR="00A13282" w:rsidRDefault="00A13282" w:rsidP="002D629A">
      <w:pPr>
        <w:pStyle w:val="a5"/>
      </w:pPr>
      <w:r>
        <w:rPr>
          <w:rStyle w:val="a7"/>
        </w:rPr>
        <w:footnoteRef/>
      </w:r>
      <w:r>
        <w:t xml:space="preserve"> </w:t>
      </w:r>
      <w:r>
        <w:rPr>
          <w:b/>
          <w:bCs/>
          <w:rtl/>
        </w:rPr>
        <w:t>ולבתר נחיתת באמצעיתא בעד"א ולבתר כו'.</w:t>
      </w:r>
      <w:r>
        <w:rPr>
          <w:rtl/>
        </w:rPr>
        <w:t xml:space="preserve"> כן צריך להיות, ולא גרסינן ונטלא מתמן, דכאן לא מיירי בנטילתה רק נחיתו דילה בשלשה מקומות, ובעמודא דאמצעיתא היא כלולה באמצעית הוא"ו ששם נובעין שני היודין והיא בנקודת שורק - אור הגנוז ואינה נראה שם ולכן הטבור סתום:</w:t>
      </w:r>
    </w:p>
  </w:footnote>
  <w:footnote w:id="2490">
    <w:p w:rsidR="00A13282" w:rsidRDefault="00A13282" w:rsidP="002D629A">
      <w:pPr>
        <w:pStyle w:val="a5"/>
      </w:pPr>
      <w:r>
        <w:rPr>
          <w:rStyle w:val="a7"/>
        </w:rPr>
        <w:footnoteRef/>
      </w:r>
      <w:r>
        <w:t xml:space="preserve"> </w:t>
      </w:r>
      <w:r>
        <w:rPr>
          <w:b/>
          <w:bCs/>
          <w:rtl/>
        </w:rPr>
        <w:t>די סליקת כו'.</w:t>
      </w:r>
      <w:r>
        <w:rPr>
          <w:rtl/>
        </w:rPr>
        <w:t xml:space="preserve"> דאין סוף נקרא בכתר מלגאו, כמו שאמרו בסוף תיקון כ”ב, והוא באור ישר, ובאור חוזר נקראת מלכות - כתר, ושם הוא אין תכלית, דכתר נקרא מקור ומקור לית ליה סוף ותכלית, ועיין בתיקוני זוהר חדש ע"ח א' ב' והמשכילים יזהירו כו', וכתר נקרא סוף השגה שידוע שהוא טמיר וגניז, אקי"ק לבדו, והוא הרצון שידוע שהכל ברצונו הפשוט, מה שאין כן בההוא דמלגאו - אין סוף, ומלכות הוא התכלית שהכל בשבילה בשביל מלכותו, אבל בלגאו אין תכלית. ואמר די סליקת כו' ונחיתת כו' כמו שאומר לקמן עד דסליק לאת כו' וכד נחיתת נחיתת כו' י' עילאה על רישא דא' דאיהי כתר כו' ולבתר נחיתת כו', ואלו שני יודין הן אני ראשון ואני אחרון, אני אין - בכתר ומלכות, באור ישר ואור חוזר, ומבלעדי כו' - בוא"ו דאמצעיתא והכל אחד בא':</w:t>
      </w:r>
    </w:p>
  </w:footnote>
  <w:footnote w:id="2491">
    <w:p w:rsidR="00A13282" w:rsidRDefault="00A13282" w:rsidP="002D629A">
      <w:pPr>
        <w:pStyle w:val="a5"/>
      </w:pPr>
      <w:r>
        <w:rPr>
          <w:rStyle w:val="a7"/>
        </w:rPr>
        <w:footnoteRef/>
      </w:r>
      <w:r>
        <w:t xml:space="preserve"> </w:t>
      </w:r>
      <w:r>
        <w:rPr>
          <w:b/>
          <w:bCs/>
          <w:rtl/>
        </w:rPr>
        <w:t>הא טפה קא נחתא כו'.</w:t>
      </w:r>
      <w:r>
        <w:rPr>
          <w:rtl/>
        </w:rPr>
        <w:t xml:space="preserve"> ענין סלקא ונחתא הוא מ"נ ומ"ד, והוא ברוח ונפש דהן זיווג זו"נ, וכמו שאומר לקמן בתיקון כ”ה ס"ט א', והנפש מעוררת מ"נ לרוח וכמו שכתוב נפשי אויתך בלילה אף רוחי כו', והטפה דילה - התעוררות, סליק לרוחא למעלה למעלה, עד דסליק לחכמה דיליה - יו"ד, דנפש היא אדנ"י, ורוח - הוי"ה, וכל הזיווגים ועליות וירידות הכל בנפש ורוח, וכל המצות - הכל להשקות את האדמה, וכן שכינתא איהי נפשא וגופא דקב"ה, כמו שאומר שם בתיקון כ”ד ובתיקון כ”ב ואיהי גופא דמלכא כו' ורוצה לומר נפשא דהיא שתופא דגופא:</w:t>
      </w:r>
    </w:p>
  </w:footnote>
  <w:footnote w:id="2492">
    <w:p w:rsidR="00A13282" w:rsidRDefault="00A13282" w:rsidP="002D629A">
      <w:pPr>
        <w:pStyle w:val="a5"/>
      </w:pPr>
      <w:r>
        <w:rPr>
          <w:rStyle w:val="a7"/>
        </w:rPr>
        <w:footnoteRef/>
      </w:r>
      <w:r>
        <w:t xml:space="preserve"> </w:t>
      </w:r>
      <w:r>
        <w:rPr>
          <w:b/>
          <w:bCs/>
          <w:rtl/>
        </w:rPr>
        <w:t>טול קשת.</w:t>
      </w:r>
      <w:r>
        <w:rPr>
          <w:rtl/>
        </w:rPr>
        <w:t xml:space="preserve"> דלמעלה אמר בקירטא, ועתה מפרש קשת ורומח וחרב כמו שמפרש והולך, והקשת הוא היסוד - צורת חוטא ועזקא, שהעטרה הוא עזקא והיסוד הוא חוטא, וזה שאומר דאיהו כגוונא כו' ורוצה לומר שלכן מקדשין אשה בטבעת על אצבע וכמו שאומר לקמן בתיקון מ”ז פ"ו ב', כמו שיחודא הוא ביסוד, כן הקדושין, וכן הוא הברכה, דכל יב"ק כלילין ביה וכמו שבארנו שם, ואמר ודרך ליה לגבה - דכמו שהקשת דרוכה ע"י החצים כן הוא דרוך בתוקפיה, חי, ע"י טיפין דזרע, רוצה לומר דזה שאומר דרך כוכב מיעקב, והוא יוד, כוכב, אות הברית, שהוא יוד דעטרה, וקם שבט - הוא היסוד, דהוא קם ע"י הטיפין, ולכן אמר מישראל דהוא בחינת דכורא, ועטרה - בחינת נוק', יעקב כידוע, והן כוכב ורקיע כמו שאמרו במתני' דטעמים, וכן אות הברית נקראת כוכב והוא האות בעלמא שתתגלה לעתיד לבוא, וזה לך האות, וכמו שאומר בתיקון ל”ז עיין שם, ויסוד נקרא רקיע כמו שאומר לעיל א' א' ושאר מקומות, והן ו"י הנ"ל, וכן הטיפין גם כן - כוכב כד נחתא, ואז צריך למדרך קשת לגבה ואז היא בחינת יו"ד כמו שמפרש והולך וכנ"ל וכד סלקא אז וקם שבט כו' וכמו שמפרש והולך דהא כד סליקת כו' כרומחא ו', וקם בעליה ודרך בנחיתו, וזה שאומר כשרביטא דכוכבא ורוצה לומר שזהו וקם שבט שהוא שרביטא דכוכבא וכן פירש רב האי גאון, ומפרש והולך דכד סליקת - איהי כרומחא ו', וכד נחיתת - היא יוד דכלילא מתלת יודין הנ"ל, דקבילת מחכמה ולכן נעשית יוד, דבתחילה כד סליקת ביה - נכללת בו"ק והיא ו', וכד סלקא לחכמה אז נכללת מכל עשר ספירות, דחכמה כולל עשר ספירות, וזהו י' ו', דשם דהוא כולל עשר ספירות וכמו שאמרו בתיקוני זוהר חדש ע"ג א' ובזוהר פרשת ויקרא וז"א כליל ו"ק:</w:t>
      </w:r>
    </w:p>
  </w:footnote>
  <w:footnote w:id="2493">
    <w:p w:rsidR="00A13282" w:rsidRDefault="00A13282" w:rsidP="002D629A">
      <w:pPr>
        <w:pStyle w:val="a5"/>
      </w:pPr>
      <w:r>
        <w:rPr>
          <w:rStyle w:val="a7"/>
        </w:rPr>
        <w:footnoteRef/>
      </w:r>
      <w:r>
        <w:t xml:space="preserve"> </w:t>
      </w:r>
      <w:r>
        <w:rPr>
          <w:b/>
          <w:bCs/>
          <w:rtl/>
        </w:rPr>
        <w:t>דקבילת לה עליך.</w:t>
      </w:r>
      <w:r>
        <w:rPr>
          <w:rtl/>
        </w:rPr>
        <w:t xml:space="preserve"> רוצה לומר דעליך מוטל ליטול ולהלחם, דאתה התחלת כבר וקבילת עליך:</w:t>
      </w:r>
    </w:p>
  </w:footnote>
  <w:footnote w:id="2494">
    <w:p w:rsidR="00A13282" w:rsidRDefault="00A13282" w:rsidP="002D629A">
      <w:pPr>
        <w:pStyle w:val="a5"/>
      </w:pPr>
      <w:r>
        <w:rPr>
          <w:rStyle w:val="a7"/>
        </w:rPr>
        <w:footnoteRef/>
      </w:r>
      <w:r>
        <w:t xml:space="preserve"> </w:t>
      </w:r>
      <w:r>
        <w:rPr>
          <w:b/>
          <w:bCs/>
          <w:rtl/>
        </w:rPr>
        <w:t>ודאי תגא על רישא דס"ת.</w:t>
      </w:r>
      <w:r>
        <w:rPr>
          <w:rtl/>
        </w:rPr>
        <w:t xml:space="preserve"> דספר תורה הוא וא"ו, ועיין לעיל ריש תיקון י’, ורוצה לומר בזה דהכל כליל בזרקא שהוא חוטא ותגא, כל כלי המלחמה: קירטא - כנ"ל, וכן קשת כנ"ל, וכן רומחא - בוא"ו, ואח"כ גם כן תגא עליה, ומפרש והולך הזרקא ומניה נחיתת ואזדריקת כו' והוא לשון זרקא:</w:t>
      </w:r>
    </w:p>
  </w:footnote>
  <w:footnote w:id="2495">
    <w:p w:rsidR="00A13282" w:rsidRDefault="00A13282" w:rsidP="002D629A">
      <w:pPr>
        <w:pStyle w:val="a5"/>
      </w:pPr>
      <w:r>
        <w:rPr>
          <w:rStyle w:val="a7"/>
        </w:rPr>
        <w:footnoteRef/>
      </w:r>
      <w:r>
        <w:t xml:space="preserve"> </w:t>
      </w:r>
      <w:r>
        <w:rPr>
          <w:b/>
          <w:bCs/>
          <w:rtl/>
        </w:rPr>
        <w:t>וחרבא איהי חתיכת לה להאי טפה לתלת טפין בגין דא אזלא סגולתא דכד כו'.</w:t>
      </w:r>
      <w:r>
        <w:rPr>
          <w:rtl/>
        </w:rPr>
        <w:t xml:space="preserve"> ומפרש עתה הולך סגולתא, דכד נחתא היא כלילא משלש טיפין וכמו שמפרש והולך דכד נחיתת כו' ולבתר חתיכת לה לתלת כו', ורוצה לומר דכד מגיע לחג"ת, בשלשה קוין - מתחלקת לשלש טיפין, וכן שלש טפין דאתמשיכו משלשה מוחין, והוא משם ס"ג דהוא מילוי הוי"ה, והוי"ה הוא חרב כמו שמפרש והולך דרישא דחרבא איהי י' כו', ובו שלשה יודי"ן וזה שאומר דחתיכת לשלש טיפין ,והן בשלשה אבהן - הן כל אלה כו' (איוב לג כט), וכמו שאמרו בתיקוני זוהר חדש שם ושאר מקומות, וזהו הולך סגולתא - כד הולך נעשית סגולתא, וזה שאומר ובג"ד אזלא סגולתא:</w:t>
      </w:r>
    </w:p>
  </w:footnote>
  <w:footnote w:id="2496">
    <w:p w:rsidR="00A13282" w:rsidRDefault="00A13282" w:rsidP="002D629A">
      <w:pPr>
        <w:pStyle w:val="a5"/>
      </w:pPr>
      <w:r>
        <w:rPr>
          <w:rStyle w:val="a7"/>
        </w:rPr>
        <w:footnoteRef/>
      </w:r>
      <w:r>
        <w:t xml:space="preserve"> </w:t>
      </w:r>
      <w:r>
        <w:rPr>
          <w:b/>
          <w:bCs/>
          <w:rtl/>
        </w:rPr>
        <w:t>כתר תורה.</w:t>
      </w:r>
      <w:r>
        <w:rPr>
          <w:rtl/>
        </w:rPr>
        <w:t xml:space="preserve"> בעמודא דאמצעיתא, ומלכות - בשמאלא, כמו שאומר לקמן בריש תיקון נ”ה, וכהונה - בימינא, ואמר ודא רזא דש' רוצה לומר דשי"ן ידוע שהוא בשלשה אבהן, ותלת תגין - שלשה כתרים, והכל בנוק' שהיא נקראת כתר, כתר מלכות, וכמו שאומר לעיל י"ג א', ואמר למעלה - דלמעלה היא יו"ד אחת בעת שהיא בחכמה אע"ג י' דנטילת מיניה שלשה יודי"ן כנ"ל נ"ד ב' מכל מקום הוא בכח אבל היא רק כתר אחת, והוא כתר שם טוב דעולה על גביהן (אבות ד יג), וכמו שכתוב (שיר השירים א ג) לריח שמניך טובים שמן תורק שמך, דהוא במקום השמן, ומשם נקראת שם וכמו שאמרו בזוהר פרשת ויקהל ר' א' בארוכה:</w:t>
      </w:r>
    </w:p>
  </w:footnote>
  <w:footnote w:id="2497">
    <w:p w:rsidR="00A13282" w:rsidRDefault="00A13282" w:rsidP="002D629A">
      <w:pPr>
        <w:pStyle w:val="a5"/>
      </w:pPr>
      <w:r>
        <w:rPr>
          <w:rStyle w:val="a7"/>
        </w:rPr>
        <w:footnoteRef/>
      </w:r>
      <w:r>
        <w:t xml:space="preserve"> </w:t>
      </w:r>
      <w:r>
        <w:rPr>
          <w:b/>
          <w:bCs/>
          <w:rtl/>
        </w:rPr>
        <w:t>וכד איהו בר משכינתיה כו'.</w:t>
      </w:r>
      <w:r>
        <w:rPr>
          <w:rtl/>
        </w:rPr>
        <w:t xml:space="preserve"> כמו חרב חוץ מנרתיקה - והוא דין, אבל בנרתיקה אינה יכולה לחתוך, והוא א' דאדנ"י דממתיק הדין, דהיא אשא סביל אשא, דינא רפיא, והוא דינא בזכותא וכמו שאמרו בזוהר פרשת פקודי רנ"ז א' איהו נטיל ואחיד האי היכלא דאקרי זכותא כו' כד נטיל יצחק היכלא דא כדין כולא איהו לטב כו' עיין שם בדבריו דמסטרא דעובדי כוכבים הוא דינא בלא זכותא אבל בישראל - דינא בזכותא ביחודא ולית ליה רשו לאסטנאה, ועולתה קפצה פיה (איוב ה טז), והוא שאומרין בראש השנה יצחק רבקה, אבל לאומות העולם דמונין לשמשא ולית להו חולקא בסיהרא - הוא להון בלא זכותא, דרבקה - סיהרא, והענין כמו שבארנו לעיל [בד"ה על אלין טיפין, בא"ד. ג.פ.] ששני מיני דינים הם: א' להלחם בחויא, רצועה בישא, והוא דינא קשיא, על ראש רשעים יחול (ירמיהו כג יט, ושם ל כג), וא' הוא לשלח למטרה לבת עין, רחימותא, והן שתי מלחמות ושני דינין, ודינא קדישא הוא התעוררות החיבור ויחוד ושמחה, צחוק עשה לי אלקים, ואלה תולדות יצחק, ישמח ה' במעשיו, והוא כד איהו בנרתיקיה לשלח לבת עין למטרה מה שאין כן ח"ו שפחה כי כו' דין יורד ח"ו, וזהו סוד עון משז"ל וכמו שאמרו בזוהר פרשת בראשית בפקודין אבל בנרתיקה החרב חותכת הטיפה לתלת טיפין ויורה בה כחץ לבת עין והוא בסוד אלף כנ"ל דכלילא משלשה יודי"ן והוא א' של אדנ"י שממתיק הדין והיא רחימותא:</w:t>
      </w:r>
    </w:p>
  </w:footnote>
  <w:footnote w:id="2498">
    <w:p w:rsidR="00A13282" w:rsidRDefault="00A13282" w:rsidP="002D629A">
      <w:pPr>
        <w:pStyle w:val="a5"/>
      </w:pPr>
      <w:r>
        <w:rPr>
          <w:rStyle w:val="a7"/>
        </w:rPr>
        <w:footnoteRef/>
      </w:r>
      <w:r>
        <w:t xml:space="preserve"> </w:t>
      </w:r>
      <w:r>
        <w:rPr>
          <w:b/>
          <w:bCs/>
          <w:rtl/>
        </w:rPr>
        <w:t>ובזמנא דיקו"ק כו'.</w:t>
      </w:r>
      <w:r>
        <w:rPr>
          <w:rtl/>
        </w:rPr>
        <w:t xml:space="preserve"> וכנ"ל שהיא אשא סביל אשא, והן שתי אשות דאיש ואשה, מים רבים לא יוכלו לכבות כו', שלהבת כו' - הכל ברחימותא, ועיין בזוהר פרשת פקודי דהוא סוד השופר בראש השנה לאתחברא בזכותא, והוא שופר הולך סגולתא, דהן תר"ת, שלש טיפין דסגולתא:</w:t>
      </w:r>
    </w:p>
  </w:footnote>
  <w:footnote w:id="2499">
    <w:p w:rsidR="00A13282" w:rsidRDefault="00A13282" w:rsidP="002D629A">
      <w:pPr>
        <w:pStyle w:val="a5"/>
      </w:pPr>
      <w:r>
        <w:rPr>
          <w:rStyle w:val="a7"/>
        </w:rPr>
        <w:footnoteRef/>
      </w:r>
      <w:r>
        <w:t xml:space="preserve"> </w:t>
      </w:r>
      <w:r>
        <w:rPr>
          <w:b/>
          <w:bCs/>
          <w:rtl/>
        </w:rPr>
        <w:t>ובזמנא דאיהי נהרא בגוונהא.</w:t>
      </w:r>
      <w:r>
        <w:rPr>
          <w:rtl/>
        </w:rPr>
        <w:t xml:space="preserve"> רוצה לומר דה' עילאה דהיא ה' אור - נהרא בה' גוונין דילה ועיין לעיל סוף תיקון י”ח ורזא דהאי נקודה מדיד חמש גוונין כו' ואינון כחוטא כו', ובריש תיקון י”ח וה' זמנין אור כו' ובריש תיקון ה' ט"ו וחמש זמנין אור איהו גוון כו' ה' עילאה חמש אור ה' תתאה חמש גוונין דנהרין בהון חמש אור וכד אתפשטת ה' עילאה לאנהרא בה' תתאה כו':</w:t>
      </w:r>
    </w:p>
  </w:footnote>
  <w:footnote w:id="2500">
    <w:p w:rsidR="00A13282" w:rsidRDefault="00A13282" w:rsidP="002D629A">
      <w:pPr>
        <w:pStyle w:val="a5"/>
      </w:pPr>
      <w:r>
        <w:rPr>
          <w:rStyle w:val="a7"/>
        </w:rPr>
        <w:footnoteRef/>
      </w:r>
      <w:r>
        <w:t xml:space="preserve"> </w:t>
      </w:r>
      <w:r>
        <w:rPr>
          <w:b/>
          <w:bCs/>
          <w:rtl/>
        </w:rPr>
        <w:t>וראיתיה.</w:t>
      </w:r>
      <w:r>
        <w:rPr>
          <w:rtl/>
        </w:rPr>
        <w:t xml:space="preserve"> באור, דראיה הוא מחמת האור, דאדם העומד באור אינו רואה את העומד בחושך ועיין מה שנבאר לקמן בתיקון ל’ ע"ז ב' חמש אור אינון ועלייהו אתמר נפתחו השמים ואראה מראות אלקים אימא עילאה מראה סתימא כו', ועיין לעיל ריש תיקון ה' ט"ו א' דודאי כד איהי נהירא בגוונין דילה אתמר בה וראיתיה לזכור ברית עולם וראיתיה בתכשיטהא ככלה כו', ועיין לקמן תיקון ל”ז וראיתיה לזכור ברית עולם אימתי כו' דתתחזי קשת בגוונין נהירין. ואמר לזכור ברית - דע"י שרואה אדם את אשתו מקושטת מתעורר בריתו והוא הזכרון שזוכר בריתו, דהתעוררות הוא ע"י זכרון הברית, וביה הזכרון, ספר זכרון, כמו שאמרו בזוהר פרשת ויקהל ר' א' והוא כל זכורך דבגיניה אשתמודע דכורא דכר והוא מה שכתוב וזכרתי את בריתי יעקב כו' דביה אתכלילן כל השלשה אבהן ונציב לון בארץ, כמו שאמרו בריש פרשת בראשית וזהו והארץ אזכור, ואזכור את בריתי, והכל לאזדווגא עם שכינתא, ועל זה אנו מצפין תמיד ומבקשין זכור ברית כו', ואמר ברית עולם - שהוא יסוד עולם, ועל דא עלמא קיימא כמו שכתוב אם לא בריתי כו', בריתי יומם ולילה היינו מילה ופריעה, שהם שמשא וסיהרא כידוע, חוקות שמים וארץ, שהוא כי כל בשמים ובארץ, וחק הוא כמו שאומר וממאי דחוק כו' דעתיקא קדישא לא נחית כו':</w:t>
      </w:r>
    </w:p>
  </w:footnote>
  <w:footnote w:id="2501">
    <w:p w:rsidR="00A13282" w:rsidRDefault="00A13282" w:rsidP="002D629A">
      <w:pPr>
        <w:pStyle w:val="a5"/>
      </w:pPr>
      <w:r>
        <w:rPr>
          <w:rStyle w:val="a7"/>
        </w:rPr>
        <w:footnoteRef/>
      </w:r>
      <w:r>
        <w:t xml:space="preserve"> </w:t>
      </w:r>
      <w:r>
        <w:rPr>
          <w:b/>
          <w:bCs/>
          <w:rtl/>
        </w:rPr>
        <w:t>טורין רברבין.</w:t>
      </w:r>
      <w:r>
        <w:rPr>
          <w:rtl/>
        </w:rPr>
        <w:t xml:space="preserve"> דכל ו"ק נקראים טורין כמו שאמרו בתיקוני זוהר חדש [דף] ע"ה ב' אבל אבהן הן רברבין לגבי בנין:</w:t>
      </w:r>
    </w:p>
  </w:footnote>
  <w:footnote w:id="2502">
    <w:p w:rsidR="00A13282" w:rsidRDefault="00A13282" w:rsidP="002D629A">
      <w:pPr>
        <w:pStyle w:val="a5"/>
      </w:pPr>
      <w:r>
        <w:rPr>
          <w:rStyle w:val="a7"/>
        </w:rPr>
        <w:footnoteRef/>
      </w:r>
      <w:r>
        <w:t xml:space="preserve"> </w:t>
      </w:r>
      <w:r>
        <w:rPr>
          <w:b/>
          <w:bCs/>
          <w:rtl/>
        </w:rPr>
        <w:t>דהאי אבן כו'.</w:t>
      </w:r>
      <w:r>
        <w:rPr>
          <w:rtl/>
        </w:rPr>
        <w:t xml:space="preserve"> דהיא סלע אבן וכמו שאמרו בתיקוני זוהר חדש שם קום עמודא דאמצעיתא דאנת הוא ו' כליל שית ספירן כו' מאן נפש אויביך סם המות נחש אשת זנונים דמקננא בשבע סלעים ובעלה בשבע טורין, קום באבנין דילך דאסתלק' בטורין לתברא טורין וסלעין דחויא ובגין טורין דילך כו':</w:t>
      </w:r>
    </w:p>
  </w:footnote>
  <w:footnote w:id="2503">
    <w:p w:rsidR="00A13282" w:rsidRDefault="00A13282" w:rsidP="002D629A">
      <w:pPr>
        <w:pStyle w:val="a5"/>
      </w:pPr>
      <w:r>
        <w:rPr>
          <w:rStyle w:val="a7"/>
        </w:rPr>
        <w:footnoteRef/>
      </w:r>
      <w:r>
        <w:t xml:space="preserve"> </w:t>
      </w:r>
      <w:r>
        <w:rPr>
          <w:b/>
          <w:bCs/>
          <w:rtl/>
        </w:rPr>
        <w:t>דאתגזרת כו'.</w:t>
      </w:r>
      <w:r>
        <w:rPr>
          <w:rtl/>
        </w:rPr>
        <w:t xml:space="preserve"> כמו שכתוב (במדבר כא יח) כרוה נדיבי עם, ואבהן אתקינו לה בתלת צלותין ועיין מה שבארנו במקום אחר, דשמא דילה אתבניאת בזמן שנעשו אבהן שלש הויו"ת:</w:t>
      </w:r>
    </w:p>
  </w:footnote>
  <w:footnote w:id="2504">
    <w:p w:rsidR="00A13282" w:rsidRDefault="00A13282" w:rsidP="002D629A">
      <w:pPr>
        <w:pStyle w:val="a5"/>
        <w:rPr>
          <w:rtl/>
        </w:rPr>
      </w:pPr>
      <w:r>
        <w:rPr>
          <w:rStyle w:val="a7"/>
          <w:rtl/>
        </w:rPr>
        <w:footnoteRef/>
      </w:r>
      <w:r>
        <w:rPr>
          <w:rtl/>
        </w:rPr>
        <w:t xml:space="preserve"> </w:t>
      </w:r>
      <w:r>
        <w:rPr>
          <w:b/>
          <w:bCs/>
          <w:rtl/>
        </w:rPr>
        <w:t>ואיהי כתרא.</w:t>
      </w:r>
      <w:r>
        <w:rPr>
          <w:rtl/>
        </w:rPr>
        <w:t xml:space="preserve"> כנ"ל.</w:t>
      </w:r>
    </w:p>
  </w:footnote>
  <w:footnote w:id="2505">
    <w:p w:rsidR="00A13282" w:rsidRDefault="00A13282" w:rsidP="002D629A">
      <w:pPr>
        <w:pStyle w:val="a5"/>
      </w:pPr>
      <w:r>
        <w:rPr>
          <w:rStyle w:val="a7"/>
        </w:rPr>
        <w:footnoteRef/>
      </w:r>
      <w:r>
        <w:t xml:space="preserve"> </w:t>
      </w:r>
      <w:r>
        <w:rPr>
          <w:b/>
          <w:bCs/>
          <w:rtl/>
        </w:rPr>
        <w:t>והאיתנים דאיהי כו'.</w:t>
      </w:r>
      <w:r>
        <w:rPr>
          <w:rtl/>
        </w:rPr>
        <w:t xml:space="preserve"> רוצה לומר דגם בראשם איהי כתרא, והאתנים הן נה"י כמו שבארנו למעלה [ד"ה אמוראים. ג.פ.], והן ו"ק, ספר תורה, כמו שאומר לקמן בריש תיקון כ”ה ואיהי תגא דספר תורה, עטרה על ראש ספר תורה ועיין לעיל נ"ז ב':</w:t>
      </w:r>
    </w:p>
  </w:footnote>
  <w:footnote w:id="2506">
    <w:p w:rsidR="00A13282" w:rsidRDefault="00A13282" w:rsidP="002D629A">
      <w:pPr>
        <w:pStyle w:val="a5"/>
      </w:pPr>
      <w:r>
        <w:rPr>
          <w:rStyle w:val="a7"/>
        </w:rPr>
        <w:footnoteRef/>
      </w:r>
      <w:r>
        <w:t xml:space="preserve"> </w:t>
      </w:r>
      <w:r>
        <w:rPr>
          <w:b/>
          <w:bCs/>
          <w:rtl/>
        </w:rPr>
        <w:t>בגין בעלה.</w:t>
      </w:r>
      <w:r>
        <w:rPr>
          <w:rtl/>
        </w:rPr>
        <w:t xml:space="preserve"> רעיא מהימנא, דהוא הדעת, הנהר, ולכן לא יהבא מימוי כמו שמפרש והולך, ורוצה לומר הסלע דהיא אבן הנ"ל:</w:t>
      </w:r>
    </w:p>
  </w:footnote>
  <w:footnote w:id="2507">
    <w:p w:rsidR="00A13282" w:rsidRDefault="00A13282" w:rsidP="002D629A">
      <w:pPr>
        <w:pStyle w:val="a5"/>
      </w:pPr>
      <w:r>
        <w:rPr>
          <w:rStyle w:val="a7"/>
        </w:rPr>
        <w:footnoteRef/>
      </w:r>
      <w:r>
        <w:t xml:space="preserve"> </w:t>
      </w:r>
      <w:r>
        <w:rPr>
          <w:b/>
          <w:bCs/>
          <w:rtl/>
        </w:rPr>
        <w:t>בר מבעלה כו'.</w:t>
      </w:r>
      <w:r>
        <w:rPr>
          <w:rtl/>
        </w:rPr>
        <w:t xml:space="preserve"> עד כי יבוא שילה (בראשית מט י) כנ"ל ואז (ישעיהו יא ט) ומלאה הארץ דעה כו':</w:t>
      </w:r>
    </w:p>
  </w:footnote>
  <w:footnote w:id="2508">
    <w:p w:rsidR="00A13282" w:rsidRDefault="00A13282" w:rsidP="002D629A">
      <w:pPr>
        <w:pStyle w:val="a5"/>
      </w:pPr>
      <w:r>
        <w:rPr>
          <w:rStyle w:val="a7"/>
        </w:rPr>
        <w:footnoteRef/>
      </w:r>
      <w:r>
        <w:t xml:space="preserve"> </w:t>
      </w:r>
      <w:r>
        <w:rPr>
          <w:b/>
          <w:bCs/>
          <w:rtl/>
        </w:rPr>
        <w:t>דידע לאמשכא לי'.</w:t>
      </w:r>
      <w:r>
        <w:rPr>
          <w:rtl/>
        </w:rPr>
        <w:t xml:space="preserve"> רוצה לומר לההוא נהר. וכאן חסר הרבה:</w:t>
      </w:r>
    </w:p>
  </w:footnote>
  <w:footnote w:id="2509">
    <w:p w:rsidR="00A13282" w:rsidRDefault="00A13282" w:rsidP="002D629A">
      <w:pPr>
        <w:pStyle w:val="a5"/>
      </w:pPr>
      <w:r>
        <w:rPr>
          <w:rStyle w:val="a7"/>
        </w:rPr>
        <w:footnoteRef/>
      </w:r>
      <w:r>
        <w:t xml:space="preserve"> </w:t>
      </w:r>
      <w:r>
        <w:rPr>
          <w:b/>
          <w:bCs/>
          <w:rtl/>
        </w:rPr>
        <w:t xml:space="preserve">לעילא. </w:t>
      </w:r>
      <w:r>
        <w:rPr>
          <w:rtl/>
        </w:rPr>
        <w:t>רוצה לומר לעומקא עילאה, כמו שכתוב (תהלים קל א) ממעמקים קראתיך ה', וכמו שאמרו בזוהר פרשת בשלח ס"ג ב' הכי תאנא כל בר נש דבעי בעותא קמי מלכא בעי לכוונא דעתא ורעותא מעיקרא דכל עיקרין כו' עיין שם בדבריו, ושם ליתא אלא רעותא כמו שאמרו בזוהר פרשת פקודי ר"ס ב' היכלא שביעאה רזא דרזין בלחישו ולא אשתמע, אלא הכא איהו רעותא דלבא לאתכוין ולסלקא רעותא לעילא כו' - והוא בתפלה, דבקריאת שמע וברכותיה שהן שית היכלין הראשונות - בהן כריעה כו' כמו שאמרו בזוהר פרשת בראשית בהיכלות, מה שאין כן כאן דלית דיוקנא דגופא תמן ולית תמן אלא רעותא ולכן שם צריך ממעמקים ובלחישו כנ"ל:</w:t>
      </w:r>
    </w:p>
  </w:footnote>
  <w:footnote w:id="2510">
    <w:p w:rsidR="00A13282" w:rsidRDefault="00A13282" w:rsidP="002D629A">
      <w:pPr>
        <w:pStyle w:val="a5"/>
      </w:pPr>
      <w:r>
        <w:rPr>
          <w:rStyle w:val="a7"/>
        </w:rPr>
        <w:footnoteRef/>
      </w:r>
      <w:r>
        <w:t xml:space="preserve"> </w:t>
      </w:r>
      <w:r>
        <w:rPr>
          <w:b/>
          <w:bCs/>
          <w:rtl/>
        </w:rPr>
        <w:t>כמה עופין כו'.</w:t>
      </w:r>
      <w:r>
        <w:rPr>
          <w:rtl/>
        </w:rPr>
        <w:t xml:space="preserve"> שהן מסטרא דמט"ט, כי עוף השמים יוליך כו' וכמו שאומר לעיל ב' ב' ולקמן תיקון מ”ה:</w:t>
      </w:r>
    </w:p>
  </w:footnote>
  <w:footnote w:id="2511">
    <w:p w:rsidR="00A13282" w:rsidRDefault="00A13282" w:rsidP="002D629A">
      <w:pPr>
        <w:pStyle w:val="a5"/>
      </w:pPr>
      <w:r>
        <w:rPr>
          <w:rStyle w:val="a7"/>
        </w:rPr>
        <w:footnoteRef/>
      </w:r>
      <w:r>
        <w:t xml:space="preserve"> </w:t>
      </w:r>
      <w:r>
        <w:rPr>
          <w:b/>
          <w:bCs/>
          <w:rtl/>
        </w:rPr>
        <w:t>וחיוון כו'.</w:t>
      </w:r>
      <w:r>
        <w:rPr>
          <w:rtl/>
        </w:rPr>
        <w:t xml:space="preserve"> הן מסטרא דארבע חיות, ועיין לקמן ס"ג א' ואינון תרין עשר כו' ואדם רכיב כו', והן שם ע"ב ושם מ"ב וכמו שנבאר שם, ואלו שני השמות הן סוד סליקו ונחיתו, מים ואש, דבהון צלותא סלקא ונחתא, ולכן אמר בחיוון לנטלא לון - להגביה אותם:</w:t>
      </w:r>
    </w:p>
  </w:footnote>
  <w:footnote w:id="2512">
    <w:p w:rsidR="00A13282" w:rsidRDefault="00A13282" w:rsidP="002D629A">
      <w:pPr>
        <w:pStyle w:val="a5"/>
      </w:pPr>
      <w:r>
        <w:rPr>
          <w:rStyle w:val="a7"/>
        </w:rPr>
        <w:footnoteRef/>
      </w:r>
      <w:r>
        <w:t xml:space="preserve"> </w:t>
      </w:r>
      <w:r>
        <w:rPr>
          <w:b/>
          <w:bCs/>
          <w:rtl/>
        </w:rPr>
        <w:t>בין שפתים.</w:t>
      </w:r>
      <w:r>
        <w:rPr>
          <w:rtl/>
        </w:rPr>
        <w:t xml:space="preserve"> כמו שאומרים אדני שפתי כו', שאדנ"י - בשפתי, והיא בין נו"ה, שפתים, בלשון שביניהם, שהיא שריא בהון, ועיין בתיקוני זוהר חדש בארוכה:</w:t>
      </w:r>
    </w:p>
  </w:footnote>
  <w:footnote w:id="2513">
    <w:p w:rsidR="00A13282" w:rsidRDefault="00A13282" w:rsidP="002D629A">
      <w:pPr>
        <w:pStyle w:val="a5"/>
      </w:pPr>
      <w:r>
        <w:rPr>
          <w:rStyle w:val="a7"/>
        </w:rPr>
        <w:footnoteRef/>
      </w:r>
      <w:r>
        <w:t xml:space="preserve"> </w:t>
      </w:r>
      <w:r>
        <w:rPr>
          <w:b/>
          <w:bCs/>
          <w:rtl/>
        </w:rPr>
        <w:t>לעילא לגבי בעלה.</w:t>
      </w:r>
      <w:r>
        <w:rPr>
          <w:rtl/>
        </w:rPr>
        <w:t xml:space="preserve"> שהוא הדעת, והוא ברעותא, ומצלי בשפווי ולשון שהן נו"ה, ושלש צלותין דסלקין לה הן חג"ת, שהן ידים המעלים אותה וזה שאומר בצלותא דשחרית סלקא כו' ויקרא ארץ דהוא שכינתא צלותא:</w:t>
      </w:r>
    </w:p>
  </w:footnote>
  <w:footnote w:id="2514">
    <w:p w:rsidR="00A13282" w:rsidRDefault="00A13282" w:rsidP="002D629A">
      <w:pPr>
        <w:pStyle w:val="a5"/>
      </w:pPr>
      <w:r>
        <w:rPr>
          <w:rStyle w:val="a7"/>
        </w:rPr>
        <w:footnoteRef/>
      </w:r>
      <w:r>
        <w:t xml:space="preserve"> </w:t>
      </w:r>
      <w:r>
        <w:rPr>
          <w:b/>
          <w:bCs/>
          <w:rtl/>
        </w:rPr>
        <w:t>והאיש משתאה כו'.</w:t>
      </w:r>
      <w:r>
        <w:rPr>
          <w:rtl/>
        </w:rPr>
        <w:t xml:space="preserve"> דרבקה היא צלותא כמו שאומר למטה, וצריך להחריש מקודם התפלה ולחשוב על התפלה, דאז התפלה אח"כ שגורה בפיו, דדבר שאדם חושב קודם שידבר הדבר - אח"כ הוא שגור ולא מגומגם, וזהו ענין מה שאמרו צריך לסדר תחלה, וזהו מה שכתוב משתאה לה, וזה מה שאומר ולבתר כו' אם שגורה כו' ורזא דמלה כו' - דאם מחשב על התפלה - אח"כ התפלה שהיא נקבה אשה מקדמת בפיו ושגורה, וזהו זריעת אשה מתחלה, ואמר ההוא דאתמר ביה כו' רוצה לומר כמו שאיש דלמטה משתאה וממתין על התפלה - כן הוא באיש דלמעלה ממתין על הצלותא שכינה ומקבל אותה:</w:t>
      </w:r>
    </w:p>
  </w:footnote>
  <w:footnote w:id="2515">
    <w:p w:rsidR="00A13282" w:rsidRDefault="00A13282" w:rsidP="002D629A">
      <w:pPr>
        <w:pStyle w:val="a5"/>
      </w:pPr>
      <w:r>
        <w:rPr>
          <w:rStyle w:val="a7"/>
        </w:rPr>
        <w:footnoteRef/>
      </w:r>
      <w:r>
        <w:t xml:space="preserve"> </w:t>
      </w:r>
      <w:r>
        <w:rPr>
          <w:b/>
          <w:bCs/>
          <w:rtl/>
        </w:rPr>
        <w:t>ועוד שבשפלנו כו'.</w:t>
      </w:r>
      <w:r>
        <w:rPr>
          <w:rtl/>
        </w:rPr>
        <w:t xml:space="preserve"> עד יזכרנו לטובה - לא גרסינן:</w:t>
      </w:r>
    </w:p>
  </w:footnote>
  <w:footnote w:id="2516">
    <w:p w:rsidR="00A13282" w:rsidRDefault="00A13282" w:rsidP="002D629A">
      <w:pPr>
        <w:pStyle w:val="a5"/>
      </w:pPr>
      <w:r>
        <w:rPr>
          <w:rStyle w:val="a7"/>
        </w:rPr>
        <w:footnoteRef/>
      </w:r>
      <w:r>
        <w:t xml:space="preserve"> </w:t>
      </w:r>
      <w:r>
        <w:rPr>
          <w:b/>
          <w:bCs/>
          <w:rtl/>
        </w:rPr>
        <w:t>והנה רבקה יוצאת.</w:t>
      </w:r>
      <w:r>
        <w:rPr>
          <w:rtl/>
        </w:rPr>
        <w:t xml:space="preserve"> דרבקה היא צלותא כמו שאומר לעיל בתיקון י”ח והוא כברק חצו, דחצו הוא צלותא כמו שאומר לעיל סוף תיקון י”ג, והוא מסטרא דצדיק, ח"י עלמין - ח"י ברכות דצלותא, וברק הוא מסטרא דצדיק כמו שאומר לקמן בתיקון ל’:</w:t>
      </w:r>
    </w:p>
  </w:footnote>
  <w:footnote w:id="2517">
    <w:p w:rsidR="00A13282" w:rsidRDefault="00A13282" w:rsidP="002D629A">
      <w:pPr>
        <w:pStyle w:val="a5"/>
      </w:pPr>
      <w:r>
        <w:rPr>
          <w:rStyle w:val="a7"/>
        </w:rPr>
        <w:footnoteRef/>
      </w:r>
      <w:r>
        <w:t xml:space="preserve"> </w:t>
      </w:r>
      <w:r>
        <w:rPr>
          <w:b/>
          <w:bCs/>
          <w:rtl/>
        </w:rPr>
        <w:t>ואני אענה.</w:t>
      </w:r>
      <w:r>
        <w:rPr>
          <w:rtl/>
        </w:rPr>
        <w:t xml:space="preserve"> רוצה לומר הצלותא, שכינה, אני - אענה - אהיה להם מענה בפיהם, וגם ואני אשמע כנ"ל והאיש משתאה כו':</w:t>
      </w:r>
    </w:p>
  </w:footnote>
  <w:footnote w:id="2518">
    <w:p w:rsidR="00A13282" w:rsidRDefault="00A13282" w:rsidP="002D629A">
      <w:pPr>
        <w:pStyle w:val="a5"/>
      </w:pPr>
      <w:r>
        <w:rPr>
          <w:rStyle w:val="a7"/>
        </w:rPr>
        <w:footnoteRef/>
      </w:r>
      <w:r>
        <w:t xml:space="preserve"> </w:t>
      </w:r>
      <w:r>
        <w:rPr>
          <w:bCs/>
          <w:rtl/>
        </w:rPr>
        <w:t>בכמה תחנונים כו'.</w:t>
      </w:r>
      <w:r>
        <w:rPr>
          <w:rtl/>
        </w:rPr>
        <w:t xml:space="preserve"> דכל הבקשות דצלותא הוא הכל על כלל ישראל דהוא בשכינתא שהיא כלל ישראל וזה שאומר כמה דתיקנו הבוחר כו' והכל עלה וכמו שכתוב בשיר השירים:</w:t>
      </w:r>
    </w:p>
  </w:footnote>
  <w:footnote w:id="2519">
    <w:p w:rsidR="00A13282" w:rsidRDefault="00A13282" w:rsidP="002D629A">
      <w:pPr>
        <w:pStyle w:val="a5"/>
      </w:pPr>
      <w:r>
        <w:rPr>
          <w:rStyle w:val="a7"/>
        </w:rPr>
        <w:footnoteRef/>
      </w:r>
      <w:r>
        <w:t xml:space="preserve"> </w:t>
      </w:r>
      <w:r>
        <w:rPr>
          <w:bCs/>
          <w:rtl/>
        </w:rPr>
        <w:t>וכד קיימין כו'.</w:t>
      </w:r>
      <w:r>
        <w:rPr>
          <w:rtl/>
        </w:rPr>
        <w:t xml:space="preserve"> דיראה הוא בשכינה, ואהבה - בקב"ה, עמודא דאמצעיתא, ולכן במיושב צריך באהבה, ובצלותא, דקיימין קדם מלכא - ביראה, לאכללא מדת יום כו', דצלותא הוא לסלקא שכינה לגביה לכן צריך יראה, וקריאת שמע - לנחתא קב"ה לגבי שכינה, שמע ישראל - ישראל בעלה וכמו שאומר לעיל ג' א' ב' ושאר מקומות, לכן צריך אהבה שם, הבוחר כו', ואהבת כו', וזה שאומר זכאין כו' ולחברא כו', דהן קריאת שמע ותפלה, ולחברא בסמיכות גאולה לתפלה, דהוא חיבור קריאת שמע ותפלה, ואמר בפומייהו - דהוא קול ודבור, קול - דקריאת שמע בקול רם, ודבור - דתפלה בלחש וכמו שאומר לעיל ג' ושאר מקומות:</w:t>
      </w:r>
    </w:p>
  </w:footnote>
  <w:footnote w:id="2520">
    <w:p w:rsidR="00A13282" w:rsidRDefault="00A13282" w:rsidP="002D629A">
      <w:pPr>
        <w:pStyle w:val="a5"/>
      </w:pPr>
      <w:r>
        <w:rPr>
          <w:rStyle w:val="a7"/>
        </w:rPr>
        <w:footnoteRef/>
      </w:r>
      <w:r>
        <w:t xml:space="preserve"> </w:t>
      </w:r>
      <w:r>
        <w:rPr>
          <w:b/>
          <w:bCs/>
          <w:rtl/>
        </w:rPr>
        <w:t>הוא וב"ד.</w:t>
      </w:r>
      <w:r>
        <w:rPr>
          <w:rtl/>
        </w:rPr>
        <w:t xml:space="preserve"> כמו שאמרו (בראשית רבה נא) כל מקום שנאמר וה' כו', ומפרש, ודא שכינתא עלאה ותתאה, ורוצה לומר, הוא - שכינה עילאה, ועבד הלוי הוא (במדבר יח כג), דשלשה דרגין הן: הוא ואתה ואני, נסתר ונמצא ומדבר בעדו, והן שלשה דרגין דכללין כלהו, דאתה הוא מחסד עולם יבנה, אתה כהן לעולם, כמו שאמרו בזוהר פרשת עקב, ואף שאמר באידרא זוטא דמחכמה מתחיל אתה - היינו ע"י דנחית בימינא דכהנא, ואני - מדבר בעדו, בשכינה, דהיא מדברת בעדנו, דהיא כלל ישראל, והיא נקראת בית דין, וכמו שאמרו בזוהר פרשת שופטים, ורוצה לומר דהן שמונה אותיות בשילוב הנ"ל דהוי"ה אדנ"י הן חיות קטנות עם גדולות כמו שאומר לעיל נ"ב ב', והנה בינה עם חג"ת הן חיות גדולות - הוי"ה, ובינה היא נשר הגדול, וחו"ג - אריה ושור, ות"ת - אדם, ונהי"ם - חיות קטנות, אדנ"י כידוע דהן בניינה והיא אדם, והוא שילוב הנ"ל, מים עליונים ומים תחתונים, שמונה אותיות מבינה עד מלכות, והוא חשמ"ל, ח"ש - בצלותא, מ"ל - בקריאת שמע, ואלו שמונה אותיות עם שני אל מלא, דהן ביצירה ועשיה - תרי עלמין דמקננן בהון, הוא חושבן חשמ"ל ועיין מה שבארנו בליקוטים:</w:t>
      </w:r>
    </w:p>
  </w:footnote>
  <w:footnote w:id="2521">
    <w:p w:rsidR="00A13282" w:rsidRDefault="00A13282" w:rsidP="002D629A">
      <w:pPr>
        <w:pStyle w:val="a5"/>
      </w:pPr>
      <w:r>
        <w:rPr>
          <w:rStyle w:val="a7"/>
        </w:rPr>
        <w:footnoteRef/>
      </w:r>
      <w:r>
        <w:t xml:space="preserve"> </w:t>
      </w:r>
      <w:r>
        <w:rPr>
          <w:b/>
          <w:bCs/>
          <w:rtl/>
        </w:rPr>
        <w:t>ודא איהו רזא מי זאת עולה דאיהי קרבנא כו'.</w:t>
      </w:r>
      <w:r>
        <w:rPr>
          <w:rtl/>
        </w:rPr>
        <w:t xml:space="preserve"> רוצה לומר, מי זאת - הוא שכינה עילאה ותתאה, ומפרש - עולה, רוצה לומר קרבן דאיהי קרבנא כו', רוצה לומר התפלה, ומפרש והולך דודאי שכינתא כו' וזהו זאת עולה במי, דעולה היא עולה עד הבינה כמו שאמרו בזוהר ריש פרשת צו ובזוהר פרשת ויקרא:</w:t>
      </w:r>
    </w:p>
  </w:footnote>
  <w:footnote w:id="2522">
    <w:p w:rsidR="00A13282" w:rsidRDefault="00A13282" w:rsidP="002D629A">
      <w:pPr>
        <w:pStyle w:val="a5"/>
      </w:pPr>
      <w:r>
        <w:rPr>
          <w:rStyle w:val="a7"/>
        </w:rPr>
        <w:footnoteRef/>
      </w:r>
      <w:r>
        <w:t xml:space="preserve"> </w:t>
      </w:r>
      <w:r>
        <w:rPr>
          <w:b/>
          <w:bCs/>
          <w:rtl/>
        </w:rPr>
        <w:t>העולה ודאי.</w:t>
      </w:r>
      <w:r>
        <w:rPr>
          <w:rtl/>
        </w:rPr>
        <w:t xml:space="preserve"> רוצה לומר דעולה למעלה וכמו שמפרש והולך זכאה איהו מאן דסליק כו':</w:t>
      </w:r>
    </w:p>
  </w:footnote>
  <w:footnote w:id="2523">
    <w:p w:rsidR="00A13282" w:rsidRDefault="00A13282" w:rsidP="002D629A">
      <w:pPr>
        <w:pStyle w:val="a5"/>
      </w:pPr>
      <w:r>
        <w:rPr>
          <w:rStyle w:val="a7"/>
        </w:rPr>
        <w:footnoteRef/>
      </w:r>
      <w:r>
        <w:t xml:space="preserve"> </w:t>
      </w:r>
      <w:r>
        <w:rPr>
          <w:b/>
          <w:bCs/>
          <w:rtl/>
        </w:rPr>
        <w:t>דאיהו שאיל בגינה כו'.</w:t>
      </w:r>
      <w:r>
        <w:rPr>
          <w:rtl/>
        </w:rPr>
        <w:t xml:space="preserve"> רוצה לומר מי כו' - ע"י מי עולה זאת, ואמר עולה ודאי כנ"ל דסלקא כו' והיא קרבן עולה כנ"ל:</w:t>
      </w:r>
    </w:p>
  </w:footnote>
  <w:footnote w:id="2524">
    <w:p w:rsidR="00A13282" w:rsidRDefault="00A13282" w:rsidP="002D629A">
      <w:pPr>
        <w:pStyle w:val="a5"/>
      </w:pPr>
      <w:r>
        <w:rPr>
          <w:rStyle w:val="a7"/>
        </w:rPr>
        <w:footnoteRef/>
      </w:r>
      <w:r>
        <w:t xml:space="preserve"> </w:t>
      </w:r>
      <w:r>
        <w:rPr>
          <w:b/>
          <w:bCs/>
          <w:rtl/>
        </w:rPr>
        <w:t>כטורא דסיני.</w:t>
      </w:r>
      <w:r>
        <w:rPr>
          <w:rtl/>
        </w:rPr>
        <w:t xml:space="preserve"> עיין לקמן ריש תיקון כ"ב בארוכה:</w:t>
      </w:r>
    </w:p>
  </w:footnote>
  <w:footnote w:id="2525">
    <w:p w:rsidR="00A13282" w:rsidRDefault="00A13282" w:rsidP="002D629A">
      <w:pPr>
        <w:pStyle w:val="a5"/>
      </w:pPr>
      <w:r>
        <w:rPr>
          <w:rStyle w:val="a7"/>
        </w:rPr>
        <w:footnoteRef/>
      </w:r>
      <w:r>
        <w:t xml:space="preserve"> </w:t>
      </w:r>
      <w:r>
        <w:rPr>
          <w:b/>
          <w:bCs/>
          <w:rtl/>
        </w:rPr>
        <w:t>מן דבורא.</w:t>
      </w:r>
      <w:r>
        <w:rPr>
          <w:rtl/>
        </w:rPr>
        <w:t xml:space="preserve"> כמו שאמרו בהקדמת זוהר:</w:t>
      </w:r>
    </w:p>
  </w:footnote>
  <w:footnote w:id="2526">
    <w:p w:rsidR="00A13282" w:rsidRDefault="00A13282" w:rsidP="002D629A">
      <w:pPr>
        <w:pStyle w:val="a5"/>
      </w:pPr>
      <w:r>
        <w:rPr>
          <w:rStyle w:val="a7"/>
        </w:rPr>
        <w:footnoteRef/>
      </w:r>
      <w:r>
        <w:t xml:space="preserve"> </w:t>
      </w:r>
      <w:r>
        <w:rPr>
          <w:b/>
          <w:bCs/>
          <w:rtl/>
        </w:rPr>
        <w:t>דהוא מר.</w:t>
      </w:r>
      <w:r>
        <w:rPr>
          <w:rtl/>
        </w:rPr>
        <w:t xml:space="preserve"> דהוא בשמים ראש, ראש לכל הבשמים, מר דרור כו', דאברהם ראש אמנה, והוא הר המור, הר המוריה:</w:t>
      </w:r>
    </w:p>
  </w:footnote>
  <w:footnote w:id="2527">
    <w:p w:rsidR="00A13282" w:rsidRDefault="00A13282" w:rsidP="002D629A">
      <w:pPr>
        <w:pStyle w:val="a5"/>
      </w:pPr>
      <w:r>
        <w:rPr>
          <w:rStyle w:val="a7"/>
        </w:rPr>
        <w:footnoteRef/>
      </w:r>
      <w:r>
        <w:t xml:space="preserve"> </w:t>
      </w:r>
      <w:r>
        <w:rPr>
          <w:b/>
          <w:bCs/>
          <w:rtl/>
        </w:rPr>
        <w:t>ועוד מקוטרת כו'.</w:t>
      </w:r>
      <w:r>
        <w:rPr>
          <w:rtl/>
        </w:rPr>
        <w:t xml:space="preserve"> רוצה לומר מקטרת - שקשור במור, והוא נצח, והוא צרור במור - צרור החיים, ועיין מה שבארנו בספרא דצניעותא פ"ה בחמשה חי ים, ואמרה שכינה צרור המור דודי לי, דנצח איהו דידה, וע"י דחסד קשור בנצח - על ידי זה דודי לי, לכן בין שדי ילין, דשדים דידה הוא דרגא דשרה אשת אברהם, כי אשה יפת מראה את (בראשית יב יא), הוד יפיה (ברכות י ב), כמו שאמרו בהיכלות פרשת בראשית:</w:t>
      </w:r>
    </w:p>
  </w:footnote>
  <w:footnote w:id="2528">
    <w:p w:rsidR="00A13282" w:rsidRDefault="00A13282" w:rsidP="002D629A">
      <w:pPr>
        <w:pStyle w:val="a5"/>
      </w:pPr>
      <w:r>
        <w:rPr>
          <w:rStyle w:val="a7"/>
        </w:rPr>
        <w:footnoteRef/>
      </w:r>
      <w:r>
        <w:t xml:space="preserve"> </w:t>
      </w:r>
      <w:r>
        <w:rPr>
          <w:b/>
          <w:bCs/>
          <w:rtl/>
        </w:rPr>
        <w:t>הה"ד נעימות כו'.</w:t>
      </w:r>
      <w:r>
        <w:rPr>
          <w:rtl/>
        </w:rPr>
        <w:t xml:space="preserve"> בימינך - הוא חסד, ונעימות - הוא נעים זמירות, שכינה, דוד מלכא, דסלקא ביה חסדי דוד האמנים:</w:t>
      </w:r>
    </w:p>
  </w:footnote>
  <w:footnote w:id="2529">
    <w:p w:rsidR="00A13282" w:rsidRDefault="00A13282" w:rsidP="002D629A">
      <w:pPr>
        <w:pStyle w:val="a5"/>
      </w:pPr>
      <w:r>
        <w:rPr>
          <w:rStyle w:val="a7"/>
        </w:rPr>
        <w:footnoteRef/>
      </w:r>
      <w:r>
        <w:t xml:space="preserve"> </w:t>
      </w:r>
      <w:r>
        <w:rPr>
          <w:b/>
          <w:bCs/>
          <w:rtl/>
        </w:rPr>
        <w:t>ולבונה דא כו'.</w:t>
      </w:r>
      <w:r>
        <w:rPr>
          <w:rtl/>
        </w:rPr>
        <w:t xml:space="preserve"> דקאי גם כן אקטורת ולבונה אדום והוא הוד כו', וכאן כל השם: ל"ב, ונו"ן שערי בינה, וו"ה:</w:t>
      </w:r>
    </w:p>
  </w:footnote>
  <w:footnote w:id="2530">
    <w:p w:rsidR="00A13282" w:rsidRDefault="00A13282" w:rsidP="002D629A">
      <w:pPr>
        <w:pStyle w:val="a5"/>
      </w:pPr>
      <w:r>
        <w:rPr>
          <w:rStyle w:val="a7"/>
        </w:rPr>
        <w:footnoteRef/>
      </w:r>
      <w:r>
        <w:t xml:space="preserve"> </w:t>
      </w:r>
      <w:r>
        <w:rPr>
          <w:b/>
          <w:bCs/>
          <w:rtl/>
        </w:rPr>
        <w:t>מכל אבקת כו'.</w:t>
      </w:r>
      <w:r>
        <w:rPr>
          <w:rtl/>
        </w:rPr>
        <w:t xml:space="preserve"> דגם כן מקוטרת כנ"ל, וכל - הוא יסוד, ואבקת הוא דרגא ויאבק איש כו', וצדיק הוא הרוכל דשקיל מכולא דא יהיב כו' כמו שאמרו בסוף תיקוני זוהר חדש, ומערב כולא:</w:t>
      </w:r>
    </w:p>
  </w:footnote>
  <w:footnote w:id="2531">
    <w:p w:rsidR="00A13282" w:rsidRDefault="00A13282" w:rsidP="002D629A">
      <w:pPr>
        <w:pStyle w:val="a5"/>
      </w:pPr>
      <w:r>
        <w:rPr>
          <w:rStyle w:val="a7"/>
        </w:rPr>
        <w:footnoteRef/>
      </w:r>
      <w:r>
        <w:t xml:space="preserve"> </w:t>
      </w:r>
      <w:r>
        <w:rPr>
          <w:b/>
          <w:bCs/>
          <w:rtl/>
        </w:rPr>
        <w:t>גם בלא דעת כו'.</w:t>
      </w:r>
      <w:r>
        <w:rPr>
          <w:rtl/>
        </w:rPr>
        <w:t xml:space="preserve"> דהצלותא היא נפש כמו שכתוב (שמואל א א טו) ואשפוך את נפשי כו', ודעת היא לכוין לשכינה, פנימית התפלה, ולילה ללילה יחוה דעת, דהן הצלותין דצריך לאמשכא לה נהר בעלה, ואמר לא טוב, דבצלותא, מצא אשה מצא טוב ויפק רצון מה', יהיו לרצון אמרי פי, ועיין בזוהר חדש ריש פרשת חקת, אבל כאן - לא טוב, והפוכיה הא כו' כנ"ל:</w:t>
      </w:r>
    </w:p>
  </w:footnote>
  <w:footnote w:id="2532">
    <w:p w:rsidR="00A13282" w:rsidRDefault="00A13282" w:rsidP="002D629A">
      <w:pPr>
        <w:pStyle w:val="a5"/>
      </w:pPr>
      <w:r>
        <w:rPr>
          <w:rStyle w:val="a7"/>
        </w:rPr>
        <w:footnoteRef/>
      </w:r>
      <w:r>
        <w:t xml:space="preserve"> </w:t>
      </w:r>
      <w:r>
        <w:rPr>
          <w:b/>
          <w:bCs/>
          <w:rtl/>
        </w:rPr>
        <w:t>חיון דמרכבתא וגלגלי דכרסיא כו'.</w:t>
      </w:r>
      <w:r>
        <w:rPr>
          <w:rtl/>
        </w:rPr>
        <w:t xml:space="preserve"> הן ארבע חיות דפשוטו, ועשרה גלגלים דמלואו, חיות ואדם על הכסא, וכן במט"ט וכמו שאומר לקמן בתיקון כ”ב ס"ג א':</w:t>
      </w:r>
    </w:p>
  </w:footnote>
  <w:footnote w:id="2533">
    <w:p w:rsidR="00A13282" w:rsidRDefault="00A13282" w:rsidP="002D629A">
      <w:pPr>
        <w:pStyle w:val="a5"/>
      </w:pPr>
      <w:r>
        <w:rPr>
          <w:rStyle w:val="a7"/>
        </w:rPr>
        <w:footnoteRef/>
      </w:r>
      <w:r>
        <w:t xml:space="preserve"> </w:t>
      </w:r>
      <w:r>
        <w:rPr>
          <w:b/>
          <w:bCs/>
          <w:rtl/>
        </w:rPr>
        <w:t>ופניהם וכנפיהם כו'.</w:t>
      </w:r>
      <w:r>
        <w:rPr>
          <w:rtl/>
        </w:rPr>
        <w:t xml:space="preserve"> ופניהם וכנפיהם דא רזא דחשמ"ל, חיות קטנות עם גדולות, ואדם על גביהן כמו שאומר לקמן תיקון כ”ב וכנ"ל:</w:t>
      </w:r>
    </w:p>
  </w:footnote>
  <w:footnote w:id="2534">
    <w:p w:rsidR="00A13282" w:rsidRDefault="00A13282" w:rsidP="002D629A">
      <w:pPr>
        <w:pStyle w:val="a5"/>
      </w:pPr>
      <w:r>
        <w:rPr>
          <w:rStyle w:val="a7"/>
        </w:rPr>
        <w:footnoteRef/>
      </w:r>
      <w:r>
        <w:t xml:space="preserve"> </w:t>
      </w:r>
      <w:r>
        <w:rPr>
          <w:b/>
          <w:bCs/>
          <w:rtl/>
        </w:rPr>
        <w:t>וכד סלקת כו'.</w:t>
      </w:r>
      <w:r>
        <w:rPr>
          <w:rtl/>
        </w:rPr>
        <w:t xml:space="preserve"> דסלקת ברזא דיוד, שחורה אני ונאוה כו', וכיונה לגבי בעלה, פתחי לי כו' יונתי כו', אבל כד נחתת איהי ברזא דהא מליא מכל סטרין כמו שמפרש והולך:</w:t>
      </w:r>
    </w:p>
  </w:footnote>
  <w:footnote w:id="2535">
    <w:p w:rsidR="00A13282" w:rsidRDefault="00A13282" w:rsidP="002D629A">
      <w:pPr>
        <w:pStyle w:val="a5"/>
      </w:pPr>
      <w:r>
        <w:rPr>
          <w:rStyle w:val="a7"/>
        </w:rPr>
        <w:footnoteRef/>
      </w:r>
      <w:r>
        <w:t xml:space="preserve"> </w:t>
      </w:r>
      <w:r>
        <w:rPr>
          <w:b/>
          <w:bCs/>
          <w:rtl/>
        </w:rPr>
        <w:t>למאן נחתא כו'.</w:t>
      </w:r>
      <w:r>
        <w:rPr>
          <w:rtl/>
        </w:rPr>
        <w:t xml:space="preserve"> וכמו שכתוב פותח את ידך - יודי"ך, את יוד דהוא קמץ, בפתח - בה', דהוא פתיחת יד בה' אצבעאן, ומשביע לכל חי רצון וכמו שמפרש והולך לכל חד כו':</w:t>
      </w:r>
    </w:p>
  </w:footnote>
  <w:footnote w:id="2536">
    <w:p w:rsidR="00A13282" w:rsidRDefault="00A13282" w:rsidP="002D629A">
      <w:pPr>
        <w:pStyle w:val="a5"/>
      </w:pPr>
      <w:r>
        <w:rPr>
          <w:rStyle w:val="a7"/>
        </w:rPr>
        <w:footnoteRef/>
      </w:r>
      <w:r>
        <w:t xml:space="preserve"> </w:t>
      </w:r>
      <w:r>
        <w:rPr>
          <w:b/>
          <w:bCs/>
          <w:rtl/>
        </w:rPr>
        <w:t>ד"א אם כו'.</w:t>
      </w:r>
      <w:r>
        <w:rPr>
          <w:rtl/>
        </w:rPr>
        <w:t xml:space="preserve"> דלמעלה נ"ה ד' פירש אם - על שכינה תתאה, אימא תתאה והיא צלותא דחול, וכאן פירש על אימא עילאה, צלותא דשבת:</w:t>
      </w:r>
    </w:p>
  </w:footnote>
  <w:footnote w:id="2537">
    <w:p w:rsidR="00A13282" w:rsidRDefault="00A13282" w:rsidP="002D629A">
      <w:pPr>
        <w:pStyle w:val="a5"/>
      </w:pPr>
      <w:r>
        <w:rPr>
          <w:rStyle w:val="a7"/>
        </w:rPr>
        <w:footnoteRef/>
      </w:r>
      <w:r>
        <w:t xml:space="preserve"> </w:t>
      </w:r>
      <w:r>
        <w:rPr>
          <w:b/>
          <w:bCs/>
          <w:rtl/>
        </w:rPr>
        <w:t>דצריכין שפוון לקבלא לה כו'.</w:t>
      </w:r>
      <w:r>
        <w:rPr>
          <w:rtl/>
        </w:rPr>
        <w:t xml:space="preserve"> רוצה לומר לקבל שבת מבעוד יום, דשבת בא ממילא והוא שכינה תתאה, וכידוע דתיקון התפלה דחול הוא בשבת ממילא, ולכן אין תפלין בשבת, וקבלת השבת הוא שכינה עלאה והוא הכנה לתפלת השבת, והוא קבלת נשמה יתירה, ונשמה הוא מבינה ולכן אומרים נשמת כל חי וכמו שמפרש והולך, ומפרש דכל ח"י הוא צדיק כידוע, והוא יום השבת כמו שאמרו בזוהר פרשת בראשית ולקמן תיקון כ”ב ושאר מקומות, והקבלה והתפלה הוא בפה ולשון שהוא בין השפתים והן נהי"ם, שהן תיקוני שכינה תתאה, ופה הוא שבת, וכלילא משלשה אבהן כמו שאומר לקמן שבת איהי שכינתא תתאה כלילא כו' והן ז"ת ועלייהו שריא אמא עלאה, ואמר דצריכין שפוון כו' רוצה לומר דזה שאומר אם כו' בין שפתים:</w:t>
      </w:r>
    </w:p>
  </w:footnote>
  <w:footnote w:id="2538">
    <w:p w:rsidR="00A13282" w:rsidRDefault="00A13282" w:rsidP="002D629A">
      <w:pPr>
        <w:pStyle w:val="a5"/>
      </w:pPr>
      <w:r>
        <w:rPr>
          <w:rStyle w:val="a7"/>
        </w:rPr>
        <w:footnoteRef/>
      </w:r>
      <w:r>
        <w:t xml:space="preserve"> </w:t>
      </w:r>
      <w:r>
        <w:rPr>
          <w:b/>
          <w:bCs/>
          <w:rtl/>
        </w:rPr>
        <w:t>דאיהי נשמת כל חי.</w:t>
      </w:r>
      <w:r>
        <w:rPr>
          <w:rtl/>
        </w:rPr>
        <w:t xml:space="preserve"> רוצה לומר נשמה הנתוספת בשבת על הצדיקים כמו שמפרש והולך על ראש צדיק, רוצה לומר למעלה - דרגא דצדיק, וכן למטה על הצדיקים, ורוצה לומר דלכן אומרים נשמת כל חי, וכל - הוא צדיק דכולל כל האברים וכל הפקודים כמו שאומר לעיל ל"ח א' ושאר מקומות, וכן נקרא חי - ח"י עלמין, דכולל ח"י טורי אפרסמוני דכיא, שהן ח"י חוליין, והוא אבר חי דכל דאכיל מניה הוא חי כו', והוא ע"י בינה, נשמת חיים, ומניה פרחין נשמתין לכל חי וזהו כל חי דכליל כל ח"י והכל ע"י הבינה דמינה הן הנשמתין דשריין ביה:</w:t>
      </w:r>
    </w:p>
  </w:footnote>
  <w:footnote w:id="2539">
    <w:p w:rsidR="00A13282" w:rsidRDefault="00A13282" w:rsidP="002D629A">
      <w:pPr>
        <w:pStyle w:val="a5"/>
      </w:pPr>
      <w:r>
        <w:rPr>
          <w:rStyle w:val="a7"/>
        </w:rPr>
        <w:footnoteRef/>
      </w:r>
      <w:r>
        <w:t xml:space="preserve"> </w:t>
      </w:r>
      <w:r>
        <w:rPr>
          <w:b/>
          <w:bCs/>
          <w:rtl/>
        </w:rPr>
        <w:t>איהי נחתא על ראש צדיק.</w:t>
      </w:r>
      <w:r>
        <w:rPr>
          <w:rtl/>
        </w:rPr>
        <w:t xml:space="preserve"> כמו שכתוב (משלי י ו) וברכות לראש צדיק ועיין לקמן צ"ב א' ב' ברכה וכלא אמא עלאה כו' ואיהי ברכת ה' כו', וכן היא הנשמה דנחתא על ראש הצדיקים כנ"ל:</w:t>
      </w:r>
    </w:p>
  </w:footnote>
  <w:footnote w:id="2540">
    <w:p w:rsidR="00A13282" w:rsidRDefault="00A13282" w:rsidP="002D629A">
      <w:pPr>
        <w:pStyle w:val="a5"/>
      </w:pPr>
      <w:r>
        <w:rPr>
          <w:rStyle w:val="a7"/>
        </w:rPr>
        <w:footnoteRef/>
      </w:r>
      <w:r>
        <w:t xml:space="preserve"> </w:t>
      </w:r>
      <w:r>
        <w:rPr>
          <w:b/>
          <w:bCs/>
          <w:rtl/>
        </w:rPr>
        <w:t>דאיהו יום השביעי.</w:t>
      </w:r>
      <w:r>
        <w:rPr>
          <w:rtl/>
        </w:rPr>
        <w:t xml:space="preserve"> ובה - ויברך אלקים את יום השביעי:</w:t>
      </w:r>
    </w:p>
  </w:footnote>
  <w:footnote w:id="2541">
    <w:p w:rsidR="00A13282" w:rsidRDefault="00A13282" w:rsidP="002D629A">
      <w:pPr>
        <w:pStyle w:val="a5"/>
      </w:pPr>
      <w:r>
        <w:rPr>
          <w:rStyle w:val="a7"/>
        </w:rPr>
        <w:footnoteRef/>
      </w:r>
      <w:r>
        <w:t xml:space="preserve"> </w:t>
      </w:r>
      <w:r>
        <w:rPr>
          <w:b/>
          <w:bCs/>
          <w:rtl/>
        </w:rPr>
        <w:t>לשון למודים.</w:t>
      </w:r>
      <w:r>
        <w:rPr>
          <w:rtl/>
        </w:rPr>
        <w:t xml:space="preserve"> רוצה לומר, דהוא לשון, בין למודי ה' - נו"ה, שהן השפתים, ורוצה לומר וזהו בין שפתים כנ"ל, והוא אדנ"י שפתי תפתח, ופי - כמו שמפרש והולך איהי פה דאתפתחת כו', וכמו שכתוב (יחזקאל מו א) ששת ימים יהיה סגור וביום השביעי יפתח, ובחול - אדנ"י שפתי תפתח, הוא היכל דאתפתחת לגבי אדנ"י, וכמו שאומר לעיל בתיקון י”ח, והוא בהיכלות, אבל בשבת איהי אתפתחת לקבל אמא עלאה:</w:t>
      </w:r>
    </w:p>
  </w:footnote>
  <w:footnote w:id="2542">
    <w:p w:rsidR="00A13282" w:rsidRDefault="00A13282" w:rsidP="002D629A">
      <w:pPr>
        <w:pStyle w:val="a5"/>
      </w:pPr>
      <w:r>
        <w:rPr>
          <w:rStyle w:val="a7"/>
        </w:rPr>
        <w:footnoteRef/>
      </w:r>
      <w:r>
        <w:t xml:space="preserve"> </w:t>
      </w:r>
      <w:r>
        <w:rPr>
          <w:b/>
          <w:bCs/>
          <w:rtl/>
        </w:rPr>
        <w:t>בע"ש כו'.</w:t>
      </w:r>
      <w:r>
        <w:rPr>
          <w:rtl/>
        </w:rPr>
        <w:t xml:space="preserve"> דמעלי שבתא הוא במלכות, וכמו שאמרו בזוהר פרשת בראשית ה' ב' ואיהי אתפתחת בערב שבת, וביום השבת - צדיק, שריא אמא על הלשון בתוך פה, והוא הצלותא - פה ולשון, דהיא פה תורה שבעל פה וכמו שאומר לעיל י"ג א' (בהקדמה אחרת. ג.פ.) פומא - מלכות, ונו"ה קיימין עלה, שלשה עדרי כו', והן לשון ושפתים:</w:t>
      </w:r>
    </w:p>
  </w:footnote>
  <w:footnote w:id="2543">
    <w:p w:rsidR="00A13282" w:rsidRDefault="00A13282" w:rsidP="002D629A">
      <w:pPr>
        <w:pStyle w:val="a5"/>
      </w:pPr>
      <w:r>
        <w:rPr>
          <w:rStyle w:val="a7"/>
        </w:rPr>
        <w:footnoteRef/>
      </w:r>
      <w:r>
        <w:t xml:space="preserve"> </w:t>
      </w:r>
      <w:r>
        <w:rPr>
          <w:b/>
          <w:bCs/>
          <w:rtl/>
        </w:rPr>
        <w:t>דהאי צלותא דשבת אתקריאת קבלה.</w:t>
      </w:r>
      <w:r>
        <w:rPr>
          <w:rtl/>
        </w:rPr>
        <w:t xml:space="preserve"> דבחול היא בנה"י - מקום המלכות, אבל בשבת היא בחג"ת - מקום הבינה, ועיין לקמן ס"א ב' איהי הלכה דמלכא כד איהי אזלת גביה בתרין שוקין דאינון תרי סמכי קשוט, וכד סליקת בגופא בתרין דרועין דמלכא אתקריאת קבלה, רוצה לומר דשוקין הן מקום הליכה, וידין הן מקום הקבלה לקבלא אותה:</w:t>
      </w:r>
    </w:p>
  </w:footnote>
  <w:footnote w:id="2544">
    <w:p w:rsidR="00A13282" w:rsidRDefault="00A13282" w:rsidP="002D629A">
      <w:pPr>
        <w:pStyle w:val="a5"/>
      </w:pPr>
      <w:r>
        <w:rPr>
          <w:rStyle w:val="a7"/>
        </w:rPr>
        <w:footnoteRef/>
      </w:r>
      <w:r>
        <w:t xml:space="preserve"> </w:t>
      </w:r>
      <w:r>
        <w:rPr>
          <w:b/>
          <w:bCs/>
          <w:rtl/>
        </w:rPr>
        <w:t>ומינה מקבלין כו'.</w:t>
      </w:r>
      <w:r>
        <w:rPr>
          <w:rtl/>
        </w:rPr>
        <w:t xml:space="preserve"> רוצה לומר מבינה דהיא אם הבנים דינקא להון ויהבא לון כל סיפוקיהון, ועיין לעיל ל"ח א' ובהון אתחברת אורייתא דבכתב ואורייתא דבעל פה כו', וחבורא דתרווייהו רחם כו' ובההוא זמנה אינון אברים מקבלין ע"י צנורין כו', והכל ע"י אמא עלאה כמו שבארנו שם עיין שם:</w:t>
      </w:r>
    </w:p>
  </w:footnote>
  <w:footnote w:id="2545">
    <w:p w:rsidR="00A13282" w:rsidRDefault="00A13282" w:rsidP="002D629A">
      <w:pPr>
        <w:pStyle w:val="a5"/>
      </w:pPr>
      <w:r>
        <w:rPr>
          <w:rStyle w:val="a7"/>
        </w:rPr>
        <w:footnoteRef/>
      </w:r>
      <w:r>
        <w:t xml:space="preserve"> </w:t>
      </w:r>
      <w:r>
        <w:rPr>
          <w:b/>
          <w:bCs/>
          <w:rtl/>
        </w:rPr>
        <w:t>ובה צלותא דב"נ מקובלת כו'.</w:t>
      </w:r>
      <w:r>
        <w:rPr>
          <w:rtl/>
        </w:rPr>
        <w:t xml:space="preserve"> דשם אין שטן מקטרג, וכל תפלה שמגיע לשם אין חוזרת ריקם, (שמואל א א יא) ותדור נדר על ה', ותתפלל חנה על ה' (שם א א י), ואיהי ימינו פשוטה לקבל שבים, וביום הכפורים, דרגא דידה, לית ליה רשו לשטן כו':</w:t>
      </w:r>
    </w:p>
  </w:footnote>
  <w:footnote w:id="2546">
    <w:p w:rsidR="00A13282" w:rsidRDefault="00A13282" w:rsidP="002D629A">
      <w:pPr>
        <w:pStyle w:val="a5"/>
      </w:pPr>
      <w:r>
        <w:rPr>
          <w:rStyle w:val="a7"/>
        </w:rPr>
        <w:footnoteRef/>
      </w:r>
      <w:r>
        <w:t xml:space="preserve"> </w:t>
      </w:r>
      <w:r>
        <w:rPr>
          <w:b/>
          <w:bCs/>
          <w:rtl/>
        </w:rPr>
        <w:t>ואיהי צלותא כו'.</w:t>
      </w:r>
      <w:r>
        <w:rPr>
          <w:rtl/>
        </w:rPr>
        <w:t xml:space="preserve"> שהיא דרגא דתשובה, ואתפתחת באלו הימים, ועיין בפ"ב דספרא דצניעותא ולכן דרשו כו':</w:t>
      </w:r>
    </w:p>
  </w:footnote>
  <w:footnote w:id="2547">
    <w:p w:rsidR="00A13282" w:rsidRDefault="00A13282" w:rsidP="002D629A">
      <w:pPr>
        <w:pStyle w:val="a5"/>
      </w:pPr>
      <w:r>
        <w:rPr>
          <w:rStyle w:val="a7"/>
        </w:rPr>
        <w:footnoteRef/>
      </w:r>
      <w:r>
        <w:t xml:space="preserve"> </w:t>
      </w:r>
      <w:r>
        <w:rPr>
          <w:b/>
          <w:bCs/>
          <w:rtl/>
        </w:rPr>
        <w:t>ואיהי ה' עלאה כו'.</w:t>
      </w:r>
      <w:r>
        <w:rPr>
          <w:rtl/>
        </w:rPr>
        <w:t xml:space="preserve"> והן יום הכפורים עם עשרת ימי תשובה הנ"ל, והנה ה' זו אע"ג שהיא ביום הכפורים מכל מקום היא בה' ימים עם ארבעת הימים שבין יום הכפורים לסוכות, לכן אמרו שכולן הן ימי כפרה, ושבעה ימים של סוכות הן בז"א, בשבע ספירות שבו, ושמיני עצרת היא נוק' דז"א, והן ארבע אותיות הוי"ה כסדרן, בארבעה פרצופין, ותחלת כולם מקרא קדש שבתון, והן ארבעה: ראש השנה ויום הכפורים ויו"ט ראשון של חג ושמיני עצרת. והנה נתגלה בחינה אחרונה שבכולן, גילוי אחר גילוי, בחכמה, בחינה אחרונה שבו נעלם בבינה יום הכפורים, ואין לו יום בפני עצמו, מה שאין כן בה' עילאה, ה' ימים, ובז"א ניתוסף בחינת מלכות מלבד ו"ק דיליה, והוא עטרת היסוד, דוד מלכא, הושענא רבא, וכאן נשלם מה שחסר ביו"ד בחינה עשירית, מלכות, בחינה אחרונה הנ"ל, והן כ"א ימים - יה"ו, וסוכות נגד ז"א, ובו יורדין החסדים והן הסוכה ולולב והקפות, הכל כידוע, ומלכות - בה יורדין הגבורות כידוע, לכן בשמיני עצרת מזכירין גבורות גשמים, ובה - יקוו המים אל מקום אחד, ונעשין בה הכל בסוד בית אחד של תפילין, וכיוצא, והיא, אף על פי שהיא חג בפני עצמו, פרצוף בפני עצמו, מכל מקום היא תשלומין דראשון של סוכות - בעלה, כי ברא ירית ויהיב לברתא, ומניה אתזין ברתא, ובה - והיית אך שמח, דוד מפזז ומכרכר, אך שנכללת מכל הא"ך ימים, וכל זה הכל בבינה, חודש השביעי, והיא סוכה שמסכך על הבנים, אם הבנים שמחה:</w:t>
      </w:r>
    </w:p>
  </w:footnote>
  <w:footnote w:id="2548">
    <w:p w:rsidR="00A13282" w:rsidRDefault="00A13282" w:rsidP="002D629A">
      <w:pPr>
        <w:pStyle w:val="a5"/>
      </w:pPr>
      <w:r>
        <w:rPr>
          <w:rStyle w:val="a7"/>
        </w:rPr>
        <w:footnoteRef/>
      </w:r>
      <w:r>
        <w:t xml:space="preserve"> </w:t>
      </w:r>
      <w:r>
        <w:rPr>
          <w:b/>
          <w:bCs/>
          <w:rtl/>
        </w:rPr>
        <w:t>אבל שבת כו'.</w:t>
      </w:r>
      <w:r>
        <w:rPr>
          <w:rtl/>
        </w:rPr>
        <w:t xml:space="preserve"> רוצה לומר דצלותא דשבת היא אמא עלאה, אבל שבת בעצמה כו' וכנ"ל:</w:t>
      </w:r>
    </w:p>
  </w:footnote>
  <w:footnote w:id="2549">
    <w:p w:rsidR="00A13282" w:rsidRDefault="00A13282" w:rsidP="002D629A">
      <w:pPr>
        <w:pStyle w:val="a5"/>
      </w:pPr>
      <w:r>
        <w:rPr>
          <w:rStyle w:val="a7"/>
        </w:rPr>
        <w:footnoteRef/>
      </w:r>
      <w:r>
        <w:t xml:space="preserve"> </w:t>
      </w:r>
      <w:r>
        <w:rPr>
          <w:b/>
          <w:bCs/>
          <w:rtl/>
        </w:rPr>
        <w:t>כלילא כו'.</w:t>
      </w:r>
      <w:r>
        <w:rPr>
          <w:rtl/>
        </w:rPr>
        <w:t xml:space="preserve"> דלא אשתבקית מינייהו לעלמין, ובזה הנערה כו' כמו שאמרו בזוהר פרשת פקודי עיין שם:</w:t>
      </w:r>
    </w:p>
  </w:footnote>
  <w:footnote w:id="2550">
    <w:p w:rsidR="00A13282" w:rsidRDefault="00A13282" w:rsidP="002D629A">
      <w:pPr>
        <w:pStyle w:val="a5"/>
      </w:pPr>
      <w:r>
        <w:rPr>
          <w:rStyle w:val="a7"/>
        </w:rPr>
        <w:footnoteRef/>
      </w:r>
      <w:r>
        <w:t xml:space="preserve"> </w:t>
      </w:r>
      <w:r>
        <w:rPr>
          <w:b/>
          <w:bCs/>
          <w:rtl/>
        </w:rPr>
        <w:t>בת יחידה כו'.</w:t>
      </w:r>
      <w:r>
        <w:rPr>
          <w:rtl/>
        </w:rPr>
        <w:t xml:space="preserve"> רוצה לומר בת דשבת, נקודה כו', והיא השבת כמו שאומר לקמן בתיקון ל’ ותיקון ל”ו, והיא רגל הרביעי המתחברת באבהן, ושם הוא מקום קיבולה מבעלה:</w:t>
      </w:r>
    </w:p>
  </w:footnote>
  <w:footnote w:id="2551">
    <w:p w:rsidR="00A13282" w:rsidRDefault="00A13282" w:rsidP="002D629A">
      <w:pPr>
        <w:pStyle w:val="a5"/>
      </w:pPr>
      <w:r>
        <w:rPr>
          <w:rStyle w:val="a7"/>
        </w:rPr>
        <w:footnoteRef/>
      </w:r>
      <w:r>
        <w:t xml:space="preserve"> </w:t>
      </w:r>
      <w:r>
        <w:rPr>
          <w:b/>
          <w:bCs/>
          <w:rtl/>
        </w:rPr>
        <w:t>ואיהי חג כו'.</w:t>
      </w:r>
      <w:r>
        <w:rPr>
          <w:rtl/>
        </w:rPr>
        <w:t xml:space="preserve"> כמו שמפרש והולך חוג הארץ, נקודה האמצעית, והיא נקודה בחלל הנ"ל וזה שכתוב (ישעיהו מ כב) היושב על חוג הארץ - ששם ישיבתו וכנ"ל:</w:t>
      </w:r>
    </w:p>
  </w:footnote>
  <w:footnote w:id="2552">
    <w:p w:rsidR="00A13282" w:rsidRDefault="00A13282" w:rsidP="002D629A">
      <w:pPr>
        <w:pStyle w:val="a5"/>
      </w:pPr>
      <w:r>
        <w:rPr>
          <w:rStyle w:val="a7"/>
        </w:rPr>
        <w:footnoteRef/>
      </w:r>
      <w:r>
        <w:t xml:space="preserve"> </w:t>
      </w:r>
      <w:r>
        <w:rPr>
          <w:b/>
          <w:bCs/>
          <w:rtl/>
        </w:rPr>
        <w:t>אבל נשמתא כו'.</w:t>
      </w:r>
      <w:r>
        <w:rPr>
          <w:rtl/>
        </w:rPr>
        <w:t xml:space="preserve"> כאן מפרש שבכל יום המוסף יש לו לאדם נשמה יתירה - והיא המוסף, תוספת נשמה, והוא מבינה, דבחול - משכינה תתאה, והכלל כי הנשמה לפי התפלה, והנשמה יתירה - שנתוסף רוח הקודש כמו שמפרש והולך:</w:t>
      </w:r>
    </w:p>
  </w:footnote>
  <w:footnote w:id="2553">
    <w:p w:rsidR="00A13282" w:rsidRDefault="00A13282" w:rsidP="002D629A">
      <w:pPr>
        <w:pStyle w:val="a5"/>
      </w:pPr>
      <w:r>
        <w:rPr>
          <w:rStyle w:val="a7"/>
        </w:rPr>
        <w:footnoteRef/>
      </w:r>
      <w:r>
        <w:t xml:space="preserve"> </w:t>
      </w:r>
      <w:r>
        <w:rPr>
          <w:b/>
          <w:bCs/>
          <w:rtl/>
        </w:rPr>
        <w:t>ועל שמי' אתקרי כו'.</w:t>
      </w:r>
      <w:r>
        <w:rPr>
          <w:rtl/>
        </w:rPr>
        <w:t xml:space="preserve"> רוצה לומר התפלה והמלכות, דפה הוא מלכות, וכל הוא צדיק, וכן הוא התפלה, שהיא בעצמה מלכות וכלילא מח"י ברכאן:</w:t>
      </w:r>
    </w:p>
  </w:footnote>
  <w:footnote w:id="2554">
    <w:p w:rsidR="00A13282" w:rsidRDefault="00A13282" w:rsidP="002D629A">
      <w:pPr>
        <w:pStyle w:val="a5"/>
      </w:pPr>
      <w:r>
        <w:rPr>
          <w:rStyle w:val="a7"/>
        </w:rPr>
        <w:footnoteRef/>
      </w:r>
      <w:r>
        <w:t xml:space="preserve"> </w:t>
      </w:r>
      <w:r>
        <w:rPr>
          <w:b/>
          <w:bCs/>
          <w:rtl/>
        </w:rPr>
        <w:t>ע"י שליח.</w:t>
      </w:r>
      <w:r>
        <w:rPr>
          <w:rtl/>
        </w:rPr>
        <w:t xml:space="preserve"> כמו שמפרש והולך וכמו שאומר לעיל ב' ב':</w:t>
      </w:r>
    </w:p>
  </w:footnote>
  <w:footnote w:id="2555">
    <w:p w:rsidR="00A13282" w:rsidRDefault="00A13282" w:rsidP="002D629A">
      <w:pPr>
        <w:pStyle w:val="a5"/>
      </w:pPr>
      <w:r>
        <w:rPr>
          <w:rStyle w:val="a7"/>
        </w:rPr>
        <w:footnoteRef/>
      </w:r>
      <w:r>
        <w:t xml:space="preserve"> </w:t>
      </w:r>
      <w:r>
        <w:rPr>
          <w:b/>
          <w:bCs/>
          <w:rtl/>
        </w:rPr>
        <w:t>אבל בשבת כו'.</w:t>
      </w:r>
      <w:r>
        <w:rPr>
          <w:rtl/>
        </w:rPr>
        <w:t xml:space="preserve"> כמו שאמרו (משנה כתובות ה ח) המשרה כו' (שם ט) ואוכלת עמו כו':</w:t>
      </w:r>
    </w:p>
  </w:footnote>
  <w:footnote w:id="2556">
    <w:p w:rsidR="00A13282" w:rsidRDefault="00A13282" w:rsidP="002D629A">
      <w:pPr>
        <w:pStyle w:val="a5"/>
      </w:pPr>
      <w:r>
        <w:rPr>
          <w:rStyle w:val="a7"/>
        </w:rPr>
        <w:footnoteRef/>
      </w:r>
      <w:r>
        <w:t xml:space="preserve"> </w:t>
      </w:r>
      <w:r>
        <w:rPr>
          <w:b/>
          <w:bCs/>
          <w:rtl/>
        </w:rPr>
        <w:t>מרירא כזית.</w:t>
      </w:r>
      <w:r>
        <w:rPr>
          <w:rtl/>
        </w:rPr>
        <w:t xml:space="preserve"> זית הוא יסוד כידוע, והנה הוא מר, רק ע"י כתישא - והוא כתית דצדיקים, ועל ידן נוטלת מצדיק, וכשאין צדיקים בדור נוטלת ע"י שליח הנ"ל דמקננת בו, והנה ע"י הצדיקים אינה נוטלת כי אם ע"י כתישה, והנה כשהרשע מצטער שכינה מה אומרת כו' ק"ו כו' (משנה סנהדרין ו ה) - וזהו מרירא כו':</w:t>
      </w:r>
    </w:p>
  </w:footnote>
  <w:footnote w:id="2557">
    <w:p w:rsidR="00A13282" w:rsidRDefault="00A13282" w:rsidP="002D629A">
      <w:pPr>
        <w:pStyle w:val="a5"/>
      </w:pPr>
      <w:r>
        <w:rPr>
          <w:rStyle w:val="a7"/>
        </w:rPr>
        <w:footnoteRef/>
      </w:r>
      <w:r>
        <w:t xml:space="preserve"> </w:t>
      </w:r>
      <w:r>
        <w:rPr>
          <w:b/>
          <w:bCs/>
          <w:rtl/>
        </w:rPr>
        <w:t>ועוד שכינתא.</w:t>
      </w:r>
      <w:r>
        <w:rPr>
          <w:rtl/>
        </w:rPr>
        <w:t xml:space="preserve"> למעלה נ"ו א' אמר בצלותא דשחרית כו' דכלילא שלש פעמים ביום משלשה אבהן, עתה אמר דכן הוא בשנה - שלש פעמים בשנה:</w:t>
      </w:r>
    </w:p>
  </w:footnote>
  <w:footnote w:id="2558">
    <w:p w:rsidR="00A13282" w:rsidRDefault="00A13282" w:rsidP="002D629A">
      <w:pPr>
        <w:pStyle w:val="a5"/>
      </w:pPr>
      <w:r>
        <w:rPr>
          <w:rStyle w:val="a7"/>
        </w:rPr>
        <w:footnoteRef/>
      </w:r>
      <w:r>
        <w:t xml:space="preserve"> </w:t>
      </w:r>
      <w:r>
        <w:rPr>
          <w:b/>
          <w:bCs/>
          <w:rtl/>
        </w:rPr>
        <w:t>ובעלה נחית בכל אתר כו'.</w:t>
      </w:r>
      <w:r>
        <w:rPr>
          <w:rtl/>
        </w:rPr>
        <w:t xml:space="preserve"> הוא ההוא נהר דנחית בכל אתר לקבלא לה, ועיין לקמן תיקון נ”ד ותיקון נ’ ומה שנבאר שם:</w:t>
      </w:r>
    </w:p>
  </w:footnote>
  <w:footnote w:id="2559">
    <w:p w:rsidR="00A13282" w:rsidRDefault="00A13282" w:rsidP="002D629A">
      <w:pPr>
        <w:pStyle w:val="a5"/>
      </w:pPr>
      <w:r>
        <w:rPr>
          <w:rStyle w:val="a7"/>
        </w:rPr>
        <w:footnoteRef/>
      </w:r>
      <w:r>
        <w:t xml:space="preserve"> </w:t>
      </w:r>
      <w:r>
        <w:rPr>
          <w:b/>
          <w:bCs/>
          <w:rtl/>
        </w:rPr>
        <w:t>ומאן איהו מסכנא כו'.</w:t>
      </w:r>
      <w:r>
        <w:rPr>
          <w:rtl/>
        </w:rPr>
        <w:t xml:space="preserve"> רוצה לומר ההוא מסכנא שהוא בדרגא דצדיק, וכמו שמסכנא צדיק חרב ויבש כמו שמפרש והולך, כן ההוא שהוא בדרגא דיליה, דדיו לעבד להיות כרבו וכמו שאומר לעיל א' ב', וכן ההוא ריב הוא על צדיק - יסוד עצמו:</w:t>
      </w:r>
    </w:p>
  </w:footnote>
  <w:footnote w:id="2560">
    <w:p w:rsidR="00A13282" w:rsidRDefault="00A13282" w:rsidP="002D629A">
      <w:pPr>
        <w:pStyle w:val="a5"/>
      </w:pPr>
      <w:r>
        <w:rPr>
          <w:rStyle w:val="a7"/>
        </w:rPr>
        <w:footnoteRef/>
      </w:r>
      <w:r>
        <w:t xml:space="preserve"> </w:t>
      </w:r>
      <w:r>
        <w:rPr>
          <w:b/>
          <w:bCs/>
          <w:rtl/>
        </w:rPr>
        <w:t>וצווחין לגבי' כו'.</w:t>
      </w:r>
      <w:r>
        <w:rPr>
          <w:rtl/>
        </w:rPr>
        <w:t xml:space="preserve"> רוצה לומר שצווחין בצלותא שהיא דרגא דצדיק, וכד ההוא צלותא אשתמע לקב"ה ועניין לאדם אז מורידין ליה ההוא שפע מה שמבקש ע"י צדיק, ונתמלא מקודם ההוא צדיק דלמעלה, ואח"כ הצדיק בשלשה דלתתא, וכד לא עניין ליה אז ההוא צדיק דלמעלה גם כן חרב ויבש:</w:t>
      </w:r>
    </w:p>
  </w:footnote>
  <w:footnote w:id="2561">
    <w:p w:rsidR="00A13282" w:rsidRDefault="00A13282" w:rsidP="002D629A">
      <w:pPr>
        <w:pStyle w:val="a5"/>
      </w:pPr>
      <w:r>
        <w:rPr>
          <w:rStyle w:val="a7"/>
        </w:rPr>
        <w:footnoteRef/>
      </w:r>
      <w:r>
        <w:t xml:space="preserve"> </w:t>
      </w:r>
      <w:r>
        <w:rPr>
          <w:b/>
          <w:bCs/>
          <w:rtl/>
        </w:rPr>
        <w:t>ואתמר לגבייהו כו'.</w:t>
      </w:r>
      <w:r>
        <w:rPr>
          <w:rtl/>
        </w:rPr>
        <w:t xml:space="preserve"> והוא כד עמודא דאמצעיתא סליק למעלה לאין סוף  וכמו שאומר לקמן פ"ט א' ואז צווחין כו' וזה שאומר למעלה ומאן איהו מסכנא כו', דחד דרגא הוא - כד חרב ויבש האי אז האי גם כן חרב ויבש:</w:t>
      </w:r>
    </w:p>
  </w:footnote>
  <w:footnote w:id="2562">
    <w:p w:rsidR="00A13282" w:rsidRDefault="00A13282" w:rsidP="002D629A">
      <w:pPr>
        <w:pStyle w:val="a5"/>
      </w:pPr>
      <w:r>
        <w:rPr>
          <w:rStyle w:val="a7"/>
        </w:rPr>
        <w:footnoteRef/>
      </w:r>
      <w:r>
        <w:t xml:space="preserve"> </w:t>
      </w:r>
      <w:r>
        <w:rPr>
          <w:b/>
          <w:bCs/>
          <w:rtl/>
        </w:rPr>
        <w:t>אז יקראונני כו'.</w:t>
      </w:r>
      <w:r>
        <w:rPr>
          <w:rtl/>
        </w:rPr>
        <w:t xml:space="preserve"> דצלותא סלקא באז - חבורא דתרין שמהן, אז תקרא כו' (ישעיהו נח ט), אבל כאן אז כו':</w:t>
      </w:r>
    </w:p>
  </w:footnote>
  <w:footnote w:id="2563">
    <w:p w:rsidR="00A13282" w:rsidRDefault="00A13282" w:rsidP="002D629A">
      <w:pPr>
        <w:pStyle w:val="a5"/>
      </w:pPr>
      <w:r>
        <w:rPr>
          <w:rStyle w:val="a7"/>
        </w:rPr>
        <w:footnoteRef/>
      </w:r>
      <w:r>
        <w:t xml:space="preserve"> </w:t>
      </w:r>
      <w:r>
        <w:rPr>
          <w:b/>
          <w:bCs/>
          <w:rtl/>
        </w:rPr>
        <w:t>וכמה כו'.</w:t>
      </w:r>
      <w:r>
        <w:rPr>
          <w:rtl/>
        </w:rPr>
        <w:t xml:space="preserve"> רוצה לומר זה שאומר למעלה תרי שלמי חד כו' שכינתא תתאה:</w:t>
      </w:r>
    </w:p>
  </w:footnote>
  <w:footnote w:id="2564">
    <w:p w:rsidR="00A13282" w:rsidRDefault="00A13282" w:rsidP="002D629A">
      <w:pPr>
        <w:pStyle w:val="a5"/>
      </w:pPr>
      <w:r>
        <w:rPr>
          <w:rStyle w:val="a7"/>
        </w:rPr>
        <w:footnoteRef/>
      </w:r>
      <w:r>
        <w:t xml:space="preserve"> </w:t>
      </w:r>
      <w:r>
        <w:rPr>
          <w:b/>
          <w:bCs/>
          <w:rtl/>
        </w:rPr>
        <w:t>וכמה דשכינתא כו' חרב מבי כו'.</w:t>
      </w:r>
      <w:r>
        <w:rPr>
          <w:rtl/>
        </w:rPr>
        <w:t xml:space="preserve"> דכאן שייך חרב, ובנסכים - יבש, וכל הריבות הוא עם הנהר דצדיק יבש מניה, והוא נסכים ועולות וע"י כך ההוא בי מקדשא, מלכות - גם כן חרב, וזהו חרב מבי מקדשא ויבש כו', והוא מקב"ה ושכינתיה:</w:t>
      </w:r>
    </w:p>
  </w:footnote>
  <w:footnote w:id="2565">
    <w:p w:rsidR="00A13282" w:rsidRDefault="00A13282" w:rsidP="002D629A">
      <w:pPr>
        <w:pStyle w:val="a5"/>
      </w:pPr>
      <w:r>
        <w:rPr>
          <w:rStyle w:val="a7"/>
        </w:rPr>
        <w:footnoteRef/>
      </w:r>
      <w:r>
        <w:t xml:space="preserve"> </w:t>
      </w:r>
      <w:r>
        <w:rPr>
          <w:b/>
          <w:bCs/>
          <w:rtl/>
        </w:rPr>
        <w:t>בגיניה עם קב"ה.</w:t>
      </w:r>
      <w:r>
        <w:rPr>
          <w:rtl/>
        </w:rPr>
        <w:t xml:space="preserve"> וזהו את ריב ה' - עם ה':</w:t>
      </w:r>
    </w:p>
  </w:footnote>
  <w:footnote w:id="2566">
    <w:p w:rsidR="00A13282" w:rsidRDefault="00A13282" w:rsidP="002D629A">
      <w:pPr>
        <w:pStyle w:val="a5"/>
      </w:pPr>
      <w:r>
        <w:rPr>
          <w:rStyle w:val="a7"/>
        </w:rPr>
        <w:footnoteRef/>
      </w:r>
      <w:r>
        <w:t xml:space="preserve"> </w:t>
      </w:r>
      <w:r>
        <w:rPr>
          <w:b/>
          <w:bCs/>
          <w:rtl/>
        </w:rPr>
        <w:t>וקשיא לה מכולהו כו' ודא איהו מחלוקת וקושיא.</w:t>
      </w:r>
      <w:r>
        <w:rPr>
          <w:rtl/>
        </w:rPr>
        <w:t xml:space="preserve"> רוצה לומר הריבות הנ"ל הן מחלוקת דגמרא, דכל מחלוקת הוא בשביל הנהר שנסתלק, וסתים האי סלע כמו שאומר נ"ג ג' ובגין ויך משה את הסלע כו' וכמה מחלוקת כו', וכן הקושי - קשיא כמו שאומר והוה נפיק מיא בלא קשיא ומחלוקת כו', והמחלוקת כבר פירש - הריב, וכאן פירש הקושיא - דקשיא איהו לה כו', והריב על הצדיק והקשיא על בעלה:</w:t>
      </w:r>
    </w:p>
  </w:footnote>
  <w:footnote w:id="2567">
    <w:p w:rsidR="00A13282" w:rsidRDefault="00A13282" w:rsidP="002D629A">
      <w:pPr>
        <w:pStyle w:val="a5"/>
      </w:pPr>
      <w:r>
        <w:rPr>
          <w:rStyle w:val="a7"/>
        </w:rPr>
        <w:footnoteRef/>
      </w:r>
      <w:r>
        <w:t xml:space="preserve"> </w:t>
      </w:r>
      <w:r>
        <w:rPr>
          <w:b/>
          <w:bCs/>
          <w:rtl/>
        </w:rPr>
        <w:t>וכד נפילת כו'.</w:t>
      </w:r>
      <w:r>
        <w:rPr>
          <w:rtl/>
        </w:rPr>
        <w:t xml:space="preserve"> עכשיו מפרש מהו ברייתא וכן כל השמות של הסוגיות כמו שמפרש והולך ס"א ב', ומפרש כאן ברייתא, דברייתא הוא כד נפילת לרגליו. דרגלין הן לבר מגופא וכמו שמפרש והולך וצדיק כד כו' ושכינתא כד כו' ואמר לקמן ס"א ב' איהי ברייתא כד אתמר בה ותגל מרגלותיו, וזה שאומר כאן נפילת לרגליו הה"ד ותגל מרגלותיו, ורוצה לומר ותגל מרגלותיו - דגלת לרגלי' וכמו שאומר לקמן בתיקון ל”א עיין מה שבארנו שם, ורוצה לומר נפילת לרגליו כמו שכתוב ותפול לפני רגליו ותתחנן (אסתר ח ג), וזהו נפילת אפים שאנו עושין, דכל מעשינו בשביל השכינה והיא נפילת לרגליו בשביל הצדיק שהוא לבר כמו שמפרש והולך והוא לרגליו כנ"ל, לכן נפילת שם - בשבילו, וזה שאומר וצדיק כד כו' ושכינתא כד כו':</w:t>
      </w:r>
    </w:p>
  </w:footnote>
  <w:footnote w:id="2568">
    <w:p w:rsidR="00A13282" w:rsidRDefault="00A13282" w:rsidP="002D629A">
      <w:pPr>
        <w:pStyle w:val="a5"/>
      </w:pPr>
      <w:r>
        <w:rPr>
          <w:rStyle w:val="a7"/>
        </w:rPr>
        <w:footnoteRef/>
      </w:r>
      <w:r>
        <w:t xml:space="preserve"> </w:t>
      </w:r>
      <w:r>
        <w:rPr>
          <w:b/>
          <w:bCs/>
          <w:rtl/>
        </w:rPr>
        <w:t>נשקו בר.</w:t>
      </w:r>
      <w:r>
        <w:rPr>
          <w:rtl/>
        </w:rPr>
        <w:t xml:space="preserve"> סיפא דקרא פן יאנף כו', דשם במעט שיוצא יאבדו דרך, דשם כפשע בינו כו' (שמואל א כ ג):</w:t>
      </w:r>
    </w:p>
  </w:footnote>
  <w:footnote w:id="2569">
    <w:p w:rsidR="00A13282" w:rsidRDefault="00A13282" w:rsidP="002D629A">
      <w:pPr>
        <w:pStyle w:val="a5"/>
      </w:pPr>
      <w:r>
        <w:rPr>
          <w:rStyle w:val="a7"/>
        </w:rPr>
        <w:footnoteRef/>
      </w:r>
      <w:r>
        <w:t xml:space="preserve"> </w:t>
      </w:r>
      <w:r>
        <w:rPr>
          <w:b/>
          <w:bCs/>
          <w:rtl/>
        </w:rPr>
        <w:t>ואיהי ברייתא ותוספת דשבת דאתוסף לעני כו' בגין שכינתא דאתקרי איהו מוסף שבת.</w:t>
      </w:r>
      <w:r>
        <w:rPr>
          <w:rtl/>
        </w:rPr>
        <w:t xml:space="preserve"> ואח"כ צ"ל מה שכתוב בס"א ב' (כן הוא בד"א ומנטובה ולפנינו נדפס זה כאן כמו שכתוב בדפוסים האחרונים) </w:t>
      </w:r>
    </w:p>
  </w:footnote>
  <w:footnote w:id="2570">
    <w:p w:rsidR="00A13282" w:rsidRDefault="00A13282" w:rsidP="002D629A">
      <w:pPr>
        <w:pStyle w:val="a5"/>
      </w:pPr>
      <w:r>
        <w:rPr>
          <w:rStyle w:val="a7"/>
        </w:rPr>
        <w:footnoteRef/>
      </w:r>
      <w:r>
        <w:t xml:space="preserve"> </w:t>
      </w:r>
      <w:r>
        <w:rPr>
          <w:b/>
          <w:bCs/>
          <w:rtl/>
        </w:rPr>
        <w:t>תוספת דשבת</w:t>
      </w:r>
      <w:r>
        <w:rPr>
          <w:rtl/>
        </w:rPr>
        <w:t xml:space="preserve"> מפרש מהו תוספתא, וכמו שאמרו דאיהו בר ואיהי ברייתא, כן הוא, איהו מוסף שבת דאיהו נקרא שבת ואיהי תוספתא, ואמר דאתוסף לעני כו' רוצה לומר דצדיק נקרא עני, ואמר עני על עני בדעת כמו שאמרו (נדרים מא ע"א) אין עני אלא כו', ואמר לקמן ס"א ב' ואלין דמתוספאן לעמא קדישא ערב שבת ירתין לון תלמידי חכמים ביומא דחול כו', ואלין אינון תוספות דקא נחתין מתוספתא כו', והוא התוספתא דכאן, והוא בעם הארץ בשבת ומסטרא דלהון צדיק נקרא עני, ומסטרא דלהון לית לה בחול כלום ולכן זיווגא דשכינתא בחול ע"י מט"ט, ואמר דלית לה מדיליה כלום, דה’ חסדים מתחלקין בחמש ספירות, והוא יתום מאמו ואינו בתוקפו חי רק בעת הזיווג דנוטל מכולם, דא יהיב כו', ואין לו אלא מה שמקבל מהם, והוא בשבת, ובתלמידי חכמים אפילו בחול כנ"ל, והתוספת ההוא בשביל השכינה שהוא בשעת הזיווג ליתן לנוק', וזה שאומר דאתוסף גביה בגין שכינתא, ואמר דאתקרי מוסף שבת - דתפלת מוסף הוא ביסוד, ועיין בזוהר פרשת בראשית ט"ו א' וכל זה הקדמה למלת תוספתא, וכמו שאומר ואתקריאת איהי תוספתא מסטרא דיום שבת רוצה לומר מדרגא דיסוד וכמו שמפרש והולך:</w:t>
      </w:r>
    </w:p>
  </w:footnote>
  <w:footnote w:id="2571">
    <w:p w:rsidR="00A13282" w:rsidRDefault="00A13282" w:rsidP="002D629A">
      <w:pPr>
        <w:pStyle w:val="a5"/>
      </w:pPr>
      <w:r>
        <w:rPr>
          <w:rStyle w:val="a7"/>
        </w:rPr>
        <w:footnoteRef/>
      </w:r>
      <w:r>
        <w:t xml:space="preserve"> </w:t>
      </w:r>
      <w:r>
        <w:rPr>
          <w:b/>
          <w:bCs/>
          <w:rtl/>
        </w:rPr>
        <w:t>אתקריאת איהי תוספתא מסטרא  דיום שבת בההוא זמנא כמה תוספות נחתין עמה כו'</w:t>
      </w:r>
      <w:r>
        <w:rPr>
          <w:rtl/>
        </w:rPr>
        <w:t xml:space="preserve"> עד סוף התיקון, ואח"כ תחזור לכאן </w:t>
      </w:r>
      <w:r>
        <w:rPr>
          <w:b/>
          <w:bCs/>
          <w:rtl/>
        </w:rPr>
        <w:t>ועוד שמעו הרים מאן הרים כו'.</w:t>
      </w:r>
    </w:p>
  </w:footnote>
  <w:footnote w:id="2572">
    <w:p w:rsidR="00A13282" w:rsidRDefault="00A13282" w:rsidP="002D629A">
      <w:pPr>
        <w:pStyle w:val="a5"/>
      </w:pPr>
      <w:r>
        <w:rPr>
          <w:rStyle w:val="a7"/>
        </w:rPr>
        <w:footnoteRef/>
      </w:r>
      <w:r>
        <w:t xml:space="preserve"> </w:t>
      </w:r>
      <w:r>
        <w:rPr>
          <w:b/>
          <w:bCs/>
          <w:rtl/>
        </w:rPr>
        <w:t>ואלין דמתוספ' לעמא כו' ירתין כו'.</w:t>
      </w:r>
      <w:r>
        <w:rPr>
          <w:rtl/>
        </w:rPr>
        <w:t xml:space="preserve"> וירותא דלהון מצד התורה ולכן נקראת תוספתא, וכל זה מצד שכינתא תתאה וכנ"ל, דתוספת דידיה בגין שכינתא, אבל תוספת דתלמידי חכמים ביום שבת הוא משכינה עלאה ועיין לקמן נ"ז א' אבל נשמתא יתירה בשבת כו'. וזה שאומר</w:t>
      </w:r>
    </w:p>
  </w:footnote>
  <w:footnote w:id="2573">
    <w:p w:rsidR="00A13282" w:rsidRDefault="00A13282" w:rsidP="002D629A">
      <w:pPr>
        <w:pStyle w:val="a5"/>
      </w:pPr>
      <w:r>
        <w:rPr>
          <w:rStyle w:val="a7"/>
        </w:rPr>
        <w:footnoteRef/>
      </w:r>
      <w:r>
        <w:t xml:space="preserve"> </w:t>
      </w:r>
      <w:r>
        <w:rPr>
          <w:b/>
          <w:bCs/>
          <w:rtl/>
        </w:rPr>
        <w:t xml:space="preserve">ואלין אינון כו'. </w:t>
      </w:r>
      <w:r>
        <w:rPr>
          <w:rtl/>
        </w:rPr>
        <w:t>דהוא משכינה תתאה, ורוצה לומר לענין ראשון דתוספת מתוספתא, ומפרש והולך דודאי שכינתא איהי תקונא דגופא דקב"ה, רוצה לומר כמו שמפרש והולך איהי ברייתא כו' איהי תוספתא כו' - הכל על האברים, דשכינה איהי גופא דיליה, כמו שאומר לעיל ס"ג ב' עיין שם:</w:t>
      </w:r>
    </w:p>
  </w:footnote>
  <w:footnote w:id="2574">
    <w:p w:rsidR="00A13282" w:rsidRDefault="00A13282" w:rsidP="002D629A">
      <w:pPr>
        <w:pStyle w:val="a5"/>
      </w:pPr>
      <w:r>
        <w:rPr>
          <w:rStyle w:val="a7"/>
        </w:rPr>
        <w:footnoteRef/>
      </w:r>
      <w:r>
        <w:t xml:space="preserve"> </w:t>
      </w:r>
      <w:r>
        <w:rPr>
          <w:b/>
          <w:bCs/>
          <w:rtl/>
        </w:rPr>
        <w:t>משנה תורה ודאי.</w:t>
      </w:r>
      <w:r>
        <w:rPr>
          <w:rtl/>
        </w:rPr>
        <w:t xml:space="preserve"> דתורה הוא עמודא דאמצעיתא, גופא, ואיהי - משנה תורה לתורה:</w:t>
      </w:r>
    </w:p>
  </w:footnote>
  <w:footnote w:id="2575">
    <w:p w:rsidR="00A13282" w:rsidRDefault="00A13282" w:rsidP="002D629A">
      <w:pPr>
        <w:pStyle w:val="a5"/>
      </w:pPr>
      <w:r>
        <w:rPr>
          <w:rStyle w:val="a7"/>
        </w:rPr>
        <w:footnoteRef/>
      </w:r>
      <w:r>
        <w:t xml:space="preserve"> </w:t>
      </w:r>
      <w:r>
        <w:rPr>
          <w:b/>
          <w:bCs/>
          <w:rtl/>
        </w:rPr>
        <w:t>ואיהי התקפתא.</w:t>
      </w:r>
      <w:r>
        <w:rPr>
          <w:rtl/>
        </w:rPr>
        <w:t xml:space="preserve"> רוצה לומר מתקיף שבש"ס כמו שאמרו בסוגיות הש"ס:</w:t>
      </w:r>
    </w:p>
  </w:footnote>
  <w:footnote w:id="2576">
    <w:p w:rsidR="00A13282" w:rsidRDefault="00A13282" w:rsidP="002D629A">
      <w:pPr>
        <w:pStyle w:val="a5"/>
      </w:pPr>
      <w:r>
        <w:rPr>
          <w:rStyle w:val="a7"/>
        </w:rPr>
        <w:footnoteRef/>
      </w:r>
      <w:r>
        <w:t xml:space="preserve"> </w:t>
      </w:r>
      <w:r>
        <w:rPr>
          <w:b/>
          <w:bCs/>
          <w:rtl/>
        </w:rPr>
        <w:t>מסט' דדרועא כו'.</w:t>
      </w:r>
      <w:r>
        <w:rPr>
          <w:rtl/>
        </w:rPr>
        <w:t xml:space="preserve"> וכל הכח הוא בימינא ונותן תוקפא ומקים אותה בכחו, וכמו ביציאת מצרים בכחו הגדול כו', וזה שאומר למטה ובדרועא ימינא אתקיף בה ויימא קומי כו':</w:t>
      </w:r>
    </w:p>
  </w:footnote>
  <w:footnote w:id="2577">
    <w:p w:rsidR="00A13282" w:rsidRDefault="00A13282" w:rsidP="002D629A">
      <w:pPr>
        <w:pStyle w:val="a5"/>
      </w:pPr>
      <w:r>
        <w:rPr>
          <w:rStyle w:val="a7"/>
        </w:rPr>
        <w:footnoteRef/>
      </w:r>
      <w:r>
        <w:t xml:space="preserve"> </w:t>
      </w:r>
      <w:r>
        <w:rPr>
          <w:b/>
          <w:bCs/>
          <w:rtl/>
        </w:rPr>
        <w:t>הצרכה איהי כו'.</w:t>
      </w:r>
      <w:r>
        <w:rPr>
          <w:rtl/>
        </w:rPr>
        <w:t xml:space="preserve"> רוצה לומר הצריכותא שבש"ס, דשמאלא הוא סיוע לימינא כמו שאמרו באידרא רבא דימינא לא יוכל לעשות בלא שמאלא, דבשמאלא אוחז הדבר ובימינא עושה הדבר, ועיקרא הוא ימינא, ושמאלא הוא צריכותא לימינא, וכן הוא הצריכותא - דדבר הראשון ודאי הוא עיקר הדבר והשניה צריך גם כן, וזה שאומר בדרועא שמאלא אחיד כו':</w:t>
      </w:r>
    </w:p>
  </w:footnote>
  <w:footnote w:id="2578">
    <w:p w:rsidR="00A13282" w:rsidRDefault="00A13282" w:rsidP="002D629A">
      <w:pPr>
        <w:pStyle w:val="a5"/>
      </w:pPr>
      <w:r>
        <w:rPr>
          <w:rStyle w:val="a7"/>
        </w:rPr>
        <w:footnoteRef/>
      </w:r>
      <w:r>
        <w:t xml:space="preserve"> </w:t>
      </w:r>
      <w:r>
        <w:rPr>
          <w:b/>
          <w:bCs/>
          <w:rtl/>
        </w:rPr>
        <w:t>יהיב לון צרכיהון כו'.</w:t>
      </w:r>
      <w:r>
        <w:rPr>
          <w:rtl/>
        </w:rPr>
        <w:t xml:space="preserve"> דכל פרנסה הוא משמאלא כידוע, ולכן קשה מזונות כקריעת ים סוף - דעותרא משמאלא, וכל שכן במדבר דהוא מסטרא דשמאלא כידוע:</w:t>
      </w:r>
    </w:p>
  </w:footnote>
  <w:footnote w:id="2579">
    <w:p w:rsidR="00A13282" w:rsidRDefault="00A13282" w:rsidP="002D629A">
      <w:pPr>
        <w:pStyle w:val="a5"/>
      </w:pPr>
      <w:r>
        <w:rPr>
          <w:rStyle w:val="a7"/>
        </w:rPr>
        <w:footnoteRef/>
      </w:r>
      <w:r>
        <w:t xml:space="preserve"> </w:t>
      </w:r>
      <w:r>
        <w:rPr>
          <w:b/>
          <w:bCs/>
          <w:rtl/>
        </w:rPr>
        <w:t>שאלה כו'.</w:t>
      </w:r>
      <w:r>
        <w:rPr>
          <w:rtl/>
        </w:rPr>
        <w:t xml:space="preserve"> רוצה לומר האבעיות שבגמרא:</w:t>
      </w:r>
    </w:p>
  </w:footnote>
  <w:footnote w:id="2580">
    <w:p w:rsidR="00A13282" w:rsidRDefault="00A13282" w:rsidP="002D629A">
      <w:pPr>
        <w:pStyle w:val="a5"/>
      </w:pPr>
      <w:r>
        <w:rPr>
          <w:rStyle w:val="a7"/>
        </w:rPr>
        <w:footnoteRef/>
      </w:r>
      <w:r>
        <w:t xml:space="preserve"> </w:t>
      </w:r>
      <w:r>
        <w:rPr>
          <w:b/>
          <w:bCs/>
          <w:rtl/>
        </w:rPr>
        <w:t>ותיובתא לגבה.</w:t>
      </w:r>
      <w:r>
        <w:rPr>
          <w:rtl/>
        </w:rPr>
        <w:t xml:space="preserve"> רוצה לומר הפשיטות של האיבעיא, ורוצה לומר דהוא מסטרא דידיה שמשיב לה:</w:t>
      </w:r>
    </w:p>
  </w:footnote>
  <w:footnote w:id="2581">
    <w:p w:rsidR="00A13282" w:rsidRDefault="00A13282" w:rsidP="002D629A">
      <w:pPr>
        <w:pStyle w:val="a5"/>
      </w:pPr>
      <w:r>
        <w:rPr>
          <w:rStyle w:val="a7"/>
        </w:rPr>
        <w:footnoteRef/>
      </w:r>
      <w:r>
        <w:t xml:space="preserve"> </w:t>
      </w:r>
      <w:r>
        <w:rPr>
          <w:b/>
          <w:bCs/>
          <w:rtl/>
        </w:rPr>
        <w:t>שמעתא איהי בלבא כו'.</w:t>
      </w:r>
      <w:r>
        <w:rPr>
          <w:rtl/>
        </w:rPr>
        <w:t xml:space="preserve"> רוצה לומר כמו שאמרו (ברכות ו ע"ב) אגרא דשמעתא סברא, מחשבה, והוא שמעתא - להוציא דבר מדבר, דין מחודש:</w:t>
      </w:r>
    </w:p>
  </w:footnote>
  <w:footnote w:id="2582">
    <w:p w:rsidR="00A13282" w:rsidRDefault="00A13282" w:rsidP="002D629A">
      <w:pPr>
        <w:pStyle w:val="a5"/>
      </w:pPr>
      <w:r>
        <w:rPr>
          <w:rStyle w:val="a7"/>
        </w:rPr>
        <w:footnoteRef/>
      </w:r>
      <w:r>
        <w:t xml:space="preserve"> </w:t>
      </w:r>
      <w:r>
        <w:rPr>
          <w:b/>
          <w:bCs/>
          <w:rtl/>
        </w:rPr>
        <w:t>תיקו איהו כו'.</w:t>
      </w:r>
      <w:r>
        <w:rPr>
          <w:rtl/>
        </w:rPr>
        <w:t xml:space="preserve"> והוא מחוסר תיקון דשער הנון חסר ממנה נש"ב, והיא חולת אהבה במ"ט שערים - חולה, וזה שאומר הה"ד נאלמתי כו' דומיה - דום י"ה, החשיתי מטוב שהוא ו', ו' פעמים טוב דמעשה בראשית כמו שאומר לקמן, והיא אלמת מיה"ו ולכן היא תיקו דשתקא ולא משיב:</w:t>
      </w:r>
    </w:p>
  </w:footnote>
  <w:footnote w:id="2583">
    <w:p w:rsidR="00A13282" w:rsidRDefault="00A13282" w:rsidP="002D629A">
      <w:pPr>
        <w:pStyle w:val="a5"/>
      </w:pPr>
      <w:r>
        <w:rPr>
          <w:rStyle w:val="a7"/>
        </w:rPr>
        <w:footnoteRef/>
      </w:r>
      <w:r>
        <w:t xml:space="preserve"> </w:t>
      </w:r>
      <w:r>
        <w:rPr>
          <w:b/>
          <w:bCs/>
          <w:rtl/>
        </w:rPr>
        <w:t>ובה צלותא בחשאי.</w:t>
      </w:r>
      <w:r>
        <w:rPr>
          <w:rtl/>
        </w:rPr>
        <w:t xml:space="preserve"> בלי קול בעלה:</w:t>
      </w:r>
    </w:p>
  </w:footnote>
  <w:footnote w:id="2584">
    <w:p w:rsidR="00A13282" w:rsidRDefault="00A13282" w:rsidP="002D629A">
      <w:pPr>
        <w:pStyle w:val="a5"/>
      </w:pPr>
      <w:r>
        <w:rPr>
          <w:rStyle w:val="a7"/>
        </w:rPr>
        <w:footnoteRef/>
      </w:r>
      <w:r>
        <w:t xml:space="preserve"> </w:t>
      </w:r>
      <w:r>
        <w:rPr>
          <w:b/>
          <w:bCs/>
          <w:rtl/>
        </w:rPr>
        <w:t>וכד כו'.</w:t>
      </w:r>
      <w:r>
        <w:rPr>
          <w:rtl/>
        </w:rPr>
        <w:t xml:space="preserve"> כנ"ל בלא בעלה, דאינו משיב לה, וכן בצלותא, והכל הוא מסטרא דתחתונים, באדם דלתתא שהן ענפין דילה, כשאין באדם דעת להשיב - דהוא דעת בעלה - ואז מסטרא דיליה היא בלא מלכא דהיא מתפשטת בכל אחד ואחד מישראל:</w:t>
      </w:r>
    </w:p>
  </w:footnote>
  <w:footnote w:id="2585">
    <w:p w:rsidR="00A13282" w:rsidRDefault="00A13282" w:rsidP="002D629A">
      <w:pPr>
        <w:pStyle w:val="a5"/>
      </w:pPr>
      <w:r>
        <w:rPr>
          <w:rStyle w:val="a7"/>
        </w:rPr>
        <w:footnoteRef/>
      </w:r>
      <w:r>
        <w:t xml:space="preserve"> </w:t>
      </w:r>
      <w:r>
        <w:rPr>
          <w:b/>
          <w:bCs/>
          <w:rtl/>
        </w:rPr>
        <w:t>כד שריא בה כו'.</w:t>
      </w:r>
      <w:r>
        <w:rPr>
          <w:rtl/>
        </w:rPr>
        <w:t xml:space="preserve"> שאל אביך ויגדך וכנ"ל, והגדה הוא מסטרא דבעלה, תורה שבכתב, ולכן כל הגדה הוא על הפסוק, ומשיב - הוא גם כן מסטרא דהגדה כנ"ל, אלא ששם הוא על שאלה, והגדה הוא דבורא דמלכא בלא שאלה, והוא הגדה על פסוקים כנ"ל:</w:t>
      </w:r>
    </w:p>
  </w:footnote>
  <w:footnote w:id="2586">
    <w:p w:rsidR="00A13282" w:rsidRDefault="00A13282" w:rsidP="002D629A">
      <w:pPr>
        <w:pStyle w:val="a5"/>
      </w:pPr>
      <w:r>
        <w:rPr>
          <w:rStyle w:val="a7"/>
        </w:rPr>
        <w:footnoteRef/>
      </w:r>
      <w:r>
        <w:t xml:space="preserve"> </w:t>
      </w:r>
      <w:r>
        <w:rPr>
          <w:b/>
          <w:bCs/>
          <w:rtl/>
        </w:rPr>
        <w:t>הה"ד כל גיא כו'.</w:t>
      </w:r>
      <w:r>
        <w:rPr>
          <w:rtl/>
        </w:rPr>
        <w:t xml:space="preserve"> ולא יהא מחלוקת בארץ אלא הכל שוה:</w:t>
      </w:r>
    </w:p>
  </w:footnote>
  <w:footnote w:id="2587">
    <w:p w:rsidR="00A13282" w:rsidRDefault="00A13282" w:rsidP="002D629A">
      <w:pPr>
        <w:pStyle w:val="a5"/>
      </w:pPr>
      <w:r>
        <w:rPr>
          <w:rStyle w:val="a7"/>
        </w:rPr>
        <w:footnoteRef/>
      </w:r>
      <w:r>
        <w:t xml:space="preserve"> </w:t>
      </w:r>
      <w:r>
        <w:rPr>
          <w:rtl/>
        </w:rPr>
        <w:t xml:space="preserve"> </w:t>
      </w:r>
      <w:r>
        <w:rPr>
          <w:b/>
          <w:bCs/>
          <w:rtl/>
        </w:rPr>
        <w:t>בעלי אומנות.</w:t>
      </w:r>
      <w:r>
        <w:rPr>
          <w:rtl/>
        </w:rPr>
        <w:t xml:space="preserve"> רוצה לומר שיוכלו לתקן כהלכה, ואמר טורין וסלעין - שהן זכר ונקבה כמו שאמרו בתיקוני זוהר חדש וכמו שאומר למעלה, והוא בתורה שבכתב ובעל פה (אלא שבהן יש חילוק), וזה שאומר בניינין למלכא ומטרוניתא, אלא שיש בהיכלות ויש בלבושין ויש בגופי התורה, וכאן אמר בהיכלות, וזה שאומר בטורין וסלעין - לחצוב אבנים, ואמר ועבדין בהון כמה בניינין כו', ולמטה אמר ואית פסקים דאינון לבושין כו', ולמטה אמר ואית פסקות מאלין מארי תריסין כו' והוא בגוף הלכה, והיכלות הוא ביצירה ושם צריך הכאה בסלע כנ"ל [בדף] נ"ג נ"ד וברעיא מהימנא פרשת תצא, ולכן שם פסקין אבנין בטורין וסלעין, ולבושין הוא בבריאה וכמו שאומר לקמן ריש תיקון ל”ח ולמעלה ג' ב' קום אליהו כו' כן כרסיה כן לבושיה כו' וזכאה איהו מאן דאלביש מלכא ומטרוניתא בעשר ספירות דבריאה, ושם הוא קליפה תליתאה דאגוזא, תהום דבריאה היא תהום רבה כמו שאמרו בריש פרשת צו וכמו שאומר לעיל נ"ב ב' בארוכה, ושם יש קליפה דקה והוא רך ואין צריך אלא חתיכה, וגופא הוא ברתא דמלכא דנעשית גופא למלכא - שכינתא דאצילות, ושם צריך פיוסא בדבורא ולא הכאה דזהו חובא דמשה כמו שאמרו ברעיא מהימנא פרשת תצא, וזה שאומר למטה דפסקין וחתכין בהון בלישנהון  ועלה קא מתכנשין מארי תריסין ואתעבידו פסקות כמו שאומר לעיל נ"ב ב' כמה מארי תריסין אתכנשו כו', וזה שאומר למטה ואית פסקות מאלין מארי תריסין כו', והן פרדס: פשט - בעשיה, והיא קליפה ירוקא דאגוזא והיא רכיכא ופתיכא ושם אין צריך לפסק כלל, לשום אומן, שהיא כפשטה רק להבין, אבל אין צריך לחבר דבר לדבר, ולכן מהכאה ראשונה בסלע, קליפה תניינא דאגוזא - במט"ט, והוא בראיה או רמז, ולכן תהו לית ליה גוון כלל והוא אבן מאסו הבונים, דכל עניינם דרושים כמו שאמרו (שבת סג ע"א) אנא הוינא בר תמני סרי כו' ולא ידענא כו', והוא יו"ד של אדנ"י דלית ליה גוון כלל וכלילא מכולם, וכן הפשט - הכל הולך אחר הפשט ונמשכין הכל אליו, וברמז - שם קבור ושים בסלע קנך, סלע דחויא כו', כמו שאמרו בתיקוני זוהר חדש כל הולך על גחון בגיא כו', ודרוש - הוא לבוש התורה בבריאה, ושם דרוש וקבל שכר דשם הוא קבול השכר צרורה תחת כסא הכבוד, וגופא הוא הסוד והוא תוך המדרש וזה שאומר דקא אתיין לבי מדרשא כו':</w:t>
      </w:r>
    </w:p>
  </w:footnote>
  <w:footnote w:id="2588">
    <w:p w:rsidR="00A13282" w:rsidRDefault="00A13282" w:rsidP="002D629A">
      <w:pPr>
        <w:pStyle w:val="a5"/>
      </w:pPr>
      <w:r>
        <w:rPr>
          <w:rStyle w:val="a7"/>
        </w:rPr>
        <w:footnoteRef/>
      </w:r>
      <w:r>
        <w:t xml:space="preserve"> </w:t>
      </w:r>
      <w:r>
        <w:rPr>
          <w:b/>
          <w:bCs/>
          <w:rtl/>
        </w:rPr>
        <w:t>בטורין.</w:t>
      </w:r>
      <w:r>
        <w:rPr>
          <w:rtl/>
        </w:rPr>
        <w:t xml:space="preserve"> זה מה שאמרו (ברכות סד ע"א) עוקר הרים, והוא מה שאמרו בתיקוני זוהר חדש ובה רבה עוקר הרים כו' עיין שם:</w:t>
      </w:r>
    </w:p>
  </w:footnote>
  <w:footnote w:id="2589">
    <w:p w:rsidR="00A13282" w:rsidRDefault="00A13282" w:rsidP="002D629A">
      <w:pPr>
        <w:pStyle w:val="a5"/>
      </w:pPr>
      <w:r>
        <w:rPr>
          <w:rStyle w:val="a7"/>
        </w:rPr>
        <w:footnoteRef/>
      </w:r>
      <w:r>
        <w:t xml:space="preserve"> </w:t>
      </w:r>
      <w:r>
        <w:rPr>
          <w:b/>
          <w:bCs/>
          <w:rtl/>
        </w:rPr>
        <w:t>אבנים שלמות תבנה.</w:t>
      </w:r>
      <w:r>
        <w:rPr>
          <w:rtl/>
        </w:rPr>
        <w:t xml:space="preserve"> דלא ליהוי סכינא חריפא מפסקא קרא (בבא בתרא קיא ע"ב), אגב חריפא שבשתא (בבא מציעא צו ע"ב), וזה שאומר לא תבנה כו' כי חרבך כו':</w:t>
      </w:r>
    </w:p>
  </w:footnote>
  <w:footnote w:id="2590">
    <w:p w:rsidR="00A13282" w:rsidRDefault="00A13282" w:rsidP="002D629A">
      <w:pPr>
        <w:pStyle w:val="a5"/>
      </w:pPr>
      <w:r>
        <w:rPr>
          <w:rStyle w:val="a7"/>
        </w:rPr>
        <w:footnoteRef/>
      </w:r>
      <w:r>
        <w:t xml:space="preserve"> </w:t>
      </w:r>
      <w:r>
        <w:rPr>
          <w:b/>
          <w:bCs/>
          <w:rtl/>
        </w:rPr>
        <w:t>בניינין למלכא ומטרוניתא.</w:t>
      </w:r>
      <w:r>
        <w:rPr>
          <w:rtl/>
        </w:rPr>
        <w:t xml:space="preserve"> והוא בתורה שבכתב ובעל פה. וכן אמר למטה בלבושין - ארבע בגדי לבן וארבע כו', ועיין מה שבארנו בריש תיקון ל"ח ולמעלה ג' ב', וכן אמר בגופא - בימא וביבשתא דאינון כו', ואמר שם דאינון כו' לפרש מה שאמרו בימא וביבשתא, ועוד דשם הוא גוף התורה שבכתב ובעל פה:</w:t>
      </w:r>
    </w:p>
  </w:footnote>
  <w:footnote w:id="2591">
    <w:p w:rsidR="00A13282" w:rsidRDefault="00A13282" w:rsidP="002D629A">
      <w:pPr>
        <w:pStyle w:val="a5"/>
      </w:pPr>
      <w:r>
        <w:rPr>
          <w:rStyle w:val="a7"/>
        </w:rPr>
        <w:footnoteRef/>
      </w:r>
      <w:r>
        <w:t xml:space="preserve"> </w:t>
      </w:r>
      <w:r>
        <w:rPr>
          <w:b/>
          <w:bCs/>
          <w:rtl/>
        </w:rPr>
        <w:t>בההוא זמנא וראיתי' כו'.</w:t>
      </w:r>
      <w:r>
        <w:rPr>
          <w:rtl/>
        </w:rPr>
        <w:t xml:space="preserve"> עיין לעיל נ"ב ומה שבארנו שם:</w:t>
      </w:r>
    </w:p>
  </w:footnote>
  <w:footnote w:id="2592">
    <w:p w:rsidR="00A13282" w:rsidRDefault="00A13282" w:rsidP="002D629A">
      <w:pPr>
        <w:pStyle w:val="a5"/>
      </w:pPr>
      <w:r>
        <w:rPr>
          <w:rStyle w:val="a7"/>
        </w:rPr>
        <w:footnoteRef/>
      </w:r>
      <w:r>
        <w:t xml:space="preserve"> </w:t>
      </w:r>
      <w:r>
        <w:rPr>
          <w:b/>
          <w:bCs/>
          <w:rtl/>
        </w:rPr>
        <w:t>דאינון כרומחין וסייפין.</w:t>
      </w:r>
      <w:r>
        <w:rPr>
          <w:rtl/>
        </w:rPr>
        <w:t xml:space="preserve"> דכן צורת הלשון כרומח וסייף, והוא תורה שבכתב ובעל פה, רומח - רמ"ח דקריאת שמע בדכורא, וסייף - בנוק' דנקראת חרב והן כמו שמפרש והולך דאינון כו':</w:t>
      </w:r>
    </w:p>
  </w:footnote>
  <w:footnote w:id="2593">
    <w:p w:rsidR="00A13282" w:rsidRDefault="00A13282" w:rsidP="002D629A">
      <w:pPr>
        <w:pStyle w:val="a5"/>
      </w:pPr>
      <w:r>
        <w:rPr>
          <w:rStyle w:val="a7"/>
        </w:rPr>
        <w:footnoteRef/>
      </w:r>
      <w:r>
        <w:t xml:space="preserve"> </w:t>
      </w:r>
      <w:r>
        <w:rPr>
          <w:b/>
          <w:bCs/>
          <w:rtl/>
        </w:rPr>
        <w:t>זכאין אינון אם כו'.</w:t>
      </w:r>
      <w:r>
        <w:rPr>
          <w:rtl/>
        </w:rPr>
        <w:t xml:space="preserve"> רוצה לומר שלומדים לשמה כמו שאומר לקמן דמשתדלין באורייתא כו' לשמה, והנה שתי תורות שבכתב ובעל פה הם חו"ג, ימינא ושמאלא, והנה לשמה הוא בעמודא דאמצעיתא כליל שניהם, והוא דחילא ורחימא דאו"א, דעמודא דאמצעיתא כוללם, והם ארבע עטרין דכולל חג"ת כמו שאומר בזוהר חדש שיר השירים, והם יראה ואהבה ותורה שבכתב ובעל פה, ארבע אותיות הוי"ה:</w:t>
      </w:r>
    </w:p>
  </w:footnote>
  <w:footnote w:id="2594">
    <w:p w:rsidR="00A13282" w:rsidRDefault="00A13282" w:rsidP="002D629A">
      <w:pPr>
        <w:pStyle w:val="a5"/>
      </w:pPr>
      <w:r>
        <w:rPr>
          <w:rStyle w:val="a7"/>
        </w:rPr>
        <w:footnoteRef/>
      </w:r>
      <w:r>
        <w:t xml:space="preserve"> </w:t>
      </w:r>
      <w:r>
        <w:rPr>
          <w:b/>
          <w:bCs/>
          <w:rtl/>
        </w:rPr>
        <w:t>אין אומר כו'.</w:t>
      </w:r>
      <w:r>
        <w:rPr>
          <w:rtl/>
        </w:rPr>
        <w:t xml:space="preserve"> הוא תורה שבכתב, ודברים - תורה שבעל פה, דבר ואמירה כידוע, ומפרש והולך מה טעם - בלי נשמע קולם וכמו שאמרו דתורה ומצות בלא דחילו ורחימו לא סלקא לעילא וזהו בלי כו':</w:t>
      </w:r>
    </w:p>
  </w:footnote>
  <w:footnote w:id="2595">
    <w:p w:rsidR="00A13282" w:rsidRDefault="00A13282" w:rsidP="002D629A">
      <w:pPr>
        <w:pStyle w:val="a5"/>
      </w:pPr>
      <w:r>
        <w:rPr>
          <w:rStyle w:val="a7"/>
        </w:rPr>
        <w:footnoteRef/>
      </w:r>
      <w:r>
        <w:t xml:space="preserve"> </w:t>
      </w:r>
      <w:r>
        <w:rPr>
          <w:b/>
          <w:bCs/>
          <w:rtl/>
        </w:rPr>
        <w:t>כל בעלי כו' בתורה שבע"פ דאיהי כו'.</w:t>
      </w:r>
      <w:r>
        <w:rPr>
          <w:rtl/>
        </w:rPr>
        <w:t xml:space="preserve"> אע"ג דקאמר למעלה בשתי תורות מכל מקום הכל הוא תורה שבעל פה, דכל פרד"ס הכל הוא בתורה שבעל פה, אלא דהן נדרשות על תורה שבכתב ובעל פה, וכל הנ"ל הן בהיכלות ולבושין וגופא, והכל סובבין והולכין על הדעת שהיא מלגאו שהיא בת מלך פנימה, דרגא דמשה כנ"ל נ"ב ב' והוא נשמתא פנימה, פה אל פה, דרגא דמשה כמו שמפרש והולך:</w:t>
      </w:r>
    </w:p>
  </w:footnote>
  <w:footnote w:id="2596">
    <w:p w:rsidR="00A13282" w:rsidRDefault="00A13282" w:rsidP="002D629A">
      <w:pPr>
        <w:pStyle w:val="a5"/>
      </w:pPr>
      <w:r>
        <w:rPr>
          <w:rStyle w:val="a7"/>
        </w:rPr>
        <w:footnoteRef/>
      </w:r>
      <w:r>
        <w:t xml:space="preserve"> </w:t>
      </w:r>
      <w:r>
        <w:rPr>
          <w:b/>
          <w:bCs/>
          <w:rtl/>
        </w:rPr>
        <w:t>איהי הלכה דמלכא כו'.</w:t>
      </w:r>
      <w:r>
        <w:rPr>
          <w:rtl/>
        </w:rPr>
        <w:t xml:space="preserve"> רוצה לומר כד בתרין שוקין - ששם הוא הליכה - נקראת הלכה, ובתרין דרועין שם מקום הקבלה - נקראת קבלה, ובפומא, והן שלשה דרגין: רב"ג, חש"ח, וכל אחד כלול שלשה, והיא נכללת בשלשה מקומות, בשלשה נקבים - דרגא דידה, עטרה וטבור ופה, ועיין מה שבארנו לעיל נ"ג ד', ונגד שלשה בעלי אומניות בעלי פסקין הנ"ל חשיב כאן שלשה דרגין: הלכה וקבלה ותורה שבעל פה,ושלשה דרגין פנימיות מלגאו, וכמו שאומר לקמן כל בעלי אומניות כו' דאיהי מלגאו כו', וזה שאומר כד קמת על רגלהא כו' וכד כו' וכד כו', והכל ברעיא מהימנא בזמן הגאולה לעתיד לבוא במהרה בימינו, ונגד אלו שתים - הלכה וקבלה למשה, דעתה היא מרחקא מינייהו, איהי ריב, וזהו שמעו הרים - ריב דקבלה, והאיתנים - ריב דהלכה, וזה שאומר וכד איהי מרחקא כו' והאיתנים אלין כו', אבל נגד פומא לית הוא ריב דעדיין לא זכינו לזה:</w:t>
      </w:r>
    </w:p>
  </w:footnote>
  <w:footnote w:id="2597">
    <w:p w:rsidR="00A13282" w:rsidRDefault="00A13282" w:rsidP="002D629A">
      <w:pPr>
        <w:pStyle w:val="a5"/>
      </w:pPr>
      <w:r>
        <w:rPr>
          <w:rStyle w:val="a7"/>
        </w:rPr>
        <w:footnoteRef/>
      </w:r>
      <w:r>
        <w:t xml:space="preserve"> </w:t>
      </w:r>
      <w:r>
        <w:rPr>
          <w:b/>
          <w:bCs/>
          <w:rtl/>
        </w:rPr>
        <w:t>ועוד שמעו הרים מאן הרים אלין תלת נקודין דאינון סגול והאיתנים אינון תרין נקודין דאינון שבא ריב דא כו' על שורק דאיהו צדיק כד איהו מתרחק כו' בין תרווייהו איהו שלום ואיהו קשר כו'.</w:t>
      </w:r>
      <w:r>
        <w:rPr>
          <w:b/>
          <w:rtl/>
        </w:rPr>
        <w:t xml:space="preserve"> </w:t>
      </w:r>
      <w:r>
        <w:rPr>
          <w:rtl/>
        </w:rPr>
        <w:t>עיין לעיל תיקון י”ט ל"ח ב' ושורק איהו טמיר וגניז מסטרא כו' סגול ותרין אור שבא, ועיין מה שבארנו בליקוטים [דף] נ' [עמודים] א' ב' בארוכה, וכתבנו שם ששתי נקודין דלמ"ד וה"א הן חב"ח, והן כלל ופרט וכלל בשלש הנקודות חולם חירק הוא בדעת ויסוד וחולם בלמ"ד מגדל הפורח באויר, וכן ה"א ראשונה דהוי"ה, וחולם דה"א נכתב על וא"ו דהוי"ה כסדר החולם, וחירק בוא"ו למטה ממנו, והן כלל ופרט וכלל וכמו שאומר לקמן תיקון מ”ז פ"ו ב' וביה אתעבידו כלל כו', ואלו שלשה הן בשלש אותיות יק"ו, וה' בתראה בלא נקודה והיא המקבלת מחולם כידוע, וכן הוא באלקים: דאותיות ים הן בלא נקודה והן בה' בתראה, ים, כידוע דנקראת ים, והיא כוללת נש"ב, כל חמש גבורות, וה"א - דלת הוה אלא כד אתעברת אתמליאת בנקודה שבתוכה היא ה"א, וכן הוא באותיות ים, וכמו שאמרו בתיקון נ”ב שעורא דנקודה דאיהי י', טפה דבה אתעביד ים, ועיין מה שבארנו שם, והן במספר גם כן אחד: נש"ב הן חמשה תרעין, וים הוא שד' אתפשט לארבע סטרין ונקודה של ה"א מעין באמצעיתא הממלא את הים, וריבם על שורק דהוא אמצעי בין חולם וחירק, דהן אמ"ש כלל הכל, רב"ג, מים חכמה מוחא, אש בינה לבא, אויר דעת מעוי - בדעת אתתקן, ובחולם היא דעת, נקודת הפה, כוללת ג"ר, ובחירק היא עטרת מלכות, באלו השנים הן פתוחין מה שאין כן בטבור שורק שנסתם משנולד, וצדיק במקומו אור הגנוז והתחלתו מטבור על שתי הכליות דסיום תפארת הוא בטבור כמו שאמרו באידרא רבא קמ"א ב' ומשם ולמטה מעוי בדעת אתתקן, ועיין שם ובזוהר פרשת משפטים קכ"ג א', וכן התחלת הנוק' שם שהיא נגד נה"י, כי שם הדעת שהוא ביסוד, ושתי כליות נו"ה, אלא שראשה נגד נה"י הפנימים וגופה נגד נה"י החיצונים, וחג"ת עד טיבורה הוא עד סיום יסודו סיום הדעת, והנה התחלתה מטבורא דלבא, ופיה נגד טבורא, וטיבורה נגד עטרה שלו, כי הדעת הן באלו השלשה מקומות ועיין באידרא רבא שם מאחורוי מבין תרין דרועין באתר כו' כלא סתימא מכל סטרוי כו', ורוצה לומר בהיותה דבוקה עדיין אין שם שבעה נקבי הראש וצורה עד הנסירה וכמו שאומרים ראה והתקין כו' (תפלת שחרית של שבת), ואמר שם תנא אתפשט האי תפארת מטבורא דלבא כו' עיין שם, וזה שאומר אשר יצא ממעיך, כי מעוי הוא התחלת היסוד בין בדכורא ובין בנוק', והן בשני מקומות: בפה ובמילה, דחושבנם שוה, והן כלל ופרט וכלל, והפרט הוא בתפארת בין דעת לדעת, ברית הלשון והמעור, וכמו שטבורא דילה הוא בסיום יסוד דבינה, כן הוא בשלה כנ"ל, ולכן מטבורא נקרא לבר מגופא, וכן הוא בכל הפרצופים וכמו שאמרו בספרא דצניעותא פ"א, ולכן קורא כאן שורק לצדיק אף שבאמת הוא סיום הת"ת, והן שלש נקודות זה על גבי זה, דת"י, קו האמצעי, והן שלש נוקבין, וכל פתיחה ונקב - בנוקבא, ולכן נקראת נוק', והכל בקו האמצעי, בכל ספירה מקו האמצעי הוא זכר ונקבה, והיא רביעית לכל תלת, וזה שאומר לעיל ל"ח א' ב' ותא חזי שכינתא תתאה כד כו' חלם שורק למאן לההוא צינור כו' כגוונא דא כו'  כי הוא"ו הוא גוף, ו' בפשיטו, כמו שאמרו בס"א פרשת בראשית ובזוהר פרשת תצוה, ופה הוא על גבי ו' - חולם, ועטרה - חירק, וטבור באמצע הוא"ו - שורק, והוא כולל בעצמו ו"ק דיליה - ו' נקודות, ונקודות חולם פה דעת - כולל ג"ר, וכן נכללין ג"ר באמ"ש שהן שלש נקודות הנ"ל שלכן  נקרא הוא וא"ו, כולל ו"ק, ו' נקודות, וג"ר שלו נכללין באלו הוא"ו שהן מוחין דיליה, והיא דלת - שלש נקודות הנ"ל, שלש נוקבין, ופרצוף שלה הפרטי, והיא בלא נקודה - נכללת מכולם, אבל שלש נוקבין שהן דבוקים בו הן נקודין שהן בדכורא ועיין מה שבארנו שם, והן ארבע אותיות אדנ"י, ארבע נוק': אותיות אנ"י הן שלש נוק' הנ"ל, אמ"ש, ואות ד' היא נוק' הפרטי דלית לה מגרמה כלום, דלה בלא נקודה, וכוללת כל ארבע נוק' באות ד'. ואמר שמעו כו' והאיתנים כו' שהן ה' נקודות בחמש ספירות, התפשטות החסדים והגבורות בהן, וכן רומזים על חו"ג, שבא סגול, והן חמש נקודות לבד, כי נכללין חמשה בחמשה כמו שאמרו בזוהר פרשת יתרו פ"ד ב'. ואמר איהו ריב כו' רוצה לומר הצדיק, ואמר ואיהו שלום כידוע שנקרא שלום, ואמרו (משנה עוקצין ג יב) לא מצא כו' אלא שלום, שהוא כולל כל הברכות של כל חמש ספירות שנכללין בו, והוא לית ליה מגרמיה כלום ונקרא עני אבל מדרגתו שלום, וברית שלומי כו' (ישעיהו נד י), ושלום הוא בעצמו אין דבר ממשי אלא מנוחה בשב ואל תעשה אלא שאין שום מתנה בעולם זולתו כי המלחמה משבית הכל, ולכן השבת כולל הכל - ויכל ביום השביעי ובו שבת כו', מה היה העולם חסר מנוחה בא שבת כו', והוא היפך הריב, ואמר ואיהו קשר - שהוא היפך שורק, ששורק הוא מלחמה וריב כמו שכתוב ושרק לו מקצה כו' (ישעיהו ה כו), וזה שאומר תרין ריבות אינון  על שורק, אבל עתה הוא קשר, ושורק הוא אש שורקת, שורקת הריב, אבל מים - דוממת, זיווג בחשאי, וכן שלום הכל במנוחה ובחשאי, לא יצעק ולא ישא כו' (ישעיהו מב ב), ואמר הה"ד ונפשו קשורה כו' שהן קשורין ודבוקין יחד ע"י צדיק, כי כל כו' דאחיד כו', וזהו שורש האדם בעולם הזה שהוא דבוק בשמים ע"י נשמתו, שאף שהיא באדם - מגיע עד לשמים ומחוברת בשמים, כמו ברית בגוף, וגוף של האדם הוא דרגא דעטרת הברית - נוק', שהיא גוף דקב"ה, וכמו שאומר לקמן בתיקון כ”ב, והנשמה והגוף בתוך הארץ שהארץ כוללת גם האויר כידוע, והוא בתוכה כמו ברית בנוק', וכשהאבר חי אז נהנין זו"נ, והוא כשהדעת בתוכו, וכן הוא כשהדעת באדם, וכשהוא רגע בלא תורה ודעת - הוא אבר מת, ונקרא מת כמו שאמרו (ע"ז ג ע"ב) מה דגי הים כיון כו', וכמו שכל האברים הם תמיד בתוקפם לבד הברית שאינו חי כי אם ע"י התעוררות הדעת לזיווג, וכן הוא באדם הרשעים בחייהם כו' (קהלת רבה ט), ובניהו בן איש חי כו' (ברכות יח ע"ב), ולכן אינו נשאר הגוף חי כל זמן שערלה חופפת על העטרה, והוא כתנות עור של הגוף וצריך לפשטו, עד לעתיד לבוא בזמן התחיה שהוא זמן התגלות העטרה, סבוני כו' כי אמילם, דוד מלך ישראל חי וקיים ואז יתקיימו כל הגופות לעד, והוא סוד האדם שקושר שמים וארץ, ואמר האזינו השמים ואדברה ותשמע כו' - לקשרם יחד, וע"י הדעת - חו"ג, שהם טל ומטר, וזה שאומר יערוף כו' תזל כו', וזהו וצדיק יסוד עולם - על עמוד אחד העולם עומד וצדיק שמו, וכשהצדיקים בדור אז צדיק דלמעלה מתגבר גם כן, והכל כפי התגברות אותו צדיק דלמטה, ואם לאו - היחוד הוא ע"י מט"ט, צדיקו של עולם, ועיין מה שבארנו בלקוטים, והוא נשאר חי בגוף ונפש והוא קושר צבא השמים והארץ - מייחד בין נו"ה, וכן בין שמים וארץ, אבל ע"י הצדיק היחוד הוא יותר - שהוא בארץ ממש בגוף ונפש, ועל ידו מתגבר מט"ט גם כן כמו שאמרו בזוהר חדש שיר השירים נ"ד ב' אלא בכל זמנא וזמנא כו' ובגין ההוא כלילו כו':</w:t>
      </w:r>
    </w:p>
  </w:footnote>
  <w:footnote w:id="2598">
    <w:p w:rsidR="00A13282" w:rsidRDefault="00A13282" w:rsidP="002D629A">
      <w:pPr>
        <w:pStyle w:val="a5"/>
      </w:pPr>
      <w:r>
        <w:rPr>
          <w:rStyle w:val="a7"/>
        </w:rPr>
        <w:footnoteRef/>
      </w:r>
      <w:r>
        <w:t xml:space="preserve"> </w:t>
      </w:r>
      <w:r>
        <w:rPr>
          <w:b/>
          <w:bCs/>
          <w:rtl/>
        </w:rPr>
        <w:t xml:space="preserve">איהו ריב כו'. </w:t>
      </w:r>
      <w:r>
        <w:rPr>
          <w:rtl/>
        </w:rPr>
        <w:t>על עמודא דאמצעיתא קאי, במאי דסיים, וכמו שמפרש והולך:</w:t>
      </w:r>
    </w:p>
  </w:footnote>
  <w:footnote w:id="2599">
    <w:p w:rsidR="00A13282" w:rsidRDefault="00A13282" w:rsidP="002D629A">
      <w:pPr>
        <w:pStyle w:val="a5"/>
      </w:pPr>
      <w:r>
        <w:rPr>
          <w:rStyle w:val="a7"/>
        </w:rPr>
        <w:footnoteRef/>
      </w:r>
      <w:r>
        <w:t xml:space="preserve"> </w:t>
      </w:r>
      <w:r>
        <w:rPr>
          <w:b/>
          <w:bCs/>
          <w:rtl/>
        </w:rPr>
        <w:t xml:space="preserve">בגין דתרעא כו'. </w:t>
      </w:r>
      <w:r>
        <w:rPr>
          <w:rtl/>
        </w:rPr>
        <w:t>רוצה לומר כמו שאמרו מיום שחרב בית המקדש ננעלו שערי תפלה, והשערים הוא בבינה ששם נש"ב וכמו שמפרש והולך דהוא פתח, פתיחת השער, דשבילין דחכמה סתומין הן בסוד קמץ, קומץ היד בצורת יו"ד - י' דחכמה, ופתח הוא בבינה, פתיחת היד בה' אצבעאן - ה' דבינה, ושם פתיחת השערים, בדכורא - הנקבים סתומים, ובנקבה - פתוחים, וקמץ ופתח הן בחו"ב כמו שאומר לקמן (בתיקון ע’ ביו"ד נקודות שבתורה):</w:t>
      </w:r>
    </w:p>
  </w:footnote>
  <w:footnote w:id="2600">
    <w:p w:rsidR="00A13282" w:rsidRDefault="00A13282" w:rsidP="002D629A">
      <w:pPr>
        <w:pStyle w:val="a5"/>
      </w:pPr>
      <w:r>
        <w:rPr>
          <w:rStyle w:val="a7"/>
        </w:rPr>
        <w:footnoteRef/>
      </w:r>
      <w:r>
        <w:t xml:space="preserve"> </w:t>
      </w:r>
      <w:r>
        <w:rPr>
          <w:b/>
          <w:bCs/>
          <w:rtl/>
        </w:rPr>
        <w:t xml:space="preserve">פותח את ידך כו'. </w:t>
      </w:r>
      <w:r>
        <w:rPr>
          <w:rtl/>
        </w:rPr>
        <w:t>רוצה לומר י' כמו שמפרש והולך דאיהי י' חכמה קמץ כו', ורוצה לומר זה שאומר י' - הוא ידך, והוא היד כצורת י' והוא אות י', והוא לשון קמץ סתום כנ"ל:</w:t>
      </w:r>
    </w:p>
  </w:footnote>
  <w:footnote w:id="2601">
    <w:p w:rsidR="00A13282" w:rsidRDefault="00A13282" w:rsidP="002D629A">
      <w:pPr>
        <w:pStyle w:val="a5"/>
      </w:pPr>
      <w:r>
        <w:rPr>
          <w:rStyle w:val="a7"/>
        </w:rPr>
        <w:footnoteRef/>
      </w:r>
      <w:r>
        <w:t xml:space="preserve"> </w:t>
      </w:r>
      <w:r>
        <w:rPr>
          <w:b/>
          <w:bCs/>
          <w:rtl/>
        </w:rPr>
        <w:t xml:space="preserve">חכמה קמץ סתום עליה אתמר פותח כו'. </w:t>
      </w:r>
      <w:r>
        <w:rPr>
          <w:rtl/>
        </w:rPr>
        <w:t>חוזר לענין ראשון שרוצה לפרש סיפא דקרא ומשביע כו' - שקאי על יסוד דאיהי מלכא דשלמא דיליה:</w:t>
      </w:r>
    </w:p>
  </w:footnote>
  <w:footnote w:id="2602">
    <w:p w:rsidR="00A13282" w:rsidRDefault="00A13282" w:rsidP="002D629A">
      <w:pPr>
        <w:pStyle w:val="a5"/>
      </w:pPr>
      <w:r>
        <w:rPr>
          <w:rStyle w:val="a7"/>
        </w:rPr>
        <w:footnoteRef/>
      </w:r>
      <w:r>
        <w:t xml:space="preserve"> </w:t>
      </w:r>
      <w:r>
        <w:rPr>
          <w:b/>
          <w:bCs/>
          <w:rtl/>
        </w:rPr>
        <w:t xml:space="preserve">ובגינייהו איהי ריב. </w:t>
      </w:r>
      <w:r>
        <w:rPr>
          <w:rtl/>
        </w:rPr>
        <w:t>רוצה לומר בגין צדיק ושכינתא, דהוא ח"י ברכאן והצלותא:</w:t>
      </w:r>
    </w:p>
  </w:footnote>
  <w:footnote w:id="2603">
    <w:p w:rsidR="00A13282" w:rsidRDefault="00A13282" w:rsidP="002D629A">
      <w:pPr>
        <w:pStyle w:val="a5"/>
      </w:pPr>
      <w:r>
        <w:rPr>
          <w:rStyle w:val="a7"/>
        </w:rPr>
        <w:footnoteRef/>
      </w:r>
      <w:r>
        <w:t xml:space="preserve"> </w:t>
      </w:r>
      <w:r>
        <w:rPr>
          <w:b/>
          <w:bCs/>
          <w:rtl/>
        </w:rPr>
        <w:t xml:space="preserve">נחית מלא. </w:t>
      </w:r>
      <w:r>
        <w:rPr>
          <w:rtl/>
        </w:rPr>
        <w:t>דהוא נקרא מלא, אלהים - מלא י"ה, מן או"א, וכמו שאומר לקמן בתיקון ל”ח ושאר מקומות:</w:t>
      </w:r>
    </w:p>
  </w:footnote>
  <w:footnote w:id="2604">
    <w:p w:rsidR="00A13282" w:rsidRDefault="00A13282" w:rsidP="002D629A">
      <w:pPr>
        <w:pStyle w:val="a5"/>
      </w:pPr>
      <w:r>
        <w:rPr>
          <w:rStyle w:val="a7"/>
        </w:rPr>
        <w:footnoteRef/>
      </w:r>
      <w:r>
        <w:t xml:space="preserve"> </w:t>
      </w:r>
      <w:r>
        <w:rPr>
          <w:b/>
          <w:bCs/>
          <w:rtl/>
        </w:rPr>
        <w:t xml:space="preserve">עד דמטי כו'. </w:t>
      </w:r>
      <w:r>
        <w:rPr>
          <w:rtl/>
        </w:rPr>
        <w:t>והן בצלותא דהן ברכאין והצלותא שהן הברכות והבקשות שהן צדיק ושכינה:</w:t>
      </w:r>
    </w:p>
  </w:footnote>
  <w:footnote w:id="2605">
    <w:p w:rsidR="00A13282" w:rsidRDefault="00A13282" w:rsidP="002D629A">
      <w:pPr>
        <w:pStyle w:val="a5"/>
      </w:pPr>
      <w:r>
        <w:rPr>
          <w:rStyle w:val="a7"/>
        </w:rPr>
        <w:footnoteRef/>
      </w:r>
      <w:r>
        <w:t xml:space="preserve"> </w:t>
      </w:r>
      <w:r>
        <w:rPr>
          <w:b/>
          <w:bCs/>
          <w:rtl/>
        </w:rPr>
        <w:t xml:space="preserve">קליה סלקא על כל כו'. </w:t>
      </w:r>
      <w:r>
        <w:rPr>
          <w:rtl/>
        </w:rPr>
        <w:t>דהנחלין הן מהנהר שהוא הדעת, והוא הסליק ונחית, עמודא דאמצעיתא, והן נחלין ומבועין דאורייתא שהוא הדעת:</w:t>
      </w:r>
    </w:p>
  </w:footnote>
  <w:footnote w:id="2606">
    <w:p w:rsidR="00A13282" w:rsidRDefault="00A13282" w:rsidP="002D629A">
      <w:pPr>
        <w:pStyle w:val="a5"/>
      </w:pPr>
      <w:r>
        <w:rPr>
          <w:rStyle w:val="a7"/>
        </w:rPr>
        <w:footnoteRef/>
      </w:r>
      <w:r>
        <w:t xml:space="preserve"> </w:t>
      </w:r>
      <w:r>
        <w:rPr>
          <w:b/>
          <w:bCs/>
          <w:rtl/>
        </w:rPr>
        <w:t xml:space="preserve">הה"ד נשאו נהרות ה' נשאו נהרות קולם כו' וכד נחית נחית בתרין נקודין כו'. </w:t>
      </w:r>
      <w:r>
        <w:rPr>
          <w:rtl/>
        </w:rPr>
        <w:t>רוצה לומר, נשאו נהרות ה' נשאו נהרות קולם הוא בחג"ת, וישאו נהרות דכים הוא בנה"י, ומפרש נשאו על ת"ת דסליק למעלה מהנהרות חו"ג אבל ישאו הוא יסוד שהוא למטה מהנהרות ולכן נאמר ישאו וכמו שנבאר  למטה, ושני נהרות חו"ג הן שוין, שני המאורות הגדולים, ששם זו"נ שוים ושלמים, והוא סגולתא בצרי, אבל שני נו"ה הן שוא, המאור הגדול והמאור הקטן כו', מעלה ומטה, וצדיק למטה שורק וכמו שמפרש והולך, ורוצה לומר נשאו נהרות - הן חו"ג, קולם - קול יעקב כמו שמפרש והולך, ונשאו נהרות ה' - הן שמעלין להנהרות שלמעלה, או"א, ושם נקרא ה' הוי"ה בדעת כי דעת כולל הוי"ה שלימה, ארבעה מוחין, ארבעה בתים דתפילין, והוא סוד כנור - נ"ר כ"ו, בשלשה דרגין, וכמו שאמרו בתיקוני זוהר חדש, והנהרות הן לעולם בימינא ושמאלא, שני נהרות, והן בשלשה מקומות: בחו"ב וחו"ג ונו"ה, וכמו שאמרו בתיקוני זוהר חדש אלא שכאן מפרש נשאו נהרות ה' נשאו נהרות קולם הכל בחד דרגא, וישאו נהרות דכים בחד דרגא, שלכן כאן כתיב נשאו וכאן ישאו וכנ"ל אלא דסליק לאו"א כנ"ל:</w:t>
      </w:r>
    </w:p>
  </w:footnote>
  <w:footnote w:id="2607">
    <w:p w:rsidR="00A13282" w:rsidRDefault="00A13282" w:rsidP="002D629A">
      <w:pPr>
        <w:pStyle w:val="a5"/>
      </w:pPr>
      <w:r>
        <w:rPr>
          <w:rStyle w:val="a7"/>
        </w:rPr>
        <w:footnoteRef/>
      </w:r>
      <w:r>
        <w:t xml:space="preserve"> </w:t>
      </w:r>
      <w:r>
        <w:rPr>
          <w:b/>
          <w:bCs/>
          <w:rtl/>
        </w:rPr>
        <w:t xml:space="preserve">כגון על כתף ישאו ואנא נחית כו'. </w:t>
      </w:r>
      <w:r>
        <w:rPr>
          <w:rtl/>
        </w:rPr>
        <w:t>אמר כגון על כו', כמו שאומר לקמן נשאו לא כתיב אלא ישאו כגון על כתף ישאו, ורוצה לומר דלא כתיב נשאו דמשמע על גבם אלא ישאו, ורוצה לומר לעתיד לבוא אז ישאו, דעתה צדיק אין נשיאות לו אבל לעתיד לבוא יעלה עם השכינה, וכן על כתף ישאו - בשכינתא, והענין כי הנשיאות דכאן דהוא למטה - אינה אלא בנוק', דבה הוא למעלה על כתף דידה, דיסוד דידה הוא נגד דעת דידה ודעת דידה הוא בין כתפין כידוע, וזה על כתף ישאו וכמו שאומר לקמן ותמלא כדה ותעל וכתיב וכדה על שכמה וכד הוא דכים כ"ד ספרים דדעת וכמו שמפרש והולך, ואמר ישאו - דהוא יהיה לעתיד לבוא, שהדעת יהיה בארץ כי תמלא הארץ דעה מה שאין כן עתה, וזהו ישאו:</w:t>
      </w:r>
    </w:p>
  </w:footnote>
  <w:footnote w:id="2608">
    <w:p w:rsidR="00A13282" w:rsidRDefault="00A13282" w:rsidP="002D629A">
      <w:pPr>
        <w:pStyle w:val="a5"/>
      </w:pPr>
      <w:r>
        <w:rPr>
          <w:rStyle w:val="a7"/>
        </w:rPr>
        <w:footnoteRef/>
      </w:r>
      <w:r>
        <w:t xml:space="preserve"> </w:t>
      </w:r>
      <w:r>
        <w:rPr>
          <w:b/>
          <w:bCs/>
          <w:rtl/>
        </w:rPr>
        <w:t xml:space="preserve">דאיהו שורק בנקודת חירק. </w:t>
      </w:r>
      <w:r>
        <w:rPr>
          <w:rtl/>
        </w:rPr>
        <w:t>שחירק עם שו"א הוא שורק:</w:t>
      </w:r>
    </w:p>
  </w:footnote>
  <w:footnote w:id="2609">
    <w:p w:rsidR="00A13282" w:rsidRDefault="00A13282" w:rsidP="002D629A">
      <w:pPr>
        <w:pStyle w:val="a5"/>
      </w:pPr>
      <w:r>
        <w:rPr>
          <w:rStyle w:val="a7"/>
        </w:rPr>
        <w:footnoteRef/>
      </w:r>
      <w:r>
        <w:t xml:space="preserve"> </w:t>
      </w:r>
      <w:r>
        <w:rPr>
          <w:b/>
          <w:bCs/>
          <w:rtl/>
        </w:rPr>
        <w:t xml:space="preserve">כי שם חלקת מחוקק ספון </w:t>
      </w:r>
      <w:r>
        <w:rPr>
          <w:rtl/>
        </w:rPr>
        <w:t>רוצה לומר בצדיק שהוא שבט גד, בא גד כמו שאמרו בזוהר פרשת ויחי ושם חלקת מחוקק - משה רבינו עליו השלום דרגא דדעת, ומביא ראיה שבאלו שני מקומות הדעת על גבי נהרות הנ"ל והוא בדעת דידיה ומקום השני ישאו כו' בצדיק ששם גם כן מקום הדעת וכנ"ל והוא נגד דעת דידה והראיה שהוא שם שנאמר ומחוקק מבין רגליו שמחוקק הוא בין רגליו ואמר ספון כי בצדיק הוא אור הגנוז כמו שאומר בתיקון י”ט:</w:t>
      </w:r>
    </w:p>
  </w:footnote>
  <w:footnote w:id="2610">
    <w:p w:rsidR="00A13282" w:rsidRDefault="00A13282" w:rsidP="002D629A">
      <w:pPr>
        <w:pStyle w:val="a5"/>
      </w:pPr>
      <w:r>
        <w:rPr>
          <w:rStyle w:val="a7"/>
        </w:rPr>
        <w:footnoteRef/>
      </w:r>
      <w:r>
        <w:t xml:space="preserve"> </w:t>
      </w:r>
      <w:r>
        <w:rPr>
          <w:b/>
          <w:bCs/>
          <w:rtl/>
        </w:rPr>
        <w:t xml:space="preserve">קשורא דתרין כו'. </w:t>
      </w:r>
      <w:r>
        <w:rPr>
          <w:rtl/>
        </w:rPr>
        <w:t>למעלה מפרש מה שאמר ואנא נחית בצדיק כו', וכאן מפרש מה שאמר דאיהו שורק כו', ולמטה מפרש מה שכתוב דכים ואמר דאיהו דכים דך ים כו', ואמר כאן דאיהו קשורא כו' רוצה לומר דלכן נקרא שורק לשון קשר כנ"ל ואיהו קשר כו', וכן כאן בין שתי ירכין, והענין כי שני קוין וכן שני נקודין בשיווי אין צריך קשר כמו זה על זה כידוע בסוד עולם התהו ולכן כאן צריך לקשר אמיץ:</w:t>
      </w:r>
    </w:p>
  </w:footnote>
  <w:footnote w:id="2611">
    <w:p w:rsidR="00A13282" w:rsidRDefault="00A13282" w:rsidP="002D629A">
      <w:pPr>
        <w:pStyle w:val="a5"/>
      </w:pPr>
      <w:r>
        <w:rPr>
          <w:rStyle w:val="a7"/>
        </w:rPr>
        <w:footnoteRef/>
      </w:r>
      <w:r>
        <w:t xml:space="preserve"> </w:t>
      </w:r>
      <w:r>
        <w:rPr>
          <w:b/>
          <w:bCs/>
          <w:rtl/>
        </w:rPr>
        <w:t xml:space="preserve">דך ים. </w:t>
      </w:r>
      <w:r>
        <w:rPr>
          <w:rtl/>
        </w:rPr>
        <w:t>רוצה לומר ים הוא נש"ב ואיהו דך בכ"ד וכמו שאומר לקמן ואתון לא אשתאבתון מיניה אלא כד חד כו', והן נש"ב - בשני פסוקי שמע דשחרית וערבית, והוא דך בכ"ד דברוך שם כבוד מלכותו לעולם ועד, וזהו דך ים, וזה שאומר כליל כו', ואף ששתי פעמים כ"ד הן מכל מקום נקרא דך כי שתי פעמים כד הן דצדיק ושכינה דשחרית וערבית, והוא מה שאומר ושכינתא וכדה על שכמה, ובגלותא דאיהו דך מן שכינתא - נקרא דך - פעם אחת כ"ד:</w:t>
      </w:r>
    </w:p>
  </w:footnote>
  <w:footnote w:id="2612">
    <w:p w:rsidR="00A13282" w:rsidRDefault="00A13282" w:rsidP="002D629A">
      <w:pPr>
        <w:pStyle w:val="a5"/>
      </w:pPr>
      <w:r>
        <w:rPr>
          <w:rStyle w:val="a7"/>
        </w:rPr>
        <w:footnoteRef/>
      </w:r>
      <w:r>
        <w:t xml:space="preserve"> </w:t>
      </w:r>
      <w:r>
        <w:rPr>
          <w:b/>
          <w:bCs/>
          <w:rtl/>
        </w:rPr>
        <w:t xml:space="preserve">אל ישוב כו'. </w:t>
      </w:r>
      <w:r>
        <w:rPr>
          <w:rtl/>
        </w:rPr>
        <w:t>דהן כ"ד צרופי אדנ"י, והוא בראשי תיבות אחד מהצרופים ואל ישוב דך, דלא חסר לעולם מכ"ד דהוא דך, ומפרש והולך דך איהו בכ"ד כו' ומובטחים אנו שלא תשתכח התורה מישראל שנאמר כי לא כו' (שבת קלח ע"ב), וכן הצדיק - שהוא מתמלא ע"י הצדיקים, וכן השכינה וזה שאומר ושכינתא כו' ואמר על שכמה - דשם מקום הדעת כנ"ל:</w:t>
      </w:r>
    </w:p>
  </w:footnote>
  <w:footnote w:id="2613">
    <w:p w:rsidR="00A13282" w:rsidRDefault="00A13282" w:rsidP="002D629A">
      <w:pPr>
        <w:pStyle w:val="a5"/>
      </w:pPr>
      <w:r>
        <w:rPr>
          <w:rStyle w:val="a7"/>
        </w:rPr>
        <w:footnoteRef/>
      </w:r>
      <w:r>
        <w:t xml:space="preserve"> </w:t>
      </w:r>
      <w:r>
        <w:rPr>
          <w:b/>
          <w:bCs/>
          <w:rtl/>
        </w:rPr>
        <w:t xml:space="preserve">וכד צדיק יהא מלא מעד"א. </w:t>
      </w:r>
      <w:r>
        <w:rPr>
          <w:rtl/>
        </w:rPr>
        <w:t>דעמודא דאמצעיתא נקרא מלא כנ"ל וכמו שאומר בריש תיקון ל"ח והוא הדעת כנ"ל, וכן ת"ת הוא מלא תמיד ועליו נאמר העשיר כו' כמו שאומר ברעיא מהימנא פרשת תשא, והוא עשיר, אבל צדיק נקרא בגלותא דל, בשעתא דאתרחק עמודא דאמצעיתא מיניה וכן הנהר והכל אחד:</w:t>
      </w:r>
    </w:p>
  </w:footnote>
  <w:footnote w:id="2614">
    <w:p w:rsidR="00A13282" w:rsidRDefault="00A13282" w:rsidP="002D629A">
      <w:pPr>
        <w:pStyle w:val="a5"/>
      </w:pPr>
      <w:r>
        <w:rPr>
          <w:rStyle w:val="a7"/>
        </w:rPr>
        <w:footnoteRef/>
      </w:r>
      <w:r>
        <w:t xml:space="preserve"> </w:t>
      </w:r>
      <w:r>
        <w:rPr>
          <w:b/>
          <w:bCs/>
          <w:rtl/>
        </w:rPr>
        <w:t xml:space="preserve">אתמר בה ותמלא כדה ותעל בהאי נקודה כו'.  </w:t>
      </w:r>
      <w:r>
        <w:rPr>
          <w:rtl/>
        </w:rPr>
        <w:t>דהאי חירק בין שהוא למעלה בין למטה - הכל נעשה שורק, מה שאין כן בצירי דהוא סגולתא וסגול, ואמר בתר דאיהו מלא רוצה לומר אימתי סליק למעלה בתר דאיהו מלא:</w:t>
      </w:r>
    </w:p>
  </w:footnote>
  <w:footnote w:id="2615">
    <w:p w:rsidR="00A13282" w:rsidRDefault="00A13282" w:rsidP="002D629A">
      <w:pPr>
        <w:pStyle w:val="a5"/>
      </w:pPr>
      <w:r>
        <w:rPr>
          <w:rStyle w:val="a7"/>
        </w:rPr>
        <w:footnoteRef/>
      </w:r>
      <w:r>
        <w:t xml:space="preserve"> </w:t>
      </w:r>
      <w:r>
        <w:rPr>
          <w:b/>
          <w:bCs/>
          <w:rtl/>
        </w:rPr>
        <w:t xml:space="preserve">מסטרא דיליה ומסטרא דעד"א אתמר כו'. </w:t>
      </w:r>
      <w:r>
        <w:rPr>
          <w:rtl/>
        </w:rPr>
        <w:t>כמו שמפרש והולך כל הזוקף כו' דעמודא דאמצעיתא נקרא שם, והוא ברוך כידוע והוא סליקת החירק ועלייתו כנ"ל:</w:t>
      </w:r>
    </w:p>
  </w:footnote>
  <w:footnote w:id="2616">
    <w:p w:rsidR="00A13282" w:rsidRDefault="00A13282" w:rsidP="002D629A">
      <w:pPr>
        <w:pStyle w:val="a5"/>
      </w:pPr>
      <w:r>
        <w:rPr>
          <w:rStyle w:val="a7"/>
        </w:rPr>
        <w:footnoteRef/>
      </w:r>
      <w:r>
        <w:t xml:space="preserve"> </w:t>
      </w:r>
      <w:r>
        <w:rPr>
          <w:b/>
          <w:bCs/>
          <w:rtl/>
        </w:rPr>
        <w:t xml:space="preserve">סליקת ודאי מגלותא לגבי בעלה בהאי שעתא איהי אמרה כו'. </w:t>
      </w:r>
      <w:r>
        <w:rPr>
          <w:rtl/>
        </w:rPr>
        <w:t>אמר דאיהי אמרה כו' דאיהי משקה אותו, דעל ידה איהו אתשקיא, דאין הצדיק נתמלא אלא בשבילה כמו בזיווגא דבר נש, וכן למעלה וכן היא משקה לאדם הצדיק דלתתא:</w:t>
      </w:r>
    </w:p>
  </w:footnote>
  <w:footnote w:id="2617">
    <w:p w:rsidR="00A13282" w:rsidRDefault="00A13282" w:rsidP="002D629A">
      <w:pPr>
        <w:pStyle w:val="a5"/>
      </w:pPr>
      <w:r>
        <w:rPr>
          <w:rStyle w:val="a7"/>
        </w:rPr>
        <w:footnoteRef/>
      </w:r>
      <w:r>
        <w:t xml:space="preserve"> </w:t>
      </w:r>
      <w:r>
        <w:rPr>
          <w:b/>
          <w:bCs/>
          <w:rtl/>
        </w:rPr>
        <w:t xml:space="preserve">דאינון גמולי מחלב. </w:t>
      </w:r>
      <w:r>
        <w:rPr>
          <w:rtl/>
        </w:rPr>
        <w:t>דאימא מתפשטת עד הוד ולכן כולם הם עשירים תמיד, לבד צדיק דאיהו יתום מאמו ולית ליה אלא מדעת וכן השכינה ולכן הברית ועטרה אינן חיים אלא בעת זיווגא שמתמלאים מדעת ובאמת שגם נו"ה נקראים דלים מסטרא דיסוד דהוא כוללם, וחג"ת הן בכלל עמודא דאמצעיתא והן עשירים ומלאים, וכן אמר למטה וצדיק איהו דך בשוקא כו' אבל עיקר הדלות הוא מכל מקום בצדיק ושכינה והנה הם גמולים מחלב אמם וכן הצדיקים דלתתא ולכן נאמר את מי יורה דעה ואת מי יבין שמועה גמולי מחלב - דהן צריכין לדעת, ואמר יורה כו' יבין כו' - נגד שנים שבדעת - חו"ג, והם דעה ושמועה, דשמועה אינה כמו דעה רק נשמע מאחר, וכן צריכין להבין להם, וזה שאומר לגמליך, גמולי כו':</w:t>
      </w:r>
    </w:p>
  </w:footnote>
  <w:footnote w:id="2618">
    <w:p w:rsidR="00A13282" w:rsidRDefault="00A13282" w:rsidP="002D629A">
      <w:pPr>
        <w:pStyle w:val="a5"/>
      </w:pPr>
      <w:r>
        <w:rPr>
          <w:rStyle w:val="a7"/>
        </w:rPr>
        <w:footnoteRef/>
      </w:r>
      <w:r>
        <w:t xml:space="preserve"> </w:t>
      </w:r>
      <w:r>
        <w:rPr>
          <w:b/>
          <w:bCs/>
          <w:rtl/>
        </w:rPr>
        <w:t xml:space="preserve">ועוד חולם אתקרי כו' בקשורא דתרווייהו. </w:t>
      </w:r>
      <w:r>
        <w:rPr>
          <w:rtl/>
        </w:rPr>
        <w:t>והוא בקנה דהוא סולם דידהו כמו שאומר ברעיא מהימנא פרשת פנחס ולקמן ריש תיקון נ"ה והן שלשה דרגין הכוללים כמו שנבאר שם והן חולם שורק חירק גם כן שלשה דרגין הכוללין הכל וכמו שבארנו למעלה והכל בעמודא דאמצעיתא הנהר דהוא בכולא וכולל הכל:</w:t>
      </w:r>
    </w:p>
  </w:footnote>
  <w:footnote w:id="2619">
    <w:p w:rsidR="00A13282" w:rsidRDefault="00A13282" w:rsidP="002D629A">
      <w:pPr>
        <w:pStyle w:val="a5"/>
      </w:pPr>
      <w:r>
        <w:rPr>
          <w:rStyle w:val="a7"/>
        </w:rPr>
        <w:footnoteRef/>
      </w:r>
      <w:r>
        <w:t xml:space="preserve"> </w:t>
      </w:r>
      <w:r>
        <w:rPr>
          <w:b/>
          <w:bCs/>
          <w:rtl/>
        </w:rPr>
        <w:t xml:space="preserve">ועוד חולם אתקרי כו'. </w:t>
      </w:r>
      <w:r>
        <w:rPr>
          <w:rtl/>
        </w:rPr>
        <w:t>כמו שמלמעלה למטה נכלל בשלשה דרגין כן הוא גם כן מימינא לשמאלא בשלשה דרגין חד"ר כידוע וקו ימין בו נכלל חח"נ כו' כידוע, ומלמעלה למטה - כח"ב נכלל במעלה, מוחא, וכן בכולם כידוע:</w:t>
      </w:r>
    </w:p>
  </w:footnote>
  <w:footnote w:id="2620">
    <w:p w:rsidR="00A13282" w:rsidRDefault="00A13282" w:rsidP="002D629A">
      <w:pPr>
        <w:pStyle w:val="a5"/>
      </w:pPr>
      <w:r>
        <w:rPr>
          <w:rStyle w:val="a7"/>
        </w:rPr>
        <w:footnoteRef/>
      </w:r>
      <w:r>
        <w:t xml:space="preserve"> </w:t>
      </w:r>
      <w:r>
        <w:rPr>
          <w:b/>
          <w:bCs/>
          <w:rtl/>
        </w:rPr>
        <w:t xml:space="preserve">על כל קרבנך כו'. </w:t>
      </w:r>
      <w:r>
        <w:rPr>
          <w:rtl/>
        </w:rPr>
        <w:t>דמלח ממתקת את הבשר והוא מסטרא דימינא שממתקת הכל וזה שכתוב (ויקרא ב יג) מלח ברית - שחסד בפומא דאמה (זוהר במדבר קמב ע"א), והברית נקראת חסד - (דברים ז ט) שומר הברית והחסד:</w:t>
      </w:r>
    </w:p>
  </w:footnote>
  <w:footnote w:id="2621">
    <w:p w:rsidR="00A13282" w:rsidRDefault="00A13282" w:rsidP="002D629A">
      <w:pPr>
        <w:pStyle w:val="a5"/>
      </w:pPr>
      <w:r>
        <w:rPr>
          <w:rStyle w:val="a7"/>
        </w:rPr>
        <w:footnoteRef/>
      </w:r>
      <w:r>
        <w:t xml:space="preserve"> </w:t>
      </w:r>
      <w:r>
        <w:rPr>
          <w:b/>
          <w:bCs/>
          <w:rtl/>
        </w:rPr>
        <w:t xml:space="preserve">וחירק בכל כו'. </w:t>
      </w:r>
      <w:r>
        <w:rPr>
          <w:rtl/>
        </w:rPr>
        <w:t>שחירק - דין, חורק שן, ויחרקו שן (איכה ב טז), וכמו שאומר למטה וביה חורק עליו כו', ולכן הוא חולם מלמעלה וחירק מלמטה שכל מה שלמעלה הוא חסד כידוע שהדין הוא בהתפשטות, ושורק הוא דרגא דאמצעיתא וזה שאומר ואיהו שורק כו', ואף ששריקה הוא גם כן דין מכל מקום אינו כמו החריקה, שחריקת שן הוא קשה יותר ולכן זה בשפתים - בשר וזה בחריקת שינים - עצם:</w:t>
      </w:r>
    </w:p>
  </w:footnote>
  <w:footnote w:id="2622">
    <w:p w:rsidR="00A13282" w:rsidRDefault="00A13282" w:rsidP="002D629A">
      <w:pPr>
        <w:pStyle w:val="a5"/>
      </w:pPr>
      <w:r>
        <w:rPr>
          <w:rStyle w:val="a7"/>
        </w:rPr>
        <w:footnoteRef/>
      </w:r>
      <w:r>
        <w:t xml:space="preserve"> </w:t>
      </w:r>
      <w:r>
        <w:rPr>
          <w:b/>
          <w:bCs/>
          <w:rtl/>
        </w:rPr>
        <w:t xml:space="preserve">ועוד חולם אתקריא' אימא עילאה כו'. </w:t>
      </w:r>
      <w:r>
        <w:rPr>
          <w:rtl/>
        </w:rPr>
        <w:t>דהן גם כן שלשה דרגין הנ"ל מוחא ולבא וריאה כנ"ל שהן שלשה דרגין הכוללין:</w:t>
      </w:r>
    </w:p>
  </w:footnote>
  <w:footnote w:id="2623">
    <w:p w:rsidR="00A13282" w:rsidRDefault="00A13282" w:rsidP="002D629A">
      <w:pPr>
        <w:pStyle w:val="a5"/>
      </w:pPr>
      <w:r>
        <w:rPr>
          <w:rStyle w:val="a7"/>
        </w:rPr>
        <w:footnoteRef/>
      </w:r>
      <w:r>
        <w:t xml:space="preserve"> </w:t>
      </w:r>
      <w:r>
        <w:rPr>
          <w:b/>
          <w:bCs/>
          <w:rtl/>
        </w:rPr>
        <w:t xml:space="preserve">דאיהו עשור. </w:t>
      </w:r>
      <w:r>
        <w:rPr>
          <w:rtl/>
        </w:rPr>
        <w:t>שהוא כתר דז"א, ספירה העשירית דיליה, וכן הוא גם כן כתר של כל עשר ספירות - דהא נקרא כתר, אהי"ה כידוע, והיא גם כן נכללת בכתר ורוצה לומר דלכן יום כפור בעשור, וחולם - אותיות מוחל:</w:t>
      </w:r>
    </w:p>
  </w:footnote>
  <w:footnote w:id="2624">
    <w:p w:rsidR="00A13282" w:rsidRDefault="00A13282" w:rsidP="002D629A">
      <w:pPr>
        <w:pStyle w:val="a5"/>
      </w:pPr>
      <w:r>
        <w:rPr>
          <w:rStyle w:val="a7"/>
        </w:rPr>
        <w:footnoteRef/>
      </w:r>
      <w:r>
        <w:t xml:space="preserve"> </w:t>
      </w:r>
      <w:r>
        <w:rPr>
          <w:b/>
          <w:bCs/>
          <w:rtl/>
        </w:rPr>
        <w:t xml:space="preserve">וחירק כו'. </w:t>
      </w:r>
      <w:r>
        <w:rPr>
          <w:rtl/>
        </w:rPr>
        <w:t>ושורק הוא בעמודא דאמצעיתא הכוללם כנ"ל:</w:t>
      </w:r>
    </w:p>
  </w:footnote>
  <w:footnote w:id="2625">
    <w:p w:rsidR="00A13282" w:rsidRDefault="00A13282" w:rsidP="002D629A">
      <w:pPr>
        <w:pStyle w:val="a5"/>
      </w:pPr>
      <w:r>
        <w:rPr>
          <w:rStyle w:val="a7"/>
        </w:rPr>
        <w:footnoteRef/>
      </w:r>
      <w:r>
        <w:t xml:space="preserve"> </w:t>
      </w:r>
      <w:r>
        <w:rPr>
          <w:b/>
          <w:bCs/>
          <w:rtl/>
        </w:rPr>
        <w:t xml:space="preserve">ד"א נשאו כו' ערב ובוקר כו'. </w:t>
      </w:r>
      <w:r>
        <w:rPr>
          <w:rtl/>
        </w:rPr>
        <w:t>רוצה לומר שתי פעמים שמע בערב ובקר הן שתי פעמים כ"ה, ושמע בעצמו הוא קולם - עמודא דאמצעיתא, וסלקין ליה בימינא ושמאלא לגבי אימא עלאה דאיהי כ"ה כ"ה בימינא ושמאלא, וצדיק איהו דך - בברוך שם כבוד מלכותו לעולם ועד, בשחרית, ואיהי - כדה - בברוך שם כבוד מלכותו לעולם ועד דערבית, וכן הוא - בשניהם, והיא גם כן בשניהם, וזה שאומר ושמתי כ"ד כ"ד בשניהם והיא גם כן כד"ה בתרוויהון, והענין כי בודאי ברוך שם כבוד מלכותו לעולם ועד בצדיק הוא בין בשחרית בין בערבית אלא שלפי שצדיק ושכינה כלולים זה בזה לכן שתי פעמים כ"ד כ"ד הן אחד בצדיק ואחד בשכינה, בתרי שוקין, וכמו אימא עלאה בתרי ידין, ימינא ושמאלא - אבל הן בשניהם, אלא באחד נקרא דך ים:</w:t>
      </w:r>
    </w:p>
  </w:footnote>
  <w:footnote w:id="2626">
    <w:p w:rsidR="00A13282" w:rsidRDefault="00A13282" w:rsidP="002D629A">
      <w:pPr>
        <w:pStyle w:val="a5"/>
      </w:pPr>
      <w:r>
        <w:rPr>
          <w:rStyle w:val="a7"/>
        </w:rPr>
        <w:footnoteRef/>
      </w:r>
      <w:r>
        <w:t xml:space="preserve"> </w:t>
      </w:r>
      <w:r>
        <w:rPr>
          <w:b/>
          <w:bCs/>
          <w:rtl/>
        </w:rPr>
        <w:t xml:space="preserve">וצדיק לא אשתמע קלא כו'. </w:t>
      </w:r>
      <w:r>
        <w:rPr>
          <w:rtl/>
        </w:rPr>
        <w:t>רוצה לומר בשמע מגביהין קולם וזהו נשאו נהרות קולם אבל בצדיק ישאו ולא כתיב נשאו דלא אשתמע אלא אומרים בלחש, ולעתיד לבוא ישאו וזה שאומר נשאו לא כו':</w:t>
      </w:r>
    </w:p>
  </w:footnote>
  <w:footnote w:id="2627">
    <w:p w:rsidR="00A13282" w:rsidRDefault="00A13282" w:rsidP="002D629A">
      <w:pPr>
        <w:pStyle w:val="a5"/>
      </w:pPr>
      <w:r>
        <w:rPr>
          <w:rStyle w:val="a7"/>
        </w:rPr>
        <w:footnoteRef/>
      </w:r>
      <w:r>
        <w:t xml:space="preserve"> </w:t>
      </w:r>
      <w:r>
        <w:rPr>
          <w:b/>
          <w:bCs/>
          <w:rtl/>
        </w:rPr>
        <w:t xml:space="preserve">כגון על כתף כו'. </w:t>
      </w:r>
      <w:r>
        <w:rPr>
          <w:rtl/>
        </w:rPr>
        <w:t>רוצה לומר שהדעת יהיה בארץ אז (ישעיהו יא ט) לא ירעו ולא ישחיתו כי מלאה הארץ דעה כו', ולא יהיה פחד עוד לומר בשכמל"ו בקול רם ואז ישאו נהרות דכים בקול רם את הד"ך של ים:</w:t>
      </w:r>
    </w:p>
  </w:footnote>
  <w:footnote w:id="2628">
    <w:p w:rsidR="00A13282" w:rsidRDefault="00A13282" w:rsidP="002D629A">
      <w:pPr>
        <w:pStyle w:val="a5"/>
      </w:pPr>
      <w:r>
        <w:rPr>
          <w:rStyle w:val="a7"/>
        </w:rPr>
        <w:footnoteRef/>
      </w:r>
      <w:r>
        <w:t xml:space="preserve"> </w:t>
      </w:r>
      <w:r>
        <w:rPr>
          <w:b/>
          <w:bCs/>
          <w:rtl/>
        </w:rPr>
        <w:t xml:space="preserve">בההוא זמנא ותמלא כו'. </w:t>
      </w:r>
      <w:r>
        <w:rPr>
          <w:rtl/>
        </w:rPr>
        <w:t>רוצה לומר בעת הגאולה וכן בברוך שם כבוד מלכותו לעולם ועד:</w:t>
      </w:r>
    </w:p>
  </w:footnote>
  <w:footnote w:id="2629">
    <w:p w:rsidR="00A13282" w:rsidRDefault="00A13282" w:rsidP="002D629A">
      <w:pPr>
        <w:pStyle w:val="a5"/>
      </w:pPr>
      <w:r>
        <w:rPr>
          <w:rStyle w:val="a7"/>
        </w:rPr>
        <w:footnoteRef/>
      </w:r>
      <w:r>
        <w:t xml:space="preserve"> </w:t>
      </w:r>
      <w:r>
        <w:rPr>
          <w:b/>
          <w:bCs/>
          <w:rtl/>
        </w:rPr>
        <w:t xml:space="preserve">ותאמר שתה. </w:t>
      </w:r>
      <w:r>
        <w:rPr>
          <w:rtl/>
        </w:rPr>
        <w:t>הוא שהיא משקה את הצדיק כנ"ל, והוא ברוך שהוא בצדיק כנ"ל וגם לגמליך כו', הן רמ"ח עלמין, רמ"ח פקודין, רמ"ח אברים דכלילין בברית וכמו שאומר לקמן בתיקון ל”ט, והן רמ"ח תיבין דקריאת שמע כמו שמפרש והולך והן גמולי מחלב דבצדיק הוא גמול מחלב אמו כנ"ל והכל מתשקיא על ידה כנ"ל וזה שאומר אינון רמ"ח כו' כלהו אתשקיין ע"י כו' דאיהו כד כו' והן כ"ד אתוון דברוך שם כבוד מלכותו לעולם ועד, ואע"ג דאינון במנינא דרמ"ח מכל מקום שתי בחינות הן כמו שאומר לעיל נ"ג א' עיין שם:</w:t>
      </w:r>
    </w:p>
  </w:footnote>
  <w:footnote w:id="2630">
    <w:p w:rsidR="00A13282" w:rsidRDefault="00A13282" w:rsidP="002D629A">
      <w:pPr>
        <w:pStyle w:val="a5"/>
      </w:pPr>
      <w:r>
        <w:rPr>
          <w:rStyle w:val="a7"/>
        </w:rPr>
        <w:footnoteRef/>
      </w:r>
      <w:r>
        <w:t xml:space="preserve"> </w:t>
      </w:r>
      <w:r>
        <w:rPr>
          <w:b/>
          <w:bCs/>
          <w:rtl/>
        </w:rPr>
        <w:t>דאיהו כד ים כ"ד ספרין כו' דאתמלי מים עלאה כו' לקב"ה ב' זמנין דסליק ים כו' בהיפוך אתוון דך איהו צדיק בהאי כ"ד כו'.</w:t>
      </w:r>
      <w:r>
        <w:rPr>
          <w:rtl/>
        </w:rPr>
        <w:t xml:space="preserve"> כמו שמפרש והולך דנקרא כד בגין דאיהי  תבירא כו' ועליה אתמר לב כו', רוצה לומר דנדכה - אותיות כד ביה, ולב הוא שכינתא והיא לב נשבר, ואמר צדיק איהו דך במיא דאורייתא דרוצה לומר זהו דך ים שהוא בימא דאורייתא - והיא במיא, וכתית הוא באור, במשחא, וזה שאומר ואיהו כתית במשחא דאורייתא:</w:t>
      </w:r>
    </w:p>
  </w:footnote>
  <w:footnote w:id="2631">
    <w:p w:rsidR="00A13282" w:rsidRDefault="00A13282" w:rsidP="002D629A">
      <w:pPr>
        <w:pStyle w:val="a5"/>
      </w:pPr>
      <w:r>
        <w:rPr>
          <w:rStyle w:val="a7"/>
        </w:rPr>
        <w:footnoteRef/>
      </w:r>
      <w:r>
        <w:t xml:space="preserve"> </w:t>
      </w:r>
      <w:r>
        <w:rPr>
          <w:b/>
          <w:bCs/>
          <w:rtl/>
        </w:rPr>
        <w:t xml:space="preserve">ואיהו שמן כתית. </w:t>
      </w:r>
      <w:r>
        <w:rPr>
          <w:rtl/>
        </w:rPr>
        <w:t>הוא ראיה דהוא כתית דכתיב ביה שמן כתית, ושמן הוא בצדיק דהוא זית ושמן זית דכתיש כתישין:</w:t>
      </w:r>
    </w:p>
  </w:footnote>
  <w:footnote w:id="2632">
    <w:p w:rsidR="00A13282" w:rsidRDefault="00A13282" w:rsidP="002D629A">
      <w:pPr>
        <w:pStyle w:val="a5"/>
      </w:pPr>
      <w:r>
        <w:rPr>
          <w:rStyle w:val="a7"/>
        </w:rPr>
        <w:footnoteRef/>
      </w:r>
      <w:r>
        <w:t xml:space="preserve"> </w:t>
      </w:r>
      <w:r>
        <w:rPr>
          <w:b/>
          <w:bCs/>
          <w:rtl/>
        </w:rPr>
        <w:t xml:space="preserve">אימתי בזמנא כו' ובג"ד שמן כו'. </w:t>
      </w:r>
      <w:r>
        <w:rPr>
          <w:rtl/>
        </w:rPr>
        <w:t>רוצה לומר דשמן כתית הוא ו' דה"א, צדיק, וד' דה"א - מלכות הוא רביעית ההין, וההין לשון ה"א, ורביעית מורה דנעשית ד' דאסתלק כו', וצותה התורה רביעית ההין שמן כתית - לאשלמא הה"א וזה שאומר וההוא כתית כו':</w:t>
      </w:r>
    </w:p>
  </w:footnote>
  <w:footnote w:id="2633">
    <w:p w:rsidR="00A13282" w:rsidRDefault="00A13282" w:rsidP="002D629A">
      <w:pPr>
        <w:pStyle w:val="a5"/>
      </w:pPr>
      <w:r>
        <w:rPr>
          <w:rStyle w:val="a7"/>
        </w:rPr>
        <w:footnoteRef/>
      </w:r>
      <w:r>
        <w:t xml:space="preserve"> </w:t>
      </w:r>
      <w:r>
        <w:rPr>
          <w:b/>
          <w:bCs/>
          <w:rtl/>
        </w:rPr>
        <w:t xml:space="preserve">ועליה אתמר אות היא כו'. </w:t>
      </w:r>
      <w:r>
        <w:rPr>
          <w:rtl/>
        </w:rPr>
        <w:t>דיום השבת הוא בצדיק ועליה אתמר אות והוא אות, ואמר אות היא רוצה לומר היא - ה"א, דהצדיק הוא שלימו דאות ה"א, וצדיק ועטרה ביחד הם אות ה', והוא שבת בכללו, יום שבת ולילו, צדיק ועטרה, והוא ה' דיום הששי, דששי שהוא ו' הוא משלים לאות ה"א ולכן כתיב ה"א ביום הששי דוקא וזה שאומר ובגין דא אתקריאת ה' על שמיה כו':</w:t>
      </w:r>
    </w:p>
  </w:footnote>
  <w:footnote w:id="2634">
    <w:p w:rsidR="00A13282" w:rsidRDefault="00A13282" w:rsidP="002D629A">
      <w:pPr>
        <w:pStyle w:val="a5"/>
      </w:pPr>
      <w:r>
        <w:rPr>
          <w:rStyle w:val="a7"/>
        </w:rPr>
        <w:footnoteRef/>
      </w:r>
      <w:r>
        <w:t xml:space="preserve"> </w:t>
      </w:r>
      <w:r>
        <w:rPr>
          <w:b/>
          <w:bCs/>
          <w:rtl/>
        </w:rPr>
        <w:t xml:space="preserve">מקולות מים כו'. </w:t>
      </w:r>
      <w:r>
        <w:rPr>
          <w:rtl/>
        </w:rPr>
        <w:t>עתה מפרש והולך סיפיה דקרא דנשאו נהרות ולקמן מפרש סופו אדירים משברי כו':</w:t>
      </w:r>
    </w:p>
  </w:footnote>
  <w:footnote w:id="2635">
    <w:p w:rsidR="00A13282" w:rsidRDefault="00A13282" w:rsidP="002D629A">
      <w:pPr>
        <w:pStyle w:val="a5"/>
      </w:pPr>
      <w:r>
        <w:rPr>
          <w:rStyle w:val="a7"/>
        </w:rPr>
        <w:footnoteRef/>
      </w:r>
      <w:r>
        <w:t xml:space="preserve"> </w:t>
      </w:r>
      <w:r>
        <w:rPr>
          <w:b/>
          <w:bCs/>
          <w:rtl/>
        </w:rPr>
        <w:t xml:space="preserve">ז' קלין דמתפלגין כו'. </w:t>
      </w:r>
      <w:r>
        <w:rPr>
          <w:rtl/>
        </w:rPr>
        <w:t>רוצה לומר נהר דנפק כו' - הוא דעת, ומיניה מתפלגין שבעה נהרות בשבע ספירות, שבעה צנורות מן הנהר הגדול, ועיין לעיל ל"ח א' דאמר שם ששה נהרות יוצאין ממנו והיינו עד יסוד, וכאן אמר עם מלכות, וחשיב כאן קול ה' כו' - שבעה קולות עם מלכות, אבל לקמן אמר דקלא שביעאה איהי באימא ורוצה לומר הדעת, הנהר הגדול, והן כמו שחשיב למעלה ל"ח א', ועיין לקמן תיקון ל’ ע"ז ב' קול ה' על המים כו' ואיהו אב"ג ית"ץ כו', לא אמר זה אלא דידוע שהוא בספירת החסד ומחסד נפיק מיא דאורייתא אבל בודאי כל שם מרומז בו הספירה, וכבר כתבתי במקום אחר שבשם זה בשתי הראשונות האיך מרומז ימין ושמאל, וקרע שטן מבואר והוא קול ה' בכח, לשון גבורה:</w:t>
      </w:r>
    </w:p>
  </w:footnote>
  <w:footnote w:id="2636">
    <w:p w:rsidR="00A13282" w:rsidRDefault="00A13282" w:rsidP="002D629A">
      <w:pPr>
        <w:pStyle w:val="a5"/>
      </w:pPr>
      <w:r>
        <w:rPr>
          <w:rStyle w:val="a7"/>
        </w:rPr>
        <w:footnoteRef/>
      </w:r>
      <w:r>
        <w:t xml:space="preserve"> </w:t>
      </w:r>
      <w:r>
        <w:rPr>
          <w:b/>
          <w:bCs/>
          <w:rtl/>
        </w:rPr>
        <w:t xml:space="preserve">כסאו כשמש נגדי. </w:t>
      </w:r>
      <w:r>
        <w:rPr>
          <w:rtl/>
        </w:rPr>
        <w:t>כ' משם - הוא כסא, וש' משם - הוא שמש, ונשאר נגדי:</w:t>
      </w:r>
    </w:p>
  </w:footnote>
  <w:footnote w:id="2637">
    <w:p w:rsidR="00A13282" w:rsidRDefault="00A13282" w:rsidP="002D629A">
      <w:pPr>
        <w:pStyle w:val="a5"/>
      </w:pPr>
      <w:r>
        <w:rPr>
          <w:rStyle w:val="a7"/>
        </w:rPr>
        <w:footnoteRef/>
      </w:r>
      <w:r>
        <w:t xml:space="preserve"> </w:t>
      </w:r>
      <w:r>
        <w:rPr>
          <w:b/>
          <w:bCs/>
          <w:rtl/>
        </w:rPr>
        <w:t xml:space="preserve">וביה אתמר למשה כו'. </w:t>
      </w:r>
      <w:r>
        <w:rPr>
          <w:rtl/>
        </w:rPr>
        <w:t>דהוא דרגא דמשה רבינו עליו השלום וכתיב שם אשר אנכי עושה עמך:</w:t>
      </w:r>
    </w:p>
  </w:footnote>
  <w:footnote w:id="2638">
    <w:p w:rsidR="00A13282" w:rsidRDefault="00A13282" w:rsidP="002D629A">
      <w:pPr>
        <w:pStyle w:val="a5"/>
      </w:pPr>
      <w:r>
        <w:rPr>
          <w:rStyle w:val="a7"/>
        </w:rPr>
        <w:footnoteRef/>
      </w:r>
      <w:r>
        <w:t xml:space="preserve"> </w:t>
      </w:r>
      <w:r>
        <w:rPr>
          <w:b/>
          <w:bCs/>
          <w:rtl/>
        </w:rPr>
        <w:t xml:space="preserve">שובר ארזים כו'. </w:t>
      </w:r>
      <w:r>
        <w:rPr>
          <w:rtl/>
        </w:rPr>
        <w:t>דשם (ישעיהו סג ג) פורה דרכתי כו' ויז נצחם כו':</w:t>
      </w:r>
    </w:p>
  </w:footnote>
  <w:footnote w:id="2639">
    <w:p w:rsidR="00A13282" w:rsidRDefault="00A13282" w:rsidP="002D629A">
      <w:pPr>
        <w:pStyle w:val="a5"/>
        <w:rPr>
          <w:rtl/>
        </w:rPr>
      </w:pPr>
      <w:r>
        <w:rPr>
          <w:rStyle w:val="a7"/>
          <w:rtl/>
        </w:rPr>
        <w:footnoteRef/>
      </w:r>
      <w:r>
        <w:rPr>
          <w:rtl/>
        </w:rPr>
        <w:t xml:space="preserve"> </w:t>
      </w:r>
      <w:r>
        <w:rPr>
          <w:b/>
          <w:bCs/>
          <w:rtl/>
        </w:rPr>
        <w:t xml:space="preserve">חוצב כו'. </w:t>
      </w:r>
      <w:r>
        <w:rPr>
          <w:rtl/>
        </w:rPr>
        <w:t>דשם סטרא דשמאלא, להבות כו':</w:t>
      </w:r>
    </w:p>
  </w:footnote>
  <w:footnote w:id="2640">
    <w:p w:rsidR="00A13282" w:rsidRDefault="00A13282" w:rsidP="002D629A">
      <w:pPr>
        <w:pStyle w:val="a5"/>
      </w:pPr>
      <w:r>
        <w:rPr>
          <w:rStyle w:val="a7"/>
        </w:rPr>
        <w:footnoteRef/>
      </w:r>
      <w:r>
        <w:t xml:space="preserve"> </w:t>
      </w:r>
      <w:r>
        <w:rPr>
          <w:b/>
          <w:bCs/>
          <w:rtl/>
        </w:rPr>
        <w:t xml:space="preserve">דאיהו יסוד הר סיני. </w:t>
      </w:r>
      <w:r>
        <w:rPr>
          <w:rtl/>
        </w:rPr>
        <w:t>רוצה לומר דיסוד - ידוע שהוא הר סיני, שמשם יוצא התורה כמו שכתוב כי מציון תצא תורה (ישעיהו ב ג, מיכה ד ב), והיא ספר התורה, והוא יחיל מדבר דכאן שמדבר על מדבר סיני דנקרא מדבר קדש כמו שאמרו (שבת פט ע"א) חמש שמות מדבר קדש שנתקדשו כו', וזה שאומר מדבר קדש:</w:t>
      </w:r>
    </w:p>
  </w:footnote>
  <w:footnote w:id="2641">
    <w:p w:rsidR="00A13282" w:rsidRDefault="00A13282" w:rsidP="002D629A">
      <w:pPr>
        <w:pStyle w:val="a5"/>
      </w:pPr>
      <w:r>
        <w:rPr>
          <w:rStyle w:val="a7"/>
        </w:rPr>
        <w:footnoteRef/>
      </w:r>
      <w:r>
        <w:t xml:space="preserve"> </w:t>
      </w:r>
      <w:r>
        <w:rPr>
          <w:b/>
          <w:bCs/>
          <w:rtl/>
        </w:rPr>
        <w:t xml:space="preserve">ודא איהו מקולות כו'. </w:t>
      </w:r>
      <w:r>
        <w:rPr>
          <w:rtl/>
        </w:rPr>
        <w:t>מפני שרוצה לפרש סיפא דקרא אדירים כו' חוזר לסיים מקולות דקאי על שבעה קלין, והן ו' נקודות, דמלכות היא בלא נקודה וכלילא מכל הנקודין, ונשאו נהרות כולן - בנהר הגדול כנ"ל ובו שלש נקודין חולם שורק חירק דכלילין בהאי נהר, והן שלש פעמים נשאו נהרות כו' דקרא, דמעלין ונחתין להאי נהר בחולם שורק חירק הרי ט' נקודין, ועיין לעיל ל"ח א' ותא חזי תשע נקודין אינון מן קמץ עד שורק וכולהו אתקריאו צנורין כו' ותא חזי שכינתא תתאה כד איהי אתשקיא מן נקודין אתקרי חירק חולם שורק למאן לההוא צינור דאיהו ו' דכליל שית צנורין דכלהון משית אתוון דאינון אב"ג ית"ץ שית צנורין אינון כו' וכלהו סלקין למ"ב כו' ולזמנין כו' ועיין מה שבארנו שם ועל קוטב זה הולך כל המאמר מתחיל למעלה נ"ג ד' ועוד שמעו הרים כו' על שלש נקודין חש"ח, וכאן ו' נקודין. ועתה מפרש אדירים כו' - על טעמי דאורייתא והן מאני קרבא ועיין מה שבארנו לעיל נ"ג א' בענין מגיחין בסוסוון וברגלין וזה שאומר אדירים משברי ים אלין טעמי דאורייתא כו', ונכון כסאך הוא אותיות, וכמו שאומר לקמן לאתוון דאינון כלילין בקרקע דאיהי שכינתא כו' וכמו שאומר לקמן בתיקון כ”ח עיין שם:</w:t>
      </w:r>
    </w:p>
  </w:footnote>
  <w:footnote w:id="2642">
    <w:p w:rsidR="00A13282" w:rsidRDefault="00A13282" w:rsidP="002D629A">
      <w:pPr>
        <w:pStyle w:val="a5"/>
      </w:pPr>
      <w:r>
        <w:rPr>
          <w:rStyle w:val="a7"/>
        </w:rPr>
        <w:footnoteRef/>
      </w:r>
      <w:r>
        <w:t xml:space="preserve"> </w:t>
      </w:r>
      <w:r>
        <w:rPr>
          <w:b/>
          <w:bCs/>
          <w:rtl/>
        </w:rPr>
        <w:t xml:space="preserve">אלין טעמי כו'. </w:t>
      </w:r>
      <w:r>
        <w:rPr>
          <w:rtl/>
        </w:rPr>
        <w:t>דאינון משתברין בנגונא כמו זרקא וכן בצורתו:</w:t>
      </w:r>
    </w:p>
  </w:footnote>
  <w:footnote w:id="2643">
    <w:p w:rsidR="00A13282" w:rsidRDefault="00A13282" w:rsidP="002D629A">
      <w:pPr>
        <w:pStyle w:val="a5"/>
      </w:pPr>
      <w:r>
        <w:rPr>
          <w:rStyle w:val="a7"/>
        </w:rPr>
        <w:footnoteRef/>
      </w:r>
      <w:r>
        <w:t xml:space="preserve"> </w:t>
      </w:r>
      <w:r>
        <w:rPr>
          <w:b/>
          <w:bCs/>
          <w:rtl/>
        </w:rPr>
        <w:t xml:space="preserve">דאתמר בהון כו'. </w:t>
      </w:r>
      <w:r>
        <w:rPr>
          <w:rtl/>
        </w:rPr>
        <w:t>רוצה לומר דכתיב וגליך, והן גלי ימא דסלקין לעילא כמו סגולתא, ומשבריך - זרקא כנ"ל, ונאמר שם לקול צנוריך והן הנקודות וכמו שאומר לעיל ל"ח א' משבריך כו' - הטעמים, תהום אל תהום קורא הן האותיות דקביעין בקרקע, לקול - הן שבעה קלין, נשאו נהרות קולם, והוא צנוריך - הנקודות כנ"ל, וכל משבריך וגליך - הטעמים, והן אותיות הוי"ה: תהום כו' - ה' תתאה ששם האותיות, צנוריך - ו', משבריך הוא ה' עילאה שנשברה ביציאת מצרים ואתפתחת בחמשים תרעין ועיין ברעיא מהימנא פרשת פנחס בשבירת ה' דמצה, וגליך הן יו"ד, גלי ימא כמו שמפרש והולך, וי"ה הן ג"ר דכחדא חשיבין ושם הטעמים, והן שלשה דרגין דכלילין הכל וזה שאומר עלי עברו - בזמן בית המקדש דאז כולהון הוין פתיחן לי:</w:t>
      </w:r>
    </w:p>
  </w:footnote>
  <w:footnote w:id="2644">
    <w:p w:rsidR="00A13282" w:rsidRDefault="00A13282" w:rsidP="002D629A">
      <w:pPr>
        <w:pStyle w:val="a5"/>
      </w:pPr>
      <w:r>
        <w:rPr>
          <w:rStyle w:val="a7"/>
        </w:rPr>
        <w:footnoteRef/>
      </w:r>
      <w:r>
        <w:t xml:space="preserve"> </w:t>
      </w:r>
      <w:r>
        <w:rPr>
          <w:b/>
          <w:bCs/>
          <w:rtl/>
        </w:rPr>
        <w:t xml:space="preserve">זרקא קו כו'. </w:t>
      </w:r>
      <w:r>
        <w:rPr>
          <w:rtl/>
        </w:rPr>
        <w:t>כמו שאמרו נ"ד ג' דאת י' סליק בוא"ו ונעשית תגא ואח"כ נעשית שלשה תגין בשלש נקודות: כתר תורה כו' (אבות ד יג), והן שלשה דסגולתא וזה שאומר תלת גלגלים כו' ורוצה לומר דהן גליך עלי עברו, עלי - על יו"ד, דסלקין באת יוד דזרקא ואמר בימא דאורייתא רוצה לומר זה שאומר משברי ים:</w:t>
      </w:r>
    </w:p>
  </w:footnote>
  <w:footnote w:id="2645">
    <w:p w:rsidR="00A13282" w:rsidRDefault="00A13282" w:rsidP="002D629A">
      <w:pPr>
        <w:pStyle w:val="a5"/>
      </w:pPr>
      <w:r>
        <w:rPr>
          <w:rStyle w:val="a7"/>
        </w:rPr>
        <w:footnoteRef/>
      </w:r>
      <w:r>
        <w:t xml:space="preserve"> </w:t>
      </w:r>
      <w:r>
        <w:rPr>
          <w:rtl/>
        </w:rPr>
        <w:t xml:space="preserve"> </w:t>
      </w:r>
      <w:r>
        <w:rPr>
          <w:b/>
          <w:bCs/>
          <w:rtl/>
        </w:rPr>
        <w:t>וכל גלגל סליק כו'.</w:t>
      </w:r>
      <w:r>
        <w:rPr>
          <w:rtl/>
        </w:rPr>
        <w:t xml:space="preserve"> דהן שלש נקודות וכל נקודה היא יו"ד. ועיין לעיל כ"ג ע"ב ותלת יודין אינון י' י' י' ואינון רישא וסיפא ואמצעיתא דאת א', ואינון רמיזין בשמא סתים דאיהו כו' הה"ד שיר למעלות - ל' מעלות כו', וגלי ימא דלעילא אינון עשרה גלגלים כו' עיין שם:</w:t>
      </w:r>
    </w:p>
  </w:footnote>
  <w:footnote w:id="2646">
    <w:p w:rsidR="00A13282" w:rsidRDefault="00A13282" w:rsidP="002D629A">
      <w:pPr>
        <w:pStyle w:val="a5"/>
      </w:pPr>
      <w:r>
        <w:rPr>
          <w:rStyle w:val="a7"/>
        </w:rPr>
        <w:footnoteRef/>
      </w:r>
      <w:r>
        <w:rPr>
          <w:rtl/>
        </w:rPr>
        <w:t xml:space="preserve"> </w:t>
      </w:r>
      <w:r>
        <w:rPr>
          <w:b/>
          <w:bCs/>
          <w:rtl/>
        </w:rPr>
        <w:t>והאופנים.</w:t>
      </w:r>
      <w:r>
        <w:rPr>
          <w:rtl/>
        </w:rPr>
        <w:t xml:space="preserve"> רוצה לומר הן הגלגלים כמו שכתוב (יחזקאל י יג) לאופן קורא גלגל כו' וכתיב ינשאו - דסלקין גלי ימא לעילא והוא נשאו נהרות כנ"ל ואמר ועוד נשאו נהרות כו' והן אות א' דהן נושאין הוא"ו להשלים חושבן הוי"ה והוא אות אלף דכליל הוי"ה וכן הוא זרקא וביה גם כן סגולתא שלשה גלי ימא דבאמצע א' נקודה אמצעיתא גנוז בשורק והם חש"ח כנ"ל:</w:t>
      </w:r>
    </w:p>
  </w:footnote>
  <w:footnote w:id="2647">
    <w:p w:rsidR="00A13282" w:rsidRDefault="00A13282" w:rsidP="002D629A">
      <w:pPr>
        <w:pStyle w:val="a5"/>
      </w:pPr>
      <w:r>
        <w:rPr>
          <w:rStyle w:val="a7"/>
        </w:rPr>
        <w:footnoteRef/>
      </w:r>
      <w:r>
        <w:t xml:space="preserve"> </w:t>
      </w:r>
      <w:r>
        <w:rPr>
          <w:b/>
          <w:bCs/>
          <w:rtl/>
        </w:rPr>
        <w:t xml:space="preserve">ועוד זרקא איהו יפה כו'. </w:t>
      </w:r>
      <w:r>
        <w:rPr>
          <w:rtl/>
        </w:rPr>
        <w:t>רוצה לומר צדיק כמו שמפרש והולך, ואיהו יפה בסוד יוסף יפה תואר כו' (בראשית לט ו), וכל הדר דגופא ביה תליא, ונוף - כמו שמפרש והולך ענפא מגופה כו', ורמיזא באת ג', ואיהו משוש כל הארץ ודאי דלית חדוה לאתתא אלא ביה, וכל שכן למקום כל של הארץ, ואמר איהו ז' - שהוא צורת ז', ו' י' על גביו בעטרה שבראשו, וכן הוא הזרקא  והוא צדיק הוא יום השביעי שבת כמו שמפרש והולך, אבל יפה נוף הוא ו' לבד, והר ציון הוא הנקודה, אות הברית כמו שמפרש והולך הר ציון כו':</w:t>
      </w:r>
    </w:p>
  </w:footnote>
  <w:footnote w:id="2648">
    <w:p w:rsidR="00A13282" w:rsidRDefault="00A13282" w:rsidP="002D629A">
      <w:pPr>
        <w:pStyle w:val="a5"/>
      </w:pPr>
      <w:r>
        <w:rPr>
          <w:rStyle w:val="a7"/>
        </w:rPr>
        <w:footnoteRef/>
      </w:r>
      <w:r>
        <w:t xml:space="preserve"> </w:t>
      </w:r>
      <w:r>
        <w:rPr>
          <w:b/>
          <w:bCs/>
          <w:rtl/>
        </w:rPr>
        <w:t xml:space="preserve">ומאי ניהו ירכתי צפון כו'. </w:t>
      </w:r>
      <w:r>
        <w:rPr>
          <w:rtl/>
        </w:rPr>
        <w:t xml:space="preserve">רוצה לומר נו"ה, דהן מוליכין לגבי בעלה, ושם נעשית קרית מלך רב כו', ורוצה לומר הבינה היא מלך רב כמו שאמרו בזוהר חדש שיר השירים, והוא הדעת - בעלה, והוא כולל שם הוי"ה בארבעה מוחין כנ"ל, וזהו נשאו נהרות ה' - לגביה, ואמר למטה וסלקין לה בעמודא דאמצעיתא דסליקו דילה הוא על עמודא דאמצעיתא, וזהו קולם, אבל סליקו בתרין ירכין הוא ישאו נהרות, וזה שאומר ובג"ד תרין נהרות אתמר בהון נשאו כו' ותרין כו', והכל נשאו נהרות ה' בדעת, והן שלשה דרגין דכלילא בקו אמצעי - דת"י, וכמו שאומר לקמן נ"ג ד' בארוכה, וכל שלשה דרגין הכל בסליקו, ופירש פירוש אחר דישאו הוא בנחיתו וזה שאומר אתמר בה כו' ורוצה לומר דבפסוק זה אתפרש סליקו ונחיתו וכמו שמפרש והולך: </w:t>
      </w:r>
    </w:p>
  </w:footnote>
  <w:footnote w:id="2649">
    <w:p w:rsidR="00A13282" w:rsidRDefault="00A13282" w:rsidP="002D629A">
      <w:pPr>
        <w:pStyle w:val="a5"/>
        <w:rPr>
          <w:rtl/>
        </w:rPr>
      </w:pPr>
      <w:r>
        <w:rPr>
          <w:rStyle w:val="a7"/>
          <w:rtl/>
        </w:rPr>
        <w:footnoteRef/>
      </w:r>
      <w:r>
        <w:rPr>
          <w:rtl/>
        </w:rPr>
        <w:t xml:space="preserve"> </w:t>
      </w:r>
      <w:r>
        <w:rPr>
          <w:b/>
          <w:bCs/>
          <w:rtl/>
        </w:rPr>
        <w:t xml:space="preserve">ובג"ד אתקריאת דכים ובה הוו מים התחתונים כו'. </w:t>
      </w:r>
      <w:r>
        <w:rPr>
          <w:rtl/>
        </w:rPr>
        <w:t>(ורוצה לומר דדמעה הוא בשביל שער הנון - שחסר כידוע, והוא ע' ומ"ט פנים - מע"ט מאלהים, דבשביל זה נשברו הלוחות וחרב בית המקדש, והוא דך ים שחסר לאשלמא כ"ה, ואז היו נש"ב בשמע וברוך שם כבוד מלכותו לעולם ועד, וזה שאומר דמעה דלהון דכים ודאי, ולכן ברוך שם כבוד מלכותו לעולם ועד בחשאי, מפני שער שחסר, ולית ליהו חירו ויש פחד עד לעתיד לבוא) רוצה לומר כמו שאמרו במדרש רבה פרשת בראשית דכים - דהוו דכים ובוכים על דאתרחיקו, וכן כאן בנחיתו ואינון נו"ה נקראו מים תחתונים ועיין לעיל ריש תיקון י"ט, והן שערי דמעה כידוע, ואמר ואיהו (אולי המוסגר דלעיל שייך כאן) דמעה דלהון, דבינה מים עליונים והיא מים תחתונים ונו"ה אתקריאו על שמה כנ"ל, ומים דילה היא דמעה דלהון והן שערי דמעה וזה שאומר ובה אל דמעתי כו' רוצה לומר בההיא נקודה:</w:t>
      </w:r>
    </w:p>
  </w:footnote>
  <w:footnote w:id="2650">
    <w:p w:rsidR="00A13282" w:rsidRDefault="00A13282" w:rsidP="002D629A">
      <w:pPr>
        <w:pStyle w:val="a5"/>
      </w:pPr>
      <w:r>
        <w:rPr>
          <w:rStyle w:val="a7"/>
        </w:rPr>
        <w:footnoteRef/>
      </w:r>
      <w:r>
        <w:t xml:space="preserve"> </w:t>
      </w:r>
      <w:r>
        <w:rPr>
          <w:b/>
          <w:bCs/>
          <w:rtl/>
        </w:rPr>
        <w:t xml:space="preserve">תנועה. </w:t>
      </w:r>
      <w:r>
        <w:rPr>
          <w:rtl/>
        </w:rPr>
        <w:t>רוצה לומר נגינה, והולך ומפרש שאר נגינות כסדר הזרקא ואמר דרביע הוא הנגינה דביה סליקת, דהנגינה שלו מורה על הסליקו וכן הוא נקודה כמו חולם דמורה על הסליקו, והיא אתקריאת זקף גדול כמו שמפרש והולך דכתיב קרית מלך רב והיא אזדקיפת וזקפא לגביה בגדולה דהוא ימינך וזה שאומר ובאן זקפא כו' דא גדולה בההוא זמנא כו':</w:t>
      </w:r>
    </w:p>
  </w:footnote>
  <w:footnote w:id="2651">
    <w:p w:rsidR="00A13282" w:rsidRDefault="00A13282" w:rsidP="002D629A">
      <w:pPr>
        <w:pStyle w:val="a5"/>
      </w:pPr>
      <w:r>
        <w:rPr>
          <w:rStyle w:val="a7"/>
        </w:rPr>
        <w:footnoteRef/>
      </w:r>
      <w:r>
        <w:t xml:space="preserve"> </w:t>
      </w:r>
      <w:r>
        <w:rPr>
          <w:b/>
          <w:bCs/>
          <w:rtl/>
        </w:rPr>
        <w:t xml:space="preserve">בתרין נהרות דאתמר בהון ימינך כו'. </w:t>
      </w:r>
      <w:r>
        <w:rPr>
          <w:rtl/>
        </w:rPr>
        <w:t xml:space="preserve">רוצה לומר חסד ונצח וכמו שמפרש והולך ועלייהו אתמר נעימות כו' דנצח אתקשר בימין ובהון אית לה סליקו, ובשמאלא - נחיתו, דברביע סלקא כנ"ל, ואמר למטה רביע לימינא כו' תביר לשמאלא כו'. ואמר ומאי איהו תנועה דנחית לה דא איהו תביר, דסליקו דילה הוא כד עבדא חסד ומרחמא על עלמא. ואמר מאי בימינך דא גדולה בשביל לפרש דלכן נקרא זקף גדול, וכמו שמפרש והולך בההוא זמנא אתקרי זקף גדול. ואמר וכד נחתת בצדיק כו' דעמודא דאמצעיתא נוטה לימינא וצדיק לשמאלא וזה שאומר ומאי איהו כו' תביר לשמאלא כו': </w:t>
      </w:r>
    </w:p>
  </w:footnote>
  <w:footnote w:id="2652">
    <w:p w:rsidR="00A13282" w:rsidRDefault="00A13282" w:rsidP="002D629A">
      <w:pPr>
        <w:pStyle w:val="a5"/>
        <w:rPr>
          <w:rtl/>
        </w:rPr>
      </w:pPr>
      <w:r>
        <w:rPr>
          <w:rStyle w:val="a7"/>
          <w:rtl/>
        </w:rPr>
        <w:footnoteRef/>
      </w:r>
      <w:r>
        <w:rPr>
          <w:rtl/>
        </w:rPr>
        <w:t xml:space="preserve"> </w:t>
      </w:r>
      <w:r>
        <w:rPr>
          <w:b/>
          <w:bCs/>
          <w:rtl/>
        </w:rPr>
        <w:t xml:space="preserve">תביר כו'. </w:t>
      </w:r>
      <w:r>
        <w:rPr>
          <w:rtl/>
        </w:rPr>
        <w:t>דנגונא דיליה נחיתו, וכן הוא למטה מתיבה - הכל היפך של רביע, והוא לשון שברים, שבר לשמאלא:</w:t>
      </w:r>
    </w:p>
  </w:footnote>
  <w:footnote w:id="2653">
    <w:p w:rsidR="00A13282" w:rsidRDefault="00A13282" w:rsidP="002D629A">
      <w:pPr>
        <w:pStyle w:val="a5"/>
      </w:pPr>
      <w:r>
        <w:rPr>
          <w:rStyle w:val="a7"/>
        </w:rPr>
        <w:footnoteRef/>
      </w:r>
      <w:r>
        <w:t xml:space="preserve"> </w:t>
      </w:r>
      <w:r>
        <w:rPr>
          <w:b/>
          <w:bCs/>
          <w:rtl/>
        </w:rPr>
        <w:t xml:space="preserve">וביה איהו מאריך. </w:t>
      </w:r>
      <w:r>
        <w:rPr>
          <w:rtl/>
        </w:rPr>
        <w:t>רוצה לומר מאריך עד יום הכפורים, ומאריך אף, ורוצה לומר דזהו מאריך שבנגינות, מאריך טרחא, וכמו שברביע הוא מאריך כן בתביר היא טרחא כמו שאמרו (שבת קמה ע"ב) לא דיין כו' שמטריחין כו':</w:t>
      </w:r>
    </w:p>
  </w:footnote>
  <w:footnote w:id="2654">
    <w:p w:rsidR="00A13282" w:rsidRDefault="00A13282" w:rsidP="002D629A">
      <w:pPr>
        <w:pStyle w:val="a5"/>
      </w:pPr>
      <w:r>
        <w:rPr>
          <w:rStyle w:val="a7"/>
        </w:rPr>
        <w:footnoteRef/>
      </w:r>
      <w:r>
        <w:t xml:space="preserve"> </w:t>
      </w:r>
      <w:r>
        <w:rPr>
          <w:b/>
          <w:bCs/>
          <w:rtl/>
        </w:rPr>
        <w:t xml:space="preserve">חד סליק כו'. </w:t>
      </w:r>
      <w:r>
        <w:rPr>
          <w:rtl/>
        </w:rPr>
        <w:t>רוצה לומר רביע, ותביר מאיך בשברים, ושלשלת הוא צורתו כעין קול של תרועה, שלש תרועות, וכן הוא שלשה קוין, וכן שורק בנקודות וזה שאומר קשורא כו':</w:t>
      </w:r>
    </w:p>
  </w:footnote>
  <w:footnote w:id="2655">
    <w:p w:rsidR="00A13282" w:rsidRDefault="00A13282" w:rsidP="002D629A">
      <w:pPr>
        <w:pStyle w:val="a5"/>
      </w:pPr>
      <w:r>
        <w:rPr>
          <w:rStyle w:val="a7"/>
        </w:rPr>
        <w:footnoteRef/>
      </w:r>
      <w:r>
        <w:t xml:space="preserve"> </w:t>
      </w:r>
      <w:r>
        <w:rPr>
          <w:b/>
          <w:bCs/>
          <w:rtl/>
        </w:rPr>
        <w:t xml:space="preserve">בשלשלת סלקא כו'. </w:t>
      </w:r>
      <w:r>
        <w:rPr>
          <w:rtl/>
        </w:rPr>
        <w:t>כנ"ל דצורתן א', והכל בקו האמצעי, אלא דשלשלת - על גבי האות, בת"ת על גבי נהרות, חו"ג, וצורתו בווין - ת"ת, ובטעמים, ושורק הוא ביסוד כנ"ל [עמוד] א', והוא למטה מהנהרות, וכן מהאותיות, והוא בנקודות, וזה שאומר האי איהו סולם כו' רוצה לומר קו האמצעי, גוף וברית דחשבינן כחדא, וזה שאומר והיינו דרגא תרי טעמי דסלקא ונחתא בהדרגא:</w:t>
      </w:r>
    </w:p>
  </w:footnote>
  <w:footnote w:id="2656">
    <w:p w:rsidR="00A13282" w:rsidRDefault="00A13282" w:rsidP="002D629A">
      <w:pPr>
        <w:pStyle w:val="a5"/>
      </w:pPr>
      <w:r>
        <w:rPr>
          <w:rStyle w:val="a7"/>
        </w:rPr>
        <w:footnoteRef/>
      </w:r>
      <w:r>
        <w:t xml:space="preserve"> </w:t>
      </w:r>
      <w:r>
        <w:rPr>
          <w:b/>
          <w:bCs/>
          <w:rtl/>
        </w:rPr>
        <w:t>וענויא דשכינתא כו'.</w:t>
      </w:r>
      <w:r>
        <w:rPr>
          <w:rtl/>
        </w:rPr>
        <w:t xml:space="preserve"> משום דקאמר למעלה בתקיעה כו' בשברים כו' אבל נראה שחסר כאן, ורוצה לומר ענויא דפיקו דילה הוא בתלת סטרין כמו שאומר לקמן ס"ט א' דהיא חולה מהן וצועקת אליהן כי חולת אהבה היא:</w:t>
      </w:r>
    </w:p>
  </w:footnote>
  <w:footnote w:id="2657">
    <w:p w:rsidR="00A13282" w:rsidRDefault="00A13282" w:rsidP="002D629A">
      <w:pPr>
        <w:pStyle w:val="a5"/>
      </w:pPr>
      <w:r>
        <w:rPr>
          <w:rStyle w:val="a7"/>
        </w:rPr>
        <w:footnoteRef/>
      </w:r>
      <w:r>
        <w:t xml:space="preserve"> </w:t>
      </w:r>
      <w:r>
        <w:rPr>
          <w:b/>
          <w:bCs/>
          <w:rtl/>
        </w:rPr>
        <w:t xml:space="preserve">ורזא דמלה אין כו'. </w:t>
      </w:r>
      <w:r>
        <w:rPr>
          <w:rtl/>
        </w:rPr>
        <w:t>רוצה לומר ענות גבורה הוא במצוות לא תעשה, ושל תקיעה הוא במצוות עשה ותרועה דבעלה הוא בתורה ועיין לקמן ע"ט ב' ובמעשה העגל היא אתרחקת ואמר משה רבינו עליו השלום דהענות הזה אינו במצוות עשה ולא תעשה אלא בביטול התורה ופריקת עול מלכות שמים וכמו שכתוב התפרקו, וירא העם כי פרוע הוא כי פרעה כו', וכן הערב רב עשוהו שהן מסטרא דדעת בחושבן שלהם, קליפה דשאור וחמץ בסטרא דאמצעיתא, לא מסטרא דאומות מסטרא דעשו וישמעאל מימינא ושמאלא ולכן נגזר הגלות אז עליהם וכמו שאומר לקמן ע"ט ב' וזה שאומר אע"ג דשכינתא איהי בענויא מימינא ומשמאלא לית ענויא כענויא כו' ואמר ובג"ד אשרי העם כו' רוצה לומר יודעי תרועה, נאמר יודעי, דדעת הוא תרועה:</w:t>
      </w:r>
    </w:p>
  </w:footnote>
  <w:footnote w:id="2658">
    <w:p w:rsidR="00A13282" w:rsidRDefault="00A13282" w:rsidP="002D629A">
      <w:pPr>
        <w:pStyle w:val="a5"/>
      </w:pPr>
      <w:r>
        <w:rPr>
          <w:rStyle w:val="a7"/>
        </w:rPr>
        <w:footnoteRef/>
      </w:r>
      <w:r>
        <w:t xml:space="preserve"> </w:t>
      </w:r>
      <w:r>
        <w:rPr>
          <w:b/>
          <w:bCs/>
          <w:rtl/>
        </w:rPr>
        <w:t xml:space="preserve">דאיהי תורה שבעין אנפין. </w:t>
      </w:r>
      <w:r>
        <w:rPr>
          <w:rtl/>
        </w:rPr>
        <w:t>רוצה לומר זהו תרועה - תורה ע', ולכן נקרא גם כן דעת - דת ע', כמו שכתוב מימינו אש דת, שהן שלשה סטרין: ימין ואש ודת:</w:t>
      </w:r>
    </w:p>
  </w:footnote>
  <w:footnote w:id="2659">
    <w:p w:rsidR="00A13282" w:rsidRDefault="00A13282" w:rsidP="002D629A">
      <w:pPr>
        <w:pStyle w:val="a5"/>
      </w:pPr>
      <w:r>
        <w:rPr>
          <w:rStyle w:val="a7"/>
        </w:rPr>
        <w:footnoteRef/>
      </w:r>
      <w:r>
        <w:t xml:space="preserve"> </w:t>
      </w:r>
      <w:r>
        <w:rPr>
          <w:b/>
          <w:bCs/>
          <w:rtl/>
        </w:rPr>
        <w:t xml:space="preserve">דא איהו ענויא דאנכי. </w:t>
      </w:r>
      <w:r>
        <w:rPr>
          <w:rtl/>
        </w:rPr>
        <w:t>רוצה לומר זה שאומר אנכי שומע, ורוצה לומר אנכי ה' אלקיך הוא יחוד השם וכמו שמפרש והולך דאיהי צווחת בכל יומא לבעלה כו' שמע ישראל שהוא יחודו יתברך. ואמר משה רבינו עליו השלום דאנכי שומע ההיא צווחה דעניה הזאת שהיא עתידה למצעק לקב"ה דיחות לה דאתרחקת מבעלה וכמו שמפרש והולך דאיהי עניא בגלותא כו' וקרא ליה כו', ופשטא דקרא אנכי שומע - דהוא שמע קולה דהוא ענויא דבעלה, דעת, דאתרחקא מיניה:</w:t>
      </w:r>
    </w:p>
  </w:footnote>
  <w:footnote w:id="2660">
    <w:p w:rsidR="00A13282" w:rsidRDefault="00A13282" w:rsidP="002D629A">
      <w:pPr>
        <w:pStyle w:val="a5"/>
      </w:pPr>
      <w:r>
        <w:rPr>
          <w:rStyle w:val="a7"/>
        </w:rPr>
        <w:footnoteRef/>
      </w:r>
      <w:r>
        <w:t xml:space="preserve"> </w:t>
      </w:r>
      <w:r>
        <w:rPr>
          <w:b/>
          <w:bCs/>
          <w:rtl/>
        </w:rPr>
        <w:t xml:space="preserve">וכל ב"נ דאית לי כו'. </w:t>
      </w:r>
      <w:r>
        <w:rPr>
          <w:rtl/>
        </w:rPr>
        <w:t>רוצה לומר שסובל ענויים בשבילה וצועק שמע ישראל בשבילה וכמו שמפרש והולך אז הקב"ה שומע לו וכמו שבארנו למעלה, אם תפלתו בשביל השכינה אז נענה וזה שאומר וקרא ליה כו' דיהא נחית כו' עליה אתמר קול כו', רוצה לומר דהקב"ה שומע לו:</w:t>
      </w:r>
    </w:p>
  </w:footnote>
  <w:footnote w:id="2661">
    <w:p w:rsidR="00A13282" w:rsidRDefault="00A13282" w:rsidP="002D629A">
      <w:pPr>
        <w:pStyle w:val="a5"/>
      </w:pPr>
      <w:r>
        <w:rPr>
          <w:rStyle w:val="a7"/>
        </w:rPr>
        <w:footnoteRef/>
      </w:r>
      <w:r>
        <w:t xml:space="preserve"> </w:t>
      </w:r>
      <w:r>
        <w:rPr>
          <w:b/>
          <w:bCs/>
          <w:rtl/>
        </w:rPr>
        <w:t xml:space="preserve">קול ענויא דהאי עניא. </w:t>
      </w:r>
      <w:r>
        <w:rPr>
          <w:rtl/>
        </w:rPr>
        <w:t>רוצה לומר של זה העני הצועק בשבילה, ונקרא עני - דסובל ענויא דילה, והוא מרכבה דילה:</w:t>
      </w:r>
    </w:p>
  </w:footnote>
  <w:footnote w:id="2662">
    <w:p w:rsidR="00A13282" w:rsidRDefault="00A13282" w:rsidP="002D629A">
      <w:pPr>
        <w:pStyle w:val="a5"/>
      </w:pPr>
      <w:r>
        <w:rPr>
          <w:rStyle w:val="a7"/>
        </w:rPr>
        <w:footnoteRef/>
      </w:r>
      <w:r>
        <w:t xml:space="preserve"> </w:t>
      </w:r>
      <w:r>
        <w:rPr>
          <w:b/>
          <w:bCs/>
          <w:rtl/>
        </w:rPr>
        <w:t xml:space="preserve">משנה תהא בעזרייכו ולא כו'. </w:t>
      </w:r>
      <w:r>
        <w:rPr>
          <w:rtl/>
        </w:rPr>
        <w:t>משנה - לשון שינוי, דהיא בו"ק, ו' סדרים, דשם דגש ורפה רך וחלש, דבחטא עץ הדעת נעשה האדם להט המתהפכת, דמשתנה לכאן ולכאן כמו שאמרו בזוהר על פסוק (קהלת ז כט) והמה  בקשו חשבונות רבים כו' (זוהר בראשית רכא ע"ב, זוהר שמות קנ ע"א, זוהר ויקרא יט ע"א וקז ע"א וע"ב) עיין שם, ועיין לקמן בריש תיקון ס"ח ובסוף תיקון ס”ז אלין אינון שית סדרין דאתיהיבה בהון משנה לאפרשא בין טוב לרע כו'. והלכה דריש לשון הליכה וקבלה כו':</w:t>
      </w:r>
    </w:p>
  </w:footnote>
  <w:footnote w:id="2663">
    <w:p w:rsidR="00A13282" w:rsidRDefault="00A13282" w:rsidP="002D629A">
      <w:pPr>
        <w:pStyle w:val="a5"/>
      </w:pPr>
      <w:r>
        <w:rPr>
          <w:rStyle w:val="a7"/>
        </w:rPr>
        <w:footnoteRef/>
      </w:r>
      <w:r>
        <w:t xml:space="preserve"> </w:t>
      </w:r>
      <w:r>
        <w:rPr>
          <w:b/>
          <w:bCs/>
          <w:rtl/>
        </w:rPr>
        <w:t xml:space="preserve">וברייתא אפיקת כו'. </w:t>
      </w:r>
      <w:r>
        <w:rPr>
          <w:rtl/>
        </w:rPr>
        <w:t>דברייתא הוא לשון חוץ, והוא גלות חוץ לארץ ביד האיש שדה, ויבא עשו מן השדה, תרגם יונתן מן ברא, וכן ההוא ממנא דיליה, ס"א - אחיזתו לבר מגופא כמו שאמרו באידרא רבא עיין שם בדבריו, וכן השעבוד הוא את כל עבודה בשדה, ועיין לקמן קמ"ה ב' ובכל עבודה בשדה דא איהו ברייתא דעלה אתמר כי בשדה כו', עיין שם ואמר בזוהר ותיקונים דזו ברייתא, וזה שאומר מגלותא ושעבודא כו', וברייתא הוא בירכין כמו שאמרו בזוהר פרשת פקודי, ושם הוא קיבוץ גליות כמו שאמרו בסוף פרשת תרומה בענין שבע ברכות דנשואין, ושם שני משיחין ולכן היא אפיקת כו' וכמו שהגלות הוא בדרגא דילהון דממנא כו' וכנ"ל, וכמו שכתוב ותקע כף כו' - כן הגאולה הוא שם, ועמדו  רגליו כו' (זכריה יד ד) וכנ"ל, וברייתא הוא בנה"י כנ"ל, והלכה - בחג"ת כמו שאומר לימינא דילכון לאתגברא להלחם כו', וקבלה - בפומא שכולל ג"ר, ומשנה הוא במלכות, משנה למלך, והיא כוללת הכל ובה השנויים כידוע בסוד עץ הדעת כנ"ל על פסוק והמה כו' ובמשנה דילה העזר כו' וכמו שאמרו (יבמות סג ע"א) אעשה לו עזר כו' זכה עזר:</w:t>
      </w:r>
    </w:p>
  </w:footnote>
  <w:footnote w:id="2664">
    <w:p w:rsidR="00A13282" w:rsidRDefault="00A13282" w:rsidP="002D629A">
      <w:pPr>
        <w:jc w:val="both"/>
        <w:rPr>
          <w:rFonts w:cs="Arial"/>
          <w:vanish/>
          <w:rtl/>
        </w:rPr>
      </w:pPr>
      <w:r>
        <w:rPr>
          <w:rStyle w:val="a7"/>
        </w:rPr>
        <w:footnoteRef/>
      </w:r>
      <w:r>
        <w:t xml:space="preserve"> </w:t>
      </w:r>
      <w:r>
        <w:rPr>
          <w:rFonts w:cs="Arial"/>
          <w:b/>
          <w:bCs/>
          <w:rtl/>
        </w:rPr>
        <w:t xml:space="preserve">קם ר"ש כו'. </w:t>
      </w:r>
    </w:p>
    <w:p w:rsidR="00A13282" w:rsidRDefault="00A13282" w:rsidP="002D629A">
      <w:pPr>
        <w:pStyle w:val="a5"/>
      </w:pPr>
      <w:r>
        <w:rPr>
          <w:rtl/>
        </w:rPr>
        <w:t xml:space="preserve"> קירטא היא שכינה כמו שמפרש והולך, ותלת אבנין הן חג"ת דהן אתכלילו בחכמה כו' כמו שאמרו בזוהר פרשת שמות י"ד ב' עבד לאברהם ברזא דחכמה כו' עיין שם והן שלש טפין דמוחין כמו שאמרו בזוהר פרשת בראשית א' ב' הנצנים אלין אבהן דאעלו כו' ושם ט"ו ב' מאן ההוא זרעא כו' ועיין שם ס"ו ב' דאתווין הן בשלש דרגין אלו, והן שלש נקודין דקאמר שם וכן הוא בכמה מקומות ולכן א"ל הא קשתי לגבך כו' מגירין דיליה כו' והן נה"י, שי"ח השדה דכליל שלשה ווין ועיין מה שנבאר לקמן נ"ד ב' ועוד שמעו הרים כו', וזה שאומר דא ח"י עלמין דכליל נה"י, ושם קשת כמו שנבאר לקמן נ"ג א' בארוכה, וכליל כל העשר ספירות, דתלת אבנין הן חג"ת ואתכלילו בכח"ב כמו שאומר ואתכלילו כו', והענין כי כח"ב אינן בגופא כלל אלא פנימית דחג"ת וכמו שאמרו בהיכלות, וקשת מנה"י, והקירטא היא העשירית, ועיקר הענין לכללה בשלשה קוין שהן כלל העשר ספירות כמו שאמרו בזוהר פרשת שמות שם בעשרה מאמרות נברא העולם וכד תסתכל תלתא אינון ועלמא בהו אתברי בחכמה ובתבונה ובדעת כו', וזה שאומר למעלה ובה אזדריקו כו' וכן קשת כו' אלא שזה בסוד חג"ת וזה בסוד נה"י אבל בשניהם הם כלל הכל, וא"ל שים בסלע כו' לאזדהר מגירין ור"ש א"ל תנא תנא אסתמר כו', שזהו איתן מושבך, שאיתן הוא תנא כמו שאומר לקמן נ"ג ב', והגירין הן גירין דרחימותא לגבי כלה כמו שאומר לעיל סוף תיקון י”ג לכן צריך לאסתמר בה ולהכלל בה לקבל הגירין דכל שאינו מתכלל בה הוא דלא ברחימותא כמו שבארנו שם והיא אגינת מחצים דגלותא כנ"ל:</w:t>
      </w:r>
    </w:p>
  </w:footnote>
  <w:footnote w:id="2665">
    <w:p w:rsidR="00A13282" w:rsidRDefault="00A13282" w:rsidP="002D629A">
      <w:pPr>
        <w:pStyle w:val="a5"/>
      </w:pPr>
      <w:r>
        <w:rPr>
          <w:rStyle w:val="a7"/>
        </w:rPr>
        <w:footnoteRef/>
      </w:r>
      <w:r>
        <w:t xml:space="preserve"> </w:t>
      </w:r>
      <w:r>
        <w:rPr>
          <w:b/>
          <w:bCs/>
          <w:rtl/>
        </w:rPr>
        <w:t xml:space="preserve">קם תניינא כו'. </w:t>
      </w:r>
      <w:r>
        <w:rPr>
          <w:rtl/>
        </w:rPr>
        <w:t>זה כלל כל הפסוק, ואמר הא תנא כו' שהוא איתן כנ"ל ועיין לקמן נ"ג ג' ואח"כ אמר ושים כו' ואמר דמסייע ברומח כמו שכתוב והוא נשען על חניתו ואמר דאיהו כלילא מארבע כו' שהן חג"ת ויסוד, וקרני פרה הן נו"ה, והן כלל ו"ק, וכליל כאן כל הפסוק שרומז על ו"ק כנ"ל ואמר ודא ו' כו':</w:t>
      </w:r>
    </w:p>
  </w:footnote>
  <w:footnote w:id="2666">
    <w:p w:rsidR="00A13282" w:rsidRDefault="00A13282" w:rsidP="002D629A">
      <w:pPr>
        <w:pStyle w:val="a5"/>
      </w:pPr>
      <w:r>
        <w:rPr>
          <w:rStyle w:val="a7"/>
        </w:rPr>
        <w:footnoteRef/>
      </w:r>
      <w:r>
        <w:t xml:space="preserve"> </w:t>
      </w:r>
      <w:r>
        <w:rPr>
          <w:b/>
          <w:bCs/>
          <w:rtl/>
        </w:rPr>
        <w:t xml:space="preserve">ורמ"ח תיבין דבהון ושים כו'. </w:t>
      </w:r>
      <w:r>
        <w:rPr>
          <w:rtl/>
        </w:rPr>
        <w:t>רמ"ח תיבין הן ביסוד כמו שאומר לקמן, ועמודא דאמצעיתא כליל חג"ת והן רומח, ואיתן מושבך הוא קריאת שמע בישיבה, ושים בסלע הוא תפלה בעמידה ברגלין ושם הוא אגחא בחיוויא בקרני פרה:</w:t>
      </w:r>
    </w:p>
  </w:footnote>
  <w:footnote w:id="2667">
    <w:p w:rsidR="00A13282" w:rsidRDefault="00A13282" w:rsidP="002D629A">
      <w:pPr>
        <w:pStyle w:val="a5"/>
      </w:pPr>
      <w:r>
        <w:rPr>
          <w:rStyle w:val="a7"/>
        </w:rPr>
        <w:footnoteRef/>
      </w:r>
      <w:r>
        <w:t xml:space="preserve"> </w:t>
      </w:r>
      <w:r>
        <w:rPr>
          <w:b/>
          <w:bCs/>
          <w:rtl/>
        </w:rPr>
        <w:t>אצמיח קרן כו' ומצמיח כו'.</w:t>
      </w:r>
      <w:r>
        <w:rPr>
          <w:rtl/>
        </w:rPr>
        <w:t xml:space="preserve"> הן שתי קרנות:</w:t>
      </w:r>
    </w:p>
  </w:footnote>
  <w:footnote w:id="2668">
    <w:p w:rsidR="00A13282" w:rsidRDefault="00A13282" w:rsidP="002D629A">
      <w:pPr>
        <w:pStyle w:val="a5"/>
      </w:pPr>
      <w:r>
        <w:rPr>
          <w:rStyle w:val="a7"/>
        </w:rPr>
        <w:footnoteRef/>
      </w:r>
      <w:r>
        <w:t xml:space="preserve"> </w:t>
      </w:r>
      <w:r>
        <w:rPr>
          <w:b/>
          <w:bCs/>
          <w:rtl/>
        </w:rPr>
        <w:t xml:space="preserve">מסט' דשור. </w:t>
      </w:r>
      <w:r>
        <w:rPr>
          <w:rtl/>
        </w:rPr>
        <w:t>הוא יסוד, בכור שורו כו', ושניהן הן מסטרא דגבורה, וזה שאומר ושכינתא נטלא פורפירא כו', והוא בתחילת הגאולה - להנקם מצרינו, וכמו שאומר לקמן ב' בההוא זמנא כל ספירין כו', ואמר בית ראשון ושני כו' - דשניהם יתבנו לעתיד לבוא, והן שתי נוקבין, שתי ההי"ן כידוע וכמו שאומר לקמן ריש תיקון כ”ב עיין שם, ומשיחין הן דרג"א דדכורא, י"ו, דישראל עם בית המקדש, הן דכורא, גוי אחד - בארץ, נגד השי"ת עם שכינתא כמו שאומר בזוהר:</w:t>
      </w:r>
    </w:p>
  </w:footnote>
  <w:footnote w:id="2669">
    <w:p w:rsidR="00A13282" w:rsidRDefault="00A13282" w:rsidP="002D629A">
      <w:pPr>
        <w:pStyle w:val="a5"/>
      </w:pPr>
      <w:r>
        <w:rPr>
          <w:rStyle w:val="a7"/>
        </w:rPr>
        <w:footnoteRef/>
      </w:r>
      <w:r>
        <w:t xml:space="preserve"> </w:t>
      </w:r>
      <w:r>
        <w:rPr>
          <w:b/>
          <w:bCs/>
          <w:rtl/>
        </w:rPr>
        <w:t xml:space="preserve">תמימה כו' אשר כו'. </w:t>
      </w:r>
      <w:r>
        <w:rPr>
          <w:rtl/>
        </w:rPr>
        <w:t>וכן הוא ברעיא מהימנא ריש פרשת חוקת עיין שם, והוא מרכבה שלימה דכליל הכל והכל מסטרא דגבורה וכנ"ל בההוא זמנא כל ספירין כו', וכן הוא בפרה אדומה כו' ולכן היא מטהרת בסוד לוי דהוא טהור ואינו קדושה בקדושת מזבח:</w:t>
      </w:r>
    </w:p>
  </w:footnote>
  <w:footnote w:id="2670">
    <w:p w:rsidR="00A13282" w:rsidRDefault="00A13282" w:rsidP="002D629A">
      <w:pPr>
        <w:pStyle w:val="a5"/>
      </w:pPr>
      <w:r>
        <w:rPr>
          <w:rStyle w:val="a7"/>
        </w:rPr>
        <w:footnoteRef/>
      </w:r>
      <w:r>
        <w:t xml:space="preserve"> </w:t>
      </w:r>
      <w:r>
        <w:rPr>
          <w:b/>
          <w:bCs/>
          <w:rtl/>
        </w:rPr>
        <w:t xml:space="preserve">דאתמר ביה ויעקב כו'. </w:t>
      </w:r>
      <w:r>
        <w:rPr>
          <w:rtl/>
        </w:rPr>
        <w:t>דהוא יותר מתמים כמו שאמרו בזוהר פרשת שלח ולכן נאמר אין בה כו':</w:t>
      </w:r>
    </w:p>
  </w:footnote>
  <w:footnote w:id="2671">
    <w:p w:rsidR="00A13282" w:rsidRDefault="00A13282" w:rsidP="002D629A">
      <w:pPr>
        <w:pStyle w:val="a5"/>
      </w:pPr>
      <w:r>
        <w:rPr>
          <w:rStyle w:val="a7"/>
        </w:rPr>
        <w:footnoteRef/>
      </w:r>
      <w:r>
        <w:t xml:space="preserve"> </w:t>
      </w:r>
      <w:r>
        <w:rPr>
          <w:b/>
          <w:bCs/>
          <w:rtl/>
        </w:rPr>
        <w:t xml:space="preserve">דאיהי אתקריאת כו'. </w:t>
      </w:r>
      <w:r>
        <w:rPr>
          <w:rtl/>
        </w:rPr>
        <w:t>ועיין ברעיא מהימנא שם אסור לחרוש בשבת כו' לית רשו לס"א כו' דאינון מסטרא דגיהנם, ורוצה לומר דאין גיהנם בשבת, ואמר משעבודא דגלותא כמו שמפרש והולך דאתקריאת חרות מכל חירות משם נפקא ורוצה לומר ולכן פרה נפסלה גם כן במלאכה מסטרא דשכינה עלאה ובה קרני פרה לעתיד לבוא שיפקון לחירות:</w:t>
      </w:r>
    </w:p>
  </w:footnote>
  <w:footnote w:id="2672">
    <w:p w:rsidR="00A13282" w:rsidRDefault="00A13282" w:rsidP="002D629A">
      <w:pPr>
        <w:pStyle w:val="a5"/>
      </w:pPr>
      <w:r>
        <w:rPr>
          <w:rStyle w:val="a7"/>
        </w:rPr>
        <w:footnoteRef/>
      </w:r>
      <w:r>
        <w:t xml:space="preserve"> </w:t>
      </w:r>
      <w:r>
        <w:rPr>
          <w:b/>
          <w:bCs/>
          <w:rtl/>
        </w:rPr>
        <w:t xml:space="preserve">ושלמה בגינה כו'. </w:t>
      </w:r>
      <w:r>
        <w:rPr>
          <w:rtl/>
        </w:rPr>
        <w:t>משום דהיא מסטרא דשכינה עילאה כנ"ל ולכן היא שבע פעמים שבע, מ"ט שערי בינה, שבע הזאות, שבע כו', ושלמה בקש החכמה למעלה מבינה, דרגא דמשה, ואף הבינה לא ניתנה לו כידוע, וזה שאומר והיא רחוקה ממני, וחכמה נקרא רחוק - אחותו מרחוק:</w:t>
      </w:r>
    </w:p>
  </w:footnote>
  <w:footnote w:id="2673">
    <w:p w:rsidR="00A13282" w:rsidRDefault="00A13282" w:rsidP="002D629A">
      <w:pPr>
        <w:pStyle w:val="a5"/>
      </w:pPr>
      <w:r>
        <w:rPr>
          <w:rStyle w:val="a7"/>
        </w:rPr>
        <w:footnoteRef/>
      </w:r>
      <w:r>
        <w:t xml:space="preserve"> </w:t>
      </w:r>
      <w:r>
        <w:rPr>
          <w:b/>
          <w:bCs/>
          <w:rtl/>
        </w:rPr>
        <w:t xml:space="preserve">ורזא דמלה מי יתן כו'. </w:t>
      </w:r>
      <w:r>
        <w:rPr>
          <w:rtl/>
        </w:rPr>
        <w:t>והוא בנוגה, עץ הדעת טוב ורע, ושם הוא נהפך מטמא לטהור, ושם הוא הפרה כידוע והוא מימינא, טוב כו' וזה שאומר מטהרת את הטמא מסטרא כו', וכן שעיר לעזאזל כידוע וזה שאומר וכהנא דאיהו טהור, וסבר דווקא כהן כמו שאמרו (משנה יומא ו ג) אלא שעשוהו כהנים קבע כו', וכן בתיה היא שם כידוע ומשה רבינו עליו השלום הוא מעץ החיים נופא דיליה כמו שכתוב (שמות ב ב) ותרא אותו כי טוב הוא, וכתיב (משלי לא יב) גמלתהו טוב ולא רע כל כו', וכד נגעא ביה אתדבקת ביה גופא דעץ הדעת טוב ורע, וזה שאומר ומיד דנגעה ביה כו':</w:t>
      </w:r>
    </w:p>
  </w:footnote>
  <w:footnote w:id="2674">
    <w:p w:rsidR="00A13282" w:rsidRDefault="00A13282" w:rsidP="002D629A">
      <w:pPr>
        <w:pStyle w:val="a5"/>
      </w:pPr>
      <w:r>
        <w:rPr>
          <w:rStyle w:val="a7"/>
        </w:rPr>
        <w:footnoteRef/>
      </w:r>
      <w:r>
        <w:t xml:space="preserve"> </w:t>
      </w:r>
      <w:r>
        <w:rPr>
          <w:b/>
          <w:bCs/>
          <w:rtl/>
        </w:rPr>
        <w:t xml:space="preserve">תמן אחזי ליה דגופא כו'. </w:t>
      </w:r>
      <w:r>
        <w:rPr>
          <w:rtl/>
        </w:rPr>
        <w:t>שהוא כתנות עור, משכא דחויא דלקה בצרעת כמו שאמרו במדרש רבה, והן ארבעה מראות נגעים - ארבע נשים דיליה כידוע, ותחלה היה לו גופא דכתנות אור ולכן נתמלא כל הבית אורה, וכן אחר התקרבו בסיני - (שמות לד כט) כי קרן אור פניו:</w:t>
      </w:r>
    </w:p>
  </w:footnote>
  <w:footnote w:id="2675">
    <w:p w:rsidR="00A13282" w:rsidRDefault="00A13282" w:rsidP="002D629A">
      <w:pPr>
        <w:pStyle w:val="a5"/>
      </w:pPr>
      <w:r>
        <w:rPr>
          <w:rStyle w:val="a7"/>
        </w:rPr>
        <w:footnoteRef/>
      </w:r>
      <w:r>
        <w:t xml:space="preserve"> </w:t>
      </w:r>
      <w:r>
        <w:rPr>
          <w:b/>
          <w:bCs/>
          <w:rtl/>
        </w:rPr>
        <w:t xml:space="preserve">לבתר דאתפשט מיניה והדר כו'. </w:t>
      </w:r>
      <w:r>
        <w:rPr>
          <w:rtl/>
        </w:rPr>
        <w:t>רוצה לומר כל אדם אחר מיתה שנכנס לגן עדן, והוא כמו אדם קודם החטא. ואחר שחטא ונתלבש בכתנות עור - נתגרש מגן עדן, שלא יוכל לעמוד שם באותו הגוף, ונגזר המיתה - להתפשט מגוף הזה, ואחר יכנס לגן עדן. ואמר שכן משה זכה בחיים ולכן אלולי ערב רב דלקה בסלע ואתמר ביה ושים בסלע דחויא לכפר עונך - לא אצטרך למיתה, וזה שאומר והכי אתלבש משה, ואמר</w:t>
      </w:r>
    </w:p>
  </w:footnote>
  <w:footnote w:id="2676">
    <w:p w:rsidR="00A13282" w:rsidRDefault="00A13282" w:rsidP="002D629A">
      <w:pPr>
        <w:pStyle w:val="a5"/>
      </w:pPr>
      <w:r>
        <w:rPr>
          <w:rStyle w:val="a7"/>
        </w:rPr>
        <w:footnoteRef/>
      </w:r>
      <w:r>
        <w:t xml:space="preserve"> </w:t>
      </w:r>
      <w:r>
        <w:rPr>
          <w:b/>
          <w:bCs/>
          <w:rtl/>
        </w:rPr>
        <w:t xml:space="preserve">ובג"ד א"ל של כו'. </w:t>
      </w:r>
      <w:r>
        <w:rPr>
          <w:rtl/>
        </w:rPr>
        <w:t>גם כן על ענין הנ"ל, ותרי אתין - על תרי גופין, שהן תרי יצרין דעץ הדעת טוב ורע, זו"נ, שהן עור ובשר, ולכן באות הנעל הוא עור דנעל, ובאות הצרעת ושבה כבשרו, ורוצה לומר כבשרו קודם החטא, וקודם שנגעה במשה בת פרעה, וזה שאומר דאתדכיא באורייתא, שאלו השנים הן נגד תורה שבכתב ושבעל פה ולכן הוצרך קודם שקבל אלו השנים להתפשט משניהם ולהתלבש בדיליה:</w:t>
      </w:r>
    </w:p>
  </w:footnote>
  <w:footnote w:id="2677">
    <w:p w:rsidR="00A13282" w:rsidRDefault="00A13282" w:rsidP="002D629A">
      <w:pPr>
        <w:pStyle w:val="a5"/>
      </w:pPr>
      <w:r>
        <w:rPr>
          <w:rStyle w:val="a7"/>
        </w:rPr>
        <w:footnoteRef/>
      </w:r>
      <w:r>
        <w:t xml:space="preserve"> </w:t>
      </w:r>
      <w:r>
        <w:rPr>
          <w:b/>
          <w:bCs/>
          <w:rtl/>
        </w:rPr>
        <w:t xml:space="preserve">ועוד שכינתא כו' ומסט' דפרה שור כו'. </w:t>
      </w:r>
      <w:r>
        <w:rPr>
          <w:rtl/>
        </w:rPr>
        <w:t>רוצה לומר דיסוד, מסטרא דשכינה עילאה שהיא פרה כמו שאומר למטה - נקרא שור כנ"ל, ומסטרא דשכינתא תתאה דנקראת עגלה כמו שאומר לקמן - נקרא עגל, והכל מסטרא דגבורה וזה שאומר ודא איהו ופני שור כו' לחטאת ואמר ופרה ודאי כו' כד נטלת כו' ושכינתא כו':</w:t>
      </w:r>
    </w:p>
  </w:footnote>
  <w:footnote w:id="2678">
    <w:p w:rsidR="00A13282" w:rsidRDefault="00A13282" w:rsidP="002D629A">
      <w:pPr>
        <w:pStyle w:val="a5"/>
      </w:pPr>
      <w:r>
        <w:rPr>
          <w:rStyle w:val="a7"/>
        </w:rPr>
        <w:footnoteRef/>
      </w:r>
      <w:r>
        <w:t xml:space="preserve"> </w:t>
      </w:r>
      <w:r>
        <w:rPr>
          <w:b/>
          <w:bCs/>
          <w:rtl/>
        </w:rPr>
        <w:t xml:space="preserve">ועוד קרני פרה כו'. </w:t>
      </w:r>
      <w:r>
        <w:rPr>
          <w:rtl/>
        </w:rPr>
        <w:t>דלמעלה פירש הכל על נו"ה כנ"ל, וכאן על נו"ה וחו"ג, והכל מסטרא דשכינה עילאה שהיא פרה, ונו"ה הן קרניה מבינה, נביאים, ירכתי צפון, וקרני ראם הן מסטרא דחכמה דכליל בבינה ובשני אלו חו"ג שהן מדרגא דחו"ב כמו שאומר חכמה נחית בימינא וכנ"ל דאתכלילו כו' וחו"ב שהן י"ה כי יד על כס י"ה מלחמה כו', וזה שאומר דיעביד בהון קרבא כו' רוצה לומר בחו"ג וזהו כי יד - שהן חו"ג, ורוצה לומר דכתיב וקרני ראם קרניו הדר קרניו רוצה לומר של שור שהן קרני פרה וזה שאומר, בהם עמים ינגח כו' - בקרני פרה, ולעמלק - בראם:</w:t>
      </w:r>
    </w:p>
  </w:footnote>
  <w:footnote w:id="2679">
    <w:p w:rsidR="00A13282" w:rsidRDefault="00A13282" w:rsidP="002D629A">
      <w:pPr>
        <w:pStyle w:val="a5"/>
      </w:pPr>
      <w:r>
        <w:rPr>
          <w:rStyle w:val="a7"/>
        </w:rPr>
        <w:footnoteRef/>
      </w:r>
      <w:r>
        <w:t xml:space="preserve"> </w:t>
      </w:r>
      <w:r>
        <w:rPr>
          <w:b/>
          <w:bCs/>
          <w:rtl/>
        </w:rPr>
        <w:t xml:space="preserve">דאתקרי אלקים. </w:t>
      </w:r>
      <w:r>
        <w:rPr>
          <w:rtl/>
        </w:rPr>
        <w:t>רוצה לומר הגבורה, ורוצה לומר בזה דסיים וביה פתחת, והוא לראיה דהוא מסטרא דגבורה:</w:t>
      </w:r>
    </w:p>
  </w:footnote>
  <w:footnote w:id="2680">
    <w:p w:rsidR="00A13282" w:rsidRDefault="00A13282" w:rsidP="002D629A">
      <w:pPr>
        <w:pStyle w:val="a5"/>
      </w:pPr>
      <w:r>
        <w:rPr>
          <w:rStyle w:val="a7"/>
        </w:rPr>
        <w:footnoteRef/>
      </w:r>
      <w:r>
        <w:t xml:space="preserve"> </w:t>
      </w:r>
      <w:r>
        <w:rPr>
          <w:b/>
          <w:bCs/>
          <w:rtl/>
        </w:rPr>
        <w:t xml:space="preserve">כשוורים. </w:t>
      </w:r>
      <w:r>
        <w:rPr>
          <w:rtl/>
        </w:rPr>
        <w:t>דשור הוא גבורה:</w:t>
      </w:r>
    </w:p>
  </w:footnote>
  <w:footnote w:id="2681">
    <w:p w:rsidR="00A13282" w:rsidRDefault="00A13282" w:rsidP="002D629A">
      <w:pPr>
        <w:pStyle w:val="a5"/>
      </w:pPr>
      <w:r>
        <w:rPr>
          <w:rStyle w:val="a7"/>
        </w:rPr>
        <w:footnoteRef/>
      </w:r>
      <w:r>
        <w:t xml:space="preserve"> </w:t>
      </w:r>
      <w:r>
        <w:rPr>
          <w:b/>
          <w:bCs/>
          <w:rtl/>
        </w:rPr>
        <w:t xml:space="preserve">ובג"ד ה' כגבור כו'. </w:t>
      </w:r>
      <w:r>
        <w:rPr>
          <w:rtl/>
        </w:rPr>
        <w:t>ואמר יריע בתרועה כו', דאף דתרועה בת"ת ותקיעה בחסד מכל מקום כולם מסטרא דגבורה, דכל התשר"ת הן מסטרא דגבורה, שלכן הן בראש השנה ולעתיד לבוא, וזה שאומר בההוא זמנא כל ספירין כו'. ואמר ושמא דיוד כו' שהן עשר אותיות, שהן דעשר שופרות תשר"ת תש"ת תר"ת, ועיין מה שנבאר לקמן בתיקון כ”ה ואמר ואפילו מלאכים דלעילא וישראל לתתא כמו שכתוב (ישעיהו כד כא) יפקוד ה' על צבא מרום במרום ועל כו' והן שתי מלחמות שישראל לתתא ילחמו כמו שאומר לקמן עמים ינגח יחדו וכן הוא המלחמה למעלה כמו שכתוב (דניאל י כ, כא) ואני יוצא והנה שר כו' כי אם מיכאל שרכם, ובעת ההיא יתגברו ישראל לתתא ומלאכים דילהון לעילא ואמר בזוהר פרשת פנחס רי"ד ב' פתח ואמר חשף ה' את זרוע קדשו דא דרוע חדא דביה תליא ישועה דביה תליא נוקמא דביה תליא פורקנא ולמה למיקם לכנסת ישראל מעפרא ולקבלא לה לגביה לאזדווגא כחדא וכד האי אתער כמה דחילו שריא בעלמא כו' ולבתר אתא ימינא לחבקא כדין חדוותא שריא בעלמא כו', וזה שאומר ולבתר דנטיל נוקמא כו':</w:t>
      </w:r>
    </w:p>
  </w:footnote>
  <w:footnote w:id="2682">
    <w:p w:rsidR="00A13282" w:rsidRDefault="00A13282" w:rsidP="002D629A">
      <w:pPr>
        <w:pStyle w:val="a5"/>
      </w:pPr>
      <w:r>
        <w:rPr>
          <w:rStyle w:val="a7"/>
        </w:rPr>
        <w:footnoteRef/>
      </w:r>
      <w:r>
        <w:t xml:space="preserve"> </w:t>
      </w:r>
      <w:r>
        <w:rPr>
          <w:b/>
          <w:bCs/>
          <w:rtl/>
        </w:rPr>
        <w:t xml:space="preserve">וקדם דנטיל כו'. </w:t>
      </w:r>
      <w:r>
        <w:rPr>
          <w:rtl/>
        </w:rPr>
        <w:t>כמו שכתוב כי יד על כס כו':</w:t>
      </w:r>
    </w:p>
  </w:footnote>
  <w:footnote w:id="2683">
    <w:p w:rsidR="00A13282" w:rsidRDefault="00A13282" w:rsidP="002D629A">
      <w:pPr>
        <w:pStyle w:val="a5"/>
      </w:pPr>
      <w:r>
        <w:rPr>
          <w:rStyle w:val="a7"/>
        </w:rPr>
        <w:footnoteRef/>
      </w:r>
      <w:r>
        <w:t xml:space="preserve"> </w:t>
      </w:r>
      <w:r>
        <w:rPr>
          <w:b/>
          <w:bCs/>
          <w:rtl/>
        </w:rPr>
        <w:t xml:space="preserve">ואיהי געיא ובוכה כו'. </w:t>
      </w:r>
      <w:r>
        <w:rPr>
          <w:rtl/>
        </w:rPr>
        <w:t>ורוצה לומר זהו טעם געיא תלשא אזלא גריש, ויתלוש הפלחי כוכבים ויגרש כמו שאומר לקמן:</w:t>
      </w:r>
    </w:p>
  </w:footnote>
  <w:footnote w:id="2684">
    <w:p w:rsidR="00A13282" w:rsidRDefault="00A13282" w:rsidP="002D629A">
      <w:pPr>
        <w:pStyle w:val="a5"/>
      </w:pPr>
      <w:r>
        <w:rPr>
          <w:rStyle w:val="a7"/>
        </w:rPr>
        <w:footnoteRef/>
      </w:r>
      <w:r>
        <w:t xml:space="preserve"> </w:t>
      </w:r>
      <w:r>
        <w:rPr>
          <w:b/>
          <w:bCs/>
          <w:rtl/>
        </w:rPr>
        <w:t xml:space="preserve">י"ב חדשים. </w:t>
      </w:r>
      <w:r>
        <w:rPr>
          <w:rtl/>
        </w:rPr>
        <w:t>כמו שאמרו (משנה עדיות ב י) משפט גוג ומגוג י"ב חדש, ואמרו שנאמר (ישעיהו יח ו) וקץ עליו העיט וכל בהמת כו', ואמר ועופא דשמיא כו', הן שבע שנין שנאמר ויצאו יושבי הארץ כו' ובערו בהם אש שבע שנים וכתיב שם ואתה בן אדם כו' אמר לצפור כל כנף ואכלתם כו':</w:t>
      </w:r>
    </w:p>
  </w:footnote>
  <w:footnote w:id="2685">
    <w:p w:rsidR="00A13282" w:rsidRDefault="00A13282" w:rsidP="002D629A">
      <w:pPr>
        <w:pStyle w:val="a5"/>
      </w:pPr>
      <w:r>
        <w:rPr>
          <w:rStyle w:val="a7"/>
        </w:rPr>
        <w:footnoteRef/>
      </w:r>
      <w:r>
        <w:t xml:space="preserve"> </w:t>
      </w:r>
      <w:r>
        <w:rPr>
          <w:b/>
          <w:bCs/>
          <w:rtl/>
        </w:rPr>
        <w:t xml:space="preserve">ועוד געיא. </w:t>
      </w:r>
      <w:r>
        <w:rPr>
          <w:rtl/>
        </w:rPr>
        <w:t>מפרש והולך שאר הטעמים, והכל בשופרות, דטעמים הם מאני קרבא עם החויא כמו שאומר לקמן וכתיב וכי תבואו מלחמה על הצר הצורר והרעותם כו', ובזה ונושעתם מאויביכם אע"ג דכתיב חצוצרות:</w:t>
      </w:r>
    </w:p>
  </w:footnote>
  <w:footnote w:id="2686">
    <w:p w:rsidR="00A13282" w:rsidRDefault="00A13282" w:rsidP="002D629A">
      <w:pPr>
        <w:pStyle w:val="a5"/>
      </w:pPr>
      <w:r>
        <w:rPr>
          <w:rStyle w:val="a7"/>
        </w:rPr>
        <w:footnoteRef/>
      </w:r>
      <w:r>
        <w:t xml:space="preserve"> </w:t>
      </w:r>
      <w:r>
        <w:rPr>
          <w:b/>
          <w:bCs/>
          <w:rtl/>
        </w:rPr>
        <w:t xml:space="preserve">געיא בתרועה ויהיב בהון חנק. </w:t>
      </w:r>
      <w:r>
        <w:rPr>
          <w:rtl/>
        </w:rPr>
        <w:t>געיא הוא קו ישר והוא קו תהו דחנק ועיין בזוהר פרשת בראשית י' ב' בענין תהו ובהו שהם חנק וסקילה, וחושך ורוח - שריפה והרג, ארבע מיתות בית דין וכאן לא קאמר אלא קו תהו:</w:t>
      </w:r>
    </w:p>
  </w:footnote>
  <w:footnote w:id="2687">
    <w:p w:rsidR="00A13282" w:rsidRDefault="00A13282" w:rsidP="002D629A">
      <w:pPr>
        <w:pStyle w:val="a5"/>
      </w:pPr>
      <w:r>
        <w:rPr>
          <w:rStyle w:val="a7"/>
        </w:rPr>
        <w:footnoteRef/>
      </w:r>
      <w:r>
        <w:t xml:space="preserve"> </w:t>
      </w:r>
      <w:r>
        <w:rPr>
          <w:rtl/>
        </w:rPr>
        <w:t xml:space="preserve"> </w:t>
      </w:r>
      <w:r>
        <w:rPr>
          <w:b/>
          <w:bCs/>
          <w:rtl/>
        </w:rPr>
        <w:t>תל דא סקילה.</w:t>
      </w:r>
      <w:r>
        <w:rPr>
          <w:rtl/>
        </w:rPr>
        <w:t xml:space="preserve"> תל הוא אבן, אבני בהו, סקילה:</w:t>
      </w:r>
    </w:p>
  </w:footnote>
  <w:footnote w:id="2688">
    <w:p w:rsidR="00A13282" w:rsidRDefault="00A13282" w:rsidP="002D629A">
      <w:pPr>
        <w:pStyle w:val="a5"/>
      </w:pPr>
      <w:r>
        <w:rPr>
          <w:rStyle w:val="a7"/>
        </w:rPr>
        <w:footnoteRef/>
      </w:r>
      <w:r>
        <w:t xml:space="preserve"> </w:t>
      </w:r>
      <w:r>
        <w:rPr>
          <w:b/>
          <w:bCs/>
          <w:rtl/>
        </w:rPr>
        <w:t xml:space="preserve">בתקיעה דאיהו כרומחא כו'. </w:t>
      </w:r>
      <w:r>
        <w:rPr>
          <w:rtl/>
        </w:rPr>
        <w:t>דרומחא צורת אזלא בעקמומית קצת ובראשו כעין חזיינא וזה שאומר למטה שהוא כצורת רביע:</w:t>
      </w:r>
    </w:p>
  </w:footnote>
  <w:footnote w:id="2689">
    <w:p w:rsidR="00A13282" w:rsidRDefault="00A13282" w:rsidP="002D629A">
      <w:pPr>
        <w:pStyle w:val="a5"/>
      </w:pPr>
      <w:r>
        <w:rPr>
          <w:rStyle w:val="a7"/>
        </w:rPr>
        <w:footnoteRef/>
      </w:r>
      <w:r>
        <w:t xml:space="preserve"> </w:t>
      </w:r>
      <w:r>
        <w:rPr>
          <w:b/>
          <w:bCs/>
          <w:rtl/>
        </w:rPr>
        <w:t xml:space="preserve">שופר הולך כו' סלקא בתקיעה לעורר כו'. </w:t>
      </w:r>
      <w:r>
        <w:rPr>
          <w:rtl/>
        </w:rPr>
        <w:t>רוצה לומר שופר הולך הוא בתקיעה, הולך בישר כעין תקיעה, ורוצה לומר דכאן מפרש תקיעה על המלחמה, ושברים על הדינים שעושה בהם הרג ואבדן, ותרועה על המיתה, ולמעלה פירש כולם על המיתה, בארבע מיתות בית דין, ושם בלא מלחמה, ומה שאמר כאן קול תרועת מלחמה - תרועת לאו דוקא, ולשון הקרא נקט אבל ההתעוררות הוא בתקיעה, קול ישר:</w:t>
      </w:r>
    </w:p>
  </w:footnote>
  <w:footnote w:id="2690">
    <w:p w:rsidR="00A13282" w:rsidRDefault="00A13282" w:rsidP="002D629A">
      <w:pPr>
        <w:pStyle w:val="a5"/>
      </w:pPr>
      <w:r>
        <w:rPr>
          <w:rStyle w:val="a7"/>
        </w:rPr>
        <w:footnoteRef/>
      </w:r>
      <w:r>
        <w:t xml:space="preserve"> </w:t>
      </w:r>
      <w:r>
        <w:rPr>
          <w:b/>
          <w:bCs/>
          <w:rtl/>
        </w:rPr>
        <w:t xml:space="preserve">פסק דא שברים. </w:t>
      </w:r>
      <w:r>
        <w:rPr>
          <w:rtl/>
        </w:rPr>
        <w:t>דשברים פוסק התקיעה לכמה קולות:</w:t>
      </w:r>
    </w:p>
  </w:footnote>
  <w:footnote w:id="2691">
    <w:p w:rsidR="00A13282" w:rsidRDefault="00A13282" w:rsidP="002D629A">
      <w:pPr>
        <w:pStyle w:val="a5"/>
      </w:pPr>
      <w:r>
        <w:rPr>
          <w:rStyle w:val="a7"/>
        </w:rPr>
        <w:footnoteRef/>
      </w:r>
      <w:r>
        <w:t xml:space="preserve"> </w:t>
      </w:r>
      <w:r>
        <w:rPr>
          <w:b/>
          <w:bCs/>
          <w:rtl/>
        </w:rPr>
        <w:t xml:space="preserve">ודא חרב כו'. </w:t>
      </w:r>
      <w:r>
        <w:rPr>
          <w:rtl/>
        </w:rPr>
        <w:t>הכל במכה ולא במיתה עד תרועה כמו שמפרש והולך:</w:t>
      </w:r>
    </w:p>
  </w:footnote>
  <w:footnote w:id="2692">
    <w:p w:rsidR="00A13282" w:rsidRDefault="00A13282" w:rsidP="002D629A">
      <w:pPr>
        <w:pStyle w:val="a5"/>
      </w:pPr>
      <w:r>
        <w:rPr>
          <w:rStyle w:val="a7"/>
        </w:rPr>
        <w:footnoteRef/>
      </w:r>
      <w:r>
        <w:t xml:space="preserve"> </w:t>
      </w:r>
      <w:r>
        <w:rPr>
          <w:b/>
          <w:bCs/>
          <w:rtl/>
        </w:rPr>
        <w:t xml:space="preserve">מקף תרועה דא חנק כו'. </w:t>
      </w:r>
      <w:r>
        <w:rPr>
          <w:rtl/>
        </w:rPr>
        <w:t>רוצה לומר מקף הוא חנק, שמקיף הצואר כמו שאומר לעיל נ"ח ב' מקף והולך אינון ה"ה חד מקיף לה כו', ורוצה לומר שהוא המות דחניק ליה ולזה אמר מקף תרועה ולא קאמר דא תרועה דאין ראיה שהוא תרועה אלא דממילא הוא כך, דתקיעה בחסד הוא רק מלחמה, ושברים שהוא בדין - הוא מכת חרב והרג כו' שהוא קשה ממות וכמו שאמרו (בבא בתרא ח ע"ב) כל המאוחר בפסוק זה קשה מחבירו, ואמר ודא איהו הולך רוצה לומר הולך בתקיעה כנ"ל שופר הולך וחזק, שברים דהוא בגבורה חזקה, ומאוד - זו מות והוא בתרועה כנ"ל, ומאוד זו מות כמו שאמרו והנה טוב מאוד ואמרו מאוד כו' (בראשית רבה ט):</w:t>
      </w:r>
    </w:p>
  </w:footnote>
  <w:footnote w:id="2693">
    <w:p w:rsidR="00A13282" w:rsidRDefault="00A13282" w:rsidP="002D629A">
      <w:pPr>
        <w:pStyle w:val="a5"/>
      </w:pPr>
      <w:r>
        <w:rPr>
          <w:rStyle w:val="a7"/>
        </w:rPr>
        <w:footnoteRef/>
      </w:r>
      <w:r>
        <w:t xml:space="preserve"> </w:t>
      </w:r>
      <w:r>
        <w:rPr>
          <w:b/>
          <w:bCs/>
          <w:rtl/>
        </w:rPr>
        <w:t xml:space="preserve">דאתקיף עלייהו כו'. </w:t>
      </w:r>
      <w:r>
        <w:rPr>
          <w:rtl/>
        </w:rPr>
        <w:t>רוצה לומר לעתיד לבוא כמו במתן תורה, דאתקיף רוצה לומר וחזק, שהמיתה יהיה קשה עליהם, וזהו שברים מכת חרב כו' שאף המיתה שבהן יהא חזק:</w:t>
      </w:r>
    </w:p>
  </w:footnote>
  <w:footnote w:id="2694">
    <w:p w:rsidR="00A13282" w:rsidRDefault="00A13282" w:rsidP="002D629A">
      <w:pPr>
        <w:pStyle w:val="a5"/>
      </w:pPr>
      <w:r>
        <w:rPr>
          <w:rStyle w:val="a7"/>
        </w:rPr>
        <w:footnoteRef/>
      </w:r>
      <w:r>
        <w:t xml:space="preserve"> </w:t>
      </w:r>
      <w:r>
        <w:rPr>
          <w:b/>
          <w:bCs/>
          <w:rtl/>
        </w:rPr>
        <w:t xml:space="preserve">ועוד אזלא גריש כו'. </w:t>
      </w:r>
      <w:r>
        <w:rPr>
          <w:rtl/>
        </w:rPr>
        <w:t xml:space="preserve">עתה מפרש והולך עוד ארבעה טעמים, ורוצה לומר אזלא גריש - הולך וגריש אותה, מדה כנגד מדה שגרשוני מא"י בגלות כמו שמפרש והולך אלין ע"ר דגרשוני כו' והן בנוי דלילית שהיא שפחה בישא, גרש את האמה כו', והגאולה לא יבוא עד שיתמחו הערב רב מעלמא כמו שאמרו בזוהר פרשת בראשית בארוכה. וזה שאומר </w:t>
      </w:r>
      <w:r>
        <w:rPr>
          <w:b/>
          <w:bCs/>
          <w:rtl/>
        </w:rPr>
        <w:t xml:space="preserve">בההוא זמנא נטיל כו'. </w:t>
      </w:r>
      <w:r>
        <w:rPr>
          <w:rtl/>
        </w:rPr>
        <w:t>כנ"ל ורוצה לומר זהו שופר הולך רביע וכמו שמפרש והולך, ורביע דומיא דרומח, ואמר וידקר את שניהם רוצה לומר רובע ונרבע, וזהו רביע וזה שאומר דכר ונוקבא דא כו':</w:t>
      </w:r>
    </w:p>
  </w:footnote>
  <w:footnote w:id="2695">
    <w:p w:rsidR="00A13282" w:rsidRDefault="00A13282" w:rsidP="002D629A">
      <w:pPr>
        <w:pStyle w:val="a5"/>
      </w:pPr>
      <w:r>
        <w:rPr>
          <w:rStyle w:val="a7"/>
        </w:rPr>
        <w:footnoteRef/>
      </w:r>
      <w:r>
        <w:t xml:space="preserve"> </w:t>
      </w:r>
      <w:r>
        <w:rPr>
          <w:b/>
          <w:bCs/>
          <w:rtl/>
        </w:rPr>
        <w:t xml:space="preserve">ושית תיבין כו'. </w:t>
      </w:r>
      <w:r>
        <w:rPr>
          <w:rtl/>
        </w:rPr>
        <w:t>רוצה לומר זהו הוא"ו שברומח, ושתי בחינות בפסוק זה דקריאת שמע ויחודא כמו שבארנו במקום אחר בארוכה:</w:t>
      </w:r>
    </w:p>
  </w:footnote>
  <w:footnote w:id="2696">
    <w:p w:rsidR="00A13282" w:rsidRDefault="00A13282" w:rsidP="002D629A">
      <w:pPr>
        <w:pStyle w:val="a5"/>
      </w:pPr>
      <w:r>
        <w:rPr>
          <w:rStyle w:val="a7"/>
        </w:rPr>
        <w:footnoteRef/>
      </w:r>
      <w:r>
        <w:t xml:space="preserve"> </w:t>
      </w:r>
      <w:r>
        <w:rPr>
          <w:b/>
          <w:bCs/>
          <w:rtl/>
        </w:rPr>
        <w:t xml:space="preserve">שני גרישין כו'. </w:t>
      </w:r>
      <w:r>
        <w:rPr>
          <w:rtl/>
        </w:rPr>
        <w:t>רוצה לומר מן שמיא וארעא הן שני גרישין כי דכר ונוק' הן נאחזין בשמים וארץ ולכן צריך לשני גרישין:</w:t>
      </w:r>
    </w:p>
  </w:footnote>
  <w:footnote w:id="2697">
    <w:p w:rsidR="00A13282" w:rsidRDefault="00A13282" w:rsidP="002D629A">
      <w:pPr>
        <w:pStyle w:val="a5"/>
      </w:pPr>
      <w:r>
        <w:rPr>
          <w:rStyle w:val="a7"/>
        </w:rPr>
        <w:footnoteRef/>
      </w:r>
      <w:r>
        <w:t xml:space="preserve"> </w:t>
      </w:r>
      <w:r>
        <w:rPr>
          <w:b/>
          <w:bCs/>
          <w:rtl/>
        </w:rPr>
        <w:t>דקב"ה רדיף לון כו'.</w:t>
      </w:r>
      <w:r>
        <w:rPr>
          <w:rtl/>
        </w:rPr>
        <w:t xml:space="preserve"> רוצה לומר דרביע ושני גרישין ושלשלת הן שלשה דינין: דגרישין רדיף, ושלשלת תפיס, ורביע קטיל לון. ואח"כ אמר ורביע כו' אינון תקיעה כו' שהן גם כן תר"ת, ומפרש כאן תשע שופרות - שלש פעמים תר"ת, תשעה תקיעות של תורה, ולכך קאמר בכל אחד שופר הולך, ובראשון קאמר געיא שהוא קול שופר ועיין לקמן תיקון כ”ה דקאמר עשר דפיקין שהן עשר שופרות והן תש"ת תר"ת תשר"ת, וכן קאמר בכמה מקומות וכתבנו שם שהעשירית היא של מלכות הכולל תשע ספירות שעליה שלוש פעמים שלוש, העשירית הוא שופר הולך השני של רביע כו' וכאן הוא תשר"ת וזה שאומר לקמן ושופר איהו קלא מניה נפיק כו' ועיין מה שבארנו שם (הוא אזלא גרש דשכינה מבקשת גרש האמה כו' רביע כו' הוא לבעלה) (כל זה המוסגר נמחק בכי"ק) שהקב"ה עושה בהם דין, והן תשעה מיני דינין: שלשה בדיני ממונות, בית דין, ושלשה של מלחמה, ושלשה דכאן, ואחת הכוללת, והכל בשופרות כנ"ל ורביע בתקיעה בחסד עיין לקמן נ"ה א' תנועה דסליק לה לגבי בעלה דא רביע כו'. מאי בימינך דא גדולה כו' חד סליק לה בתקיעה כו' וכן שלשלת בתרועה שם אלא דשם קאמר על התביר דהוא שברים וכאן קאמר על גרישין דהוא שברים, והוא דוגמת הנקודות, דשב"א הוא שברים כמו שאומר לעיל תיקון י’ כ"א א' בה אתקרי שבא תביר ובה שבר תשבר מצבותיהם, וחולם דוגמת רביעי, ושורק דוגמת שלשלת כמו שבארנו שם ושם, והן אחת ושתים ושלש, חג"ת, ובנקודות הוא בנקודות, וכאן הוא בקוים לבד הרביע, ולפיכך גרישין דוגמת  שבא - שברים, ושם דריש הלשון תביר - שברים, וכן נגונו, ושהוא למטה מהתיבה וכמו שאומר שם וחד מאיך לה בשברים כו', ושלשלת אע"ג דהוא ממוצע מכל מקום הוא למעלה בסוד שם של ע"ב - ויט ביושר, וכמו שאמרו בזוהר, ושלשלת בצורתו שלשה קוין ועשוי כעין שלשלת וכמו שבארנו שם שלשלת דא תרועה קשורא דתרווייהו דיוקנא דשורק דלתתא כו', ושלשלת לשון הקושר יחד העשוי לכפיתה שני דברים יחד:</w:t>
      </w:r>
    </w:p>
  </w:footnote>
  <w:footnote w:id="2698">
    <w:p w:rsidR="00A13282" w:rsidRDefault="00A13282" w:rsidP="002D629A">
      <w:pPr>
        <w:pStyle w:val="a5"/>
      </w:pPr>
      <w:r>
        <w:rPr>
          <w:rStyle w:val="a7"/>
        </w:rPr>
        <w:footnoteRef/>
      </w:r>
      <w:r>
        <w:t xml:space="preserve"> </w:t>
      </w:r>
      <w:r>
        <w:rPr>
          <w:b/>
          <w:bCs/>
          <w:rtl/>
        </w:rPr>
        <w:t xml:space="preserve">שברים שבר כו'. </w:t>
      </w:r>
      <w:r>
        <w:rPr>
          <w:rtl/>
        </w:rPr>
        <w:t>עתה דריש ואזיל לשון תש"ת עצמן, שמרמז על המלחמה, ואמר שברים שבר תשבר והוא שני גרישין שבר תשבר, ומפרש מצבותיהם אלין כו' להתיצב כו' ומפרש על ה' דרוצה לומר דעל ה' ונגדו קיימין כמו שמפרש והולך וכיון דהוא בעי כו' ובשברים נשבר מצבותיהם ואמר</w:t>
      </w:r>
    </w:p>
  </w:footnote>
  <w:footnote w:id="2699">
    <w:p w:rsidR="00A13282" w:rsidRDefault="00A13282" w:rsidP="002D629A">
      <w:pPr>
        <w:pStyle w:val="a5"/>
      </w:pPr>
      <w:r>
        <w:rPr>
          <w:rStyle w:val="a7"/>
        </w:rPr>
        <w:footnoteRef/>
      </w:r>
      <w:r>
        <w:t xml:space="preserve"> </w:t>
      </w:r>
      <w:r>
        <w:rPr>
          <w:b/>
          <w:bCs/>
          <w:rtl/>
        </w:rPr>
        <w:t xml:space="preserve">ושופר איהו קלא כו'. </w:t>
      </w:r>
      <w:r>
        <w:rPr>
          <w:rtl/>
        </w:rPr>
        <w:t>רוצה לומר זהו שופר הולך רביע כו' שהשופר הוא דמניה נפקי כלהו וכוללם כולם:</w:t>
      </w:r>
    </w:p>
  </w:footnote>
  <w:footnote w:id="2700">
    <w:p w:rsidR="00A13282" w:rsidRDefault="00A13282" w:rsidP="002D629A">
      <w:pPr>
        <w:pStyle w:val="a5"/>
      </w:pPr>
      <w:r>
        <w:rPr>
          <w:rStyle w:val="a7"/>
        </w:rPr>
        <w:footnoteRef/>
      </w:r>
      <w:r>
        <w:t xml:space="preserve"> </w:t>
      </w:r>
      <w:r>
        <w:rPr>
          <w:b/>
          <w:bCs/>
          <w:rtl/>
        </w:rPr>
        <w:t xml:space="preserve">תקיעה מן מוחא. </w:t>
      </w:r>
      <w:r>
        <w:rPr>
          <w:rtl/>
        </w:rPr>
        <w:t>עתה מפרש האיך הם בגופא ואינון מוחא כו', דהן כלל הגוף, חש"ח, אמ"ש הכולל הכל, וכן נר"ן כמו שאומר למטה ועוד נשמתא כו', והן שורין בהן כמו שמפרש והולך, נשמתא - במוחא, נפשא - בלבא כו', וכידוע, וכמו שאומר לקמן, כמו שהכלל בשלשה ברוחב - בשלשה קוין, כן הוא באורך, ועיין בזוהר פרשת בשלח נ"ג א' עיין שם היטב, וכן האבות וכידוע בסוד שלש סעודות דשבת, של אברהם - בשלשה ראשונות שהן חסדים - סעודות שחרית, ויצחק - בנוק', מדת הדין, ויעקב - בזעיר, ולכן הקרא אז תתענג חשיב כסדר האבות וכמו שבארנו במקום אחר, וזה שאומר תקיעה מן מוחא, ג"ר, שברים מלבא - נוק', ועיין מה שבארנו בתיקון כ”ה בארוכה, ומביא ראיה על שברים דכתיב לב כו', רוח נשברה:</w:t>
      </w:r>
    </w:p>
  </w:footnote>
  <w:footnote w:id="2701">
    <w:p w:rsidR="00A13282" w:rsidRDefault="00A13282" w:rsidP="002D629A">
      <w:pPr>
        <w:pStyle w:val="a5"/>
      </w:pPr>
      <w:r>
        <w:rPr>
          <w:rStyle w:val="a7"/>
        </w:rPr>
        <w:footnoteRef/>
      </w:r>
      <w:r>
        <w:t xml:space="preserve"> </w:t>
      </w:r>
      <w:r>
        <w:rPr>
          <w:b/>
          <w:bCs/>
          <w:rtl/>
        </w:rPr>
        <w:t xml:space="preserve">וכולהו אתכלילו בקנה ואתעבידו כו'. </w:t>
      </w:r>
      <w:r>
        <w:rPr>
          <w:rtl/>
        </w:rPr>
        <w:t>רוצה לומר דכולם נכללו בקול ודבור, ורוצה לומר בקול ודבור של תפלה דהוא קרבא דחויא כמו שאומר לעיל סוף תיקון י”ג, כי בקול והבל הן שלשה יסודות אמ"ש כידוע, והן מים - ממוחא, אש - מלבא, רוחא - מריאה, והכל בקול ודבור ולכן הקרבא שהוא בתש"ת הוא בקול ודבור וכן בקול ודבור של תורה כמו שאומר לעיל נ"ב ב' בארוכה:</w:t>
      </w:r>
    </w:p>
  </w:footnote>
  <w:footnote w:id="2702">
    <w:p w:rsidR="00A13282" w:rsidRDefault="00A13282" w:rsidP="002D629A">
      <w:pPr>
        <w:pStyle w:val="a5"/>
      </w:pPr>
      <w:r>
        <w:rPr>
          <w:rStyle w:val="a7"/>
        </w:rPr>
        <w:footnoteRef/>
      </w:r>
      <w:r>
        <w:t xml:space="preserve"> </w:t>
      </w:r>
      <w:r>
        <w:rPr>
          <w:b/>
          <w:bCs/>
          <w:rtl/>
        </w:rPr>
        <w:t xml:space="preserve">ועוד נשמתא כו'. </w:t>
      </w:r>
      <w:r>
        <w:rPr>
          <w:rtl/>
        </w:rPr>
        <w:t>הכל אחד כמו שמפרש והולך דנשמתא במוחא כו':</w:t>
      </w:r>
    </w:p>
  </w:footnote>
  <w:footnote w:id="2703">
    <w:p w:rsidR="00A13282" w:rsidRDefault="00A13282" w:rsidP="002D629A">
      <w:pPr>
        <w:pStyle w:val="a5"/>
      </w:pPr>
      <w:r>
        <w:rPr>
          <w:rStyle w:val="a7"/>
        </w:rPr>
        <w:footnoteRef/>
      </w:r>
      <w:r>
        <w:t xml:space="preserve"> </w:t>
      </w:r>
      <w:r>
        <w:rPr>
          <w:b/>
          <w:bCs/>
          <w:rtl/>
        </w:rPr>
        <w:t xml:space="preserve">אינון תקיעה שברים תרועה. </w:t>
      </w:r>
      <w:r>
        <w:rPr>
          <w:rtl/>
        </w:rPr>
        <w:t>כנ"ל תקיעה מן מוחא כו':</w:t>
      </w:r>
    </w:p>
  </w:footnote>
  <w:footnote w:id="2704">
    <w:p w:rsidR="00A13282" w:rsidRDefault="00A13282" w:rsidP="002D629A">
      <w:pPr>
        <w:pStyle w:val="a5"/>
      </w:pPr>
      <w:r>
        <w:rPr>
          <w:rStyle w:val="a7"/>
        </w:rPr>
        <w:footnoteRef/>
      </w:r>
      <w:r>
        <w:t xml:space="preserve"> </w:t>
      </w:r>
      <w:r>
        <w:rPr>
          <w:b/>
          <w:bCs/>
          <w:rtl/>
        </w:rPr>
        <w:t xml:space="preserve">ורזא דמלה כו'. </w:t>
      </w:r>
      <w:r>
        <w:rPr>
          <w:rtl/>
        </w:rPr>
        <w:t>רוצה לומר דכנפי ואברותיה קאי על כנפי ריאה, וכתיב בכסף וירקרק שהן שני דרגין, חו"ג, והוא ראיה שהוא בתרועה - ת"ת שכולל שניהם וזה שאומר ורוח כליל מאשא ומיא ובגין כו':</w:t>
      </w:r>
    </w:p>
  </w:footnote>
  <w:footnote w:id="2705">
    <w:p w:rsidR="00A13282" w:rsidRDefault="00A13282" w:rsidP="002D629A">
      <w:pPr>
        <w:pStyle w:val="a5"/>
      </w:pPr>
      <w:r>
        <w:rPr>
          <w:rStyle w:val="a7"/>
        </w:rPr>
        <w:footnoteRef/>
      </w:r>
      <w:r>
        <w:t xml:space="preserve"> </w:t>
      </w:r>
      <w:r>
        <w:rPr>
          <w:b/>
          <w:bCs/>
          <w:rtl/>
        </w:rPr>
        <w:t xml:space="preserve">בגין דנשמתא כו'. </w:t>
      </w:r>
      <w:r>
        <w:rPr>
          <w:rtl/>
        </w:rPr>
        <w:t>רוצה לומר לכך כתיב דעת אצל תרועה, דת"ת הוא דעת והוא תרועה וקאמר אשרי גם כן דוקא על התרועה, משום דת"ת כלול כלא כמו שמפרש והולך תפארת כליל כלא כו' ולכן אשרי כו'. ומפרש והולך שכל העשרה</w:t>
      </w:r>
      <w:r>
        <w:rPr>
          <w:b/>
          <w:bCs/>
          <w:rtl/>
        </w:rPr>
        <w:t xml:space="preserve"> </w:t>
      </w:r>
      <w:r>
        <w:rPr>
          <w:rtl/>
        </w:rPr>
        <w:t>דרגין - עשר ספירות - נכללין בשלשה, בחכמה ובתבונה ודעת וכמו שאמרו בזוהר פרשת שמות ודעת הוא האמצעי בין חכמה ותבונה וכליל שניהם ולפיכך כלל כלא, ואמר נשמת חיים בינה דנטלא מחכמה, נשמת - נשמה ודאי ובינה, וקאמר חיים לשון רבים דקאי גם כן על חכמה וכמו שאומר לקמן פ"ו ב' ותרוייהו כי חיים הם כו', וזהו ראיה דבינה כוללת חכמה והוא על שם דנטלא מיניה, ואמר נפש מלכות תבונה, דמוחא ולבא הן דכר ונוק' כמו שאומר לקמן בתיקון כ”ד לב כו' שמור, ומוחא - זכור, ועיין מה שבארנו שם בארוכה וזהו חכמה ותבונה, דו"נ, והרוח מכנפי ריאה - מכריע בנתים, הסולם ביניהם, והוא נקרא דעת בין חכמה ותבונה וזה שאומר רוח תפארת ואיהו כו':</w:t>
      </w:r>
    </w:p>
  </w:footnote>
  <w:footnote w:id="2706">
    <w:p w:rsidR="00A13282" w:rsidRDefault="00A13282" w:rsidP="002D629A">
      <w:pPr>
        <w:pStyle w:val="a5"/>
      </w:pPr>
      <w:r>
        <w:rPr>
          <w:rStyle w:val="a7"/>
        </w:rPr>
        <w:footnoteRef/>
      </w:r>
      <w:r>
        <w:t xml:space="preserve"> </w:t>
      </w:r>
      <w:r>
        <w:rPr>
          <w:b/>
          <w:bCs/>
          <w:rtl/>
        </w:rPr>
        <w:t xml:space="preserve">עליה אתמר ובדעת כו'. </w:t>
      </w:r>
      <w:r>
        <w:rPr>
          <w:rtl/>
        </w:rPr>
        <w:t>שהרוח ממלא כל חדרי האדם שכל אברי האדם ממולא מרוח ע"י הגידים דופקים:</w:t>
      </w:r>
    </w:p>
  </w:footnote>
  <w:footnote w:id="2707">
    <w:p w:rsidR="00A13282" w:rsidRDefault="00A13282" w:rsidP="002D629A">
      <w:pPr>
        <w:pStyle w:val="a5"/>
      </w:pPr>
      <w:r>
        <w:rPr>
          <w:rStyle w:val="a7"/>
        </w:rPr>
        <w:footnoteRef/>
      </w:r>
      <w:r>
        <w:t xml:space="preserve"> </w:t>
      </w:r>
      <w:r>
        <w:rPr>
          <w:b/>
          <w:bCs/>
          <w:rtl/>
        </w:rPr>
        <w:t xml:space="preserve">ומבינה נביאים כו'. </w:t>
      </w:r>
      <w:r>
        <w:rPr>
          <w:rtl/>
        </w:rPr>
        <w:t>רוצה לומר דנביאים הן נו"ה וכבר ידוע בספרים שמבינה נביאים והוא ראיה שבינה כולל נו"ה ונראה שלפי שנביא מתחלף באות א' בלבד בחילוף ואמרו בינה - ראשי תיבות: בינה נה"י. ואמר ומלכות - כתובים שידוע שכתובים הן במלכות, רוח הקדש, ואמר מזה ומזה הן כתובים שרומז על חו"ג שמהן ניתנה התורה כמו שאומר לקמן בכמה מקומות ועיין לקמן תיקון נ”ה והמכתב מכתב כו' חד יד הגדולה כו' וחד כו' וזה הענין הוא באור חוזר, שנה"י הם חב"ד, ובינה כוללת חכמה כנ"ל בינה דנטלא מחכמה, והן נו"ה וזה שאומר ואינון נו"ה, וחג"ת הם גם כן באור חוזר ולכן נאמר מזה ומזה הן כתובים - ישר וחוזר:</w:t>
      </w:r>
    </w:p>
  </w:footnote>
  <w:footnote w:id="2708">
    <w:p w:rsidR="00A13282" w:rsidRDefault="00A13282" w:rsidP="002D629A">
      <w:pPr>
        <w:pStyle w:val="a5"/>
      </w:pPr>
      <w:r>
        <w:rPr>
          <w:rStyle w:val="a7"/>
        </w:rPr>
        <w:footnoteRef/>
      </w:r>
      <w:r>
        <w:t xml:space="preserve"> </w:t>
      </w:r>
      <w:r>
        <w:rPr>
          <w:b/>
          <w:bCs/>
          <w:rtl/>
        </w:rPr>
        <w:t xml:space="preserve">וכולא על עמודא חד כו'. </w:t>
      </w:r>
      <w:r>
        <w:rPr>
          <w:rtl/>
        </w:rPr>
        <w:t>שגוף וברית - אחד הן, ולכן כלול כלא מצדיק:</w:t>
      </w:r>
    </w:p>
  </w:footnote>
  <w:footnote w:id="2709">
    <w:p w:rsidR="00A13282" w:rsidRDefault="00A13282" w:rsidP="002D629A">
      <w:pPr>
        <w:pStyle w:val="a5"/>
      </w:pPr>
      <w:r>
        <w:rPr>
          <w:rStyle w:val="a7"/>
        </w:rPr>
        <w:footnoteRef/>
      </w:r>
      <w:r>
        <w:t xml:space="preserve"> </w:t>
      </w:r>
      <w:r>
        <w:rPr>
          <w:b/>
          <w:bCs/>
          <w:rtl/>
        </w:rPr>
        <w:t xml:space="preserve">כבד כו'. </w:t>
      </w:r>
      <w:r>
        <w:rPr>
          <w:rtl/>
        </w:rPr>
        <w:t>לפי שלמעלה פירש מוח ריאה ולב, שכנגדם מרה כבד טחול, מרה וטחול הם שתי נוקבין כמו שאומר לקמן בתיקון מ”ח בארוכה, נגד בינה ומלכות, וכבד הוא נגד עמודא דאמצעיתא אבל בכללות כמו ששם נחלקים לשנים, מוח ולב, כמו שאומר בתיקון כ”ד כן הוא גם כן כאן כבד וטחול והם סם ונחש, ונוק' דס"ם הוא המרה, ונוק' דנחש הוא יותרת הכבד כלילא דכולהו, וכן הוא במוח - דו"נ, וכן הוא בלבא - תרי חללי דלבא כמו שאומר לקמן תרי בתי לבא אינון כו', וכן הוא כאן, ובכללות הן דו"נ, סם ונחש, וכל אחד מתפרש לדו"נ, וזה שאומר כבד וטחול סם כו' כבד אל כו'. רוצה לומר שסם - דכורא - הוא כבד ומרה, כבד - דכורא שבו, אל שבו, ומרה - נוק' שבו, סם שבו, וזה שאומר מרה סם כו' רוצה לומר נוק' דיליה:</w:t>
      </w:r>
    </w:p>
  </w:footnote>
  <w:footnote w:id="2710">
    <w:p w:rsidR="00A13282" w:rsidRDefault="00A13282" w:rsidP="002D629A">
      <w:pPr>
        <w:pStyle w:val="a5"/>
      </w:pPr>
      <w:r>
        <w:rPr>
          <w:rStyle w:val="a7"/>
        </w:rPr>
        <w:footnoteRef/>
      </w:r>
      <w:r>
        <w:t xml:space="preserve"> </w:t>
      </w:r>
      <w:r>
        <w:rPr>
          <w:b/>
          <w:bCs/>
          <w:rtl/>
        </w:rPr>
        <w:t>כבד בתרועה כו'.</w:t>
      </w:r>
      <w:r>
        <w:rPr>
          <w:rtl/>
        </w:rPr>
        <w:t xml:space="preserve"> דאינון נגד מוחא ולבא וריאה כנ"ל, ואמר למעלה תקיעה מן מוחא כו', ואמר ומרה איהו חרבא כו' כמה דאת אמר כו' - לראיה שמרה הוא סם דסמא"ל, נוק' דיליה, סם המות, ואמר זכאה מאן דכליל נשמתא ורוחא עם נפשא כו', שהן היפוכא דלהון והן תש"ת כמו שאומר לקמן נשמתא במוחא ודא תקיעה כו' ובהון מתעברין מעלמא כנ"ל, ואמר למעלה באורייתא דאיהו סם חיים איהו כו', והוא בקלא דאורייתא דהוא רוח ודבור דכליל תש"ת כנ"ל וכלא אתכלילו כו':</w:t>
      </w:r>
    </w:p>
  </w:footnote>
  <w:footnote w:id="2711">
    <w:p w:rsidR="00A13282" w:rsidRDefault="00A13282" w:rsidP="002D629A">
      <w:pPr>
        <w:pStyle w:val="a5"/>
      </w:pPr>
      <w:r>
        <w:rPr>
          <w:rStyle w:val="a7"/>
        </w:rPr>
        <w:footnoteRef/>
      </w:r>
      <w:r>
        <w:t xml:space="preserve"> </w:t>
      </w:r>
      <w:r>
        <w:rPr>
          <w:b/>
          <w:bCs/>
          <w:rtl/>
        </w:rPr>
        <w:t xml:space="preserve">ויותרת הכבד כו'. </w:t>
      </w:r>
      <w:r>
        <w:rPr>
          <w:rtl/>
        </w:rPr>
        <w:t>דסם ונחש הן ישמעאל ועשו, רוצח ונואף, ועיין מה שנבאר לקמן בתיקון ל”ז ואיהי יותרת, נוק' דנחש, זונה, שחוק הכסיל, כמו שאמרו (משנה סוטה פ"א ד) הרבה שחוק כו' דכבד וטחול הן כעס ושחוק, דעלה אמרו (קהלת ז ג) טוב כעס משחוק ועיין ברעיא מהימנא פרשת פנחס והן שני הנ"ל ולהן שתי נוק' מחלת ולילית, מחול ויללה ועיין מה שבארנו במקום אחר:</w:t>
      </w:r>
    </w:p>
  </w:footnote>
  <w:footnote w:id="2712">
    <w:p w:rsidR="00A13282" w:rsidRDefault="00A13282" w:rsidP="002D629A">
      <w:pPr>
        <w:pStyle w:val="a5"/>
      </w:pPr>
      <w:r>
        <w:rPr>
          <w:rStyle w:val="a7"/>
        </w:rPr>
        <w:footnoteRef/>
      </w:r>
      <w:r>
        <w:t xml:space="preserve"> </w:t>
      </w:r>
      <w:r>
        <w:rPr>
          <w:b/>
          <w:bCs/>
          <w:rtl/>
        </w:rPr>
        <w:t xml:space="preserve">שיורין איהי לכל כו'. </w:t>
      </w:r>
      <w:r>
        <w:rPr>
          <w:rtl/>
        </w:rPr>
        <w:t>רוצה לומר לשבעים ערקין דכבד שהן שבעים אלקים דשבעים אומות, ועיין לקמן תיקון ל”ב, ורוצה לומר דלכן נקרא יותרת דאיהי שיורין לכבד לשבעים דביה כנ"ל ואיהי נטיל השיורין מכלהו אחר שנוטלין כולם  חלקם והיא נותנת שיורא לבעלה טחול דבתר דעבדא נאופא כו', וקרי נאופא שהיא אשת איש לגבייהו ונותנת המותר דמותר לבעלה שהיא לוקחת המותר והוא כמו אשה זונה שמחלקת נכסי בעלה לאחרים שיזנו עמה כמו שכתוב (משלי ז יד, טז, יז) זבחי שלמים כו' מרבדים כו' נפתי, והיא אוכלת עמו המותר ומאותו המותר משיירת המותר לבעלה וכמו שכתוב (משלי ו כו) בעד אשר זונה כו', וזה שאומר דעלה אתמר כי כו', ואמר דאיהי אתחממת מכבד וטחול רוצה לומר לכן היא זונה שהיא אשת הטחול ומזנה עם הכבד, וחימומה הוא בכעס דכבד ושחוק הטחול וכמו שאמרו ברעיא מהימנא פרשת פנחס דאתקרי יותרת מן הכבד יותרת על הכבד דאתגברת עליה כו' עיין שם, ועיין מה שבארנו ענין השיורין דיהבת לכבד והוא אתרגיז בענין מלאך המות הוא היצר הרע והשטן אבל בשכינה הוא להיפך שחורה אני ונאוה דנותנת שופרי לבעלה הקב"ה ועיין מה שבארנו שם בארוכה:</w:t>
      </w:r>
    </w:p>
  </w:footnote>
  <w:footnote w:id="2713">
    <w:p w:rsidR="00A13282" w:rsidRDefault="00A13282" w:rsidP="002D629A">
      <w:pPr>
        <w:pStyle w:val="a5"/>
      </w:pPr>
      <w:r>
        <w:rPr>
          <w:rStyle w:val="a7"/>
        </w:rPr>
        <w:footnoteRef/>
      </w:r>
      <w:r>
        <w:t xml:space="preserve"> </w:t>
      </w:r>
      <w:r>
        <w:rPr>
          <w:b/>
          <w:bCs/>
          <w:rtl/>
        </w:rPr>
        <w:t xml:space="preserve">בגין דאיהו שאול תחתית. </w:t>
      </w:r>
      <w:r>
        <w:rPr>
          <w:rtl/>
        </w:rPr>
        <w:t>דכבד הוא דקטיל מות, וטחול הוא הזונה, והיא (משלי ט יח) בעמקי שאול קרואיה, וזה שאומר לקמן נ"ב ב' דאיהו בלע וקטיל, בלע בשאול דהוא טחול וקטיל דכבד, ושניהם הן מות וגיהנם, וזה שאומר בעץ הדעת טוב ורע - מות תמות, שתי מיתות אלו, כי עץ הדעת טוב ורע ברשעים - שניהם לרע, ועיין מה שבארנו במקום אחר בענין ח"ק ט"ר י"ש בארוכא ולכך הזהירו השם יתברך על הטוב שבו גם כן, והטוב הוא שחוק הטחול ואמר שאול תחתית דהוא שוכן בתחתית הגוף, וכן השאול הוא בתחתית האדמה ויורדין בו על הזנות שהכל יורדין לתוכו על עסקי הנם:</w:t>
      </w:r>
    </w:p>
  </w:footnote>
  <w:footnote w:id="2714">
    <w:p w:rsidR="00A13282" w:rsidRDefault="00A13282" w:rsidP="002D629A">
      <w:pPr>
        <w:pStyle w:val="a5"/>
      </w:pPr>
      <w:r>
        <w:rPr>
          <w:rStyle w:val="a7"/>
        </w:rPr>
        <w:footnoteRef/>
      </w:r>
      <w:r>
        <w:t xml:space="preserve"> </w:t>
      </w:r>
      <w:r>
        <w:rPr>
          <w:b/>
          <w:bCs/>
          <w:rtl/>
        </w:rPr>
        <w:t xml:space="preserve">דאתמר ביה צדיק ממנו כו'. </w:t>
      </w:r>
      <w:r>
        <w:rPr>
          <w:rtl/>
        </w:rPr>
        <w:t>רוצה לומר רשע שהשעה משחקת לו הוא דרגא דטחול וצריך ליזהר ממנו שהוא בולע כו' ודווקא צדיק ממנו דהוא ט"ר בעץ הדעת טוב ורע, דרע בכבד ויכול להמשך בטחול משא"כ בצדיק גמור וכן הליצנותא כמו שאמרו (פסחים קיב ע"ב) אל תדור בשכנציב כו' ובמושב לצים לא ישב הא למדת שמושב לצים מביאו כו' וזה שאומר כבד כועס כו' רוצה לומר כנ"ל דהן מות ושאול:</w:t>
      </w:r>
    </w:p>
  </w:footnote>
  <w:footnote w:id="2715">
    <w:p w:rsidR="00A13282" w:rsidRDefault="00A13282" w:rsidP="002D629A">
      <w:pPr>
        <w:pStyle w:val="a5"/>
      </w:pPr>
      <w:r>
        <w:rPr>
          <w:rStyle w:val="a7"/>
        </w:rPr>
        <w:footnoteRef/>
      </w:r>
      <w:r>
        <w:t xml:space="preserve"> </w:t>
      </w:r>
      <w:r>
        <w:rPr>
          <w:b/>
          <w:bCs/>
          <w:rtl/>
        </w:rPr>
        <w:t xml:space="preserve">לב מבין כו'. </w:t>
      </w:r>
      <w:r>
        <w:rPr>
          <w:rtl/>
        </w:rPr>
        <w:t>רוצה לומר דהלב בהפוכא כנ"ל ואמר לב מבין כו' הוא במדרש רבה (קהלת ז) ואותיות דר' עקיבא, למ"ד - לב מבין, דעת, ואמרו (ילקוט מלכים א ג, סי' קעד) לב יודע לב רואה שנאמר כו' ורוצה לומר בזה דלב כולל כל חב"ד דכוללין הכל כנ"ל, דריאה הוא חכמה כידוע בסוד הארבע חושים ראיה כו' דהוא יוד של שם כמו שאומר לקמן תיקון ע’ ובזוהר חדש פרשת יתרו ועיין מה שנבאר לקמן ע"ו ב' היא נגד יותרת דכלילא מכולהו ואמר דלא נטלא אלא צח כו' כידוע וכמו שאמרו ברעיא מהימנא שם דהיא ברירו דדמא לבד והפסולת זורקת על הכבד ומאותו הברירו נותנת השופרא לבעלה מוחא וכמו שאמרו בסוד אשה ריח ניחוח, אשה בכבד כו', והן סוד הקרבן סוד גדול וכן הצלותא - דרעוא בלבד סליק למוחא ועיין בהיכלות פ"ב ופ"פ:</w:t>
      </w:r>
    </w:p>
  </w:footnote>
  <w:footnote w:id="2716">
    <w:p w:rsidR="00A13282" w:rsidRDefault="00A13282" w:rsidP="002D629A">
      <w:pPr>
        <w:pStyle w:val="a5"/>
      </w:pPr>
      <w:r>
        <w:rPr>
          <w:rStyle w:val="a7"/>
        </w:rPr>
        <w:footnoteRef/>
      </w:r>
      <w:r>
        <w:t xml:space="preserve"> </w:t>
      </w:r>
      <w:r>
        <w:rPr>
          <w:b/>
          <w:bCs/>
          <w:rtl/>
        </w:rPr>
        <w:t xml:space="preserve">בלא סובין ובלא פסולת. </w:t>
      </w:r>
      <w:r>
        <w:rPr>
          <w:rtl/>
        </w:rPr>
        <w:t>רוצה לומר בלא מחשבה זרה ובלא חטא:</w:t>
      </w:r>
    </w:p>
  </w:footnote>
  <w:footnote w:id="2717">
    <w:p w:rsidR="00A13282" w:rsidRDefault="00A13282" w:rsidP="002D629A">
      <w:pPr>
        <w:pStyle w:val="a5"/>
      </w:pPr>
      <w:r>
        <w:rPr>
          <w:rStyle w:val="a7"/>
        </w:rPr>
        <w:footnoteRef/>
      </w:r>
      <w:r>
        <w:t xml:space="preserve"> </w:t>
      </w:r>
      <w:r>
        <w:rPr>
          <w:b/>
          <w:bCs/>
          <w:rtl/>
        </w:rPr>
        <w:t xml:space="preserve">הוא נחש רמאי כו'. </w:t>
      </w:r>
      <w:r>
        <w:rPr>
          <w:rtl/>
        </w:rPr>
        <w:t>דמפתה לאהבת עולם ותענוגיו שהוא הטחול:</w:t>
      </w:r>
    </w:p>
  </w:footnote>
  <w:footnote w:id="2718">
    <w:p w:rsidR="00A13282" w:rsidRDefault="00A13282" w:rsidP="002D629A">
      <w:pPr>
        <w:pStyle w:val="a5"/>
      </w:pPr>
      <w:r>
        <w:rPr>
          <w:rStyle w:val="a7"/>
        </w:rPr>
        <w:footnoteRef/>
      </w:r>
      <w:r>
        <w:t xml:space="preserve"> </w:t>
      </w:r>
      <w:r>
        <w:rPr>
          <w:b/>
          <w:bCs/>
          <w:rtl/>
        </w:rPr>
        <w:t xml:space="preserve">והא תרי בתי לבא כו'. </w:t>
      </w:r>
      <w:r>
        <w:rPr>
          <w:rtl/>
        </w:rPr>
        <w:t>עיין לקמן תיקון ס”ה דאית אשה דגרמי ואתתא דבשרא כו' עיין שם בארוכה וזה שאומר כאן ואיהו יצר הטוב ועלה כו' וזה שאומר ועלה אתמר ומוצא כו' עלה אתמר מצא כו' ורוצה לומר זה שאמרו (ברכות ח ע"א) במערבא מצא או מוצא כו', והכל על נפשא דבלבא דאיהי אתתא דבר נש, ועיין מה שנבאר לקמן בתיקון כ”ה בארוכה:</w:t>
      </w:r>
    </w:p>
  </w:footnote>
  <w:footnote w:id="2719">
    <w:p w:rsidR="00A13282" w:rsidRDefault="00A13282" w:rsidP="002D629A">
      <w:pPr>
        <w:pStyle w:val="a5"/>
      </w:pPr>
      <w:r>
        <w:rPr>
          <w:rStyle w:val="a7"/>
        </w:rPr>
        <w:footnoteRef/>
      </w:r>
      <w:r>
        <w:t xml:space="preserve"> </w:t>
      </w:r>
      <w:r>
        <w:rPr>
          <w:b/>
          <w:bCs/>
          <w:rtl/>
        </w:rPr>
        <w:t xml:space="preserve">עלה אתמר להניח כו'. </w:t>
      </w:r>
      <w:r>
        <w:rPr>
          <w:rtl/>
        </w:rPr>
        <w:t>רוצה לומר כמו שאמרו (יבמות סב ע"ב) כל השרוי כו' שנאמר להניח כו', וי"ב מתנות זכיא בשבילה שכנגדן תקינו י"ב דברים: ששון ושמחה כו' כמו שאומר בזוהר חדש פרשת חקת, אבל בזוהר פרשת תרומה אמר ההוא רביא דעשרה דברים אינון עיין שם קס"ט ב' וזה שאומר כאן איהי בדיוקנא דשכינתא כו' כלילא מעשר, ורוצה לומר לכן נאמר באשה עשר דברים הנ"ל שהיא דוגמת השכינה דכלילא מעשר, וכן הוא בלבא, וכל עשרה דברים הכל הוא בלב טוב והיא אשה טובה דמשבח קרא במשלי אשת חיל כו'. ובנוסחאות אחרות כתב:</w:t>
      </w:r>
    </w:p>
  </w:footnote>
  <w:footnote w:id="2720">
    <w:p w:rsidR="00A13282" w:rsidRDefault="00A13282" w:rsidP="002D629A">
      <w:pPr>
        <w:pStyle w:val="a5"/>
      </w:pPr>
      <w:r>
        <w:rPr>
          <w:rStyle w:val="a7"/>
        </w:rPr>
        <w:footnoteRef/>
      </w:r>
      <w:r>
        <w:t xml:space="preserve"> </w:t>
      </w:r>
      <w:r>
        <w:rPr>
          <w:b/>
          <w:bCs/>
          <w:rtl/>
        </w:rPr>
        <w:t>ברכה אל ביתך ברכת ה' היא תעשיר ועלה אתמר ראה חיים עם אשה אשר אהבת איהי בדיוקנא כו'.</w:t>
      </w:r>
      <w:r>
        <w:rPr>
          <w:rtl/>
        </w:rPr>
        <w:t xml:space="preserve"> ורוצה לומר עשרה דברים כנ"ל והן חיים עושר כו':</w:t>
      </w:r>
    </w:p>
  </w:footnote>
  <w:footnote w:id="2721">
    <w:p w:rsidR="00A13282" w:rsidRDefault="00A13282" w:rsidP="002D629A">
      <w:pPr>
        <w:pStyle w:val="a5"/>
        <w:rPr>
          <w:rtl/>
        </w:rPr>
      </w:pPr>
      <w:r>
        <w:rPr>
          <w:rStyle w:val="a7"/>
        </w:rPr>
        <w:footnoteRef/>
      </w:r>
      <w:r>
        <w:t xml:space="preserve"> </w:t>
      </w:r>
      <w:r>
        <w:rPr>
          <w:b/>
          <w:bCs/>
          <w:rtl/>
        </w:rPr>
        <w:t xml:space="preserve">ואיהי נר מצוה. </w:t>
      </w:r>
      <w:r>
        <w:rPr>
          <w:rtl/>
        </w:rPr>
        <w:t>כמו שאומר למטה דנר הוא נפשא ורוחא ונשמתא דכלילין בנפשא, ונפשא הוא בלבא ושם מצוה בשכינתא, ותורה הוא בת"ת וזה שאומר ורוחא דנשיב בה כו' ודא איהו כו' דרוחא דכנפי ריאה נשיב בלבא, קול דודי דופק כמו שאומר לקמן בתיקון כ”ה וזה שאומר ותורה אור, דתורה הוא בריאה, ו' ספרים כמו שנבאר שם, והיא אור כמו שאמרו (חולין מט ע"א) למה נקרא שמה ריאה שמאירה את העינים:</w:t>
      </w:r>
    </w:p>
  </w:footnote>
  <w:footnote w:id="2722">
    <w:p w:rsidR="00A13282" w:rsidRDefault="00A13282" w:rsidP="002D629A">
      <w:pPr>
        <w:pStyle w:val="a5"/>
      </w:pPr>
      <w:r>
        <w:rPr>
          <w:rStyle w:val="a7"/>
        </w:rPr>
        <w:footnoteRef/>
      </w:r>
      <w:r>
        <w:t xml:space="preserve"> </w:t>
      </w:r>
      <w:r>
        <w:rPr>
          <w:b/>
          <w:bCs/>
          <w:rtl/>
        </w:rPr>
        <w:t xml:space="preserve">ותורה אור נר וכו'. </w:t>
      </w:r>
      <w:r>
        <w:rPr>
          <w:rtl/>
        </w:rPr>
        <w:t>רוצה לומר דמצוה היא בנפשא דלבא, ותורה ברוחא דכנפי ריאה, ונשמתא במוחא היא נר לאנהרא לנפשא דרך הרוחא, וכמו שאומר דנפשא איהי פתילה כו', ונשמתא לנשמתא היא חיה שנקראת אדם, חכמה כידוע, היא אור דנהיר לרוחא, והן היראה ואהבה שבהן נהירין תורה ומצוה דכל קלא וכל פקודא בלא דחילו ורחימו ועיין לעיל מ' ב' ואינון חשוכין כו' ואמאי אתחשכן בהון בגין דלא כו', ואמר ואתמר בנשמתא אל תראוני כו' רוצה לומר שהנר מתחשכת ואינה מאירה בנפשא וכן באדם לרוחא וזה שאומר אלביש שמים דאיהי רוחא וכן אני שחרחרת דהיא נפשא דנקרא אני והיא שחרחרת בכפל מנר ואור, ואמר ובהאי נר נפשא רוחא נ' כו'. רוצה לומר דנר דנשמתא כוללת גם כן נפשא ורוחא דהיא מאירה עליהם, ואמר ובהאי נר רוצה לומר דנר דקרא זה נר ה' אינו נר הנ"ל שהוא הנשמה אלא הוא נפשא ורוחא, ראשי תיבות נ"ר, ונשמה נאמר נשמת אדם והיא נר עצמו, נמצא נר כולל נר"ן והן שלשה גוונים דנהורא כמו שמפרש והולך לקביל שלשה קטרין שהן נר"ן אינון תלת גוונין כו', וחוורא היא נגד רוחא, ואוכמא הוא נגד נפשא כמו שאמרו בזוהר פרשת בראשית וזוהר חדש שיר השירים ובכמה מקומות, ותכלתא הוא כורסיא להם שהוא גוון התחתון בנר אלא שלפי שבינה מקנן בכרסיא לפיכך הוא נגד נשמתא וזה שאומר ותכלתא איהו כו'. ולפי מה שאמרו בזוהר פרשת בראשית התכלת ואוכמא הוא ענין אחד הכל בנוק', והחוורא בדכורא, והאור שעל גביהם שנעלם השורף הוא באמא עלאה נשמתא. והענין, שנים שבנוק' הוא שני בתי לבא שכנגדן הוא טחול ויותרת כמו שמפרש והולך דמאן דנהיר נר כו' טחול כו' יותרת כו', שהן דו"נ שבנוק', וכנגדן שני בתי לבא והן בית ראשון ושני, לאה ורחל, דו"נ שבה כמו שבארנו במקום אחר, ומכל מקום בענין הגוונין כיון דבאמא לית לה גוון כלל - תכלת נגד גוון דידה כנ"ל מה שאין כן בס"א דגם למרה יש לה גוון בעצמה לכן חשיב שם ארבעה גוונין ואף שתמצא בסטרא דקדושה למעלה בתיקון ה’ ובסוף תיקון י"ח דהן ארבעה גוונין וה' גוונין וכן לקמן - היינו במדרגת המלכות. המלכות עצמה, ה' תתאה כמו שאומר שם ה' עלאה חמש אור, ה' תתאה חמש גוונין, ושם מפורש חמש הגוונין ובסוף תיקון י"ח ואינון כחוטא חוורא כו' אלין אינון ארבעה גוונין כו' ולקמן מ"ד א' נר איהו ה', חמש גוונין נהירין בה ואינון כו' מכל מקום עיקר הגוונין הן שלש או שתים כנ"ל:</w:t>
      </w:r>
    </w:p>
  </w:footnote>
  <w:footnote w:id="2723">
    <w:p w:rsidR="00A13282" w:rsidRDefault="00A13282" w:rsidP="002D629A">
      <w:pPr>
        <w:pStyle w:val="a5"/>
        <w:rPr>
          <w:rtl/>
        </w:rPr>
      </w:pPr>
      <w:r>
        <w:rPr>
          <w:rStyle w:val="a7"/>
          <w:rtl/>
        </w:rPr>
        <w:footnoteRef/>
      </w:r>
      <w:r>
        <w:rPr>
          <w:rtl/>
        </w:rPr>
        <w:t xml:space="preserve"> </w:t>
      </w:r>
      <w:r>
        <w:rPr>
          <w:b/>
          <w:bCs/>
          <w:rtl/>
        </w:rPr>
        <w:t xml:space="preserve">דאיהו ושפחה כו'. </w:t>
      </w:r>
      <w:r>
        <w:rPr>
          <w:rtl/>
        </w:rPr>
        <w:t>דטחול נקראת שפחה, כמו שאומר לקמן בכמה מקומות, והוא שהיא נבראת לשמש את הלב, בשמחה של מצוה, אבל בשחוק דליצנותא - ושפחה כי תירש, לשחוק כו' (קהלת ב ב, י יט), וכן הגלות דאומות פלחי כוכביא שהן נבראין לשמש את הישרים בצרכי העולם הזה שהן שחוק הטחול:</w:t>
      </w:r>
    </w:p>
  </w:footnote>
  <w:footnote w:id="2724">
    <w:p w:rsidR="00A13282" w:rsidRDefault="00A13282" w:rsidP="002D629A">
      <w:pPr>
        <w:pStyle w:val="a5"/>
        <w:rPr>
          <w:rtl/>
        </w:rPr>
      </w:pPr>
      <w:r>
        <w:rPr>
          <w:rStyle w:val="a7"/>
          <w:rtl/>
        </w:rPr>
        <w:footnoteRef/>
      </w:r>
      <w:r>
        <w:rPr>
          <w:rtl/>
        </w:rPr>
        <w:t xml:space="preserve"> </w:t>
      </w:r>
      <w:r>
        <w:rPr>
          <w:b/>
          <w:bCs/>
          <w:rtl/>
        </w:rPr>
        <w:t>ובההוא זמנא טחול שוחק.</w:t>
      </w:r>
      <w:r>
        <w:rPr>
          <w:rtl/>
        </w:rPr>
        <w:t xml:space="preserve"> כמו שכתוב (איכה א ז) שחקו על משבתיה:</w:t>
      </w:r>
    </w:p>
  </w:footnote>
  <w:footnote w:id="2725">
    <w:p w:rsidR="00A13282" w:rsidRDefault="00A13282" w:rsidP="002D629A">
      <w:pPr>
        <w:pStyle w:val="a5"/>
        <w:rPr>
          <w:rtl/>
        </w:rPr>
      </w:pPr>
      <w:r>
        <w:rPr>
          <w:rStyle w:val="a7"/>
          <w:rtl/>
        </w:rPr>
        <w:footnoteRef/>
      </w:r>
      <w:r>
        <w:rPr>
          <w:rtl/>
        </w:rPr>
        <w:t xml:space="preserve"> </w:t>
      </w:r>
      <w:r>
        <w:rPr>
          <w:b/>
          <w:bCs/>
          <w:rtl/>
        </w:rPr>
        <w:t xml:space="preserve">אתבנית ירושלים דאיהי לבא. </w:t>
      </w:r>
      <w:r>
        <w:rPr>
          <w:rtl/>
        </w:rPr>
        <w:t>כמו שאמרו בזוהר פרשת שלח בארוכה ולקמן ריש תיקון כ”ב עיין מה שבארנו שם:</w:t>
      </w:r>
    </w:p>
  </w:footnote>
  <w:footnote w:id="2726">
    <w:p w:rsidR="00A13282" w:rsidRDefault="00A13282" w:rsidP="002D629A">
      <w:pPr>
        <w:pStyle w:val="a5"/>
        <w:rPr>
          <w:rtl/>
        </w:rPr>
      </w:pPr>
      <w:r>
        <w:rPr>
          <w:rStyle w:val="a7"/>
          <w:rtl/>
        </w:rPr>
        <w:footnoteRef/>
      </w:r>
      <w:r>
        <w:rPr>
          <w:rtl/>
        </w:rPr>
        <w:t xml:space="preserve"> </w:t>
      </w:r>
      <w:r>
        <w:rPr>
          <w:b/>
          <w:bCs/>
          <w:rtl/>
        </w:rPr>
        <w:t xml:space="preserve">מקצר רוח דהוה בבטנם כו'. </w:t>
      </w:r>
      <w:r>
        <w:rPr>
          <w:rtl/>
        </w:rPr>
        <w:t>דכשמרה שחורה גוברת אז האדם בקוצר רוח בבטנו, שאין הרוח שבריאה יכולה לרחף, וזה שאומר מבטן שאול כו', ששאול הוא הטחול כנ"ל ואמר מבטן כנ"ל ואמר ואתמר בהון ותעל שועתם כו' שהוא השועה דקוצר רוח דטחול וכן הוא בגלות דטחול:</w:t>
      </w:r>
    </w:p>
  </w:footnote>
  <w:footnote w:id="2727">
    <w:p w:rsidR="00A13282" w:rsidRDefault="00A13282" w:rsidP="002D629A">
      <w:pPr>
        <w:pStyle w:val="a5"/>
        <w:rPr>
          <w:rtl/>
        </w:rPr>
      </w:pPr>
      <w:r>
        <w:rPr>
          <w:rStyle w:val="a7"/>
          <w:rtl/>
        </w:rPr>
        <w:footnoteRef/>
      </w:r>
      <w:r>
        <w:rPr>
          <w:rtl/>
        </w:rPr>
        <w:t xml:space="preserve"> </w:t>
      </w:r>
      <w:r>
        <w:rPr>
          <w:b/>
          <w:bCs/>
          <w:rtl/>
        </w:rPr>
        <w:t xml:space="preserve">אתמר בה ותגל. </w:t>
      </w:r>
      <w:r>
        <w:rPr>
          <w:rtl/>
        </w:rPr>
        <w:t>רוצה לומר גלות, כמו שאומר לקמן בתיקון ל”א עיין שם:</w:t>
      </w:r>
    </w:p>
  </w:footnote>
  <w:footnote w:id="2728">
    <w:p w:rsidR="00A13282" w:rsidRDefault="00A13282" w:rsidP="002D629A">
      <w:pPr>
        <w:pStyle w:val="a5"/>
        <w:rPr>
          <w:rtl/>
        </w:rPr>
      </w:pPr>
      <w:r>
        <w:rPr>
          <w:rStyle w:val="a7"/>
          <w:rtl/>
        </w:rPr>
        <w:footnoteRef/>
      </w:r>
      <w:r>
        <w:rPr>
          <w:rtl/>
        </w:rPr>
        <w:t xml:space="preserve"> </w:t>
      </w:r>
      <w:r>
        <w:rPr>
          <w:b/>
          <w:bCs/>
          <w:rtl/>
        </w:rPr>
        <w:t xml:space="preserve">דנשמתא נחיתא כו'. </w:t>
      </w:r>
      <w:r>
        <w:rPr>
          <w:rtl/>
        </w:rPr>
        <w:t>כמו שכתוב ותגל מרגלותיו כנ"ל:</w:t>
      </w:r>
    </w:p>
  </w:footnote>
  <w:footnote w:id="2729">
    <w:p w:rsidR="00A13282" w:rsidRDefault="00A13282" w:rsidP="002D629A">
      <w:pPr>
        <w:pStyle w:val="a5"/>
        <w:rPr>
          <w:rtl/>
        </w:rPr>
      </w:pPr>
      <w:r>
        <w:rPr>
          <w:rStyle w:val="a7"/>
          <w:rtl/>
        </w:rPr>
        <w:footnoteRef/>
      </w:r>
      <w:r>
        <w:rPr>
          <w:rtl/>
        </w:rPr>
        <w:t xml:space="preserve"> </w:t>
      </w:r>
      <w:r>
        <w:rPr>
          <w:b/>
          <w:bCs/>
          <w:rtl/>
        </w:rPr>
        <w:t xml:space="preserve">דבההוא זמנא אתמר כו'. </w:t>
      </w:r>
      <w:r>
        <w:rPr>
          <w:rtl/>
        </w:rPr>
        <w:t>וכן הוא בשכינה, דהכל ענין אחד, נשמה בגוף ושכינה בעולם, וזה שאומר דאזיל שמא קדישא בזמנא ההיא כו' ומרומז, נפלה לא תוסיף כמו שאמרו דנפילת מפלה דאינה יכולה להוסיף, דהוא תחות רגלוי, ואז - קום, דכן הוא בגלותא התנערי מעפר והיא טחול שהיא יסוד עפר כידוע ואמרו בפ"ד דראש השנה (לא ע"ב) ומשם עתידין להגאל:</w:t>
      </w:r>
    </w:p>
  </w:footnote>
  <w:footnote w:id="2730">
    <w:p w:rsidR="00A13282" w:rsidRDefault="00A13282" w:rsidP="002D629A">
      <w:pPr>
        <w:pStyle w:val="a5"/>
        <w:rPr>
          <w:rtl/>
        </w:rPr>
      </w:pPr>
      <w:r>
        <w:rPr>
          <w:rStyle w:val="a7"/>
          <w:rtl/>
        </w:rPr>
        <w:footnoteRef/>
      </w:r>
      <w:r>
        <w:rPr>
          <w:rtl/>
        </w:rPr>
        <w:t xml:space="preserve"> </w:t>
      </w:r>
      <w:r>
        <w:rPr>
          <w:b/>
          <w:bCs/>
          <w:rtl/>
        </w:rPr>
        <w:t xml:space="preserve">ול"ל עילוי כו'. </w:t>
      </w:r>
      <w:r>
        <w:rPr>
          <w:rtl/>
        </w:rPr>
        <w:t>כנ"ל נפלה כו', ופירש בזוהר דהיא בעצמה אבל הקב"ה יקים לה כמו שכתוב (עמוס ט יא) אקים את סוכת כו':</w:t>
      </w:r>
    </w:p>
  </w:footnote>
  <w:footnote w:id="2731">
    <w:p w:rsidR="00A13282" w:rsidRDefault="00A13282" w:rsidP="002D629A">
      <w:pPr>
        <w:pStyle w:val="a5"/>
        <w:rPr>
          <w:rtl/>
        </w:rPr>
      </w:pPr>
      <w:r>
        <w:rPr>
          <w:rStyle w:val="a7"/>
          <w:rtl/>
        </w:rPr>
        <w:footnoteRef/>
      </w:r>
      <w:r>
        <w:rPr>
          <w:rtl/>
        </w:rPr>
        <w:t xml:space="preserve"> </w:t>
      </w:r>
      <w:r>
        <w:rPr>
          <w:b/>
          <w:bCs/>
          <w:rtl/>
        </w:rPr>
        <w:t xml:space="preserve">אנכי דאיהי אימא כו'. </w:t>
      </w:r>
      <w:r>
        <w:rPr>
          <w:rtl/>
        </w:rPr>
        <w:t>דחירות בידהא, עלמא דחירו, וזה שאומר אנכי דיציאת מצרים, והיא תגאל בימינא דאברהם דהוא ימינא דידה, ימינו פשוטה לקבל שבים:</w:t>
      </w:r>
    </w:p>
  </w:footnote>
  <w:footnote w:id="2732">
    <w:p w:rsidR="00A13282" w:rsidRDefault="00A13282" w:rsidP="002D629A">
      <w:pPr>
        <w:pStyle w:val="a5"/>
        <w:rPr>
          <w:rtl/>
        </w:rPr>
      </w:pPr>
      <w:r>
        <w:rPr>
          <w:rStyle w:val="a7"/>
          <w:rtl/>
        </w:rPr>
        <w:footnoteRef/>
      </w:r>
      <w:r>
        <w:rPr>
          <w:rtl/>
        </w:rPr>
        <w:t xml:space="preserve"> </w:t>
      </w:r>
      <w:r>
        <w:rPr>
          <w:b/>
          <w:bCs/>
          <w:rtl/>
        </w:rPr>
        <w:t xml:space="preserve">דבכתב דאיהו עמודא דאמצעיתא דמשם אתיהיבת ומשמאלא אתיהיבת אוריית' דבע"פ כו'. </w:t>
      </w:r>
      <w:r>
        <w:rPr>
          <w:rtl/>
        </w:rPr>
        <w:t>דדו"נ הן ימינא ושמאלא, שהוא נוטל חסדים, והיא - גבורות, ונאמר מימינו ואמרו מימינו זו תורה שנאמר כו':</w:t>
      </w:r>
    </w:p>
  </w:footnote>
  <w:footnote w:id="2733">
    <w:p w:rsidR="00A13282" w:rsidRDefault="00A13282" w:rsidP="002D629A">
      <w:pPr>
        <w:pStyle w:val="a5"/>
        <w:rPr>
          <w:rtl/>
        </w:rPr>
      </w:pPr>
      <w:r>
        <w:rPr>
          <w:rStyle w:val="a7"/>
          <w:rtl/>
        </w:rPr>
        <w:footnoteRef/>
      </w:r>
      <w:r>
        <w:rPr>
          <w:rtl/>
        </w:rPr>
        <w:t xml:space="preserve"> </w:t>
      </w:r>
      <w:r>
        <w:rPr>
          <w:b/>
          <w:bCs/>
          <w:rtl/>
        </w:rPr>
        <w:t xml:space="preserve">ובג"ד צדיק כו' דשמאלא דאיהו גבור כו'. </w:t>
      </w:r>
      <w:r>
        <w:rPr>
          <w:rtl/>
        </w:rPr>
        <w:t xml:space="preserve">רוצה לומר זה שאומר אם יגאלך טוב - צדיק, כמו שכתוב (ישעיהו ג י) אמרו צדיק, וכמו שאמרו (יומא לח ע"ב) אין טוב כו', יגאל, רוצה לומר אם יש להם זכות שיכולין להגאל מצד הברית שהוא מסטרא דשמאלא ועיין לעיל מ"א א' בארוכה, ואם לאו, ימתינו עד הקץ שאז יגאלו מצד החסד, ורוצה לומר אם יהיו צדיקים מסטרא דצדיק, ואם לאו למעני למעני אעשה שהוא מצד החסד כמו בבריאת העולם, עולם חסד יבנה, וכמו שכתוב (ישעיהו נט טז) וירא כי אין איש כו' ותושע לי זרועי, שהוא (ישעיהו סג יב) מוליך לימין משה זרוע כו', ואמרו (סנהדרין צח ע"א) זכו אחישנה כו', ואמר ובג"ד צדיק כו'. כמו נוק' תורה שבעל פה שהיא מסטרא דשמאלא כן הוא צדיק דלא פריש מנוק' לעלמין דהוא קרוב, והענין כי צדיק נכלל משניהם וזה שאומר ובג"ד צדיק כו' מסטרא דשמאלא כו' ובימינא כו', וביה הגבורות פקדון לאוכל לארץ, והוא בכלל תורה שבעל פה, ספרא וספרי, רזא דאחד, ואמר דאיהו גבור כו' גם זה לראיה שהוא בסטרא דגבורה דכל גבורה ביה תליא כמו שאמרו איזה גבור כו' והוא הצדיק, וכן כל יצ"ה הוא בשמירת הברית ועל זה נאמר וכל יצר מחשבות לבו רק כו' כי יצר כו', וזה שאומר ליני הלילה כו' בגלותא שדומה כו' והוא ותגל מרגלותיו כנ"ל ובאמת לית לה סליקו אלא בימינא דאין זכות כנ"ל וירא כי אין כו' וזה שאומר ובג"ד </w:t>
      </w:r>
      <w:r>
        <w:rPr>
          <w:b/>
          <w:bCs/>
          <w:rtl/>
        </w:rPr>
        <w:t xml:space="preserve">שמאל דוחה כו'. </w:t>
      </w:r>
      <w:r>
        <w:rPr>
          <w:rtl/>
        </w:rPr>
        <w:t xml:space="preserve">דלא יגאלו ביה עד ימינא. ואמר </w:t>
      </w:r>
      <w:r>
        <w:rPr>
          <w:b/>
          <w:bCs/>
          <w:rtl/>
        </w:rPr>
        <w:t xml:space="preserve">דמאן דנפיל לית לאקמא אלא כו'. </w:t>
      </w:r>
      <w:r>
        <w:rPr>
          <w:rtl/>
        </w:rPr>
        <w:t>דאם לא נפלה עד גבול זה לא צריך לזה, אבל כיון דנפלה כו' צריך לימינא כמו שדרך להגביה הנופל:</w:t>
      </w:r>
    </w:p>
  </w:footnote>
  <w:footnote w:id="2734">
    <w:p w:rsidR="00A13282" w:rsidRDefault="00A13282" w:rsidP="002D629A">
      <w:pPr>
        <w:pStyle w:val="a5"/>
        <w:rPr>
          <w:rtl/>
        </w:rPr>
      </w:pPr>
      <w:r>
        <w:rPr>
          <w:rStyle w:val="a7"/>
          <w:rtl/>
        </w:rPr>
        <w:footnoteRef/>
      </w:r>
      <w:r>
        <w:rPr>
          <w:rtl/>
        </w:rPr>
        <w:t xml:space="preserve"> </w:t>
      </w:r>
      <w:r>
        <w:rPr>
          <w:b/>
          <w:bCs/>
          <w:rtl/>
        </w:rPr>
        <w:t xml:space="preserve">ובג"ד ח"י כו'. </w:t>
      </w:r>
      <w:r>
        <w:rPr>
          <w:rtl/>
        </w:rPr>
        <w:t>דצריך להמתין כו' . ורוצה לומר חי ה' - דגם ח"י עלמין ישכב בהדה כי אין צדיק שיגאל בזכות, וזה שאומר כי אין איש ואמרו אין איש אלא צדיק שנאמר דבר האיש אדוני כו':</w:t>
      </w:r>
    </w:p>
  </w:footnote>
  <w:footnote w:id="2735">
    <w:p w:rsidR="00A13282" w:rsidRDefault="00A13282" w:rsidP="002D629A">
      <w:pPr>
        <w:pStyle w:val="a5"/>
        <w:rPr>
          <w:rtl/>
        </w:rPr>
      </w:pPr>
      <w:r>
        <w:rPr>
          <w:rStyle w:val="a7"/>
          <w:rtl/>
        </w:rPr>
        <w:footnoteRef/>
      </w:r>
      <w:r>
        <w:rPr>
          <w:rtl/>
        </w:rPr>
        <w:t xml:space="preserve"> </w:t>
      </w:r>
      <w:r>
        <w:rPr>
          <w:b/>
          <w:bCs/>
          <w:rtl/>
        </w:rPr>
        <w:t xml:space="preserve">ושמאלא איהו כו' </w:t>
      </w:r>
      <w:r>
        <w:rPr>
          <w:rtl/>
        </w:rPr>
        <w:t xml:space="preserve">עיין ברעיא מהימנא פרשת משפטים קי"ט ק"כ דרועא שמאלא אתמר ביה אע"ג דאקדים בתשרי כו' בתשרי עתידין להגאל, תהא דוחה כו', דיקרב ימין פסח דרועא ימינא לקיים ביה כימי צאתך מארץ מצרים אראנו נפלאות, והאי איהו בניסן נגאלו ובניסן עתידין להגאל לקיים בהון ובחסד עולם רחמתיך אמר גואלך ה', ולבתר נטלי כלהו מגבורה כו' לנטלא נוקמא משנאוהי כו' עיין שם בדבריו וזה שאומר </w:t>
      </w:r>
      <w:r>
        <w:rPr>
          <w:b/>
          <w:bCs/>
          <w:rtl/>
        </w:rPr>
        <w:t xml:space="preserve">וביה הוה נוקמא בי"ד יומין. </w:t>
      </w:r>
      <w:r>
        <w:rPr>
          <w:rtl/>
        </w:rPr>
        <w:t xml:space="preserve">רוצה לומר, כימי מצרים שהיתה הנקמה בי"ד בו, כך יהי לעתיד לבוא וזה שאומר </w:t>
      </w:r>
      <w:r>
        <w:rPr>
          <w:b/>
          <w:bCs/>
          <w:rtl/>
        </w:rPr>
        <w:t xml:space="preserve">ודא איהו כו'. </w:t>
      </w:r>
      <w:r>
        <w:rPr>
          <w:rtl/>
        </w:rPr>
        <w:t>רוצה לומר י"ד יום וכן השבועה כי יד כו' - בי"ה, כמו שכתוב נשבע ה' בימינו, והוא יד הגדולה וכמו ביציאת מצרים וירא ישראל את כו':</w:t>
      </w:r>
    </w:p>
  </w:footnote>
  <w:footnote w:id="2736">
    <w:p w:rsidR="00A13282" w:rsidRDefault="00A13282" w:rsidP="002D629A">
      <w:pPr>
        <w:pStyle w:val="a5"/>
        <w:rPr>
          <w:rtl/>
        </w:rPr>
      </w:pPr>
      <w:r>
        <w:rPr>
          <w:rStyle w:val="a7"/>
          <w:rtl/>
        </w:rPr>
        <w:footnoteRef/>
      </w:r>
      <w:r>
        <w:rPr>
          <w:rtl/>
        </w:rPr>
        <w:t xml:space="preserve"> </w:t>
      </w:r>
      <w:r>
        <w:rPr>
          <w:b/>
          <w:bCs/>
          <w:rtl/>
        </w:rPr>
        <w:t xml:space="preserve">ועל ההוא זמנא איהי אמרת וכו'. </w:t>
      </w:r>
      <w:r>
        <w:rPr>
          <w:rtl/>
        </w:rPr>
        <w:t>רוצה לומר על זמנא דשמאל, דלא יגאלו בה, וזה שאומר אל תראוני מסטרא דשמאלא, ורוצה לומר אל תראוני בגאולה דהוא אור ועיין לקמן ע"ז ב' ועוד נתיב כו' וכמו שמפרש והולך מראות ודאי כו', והוא מסטרא דשמאלא, ושם חושך, ושם ותכהין כו' בדרגא דיצחק, וזה שאומר. ודא איהו ותכהין כו'. ואמר אלביש כו' עיין מה שנבאר למטה:</w:t>
      </w:r>
    </w:p>
  </w:footnote>
  <w:footnote w:id="2737">
    <w:p w:rsidR="00A13282" w:rsidRDefault="00A13282" w:rsidP="002D629A">
      <w:pPr>
        <w:pStyle w:val="a5"/>
        <w:rPr>
          <w:rtl/>
        </w:rPr>
      </w:pPr>
      <w:r>
        <w:rPr>
          <w:rStyle w:val="a7"/>
          <w:rtl/>
        </w:rPr>
        <w:footnoteRef/>
      </w:r>
      <w:r>
        <w:rPr>
          <w:rtl/>
        </w:rPr>
        <w:t xml:space="preserve"> </w:t>
      </w:r>
      <w:r>
        <w:rPr>
          <w:b/>
          <w:bCs/>
          <w:rtl/>
        </w:rPr>
        <w:t xml:space="preserve">ובההוא זמנא מתהפכין כו'. </w:t>
      </w:r>
      <w:r>
        <w:rPr>
          <w:rtl/>
        </w:rPr>
        <w:t>רוצה לומר בזמן הגאולה, ואמר שופר מהופך קדמא - שהיה בתחלה מהופך:</w:t>
      </w:r>
    </w:p>
  </w:footnote>
  <w:footnote w:id="2738">
    <w:p w:rsidR="00A13282" w:rsidRDefault="00A13282" w:rsidP="002D629A">
      <w:pPr>
        <w:pStyle w:val="a5"/>
        <w:rPr>
          <w:rtl/>
        </w:rPr>
      </w:pPr>
      <w:r>
        <w:rPr>
          <w:rStyle w:val="a7"/>
          <w:rtl/>
        </w:rPr>
        <w:footnoteRef/>
      </w:r>
      <w:r>
        <w:rPr>
          <w:rtl/>
        </w:rPr>
        <w:t xml:space="preserve"> </w:t>
      </w:r>
      <w:r>
        <w:rPr>
          <w:b/>
          <w:bCs/>
          <w:rtl/>
        </w:rPr>
        <w:t xml:space="preserve">קטנתי מכל כו'. </w:t>
      </w:r>
      <w:r>
        <w:rPr>
          <w:rtl/>
        </w:rPr>
        <w:t>רוצה לומר השכינה בגלותא - קטנה ונתמעט מכל החסדים כו':</w:t>
      </w:r>
    </w:p>
  </w:footnote>
  <w:footnote w:id="2739">
    <w:p w:rsidR="00A13282" w:rsidRDefault="00A13282" w:rsidP="002D629A">
      <w:pPr>
        <w:pStyle w:val="a5"/>
        <w:rPr>
          <w:rtl/>
        </w:rPr>
      </w:pPr>
      <w:r>
        <w:rPr>
          <w:rStyle w:val="a7"/>
          <w:rtl/>
        </w:rPr>
        <w:footnoteRef/>
      </w:r>
      <w:r>
        <w:rPr>
          <w:rtl/>
        </w:rPr>
        <w:t xml:space="preserve"> </w:t>
      </w:r>
      <w:r>
        <w:rPr>
          <w:b/>
          <w:bCs/>
          <w:rtl/>
        </w:rPr>
        <w:t>ואקרי ז"ג.</w:t>
      </w:r>
      <w:r>
        <w:rPr>
          <w:rtl/>
        </w:rPr>
        <w:t xml:space="preserve"> בזמן הגאולה והוא בימינא כמו שאומר לעיל נ"ה א' מאי בימינך דא גדולה בההוא זמנא אתקרי זקף גדול, וכן הוא סדר הטעמים: שופר מהופך, קדמא, זקף קטן, זקף גדול. ואמר</w:t>
      </w:r>
    </w:p>
  </w:footnote>
  <w:footnote w:id="2740">
    <w:p w:rsidR="00A13282" w:rsidRDefault="00A13282" w:rsidP="002D629A">
      <w:pPr>
        <w:pStyle w:val="a5"/>
        <w:rPr>
          <w:rtl/>
        </w:rPr>
      </w:pPr>
      <w:r>
        <w:rPr>
          <w:rStyle w:val="a7"/>
          <w:rtl/>
        </w:rPr>
        <w:footnoteRef/>
      </w:r>
      <w:r>
        <w:rPr>
          <w:rtl/>
        </w:rPr>
        <w:t xml:space="preserve"> </w:t>
      </w:r>
      <w:r>
        <w:rPr>
          <w:b/>
          <w:bCs/>
          <w:rtl/>
        </w:rPr>
        <w:t>ולית אמת אלא כו'.</w:t>
      </w:r>
      <w:r>
        <w:rPr>
          <w:rtl/>
        </w:rPr>
        <w:t xml:space="preserve"> וכמו שכתוב (דניאל ח יב) ותשלך אמת ארצה ועשתה כו', וכמו שאמרו (חגיגה ה ע"ב) כיון שגלו אין לך ביטול כו', וכיון שהיא קטנה ממנה נשארה במידת הדין עד זמן הגאולה שאז (תהלים פה יב) אמת מארץ תצמח ואז </w:t>
      </w:r>
      <w:r>
        <w:rPr>
          <w:b/>
          <w:bCs/>
          <w:rtl/>
        </w:rPr>
        <w:t>אתהפך כו'.</w:t>
      </w:r>
      <w:r>
        <w:rPr>
          <w:rtl/>
        </w:rPr>
        <w:t xml:space="preserve"> ואמר </w:t>
      </w:r>
      <w:r>
        <w:rPr>
          <w:b/>
          <w:bCs/>
          <w:rtl/>
        </w:rPr>
        <w:t>כורסיא</w:t>
      </w:r>
      <w:r>
        <w:rPr>
          <w:rtl/>
        </w:rPr>
        <w:t>, כמו שאמרו (ע"ז ג ע"ב) עומד מכסא דין כו' שרוצה לומר שהכסא עצמו נעשה רחמים:</w:t>
      </w:r>
    </w:p>
  </w:footnote>
  <w:footnote w:id="2741">
    <w:p w:rsidR="00A13282" w:rsidRDefault="00A13282" w:rsidP="002D629A">
      <w:pPr>
        <w:pStyle w:val="a5"/>
        <w:rPr>
          <w:rtl/>
        </w:rPr>
      </w:pPr>
      <w:r>
        <w:rPr>
          <w:rStyle w:val="a7"/>
          <w:rtl/>
        </w:rPr>
        <w:footnoteRef/>
      </w:r>
      <w:r>
        <w:rPr>
          <w:rtl/>
        </w:rPr>
        <w:t xml:space="preserve"> </w:t>
      </w:r>
      <w:r>
        <w:rPr>
          <w:b/>
          <w:bCs/>
          <w:rtl/>
        </w:rPr>
        <w:t xml:space="preserve">נשמתא אתמר כו'. </w:t>
      </w:r>
      <w:r>
        <w:rPr>
          <w:rtl/>
        </w:rPr>
        <w:t>חוזר לענין ראשון ואמר נר איהי ה', רוצה לומר דנר איהי שכינתא, ה', כמו שמפרש והולך, ואור הוא ו', וזהו ותורה אור כנ"ל, ונגדו הוא חושך וקדרות כמו שמפרש והולך, ולמעלה אמר אתמר בנשמתא אל תראוני שאני שחרחרת ואתמר באדם אלביש כו' ועיין מה שבארנו שם, וכאן אמר</w:t>
      </w:r>
    </w:p>
  </w:footnote>
  <w:footnote w:id="2742">
    <w:p w:rsidR="00A13282" w:rsidRDefault="00A13282" w:rsidP="002D629A">
      <w:pPr>
        <w:pStyle w:val="a5"/>
        <w:rPr>
          <w:rtl/>
        </w:rPr>
      </w:pPr>
      <w:r>
        <w:rPr>
          <w:rStyle w:val="a7"/>
          <w:rtl/>
        </w:rPr>
        <w:footnoteRef/>
      </w:r>
      <w:r>
        <w:rPr>
          <w:rtl/>
        </w:rPr>
        <w:t xml:space="preserve"> </w:t>
      </w:r>
      <w:r>
        <w:rPr>
          <w:b/>
          <w:bCs/>
          <w:rtl/>
        </w:rPr>
        <w:t xml:space="preserve">ס"ם חושך כו' </w:t>
      </w:r>
      <w:r>
        <w:rPr>
          <w:rtl/>
        </w:rPr>
        <w:t>והענין הוא כמו שאומר לקמן ס"ו ב' דנוק' איהי עם דכורא ודכורא כו' ועיין מה שבארנו שם וזה שאומר ועליה אתמר אלביש כו' ואמר</w:t>
      </w:r>
    </w:p>
  </w:footnote>
  <w:footnote w:id="2743">
    <w:p w:rsidR="00A13282" w:rsidRDefault="00A13282" w:rsidP="002D629A">
      <w:pPr>
        <w:pStyle w:val="a5"/>
        <w:rPr>
          <w:rtl/>
        </w:rPr>
      </w:pPr>
      <w:r>
        <w:rPr>
          <w:rStyle w:val="a7"/>
          <w:rtl/>
        </w:rPr>
        <w:footnoteRef/>
      </w:r>
      <w:r>
        <w:rPr>
          <w:rtl/>
        </w:rPr>
        <w:t xml:space="preserve"> </w:t>
      </w:r>
      <w:r>
        <w:rPr>
          <w:b/>
          <w:bCs/>
          <w:rtl/>
        </w:rPr>
        <w:t xml:space="preserve">נוק' דיליה ושק אשים כסותם. </w:t>
      </w:r>
      <w:r>
        <w:rPr>
          <w:rtl/>
        </w:rPr>
        <w:t>רוצה לומר נוק' של הנחש, וזה שאומר כסותם - של השמים, שגם בשמים יש גם כן דכורא ונוק', שמים ושמי השמים. ואמר</w:t>
      </w:r>
    </w:p>
  </w:footnote>
  <w:footnote w:id="2744">
    <w:p w:rsidR="00A13282" w:rsidRDefault="00A13282" w:rsidP="002D629A">
      <w:pPr>
        <w:pStyle w:val="a5"/>
        <w:rPr>
          <w:rtl/>
        </w:rPr>
      </w:pPr>
      <w:r>
        <w:rPr>
          <w:rStyle w:val="a7"/>
          <w:rtl/>
        </w:rPr>
        <w:footnoteRef/>
      </w:r>
      <w:r>
        <w:rPr>
          <w:rtl/>
        </w:rPr>
        <w:t xml:space="preserve"> </w:t>
      </w:r>
      <w:r>
        <w:rPr>
          <w:b/>
          <w:bCs/>
          <w:rtl/>
        </w:rPr>
        <w:t xml:space="preserve">וי לנשמתא כו'. </w:t>
      </w:r>
      <w:r>
        <w:rPr>
          <w:rtl/>
        </w:rPr>
        <w:t>היינו נפשא ורוחא, ונשמתא אינה מאירה להון ואמר</w:t>
      </w:r>
    </w:p>
  </w:footnote>
  <w:footnote w:id="2745">
    <w:p w:rsidR="00A13282" w:rsidRDefault="00A13282" w:rsidP="002D629A">
      <w:pPr>
        <w:pStyle w:val="a5"/>
        <w:rPr>
          <w:rtl/>
        </w:rPr>
      </w:pPr>
      <w:r>
        <w:rPr>
          <w:rStyle w:val="a7"/>
          <w:rtl/>
        </w:rPr>
        <w:footnoteRef/>
      </w:r>
      <w:r>
        <w:rPr>
          <w:rtl/>
        </w:rPr>
        <w:t xml:space="preserve"> </w:t>
      </w:r>
      <w:r>
        <w:rPr>
          <w:b/>
          <w:bCs/>
          <w:rtl/>
        </w:rPr>
        <w:t xml:space="preserve">ותכהין כו'. </w:t>
      </w:r>
      <w:r>
        <w:rPr>
          <w:rtl/>
        </w:rPr>
        <w:t>רוצה לומר זהו חושך דס"ם והוא מכסה לנר מצוה. והענין כי נר וכן לבנה בלילה כד אתחפיא בחשך ועננין אז חשך לגמרי אבל ביום האור אינו נכסה להיות חשך רק קדרות וכן ליקוי החמה והלבנה כידוע:</w:t>
      </w:r>
    </w:p>
  </w:footnote>
  <w:footnote w:id="2746">
    <w:p w:rsidR="00A13282" w:rsidRDefault="00A13282" w:rsidP="002D629A">
      <w:pPr>
        <w:pStyle w:val="a5"/>
        <w:rPr>
          <w:rtl/>
        </w:rPr>
      </w:pPr>
      <w:r>
        <w:rPr>
          <w:rStyle w:val="a7"/>
          <w:rtl/>
        </w:rPr>
        <w:footnoteRef/>
      </w:r>
      <w:r>
        <w:rPr>
          <w:rtl/>
        </w:rPr>
        <w:t xml:space="preserve"> </w:t>
      </w:r>
      <w:r>
        <w:rPr>
          <w:b/>
          <w:bCs/>
          <w:rtl/>
        </w:rPr>
        <w:t xml:space="preserve">ואינון חשוכין דמכסיין כו'. </w:t>
      </w:r>
      <w:r>
        <w:rPr>
          <w:rtl/>
        </w:rPr>
        <w:t>והן נפשא ורוחא דמתכסין לאסתכלא בקב"ה ושכינתא שמשם נאצלו:</w:t>
      </w:r>
    </w:p>
  </w:footnote>
  <w:footnote w:id="2747">
    <w:p w:rsidR="00A13282" w:rsidRDefault="00A13282" w:rsidP="002D629A">
      <w:pPr>
        <w:pStyle w:val="a5"/>
        <w:rPr>
          <w:rtl/>
        </w:rPr>
      </w:pPr>
      <w:r>
        <w:rPr>
          <w:rStyle w:val="a7"/>
          <w:rtl/>
        </w:rPr>
        <w:footnoteRef/>
      </w:r>
      <w:r>
        <w:rPr>
          <w:rtl/>
        </w:rPr>
        <w:t xml:space="preserve"> </w:t>
      </w:r>
      <w:r>
        <w:rPr>
          <w:b/>
          <w:bCs/>
          <w:rtl/>
        </w:rPr>
        <w:t xml:space="preserve">וחשכו הרואות . </w:t>
      </w:r>
      <w:r>
        <w:rPr>
          <w:rtl/>
        </w:rPr>
        <w:t>שאלו הן שתי רואות, והן שתי עיינין, נפשא ורוחא, אור ונר, ואמר השמש והאור שהן דו"נ שבאור וכן הירח והכוכבים שבנוק':</w:t>
      </w:r>
    </w:p>
  </w:footnote>
  <w:footnote w:id="2748">
    <w:p w:rsidR="00A13282" w:rsidRDefault="00A13282" w:rsidP="002D629A">
      <w:pPr>
        <w:pStyle w:val="a5"/>
        <w:rPr>
          <w:rtl/>
        </w:rPr>
      </w:pPr>
      <w:r>
        <w:rPr>
          <w:rStyle w:val="a7"/>
          <w:rtl/>
        </w:rPr>
        <w:footnoteRef/>
      </w:r>
      <w:r>
        <w:rPr>
          <w:rtl/>
        </w:rPr>
        <w:t xml:space="preserve"> ו</w:t>
      </w:r>
      <w:r>
        <w:rPr>
          <w:b/>
          <w:bCs/>
          <w:rtl/>
        </w:rPr>
        <w:t xml:space="preserve">אמאי אתחשכן כו'. </w:t>
      </w:r>
      <w:r>
        <w:rPr>
          <w:rtl/>
        </w:rPr>
        <w:t>וכמו שאומר לעיל מ"ג ב' דהן אדם ונשמתא דמאירין בהון, והן חו"ב, י"ה, וזה שאומר מיד כל הנשמה תהלל י"ה:</w:t>
      </w:r>
    </w:p>
  </w:footnote>
  <w:footnote w:id="2749">
    <w:p w:rsidR="00A13282" w:rsidRDefault="00A13282" w:rsidP="002D629A">
      <w:pPr>
        <w:pStyle w:val="a5"/>
        <w:rPr>
          <w:rtl/>
        </w:rPr>
      </w:pPr>
      <w:r>
        <w:rPr>
          <w:rStyle w:val="a7"/>
          <w:rtl/>
        </w:rPr>
        <w:footnoteRef/>
      </w:r>
      <w:r>
        <w:rPr>
          <w:rtl/>
        </w:rPr>
        <w:t xml:space="preserve"> </w:t>
      </w:r>
      <w:r>
        <w:rPr>
          <w:bCs/>
          <w:rtl/>
        </w:rPr>
        <w:t xml:space="preserve">רזא דקרא אוליף כו'. </w:t>
      </w:r>
      <w:r>
        <w:rPr>
          <w:rtl/>
        </w:rPr>
        <w:t>רוצה לומר דמכאן מוכח כי העונות הן החשוכין המבדילין ועיין לקמן ס"ו ב' הכא אוכח כי אם כו':</w:t>
      </w:r>
    </w:p>
  </w:footnote>
  <w:footnote w:id="2750">
    <w:p w:rsidR="00A13282" w:rsidRDefault="00A13282" w:rsidP="002D629A">
      <w:pPr>
        <w:pStyle w:val="a5"/>
        <w:rPr>
          <w:rtl/>
        </w:rPr>
      </w:pPr>
      <w:r>
        <w:rPr>
          <w:rStyle w:val="a7"/>
          <w:rtl/>
        </w:rPr>
        <w:footnoteRef/>
      </w:r>
      <w:r>
        <w:rPr>
          <w:rtl/>
        </w:rPr>
        <w:t xml:space="preserve"> </w:t>
      </w:r>
      <w:r>
        <w:rPr>
          <w:bCs/>
          <w:rtl/>
        </w:rPr>
        <w:t xml:space="preserve">ואתמר בימינא ושמאלא ויהי ערב כו'. </w:t>
      </w:r>
      <w:r>
        <w:rPr>
          <w:rtl/>
        </w:rPr>
        <w:t>שהן מצוות עשה ולא תעשה דבהון אתיהיב אורייתא, ויהון בדחילו ורחימו, ויתיחדון דו"נ, שהן מסטרא דערב ובקר כנ"ל:</w:t>
      </w:r>
    </w:p>
  </w:footnote>
  <w:footnote w:id="2751">
    <w:p w:rsidR="00A13282" w:rsidRDefault="00A13282" w:rsidP="002D629A">
      <w:pPr>
        <w:pStyle w:val="a5"/>
        <w:rPr>
          <w:rtl/>
        </w:rPr>
      </w:pPr>
      <w:r>
        <w:rPr>
          <w:rStyle w:val="a7"/>
          <w:rtl/>
        </w:rPr>
        <w:footnoteRef/>
      </w:r>
      <w:r>
        <w:rPr>
          <w:rtl/>
        </w:rPr>
        <w:t xml:space="preserve"> </w:t>
      </w:r>
      <w:r>
        <w:rPr>
          <w:bCs/>
          <w:rtl/>
        </w:rPr>
        <w:t xml:space="preserve">בההוא זמנא מה דהות נשמתא כו'. </w:t>
      </w:r>
      <w:r>
        <w:rPr>
          <w:rtl/>
        </w:rPr>
        <w:t>דנפילה דנשמה הוא כאשר הולכת וגלה מלב עד דמטי לרגלין אז נפלה כו' כנ"ל וכן השכינה בגלותא ואז ישראל מהדקין תחת רגלין כמו שכתוב (ישעיהו נא כג) ותשימי כארץ גוך וכחוץ לעוברים אמרו לנפשך שחי ונעבורה, וחזירתה של הנשמה ללב וכן השכינה לירושלים ושני בתי לבא כ"ה ל"ב בתי מקדשים וזה שאומר דאתחזרת כו':</w:t>
      </w:r>
    </w:p>
  </w:footnote>
  <w:footnote w:id="2752">
    <w:p w:rsidR="00A13282" w:rsidRDefault="00A13282" w:rsidP="002D629A">
      <w:pPr>
        <w:pStyle w:val="a5"/>
        <w:rPr>
          <w:rtl/>
        </w:rPr>
      </w:pPr>
      <w:r>
        <w:rPr>
          <w:rStyle w:val="a7"/>
          <w:rtl/>
        </w:rPr>
        <w:footnoteRef/>
      </w:r>
      <w:r>
        <w:rPr>
          <w:rtl/>
        </w:rPr>
        <w:t xml:space="preserve"> </w:t>
      </w:r>
      <w:r>
        <w:rPr>
          <w:bCs/>
          <w:rtl/>
        </w:rPr>
        <w:t xml:space="preserve">בההוא זמנא הלב כו'. </w:t>
      </w:r>
      <w:r>
        <w:rPr>
          <w:rtl/>
        </w:rPr>
        <w:t>דאתהדרת נשמתא לשם ולית לה כיסוי עלה, ואמר רואה שומע שהן שני דרגין: ימינא ושמאלא, דו"נ, כמו שאומר לקמן בתיקון ע’, י"ק דחו"ב:</w:t>
      </w:r>
    </w:p>
  </w:footnote>
  <w:footnote w:id="2753">
    <w:p w:rsidR="00A13282" w:rsidRDefault="00A13282" w:rsidP="002D629A">
      <w:pPr>
        <w:pStyle w:val="a5"/>
        <w:rPr>
          <w:rtl/>
        </w:rPr>
      </w:pPr>
      <w:r>
        <w:rPr>
          <w:rStyle w:val="a7"/>
          <w:rtl/>
        </w:rPr>
        <w:footnoteRef/>
      </w:r>
      <w:r>
        <w:rPr>
          <w:rtl/>
        </w:rPr>
        <w:t xml:space="preserve"> </w:t>
      </w:r>
      <w:r>
        <w:rPr>
          <w:bCs/>
          <w:rtl/>
        </w:rPr>
        <w:t xml:space="preserve">וכל עננין כו'. </w:t>
      </w:r>
      <w:r>
        <w:rPr>
          <w:rtl/>
        </w:rPr>
        <w:t>כמו שאמרו (ברכות לב ע"ב) מיום שחרב בית המקדש נפסקה מחיצה כו' שנאמר כו', ואמר רומי רבתא כו' - שהן נגד שני בתי מקדשים, דו"נ שבנוק', ואמר ונהרין עיינין כו' שבית המקדש היה עינו של עולם, שכל העולם צופות שם ומשם עולה התפלה:</w:t>
      </w:r>
    </w:p>
  </w:footnote>
  <w:footnote w:id="2754">
    <w:p w:rsidR="00A13282" w:rsidRDefault="00A13282" w:rsidP="002D629A">
      <w:pPr>
        <w:pStyle w:val="a5"/>
        <w:rPr>
          <w:rtl/>
        </w:rPr>
      </w:pPr>
      <w:r>
        <w:rPr>
          <w:rStyle w:val="a7"/>
          <w:rtl/>
        </w:rPr>
        <w:footnoteRef/>
      </w:r>
      <w:r>
        <w:rPr>
          <w:rtl/>
        </w:rPr>
        <w:t xml:space="preserve"> </w:t>
      </w:r>
      <w:r>
        <w:rPr>
          <w:bCs/>
          <w:rtl/>
        </w:rPr>
        <w:t xml:space="preserve">בגין ילפתו כו'. </w:t>
      </w:r>
      <w:r>
        <w:rPr>
          <w:rtl/>
        </w:rPr>
        <w:t>שנתעוותו כל הדרכים כידוע וכמו שאמרו בראש השנה כ"ג ב' אסתתומי כו' נתיבותי עוה, ועיין בזוהר חדש שיר השירים מ"ח ד' וחתחתים בדרך כו':</w:t>
      </w:r>
    </w:p>
  </w:footnote>
  <w:footnote w:id="2755">
    <w:p w:rsidR="00A13282" w:rsidRDefault="00A13282" w:rsidP="002D629A">
      <w:pPr>
        <w:pStyle w:val="a5"/>
        <w:rPr>
          <w:rtl/>
        </w:rPr>
      </w:pPr>
      <w:r>
        <w:rPr>
          <w:rStyle w:val="a7"/>
          <w:rtl/>
        </w:rPr>
        <w:footnoteRef/>
      </w:r>
      <w:r>
        <w:rPr>
          <w:rtl/>
        </w:rPr>
        <w:t xml:space="preserve"> </w:t>
      </w:r>
      <w:r>
        <w:rPr>
          <w:bCs/>
          <w:rtl/>
        </w:rPr>
        <w:t xml:space="preserve">אם יעביד כו'. </w:t>
      </w:r>
      <w:r>
        <w:rPr>
          <w:rtl/>
        </w:rPr>
        <w:t>רוצה לומר זהו יגאלך טוב, וכמו שאמרו (סנהדרין צח ע"א) זכו אחישנה, ואם לאו - עד הבקר, קץ האחרון שהוא בחסד ולא בזכות והוא בעתה וכנ"ל. ואמר</w:t>
      </w:r>
    </w:p>
  </w:footnote>
  <w:footnote w:id="2756">
    <w:p w:rsidR="00A13282" w:rsidRDefault="00A13282" w:rsidP="002D629A">
      <w:pPr>
        <w:pStyle w:val="a5"/>
        <w:rPr>
          <w:rtl/>
        </w:rPr>
      </w:pPr>
      <w:r>
        <w:rPr>
          <w:rStyle w:val="a7"/>
          <w:rtl/>
        </w:rPr>
        <w:footnoteRef/>
      </w:r>
      <w:r>
        <w:rPr>
          <w:rtl/>
        </w:rPr>
        <w:t xml:space="preserve"> </w:t>
      </w:r>
      <w:r>
        <w:rPr>
          <w:bCs/>
          <w:rtl/>
        </w:rPr>
        <w:t xml:space="preserve">ע"י דישראל עלאה. </w:t>
      </w:r>
      <w:r>
        <w:rPr>
          <w:rtl/>
        </w:rPr>
        <w:t>רוצה לומר וירא אלקים כי טוב דהוא בעמודא דאמצעיתא, כמו שאמרו בריש פרשת בראשית י"ד ב' והוא ע"י אתערותא דישראל תתאה, ואם לאו - ע"י דבינה, עלמא דחירו, דשם לאו בזכותא. וזה שאומר</w:t>
      </w:r>
    </w:p>
  </w:footnote>
  <w:footnote w:id="2757">
    <w:p w:rsidR="00A13282" w:rsidRDefault="00A13282" w:rsidP="002D629A">
      <w:pPr>
        <w:pStyle w:val="a5"/>
        <w:rPr>
          <w:rtl/>
        </w:rPr>
      </w:pPr>
      <w:r>
        <w:rPr>
          <w:rStyle w:val="a7"/>
          <w:rtl/>
        </w:rPr>
        <w:footnoteRef/>
      </w:r>
      <w:r>
        <w:rPr>
          <w:rtl/>
        </w:rPr>
        <w:t xml:space="preserve"> </w:t>
      </w:r>
      <w:r>
        <w:rPr>
          <w:b/>
          <w:bCs/>
          <w:rtl/>
        </w:rPr>
        <w:t>וגאלתיך אנכי והא אוקמוהו.</w:t>
      </w:r>
      <w:r>
        <w:rPr>
          <w:rtl/>
        </w:rPr>
        <w:t xml:space="preserve"> </w:t>
      </w:r>
      <w:r>
        <w:rPr>
          <w:b/>
          <w:rtl/>
        </w:rPr>
        <w:t>רוצה לומר כנ"ל, אנכי דיציאת מצרים:</w:t>
      </w:r>
    </w:p>
  </w:footnote>
  <w:footnote w:id="2758">
    <w:p w:rsidR="00A13282" w:rsidRDefault="00A13282" w:rsidP="002D629A">
      <w:pPr>
        <w:pStyle w:val="a5"/>
        <w:rPr>
          <w:rtl/>
        </w:rPr>
      </w:pPr>
      <w:r>
        <w:rPr>
          <w:rStyle w:val="a7"/>
          <w:rtl/>
        </w:rPr>
        <w:footnoteRef/>
      </w:r>
      <w:r>
        <w:rPr>
          <w:rtl/>
        </w:rPr>
        <w:t xml:space="preserve"> </w:t>
      </w:r>
      <w:r>
        <w:rPr>
          <w:bCs/>
          <w:rtl/>
        </w:rPr>
        <w:t xml:space="preserve">דביה תליא פורקנא. </w:t>
      </w:r>
      <w:r>
        <w:rPr>
          <w:rtl/>
        </w:rPr>
        <w:t xml:space="preserve">דהוא נקרא גואל כידוע ואמר </w:t>
      </w:r>
      <w:r>
        <w:rPr>
          <w:bCs/>
          <w:rtl/>
        </w:rPr>
        <w:t xml:space="preserve">וביה אתגליא. </w:t>
      </w:r>
      <w:r>
        <w:rPr>
          <w:rtl/>
        </w:rPr>
        <w:t>שבאלף הששי יתגלה וביה יג"ל פז"ק - יגלה פדיון זרע קדושים כמו שאמרו בזוהר חדש פ"ד ב', ואמר דאיהו יסוד ח"י עלמין רוצה לומר לכן אמר ח"י ה' - ח"י ברכאן והוא הגאולה שאז יחיו הכל:</w:t>
      </w:r>
    </w:p>
  </w:footnote>
  <w:footnote w:id="2759">
    <w:p w:rsidR="00A13282" w:rsidRDefault="00A13282" w:rsidP="002D629A">
      <w:pPr>
        <w:pStyle w:val="a5"/>
        <w:rPr>
          <w:rtl/>
        </w:rPr>
      </w:pPr>
      <w:r>
        <w:rPr>
          <w:rStyle w:val="a7"/>
          <w:rtl/>
        </w:rPr>
        <w:footnoteRef/>
      </w:r>
      <w:r>
        <w:rPr>
          <w:rtl/>
        </w:rPr>
        <w:t xml:space="preserve"> </w:t>
      </w:r>
      <w:r>
        <w:rPr>
          <w:bCs/>
          <w:rtl/>
        </w:rPr>
        <w:t xml:space="preserve">אתמר ביה כו'. </w:t>
      </w:r>
      <w:r>
        <w:rPr>
          <w:rtl/>
        </w:rPr>
        <w:t>רוצה לומר בבית המקדש מקום התפלה כנ"ל דבהון סלקין צלותין ורוצה לומר דבגלותא נשמתא וצלותא אסתלקת מלבא ועננין מכסין על עיינין אבל כשיבנה בית המקדש אז והיו עיני ולבי כו' וכן בצלותא וזה שאומר דצריך ב"נ כו':</w:t>
      </w:r>
    </w:p>
  </w:footnote>
  <w:footnote w:id="2760">
    <w:p w:rsidR="00A13282" w:rsidRDefault="00A13282" w:rsidP="002D629A">
      <w:pPr>
        <w:pStyle w:val="a5"/>
        <w:rPr>
          <w:rtl/>
        </w:rPr>
      </w:pPr>
      <w:r>
        <w:rPr>
          <w:rStyle w:val="a7"/>
          <w:rtl/>
        </w:rPr>
        <w:footnoteRef/>
      </w:r>
      <w:r>
        <w:rPr>
          <w:rtl/>
        </w:rPr>
        <w:t xml:space="preserve"> </w:t>
      </w:r>
      <w:r>
        <w:rPr>
          <w:bCs/>
          <w:rtl/>
        </w:rPr>
        <w:t xml:space="preserve">לתתא בשכינתא </w:t>
      </w:r>
      <w:r>
        <w:rPr>
          <w:rtl/>
        </w:rPr>
        <w:t>וזהו למטה לארץ, ולמעלה לשמים - בקב"ה דאיהו שמים ואתה תשמע השמים, ושמים וארץ ידוע, ורוצה לומר, עיניו - כל מגמתו ותפלתו - בשביל השכינה, ולבו לקב"ה לבקש ממנו ורוצה לומר שישפוך לבו לקב"ה, ואמר</w:t>
      </w:r>
    </w:p>
  </w:footnote>
  <w:footnote w:id="2761">
    <w:p w:rsidR="00A13282" w:rsidRDefault="00A13282" w:rsidP="002D629A">
      <w:pPr>
        <w:pStyle w:val="a5"/>
        <w:rPr>
          <w:rtl/>
        </w:rPr>
      </w:pPr>
      <w:r>
        <w:rPr>
          <w:rStyle w:val="a7"/>
          <w:rtl/>
        </w:rPr>
        <w:footnoteRef/>
      </w:r>
      <w:r>
        <w:rPr>
          <w:rtl/>
        </w:rPr>
        <w:t xml:space="preserve"> </w:t>
      </w:r>
      <w:r>
        <w:rPr>
          <w:bCs/>
          <w:rtl/>
        </w:rPr>
        <w:t xml:space="preserve">לנטלא נוקמא מעמלק. </w:t>
      </w:r>
      <w:r>
        <w:rPr>
          <w:rtl/>
        </w:rPr>
        <w:t>כמו שאמרו (תנחומא כי תצא סי' יא) כי יד על כס כו' שנשבע בכסאו, ונאמר השמים כסאי, ועמלק הן הערב רב כמו שאמרו בזוהר פרשת בראשית ובזוהר חדש פ"ד</w:t>
      </w:r>
      <w:r>
        <w:rPr>
          <w:bCs/>
          <w:rtl/>
        </w:rPr>
        <w:t xml:space="preserve"> </w:t>
      </w:r>
      <w:r>
        <w:rPr>
          <w:rtl/>
        </w:rPr>
        <w:t>ג' דעלייהו אתמר כו' עיין שם בארוכה, וכן אמר כאן למטה ומאן גרם כו' וכן לקמן מ"ז א' ב' עיין שם:</w:t>
      </w:r>
    </w:p>
  </w:footnote>
  <w:footnote w:id="2762">
    <w:p w:rsidR="00A13282" w:rsidRDefault="00A13282" w:rsidP="002D629A">
      <w:pPr>
        <w:pStyle w:val="a5"/>
        <w:rPr>
          <w:rtl/>
        </w:rPr>
      </w:pPr>
      <w:r>
        <w:rPr>
          <w:rStyle w:val="a7"/>
          <w:rtl/>
        </w:rPr>
        <w:footnoteRef/>
      </w:r>
      <w:r>
        <w:rPr>
          <w:rtl/>
        </w:rPr>
        <w:t xml:space="preserve"> </w:t>
      </w:r>
      <w:r>
        <w:rPr>
          <w:bCs/>
          <w:rtl/>
        </w:rPr>
        <w:t xml:space="preserve">בלבי ודאי כו'. </w:t>
      </w:r>
      <w:r>
        <w:rPr>
          <w:rtl/>
        </w:rPr>
        <w:t>כמו שמפרש והולך שם בן כו' דהוא שמא דגבורה:</w:t>
      </w:r>
    </w:p>
  </w:footnote>
  <w:footnote w:id="2763">
    <w:p w:rsidR="00A13282" w:rsidRDefault="00A13282" w:rsidP="002D629A">
      <w:pPr>
        <w:pStyle w:val="a5"/>
        <w:rPr>
          <w:rtl/>
        </w:rPr>
      </w:pPr>
      <w:r>
        <w:rPr>
          <w:rStyle w:val="a7"/>
          <w:rtl/>
        </w:rPr>
        <w:footnoteRef/>
      </w:r>
      <w:r>
        <w:rPr>
          <w:rtl/>
        </w:rPr>
        <w:t xml:space="preserve"> </w:t>
      </w:r>
      <w:r>
        <w:rPr>
          <w:bCs/>
          <w:rtl/>
        </w:rPr>
        <w:t xml:space="preserve">אב"ג ית"ץ ביה כו'. </w:t>
      </w:r>
      <w:r>
        <w:rPr>
          <w:rtl/>
        </w:rPr>
        <w:t>דהוא שם החסד שבו, וביה אותיות יצא, והוא יומא קדמאה כמו שאמרו בזוהר חדש שם אב"ג בא"ת ב"ש - תש"ר דבראשית ועיין שם בארוכה כל זה הענין:</w:t>
      </w:r>
    </w:p>
  </w:footnote>
  <w:footnote w:id="2764">
    <w:p w:rsidR="00A13282" w:rsidRDefault="00A13282" w:rsidP="002D629A">
      <w:pPr>
        <w:pStyle w:val="a5"/>
        <w:rPr>
          <w:rtl/>
        </w:rPr>
      </w:pPr>
      <w:r>
        <w:rPr>
          <w:rStyle w:val="a7"/>
          <w:rtl/>
        </w:rPr>
        <w:footnoteRef/>
      </w:r>
      <w:r>
        <w:rPr>
          <w:rtl/>
        </w:rPr>
        <w:t xml:space="preserve"> </w:t>
      </w:r>
      <w:r>
        <w:rPr>
          <w:bCs/>
          <w:rtl/>
        </w:rPr>
        <w:t xml:space="preserve">נגד כל עמך כו'. </w:t>
      </w:r>
      <w:r>
        <w:rPr>
          <w:rtl/>
        </w:rPr>
        <w:t>עיין לעיל נ"ד ד' ודא תפארת, כסאו כשמש נגדי וביה אתמר למשה נגד כו', ועיין מה שבארנו שם ועיין בזוהר חדש ע"ה ב':</w:t>
      </w:r>
    </w:p>
  </w:footnote>
  <w:footnote w:id="2765">
    <w:p w:rsidR="00A13282" w:rsidRDefault="00A13282" w:rsidP="002D629A">
      <w:pPr>
        <w:pStyle w:val="a5"/>
        <w:rPr>
          <w:rtl/>
        </w:rPr>
      </w:pPr>
      <w:r>
        <w:rPr>
          <w:rStyle w:val="a7"/>
          <w:rtl/>
        </w:rPr>
        <w:footnoteRef/>
      </w:r>
      <w:r>
        <w:rPr>
          <w:rtl/>
        </w:rPr>
        <w:t xml:space="preserve"> </w:t>
      </w:r>
      <w:r>
        <w:rPr>
          <w:bCs/>
          <w:rtl/>
        </w:rPr>
        <w:t xml:space="preserve">בכל שמא כו' </w:t>
      </w:r>
      <w:r>
        <w:rPr>
          <w:rtl/>
        </w:rPr>
        <w:t>וכן לעתיד לבוא ועיין בזוהר חדש שם:</w:t>
      </w:r>
    </w:p>
  </w:footnote>
  <w:footnote w:id="2766">
    <w:p w:rsidR="00A13282" w:rsidRDefault="00A13282" w:rsidP="002D629A">
      <w:pPr>
        <w:pStyle w:val="a5"/>
        <w:rPr>
          <w:rtl/>
        </w:rPr>
      </w:pPr>
      <w:r>
        <w:rPr>
          <w:rStyle w:val="a7"/>
          <w:rtl/>
        </w:rPr>
        <w:footnoteRef/>
      </w:r>
      <w:r>
        <w:rPr>
          <w:rtl/>
        </w:rPr>
        <w:t xml:space="preserve"> </w:t>
      </w:r>
      <w:r>
        <w:rPr>
          <w:bCs/>
          <w:rtl/>
        </w:rPr>
        <w:t xml:space="preserve">אלא אורייתא דבכתב כו'. </w:t>
      </w:r>
      <w:r>
        <w:rPr>
          <w:rtl/>
        </w:rPr>
        <w:t>ורוצה לומר דהקץ מרומז באורייתא דבכתב ודאי אלא דלא אתפרש באורייתא דבעל פה ולא נתגלה עדיין:</w:t>
      </w:r>
    </w:p>
  </w:footnote>
  <w:footnote w:id="2767">
    <w:p w:rsidR="00A13282" w:rsidRDefault="00A13282" w:rsidP="002D629A">
      <w:pPr>
        <w:pStyle w:val="a5"/>
        <w:rPr>
          <w:rtl/>
        </w:rPr>
      </w:pPr>
      <w:r>
        <w:rPr>
          <w:rStyle w:val="a7"/>
          <w:rtl/>
        </w:rPr>
        <w:footnoteRef/>
      </w:r>
      <w:r>
        <w:rPr>
          <w:rtl/>
        </w:rPr>
        <w:t xml:space="preserve"> </w:t>
      </w:r>
      <w:r>
        <w:rPr>
          <w:bCs/>
          <w:rtl/>
        </w:rPr>
        <w:t xml:space="preserve">ללבי ודאי דא שמא כו'. </w:t>
      </w:r>
      <w:r>
        <w:rPr>
          <w:rtl/>
        </w:rPr>
        <w:t>חושבן ללבי, ורוצה לומר תורה שבכתב כמו שמפרש והולך ואינון כו':</w:t>
      </w:r>
    </w:p>
  </w:footnote>
  <w:footnote w:id="2768">
    <w:p w:rsidR="00A13282" w:rsidRDefault="00A13282" w:rsidP="002D629A">
      <w:pPr>
        <w:pStyle w:val="a5"/>
        <w:rPr>
          <w:rtl/>
        </w:rPr>
      </w:pPr>
      <w:r>
        <w:rPr>
          <w:rStyle w:val="a7"/>
          <w:rtl/>
        </w:rPr>
        <w:footnoteRef/>
      </w:r>
      <w:r>
        <w:rPr>
          <w:rtl/>
        </w:rPr>
        <w:t xml:space="preserve"> </w:t>
      </w:r>
      <w:r>
        <w:rPr>
          <w:bCs/>
          <w:rtl/>
        </w:rPr>
        <w:t xml:space="preserve">ואורייתא א"ל כו'. </w:t>
      </w:r>
      <w:r>
        <w:rPr>
          <w:rtl/>
        </w:rPr>
        <w:t>מפרש מה שאמרו ללבי גליתי ולאברי לא גליתי, ללב"י דישראל נתגלה וכן ע"ב דסנהדרין כמו שמפרש והולך וכן הוא בתורה שנתגלה בלב שבתורה והן בפנימיות הסודות שבתוכו וזה שאומר ואורייתא כו' כגוונא דא כו':</w:t>
      </w:r>
    </w:p>
  </w:footnote>
  <w:footnote w:id="2769">
    <w:p w:rsidR="00A13282" w:rsidRDefault="00A13282" w:rsidP="002D629A">
      <w:pPr>
        <w:pStyle w:val="a5"/>
        <w:rPr>
          <w:rtl/>
        </w:rPr>
      </w:pPr>
      <w:r>
        <w:rPr>
          <w:rStyle w:val="a7"/>
          <w:rtl/>
        </w:rPr>
        <w:footnoteRef/>
      </w:r>
      <w:r>
        <w:rPr>
          <w:rtl/>
        </w:rPr>
        <w:t xml:space="preserve"> </w:t>
      </w:r>
      <w:r>
        <w:rPr>
          <w:bCs/>
          <w:rtl/>
        </w:rPr>
        <w:t xml:space="preserve">דלא חסירין כו'. </w:t>
      </w:r>
      <w:r>
        <w:rPr>
          <w:rtl/>
        </w:rPr>
        <w:t>רוצה לומר כן הוא בכל דור החשובים שבתוכו כמו שאמרו (ילקוט שמעוני בראשית פרק לא סימן קל) דבכל דור כאברהם כו':</w:t>
      </w:r>
    </w:p>
  </w:footnote>
  <w:footnote w:id="2770">
    <w:p w:rsidR="00A13282" w:rsidRDefault="00A13282" w:rsidP="002D629A">
      <w:pPr>
        <w:pStyle w:val="a5"/>
        <w:rPr>
          <w:rtl/>
        </w:rPr>
      </w:pPr>
      <w:r>
        <w:rPr>
          <w:rStyle w:val="a7"/>
          <w:rtl/>
        </w:rPr>
        <w:footnoteRef/>
      </w:r>
      <w:r>
        <w:rPr>
          <w:rtl/>
        </w:rPr>
        <w:t xml:space="preserve"> </w:t>
      </w:r>
      <w:r>
        <w:rPr>
          <w:bCs/>
          <w:rtl/>
        </w:rPr>
        <w:t xml:space="preserve">בגלותא חלק לבם כו'. </w:t>
      </w:r>
      <w:r>
        <w:rPr>
          <w:rtl/>
        </w:rPr>
        <w:t>וזה שאומר ל"ו צדיקים, רוצה לומר בארץ ול"ו בחוץ לארץ כמו שמפרש והולך דצריך להיות ע"ב מובחרים שבדור שראוים להיות שבעים סנהדרין ונשיא ואב בית דין, והן נקראים עיני העדה, עי"ן - שבעים סנהדרין, ושתי עיינין עצמן - שנים שעל גביהן, נגד שם ע"ב, וע"ב נפש, וע"ב אומין וכמו שבארנו במקום אחר:</w:t>
      </w:r>
    </w:p>
  </w:footnote>
  <w:footnote w:id="2771">
    <w:p w:rsidR="00A13282" w:rsidRDefault="00A13282" w:rsidP="002D629A">
      <w:pPr>
        <w:pStyle w:val="a5"/>
        <w:rPr>
          <w:rtl/>
        </w:rPr>
      </w:pPr>
      <w:r>
        <w:rPr>
          <w:rStyle w:val="a7"/>
          <w:rtl/>
        </w:rPr>
        <w:footnoteRef/>
      </w:r>
      <w:r>
        <w:rPr>
          <w:rtl/>
        </w:rPr>
        <w:t xml:space="preserve"> </w:t>
      </w:r>
      <w:r>
        <w:rPr>
          <w:bCs/>
          <w:rtl/>
        </w:rPr>
        <w:t>דאינון ע"ר דבהון אתמר בהון כו'.</w:t>
      </w:r>
      <w:r>
        <w:rPr>
          <w:rtl/>
        </w:rPr>
        <w:t xml:space="preserve"> רוצה לומר דערב רב שהן גרמו הגלות, והן חלקו היום ועבדו העגל בשש, ועליהן נאמר אך ביום - אך חלק, דבשש שורפין אותם, והן שאור שבעסה דאומין פלחי כוכביא דעלמא עשו וישמעאל, הן סובין ומורסן, וכימי מצרים אראנו כו', וכן לעתיד לבוא בי"ד יום בערב פסח יתמחון, וזה שאומר ואומאה דביה יתמחון רוצה לומר שנאמר כי יד - י"ד יום כנ"ל, ואמר ובג"ד אור כו' רוצה לומר כמו שמפרש והולך דבאור המצוה והתורה יתבערו הערב רב, והן חשוכין דמכסיין על עיינין ואז (דברים לג כח) עין יעקב בדד, ואינון שאור וחמץ הן בישראל, שאור שבעסה - בתוך העסה, והן נגד סובין ומורסן שבקצוות ימין ושמאל, והאמצע כולל שניהם אבל לעתיד לבוא יתעקרו מישראל דהאמצע הוא צריך להיות נקי וכן הקצוות ועיין ברעיא מהימנא פרשת משפטים בארוכה:</w:t>
      </w:r>
    </w:p>
  </w:footnote>
  <w:footnote w:id="2772">
    <w:p w:rsidR="00A13282" w:rsidRDefault="00A13282" w:rsidP="002D629A">
      <w:pPr>
        <w:pStyle w:val="a5"/>
        <w:rPr>
          <w:rtl/>
        </w:rPr>
      </w:pPr>
      <w:r>
        <w:rPr>
          <w:rStyle w:val="a7"/>
          <w:rtl/>
        </w:rPr>
        <w:footnoteRef/>
      </w:r>
      <w:r>
        <w:rPr>
          <w:rtl/>
        </w:rPr>
        <w:t xml:space="preserve"> </w:t>
      </w:r>
      <w:r>
        <w:rPr>
          <w:bCs/>
          <w:rtl/>
        </w:rPr>
        <w:t xml:space="preserve">נר בלבא אור בעיינין. </w:t>
      </w:r>
      <w:r>
        <w:rPr>
          <w:rtl/>
        </w:rPr>
        <w:t>דשם אור הראיה ושם יוצא הראיה מהמוח דמשם אור דאדם כנ"ל מ"ג וכן הוא שם ע"ב דעיינין תורה שבכתב כנ"ל, והוא ותורה, אבל בלבי הוא שם מ"ב דגבורה, תורה שבעל פה, וזה שאומר בי"ה מתעברין כו', דהוא חו"ב, מוחא ולבא, וכן הוא עיינין בחכמה כידוע בסוד ארבעה חושים, וכן הוא חושבן דסיהרא שם פרפראות כו' כמו שאמרו בזוהר פרשת פנחס ואמר</w:t>
      </w:r>
    </w:p>
  </w:footnote>
  <w:footnote w:id="2773">
    <w:p w:rsidR="00A13282" w:rsidRDefault="00A13282" w:rsidP="002D629A">
      <w:pPr>
        <w:pStyle w:val="a5"/>
        <w:rPr>
          <w:rtl/>
        </w:rPr>
      </w:pPr>
      <w:r>
        <w:rPr>
          <w:rStyle w:val="a7"/>
          <w:rtl/>
        </w:rPr>
        <w:footnoteRef/>
      </w:r>
      <w:r>
        <w:rPr>
          <w:rtl/>
        </w:rPr>
        <w:t xml:space="preserve"> </w:t>
      </w:r>
      <w:r>
        <w:rPr>
          <w:bCs/>
          <w:rtl/>
        </w:rPr>
        <w:t xml:space="preserve">ובג"ד כי יום כו' </w:t>
      </w:r>
      <w:r>
        <w:rPr>
          <w:rtl/>
        </w:rPr>
        <w:t>כמו שאמרו (פסחים ח ע"א) שאור הנר יפה לבדיקה, ועיין בזוהר פרשת שמות ונר בלבא:</w:t>
      </w:r>
    </w:p>
  </w:footnote>
  <w:footnote w:id="2774">
    <w:p w:rsidR="00A13282" w:rsidRDefault="00A13282" w:rsidP="002D629A">
      <w:pPr>
        <w:pStyle w:val="a5"/>
        <w:rPr>
          <w:rtl/>
        </w:rPr>
      </w:pPr>
      <w:r>
        <w:rPr>
          <w:rStyle w:val="a7"/>
          <w:rtl/>
        </w:rPr>
        <w:footnoteRef/>
      </w:r>
      <w:r>
        <w:rPr>
          <w:rtl/>
        </w:rPr>
        <w:t xml:space="preserve"> </w:t>
      </w:r>
      <w:r>
        <w:rPr>
          <w:bCs/>
          <w:rtl/>
        </w:rPr>
        <w:t xml:space="preserve">דביה נהיר כו'. </w:t>
      </w:r>
      <w:r>
        <w:rPr>
          <w:rtl/>
        </w:rPr>
        <w:t>רוצה לומר משה רבינו עליו השלום שהוא יתגלה ויגאל כמו שכתוב מה שהיה הוא שיהיה כו', והוא אור הנר דבלבא דנהיר ללבא לשכינתא וכמו שאמרו דהוא בלבת אש ואש הוא אור הנר ובלבת הוא בלבא רוצה לומר לב האש והוא בת לב ובת הוא בת עין שכינתא וכן לב, והוא נר בלבא אור בעיינין כנ"ל ואמר</w:t>
      </w:r>
    </w:p>
  </w:footnote>
  <w:footnote w:id="2775">
    <w:p w:rsidR="00A13282" w:rsidRDefault="00A13282" w:rsidP="002D629A">
      <w:pPr>
        <w:pStyle w:val="a5"/>
        <w:rPr>
          <w:rtl/>
        </w:rPr>
      </w:pPr>
      <w:r>
        <w:rPr>
          <w:rStyle w:val="a7"/>
          <w:rtl/>
        </w:rPr>
        <w:footnoteRef/>
      </w:r>
      <w:r>
        <w:rPr>
          <w:rtl/>
        </w:rPr>
        <w:t xml:space="preserve"> </w:t>
      </w:r>
      <w:r>
        <w:rPr>
          <w:bCs/>
          <w:rtl/>
        </w:rPr>
        <w:t xml:space="preserve">ההוא כו' כי טוב. </w:t>
      </w:r>
      <w:r>
        <w:rPr>
          <w:rtl/>
        </w:rPr>
        <w:t>רוצה לומר שנאמר טוב שנתמלא כל הבית אור כמו שכתוב וירא אלקים את האור כי טוב, והוא ותורה אור ואור הנר ואמר</w:t>
      </w:r>
    </w:p>
  </w:footnote>
  <w:footnote w:id="2776">
    <w:p w:rsidR="00A13282" w:rsidRDefault="00A13282" w:rsidP="002D629A">
      <w:pPr>
        <w:pStyle w:val="a5"/>
        <w:rPr>
          <w:rtl/>
        </w:rPr>
      </w:pPr>
      <w:r>
        <w:rPr>
          <w:rStyle w:val="a7"/>
          <w:rtl/>
        </w:rPr>
        <w:footnoteRef/>
      </w:r>
      <w:r>
        <w:rPr>
          <w:rtl/>
        </w:rPr>
        <w:t xml:space="preserve"> </w:t>
      </w:r>
      <w:r>
        <w:rPr>
          <w:bCs/>
          <w:rtl/>
        </w:rPr>
        <w:t xml:space="preserve">ודא בת מן בראשית דאיהי כלילא כו'. </w:t>
      </w:r>
      <w:r>
        <w:rPr>
          <w:rtl/>
        </w:rPr>
        <w:t>רוצה לומר זהו בלבי, בת הוא יו"ד אמירן דבראשית דכלילן בבת דבראשית וכן אמרו נגע בבת וכלל בה עשר אמירן כו', והוא שם מ"ב וכמו שמפרש והולך ואמר</w:t>
      </w:r>
    </w:p>
  </w:footnote>
  <w:footnote w:id="2777">
    <w:p w:rsidR="00A13282" w:rsidRDefault="00A13282" w:rsidP="002D629A">
      <w:pPr>
        <w:pStyle w:val="a5"/>
        <w:rPr>
          <w:rtl/>
        </w:rPr>
      </w:pPr>
      <w:r>
        <w:rPr>
          <w:rStyle w:val="a7"/>
          <w:rtl/>
        </w:rPr>
        <w:footnoteRef/>
      </w:r>
      <w:r>
        <w:rPr>
          <w:rtl/>
        </w:rPr>
        <w:t xml:space="preserve"> </w:t>
      </w:r>
      <w:r>
        <w:rPr>
          <w:bCs/>
          <w:rtl/>
        </w:rPr>
        <w:t xml:space="preserve">איהי בת עין כו' וביה נהיר אור הה"ד כו'. </w:t>
      </w:r>
      <w:r>
        <w:rPr>
          <w:rtl/>
        </w:rPr>
        <w:t>כנ"ל אור בעיינין ונר בלבא, וזה שאומר ל"ב אלקים ביה נהיר מצוה שהוא נר מצוה ואמר</w:t>
      </w:r>
    </w:p>
  </w:footnote>
  <w:footnote w:id="2778">
    <w:p w:rsidR="00A13282" w:rsidRDefault="00A13282" w:rsidP="002D629A">
      <w:pPr>
        <w:pStyle w:val="a5"/>
        <w:rPr>
          <w:rtl/>
        </w:rPr>
      </w:pPr>
      <w:r>
        <w:rPr>
          <w:rStyle w:val="a7"/>
          <w:rtl/>
        </w:rPr>
        <w:footnoteRef/>
      </w:r>
      <w:r>
        <w:rPr>
          <w:rtl/>
        </w:rPr>
        <w:t xml:space="preserve"> </w:t>
      </w:r>
      <w:r>
        <w:rPr>
          <w:bCs/>
          <w:rtl/>
        </w:rPr>
        <w:t xml:space="preserve">דאתמר ביה נר ה' נשמת כו' </w:t>
      </w:r>
      <w:r>
        <w:rPr>
          <w:rtl/>
        </w:rPr>
        <w:t>כנ"ל מ"ג ב' דנשמתא מאיר בלבא (בנפשא), ואדם מאיר בתורה והוא בעיינין וכנ"ל:</w:t>
      </w:r>
    </w:p>
  </w:footnote>
  <w:footnote w:id="2779">
    <w:p w:rsidR="00A13282" w:rsidRDefault="00A13282" w:rsidP="002D629A">
      <w:pPr>
        <w:pStyle w:val="a5"/>
        <w:rPr>
          <w:rtl/>
        </w:rPr>
      </w:pPr>
      <w:r>
        <w:rPr>
          <w:rStyle w:val="a7"/>
          <w:rtl/>
        </w:rPr>
        <w:footnoteRef/>
      </w:r>
      <w:r>
        <w:rPr>
          <w:rtl/>
        </w:rPr>
        <w:t xml:space="preserve"> </w:t>
      </w:r>
      <w:r>
        <w:rPr>
          <w:bCs/>
          <w:rtl/>
        </w:rPr>
        <w:t xml:space="preserve">וגדפוי דשכינתא כו'. </w:t>
      </w:r>
      <w:r>
        <w:rPr>
          <w:rtl/>
        </w:rPr>
        <w:t xml:space="preserve">צ"ל לפי שמסיים שם בזוהר חדש פ"ד ד' ולא יכנף עוד מוריך ואמר דכנפי השכינה יהון מכסין כו' ואמר שם דמי טופנא מתגבר בגלותא אבל אש מים רבים כו' אבל נראה שכל זה יתר הוא ולא שייך כאן ועיין לעיל נ"ז ג', וכאן צריך להתחיל </w:t>
      </w:r>
      <w:r>
        <w:rPr>
          <w:bCs/>
          <w:rtl/>
        </w:rPr>
        <w:t xml:space="preserve">בההוא זמנא כרסייא כו'. </w:t>
      </w:r>
      <w:r>
        <w:rPr>
          <w:rtl/>
        </w:rPr>
        <w:t>דאמר שם דכורסייא בימינא אתתקנת כו' בההוא זמנא דקב"ה יתיב על כורסיא כו' ואמר כאן</w:t>
      </w:r>
    </w:p>
  </w:footnote>
  <w:footnote w:id="2780">
    <w:p w:rsidR="00A13282" w:rsidRDefault="00A13282" w:rsidP="002D629A">
      <w:pPr>
        <w:pStyle w:val="a5"/>
        <w:rPr>
          <w:rtl/>
        </w:rPr>
      </w:pPr>
      <w:r>
        <w:rPr>
          <w:rStyle w:val="a7"/>
          <w:rtl/>
        </w:rPr>
        <w:footnoteRef/>
      </w:r>
      <w:r>
        <w:rPr>
          <w:rtl/>
        </w:rPr>
        <w:t xml:space="preserve"> </w:t>
      </w:r>
      <w:r>
        <w:rPr>
          <w:bCs/>
          <w:rtl/>
        </w:rPr>
        <w:t xml:space="preserve">בההוא זמנא כרסייא יהון על כו'. </w:t>
      </w:r>
      <w:r>
        <w:rPr>
          <w:rtl/>
        </w:rPr>
        <w:t>דהן ארבע רגלי הכסא ובהון אתתקנת, בארבע רגלין דאבהן ודוד, בכהנים לוים וישראלים וגרי הצדק, וכמו שכתוב זה יאמר לה' אני וזה כו' - ד' וזה, ודא איהו שופר כו', ששם מפרש טעמים ודא איהו אתנח יתיב, ומפרש שם גם כן ודא איהו שופר הולך רביע דרגא כו', וחוזר ומפרש כאן שופר הולך כו', ורוצה לומר שופר הולך הוא הכרסייא כמו שאמרו בזוהר על פסוק הולך ילך ובכה על הכרסיא, ועיין לקמן מה שבארנו בזה והוא הנכון דלקמן מפרש שופר הולך דקאמר ובזמנא דאיהי כו', ורביע מפרש מרובע על ארבע חיון, ודרגא מפרש והולך דרגא בשית דרגין שהן כלל הכסא כמו שאמרו ברעיא מהימנא פרשת בא, והן ד"ו פרצופין, ה' של השם, שהוא בבריאה, ועיין מה שבארנו בספרא דצניעותא דס"ד בארוכה הרבה שהוא אתנח יתיב:</w:t>
      </w:r>
    </w:p>
  </w:footnote>
  <w:footnote w:id="2781">
    <w:p w:rsidR="00A13282" w:rsidRDefault="00A13282" w:rsidP="002D629A">
      <w:pPr>
        <w:pStyle w:val="a5"/>
        <w:rPr>
          <w:rtl/>
        </w:rPr>
      </w:pPr>
      <w:r>
        <w:rPr>
          <w:rStyle w:val="a7"/>
          <w:rtl/>
        </w:rPr>
        <w:footnoteRef/>
      </w:r>
      <w:r>
        <w:rPr>
          <w:rtl/>
        </w:rPr>
        <w:t xml:space="preserve"> </w:t>
      </w:r>
      <w:r>
        <w:rPr>
          <w:bCs/>
          <w:rtl/>
        </w:rPr>
        <w:t xml:space="preserve">דאתיהיבו מאהבה. </w:t>
      </w:r>
      <w:r>
        <w:rPr>
          <w:rtl/>
        </w:rPr>
        <w:t>רוצה לומר זה שכתוב (בראשית כז ד) כאשר אהבתי ועיין לקמן סוף תיקון ל”ו:</w:t>
      </w:r>
    </w:p>
  </w:footnote>
  <w:footnote w:id="2782">
    <w:p w:rsidR="00A13282" w:rsidRDefault="00A13282" w:rsidP="002D629A">
      <w:pPr>
        <w:pStyle w:val="a5"/>
        <w:rPr>
          <w:rtl/>
        </w:rPr>
      </w:pPr>
      <w:r>
        <w:rPr>
          <w:rStyle w:val="a7"/>
          <w:rtl/>
        </w:rPr>
        <w:footnoteRef/>
      </w:r>
      <w:r>
        <w:rPr>
          <w:rtl/>
        </w:rPr>
        <w:t xml:space="preserve"> </w:t>
      </w:r>
      <w:r>
        <w:rPr>
          <w:bCs/>
          <w:rtl/>
        </w:rPr>
        <w:t xml:space="preserve">לא מפקודין כו'. </w:t>
      </w:r>
      <w:r>
        <w:rPr>
          <w:rtl/>
        </w:rPr>
        <w:t>רוצה לומר דלכן לא קאמר סתם עשה לי מטעמים:</w:t>
      </w:r>
    </w:p>
  </w:footnote>
  <w:footnote w:id="2783">
    <w:p w:rsidR="00A13282" w:rsidRDefault="00A13282" w:rsidP="002D629A">
      <w:pPr>
        <w:pStyle w:val="a5"/>
        <w:rPr>
          <w:rtl/>
        </w:rPr>
      </w:pPr>
      <w:r>
        <w:rPr>
          <w:rStyle w:val="a7"/>
          <w:rtl/>
        </w:rPr>
        <w:footnoteRef/>
      </w:r>
      <w:r>
        <w:rPr>
          <w:rtl/>
        </w:rPr>
        <w:t xml:space="preserve"> </w:t>
      </w:r>
      <w:r>
        <w:rPr>
          <w:bCs/>
          <w:rtl/>
        </w:rPr>
        <w:t>דבגינייהו</w:t>
      </w:r>
      <w:r>
        <w:rPr>
          <w:rtl/>
        </w:rPr>
        <w:t xml:space="preserve"> </w:t>
      </w:r>
      <w:r>
        <w:rPr>
          <w:b/>
          <w:bCs/>
          <w:rtl/>
        </w:rPr>
        <w:t>ואת עשו שנאתי.</w:t>
      </w:r>
      <w:r>
        <w:rPr>
          <w:rtl/>
        </w:rPr>
        <w:t xml:space="preserve"> דהשם יתברך</w:t>
      </w:r>
      <w:r>
        <w:rPr>
          <w:b/>
          <w:bCs/>
          <w:rtl/>
        </w:rPr>
        <w:t xml:space="preserve"> </w:t>
      </w:r>
      <w:r>
        <w:rPr>
          <w:rtl/>
        </w:rPr>
        <w:t>שונא מקטרג על בניו, אף הקדושים, כמו שאמרו (תנחומא וישלח סימן ב) ובידו רצפה, וכיוצא, ורוצה לומר שנאתי - דזה שאומר כאשר אהבתי לאפוקי שזה שנאתי:</w:t>
      </w:r>
    </w:p>
  </w:footnote>
  <w:footnote w:id="2784">
    <w:p w:rsidR="00A13282" w:rsidRDefault="00A13282" w:rsidP="002D629A">
      <w:pPr>
        <w:pStyle w:val="a5"/>
        <w:rPr>
          <w:rtl/>
        </w:rPr>
      </w:pPr>
      <w:r>
        <w:rPr>
          <w:rStyle w:val="a7"/>
          <w:rtl/>
        </w:rPr>
        <w:footnoteRef/>
      </w:r>
      <w:r>
        <w:rPr>
          <w:rtl/>
        </w:rPr>
        <w:t xml:space="preserve"> </w:t>
      </w:r>
      <w:r>
        <w:rPr>
          <w:b/>
          <w:bCs/>
          <w:rtl/>
        </w:rPr>
        <w:t xml:space="preserve">ודא איהו דרגא כו'. </w:t>
      </w:r>
      <w:r>
        <w:rPr>
          <w:rtl/>
        </w:rPr>
        <w:t>רוצה לומר שיש שני מטעמים: דאהבה ושנאה כנ"ל, ועל כולן קאמר תרי טעמי כמו שמפרש והולך, דמסטרא דפקידין דלא תעשה כו' רביע כו' ואיהו דרגא כו' ועוד רביע כו' ושופר הולך מפרש למטה, ואי תימא דשלטא על שכינתא כו', רוצה לומר דשופר היא השכינה, והיא הולכת דלא אסתאבא בהון, וזהו הכל בסטרא דפקודין דלא תעשה, ומסטרא דפקודין דמצוות עשה כבר פירש הכל, ושופר הולך מפרש למטה ובזמנא דאיהי תקינת מזונא כו' לאתערא בשופר דבהו כו':</w:t>
      </w:r>
    </w:p>
  </w:footnote>
  <w:footnote w:id="2785">
    <w:p w:rsidR="00A13282" w:rsidRDefault="00A13282" w:rsidP="002D629A">
      <w:pPr>
        <w:pStyle w:val="a5"/>
        <w:rPr>
          <w:rtl/>
        </w:rPr>
      </w:pPr>
      <w:r>
        <w:rPr>
          <w:rStyle w:val="a7"/>
          <w:rtl/>
        </w:rPr>
        <w:footnoteRef/>
      </w:r>
      <w:r>
        <w:rPr>
          <w:rtl/>
        </w:rPr>
        <w:t xml:space="preserve"> </w:t>
      </w:r>
      <w:r>
        <w:rPr>
          <w:b/>
          <w:bCs/>
          <w:rtl/>
        </w:rPr>
        <w:t xml:space="preserve">איהו רביע כו' ואיהו דרגא כו'. </w:t>
      </w:r>
      <w:r>
        <w:rPr>
          <w:rtl/>
        </w:rPr>
        <w:t>גם כן בעשר דיליה, ד"ו פרצופים דס"א, והן שני יצרין דאדם דרוח ונפש - סם ונחש כנ"ל, שהן שאור ודבש, ישמעאל ועשו, שאומנותם ולא רצו לקבל לא תרצח ולא תנאף, ועיין לקמן תיקון ל”ז מסטרא דמאדים ונוגה דסביבות החמה ועיין בזוהר חדש רות נ"ט א' הקב"ה ברא ב"נ בעלמא כו' וכדוגמא דברא רוח ונפשא דקדושה כך ברא רוח ונפש מסטרא דשמאלא כו' מסטרא דס"מ ונחש דאינון דכר ונוק', ולסטרא דמסאבא לא יהיב הקב"ה שמא דיליה רוצה לומר כמו שנבאר שם דהקב"ה ברא בר נש ויהיב ביה שמיה יקו"ק, ה' - נפש, ו' - רוח, ה' - נשמתא, י' - נשמתא לנשמתא כו', ואמר שנאמר אני ה' הוא שמי כו' - אני רמז כו' ה' רמז כו' עיין שם, וזה שאומר כאן הא אמר קרא אני כו':</w:t>
      </w:r>
    </w:p>
  </w:footnote>
  <w:footnote w:id="2786">
    <w:p w:rsidR="00A13282" w:rsidRDefault="00A13282" w:rsidP="002D629A">
      <w:pPr>
        <w:pStyle w:val="a5"/>
        <w:rPr>
          <w:rtl/>
        </w:rPr>
      </w:pPr>
      <w:r>
        <w:rPr>
          <w:rStyle w:val="a7"/>
          <w:rtl/>
        </w:rPr>
        <w:footnoteRef/>
      </w:r>
      <w:r>
        <w:rPr>
          <w:rtl/>
        </w:rPr>
        <w:t xml:space="preserve"> </w:t>
      </w:r>
      <w:r>
        <w:rPr>
          <w:b/>
          <w:bCs/>
          <w:rtl/>
        </w:rPr>
        <w:t xml:space="preserve">ואי תימא כו'. </w:t>
      </w:r>
      <w:r>
        <w:rPr>
          <w:rtl/>
        </w:rPr>
        <w:t>כבר כתבתי שרוצה לומר לפרש שופר הולך:</w:t>
      </w:r>
    </w:p>
  </w:footnote>
  <w:footnote w:id="2787">
    <w:p w:rsidR="00A13282" w:rsidRDefault="00A13282" w:rsidP="002D629A">
      <w:pPr>
        <w:pStyle w:val="a5"/>
        <w:rPr>
          <w:rtl/>
        </w:rPr>
      </w:pPr>
      <w:r>
        <w:rPr>
          <w:rStyle w:val="a7"/>
          <w:rtl/>
        </w:rPr>
        <w:footnoteRef/>
      </w:r>
      <w:r>
        <w:rPr>
          <w:rtl/>
        </w:rPr>
        <w:t xml:space="preserve"> </w:t>
      </w:r>
      <w:r>
        <w:rPr>
          <w:b/>
          <w:bCs/>
          <w:rtl/>
        </w:rPr>
        <w:t xml:space="preserve">וכבודי שכינתא עילאה. </w:t>
      </w:r>
      <w:r>
        <w:rPr>
          <w:rtl/>
        </w:rPr>
        <w:t>דעל שמה נקרא כסא הכבוד, ול"ב אלקים בה:</w:t>
      </w:r>
    </w:p>
  </w:footnote>
  <w:footnote w:id="2788">
    <w:p w:rsidR="00A13282" w:rsidRDefault="00A13282" w:rsidP="002D629A">
      <w:pPr>
        <w:pStyle w:val="a5"/>
        <w:rPr>
          <w:rtl/>
        </w:rPr>
      </w:pPr>
      <w:r>
        <w:rPr>
          <w:rStyle w:val="a7"/>
          <w:rtl/>
        </w:rPr>
        <w:footnoteRef/>
      </w:r>
      <w:r>
        <w:rPr>
          <w:rtl/>
        </w:rPr>
        <w:t xml:space="preserve"> </w:t>
      </w:r>
      <w:r>
        <w:rPr>
          <w:b/>
          <w:bCs/>
          <w:rtl/>
        </w:rPr>
        <w:t xml:space="preserve">סם המות אל אחר. </w:t>
      </w:r>
      <w:r>
        <w:rPr>
          <w:rtl/>
        </w:rPr>
        <w:t>רוצה לומר דו"נ שהן סמא"ל:</w:t>
      </w:r>
    </w:p>
  </w:footnote>
  <w:footnote w:id="2789">
    <w:p w:rsidR="00A13282" w:rsidRDefault="00A13282" w:rsidP="002D629A">
      <w:pPr>
        <w:pStyle w:val="a5"/>
        <w:rPr>
          <w:rtl/>
        </w:rPr>
      </w:pPr>
      <w:r>
        <w:rPr>
          <w:rStyle w:val="a7"/>
          <w:rtl/>
        </w:rPr>
        <w:footnoteRef/>
      </w:r>
      <w:r>
        <w:rPr>
          <w:rtl/>
        </w:rPr>
        <w:t xml:space="preserve"> </w:t>
      </w:r>
      <w:r>
        <w:rPr>
          <w:b/>
          <w:bCs/>
          <w:rtl/>
        </w:rPr>
        <w:t>אתמר בשכינתא כו'.</w:t>
      </w:r>
      <w:r>
        <w:rPr>
          <w:rtl/>
        </w:rPr>
        <w:t xml:space="preserve"> עיין לקמן תיקון ל”ו מה שנבאר שם:</w:t>
      </w:r>
    </w:p>
  </w:footnote>
  <w:footnote w:id="2790">
    <w:p w:rsidR="00A13282" w:rsidRDefault="00A13282" w:rsidP="002D629A">
      <w:pPr>
        <w:pStyle w:val="a5"/>
        <w:rPr>
          <w:rtl/>
        </w:rPr>
      </w:pPr>
      <w:r>
        <w:rPr>
          <w:rStyle w:val="a7"/>
          <w:rtl/>
        </w:rPr>
        <w:footnoteRef/>
      </w:r>
      <w:r>
        <w:rPr>
          <w:rtl/>
        </w:rPr>
        <w:t xml:space="preserve"> </w:t>
      </w:r>
      <w:r>
        <w:rPr>
          <w:b/>
          <w:bCs/>
          <w:rtl/>
        </w:rPr>
        <w:t xml:space="preserve">ועוד רביע כו'. </w:t>
      </w:r>
      <w:r>
        <w:rPr>
          <w:rtl/>
        </w:rPr>
        <w:t>רוצה לומר דמפקודין דלא תעשה קאמר רביע, דאיהי סגורה:</w:t>
      </w:r>
    </w:p>
  </w:footnote>
  <w:footnote w:id="2791">
    <w:p w:rsidR="00A13282" w:rsidRDefault="00A13282" w:rsidP="002D629A">
      <w:pPr>
        <w:pStyle w:val="a5"/>
        <w:rPr>
          <w:rtl/>
        </w:rPr>
      </w:pPr>
      <w:r>
        <w:rPr>
          <w:rStyle w:val="a7"/>
          <w:rtl/>
        </w:rPr>
        <w:footnoteRef/>
      </w:r>
      <w:r>
        <w:rPr>
          <w:rtl/>
        </w:rPr>
        <w:t xml:space="preserve"> </w:t>
      </w:r>
      <w:r>
        <w:rPr>
          <w:b/>
          <w:bCs/>
          <w:rtl/>
        </w:rPr>
        <w:t>כג"ד כ כו'.</w:t>
      </w:r>
      <w:r>
        <w:rPr>
          <w:rtl/>
        </w:rPr>
        <w:t xml:space="preserve"> עיין ברעיא מהימנא פרשת פנחס רמ"ח ב' ועוד ובראש חודש נקודה דנגיד עליה מלגאו היא חכמה וההיא חוט דאסחר לה היא כתר, ועיין מה שנבאר לקמן בתיקון ל”ו והיא חכמת שלמה דנקראת אני, וזה שאומר בת מלך פנימה, ועיין לעיל נ"ב ב' ואמר סגירה בביתא רוצה לומר בבית דבראשית, נקודה בהיכליה, ועיין לעיל ריש תיקון ה’ האיך היא סגורה שם, וזה שאומר ואיהי סיהרא כו' דחכמת שלמה נקראת סיהרא ועיין ברעיא מהימנא שם:</w:t>
      </w:r>
    </w:p>
  </w:footnote>
  <w:footnote w:id="2792">
    <w:p w:rsidR="00A13282" w:rsidRDefault="00A13282" w:rsidP="002D629A">
      <w:pPr>
        <w:pStyle w:val="a5"/>
        <w:rPr>
          <w:rtl/>
        </w:rPr>
      </w:pPr>
      <w:r>
        <w:rPr>
          <w:rStyle w:val="a7"/>
          <w:rtl/>
        </w:rPr>
        <w:footnoteRef/>
      </w:r>
      <w:r>
        <w:rPr>
          <w:rtl/>
        </w:rPr>
        <w:t xml:space="preserve"> </w:t>
      </w:r>
      <w:r>
        <w:rPr>
          <w:b/>
          <w:bCs/>
          <w:rtl/>
        </w:rPr>
        <w:t xml:space="preserve">חמה בישא גיהנם. </w:t>
      </w:r>
      <w:r>
        <w:rPr>
          <w:rtl/>
        </w:rPr>
        <w:t>נוק' דסם סם המות כנ"ל, וכמו שמפרש והולך, וזה שאמרו (ר"ה כג ע"ב) מעולם לא ראה חמה כו', ורוצה לומר שהלבנה חלקם של ישראל אבל חמה שבעים שמות לה והיא מושלת על שבעין אומין והן מונין לחמה, דבזמנא דאיהי פגומה והם חפיין לחמה גם כן לקבל - היא חזרת אנפהא:</w:t>
      </w:r>
    </w:p>
  </w:footnote>
  <w:footnote w:id="2793">
    <w:p w:rsidR="00A13282" w:rsidRDefault="00A13282" w:rsidP="002D629A">
      <w:pPr>
        <w:pStyle w:val="a5"/>
        <w:rPr>
          <w:rtl/>
        </w:rPr>
      </w:pPr>
      <w:r>
        <w:rPr>
          <w:rStyle w:val="a7"/>
          <w:rtl/>
        </w:rPr>
        <w:footnoteRef/>
      </w:r>
      <w:r>
        <w:rPr>
          <w:rtl/>
        </w:rPr>
        <w:t xml:space="preserve"> </w:t>
      </w:r>
      <w:r>
        <w:rPr>
          <w:b/>
          <w:bCs/>
          <w:rtl/>
        </w:rPr>
        <w:t xml:space="preserve">כ"ש אל אחר. </w:t>
      </w:r>
      <w:r>
        <w:rPr>
          <w:rtl/>
        </w:rPr>
        <w:t>דכורא, וזה שאומר למעלה ובג"ד בשית יומין דשלטא סם המות אל אחר כו' - סגור כו':</w:t>
      </w:r>
    </w:p>
  </w:footnote>
  <w:footnote w:id="2794">
    <w:p w:rsidR="00A13282" w:rsidRDefault="00A13282" w:rsidP="002D629A">
      <w:pPr>
        <w:pStyle w:val="a5"/>
        <w:rPr>
          <w:rtl/>
        </w:rPr>
      </w:pPr>
      <w:r>
        <w:rPr>
          <w:rStyle w:val="a7"/>
          <w:rtl/>
        </w:rPr>
        <w:footnoteRef/>
      </w:r>
      <w:r>
        <w:rPr>
          <w:rtl/>
        </w:rPr>
        <w:t xml:space="preserve"> </w:t>
      </w:r>
      <w:r>
        <w:rPr>
          <w:b/>
          <w:bCs/>
          <w:rtl/>
        </w:rPr>
        <w:t xml:space="preserve">לא הביט כו' </w:t>
      </w:r>
      <w:r>
        <w:rPr>
          <w:rtl/>
        </w:rPr>
        <w:t>שישראל הם חלקה של לבנה ומונין לה, והיא נקראת כנסת ישראל, וזה שאומר לא הביט כו', וקאמר יעקב וישראל - שהן דו"נ שבה, ואון נקרא נחש וכן סם המות כנ"ל אלא דכל נוק' כולל בנחש ודכורא באל אחר:</w:t>
      </w:r>
    </w:p>
  </w:footnote>
  <w:footnote w:id="2795">
    <w:p w:rsidR="00A13282" w:rsidRDefault="00A13282" w:rsidP="002D629A">
      <w:pPr>
        <w:pStyle w:val="a5"/>
        <w:rPr>
          <w:rtl/>
        </w:rPr>
      </w:pPr>
      <w:r>
        <w:rPr>
          <w:rStyle w:val="a7"/>
          <w:rtl/>
        </w:rPr>
        <w:footnoteRef/>
      </w:r>
      <w:r>
        <w:rPr>
          <w:rtl/>
        </w:rPr>
        <w:t xml:space="preserve"> </w:t>
      </w:r>
      <w:r>
        <w:rPr>
          <w:b/>
          <w:bCs/>
          <w:rtl/>
        </w:rPr>
        <w:t xml:space="preserve">ובזמנא דדחקין כו' </w:t>
      </w:r>
      <w:r>
        <w:rPr>
          <w:rtl/>
        </w:rPr>
        <w:t>והיא בעת המולד, דנשארת נקודה לבד, ואז מארת חסר, ולוחמין למעלה עם השעיר, וכל שכן בראש השנה, זמן הדין, ואז מתכסה מן החמה לגמרי:</w:t>
      </w:r>
    </w:p>
  </w:footnote>
  <w:footnote w:id="2796">
    <w:p w:rsidR="00A13282" w:rsidRDefault="00A13282" w:rsidP="002D629A">
      <w:pPr>
        <w:pStyle w:val="a5"/>
        <w:rPr>
          <w:rtl/>
        </w:rPr>
      </w:pPr>
      <w:r>
        <w:rPr>
          <w:rStyle w:val="a7"/>
          <w:rtl/>
        </w:rPr>
        <w:footnoteRef/>
      </w:r>
      <w:r>
        <w:rPr>
          <w:rtl/>
        </w:rPr>
        <w:t xml:space="preserve"> </w:t>
      </w:r>
      <w:r>
        <w:rPr>
          <w:b/>
          <w:bCs/>
          <w:rtl/>
        </w:rPr>
        <w:t xml:space="preserve">בההוא זמנא דאתכסיאת כו'. </w:t>
      </w:r>
      <w:r>
        <w:rPr>
          <w:rtl/>
        </w:rPr>
        <w:t xml:space="preserve">עיין ברעיא מהימנא פרשת אמור צ"ט וק' בארוכה וזה שאומר ותקינת שכינתא כו' עיין שם, וקאמר </w:t>
      </w:r>
      <w:r>
        <w:rPr>
          <w:b/>
          <w:bCs/>
          <w:rtl/>
        </w:rPr>
        <w:t xml:space="preserve">ברעותא דשכינתא </w:t>
      </w:r>
      <w:r>
        <w:rPr>
          <w:rtl/>
        </w:rPr>
        <w:t>רוצה לומר אע"ג דמקרא משמע דשכינתא קאמר ליעקב בלא ידיעת יצחק, לא כן הוא, דתורה מזהרת ויהיבת עיטא לישראל לאתפייסא בקב"ה והכל ברצון הקב"ה:</w:t>
      </w:r>
    </w:p>
  </w:footnote>
  <w:footnote w:id="2797">
    <w:p w:rsidR="00A13282" w:rsidRDefault="00A13282" w:rsidP="002D629A">
      <w:pPr>
        <w:pStyle w:val="a5"/>
        <w:rPr>
          <w:rtl/>
        </w:rPr>
      </w:pPr>
      <w:r>
        <w:rPr>
          <w:rStyle w:val="a7"/>
          <w:rtl/>
        </w:rPr>
        <w:footnoteRef/>
      </w:r>
      <w:r>
        <w:rPr>
          <w:rtl/>
        </w:rPr>
        <w:t xml:space="preserve"> </w:t>
      </w:r>
      <w:r>
        <w:rPr>
          <w:b/>
          <w:bCs/>
          <w:rtl/>
        </w:rPr>
        <w:t xml:space="preserve">דצלותא שקילא כו'. </w:t>
      </w:r>
      <w:r>
        <w:rPr>
          <w:rtl/>
        </w:rPr>
        <w:t>רוצה לומר דפקודין דעשה היינו צלותא, וקאמר שקילא מכל פקודין כמו שאמרו בזוהר פרשת ויקהל ר"ב ב' מכאן ולהלאה אית פקודי אורייתא כו' בצלותא כו' ואלין אינון שית פקודין דקיימין בצלותא דסלקין לגבי שית מאה פקודין דאורייתא ואי תימא תליסר אחרנין יתיר אינון כו', וברעיא מהימנא פרשת אמור שם אמר דכדין ויירא יעקב מאד ויצר לו ואסגי בצלותין ובעותין ויאמר יעקב אלקי אבי אברהם ואלקי אבי יצחק כו', ולכן נכתבה התפלה בתורה - להורות לישראל:</w:t>
      </w:r>
    </w:p>
  </w:footnote>
  <w:footnote w:id="2798">
    <w:p w:rsidR="00A13282" w:rsidRDefault="00A13282" w:rsidP="002D629A">
      <w:pPr>
        <w:pStyle w:val="a5"/>
        <w:rPr>
          <w:rtl/>
        </w:rPr>
      </w:pPr>
      <w:r>
        <w:rPr>
          <w:rStyle w:val="a7"/>
          <w:rtl/>
        </w:rPr>
        <w:footnoteRef/>
      </w:r>
      <w:r>
        <w:rPr>
          <w:rtl/>
        </w:rPr>
        <w:t xml:space="preserve"> </w:t>
      </w:r>
      <w:r>
        <w:rPr>
          <w:b/>
          <w:bCs/>
          <w:rtl/>
        </w:rPr>
        <w:t xml:space="preserve">ובזמנא דאיהי כו'. </w:t>
      </w:r>
      <w:r>
        <w:rPr>
          <w:rtl/>
        </w:rPr>
        <w:t>ורוצה לומר זהו שופר הולך כנ"ל, ושם בפרשה הקול קול יעקב - קול שופר, כמו שבארנו שם, ורבקה אמרה כו' באינון מטעמים דיליה ויעקב אתער מתתא מתלבש בצלותין ובעותין, והקול קול יעקב בההוא שופר כו' ויבא לו יין כו' ולכן רשים ל"ו בתרי טעמי כנ"ל:</w:t>
      </w:r>
    </w:p>
  </w:footnote>
  <w:footnote w:id="2799">
    <w:p w:rsidR="00A13282" w:rsidRDefault="00A13282" w:rsidP="002D629A">
      <w:pPr>
        <w:pStyle w:val="a5"/>
        <w:rPr>
          <w:rtl/>
        </w:rPr>
      </w:pPr>
      <w:r>
        <w:rPr>
          <w:rStyle w:val="a7"/>
          <w:rtl/>
        </w:rPr>
        <w:footnoteRef/>
      </w:r>
      <w:r>
        <w:rPr>
          <w:rtl/>
        </w:rPr>
        <w:t xml:space="preserve"> </w:t>
      </w:r>
      <w:r>
        <w:rPr>
          <w:b/>
          <w:bCs/>
          <w:rtl/>
        </w:rPr>
        <w:t xml:space="preserve">דביה עתיד כו' מארבע כו' </w:t>
      </w:r>
      <w:r>
        <w:rPr>
          <w:rtl/>
        </w:rPr>
        <w:t>רוצה לומר זהו שופר הולך רביע מארבע כו':</w:t>
      </w:r>
    </w:p>
  </w:footnote>
  <w:footnote w:id="2800">
    <w:p w:rsidR="00A13282" w:rsidRDefault="00A13282" w:rsidP="002D629A">
      <w:pPr>
        <w:pStyle w:val="a5"/>
        <w:rPr>
          <w:rtl/>
        </w:rPr>
      </w:pPr>
      <w:r>
        <w:rPr>
          <w:rStyle w:val="a7"/>
          <w:rtl/>
        </w:rPr>
        <w:footnoteRef/>
      </w:r>
      <w:r>
        <w:rPr>
          <w:rtl/>
        </w:rPr>
        <w:t xml:space="preserve"> </w:t>
      </w:r>
      <w:r>
        <w:rPr>
          <w:b/>
          <w:bCs/>
          <w:rtl/>
        </w:rPr>
        <w:t xml:space="preserve">ואיהו חשיב דאיהו כו'. </w:t>
      </w:r>
      <w:r>
        <w:rPr>
          <w:rtl/>
        </w:rPr>
        <w:t>רוצה לומר כאן טעמי מאריך טרחא סוף פסוק כמו שמפרש והולך ובראש השנה עד כו' מאריך עלייהו כו' ודא איהו כו', ורוצה לומר טרחא - דמשא הוא לקב"ה לסבול אותם והוא מאריך טרחא כמו שאמרו בזוהר על פסוק משא דבר ה', והענין, שבהתעוררות השופר מעוררין השופר גדול ומתעורר הדין על השטן ולכן מתבהל וחשיב כו' אלא שהקב"ה מאריך כו':</w:t>
      </w:r>
    </w:p>
  </w:footnote>
  <w:footnote w:id="2801">
    <w:p w:rsidR="00A13282" w:rsidRDefault="00A13282" w:rsidP="002D629A">
      <w:pPr>
        <w:pStyle w:val="a5"/>
        <w:rPr>
          <w:rtl/>
        </w:rPr>
      </w:pPr>
      <w:r>
        <w:rPr>
          <w:rStyle w:val="a7"/>
          <w:rtl/>
        </w:rPr>
        <w:footnoteRef/>
      </w:r>
      <w:r>
        <w:rPr>
          <w:rtl/>
        </w:rPr>
        <w:t xml:space="preserve"> </w:t>
      </w:r>
      <w:r>
        <w:rPr>
          <w:b/>
          <w:bCs/>
          <w:rtl/>
        </w:rPr>
        <w:t xml:space="preserve">סלקא צלותא בניגונא. </w:t>
      </w:r>
      <w:r>
        <w:rPr>
          <w:rtl/>
        </w:rPr>
        <w:t>רוצה לומר זהו שופר הולך שהוא ניגונא דצלותא כמו שכתוב (תהלים קנ ג) הללוהו בתקע שופר, דהוא ניגון הראשון מעשרה ניגונים כמו שאומר לקמן ב', ואמר בארבעה מינין רוצה לומר זהו רביע, ואמר דאינון שיר פשוט כו' - שהן ארבעה מיני ניגונין דמוסיקא כידוע, והן הכל בשם הוי"ה כמו שמפרש והולך, והן גם כן עשרה מיני ניגונין דעשרה אותיות אלו, והן עשרה הללוהו בתקע שופר הללוהו כו' כמו שאומר לקמן ב', ועיין לעיל תיקון י”ג כ"ג ב' צהלי קולך בת גלים בת עשרה גלגלים כו' בעשרה מיני ניגונים ובארבע חיוון דסליק יהו"ה, בשיר פשוט כפול משולש מרובע דאיהו יהו"ה דקולו סליק כגלי ימא, וגלי ימא דלעילא אינון עשרה גלגלים עיין שם בדבריו:</w:t>
      </w:r>
    </w:p>
  </w:footnote>
  <w:footnote w:id="2802">
    <w:p w:rsidR="00A13282" w:rsidRDefault="00A13282" w:rsidP="002D629A">
      <w:pPr>
        <w:pStyle w:val="a5"/>
        <w:rPr>
          <w:rtl/>
        </w:rPr>
      </w:pPr>
      <w:r>
        <w:rPr>
          <w:rStyle w:val="a7"/>
          <w:rtl/>
        </w:rPr>
        <w:footnoteRef/>
      </w:r>
      <w:r>
        <w:rPr>
          <w:rtl/>
        </w:rPr>
        <w:t xml:space="preserve"> </w:t>
      </w:r>
      <w:r>
        <w:rPr>
          <w:b/>
          <w:bCs/>
          <w:rtl/>
        </w:rPr>
        <w:t xml:space="preserve">בשמא דיקו"ק סלקא צלותא בניגונא אורייתא בניגונא כו'. </w:t>
      </w:r>
      <w:r>
        <w:rPr>
          <w:rtl/>
        </w:rPr>
        <w:t>חשיב גם כן ארבעה תיקונים דסלקין בנגונא, לפרש טעם רביע:</w:t>
      </w:r>
    </w:p>
  </w:footnote>
  <w:footnote w:id="2803">
    <w:p w:rsidR="00A13282" w:rsidRDefault="00A13282" w:rsidP="002D629A">
      <w:pPr>
        <w:pStyle w:val="a5"/>
        <w:rPr>
          <w:rtl/>
        </w:rPr>
      </w:pPr>
      <w:r>
        <w:rPr>
          <w:rStyle w:val="a7"/>
          <w:rtl/>
        </w:rPr>
        <w:footnoteRef/>
      </w:r>
      <w:r>
        <w:rPr>
          <w:rtl/>
        </w:rPr>
        <w:t xml:space="preserve"> </w:t>
      </w:r>
      <w:r>
        <w:rPr>
          <w:b/>
          <w:bCs/>
          <w:rtl/>
        </w:rPr>
        <w:t xml:space="preserve">הה"ד אז כו'. </w:t>
      </w:r>
      <w:r>
        <w:rPr>
          <w:rtl/>
        </w:rPr>
        <w:t>עיין לעיל ריש תיקון י’, כ' ב' ובההוא זמנא אז ישיר כו' והאי שיר באז סליק כו' באן סליק לה כו' וסליק לה עד אתר דאתגזרת מתמן כו' בגין דסלקא עד אין סוף כו', וזה שאומר צלותא דאיהי שכינתא סלקא כו' כמו שבארנו שם האי תגא דתלשא איהי יוד כו', ועיין לעיל כ"ג ב' תניינא בשיר דא חכמה, שר י', ותלת יודין אינון י' י' י' ואינון רישא וסיפא ואמצעיתא דאת יוד, ואינון רמיזין בשמא סתים דאיהו יו"ד ק"י וא"ו ק"י, באלין תלת שבח דוד מלכא לברתא דמלכא הה"ד שיר למעלות - ל' מעלות אינון ודאי, אינון תלתין דרגין ורוצה לומר התפלה עולה בעשרה זכרונות כו' והן עשרה דפיקין ועיין לקמן תיקון כ”ה ועשרה מיני ניגונין כנ"ל:</w:t>
      </w:r>
    </w:p>
  </w:footnote>
  <w:footnote w:id="2804">
    <w:p w:rsidR="00A13282" w:rsidRDefault="00A13282" w:rsidP="002D629A">
      <w:pPr>
        <w:pStyle w:val="a5"/>
        <w:rPr>
          <w:rtl/>
        </w:rPr>
      </w:pPr>
      <w:r>
        <w:rPr>
          <w:rStyle w:val="a7"/>
          <w:rtl/>
        </w:rPr>
        <w:footnoteRef/>
      </w:r>
      <w:r>
        <w:rPr>
          <w:rtl/>
        </w:rPr>
        <w:t xml:space="preserve"> </w:t>
      </w:r>
      <w:r>
        <w:rPr>
          <w:b/>
          <w:bCs/>
          <w:rtl/>
        </w:rPr>
        <w:t xml:space="preserve">ועשרה כתות דמלאכים יתערון לגבייהו. </w:t>
      </w:r>
      <w:r>
        <w:rPr>
          <w:rtl/>
        </w:rPr>
        <w:t>רוצה לומר לגבי שופרות וזכרונות ומלכיות:</w:t>
      </w:r>
    </w:p>
  </w:footnote>
  <w:footnote w:id="2805">
    <w:p w:rsidR="00A13282" w:rsidRDefault="00A13282" w:rsidP="002D629A">
      <w:pPr>
        <w:pStyle w:val="a5"/>
        <w:rPr>
          <w:rtl/>
        </w:rPr>
      </w:pPr>
      <w:r>
        <w:rPr>
          <w:rStyle w:val="a7"/>
          <w:rtl/>
        </w:rPr>
        <w:footnoteRef/>
      </w:r>
      <w:r>
        <w:rPr>
          <w:b/>
          <w:bCs/>
          <w:rtl/>
        </w:rPr>
        <w:t xml:space="preserve">וסלקין לון לגבי ע"ס כו'. </w:t>
      </w:r>
      <w:r>
        <w:rPr>
          <w:rtl/>
        </w:rPr>
        <w:t>רוצה לומר שלשים הנ"ל לעשר ספירות, דאלו שלשים הנ"ל הן נגד שלשה דרגין דנר"ן, בי"ע, מלכות עמודא דאמצעיתא בינה, באצילות, שלשה דרגין דמלכות סלקא לאתר דאתגזרת מתמן לגבי חכמה ותרב חכמת שלמה כו', וזה שאומר בתיקון י”ג דהיא סלקא תלתין דרגין וכנ"ל, ושם עשר ספירות דאצילות, וכן באצילות נקרא עשר ספירות בחכמה, כמו שאמרו בזוהר חדש ע"ג א' ועשר חכמות אתקריאו עשר ספירות מסטריה, ועיין מה שבארנו שם, והן ארבע אותיות השם ורוצה לומר זהו רביע, וקאמר</w:t>
      </w:r>
    </w:p>
  </w:footnote>
  <w:footnote w:id="2806">
    <w:p w:rsidR="00A13282" w:rsidRDefault="00A13282" w:rsidP="002D629A">
      <w:pPr>
        <w:pStyle w:val="a5"/>
        <w:rPr>
          <w:rtl/>
        </w:rPr>
      </w:pPr>
      <w:r>
        <w:rPr>
          <w:rStyle w:val="a7"/>
          <w:rtl/>
        </w:rPr>
        <w:footnoteRef/>
      </w:r>
      <w:r>
        <w:rPr>
          <w:rtl/>
        </w:rPr>
        <w:t xml:space="preserve"> </w:t>
      </w:r>
      <w:r>
        <w:rPr>
          <w:b/>
          <w:bCs/>
          <w:rtl/>
        </w:rPr>
        <w:t xml:space="preserve">וניגונים סלקין כו'. </w:t>
      </w:r>
      <w:r>
        <w:rPr>
          <w:rtl/>
        </w:rPr>
        <w:t>רוצה לומר מהמלאכים, דאע"ג דאינון עשרה מכל מקום הניגון מרובע בשיר פשוט כו' דהוא עשרה כנ"ל, וכן ארבע חיון הן גם כן עשרה דארבע חיון הם ארבע אותיות הוי"ה כמו שאומר לקמן בתיקון כ”ח ושאר מקומות, והן עשרה דשיר פשוט כו' ולכן הארבע חיות ממונים על כל עשרה כתות כו':</w:t>
      </w:r>
    </w:p>
  </w:footnote>
  <w:footnote w:id="2807">
    <w:p w:rsidR="00A13282" w:rsidRDefault="00A13282" w:rsidP="002D629A">
      <w:pPr>
        <w:pStyle w:val="a5"/>
        <w:rPr>
          <w:rtl/>
        </w:rPr>
      </w:pPr>
      <w:r>
        <w:rPr>
          <w:rStyle w:val="a7"/>
          <w:rtl/>
        </w:rPr>
        <w:footnoteRef/>
      </w:r>
      <w:r>
        <w:rPr>
          <w:rtl/>
        </w:rPr>
        <w:t xml:space="preserve"> </w:t>
      </w:r>
      <w:r>
        <w:rPr>
          <w:b/>
          <w:bCs/>
          <w:rtl/>
        </w:rPr>
        <w:t xml:space="preserve">ואינון חיות קטנות כו'. </w:t>
      </w:r>
      <w:r>
        <w:rPr>
          <w:rtl/>
        </w:rPr>
        <w:t>עיין לעיל נ"ב ב' חיות קטנות אלין אתוון דאדנ"י, עם גדולות אינון אתוון דיקו"ק, דאינון מרכבות דקב"ה ושכינתיה, וזה שאומר ואינון כו' ודאמר אינון תמניא לפרש א"ז ישיר כמו שמפרש והולך ועלייהו כו' דבהון שבח כו' ודוד בג"ד ותמניא אתוון לכל חד כו' סלקין כלהו ע"ב:</w:t>
      </w:r>
    </w:p>
  </w:footnote>
  <w:footnote w:id="2808">
    <w:p w:rsidR="00A13282" w:rsidRDefault="00A13282" w:rsidP="002D629A">
      <w:pPr>
        <w:pStyle w:val="a5"/>
        <w:rPr>
          <w:rtl/>
        </w:rPr>
      </w:pPr>
      <w:r>
        <w:rPr>
          <w:rStyle w:val="a7"/>
          <w:rtl/>
        </w:rPr>
        <w:footnoteRef/>
      </w:r>
      <w:r>
        <w:rPr>
          <w:rtl/>
        </w:rPr>
        <w:t xml:space="preserve"> </w:t>
      </w:r>
      <w:r>
        <w:rPr>
          <w:b/>
          <w:bCs/>
          <w:rtl/>
        </w:rPr>
        <w:t xml:space="preserve">דאינון חיון עתים כו'. </w:t>
      </w:r>
      <w:r>
        <w:rPr>
          <w:rtl/>
        </w:rPr>
        <w:t>רוצה לומר שהן תמניא: דהוי"ה - חשות, ודאדנ"י - ממללות, ועיין מה שבארנו במקום אחר:</w:t>
      </w:r>
    </w:p>
  </w:footnote>
  <w:footnote w:id="2809">
    <w:p w:rsidR="00A13282" w:rsidRDefault="00A13282" w:rsidP="002D629A">
      <w:pPr>
        <w:pStyle w:val="a5"/>
        <w:rPr>
          <w:rtl/>
        </w:rPr>
      </w:pPr>
      <w:r>
        <w:rPr>
          <w:rStyle w:val="a7"/>
          <w:rtl/>
        </w:rPr>
        <w:footnoteRef/>
      </w:r>
      <w:r>
        <w:rPr>
          <w:rtl/>
        </w:rPr>
        <w:t xml:space="preserve"> </w:t>
      </w:r>
      <w:r>
        <w:rPr>
          <w:b/>
          <w:bCs/>
          <w:rtl/>
        </w:rPr>
        <w:t xml:space="preserve">וכלהו מחאן כו' ונגונא בהון כו'. </w:t>
      </w:r>
      <w:r>
        <w:rPr>
          <w:rtl/>
        </w:rPr>
        <w:t>רוצה לומר שכל אחד מאלו יש לו שמונה, והן שמונה פעמים שמונה, כמו שמפרש והולך והן ארבע דנגונא דגדפין וארבע נגונא דאנפין:</w:t>
      </w:r>
    </w:p>
  </w:footnote>
  <w:footnote w:id="2810">
    <w:p w:rsidR="00A13282" w:rsidRDefault="00A13282" w:rsidP="002D629A">
      <w:pPr>
        <w:pStyle w:val="a5"/>
        <w:rPr>
          <w:rtl/>
        </w:rPr>
      </w:pPr>
      <w:r>
        <w:rPr>
          <w:rStyle w:val="a7"/>
          <w:rtl/>
        </w:rPr>
        <w:footnoteRef/>
      </w:r>
      <w:r>
        <w:rPr>
          <w:rtl/>
        </w:rPr>
        <w:t xml:space="preserve"> </w:t>
      </w:r>
      <w:r>
        <w:rPr>
          <w:b/>
          <w:bCs/>
          <w:rtl/>
        </w:rPr>
        <w:t xml:space="preserve">ותליין מנייהו ס"ד. </w:t>
      </w:r>
      <w:r>
        <w:rPr>
          <w:rtl/>
        </w:rPr>
        <w:t>רוצה לומר תמניא לכל אחד כנ"ל, שכל אחד כולל שילוב הנ"ל, שטבע המקור בענפין, וזה סוד שם ע"ב ושם מ"ב וכמו שאומר לעיל ל"ח א' ובתיקון כ”ב ס"ג א' ועיין מה שבארנו שם ושם, כי שם שש ולכל אחד שש, וכאן בשמונה. והענין, כמו שבארנו שם ל"ח א' דתשע נקודין הן צנורין לאותיות דקביעין בשכינה, והן שמונה דכאן, שמונה בכתר ומיניה תליין שמונה ספירות מחכמה עד יסוד, וכל אחד כולל שמונה, וכולם צינורין לשכינה וכתר שורשן כי אינו מענינם, ושם מ"ב הוא הדעת כולל שש ספירות וכל אחד כלול משש כמו שנבאר שם, ודעת הוא שרשם כמו בכתר כי הכלל כי הכתר שורש לכל והראשית מחכמה, וכן דעת לז"ת והראשית הוא מחסד עולם יבנה, ולכן ע"ב בחסד כי ג"ר כלולים ומ"ב בגבורה וזה שאומר</w:t>
      </w:r>
    </w:p>
  </w:footnote>
  <w:footnote w:id="2811">
    <w:p w:rsidR="00A13282" w:rsidRDefault="00A13282" w:rsidP="002D629A">
      <w:pPr>
        <w:pStyle w:val="a5"/>
        <w:rPr>
          <w:rtl/>
        </w:rPr>
      </w:pPr>
      <w:r>
        <w:rPr>
          <w:rStyle w:val="a7"/>
          <w:rtl/>
        </w:rPr>
        <w:footnoteRef/>
      </w:r>
      <w:r>
        <w:rPr>
          <w:rtl/>
        </w:rPr>
        <w:t xml:space="preserve"> </w:t>
      </w:r>
      <w:r>
        <w:rPr>
          <w:b/>
          <w:bCs/>
          <w:rtl/>
        </w:rPr>
        <w:t xml:space="preserve">ודא רזא דחשמ"ל </w:t>
      </w:r>
      <w:r>
        <w:rPr>
          <w:rtl/>
        </w:rPr>
        <w:t>רוצה לומר שבו רזא דע"ב והוא בחסד במעון כמו שאמרו (ילקוט שמעוני יחזקאל פרק א סימן שלט) שבו כתות כו' וחשות כו', והן שאמרו עתים כו':</w:t>
      </w:r>
    </w:p>
  </w:footnote>
  <w:footnote w:id="2812">
    <w:p w:rsidR="00A13282" w:rsidRDefault="00A13282" w:rsidP="002D629A">
      <w:pPr>
        <w:pStyle w:val="a5"/>
        <w:rPr>
          <w:rtl/>
        </w:rPr>
      </w:pPr>
      <w:r>
        <w:rPr>
          <w:rStyle w:val="a7"/>
          <w:rtl/>
        </w:rPr>
        <w:footnoteRef/>
      </w:r>
      <w:r>
        <w:rPr>
          <w:rtl/>
        </w:rPr>
        <w:t xml:space="preserve"> </w:t>
      </w:r>
      <w:r>
        <w:rPr>
          <w:b/>
          <w:bCs/>
          <w:rtl/>
        </w:rPr>
        <w:t xml:space="preserve">ואית ניגונא כו' ידיו גלילי כו'. </w:t>
      </w:r>
      <w:r>
        <w:rPr>
          <w:rtl/>
        </w:rPr>
        <w:t>רוצה לומר ידיו לשון יו"ד וכן אמרו בתיקון י”ג אינון עשרה גלגלים ועלייהו אתמר ידיו כו' ועשרה גלגלים אינון יו"ד דאינון לקבל עשר אצבעאן דבטשין בניגונא כו' וכל אלו הניגונין הן בחכמה זו, ואמר דוד בתהלים על עלמות לידותון על מחלת כו':</w:t>
      </w:r>
    </w:p>
  </w:footnote>
  <w:footnote w:id="2813">
    <w:p w:rsidR="00A13282" w:rsidRDefault="00A13282" w:rsidP="002D629A">
      <w:pPr>
        <w:pStyle w:val="a5"/>
        <w:rPr>
          <w:rtl/>
        </w:rPr>
      </w:pPr>
      <w:r>
        <w:rPr>
          <w:rStyle w:val="a7"/>
          <w:rtl/>
        </w:rPr>
        <w:footnoteRef/>
      </w:r>
      <w:r>
        <w:rPr>
          <w:rtl/>
        </w:rPr>
        <w:t xml:space="preserve"> </w:t>
      </w:r>
      <w:r>
        <w:rPr>
          <w:b/>
          <w:bCs/>
          <w:rtl/>
        </w:rPr>
        <w:t xml:space="preserve">יקו"ק כו' מרכבה תניינא כו'. </w:t>
      </w:r>
      <w:r>
        <w:rPr>
          <w:rtl/>
        </w:rPr>
        <w:t>רוצה לומר דכאן הוא שם מ"ב מרכבה דשית, דלמעלה פירש שם ע"ב בעשר ספירות וכאן שם מ"ב דז"ת בכל אחד הוי"ה שלימה, חג"ת - שלש חיון נש"א, וכן נה"י, ומלכות - חיה רביעית, אדם, משלמת לכל תלת, ובה גם כן יקו"ק אלא לפי שנכללת מכל השלש חיות צריך להיות בה שלש הויות והיא המשלמת להון לשם י"ה יקו"ק, למרכבה ראשונה שיהיה בכל אחד שית אתוון, ולמרכבה תניינא י"ק יקו"ק והן גם כן שית אתוון הרי שית פעמים שית, וחו"ב גם כן שמותם העצמי י"ק יקו"ק, י"ק בחכמה, יקו"ק בבינה כידוע, הרי שם מ"ב והוא כנ"ל אלא דכאן מלכות משלמת לו"ק ובמקום הדעת חו"ב, והכל אחד כי הדעת הוא כלילות חו"ב ואמר</w:t>
      </w:r>
    </w:p>
  </w:footnote>
  <w:footnote w:id="2814">
    <w:p w:rsidR="00A13282" w:rsidRDefault="00A13282" w:rsidP="002D629A">
      <w:pPr>
        <w:pStyle w:val="a5"/>
        <w:rPr>
          <w:rtl/>
        </w:rPr>
      </w:pPr>
      <w:r>
        <w:rPr>
          <w:rStyle w:val="a7"/>
          <w:rtl/>
        </w:rPr>
        <w:footnoteRef/>
      </w:r>
      <w:r>
        <w:rPr>
          <w:rtl/>
        </w:rPr>
        <w:t xml:space="preserve"> </w:t>
      </w:r>
      <w:r>
        <w:rPr>
          <w:b/>
          <w:bCs/>
          <w:rtl/>
        </w:rPr>
        <w:t xml:space="preserve">כתר אקי"ק כו'. </w:t>
      </w:r>
      <w:r>
        <w:rPr>
          <w:rtl/>
        </w:rPr>
        <w:t>רוצה לומר דהוא גם כן של שש אותיות דכל אחד סליק בשית כנ"ל (אלא דיה"ו) והוא שתי פעמים יק"ו אלא שנעשין בו אקי"ק, חד בחשבן והוא המשלים לנש"ב בשמונה אתוון וכידוע שבו נשלם נש"ב וזה שאומר</w:t>
      </w:r>
    </w:p>
  </w:footnote>
  <w:footnote w:id="2815">
    <w:p w:rsidR="00A13282" w:rsidRDefault="00A13282" w:rsidP="002D629A">
      <w:pPr>
        <w:pStyle w:val="a5"/>
        <w:rPr>
          <w:rtl/>
        </w:rPr>
      </w:pPr>
      <w:r>
        <w:rPr>
          <w:rStyle w:val="a7"/>
          <w:rtl/>
        </w:rPr>
        <w:footnoteRef/>
      </w:r>
      <w:r>
        <w:rPr>
          <w:rtl/>
        </w:rPr>
        <w:t xml:space="preserve"> </w:t>
      </w:r>
      <w:r>
        <w:rPr>
          <w:b/>
          <w:bCs/>
          <w:rtl/>
        </w:rPr>
        <w:t xml:space="preserve">ועלייהו אתמר כו' ודא אב"ג ית"ץ כו'. </w:t>
      </w:r>
      <w:r>
        <w:rPr>
          <w:rtl/>
        </w:rPr>
        <w:t>רוצה לומר שם שם מ"ב כלו ושש כנפים לאחד כנ"ל ואמר בשתים כו' דהן הקצוות והן כוללין כל עשר ספירות: בשתים כו' הן חו"ב וזהו פניו, ובשתים כו' - נו"ה, ובשתים כו' הן חו"ג ששם מקום הכנפים לעופף, וכל הכנפים הן בקצוות שקו האמצעי כוללם, שקו האמצעי בשלשה: רב"ג:</w:t>
      </w:r>
    </w:p>
  </w:footnote>
  <w:footnote w:id="2816">
    <w:p w:rsidR="00A13282" w:rsidRDefault="00A13282" w:rsidP="002D629A">
      <w:pPr>
        <w:pStyle w:val="a5"/>
        <w:rPr>
          <w:rtl/>
        </w:rPr>
      </w:pPr>
      <w:r>
        <w:rPr>
          <w:rStyle w:val="a7"/>
          <w:rtl/>
        </w:rPr>
        <w:footnoteRef/>
      </w:r>
      <w:r>
        <w:rPr>
          <w:rtl/>
        </w:rPr>
        <w:t xml:space="preserve"> </w:t>
      </w:r>
      <w:r>
        <w:rPr>
          <w:b/>
          <w:bCs/>
          <w:rtl/>
        </w:rPr>
        <w:t xml:space="preserve">ואית כו' הללי ביו"ד. </w:t>
      </w:r>
      <w:r>
        <w:rPr>
          <w:rtl/>
        </w:rPr>
        <w:t>וכן הללו - בו', וכן בה' כמו שאומר למטה, והן אותיות דהוי"ה</w:t>
      </w:r>
      <w:r>
        <w:rPr>
          <w:b/>
          <w:bCs/>
          <w:rtl/>
        </w:rPr>
        <w:t>:</w:t>
      </w:r>
    </w:p>
  </w:footnote>
  <w:footnote w:id="2817">
    <w:p w:rsidR="00A13282" w:rsidRDefault="00A13282" w:rsidP="002D629A">
      <w:pPr>
        <w:pStyle w:val="a5"/>
        <w:rPr>
          <w:rtl/>
        </w:rPr>
      </w:pPr>
      <w:r>
        <w:rPr>
          <w:rStyle w:val="a7"/>
          <w:rtl/>
        </w:rPr>
        <w:footnoteRef/>
      </w:r>
      <w:r>
        <w:rPr>
          <w:rtl/>
        </w:rPr>
        <w:t xml:space="preserve"> </w:t>
      </w:r>
      <w:r>
        <w:rPr>
          <w:b/>
          <w:bCs/>
          <w:rtl/>
        </w:rPr>
        <w:t xml:space="preserve">דסלקא בתרין כגון הללוהו. </w:t>
      </w:r>
      <w:r>
        <w:rPr>
          <w:rtl/>
        </w:rPr>
        <w:t>ולא גרסינן הללויה, דהוא בתלת כמו שבארנו, אבל כאן שהוא"ו כפול לא חשיב לשתים:</w:t>
      </w:r>
    </w:p>
  </w:footnote>
  <w:footnote w:id="2818">
    <w:p w:rsidR="00A13282" w:rsidRDefault="00A13282" w:rsidP="002D629A">
      <w:pPr>
        <w:pStyle w:val="a5"/>
        <w:rPr>
          <w:rtl/>
        </w:rPr>
      </w:pPr>
      <w:r>
        <w:rPr>
          <w:rStyle w:val="a7"/>
          <w:rtl/>
        </w:rPr>
        <w:footnoteRef/>
      </w:r>
      <w:r>
        <w:rPr>
          <w:rtl/>
        </w:rPr>
        <w:t xml:space="preserve"> </w:t>
      </w:r>
      <w:r>
        <w:rPr>
          <w:b/>
          <w:bCs/>
          <w:rtl/>
        </w:rPr>
        <w:t>ואית ניגונא כו' כגון ה'.</w:t>
      </w:r>
      <w:r>
        <w:rPr>
          <w:rtl/>
        </w:rPr>
        <w:t xml:space="preserve"> והוא אהללה:</w:t>
      </w:r>
    </w:p>
  </w:footnote>
  <w:footnote w:id="2819">
    <w:p w:rsidR="00A13282" w:rsidRDefault="00A13282" w:rsidP="002D629A">
      <w:pPr>
        <w:pStyle w:val="a5"/>
        <w:rPr>
          <w:rtl/>
        </w:rPr>
      </w:pPr>
      <w:r>
        <w:rPr>
          <w:rStyle w:val="a7"/>
          <w:rtl/>
        </w:rPr>
        <w:footnoteRef/>
      </w:r>
      <w:r>
        <w:rPr>
          <w:rtl/>
        </w:rPr>
        <w:t xml:space="preserve"> </w:t>
      </w:r>
      <w:r>
        <w:rPr>
          <w:b/>
          <w:bCs/>
          <w:rtl/>
        </w:rPr>
        <w:t xml:space="preserve">מן ו' איהי. </w:t>
      </w:r>
      <w:r>
        <w:rPr>
          <w:rtl/>
        </w:rPr>
        <w:t>והוא הללו ושל יו"ד הוא הללי כנ"ל:</w:t>
      </w:r>
    </w:p>
  </w:footnote>
  <w:footnote w:id="2820">
    <w:p w:rsidR="00A13282" w:rsidRDefault="00A13282" w:rsidP="002D629A">
      <w:pPr>
        <w:pStyle w:val="a5"/>
        <w:rPr>
          <w:rtl/>
        </w:rPr>
      </w:pPr>
      <w:r>
        <w:rPr>
          <w:rStyle w:val="a7"/>
          <w:rtl/>
        </w:rPr>
        <w:footnoteRef/>
      </w:r>
      <w:r>
        <w:rPr>
          <w:rtl/>
        </w:rPr>
        <w:t xml:space="preserve"> </w:t>
      </w:r>
      <w:r>
        <w:rPr>
          <w:b/>
          <w:bCs/>
          <w:rtl/>
        </w:rPr>
        <w:t xml:space="preserve">יה"ו. </w:t>
      </w:r>
      <w:r>
        <w:rPr>
          <w:rtl/>
        </w:rPr>
        <w:t>הוא הללוי"ה וכמו שמפרש והולך בתקיעה כו', דהוא יה"ו, ובארבע כבר פירש למעלה דהוא יקו"ק, והרי הם מאחד ועד ששה וכלל שלהן כמנין יה"ו (1+2+3+4+5+6=21 ג.פ.):</w:t>
      </w:r>
    </w:p>
  </w:footnote>
  <w:footnote w:id="2821">
    <w:p w:rsidR="00A13282" w:rsidRDefault="00A13282" w:rsidP="002D629A">
      <w:pPr>
        <w:pStyle w:val="a5"/>
        <w:rPr>
          <w:rtl/>
        </w:rPr>
      </w:pPr>
      <w:r>
        <w:rPr>
          <w:rStyle w:val="a7"/>
          <w:rtl/>
        </w:rPr>
        <w:footnoteRef/>
      </w:r>
      <w:r>
        <w:rPr>
          <w:rtl/>
        </w:rPr>
        <w:t xml:space="preserve"> </w:t>
      </w:r>
      <w:r>
        <w:rPr>
          <w:b/>
          <w:bCs/>
          <w:rtl/>
        </w:rPr>
        <w:t xml:space="preserve">בתקיעה הוה קלא אריך כו'. </w:t>
      </w:r>
      <w:r>
        <w:rPr>
          <w:rtl/>
        </w:rPr>
        <w:t>רוצה לומר דנגונא אריך הוא בתקיעה וקצר בשברים ועיין לקמן בתיקון כ”ה ומה שנבאר שם:</w:t>
      </w:r>
    </w:p>
  </w:footnote>
  <w:footnote w:id="2822">
    <w:p w:rsidR="00A13282" w:rsidRDefault="00A13282" w:rsidP="002D629A">
      <w:pPr>
        <w:pStyle w:val="a5"/>
        <w:rPr>
          <w:rtl/>
        </w:rPr>
      </w:pPr>
      <w:r>
        <w:rPr>
          <w:rStyle w:val="a7"/>
          <w:rtl/>
        </w:rPr>
        <w:footnoteRef/>
      </w:r>
      <w:r>
        <w:rPr>
          <w:rtl/>
        </w:rPr>
        <w:t xml:space="preserve"> </w:t>
      </w:r>
      <w:r>
        <w:rPr>
          <w:b/>
          <w:bCs/>
          <w:rtl/>
        </w:rPr>
        <w:t xml:space="preserve">דתמן י"ה כו'. </w:t>
      </w:r>
      <w:r>
        <w:rPr>
          <w:rtl/>
        </w:rPr>
        <w:t>קאי אשניהם, תקיעה ושברים, ולכן נחית חכמתא ועושרא וכמו שמפרש והולך הרוצה כו', ועיין מה שבארנו על פסוק יברכך כו' וכמו שאומר בספר יצירה  פ"ד:</w:t>
      </w:r>
    </w:p>
  </w:footnote>
  <w:footnote w:id="2823">
    <w:p w:rsidR="00A13282" w:rsidRDefault="00A13282" w:rsidP="002D629A">
      <w:pPr>
        <w:pStyle w:val="a5"/>
        <w:rPr>
          <w:rtl/>
        </w:rPr>
      </w:pPr>
      <w:r>
        <w:rPr>
          <w:rStyle w:val="a7"/>
          <w:rtl/>
        </w:rPr>
        <w:footnoteRef/>
      </w:r>
      <w:r>
        <w:rPr>
          <w:rtl/>
        </w:rPr>
        <w:t xml:space="preserve"> </w:t>
      </w:r>
      <w:r>
        <w:rPr>
          <w:b/>
          <w:bCs/>
          <w:rtl/>
        </w:rPr>
        <w:t xml:space="preserve">והוה נחית מניה מלכא כו'. </w:t>
      </w:r>
      <w:r>
        <w:rPr>
          <w:rtl/>
        </w:rPr>
        <w:t>רוצה לומר הדעת שהוא בת"ת והדעת הוא משך הזרע, וידע אדם כו' - והוא זרע, וזה שאומר לגבי כלה, ואמר</w:t>
      </w:r>
    </w:p>
  </w:footnote>
  <w:footnote w:id="2824">
    <w:p w:rsidR="00A13282" w:rsidRDefault="00A13282" w:rsidP="002D629A">
      <w:pPr>
        <w:pStyle w:val="a5"/>
        <w:rPr>
          <w:rtl/>
        </w:rPr>
      </w:pPr>
      <w:r>
        <w:rPr>
          <w:rStyle w:val="a7"/>
          <w:rtl/>
        </w:rPr>
        <w:footnoteRef/>
      </w:r>
      <w:r>
        <w:rPr>
          <w:rtl/>
        </w:rPr>
        <w:t xml:space="preserve"> </w:t>
      </w:r>
      <w:r>
        <w:rPr>
          <w:b/>
          <w:bCs/>
          <w:rtl/>
        </w:rPr>
        <w:t xml:space="preserve">דאיהי קול כו'. </w:t>
      </w:r>
      <w:r>
        <w:rPr>
          <w:rtl/>
        </w:rPr>
        <w:t>רוצה לומר היא הרביעית של שלשה דברים: (מלכים א יט יא) והנה כו' לא ברוח כו', ואמרו קול דממה דקה דתמן קאתי מלכא, וזה שאומר והוה נחית מניה מלכא כו' דאיהי כו':</w:t>
      </w:r>
    </w:p>
  </w:footnote>
  <w:footnote w:id="2825">
    <w:p w:rsidR="00A13282" w:rsidRDefault="00A13282" w:rsidP="002D629A">
      <w:pPr>
        <w:pStyle w:val="a5"/>
        <w:rPr>
          <w:rtl/>
        </w:rPr>
      </w:pPr>
      <w:r>
        <w:rPr>
          <w:rStyle w:val="a7"/>
          <w:rtl/>
        </w:rPr>
        <w:footnoteRef/>
      </w:r>
      <w:r>
        <w:rPr>
          <w:rtl/>
        </w:rPr>
        <w:t xml:space="preserve"> </w:t>
      </w:r>
      <w:r>
        <w:rPr>
          <w:b/>
          <w:bCs/>
          <w:rtl/>
        </w:rPr>
        <w:t xml:space="preserve">בההוא זמנא יתערון. </w:t>
      </w:r>
      <w:r>
        <w:rPr>
          <w:rtl/>
        </w:rPr>
        <w:t>והן עשרה מיני ניגונים שהן הכוללים הכל והן בעשר ספירות, ואף שהן י"א, דעת נכלל בת"ת, וכמו שאומר לעיל מ"ט ב' ואתקרי תרועה דיליה מסטרא דעמודא דאמצעיתא דאיהו דעת ובג"ד כו', והוא אתי לגבי כלה, ומפרש והולך הללוהו כו' - בכל אחד שנים לבד הראשון, והראשון הוא שופר מלכות דכוללת הכל, ומתערין ביה בראש השנה ולעתיד לבוא ביום ההוא יתקע כו', וביה יתערון כל מיני נגונא, והראשון הדעת - מלכא לגבי כלה בנבל כמו שמפרש והולך, ועמו יתערון כל מיני, דכיון דהדעת נחית - כלהו נחיתין עמיה וכלהו מתערין עמיה, דכל האברים מתערין עמיה ועיין במדרש הנעלם ריש פרשת לך לך, ותקע שופר מפרש והולך דהיא שכינה תתאה, תקע של שופר, והיא סלקא באימא עילאה, וזה שאומר בההוא זמנא סלקא ורוצה לומר דלכן נאמר בתקע שופר:</w:t>
      </w:r>
    </w:p>
  </w:footnote>
  <w:footnote w:id="2826">
    <w:p w:rsidR="00A13282" w:rsidRDefault="00A13282" w:rsidP="002D629A">
      <w:pPr>
        <w:pStyle w:val="a5"/>
        <w:rPr>
          <w:rtl/>
        </w:rPr>
      </w:pPr>
      <w:r>
        <w:rPr>
          <w:rStyle w:val="a7"/>
          <w:rtl/>
        </w:rPr>
        <w:footnoteRef/>
      </w:r>
      <w:r>
        <w:rPr>
          <w:rtl/>
        </w:rPr>
        <w:t xml:space="preserve"> </w:t>
      </w:r>
      <w:r>
        <w:rPr>
          <w:b/>
          <w:bCs/>
          <w:rtl/>
        </w:rPr>
        <w:t xml:space="preserve">בן לב כו'. </w:t>
      </w:r>
      <w:r>
        <w:rPr>
          <w:rtl/>
        </w:rPr>
        <w:t>רוצה לומר הדעת דהוא נקרא בן י"ה כידוע:</w:t>
      </w:r>
    </w:p>
  </w:footnote>
  <w:footnote w:id="2827">
    <w:p w:rsidR="00A13282" w:rsidRDefault="00A13282" w:rsidP="002D629A">
      <w:pPr>
        <w:pStyle w:val="a5"/>
        <w:rPr>
          <w:rtl/>
        </w:rPr>
      </w:pPr>
      <w:r>
        <w:rPr>
          <w:rStyle w:val="a7"/>
          <w:rtl/>
        </w:rPr>
        <w:footnoteRef/>
      </w:r>
      <w:r>
        <w:rPr>
          <w:rtl/>
        </w:rPr>
        <w:t xml:space="preserve"> </w:t>
      </w:r>
      <w:r>
        <w:rPr>
          <w:b/>
          <w:bCs/>
          <w:rtl/>
        </w:rPr>
        <w:t xml:space="preserve">ומה דהוה אמר כו'. </w:t>
      </w:r>
      <w:r>
        <w:rPr>
          <w:rtl/>
        </w:rPr>
        <w:t>ולא סלקא נגונא לגבה והוא בזמן הגלות:</w:t>
      </w:r>
    </w:p>
  </w:footnote>
  <w:footnote w:id="2828">
    <w:p w:rsidR="00A13282" w:rsidRDefault="00A13282" w:rsidP="002D629A">
      <w:pPr>
        <w:pStyle w:val="a5"/>
        <w:rPr>
          <w:rtl/>
        </w:rPr>
      </w:pPr>
      <w:r>
        <w:rPr>
          <w:rStyle w:val="a7"/>
          <w:rtl/>
        </w:rPr>
        <w:footnoteRef/>
      </w:r>
      <w:r>
        <w:rPr>
          <w:rtl/>
        </w:rPr>
        <w:t xml:space="preserve"> </w:t>
      </w:r>
      <w:r>
        <w:rPr>
          <w:b/>
          <w:bCs/>
          <w:rtl/>
        </w:rPr>
        <w:t xml:space="preserve">כנור כו'. </w:t>
      </w:r>
      <w:r>
        <w:rPr>
          <w:rtl/>
        </w:rPr>
        <w:t>הוא הת"ת וכמו שמפרש והולך ה' אורי כו', ה' דהוא אור, כמו שכתוב ותורה אור, נהיר בנר מצוה, וזהו כ"ו בנר, וזהו שאמר דוד ה' אורי - אורי דייקא בנפש דוד, ובאלו השנים: ת"ת ודעת, פירש שייעלון בשכינתא, וכמו שאומר לקמן לגבי עמודא דאמצעיתא והוא נחית כו', דע"י הת"ת נחית וכנ"ל, ועיין לקמן תיקון מ”ב ואיהו יקו"ק מקום אתקרי כו' בהאי שמא דאיהו יקו"ק צריך כו' והוא הדעת שקיא דאילנא שמא מפרש כמו שאומר לעיל י"ג א' ושאר מקומות, ולכן אמר בשניהם דחדי אותה כמשוש חתן כו' גילי מאד בת ציון כו' הנה מלכך יבוא לך כו' וכמו שאמרו בפסיקתא הא ודאי חדוה:</w:t>
      </w:r>
    </w:p>
  </w:footnote>
  <w:footnote w:id="2829">
    <w:p w:rsidR="00A13282" w:rsidRDefault="00A13282" w:rsidP="002D629A">
      <w:pPr>
        <w:pStyle w:val="a5"/>
        <w:rPr>
          <w:rtl/>
        </w:rPr>
      </w:pPr>
      <w:r>
        <w:rPr>
          <w:rStyle w:val="a7"/>
          <w:rtl/>
        </w:rPr>
        <w:footnoteRef/>
      </w:r>
      <w:r>
        <w:rPr>
          <w:rtl/>
        </w:rPr>
        <w:t xml:space="preserve"> </w:t>
      </w:r>
      <w:r>
        <w:rPr>
          <w:b/>
          <w:bCs/>
          <w:rtl/>
        </w:rPr>
        <w:t xml:space="preserve">צלצלי כו'. </w:t>
      </w:r>
      <w:r>
        <w:rPr>
          <w:rtl/>
        </w:rPr>
        <w:t>לשון רבים, והנה ארבעה הנשארים הן בכתר ויסוד וחו"ב, ונראה שאף שלכאורה תוף ומחול הן חו"ב שהן ניגוני דדחילו ורחימו כמו שאמרו המפרשים, וכן מחול הוא בבינה, יום הכפורים, וכמו שאומר לעיל נ"ד א' מכל מקום מסדור הקרא נראה דהן בכתר ויסוד, וחשיב כל נגוני דקו האמצעי ואח"כ של קצוות וכוללם שני הקצוות בחדא, דשמאל נכלל בימין ובפרט לעתיד לבוא, וכסדר מלמעלה למטה במנים ועוגב, אלא שאפשר לומר משום דכתר לא נודע כי אם ע"י חו"ב לכן חשיב ליה אחריהם:</w:t>
      </w:r>
    </w:p>
  </w:footnote>
  <w:footnote w:id="2830">
    <w:p w:rsidR="00A13282" w:rsidRDefault="00A13282" w:rsidP="002D629A">
      <w:pPr>
        <w:pStyle w:val="a5"/>
        <w:rPr>
          <w:rtl/>
        </w:rPr>
      </w:pPr>
      <w:r>
        <w:rPr>
          <w:rStyle w:val="a7"/>
          <w:rtl/>
        </w:rPr>
        <w:footnoteRef/>
      </w:r>
      <w:r>
        <w:rPr>
          <w:rtl/>
        </w:rPr>
        <w:t xml:space="preserve"> </w:t>
      </w:r>
      <w:r>
        <w:rPr>
          <w:b/>
          <w:bCs/>
          <w:rtl/>
        </w:rPr>
        <w:t xml:space="preserve">ובכלהו כל כו'. </w:t>
      </w:r>
      <w:r>
        <w:rPr>
          <w:rtl/>
        </w:rPr>
        <w:t>רוצה לומר בכל העשר נגנונים, ואמר לו' ולה' כו' ורוצה לומר דבזה נשלם השם דביה כל העשר ניגונים, ואמר</w:t>
      </w:r>
    </w:p>
  </w:footnote>
  <w:footnote w:id="2831">
    <w:p w:rsidR="00A13282" w:rsidRDefault="00A13282" w:rsidP="002D629A">
      <w:pPr>
        <w:pStyle w:val="a5"/>
        <w:rPr>
          <w:rtl/>
        </w:rPr>
      </w:pPr>
      <w:r>
        <w:rPr>
          <w:rStyle w:val="a7"/>
          <w:rtl/>
        </w:rPr>
        <w:footnoteRef/>
      </w:r>
      <w:r>
        <w:rPr>
          <w:rtl/>
        </w:rPr>
        <w:t xml:space="preserve"> </w:t>
      </w:r>
      <w:r>
        <w:rPr>
          <w:b/>
          <w:bCs/>
          <w:rtl/>
        </w:rPr>
        <w:t xml:space="preserve">ובהון כו'. </w:t>
      </w:r>
      <w:r>
        <w:rPr>
          <w:rtl/>
        </w:rPr>
        <w:t>רוצה לומר בי"ה כמו שכתוב כי יד על כו', ואמר</w:t>
      </w:r>
    </w:p>
  </w:footnote>
  <w:footnote w:id="2832">
    <w:p w:rsidR="00A13282" w:rsidRDefault="00A13282" w:rsidP="002D629A">
      <w:pPr>
        <w:pStyle w:val="a5"/>
        <w:rPr>
          <w:rtl/>
        </w:rPr>
      </w:pPr>
      <w:r>
        <w:rPr>
          <w:rStyle w:val="a7"/>
          <w:rtl/>
        </w:rPr>
        <w:footnoteRef/>
      </w:r>
      <w:r>
        <w:rPr>
          <w:rtl/>
        </w:rPr>
        <w:t xml:space="preserve"> </w:t>
      </w:r>
      <w:r>
        <w:rPr>
          <w:b/>
          <w:bCs/>
          <w:rtl/>
        </w:rPr>
        <w:t xml:space="preserve">ודא איהו סוף פסוק. </w:t>
      </w:r>
      <w:r>
        <w:rPr>
          <w:rtl/>
        </w:rPr>
        <w:t>רוצה לומר שופר הולך הן הניגונים, דהראשון הוא תקע שופר וכוללם כנ"ל, ורביע כמו שאומר לקמן בארבעה מינין דכוללין עשר (דרגא הן עשר כנ"ל דרגא בשית) והן עשר נינוגים כמו שאומר למעלה ועוד שופר כו', ואח"כ מאריך טרחא סוף פסוק ומפרש והולך למעלה, וכאן לא ביאר רק הראשון, שופר - בתקע שופר התחלה, והסוף - סוף</w:t>
      </w:r>
      <w:r>
        <w:t xml:space="preserve"> </w:t>
      </w:r>
      <w:r>
        <w:rPr>
          <w:rtl/>
        </w:rPr>
        <w:t>פסוק תהלל י"ה:</w:t>
      </w:r>
    </w:p>
  </w:footnote>
  <w:footnote w:id="2833">
    <w:p w:rsidR="00A13282" w:rsidRDefault="00A13282" w:rsidP="002D629A">
      <w:pPr>
        <w:pStyle w:val="a5"/>
        <w:rPr>
          <w:rtl/>
        </w:rPr>
      </w:pPr>
      <w:r>
        <w:rPr>
          <w:rStyle w:val="a7"/>
          <w:rtl/>
        </w:rPr>
        <w:footnoteRef/>
      </w:r>
      <w:r>
        <w:rPr>
          <w:rtl/>
        </w:rPr>
        <w:t xml:space="preserve"> </w:t>
      </w:r>
      <w:r>
        <w:rPr>
          <w:b/>
          <w:bCs/>
          <w:rtl/>
        </w:rPr>
        <w:t>ד"א כו' ולבא שכינתא בינייהו.</w:t>
      </w:r>
      <w:r>
        <w:rPr>
          <w:rtl/>
        </w:rPr>
        <w:t xml:space="preserve"> רוצה לומר בין ישראל שהן האברים:</w:t>
      </w:r>
    </w:p>
  </w:footnote>
  <w:footnote w:id="2834">
    <w:p w:rsidR="00A13282" w:rsidRDefault="00A13282" w:rsidP="002D629A">
      <w:pPr>
        <w:pStyle w:val="a5"/>
        <w:rPr>
          <w:rtl/>
        </w:rPr>
      </w:pPr>
      <w:r>
        <w:rPr>
          <w:rStyle w:val="a7"/>
          <w:rtl/>
        </w:rPr>
        <w:footnoteRef/>
      </w:r>
      <w:r>
        <w:rPr>
          <w:rtl/>
        </w:rPr>
        <w:t xml:space="preserve"> </w:t>
      </w:r>
      <w:r>
        <w:rPr>
          <w:b/>
          <w:bCs/>
          <w:rtl/>
        </w:rPr>
        <w:t xml:space="preserve">השטן כו' בכבד כו'. </w:t>
      </w:r>
      <w:r>
        <w:rPr>
          <w:rtl/>
        </w:rPr>
        <w:t>עיין במדרש הנעלם פרשת תולדות קמ"ח ד' ויצא הראשון אדמוני א"ר כהנא הכבד הוא הראשון והוא אדמוני למה הוא אדמוני על שבולע את הדם תחלה רא"א למה נקרא ראשון על שם ראשון לבלוע הדם כו' והוא אומר ללב עד שאתה מהרהר בדברים אלו בדברי תורה, הרהר באכילה ושתיה לקיים גופך הה"ד ויאמר עשו אל יעקב הלעיטני כו' עיין שם בדבריו, וזה שאומר דעליה כו' ולכן ביום הכפורים ועניתם כו' לית ליה רשו לאסטוני דהיום לאו דיליה הוא ולית ליה חולקא בישראל:</w:t>
      </w:r>
    </w:p>
  </w:footnote>
  <w:footnote w:id="2835">
    <w:p w:rsidR="00A13282" w:rsidRDefault="00A13282" w:rsidP="002D629A">
      <w:pPr>
        <w:pStyle w:val="a5"/>
        <w:rPr>
          <w:rtl/>
        </w:rPr>
      </w:pPr>
      <w:r>
        <w:rPr>
          <w:rStyle w:val="a7"/>
          <w:rtl/>
        </w:rPr>
        <w:footnoteRef/>
      </w:r>
      <w:r>
        <w:rPr>
          <w:rtl/>
        </w:rPr>
        <w:t xml:space="preserve"> </w:t>
      </w:r>
      <w:r>
        <w:rPr>
          <w:b/>
          <w:bCs/>
          <w:rtl/>
        </w:rPr>
        <w:t xml:space="preserve">ערקין כו'. </w:t>
      </w:r>
      <w:r>
        <w:rPr>
          <w:rtl/>
        </w:rPr>
        <w:t>כמו שאומר לקמן שבעין ערקין כו' והוא ראש לכולם:</w:t>
      </w:r>
    </w:p>
  </w:footnote>
  <w:footnote w:id="2836">
    <w:p w:rsidR="00A13282" w:rsidRDefault="00A13282" w:rsidP="002D629A">
      <w:pPr>
        <w:pStyle w:val="a5"/>
        <w:rPr>
          <w:rtl/>
        </w:rPr>
      </w:pPr>
      <w:r>
        <w:rPr>
          <w:rStyle w:val="a7"/>
          <w:rtl/>
        </w:rPr>
        <w:footnoteRef/>
      </w:r>
      <w:r>
        <w:rPr>
          <w:rtl/>
        </w:rPr>
        <w:t xml:space="preserve"> </w:t>
      </w:r>
      <w:r>
        <w:rPr>
          <w:b/>
          <w:bCs/>
          <w:rtl/>
        </w:rPr>
        <w:t xml:space="preserve">אתר דגזרת עירין. </w:t>
      </w:r>
      <w:r>
        <w:rPr>
          <w:rtl/>
        </w:rPr>
        <w:t>רוצה לומר דכל גזרת עירין הכל בא אל משריין דיליה שהן השומרים והוא נושא עונותם אליהם כי גחלים אתה חותה כו' ועיין בזוהר פרשת אחרי מות ס"ג ב' ופרשת אמור ק"ב א' וקב"ה אהדר לרישי דעמא כו' א"ר יוסי ווי לון לעמא דעשו בשעתא דהאי שעיר משדרי כו', וכן הוא בכבד וכמו שאמרו בזוהר פרשת פנחס רל"ב ב' וכל ההוא עכירו וטנופין ולכלוכא דאינון עובדין בישין אנח לכבד דאתמר ביה עשו איש שעיר וכל ערקין דיליה דאינון שאר עמין עובדי עבודת גלולים, הה"ד ונשא השעיר עליו את כל עונותם - עונות תם, דאתמר ביה ויעקב איש תם, וחובין דעמיה דאינון ערקין ודפקין דלבא, ובג"ד שחין וצרעת וספחת לכל אינון אברים מכבד אשתכחו מאלין לכלוכין כו' ומפסולת דפסולת דכבד נטיל טחול דאתמר ביה יהי מארת, מארת ה' בבית רשע, אמר רעיא מהימנא כו' א"ר פנחס אורחא כו' עיין שם בדבריו:</w:t>
      </w:r>
    </w:p>
  </w:footnote>
  <w:footnote w:id="2837">
    <w:p w:rsidR="00A13282" w:rsidRDefault="00A13282" w:rsidP="002D629A">
      <w:pPr>
        <w:pStyle w:val="a5"/>
        <w:rPr>
          <w:rtl/>
        </w:rPr>
      </w:pPr>
      <w:r>
        <w:rPr>
          <w:rStyle w:val="a7"/>
          <w:rtl/>
        </w:rPr>
        <w:footnoteRef/>
      </w:r>
      <w:r>
        <w:rPr>
          <w:rtl/>
        </w:rPr>
        <w:t xml:space="preserve"> </w:t>
      </w:r>
      <w:r>
        <w:rPr>
          <w:b/>
          <w:bCs/>
          <w:rtl/>
        </w:rPr>
        <w:t xml:space="preserve">שתי בנות כו'. </w:t>
      </w:r>
      <w:r>
        <w:rPr>
          <w:rtl/>
        </w:rPr>
        <w:t>והן שתי בנות לוט במדרש הנעלם פרשת וירא עיין שם בדבריו:</w:t>
      </w:r>
    </w:p>
  </w:footnote>
  <w:footnote w:id="2838">
    <w:p w:rsidR="00A13282" w:rsidRDefault="00A13282" w:rsidP="002D629A">
      <w:pPr>
        <w:pStyle w:val="a5"/>
        <w:rPr>
          <w:rtl/>
        </w:rPr>
      </w:pPr>
      <w:r>
        <w:rPr>
          <w:rStyle w:val="a7"/>
          <w:rtl/>
        </w:rPr>
        <w:footnoteRef/>
      </w:r>
      <w:r>
        <w:rPr>
          <w:rtl/>
        </w:rPr>
        <w:t xml:space="preserve"> </w:t>
      </w:r>
      <w:r>
        <w:rPr>
          <w:b/>
          <w:bCs/>
          <w:rtl/>
        </w:rPr>
        <w:t xml:space="preserve">כבד ויותרת ע"ב. </w:t>
      </w:r>
      <w:r>
        <w:rPr>
          <w:rtl/>
        </w:rPr>
        <w:t>נגד עשו וישמעאל כמו שאמרו בתיקון ל”ז, וכן בקדושה: אברהם ויצחק, אני והו, וכמו שבארנו במקום אחר:</w:t>
      </w:r>
    </w:p>
  </w:footnote>
  <w:footnote w:id="2839">
    <w:p w:rsidR="00A13282" w:rsidRDefault="00A13282" w:rsidP="002D629A">
      <w:pPr>
        <w:pStyle w:val="a5"/>
        <w:rPr>
          <w:rtl/>
        </w:rPr>
      </w:pPr>
      <w:r>
        <w:rPr>
          <w:rStyle w:val="a7"/>
          <w:rtl/>
        </w:rPr>
        <w:footnoteRef/>
      </w:r>
      <w:r>
        <w:rPr>
          <w:rtl/>
        </w:rPr>
        <w:t xml:space="preserve"> </w:t>
      </w:r>
      <w:r>
        <w:rPr>
          <w:b/>
          <w:bCs/>
          <w:rtl/>
        </w:rPr>
        <w:t xml:space="preserve">דשלטנותיה בגלותא כו'. </w:t>
      </w:r>
      <w:r>
        <w:rPr>
          <w:rtl/>
        </w:rPr>
        <w:t>כמו שכתוב (איכה א ה) היו צריכה לראש, ואינון ערב רב כמו שאומר למטה ושבעים ותרין אומין פלחי כוכביא - בכבד כנ"ל, ואלו השלשה לעתיד לבוא - בתש"ר יעברון מעלמא, ועיין לעיל מ"ה ומה שבארנו שם, וזה שאומר ובגלותא - שעתא אימא דערב רב ואיהי לילית הטחול נחש כנ"ל, ועיין ברעיא מהימנא פרשת פנחס שם אמר רעיא מהימנא והא אוקמוהו רבנן עליה טחול שוחק ואיהו שחוק הכסיל ובג"ד אוקמוהו רבנן אוי לו למי שהשעה משחקת לו, וקהלת אמר טוב כעס משחוק - טוב כעס דכבד דאיהי מרה רצועה דקב"ה רצועה לאלקאה בה צדיקיא בעלמא דין במרעין בישין במכתשין, משחוק דשחיק לון בטחול בלכלוכא דהאי עלמא דשוחק לון שעתא בעותרא, ועוד ארעיא מהימנא דטחול איהו זחיל עפר, ואיהו תקיף יתיר מארס דמרה, ובגין דערב רב אינון שאור שבעסה ואינון אומין דעלמא פלחי כוכביא דמיין למוץ, יתיר מעכבין בגלותא ערב רב לישראל מאומין עובדי עבודת גלולים, כמה דאוקמוה רבנן מי מעכב שאור שבעסה דאינון דבקין לישראל כשאור בעסה אבל אומין עובדי עבודת גלולים לאו אינון אלא כמוץ אשר תדפנו רוח כו', וזה שאומר ואיהו שחוק כו':</w:t>
      </w:r>
    </w:p>
  </w:footnote>
  <w:footnote w:id="2840">
    <w:p w:rsidR="00A13282" w:rsidRDefault="00A13282" w:rsidP="002D629A">
      <w:pPr>
        <w:pStyle w:val="a5"/>
        <w:rPr>
          <w:rtl/>
        </w:rPr>
      </w:pPr>
      <w:r>
        <w:rPr>
          <w:rStyle w:val="a7"/>
          <w:rtl/>
        </w:rPr>
        <w:footnoteRef/>
      </w:r>
      <w:r>
        <w:rPr>
          <w:rtl/>
        </w:rPr>
        <w:t xml:space="preserve"> </w:t>
      </w:r>
      <w:r>
        <w:rPr>
          <w:b/>
          <w:bCs/>
          <w:rtl/>
        </w:rPr>
        <w:t xml:space="preserve">כן יורד כו'. </w:t>
      </w:r>
      <w:r>
        <w:rPr>
          <w:rtl/>
        </w:rPr>
        <w:t>רוצה לומר בטחול דהוא שאול תחתית כנ"ל, אע"ג דמרה הוא גיהנם מכל מקום עולין ממנה, מה שאין כן בשאול, והוא על עסקי שחוק הטחול כמו שאמרו (ילקוט שמעוני בראשית לח סימן קמה) הכל כו' חוץ מהבא על אשת איש והמלבין והמכנה כו', ואמרו באשת איש (משנה סוטה א ד) הרבה שחוק עושה, ובמכנה ומלבין - כמתלהלה היורה כו' משחק אני, ועיין בזוהר פרשת פנחס רס"ו ב' היכלא שתיתאה כו' בגין דהכא קיימין כל אינון נשיקין בישין ותיאובתין בישין וכל עדונין דגופא בהאי עלמא, די באינון עדונין אתתרך בר נש מהאי עלמא ומעלמא דאתי, ועל האי היכלא כתיב כי נופת תטופנה שפתי זרה כו', והוא הטחול כנ"ל עיין שם בדבריו, ועיין מה שבארנו במקום אחר כי היורד למדור זה בגיהנם לא יעלה כמו שאמרו כלה כו' כנ"ל ואף שכתיב מוריד שאול כו' עיין שם, וכן הוא בטחול כד משיך לבר נש בליצנותא כתיב גרש לץ, אל תוכח לץ, וזה שאומר וי לנשמתא כו', ואמר כד בלע כנ"ל דצדיק ממנו בולע, רוצה לומר לצדיק שאינו גמור - צריך להתרחק ממושב לצים, כמו שאמרו (ע"ז יח ע"ב) הא למדת שמושב כו', ואמרו (פסחים קיב ע"ב) אל תדור בכשנציב, וכן תאות ועדוני העולם הזה יכול להתפתה מהן, וכן הערב רב לצדיק שאינו גמור - יכול לו, כמו שאמרו (ברכות ז ע"ב) אל תתגרה ברשע שהשעה משחקת לו, והוא שחוק הטחול כנ"ל, ואמר ובגיניה אתמר מוריד כו' - לתרץ שנמשך אחר שחוק הכסיל, וכמו שאמרו (ר"ה יז ע"א) ועליהן אמרה חנה מוריד כו', וכן בעולם הזה, אף שנפתה אחריהם - יכול לעלות, וכן צדיק שאינו גמור שנבלע בערב רב, אבל ערב רב עצמן - כלה ענן כו', וזה שאומר וי לישראל כו':</w:t>
      </w:r>
    </w:p>
  </w:footnote>
  <w:footnote w:id="2841">
    <w:p w:rsidR="00A13282" w:rsidRDefault="00A13282" w:rsidP="002D629A">
      <w:pPr>
        <w:pStyle w:val="a5"/>
        <w:rPr>
          <w:rtl/>
        </w:rPr>
      </w:pPr>
      <w:r>
        <w:rPr>
          <w:rStyle w:val="a7"/>
          <w:rtl/>
        </w:rPr>
        <w:footnoteRef/>
      </w:r>
      <w:r>
        <w:rPr>
          <w:rtl/>
        </w:rPr>
        <w:t xml:space="preserve"> </w:t>
      </w:r>
      <w:r>
        <w:rPr>
          <w:b/>
          <w:bCs/>
          <w:rtl/>
        </w:rPr>
        <w:t xml:space="preserve">ולא נודע כו'. </w:t>
      </w:r>
      <w:r>
        <w:rPr>
          <w:rtl/>
        </w:rPr>
        <w:t>דנשמתא, כאשר היא בלב אז היא נודע, דמנהגת הגוף לכל רעותה, אבל הטחול אף שנשמתא יורדת לתוכה - היא רע כאשר בתחלה, וכן הערב רב אף שהצדיקים מעורבין ביניהם אינן חוזרין כלל, ומראיהן רע כו' וזה שאומר דעלייהו כו':</w:t>
      </w:r>
    </w:p>
  </w:footnote>
  <w:footnote w:id="2842">
    <w:p w:rsidR="00A13282" w:rsidRDefault="00A13282" w:rsidP="002D629A">
      <w:pPr>
        <w:pStyle w:val="a5"/>
        <w:rPr>
          <w:rtl/>
        </w:rPr>
      </w:pPr>
      <w:r>
        <w:rPr>
          <w:rStyle w:val="a7"/>
          <w:rtl/>
        </w:rPr>
        <w:footnoteRef/>
      </w:r>
      <w:r>
        <w:rPr>
          <w:rtl/>
        </w:rPr>
        <w:t xml:space="preserve"> </w:t>
      </w:r>
      <w:r>
        <w:rPr>
          <w:b/>
          <w:bCs/>
          <w:rtl/>
        </w:rPr>
        <w:t xml:space="preserve">צריה ודאי. </w:t>
      </w:r>
      <w:r>
        <w:rPr>
          <w:rtl/>
        </w:rPr>
        <w:t>רוצה לומר דהן רישי עמא בגלותא כמו שאמרו בזוהר פרשת בראשית כ"ה א' ואינון עמלקים כו' בגלותא אינון רישין בקיומא סגי כו':</w:t>
      </w:r>
    </w:p>
  </w:footnote>
  <w:footnote w:id="2843">
    <w:p w:rsidR="00A13282" w:rsidRDefault="00A13282" w:rsidP="002D629A">
      <w:pPr>
        <w:pStyle w:val="a5"/>
        <w:rPr>
          <w:rtl/>
        </w:rPr>
      </w:pPr>
      <w:r>
        <w:rPr>
          <w:rStyle w:val="a7"/>
          <w:rtl/>
        </w:rPr>
        <w:footnoteRef/>
      </w:r>
      <w:r>
        <w:rPr>
          <w:rtl/>
        </w:rPr>
        <w:t xml:space="preserve"> </w:t>
      </w:r>
      <w:r>
        <w:rPr>
          <w:b/>
          <w:bCs/>
          <w:rtl/>
        </w:rPr>
        <w:t xml:space="preserve">אויבי' שלו כו'. </w:t>
      </w:r>
      <w:r>
        <w:rPr>
          <w:rtl/>
        </w:rPr>
        <w:t>הן ע"ב דכבד כנ"ל:</w:t>
      </w:r>
    </w:p>
  </w:footnote>
  <w:footnote w:id="2844">
    <w:p w:rsidR="00A13282" w:rsidRDefault="00A13282" w:rsidP="002D629A">
      <w:pPr>
        <w:pStyle w:val="a5"/>
        <w:rPr>
          <w:rtl/>
        </w:rPr>
      </w:pPr>
      <w:r>
        <w:rPr>
          <w:rStyle w:val="a7"/>
          <w:rtl/>
        </w:rPr>
        <w:footnoteRef/>
      </w:r>
      <w:r>
        <w:rPr>
          <w:rtl/>
        </w:rPr>
        <w:t xml:space="preserve"> </w:t>
      </w:r>
      <w:r>
        <w:rPr>
          <w:b/>
          <w:bCs/>
          <w:rtl/>
        </w:rPr>
        <w:t xml:space="preserve">ומאן כו' ובגין כו'. </w:t>
      </w:r>
      <w:r>
        <w:rPr>
          <w:rtl/>
        </w:rPr>
        <w:t>וכן הנשמה בכבד וטחול - על שם שהנשמה נתפתה אחריהם - גלת אח"כ בהם:</w:t>
      </w:r>
    </w:p>
  </w:footnote>
  <w:footnote w:id="2845">
    <w:p w:rsidR="00A13282" w:rsidRDefault="00A13282" w:rsidP="002D629A">
      <w:pPr>
        <w:pStyle w:val="a5"/>
        <w:rPr>
          <w:rtl/>
        </w:rPr>
      </w:pPr>
      <w:r>
        <w:rPr>
          <w:rStyle w:val="a7"/>
          <w:rtl/>
        </w:rPr>
        <w:footnoteRef/>
      </w:r>
      <w:r>
        <w:rPr>
          <w:rtl/>
        </w:rPr>
        <w:t xml:space="preserve"> </w:t>
      </w:r>
      <w:r>
        <w:rPr>
          <w:b/>
          <w:bCs/>
          <w:rtl/>
        </w:rPr>
        <w:t>הה"ד ויתערבו כו'.</w:t>
      </w:r>
      <w:r>
        <w:rPr>
          <w:rtl/>
        </w:rPr>
        <w:t xml:space="preserve"> רוצה לומר ויתערבו - בערב רב, בגוים - בגוים ממש:</w:t>
      </w:r>
    </w:p>
  </w:footnote>
  <w:footnote w:id="2846">
    <w:p w:rsidR="00A13282" w:rsidRDefault="00A13282" w:rsidP="002D629A">
      <w:pPr>
        <w:pStyle w:val="a5"/>
        <w:rPr>
          <w:rtl/>
        </w:rPr>
      </w:pPr>
      <w:r>
        <w:rPr>
          <w:rStyle w:val="a7"/>
          <w:rtl/>
        </w:rPr>
        <w:footnoteRef/>
      </w:r>
      <w:r>
        <w:rPr>
          <w:rtl/>
        </w:rPr>
        <w:t xml:space="preserve"> </w:t>
      </w:r>
      <w:r>
        <w:rPr>
          <w:b/>
          <w:bCs/>
          <w:rtl/>
        </w:rPr>
        <w:t>בג"ד נשמתא איהי כו'.</w:t>
      </w:r>
      <w:r>
        <w:rPr>
          <w:rtl/>
        </w:rPr>
        <w:t xml:space="preserve"> רוצה לומר וכן בנשמה, וכמו שאומר לקמן וכן בכנסת ישראל כמו הנשמה בגוף כן הוא השכינה בעולם וכנ"ל:</w:t>
      </w:r>
    </w:p>
  </w:footnote>
  <w:footnote w:id="2847">
    <w:p w:rsidR="00A13282" w:rsidRDefault="00A13282" w:rsidP="002D629A">
      <w:pPr>
        <w:pStyle w:val="a5"/>
        <w:rPr>
          <w:rtl/>
        </w:rPr>
      </w:pPr>
      <w:r>
        <w:rPr>
          <w:rStyle w:val="a7"/>
          <w:rtl/>
        </w:rPr>
        <w:footnoteRef/>
      </w:r>
      <w:r>
        <w:rPr>
          <w:rtl/>
        </w:rPr>
        <w:t xml:space="preserve"> </w:t>
      </w:r>
      <w:r>
        <w:rPr>
          <w:b/>
          <w:bCs/>
          <w:rtl/>
        </w:rPr>
        <w:t>או גרע כו'.</w:t>
      </w:r>
      <w:r>
        <w:rPr>
          <w:rtl/>
        </w:rPr>
        <w:t xml:space="preserve"> רוצה לומר אחד מרמ"ח מצוות עשה וכמו שאמרו (חגיגה ט ע"א) מעות כו' - במצוות לא תעשה, וחסרון כו' - במצוות עשה:</w:t>
      </w:r>
    </w:p>
  </w:footnote>
  <w:footnote w:id="2848">
    <w:p w:rsidR="00A13282" w:rsidRDefault="00A13282" w:rsidP="002D629A">
      <w:pPr>
        <w:pStyle w:val="a5"/>
        <w:rPr>
          <w:rtl/>
        </w:rPr>
      </w:pPr>
      <w:r>
        <w:rPr>
          <w:rStyle w:val="a7"/>
          <w:rtl/>
        </w:rPr>
        <w:footnoteRef/>
      </w:r>
      <w:r>
        <w:rPr>
          <w:rtl/>
        </w:rPr>
        <w:t xml:space="preserve"> </w:t>
      </w:r>
      <w:r>
        <w:rPr>
          <w:b/>
          <w:bCs/>
          <w:rtl/>
        </w:rPr>
        <w:t>כמה דאוקמוהו מ"מ כו'.</w:t>
      </w:r>
      <w:r>
        <w:rPr>
          <w:rtl/>
        </w:rPr>
        <w:t xml:space="preserve"> קאי על מה שאמר או גרע כו', ורוצה לומר או שהיא מטונף בחובין, או שאפילו שרק שעבירה הועילה לחסר מצוה אחת, וכמו שמפרש והולך בההוא אתר דשריא כו':</w:t>
      </w:r>
    </w:p>
  </w:footnote>
  <w:footnote w:id="2849">
    <w:p w:rsidR="00A13282" w:rsidRDefault="00A13282" w:rsidP="002D629A">
      <w:pPr>
        <w:pStyle w:val="a5"/>
        <w:rPr>
          <w:rtl/>
        </w:rPr>
      </w:pPr>
      <w:r>
        <w:rPr>
          <w:rStyle w:val="a7"/>
          <w:rtl/>
        </w:rPr>
        <w:footnoteRef/>
      </w:r>
      <w:r>
        <w:rPr>
          <w:rtl/>
        </w:rPr>
        <w:t xml:space="preserve"> </w:t>
      </w:r>
      <w:r>
        <w:rPr>
          <w:b/>
          <w:bCs/>
          <w:rtl/>
        </w:rPr>
        <w:t>אבל נשמתא כו' כיון כו' דעלה אתמר כו'.</w:t>
      </w:r>
      <w:r>
        <w:rPr>
          <w:rtl/>
        </w:rPr>
        <w:t xml:space="preserve"> וכן הוא בשכינתא בגלותא כמו שאומר לקמן נ' א' נ"א א' ואי תימא דשלטא על שכינתא כו':</w:t>
      </w:r>
    </w:p>
  </w:footnote>
  <w:footnote w:id="2850">
    <w:p w:rsidR="00A13282" w:rsidRDefault="00A13282" w:rsidP="002D629A">
      <w:pPr>
        <w:pStyle w:val="a5"/>
        <w:rPr>
          <w:rtl/>
        </w:rPr>
      </w:pPr>
      <w:r>
        <w:rPr>
          <w:rStyle w:val="a7"/>
          <w:rtl/>
        </w:rPr>
        <w:footnoteRef/>
      </w:r>
      <w:r>
        <w:rPr>
          <w:rtl/>
        </w:rPr>
        <w:t xml:space="preserve"> </w:t>
      </w:r>
      <w:r>
        <w:rPr>
          <w:b/>
          <w:bCs/>
          <w:rtl/>
        </w:rPr>
        <w:t>דנשמתא איהו יקרי' כו'.</w:t>
      </w:r>
      <w:r>
        <w:rPr>
          <w:rtl/>
        </w:rPr>
        <w:t xml:space="preserve"> רוצה לומר מה שכתוב וכבודי כו':</w:t>
      </w:r>
    </w:p>
  </w:footnote>
  <w:footnote w:id="2851">
    <w:p w:rsidR="00A13282" w:rsidRDefault="00A13282" w:rsidP="002D629A">
      <w:pPr>
        <w:pStyle w:val="a5"/>
        <w:rPr>
          <w:rtl/>
        </w:rPr>
      </w:pPr>
      <w:r>
        <w:rPr>
          <w:rStyle w:val="a7"/>
          <w:rtl/>
        </w:rPr>
        <w:footnoteRef/>
      </w:r>
      <w:r>
        <w:rPr>
          <w:rtl/>
        </w:rPr>
        <w:t xml:space="preserve"> </w:t>
      </w:r>
      <w:r>
        <w:rPr>
          <w:b/>
          <w:bCs/>
          <w:rtl/>
        </w:rPr>
        <w:t>לפסילים אלין כו'.</w:t>
      </w:r>
      <w:r>
        <w:rPr>
          <w:rtl/>
        </w:rPr>
        <w:t xml:space="preserve"> ואחר הוא אחר דכבד ויותרת וכמו שמפרש והולך:</w:t>
      </w:r>
    </w:p>
  </w:footnote>
  <w:footnote w:id="2852">
    <w:p w:rsidR="00A13282" w:rsidRDefault="00A13282" w:rsidP="002D629A">
      <w:pPr>
        <w:pStyle w:val="a5"/>
        <w:rPr>
          <w:rtl/>
        </w:rPr>
      </w:pPr>
      <w:r>
        <w:rPr>
          <w:rStyle w:val="a7"/>
          <w:rtl/>
        </w:rPr>
        <w:footnoteRef/>
      </w:r>
      <w:r>
        <w:rPr>
          <w:rtl/>
        </w:rPr>
        <w:t xml:space="preserve"> </w:t>
      </w:r>
      <w:r>
        <w:rPr>
          <w:b/>
          <w:bCs/>
          <w:rtl/>
        </w:rPr>
        <w:t>נאופין עם כו'.</w:t>
      </w:r>
      <w:r>
        <w:rPr>
          <w:rtl/>
        </w:rPr>
        <w:t xml:space="preserve"> רוצה לומר שבעים ערקין כמו שמפרש והולך והוא ניאוף, דטחול הוא בעלה ואיהי לא יהבא ליה אלא תמצית דתמצית, וזהו שחוק העולם הזה - תמצית דתמצית דיותרת, ויותרת מכבד, וכבד נוטל הלכלוכית מלב כנ"ל:</w:t>
      </w:r>
    </w:p>
  </w:footnote>
  <w:footnote w:id="2853">
    <w:p w:rsidR="00A13282" w:rsidRDefault="00A13282" w:rsidP="002D629A">
      <w:pPr>
        <w:pStyle w:val="a5"/>
        <w:rPr>
          <w:rtl/>
        </w:rPr>
      </w:pPr>
      <w:r>
        <w:rPr>
          <w:rStyle w:val="a7"/>
          <w:rtl/>
        </w:rPr>
        <w:footnoteRef/>
      </w:r>
      <w:r>
        <w:rPr>
          <w:rtl/>
        </w:rPr>
        <w:t xml:space="preserve"> </w:t>
      </w:r>
      <w:r>
        <w:rPr>
          <w:b/>
          <w:bCs/>
          <w:rtl/>
        </w:rPr>
        <w:t>בגין דלא יהיב אלא שיורין.</w:t>
      </w:r>
      <w:r>
        <w:rPr>
          <w:rtl/>
        </w:rPr>
        <w:t xml:space="preserve"> רוצה לומר בין לערקין וכל שכן לטחול:</w:t>
      </w:r>
    </w:p>
  </w:footnote>
  <w:footnote w:id="2854">
    <w:p w:rsidR="00A13282" w:rsidRDefault="00A13282" w:rsidP="002D629A">
      <w:pPr>
        <w:pStyle w:val="a5"/>
        <w:rPr>
          <w:rtl/>
        </w:rPr>
      </w:pPr>
      <w:r>
        <w:rPr>
          <w:rStyle w:val="a7"/>
          <w:rtl/>
        </w:rPr>
        <w:footnoteRef/>
      </w:r>
      <w:r>
        <w:rPr>
          <w:rtl/>
        </w:rPr>
        <w:t xml:space="preserve"> </w:t>
      </w:r>
      <w:r>
        <w:rPr>
          <w:b/>
          <w:bCs/>
          <w:rtl/>
        </w:rPr>
        <w:t>וכבד איהו קטרוגא דריאה כו' נחש איהו קטרוגא דלבא ועלה אתמר אפי' נחש כו' שרף איהו מרה קטרוגא דמוחא בגין דמרה כו'.</w:t>
      </w:r>
      <w:r>
        <w:rPr>
          <w:rtl/>
        </w:rPr>
        <w:t xml:space="preserve"> עיין מה שבארנו לעיל מ"ג א', ואמר אפילו נחש כו' רוצה לומר אפילו רדוף אחר התאוות, והרהורי התאוות רודפין אותו, מכל מקום לא יתבטל מהתפלה, אבל עקרב דהוא הכבד שהן נחש שרף ועקרב, ויותרת הוא צמאון אשר כו' דלא יהיב אלא תמצית, והן ארבעה גליות כידוע והיא האחרונה מארבעה אבות נזיקין שהיא תכלת, תכלית דכלהו כנ"ל בור, מים אין בו כו' (שבת כב ע"א), ונקרא עקרב כעס דכבד כמו שאומר לעיל נ"ב דעקר בית, וכמו שאמרו בזוהר פרשת תצוה דכעס עקר נשמתא כו', טורף נפשו באפו, ואמרו (ערובין סה ע"א) ביומא דרתח לא הוה מצלי, וזהו פוסק, ואמר בגין דמרה כו' רוצה לומר וסליק אף למוחא שמשם המעין דאשקי לגופא:</w:t>
      </w:r>
    </w:p>
  </w:footnote>
  <w:footnote w:id="2855">
    <w:p w:rsidR="00A13282" w:rsidRDefault="00A13282" w:rsidP="002D629A">
      <w:pPr>
        <w:pStyle w:val="a5"/>
        <w:rPr>
          <w:rtl/>
        </w:rPr>
      </w:pPr>
      <w:r>
        <w:rPr>
          <w:rStyle w:val="a7"/>
          <w:rtl/>
        </w:rPr>
        <w:footnoteRef/>
      </w:r>
      <w:r>
        <w:rPr>
          <w:rtl/>
        </w:rPr>
        <w:t xml:space="preserve"> </w:t>
      </w:r>
      <w:r>
        <w:rPr>
          <w:b/>
          <w:bCs/>
          <w:rtl/>
        </w:rPr>
        <w:t>בג"ד תקיעה כו'.</w:t>
      </w:r>
      <w:r>
        <w:rPr>
          <w:rtl/>
        </w:rPr>
        <w:t xml:space="preserve"> כנ"ל מ"ג א' וכבד דהוא אל אחר - בתרועה כו', וכן האומין שהן בכבד ומרה, וערב רב שהן בטחול, הן גם כן מתעברין בתשר"ת כמו שאמרו בזוהר ועיין בזוהר פרשת פנחס רל"א ב' וכדין כל ישראל בעאקו ונטלי שופר כו' ושם רל"ב א' נטלין שופר כו' בתרועה ותקיעה ושברים אתבסם כו':</w:t>
      </w:r>
    </w:p>
  </w:footnote>
  <w:footnote w:id="2856">
    <w:p w:rsidR="00A13282" w:rsidRDefault="00A13282" w:rsidP="002D629A">
      <w:pPr>
        <w:pStyle w:val="a5"/>
        <w:rPr>
          <w:rtl/>
        </w:rPr>
      </w:pPr>
      <w:r>
        <w:rPr>
          <w:rStyle w:val="a7"/>
          <w:rtl/>
        </w:rPr>
        <w:footnoteRef/>
      </w:r>
      <w:r>
        <w:rPr>
          <w:rtl/>
        </w:rPr>
        <w:t xml:space="preserve"> </w:t>
      </w:r>
      <w:r>
        <w:rPr>
          <w:b/>
          <w:bCs/>
          <w:rtl/>
        </w:rPr>
        <w:t>ירוקא דאנפין.</w:t>
      </w:r>
      <w:r>
        <w:rPr>
          <w:rtl/>
        </w:rPr>
        <w:t xml:space="preserve"> אע"ג דגווני דאנפין הן שתים: חוורו וסומקו, וכמו שאמרו דודי צח ואדום סהדותא דאו"א, מכל מקום נכלל ירוקא גם כן שם שהן שלושה מוחין, אלא שחורא וסומקא מכסין אותו, וכשהולכין החוורא וסומקא נשאר הירוקא, ועיין באידרא רבא קל"ג ב' פתח ר"ש ואמר כתפוח כו' בתלת גווני כו':</w:t>
      </w:r>
    </w:p>
  </w:footnote>
  <w:footnote w:id="2857">
    <w:p w:rsidR="00A13282" w:rsidRDefault="00A13282" w:rsidP="002D629A">
      <w:pPr>
        <w:pStyle w:val="a5"/>
        <w:rPr>
          <w:rtl/>
        </w:rPr>
      </w:pPr>
      <w:r>
        <w:rPr>
          <w:rStyle w:val="a7"/>
          <w:rtl/>
        </w:rPr>
        <w:footnoteRef/>
      </w:r>
      <w:r>
        <w:rPr>
          <w:rtl/>
        </w:rPr>
        <w:t xml:space="preserve"> </w:t>
      </w:r>
      <w:r>
        <w:rPr>
          <w:b/>
          <w:bCs/>
          <w:rtl/>
        </w:rPr>
        <w:t>ובה נפקין כו'.</w:t>
      </w:r>
      <w:r>
        <w:rPr>
          <w:rtl/>
        </w:rPr>
        <w:t xml:space="preserve"> רוצה לומר כגוון ירוק ורוצה לומר לכן נאמר אשרי העם יודעי תרועה, ובדעת - כי תמלא הארץ דעה, ובקול תרועת מלחמה, ונאמר (ירמיהו ל ו) ונהפכו כל פנים לירקון, ואמר כאשה עוברה כמו שכתוב (שם) שאלו וראו אם יולד זכר כו', ואמרו בסנהדרין צ"ח ב' פמליא של מעלה כו':</w:t>
      </w:r>
    </w:p>
  </w:footnote>
  <w:footnote w:id="2858">
    <w:p w:rsidR="00A13282" w:rsidRDefault="00A13282" w:rsidP="002D629A">
      <w:pPr>
        <w:pStyle w:val="a5"/>
        <w:rPr>
          <w:rtl/>
        </w:rPr>
      </w:pPr>
      <w:r>
        <w:rPr>
          <w:rStyle w:val="a7"/>
          <w:rtl/>
        </w:rPr>
        <w:footnoteRef/>
      </w:r>
      <w:r>
        <w:rPr>
          <w:rtl/>
        </w:rPr>
        <w:t xml:space="preserve"> </w:t>
      </w:r>
      <w:r>
        <w:rPr>
          <w:b/>
          <w:bCs/>
          <w:rtl/>
        </w:rPr>
        <w:t>ובאלין תלת כו' דאיהי נר כו'.</w:t>
      </w:r>
      <w:r>
        <w:rPr>
          <w:rtl/>
        </w:rPr>
        <w:t xml:space="preserve"> רוצה לומר נפש רוח - הוא נר, נשמת הוא הנשמה, והן שלשה גוונין דתש"ר: מוחא וריאה ולבא וכנ"ל מ"ג א', ואע"ג דה' כנ"ל מד' ואינון חיור כו' מפרש למטה דתכלת הוא גוון רביעי הכוללם, וכמו שלשה יסודות אמ"ש - דעפר כוללם ולא חשיב אלא אמ"ש, וגוון אוכם הוא קדרות וגלותא דלהון, וזה שאומר גוון אוכמא איהי כו' תכלת לבושא כו', והן ארבע אותיות הוי"ה כמו שמפרש והולך ותלת גוונין דשרגא כו' ובהון מתלבשין הו"ה, שהן מלמטה למעלה שהוא בנוק' וכמו שאומר לקמן בתיקון ס"ט ושאר מקומות ונכלל בתלת נר"ן כנ"ל ולכן אמר מאי אדם כו', הפנימית של הנר, שקיא דאילנא:</w:t>
      </w:r>
    </w:p>
  </w:footnote>
  <w:footnote w:id="2859">
    <w:p w:rsidR="00A13282" w:rsidRDefault="00A13282" w:rsidP="002D629A">
      <w:pPr>
        <w:pStyle w:val="a5"/>
        <w:rPr>
          <w:rtl/>
        </w:rPr>
      </w:pPr>
      <w:r>
        <w:rPr>
          <w:rStyle w:val="a7"/>
          <w:rtl/>
        </w:rPr>
        <w:footnoteRef/>
      </w:r>
      <w:r>
        <w:rPr>
          <w:rtl/>
        </w:rPr>
        <w:t xml:space="preserve"> </w:t>
      </w:r>
      <w:r>
        <w:rPr>
          <w:b/>
          <w:bCs/>
          <w:rtl/>
        </w:rPr>
        <w:t>ותלת גוונין כו' לתלת אבהן כו'.</w:t>
      </w:r>
      <w:r>
        <w:rPr>
          <w:rtl/>
        </w:rPr>
        <w:t xml:space="preserve"> כידוע ועיין בזוהר פרשת פנחס רט"ו א' ר"א אמר לעולם לא כו' ר' אבא אמר יאות הוא אבל הכי אמר כו':</w:t>
      </w:r>
    </w:p>
  </w:footnote>
  <w:footnote w:id="2860">
    <w:p w:rsidR="00A13282" w:rsidRDefault="00A13282" w:rsidP="002D629A">
      <w:pPr>
        <w:pStyle w:val="a5"/>
        <w:rPr>
          <w:rtl/>
        </w:rPr>
      </w:pPr>
      <w:r>
        <w:rPr>
          <w:rStyle w:val="a7"/>
          <w:rtl/>
        </w:rPr>
        <w:footnoteRef/>
      </w:r>
      <w:r>
        <w:rPr>
          <w:rtl/>
        </w:rPr>
        <w:t xml:space="preserve"> </w:t>
      </w:r>
      <w:r>
        <w:rPr>
          <w:b/>
          <w:bCs/>
          <w:rtl/>
        </w:rPr>
        <w:t>דאיהו תכלית דכלא.</w:t>
      </w:r>
      <w:r>
        <w:rPr>
          <w:rtl/>
        </w:rPr>
        <w:t xml:space="preserve"> ספירה אחרונה שלה, דכוללת הכל, והיא תכלית דכלא, שהכל בשבילה כמו שכתוב (יחזקאל כ ט) ואעש למען שמי, (תהלים קיח כב) אבן מאסו כו' לראש פנה, (יחזקאל א כו) אבן ספיר דמות כסא, (סוטה יז ע"א) תכלת דומה כו':</w:t>
      </w:r>
    </w:p>
  </w:footnote>
  <w:footnote w:id="2861">
    <w:p w:rsidR="00A13282" w:rsidRDefault="00A13282" w:rsidP="002D629A">
      <w:pPr>
        <w:pStyle w:val="a5"/>
        <w:rPr>
          <w:rtl/>
        </w:rPr>
      </w:pPr>
      <w:r>
        <w:rPr>
          <w:rStyle w:val="a7"/>
          <w:rtl/>
        </w:rPr>
        <w:footnoteRef/>
      </w:r>
      <w:r>
        <w:rPr>
          <w:rtl/>
        </w:rPr>
        <w:t xml:space="preserve"> </w:t>
      </w:r>
      <w:r>
        <w:rPr>
          <w:b/>
          <w:bCs/>
          <w:rtl/>
        </w:rPr>
        <w:t>נר איהו כו'.</w:t>
      </w:r>
      <w:r>
        <w:rPr>
          <w:rtl/>
        </w:rPr>
        <w:t xml:space="preserve"> עתה מפרש שם הוי"ה, ארבע אתוון, על כלל הנר, והכל הוא בנשמתא דאיהו נר כו', וזה שאומר למעלה מ"ד ב' בג"ד נשמתא כו' בההוא זמנא שריא בה שם ה' כו':</w:t>
      </w:r>
    </w:p>
  </w:footnote>
  <w:footnote w:id="2862">
    <w:p w:rsidR="00A13282" w:rsidRDefault="00A13282" w:rsidP="002D629A">
      <w:pPr>
        <w:pStyle w:val="a5"/>
        <w:rPr>
          <w:rtl/>
        </w:rPr>
      </w:pPr>
      <w:r>
        <w:rPr>
          <w:rStyle w:val="a7"/>
          <w:rtl/>
        </w:rPr>
        <w:footnoteRef/>
      </w:r>
      <w:r>
        <w:rPr>
          <w:rtl/>
        </w:rPr>
        <w:t xml:space="preserve"> </w:t>
      </w:r>
      <w:r>
        <w:rPr>
          <w:b/>
          <w:bCs/>
          <w:rtl/>
        </w:rPr>
        <w:t>ואית לי' תלת כו'.</w:t>
      </w:r>
      <w:r>
        <w:rPr>
          <w:rtl/>
        </w:rPr>
        <w:t xml:space="preserve"> שכן הוא בנר, כאשר אינה דולקת יפה והיא חשוכה - יש לה אלו שלשה הגוונין שמפרש והולך:</w:t>
      </w:r>
    </w:p>
  </w:footnote>
  <w:footnote w:id="2863">
    <w:p w:rsidR="00A13282" w:rsidRDefault="00A13282" w:rsidP="002D629A">
      <w:pPr>
        <w:pStyle w:val="a5"/>
        <w:rPr>
          <w:rtl/>
        </w:rPr>
      </w:pPr>
      <w:r>
        <w:rPr>
          <w:rStyle w:val="a7"/>
          <w:rtl/>
        </w:rPr>
        <w:footnoteRef/>
      </w:r>
      <w:r>
        <w:rPr>
          <w:rtl/>
        </w:rPr>
        <w:t xml:space="preserve"> </w:t>
      </w:r>
      <w:r>
        <w:rPr>
          <w:b/>
          <w:bCs/>
          <w:rtl/>
        </w:rPr>
        <w:t>ומראיהן שפל כו' גוון אוכם כו'.</w:t>
      </w:r>
      <w:r>
        <w:rPr>
          <w:rtl/>
        </w:rPr>
        <w:t xml:space="preserve"> מביא ראיה, שנאמר ושפלה כו' ונאמר כהה, והוא שחור כי היא שפלה מכל הגוונין, ולובשין אותה האבלים וכל בעלי הצער, והיא נטפלת על כל הגוונין, וכן הוא בטחול שהיא בשפל הגוף, שאול תחתית, וכן הוא מדרגה התחתונה לגלותא דנשמתא, והיא יסוד עפר שעליה נאמר ישפילנה עד עפר, התנערי מעפר, וכמו שבארנו להלן, וזה שאומר ואיהי שפלות כו':</w:t>
      </w:r>
    </w:p>
  </w:footnote>
  <w:footnote w:id="2864">
    <w:p w:rsidR="00A13282" w:rsidRDefault="00A13282" w:rsidP="002D629A">
      <w:pPr>
        <w:pStyle w:val="a5"/>
        <w:rPr>
          <w:rtl/>
        </w:rPr>
      </w:pPr>
      <w:r>
        <w:rPr>
          <w:rStyle w:val="a7"/>
          <w:rtl/>
        </w:rPr>
        <w:footnoteRef/>
      </w:r>
      <w:r>
        <w:rPr>
          <w:rtl/>
        </w:rPr>
        <w:t xml:space="preserve"> </w:t>
      </w:r>
      <w:r>
        <w:rPr>
          <w:b/>
          <w:bCs/>
          <w:rtl/>
        </w:rPr>
        <w:t>ותכלת לית בס"א בגין דאיהי דומה לכרסיא.</w:t>
      </w:r>
      <w:r>
        <w:rPr>
          <w:rtl/>
        </w:rPr>
        <w:t xml:space="preserve"> רוצה לומר דבנר חשוך אין שם מראה חוור ולא תכלת, ועל חוור לא הוצרך לפרש כי הוא מראה חסד, אור שהם חסרים ממנו ודאי, ועל זה אמרו מאימתי קורין את שמע בשחרית משיכיר כו'. דכיון שאלו שני המראות נראים, על כרחך הוא אור בהיר, אור היום, וכן בציצית אלו שנים: לבן ותכלת:</w:t>
      </w:r>
    </w:p>
  </w:footnote>
  <w:footnote w:id="2865">
    <w:p w:rsidR="00A13282" w:rsidRDefault="00A13282" w:rsidP="002D629A">
      <w:pPr>
        <w:pStyle w:val="a5"/>
        <w:rPr>
          <w:rtl/>
        </w:rPr>
      </w:pPr>
      <w:r>
        <w:rPr>
          <w:rStyle w:val="a7"/>
          <w:rtl/>
        </w:rPr>
        <w:footnoteRef/>
      </w:r>
      <w:r>
        <w:rPr>
          <w:rtl/>
        </w:rPr>
        <w:t xml:space="preserve"> </w:t>
      </w:r>
      <w:r>
        <w:rPr>
          <w:b/>
          <w:bCs/>
          <w:rtl/>
        </w:rPr>
        <w:t>בכבד כו'.</w:t>
      </w:r>
      <w:r>
        <w:rPr>
          <w:rtl/>
        </w:rPr>
        <w:t xml:space="preserve"> סדרן הוא: מרה כבד וטחול - לנר"ן:</w:t>
      </w:r>
    </w:p>
  </w:footnote>
  <w:footnote w:id="2866">
    <w:p w:rsidR="00A13282" w:rsidRDefault="00A13282" w:rsidP="002D629A">
      <w:pPr>
        <w:pStyle w:val="a5"/>
        <w:rPr>
          <w:rtl/>
        </w:rPr>
      </w:pPr>
      <w:r>
        <w:rPr>
          <w:rStyle w:val="a7"/>
          <w:rtl/>
        </w:rPr>
        <w:footnoteRef/>
      </w:r>
      <w:r>
        <w:rPr>
          <w:rtl/>
        </w:rPr>
        <w:t xml:space="preserve"> </w:t>
      </w:r>
      <w:r>
        <w:rPr>
          <w:b/>
          <w:bCs/>
          <w:rtl/>
        </w:rPr>
        <w:t>דבהאי יונה אתפרנסת כו'.</w:t>
      </w:r>
      <w:r>
        <w:rPr>
          <w:rtl/>
        </w:rPr>
        <w:t xml:space="preserve"> דתורים ובני יונה הן קרבנא כמו שאמרו בזוהר פרשת פנחס בסוד הקרבנות, ולקמן ס"ד קרבנא תליתאה כו' או שני בני יונה וגו' דאי זכו נשרא דיעקב נחית לקבלא לון כו':</w:t>
      </w:r>
    </w:p>
  </w:footnote>
  <w:footnote w:id="2867">
    <w:p w:rsidR="00A13282" w:rsidRDefault="00A13282" w:rsidP="002D629A">
      <w:pPr>
        <w:pStyle w:val="a5"/>
        <w:rPr>
          <w:rtl/>
        </w:rPr>
      </w:pPr>
      <w:r>
        <w:rPr>
          <w:rStyle w:val="a7"/>
          <w:rtl/>
        </w:rPr>
        <w:footnoteRef/>
      </w:r>
      <w:r>
        <w:rPr>
          <w:rtl/>
        </w:rPr>
        <w:t xml:space="preserve"> </w:t>
      </w:r>
      <w:r>
        <w:rPr>
          <w:b/>
          <w:bCs/>
          <w:rtl/>
        </w:rPr>
        <w:t>ספינה דיונה קרקפתא כו'.</w:t>
      </w:r>
      <w:r>
        <w:rPr>
          <w:rtl/>
        </w:rPr>
        <w:t xml:space="preserve"> כנ"ל דנשמתא איהי במוחא:</w:t>
      </w:r>
    </w:p>
  </w:footnote>
  <w:footnote w:id="2868">
    <w:p w:rsidR="00A13282" w:rsidRDefault="00A13282" w:rsidP="002D629A">
      <w:pPr>
        <w:pStyle w:val="a5"/>
        <w:rPr>
          <w:rtl/>
        </w:rPr>
      </w:pPr>
      <w:r>
        <w:rPr>
          <w:rStyle w:val="a7"/>
          <w:rtl/>
        </w:rPr>
        <w:footnoteRef/>
      </w:r>
      <w:r>
        <w:rPr>
          <w:rtl/>
        </w:rPr>
        <w:t xml:space="preserve"> </w:t>
      </w:r>
      <w:r>
        <w:rPr>
          <w:b/>
          <w:bCs/>
          <w:rtl/>
        </w:rPr>
        <w:t>וסלקין לשבעין כו'.</w:t>
      </w:r>
      <w:r>
        <w:rPr>
          <w:rtl/>
        </w:rPr>
        <w:t xml:space="preserve"> דכמו שהן שבעים אומין, כן הוא בישראל, שבעים משפחות, שבעים נפש, וכן הוא בגוף משמשין למוחא אלו שבעים, כל אחד כלול מעשר:</w:t>
      </w:r>
    </w:p>
  </w:footnote>
  <w:footnote w:id="2869">
    <w:p w:rsidR="00A13282" w:rsidRDefault="00A13282" w:rsidP="002D629A">
      <w:pPr>
        <w:pStyle w:val="a5"/>
        <w:rPr>
          <w:rtl/>
        </w:rPr>
      </w:pPr>
      <w:r>
        <w:rPr>
          <w:rStyle w:val="a7"/>
          <w:rtl/>
        </w:rPr>
        <w:footnoteRef/>
      </w:r>
      <w:r>
        <w:rPr>
          <w:rtl/>
        </w:rPr>
        <w:t xml:space="preserve"> </w:t>
      </w:r>
      <w:r>
        <w:rPr>
          <w:b/>
          <w:bCs/>
          <w:rtl/>
        </w:rPr>
        <w:t>דהוו בספינה דיונה.</w:t>
      </w:r>
      <w:r>
        <w:rPr>
          <w:rtl/>
        </w:rPr>
        <w:t xml:space="preserve"> כמו שאמרו בפרקי דר' אליעזר ושאר מקומות:</w:t>
      </w:r>
    </w:p>
  </w:footnote>
  <w:footnote w:id="2870">
    <w:p w:rsidR="00A13282" w:rsidRDefault="00A13282" w:rsidP="002D629A">
      <w:pPr>
        <w:pStyle w:val="a5"/>
        <w:rPr>
          <w:rtl/>
        </w:rPr>
      </w:pPr>
      <w:r>
        <w:rPr>
          <w:rStyle w:val="a7"/>
          <w:rtl/>
        </w:rPr>
        <w:footnoteRef/>
      </w:r>
      <w:r>
        <w:rPr>
          <w:rtl/>
        </w:rPr>
        <w:t xml:space="preserve"> </w:t>
      </w:r>
      <w:r>
        <w:rPr>
          <w:b/>
          <w:bCs/>
          <w:rtl/>
        </w:rPr>
        <w:t>ויונה איהי כו' נשרא כו'.</w:t>
      </w:r>
      <w:r>
        <w:rPr>
          <w:rtl/>
        </w:rPr>
        <w:t xml:space="preserve"> כמו בנשמתא ושכינתא תתאה, כן הוא בשכינתא תתאה ועלאה, דשכינתא תתאה - נשמתא דכלל ישראל, וכבד הוא דאומין פלחי כוכביא כנ"ל:</w:t>
      </w:r>
    </w:p>
  </w:footnote>
  <w:footnote w:id="2871">
    <w:p w:rsidR="00A13282" w:rsidRDefault="00A13282" w:rsidP="002D629A">
      <w:pPr>
        <w:pStyle w:val="a5"/>
        <w:rPr>
          <w:rtl/>
        </w:rPr>
      </w:pPr>
      <w:r>
        <w:rPr>
          <w:rStyle w:val="a7"/>
          <w:rtl/>
        </w:rPr>
        <w:footnoteRef/>
      </w:r>
      <w:r>
        <w:rPr>
          <w:rtl/>
        </w:rPr>
        <w:t xml:space="preserve"> </w:t>
      </w:r>
      <w:r>
        <w:rPr>
          <w:b/>
          <w:bCs/>
          <w:rtl/>
        </w:rPr>
        <w:t>דאיהי רוח סערה.</w:t>
      </w:r>
      <w:r>
        <w:rPr>
          <w:rtl/>
        </w:rPr>
        <w:t xml:space="preserve"> כמו שכתוב ויהי סער גדול כו':</w:t>
      </w:r>
    </w:p>
  </w:footnote>
  <w:footnote w:id="2872">
    <w:p w:rsidR="00A13282" w:rsidRDefault="00A13282" w:rsidP="002D629A">
      <w:pPr>
        <w:pStyle w:val="a5"/>
        <w:rPr>
          <w:rtl/>
        </w:rPr>
      </w:pPr>
      <w:r>
        <w:rPr>
          <w:rStyle w:val="a7"/>
          <w:rtl/>
        </w:rPr>
        <w:footnoteRef/>
      </w:r>
      <w:r>
        <w:rPr>
          <w:rtl/>
        </w:rPr>
        <w:t xml:space="preserve"> </w:t>
      </w:r>
      <w:r>
        <w:rPr>
          <w:b/>
          <w:bCs/>
          <w:rtl/>
        </w:rPr>
        <w:t>רוח ה' תניחהו בקדמיתא.</w:t>
      </w:r>
      <w:r>
        <w:rPr>
          <w:rtl/>
        </w:rPr>
        <w:t xml:space="preserve"> רוצה לומר בתחילה קודם גלותא, וכן בנשמתא - קודם גלותא מלבא לכבד כו', וכן בשכינתא - גלותא מירושלים דאיהי לבא כנ"ל מ"ג ב', והכלל שכל ענין השכינה בישראל כן הוא הנשמה בגוף:</w:t>
      </w:r>
    </w:p>
  </w:footnote>
  <w:footnote w:id="2873">
    <w:p w:rsidR="00A13282" w:rsidRDefault="00A13282" w:rsidP="002D629A">
      <w:pPr>
        <w:pStyle w:val="a5"/>
        <w:rPr>
          <w:rtl/>
        </w:rPr>
      </w:pPr>
      <w:r>
        <w:rPr>
          <w:rStyle w:val="a7"/>
          <w:rtl/>
        </w:rPr>
        <w:footnoteRef/>
      </w:r>
      <w:r>
        <w:rPr>
          <w:rtl/>
        </w:rPr>
        <w:t xml:space="preserve"> </w:t>
      </w:r>
      <w:r>
        <w:rPr>
          <w:b/>
          <w:bCs/>
          <w:rtl/>
        </w:rPr>
        <w:t>רוח דנשיב כו'.</w:t>
      </w:r>
      <w:r>
        <w:rPr>
          <w:rtl/>
        </w:rPr>
        <w:t xml:space="preserve"> רוצה לומר הפה הוא בינה, פתוחי חותם, ה' עלאה כידוע, ושתי שפוון הן שתי כנפיה דבהון סלקא צלותא וכמו שכתוב אם תשכבון בין שפתים, ואמר לקמן ובתיקוני זוהר חדש אל תקרי אם אלא אם, ורוח דנשיב בפה שע"י מגביה השפתים הוא עמודא דאמצעיתא דנקרא רוח, רוח היוצא מכנפי ריאה דעל ידו פרח נשרא:</w:t>
      </w:r>
    </w:p>
  </w:footnote>
  <w:footnote w:id="2874">
    <w:p w:rsidR="00A13282" w:rsidRDefault="00A13282" w:rsidP="002D629A">
      <w:pPr>
        <w:pStyle w:val="a5"/>
        <w:rPr>
          <w:rtl/>
        </w:rPr>
      </w:pPr>
      <w:r>
        <w:rPr>
          <w:rStyle w:val="a7"/>
          <w:rtl/>
        </w:rPr>
        <w:footnoteRef/>
      </w:r>
      <w:r>
        <w:rPr>
          <w:rtl/>
        </w:rPr>
        <w:t xml:space="preserve"> </w:t>
      </w:r>
      <w:r>
        <w:rPr>
          <w:b/>
          <w:bCs/>
          <w:rtl/>
        </w:rPr>
        <w:t>רוח דנשיב בכלהו כו'.</w:t>
      </w:r>
      <w:r>
        <w:rPr>
          <w:rtl/>
        </w:rPr>
        <w:t xml:space="preserve"> רוצה לומר בכל האברים כמו שכתוב ויפח באפיו כו', האף ניעור וחוטם ידוע שהוא בת"ת כמו שאומר לקמן בתיקון ע’ בענין ארבעה חושים ובזוהר חדש פרשת יתרו:</w:t>
      </w:r>
    </w:p>
  </w:footnote>
  <w:footnote w:id="2875">
    <w:p w:rsidR="00A13282" w:rsidRDefault="00A13282" w:rsidP="002D629A">
      <w:pPr>
        <w:pStyle w:val="a5"/>
        <w:rPr>
          <w:rtl/>
        </w:rPr>
      </w:pPr>
      <w:r>
        <w:rPr>
          <w:rStyle w:val="a7"/>
          <w:rtl/>
        </w:rPr>
        <w:footnoteRef/>
      </w:r>
      <w:r>
        <w:rPr>
          <w:rtl/>
        </w:rPr>
        <w:t xml:space="preserve"> </w:t>
      </w:r>
      <w:r>
        <w:rPr>
          <w:b/>
          <w:bCs/>
          <w:rtl/>
        </w:rPr>
        <w:t>האי רוח בכל אתר דאיהו.</w:t>
      </w:r>
      <w:r>
        <w:rPr>
          <w:rtl/>
        </w:rPr>
        <w:t xml:space="preserve"> רוצה לומר בכל מקום שהוא הרוח - תמן אשתכחו, שהוא הבריח התיכון מן העולם ועד העולם, והוא תאות גבעות עולם, שתי גבעות כו':</w:t>
      </w:r>
    </w:p>
  </w:footnote>
  <w:footnote w:id="2876">
    <w:p w:rsidR="00A13282" w:rsidRDefault="00A13282" w:rsidP="002D629A">
      <w:pPr>
        <w:pStyle w:val="a5"/>
        <w:rPr>
          <w:rtl/>
        </w:rPr>
      </w:pPr>
      <w:r>
        <w:rPr>
          <w:rStyle w:val="a7"/>
          <w:rtl/>
        </w:rPr>
        <w:footnoteRef/>
      </w:r>
      <w:r>
        <w:rPr>
          <w:rtl/>
        </w:rPr>
        <w:t xml:space="preserve"> </w:t>
      </w:r>
      <w:r>
        <w:rPr>
          <w:b/>
          <w:bCs/>
          <w:rtl/>
        </w:rPr>
        <w:t>ומחשבה רכיב עלייהו.</w:t>
      </w:r>
      <w:r>
        <w:rPr>
          <w:rtl/>
        </w:rPr>
        <w:t xml:space="preserve"> רוצה לומר שזה שכתוב נשמת אדם - דאדם על הנשמה, אדם על הכסא, והוא החיה, יו"ד של השם, והוא על אבן ספיר של מוחא שם האדם, והוא קאי גם אלמעלה - נשמתא במוחא רוח כו', ואמר נשמתא ונפשא בתרי כו' - שהן שני בתים, ה' ראשון ושני, כמו שאומר לקמן ריש תיקון כ”ב ס"ב א' ואינון ה' עילאה ה' כו', ואמר ואינון נפש ורוח כו' - מפרש דאלו תלת הן בקרא נר כו':</w:t>
      </w:r>
    </w:p>
  </w:footnote>
  <w:footnote w:id="2877">
    <w:p w:rsidR="00A13282" w:rsidRDefault="00A13282" w:rsidP="002D629A">
      <w:pPr>
        <w:pStyle w:val="a5"/>
        <w:rPr>
          <w:rtl/>
        </w:rPr>
      </w:pPr>
      <w:r>
        <w:rPr>
          <w:rStyle w:val="a7"/>
          <w:rtl/>
        </w:rPr>
        <w:footnoteRef/>
      </w:r>
      <w:r>
        <w:rPr>
          <w:rtl/>
        </w:rPr>
        <w:t xml:space="preserve"> </w:t>
      </w:r>
      <w:r>
        <w:rPr>
          <w:b/>
          <w:bCs/>
          <w:rtl/>
        </w:rPr>
        <w:t>והאי ו' איהו כו'.</w:t>
      </w:r>
      <w:r>
        <w:rPr>
          <w:rtl/>
        </w:rPr>
        <w:t xml:space="preserve"> רוצה לומר שכולל כל הגוף לכן הכל כליל בעמודא דאמצעיתא ונקרא הוי"ה כולל כל העשר ספירות, ולמעלה אמר במוחא וריאה ולבא שהן כלל הכל, אמ"ש, רב"ג, שלשה שמהן הכוללים, ואח"כ אמר בשלשה מוחין שהן ג"ר ואח"כ עמודא דאמצעיתא רוח בתרי דרועין חג"ת, ואח"כ יורד ביסוד ונשיב בתרי שוקין נה"י, ובלבא גם כן בשלשה כנ"ל דהיא כוללת תלת בסוד שם של י"ב והוא בתרי בתי לבא כו' כנ"ל, ואמר בשית פרקין דלהון להורות שהכל מרוח ו', והכל תלוי ברוח, רוח ה' תניחהו כנ"ל, והוא רוח האדם שבקרבו, וכן כל העולם עומד ברוח כמו שאמר ריב"ח לקיסר וכן כל העולם תלוי ברוח האדם, רוחי אשר עליך כו', ועל זה התחנן דוד ורוח נכון כו' ורוח קדשך אל כו' ורוח נדיבה תסמכני, וזה שאומר ועליה אתמר ונחה כו', וארבעה רוחין שם וכל רוח כולל שני קצוות כמו שבארנו בדרועין ובשוקין, וכן הוא במוחין שעקרן שנים כי דעת הוא הכוללם, וזהו (ישעיהו יא ב) רוח חכמה ובינה - בשני מוחין, חכמה ובינה, רוח עצה כו' רוח כו', והכלל הוא רוח ה', והוא שריא בלבא דהוא כוללם וממנו התפשט בכל ואליו חוזר כידוע, והן מה שכתוב (יחזקאל לז ט) מארבע הרוחות בואי הרוח ועיין בריש אידרא רבא בענין ארבע רוחות ובזוהר פרשת שמות:</w:t>
      </w:r>
    </w:p>
  </w:footnote>
  <w:footnote w:id="2878">
    <w:p w:rsidR="00A13282" w:rsidRDefault="00A13282" w:rsidP="002D629A">
      <w:pPr>
        <w:pStyle w:val="a5"/>
        <w:rPr>
          <w:rtl/>
        </w:rPr>
      </w:pPr>
      <w:r>
        <w:rPr>
          <w:rStyle w:val="a7"/>
          <w:rtl/>
        </w:rPr>
        <w:footnoteRef/>
      </w:r>
      <w:r>
        <w:rPr>
          <w:rtl/>
        </w:rPr>
        <w:t xml:space="preserve"> </w:t>
      </w:r>
      <w:r>
        <w:rPr>
          <w:b/>
          <w:bCs/>
          <w:rtl/>
        </w:rPr>
        <w:t>כד אברין כו' בפקודין כו'.</w:t>
      </w:r>
      <w:r>
        <w:rPr>
          <w:rtl/>
        </w:rPr>
        <w:t xml:space="preserve"> דהרוח הוא עמודא דאמצעיתא - שורה ע"י אורייתא ופקודין כמו שאומר למטה ועיין מה שבארנו שם:</w:t>
      </w:r>
    </w:p>
  </w:footnote>
  <w:footnote w:id="2879">
    <w:p w:rsidR="00A13282" w:rsidRDefault="00A13282" w:rsidP="002D629A">
      <w:pPr>
        <w:pStyle w:val="a5"/>
        <w:rPr>
          <w:rtl/>
        </w:rPr>
      </w:pPr>
      <w:r>
        <w:rPr>
          <w:rStyle w:val="a7"/>
          <w:rtl/>
        </w:rPr>
        <w:footnoteRef/>
      </w:r>
      <w:r>
        <w:rPr>
          <w:rtl/>
        </w:rPr>
        <w:t xml:space="preserve"> </w:t>
      </w:r>
      <w:r>
        <w:rPr>
          <w:b/>
          <w:bCs/>
          <w:rtl/>
        </w:rPr>
        <w:t>ספינה מתנהגת כו'.</w:t>
      </w:r>
      <w:r>
        <w:rPr>
          <w:rtl/>
        </w:rPr>
        <w:t xml:space="preserve"> דכל האברים הולכין אחר הלב:</w:t>
      </w:r>
    </w:p>
  </w:footnote>
  <w:footnote w:id="2880">
    <w:p w:rsidR="00A13282" w:rsidRDefault="00A13282" w:rsidP="002D629A">
      <w:pPr>
        <w:pStyle w:val="a5"/>
        <w:rPr>
          <w:rtl/>
        </w:rPr>
      </w:pPr>
      <w:r>
        <w:rPr>
          <w:rStyle w:val="a7"/>
          <w:rtl/>
        </w:rPr>
        <w:footnoteRef/>
      </w:r>
      <w:r>
        <w:rPr>
          <w:rtl/>
        </w:rPr>
        <w:t xml:space="preserve"> </w:t>
      </w:r>
      <w:r>
        <w:rPr>
          <w:b/>
          <w:bCs/>
          <w:rtl/>
        </w:rPr>
        <w:t>דספינה איהי רישא כו'.</w:t>
      </w:r>
      <w:r>
        <w:rPr>
          <w:rtl/>
        </w:rPr>
        <w:t xml:space="preserve"> רוצה לומר לכל שלשה חלקי הגוף - רב"ג, ראש - למוחא קרקפתא, גופא לריאה, וכן לבא דהוא בטן, ובכל אחד הגוף הוא ספינה לנפשא דשם, וכמו שאומר לקמן ספינה איהי קרקפתא כו':</w:t>
      </w:r>
    </w:p>
  </w:footnote>
  <w:footnote w:id="2881">
    <w:p w:rsidR="00A13282" w:rsidRDefault="00A13282" w:rsidP="002D629A">
      <w:pPr>
        <w:pStyle w:val="a5"/>
        <w:rPr>
          <w:rtl/>
        </w:rPr>
      </w:pPr>
      <w:r>
        <w:rPr>
          <w:rStyle w:val="a7"/>
          <w:rtl/>
        </w:rPr>
        <w:footnoteRef/>
      </w:r>
      <w:r>
        <w:rPr>
          <w:rtl/>
        </w:rPr>
        <w:t xml:space="preserve"> </w:t>
      </w:r>
      <w:r>
        <w:rPr>
          <w:b/>
          <w:bCs/>
          <w:rtl/>
        </w:rPr>
        <w:t>ואם כו' דאינון מארי כו'.</w:t>
      </w:r>
      <w:r>
        <w:rPr>
          <w:rtl/>
        </w:rPr>
        <w:t xml:space="preserve"> שהן עשרה שליטים כו':</w:t>
      </w:r>
    </w:p>
  </w:footnote>
  <w:footnote w:id="2882">
    <w:p w:rsidR="00A13282" w:rsidRDefault="00A13282" w:rsidP="002D629A">
      <w:pPr>
        <w:pStyle w:val="a5"/>
        <w:rPr>
          <w:rtl/>
        </w:rPr>
      </w:pPr>
      <w:r>
        <w:rPr>
          <w:rStyle w:val="a7"/>
          <w:rtl/>
        </w:rPr>
        <w:footnoteRef/>
      </w:r>
      <w:r>
        <w:rPr>
          <w:rtl/>
        </w:rPr>
        <w:t xml:space="preserve"> </w:t>
      </w:r>
      <w:r>
        <w:rPr>
          <w:b/>
          <w:bCs/>
          <w:rtl/>
        </w:rPr>
        <w:t>דאינון עמא קדישא.</w:t>
      </w:r>
      <w:r>
        <w:rPr>
          <w:rtl/>
        </w:rPr>
        <w:t xml:space="preserve"> שהן הנה מטתו שלשלמה ששים כו', והן עשרה באמצעיתא כמו שאמר השי"ת לאברהם את החתי כו':</w:t>
      </w:r>
    </w:p>
  </w:footnote>
  <w:footnote w:id="2883">
    <w:p w:rsidR="00A13282" w:rsidRDefault="00A13282" w:rsidP="002D629A">
      <w:pPr>
        <w:pStyle w:val="a5"/>
        <w:rPr>
          <w:rtl/>
        </w:rPr>
      </w:pPr>
      <w:r>
        <w:rPr>
          <w:rStyle w:val="a7"/>
          <w:rtl/>
        </w:rPr>
        <w:footnoteRef/>
      </w:r>
      <w:r>
        <w:rPr>
          <w:rtl/>
        </w:rPr>
        <w:t xml:space="preserve"> </w:t>
      </w:r>
      <w:r>
        <w:rPr>
          <w:b/>
          <w:bCs/>
          <w:rtl/>
        </w:rPr>
        <w:t>באורייתא כו'.</w:t>
      </w:r>
      <w:r>
        <w:rPr>
          <w:rtl/>
        </w:rPr>
        <w:t xml:space="preserve"> דע"י התורה והמצוה זוכה האדם לרוח אלקים, דבכל אתר דאיהו שכינתא עילאה ותתאה כו' כנ"ל, ותורה היא בבינה, ימא דאורייתא, אנכי דמתן תורה, ומה שבארנו במקום אחר דהוא בעמודא דאמצעיתא משום דהיא שריא ביה:</w:t>
      </w:r>
    </w:p>
  </w:footnote>
  <w:footnote w:id="2884">
    <w:p w:rsidR="00A13282" w:rsidRDefault="00A13282" w:rsidP="002D629A">
      <w:pPr>
        <w:pStyle w:val="a5"/>
        <w:rPr>
          <w:rtl/>
        </w:rPr>
      </w:pPr>
      <w:r>
        <w:rPr>
          <w:rStyle w:val="a7"/>
          <w:rtl/>
        </w:rPr>
        <w:footnoteRef/>
      </w:r>
      <w:r>
        <w:rPr>
          <w:rtl/>
        </w:rPr>
        <w:t xml:space="preserve"> </w:t>
      </w:r>
      <w:r>
        <w:rPr>
          <w:b/>
          <w:bCs/>
          <w:rtl/>
        </w:rPr>
        <w:t>פרח כו'.</w:t>
      </w:r>
      <w:r>
        <w:rPr>
          <w:rtl/>
        </w:rPr>
        <w:t xml:space="preserve"> דאינו יכול להיות בלעדם ועיין לקמן ק"א א':</w:t>
      </w:r>
    </w:p>
  </w:footnote>
  <w:footnote w:id="2885">
    <w:p w:rsidR="00A13282" w:rsidRDefault="00A13282" w:rsidP="002D629A">
      <w:pPr>
        <w:pStyle w:val="a5"/>
        <w:rPr>
          <w:rtl/>
        </w:rPr>
      </w:pPr>
      <w:r>
        <w:rPr>
          <w:rStyle w:val="a7"/>
          <w:rtl/>
        </w:rPr>
        <w:footnoteRef/>
      </w:r>
      <w:r>
        <w:rPr>
          <w:rtl/>
        </w:rPr>
        <w:t xml:space="preserve"> </w:t>
      </w:r>
      <w:r>
        <w:rPr>
          <w:b/>
          <w:bCs/>
          <w:rtl/>
        </w:rPr>
        <w:t>בההוא זמנא וה' כו'.</w:t>
      </w:r>
      <w:r>
        <w:rPr>
          <w:rtl/>
        </w:rPr>
        <w:t xml:space="preserve"> דס"א - מיד כשרוח דקדישא מסתלק - היא שורה תיכף כידוע בהרבה מקומות:</w:t>
      </w:r>
    </w:p>
  </w:footnote>
  <w:footnote w:id="2886">
    <w:p w:rsidR="00A13282" w:rsidRDefault="00A13282" w:rsidP="002D629A">
      <w:pPr>
        <w:pStyle w:val="a5"/>
        <w:rPr>
          <w:rtl/>
        </w:rPr>
      </w:pPr>
      <w:r>
        <w:rPr>
          <w:rStyle w:val="a7"/>
          <w:rtl/>
        </w:rPr>
        <w:footnoteRef/>
      </w:r>
      <w:r>
        <w:rPr>
          <w:rtl/>
        </w:rPr>
        <w:t xml:space="preserve"> </w:t>
      </w:r>
      <w:r>
        <w:rPr>
          <w:b/>
          <w:bCs/>
          <w:rtl/>
        </w:rPr>
        <w:t>דסער' גופא דב"נ דאינון כו'.</w:t>
      </w:r>
      <w:r>
        <w:rPr>
          <w:rtl/>
        </w:rPr>
        <w:t xml:space="preserve"> רוצה לומר דקאי על שניהם וכנ"ל דהכל ענין אחד והוא כפשוטו כמו שאמרו בריש פרשת ויקהל דסעיר לגופא ומחלה אותו, ועיקר הענין על נשמתא דגלת לטחול, והוא מרגלותיו, דשכיבת לעפר דהוא זוחלי עפר, ארס דנחש, יסוד העפר, מרה שחורה, וזה שאומר ותגל מרגלותיו רוצה לומר דגלת למרגלותיו כמו שאומר לקמן תיקון ל”א והוא גלות היותר שפל כמו שאמרו בפ"ד דראש השנה (דף לא ע"א, עיי"ש, ג.פ.), וכן הוא בישראל ושכינה כאשר הן בערב רב כנ"ל:</w:t>
      </w:r>
    </w:p>
  </w:footnote>
  <w:footnote w:id="2887">
    <w:p w:rsidR="00A13282" w:rsidRDefault="00A13282" w:rsidP="002D629A">
      <w:pPr>
        <w:pStyle w:val="a5"/>
        <w:rPr>
          <w:rtl/>
        </w:rPr>
      </w:pPr>
      <w:r>
        <w:rPr>
          <w:rStyle w:val="a7"/>
          <w:rtl/>
        </w:rPr>
        <w:footnoteRef/>
      </w:r>
      <w:r>
        <w:rPr>
          <w:rtl/>
        </w:rPr>
        <w:t xml:space="preserve"> </w:t>
      </w:r>
      <w:r>
        <w:rPr>
          <w:b/>
          <w:bCs/>
          <w:rtl/>
        </w:rPr>
        <w:t>ועוד מאן רב כו'.</w:t>
      </w:r>
      <w:r>
        <w:rPr>
          <w:rtl/>
        </w:rPr>
        <w:t xml:space="preserve"> דפירוש הראשון הוא על האדם והשני על השכינה:</w:t>
      </w:r>
    </w:p>
  </w:footnote>
  <w:footnote w:id="2888">
    <w:p w:rsidR="00A13282" w:rsidRDefault="00A13282" w:rsidP="002D629A">
      <w:pPr>
        <w:pStyle w:val="a5"/>
        <w:rPr>
          <w:rtl/>
        </w:rPr>
      </w:pPr>
      <w:r>
        <w:rPr>
          <w:rStyle w:val="a7"/>
          <w:rtl/>
        </w:rPr>
        <w:footnoteRef/>
      </w:r>
      <w:r>
        <w:rPr>
          <w:rtl/>
        </w:rPr>
        <w:t xml:space="preserve"> </w:t>
      </w:r>
      <w:r>
        <w:rPr>
          <w:b/>
          <w:bCs/>
          <w:rtl/>
        </w:rPr>
        <w:t>אם חבל כו'.</w:t>
      </w:r>
      <w:r>
        <w:rPr>
          <w:rtl/>
        </w:rPr>
        <w:t xml:space="preserve"> כמו דהוא חביל גופא כן בית המקדש שהוא בית חיינו, ועד בא השמש כו' - ביום הששי, ועיין בזוהר פרשת בלק בזוהר חדש:</w:t>
      </w:r>
    </w:p>
  </w:footnote>
  <w:footnote w:id="2889">
    <w:p w:rsidR="00A13282" w:rsidRDefault="00A13282" w:rsidP="002D629A">
      <w:pPr>
        <w:pStyle w:val="a5"/>
        <w:rPr>
          <w:rtl/>
        </w:rPr>
      </w:pPr>
      <w:r>
        <w:rPr>
          <w:rStyle w:val="a7"/>
          <w:rtl/>
        </w:rPr>
        <w:footnoteRef/>
      </w:r>
      <w:r>
        <w:rPr>
          <w:rtl/>
        </w:rPr>
        <w:t xml:space="preserve"> </w:t>
      </w:r>
      <w:r>
        <w:rPr>
          <w:b/>
          <w:bCs/>
          <w:rtl/>
        </w:rPr>
        <w:t>ואיהו רב דכל כו'.</w:t>
      </w:r>
      <w:r>
        <w:rPr>
          <w:rtl/>
        </w:rPr>
        <w:t xml:space="preserve"> כמו שכתוב (קהלת ט יד) ובא אליה מלך גדול כו', ויצר הרע מזהיר אח"כ בעצמו לבר נש וכן לכלל ישראל ושכינה, וזהו החרטה אחר העבירה וכידוע:</w:t>
      </w:r>
    </w:p>
  </w:footnote>
  <w:footnote w:id="2890">
    <w:p w:rsidR="00A13282" w:rsidRDefault="00A13282" w:rsidP="002D629A">
      <w:pPr>
        <w:pStyle w:val="a5"/>
        <w:rPr>
          <w:rtl/>
        </w:rPr>
      </w:pPr>
      <w:r>
        <w:rPr>
          <w:rStyle w:val="a7"/>
          <w:rtl/>
        </w:rPr>
        <w:footnoteRef/>
      </w:r>
      <w:r>
        <w:rPr>
          <w:rtl/>
        </w:rPr>
        <w:t xml:space="preserve"> </w:t>
      </w:r>
      <w:r>
        <w:rPr>
          <w:b/>
          <w:bCs/>
          <w:rtl/>
        </w:rPr>
        <w:t>דאינון סחרין כו'.</w:t>
      </w:r>
      <w:r>
        <w:rPr>
          <w:rtl/>
        </w:rPr>
        <w:t xml:space="preserve"> כמו שאמרו בפרקי דר’ אליעזר שהיה סובב הרוח לכל אותה הספינה, וזה שאומר דאינון רוחין כו':</w:t>
      </w:r>
    </w:p>
  </w:footnote>
  <w:footnote w:id="2891">
    <w:p w:rsidR="00A13282" w:rsidRDefault="00A13282" w:rsidP="002D629A">
      <w:pPr>
        <w:pStyle w:val="a5"/>
        <w:rPr>
          <w:rtl/>
        </w:rPr>
      </w:pPr>
      <w:r>
        <w:rPr>
          <w:rStyle w:val="a7"/>
          <w:rtl/>
        </w:rPr>
        <w:footnoteRef/>
      </w:r>
      <w:r>
        <w:rPr>
          <w:rtl/>
        </w:rPr>
        <w:t xml:space="preserve"> </w:t>
      </w:r>
      <w:r>
        <w:rPr>
          <w:b/>
          <w:bCs/>
          <w:rtl/>
        </w:rPr>
        <w:t>אסתכל בזכוון כו'.</w:t>
      </w:r>
      <w:r>
        <w:rPr>
          <w:rtl/>
        </w:rPr>
        <w:t xml:space="preserve"> רוצה לומר זה שכתוב מה מלאכתך, וכמו שאמרו בריש פרשת ויקהל שם מה מלאכתך דאתעסקת בהאי עלמא כו' עיין שם בדבריו:</w:t>
      </w:r>
    </w:p>
  </w:footnote>
  <w:footnote w:id="2892">
    <w:p w:rsidR="00A13282" w:rsidRDefault="00A13282" w:rsidP="002D629A">
      <w:pPr>
        <w:pStyle w:val="a5"/>
        <w:rPr>
          <w:rtl/>
        </w:rPr>
      </w:pPr>
      <w:r>
        <w:rPr>
          <w:rStyle w:val="a7"/>
          <w:rtl/>
        </w:rPr>
        <w:footnoteRef/>
      </w:r>
      <w:r>
        <w:rPr>
          <w:rtl/>
        </w:rPr>
        <w:t xml:space="preserve"> </w:t>
      </w:r>
      <w:r>
        <w:rPr>
          <w:b/>
          <w:bCs/>
          <w:rtl/>
        </w:rPr>
        <w:t>באלין אברים דישתדלון באורייתא ובפקודין.</w:t>
      </w:r>
      <w:r>
        <w:rPr>
          <w:rtl/>
        </w:rPr>
        <w:t xml:space="preserve"> כמו שמפרש והולך ויחזרון כו' דאיהו תיובתא כו', ובכלל ישראל ושכינה דאסתלקת שכינתא עילאה מינייהו כנ"ל, ואמר דיחזרון בתשובה והיא תחזור עליהם דהיא נקראת תשובה, וכן הוא באדם, ועיקר התשובה - תורה ומעשים טובים כמו שאמרו בזוהר פרשת נשא ברעיא מהימנא בארוכה, וזה שאומר דישתדלון ומפרש מה מלאכתך - דיראה במעשיו הקדומים ויחזור בתשובה וכמו שאמרו בזוהר פרשת ויקהל שם אסתכל במילין אלין ותוב למארך כו':</w:t>
      </w:r>
    </w:p>
  </w:footnote>
  <w:footnote w:id="2893">
    <w:p w:rsidR="00A13282" w:rsidRDefault="00A13282" w:rsidP="002D629A">
      <w:pPr>
        <w:pStyle w:val="a5"/>
        <w:rPr>
          <w:rtl/>
        </w:rPr>
      </w:pPr>
      <w:r>
        <w:rPr>
          <w:rStyle w:val="a7"/>
          <w:rtl/>
        </w:rPr>
        <w:footnoteRef/>
      </w:r>
      <w:r>
        <w:rPr>
          <w:rtl/>
        </w:rPr>
        <w:t xml:space="preserve"> </w:t>
      </w:r>
      <w:r>
        <w:rPr>
          <w:b/>
          <w:bCs/>
          <w:rtl/>
        </w:rPr>
        <w:t>ואיהי אגינת עלך.</w:t>
      </w:r>
      <w:r>
        <w:rPr>
          <w:rtl/>
        </w:rPr>
        <w:t xml:space="preserve"> כמו שאמרו (משנה אבות ד יא) תשובה ומעשים טובים כתריס בפני הפורענות, ואיהי עלמא דחירו דשם אין שטן ואין כו', ואיהי נשרא כנ"ל ונשרא לא דחיל מכל עופין דעלמא ועיין בתיקוני זוהר חדש ע"ד ב':</w:t>
      </w:r>
    </w:p>
  </w:footnote>
  <w:footnote w:id="2894">
    <w:p w:rsidR="00A13282" w:rsidRDefault="00A13282" w:rsidP="002D629A">
      <w:pPr>
        <w:pStyle w:val="a5"/>
        <w:rPr>
          <w:rtl/>
        </w:rPr>
      </w:pPr>
      <w:r>
        <w:rPr>
          <w:rStyle w:val="a7"/>
          <w:rtl/>
        </w:rPr>
        <w:footnoteRef/>
      </w:r>
      <w:r>
        <w:rPr>
          <w:rtl/>
        </w:rPr>
        <w:t xml:space="preserve"> </w:t>
      </w:r>
      <w:r>
        <w:rPr>
          <w:b/>
          <w:bCs/>
          <w:rtl/>
        </w:rPr>
        <w:t>דא ירושלים.</w:t>
      </w:r>
      <w:r>
        <w:rPr>
          <w:rtl/>
        </w:rPr>
        <w:t xml:space="preserve"> רוצה לומר הקן של הנשר:</w:t>
      </w:r>
    </w:p>
  </w:footnote>
  <w:footnote w:id="2895">
    <w:p w:rsidR="00A13282" w:rsidRDefault="00A13282" w:rsidP="002D629A">
      <w:pPr>
        <w:pStyle w:val="a5"/>
        <w:rPr>
          <w:rtl/>
        </w:rPr>
      </w:pPr>
      <w:r>
        <w:rPr>
          <w:rStyle w:val="a7"/>
          <w:rtl/>
        </w:rPr>
        <w:footnoteRef/>
      </w:r>
      <w:r>
        <w:rPr>
          <w:rtl/>
        </w:rPr>
        <w:t xml:space="preserve"> </w:t>
      </w:r>
      <w:r>
        <w:rPr>
          <w:b/>
          <w:bCs/>
          <w:rtl/>
        </w:rPr>
        <w:t>דאינון ישראל.</w:t>
      </w:r>
      <w:r>
        <w:rPr>
          <w:rtl/>
        </w:rPr>
        <w:t xml:space="preserve"> שהן בדרגא דישראל דלעילא, עמודא דאמצעיתא, שית גוזלין דאימא ועיין לעיל ב' ב' אפרוחים דילה תלת הדסים ותרי כו', ובזוהר פרשת פנחס על פסוק וביום הבכורים כו':</w:t>
      </w:r>
    </w:p>
  </w:footnote>
  <w:footnote w:id="2896">
    <w:p w:rsidR="00A13282" w:rsidRDefault="00A13282" w:rsidP="002D629A">
      <w:pPr>
        <w:pStyle w:val="a5"/>
        <w:rPr>
          <w:rtl/>
        </w:rPr>
      </w:pPr>
      <w:r>
        <w:rPr>
          <w:rStyle w:val="a7"/>
          <w:rtl/>
        </w:rPr>
        <w:footnoteRef/>
      </w:r>
      <w:r>
        <w:rPr>
          <w:rtl/>
        </w:rPr>
        <w:t xml:space="preserve"> </w:t>
      </w:r>
      <w:r>
        <w:rPr>
          <w:b/>
          <w:bCs/>
          <w:rtl/>
        </w:rPr>
        <w:t>בשבת וי"ט.</w:t>
      </w:r>
      <w:r>
        <w:rPr>
          <w:rtl/>
        </w:rPr>
        <w:t xml:space="preserve"> דלכן הם אסורים במלאכה דשם עלמא דחירו ונפקי מכלל עשיה, ששה ימים הן ו"ק, וכמו שבארנו במקום אחר:</w:t>
      </w:r>
    </w:p>
  </w:footnote>
  <w:footnote w:id="2897">
    <w:p w:rsidR="00A13282" w:rsidRDefault="00A13282" w:rsidP="002D629A">
      <w:pPr>
        <w:pStyle w:val="a5"/>
        <w:rPr>
          <w:rtl/>
        </w:rPr>
      </w:pPr>
      <w:r>
        <w:rPr>
          <w:rStyle w:val="a7"/>
          <w:rtl/>
        </w:rPr>
        <w:footnoteRef/>
      </w:r>
      <w:r>
        <w:rPr>
          <w:rtl/>
        </w:rPr>
        <w:t xml:space="preserve"> </w:t>
      </w:r>
      <w:r>
        <w:rPr>
          <w:b/>
          <w:bCs/>
          <w:rtl/>
        </w:rPr>
        <w:t>סכת שלום.</w:t>
      </w:r>
      <w:r>
        <w:rPr>
          <w:rtl/>
        </w:rPr>
        <w:t xml:space="preserve"> עיין לעיל ב' ב' ועל קן דצפורא - לשון סכך, שמסככת בה אימא על בניה, אפרוחים דילה תלת כו' כנ"ל, סוכה רמיזא לאימא דמסככת עלייהו עיין שם:</w:t>
      </w:r>
    </w:p>
  </w:footnote>
  <w:footnote w:id="2898">
    <w:p w:rsidR="00A13282" w:rsidRDefault="00A13282" w:rsidP="002D629A">
      <w:pPr>
        <w:pStyle w:val="a5"/>
        <w:rPr>
          <w:rtl/>
        </w:rPr>
      </w:pPr>
      <w:r>
        <w:rPr>
          <w:rStyle w:val="a7"/>
          <w:rtl/>
        </w:rPr>
        <w:footnoteRef/>
      </w:r>
      <w:r>
        <w:rPr>
          <w:rtl/>
        </w:rPr>
        <w:t xml:space="preserve"> </w:t>
      </w:r>
      <w:r>
        <w:rPr>
          <w:b/>
          <w:bCs/>
          <w:rtl/>
        </w:rPr>
        <w:t>ותוב בה למארך.</w:t>
      </w:r>
      <w:r>
        <w:rPr>
          <w:rtl/>
        </w:rPr>
        <w:t xml:space="preserve"> כמו שאמרו ברעיא מהימנא פרשת נשא תשובה - תשוב ה', והוא כאן ה' עלאה על ו', ואמר למעלה ואם עשרה כו' פרח רוחא דאיהו קב"ה מינייהו:</w:t>
      </w:r>
    </w:p>
  </w:footnote>
  <w:footnote w:id="2899">
    <w:p w:rsidR="00A13282" w:rsidRDefault="00A13282" w:rsidP="002D629A">
      <w:pPr>
        <w:pStyle w:val="a5"/>
        <w:rPr>
          <w:rtl/>
        </w:rPr>
      </w:pPr>
      <w:r>
        <w:rPr>
          <w:rStyle w:val="a7"/>
          <w:rtl/>
        </w:rPr>
        <w:footnoteRef/>
      </w:r>
      <w:r>
        <w:rPr>
          <w:rtl/>
        </w:rPr>
        <w:t xml:space="preserve"> </w:t>
      </w:r>
      <w:r>
        <w:rPr>
          <w:b/>
          <w:bCs/>
          <w:rtl/>
        </w:rPr>
        <w:t>אסתכל כו'.</w:t>
      </w:r>
      <w:r>
        <w:rPr>
          <w:rtl/>
        </w:rPr>
        <w:t xml:space="preserve"> רוצה לומר זה שאומר מאין תבוא:</w:t>
      </w:r>
    </w:p>
  </w:footnote>
  <w:footnote w:id="2900">
    <w:p w:rsidR="00A13282" w:rsidRDefault="00A13282" w:rsidP="002D629A">
      <w:pPr>
        <w:pStyle w:val="a5"/>
        <w:rPr>
          <w:rtl/>
        </w:rPr>
      </w:pPr>
      <w:r>
        <w:rPr>
          <w:rStyle w:val="a7"/>
          <w:rtl/>
        </w:rPr>
        <w:footnoteRef/>
      </w:r>
      <w:r>
        <w:rPr>
          <w:rtl/>
        </w:rPr>
        <w:t xml:space="preserve"> </w:t>
      </w:r>
      <w:r>
        <w:rPr>
          <w:b/>
          <w:bCs/>
          <w:rtl/>
        </w:rPr>
        <w:t>דאיהי טפה סרוחה.</w:t>
      </w:r>
      <w:r>
        <w:rPr>
          <w:rtl/>
        </w:rPr>
        <w:t xml:space="preserve"> שהיא זוהמא דהטיל נחש בחוה והוא הלילית, טפה סרוחה, והוא היצר הרע שבאדם וכל התאוות, שאור שבעיסה ושרשו בטחול דהוא שפחה בישא, וכן ערב רב בישראל, והיא נקראת אין שהיא ההעדר של אדם וממנה מת וממנה מסריח שהיא הטפה שזורקת לאדם כמו שכתוב (משלי ה ג,ד) כי נפת כו' ואחריתה מרה כו':</w:t>
      </w:r>
    </w:p>
  </w:footnote>
  <w:footnote w:id="2901">
    <w:p w:rsidR="00A13282" w:rsidRDefault="00A13282" w:rsidP="002D629A">
      <w:pPr>
        <w:pStyle w:val="a5"/>
        <w:rPr>
          <w:rtl/>
        </w:rPr>
      </w:pPr>
      <w:r>
        <w:rPr>
          <w:rStyle w:val="a7"/>
          <w:rtl/>
        </w:rPr>
        <w:footnoteRef/>
      </w:r>
      <w:r>
        <w:rPr>
          <w:rtl/>
        </w:rPr>
        <w:t xml:space="preserve"> </w:t>
      </w:r>
      <w:r>
        <w:rPr>
          <w:b/>
          <w:bCs/>
          <w:rtl/>
        </w:rPr>
        <w:t>ועלה אתמר כו'.</w:t>
      </w:r>
      <w:r>
        <w:rPr>
          <w:rtl/>
        </w:rPr>
        <w:t xml:space="preserve"> דהשי"ת שואלו האם ביאתך מהרשעים דהם מאין והבאת חובין וכמו שמפרש והולך דכל חובין כו' דבגינה אתמר כו', ותשובתו את השי"ת משוט בארץ כמו שכתוב ואיש אין לבוא עלינו כדרך כל הארץ, כמו שאמרו במדרש הנעלם פרשת וירא, והנה הטפה סרוחה זו המת, הטחול, הלילית, והוא התאוה שהאדם זורק הטפה בתאוה והוא שאור שבאדם יסודו של יצר הרע, ולכן אמר במדרש הנעלם שצריך להתקדש מאד בזיווג ואז הבנים לא ישלטו בהן יצר הרע ואמר דהוו רווקין דהוו עיילין בין נשין שפירין כו':</w:t>
      </w:r>
    </w:p>
  </w:footnote>
  <w:footnote w:id="2902">
    <w:p w:rsidR="00A13282" w:rsidRDefault="00A13282" w:rsidP="002D629A">
      <w:pPr>
        <w:pStyle w:val="a5"/>
        <w:rPr>
          <w:rtl/>
        </w:rPr>
      </w:pPr>
      <w:r>
        <w:rPr>
          <w:rStyle w:val="a7"/>
          <w:rtl/>
        </w:rPr>
        <w:footnoteRef/>
      </w:r>
      <w:r>
        <w:rPr>
          <w:rtl/>
        </w:rPr>
        <w:t xml:space="preserve"> </w:t>
      </w:r>
      <w:r>
        <w:rPr>
          <w:b/>
          <w:bCs/>
          <w:rtl/>
        </w:rPr>
        <w:t>כי הים כו'.</w:t>
      </w:r>
      <w:r>
        <w:rPr>
          <w:rtl/>
        </w:rPr>
        <w:t xml:space="preserve"> כמו שאמרו (ר"ה יח ע"א) כאן קודם גזר דין, כי אם תכבסי, (נדה ע ע"ב) כי חפץ כו':</w:t>
      </w:r>
    </w:p>
  </w:footnote>
  <w:footnote w:id="2903">
    <w:p w:rsidR="00A13282" w:rsidRDefault="00A13282" w:rsidP="002D629A">
      <w:pPr>
        <w:pStyle w:val="a5"/>
        <w:rPr>
          <w:rtl/>
        </w:rPr>
      </w:pPr>
      <w:r>
        <w:rPr>
          <w:rStyle w:val="a7"/>
          <w:rtl/>
        </w:rPr>
        <w:footnoteRef/>
      </w:r>
      <w:r>
        <w:rPr>
          <w:rtl/>
        </w:rPr>
        <w:t xml:space="preserve"> </w:t>
      </w:r>
      <w:r>
        <w:rPr>
          <w:b/>
          <w:bCs/>
          <w:rtl/>
        </w:rPr>
        <w:t>דא גלותא קדמאה כו'.</w:t>
      </w:r>
      <w:r>
        <w:rPr>
          <w:rtl/>
        </w:rPr>
        <w:t xml:space="preserve"> דהוא התנין הגדול הרובץ כו'. וכמו שמפרש והולך ודא פרעה כו' ודא איהו דג גדול כו':</w:t>
      </w:r>
    </w:p>
  </w:footnote>
  <w:footnote w:id="2904">
    <w:p w:rsidR="00A13282" w:rsidRDefault="00A13282" w:rsidP="002D629A">
      <w:pPr>
        <w:pStyle w:val="a5"/>
        <w:rPr>
          <w:rtl/>
        </w:rPr>
      </w:pPr>
      <w:r>
        <w:rPr>
          <w:rStyle w:val="a7"/>
          <w:rtl/>
        </w:rPr>
        <w:footnoteRef/>
      </w:r>
      <w:r>
        <w:rPr>
          <w:rtl/>
        </w:rPr>
        <w:t xml:space="preserve"> </w:t>
      </w:r>
      <w:r>
        <w:rPr>
          <w:b/>
          <w:bCs/>
          <w:rtl/>
        </w:rPr>
        <w:t>אל ירכתי הספינה.</w:t>
      </w:r>
      <w:r>
        <w:rPr>
          <w:rtl/>
        </w:rPr>
        <w:t xml:space="preserve"> דספינה הוא גופא כנ"ל, וירכתי היינו ותגל מרגלותיו דגלת שם:</w:t>
      </w:r>
    </w:p>
  </w:footnote>
  <w:footnote w:id="2905">
    <w:p w:rsidR="00A13282" w:rsidRDefault="00A13282" w:rsidP="002D629A">
      <w:pPr>
        <w:pStyle w:val="a5"/>
        <w:rPr>
          <w:rtl/>
        </w:rPr>
      </w:pPr>
      <w:r>
        <w:rPr>
          <w:rStyle w:val="a7"/>
          <w:rtl/>
        </w:rPr>
        <w:footnoteRef/>
      </w:r>
      <w:r>
        <w:rPr>
          <w:rtl/>
        </w:rPr>
        <w:t xml:space="preserve"> </w:t>
      </w:r>
      <w:r>
        <w:rPr>
          <w:b/>
          <w:bCs/>
          <w:rtl/>
        </w:rPr>
        <w:t>ודא הוא אנכי כו'.</w:t>
      </w:r>
      <w:r>
        <w:rPr>
          <w:rtl/>
        </w:rPr>
        <w:t xml:space="preserve"> רוצה לומר שנאמר בו ויונה ירד, ובגלותא קדמאה נאמר אנכי ארד כו', והטלתו לים הוא כאשר באו למצרים שהוא הים דבו התנין פרעה, ועדיין לא בלע אותם הדג התנין עד שקלקלו, אז ויקם כו' כמו שאומר כיון שמת הדור ההוא בטילו אורייתא מיד הפך לבם לשנוא כו' ויקם כו' וכמו שמפרש והולך קלקלו כו':</w:t>
      </w:r>
    </w:p>
  </w:footnote>
  <w:footnote w:id="2906">
    <w:p w:rsidR="00A13282" w:rsidRDefault="00A13282" w:rsidP="002D629A">
      <w:pPr>
        <w:pStyle w:val="a5"/>
        <w:rPr>
          <w:rtl/>
        </w:rPr>
      </w:pPr>
      <w:r>
        <w:rPr>
          <w:rStyle w:val="a7"/>
          <w:rtl/>
        </w:rPr>
        <w:footnoteRef/>
      </w:r>
      <w:r>
        <w:rPr>
          <w:rtl/>
        </w:rPr>
        <w:t xml:space="preserve"> </w:t>
      </w:r>
      <w:r>
        <w:rPr>
          <w:b/>
          <w:bCs/>
          <w:rtl/>
        </w:rPr>
        <w:t xml:space="preserve">כל אלין גלגולין כו'. </w:t>
      </w:r>
      <w:r>
        <w:rPr>
          <w:rtl/>
        </w:rPr>
        <w:t>כמו שאמרו (סוטה יא ע"א) נתחכמה לו למושיען של ישראל כו', דכל כונתם הכל בשבילו:</w:t>
      </w:r>
    </w:p>
  </w:footnote>
  <w:footnote w:id="2907">
    <w:p w:rsidR="00A13282" w:rsidRDefault="00A13282" w:rsidP="002D629A">
      <w:pPr>
        <w:pStyle w:val="a5"/>
        <w:rPr>
          <w:rtl/>
        </w:rPr>
      </w:pPr>
      <w:r>
        <w:rPr>
          <w:rStyle w:val="a7"/>
          <w:rtl/>
        </w:rPr>
        <w:footnoteRef/>
      </w:r>
      <w:r>
        <w:rPr>
          <w:rtl/>
        </w:rPr>
        <w:t xml:space="preserve"> </w:t>
      </w:r>
      <w:r>
        <w:rPr>
          <w:b/>
          <w:bCs/>
          <w:rtl/>
        </w:rPr>
        <w:t>איהו דג ומצרים בת זוגי' דגה כו'.</w:t>
      </w:r>
      <w:r>
        <w:rPr>
          <w:rtl/>
        </w:rPr>
        <w:t xml:space="preserve"> רוצה לומר דהמצריים עמו הן בת זוגיה וכמו שמפרש והולך מאן מעי מדגה כו', ועליהן נאמר והדגה אשר ביאור מתה כמו שאומר למטה, וזה שאמרו (ב"ב עד ע"ב) לויתן זכר ונקבה, והרג את הנקבה - שנהרגו כל המצריים עם שר שלהם, אבל הזכר לא נהרג שפרעה נשאר כמו שאמרו בפרקי דר’ אליעזר, ואמר ויתפלל יונה כו' - כמו שכתוב ויזעקו ותעל שועתם כו', ונצעק אל ה' כו':</w:t>
      </w:r>
    </w:p>
  </w:footnote>
  <w:footnote w:id="2908">
    <w:p w:rsidR="00A13282" w:rsidRDefault="00A13282" w:rsidP="002D629A">
      <w:pPr>
        <w:pStyle w:val="a5"/>
        <w:rPr>
          <w:rtl/>
        </w:rPr>
      </w:pPr>
      <w:r>
        <w:rPr>
          <w:rStyle w:val="a7"/>
          <w:rtl/>
        </w:rPr>
        <w:footnoteRef/>
      </w:r>
      <w:r>
        <w:rPr>
          <w:rtl/>
        </w:rPr>
        <w:t xml:space="preserve"> </w:t>
      </w:r>
      <w:r>
        <w:rPr>
          <w:b/>
          <w:bCs/>
          <w:rtl/>
        </w:rPr>
        <w:t>דג גדול כו'.</w:t>
      </w:r>
      <w:r>
        <w:rPr>
          <w:rtl/>
        </w:rPr>
        <w:t xml:space="preserve"> רוצה לומר דנקרא דג גדול כמו שכתוב רב החובל, וכן ערב רב, וכמו שאומר למטה דג גדול איהו ערב רב דאינון כו':</w:t>
      </w:r>
    </w:p>
  </w:footnote>
  <w:footnote w:id="2909">
    <w:p w:rsidR="00A13282" w:rsidRDefault="00A13282" w:rsidP="002D629A">
      <w:pPr>
        <w:pStyle w:val="a5"/>
        <w:rPr>
          <w:rtl/>
        </w:rPr>
      </w:pPr>
      <w:r>
        <w:rPr>
          <w:rStyle w:val="a7"/>
          <w:rtl/>
        </w:rPr>
        <w:footnoteRef/>
      </w:r>
      <w:r>
        <w:rPr>
          <w:rtl/>
        </w:rPr>
        <w:t xml:space="preserve"> </w:t>
      </w:r>
      <w:r>
        <w:rPr>
          <w:b/>
          <w:bCs/>
          <w:rtl/>
        </w:rPr>
        <w:t>וטחול איהו שחוק הכסיל לבלוע את יונה כו' מקוצר רוח ומעבודה קשה מסטרא דכבד כו' תכבד העבודה עליה אתמר כי כעס כו'.</w:t>
      </w:r>
      <w:r>
        <w:rPr>
          <w:rtl/>
        </w:rPr>
        <w:t xml:space="preserve"> דכעס הוא ס"ם - בכבד, מלך זקן וכסיל, וכן בת זוגו בטחול - שחוק הכסיל, כי כקול הסירים כו':</w:t>
      </w:r>
    </w:p>
  </w:footnote>
  <w:footnote w:id="2910">
    <w:p w:rsidR="00A13282" w:rsidRDefault="00A13282" w:rsidP="002D629A">
      <w:pPr>
        <w:pStyle w:val="a5"/>
        <w:rPr>
          <w:rtl/>
        </w:rPr>
      </w:pPr>
      <w:r>
        <w:rPr>
          <w:rStyle w:val="a7"/>
          <w:rtl/>
        </w:rPr>
        <w:footnoteRef/>
      </w:r>
      <w:r>
        <w:rPr>
          <w:rtl/>
        </w:rPr>
        <w:t xml:space="preserve"> </w:t>
      </w:r>
      <w:r>
        <w:rPr>
          <w:b/>
          <w:bCs/>
          <w:rtl/>
        </w:rPr>
        <w:t>דבהון חאבו כו'.</w:t>
      </w:r>
      <w:r>
        <w:rPr>
          <w:rtl/>
        </w:rPr>
        <w:t xml:space="preserve"> רוצה לומר על ידיהן שהן הגורמים לישראל לכל חטאת שעליהן נאמר (יבמות מז ע"ב) קשין כו' כספחת, והן השאור שבעיסה כי צ"ה באדם כן הוא הם בישראל כנ"ל, וראשיתם בעגל וכן בכל חטא וכן בעריות כמו שאמרו (יומא עה ע"א) את הדגה אשר כו' ואמרו שהן העריות, והוא מסטרא דטחול וערב רב וכמו שאומר למטה:</w:t>
      </w:r>
    </w:p>
  </w:footnote>
  <w:footnote w:id="2911">
    <w:p w:rsidR="00A13282" w:rsidRDefault="00A13282" w:rsidP="002D629A">
      <w:pPr>
        <w:pStyle w:val="a5"/>
        <w:rPr>
          <w:rtl/>
        </w:rPr>
      </w:pPr>
      <w:r>
        <w:rPr>
          <w:rStyle w:val="a7"/>
          <w:rtl/>
        </w:rPr>
        <w:footnoteRef/>
      </w:r>
      <w:r>
        <w:rPr>
          <w:rtl/>
        </w:rPr>
        <w:t xml:space="preserve"> </w:t>
      </w:r>
      <w:r>
        <w:rPr>
          <w:b/>
          <w:bCs/>
          <w:rtl/>
        </w:rPr>
        <w:t>וחבילו ית כו'.</w:t>
      </w:r>
      <w:r>
        <w:rPr>
          <w:rtl/>
        </w:rPr>
        <w:t xml:space="preserve"> כמו שכתוב (ירמיהו יא טו) ובשר קודש יעברו מעליך, ורוצה לומר שלכן נקרא חובל דחבילו כו', והם בני אפרים שהעבירו כו' כמו שאומר בפרקי דר’ אליעזר:</w:t>
      </w:r>
    </w:p>
  </w:footnote>
  <w:footnote w:id="2912">
    <w:p w:rsidR="00A13282" w:rsidRDefault="00A13282" w:rsidP="002D629A">
      <w:pPr>
        <w:pStyle w:val="a5"/>
        <w:rPr>
          <w:rtl/>
        </w:rPr>
      </w:pPr>
      <w:r>
        <w:rPr>
          <w:rStyle w:val="a7"/>
          <w:rtl/>
        </w:rPr>
        <w:footnoteRef/>
      </w:r>
      <w:r>
        <w:rPr>
          <w:rtl/>
        </w:rPr>
        <w:t xml:space="preserve"> </w:t>
      </w:r>
      <w:r>
        <w:rPr>
          <w:b/>
          <w:bCs/>
          <w:rtl/>
        </w:rPr>
        <w:t>אינון רב עלייהו בגלותא.</w:t>
      </w:r>
      <w:r>
        <w:rPr>
          <w:rtl/>
        </w:rPr>
        <w:t xml:space="preserve"> כמו שאומר לעיל מ"ד ב' דעליהון נאמר היו צריה לראש דאינון רישי דעמא בגלותא שלכן נקראין רב, ערב רב, רב החובל:</w:t>
      </w:r>
    </w:p>
  </w:footnote>
  <w:footnote w:id="2913">
    <w:p w:rsidR="00A13282" w:rsidRDefault="00A13282" w:rsidP="002D629A">
      <w:pPr>
        <w:pStyle w:val="a5"/>
        <w:rPr>
          <w:rtl/>
        </w:rPr>
      </w:pPr>
      <w:r>
        <w:rPr>
          <w:rStyle w:val="a7"/>
          <w:rtl/>
        </w:rPr>
        <w:footnoteRef/>
      </w:r>
      <w:r>
        <w:rPr>
          <w:rtl/>
        </w:rPr>
        <w:t xml:space="preserve"> </w:t>
      </w:r>
      <w:r>
        <w:rPr>
          <w:b/>
          <w:bCs/>
          <w:rtl/>
        </w:rPr>
        <w:t>ואינון דגה לישראל.</w:t>
      </w:r>
      <w:r>
        <w:rPr>
          <w:rtl/>
        </w:rPr>
        <w:t xml:space="preserve"> רוצה לומר שנבלעו בתוכם, והן עריות שנכשלו על ידן, דטחול הוא גילוי עריות, שחוק הכסיל כמו שאומר לקמן תיקון נ”ו ובזוהר פרשת בראשית כ"ז ב', וזה שאומר זכרנו את הדגה כמו שאמרו (יומא עה ע"א) דהוא עריות, והוא חנם כמו שנבאר שם:</w:t>
      </w:r>
    </w:p>
  </w:footnote>
  <w:footnote w:id="2914">
    <w:p w:rsidR="00A13282" w:rsidRDefault="00A13282" w:rsidP="002D629A">
      <w:pPr>
        <w:pStyle w:val="a5"/>
        <w:rPr>
          <w:rtl/>
        </w:rPr>
      </w:pPr>
      <w:r>
        <w:rPr>
          <w:rStyle w:val="a7"/>
          <w:rtl/>
        </w:rPr>
        <w:footnoteRef/>
      </w:r>
      <w:r>
        <w:rPr>
          <w:rtl/>
        </w:rPr>
        <w:t xml:space="preserve"> </w:t>
      </w:r>
      <w:r>
        <w:rPr>
          <w:b/>
          <w:bCs/>
          <w:rtl/>
        </w:rPr>
        <w:t>ובגלותא בתראה עתיד קב"ה לקטלא לון.</w:t>
      </w:r>
      <w:r>
        <w:rPr>
          <w:rtl/>
        </w:rPr>
        <w:t xml:space="preserve"> כן הוא בספרים אחרים. וכמו שאמרו בזוהר פרשת בראשית ושאר מקומות דאין בן דוד בא עד שיתמחון מעלמא דעליהון  נאמר כי יד על כו' דהן עמלקים כנ"ל: </w:t>
      </w:r>
    </w:p>
  </w:footnote>
  <w:footnote w:id="2915">
    <w:p w:rsidR="00A13282" w:rsidRDefault="00A13282" w:rsidP="002D629A">
      <w:pPr>
        <w:pStyle w:val="a5"/>
        <w:rPr>
          <w:rtl/>
        </w:rPr>
      </w:pPr>
      <w:r>
        <w:rPr>
          <w:rStyle w:val="a7"/>
          <w:rtl/>
        </w:rPr>
        <w:footnoteRef/>
      </w:r>
      <w:r>
        <w:rPr>
          <w:rtl/>
        </w:rPr>
        <w:t xml:space="preserve"> </w:t>
      </w:r>
      <w:r>
        <w:rPr>
          <w:b/>
          <w:bCs/>
          <w:rtl/>
        </w:rPr>
        <w:t>ויבאש כו'.</w:t>
      </w:r>
      <w:r>
        <w:rPr>
          <w:rtl/>
        </w:rPr>
        <w:t xml:space="preserve"> כמו שאמרו (משנה סוטה ט טו) בעקבות משיחא כו' וחכמת סופרים תסרח:</w:t>
      </w:r>
    </w:p>
  </w:footnote>
  <w:footnote w:id="2916">
    <w:p w:rsidR="00A13282" w:rsidRDefault="00A13282" w:rsidP="002D629A">
      <w:pPr>
        <w:pStyle w:val="a5"/>
        <w:rPr>
          <w:rtl/>
        </w:rPr>
      </w:pPr>
      <w:r>
        <w:rPr>
          <w:rStyle w:val="a7"/>
          <w:rtl/>
        </w:rPr>
        <w:footnoteRef/>
      </w:r>
      <w:r>
        <w:rPr>
          <w:rtl/>
        </w:rPr>
        <w:t xml:space="preserve"> </w:t>
      </w:r>
      <w:r>
        <w:rPr>
          <w:b/>
          <w:bCs/>
          <w:rtl/>
        </w:rPr>
        <w:t>ואתמר בישראל כו'.</w:t>
      </w:r>
      <w:r>
        <w:rPr>
          <w:rtl/>
        </w:rPr>
        <w:t xml:space="preserve"> הוא לראיה שיאור הוא התורה כמו שמפרש והולך, וגם שהוא מרמז על חכמת סופרים תסרח, ורוצה לומר כל הבן הילוד היאורה - שהוא באור של תורה, תשליכוהו - משליכין אותו ואין מרחמין עליו וכמו שאמרו (שם) ויראי חטא יסובבו מעיר לעיר ולא יחוננו וכמו שאומר לעיל א' ב' נודד הוא ללחם איה, אי"ה דמרחם עליה כו', ולית לכם אלא אורייתא, האי גרם למארי תורה דאזלין מתתרכין עיין שם, ואמר אור איהו רז שחושבנם אחד והוא ותורה אור, אורו ופנימיות של תורה והוא דרגא דיסוד כידוע, סוד ה' ליראיו, ולכן יראי חטא לא יחוננו כנ"ל ובת זוגיה - שכינתא, יאורה, והן עניים בדרגא  דידהון, דהוא עני בגלותא ונהר יחרב כו', והיא עניה ודיו לעבד למהוי כרבו כמו שאומר לעיל א' ב', ועיין בזוהר חדש ע"ה א' וכד אתגלי לך אילנא דחיי בדרא בתראה דאת כו' ואורייתא אתחזרת לון נסיון לאינון דמשתדלין ויהויין בעאקו סגי כגוונא דמצריים דאתמר ביה כל הבן כו' ודא אורייתא דבכתב, וכל הבת תחיון - אורייתא דבעל פה כו', ולית מיתה דמארי דנהורא דאוריתא אלא עניותא כו', וזה שאומר אור איהו רז כו' לאלין היאורה תשליכוהו - בעניותא, היאור תסרח כנ"ל, וכל הבת תחיון - אלין דמשתדלין כו', וכמו שאומר לעיל א' ב' דלית להו גדפין שיהון נע ונד בשכינתא:</w:t>
      </w:r>
    </w:p>
  </w:footnote>
  <w:footnote w:id="2917">
    <w:p w:rsidR="00A13282" w:rsidRDefault="00A13282" w:rsidP="002D629A">
      <w:pPr>
        <w:pStyle w:val="a5"/>
        <w:rPr>
          <w:rtl/>
        </w:rPr>
      </w:pPr>
      <w:r>
        <w:rPr>
          <w:rStyle w:val="a7"/>
          <w:rtl/>
        </w:rPr>
        <w:footnoteRef/>
      </w:r>
      <w:r>
        <w:rPr>
          <w:rtl/>
        </w:rPr>
        <w:t xml:space="preserve"> </w:t>
      </w:r>
      <w:r>
        <w:rPr>
          <w:b/>
          <w:bCs/>
          <w:rtl/>
        </w:rPr>
        <w:t>דאתמר בה כו'.</w:t>
      </w:r>
      <w:r>
        <w:rPr>
          <w:rtl/>
        </w:rPr>
        <w:t xml:space="preserve"> רוצה לומר היה אור הוא אותיות היאורה, וזה שאומר כג"ד בגלותא כו' ביה היה רז דאיהו אור רוצה לומר אותיות היה אור, ואור הוא רז, דבמצרים הוא אור דנהורא, ובגלותא בתרא אור דנהורא דאורייתא ברזין, וכמו שאומר לעיל נ"ב ב' דבגלותא בתראה יהון כל הנפלאות בתורה, ויתבקע ימא דאורייתא וכן כל הנפלאות, והכל דוגמת נפלאות דמצרים, וכן הגלות הזה - בתורה, בחומר ובלבנים ובכל עבודה כו' - הכל בתורה כמו שאמרו ברעיא מהימנא ולקמן קמ"ו א' ושאר מקומות, וזה שאומר לקיים כימי צאתך כו' ודא איהו כו' וכל כו':</w:t>
      </w:r>
    </w:p>
  </w:footnote>
  <w:footnote w:id="2918">
    <w:p w:rsidR="00A13282" w:rsidRDefault="00A13282" w:rsidP="002D629A">
      <w:pPr>
        <w:pStyle w:val="a5"/>
        <w:rPr>
          <w:rtl/>
        </w:rPr>
      </w:pPr>
      <w:r>
        <w:rPr>
          <w:rStyle w:val="a7"/>
          <w:rtl/>
        </w:rPr>
        <w:footnoteRef/>
      </w:r>
      <w:r>
        <w:rPr>
          <w:rtl/>
        </w:rPr>
        <w:t xml:space="preserve"> </w:t>
      </w:r>
      <w:r>
        <w:rPr>
          <w:b/>
          <w:bCs/>
          <w:rtl/>
        </w:rPr>
        <w:t>ד"א וימן כו'.</w:t>
      </w:r>
      <w:r>
        <w:rPr>
          <w:rtl/>
        </w:rPr>
        <w:t xml:space="preserve"> רוצה לומר עניות בגלותא לישראל שנבלעו בעניות גדול והוא העצב, והוא גם כן הטחול שהוא המרה שחורה ויש בו דו"נ: עצב ועצבון, שנאמר בעצב תלדי כו', בעצבון תאכלנה, דכורא לנוק' ונוק' לדכורא, כמו שאומר לקמן סוף תיקון כ”ב:</w:t>
      </w:r>
    </w:p>
  </w:footnote>
  <w:footnote w:id="2919">
    <w:p w:rsidR="00A13282" w:rsidRDefault="00A13282" w:rsidP="002D629A">
      <w:pPr>
        <w:pStyle w:val="a5"/>
        <w:rPr>
          <w:rtl/>
        </w:rPr>
      </w:pPr>
      <w:r>
        <w:rPr>
          <w:rStyle w:val="a7"/>
          <w:rtl/>
        </w:rPr>
        <w:footnoteRef/>
      </w:r>
      <w:r>
        <w:rPr>
          <w:rtl/>
        </w:rPr>
        <w:t xml:space="preserve"> </w:t>
      </w:r>
      <w:r>
        <w:rPr>
          <w:b/>
          <w:bCs/>
          <w:rtl/>
        </w:rPr>
        <w:t>מכפנא דעניותא.</w:t>
      </w:r>
      <w:r>
        <w:rPr>
          <w:rtl/>
        </w:rPr>
        <w:t xml:space="preserve"> דעצבון הוא יותר מעצב, דדכורא אינו מר כמו הנוק' דהיא </w:t>
      </w:r>
      <w:r w:rsidR="0011296A">
        <w:rPr>
          <w:rFonts w:hint="cs"/>
          <w:rtl/>
        </w:rPr>
        <w:t xml:space="preserve">(משלי ה ד) </w:t>
      </w:r>
      <w:r>
        <w:rPr>
          <w:rtl/>
        </w:rPr>
        <w:t>ואחריתה מרה כו' והיא דכפנא דעניותא דעאל במעוי דבר נש, ועיין בזוהר פרשת פקודי רס"ו א' והרעב הוא דכורא והכפנא הוא הנוק':</w:t>
      </w:r>
    </w:p>
  </w:footnote>
  <w:footnote w:id="2920">
    <w:p w:rsidR="00A13282" w:rsidRDefault="00A13282" w:rsidP="002D629A">
      <w:pPr>
        <w:pStyle w:val="a5"/>
        <w:rPr>
          <w:rtl/>
        </w:rPr>
      </w:pPr>
      <w:r>
        <w:rPr>
          <w:rStyle w:val="a7"/>
          <w:rtl/>
        </w:rPr>
        <w:footnoteRef/>
      </w:r>
      <w:r>
        <w:rPr>
          <w:rtl/>
        </w:rPr>
        <w:t xml:space="preserve"> </w:t>
      </w:r>
      <w:r>
        <w:rPr>
          <w:b/>
          <w:bCs/>
          <w:rtl/>
        </w:rPr>
        <w:t>בההוא זמנא ויאמר ה' לדג כו'.</w:t>
      </w:r>
      <w:r>
        <w:rPr>
          <w:rtl/>
        </w:rPr>
        <w:t xml:space="preserve"> רוצה לומר ע"י בליעת הדג שהוא הרעב, יצאו מגלותא כמו שמפרש והולך ואת עם עני כו', ואמר דא נבואה דיונה כו' רוצה לומר שכל המעשה של יונה וספרו נאמר על הגלות והגאולה:</w:t>
      </w:r>
    </w:p>
  </w:footnote>
  <w:footnote w:id="2921">
    <w:p w:rsidR="00A13282" w:rsidRDefault="00A13282" w:rsidP="002D629A">
      <w:pPr>
        <w:pStyle w:val="a5"/>
        <w:rPr>
          <w:rtl/>
        </w:rPr>
      </w:pPr>
      <w:r>
        <w:rPr>
          <w:rStyle w:val="a7"/>
          <w:rtl/>
        </w:rPr>
        <w:footnoteRef/>
      </w:r>
      <w:r>
        <w:rPr>
          <w:rtl/>
        </w:rPr>
        <w:t xml:space="preserve"> </w:t>
      </w:r>
      <w:r>
        <w:rPr>
          <w:b/>
          <w:bCs/>
          <w:rtl/>
        </w:rPr>
        <w:t>בדוחקא דעניותא בימינא כו' בימינא דאיהו פסח.</w:t>
      </w:r>
      <w:r>
        <w:rPr>
          <w:rtl/>
        </w:rPr>
        <w:t xml:space="preserve"> רוצה לומר כמו שצדיק ח"י עלמין דהוא עני, מתקשר בימין שהוא חסד, כמו שכתוב הבוקר אור - בקר באור, כן ישראל על ידי זה יפקון מגלותא, שהגאולה הוא בחסד כמו שאומר למטה. והענין, כי העני הוא נצרך לחסד שיעשו וכל חיותו הוא בחסד וזה שאומר בדוחקא דעניותא בימינא ועיין לקמן ס"ה ס"ו ומתמן ואילך אתקיים קרא עולם חסד יבנה כו' דאתקשר שביעי ביומא קדמאה ומאן שביעי דא צדיק כו' והוכן בחסד כסא וביה תקום ורזא דמלה ובחסד עולם רחמתיך וכל ספירין מתקשרין בימינא כו' בההוא זמנא חסד ה' מלאה הארץ כו' ועליה אתמר שכבי עד הבקר ודא הוא בוקר דאברהם דכתיב וישכם אברהם בבוקר, וישכם לפורקנא וביה הבוקר אור דאתמר ביה ותורה אור והאי איהו אור דאתמר ביה ולכל בני ישראל היה אור, ואיהו פסח דרועא ימינא וביה עתידין ליגאל. ואמר דאתמר בהון ואת כו' רוצה לומר כמו במצרים שהיו עניים ויצאו בימינא וע"י העניות כמו שכתוב ואת ערום כו' ואעבור כו'. ואמר והאי יונה איהי כו' רוצה לומר גם כן יונה דעניותא, דבקשה יהיו מזונותי מרורין כזית ומסורין בידך כו' (סנהדרין קח ע"ב), והן העניים והאביונים שמזונותן מסורין ביד בשר ודם ומבקשין תמיד ונא אל תצריכנו לידי כו', וכן כל המבול והמעשה דשליחות יונה מתפרש הכל על הגלות והגאולה:</w:t>
      </w:r>
    </w:p>
  </w:footnote>
  <w:footnote w:id="2922">
    <w:p w:rsidR="00A13282" w:rsidRDefault="00A13282" w:rsidP="002D629A">
      <w:pPr>
        <w:pStyle w:val="a5"/>
        <w:rPr>
          <w:rtl/>
        </w:rPr>
      </w:pPr>
      <w:r>
        <w:rPr>
          <w:rStyle w:val="a7"/>
          <w:rtl/>
        </w:rPr>
        <w:footnoteRef/>
      </w:r>
      <w:r>
        <w:rPr>
          <w:rtl/>
        </w:rPr>
        <w:t xml:space="preserve"> </w:t>
      </w:r>
      <w:r>
        <w:rPr>
          <w:b/>
          <w:bCs/>
          <w:rtl/>
        </w:rPr>
        <w:t>ג"ד איהו ימינא ושמאלא כו'.</w:t>
      </w:r>
      <w:r>
        <w:rPr>
          <w:rtl/>
        </w:rPr>
        <w:t xml:space="preserve"> כמו שמפרש והולך גמול דלים שהן מסטרא דחו"ג, וכן הוא בסטרא דו"נ והן צדיק ועטרה, דעטרה לית לה מגרמה כלום שהן שמשא וסיהרא וסיהרא מקבלת משמשא ולית לה אור מגרמה כלום, והן מקבלין חו"ג כידוע ועיין בזוהר פרשת בראשית י"ג ב' בצלמנו - עתירי, כדמותנו - מסכני, דהא מסטרא דדכורא עתירי ומסטרא דנוק' מסכני, כמה דאינון בשיתופא חדא וחס דא על דא ויהיב דא לדא וגמיל ליה טיבו כו' וכן נקרא צדיק גימ"ל פשיטו דברית כמו שאמרו בזוהר פרשת תצוה קפ"א א' והעטרה נקראת דל"ת כידוע והיא דלה ועיין בסח"א ב' ב' ובג"כ רמיז בהאי קרא שבע דרגין כו' בצלמנו למיהב ליה שפע מההוא אתר דאקרי חסד ת"ח כו' כדמותנו לקבל יומא תניינא גבורה כו':</w:t>
      </w:r>
    </w:p>
  </w:footnote>
  <w:footnote w:id="2923">
    <w:p w:rsidR="00A13282" w:rsidRDefault="00A13282" w:rsidP="002D629A">
      <w:pPr>
        <w:pStyle w:val="a5"/>
        <w:rPr>
          <w:rtl/>
        </w:rPr>
      </w:pPr>
      <w:r>
        <w:rPr>
          <w:rStyle w:val="a7"/>
          <w:rtl/>
        </w:rPr>
        <w:footnoteRef/>
      </w:r>
      <w:r>
        <w:rPr>
          <w:rtl/>
        </w:rPr>
        <w:t xml:space="preserve"> </w:t>
      </w:r>
      <w:r>
        <w:rPr>
          <w:b/>
          <w:bCs/>
          <w:rtl/>
        </w:rPr>
        <w:t>כזרע ג"ד דא יונה.</w:t>
      </w:r>
      <w:r>
        <w:rPr>
          <w:rtl/>
        </w:rPr>
        <w:t xml:space="preserve"> כמו שאמרו יונה דא נשמתא, והיא זרע של ג"ד, צדיק, פרי צדיק, וזה שאומר וימן ה' דג גדול לבלוע את יונה, ד"ג הוא ג"ד הנ"ל והוא הדעת, ימינא ושמאלא, חו"ג דביה שהוא דרגא דיסוד דלעילא וזה שאומר דג גדול כמו שאמרו בזוהר פרשת בראשית ט' א' ההוא דאשתמודע גדול מאד בארץ מצרים בעיני עבדי וגו' רב ויקירא כמה דגלי ההוא סבא כו'. ואמר, לבלוע, כמו שאומר לקמן נ"ב א' ובלע כל נונין דימא כו' ובלע מיא דימא, ואמר שם דהוא נונא חדא דשט כו' נונא רבתא כו', והוא דג גדול כנ"ל, יונה ההיא טפה, ואמר, את, שהוא הזרע דהוא מא' עד ת', כמו שבארנו שם ט"ו ב' מאן ההוא זרעא אינון אתוון גליפין רזא דאורייתא כו', את, כד נטיל אתוון כולן כללא דכולהו אתוון אינון רישא וסופא, לבתר אתווסף ה' לאתחברא כלהו אתוון בה"א ואתקרי אתה, והוא ה' דמנצפ"ך, והוא ר"ע של זרע, ר"ע עלמין דנהיר בפלגותא דשערי, ומשם אתפשט לתרי"ג כמו שאמרו באידרא רבא, וז' של זרע הוא הטפה דהוא יו"ד והוא ו' כמו שאומר למטה ולקמן נ"ד ג' הא פה קא נחתא כו' איהו כרומחא ו' אתארכת ביה שרביטא דככבא וכד סליקת לעילא שריא עלה יו"ד ואתעבידת ז' וזהו זרע של ג"ד, והמן הוא גם כן כאותו זרע, וזה שאומר וימן ה' דהמן הוא ו"י וימן והוא ה' שמא קדישא שהוא כ"ו, עם קוץ כ"ז, והוא יונה חושבן השם בפשוטו ומילואו שהוא ו"י, ו' - פשוטו, בת"ת, ומילואו ביו"ד כידוע, ואמר יו"ד ודאי טפה כו' רוצה לומר שזרע ודאי הוא טפה יו"ד ורוצה לומר שלכן נקרא גי"ד כמו שמפרש והולך והוא חושבן טו"ב טפה חוורתא, ה' חסדים חושבן מילה (רוצה לומר חמש פעמים טו"ב) ואמר ואיהי נוק' רוצה לומר היבשה הוא נוק', והדג מזריע אל היבשה ומה דהוה יבשה אתקריאת כו' ועיין לקמן פ"ה א' ובזוהר פרשת בראשית:</w:t>
      </w:r>
    </w:p>
  </w:footnote>
  <w:footnote w:id="2924">
    <w:p w:rsidR="00A13282" w:rsidRDefault="00A13282" w:rsidP="002D629A">
      <w:pPr>
        <w:pStyle w:val="a5"/>
        <w:rPr>
          <w:rtl/>
        </w:rPr>
      </w:pPr>
      <w:r>
        <w:rPr>
          <w:rStyle w:val="a7"/>
          <w:rtl/>
        </w:rPr>
        <w:footnoteRef/>
      </w:r>
      <w:r>
        <w:rPr>
          <w:rtl/>
        </w:rPr>
        <w:t xml:space="preserve"> </w:t>
      </w:r>
      <w:r>
        <w:rPr>
          <w:b/>
          <w:bCs/>
          <w:rtl/>
        </w:rPr>
        <w:t>דא מקוה ישראל כו'.</w:t>
      </w:r>
      <w:r>
        <w:rPr>
          <w:rtl/>
        </w:rPr>
        <w:t xml:space="preserve"> רוצה לומר בינה כמו שמפרש והולך מקורא כו', והוא נקרא ימא והיא נקראת מקוה ישראל וכמו שאומר לעיל ריש תיקון י”ט ל"ז א' מאי ימא דא שכינתא עילאה כו' בין ים עילאה דאיהי אימא עילאה כו' ושם ב' וכד סליק לעילא לגבי אימא עילאה אתקרי קומה כו' מקוה דילה האי איהו מקוה ישראל ה' ואיהי שיעור קומה כו':</w:t>
      </w:r>
    </w:p>
  </w:footnote>
  <w:footnote w:id="2925">
    <w:p w:rsidR="00A13282" w:rsidRDefault="00A13282" w:rsidP="002D629A">
      <w:pPr>
        <w:pStyle w:val="a5"/>
        <w:rPr>
          <w:rtl/>
        </w:rPr>
      </w:pPr>
      <w:r>
        <w:rPr>
          <w:rStyle w:val="a7"/>
          <w:rtl/>
        </w:rPr>
        <w:footnoteRef/>
      </w:r>
      <w:r>
        <w:rPr>
          <w:rtl/>
        </w:rPr>
        <w:t xml:space="preserve"> </w:t>
      </w:r>
      <w:r>
        <w:rPr>
          <w:b/>
          <w:bCs/>
          <w:rtl/>
        </w:rPr>
        <w:t xml:space="preserve">ואתעבידת זרע ו'. </w:t>
      </w:r>
      <w:r>
        <w:rPr>
          <w:rtl/>
        </w:rPr>
        <w:t>כמו שאומר לעיל כ"ד ג' דאתמשכת כו' וזה שאומר זרע ו' כמו שכתוב (תהלים קכו ו) משך הזרע:</w:t>
      </w:r>
    </w:p>
  </w:footnote>
  <w:footnote w:id="2926">
    <w:p w:rsidR="00A13282" w:rsidRDefault="00A13282" w:rsidP="002D629A">
      <w:pPr>
        <w:pStyle w:val="a5"/>
        <w:rPr>
          <w:rtl/>
        </w:rPr>
      </w:pPr>
      <w:r>
        <w:rPr>
          <w:rStyle w:val="a7"/>
          <w:rtl/>
        </w:rPr>
        <w:footnoteRef/>
      </w:r>
      <w:r>
        <w:rPr>
          <w:rtl/>
        </w:rPr>
        <w:t xml:space="preserve"> </w:t>
      </w:r>
      <w:r>
        <w:rPr>
          <w:b/>
          <w:bCs/>
          <w:rtl/>
        </w:rPr>
        <w:t>מזרע דאיהו ו' כד איהו ו' אתעביד כו' .</w:t>
      </w:r>
      <w:r>
        <w:rPr>
          <w:rtl/>
        </w:rPr>
        <w:t xml:space="preserve"> הוא ז' של זרע כנ"ל ורוצה לומר שית כמו שאמרו בראשית - ברא שית, ואמר שיתין מששת ימי בראשית והוא שיתין שית שהוא שיר השירים כמו שאמרו בזוהר חדש ריש שיר השירים ואמר שם שהן שתין מקורין עילאין:</w:t>
      </w:r>
    </w:p>
  </w:footnote>
  <w:footnote w:id="2927">
    <w:p w:rsidR="00A13282" w:rsidRDefault="00A13282" w:rsidP="002D629A">
      <w:pPr>
        <w:pStyle w:val="a5"/>
        <w:rPr>
          <w:rtl/>
        </w:rPr>
      </w:pPr>
      <w:r>
        <w:rPr>
          <w:rStyle w:val="a7"/>
          <w:rtl/>
        </w:rPr>
        <w:footnoteRef/>
      </w:r>
      <w:r>
        <w:rPr>
          <w:rtl/>
        </w:rPr>
        <w:t xml:space="preserve"> </w:t>
      </w:r>
      <w:r>
        <w:rPr>
          <w:b/>
          <w:bCs/>
          <w:rtl/>
        </w:rPr>
        <w:t xml:space="preserve">אבל כל ספירין כו'. </w:t>
      </w:r>
      <w:r>
        <w:rPr>
          <w:rtl/>
        </w:rPr>
        <w:t>רוצה לומר מה שאמר למעלה דאתפליגת לט' נקודין וכד כו'. דאין רוצה לומר לאתפליגת לעשר, דנשאר לה חלקה, דבאמת לית לה מגרמה כלום, אלא דאתפליגת לט' נקודים בלבד, וכל הט' אברים נוטל כל אחד חלקו מהזרע, אלא שכל אחד נוטל ט' חלקים מנקודה דיליה והיא נוטלת העשירית מכולם והוא זרע היורד ביסוד ונותן לנקבה, וזה סוד המעשר וזה שאומר ומלכות בה אשתלים כו' לכן היא שלימו דכל חד וכן האברים דנוק' הן כל אחד עשירית מאבר דדכורא באור הפנימית, וזה שאומר וכולא אתמשיך לגביה כו' כנ"ל כל המעשר, ורוצה לומר בזה שזהו יו"ד של גי"ד:</w:t>
      </w:r>
    </w:p>
  </w:footnote>
  <w:footnote w:id="2928">
    <w:p w:rsidR="00A13282" w:rsidRDefault="00A13282" w:rsidP="002D629A">
      <w:pPr>
        <w:pStyle w:val="a5"/>
        <w:rPr>
          <w:rtl/>
        </w:rPr>
      </w:pPr>
      <w:r>
        <w:rPr>
          <w:rStyle w:val="a7"/>
          <w:rtl/>
        </w:rPr>
        <w:footnoteRef/>
      </w:r>
      <w:r>
        <w:rPr>
          <w:rtl/>
        </w:rPr>
        <w:t xml:space="preserve"> </w:t>
      </w:r>
      <w:r>
        <w:rPr>
          <w:b/>
          <w:bCs/>
          <w:rtl/>
        </w:rPr>
        <w:t xml:space="preserve">אתקריאת תיבת נח. </w:t>
      </w:r>
      <w:r>
        <w:rPr>
          <w:rtl/>
        </w:rPr>
        <w:t>דנח הוא צדיק כמו שכתוב איש צדיק, איש וצדיק וכמו שאמרו בריש פרשת נח נ"ט ב' ההוא נהר דנגיד ונפיק ועייל לגנתא ואשקי ליה משקיו דלעילא ועביד ליה נייחא ועביד איבין ורבי זרעין והוא כדין נייחא לכלא כו' כי בו שבת כו' תא חזי כגונא דא נח לתתא, קיימא קדישא הוה, דוגמא דלעילא ועל דא אקרי איש האדמה ורזא אוליפנא דהא נח אצטרך לתיבה לאתחברא בה ולקיימא בה זרעא דכולא, דכתיב לחיות זרע מאן תיבה דא ארון הברית כו' עיין שם בדבריו:</w:t>
      </w:r>
    </w:p>
  </w:footnote>
  <w:footnote w:id="2929">
    <w:p w:rsidR="00A13282" w:rsidRDefault="00A13282" w:rsidP="002D629A">
      <w:pPr>
        <w:pStyle w:val="a5"/>
        <w:rPr>
          <w:rtl/>
        </w:rPr>
      </w:pPr>
      <w:r>
        <w:rPr>
          <w:rStyle w:val="a7"/>
          <w:rtl/>
        </w:rPr>
        <w:footnoteRef/>
      </w:r>
      <w:r>
        <w:rPr>
          <w:rtl/>
        </w:rPr>
        <w:t xml:space="preserve"> </w:t>
      </w:r>
      <w:r>
        <w:rPr>
          <w:b/>
          <w:bCs/>
          <w:rtl/>
        </w:rPr>
        <w:t xml:space="preserve">ה' יבשה כו'. </w:t>
      </w:r>
      <w:r>
        <w:rPr>
          <w:rtl/>
        </w:rPr>
        <w:t>רוצה לומר כמו שמפרש והולך בחודש השביעי ודא איהו גי"ד צדיק ורוצה לומר דנאמר ותראה היבשה, ה' יבשה, ואח"כ כד אתחבר בה צדיק נעשית היבשה - ארץ, והיא נקראת השביעי - ה' עם שביעי, דהוא צדיק יום השביעי שבת, כי בו שבת כנ"ל והוא ג"ד חושבן שבע וכן הטפה ו"י שנעשית ז' וכן הצדיק ועטרה י' על ו' - ז', והשביעי הוא אותיות יבש"ה ע"י, ואותיות ע"י הוא חושבן יסוד, סוד - בצדיק, ג"ד, ויו"ד הוא הזרע, יו"ד דגי"ד, וזה שאומר דא גי"ד ואמר ותנח התיבה - דביה נייחא בשביעי כנ"ל, כי בו שבת, נח נייחא דילה, ואמר דמיניה אריק זרע כו' רוצה לומר שזה שאומר לחיות זרע וכמו שבארנו שם ולקיימא זרעא דכולא דכתיב לחיות זרע, והוא ויקא את יונה דתיבת נח ששלח אל היבשה ואזלו כלהו אחריה ונאמר שרצו בארץ כו' ועיין לקמן נ"ו ב':</w:t>
      </w:r>
    </w:p>
  </w:footnote>
  <w:footnote w:id="2930">
    <w:p w:rsidR="00A13282" w:rsidRDefault="00A13282" w:rsidP="002D629A">
      <w:pPr>
        <w:pStyle w:val="a5"/>
        <w:rPr>
          <w:rtl/>
        </w:rPr>
      </w:pPr>
      <w:r>
        <w:rPr>
          <w:rStyle w:val="a7"/>
          <w:rtl/>
        </w:rPr>
        <w:footnoteRef/>
      </w:r>
      <w:r>
        <w:rPr>
          <w:rtl/>
        </w:rPr>
        <w:t xml:space="preserve"> </w:t>
      </w:r>
      <w:r>
        <w:rPr>
          <w:b/>
          <w:bCs/>
          <w:rtl/>
        </w:rPr>
        <w:t>דתהא כבדה.</w:t>
      </w:r>
      <w:r>
        <w:rPr>
          <w:rtl/>
        </w:rPr>
        <w:t xml:space="preserve"> דהיא דלת דלה, ובההוא זרע נעשית ה' ואז היא כבדה כמעוברת:</w:t>
      </w:r>
    </w:p>
  </w:footnote>
  <w:footnote w:id="2931">
    <w:p w:rsidR="00A13282" w:rsidRDefault="00A13282" w:rsidP="002D629A">
      <w:pPr>
        <w:pStyle w:val="a5"/>
        <w:rPr>
          <w:rtl/>
        </w:rPr>
      </w:pPr>
      <w:r>
        <w:rPr>
          <w:rStyle w:val="a7"/>
          <w:rtl/>
        </w:rPr>
        <w:footnoteRef/>
      </w:r>
      <w:r>
        <w:rPr>
          <w:rtl/>
        </w:rPr>
        <w:t xml:space="preserve"> </w:t>
      </w:r>
      <w:r>
        <w:rPr>
          <w:b/>
          <w:bCs/>
          <w:rtl/>
        </w:rPr>
        <w:t>דאי הוו נפקין ביה כו'.</w:t>
      </w:r>
      <w:r>
        <w:rPr>
          <w:rtl/>
        </w:rPr>
        <w:t xml:space="preserve"> עיין ברעיא מהימנא פרשת משפטים דבשמאל דוחה, דאף שהתחלת הגאולה ביה מכל מקום לא יפקון ביה שלא יהא יציאתן בדין וכמו בבריאת העולם, בתחילה כו' ראה שאין העולם מתקיים שיתף כו' וזהו הפלוגתא אי בתשרי נברא העולם (ר"ה י ע"ב) וכן הגאולה (תנחומא בא ט), או בניסן, ושניהם אמת, על המחשבה והמעשה, והוא בחו"ב - מחשבה ומעשה:</w:t>
      </w:r>
    </w:p>
  </w:footnote>
  <w:footnote w:id="2932">
    <w:p w:rsidR="00A13282" w:rsidRDefault="00A13282" w:rsidP="002D629A">
      <w:pPr>
        <w:pStyle w:val="a5"/>
        <w:rPr>
          <w:rtl/>
        </w:rPr>
      </w:pPr>
      <w:r>
        <w:rPr>
          <w:rStyle w:val="a7"/>
          <w:rtl/>
        </w:rPr>
        <w:footnoteRef/>
      </w:r>
      <w:r>
        <w:rPr>
          <w:rtl/>
        </w:rPr>
        <w:t xml:space="preserve"> </w:t>
      </w:r>
      <w:r>
        <w:rPr>
          <w:b/>
          <w:bCs/>
          <w:rtl/>
        </w:rPr>
        <w:t>ולא ישתארון כו'.</w:t>
      </w:r>
      <w:r>
        <w:rPr>
          <w:rtl/>
        </w:rPr>
        <w:t xml:space="preserve"> כמו שכתוב (ירמיהו ג יד) ולקחתי אתכם אחד כו':</w:t>
      </w:r>
    </w:p>
  </w:footnote>
  <w:footnote w:id="2933">
    <w:p w:rsidR="00A13282" w:rsidRDefault="00A13282" w:rsidP="002D629A">
      <w:pPr>
        <w:pStyle w:val="a5"/>
        <w:rPr>
          <w:rtl/>
        </w:rPr>
      </w:pPr>
      <w:r>
        <w:rPr>
          <w:rStyle w:val="a7"/>
          <w:rtl/>
        </w:rPr>
        <w:footnoteRef/>
      </w:r>
      <w:r>
        <w:rPr>
          <w:rtl/>
        </w:rPr>
        <w:t xml:space="preserve"> </w:t>
      </w:r>
      <w:r>
        <w:rPr>
          <w:b/>
          <w:bCs/>
          <w:rtl/>
        </w:rPr>
        <w:t>חד מעיר כגון כו'.</w:t>
      </w:r>
      <w:r>
        <w:rPr>
          <w:rtl/>
        </w:rPr>
        <w:t xml:space="preserve"> שכל הענין על הגאולה כנ"ל, וראוים היו לצאת כמו בנח אלא שמשה בקש רחמים שלא ימותו ויצאו ברחמים כמו שאומר לקמן ובתיקוני זוהר חדש בארוכה ויצאו ברחמים כמו שאומר לקמן בתיקון כ”ב בארוכה:</w:t>
      </w:r>
    </w:p>
  </w:footnote>
  <w:footnote w:id="2934">
    <w:p w:rsidR="00A13282" w:rsidRDefault="00A13282" w:rsidP="002D629A">
      <w:pPr>
        <w:pStyle w:val="a5"/>
        <w:rPr>
          <w:rtl/>
        </w:rPr>
      </w:pPr>
      <w:r>
        <w:rPr>
          <w:rStyle w:val="a7"/>
          <w:rtl/>
        </w:rPr>
        <w:footnoteRef/>
      </w:r>
      <w:r>
        <w:rPr>
          <w:rtl/>
        </w:rPr>
        <w:t xml:space="preserve"> </w:t>
      </w:r>
      <w:r>
        <w:rPr>
          <w:b/>
          <w:bCs/>
          <w:rtl/>
        </w:rPr>
        <w:t>כגון שם ויפת.</w:t>
      </w:r>
      <w:r>
        <w:rPr>
          <w:rtl/>
        </w:rPr>
        <w:t xml:space="preserve"> וחם הוא מה שכתוב (ישעיהו סא ה) ועמדו זרים כו', שהוא עבד עבדים יהיה לאחיו:</w:t>
      </w:r>
    </w:p>
  </w:footnote>
  <w:footnote w:id="2935">
    <w:p w:rsidR="00A13282" w:rsidRDefault="00A13282" w:rsidP="002D629A">
      <w:pPr>
        <w:pStyle w:val="a5"/>
        <w:rPr>
          <w:rtl/>
        </w:rPr>
      </w:pPr>
      <w:r>
        <w:rPr>
          <w:rStyle w:val="a7"/>
          <w:rtl/>
        </w:rPr>
        <w:footnoteRef/>
      </w:r>
      <w:r>
        <w:rPr>
          <w:rtl/>
        </w:rPr>
        <w:t xml:space="preserve"> </w:t>
      </w:r>
      <w:r>
        <w:rPr>
          <w:b/>
          <w:bCs/>
          <w:rtl/>
        </w:rPr>
        <w:t>תרין יומין דר"ה ויוה"כ תרין יומין דעצרת.</w:t>
      </w:r>
      <w:r>
        <w:rPr>
          <w:rtl/>
        </w:rPr>
        <w:t xml:space="preserve"> רוצה לומר דעצרת - שבועות ושמיני עצרת, דשניהם נקראים עצרת, וראש השנה ויום הכפורים ענין אחד, וכן שבועות ושמיני עצרת, ומפרש מה שכתוב שנים שנים - שארבעה נלקחו מבהמה טמאה, שני זכרים ושתי נקבות, וחנוכה ופורים ודאי אינן מימים טובים, רק הן תמורת ההלל ושמחה שחסר בהם, כמו שבארנו במקום אחר (נח הוא שבת, נייחא דכולא, ושם ויפת הן ראש חודש שני ימים, ולפי שהעיקר הוא יום השני והוא נגד שם, מלא וחסר א' ב') חם הוא ימי המלאכה, חול, עבד עבדים יהיה לאחיו, ששת ימים תעבוד כו', ועמדו זרים כו' כנ"ל, והשאר - וימחו מן הארץ (בראשית ז כג), (תהלים א ה) על כן לא יקומו רשעים כו', (ישעיהו סו כד) והיו דראון לכל בשר:</w:t>
      </w:r>
    </w:p>
  </w:footnote>
  <w:footnote w:id="2936">
    <w:p w:rsidR="00A13282" w:rsidRDefault="00A13282" w:rsidP="002D629A">
      <w:pPr>
        <w:pStyle w:val="a5"/>
        <w:rPr>
          <w:rtl/>
        </w:rPr>
      </w:pPr>
      <w:r>
        <w:rPr>
          <w:rStyle w:val="a7"/>
          <w:rtl/>
        </w:rPr>
        <w:footnoteRef/>
      </w:r>
      <w:r>
        <w:rPr>
          <w:rtl/>
        </w:rPr>
        <w:t xml:space="preserve"> </w:t>
      </w:r>
      <w:r>
        <w:rPr>
          <w:b/>
          <w:bCs/>
          <w:rtl/>
        </w:rPr>
        <w:t xml:space="preserve">תיבת נח יה"כ. </w:t>
      </w:r>
      <w:r>
        <w:rPr>
          <w:rtl/>
        </w:rPr>
        <w:t>רוצה לומר תיבה לשון תיובתא, וכן אמר על ויפתח נח את חלון התיבה דא איהו בעשרת ימי תשובה דחלונות התשובה פתוחים:</w:t>
      </w:r>
    </w:p>
  </w:footnote>
  <w:footnote w:id="2937">
    <w:p w:rsidR="00A13282" w:rsidRDefault="00A13282" w:rsidP="002D629A">
      <w:pPr>
        <w:pStyle w:val="a5"/>
        <w:rPr>
          <w:rtl/>
        </w:rPr>
      </w:pPr>
      <w:r>
        <w:rPr>
          <w:rStyle w:val="a7"/>
          <w:rtl/>
        </w:rPr>
        <w:footnoteRef/>
      </w:r>
      <w:r>
        <w:rPr>
          <w:rtl/>
        </w:rPr>
        <w:t xml:space="preserve"> </w:t>
      </w:r>
      <w:r>
        <w:rPr>
          <w:b/>
          <w:bCs/>
          <w:rtl/>
        </w:rPr>
        <w:t>ואלין יומין דחול.</w:t>
      </w:r>
      <w:r>
        <w:rPr>
          <w:rtl/>
        </w:rPr>
        <w:t xml:space="preserve"> הוא ענין אחר דדריש על בני אדם ולא מצאה היונה כו' ותבא אליו היונה כו', על רשעים וצדיקים, ועוד דריש על ימי החול ושבת, והכל ענין אחד, דצדיקים נגד שבתות שהם נטרו שבתות, ורשעים שלא נטרו שבתות נגד ימי החול, וזה שאומר אלין דלא הוו נטרין כו', צדיקים גמורים דנטרין כו':</w:t>
      </w:r>
    </w:p>
  </w:footnote>
  <w:footnote w:id="2938">
    <w:p w:rsidR="00A13282" w:rsidRDefault="00A13282" w:rsidP="002D629A">
      <w:pPr>
        <w:pStyle w:val="a5"/>
        <w:rPr>
          <w:rtl/>
        </w:rPr>
      </w:pPr>
      <w:r>
        <w:rPr>
          <w:rStyle w:val="a7"/>
          <w:rtl/>
        </w:rPr>
        <w:footnoteRef/>
      </w:r>
      <w:r>
        <w:rPr>
          <w:rtl/>
        </w:rPr>
        <w:t xml:space="preserve"> </w:t>
      </w:r>
      <w:r>
        <w:rPr>
          <w:b/>
          <w:bCs/>
          <w:rtl/>
        </w:rPr>
        <w:t>אלין דנטרין ח"י דשבתות ויו"ט כו'.</w:t>
      </w:r>
      <w:r>
        <w:rPr>
          <w:rtl/>
        </w:rPr>
        <w:t xml:space="preserve"> רוצה לומר ח"י דימים טובים כנ"ל וכן ח"י דשבת, אות שבת בתחומים כנ"ל:</w:t>
      </w:r>
    </w:p>
  </w:footnote>
  <w:footnote w:id="2939">
    <w:p w:rsidR="00A13282" w:rsidRDefault="00A13282" w:rsidP="002D629A">
      <w:pPr>
        <w:pStyle w:val="a5"/>
        <w:rPr>
          <w:rtl/>
        </w:rPr>
      </w:pPr>
      <w:r>
        <w:rPr>
          <w:rStyle w:val="a7"/>
          <w:rtl/>
        </w:rPr>
        <w:footnoteRef/>
      </w:r>
      <w:r>
        <w:rPr>
          <w:rtl/>
        </w:rPr>
        <w:t xml:space="preserve"> </w:t>
      </w:r>
      <w:r>
        <w:rPr>
          <w:b/>
          <w:bCs/>
          <w:rtl/>
        </w:rPr>
        <w:t xml:space="preserve">לעת ערב ודא כו'. </w:t>
      </w:r>
      <w:r>
        <w:rPr>
          <w:rtl/>
        </w:rPr>
        <w:t>דנשמה יתירה נחתא עלייהו לעת ערב דערב שבת והוא התפשטות השכינה נקודה דילה כמו שאמרו בזוהר פרשת ויקהל, וצדיקים גמורים אף בימות החול הן שבת כמו שאומר למעלה בכמה מקומות, ואמר ודא ערב שבת נגד ימי החול שאמר למעלה ועוד דעיקר השראת השכינה בגלותא דלית לה נייחא אלא בשבת וימים טובים:</w:t>
      </w:r>
    </w:p>
  </w:footnote>
  <w:footnote w:id="2940">
    <w:p w:rsidR="00A13282" w:rsidRDefault="00A13282" w:rsidP="002D629A">
      <w:pPr>
        <w:pStyle w:val="a5"/>
        <w:rPr>
          <w:rtl/>
        </w:rPr>
      </w:pPr>
      <w:r>
        <w:rPr>
          <w:rStyle w:val="a7"/>
          <w:rtl/>
        </w:rPr>
        <w:footnoteRef/>
      </w:r>
      <w:r>
        <w:rPr>
          <w:rtl/>
        </w:rPr>
        <w:t xml:space="preserve"> </w:t>
      </w:r>
      <w:r>
        <w:rPr>
          <w:b/>
          <w:bCs/>
          <w:rtl/>
        </w:rPr>
        <w:t xml:space="preserve">בגין דאינון קודש. </w:t>
      </w:r>
      <w:r>
        <w:rPr>
          <w:rtl/>
        </w:rPr>
        <w:t>הוא מה שאמר למעלה דתלמידי חכמים נקראים שבת:</w:t>
      </w:r>
    </w:p>
  </w:footnote>
  <w:footnote w:id="2941">
    <w:p w:rsidR="00A13282" w:rsidRDefault="00A13282" w:rsidP="002D629A">
      <w:pPr>
        <w:pStyle w:val="a5"/>
        <w:rPr>
          <w:rtl/>
        </w:rPr>
      </w:pPr>
      <w:r>
        <w:rPr>
          <w:rStyle w:val="a7"/>
          <w:rtl/>
        </w:rPr>
        <w:footnoteRef/>
      </w:r>
      <w:r>
        <w:rPr>
          <w:rtl/>
        </w:rPr>
        <w:t xml:space="preserve"> </w:t>
      </w:r>
      <w:r>
        <w:rPr>
          <w:b/>
          <w:bCs/>
          <w:rtl/>
        </w:rPr>
        <w:t xml:space="preserve">ואתם הדבקים כו'. </w:t>
      </w:r>
      <w:r>
        <w:rPr>
          <w:rtl/>
        </w:rPr>
        <w:t>רוצה לומר הוא ח"י דשבתות וימים טובים, ולכן נכתבים לאלתר לחיים כמו שמפרש והולך ואינון צדיקים והכל בגין דנטרין ימים שנקראים קדש ואינון קדש כנ"ל וכמו שכתוב (ישעיהו ד ג) קדוש יאמר לו כל הכתוב לחיים בירושלים, וזה שאומר וכתיבין בספרא דחיי ורוצה לומר לאלתר לחיים ביום ראש השנה שאף שיצאו בתשרי מסטרא דראש השנה, נכתבים לחיים כנ"ל אבל בינונים מפרש והולך תליין כו' שיחזרון בתשובה כמו שכתוב (זכריה יג ט) וצרפתים כצרוף כו' וישובו מהם וזה שאומר אם תייבין כו' ואמר דכלילן כו' דכלילן מפקודין וחובין כמו שאומר למטה:</w:t>
      </w:r>
    </w:p>
  </w:footnote>
  <w:footnote w:id="2942">
    <w:p w:rsidR="00A13282" w:rsidRDefault="00A13282" w:rsidP="002D629A">
      <w:pPr>
        <w:pStyle w:val="a5"/>
        <w:rPr>
          <w:rtl/>
        </w:rPr>
      </w:pPr>
      <w:r>
        <w:rPr>
          <w:rStyle w:val="a7"/>
          <w:rtl/>
        </w:rPr>
        <w:footnoteRef/>
      </w:r>
      <w:r>
        <w:rPr>
          <w:rtl/>
        </w:rPr>
        <w:t xml:space="preserve"> </w:t>
      </w:r>
      <w:r>
        <w:rPr>
          <w:b/>
          <w:bCs/>
          <w:rtl/>
        </w:rPr>
        <w:t xml:space="preserve">מכל החי כו'. </w:t>
      </w:r>
      <w:r>
        <w:rPr>
          <w:rtl/>
        </w:rPr>
        <w:t>דנכתבין לחיים ואתם הדבקים כו' כנ"ל:</w:t>
      </w:r>
    </w:p>
  </w:footnote>
  <w:footnote w:id="2943">
    <w:p w:rsidR="00A13282" w:rsidRDefault="00A13282" w:rsidP="002D629A">
      <w:pPr>
        <w:pStyle w:val="a5"/>
        <w:rPr>
          <w:rtl/>
        </w:rPr>
      </w:pPr>
      <w:r>
        <w:rPr>
          <w:rStyle w:val="a7"/>
          <w:rtl/>
        </w:rPr>
        <w:footnoteRef/>
      </w:r>
      <w:r>
        <w:rPr>
          <w:rtl/>
        </w:rPr>
        <w:t xml:space="preserve"> </w:t>
      </w:r>
      <w:r>
        <w:rPr>
          <w:b/>
          <w:bCs/>
          <w:rtl/>
        </w:rPr>
        <w:t xml:space="preserve">מכל בשר כו'. </w:t>
      </w:r>
      <w:r>
        <w:rPr>
          <w:rtl/>
        </w:rPr>
        <w:t>כמו שכתוב (בראשית ו ג) בשגם הוא בשר כו':</w:t>
      </w:r>
    </w:p>
  </w:footnote>
  <w:footnote w:id="2944">
    <w:p w:rsidR="00A13282" w:rsidRDefault="00A13282" w:rsidP="002D629A">
      <w:pPr>
        <w:pStyle w:val="a5"/>
        <w:rPr>
          <w:rtl/>
        </w:rPr>
      </w:pPr>
      <w:r>
        <w:rPr>
          <w:rStyle w:val="a7"/>
          <w:rtl/>
        </w:rPr>
        <w:footnoteRef/>
      </w:r>
      <w:r>
        <w:rPr>
          <w:rtl/>
        </w:rPr>
        <w:t xml:space="preserve"> </w:t>
      </w:r>
      <w:r>
        <w:rPr>
          <w:b/>
          <w:bCs/>
          <w:rtl/>
        </w:rPr>
        <w:t>ואחיד בדרועא כו'.</w:t>
      </w:r>
      <w:r>
        <w:rPr>
          <w:rtl/>
        </w:rPr>
        <w:t xml:space="preserve"> שלשה ספרים הנפתחים, והוא רוצה לזכות אף לאלין דלא תאבו וכמו שאמרו (סנהדרין קיא) במרגלים ועתה יגדל נא כו' כאשר אמרת - אף לרשעים:</w:t>
      </w:r>
    </w:p>
  </w:footnote>
  <w:footnote w:id="2945">
    <w:p w:rsidR="00A13282" w:rsidRDefault="00A13282" w:rsidP="002D629A">
      <w:pPr>
        <w:pStyle w:val="a5"/>
        <w:rPr>
          <w:rtl/>
        </w:rPr>
      </w:pPr>
      <w:r>
        <w:rPr>
          <w:rStyle w:val="a7"/>
          <w:rtl/>
        </w:rPr>
        <w:footnoteRef/>
      </w:r>
      <w:r>
        <w:rPr>
          <w:rtl/>
        </w:rPr>
        <w:t xml:space="preserve"> </w:t>
      </w:r>
      <w:r>
        <w:rPr>
          <w:b/>
          <w:bCs/>
          <w:rtl/>
        </w:rPr>
        <w:t xml:space="preserve">ואמר קב"ה אלין כו'. </w:t>
      </w:r>
      <w:r>
        <w:rPr>
          <w:rtl/>
        </w:rPr>
        <w:t>הוא קודם בקשת משה כמו שמפרש והולך ובגין דלא יתאביד כו' ובגיניה וינחם כו':</w:t>
      </w:r>
    </w:p>
  </w:footnote>
  <w:footnote w:id="2946">
    <w:p w:rsidR="00A13282" w:rsidRDefault="00A13282" w:rsidP="002D629A">
      <w:pPr>
        <w:pStyle w:val="a5"/>
        <w:rPr>
          <w:rtl/>
        </w:rPr>
      </w:pPr>
      <w:r>
        <w:rPr>
          <w:rStyle w:val="a7"/>
          <w:rtl/>
        </w:rPr>
        <w:footnoteRef/>
      </w:r>
      <w:r>
        <w:rPr>
          <w:rtl/>
        </w:rPr>
        <w:t xml:space="preserve"> </w:t>
      </w:r>
      <w:r>
        <w:rPr>
          <w:b/>
          <w:bCs/>
          <w:rtl/>
        </w:rPr>
        <w:t>אתעביד חול.</w:t>
      </w:r>
      <w:r>
        <w:rPr>
          <w:rtl/>
        </w:rPr>
        <w:t xml:space="preserve"> שהן כלולין הקודש וחול והוא סובל חול דלהון:</w:t>
      </w:r>
    </w:p>
  </w:footnote>
  <w:footnote w:id="2947">
    <w:p w:rsidR="00A13282" w:rsidRDefault="00A13282" w:rsidP="002D629A">
      <w:pPr>
        <w:pStyle w:val="a5"/>
        <w:rPr>
          <w:rtl/>
        </w:rPr>
      </w:pPr>
      <w:r>
        <w:rPr>
          <w:rStyle w:val="a7"/>
          <w:rtl/>
        </w:rPr>
        <w:footnoteRef/>
      </w:r>
      <w:r>
        <w:rPr>
          <w:rtl/>
        </w:rPr>
        <w:t xml:space="preserve"> </w:t>
      </w:r>
      <w:r>
        <w:rPr>
          <w:b/>
          <w:bCs/>
          <w:rtl/>
        </w:rPr>
        <w:t>דיסורין דעניותא.</w:t>
      </w:r>
      <w:r>
        <w:rPr>
          <w:rtl/>
        </w:rPr>
        <w:t xml:space="preserve"> כמו שאמרו (משנה סוטה ט טו) יסובבו מעיר לעיר ולא יחוננו וחכמת סופרים תסרח ויראי כו' וזה שאומר אתעביד חול כו'</w:t>
      </w:r>
      <w:r>
        <w:rPr>
          <w:b/>
          <w:bCs/>
          <w:rtl/>
        </w:rPr>
        <w:t>:</w:t>
      </w:r>
    </w:p>
  </w:footnote>
  <w:footnote w:id="2948">
    <w:p w:rsidR="00A13282" w:rsidRDefault="00A13282" w:rsidP="002D629A">
      <w:pPr>
        <w:pStyle w:val="a5"/>
        <w:rPr>
          <w:rtl/>
        </w:rPr>
      </w:pPr>
      <w:r>
        <w:rPr>
          <w:rStyle w:val="a7"/>
          <w:rtl/>
        </w:rPr>
        <w:footnoteRef/>
      </w:r>
      <w:r>
        <w:rPr>
          <w:rtl/>
        </w:rPr>
        <w:t xml:space="preserve"> </w:t>
      </w:r>
      <w:r>
        <w:rPr>
          <w:b/>
          <w:bCs/>
          <w:rtl/>
        </w:rPr>
        <w:t>שמאל דוחה לבינונים כו'.</w:t>
      </w:r>
      <w:r>
        <w:rPr>
          <w:rtl/>
        </w:rPr>
        <w:t xml:space="preserve"> שלא יצאו בתשרי כנ"ל וכמו בכל ראש השנה שהוא דוחה שלא יכתבו בה כדי שלא ימותו, ואינן נכתבין עד יום הכפורים בתיובתא, כן הוא בגאולה עד ניסן שהוא רחמים ויצאו ברחמים כמו שאומר לקמן ס"ה ב' ס"ו א' עיין שם בדבריו:</w:t>
      </w:r>
    </w:p>
  </w:footnote>
  <w:footnote w:id="2949">
    <w:p w:rsidR="00A13282" w:rsidRDefault="00A13282" w:rsidP="002D629A">
      <w:pPr>
        <w:pStyle w:val="a5"/>
        <w:rPr>
          <w:rtl/>
        </w:rPr>
      </w:pPr>
      <w:r>
        <w:rPr>
          <w:rStyle w:val="a7"/>
          <w:rtl/>
        </w:rPr>
        <w:footnoteRef/>
      </w:r>
      <w:r>
        <w:rPr>
          <w:rtl/>
        </w:rPr>
        <w:t xml:space="preserve"> </w:t>
      </w:r>
      <w:r>
        <w:rPr>
          <w:b/>
          <w:bCs/>
          <w:rtl/>
        </w:rPr>
        <w:t>ויוקים לון כו'.</w:t>
      </w:r>
      <w:r>
        <w:rPr>
          <w:rtl/>
        </w:rPr>
        <w:t xml:space="preserve"> דבימינא מוקים לון וכמו שאומר לעיל מ"ג ב' ובימינא יקים לון דמאן דנפל לא צריך לאוקמא כו' עיין שם, והוא נפילו שנפלו בחובין דלהון:</w:t>
      </w:r>
    </w:p>
  </w:footnote>
  <w:footnote w:id="2950">
    <w:p w:rsidR="00A13282" w:rsidRDefault="00A13282" w:rsidP="002D629A">
      <w:pPr>
        <w:pStyle w:val="a5"/>
        <w:rPr>
          <w:rtl/>
        </w:rPr>
      </w:pPr>
      <w:r>
        <w:rPr>
          <w:rStyle w:val="a7"/>
          <w:rtl/>
        </w:rPr>
        <w:footnoteRef/>
      </w:r>
      <w:r>
        <w:rPr>
          <w:rtl/>
        </w:rPr>
        <w:t xml:space="preserve"> </w:t>
      </w:r>
      <w:r>
        <w:rPr>
          <w:b/>
          <w:bCs/>
          <w:rtl/>
        </w:rPr>
        <w:t xml:space="preserve">דאיהו מתן תורה רחמי וביה כנשר כו'. </w:t>
      </w:r>
      <w:r>
        <w:rPr>
          <w:rtl/>
        </w:rPr>
        <w:t>רוצה לומר דתורה הוא בעמודא דאמצעיתא, ת"ת, רחמים, והוא נשר שהוא חיה דיעקב בת"ת והנשר רחמני מאד:</w:t>
      </w:r>
    </w:p>
  </w:footnote>
  <w:footnote w:id="2951">
    <w:p w:rsidR="00A13282" w:rsidRDefault="00A13282" w:rsidP="002D629A">
      <w:pPr>
        <w:pStyle w:val="a5"/>
        <w:rPr>
          <w:rtl/>
        </w:rPr>
      </w:pPr>
      <w:r>
        <w:rPr>
          <w:rStyle w:val="a7"/>
          <w:rtl/>
        </w:rPr>
        <w:footnoteRef/>
      </w:r>
      <w:r>
        <w:rPr>
          <w:rtl/>
        </w:rPr>
        <w:t xml:space="preserve"> </w:t>
      </w:r>
      <w:r>
        <w:rPr>
          <w:b/>
          <w:bCs/>
          <w:rtl/>
        </w:rPr>
        <w:t>מאן קנו כו'.</w:t>
      </w:r>
      <w:r>
        <w:rPr>
          <w:rtl/>
        </w:rPr>
        <w:t xml:space="preserve"> דשכינתא עילאה מקננת בה ומתפרנסת ממנה, וכמו שאומר לעיל מ"ה ב' נשרא דאתפרנסת כו', זה שאומר דעלה אתמר כנשר יעיר כו':</w:t>
      </w:r>
    </w:p>
  </w:footnote>
  <w:footnote w:id="2952">
    <w:p w:rsidR="00A13282" w:rsidRDefault="00A13282" w:rsidP="002D629A">
      <w:pPr>
        <w:pStyle w:val="a5"/>
        <w:rPr>
          <w:rtl/>
        </w:rPr>
      </w:pPr>
      <w:r>
        <w:rPr>
          <w:rStyle w:val="a7"/>
          <w:rtl/>
        </w:rPr>
        <w:footnoteRef/>
      </w:r>
      <w:r>
        <w:rPr>
          <w:rtl/>
        </w:rPr>
        <w:t xml:space="preserve"> </w:t>
      </w:r>
      <w:r>
        <w:rPr>
          <w:b/>
          <w:bCs/>
          <w:rtl/>
        </w:rPr>
        <w:t>דאתמר ביה קטנתי כו'.</w:t>
      </w:r>
      <w:r>
        <w:rPr>
          <w:rtl/>
        </w:rPr>
        <w:t xml:space="preserve"> דצדיקים נקראים על שם הלבנה, מאור הקטן, כנסת ישראל, בנה הקטן - ומקטינים עצמם, ועשו בנה הגדול מונה למאור הגדול והם גדולים בעולם הזה בעותרא בכולא אבל בההוא זימנא אתהפך להו:</w:t>
      </w:r>
    </w:p>
  </w:footnote>
  <w:footnote w:id="2953">
    <w:p w:rsidR="00A13282" w:rsidRDefault="00A13282" w:rsidP="002D629A">
      <w:pPr>
        <w:pStyle w:val="a5"/>
        <w:rPr>
          <w:rtl/>
        </w:rPr>
      </w:pPr>
      <w:r>
        <w:rPr>
          <w:rStyle w:val="a7"/>
          <w:rtl/>
        </w:rPr>
        <w:footnoteRef/>
      </w:r>
      <w:r>
        <w:rPr>
          <w:rtl/>
        </w:rPr>
        <w:t xml:space="preserve"> </w:t>
      </w:r>
      <w:r>
        <w:rPr>
          <w:b/>
          <w:bCs/>
          <w:rtl/>
        </w:rPr>
        <w:t xml:space="preserve">זקף גדול בימינא. </w:t>
      </w:r>
      <w:r>
        <w:rPr>
          <w:rtl/>
        </w:rPr>
        <w:t>דהוא גדולה וכמו שאומר לעיל נ"ה א' מאי בימינך כו':</w:t>
      </w:r>
    </w:p>
  </w:footnote>
  <w:footnote w:id="2954">
    <w:p w:rsidR="00A13282" w:rsidRDefault="00A13282" w:rsidP="002D629A">
      <w:pPr>
        <w:pStyle w:val="a5"/>
        <w:rPr>
          <w:rtl/>
        </w:rPr>
      </w:pPr>
      <w:r>
        <w:rPr>
          <w:rStyle w:val="a7"/>
          <w:rtl/>
        </w:rPr>
        <w:footnoteRef/>
      </w:r>
      <w:r>
        <w:rPr>
          <w:rtl/>
        </w:rPr>
        <w:t xml:space="preserve"> </w:t>
      </w:r>
      <w:r>
        <w:rPr>
          <w:b/>
          <w:bCs/>
          <w:rtl/>
        </w:rPr>
        <w:t>בגין דמוליך כו'.</w:t>
      </w:r>
      <w:r>
        <w:rPr>
          <w:rtl/>
        </w:rPr>
        <w:t xml:space="preserve"> עיין לקמן ס"ה ב' בארוכה ומה שנבאר שם:</w:t>
      </w:r>
    </w:p>
  </w:footnote>
  <w:footnote w:id="2955">
    <w:p w:rsidR="00A13282" w:rsidRDefault="00A13282" w:rsidP="002D629A">
      <w:pPr>
        <w:pStyle w:val="a5"/>
        <w:rPr>
          <w:rtl/>
        </w:rPr>
      </w:pPr>
      <w:r>
        <w:rPr>
          <w:rStyle w:val="a7"/>
          <w:rtl/>
        </w:rPr>
        <w:footnoteRef/>
      </w:r>
      <w:r>
        <w:rPr>
          <w:rtl/>
        </w:rPr>
        <w:t xml:space="preserve"> </w:t>
      </w:r>
      <w:r>
        <w:rPr>
          <w:b/>
          <w:bCs/>
          <w:rtl/>
        </w:rPr>
        <w:t>וביה מאריך כו'</w:t>
      </w:r>
      <w:r>
        <w:rPr>
          <w:rtl/>
        </w:rPr>
        <w:t>. כנ"ל דממתין להון עד דיתובון ואינן נכתבין ויוצאין בראש השנה:</w:t>
      </w:r>
    </w:p>
  </w:footnote>
  <w:footnote w:id="2956">
    <w:p w:rsidR="00A13282" w:rsidRDefault="00A13282" w:rsidP="002D629A">
      <w:pPr>
        <w:pStyle w:val="a5"/>
        <w:rPr>
          <w:rtl/>
        </w:rPr>
      </w:pPr>
      <w:r>
        <w:rPr>
          <w:rStyle w:val="a7"/>
          <w:rtl/>
        </w:rPr>
        <w:footnoteRef/>
      </w:r>
      <w:r>
        <w:rPr>
          <w:rtl/>
        </w:rPr>
        <w:t xml:space="preserve"> </w:t>
      </w:r>
      <w:r>
        <w:rPr>
          <w:b/>
          <w:bCs/>
          <w:rtl/>
        </w:rPr>
        <w:t>דאיהו ארך כו'.</w:t>
      </w:r>
      <w:r>
        <w:rPr>
          <w:rtl/>
        </w:rPr>
        <w:t xml:space="preserve"> רוצה לומר מה שאמר אף לרשעים - היינו על בינונים שהיו ראוים ליכתב בראש השנה עם הרשעים וכנ"ל:</w:t>
      </w:r>
    </w:p>
  </w:footnote>
  <w:footnote w:id="2957">
    <w:p w:rsidR="00A13282" w:rsidRDefault="00A13282" w:rsidP="002D629A">
      <w:pPr>
        <w:pStyle w:val="a5"/>
        <w:rPr>
          <w:rtl/>
        </w:rPr>
      </w:pPr>
      <w:r>
        <w:rPr>
          <w:rStyle w:val="a7"/>
          <w:rtl/>
        </w:rPr>
        <w:footnoteRef/>
      </w:r>
      <w:r>
        <w:rPr>
          <w:rtl/>
        </w:rPr>
        <w:t xml:space="preserve"> </w:t>
      </w:r>
      <w:r>
        <w:rPr>
          <w:b/>
          <w:bCs/>
          <w:rtl/>
        </w:rPr>
        <w:t>וטרח כו'.</w:t>
      </w:r>
      <w:r>
        <w:rPr>
          <w:rtl/>
        </w:rPr>
        <w:t xml:space="preserve"> זהו טרחא, והטרחא להמתין הגאולה בגינייהו וכמו שאמרו (סנהדרין צז ע"ב) מי מעכב מידת הדין מעכבת, שאלו יצאו במידת הדין כו' כנ"ל ובעונותינו יצאו כו' (שם), והשי"ת טרח בגלגולא להביאן כמו שאומר לקמן, ורעיא מהימנא בגלגולא בשבילן:</w:t>
      </w:r>
    </w:p>
  </w:footnote>
  <w:footnote w:id="2958">
    <w:p w:rsidR="00A13282" w:rsidRDefault="00A13282" w:rsidP="002D629A">
      <w:pPr>
        <w:pStyle w:val="a5"/>
        <w:rPr>
          <w:rtl/>
        </w:rPr>
      </w:pPr>
      <w:r>
        <w:rPr>
          <w:rStyle w:val="a7"/>
          <w:rtl/>
        </w:rPr>
        <w:footnoteRef/>
      </w:r>
      <w:r>
        <w:rPr>
          <w:rtl/>
        </w:rPr>
        <w:t xml:space="preserve"> </w:t>
      </w:r>
      <w:r>
        <w:rPr>
          <w:b/>
          <w:bCs/>
          <w:rtl/>
        </w:rPr>
        <w:t xml:space="preserve">וביה יפקון כו'. </w:t>
      </w:r>
      <w:r>
        <w:rPr>
          <w:rtl/>
        </w:rPr>
        <w:t xml:space="preserve"> רוצה לומר בעמודא דאמצעיתא וכן וביה מאריך טרחא הנ"ל דדרגיה לבינונים באמצע ולכן הם תלוים ועוהדים כו':</w:t>
      </w:r>
    </w:p>
  </w:footnote>
  <w:footnote w:id="2959">
    <w:p w:rsidR="00A13282" w:rsidRDefault="00A13282" w:rsidP="002D629A">
      <w:pPr>
        <w:pStyle w:val="a5"/>
        <w:rPr>
          <w:rtl/>
        </w:rPr>
      </w:pPr>
      <w:r>
        <w:rPr>
          <w:rStyle w:val="a7"/>
          <w:rtl/>
        </w:rPr>
        <w:footnoteRef/>
      </w:r>
      <w:r>
        <w:rPr>
          <w:rtl/>
        </w:rPr>
        <w:t xml:space="preserve"> </w:t>
      </w:r>
      <w:r>
        <w:rPr>
          <w:b/>
          <w:bCs/>
          <w:rtl/>
        </w:rPr>
        <w:t xml:space="preserve">בההוא זמנא כו'. </w:t>
      </w:r>
      <w:r>
        <w:rPr>
          <w:rtl/>
        </w:rPr>
        <w:t>רוצה לומר משה ישיר דהוא מסר על הבינונים ואתי בגלגולא בגינם כנ"ל:</w:t>
      </w:r>
    </w:p>
  </w:footnote>
  <w:footnote w:id="2960">
    <w:p w:rsidR="00A13282" w:rsidRDefault="00A13282" w:rsidP="002D629A">
      <w:pPr>
        <w:pStyle w:val="a5"/>
        <w:rPr>
          <w:rtl/>
        </w:rPr>
      </w:pPr>
      <w:r>
        <w:rPr>
          <w:rStyle w:val="a7"/>
          <w:rtl/>
        </w:rPr>
        <w:footnoteRef/>
      </w:r>
      <w:r>
        <w:rPr>
          <w:rtl/>
        </w:rPr>
        <w:t xml:space="preserve"> </w:t>
      </w:r>
      <w:r>
        <w:rPr>
          <w:b/>
          <w:bCs/>
          <w:rtl/>
        </w:rPr>
        <w:t xml:space="preserve"> ובסכות ויבא יעקב כו'. </w:t>
      </w:r>
      <w:r>
        <w:rPr>
          <w:rtl/>
        </w:rPr>
        <w:t>רוצה לומר בפסח השי"ת יוקים לישראל מגלותא הקמת ראש, ובשבועות יצאו מגלותא, ובסוכות יבואו לירושלים וכמו שכתוב ויעקב נסע סכותה כו' ויבא יעקב שלם והוא סוכת שלם, מלכי צדק מלך שלם:</w:t>
      </w:r>
    </w:p>
  </w:footnote>
  <w:footnote w:id="2961">
    <w:p w:rsidR="00A13282" w:rsidRDefault="00A13282" w:rsidP="002D629A">
      <w:pPr>
        <w:pStyle w:val="a5"/>
        <w:rPr>
          <w:rtl/>
        </w:rPr>
      </w:pPr>
      <w:r>
        <w:rPr>
          <w:rStyle w:val="a7"/>
          <w:rtl/>
        </w:rPr>
        <w:footnoteRef/>
      </w:r>
      <w:r>
        <w:rPr>
          <w:rtl/>
        </w:rPr>
        <w:t xml:space="preserve"> </w:t>
      </w:r>
      <w:r>
        <w:rPr>
          <w:b/>
          <w:bCs/>
          <w:rtl/>
        </w:rPr>
        <w:t xml:space="preserve">שלם בגופי'. </w:t>
      </w:r>
      <w:r>
        <w:rPr>
          <w:rtl/>
        </w:rPr>
        <w:t>דלא מתו הבינונים:</w:t>
      </w:r>
    </w:p>
  </w:footnote>
  <w:footnote w:id="2962">
    <w:p w:rsidR="00A13282" w:rsidRDefault="00A13282" w:rsidP="002D629A">
      <w:pPr>
        <w:pStyle w:val="a5"/>
        <w:rPr>
          <w:rtl/>
        </w:rPr>
      </w:pPr>
      <w:r>
        <w:rPr>
          <w:rStyle w:val="a7"/>
          <w:rtl/>
        </w:rPr>
        <w:footnoteRef/>
      </w:r>
      <w:r>
        <w:rPr>
          <w:rtl/>
        </w:rPr>
        <w:t xml:space="preserve"> </w:t>
      </w:r>
      <w:r>
        <w:rPr>
          <w:b/>
          <w:bCs/>
          <w:rtl/>
        </w:rPr>
        <w:t xml:space="preserve">ובממוני'. </w:t>
      </w:r>
      <w:r>
        <w:rPr>
          <w:rtl/>
        </w:rPr>
        <w:t xml:space="preserve">כמו שכתוב (ישעיהו ס יז) תחת הנחשת אביא כו' וכן </w:t>
      </w:r>
      <w:r>
        <w:rPr>
          <w:b/>
          <w:bCs/>
          <w:rtl/>
        </w:rPr>
        <w:t>שלם בתלמודיה.</w:t>
      </w:r>
      <w:r>
        <w:rPr>
          <w:rtl/>
        </w:rPr>
        <w:t xml:space="preserve"> כמו שכתוב (ישעיהו מא יח) אפתח על שפיים נהרות כו', כי תמלא הארץ דעה כו' (חבקוק ב יד), ותמלא הוא שלמות:</w:t>
      </w:r>
    </w:p>
  </w:footnote>
  <w:footnote w:id="2963">
    <w:p w:rsidR="00A13282" w:rsidRDefault="00A13282" w:rsidP="002D629A">
      <w:pPr>
        <w:pStyle w:val="a5"/>
        <w:rPr>
          <w:rtl/>
        </w:rPr>
      </w:pPr>
      <w:r>
        <w:rPr>
          <w:rStyle w:val="a7"/>
          <w:rtl/>
        </w:rPr>
        <w:footnoteRef/>
      </w:r>
      <w:r>
        <w:rPr>
          <w:rtl/>
        </w:rPr>
        <w:t xml:space="preserve"> </w:t>
      </w:r>
      <w:r>
        <w:rPr>
          <w:b/>
          <w:bCs/>
          <w:rtl/>
        </w:rPr>
        <w:t>כגוונא דקדמיתא כו'.</w:t>
      </w:r>
      <w:r>
        <w:rPr>
          <w:rtl/>
        </w:rPr>
        <w:t xml:space="preserve"> כדעת האומר (סוכה יא ע"ב) ענני כבוד היו, ועיין מה שבארנו באורח חיים סימן תר"ל, ועיין מה שבארנו במקום אחר כי בזמן הסוכות היה אחר שנתרצה להם הקב"ה ואמר  למשה נגד כל עמך אעשה נפלאות כו' - והוא ענני הכבוד ששרתה עליהם בקביעות:</w:t>
      </w:r>
    </w:p>
  </w:footnote>
  <w:footnote w:id="2964">
    <w:p w:rsidR="00A13282" w:rsidRDefault="00A13282" w:rsidP="002D629A">
      <w:pPr>
        <w:pStyle w:val="a5"/>
        <w:rPr>
          <w:rtl/>
        </w:rPr>
      </w:pPr>
      <w:r>
        <w:rPr>
          <w:rStyle w:val="a7"/>
          <w:rtl/>
        </w:rPr>
        <w:footnoteRef/>
      </w:r>
      <w:r>
        <w:rPr>
          <w:rtl/>
        </w:rPr>
        <w:t xml:space="preserve"> </w:t>
      </w:r>
      <w:r>
        <w:rPr>
          <w:b/>
          <w:bCs/>
          <w:rtl/>
        </w:rPr>
        <w:t xml:space="preserve">ורשיעיא דאינון כו'. </w:t>
      </w:r>
      <w:r>
        <w:rPr>
          <w:rtl/>
        </w:rPr>
        <w:t xml:space="preserve">פרי החג עד שמיני עצרת פר אחד דלא ישתארון אלא גוי אחד כמו שאמרו בזוהר פרשת פנחס. ואמר </w:t>
      </w:r>
      <w:r>
        <w:rPr>
          <w:b/>
          <w:bCs/>
          <w:rtl/>
        </w:rPr>
        <w:t xml:space="preserve">ואינון חמש כו'. </w:t>
      </w:r>
      <w:r>
        <w:rPr>
          <w:rtl/>
        </w:rPr>
        <w:t xml:space="preserve">רוצה לומר ואחד מהן עמלקים ונאמר כי מחה כו' והן מה שכתוב ויגברו כו' המים - ה' מים, ה' מינים. ואמר </w:t>
      </w:r>
      <w:r>
        <w:rPr>
          <w:b/>
          <w:bCs/>
          <w:rtl/>
        </w:rPr>
        <w:t xml:space="preserve">ועלייהו אתמר סוף פסוק. </w:t>
      </w:r>
      <w:r>
        <w:rPr>
          <w:rtl/>
        </w:rPr>
        <w:t xml:space="preserve">רוצה לומר דזהו מאריך טרחא סוף פסוק. ואמר </w:t>
      </w:r>
      <w:r>
        <w:rPr>
          <w:b/>
          <w:bCs/>
          <w:rtl/>
        </w:rPr>
        <w:t xml:space="preserve">לסוף יומיא. </w:t>
      </w:r>
      <w:r>
        <w:rPr>
          <w:rtl/>
        </w:rPr>
        <w:t>ורוצה לומר דנגד זה הוא שמיני עצרת כנ"ל:</w:t>
      </w:r>
    </w:p>
  </w:footnote>
  <w:footnote w:id="2965">
    <w:p w:rsidR="00A13282" w:rsidRDefault="00A13282" w:rsidP="002D629A">
      <w:pPr>
        <w:pStyle w:val="a5"/>
        <w:rPr>
          <w:rtl/>
        </w:rPr>
      </w:pPr>
      <w:r>
        <w:rPr>
          <w:rStyle w:val="a7"/>
          <w:rtl/>
        </w:rPr>
        <w:footnoteRef/>
      </w:r>
      <w:r>
        <w:rPr>
          <w:rtl/>
        </w:rPr>
        <w:t xml:space="preserve"> </w:t>
      </w:r>
      <w:r>
        <w:rPr>
          <w:b/>
          <w:bCs/>
          <w:rtl/>
        </w:rPr>
        <w:t>הקטן יהיה כו'.</w:t>
      </w:r>
      <w:r>
        <w:rPr>
          <w:rtl/>
        </w:rPr>
        <w:t xml:space="preserve"> וזהו זקף קטן:</w:t>
      </w:r>
    </w:p>
  </w:footnote>
  <w:footnote w:id="2966">
    <w:p w:rsidR="00A13282" w:rsidRDefault="00A13282" w:rsidP="002D629A">
      <w:pPr>
        <w:pStyle w:val="a5"/>
        <w:rPr>
          <w:rtl/>
        </w:rPr>
      </w:pPr>
      <w:r>
        <w:rPr>
          <w:rStyle w:val="a7"/>
          <w:rtl/>
        </w:rPr>
        <w:footnoteRef/>
      </w:r>
      <w:r>
        <w:rPr>
          <w:rtl/>
        </w:rPr>
        <w:t xml:space="preserve"> </w:t>
      </w:r>
      <w:r>
        <w:rPr>
          <w:b/>
          <w:bCs/>
          <w:rtl/>
        </w:rPr>
        <w:t>לגוי עצום.</w:t>
      </w:r>
      <w:r>
        <w:rPr>
          <w:rtl/>
        </w:rPr>
        <w:t xml:space="preserve"> וזהו זקף גדול:</w:t>
      </w:r>
    </w:p>
  </w:footnote>
  <w:footnote w:id="2967">
    <w:p w:rsidR="00A13282" w:rsidRDefault="00A13282" w:rsidP="002D629A">
      <w:pPr>
        <w:pStyle w:val="a5"/>
        <w:rPr>
          <w:rtl/>
        </w:rPr>
      </w:pPr>
      <w:r>
        <w:rPr>
          <w:rStyle w:val="a7"/>
          <w:rtl/>
        </w:rPr>
        <w:footnoteRef/>
      </w:r>
      <w:r>
        <w:rPr>
          <w:rtl/>
        </w:rPr>
        <w:t xml:space="preserve"> </w:t>
      </w:r>
      <w:r>
        <w:rPr>
          <w:b/>
          <w:bCs/>
          <w:rtl/>
        </w:rPr>
        <w:t xml:space="preserve">אני ה' כו'. </w:t>
      </w:r>
      <w:r>
        <w:rPr>
          <w:rtl/>
        </w:rPr>
        <w:t>כמו שאמרו (סנהדרין צח ע"א) זכו אחישנה לא זכו כו', והוא בעמודא דאמצעיתא לבינונים כנ"ל, ספר השלישי:</w:t>
      </w:r>
    </w:p>
  </w:footnote>
  <w:footnote w:id="2968">
    <w:p w:rsidR="00A13282" w:rsidRDefault="00A13282" w:rsidP="002D629A">
      <w:pPr>
        <w:pStyle w:val="a5"/>
        <w:rPr>
          <w:rtl/>
        </w:rPr>
      </w:pPr>
      <w:r>
        <w:rPr>
          <w:rStyle w:val="a7"/>
          <w:rtl/>
        </w:rPr>
        <w:footnoteRef/>
      </w:r>
      <w:r>
        <w:rPr>
          <w:rtl/>
        </w:rPr>
        <w:t xml:space="preserve"> </w:t>
      </w:r>
      <w:r>
        <w:rPr>
          <w:b/>
          <w:bCs/>
          <w:rtl/>
        </w:rPr>
        <w:t xml:space="preserve">שופר הולך. </w:t>
      </w:r>
      <w:r>
        <w:rPr>
          <w:rtl/>
        </w:rPr>
        <w:t>שהלך עמהון בגלותא, הלוך ילך ובכה כו' (תהלים קכו ו):</w:t>
      </w:r>
    </w:p>
  </w:footnote>
  <w:footnote w:id="2969">
    <w:p w:rsidR="00A13282" w:rsidRDefault="00A13282" w:rsidP="002D629A">
      <w:pPr>
        <w:pStyle w:val="a5"/>
        <w:rPr>
          <w:rtl/>
        </w:rPr>
      </w:pPr>
      <w:r>
        <w:rPr>
          <w:rStyle w:val="a7"/>
          <w:rtl/>
        </w:rPr>
        <w:footnoteRef/>
      </w:r>
      <w:r>
        <w:rPr>
          <w:rtl/>
        </w:rPr>
        <w:t xml:space="preserve"> </w:t>
      </w:r>
      <w:r>
        <w:rPr>
          <w:b/>
          <w:bCs/>
          <w:rtl/>
        </w:rPr>
        <w:t xml:space="preserve">כתיב כרסי' שביבין כו'. </w:t>
      </w:r>
      <w:r>
        <w:rPr>
          <w:rtl/>
        </w:rPr>
        <w:t>והן שני כסאות שאמרו (חגיגה יד ע"א) אחד לדין ואחד לצדקה, ועיין מה שבארנו באידרא רבא בענין כרסיה שביבין, ועיין שם באידרא רבא דעתיק יומין יתיב דהוא רחמים גדולים, ולכן אם יהיו חטאיכם כו' וכמו שכתוב (ירמיהו נ כ) ביום ההוא יבוקש חטאת כו' כי אסלח לאשר אשאיר, וזרקתי עליכם כו' (יחזקאל לו כה):</w:t>
      </w:r>
    </w:p>
  </w:footnote>
  <w:footnote w:id="2970">
    <w:p w:rsidR="00A13282" w:rsidRDefault="00A13282" w:rsidP="002D629A">
      <w:pPr>
        <w:pStyle w:val="a5"/>
        <w:rPr>
          <w:rtl/>
        </w:rPr>
      </w:pPr>
      <w:r>
        <w:rPr>
          <w:rStyle w:val="a7"/>
          <w:rtl/>
        </w:rPr>
        <w:footnoteRef/>
      </w:r>
      <w:r>
        <w:rPr>
          <w:rtl/>
        </w:rPr>
        <w:t xml:space="preserve"> </w:t>
      </w:r>
      <w:r>
        <w:rPr>
          <w:b/>
          <w:bCs/>
          <w:rtl/>
        </w:rPr>
        <w:t xml:space="preserve">עשר גלגלין כו'. </w:t>
      </w:r>
      <w:r>
        <w:rPr>
          <w:rtl/>
        </w:rPr>
        <w:t>כמו שאומר לעיל בתיקון י”ג ולקמן בתיקון כ”ח עיין שם בדבריו, דגלגלין אינון צורת יו"ד ויוד גלגלין אינון, עיין שם ושם:</w:t>
      </w:r>
    </w:p>
  </w:footnote>
  <w:footnote w:id="2971">
    <w:p w:rsidR="00A13282" w:rsidRDefault="00A13282" w:rsidP="002D629A">
      <w:pPr>
        <w:pStyle w:val="a5"/>
        <w:rPr>
          <w:rtl/>
        </w:rPr>
      </w:pPr>
      <w:r>
        <w:rPr>
          <w:rStyle w:val="a7"/>
          <w:rtl/>
        </w:rPr>
        <w:footnoteRef/>
      </w:r>
      <w:r>
        <w:rPr>
          <w:rtl/>
        </w:rPr>
        <w:t xml:space="preserve"> </w:t>
      </w:r>
      <w:r>
        <w:rPr>
          <w:b/>
          <w:bCs/>
          <w:rtl/>
        </w:rPr>
        <w:t xml:space="preserve">ושביבין מסט' כו'. </w:t>
      </w:r>
      <w:r>
        <w:rPr>
          <w:rtl/>
        </w:rPr>
        <w:t>כמו שכתוב כרסיה שביבין, וכסא הוא מסטרא דה"א, אימא מקנן בכרסיא, ורוצה לומר בזה וזהו על כס י"ה, שמהם תצא שלהבת י"ה, רשפיה כו' (שיר השירים ח ו), וכמו שאומר לקמן ס"ו ב':</w:t>
      </w:r>
    </w:p>
  </w:footnote>
  <w:footnote w:id="2972">
    <w:p w:rsidR="00A13282" w:rsidRDefault="00A13282" w:rsidP="002D629A">
      <w:pPr>
        <w:pStyle w:val="a5"/>
        <w:rPr>
          <w:rtl/>
        </w:rPr>
      </w:pPr>
      <w:r>
        <w:rPr>
          <w:rStyle w:val="a7"/>
          <w:rtl/>
        </w:rPr>
        <w:footnoteRef/>
      </w:r>
      <w:r>
        <w:rPr>
          <w:rtl/>
        </w:rPr>
        <w:t xml:space="preserve"> </w:t>
      </w:r>
      <w:r>
        <w:rPr>
          <w:b/>
          <w:bCs/>
          <w:rtl/>
        </w:rPr>
        <w:t xml:space="preserve">בההוא זמנא והיה כו'. </w:t>
      </w:r>
      <w:r>
        <w:rPr>
          <w:rtl/>
        </w:rPr>
        <w:t>סיפא דקרא ובערו שניהם כו':</w:t>
      </w:r>
    </w:p>
  </w:footnote>
  <w:footnote w:id="2973">
    <w:p w:rsidR="00A13282" w:rsidRDefault="00A13282" w:rsidP="002D629A">
      <w:pPr>
        <w:pStyle w:val="a5"/>
        <w:rPr>
          <w:rtl/>
        </w:rPr>
      </w:pPr>
      <w:r>
        <w:rPr>
          <w:rStyle w:val="a7"/>
          <w:rtl/>
        </w:rPr>
        <w:footnoteRef/>
      </w:r>
      <w:r>
        <w:rPr>
          <w:rtl/>
        </w:rPr>
        <w:t xml:space="preserve"> </w:t>
      </w:r>
      <w:r>
        <w:rPr>
          <w:b/>
          <w:bCs/>
          <w:rtl/>
        </w:rPr>
        <w:t xml:space="preserve">בההוא זמנא סליק כו' דכלילין בה' דאברהם כו'. </w:t>
      </w:r>
      <w:r>
        <w:rPr>
          <w:rtl/>
        </w:rPr>
        <w:t>דע"י ה"א נעשה חושבן רמ"ח, והיא כוללת אותן, ורוצה לומר דעתה נשלם השם י"ה כנ"ל, וו' על דרגיה וה' תרי טעמי:</w:t>
      </w:r>
    </w:p>
  </w:footnote>
  <w:footnote w:id="2974">
    <w:p w:rsidR="00A13282" w:rsidRDefault="00A13282" w:rsidP="002D629A">
      <w:pPr>
        <w:pStyle w:val="a5"/>
        <w:rPr>
          <w:rtl/>
        </w:rPr>
      </w:pPr>
      <w:r>
        <w:rPr>
          <w:rStyle w:val="a7"/>
          <w:rtl/>
        </w:rPr>
        <w:footnoteRef/>
      </w:r>
      <w:r>
        <w:rPr>
          <w:rtl/>
        </w:rPr>
        <w:t xml:space="preserve"> </w:t>
      </w:r>
      <w:r>
        <w:rPr>
          <w:b/>
          <w:bCs/>
          <w:rtl/>
        </w:rPr>
        <w:t xml:space="preserve">דבהון אתקריב כו'. </w:t>
      </w:r>
      <w:r>
        <w:rPr>
          <w:rtl/>
        </w:rPr>
        <w:t>דהיא נר מצוה, דכל הפקודין כלילין בה, וזה שאומר למעלה דכלילין בה' דאברהם, ועיין לעיל ב' א' ועוד אלין דעסקין באורייתא לשמה ונטרין פקודהא כו', וברעיא מהימנא פרשת נשא אית בר נש לבתר דיתוב מחטאוי ומתכפר ליה איהו אזיל בדרך מצוה ומתעסק בכל כחו בדחילו ורחימו דקב"ה דא זכי לתשובה תתאה דאתקרי ה', ושם קכ"ב א' וכל מאן דחזר בתיובתא כאלו חזר את ה' לאת ו' כו' ודא איהו תשובה תשוב ה' ודאי לגבי ו' כו', ואמר אתקריב כו' וקרבנא כו' דעשה לי מטעמים כו' הוא קרבנא כמו שאמרו ברעיא מהימנא פרשת אמור, ואמר למעלה דהוא קרבנא דצלותא דה"א כלילא בכל פקודין ועיין מה שבארנו שם בארוכה:</w:t>
      </w:r>
    </w:p>
  </w:footnote>
  <w:footnote w:id="2975">
    <w:p w:rsidR="00A13282" w:rsidRDefault="00A13282" w:rsidP="002D629A">
      <w:pPr>
        <w:pStyle w:val="a5"/>
        <w:rPr>
          <w:rtl/>
        </w:rPr>
      </w:pPr>
      <w:r>
        <w:rPr>
          <w:rStyle w:val="a7"/>
          <w:rtl/>
        </w:rPr>
        <w:footnoteRef/>
      </w:r>
      <w:r>
        <w:rPr>
          <w:rtl/>
        </w:rPr>
        <w:t xml:space="preserve"> </w:t>
      </w:r>
      <w:r>
        <w:rPr>
          <w:b/>
          <w:bCs/>
          <w:rtl/>
        </w:rPr>
        <w:t>הוה קריב לשמאלא.</w:t>
      </w:r>
      <w:r>
        <w:rPr>
          <w:rtl/>
        </w:rPr>
        <w:t xml:space="preserve"> דהוא יצחק:</w:t>
      </w:r>
    </w:p>
  </w:footnote>
  <w:footnote w:id="2976">
    <w:p w:rsidR="00A13282" w:rsidRDefault="00A13282" w:rsidP="002D629A">
      <w:pPr>
        <w:pStyle w:val="a5"/>
        <w:rPr>
          <w:rtl/>
        </w:rPr>
      </w:pPr>
      <w:r>
        <w:rPr>
          <w:rStyle w:val="a7"/>
          <w:rtl/>
        </w:rPr>
        <w:footnoteRef/>
      </w:r>
      <w:r>
        <w:rPr>
          <w:rtl/>
        </w:rPr>
        <w:t xml:space="preserve"> </w:t>
      </w:r>
      <w:r>
        <w:rPr>
          <w:b/>
          <w:bCs/>
          <w:rtl/>
        </w:rPr>
        <w:t xml:space="preserve">ואת עשו שנאתי. </w:t>
      </w:r>
      <w:r>
        <w:rPr>
          <w:rtl/>
        </w:rPr>
        <w:t>דהוא קריב מטעמים מרירין ולכן אמר כאשר אהבתי:</w:t>
      </w:r>
    </w:p>
  </w:footnote>
  <w:footnote w:id="2977">
    <w:p w:rsidR="00A13282" w:rsidRDefault="00A13282" w:rsidP="002D629A">
      <w:pPr>
        <w:pStyle w:val="a5"/>
        <w:rPr>
          <w:rtl/>
        </w:rPr>
      </w:pPr>
      <w:r>
        <w:rPr>
          <w:rStyle w:val="a7"/>
          <w:rtl/>
        </w:rPr>
        <w:footnoteRef/>
      </w:r>
      <w:r>
        <w:rPr>
          <w:rtl/>
        </w:rPr>
        <w:t xml:space="preserve"> </w:t>
      </w:r>
      <w:r>
        <w:rPr>
          <w:b/>
          <w:bCs/>
          <w:rtl/>
        </w:rPr>
        <w:t xml:space="preserve">עד"א מתמן אתייהיבת כו'. </w:t>
      </w:r>
      <w:r>
        <w:rPr>
          <w:rtl/>
        </w:rPr>
        <w:t>כמו שאומר לקמן בתיקון ל”ג ושאר מקומות, והוא דכליל ימינא ושמאלא, דבימינא מצוות עשה ושמאלא מצוות לא תעשה, ותורה כליל שניהם דשניהם איתנהו בה וביה נעשין אחד, דבמצות - מצוות עשה  הוא בעשה, ומצוות לא תעשה בשב ואל תעשה, ולכן שם ענפין מתפרדין, אבל בעמודא דאמצעיתא בתורה הוא אחד הכל בלמוד ומצוות עשה ולא תעשה שוין, וזהו ענין היחוד דהוא ביה, וזה שאומר עמודא דאמצעיתא מתמן כו', דלמעלה אמר ופקודין דעשה כו' ופקודין כו', ואמר עמודא דאמצעיתא כו':</w:t>
      </w:r>
    </w:p>
  </w:footnote>
  <w:footnote w:id="2978">
    <w:p w:rsidR="00A13282" w:rsidRDefault="00A13282" w:rsidP="002D629A">
      <w:pPr>
        <w:pStyle w:val="a5"/>
        <w:rPr>
          <w:rtl/>
        </w:rPr>
      </w:pPr>
      <w:r>
        <w:rPr>
          <w:rStyle w:val="a7"/>
          <w:rtl/>
        </w:rPr>
        <w:footnoteRef/>
      </w:r>
      <w:r>
        <w:rPr>
          <w:rtl/>
        </w:rPr>
        <w:t xml:space="preserve"> </w:t>
      </w:r>
      <w:r>
        <w:rPr>
          <w:b/>
          <w:bCs/>
          <w:rtl/>
        </w:rPr>
        <w:t xml:space="preserve">בההוא זמנא יתער עשן כו'. </w:t>
      </w:r>
      <w:r>
        <w:rPr>
          <w:rtl/>
        </w:rPr>
        <w:t>הוא עשן הקרבנות דעשה מטעמים, ועשן המערכה ידוע שהוא להעבירו לס"ם משמאלא, ולכן אברים ופדרים נקרבין בלילה, ועשן של מזבח הפנימי עשן הקטורת - הוא לקשרא, דקטורת הוא לשון קושר לקטרא וזה שאומר ומיד סליק עשן אחרא כו':</w:t>
      </w:r>
    </w:p>
  </w:footnote>
  <w:footnote w:id="2979">
    <w:p w:rsidR="00A13282" w:rsidRDefault="00A13282" w:rsidP="002D629A">
      <w:pPr>
        <w:pStyle w:val="a5"/>
        <w:rPr>
          <w:rtl/>
        </w:rPr>
      </w:pPr>
      <w:r>
        <w:rPr>
          <w:rStyle w:val="a7"/>
          <w:rtl/>
        </w:rPr>
        <w:footnoteRef/>
      </w:r>
      <w:r>
        <w:rPr>
          <w:rtl/>
        </w:rPr>
        <w:t xml:space="preserve"> </w:t>
      </w:r>
      <w:r>
        <w:rPr>
          <w:b/>
          <w:bCs/>
          <w:rtl/>
        </w:rPr>
        <w:t xml:space="preserve">מקטרת מור כו' מכל כו'. </w:t>
      </w:r>
      <w:r>
        <w:rPr>
          <w:rtl/>
        </w:rPr>
        <w:t xml:space="preserve">עיין לקמן נ"ו ד' מקטרת מור כו' ועוד כו', ובזוהר פרשת וישלח קע"ו ב' פתח ר' יוסי ואמר מי זאת עולה כו' מכל אבקת רוכל דא יעקב ד"א דא יוסף הצדיק כו' אמאי רוכל אלא מה חנוני דא קטירי דקוסטרי ואבקי דפולמי כלהו בידיה, הכי נמי יוסף איהו קיומא דאורייתא בגין דאיהו קיים לה, בגין דכל פקודי דאורייתא מתקשרין בנטירו דברית קדישא כו', ועיין לקמן פ"ב ב' דאינון  פטר כל רחם, דאינון רמ"ח, דכלהו קטירין בצדיק דאיהו כל כו' וכן בתיקון ל’ ע"ז א', ועיין מה שבארנו שם ושם וזה שאומר </w:t>
      </w:r>
      <w:r>
        <w:rPr>
          <w:b/>
          <w:bCs/>
          <w:rtl/>
        </w:rPr>
        <w:t xml:space="preserve">דאיהו כליל כו'. </w:t>
      </w:r>
      <w:r>
        <w:rPr>
          <w:rtl/>
        </w:rPr>
        <w:t>רוצה לומר זה שכתוב מכל - איהו כו':</w:t>
      </w:r>
    </w:p>
  </w:footnote>
  <w:footnote w:id="2980">
    <w:p w:rsidR="00A13282" w:rsidRDefault="00A13282" w:rsidP="002D629A">
      <w:pPr>
        <w:pStyle w:val="a5"/>
        <w:rPr>
          <w:rtl/>
        </w:rPr>
      </w:pPr>
      <w:r>
        <w:rPr>
          <w:rStyle w:val="a7"/>
          <w:rtl/>
        </w:rPr>
        <w:footnoteRef/>
      </w:r>
      <w:r>
        <w:rPr>
          <w:rtl/>
        </w:rPr>
        <w:t xml:space="preserve"> </w:t>
      </w:r>
      <w:r>
        <w:rPr>
          <w:b/>
          <w:bCs/>
          <w:rtl/>
        </w:rPr>
        <w:t xml:space="preserve">ואיהי כו'. </w:t>
      </w:r>
      <w:r>
        <w:rPr>
          <w:rtl/>
        </w:rPr>
        <w:t>רוצה לומר זה שכתוב אבקת רוכל וכנ"ל, ומה שאמר לפעמים בחג"ת - הכל ענין אחד, שהן שלשה קוין חד"ר. ואמר</w:t>
      </w:r>
    </w:p>
  </w:footnote>
  <w:footnote w:id="2981">
    <w:p w:rsidR="00A13282" w:rsidRDefault="00A13282" w:rsidP="002D629A">
      <w:pPr>
        <w:pStyle w:val="a5"/>
        <w:rPr>
          <w:rtl/>
        </w:rPr>
      </w:pPr>
      <w:r>
        <w:rPr>
          <w:rStyle w:val="a7"/>
          <w:rtl/>
        </w:rPr>
        <w:footnoteRef/>
      </w:r>
      <w:r>
        <w:rPr>
          <w:rtl/>
        </w:rPr>
        <w:t xml:space="preserve"> </w:t>
      </w:r>
      <w:r>
        <w:rPr>
          <w:b/>
          <w:bCs/>
          <w:rtl/>
        </w:rPr>
        <w:t xml:space="preserve">ואיהו אבקת כו'. </w:t>
      </w:r>
      <w:r>
        <w:rPr>
          <w:rtl/>
        </w:rPr>
        <w:t>שמתאבק ומתחבק בה, וזה שאומר הה"ד ודבק כו', ורוצה לומר שהוא רוכל דאבקת, ודריש אבקת עלה לפי שכתוב בתי"ו לשון  נקבה, ורוצה לומר שהיא מקוטר מכל אבקת דרוכל וכל אבק בידיה כנ"ל. ואמר</w:t>
      </w:r>
    </w:p>
  </w:footnote>
  <w:footnote w:id="2982">
    <w:p w:rsidR="00A13282" w:rsidRDefault="00A13282" w:rsidP="002D629A">
      <w:pPr>
        <w:pStyle w:val="a5"/>
        <w:rPr>
          <w:rtl/>
        </w:rPr>
      </w:pPr>
      <w:r>
        <w:rPr>
          <w:rStyle w:val="a7"/>
          <w:rtl/>
        </w:rPr>
        <w:footnoteRef/>
      </w:r>
      <w:r>
        <w:rPr>
          <w:rtl/>
        </w:rPr>
        <w:t xml:space="preserve"> </w:t>
      </w:r>
      <w:r>
        <w:rPr>
          <w:b/>
          <w:bCs/>
          <w:rtl/>
        </w:rPr>
        <w:t xml:space="preserve">וביה סליקת כו'. </w:t>
      </w:r>
      <w:r>
        <w:rPr>
          <w:rtl/>
        </w:rPr>
        <w:t>רוצה לומר דזה שכתוב מי זאת עולה כו' - ע"י אבקת רוכל, דבתכשיטי שמתקשטת האשה היא מתקרבת  ונושאת חן לבעלה, והוא תכשיטין דפקודין דכלילין בברית, (שיר השירים א יא) תורי זהב נעשה כו' עם נקודות הכסף, שהן פקודין דמצוות עשה ולא תעשה, כסף וזהב. ואמר</w:t>
      </w:r>
    </w:p>
  </w:footnote>
  <w:footnote w:id="2983">
    <w:p w:rsidR="00A13282" w:rsidRDefault="00A13282" w:rsidP="002D629A">
      <w:pPr>
        <w:pStyle w:val="a5"/>
        <w:rPr>
          <w:rtl/>
        </w:rPr>
      </w:pPr>
      <w:r>
        <w:rPr>
          <w:rStyle w:val="a7"/>
          <w:rtl/>
        </w:rPr>
        <w:footnoteRef/>
      </w:r>
      <w:r>
        <w:rPr>
          <w:rtl/>
        </w:rPr>
        <w:t xml:space="preserve"> </w:t>
      </w:r>
      <w:r>
        <w:rPr>
          <w:b/>
          <w:bCs/>
          <w:rtl/>
        </w:rPr>
        <w:t xml:space="preserve">שכינתא תתאה איהי כו'. </w:t>
      </w:r>
      <w:r>
        <w:rPr>
          <w:rtl/>
        </w:rPr>
        <w:t>חוזר לענין הראשון דאמר מאי קטרת דיליה דנאמר עשן הקטרת, משמע עשן של קטרת, ואגב מפרש והולך ואיהי קרבן דיליה, מזבח כו':</w:t>
      </w:r>
    </w:p>
  </w:footnote>
  <w:footnote w:id="2984">
    <w:p w:rsidR="00A13282" w:rsidRDefault="00A13282" w:rsidP="002D629A">
      <w:pPr>
        <w:pStyle w:val="a5"/>
        <w:rPr>
          <w:rtl/>
        </w:rPr>
      </w:pPr>
      <w:r>
        <w:rPr>
          <w:rStyle w:val="a7"/>
          <w:rtl/>
        </w:rPr>
        <w:footnoteRef/>
      </w:r>
      <w:r>
        <w:rPr>
          <w:rtl/>
        </w:rPr>
        <w:t xml:space="preserve"> </w:t>
      </w:r>
      <w:r>
        <w:rPr>
          <w:b/>
          <w:bCs/>
          <w:rtl/>
        </w:rPr>
        <w:t xml:space="preserve">דאינון לקבל כו'. </w:t>
      </w:r>
      <w:r>
        <w:rPr>
          <w:rtl/>
        </w:rPr>
        <w:t>הוא מרכבה דילה, שלשה אבהן, ומוסף - רגל רביעי, בצדיק דכליל בצדק, דוד מלכא:</w:t>
      </w:r>
    </w:p>
  </w:footnote>
  <w:footnote w:id="2985">
    <w:p w:rsidR="00A13282" w:rsidRDefault="00A13282" w:rsidP="002D629A">
      <w:pPr>
        <w:pStyle w:val="a5"/>
        <w:rPr>
          <w:rtl/>
        </w:rPr>
      </w:pPr>
      <w:r>
        <w:rPr>
          <w:rStyle w:val="a7"/>
          <w:rtl/>
        </w:rPr>
        <w:footnoteRef/>
      </w:r>
      <w:r>
        <w:rPr>
          <w:rtl/>
        </w:rPr>
        <w:t xml:space="preserve"> </w:t>
      </w:r>
      <w:r>
        <w:rPr>
          <w:b/>
          <w:bCs/>
          <w:rtl/>
        </w:rPr>
        <w:t xml:space="preserve">איהי משכונא כו'. </w:t>
      </w:r>
      <w:r>
        <w:rPr>
          <w:rtl/>
        </w:rPr>
        <w:t>כמו שאמרו בסוף פרשת בחקותי קי"ד א' ונתתי משכני דא שכינתא, משכני - משכונא דילי, דהיא אתמשכנא בחובא דישראל ונתתי משכונא ודאי, דריש בה שלשה אנפין: לשון שכינה ולשון דאתמשכנא ולשון משכנין - דעל כרחם ידור בינייהו, ומפרש והולך מתל לבר נש דהוה רחימא לאחרא כו' נטל כל דביתיה ואייתי לגביה כו' הא משכונא דילי לגבייכו בגין דלא אתפרש מינייכו לעלמין ואע"ג דקב"ה אתרחק מינן משכונא שביק גבן כו' עיין שם בארוכה:</w:t>
      </w:r>
    </w:p>
  </w:footnote>
  <w:footnote w:id="2986">
    <w:p w:rsidR="00A13282" w:rsidRDefault="00A13282" w:rsidP="002D629A">
      <w:pPr>
        <w:pStyle w:val="a5"/>
        <w:rPr>
          <w:rtl/>
        </w:rPr>
      </w:pPr>
      <w:r>
        <w:rPr>
          <w:rStyle w:val="a7"/>
          <w:rtl/>
        </w:rPr>
        <w:footnoteRef/>
      </w:r>
      <w:r>
        <w:rPr>
          <w:rtl/>
        </w:rPr>
        <w:t xml:space="preserve"> </w:t>
      </w:r>
      <w:r>
        <w:rPr>
          <w:b/>
          <w:bCs/>
          <w:rtl/>
        </w:rPr>
        <w:t xml:space="preserve">ושכנתי. </w:t>
      </w:r>
      <w:r>
        <w:rPr>
          <w:rtl/>
        </w:rPr>
        <w:t>כנ"ל דהיא שכינה והיא משכונא:</w:t>
      </w:r>
    </w:p>
  </w:footnote>
  <w:footnote w:id="2987">
    <w:p w:rsidR="00A13282" w:rsidRDefault="00A13282" w:rsidP="002D629A">
      <w:pPr>
        <w:pStyle w:val="a5"/>
        <w:rPr>
          <w:rtl/>
        </w:rPr>
      </w:pPr>
      <w:r>
        <w:rPr>
          <w:rStyle w:val="a7"/>
          <w:rtl/>
        </w:rPr>
        <w:footnoteRef/>
      </w:r>
      <w:r>
        <w:rPr>
          <w:rtl/>
        </w:rPr>
        <w:t xml:space="preserve"> </w:t>
      </w:r>
      <w:r>
        <w:rPr>
          <w:b/>
          <w:bCs/>
          <w:rtl/>
        </w:rPr>
        <w:t>מההוא דאתמר כו'.</w:t>
      </w:r>
      <w:r>
        <w:rPr>
          <w:rtl/>
        </w:rPr>
        <w:t xml:space="preserve"> רוצה לומר זהו מנורת המאור - נר של אור, דהיא נר והוא אור וכמו שאומר למטה ועל תרוייהו אתמר כי נר מצוה כו':</w:t>
      </w:r>
    </w:p>
  </w:footnote>
  <w:footnote w:id="2988">
    <w:p w:rsidR="00A13282" w:rsidRDefault="00A13282" w:rsidP="002D629A">
      <w:pPr>
        <w:pStyle w:val="a5"/>
        <w:rPr>
          <w:rtl/>
        </w:rPr>
      </w:pPr>
      <w:r>
        <w:rPr>
          <w:rStyle w:val="a7"/>
          <w:rtl/>
        </w:rPr>
        <w:footnoteRef/>
      </w:r>
      <w:r>
        <w:rPr>
          <w:rtl/>
        </w:rPr>
        <w:t xml:space="preserve"> </w:t>
      </w:r>
      <w:r>
        <w:rPr>
          <w:b/>
          <w:bCs/>
          <w:rtl/>
        </w:rPr>
        <w:t>כד"א להעלות כו'.</w:t>
      </w:r>
      <w:r>
        <w:rPr>
          <w:rtl/>
        </w:rPr>
        <w:t xml:space="preserve"> להעלות לבעלה, מי זאת עולה כו', והיא נר ותמיד - דלא יפרוש ממה:</w:t>
      </w:r>
    </w:p>
  </w:footnote>
  <w:footnote w:id="2989">
    <w:p w:rsidR="00A13282" w:rsidRDefault="00A13282" w:rsidP="002D629A">
      <w:pPr>
        <w:pStyle w:val="a5"/>
        <w:rPr>
          <w:rtl/>
        </w:rPr>
      </w:pPr>
      <w:r>
        <w:rPr>
          <w:rStyle w:val="a7"/>
          <w:rtl/>
        </w:rPr>
        <w:footnoteRef/>
      </w:r>
      <w:r>
        <w:rPr>
          <w:rtl/>
        </w:rPr>
        <w:t xml:space="preserve"> </w:t>
      </w:r>
      <w:r>
        <w:rPr>
          <w:b/>
          <w:bCs/>
          <w:rtl/>
        </w:rPr>
        <w:t>איהי נר לגביה מסט' כו'.</w:t>
      </w:r>
      <w:r>
        <w:rPr>
          <w:rtl/>
        </w:rPr>
        <w:t xml:space="preserve"> דנר דליק בלילה, בחושך דשמאל, והוא ויהי אור דשמאלא, אור של לילה, והוא - אור דיממא וזה שאומר ואיהו אור כו':</w:t>
      </w:r>
    </w:p>
  </w:footnote>
  <w:footnote w:id="2990">
    <w:p w:rsidR="00A13282" w:rsidRDefault="00A13282" w:rsidP="002D629A">
      <w:pPr>
        <w:pStyle w:val="a5"/>
        <w:rPr>
          <w:rtl/>
        </w:rPr>
      </w:pPr>
      <w:r>
        <w:rPr>
          <w:rStyle w:val="a7"/>
          <w:rtl/>
        </w:rPr>
        <w:footnoteRef/>
      </w:r>
      <w:r>
        <w:rPr>
          <w:rtl/>
        </w:rPr>
        <w:t xml:space="preserve"> </w:t>
      </w:r>
      <w:r>
        <w:rPr>
          <w:b/>
          <w:bCs/>
          <w:rtl/>
        </w:rPr>
        <w:t>תהא לי מקודשת כו'.</w:t>
      </w:r>
      <w:r>
        <w:rPr>
          <w:rtl/>
        </w:rPr>
        <w:t xml:space="preserve"> דנותן לה הגבורות כידוע, והיא מקודשת לי - דשמאלא נכלל בימינא, ובטבעת הוא העטרה דלא פסיק מינה לעלמין כמו שבארנו במקום אחר בארוכה וכמו שאומר לקמן פ"ו ב' רצועה כריכא כו' ואמר לקמן טבעת - טבעת דברית מילה כו':</w:t>
      </w:r>
    </w:p>
  </w:footnote>
  <w:footnote w:id="2991">
    <w:p w:rsidR="00A13282" w:rsidRDefault="00A13282" w:rsidP="002D629A">
      <w:pPr>
        <w:pStyle w:val="a5"/>
        <w:rPr>
          <w:rtl/>
        </w:rPr>
      </w:pPr>
      <w:r>
        <w:rPr>
          <w:rStyle w:val="a7"/>
          <w:rtl/>
        </w:rPr>
        <w:footnoteRef/>
      </w:r>
      <w:r>
        <w:rPr>
          <w:rtl/>
        </w:rPr>
        <w:t xml:space="preserve"> </w:t>
      </w:r>
      <w:r>
        <w:rPr>
          <w:b/>
          <w:bCs/>
          <w:rtl/>
        </w:rPr>
        <w:t>ואיהו ברכה דילה כו'.</w:t>
      </w:r>
      <w:r>
        <w:rPr>
          <w:rtl/>
        </w:rPr>
        <w:t xml:space="preserve"> כנ"ל בנר ואור:</w:t>
      </w:r>
    </w:p>
  </w:footnote>
  <w:footnote w:id="2992">
    <w:p w:rsidR="00A13282" w:rsidRDefault="00A13282" w:rsidP="002D629A">
      <w:pPr>
        <w:pStyle w:val="a5"/>
        <w:rPr>
          <w:rtl/>
        </w:rPr>
      </w:pPr>
      <w:r>
        <w:rPr>
          <w:rStyle w:val="a7"/>
          <w:rtl/>
        </w:rPr>
        <w:footnoteRef/>
      </w:r>
      <w:r>
        <w:rPr>
          <w:rtl/>
        </w:rPr>
        <w:t xml:space="preserve"> </w:t>
      </w:r>
      <w:r>
        <w:rPr>
          <w:b/>
          <w:bCs/>
          <w:rtl/>
        </w:rPr>
        <w:t>בגין דאיהו ברית כו'.</w:t>
      </w:r>
      <w:r>
        <w:rPr>
          <w:rtl/>
        </w:rPr>
        <w:t xml:space="preserve"> רוצה לומר דיב"ק: ברכה וקדושה הן ביה ובה, חו"ג דענפין מתפרדין, אבל יחוד הוא בשניהם דהוא בברית וברית אחיד בשניהם, כי כל כו' (דברי הימים א כט יא), דאחיד כו', ולכן היא כלה דיליה ואיהו יחוד דילה:</w:t>
      </w:r>
    </w:p>
  </w:footnote>
  <w:footnote w:id="2993">
    <w:p w:rsidR="00A13282" w:rsidRDefault="00A13282" w:rsidP="002D629A">
      <w:pPr>
        <w:pStyle w:val="a5"/>
        <w:rPr>
          <w:rtl/>
        </w:rPr>
      </w:pPr>
      <w:r>
        <w:rPr>
          <w:rStyle w:val="a7"/>
          <w:rtl/>
        </w:rPr>
        <w:footnoteRef/>
      </w:r>
      <w:r>
        <w:rPr>
          <w:rtl/>
        </w:rPr>
        <w:t xml:space="preserve"> </w:t>
      </w:r>
      <w:r>
        <w:rPr>
          <w:b/>
          <w:bCs/>
          <w:rtl/>
        </w:rPr>
        <w:t>איהי אות כו'.</w:t>
      </w:r>
      <w:r>
        <w:rPr>
          <w:rtl/>
        </w:rPr>
        <w:t xml:space="preserve"> כמו שכתוב אות היא כו' וכמו שאומר לעיל נ"ד ד' ושאר מקומות:</w:t>
      </w:r>
    </w:p>
  </w:footnote>
  <w:footnote w:id="2994">
    <w:p w:rsidR="00A13282" w:rsidRDefault="00A13282" w:rsidP="002D629A">
      <w:pPr>
        <w:pStyle w:val="a5"/>
        <w:rPr>
          <w:rtl/>
        </w:rPr>
      </w:pPr>
      <w:r>
        <w:rPr>
          <w:rStyle w:val="a7"/>
          <w:rtl/>
        </w:rPr>
        <w:footnoteRef/>
      </w:r>
      <w:r>
        <w:rPr>
          <w:rtl/>
        </w:rPr>
        <w:t xml:space="preserve"> </w:t>
      </w:r>
      <w:r>
        <w:rPr>
          <w:b/>
          <w:bCs/>
          <w:rtl/>
        </w:rPr>
        <w:t>איהו תחום דילה.</w:t>
      </w:r>
      <w:r>
        <w:rPr>
          <w:rtl/>
        </w:rPr>
        <w:t xml:space="preserve"> בו"ק ועטרה שהיא רביעית לכל שלשה והן התחום, שנים לכל סטר, שמונה אלפים אמה, ח"י כנ"ל דכלילין בברית:</w:t>
      </w:r>
    </w:p>
  </w:footnote>
  <w:footnote w:id="2995">
    <w:p w:rsidR="00A13282" w:rsidRDefault="00A13282" w:rsidP="002D629A">
      <w:pPr>
        <w:pStyle w:val="a5"/>
        <w:rPr>
          <w:rtl/>
        </w:rPr>
      </w:pPr>
      <w:r>
        <w:rPr>
          <w:rStyle w:val="a7"/>
          <w:rtl/>
        </w:rPr>
        <w:footnoteRef/>
      </w:r>
      <w:r>
        <w:rPr>
          <w:rtl/>
        </w:rPr>
        <w:t xml:space="preserve"> </w:t>
      </w:r>
      <w:r>
        <w:rPr>
          <w:b/>
          <w:bCs/>
          <w:rtl/>
        </w:rPr>
        <w:t>ואיהי רשות כו'.</w:t>
      </w:r>
      <w:r>
        <w:rPr>
          <w:rtl/>
        </w:rPr>
        <w:t xml:space="preserve"> דרשות הוא לשון מלכות, (משנה אבות א י) אל תתודע לרשות - בלתי בעלה, ותפלת ערבית רשות (וכמו שאומר למטה ואיהי ערבית דיליה) - רשות של היחיד, צדיק, דהוא ברשות דידה וכן ת"ת בעלה:</w:t>
      </w:r>
    </w:p>
  </w:footnote>
  <w:footnote w:id="2996">
    <w:p w:rsidR="00A13282" w:rsidRDefault="00A13282" w:rsidP="002D629A">
      <w:pPr>
        <w:pStyle w:val="a5"/>
        <w:rPr>
          <w:rtl/>
        </w:rPr>
      </w:pPr>
      <w:r>
        <w:rPr>
          <w:rStyle w:val="a7"/>
          <w:rtl/>
        </w:rPr>
        <w:footnoteRef/>
      </w:r>
      <w:r>
        <w:rPr>
          <w:rtl/>
        </w:rPr>
        <w:t xml:space="preserve"> </w:t>
      </w:r>
      <w:r>
        <w:rPr>
          <w:b/>
          <w:bCs/>
          <w:rtl/>
        </w:rPr>
        <w:t>איהו ערוב דילה כו' ואיהי ערבית כו'.</w:t>
      </w:r>
      <w:r>
        <w:rPr>
          <w:rtl/>
        </w:rPr>
        <w:t xml:space="preserve"> רוצה לומר ערבית בתי"ו לשון נקבה, ואמר עבור דיליה - שהיא מעוברת ממנו, והיא נושא משך הזרע, ועיבור הוא גם כן ע"ב רי"ו והוא משך הזרע - חו"ג, ועל ידו נתמלא הה"א בוא"ו דהוא משך הזרע, והוא שעושין עיבור לעיר למלא פגימות העיר כמו שאמרו בעירובין, דפגימותיה מצד אות ד' ונתמלאה בה"א:</w:t>
      </w:r>
    </w:p>
  </w:footnote>
  <w:footnote w:id="2997">
    <w:p w:rsidR="00A13282" w:rsidRDefault="00A13282" w:rsidP="002D629A">
      <w:pPr>
        <w:pStyle w:val="a5"/>
        <w:rPr>
          <w:rtl/>
        </w:rPr>
      </w:pPr>
      <w:r>
        <w:rPr>
          <w:rStyle w:val="a7"/>
          <w:rtl/>
        </w:rPr>
        <w:footnoteRef/>
      </w:r>
      <w:r>
        <w:rPr>
          <w:rtl/>
        </w:rPr>
        <w:t xml:space="preserve"> </w:t>
      </w:r>
      <w:r>
        <w:rPr>
          <w:b/>
          <w:bCs/>
          <w:rtl/>
        </w:rPr>
        <w:t>איהי טלית כו'.</w:t>
      </w:r>
      <w:r>
        <w:rPr>
          <w:rtl/>
        </w:rPr>
        <w:t xml:space="preserve"> כמו שאמרו (ר"ה יז ע"ב) מלמד שנתעטף הקב"ה כשליח ציבור, ואמרו (בראשית רבה ג) אור מנין נברא נתעטף כו':</w:t>
      </w:r>
    </w:p>
  </w:footnote>
  <w:footnote w:id="2998">
    <w:p w:rsidR="00A13282" w:rsidRDefault="00A13282" w:rsidP="002D629A">
      <w:pPr>
        <w:pStyle w:val="a5"/>
        <w:rPr>
          <w:rtl/>
        </w:rPr>
      </w:pPr>
      <w:r>
        <w:rPr>
          <w:rStyle w:val="a7"/>
          <w:rtl/>
        </w:rPr>
        <w:footnoteRef/>
      </w:r>
      <w:r>
        <w:rPr>
          <w:rtl/>
        </w:rPr>
        <w:t xml:space="preserve"> </w:t>
      </w:r>
      <w:r>
        <w:rPr>
          <w:b/>
          <w:bCs/>
          <w:rtl/>
        </w:rPr>
        <w:t xml:space="preserve">כד"א עוטה אור כו'. </w:t>
      </w:r>
      <w:r>
        <w:rPr>
          <w:rtl/>
        </w:rPr>
        <w:t>כמו שאמרו בספר הבהיר והביאו בסוף ח"א ח' א' ואמר ר' יוחנן שני אורים הגדולים היו דכתיב כו' עיין שם בדבריו וראייתו ממה שכתוב כשלמה והיא שמלתו כמו שמפרש והולך:</w:t>
      </w:r>
    </w:p>
  </w:footnote>
  <w:footnote w:id="2999">
    <w:p w:rsidR="00A13282" w:rsidRDefault="00A13282" w:rsidP="002D629A">
      <w:pPr>
        <w:pStyle w:val="a5"/>
        <w:rPr>
          <w:rtl/>
        </w:rPr>
      </w:pPr>
      <w:r>
        <w:rPr>
          <w:rStyle w:val="a7"/>
          <w:rtl/>
        </w:rPr>
        <w:footnoteRef/>
      </w:r>
      <w:r>
        <w:rPr>
          <w:rtl/>
        </w:rPr>
        <w:t xml:space="preserve"> </w:t>
      </w:r>
      <w:r>
        <w:rPr>
          <w:b/>
          <w:bCs/>
          <w:rtl/>
        </w:rPr>
        <w:t>ואיהי ציצית דצדיק.</w:t>
      </w:r>
      <w:r>
        <w:rPr>
          <w:rtl/>
        </w:rPr>
        <w:t xml:space="preserve"> דטלית הוא לבוש לגוף והוא ת"ת, אבל ציצית תלוין למטה מגוף נגד הברית:</w:t>
      </w:r>
    </w:p>
  </w:footnote>
  <w:footnote w:id="3000">
    <w:p w:rsidR="00A13282" w:rsidRDefault="00A13282" w:rsidP="002D629A">
      <w:pPr>
        <w:pStyle w:val="a5"/>
        <w:rPr>
          <w:rtl/>
        </w:rPr>
      </w:pPr>
      <w:r>
        <w:rPr>
          <w:rStyle w:val="a7"/>
          <w:rtl/>
        </w:rPr>
        <w:footnoteRef/>
      </w:r>
      <w:r>
        <w:rPr>
          <w:rtl/>
        </w:rPr>
        <w:t xml:space="preserve"> </w:t>
      </w:r>
      <w:r>
        <w:rPr>
          <w:b/>
          <w:bCs/>
          <w:rtl/>
        </w:rPr>
        <w:t>איהו עני כו'.</w:t>
      </w:r>
      <w:r>
        <w:rPr>
          <w:rtl/>
        </w:rPr>
        <w:t xml:space="preserve"> הואיל ואמר עוטה מפרש מה שכתיב לעני כי יעטוף:</w:t>
      </w:r>
    </w:p>
  </w:footnote>
  <w:footnote w:id="3001">
    <w:p w:rsidR="00A13282" w:rsidRDefault="00A13282" w:rsidP="002D629A">
      <w:pPr>
        <w:pStyle w:val="a5"/>
        <w:rPr>
          <w:rtl/>
        </w:rPr>
      </w:pPr>
      <w:r>
        <w:rPr>
          <w:rStyle w:val="a7"/>
          <w:rtl/>
        </w:rPr>
        <w:footnoteRef/>
      </w:r>
      <w:r>
        <w:rPr>
          <w:rtl/>
        </w:rPr>
        <w:t xml:space="preserve"> </w:t>
      </w:r>
      <w:r>
        <w:rPr>
          <w:b/>
          <w:bCs/>
          <w:rtl/>
        </w:rPr>
        <w:t>כסותה לבדה.</w:t>
      </w:r>
      <w:r>
        <w:rPr>
          <w:rtl/>
        </w:rPr>
        <w:t xml:space="preserve"> כנ"ל דאיהי טלית שלו, ואמר לבדה דבזמן בית המקדש היו ארבעה בגדי לבן וארבעה בגדי זהב ועתה לא נשאר אלא ציצית ותפילין ועיין לקמן ריש תיקון ל”ח:</w:t>
      </w:r>
    </w:p>
  </w:footnote>
  <w:footnote w:id="3002">
    <w:p w:rsidR="00A13282" w:rsidRDefault="00A13282" w:rsidP="002D629A">
      <w:pPr>
        <w:pStyle w:val="a5"/>
        <w:rPr>
          <w:rtl/>
        </w:rPr>
      </w:pPr>
      <w:r>
        <w:rPr>
          <w:rStyle w:val="a7"/>
          <w:rtl/>
        </w:rPr>
        <w:footnoteRef/>
      </w:r>
      <w:r>
        <w:rPr>
          <w:rtl/>
        </w:rPr>
        <w:t xml:space="preserve"> </w:t>
      </w:r>
      <w:r>
        <w:rPr>
          <w:b/>
          <w:bCs/>
          <w:rtl/>
        </w:rPr>
        <w:t>לאדם ולאשתו כו'.</w:t>
      </w:r>
      <w:r>
        <w:rPr>
          <w:rtl/>
        </w:rPr>
        <w:t xml:space="preserve"> כמו שמפרש והולך תפילין של יד ותפילין של ראש, ונאמר וילבישם וזהו שמלתו, אבל לעורו משמע דלעור שמלתו וצריך לומר דקאי אתכלת שבציצית דהיא לבושא וכסוי לתפילין וזה שאומר לקמן דא איהי כי כו' ואיהי תכלת שבציצית:</w:t>
      </w:r>
    </w:p>
  </w:footnote>
  <w:footnote w:id="3003">
    <w:p w:rsidR="00A13282" w:rsidRDefault="00A13282" w:rsidP="002D629A">
      <w:pPr>
        <w:pStyle w:val="a5"/>
        <w:rPr>
          <w:rtl/>
        </w:rPr>
      </w:pPr>
      <w:r>
        <w:rPr>
          <w:rStyle w:val="a7"/>
          <w:rtl/>
        </w:rPr>
        <w:footnoteRef/>
      </w:r>
      <w:r>
        <w:rPr>
          <w:rtl/>
        </w:rPr>
        <w:t xml:space="preserve"> </w:t>
      </w:r>
      <w:r>
        <w:rPr>
          <w:b/>
          <w:bCs/>
          <w:rtl/>
        </w:rPr>
        <w:t>אינון אקי"ק.</w:t>
      </w:r>
      <w:r>
        <w:rPr>
          <w:rtl/>
        </w:rPr>
        <w:t xml:space="preserve"> דסוד אהיה הוא החשמל דלבוש - מלבו"ש, ואקי"ק מורה על מנין אזכרות שבתוכו כמו שמפרש והולך ובהון ארבעים ותרין כו' ה' בם, רוצה לומר הויו"ת כמנין ב"ם, ואמר ואיהי תכלת - דתכלת גוון דילה תכלית דכולא כנ"ל ותכלת הוא כיסוי כידוע:</w:t>
      </w:r>
    </w:p>
  </w:footnote>
  <w:footnote w:id="3004">
    <w:p w:rsidR="00A13282" w:rsidRDefault="00A13282" w:rsidP="002D629A">
      <w:pPr>
        <w:pStyle w:val="a5"/>
        <w:rPr>
          <w:rtl/>
        </w:rPr>
      </w:pPr>
      <w:r>
        <w:rPr>
          <w:rStyle w:val="a7"/>
          <w:rtl/>
        </w:rPr>
        <w:footnoteRef/>
      </w:r>
      <w:r>
        <w:rPr>
          <w:rtl/>
        </w:rPr>
        <w:t xml:space="preserve"> </w:t>
      </w:r>
      <w:r>
        <w:rPr>
          <w:b/>
          <w:bCs/>
          <w:rtl/>
        </w:rPr>
        <w:t>איהי סוד היבום.</w:t>
      </w:r>
      <w:r>
        <w:rPr>
          <w:rtl/>
        </w:rPr>
        <w:t xml:space="preserve"> אמר זה כאן, שאמר ה' בם והוא אותיות יבמה, י"ה בם, דבם הוא ו"ה, תפילין של יד ותפילין של ראש:</w:t>
      </w:r>
    </w:p>
  </w:footnote>
  <w:footnote w:id="3005">
    <w:p w:rsidR="00A13282" w:rsidRDefault="00A13282" w:rsidP="002D629A">
      <w:pPr>
        <w:pStyle w:val="a5"/>
        <w:rPr>
          <w:rtl/>
        </w:rPr>
      </w:pPr>
      <w:r>
        <w:rPr>
          <w:rStyle w:val="a7"/>
          <w:rtl/>
        </w:rPr>
        <w:footnoteRef/>
      </w:r>
      <w:r>
        <w:rPr>
          <w:rtl/>
        </w:rPr>
        <w:t xml:space="preserve"> </w:t>
      </w:r>
      <w:r>
        <w:rPr>
          <w:b/>
          <w:bCs/>
          <w:rtl/>
        </w:rPr>
        <w:t>בגלותא.</w:t>
      </w:r>
      <w:r>
        <w:rPr>
          <w:rtl/>
        </w:rPr>
        <w:t xml:space="preserve"> הוא סוד הגלגול בגלותא, וזה שאומר </w:t>
      </w:r>
      <w:r>
        <w:rPr>
          <w:b/>
          <w:bCs/>
          <w:rtl/>
        </w:rPr>
        <w:t xml:space="preserve">י"ב מ"ה, מ"ה - גלגולא דאדם. י"ב - תלת גלגולין אינון לקבל כו'. </w:t>
      </w:r>
      <w:r>
        <w:rPr>
          <w:rtl/>
        </w:rPr>
        <w:t>די"ב הן י"ב אנפי החיות דאבהן, ועיין לקמן ס"ג א' ואינון תרי עשר אנפין כו' ואדם רכיב כו', ועיין לקמן סוד אלו ארבעה גלגולין ולקמן תיקון ל”ב בארוכה ומה שנבאר שם:</w:t>
      </w:r>
    </w:p>
  </w:footnote>
  <w:footnote w:id="3006">
    <w:p w:rsidR="00A13282" w:rsidRDefault="00A13282" w:rsidP="002D629A">
      <w:pPr>
        <w:pStyle w:val="a5"/>
        <w:rPr>
          <w:rtl/>
        </w:rPr>
      </w:pPr>
      <w:r>
        <w:rPr>
          <w:rStyle w:val="a7"/>
          <w:rtl/>
        </w:rPr>
        <w:footnoteRef/>
      </w:r>
      <w:r>
        <w:rPr>
          <w:rtl/>
        </w:rPr>
        <w:t xml:space="preserve"> </w:t>
      </w:r>
      <w:r>
        <w:rPr>
          <w:b/>
          <w:bCs/>
          <w:rtl/>
        </w:rPr>
        <w:t>כלילא שית דרגין.</w:t>
      </w:r>
      <w:r>
        <w:rPr>
          <w:rtl/>
        </w:rPr>
        <w:t xml:space="preserve"> שהן שוקיו עמודי שש, דרגין דנבואה, ואמר מסטרא דוא"ו הוא הנהר שעל ידו הוא הנבואה ועיין לעיל מ"ה ב' והאי ו' כו' ואיהו נשיב בתרין שוקין בשית פרקין דאינון שוקיו עמודי שש ועליה אתמר ונחה עליו רוח ה':</w:t>
      </w:r>
    </w:p>
  </w:footnote>
  <w:footnote w:id="3007">
    <w:p w:rsidR="00A13282" w:rsidRDefault="00A13282" w:rsidP="002D629A">
      <w:pPr>
        <w:pStyle w:val="a5"/>
        <w:rPr>
          <w:rtl/>
        </w:rPr>
      </w:pPr>
      <w:r>
        <w:rPr>
          <w:rStyle w:val="a7"/>
          <w:rtl/>
        </w:rPr>
        <w:footnoteRef/>
      </w:r>
      <w:r>
        <w:rPr>
          <w:rtl/>
        </w:rPr>
        <w:t xml:space="preserve"> </w:t>
      </w:r>
      <w:r>
        <w:rPr>
          <w:b/>
          <w:bCs/>
          <w:rtl/>
        </w:rPr>
        <w:t>לית שיבה כו'.</w:t>
      </w:r>
      <w:r>
        <w:rPr>
          <w:rtl/>
        </w:rPr>
        <w:t xml:space="preserve"> פליג על בן תימא (משנה אבות ה כא), וכן אמר למטה בן חמשים לזקנה והוא מדלג בן חמשים לעצה:</w:t>
      </w:r>
    </w:p>
  </w:footnote>
  <w:footnote w:id="3008">
    <w:p w:rsidR="00A13282" w:rsidRDefault="00A13282" w:rsidP="002D629A">
      <w:pPr>
        <w:pStyle w:val="a5"/>
        <w:rPr>
          <w:rtl/>
        </w:rPr>
      </w:pPr>
      <w:r>
        <w:rPr>
          <w:rStyle w:val="a7"/>
          <w:rtl/>
        </w:rPr>
        <w:footnoteRef/>
      </w:r>
      <w:r>
        <w:rPr>
          <w:rtl/>
        </w:rPr>
        <w:t xml:space="preserve"> </w:t>
      </w:r>
      <w:r>
        <w:rPr>
          <w:b/>
          <w:bCs/>
          <w:rtl/>
        </w:rPr>
        <w:t>ודא ישראל סבא.</w:t>
      </w:r>
      <w:r>
        <w:rPr>
          <w:rtl/>
        </w:rPr>
        <w:t xml:space="preserve"> רוצה לומר שיבה דהוא ו' וסליק כו':</w:t>
      </w:r>
    </w:p>
  </w:footnote>
  <w:footnote w:id="3009">
    <w:p w:rsidR="00A13282" w:rsidRDefault="00A13282" w:rsidP="002D629A">
      <w:pPr>
        <w:pStyle w:val="a5"/>
        <w:rPr>
          <w:rtl/>
        </w:rPr>
      </w:pPr>
      <w:r>
        <w:rPr>
          <w:rStyle w:val="a7"/>
          <w:rtl/>
        </w:rPr>
        <w:footnoteRef/>
      </w:r>
      <w:r>
        <w:rPr>
          <w:rtl/>
        </w:rPr>
        <w:t xml:space="preserve"> </w:t>
      </w:r>
      <w:r>
        <w:rPr>
          <w:b/>
          <w:bCs/>
          <w:rtl/>
        </w:rPr>
        <w:t>דאיהו שיתין.</w:t>
      </w:r>
      <w:r>
        <w:rPr>
          <w:rtl/>
        </w:rPr>
        <w:t xml:space="preserve"> והענין כי כל דרגא מתחלק לעשר, והוא נוטל ט' חלקים והיא העשר כמו שאומר לעיל מ"ו ב', והנה החלום הוא מדרגה האחרונה מאינון שית דרגין דנבואה, פרק אחרון של הוד, ואף זה אינו כי אם בה והוא אחד משיתין, וזה שאומר </w:t>
      </w:r>
      <w:r>
        <w:rPr>
          <w:b/>
          <w:bCs/>
          <w:rtl/>
        </w:rPr>
        <w:t>דסליק באת יו"ד שית כו'.</w:t>
      </w:r>
      <w:r>
        <w:rPr>
          <w:rtl/>
        </w:rPr>
        <w:t xml:space="preserve"> ורוצה לומר בה, שהיא יו"ד, דבה מעשרין:</w:t>
      </w:r>
    </w:p>
  </w:footnote>
  <w:footnote w:id="3010">
    <w:p w:rsidR="00A13282" w:rsidRDefault="00A13282" w:rsidP="002D629A">
      <w:pPr>
        <w:pStyle w:val="a5"/>
        <w:rPr>
          <w:rtl/>
        </w:rPr>
      </w:pPr>
      <w:r>
        <w:rPr>
          <w:rStyle w:val="a7"/>
          <w:rtl/>
        </w:rPr>
        <w:footnoteRef/>
      </w:r>
      <w:r>
        <w:rPr>
          <w:rtl/>
        </w:rPr>
        <w:t xml:space="preserve"> </w:t>
      </w:r>
      <w:r>
        <w:rPr>
          <w:b/>
          <w:bCs/>
          <w:rtl/>
        </w:rPr>
        <w:t>דאחידא בימינא.</w:t>
      </w:r>
      <w:r>
        <w:rPr>
          <w:rtl/>
        </w:rPr>
        <w:t xml:space="preserve"> עיין לקמן ס"ט ב' פתח ר"ש ואמר אני כו' דא לימינא ודא לשמאלא, ורוצה לומר אנכי ולא יהיה לך הן כלילן כל מצוות עשה ומצוות לא תעשה כמו שאומר לקמן בתיקון ל”ב והן ימינא ושמאלא כמו שנבאר שם וזה שאומר </w:t>
      </w:r>
      <w:r>
        <w:rPr>
          <w:b/>
          <w:bCs/>
          <w:rtl/>
        </w:rPr>
        <w:t>ועלה אתמר לא כו'.</w:t>
      </w:r>
      <w:r>
        <w:rPr>
          <w:rtl/>
        </w:rPr>
        <w:t xml:space="preserve"> רוצה לומר דלא יהיה לך נאמר עלה, מסטרא דילה דהיא נקראת אלקים, וסובבים סביב רשעים יתהלכון כמו שמפרש והולך, ועלה אתמר על פני דהיא נקראת פניו יתברך, וס"א - אחור, אלהים אחרים ועיין לעיל למ"ט א' ועיין פרשת יתרו פ"ו א' על פני לאפקא אפי מלכא כו' ושם פ"ז א' אר"י קב"ה בג"כ אכריז כו':</w:t>
      </w:r>
    </w:p>
  </w:footnote>
  <w:footnote w:id="3011">
    <w:p w:rsidR="00A13282" w:rsidRDefault="00A13282" w:rsidP="002D629A">
      <w:pPr>
        <w:pStyle w:val="a5"/>
        <w:rPr>
          <w:rtl/>
        </w:rPr>
      </w:pPr>
      <w:r>
        <w:rPr>
          <w:rStyle w:val="a7"/>
          <w:rtl/>
        </w:rPr>
        <w:footnoteRef/>
      </w:r>
      <w:r>
        <w:rPr>
          <w:rtl/>
        </w:rPr>
        <w:t xml:space="preserve"> </w:t>
      </w:r>
      <w:r>
        <w:rPr>
          <w:b/>
          <w:bCs/>
          <w:rtl/>
        </w:rPr>
        <w:t>בגין דסטרא דצפון כו'.</w:t>
      </w:r>
      <w:r>
        <w:rPr>
          <w:rtl/>
        </w:rPr>
        <w:t xml:space="preserve"> עיין פרשת בראשית י"ז א' ובגין דההוא חשך כו' חשך גרע נהורא כו' חשך לא נהיר אלא כד אתכליל באור ולכן צפון הוא פגים אלא אם כן נכלל בימין:</w:t>
      </w:r>
    </w:p>
  </w:footnote>
  <w:footnote w:id="3012">
    <w:p w:rsidR="00A13282" w:rsidRDefault="00A13282" w:rsidP="002D629A">
      <w:pPr>
        <w:pStyle w:val="a5"/>
        <w:rPr>
          <w:rtl/>
        </w:rPr>
      </w:pPr>
      <w:r>
        <w:rPr>
          <w:rStyle w:val="a7"/>
          <w:rtl/>
        </w:rPr>
        <w:footnoteRef/>
      </w:r>
      <w:r>
        <w:rPr>
          <w:rtl/>
        </w:rPr>
        <w:t xml:space="preserve"> </w:t>
      </w:r>
      <w:r>
        <w:rPr>
          <w:b/>
          <w:bCs/>
          <w:rtl/>
        </w:rPr>
        <w:t>שבעה שבועות ודאי.</w:t>
      </w:r>
      <w:r>
        <w:rPr>
          <w:rtl/>
        </w:rPr>
        <w:t xml:space="preserve"> דהן ז"ת, כל אחד כליל משבעה, והן שבע דילה שכל אחד הוא שבוע וכל אחד נכלל בשבעה ימים דידיה ועיין בזוהר פרשת אמור:</w:t>
      </w:r>
    </w:p>
  </w:footnote>
  <w:footnote w:id="3013">
    <w:p w:rsidR="00A13282" w:rsidRDefault="00A13282" w:rsidP="002D629A">
      <w:pPr>
        <w:pStyle w:val="a5"/>
        <w:rPr>
          <w:rtl/>
        </w:rPr>
      </w:pPr>
      <w:r>
        <w:rPr>
          <w:rStyle w:val="a7"/>
          <w:rtl/>
        </w:rPr>
        <w:footnoteRef/>
      </w:r>
      <w:r>
        <w:rPr>
          <w:rtl/>
        </w:rPr>
        <w:t xml:space="preserve"> </w:t>
      </w:r>
      <w:r>
        <w:rPr>
          <w:b/>
          <w:bCs/>
          <w:rtl/>
        </w:rPr>
        <w:t>דאינון שמע ישראל.</w:t>
      </w:r>
      <w:r>
        <w:rPr>
          <w:rtl/>
        </w:rPr>
        <w:t xml:space="preserve"> ישראל סבא, והוא ראיה דהוא בעמודא דאמצעיתא:</w:t>
      </w:r>
    </w:p>
  </w:footnote>
  <w:footnote w:id="3014">
    <w:p w:rsidR="00A13282" w:rsidRDefault="00A13282" w:rsidP="002D629A">
      <w:pPr>
        <w:pStyle w:val="a5"/>
        <w:rPr>
          <w:rtl/>
        </w:rPr>
      </w:pPr>
      <w:r>
        <w:rPr>
          <w:rStyle w:val="a7"/>
          <w:rtl/>
        </w:rPr>
        <w:footnoteRef/>
      </w:r>
      <w:r>
        <w:rPr>
          <w:rtl/>
        </w:rPr>
        <w:t xml:space="preserve"> </w:t>
      </w:r>
      <w:r>
        <w:rPr>
          <w:b/>
          <w:bCs/>
          <w:rtl/>
        </w:rPr>
        <w:t>ואתקריאת מתן תורה.</w:t>
      </w:r>
      <w:r>
        <w:rPr>
          <w:rtl/>
        </w:rPr>
        <w:t xml:space="preserve"> רוצה לומר שכינתא תתאה נקרא מתן תורה כמו שאומר לקמן ב', מתן תורה דא כו', והוא מסטרא דשכינתא עלאה כמו שאמרו כאן ביומא דחמשין שריא כו' (לזה לא תקשי דאמר לקמן) ועלה אתמר כי אם כו', ונאמר כי זקנה אמך דשם בג"ר נקראים או"א זקנים וא"א עתיקא דעתיקין ולכן בן חמשים לזקנה:</w:t>
      </w:r>
    </w:p>
  </w:footnote>
  <w:footnote w:id="3015">
    <w:p w:rsidR="00A13282" w:rsidRDefault="00A13282" w:rsidP="002D629A">
      <w:pPr>
        <w:pStyle w:val="a5"/>
        <w:rPr>
          <w:rtl/>
        </w:rPr>
      </w:pPr>
      <w:r>
        <w:rPr>
          <w:rStyle w:val="a7"/>
          <w:rtl/>
        </w:rPr>
        <w:footnoteRef/>
      </w:r>
      <w:r>
        <w:rPr>
          <w:rtl/>
        </w:rPr>
        <w:t xml:space="preserve"> </w:t>
      </w:r>
      <w:r>
        <w:rPr>
          <w:b/>
          <w:bCs/>
          <w:rtl/>
        </w:rPr>
        <w:t>וזמנין אתקריאת מ"ם סתימא.</w:t>
      </w:r>
      <w:r>
        <w:rPr>
          <w:rtl/>
        </w:rPr>
        <w:t xml:space="preserve"> ולא גרסינן תתאה:</w:t>
      </w:r>
    </w:p>
  </w:footnote>
  <w:footnote w:id="3016">
    <w:p w:rsidR="00A13282" w:rsidRDefault="00A13282" w:rsidP="002D629A">
      <w:pPr>
        <w:pStyle w:val="a5"/>
        <w:rPr>
          <w:rtl/>
        </w:rPr>
      </w:pPr>
      <w:r>
        <w:rPr>
          <w:rStyle w:val="a7"/>
          <w:rtl/>
        </w:rPr>
        <w:footnoteRef/>
      </w:r>
      <w:r>
        <w:rPr>
          <w:rtl/>
        </w:rPr>
        <w:t xml:space="preserve"> </w:t>
      </w:r>
      <w:r>
        <w:rPr>
          <w:b/>
          <w:bCs/>
          <w:rtl/>
        </w:rPr>
        <w:t>ואתמר בן כו'.</w:t>
      </w:r>
      <w:r>
        <w:rPr>
          <w:rtl/>
        </w:rPr>
        <w:t xml:space="preserve"> עיין לקמן תיקון נ”ב אמאי נטיל שיעורא במ' כו' ומה שנבאר שם:</w:t>
      </w:r>
    </w:p>
  </w:footnote>
  <w:footnote w:id="3017">
    <w:p w:rsidR="00A13282" w:rsidRDefault="00A13282" w:rsidP="002D629A">
      <w:pPr>
        <w:pStyle w:val="a5"/>
        <w:rPr>
          <w:rtl/>
        </w:rPr>
      </w:pPr>
      <w:r>
        <w:rPr>
          <w:rStyle w:val="a7"/>
          <w:rtl/>
        </w:rPr>
        <w:footnoteRef/>
      </w:r>
      <w:r>
        <w:rPr>
          <w:rtl/>
        </w:rPr>
        <w:t xml:space="preserve"> </w:t>
      </w:r>
      <w:r>
        <w:rPr>
          <w:b/>
          <w:bCs/>
          <w:rtl/>
        </w:rPr>
        <w:t>ועלה אתמר ישמח כו'.</w:t>
      </w:r>
      <w:r>
        <w:rPr>
          <w:rtl/>
        </w:rPr>
        <w:t xml:space="preserve"> מסטרא דשכינה עלאה דהיא נקראת בכל השמהן דלעילא דכלולה מכולם כנ"ל וזה שאומר לקמן נ"ו ב' ועלה אתמר ישמח משה כו'. וכן למעלה ל' א':</w:t>
      </w:r>
    </w:p>
  </w:footnote>
  <w:footnote w:id="3018">
    <w:p w:rsidR="00A13282" w:rsidRDefault="00A13282" w:rsidP="002D629A">
      <w:pPr>
        <w:pStyle w:val="a5"/>
        <w:rPr>
          <w:rtl/>
        </w:rPr>
      </w:pPr>
      <w:r>
        <w:rPr>
          <w:rStyle w:val="a7"/>
          <w:rtl/>
        </w:rPr>
        <w:footnoteRef/>
      </w:r>
      <w:r>
        <w:rPr>
          <w:rtl/>
        </w:rPr>
        <w:t xml:space="preserve"> </w:t>
      </w:r>
      <w:r>
        <w:rPr>
          <w:b/>
          <w:bCs/>
          <w:rtl/>
        </w:rPr>
        <w:t>ועוד שבועות כו'.</w:t>
      </w:r>
      <w:r>
        <w:rPr>
          <w:rtl/>
        </w:rPr>
        <w:t xml:space="preserve"> רוצה לומר מסטרא דשכינה עלאה כמו שמפרש והולך וכמו שאומר לקמן ביומא דחמשין שריא שכינתא עלאה בה כו':</w:t>
      </w:r>
    </w:p>
  </w:footnote>
  <w:footnote w:id="3019">
    <w:p w:rsidR="00A13282" w:rsidRDefault="00A13282" w:rsidP="002D629A">
      <w:pPr>
        <w:pStyle w:val="a5"/>
        <w:rPr>
          <w:rtl/>
        </w:rPr>
      </w:pPr>
      <w:r>
        <w:rPr>
          <w:rStyle w:val="a7"/>
          <w:rtl/>
        </w:rPr>
        <w:footnoteRef/>
      </w:r>
      <w:r>
        <w:rPr>
          <w:rtl/>
        </w:rPr>
        <w:t xml:space="preserve"> </w:t>
      </w:r>
      <w:r>
        <w:rPr>
          <w:b/>
          <w:bCs/>
          <w:rtl/>
        </w:rPr>
        <w:t>מלא שבוע זאת.</w:t>
      </w:r>
      <w:r>
        <w:rPr>
          <w:rtl/>
        </w:rPr>
        <w:t xml:space="preserve"> כמו שבאר רש"י שבוע של זאת והוא של לאה שכינתא עלאה ושניהם נקראים זאת לכן אמר שתי פעמים זאת והן שני שבועות וכמו שכתוב (זכריה ד ב) שבעה ושבעה מוצקות, וכמו שאמרו בזוהר חדש שיר השירים ובמאמר קו המדה, וזהו שבועות וכמו שכתוב שבעה ימים ושבעה ימים כו':</w:t>
      </w:r>
    </w:p>
  </w:footnote>
  <w:footnote w:id="3020">
    <w:p w:rsidR="00A13282" w:rsidRDefault="00A13282" w:rsidP="002D629A">
      <w:pPr>
        <w:pStyle w:val="a5"/>
        <w:rPr>
          <w:rtl/>
        </w:rPr>
      </w:pPr>
      <w:r>
        <w:rPr>
          <w:rStyle w:val="a7"/>
          <w:rtl/>
        </w:rPr>
        <w:footnoteRef/>
      </w:r>
      <w:r>
        <w:rPr>
          <w:rtl/>
        </w:rPr>
        <w:t xml:space="preserve"> </w:t>
      </w:r>
      <w:r>
        <w:rPr>
          <w:b/>
          <w:bCs/>
          <w:rtl/>
        </w:rPr>
        <w:t>עלאה מלא ה' מלא י"ק דאתמר בה כו'.</w:t>
      </w:r>
      <w:r>
        <w:rPr>
          <w:rtl/>
        </w:rPr>
        <w:t xml:space="preserve"> רוצה לומר דשבוע זאת הוא ה' עלאה, וה' מלא - ה"י - הוא י"ה, והוא בשכינה עלאה כמו שכתוב כס י"ה והוא אימא עלאה ועיין ברעיא מהימנא פרשת נשא קכ"א ב' ושאר מקומות:</w:t>
      </w:r>
    </w:p>
  </w:footnote>
  <w:footnote w:id="3021">
    <w:p w:rsidR="00A13282" w:rsidRDefault="00A13282" w:rsidP="002D629A">
      <w:pPr>
        <w:pStyle w:val="a5"/>
        <w:rPr>
          <w:rtl/>
        </w:rPr>
      </w:pPr>
      <w:r>
        <w:rPr>
          <w:rStyle w:val="a7"/>
          <w:rtl/>
        </w:rPr>
        <w:footnoteRef/>
      </w:r>
      <w:r>
        <w:rPr>
          <w:rtl/>
        </w:rPr>
        <w:t xml:space="preserve"> </w:t>
      </w:r>
      <w:r>
        <w:rPr>
          <w:b/>
          <w:bCs/>
          <w:rtl/>
        </w:rPr>
        <w:t>מלא דכולא כו'.</w:t>
      </w:r>
      <w:r>
        <w:rPr>
          <w:rtl/>
        </w:rPr>
        <w:t xml:space="preserve"> רוצה לומר, דקאמר גם כו', משמע דקאי גם כן על מלא והיא מלא דכולא:</w:t>
      </w:r>
    </w:p>
  </w:footnote>
  <w:footnote w:id="3022">
    <w:p w:rsidR="00A13282" w:rsidRDefault="00A13282" w:rsidP="002D629A">
      <w:pPr>
        <w:pStyle w:val="a5"/>
        <w:rPr>
          <w:rtl/>
        </w:rPr>
      </w:pPr>
      <w:r>
        <w:rPr>
          <w:rStyle w:val="a7"/>
          <w:rtl/>
        </w:rPr>
        <w:footnoteRef/>
      </w:r>
      <w:r>
        <w:rPr>
          <w:rtl/>
        </w:rPr>
        <w:t xml:space="preserve"> </w:t>
      </w:r>
      <w:r>
        <w:rPr>
          <w:b/>
          <w:bCs/>
          <w:rtl/>
        </w:rPr>
        <w:t>ותתאה דאיהו מלא י"ה.</w:t>
      </w:r>
      <w:r>
        <w:rPr>
          <w:rtl/>
        </w:rPr>
        <w:t xml:space="preserve"> כמו שאמרו דנקראת מליאה, וכן אלקים והוא אותיות מלא י"ה, והיא מלא שכינתא עלאה דהיא ה' עלאה והיא י"ה כנ"ל ולכן נאמר מליאה בי"ה ומלאה בה', וכמו שמפרש והולך ואיהי מלא ה' ובה מלאה כו' והוא כד איהי מלא בה' עלאה פשוטה וכד אתמליא בה' עלאה מליאה אז מלא י"ק:</w:t>
      </w:r>
    </w:p>
  </w:footnote>
  <w:footnote w:id="3023">
    <w:p w:rsidR="00A13282" w:rsidRDefault="00A13282" w:rsidP="002D629A">
      <w:pPr>
        <w:pStyle w:val="a5"/>
        <w:rPr>
          <w:rtl/>
        </w:rPr>
      </w:pPr>
      <w:r>
        <w:rPr>
          <w:rStyle w:val="a7"/>
          <w:rtl/>
        </w:rPr>
        <w:footnoteRef/>
      </w:r>
      <w:r>
        <w:rPr>
          <w:rtl/>
        </w:rPr>
        <w:t xml:space="preserve"> </w:t>
      </w:r>
      <w:r>
        <w:rPr>
          <w:b/>
          <w:bCs/>
          <w:rtl/>
        </w:rPr>
        <w:t>מלאה הארץ.</w:t>
      </w:r>
      <w:r>
        <w:rPr>
          <w:rtl/>
        </w:rPr>
        <w:t xml:space="preserve"> דהיא הארץ:</w:t>
      </w:r>
    </w:p>
  </w:footnote>
  <w:footnote w:id="3024">
    <w:p w:rsidR="00A13282" w:rsidRDefault="00A13282" w:rsidP="002D629A">
      <w:pPr>
        <w:pStyle w:val="a5"/>
        <w:rPr>
          <w:rtl/>
        </w:rPr>
      </w:pPr>
      <w:r>
        <w:rPr>
          <w:rStyle w:val="a7"/>
          <w:rtl/>
        </w:rPr>
        <w:footnoteRef/>
      </w:r>
      <w:r>
        <w:rPr>
          <w:rtl/>
        </w:rPr>
        <w:t xml:space="preserve"> </w:t>
      </w:r>
      <w:r>
        <w:rPr>
          <w:b/>
          <w:bCs/>
          <w:rtl/>
        </w:rPr>
        <w:t>ושכינתא תתאה איהי כו'.</w:t>
      </w:r>
      <w:r>
        <w:rPr>
          <w:rtl/>
        </w:rPr>
        <w:t xml:space="preserve"> אף שכל הנ"ל הכל אמר בשכינתא תתאה חוזר לבאר כאן בפרוש משום דהפסיק למעלה מלא שבוע זאת דא כו', ועתה חוזר לענין ראשון:</w:t>
      </w:r>
    </w:p>
  </w:footnote>
  <w:footnote w:id="3025">
    <w:p w:rsidR="00A13282" w:rsidRDefault="00A13282" w:rsidP="002D629A">
      <w:pPr>
        <w:pStyle w:val="a5"/>
        <w:rPr>
          <w:rtl/>
        </w:rPr>
      </w:pPr>
      <w:r>
        <w:rPr>
          <w:rStyle w:val="a7"/>
          <w:rtl/>
        </w:rPr>
        <w:footnoteRef/>
      </w:r>
      <w:r>
        <w:rPr>
          <w:rtl/>
        </w:rPr>
        <w:t xml:space="preserve"> </w:t>
      </w:r>
      <w:r>
        <w:rPr>
          <w:b/>
          <w:bCs/>
          <w:rtl/>
        </w:rPr>
        <w:t>דאיהי שמחת תורה.</w:t>
      </w:r>
      <w:r>
        <w:rPr>
          <w:rtl/>
        </w:rPr>
        <w:t xml:space="preserve"> דהיא תורה, ימא דאורייתא, שניתנה בחמשים, ואמר למטה וביום שמחת לבו כו' והוא שמיני עצרת דשבעה ימי סוכה בז"ת ושמיני עצרת דרגא דשמיני אימא עלאה וזה שאומר אתקריאת שמיני כו':</w:t>
      </w:r>
    </w:p>
  </w:footnote>
  <w:footnote w:id="3026">
    <w:p w:rsidR="00A13282" w:rsidRDefault="00A13282" w:rsidP="002D629A">
      <w:pPr>
        <w:pStyle w:val="a5"/>
        <w:rPr>
          <w:rtl/>
        </w:rPr>
      </w:pPr>
      <w:r>
        <w:rPr>
          <w:rStyle w:val="a7"/>
          <w:rtl/>
        </w:rPr>
        <w:footnoteRef/>
      </w:r>
      <w:r>
        <w:rPr>
          <w:rtl/>
        </w:rPr>
        <w:t xml:space="preserve"> </w:t>
      </w:r>
      <w:r>
        <w:rPr>
          <w:b/>
          <w:bCs/>
          <w:rtl/>
        </w:rPr>
        <w:t>דשמחת בית השואבה.</w:t>
      </w:r>
      <w:r>
        <w:rPr>
          <w:rtl/>
        </w:rPr>
        <w:t xml:space="preserve"> דכל השמחות הכל באימא עלאה, עולם השמחה, שאין שם דין ועצבון, והיא נהר היוצא מעדן להשקות כו', וזהו בית השואבה ואמרו (בראשית רבה ע) השואבה שמשם שואבין רוח הקודש - שממנה הנבואה:</w:t>
      </w:r>
    </w:p>
  </w:footnote>
  <w:footnote w:id="3027">
    <w:p w:rsidR="00A13282" w:rsidRDefault="00A13282" w:rsidP="002D629A">
      <w:pPr>
        <w:pStyle w:val="a5"/>
        <w:rPr>
          <w:rtl/>
        </w:rPr>
      </w:pPr>
      <w:r>
        <w:rPr>
          <w:rStyle w:val="a7"/>
          <w:rtl/>
        </w:rPr>
        <w:footnoteRef/>
      </w:r>
      <w:r>
        <w:rPr>
          <w:rtl/>
        </w:rPr>
        <w:t xml:space="preserve"> </w:t>
      </w:r>
      <w:r>
        <w:rPr>
          <w:b/>
          <w:bCs/>
          <w:rtl/>
        </w:rPr>
        <w:t>שויין עטרה.</w:t>
      </w:r>
      <w:r>
        <w:rPr>
          <w:rtl/>
        </w:rPr>
        <w:t xml:space="preserve"> דהוא מאימא כמו שמפרש והולך בעטרה שעטרה כו':</w:t>
      </w:r>
    </w:p>
  </w:footnote>
  <w:footnote w:id="3028">
    <w:p w:rsidR="00A13282" w:rsidRDefault="00A13282" w:rsidP="002D629A">
      <w:pPr>
        <w:pStyle w:val="a5"/>
        <w:rPr>
          <w:rtl/>
        </w:rPr>
      </w:pPr>
      <w:r>
        <w:rPr>
          <w:rStyle w:val="a7"/>
          <w:rtl/>
        </w:rPr>
        <w:footnoteRef/>
      </w:r>
      <w:r>
        <w:rPr>
          <w:rtl/>
        </w:rPr>
        <w:t xml:space="preserve"> </w:t>
      </w:r>
      <w:r>
        <w:rPr>
          <w:b/>
          <w:bCs/>
          <w:rtl/>
        </w:rPr>
        <w:t>ביום חתונתו כו'.</w:t>
      </w:r>
      <w:r>
        <w:rPr>
          <w:rtl/>
        </w:rPr>
        <w:t xml:space="preserve"> דהיא כלה דיליה:</w:t>
      </w:r>
    </w:p>
  </w:footnote>
  <w:footnote w:id="3029">
    <w:p w:rsidR="00A13282" w:rsidRDefault="00A13282" w:rsidP="002D629A">
      <w:pPr>
        <w:pStyle w:val="a5"/>
        <w:rPr>
          <w:rtl/>
        </w:rPr>
      </w:pPr>
      <w:r>
        <w:rPr>
          <w:rStyle w:val="a7"/>
          <w:rtl/>
        </w:rPr>
        <w:footnoteRef/>
      </w:r>
      <w:r>
        <w:rPr>
          <w:rtl/>
        </w:rPr>
        <w:t xml:space="preserve"> </w:t>
      </w:r>
      <w:r>
        <w:rPr>
          <w:b/>
          <w:bCs/>
          <w:rtl/>
        </w:rPr>
        <w:t>וביום שמחת כו'.</w:t>
      </w:r>
      <w:r>
        <w:rPr>
          <w:rtl/>
        </w:rPr>
        <w:t xml:space="preserve"> כנ"ל דכל השמחות ממנה:</w:t>
      </w:r>
    </w:p>
  </w:footnote>
  <w:footnote w:id="3030">
    <w:p w:rsidR="00A13282" w:rsidRDefault="00A13282" w:rsidP="002D629A">
      <w:pPr>
        <w:pStyle w:val="a5"/>
        <w:rPr>
          <w:rtl/>
        </w:rPr>
      </w:pPr>
      <w:r>
        <w:rPr>
          <w:rStyle w:val="a7"/>
          <w:rtl/>
        </w:rPr>
        <w:footnoteRef/>
      </w:r>
      <w:r>
        <w:rPr>
          <w:rtl/>
        </w:rPr>
        <w:t xml:space="preserve"> </w:t>
      </w:r>
      <w:r>
        <w:rPr>
          <w:b/>
          <w:bCs/>
          <w:rtl/>
        </w:rPr>
        <w:t>ולקחתם לכם ביום הראשון פרי כו'.</w:t>
      </w:r>
      <w:r>
        <w:rPr>
          <w:rtl/>
        </w:rPr>
        <w:t xml:space="preserve"> עתה מפרש דהיא ארבעה מינין שבלולב כמו שמפרש והולך:</w:t>
      </w:r>
    </w:p>
  </w:footnote>
  <w:footnote w:id="3031">
    <w:p w:rsidR="00A13282" w:rsidRDefault="00A13282" w:rsidP="002D629A">
      <w:pPr>
        <w:pStyle w:val="a5"/>
        <w:rPr>
          <w:rtl/>
        </w:rPr>
      </w:pPr>
      <w:r>
        <w:rPr>
          <w:rStyle w:val="a7"/>
          <w:rtl/>
        </w:rPr>
        <w:footnoteRef/>
      </w:r>
      <w:r>
        <w:rPr>
          <w:rtl/>
        </w:rPr>
        <w:t xml:space="preserve"> </w:t>
      </w:r>
      <w:r>
        <w:rPr>
          <w:b/>
          <w:bCs/>
          <w:rtl/>
        </w:rPr>
        <w:t xml:space="preserve">דאיהי גבורה. </w:t>
      </w:r>
      <w:r>
        <w:rPr>
          <w:rtl/>
        </w:rPr>
        <w:t>כידוע שהיא גבורות, לילה, נר מצוה:</w:t>
      </w:r>
    </w:p>
  </w:footnote>
  <w:footnote w:id="3032">
    <w:p w:rsidR="00A13282" w:rsidRDefault="00A13282" w:rsidP="002D629A">
      <w:pPr>
        <w:pStyle w:val="a5"/>
        <w:rPr>
          <w:rtl/>
        </w:rPr>
      </w:pPr>
      <w:r>
        <w:rPr>
          <w:rStyle w:val="a7"/>
          <w:rtl/>
        </w:rPr>
        <w:footnoteRef/>
      </w:r>
      <w:r>
        <w:rPr>
          <w:rtl/>
        </w:rPr>
        <w:t xml:space="preserve"> </w:t>
      </w:r>
      <w:r>
        <w:rPr>
          <w:b/>
          <w:bCs/>
          <w:rtl/>
        </w:rPr>
        <w:t>למיהוי שלימא עמי' כו'.</w:t>
      </w:r>
      <w:r>
        <w:rPr>
          <w:rtl/>
        </w:rPr>
        <w:t xml:space="preserve"> כמו שכתוב (שיר השירים ה ב) תמתי, ואמרו תאומתי בדוגמא דיליה:</w:t>
      </w:r>
    </w:p>
  </w:footnote>
  <w:footnote w:id="3033">
    <w:p w:rsidR="00A13282" w:rsidRDefault="00A13282" w:rsidP="002D629A">
      <w:pPr>
        <w:pStyle w:val="a5"/>
        <w:rPr>
          <w:rtl/>
        </w:rPr>
      </w:pPr>
      <w:r>
        <w:rPr>
          <w:rStyle w:val="a7"/>
          <w:rtl/>
        </w:rPr>
        <w:footnoteRef/>
      </w:r>
      <w:r>
        <w:rPr>
          <w:rtl/>
        </w:rPr>
        <w:t xml:space="preserve"> </w:t>
      </w:r>
      <w:r>
        <w:rPr>
          <w:b/>
          <w:bCs/>
          <w:rtl/>
        </w:rPr>
        <w:t>ירוקא.</w:t>
      </w:r>
      <w:r>
        <w:rPr>
          <w:rtl/>
        </w:rPr>
        <w:t xml:space="preserve"> רוצה לומר כזהב, דיש מראות אחרות דכשרין בה, וזה שאומר במתניתין (סוכה ג ו) והירוק ככרתי לאפוקי סתם ירוק שהוא כזהב ועיין שם בתוס' (ל"א ע"ב), וזה שאומר אסתר ירקרקת כו' שהוא כזהב, דככרתי לית באדם, והוא דוגמא דבעלה ירוק, וכמו שאומר לעיל מ"ה א' תרועה ירוקא דאנפין ובה נפקין כו':</w:t>
      </w:r>
    </w:p>
  </w:footnote>
  <w:footnote w:id="3034">
    <w:p w:rsidR="00A13282" w:rsidRDefault="00A13282" w:rsidP="002D629A">
      <w:pPr>
        <w:pStyle w:val="a5"/>
        <w:rPr>
          <w:rtl/>
        </w:rPr>
      </w:pPr>
      <w:r>
        <w:rPr>
          <w:rStyle w:val="a7"/>
          <w:rtl/>
        </w:rPr>
        <w:footnoteRef/>
      </w:r>
      <w:r>
        <w:rPr>
          <w:rtl/>
        </w:rPr>
        <w:t xml:space="preserve"> </w:t>
      </w:r>
      <w:r>
        <w:rPr>
          <w:b/>
          <w:bCs/>
          <w:rtl/>
        </w:rPr>
        <w:t xml:space="preserve">בגין דאתמר ותלבש כו'. </w:t>
      </w:r>
      <w:r>
        <w:rPr>
          <w:rtl/>
        </w:rPr>
        <w:t>לראיה דהיא בדוגמת שכינה תתאה:</w:t>
      </w:r>
    </w:p>
  </w:footnote>
  <w:footnote w:id="3035">
    <w:p w:rsidR="00A13282" w:rsidRDefault="00A13282" w:rsidP="002D629A">
      <w:pPr>
        <w:pStyle w:val="a5"/>
        <w:rPr>
          <w:rtl/>
        </w:rPr>
      </w:pPr>
      <w:r>
        <w:rPr>
          <w:rStyle w:val="a7"/>
          <w:rtl/>
        </w:rPr>
        <w:footnoteRef/>
      </w:r>
      <w:r>
        <w:rPr>
          <w:rtl/>
        </w:rPr>
        <w:t xml:space="preserve"> </w:t>
      </w:r>
      <w:r>
        <w:rPr>
          <w:b/>
          <w:bCs/>
          <w:rtl/>
        </w:rPr>
        <w:t xml:space="preserve">והדס כו'. </w:t>
      </w:r>
      <w:r>
        <w:rPr>
          <w:rtl/>
        </w:rPr>
        <w:t>והוא כל ז"ת, דאתקריאת בת שבע - כלילא משבע:</w:t>
      </w:r>
    </w:p>
  </w:footnote>
  <w:footnote w:id="3036">
    <w:p w:rsidR="00A13282" w:rsidRDefault="00A13282" w:rsidP="002D629A">
      <w:pPr>
        <w:pStyle w:val="a5"/>
        <w:rPr>
          <w:rtl/>
        </w:rPr>
      </w:pPr>
      <w:r>
        <w:rPr>
          <w:rStyle w:val="a7"/>
          <w:rtl/>
        </w:rPr>
        <w:footnoteRef/>
      </w:r>
      <w:r>
        <w:rPr>
          <w:rtl/>
        </w:rPr>
        <w:t xml:space="preserve"> </w:t>
      </w:r>
      <w:r>
        <w:rPr>
          <w:b/>
          <w:bCs/>
          <w:rtl/>
        </w:rPr>
        <w:t xml:space="preserve">שית סיטרין דכלילן כו'. </w:t>
      </w:r>
      <w:r>
        <w:rPr>
          <w:rtl/>
        </w:rPr>
        <w:t>רוצה לומר למה מנענעין ביה לשית סטרין, ואמר משום דלולב הוא חוט השדרה דכליל בגופא, ועל שם הגוף נקרא לולב כמו שמפרש והולך ל"ו ל"ב, והוא רומז על מה שכתוב בבהיר ה' ב' אילן אחד יש לו להקב"ה ובו י"ב אלכסונים גבול מזרחית רומית כו', ובפנים מהן הוא האילן, ובכל אלה האלכסונים יש כנגדם פקידים והם י"ב, וגם בגלגל יש י"ב פקידים, וכן בלב י"ב פקידים, אלה ל"ו פקידים כו' שהם פקידים בתלי וגלגל ולב, והם ל"ו, שכח אחד יש להם, וכח כל אחד בחבירו, ואע"פ שי"ב בכל אחד ואחד מן השלשה - כלם אדוקים זה בזה, וכל הל"ו כחות נמצאות בראשים שהוא תלי ואם תדרשם בלב תמצא אותם כו' וכולם נשלמו בל"ב נתיבות מסור ללב, והענין כמו שאמרו בספר יצירה שעולם מתנהג בשלשה - עש"נ, וכל אחד כלול מי"ב, והלב כולל כולן, וזהו ל"ו ל"ב, והוא בעמודא דאמצעיתא, וכן בצדיק דגוף וברית חד אינון, והוא השדרה שמתפשט עד הברית, אתפשטותא דשדרה אות ג', ועיין במדרש הנעלם ריש פרשת לך לך תאנא בהורמנא דמלכא כו'. ואמר</w:t>
      </w:r>
    </w:p>
  </w:footnote>
  <w:footnote w:id="3037">
    <w:p w:rsidR="00A13282" w:rsidRDefault="00A13282" w:rsidP="002D629A">
      <w:pPr>
        <w:pStyle w:val="a5"/>
        <w:rPr>
          <w:rtl/>
        </w:rPr>
      </w:pPr>
      <w:r>
        <w:rPr>
          <w:rStyle w:val="a7"/>
          <w:rtl/>
        </w:rPr>
        <w:footnoteRef/>
      </w:r>
      <w:r>
        <w:rPr>
          <w:rtl/>
        </w:rPr>
        <w:t xml:space="preserve"> </w:t>
      </w:r>
      <w:r>
        <w:rPr>
          <w:b/>
          <w:bCs/>
          <w:rtl/>
        </w:rPr>
        <w:t xml:space="preserve">ואינון שית סטרין כו'. </w:t>
      </w:r>
      <w:r>
        <w:rPr>
          <w:rtl/>
        </w:rPr>
        <w:t>לפרש מה שאמר למעלה שית סטרין:</w:t>
      </w:r>
    </w:p>
  </w:footnote>
  <w:footnote w:id="3038">
    <w:p w:rsidR="00A13282" w:rsidRDefault="00A13282" w:rsidP="002D629A">
      <w:pPr>
        <w:pStyle w:val="a5"/>
        <w:rPr>
          <w:rtl/>
        </w:rPr>
      </w:pPr>
      <w:r>
        <w:rPr>
          <w:rStyle w:val="a7"/>
          <w:rtl/>
        </w:rPr>
        <w:footnoteRef/>
      </w:r>
      <w:r>
        <w:rPr>
          <w:rtl/>
        </w:rPr>
        <w:t xml:space="preserve"> </w:t>
      </w:r>
      <w:r>
        <w:rPr>
          <w:b/>
          <w:bCs/>
          <w:rtl/>
        </w:rPr>
        <w:t xml:space="preserve">מסטרא דגופא ואתקרי אחור כו'. </w:t>
      </w:r>
      <w:r>
        <w:rPr>
          <w:rtl/>
        </w:rPr>
        <w:t>ולא גרסינן שדרה, ורוצה לומר דהיא (שדרה כו'. רוצה לומר שכינתא נקראת שדרה וכן) אתקריאת אחור מסטרא דילה, וכל מה שאומר למטה בהגהה אינו ענין לכאן ושייך למקום אחר, ולפי שאמר כאן לקבל ח"י חוליין דשדרה אמר ואתקרי אחור כו':</w:t>
      </w:r>
    </w:p>
  </w:footnote>
  <w:footnote w:id="3039">
    <w:p w:rsidR="00A13282" w:rsidRDefault="00A13282" w:rsidP="002D629A">
      <w:pPr>
        <w:pStyle w:val="a5"/>
        <w:rPr>
          <w:rtl/>
        </w:rPr>
      </w:pPr>
      <w:r>
        <w:rPr>
          <w:rStyle w:val="a7"/>
          <w:rtl/>
        </w:rPr>
        <w:footnoteRef/>
      </w:r>
      <w:r>
        <w:rPr>
          <w:rtl/>
        </w:rPr>
        <w:t xml:space="preserve"> </w:t>
      </w:r>
      <w:r>
        <w:rPr>
          <w:b/>
          <w:bCs/>
          <w:rtl/>
        </w:rPr>
        <w:t xml:space="preserve">השיב אחור ימינו. </w:t>
      </w:r>
      <w:r>
        <w:rPr>
          <w:rtl/>
        </w:rPr>
        <w:t>רוצה לומר (מאחור השיב אותה ימינו), ובגלותא השיב ימינו לאחור לשמרה אותה שנשארה לאחור, דבזמן בית המקדש היתה לימינו כמו נאום ה' לאדוני שב לימיני כו' מטה עוזך כו', וכמו שאמרו מאי דעתך דצדק קאי למערב אהדרנא ליה למזרח, וכמו שכתוב מי העיר ממזרח צדק יקראהו בתחלה לרגלו וזה שאומר שבתאי כו'. רוצה לומר כמו שמפרש והולך, דשבתאי שהיא בס"א נגד שבת שאיל על שכינתא ביום השבת דהוא שולט אז ורואה שהיא נסתלקה ממנו לימין ושאיל עלה ולכן נקרא שבתאי בתוספת אותיות א"י לגרעון דיליה וזה שאומר וכך הוא כו':</w:t>
      </w:r>
    </w:p>
  </w:footnote>
  <w:footnote w:id="3040">
    <w:p w:rsidR="00A13282" w:rsidRDefault="00A13282" w:rsidP="002D629A">
      <w:pPr>
        <w:pStyle w:val="a5"/>
        <w:rPr>
          <w:rtl/>
        </w:rPr>
      </w:pPr>
      <w:r>
        <w:rPr>
          <w:rStyle w:val="a7"/>
          <w:rtl/>
        </w:rPr>
        <w:footnoteRef/>
      </w:r>
      <w:r>
        <w:rPr>
          <w:rtl/>
        </w:rPr>
        <w:t xml:space="preserve"> </w:t>
      </w:r>
      <w:r>
        <w:rPr>
          <w:b/>
          <w:bCs/>
          <w:rtl/>
        </w:rPr>
        <w:t xml:space="preserve">וצריכין כו'. </w:t>
      </w:r>
      <w:r>
        <w:rPr>
          <w:rtl/>
        </w:rPr>
        <w:t>כמו שהיא שינתה, וכמו שמפרש והולך בגין כו', ואמר ודא איהו כו' ודא איהו לטובה שהשיב מאחור לימינו וזה שאומר אם זכאין לנטרא כו'. ואמר</w:t>
      </w:r>
    </w:p>
  </w:footnote>
  <w:footnote w:id="3041">
    <w:p w:rsidR="00A13282" w:rsidRDefault="00A13282" w:rsidP="002D629A">
      <w:pPr>
        <w:pStyle w:val="a5"/>
        <w:rPr>
          <w:rtl/>
        </w:rPr>
      </w:pPr>
      <w:r>
        <w:rPr>
          <w:rStyle w:val="a7"/>
          <w:rtl/>
        </w:rPr>
        <w:footnoteRef/>
      </w:r>
      <w:r>
        <w:rPr>
          <w:rtl/>
        </w:rPr>
        <w:t xml:space="preserve"> </w:t>
      </w:r>
      <w:r>
        <w:rPr>
          <w:b/>
          <w:bCs/>
          <w:rtl/>
        </w:rPr>
        <w:t xml:space="preserve">ודא איהו שינוי מקום כו'. </w:t>
      </w:r>
      <w:r>
        <w:rPr>
          <w:rtl/>
        </w:rPr>
        <w:t>דשלשה שינויים אלו צריכין להיות כמו שאמרו (ר"ה טז ע"ב) דשלשה דברים אלו מקרעין גזר דין כו', וכן הוא בגלגולא, ועיין לקמן תיקון ס”ט בארוכה הרבה, ומקום הוא בהוי"ה בהיכל קדשו, ושם הוא בעמודא דאמצעיתא ושמו הגדול, ומעשה הוא בבינה בסוד אומר ועושה וכמו שאומר לעיל ל"ט א' ועיין לקמן ריש תיקון ס"א:</w:t>
      </w:r>
    </w:p>
  </w:footnote>
  <w:footnote w:id="3042">
    <w:p w:rsidR="00A13282" w:rsidRDefault="00A13282" w:rsidP="002D629A">
      <w:pPr>
        <w:pStyle w:val="a5"/>
        <w:rPr>
          <w:rtl/>
        </w:rPr>
      </w:pPr>
      <w:r>
        <w:rPr>
          <w:rStyle w:val="a7"/>
          <w:rtl/>
        </w:rPr>
        <w:footnoteRef/>
      </w:r>
      <w:r>
        <w:rPr>
          <w:rtl/>
        </w:rPr>
        <w:t xml:space="preserve"> </w:t>
      </w:r>
      <w:r>
        <w:rPr>
          <w:b/>
          <w:bCs/>
          <w:rtl/>
        </w:rPr>
        <w:t xml:space="preserve">בטולא דעובדא. </w:t>
      </w:r>
      <w:r>
        <w:rPr>
          <w:rtl/>
        </w:rPr>
        <w:t>ביטול המעשה, שהשם מורה על השינוי:</w:t>
      </w:r>
    </w:p>
  </w:footnote>
  <w:footnote w:id="3043">
    <w:p w:rsidR="00A13282" w:rsidRDefault="00A13282" w:rsidP="002D629A">
      <w:pPr>
        <w:pStyle w:val="a5"/>
        <w:rPr>
          <w:rtl/>
        </w:rPr>
      </w:pPr>
      <w:r>
        <w:rPr>
          <w:rStyle w:val="a7"/>
          <w:rtl/>
        </w:rPr>
        <w:footnoteRef/>
      </w:r>
      <w:r>
        <w:rPr>
          <w:rtl/>
        </w:rPr>
        <w:t xml:space="preserve"> </w:t>
      </w:r>
      <w:r>
        <w:rPr>
          <w:b/>
          <w:bCs/>
          <w:rtl/>
        </w:rPr>
        <w:t xml:space="preserve">ובדא לסם המות חללה כו'. </w:t>
      </w:r>
      <w:r>
        <w:rPr>
          <w:rtl/>
        </w:rPr>
        <w:t>רוצה לומר דאיהו נקרא חללה זונה, שהיא חול חילול שבת, בדכורא לשון זכר חלול, ושניהם חללים מחלליה מאן דמכניס חללה זונה בחלל דילה כמו שאומר לקמן בתיקון כ”ד ושאר מקומות הרבה:</w:t>
      </w:r>
    </w:p>
  </w:footnote>
  <w:footnote w:id="3044">
    <w:p w:rsidR="00A13282" w:rsidRDefault="00A13282" w:rsidP="002D629A">
      <w:pPr>
        <w:pStyle w:val="a5"/>
        <w:rPr>
          <w:rtl/>
        </w:rPr>
      </w:pPr>
      <w:r>
        <w:rPr>
          <w:rStyle w:val="a7"/>
          <w:rtl/>
        </w:rPr>
        <w:footnoteRef/>
      </w:r>
      <w:r>
        <w:rPr>
          <w:rtl/>
        </w:rPr>
        <w:t xml:space="preserve"> </w:t>
      </w:r>
      <w:r>
        <w:rPr>
          <w:b/>
          <w:bCs/>
          <w:rtl/>
        </w:rPr>
        <w:t xml:space="preserve">ל"ל רשו כו'. </w:t>
      </w:r>
      <w:r>
        <w:rPr>
          <w:rtl/>
        </w:rPr>
        <w:t>דהם עצבון ומחלוקת, ושבת הוא דרגא דשלמא, יום השביעי:</w:t>
      </w:r>
    </w:p>
  </w:footnote>
  <w:footnote w:id="3045">
    <w:p w:rsidR="00A13282" w:rsidRDefault="00A13282" w:rsidP="002D629A">
      <w:pPr>
        <w:pStyle w:val="a5"/>
        <w:rPr>
          <w:rtl/>
        </w:rPr>
      </w:pPr>
      <w:r>
        <w:rPr>
          <w:rStyle w:val="a7"/>
          <w:rtl/>
        </w:rPr>
        <w:footnoteRef/>
      </w:r>
      <w:r>
        <w:rPr>
          <w:rtl/>
        </w:rPr>
        <w:t xml:space="preserve"> </w:t>
      </w:r>
      <w:r>
        <w:rPr>
          <w:b/>
          <w:bCs/>
          <w:rtl/>
        </w:rPr>
        <w:t xml:space="preserve">מיד הוו נגאלין. </w:t>
      </w:r>
      <w:r>
        <w:rPr>
          <w:rtl/>
        </w:rPr>
        <w:t>דעתה בגלותא בשבעים אומין דילה וכמו שאומר לקמן בריש תיקון כ"ד ואיהי כללא דשבעין אומין פלחי כוכביא ואיהי חללה כו':</w:t>
      </w:r>
    </w:p>
  </w:footnote>
  <w:footnote w:id="3046">
    <w:p w:rsidR="00A13282" w:rsidRDefault="00A13282" w:rsidP="002D629A">
      <w:pPr>
        <w:pStyle w:val="a5"/>
        <w:rPr>
          <w:rtl/>
        </w:rPr>
      </w:pPr>
      <w:r>
        <w:rPr>
          <w:rStyle w:val="a7"/>
          <w:rtl/>
        </w:rPr>
        <w:footnoteRef/>
      </w:r>
      <w:r>
        <w:rPr>
          <w:rtl/>
        </w:rPr>
        <w:t xml:space="preserve"> </w:t>
      </w:r>
      <w:r>
        <w:rPr>
          <w:b/>
          <w:bCs/>
          <w:rtl/>
        </w:rPr>
        <w:t xml:space="preserve">בשבת תניינא כו'. </w:t>
      </w:r>
      <w:r>
        <w:rPr>
          <w:rtl/>
        </w:rPr>
        <w:t>כצ"ל ולא כמו שכתוב בהגהה למטה, וכן הגהה דלמעלה ועוד אית שינוי כו' - כל זה אינו, אלא הכל כמו שאומר בפנים:</w:t>
      </w:r>
    </w:p>
  </w:footnote>
  <w:footnote w:id="3047">
    <w:p w:rsidR="00A13282" w:rsidRDefault="00A13282" w:rsidP="002D629A">
      <w:pPr>
        <w:pStyle w:val="a5"/>
        <w:rPr>
          <w:rtl/>
        </w:rPr>
      </w:pPr>
      <w:r>
        <w:rPr>
          <w:rStyle w:val="a7"/>
          <w:rtl/>
        </w:rPr>
        <w:footnoteRef/>
      </w:r>
      <w:r>
        <w:rPr>
          <w:rtl/>
        </w:rPr>
        <w:t xml:space="preserve"> </w:t>
      </w:r>
      <w:r>
        <w:rPr>
          <w:b/>
          <w:bCs/>
          <w:rtl/>
        </w:rPr>
        <w:t xml:space="preserve">מטה הא כו'. </w:t>
      </w:r>
      <w:r>
        <w:rPr>
          <w:rtl/>
        </w:rPr>
        <w:t>ושולחן כבר פירש למעלה דאם הוה רגיל למיכל שתי סעודות כו':</w:t>
      </w:r>
    </w:p>
  </w:footnote>
  <w:footnote w:id="3048">
    <w:p w:rsidR="00A13282" w:rsidRDefault="00A13282" w:rsidP="002D629A">
      <w:pPr>
        <w:pStyle w:val="a5"/>
        <w:rPr>
          <w:rtl/>
        </w:rPr>
      </w:pPr>
      <w:r>
        <w:rPr>
          <w:rStyle w:val="a7"/>
          <w:rtl/>
        </w:rPr>
        <w:footnoteRef/>
      </w:r>
      <w:r>
        <w:rPr>
          <w:rtl/>
        </w:rPr>
        <w:t xml:space="preserve"> </w:t>
      </w:r>
      <w:r>
        <w:rPr>
          <w:b/>
          <w:bCs/>
          <w:rtl/>
        </w:rPr>
        <w:t xml:space="preserve">ובפירודא. </w:t>
      </w:r>
      <w:r>
        <w:rPr>
          <w:rtl/>
        </w:rPr>
        <w:t>רוצה לומר פירוד הדעות:</w:t>
      </w:r>
    </w:p>
  </w:footnote>
  <w:footnote w:id="3049">
    <w:p w:rsidR="00A13282" w:rsidRDefault="00A13282" w:rsidP="002D629A">
      <w:pPr>
        <w:pStyle w:val="a5"/>
        <w:rPr>
          <w:rtl/>
        </w:rPr>
      </w:pPr>
      <w:r>
        <w:rPr>
          <w:rStyle w:val="a7"/>
          <w:rtl/>
        </w:rPr>
        <w:footnoteRef/>
      </w:r>
      <w:r>
        <w:rPr>
          <w:rtl/>
        </w:rPr>
        <w:t xml:space="preserve"> </w:t>
      </w:r>
      <w:r>
        <w:rPr>
          <w:b/>
          <w:bCs/>
          <w:rtl/>
        </w:rPr>
        <w:t xml:space="preserve">והזר הקרב יומת. </w:t>
      </w:r>
      <w:r>
        <w:rPr>
          <w:rtl/>
        </w:rPr>
        <w:t>כמו שאמרו (סנהדרין קו ע"א, ילקוט שמעוני שמות לא סי' שצא) כי אות היא ביני וביניכם המטיל כסות בין לביא ולביאה כו':</w:t>
      </w:r>
    </w:p>
  </w:footnote>
  <w:footnote w:id="3050">
    <w:p w:rsidR="00A13282" w:rsidRDefault="00A13282" w:rsidP="002D629A">
      <w:pPr>
        <w:pStyle w:val="a5"/>
        <w:rPr>
          <w:rtl/>
        </w:rPr>
      </w:pPr>
      <w:r>
        <w:rPr>
          <w:rStyle w:val="a7"/>
          <w:rtl/>
        </w:rPr>
        <w:footnoteRef/>
      </w:r>
      <w:r>
        <w:rPr>
          <w:rtl/>
        </w:rPr>
        <w:t xml:space="preserve"> </w:t>
      </w:r>
      <w:r>
        <w:rPr>
          <w:b/>
          <w:bCs/>
          <w:rtl/>
        </w:rPr>
        <w:t>בגין דקדש כו'.</w:t>
      </w:r>
      <w:r>
        <w:rPr>
          <w:rtl/>
        </w:rPr>
        <w:t>והן חול חללה וחלול כנ"ל, (ויקרא כב י) וכל זר לא יאכל קדש, ונאמר במקדש (במדבר א נא, ג י, ג לח, יח ז) והזר כו':</w:t>
      </w:r>
    </w:p>
  </w:footnote>
  <w:footnote w:id="3051">
    <w:p w:rsidR="00A13282" w:rsidRDefault="00A13282" w:rsidP="002D629A">
      <w:pPr>
        <w:pStyle w:val="a5"/>
        <w:rPr>
          <w:rtl/>
        </w:rPr>
      </w:pPr>
      <w:r>
        <w:rPr>
          <w:rStyle w:val="a7"/>
          <w:rtl/>
        </w:rPr>
        <w:footnoteRef/>
      </w:r>
      <w:r>
        <w:rPr>
          <w:rtl/>
        </w:rPr>
        <w:t xml:space="preserve"> </w:t>
      </w:r>
      <w:r>
        <w:rPr>
          <w:b/>
          <w:bCs/>
          <w:rtl/>
        </w:rPr>
        <w:t xml:space="preserve">קדושה דיליה. </w:t>
      </w:r>
      <w:r>
        <w:rPr>
          <w:rtl/>
        </w:rPr>
        <w:t>בלא חול וחלול:</w:t>
      </w:r>
    </w:p>
  </w:footnote>
  <w:footnote w:id="3052">
    <w:p w:rsidR="00A13282" w:rsidRDefault="00A13282" w:rsidP="002D629A">
      <w:pPr>
        <w:pStyle w:val="a5"/>
        <w:rPr>
          <w:rtl/>
        </w:rPr>
      </w:pPr>
      <w:r>
        <w:rPr>
          <w:rStyle w:val="a7"/>
          <w:rtl/>
        </w:rPr>
        <w:footnoteRef/>
      </w:r>
      <w:r>
        <w:rPr>
          <w:rtl/>
        </w:rPr>
        <w:t xml:space="preserve"> </w:t>
      </w:r>
      <w:r>
        <w:rPr>
          <w:b/>
          <w:bCs/>
          <w:rtl/>
        </w:rPr>
        <w:t xml:space="preserve">ובתרוייהו. </w:t>
      </w:r>
      <w:r>
        <w:rPr>
          <w:rtl/>
        </w:rPr>
        <w:t>רוצה לומר בברכה וקדושה:</w:t>
      </w:r>
    </w:p>
  </w:footnote>
  <w:footnote w:id="3053">
    <w:p w:rsidR="00A13282" w:rsidRDefault="00A13282" w:rsidP="002D629A">
      <w:pPr>
        <w:pStyle w:val="a5"/>
        <w:rPr>
          <w:rtl/>
        </w:rPr>
      </w:pPr>
      <w:r>
        <w:rPr>
          <w:rStyle w:val="a7"/>
          <w:rtl/>
        </w:rPr>
        <w:footnoteRef/>
      </w:r>
      <w:r>
        <w:rPr>
          <w:rtl/>
        </w:rPr>
        <w:t xml:space="preserve"> </w:t>
      </w:r>
      <w:r>
        <w:rPr>
          <w:b/>
          <w:bCs/>
          <w:rtl/>
        </w:rPr>
        <w:t xml:space="preserve">שקולה ככל אורייתא. </w:t>
      </w:r>
      <w:r>
        <w:rPr>
          <w:rtl/>
        </w:rPr>
        <w:t>דברכה וקדושה הן כלל אורייתא, מצוות עשה ומצוות לא תעשה, וכן אמר למטה לית פקודא כו':</w:t>
      </w:r>
    </w:p>
  </w:footnote>
  <w:footnote w:id="3054">
    <w:p w:rsidR="00A13282" w:rsidRDefault="00A13282" w:rsidP="002D629A">
      <w:pPr>
        <w:pStyle w:val="a5"/>
        <w:rPr>
          <w:rtl/>
        </w:rPr>
      </w:pPr>
      <w:r>
        <w:rPr>
          <w:rStyle w:val="a7"/>
          <w:rtl/>
        </w:rPr>
        <w:footnoteRef/>
      </w:r>
      <w:r>
        <w:rPr>
          <w:rtl/>
        </w:rPr>
        <w:t xml:space="preserve"> </w:t>
      </w:r>
      <w:r>
        <w:rPr>
          <w:b/>
          <w:bCs/>
          <w:rtl/>
        </w:rPr>
        <w:t xml:space="preserve">לית פקודא דעשה ול"ת כו'. </w:t>
      </w:r>
      <w:r>
        <w:rPr>
          <w:rtl/>
        </w:rPr>
        <w:t>כמו שבארנו דזכור ושמור הן כלל מצוות עשה ומצוות לא תעשה, ועיין בזוהר פרשת יתרו צ"א א' ולקמן צ"א ב' סוף תיקון נ”ד לעבדה בפקודין דאורייתא דעשה דאיהו זכור, דכר, ולשמרה בפקודין דלא תעשה דאיהו שמור נוק' כו', והוא ברכה וקדושה, ונגד התורה באמצעיתא את האדם כו' - הוא יחוד:</w:t>
      </w:r>
    </w:p>
  </w:footnote>
  <w:footnote w:id="3055">
    <w:p w:rsidR="00A13282" w:rsidRDefault="00A13282" w:rsidP="002D629A">
      <w:pPr>
        <w:pStyle w:val="a5"/>
        <w:rPr>
          <w:rtl/>
        </w:rPr>
      </w:pPr>
      <w:r>
        <w:rPr>
          <w:rStyle w:val="a7"/>
          <w:rtl/>
        </w:rPr>
        <w:footnoteRef/>
      </w:r>
      <w:r>
        <w:rPr>
          <w:rtl/>
        </w:rPr>
        <w:t xml:space="preserve"> </w:t>
      </w:r>
      <w:r>
        <w:rPr>
          <w:b/>
          <w:bCs/>
          <w:rtl/>
        </w:rPr>
        <w:t xml:space="preserve">ורזא דמלה וראיתי' כו. </w:t>
      </w:r>
      <w:r>
        <w:rPr>
          <w:rtl/>
        </w:rPr>
        <w:t>וכמו שכתוב שם (אסתר ה ב) ויהי כראותה נשאה כו', ונאמר כאן לזכור ברית וכמו שכתוב וזכרתי לכם כו':</w:t>
      </w:r>
    </w:p>
  </w:footnote>
  <w:footnote w:id="3056">
    <w:p w:rsidR="00A13282" w:rsidRDefault="00A13282" w:rsidP="002D629A">
      <w:pPr>
        <w:pStyle w:val="a5"/>
        <w:rPr>
          <w:rtl/>
        </w:rPr>
      </w:pPr>
      <w:r>
        <w:rPr>
          <w:rStyle w:val="a7"/>
          <w:rtl/>
        </w:rPr>
        <w:footnoteRef/>
      </w:r>
      <w:r>
        <w:rPr>
          <w:rtl/>
        </w:rPr>
        <w:t xml:space="preserve"> </w:t>
      </w:r>
      <w:r>
        <w:rPr>
          <w:b/>
          <w:bCs/>
          <w:rtl/>
        </w:rPr>
        <w:t xml:space="preserve">ה' שמעה כו'. </w:t>
      </w:r>
      <w:r>
        <w:rPr>
          <w:rtl/>
        </w:rPr>
        <w:t xml:space="preserve">ראשי תיבות שס"ה, דהוא יום הכפורים כולל שס"ה ימות השנה ומכפר על שס"ה לא תעשה: </w:t>
      </w:r>
    </w:p>
  </w:footnote>
  <w:footnote w:id="3057">
    <w:p w:rsidR="00A13282" w:rsidRDefault="00A13282" w:rsidP="002D629A">
      <w:pPr>
        <w:pStyle w:val="a5"/>
        <w:rPr>
          <w:rtl/>
        </w:rPr>
      </w:pPr>
      <w:r>
        <w:rPr>
          <w:rStyle w:val="a7"/>
          <w:rtl/>
        </w:rPr>
        <w:footnoteRef/>
      </w:r>
      <w:r>
        <w:rPr>
          <w:rtl/>
        </w:rPr>
        <w:t xml:space="preserve"> </w:t>
      </w:r>
      <w:r>
        <w:rPr>
          <w:b/>
          <w:bCs/>
          <w:rtl/>
        </w:rPr>
        <w:t xml:space="preserve">בלא בעלה. </w:t>
      </w:r>
      <w:r>
        <w:rPr>
          <w:rtl/>
        </w:rPr>
        <w:t>הדעת, משה רבינו עליו השלום, דרגא דתורה, וכמו שכתוב דת והוא הדעת בע' אנפין:</w:t>
      </w:r>
    </w:p>
  </w:footnote>
  <w:footnote w:id="3058">
    <w:p w:rsidR="00A13282" w:rsidRDefault="00A13282" w:rsidP="002D629A">
      <w:pPr>
        <w:pStyle w:val="a5"/>
        <w:rPr>
          <w:rtl/>
        </w:rPr>
      </w:pPr>
      <w:r>
        <w:rPr>
          <w:rStyle w:val="a7"/>
          <w:rtl/>
        </w:rPr>
        <w:footnoteRef/>
      </w:r>
      <w:r>
        <w:rPr>
          <w:rtl/>
        </w:rPr>
        <w:t xml:space="preserve"> </w:t>
      </w:r>
      <w:r>
        <w:rPr>
          <w:b/>
          <w:bCs/>
          <w:rtl/>
        </w:rPr>
        <w:t>הה"ד וכאשר כו'.</w:t>
      </w:r>
      <w:r>
        <w:rPr>
          <w:rtl/>
        </w:rPr>
        <w:t xml:space="preserve"> שתי פעמים:</w:t>
      </w:r>
    </w:p>
  </w:footnote>
  <w:footnote w:id="3059">
    <w:p w:rsidR="00A13282" w:rsidRDefault="00A13282" w:rsidP="002D629A">
      <w:pPr>
        <w:pStyle w:val="a5"/>
        <w:rPr>
          <w:rtl/>
        </w:rPr>
      </w:pPr>
      <w:r>
        <w:rPr>
          <w:rStyle w:val="a7"/>
          <w:rtl/>
        </w:rPr>
        <w:footnoteRef/>
      </w:r>
      <w:r>
        <w:rPr>
          <w:rtl/>
        </w:rPr>
        <w:t xml:space="preserve"> </w:t>
      </w:r>
      <w:r>
        <w:rPr>
          <w:b/>
          <w:bCs/>
          <w:rtl/>
        </w:rPr>
        <w:t>אע"ג דאעלת כו'.</w:t>
      </w:r>
      <w:r>
        <w:rPr>
          <w:rtl/>
        </w:rPr>
        <w:t xml:space="preserve"> כמו שאמרו שלש הראשונות גלו ונגאלו בזכות אבות אבל גאולה אחרונה לא תהא אלא בזכות משה וע"י התורה דרגיה:</w:t>
      </w:r>
    </w:p>
  </w:footnote>
  <w:footnote w:id="3060">
    <w:p w:rsidR="00A13282" w:rsidRDefault="00A13282" w:rsidP="002D629A">
      <w:pPr>
        <w:pStyle w:val="a5"/>
        <w:rPr>
          <w:rtl/>
        </w:rPr>
      </w:pPr>
      <w:r>
        <w:rPr>
          <w:rStyle w:val="a7"/>
          <w:rtl/>
        </w:rPr>
        <w:footnoteRef/>
      </w:r>
      <w:r>
        <w:rPr>
          <w:rtl/>
        </w:rPr>
        <w:t xml:space="preserve"> </w:t>
      </w:r>
      <w:r>
        <w:rPr>
          <w:b/>
          <w:bCs/>
          <w:rtl/>
        </w:rPr>
        <w:t xml:space="preserve">דאינון שלשת ימים כו'. </w:t>
      </w:r>
      <w:r>
        <w:rPr>
          <w:rtl/>
        </w:rPr>
        <w:t>והוא עינוי יום הכפורים שהוא לילה ויום והתוספת, וכמו שאמרו (ילקוט שמעוני אסתר ה) וכי שלשת שמים התענו אלא שהיו מפסיקין מבעוד יום, ולילה ויום הוא נגד אברהם יצחק, ויהי ערב כו', והתוספת הוא נגד יעקב, ורוצה לומר אע"ג דבטילו דברי תורה והיא גרם להם עינוי יום הכפורים בגלותא, דבלא"ה היו נגאלין והיה פורים, מ"מ קיימו מצות עינוי בגלותא ואבהן סהדין עליה. ואמר</w:t>
      </w:r>
    </w:p>
  </w:footnote>
  <w:footnote w:id="3061">
    <w:p w:rsidR="00A13282" w:rsidRDefault="00A13282" w:rsidP="002D629A">
      <w:pPr>
        <w:pStyle w:val="a5"/>
        <w:rPr>
          <w:rtl/>
        </w:rPr>
      </w:pPr>
      <w:r>
        <w:rPr>
          <w:rStyle w:val="a7"/>
          <w:rtl/>
        </w:rPr>
        <w:footnoteRef/>
      </w:r>
      <w:r>
        <w:rPr>
          <w:rtl/>
        </w:rPr>
        <w:t xml:space="preserve"> </w:t>
      </w:r>
      <w:r>
        <w:rPr>
          <w:b/>
          <w:bCs/>
          <w:rtl/>
        </w:rPr>
        <w:t xml:space="preserve">ואינון סהדין כו'. </w:t>
      </w:r>
      <w:r>
        <w:rPr>
          <w:rtl/>
        </w:rPr>
        <w:t xml:space="preserve">רוצה לומר על קריאת שמע, והוא ענין אחר דגם סהדין עלה בכל יום, והוא קריאת שמע דשחרית וערבית שהן באברהם ויצחק כמו שאומר לקמן סוף תיקון כ”ה ובתיקון מ”ט, וקרא לישראל בעלה וכמו שנבאר שם, והן </w:t>
      </w:r>
      <w:r>
        <w:rPr>
          <w:b/>
          <w:bCs/>
          <w:rtl/>
        </w:rPr>
        <w:t>ע"ד</w:t>
      </w:r>
      <w:r>
        <w:rPr>
          <w:rtl/>
        </w:rPr>
        <w:t xml:space="preserve"> דשמע כמו שאומר למטה:</w:t>
      </w:r>
    </w:p>
  </w:footnote>
  <w:footnote w:id="3062">
    <w:p w:rsidR="00A13282" w:rsidRDefault="00A13282" w:rsidP="002D629A">
      <w:pPr>
        <w:pStyle w:val="a5"/>
        <w:rPr>
          <w:rtl/>
        </w:rPr>
      </w:pPr>
      <w:r>
        <w:rPr>
          <w:rStyle w:val="a7"/>
          <w:rtl/>
        </w:rPr>
        <w:footnoteRef/>
      </w:r>
      <w:r>
        <w:rPr>
          <w:rtl/>
        </w:rPr>
        <w:t xml:space="preserve"> </w:t>
      </w:r>
      <w:r>
        <w:rPr>
          <w:b/>
          <w:bCs/>
          <w:rtl/>
        </w:rPr>
        <w:t xml:space="preserve">הה"ד ובזה כו'. </w:t>
      </w:r>
      <w:r>
        <w:rPr>
          <w:rtl/>
        </w:rPr>
        <w:t>סיפא דקרא את כל אשר כו', והוא סימנא דאבהן כמו שאמרו בזוהר פרשת פקודי רס"א את כל אשר תאמר ינתן לה דא רזא דאבהן כו', ורוצה לומר, את - הוא כ"ב אתוון, רזא דאבהן, ועיין בזוהר פרשת בראשית ט"ז ב', אבל כאן הכוונה כמו שאומר למטה בערב היא באה שהוא יחודא דערב ובקר, וקורין לישראל בעלה והן אבהן כנ"ל, אלא שמתחיל לפרש הקרא כסדר, ומפרש והולך, ואמר נערה ודאי כו' דאיש כו', דמיוחדת לבעלה ולא החליפה אותו כמו שכתוב בתולה ואיש לא ידעה כן היא מייחדת אותו ואומרת ה' אחד וכמו שמפרש והולך וסהדין עלה דלא חליפת כו'. ואמר</w:t>
      </w:r>
    </w:p>
  </w:footnote>
  <w:footnote w:id="3063">
    <w:p w:rsidR="00A13282" w:rsidRDefault="00A13282" w:rsidP="002D629A">
      <w:pPr>
        <w:pStyle w:val="a5"/>
        <w:rPr>
          <w:rtl/>
        </w:rPr>
      </w:pPr>
      <w:r>
        <w:rPr>
          <w:rStyle w:val="a7"/>
          <w:rtl/>
        </w:rPr>
        <w:footnoteRef/>
      </w:r>
      <w:r>
        <w:rPr>
          <w:rtl/>
        </w:rPr>
        <w:t xml:space="preserve"> </w:t>
      </w:r>
      <w:r>
        <w:rPr>
          <w:b/>
          <w:bCs/>
          <w:rtl/>
        </w:rPr>
        <w:t xml:space="preserve">וכמה דבערב כו'. </w:t>
      </w:r>
      <w:r>
        <w:rPr>
          <w:rtl/>
        </w:rPr>
        <w:t>דבערב רומז לעולם הזה, ובבקר שבה אליו - והרוח תשוב אל האלקים, והכל נערה בתולה, וזה שאומר וכמה דבערב כו' דביאתה לזה העולם ודאי נערה בתולה, כן הוא יציאתה. ואמר</w:t>
      </w:r>
    </w:p>
  </w:footnote>
  <w:footnote w:id="3064">
    <w:p w:rsidR="00A13282" w:rsidRDefault="00A13282" w:rsidP="002D629A">
      <w:pPr>
        <w:pStyle w:val="a5"/>
        <w:rPr>
          <w:rtl/>
        </w:rPr>
      </w:pPr>
      <w:r>
        <w:rPr>
          <w:rStyle w:val="a7"/>
          <w:rtl/>
        </w:rPr>
        <w:footnoteRef/>
      </w:r>
      <w:r>
        <w:rPr>
          <w:rtl/>
        </w:rPr>
        <w:t xml:space="preserve"> </w:t>
      </w:r>
      <w:r>
        <w:rPr>
          <w:b/>
          <w:bCs/>
          <w:rtl/>
        </w:rPr>
        <w:t xml:space="preserve">ובג"ד ישראל כו'. </w:t>
      </w:r>
      <w:r>
        <w:rPr>
          <w:rtl/>
        </w:rPr>
        <w:t>רוצה לומר כמו שמפרש והולך ש"ם א"ח ע"ד, דתהוי סהדין - ע"ד, דשם - היא הנערה שנקראת שם כמו שאמרו בזוהר פרשת ויקהל ר"א, היא דבקה בא"ח וכמו שמפרש והולך א"ח נטיר כו':</w:t>
      </w:r>
    </w:p>
  </w:footnote>
  <w:footnote w:id="3065">
    <w:p w:rsidR="00A13282" w:rsidRDefault="00A13282" w:rsidP="002D629A">
      <w:pPr>
        <w:pStyle w:val="a5"/>
        <w:rPr>
          <w:rtl/>
        </w:rPr>
      </w:pPr>
      <w:r>
        <w:rPr>
          <w:rStyle w:val="a7"/>
          <w:rtl/>
        </w:rPr>
        <w:footnoteRef/>
      </w:r>
      <w:r>
        <w:rPr>
          <w:rtl/>
        </w:rPr>
        <w:t xml:space="preserve"> </w:t>
      </w:r>
      <w:r>
        <w:rPr>
          <w:b/>
          <w:bCs/>
          <w:rtl/>
        </w:rPr>
        <w:t xml:space="preserve">אתה סתר. </w:t>
      </w:r>
      <w:r>
        <w:rPr>
          <w:rtl/>
        </w:rPr>
        <w:t>כמו שאומר לקמן נ' א' דסתיר לה כו', ואתה הוא מפרש והולך שהוא ברוך אתה, ולעיל ל"ט א' פירש שהוא עמודא דאמצעיתא דאמר אתה הוא דאתמר ביה אבינו מלכנו כו', ואיהו כליל כל אתוון דאורייתא ומאי ניהו אורייתא דבכתב עמודא דאמצעיתא ועליה אתמר ברוך אתה, ועוד מביא ראיה שנאמר יהודה אתה, והוא שם הוי"ה וד' לארבע אתוון, כמו שמפרש והולך בגין דביה כו':</w:t>
      </w:r>
    </w:p>
  </w:footnote>
  <w:footnote w:id="3066">
    <w:p w:rsidR="00A13282" w:rsidRDefault="00A13282" w:rsidP="002D629A">
      <w:pPr>
        <w:pStyle w:val="a5"/>
        <w:rPr>
          <w:rtl/>
        </w:rPr>
      </w:pPr>
      <w:r>
        <w:rPr>
          <w:rStyle w:val="a7"/>
          <w:rtl/>
        </w:rPr>
        <w:footnoteRef/>
      </w:r>
      <w:r>
        <w:rPr>
          <w:rtl/>
        </w:rPr>
        <w:t xml:space="preserve"> </w:t>
      </w:r>
      <w:r>
        <w:rPr>
          <w:b/>
          <w:bCs/>
          <w:rtl/>
        </w:rPr>
        <w:t xml:space="preserve">ויהי אמן כו'. </w:t>
      </w:r>
      <w:r>
        <w:rPr>
          <w:rtl/>
        </w:rPr>
        <w:t>רוצה לומר כמו שאמרו בב"ר (פרשה א) אמון מוצנע שנאמר ויהי אומן כו', ומפרש לשון אמנה כמו שהיא באמנה אתו ואינה מחלפת אותו כן הוא עמה אומן ונטיר לה:</w:t>
      </w:r>
    </w:p>
  </w:footnote>
  <w:footnote w:id="3067">
    <w:p w:rsidR="00A13282" w:rsidRDefault="00A13282" w:rsidP="002D629A">
      <w:pPr>
        <w:pStyle w:val="a5"/>
        <w:rPr>
          <w:rtl/>
        </w:rPr>
      </w:pPr>
      <w:r>
        <w:rPr>
          <w:rStyle w:val="a7"/>
          <w:rtl/>
        </w:rPr>
        <w:footnoteRef/>
      </w:r>
      <w:r>
        <w:rPr>
          <w:rtl/>
        </w:rPr>
        <w:t xml:space="preserve"> </w:t>
      </w:r>
      <w:r>
        <w:rPr>
          <w:b/>
          <w:bCs/>
          <w:rtl/>
        </w:rPr>
        <w:t xml:space="preserve">נוכראה דאיהו אחר בגין כו'. </w:t>
      </w:r>
      <w:r>
        <w:rPr>
          <w:rtl/>
        </w:rPr>
        <w:t>רוצה לומר כמו שמפרש והולך בנקודה דאיהי קוצא כו' איהו אות ברית, וביה נכנסין לברית, והוא הברית שאנחנו עמו ואין לאל אחר:</w:t>
      </w:r>
    </w:p>
  </w:footnote>
  <w:footnote w:id="3068">
    <w:p w:rsidR="00A13282" w:rsidRDefault="00A13282" w:rsidP="002D629A">
      <w:pPr>
        <w:pStyle w:val="a5"/>
        <w:rPr>
          <w:rtl/>
        </w:rPr>
      </w:pPr>
      <w:r>
        <w:rPr>
          <w:rStyle w:val="a7"/>
          <w:rtl/>
        </w:rPr>
        <w:footnoteRef/>
      </w:r>
      <w:r>
        <w:rPr>
          <w:rtl/>
        </w:rPr>
        <w:t xml:space="preserve"> </w:t>
      </w:r>
      <w:r>
        <w:rPr>
          <w:b/>
          <w:bCs/>
          <w:rtl/>
        </w:rPr>
        <w:t xml:space="preserve">ושליט עלה ש"ד. </w:t>
      </w:r>
      <w:r>
        <w:rPr>
          <w:rtl/>
        </w:rPr>
        <w:t>והן שני יצרין תאווני וכעסני שהן דו"נ כמו שאמרו בזוהר חדש רות, והן שור וחמור, טוב ורע שבאין מעץ הדעת טוב ורע, והן שניהן רעין בסוד ח"ק, דגיהנ"ם חושבן חק, עשו וישמעאל, סם ונחש שהוא רהב מאדים ונגה, ועליהם נאמר כל שאור הוא הכעסני, ודבש הוא התאווני, לא תקריבו, והוא ראשי תיבות ש"ד:</w:t>
      </w:r>
    </w:p>
  </w:footnote>
  <w:footnote w:id="3069">
    <w:p w:rsidR="00A13282" w:rsidRDefault="00A13282" w:rsidP="002D629A">
      <w:pPr>
        <w:pStyle w:val="a5"/>
        <w:rPr>
          <w:rtl/>
        </w:rPr>
      </w:pPr>
      <w:r>
        <w:rPr>
          <w:rStyle w:val="a7"/>
          <w:rtl/>
        </w:rPr>
        <w:footnoteRef/>
      </w:r>
      <w:r>
        <w:rPr>
          <w:rtl/>
        </w:rPr>
        <w:t xml:space="preserve"> </w:t>
      </w:r>
      <w:r>
        <w:rPr>
          <w:b/>
          <w:bCs/>
          <w:rtl/>
        </w:rPr>
        <w:t xml:space="preserve">דאיהו ודאי י' דשדי. </w:t>
      </w:r>
      <w:r>
        <w:rPr>
          <w:rtl/>
        </w:rPr>
        <w:t>דהקוץ הנ"ל היא משלמת ליו"ד וכוללן כנ"ל:</w:t>
      </w:r>
    </w:p>
  </w:footnote>
  <w:footnote w:id="3070">
    <w:p w:rsidR="00A13282" w:rsidRDefault="00A13282" w:rsidP="002D629A">
      <w:pPr>
        <w:pStyle w:val="a5"/>
        <w:rPr>
          <w:rtl/>
        </w:rPr>
      </w:pPr>
      <w:r>
        <w:rPr>
          <w:rStyle w:val="a7"/>
          <w:rtl/>
        </w:rPr>
        <w:footnoteRef/>
      </w:r>
      <w:r>
        <w:rPr>
          <w:rtl/>
        </w:rPr>
        <w:t xml:space="preserve"> </w:t>
      </w:r>
      <w:r>
        <w:rPr>
          <w:b/>
          <w:bCs/>
          <w:rtl/>
        </w:rPr>
        <w:t xml:space="preserve">איהו משתעבד כו' וחובה דא כו'. </w:t>
      </w:r>
      <w:r>
        <w:rPr>
          <w:rtl/>
        </w:rPr>
        <w:t>כמו שאומר לקמן ס"ז ואיהו כללא דשבעים אומין כו' ועיין מה שנבאר שם:</w:t>
      </w:r>
    </w:p>
  </w:footnote>
  <w:footnote w:id="3071">
    <w:p w:rsidR="00A13282" w:rsidRDefault="00A13282" w:rsidP="002D629A">
      <w:pPr>
        <w:pStyle w:val="a5"/>
        <w:rPr>
          <w:rtl/>
        </w:rPr>
      </w:pPr>
      <w:r>
        <w:rPr>
          <w:rStyle w:val="a7"/>
          <w:rtl/>
        </w:rPr>
        <w:footnoteRef/>
      </w:r>
      <w:r>
        <w:rPr>
          <w:rtl/>
        </w:rPr>
        <w:t xml:space="preserve"> </w:t>
      </w:r>
      <w:r>
        <w:rPr>
          <w:b/>
          <w:bCs/>
          <w:rtl/>
        </w:rPr>
        <w:t xml:space="preserve">כגוונא דמשה דאתמר כו'. </w:t>
      </w:r>
      <w:r>
        <w:rPr>
          <w:rtl/>
        </w:rPr>
        <w:t>רוצה לומר דמשה אמרו בי"א מזמורים, ואמרו שפירש שדי מזיו שכינתו כו':</w:t>
      </w:r>
    </w:p>
  </w:footnote>
  <w:footnote w:id="3072">
    <w:p w:rsidR="00A13282" w:rsidRDefault="00A13282" w:rsidP="002D629A">
      <w:pPr>
        <w:pStyle w:val="a5"/>
        <w:rPr>
          <w:rtl/>
        </w:rPr>
      </w:pPr>
      <w:r>
        <w:rPr>
          <w:rStyle w:val="a7"/>
          <w:rtl/>
        </w:rPr>
        <w:footnoteRef/>
      </w:r>
      <w:r>
        <w:rPr>
          <w:rtl/>
        </w:rPr>
        <w:t xml:space="preserve"> </w:t>
      </w:r>
      <w:r>
        <w:rPr>
          <w:b/>
          <w:bCs/>
          <w:rtl/>
        </w:rPr>
        <w:t xml:space="preserve">וכגוונא דאסתר דסתיר. </w:t>
      </w:r>
      <w:r>
        <w:rPr>
          <w:rtl/>
        </w:rPr>
        <w:t>רוצה לומר שלכן נקראת אסתר, דקודם שנשאת לו היתה נקראת הדסה, ועיין ברעיא מהימנא פרשת תצא ובג"ד אסתר לישנא דסתרא, אתה סתר לי, שכינתא אסתירת לה מאחשורוש ויהיב ליה שידה באתרה כו':</w:t>
      </w:r>
    </w:p>
  </w:footnote>
  <w:footnote w:id="3073">
    <w:p w:rsidR="00A13282" w:rsidRDefault="00A13282" w:rsidP="002D629A">
      <w:pPr>
        <w:pStyle w:val="a5"/>
        <w:rPr>
          <w:rtl/>
        </w:rPr>
      </w:pPr>
      <w:r>
        <w:rPr>
          <w:rStyle w:val="a7"/>
          <w:rtl/>
        </w:rPr>
        <w:footnoteRef/>
      </w:r>
      <w:r>
        <w:rPr>
          <w:rtl/>
        </w:rPr>
        <w:t xml:space="preserve"> </w:t>
      </w:r>
      <w:r>
        <w:rPr>
          <w:b/>
          <w:bCs/>
          <w:rtl/>
        </w:rPr>
        <w:t xml:space="preserve">דאיהו ערל וטמא. </w:t>
      </w:r>
      <w:r>
        <w:rPr>
          <w:rtl/>
        </w:rPr>
        <w:t>רוצה לומר כמו שכתוב כל ערל וטמא לא יבוא כו':</w:t>
      </w:r>
    </w:p>
  </w:footnote>
  <w:footnote w:id="3074">
    <w:p w:rsidR="00A13282" w:rsidRDefault="00A13282" w:rsidP="002D629A">
      <w:pPr>
        <w:pStyle w:val="a5"/>
        <w:rPr>
          <w:rtl/>
        </w:rPr>
      </w:pPr>
      <w:r>
        <w:rPr>
          <w:rStyle w:val="a7"/>
          <w:rtl/>
        </w:rPr>
        <w:footnoteRef/>
      </w:r>
      <w:r>
        <w:rPr>
          <w:rtl/>
        </w:rPr>
        <w:t xml:space="preserve"> </w:t>
      </w:r>
      <w:r>
        <w:rPr>
          <w:b/>
          <w:bCs/>
          <w:rtl/>
        </w:rPr>
        <w:t xml:space="preserve">ושוי באתרה שנית. </w:t>
      </w:r>
      <w:r>
        <w:rPr>
          <w:rtl/>
        </w:rPr>
        <w:t>רוצה לומר אחרת בדיוקנהא, וזה שאומר הה"ד כל אשר כו', רוצה לומר שניתן לה תמורתה בערב היא כו' ובבקר כו' - שני. רוצה לומר הכל בשני:</w:t>
      </w:r>
    </w:p>
  </w:footnote>
  <w:footnote w:id="3075">
    <w:p w:rsidR="00A13282" w:rsidRDefault="00A13282" w:rsidP="002D629A">
      <w:pPr>
        <w:pStyle w:val="a5"/>
        <w:rPr>
          <w:rtl/>
        </w:rPr>
      </w:pPr>
      <w:r>
        <w:rPr>
          <w:rStyle w:val="a7"/>
          <w:rtl/>
        </w:rPr>
        <w:footnoteRef/>
      </w:r>
      <w:r>
        <w:rPr>
          <w:rtl/>
        </w:rPr>
        <w:t xml:space="preserve"> </w:t>
      </w:r>
      <w:r>
        <w:rPr>
          <w:b/>
          <w:bCs/>
          <w:rtl/>
        </w:rPr>
        <w:t xml:space="preserve">ואיהו נטיר כו'. </w:t>
      </w:r>
      <w:r>
        <w:rPr>
          <w:rtl/>
        </w:rPr>
        <w:t>דריש סתר - על אחשורוש, ומצר - על המן:</w:t>
      </w:r>
    </w:p>
  </w:footnote>
  <w:footnote w:id="3076">
    <w:p w:rsidR="00A13282" w:rsidRDefault="00A13282" w:rsidP="002D629A">
      <w:pPr>
        <w:pStyle w:val="a5"/>
        <w:rPr>
          <w:rtl/>
        </w:rPr>
      </w:pPr>
      <w:r>
        <w:rPr>
          <w:rStyle w:val="a7"/>
          <w:rtl/>
        </w:rPr>
        <w:footnoteRef/>
      </w:r>
      <w:r>
        <w:rPr>
          <w:rtl/>
        </w:rPr>
        <w:t xml:space="preserve"> </w:t>
      </w:r>
      <w:r>
        <w:rPr>
          <w:b/>
          <w:bCs/>
          <w:rtl/>
        </w:rPr>
        <w:t xml:space="preserve">באות דיליה כו'. </w:t>
      </w:r>
      <w:r>
        <w:rPr>
          <w:rtl/>
        </w:rPr>
        <w:t>הוא קוץ הנ"ל דהוא משלים לעשרה וביה איהי מתקדשת בטבעת זאת, טבעת דברית והיא נכללת ביה שהוא נוק', וזה שאומר דאיהי קדושה דיליה דלא כו', וכנגד זה אתלבשו עשרה כתרין כו', ואמר עשרת אלפים כו':</w:t>
      </w:r>
    </w:p>
  </w:footnote>
  <w:footnote w:id="3077">
    <w:p w:rsidR="00A13282" w:rsidRDefault="00A13282" w:rsidP="002D629A">
      <w:pPr>
        <w:pStyle w:val="a5"/>
        <w:rPr>
          <w:rtl/>
        </w:rPr>
      </w:pPr>
      <w:r>
        <w:rPr>
          <w:rStyle w:val="a7"/>
          <w:rtl/>
        </w:rPr>
        <w:footnoteRef/>
      </w:r>
      <w:r>
        <w:rPr>
          <w:rtl/>
        </w:rPr>
        <w:t xml:space="preserve"> </w:t>
      </w:r>
      <w:r>
        <w:rPr>
          <w:b/>
          <w:bCs/>
          <w:rtl/>
        </w:rPr>
        <w:t xml:space="preserve">דאתמר בה ותלבש כו'. </w:t>
      </w:r>
      <w:r>
        <w:rPr>
          <w:rtl/>
        </w:rPr>
        <w:t>רוצה לומר לראיה שהיא דרגא דמלכות שכינה:</w:t>
      </w:r>
    </w:p>
  </w:footnote>
  <w:footnote w:id="3078">
    <w:p w:rsidR="00A13282" w:rsidRDefault="00A13282" w:rsidP="002D629A">
      <w:pPr>
        <w:pStyle w:val="a5"/>
        <w:rPr>
          <w:rtl/>
        </w:rPr>
      </w:pPr>
      <w:r>
        <w:rPr>
          <w:rStyle w:val="a7"/>
          <w:rtl/>
        </w:rPr>
        <w:footnoteRef/>
      </w:r>
      <w:r>
        <w:rPr>
          <w:rtl/>
        </w:rPr>
        <w:t xml:space="preserve"> </w:t>
      </w:r>
      <w:r>
        <w:rPr>
          <w:b/>
          <w:bCs/>
          <w:rtl/>
        </w:rPr>
        <w:t xml:space="preserve">כד איהו בר כו'. </w:t>
      </w:r>
      <w:r>
        <w:rPr>
          <w:rtl/>
        </w:rPr>
        <w:t>כמו שאמרו (משנה פאה ה ד) בעל הבית שהיה עובר ממקום כו', ואמרו כיון שהחזיק בדרך כו':</w:t>
      </w:r>
    </w:p>
  </w:footnote>
  <w:footnote w:id="3079">
    <w:p w:rsidR="00A13282" w:rsidRDefault="00A13282" w:rsidP="002D629A">
      <w:pPr>
        <w:pStyle w:val="a5"/>
        <w:rPr>
          <w:rtl/>
        </w:rPr>
      </w:pPr>
      <w:r>
        <w:rPr>
          <w:rStyle w:val="a7"/>
          <w:rtl/>
        </w:rPr>
        <w:footnoteRef/>
      </w:r>
      <w:r>
        <w:rPr>
          <w:rtl/>
        </w:rPr>
        <w:t xml:space="preserve"> </w:t>
      </w:r>
      <w:r>
        <w:rPr>
          <w:b/>
          <w:bCs/>
          <w:rtl/>
        </w:rPr>
        <w:t xml:space="preserve">ועני איהו יום שבת. </w:t>
      </w:r>
      <w:r>
        <w:rPr>
          <w:rtl/>
        </w:rPr>
        <w:t>דלית ליה מדיליה כלום אלא מה שמכינים לו משאר, לכן מצווים כל הימים לפרנסו מחד בשבת לשבת:</w:t>
      </w:r>
    </w:p>
  </w:footnote>
  <w:footnote w:id="3080">
    <w:p w:rsidR="00A13282" w:rsidRDefault="00A13282" w:rsidP="002D629A">
      <w:pPr>
        <w:pStyle w:val="a5"/>
        <w:rPr>
          <w:rtl/>
        </w:rPr>
      </w:pPr>
      <w:r>
        <w:rPr>
          <w:rStyle w:val="a7"/>
          <w:rtl/>
        </w:rPr>
        <w:footnoteRef/>
      </w:r>
      <w:r>
        <w:rPr>
          <w:rtl/>
        </w:rPr>
        <w:t xml:space="preserve"> </w:t>
      </w:r>
      <w:r>
        <w:rPr>
          <w:b/>
          <w:bCs/>
          <w:rtl/>
        </w:rPr>
        <w:t xml:space="preserve">גרים לאשקאה כו' ואתקרי נהר. </w:t>
      </w:r>
      <w:r>
        <w:rPr>
          <w:rtl/>
        </w:rPr>
        <w:t>רוצה לומר שזהו ענ"ג: עדן נהר גן, ונהר יוצא:</w:t>
      </w:r>
    </w:p>
  </w:footnote>
  <w:footnote w:id="3081">
    <w:p w:rsidR="00A13282" w:rsidRDefault="00A13282" w:rsidP="002D629A">
      <w:pPr>
        <w:pStyle w:val="a5"/>
        <w:rPr>
          <w:rtl/>
        </w:rPr>
      </w:pPr>
      <w:r>
        <w:rPr>
          <w:rStyle w:val="a7"/>
          <w:rtl/>
        </w:rPr>
        <w:footnoteRef/>
      </w:r>
      <w:r>
        <w:rPr>
          <w:rtl/>
        </w:rPr>
        <w:t xml:space="preserve"> </w:t>
      </w:r>
      <w:r>
        <w:rPr>
          <w:b/>
          <w:bCs/>
          <w:rtl/>
        </w:rPr>
        <w:t xml:space="preserve">וכן עניה אורייתא דבע"פ. </w:t>
      </w:r>
      <w:r>
        <w:rPr>
          <w:rtl/>
        </w:rPr>
        <w:t>דלית לה אלא מתורה שבכתב, כמו שאמרו: מנא לן, אמר קרא כו', מנין, שנאמר כו':</w:t>
      </w:r>
    </w:p>
  </w:footnote>
  <w:footnote w:id="3082">
    <w:p w:rsidR="00A13282" w:rsidRDefault="00A13282" w:rsidP="002D629A">
      <w:pPr>
        <w:pStyle w:val="a5"/>
        <w:rPr>
          <w:rtl/>
        </w:rPr>
      </w:pPr>
      <w:r>
        <w:rPr>
          <w:rStyle w:val="a7"/>
          <w:rtl/>
        </w:rPr>
        <w:footnoteRef/>
      </w:r>
      <w:r>
        <w:rPr>
          <w:rtl/>
        </w:rPr>
        <w:t xml:space="preserve"> </w:t>
      </w:r>
      <w:r>
        <w:rPr>
          <w:b/>
          <w:bCs/>
          <w:rtl/>
        </w:rPr>
        <w:t xml:space="preserve">כד אזלת. </w:t>
      </w:r>
      <w:r>
        <w:rPr>
          <w:rtl/>
        </w:rPr>
        <w:t>לשון הלכה, ועיין לקמן ס"א ב' ומה שבארנו שם:</w:t>
      </w:r>
    </w:p>
  </w:footnote>
  <w:footnote w:id="3083">
    <w:p w:rsidR="00A13282" w:rsidRDefault="00A13282" w:rsidP="002D629A">
      <w:pPr>
        <w:pStyle w:val="a5"/>
        <w:rPr>
          <w:rtl/>
        </w:rPr>
      </w:pPr>
      <w:r>
        <w:rPr>
          <w:rStyle w:val="a7"/>
          <w:rtl/>
        </w:rPr>
        <w:footnoteRef/>
      </w:r>
      <w:r>
        <w:rPr>
          <w:rtl/>
        </w:rPr>
        <w:t xml:space="preserve"> </w:t>
      </w:r>
      <w:r>
        <w:rPr>
          <w:b/>
          <w:bCs/>
          <w:rtl/>
        </w:rPr>
        <w:t xml:space="preserve">לעבדין דילה ולבנין ולעולמין דילה. </w:t>
      </w:r>
      <w:r>
        <w:rPr>
          <w:rtl/>
        </w:rPr>
        <w:t>עבדין הן על מנת לקבל פרס, ובנין - מאהבה, כמו בן, שלא על מנת לקבל פרס, כמו שאומר לקמן ובתיקוני זוהר חדש עולמין הן מלאכין כידוע. ועבדין הן שית סדרין דמט"ט, עבד, ועולמין הן עלמות אין מספר, הלכות פסוקות, ובנין הן מסטרא דבת מלך פנימה, פנימיותה, כמו שאומר לקמן נ"ב ב' וכמה תריסין כו' ועיין מה שבארנו שם:</w:t>
      </w:r>
    </w:p>
  </w:footnote>
  <w:footnote w:id="3084">
    <w:p w:rsidR="00A13282" w:rsidRDefault="00A13282" w:rsidP="002D629A">
      <w:pPr>
        <w:pStyle w:val="a5"/>
        <w:rPr>
          <w:rtl/>
        </w:rPr>
      </w:pPr>
      <w:r>
        <w:rPr>
          <w:rStyle w:val="a7"/>
          <w:rtl/>
        </w:rPr>
        <w:footnoteRef/>
      </w:r>
      <w:r>
        <w:rPr>
          <w:rtl/>
        </w:rPr>
        <w:t xml:space="preserve"> </w:t>
      </w:r>
      <w:r>
        <w:rPr>
          <w:b/>
          <w:bCs/>
          <w:rtl/>
        </w:rPr>
        <w:t xml:space="preserve">מההוא דמקבלין מינה. </w:t>
      </w:r>
      <w:r>
        <w:rPr>
          <w:rtl/>
        </w:rPr>
        <w:t>רוצה לומר מההוא שפע התורה דמקבלין מינה, מחלקין זה אל זה ומלמדין זה את זה, וזהו וקרא זה אל זה דמתרגמינן ומקבלין כו':</w:t>
      </w:r>
    </w:p>
  </w:footnote>
  <w:footnote w:id="3085">
    <w:p w:rsidR="00A13282" w:rsidRDefault="00A13282" w:rsidP="002D629A">
      <w:pPr>
        <w:pStyle w:val="a5"/>
        <w:rPr>
          <w:rtl/>
        </w:rPr>
      </w:pPr>
      <w:r>
        <w:rPr>
          <w:rStyle w:val="a7"/>
          <w:rtl/>
        </w:rPr>
        <w:footnoteRef/>
      </w:r>
      <w:r>
        <w:rPr>
          <w:rtl/>
        </w:rPr>
        <w:t xml:space="preserve"> </w:t>
      </w:r>
      <w:r>
        <w:rPr>
          <w:b/>
          <w:bCs/>
          <w:rtl/>
        </w:rPr>
        <w:t xml:space="preserve">הלכה איהי מסט' דשמאלא כו'. </w:t>
      </w:r>
      <w:r>
        <w:rPr>
          <w:rtl/>
        </w:rPr>
        <w:t>דבשמאלא התעוררות הזיווג וכל הזיווג ואח"כ מקבלת ממנו מ"ד, טפת החסדים, מימינא, וזה סוד שמאלו תחת לראשי בתחלה ואח"כ וימינו תחבקני, ועיין בזוהר פרשת תרומה קס"ט ב' ובג"כ ברכה קדמאה כו' שמאלא אתער וימינא עביד כו', ועיין לקמן מה שנבאר על פסוק מים רבים לא יוכלו לכבות את האהבה:</w:t>
      </w:r>
    </w:p>
  </w:footnote>
  <w:footnote w:id="3086">
    <w:p w:rsidR="00A13282" w:rsidRDefault="00A13282" w:rsidP="002D629A">
      <w:pPr>
        <w:pStyle w:val="a5"/>
        <w:rPr>
          <w:rtl/>
        </w:rPr>
      </w:pPr>
      <w:r>
        <w:rPr>
          <w:rStyle w:val="a7"/>
          <w:rtl/>
        </w:rPr>
        <w:footnoteRef/>
      </w:r>
      <w:r>
        <w:rPr>
          <w:rtl/>
        </w:rPr>
        <w:t xml:space="preserve"> </w:t>
      </w:r>
      <w:r>
        <w:rPr>
          <w:b/>
          <w:bCs/>
          <w:rtl/>
        </w:rPr>
        <w:t xml:space="preserve">ונחתא מליא לגבי צדיק. </w:t>
      </w:r>
      <w:r>
        <w:rPr>
          <w:rtl/>
        </w:rPr>
        <w:t xml:space="preserve">רוצה לומר הנהר משקה את הצדיק על ידה, דלא אשקי ליה אלא ליתן לה. וזה שאומר </w:t>
      </w:r>
      <w:r>
        <w:rPr>
          <w:b/>
          <w:bCs/>
          <w:rtl/>
        </w:rPr>
        <w:t xml:space="preserve">ובג"ד לא כו'. </w:t>
      </w:r>
      <w:r>
        <w:rPr>
          <w:rtl/>
        </w:rPr>
        <w:t>רוצה לומר נעזב מנוק', וזרעו מבקש לחם שהוא הנוק', דבשעתא דאתמליא הוא בנוק':</w:t>
      </w:r>
    </w:p>
  </w:footnote>
  <w:footnote w:id="3087">
    <w:p w:rsidR="00A13282" w:rsidRDefault="00A13282" w:rsidP="002D629A">
      <w:pPr>
        <w:pStyle w:val="a5"/>
        <w:rPr>
          <w:rtl/>
        </w:rPr>
      </w:pPr>
      <w:r>
        <w:rPr>
          <w:rStyle w:val="a7"/>
          <w:rtl/>
        </w:rPr>
        <w:footnoteRef/>
      </w:r>
      <w:r>
        <w:rPr>
          <w:rtl/>
        </w:rPr>
        <w:t xml:space="preserve"> </w:t>
      </w:r>
      <w:r>
        <w:rPr>
          <w:b/>
          <w:bCs/>
          <w:rtl/>
        </w:rPr>
        <w:t xml:space="preserve">מליא הלכה בבעלה דאיהו ו'. </w:t>
      </w:r>
      <w:r>
        <w:rPr>
          <w:rtl/>
        </w:rPr>
        <w:t>רוצה לומר דהיא נתמלאה בו', ההוא נהר, ועל ידו נעשית ה':</w:t>
      </w:r>
    </w:p>
  </w:footnote>
  <w:footnote w:id="3088">
    <w:p w:rsidR="00A13282" w:rsidRDefault="00A13282" w:rsidP="002D629A">
      <w:pPr>
        <w:pStyle w:val="a5"/>
        <w:rPr>
          <w:rtl/>
        </w:rPr>
      </w:pPr>
      <w:r>
        <w:rPr>
          <w:rStyle w:val="a7"/>
          <w:rtl/>
        </w:rPr>
        <w:footnoteRef/>
      </w:r>
      <w:r>
        <w:rPr>
          <w:rtl/>
        </w:rPr>
        <w:t xml:space="preserve"> </w:t>
      </w:r>
      <w:r>
        <w:rPr>
          <w:b/>
          <w:bCs/>
          <w:rtl/>
        </w:rPr>
        <w:t xml:space="preserve">אתעבידת צדקה כו'. </w:t>
      </w:r>
      <w:r>
        <w:rPr>
          <w:rtl/>
        </w:rPr>
        <w:t>והוא צדקה לעני, דעל ידו אתשקיא, ועיין מה שבארנו לעיל נ"ד ג' מזה:</w:t>
      </w:r>
    </w:p>
  </w:footnote>
  <w:footnote w:id="3089">
    <w:p w:rsidR="00A13282" w:rsidRDefault="00A13282" w:rsidP="002D629A">
      <w:pPr>
        <w:pStyle w:val="a5"/>
        <w:rPr>
          <w:rtl/>
        </w:rPr>
      </w:pPr>
      <w:r>
        <w:rPr>
          <w:rStyle w:val="a7"/>
          <w:rtl/>
        </w:rPr>
        <w:footnoteRef/>
      </w:r>
      <w:r>
        <w:rPr>
          <w:rtl/>
        </w:rPr>
        <w:t xml:space="preserve"> </w:t>
      </w:r>
      <w:r>
        <w:rPr>
          <w:b/>
          <w:bCs/>
          <w:rtl/>
        </w:rPr>
        <w:t xml:space="preserve">שמש בשבת. </w:t>
      </w:r>
      <w:r>
        <w:rPr>
          <w:rtl/>
        </w:rPr>
        <w:t>רוצה לומר ההוא נהר נקרא שמש, וכאשר הוא בשבת שהוא ההוא עני, צדיק, יום השביעי - אז נעשית העניה שכוללת ומחלקת לכל העניים - נעשית צדקה:</w:t>
      </w:r>
    </w:p>
  </w:footnote>
  <w:footnote w:id="3090">
    <w:p w:rsidR="00A13282" w:rsidRDefault="00A13282" w:rsidP="002D629A">
      <w:pPr>
        <w:pStyle w:val="a5"/>
        <w:rPr>
          <w:rtl/>
        </w:rPr>
      </w:pPr>
      <w:r>
        <w:rPr>
          <w:rStyle w:val="a7"/>
          <w:rtl/>
        </w:rPr>
        <w:footnoteRef/>
      </w:r>
      <w:r>
        <w:rPr>
          <w:rtl/>
        </w:rPr>
        <w:t xml:space="preserve"> </w:t>
      </w:r>
      <w:r>
        <w:rPr>
          <w:b/>
          <w:bCs/>
          <w:rtl/>
        </w:rPr>
        <w:t xml:space="preserve">ועלה אתמר צדקה כו'. </w:t>
      </w:r>
      <w:r>
        <w:rPr>
          <w:rtl/>
        </w:rPr>
        <w:t>שכל התרוממות שלנו הוא ממנה, כד היא מתרוממת ונעשית צדקה, וזה שאומר ומה דהות צדק כו':</w:t>
      </w:r>
    </w:p>
  </w:footnote>
  <w:footnote w:id="3091">
    <w:p w:rsidR="00A13282" w:rsidRDefault="00A13282" w:rsidP="002D629A">
      <w:pPr>
        <w:pStyle w:val="a5"/>
        <w:rPr>
          <w:rtl/>
        </w:rPr>
      </w:pPr>
      <w:r>
        <w:rPr>
          <w:rStyle w:val="a7"/>
          <w:rtl/>
        </w:rPr>
        <w:footnoteRef/>
      </w:r>
      <w:r>
        <w:rPr>
          <w:rtl/>
        </w:rPr>
        <w:t xml:space="preserve"> </w:t>
      </w:r>
      <w:r>
        <w:rPr>
          <w:b/>
          <w:bCs/>
          <w:rtl/>
        </w:rPr>
        <w:t xml:space="preserve">איהו משפט. </w:t>
      </w:r>
      <w:r>
        <w:rPr>
          <w:rtl/>
        </w:rPr>
        <w:t>רוצה לומר עמודא דאמצעיתא:</w:t>
      </w:r>
    </w:p>
  </w:footnote>
  <w:footnote w:id="3092">
    <w:p w:rsidR="00A13282" w:rsidRDefault="00A13282" w:rsidP="002D629A">
      <w:pPr>
        <w:pStyle w:val="a5"/>
        <w:rPr>
          <w:rtl/>
        </w:rPr>
      </w:pPr>
      <w:r>
        <w:rPr>
          <w:rStyle w:val="a7"/>
          <w:rtl/>
        </w:rPr>
        <w:footnoteRef/>
      </w:r>
      <w:r>
        <w:rPr>
          <w:rtl/>
        </w:rPr>
        <w:t xml:space="preserve"> </w:t>
      </w:r>
      <w:r>
        <w:rPr>
          <w:b/>
          <w:bCs/>
          <w:rtl/>
        </w:rPr>
        <w:t xml:space="preserve">זה ישפיל וזה כו'. </w:t>
      </w:r>
      <w:r>
        <w:rPr>
          <w:rtl/>
        </w:rPr>
        <w:t>רוצה לומר, זה הוא עמודא דאמצעיתא כמו שכתוב (שמות לב א) כי זה משה האיש, ועיין מה שבארנו במקום אחר סוד גדול על זה הפסוק שהכל הוא בסוד שם הוי"ה והוא בעמודא דאמצעיתא:</w:t>
      </w:r>
    </w:p>
  </w:footnote>
  <w:footnote w:id="3093">
    <w:p w:rsidR="00A13282" w:rsidRDefault="00A13282" w:rsidP="002D629A">
      <w:pPr>
        <w:pStyle w:val="a5"/>
        <w:rPr>
          <w:rtl/>
        </w:rPr>
      </w:pPr>
      <w:r>
        <w:rPr>
          <w:rStyle w:val="a7"/>
          <w:rtl/>
        </w:rPr>
        <w:footnoteRef/>
      </w:r>
      <w:r>
        <w:rPr>
          <w:rtl/>
        </w:rPr>
        <w:t xml:space="preserve"> </w:t>
      </w:r>
      <w:r>
        <w:rPr>
          <w:b/>
          <w:bCs/>
          <w:rtl/>
        </w:rPr>
        <w:t xml:space="preserve">מאי קן כו'. </w:t>
      </w:r>
      <w:r>
        <w:rPr>
          <w:rtl/>
        </w:rPr>
        <w:t>ורוצה לומר שלוח הקן, שנשתלחה מירושלים, ומצות שלוח הקן הוא להזכירה וכמו שאמרו בזוהר חדש רות ס' ג' עיין שם בדבריו:</w:t>
      </w:r>
    </w:p>
  </w:footnote>
  <w:footnote w:id="3094">
    <w:p w:rsidR="00A13282" w:rsidRDefault="00A13282" w:rsidP="002D629A">
      <w:pPr>
        <w:pStyle w:val="a5"/>
        <w:rPr>
          <w:rtl/>
        </w:rPr>
      </w:pPr>
      <w:r>
        <w:rPr>
          <w:rStyle w:val="a7"/>
          <w:rtl/>
        </w:rPr>
        <w:footnoteRef/>
      </w:r>
      <w:r>
        <w:rPr>
          <w:rtl/>
        </w:rPr>
        <w:t xml:space="preserve"> </w:t>
      </w:r>
      <w:r>
        <w:rPr>
          <w:b/>
          <w:bCs/>
          <w:rtl/>
        </w:rPr>
        <w:t xml:space="preserve">ולעילא קן דילה ההוא כו' אל תסתכל כו'. </w:t>
      </w:r>
      <w:r>
        <w:rPr>
          <w:rtl/>
        </w:rPr>
        <w:t xml:space="preserve">שרזא דגלגולא ביה, ורזא דתמורות כמו שאומר לקמן בתיקון כ"ו בארוכה, והוא ונקה לא ינקה פוקד עון כו' בשלשה גלגולים, כמו שאומר לקמן בתיקון ל', ובו שינוי מקום שינוי כו' בשלושה גלגולים כמו שאומר לקמן בתיקון ס”ט, וקנקן הוא שם הוי"ה שנתחלף ביה, והוא מילוי אלקים, ונקה לא ינקה הן שלשה שמות דשלשה אבהן דשלשה גלגולי כמו שאומר לקמן בתיקון ל’ ושאר מקומות, ועיין מה שנבאר לקמן בתיקון כ”ט בארוכה ואמר </w:t>
      </w:r>
      <w:r>
        <w:rPr>
          <w:b/>
          <w:bCs/>
          <w:rtl/>
        </w:rPr>
        <w:t>אל תסתכל</w:t>
      </w:r>
      <w:r>
        <w:rPr>
          <w:rtl/>
        </w:rPr>
        <w:t xml:space="preserve"> </w:t>
      </w:r>
      <w:r>
        <w:rPr>
          <w:b/>
          <w:bCs/>
          <w:rtl/>
        </w:rPr>
        <w:t xml:space="preserve">כו' </w:t>
      </w:r>
      <w:r>
        <w:rPr>
          <w:rtl/>
        </w:rPr>
        <w:t>כמו שאמרו (סנהדרין לח ע"ב) אל תמר בו אל תמירני בו, (חגיגה טו ע"ב) תוכו אכל כו', (סנהדרין לח ע"ב) שמי בקרבו:</w:t>
      </w:r>
    </w:p>
  </w:footnote>
  <w:footnote w:id="3095">
    <w:p w:rsidR="00A13282" w:rsidRDefault="00A13282" w:rsidP="002D629A">
      <w:pPr>
        <w:pStyle w:val="a5"/>
        <w:rPr>
          <w:rtl/>
        </w:rPr>
      </w:pPr>
      <w:r>
        <w:rPr>
          <w:rStyle w:val="a7"/>
          <w:rtl/>
        </w:rPr>
        <w:footnoteRef/>
      </w:r>
      <w:r>
        <w:rPr>
          <w:rtl/>
        </w:rPr>
        <w:t xml:space="preserve"> </w:t>
      </w:r>
      <w:r>
        <w:rPr>
          <w:b/>
          <w:bCs/>
          <w:rtl/>
        </w:rPr>
        <w:t xml:space="preserve">ודא איהו כי יקרא קן צפור לפניך בדרך. </w:t>
      </w:r>
      <w:r>
        <w:rPr>
          <w:rtl/>
        </w:rPr>
        <w:t>רוצה לומר שכינה, הצפור, מקנן בקן דילה והוא בגלות שהיא במט"ט כמו שאומר להלן בזמן דלא אשתכחת נייחא מסתתרת במט"ט, ונאמר ואני בתוך הגולה על נהר כבר ואמר למעלה ד' א' דהוא מט"ט עיין שם, וזהו בדרך - בגלותא, ומצות שילוח ממנו להחזירה על מקומה, ואמר בכל עץ כו' ומפרש והולך שהן ז"ת דכולן מקננין במט"ט כידוע, ומשלח את האם ומפרש שהוא שכינתא תתאה, והוא להזכיר איך היא משולחת משית סטרין שהן בכל עץ כו', והשילוח מורה שאף ממט"ט היא נע ונד בגלותא וכמו שאמרו קן דילה דא ירושלים ולעילא כו':</w:t>
      </w:r>
    </w:p>
  </w:footnote>
  <w:footnote w:id="3096">
    <w:p w:rsidR="00A13282" w:rsidRDefault="00A13282" w:rsidP="002D629A">
      <w:pPr>
        <w:pStyle w:val="a5"/>
        <w:rPr>
          <w:rtl/>
        </w:rPr>
      </w:pPr>
      <w:r>
        <w:rPr>
          <w:rStyle w:val="a7"/>
          <w:rtl/>
        </w:rPr>
        <w:footnoteRef/>
      </w:r>
      <w:r>
        <w:rPr>
          <w:rtl/>
        </w:rPr>
        <w:t xml:space="preserve"> </w:t>
      </w:r>
      <w:r>
        <w:rPr>
          <w:b/>
          <w:bCs/>
          <w:rtl/>
        </w:rPr>
        <w:t xml:space="preserve">את ודאי. </w:t>
      </w:r>
      <w:r>
        <w:rPr>
          <w:rtl/>
        </w:rPr>
        <w:t>דהיא נקראת את כידוע:</w:t>
      </w:r>
    </w:p>
  </w:footnote>
  <w:footnote w:id="3097">
    <w:p w:rsidR="00A13282" w:rsidRDefault="00A13282" w:rsidP="002D629A">
      <w:pPr>
        <w:pStyle w:val="a5"/>
        <w:rPr>
          <w:rtl/>
        </w:rPr>
      </w:pPr>
      <w:r>
        <w:rPr>
          <w:rStyle w:val="a7"/>
          <w:rtl/>
        </w:rPr>
        <w:footnoteRef/>
      </w:r>
      <w:r>
        <w:rPr>
          <w:rtl/>
        </w:rPr>
        <w:t xml:space="preserve"> </w:t>
      </w:r>
      <w:r>
        <w:rPr>
          <w:b/>
          <w:bCs/>
          <w:rtl/>
        </w:rPr>
        <w:t xml:space="preserve">שלח תשלח כו'. </w:t>
      </w:r>
      <w:r>
        <w:rPr>
          <w:rtl/>
        </w:rPr>
        <w:t>הכל כנ"ל להזכיר גלותה, והוא מתרי דרועין שהוא שמאלו כו' וימינו תחבקני והיא ביניהם תמיד בזמן המקדש כמו שאמרו בכמה מקומות:</w:t>
      </w:r>
    </w:p>
  </w:footnote>
  <w:footnote w:id="3098">
    <w:p w:rsidR="00A13282" w:rsidRDefault="00A13282" w:rsidP="002D629A">
      <w:pPr>
        <w:pStyle w:val="a5"/>
        <w:rPr>
          <w:rtl/>
        </w:rPr>
      </w:pPr>
      <w:r>
        <w:rPr>
          <w:rStyle w:val="a7"/>
          <w:rtl/>
        </w:rPr>
        <w:footnoteRef/>
      </w:r>
      <w:r>
        <w:rPr>
          <w:rtl/>
        </w:rPr>
        <w:t xml:space="preserve"> </w:t>
      </w:r>
      <w:r>
        <w:rPr>
          <w:b/>
          <w:bCs/>
          <w:rtl/>
        </w:rPr>
        <w:t xml:space="preserve">ואת הבנים. </w:t>
      </w:r>
      <w:r>
        <w:rPr>
          <w:rtl/>
        </w:rPr>
        <w:t>שהן שית בנים דאמא עילאה, ונשארת אמא תתאה - ד', דאסתלק ההוא נהר ו' מן הה"א, והנהר הוא הולך ומתפשט בתרי דרועין ובשוקין בכל מקום שהיא וכמו שאומר לקמן בתיקון נ’ פ"ט א' וכלא יהיב בעלה דאיהו ו' כו' וכד נחיתא בין תרין דרועין דאית בהון שית פרקין, נחית לה פרנסה בתרין דרועין כו', ועל ידו נעשית ה', ובמאי נחתא מליא כו' עאל כו'. ואמר</w:t>
      </w:r>
    </w:p>
  </w:footnote>
  <w:footnote w:id="3099">
    <w:p w:rsidR="00A13282" w:rsidRDefault="00A13282" w:rsidP="002D629A">
      <w:pPr>
        <w:pStyle w:val="a5"/>
        <w:rPr>
          <w:rtl/>
        </w:rPr>
      </w:pPr>
      <w:r>
        <w:rPr>
          <w:rStyle w:val="a7"/>
          <w:rtl/>
        </w:rPr>
        <w:footnoteRef/>
      </w:r>
      <w:r>
        <w:rPr>
          <w:rtl/>
        </w:rPr>
        <w:t xml:space="preserve"> </w:t>
      </w:r>
      <w:r>
        <w:rPr>
          <w:b/>
          <w:bCs/>
          <w:rtl/>
        </w:rPr>
        <w:t xml:space="preserve">בגין דעברין בנהא כו'. </w:t>
      </w:r>
      <w:r>
        <w:rPr>
          <w:rtl/>
        </w:rPr>
        <w:t>שהן תרי דרועין ימינא ושמאלא וכמו שאומר לקמן סוף תיקון מ”א ושאר מקומות הרבה, והוא שילוח הראשון דיונה שהן שני שילוחין עם שילוח העורב והן שני שילוחין ביחד ימינא ושמאלא, וכלא נאמר בהן ויחל ואח"כ ויחל כו' נגד ביטול תורה, וזה שאומר ויוסף כו' ויחל עוד כו', הוא רגל הרביעי, על ביטול האות כמו שמפרש והולך והן ארבע גליות: גלות הראשון והשני היה בלא הפסק, בבל ומדי, ואח"כ נבנה הבית וזה ויחל, ואח"כ גלות יון השלישי ואח"כ בהפסק גלות האחרון וכאן נאמר ולא יספה שוב כו', כמו שאמרו נפלה לא תוסיף כו' אלא הקב"ה ייתי לגבה וכמו שאומר לעיל נ"ו ב' בההוא זמנא ויפתח כו' ואזלו לגבי יונה כו':</w:t>
      </w:r>
    </w:p>
  </w:footnote>
  <w:footnote w:id="3100">
    <w:p w:rsidR="00A13282" w:rsidRDefault="00A13282" w:rsidP="002D629A">
      <w:pPr>
        <w:pStyle w:val="a5"/>
        <w:rPr>
          <w:rtl/>
        </w:rPr>
      </w:pPr>
      <w:r>
        <w:rPr>
          <w:rStyle w:val="a7"/>
          <w:rtl/>
        </w:rPr>
        <w:footnoteRef/>
      </w:r>
      <w:r>
        <w:rPr>
          <w:rtl/>
        </w:rPr>
        <w:t xml:space="preserve"> </w:t>
      </w:r>
      <w:r>
        <w:rPr>
          <w:b/>
          <w:bCs/>
          <w:rtl/>
        </w:rPr>
        <w:t xml:space="preserve">מסט' דיצחק ותשב כו'. </w:t>
      </w:r>
      <w:r>
        <w:rPr>
          <w:rtl/>
        </w:rPr>
        <w:t>כמו שאומר לעיל מ"ו מ"ז דשמאל דוחה שלא יצאו בו:</w:t>
      </w:r>
    </w:p>
  </w:footnote>
  <w:footnote w:id="3101">
    <w:p w:rsidR="00A13282" w:rsidRDefault="00A13282" w:rsidP="002D629A">
      <w:pPr>
        <w:pStyle w:val="a5"/>
        <w:rPr>
          <w:rtl/>
        </w:rPr>
      </w:pPr>
      <w:r>
        <w:rPr>
          <w:rStyle w:val="a7"/>
          <w:rtl/>
        </w:rPr>
        <w:footnoteRef/>
      </w:r>
      <w:r>
        <w:rPr>
          <w:rtl/>
        </w:rPr>
        <w:t xml:space="preserve"> </w:t>
      </w:r>
      <w:r>
        <w:rPr>
          <w:b/>
          <w:bCs/>
          <w:rtl/>
        </w:rPr>
        <w:t xml:space="preserve">מסט' דצדיק כו'. </w:t>
      </w:r>
      <w:r>
        <w:rPr>
          <w:rtl/>
        </w:rPr>
        <w:t>(ואע"ג שנאמר בשלוח השלישי, גוף וברית אחד וכלול בו, וזית הוא צדיק בשבעת המינים, ועיין ברעיא מהימנא פרשת פנחס על פסוק בלולה בשמן כתית) וכיון שראה בידה עלה זית, סימנא דברית דאחיד בימינא, ידע כי קלו כו', והמים הם מים הזידונים, אומין פלחי כוכביא דמתגברין על ישראל ושכינתא, וזהו מעל הארץ והן מי מבול. ואמר</w:t>
      </w:r>
    </w:p>
  </w:footnote>
  <w:footnote w:id="3102">
    <w:p w:rsidR="00A13282" w:rsidRDefault="00A13282" w:rsidP="002D629A">
      <w:pPr>
        <w:pStyle w:val="a5"/>
        <w:rPr>
          <w:rtl/>
        </w:rPr>
      </w:pPr>
      <w:r>
        <w:rPr>
          <w:rStyle w:val="a7"/>
          <w:rtl/>
        </w:rPr>
        <w:footnoteRef/>
      </w:r>
      <w:r>
        <w:rPr>
          <w:rtl/>
        </w:rPr>
        <w:t xml:space="preserve"> </w:t>
      </w:r>
      <w:r>
        <w:rPr>
          <w:b/>
          <w:bCs/>
          <w:rtl/>
        </w:rPr>
        <w:t xml:space="preserve">ובכל אתר הה"ד ולא מצאה כו' מיד דאשכחת בעלה כו' ע"כ יעזב ויפתח נח כו'. </w:t>
      </w:r>
      <w:r>
        <w:rPr>
          <w:rtl/>
        </w:rPr>
        <w:t>הענין כי כל שילוח הוא מורה על הגלות, והביאה לתיבה הוא בכנפא דאמא כמו שאומר לקמן דתיבה - תיובתא, אימא עילאה, ולכן אין הגאולה שלימה כי אין נייחא לאתתא אלא בבעלה ולא באביה ובאמה כו' אבל בשילוח הרביעי ולא יספה כו' לתיבה עד דאתא רעיא מהימנא, שילה, ואתדבקת ביה ואז ויפתח נח כו', ונראה שנח הוא יסוד דאבא כאן ויונה שכינתא כו' כנ"ל:</w:t>
      </w:r>
    </w:p>
  </w:footnote>
  <w:footnote w:id="3103">
    <w:p w:rsidR="00A13282" w:rsidRDefault="00A13282" w:rsidP="002D629A">
      <w:pPr>
        <w:pStyle w:val="a5"/>
        <w:rPr>
          <w:rtl/>
        </w:rPr>
      </w:pPr>
      <w:r>
        <w:rPr>
          <w:rStyle w:val="a7"/>
          <w:rtl/>
        </w:rPr>
        <w:footnoteRef/>
      </w:r>
      <w:r>
        <w:rPr>
          <w:rtl/>
        </w:rPr>
        <w:t xml:space="preserve"> </w:t>
      </w:r>
      <w:r>
        <w:rPr>
          <w:b/>
          <w:bCs/>
          <w:rtl/>
        </w:rPr>
        <w:t xml:space="preserve">רמיז ותפתח ותראהו כו'. </w:t>
      </w:r>
      <w:r>
        <w:rPr>
          <w:rtl/>
        </w:rPr>
        <w:t>וכמו שאמרו והנה נער בוכה - הוא נער ישראל, בבכי יבואו כו' (ירמיהו לא ח), מיד ותחמול עליו כמו שכתוב (ירמיהו לא יט) רחם ארחמנו כו', שפתי תפתח בצלותא והיכל מתפתחא כמו שאומר לעיל תיקון י”ח ותיקון ל’ אדני - היכל, ושכינתא תחזור להיכלה, ועיין לקמן תיקון ל’ (בארוכה) ע"ז א' אדהכי הא קלא תניינא הוה מתערא לגבי מארי מפתחאן, הא שכינתא קא אתיא למיעל להיכלא דילה, אדני שפתי תפתח, בההוא זמנא מטרוניתא כו':</w:t>
      </w:r>
    </w:p>
  </w:footnote>
  <w:footnote w:id="3104">
    <w:p w:rsidR="00A13282" w:rsidRDefault="00A13282" w:rsidP="002D629A">
      <w:pPr>
        <w:pStyle w:val="a5"/>
        <w:rPr>
          <w:rtl/>
        </w:rPr>
      </w:pPr>
      <w:r>
        <w:rPr>
          <w:rStyle w:val="a7"/>
          <w:rtl/>
        </w:rPr>
        <w:footnoteRef/>
      </w:r>
      <w:r>
        <w:rPr>
          <w:rtl/>
        </w:rPr>
        <w:t xml:space="preserve"> </w:t>
      </w:r>
      <w:r>
        <w:rPr>
          <w:b/>
          <w:bCs/>
          <w:rtl/>
        </w:rPr>
        <w:t xml:space="preserve">חג כו'. </w:t>
      </w:r>
      <w:r>
        <w:rPr>
          <w:rtl/>
        </w:rPr>
        <w:t>דהיא חוג הארץ נקודה האמצעית, והיא המתגלה בשבתות וימים טובים:</w:t>
      </w:r>
    </w:p>
  </w:footnote>
  <w:footnote w:id="3105">
    <w:p w:rsidR="00A13282" w:rsidRDefault="00A13282" w:rsidP="002D629A">
      <w:pPr>
        <w:pStyle w:val="a5"/>
        <w:rPr>
          <w:rtl/>
        </w:rPr>
      </w:pPr>
      <w:r>
        <w:rPr>
          <w:rStyle w:val="a7"/>
          <w:rtl/>
        </w:rPr>
        <w:footnoteRef/>
      </w:r>
      <w:r>
        <w:rPr>
          <w:rtl/>
        </w:rPr>
        <w:t xml:space="preserve"> </w:t>
      </w:r>
      <w:r>
        <w:rPr>
          <w:b/>
          <w:bCs/>
          <w:rtl/>
        </w:rPr>
        <w:t xml:space="preserve">חג דתלת רגלין. </w:t>
      </w:r>
      <w:r>
        <w:rPr>
          <w:rtl/>
        </w:rPr>
        <w:t>דהיא מתקשר בתלת אבהן, וכן בשבת - ש' בת:</w:t>
      </w:r>
    </w:p>
  </w:footnote>
  <w:footnote w:id="3106">
    <w:p w:rsidR="00A13282" w:rsidRDefault="00A13282" w:rsidP="002D629A">
      <w:pPr>
        <w:pStyle w:val="a5"/>
        <w:rPr>
          <w:rtl/>
        </w:rPr>
      </w:pPr>
      <w:r>
        <w:rPr>
          <w:rStyle w:val="a7"/>
          <w:rtl/>
        </w:rPr>
        <w:footnoteRef/>
      </w:r>
      <w:r>
        <w:rPr>
          <w:rtl/>
        </w:rPr>
        <w:t xml:space="preserve"> </w:t>
      </w:r>
      <w:r>
        <w:rPr>
          <w:b/>
          <w:bCs/>
          <w:rtl/>
        </w:rPr>
        <w:t xml:space="preserve">ובגינה יראה כו'. </w:t>
      </w:r>
      <w:r>
        <w:rPr>
          <w:rtl/>
        </w:rPr>
        <w:t>כמו שכתוב (שמות לד כג) את פני האדון כו', (יהושע ג יא) ארון הברית אדון כו':</w:t>
      </w:r>
    </w:p>
  </w:footnote>
  <w:footnote w:id="3107">
    <w:p w:rsidR="00A13282" w:rsidRDefault="00A13282" w:rsidP="002D629A">
      <w:pPr>
        <w:pStyle w:val="a5"/>
        <w:rPr>
          <w:rtl/>
        </w:rPr>
      </w:pPr>
      <w:r>
        <w:rPr>
          <w:rStyle w:val="a7"/>
          <w:rtl/>
        </w:rPr>
        <w:footnoteRef/>
      </w:r>
      <w:r>
        <w:rPr>
          <w:rtl/>
        </w:rPr>
        <w:t xml:space="preserve"> </w:t>
      </w:r>
      <w:r>
        <w:rPr>
          <w:b/>
          <w:bCs/>
          <w:rtl/>
        </w:rPr>
        <w:t xml:space="preserve">לקיימא זכור ושמור כו'. </w:t>
      </w:r>
      <w:r>
        <w:rPr>
          <w:rtl/>
        </w:rPr>
        <w:t>רוצה לומר דכל זכור מתראין לפניה, ומתחברין זכור ושמור יחד, דאתערותא תתאה מתערין לעילא דזכור מתחבר עמה, וראיתיה, וזהו יראה יראה, דאנחנו יֵראה, וצדיק יראה אותה, והוא יראה יראה דסוף פרשת עקדה, וזהו שנאמר יראה יראה ולא קאמר כתיב כו', ועוד כי הכתיב אינו נשתנה מהקריאה, והשתא אתי כפשטה (חגיגה ב ע"א) וכפירש"י ודלא כמו שדחקו תוס' שם מאד, וה' יראה הוא כמו צדק משמים נשקף, וה' שכתוב בשניהם הוא הכל על המלכות, שקודם שירדה שכינה לארץ היתה היא רואה משמים על המקום, ואחר שירדה לארץ נקראת ה' יֵראה שהיא תראה לפני בעלה שהוא בשמים, כמו שכתוב (דברים יב ה) לשום את שמו שם - שהיא קבועה שם והוא משגיח עליה תמיד כמו שכתוב (מלכים א ט ג) והיו עיני ולבי שם כו':</w:t>
      </w:r>
    </w:p>
  </w:footnote>
  <w:footnote w:id="3108">
    <w:p w:rsidR="00A13282" w:rsidRDefault="00A13282" w:rsidP="002D629A">
      <w:pPr>
        <w:pStyle w:val="a5"/>
        <w:rPr>
          <w:rtl/>
        </w:rPr>
      </w:pPr>
      <w:r>
        <w:rPr>
          <w:rStyle w:val="a7"/>
          <w:rtl/>
        </w:rPr>
        <w:footnoteRef/>
      </w:r>
      <w:r>
        <w:rPr>
          <w:rtl/>
        </w:rPr>
        <w:t xml:space="preserve"> </w:t>
      </w:r>
      <w:r>
        <w:rPr>
          <w:b/>
          <w:bCs/>
          <w:rtl/>
        </w:rPr>
        <w:t xml:space="preserve">כלהו דאזלין כו' . </w:t>
      </w:r>
      <w:r>
        <w:rPr>
          <w:rtl/>
        </w:rPr>
        <w:t>להמשיך לה מתנות מזכר העליון, דריקם הוא ח"ו כמו (תענית ח ע"ב) נשיאים ורוח וגשם אין כו' :</w:t>
      </w:r>
    </w:p>
  </w:footnote>
  <w:footnote w:id="3109">
    <w:p w:rsidR="00A13282" w:rsidRDefault="00A13282" w:rsidP="002D629A">
      <w:pPr>
        <w:pStyle w:val="a5"/>
        <w:rPr>
          <w:rtl/>
        </w:rPr>
      </w:pPr>
      <w:r>
        <w:rPr>
          <w:rStyle w:val="a7"/>
          <w:rtl/>
        </w:rPr>
        <w:footnoteRef/>
      </w:r>
      <w:r>
        <w:rPr>
          <w:rtl/>
        </w:rPr>
        <w:t xml:space="preserve"> </w:t>
      </w:r>
      <w:r>
        <w:rPr>
          <w:b/>
          <w:bCs/>
          <w:rtl/>
        </w:rPr>
        <w:t xml:space="preserve">חשוכא. </w:t>
      </w:r>
      <w:r>
        <w:rPr>
          <w:rtl/>
        </w:rPr>
        <w:t xml:space="preserve">דטחול הוא חשך כמו שאמר לעיל, והוא עצבון, מרה שחורה, שבתאי. ואמר </w:t>
      </w:r>
      <w:r>
        <w:rPr>
          <w:b/>
          <w:bCs/>
          <w:rtl/>
        </w:rPr>
        <w:t xml:space="preserve">דאיהי מום. </w:t>
      </w:r>
      <w:r>
        <w:rPr>
          <w:rtl/>
        </w:rPr>
        <w:t>כמו שאמרו ברעיא מהימנא פרשת צו ל"ג ב' ממזר - מום זר, מום - נוק', זר - זכר, ואמר שם ושפחה, יצר הרע, איהי מליא מומין ובג"ד כל אשר בו מום כו' בגין דמטרוניתא אתמר בה כלך יפה רעיתי ומום כו', דנשמתא ושכינתא לא שריא על אתר פגים אבל לילית היא שריא דוקא על אתר פגים, וכולה בניינה מעבירות דהן פגמים כל אחד חסרון או עוות אבר ועיין מה שבארנו לעיל מ"ה א' בההוא אתר דשריא עבירה ואסתלק מצוה כו' דשכינתא לית בה מום הה"ד כלך יפה כו', ולכן עצבון הוא מום, דעצבון הוא לילית, יללה, טחול, והיא מום, וכל אשר בו מום לא יקרב למקדש ולכן כל הנכנס למקדש צריך שמחה וזה שאומר ועליה אתמר כו':</w:t>
      </w:r>
    </w:p>
  </w:footnote>
  <w:footnote w:id="3110">
    <w:p w:rsidR="00A13282" w:rsidRDefault="00A13282" w:rsidP="002D629A">
      <w:pPr>
        <w:pStyle w:val="a5"/>
        <w:rPr>
          <w:rtl/>
        </w:rPr>
      </w:pPr>
      <w:r>
        <w:rPr>
          <w:rStyle w:val="a7"/>
          <w:rtl/>
        </w:rPr>
        <w:footnoteRef/>
      </w:r>
      <w:r>
        <w:rPr>
          <w:rtl/>
        </w:rPr>
        <w:t xml:space="preserve"> </w:t>
      </w:r>
      <w:r>
        <w:rPr>
          <w:b/>
          <w:bCs/>
          <w:rtl/>
        </w:rPr>
        <w:t xml:space="preserve">מתן בסתר כו'. </w:t>
      </w:r>
      <w:r>
        <w:rPr>
          <w:rtl/>
        </w:rPr>
        <w:t>כמו שמפרש והולך בגין דאיהי סתימא כו' ואמר</w:t>
      </w:r>
    </w:p>
  </w:footnote>
  <w:footnote w:id="3111">
    <w:p w:rsidR="00A13282" w:rsidRDefault="00A13282" w:rsidP="002D629A">
      <w:pPr>
        <w:pStyle w:val="a5"/>
        <w:rPr>
          <w:rtl/>
        </w:rPr>
      </w:pPr>
      <w:r>
        <w:rPr>
          <w:rStyle w:val="a7"/>
          <w:rtl/>
        </w:rPr>
        <w:footnoteRef/>
      </w:r>
      <w:r>
        <w:rPr>
          <w:rtl/>
        </w:rPr>
        <w:t xml:space="preserve"> </w:t>
      </w:r>
      <w:r>
        <w:rPr>
          <w:b/>
          <w:bCs/>
          <w:rtl/>
        </w:rPr>
        <w:t xml:space="preserve">עוה"ב כו' </w:t>
      </w:r>
      <w:r>
        <w:rPr>
          <w:rtl/>
        </w:rPr>
        <w:t>רוצה לומר דעולם הבא הוא סתימא מה שאין כן בשכינתא תתאה דהיא נקראת עולם הזה, וזה שאומר בזוהר פרשת בראשית דכל מלה דסתים מעינא סלקא לתועלתא עלאה כו' ולכן יכפה אף, דהיא עלמא דחירו שם אין שטן ואין כו':</w:t>
      </w:r>
    </w:p>
  </w:footnote>
  <w:footnote w:id="3112">
    <w:p w:rsidR="00A13282" w:rsidRDefault="00A13282" w:rsidP="002D629A">
      <w:pPr>
        <w:pStyle w:val="a5"/>
        <w:rPr>
          <w:rtl/>
        </w:rPr>
      </w:pPr>
      <w:r>
        <w:rPr>
          <w:rStyle w:val="a7"/>
          <w:rtl/>
        </w:rPr>
        <w:footnoteRef/>
      </w:r>
      <w:r>
        <w:rPr>
          <w:rtl/>
        </w:rPr>
        <w:t xml:space="preserve"> </w:t>
      </w:r>
      <w:r>
        <w:rPr>
          <w:b/>
          <w:bCs/>
          <w:rtl/>
        </w:rPr>
        <w:t xml:space="preserve">במתנת חלקו. </w:t>
      </w:r>
      <w:r>
        <w:rPr>
          <w:rtl/>
        </w:rPr>
        <w:t>דזכה לבינה כמו שאמרו בכמה מקומות וכמו שאמרו בגמרא גם כן (ר"ה כא ע"ב) מ"ט שערי בינה כו':</w:t>
      </w:r>
    </w:p>
  </w:footnote>
  <w:footnote w:id="3113">
    <w:p w:rsidR="00A13282" w:rsidRDefault="00A13282" w:rsidP="002D629A">
      <w:pPr>
        <w:pStyle w:val="a5"/>
        <w:rPr>
          <w:rtl/>
        </w:rPr>
      </w:pPr>
      <w:r>
        <w:rPr>
          <w:rStyle w:val="a7"/>
          <w:rtl/>
        </w:rPr>
        <w:footnoteRef/>
      </w:r>
      <w:r>
        <w:rPr>
          <w:rtl/>
        </w:rPr>
        <w:t xml:space="preserve"> </w:t>
      </w:r>
      <w:r>
        <w:rPr>
          <w:b/>
          <w:bCs/>
          <w:rtl/>
        </w:rPr>
        <w:t xml:space="preserve">בגין דמתת כו'. </w:t>
      </w:r>
      <w:r>
        <w:rPr>
          <w:rtl/>
        </w:rPr>
        <w:t>רוצה לומר עולם הבא, וכמו שכתוב שם (קהלת ה יח) גם כל האדם כו' ולשאת את חלקו מתת כו', והוא לשאת חלקו בעולם הבא:</w:t>
      </w:r>
    </w:p>
  </w:footnote>
  <w:footnote w:id="3114">
    <w:p w:rsidR="00A13282" w:rsidRDefault="00A13282" w:rsidP="002D629A">
      <w:pPr>
        <w:pStyle w:val="a5"/>
        <w:rPr>
          <w:rtl/>
        </w:rPr>
      </w:pPr>
      <w:r>
        <w:rPr>
          <w:rStyle w:val="a7"/>
          <w:rtl/>
        </w:rPr>
        <w:footnoteRef/>
      </w:r>
      <w:r>
        <w:rPr>
          <w:rtl/>
        </w:rPr>
        <w:t xml:space="preserve"> </w:t>
      </w:r>
      <w:r>
        <w:rPr>
          <w:b/>
          <w:bCs/>
          <w:rtl/>
        </w:rPr>
        <w:t xml:space="preserve">חד מסט' כו'. </w:t>
      </w:r>
      <w:r>
        <w:rPr>
          <w:rtl/>
        </w:rPr>
        <w:t>דברכה הוא מימינא כמו שאומר להלן בכמה מקומות, ומתנה הוא משמאלא כמו שאומר לקמן על בצלמנו כדמותנו, דעתירי ומסכני הן בימינא ושמאלא, וכמו שכתוב (תהלים סא ח) חסד ואמת מן ינצרוהו, ולכן ברכה דהוא בעתירי - מימין, אבל מתנה הוא לעני, (דברים טו י) נתון תתן לו, מתן בסתר כו' - הוא לשמאלא, ואע"ג דבסוף תיקון כ”ה ושם אמר דשכינתא עלאה בימין ושכינתא תתאה בשמאלא, וכן אמר בהרבה מקומות, כאן הוא לפי בחינה אחרת דאם אדם נותן כפי הברכה שברכו ה' - זכה לשכינתא תתאה, ואם נותן כפי נדבת לבו זוכה לשכינתא עלאה, וכמו שאמרו בירושלמי דחגיגה, ועוד הברכה בעתירי הוא בעולם הזה והוא בחסד, ומתנה בעניי - צפונה להם לעולם הבא, מאני תבירי, והוא לשמאלא - אשר צפנת ליראיך:</w:t>
      </w:r>
    </w:p>
  </w:footnote>
  <w:footnote w:id="3115">
    <w:p w:rsidR="00A13282" w:rsidRDefault="00A13282" w:rsidP="002D629A">
      <w:pPr>
        <w:pStyle w:val="a5"/>
        <w:rPr>
          <w:rtl/>
        </w:rPr>
      </w:pPr>
      <w:r>
        <w:rPr>
          <w:rStyle w:val="a7"/>
          <w:rtl/>
        </w:rPr>
        <w:footnoteRef/>
      </w:r>
      <w:r>
        <w:rPr>
          <w:rtl/>
        </w:rPr>
        <w:t xml:space="preserve"> </w:t>
      </w:r>
      <w:r>
        <w:rPr>
          <w:b/>
          <w:bCs/>
          <w:rtl/>
        </w:rPr>
        <w:t xml:space="preserve">וכלא אתקשר כו'. </w:t>
      </w:r>
      <w:r>
        <w:rPr>
          <w:rtl/>
        </w:rPr>
        <w:t>כמו שמפרש והולך דהן ארבע אותיות, ובמלואו י"ב, שלשה לכל אות, וכן בכל תקופה ובכל דגל:</w:t>
      </w:r>
    </w:p>
  </w:footnote>
  <w:footnote w:id="3116">
    <w:p w:rsidR="00A13282" w:rsidRDefault="00A13282" w:rsidP="002D629A">
      <w:pPr>
        <w:pStyle w:val="a5"/>
        <w:rPr>
          <w:rtl/>
        </w:rPr>
      </w:pPr>
      <w:r>
        <w:rPr>
          <w:rStyle w:val="a7"/>
          <w:rtl/>
        </w:rPr>
        <w:footnoteRef/>
      </w:r>
      <w:r>
        <w:rPr>
          <w:rtl/>
        </w:rPr>
        <w:t xml:space="preserve"> </w:t>
      </w:r>
      <w:r>
        <w:rPr>
          <w:b/>
          <w:bCs/>
          <w:rtl/>
        </w:rPr>
        <w:t xml:space="preserve">תקיפא כו'. </w:t>
      </w:r>
      <w:r>
        <w:rPr>
          <w:rtl/>
        </w:rPr>
        <w:t>דינא דמלכותא, ורוצה לומר שזהו לשון תקופה ארבע תקופות:</w:t>
      </w:r>
    </w:p>
  </w:footnote>
  <w:footnote w:id="3117">
    <w:p w:rsidR="00A13282" w:rsidRDefault="00A13282" w:rsidP="002D629A">
      <w:pPr>
        <w:pStyle w:val="a5"/>
        <w:rPr>
          <w:rtl/>
        </w:rPr>
      </w:pPr>
      <w:r>
        <w:rPr>
          <w:rStyle w:val="a7"/>
          <w:rtl/>
        </w:rPr>
        <w:footnoteRef/>
      </w:r>
      <w:r>
        <w:rPr>
          <w:rtl/>
        </w:rPr>
        <w:t xml:space="preserve"> </w:t>
      </w:r>
      <w:r>
        <w:rPr>
          <w:b/>
          <w:bCs/>
          <w:rtl/>
        </w:rPr>
        <w:t xml:space="preserve">תרין דרועין ותרין שוקין. </w:t>
      </w:r>
      <w:r>
        <w:rPr>
          <w:rtl/>
        </w:rPr>
        <w:t>שהן ארבעה דגלים כמו שאמרו בזוהר פרשת בראשית כ"ו ב' ושאר מקומות:</w:t>
      </w:r>
    </w:p>
  </w:footnote>
  <w:footnote w:id="3118">
    <w:p w:rsidR="00A13282" w:rsidRDefault="00A13282" w:rsidP="002D629A">
      <w:pPr>
        <w:pStyle w:val="a5"/>
        <w:rPr>
          <w:rtl/>
        </w:rPr>
      </w:pPr>
      <w:r>
        <w:rPr>
          <w:rStyle w:val="a7"/>
          <w:rtl/>
        </w:rPr>
        <w:footnoteRef/>
      </w:r>
      <w:r>
        <w:rPr>
          <w:rtl/>
        </w:rPr>
        <w:t xml:space="preserve"> </w:t>
      </w:r>
      <w:r>
        <w:rPr>
          <w:b/>
          <w:bCs/>
          <w:rtl/>
        </w:rPr>
        <w:t xml:space="preserve">ודא וא"ו שתא כו'. </w:t>
      </w:r>
      <w:r>
        <w:rPr>
          <w:rtl/>
        </w:rPr>
        <w:t>זהו וא"ו מלא, ואלף - הוא אלף בינה שמתעברת בתוכו, והוא הגוף שעליהן, נגד שבט לוי שהוא הגוף כמו שבארנו במקום אחר עיין שם:</w:t>
      </w:r>
    </w:p>
  </w:footnote>
  <w:footnote w:id="3119">
    <w:p w:rsidR="00A13282" w:rsidRDefault="00A13282" w:rsidP="002D629A">
      <w:pPr>
        <w:pStyle w:val="a5"/>
        <w:rPr>
          <w:rtl/>
        </w:rPr>
      </w:pPr>
      <w:r>
        <w:rPr>
          <w:rStyle w:val="a7"/>
          <w:rtl/>
        </w:rPr>
        <w:footnoteRef/>
      </w:r>
      <w:r>
        <w:rPr>
          <w:rtl/>
        </w:rPr>
        <w:t xml:space="preserve"> </w:t>
      </w:r>
      <w:r>
        <w:rPr>
          <w:b/>
          <w:bCs/>
          <w:rtl/>
        </w:rPr>
        <w:t xml:space="preserve">וביה צריך כו'. </w:t>
      </w:r>
      <w:r>
        <w:rPr>
          <w:rtl/>
        </w:rPr>
        <w:t>רוצה לומר באותו החדש, והוא האלף הנ"ל שעל ידו יתייחדון, והוא הגוף, עמודא דאמצעיתא, וזה שאומר דאיהו עמודא דאמצעיתא. ואמר</w:t>
      </w:r>
    </w:p>
  </w:footnote>
  <w:footnote w:id="3120">
    <w:p w:rsidR="00A13282" w:rsidRDefault="00A13282" w:rsidP="002D629A">
      <w:pPr>
        <w:pStyle w:val="a5"/>
        <w:rPr>
          <w:rtl/>
        </w:rPr>
      </w:pPr>
      <w:r>
        <w:rPr>
          <w:rStyle w:val="a7"/>
          <w:rtl/>
        </w:rPr>
        <w:footnoteRef/>
      </w:r>
      <w:r>
        <w:rPr>
          <w:rtl/>
        </w:rPr>
        <w:t xml:space="preserve"> </w:t>
      </w:r>
      <w:r>
        <w:rPr>
          <w:b/>
          <w:bCs/>
          <w:rtl/>
        </w:rPr>
        <w:t xml:space="preserve">במהלך האמצעי. </w:t>
      </w:r>
      <w:r>
        <w:rPr>
          <w:rtl/>
        </w:rPr>
        <w:t>דבמהלך האמצעי במ"ק ישוו יחד לפי תקופת ר"א אבל במהלך האמיתי - לא, לפי מהלך גובה השמש וירח במסלול, אלא אם כן ישוו האמיתי והאמצעי שיהיה השמש בגובה והירח בגובה המסלול וכן בשפל. ואמר</w:t>
      </w:r>
    </w:p>
  </w:footnote>
  <w:footnote w:id="3121">
    <w:p w:rsidR="00A13282" w:rsidRDefault="00A13282" w:rsidP="002D629A">
      <w:pPr>
        <w:pStyle w:val="a5"/>
        <w:rPr>
          <w:rtl/>
        </w:rPr>
      </w:pPr>
      <w:r>
        <w:rPr>
          <w:rStyle w:val="a7"/>
          <w:rtl/>
        </w:rPr>
        <w:footnoteRef/>
      </w:r>
      <w:r>
        <w:rPr>
          <w:rtl/>
        </w:rPr>
        <w:t xml:space="preserve"> </w:t>
      </w:r>
      <w:r>
        <w:rPr>
          <w:b/>
          <w:bCs/>
          <w:rtl/>
        </w:rPr>
        <w:t xml:space="preserve">דאיהו עד"א. </w:t>
      </w:r>
      <w:r>
        <w:rPr>
          <w:rtl/>
        </w:rPr>
        <w:t>רוצה לומר מהלך האמצעי, עמודא דאמצעיתא, הוא אמצע:</w:t>
      </w:r>
    </w:p>
  </w:footnote>
  <w:footnote w:id="3122">
    <w:p w:rsidR="00A13282" w:rsidRDefault="00A13282" w:rsidP="002D629A">
      <w:pPr>
        <w:pStyle w:val="a5"/>
        <w:rPr>
          <w:rtl/>
        </w:rPr>
      </w:pPr>
      <w:r>
        <w:rPr>
          <w:rStyle w:val="a7"/>
          <w:rtl/>
        </w:rPr>
        <w:footnoteRef/>
      </w:r>
      <w:r>
        <w:rPr>
          <w:rtl/>
        </w:rPr>
        <w:t xml:space="preserve"> </w:t>
      </w:r>
      <w:r>
        <w:rPr>
          <w:b/>
          <w:bCs/>
          <w:rtl/>
        </w:rPr>
        <w:t xml:space="preserve">ואם ב"נ כו' פסח בחודש האביב כו'. </w:t>
      </w:r>
      <w:r>
        <w:rPr>
          <w:rtl/>
        </w:rPr>
        <w:t>דפסח הוא בינה, אנכי דיציאת מצרים, ואביב הוא אבא, חכמה, וחמה ולבנה הן זו"נ:</w:t>
      </w:r>
    </w:p>
  </w:footnote>
  <w:footnote w:id="3123">
    <w:p w:rsidR="00A13282" w:rsidRDefault="00A13282" w:rsidP="002D629A">
      <w:pPr>
        <w:pStyle w:val="a5"/>
        <w:rPr>
          <w:rtl/>
        </w:rPr>
      </w:pPr>
      <w:r>
        <w:rPr>
          <w:rStyle w:val="a7"/>
          <w:rtl/>
        </w:rPr>
        <w:footnoteRef/>
      </w:r>
      <w:r>
        <w:rPr>
          <w:rtl/>
        </w:rPr>
        <w:t xml:space="preserve"> </w:t>
      </w:r>
      <w:r>
        <w:rPr>
          <w:b/>
          <w:bCs/>
          <w:rtl/>
        </w:rPr>
        <w:t>ובדא ישוון כו'.</w:t>
      </w:r>
      <w:r>
        <w:rPr>
          <w:rtl/>
        </w:rPr>
        <w:t xml:space="preserve"> ומייחד כולא:</w:t>
      </w:r>
    </w:p>
  </w:footnote>
  <w:footnote w:id="3124">
    <w:p w:rsidR="00A13282" w:rsidRDefault="00A13282" w:rsidP="002D629A">
      <w:pPr>
        <w:pStyle w:val="a5"/>
        <w:rPr>
          <w:rtl/>
        </w:rPr>
      </w:pPr>
      <w:r>
        <w:rPr>
          <w:rStyle w:val="a7"/>
          <w:rtl/>
        </w:rPr>
        <w:footnoteRef/>
      </w:r>
      <w:r>
        <w:rPr>
          <w:rtl/>
        </w:rPr>
        <w:t xml:space="preserve"> </w:t>
      </w:r>
      <w:r>
        <w:rPr>
          <w:b/>
          <w:bCs/>
          <w:rtl/>
        </w:rPr>
        <w:t xml:space="preserve">ושמרתם ועשיתם דא כו'. </w:t>
      </w:r>
      <w:r>
        <w:rPr>
          <w:rtl/>
        </w:rPr>
        <w:t>כמו שאמרו (ספרא פ' אמור פ' ח) ושמרתם דא משנה ועשיתם דא מעשה, וכתיב (משלי ו כג) כי נר מצוה ותורה כו', תורה ומצוה - ו"ה, כי היא כו', ורוצה לומר שאמרו (שבת עה ע"א) איזו חכמה ובינה שהיא לעיני העמים זה חשבון כו':</w:t>
      </w:r>
    </w:p>
  </w:footnote>
  <w:footnote w:id="3125">
    <w:p w:rsidR="00A13282" w:rsidRDefault="00A13282" w:rsidP="002D629A">
      <w:pPr>
        <w:pStyle w:val="a5"/>
        <w:rPr>
          <w:rtl/>
        </w:rPr>
      </w:pPr>
      <w:r>
        <w:rPr>
          <w:rStyle w:val="a7"/>
          <w:rtl/>
        </w:rPr>
        <w:footnoteRef/>
      </w:r>
      <w:r>
        <w:rPr>
          <w:rtl/>
        </w:rPr>
        <w:t xml:space="preserve"> </w:t>
      </w:r>
      <w:r>
        <w:rPr>
          <w:b/>
          <w:bCs/>
          <w:rtl/>
        </w:rPr>
        <w:t>ובמה ישוון כו'.</w:t>
      </w:r>
      <w:r>
        <w:rPr>
          <w:rtl/>
        </w:rPr>
        <w:t xml:space="preserve"> רוצה לומר הא' שבוא"ו הוא כתר עליון שבו ישוו הכל, כי כשיזכו זו"נ לכתר הן שוין כידוע, וכל הארבעה פרצופים שוין במדרגה והוא מייחד כולא, ואף שכתב למעלה דהוא בינה - היינו לענין ייחוד זו"נ, אבל לייחוד כל הארבע אתוון דהוי"ה - הוא כתר, וכמו שבארנו בארוכה דכל ענין בינה שהוא דעת בזו"נ, כן הוא כתר בכולם:</w:t>
      </w:r>
    </w:p>
  </w:footnote>
  <w:footnote w:id="3126">
    <w:p w:rsidR="00A13282" w:rsidRDefault="00A13282" w:rsidP="002D629A">
      <w:pPr>
        <w:pStyle w:val="a5"/>
        <w:rPr>
          <w:rtl/>
        </w:rPr>
      </w:pPr>
      <w:r>
        <w:rPr>
          <w:rStyle w:val="a7"/>
          <w:rtl/>
        </w:rPr>
        <w:footnoteRef/>
      </w:r>
      <w:r>
        <w:rPr>
          <w:rtl/>
        </w:rPr>
        <w:t xml:space="preserve"> </w:t>
      </w:r>
      <w:r>
        <w:rPr>
          <w:b/>
          <w:bCs/>
          <w:rtl/>
        </w:rPr>
        <w:t>דאמרה סיהרא כו'.</w:t>
      </w:r>
      <w:r>
        <w:rPr>
          <w:rtl/>
        </w:rPr>
        <w:t xml:space="preserve"> שהיו שוין ובכתר א' הנ"ל:</w:t>
      </w:r>
    </w:p>
  </w:footnote>
  <w:footnote w:id="3127">
    <w:p w:rsidR="00A13282" w:rsidRDefault="00A13282" w:rsidP="002D629A">
      <w:pPr>
        <w:pStyle w:val="a5"/>
        <w:rPr>
          <w:rtl/>
        </w:rPr>
      </w:pPr>
      <w:r>
        <w:rPr>
          <w:rStyle w:val="a7"/>
          <w:rtl/>
        </w:rPr>
        <w:footnoteRef/>
      </w:r>
      <w:r>
        <w:rPr>
          <w:rtl/>
        </w:rPr>
        <w:t xml:space="preserve"> </w:t>
      </w:r>
      <w:r>
        <w:rPr>
          <w:b/>
          <w:bCs/>
          <w:rtl/>
        </w:rPr>
        <w:t>מלך ומלכות.</w:t>
      </w:r>
      <w:r>
        <w:rPr>
          <w:rtl/>
        </w:rPr>
        <w:t xml:space="preserve"> רוצה לומר דמלכים - היינו זו"נ, ונוסחתם היה מלכים ורוצה לומר שארבע אתוון הנ"ל מרומזים: ה' אלקינו - חו"ב, ומלכים - זו"נ, וכתר יתנו לך - לכל הארבעה פרצופים. והמוני מעלה קאי על מלאכים ממש:</w:t>
      </w:r>
    </w:p>
  </w:footnote>
  <w:footnote w:id="3128">
    <w:p w:rsidR="00A13282" w:rsidRDefault="00A13282" w:rsidP="002D629A">
      <w:pPr>
        <w:pStyle w:val="a5"/>
        <w:rPr>
          <w:rtl/>
        </w:rPr>
      </w:pPr>
      <w:r>
        <w:rPr>
          <w:rStyle w:val="a7"/>
          <w:rtl/>
        </w:rPr>
        <w:footnoteRef/>
      </w:r>
      <w:r>
        <w:rPr>
          <w:rtl/>
        </w:rPr>
        <w:t xml:space="preserve"> </w:t>
      </w:r>
      <w:r>
        <w:rPr>
          <w:b/>
          <w:bCs/>
          <w:rtl/>
        </w:rPr>
        <w:t>ועוד מצות כו' לבעירן.</w:t>
      </w:r>
      <w:r>
        <w:rPr>
          <w:rtl/>
        </w:rPr>
        <w:t xml:space="preserve"> כמו שאומר לקמן בסוף תיקון מ”ה בהמה אלין כו'. והענין כי בקרבן שני דברים: השחיטה והקרבה, הקרבה הוא נגד התפלה, ושחיטה הוא נגד היסורים שסובל בגלותא, וזה שאומר כשרה בזרים - שהוא ע"י זרים, מה שאין כן בהקרבה, ואמר הה"ד אדם ובהמה, אדם הן התלמידי חכמים וכמו שנבאר שם, ואמר ואלין דעובדייהו כו' - והן פסולין לקרבן - על הארץ תשפכנו כמים ונקרא נבלה וטרפה, נבלה - בסכין פגום דסמא"ל, וטרפה - בסם דיליה, נוק', סם המות דמנקיב לבני מעיים ונעשה טרפה, טרפה אינה חיה, מות דנוק', וזה שאומר מאי סכין פגום ואמר פגום ודאי אתקרי שהן פגומים ושריא במקום פגום כנ"ל וכל מעשיהן הכל פגומים ושלח ביד איש עתי כו' (כריתות יד ע"א). ואמר ואיהי פגימה כו' ורוצה לומר הנוק' פגימה והוא ניקב קרום כו' או דקין ושאר טריפות או סירכות, דאין סירכא בלא נקב, והוא נגד שחיטה והקרבה: סכין - נגד שחיטה, וטריפה - פסול להקרבה, והוא מיתה וגיהנם שהן דו"נ שבס"א כמו שבארנו במקום אחר בארוכה, ואמר אינון רגלין דילה רוצה לומר שלוחין דילה, ורגלין דילה נסרכין ונלכדין בנוק' דתהומא רבה כמו שאמרו בזוהר פרשת ויחי באלין תרי צפרין עיין שם בדבריו, ואמר רגליה יורדות כו' והוא טריפה אינה חיה כנ"ל, וזה שאומר ואינון ח"י סירכות כו' לאינון דמצלין כו' וכמו שבארנו להלן דהן נגד הקרבה, והוא נגד טריפה סירכא כנ"ל, וכתיב (בראשית ח כא) וירח ה' את ריח דקרבנא ויאמר לא אוסיף כו', ואמר ולעולם טרפה כו' שהיא מות כו' והן סרכות והכאות דח"י, ואמר דבכל אתר כו' רוצה לומר בכל אבר שתמצא פגום ושריא שם וכמו שאמרו (ברכות יח ע"ב) ואתה חלל רשע, הרשעים בחייהן כו', וכמו שאם ניקב אחד מאברים פנימים הוא טריפה, כן הוא באברים דנשמתא ועיין לעיל מ"ה א', וכן הוא גם כן ח"י טרפות כמו שאמרו בריש פרק ג' דחולין במתני' וגמ' שם, ועיין מה שבארנו במקום אחר מזה. וי"ח סרכות הן מסודרין בשולחן ערוך יורה דעה סי' ל"ט: מאונא לאונא או לאומה - שהכל אחד, שלא כסדרן - ב', ג' - עינוניתא דורדא ויתרת שנסרכו, ד' - סירכא תלויה או ממקום למקום שהן אחת וטריפתן הוא כמו שבארנו שם בס"ח וס"ט בהגהה, ה' - סרוכה לדופן כמו שבארנו שם בארוכה, ועוד י"ג שם בס"ז עיין שם:</w:t>
      </w:r>
    </w:p>
  </w:footnote>
  <w:footnote w:id="3129">
    <w:p w:rsidR="00A13282" w:rsidRDefault="00A13282" w:rsidP="002D629A">
      <w:pPr>
        <w:pStyle w:val="a5"/>
        <w:rPr>
          <w:rtl/>
        </w:rPr>
      </w:pPr>
      <w:r>
        <w:rPr>
          <w:rStyle w:val="a7"/>
          <w:rtl/>
        </w:rPr>
        <w:footnoteRef/>
      </w:r>
      <w:r>
        <w:rPr>
          <w:rtl/>
        </w:rPr>
        <w:t xml:space="preserve"> </w:t>
      </w:r>
      <w:r>
        <w:rPr>
          <w:b/>
          <w:bCs/>
          <w:rtl/>
        </w:rPr>
        <w:t>ועוד שכינתא כו'.</w:t>
      </w:r>
      <w:r>
        <w:rPr>
          <w:rtl/>
        </w:rPr>
        <w:t xml:space="preserve"> שמיתתם ביד השכינה, וכמו שכתוב (ישעיהו נח ח) כבוד ה' יאספך, וזה שאומר אסיפתן כו':</w:t>
      </w:r>
    </w:p>
  </w:footnote>
  <w:footnote w:id="3130">
    <w:p w:rsidR="00A13282" w:rsidRDefault="00A13282" w:rsidP="002D629A">
      <w:pPr>
        <w:pStyle w:val="a5"/>
        <w:rPr>
          <w:rtl/>
        </w:rPr>
      </w:pPr>
      <w:r>
        <w:rPr>
          <w:rStyle w:val="a7"/>
          <w:rtl/>
        </w:rPr>
        <w:footnoteRef/>
      </w:r>
      <w:r>
        <w:rPr>
          <w:rtl/>
        </w:rPr>
        <w:t xml:space="preserve"> </w:t>
      </w:r>
      <w:r>
        <w:rPr>
          <w:b/>
          <w:bCs/>
          <w:rtl/>
        </w:rPr>
        <w:t>הה"ד ויאסף אל עמיו היא כו'.</w:t>
      </w:r>
      <w:r>
        <w:rPr>
          <w:rtl/>
        </w:rPr>
        <w:t xml:space="preserve"> וכמו שאמרו בגמ' (ב"ב טז ע"ב) אנן גויעה ואסיפה קאמרינן, וקאמר היא המתרת כו' - מתרת מקשר השחיטה, וכמו שאמרו תלמידי חכמים אין מיתתן ביד מלאך המות:</w:t>
      </w:r>
    </w:p>
  </w:footnote>
  <w:footnote w:id="3131">
    <w:p w:rsidR="00A13282" w:rsidRDefault="00A13282" w:rsidP="002D629A">
      <w:pPr>
        <w:pStyle w:val="a5"/>
        <w:rPr>
          <w:rtl/>
        </w:rPr>
      </w:pPr>
      <w:r>
        <w:rPr>
          <w:rStyle w:val="a7"/>
          <w:rtl/>
        </w:rPr>
        <w:footnoteRef/>
      </w:r>
      <w:r>
        <w:rPr>
          <w:rtl/>
        </w:rPr>
        <w:t xml:space="preserve"> </w:t>
      </w:r>
      <w:r>
        <w:rPr>
          <w:b/>
          <w:bCs/>
          <w:rtl/>
        </w:rPr>
        <w:t>ואלין אינון כנפי כו'.</w:t>
      </w:r>
      <w:r>
        <w:rPr>
          <w:rtl/>
        </w:rPr>
        <w:t xml:space="preserve"> כמו שאמרו (שבת מט ע"א) מה (כנפי) יונה כנפיה כו', והיא נקראת יונה כמו שאומר למעלה:</w:t>
      </w:r>
    </w:p>
  </w:footnote>
  <w:footnote w:id="3132">
    <w:p w:rsidR="00A13282" w:rsidRDefault="00A13282" w:rsidP="002D629A">
      <w:pPr>
        <w:pStyle w:val="a5"/>
        <w:rPr>
          <w:rtl/>
        </w:rPr>
      </w:pPr>
      <w:r>
        <w:rPr>
          <w:rStyle w:val="a7"/>
          <w:rtl/>
        </w:rPr>
        <w:footnoteRef/>
      </w:r>
      <w:r>
        <w:rPr>
          <w:rtl/>
        </w:rPr>
        <w:t xml:space="preserve"> </w:t>
      </w:r>
      <w:r>
        <w:rPr>
          <w:b/>
          <w:bCs/>
          <w:rtl/>
        </w:rPr>
        <w:t>דלא שלטין כו'.</w:t>
      </w:r>
      <w:r>
        <w:rPr>
          <w:rtl/>
        </w:rPr>
        <w:t xml:space="preserve"> רוצה לומר כיסוי הדם הוא שלא ילקקו הכלבים, ואמר דאינון חציפין רוצה לומר שלכן נקראים כלבים כמו שכתוב (ישעיהו נו יא) והכלבים עזי נפש:</w:t>
      </w:r>
    </w:p>
  </w:footnote>
  <w:footnote w:id="3133">
    <w:p w:rsidR="00A13282" w:rsidRDefault="00A13282" w:rsidP="002D629A">
      <w:pPr>
        <w:pStyle w:val="a5"/>
        <w:rPr>
          <w:rtl/>
        </w:rPr>
      </w:pPr>
      <w:r>
        <w:rPr>
          <w:rStyle w:val="a7"/>
          <w:rtl/>
        </w:rPr>
        <w:footnoteRef/>
      </w:r>
      <w:r>
        <w:rPr>
          <w:rtl/>
        </w:rPr>
        <w:t xml:space="preserve"> </w:t>
      </w:r>
      <w:r>
        <w:rPr>
          <w:b/>
          <w:bCs/>
          <w:rtl/>
        </w:rPr>
        <w:t>ושחטתם בזה.</w:t>
      </w:r>
      <w:r>
        <w:rPr>
          <w:rtl/>
        </w:rPr>
        <w:t xml:space="preserve"> כמו שאמרו (חולין יז ע"ב) מנין לבדיקת הסכין שנאמר כו', וזה שאומר בדוק כמו זה:</w:t>
      </w:r>
    </w:p>
  </w:footnote>
  <w:footnote w:id="3134">
    <w:p w:rsidR="00A13282" w:rsidRDefault="00A13282" w:rsidP="002D629A">
      <w:pPr>
        <w:pStyle w:val="a5"/>
        <w:rPr>
          <w:rtl/>
        </w:rPr>
      </w:pPr>
      <w:r>
        <w:rPr>
          <w:rStyle w:val="a7"/>
          <w:rtl/>
        </w:rPr>
        <w:footnoteRef/>
      </w:r>
      <w:r>
        <w:rPr>
          <w:rtl/>
        </w:rPr>
        <w:t xml:space="preserve"> </w:t>
      </w:r>
      <w:r>
        <w:rPr>
          <w:b/>
          <w:bCs/>
          <w:rtl/>
        </w:rPr>
        <w:t>ואמרין זה לזה.</w:t>
      </w:r>
      <w:r>
        <w:rPr>
          <w:rtl/>
        </w:rPr>
        <w:t xml:space="preserve"> רוצה לומר זהו בזה, ואמר </w:t>
      </w:r>
      <w:r>
        <w:rPr>
          <w:b/>
          <w:bCs/>
          <w:rtl/>
        </w:rPr>
        <w:t>למהוי לן חולקא כו'.</w:t>
      </w:r>
      <w:r>
        <w:rPr>
          <w:rtl/>
        </w:rPr>
        <w:t xml:space="preserve"> שהן חברים לנו בקדושה כמו שמפרש והולך והוא וקרא זה כו' שזהו בזה. ואמר </w:t>
      </w:r>
      <w:r>
        <w:rPr>
          <w:b/>
          <w:bCs/>
          <w:rtl/>
        </w:rPr>
        <w:t>דא איהו קדוש.</w:t>
      </w:r>
      <w:r>
        <w:rPr>
          <w:rtl/>
        </w:rPr>
        <w:t xml:space="preserve"> רוצה לומר שנהרג על קידוש השם שקוראין אותו קדוש ורוצה לומר שזה רמיז זה כו' קדוש והכל ראיה על זה שהוא במכתשין ובצלותא דקדוש ששניהם הם קדוש כנ"ל והוא הבדיקה הנ"ל:</w:t>
      </w:r>
    </w:p>
  </w:footnote>
  <w:footnote w:id="3135">
    <w:p w:rsidR="00A13282" w:rsidRDefault="00A13282" w:rsidP="002D629A">
      <w:pPr>
        <w:pStyle w:val="a5"/>
        <w:rPr>
          <w:rtl/>
        </w:rPr>
      </w:pPr>
      <w:r>
        <w:rPr>
          <w:rStyle w:val="a7"/>
          <w:rtl/>
        </w:rPr>
        <w:footnoteRef/>
      </w:r>
      <w:r>
        <w:rPr>
          <w:rtl/>
        </w:rPr>
        <w:t xml:space="preserve"> </w:t>
      </w:r>
      <w:r>
        <w:rPr>
          <w:b/>
          <w:bCs/>
          <w:rtl/>
        </w:rPr>
        <w:t>ועוד כו' דא כו'.</w:t>
      </w:r>
      <w:r>
        <w:rPr>
          <w:rtl/>
        </w:rPr>
        <w:t xml:space="preserve"> רוצה לומר הן י"ב אותיות והן י"ב בדיקות כמנין זה, ואמר דביה דן שהוא דינא דמלכותא דכל מנא דזיינא בידה מסירין, חרב לה' כו', ואותיות אמצעיות הוא דן, וא"י הוא דאהי"ה והוי"ה, דהיא כלילא מנהון. ואמר </w:t>
      </w:r>
      <w:r>
        <w:rPr>
          <w:b/>
          <w:bCs/>
          <w:rtl/>
        </w:rPr>
        <w:t>יקו"ק איהו דן.</w:t>
      </w:r>
      <w:r>
        <w:rPr>
          <w:rtl/>
        </w:rPr>
        <w:t xml:space="preserve"> רוצה לומר כמו שבארנו שהן נ"ד צרופי הוי"ה הידועים והן אותיות האמצעיות הנ"ל ומפרש והולך שהן ארבע מיתות בית דין בארבע אותיות אדנ"י וכל אחד כלול מארבע אותיות הוי"ה כמו שמפרש והולך שכל אחד הוא בהוי"ה. ואמר </w:t>
      </w:r>
      <w:r>
        <w:rPr>
          <w:b/>
          <w:bCs/>
          <w:rtl/>
        </w:rPr>
        <w:t xml:space="preserve">דאתלבש בתוהו כו'. </w:t>
      </w:r>
      <w:r>
        <w:rPr>
          <w:rtl/>
        </w:rPr>
        <w:t>שהן ארבע מיתות בית דין כמו שאמרו בזוהר פרשת בראשית י"א ב' בארוכה עיין שם ועב"ס ח"א ו' א':</w:t>
      </w:r>
    </w:p>
  </w:footnote>
  <w:footnote w:id="3136">
    <w:p w:rsidR="00A13282" w:rsidRDefault="00A13282" w:rsidP="002D629A">
      <w:pPr>
        <w:pStyle w:val="a5"/>
        <w:rPr>
          <w:rtl/>
        </w:rPr>
      </w:pPr>
      <w:r>
        <w:rPr>
          <w:rStyle w:val="a7"/>
          <w:rtl/>
        </w:rPr>
        <w:footnoteRef/>
      </w:r>
      <w:r>
        <w:rPr>
          <w:rtl/>
        </w:rPr>
        <w:t xml:space="preserve"> </w:t>
      </w:r>
      <w:r>
        <w:rPr>
          <w:b/>
          <w:bCs/>
          <w:rtl/>
        </w:rPr>
        <w:t>אבינו מת כו'.</w:t>
      </w:r>
      <w:r>
        <w:rPr>
          <w:rtl/>
        </w:rPr>
        <w:t xml:space="preserve"> שהוא בזרקא ונאמר מת והוא לראיה שבו מיתה:</w:t>
      </w:r>
    </w:p>
  </w:footnote>
  <w:footnote w:id="3137">
    <w:p w:rsidR="00A13282" w:rsidRDefault="00A13282" w:rsidP="002D629A">
      <w:pPr>
        <w:pStyle w:val="a5"/>
        <w:rPr>
          <w:rtl/>
        </w:rPr>
      </w:pPr>
      <w:r>
        <w:rPr>
          <w:rStyle w:val="a7"/>
          <w:rtl/>
        </w:rPr>
        <w:footnoteRef/>
      </w:r>
      <w:r>
        <w:rPr>
          <w:rtl/>
        </w:rPr>
        <w:t xml:space="preserve"> </w:t>
      </w:r>
      <w:r>
        <w:rPr>
          <w:b/>
          <w:bCs/>
          <w:rtl/>
        </w:rPr>
        <w:t>ראו עתה.</w:t>
      </w:r>
      <w:r>
        <w:rPr>
          <w:rtl/>
        </w:rPr>
        <w:t xml:space="preserve"> ארבע פעמים אני כאן, נגד ארבעה הנ"ל והוא שם אדני - ד' אני, שד' הוא מלכות דילה שכוללת אנ"י - ג"ר, והיא כלולה מכולם וזה שאומר בתלת אתוון דשכינתא כו', רוצה לומר בשלש אותיות אני - שהד' כלולה מכולם:</w:t>
      </w:r>
    </w:p>
  </w:footnote>
  <w:footnote w:id="3138">
    <w:p w:rsidR="00A13282" w:rsidRDefault="00A13282" w:rsidP="002D629A">
      <w:pPr>
        <w:pStyle w:val="a5"/>
        <w:rPr>
          <w:rtl/>
        </w:rPr>
      </w:pPr>
      <w:r>
        <w:rPr>
          <w:rStyle w:val="a7"/>
          <w:rtl/>
        </w:rPr>
        <w:footnoteRef/>
      </w:r>
      <w:r>
        <w:rPr>
          <w:rtl/>
        </w:rPr>
        <w:t xml:space="preserve"> </w:t>
      </w:r>
      <w:r>
        <w:rPr>
          <w:b/>
          <w:bCs/>
          <w:rtl/>
        </w:rPr>
        <w:t>הכי מסי כו'.</w:t>
      </w:r>
      <w:r>
        <w:rPr>
          <w:rtl/>
        </w:rPr>
        <w:t xml:space="preserve"> כמו שכתוב אני כו' ואחיה, וכמו שכתוב (שמואל א' ב ו) ה' ממית ומחיה כו':</w:t>
      </w:r>
    </w:p>
  </w:footnote>
  <w:footnote w:id="3139">
    <w:p w:rsidR="00A13282" w:rsidRDefault="00A13282" w:rsidP="002D629A">
      <w:pPr>
        <w:pStyle w:val="a5"/>
        <w:rPr>
          <w:rtl/>
        </w:rPr>
      </w:pPr>
      <w:r>
        <w:rPr>
          <w:rStyle w:val="a7"/>
          <w:rtl/>
        </w:rPr>
        <w:footnoteRef/>
      </w:r>
      <w:r>
        <w:rPr>
          <w:rtl/>
        </w:rPr>
        <w:t xml:space="preserve"> </w:t>
      </w:r>
      <w:r>
        <w:rPr>
          <w:b/>
          <w:bCs/>
          <w:rtl/>
        </w:rPr>
        <w:t>דאיהי צדקה כו'.</w:t>
      </w:r>
      <w:r>
        <w:rPr>
          <w:rtl/>
        </w:rPr>
        <w:t xml:space="preserve"> דהוא עני וחיותיה בצלותא כמו שמפרש והולך והוא צדקה כמו שאומר לעיל בתיקון י”ח צ' אמנים, וענין צדיק הוא ק' בימינא וצ' בשמאלא, שאחדים שלהן י' ט' שהן חו"ג כמו שאמרו בזוהר חדש שיר השירים נ' ב' חד סליק ונחית כו', ויו"ד הוא בת"ת, שמא מפרש, רוח, וד' הוא במלכות, ארבע אותיות הפשוטים, כמו שנבאר לקמן בתיקון ל”ח בארוכה, וזהו צדיק בארבע אותיות הוי"ה, ארבעה פרצופים דכלילן ביה, וכן הוא צדקה אלא שבמקום יו"ד בה ה', מצה פרוסה, י"ה שבאיש ואשה:</w:t>
      </w:r>
    </w:p>
  </w:footnote>
  <w:footnote w:id="3140">
    <w:p w:rsidR="00A13282" w:rsidRDefault="00A13282" w:rsidP="002D629A">
      <w:pPr>
        <w:pStyle w:val="a5"/>
        <w:rPr>
          <w:rtl/>
        </w:rPr>
      </w:pPr>
      <w:r>
        <w:rPr>
          <w:rStyle w:val="a7"/>
          <w:rtl/>
        </w:rPr>
        <w:footnoteRef/>
      </w:r>
      <w:r>
        <w:rPr>
          <w:rtl/>
        </w:rPr>
        <w:t xml:space="preserve"> </w:t>
      </w:r>
      <w:r>
        <w:rPr>
          <w:b/>
          <w:bCs/>
          <w:rtl/>
        </w:rPr>
        <w:t>דאיהי שבת.</w:t>
      </w:r>
      <w:r>
        <w:rPr>
          <w:rtl/>
        </w:rPr>
        <w:t xml:space="preserve"> והוא ארבע אותיות אדני, אני - הן ש' דשבת דאבהן:</w:t>
      </w:r>
    </w:p>
  </w:footnote>
  <w:footnote w:id="3141">
    <w:p w:rsidR="00A13282" w:rsidRDefault="00A13282" w:rsidP="002D629A">
      <w:pPr>
        <w:pStyle w:val="a5"/>
        <w:rPr>
          <w:rtl/>
        </w:rPr>
      </w:pPr>
      <w:r>
        <w:rPr>
          <w:rStyle w:val="a7"/>
          <w:rtl/>
        </w:rPr>
        <w:footnoteRef/>
      </w:r>
      <w:r>
        <w:rPr>
          <w:rtl/>
        </w:rPr>
        <w:t xml:space="preserve"> </w:t>
      </w:r>
      <w:r>
        <w:rPr>
          <w:b/>
          <w:bCs/>
          <w:rtl/>
        </w:rPr>
        <w:t>וכל מאן דגזל או כו'.</w:t>
      </w:r>
      <w:r>
        <w:rPr>
          <w:rtl/>
        </w:rPr>
        <w:t xml:space="preserve"> שמצוות עשה ולא תעשה ותורה הן דרועין וגוף, אבהן, וברית - הוא רגל הרביעי וזה שאומר וכן מסטרא דצדיק כו':</w:t>
      </w:r>
    </w:p>
  </w:footnote>
  <w:footnote w:id="3142">
    <w:p w:rsidR="00A13282" w:rsidRDefault="00A13282" w:rsidP="002D629A">
      <w:pPr>
        <w:pStyle w:val="a5"/>
        <w:rPr>
          <w:rtl/>
        </w:rPr>
      </w:pPr>
      <w:r>
        <w:rPr>
          <w:rStyle w:val="a7"/>
          <w:rtl/>
        </w:rPr>
        <w:footnoteRef/>
      </w:r>
      <w:r>
        <w:rPr>
          <w:rtl/>
        </w:rPr>
        <w:t xml:space="preserve"> </w:t>
      </w:r>
      <w:r>
        <w:rPr>
          <w:b/>
          <w:bCs/>
          <w:rtl/>
        </w:rPr>
        <w:t>דאינון ר"ה.</w:t>
      </w:r>
      <w:r>
        <w:rPr>
          <w:rtl/>
        </w:rPr>
        <w:t xml:space="preserve"> עיין לקמן ריש תיקון כ”ד:</w:t>
      </w:r>
    </w:p>
  </w:footnote>
  <w:footnote w:id="3143">
    <w:p w:rsidR="00A13282" w:rsidRDefault="00A13282" w:rsidP="002D629A">
      <w:pPr>
        <w:pStyle w:val="a5"/>
        <w:rPr>
          <w:rtl/>
        </w:rPr>
      </w:pPr>
      <w:r>
        <w:rPr>
          <w:rStyle w:val="a7"/>
          <w:rtl/>
        </w:rPr>
        <w:footnoteRef/>
      </w:r>
      <w:r>
        <w:rPr>
          <w:rtl/>
        </w:rPr>
        <w:t xml:space="preserve"> </w:t>
      </w:r>
      <w:r>
        <w:rPr>
          <w:b/>
          <w:bCs/>
          <w:rtl/>
        </w:rPr>
        <w:t>לקבל שבים דא ו"ק.</w:t>
      </w:r>
      <w:r>
        <w:rPr>
          <w:rtl/>
        </w:rPr>
        <w:t xml:space="preserve"> כמו שאמרו ברעיא מהימנא פרשת נשא קכ"ג א' אית בר נש לבתר דייתוב כו' דא זכי לתשובה תתאה דאתקרי ה' כו' ואית בר נש כו' ודא זכי לאת ו' כו', עיין שם בדבריו:</w:t>
      </w:r>
    </w:p>
  </w:footnote>
  <w:footnote w:id="3144">
    <w:p w:rsidR="00A13282" w:rsidRDefault="00A13282" w:rsidP="002D629A">
      <w:pPr>
        <w:pStyle w:val="a5"/>
        <w:rPr>
          <w:rtl/>
        </w:rPr>
      </w:pPr>
      <w:r>
        <w:rPr>
          <w:rStyle w:val="a7"/>
          <w:rtl/>
        </w:rPr>
        <w:footnoteRef/>
      </w:r>
      <w:r>
        <w:rPr>
          <w:rtl/>
        </w:rPr>
        <w:t xml:space="preserve"> </w:t>
      </w:r>
      <w:r>
        <w:rPr>
          <w:b/>
          <w:bCs/>
          <w:rtl/>
        </w:rPr>
        <w:t>ועקרא לסלקא כו'.</w:t>
      </w:r>
      <w:r>
        <w:rPr>
          <w:rtl/>
        </w:rPr>
        <w:t xml:space="preserve"> והוא הכתר דאשקי לאילנא, ועיין בתיקוני זוהר חדש ולעיל י"ג א':</w:t>
      </w:r>
    </w:p>
  </w:footnote>
  <w:footnote w:id="3145">
    <w:p w:rsidR="00A13282" w:rsidRDefault="00A13282" w:rsidP="002D629A">
      <w:pPr>
        <w:pStyle w:val="a5"/>
        <w:rPr>
          <w:rtl/>
        </w:rPr>
      </w:pPr>
      <w:r>
        <w:rPr>
          <w:rStyle w:val="a7"/>
          <w:rtl/>
        </w:rPr>
        <w:footnoteRef/>
      </w:r>
      <w:r>
        <w:rPr>
          <w:rtl/>
        </w:rPr>
        <w:t xml:space="preserve"> </w:t>
      </w:r>
      <w:r>
        <w:rPr>
          <w:b/>
          <w:bCs/>
          <w:rtl/>
        </w:rPr>
        <w:t>ובימינא כו' וגבורה כו'.</w:t>
      </w:r>
      <w:r>
        <w:rPr>
          <w:rtl/>
        </w:rPr>
        <w:t xml:space="preserve"> לפרש מה דנחתו בימינא ושמאלא, דבימינא הוא מקבל שבים ובשמאלא נותן כח נגד יצר הרע, כמו שאמרו (סוכה נב ע"א) יצר הרע מתגבר כו' ואלמלא הקב"ה עוזרו כו', ומפרש, שם הוי"ה בתשובה דיום הכפורים, דעשרת ימי תשובה הן יו"ד, וה' צלותין - ה' ראשונה, ו' הוא עצם התשובה והוא ברוח דהוא וא"ו כמו שכתוב זבחי אלקים רוח נשברה, ורוח נכון חדש כו', וה' ענויין נגד ה' אחרונה שהענוי הוא בנפש ועניתם את נפשותיכם:</w:t>
      </w:r>
    </w:p>
  </w:footnote>
  <w:footnote w:id="3146">
    <w:p w:rsidR="00A13282" w:rsidRDefault="00A13282" w:rsidP="002D629A">
      <w:pPr>
        <w:pStyle w:val="a5"/>
        <w:rPr>
          <w:rtl/>
        </w:rPr>
      </w:pPr>
      <w:r>
        <w:rPr>
          <w:rStyle w:val="a7"/>
          <w:rtl/>
        </w:rPr>
        <w:footnoteRef/>
      </w:r>
      <w:r>
        <w:rPr>
          <w:rtl/>
        </w:rPr>
        <w:t xml:space="preserve"> </w:t>
      </w:r>
      <w:r>
        <w:rPr>
          <w:b/>
          <w:bCs/>
          <w:rtl/>
        </w:rPr>
        <w:t>עונת ק"ש.</w:t>
      </w:r>
      <w:r>
        <w:rPr>
          <w:rtl/>
        </w:rPr>
        <w:t xml:space="preserve"> כמו שאמרו (ברכות י ע"ב) כל הקורא קריאת שמע בעונתה, ורוצה לומר זהו עונתה שהוא פריה ורביה, ומפרש והולך היאך הוא דו"ק דהוא בשית תיבין דשמע, וממליכהו בשית סטרין, הוא ו' בעלה דהוא עץ פרי, שהעץ הוא בצורת ו' והפרי הוא בצורת יו"ד:</w:t>
      </w:r>
    </w:p>
  </w:footnote>
  <w:footnote w:id="3147">
    <w:p w:rsidR="00A13282" w:rsidRDefault="00A13282" w:rsidP="002D629A">
      <w:pPr>
        <w:pStyle w:val="a5"/>
        <w:rPr>
          <w:rtl/>
        </w:rPr>
      </w:pPr>
      <w:r>
        <w:rPr>
          <w:rStyle w:val="a7"/>
          <w:rtl/>
        </w:rPr>
        <w:footnoteRef/>
      </w:r>
      <w:r>
        <w:rPr>
          <w:rtl/>
        </w:rPr>
        <w:t xml:space="preserve"> </w:t>
      </w:r>
      <w:r>
        <w:rPr>
          <w:b/>
          <w:bCs/>
          <w:rtl/>
        </w:rPr>
        <w:t>אבל ענפוי לעילא כו'.</w:t>
      </w:r>
      <w:r>
        <w:rPr>
          <w:rtl/>
        </w:rPr>
        <w:t xml:space="preserve"> והוא כסדר הפרי על ענפוי - י"ה, ו' הוא גוף האילן על השורש ה' תתאה - הרי יהו"ה כסדר:</w:t>
      </w:r>
    </w:p>
  </w:footnote>
  <w:footnote w:id="3148">
    <w:p w:rsidR="00A13282" w:rsidRDefault="00A13282" w:rsidP="002D629A">
      <w:pPr>
        <w:pStyle w:val="a5"/>
        <w:rPr>
          <w:rtl/>
        </w:rPr>
      </w:pPr>
      <w:r>
        <w:rPr>
          <w:rStyle w:val="a7"/>
          <w:rtl/>
        </w:rPr>
        <w:footnoteRef/>
      </w:r>
      <w:r>
        <w:rPr>
          <w:rtl/>
        </w:rPr>
        <w:t xml:space="preserve"> </w:t>
      </w:r>
      <w:r>
        <w:rPr>
          <w:b/>
          <w:bCs/>
          <w:rtl/>
        </w:rPr>
        <w:t>חיי צער.</w:t>
      </w:r>
      <w:r>
        <w:rPr>
          <w:rtl/>
        </w:rPr>
        <w:t xml:space="preserve"> כמו שכתוב (בראשית ג יז) בעצבון תאכלנה, והיא נקראת עצבון כמו שאומר לקמן ועיין בסוף תיקון כ”ב:</w:t>
      </w:r>
    </w:p>
  </w:footnote>
  <w:footnote w:id="3149">
    <w:p w:rsidR="00A13282" w:rsidRDefault="00A13282" w:rsidP="002D629A">
      <w:pPr>
        <w:pStyle w:val="a5"/>
        <w:rPr>
          <w:rtl/>
        </w:rPr>
      </w:pPr>
      <w:r>
        <w:rPr>
          <w:rStyle w:val="a7"/>
          <w:rtl/>
        </w:rPr>
        <w:footnoteRef/>
      </w:r>
      <w:r>
        <w:rPr>
          <w:rtl/>
        </w:rPr>
        <w:t xml:space="preserve"> </w:t>
      </w:r>
      <w:r>
        <w:rPr>
          <w:b/>
          <w:bCs/>
          <w:rtl/>
        </w:rPr>
        <w:t>דלית מלך כו'.</w:t>
      </w:r>
      <w:r>
        <w:rPr>
          <w:rtl/>
        </w:rPr>
        <w:t xml:space="preserve"> רוצה לומר זה שאומר בני מלכים ולכן כאשר תשים עליך מלך אתה מקבל עליך הקב"ה ושכינתיה, ואמר דלית מלך בלא מלכות רוצה לומר אין תאר בלא מקרה והתואר הוא דכורא והמקרה הוא נוקבא ולכן בעת החורבן דלא היה לנו מלך - מלכות שמים בגלותא, דהמלכות הוא באומין פלחי כוכביא והיא גלותא דידה, וזהו (משלי ל כג) ושפחה כי תירש, וקב"ה דהוא מלך אסתלק ממנו לגמרי אבל לעתיד לבוא (אסתר א יט) ומלכותה יתן כו' - מושתי לאסתר היהודית:</w:t>
      </w:r>
    </w:p>
  </w:footnote>
  <w:footnote w:id="3150">
    <w:p w:rsidR="00A13282" w:rsidRDefault="00A13282" w:rsidP="002D629A">
      <w:pPr>
        <w:pStyle w:val="a5"/>
        <w:rPr>
          <w:rtl/>
        </w:rPr>
      </w:pPr>
      <w:r>
        <w:rPr>
          <w:rStyle w:val="a7"/>
          <w:rtl/>
        </w:rPr>
        <w:footnoteRef/>
      </w:r>
      <w:r>
        <w:rPr>
          <w:rtl/>
        </w:rPr>
        <w:t xml:space="preserve"> </w:t>
      </w:r>
      <w:r>
        <w:rPr>
          <w:b/>
          <w:bCs/>
          <w:rtl/>
        </w:rPr>
        <w:t>לזמנין שוי ליה כו'.</w:t>
      </w:r>
      <w:r>
        <w:rPr>
          <w:rtl/>
        </w:rPr>
        <w:t xml:space="preserve"> והוא כד סלקא באמא תש"ר:</w:t>
      </w:r>
    </w:p>
  </w:footnote>
  <w:footnote w:id="3151">
    <w:p w:rsidR="00A13282" w:rsidRDefault="00A13282" w:rsidP="002D629A">
      <w:pPr>
        <w:pStyle w:val="a5"/>
        <w:rPr>
          <w:rtl/>
        </w:rPr>
      </w:pPr>
      <w:r>
        <w:rPr>
          <w:rStyle w:val="a7"/>
          <w:rtl/>
        </w:rPr>
        <w:footnoteRef/>
      </w:r>
      <w:r>
        <w:rPr>
          <w:rtl/>
        </w:rPr>
        <w:t xml:space="preserve"> </w:t>
      </w:r>
      <w:r>
        <w:rPr>
          <w:b/>
          <w:bCs/>
          <w:rtl/>
        </w:rPr>
        <w:t>לזמנין קשיר כו'.</w:t>
      </w:r>
      <w:r>
        <w:rPr>
          <w:rtl/>
        </w:rPr>
        <w:t xml:space="preserve"> והוא במקומה תפילין של יד, ואמר שם </w:t>
      </w:r>
      <w:r>
        <w:rPr>
          <w:b/>
          <w:bCs/>
          <w:rtl/>
        </w:rPr>
        <w:t>שוי כו'.</w:t>
      </w:r>
      <w:r>
        <w:rPr>
          <w:rtl/>
        </w:rPr>
        <w:t xml:space="preserve"> דבתפילין של ראש אין קשר רק הנחה:</w:t>
      </w:r>
    </w:p>
  </w:footnote>
  <w:footnote w:id="3152">
    <w:p w:rsidR="00A13282" w:rsidRDefault="00A13282" w:rsidP="002D629A">
      <w:pPr>
        <w:pStyle w:val="a5"/>
        <w:rPr>
          <w:rtl/>
        </w:rPr>
      </w:pPr>
      <w:r>
        <w:rPr>
          <w:rStyle w:val="a7"/>
          <w:rtl/>
        </w:rPr>
        <w:footnoteRef/>
      </w:r>
      <w:r>
        <w:rPr>
          <w:rtl/>
        </w:rPr>
        <w:t xml:space="preserve"> </w:t>
      </w:r>
      <w:r>
        <w:rPr>
          <w:b/>
          <w:bCs/>
          <w:rtl/>
        </w:rPr>
        <w:t>לזמנין שוי כו'.</w:t>
      </w:r>
      <w:r>
        <w:rPr>
          <w:rtl/>
        </w:rPr>
        <w:t xml:space="preserve"> הוא בכסא, והוא תכלת דציצית כמו שאמרו (סוטה יז ע"א) תכלת דומה, וכמו שאמרו ברעיא מהימנא פרשת פנחס בארוכה, ועל אלו שלשה אמר במדרש רבה (שמות רבה נב) בעטרה שעטרה לו אמו משל למלך כו' לא זז מחבבה עד שקראה אמי כו' אחותי כו' בתי, והן כסדר הנ"ל. ואמר </w:t>
      </w:r>
      <w:r>
        <w:rPr>
          <w:b/>
          <w:bCs/>
          <w:rtl/>
        </w:rPr>
        <w:t>לזמנין עביד מינה לבושא.</w:t>
      </w:r>
      <w:r>
        <w:rPr>
          <w:rtl/>
        </w:rPr>
        <w:t xml:space="preserve"> הוא טלית דמט"ט כמו שאמרו ברעיא מהימנא שם, אבל זאת המדרגה אינה עיקרית אלא שבא לפרש כל העולמות. ואמר </w:t>
      </w:r>
      <w:r>
        <w:rPr>
          <w:b/>
          <w:bCs/>
          <w:rtl/>
        </w:rPr>
        <w:t>וכען דאיהי כו'.</w:t>
      </w:r>
      <w:r>
        <w:rPr>
          <w:rtl/>
        </w:rPr>
        <w:t xml:space="preserve"> והוא בעשיה, מדור הקליפות:</w:t>
      </w:r>
    </w:p>
  </w:footnote>
  <w:footnote w:id="3153">
    <w:p w:rsidR="00A13282" w:rsidRDefault="00A13282" w:rsidP="002D629A">
      <w:pPr>
        <w:pStyle w:val="a5"/>
        <w:rPr>
          <w:rtl/>
        </w:rPr>
      </w:pPr>
      <w:r>
        <w:rPr>
          <w:rStyle w:val="a7"/>
          <w:rtl/>
        </w:rPr>
        <w:footnoteRef/>
      </w:r>
      <w:r>
        <w:rPr>
          <w:rtl/>
        </w:rPr>
        <w:t xml:space="preserve"> </w:t>
      </w:r>
      <w:r>
        <w:rPr>
          <w:b/>
          <w:bCs/>
          <w:rtl/>
        </w:rPr>
        <w:t>ובני נשא דאינון כו'.</w:t>
      </w:r>
      <w:r>
        <w:rPr>
          <w:rtl/>
        </w:rPr>
        <w:t xml:space="preserve"> עיין בזוהר פרשת בהעלותך בארוכה:</w:t>
      </w:r>
    </w:p>
  </w:footnote>
  <w:footnote w:id="3154">
    <w:p w:rsidR="00A13282" w:rsidRDefault="00A13282" w:rsidP="002D629A">
      <w:pPr>
        <w:pStyle w:val="a5"/>
        <w:rPr>
          <w:rtl/>
        </w:rPr>
      </w:pPr>
      <w:r>
        <w:rPr>
          <w:rStyle w:val="a7"/>
          <w:rtl/>
        </w:rPr>
        <w:footnoteRef/>
      </w:r>
      <w:r>
        <w:rPr>
          <w:rtl/>
        </w:rPr>
        <w:t xml:space="preserve"> </w:t>
      </w:r>
      <w:r>
        <w:rPr>
          <w:b/>
          <w:bCs/>
          <w:rtl/>
        </w:rPr>
        <w:t>ויאמר אסתירה כו'.</w:t>
      </w:r>
      <w:r>
        <w:rPr>
          <w:rtl/>
        </w:rPr>
        <w:t xml:space="preserve"> הן הכינויים, וזהו הסתר פנים, ולפי הסתר השגחה נתרבו הכינויים אבל לעתיד לבוא (ישעיהו ל כ) ולא יכנף עוד מוריך, וזה שאומר לבתר דאתפשט כו':</w:t>
      </w:r>
    </w:p>
  </w:footnote>
  <w:footnote w:id="3155">
    <w:p w:rsidR="00A13282" w:rsidRDefault="00A13282" w:rsidP="002D629A">
      <w:pPr>
        <w:pStyle w:val="a5"/>
        <w:rPr>
          <w:rtl/>
        </w:rPr>
      </w:pPr>
      <w:r>
        <w:rPr>
          <w:rStyle w:val="a7"/>
          <w:rtl/>
        </w:rPr>
        <w:footnoteRef/>
      </w:r>
      <w:r>
        <w:rPr>
          <w:rtl/>
        </w:rPr>
        <w:t xml:space="preserve"> </w:t>
      </w:r>
      <w:r>
        <w:rPr>
          <w:b/>
          <w:bCs/>
          <w:rtl/>
        </w:rPr>
        <w:t>אבניה כו' אנכי ממנה נטיעיה כו'.</w:t>
      </w:r>
      <w:r>
        <w:rPr>
          <w:rtl/>
        </w:rPr>
        <w:t xml:space="preserve"> ורוצה לומר אבניה של ירושלים הן בני ישראל, אבנין טבין דעל ידם היא מתבנה, ומביא ראיה שנאמר ואבנה כו', וכן נטיעין דילה כמו שכתוב נצר מטעי כו':</w:t>
      </w:r>
    </w:p>
  </w:footnote>
  <w:footnote w:id="3156">
    <w:p w:rsidR="00A13282" w:rsidRDefault="00A13282" w:rsidP="002D629A">
      <w:pPr>
        <w:pStyle w:val="a5"/>
        <w:rPr>
          <w:rtl/>
        </w:rPr>
      </w:pPr>
      <w:r>
        <w:rPr>
          <w:rStyle w:val="a7"/>
          <w:rtl/>
        </w:rPr>
        <w:footnoteRef/>
      </w:r>
      <w:r>
        <w:rPr>
          <w:rtl/>
        </w:rPr>
        <w:t xml:space="preserve"> </w:t>
      </w:r>
      <w:r>
        <w:rPr>
          <w:b/>
          <w:bCs/>
          <w:rtl/>
        </w:rPr>
        <w:t>(ואתער שיר השירים כו'.</w:t>
      </w:r>
      <w:r>
        <w:rPr>
          <w:rtl/>
        </w:rPr>
        <w:t xml:space="preserve"> לעורר אהבת דודים שכולו מוסב על זה והן שלהבת רשפי"ה, מים רבים, ושלהבת הוא ע"י הפתילה הדולקת וזה שאומר </w:t>
      </w:r>
      <w:r>
        <w:rPr>
          <w:b/>
          <w:bCs/>
          <w:rtl/>
        </w:rPr>
        <w:t>ואדליק נהורא כו'.</w:t>
      </w:r>
      <w:r>
        <w:rPr>
          <w:rtl/>
        </w:rPr>
        <w:t xml:space="preserve"> וכל שיר השירים לאדלקא בוצינין כמו שאמרו בזוהר פרשת תרומה ובזוהר חדש בכמה מקומות):</w:t>
      </w:r>
    </w:p>
  </w:footnote>
  <w:footnote w:id="3157">
    <w:p w:rsidR="00A13282" w:rsidRDefault="00A13282" w:rsidP="002D629A">
      <w:pPr>
        <w:pStyle w:val="a5"/>
        <w:rPr>
          <w:rtl/>
        </w:rPr>
      </w:pPr>
      <w:r>
        <w:rPr>
          <w:rStyle w:val="a7"/>
          <w:rtl/>
        </w:rPr>
        <w:footnoteRef/>
      </w:r>
      <w:r>
        <w:rPr>
          <w:rtl/>
        </w:rPr>
        <w:t xml:space="preserve"> </w:t>
      </w:r>
      <w:r>
        <w:rPr>
          <w:b/>
          <w:bCs/>
          <w:rtl/>
        </w:rPr>
        <w:t>וחלצה נעלו כו'.</w:t>
      </w:r>
      <w:r>
        <w:rPr>
          <w:rtl/>
        </w:rPr>
        <w:t xml:space="preserve"> רוצה לומר מט"ט תופר מנעלים שהוא נעל כידוע, וסנדלפון הוא סנדל ושכינה מסתתרת בו בגלותא בימות החול היא סגורה ביה כמו שאומר לקמן ובהרבה מקומות, ולעתיד לבוא יפתח כמו שמפרש והולך. ואמר </w:t>
      </w:r>
      <w:r>
        <w:rPr>
          <w:b/>
          <w:bCs/>
          <w:rtl/>
        </w:rPr>
        <w:t>דא כנוי.</w:t>
      </w:r>
      <w:r>
        <w:rPr>
          <w:rtl/>
        </w:rPr>
        <w:t xml:space="preserve"> שכל הכינויים ביה, ולעתיד לבוא ולא יכנף, וזה שאומר </w:t>
      </w:r>
      <w:r>
        <w:rPr>
          <w:b/>
          <w:bCs/>
          <w:rtl/>
        </w:rPr>
        <w:t>ול"צ לאתחברא בארח יבום.</w:t>
      </w:r>
      <w:r>
        <w:rPr>
          <w:rtl/>
        </w:rPr>
        <w:t xml:space="preserve"> רוצה לומר הקב"ה וישראל בכנוי אלא בקירוב בשר שישיגו אמתתו ויאמרו הנה זה אלקינו וכנ"ל, והיבום להוציא נשמה הישנה, וכן הוא עתה כל הזיווגים עד שיכלו כל הנשמות שבגוף ואז יתחדשו הנשמות, וכן הוא בתורה שאין דבר חדש עתה אלא להבין הישנות וכמו שאמרו בכמה מקומות (זוהר שמות קפג ע"ב) מלין חדתין עתיקין, ולעתיד לבוא תורה חדשה מאתו תצא, יין המשומר בענביו כו', ואמר </w:t>
      </w:r>
      <w:r>
        <w:rPr>
          <w:b/>
          <w:bCs/>
          <w:rtl/>
        </w:rPr>
        <w:t>ההוא דאתמר ביה גן כו'.</w:t>
      </w:r>
      <w:r>
        <w:rPr>
          <w:rtl/>
        </w:rPr>
        <w:t xml:space="preserve"> הוא מט"ט כמו שאמרו בזוהר חדש פרשת בראשית דהוא גנת אגוז וביה מתפרשין החיות לארבע סטרין דאגוזא, ואמר </w:t>
      </w:r>
      <w:r>
        <w:rPr>
          <w:b/>
          <w:bCs/>
          <w:rtl/>
        </w:rPr>
        <w:t>אתפתח ההוא כו'.</w:t>
      </w:r>
      <w:r>
        <w:rPr>
          <w:rtl/>
        </w:rPr>
        <w:t xml:space="preserve"> רוצה לומר לעתיד לבוא. ואמר </w:t>
      </w:r>
      <w:r>
        <w:rPr>
          <w:b/>
          <w:bCs/>
          <w:rtl/>
        </w:rPr>
        <w:t xml:space="preserve">בגין דלפתח כו'. </w:t>
      </w:r>
      <w:r>
        <w:rPr>
          <w:rtl/>
        </w:rPr>
        <w:t>לפיכך נעול ממנו אבל לעתיד לבוא אתעבר כו', והוא סוד שיר דאתפתח שית ההוא עקימא כמו שאמרו בזוהר חדש ריש שיר השירים ואמר בתיקוני זוהר חדש פ"ו ב' בראשית ברא שית ודא מט"ט כו':</w:t>
      </w:r>
    </w:p>
  </w:footnote>
  <w:footnote w:id="3158">
    <w:p w:rsidR="00A13282" w:rsidRDefault="00A13282" w:rsidP="002D629A">
      <w:pPr>
        <w:pStyle w:val="a5"/>
        <w:rPr>
          <w:rtl/>
        </w:rPr>
      </w:pPr>
      <w:r>
        <w:rPr>
          <w:rStyle w:val="a7"/>
          <w:rtl/>
        </w:rPr>
        <w:footnoteRef/>
      </w:r>
      <w:r>
        <w:rPr>
          <w:rtl/>
        </w:rPr>
        <w:t xml:space="preserve"> </w:t>
      </w:r>
      <w:r>
        <w:rPr>
          <w:b/>
          <w:bCs/>
          <w:rtl/>
        </w:rPr>
        <w:t>דאתמר בה וזאת כו'.</w:t>
      </w:r>
      <w:r>
        <w:rPr>
          <w:rtl/>
        </w:rPr>
        <w:t xml:space="preserve"> רוצה לומר לפנים רוצה לומר כמו לפנינו והוא לעתיד לבוא תהיה בישראל - תשרה ביניהם בלא שום מסך ומבדיל:</w:t>
      </w:r>
    </w:p>
  </w:footnote>
  <w:footnote w:id="3159">
    <w:p w:rsidR="00A13282" w:rsidRDefault="00A13282" w:rsidP="002D629A">
      <w:pPr>
        <w:pStyle w:val="a5"/>
        <w:rPr>
          <w:rtl/>
        </w:rPr>
      </w:pPr>
      <w:r>
        <w:rPr>
          <w:rStyle w:val="a7"/>
          <w:rtl/>
        </w:rPr>
        <w:footnoteRef/>
      </w:r>
      <w:r>
        <w:rPr>
          <w:rtl/>
        </w:rPr>
        <w:t xml:space="preserve"> </w:t>
      </w:r>
      <w:r>
        <w:rPr>
          <w:b/>
          <w:bCs/>
          <w:rtl/>
        </w:rPr>
        <w:t>על הגאולה דא כו'.</w:t>
      </w:r>
      <w:r>
        <w:rPr>
          <w:rtl/>
        </w:rPr>
        <w:t xml:space="preserve"> דכל חירו בידהא:</w:t>
      </w:r>
    </w:p>
  </w:footnote>
  <w:footnote w:id="3160">
    <w:p w:rsidR="00A13282" w:rsidRDefault="00A13282" w:rsidP="002D629A">
      <w:pPr>
        <w:pStyle w:val="a5"/>
        <w:rPr>
          <w:rtl/>
        </w:rPr>
      </w:pPr>
      <w:r>
        <w:rPr>
          <w:rStyle w:val="a7"/>
          <w:rtl/>
        </w:rPr>
        <w:footnoteRef/>
      </w:r>
      <w:r>
        <w:rPr>
          <w:rtl/>
        </w:rPr>
        <w:t xml:space="preserve"> </w:t>
      </w:r>
      <w:r>
        <w:rPr>
          <w:b/>
          <w:bCs/>
          <w:rtl/>
        </w:rPr>
        <w:t>בההוא דאתמר כו'.</w:t>
      </w:r>
      <w:r>
        <w:rPr>
          <w:rtl/>
        </w:rPr>
        <w:t xml:space="preserve"> רוצה לומר מט"ט דהיא מסתתרת ביה וכמו שאומר למטה ובג"ד לתתא איהי תמורות כו'. רוצה לומר בשכינתא תתאה:</w:t>
      </w:r>
    </w:p>
  </w:footnote>
  <w:footnote w:id="3161">
    <w:p w:rsidR="00A13282" w:rsidRDefault="00A13282" w:rsidP="002D629A">
      <w:pPr>
        <w:pStyle w:val="a5"/>
        <w:rPr>
          <w:rtl/>
        </w:rPr>
      </w:pPr>
      <w:r>
        <w:rPr>
          <w:rStyle w:val="a7"/>
          <w:rtl/>
        </w:rPr>
        <w:footnoteRef/>
      </w:r>
      <w:r>
        <w:rPr>
          <w:rtl/>
        </w:rPr>
        <w:t xml:space="preserve"> </w:t>
      </w:r>
      <w:r>
        <w:rPr>
          <w:b/>
          <w:bCs/>
          <w:rtl/>
        </w:rPr>
        <w:t>לפנים בישראל אב ובן.</w:t>
      </w:r>
      <w:r>
        <w:rPr>
          <w:rtl/>
        </w:rPr>
        <w:t xml:space="preserve"> רוצה לומר בישראל הוא בן, ולפנים הוא אב לפני לפנים:</w:t>
      </w:r>
    </w:p>
  </w:footnote>
  <w:footnote w:id="3162">
    <w:p w:rsidR="00A13282" w:rsidRDefault="00A13282" w:rsidP="002D629A">
      <w:pPr>
        <w:pStyle w:val="a5"/>
        <w:rPr>
          <w:rtl/>
        </w:rPr>
      </w:pPr>
      <w:r>
        <w:rPr>
          <w:rStyle w:val="a7"/>
          <w:rtl/>
        </w:rPr>
        <w:footnoteRef/>
      </w:r>
      <w:r>
        <w:rPr>
          <w:rtl/>
        </w:rPr>
        <w:t xml:space="preserve"> </w:t>
      </w:r>
      <w:r>
        <w:rPr>
          <w:b/>
          <w:bCs/>
          <w:rtl/>
        </w:rPr>
        <w:t>דלזמנין כו'.</w:t>
      </w:r>
      <w:r>
        <w:rPr>
          <w:rtl/>
        </w:rPr>
        <w:t xml:space="preserve"> דהוא מרכבה לכולהו כמו שבארנו בתיקוני זוהר חדש בארוכה:</w:t>
      </w:r>
    </w:p>
  </w:footnote>
  <w:footnote w:id="3163">
    <w:p w:rsidR="00A13282" w:rsidRDefault="00A13282" w:rsidP="002D629A">
      <w:pPr>
        <w:pStyle w:val="a5"/>
        <w:rPr>
          <w:rtl/>
        </w:rPr>
      </w:pPr>
      <w:r>
        <w:rPr>
          <w:rStyle w:val="a7"/>
          <w:rtl/>
        </w:rPr>
        <w:footnoteRef/>
      </w:r>
      <w:r>
        <w:rPr>
          <w:rtl/>
        </w:rPr>
        <w:t xml:space="preserve"> </w:t>
      </w:r>
      <w:r>
        <w:rPr>
          <w:b/>
          <w:bCs/>
          <w:rtl/>
        </w:rPr>
        <w:t>ולזמנין צדיק.</w:t>
      </w:r>
      <w:r>
        <w:rPr>
          <w:rtl/>
        </w:rPr>
        <w:t xml:space="preserve"> וזהו ונתן לרעהו:</w:t>
      </w:r>
    </w:p>
  </w:footnote>
  <w:footnote w:id="3164">
    <w:p w:rsidR="00A13282" w:rsidRDefault="00A13282" w:rsidP="002D629A">
      <w:pPr>
        <w:pStyle w:val="a5"/>
        <w:rPr>
          <w:rtl/>
        </w:rPr>
      </w:pPr>
      <w:r>
        <w:rPr>
          <w:rStyle w:val="a7"/>
          <w:rtl/>
        </w:rPr>
        <w:footnoteRef/>
      </w:r>
      <w:r>
        <w:rPr>
          <w:rtl/>
        </w:rPr>
        <w:t xml:space="preserve"> </w:t>
      </w:r>
      <w:r>
        <w:rPr>
          <w:b/>
          <w:bCs/>
          <w:rtl/>
        </w:rPr>
        <w:t>ודא איהו גן נעול.</w:t>
      </w:r>
      <w:r>
        <w:rPr>
          <w:rtl/>
        </w:rPr>
        <w:t xml:space="preserve"> רוצה לומר מט"ט כנ"ל:</w:t>
      </w:r>
    </w:p>
  </w:footnote>
  <w:footnote w:id="3165">
    <w:p w:rsidR="00A13282" w:rsidRDefault="00A13282" w:rsidP="002D629A">
      <w:pPr>
        <w:pStyle w:val="a5"/>
        <w:rPr>
          <w:rtl/>
        </w:rPr>
      </w:pPr>
      <w:r>
        <w:rPr>
          <w:rStyle w:val="a7"/>
          <w:rtl/>
        </w:rPr>
        <w:footnoteRef/>
      </w:r>
      <w:r>
        <w:rPr>
          <w:rtl/>
        </w:rPr>
        <w:t xml:space="preserve"> </w:t>
      </w:r>
      <w:r>
        <w:rPr>
          <w:b/>
          <w:bCs/>
          <w:rtl/>
        </w:rPr>
        <w:t>י' כלילא מע"ס.</w:t>
      </w:r>
      <w:r>
        <w:rPr>
          <w:rtl/>
        </w:rPr>
        <w:t xml:space="preserve"> רוצה לומר כמו שמפרש והולך יוד מן מיטטרון ועיין לעיל נ"ד ב' אסתלק שכינתא מן הסלע דאיהי י' מן מיטטרון, והוא (שמות כג כא) כי שמי בקרבו, ובזה הוא מרכבה לכל העשר ספירות:</w:t>
      </w:r>
    </w:p>
  </w:footnote>
  <w:footnote w:id="3166">
    <w:p w:rsidR="00A13282" w:rsidRDefault="00A13282" w:rsidP="002D629A">
      <w:pPr>
        <w:pStyle w:val="a5"/>
        <w:rPr>
          <w:rtl/>
        </w:rPr>
      </w:pPr>
      <w:r>
        <w:rPr>
          <w:rStyle w:val="a7"/>
          <w:rtl/>
        </w:rPr>
        <w:footnoteRef/>
      </w:r>
      <w:r>
        <w:rPr>
          <w:rtl/>
        </w:rPr>
        <w:t xml:space="preserve"> </w:t>
      </w:r>
      <w:r>
        <w:rPr>
          <w:b/>
          <w:bCs/>
          <w:rtl/>
        </w:rPr>
        <w:t>ואיהו נעילת דלת כו'.</w:t>
      </w:r>
      <w:r>
        <w:rPr>
          <w:rtl/>
        </w:rPr>
        <w:t xml:space="preserve"> רוצה לומר דבכל הימים דשכינתא ביה הוא נעילת דלת כמו שכתוב יהיה סגור ששת כו', ועיין לעיל ל"ז ד' גן נעול כו' איהו נעול בשית יומי השבוע הה"ד יהיה סגור כו' עיין שם בדבריו וזה שאומר ובג"ד עונת תלמידי חכמים בשבת:</w:t>
      </w:r>
    </w:p>
  </w:footnote>
  <w:footnote w:id="3167">
    <w:p w:rsidR="00A13282" w:rsidRDefault="00A13282" w:rsidP="002D629A">
      <w:pPr>
        <w:pStyle w:val="a5"/>
        <w:rPr>
          <w:rtl/>
        </w:rPr>
      </w:pPr>
      <w:r>
        <w:rPr>
          <w:rStyle w:val="a7"/>
          <w:rtl/>
        </w:rPr>
        <w:footnoteRef/>
      </w:r>
      <w:r>
        <w:rPr>
          <w:rtl/>
        </w:rPr>
        <w:t xml:space="preserve"> </w:t>
      </w:r>
      <w:r>
        <w:rPr>
          <w:b/>
          <w:bCs/>
          <w:rtl/>
        </w:rPr>
        <w:t>ביה איהי סגירא כו'.</w:t>
      </w:r>
      <w:r>
        <w:rPr>
          <w:rtl/>
        </w:rPr>
        <w:t xml:space="preserve"> כמו שמפרש והולך וביום השבת יפתח ובשבת בגין דלא תהא כנועל דלת בפני לווין דאתמר בהו לוו עלי ואני פורע, איהי פתיחא לגבייהו דאינון נשמתין יתירין ולכן הזיווג בשבת דאיהי פתיחא להוציא נשמתן וכמו שאמרו בזוהר פרשת ויקהל:</w:t>
      </w:r>
    </w:p>
  </w:footnote>
  <w:footnote w:id="3168">
    <w:p w:rsidR="00A13282" w:rsidRDefault="00A13282" w:rsidP="002D629A">
      <w:pPr>
        <w:pStyle w:val="a5"/>
        <w:rPr>
          <w:rtl/>
        </w:rPr>
      </w:pPr>
      <w:r>
        <w:rPr>
          <w:rStyle w:val="a7"/>
          <w:rtl/>
        </w:rPr>
        <w:footnoteRef/>
      </w:r>
      <w:r>
        <w:rPr>
          <w:rtl/>
        </w:rPr>
        <w:t xml:space="preserve"> </w:t>
      </w:r>
      <w:r>
        <w:rPr>
          <w:b/>
          <w:bCs/>
          <w:rtl/>
        </w:rPr>
        <w:t>בההוא זמנא אתקריאת כוס מלא.</w:t>
      </w:r>
      <w:r>
        <w:rPr>
          <w:rtl/>
        </w:rPr>
        <w:t xml:space="preserve"> רוצה לומר כמו שאמרו ברעיא מהימנא פרשת עקב רע"ג ב' כוס על דרך החכמה הוא אלקים כו', כס בלא ו' כמו כס שהוא פגום וחסר בלא א', כן הוא חסר בלא וא"ו כו', כוס הוא ה"א וצריך יו"ד דברים כנגד יו"ד כו', ורוצה לומר כמו כס יה שהכסא אינו שלם בלא אלף כן הוא כוס בלא וא"ו, והוא כאשר הכסא והכוס מתלבשין במט"ט בגלותא אבל לעתיד לבוא כאשר תצא ותתחבר בבעלה אז תהיה מלא בוא"ו בעלה, כמו מצה - מצוה, והוא"ו נקרא מלא כמו שאומר לקמן בריש תיקון ל"ח. ואמר </w:t>
      </w:r>
      <w:r>
        <w:rPr>
          <w:b/>
          <w:bCs/>
          <w:rtl/>
        </w:rPr>
        <w:t>הה"ד ומלא ברכת ה'.</w:t>
      </w:r>
      <w:r>
        <w:rPr>
          <w:rtl/>
        </w:rPr>
        <w:t xml:space="preserve"> והוא כוס של ברכה דאיהי מלא. ואמר ים ודרום דהוא זו"נ, דרום במערב כמו שאמרו בזוהר פרשת במדבר. ואמר </w:t>
      </w:r>
      <w:r>
        <w:rPr>
          <w:b/>
          <w:bCs/>
          <w:rtl/>
        </w:rPr>
        <w:t>ירשה</w:t>
      </w:r>
      <w:r>
        <w:rPr>
          <w:rtl/>
        </w:rPr>
        <w:t xml:space="preserve"> כמו שאמרו רש י"ה ונשלם השם י"ה בו"ה:</w:t>
      </w:r>
    </w:p>
  </w:footnote>
  <w:footnote w:id="3169">
    <w:p w:rsidR="00A13282" w:rsidRDefault="00A13282" w:rsidP="002D629A">
      <w:pPr>
        <w:pStyle w:val="a5"/>
        <w:rPr>
          <w:rtl/>
        </w:rPr>
      </w:pPr>
      <w:r>
        <w:rPr>
          <w:rStyle w:val="a7"/>
          <w:rtl/>
        </w:rPr>
        <w:footnoteRef/>
      </w:r>
      <w:r>
        <w:rPr>
          <w:rtl/>
        </w:rPr>
        <w:t xml:space="preserve"> </w:t>
      </w:r>
      <w:r>
        <w:rPr>
          <w:b/>
          <w:bCs/>
          <w:rtl/>
        </w:rPr>
        <w:t>דסליק לחושבן כנוי.</w:t>
      </w:r>
      <w:r>
        <w:rPr>
          <w:rtl/>
        </w:rPr>
        <w:t xml:space="preserve"> והוא במט"ט, ובזמנא דאתמליאת כו', והוא יו"ד של מיטטרון דכד אסתלקת נשאר יבשה כמו שאומר לעיל נ"ד ב' וכנ"ל ועתה מלא ברכת ה', ולעתיד לבוא תתמלא ביוד, אות ברית דצדיק, וזה שאומר ובג"ד כו':</w:t>
      </w:r>
    </w:p>
  </w:footnote>
  <w:footnote w:id="3170">
    <w:p w:rsidR="00A13282" w:rsidRDefault="00A13282" w:rsidP="002D629A">
      <w:pPr>
        <w:pStyle w:val="a5"/>
        <w:rPr>
          <w:rtl/>
        </w:rPr>
      </w:pPr>
      <w:r>
        <w:rPr>
          <w:rStyle w:val="a7"/>
          <w:rtl/>
        </w:rPr>
        <w:footnoteRef/>
      </w:r>
      <w:r>
        <w:rPr>
          <w:rtl/>
        </w:rPr>
        <w:t xml:space="preserve"> </w:t>
      </w:r>
      <w:r>
        <w:rPr>
          <w:b/>
          <w:bCs/>
          <w:rtl/>
        </w:rPr>
        <w:t>קום שלמה מלכא.</w:t>
      </w:r>
      <w:r>
        <w:rPr>
          <w:rtl/>
        </w:rPr>
        <w:t xml:space="preserve"> דביה נאמר (דברי הימים ב א יא) יען אשר היתה זאת עם לבבך כו':</w:t>
      </w:r>
    </w:p>
  </w:footnote>
  <w:footnote w:id="3171">
    <w:p w:rsidR="00A13282" w:rsidRDefault="00A13282" w:rsidP="002D629A">
      <w:pPr>
        <w:pStyle w:val="a5"/>
        <w:rPr>
          <w:rtl/>
        </w:rPr>
      </w:pPr>
      <w:r>
        <w:rPr>
          <w:rStyle w:val="a7"/>
          <w:rtl/>
        </w:rPr>
        <w:footnoteRef/>
      </w:r>
      <w:r>
        <w:rPr>
          <w:rtl/>
        </w:rPr>
        <w:t xml:space="preserve"> </w:t>
      </w:r>
      <w:r>
        <w:rPr>
          <w:b/>
          <w:bCs/>
          <w:rtl/>
        </w:rPr>
        <w:t>דאנת שלם דילה.</w:t>
      </w:r>
      <w:r>
        <w:rPr>
          <w:rtl/>
        </w:rPr>
        <w:t xml:space="preserve"> דנקרא שלמה - שבימיו אתמליא סיהרא, חכמת שלמה, כמו שכתוב (מלכים א ה י) ותרב חכמת שלמה, דאתרביאת ואשתלימת עד מחכמת כל בני קדם וכמו שאומר לעיל ל"ח א':</w:t>
      </w:r>
    </w:p>
  </w:footnote>
  <w:footnote w:id="3172">
    <w:p w:rsidR="00A13282" w:rsidRDefault="00A13282" w:rsidP="002D629A">
      <w:pPr>
        <w:pStyle w:val="a5"/>
        <w:rPr>
          <w:rtl/>
        </w:rPr>
      </w:pPr>
      <w:r>
        <w:rPr>
          <w:rStyle w:val="a7"/>
          <w:rtl/>
        </w:rPr>
        <w:footnoteRef/>
      </w:r>
      <w:r>
        <w:rPr>
          <w:rtl/>
        </w:rPr>
        <w:t xml:space="preserve"> </w:t>
      </w:r>
      <w:r>
        <w:rPr>
          <w:b/>
          <w:bCs/>
          <w:rtl/>
        </w:rPr>
        <w:t>נער נער כו'.</w:t>
      </w:r>
      <w:r>
        <w:rPr>
          <w:rtl/>
        </w:rPr>
        <w:t xml:space="preserve"> כמו שאמרו (זוהר שמות סו ע"ב, ויקרא ס ע"א) ששים גבורים סביב כו' שתין פולסי דנורא דנער חגיר ביה:</w:t>
      </w:r>
    </w:p>
  </w:footnote>
  <w:footnote w:id="3173">
    <w:p w:rsidR="00A13282" w:rsidRDefault="00A13282" w:rsidP="002D629A">
      <w:pPr>
        <w:pStyle w:val="a5"/>
        <w:rPr>
          <w:rtl/>
        </w:rPr>
      </w:pPr>
      <w:r>
        <w:rPr>
          <w:rStyle w:val="a7"/>
          <w:rtl/>
        </w:rPr>
        <w:footnoteRef/>
      </w:r>
      <w:r>
        <w:rPr>
          <w:rtl/>
        </w:rPr>
        <w:t xml:space="preserve"> </w:t>
      </w:r>
      <w:r>
        <w:rPr>
          <w:b/>
          <w:bCs/>
          <w:rtl/>
        </w:rPr>
        <w:t>שבחא דמלכא עלאה.</w:t>
      </w:r>
      <w:r>
        <w:rPr>
          <w:rtl/>
        </w:rPr>
        <w:t xml:space="preserve"> רוצה לומר חכמה דהיכלא עלאה בינה ואתפתחא למיעל שכינתא תתאה ורוצה לומר אדנ"י הוא היכל כמו שאומר לעיל בתיקון י”ח ותהלתך מפרש על חכמה:</w:t>
      </w:r>
    </w:p>
  </w:footnote>
  <w:footnote w:id="3174">
    <w:p w:rsidR="00A13282" w:rsidRDefault="00A13282" w:rsidP="002D629A">
      <w:pPr>
        <w:pStyle w:val="a5"/>
        <w:rPr>
          <w:rtl/>
        </w:rPr>
      </w:pPr>
      <w:r>
        <w:rPr>
          <w:rStyle w:val="a7"/>
          <w:rtl/>
        </w:rPr>
        <w:footnoteRef/>
      </w:r>
      <w:r>
        <w:rPr>
          <w:rtl/>
        </w:rPr>
        <w:t xml:space="preserve"> </w:t>
      </w:r>
      <w:r>
        <w:rPr>
          <w:b/>
          <w:bCs/>
          <w:rtl/>
        </w:rPr>
        <w:t>מארי דקירטא.</w:t>
      </w:r>
      <w:r>
        <w:rPr>
          <w:rtl/>
        </w:rPr>
        <w:t xml:space="preserve"> שהוא איש האלקים (דברים לג א), בעלה דמטרוניתא, דאנהיג אותה לכל רעותיה:</w:t>
      </w:r>
    </w:p>
  </w:footnote>
  <w:footnote w:id="3175">
    <w:p w:rsidR="00A13282" w:rsidRDefault="00A13282" w:rsidP="002D629A">
      <w:pPr>
        <w:pStyle w:val="a5"/>
        <w:rPr>
          <w:rtl/>
        </w:rPr>
      </w:pPr>
      <w:r>
        <w:rPr>
          <w:rStyle w:val="a7"/>
          <w:rtl/>
        </w:rPr>
        <w:footnoteRef/>
      </w:r>
      <w:r>
        <w:rPr>
          <w:rtl/>
        </w:rPr>
        <w:t xml:space="preserve"> </w:t>
      </w:r>
      <w:r>
        <w:rPr>
          <w:b/>
          <w:bCs/>
          <w:rtl/>
        </w:rPr>
        <w:t>פתח ואמר.</w:t>
      </w:r>
      <w:r>
        <w:rPr>
          <w:rtl/>
        </w:rPr>
        <w:t xml:space="preserve"> רוצה לומר רעיא מהימנא פתח כמו שאמר העולימא:</w:t>
      </w:r>
    </w:p>
  </w:footnote>
  <w:footnote w:id="3176">
    <w:p w:rsidR="00A13282" w:rsidRDefault="00A13282" w:rsidP="002D629A">
      <w:pPr>
        <w:pStyle w:val="a5"/>
        <w:rPr>
          <w:rtl/>
        </w:rPr>
      </w:pPr>
      <w:r>
        <w:rPr>
          <w:rStyle w:val="a7"/>
          <w:rtl/>
        </w:rPr>
        <w:footnoteRef/>
      </w:r>
      <w:r>
        <w:rPr>
          <w:rtl/>
        </w:rPr>
        <w:t xml:space="preserve"> </w:t>
      </w:r>
      <w:r>
        <w:rPr>
          <w:b/>
          <w:bCs/>
          <w:rtl/>
        </w:rPr>
        <w:t>ואמר זרקא שכינתא קדישא כו'.</w:t>
      </w:r>
      <w:r>
        <w:rPr>
          <w:rtl/>
        </w:rPr>
        <w:t xml:space="preserve"> רוצה לומר זרקא הוא הקירטא, שכינה, דבה אזדריקו שלש אבנין, והוא סגולתא כמו שמפרש והולך וזהו זרקא סגולתא. ואמר </w:t>
      </w:r>
      <w:r>
        <w:rPr>
          <w:b/>
          <w:bCs/>
          <w:rtl/>
        </w:rPr>
        <w:t>דאינון תלת כו'.</w:t>
      </w:r>
      <w:r>
        <w:rPr>
          <w:rtl/>
        </w:rPr>
        <w:t xml:space="preserve"> והן ארבע רגלי המרכבה, ארבע אתוון, והיא הרביעית - יו"ד של אדנ"י שהיא כלולה מעוטרת על כולם:</w:t>
      </w:r>
    </w:p>
  </w:footnote>
  <w:footnote w:id="3177">
    <w:p w:rsidR="00A13282" w:rsidRDefault="00A13282" w:rsidP="002D629A">
      <w:pPr>
        <w:pStyle w:val="a5"/>
        <w:rPr>
          <w:rtl/>
        </w:rPr>
      </w:pPr>
      <w:r>
        <w:rPr>
          <w:rStyle w:val="a7"/>
          <w:rtl/>
        </w:rPr>
        <w:footnoteRef/>
      </w:r>
      <w:r>
        <w:rPr>
          <w:rtl/>
        </w:rPr>
        <w:t xml:space="preserve"> </w:t>
      </w:r>
      <w:r>
        <w:rPr>
          <w:b/>
          <w:bCs/>
          <w:rtl/>
        </w:rPr>
        <w:t>אבן מאסו הבונים היתה כו'.</w:t>
      </w:r>
      <w:r>
        <w:rPr>
          <w:rtl/>
        </w:rPr>
        <w:t xml:space="preserve"> דסלקא לחכמה כמו שמפרש והולך ועיין לעיל נ"ד ג'. ואמר </w:t>
      </w:r>
      <w:r>
        <w:rPr>
          <w:b/>
          <w:bCs/>
          <w:rtl/>
        </w:rPr>
        <w:t xml:space="preserve">ואנת אבן יקרה כו'. </w:t>
      </w:r>
      <w:r>
        <w:rPr>
          <w:rtl/>
        </w:rPr>
        <w:t>רוצה לומר שזהו שופר הולך דאזלא למהוי תגא בריש כולהו ועיין לעיל נ"ה ב':</w:t>
      </w:r>
    </w:p>
  </w:footnote>
  <w:footnote w:id="3178">
    <w:p w:rsidR="00A13282" w:rsidRDefault="00A13282" w:rsidP="002D629A">
      <w:pPr>
        <w:pStyle w:val="a5"/>
        <w:rPr>
          <w:rtl/>
        </w:rPr>
      </w:pPr>
      <w:r>
        <w:rPr>
          <w:rStyle w:val="a7"/>
          <w:rtl/>
        </w:rPr>
        <w:footnoteRef/>
      </w:r>
      <w:r>
        <w:rPr>
          <w:rtl/>
        </w:rPr>
        <w:t xml:space="preserve"> </w:t>
      </w:r>
      <w:r>
        <w:rPr>
          <w:b/>
          <w:bCs/>
          <w:rtl/>
        </w:rPr>
        <w:t>וכד אית בישראל משכילים כו'.</w:t>
      </w:r>
      <w:r>
        <w:rPr>
          <w:rtl/>
        </w:rPr>
        <w:t xml:space="preserve"> דהיא סלקא לפי זכוון ולימודם של ישראל ולכן סלקא אז לחכמה וזה שאמרו בת יחידה - דהיא בת מלך בחכמה, ועיין מה שבארנו לעיל נ"ג ב':</w:t>
      </w:r>
    </w:p>
  </w:footnote>
  <w:footnote w:id="3179">
    <w:p w:rsidR="00A13282" w:rsidRDefault="00A13282" w:rsidP="002D629A">
      <w:pPr>
        <w:pStyle w:val="a5"/>
        <w:rPr>
          <w:rtl/>
        </w:rPr>
      </w:pPr>
      <w:r>
        <w:rPr>
          <w:rStyle w:val="a7"/>
          <w:rtl/>
        </w:rPr>
        <w:footnoteRef/>
      </w:r>
      <w:r>
        <w:rPr>
          <w:rtl/>
        </w:rPr>
        <w:t xml:space="preserve"> </w:t>
      </w:r>
      <w:r>
        <w:rPr>
          <w:b/>
          <w:bCs/>
          <w:rtl/>
        </w:rPr>
        <w:t>לההוא אתר דאתגזרת.</w:t>
      </w:r>
      <w:r>
        <w:rPr>
          <w:rtl/>
        </w:rPr>
        <w:t xml:space="preserve"> כמו שמפרש והולך ורוצה לומר זה שכתוב (דניאל ב מה) אתגזרת אבן די לא כו':</w:t>
      </w:r>
    </w:p>
  </w:footnote>
  <w:footnote w:id="3180">
    <w:p w:rsidR="00A13282" w:rsidRDefault="00A13282" w:rsidP="002D629A">
      <w:pPr>
        <w:pStyle w:val="a5"/>
        <w:rPr>
          <w:rtl/>
        </w:rPr>
      </w:pPr>
      <w:r>
        <w:rPr>
          <w:rStyle w:val="a7"/>
          <w:rtl/>
        </w:rPr>
        <w:footnoteRef/>
      </w:r>
      <w:r>
        <w:rPr>
          <w:rtl/>
        </w:rPr>
        <w:t xml:space="preserve"> </w:t>
      </w:r>
      <w:r>
        <w:rPr>
          <w:b/>
          <w:bCs/>
          <w:rtl/>
        </w:rPr>
        <w:t>וההוא חוט דיליה.</w:t>
      </w:r>
      <w:r>
        <w:rPr>
          <w:rtl/>
        </w:rPr>
        <w:t xml:space="preserve"> רוצה לומר דזרקא, ורוצה לומר ההוא חוט שהוא ו' שהיא עטרה בראשו לומר שהיא עטרת בעלה, עטרה בראש ספר תורה דהוא בעלה:</w:t>
      </w:r>
    </w:p>
  </w:footnote>
  <w:footnote w:id="3181">
    <w:p w:rsidR="00A13282" w:rsidRDefault="00A13282" w:rsidP="002D629A">
      <w:pPr>
        <w:pStyle w:val="a5"/>
        <w:rPr>
          <w:rtl/>
        </w:rPr>
      </w:pPr>
      <w:r>
        <w:rPr>
          <w:rStyle w:val="a7"/>
          <w:rtl/>
        </w:rPr>
        <w:footnoteRef/>
      </w:r>
      <w:r>
        <w:rPr>
          <w:rtl/>
        </w:rPr>
        <w:t xml:space="preserve"> </w:t>
      </w:r>
      <w:r>
        <w:rPr>
          <w:b/>
          <w:bCs/>
          <w:rtl/>
        </w:rPr>
        <w:t>דתלת כתרין כו'.</w:t>
      </w:r>
      <w:r>
        <w:rPr>
          <w:rtl/>
        </w:rPr>
        <w:t xml:space="preserve"> ורוצה לומר שזהו סגולתא ועיין לעיל נ"ה ב' למיהוי תגא ועטרה ברישא דתלת אבהן כו' ולמעלה נ"ד ג' ואתקריאת י' י' י' בתלת יודי"ן: י' עילאה איהו על רישא דא' כו', ולבתר כו', ולבתר כו', עיין שם וזה שאומר והאי אבנא איהי כו':</w:t>
      </w:r>
    </w:p>
  </w:footnote>
  <w:footnote w:id="3182">
    <w:p w:rsidR="00A13282" w:rsidRDefault="00A13282" w:rsidP="002D629A">
      <w:pPr>
        <w:pStyle w:val="a5"/>
        <w:rPr>
          <w:rtl/>
        </w:rPr>
      </w:pPr>
      <w:r>
        <w:rPr>
          <w:rStyle w:val="a7"/>
          <w:rtl/>
        </w:rPr>
        <w:footnoteRef/>
      </w:r>
      <w:r>
        <w:rPr>
          <w:rtl/>
        </w:rPr>
        <w:t xml:space="preserve"> </w:t>
      </w:r>
      <w:r>
        <w:rPr>
          <w:b/>
          <w:bCs/>
          <w:rtl/>
        </w:rPr>
        <w:t>ואיהי יו"ד ק"י וא"ו ק"י כליל כו'.</w:t>
      </w:r>
      <w:r>
        <w:rPr>
          <w:rtl/>
        </w:rPr>
        <w:t xml:space="preserve"> רוצה לומר דתלת יודי"ן ביה, ועיין לעיל כ"ג ב' ותלת יודי"ן אינון י' י' י' ואינון רישא וסיפא ואמצעיתא דאת א', ואינון רמיזין בשמא סתים כו', אבל כאן כוונתו רק על שני היודי"ן, שבתחלה וסוף, דבאמצעיתא נכלל בוא"ו, ואין באל"ף יודי"ן עצמיים רק שנים - תחלה וסוף, ורומז על הנ"ל אע"ג דהיא אבן מאסו הבונים, בסוף כולן סלקא על כולן לאתר דאתגזרת מתמן, והן בשילוב - יאקדונ"ק'י, י' בראש ובסוף דסלקא מסוף עד הראש כנ"ל, וזה שכתוב (ישעיהו מו י) מגיד מראשית אחרית כו', נעוץ סופן כו' (ספר יצירה), והכל רמיז באלף: שני יודין בראש וסוף, ו' אותיות באמצעיתן נגד ו' האמצעי שבאלף. ואמר </w:t>
      </w:r>
      <w:r>
        <w:rPr>
          <w:b/>
          <w:bCs/>
          <w:rtl/>
        </w:rPr>
        <w:t>כליל עשר ספירן.</w:t>
      </w:r>
      <w:r>
        <w:rPr>
          <w:rtl/>
        </w:rPr>
        <w:t xml:space="preserve"> שהן יוד אותיות שבשם הנ"ל ויוד שבסוף כוללן, וכן היו"ד שבראש כמו שאמרו בריש תיקוני זוהר חדש ועשר חכמות אתקריאו עשר ספירות וכן אמר בזוהר פרשת ויקרא יו"ד ב' על יו"ד קיימי כולהו כו' תנן יו"ד שמות אשתכללו ונפקו מהאי יו"ד דהיא עשיראה דאתוון כו' וכלהו סתימי ביו"ד, וכן יו"ד מלכות כליל כלהו כידוע:</w:t>
      </w:r>
    </w:p>
  </w:footnote>
  <w:footnote w:id="3183">
    <w:p w:rsidR="00A13282" w:rsidRDefault="00A13282" w:rsidP="002D629A">
      <w:pPr>
        <w:pStyle w:val="a5"/>
        <w:rPr>
          <w:rtl/>
        </w:rPr>
      </w:pPr>
      <w:r>
        <w:rPr>
          <w:rStyle w:val="a7"/>
          <w:rtl/>
        </w:rPr>
        <w:footnoteRef/>
      </w:r>
      <w:r>
        <w:rPr>
          <w:rtl/>
        </w:rPr>
        <w:t xml:space="preserve"> </w:t>
      </w:r>
      <w:r>
        <w:rPr>
          <w:b/>
          <w:bCs/>
          <w:rtl/>
        </w:rPr>
        <w:t>דהא מטא לאתר כו'.</w:t>
      </w:r>
      <w:r>
        <w:rPr>
          <w:rtl/>
        </w:rPr>
        <w:t xml:space="preserve"> רוצה לומר לחכמה כמו שאומר לקמן לההוא אתר דאתגזרת, וזה שאומר עד כו' כבוד ה' ממקומו, ואמר </w:t>
      </w:r>
      <w:r>
        <w:rPr>
          <w:b/>
          <w:bCs/>
          <w:rtl/>
        </w:rPr>
        <w:t>דלית מאן כו'.</w:t>
      </w:r>
      <w:r>
        <w:rPr>
          <w:rtl/>
        </w:rPr>
        <w:t xml:space="preserve"> דחכמה נעלמה כמו שאומר לעיל ל"ז א' דהאי נקודה טמירא דאתמר בה ונעלמה כו' ועליה אתמר (איוב כח ז) נתיב לא ידעו עיט, ועיין לקמן ע"ו א' האי י' אתקריאת יראה כו' עליה אתמר נתיב לא ידעו עיט ולא שזפתו עין איה, מאן עין איה אלא מאינון מלאכין דאמרין איה מקום כבודו להעריצו כד איהו כו' ועיין מה שבארנו שם:</w:t>
      </w:r>
    </w:p>
  </w:footnote>
  <w:footnote w:id="3184">
    <w:p w:rsidR="00A13282" w:rsidRDefault="00A13282" w:rsidP="002D629A">
      <w:pPr>
        <w:pStyle w:val="a5"/>
        <w:rPr>
          <w:rtl/>
        </w:rPr>
      </w:pPr>
      <w:r>
        <w:rPr>
          <w:rStyle w:val="a7"/>
          <w:rtl/>
        </w:rPr>
        <w:footnoteRef/>
      </w:r>
      <w:r>
        <w:rPr>
          <w:rtl/>
        </w:rPr>
        <w:t xml:space="preserve"> </w:t>
      </w:r>
      <w:r>
        <w:rPr>
          <w:b/>
          <w:bCs/>
          <w:rtl/>
        </w:rPr>
        <w:t>ואע"ג דאיהי זעירא כו'.</w:t>
      </w:r>
      <w:r>
        <w:rPr>
          <w:rtl/>
        </w:rPr>
        <w:t xml:space="preserve"> י' דאדני - אחות לנו קטנה:</w:t>
      </w:r>
    </w:p>
  </w:footnote>
  <w:footnote w:id="3185">
    <w:p w:rsidR="00A13282" w:rsidRDefault="00A13282" w:rsidP="002D629A">
      <w:pPr>
        <w:pStyle w:val="a5"/>
        <w:rPr>
          <w:rtl/>
        </w:rPr>
      </w:pPr>
      <w:r>
        <w:rPr>
          <w:rStyle w:val="a7"/>
          <w:rtl/>
        </w:rPr>
        <w:footnoteRef/>
      </w:r>
      <w:r>
        <w:rPr>
          <w:rtl/>
        </w:rPr>
        <w:t xml:space="preserve"> </w:t>
      </w:r>
      <w:r>
        <w:rPr>
          <w:b/>
          <w:bCs/>
          <w:rtl/>
        </w:rPr>
        <w:t>לעילא ל"ל סוף.</w:t>
      </w:r>
      <w:r>
        <w:rPr>
          <w:rtl/>
        </w:rPr>
        <w:t xml:space="preserve"> דחכמה היא מים שאין להם סוף כמו שאומר בברית מנוחה ושאר מקומות, ומקור שלה אין לו סוף כמו שאומר לקמן צ' ודא אבא תוקפא דיליה נביעו דלית ליה סוף:</w:t>
      </w:r>
    </w:p>
  </w:footnote>
  <w:footnote w:id="3186">
    <w:p w:rsidR="00A13282" w:rsidRDefault="00A13282" w:rsidP="002D629A">
      <w:pPr>
        <w:pStyle w:val="a5"/>
        <w:rPr>
          <w:rtl/>
        </w:rPr>
      </w:pPr>
      <w:r>
        <w:rPr>
          <w:rStyle w:val="a7"/>
          <w:rtl/>
        </w:rPr>
        <w:footnoteRef/>
      </w:r>
      <w:r>
        <w:rPr>
          <w:rtl/>
        </w:rPr>
        <w:t xml:space="preserve"> </w:t>
      </w:r>
      <w:r>
        <w:rPr>
          <w:b/>
          <w:bCs/>
          <w:rtl/>
        </w:rPr>
        <w:t>מאן יכיל לאגיח כו'.</w:t>
      </w:r>
      <w:r>
        <w:rPr>
          <w:rtl/>
        </w:rPr>
        <w:t xml:space="preserve"> דהוא הנהר דמתפשט בכולהו, ועיין לקמן פ"ט א' ושאר מקומות:</w:t>
      </w:r>
    </w:p>
  </w:footnote>
  <w:footnote w:id="3187">
    <w:p w:rsidR="00A13282" w:rsidRDefault="00A13282" w:rsidP="002D629A">
      <w:pPr>
        <w:pStyle w:val="a5"/>
        <w:rPr>
          <w:rtl/>
        </w:rPr>
      </w:pPr>
      <w:r>
        <w:rPr>
          <w:rStyle w:val="a7"/>
          <w:rtl/>
        </w:rPr>
        <w:footnoteRef/>
      </w:r>
      <w:r>
        <w:rPr>
          <w:rtl/>
        </w:rPr>
        <w:t xml:space="preserve"> </w:t>
      </w:r>
      <w:r>
        <w:rPr>
          <w:b/>
          <w:bCs/>
          <w:rtl/>
        </w:rPr>
        <w:t>אזדעזעו רקיעין כו' ומלאכין כו'.</w:t>
      </w:r>
      <w:r>
        <w:rPr>
          <w:rtl/>
        </w:rPr>
        <w:t xml:space="preserve"> כמו שכתוב (יחזקאל ג יב) ואשמע אחרי קול רעש גדול ברוך כבוד ה' ממקומו, והוא בחכמה - מקומה כנ"ל, (יחזקאל א כ) והאופנים ינשאו לעומתם כו', (יחזקאל א כד) קול המולה, כקול מים רבים כו' כקול שדי כו', והאופנים תרגם יונתן על הרקיעים כמו שכתוב (יחזקאל י יג) לאופן קורא גלגל באזני, שהגלגלים הולכין אחריהם, ועיין במעשה מרכבה. ואמר </w:t>
      </w:r>
      <w:r>
        <w:rPr>
          <w:b/>
          <w:bCs/>
          <w:rtl/>
        </w:rPr>
        <w:t>עד אין סוף כו' עד אין תכלית.</w:t>
      </w:r>
      <w:r>
        <w:rPr>
          <w:rtl/>
        </w:rPr>
        <w:t xml:space="preserve"> שהוא באור ישר ואור חוזר כמו שאומר לקמן:</w:t>
      </w:r>
    </w:p>
  </w:footnote>
  <w:footnote w:id="3188">
    <w:p w:rsidR="00A13282" w:rsidRDefault="00A13282" w:rsidP="002D629A">
      <w:pPr>
        <w:pStyle w:val="a5"/>
        <w:rPr>
          <w:rtl/>
        </w:rPr>
      </w:pPr>
      <w:r>
        <w:rPr>
          <w:rStyle w:val="a7"/>
          <w:rtl/>
        </w:rPr>
        <w:footnoteRef/>
      </w:r>
      <w:r>
        <w:rPr>
          <w:rtl/>
        </w:rPr>
        <w:t xml:space="preserve"> </w:t>
      </w:r>
      <w:r>
        <w:rPr>
          <w:b/>
          <w:bCs/>
          <w:rtl/>
        </w:rPr>
        <w:t>ונפלו בנפילת אפים כו'.</w:t>
      </w:r>
      <w:r>
        <w:rPr>
          <w:rtl/>
        </w:rPr>
        <w:t xml:space="preserve"> כמו שכתוב (יחזקאל א כח) והוא מראה דמות כבוד ה', והוא בחכמה כנ"ל בהקדמה ובתיקוני זוהר חדש, וכתיב (שם) ואראה ואפול על פני, ואע"ג דפירש שם ואראה על כתר, באמת כתר אין ראיה שם דהוא אין אלא מצד הגעת חכמה לשם קאמר ואראה כו':</w:t>
      </w:r>
    </w:p>
  </w:footnote>
  <w:footnote w:id="3189">
    <w:p w:rsidR="00A13282" w:rsidRDefault="00A13282" w:rsidP="002D629A">
      <w:pPr>
        <w:pStyle w:val="a5"/>
        <w:rPr>
          <w:rtl/>
        </w:rPr>
      </w:pPr>
      <w:r>
        <w:rPr>
          <w:rStyle w:val="a7"/>
          <w:rtl/>
        </w:rPr>
        <w:footnoteRef/>
      </w:r>
      <w:r>
        <w:rPr>
          <w:rtl/>
        </w:rPr>
        <w:t xml:space="preserve"> </w:t>
      </w:r>
      <w:r>
        <w:rPr>
          <w:b/>
          <w:bCs/>
          <w:rtl/>
        </w:rPr>
        <w:t>מאן יגיח עמך בסייפא.</w:t>
      </w:r>
      <w:r>
        <w:rPr>
          <w:rtl/>
        </w:rPr>
        <w:t xml:space="preserve"> דהוא עמודא דאמצעיתא כמו שאומר למטה רישא דחרבא י' כו' - דהוא הוי"ה :</w:t>
      </w:r>
    </w:p>
  </w:footnote>
  <w:footnote w:id="3190">
    <w:p w:rsidR="00A13282" w:rsidRDefault="00A13282" w:rsidP="002D629A">
      <w:pPr>
        <w:pStyle w:val="a5"/>
        <w:rPr>
          <w:rtl/>
        </w:rPr>
      </w:pPr>
      <w:r>
        <w:rPr>
          <w:rStyle w:val="a7"/>
          <w:rtl/>
        </w:rPr>
        <w:footnoteRef/>
      </w:r>
      <w:r>
        <w:rPr>
          <w:rtl/>
        </w:rPr>
        <w:t xml:space="preserve"> </w:t>
      </w:r>
      <w:r>
        <w:rPr>
          <w:b/>
          <w:bCs/>
          <w:rtl/>
        </w:rPr>
        <w:t>דאיהי ק"ש.</w:t>
      </w:r>
      <w:r>
        <w:rPr>
          <w:rtl/>
        </w:rPr>
        <w:t xml:space="preserve"> כמו שאמרו (ברכות ה ע"א) כל הקורא קריאת שמע כאלו כו' שנאמר רוממות כו', ועיין לעיל ח' א' שם יהו"ה זכאה איהו כו':</w:t>
      </w:r>
    </w:p>
  </w:footnote>
  <w:footnote w:id="3191">
    <w:p w:rsidR="00A13282" w:rsidRDefault="00A13282" w:rsidP="002D629A">
      <w:pPr>
        <w:pStyle w:val="a5"/>
        <w:rPr>
          <w:rtl/>
        </w:rPr>
      </w:pPr>
      <w:r>
        <w:rPr>
          <w:rStyle w:val="a7"/>
          <w:rtl/>
        </w:rPr>
        <w:footnoteRef/>
      </w:r>
      <w:r>
        <w:rPr>
          <w:rtl/>
        </w:rPr>
        <w:t xml:space="preserve"> </w:t>
      </w:r>
      <w:r>
        <w:rPr>
          <w:b/>
          <w:bCs/>
          <w:rtl/>
        </w:rPr>
        <w:t>דאנת תקינת לך.</w:t>
      </w:r>
      <w:r>
        <w:rPr>
          <w:rtl/>
        </w:rPr>
        <w:t xml:space="preserve"> שמשה אמרה לקריאת שמע באורייתא, והוא הרג למצרי, ועליה אנחנו ממתינין דיהרג למצרי כמו שאמרו בתיקוני זוהר חדש ולמעלה סוף תיקון י”ג:</w:t>
      </w:r>
    </w:p>
  </w:footnote>
  <w:footnote w:id="3192">
    <w:p w:rsidR="00A13282" w:rsidRDefault="00A13282" w:rsidP="002D629A">
      <w:pPr>
        <w:pStyle w:val="a5"/>
        <w:rPr>
          <w:rtl/>
        </w:rPr>
      </w:pPr>
      <w:r>
        <w:rPr>
          <w:rStyle w:val="a7"/>
          <w:rtl/>
        </w:rPr>
        <w:footnoteRef/>
      </w:r>
      <w:r>
        <w:rPr>
          <w:rtl/>
        </w:rPr>
        <w:t xml:space="preserve"> </w:t>
      </w:r>
      <w:r>
        <w:rPr>
          <w:b/>
          <w:bCs/>
          <w:rtl/>
        </w:rPr>
        <w:t>ויפן כה כו'.</w:t>
      </w:r>
      <w:r>
        <w:rPr>
          <w:rtl/>
        </w:rPr>
        <w:t xml:space="preserve"> עיין מה שבארנו לעיל נ"ג ב' בארוכה:</w:t>
      </w:r>
    </w:p>
  </w:footnote>
  <w:footnote w:id="3193">
    <w:p w:rsidR="00A13282" w:rsidRDefault="00A13282" w:rsidP="002D629A">
      <w:pPr>
        <w:pStyle w:val="a5"/>
        <w:rPr>
          <w:rtl/>
        </w:rPr>
      </w:pPr>
      <w:r>
        <w:rPr>
          <w:rStyle w:val="a7"/>
          <w:rtl/>
        </w:rPr>
        <w:footnoteRef/>
      </w:r>
      <w:r>
        <w:rPr>
          <w:rtl/>
        </w:rPr>
        <w:t xml:space="preserve"> </w:t>
      </w:r>
      <w:r>
        <w:rPr>
          <w:b/>
          <w:bCs/>
          <w:rtl/>
        </w:rPr>
        <w:t>דאיהי ח' תמינאה כו'.</w:t>
      </w:r>
      <w:r>
        <w:rPr>
          <w:rtl/>
        </w:rPr>
        <w:t xml:space="preserve"> רוצה לומר ושם הוא חרב בנרתיקה שהן שמונה אותיות כמו שמפרש והולך רישא דחרבא כו', נרתיקה כו' ורזא כו', ובה קטיל למצרי בנ' תרעין וכמו שאומר לעיל נ"ג ב' עיין שם:</w:t>
      </w:r>
    </w:p>
  </w:footnote>
  <w:footnote w:id="3194">
    <w:p w:rsidR="00A13282" w:rsidRDefault="00A13282" w:rsidP="002D629A">
      <w:pPr>
        <w:pStyle w:val="a5"/>
        <w:rPr>
          <w:rtl/>
        </w:rPr>
      </w:pPr>
      <w:r>
        <w:rPr>
          <w:rStyle w:val="a7"/>
          <w:rtl/>
        </w:rPr>
        <w:footnoteRef/>
      </w:r>
      <w:r>
        <w:rPr>
          <w:rtl/>
        </w:rPr>
        <w:t xml:space="preserve"> </w:t>
      </w:r>
      <w:r>
        <w:rPr>
          <w:b/>
          <w:bCs/>
          <w:rtl/>
        </w:rPr>
        <w:t>אז ישיר משה לעילא.</w:t>
      </w:r>
      <w:r>
        <w:rPr>
          <w:rtl/>
        </w:rPr>
        <w:t xml:space="preserve"> עיין לעיל ריש תיקון י’ דסלקא באז כו':</w:t>
      </w:r>
    </w:p>
  </w:footnote>
  <w:footnote w:id="3195">
    <w:p w:rsidR="00A13282" w:rsidRDefault="00A13282" w:rsidP="002D629A">
      <w:pPr>
        <w:pStyle w:val="a5"/>
        <w:rPr>
          <w:rtl/>
        </w:rPr>
      </w:pPr>
      <w:r>
        <w:rPr>
          <w:rStyle w:val="a7"/>
          <w:rtl/>
        </w:rPr>
        <w:footnoteRef/>
      </w:r>
      <w:r>
        <w:rPr>
          <w:rtl/>
        </w:rPr>
        <w:t xml:space="preserve"> </w:t>
      </w:r>
      <w:r>
        <w:rPr>
          <w:b/>
          <w:bCs/>
          <w:rtl/>
        </w:rPr>
        <w:t>מאן יכיל ברומחא כו'.</w:t>
      </w:r>
      <w:r>
        <w:rPr>
          <w:rtl/>
        </w:rPr>
        <w:t xml:space="preserve"> והוא בצדיק דכליל רמ"ח אברים - רמ"ח פקודין, רמ"ח עלמין, והוא ו' זעירא - רומח:</w:t>
      </w:r>
    </w:p>
  </w:footnote>
  <w:footnote w:id="3196">
    <w:p w:rsidR="00A13282" w:rsidRDefault="00A13282" w:rsidP="002D629A">
      <w:pPr>
        <w:pStyle w:val="a5"/>
        <w:rPr>
          <w:rtl/>
        </w:rPr>
      </w:pPr>
      <w:r>
        <w:rPr>
          <w:rStyle w:val="a7"/>
          <w:rtl/>
        </w:rPr>
        <w:footnoteRef/>
      </w:r>
      <w:r>
        <w:rPr>
          <w:rtl/>
        </w:rPr>
        <w:t xml:space="preserve"> </w:t>
      </w:r>
      <w:r>
        <w:rPr>
          <w:b/>
          <w:bCs/>
          <w:rtl/>
        </w:rPr>
        <w:t>ואבנא עילאה כו'.</w:t>
      </w:r>
      <w:r>
        <w:rPr>
          <w:rtl/>
        </w:rPr>
        <w:t xml:space="preserve"> כמו שמפרש והולך דהוא תגא דעל זרקא, ושלש אבנין הוא סגולתא - הרי ארבע (תגא):</w:t>
      </w:r>
    </w:p>
  </w:footnote>
  <w:footnote w:id="3197">
    <w:p w:rsidR="00A13282" w:rsidRDefault="00A13282" w:rsidP="002D629A">
      <w:pPr>
        <w:pStyle w:val="a5"/>
        <w:rPr>
          <w:rtl/>
        </w:rPr>
      </w:pPr>
      <w:r>
        <w:rPr>
          <w:rStyle w:val="a7"/>
          <w:rtl/>
        </w:rPr>
        <w:footnoteRef/>
      </w:r>
      <w:r>
        <w:rPr>
          <w:rtl/>
        </w:rPr>
        <w:t xml:space="preserve"> </w:t>
      </w:r>
      <w:r>
        <w:rPr>
          <w:b/>
          <w:bCs/>
          <w:rtl/>
        </w:rPr>
        <w:t>היינו ב'.</w:t>
      </w:r>
      <w:r>
        <w:rPr>
          <w:rtl/>
        </w:rPr>
        <w:t xml:space="preserve"> דב' הוא חוטא דמקיף לסיהרא, ונקודה שבתוך הב' הוא תגא דעל חוטא כמו שאומר לקמן תיקון ל’ ותיקון ל”ו ושאר מקומות, וכנ"ל דהיא החכמה נעלמה. ואמר</w:t>
      </w:r>
    </w:p>
  </w:footnote>
  <w:footnote w:id="3198">
    <w:p w:rsidR="00A13282" w:rsidRDefault="00A13282" w:rsidP="002D629A">
      <w:pPr>
        <w:pStyle w:val="a5"/>
        <w:rPr>
          <w:rtl/>
        </w:rPr>
      </w:pPr>
      <w:r>
        <w:rPr>
          <w:rStyle w:val="a7"/>
          <w:rtl/>
        </w:rPr>
        <w:footnoteRef/>
      </w:r>
      <w:r>
        <w:rPr>
          <w:rtl/>
        </w:rPr>
        <w:t xml:space="preserve"> </w:t>
      </w:r>
      <w:r>
        <w:rPr>
          <w:b/>
          <w:bCs/>
          <w:rtl/>
        </w:rPr>
        <w:t>עלה אתמר בעשרה כו'.</w:t>
      </w:r>
      <w:r>
        <w:rPr>
          <w:rtl/>
        </w:rPr>
        <w:t xml:space="preserve"> דהן עשר ספירות דכלילין בחכמה כמו שאומר לעיל א' והאי נקודה היא חכמה כנ"ל, ואמר האי נקודה כו' - להורות האיך הכל כלול בהאי נקודה, דשלשה רת"ס דהאי נקודה הוא שלשה יודין, והנקודה עצמה הוא הוא יוד הרביעי הנ"ל, והן שם מ"ב: ל"ב נתיבות - ל"ב אלקים, ועשר אמירן - הרי מ"ב, כמו שאמרו בהרבה מקומות רבו מלספר, וזה שאומר למעלה והאי נקודה עלה אתמר בעשרה כו', והוא שם מ"ב דבראשית דבו נברא העולם, ועיין מה שבארנו במקום אחר דהיאך שם מ"ב הוא בפסוק ראשון דבראשית:</w:t>
      </w:r>
    </w:p>
  </w:footnote>
  <w:footnote w:id="3199">
    <w:p w:rsidR="00A13282" w:rsidRDefault="00A13282" w:rsidP="002D629A">
      <w:pPr>
        <w:pStyle w:val="a5"/>
        <w:rPr>
          <w:rtl/>
        </w:rPr>
      </w:pPr>
      <w:r>
        <w:rPr>
          <w:rStyle w:val="a7"/>
          <w:rtl/>
        </w:rPr>
        <w:footnoteRef/>
      </w:r>
      <w:r>
        <w:rPr>
          <w:rtl/>
        </w:rPr>
        <w:t xml:space="preserve"> </w:t>
      </w:r>
      <w:r>
        <w:rPr>
          <w:b/>
          <w:bCs/>
          <w:rtl/>
        </w:rPr>
        <w:t>כלהון ברחו.</w:t>
      </w:r>
      <w:r>
        <w:rPr>
          <w:rtl/>
        </w:rPr>
        <w:t xml:space="preserve"> דס"א ברחת מן שם מ"ב, והנפילים נפלו בה לארץ, דבשם זה שהוא שם של גבורה - בה נידונין דהוא נהר דינור כמו שאומר לקמן בתיקון נ”ד ושאר מקומות, שבה נידונין. וזה שאומר ומלאכין ואופנים כו' כמו שכתוב (יחזקאל א יח) ויראה להם כו', זיעת כנפי החיות (חגיגה יג ע"ב), והכל מגבורה כמו שכתוב בברית מנוחה:</w:t>
      </w:r>
    </w:p>
  </w:footnote>
  <w:footnote w:id="3200">
    <w:p w:rsidR="00A13282" w:rsidRDefault="00A13282" w:rsidP="002D629A">
      <w:pPr>
        <w:pStyle w:val="a5"/>
        <w:rPr>
          <w:rtl/>
        </w:rPr>
      </w:pPr>
      <w:r>
        <w:rPr>
          <w:rStyle w:val="a7"/>
          <w:rtl/>
        </w:rPr>
        <w:footnoteRef/>
      </w:r>
      <w:r>
        <w:rPr>
          <w:rtl/>
        </w:rPr>
        <w:t xml:space="preserve"> </w:t>
      </w:r>
      <w:r>
        <w:rPr>
          <w:b/>
          <w:bCs/>
          <w:rtl/>
        </w:rPr>
        <w:t>ואית אבן דאורייתא כו'.</w:t>
      </w:r>
      <w:r>
        <w:rPr>
          <w:rtl/>
        </w:rPr>
        <w:t xml:space="preserve"> דהוא בעמודא דאמצעיתא כמו שמפרש והולך, אבל אלו אבנין הן בשכינתא - ארבעה טורי אבנין, דהן י"ב, הן ארבע אותיות אדני דהן י"ב כמו שאומר לעיל נ"ו ג':</w:t>
      </w:r>
    </w:p>
  </w:footnote>
  <w:footnote w:id="3201">
    <w:p w:rsidR="00A13282" w:rsidRDefault="00A13282" w:rsidP="002D629A">
      <w:pPr>
        <w:pStyle w:val="a5"/>
        <w:rPr>
          <w:rtl/>
        </w:rPr>
      </w:pPr>
      <w:r>
        <w:rPr>
          <w:rStyle w:val="a7"/>
          <w:rtl/>
        </w:rPr>
        <w:footnoteRef/>
      </w:r>
      <w:r>
        <w:rPr>
          <w:rtl/>
        </w:rPr>
        <w:t xml:space="preserve"> </w:t>
      </w:r>
      <w:r>
        <w:rPr>
          <w:b/>
          <w:bCs/>
          <w:rtl/>
        </w:rPr>
        <w:t>דאיהו דיוקנא דיליה.</w:t>
      </w:r>
      <w:r>
        <w:rPr>
          <w:rtl/>
        </w:rPr>
        <w:t xml:space="preserve"> רוצה לומר משה, ונאמר וזאת בוא"ו ועיין בסוף ח"א בארוכה. ואין הכוונה על עמודא דאמצעיתא אלא היא מסטרא דעמודא דאמצעיתא, ורוצה לומר בזה שהן ה' אבנין דדוד וקריאת שמע, וכמו שאומר לעיל נ"ט א' והאי אבן איהי חמשה כו' ואינון חמש כו', ורוצה לומר עמודא דאמצעיתא היינו כלת משה, אשה כושית, בדעת, ועיין מה שבארנו במקום אחר מאינון חמשה אבנין שהן שלשה דאבהן ורביעית דדוד וחמישית דמשה, וזה שאומר ואלין אבנין כלהו חד. ורוצה לומר כל החמשה, וכמו שאומר לקמן וכד שוי לון בקירטא כו' - כלהו אחד כו', והן ארבעה דצלותא וחד דאורייתא כנ"ל:</w:t>
      </w:r>
    </w:p>
  </w:footnote>
  <w:footnote w:id="3202">
    <w:p w:rsidR="00A13282" w:rsidRDefault="00A13282" w:rsidP="002D629A">
      <w:pPr>
        <w:pStyle w:val="a5"/>
        <w:rPr>
          <w:rtl/>
        </w:rPr>
      </w:pPr>
      <w:r>
        <w:rPr>
          <w:rStyle w:val="a7"/>
          <w:rtl/>
        </w:rPr>
        <w:footnoteRef/>
      </w:r>
      <w:r>
        <w:rPr>
          <w:rtl/>
        </w:rPr>
        <w:t xml:space="preserve"> </w:t>
      </w:r>
      <w:r>
        <w:rPr>
          <w:b/>
          <w:bCs/>
          <w:rtl/>
        </w:rPr>
        <w:t>מלכות קדישא איהי מסט' כו'.</w:t>
      </w:r>
      <w:r>
        <w:rPr>
          <w:rtl/>
        </w:rPr>
        <w:t xml:space="preserve"> רוצה לומר הצלותא הוא מסטרא דשמאלא, נוק' דבה, ואורייתא הוא מסטרא דימינא, (דברים לג ב) מימינו כו', בסטרא דדכורא, ואמר אבן שלמה וצדק כו' דצדק הוא מסטרא דשמאלא וכמו שאומר לעיל נ' ב' וכל ספירן על שמה כו':</w:t>
      </w:r>
    </w:p>
  </w:footnote>
  <w:footnote w:id="3203">
    <w:p w:rsidR="00A13282" w:rsidRDefault="00A13282" w:rsidP="002D629A">
      <w:pPr>
        <w:pStyle w:val="a5"/>
        <w:rPr>
          <w:rtl/>
        </w:rPr>
      </w:pPr>
      <w:r>
        <w:rPr>
          <w:rStyle w:val="a7"/>
          <w:rtl/>
        </w:rPr>
        <w:footnoteRef/>
      </w:r>
      <w:r>
        <w:rPr>
          <w:rtl/>
        </w:rPr>
        <w:t xml:space="preserve"> </w:t>
      </w:r>
      <w:r>
        <w:rPr>
          <w:b/>
          <w:bCs/>
          <w:rtl/>
        </w:rPr>
        <w:t>מן הנחל כו'.</w:t>
      </w:r>
      <w:r>
        <w:rPr>
          <w:rtl/>
        </w:rPr>
        <w:t xml:space="preserve"> רוצה לומר חמשה חסדים דמקבל יסוד מהן, ונעשה במלכות אחד, דבה נצטייר באחד ולכן תפילין של יד באחד, והוא באחד דשמע כמו שמפרש והולך, ובאמת אחד הוא ביסוד דהוא הנחל וביה גם כן נעשין אחד כד לקח לון ביד אחת, אבל לא כאשר במלכות דשם נעשה אחד ממש, ורוצה לומר דלכן כתיב ותטבע האבן במצחו דנעשה אבן אחד, והוא בד' של אחד, דא"ח הוא יסוד כולל ט' ספירות, ובקוצו של ד' אות ברית דמחבר א"ח עם ד', ובד' - שם כל הקבלת מלכות שמים, והארכה, וממליכין שם על כל העולם כולו, וזהו (צפניה ג ט) כי אז אהפוך כו' - הכל שם, והוא שחיטתו של ס"א כמו שאומר לעיל בהקדמה וכמו שאומר למטה, (תהלים קג יט) ומלכותו בכל משלה, ויהיו שפה אחת כמקדם הכל שפה - שכינה תחת ידה כמו שמפרש והולך:</w:t>
      </w:r>
    </w:p>
  </w:footnote>
  <w:footnote w:id="3204">
    <w:p w:rsidR="00A13282" w:rsidRDefault="00A13282" w:rsidP="002D629A">
      <w:pPr>
        <w:pStyle w:val="a5"/>
        <w:rPr>
          <w:rtl/>
        </w:rPr>
      </w:pPr>
      <w:r>
        <w:rPr>
          <w:rStyle w:val="a7"/>
          <w:rtl/>
        </w:rPr>
        <w:footnoteRef/>
      </w:r>
      <w:r>
        <w:rPr>
          <w:rtl/>
        </w:rPr>
        <w:t xml:space="preserve"> </w:t>
      </w:r>
      <w:r>
        <w:rPr>
          <w:b/>
          <w:bCs/>
          <w:rtl/>
        </w:rPr>
        <w:t>זכאה איהו מאן כו'.</w:t>
      </w:r>
      <w:r>
        <w:rPr>
          <w:rtl/>
        </w:rPr>
        <w:t xml:space="preserve"> רוצה לומר אמונת היחוד וקבלת עול מלכותו תמיד כמו שאמרו (משנה ברכות ב ה) איני שומע לכם לבטל ממני כו'. ואמר </w:t>
      </w:r>
      <w:r>
        <w:rPr>
          <w:b/>
          <w:bCs/>
          <w:rtl/>
        </w:rPr>
        <w:t>בלביה ובפומיה.</w:t>
      </w:r>
      <w:r>
        <w:rPr>
          <w:rtl/>
        </w:rPr>
        <w:t xml:space="preserve"> כמו שכתוב והיו הדברים האלה כו' ושננתם כו', והוא מלכות, קבלת מלכות שמים, וזה שאומר דודאי איהי אמונה כו' ואיהי כו' ואמר וזכאה איהו כו' רוצה לומר כאשר כתוב באסתר כאשר היתה באמנה אתו אע"ג דהיתה ברשות אחשורוש ועיין לעיל נ' א' ביה איהי נטירא ועליה אתמר ויהי אמן כו' ואיהי אמונה דיליה ודא כו' א"ח נטיר ד' כו' עיין שם בדבריו. ואמר דלא דחיל כו' כמו שנבאר שם דיו"ד דשדי נטיר לי' קוצא של ד' דאחד עיין שם. ואמר דבגינה כו' רוצה לומר בשביל ההיא אמונה כמו שכתוב לעבד"ה ולשמר"ה בה"א עליה וכמו שמפרש והולך איהי גן דיליה ואיהי כו' גן בשכינתא תתאה ועדן כד סליקא ונקראת אימא כמו שאמרו (שמות רבה נב) לא זז מחבבה כו':</w:t>
      </w:r>
    </w:p>
  </w:footnote>
  <w:footnote w:id="3205">
    <w:p w:rsidR="00A13282" w:rsidRDefault="00A13282" w:rsidP="002D629A">
      <w:pPr>
        <w:pStyle w:val="a5"/>
        <w:rPr>
          <w:rtl/>
        </w:rPr>
      </w:pPr>
      <w:r>
        <w:rPr>
          <w:rStyle w:val="a7"/>
          <w:rtl/>
        </w:rPr>
        <w:footnoteRef/>
      </w:r>
      <w:r>
        <w:rPr>
          <w:rtl/>
        </w:rPr>
        <w:t xml:space="preserve"> </w:t>
      </w:r>
      <w:r>
        <w:rPr>
          <w:b/>
          <w:bCs/>
          <w:rtl/>
        </w:rPr>
        <w:t>בשפה דילך.</w:t>
      </w:r>
      <w:r>
        <w:rPr>
          <w:rtl/>
        </w:rPr>
        <w:t xml:space="preserve"> רוצה לומר בצלותא ובאורייתא דהוא בשפה, והוא שפה הנ"ל שכוללת הכל, וזה שאומר בהאי אבנא דאיהי כלילא כו' דאורייתא וצלותא. ואמר איהי אבן יקרה כו' והוא אבן מאסו כו' דסלקא כו' והיא אות ברית כו' כמו שאומר לקמן תיקון ל’ ותיקון ל”ו עיין שם ושאר מקומות:</w:t>
      </w:r>
    </w:p>
  </w:footnote>
  <w:footnote w:id="3206">
    <w:p w:rsidR="00A13282" w:rsidRDefault="00A13282" w:rsidP="002D629A">
      <w:pPr>
        <w:pStyle w:val="a5"/>
        <w:rPr>
          <w:rtl/>
        </w:rPr>
      </w:pPr>
      <w:r>
        <w:rPr>
          <w:rStyle w:val="a7"/>
          <w:rtl/>
        </w:rPr>
        <w:footnoteRef/>
      </w:r>
      <w:r>
        <w:rPr>
          <w:rtl/>
        </w:rPr>
        <w:t xml:space="preserve"> </w:t>
      </w:r>
      <w:r>
        <w:rPr>
          <w:b/>
          <w:bCs/>
          <w:rtl/>
        </w:rPr>
        <w:t>וחוט דיליה.</w:t>
      </w:r>
      <w:r>
        <w:rPr>
          <w:rtl/>
        </w:rPr>
        <w:t xml:space="preserve"> הוא חוט דזרקא ב' דבראשית והוא שית סטרין דמאריכין באחד ועיין לעיל תיקון י”ט מ"ם א' וזה שאומר דבה הוו כורכין כו' ועיין שם בארוכה:</w:t>
      </w:r>
    </w:p>
  </w:footnote>
  <w:footnote w:id="3207">
    <w:p w:rsidR="00A13282" w:rsidRDefault="00A13282" w:rsidP="002D629A">
      <w:pPr>
        <w:pStyle w:val="a5"/>
        <w:rPr>
          <w:rtl/>
        </w:rPr>
      </w:pPr>
      <w:r>
        <w:rPr>
          <w:rStyle w:val="a7"/>
          <w:rtl/>
        </w:rPr>
        <w:footnoteRef/>
      </w:r>
      <w:r>
        <w:rPr>
          <w:rtl/>
        </w:rPr>
        <w:t xml:space="preserve"> </w:t>
      </w:r>
      <w:r>
        <w:rPr>
          <w:b/>
          <w:bCs/>
          <w:rtl/>
        </w:rPr>
        <w:t>ברחימו דאהבה דהיינו כו' בגין כו'.</w:t>
      </w:r>
      <w:r>
        <w:rPr>
          <w:rtl/>
        </w:rPr>
        <w:t xml:space="preserve"> רוצה לומר ואהבת את, את דייקא, ואחד ממליכין לשית סטרין, וכן שית תיבין דשמע בוא"ו בעלה, ולכן היו כורכין ברחימו בגין דתהא כו', והוא האי נקודה אות ברית דהיא תחת בעלה ואח"כ כשבאו האבות והעלו הנקודה כתר על ראשיהם בשלשה כתרים כתר כהונה וכתר כו' תגא בריש אבהן כמו שאומר לעיל נ"ה ב' והן שלש אבנין הנ"ל ולכן אמר יעקב ברוך שם כבוד מלכותו לעולם ועד דהן שלש אבנין הנ"ל וכמו שאמרו בזוהר פרשת תרומה קס"ב א' תפלין דדרועא כללא כו' ורזא דא ברוך כו', שם - דא עלמא דאתי כו', כבוד - דא כבוד עילאה דאיהו ימינא ושמאלא. רוצה לומר דעת, והן חב"ד והן תלת אבהן כמו שאמרו בזוהר פרשת שמות י"ד ב' עבד לאברהם ברזא דחכמה כו' ויעקב כליל תלת אבהן, דעמודא דאמצעיתא כליל ימינא ושמאלא, ולכן אמר ברוך שם כבוד מלכותו לעולם ועד, וזה שאומר ולבתר דאתא יעקב כליל כו' התיר כו' דסליק לה למעלה בשלשה כתרים. ואמר בגין דאיהי סגולת כו' רוצה לומר וזהו שופר הולך סגולתא כמו שמפרש והולך, דבתחילה - זרקא, ההיא אבנא הנ"ל כריכא בחוט דזרקא, ואח"כ - שופר הולך סגולתא דהולך היא לעשות סגולתא וכמו שכתוב והייתם לי סגולה שהן שלשה כתרים וכמו שבארנו במקום אחר בארוכה:</w:t>
      </w:r>
    </w:p>
  </w:footnote>
  <w:footnote w:id="3208">
    <w:p w:rsidR="00A13282" w:rsidRDefault="00A13282" w:rsidP="002D629A">
      <w:pPr>
        <w:pStyle w:val="a5"/>
        <w:rPr>
          <w:rtl/>
        </w:rPr>
      </w:pPr>
      <w:r>
        <w:rPr>
          <w:rStyle w:val="a7"/>
          <w:rtl/>
        </w:rPr>
        <w:footnoteRef/>
      </w:r>
      <w:r>
        <w:rPr>
          <w:rtl/>
        </w:rPr>
        <w:t xml:space="preserve"> </w:t>
      </w:r>
      <w:r>
        <w:rPr>
          <w:b/>
          <w:bCs/>
          <w:rtl/>
        </w:rPr>
        <w:t>שית ספרי תורה.</w:t>
      </w:r>
      <w:r>
        <w:rPr>
          <w:rtl/>
        </w:rPr>
        <w:t xml:space="preserve"> ועיין לקמן תיקון כ”ה ורוצה לומר דעמודא דאמצעיתא הוא תורה, ו', דכליל שית ספרים והוא שית תיבין דשמע ישראל, ואיהי סלקא בברוך שם כבוד מלכותו לעולם ועד - כתרא על גבו, כתרא ותגא דספר תורה, ועיין להלן וספר תורה עמודא דאמצעיתא כליל שית כו' וכמו שאומר למטה:</w:t>
      </w:r>
    </w:p>
  </w:footnote>
  <w:footnote w:id="3209">
    <w:p w:rsidR="00A13282" w:rsidRDefault="00A13282" w:rsidP="002D629A">
      <w:pPr>
        <w:pStyle w:val="a5"/>
        <w:rPr>
          <w:rtl/>
        </w:rPr>
      </w:pPr>
      <w:r>
        <w:rPr>
          <w:rStyle w:val="a7"/>
          <w:rtl/>
        </w:rPr>
        <w:footnoteRef/>
      </w:r>
      <w:r>
        <w:rPr>
          <w:rtl/>
        </w:rPr>
        <w:t xml:space="preserve"> </w:t>
      </w:r>
      <w:r>
        <w:rPr>
          <w:b/>
          <w:bCs/>
          <w:rtl/>
        </w:rPr>
        <w:t>בכל את כו'.</w:t>
      </w:r>
      <w:r>
        <w:rPr>
          <w:rtl/>
        </w:rPr>
        <w:t xml:space="preserve"> ובכל אחד שלשה תגין, שלשה כתרין הנ"ל, ושבע אתוון הן כמו שמפרש והולך, דעמודא דאמצעיתא הוא ו' - כליל שית ספרים כנ"ל שית סטרין כמו שאומר למטה וספר תורה עמודא דאמצעיתא כליל שית ספירן, והיא - נקודה בראשו, י' על גבי ו' ונעשית ז', ולכן היא תגא על שבע אתוון, וכן התגין בעצמן הן זיינין:</w:t>
      </w:r>
    </w:p>
  </w:footnote>
  <w:footnote w:id="3210">
    <w:p w:rsidR="00A13282" w:rsidRDefault="00A13282" w:rsidP="002D629A">
      <w:pPr>
        <w:pStyle w:val="a5"/>
        <w:rPr>
          <w:rtl/>
        </w:rPr>
      </w:pPr>
      <w:r>
        <w:rPr>
          <w:rStyle w:val="a7"/>
          <w:rtl/>
        </w:rPr>
        <w:footnoteRef/>
      </w:r>
      <w:r>
        <w:rPr>
          <w:rtl/>
        </w:rPr>
        <w:t xml:space="preserve"> </w:t>
      </w:r>
      <w:r>
        <w:rPr>
          <w:b/>
          <w:bCs/>
          <w:rtl/>
        </w:rPr>
        <w:t>דאינון ז' רועין.</w:t>
      </w:r>
      <w:r>
        <w:rPr>
          <w:rtl/>
        </w:rPr>
        <w:t xml:space="preserve"> ידוע, שבע ספירות, ואמר ואינון שבע כו' כמו שאמרו בזוהר חדש ריש שיר השירים שבע דידה ושבע דידיה, ורוצה לומר דזה שאומר פעם לשון זכר - שבעה עינים, ופעמים לשון נקבה - עיני ה' המה משוטטות כו', וזה שאומר ורזא כו':</w:t>
      </w:r>
    </w:p>
  </w:footnote>
  <w:footnote w:id="3211">
    <w:p w:rsidR="00A13282" w:rsidRDefault="00A13282" w:rsidP="002D629A">
      <w:pPr>
        <w:pStyle w:val="a5"/>
        <w:rPr>
          <w:rtl/>
        </w:rPr>
      </w:pPr>
      <w:r>
        <w:rPr>
          <w:rStyle w:val="a7"/>
          <w:rtl/>
        </w:rPr>
        <w:footnoteRef/>
      </w:r>
      <w:r>
        <w:rPr>
          <w:rtl/>
        </w:rPr>
        <w:t xml:space="preserve"> </w:t>
      </w:r>
      <w:r>
        <w:rPr>
          <w:b/>
          <w:bCs/>
          <w:rtl/>
        </w:rPr>
        <w:t>לקבל שמא דמ"ב.</w:t>
      </w:r>
      <w:r>
        <w:rPr>
          <w:rtl/>
        </w:rPr>
        <w:t xml:space="preserve"> דכליל בתגא דזרקא כמו שאומר לעיל נ"ח ד', וזה שאומר תגא איהו י' על כו':</w:t>
      </w:r>
    </w:p>
  </w:footnote>
  <w:footnote w:id="3212">
    <w:p w:rsidR="00A13282" w:rsidRDefault="00A13282" w:rsidP="002D629A">
      <w:pPr>
        <w:pStyle w:val="a5"/>
        <w:rPr>
          <w:rtl/>
        </w:rPr>
      </w:pPr>
      <w:r>
        <w:rPr>
          <w:rStyle w:val="a7"/>
          <w:rtl/>
        </w:rPr>
        <w:footnoteRef/>
      </w:r>
      <w:r>
        <w:rPr>
          <w:rtl/>
        </w:rPr>
        <w:t xml:space="preserve"> </w:t>
      </w:r>
      <w:r>
        <w:rPr>
          <w:b/>
          <w:bCs/>
          <w:rtl/>
        </w:rPr>
        <w:t>בה אתעבדת כו'.</w:t>
      </w:r>
      <w:r>
        <w:rPr>
          <w:rtl/>
        </w:rPr>
        <w:t xml:space="preserve"> דהיא אות ברית, אות דשבת, כמו שבארנו, ואות ברית הוא עטרה בראש צדיק דהוא יו"ד דעטרה על גבי ו' צדיק, והוא צורת ז':</w:t>
      </w:r>
    </w:p>
  </w:footnote>
  <w:footnote w:id="3213">
    <w:p w:rsidR="00A13282" w:rsidRDefault="00A13282" w:rsidP="002D629A">
      <w:pPr>
        <w:pStyle w:val="a5"/>
        <w:rPr>
          <w:rtl/>
        </w:rPr>
      </w:pPr>
      <w:r>
        <w:rPr>
          <w:rStyle w:val="a7"/>
          <w:rtl/>
        </w:rPr>
        <w:footnoteRef/>
      </w:r>
      <w:r>
        <w:rPr>
          <w:rtl/>
        </w:rPr>
        <w:t xml:space="preserve"> </w:t>
      </w:r>
      <w:r>
        <w:rPr>
          <w:b/>
          <w:bCs/>
          <w:rtl/>
        </w:rPr>
        <w:t>ואיהי כתר תורה וכתר כהונה וכתר מלכות כו'.</w:t>
      </w:r>
      <w:r>
        <w:rPr>
          <w:rtl/>
        </w:rPr>
        <w:t xml:space="preserve"> רוצה לומר אלו השלשה כתרין, שלשה זיינין הנ"ל, שלשה כתרים הנ"ל:</w:t>
      </w:r>
    </w:p>
  </w:footnote>
  <w:footnote w:id="3214">
    <w:p w:rsidR="00A13282" w:rsidRDefault="00A13282" w:rsidP="002D629A">
      <w:pPr>
        <w:pStyle w:val="a5"/>
        <w:rPr>
          <w:rtl/>
        </w:rPr>
      </w:pPr>
      <w:r>
        <w:rPr>
          <w:rStyle w:val="a7"/>
          <w:rtl/>
        </w:rPr>
        <w:footnoteRef/>
      </w:r>
      <w:r>
        <w:rPr>
          <w:rtl/>
        </w:rPr>
        <w:t xml:space="preserve"> </w:t>
      </w:r>
      <w:r>
        <w:rPr>
          <w:b/>
          <w:bCs/>
          <w:rtl/>
        </w:rPr>
        <w:t>מסטרא דימינא דאתייהיבת כו' ב"ד הגדול כו'.</w:t>
      </w:r>
      <w:r>
        <w:rPr>
          <w:rtl/>
        </w:rPr>
        <w:t xml:space="preserve"> משובש מאד, וכן חסר כמה, ומתחיל אח"כ ועוד תיקונא חמישאה, אבל הענין הוא כי כתר כהונה - מסטרא דימינא כידוע, וכתר תורה - מסטרא דעמודא דאמצעיתא כנ"ל ספר תורה כליל כו' ועיין לקמן ריש תיקון כ”ה, וכתר מלכות - מסטרא דשמאלא ועיין לקמן ריש תיקון נ”ה מלכיות מסטרא דמלכות כו' מסטרא דשמאלא מלך על כל הארץ אלקים ודא לבא לשמאלא מלכות כו' עיין שם בדבריו, והכל בעמודא דאמצעיתא וזה שאומר מסטריה איהו כתר כהונה ועמודא דאמצעיתא איהו מלך מסטרא דגבורה כו', ומכל מקום כל אחד כלול משלשתם דכהונה אע"ג דהוא בימינא מכל מקום נכלל גם כן בשמאלא כמו שמפרש והולך ומסטרא דגבורה בית דין הגדול וכד כהנא כו' יתערון לוים בנגונא וכן ישראל במעמדם וכמו שאמרו (ילקוט שמעוני דברי הימים ב פרק כט המשך סי' תרפה) כהנים ולוים וישראלים מעכבין את הקרבן. ואמר נפיק אשא כו' - כשלא היה נזהר כהלכתו, אלמא שעבודתו היה בדין, וכן בית דין הגדול יושבת בשבילם בלשכת הגזית ודנה את הכהונה, ומלכות - אע"ג דהוא משמאלא מכל מקום והוכן בחסד  כסא (ישעיהו טז ה), (תהלים ט ח) כונן למשפט כסאו, ומשפט ידוע שהוא בעמודא דאמצעיתא, ותורה נאמר (דברים לג ב) מימינו אש - שהוא חו"ג, וכמו שאמרו בזוהר פרשת יתרו פ"ד ב' עיין שם בדבריו, ונאמר (שם) דת למו, דת - הוא עמודא דאמצעיתא, דת בע' אנפין - הוא דעת, יודעי תרועה - תורה בע' אנפין:</w:t>
      </w:r>
    </w:p>
  </w:footnote>
  <w:footnote w:id="3215">
    <w:p w:rsidR="00A13282" w:rsidRDefault="00A13282" w:rsidP="002D629A">
      <w:pPr>
        <w:pStyle w:val="a5"/>
        <w:rPr>
          <w:rtl/>
        </w:rPr>
      </w:pPr>
      <w:r>
        <w:rPr>
          <w:rStyle w:val="a7"/>
          <w:rtl/>
        </w:rPr>
        <w:footnoteRef/>
      </w:r>
      <w:r>
        <w:rPr>
          <w:rtl/>
        </w:rPr>
        <w:t xml:space="preserve"> </w:t>
      </w:r>
      <w:r>
        <w:rPr>
          <w:b/>
          <w:bCs/>
          <w:rtl/>
        </w:rPr>
        <w:t>ועוד אית תיקונא כו'.</w:t>
      </w:r>
      <w:r>
        <w:rPr>
          <w:rtl/>
        </w:rPr>
        <w:t xml:space="preserve"> למעלה אמר ד' תפלות ותורה החמישית אבל כאן אמר שהתפלות - כללן שלשה הקבועין בכל יום נגד ג' אבהן (יק"ו) כמו שאמרו (ברכות כו ע"ב) אבות תיקנום כו', ורביעית - הוא התורה כמו שמפרש והולך והוא ארבע אותיות הוי"ה, ארבע חיות כמו שמפרש והולך ת"ח כו'. ואמר </w:t>
      </w:r>
      <w:r>
        <w:rPr>
          <w:b/>
          <w:bCs/>
          <w:rtl/>
        </w:rPr>
        <w:t>לקבל אריה כו'.</w:t>
      </w:r>
      <w:r>
        <w:rPr>
          <w:rtl/>
        </w:rPr>
        <w:t xml:space="preserve"> כמו שאמרו בזוהר פרשת פנחס ר"מ ב' סתרא דקרבנין דא איהו סתרא למאנין קדישין ד' דיוקנין חקוקין בכסא ודא איהו כורסיא דמלכא קדישא, פני שור פני נשר פני אריה פני אדם דכליל לכלהו כו' עיין שם בדבריו, וכן הוא התורה כאן דכליל לכלהו, והתחיל שם מפני שור כסדר שנא"ן ועיין מה שבארנו במקום אחר שכן הילוכם, ואמר שם דשור ונשר הוא בקרבנא אבל אדם ואריה אינן אלא מקבלי הקרבן. והענין כי השור הוא בצפון וצריך הוא להתקרב ולכן כל הקרבנות שחיטתן בצפון ולהכלל בחסד, וכן הנשר במערב להכלל גם כן באדם, וכן התקיעות של המסעות לא היו אלא במזרח ובדרום ומערב וצפון נכללין בהן כמו שכתוב (במדבר י ה,ו) ותקעתם תרועה ונסעו כו' ותקעתם תרועה שנית כו', ואף שיש חולקין בספרי, ועיין בזוהר פרשת בהעלותך קנ"ה ע"א תא חזי שתי חצוצרות בגין דאינון מתרי סטרי דקאמרי ממזרח ומדרום כו' ואף לדעת יש חולקין לא נזכר בכתוב:</w:t>
      </w:r>
    </w:p>
  </w:footnote>
  <w:footnote w:id="3216">
    <w:p w:rsidR="00A13282" w:rsidRDefault="00A13282" w:rsidP="002D629A">
      <w:pPr>
        <w:pStyle w:val="a5"/>
        <w:rPr>
          <w:rtl/>
        </w:rPr>
      </w:pPr>
      <w:r>
        <w:rPr>
          <w:rStyle w:val="a7"/>
          <w:rtl/>
        </w:rPr>
        <w:footnoteRef/>
      </w:r>
      <w:r>
        <w:rPr>
          <w:rtl/>
        </w:rPr>
        <w:t xml:space="preserve"> </w:t>
      </w:r>
      <w:r>
        <w:rPr>
          <w:b/>
          <w:bCs/>
          <w:rtl/>
        </w:rPr>
        <w:t>קרבנין דהוו כו'.</w:t>
      </w:r>
      <w:r>
        <w:rPr>
          <w:rtl/>
        </w:rPr>
        <w:t xml:space="preserve"> רוצה לומר דאף שהכהנים מקריבין - מכל מקום הקרבן הוי בישראל, וכהנים שליחותייהו קא עבדין ורוצה לומר לכן התפלה מוטל על הכל:</w:t>
      </w:r>
    </w:p>
  </w:footnote>
  <w:footnote w:id="3217">
    <w:p w:rsidR="00A13282" w:rsidRDefault="00A13282" w:rsidP="002D629A">
      <w:pPr>
        <w:pStyle w:val="a5"/>
        <w:rPr>
          <w:rtl/>
        </w:rPr>
      </w:pPr>
      <w:r>
        <w:rPr>
          <w:rStyle w:val="a7"/>
          <w:rtl/>
        </w:rPr>
        <w:footnoteRef/>
      </w:r>
      <w:r>
        <w:rPr>
          <w:rtl/>
        </w:rPr>
        <w:t xml:space="preserve"> </w:t>
      </w:r>
      <w:r>
        <w:rPr>
          <w:b/>
          <w:bCs/>
          <w:rtl/>
        </w:rPr>
        <w:t>קרבנא קדמאה כו'.</w:t>
      </w:r>
      <w:r>
        <w:rPr>
          <w:rtl/>
        </w:rPr>
        <w:t xml:space="preserve"> נגד תפלת אברהם - בקר אור (בראשית מד ג):</w:t>
      </w:r>
    </w:p>
  </w:footnote>
  <w:footnote w:id="3218">
    <w:p w:rsidR="00A13282" w:rsidRDefault="00A13282" w:rsidP="002D629A">
      <w:pPr>
        <w:pStyle w:val="a5"/>
        <w:rPr>
          <w:rtl/>
        </w:rPr>
      </w:pPr>
      <w:r>
        <w:rPr>
          <w:rStyle w:val="a7"/>
          <w:rtl/>
        </w:rPr>
        <w:footnoteRef/>
      </w:r>
      <w:r>
        <w:rPr>
          <w:rtl/>
        </w:rPr>
        <w:t xml:space="preserve"> </w:t>
      </w:r>
      <w:r>
        <w:rPr>
          <w:b/>
          <w:bCs/>
          <w:rtl/>
        </w:rPr>
        <w:t>ודא מיכאל.</w:t>
      </w:r>
      <w:r>
        <w:rPr>
          <w:rtl/>
        </w:rPr>
        <w:t xml:space="preserve"> שהוא אריה דכסא והוא אריה דמזבח דהאש רבוץ כאריה:</w:t>
      </w:r>
    </w:p>
  </w:footnote>
  <w:footnote w:id="3219">
    <w:p w:rsidR="00A13282" w:rsidRDefault="00A13282" w:rsidP="002D629A">
      <w:pPr>
        <w:pStyle w:val="a5"/>
        <w:rPr>
          <w:rtl/>
        </w:rPr>
      </w:pPr>
      <w:r>
        <w:rPr>
          <w:rStyle w:val="a7"/>
          <w:rtl/>
        </w:rPr>
        <w:footnoteRef/>
      </w:r>
      <w:r>
        <w:rPr>
          <w:rtl/>
        </w:rPr>
        <w:t xml:space="preserve"> </w:t>
      </w:r>
      <w:r>
        <w:rPr>
          <w:b/>
          <w:bCs/>
          <w:rtl/>
        </w:rPr>
        <w:t>ואם לא זכו מה כו'.</w:t>
      </w:r>
      <w:r>
        <w:rPr>
          <w:rtl/>
        </w:rPr>
        <w:t xml:space="preserve"> וזה שאמרו (משנה ברכות ה ה) אם שגורה כו' שהוא מקובל ואם לאו יודע אני שהוא מטורף, אמר מטורף כמו שאמרו כאן איהו הוה מקבל כו' דחשיב ליה כטריפה וכמו שאמרו (ברכות ה ע"ב) טורפין תפלתו בפניו שנאמר טורף נפשו כו', ונפשו הוא התפלה כמו שכתוב ואשפוך את נפשי. וזה שאומר</w:t>
      </w:r>
    </w:p>
  </w:footnote>
  <w:footnote w:id="3220">
    <w:p w:rsidR="00A13282" w:rsidRDefault="00A13282" w:rsidP="002D629A">
      <w:pPr>
        <w:pStyle w:val="a5"/>
        <w:rPr>
          <w:rtl/>
        </w:rPr>
      </w:pPr>
      <w:r>
        <w:rPr>
          <w:rStyle w:val="a7"/>
          <w:rtl/>
        </w:rPr>
        <w:footnoteRef/>
      </w:r>
      <w:r>
        <w:rPr>
          <w:rtl/>
        </w:rPr>
        <w:t xml:space="preserve"> </w:t>
      </w:r>
      <w:r>
        <w:rPr>
          <w:b/>
          <w:bCs/>
          <w:rtl/>
        </w:rPr>
        <w:t>ובג"ד הוה נחית דיוקנא כו'.</w:t>
      </w:r>
      <w:r>
        <w:rPr>
          <w:rtl/>
        </w:rPr>
        <w:t xml:space="preserve"> כמו שאמרו (יומא כא ע"ב) א"ר חנינא סגן הכהנים אני ראיתי כו', וכמו שאמרו בזוהר פרשת בראשית ו' ב' בזמנין קדמאין כד האי נהר כו' הוה נחית מעילא דיוקנא דחד אריה והוו חמאן ליה ע"ג מדבחא רביץ על טרפיה אכיל קרבנין כגיבר תקיף וכל כלבין הוו מתטמרין קמיה ולא נפקו לבר, כיון דגרמו חובין כו' ושדרת לחד כלבא למיכל קרבנין כו', ואע"ג דקאמר שם דהוא אוריא"ל, לא קשיא היודע בסידור הדגלים ובחינתם בכל מקום. וההיפוכא לקביל אריה דג' חיות אלו הם נגד חיות ובהמות ועופות, כלל החי, ואדם על כולם וכמו שכתוב אשירה לה' כי גאה גאה כו' ולפיכך אינון בהיפוכא דלהון, נץ הטורף נגד נשר, וחמור נגד שור, וכלב שהוא חיה כדעת תנא קמא נגד אריה, ואריה הוא מלכא דכל החיות וכלב הוא השפל שבכולם, והוא עז פנים כמו שכתוב (ישעיהו נו יא) והכלבים עזי נפש אלא שמתטמר מפני אריה כנ"ל:</w:t>
      </w:r>
    </w:p>
  </w:footnote>
  <w:footnote w:id="3221">
    <w:p w:rsidR="00A13282" w:rsidRDefault="00A13282" w:rsidP="002D629A">
      <w:pPr>
        <w:pStyle w:val="a5"/>
        <w:rPr>
          <w:rtl/>
        </w:rPr>
      </w:pPr>
      <w:r>
        <w:rPr>
          <w:rStyle w:val="a7"/>
          <w:rtl/>
        </w:rPr>
        <w:footnoteRef/>
      </w:r>
      <w:r>
        <w:rPr>
          <w:rtl/>
        </w:rPr>
        <w:t xml:space="preserve"> </w:t>
      </w:r>
      <w:r>
        <w:rPr>
          <w:b/>
          <w:bCs/>
          <w:rtl/>
        </w:rPr>
        <w:t>ודא איהו כו' הצילה כו'.</w:t>
      </w:r>
      <w:r>
        <w:rPr>
          <w:rtl/>
        </w:rPr>
        <w:t xml:space="preserve"> עיין לקמן תיקון ל”ז, פ"א ב':</w:t>
      </w:r>
    </w:p>
  </w:footnote>
  <w:footnote w:id="3222">
    <w:p w:rsidR="00A13282" w:rsidRDefault="00A13282" w:rsidP="002D629A">
      <w:pPr>
        <w:pStyle w:val="a5"/>
        <w:rPr>
          <w:rtl/>
        </w:rPr>
      </w:pPr>
      <w:r>
        <w:rPr>
          <w:rStyle w:val="a7"/>
          <w:rtl/>
        </w:rPr>
        <w:footnoteRef/>
      </w:r>
      <w:r>
        <w:rPr>
          <w:rtl/>
        </w:rPr>
        <w:t xml:space="preserve"> </w:t>
      </w:r>
      <w:r>
        <w:rPr>
          <w:b/>
          <w:bCs/>
          <w:rtl/>
        </w:rPr>
        <w:t>וכל מלאכי כו' במשמרה תניינא.</w:t>
      </w:r>
      <w:r>
        <w:rPr>
          <w:rtl/>
        </w:rPr>
        <w:t xml:space="preserve"> כי ד' משמרות הלילה נגד אלו ד', ואף כפי מה דקיי"ל שלש משמרות הלילה - מכל מקום נחלקין לארבע, דמשמרה שניה אינה אלא שתי שעות עד חצי הלילה כמו שאמרו בזוהר ובזוהר חדש, וחצי לילה הראשונה דוחפים לההוא ס"א לזה העולם ושליטתן אז ולכן במשמרה הראשונה חמור נוער נגד שור, ושניה כלבים נגד אריה, דהתעוררות הלילה תחלה מצד שמאל ומתבסם והולך, מה שאין כן ביום דהוא להיפוך, ובחצי הלילה אז יעקב בא לגן עדן ורקיד כנשר יעיר קנו על גוזליו ירחף (דברים לב יא), ויעיר הוא שמעורר כל בני העולם לקום לעבודת בוראו, ועל זה אמרו הוי קל כנשר כו', ובמשמרה אחרונה תינוק יונק משדי אמו והוא דרגא דאדם, ובשני אלו הקדושה שולט ועיין ברעיא מהימנא פרשת בא מ"א ב' וכד זכוון נפישין רוחא תבר תרין משמרות חמור נוער וכלבים צועקים וסליק למשמרה דאדם כו' וסליק לדרגא דאדם כו':</w:t>
      </w:r>
    </w:p>
  </w:footnote>
  <w:footnote w:id="3223">
    <w:p w:rsidR="00A13282" w:rsidRDefault="00A13282" w:rsidP="002D629A">
      <w:pPr>
        <w:pStyle w:val="a5"/>
        <w:rPr>
          <w:rtl/>
        </w:rPr>
      </w:pPr>
      <w:r>
        <w:rPr>
          <w:rStyle w:val="a7"/>
          <w:rtl/>
        </w:rPr>
        <w:footnoteRef/>
      </w:r>
      <w:r>
        <w:rPr>
          <w:rtl/>
        </w:rPr>
        <w:t xml:space="preserve"> </w:t>
      </w:r>
      <w:r>
        <w:rPr>
          <w:b/>
          <w:bCs/>
          <w:rtl/>
        </w:rPr>
        <w:t>אינון דצווחין כו' מסטרא דגיהנם כו'.</w:t>
      </w:r>
      <w:r>
        <w:rPr>
          <w:rtl/>
        </w:rPr>
        <w:t xml:space="preserve"> רוצה לומר דגן עדן הוא בסטרא דחסד כידוע והן היפוכא דלהון ואמר בזוהר פרשת בהעלותך שם כד געי האי אריה כו' נהר דינור מתלהטא ונחית באלף ות"ק דרגין דגיהנם לתתא כדין כולהו כו', והוא במרה גיהנם כמו שאומר לקמן ב' ואית לה שתי פיות כמו שאומר לקמן והן שתי בנות לוט כמו שאמרו ברעיא מהימנא פרשת וירא:</w:t>
      </w:r>
    </w:p>
  </w:footnote>
  <w:footnote w:id="3224">
    <w:p w:rsidR="00A13282" w:rsidRDefault="00A13282" w:rsidP="002D629A">
      <w:pPr>
        <w:pStyle w:val="a5"/>
        <w:rPr>
          <w:rtl/>
        </w:rPr>
      </w:pPr>
      <w:r>
        <w:rPr>
          <w:rStyle w:val="a7"/>
          <w:rtl/>
        </w:rPr>
        <w:footnoteRef/>
      </w:r>
      <w:r>
        <w:rPr>
          <w:rtl/>
        </w:rPr>
        <w:t xml:space="preserve"> </w:t>
      </w:r>
      <w:r>
        <w:rPr>
          <w:b/>
          <w:bCs/>
          <w:rtl/>
        </w:rPr>
        <w:t>ולקבליה צלותא דמנחה.</w:t>
      </w:r>
      <w:r>
        <w:rPr>
          <w:rtl/>
        </w:rPr>
        <w:t xml:space="preserve"> תפלת יצחק, ויצא יצחק לשוח בשדה כו' (בראשית כד סג) - לעבודת השדה כמו שמפרש והולך דאמר דוד עלה מצמיח חציר לבהמה (תהלים קד יד), והוא כמו שאמרו בזוהר פרשת בראשית י"ח ב' ורזא דא מצמיח חציר לבהמה וגו' דא בהמה דרביעא על אלף טורין ומגדלין לה בכל יומא ההוא חציר וחציר דא אינון מלאכין שליטין לפום שעתא דאתבריאו וקיימין למיכלא דהאי בהמה בגין דאית אשא אכלא אשא ועשב לעבודת כו', וכן בזוהר פרשת פנחס רי"ז א' ר"ח פתח כו' והוא בשמאלא דאתבריאו בשני, ובהמה הוא השור בשמאלא ואכיל לון אשא אכלא אשא, ובזוהר פרשת בהעלותך קנ"ד ב' אמר דגלא תליתאה שור כו' כד צחי אזיל לגבי ההוא נהר דינור ושאיב ליה בגמיעא חדא כו', וסבירא ליה כקושית הגמ' (ב"ב עד ע"ב) האי בבהמות בהררי אלף כתיב, יבטח כי יגיח כו' בהמות אשר עשיתי עמך כבקר יאכל חציר, חציר הנ"ל ואמר שם אשא אכלא אשא:</w:t>
      </w:r>
    </w:p>
  </w:footnote>
  <w:footnote w:id="3225">
    <w:p w:rsidR="00A13282" w:rsidRDefault="00A13282" w:rsidP="002D629A">
      <w:pPr>
        <w:pStyle w:val="a5"/>
        <w:rPr>
          <w:rtl/>
        </w:rPr>
      </w:pPr>
      <w:r>
        <w:rPr>
          <w:rStyle w:val="a7"/>
          <w:rtl/>
        </w:rPr>
        <w:footnoteRef/>
      </w:r>
      <w:r>
        <w:rPr>
          <w:rtl/>
        </w:rPr>
        <w:t xml:space="preserve"> </w:t>
      </w:r>
      <w:r>
        <w:rPr>
          <w:b/>
          <w:bCs/>
          <w:rtl/>
        </w:rPr>
        <w:t>ואינון ע"ב שמהן לבושין כו'.</w:t>
      </w:r>
      <w:r>
        <w:rPr>
          <w:rtl/>
        </w:rPr>
        <w:t xml:space="preserve"> רוצה לומר כמו שאמרו בזוהר חדש שיר השירים נ"ד ב' דודיך אלו שבעין ממנין דסחרין כורסייא קדישא כו' וכולהו מיין מאינון שבעים שמהן דאינון נהירין טמירין דהא אינון שבעין דסחרין כורסייא קדישא לתתא מאינון שבעין פנימאין נהירין כלהו ונצצי כו' ואינון שבעין שמהן דאתקרי בהו קוב"ה ברזא וסתרא דא"ב דאינון כ"ב אתוון כו', וזה שאומר כגוונא דעשב דאיהו לבושא דחטה והוא כ"ב אתוון דחטה, כמו שאמרו בזוהר פרשת בלק ומאי חטה כללא דכ"ב אתוון, והוא ע"ב שמהן דנפקין מכ"ב אתוון דהן ע"ב כמו שאמרו בסוף שיר השירים והן ע"ב פרקי המרכבה בנענועא דלהון בכללא דלהון, זה שאומר בסוף ספר יצירה וכרת לו ברית בעשרה אצבעות ידיו ורגליו בברית הלשון והמעור, ואינון ע"ב שמהן נהרין מההוא יין בסטרא דשמאלא והן ענבים חיוורי ואוכמי כמו שאמרו בזוהר פרשת תרומה וכמו שאמרו שם בזוהר חדש שחורה אני ונאוה, ועיין בזוהר פרשת ויצא ובסתרי תורה, וזהו לעבודת האדם - בצלותא, כמו שאמרו בזוהר פרשת בראשית שם ולקמן בסוף תיקון נ”א ומאי לעבודת האדם לית עבודה הכא אלא צלותא כו' ועלה אתמר יצא אדם כו' ולעבודתו עדי ערב דא צלותא דמנחה דאתמר בה ויצא יצחק לשוח כו':</w:t>
      </w:r>
    </w:p>
  </w:footnote>
  <w:footnote w:id="3226">
    <w:p w:rsidR="00A13282" w:rsidRDefault="00A13282" w:rsidP="002D629A">
      <w:pPr>
        <w:pStyle w:val="a5"/>
        <w:rPr>
          <w:rtl/>
        </w:rPr>
      </w:pPr>
      <w:r>
        <w:rPr>
          <w:rStyle w:val="a7"/>
          <w:rtl/>
        </w:rPr>
        <w:footnoteRef/>
      </w:r>
      <w:r>
        <w:rPr>
          <w:rtl/>
        </w:rPr>
        <w:t xml:space="preserve"> </w:t>
      </w:r>
      <w:r>
        <w:rPr>
          <w:b/>
          <w:bCs/>
          <w:rtl/>
        </w:rPr>
        <w:t>ובגין דא להוציא כו'.</w:t>
      </w:r>
      <w:r>
        <w:rPr>
          <w:rtl/>
        </w:rPr>
        <w:t xml:space="preserve"> רוצה לומר בשביל ההיא פנימית דהוא החטה, לחם, והוא נהמא דאורייתא וכן אמר לקמן שם להוציא לחם כו' ואיהו נהמא דאורייתא דאתמר ביה לך אכול כו', ובזוהר פרשת בראשית שם וכל דא להוציא לחם מן הארץ כל תיקונין דב"נ כו' עיין שם, ועיין מה שנבאר לקמן בתיקון נ”א שם, והנה מורה שע"י התפלה נפיק התורה ומתקיים וכמו שאמרו (ברכות לב ע"ב) וכי מאחר שמתפללין תשע שעות ביום תורתן כו' תורתן משתמרת כו', רוצה לומר ע"י שמאריכין בתפלה מתברכת התורה ומשתמרת בקרבם:</w:t>
      </w:r>
    </w:p>
  </w:footnote>
  <w:footnote w:id="3227">
    <w:p w:rsidR="00A13282" w:rsidRDefault="00A13282" w:rsidP="002D629A">
      <w:pPr>
        <w:pStyle w:val="a5"/>
        <w:rPr>
          <w:rtl/>
        </w:rPr>
      </w:pPr>
      <w:r>
        <w:rPr>
          <w:rStyle w:val="a7"/>
          <w:rtl/>
        </w:rPr>
        <w:footnoteRef/>
      </w:r>
      <w:r>
        <w:rPr>
          <w:rtl/>
        </w:rPr>
        <w:t xml:space="preserve"> </w:t>
      </w:r>
      <w:r>
        <w:rPr>
          <w:b/>
          <w:bCs/>
          <w:rtl/>
        </w:rPr>
        <w:t>ולעולם כל קרבנין כו'.</w:t>
      </w:r>
      <w:r>
        <w:rPr>
          <w:rtl/>
        </w:rPr>
        <w:t xml:space="preserve"> הוא לראיה שהוא במנחה, שכל קרבנין דבהמה שחיטתן בצפון לבד השלמים שאין באין על חטא, וכמו שמפרש והולך בגין דמצפון להגין עליהם:</w:t>
      </w:r>
    </w:p>
  </w:footnote>
  <w:footnote w:id="3228">
    <w:p w:rsidR="00A13282" w:rsidRDefault="00A13282" w:rsidP="002D629A">
      <w:pPr>
        <w:pStyle w:val="a5"/>
        <w:rPr>
          <w:rtl/>
        </w:rPr>
      </w:pPr>
      <w:r>
        <w:rPr>
          <w:rStyle w:val="a7"/>
          <w:rtl/>
        </w:rPr>
        <w:footnoteRef/>
      </w:r>
      <w:r>
        <w:rPr>
          <w:rtl/>
        </w:rPr>
        <w:t xml:space="preserve"> </w:t>
      </w:r>
      <w:r>
        <w:rPr>
          <w:b/>
          <w:bCs/>
          <w:rtl/>
        </w:rPr>
        <w:t>דמתמן כו' מלחך ההוא כו' ולבתר דאיהו נטיל דמא כו'.</w:t>
      </w:r>
      <w:r>
        <w:rPr>
          <w:rtl/>
        </w:rPr>
        <w:t xml:space="preserve"> כמו שאמרו בסוף פרשת פקודי רס"ח ב' אר"א האי קץ כל בשר אתהני מאינון קרבנין כו' וכדין ההוא אקרי בהמה בכולא בגו אינון חטאין ובישין והרהורין כגוונא דקרבנא דעזאזל כו' עיין שם, ושם רס"ט א' ותא חזי האי קץ כל בשר כל רעותיה לאו איהו אלא בבשרא תדירו בג"כ תיקונא כו', ובריש פרשת צו כ"ו א' ב' ולבתר מרזא דבהמה אסתפקו ואתזנו לאתקשרא רוחא אחרא דאיהי גו מסאבו כו'. ואמר ובג"ד ל"צ לכסאה כו' רוצה לומר לכן הבהמה אין צריך כיסוי הדם לפי שהוא רזא ודרגא דבהמה כנ"ל לקיימא אם רעב כו' ואף בחולין כו':</w:t>
      </w:r>
    </w:p>
  </w:footnote>
  <w:footnote w:id="3229">
    <w:p w:rsidR="00A13282" w:rsidRDefault="00A13282" w:rsidP="002D629A">
      <w:pPr>
        <w:pStyle w:val="a5"/>
        <w:rPr>
          <w:rtl/>
        </w:rPr>
      </w:pPr>
      <w:r>
        <w:rPr>
          <w:rStyle w:val="a7"/>
          <w:rtl/>
        </w:rPr>
        <w:footnoteRef/>
      </w:r>
      <w:r>
        <w:rPr>
          <w:rtl/>
        </w:rPr>
        <w:t xml:space="preserve"> </w:t>
      </w:r>
      <w:r>
        <w:rPr>
          <w:b/>
          <w:bCs/>
          <w:rtl/>
        </w:rPr>
        <w:t>ולבתר דאיהו נטיל כו'.</w:t>
      </w:r>
      <w:r>
        <w:rPr>
          <w:rtl/>
        </w:rPr>
        <w:t xml:space="preserve"> כמו שאמרו בזוהר פרשת פנחס רכ"ד ב' כבד נטיל בקדמיתא הוא ויותרת דיליה, ס"ם ובת זוגו, וכל אינון ערקין דכבדא כו' וכדין קריב כלא לגבי לב כו' לב קריב לגבי מוחא רעותא כו' מוחא קריב לגבי טמיר מכלא כו' עיין שם בדבריו היטב:</w:t>
      </w:r>
    </w:p>
  </w:footnote>
  <w:footnote w:id="3230">
    <w:p w:rsidR="00A13282" w:rsidRDefault="00A13282" w:rsidP="002D629A">
      <w:pPr>
        <w:pStyle w:val="a5"/>
        <w:rPr>
          <w:rtl/>
        </w:rPr>
      </w:pPr>
      <w:r>
        <w:rPr>
          <w:rStyle w:val="a7"/>
          <w:rtl/>
        </w:rPr>
        <w:footnoteRef/>
      </w:r>
      <w:r>
        <w:rPr>
          <w:rtl/>
        </w:rPr>
        <w:t xml:space="preserve"> </w:t>
      </w:r>
      <w:r>
        <w:rPr>
          <w:b/>
          <w:bCs/>
          <w:rtl/>
        </w:rPr>
        <w:t>חמור נוער.</w:t>
      </w:r>
      <w:r>
        <w:rPr>
          <w:rtl/>
        </w:rPr>
        <w:t xml:space="preserve"> אע"ג דחמור הוא בסטרא דימינא דמסאבו, ישמעאל, שבו לכם פה עם החמור, וכלב - לשמאלא וכמו שאומר לקמן בתיקון ל”ז דהוא רוצח כו' ושאר מקומות, כבר תירצו ברעיא מהימנא דשוי זרעא דאברהם לשמאלא בגלותא דעמלק ההוא רוצח כו' ועל חרבך תחיה, וזרעא דיצחק - ביד ישמעאל:</w:t>
      </w:r>
    </w:p>
  </w:footnote>
  <w:footnote w:id="3231">
    <w:p w:rsidR="00A13282" w:rsidRDefault="00A13282" w:rsidP="002D629A">
      <w:pPr>
        <w:pStyle w:val="a5"/>
        <w:rPr>
          <w:rtl/>
        </w:rPr>
      </w:pPr>
      <w:r>
        <w:rPr>
          <w:rStyle w:val="a7"/>
          <w:rtl/>
        </w:rPr>
        <w:footnoteRef/>
      </w:r>
      <w:r>
        <w:rPr>
          <w:rtl/>
        </w:rPr>
        <w:t xml:space="preserve"> </w:t>
      </w:r>
      <w:r>
        <w:rPr>
          <w:b/>
          <w:bCs/>
          <w:rtl/>
        </w:rPr>
        <w:t>כלומר לא תגרום דאכיל קרבנא שור וחמור.</w:t>
      </w:r>
      <w:r>
        <w:rPr>
          <w:rtl/>
        </w:rPr>
        <w:t xml:space="preserve"> והוא בבינוני, דזכוון וחובין מושכין אותו, חמר גמל, וכמו שאמרו ברעיא מהימנא פרשת צו בענין אשם תלוי, ועיין ברעיא מהימנא פרשת בא מ"א ב' בינוני זה וזה שופטו, בינוני היינו אח דיצר הרע ואח כו' וכד זכוון בינונים כו', ואמר שם דיצר הרע הוא חמור וכן שם מ"ג א' וכל פטר חמור כו' ורוצה לומר כאן שלא תהא תפלתך בחובין אלא כלו זכוון, וכן כל המעשים כל שאור וכל דבש כו' כמו שבארנו במקום אחר:</w:t>
      </w:r>
    </w:p>
  </w:footnote>
  <w:footnote w:id="3232">
    <w:p w:rsidR="00A13282" w:rsidRDefault="00A13282" w:rsidP="002D629A">
      <w:pPr>
        <w:pStyle w:val="a5"/>
        <w:rPr>
          <w:rtl/>
        </w:rPr>
      </w:pPr>
      <w:r>
        <w:rPr>
          <w:rStyle w:val="a7"/>
          <w:rtl/>
        </w:rPr>
        <w:footnoteRef/>
      </w:r>
      <w:r>
        <w:rPr>
          <w:rtl/>
        </w:rPr>
        <w:t xml:space="preserve"> </w:t>
      </w:r>
      <w:r>
        <w:rPr>
          <w:b/>
          <w:bCs/>
          <w:rtl/>
        </w:rPr>
        <w:t>נץ לגבי יונה.</w:t>
      </w:r>
      <w:r>
        <w:rPr>
          <w:rtl/>
        </w:rPr>
        <w:t xml:space="preserve"> רוצה לומר נץ הטורף הבני יונה:</w:t>
      </w:r>
    </w:p>
  </w:footnote>
  <w:footnote w:id="3233">
    <w:p w:rsidR="00A13282" w:rsidRDefault="00A13282" w:rsidP="002D629A">
      <w:pPr>
        <w:pStyle w:val="a5"/>
        <w:rPr>
          <w:rtl/>
        </w:rPr>
      </w:pPr>
      <w:r>
        <w:rPr>
          <w:rStyle w:val="a7"/>
          <w:rtl/>
        </w:rPr>
        <w:footnoteRef/>
      </w:r>
      <w:r>
        <w:rPr>
          <w:rtl/>
        </w:rPr>
        <w:t xml:space="preserve"> </w:t>
      </w:r>
      <w:r>
        <w:rPr>
          <w:b/>
          <w:bCs/>
          <w:rtl/>
        </w:rPr>
        <w:t>וכפום קרבנא כו'.</w:t>
      </w:r>
      <w:r>
        <w:rPr>
          <w:rtl/>
        </w:rPr>
        <w:t xml:space="preserve"> רוצה לומר היצר הרע הוא כפי הקרבן נקרא, אם חמור בקרבן גדול ונץ בקטן, וכמו שאמרו באדם גם כן (סוכה נב ע"א) כל הגדול מחבירו כו', וכן במצות ותפלות כל היותר גדול צריך ליזהר יותר, וזה שאמרו (ברכות ו ע"ב) לעולם יהא אדם נזהר בתפלת המנחה, דחמור - חמור מכולם כמו שאמרו ברעיא מהימנא:</w:t>
      </w:r>
    </w:p>
  </w:footnote>
  <w:footnote w:id="3234">
    <w:p w:rsidR="00A13282" w:rsidRDefault="00A13282" w:rsidP="002D629A">
      <w:pPr>
        <w:pStyle w:val="a5"/>
        <w:rPr>
          <w:rtl/>
        </w:rPr>
      </w:pPr>
      <w:r>
        <w:rPr>
          <w:rStyle w:val="a7"/>
          <w:rtl/>
        </w:rPr>
        <w:footnoteRef/>
      </w:r>
      <w:r>
        <w:rPr>
          <w:rtl/>
        </w:rPr>
        <w:t xml:space="preserve"> </w:t>
      </w:r>
      <w:r>
        <w:rPr>
          <w:b/>
          <w:bCs/>
          <w:rtl/>
        </w:rPr>
        <w:t>דאיהו מחשבה.</w:t>
      </w:r>
      <w:r>
        <w:rPr>
          <w:rtl/>
        </w:rPr>
        <w:t xml:space="preserve"> כמו שאמרו בכמה מקומות שהוא שמא מפרש דאשקי, והוא אדם, והוא יו"ד של שם במחשבה, ועיין בזוהר חדש ע"ג א' אדם הגדול - חכמה כו', ומלכות הוא בדמותיה, חכמת שלמה, וכנ"ל ואמר דקריב ומייחד כולא כמו שאומר לעיל י"ב א' מלגאו איהי יו"ד ה"א וא"ו ה"א כו' איהו שקיו דאילנא בדרועוי ובענפוי כמיא דאשקי לאילנא ואתרבי בההוא שקיו, ועליו אמר בזוהר פרשת פנחס הנ"ל מוחא קריב לגבי ההוא טמיר כו', והן ארבע דרגין דקרבנא: אש"ה רי"ח ניחו"ח לה', לבא וריאה ומוחא וההוא טמיר, החיה שעל הקרום צורת אדם, אבן ספיר ועליו דמות כמראה אדם כידוע, דלבא הוא אשא, אישים נור דליק, ריאה - ריח כמו שאומר לעיל ס"א א' ריחא בריאה כו', וניחוח - במוחא כמו שאמרו בזוהר פרשת פנחס שם לב קריב לגבי מוחא רעותא דכולא כו', וכמו שאמרו בזוהר חדש שיר השירים ל"ה הההוא טמיר כו' והן ארבעה קרבנין דכאן, ארבע אותיות הוי"ה כסדר, שהן נשמתא לנשמתא ונר"ן, בהמקומות אלו (ואף שאמר בכבד דהוא כו' - הוא בסטרא דרע, אבל בסטרא דטוב נטלין האישים כמו שאמרו בזוהר פרשת פנחס ברעיא מהימנא בארוכה), ועיין בזוהר חדש שיר השירים נ"א ב' ורזא דא אשה ריח ניחוח לה' כו' עיין שם בדבריו כל הענין, וזה שאומר האי איהו דמקריב קרבן לה' כנ"ל, דלה' הוא אדם, וזה שאומר אדם כו' מכם, והוא קרבנא דאדם לה' והוא נגד משה דהוא דרגא דשמא מפרש כמו שאומר לקמן תיקון ס”ט דהוא בגלגולא דאדם וכולל שלשה אבהן בש' דמשה והוא מ"ה, אדם, חיה רביעית, וכמו שחיה רביעית כוללת כל החיות - כן הוא כולל כולן, וזה שאומר ודא אורייתא שהוא אורייתא דמשה ועיין לעיל מ"ט ב' בגין דעאלת בלא בעלה כו' ועם כל דא כו' ועיין מה שבארנו שם:</w:t>
      </w:r>
    </w:p>
  </w:footnote>
  <w:footnote w:id="3235">
    <w:p w:rsidR="00A13282" w:rsidRDefault="00A13282" w:rsidP="002D629A">
      <w:pPr>
        <w:pStyle w:val="a5"/>
        <w:rPr>
          <w:rtl/>
        </w:rPr>
      </w:pPr>
      <w:r>
        <w:rPr>
          <w:rStyle w:val="a7"/>
          <w:rtl/>
        </w:rPr>
        <w:footnoteRef/>
      </w:r>
      <w:r>
        <w:rPr>
          <w:rtl/>
        </w:rPr>
        <w:t xml:space="preserve"> </w:t>
      </w:r>
      <w:r>
        <w:rPr>
          <w:b/>
          <w:bCs/>
          <w:rtl/>
        </w:rPr>
        <w:t>דאתמר ביה זאת כו'.</w:t>
      </w:r>
      <w:r>
        <w:rPr>
          <w:rtl/>
        </w:rPr>
        <w:t xml:space="preserve"> רוצה לומר כתיב (במדבר יט יד) התורה אדם - דתורה הוא אדם:</w:t>
      </w:r>
    </w:p>
  </w:footnote>
  <w:footnote w:id="3236">
    <w:p w:rsidR="00A13282" w:rsidRDefault="00A13282" w:rsidP="002D629A">
      <w:pPr>
        <w:pStyle w:val="a5"/>
        <w:rPr>
          <w:rtl/>
        </w:rPr>
      </w:pPr>
      <w:r>
        <w:rPr>
          <w:rStyle w:val="a7"/>
          <w:rtl/>
        </w:rPr>
        <w:footnoteRef/>
      </w:r>
      <w:r>
        <w:rPr>
          <w:rtl/>
        </w:rPr>
        <w:t xml:space="preserve"> </w:t>
      </w:r>
      <w:r>
        <w:rPr>
          <w:b/>
          <w:bCs/>
          <w:rtl/>
        </w:rPr>
        <w:t>ובג"ד מסיר כו'.</w:t>
      </w:r>
      <w:r>
        <w:rPr>
          <w:rtl/>
        </w:rPr>
        <w:t xml:space="preserve"> כנ"ל דהוא קריב כולא וכל החיות נכללין בו כמו שכתוב (יחזקאל א י) ודמות פניהם פני אדם, (יחזקאל א ה) ודמות אדם להנה:</w:t>
      </w:r>
    </w:p>
  </w:footnote>
  <w:footnote w:id="3237">
    <w:p w:rsidR="00A13282" w:rsidRDefault="00A13282" w:rsidP="002D629A">
      <w:pPr>
        <w:pStyle w:val="a5"/>
        <w:rPr>
          <w:rtl/>
        </w:rPr>
      </w:pPr>
      <w:r>
        <w:rPr>
          <w:rStyle w:val="a7"/>
          <w:rtl/>
        </w:rPr>
        <w:footnoteRef/>
      </w:r>
      <w:r>
        <w:rPr>
          <w:rtl/>
        </w:rPr>
        <w:t xml:space="preserve"> </w:t>
      </w:r>
      <w:r>
        <w:rPr>
          <w:b/>
          <w:bCs/>
          <w:rtl/>
        </w:rPr>
        <w:t>מרה כבד וטחול.</w:t>
      </w:r>
      <w:r>
        <w:rPr>
          <w:rtl/>
        </w:rPr>
        <w:t xml:space="preserve"> זהו סדרן, נגד מוחא כו', וכן משחית כו' הוא גם כן כסדר הזה:</w:t>
      </w:r>
    </w:p>
  </w:footnote>
  <w:footnote w:id="3238">
    <w:p w:rsidR="00A13282" w:rsidRDefault="00A13282" w:rsidP="002D629A">
      <w:pPr>
        <w:pStyle w:val="a5"/>
        <w:rPr>
          <w:rtl/>
        </w:rPr>
      </w:pPr>
      <w:r>
        <w:rPr>
          <w:rStyle w:val="a7"/>
          <w:rtl/>
        </w:rPr>
        <w:footnoteRef/>
      </w:r>
      <w:r>
        <w:rPr>
          <w:rtl/>
        </w:rPr>
        <w:t xml:space="preserve"> </w:t>
      </w:r>
      <w:r>
        <w:rPr>
          <w:b/>
          <w:bCs/>
          <w:rtl/>
        </w:rPr>
        <w:t>ומחשבה בישא כו'.</w:t>
      </w:r>
      <w:r>
        <w:rPr>
          <w:rtl/>
        </w:rPr>
        <w:t xml:space="preserve"> הוא עון, ועיין בתיקון ל”ז ובסוף פרשת בא:</w:t>
      </w:r>
    </w:p>
  </w:footnote>
  <w:footnote w:id="3239">
    <w:p w:rsidR="00A13282" w:rsidRDefault="00A13282" w:rsidP="002D629A">
      <w:pPr>
        <w:pStyle w:val="a5"/>
        <w:rPr>
          <w:rtl/>
        </w:rPr>
      </w:pPr>
      <w:r>
        <w:rPr>
          <w:rStyle w:val="a7"/>
          <w:rtl/>
        </w:rPr>
        <w:footnoteRef/>
      </w:r>
      <w:r>
        <w:rPr>
          <w:rtl/>
        </w:rPr>
        <w:t xml:space="preserve"> </w:t>
      </w:r>
      <w:r>
        <w:rPr>
          <w:b/>
          <w:bCs/>
          <w:rtl/>
        </w:rPr>
        <w:t>לקבל מוחא כו'.</w:t>
      </w:r>
      <w:r>
        <w:rPr>
          <w:rtl/>
        </w:rPr>
        <w:t xml:space="preserve"> דמוחא, חכמה, נחית בימינא דכהנא, ולבא הוא לשמאלא ועיין לקמן ריש תיקון נ”ה ודא לבא לשמאלא כו' ודא מוחא לימינא כו' שופרות דא קנה כו', רוצה לומר הריאה:</w:t>
      </w:r>
    </w:p>
  </w:footnote>
  <w:footnote w:id="3240">
    <w:p w:rsidR="00A13282" w:rsidRDefault="00A13282" w:rsidP="002D629A">
      <w:pPr>
        <w:pStyle w:val="a5"/>
        <w:rPr>
          <w:rtl/>
        </w:rPr>
      </w:pPr>
      <w:r>
        <w:rPr>
          <w:rStyle w:val="a7"/>
          <w:rtl/>
        </w:rPr>
        <w:footnoteRef/>
      </w:r>
      <w:r>
        <w:rPr>
          <w:rtl/>
        </w:rPr>
        <w:t xml:space="preserve"> </w:t>
      </w:r>
      <w:r>
        <w:rPr>
          <w:b/>
          <w:bCs/>
          <w:rtl/>
        </w:rPr>
        <w:t>דאית לה גדפין.</w:t>
      </w:r>
      <w:r>
        <w:rPr>
          <w:rtl/>
        </w:rPr>
        <w:t xml:space="preserve"> רוצה לומר אונות הריאה דהן גדפין, שש כנפים, כמו שאומר לקמן תיקון כ”ה ס"ט א' ובהון שית גדפין חמש אונות וורדא כו', והוא לראיה דהוא בנשר דאין כנפים בטבע מארבע אלו אלא לנשר, והארבע חיות יש להן כנפים מצד הנשר וכן יש להן קרנים מצד השור וידים מצד האדם, והוא באמצע - ממוצע בין מוח ללב, והוא סולם ביניהם - בקנה ועיין לקמן תיקון נ"ה ותיקון כ”ה:</w:t>
      </w:r>
    </w:p>
  </w:footnote>
  <w:footnote w:id="3241">
    <w:p w:rsidR="00A13282" w:rsidRDefault="00A13282" w:rsidP="002D629A">
      <w:pPr>
        <w:pStyle w:val="a5"/>
        <w:rPr>
          <w:rtl/>
        </w:rPr>
      </w:pPr>
      <w:r>
        <w:rPr>
          <w:rStyle w:val="a7"/>
          <w:rtl/>
        </w:rPr>
        <w:footnoteRef/>
      </w:r>
      <w:r>
        <w:rPr>
          <w:rtl/>
        </w:rPr>
        <w:t xml:space="preserve"> </w:t>
      </w:r>
      <w:r>
        <w:rPr>
          <w:b/>
          <w:bCs/>
          <w:rtl/>
        </w:rPr>
        <w:t>חיילין דמוחא גרמין.</w:t>
      </w:r>
      <w:r>
        <w:rPr>
          <w:rtl/>
        </w:rPr>
        <w:t xml:space="preserve"> שהמוח שבעצמות נמשך מהמוח:</w:t>
      </w:r>
    </w:p>
  </w:footnote>
  <w:footnote w:id="3242">
    <w:p w:rsidR="00A13282" w:rsidRDefault="00A13282" w:rsidP="002D629A">
      <w:pPr>
        <w:pStyle w:val="a5"/>
        <w:rPr>
          <w:rtl/>
        </w:rPr>
      </w:pPr>
      <w:r>
        <w:rPr>
          <w:rStyle w:val="a7"/>
          <w:rtl/>
        </w:rPr>
        <w:footnoteRef/>
      </w:r>
      <w:r>
        <w:rPr>
          <w:rtl/>
        </w:rPr>
        <w:t xml:space="preserve"> </w:t>
      </w:r>
      <w:r>
        <w:rPr>
          <w:b/>
          <w:bCs/>
          <w:rtl/>
        </w:rPr>
        <w:t>בקרבנא ותקרבו עצמות כו'.</w:t>
      </w:r>
      <w:r>
        <w:rPr>
          <w:rtl/>
        </w:rPr>
        <w:t xml:space="preserve"> רוצה לומר בקרבנא דאריה נתקרבו זה אל זה וכמו שכתוב ותקרבו כו', ותחית המתים דומיא דקרבנא וכמו שאומר לקמן ס"א א' ובגין אלין שכליים הוו נחתין בקרבנא כו' ואלין אינון בתחית המתים כו' מקרב עצם אל עצמו כו' ויקבלון כו', והענין כמו שכתוב מארבע הרוחות בואי הרוח, ודרשו מארבע סמכין של כסא הכבוד, ארבע רגלין, והן ארבע החיות ולכן בנחיתו דילהון שהן סוד ארבע הקרבנות, כנ"ל, מתקרבין אינון חיילין דילהון כמו שמפרש והולך, ורוצה לומר שנאמר ותקרבו עצם כו', ותקרבו - הוא לשון קרבן:</w:t>
      </w:r>
    </w:p>
  </w:footnote>
  <w:footnote w:id="3243">
    <w:p w:rsidR="00A13282" w:rsidRDefault="00A13282" w:rsidP="002D629A">
      <w:pPr>
        <w:pStyle w:val="a5"/>
        <w:rPr>
          <w:rtl/>
        </w:rPr>
      </w:pPr>
      <w:r>
        <w:rPr>
          <w:rStyle w:val="a7"/>
          <w:rtl/>
        </w:rPr>
        <w:footnoteRef/>
      </w:r>
      <w:r>
        <w:rPr>
          <w:rtl/>
        </w:rPr>
        <w:t xml:space="preserve"> </w:t>
      </w:r>
      <w:r>
        <w:rPr>
          <w:b/>
          <w:bCs/>
          <w:rtl/>
        </w:rPr>
        <w:t>חיילין דלבא ערקין כו'.</w:t>
      </w:r>
      <w:r>
        <w:rPr>
          <w:rtl/>
        </w:rPr>
        <w:t xml:space="preserve"> הן קשירו דבשרא שבהם יצא הדם להשקות הבשר, וכתיב שם ובשר עלה בקרבנא דלבא שור, וכן כתיב והנה עליהם גידים והוא בקרבנא דריאה נשר, וכן כתיב שם ויקרם עליהם עור מלמעלה והוא בקרבן דאדם דכליל כולא וכמו שאומר לקמן קל"ח א' בראשית תמן ארי דקרבנא דהוה נחית כו', ארבע חיוון אינון בכורסייא - אשנ"א, ובגופא דבר נש ארבע יסודין דממנן עליהון ארבע חיוון דנפש כלילא בהון כו' ומארי חיוון דאינון פרנסה ממיא ומשור כו' ורזא דקרבנין עור ובשר תלבישני עצמות וגידים תסוככני, עור איהו לבושא דאדם הה"ד ויעש ה' אלהים לאדם כו' וא"ל לא זכו משכא דחויא דכליל ארבעה יסודין כו' ועלייהו אתמר אדם כי יקריב כו', בשר איהו כו' מסטרא דחיה דאיהו שור כו', ועצם איהו אריה, גידים איהו נשר כו', בעצם כד שריא ברכה ביה מיד ותקרבו עצם כו' ומיד נחית עלייהו משחא ושריא עלייהו ברכה, בשר שריא עליה קדושה דאיהי מסטרא דלוים הה"ד וקדשת את הלוים, מיד מתקרבין ערקי דדמא לגבי לבא - דברכה מכהנא אינון הה"ד דבר אל אהרן ואל בניו לאמר כה תברכו, גידין מישראל ואינון יחודא וקשורא דגרמין ובשרא, וכד מתקשרין בתרווייהו אתקריאו יחוד, ויחוד איהי בישראל הה"ד שמע ישראל ה', משכא איהו דמות אדם, מלכות, כל דיוקנין אתחזיין ביה ואיהי כלילא מבשרא וגידין וגרמין ואיהי תמונת כל ואיהי ברכה קדושה ויחוד דכהנים ולוים וישראל דאינון קשירין בתלת אבהן דאתמר בהון האבות הן הן המרכבה כו' עיין שם בדבריו הרבה כל הענין, וזה שאומר כאן על מוחא שריא ברכה על כו' מחשבה כלילא מכולהו, והוא נגד העור - תחלת המחשבה סוף המעשה, והכל בקרבנין דארבע רוחות ואע"ג דעדיין לא היה בהם רוח כמו שכתוב ורוח אין בהם ויאמר כו' מכל מקום התעוררות הרוח היה כמו שכתוב שם הנה אני מביא בכם רוח וחייתם ונתתי עליכם גידים כו' התעוררות הרוח תחלה:</w:t>
      </w:r>
      <w:r>
        <w:rPr>
          <w:b/>
          <w:bCs/>
          <w:rtl/>
        </w:rPr>
        <w:t xml:space="preserve"> </w:t>
      </w:r>
    </w:p>
  </w:footnote>
  <w:footnote w:id="3244">
    <w:p w:rsidR="00A13282" w:rsidRDefault="00A13282" w:rsidP="002D629A">
      <w:pPr>
        <w:pStyle w:val="a5"/>
        <w:rPr>
          <w:rtl/>
        </w:rPr>
      </w:pPr>
      <w:r>
        <w:rPr>
          <w:rStyle w:val="a7"/>
          <w:rtl/>
        </w:rPr>
        <w:footnoteRef/>
      </w:r>
      <w:r>
        <w:rPr>
          <w:rtl/>
        </w:rPr>
        <w:t xml:space="preserve"> </w:t>
      </w:r>
      <w:r>
        <w:rPr>
          <w:b/>
          <w:bCs/>
          <w:rtl/>
        </w:rPr>
        <w:t>דאינון קשורא וחבורא דילהון ברוחא דכנפי ריאה כו'.</w:t>
      </w:r>
      <w:r>
        <w:rPr>
          <w:rtl/>
        </w:rPr>
        <w:t xml:space="preserve"> רוצה לומר קשירו דבשרא עם עצמות שהן יחודא בין ברכה וקדושה, בין חו"ג, וכמו הרוח שהוא אמצעי בין מים ואש, וזה שאומר הה"ד ורוח אלקים כו' שהיא על המים ותחתיו אש והן ארבעה יסודין כנ"ל:</w:t>
      </w:r>
    </w:p>
  </w:footnote>
  <w:footnote w:id="3245">
    <w:p w:rsidR="00A13282" w:rsidRDefault="00A13282" w:rsidP="002D629A">
      <w:pPr>
        <w:pStyle w:val="a5"/>
        <w:rPr>
          <w:rtl/>
        </w:rPr>
      </w:pPr>
      <w:r>
        <w:rPr>
          <w:rStyle w:val="a7"/>
          <w:rtl/>
        </w:rPr>
        <w:footnoteRef/>
      </w:r>
      <w:r>
        <w:rPr>
          <w:rtl/>
        </w:rPr>
        <w:t xml:space="preserve"> </w:t>
      </w:r>
      <w:r>
        <w:rPr>
          <w:b/>
          <w:bCs/>
          <w:rtl/>
        </w:rPr>
        <w:t>יברכך  במוחא.</w:t>
      </w:r>
      <w:r>
        <w:rPr>
          <w:rtl/>
        </w:rPr>
        <w:t xml:space="preserve"> כנ"ל דשריא ביה ברכה:</w:t>
      </w:r>
    </w:p>
  </w:footnote>
  <w:footnote w:id="3246">
    <w:p w:rsidR="00A13282" w:rsidRDefault="00A13282" w:rsidP="002D629A">
      <w:pPr>
        <w:pStyle w:val="a5"/>
        <w:rPr>
          <w:rtl/>
        </w:rPr>
      </w:pPr>
      <w:r>
        <w:rPr>
          <w:rStyle w:val="a7"/>
          <w:rtl/>
        </w:rPr>
        <w:footnoteRef/>
      </w:r>
      <w:r>
        <w:rPr>
          <w:rtl/>
        </w:rPr>
        <w:t xml:space="preserve"> </w:t>
      </w:r>
      <w:r>
        <w:rPr>
          <w:b/>
          <w:bCs/>
          <w:rtl/>
        </w:rPr>
        <w:t>בריאה דאיהו שלום.</w:t>
      </w:r>
      <w:r>
        <w:rPr>
          <w:rtl/>
        </w:rPr>
        <w:t xml:space="preserve"> דשלום הוא קשירו דכולא כמו שאמרו (משנה עוקצין ג יב) לא מצא הקב"ה כלי מחזיק ברכה כו', דכל הברכות ביה והוא שלמא דתרין סטרין ביעקב ויוסף כו':</w:t>
      </w:r>
    </w:p>
  </w:footnote>
  <w:footnote w:id="3247">
    <w:p w:rsidR="00A13282" w:rsidRDefault="00A13282" w:rsidP="002D629A">
      <w:pPr>
        <w:pStyle w:val="a5"/>
        <w:rPr>
          <w:rtl/>
        </w:rPr>
      </w:pPr>
      <w:r>
        <w:rPr>
          <w:rStyle w:val="a7"/>
          <w:rtl/>
        </w:rPr>
        <w:footnoteRef/>
      </w:r>
      <w:r>
        <w:rPr>
          <w:rtl/>
        </w:rPr>
        <w:t xml:space="preserve"> </w:t>
      </w:r>
      <w:r>
        <w:rPr>
          <w:b/>
          <w:bCs/>
          <w:rtl/>
        </w:rPr>
        <w:t>ואינון שמיעה כו'.</w:t>
      </w:r>
      <w:r>
        <w:rPr>
          <w:rtl/>
        </w:rPr>
        <w:t xml:space="preserve"> מפרש והולך דאינון ארבעה: ראיה כו' שהן מסטרא דחגת"ם, ארבע אתוון דהוי"ה כמו שאומר לקמן בתיקון ע’ ובזוהר חדש פרשת יתרו, ואמר דהן מסטרא דגופא כסדר הנ"ל אבל מסטרא דנפשא להיפוך דהקב"ה מזיג לון להיפוך וכמו שאמרו בזוהר פרשת וארא כ"ב א' ת"ח אש הוא כו' מצפון בהיפוכא כו' מים כו' עיין שם בדבריו, ושמיעה הוא מסטרא דבינה ועיין מה שנבאר לקמן ע"ו ב' כמו שכתוב אשר לא תשמע לשונו (דברים כח מט). וראיה - מסטרא דימינא ועיין לקמן תיקון ע’ בארוכה:</w:t>
      </w:r>
    </w:p>
  </w:footnote>
  <w:footnote w:id="3248">
    <w:p w:rsidR="00A13282" w:rsidRDefault="00A13282" w:rsidP="002D629A">
      <w:pPr>
        <w:pStyle w:val="a5"/>
        <w:rPr>
          <w:rtl/>
        </w:rPr>
      </w:pPr>
      <w:r>
        <w:rPr>
          <w:rStyle w:val="a7"/>
          <w:rtl/>
        </w:rPr>
        <w:footnoteRef/>
      </w:r>
      <w:r>
        <w:rPr>
          <w:rtl/>
        </w:rPr>
        <w:t xml:space="preserve"> </w:t>
      </w:r>
      <w:r>
        <w:rPr>
          <w:b/>
          <w:bCs/>
          <w:rtl/>
        </w:rPr>
        <w:t>ראיה בלבא.</w:t>
      </w:r>
      <w:r>
        <w:rPr>
          <w:rtl/>
        </w:rPr>
        <w:t xml:space="preserve"> כנ"ל הלב רואה, והוא אותיות אריה כמו שמפרש והולך, והוא מסטרא דנפשא וכן מוח - חום כנ"ל:</w:t>
      </w:r>
    </w:p>
  </w:footnote>
  <w:footnote w:id="3249">
    <w:p w:rsidR="00A13282" w:rsidRDefault="00A13282" w:rsidP="002D629A">
      <w:pPr>
        <w:pStyle w:val="a5"/>
        <w:rPr>
          <w:rtl/>
        </w:rPr>
      </w:pPr>
      <w:r>
        <w:rPr>
          <w:rStyle w:val="a7"/>
          <w:rtl/>
        </w:rPr>
        <w:footnoteRef/>
      </w:r>
      <w:r>
        <w:rPr>
          <w:rtl/>
        </w:rPr>
        <w:t xml:space="preserve"> </w:t>
      </w:r>
      <w:r>
        <w:rPr>
          <w:b/>
          <w:bCs/>
          <w:rtl/>
        </w:rPr>
        <w:t>ריחא בריאה.</w:t>
      </w:r>
      <w:r>
        <w:rPr>
          <w:rtl/>
        </w:rPr>
        <w:t xml:space="preserve"> דריח הוא ברוחא דחוטמא וזה שאומר עליה כו':</w:t>
      </w:r>
    </w:p>
  </w:footnote>
  <w:footnote w:id="3250">
    <w:p w:rsidR="00A13282" w:rsidRDefault="00A13282" w:rsidP="002D629A">
      <w:pPr>
        <w:pStyle w:val="a5"/>
        <w:rPr>
          <w:rtl/>
        </w:rPr>
      </w:pPr>
      <w:r>
        <w:rPr>
          <w:rStyle w:val="a7"/>
          <w:rtl/>
        </w:rPr>
        <w:footnoteRef/>
      </w:r>
      <w:r>
        <w:rPr>
          <w:rtl/>
        </w:rPr>
        <w:t xml:space="preserve"> </w:t>
      </w:r>
      <w:r>
        <w:rPr>
          <w:b/>
          <w:bCs/>
          <w:rtl/>
        </w:rPr>
        <w:t>ומאן אפיק ליה מחשבה.</w:t>
      </w:r>
      <w:r>
        <w:rPr>
          <w:rtl/>
        </w:rPr>
        <w:t xml:space="preserve"> דזהו ענין נפש המדברת רוצה לומר שכלי מחשבי כידוע ונקרא דיבור פנימי:</w:t>
      </w:r>
    </w:p>
  </w:footnote>
  <w:footnote w:id="3251">
    <w:p w:rsidR="00A13282" w:rsidRDefault="00A13282" w:rsidP="002D629A">
      <w:pPr>
        <w:pStyle w:val="a5"/>
        <w:rPr>
          <w:rtl/>
        </w:rPr>
      </w:pPr>
      <w:r>
        <w:rPr>
          <w:rStyle w:val="a7"/>
          <w:rtl/>
        </w:rPr>
        <w:footnoteRef/>
      </w:r>
      <w:r>
        <w:rPr>
          <w:rtl/>
        </w:rPr>
        <w:t xml:space="preserve"> </w:t>
      </w:r>
      <w:r>
        <w:rPr>
          <w:b/>
          <w:bCs/>
          <w:rtl/>
        </w:rPr>
        <w:t>וגידין וערקין כו' ויקבלון כו'.</w:t>
      </w:r>
      <w:r>
        <w:rPr>
          <w:rtl/>
        </w:rPr>
        <w:t xml:space="preserve"> ועיין לעיל ל"ח א' ובההוא זמנא אינון אברים מקבלין כו' וכד אינון מקבלין כל ספיראן מקבלין כו' וכל חד כו':</w:t>
      </w:r>
    </w:p>
  </w:footnote>
  <w:footnote w:id="3252">
    <w:p w:rsidR="00A13282" w:rsidRDefault="00A13282" w:rsidP="003841DB">
      <w:pPr>
        <w:pStyle w:val="a5"/>
      </w:pPr>
      <w:r>
        <w:rPr>
          <w:rStyle w:val="a7"/>
        </w:rPr>
        <w:footnoteRef/>
      </w:r>
      <w:r>
        <w:t xml:space="preserve"> </w:t>
      </w:r>
      <w:r>
        <w:rPr>
          <w:b/>
          <w:bCs/>
          <w:rtl/>
        </w:rPr>
        <w:t xml:space="preserve">תיקון כב. </w:t>
      </w:r>
      <w:r>
        <w:rPr>
          <w:rtl/>
        </w:rPr>
        <w:t xml:space="preserve">לא גרסינן בראשית - דקאי אברא. </w:t>
      </w:r>
      <w:r>
        <w:rPr>
          <w:b/>
          <w:bCs/>
          <w:rtl/>
        </w:rPr>
        <w:t>חד.</w:t>
      </w:r>
      <w:r>
        <w:rPr>
          <w:rtl/>
        </w:rPr>
        <w:t xml:space="preserve"> רוצה לומר כתר:</w:t>
      </w:r>
    </w:p>
  </w:footnote>
  <w:footnote w:id="3253">
    <w:p w:rsidR="00A13282" w:rsidRDefault="00A13282" w:rsidP="003841DB">
      <w:pPr>
        <w:pStyle w:val="a5"/>
      </w:pPr>
      <w:r>
        <w:rPr>
          <w:rStyle w:val="a7"/>
        </w:rPr>
        <w:footnoteRef/>
      </w:r>
      <w:r>
        <w:t xml:space="preserve"> </w:t>
      </w:r>
      <w:r>
        <w:rPr>
          <w:b/>
          <w:bCs/>
          <w:rtl/>
        </w:rPr>
        <w:t>תרין אינון ב'.</w:t>
      </w:r>
      <w:r>
        <w:rPr>
          <w:rtl/>
        </w:rPr>
        <w:t xml:space="preserve"> רוצה לומר ב' דבראשית, וכן הוא אלקים - לשון רבים, וכמו שמפרש והולך ואינון תרין כו' ורוצה לומר חו"ב שבבינה וכמו שאומר לקמן:</w:t>
      </w:r>
    </w:p>
  </w:footnote>
  <w:footnote w:id="3254">
    <w:p w:rsidR="00A13282" w:rsidRDefault="00A13282" w:rsidP="003841DB">
      <w:pPr>
        <w:pStyle w:val="a5"/>
      </w:pPr>
      <w:r>
        <w:rPr>
          <w:rStyle w:val="a7"/>
        </w:rPr>
        <w:footnoteRef/>
      </w:r>
      <w:r>
        <w:t xml:space="preserve"> </w:t>
      </w:r>
      <w:r>
        <w:rPr>
          <w:b/>
          <w:bCs/>
          <w:rtl/>
        </w:rPr>
        <w:t>ובמה ברא כו'.</w:t>
      </w:r>
      <w:r>
        <w:rPr>
          <w:rtl/>
        </w:rPr>
        <w:t xml:space="preserve"> והוא יו"ד העצמי שבשם, ותרין הנ"ל הן י"ה של ה' ראשונה:</w:t>
      </w:r>
    </w:p>
  </w:footnote>
  <w:footnote w:id="3255">
    <w:p w:rsidR="00A13282" w:rsidRDefault="00A13282" w:rsidP="003841DB">
      <w:pPr>
        <w:pStyle w:val="a5"/>
      </w:pPr>
      <w:r>
        <w:rPr>
          <w:rStyle w:val="a7"/>
        </w:rPr>
        <w:footnoteRef/>
      </w:r>
      <w:r>
        <w:t xml:space="preserve"> </w:t>
      </w:r>
      <w:r>
        <w:rPr>
          <w:b/>
          <w:bCs/>
          <w:rtl/>
        </w:rPr>
        <w:t>ראשית כו'.</w:t>
      </w:r>
      <w:r>
        <w:rPr>
          <w:rtl/>
        </w:rPr>
        <w:t xml:space="preserve"> וזה שאומר בראשית רוצה לומר עם ראשית ברא הכתר את אלקים כנ"ל:</w:t>
      </w:r>
    </w:p>
  </w:footnote>
  <w:footnote w:id="3256">
    <w:p w:rsidR="00A13282" w:rsidRDefault="00A13282" w:rsidP="003841DB">
      <w:pPr>
        <w:pStyle w:val="a5"/>
      </w:pPr>
      <w:r>
        <w:rPr>
          <w:rStyle w:val="a7"/>
        </w:rPr>
        <w:footnoteRef/>
      </w:r>
      <w:r>
        <w:t xml:space="preserve"> </w:t>
      </w:r>
      <w:r>
        <w:rPr>
          <w:b/>
          <w:bCs/>
          <w:rtl/>
        </w:rPr>
        <w:t>ותרין עלמין סתימין לא כו'.</w:t>
      </w:r>
      <w:r>
        <w:rPr>
          <w:rtl/>
        </w:rPr>
        <w:t xml:space="preserve"> ורוצה לומר זה שאומר את השמים וגם כן ברא עם הראשית אבל ואת הארץ לא קאמר רק אברא אבל לא בראשית אלא אלקים ולכן לא קאמר והארץ:</w:t>
      </w:r>
    </w:p>
  </w:footnote>
  <w:footnote w:id="3257">
    <w:p w:rsidR="00A13282" w:rsidRDefault="00A13282" w:rsidP="003841DB">
      <w:pPr>
        <w:pStyle w:val="a5"/>
      </w:pPr>
      <w:r>
        <w:rPr>
          <w:rStyle w:val="a7"/>
        </w:rPr>
        <w:footnoteRef/>
      </w:r>
      <w:r>
        <w:t xml:space="preserve"> </w:t>
      </w:r>
      <w:r>
        <w:rPr>
          <w:b/>
          <w:bCs/>
          <w:rtl/>
        </w:rPr>
        <w:t>לבושא לעלמא עילאה.</w:t>
      </w:r>
      <w:r>
        <w:rPr>
          <w:rtl/>
        </w:rPr>
        <w:t xml:space="preserve"> יו"ד  שבה"א אבל יו"ד העצמי  אינו מתלבש כלל, אור הראשון כידוע:</w:t>
      </w:r>
    </w:p>
  </w:footnote>
  <w:footnote w:id="3258">
    <w:p w:rsidR="00A13282" w:rsidRDefault="00A13282" w:rsidP="003841DB">
      <w:pPr>
        <w:pStyle w:val="a5"/>
      </w:pPr>
      <w:r>
        <w:rPr>
          <w:rStyle w:val="a7"/>
        </w:rPr>
        <w:footnoteRef/>
      </w:r>
      <w:r>
        <w:t xml:space="preserve"> </w:t>
      </w:r>
      <w:r>
        <w:rPr>
          <w:b/>
          <w:bCs/>
          <w:rtl/>
        </w:rPr>
        <w:t>דאתברי כו' דאתברי כו'.</w:t>
      </w:r>
      <w:r>
        <w:rPr>
          <w:rtl/>
        </w:rPr>
        <w:t xml:space="preserve"> קאי על הלבושין וכמו שאומר למטה:</w:t>
      </w:r>
    </w:p>
  </w:footnote>
  <w:footnote w:id="3259">
    <w:p w:rsidR="00A13282" w:rsidRDefault="00A13282" w:rsidP="003841DB">
      <w:pPr>
        <w:pStyle w:val="a5"/>
      </w:pPr>
      <w:r>
        <w:rPr>
          <w:rStyle w:val="a7"/>
        </w:rPr>
        <w:footnoteRef/>
      </w:r>
      <w:r>
        <w:t xml:space="preserve"> </w:t>
      </w:r>
      <w:r>
        <w:rPr>
          <w:b/>
          <w:bCs/>
          <w:rtl/>
        </w:rPr>
        <w:t>ואיהו כו' כל חי.</w:t>
      </w:r>
      <w:r>
        <w:rPr>
          <w:rtl/>
        </w:rPr>
        <w:t xml:space="preserve"> רוצה לומר מלכא דשלמא דיליה והיא מקור חיים נשמת חיים:</w:t>
      </w:r>
    </w:p>
  </w:footnote>
  <w:footnote w:id="3260">
    <w:p w:rsidR="00A13282" w:rsidRDefault="00A13282" w:rsidP="003841DB">
      <w:pPr>
        <w:pStyle w:val="a5"/>
      </w:pPr>
      <w:r>
        <w:rPr>
          <w:rStyle w:val="a7"/>
        </w:rPr>
        <w:footnoteRef/>
      </w:r>
      <w:r>
        <w:t xml:space="preserve"> </w:t>
      </w:r>
      <w:r>
        <w:rPr>
          <w:b/>
          <w:bCs/>
          <w:rtl/>
        </w:rPr>
        <w:t>אבא דכלא.</w:t>
      </w:r>
      <w:r>
        <w:rPr>
          <w:rtl/>
        </w:rPr>
        <w:t xml:space="preserve"> שגם זו"נ או"א לבריאה אלא שהן או"א לכולא, וכן למטה אדה"ר בדרגא דאבא לכלא וכן חוה וכמו שמפרש והולך:</w:t>
      </w:r>
    </w:p>
  </w:footnote>
  <w:footnote w:id="3261">
    <w:p w:rsidR="00A13282" w:rsidRDefault="00A13282" w:rsidP="003841DB">
      <w:pPr>
        <w:pStyle w:val="a5"/>
      </w:pPr>
      <w:r>
        <w:rPr>
          <w:rStyle w:val="a7"/>
        </w:rPr>
        <w:footnoteRef/>
      </w:r>
      <w:r>
        <w:t xml:space="preserve"> </w:t>
      </w:r>
      <w:r>
        <w:rPr>
          <w:b/>
          <w:bCs/>
          <w:rtl/>
        </w:rPr>
        <w:t>וחכמה דאיהי כו'.</w:t>
      </w:r>
      <w:r>
        <w:rPr>
          <w:rtl/>
        </w:rPr>
        <w:t xml:space="preserve"> דעצמו אינו מתלבש כלל כנ"ל לכן אי אפשר להתגלות וכמו שכתוב (איוב כח כא) ונעלמה מעיני כל חי כו' - אף מכל חי הנ"ל:</w:t>
      </w:r>
    </w:p>
  </w:footnote>
  <w:footnote w:id="3262">
    <w:p w:rsidR="00A13282" w:rsidRDefault="00A13282" w:rsidP="003841DB">
      <w:pPr>
        <w:pStyle w:val="a5"/>
      </w:pPr>
      <w:r>
        <w:rPr>
          <w:rStyle w:val="a7"/>
        </w:rPr>
        <w:footnoteRef/>
      </w:r>
      <w:r>
        <w:t xml:space="preserve"> </w:t>
      </w:r>
      <w:r>
        <w:rPr>
          <w:b/>
          <w:bCs/>
          <w:rtl/>
        </w:rPr>
        <w:t>ותמן י"ה כו'.</w:t>
      </w:r>
      <w:r>
        <w:rPr>
          <w:rtl/>
        </w:rPr>
        <w:t xml:space="preserve"> י' של הה"א, וזה שאומר כחדא כו' ולא מתפרשין כו' שהן באות אחת:</w:t>
      </w:r>
    </w:p>
  </w:footnote>
  <w:footnote w:id="3263">
    <w:p w:rsidR="00A13282" w:rsidRDefault="00A13282" w:rsidP="003841DB">
      <w:pPr>
        <w:pStyle w:val="a5"/>
      </w:pPr>
      <w:r>
        <w:rPr>
          <w:rStyle w:val="a7"/>
        </w:rPr>
        <w:footnoteRef/>
      </w:r>
      <w:r>
        <w:t xml:space="preserve"> </w:t>
      </w:r>
      <w:r>
        <w:rPr>
          <w:b/>
          <w:bCs/>
          <w:rtl/>
        </w:rPr>
        <w:t>ב' תרין היכלין כו'.</w:t>
      </w:r>
      <w:r>
        <w:rPr>
          <w:rtl/>
        </w:rPr>
        <w:t xml:space="preserve"> רוצה לומר ב' של בראשית וזה השם של בי"ה וזה שכתוב (ישעיהו כו ד) כי בי"ה כו' ואמרו (מנחות כט ע"ב) עולם הבא ביו"ד ועולם הזה בה', וע"י התלבשות בהיכלין דב':</w:t>
      </w:r>
    </w:p>
  </w:footnote>
  <w:footnote w:id="3264">
    <w:p w:rsidR="00A13282" w:rsidRDefault="00A13282" w:rsidP="003841DB">
      <w:pPr>
        <w:pStyle w:val="a5"/>
      </w:pPr>
      <w:r>
        <w:rPr>
          <w:rStyle w:val="a7"/>
        </w:rPr>
        <w:footnoteRef/>
      </w:r>
      <w:r>
        <w:t xml:space="preserve"> </w:t>
      </w:r>
      <w:r>
        <w:rPr>
          <w:b/>
          <w:bCs/>
          <w:rtl/>
        </w:rPr>
        <w:t>והכי סליק כו'.</w:t>
      </w:r>
      <w:r>
        <w:rPr>
          <w:rtl/>
        </w:rPr>
        <w:t xml:space="preserve"> שהן כינויין לי"ה והן גימטריה גם כן אלקים:</w:t>
      </w:r>
    </w:p>
  </w:footnote>
  <w:footnote w:id="3265">
    <w:p w:rsidR="00A13282" w:rsidRDefault="00A13282" w:rsidP="003841DB">
      <w:pPr>
        <w:pStyle w:val="a5"/>
      </w:pPr>
      <w:r>
        <w:rPr>
          <w:rStyle w:val="a7"/>
        </w:rPr>
        <w:footnoteRef/>
      </w:r>
      <w:r>
        <w:t xml:space="preserve"> </w:t>
      </w:r>
      <w:r>
        <w:rPr>
          <w:b/>
          <w:bCs/>
          <w:rtl/>
        </w:rPr>
        <w:t>ובה גניזין.</w:t>
      </w:r>
      <w:r>
        <w:rPr>
          <w:rtl/>
        </w:rPr>
        <w:t xml:space="preserve"> רוצה לומר בתוך הכינויין ההיכלין הנ"ל וחוזר כאן משום שרוצה לומר ודא איהו הנסתרות כו':</w:t>
      </w:r>
    </w:p>
  </w:footnote>
  <w:footnote w:id="3266">
    <w:p w:rsidR="00A13282" w:rsidRDefault="00A13282" w:rsidP="003841DB">
      <w:pPr>
        <w:pStyle w:val="a5"/>
      </w:pPr>
      <w:r>
        <w:rPr>
          <w:rStyle w:val="a7"/>
        </w:rPr>
        <w:footnoteRef/>
      </w:r>
      <w:r>
        <w:t xml:space="preserve"> </w:t>
      </w:r>
      <w:r>
        <w:rPr>
          <w:b/>
          <w:bCs/>
          <w:rtl/>
        </w:rPr>
        <w:t>ואינון סתרי כו'.</w:t>
      </w:r>
      <w:r>
        <w:rPr>
          <w:rtl/>
        </w:rPr>
        <w:t xml:space="preserve"> שב' לבושין שמים וארץ הן בתורה תורה שבכתב ובעל פה, ותרין עלמין סתימין הן סודות של בכתב ובעל פה, ואותן הסודות עצמן הן מכוסין בכינויין כמו שאנו מכנין אותן בצורת אדם ושאר דמיונות ושמות והן ההיכלין הנ"ל וזה שאומר לא תגלה כו'. וענין הפסוק בראשית הוא, עם ראשית ברא את אלקים, ואלקים בתוך שמים וארץ, ועוד עם ב' וראשית ברא האלקים את שמים וארץ שע"י ראשית וב' הנ"ל ברא בינה זו"נ כנ"ל:</w:t>
      </w:r>
    </w:p>
  </w:footnote>
  <w:footnote w:id="3267">
    <w:p w:rsidR="00A13282" w:rsidRDefault="00A13282" w:rsidP="003841DB">
      <w:pPr>
        <w:pStyle w:val="a5"/>
      </w:pPr>
      <w:r>
        <w:rPr>
          <w:rStyle w:val="a7"/>
        </w:rPr>
        <w:footnoteRef/>
      </w:r>
      <w:r>
        <w:t xml:space="preserve"> </w:t>
      </w:r>
      <w:r>
        <w:rPr>
          <w:b/>
          <w:bCs/>
          <w:rtl/>
        </w:rPr>
        <w:t>קם סבא כו'.</w:t>
      </w:r>
      <w:r>
        <w:rPr>
          <w:rtl/>
        </w:rPr>
        <w:t xml:space="preserve"> כנ"ל, שז' סבין הנ"ל הן ז’ ספירות והשכינה משמש להם כמו שאומר בריש תיקון כ”א והוא שייך לשם וזה שאומר נטירת לך ולחברך:</w:t>
      </w:r>
    </w:p>
  </w:footnote>
  <w:footnote w:id="3268">
    <w:p w:rsidR="00A13282" w:rsidRDefault="00A13282" w:rsidP="003841DB">
      <w:pPr>
        <w:pStyle w:val="a5"/>
      </w:pPr>
      <w:r>
        <w:rPr>
          <w:rStyle w:val="a7"/>
        </w:rPr>
        <w:footnoteRef/>
      </w:r>
      <w:r>
        <w:t xml:space="preserve"> </w:t>
      </w:r>
      <w:r>
        <w:rPr>
          <w:b/>
          <w:bCs/>
          <w:rtl/>
        </w:rPr>
        <w:t>עלאה ותתאה.</w:t>
      </w:r>
      <w:r>
        <w:rPr>
          <w:rtl/>
        </w:rPr>
        <w:t xml:space="preserve"> דחג"ת ונה"י כמו שאומר בתיקוני זהר חדש והכל בשביל השכינה כמו שמפרש והולך שהן מסטרא דבעלה:</w:t>
      </w:r>
    </w:p>
  </w:footnote>
  <w:footnote w:id="3269">
    <w:p w:rsidR="00A13282" w:rsidRDefault="00A13282" w:rsidP="003841DB">
      <w:pPr>
        <w:pStyle w:val="a5"/>
      </w:pPr>
      <w:r>
        <w:rPr>
          <w:rStyle w:val="a7"/>
        </w:rPr>
        <w:footnoteRef/>
      </w:r>
      <w:r>
        <w:t xml:space="preserve"> </w:t>
      </w:r>
      <w:r>
        <w:rPr>
          <w:b/>
          <w:bCs/>
          <w:rtl/>
        </w:rPr>
        <w:t>עלאין נחתו מלאכין כו'.</w:t>
      </w:r>
      <w:r>
        <w:rPr>
          <w:rtl/>
        </w:rPr>
        <w:t xml:space="preserve"> עלאין אמר על בני המתיבתין:</w:t>
      </w:r>
    </w:p>
  </w:footnote>
  <w:footnote w:id="3270">
    <w:p w:rsidR="00A13282" w:rsidRDefault="00A13282" w:rsidP="003841DB">
      <w:pPr>
        <w:pStyle w:val="a5"/>
      </w:pPr>
      <w:r>
        <w:rPr>
          <w:rStyle w:val="a7"/>
        </w:rPr>
        <w:footnoteRef/>
      </w:r>
      <w:r>
        <w:t xml:space="preserve"> </w:t>
      </w:r>
      <w:r>
        <w:rPr>
          <w:b/>
          <w:bCs/>
          <w:rtl/>
        </w:rPr>
        <w:t>פתח ואמר.</w:t>
      </w:r>
      <w:r>
        <w:rPr>
          <w:rtl/>
        </w:rPr>
        <w:t xml:space="preserve"> רוצה לומר הסבא:</w:t>
      </w:r>
    </w:p>
  </w:footnote>
  <w:footnote w:id="3271">
    <w:p w:rsidR="00A13282" w:rsidRDefault="00A13282" w:rsidP="003841DB">
      <w:pPr>
        <w:pStyle w:val="a5"/>
      </w:pPr>
      <w:r>
        <w:rPr>
          <w:rStyle w:val="a7"/>
        </w:rPr>
        <w:footnoteRef/>
      </w:r>
      <w:r>
        <w:t xml:space="preserve"> </w:t>
      </w:r>
      <w:r>
        <w:rPr>
          <w:b/>
          <w:bCs/>
          <w:rtl/>
        </w:rPr>
        <w:t>דפומא דילך איהו סיני דבורא דילך באורייתא כו'.</w:t>
      </w:r>
      <w:r>
        <w:rPr>
          <w:rtl/>
        </w:rPr>
        <w:t xml:space="preserve"> רוצה לומר דכתיב (שמות יט טז) ויחרד כל העם כו':</w:t>
      </w:r>
    </w:p>
  </w:footnote>
  <w:footnote w:id="3272">
    <w:p w:rsidR="00A13282" w:rsidRDefault="00A13282" w:rsidP="003841DB">
      <w:pPr>
        <w:pStyle w:val="a5"/>
      </w:pPr>
      <w:r>
        <w:rPr>
          <w:rStyle w:val="a7"/>
        </w:rPr>
        <w:footnoteRef/>
      </w:r>
      <w:r>
        <w:t xml:space="preserve"> </w:t>
      </w:r>
      <w:r>
        <w:rPr>
          <w:b/>
          <w:bCs/>
          <w:rtl/>
        </w:rPr>
        <w:t>ופומא דילך כו'.</w:t>
      </w:r>
      <w:r>
        <w:rPr>
          <w:rtl/>
        </w:rPr>
        <w:t xml:space="preserve"> רוצה לומר שהפה הוא ה' בתראה, כמו שאומר לעיל י"ג א' ושאר מקומות, עשן כלו הן ההבלים, מפני אשר ירד ה' - שם הוי"ה כמו שמפרש והולך:</w:t>
      </w:r>
    </w:p>
  </w:footnote>
  <w:footnote w:id="3273">
    <w:p w:rsidR="00A13282" w:rsidRDefault="00A13282" w:rsidP="003841DB">
      <w:pPr>
        <w:pStyle w:val="a5"/>
      </w:pPr>
      <w:r>
        <w:rPr>
          <w:rStyle w:val="a7"/>
        </w:rPr>
        <w:footnoteRef/>
      </w:r>
      <w:r>
        <w:t xml:space="preserve"> </w:t>
      </w:r>
      <w:r>
        <w:rPr>
          <w:rtl/>
        </w:rPr>
        <w:t xml:space="preserve"> (מתל"ה) </w:t>
      </w:r>
      <w:r>
        <w:rPr>
          <w:b/>
          <w:bCs/>
          <w:rtl/>
        </w:rPr>
        <w:t>אתמר בה והר סיני כו'.</w:t>
      </w:r>
      <w:r>
        <w:rPr>
          <w:rtl/>
        </w:rPr>
        <w:t xml:space="preserve"> שהיא נקראת הר כידוע. והענין, כמו שראשו כתם פ"ז - בשם ופנים ואחור, וכן בשם דידה ג' - היכל וגן ולבנה - פז, אדני פז, וכולם הן הר, וזה שאמרו ברעיא מהימנא ריש פרשת ויקרא באתי לגני זהו מלכות אדנ"י, הזכיר השם דהוא מרומז כנ"ל.</w:t>
      </w:r>
    </w:p>
  </w:footnote>
  <w:footnote w:id="3274">
    <w:p w:rsidR="00A13282" w:rsidRDefault="00A13282" w:rsidP="003841DB">
      <w:pPr>
        <w:pStyle w:val="a5"/>
      </w:pPr>
      <w:r>
        <w:rPr>
          <w:rStyle w:val="a7"/>
        </w:rPr>
        <w:footnoteRef/>
      </w:r>
      <w:r>
        <w:t xml:space="preserve"> </w:t>
      </w:r>
      <w:r>
        <w:rPr>
          <w:b/>
          <w:bCs/>
          <w:rtl/>
        </w:rPr>
        <w:t>דאת י' שריא כו'.</w:t>
      </w:r>
      <w:r>
        <w:rPr>
          <w:rtl/>
        </w:rPr>
        <w:t xml:space="preserve"> חכמה במוח שלו:</w:t>
      </w:r>
    </w:p>
  </w:footnote>
  <w:footnote w:id="3275">
    <w:p w:rsidR="00A13282" w:rsidRDefault="00A13282" w:rsidP="003841DB">
      <w:pPr>
        <w:pStyle w:val="a5"/>
      </w:pPr>
      <w:r>
        <w:rPr>
          <w:rStyle w:val="a7"/>
        </w:rPr>
        <w:footnoteRef/>
      </w:r>
      <w:r>
        <w:t xml:space="preserve"> </w:t>
      </w:r>
      <w:r>
        <w:rPr>
          <w:b/>
          <w:bCs/>
          <w:rtl/>
        </w:rPr>
        <w:t>שריא במוחא דילך ה' כו' ו' בפומא כו'.</w:t>
      </w:r>
      <w:r>
        <w:rPr>
          <w:rtl/>
        </w:rPr>
        <w:t xml:space="preserve"> רוצה לומר הקולות, והפה שהוא הדיבור כבר פירש שהוא ה':</w:t>
      </w:r>
    </w:p>
  </w:footnote>
  <w:footnote w:id="3276">
    <w:p w:rsidR="00A13282" w:rsidRDefault="00A13282" w:rsidP="003841DB">
      <w:pPr>
        <w:pStyle w:val="a5"/>
      </w:pPr>
      <w:r>
        <w:rPr>
          <w:rStyle w:val="a7"/>
        </w:rPr>
        <w:footnoteRef/>
      </w:r>
      <w:r>
        <w:t xml:space="preserve"> </w:t>
      </w:r>
      <w:r>
        <w:rPr>
          <w:b/>
          <w:bCs/>
          <w:rtl/>
        </w:rPr>
        <w:t>ובה לב מבין.</w:t>
      </w:r>
      <w:r>
        <w:rPr>
          <w:rtl/>
        </w:rPr>
        <w:t xml:space="preserve"> מביא ראיה שבינה בלב והראיה הוא מאותיות דר' עקיבא:</w:t>
      </w:r>
    </w:p>
  </w:footnote>
  <w:footnote w:id="3277">
    <w:p w:rsidR="00A13282" w:rsidRDefault="00A13282" w:rsidP="003841DB">
      <w:pPr>
        <w:pStyle w:val="a5"/>
      </w:pPr>
      <w:r>
        <w:rPr>
          <w:rStyle w:val="a7"/>
        </w:rPr>
        <w:footnoteRef/>
      </w:r>
      <w:r>
        <w:t xml:space="preserve"> </w:t>
      </w:r>
      <w:r>
        <w:rPr>
          <w:b/>
          <w:bCs/>
          <w:rtl/>
        </w:rPr>
        <w:t>דאינון הבלים  כו'.</w:t>
      </w:r>
      <w:r>
        <w:rPr>
          <w:rtl/>
        </w:rPr>
        <w:t xml:space="preserve"> רוצה לומר שרואין את ההבלים, דעל קול לא יתכן ראיה, ומביא ראיה דנקרא הבלים קולות דכתיב קול ה' כו' ולהבות אינון הבלים, וכמו שאומר לקמן תיקון ס”ט, וזה שכתוב (שמות יט יח) אשר ירד ה' עליו באש, ומפני שאמר קול ה' חוצב כו' שכל ההוי"ה הוא בדבור, שלמעלה אמר די"ה אינון בחו"ב שאינו ענין רק לתוכיות הדבור, עתה מפרש כל ההוי"ה בדיבור ובהיפוך שהוא מסטרא דנוק' להבות אש ומפרש והולך:</w:t>
      </w:r>
    </w:p>
  </w:footnote>
  <w:footnote w:id="3278">
    <w:p w:rsidR="00A13282" w:rsidRDefault="00A13282" w:rsidP="003841DB">
      <w:pPr>
        <w:pStyle w:val="a5"/>
      </w:pPr>
      <w:r>
        <w:rPr>
          <w:rStyle w:val="a7"/>
        </w:rPr>
        <w:footnoteRef/>
      </w:r>
      <w:r>
        <w:t xml:space="preserve"> </w:t>
      </w:r>
      <w:r>
        <w:rPr>
          <w:b/>
          <w:bCs/>
          <w:rtl/>
        </w:rPr>
        <w:t>שית עזקאן כו'.</w:t>
      </w:r>
      <w:r>
        <w:rPr>
          <w:rtl/>
        </w:rPr>
        <w:t xml:space="preserve"> והן ששה קולות דהבו כו' (תהלים כט), וקלא שביעאה עלייהו וכמו שאומר לקמן תיקון ל’ ע"ז ב', והן ז' הקולות דבפרשה וכמו שבארנו שם, והוא ו' של השם:</w:t>
      </w:r>
    </w:p>
  </w:footnote>
  <w:footnote w:id="3279">
    <w:p w:rsidR="00A13282" w:rsidRDefault="00A13282" w:rsidP="003841DB">
      <w:pPr>
        <w:pStyle w:val="a5"/>
      </w:pPr>
      <w:r>
        <w:rPr>
          <w:rStyle w:val="a7"/>
        </w:rPr>
        <w:footnoteRef/>
      </w:r>
      <w:r>
        <w:t xml:space="preserve"> </w:t>
      </w:r>
      <w:r>
        <w:rPr>
          <w:b/>
          <w:bCs/>
          <w:rtl/>
        </w:rPr>
        <w:t xml:space="preserve"> איהי הבל.</w:t>
      </w:r>
      <w:r>
        <w:rPr>
          <w:rtl/>
        </w:rPr>
        <w:t xml:space="preserve"> דהבל שריא בלבא והוא נהר היוצא מן עדן, קול גדול ולא יסף. ומפרש והולך, ה' ל"ב - זהו ראיה דה' בלב והוא ה' דהששי עם ל"ב אלקים:</w:t>
      </w:r>
    </w:p>
  </w:footnote>
  <w:footnote w:id="3280">
    <w:p w:rsidR="00A13282" w:rsidRDefault="00A13282" w:rsidP="003841DB">
      <w:pPr>
        <w:pStyle w:val="a5"/>
      </w:pPr>
      <w:r>
        <w:rPr>
          <w:rStyle w:val="a7"/>
        </w:rPr>
        <w:footnoteRef/>
      </w:r>
      <w:r>
        <w:t xml:space="preserve"> </w:t>
      </w:r>
      <w:r>
        <w:rPr>
          <w:b/>
          <w:bCs/>
          <w:rtl/>
        </w:rPr>
        <w:t xml:space="preserve"> דאינון לקבל כו'.</w:t>
      </w:r>
      <w:r>
        <w:rPr>
          <w:rtl/>
        </w:rPr>
        <w:t xml:space="preserve"> רוצה לומר זהו בתי לבא, ולבא איהו בית המקדש, לבא דכל עלמא וכמו שאומר בזהר פרשת שלח קס"א ב' עיין שם בארוכה:</w:t>
      </w:r>
    </w:p>
  </w:footnote>
  <w:footnote w:id="3281">
    <w:p w:rsidR="00A13282" w:rsidRDefault="00A13282" w:rsidP="003841DB">
      <w:pPr>
        <w:pStyle w:val="a5"/>
      </w:pPr>
      <w:r>
        <w:rPr>
          <w:rStyle w:val="a7"/>
        </w:rPr>
        <w:footnoteRef/>
      </w:r>
      <w:r>
        <w:t xml:space="preserve"> </w:t>
      </w:r>
      <w:r>
        <w:rPr>
          <w:b/>
          <w:bCs/>
          <w:rtl/>
        </w:rPr>
        <w:t xml:space="preserve"> ו' קול דנפיק כו'.</w:t>
      </w:r>
      <w:r>
        <w:rPr>
          <w:rtl/>
        </w:rPr>
        <w:t xml:space="preserve"> שב' ההי"ן כאן במקום י"ק, וא"ו נפיק מביניהון:</w:t>
      </w:r>
    </w:p>
  </w:footnote>
  <w:footnote w:id="3282">
    <w:p w:rsidR="00A13282" w:rsidRDefault="00A13282" w:rsidP="003841DB">
      <w:pPr>
        <w:pStyle w:val="a5"/>
      </w:pPr>
      <w:r>
        <w:rPr>
          <w:rStyle w:val="a7"/>
        </w:rPr>
        <w:footnoteRef/>
      </w:r>
      <w:r>
        <w:t xml:space="preserve"> </w:t>
      </w:r>
      <w:r>
        <w:rPr>
          <w:b/>
          <w:bCs/>
          <w:rtl/>
        </w:rPr>
        <w:t xml:space="preserve"> י' דבור כו'.</w:t>
      </w:r>
      <w:r>
        <w:rPr>
          <w:rtl/>
        </w:rPr>
        <w:t xml:space="preserve"> כמו שמפרש והולך ואיהו דבור חד כו':</w:t>
      </w:r>
    </w:p>
  </w:footnote>
  <w:footnote w:id="3283">
    <w:p w:rsidR="00A13282" w:rsidRDefault="00A13282" w:rsidP="003841DB">
      <w:pPr>
        <w:pStyle w:val="a5"/>
      </w:pPr>
      <w:r>
        <w:rPr>
          <w:rStyle w:val="a7"/>
        </w:rPr>
        <w:footnoteRef/>
      </w:r>
      <w:r>
        <w:t xml:space="preserve"> </w:t>
      </w:r>
      <w:r>
        <w:rPr>
          <w:b/>
          <w:bCs/>
          <w:rtl/>
        </w:rPr>
        <w:t xml:space="preserve"> ועליה אתמר בדבר כו'.</w:t>
      </w:r>
      <w:r>
        <w:rPr>
          <w:rtl/>
        </w:rPr>
        <w:t xml:space="preserve"> דלמעלה אמר דשמים ביוד נבראו כמו שאומר לעיל את השמים לבושא לעלמא עילאה דאתברי בנקודה עילאה כו', ואמר שם ו' עלמא דאתי דאיהו עלמא אריכא דאין מות שם והוא נברא ביוד והוא השמים ועיין מה שבארנו שם, לכן אמר כאן דיוד הוא דבורא ומתהפך כחומר חותם וכמו שאומר לקמן ע"ב, כגוונא דא י' כו' ולבתר בשור כו', וכמו שאומר לעיל בתיקון י”ט עיין שם:</w:t>
      </w:r>
    </w:p>
  </w:footnote>
  <w:footnote w:id="3284">
    <w:p w:rsidR="00A13282" w:rsidRDefault="00A13282" w:rsidP="003841DB">
      <w:pPr>
        <w:pStyle w:val="a5"/>
      </w:pPr>
      <w:r>
        <w:rPr>
          <w:rStyle w:val="a7"/>
        </w:rPr>
        <w:footnoteRef/>
      </w:r>
      <w:r>
        <w:t xml:space="preserve"> </w:t>
      </w:r>
      <w:r>
        <w:rPr>
          <w:b/>
          <w:bCs/>
          <w:rtl/>
        </w:rPr>
        <w:t xml:space="preserve"> ואיהו דבור חד דכליל כו'.</w:t>
      </w:r>
      <w:r>
        <w:rPr>
          <w:rtl/>
        </w:rPr>
        <w:t xml:space="preserve"> כמו שאמרו (בבהיר) נגע בבת וכליל בה כל עשר אמירן, והיא יוד הנ"ל דכליל עשרה באות אחת:</w:t>
      </w:r>
    </w:p>
  </w:footnote>
  <w:footnote w:id="3285">
    <w:p w:rsidR="00A13282" w:rsidRDefault="00A13282" w:rsidP="003841DB">
      <w:pPr>
        <w:pStyle w:val="a5"/>
      </w:pPr>
      <w:r>
        <w:rPr>
          <w:rStyle w:val="a7"/>
        </w:rPr>
        <w:footnoteRef/>
      </w:r>
      <w:r>
        <w:t xml:space="preserve"> </w:t>
      </w:r>
      <w:r>
        <w:rPr>
          <w:b/>
          <w:bCs/>
          <w:rtl/>
        </w:rPr>
        <w:t xml:space="preserve"> ורזא דמלה אחת כו' לאחזאה כו' ואיהו אחד בינייהו כו'.</w:t>
      </w:r>
      <w:r>
        <w:rPr>
          <w:rtl/>
        </w:rPr>
        <w:t xml:space="preserve"> הענין כי עשרת הדברות נאמרו בדבור אחד וחזרו ונאמרו בפרטות וכמו שאמרו במכילתא פ' יתרו את כל הדברים מלמד שאמר המקום עשרת הדברות בדבור אחד מה שאי אפשר לבשר ודם לומר כן שנאמר את כל הדברים, ומה תלמוד לומר אנכי ולא יהיה לך אלא מלמד שאמר המקום י' הדברות בדבור אחד וחזר ופרטן דבור דבור בפני עצמו, ורוצה לומר אם כן מה תלמוד לומר אנכי ולא יהיה לך דאמרינן (במכילתא לקמן ובפ"ג דשבועות זכור) אנכי ולא יהיה לך נאמרו בדבור אחד, לזה תירץ דחזר ופרטן, ובאלו הפרט אף על פי כן נאמרו אלו השנים בדבור אחד, ואלו שנים נאמרו מפי הגבורה כמו שמפרש והולך בסוף מכות, ואע"ג שנאמר את כל הדברים דבר ה' אל כל קהלכם וכבר הרגיש רש"י שם בזה אבל הענין דזה בכללות וזה בפרטות, וכל מה שדבר עמהם הכל בדבור אחד, וזהו אחת דבר אלקים - בכללות והוא יוד של שם, ואח"כ שתים זו שמעתי - בדבור אחד, ואמר זו, דזו - אחד בחושבן, ואלו שמעו ממש, דעשר בכללות לא הבינו שלכן חזר ופרטן ומה שכללן - להודיען שהכל אחד וכמו שאומר בבהיר ג' ג' הא למדת דכלהו בחדא מילתא אמיר' ובעבור שלא יטעו ישראל כו' ובעבור כו' עיין שם, וזה שתים כו' שמעתי אבל תרי"א צוה לנו משה כמו שאמרו בגמ' שם והם דברי רש"י ששמעו (בחיתוך) הקול לבד אבל לא כמו שפירש על שאר דברות אלא כולן ביחד:</w:t>
      </w:r>
    </w:p>
  </w:footnote>
  <w:footnote w:id="3286">
    <w:p w:rsidR="00A13282" w:rsidRDefault="00A13282" w:rsidP="003841DB">
      <w:pPr>
        <w:pStyle w:val="a5"/>
      </w:pPr>
      <w:r>
        <w:rPr>
          <w:rStyle w:val="a7"/>
        </w:rPr>
        <w:footnoteRef/>
      </w:r>
      <w:r>
        <w:t xml:space="preserve"> </w:t>
      </w:r>
      <w:r>
        <w:rPr>
          <w:b/>
          <w:bCs/>
          <w:rtl/>
        </w:rPr>
        <w:t xml:space="preserve"> לאחזאה בה כו'.</w:t>
      </w:r>
      <w:r>
        <w:rPr>
          <w:rtl/>
        </w:rPr>
        <w:t xml:space="preserve"> הוא על הכלל הנ"ל דאחת דבר אלקים:</w:t>
      </w:r>
    </w:p>
  </w:footnote>
  <w:footnote w:id="3287">
    <w:p w:rsidR="00A13282" w:rsidRDefault="00A13282" w:rsidP="003841DB">
      <w:pPr>
        <w:pStyle w:val="a5"/>
      </w:pPr>
      <w:r>
        <w:rPr>
          <w:rStyle w:val="a7"/>
        </w:rPr>
        <w:footnoteRef/>
      </w:r>
      <w:r>
        <w:t xml:space="preserve"> </w:t>
      </w:r>
      <w:r>
        <w:rPr>
          <w:b/>
          <w:bCs/>
          <w:rtl/>
        </w:rPr>
        <w:t>ואיהו אחד בינייהו.</w:t>
      </w:r>
      <w:r>
        <w:rPr>
          <w:rtl/>
        </w:rPr>
        <w:t xml:space="preserve"> כמו שאומר למטה, בחושבן זו:</w:t>
      </w:r>
    </w:p>
  </w:footnote>
  <w:footnote w:id="3288">
    <w:p w:rsidR="00A13282" w:rsidRDefault="00A13282" w:rsidP="003841DB">
      <w:pPr>
        <w:pStyle w:val="a5"/>
      </w:pPr>
      <w:r>
        <w:rPr>
          <w:rStyle w:val="a7"/>
        </w:rPr>
        <w:footnoteRef/>
      </w:r>
      <w:r>
        <w:t xml:space="preserve"> </w:t>
      </w:r>
      <w:r>
        <w:rPr>
          <w:b/>
          <w:bCs/>
          <w:rtl/>
        </w:rPr>
        <w:t xml:space="preserve"> ודא איהו דאמרן דמתרווייהו תליין כו'.</w:t>
      </w:r>
      <w:r>
        <w:rPr>
          <w:rtl/>
        </w:rPr>
        <w:t xml:space="preserve"> כמו שאומר בזהר פרשת יתרו צ"א א' אנכי ולא יהיה לך אתמר ברזא דאורייתא ודא איהו זכור ושמור כו' אלין אינון תריסר פקודין עילאין דכלילן כו' ובאלין תריסר תליין כו' ולכן ניתנה התורה מימינא ושמאלא וכמו שאומר לקמן בתיקון ל”ב ע"ט ב' ועמודא דאמצעיתא בינייהו מייחדן וכמו שאומר שם, וזה שאומר כאן וקב"ה מתרווייהו כו' דהא איהו כו', דבב' זו"נ א' המייחדן סוד ב' ואלף, והוא התורה בין עשה ולא תעשה - עמודא דאמצעיתא ביניהן, וכן שמו המייחדן וכמו שאומר למטה והכל בדרגא דעמודא דאמצעיתא והן שם הוי"ה: אחת דבר אלקים, וידבר אלקים את כל הדברים כו' - הוא יוד של שם כנ"ל, שתים הן ב' דברות הנ"ל, מצוות עשה ומצוות לא תעשה, ב' תורות כמו שאומר לקמן הן משתי ההין שהן ימינא ושמאלא כמו שאומר לעיל ל"ט ב' ושתי כתפות חוברות כו' דאינון ימינא ושמאלא ואינון ה"ה, והן הן ב' תורות - ז"ו שמעתי, קב"ה עמודא דאמצעיתא - חד בינייהו והוא וא"ו, וכן וא"ו בחושבן זו, אחד, והוא המייחד הכל. והענין, שבתחלה נאמר להון בכללות - ומתו, והוריד הקב"ה הטל והחיה אותן ואמר להן עוד שתי הדברות בדבור אחד, והן אמרו מיד למשה קרב אתה ושמע, ולכן בדברות אלו נאמר בלשון הקב"ה: אנכי כו', על פני, כי אנכי כו', ובשאר נאמר בלשון משה: את שם ה' כו', והענין כי בתחלה נאמר להן בדרגא דנוק', יו"ד הנ"ל, לכן מתו, וחזרו וחיו - להשאר בדרגא דדכורא, והן אלו ג' אותיות: שתים זו, וכמו שאומר בזהר פרשת ואתחנן רס"א א' ב' ואת תדבר אלינו כו' דהא בשעתא קדמיתא מתו מאי טעמא בגין כו' וקמו ובעאן לאעלא לאילנא דחיי כו':</w:t>
      </w:r>
    </w:p>
  </w:footnote>
  <w:footnote w:id="3289">
    <w:p w:rsidR="00A13282" w:rsidRDefault="00A13282" w:rsidP="003841DB">
      <w:pPr>
        <w:pStyle w:val="a5"/>
      </w:pPr>
      <w:r>
        <w:rPr>
          <w:rStyle w:val="a7"/>
        </w:rPr>
        <w:footnoteRef/>
      </w:r>
      <w:r>
        <w:t xml:space="preserve"> </w:t>
      </w:r>
      <w:r>
        <w:rPr>
          <w:b/>
          <w:bCs/>
          <w:rtl/>
        </w:rPr>
        <w:t xml:space="preserve"> למיהב יקרא לאורייתא כו'.</w:t>
      </w:r>
      <w:r>
        <w:rPr>
          <w:rtl/>
        </w:rPr>
        <w:t xml:space="preserve"> כמו שאומר לקמן ואיהו לא הוה ממלל באלין כו', דשמיה ויקרא הוה באורייתא כמו שאומר לקמן זה שמי כו', דשם הוי"ה דהוא שם אחד - מיחד מצוות עשה ומצוות לא תעשה, וזה שאומר דתרין תורות הוו וקב"ה חד בינייהו, ושמיה חד בשם הוי"ה כנ"ל, ותרי תורות ומצוות עשה ומצוות לא תעשה הן אנכי ולא יהיה לך, והקב"ה שדיבר בדבור אחד מייחדם ובשמו:</w:t>
      </w:r>
    </w:p>
  </w:footnote>
  <w:footnote w:id="3290">
    <w:p w:rsidR="00A13282" w:rsidRDefault="00A13282" w:rsidP="003841DB">
      <w:pPr>
        <w:pStyle w:val="a5"/>
      </w:pPr>
      <w:r>
        <w:rPr>
          <w:rStyle w:val="a7"/>
        </w:rPr>
        <w:footnoteRef/>
      </w:r>
      <w:r>
        <w:t xml:space="preserve"> </w:t>
      </w:r>
      <w:r>
        <w:rPr>
          <w:b/>
          <w:bCs/>
          <w:rtl/>
        </w:rPr>
        <w:t xml:space="preserve"> ומתרין דבורין נפק קלא.</w:t>
      </w:r>
      <w:r>
        <w:rPr>
          <w:rtl/>
        </w:rPr>
        <w:t xml:space="preserve"> כמו שאומר לקמן דמב' ההי"ן נפיק הקול כמו שאומר ו' קול דנפיק מתרווייהו:</w:t>
      </w:r>
    </w:p>
  </w:footnote>
  <w:footnote w:id="3291">
    <w:p w:rsidR="00A13282" w:rsidRDefault="00A13282" w:rsidP="003841DB">
      <w:pPr>
        <w:pStyle w:val="a5"/>
      </w:pPr>
      <w:r>
        <w:rPr>
          <w:rStyle w:val="a7"/>
        </w:rPr>
        <w:footnoteRef/>
      </w:r>
      <w:r>
        <w:t xml:space="preserve"> </w:t>
      </w:r>
      <w:r>
        <w:rPr>
          <w:b/>
          <w:bCs/>
          <w:rtl/>
        </w:rPr>
        <w:t xml:space="preserve"> ואתפליג לע' קלין.</w:t>
      </w:r>
      <w:r>
        <w:rPr>
          <w:rtl/>
        </w:rPr>
        <w:t xml:space="preserve"> דעמודא דאמצעיתא כולל ע' קלין, ע' אנפין, ע' נפש, ע' משפחות, וכמו שאומר למטה ומניה סליק קול דאיהו עמודא דאמצעיתא ואסתלק לע' קלין והוא ע' נפש עם יעקב וכנגדו ע' אומות - יצב גבולות עמים למספר בני ישראל, ונגד אברהם ויצחק, ב' דבורין הנ"ל, הן ב' אומין עשו וישמעאל, וזה שאומר ואתפליג כו' ובתרין דבורין קטיל כו', ואמר ומתרין דבורין נפיק קלא, דע' - שורשן ב', אנ"י וה"ו, ובכל אחד ל"ה, וכן בע' אומין ועיין מה שכתבתי לקמן בתיקון ל”ב ובמקום אחר בארוכה:</w:t>
      </w:r>
    </w:p>
  </w:footnote>
  <w:footnote w:id="3292">
    <w:p w:rsidR="00A13282" w:rsidRDefault="00A13282" w:rsidP="003841DB">
      <w:pPr>
        <w:pStyle w:val="a5"/>
      </w:pPr>
      <w:r>
        <w:rPr>
          <w:rStyle w:val="a7"/>
        </w:rPr>
        <w:footnoteRef/>
      </w:r>
      <w:r>
        <w:t xml:space="preserve"> </w:t>
      </w:r>
      <w:r>
        <w:rPr>
          <w:b/>
          <w:bCs/>
          <w:rtl/>
        </w:rPr>
        <w:t xml:space="preserve"> דהא קב"ה חד כו'.</w:t>
      </w:r>
      <w:r>
        <w:rPr>
          <w:rtl/>
        </w:rPr>
        <w:t xml:space="preserve"> רוצה לומר למה ניתנה באלו הנ"ל, אחת שתים זו, אלא להודיע דשם הוי"ה ברוך הוא - בתורה, וכמו שאומר למטה ובג"ד אמר קב"ה למשה זה שמי כו' שמי עם כו', דנכלל בתרי"ג מצות  פקודין דאורייתא שמו הגדול יתברך ויתעלה, וכל זה להודיע לעמים שייראו מישראל וכמו שמפרש והולך:</w:t>
      </w:r>
    </w:p>
  </w:footnote>
  <w:footnote w:id="3293">
    <w:p w:rsidR="00A13282" w:rsidRDefault="00A13282" w:rsidP="003841DB">
      <w:pPr>
        <w:pStyle w:val="a5"/>
      </w:pPr>
      <w:r>
        <w:rPr>
          <w:rStyle w:val="a7"/>
        </w:rPr>
        <w:footnoteRef/>
      </w:r>
      <w:r>
        <w:t xml:space="preserve"> </w:t>
      </w:r>
      <w:r>
        <w:rPr>
          <w:b/>
          <w:bCs/>
          <w:rtl/>
        </w:rPr>
        <w:t xml:space="preserve"> ובג"ד מליל בדינא.</w:t>
      </w:r>
      <w:r>
        <w:rPr>
          <w:rtl/>
        </w:rPr>
        <w:t xml:space="preserve"> רוצה לומר דכתיב וידבר אלקים, וניתנה באש חשך ענן וערפל וקולות וברקים בגין דיזדעזעון כו' וכמו שכתוב (דברים כח י) וראו כל עמי הארץ כי שם ה' נקרא עליך ויראו ממך, ושם ה' - הוא באורייתא ומפרש והולך לאחזאה דאורייתא בשמא דקב"ה כו':</w:t>
      </w:r>
    </w:p>
  </w:footnote>
  <w:footnote w:id="3294">
    <w:p w:rsidR="00A13282" w:rsidRDefault="00A13282" w:rsidP="003841DB">
      <w:pPr>
        <w:pStyle w:val="a5"/>
      </w:pPr>
      <w:r>
        <w:rPr>
          <w:rStyle w:val="a7"/>
        </w:rPr>
        <w:footnoteRef/>
      </w:r>
      <w:r>
        <w:t xml:space="preserve"> </w:t>
      </w:r>
      <w:r>
        <w:rPr>
          <w:b/>
          <w:bCs/>
          <w:rtl/>
        </w:rPr>
        <w:t xml:space="preserve"> דאורייתא בשמא דקב"ה אתבריאת.</w:t>
      </w:r>
      <w:r>
        <w:rPr>
          <w:rtl/>
        </w:rPr>
        <w:t xml:space="preserve"> כמו שאומר לעיל ד' ב', ה' קנני ראשית דרכו כו' ועיין מה שכתבתי שם:</w:t>
      </w:r>
    </w:p>
  </w:footnote>
  <w:footnote w:id="3295">
    <w:p w:rsidR="00A13282" w:rsidRDefault="00A13282" w:rsidP="003841DB">
      <w:pPr>
        <w:pStyle w:val="a5"/>
      </w:pPr>
      <w:r>
        <w:rPr>
          <w:rStyle w:val="a7"/>
        </w:rPr>
        <w:footnoteRef/>
      </w:r>
      <w:r>
        <w:t xml:space="preserve"> </w:t>
      </w:r>
      <w:r>
        <w:rPr>
          <w:b/>
          <w:bCs/>
          <w:rtl/>
        </w:rPr>
        <w:t xml:space="preserve"> הה"ד כל הנק' כו'.</w:t>
      </w:r>
      <w:r>
        <w:rPr>
          <w:rtl/>
        </w:rPr>
        <w:t xml:space="preserve"> רוצה לומר דכתיב בשמי ולכבודי, וכבוד הוא תורה וכמו שאמרו (משנה אבות ו ג) אין כבוד אלא תורה, וכמו שאומר לעיל ד' ב' (ועיין שם ה' א' הה"ד כל הנקרא כו' עיין שם) והוא כבוד נברא וכמו שאומר שם ואית כבוד נברא כו' וזה שאומר ובה שריא כו' (כמו שאמרו אין לו להקב"ה אלא ד' אמות של הלכה ומינה מליל בסיני, דתורה מבריאה ניתנה, עיין בתיקוני זהר חדש פ"ט ג' ומה שכתבתי שם):</w:t>
      </w:r>
    </w:p>
  </w:footnote>
  <w:footnote w:id="3296">
    <w:p w:rsidR="00A13282" w:rsidRDefault="00A13282" w:rsidP="003841DB">
      <w:pPr>
        <w:pStyle w:val="a5"/>
      </w:pPr>
      <w:r>
        <w:rPr>
          <w:rStyle w:val="a7"/>
        </w:rPr>
        <w:footnoteRef/>
      </w:r>
      <w:r>
        <w:t xml:space="preserve"> </w:t>
      </w:r>
      <w:r>
        <w:rPr>
          <w:b/>
          <w:bCs/>
          <w:rtl/>
        </w:rPr>
        <w:t>ומינה כו'.</w:t>
      </w:r>
      <w:r>
        <w:rPr>
          <w:rtl/>
        </w:rPr>
        <w:t xml:space="preserve"> דאנכי הוא כסא והוא כבוד נברא ועלה אתמר ומראה כבוד ה' כו':</w:t>
      </w:r>
    </w:p>
  </w:footnote>
  <w:footnote w:id="3297">
    <w:p w:rsidR="00A13282" w:rsidRDefault="00A13282" w:rsidP="003841DB">
      <w:pPr>
        <w:pStyle w:val="a5"/>
      </w:pPr>
      <w:r>
        <w:rPr>
          <w:rStyle w:val="a7"/>
        </w:rPr>
        <w:footnoteRef/>
      </w:r>
      <w:r>
        <w:t xml:space="preserve"> </w:t>
      </w:r>
      <w:r>
        <w:rPr>
          <w:b/>
          <w:bCs/>
          <w:rtl/>
        </w:rPr>
        <w:t xml:space="preserve"> ואית אורייתא כו'.</w:t>
      </w:r>
      <w:r>
        <w:rPr>
          <w:rtl/>
        </w:rPr>
        <w:t xml:space="preserve"> כמו שאומר שם ואית כבוד נאצל מסטרא דאורייתא כו', ושם ג' ב' דעשר ספירות דאצילות מלכא בהון כו' מה דלאו כו':</w:t>
      </w:r>
    </w:p>
  </w:footnote>
  <w:footnote w:id="3298">
    <w:p w:rsidR="00A13282" w:rsidRDefault="00A13282" w:rsidP="003841DB">
      <w:pPr>
        <w:pStyle w:val="a5"/>
      </w:pPr>
      <w:r>
        <w:rPr>
          <w:rStyle w:val="a7"/>
        </w:rPr>
        <w:footnoteRef/>
      </w:r>
      <w:r>
        <w:t xml:space="preserve"> </w:t>
      </w:r>
      <w:r>
        <w:rPr>
          <w:b/>
          <w:bCs/>
          <w:rtl/>
        </w:rPr>
        <w:t xml:space="preserve"> ובוצינא קדישא ודאי כו'.</w:t>
      </w:r>
      <w:r>
        <w:rPr>
          <w:rtl/>
        </w:rPr>
        <w:t xml:space="preserve"> חוזר לענין ראשון:</w:t>
      </w:r>
    </w:p>
  </w:footnote>
  <w:footnote w:id="3299">
    <w:p w:rsidR="00A13282" w:rsidRDefault="00A13282" w:rsidP="003841DB">
      <w:pPr>
        <w:pStyle w:val="a5"/>
      </w:pPr>
      <w:r>
        <w:rPr>
          <w:rStyle w:val="a7"/>
        </w:rPr>
        <w:footnoteRef/>
      </w:r>
      <w:r>
        <w:t xml:space="preserve"> </w:t>
      </w:r>
      <w:r>
        <w:rPr>
          <w:b/>
          <w:bCs/>
          <w:rtl/>
        </w:rPr>
        <w:t xml:space="preserve"> שבע הבלים.</w:t>
      </w:r>
      <w:r>
        <w:rPr>
          <w:rtl/>
        </w:rPr>
        <w:t xml:space="preserve"> דאינון הבל הבלים כמו שאומר לקמן ק"ו ב' שבע הבלים אינון בהאי קרא כו' עלייהו אתמר קול ה' כו' לכוונא בשכינתא עלאה דכל הבלים מינה תליין ומתלבשין בשכינתא תתאה דכלילא שבע שמהן אב"ג ית"ץ וחברוי דאינון כו', וזה שאומר כאן </w:t>
      </w:r>
      <w:r>
        <w:rPr>
          <w:b/>
          <w:bCs/>
          <w:rtl/>
        </w:rPr>
        <w:t>שכינתא שריא כו'.</w:t>
      </w:r>
      <w:r>
        <w:rPr>
          <w:rtl/>
        </w:rPr>
        <w:t xml:space="preserve"> ואיהו הבל דלבר בפומא כמו שאומר למטה וב' ההי"ן אינון הבל כו':</w:t>
      </w:r>
    </w:p>
  </w:footnote>
  <w:footnote w:id="3300">
    <w:p w:rsidR="00A13282" w:rsidRDefault="00A13282" w:rsidP="003841DB">
      <w:pPr>
        <w:pStyle w:val="a5"/>
      </w:pPr>
      <w:r>
        <w:rPr>
          <w:rStyle w:val="a7"/>
        </w:rPr>
        <w:footnoteRef/>
      </w:r>
      <w:r>
        <w:t xml:space="preserve"> </w:t>
      </w:r>
      <w:r>
        <w:rPr>
          <w:b/>
          <w:bCs/>
          <w:rtl/>
        </w:rPr>
        <w:t>דאיהי ודאי ביה כו'.</w:t>
      </w:r>
      <w:r>
        <w:rPr>
          <w:rtl/>
        </w:rPr>
        <w:t xml:space="preserve"> כנ"ל דמינה תליין מתלבשין בשכינתא תתאה כו' ואינון ב' הבלים כמו שאומר למטה הבל דלגאו הבל דלבר:</w:t>
      </w:r>
    </w:p>
  </w:footnote>
  <w:footnote w:id="3301">
    <w:p w:rsidR="00A13282" w:rsidRDefault="00A13282" w:rsidP="003841DB">
      <w:pPr>
        <w:pStyle w:val="a5"/>
      </w:pPr>
      <w:r>
        <w:rPr>
          <w:rStyle w:val="a7"/>
        </w:rPr>
        <w:footnoteRef/>
      </w:r>
      <w:r>
        <w:t xml:space="preserve"> </w:t>
      </w:r>
      <w:r>
        <w:rPr>
          <w:b/>
          <w:bCs/>
          <w:rtl/>
        </w:rPr>
        <w:t xml:space="preserve"> דאיהו ביה סלקא לשבע.</w:t>
      </w:r>
      <w:r>
        <w:rPr>
          <w:rtl/>
        </w:rPr>
        <w:t xml:space="preserve"> דמינה תלי' שבע דרגין והן שבע שמהן, הראשון בבינה ורוצה לומר בנהר היוצא ממנה והוא הדעת, הנהר דכליל ו' צינורין וכל צינור כליל שית כמו שאומר לעיל ל"ח א' והן ו"ק שכל אחד כולל ו', מי ברא אלה, וזה שאומר בתיקון ל’ שביעאה באימא וה' תתאה בת שבע בת קול דכלילא משבע:</w:t>
      </w:r>
    </w:p>
  </w:footnote>
  <w:footnote w:id="3302">
    <w:p w:rsidR="00A13282" w:rsidRDefault="00A13282" w:rsidP="003841DB">
      <w:pPr>
        <w:pStyle w:val="a5"/>
      </w:pPr>
      <w:r>
        <w:rPr>
          <w:rStyle w:val="a7"/>
        </w:rPr>
        <w:footnoteRef/>
      </w:r>
      <w:r>
        <w:t xml:space="preserve"> </w:t>
      </w:r>
      <w:r>
        <w:rPr>
          <w:b/>
          <w:bCs/>
          <w:rtl/>
        </w:rPr>
        <w:t xml:space="preserve"> ומינה סליק כו'.</w:t>
      </w:r>
      <w:r>
        <w:rPr>
          <w:rtl/>
        </w:rPr>
        <w:t xml:space="preserve"> רוצה לומר מה' עילאה דכלילא בה' תתאה והו' יוצא מבין שניהם ועיין מה שכתבתי למטה:</w:t>
      </w:r>
    </w:p>
  </w:footnote>
  <w:footnote w:id="3303">
    <w:p w:rsidR="00A13282" w:rsidRDefault="00A13282" w:rsidP="003841DB">
      <w:pPr>
        <w:pStyle w:val="a5"/>
      </w:pPr>
      <w:r>
        <w:rPr>
          <w:rStyle w:val="a7"/>
        </w:rPr>
        <w:footnoteRef/>
      </w:r>
      <w:r>
        <w:t xml:space="preserve"> </w:t>
      </w:r>
      <w:r>
        <w:rPr>
          <w:b/>
          <w:bCs/>
          <w:rtl/>
        </w:rPr>
        <w:t xml:space="preserve"> דאיהי סליק לאוירא כו'.</w:t>
      </w:r>
      <w:r>
        <w:rPr>
          <w:rtl/>
        </w:rPr>
        <w:t xml:space="preserve"> רוצה לומר דהקול סליק לאויר דהוא מסטרא דחכמה כמו שמפרש והולך וכי היכי דה' תתאה דסליק לה' עילאה ונכלל בשם מ"ב, כן הוא"ו דסליק ליו"ד נכלל בשם ע"ב כמו שמפרש והולך:</w:t>
      </w:r>
    </w:p>
  </w:footnote>
  <w:footnote w:id="3304">
    <w:p w:rsidR="00A13282" w:rsidRDefault="00A13282" w:rsidP="003841DB">
      <w:pPr>
        <w:pStyle w:val="a5"/>
      </w:pPr>
      <w:r>
        <w:rPr>
          <w:rStyle w:val="a7"/>
        </w:rPr>
        <w:footnoteRef/>
      </w:r>
      <w:r>
        <w:t xml:space="preserve"> </w:t>
      </w:r>
      <w:r>
        <w:rPr>
          <w:b/>
          <w:bCs/>
          <w:rtl/>
        </w:rPr>
        <w:t xml:space="preserve"> וב' ההי"ן כו'.</w:t>
      </w:r>
      <w:r>
        <w:rPr>
          <w:rtl/>
        </w:rPr>
        <w:t xml:space="preserve"> רוצה לומר דעם ב' ההי"ן דסליק מנהון הן ע', וב' ההי"ן עצמן ע"ב כמו שאומר למטה אלא דמתחיל לפרש ענין ב' ההי"ן היאך שהן י"ב, יו"ד דעשר דברין שאמר הקב"ה בפעם ראשונה וב' דברין דפעם שניה והן הכל חד דבפעם ראשונה נחלק גם כן לשנים ה' נגד ה' כמו שמפרש והולך והן שנים בכללות, והן בדבור אחד נאמרו וכן בפעם שניה אלא שבראשונה בבחינת ה' ובפעם שניה בכללות האות, וכל אחד כולל ה' ומפרש והולך. וב' ההי"ן וכו' ואינון תרווייהו כו'. ולמעלה אמר בב' בתי לבא היינו דכלילא שם אבל מקומה בהבל שבפה:</w:t>
      </w:r>
    </w:p>
  </w:footnote>
  <w:footnote w:id="3305">
    <w:p w:rsidR="00A13282" w:rsidRDefault="00A13282" w:rsidP="003841DB">
      <w:pPr>
        <w:pStyle w:val="a5"/>
      </w:pPr>
      <w:r>
        <w:rPr>
          <w:rStyle w:val="a7"/>
        </w:rPr>
        <w:footnoteRef/>
      </w:r>
      <w:r>
        <w:t xml:space="preserve"> </w:t>
      </w:r>
      <w:r>
        <w:rPr>
          <w:b/>
          <w:bCs/>
          <w:rtl/>
        </w:rPr>
        <w:t xml:space="preserve"> ובהון אינון פומא כו'.</w:t>
      </w:r>
      <w:r>
        <w:rPr>
          <w:rtl/>
        </w:rPr>
        <w:t xml:space="preserve"> עיין בזהר פרשת יתרו פ"ד ב' אלא הכי תאנא חמשה קלין אינון לימינא וחמשה לשמאלא ואינון דשמאלא כלילין בימינא ומן ימינא אתחזי אינון דשמאלא והכא כולא איהו ימינא ואתכלילן אלין באלין מאן דהוה מסטרא דא חמי כו' הא כיצד כו' עיין שם, ושם במכילתא כיצד ניתנו עשרת הדברורת חמשה על לוח אחת וחמשה על לוח אחת, כתיב אנכי ה' אלהיך וכנגדו לא תרצח מגיד הכתוב שכל מי שהוא שופך כו', כתיב לא יהיה לך וכנגדו לא תנאף מגיד כו', ואומר שני שדיך כשני עפרים ואומר ידיו גלילי זהב כו':</w:t>
      </w:r>
    </w:p>
  </w:footnote>
  <w:footnote w:id="3306">
    <w:p w:rsidR="00A13282" w:rsidRDefault="00A13282" w:rsidP="003841DB">
      <w:pPr>
        <w:pStyle w:val="a5"/>
      </w:pPr>
      <w:r>
        <w:rPr>
          <w:rStyle w:val="a7"/>
        </w:rPr>
        <w:footnoteRef/>
      </w:r>
      <w:r>
        <w:t xml:space="preserve"> </w:t>
      </w:r>
      <w:r>
        <w:rPr>
          <w:b/>
          <w:bCs/>
          <w:rtl/>
        </w:rPr>
        <w:t xml:space="preserve"> תרין ההין וודאי כו'.</w:t>
      </w:r>
      <w:r>
        <w:rPr>
          <w:rtl/>
        </w:rPr>
        <w:t xml:space="preserve"> עתה מפרש שהן שנים ולמעלה עשרה והן ע"ב וכמו שאומר למטה:</w:t>
      </w:r>
    </w:p>
  </w:footnote>
  <w:footnote w:id="3307">
    <w:p w:rsidR="00A13282" w:rsidRDefault="00A13282" w:rsidP="003841DB">
      <w:pPr>
        <w:pStyle w:val="a5"/>
      </w:pPr>
      <w:r>
        <w:rPr>
          <w:rStyle w:val="a7"/>
        </w:rPr>
        <w:footnoteRef/>
      </w:r>
      <w:r>
        <w:t xml:space="preserve"> </w:t>
      </w:r>
      <w:r>
        <w:rPr>
          <w:b/>
          <w:bCs/>
          <w:rtl/>
        </w:rPr>
        <w:t xml:space="preserve"> ו' קלא דנפיק כו'.</w:t>
      </w:r>
      <w:r>
        <w:rPr>
          <w:rtl/>
        </w:rPr>
        <w:t xml:space="preserve"> לומר שלכך נכלל בהן אע"ג דה' תתאה בפה מכל מקום נכלל גם כן בלב כנ"ל ומתרווייהו נפיק וכן כשיוצא מן הפה יוצא מה' תתאה והוא - זו שמעתי כנ"ל:</w:t>
      </w:r>
    </w:p>
  </w:footnote>
  <w:footnote w:id="3308">
    <w:p w:rsidR="00A13282" w:rsidRDefault="00A13282" w:rsidP="003841DB">
      <w:pPr>
        <w:pStyle w:val="a5"/>
      </w:pPr>
      <w:r>
        <w:rPr>
          <w:rStyle w:val="a7"/>
        </w:rPr>
        <w:footnoteRef/>
      </w:r>
      <w:r>
        <w:t xml:space="preserve"> </w:t>
      </w:r>
      <w:r>
        <w:rPr>
          <w:b/>
          <w:bCs/>
          <w:rtl/>
        </w:rPr>
        <w:t xml:space="preserve"> ועליה כו' קול.</w:t>
      </w:r>
      <w:r>
        <w:rPr>
          <w:rtl/>
        </w:rPr>
        <w:t xml:space="preserve"> מב' דברים, ואתם שומעים, זו שמעתי :</w:t>
      </w:r>
    </w:p>
  </w:footnote>
  <w:footnote w:id="3309">
    <w:p w:rsidR="00A13282" w:rsidRDefault="00A13282" w:rsidP="003841DB">
      <w:pPr>
        <w:pStyle w:val="a5"/>
      </w:pPr>
      <w:r>
        <w:rPr>
          <w:rStyle w:val="a7"/>
        </w:rPr>
        <w:footnoteRef/>
      </w:r>
      <w:r>
        <w:t xml:space="preserve"> </w:t>
      </w:r>
      <w:r>
        <w:rPr>
          <w:b/>
          <w:bCs/>
          <w:rtl/>
        </w:rPr>
        <w:t xml:space="preserve"> י' בחיה חדא כו'.</w:t>
      </w:r>
      <w:r>
        <w:rPr>
          <w:rtl/>
        </w:rPr>
        <w:t xml:space="preserve"> כפי צרופיהן כידוע:</w:t>
      </w:r>
    </w:p>
  </w:footnote>
  <w:footnote w:id="3310">
    <w:p w:rsidR="00A13282" w:rsidRDefault="00A13282" w:rsidP="003841DB">
      <w:pPr>
        <w:pStyle w:val="a5"/>
      </w:pPr>
      <w:r>
        <w:rPr>
          <w:rStyle w:val="a7"/>
        </w:rPr>
        <w:footnoteRef/>
      </w:r>
      <w:r>
        <w:t xml:space="preserve"> </w:t>
      </w:r>
      <w:r>
        <w:rPr>
          <w:b/>
          <w:bCs/>
          <w:rtl/>
        </w:rPr>
        <w:t xml:space="preserve"> ואינון תרי עשר כו'.</w:t>
      </w:r>
      <w:r>
        <w:rPr>
          <w:rtl/>
        </w:rPr>
        <w:t xml:space="preserve"> ד' פנים הוי"ה בכל אחד:</w:t>
      </w:r>
    </w:p>
  </w:footnote>
  <w:footnote w:id="3311">
    <w:p w:rsidR="00A13282" w:rsidRDefault="00A13282" w:rsidP="003841DB">
      <w:pPr>
        <w:pStyle w:val="a5"/>
      </w:pPr>
      <w:r>
        <w:rPr>
          <w:rStyle w:val="a7"/>
        </w:rPr>
        <w:footnoteRef/>
      </w:r>
      <w:r>
        <w:t xml:space="preserve"> </w:t>
      </w:r>
      <w:r>
        <w:rPr>
          <w:b/>
          <w:bCs/>
          <w:rtl/>
        </w:rPr>
        <w:t xml:space="preserve"> לכל חד שית.</w:t>
      </w:r>
      <w:r>
        <w:rPr>
          <w:rtl/>
        </w:rPr>
        <w:t xml:space="preserve"> תרין אודנין ותרין עיינין וחוטמא ופומא (ועיין לקמן ס"ו א' מאי פניו אנפוי כו'):</w:t>
      </w:r>
    </w:p>
  </w:footnote>
  <w:footnote w:id="3312">
    <w:p w:rsidR="00A13282" w:rsidRDefault="00A13282" w:rsidP="003841DB">
      <w:pPr>
        <w:pStyle w:val="a5"/>
      </w:pPr>
      <w:r>
        <w:rPr>
          <w:rStyle w:val="a7"/>
        </w:rPr>
        <w:footnoteRef/>
      </w:r>
      <w:r>
        <w:t xml:space="preserve"> </w:t>
      </w:r>
      <w:r>
        <w:rPr>
          <w:b/>
          <w:bCs/>
          <w:rtl/>
        </w:rPr>
        <w:t xml:space="preserve"> דאיהו כליל כו' ולכל את כו'.</w:t>
      </w:r>
      <w:r>
        <w:rPr>
          <w:rtl/>
        </w:rPr>
        <w:t xml:space="preserve"> כמו שאומר לעיל ל"ח א' והוא הנהר דכליל י"ק כנ"ל וזה סוד עשר ספירות בלימה, דעשר ספירות הן יוד אתוון דשמא מפרש דאדם ובו מ"ב דבלימה ומ"ה דאדם:</w:t>
      </w:r>
    </w:p>
  </w:footnote>
  <w:footnote w:id="3313">
    <w:p w:rsidR="00A13282" w:rsidRDefault="00A13282" w:rsidP="003841DB">
      <w:pPr>
        <w:pStyle w:val="a5"/>
      </w:pPr>
      <w:r>
        <w:rPr>
          <w:rStyle w:val="a7"/>
        </w:rPr>
        <w:footnoteRef/>
      </w:r>
      <w:r>
        <w:t xml:space="preserve"> </w:t>
      </w:r>
      <w:r>
        <w:rPr>
          <w:b/>
          <w:bCs/>
          <w:rtl/>
        </w:rPr>
        <w:t xml:space="preserve"> דכמה דאיהו שמא כו'.</w:t>
      </w:r>
      <w:r>
        <w:rPr>
          <w:rtl/>
        </w:rPr>
        <w:t xml:space="preserve"> ב' ההין - מ"ב, וי' - ע"ב, ובהוי"ה מלמטה למעלה דמ"ב למעלה וכמו שאומר כאן ובזהר פרשת תרומה עיין שם:</w:t>
      </w:r>
    </w:p>
  </w:footnote>
  <w:footnote w:id="3314">
    <w:p w:rsidR="00A13282" w:rsidRDefault="00A13282" w:rsidP="003841DB">
      <w:pPr>
        <w:pStyle w:val="a5"/>
      </w:pPr>
      <w:r>
        <w:rPr>
          <w:rStyle w:val="a7"/>
        </w:rPr>
        <w:footnoteRef/>
      </w:r>
      <w:r>
        <w:t xml:space="preserve"> </w:t>
      </w:r>
      <w:r>
        <w:rPr>
          <w:b/>
          <w:bCs/>
          <w:rtl/>
        </w:rPr>
        <w:t>מיד ישמחו השמים כו'.</w:t>
      </w:r>
      <w:r>
        <w:rPr>
          <w:rtl/>
        </w:rPr>
        <w:t xml:space="preserve"> כמו שאמרו (שבת פח ע"א) בתחלה יראה כו', ונעשה - הוא בעובדא בארץ, ונשמע - בדבורא בשמים, וכמו שאומר לעיל ל"ט א' עיין שם ישמחו כו' י"ה בשמים ו"ה בארץ, ולכן הקדימו נעשה לנשמע כי סוף המעשה - תחלת המחשבה, ארץ קודם לשמים, וכן העשיה היא התכלית - סוף במעשה ותחלה במחשבה, כמו שאמרו (ברכות יז ע"א) תכלית חכמה תשובה ומעשים טובים:</w:t>
      </w:r>
    </w:p>
  </w:footnote>
  <w:footnote w:id="3315">
    <w:p w:rsidR="00A13282" w:rsidRDefault="00A13282" w:rsidP="003841DB">
      <w:pPr>
        <w:pStyle w:val="a5"/>
      </w:pPr>
      <w:r>
        <w:rPr>
          <w:rStyle w:val="a7"/>
        </w:rPr>
        <w:footnoteRef/>
      </w:r>
      <w:r>
        <w:t xml:space="preserve"> </w:t>
      </w:r>
      <w:r>
        <w:rPr>
          <w:b/>
          <w:bCs/>
          <w:rtl/>
        </w:rPr>
        <w:t xml:space="preserve"> סביל וקשיר ומייחד.</w:t>
      </w:r>
      <w:r>
        <w:rPr>
          <w:rtl/>
        </w:rPr>
        <w:t xml:space="preserve"> מסטרא דג' דרגין, סביל מלשון אש סביל אשא, וסביל הכל, ומייחד - מסטרא דעמודא דאמצעיתא יחודא דכלהו, וקשיר - מסטרא דבינה דהיא קשר המרכבה ג"ר בז"ת, ואמר כרסייא יקירא ומלאכין ונשמתין שהן ג' עולמות בי"ע, ועילא ותתא הוא שמים וארץ שלנו:</w:t>
      </w:r>
    </w:p>
  </w:footnote>
  <w:footnote w:id="3316">
    <w:p w:rsidR="00A13282" w:rsidRDefault="00A13282" w:rsidP="003841DB">
      <w:pPr>
        <w:pStyle w:val="a5"/>
      </w:pPr>
      <w:r>
        <w:rPr>
          <w:rStyle w:val="a7"/>
        </w:rPr>
        <w:footnoteRef/>
      </w:r>
      <w:r>
        <w:t xml:space="preserve"> </w:t>
      </w:r>
      <w:r>
        <w:rPr>
          <w:b/>
          <w:bCs/>
          <w:rtl/>
        </w:rPr>
        <w:t xml:space="preserve"> ואיהו אתקרי בכל כו'.</w:t>
      </w:r>
      <w:r>
        <w:rPr>
          <w:rtl/>
        </w:rPr>
        <w:t xml:space="preserve"> רוצה לומר כמו שאומר ברעיא מהימנא פ' בא מ"ב ב' דהא קדם דברא דיוקנא בעלמא כו' נחית תמן ואתקרי בההוא דיוקנא כו' עיין שם בארוכה:</w:t>
      </w:r>
    </w:p>
  </w:footnote>
  <w:footnote w:id="3317">
    <w:p w:rsidR="00A13282" w:rsidRDefault="00A13282" w:rsidP="003841DB">
      <w:pPr>
        <w:pStyle w:val="a5"/>
        <w:rPr>
          <w:rtl/>
        </w:rPr>
      </w:pPr>
      <w:r>
        <w:rPr>
          <w:rStyle w:val="a7"/>
        </w:rPr>
        <w:footnoteRef/>
      </w:r>
      <w:r>
        <w:t xml:space="preserve"> </w:t>
      </w:r>
      <w:r>
        <w:rPr>
          <w:b/>
          <w:bCs/>
          <w:rtl/>
        </w:rPr>
        <w:t xml:space="preserve"> ואיהו אתקרי חד כו' דאינון אחרין כו'.</w:t>
      </w:r>
      <w:r>
        <w:rPr>
          <w:rtl/>
        </w:rPr>
        <w:t xml:space="preserve"> מקום היחוד:</w:t>
      </w:r>
    </w:p>
    <w:p w:rsidR="00A13282" w:rsidRDefault="00A13282" w:rsidP="003841DB">
      <w:pPr>
        <w:pStyle w:val="a5"/>
      </w:pPr>
    </w:p>
  </w:footnote>
  <w:footnote w:id="3318">
    <w:p w:rsidR="00A13282" w:rsidRDefault="00A13282" w:rsidP="003841DB">
      <w:pPr>
        <w:pStyle w:val="a5"/>
      </w:pPr>
      <w:r>
        <w:rPr>
          <w:rStyle w:val="a7"/>
        </w:rPr>
        <w:footnoteRef/>
      </w:r>
      <w:r>
        <w:t xml:space="preserve"> </w:t>
      </w:r>
      <w:r>
        <w:rPr>
          <w:b/>
          <w:bCs/>
          <w:rtl/>
        </w:rPr>
        <w:t xml:space="preserve"> קם ר"ש ברית אש כו'.</w:t>
      </w:r>
      <w:r>
        <w:rPr>
          <w:rtl/>
        </w:rPr>
        <w:t xml:space="preserve"> כמו שאומר לעיל יוד א' דאיהו איש כו' </w:t>
      </w:r>
      <w:r>
        <w:rPr>
          <w:u w:val="single"/>
          <w:rtl/>
        </w:rPr>
        <w:t>וכאן מתחיל תיקון אחר</w:t>
      </w:r>
      <w:r>
        <w:rPr>
          <w:rtl/>
        </w:rPr>
        <w:t>:</w:t>
      </w:r>
    </w:p>
  </w:footnote>
  <w:footnote w:id="3319">
    <w:p w:rsidR="00A13282" w:rsidRDefault="00A13282" w:rsidP="003841DB">
      <w:pPr>
        <w:pStyle w:val="a5"/>
      </w:pPr>
      <w:r>
        <w:rPr>
          <w:rStyle w:val="a7"/>
        </w:rPr>
        <w:footnoteRef/>
      </w:r>
      <w:r>
        <w:t xml:space="preserve"> </w:t>
      </w:r>
      <w:r>
        <w:rPr>
          <w:b/>
          <w:bCs/>
          <w:rtl/>
        </w:rPr>
        <w:t xml:space="preserve"> איהו אות דצבא דלעילא ואיהו אות דצבא דלתתא דבהון אתקרי כו'.</w:t>
      </w:r>
      <w:r>
        <w:rPr>
          <w:rtl/>
        </w:rPr>
        <w:t xml:space="preserve"> רוצה לומר כנגד ב' צבאות הנ"ל: צבא השמים - כמו שכתוב (מלכים א כב יט) וכל צבא השמים עומדים כו' (שנאמר (תהלים קמח ב) הללוהו כל צבאיו), וצבא דישראל - כמו שכתוב (שמות יב מא) ביום ההוא יצאו כל צבאות ה', והן מעלה  ומטה, נו"ה:</w:t>
      </w:r>
    </w:p>
  </w:footnote>
  <w:footnote w:id="3320">
    <w:p w:rsidR="00A13282" w:rsidRDefault="00A13282" w:rsidP="003841DB">
      <w:pPr>
        <w:pStyle w:val="a5"/>
      </w:pPr>
      <w:r>
        <w:rPr>
          <w:rStyle w:val="a7"/>
        </w:rPr>
        <w:footnoteRef/>
      </w:r>
      <w:r>
        <w:t xml:space="preserve"> </w:t>
      </w:r>
      <w:r>
        <w:rPr>
          <w:b/>
          <w:bCs/>
          <w:rtl/>
        </w:rPr>
        <w:t xml:space="preserve"> איהו אות וברית כו'.</w:t>
      </w:r>
      <w:r>
        <w:rPr>
          <w:rtl/>
        </w:rPr>
        <w:t xml:space="preserve"> דרגא דיסוד דאחיד בשמיא וארעא, כי כל כו' (דברי הימים א כט יא):</w:t>
      </w:r>
    </w:p>
  </w:footnote>
  <w:footnote w:id="3321">
    <w:p w:rsidR="00A13282" w:rsidRDefault="00A13282" w:rsidP="003841DB">
      <w:pPr>
        <w:pStyle w:val="a5"/>
      </w:pPr>
      <w:r>
        <w:rPr>
          <w:rStyle w:val="a7"/>
        </w:rPr>
        <w:footnoteRef/>
      </w:r>
      <w:r>
        <w:t xml:space="preserve"> </w:t>
      </w:r>
      <w:r>
        <w:rPr>
          <w:b/>
          <w:bCs/>
          <w:rtl/>
        </w:rPr>
        <w:t xml:space="preserve"> איהו אות ודאי כו'.</w:t>
      </w:r>
      <w:r>
        <w:rPr>
          <w:rtl/>
        </w:rPr>
        <w:t xml:space="preserve"> רוצה לומר עטרת הברית מלכות שנאמר בה שימני כחותם כו' כמו שאומר לקמן ס"ד א' וחשיב ד' דרגין דיסוד כליל בהון:</w:t>
      </w:r>
    </w:p>
  </w:footnote>
  <w:footnote w:id="3322">
    <w:p w:rsidR="00A13282" w:rsidRDefault="00A13282" w:rsidP="003841DB">
      <w:pPr>
        <w:pStyle w:val="a5"/>
      </w:pPr>
      <w:r>
        <w:rPr>
          <w:rStyle w:val="a7"/>
        </w:rPr>
        <w:footnoteRef/>
      </w:r>
      <w:r>
        <w:t xml:space="preserve"> </w:t>
      </w:r>
      <w:r>
        <w:rPr>
          <w:b/>
          <w:bCs/>
          <w:rtl/>
        </w:rPr>
        <w:t>סוד כו'.</w:t>
      </w:r>
      <w:r>
        <w:rPr>
          <w:rtl/>
        </w:rPr>
        <w:t xml:space="preserve"> דהוא סוד מן יסוד ועיין מה שבארנו לעיל בתיקון י”ט:</w:t>
      </w:r>
    </w:p>
  </w:footnote>
  <w:footnote w:id="3323">
    <w:p w:rsidR="00A13282" w:rsidRDefault="00A13282" w:rsidP="003841DB">
      <w:pPr>
        <w:pStyle w:val="a5"/>
      </w:pPr>
      <w:r>
        <w:rPr>
          <w:rStyle w:val="a7"/>
        </w:rPr>
        <w:footnoteRef/>
      </w:r>
      <w:r>
        <w:t xml:space="preserve"> </w:t>
      </w:r>
      <w:r>
        <w:rPr>
          <w:b/>
          <w:bCs/>
          <w:rtl/>
        </w:rPr>
        <w:t xml:space="preserve"> דאיהי אספקלריא כו'.</w:t>
      </w:r>
      <w:r>
        <w:rPr>
          <w:rtl/>
        </w:rPr>
        <w:t xml:space="preserve"> ונהרין בה אותיות דיליה ואשתמודען להו:</w:t>
      </w:r>
    </w:p>
  </w:footnote>
  <w:footnote w:id="3324">
    <w:p w:rsidR="00A13282" w:rsidRDefault="00A13282" w:rsidP="003841DB">
      <w:pPr>
        <w:pStyle w:val="a5"/>
      </w:pPr>
      <w:r>
        <w:rPr>
          <w:rStyle w:val="a7"/>
        </w:rPr>
        <w:footnoteRef/>
      </w:r>
      <w:r>
        <w:t xml:space="preserve"> </w:t>
      </w:r>
      <w:r>
        <w:rPr>
          <w:b/>
          <w:bCs/>
          <w:rtl/>
        </w:rPr>
        <w:t xml:space="preserve"> ובההוא זמנא כי כו' בזאת.</w:t>
      </w:r>
      <w:r>
        <w:rPr>
          <w:rtl/>
        </w:rPr>
        <w:t xml:space="preserve"> רוצה לומר בשכינה:</w:t>
      </w:r>
    </w:p>
  </w:footnote>
  <w:footnote w:id="3325">
    <w:p w:rsidR="00A13282" w:rsidRDefault="00A13282" w:rsidP="003841DB">
      <w:pPr>
        <w:pStyle w:val="a5"/>
      </w:pPr>
      <w:r>
        <w:rPr>
          <w:rStyle w:val="a7"/>
        </w:rPr>
        <w:footnoteRef/>
      </w:r>
      <w:r>
        <w:t xml:space="preserve"> </w:t>
      </w:r>
      <w:r>
        <w:rPr>
          <w:b/>
          <w:bCs/>
          <w:rtl/>
        </w:rPr>
        <w:t xml:space="preserve"> יתהלל כו'.</w:t>
      </w:r>
      <w:r>
        <w:rPr>
          <w:rtl/>
        </w:rPr>
        <w:t xml:space="preserve"> הוא שם הוי"ה דנהיר לה, ואשתמודעאן לקב"ה בה, השכל וידוע אותי אבל בלאו הכי חכמת מה להם כמו שכתוב אל יתהלל כו':</w:t>
      </w:r>
    </w:p>
  </w:footnote>
  <w:footnote w:id="3326">
    <w:p w:rsidR="00A13282" w:rsidRDefault="00A13282" w:rsidP="003841DB">
      <w:pPr>
        <w:pStyle w:val="a5"/>
      </w:pPr>
      <w:r>
        <w:rPr>
          <w:rStyle w:val="a7"/>
        </w:rPr>
        <w:footnoteRef/>
      </w:r>
      <w:r>
        <w:t xml:space="preserve"> </w:t>
      </w:r>
      <w:r>
        <w:rPr>
          <w:b/>
          <w:bCs/>
          <w:rtl/>
        </w:rPr>
        <w:t xml:space="preserve"> חרב ויבש.</w:t>
      </w:r>
      <w:r>
        <w:rPr>
          <w:rtl/>
        </w:rPr>
        <w:t xml:space="preserve"> כמו שכתוב (איוב יד יא) ונהר יחרב ויבש, והוא בה' עילאה ותתאה וכמו שאמרו (זהר בראשית כה ע"א) חרב בבית כו':</w:t>
      </w:r>
    </w:p>
  </w:footnote>
  <w:footnote w:id="3327">
    <w:p w:rsidR="00A13282" w:rsidRDefault="00A13282" w:rsidP="003841DB">
      <w:pPr>
        <w:pStyle w:val="a5"/>
      </w:pPr>
      <w:r>
        <w:rPr>
          <w:rStyle w:val="a7"/>
        </w:rPr>
        <w:footnoteRef/>
      </w:r>
      <w:r>
        <w:t xml:space="preserve"> </w:t>
      </w:r>
      <w:r>
        <w:rPr>
          <w:b/>
          <w:bCs/>
          <w:rtl/>
        </w:rPr>
        <w:t xml:space="preserve"> דאיהו צדיק וביה יהו"ה.</w:t>
      </w:r>
      <w:r>
        <w:rPr>
          <w:rtl/>
        </w:rPr>
        <w:t xml:space="preserve"> כמו שאומר לקמן ס"ד ב' והאי איהו רשימו דברית כו' מנא לן מהאי קרא מי כו':</w:t>
      </w:r>
    </w:p>
  </w:footnote>
  <w:footnote w:id="3328">
    <w:p w:rsidR="00A13282" w:rsidRDefault="00A13282" w:rsidP="003841DB">
      <w:pPr>
        <w:pStyle w:val="a5"/>
      </w:pPr>
      <w:r>
        <w:rPr>
          <w:rStyle w:val="a7"/>
        </w:rPr>
        <w:footnoteRef/>
      </w:r>
      <w:r>
        <w:t xml:space="preserve"> </w:t>
      </w:r>
      <w:r>
        <w:rPr>
          <w:b/>
          <w:bCs/>
          <w:rtl/>
        </w:rPr>
        <w:t xml:space="preserve"> דאתקריאו לילות.</w:t>
      </w:r>
      <w:r>
        <w:rPr>
          <w:rtl/>
        </w:rPr>
        <w:t xml:space="preserve"> חשוכין ועיין בזהר חדש רות נ"ט ב' פתח ואמר מה הוא כו' וזה שאומר ובההוא זמנא כו':</w:t>
      </w:r>
    </w:p>
  </w:footnote>
  <w:footnote w:id="3329">
    <w:p w:rsidR="00A13282" w:rsidRDefault="00A13282" w:rsidP="003841DB">
      <w:pPr>
        <w:pStyle w:val="a5"/>
      </w:pPr>
      <w:r>
        <w:rPr>
          <w:rStyle w:val="a7"/>
        </w:rPr>
        <w:footnoteRef/>
      </w:r>
      <w:r>
        <w:t xml:space="preserve"> </w:t>
      </w:r>
      <w:r>
        <w:rPr>
          <w:b/>
          <w:bCs/>
          <w:rtl/>
        </w:rPr>
        <w:t xml:space="preserve"> לגאו מכולא כו'.</w:t>
      </w:r>
      <w:r>
        <w:rPr>
          <w:rtl/>
        </w:rPr>
        <w:t xml:space="preserve"> אין סוף ברוך הוא:</w:t>
      </w:r>
    </w:p>
  </w:footnote>
  <w:footnote w:id="3330">
    <w:p w:rsidR="00A13282" w:rsidRDefault="00A13282" w:rsidP="003841DB">
      <w:pPr>
        <w:pStyle w:val="a5"/>
      </w:pPr>
      <w:r>
        <w:rPr>
          <w:rStyle w:val="a7"/>
        </w:rPr>
        <w:footnoteRef/>
      </w:r>
      <w:r>
        <w:t xml:space="preserve"> </w:t>
      </w:r>
      <w:r>
        <w:rPr>
          <w:b/>
          <w:bCs/>
          <w:rtl/>
        </w:rPr>
        <w:t>וכלא אתרמיז בשכינתא כו'.</w:t>
      </w:r>
      <w:r>
        <w:rPr>
          <w:rtl/>
        </w:rPr>
        <w:t xml:space="preserve"> חוזר לענין ראשון:</w:t>
      </w:r>
    </w:p>
  </w:footnote>
  <w:footnote w:id="3331">
    <w:p w:rsidR="00A13282" w:rsidRDefault="00A13282" w:rsidP="003841DB">
      <w:pPr>
        <w:pStyle w:val="a5"/>
      </w:pPr>
      <w:r>
        <w:rPr>
          <w:rStyle w:val="a7"/>
        </w:rPr>
        <w:footnoteRef/>
      </w:r>
      <w:r>
        <w:t xml:space="preserve"> </w:t>
      </w:r>
      <w:r>
        <w:rPr>
          <w:b/>
          <w:bCs/>
          <w:rtl/>
        </w:rPr>
        <w:t xml:space="preserve"> והאי מסט' דלבושי' אבל כו'.</w:t>
      </w:r>
      <w:r>
        <w:rPr>
          <w:rtl/>
        </w:rPr>
        <w:t xml:space="preserve"> רוצה לומר דשם הכל אחד, וגוף הוא באצילות - הכל אחד, ולבוש הוא בכסא שם התורה והנשמה, והלבושין זכות וחובה ועיין בסוף תיקוני זהר חדש:</w:t>
      </w:r>
    </w:p>
  </w:footnote>
  <w:footnote w:id="3332">
    <w:p w:rsidR="00A13282" w:rsidRDefault="00A13282" w:rsidP="003841DB">
      <w:pPr>
        <w:pStyle w:val="a5"/>
      </w:pPr>
      <w:r>
        <w:rPr>
          <w:rStyle w:val="a7"/>
        </w:rPr>
        <w:footnoteRef/>
      </w:r>
      <w:r>
        <w:t xml:space="preserve"> </w:t>
      </w:r>
      <w:r>
        <w:rPr>
          <w:b/>
          <w:bCs/>
          <w:rtl/>
        </w:rPr>
        <w:t xml:space="preserve"> חותמא דילך אשתאר כו'.</w:t>
      </w:r>
      <w:r>
        <w:rPr>
          <w:rtl/>
        </w:rPr>
        <w:t xml:space="preserve"> דחותם נשתייר בדבר החתום בפתקא, כמו שאומר למטה והוא מבועא דבירא דלא פסיק מבירא לעלמין:</w:t>
      </w:r>
    </w:p>
  </w:footnote>
  <w:footnote w:id="3333">
    <w:p w:rsidR="00A13282" w:rsidRDefault="00A13282" w:rsidP="003841DB">
      <w:pPr>
        <w:pStyle w:val="a5"/>
      </w:pPr>
      <w:r>
        <w:rPr>
          <w:rStyle w:val="a7"/>
        </w:rPr>
        <w:footnoteRef/>
      </w:r>
      <w:r>
        <w:t xml:space="preserve"> </w:t>
      </w:r>
      <w:r>
        <w:rPr>
          <w:b/>
          <w:bCs/>
          <w:rtl/>
        </w:rPr>
        <w:t xml:space="preserve"> שימני חותם לא כו'.</w:t>
      </w:r>
      <w:r>
        <w:rPr>
          <w:rtl/>
        </w:rPr>
        <w:t xml:space="preserve"> דחותם עצמו הוא עמודא דאמצעיתא, וכחותם - הוא החתום בשעוה דהוא כחותם וכמו שאומר למטה כחותם דא צלותא כו' חותמא דא עמודא דאמצעיתא כו':</w:t>
      </w:r>
    </w:p>
  </w:footnote>
  <w:footnote w:id="3334">
    <w:p w:rsidR="00A13282" w:rsidRDefault="00A13282" w:rsidP="003841DB">
      <w:pPr>
        <w:pStyle w:val="a5"/>
      </w:pPr>
      <w:r>
        <w:rPr>
          <w:rStyle w:val="a7"/>
        </w:rPr>
        <w:footnoteRef/>
      </w:r>
      <w:r>
        <w:t xml:space="preserve"> </w:t>
      </w:r>
      <w:r>
        <w:rPr>
          <w:b/>
          <w:bCs/>
          <w:rtl/>
        </w:rPr>
        <w:t xml:space="preserve"> עאכ"ו אי הוה חותמא.</w:t>
      </w:r>
      <w:r>
        <w:rPr>
          <w:rtl/>
        </w:rPr>
        <w:t xml:space="preserve"> בזמן המקדש ולעתיד לבא (ויקרא כו יב) והתהלכתי בתוככם כו':</w:t>
      </w:r>
    </w:p>
  </w:footnote>
  <w:footnote w:id="3335">
    <w:p w:rsidR="00A13282" w:rsidRDefault="00A13282" w:rsidP="003841DB">
      <w:pPr>
        <w:pStyle w:val="a5"/>
      </w:pPr>
      <w:r>
        <w:rPr>
          <w:rStyle w:val="a7"/>
        </w:rPr>
        <w:footnoteRef/>
      </w:r>
      <w:r>
        <w:t xml:space="preserve"> </w:t>
      </w:r>
      <w:r>
        <w:rPr>
          <w:b/>
          <w:bCs/>
          <w:rtl/>
        </w:rPr>
        <w:t xml:space="preserve"> אלא אלין תפלין כו'.</w:t>
      </w:r>
      <w:r>
        <w:rPr>
          <w:rtl/>
        </w:rPr>
        <w:t xml:space="preserve"> דאף דה' מסתיר פניו מאתנו בגלותא - רשימו דיליה בידינו מסטרא דמצות דאינון אות, כמו תפלין ומילה כו' דכתיב אות בהן, ואות הוא רשימו:</w:t>
      </w:r>
    </w:p>
  </w:footnote>
  <w:footnote w:id="3336">
    <w:p w:rsidR="00A13282" w:rsidRDefault="00A13282" w:rsidP="003841DB">
      <w:pPr>
        <w:pStyle w:val="a5"/>
      </w:pPr>
      <w:r>
        <w:rPr>
          <w:rStyle w:val="a7"/>
        </w:rPr>
        <w:footnoteRef/>
      </w:r>
      <w:r>
        <w:t xml:space="preserve"> </w:t>
      </w:r>
      <w:r>
        <w:rPr>
          <w:b/>
          <w:bCs/>
          <w:rtl/>
        </w:rPr>
        <w:t xml:space="preserve"> ודא איהו כחותם כו'.</w:t>
      </w:r>
      <w:r>
        <w:rPr>
          <w:rtl/>
        </w:rPr>
        <w:t xml:space="preserve"> תפלין דרישא דרצועין על לבך (עיין לעיל י"ד א') אבל דיד אינן אלא נגד הלב ולא על הלב, וזה שאומר ודא על זרועך כו', ולא אמר למעלה דאיהו בשמאלא לקבל לבא אלא לומר דרצועין תליין על לבא לאתאחדא בתפלין של יד שהן כנגדן. והענין, כי תפלין של ראש הוא החותם עצמו, ושם לא אמר כחותם על הראש, וקשר של ראש הוא דכורא דבה לאה, והיא גאה גאה (שמות טו א, כא) בגאולת מצרים ולעתיד לבא, והרצועות דתליין סופן נגד הלב שנכנסין בראש רחל נגד תפלין של יד, וזהו כחותם על לבך - נגד תפלין של יד, ומתפלין של ראש - וראו כל עמי הארץ כמו שמפרש והולך הה"ד וראו כו' אלין כו' וכמו שאמרו בגמ' גם כן (ברכות ו ע"א) והוא לעתיד לבא אבל בגלותא דהוא כחותם, תפלין של יד, היא מכוסה עמנו בגלות, ומכל מקום (ויקרא כו מד) ואף גם זאת כו', נסים נסתרים עביד עמנו בהסתר (דברים לא יח) ואנכי הסתר כו', ידו נטויה עלינו (חגיגה ה ע"ב) תפלין של יד בהסתר:</w:t>
      </w:r>
    </w:p>
  </w:footnote>
  <w:footnote w:id="3337">
    <w:p w:rsidR="00A13282" w:rsidRDefault="00A13282" w:rsidP="003841DB">
      <w:pPr>
        <w:pStyle w:val="a5"/>
      </w:pPr>
      <w:r>
        <w:rPr>
          <w:rStyle w:val="a7"/>
        </w:rPr>
        <w:footnoteRef/>
      </w:r>
      <w:r>
        <w:t xml:space="preserve"> </w:t>
      </w:r>
      <w:r>
        <w:rPr>
          <w:b/>
          <w:bCs/>
          <w:rtl/>
        </w:rPr>
        <w:t xml:space="preserve"> דאינון רשימו דשמא כו'.</w:t>
      </w:r>
      <w:r>
        <w:rPr>
          <w:rtl/>
        </w:rPr>
        <w:t xml:space="preserve"> חוזר למעלה מה שאמר אלין תפלין כו':</w:t>
      </w:r>
    </w:p>
  </w:footnote>
  <w:footnote w:id="3338">
    <w:p w:rsidR="00A13282" w:rsidRDefault="00A13282" w:rsidP="003841DB">
      <w:pPr>
        <w:pStyle w:val="a5"/>
      </w:pPr>
      <w:r>
        <w:rPr>
          <w:rStyle w:val="a7"/>
        </w:rPr>
        <w:footnoteRef/>
      </w:r>
      <w:r>
        <w:t xml:space="preserve"> </w:t>
      </w:r>
      <w:r>
        <w:rPr>
          <w:b/>
          <w:bCs/>
          <w:rtl/>
        </w:rPr>
        <w:t xml:space="preserve"> חותמא דגושפנקא כו'.</w:t>
      </w:r>
      <w:r>
        <w:rPr>
          <w:rtl/>
        </w:rPr>
        <w:t xml:space="preserve"> טבעת, שעשוי העטרה כעין טבעת והיא טבעת המלך והוא חותמא דגושפנקא דחתים שמים וארץ בראשי תיבות, את השמים ואת הארץ, בדעת - יחודא דהוי"ה אהי"ה, בחכמה יסד ארץ, כונן שמים בתבונה, והיא גימטריה גי"ד, טו"ב, שמן הטוב ועיין לעין מ' א':</w:t>
      </w:r>
    </w:p>
  </w:footnote>
  <w:footnote w:id="3339">
    <w:p w:rsidR="00A13282" w:rsidRDefault="00A13282" w:rsidP="003841DB">
      <w:pPr>
        <w:pStyle w:val="a5"/>
      </w:pPr>
      <w:r>
        <w:rPr>
          <w:rStyle w:val="a7"/>
        </w:rPr>
        <w:footnoteRef/>
      </w:r>
      <w:r>
        <w:t xml:space="preserve"> </w:t>
      </w:r>
      <w:r>
        <w:rPr>
          <w:b/>
          <w:bCs/>
          <w:rtl/>
        </w:rPr>
        <w:t xml:space="preserve"> גליפו דיליה מלעילא.</w:t>
      </w:r>
      <w:r>
        <w:rPr>
          <w:rtl/>
        </w:rPr>
        <w:t xml:space="preserve"> שחקוק בכסא הכבוד דמתמן נשמתא וכמו שאומר למטה:</w:t>
      </w:r>
    </w:p>
  </w:footnote>
  <w:footnote w:id="3340">
    <w:p w:rsidR="00A13282" w:rsidRDefault="00A13282" w:rsidP="003841DB">
      <w:pPr>
        <w:pStyle w:val="a5"/>
      </w:pPr>
      <w:r>
        <w:rPr>
          <w:rStyle w:val="a7"/>
        </w:rPr>
        <w:footnoteRef/>
      </w:r>
      <w:r>
        <w:t xml:space="preserve"> </w:t>
      </w:r>
      <w:r>
        <w:rPr>
          <w:b/>
          <w:bCs/>
          <w:rtl/>
        </w:rPr>
        <w:t xml:space="preserve"> כחותם דא נשמתא כו'.</w:t>
      </w:r>
      <w:r>
        <w:rPr>
          <w:rtl/>
        </w:rPr>
        <w:t xml:space="preserve"> דחותם הוא החקיקה בכסא הכבוד, וכחותם דא הנשמה לתתא כמו שמפרש והולך וההוא גליפו כו' ורשימו דלתתא כו':</w:t>
      </w:r>
    </w:p>
  </w:footnote>
  <w:footnote w:id="3341">
    <w:p w:rsidR="00A13282" w:rsidRDefault="00A13282" w:rsidP="003841DB">
      <w:pPr>
        <w:pStyle w:val="a5"/>
      </w:pPr>
      <w:r>
        <w:rPr>
          <w:rStyle w:val="a7"/>
        </w:rPr>
        <w:footnoteRef/>
      </w:r>
      <w:r>
        <w:t xml:space="preserve"> </w:t>
      </w:r>
      <w:r>
        <w:rPr>
          <w:b/>
          <w:bCs/>
          <w:rtl/>
        </w:rPr>
        <w:t xml:space="preserve"> שימני כחותם דא צלותא.</w:t>
      </w:r>
      <w:r>
        <w:rPr>
          <w:rtl/>
        </w:rPr>
        <w:t xml:space="preserve"> עד עתה פירש בב' גוונין חותם ורשימו, ועתה מפרש בג' - החותם דהוא המתכת ורשימו בחותם ורשימו על השעוה:</w:t>
      </w:r>
    </w:p>
  </w:footnote>
  <w:footnote w:id="3342">
    <w:p w:rsidR="00A13282" w:rsidRDefault="00A13282" w:rsidP="003841DB">
      <w:pPr>
        <w:pStyle w:val="a5"/>
      </w:pPr>
      <w:r>
        <w:rPr>
          <w:rStyle w:val="a7"/>
        </w:rPr>
        <w:footnoteRef/>
      </w:r>
      <w:r>
        <w:t xml:space="preserve"> </w:t>
      </w:r>
      <w:r>
        <w:rPr>
          <w:b/>
          <w:bCs/>
          <w:rtl/>
        </w:rPr>
        <w:t xml:space="preserve"> בפתקא דאיהי צלותא.</w:t>
      </w:r>
      <w:r>
        <w:rPr>
          <w:rtl/>
        </w:rPr>
        <w:t xml:space="preserve"> רוצה לומר הצלותא היא הפתקא והוא כחותם דגליפו דצדיק שאדוק בגוף שהוא חותם כמו שמפרש והולך ובה רשימו דח"י מצד ח"י ברכאין אבל באמת התפלה מצד המלכות כידוע וזה שאומר גליפו כו':</w:t>
      </w:r>
    </w:p>
  </w:footnote>
  <w:footnote w:id="3343">
    <w:p w:rsidR="00A13282" w:rsidRDefault="00A13282" w:rsidP="003841DB">
      <w:pPr>
        <w:pStyle w:val="a5"/>
      </w:pPr>
      <w:r>
        <w:rPr>
          <w:rStyle w:val="a7"/>
        </w:rPr>
        <w:footnoteRef/>
      </w:r>
      <w:r>
        <w:t xml:space="preserve"> </w:t>
      </w:r>
      <w:r>
        <w:rPr>
          <w:b/>
          <w:bCs/>
          <w:rtl/>
        </w:rPr>
        <w:t xml:space="preserve"> והנה מלאכי כו'.</w:t>
      </w:r>
      <w:r>
        <w:rPr>
          <w:rtl/>
        </w:rPr>
        <w:t xml:space="preserve"> מפרש הקרא זה ממה שאמר דעולים ורואים בחותם וכנ"ל:</w:t>
      </w:r>
    </w:p>
  </w:footnote>
  <w:footnote w:id="3344">
    <w:p w:rsidR="00A13282" w:rsidRDefault="00A13282" w:rsidP="003841DB">
      <w:pPr>
        <w:pStyle w:val="a5"/>
      </w:pPr>
      <w:r>
        <w:rPr>
          <w:rStyle w:val="a7"/>
        </w:rPr>
        <w:footnoteRef/>
      </w:r>
      <w:r>
        <w:t xml:space="preserve"> </w:t>
      </w:r>
      <w:r>
        <w:rPr>
          <w:b/>
          <w:bCs/>
          <w:rtl/>
        </w:rPr>
        <w:t xml:space="preserve"> שימני כחותם דא נשמתא כו'.</w:t>
      </w:r>
      <w:r>
        <w:rPr>
          <w:rtl/>
        </w:rPr>
        <w:t xml:space="preserve"> חוזר לפרש הנשמה בג' גוונין כמו שמפרש והולך והן בג' עלמין בי"ע בנר"ן:</w:t>
      </w:r>
    </w:p>
  </w:footnote>
  <w:footnote w:id="3345">
    <w:p w:rsidR="00A13282" w:rsidRDefault="00A13282" w:rsidP="003841DB">
      <w:pPr>
        <w:pStyle w:val="a5"/>
      </w:pPr>
      <w:r>
        <w:rPr>
          <w:rStyle w:val="a7"/>
        </w:rPr>
        <w:footnoteRef/>
      </w:r>
      <w:r>
        <w:t xml:space="preserve"> </w:t>
      </w:r>
      <w:r>
        <w:rPr>
          <w:b/>
          <w:bCs/>
          <w:rtl/>
        </w:rPr>
        <w:t xml:space="preserve"> דא רוח דאיהו ציורא דאתוון דחקיקא כו'.</w:t>
      </w:r>
      <w:r>
        <w:rPr>
          <w:rtl/>
        </w:rPr>
        <w:t xml:space="preserve"> רוצה לומר כחותם דא נשמה והוא תפלין של ראש החותם עצמו והוא בכסא דרגא דראש ג"ר דמקנן כו' מוחא. ועל לבך הוא ריאה שמרחף על הלב ורוח אלקים דתמן רוח גויה יצירה ושם כחותם רצועות שמכסין על הלב, על זרועך הוא בנפש דשם וורידין דלבא דשם נפשא דמקנן שם יד ה':</w:t>
      </w:r>
    </w:p>
  </w:footnote>
  <w:footnote w:id="3346">
    <w:p w:rsidR="00A13282" w:rsidRDefault="00A13282" w:rsidP="003841DB">
      <w:pPr>
        <w:pStyle w:val="a5"/>
      </w:pPr>
      <w:r>
        <w:rPr>
          <w:rStyle w:val="a7"/>
        </w:rPr>
        <w:footnoteRef/>
      </w:r>
      <w:r>
        <w:t xml:space="preserve"> </w:t>
      </w:r>
      <w:r>
        <w:rPr>
          <w:b/>
          <w:bCs/>
          <w:rtl/>
        </w:rPr>
        <w:t>ארבע סטרין.</w:t>
      </w:r>
      <w:r>
        <w:rPr>
          <w:rtl/>
        </w:rPr>
        <w:t xml:space="preserve"> דהיא ד' של אחד בד' סטרין ועיין בזהר פרשת ויקהל ר"א ב':</w:t>
      </w:r>
    </w:p>
  </w:footnote>
  <w:footnote w:id="3347">
    <w:p w:rsidR="00A13282" w:rsidRDefault="00A13282" w:rsidP="003841DB">
      <w:pPr>
        <w:pStyle w:val="a5"/>
      </w:pPr>
      <w:r>
        <w:rPr>
          <w:rStyle w:val="a7"/>
        </w:rPr>
        <w:footnoteRef/>
      </w:r>
      <w:r>
        <w:t xml:space="preserve"> </w:t>
      </w:r>
      <w:r>
        <w:rPr>
          <w:b/>
          <w:bCs/>
          <w:rtl/>
        </w:rPr>
        <w:t xml:space="preserve"> ומאן כו' ה' אמת.</w:t>
      </w:r>
      <w:r>
        <w:rPr>
          <w:rtl/>
        </w:rPr>
        <w:t xml:space="preserve"> דחותמיה אמת ובסטריה חיים הוא אלקים חיים וכמו שאמרו (סנהדרין צז ע"א) באתרא דקושטא, וזה שאומר אבל אומין פלחי כוכביא דעלמא כו' מלאך המות דקטיל כו':</w:t>
      </w:r>
    </w:p>
  </w:footnote>
  <w:footnote w:id="3348">
    <w:p w:rsidR="00A13282" w:rsidRDefault="00A13282" w:rsidP="003841DB">
      <w:pPr>
        <w:pStyle w:val="a5"/>
      </w:pPr>
      <w:r>
        <w:rPr>
          <w:rStyle w:val="a7"/>
        </w:rPr>
        <w:footnoteRef/>
      </w:r>
      <w:r>
        <w:t xml:space="preserve"> </w:t>
      </w:r>
      <w:r>
        <w:rPr>
          <w:b/>
          <w:bCs/>
          <w:rtl/>
        </w:rPr>
        <w:t xml:space="preserve"> דבהאי ארבע כו'.</w:t>
      </w:r>
      <w:r>
        <w:rPr>
          <w:rtl/>
        </w:rPr>
        <w:t xml:space="preserve"> הן ד' אותיות הוי"ה, ה' אמת, ובהון רשימין ד' חיוון דהן ציורין דכלא:</w:t>
      </w:r>
    </w:p>
  </w:footnote>
  <w:footnote w:id="3349">
    <w:p w:rsidR="00A13282" w:rsidRDefault="00A13282" w:rsidP="003841DB">
      <w:pPr>
        <w:pStyle w:val="a5"/>
      </w:pPr>
      <w:r>
        <w:rPr>
          <w:rStyle w:val="a7"/>
        </w:rPr>
        <w:footnoteRef/>
      </w:r>
      <w:r>
        <w:t xml:space="preserve"> </w:t>
      </w:r>
      <w:r>
        <w:rPr>
          <w:b/>
          <w:bCs/>
          <w:rtl/>
        </w:rPr>
        <w:t xml:space="preserve"> אבל אומין כו'.</w:t>
      </w:r>
      <w:r>
        <w:rPr>
          <w:rtl/>
        </w:rPr>
        <w:t xml:space="preserve"> איהו נחש דמרכבתיה גם כן בד' סטרין כידוע:</w:t>
      </w:r>
    </w:p>
  </w:footnote>
  <w:footnote w:id="3350">
    <w:p w:rsidR="00A13282" w:rsidRDefault="00A13282" w:rsidP="003841DB">
      <w:pPr>
        <w:pStyle w:val="a5"/>
      </w:pPr>
      <w:r>
        <w:rPr>
          <w:rStyle w:val="a7"/>
        </w:rPr>
        <w:footnoteRef/>
      </w:r>
      <w:r>
        <w:t xml:space="preserve"> </w:t>
      </w:r>
      <w:r>
        <w:rPr>
          <w:b/>
          <w:bCs/>
          <w:rtl/>
        </w:rPr>
        <w:t xml:space="preserve"> מעל כל פנים.</w:t>
      </w:r>
      <w:r>
        <w:rPr>
          <w:rtl/>
        </w:rPr>
        <w:t xml:space="preserve"> דאינון ד' אנפין דשקרא ולא יראון אלא פנים דחיוון קדישין:</w:t>
      </w:r>
    </w:p>
  </w:footnote>
  <w:footnote w:id="3351">
    <w:p w:rsidR="00A13282" w:rsidRDefault="00A13282" w:rsidP="003841DB">
      <w:pPr>
        <w:pStyle w:val="a5"/>
      </w:pPr>
      <w:r>
        <w:rPr>
          <w:rStyle w:val="a7"/>
        </w:rPr>
        <w:footnoteRef/>
      </w:r>
      <w:r>
        <w:t xml:space="preserve"> </w:t>
      </w:r>
      <w:r>
        <w:rPr>
          <w:b/>
          <w:bCs/>
          <w:rtl/>
        </w:rPr>
        <w:t xml:space="preserve"> וגרים דמעה דאיהו אל אחר.</w:t>
      </w:r>
      <w:r>
        <w:rPr>
          <w:rtl/>
        </w:rPr>
        <w:t xml:space="preserve"> רוצה לומר דהוא אל אחר ובס"ם דיליה קטיל וכמו שמפרש והולך:</w:t>
      </w:r>
    </w:p>
  </w:footnote>
  <w:footnote w:id="3352">
    <w:p w:rsidR="00A13282" w:rsidRDefault="00A13282" w:rsidP="003841DB">
      <w:pPr>
        <w:pStyle w:val="a5"/>
      </w:pPr>
      <w:r>
        <w:rPr>
          <w:rStyle w:val="a7"/>
        </w:rPr>
        <w:footnoteRef/>
      </w:r>
      <w:r>
        <w:t xml:space="preserve"> </w:t>
      </w:r>
      <w:r>
        <w:rPr>
          <w:b/>
          <w:bCs/>
          <w:rtl/>
        </w:rPr>
        <w:t xml:space="preserve"> דאיהי גיהנם.</w:t>
      </w:r>
      <w:r>
        <w:rPr>
          <w:rtl/>
        </w:rPr>
        <w:t xml:space="preserve"> רוצה לומר דתמן גם כן דמעה, (קהלת ד א) דמעת העשוקים כו', כמו שאמרו בספרי:</w:t>
      </w:r>
    </w:p>
  </w:footnote>
  <w:footnote w:id="3353">
    <w:p w:rsidR="00A13282" w:rsidRDefault="00A13282" w:rsidP="003841DB">
      <w:pPr>
        <w:pStyle w:val="a5"/>
      </w:pPr>
      <w:r>
        <w:rPr>
          <w:rStyle w:val="a7"/>
        </w:rPr>
        <w:footnoteRef/>
      </w:r>
      <w:r>
        <w:t xml:space="preserve"> </w:t>
      </w:r>
      <w:r>
        <w:rPr>
          <w:b/>
          <w:bCs/>
          <w:rtl/>
        </w:rPr>
        <w:t xml:space="preserve"> ורזא דמלה כו'.</w:t>
      </w:r>
      <w:r>
        <w:rPr>
          <w:rtl/>
        </w:rPr>
        <w:t xml:space="preserve"> דלית שם ה' תמן: </w:t>
      </w:r>
    </w:p>
  </w:footnote>
  <w:footnote w:id="3354">
    <w:p w:rsidR="00A13282" w:rsidRDefault="00A13282" w:rsidP="003841DB">
      <w:pPr>
        <w:pStyle w:val="a5"/>
      </w:pPr>
      <w:r>
        <w:rPr>
          <w:rStyle w:val="a7"/>
        </w:rPr>
        <w:footnoteRef/>
      </w:r>
      <w:r>
        <w:t xml:space="preserve"> </w:t>
      </w:r>
      <w:r>
        <w:rPr>
          <w:rtl/>
        </w:rPr>
        <w:t xml:space="preserve"> </w:t>
      </w:r>
      <w:r>
        <w:rPr>
          <w:b/>
          <w:bCs/>
          <w:rtl/>
        </w:rPr>
        <w:t>אבל ציורין דחיוון כו' שדי מלבר כו'.</w:t>
      </w:r>
      <w:r>
        <w:rPr>
          <w:rtl/>
        </w:rPr>
        <w:t xml:space="preserve"> הוא שכינתא וכמו שאומר למטה דדא הוא דאתגליא לאבהן. והוי"ה עמודא דאמצעיתא דאיהו אמת ואיהו תורת אמת וכמו שאומר לעיל ד' ב':</w:t>
      </w:r>
    </w:p>
  </w:footnote>
  <w:footnote w:id="3355">
    <w:p w:rsidR="00A13282" w:rsidRDefault="00A13282" w:rsidP="003841DB">
      <w:pPr>
        <w:pStyle w:val="a5"/>
      </w:pPr>
      <w:r>
        <w:rPr>
          <w:rStyle w:val="a7"/>
        </w:rPr>
        <w:footnoteRef/>
      </w:r>
      <w:r>
        <w:t xml:space="preserve"> </w:t>
      </w:r>
      <w:r>
        <w:rPr>
          <w:b/>
          <w:bCs/>
          <w:rtl/>
        </w:rPr>
        <w:t xml:space="preserve"> שדי מלבר ה' מלגאו.</w:t>
      </w:r>
      <w:r>
        <w:rPr>
          <w:rtl/>
        </w:rPr>
        <w:t xml:space="preserve"> שדי איהי שכינה כנ"ל מלבר בגופא, וה' - עמודא דאמצעיתא מלגאו כמו שאומר לעיל א' אבל מסטרא דגופא איהי כו' לגבי הוי"ה דאיהו מלגאו כו' ולמעלה ס"ג ב' ומסטרא דגופא אתקרי חסד כו' ומלגאו מיניה דאיהו תקונא דגופא נהיר קב"ה דאיהו הוי"ה כנשמתא בגופא. והן רשימין כן במזוזה:</w:t>
      </w:r>
    </w:p>
  </w:footnote>
  <w:footnote w:id="3356">
    <w:p w:rsidR="00A13282" w:rsidRDefault="00A13282" w:rsidP="003841DB">
      <w:pPr>
        <w:pStyle w:val="a5"/>
      </w:pPr>
      <w:r>
        <w:rPr>
          <w:rStyle w:val="a7"/>
        </w:rPr>
        <w:footnoteRef/>
      </w:r>
      <w:r>
        <w:t xml:space="preserve"> </w:t>
      </w:r>
      <w:r>
        <w:rPr>
          <w:b/>
          <w:bCs/>
          <w:rtl/>
        </w:rPr>
        <w:t xml:space="preserve"> והאי איהו כו'.</w:t>
      </w:r>
      <w:r>
        <w:rPr>
          <w:rtl/>
        </w:rPr>
        <w:t xml:space="preserve"> רוצה לומר כמו כן רשימין בברית כמו שמפרש והולך:</w:t>
      </w:r>
    </w:p>
  </w:footnote>
  <w:footnote w:id="3357">
    <w:p w:rsidR="00A13282" w:rsidRDefault="00A13282" w:rsidP="003841DB">
      <w:pPr>
        <w:pStyle w:val="a5"/>
      </w:pPr>
      <w:r>
        <w:rPr>
          <w:rStyle w:val="a7"/>
        </w:rPr>
        <w:footnoteRef/>
      </w:r>
      <w:r>
        <w:t xml:space="preserve"> </w:t>
      </w:r>
      <w:r>
        <w:rPr>
          <w:b/>
          <w:bCs/>
          <w:rtl/>
        </w:rPr>
        <w:t xml:space="preserve"> ד' שכינתא.</w:t>
      </w:r>
      <w:r>
        <w:rPr>
          <w:rtl/>
        </w:rPr>
        <w:t xml:space="preserve"> והוא בתרין שוקין, דשם ב', דשם אימא מסתיימת בנ' תרעין - ה' חסדים וה' גבורות, אבל יסוד כלילא דכלהו ולכן הן ב' ענפין ושם השכינה ששם מקומה ובניינה כידוע ולכן נקראת ד':</w:t>
      </w:r>
    </w:p>
  </w:footnote>
  <w:footnote w:id="3358">
    <w:p w:rsidR="00A13282" w:rsidRDefault="00A13282" w:rsidP="003841DB">
      <w:pPr>
        <w:pStyle w:val="a5"/>
      </w:pPr>
      <w:r>
        <w:rPr>
          <w:rStyle w:val="a7"/>
        </w:rPr>
        <w:footnoteRef/>
      </w:r>
      <w:r>
        <w:t xml:space="preserve"> </w:t>
      </w:r>
      <w:r>
        <w:rPr>
          <w:b/>
          <w:bCs/>
          <w:rtl/>
        </w:rPr>
        <w:t xml:space="preserve"> י' צדיק כו'.</w:t>
      </w:r>
      <w:r>
        <w:rPr>
          <w:rtl/>
        </w:rPr>
        <w:t xml:space="preserve"> והן ו' תיקונין דגופא דכלילן בשכינתא כמו שאומר לעיל ס"ג ב' ומסטרא דגופא אתקרי חסד כו' עד אות ברית, וזה שאומר ועל האי שדי כו':</w:t>
      </w:r>
    </w:p>
  </w:footnote>
  <w:footnote w:id="3359">
    <w:p w:rsidR="00A13282" w:rsidRDefault="00A13282" w:rsidP="003841DB">
      <w:pPr>
        <w:pStyle w:val="a5"/>
      </w:pPr>
      <w:r>
        <w:rPr>
          <w:rStyle w:val="a7"/>
        </w:rPr>
        <w:footnoteRef/>
      </w:r>
      <w:r>
        <w:t xml:space="preserve"> </w:t>
      </w:r>
      <w:r>
        <w:rPr>
          <w:b/>
          <w:bCs/>
          <w:rtl/>
        </w:rPr>
        <w:t xml:space="preserve"> (בהאי שדי דאיהי מלבר במזוזה) דאיהי תרעא דקב"ה כו' השער לה' (אבל ושמי ה' דאיהו מלגאו במזוזה).</w:t>
      </w:r>
      <w:r>
        <w:rPr>
          <w:rtl/>
        </w:rPr>
        <w:t xml:space="preserve"> רוצה לומר דמשם יכנסו לה' והוא מלגאו בה - ה' בהיכל קדשו (תהלים יא ד, חבקוק ב כ):</w:t>
      </w:r>
    </w:p>
  </w:footnote>
  <w:footnote w:id="3360">
    <w:p w:rsidR="00A13282" w:rsidRDefault="00A13282" w:rsidP="003841DB">
      <w:pPr>
        <w:pStyle w:val="a5"/>
      </w:pPr>
      <w:r>
        <w:rPr>
          <w:rStyle w:val="a7"/>
        </w:rPr>
        <w:footnoteRef/>
      </w:r>
      <w:r>
        <w:t xml:space="preserve"> </w:t>
      </w:r>
      <w:r>
        <w:rPr>
          <w:b/>
          <w:bCs/>
          <w:rtl/>
        </w:rPr>
        <w:t xml:space="preserve"> וכתבתם כו'.</w:t>
      </w:r>
      <w:r>
        <w:rPr>
          <w:rtl/>
        </w:rPr>
        <w:t xml:space="preserve"> חוזר לפרש ענין המזוזה, שדי דבה, דהשער הוא תלת אבהן, דמשם - זה השער - בתלת חיוון, בי"ב אנפין - ז"ה, דאינהו פתחו השער הזה לכל באי עולם, וזהו ובשעריך, ומזוזות הן תרי סמכי קשוט כמו שמפרש והולך, ואמר </w:t>
      </w:r>
      <w:r>
        <w:rPr>
          <w:b/>
          <w:bCs/>
          <w:rtl/>
        </w:rPr>
        <w:t>זז מות מן ביתא דאיהי שכינתא.</w:t>
      </w:r>
      <w:r>
        <w:rPr>
          <w:rtl/>
        </w:rPr>
        <w:t xml:space="preserve"> דהיא תמן בתרי סמכי קשוט כנ"ל ותמן סמיכין אלהים אחרים כמו שאומר לקמן צ"ג א' וזהו מזוזת ביתך, והמצוה עצמה - המזוזה הקבועה שם, הוא אות ברית דביה צריך למעשה המצוה - מילה כו', והוא כל השם לכן רשים תמן:</w:t>
      </w:r>
    </w:p>
  </w:footnote>
  <w:footnote w:id="3361">
    <w:p w:rsidR="00A13282" w:rsidRDefault="00A13282" w:rsidP="003841DB">
      <w:pPr>
        <w:pStyle w:val="a5"/>
      </w:pPr>
      <w:r>
        <w:rPr>
          <w:rStyle w:val="a7"/>
        </w:rPr>
        <w:footnoteRef/>
      </w:r>
      <w:r>
        <w:t xml:space="preserve"> </w:t>
      </w:r>
      <w:r>
        <w:rPr>
          <w:b/>
          <w:bCs/>
          <w:rtl/>
        </w:rPr>
        <w:t xml:space="preserve"> ובג"ד כו'.</w:t>
      </w:r>
      <w:r>
        <w:rPr>
          <w:rtl/>
        </w:rPr>
        <w:t xml:space="preserve"> חוזר לפרש ברית מילה דגם כן זז כו':</w:t>
      </w:r>
    </w:p>
  </w:footnote>
  <w:footnote w:id="3362">
    <w:p w:rsidR="00A13282" w:rsidRDefault="00A13282" w:rsidP="003841DB">
      <w:pPr>
        <w:pStyle w:val="a5"/>
      </w:pPr>
      <w:r>
        <w:rPr>
          <w:rStyle w:val="a7"/>
        </w:rPr>
        <w:footnoteRef/>
      </w:r>
      <w:r>
        <w:t xml:space="preserve"> </w:t>
      </w:r>
      <w:r>
        <w:rPr>
          <w:b/>
          <w:bCs/>
          <w:rtl/>
        </w:rPr>
        <w:t xml:space="preserve"> דאיהו שטן כו'.</w:t>
      </w:r>
      <w:r>
        <w:rPr>
          <w:rtl/>
        </w:rPr>
        <w:t xml:space="preserve"> חשיב ששה שמות נגד ו"ק דגופא שהוא בשדי, וכלילו דכלהו שכינתא, ונגד המות דכלילא מכלהו ס"א כמו שאומר מות מיניה דאיהו שטן כו':</w:t>
      </w:r>
    </w:p>
  </w:footnote>
  <w:footnote w:id="3363">
    <w:p w:rsidR="00A13282" w:rsidRDefault="00A13282" w:rsidP="003841DB">
      <w:pPr>
        <w:pStyle w:val="a5"/>
      </w:pPr>
      <w:r>
        <w:rPr>
          <w:rStyle w:val="a7"/>
        </w:rPr>
        <w:footnoteRef/>
      </w:r>
      <w:r>
        <w:t xml:space="preserve"> </w:t>
      </w:r>
      <w:r>
        <w:rPr>
          <w:b/>
          <w:bCs/>
          <w:rtl/>
        </w:rPr>
        <w:t xml:space="preserve"> דאיהו אל אחר.</w:t>
      </w:r>
      <w:r>
        <w:rPr>
          <w:rtl/>
        </w:rPr>
        <w:t xml:space="preserve"> דאסתלק קוצו של ד' דאחד דאיהו אות ברית ועיין מה שבארנו לעיל ריש תיקון כ”א:</w:t>
      </w:r>
    </w:p>
  </w:footnote>
  <w:footnote w:id="3364">
    <w:p w:rsidR="00A13282" w:rsidRDefault="00A13282" w:rsidP="003841DB">
      <w:pPr>
        <w:pStyle w:val="a5"/>
      </w:pPr>
      <w:r>
        <w:rPr>
          <w:rStyle w:val="a7"/>
        </w:rPr>
        <w:footnoteRef/>
      </w:r>
      <w:r>
        <w:t xml:space="preserve"> </w:t>
      </w:r>
      <w:r>
        <w:rPr>
          <w:b/>
          <w:bCs/>
          <w:rtl/>
        </w:rPr>
        <w:t xml:space="preserve"> חויא כו' וסם כו'.</w:t>
      </w:r>
      <w:r>
        <w:rPr>
          <w:rtl/>
        </w:rPr>
        <w:t xml:space="preserve"> דהן זו"נ ולקמן פ"א ב' אמר דנחש איהי נוק' וכן בכמה מקומות:</w:t>
      </w:r>
    </w:p>
  </w:footnote>
  <w:footnote w:id="3365">
    <w:p w:rsidR="00A13282" w:rsidRDefault="00A13282" w:rsidP="003841DB">
      <w:pPr>
        <w:pStyle w:val="a5"/>
      </w:pPr>
      <w:r>
        <w:rPr>
          <w:rStyle w:val="a7"/>
        </w:rPr>
        <w:footnoteRef/>
      </w:r>
      <w:r>
        <w:t xml:space="preserve"> </w:t>
      </w:r>
      <w:r>
        <w:rPr>
          <w:b/>
          <w:bCs/>
          <w:rtl/>
        </w:rPr>
        <w:t xml:space="preserve"> את מקדש כו'.</w:t>
      </w:r>
      <w:r>
        <w:rPr>
          <w:rtl/>
        </w:rPr>
        <w:t xml:space="preserve"> דהוא ברית קודש יו"ד כמו שאומר בזהר פרשת בראשית ולקמן פ"א א' ומאן כו' עליה אתמר כו':</w:t>
      </w:r>
    </w:p>
  </w:footnote>
  <w:footnote w:id="3366">
    <w:p w:rsidR="00A13282" w:rsidRDefault="00A13282" w:rsidP="003841DB">
      <w:pPr>
        <w:pStyle w:val="a5"/>
      </w:pPr>
      <w:r>
        <w:rPr>
          <w:rStyle w:val="a7"/>
        </w:rPr>
        <w:footnoteRef/>
      </w:r>
      <w:r>
        <w:t xml:space="preserve"> </w:t>
      </w:r>
      <w:r>
        <w:rPr>
          <w:b/>
          <w:bCs/>
          <w:rtl/>
        </w:rPr>
        <w:t xml:space="preserve"> וסביל כמה כו'.</w:t>
      </w:r>
      <w:r>
        <w:rPr>
          <w:rtl/>
        </w:rPr>
        <w:t xml:space="preserve"> דצריך יסורין ומיתה, יסורין - בשביל החויא וכמו שאומר למטה וכמה נשיכין כו', ומיתה - בשביל סם המות וכמו שכתוב (תהלים פט לג) ופקדתי בשבט כו', ובג"ד (שבת נה ע"א) אין מיתה כו' ואין כו', וזה שאומר </w:t>
      </w:r>
      <w:r>
        <w:rPr>
          <w:b/>
          <w:bCs/>
          <w:rtl/>
        </w:rPr>
        <w:t>דאיהי צרעת ממארת כו'.</w:t>
      </w:r>
      <w:r>
        <w:rPr>
          <w:rtl/>
        </w:rPr>
        <w:t xml:space="preserve"> רוצה לומר ההוא חויא וכמו שמפרש והולך בגין דנחש כו', ועל מיתה בא לו עניות וכמו שמפרש והולך ועני כו':</w:t>
      </w:r>
    </w:p>
  </w:footnote>
  <w:footnote w:id="3367">
    <w:p w:rsidR="00A13282" w:rsidRDefault="00A13282" w:rsidP="003841DB">
      <w:pPr>
        <w:pStyle w:val="a5"/>
      </w:pPr>
      <w:r>
        <w:rPr>
          <w:rStyle w:val="a7"/>
        </w:rPr>
        <w:footnoteRef/>
      </w:r>
      <w:r>
        <w:t xml:space="preserve"> </w:t>
      </w:r>
      <w:r>
        <w:rPr>
          <w:b/>
          <w:bCs/>
          <w:rtl/>
        </w:rPr>
        <w:t xml:space="preserve"> עד דלא אשתאר ביה בשרא.</w:t>
      </w:r>
      <w:r>
        <w:rPr>
          <w:rtl/>
        </w:rPr>
        <w:t xml:space="preserve"> והוא דין הקבר דאדם ניצול ממנו בברית כמו שאומר לקמן פ"א ב' ואמר למעלה יו"ד א' ובג"ד צדיקים דנטרי ברית כו' ובג"ד מאן דלא כו', ומיתה סובל גם כן בג"ד כמו שאומר שם ושם ובדא אשתזיב מחרבא דמלאך המות:</w:t>
      </w:r>
    </w:p>
  </w:footnote>
  <w:footnote w:id="3368">
    <w:p w:rsidR="00A13282" w:rsidRDefault="00A13282" w:rsidP="003841DB">
      <w:pPr>
        <w:pStyle w:val="a5"/>
      </w:pPr>
      <w:r>
        <w:rPr>
          <w:rStyle w:val="a7"/>
        </w:rPr>
        <w:footnoteRef/>
      </w:r>
      <w:r>
        <w:t xml:space="preserve"> </w:t>
      </w:r>
      <w:r>
        <w:rPr>
          <w:b/>
          <w:bCs/>
          <w:rtl/>
        </w:rPr>
        <w:t xml:space="preserve"> ועפר אחר כו'.</w:t>
      </w:r>
      <w:r>
        <w:rPr>
          <w:rtl/>
        </w:rPr>
        <w:t xml:space="preserve"> בגלגולא כמו שכתוב (איוב לד טו) ואדם על עפר ישוב ועיין ברעיא מהימנא פ' פנחס רי"ז ב' בגין דעפר אחר כו' עיין שם, והשם יתברך ברוב חסדו באתר דגלגולא שולח לו עניות במקום המיתה כמו שאמרו דאיהי כגוונא דגלגולא בז' ארעין כו', וזהו שאמר ועני חשוב כו':</w:t>
      </w:r>
    </w:p>
  </w:footnote>
  <w:footnote w:id="3369">
    <w:p w:rsidR="00A13282" w:rsidRDefault="00A13282" w:rsidP="003841DB">
      <w:pPr>
        <w:pStyle w:val="a5"/>
      </w:pPr>
      <w:r>
        <w:rPr>
          <w:rStyle w:val="a7"/>
        </w:rPr>
        <w:footnoteRef/>
      </w:r>
      <w:r>
        <w:t xml:space="preserve"> </w:t>
      </w:r>
      <w:r>
        <w:rPr>
          <w:b/>
          <w:bCs/>
          <w:rtl/>
        </w:rPr>
        <w:t xml:space="preserve"> וכמה כו' נשיך כו'.</w:t>
      </w:r>
      <w:r>
        <w:rPr>
          <w:rtl/>
        </w:rPr>
        <w:t xml:space="preserve"> עם העניות, דעניות הוא רק במקום המיתה ואח"כ קאמר </w:t>
      </w:r>
      <w:r>
        <w:rPr>
          <w:b/>
          <w:bCs/>
          <w:rtl/>
        </w:rPr>
        <w:t xml:space="preserve">ולא עוד כו'. </w:t>
      </w:r>
      <w:r>
        <w:rPr>
          <w:rtl/>
        </w:rPr>
        <w:t>רוצה לומר דפעמים ניצול בעניות מהכל, דהוא במקום צרעת ממארת דחויא כמו שמפרש והולך והוא דחויא כנ"ל:</w:t>
      </w:r>
    </w:p>
  </w:footnote>
  <w:footnote w:id="3370">
    <w:p w:rsidR="00A13282" w:rsidRDefault="00A13282" w:rsidP="003841DB">
      <w:pPr>
        <w:pStyle w:val="a5"/>
      </w:pPr>
      <w:r>
        <w:rPr>
          <w:rStyle w:val="a7"/>
        </w:rPr>
        <w:footnoteRef/>
      </w:r>
      <w:r>
        <w:t xml:space="preserve"> </w:t>
      </w:r>
      <w:r>
        <w:rPr>
          <w:b/>
          <w:bCs/>
          <w:rtl/>
        </w:rPr>
        <w:t xml:space="preserve"> מחוץ למחנה מושבו וגו'.</w:t>
      </w:r>
      <w:r>
        <w:rPr>
          <w:rtl/>
        </w:rPr>
        <w:t xml:space="preserve"> רוצה לומר דכתיב בגדיו כו':</w:t>
      </w:r>
    </w:p>
  </w:footnote>
  <w:footnote w:id="3371">
    <w:p w:rsidR="00A13282" w:rsidRDefault="00A13282" w:rsidP="003841DB">
      <w:pPr>
        <w:pStyle w:val="a5"/>
      </w:pPr>
      <w:r>
        <w:rPr>
          <w:rStyle w:val="a7"/>
        </w:rPr>
        <w:footnoteRef/>
      </w:r>
      <w:r>
        <w:t xml:space="preserve"> </w:t>
      </w:r>
      <w:r>
        <w:rPr>
          <w:b/>
          <w:bCs/>
          <w:rtl/>
        </w:rPr>
        <w:t xml:space="preserve"> וארבע גוונין אינון בד' כו'.</w:t>
      </w:r>
      <w:r>
        <w:rPr>
          <w:rtl/>
        </w:rPr>
        <w:t xml:space="preserve"> והן ד' דיוקנין דנחש, ורוצה לומר דלכן ד' מיני יסורין כמו שמפרש והולך מד' מרות ונגדן ד' מיני עניות שסימנן דמעה כידוע, והוא דמעה דאל אחר כנ"ל ס"ד ב' וזהו דלת ד':</w:t>
      </w:r>
    </w:p>
  </w:footnote>
  <w:footnote w:id="3372">
    <w:p w:rsidR="00A13282" w:rsidRDefault="00A13282" w:rsidP="003841DB">
      <w:pPr>
        <w:pStyle w:val="a5"/>
      </w:pPr>
      <w:r>
        <w:rPr>
          <w:rStyle w:val="a7"/>
        </w:rPr>
        <w:footnoteRef/>
      </w:r>
      <w:r>
        <w:t xml:space="preserve"> </w:t>
      </w:r>
      <w:r>
        <w:rPr>
          <w:b/>
          <w:bCs/>
          <w:rtl/>
        </w:rPr>
        <w:t>ושב ורפא כו' והשיבו וחיו.</w:t>
      </w:r>
      <w:r>
        <w:rPr>
          <w:rtl/>
        </w:rPr>
        <w:t xml:space="preserve"> מב' הנ"ל כמו שמפרש והולך:</w:t>
      </w:r>
    </w:p>
  </w:footnote>
  <w:footnote w:id="3373">
    <w:p w:rsidR="00A13282" w:rsidRDefault="00A13282" w:rsidP="003841DB">
      <w:pPr>
        <w:pStyle w:val="a5"/>
      </w:pPr>
      <w:r>
        <w:rPr>
          <w:rStyle w:val="a7"/>
        </w:rPr>
        <w:footnoteRef/>
      </w:r>
      <w:r>
        <w:t xml:space="preserve"> </w:t>
      </w:r>
      <w:r>
        <w:rPr>
          <w:b/>
          <w:bCs/>
          <w:rtl/>
        </w:rPr>
        <w:t xml:space="preserve"> מאלין כו' ומחיה כו'.</w:t>
      </w:r>
      <w:r>
        <w:rPr>
          <w:rtl/>
        </w:rPr>
        <w:t xml:space="preserve"> דתשובה מועיל לשניהם, דשני מיני תשובה הן, אחד בה' בתראה ואחד בוא"ו, וכמו שאומר ברעיא מהימנא פ' נשא קכ"ב א' וכל מאן דחזר בתיובתא כו' ושם קכ"ג א' כען צריך לאהדרא על פתח התשובה כו' אית כו' אית כו':</w:t>
      </w:r>
    </w:p>
  </w:footnote>
  <w:footnote w:id="3374">
    <w:p w:rsidR="00A13282" w:rsidRDefault="00A13282" w:rsidP="003841DB">
      <w:pPr>
        <w:pStyle w:val="a5"/>
      </w:pPr>
      <w:r>
        <w:rPr>
          <w:rStyle w:val="a7"/>
        </w:rPr>
        <w:footnoteRef/>
      </w:r>
      <w:r>
        <w:t xml:space="preserve"> </w:t>
      </w:r>
      <w:r>
        <w:rPr>
          <w:b/>
          <w:bCs/>
          <w:rtl/>
        </w:rPr>
        <w:t xml:space="preserve"> ולית עניותא כו'.</w:t>
      </w:r>
      <w:r>
        <w:rPr>
          <w:rtl/>
        </w:rPr>
        <w:t xml:space="preserve"> רוצה לומר אע"ג דסביל עניות מכל מקום כל זה אינו קשה כעניות דאורייתא כמו שאמרו (שבת קלח ע"ב) שהוא הפלא ופלא שנאמר לכן הנני יוסיף כו'. ואיהי חיים כמו שכתוב (משלי ד כב) כי חיים הם. ורפואה (שם) נגד העניות הנ"ל שכולל ב' - מיתה ויסורין, ובאורייתא זוכה לתשובה עילאה כנ"ל, וניצול משניהם, וזה שאומר </w:t>
      </w:r>
      <w:r>
        <w:rPr>
          <w:b/>
          <w:bCs/>
          <w:rtl/>
        </w:rPr>
        <w:t>ואיהו אסוותא כו'</w:t>
      </w:r>
      <w:r>
        <w:rPr>
          <w:rtl/>
        </w:rPr>
        <w:t xml:space="preserve"> דהשם יתברך שולח עניות לאדם בעולם הזה להנצל מדינא דההוא עלמא כנ"ל, אבל למי שאינו נותן לו עניות - ניתן לו עניות דאורייתא, שהוא חלל בחייו, וסובל מרעין ומיתה בההוא עלמא, והאסוותא לזה - שישוב ויתעסק באורייתא, וזה שאומר אסוותא דיליה מאי היא לההוא כו' רפאות כו':</w:t>
      </w:r>
    </w:p>
  </w:footnote>
  <w:footnote w:id="3375">
    <w:p w:rsidR="00A13282" w:rsidRDefault="00A13282" w:rsidP="003841DB">
      <w:pPr>
        <w:pStyle w:val="a5"/>
      </w:pPr>
      <w:r>
        <w:rPr>
          <w:rStyle w:val="a7"/>
        </w:rPr>
        <w:footnoteRef/>
      </w:r>
      <w:r>
        <w:t xml:space="preserve"> </w:t>
      </w:r>
      <w:r>
        <w:rPr>
          <w:b/>
          <w:bCs/>
          <w:rtl/>
        </w:rPr>
        <w:t xml:space="preserve"> שימני כחותם דא אות שבת כו' לברית מילה מאי חותם בהאי אתר כגוונא [דא] שבת ש' כו'.</w:t>
      </w:r>
      <w:r>
        <w:rPr>
          <w:rtl/>
        </w:rPr>
        <w:t xml:space="preserve"> למעלה אמר כחותם דא אות דמילה ושבת ויום טוב, ופירש למעלה מילה בשדי הוי"ה דהוא חותם ועתה מפרש שבת:</w:t>
      </w:r>
    </w:p>
  </w:footnote>
  <w:footnote w:id="3376">
    <w:p w:rsidR="00A13282" w:rsidRDefault="00A13282" w:rsidP="003841DB">
      <w:pPr>
        <w:pStyle w:val="a5"/>
      </w:pPr>
      <w:r>
        <w:rPr>
          <w:rStyle w:val="a7"/>
        </w:rPr>
        <w:footnoteRef/>
      </w:r>
      <w:r>
        <w:t xml:space="preserve"> </w:t>
      </w:r>
      <w:r>
        <w:rPr>
          <w:b/>
          <w:bCs/>
          <w:rtl/>
        </w:rPr>
        <w:t xml:space="preserve"> בת דא ד' דאיהי כו'.</w:t>
      </w:r>
      <w:r>
        <w:rPr>
          <w:rtl/>
        </w:rPr>
        <w:t xml:space="preserve"> בת דשבת, שכינה דאיהי רגל רביעי ורביעאה לחיוון ולכן בת רמוזה בד':</w:t>
      </w:r>
    </w:p>
  </w:footnote>
  <w:footnote w:id="3377">
    <w:p w:rsidR="00A13282" w:rsidRDefault="00A13282" w:rsidP="003841DB">
      <w:pPr>
        <w:pStyle w:val="a5"/>
      </w:pPr>
      <w:r>
        <w:rPr>
          <w:rStyle w:val="a7"/>
        </w:rPr>
        <w:footnoteRef/>
      </w:r>
      <w:r>
        <w:t xml:space="preserve"> </w:t>
      </w:r>
      <w:r>
        <w:rPr>
          <w:b/>
          <w:bCs/>
          <w:rtl/>
        </w:rPr>
        <w:t xml:space="preserve"> ולאו אדם כו' ואו קא כו'.</w:t>
      </w:r>
      <w:r>
        <w:rPr>
          <w:rtl/>
        </w:rPr>
        <w:t xml:space="preserve"> רוצה לומר שבת הוא ד' חיוון דמרכבתא, ושם דמות אדם והוא ש"ד דשדי, ויוד דשדי - אות שבת, הוא אדם היושב על הכסא שהוא שמא מפרש, יו"ד אותיות, והוא האות בשמירת האדם וכמו שאומר למעלה שיוד דשדי הוא ע"י מעשה האדם והוא גבוה עשרה, והוי"ה רחבו ד' ומ"מ רמוז יוד זאת בנקודה שתוך הבית שהיא בת של בראשית, נקודה בחלל דילה וכמו שאומר בתיקון ל”ו בראשית נקודה בחלל כו' והאי נקודה איהי אות דשבת כו':</w:t>
      </w:r>
    </w:p>
  </w:footnote>
  <w:footnote w:id="3378">
    <w:p w:rsidR="00A13282" w:rsidRDefault="00A13282" w:rsidP="003841DB">
      <w:pPr>
        <w:pStyle w:val="a5"/>
      </w:pPr>
      <w:r>
        <w:rPr>
          <w:rStyle w:val="a7"/>
        </w:rPr>
        <w:footnoteRef/>
      </w:r>
      <w:r>
        <w:t xml:space="preserve"> </w:t>
      </w:r>
      <w:r>
        <w:rPr>
          <w:b/>
          <w:bCs/>
          <w:rtl/>
        </w:rPr>
        <w:t xml:space="preserve"> האי רשימו.</w:t>
      </w:r>
      <w:r>
        <w:rPr>
          <w:rtl/>
        </w:rPr>
        <w:t xml:space="preserve"> רוצה לומר שדי כמו שמפרש והולך:</w:t>
      </w:r>
    </w:p>
  </w:footnote>
  <w:footnote w:id="3379">
    <w:p w:rsidR="00A13282" w:rsidRDefault="00A13282" w:rsidP="003841DB">
      <w:pPr>
        <w:pStyle w:val="a5"/>
      </w:pPr>
      <w:r>
        <w:rPr>
          <w:rStyle w:val="a7"/>
        </w:rPr>
        <w:footnoteRef/>
      </w:r>
      <w:r>
        <w:t xml:space="preserve"> </w:t>
      </w:r>
      <w:r>
        <w:rPr>
          <w:b/>
          <w:bCs/>
          <w:rtl/>
        </w:rPr>
        <w:t xml:space="preserve"> כל הנקרא כו'.</w:t>
      </w:r>
      <w:r>
        <w:rPr>
          <w:rtl/>
        </w:rPr>
        <w:t xml:space="preserve"> דשמו כשם רבו:</w:t>
      </w:r>
    </w:p>
  </w:footnote>
  <w:footnote w:id="3380">
    <w:p w:rsidR="00A13282" w:rsidRDefault="00A13282" w:rsidP="003841DB">
      <w:pPr>
        <w:pStyle w:val="a5"/>
      </w:pPr>
      <w:r>
        <w:rPr>
          <w:rStyle w:val="a7"/>
        </w:rPr>
        <w:footnoteRef/>
      </w:r>
      <w:r>
        <w:t xml:space="preserve"> </w:t>
      </w:r>
      <w:r>
        <w:rPr>
          <w:b/>
          <w:bCs/>
          <w:rtl/>
        </w:rPr>
        <w:t xml:space="preserve"> ואיהו אדם זעירא כו'.</w:t>
      </w:r>
      <w:r>
        <w:rPr>
          <w:rtl/>
        </w:rPr>
        <w:t xml:space="preserve"> והוא יוד דשדי, אדם כו' כנ"ל וכמו שאומר ס"ג א' ואדם רכיב על גביהן דא מט"ט כו' וש"ד - ד' חיוון דיליה וכמו שמפרש והולך מאן דאיהו כו':</w:t>
      </w:r>
    </w:p>
  </w:footnote>
  <w:footnote w:id="3381">
    <w:p w:rsidR="00A13282" w:rsidRDefault="00A13282" w:rsidP="003841DB">
      <w:pPr>
        <w:pStyle w:val="a5"/>
      </w:pPr>
      <w:r>
        <w:rPr>
          <w:rStyle w:val="a7"/>
        </w:rPr>
        <w:footnoteRef/>
      </w:r>
      <w:r>
        <w:t xml:space="preserve"> </w:t>
      </w:r>
      <w:r>
        <w:rPr>
          <w:b/>
          <w:bCs/>
          <w:rtl/>
        </w:rPr>
        <w:t xml:space="preserve"> דאתמר בה שחורה כו'.</w:t>
      </w:r>
      <w:r>
        <w:rPr>
          <w:rtl/>
        </w:rPr>
        <w:t xml:space="preserve"> היא שכינתא - דמות אדם, והיא לילה, שחורה, דלית לה מגרמה כלום, ונאוה - דכלילין בה כל הגוונין והאורות:</w:t>
      </w:r>
    </w:p>
  </w:footnote>
  <w:footnote w:id="3382">
    <w:p w:rsidR="00A13282" w:rsidRDefault="00A13282" w:rsidP="003841DB">
      <w:pPr>
        <w:pStyle w:val="a5"/>
      </w:pPr>
      <w:r>
        <w:rPr>
          <w:rStyle w:val="a7"/>
        </w:rPr>
        <w:footnoteRef/>
      </w:r>
      <w:r>
        <w:t xml:space="preserve"> </w:t>
      </w:r>
      <w:r>
        <w:rPr>
          <w:b/>
          <w:bCs/>
          <w:rtl/>
        </w:rPr>
        <w:t xml:space="preserve"> שימני כו' תורת אמת.</w:t>
      </w:r>
      <w:r>
        <w:rPr>
          <w:rtl/>
        </w:rPr>
        <w:t xml:space="preserve"> דאמת הוא חותמא כנ"ל בחותמא ה' אמת, והוא עמודא דאמצעיתא, ואיהי שכינתא, כחותם, איהי תורת אמת כמו שאומר לעיל ד' ב':</w:t>
      </w:r>
    </w:p>
  </w:footnote>
  <w:footnote w:id="3383">
    <w:p w:rsidR="00A13282" w:rsidRDefault="00A13282" w:rsidP="003841DB">
      <w:pPr>
        <w:pStyle w:val="a5"/>
      </w:pPr>
      <w:r>
        <w:rPr>
          <w:rStyle w:val="a7"/>
        </w:rPr>
        <w:footnoteRef/>
      </w:r>
      <w:r>
        <w:t xml:space="preserve"> </w:t>
      </w:r>
      <w:r>
        <w:rPr>
          <w:b/>
          <w:bCs/>
          <w:rtl/>
        </w:rPr>
        <w:t>דתליין מן יו"ד.</w:t>
      </w:r>
      <w:r>
        <w:rPr>
          <w:rtl/>
        </w:rPr>
        <w:t xml:space="preserve"> דבעשר מאמרות יש ל"ב אלקים ונשלם למ"ב:</w:t>
      </w:r>
    </w:p>
  </w:footnote>
  <w:footnote w:id="3384">
    <w:p w:rsidR="00A13282" w:rsidRDefault="00A13282" w:rsidP="003841DB">
      <w:pPr>
        <w:pStyle w:val="a5"/>
      </w:pPr>
      <w:r>
        <w:rPr>
          <w:rStyle w:val="a7"/>
        </w:rPr>
        <w:footnoteRef/>
      </w:r>
      <w:r>
        <w:t xml:space="preserve"> </w:t>
      </w:r>
      <w:r>
        <w:rPr>
          <w:b/>
          <w:bCs/>
          <w:rtl/>
        </w:rPr>
        <w:t xml:space="preserve"> יום נקם בלבי.</w:t>
      </w:r>
      <w:r>
        <w:rPr>
          <w:rtl/>
        </w:rPr>
        <w:t xml:space="preserve"> רוצה לומר בלבי אהיה נוקם, דנקמה מסטרא דמ"ב - גבורה, והגאולה - מסטרא דחסד ע"ב, וזה שאומר ויכלו כו', ללבי, גימטריה ע"ב, וכן ויכלו, ועיין לקמן סוף תיקון ל”ו בעשר אמירן ול"ב אלקים דאינון מ"ב כו', ושבת ויכלו חסד כו', ועיין לקמן ס"ו א' ועוד איהו ל"ב כו' ביה אשתלים כו' ועיין מה שכתבתי שם:</w:t>
      </w:r>
    </w:p>
  </w:footnote>
  <w:footnote w:id="3385">
    <w:p w:rsidR="00A13282" w:rsidRDefault="00A13282" w:rsidP="003841DB">
      <w:pPr>
        <w:pStyle w:val="a5"/>
      </w:pPr>
      <w:r>
        <w:rPr>
          <w:rStyle w:val="a7"/>
        </w:rPr>
        <w:footnoteRef/>
      </w:r>
      <w:r>
        <w:t xml:space="preserve"> </w:t>
      </w:r>
      <w:r>
        <w:rPr>
          <w:b/>
          <w:bCs/>
          <w:rtl/>
        </w:rPr>
        <w:t xml:space="preserve"> ללבי גליתי ולאברי כו'.</w:t>
      </w:r>
      <w:r>
        <w:rPr>
          <w:rtl/>
        </w:rPr>
        <w:t xml:space="preserve"> הענין כי יש קצים בכל דרא לפי הזכיות של פקודין, וכמו שאמרו (סנהדרין צח ע"א) היום אם כו' אבל קץ האחרון לא תליא בתשובה אלא בחסד כמו שכתוב (יחזקאל כ ט, כב) ואעש למען שמי כו' וכמו שאומרים בתפלה למען שמו באהבה, וזה הקץ יתגלה והוא גם כן בזכות אבות דאינון ע"ב דשמא מפרש כמו שמפרש והולך, ואמר למטה בההוא זמנא חלה זכות אבהן כו' ועיין בתיקוני זהר חדש ע"ג ב' ובהאי ע"ב דאיהו חסד אתחזי קשת כו' ובגינה אתמר ללבי כו' אבל קץ וזמן דשוי קב"ה כו' עיין שם כל הענין, וזהו הקץ גלה ללבא דאינון אבהן דבהון ע"ב, ולשאר דאינון אברים לא גלה ואף זה הגילוי אינו אלא בקץ האחרון כנ"ל:</w:t>
      </w:r>
    </w:p>
  </w:footnote>
  <w:footnote w:id="3386">
    <w:p w:rsidR="00A13282" w:rsidRDefault="00A13282" w:rsidP="003841DB">
      <w:pPr>
        <w:pStyle w:val="a5"/>
      </w:pPr>
      <w:r>
        <w:rPr>
          <w:rStyle w:val="a7"/>
        </w:rPr>
        <w:footnoteRef/>
      </w:r>
      <w:r>
        <w:t xml:space="preserve"> </w:t>
      </w:r>
      <w:r>
        <w:rPr>
          <w:b/>
          <w:bCs/>
          <w:rtl/>
        </w:rPr>
        <w:t xml:space="preserve"> ובהאי ויכלו ה' דהששי ואיהי מלכות כו'.</w:t>
      </w:r>
      <w:r>
        <w:rPr>
          <w:rtl/>
        </w:rPr>
        <w:t xml:space="preserve"> רוצה לומר ויכלו הוא מלכות דהוא ע"ב כמו שמפרש והולך והיא ה' דהששי, ה' תתאה, שביעאה לששי לו"ק התחלת הבנין עולם כו':</w:t>
      </w:r>
    </w:p>
  </w:footnote>
  <w:footnote w:id="3387">
    <w:p w:rsidR="00A13282" w:rsidRDefault="00A13282" w:rsidP="003841DB">
      <w:pPr>
        <w:pStyle w:val="a5"/>
      </w:pPr>
      <w:r>
        <w:rPr>
          <w:rStyle w:val="a7"/>
        </w:rPr>
        <w:footnoteRef/>
      </w:r>
      <w:r>
        <w:t xml:space="preserve"> </w:t>
      </w:r>
      <w:r>
        <w:rPr>
          <w:b/>
          <w:bCs/>
          <w:rtl/>
        </w:rPr>
        <w:t xml:space="preserve"> ובה רכיב כו'.</w:t>
      </w:r>
      <w:r>
        <w:rPr>
          <w:rtl/>
        </w:rPr>
        <w:t xml:space="preserve"> ששי בה', הששי, דייתי בגינה למפרק לה ועיין בזהר פרשת בראשית כ"ה א' וברעיא מהימנא פ' משפטים:</w:t>
      </w:r>
    </w:p>
  </w:footnote>
  <w:footnote w:id="3388">
    <w:p w:rsidR="00A13282" w:rsidRDefault="00A13282" w:rsidP="003841DB">
      <w:pPr>
        <w:pStyle w:val="a5"/>
      </w:pPr>
      <w:r>
        <w:rPr>
          <w:rStyle w:val="a7"/>
        </w:rPr>
        <w:footnoteRef/>
      </w:r>
      <w:r>
        <w:t xml:space="preserve"> </w:t>
      </w:r>
      <w:r>
        <w:rPr>
          <w:b/>
          <w:bCs/>
          <w:rtl/>
        </w:rPr>
        <w:t xml:space="preserve"> בגין דאיהי כללא.</w:t>
      </w:r>
      <w:r>
        <w:rPr>
          <w:rtl/>
        </w:rPr>
        <w:t xml:space="preserve"> וזהו ויכלו - דאתכלילת מג' אבהן דאתמר בהון בכל מכל כל כמו שאמרו בתיקוני זהר חדש ע"ג ב' עיין שם ובהם בכל אחד ע"ב אתוון ואתכלילו בה כלהו בע"ב תיבין כמו שאומר בזהר פרשת בשלח ובפרשת בהעלותך:</w:t>
      </w:r>
    </w:p>
  </w:footnote>
  <w:footnote w:id="3389">
    <w:p w:rsidR="00A13282" w:rsidRDefault="00A13282" w:rsidP="003841DB">
      <w:pPr>
        <w:pStyle w:val="a5"/>
      </w:pPr>
      <w:r>
        <w:rPr>
          <w:rStyle w:val="a7"/>
        </w:rPr>
        <w:footnoteRef/>
      </w:r>
      <w:r>
        <w:t xml:space="preserve"> </w:t>
      </w:r>
      <w:r>
        <w:rPr>
          <w:b/>
          <w:bCs/>
          <w:rtl/>
        </w:rPr>
        <w:t xml:space="preserve"> בההוא זמנא חלה כו'.</w:t>
      </w:r>
      <w:r>
        <w:rPr>
          <w:rtl/>
        </w:rPr>
        <w:t xml:space="preserve"> רוצה לומר בזמן הגאולה דהוא ויכלו, יום השביעי, דביה רכיב ו' כו' דאתכלילן ג' אבהן בבת, דאתחזיאת קשת בג' גוונין נהירין באבהן, הנצנים נראו בארץ כו' קומי רעיתי כו', וזכותם נראה בארץ דבגלותא הני גוונין אתחשכאן ומתכסאן בגוונין חשוכין וזה שאמרו (שבת נה ע"א) תמה זכות אבות אבל אז תחון תחל זכות אבות ורוצה לומר כמו שאמרו (שם) ת' תמה כו' תחון כו':</w:t>
      </w:r>
    </w:p>
  </w:footnote>
  <w:footnote w:id="3390">
    <w:p w:rsidR="00A13282" w:rsidRDefault="00A13282" w:rsidP="003841DB">
      <w:pPr>
        <w:pStyle w:val="a5"/>
      </w:pPr>
      <w:r>
        <w:rPr>
          <w:rStyle w:val="a7"/>
        </w:rPr>
        <w:footnoteRef/>
      </w:r>
      <w:r>
        <w:t xml:space="preserve"> </w:t>
      </w:r>
      <w:r>
        <w:rPr>
          <w:b/>
          <w:bCs/>
          <w:rtl/>
        </w:rPr>
        <w:t>דמיומא דאתחרב כו'.</w:t>
      </w:r>
      <w:r>
        <w:rPr>
          <w:rtl/>
        </w:rPr>
        <w:t xml:space="preserve"> כמו שאמרו (ילקוט ירמיהו ד' סימן רעד) והארץ היתה כו' בית המקדש חרב כמו שכתוב ראיתי הארץ והנה תהו כו' יהי אור זו בנין דלעתיד, והוא אור, חסד דאברהם, וזה שאומר מתמן ואילך כו' וכמו שכתוב אלה תולדות השמים ראשי תיבות תהו עד בהבראם באברהם ועתה בגלות הוא עולם התוהו ועיין זהר חדש פ"א ב' בארוכה:</w:t>
      </w:r>
    </w:p>
  </w:footnote>
  <w:footnote w:id="3391">
    <w:p w:rsidR="00A13282" w:rsidRDefault="00A13282" w:rsidP="003841DB">
      <w:pPr>
        <w:pStyle w:val="a5"/>
      </w:pPr>
      <w:r>
        <w:rPr>
          <w:rStyle w:val="a7"/>
        </w:rPr>
        <w:footnoteRef/>
      </w:r>
      <w:r>
        <w:t xml:space="preserve"> </w:t>
      </w:r>
      <w:r>
        <w:rPr>
          <w:b/>
          <w:bCs/>
          <w:rtl/>
        </w:rPr>
        <w:t xml:space="preserve"> וה' דא רזא כו'.</w:t>
      </w:r>
      <w:r>
        <w:rPr>
          <w:rtl/>
        </w:rPr>
        <w:t xml:space="preserve"> רוצה לומר ה' דהששי דאתקשר בויכלו דאיהו ע"ב, חסד, הוא רזא התקשרות ה' - מלכות, בחסד, ה' דאברהם ברתא דאברהם, חסידה ברושים ביתה, כי למעלה אמר ע"ב בשכינה וכאן דריש על חסד, והכל אחד, דשכינתא אתכלילת בחסד, ומסטרא דחסד נקרא ע"ב, ואע"ג שלמעלה אמר בכל ג' אבהן - היינו מצד כלילותם באברהם, חסד, וכמו שאומר בתיקוני זהר חדש ע"ג ב' ובהאי ע"ב דאיהו חסד כו' ונטיל בימינא דאיהו חסד דכליל ע"ב: </w:t>
      </w:r>
    </w:p>
  </w:footnote>
  <w:footnote w:id="3392">
    <w:p w:rsidR="00A13282" w:rsidRDefault="00A13282" w:rsidP="003841DB">
      <w:pPr>
        <w:pStyle w:val="a5"/>
      </w:pPr>
      <w:r>
        <w:rPr>
          <w:rStyle w:val="a7"/>
        </w:rPr>
        <w:footnoteRef/>
      </w:r>
      <w:r>
        <w:t xml:space="preserve"> </w:t>
      </w:r>
      <w:r>
        <w:rPr>
          <w:rtl/>
        </w:rPr>
        <w:t xml:space="preserve"> </w:t>
      </w:r>
      <w:r>
        <w:rPr>
          <w:b/>
          <w:bCs/>
          <w:rtl/>
        </w:rPr>
        <w:t>ומאן שביעי כו'.</w:t>
      </w:r>
      <w:r>
        <w:rPr>
          <w:rtl/>
        </w:rPr>
        <w:t xml:space="preserve"> רוצה לומר לא יום השביעי, אלף השביעי דאיהו במלכות, דהגאולה תהיה באלף הששי ואמר </w:t>
      </w:r>
      <w:r>
        <w:rPr>
          <w:b/>
          <w:bCs/>
          <w:rtl/>
        </w:rPr>
        <w:t>שביעי דא אות דצדיק אות ברית.</w:t>
      </w:r>
      <w:r>
        <w:rPr>
          <w:rtl/>
        </w:rPr>
        <w:t xml:space="preserve"> רוצה לומר עטרת הברית, ה' דהששי, ה' בתראה דשם, והיא סיהרא דתתמלא, (ישעיהו ל כו) והיה אור הלבנה כו', הברית דיתגלה, והוא חי וקיים דלא מית בעולם התהו, ולכן אז (ישעיהו כה ח) בלע המות לנצח, ויסורו הערלה והפריעה משם, והיא ברית דאברהם, והיא שביעי דכאן, וזה שאומר מאן שביעי דלא תטעי לומר על מלכות, אדני:</w:t>
      </w:r>
    </w:p>
  </w:footnote>
  <w:footnote w:id="3393">
    <w:p w:rsidR="00A13282" w:rsidRDefault="00A13282" w:rsidP="003841DB">
      <w:pPr>
        <w:pStyle w:val="a5"/>
      </w:pPr>
      <w:r>
        <w:rPr>
          <w:rStyle w:val="a7"/>
        </w:rPr>
        <w:footnoteRef/>
      </w:r>
      <w:r>
        <w:t xml:space="preserve"> </w:t>
      </w:r>
      <w:r>
        <w:rPr>
          <w:b/>
          <w:bCs/>
          <w:rtl/>
        </w:rPr>
        <w:t xml:space="preserve"> ורזא דמלה חי ה' שכבי.</w:t>
      </w:r>
      <w:r>
        <w:rPr>
          <w:rtl/>
        </w:rPr>
        <w:t xml:space="preserve"> דהיא נקרא חי ה' כנ"ל. שכבי עד דיתגלה חסד, והוא חסד בפום אמה דיתגלה ועיין באידרא רבה קמ"ב א' והוא קשת בגוונוי נהירין ועיין לקמן תיקון ל”ז, והוא עד הבוקר כמו שמפרש והולך:</w:t>
      </w:r>
    </w:p>
  </w:footnote>
  <w:footnote w:id="3394">
    <w:p w:rsidR="00A13282" w:rsidRDefault="00A13282" w:rsidP="003841DB">
      <w:pPr>
        <w:pStyle w:val="a5"/>
      </w:pPr>
      <w:r>
        <w:rPr>
          <w:rStyle w:val="a7"/>
        </w:rPr>
        <w:footnoteRef/>
      </w:r>
      <w:r>
        <w:t xml:space="preserve"> </w:t>
      </w:r>
      <w:r>
        <w:rPr>
          <w:b/>
          <w:bCs/>
          <w:rtl/>
        </w:rPr>
        <w:t xml:space="preserve"> דאיהי נפילה.</w:t>
      </w:r>
      <w:r>
        <w:rPr>
          <w:rtl/>
        </w:rPr>
        <w:t xml:space="preserve"> כמו שכתוב (תהלים פט מה) וכסאו לארץ מגרתה:</w:t>
      </w:r>
    </w:p>
  </w:footnote>
  <w:footnote w:id="3395">
    <w:p w:rsidR="00A13282" w:rsidRDefault="00A13282" w:rsidP="003841DB">
      <w:pPr>
        <w:pStyle w:val="a5"/>
      </w:pPr>
      <w:r>
        <w:rPr>
          <w:rStyle w:val="a7"/>
        </w:rPr>
        <w:footnoteRef/>
      </w:r>
      <w:r>
        <w:t xml:space="preserve"> </w:t>
      </w:r>
      <w:r>
        <w:rPr>
          <w:b/>
          <w:bCs/>
          <w:rtl/>
        </w:rPr>
        <w:t xml:space="preserve"> וביה תקום.</w:t>
      </w:r>
      <w:r>
        <w:rPr>
          <w:rtl/>
        </w:rPr>
        <w:t xml:space="preserve"> כמו שכתוב (עמוס ט יא) ביום ההוא אקים כו':</w:t>
      </w:r>
    </w:p>
  </w:footnote>
  <w:footnote w:id="3396">
    <w:p w:rsidR="00A13282" w:rsidRDefault="00A13282" w:rsidP="003841DB">
      <w:pPr>
        <w:pStyle w:val="a5"/>
      </w:pPr>
      <w:r>
        <w:rPr>
          <w:rStyle w:val="a7"/>
        </w:rPr>
        <w:footnoteRef/>
      </w:r>
      <w:r>
        <w:t xml:space="preserve"> </w:t>
      </w:r>
      <w:r>
        <w:rPr>
          <w:b/>
          <w:bCs/>
          <w:rtl/>
        </w:rPr>
        <w:t xml:space="preserve"> בגין דעליה אתמר.</w:t>
      </w:r>
      <w:r>
        <w:rPr>
          <w:rtl/>
        </w:rPr>
        <w:t xml:space="preserve"> רוצה לומר דעל חסד אתמר מימינו כו' כמו שמפרש והולך מימינא כו' וכמו שאומר בזהר פרשת יתרו פ"ד ב' הכי תאנא חמשה כו', והכא כולא איהו ימינא כו' דהא תנינן שמאלא אתחזר ימינא דכתיב מימינו כו' וזה שאומר וכל ספירן כו' בגין כו':</w:t>
      </w:r>
    </w:p>
  </w:footnote>
  <w:footnote w:id="3397">
    <w:p w:rsidR="00A13282" w:rsidRDefault="00A13282" w:rsidP="003841DB">
      <w:pPr>
        <w:pStyle w:val="a5"/>
      </w:pPr>
      <w:r>
        <w:rPr>
          <w:rStyle w:val="a7"/>
        </w:rPr>
        <w:footnoteRef/>
      </w:r>
      <w:r>
        <w:t xml:space="preserve"> </w:t>
      </w:r>
      <w:r>
        <w:rPr>
          <w:b/>
          <w:bCs/>
          <w:rtl/>
        </w:rPr>
        <w:t xml:space="preserve"> בג"ד מוליך לימין כו'.</w:t>
      </w:r>
      <w:r>
        <w:rPr>
          <w:rtl/>
        </w:rPr>
        <w:t xml:space="preserve"> רוצה לומר זרוע ותפארתו מוליך לימין (זרוע של תפארת) שהם גבורה ותפארת דאתכלילו כולהו בימינא כנ"ל ועיין באידרא רבה קמ"ב ב' ותאנא בהאי ימינא מתאחדין כו' דכתיב כו':</w:t>
      </w:r>
    </w:p>
  </w:footnote>
  <w:footnote w:id="3398">
    <w:p w:rsidR="00A13282" w:rsidRDefault="00A13282" w:rsidP="003841DB">
      <w:pPr>
        <w:pStyle w:val="a5"/>
      </w:pPr>
      <w:r>
        <w:rPr>
          <w:rStyle w:val="a7"/>
        </w:rPr>
        <w:footnoteRef/>
      </w:r>
      <w:r>
        <w:t xml:space="preserve"> </w:t>
      </w:r>
      <w:r>
        <w:rPr>
          <w:b/>
          <w:bCs/>
          <w:rtl/>
        </w:rPr>
        <w:t xml:space="preserve"> ובוקע כו' מתמן.</w:t>
      </w:r>
      <w:r>
        <w:rPr>
          <w:rtl/>
        </w:rPr>
        <w:t xml:space="preserve"> רוצה לומר מחסד, וכמו שמפרש והולך מה' דאברהם, ה' - שכינה דאתקשר וניתוסף באברהם, ואתקשר בימינא, והיא באר מים חיים - מים דאורייתא:</w:t>
      </w:r>
    </w:p>
  </w:footnote>
  <w:footnote w:id="3399">
    <w:p w:rsidR="00A13282" w:rsidRDefault="00A13282" w:rsidP="003841DB">
      <w:pPr>
        <w:pStyle w:val="a5"/>
      </w:pPr>
      <w:r>
        <w:rPr>
          <w:rStyle w:val="a7"/>
        </w:rPr>
        <w:footnoteRef/>
      </w:r>
      <w:r>
        <w:t xml:space="preserve"> </w:t>
      </w:r>
      <w:r>
        <w:rPr>
          <w:b/>
          <w:bCs/>
          <w:rtl/>
        </w:rPr>
        <w:t xml:space="preserve"> למהוי ליה כו' ובה אשתלים כו'.</w:t>
      </w:r>
      <w:r>
        <w:rPr>
          <w:rtl/>
        </w:rPr>
        <w:t xml:space="preserve"> דאתוון דמשה הוא ש' משת, ואזיל יו"ד דורות עד שם, ורוח שם מ"ם - ש"מ, ואזיל יו"ד דורות ורוח ה' מאברהם דאיהי מתקשרא בימינא, וזהו לעשות לו שם שלו בה - בה' דילה, לאשלמא משה, והוא ה' בתראה, דג' אותיות יה"ו נתקנו באבהן, והוא אתקין לה' ואח"כ נפלה בחטא ערב רב ובגינם חב בסלע ואתנטיל הה"א ממנו ואזלא בגלותא בהדי בנוי דאברהם והוא נשאר קול בלא דבור ואזיל הוא בגלגולא בשבילה והוא המשכונא דישראל בגלותא ממשה דייתי למפרק יתהון בשבילה וזה שאומר דאיהי במשכונא כו' ממשה דאייתי כו' ועיין בהגהה לקמן ק"ה א' ועוד שת בא"ת ב"ש כו' תמן רווח ה' דיליה ואתקרי משה ורזא דמלה מוליך לימין כו' ועיין ברעיא מהימנא פ' משפטים קי"א ב' פקודא בתר דא להשיב אבידה כו' נפלת כלה דילך כו' הן כל אלה יפעל אל כו' דאיהו גלגול רביעאה דאדם, ה' בתראה, בגין בת יחידה כו' עיין שם ובזהר פרשת בראשית כ"ה א' בגינייהו נפלת ה' זעירא ה' דאברהם ובג"ד איהו לא ייעול לארעא דישראל עד דיתוב ה' לאתרה, ורוצה לומר שארץ ישראל היא ה' בתראה ובשביל דנפילת ע"י ערב רב דקביל לון לכן ניטל ממנו הה"א במשכונא לבנוי דאברהם ובג"ד נחית איהו מדרגיה כו' מוליך לימין משה כו' וזהו ה' זעירא בגלותא דתהו דרמיז שם, וכל דא בגין דאדם אין כו' וכל שיח כו' - משיח ומשה כמו שאומר שם ב' עיין שם:</w:t>
      </w:r>
    </w:p>
  </w:footnote>
  <w:footnote w:id="3400">
    <w:p w:rsidR="00A13282" w:rsidRDefault="00A13282" w:rsidP="003841DB">
      <w:pPr>
        <w:pStyle w:val="a5"/>
      </w:pPr>
      <w:r>
        <w:rPr>
          <w:rStyle w:val="a7"/>
        </w:rPr>
        <w:footnoteRef/>
      </w:r>
      <w:r>
        <w:t xml:space="preserve"> </w:t>
      </w:r>
      <w:r>
        <w:rPr>
          <w:b/>
          <w:bCs/>
          <w:rtl/>
        </w:rPr>
        <w:t xml:space="preserve"> ורזא דמלה כו'.</w:t>
      </w:r>
      <w:r>
        <w:rPr>
          <w:rtl/>
        </w:rPr>
        <w:t xml:space="preserve"> שישתלם ה' דמשה ותתקשר בימינא וכמו שאמרו מה שהיה הוא כו':</w:t>
      </w:r>
    </w:p>
  </w:footnote>
  <w:footnote w:id="3401">
    <w:p w:rsidR="00A13282" w:rsidRDefault="00A13282" w:rsidP="003841DB">
      <w:pPr>
        <w:pStyle w:val="a5"/>
      </w:pPr>
      <w:r>
        <w:rPr>
          <w:rStyle w:val="a7"/>
        </w:rPr>
        <w:footnoteRef/>
      </w:r>
      <w:r>
        <w:t xml:space="preserve"> </w:t>
      </w:r>
      <w:r>
        <w:rPr>
          <w:b/>
          <w:bCs/>
          <w:rtl/>
        </w:rPr>
        <w:t xml:space="preserve"> ורזא דפורקנא כו'.</w:t>
      </w:r>
      <w:r>
        <w:rPr>
          <w:rtl/>
        </w:rPr>
        <w:t xml:space="preserve"> רוצה לומר בחותמא דאורייתא, חותם הנ"ל דאמר דא אורייתא דבה יגאלו וכמו שאמרו ברעיא מהימנא פ' משפטים שם והאי אורייתא דאתגליא על ידך כו', ואיהי חותמא דשד"י כמו שמפרש והולך דעליה אתמר, ואמר למטה בשמחה לחמך - והוא התורה, יינך - דא יין המשומר כו', סוד ה' ליראיו, והיא השמחה, יין המשומר שלא נתגלה מששת ימי בראשית, ע' אנפין דתורה, ועיין מדרש הנעלם פ' תולדות קל"ה ב' אר"י יין המשומר בענביו מששת ימי בראשית אלו דברים עתיקים כו':</w:t>
      </w:r>
    </w:p>
  </w:footnote>
  <w:footnote w:id="3402">
    <w:p w:rsidR="00A13282" w:rsidRDefault="00A13282" w:rsidP="003841DB">
      <w:pPr>
        <w:pStyle w:val="a5"/>
      </w:pPr>
      <w:r>
        <w:rPr>
          <w:rStyle w:val="a7"/>
        </w:rPr>
        <w:footnoteRef/>
      </w:r>
      <w:r>
        <w:t xml:space="preserve"> </w:t>
      </w:r>
      <w:r>
        <w:rPr>
          <w:b/>
          <w:bCs/>
          <w:rtl/>
        </w:rPr>
        <w:t xml:space="preserve"> י'בשמחה סליק כו'.</w:t>
      </w:r>
      <w:r>
        <w:rPr>
          <w:rtl/>
        </w:rPr>
        <w:t xml:space="preserve"> מפרש והולך דהוא חותמא דשדי והוא אורייתא כמו שאומר למטה בשמחה לחמך כו' אלמא דשדי תמן, והוי"ה מלגאו כבר ביאר למעלה ואיהי כלילא מעשר כו':</w:t>
      </w:r>
    </w:p>
  </w:footnote>
  <w:footnote w:id="3403">
    <w:p w:rsidR="00A13282" w:rsidRDefault="00A13282" w:rsidP="003841DB">
      <w:pPr>
        <w:pStyle w:val="a5"/>
      </w:pPr>
      <w:r>
        <w:rPr>
          <w:rStyle w:val="a7"/>
        </w:rPr>
        <w:footnoteRef/>
      </w:r>
      <w:r>
        <w:t xml:space="preserve"> </w:t>
      </w:r>
      <w:r>
        <w:rPr>
          <w:b/>
          <w:bCs/>
          <w:rtl/>
        </w:rPr>
        <w:t>דאיהי אתוון מחשבה.</w:t>
      </w:r>
      <w:r>
        <w:rPr>
          <w:rtl/>
        </w:rPr>
        <w:t xml:space="preserve"> רוצה לומר דגם אותיות בשמחה מורה על חכמה:</w:t>
      </w:r>
    </w:p>
  </w:footnote>
  <w:footnote w:id="3404">
    <w:p w:rsidR="00A13282" w:rsidRDefault="00A13282" w:rsidP="003841DB">
      <w:pPr>
        <w:pStyle w:val="a5"/>
      </w:pPr>
      <w:r>
        <w:rPr>
          <w:rStyle w:val="a7"/>
        </w:rPr>
        <w:footnoteRef/>
      </w:r>
      <w:r>
        <w:t xml:space="preserve"> </w:t>
      </w:r>
      <w:r>
        <w:rPr>
          <w:rtl/>
        </w:rPr>
        <w:t xml:space="preserve"> </w:t>
      </w:r>
      <w:r>
        <w:rPr>
          <w:b/>
          <w:bCs/>
          <w:rtl/>
        </w:rPr>
        <w:t>ש' תלת אבהן כו'.</w:t>
      </w:r>
      <w:r>
        <w:rPr>
          <w:rtl/>
        </w:rPr>
        <w:t xml:space="preserve"> רוצה לומר ש' דבשמחה הוא ש' דשד"י - ונשאר בחכמה, ועם י' דכי הוא שכינתא - ד' דשד"י, שהוא בנו"ה כמו שאומר לעיל ס"ד ב', ועם כ' הוא בחכמה שהוא יו"ד דשד"י, אות ברית, נקודה בהיכליה, ועיין לקמן תיקון ל”ו בראשית נקודה כו' והאי נקודה איהי אות דשבת כו' ועיין לעיל סוף תיקון י”ח וריש תיקון י”ט וכן אמר ובשלום כמו שמפרש והולך ש' כו' ו"ו תרין משיחין דהן בנו"ה דתמן שכינתא מל"ב כו' והוא אות ברית כנ"ל ואיהי אתקריאת ע"ב כו' מאן שביעי דא כו' וכמו שאומר לעיל, וכמו שאומר למטה ועליה אתמר סוד כו' יין טוב כו', ונחלק - כי בשמחה - לב' תיבין, לדרוש ב' אותיות דכי כל אחת בפני עצמה בתיבת בשמחה, וכאן הוא שתתמלא הלבנה כי שנת הלבנה חסרה - שנ"ג, גימטריה שמחה, (מליאה) ושלימה - שנ"ה, חושבן בשמחה, שנ"ה שלימה, ועוד אינה שלימה לשנת החמה אלא בעיבורה ל' יום והוא כ"י ב"שמחה, והוא שפ"ה יום, גימטריה שכינה, שתתמלא, וכן ובשלום, אלא ששם כסדרן והוא בשלום כסדרן אבל בשמחה תוספת טובה תכלית השלימות:</w:t>
      </w:r>
    </w:p>
  </w:footnote>
  <w:footnote w:id="3405">
    <w:p w:rsidR="00A13282" w:rsidRDefault="00A13282" w:rsidP="003841DB">
      <w:pPr>
        <w:pStyle w:val="a5"/>
      </w:pPr>
      <w:r>
        <w:rPr>
          <w:rStyle w:val="a7"/>
        </w:rPr>
        <w:footnoteRef/>
      </w:r>
      <w:r>
        <w:t xml:space="preserve"> </w:t>
      </w:r>
      <w:r>
        <w:rPr>
          <w:b/>
          <w:bCs/>
          <w:rtl/>
        </w:rPr>
        <w:t xml:space="preserve"> ודא איהו דאתמר ושבתי בשלום כו'.</w:t>
      </w:r>
      <w:r>
        <w:rPr>
          <w:rtl/>
        </w:rPr>
        <w:t xml:space="preserve"> רוצה לומר אל בית אבינו, בית המקדש:</w:t>
      </w:r>
    </w:p>
  </w:footnote>
  <w:footnote w:id="3406">
    <w:p w:rsidR="00A13282" w:rsidRDefault="00A13282" w:rsidP="003841DB">
      <w:pPr>
        <w:pStyle w:val="a5"/>
      </w:pPr>
      <w:r>
        <w:rPr>
          <w:rStyle w:val="a7"/>
        </w:rPr>
        <w:footnoteRef/>
      </w:r>
      <w:r>
        <w:t xml:space="preserve"> </w:t>
      </w:r>
      <w:r>
        <w:rPr>
          <w:b/>
          <w:bCs/>
          <w:rtl/>
        </w:rPr>
        <w:t xml:space="preserve"> שמחה איהו דאתמר כו'.</w:t>
      </w:r>
      <w:r>
        <w:rPr>
          <w:rtl/>
        </w:rPr>
        <w:t xml:space="preserve"> רוצה לומר על התורה שתתגלה - בשמחה לחמך, בלב טוב יינך - יין המשומר בענביו גימטריה סוד דיסוד וזה שאומר יין טוב דא צדיק, דביה (ישעיהו ג י) אמרו צדיק כי טוב, וביה סוד, ויו"ד מיסוד הוא אות שיתגלה, ובשלום נאמר על היציאה מגלות, ובשמחה על התורה שתתגלה, והכל על ידי משה:</w:t>
      </w:r>
    </w:p>
  </w:footnote>
  <w:footnote w:id="3407">
    <w:p w:rsidR="00A13282" w:rsidRDefault="00A13282" w:rsidP="003841DB">
      <w:pPr>
        <w:pStyle w:val="a5"/>
      </w:pPr>
      <w:r>
        <w:rPr>
          <w:rStyle w:val="a7"/>
        </w:rPr>
        <w:footnoteRef/>
      </w:r>
      <w:r>
        <w:t xml:space="preserve"> </w:t>
      </w:r>
      <w:r>
        <w:rPr>
          <w:b/>
          <w:bCs/>
          <w:rtl/>
        </w:rPr>
        <w:t>ואשתאר חרב כו'.</w:t>
      </w:r>
      <w:r>
        <w:rPr>
          <w:rtl/>
        </w:rPr>
        <w:t xml:space="preserve"> כמו שכתוב (ישעיהו יט ה, איוב יד יא) ונהר יחרב כו' אבל ביום ההוא יצאו מים חיים כו' (זכריה יד ח) כי נבקעו במדבר מים כו' (ישעיהו לה ו):</w:t>
      </w:r>
    </w:p>
  </w:footnote>
  <w:footnote w:id="3408">
    <w:p w:rsidR="00A13282" w:rsidRDefault="00A13282" w:rsidP="003841DB">
      <w:pPr>
        <w:pStyle w:val="a5"/>
      </w:pPr>
      <w:r>
        <w:rPr>
          <w:rStyle w:val="a7"/>
        </w:rPr>
        <w:footnoteRef/>
      </w:r>
      <w:r>
        <w:t xml:space="preserve"> </w:t>
      </w:r>
      <w:r>
        <w:rPr>
          <w:b/>
          <w:bCs/>
          <w:rtl/>
        </w:rPr>
        <w:t xml:space="preserve">קם סבא כו' ולאו בחושבן. </w:t>
      </w:r>
      <w:r>
        <w:rPr>
          <w:rtl/>
        </w:rPr>
        <w:t>כי במחשבה לאו בחושבן</w:t>
      </w:r>
      <w:r>
        <w:rPr>
          <w:b/>
          <w:bCs/>
          <w:rtl/>
        </w:rPr>
        <w:t xml:space="preserve"> </w:t>
      </w:r>
      <w:r>
        <w:rPr>
          <w:rtl/>
        </w:rPr>
        <w:t>אדנ"י אלא דסליקו דילה תמן הוא, דהיא חכמה זעירא, מקום כבודו:</w:t>
      </w:r>
    </w:p>
  </w:footnote>
  <w:footnote w:id="3409">
    <w:p w:rsidR="00A13282" w:rsidRDefault="00A13282" w:rsidP="003841DB">
      <w:pPr>
        <w:pStyle w:val="a5"/>
      </w:pPr>
      <w:r>
        <w:rPr>
          <w:rStyle w:val="a7"/>
        </w:rPr>
        <w:footnoteRef/>
      </w:r>
      <w:r>
        <w:t xml:space="preserve"> </w:t>
      </w:r>
      <w:r>
        <w:rPr>
          <w:b/>
          <w:bCs/>
          <w:rtl/>
        </w:rPr>
        <w:t xml:space="preserve"> ועליה אתמר כו'.</w:t>
      </w:r>
      <w:r>
        <w:rPr>
          <w:rtl/>
        </w:rPr>
        <w:t xml:space="preserve"> רוצה לומר ה"ס איהי אדנ"י כנ"ל, והיא נעור ממעון קדשו - קדש דהוא בחכמה:</w:t>
      </w:r>
    </w:p>
  </w:footnote>
  <w:footnote w:id="3410">
    <w:p w:rsidR="00A13282" w:rsidRDefault="00A13282" w:rsidP="003841DB">
      <w:pPr>
        <w:pStyle w:val="a5"/>
      </w:pPr>
      <w:r>
        <w:rPr>
          <w:rStyle w:val="a7"/>
        </w:rPr>
        <w:footnoteRef/>
      </w:r>
      <w:r>
        <w:t xml:space="preserve"> </w:t>
      </w:r>
      <w:r>
        <w:rPr>
          <w:b/>
          <w:bCs/>
          <w:rtl/>
        </w:rPr>
        <w:t xml:space="preserve"> יתער ביה כו' וחזר כו'.</w:t>
      </w:r>
      <w:r>
        <w:rPr>
          <w:rtl/>
        </w:rPr>
        <w:t xml:space="preserve"> דתחלה יתגלה משיח ואח"כ יתכסה, ויהיה לישראל אז חבלים וצירים גדולים וכמו שהיה בגאולה הראשונה. והענין, כי תחלה יגאלו בדרגא דנוק' כסדר המדרגות - ויהא בדינא, ואם יגאלו בדינא לא יהא לון תקומה וימות משיח בן יוסף, על כן יתכסה, ויצרפו אז ואח"כ יגאלו בדכורא וברחמים גדולים כו', ותחלה (יחזקאל כ לג) חי אני אם לא בחימה כו', והוא חושבן אדנ"י כנ"ל, ואח"כ תתכליל בחסד, וזה שהקפיד משה למדתה - אדנ"י למה הרעותה לעם כו' (שמות ה כב), וזה שאמרו (הובא ברש"י ו ט ד"ה מקוצר רוח) שהשיב לו השם יתברך חבל על דאבדן וארא כו' באל שדי כו' רוצה לומר הכל במדה זו - ולא הקפידו, וכמו שאומר שם שלא מצא מקום קבורה ונתנסה בה בכמה נסיונות, ואתה כו' - רוצה לומר וזהו רזא דפורקנא בהאי חותמא, בתחילה באדני דהיא במחשבה אתוון בשמחה הנ"ל, הס מפני כו', והוא אל שדי, ואח"כ ברחמים כו' - מסטרא דהוי"ה דאיהו מלגאו, ומפרש והולך היאך כלילא הוי"ה בפורקנא, דשדי כבר פירש ובשלום ש' תלת כו' כנ"ל. וזה שאומר וביה ודאי רזא דפורקנא כגוונא דא יו"ד ק"א וא"ו ק"א וא"ו ביה כו'. ואמר </w:t>
      </w:r>
      <w:r>
        <w:rPr>
          <w:b/>
          <w:bCs/>
          <w:rtl/>
        </w:rPr>
        <w:t>דאינון כו'</w:t>
      </w:r>
      <w:r>
        <w:rPr>
          <w:rtl/>
        </w:rPr>
        <w:t xml:space="preserve"> דאלו הג' שמות הן כלל של כל הע"ב כמו שאומר דאינון ענפא ונופא ושרשא, ועיין מה שכתבתי במקום אחר בארוכה, וראשי תיבות שלהן וא"ו - י"ג מכילן דרחמי דאינון בחסד חושבן ע"ב, ועיין בתיקוני זהר חדש ע"ה ב' בארוכה, ועיין בזהר פרשת וארא כ"ז ב' אר"א בסטר ימינא עילאה כו':</w:t>
      </w:r>
    </w:p>
  </w:footnote>
  <w:footnote w:id="3411">
    <w:p w:rsidR="00A13282" w:rsidRDefault="00A13282" w:rsidP="003841DB">
      <w:pPr>
        <w:pStyle w:val="a5"/>
      </w:pPr>
      <w:r>
        <w:rPr>
          <w:rStyle w:val="a7"/>
        </w:rPr>
        <w:footnoteRef/>
      </w:r>
      <w:r>
        <w:t xml:space="preserve"> </w:t>
      </w:r>
      <w:r>
        <w:rPr>
          <w:b/>
          <w:bCs/>
          <w:rtl/>
        </w:rPr>
        <w:t xml:space="preserve"> מכילין דאורייתא.</w:t>
      </w:r>
      <w:r>
        <w:rPr>
          <w:rtl/>
        </w:rPr>
        <w:t xml:space="preserve"> רוצה לומר י"ג מדות שהתורה נדרשת בהם, ויו"ד ק"א ק"א הוא התורה כמו שמפרש והולך ב' מן כו' והכל בתורה:</w:t>
      </w:r>
    </w:p>
  </w:footnote>
  <w:footnote w:id="3412">
    <w:p w:rsidR="00A13282" w:rsidRDefault="00A13282" w:rsidP="003841DB">
      <w:pPr>
        <w:pStyle w:val="a5"/>
      </w:pPr>
      <w:r>
        <w:rPr>
          <w:rStyle w:val="a7"/>
        </w:rPr>
        <w:footnoteRef/>
      </w:r>
      <w:r>
        <w:t xml:space="preserve"> </w:t>
      </w:r>
      <w:r>
        <w:rPr>
          <w:b/>
          <w:bCs/>
          <w:rtl/>
        </w:rPr>
        <w:t xml:space="preserve"> ועוד איהו ל"ב כו' ושמא דע"ב כו'.</w:t>
      </w:r>
      <w:r>
        <w:rPr>
          <w:rtl/>
        </w:rPr>
        <w:t xml:space="preserve"> עתה מפרש שמא מפרש ברזא דפורקנא, דתחלה מפרש שמא מפרש בתורה, ועתה - בפורקנא, ל"ב הוא דאלקים דמ"ב שבתחלה בסטרא דגבורה ובה עתיד להנקם בגוים פלחי כוכביא, יום נקם בלבי, ואח"כ וא"ו דהוא רזא דע"ב הוא ויכלו דשבת יום השביעי בחסד, וזה שאומר בה אשתלים רזא דפורקנא, וזהו לשון ויכלו שנשתלם בו הכל:</w:t>
      </w:r>
    </w:p>
  </w:footnote>
  <w:footnote w:id="3413">
    <w:p w:rsidR="00A13282" w:rsidRDefault="00A13282" w:rsidP="003841DB">
      <w:pPr>
        <w:pStyle w:val="a5"/>
      </w:pPr>
      <w:r>
        <w:rPr>
          <w:rStyle w:val="a7"/>
        </w:rPr>
        <w:footnoteRef/>
      </w:r>
      <w:r>
        <w:t xml:space="preserve"> </w:t>
      </w:r>
      <w:r>
        <w:rPr>
          <w:b/>
          <w:bCs/>
          <w:rtl/>
        </w:rPr>
        <w:t xml:space="preserve"> ועליה אתמר ללבי גליתי.</w:t>
      </w:r>
      <w:r>
        <w:rPr>
          <w:rtl/>
        </w:rPr>
        <w:t xml:space="preserve"> כמו שמפרש והולך דאיהו כו' ורוצה לומר שבחסד דע"ב אז יתגלה אבל בפורקן ראשון יתכסה כנ"ל:</w:t>
      </w:r>
    </w:p>
  </w:footnote>
  <w:footnote w:id="3414">
    <w:p w:rsidR="00A13282" w:rsidRDefault="00A13282" w:rsidP="003841DB">
      <w:pPr>
        <w:pStyle w:val="a5"/>
      </w:pPr>
      <w:r>
        <w:rPr>
          <w:rStyle w:val="a7"/>
        </w:rPr>
        <w:footnoteRef/>
      </w:r>
      <w:r>
        <w:t xml:space="preserve"> </w:t>
      </w:r>
      <w:r>
        <w:rPr>
          <w:b/>
          <w:bCs/>
          <w:rtl/>
        </w:rPr>
        <w:t xml:space="preserve"> וביה אתקיים כו' יבנה.</w:t>
      </w:r>
      <w:r>
        <w:rPr>
          <w:rtl/>
        </w:rPr>
        <w:t xml:space="preserve"> רוצה לומר בית המקדש יבנה בחסד, דבית המקדש דלעבר על אפי וחמתי כו' (ירמיהו לב לא), מה שאין כן לעתיד לבא (זכריה א טז) שבתי לירושלים ברחמים ביתי יבנה בה כו':</w:t>
      </w:r>
    </w:p>
  </w:footnote>
  <w:footnote w:id="3415">
    <w:p w:rsidR="00A13282" w:rsidRDefault="00A13282" w:rsidP="003841DB">
      <w:pPr>
        <w:pStyle w:val="a5"/>
      </w:pPr>
      <w:r>
        <w:rPr>
          <w:rStyle w:val="a7"/>
        </w:rPr>
        <w:footnoteRef/>
      </w:r>
      <w:r>
        <w:t xml:space="preserve"> </w:t>
      </w:r>
      <w:r>
        <w:rPr>
          <w:b/>
          <w:bCs/>
          <w:rtl/>
        </w:rPr>
        <w:t xml:space="preserve"> וכמה דנפקו ממצרים כו'.</w:t>
      </w:r>
      <w:r>
        <w:rPr>
          <w:rtl/>
        </w:rPr>
        <w:t xml:space="preserve"> כמו שכתוב (מיכה ז טו) כימי צאתך כו':</w:t>
      </w:r>
    </w:p>
  </w:footnote>
  <w:footnote w:id="3416">
    <w:p w:rsidR="00A13282" w:rsidRDefault="00A13282" w:rsidP="003841DB">
      <w:pPr>
        <w:pStyle w:val="a5"/>
      </w:pPr>
      <w:r>
        <w:rPr>
          <w:rStyle w:val="a7"/>
        </w:rPr>
        <w:footnoteRef/>
      </w:r>
      <w:r>
        <w:t xml:space="preserve"> </w:t>
      </w:r>
      <w:r>
        <w:rPr>
          <w:b/>
          <w:bCs/>
          <w:rtl/>
        </w:rPr>
        <w:t xml:space="preserve"> ברזא דע"ב כו'.</w:t>
      </w:r>
      <w:r>
        <w:rPr>
          <w:rtl/>
        </w:rPr>
        <w:t xml:space="preserve"> קריעת ים סוף, (שמות יד יט) ויסע כו':</w:t>
      </w:r>
    </w:p>
  </w:footnote>
  <w:footnote w:id="3417">
    <w:p w:rsidR="00A13282" w:rsidRDefault="00A13282" w:rsidP="003841DB">
      <w:pPr>
        <w:pStyle w:val="a5"/>
      </w:pPr>
      <w:r>
        <w:rPr>
          <w:rStyle w:val="a7"/>
        </w:rPr>
        <w:footnoteRef/>
      </w:r>
      <w:r>
        <w:t xml:space="preserve"> </w:t>
      </w:r>
      <w:r>
        <w:rPr>
          <w:b/>
          <w:bCs/>
          <w:rtl/>
        </w:rPr>
        <w:t xml:space="preserve"> דאינון ב'.</w:t>
      </w:r>
      <w:r>
        <w:rPr>
          <w:rtl/>
        </w:rPr>
        <w:t xml:space="preserve"> רוצה לומר דאינון ב' לאשלמא ע"ב, דב' דע"ב הן כוללים דע' כידוע:</w:t>
      </w:r>
    </w:p>
  </w:footnote>
  <w:footnote w:id="3418">
    <w:p w:rsidR="00A13282" w:rsidRDefault="00A13282" w:rsidP="003841DB">
      <w:pPr>
        <w:pStyle w:val="a5"/>
      </w:pPr>
      <w:r>
        <w:rPr>
          <w:rStyle w:val="a7"/>
        </w:rPr>
        <w:footnoteRef/>
      </w:r>
      <w:r>
        <w:t xml:space="preserve"> </w:t>
      </w:r>
      <w:r>
        <w:rPr>
          <w:b/>
          <w:bCs/>
          <w:rtl/>
        </w:rPr>
        <w:t xml:space="preserve"> ביה אתקריאו כו'.</w:t>
      </w:r>
      <w:r>
        <w:rPr>
          <w:rtl/>
        </w:rPr>
        <w:t xml:space="preserve"> רוצה לומר ב' בתים דלעתיד - ששניהם יבנו כמו שאומר בזהר פרשת פנחס:</w:t>
      </w:r>
    </w:p>
  </w:footnote>
  <w:footnote w:id="3419">
    <w:p w:rsidR="00A13282" w:rsidRDefault="00A13282" w:rsidP="003841DB">
      <w:pPr>
        <w:pStyle w:val="a5"/>
      </w:pPr>
      <w:r>
        <w:rPr>
          <w:rStyle w:val="a7"/>
        </w:rPr>
        <w:footnoteRef/>
      </w:r>
      <w:r>
        <w:t xml:space="preserve"> </w:t>
      </w:r>
      <w:r>
        <w:rPr>
          <w:b/>
          <w:bCs/>
          <w:rtl/>
        </w:rPr>
        <w:t xml:space="preserve"> הה"ד גדולים כו'.</w:t>
      </w:r>
      <w:r>
        <w:rPr>
          <w:rtl/>
        </w:rPr>
        <w:t xml:space="preserve"> דאינון מעשיו כמו שכתוב (שמות טו יז) מקדש אדני כוננו ידיך:</w:t>
      </w:r>
    </w:p>
  </w:footnote>
  <w:footnote w:id="3420">
    <w:p w:rsidR="00A13282" w:rsidRDefault="00A13282" w:rsidP="003841DB">
      <w:pPr>
        <w:pStyle w:val="a5"/>
      </w:pPr>
      <w:r>
        <w:rPr>
          <w:rStyle w:val="a7"/>
        </w:rPr>
        <w:footnoteRef/>
      </w:r>
      <w:r>
        <w:t xml:space="preserve"> </w:t>
      </w:r>
      <w:r>
        <w:rPr>
          <w:b/>
          <w:bCs/>
          <w:rtl/>
        </w:rPr>
        <w:t xml:space="preserve"> ושכינתא דבה אתמר כו'.</w:t>
      </w:r>
      <w:r>
        <w:rPr>
          <w:rtl/>
        </w:rPr>
        <w:t xml:space="preserve"> כן צריך לומר, ורוצה לומר דאתי - גדלו אותה לה' כמו עת לעשות לה':</w:t>
      </w:r>
    </w:p>
  </w:footnote>
  <w:footnote w:id="3421">
    <w:p w:rsidR="00A13282" w:rsidRDefault="00A13282" w:rsidP="003841DB">
      <w:pPr>
        <w:pStyle w:val="a5"/>
      </w:pPr>
      <w:r>
        <w:rPr>
          <w:rStyle w:val="a7"/>
        </w:rPr>
        <w:footnoteRef/>
      </w:r>
      <w:r>
        <w:t xml:space="preserve"> </w:t>
      </w:r>
      <w:r>
        <w:rPr>
          <w:b/>
          <w:bCs/>
          <w:rtl/>
        </w:rPr>
        <w:t xml:space="preserve"> ביה ויכלו.</w:t>
      </w:r>
      <w:r>
        <w:rPr>
          <w:rtl/>
        </w:rPr>
        <w:t xml:space="preserve"> חוזר לענין ראשון לדרוש ויכלו, ואמר ביה ויכלו - רוצה לומר בחסד כנ"ל וה' דהששי סמיך לו בגין דאיהי ה' דאברהם דויכלו, וששי סמיך לה' - דוא"ו אזיל לגבה למפרק יתה כנ"ל, וזה שאומר ה' בהששי כו' לגבה:</w:t>
      </w:r>
    </w:p>
  </w:footnote>
  <w:footnote w:id="3422">
    <w:p w:rsidR="00A13282" w:rsidRDefault="00A13282" w:rsidP="003841DB">
      <w:pPr>
        <w:pStyle w:val="a5"/>
      </w:pPr>
      <w:r>
        <w:rPr>
          <w:rStyle w:val="a7"/>
        </w:rPr>
        <w:footnoteRef/>
      </w:r>
      <w:r>
        <w:t xml:space="preserve"> </w:t>
      </w:r>
      <w:r>
        <w:rPr>
          <w:b/>
          <w:bCs/>
          <w:rtl/>
        </w:rPr>
        <w:t xml:space="preserve"> וששי איהי אלף שתיתאה יסוד ביה כו' יום הששי הה"ד ויכלו כו' דאינון ו"ה דעליה אתמר כי כל כו'.</w:t>
      </w:r>
      <w:r>
        <w:rPr>
          <w:rtl/>
        </w:rPr>
        <w:t xml:space="preserve"> רוצה לומר הששי הוא יסוד, וביה ויכלו השמים והארץ, זו"נ דאינון ו"ה דהששי, ששי - ו', הששי - ה', וזהו הששי, וחוזר ואומר ויכלו דהוא ענין אחד אלא דתחלה אזיל ו' לה' והוא יום הששי באלף שתיתאה בדרגא דיסוד ואח"כ בזמן הגאולה דהוא עטרת היסוד כנ"ל יום השביעי ואז ויכלו השמים והארץ - שנכללין כאחד, וזהו לשון ויכלו שנכללין כאחד:</w:t>
      </w:r>
    </w:p>
  </w:footnote>
  <w:footnote w:id="3423">
    <w:p w:rsidR="00A13282" w:rsidRDefault="00A13282" w:rsidP="003841DB">
      <w:pPr>
        <w:pStyle w:val="a5"/>
      </w:pPr>
      <w:r>
        <w:rPr>
          <w:rStyle w:val="a7"/>
        </w:rPr>
        <w:footnoteRef/>
      </w:r>
      <w:r>
        <w:t xml:space="preserve"> </w:t>
      </w:r>
      <w:r>
        <w:rPr>
          <w:b/>
          <w:bCs/>
          <w:rtl/>
        </w:rPr>
        <w:t xml:space="preserve"> ודא איהו כל ועלי' כו'.</w:t>
      </w:r>
      <w:r>
        <w:rPr>
          <w:rtl/>
        </w:rPr>
        <w:t xml:space="preserve"> רוצה לומר שמים וארץ וכל, אלו ג' נכללין כאחד, וגם צבאם כמו שאומר מאי צבאם כו', דנקראים צבאות - אחד דשמים ואחד דארץ, מלאכים וישראל, כמו שאומר למעלה, וזה שאומר צבאם והן מעלה ומטה וזה שאמרו איהו בנצח ואיהי בהוד:</w:t>
      </w:r>
    </w:p>
  </w:footnote>
  <w:footnote w:id="3424">
    <w:p w:rsidR="00A13282" w:rsidRDefault="00A13282" w:rsidP="003841DB">
      <w:pPr>
        <w:pStyle w:val="a5"/>
      </w:pPr>
      <w:r>
        <w:rPr>
          <w:rStyle w:val="a7"/>
        </w:rPr>
        <w:footnoteRef/>
      </w:r>
      <w:r>
        <w:t xml:space="preserve"> </w:t>
      </w:r>
      <w:r>
        <w:rPr>
          <w:b/>
          <w:bCs/>
          <w:rtl/>
        </w:rPr>
        <w:t xml:space="preserve"> וביה אתקריאו כו'.</w:t>
      </w:r>
      <w:r>
        <w:rPr>
          <w:rtl/>
        </w:rPr>
        <w:t xml:space="preserve"> כמו שאומר לעיל ס"ה ב' תלת זמנין שביעי כו' דאתכלילן בבת, ולכן נקרא על שמה והוא ש' בת כמו שאומר שם:</w:t>
      </w:r>
    </w:p>
  </w:footnote>
  <w:footnote w:id="3425">
    <w:p w:rsidR="00A13282" w:rsidRDefault="00A13282" w:rsidP="003841DB">
      <w:pPr>
        <w:pStyle w:val="a5"/>
      </w:pPr>
      <w:r>
        <w:rPr>
          <w:rStyle w:val="a7"/>
        </w:rPr>
        <w:footnoteRef/>
      </w:r>
      <w:r>
        <w:t xml:space="preserve"> </w:t>
      </w:r>
      <w:r>
        <w:rPr>
          <w:b/>
          <w:bCs/>
          <w:rtl/>
        </w:rPr>
        <w:t xml:space="preserve"> ויברך אותו מסט' דברכה כו'.</w:t>
      </w:r>
      <w:r>
        <w:rPr>
          <w:rtl/>
        </w:rPr>
        <w:t xml:space="preserve"> הן ג"ר דאבהן אתברכו משם וכן יום השבת והרי אתכלילן כל העשר ספירות בה:</w:t>
      </w:r>
    </w:p>
  </w:footnote>
  <w:footnote w:id="3426">
    <w:p w:rsidR="00A13282" w:rsidRDefault="00A13282" w:rsidP="003841DB">
      <w:pPr>
        <w:pStyle w:val="a5"/>
      </w:pPr>
      <w:r>
        <w:rPr>
          <w:rStyle w:val="a7"/>
        </w:rPr>
        <w:footnoteRef/>
      </w:r>
      <w:r>
        <w:t xml:space="preserve"> </w:t>
      </w:r>
      <w:r>
        <w:rPr>
          <w:b/>
          <w:bCs/>
          <w:rtl/>
        </w:rPr>
        <w:t xml:space="preserve"> מסט' דיחוד.</w:t>
      </w:r>
      <w:r>
        <w:rPr>
          <w:rtl/>
        </w:rPr>
        <w:t xml:space="preserve"> שזהו סוד השבת יחודא דכלהו והוא המנוחה וכמו שכתוב (רות א ט) ומצאן מנוחה אשה כו', (דברים יב ט) אל המנוחה כו', ועיין בזהר ריש פרשת נח נ"ט ב' ודא נייחא כו' כד"א כי בו שבת כו':</w:t>
      </w:r>
    </w:p>
  </w:footnote>
  <w:footnote w:id="3427">
    <w:p w:rsidR="00A13282" w:rsidRDefault="00A13282" w:rsidP="003841DB">
      <w:pPr>
        <w:pStyle w:val="a5"/>
      </w:pPr>
      <w:r>
        <w:rPr>
          <w:rStyle w:val="a7"/>
        </w:rPr>
        <w:footnoteRef/>
      </w:r>
      <w:r>
        <w:t xml:space="preserve"> </w:t>
      </w:r>
      <w:r>
        <w:rPr>
          <w:b/>
          <w:bCs/>
          <w:rtl/>
        </w:rPr>
        <w:t xml:space="preserve"> ודא איהו ויכלו כו'.</w:t>
      </w:r>
      <w:r>
        <w:rPr>
          <w:rtl/>
        </w:rPr>
        <w:t xml:space="preserve"> נותן טעם במה ויכלו חושבן ע"ב - כולל ג' אבהן דנאמר בכל מכל כל, ואומר דכל אחד מאבהן כולל ע"ב כמו שמפרש והולך דאינון כו':</w:t>
      </w:r>
    </w:p>
  </w:footnote>
  <w:footnote w:id="3428">
    <w:p w:rsidR="00A13282" w:rsidRDefault="00A13282" w:rsidP="003841DB">
      <w:pPr>
        <w:pStyle w:val="a5"/>
      </w:pPr>
      <w:r>
        <w:rPr>
          <w:rStyle w:val="a7"/>
        </w:rPr>
        <w:footnoteRef/>
      </w:r>
      <w:r>
        <w:t xml:space="preserve"> </w:t>
      </w:r>
      <w:r>
        <w:rPr>
          <w:b/>
          <w:bCs/>
          <w:rtl/>
        </w:rPr>
        <w:t xml:space="preserve"> כגוונא דא גדולה אתקרי חסד כו'.</w:t>
      </w:r>
      <w:r>
        <w:rPr>
          <w:rtl/>
        </w:rPr>
        <w:t xml:space="preserve"> הוא ראיה לע"ב:</w:t>
      </w:r>
    </w:p>
  </w:footnote>
  <w:footnote w:id="3429">
    <w:p w:rsidR="00A13282" w:rsidRDefault="00A13282" w:rsidP="003841DB">
      <w:pPr>
        <w:pStyle w:val="a5"/>
      </w:pPr>
      <w:r>
        <w:rPr>
          <w:rStyle w:val="a7"/>
        </w:rPr>
        <w:footnoteRef/>
      </w:r>
      <w:r>
        <w:t xml:space="preserve"> </w:t>
      </w:r>
      <w:r>
        <w:rPr>
          <w:rtl/>
        </w:rPr>
        <w:t xml:space="preserve"> </w:t>
      </w:r>
      <w:r>
        <w:rPr>
          <w:b/>
          <w:bCs/>
          <w:rtl/>
        </w:rPr>
        <w:t>גבורה כו'.</w:t>
      </w:r>
      <w:r>
        <w:rPr>
          <w:rtl/>
        </w:rPr>
        <w:t xml:space="preserve"> גם כן ע"ב אלא שהוא ברזא דאתוון, פרטא, דהוא דינא:</w:t>
      </w:r>
    </w:p>
  </w:footnote>
  <w:footnote w:id="3430">
    <w:p w:rsidR="00A13282" w:rsidRDefault="00A13282" w:rsidP="003841DB">
      <w:pPr>
        <w:pStyle w:val="a5"/>
      </w:pPr>
      <w:r>
        <w:rPr>
          <w:rStyle w:val="a7"/>
        </w:rPr>
        <w:footnoteRef/>
      </w:r>
      <w:r>
        <w:t xml:space="preserve"> </w:t>
      </w:r>
      <w:r>
        <w:rPr>
          <w:b/>
          <w:bCs/>
          <w:rtl/>
        </w:rPr>
        <w:t>עד"א כו'.</w:t>
      </w:r>
      <w:r>
        <w:rPr>
          <w:rtl/>
        </w:rPr>
        <w:t xml:space="preserve"> גם כן ע"ב כמו שמפרש והולך דכליל מויעבר ה', שהן ג' דרגין, ע"ב רי"ו ה', והן כלילן על פניו, דפנים הוא וא"ו, ווא"ו כולל ע"ב בראשי תיבות וה"ו כו', י"ג מכילן דרחמי, ולכן מפרש הקרא אחריו י"ג מכילן דרחמי ומביא ראיה שהרחמים שהוא עמודא דאמצעיתא הוא מסטרא דגדולה שהוא חסד שנאמר וברחמים גדולים כו' וכמו שמפרש והולך גדולים ודאי כו':</w:t>
      </w:r>
    </w:p>
  </w:footnote>
  <w:footnote w:id="3431">
    <w:p w:rsidR="00A13282" w:rsidRDefault="00A13282" w:rsidP="003841DB">
      <w:pPr>
        <w:pStyle w:val="a5"/>
      </w:pPr>
      <w:r>
        <w:rPr>
          <w:rStyle w:val="a7"/>
        </w:rPr>
        <w:footnoteRef/>
      </w:r>
      <w:r>
        <w:t xml:space="preserve"> </w:t>
      </w:r>
      <w:r>
        <w:rPr>
          <w:b/>
          <w:bCs/>
          <w:rtl/>
        </w:rPr>
        <w:t xml:space="preserve"> וכלא אתכליל כו'.</w:t>
      </w:r>
      <w:r>
        <w:rPr>
          <w:rtl/>
        </w:rPr>
        <w:t xml:space="preserve"> דזהו ויכלו, יום השביעי, ונאמר בה ג' יום השביעי כנ"ל:</w:t>
      </w:r>
    </w:p>
  </w:footnote>
  <w:footnote w:id="3432">
    <w:p w:rsidR="00A13282" w:rsidRDefault="00A13282" w:rsidP="003841DB">
      <w:pPr>
        <w:pStyle w:val="a5"/>
      </w:pPr>
      <w:r>
        <w:rPr>
          <w:rStyle w:val="a7"/>
        </w:rPr>
        <w:footnoteRef/>
      </w:r>
      <w:r>
        <w:t xml:space="preserve"> </w:t>
      </w:r>
      <w:r>
        <w:rPr>
          <w:b/>
          <w:bCs/>
          <w:rtl/>
        </w:rPr>
        <w:t xml:space="preserve"> השביעי ה' כו'.</w:t>
      </w:r>
      <w:r>
        <w:rPr>
          <w:rtl/>
        </w:rPr>
        <w:t xml:space="preserve"> רוצה לומר דג' השביעי הן ג' אבהן, וה' כלילא עם כל חד וחד, וזה שאמרו  (בתפלה) הגדול הגבור והנורא, ועוד ה"אל, ה' רביעי והוא ה' דיום הששי מסטרא דצדיק בחינת הרביעי שבה, וזה שאומר ואיהי ה' דיום הששי:</w:t>
      </w:r>
    </w:p>
  </w:footnote>
  <w:footnote w:id="3433">
    <w:p w:rsidR="00A13282" w:rsidRDefault="00A13282" w:rsidP="003841DB">
      <w:pPr>
        <w:pStyle w:val="a5"/>
      </w:pPr>
      <w:r>
        <w:rPr>
          <w:rStyle w:val="a7"/>
        </w:rPr>
        <w:footnoteRef/>
      </w:r>
      <w:r>
        <w:t xml:space="preserve"> </w:t>
      </w:r>
      <w:r>
        <w:rPr>
          <w:b/>
          <w:bCs/>
          <w:rtl/>
        </w:rPr>
        <w:t xml:space="preserve"> הששי</w:t>
      </w:r>
      <w:r>
        <w:rPr>
          <w:rtl/>
        </w:rPr>
        <w:t xml:space="preserve"> </w:t>
      </w:r>
      <w:r>
        <w:rPr>
          <w:b/>
          <w:bCs/>
          <w:rtl/>
        </w:rPr>
        <w:t>דא צדיק יום עליה אתמר והיה כו' איהו יום הששי ויום השביעי יום כו' ודא הוא כו'.</w:t>
      </w:r>
      <w:r>
        <w:rPr>
          <w:rtl/>
        </w:rPr>
        <w:t xml:space="preserve"> רוצה לומר הששי דא צדיק והיא אתכלילת ביה כנ"ל אבל יום הוא חסד דהוא יום דכלא יומין ולכן אתמר בששי יום וכן בשביעי יום וכן בכלהו ועליה אתמר והיה כו' ביום ההוא דהוא יום הנ"ל דעולם חסד יבנה, חסד ה' כו' כנ"ל. ואמר </w:t>
      </w:r>
      <w:r>
        <w:rPr>
          <w:b/>
          <w:bCs/>
          <w:rtl/>
        </w:rPr>
        <w:t>עליה אתמר שכבי כו'.</w:t>
      </w:r>
      <w:r>
        <w:rPr>
          <w:rtl/>
        </w:rPr>
        <w:t xml:space="preserve"> על ההוא יום כנ"ל ס"ה ב' ורזא דמלה חי ה' שכבי עד הבקר ודא בקר כו' כמו שאומר כאן. וענין יומא דכולא יומין שאמר כאן ובזוהר בכמה מקומות - על החסד, ואמר דאזיל בכלהו כי יום נקרא על שם האור כמו שכתוב ויקרא אלקים לאור יום, ואור הוא בחסד, וכל ו"ק שנקראים יום - על שם שמקבלין החסדים על ידו, ה' חסדים, ונקראים כל אחד יום - באורו, וזהו יום דכתיב בכל מעשה בראשית, וערב מתייחד ביום ביחודא שמקבלת ממנו להמתיק גבורות שלה אבל אין נקרא יום כי היא בסטרא דגבורות, ולחשך קרא לילה, רק בחיבורה בו נקראים יום שלם על שם הדכורא, רק אור הלבנה בלילה אבל לעתיד לבא (ישעיהו ל כו) והיה אור הלבנה כאור החמה, (זכריה יד ז) והיה לעת ערב יהיה אור, שגם היא תקבל החסדים וכנ"ל עולם חסד יבנה, חסד ה' מלאה הארץ, ולכן ביום השביעי אין לילה כלל וכמו בשבת בראשית שהיה האור משמש, וביום הששי - שתלך הה"א ותתקשר בחסד ע"י הוא"ו, ניתוסף ה' ביום הששי, והוא בביאתו וקיבוץ גליות, אבל אח"כ יום השביעי כנ"ל וזה שאומר וביה הבקר אור - דמסטריה אור, וזהו וישכם אברהם בבקר דיליה כנ"ל:</w:t>
      </w:r>
    </w:p>
  </w:footnote>
  <w:footnote w:id="3434">
    <w:p w:rsidR="00A13282" w:rsidRDefault="00A13282" w:rsidP="003841DB">
      <w:pPr>
        <w:pStyle w:val="a5"/>
      </w:pPr>
      <w:r>
        <w:rPr>
          <w:rStyle w:val="a7"/>
        </w:rPr>
        <w:footnoteRef/>
      </w:r>
      <w:r>
        <w:t xml:space="preserve"> </w:t>
      </w:r>
      <w:r>
        <w:rPr>
          <w:b/>
          <w:bCs/>
          <w:rtl/>
        </w:rPr>
        <w:t xml:space="preserve"> ד"א שימני כו'.</w:t>
      </w:r>
      <w:r>
        <w:rPr>
          <w:rtl/>
        </w:rPr>
        <w:t xml:space="preserve"> דלמעלה פירש על הגאולה ועתה על הגלות:</w:t>
      </w:r>
    </w:p>
  </w:footnote>
  <w:footnote w:id="3435">
    <w:p w:rsidR="00A13282" w:rsidRDefault="00A13282" w:rsidP="003841DB">
      <w:pPr>
        <w:pStyle w:val="a5"/>
      </w:pPr>
      <w:r>
        <w:rPr>
          <w:rStyle w:val="a7"/>
        </w:rPr>
        <w:footnoteRef/>
      </w:r>
      <w:r>
        <w:t xml:space="preserve"> </w:t>
      </w:r>
      <w:r>
        <w:rPr>
          <w:b/>
          <w:bCs/>
          <w:rtl/>
        </w:rPr>
        <w:t xml:space="preserve"> חותם לא נאמר כו'.</w:t>
      </w:r>
      <w:r>
        <w:rPr>
          <w:rtl/>
        </w:rPr>
        <w:t xml:space="preserve"> כנ"ל ס"ד א':</w:t>
      </w:r>
    </w:p>
  </w:footnote>
  <w:footnote w:id="3436">
    <w:p w:rsidR="00A13282" w:rsidRDefault="00A13282" w:rsidP="003841DB">
      <w:pPr>
        <w:pStyle w:val="a5"/>
      </w:pPr>
      <w:r>
        <w:rPr>
          <w:rStyle w:val="a7"/>
        </w:rPr>
        <w:footnoteRef/>
      </w:r>
      <w:r>
        <w:t xml:space="preserve"> </w:t>
      </w:r>
      <w:r>
        <w:rPr>
          <w:b/>
          <w:bCs/>
          <w:rtl/>
        </w:rPr>
        <w:t xml:space="preserve"> דאיהו חותם אמת.</w:t>
      </w:r>
      <w:r>
        <w:rPr>
          <w:rtl/>
        </w:rPr>
        <w:t xml:space="preserve"> כמו שכתוב (דניאל י כא) הרשום בכתב אמת, וחותם דקב"ה הוא אמת:</w:t>
      </w:r>
    </w:p>
  </w:footnote>
  <w:footnote w:id="3437">
    <w:p w:rsidR="00A13282" w:rsidRDefault="00A13282" w:rsidP="003841DB">
      <w:pPr>
        <w:pStyle w:val="a5"/>
      </w:pPr>
      <w:r>
        <w:rPr>
          <w:rStyle w:val="a7"/>
        </w:rPr>
        <w:footnoteRef/>
      </w:r>
      <w:r>
        <w:t xml:space="preserve"> </w:t>
      </w:r>
      <w:r>
        <w:rPr>
          <w:b/>
          <w:bCs/>
          <w:rtl/>
        </w:rPr>
        <w:t xml:space="preserve"> ובה חתמנו לחיים.</w:t>
      </w:r>
      <w:r>
        <w:rPr>
          <w:rtl/>
        </w:rPr>
        <w:t xml:space="preserve"> רוצה לומר בחותם אמת הנ"ל והוא עמודא דאמצעיתא וכמו שמפרש והולך ומאי ניהו האי כו' אלא כו':</w:t>
      </w:r>
    </w:p>
  </w:footnote>
  <w:footnote w:id="3438">
    <w:p w:rsidR="00A13282" w:rsidRDefault="00A13282" w:rsidP="003841DB">
      <w:pPr>
        <w:pStyle w:val="a5"/>
      </w:pPr>
      <w:r>
        <w:rPr>
          <w:rStyle w:val="a7"/>
        </w:rPr>
        <w:footnoteRef/>
      </w:r>
      <w:r>
        <w:t xml:space="preserve"> </w:t>
      </w:r>
      <w:r>
        <w:rPr>
          <w:b/>
          <w:bCs/>
          <w:rtl/>
        </w:rPr>
        <w:t xml:space="preserve"> לחיים.</w:t>
      </w:r>
      <w:r>
        <w:rPr>
          <w:rtl/>
        </w:rPr>
        <w:t xml:space="preserve"> דחיים הוא באמת כמו שאמרו (סנהדרין צז ע"א) בההיא אתרא דקושטא, ונאמר (ירמיהו י י) וה' אלקים אמת הוא אלקים חיים:</w:t>
      </w:r>
    </w:p>
  </w:footnote>
  <w:footnote w:id="3439">
    <w:p w:rsidR="00A13282" w:rsidRDefault="00A13282" w:rsidP="003841DB">
      <w:pPr>
        <w:pStyle w:val="a5"/>
      </w:pPr>
      <w:r>
        <w:rPr>
          <w:rStyle w:val="a7"/>
        </w:rPr>
        <w:footnoteRef/>
      </w:r>
      <w:r>
        <w:t xml:space="preserve"> </w:t>
      </w:r>
      <w:r>
        <w:rPr>
          <w:b/>
          <w:bCs/>
          <w:rtl/>
        </w:rPr>
        <w:t xml:space="preserve"> אלא דא עץ החיים כו'.</w:t>
      </w:r>
      <w:r>
        <w:rPr>
          <w:rtl/>
        </w:rPr>
        <w:t xml:space="preserve"> רוצה לומר עמודא דאמצעיתא והוא אמת כמו שכתוב (מיכה ז כ) תתן אמת ליעקב וכמו שאומר לקמן ב':</w:t>
      </w:r>
    </w:p>
  </w:footnote>
  <w:footnote w:id="3440">
    <w:p w:rsidR="00A13282" w:rsidRDefault="00A13282" w:rsidP="003841DB">
      <w:pPr>
        <w:pStyle w:val="a5"/>
      </w:pPr>
      <w:r>
        <w:rPr>
          <w:rStyle w:val="a7"/>
        </w:rPr>
        <w:footnoteRef/>
      </w:r>
      <w:r>
        <w:t xml:space="preserve"> </w:t>
      </w:r>
      <w:r>
        <w:rPr>
          <w:b/>
          <w:bCs/>
          <w:rtl/>
        </w:rPr>
        <w:t xml:space="preserve"> דביה בני כו'.</w:t>
      </w:r>
      <w:r>
        <w:rPr>
          <w:rtl/>
        </w:rPr>
        <w:t xml:space="preserve"> דכולל ג' דרגין כמו שמפרש והולך ומינייהו נפקין אלו שלשה כמו שמפרש והולך:</w:t>
      </w:r>
    </w:p>
  </w:footnote>
  <w:footnote w:id="3441">
    <w:p w:rsidR="00A13282" w:rsidRDefault="00A13282" w:rsidP="003841DB">
      <w:pPr>
        <w:pStyle w:val="a5"/>
      </w:pPr>
      <w:r>
        <w:rPr>
          <w:rStyle w:val="a7"/>
        </w:rPr>
        <w:footnoteRef/>
      </w:r>
      <w:r>
        <w:t xml:space="preserve"> </w:t>
      </w:r>
      <w:r>
        <w:rPr>
          <w:b/>
          <w:bCs/>
          <w:rtl/>
        </w:rPr>
        <w:t xml:space="preserve"> עץ ודאי ההוא כו'.</w:t>
      </w:r>
      <w:r>
        <w:rPr>
          <w:rtl/>
        </w:rPr>
        <w:t xml:space="preserve"> רוצה לומר ההוא נהר דאיהו עמודא דאמצעיתא עד יסוד:</w:t>
      </w:r>
    </w:p>
  </w:footnote>
  <w:footnote w:id="3442">
    <w:p w:rsidR="00A13282" w:rsidRDefault="00A13282" w:rsidP="003841DB">
      <w:pPr>
        <w:pStyle w:val="a5"/>
      </w:pPr>
      <w:r>
        <w:rPr>
          <w:rStyle w:val="a7"/>
        </w:rPr>
        <w:footnoteRef/>
      </w:r>
      <w:r>
        <w:t xml:space="preserve"> </w:t>
      </w:r>
      <w:r>
        <w:rPr>
          <w:b/>
          <w:bCs/>
          <w:rtl/>
        </w:rPr>
        <w:t xml:space="preserve"> והאי עץ כו'.</w:t>
      </w:r>
      <w:r>
        <w:rPr>
          <w:rtl/>
        </w:rPr>
        <w:t xml:space="preserve"> מפרש והולך דכליל כל התלת דרגין דמהימנותא הידועים כמו שמפרש והולך:</w:t>
      </w:r>
    </w:p>
  </w:footnote>
  <w:footnote w:id="3443">
    <w:p w:rsidR="00A13282" w:rsidRDefault="00A13282" w:rsidP="003841DB">
      <w:pPr>
        <w:pStyle w:val="a5"/>
      </w:pPr>
      <w:r>
        <w:rPr>
          <w:rStyle w:val="a7"/>
        </w:rPr>
        <w:footnoteRef/>
      </w:r>
      <w:r>
        <w:t xml:space="preserve"> </w:t>
      </w:r>
      <w:r>
        <w:rPr>
          <w:b/>
          <w:bCs/>
          <w:rtl/>
        </w:rPr>
        <w:t xml:space="preserve"> עץ איהו ו'.</w:t>
      </w:r>
      <w:r>
        <w:rPr>
          <w:rtl/>
        </w:rPr>
        <w:t xml:space="preserve"> רוצה לומר בצורתו ונאמר (דברים כ יט) כי האדם עץ השדה:</w:t>
      </w:r>
    </w:p>
  </w:footnote>
  <w:footnote w:id="3444">
    <w:p w:rsidR="00A13282" w:rsidRDefault="00A13282" w:rsidP="003841DB">
      <w:pPr>
        <w:pStyle w:val="a5"/>
      </w:pPr>
      <w:r>
        <w:rPr>
          <w:rStyle w:val="a7"/>
        </w:rPr>
        <w:footnoteRef/>
      </w:r>
      <w:r>
        <w:t xml:space="preserve"> </w:t>
      </w:r>
      <w:r>
        <w:rPr>
          <w:b/>
          <w:bCs/>
          <w:rtl/>
        </w:rPr>
        <w:t xml:space="preserve"> מהלך ת"ק שנה דא ה'.</w:t>
      </w:r>
      <w:r>
        <w:rPr>
          <w:rtl/>
        </w:rPr>
        <w:t xml:space="preserve"> רוצה לומר ה' בתראה, ואליה הולך מהלך ת"ק שנה, והיא ה' דהחיים, וחיים אינון י"ה כמו שמפרש והולך, הרי באלו ב' תיבות כולל כל שם הוי"ה והוא בת"ת דכליל כל הוי"ה:</w:t>
      </w:r>
    </w:p>
  </w:footnote>
  <w:footnote w:id="3445">
    <w:p w:rsidR="00A13282" w:rsidRDefault="00A13282" w:rsidP="003841DB">
      <w:pPr>
        <w:pStyle w:val="a5"/>
      </w:pPr>
      <w:r>
        <w:rPr>
          <w:rStyle w:val="a7"/>
        </w:rPr>
        <w:footnoteRef/>
      </w:r>
      <w:r>
        <w:t xml:space="preserve"> </w:t>
      </w:r>
      <w:r>
        <w:rPr>
          <w:b/>
          <w:bCs/>
          <w:rtl/>
        </w:rPr>
        <w:t xml:space="preserve"> ה' איהי אימא כו' עץ חיים היא ודאי.</w:t>
      </w:r>
      <w:r>
        <w:rPr>
          <w:rtl/>
        </w:rPr>
        <w:t xml:space="preserve"> רוצה לומר דנאמר היא - נוק', ונאמר הם - על שניהם כמו שמפרש והולך:</w:t>
      </w:r>
    </w:p>
  </w:footnote>
  <w:footnote w:id="3446">
    <w:p w:rsidR="00A13282" w:rsidRDefault="00A13282" w:rsidP="003841DB">
      <w:pPr>
        <w:pStyle w:val="a5"/>
      </w:pPr>
      <w:r>
        <w:rPr>
          <w:rStyle w:val="a7"/>
        </w:rPr>
        <w:footnoteRef/>
      </w:r>
      <w:r>
        <w:t xml:space="preserve"> </w:t>
      </w:r>
      <w:r>
        <w:rPr>
          <w:b/>
          <w:bCs/>
          <w:rtl/>
        </w:rPr>
        <w:t xml:space="preserve"> ושכינתא כו' וכל ציורין כו'.</w:t>
      </w:r>
      <w:r>
        <w:rPr>
          <w:rtl/>
        </w:rPr>
        <w:t xml:space="preserve"> רוצה לומר דלכן כל הוי"ה בה כלילא גם כן:</w:t>
      </w:r>
    </w:p>
  </w:footnote>
  <w:footnote w:id="3447">
    <w:p w:rsidR="00A13282" w:rsidRDefault="00A13282" w:rsidP="003841DB">
      <w:pPr>
        <w:pStyle w:val="a5"/>
      </w:pPr>
      <w:r>
        <w:rPr>
          <w:rStyle w:val="a7"/>
        </w:rPr>
        <w:footnoteRef/>
      </w:r>
      <w:r>
        <w:t xml:space="preserve"> </w:t>
      </w:r>
      <w:r>
        <w:rPr>
          <w:b/>
          <w:bCs/>
          <w:rtl/>
        </w:rPr>
        <w:t xml:space="preserve"> אדם איהו חותם דיליה.</w:t>
      </w:r>
      <w:r>
        <w:rPr>
          <w:rtl/>
        </w:rPr>
        <w:t xml:space="preserve"> רוצה לומר אדם הוא חותם דאמת, דאיהו עשורא בשכינה דאיהי מעשר מכל ולכן היא דמות אדם:</w:t>
      </w:r>
    </w:p>
  </w:footnote>
  <w:footnote w:id="3448">
    <w:p w:rsidR="00A13282" w:rsidRDefault="00A13282" w:rsidP="003841DB">
      <w:pPr>
        <w:pStyle w:val="a5"/>
      </w:pPr>
      <w:r>
        <w:rPr>
          <w:rStyle w:val="a7"/>
        </w:rPr>
        <w:footnoteRef/>
      </w:r>
      <w:r>
        <w:t xml:space="preserve"> </w:t>
      </w:r>
      <w:r>
        <w:rPr>
          <w:b/>
          <w:bCs/>
          <w:rtl/>
        </w:rPr>
        <w:t xml:space="preserve"> ואיהו יו"ד כו' איהו חתים כו'.</w:t>
      </w:r>
      <w:r>
        <w:rPr>
          <w:rtl/>
        </w:rPr>
        <w:t xml:space="preserve"> את האדם דהוא חותם דאמת שהוא חיים לכן חותם אותו בספר החיים כל זמן שדיוקנו הוא בה וכמו שאומר למטה ומאן דאשתדל באורייתא כו' דיוקניה כו':</w:t>
      </w:r>
    </w:p>
  </w:footnote>
  <w:footnote w:id="3449">
    <w:p w:rsidR="00A13282" w:rsidRDefault="00A13282" w:rsidP="003841DB">
      <w:pPr>
        <w:pStyle w:val="a5"/>
      </w:pPr>
      <w:r>
        <w:rPr>
          <w:rStyle w:val="a7"/>
        </w:rPr>
        <w:footnoteRef/>
      </w:r>
      <w:r>
        <w:t xml:space="preserve"> </w:t>
      </w:r>
      <w:r>
        <w:rPr>
          <w:b/>
          <w:bCs/>
          <w:rtl/>
        </w:rPr>
        <w:t xml:space="preserve"> ומניה ירתי.</w:t>
      </w:r>
      <w:r>
        <w:rPr>
          <w:rtl/>
        </w:rPr>
        <w:t xml:space="preserve"> רוצה לומר מעמודא דאמצעיתא דהוא כולל כל הג' כנ"ל:</w:t>
      </w:r>
    </w:p>
  </w:footnote>
  <w:footnote w:id="3450">
    <w:p w:rsidR="00A13282" w:rsidRDefault="00A13282" w:rsidP="003841DB">
      <w:pPr>
        <w:pStyle w:val="a5"/>
      </w:pPr>
      <w:r>
        <w:rPr>
          <w:rStyle w:val="a7"/>
        </w:rPr>
        <w:footnoteRef/>
      </w:r>
      <w:r>
        <w:t xml:space="preserve"> </w:t>
      </w:r>
      <w:r>
        <w:rPr>
          <w:rtl/>
        </w:rPr>
        <w:t xml:space="preserve"> </w:t>
      </w:r>
      <w:r>
        <w:rPr>
          <w:b/>
          <w:bCs/>
          <w:rtl/>
        </w:rPr>
        <w:t>שורק.</w:t>
      </w:r>
      <w:r>
        <w:rPr>
          <w:rtl/>
        </w:rPr>
        <w:t xml:space="preserve"> הוא ג' נקודין על ג' דרגין הנ"ל זה על זה ונקרא בשמו זרע אמת, וג' דרגין אלו מעץ, בני - עץ פרי, חיים - חיי ה', מזוני כנ"ל ומסטרא ה' מיני דגן כמו שאומר ברעיא מהימנא פ' משפטים, וכל הג' דרגין הן באמת, חיים - כנ"ל ה' אלקים אמת כו', זרע כנ"ל זרע אמת, מזוני כמו שכתוב חסד ואמת מן ינצרוהו וכמו שאמרו (ערובין פו ע"א) אימתי כו'. ואח"כ מתחיל לפרש סיפר דקרא של שימני כו' כי עזה כו':</w:t>
      </w:r>
    </w:p>
  </w:footnote>
  <w:footnote w:id="3451">
    <w:p w:rsidR="00A13282" w:rsidRDefault="00A13282" w:rsidP="003841DB">
      <w:pPr>
        <w:pStyle w:val="a5"/>
      </w:pPr>
      <w:r>
        <w:rPr>
          <w:rStyle w:val="a7"/>
        </w:rPr>
        <w:footnoteRef/>
      </w:r>
      <w:r>
        <w:t xml:space="preserve"> </w:t>
      </w:r>
      <w:r>
        <w:rPr>
          <w:b/>
          <w:bCs/>
          <w:rtl/>
        </w:rPr>
        <w:t xml:space="preserve"> תקיפא איהי כו'.</w:t>
      </w:r>
      <w:r>
        <w:rPr>
          <w:rtl/>
        </w:rPr>
        <w:t xml:space="preserve"> רוצה לומר (שיר השירים ב ה) חולת אהבה, דאנן מתאוין ואוהבין וכמו שכתוב (שם ה ו) נפשי יצאה בדברו בקשתיהו כו', שחולת אהבה אני (שם ה ח):</w:t>
      </w:r>
    </w:p>
  </w:footnote>
  <w:footnote w:id="3452">
    <w:p w:rsidR="00A13282" w:rsidRDefault="00A13282" w:rsidP="003841DB">
      <w:pPr>
        <w:pStyle w:val="a5"/>
      </w:pPr>
      <w:r>
        <w:rPr>
          <w:rStyle w:val="a7"/>
        </w:rPr>
        <w:footnoteRef/>
      </w:r>
      <w:r>
        <w:t xml:space="preserve"> </w:t>
      </w:r>
      <w:r>
        <w:rPr>
          <w:b/>
          <w:bCs/>
          <w:rtl/>
        </w:rPr>
        <w:t xml:space="preserve"> ומ"ל דאפרשותא כו'.</w:t>
      </w:r>
      <w:r>
        <w:rPr>
          <w:rtl/>
        </w:rPr>
        <w:t xml:space="preserve"> רוצה לומר דאית אפרשותא, ומיירי בזה דלא נאמר כאן אפרשותא, ומביא ראיה שנאמר כי אם כו' ונאמר כי המות כו' ולכן כמות דנאמר כאן הוא מדבר על אפרשותא:</w:t>
      </w:r>
    </w:p>
  </w:footnote>
  <w:footnote w:id="3453">
    <w:p w:rsidR="00A13282" w:rsidRDefault="00A13282" w:rsidP="003841DB">
      <w:pPr>
        <w:pStyle w:val="a5"/>
      </w:pPr>
      <w:r>
        <w:rPr>
          <w:rStyle w:val="a7"/>
        </w:rPr>
        <w:footnoteRef/>
      </w:r>
      <w:r>
        <w:t xml:space="preserve"> </w:t>
      </w:r>
      <w:r>
        <w:rPr>
          <w:b/>
          <w:bCs/>
          <w:rtl/>
        </w:rPr>
        <w:t>ובזמנא דישראל כו' כשאול קנאה דמקני הקב"ה עליהון האי מיתה איהי לילית מ"ה וההיא שאול איהו יצה"ר דנוקבא איהי כו'.</w:t>
      </w:r>
      <w:r>
        <w:rPr>
          <w:rtl/>
        </w:rPr>
        <w:t xml:space="preserve"> ורוצה לומר דאהבה שהיא קשה עלינו על מחיצה הנעשית בפני הקב"ה נקראת מיתה דהיא נוק', וקנאה דמקני הקב"ה על יצה"ר שמבדיל אותנו והשכינה מאתו נקרא שאול דכורא, ובהיפך היה צריך להיות, ומשני דנוק' איהי כו' וכמו שאומר בזהר חדש פרשת יתרו כ"ט א' בת זוגיה דיצה"ר לילית פתי לאדם כו' ויצה"ר פתי לחוה כו' וכגוונא דא אתלבן אדם כו' עיין שם:</w:t>
      </w:r>
    </w:p>
  </w:footnote>
  <w:footnote w:id="3454">
    <w:p w:rsidR="00A13282" w:rsidRDefault="00A13282" w:rsidP="003841DB">
      <w:pPr>
        <w:pStyle w:val="a5"/>
      </w:pPr>
      <w:r>
        <w:rPr>
          <w:rStyle w:val="a7"/>
        </w:rPr>
        <w:footnoteRef/>
      </w:r>
      <w:r>
        <w:t xml:space="preserve"> </w:t>
      </w:r>
      <w:r>
        <w:rPr>
          <w:b/>
          <w:bCs/>
          <w:rtl/>
        </w:rPr>
        <w:t xml:space="preserve"> והאי מ"ל כו'.</w:t>
      </w:r>
      <w:r>
        <w:rPr>
          <w:rtl/>
        </w:rPr>
        <w:t xml:space="preserve"> רוצה לומר דאצלה כתיב בעצב - דכורא, ואצלו כתיב בעצבון - נוק', וכן שבתון על שבות דרבנן בנוק' דקדושה וכן כל כיוצא:</w:t>
      </w:r>
    </w:p>
  </w:footnote>
  <w:footnote w:id="3455">
    <w:p w:rsidR="00A13282" w:rsidRDefault="00A13282" w:rsidP="003841DB">
      <w:pPr>
        <w:pStyle w:val="a5"/>
      </w:pPr>
      <w:r>
        <w:rPr>
          <w:rStyle w:val="a7"/>
        </w:rPr>
        <w:footnoteRef/>
      </w:r>
      <w:r>
        <w:t xml:space="preserve"> </w:t>
      </w:r>
      <w:r>
        <w:rPr>
          <w:b/>
          <w:bCs/>
          <w:rtl/>
        </w:rPr>
        <w:t xml:space="preserve"> ועוד כי עזה כו'.</w:t>
      </w:r>
      <w:r>
        <w:rPr>
          <w:rtl/>
        </w:rPr>
        <w:t xml:space="preserve"> דצריך למהוי עזה ביותר בדחילו ורחימו רבה דהוא י"ה וזה שאומר דאומאה כו' דאינון י"ה ולכן לית לאדחקא לקץ אלא אם כן בדחילו ורחימו גדולה:</w:t>
      </w:r>
    </w:p>
  </w:footnote>
  <w:footnote w:id="3456">
    <w:p w:rsidR="00A13282" w:rsidRDefault="00A13282" w:rsidP="003841DB">
      <w:pPr>
        <w:pStyle w:val="a5"/>
      </w:pPr>
      <w:r>
        <w:rPr>
          <w:rStyle w:val="a7"/>
        </w:rPr>
        <w:footnoteRef/>
      </w:r>
      <w:r>
        <w:t xml:space="preserve"> </w:t>
      </w:r>
      <w:r>
        <w:rPr>
          <w:b/>
          <w:bCs/>
          <w:rtl/>
        </w:rPr>
        <w:t xml:space="preserve"> דנפיק מן כו'.</w:t>
      </w:r>
      <w:r>
        <w:rPr>
          <w:rtl/>
        </w:rPr>
        <w:t xml:space="preserve"> שהן דאיש ואשה כמו שמפרש והולך, ושם חיבורא דתרוויהון של אב ואם להוליד:</w:t>
      </w:r>
    </w:p>
  </w:footnote>
  <w:footnote w:id="3457">
    <w:p w:rsidR="00A13282" w:rsidRDefault="00A13282" w:rsidP="003841DB">
      <w:pPr>
        <w:pStyle w:val="a5"/>
      </w:pPr>
      <w:r>
        <w:rPr>
          <w:rStyle w:val="a7"/>
        </w:rPr>
        <w:footnoteRef/>
      </w:r>
      <w:r>
        <w:t xml:space="preserve"> </w:t>
      </w:r>
      <w:r>
        <w:rPr>
          <w:b/>
          <w:bCs/>
          <w:rtl/>
        </w:rPr>
        <w:t xml:space="preserve"> שלהובין דאשא כו'.</w:t>
      </w:r>
      <w:r>
        <w:rPr>
          <w:rtl/>
        </w:rPr>
        <w:t xml:space="preserve"> שהן אש ואש דאיש ואשה וי"ה דבהון כמו שמפרש והולך וזהו רשפיה, רשף י"ה, רשפי אש וכן בשלהבת:</w:t>
      </w:r>
    </w:p>
  </w:footnote>
  <w:footnote w:id="3458">
    <w:p w:rsidR="00A13282" w:rsidRDefault="00A13282" w:rsidP="003841DB">
      <w:pPr>
        <w:pStyle w:val="a5"/>
      </w:pPr>
      <w:r>
        <w:rPr>
          <w:rStyle w:val="a7"/>
        </w:rPr>
        <w:footnoteRef/>
      </w:r>
      <w:r>
        <w:t xml:space="preserve"> </w:t>
      </w:r>
      <w:r>
        <w:rPr>
          <w:b/>
          <w:bCs/>
          <w:rtl/>
        </w:rPr>
        <w:t xml:space="preserve"> איש דנטל כו'.</w:t>
      </w:r>
      <w:r>
        <w:rPr>
          <w:rtl/>
        </w:rPr>
        <w:t xml:space="preserve"> דהוא מקני בשבילנו:</w:t>
      </w:r>
    </w:p>
  </w:footnote>
  <w:footnote w:id="3459">
    <w:p w:rsidR="00A13282" w:rsidRDefault="00A13282" w:rsidP="003841DB">
      <w:pPr>
        <w:pStyle w:val="a5"/>
      </w:pPr>
      <w:r>
        <w:rPr>
          <w:rStyle w:val="a7"/>
        </w:rPr>
        <w:footnoteRef/>
      </w:r>
      <w:r>
        <w:t xml:space="preserve"> </w:t>
      </w:r>
      <w:r>
        <w:rPr>
          <w:b/>
          <w:bCs/>
          <w:rtl/>
        </w:rPr>
        <w:t xml:space="preserve"> אשה כו'.</w:t>
      </w:r>
      <w:r>
        <w:rPr>
          <w:rtl/>
        </w:rPr>
        <w:t xml:space="preserve"> דאנחנו דבקים בה - בה', ויפק רצון (משלי יח כב) ומצא טוב (שם) - עמה, טוב ה' לכל (תהלים קמה ט):</w:t>
      </w:r>
    </w:p>
  </w:footnote>
  <w:footnote w:id="3460">
    <w:p w:rsidR="00A13282" w:rsidRDefault="00A13282" w:rsidP="003841DB">
      <w:pPr>
        <w:pStyle w:val="a5"/>
      </w:pPr>
      <w:r>
        <w:rPr>
          <w:rStyle w:val="a7"/>
        </w:rPr>
        <w:footnoteRef/>
      </w:r>
      <w:r>
        <w:t xml:space="preserve"> </w:t>
      </w:r>
      <w:r>
        <w:rPr>
          <w:b/>
          <w:bCs/>
          <w:rtl/>
        </w:rPr>
        <w:t xml:space="preserve"> כ"ח מ"ה.</w:t>
      </w:r>
      <w:r>
        <w:rPr>
          <w:rtl/>
        </w:rPr>
        <w:t xml:space="preserve"> דחכמה כולל שניהם, והוא מ"ה, עשר אתוון, והיא כ"ח אתוון עובדא דבראשית ועיין מה שבארנו לעיל ל"ט א':</w:t>
      </w:r>
    </w:p>
  </w:footnote>
  <w:footnote w:id="3461">
    <w:p w:rsidR="00A13282" w:rsidRDefault="00A13282" w:rsidP="003841DB">
      <w:pPr>
        <w:pStyle w:val="a5"/>
      </w:pPr>
      <w:r>
        <w:rPr>
          <w:rStyle w:val="a7"/>
        </w:rPr>
        <w:footnoteRef/>
      </w:r>
      <w:r>
        <w:t xml:space="preserve"> </w:t>
      </w:r>
      <w:r>
        <w:rPr>
          <w:b/>
          <w:bCs/>
          <w:rtl/>
        </w:rPr>
        <w:t xml:space="preserve"> תתן אמת כו'.</w:t>
      </w:r>
      <w:r>
        <w:rPr>
          <w:rtl/>
        </w:rPr>
        <w:t xml:space="preserve"> הא' הוא מאימא כמו שאומר לקמן ס"ז ב' ושריא בהון א', דמסטריה דו' נקרא תם דהוא תם בצורתיה, פשוט, מכל צד ו' וא' באמצע, והוא א' דאהיה דנחית ביה בשמא מפרש להשלימו בדם חותם דתם להשלים כאן וכאן :</w:t>
      </w:r>
    </w:p>
  </w:footnote>
  <w:footnote w:id="3462">
    <w:p w:rsidR="00A13282" w:rsidRDefault="00A13282" w:rsidP="003841DB">
      <w:pPr>
        <w:pStyle w:val="a5"/>
      </w:pPr>
      <w:r>
        <w:rPr>
          <w:rStyle w:val="a7"/>
        </w:rPr>
        <w:footnoteRef/>
      </w:r>
      <w:r>
        <w:t xml:space="preserve"> </w:t>
      </w:r>
      <w:r>
        <w:rPr>
          <w:b/>
          <w:bCs/>
          <w:rtl/>
        </w:rPr>
        <w:t xml:space="preserve"> דאינון חיוון כו'.</w:t>
      </w:r>
      <w:r>
        <w:rPr>
          <w:rtl/>
        </w:rPr>
        <w:t xml:space="preserve"> רוצה לומר לפי מה שאמרו בסוף פרק כ"ג דשבת אין חיה שולטת באדם כו' דאסתלק מיניה דיוקנא דאדם, ועיין בסוף פ' משפטים קכ"ה ב' והוא חותם אמת כנ"ל:</w:t>
      </w:r>
    </w:p>
  </w:footnote>
  <w:footnote w:id="3463">
    <w:p w:rsidR="00A13282" w:rsidRDefault="00A13282" w:rsidP="003841DB">
      <w:pPr>
        <w:pStyle w:val="a5"/>
      </w:pPr>
      <w:r>
        <w:rPr>
          <w:rStyle w:val="a7"/>
        </w:rPr>
        <w:footnoteRef/>
      </w:r>
      <w:r>
        <w:t xml:space="preserve"> </w:t>
      </w:r>
      <w:r>
        <w:rPr>
          <w:b/>
          <w:bCs/>
          <w:rtl/>
        </w:rPr>
        <w:t xml:space="preserve"> אם תב כו'.</w:t>
      </w:r>
      <w:r>
        <w:rPr>
          <w:rtl/>
        </w:rPr>
        <w:t xml:space="preserve"> וזהו שבקש משה (במדבר יד יז) ועתה יגדל כו' כנ"ל:</w:t>
      </w:r>
    </w:p>
  </w:footnote>
  <w:footnote w:id="3464">
    <w:p w:rsidR="00A13282" w:rsidRDefault="00A13282" w:rsidP="003841DB">
      <w:pPr>
        <w:pStyle w:val="a5"/>
      </w:pPr>
      <w:r>
        <w:rPr>
          <w:rStyle w:val="a7"/>
        </w:rPr>
        <w:footnoteRef/>
      </w:r>
      <w:r>
        <w:t xml:space="preserve"> </w:t>
      </w:r>
      <w:r>
        <w:rPr>
          <w:b/>
          <w:bCs/>
          <w:rtl/>
        </w:rPr>
        <w:t xml:space="preserve"> בההוא זמנא אתקיים כו'.</w:t>
      </w:r>
      <w:r>
        <w:rPr>
          <w:rtl/>
        </w:rPr>
        <w:t xml:space="preserve"> דנגזר עליו ואתייהב חלופיה ועיין בזהר חדש מ"ג ג' פתח ר"א ואמר מאשר יקרת כו' עיין שם כל הענין והוא אשר נאמר הבן יקיר כו':</w:t>
      </w:r>
    </w:p>
  </w:footnote>
  <w:footnote w:id="3465">
    <w:p w:rsidR="00A13282" w:rsidRDefault="00A13282" w:rsidP="003841DB">
      <w:pPr>
        <w:pStyle w:val="a5"/>
      </w:pPr>
      <w:r>
        <w:rPr>
          <w:rStyle w:val="a7"/>
        </w:rPr>
        <w:footnoteRef/>
      </w:r>
      <w:r>
        <w:t xml:space="preserve"> </w:t>
      </w:r>
      <w:r>
        <w:rPr>
          <w:b/>
          <w:bCs/>
          <w:rtl/>
        </w:rPr>
        <w:t xml:space="preserve"> בההוא זמנא כו'.</w:t>
      </w:r>
      <w:r>
        <w:rPr>
          <w:rtl/>
        </w:rPr>
        <w:t xml:space="preserve"> כנ"ל אלא אדום:</w:t>
      </w:r>
    </w:p>
  </w:footnote>
  <w:footnote w:id="3466">
    <w:p w:rsidR="00A13282" w:rsidRDefault="00A13282" w:rsidP="003841DB">
      <w:pPr>
        <w:pStyle w:val="a5"/>
      </w:pPr>
      <w:r>
        <w:rPr>
          <w:rStyle w:val="a7"/>
        </w:rPr>
        <w:footnoteRef/>
      </w:r>
      <w:r>
        <w:t xml:space="preserve"> </w:t>
      </w:r>
      <w:r>
        <w:rPr>
          <w:b/>
          <w:bCs/>
          <w:rtl/>
        </w:rPr>
        <w:t xml:space="preserve"> דאתלבש בשבע כו'.</w:t>
      </w:r>
      <w:r>
        <w:rPr>
          <w:rtl/>
        </w:rPr>
        <w:t xml:space="preserve"> כמו שאמרו דכ"ח אתוון הן דשכינה עילאה, וז' תיבין דקרא הן דשכינה תתאה, וכמו בשם ע"ב:</w:t>
      </w:r>
    </w:p>
  </w:footnote>
  <w:footnote w:id="3467">
    <w:p w:rsidR="00A13282" w:rsidRDefault="00A13282" w:rsidP="003841DB">
      <w:pPr>
        <w:pStyle w:val="a5"/>
      </w:pPr>
      <w:r>
        <w:rPr>
          <w:rStyle w:val="a7"/>
        </w:rPr>
        <w:footnoteRef/>
      </w:r>
      <w:r>
        <w:t xml:space="preserve"> </w:t>
      </w:r>
      <w:r>
        <w:rPr>
          <w:b/>
          <w:bCs/>
          <w:rtl/>
        </w:rPr>
        <w:t xml:space="preserve"> והאי כ"ח איהו כו'.</w:t>
      </w:r>
      <w:r>
        <w:rPr>
          <w:rtl/>
        </w:rPr>
        <w:t xml:space="preserve"> כמו שמפרש והולך דיו"ד אתוון הוא בחכמה, וכ"ח פרקין בבינה, ועיין לעיל ל"ט כל הענין הזה:</w:t>
      </w:r>
    </w:p>
  </w:footnote>
  <w:footnote w:id="3468">
    <w:p w:rsidR="00A13282" w:rsidRDefault="00A13282" w:rsidP="003841DB">
      <w:pPr>
        <w:pStyle w:val="a5"/>
      </w:pPr>
      <w:r>
        <w:rPr>
          <w:rStyle w:val="a7"/>
        </w:rPr>
        <w:footnoteRef/>
      </w:r>
      <w:r>
        <w:t xml:space="preserve"> </w:t>
      </w:r>
      <w:r>
        <w:rPr>
          <w:b/>
          <w:bCs/>
          <w:rtl/>
        </w:rPr>
        <w:t xml:space="preserve"> דצריך האי כח לסלקא כו'.</w:t>
      </w:r>
      <w:r>
        <w:rPr>
          <w:rtl/>
        </w:rPr>
        <w:t xml:space="preserve"> לייחד י"ה, וה"א זאת דכח אתפשטת ואתלבשת בחו"ג דאינון כמו שאומר למטה דאיהו כח דאתלבש כו' ולכן צריך להגביה הידים לרום חכמה:</w:t>
      </w:r>
    </w:p>
  </w:footnote>
  <w:footnote w:id="3469">
    <w:p w:rsidR="00A13282" w:rsidRDefault="00A13282" w:rsidP="003841DB">
      <w:pPr>
        <w:pStyle w:val="a5"/>
      </w:pPr>
      <w:r>
        <w:rPr>
          <w:rStyle w:val="a7"/>
        </w:rPr>
        <w:footnoteRef/>
      </w:r>
      <w:r>
        <w:t xml:space="preserve"> </w:t>
      </w:r>
      <w:r>
        <w:rPr>
          <w:b/>
          <w:bCs/>
          <w:rtl/>
        </w:rPr>
        <w:t xml:space="preserve"> ואשר כח בהם כו'.</w:t>
      </w:r>
      <w:r>
        <w:rPr>
          <w:rtl/>
        </w:rPr>
        <w:t xml:space="preserve"> להתלבש כח הזה בהיכלא מלכות. להעמיד שם בצלותא דעמידה כמו שמפרש והולך:</w:t>
      </w:r>
    </w:p>
  </w:footnote>
  <w:footnote w:id="3470">
    <w:p w:rsidR="00A13282" w:rsidRDefault="00A13282" w:rsidP="003841DB">
      <w:pPr>
        <w:pStyle w:val="a5"/>
      </w:pPr>
      <w:r>
        <w:rPr>
          <w:rStyle w:val="a7"/>
        </w:rPr>
        <w:footnoteRef/>
      </w:r>
      <w:r>
        <w:t xml:space="preserve"> </w:t>
      </w:r>
      <w:r>
        <w:rPr>
          <w:b/>
          <w:bCs/>
          <w:rtl/>
        </w:rPr>
        <w:t xml:space="preserve"> והאי כח איהו כו'.</w:t>
      </w:r>
      <w:r>
        <w:rPr>
          <w:rtl/>
        </w:rPr>
        <w:t xml:space="preserve"> שהן בב' ידים, בכל יד י"ד אתוון בי"ד פרקין:</w:t>
      </w:r>
    </w:p>
  </w:footnote>
  <w:footnote w:id="3471">
    <w:p w:rsidR="00A13282" w:rsidRDefault="00A13282" w:rsidP="003841DB">
      <w:pPr>
        <w:pStyle w:val="a5"/>
      </w:pPr>
      <w:r>
        <w:rPr>
          <w:rStyle w:val="a7"/>
        </w:rPr>
        <w:footnoteRef/>
      </w:r>
      <w:r>
        <w:t xml:space="preserve"> </w:t>
      </w:r>
      <w:r>
        <w:rPr>
          <w:b/>
          <w:bCs/>
          <w:rtl/>
        </w:rPr>
        <w:t xml:space="preserve"> ועליה אתמר כו'.</w:t>
      </w:r>
      <w:r>
        <w:rPr>
          <w:rtl/>
        </w:rPr>
        <w:t xml:space="preserve"> עיין לעיל ל"ט א':</w:t>
      </w:r>
    </w:p>
  </w:footnote>
  <w:footnote w:id="3472">
    <w:p w:rsidR="00A13282" w:rsidRDefault="00A13282" w:rsidP="003841DB">
      <w:pPr>
        <w:pStyle w:val="a5"/>
      </w:pPr>
      <w:r>
        <w:rPr>
          <w:rStyle w:val="a7"/>
        </w:rPr>
        <w:footnoteRef/>
      </w:r>
      <w:r>
        <w:t xml:space="preserve"> </w:t>
      </w:r>
      <w:r>
        <w:rPr>
          <w:b/>
          <w:bCs/>
          <w:rtl/>
        </w:rPr>
        <w:t xml:space="preserve"> ואיהו כח דאתלבש כו'.</w:t>
      </w:r>
      <w:r>
        <w:rPr>
          <w:rtl/>
        </w:rPr>
        <w:t xml:space="preserve"> רוצה לומר ולכן וצריך לסלקא בנשיאת כפים, ואחר הברכה לנחתא - להוריד האי כח לגופא - לשמים, וכמו שאמרו דאסור יותר מג' שעות להגביה, ולכן עשוי הידים בענין זה להגביה ולהוריד:</w:t>
      </w:r>
    </w:p>
  </w:footnote>
  <w:footnote w:id="3473">
    <w:p w:rsidR="00A13282" w:rsidRDefault="00A13282" w:rsidP="003841DB">
      <w:pPr>
        <w:pStyle w:val="a5"/>
      </w:pPr>
      <w:r>
        <w:rPr>
          <w:rStyle w:val="a7"/>
        </w:rPr>
        <w:footnoteRef/>
      </w:r>
      <w:r>
        <w:t xml:space="preserve"> </w:t>
      </w:r>
      <w:r>
        <w:rPr>
          <w:b/>
          <w:bCs/>
          <w:rtl/>
        </w:rPr>
        <w:t xml:space="preserve"> לנחתא לה לגבי שמים.</w:t>
      </w:r>
      <w:r>
        <w:rPr>
          <w:rtl/>
        </w:rPr>
        <w:t xml:space="preserve"> רוצה לומר דכתיב (דברים לב מ) כי אשא אל שמים ידי ואמרתי כו', ורוצה לומר מתחילה אשא אל רום שמים ואח"כ אשיב אל שמים ידי, ואז בנשיאת יד אשיב נקם לצרי כו' (שם מא):</w:t>
      </w:r>
    </w:p>
  </w:footnote>
  <w:footnote w:id="3474">
    <w:p w:rsidR="00A13282" w:rsidRDefault="00A13282" w:rsidP="003841DB">
      <w:pPr>
        <w:pStyle w:val="a5"/>
      </w:pPr>
      <w:r>
        <w:rPr>
          <w:rStyle w:val="a7"/>
        </w:rPr>
        <w:footnoteRef/>
      </w:r>
      <w:r>
        <w:t xml:space="preserve"> </w:t>
      </w:r>
      <w:r>
        <w:rPr>
          <w:b/>
          <w:bCs/>
          <w:rtl/>
        </w:rPr>
        <w:t xml:space="preserve"> וכד סליק לה כו'.</w:t>
      </w:r>
      <w:r>
        <w:rPr>
          <w:rtl/>
        </w:rPr>
        <w:t xml:space="preserve"> דהוא ה' לגבי יו"ד, על כס י"ה:</w:t>
      </w:r>
    </w:p>
  </w:footnote>
  <w:footnote w:id="3475">
    <w:p w:rsidR="00A13282" w:rsidRDefault="00A13282" w:rsidP="003841DB">
      <w:pPr>
        <w:pStyle w:val="a5"/>
      </w:pPr>
      <w:r>
        <w:rPr>
          <w:rStyle w:val="a7"/>
        </w:rPr>
        <w:footnoteRef/>
      </w:r>
      <w:r>
        <w:t xml:space="preserve"> </w:t>
      </w:r>
      <w:r>
        <w:rPr>
          <w:b/>
          <w:bCs/>
          <w:rtl/>
        </w:rPr>
        <w:t xml:space="preserve"> ואיהו יו"ד כו'.</w:t>
      </w:r>
      <w:r>
        <w:rPr>
          <w:rtl/>
        </w:rPr>
        <w:t xml:space="preserve"> דריש בג' אופנים, יד ו' דעמודא דאמצעיתא - והן אותיות יוד - דמרים לגבי יוד, ומתחברים י"ה, והוא גם כן ידו - דד"ו נעשה ה':</w:t>
      </w:r>
    </w:p>
  </w:footnote>
  <w:footnote w:id="3476">
    <w:p w:rsidR="00A13282" w:rsidRDefault="00A13282" w:rsidP="003841DB">
      <w:pPr>
        <w:pStyle w:val="a5"/>
      </w:pPr>
      <w:r>
        <w:rPr>
          <w:rStyle w:val="a7"/>
        </w:rPr>
        <w:footnoteRef/>
      </w:r>
      <w:r>
        <w:t xml:space="preserve"> </w:t>
      </w:r>
      <w:r>
        <w:rPr>
          <w:b/>
          <w:bCs/>
          <w:rtl/>
        </w:rPr>
        <w:t xml:space="preserve"> ולבתר נחית כו'.</w:t>
      </w:r>
      <w:r>
        <w:rPr>
          <w:rtl/>
        </w:rPr>
        <w:t xml:space="preserve"> כנ"ל אל שמים ידי, ולכן מביא ראיה למעלה ועליה אתמר ואתה תשמע כו':</w:t>
      </w:r>
    </w:p>
  </w:footnote>
  <w:footnote w:id="3477">
    <w:p w:rsidR="00A13282" w:rsidRDefault="00A13282" w:rsidP="003841DB">
      <w:pPr>
        <w:pStyle w:val="a5"/>
      </w:pPr>
      <w:r>
        <w:rPr>
          <w:rStyle w:val="a7"/>
        </w:rPr>
        <w:footnoteRef/>
      </w:r>
      <w:r>
        <w:t xml:space="preserve"> </w:t>
      </w:r>
      <w:r>
        <w:rPr>
          <w:b/>
          <w:bCs/>
          <w:rtl/>
        </w:rPr>
        <w:t xml:space="preserve"> כד"א וברחמים כו'.</w:t>
      </w:r>
      <w:r>
        <w:rPr>
          <w:rtl/>
        </w:rPr>
        <w:t xml:space="preserve"> מביא ראיה דשם י"ג מכילן דרחמי - דכתיב אצל רחמים דבת"ת - גדולים וכמו שאומר לעיל ס"ו א':</w:t>
      </w:r>
    </w:p>
  </w:footnote>
  <w:footnote w:id="3478">
    <w:p w:rsidR="00A13282" w:rsidRDefault="00A13282" w:rsidP="003841DB">
      <w:pPr>
        <w:pStyle w:val="a5"/>
      </w:pPr>
      <w:r>
        <w:rPr>
          <w:rStyle w:val="a7"/>
        </w:rPr>
        <w:footnoteRef/>
      </w:r>
      <w:r>
        <w:t xml:space="preserve"> </w:t>
      </w:r>
      <w:r>
        <w:rPr>
          <w:b/>
          <w:bCs/>
          <w:rtl/>
        </w:rPr>
        <w:t xml:space="preserve"> בהאי וא"ו כו'.</w:t>
      </w:r>
      <w:r>
        <w:rPr>
          <w:rtl/>
        </w:rPr>
        <w:t xml:space="preserve"> י"ג - להשלים אם :</w:t>
      </w:r>
    </w:p>
  </w:footnote>
  <w:footnote w:id="3479">
    <w:p w:rsidR="00A13282" w:rsidRDefault="00A13282" w:rsidP="003841DB">
      <w:pPr>
        <w:pStyle w:val="a5"/>
      </w:pPr>
      <w:r>
        <w:rPr>
          <w:rStyle w:val="a7"/>
        </w:rPr>
        <w:footnoteRef/>
      </w:r>
      <w:r>
        <w:t xml:space="preserve"> </w:t>
      </w:r>
      <w:r>
        <w:rPr>
          <w:b/>
          <w:bCs/>
          <w:rtl/>
        </w:rPr>
        <w:t xml:space="preserve"> בההוא זמנא כי היא כו'.</w:t>
      </w:r>
      <w:r>
        <w:rPr>
          <w:rtl/>
        </w:rPr>
        <w:t xml:space="preserve"> דבה אתמלי, דמחיים דילה נקרא חי ואשתלם בצלותא - במלכות דהיא צלותא, ומתמלאין על ידו ח"י ברכאין בה, ורוצה לבאר בזה סיפא דקרא הנ"ל ואמרתי חי אנכי, חי - מסטרא דאנכי, לעולם - במלכולת:</w:t>
      </w:r>
    </w:p>
  </w:footnote>
  <w:footnote w:id="3480">
    <w:p w:rsidR="00A13282" w:rsidRDefault="00A13282" w:rsidP="003841DB">
      <w:pPr>
        <w:pStyle w:val="a5"/>
      </w:pPr>
      <w:r>
        <w:rPr>
          <w:rStyle w:val="a7"/>
        </w:rPr>
        <w:footnoteRef/>
      </w:r>
      <w:r>
        <w:t xml:space="preserve"> </w:t>
      </w:r>
      <w:r>
        <w:rPr>
          <w:b/>
          <w:bCs/>
          <w:rtl/>
        </w:rPr>
        <w:t xml:space="preserve"> הא הא כו'.</w:t>
      </w:r>
      <w:r>
        <w:rPr>
          <w:rtl/>
        </w:rPr>
        <w:t xml:space="preserve"> הכלל בזה, דדריש חושבן האות מלאה, והאות פשוטה דורש בכללות לאחד:</w:t>
      </w:r>
    </w:p>
  </w:footnote>
  <w:footnote w:id="3481">
    <w:p w:rsidR="00A13282" w:rsidRDefault="00A13282" w:rsidP="003841DB">
      <w:pPr>
        <w:pStyle w:val="a5"/>
      </w:pPr>
      <w:r>
        <w:rPr>
          <w:rStyle w:val="a7"/>
        </w:rPr>
        <w:footnoteRef/>
      </w:r>
      <w:r>
        <w:t xml:space="preserve"> </w:t>
      </w:r>
      <w:r>
        <w:rPr>
          <w:b/>
          <w:bCs/>
          <w:rtl/>
        </w:rPr>
        <w:t>ומינייהו תליין אתוון כו' דתליין כו'.</w:t>
      </w:r>
      <w:r>
        <w:rPr>
          <w:rtl/>
        </w:rPr>
        <w:t xml:space="preserve"> רוצה לומר ה"א ה"א הן ו', כפולות, וה"ה - הכללות בה' כפולות - הן ז' כפולות, דכפולות בשם, אבל וא"ו הוא פשוט בשם פעם אחת, ולכן מיניה י"ב פשוטות דבשביל המילוי אינו נקרא כפול:</w:t>
      </w:r>
    </w:p>
  </w:footnote>
  <w:footnote w:id="3482">
    <w:p w:rsidR="00A13282" w:rsidRDefault="00A13282" w:rsidP="003841DB">
      <w:pPr>
        <w:pStyle w:val="a5"/>
      </w:pPr>
      <w:r>
        <w:rPr>
          <w:rStyle w:val="a7"/>
        </w:rPr>
        <w:footnoteRef/>
      </w:r>
      <w:r>
        <w:t xml:space="preserve"> </w:t>
      </w:r>
      <w:r>
        <w:rPr>
          <w:b/>
          <w:bCs/>
          <w:rtl/>
        </w:rPr>
        <w:t xml:space="preserve"> דא עמלק.</w:t>
      </w:r>
      <w:r>
        <w:rPr>
          <w:rtl/>
        </w:rPr>
        <w:t xml:space="preserve"> רוצה לומר דהוא נקרא רע:</w:t>
      </w:r>
    </w:p>
  </w:footnote>
  <w:footnote w:id="3483">
    <w:p w:rsidR="00A13282" w:rsidRDefault="00A13282" w:rsidP="003841DB">
      <w:pPr>
        <w:pStyle w:val="a5"/>
      </w:pPr>
      <w:r>
        <w:rPr>
          <w:rStyle w:val="a7"/>
        </w:rPr>
        <w:footnoteRef/>
      </w:r>
      <w:r>
        <w:t xml:space="preserve"> </w:t>
      </w:r>
      <w:r>
        <w:rPr>
          <w:b/>
          <w:bCs/>
          <w:rtl/>
        </w:rPr>
        <w:t xml:space="preserve"> לעילא ותתא כו'.</w:t>
      </w:r>
      <w:r>
        <w:rPr>
          <w:rtl/>
        </w:rPr>
        <w:t xml:space="preserve"> רוצה לומר משרו, וממנו, כמו שכתוב (ישעיהו כד כא) יפקוד כו', והוא בב' ידים דכתיב (ישעיהו מח יג) אף ידי כו' וימיני כו', והן ב' יד הנ"ל, דוא"ו ודב' ההי"ן כנ"ל:</w:t>
      </w:r>
    </w:p>
  </w:footnote>
  <w:footnote w:id="3484">
    <w:p w:rsidR="00A13282" w:rsidRDefault="00A13282" w:rsidP="003841DB">
      <w:pPr>
        <w:pStyle w:val="a5"/>
      </w:pPr>
      <w:r>
        <w:rPr>
          <w:rStyle w:val="a7"/>
        </w:rPr>
        <w:footnoteRef/>
      </w:r>
      <w:r>
        <w:t xml:space="preserve"> </w:t>
      </w:r>
      <w:r>
        <w:rPr>
          <w:b/>
          <w:bCs/>
          <w:rtl/>
        </w:rPr>
        <w:t xml:space="preserve"> ודא איהו יד ה' כו'.</w:t>
      </w:r>
      <w:r>
        <w:rPr>
          <w:rtl/>
        </w:rPr>
        <w:t xml:space="preserve"> מביא ראיה שמכות ממנה על צריו:</w:t>
      </w:r>
    </w:p>
  </w:footnote>
  <w:footnote w:id="3485">
    <w:p w:rsidR="00A13282" w:rsidRDefault="00A13282" w:rsidP="003841DB">
      <w:pPr>
        <w:pStyle w:val="a5"/>
      </w:pPr>
      <w:r>
        <w:rPr>
          <w:rStyle w:val="a7"/>
        </w:rPr>
        <w:footnoteRef/>
      </w:r>
      <w:r>
        <w:t xml:space="preserve"> </w:t>
      </w:r>
      <w:r>
        <w:rPr>
          <w:b/>
          <w:bCs/>
          <w:rtl/>
        </w:rPr>
        <w:t xml:space="preserve"> אינון כ"ח.</w:t>
      </w:r>
      <w:r>
        <w:rPr>
          <w:rtl/>
        </w:rPr>
        <w:t xml:space="preserve"> רוצה לומר הוא כ"ח הנ"ל דאימא, ויו"ד י' - כ"א, גם כן אקיק דאימא, והוא מ"ט שערים שלה כמו שמפרש והולך:</w:t>
      </w:r>
    </w:p>
  </w:footnote>
  <w:footnote w:id="3486">
    <w:p w:rsidR="00A13282" w:rsidRDefault="00A13282" w:rsidP="003841DB">
      <w:pPr>
        <w:pStyle w:val="a5"/>
      </w:pPr>
      <w:r>
        <w:rPr>
          <w:rStyle w:val="a7"/>
        </w:rPr>
        <w:footnoteRef/>
      </w:r>
      <w:r>
        <w:t xml:space="preserve"> </w:t>
      </w:r>
      <w:r>
        <w:rPr>
          <w:b/>
          <w:bCs/>
          <w:rtl/>
        </w:rPr>
        <w:t xml:space="preserve"> לבושא דיו"ד כו'.</w:t>
      </w:r>
      <w:r>
        <w:rPr>
          <w:rtl/>
        </w:rPr>
        <w:t xml:space="preserve"> מפרש והולך שמ"ט מתפשטין בז"ת כידוע:</w:t>
      </w:r>
    </w:p>
  </w:footnote>
  <w:footnote w:id="3487">
    <w:p w:rsidR="00A13282" w:rsidRDefault="00A13282" w:rsidP="003841DB">
      <w:pPr>
        <w:pStyle w:val="a5"/>
      </w:pPr>
      <w:r>
        <w:rPr>
          <w:rStyle w:val="a7"/>
        </w:rPr>
        <w:footnoteRef/>
      </w:r>
      <w:r>
        <w:t xml:space="preserve"> </w:t>
      </w:r>
      <w:r>
        <w:rPr>
          <w:b/>
          <w:bCs/>
          <w:rtl/>
        </w:rPr>
        <w:t xml:space="preserve"> מלכות שלימו כו'.</w:t>
      </w:r>
      <w:r>
        <w:rPr>
          <w:rtl/>
        </w:rPr>
        <w:t xml:space="preserve"> ה' אחרונה כנ"ל משלים לד' ולז' לשניהן:</w:t>
      </w:r>
    </w:p>
  </w:footnote>
  <w:footnote w:id="3488">
    <w:p w:rsidR="00A13282" w:rsidRDefault="00A13282" w:rsidP="003841DB">
      <w:pPr>
        <w:pStyle w:val="a5"/>
      </w:pPr>
      <w:r>
        <w:rPr>
          <w:rStyle w:val="a7"/>
        </w:rPr>
        <w:footnoteRef/>
      </w:r>
      <w:r>
        <w:t xml:space="preserve"> </w:t>
      </w:r>
      <w:r>
        <w:rPr>
          <w:b/>
          <w:bCs/>
          <w:rtl/>
        </w:rPr>
        <w:t xml:space="preserve"> כתר.</w:t>
      </w:r>
      <w:r>
        <w:rPr>
          <w:rtl/>
        </w:rPr>
        <w:t xml:space="preserve"> דחו"ב הן בפרקי האצבעות, כ"ח ומ"ה, ומתגלין, מה שאין כן כתר עליון: </w:t>
      </w:r>
    </w:p>
  </w:footnote>
  <w:footnote w:id="3489">
    <w:p w:rsidR="00A13282" w:rsidRDefault="00A13282" w:rsidP="003841DB">
      <w:pPr>
        <w:pStyle w:val="a5"/>
      </w:pPr>
      <w:r>
        <w:rPr>
          <w:rStyle w:val="a7"/>
        </w:rPr>
        <w:footnoteRef/>
      </w:r>
      <w:r>
        <w:t xml:space="preserve"> </w:t>
      </w:r>
      <w:r>
        <w:rPr>
          <w:rtl/>
        </w:rPr>
        <w:t xml:space="preserve"> </w:t>
      </w:r>
      <w:r>
        <w:rPr>
          <w:b/>
          <w:bCs/>
          <w:rtl/>
        </w:rPr>
        <w:t>מקור כו'.</w:t>
      </w:r>
      <w:r>
        <w:rPr>
          <w:rtl/>
        </w:rPr>
        <w:t xml:space="preserve"> עיין ברעיא מהימנא פ' בא ובמקור לית סוף לעולם:</w:t>
      </w:r>
    </w:p>
  </w:footnote>
  <w:footnote w:id="3490">
    <w:p w:rsidR="00A13282" w:rsidRDefault="00A13282" w:rsidP="003841DB">
      <w:pPr>
        <w:pStyle w:val="a5"/>
      </w:pPr>
      <w:r>
        <w:rPr>
          <w:rStyle w:val="a7"/>
        </w:rPr>
        <w:footnoteRef/>
      </w:r>
      <w:r>
        <w:t xml:space="preserve"> </w:t>
      </w:r>
      <w:r>
        <w:rPr>
          <w:b/>
          <w:bCs/>
          <w:rtl/>
        </w:rPr>
        <w:t xml:space="preserve"> אלא בגין כו'.</w:t>
      </w:r>
      <w:r>
        <w:rPr>
          <w:rtl/>
        </w:rPr>
        <w:t xml:space="preserve"> וכל אחד צריך למהוי כלול מו"ק, והן ה"א ה"א כמו שמפרש והולך:</w:t>
      </w:r>
    </w:p>
  </w:footnote>
  <w:footnote w:id="3491">
    <w:p w:rsidR="00A13282" w:rsidRDefault="00A13282" w:rsidP="003841DB">
      <w:pPr>
        <w:pStyle w:val="a5"/>
      </w:pPr>
      <w:r>
        <w:rPr>
          <w:rStyle w:val="a7"/>
        </w:rPr>
        <w:footnoteRef/>
      </w:r>
      <w:r>
        <w:t xml:space="preserve"> </w:t>
      </w:r>
      <w:r>
        <w:rPr>
          <w:b/>
          <w:bCs/>
          <w:rtl/>
        </w:rPr>
        <w:t xml:space="preserve"> וכן גוף כו' א'.</w:t>
      </w:r>
      <w:r>
        <w:rPr>
          <w:rtl/>
        </w:rPr>
        <w:t xml:space="preserve"> והוא בלב אימא בגוף ת"ת:</w:t>
      </w:r>
    </w:p>
  </w:footnote>
  <w:footnote w:id="3492">
    <w:p w:rsidR="00A13282" w:rsidRDefault="00A13282" w:rsidP="003841DB">
      <w:pPr>
        <w:pStyle w:val="a5"/>
      </w:pPr>
      <w:r>
        <w:rPr>
          <w:rStyle w:val="a7"/>
        </w:rPr>
        <w:footnoteRef/>
      </w:r>
      <w:r>
        <w:t xml:space="preserve"> </w:t>
      </w:r>
      <w:r>
        <w:rPr>
          <w:b/>
          <w:bCs/>
          <w:rtl/>
        </w:rPr>
        <w:t xml:space="preserve"> יו"ד כו'.</w:t>
      </w:r>
      <w:r>
        <w:rPr>
          <w:rtl/>
        </w:rPr>
        <w:t xml:space="preserve"> כנ"ל שהוא חכמה, ולכך נושאין לשרשם והוא מספר יו"ד כ' והכל מ"ה:</w:t>
      </w:r>
    </w:p>
  </w:footnote>
  <w:footnote w:id="3493">
    <w:p w:rsidR="00A13282" w:rsidRDefault="00A13282" w:rsidP="003841DB">
      <w:pPr>
        <w:pStyle w:val="a5"/>
      </w:pPr>
      <w:r>
        <w:rPr>
          <w:rStyle w:val="a7"/>
        </w:rPr>
        <w:footnoteRef/>
      </w:r>
      <w:r>
        <w:t xml:space="preserve"> </w:t>
      </w:r>
      <w:r>
        <w:rPr>
          <w:b/>
          <w:bCs/>
          <w:rtl/>
        </w:rPr>
        <w:t xml:space="preserve"> משום דאתחלתא כו'.</w:t>
      </w:r>
      <w:r>
        <w:rPr>
          <w:rtl/>
        </w:rPr>
        <w:t xml:space="preserve"> רוצה לומר לכך רמיזא באצבעאן דבנשיאתם הם למעלה וכן סיומא ברגלין דבחכמה ראש וסוף כידוע:</w:t>
      </w:r>
    </w:p>
  </w:footnote>
  <w:footnote w:id="3494">
    <w:p w:rsidR="00A13282" w:rsidRDefault="00A13282" w:rsidP="003841DB">
      <w:pPr>
        <w:pStyle w:val="a5"/>
      </w:pPr>
      <w:r>
        <w:rPr>
          <w:rStyle w:val="a7"/>
        </w:rPr>
        <w:footnoteRef/>
      </w:r>
      <w:r>
        <w:t xml:space="preserve"> </w:t>
      </w:r>
      <w:r>
        <w:rPr>
          <w:b/>
          <w:bCs/>
          <w:rtl/>
        </w:rPr>
        <w:t xml:space="preserve"> כתר כו'.</w:t>
      </w:r>
      <w:r>
        <w:rPr>
          <w:rtl/>
        </w:rPr>
        <w:t xml:space="preserve"> קוצו של יוד:</w:t>
      </w:r>
    </w:p>
  </w:footnote>
  <w:footnote w:id="3495">
    <w:p w:rsidR="00A13282" w:rsidRDefault="00A13282" w:rsidP="003841DB">
      <w:pPr>
        <w:pStyle w:val="a5"/>
      </w:pPr>
      <w:r>
        <w:rPr>
          <w:rStyle w:val="a7"/>
        </w:rPr>
        <w:footnoteRef/>
      </w:r>
      <w:r>
        <w:t xml:space="preserve"> </w:t>
      </w:r>
      <w:r>
        <w:rPr>
          <w:b/>
          <w:bCs/>
          <w:rtl/>
        </w:rPr>
        <w:t xml:space="preserve"> ארבע כו'.</w:t>
      </w:r>
      <w:r>
        <w:rPr>
          <w:rtl/>
        </w:rPr>
        <w:t xml:space="preserve"> רוצה לומר הויה פשוטה הנ"ל:</w:t>
      </w:r>
    </w:p>
  </w:footnote>
  <w:footnote w:id="3496">
    <w:p w:rsidR="00A13282" w:rsidRDefault="00A13282" w:rsidP="003841DB">
      <w:pPr>
        <w:pStyle w:val="a5"/>
      </w:pPr>
      <w:r>
        <w:rPr>
          <w:rStyle w:val="a7"/>
        </w:rPr>
        <w:footnoteRef/>
      </w:r>
      <w:r>
        <w:t xml:space="preserve"> </w:t>
      </w:r>
      <w:r>
        <w:rPr>
          <w:b/>
          <w:bCs/>
          <w:rtl/>
        </w:rPr>
        <w:t xml:space="preserve"> ודא איהו כו'.</w:t>
      </w:r>
      <w:r>
        <w:rPr>
          <w:rtl/>
        </w:rPr>
        <w:t xml:space="preserve"> סיפא דקרא בראתיו כו' על נר"ן כמו שמפרש והולך:</w:t>
      </w:r>
    </w:p>
  </w:footnote>
  <w:footnote w:id="3497">
    <w:p w:rsidR="00A13282" w:rsidRDefault="00A13282" w:rsidP="003841DB">
      <w:pPr>
        <w:pStyle w:val="a5"/>
      </w:pPr>
      <w:r>
        <w:rPr>
          <w:rStyle w:val="a7"/>
        </w:rPr>
        <w:footnoteRef/>
      </w:r>
      <w:r>
        <w:t xml:space="preserve"> </w:t>
      </w:r>
      <w:r>
        <w:rPr>
          <w:b/>
          <w:bCs/>
          <w:rtl/>
        </w:rPr>
        <w:t xml:space="preserve"> ממללין.</w:t>
      </w:r>
      <w:r>
        <w:rPr>
          <w:rtl/>
        </w:rPr>
        <w:t xml:space="preserve"> כמו שאמרו (חגיגה יג ע"א) חשמ"ל:</w:t>
      </w:r>
    </w:p>
  </w:footnote>
  <w:footnote w:id="3498">
    <w:p w:rsidR="00A13282" w:rsidRDefault="00A13282" w:rsidP="003841DB">
      <w:pPr>
        <w:pStyle w:val="a5"/>
        <w:rPr>
          <w:rtl/>
        </w:rPr>
      </w:pPr>
      <w:r>
        <w:rPr>
          <w:rStyle w:val="a7"/>
        </w:rPr>
        <w:footnoteRef/>
      </w:r>
      <w:r>
        <w:t xml:space="preserve"> </w:t>
      </w:r>
      <w:r>
        <w:rPr>
          <w:b/>
          <w:bCs/>
          <w:rtl/>
        </w:rPr>
        <w:t xml:space="preserve"> פקודין.</w:t>
      </w:r>
      <w:r>
        <w:rPr>
          <w:rtl/>
        </w:rPr>
        <w:t xml:space="preserve"> במעשה:</w:t>
      </w:r>
    </w:p>
    <w:p w:rsidR="00A13282" w:rsidRDefault="00A13282" w:rsidP="003841DB">
      <w:pPr>
        <w:pStyle w:val="a5"/>
        <w:rPr>
          <w:rtl/>
        </w:rPr>
      </w:pPr>
    </w:p>
    <w:p w:rsidR="00A13282" w:rsidRDefault="00A13282" w:rsidP="003841DB">
      <w:pPr>
        <w:pStyle w:val="a5"/>
        <w:rPr>
          <w:rtl/>
        </w:rPr>
      </w:pPr>
      <w:r>
        <w:rPr>
          <w:b/>
          <w:bCs/>
          <w:rtl/>
        </w:rPr>
        <w:t>תיקון כ"ג. בראשית, ברית אש.</w:t>
      </w:r>
      <w:r>
        <w:rPr>
          <w:rtl/>
        </w:rPr>
        <w:t xml:space="preserve"> תיקון זה ושאחריו צריכים להיות אחר תיקון כ"ט, שאמר שם ביה תלת פקודין כו' והן התלת תיקונין אלו:</w:t>
      </w:r>
    </w:p>
    <w:p w:rsidR="00A13282" w:rsidRDefault="00A13282" w:rsidP="003841DB">
      <w:pPr>
        <w:pStyle w:val="a5"/>
      </w:pPr>
    </w:p>
  </w:footnote>
  <w:footnote w:id="3499">
    <w:p w:rsidR="00A13282" w:rsidRDefault="00A13282" w:rsidP="003841DB">
      <w:pPr>
        <w:pStyle w:val="a5"/>
      </w:pPr>
      <w:r>
        <w:rPr>
          <w:rStyle w:val="a7"/>
        </w:rPr>
        <w:footnoteRef/>
      </w:r>
      <w:r>
        <w:t xml:space="preserve"> </w:t>
      </w:r>
      <w:r>
        <w:rPr>
          <w:b/>
          <w:bCs/>
          <w:rtl/>
        </w:rPr>
        <w:t>תיקון כ"ה בראשית כו' מההוא אתר כו'.</w:t>
      </w:r>
      <w:r>
        <w:rPr>
          <w:rtl/>
        </w:rPr>
        <w:t xml:space="preserve"> רוצה לומר אורייתא דבריאה וכמו שאומר לעיל ד' ב' אורייתא דבריאה ה' כו':</w:t>
      </w:r>
    </w:p>
  </w:footnote>
  <w:footnote w:id="3500">
    <w:p w:rsidR="00A13282" w:rsidRDefault="00A13282" w:rsidP="003841DB">
      <w:pPr>
        <w:pStyle w:val="a5"/>
      </w:pPr>
      <w:r>
        <w:rPr>
          <w:rStyle w:val="a7"/>
        </w:rPr>
        <w:footnoteRef/>
      </w:r>
      <w:r>
        <w:t xml:space="preserve"> </w:t>
      </w:r>
      <w:r>
        <w:rPr>
          <w:b/>
          <w:bCs/>
          <w:rtl/>
        </w:rPr>
        <w:t xml:space="preserve"> תרין פקודין.</w:t>
      </w:r>
      <w:r>
        <w:rPr>
          <w:rtl/>
        </w:rPr>
        <w:t xml:space="preserve"> והן משלימים לתרי"ג, בתורה, והוא ב' דבראשית, ואלו ב' הן בזו"נ וזה שאומר חד והגית כו' בז"א וכליל נוק' שנאמר והגית בו יומם ולילה, תניינא במלכא וכולל לז"א כמו שמפרש והולך:</w:t>
      </w:r>
    </w:p>
  </w:footnote>
  <w:footnote w:id="3501">
    <w:p w:rsidR="00A13282" w:rsidRDefault="00A13282" w:rsidP="003841DB">
      <w:pPr>
        <w:pStyle w:val="a5"/>
      </w:pPr>
      <w:r>
        <w:rPr>
          <w:rStyle w:val="a7"/>
        </w:rPr>
        <w:footnoteRef/>
      </w:r>
      <w:r>
        <w:t xml:space="preserve"> </w:t>
      </w:r>
      <w:r>
        <w:rPr>
          <w:b/>
          <w:bCs/>
          <w:rtl/>
        </w:rPr>
        <w:t xml:space="preserve"> דרגא דיעקב.</w:t>
      </w:r>
      <w:r>
        <w:rPr>
          <w:rtl/>
        </w:rPr>
        <w:t xml:space="preserve"> כנ"ל:</w:t>
      </w:r>
    </w:p>
  </w:footnote>
  <w:footnote w:id="3502">
    <w:p w:rsidR="00A13282" w:rsidRDefault="00A13282" w:rsidP="003841DB">
      <w:pPr>
        <w:pStyle w:val="a5"/>
      </w:pPr>
      <w:r>
        <w:rPr>
          <w:rStyle w:val="a7"/>
        </w:rPr>
        <w:footnoteRef/>
      </w:r>
      <w:r>
        <w:t xml:space="preserve"> </w:t>
      </w:r>
      <w:r>
        <w:rPr>
          <w:b/>
          <w:bCs/>
          <w:rtl/>
        </w:rPr>
        <w:t xml:space="preserve"> איש תם.</w:t>
      </w:r>
      <w:r>
        <w:rPr>
          <w:rtl/>
        </w:rPr>
        <w:t xml:space="preserve"> דלא נפיק מיניה פסולת וכמו שמפרש והולך:</w:t>
      </w:r>
    </w:p>
  </w:footnote>
  <w:footnote w:id="3503">
    <w:p w:rsidR="00A13282" w:rsidRDefault="00A13282" w:rsidP="003841DB">
      <w:pPr>
        <w:pStyle w:val="a5"/>
      </w:pPr>
      <w:r>
        <w:rPr>
          <w:rStyle w:val="a7"/>
        </w:rPr>
        <w:footnoteRef/>
      </w:r>
      <w:r>
        <w:t xml:space="preserve"> </w:t>
      </w:r>
      <w:r>
        <w:rPr>
          <w:b/>
          <w:bCs/>
          <w:rtl/>
        </w:rPr>
        <w:t xml:space="preserve"> כגוונא דזה כו'.</w:t>
      </w:r>
      <w:r>
        <w:rPr>
          <w:rtl/>
        </w:rPr>
        <w:t xml:space="preserve"> והוא דרגא דזה האיש, צדיק, וכן נקרא ספר זכרון ולכן טמון בכיס דלא נפיק מבירא לעלמין:</w:t>
      </w:r>
    </w:p>
  </w:footnote>
  <w:footnote w:id="3504">
    <w:p w:rsidR="00A13282" w:rsidRDefault="00A13282" w:rsidP="003841DB">
      <w:pPr>
        <w:pStyle w:val="a5"/>
      </w:pPr>
      <w:r>
        <w:rPr>
          <w:rStyle w:val="a7"/>
        </w:rPr>
        <w:footnoteRef/>
      </w:r>
      <w:r>
        <w:t xml:space="preserve"> </w:t>
      </w:r>
      <w:r>
        <w:rPr>
          <w:b/>
          <w:bCs/>
          <w:rtl/>
        </w:rPr>
        <w:t xml:space="preserve"> ספר ישרים.</w:t>
      </w:r>
      <w:r>
        <w:rPr>
          <w:rtl/>
        </w:rPr>
        <w:t xml:space="preserve"> כמו שאמרו בע"ג (דף כ"ד) שכולל כל הה' ישרים, שעמודא דאמצעיתא נקרא ישר, שמכריע בין ימינא לשמאלא, ולכן נקרא ישראל, וישראל נוטה לימין וישורון להיפך, בסוד אל ורו"ן, ומכל מקום ישר הוא ולכן נקראים ישרים שמקבל מכולם, וצדיק וישר הוא:</w:t>
      </w:r>
    </w:p>
  </w:footnote>
  <w:footnote w:id="3505">
    <w:p w:rsidR="00A13282" w:rsidRDefault="00A13282" w:rsidP="003841DB">
      <w:pPr>
        <w:pStyle w:val="a5"/>
      </w:pPr>
      <w:r>
        <w:rPr>
          <w:rStyle w:val="a7"/>
        </w:rPr>
        <w:footnoteRef/>
      </w:r>
      <w:r>
        <w:t xml:space="preserve"> </w:t>
      </w:r>
      <w:r>
        <w:rPr>
          <w:b/>
          <w:bCs/>
          <w:rtl/>
        </w:rPr>
        <w:t xml:space="preserve"> כל מאן דעבר על ה' דברים שמפסידין את השחיטה כאלו עבר בה' כו'.</w:t>
      </w:r>
      <w:r>
        <w:rPr>
          <w:rtl/>
        </w:rPr>
        <w:t xml:space="preserve"> ושניהן הן ו"ה שבהן יש אחיזה:</w:t>
      </w:r>
    </w:p>
  </w:footnote>
  <w:footnote w:id="3506">
    <w:p w:rsidR="00A13282" w:rsidRDefault="00A13282" w:rsidP="003841DB">
      <w:pPr>
        <w:pStyle w:val="a5"/>
      </w:pPr>
      <w:r>
        <w:rPr>
          <w:rStyle w:val="a7"/>
        </w:rPr>
        <w:footnoteRef/>
      </w:r>
      <w:r>
        <w:t xml:space="preserve"> </w:t>
      </w:r>
      <w:r>
        <w:rPr>
          <w:b/>
          <w:bCs/>
          <w:rtl/>
        </w:rPr>
        <w:t xml:space="preserve"> תמני סרי כו'.</w:t>
      </w:r>
      <w:r>
        <w:rPr>
          <w:rtl/>
        </w:rPr>
        <w:t xml:space="preserve"> דריאה איהי בוא"ו כנ"ל, וברית כליל לון:</w:t>
      </w:r>
    </w:p>
  </w:footnote>
  <w:footnote w:id="3507">
    <w:p w:rsidR="00A13282" w:rsidRDefault="00A13282" w:rsidP="003841DB">
      <w:pPr>
        <w:pStyle w:val="a5"/>
      </w:pPr>
      <w:r>
        <w:rPr>
          <w:rStyle w:val="a7"/>
        </w:rPr>
        <w:footnoteRef/>
      </w:r>
      <w:r>
        <w:t xml:space="preserve"> </w:t>
      </w:r>
      <w:r>
        <w:rPr>
          <w:b/>
          <w:bCs/>
          <w:rtl/>
        </w:rPr>
        <w:t xml:space="preserve"> רגליה יורדות כו'.</w:t>
      </w:r>
      <w:r>
        <w:rPr>
          <w:rtl/>
        </w:rPr>
        <w:t xml:space="preserve"> דאסתריך בנד"ר ועיין בזהר פרשת ויחי רי"ז ב':</w:t>
      </w:r>
    </w:p>
  </w:footnote>
  <w:footnote w:id="3508">
    <w:p w:rsidR="00A13282" w:rsidRDefault="00A13282" w:rsidP="003841DB">
      <w:pPr>
        <w:pStyle w:val="a5"/>
      </w:pPr>
      <w:r>
        <w:rPr>
          <w:rStyle w:val="a7"/>
        </w:rPr>
        <w:footnoteRef/>
      </w:r>
      <w:r>
        <w:t xml:space="preserve"> </w:t>
      </w:r>
      <w:r>
        <w:rPr>
          <w:b/>
          <w:bCs/>
          <w:rtl/>
        </w:rPr>
        <w:t xml:space="preserve"> אם אינון בחיבורא כו'.</w:t>
      </w:r>
      <w:r>
        <w:rPr>
          <w:rtl/>
        </w:rPr>
        <w:t xml:space="preserve"> כמו שאומר לקמן בתיקון נ"ו, צ"ב ב' ענפין דאילנא כו' ושם ו"ה, ו' בימינא ה' בשמאלא, וצריך שלא יכנס רע בינתים שלא לעשות ערו"ה, וזהו (יחזקאל כא יט) והך כף אל כף:</w:t>
      </w:r>
    </w:p>
  </w:footnote>
  <w:footnote w:id="3509">
    <w:p w:rsidR="00A13282" w:rsidRDefault="00A13282" w:rsidP="003841DB">
      <w:pPr>
        <w:pStyle w:val="a5"/>
      </w:pPr>
      <w:r>
        <w:rPr>
          <w:rStyle w:val="a7"/>
        </w:rPr>
        <w:footnoteRef/>
      </w:r>
      <w:r>
        <w:t xml:space="preserve"> </w:t>
      </w:r>
      <w:r>
        <w:rPr>
          <w:b/>
          <w:bCs/>
          <w:rtl/>
        </w:rPr>
        <w:t xml:space="preserve"> שרפים כו'.</w:t>
      </w:r>
      <w:r>
        <w:rPr>
          <w:rtl/>
        </w:rPr>
        <w:t xml:space="preserve"> כמו שאמרו בזהר פרשת פנחס ממעל לו - ללבא, והן עומדין נפוחים בחייה:</w:t>
      </w:r>
    </w:p>
  </w:footnote>
  <w:footnote w:id="3510">
    <w:p w:rsidR="00A13282" w:rsidRDefault="00A13282" w:rsidP="003841DB">
      <w:pPr>
        <w:pStyle w:val="a5"/>
      </w:pPr>
      <w:r>
        <w:rPr>
          <w:rStyle w:val="a7"/>
        </w:rPr>
        <w:footnoteRef/>
      </w:r>
      <w:r>
        <w:t xml:space="preserve"> </w:t>
      </w:r>
      <w:r>
        <w:rPr>
          <w:b/>
          <w:bCs/>
          <w:rtl/>
        </w:rPr>
        <w:t xml:space="preserve"> שית אינון כו'.</w:t>
      </w:r>
      <w:r>
        <w:rPr>
          <w:rtl/>
        </w:rPr>
        <w:t xml:space="preserve"> רוצה לומר אע"ג שנאמר שש כו' שש כו' - נכללין באחד, ששנים שרפים הן וחד אתחזרו, והן ו"ו מלאה בת"ת ויסוד, וגוף וברית חד הן, ובוא"ו אחד של שם כלילן, וזה שלא נאמר שש כנפים לאחד שש כנפים לאחד, וזה שאומר תרין הוי חד אתחזרו - ששרפים הן שנים ונאמר לאחד:</w:t>
      </w:r>
    </w:p>
  </w:footnote>
  <w:footnote w:id="3511">
    <w:p w:rsidR="00A13282" w:rsidRDefault="00A13282" w:rsidP="003841DB">
      <w:pPr>
        <w:pStyle w:val="a5"/>
      </w:pPr>
      <w:r>
        <w:rPr>
          <w:rStyle w:val="a7"/>
        </w:rPr>
        <w:footnoteRef/>
      </w:r>
      <w:r>
        <w:t xml:space="preserve"> </w:t>
      </w:r>
      <w:r>
        <w:rPr>
          <w:rtl/>
        </w:rPr>
        <w:t xml:space="preserve"> </w:t>
      </w:r>
      <w:r>
        <w:rPr>
          <w:b/>
          <w:bCs/>
          <w:rtl/>
        </w:rPr>
        <w:t>דא ליבא.</w:t>
      </w:r>
      <w:r>
        <w:rPr>
          <w:rtl/>
        </w:rPr>
        <w:t xml:space="preserve"> וכן הוא לקמן ע"ב א' ושאר מקומות:</w:t>
      </w:r>
    </w:p>
  </w:footnote>
  <w:footnote w:id="3512">
    <w:p w:rsidR="00A13282" w:rsidRDefault="00A13282" w:rsidP="003841DB">
      <w:pPr>
        <w:pStyle w:val="a5"/>
      </w:pPr>
      <w:r>
        <w:rPr>
          <w:rStyle w:val="a7"/>
        </w:rPr>
        <w:footnoteRef/>
      </w:r>
      <w:r>
        <w:t xml:space="preserve"> </w:t>
      </w:r>
      <w:r>
        <w:rPr>
          <w:b/>
          <w:bCs/>
          <w:rtl/>
        </w:rPr>
        <w:t xml:space="preserve"> ואיהו נור כו'.</w:t>
      </w:r>
      <w:r>
        <w:rPr>
          <w:rtl/>
        </w:rPr>
        <w:t xml:space="preserve"> דארון - אותיות נורא תרגום של אש, והוא חום הטבעי שבלב, ועיין ברעיא מהימנא פ' פנחס רל"ד א':</w:t>
      </w:r>
    </w:p>
  </w:footnote>
  <w:footnote w:id="3513">
    <w:p w:rsidR="00A13282" w:rsidRDefault="00A13282" w:rsidP="003841DB">
      <w:pPr>
        <w:pStyle w:val="a5"/>
      </w:pPr>
      <w:r>
        <w:rPr>
          <w:rStyle w:val="a7"/>
        </w:rPr>
        <w:footnoteRef/>
      </w:r>
      <w:r>
        <w:t xml:space="preserve"> </w:t>
      </w:r>
      <w:r>
        <w:rPr>
          <w:b/>
          <w:bCs/>
          <w:rtl/>
        </w:rPr>
        <w:t xml:space="preserve"> רוחא נשיב אבתריה בערקין דלבא.</w:t>
      </w:r>
      <w:r>
        <w:rPr>
          <w:rtl/>
        </w:rPr>
        <w:t xml:space="preserve"> דבמוחא וריאה ולבא הן נר"ן כמו שאומר סוף תיקון כ"ו ואף על פי כן שריא ע"י התנשבות הריאה - הרוח בלב, כמו הנשמה שעיקר חופף על האדם - וענפיה בתוכו, וכן האויר בעולם - ונשיב באדם, וכן כהאי גונא בנפש שעיקרה בלב - ומתפשט בכבד, וזה שאומר למעלה דלבא ארונא אע"ג דספר תורה הוא הריאה כנ"ל. ואפשר לומר דסבירא ליה כר"י בפרק קמא דבבא בתרא דמצדו הוא מונח, ומוחא וריאה ולבא הן ג' דרגין שכוללין כל העשר ספירות ואף שעשר ספירות נחלקין לג' דרגין מכל מקום בכללן רק שתים, דמלכא עלאה בדכורא אסתיים, ולכן כל ט' ספירות נחשבין לדכורא א', ומלכות נוק' ב', ונכללין בזכור ושמור, וזה שאומר בתיקון כ”ד דתהא לב נטיר כו' - שמור, ומוחא - בזכור, וכן בזהר פרשת פנחס רכ"ד א' עיין שם וזהו בבחינת האברים הפנימים לבד אבל עם האברים החיצונים, מוחא ולבא - או"א, ואברים דגופא - ו"ק, ז"א, ופומא - מלכות כמו שאומר ברעיא מהימנא פ' נשא קכ"ב ב' י' יראה ודא דאיהו כו', ושם קכ"ב ב' דאינון י"ה יראה ואהבה קרינן לון כו' הנסתרות יראה ואהבה דאינון כו', ולעיל י"ג א' ואתקריאו בתיקונא דא כו'. והענין, כי ב' בחינות באדם - ראש וגוף, ובבחינ' דלפנים הנסתרות שבהן או"א, ודלבר זו"ן, ופומא הוא כלל הרישא וכמו שאומר ברעיא מהימנא קכ"ג ב' שם דאינון בגופא וברישא, וזהו דאבא יסד ברתא ואימא ברא, והיא עטרת בעלה ואיהי כתר מלכות בסיומא דגלגלתא:</w:t>
      </w:r>
    </w:p>
  </w:footnote>
  <w:footnote w:id="3514">
    <w:p w:rsidR="00A13282" w:rsidRDefault="00A13282" w:rsidP="003841DB">
      <w:pPr>
        <w:pStyle w:val="a5"/>
      </w:pPr>
      <w:r>
        <w:rPr>
          <w:rStyle w:val="a7"/>
        </w:rPr>
        <w:footnoteRef/>
      </w:r>
      <w:r>
        <w:t xml:space="preserve"> </w:t>
      </w:r>
      <w:r>
        <w:rPr>
          <w:b/>
          <w:bCs/>
          <w:rtl/>
        </w:rPr>
        <w:t xml:space="preserve"> אל אשר כו'.</w:t>
      </w:r>
      <w:r>
        <w:rPr>
          <w:rtl/>
        </w:rPr>
        <w:t xml:space="preserve"> והאופנים לעומתן, וכן הנפשא דבלבא בתר רוחא, וכל האברים אחר נפשא:</w:t>
      </w:r>
    </w:p>
  </w:footnote>
  <w:footnote w:id="3515">
    <w:p w:rsidR="00A13282" w:rsidRDefault="00A13282" w:rsidP="003841DB">
      <w:pPr>
        <w:pStyle w:val="a5"/>
      </w:pPr>
      <w:r>
        <w:rPr>
          <w:rStyle w:val="a7"/>
        </w:rPr>
        <w:footnoteRef/>
      </w:r>
      <w:r>
        <w:t xml:space="preserve"> </w:t>
      </w:r>
      <w:r>
        <w:rPr>
          <w:b/>
          <w:bCs/>
          <w:rtl/>
        </w:rPr>
        <w:t xml:space="preserve"> ולבא כד כו'.</w:t>
      </w:r>
      <w:r>
        <w:rPr>
          <w:rtl/>
        </w:rPr>
        <w:t xml:space="preserve"> והוא בשינה דלא אשתייר רק נפשא. וזה שאומר </w:t>
      </w:r>
      <w:r>
        <w:rPr>
          <w:b/>
          <w:bCs/>
          <w:rtl/>
        </w:rPr>
        <w:t>נפשי אויתיך בלילה אף רוחי כו'.</w:t>
      </w:r>
      <w:r>
        <w:rPr>
          <w:rtl/>
        </w:rPr>
        <w:t xml:space="preserve"> ביום, וזהו אשחרך - בשחר, וכן הוא דרגא דיום ולילה:</w:t>
      </w:r>
    </w:p>
  </w:footnote>
  <w:footnote w:id="3516">
    <w:p w:rsidR="00A13282" w:rsidRDefault="00A13282" w:rsidP="003841DB">
      <w:pPr>
        <w:pStyle w:val="a5"/>
      </w:pPr>
      <w:r>
        <w:rPr>
          <w:rStyle w:val="a7"/>
        </w:rPr>
        <w:footnoteRef/>
      </w:r>
      <w:r>
        <w:t xml:space="preserve"> </w:t>
      </w:r>
      <w:r>
        <w:rPr>
          <w:b/>
          <w:bCs/>
          <w:rtl/>
        </w:rPr>
        <w:t xml:space="preserve"> רוחא דאיהו ו' ואתפרש מנפשא דאיהי ד'.</w:t>
      </w:r>
      <w:r>
        <w:rPr>
          <w:rtl/>
        </w:rPr>
        <w:t xml:space="preserve"> רוצה לומר דנפש  הוא ד' שהוא על ד"ם כמו שכתוב (דברים יב כג) כי הדם הוא הנפש, וידוע שרוחא ונפשא הן ד"ו פרצופין:</w:t>
      </w:r>
    </w:p>
  </w:footnote>
  <w:footnote w:id="3517">
    <w:p w:rsidR="00A13282" w:rsidRDefault="00A13282" w:rsidP="003841DB">
      <w:pPr>
        <w:pStyle w:val="a5"/>
      </w:pPr>
      <w:r>
        <w:rPr>
          <w:rStyle w:val="a7"/>
        </w:rPr>
        <w:footnoteRef/>
      </w:r>
      <w:r>
        <w:t xml:space="preserve"> </w:t>
      </w:r>
      <w:r>
        <w:rPr>
          <w:rtl/>
        </w:rPr>
        <w:t xml:space="preserve"> </w:t>
      </w:r>
      <w:r>
        <w:rPr>
          <w:b/>
          <w:bCs/>
          <w:rtl/>
        </w:rPr>
        <w:t>ובה אינון עשרה.</w:t>
      </w:r>
      <w:r>
        <w:rPr>
          <w:rtl/>
        </w:rPr>
        <w:t xml:space="preserve"> דשניהן הן ד"ו:</w:t>
      </w:r>
    </w:p>
  </w:footnote>
  <w:footnote w:id="3518">
    <w:p w:rsidR="00A13282" w:rsidRDefault="00A13282" w:rsidP="003841DB">
      <w:pPr>
        <w:pStyle w:val="a5"/>
      </w:pPr>
      <w:r>
        <w:rPr>
          <w:rStyle w:val="a7"/>
        </w:rPr>
        <w:footnoteRef/>
      </w:r>
      <w:r>
        <w:t xml:space="preserve"> </w:t>
      </w:r>
      <w:r>
        <w:rPr>
          <w:b/>
          <w:bCs/>
          <w:rtl/>
        </w:rPr>
        <w:t xml:space="preserve"> וכולהו בפיוסא.</w:t>
      </w:r>
      <w:r>
        <w:rPr>
          <w:rtl/>
        </w:rPr>
        <w:t xml:space="preserve"> כמו שאומר בזהר פרשת פנחס רכ"ה ב' וברעיא מהימנא שם ובזהר פרשת בראשית מ"ט א' ב' מכאן אוליפנא מאן דמתחבר כו'. וזהו זיווג זו"ן בכל מקום שהן רוחא עם נפשא:</w:t>
      </w:r>
    </w:p>
  </w:footnote>
  <w:footnote w:id="3519">
    <w:p w:rsidR="00A13282" w:rsidRDefault="00A13282" w:rsidP="003841DB">
      <w:pPr>
        <w:pStyle w:val="a5"/>
      </w:pPr>
      <w:r>
        <w:rPr>
          <w:rStyle w:val="a7"/>
        </w:rPr>
        <w:footnoteRef/>
      </w:r>
      <w:r>
        <w:t xml:space="preserve"> </w:t>
      </w:r>
      <w:r>
        <w:rPr>
          <w:b/>
          <w:bCs/>
          <w:rtl/>
        </w:rPr>
        <w:t xml:space="preserve"> הה"ד כו'.</w:t>
      </w:r>
      <w:r>
        <w:rPr>
          <w:rtl/>
        </w:rPr>
        <w:t xml:space="preserve"> שהן בפיוסא והן שית דפיקין כמו שמפרש והולך ובתקונא כו':</w:t>
      </w:r>
    </w:p>
  </w:footnote>
  <w:footnote w:id="3520">
    <w:p w:rsidR="00A13282" w:rsidRDefault="00A13282" w:rsidP="003841DB">
      <w:pPr>
        <w:pStyle w:val="a5"/>
      </w:pPr>
      <w:r>
        <w:rPr>
          <w:rStyle w:val="a7"/>
        </w:rPr>
        <w:footnoteRef/>
      </w:r>
      <w:r>
        <w:t xml:space="preserve"> </w:t>
      </w:r>
      <w:r>
        <w:rPr>
          <w:b/>
          <w:bCs/>
          <w:rtl/>
        </w:rPr>
        <w:t xml:space="preserve"> באת ב' דאיהי תרעא.</w:t>
      </w:r>
      <w:r>
        <w:rPr>
          <w:rtl/>
        </w:rPr>
        <w:t xml:space="preserve"> שצורתו תרעא וכמו שאומר לעיל ריש תיקון א’, י"ג ב', ב' ראשית זה השער כו':</w:t>
      </w:r>
    </w:p>
  </w:footnote>
  <w:footnote w:id="3521">
    <w:p w:rsidR="00A13282" w:rsidRDefault="00A13282" w:rsidP="003841DB">
      <w:pPr>
        <w:pStyle w:val="a5"/>
      </w:pPr>
      <w:r>
        <w:rPr>
          <w:rStyle w:val="a7"/>
        </w:rPr>
        <w:footnoteRef/>
      </w:r>
      <w:r>
        <w:t xml:space="preserve"> </w:t>
      </w:r>
      <w:r>
        <w:rPr>
          <w:b/>
          <w:bCs/>
          <w:rtl/>
        </w:rPr>
        <w:t xml:space="preserve"> יו"ד כו'.</w:t>
      </w:r>
      <w:r>
        <w:rPr>
          <w:rtl/>
        </w:rPr>
        <w:t xml:space="preserve"> והיא השביעית. בשבת יו"ד על ו', עטרת בעלה, ונעשית ז', תגא, אבל בימות החול כלילא בו וכמו שאומר לקמן בתיקון ל”ו עיין שם:</w:t>
      </w:r>
    </w:p>
  </w:footnote>
  <w:footnote w:id="3522">
    <w:p w:rsidR="00A13282" w:rsidRDefault="00A13282" w:rsidP="003841DB">
      <w:pPr>
        <w:pStyle w:val="a5"/>
      </w:pPr>
      <w:r>
        <w:rPr>
          <w:rStyle w:val="a7"/>
        </w:rPr>
        <w:footnoteRef/>
      </w:r>
      <w:r>
        <w:t xml:space="preserve"> </w:t>
      </w:r>
      <w:r>
        <w:rPr>
          <w:b/>
          <w:bCs/>
          <w:rtl/>
        </w:rPr>
        <w:t xml:space="preserve">  קווצותי אלין שית סטרין.</w:t>
      </w:r>
      <w:r>
        <w:rPr>
          <w:rtl/>
        </w:rPr>
        <w:t xml:space="preserve"> רוצה לומר שית סטרין הנ"ל פתחי כו', דנקודה השביעית נמלא טל, וששה קצוות רסיסי לילה למיהב לנוק':</w:t>
      </w:r>
    </w:p>
  </w:footnote>
  <w:footnote w:id="3523">
    <w:p w:rsidR="00A13282" w:rsidRDefault="00A13282" w:rsidP="003841DB">
      <w:pPr>
        <w:pStyle w:val="a5"/>
      </w:pPr>
      <w:r>
        <w:rPr>
          <w:rStyle w:val="a7"/>
        </w:rPr>
        <w:footnoteRef/>
      </w:r>
      <w:r>
        <w:t xml:space="preserve"> </w:t>
      </w:r>
      <w:r>
        <w:rPr>
          <w:b/>
          <w:bCs/>
          <w:rtl/>
        </w:rPr>
        <w:t xml:space="preserve"> באריכו כו'.</w:t>
      </w:r>
      <w:r>
        <w:rPr>
          <w:rtl/>
        </w:rPr>
        <w:t xml:space="preserve"> רוצה לומר שבדפק האדם שהוא ע"י רוח ניכר באיזה ספירה הוא, אם הוא באריכות הוא סימן התקיעה שמאריך והוא בחסד, ואם גם כן באריכות קצת ומשבר כעין שברים - בגבורה, ובמהירות - בת"ת, תרועה, וזהו אם הדפק סליק למעלה בדפיקו, ואם נחית לתתא הוא בנה"י גם כן באותן הסימנין הנ"ל, והן ששה דפיקות דרוח בו"ק, וע”י כך יכולין לידע באיזה אבר הוא חולה מו"ק, ובאיזה פגם, וכן הוא דפיקין דלבא וביד האדם הוא ניכר דפיקין. ואמר </w:t>
      </w:r>
      <w:r>
        <w:rPr>
          <w:b/>
          <w:bCs/>
          <w:rtl/>
        </w:rPr>
        <w:t>ואינון דפיקין כמוליך כו'.</w:t>
      </w:r>
      <w:r>
        <w:rPr>
          <w:rtl/>
        </w:rPr>
        <w:t xml:space="preserve"> רוצה לומר לכן הדפיקין הן כמוליך כו' - לפי שהן מו"ק:</w:t>
      </w:r>
    </w:p>
  </w:footnote>
  <w:footnote w:id="3524">
    <w:p w:rsidR="00A13282" w:rsidRDefault="00A13282" w:rsidP="003841DB">
      <w:pPr>
        <w:pStyle w:val="a5"/>
      </w:pPr>
      <w:r>
        <w:rPr>
          <w:rStyle w:val="a7"/>
        </w:rPr>
        <w:footnoteRef/>
      </w:r>
      <w:r>
        <w:t xml:space="preserve"> </w:t>
      </w:r>
      <w:r>
        <w:rPr>
          <w:b/>
          <w:bCs/>
          <w:rtl/>
        </w:rPr>
        <w:t xml:space="preserve"> בחסד גבורה תפארת כו'.</w:t>
      </w:r>
      <w:r>
        <w:rPr>
          <w:rtl/>
        </w:rPr>
        <w:t xml:space="preserve"> שאין בין מים העליונים למים תחתונים אלא כמלא נימא, שחג"ת הן במקום בינה, ונה"י - במלכות, ובינה ומלכות הן ב' ההי"ן דעולה ויורד כמו שאמרו בכמה מקומות (וזה שאומר לקמן ב' בגין דשושנים כו' זרקת תרין וסלקא הנשרא ונחתא לקבל ו"ק הנ"ל ובהן ב' השושנים):</w:t>
      </w:r>
    </w:p>
  </w:footnote>
  <w:footnote w:id="3525">
    <w:p w:rsidR="00A13282" w:rsidRDefault="00A13282" w:rsidP="003841DB">
      <w:pPr>
        <w:pStyle w:val="a5"/>
      </w:pPr>
      <w:r>
        <w:rPr>
          <w:rStyle w:val="a7"/>
        </w:rPr>
        <w:footnoteRef/>
      </w:r>
      <w:r>
        <w:t xml:space="preserve"> </w:t>
      </w:r>
      <w:r>
        <w:rPr>
          <w:b/>
          <w:bCs/>
          <w:rtl/>
        </w:rPr>
        <w:t xml:space="preserve"> ואינון שית סלקין לעשר.</w:t>
      </w:r>
      <w:r>
        <w:rPr>
          <w:rtl/>
        </w:rPr>
        <w:t xml:space="preserve"> כמו שמפרש והולך ואינון קשר"ק כו'. והענין, כי ד' דפיקין הן דילה כנ"ל ובה אינון עשרה, והוא קשר"ק, ומן התורה אינן אלא ט' כי העשירית לית לה מגרמה כלום, והיא בלא נקודה שהן הן הדפיקין כידוע והיא כלולה מהם ומתנהגת אחריהם, ודרא בתראה תקינו נגדה גם כן והן עשר דעמידה וכמנהג הראשונים וכמו שאמרו כל הגאונים שבעמידה קשר"ק קש"ק קר"ק, עד שרבינו תם ביטלה והעמיד למנהגנו, ודברי הראשונים הם עיקר כמו שבארתי שם בחידושי, ואלו הדפיקין גם כן ניכר בדפק דג' אלו האחרונים הן לא סלקין ולא נחתין אלא במקומם, ועיין בזהר פרשת אמור צ"ט ק' סדרא קדמאה קלא נפיק כו' לגביה דאברהם כו', סדרא תניינא כו' ההוא קלא תבירא כו' לאתרא דיצחק כו', סדרא תליתאה קלא כו' לרישיה דיעקב כו', והני תלתא סדרין כלהו סדרא חד, סדרא אחרא קלא נפיק וסליק ונטיל לאברהם מאתריה ונגיד ליה לתתא כו', סדרא תניינא כו', סדרא תליתאה כו', והני כלהו סדרא אחרא תניינא כו', סדרא בתראה דבעי לסלקא לון לאתרייהו כו', והן גם כן באריכו כו', והיא בין חג"ת דסלקין ובין נה"י דנחתין דשם מקומה כידוע והעשירית דכלולין בה כל ג' הקוין אריכו ותבירו ותרועה והיא דפיקו בינונית:</w:t>
      </w:r>
    </w:p>
  </w:footnote>
  <w:footnote w:id="3526">
    <w:p w:rsidR="00A13282" w:rsidRDefault="00A13282" w:rsidP="003841DB">
      <w:pPr>
        <w:pStyle w:val="a5"/>
      </w:pPr>
      <w:r>
        <w:rPr>
          <w:rStyle w:val="a7"/>
        </w:rPr>
        <w:footnoteRef/>
      </w:r>
      <w:r>
        <w:t xml:space="preserve"> </w:t>
      </w:r>
      <w:r>
        <w:rPr>
          <w:b/>
          <w:bCs/>
          <w:rtl/>
        </w:rPr>
        <w:t xml:space="preserve"> ודא יו"ד.</w:t>
      </w:r>
      <w:r>
        <w:rPr>
          <w:rtl/>
        </w:rPr>
        <w:t xml:space="preserve"> רוצה לומר יו"ד דנמלא טל, דכליל לו"ד, ד"ו הנ"ל:</w:t>
      </w:r>
    </w:p>
  </w:footnote>
  <w:footnote w:id="3527">
    <w:p w:rsidR="00A13282" w:rsidRDefault="00A13282" w:rsidP="003841DB">
      <w:pPr>
        <w:pStyle w:val="a5"/>
      </w:pPr>
      <w:r>
        <w:rPr>
          <w:rStyle w:val="a7"/>
        </w:rPr>
        <w:footnoteRef/>
      </w:r>
      <w:r>
        <w:t xml:space="preserve"> </w:t>
      </w:r>
      <w:r>
        <w:rPr>
          <w:rtl/>
        </w:rPr>
        <w:t xml:space="preserve"> </w:t>
      </w:r>
      <w:r>
        <w:rPr>
          <w:b/>
          <w:bCs/>
          <w:rtl/>
        </w:rPr>
        <w:t>עד דאתכלילו כו'.</w:t>
      </w:r>
      <w:r>
        <w:rPr>
          <w:rtl/>
        </w:rPr>
        <w:t xml:space="preserve"> כי היו"ד הנ"ל דנמלא טל היא כלולה בכל הו"ק - שית דפיקין דפתחי לי כו':</w:t>
      </w:r>
    </w:p>
  </w:footnote>
  <w:footnote w:id="3528">
    <w:p w:rsidR="00A13282" w:rsidRDefault="00A13282" w:rsidP="003841DB">
      <w:pPr>
        <w:pStyle w:val="a5"/>
      </w:pPr>
      <w:r>
        <w:rPr>
          <w:rStyle w:val="a7"/>
        </w:rPr>
        <w:footnoteRef/>
      </w:r>
      <w:r>
        <w:t xml:space="preserve"> </w:t>
      </w:r>
      <w:r>
        <w:rPr>
          <w:b/>
          <w:bCs/>
          <w:rtl/>
        </w:rPr>
        <w:t xml:space="preserve"> בעשרה כו'.</w:t>
      </w:r>
      <w:r>
        <w:rPr>
          <w:rtl/>
        </w:rPr>
        <w:t xml:space="preserve"> רוצה לומר ג' ברכות דלחש הן ג' דפיקין דחג"ת בג' קוין, וכמו שאומר לקמן ריש תיקון נ”ה דמלכות לשמאלא וזכרונות לימינא ושופרות באמצע (בחזרה הן נה"י), והן בעמידה ובחזרה - ששה, ג' סלקין וג' נחתין וזה שאומר תלתין סלקין כו' ותלתין כו':</w:t>
      </w:r>
    </w:p>
  </w:footnote>
  <w:footnote w:id="3529">
    <w:p w:rsidR="00A13282" w:rsidRDefault="00A13282" w:rsidP="003841DB">
      <w:pPr>
        <w:pStyle w:val="a5"/>
      </w:pPr>
      <w:r>
        <w:rPr>
          <w:rStyle w:val="a7"/>
        </w:rPr>
        <w:footnoteRef/>
      </w:r>
      <w:r>
        <w:t xml:space="preserve"> </w:t>
      </w:r>
      <w:r>
        <w:rPr>
          <w:b/>
          <w:bCs/>
          <w:rtl/>
        </w:rPr>
        <w:t xml:space="preserve"> שית זמנין עשר.</w:t>
      </w:r>
      <w:r>
        <w:rPr>
          <w:rtl/>
        </w:rPr>
        <w:t xml:space="preserve"> והן ו"ק הנ"ל דסלקין לשתין, ששים גבורים מגבורי ישראל, וכולא - יסוד כליל לון, וזהו יסוד - יו"ד, יו"ד דנמלא טל, דסליק כל אחד לעשרה והן ששים, ס' דיסוד, והדפיקין הן ו"ד כנ"ל, וזהו ענין היסוד כי האמה הוא סוד דיסוד, סוד ה' ליראיו, ע' אנפין </w:t>
      </w:r>
      <w:r>
        <w:rPr>
          <w:rFonts w:hint="cs"/>
          <w:rtl/>
        </w:rPr>
        <w:t xml:space="preserve">כמו שאומר לקמן בתיקון כ"ט, וביה ויכלו ע"ב, וע' תיבין דקידוש, וע' לשון, ע' אנפין, </w:t>
      </w:r>
      <w:r>
        <w:rPr>
          <w:rtl/>
        </w:rPr>
        <w:t>כמו שאמרו ברעיא מהימנא פ' ויקרא כ' א' עיין שם בדבריו ואיהו ששים מסטרא דו"ק ס' וביה ב' נהורין חד נהיר לשית סטרין ותניינא לד', כמו שאמרו בזהר פרשת בראשית מ"א ב' היכלא כו' נציץ לתרין סטרין נהורא חד כו' לכל סטר עילא כו' נהורא תניין כו' ד' נהורין לד' סטרין. והענין, כי כמו שיסוד כולל ו"ק, כן כולל גם כן השביעית, והיא גם כן כלולה מעשר (והן ו"ה, שהן ז', אלא שוא"ו - אות מפרק אחד, וה"א - מב' פרקים, ד"ו, וזהו סו"ד) וכן פומא דאמה בעצמה גם כן עשר - יו"ד דיסוד, אלא שמלכות דאמה עצמה הוא מסטרא דאמא שהן ד"ו פרצופים בה"א, ודפומא דאמה אות ברית - ביו"ד דחכמה דבה כולא חד, וכמו שאומר לקמן בתיקון ל”ו עיין מה שבארנו בארוכה לשמאלא אית רוחא כו' והוא עטרה הנ"ל שהיא לבנה ואמר שם נהוריה סומק וחיור כחדא כו':</w:t>
      </w:r>
    </w:p>
  </w:footnote>
  <w:footnote w:id="3530">
    <w:p w:rsidR="00A13282" w:rsidRDefault="00A13282" w:rsidP="003841DB">
      <w:pPr>
        <w:pStyle w:val="a5"/>
      </w:pPr>
      <w:r>
        <w:rPr>
          <w:rStyle w:val="a7"/>
        </w:rPr>
        <w:footnoteRef/>
      </w:r>
      <w:r>
        <w:t xml:space="preserve"> </w:t>
      </w:r>
      <w:r>
        <w:rPr>
          <w:b/>
          <w:bCs/>
          <w:rtl/>
        </w:rPr>
        <w:t xml:space="preserve"> כד סליק דפיקו כו'.</w:t>
      </w:r>
      <w:r>
        <w:rPr>
          <w:rtl/>
        </w:rPr>
        <w:t xml:space="preserve"> נותן סימנין להבין החולה אם יתארך, או החולה כבד בדינא תקיפא:</w:t>
      </w:r>
    </w:p>
  </w:footnote>
  <w:footnote w:id="3531">
    <w:p w:rsidR="00A13282" w:rsidRDefault="00A13282" w:rsidP="003841DB">
      <w:pPr>
        <w:pStyle w:val="a5"/>
      </w:pPr>
      <w:r>
        <w:rPr>
          <w:rStyle w:val="a7"/>
        </w:rPr>
        <w:footnoteRef/>
      </w:r>
      <w:r>
        <w:t xml:space="preserve"> </w:t>
      </w:r>
      <w:r>
        <w:rPr>
          <w:b/>
          <w:bCs/>
          <w:rtl/>
        </w:rPr>
        <w:t xml:space="preserve"> קם סבא כו'.</w:t>
      </w:r>
      <w:r>
        <w:rPr>
          <w:rtl/>
        </w:rPr>
        <w:t xml:space="preserve"> נותן סימנין לגלות אם הוא אריכו אז הוא בחסד כו', דבגלותא כי חולת אהבה אני:</w:t>
      </w:r>
    </w:p>
  </w:footnote>
  <w:footnote w:id="3532">
    <w:p w:rsidR="00A13282" w:rsidRDefault="00A13282" w:rsidP="003841DB">
      <w:pPr>
        <w:pStyle w:val="a5"/>
      </w:pPr>
      <w:r>
        <w:rPr>
          <w:rStyle w:val="a7"/>
        </w:rPr>
        <w:footnoteRef/>
      </w:r>
      <w:r>
        <w:t xml:space="preserve"> </w:t>
      </w:r>
      <w:r>
        <w:rPr>
          <w:b/>
          <w:bCs/>
          <w:rtl/>
        </w:rPr>
        <w:t xml:space="preserve"> ועל דא מרעה כו'.</w:t>
      </w:r>
      <w:r>
        <w:rPr>
          <w:rtl/>
        </w:rPr>
        <w:t xml:space="preserve"> רוצה לומר שלא יהא הגלות בקצף גדול ושיוכלו לסבול:</w:t>
      </w:r>
    </w:p>
  </w:footnote>
  <w:footnote w:id="3533">
    <w:p w:rsidR="00A13282" w:rsidRDefault="00A13282" w:rsidP="003841DB">
      <w:pPr>
        <w:pStyle w:val="a5"/>
      </w:pPr>
      <w:r>
        <w:rPr>
          <w:rStyle w:val="a7"/>
        </w:rPr>
        <w:footnoteRef/>
      </w:r>
      <w:r>
        <w:t xml:space="preserve"> </w:t>
      </w:r>
      <w:r>
        <w:rPr>
          <w:b/>
          <w:bCs/>
          <w:rtl/>
        </w:rPr>
        <w:t xml:space="preserve"> ועוד כד דפיקו איהו בתרועה במהירו כו'.</w:t>
      </w:r>
      <w:r>
        <w:rPr>
          <w:rtl/>
        </w:rPr>
        <w:t xml:space="preserve"> רוצה לומר דגלותא הוא בתקיעה ושברים, פעם בקשיו - והוא מותנא לשבטין כמו בעשרה הרוגי מלכות וכן למשיח דסביל ולמשיח בן יוסף, ופעם הוא באריכו - מטה כו' (תרועה). והענין הוא לפי הדור - אם יכולים לקבל, ולפי הזכיות, ותרועה - הוא על חבלי משיח, דוחקא בתר דוחקא, כמו המעוברת שבעיבורה פעם סובלת צער ופעם בנייחא לה ובלידה חבלים יאחזון לה, חבל בתר חבל, וכן בחבלי משיח - סימן הלידה, וכמו שאמרו (ברכות ו ע"ב) אגרא דכל</w:t>
      </w:r>
      <w:r>
        <w:rPr>
          <w:rFonts w:hint="cs"/>
          <w:rtl/>
        </w:rPr>
        <w:t>ה</w:t>
      </w:r>
      <w:r>
        <w:rPr>
          <w:rtl/>
        </w:rPr>
        <w:t xml:space="preserve"> דוחקא ועיין בזהר פרשת בלק קצ"ט ב':</w:t>
      </w:r>
    </w:p>
  </w:footnote>
  <w:footnote w:id="3534">
    <w:p w:rsidR="00A13282" w:rsidRDefault="00A13282" w:rsidP="003841DB">
      <w:pPr>
        <w:pStyle w:val="a5"/>
      </w:pPr>
      <w:r>
        <w:rPr>
          <w:rStyle w:val="a7"/>
        </w:rPr>
        <w:footnoteRef/>
      </w:r>
      <w:r>
        <w:t xml:space="preserve"> </w:t>
      </w:r>
      <w:r>
        <w:rPr>
          <w:b/>
          <w:bCs/>
          <w:rtl/>
        </w:rPr>
        <w:t xml:space="preserve"> ועוד ההיא חולה כד כו'.</w:t>
      </w:r>
      <w:r>
        <w:rPr>
          <w:rtl/>
        </w:rPr>
        <w:t xml:space="preserve"> רוצה לומר דלא עסקין באורייתא וקבלה, כמו שאומר לקמן בתיקון ל’ ע"ו ב':</w:t>
      </w:r>
    </w:p>
  </w:footnote>
  <w:footnote w:id="3535">
    <w:p w:rsidR="00A13282" w:rsidRDefault="00A13282" w:rsidP="003841DB">
      <w:pPr>
        <w:pStyle w:val="a5"/>
      </w:pPr>
      <w:r>
        <w:rPr>
          <w:rStyle w:val="a7"/>
        </w:rPr>
        <w:footnoteRef/>
      </w:r>
      <w:r>
        <w:t xml:space="preserve"> </w:t>
      </w:r>
      <w:r>
        <w:rPr>
          <w:b/>
          <w:bCs/>
          <w:rtl/>
        </w:rPr>
        <w:t xml:space="preserve"> ולא אתחזרת כו'.</w:t>
      </w:r>
      <w:r>
        <w:rPr>
          <w:rtl/>
        </w:rPr>
        <w:t xml:space="preserve"> דורוח אלקים כו' הוא רוחו של משיח שהוא רעיא מהימנא:</w:t>
      </w:r>
    </w:p>
  </w:footnote>
  <w:footnote w:id="3536">
    <w:p w:rsidR="00A13282" w:rsidRDefault="00A13282" w:rsidP="003841DB">
      <w:pPr>
        <w:pStyle w:val="a5"/>
      </w:pPr>
      <w:r>
        <w:rPr>
          <w:rStyle w:val="a7"/>
        </w:rPr>
        <w:footnoteRef/>
      </w:r>
      <w:r>
        <w:t xml:space="preserve"> </w:t>
      </w:r>
      <w:r>
        <w:rPr>
          <w:b/>
          <w:bCs/>
          <w:rtl/>
        </w:rPr>
        <w:t xml:space="preserve"> בשושנים.</w:t>
      </w:r>
      <w:r>
        <w:rPr>
          <w:rtl/>
        </w:rPr>
        <w:t xml:space="preserve"> תרין כחדא - בית ראשון  ושני כמו שאומר למטה דאומי דלא ייעול בדא כו':</w:t>
      </w:r>
    </w:p>
  </w:footnote>
  <w:footnote w:id="3537">
    <w:p w:rsidR="00A13282" w:rsidRDefault="00A13282" w:rsidP="003841DB">
      <w:pPr>
        <w:pStyle w:val="a5"/>
      </w:pPr>
      <w:r>
        <w:rPr>
          <w:rStyle w:val="a7"/>
        </w:rPr>
        <w:footnoteRef/>
      </w:r>
      <w:r>
        <w:t xml:space="preserve"> </w:t>
      </w:r>
      <w:r>
        <w:rPr>
          <w:b/>
          <w:bCs/>
          <w:rtl/>
        </w:rPr>
        <w:t xml:space="preserve"> ואייתי לה תפוח.</w:t>
      </w:r>
      <w:r>
        <w:rPr>
          <w:rtl/>
        </w:rPr>
        <w:t xml:space="preserve"> הוא דרגא דחג"ת בג' גוונין וכמו שאומר באידרא רבה קל"ג ב' והוא דרגא דרעיא מהימנא וזה שאומר ואשתמודעת לגביה שמכרת מיד בו:</w:t>
      </w:r>
    </w:p>
  </w:footnote>
  <w:footnote w:id="3538">
    <w:p w:rsidR="00A13282" w:rsidRDefault="00A13282" w:rsidP="003841DB">
      <w:pPr>
        <w:pStyle w:val="a5"/>
      </w:pPr>
      <w:r>
        <w:rPr>
          <w:rStyle w:val="a7"/>
        </w:rPr>
        <w:footnoteRef/>
      </w:r>
      <w:r>
        <w:t xml:space="preserve"> </w:t>
      </w:r>
      <w:r>
        <w:rPr>
          <w:b/>
          <w:bCs/>
          <w:rtl/>
        </w:rPr>
        <w:t xml:space="preserve"> ושוי לחוטמא.</w:t>
      </w:r>
      <w:r>
        <w:rPr>
          <w:rtl/>
        </w:rPr>
        <w:t xml:space="preserve"> כמו שכתוב (שה"ש ז ט) וריח אפך כתפוחים וכמו שאומר בתיקון כ”ו:</w:t>
      </w:r>
    </w:p>
  </w:footnote>
  <w:footnote w:id="3539">
    <w:p w:rsidR="00A13282" w:rsidRDefault="00A13282" w:rsidP="003841DB">
      <w:pPr>
        <w:pStyle w:val="a5"/>
      </w:pPr>
      <w:r>
        <w:rPr>
          <w:rStyle w:val="a7"/>
        </w:rPr>
        <w:footnoteRef/>
      </w:r>
      <w:r>
        <w:t xml:space="preserve"> </w:t>
      </w:r>
      <w:r>
        <w:rPr>
          <w:b/>
          <w:bCs/>
          <w:rtl/>
        </w:rPr>
        <w:t xml:space="preserve"> וארח ליה.</w:t>
      </w:r>
      <w:r>
        <w:rPr>
          <w:rtl/>
        </w:rPr>
        <w:t xml:space="preserve"> כמו שכתוב (ישעיהו יא ג) והריחו ביראת ה', שיראת ה' מריח על ידו:</w:t>
      </w:r>
    </w:p>
  </w:footnote>
  <w:footnote w:id="3540">
    <w:p w:rsidR="00A13282" w:rsidRDefault="00A13282" w:rsidP="003841DB">
      <w:pPr>
        <w:pStyle w:val="a5"/>
      </w:pPr>
      <w:r>
        <w:rPr>
          <w:rStyle w:val="a7"/>
        </w:rPr>
        <w:footnoteRef/>
      </w:r>
      <w:r>
        <w:t xml:space="preserve"> </w:t>
      </w:r>
      <w:r>
        <w:rPr>
          <w:b/>
          <w:bCs/>
          <w:rtl/>
        </w:rPr>
        <w:t xml:space="preserve"> כן דודי כו'.</w:t>
      </w:r>
      <w:r>
        <w:rPr>
          <w:rtl/>
        </w:rPr>
        <w:t xml:space="preserve"> והוא רעיא מהימנא דרגא דעמודא דאמצעיתא:</w:t>
      </w:r>
    </w:p>
  </w:footnote>
  <w:footnote w:id="3541">
    <w:p w:rsidR="00A13282" w:rsidRDefault="00A13282" w:rsidP="003841DB">
      <w:pPr>
        <w:pStyle w:val="a5"/>
      </w:pPr>
      <w:r>
        <w:rPr>
          <w:rStyle w:val="a7"/>
        </w:rPr>
        <w:footnoteRef/>
      </w:r>
      <w:r>
        <w:t xml:space="preserve"> </w:t>
      </w:r>
      <w:r>
        <w:rPr>
          <w:b/>
          <w:bCs/>
          <w:rtl/>
        </w:rPr>
        <w:t>מתמן רמונים.</w:t>
      </w:r>
      <w:r>
        <w:rPr>
          <w:rtl/>
        </w:rPr>
        <w:t xml:space="preserve"> הן נו"ה כמו שאומר לקמן תיקון כ”ו וזה שאומר ייעול לגנתא שנה"י הן בנוקבא:</w:t>
      </w:r>
    </w:p>
  </w:footnote>
  <w:footnote w:id="3542">
    <w:p w:rsidR="00A13282" w:rsidRDefault="00A13282" w:rsidP="003841DB">
      <w:pPr>
        <w:pStyle w:val="a5"/>
      </w:pPr>
      <w:r>
        <w:rPr>
          <w:rStyle w:val="a7"/>
        </w:rPr>
        <w:footnoteRef/>
      </w:r>
      <w:r>
        <w:t xml:space="preserve"> </w:t>
      </w:r>
      <w:r>
        <w:rPr>
          <w:b/>
          <w:bCs/>
          <w:rtl/>
        </w:rPr>
        <w:t xml:space="preserve"> ולקיט אגוז.</w:t>
      </w:r>
      <w:r>
        <w:rPr>
          <w:rtl/>
        </w:rPr>
        <w:t xml:space="preserve"> הוא צדיק כמו שאומר שם והן שית דפיקין דו"ק דרוח כנ"ל:</w:t>
      </w:r>
    </w:p>
  </w:footnote>
  <w:footnote w:id="3543">
    <w:p w:rsidR="00A13282" w:rsidRDefault="00A13282" w:rsidP="003841DB">
      <w:pPr>
        <w:pStyle w:val="a5"/>
      </w:pPr>
      <w:r>
        <w:rPr>
          <w:rStyle w:val="a7"/>
        </w:rPr>
        <w:footnoteRef/>
      </w:r>
      <w:r>
        <w:t xml:space="preserve"> </w:t>
      </w:r>
      <w:r>
        <w:rPr>
          <w:b/>
          <w:bCs/>
          <w:rtl/>
        </w:rPr>
        <w:t xml:space="preserve"> אל גנת כו'.</w:t>
      </w:r>
      <w:r>
        <w:rPr>
          <w:rtl/>
        </w:rPr>
        <w:t xml:space="preserve"> עיין לקמן תיקון כ”ו:</w:t>
      </w:r>
    </w:p>
  </w:footnote>
  <w:footnote w:id="3544">
    <w:p w:rsidR="00A13282" w:rsidRDefault="00A13282" w:rsidP="003841DB">
      <w:pPr>
        <w:pStyle w:val="a5"/>
      </w:pPr>
      <w:r>
        <w:rPr>
          <w:rStyle w:val="a7"/>
        </w:rPr>
        <w:footnoteRef/>
      </w:r>
      <w:r>
        <w:t xml:space="preserve"> </w:t>
      </w:r>
      <w:r>
        <w:rPr>
          <w:b/>
          <w:bCs/>
          <w:rtl/>
        </w:rPr>
        <w:t xml:space="preserve"> תלתא קלין.</w:t>
      </w:r>
      <w:r>
        <w:rPr>
          <w:rtl/>
        </w:rPr>
        <w:t xml:space="preserve"> הן תלת דפיקין בסליקו, והיא חיה השלישית - ת"ת כולל חג"ת וכמו שמפרש והולך דודאי כו':</w:t>
      </w:r>
    </w:p>
  </w:footnote>
  <w:footnote w:id="3545">
    <w:p w:rsidR="00A13282" w:rsidRDefault="00A13282" w:rsidP="003841DB">
      <w:pPr>
        <w:pStyle w:val="a5"/>
        <w:rPr>
          <w:rtl/>
        </w:rPr>
      </w:pPr>
      <w:r>
        <w:rPr>
          <w:rStyle w:val="a7"/>
        </w:rPr>
        <w:footnoteRef/>
      </w:r>
      <w:r>
        <w:t xml:space="preserve"> </w:t>
      </w:r>
      <w:r>
        <w:rPr>
          <w:b/>
          <w:bCs/>
          <w:rtl/>
        </w:rPr>
        <w:t xml:space="preserve"> לפום שעתא כו'.</w:t>
      </w:r>
      <w:r>
        <w:rPr>
          <w:rtl/>
        </w:rPr>
        <w:t xml:space="preserve"> השתא נחיתת להורות ג' דפיקין האחרונים, ולזה תרין שושנים כמו שאומר בגין כו'. (כאן נראה כי נמחקו איזה תיבות מגליון שלמטה):</w:t>
      </w:r>
    </w:p>
    <w:p w:rsidR="00A13282" w:rsidRDefault="00A13282" w:rsidP="003841DB">
      <w:pPr>
        <w:pStyle w:val="a5"/>
      </w:pPr>
    </w:p>
  </w:footnote>
  <w:footnote w:id="3546">
    <w:p w:rsidR="00A13282" w:rsidRDefault="00A13282" w:rsidP="003841DB">
      <w:pPr>
        <w:pStyle w:val="a5"/>
      </w:pPr>
      <w:r>
        <w:rPr>
          <w:rStyle w:val="a7"/>
        </w:rPr>
        <w:footnoteRef/>
      </w:r>
      <w:r>
        <w:t xml:space="preserve"> </w:t>
      </w:r>
      <w:r>
        <w:rPr>
          <w:b/>
          <w:bCs/>
          <w:rtl/>
        </w:rPr>
        <w:t>תיקון כ"ו פתח ר"ש ואמר אני לדודי ואיהו ק"ש כו'.</w:t>
      </w:r>
      <w:r>
        <w:rPr>
          <w:rtl/>
        </w:rPr>
        <w:t xml:space="preserve"> כמו שאמרו ברעיא מהימנא פ' ואתחנן רס"ג א' למלקט שושנים, תרי"ג, רזא דזו"נ, שמי וזכרי, ופז - פנים ואחורים, ופשוטו דרגא דג"ר:</w:t>
      </w:r>
    </w:p>
  </w:footnote>
  <w:footnote w:id="3547">
    <w:p w:rsidR="00A13282" w:rsidRDefault="00A13282" w:rsidP="003841DB">
      <w:pPr>
        <w:pStyle w:val="a5"/>
      </w:pPr>
      <w:r>
        <w:rPr>
          <w:rStyle w:val="a7"/>
        </w:rPr>
        <w:footnoteRef/>
      </w:r>
      <w:r>
        <w:t xml:space="preserve"> </w:t>
      </w:r>
      <w:r>
        <w:rPr>
          <w:b/>
          <w:bCs/>
          <w:rtl/>
        </w:rPr>
        <w:t xml:space="preserve"> ותלת עשר עלין מלגאו כו' שית כו'.</w:t>
      </w:r>
      <w:r>
        <w:rPr>
          <w:rtl/>
        </w:rPr>
        <w:t xml:space="preserve"> והוא וא"ו ו"ו, ב' מיני העלין שאחד נוטה לימין והשני לשמאל כידוע ואחד השושנה שנכללת, וכן ה' עלין הוא ה' בתראה והשושנה נכללת עמהן גם כן במילוי אלף, וכן כ"ה גרעינין הן יו"ד ה"א שהן כאחד, ושושנה גם כן באלף כנ"ל שאלף בכל מקום הוא הכלילות באחד - כלל השושנה, ונכללת בכל הג' דרגין - ג"ר, ו"ק, מלכות - ג' דרגין דשושנה - שושנה ושרביט ותפוח, כמו שאומר לקמן בתיקון ל”ח (וכנגד הג' אלפין אלו דמ"ה - ג' אלפין בשמע):</w:t>
      </w:r>
    </w:p>
  </w:footnote>
  <w:footnote w:id="3548">
    <w:p w:rsidR="00A13282" w:rsidRDefault="00A13282" w:rsidP="003841DB">
      <w:pPr>
        <w:pStyle w:val="a5"/>
      </w:pPr>
      <w:r>
        <w:rPr>
          <w:rStyle w:val="a7"/>
        </w:rPr>
        <w:footnoteRef/>
      </w:r>
      <w:r>
        <w:t xml:space="preserve"> </w:t>
      </w:r>
      <w:r>
        <w:rPr>
          <w:b/>
          <w:bCs/>
          <w:rtl/>
        </w:rPr>
        <w:t xml:space="preserve"> ודא ב' דבראשי' כו'.</w:t>
      </w:r>
      <w:r>
        <w:rPr>
          <w:rtl/>
        </w:rPr>
        <w:t xml:space="preserve"> רוצה לומר ב' דבראשית - הוא על ב' שושנים, חד מתחיל ראשית כו' עד ויאמר, תניינא - יהי אור כו', כמו שמפרש והולך, והן יראה ואהבה כמו שאומר למטה, והוא כמו שאומר בזהר פרשת בראשית י"א ב' בראשית כו' יראת ה' כו' מלרע אית יראה רעה כו', והיינו והארץ היתה וזהו חוחים דילה, פקודא תניינא דא כו' דכתיב ויאמר אלקים יהי אור כו':</w:t>
      </w:r>
    </w:p>
  </w:footnote>
  <w:footnote w:id="3549">
    <w:p w:rsidR="00A13282" w:rsidRDefault="00A13282" w:rsidP="003841DB">
      <w:pPr>
        <w:pStyle w:val="a5"/>
      </w:pPr>
      <w:r>
        <w:rPr>
          <w:rStyle w:val="a7"/>
        </w:rPr>
        <w:footnoteRef/>
      </w:r>
      <w:r>
        <w:t xml:space="preserve"> </w:t>
      </w:r>
      <w:r>
        <w:rPr>
          <w:b/>
          <w:bCs/>
          <w:rtl/>
        </w:rPr>
        <w:t xml:space="preserve"> כד ייתי פורקנא.</w:t>
      </w:r>
      <w:r>
        <w:rPr>
          <w:rtl/>
        </w:rPr>
        <w:t xml:space="preserve"> שהוא ורוח אלקים מרחפת:</w:t>
      </w:r>
    </w:p>
  </w:footnote>
  <w:footnote w:id="3550">
    <w:p w:rsidR="00A13282" w:rsidRDefault="00A13282" w:rsidP="003841DB">
      <w:pPr>
        <w:pStyle w:val="a5"/>
      </w:pPr>
      <w:r>
        <w:rPr>
          <w:rStyle w:val="a7"/>
        </w:rPr>
        <w:footnoteRef/>
      </w:r>
      <w:r>
        <w:t xml:space="preserve"> </w:t>
      </w:r>
      <w:r>
        <w:rPr>
          <w:b/>
          <w:bCs/>
          <w:rtl/>
        </w:rPr>
        <w:t xml:space="preserve"> תהיה כשושנה כו'.</w:t>
      </w:r>
      <w:r>
        <w:rPr>
          <w:rtl/>
        </w:rPr>
        <w:t xml:space="preserve"> כמו שכתוב (ישעיהו ל כו) והיה אור הלבנה כו':</w:t>
      </w:r>
    </w:p>
  </w:footnote>
  <w:footnote w:id="3551">
    <w:p w:rsidR="00A13282" w:rsidRDefault="00A13282" w:rsidP="003841DB">
      <w:pPr>
        <w:pStyle w:val="a5"/>
      </w:pPr>
      <w:r>
        <w:rPr>
          <w:rStyle w:val="a7"/>
        </w:rPr>
        <w:footnoteRef/>
      </w:r>
      <w:r>
        <w:t xml:space="preserve"> </w:t>
      </w:r>
      <w:r>
        <w:rPr>
          <w:b/>
          <w:bCs/>
          <w:rtl/>
        </w:rPr>
        <w:t xml:space="preserve"> דאתמר בה הבקר אור.</w:t>
      </w:r>
      <w:r>
        <w:rPr>
          <w:rtl/>
        </w:rPr>
        <w:t xml:space="preserve"> רוצה לומר הבקר הוא שושנה דבקר דקריאת שמע דשחרית ושם אור, ה' פעמים אור כמו שמפרש והולך:</w:t>
      </w:r>
    </w:p>
  </w:footnote>
  <w:footnote w:id="3552">
    <w:p w:rsidR="00A13282" w:rsidRDefault="00A13282" w:rsidP="003841DB">
      <w:pPr>
        <w:pStyle w:val="a5"/>
      </w:pPr>
      <w:r>
        <w:rPr>
          <w:rStyle w:val="a7"/>
        </w:rPr>
        <w:footnoteRef/>
      </w:r>
      <w:r>
        <w:t xml:space="preserve"> </w:t>
      </w:r>
      <w:r>
        <w:rPr>
          <w:b/>
          <w:bCs/>
          <w:rtl/>
        </w:rPr>
        <w:t xml:space="preserve"> והאנשים שולחו.</w:t>
      </w:r>
      <w:r>
        <w:rPr>
          <w:rtl/>
        </w:rPr>
        <w:t xml:space="preserve"> הם חוחין דילה כמו שאמרו בזהר פרשת ויחי ר"ג ב' אר"ש ת"ח כו' והאנשים שולחו כו' דל"ל לקיימא בסטר ימינא כו':</w:t>
      </w:r>
    </w:p>
  </w:footnote>
  <w:footnote w:id="3553">
    <w:p w:rsidR="00A13282" w:rsidRDefault="00A13282" w:rsidP="003841DB">
      <w:pPr>
        <w:pStyle w:val="a5"/>
      </w:pPr>
      <w:r>
        <w:rPr>
          <w:rStyle w:val="a7"/>
        </w:rPr>
        <w:footnoteRef/>
      </w:r>
      <w:r>
        <w:t xml:space="preserve"> </w:t>
      </w:r>
      <w:r>
        <w:rPr>
          <w:b/>
          <w:bCs/>
          <w:rtl/>
        </w:rPr>
        <w:t xml:space="preserve"> ואיהו עד"א כו'.</w:t>
      </w:r>
      <w:r>
        <w:rPr>
          <w:rtl/>
        </w:rPr>
        <w:t xml:space="preserve"> רוצה לומר שהוי"ה ב' פעמים - אחד הוא בעמודא דאמצעיתא שהוא רועה בשושנים, רועה רוצה לומר מתחבר - שהוא בריח התיכון מן העולם ועד העולם, בשושנים רוצה לומר ב' שושנים ונכללים ב' פעמים אחד בו לאחד והוא וא"ו של שם מלא וזה שאומר וחושבניה אחד והוא יום אחד כמו שאמרו בזהר פרשת אמור צ"ו א' הא חזינא בפסח ז' כו' פתח כו':</w:t>
      </w:r>
    </w:p>
  </w:footnote>
  <w:footnote w:id="3554">
    <w:p w:rsidR="00A13282" w:rsidRDefault="00A13282" w:rsidP="003841DB">
      <w:pPr>
        <w:pStyle w:val="a5"/>
      </w:pPr>
      <w:r>
        <w:rPr>
          <w:rStyle w:val="a7"/>
        </w:rPr>
        <w:footnoteRef/>
      </w:r>
      <w:r>
        <w:t xml:space="preserve"> </w:t>
      </w:r>
      <w:r>
        <w:rPr>
          <w:b/>
          <w:bCs/>
          <w:rtl/>
        </w:rPr>
        <w:t xml:space="preserve"> ובה אתמר אם כו'.</w:t>
      </w:r>
      <w:r>
        <w:rPr>
          <w:rtl/>
        </w:rPr>
        <w:t xml:space="preserve"> רוצה לומר ששושנה תתאה אומרת כן:</w:t>
      </w:r>
    </w:p>
  </w:footnote>
  <w:footnote w:id="3555">
    <w:p w:rsidR="00A13282" w:rsidRDefault="00A13282" w:rsidP="003841DB">
      <w:pPr>
        <w:pStyle w:val="a5"/>
      </w:pPr>
      <w:r>
        <w:rPr>
          <w:rStyle w:val="a7"/>
        </w:rPr>
        <w:footnoteRef/>
      </w:r>
      <w:r>
        <w:t xml:space="preserve"> </w:t>
      </w:r>
      <w:r>
        <w:rPr>
          <w:b/>
          <w:bCs/>
          <w:rtl/>
        </w:rPr>
        <w:t xml:space="preserve"> ובמה כו' בימינה.</w:t>
      </w:r>
      <w:r>
        <w:rPr>
          <w:rtl/>
        </w:rPr>
        <w:t xml:space="preserve"> רוצה לומר תורה, (דברים לג ב) מימינו כו', נשבע ה' בימינו (ישעיהו סב ח), וזהו על פני המים (בראשית א ב), וזה שאומר עד דייתי כו', וזהו ורוח כו' על כו', שתחלה צריך לתורה ואח"כ בא משיח, אלא שמוזהרין שלא ידחקו את הקץ וזה שאומר בימינא, שעתה (איכה ב ג) השיב אחור ימינו כמו שאמרו (חגיגה ה ע"ב) כיון שגלו אין לך ביטול כו', וכמו שאמרו בכמה מקומות במה יתערון למשיח - באורייתא, אלא שמושבעין שלא יצאו מאליהם לבנות בית המקדש - שושנה דלעילא - עד שיבא:</w:t>
      </w:r>
    </w:p>
  </w:footnote>
  <w:footnote w:id="3556">
    <w:p w:rsidR="00A13282" w:rsidRDefault="00A13282" w:rsidP="003841DB">
      <w:pPr>
        <w:pStyle w:val="a5"/>
      </w:pPr>
      <w:r>
        <w:rPr>
          <w:rStyle w:val="a7"/>
        </w:rPr>
        <w:footnoteRef/>
      </w:r>
      <w:r>
        <w:t xml:space="preserve"> </w:t>
      </w:r>
      <w:r>
        <w:rPr>
          <w:b/>
          <w:bCs/>
          <w:rtl/>
        </w:rPr>
        <w:t xml:space="preserve"> ברוחא דא ארחת כו'.</w:t>
      </w:r>
      <w:r>
        <w:rPr>
          <w:rtl/>
        </w:rPr>
        <w:t xml:space="preserve"> כמו שכתוב ונחה עליו כו' (ישעיהו יא ב), והריחו ביראת ה' (שם ג), שריחו יגיע ליראת ה' - שושנה תתאה הנ"ל :</w:t>
      </w:r>
    </w:p>
  </w:footnote>
  <w:footnote w:id="3557">
    <w:p w:rsidR="00A13282" w:rsidRDefault="00A13282" w:rsidP="003841DB">
      <w:pPr>
        <w:pStyle w:val="a5"/>
      </w:pPr>
      <w:r>
        <w:rPr>
          <w:rStyle w:val="a7"/>
        </w:rPr>
        <w:footnoteRef/>
      </w:r>
      <w:r>
        <w:t xml:space="preserve"> </w:t>
      </w:r>
      <w:r>
        <w:rPr>
          <w:b/>
          <w:bCs/>
          <w:rtl/>
        </w:rPr>
        <w:t xml:space="preserve"> ואתסיאת.</w:t>
      </w:r>
      <w:r>
        <w:rPr>
          <w:rtl/>
        </w:rPr>
        <w:t xml:space="preserve"> כמו שכתוב (שה"ש ב ה) סמכוני כו' בתפוחים כי חולת אהבה משושנה עילאה הנ"ל וזה שאומר ואיהי ארח ריח כו':</w:t>
      </w:r>
    </w:p>
  </w:footnote>
  <w:footnote w:id="3558">
    <w:p w:rsidR="00A13282" w:rsidRDefault="00A13282" w:rsidP="003841DB">
      <w:pPr>
        <w:pStyle w:val="a5"/>
      </w:pPr>
      <w:r>
        <w:rPr>
          <w:rStyle w:val="a7"/>
        </w:rPr>
        <w:footnoteRef/>
      </w:r>
      <w:r>
        <w:t xml:space="preserve"> </w:t>
      </w:r>
      <w:r>
        <w:rPr>
          <w:b/>
          <w:bCs/>
          <w:rtl/>
        </w:rPr>
        <w:t xml:space="preserve"> (</w:t>
      </w:r>
      <w:r>
        <w:rPr>
          <w:rtl/>
        </w:rPr>
        <w:t>תרין תפוחים. כמו שכתוב בתפוחים - ב' תפוחים והן ב' משיחין וזה שאומר ומאי ניהו כו', ששם הם ב' משיחים כמו שאמרו בכמה מקומות ואמר בזהר פרשת תרומה קס"ט ב' רביעאה כו' חמישאה שוש תשיש כו' וכנישו דבנין ורחימו כו' ושם הריח דקטורת בוסמין דשחיק בשחקים ושחקת כו' וכמו שאמרו בסוף תיקוני זהר חדש במתני' ו' נצח כו'):</w:t>
      </w:r>
    </w:p>
  </w:footnote>
  <w:footnote w:id="3559">
    <w:p w:rsidR="00A13282" w:rsidRDefault="00A13282" w:rsidP="003841DB">
      <w:pPr>
        <w:pStyle w:val="a5"/>
      </w:pPr>
      <w:r>
        <w:rPr>
          <w:rStyle w:val="a7"/>
        </w:rPr>
        <w:footnoteRef/>
      </w:r>
      <w:r>
        <w:t xml:space="preserve"> </w:t>
      </w:r>
      <w:r>
        <w:rPr>
          <w:b/>
          <w:bCs/>
          <w:rtl/>
        </w:rPr>
        <w:t>וריח אפך.</w:t>
      </w:r>
      <w:r>
        <w:rPr>
          <w:rtl/>
        </w:rPr>
        <w:t xml:space="preserve"> רוצה לומר הריח שאת מריח באפך הוא ריח של תפוחים (הוא כריח השדה אשר כו' [בראשית כז כז] ואמרו בגמרא (תענית כט ע"ב) שדה של תפוחים, והוא חקל תפוחים בנו"ה כידוע ואמר באידרא רבה שתפוח - ביה ג' גוונין, ובשני - הוא ששה, והן שוקיו עמודי  שש). ואמר כתפוחים - שקבלה הריח באפיה ומרחת אפה גם כן באותו הריח כי היא אור חוזר, כמה דיהבין לה כו':</w:t>
      </w:r>
    </w:p>
  </w:footnote>
  <w:footnote w:id="3560">
    <w:p w:rsidR="00A13282" w:rsidRDefault="00A13282" w:rsidP="003841DB">
      <w:pPr>
        <w:pStyle w:val="a5"/>
      </w:pPr>
      <w:r>
        <w:rPr>
          <w:rStyle w:val="a7"/>
        </w:rPr>
        <w:footnoteRef/>
      </w:r>
      <w:r>
        <w:t xml:space="preserve"> </w:t>
      </w:r>
      <w:r>
        <w:rPr>
          <w:rtl/>
        </w:rPr>
        <w:t xml:space="preserve"> (מתל"ה) </w:t>
      </w:r>
      <w:r>
        <w:rPr>
          <w:b/>
          <w:bCs/>
          <w:rtl/>
        </w:rPr>
        <w:t>ומאי ניהו תרין סמכי קשוט ואינון תרין רמונים.</w:t>
      </w:r>
      <w:r>
        <w:rPr>
          <w:rtl/>
        </w:rPr>
        <w:t xml:space="preserve"> יש לקיים גירסא זו, דבאמת אינון תפוחים גם כן כמו שאומר לקמן קט"ז א' וריח אפך כתפוחים תפוחי זהב כו', וכן לקמן קמ"ב א' אבל תרין נוקבין דחוטמא כו' ומה שאומר לעיל ס"ט ב' עד דייתי רעיא מהימנא רחימו דילה כו' ואייתי לה תפוח כו' ואפיק מתמן רמונים כו', הענין, כי תפוחים הן נו"ה אבל ריחא דתפוח הוא רוחא דקודשא דרעיא מהימנא, סוד הדעת, כמו שאומר לקמן קמ"ב א' לקבל תרין תפוחים די בהון עתיד לאפקא רוחא דקודשא דאיהו רעיא מהימנא דלעילא דביה אתיישבת נפשא דילא כו', והענין, כמו שכתוב ונחה עליו רוח ה' כו' דתשרה על גבי ב' משיחין, רוחא דרעיא מהימנא - סוד הדעת דבגלותא הוא כבד פה וכבד לשון, ואזיל בגלותא (ישעיהו מ ו) קול אומר קרא, ובהון ב' בחינות כי נו"ה כלילן זה בזה וכמו שאמרו בהיכלות בהיכל ב' וג', והן משה ואהרן, סוד משה הוא סוד הריח וסוד אהרן הוא אכילה דקרבנין, שסוד הקרבנין הוא לאשי שהן וושט כמו שאמרו בזהר פ' פנחס ומשה סוד הקנה, יעננו בקול, דבור ומעשה, שכנגדן ב' מזבחות - מזבח הקטורת לריח, והחיצון - לחמי לאשי, חוטם ופה, ולכן שוי תפוח לחוטמא לב' נוקבין דחוטמא ואח"כ יהיב לה מעסיס רמונים בפומא בשפתים שהן ג"כ נו"ה, והן ב' בחינות דחוטמא ופומא, ותפוח הוא לריח כמו שאמרו (תענית כט ע"ב) כריח שדה אשר ברכו ה' כריח שדה של תפוחים:</w:t>
      </w:r>
    </w:p>
  </w:footnote>
  <w:footnote w:id="3561">
    <w:p w:rsidR="00A13282" w:rsidRDefault="00A13282" w:rsidP="003841DB">
      <w:pPr>
        <w:pStyle w:val="a5"/>
      </w:pPr>
      <w:r>
        <w:rPr>
          <w:rStyle w:val="a7"/>
        </w:rPr>
        <w:footnoteRef/>
      </w:r>
      <w:r>
        <w:t xml:space="preserve"> </w:t>
      </w:r>
      <w:r>
        <w:rPr>
          <w:b/>
          <w:bCs/>
          <w:rtl/>
        </w:rPr>
        <w:t xml:space="preserve"> ואינון תרי רמונים.</w:t>
      </w:r>
      <w:r>
        <w:rPr>
          <w:rtl/>
        </w:rPr>
        <w:t xml:space="preserve"> (אגב מפרש שאר כינויין) שלכן עשה שלמה רמונים לב' העמודים, ואמר לכה דודי כו' הנצו הרמונים שם אתן את דודי לך - התעוררות האהבה:</w:t>
      </w:r>
    </w:p>
  </w:footnote>
  <w:footnote w:id="3562">
    <w:p w:rsidR="00A13282" w:rsidRDefault="00A13282" w:rsidP="003841DB">
      <w:pPr>
        <w:pStyle w:val="a5"/>
      </w:pPr>
      <w:r>
        <w:rPr>
          <w:rStyle w:val="a7"/>
        </w:rPr>
        <w:footnoteRef/>
      </w:r>
      <w:r>
        <w:t xml:space="preserve"> </w:t>
      </w:r>
      <w:r>
        <w:rPr>
          <w:b/>
          <w:bCs/>
          <w:rtl/>
        </w:rPr>
        <w:t xml:space="preserve"> גנת ג' כו'.</w:t>
      </w:r>
      <w:r>
        <w:rPr>
          <w:rtl/>
        </w:rPr>
        <w:t xml:space="preserve"> שהכל בה:</w:t>
      </w:r>
    </w:p>
  </w:footnote>
  <w:footnote w:id="3563">
    <w:p w:rsidR="00A13282" w:rsidRDefault="00A13282" w:rsidP="003841DB">
      <w:pPr>
        <w:pStyle w:val="a5"/>
      </w:pPr>
      <w:r>
        <w:rPr>
          <w:rStyle w:val="a7"/>
        </w:rPr>
        <w:footnoteRef/>
      </w:r>
      <w:r>
        <w:t xml:space="preserve"> </w:t>
      </w:r>
      <w:r>
        <w:rPr>
          <w:b/>
          <w:bCs/>
          <w:rtl/>
        </w:rPr>
        <w:t xml:space="preserve"> פרפראות כו'.</w:t>
      </w:r>
      <w:r>
        <w:rPr>
          <w:rtl/>
        </w:rPr>
        <w:t xml:space="preserve"> שהוא בחכמה דילה (שה"ש ז ה) ברכות בחשבון, (משנה אבות ג יח) פרפראות לחכמה עילאה כמו שאמרו בזהר פרשת בלק:</w:t>
      </w:r>
    </w:p>
  </w:footnote>
  <w:footnote w:id="3564">
    <w:p w:rsidR="00A13282" w:rsidRDefault="00A13282" w:rsidP="003841DB">
      <w:pPr>
        <w:pStyle w:val="a5"/>
      </w:pPr>
      <w:r>
        <w:rPr>
          <w:rStyle w:val="a7"/>
        </w:rPr>
        <w:footnoteRef/>
      </w:r>
      <w:r>
        <w:t xml:space="preserve"> </w:t>
      </w:r>
      <w:r>
        <w:rPr>
          <w:b/>
          <w:bCs/>
          <w:rtl/>
        </w:rPr>
        <w:t xml:space="preserve"> בחושבן פ"ו אלקים כו'.</w:t>
      </w:r>
      <w:r>
        <w:rPr>
          <w:rtl/>
        </w:rPr>
        <w:t xml:space="preserve"> נתבאר בתיקון כ”ב:</w:t>
      </w:r>
    </w:p>
  </w:footnote>
  <w:footnote w:id="3565">
    <w:p w:rsidR="00A13282" w:rsidRDefault="00A13282" w:rsidP="003841DB">
      <w:pPr>
        <w:pStyle w:val="a5"/>
      </w:pPr>
      <w:r>
        <w:rPr>
          <w:rStyle w:val="a7"/>
        </w:rPr>
        <w:footnoteRef/>
      </w:r>
      <w:r>
        <w:t xml:space="preserve"> </w:t>
      </w:r>
      <w:r>
        <w:rPr>
          <w:b/>
          <w:bCs/>
          <w:rtl/>
        </w:rPr>
        <w:t xml:space="preserve"> דאיהי כנוי בגי' מ"ם ה"א כו'.</w:t>
      </w:r>
      <w:r>
        <w:rPr>
          <w:rtl/>
        </w:rPr>
        <w:t xml:space="preserve"> רוצה לומר מ"ם ה"א גימטריה אלקים. ואם תעשה ל"י שבתוכו למ"ם, הם אותיות מ"ם ה"א ושם הוי"ה גם כן גימטריה מ"ה, והם מעידים על אחדות כי ה' הוא אלקים, ומעיד על אחדות עשר ספירות בעשר אותיות והן יחודו:</w:t>
      </w:r>
    </w:p>
  </w:footnote>
  <w:footnote w:id="3566">
    <w:p w:rsidR="00A13282" w:rsidRDefault="00A13282" w:rsidP="003841DB">
      <w:pPr>
        <w:pStyle w:val="a5"/>
      </w:pPr>
      <w:r>
        <w:rPr>
          <w:rStyle w:val="a7"/>
        </w:rPr>
        <w:footnoteRef/>
      </w:r>
      <w:r>
        <w:t xml:space="preserve"> </w:t>
      </w:r>
      <w:r>
        <w:rPr>
          <w:b/>
          <w:bCs/>
          <w:rtl/>
        </w:rPr>
        <w:t xml:space="preserve"> אית אחרנין בגי' דל"ל סוף.</w:t>
      </w:r>
      <w:r>
        <w:rPr>
          <w:rtl/>
        </w:rPr>
        <w:t xml:space="preserve"> רוצה לומר שחושבין מילוי ומילוי דמילוי עד אין סוף, וכן מכמה מינים עד אין סוף, ומפרש הטעם בגין דאינון פרפראות לחכמה דלית לה סוף. דחשבון וגימטריה הוא בחכמה דילה שהוא פרפרת לחכמה עליונה שעל זה אמרו (שם) תקופות וגימטריות כו', וחכמה הוא מים שאין להם סוף דהיא סליקת לאין סוף, וזה שאומר בספר יצירה פ"א עשר ספירות בלימה מדתן עשר שאין להם סוף וכמו שבארנו שם כי לכל דבר שבעולם יש תכלית לבד לחשבון, והטעם הוא כנ"ל שתלויין בחכמה:</w:t>
      </w:r>
    </w:p>
  </w:footnote>
  <w:footnote w:id="3567">
    <w:p w:rsidR="00A13282" w:rsidRDefault="00A13282" w:rsidP="003841DB">
      <w:pPr>
        <w:pStyle w:val="a5"/>
      </w:pPr>
      <w:r>
        <w:rPr>
          <w:rStyle w:val="a7"/>
        </w:rPr>
        <w:footnoteRef/>
      </w:r>
      <w:r>
        <w:t xml:space="preserve"> </w:t>
      </w:r>
      <w:r>
        <w:rPr>
          <w:b/>
          <w:bCs/>
          <w:rtl/>
        </w:rPr>
        <w:t xml:space="preserve"> ואיהו לא אשתני כו'.</w:t>
      </w:r>
      <w:r>
        <w:rPr>
          <w:rtl/>
        </w:rPr>
        <w:t xml:space="preserve"> רוצה לומר דכתיב (מלאכי ג ו) אני ה' לא שניתי, בין אני ובין ה' דלא אשתני דא מן דא וכמו שאומר למטה דודאי קב"ה כו':</w:t>
      </w:r>
    </w:p>
  </w:footnote>
  <w:footnote w:id="3568">
    <w:p w:rsidR="00A13282" w:rsidRDefault="00A13282" w:rsidP="003841DB">
      <w:pPr>
        <w:pStyle w:val="a5"/>
      </w:pPr>
      <w:r>
        <w:rPr>
          <w:rStyle w:val="a7"/>
        </w:rPr>
        <w:footnoteRef/>
      </w:r>
      <w:r>
        <w:t xml:space="preserve"> </w:t>
      </w:r>
      <w:r>
        <w:rPr>
          <w:b/>
          <w:bCs/>
          <w:rtl/>
        </w:rPr>
        <w:t xml:space="preserve"> אבל לגבי חייביא כו'.</w:t>
      </w:r>
      <w:r>
        <w:rPr>
          <w:rtl/>
        </w:rPr>
        <w:t xml:space="preserve"> דאסתתר בתורה בכמה כינויין דלא לאשתמודע ליה כולא אלא לצנועין והגונין, וכן אסתתר הקב"ה בעולמות בי"ע בכמה כינויין ולבושין, ולרשעים - עונותיכם מבדילים ביניכם לבין אלקיכם בכמה קליפין המבדילים והן לבושי קדרות דקב"ה מסתתר בהם וכמו שמפרש והולך אסתירה כו' למה כי דור כו':</w:t>
      </w:r>
    </w:p>
  </w:footnote>
  <w:footnote w:id="3569">
    <w:p w:rsidR="00A13282" w:rsidRDefault="00A13282" w:rsidP="003841DB">
      <w:pPr>
        <w:pStyle w:val="a5"/>
      </w:pPr>
      <w:r>
        <w:rPr>
          <w:rStyle w:val="a7"/>
        </w:rPr>
        <w:footnoteRef/>
      </w:r>
      <w:r>
        <w:t xml:space="preserve"> </w:t>
      </w:r>
      <w:r>
        <w:rPr>
          <w:b/>
          <w:bCs/>
          <w:rtl/>
        </w:rPr>
        <w:t xml:space="preserve"> דודאי קב"ה ושכינתא כו'.</w:t>
      </w:r>
      <w:r>
        <w:rPr>
          <w:rtl/>
        </w:rPr>
        <w:t xml:space="preserve"> כמו שאומר בסתרי אותיות פ' בראשית ז' ג' ואי תימא א"ה ה' בתראה דקאמרן איהי כו' דהא לא משמשי בה אלא אינון שמהן עילאין ולאו כינויין כו', עיין שם בארוכה:</w:t>
      </w:r>
    </w:p>
  </w:footnote>
  <w:footnote w:id="3570">
    <w:p w:rsidR="00A13282" w:rsidRDefault="00A13282" w:rsidP="003841DB">
      <w:pPr>
        <w:pStyle w:val="a5"/>
      </w:pPr>
      <w:r>
        <w:rPr>
          <w:rStyle w:val="a7"/>
        </w:rPr>
        <w:footnoteRef/>
      </w:r>
      <w:r>
        <w:t xml:space="preserve"> </w:t>
      </w:r>
      <w:r>
        <w:rPr>
          <w:b/>
          <w:bCs/>
          <w:rtl/>
        </w:rPr>
        <w:t xml:space="preserve"> ורעיא מהימנא איהו יתבר כו'.</w:t>
      </w:r>
      <w:r>
        <w:rPr>
          <w:rtl/>
        </w:rPr>
        <w:t xml:space="preserve"> כמו שכתוב (ישעיהו ל כ) ולא יכנף עוד מוריך והיו עיניך רואות את מוריך, (ישעיהו כה ט) הנה זה אלקינו קוינו לו, דבזמנא ההוא - (יחזקאל לו כה) וזרקתי עליכם מים טהורים וטהרתם מכל כו', (ירמיהו נ כ) ביום ההוא יבוקש חטאת כו' ולא תמצאנה כו', (מיכה ז טו) כימי צאתך מארץ מצרים אראנו נפלאות, (דברים ה ד) פנים בפנים דבר ה' עמכם:</w:t>
      </w:r>
    </w:p>
  </w:footnote>
  <w:footnote w:id="3571">
    <w:p w:rsidR="00A13282" w:rsidRDefault="00A13282" w:rsidP="003841DB">
      <w:pPr>
        <w:pStyle w:val="a5"/>
      </w:pPr>
      <w:r>
        <w:rPr>
          <w:rStyle w:val="a7"/>
        </w:rPr>
        <w:footnoteRef/>
      </w:r>
      <w:r>
        <w:t xml:space="preserve"> </w:t>
      </w:r>
      <w:r>
        <w:rPr>
          <w:b/>
          <w:bCs/>
          <w:rtl/>
        </w:rPr>
        <w:t xml:space="preserve"> לארבע סטרי דאגוזא.</w:t>
      </w:r>
      <w:r>
        <w:rPr>
          <w:rtl/>
        </w:rPr>
        <w:t xml:space="preserve"> דאגוזא עביד לארבע סטרין כעין ד' חיות, ד' אתוון דהוי"ה, וסובב ד' קליפין, קליפה ירוקא - תהו, והאבנא - בהו, וקליפה דקה שבו - חושך, וחללא דאגוזא - תהום, והוא גלות הזה כמו שאמרו (סנהדרין צז ע"ב) מקרא זה יורד ונוקב עד תהום כו', וכמו שאמרו (בראשית רבה ב) תהום זו מלכות הרביעית וכשם שתהום אין לו סוף כך כו', ומתוכו ורוח אלקים כו' - רוחו של משיח, רעיא מהימנא, מ"ה ש"היה ה"וא שיהיה כו', מוחא דאגוזא יתגלה:</w:t>
      </w:r>
    </w:p>
  </w:footnote>
  <w:footnote w:id="3572">
    <w:p w:rsidR="00A13282" w:rsidRDefault="00A13282" w:rsidP="003841DB">
      <w:pPr>
        <w:pStyle w:val="a5"/>
      </w:pPr>
      <w:r>
        <w:rPr>
          <w:rStyle w:val="a7"/>
        </w:rPr>
        <w:footnoteRef/>
      </w:r>
      <w:r>
        <w:t xml:space="preserve"> </w:t>
      </w:r>
      <w:r>
        <w:rPr>
          <w:b/>
          <w:bCs/>
          <w:rtl/>
        </w:rPr>
        <w:t xml:space="preserve"> ואית שנויין אחרנין לטב.</w:t>
      </w:r>
      <w:r>
        <w:rPr>
          <w:rtl/>
        </w:rPr>
        <w:t xml:space="preserve"> שיוכלו לקבל ושיוכל להתגלות אליהם, וכמו שכתוב (הושע יב יא) וביד הנביאים אדמה, וזה שאומר זמנין כו':</w:t>
      </w:r>
    </w:p>
  </w:footnote>
  <w:footnote w:id="3573">
    <w:p w:rsidR="00A13282" w:rsidRDefault="00A13282" w:rsidP="003841DB">
      <w:pPr>
        <w:pStyle w:val="a5"/>
      </w:pPr>
      <w:r>
        <w:rPr>
          <w:rStyle w:val="a7"/>
        </w:rPr>
        <w:footnoteRef/>
      </w:r>
      <w:r>
        <w:t xml:space="preserve"> </w:t>
      </w:r>
      <w:r>
        <w:rPr>
          <w:b/>
          <w:bCs/>
          <w:rtl/>
        </w:rPr>
        <w:t xml:space="preserve"> כפום עובדי'.</w:t>
      </w:r>
      <w:r>
        <w:rPr>
          <w:rtl/>
        </w:rPr>
        <w:t xml:space="preserve"> אם עובדיה ודרגיה בחסד - מתגליה ליה בדמות אריה, וכן בשאר וכן לפום גלגוליה אם בגלגול ראשון - באריה, כמו שאומר לקמן בתיקון ל”ב ובזהר חדש פ' יתרו:</w:t>
      </w:r>
    </w:p>
  </w:footnote>
  <w:footnote w:id="3574">
    <w:p w:rsidR="00A13282" w:rsidRDefault="00A13282" w:rsidP="003841DB">
      <w:pPr>
        <w:pStyle w:val="a5"/>
      </w:pPr>
      <w:r>
        <w:rPr>
          <w:rStyle w:val="a7"/>
        </w:rPr>
        <w:footnoteRef/>
      </w:r>
      <w:r>
        <w:t xml:space="preserve"> </w:t>
      </w:r>
      <w:r>
        <w:rPr>
          <w:b/>
          <w:bCs/>
          <w:rtl/>
        </w:rPr>
        <w:t xml:space="preserve"> זמנין כו'.</w:t>
      </w:r>
      <w:r>
        <w:rPr>
          <w:rtl/>
        </w:rPr>
        <w:t xml:space="preserve"> בד' חיות שהן כלל הכל:</w:t>
      </w:r>
    </w:p>
  </w:footnote>
  <w:footnote w:id="3575">
    <w:p w:rsidR="00A13282" w:rsidRDefault="00A13282" w:rsidP="003841DB">
      <w:pPr>
        <w:pStyle w:val="a5"/>
      </w:pPr>
      <w:r>
        <w:rPr>
          <w:rStyle w:val="a7"/>
        </w:rPr>
        <w:footnoteRef/>
      </w:r>
      <w:r>
        <w:t xml:space="preserve"> </w:t>
      </w:r>
      <w:r>
        <w:rPr>
          <w:b/>
          <w:bCs/>
          <w:rtl/>
        </w:rPr>
        <w:t xml:space="preserve"> דאדם סבא כו' באדם בחור.</w:t>
      </w:r>
      <w:r>
        <w:rPr>
          <w:rtl/>
        </w:rPr>
        <w:t xml:space="preserve"> כמו שאמרו (מכילתא בשלח מסכתא דשירה פרק ד) נגלה בסיני כזקן יושב בישיבה ובים כבחור במלחמה, וכמו שאמרו בחגיגה פ"ב לא קשיא כאן בישיבה כאן במלחמה דאמר מר כו':</w:t>
      </w:r>
    </w:p>
  </w:footnote>
  <w:footnote w:id="3576">
    <w:p w:rsidR="00A13282" w:rsidRDefault="00A13282" w:rsidP="003841DB">
      <w:pPr>
        <w:pStyle w:val="a5"/>
      </w:pPr>
      <w:r>
        <w:rPr>
          <w:rStyle w:val="a7"/>
        </w:rPr>
        <w:footnoteRef/>
      </w:r>
      <w:r>
        <w:t xml:space="preserve"> </w:t>
      </w:r>
      <w:r>
        <w:rPr>
          <w:b/>
          <w:bCs/>
          <w:rtl/>
        </w:rPr>
        <w:t xml:space="preserve"> ואתמר בהון כו'.</w:t>
      </w:r>
      <w:r>
        <w:rPr>
          <w:rtl/>
        </w:rPr>
        <w:t xml:space="preserve"> שהן הכירוהו תחילה ואמרו זה אלי כו' (סוטה יא ע"ב), ואמרו (שמות רבה כג) שהיו אמותיהן שואלין אותן מי פרנסך ואמרו בחור אחד כו':</w:t>
      </w:r>
    </w:p>
  </w:footnote>
  <w:footnote w:id="3577">
    <w:p w:rsidR="00A13282" w:rsidRDefault="00A13282" w:rsidP="003841DB">
      <w:pPr>
        <w:pStyle w:val="a5"/>
      </w:pPr>
      <w:r>
        <w:rPr>
          <w:rStyle w:val="a7"/>
        </w:rPr>
        <w:footnoteRef/>
      </w:r>
      <w:r>
        <w:t xml:space="preserve"> </w:t>
      </w:r>
      <w:r>
        <w:rPr>
          <w:b/>
          <w:bCs/>
          <w:rtl/>
        </w:rPr>
        <w:t xml:space="preserve"> אבל לאלין דתליין כו'.</w:t>
      </w:r>
      <w:r>
        <w:rPr>
          <w:rtl/>
        </w:rPr>
        <w:t xml:space="preserve"> כמו שאומר למטה אבל לגבי משה כו':</w:t>
      </w:r>
    </w:p>
  </w:footnote>
  <w:footnote w:id="3578">
    <w:p w:rsidR="00A13282" w:rsidRDefault="00A13282" w:rsidP="003841DB">
      <w:pPr>
        <w:pStyle w:val="a5"/>
      </w:pPr>
      <w:r>
        <w:rPr>
          <w:rStyle w:val="a7"/>
        </w:rPr>
        <w:footnoteRef/>
      </w:r>
      <w:r>
        <w:t xml:space="preserve"> </w:t>
      </w:r>
      <w:r>
        <w:rPr>
          <w:b/>
          <w:bCs/>
          <w:rtl/>
        </w:rPr>
        <w:t>ואינון תמורות אינון כו' בההוא נעל כו'.</w:t>
      </w:r>
      <w:r>
        <w:rPr>
          <w:rtl/>
        </w:rPr>
        <w:t xml:space="preserve"> דנעל הוא מט"ט תופר מנעלים נעל וסנדל, וביה רזא דגלגולים דביה סובב סובב הולך הרוח וכמו שאומר בתיקוני זהר חדש ס"ו ב' בראשית כו' ואית חנוך כו' וכל מלאכין דממנן כו' ושאר מקומות הרבה, וביה אינון כל שינויין כמו שאומר בתיקון ס”ח וביה אשתנו כל כו' (ולקמן ע"ד א' וכד איהו לתתא כו' ושם ואתפשט קב"ה מכל כנויין ומרכבות דמט"ט כו') וביה כל התמורות הנ"ל כוזו כו' ושאר כל התמורות כידוע בהרבה מקומות, ולכן כותבין מחוץ למזוזה, וכן שדי דהוא מט"ט כידוע ובו מסתתר ביומא דחול ובגלותא ונאמר אל תמר בו - אל תמירנו בו (ואמר ברזא דיבום - דגם יבום נזכר כאן כמו שאומר בזהר חדש רות ס"ז א'. ונתן לרעהו זו מצות יבום):</w:t>
      </w:r>
    </w:p>
  </w:footnote>
  <w:footnote w:id="3579">
    <w:p w:rsidR="00A13282" w:rsidRDefault="00A13282" w:rsidP="003841DB">
      <w:pPr>
        <w:pStyle w:val="a5"/>
      </w:pPr>
      <w:r>
        <w:rPr>
          <w:rStyle w:val="a7"/>
        </w:rPr>
        <w:footnoteRef/>
      </w:r>
      <w:r>
        <w:t xml:space="preserve"> </w:t>
      </w:r>
      <w:r>
        <w:rPr>
          <w:b/>
          <w:bCs/>
          <w:rtl/>
        </w:rPr>
        <w:t xml:space="preserve"> ותמן צריך כו'.</w:t>
      </w:r>
      <w:r>
        <w:rPr>
          <w:rtl/>
        </w:rPr>
        <w:t xml:space="preserve"> בג' גלגולים כמו שאומר לקמן ע"א א' ועיין לקמן ק"ו א' בארוכה, ואלו הג' הן בתמורות כמו שאומר לעיל כ"ד א' לבר מאתריה אשתני כו', שנוי השם דא מצפ"ץ כו':</w:t>
      </w:r>
    </w:p>
  </w:footnote>
  <w:footnote w:id="3580">
    <w:p w:rsidR="00A13282" w:rsidRDefault="00A13282" w:rsidP="003841DB">
      <w:pPr>
        <w:pStyle w:val="a5"/>
      </w:pPr>
      <w:r>
        <w:rPr>
          <w:rStyle w:val="a7"/>
        </w:rPr>
        <w:footnoteRef/>
      </w:r>
      <w:r>
        <w:t xml:space="preserve"> </w:t>
      </w:r>
      <w:r>
        <w:rPr>
          <w:b/>
          <w:bCs/>
          <w:rtl/>
        </w:rPr>
        <w:t xml:space="preserve"> שינוי מקום כו' לקיים כל דבר.</w:t>
      </w:r>
      <w:r>
        <w:rPr>
          <w:rtl/>
        </w:rPr>
        <w:t xml:space="preserve"> רוצה לומר, כל דבר - אינהו ג' נר"ן בג' הנ"ל. ועל האי גופא אמר שלף איש נעלו:</w:t>
      </w:r>
    </w:p>
  </w:footnote>
  <w:footnote w:id="3581">
    <w:p w:rsidR="00A13282" w:rsidRDefault="00A13282" w:rsidP="003841DB">
      <w:pPr>
        <w:pStyle w:val="a5"/>
      </w:pPr>
      <w:r>
        <w:rPr>
          <w:rStyle w:val="a7"/>
        </w:rPr>
        <w:footnoteRef/>
      </w:r>
      <w:r>
        <w:t xml:space="preserve"> </w:t>
      </w:r>
      <w:r>
        <w:rPr>
          <w:b/>
          <w:bCs/>
          <w:rtl/>
        </w:rPr>
        <w:t xml:space="preserve"> אמר סבא ר' ר' לא תימא הכי אלא כו'.</w:t>
      </w:r>
      <w:r>
        <w:rPr>
          <w:rtl/>
        </w:rPr>
        <w:t xml:space="preserve"> דהוא אוקים חליצה בנעל להורות על גלגוגא במט"ט אלא רזא דיבום הוא זה כמו שאומר לקמן ורזא דחליצה כמו שמפרש והולך אלא איהו קליפה כו'. רוצה לומר דאסתתר במט"ט נעל מן הקליפות דנעל הוא השמירה מקליפות כידוע ושם משנה פניו דלא ישתמודעין ליה כמו שאומר ברעיא מהימנא פ' פנחס רי"ז ב' עיין שם:</w:t>
      </w:r>
    </w:p>
  </w:footnote>
  <w:footnote w:id="3582">
    <w:p w:rsidR="00A13282" w:rsidRDefault="00A13282" w:rsidP="003841DB">
      <w:pPr>
        <w:pStyle w:val="a5"/>
      </w:pPr>
      <w:r>
        <w:rPr>
          <w:rStyle w:val="a7"/>
        </w:rPr>
        <w:footnoteRef/>
      </w:r>
      <w:r>
        <w:t xml:space="preserve"> </w:t>
      </w:r>
      <w:r>
        <w:rPr>
          <w:b/>
          <w:bCs/>
          <w:rtl/>
        </w:rPr>
        <w:t xml:space="preserve"> חלץ לי' כו'. </w:t>
      </w:r>
      <w:r>
        <w:rPr>
          <w:rtl/>
        </w:rPr>
        <w:t>רוצה לומר לאעלא ליה בזרע אב ואם בעולם הזה שהן י"ה והוא ו', בן י"ה, וזה שאומר דאיהו בן י"ה כו':</w:t>
      </w:r>
    </w:p>
  </w:footnote>
  <w:footnote w:id="3583">
    <w:p w:rsidR="00A13282" w:rsidRDefault="00A13282" w:rsidP="003841DB">
      <w:pPr>
        <w:pStyle w:val="a5"/>
      </w:pPr>
      <w:r>
        <w:rPr>
          <w:rStyle w:val="a7"/>
        </w:rPr>
        <w:footnoteRef/>
      </w:r>
      <w:r>
        <w:t xml:space="preserve"> </w:t>
      </w:r>
      <w:r>
        <w:rPr>
          <w:b/>
          <w:bCs/>
          <w:rtl/>
        </w:rPr>
        <w:t xml:space="preserve"> נעל ו' ג"ן נעול.</w:t>
      </w:r>
      <w:r>
        <w:rPr>
          <w:rtl/>
        </w:rPr>
        <w:t xml:space="preserve"> מביא ראיה דו' בנעל דכתיב נעול בו', והוא גן סדרים דאורייתא, וכן גל נעול דנעשה מגל גל - גלגול כמו שאומר לקמן תיקון ס”ט:</w:t>
      </w:r>
    </w:p>
  </w:footnote>
  <w:footnote w:id="3584">
    <w:p w:rsidR="00A13282" w:rsidRDefault="00A13282" w:rsidP="003841DB">
      <w:pPr>
        <w:pStyle w:val="a5"/>
      </w:pPr>
      <w:r>
        <w:rPr>
          <w:rStyle w:val="a7"/>
        </w:rPr>
        <w:footnoteRef/>
      </w:r>
      <w:r>
        <w:t xml:space="preserve"> </w:t>
      </w:r>
      <w:r>
        <w:rPr>
          <w:b/>
          <w:bCs/>
          <w:rtl/>
        </w:rPr>
        <w:t xml:space="preserve"> מה יפו פעמיך כו'.</w:t>
      </w:r>
      <w:r>
        <w:rPr>
          <w:rtl/>
        </w:rPr>
        <w:t xml:space="preserve"> שהוא שלש פעמים דג' אבות וכמו שאמרו בריש חגיגה מה יפו פעמיך בשעה שעולין לרגל כו' וזה שאומר למטה באל שדי שדי כנ"ל ושמי ה' לא כו' דאסתתר ביה כנ"ל:</w:t>
      </w:r>
    </w:p>
  </w:footnote>
  <w:footnote w:id="3585">
    <w:p w:rsidR="00A13282" w:rsidRDefault="00A13282" w:rsidP="003841DB">
      <w:pPr>
        <w:pStyle w:val="a5"/>
      </w:pPr>
      <w:r>
        <w:rPr>
          <w:rStyle w:val="a7"/>
        </w:rPr>
        <w:footnoteRef/>
      </w:r>
      <w:r>
        <w:t xml:space="preserve"> </w:t>
      </w:r>
      <w:r>
        <w:rPr>
          <w:b/>
          <w:bCs/>
          <w:rtl/>
        </w:rPr>
        <w:t xml:space="preserve"> איהי קשור ברגליה כו' ואתה כו'. </w:t>
      </w:r>
      <w:r>
        <w:rPr>
          <w:rtl/>
        </w:rPr>
        <w:t>הענין שעקב הוא נוק', וכשמת בלא בנים הוא נחית לעקב דאחיו בנוק' דשם, דבכל עקב דאדם שם נוק' דנר"ן דיליה ולכן ואתה כו' כמו שמפרש והולך, ונחית שם, וכמו שאמרו בזהר פרשת משפטים ק"א א' עיין שם בארוכה:</w:t>
      </w:r>
    </w:p>
  </w:footnote>
  <w:footnote w:id="3586">
    <w:p w:rsidR="00A13282" w:rsidRDefault="00A13282" w:rsidP="003841DB">
      <w:pPr>
        <w:pStyle w:val="a5"/>
      </w:pPr>
      <w:r>
        <w:rPr>
          <w:rStyle w:val="a7"/>
        </w:rPr>
        <w:footnoteRef/>
      </w:r>
      <w:r>
        <w:t xml:space="preserve"> </w:t>
      </w:r>
      <w:r>
        <w:rPr>
          <w:b/>
          <w:bCs/>
          <w:rtl/>
        </w:rPr>
        <w:t xml:space="preserve"> ובגין דלא כו'.</w:t>
      </w:r>
      <w:r>
        <w:rPr>
          <w:rtl/>
        </w:rPr>
        <w:t xml:space="preserve"> דרגליה יורדות כו' (משלי ה ה), ושם המיתה, על כן צריך לחלוץ כו', דהיה מזומן ליתן לאשה ביבום ועתה נוטלת אותו בנעל ממנו לאסתתרא ליה בנעל מט"ט רזא דדכורא, ושם ישופך ראש - דכורא, ועקב רזא דיעקב - נוק', וראש רזא דישראל - דכורא, ונשאר שם יל"י, יוד האחרון בעקב נוק' בהוד, ויו"ד הראשון בנצח דשם דכורא ושם ישראל, ולמ"ד הן חג"ת, ועיין מה שכתבתי במקום אחר בארוכה, וזה שאומר וכולא על ההיא כו'. (ורוצה לומר, דעקב נר"נ דבי"ע - אד"נ, ושם שולטין, אבל יו"ד - נוק' דאצילות, זיהרא עילאה דאשתאר בלעדה, ולכן נאמר (בראשית ב יח) לא טוב כו', שאם יחטא ישאר לבדו בלא נוק' לכן אעשה עזר דבי"ע) רוצה לומר נוק' וטפה דאיהי יו"ד הוא נקודה אות ברית דחטא ביה אדה"ר במחשבה, והוא מחשבה דא והיא יו"ד מן אדנ"י וכן מן הוי"ה בהיפוכא שהוא בה, וכמו שאומר לקמן בתיקון ס”ט ק"ה במחשבה איהי יו"ד כו' ועיין שם ק"י א' ועוד כי שת לי אלקים זרע כו' ואשתאר יעקב עקב כו' ודא יו"ד מן אדנ"י ואיהי יו"ד כו' עיין שם, וזה שאומר </w:t>
      </w:r>
      <w:r>
        <w:rPr>
          <w:b/>
          <w:bCs/>
          <w:rtl/>
        </w:rPr>
        <w:t>טפה בוכרא.</w:t>
      </w:r>
      <w:r>
        <w:rPr>
          <w:rtl/>
        </w:rPr>
        <w:t xml:space="preserve"> שמחשבה הוא בוכרא, וטפה בוכרא דילה קין דפגם בו דהוי מס"א, זוהמא דעירב, והוא הוי בכור ולפיכך היה עשו בכור במקומו עד דזבין מעשו דהוא ס"א, וזהו ויעקבני - דנטיל ההיא עקב מניה:</w:t>
      </w:r>
    </w:p>
  </w:footnote>
  <w:footnote w:id="3587">
    <w:p w:rsidR="00A13282" w:rsidRDefault="00A13282" w:rsidP="003841DB">
      <w:pPr>
        <w:pStyle w:val="a5"/>
      </w:pPr>
      <w:r>
        <w:rPr>
          <w:rStyle w:val="a7"/>
        </w:rPr>
        <w:footnoteRef/>
      </w:r>
      <w:r>
        <w:t xml:space="preserve"> </w:t>
      </w:r>
      <w:r>
        <w:rPr>
          <w:b/>
          <w:bCs/>
          <w:rtl/>
        </w:rPr>
        <w:t xml:space="preserve"> ואשתאר יחיד כו'.</w:t>
      </w:r>
      <w:r>
        <w:rPr>
          <w:rtl/>
        </w:rPr>
        <w:t xml:space="preserve"> כמו שאמרו בספרא דצניעותא דנחית בתרין רוחין וכד חאב אתפשט נפש ההיא נוק' מניה:</w:t>
      </w:r>
    </w:p>
  </w:footnote>
  <w:footnote w:id="3588">
    <w:p w:rsidR="00A13282" w:rsidRDefault="00A13282" w:rsidP="003841DB">
      <w:pPr>
        <w:pStyle w:val="a5"/>
      </w:pPr>
      <w:r>
        <w:rPr>
          <w:rStyle w:val="a7"/>
        </w:rPr>
        <w:footnoteRef/>
      </w:r>
      <w:r>
        <w:t xml:space="preserve"> </w:t>
      </w:r>
      <w:r>
        <w:rPr>
          <w:rtl/>
        </w:rPr>
        <w:t xml:space="preserve"> </w:t>
      </w:r>
      <w:r>
        <w:rPr>
          <w:b/>
          <w:bCs/>
          <w:rtl/>
        </w:rPr>
        <w:t>ובג"ד כו'.</w:t>
      </w:r>
      <w:r>
        <w:rPr>
          <w:rtl/>
        </w:rPr>
        <w:t xml:space="preserve"> רוצה לומר בשביל הטפה, וזה שאומר ועל ההיא טפה כו' רוצה לומר פעמיך הוא בעקב והוא בג' אבהן ג' פעמים כנ"ל:</w:t>
      </w:r>
    </w:p>
  </w:footnote>
  <w:footnote w:id="3589">
    <w:p w:rsidR="00A13282" w:rsidRDefault="00A13282" w:rsidP="003841DB">
      <w:pPr>
        <w:pStyle w:val="a5"/>
      </w:pPr>
      <w:r>
        <w:rPr>
          <w:rStyle w:val="a7"/>
        </w:rPr>
        <w:footnoteRef/>
      </w:r>
      <w:r>
        <w:t xml:space="preserve"> </w:t>
      </w:r>
      <w:r>
        <w:rPr>
          <w:rtl/>
        </w:rPr>
        <w:t xml:space="preserve"> </w:t>
      </w:r>
      <w:r>
        <w:rPr>
          <w:b/>
          <w:bCs/>
          <w:rtl/>
        </w:rPr>
        <w:t>דאתמר ביה כו'.</w:t>
      </w:r>
      <w:r>
        <w:rPr>
          <w:rtl/>
        </w:rPr>
        <w:t xml:space="preserve"> עיין לקמן ק"ה ב'. ואמר י"ב שבטין דהוא מזל שע"ה והן י"ב שעות כמו שאומר לקמן ק"ג א' עיין שם בארוכה:</w:t>
      </w:r>
    </w:p>
  </w:footnote>
  <w:footnote w:id="3590">
    <w:p w:rsidR="00A13282" w:rsidRDefault="00A13282" w:rsidP="003841DB">
      <w:pPr>
        <w:pStyle w:val="a5"/>
      </w:pPr>
      <w:r>
        <w:rPr>
          <w:rStyle w:val="a7"/>
        </w:rPr>
        <w:footnoteRef/>
      </w:r>
      <w:r>
        <w:t xml:space="preserve"> </w:t>
      </w:r>
      <w:r>
        <w:rPr>
          <w:b/>
          <w:bCs/>
          <w:rtl/>
        </w:rPr>
        <w:t xml:space="preserve"> באברהם שזיב כו'.</w:t>
      </w:r>
      <w:r>
        <w:rPr>
          <w:rtl/>
        </w:rPr>
        <w:t xml:space="preserve"> דנחית למצרים מקום הערוה להצטרף שם ונפיק ישמעאל:</w:t>
      </w:r>
    </w:p>
  </w:footnote>
  <w:footnote w:id="3591">
    <w:p w:rsidR="00A13282" w:rsidRDefault="00A13282" w:rsidP="003841DB">
      <w:pPr>
        <w:pStyle w:val="a5"/>
      </w:pPr>
      <w:r>
        <w:rPr>
          <w:rStyle w:val="a7"/>
        </w:rPr>
        <w:footnoteRef/>
      </w:r>
      <w:r>
        <w:t xml:space="preserve"> </w:t>
      </w:r>
      <w:r>
        <w:rPr>
          <w:b/>
          <w:bCs/>
          <w:rtl/>
        </w:rPr>
        <w:t xml:space="preserve"> ביצחק כו'.</w:t>
      </w:r>
      <w:r>
        <w:rPr>
          <w:rtl/>
        </w:rPr>
        <w:t xml:space="preserve"> בעקידה ונפיק עשו ועיין לקמן תיקון ל"ז מה שכתבתי שם:</w:t>
      </w:r>
    </w:p>
  </w:footnote>
  <w:footnote w:id="3592">
    <w:p w:rsidR="00A13282" w:rsidRDefault="00A13282" w:rsidP="003841DB">
      <w:pPr>
        <w:pStyle w:val="a5"/>
      </w:pPr>
      <w:r>
        <w:rPr>
          <w:rStyle w:val="a7"/>
        </w:rPr>
        <w:footnoteRef/>
      </w:r>
      <w:r>
        <w:t xml:space="preserve"> </w:t>
      </w:r>
      <w:r>
        <w:rPr>
          <w:rtl/>
        </w:rPr>
        <w:t xml:space="preserve"> </w:t>
      </w:r>
      <w:r>
        <w:rPr>
          <w:b/>
          <w:bCs/>
          <w:rtl/>
        </w:rPr>
        <w:t>אפרוחיה.</w:t>
      </w:r>
      <w:r>
        <w:rPr>
          <w:rtl/>
        </w:rPr>
        <w:t xml:space="preserve"> אפרוחים - עיין פ' פנחס רנ"ד א' ושאר מקומות:</w:t>
      </w:r>
    </w:p>
  </w:footnote>
  <w:footnote w:id="3593">
    <w:p w:rsidR="00A13282" w:rsidRDefault="00A13282" w:rsidP="003841DB">
      <w:pPr>
        <w:pStyle w:val="a5"/>
        <w:rPr>
          <w:rtl/>
        </w:rPr>
      </w:pPr>
      <w:r>
        <w:rPr>
          <w:rStyle w:val="a7"/>
        </w:rPr>
        <w:footnoteRef/>
      </w:r>
      <w:r>
        <w:t xml:space="preserve"> </w:t>
      </w:r>
      <w:r>
        <w:rPr>
          <w:b/>
          <w:bCs/>
          <w:rtl/>
        </w:rPr>
        <w:t xml:space="preserve"> לבו דתמן נפש רוח כו'. </w:t>
      </w:r>
      <w:r>
        <w:rPr>
          <w:rtl/>
        </w:rPr>
        <w:t>עיין לעיל תיקון כ”ה ס"ט א':</w:t>
      </w:r>
    </w:p>
    <w:p w:rsidR="00A13282" w:rsidRDefault="00A13282" w:rsidP="003841DB">
      <w:pPr>
        <w:pStyle w:val="a5"/>
        <w:rPr>
          <w:rtl/>
        </w:rPr>
      </w:pPr>
    </w:p>
    <w:p w:rsidR="00A13282" w:rsidRDefault="00A13282" w:rsidP="003841DB">
      <w:pPr>
        <w:pStyle w:val="a5"/>
        <w:rPr>
          <w:rtl/>
        </w:rPr>
      </w:pPr>
      <w:r>
        <w:rPr>
          <w:rtl/>
        </w:rPr>
        <w:t>תיקון כ"ז ותיקון כ"ח כתבתי בסוף הקדמה (כן הוא בכתב יד קדשו):</w:t>
      </w:r>
    </w:p>
    <w:p w:rsidR="00A13282" w:rsidRDefault="00A13282" w:rsidP="003841DB">
      <w:pPr>
        <w:pStyle w:val="a5"/>
      </w:pPr>
    </w:p>
  </w:footnote>
  <w:footnote w:id="3594">
    <w:p w:rsidR="00A13282" w:rsidRDefault="00A13282" w:rsidP="003841DB">
      <w:pPr>
        <w:pStyle w:val="a5"/>
      </w:pPr>
      <w:r>
        <w:rPr>
          <w:rStyle w:val="a7"/>
        </w:rPr>
        <w:footnoteRef/>
      </w:r>
      <w:r>
        <w:t xml:space="preserve"> </w:t>
      </w:r>
      <w:r>
        <w:rPr>
          <w:b/>
          <w:bCs/>
          <w:rtl/>
        </w:rPr>
        <w:t>תיקון כ"ט בראשית כו' והא אוקמוהו.</w:t>
      </w:r>
      <w:r>
        <w:rPr>
          <w:rtl/>
        </w:rPr>
        <w:t xml:space="preserve"> כמו שאמרו (נדרים כ ע"א) למען תהיה יראת כו' זו הבושה, והתלת פיקודין הן כלל הג' דרגין מלמעלה למטה (וכמו שאומר למטה דיראה כוללת חב"ד ובריש תיקון ל’ דא נקודה כו' ודא יראה כו'):</w:t>
      </w:r>
    </w:p>
  </w:footnote>
  <w:footnote w:id="3595">
    <w:p w:rsidR="00A13282" w:rsidRDefault="00A13282" w:rsidP="003841DB">
      <w:pPr>
        <w:pStyle w:val="a5"/>
      </w:pPr>
      <w:r>
        <w:rPr>
          <w:rStyle w:val="a7"/>
        </w:rPr>
        <w:footnoteRef/>
      </w:r>
      <w:r>
        <w:t xml:space="preserve"> </w:t>
      </w:r>
      <w:r>
        <w:rPr>
          <w:rtl/>
        </w:rPr>
        <w:t xml:space="preserve"> </w:t>
      </w:r>
      <w:r>
        <w:rPr>
          <w:b/>
          <w:bCs/>
          <w:rtl/>
        </w:rPr>
        <w:t xml:space="preserve">ברית אש. </w:t>
      </w:r>
      <w:r>
        <w:rPr>
          <w:rtl/>
        </w:rPr>
        <w:t>כמו שאומר לעיל י' א' ובתיקון כ”ב:</w:t>
      </w:r>
    </w:p>
  </w:footnote>
  <w:footnote w:id="3596">
    <w:p w:rsidR="00A13282" w:rsidRDefault="00A13282" w:rsidP="003841DB">
      <w:pPr>
        <w:pStyle w:val="a5"/>
      </w:pPr>
      <w:r>
        <w:rPr>
          <w:rStyle w:val="a7"/>
        </w:rPr>
        <w:footnoteRef/>
      </w:r>
      <w:r>
        <w:t xml:space="preserve"> </w:t>
      </w:r>
      <w:r>
        <w:rPr>
          <w:rtl/>
        </w:rPr>
        <w:t xml:space="preserve"> </w:t>
      </w:r>
      <w:r>
        <w:rPr>
          <w:b/>
          <w:bCs/>
          <w:rtl/>
        </w:rPr>
        <w:t>שבת ירא.</w:t>
      </w:r>
      <w:r>
        <w:rPr>
          <w:rtl/>
        </w:rPr>
        <w:t xml:space="preserve"> שנאמר (ויקרא יט ל, כו ב) את שבתותי כו' ומקדשי תיראו, ואמר בזהר פרשת בראשית ו' א' תיראו דא נקודה דאמצעיתא כו', וזהו שבת ירא שהן שבתותי ומקדשי, חו"ב, נקודה ועיגולא דשבת דלא מתפחדין אבל בתיקון כ”ד מפרש שבת ירא שבת וברית דשקולין כחדא, וע' אנפין:</w:t>
      </w:r>
    </w:p>
  </w:footnote>
  <w:footnote w:id="3597">
    <w:p w:rsidR="00A13282" w:rsidRDefault="00A13282" w:rsidP="003841DB">
      <w:pPr>
        <w:pStyle w:val="a5"/>
      </w:pPr>
      <w:r>
        <w:rPr>
          <w:rStyle w:val="a7"/>
        </w:rPr>
        <w:footnoteRef/>
      </w:r>
      <w:r>
        <w:t xml:space="preserve"> </w:t>
      </w:r>
      <w:r>
        <w:rPr>
          <w:rtl/>
        </w:rPr>
        <w:t xml:space="preserve"> </w:t>
      </w:r>
      <w:r>
        <w:rPr>
          <w:b/>
          <w:bCs/>
          <w:rtl/>
        </w:rPr>
        <w:t>פקודא כו'.</w:t>
      </w:r>
      <w:r>
        <w:rPr>
          <w:rtl/>
        </w:rPr>
        <w:t xml:space="preserve"> חשיב כאן ג' דרגין ששרויין על היראה, שהן כח"ב ד', אותיות אדנ"י - אי"ן ד', שד' הוא היראה - דלת להן כמו שאומר בזהר פרשת בראשית ז' ב' בראשית ר"א פתח כו' עיין שם, ואוצר היא בינה וזה שאומר אוצרא דהאי חכמה איהי ב' ובתיקונא אחרא כו':</w:t>
      </w:r>
    </w:p>
  </w:footnote>
  <w:footnote w:id="3598">
    <w:p w:rsidR="00A13282" w:rsidRDefault="00A13282" w:rsidP="003841DB">
      <w:pPr>
        <w:pStyle w:val="a5"/>
      </w:pPr>
      <w:r>
        <w:rPr>
          <w:rStyle w:val="a7"/>
        </w:rPr>
        <w:footnoteRef/>
      </w:r>
      <w:r>
        <w:t xml:space="preserve"> </w:t>
      </w:r>
      <w:r>
        <w:rPr>
          <w:rtl/>
        </w:rPr>
        <w:t xml:space="preserve"> </w:t>
      </w:r>
      <w:r>
        <w:rPr>
          <w:b/>
          <w:bCs/>
          <w:rtl/>
        </w:rPr>
        <w:t>גן איהו כו' גל איהו כו' ותרווייהו כו'.</w:t>
      </w:r>
      <w:r>
        <w:rPr>
          <w:rtl/>
        </w:rPr>
        <w:t xml:space="preserve"> שב' הוא אהי"ה אדנ"י, היכלין לי"ה, והן תורה שבכתב ובעל פה, והוא אלקים וכן גן גל - גימטריה ב' שמות הנ"ל ואלקים, והוא ב' דבראשית כמו שאומר לקמן בתיקון כ"ד עיין שם:</w:t>
      </w:r>
    </w:p>
  </w:footnote>
  <w:footnote w:id="3599">
    <w:p w:rsidR="00A13282" w:rsidRDefault="00A13282" w:rsidP="003841DB">
      <w:pPr>
        <w:pStyle w:val="a5"/>
      </w:pPr>
      <w:r>
        <w:rPr>
          <w:rStyle w:val="a7"/>
        </w:rPr>
        <w:footnoteRef/>
      </w:r>
      <w:r>
        <w:t xml:space="preserve"> </w:t>
      </w:r>
      <w:r>
        <w:rPr>
          <w:b/>
          <w:bCs/>
          <w:rtl/>
        </w:rPr>
        <w:t>מעין כו'.</w:t>
      </w:r>
      <w:r>
        <w:rPr>
          <w:rtl/>
        </w:rPr>
        <w:t xml:space="preserve"> ופירושו דקרא - גל גן נעול אחותי כלה, והוא ב', ובתוכו - מעין, נקודה, ראשית - חתום בוא"ו והוא ו' אותיות דבראשית, וחתימת הוא"ו הוא דעת דסתים בגוה קודם דאתפשט כמו שאומר בריש תיקון ה' עיין שם:</w:t>
      </w:r>
    </w:p>
  </w:footnote>
  <w:footnote w:id="3600">
    <w:p w:rsidR="00A13282" w:rsidRDefault="00A13282" w:rsidP="003841DB">
      <w:pPr>
        <w:pStyle w:val="a5"/>
      </w:pPr>
      <w:r>
        <w:rPr>
          <w:rStyle w:val="a7"/>
        </w:rPr>
        <w:footnoteRef/>
      </w:r>
      <w:r>
        <w:t xml:space="preserve"> </w:t>
      </w:r>
      <w:r>
        <w:rPr>
          <w:b/>
          <w:bCs/>
          <w:rtl/>
        </w:rPr>
        <w:t xml:space="preserve"> ודא יין כו' מששת כו'. </w:t>
      </w:r>
      <w:r>
        <w:rPr>
          <w:rtl/>
        </w:rPr>
        <w:t>שהוא וא"ו הנ"ל דבראשית והן ששת הימים שהוא וא"ו:</w:t>
      </w:r>
    </w:p>
  </w:footnote>
  <w:footnote w:id="3601">
    <w:p w:rsidR="00A13282" w:rsidRDefault="00A13282" w:rsidP="003841DB">
      <w:pPr>
        <w:pStyle w:val="a5"/>
      </w:pPr>
      <w:r>
        <w:rPr>
          <w:rStyle w:val="a7"/>
        </w:rPr>
        <w:footnoteRef/>
      </w:r>
      <w:r>
        <w:t xml:space="preserve"> </w:t>
      </w:r>
      <w:r>
        <w:rPr>
          <w:b/>
          <w:bCs/>
          <w:rtl/>
        </w:rPr>
        <w:t xml:space="preserve"> סוד ה' כו'.</w:t>
      </w:r>
      <w:r>
        <w:rPr>
          <w:rtl/>
        </w:rPr>
        <w:t xml:space="preserve"> שהוא גם כן גימטריה שבעים, והיין והקנקן הוא אלקים דב' דבראשית (כנ"ל שב' הוא ב' שמות שהן אלקים) ואלקים הוא הקנק"ן - הכו"ס, וביה חתום היין והוא נקודותיו כמו שאומר לקמן והם ה’ גבורות עם ב' כלילותיהן, חותם בתוך חותם כידוע, וזה שאומר - כן - חילק לשניים, נ' הוא ה’ גבורות, נש"ב, וכ' הוא ב' הכלילות, וכן הוא בנקודות הנ"ל - נ' על אות אחת, וכ' בב' אותיות:</w:t>
      </w:r>
    </w:p>
  </w:footnote>
  <w:footnote w:id="3602">
    <w:p w:rsidR="00A13282" w:rsidRDefault="00A13282" w:rsidP="003841DB">
      <w:pPr>
        <w:pStyle w:val="a5"/>
      </w:pPr>
      <w:r>
        <w:rPr>
          <w:rStyle w:val="a7"/>
        </w:rPr>
        <w:footnoteRef/>
      </w:r>
      <w:r>
        <w:t xml:space="preserve"> </w:t>
      </w:r>
      <w:r>
        <w:rPr>
          <w:rtl/>
        </w:rPr>
        <w:t xml:space="preserve"> </w:t>
      </w:r>
      <w:r>
        <w:rPr>
          <w:b/>
          <w:bCs/>
          <w:rtl/>
        </w:rPr>
        <w:t>קנקן דב"נ כו'.</w:t>
      </w:r>
      <w:r>
        <w:rPr>
          <w:rtl/>
        </w:rPr>
        <w:t xml:space="preserve"> הוא אלקים הנ"ל שהוא לבוש להיין חו"ב כנ"ל והוא הכוס כמו שאומר למטה ולאו למגנא תקינו בכוס כו' ואיהו כוס כו', וכוס גימטריה אלקים, וקנקן גימטריה אלקים מלא, ורוצה לומר לבא - כלי ליין שבו הן התורה בע' אנפין:</w:t>
      </w:r>
    </w:p>
  </w:footnote>
  <w:footnote w:id="3603">
    <w:p w:rsidR="00A13282" w:rsidRDefault="00A13282" w:rsidP="003841DB">
      <w:pPr>
        <w:pStyle w:val="a5"/>
      </w:pPr>
      <w:r>
        <w:rPr>
          <w:rStyle w:val="a7"/>
        </w:rPr>
        <w:footnoteRef/>
      </w:r>
      <w:r>
        <w:t xml:space="preserve"> </w:t>
      </w:r>
      <w:r>
        <w:rPr>
          <w:rtl/>
        </w:rPr>
        <w:t xml:space="preserve"> </w:t>
      </w:r>
      <w:r>
        <w:rPr>
          <w:b/>
          <w:bCs/>
          <w:rtl/>
        </w:rPr>
        <w:t>אם הוא קנקנא חדתא כו'.</w:t>
      </w:r>
      <w:r>
        <w:rPr>
          <w:rtl/>
        </w:rPr>
        <w:t xml:space="preserve"> כמו שאומר בע"ג ל"ג ב' לפירוש תוספות שם, ודווקא בחדש שבולע ורוצה לומר כאן שעדיין לא היה בגלגולא הן כל אלה כו' וכמו שאומר לקמן בתיקון ל”ב דיותר לא - דלא יקלקל כו', מה שאין כן אם לא נתנסך בפעם ראשון שהוא גלגולא דאדם דאז אין חשש דלא יקלקל כו' ועיין מה שכתבתי שם:</w:t>
      </w:r>
    </w:p>
  </w:footnote>
  <w:footnote w:id="3604">
    <w:p w:rsidR="00A13282" w:rsidRDefault="00A13282" w:rsidP="003841DB">
      <w:pPr>
        <w:pStyle w:val="a5"/>
      </w:pPr>
      <w:r>
        <w:rPr>
          <w:rStyle w:val="a7"/>
        </w:rPr>
        <w:footnoteRef/>
      </w:r>
      <w:r>
        <w:t xml:space="preserve"> </w:t>
      </w:r>
      <w:r>
        <w:rPr>
          <w:rtl/>
        </w:rPr>
        <w:t xml:space="preserve"> </w:t>
      </w:r>
      <w:r>
        <w:rPr>
          <w:b/>
          <w:bCs/>
          <w:rtl/>
        </w:rPr>
        <w:t xml:space="preserve">ביין נסך כו'. </w:t>
      </w:r>
      <w:r>
        <w:rPr>
          <w:rtl/>
        </w:rPr>
        <w:t>עיין לקמן תיקון ל”ו למאן דעאל נוכראה בחלל דילה דאיהי כו', והוא בתוך לבא שהוא היכל להנקודה, חכמה, כמו שמפרש והולך:</w:t>
      </w:r>
    </w:p>
  </w:footnote>
  <w:footnote w:id="3605">
    <w:p w:rsidR="00A13282" w:rsidRDefault="00A13282" w:rsidP="003841DB">
      <w:pPr>
        <w:pStyle w:val="a5"/>
      </w:pPr>
      <w:r>
        <w:rPr>
          <w:rStyle w:val="a7"/>
        </w:rPr>
        <w:footnoteRef/>
      </w:r>
      <w:r>
        <w:t xml:space="preserve"> </w:t>
      </w:r>
      <w:r>
        <w:rPr>
          <w:rtl/>
        </w:rPr>
        <w:t xml:space="preserve"> </w:t>
      </w:r>
      <w:r>
        <w:rPr>
          <w:b/>
          <w:bCs/>
          <w:rtl/>
        </w:rPr>
        <w:t>הן כל אלה כו'.</w:t>
      </w:r>
      <w:r>
        <w:rPr>
          <w:rtl/>
        </w:rPr>
        <w:t xml:space="preserve"> ג’ פעמים, בג' אבהן, (ויקרא כג ד, לז) אלה מועדי ה':</w:t>
      </w:r>
    </w:p>
  </w:footnote>
  <w:footnote w:id="3606">
    <w:p w:rsidR="00A13282" w:rsidRDefault="00A13282" w:rsidP="003841DB">
      <w:pPr>
        <w:pStyle w:val="a5"/>
      </w:pPr>
      <w:r>
        <w:rPr>
          <w:rStyle w:val="a7"/>
        </w:rPr>
        <w:footnoteRef/>
      </w:r>
      <w:r>
        <w:t xml:space="preserve"> </w:t>
      </w:r>
      <w:r>
        <w:rPr>
          <w:rtl/>
        </w:rPr>
        <w:t xml:space="preserve"> </w:t>
      </w:r>
      <w:r>
        <w:rPr>
          <w:b/>
          <w:bCs/>
          <w:rtl/>
        </w:rPr>
        <w:t>ולאו למגנא כו' למהוי כו'.</w:t>
      </w:r>
      <w:r>
        <w:rPr>
          <w:rtl/>
        </w:rPr>
        <w:t xml:space="preserve"> כמו שאמרו (ברכות כח ע"א) כל מי שאין תוכו כברו כו' ובית המדרש ידוע - דרגא דבינה, לבא, חדר הורתי שם (וכמו שאומר לעיל י"ב א' ודרור קן לה כו' וזהו הקן) אשקך מיין הרקח, וצריך שני דברים - הדחה ושטיפה, נגד אהי"ה אדנ"י, שבב' הנ"ל שבתוכן סתרי דאורייתא, (דברים כט כח) הנסתרות לה' אלקינו, ב' גניזין כמו שאומר לעיל ריש תיקון כ"ב עיין שם, והן היכלין לי"ה וזהו (ויקרא טז יט) וטהרו וקדשו כמו שאומר לקמן סוף תיקון מ”ז הדחה ושטיפה דאיהו וטהרו וקדשו טהרה מסטרא דכהנא כו' וקדשו כו', והן מסטרא דחו"ב, והכל דבינה, חכם בבינה (ספר יצירה), ותוכו הוא חכמה דבינה והן לא מתפרדין לכן מי שאין תוכו כו':</w:t>
      </w:r>
    </w:p>
  </w:footnote>
  <w:footnote w:id="3607">
    <w:p w:rsidR="00A13282" w:rsidRDefault="00A13282" w:rsidP="003841DB">
      <w:pPr>
        <w:pStyle w:val="a5"/>
      </w:pPr>
      <w:r>
        <w:rPr>
          <w:rStyle w:val="a7"/>
        </w:rPr>
        <w:footnoteRef/>
      </w:r>
      <w:r>
        <w:t xml:space="preserve"> </w:t>
      </w:r>
      <w:r>
        <w:rPr>
          <w:b/>
          <w:bCs/>
          <w:rtl/>
        </w:rPr>
        <w:t xml:space="preserve"> שריא תמן חכמה.</w:t>
      </w:r>
      <w:r>
        <w:rPr>
          <w:rtl/>
        </w:rPr>
        <w:t xml:space="preserve"> נקודה בהיכליה:</w:t>
      </w:r>
    </w:p>
  </w:footnote>
  <w:footnote w:id="3608">
    <w:p w:rsidR="00A13282" w:rsidRDefault="00A13282" w:rsidP="003841DB">
      <w:pPr>
        <w:pStyle w:val="a5"/>
      </w:pPr>
      <w:r>
        <w:rPr>
          <w:rStyle w:val="a7"/>
        </w:rPr>
        <w:footnoteRef/>
      </w:r>
      <w:r>
        <w:t xml:space="preserve"> </w:t>
      </w:r>
      <w:r>
        <w:rPr>
          <w:rtl/>
        </w:rPr>
        <w:t xml:space="preserve"> </w:t>
      </w:r>
      <w:r>
        <w:rPr>
          <w:b/>
          <w:bCs/>
          <w:rtl/>
        </w:rPr>
        <w:t>ה' קנני כו'.</w:t>
      </w:r>
      <w:r>
        <w:rPr>
          <w:rtl/>
        </w:rPr>
        <w:t xml:space="preserve"> רוצה לומר הקנקן אומרת כן, השם יתברך עשני קנקן לראשית, והוא מאמר התורה שהוא קנקן לחכמה ועיין לקמן סוף תיקונים תיקון א' ואמר שם דרכו - דרך ו' רוצה לומר שהוא ראשית לדרך ו' ודרך של ו' הוא הדעת ששם דרכו וחכמה הוא ראשית לדעת ובינה קן לחכמה וכלולה עמו:</w:t>
      </w:r>
    </w:p>
  </w:footnote>
  <w:footnote w:id="3609">
    <w:p w:rsidR="00A13282" w:rsidRDefault="00A13282" w:rsidP="003841DB">
      <w:pPr>
        <w:pStyle w:val="a5"/>
      </w:pPr>
      <w:r>
        <w:rPr>
          <w:rStyle w:val="a7"/>
        </w:rPr>
        <w:footnoteRef/>
      </w:r>
      <w:r>
        <w:t xml:space="preserve"> </w:t>
      </w:r>
      <w:r>
        <w:rPr>
          <w:rtl/>
        </w:rPr>
        <w:t xml:space="preserve"> </w:t>
      </w:r>
      <w:r>
        <w:rPr>
          <w:b/>
          <w:bCs/>
          <w:rtl/>
        </w:rPr>
        <w:t xml:space="preserve">קנני איהו קנקן ודאי. </w:t>
      </w:r>
      <w:r>
        <w:rPr>
          <w:rtl/>
        </w:rPr>
        <w:t>רוצה לומר קנני ודאי לשון קנקן:</w:t>
      </w:r>
    </w:p>
  </w:footnote>
  <w:footnote w:id="3610">
    <w:p w:rsidR="00A13282" w:rsidRDefault="00A13282" w:rsidP="003841DB">
      <w:pPr>
        <w:pStyle w:val="a5"/>
      </w:pPr>
      <w:r>
        <w:rPr>
          <w:rStyle w:val="a7"/>
        </w:rPr>
        <w:footnoteRef/>
      </w:r>
      <w:r>
        <w:t xml:space="preserve"> </w:t>
      </w:r>
      <w:r>
        <w:rPr>
          <w:rtl/>
        </w:rPr>
        <w:t xml:space="preserve"> </w:t>
      </w:r>
      <w:r>
        <w:rPr>
          <w:b/>
          <w:bCs/>
          <w:rtl/>
        </w:rPr>
        <w:t>ונקה ואם לאו כו'.</w:t>
      </w:r>
      <w:r>
        <w:rPr>
          <w:rtl/>
        </w:rPr>
        <w:t xml:space="preserve"> כמו שאמרו (שבועות לט ע"א) ונקה - לשבים, לא ינקה - לשאינם שבים, ונקה לשון נקיות הדחה ושטיפה הנ"ל, ונקה ינקה הן בראשי תיבות וסופי תיבות הוי"ה, ובאמצעיתא קנקן, ו"ה מימינא - זכרי, י"ה משמאלא - שמי, ולכן כאן נאמר ונקה ושם ינקה (ונקה לא ינקה הן ג' שמות דג' גלגולים, פוקד כו', בג' אבהן אלא ששם אלקים נתמלא ברחמי"ם שכל הגלגולים הן ברחמים וכמו שאומר לקמן תיקון ל”ב אם חזר כו' ואם יאדימו כו', ולכן הוא בי"ג מדות, והוא מב' שמות התחלת הי"ג מדות):</w:t>
      </w:r>
    </w:p>
  </w:footnote>
  <w:footnote w:id="3611">
    <w:p w:rsidR="00A13282" w:rsidRDefault="00A13282" w:rsidP="003841DB">
      <w:pPr>
        <w:pStyle w:val="a5"/>
      </w:pPr>
      <w:r>
        <w:rPr>
          <w:rStyle w:val="a7"/>
        </w:rPr>
        <w:footnoteRef/>
      </w:r>
      <w:r>
        <w:t xml:space="preserve"> </w:t>
      </w:r>
      <w:r>
        <w:rPr>
          <w:b/>
          <w:bCs/>
          <w:rtl/>
        </w:rPr>
        <w:t xml:space="preserve"> כל הנוגע בה.</w:t>
      </w:r>
      <w:r>
        <w:rPr>
          <w:rtl/>
        </w:rPr>
        <w:t xml:space="preserve"> כמו שמפרש והולך וקנקן דב"נ כו' שבה הגבורות יין כנ"ל, ואיהי כלי ליסוד שלו - סוד דיסוד:</w:t>
      </w:r>
    </w:p>
  </w:footnote>
  <w:footnote w:id="3612">
    <w:p w:rsidR="00A13282" w:rsidRDefault="00A13282" w:rsidP="003841DB">
      <w:pPr>
        <w:pStyle w:val="a5"/>
      </w:pPr>
      <w:r>
        <w:rPr>
          <w:rStyle w:val="a7"/>
        </w:rPr>
        <w:footnoteRef/>
      </w:r>
      <w:r>
        <w:t xml:space="preserve"> </w:t>
      </w:r>
      <w:r>
        <w:rPr>
          <w:b/>
          <w:bCs/>
          <w:rtl/>
        </w:rPr>
        <w:t xml:space="preserve"> ואיהי</w:t>
      </w:r>
      <w:r>
        <w:rPr>
          <w:rtl/>
        </w:rPr>
        <w:t xml:space="preserve"> </w:t>
      </w:r>
      <w:r>
        <w:rPr>
          <w:b/>
          <w:bCs/>
          <w:rtl/>
        </w:rPr>
        <w:t xml:space="preserve">כוס הכי כו'. </w:t>
      </w:r>
      <w:r>
        <w:rPr>
          <w:rtl/>
        </w:rPr>
        <w:t>רוצה לומר שגם היא צריכה שתהיה תוכו כברו, כמו הגוף לנשמה כן האשה לאיש, והיא נקראת אלהי"ם כו"ס וקנקן כנ"ל, ונמשלה לתורה, קנקן החכמה, כמו שאמרו (יבמות סג ע"ב) כמה טובה אשה טובה שהתורה נמשל בה וכמו שאומר לעיל סוף תיקון י”ד ואתתיה איהי בדיוקנהא הה"ד ראה חיים כו' סוף סוף כו' וזה שאומר למטה אבל יין דכוס דברכה כו':</w:t>
      </w:r>
    </w:p>
  </w:footnote>
  <w:footnote w:id="3613">
    <w:p w:rsidR="00A13282" w:rsidRDefault="00A13282" w:rsidP="003841DB">
      <w:pPr>
        <w:pStyle w:val="a5"/>
      </w:pPr>
      <w:r>
        <w:rPr>
          <w:rStyle w:val="a7"/>
        </w:rPr>
        <w:footnoteRef/>
      </w:r>
      <w:r>
        <w:t xml:space="preserve"> </w:t>
      </w:r>
      <w:r>
        <w:rPr>
          <w:b/>
          <w:bCs/>
          <w:rtl/>
        </w:rPr>
        <w:t>אז היא כוס כו' ואם לאו כו'.</w:t>
      </w:r>
      <w:r>
        <w:rPr>
          <w:rtl/>
        </w:rPr>
        <w:t xml:space="preserve"> וכן הוא בגוף - (יבמות סג ע"א) זכה נעשית לו עזר כו', וכן בתורה (יומא עב ע"ב) זכה נעשית לו סם חיים כו', (נזיר כג ע"א) צדיקים ילכו בם כו':</w:t>
      </w:r>
    </w:p>
  </w:footnote>
  <w:footnote w:id="3614">
    <w:p w:rsidR="00A13282" w:rsidRDefault="00A13282" w:rsidP="003841DB">
      <w:pPr>
        <w:pStyle w:val="a5"/>
        <w:rPr>
          <w:rtl/>
        </w:rPr>
      </w:pPr>
      <w:r>
        <w:rPr>
          <w:rStyle w:val="a7"/>
        </w:rPr>
        <w:footnoteRef/>
      </w:r>
      <w:r>
        <w:t xml:space="preserve"> </w:t>
      </w:r>
      <w:r>
        <w:rPr>
          <w:rtl/>
        </w:rPr>
        <w:t xml:space="preserve"> </w:t>
      </w:r>
      <w:r>
        <w:rPr>
          <w:b/>
          <w:bCs/>
          <w:rtl/>
        </w:rPr>
        <w:t>אבל יין דכוס דברכה.</w:t>
      </w:r>
      <w:r>
        <w:rPr>
          <w:rtl/>
        </w:rPr>
        <w:t xml:space="preserve"> רוצה לומר התורה בלבא נקייה דהוא כוס דברכה - נאמר על התורה ויין כו' וכמו שאמרו (יומא עו ע"ב) זכה משמחו כו', ועל המצות - פקודי כו' דאינון כו' כמו שאומר לעיל ב' א' ועוד אלין דעסקין באורייתא כו' כענבין באתכלא כו':</w:t>
      </w:r>
    </w:p>
    <w:p w:rsidR="00A13282" w:rsidRDefault="00A13282" w:rsidP="003841DB">
      <w:pPr>
        <w:pStyle w:val="a5"/>
      </w:pPr>
    </w:p>
  </w:footnote>
  <w:footnote w:id="3615">
    <w:p w:rsidR="00A13282" w:rsidRDefault="00A13282" w:rsidP="003841DB">
      <w:pPr>
        <w:jc w:val="both"/>
      </w:pPr>
      <w:r>
        <w:rPr>
          <w:rStyle w:val="a7"/>
        </w:rPr>
        <w:footnoteRef/>
      </w:r>
      <w:r>
        <w:t xml:space="preserve"> </w:t>
      </w:r>
      <w:r>
        <w:rPr>
          <w:b/>
          <w:bCs/>
          <w:rtl/>
        </w:rPr>
        <w:t>תיקון כ"ג בראשית ברית אש.</w:t>
      </w:r>
      <w:r>
        <w:rPr>
          <w:rtl/>
        </w:rPr>
        <w:t xml:space="preserve"> תיקון זה ושאחריו צריכים להיות אחר תיקון כ”ט שאמר שם ביה תלת פקודין כו' - והן התלת תיקונין אלו:</w:t>
      </w:r>
    </w:p>
  </w:footnote>
  <w:footnote w:id="3616">
    <w:p w:rsidR="00A13282" w:rsidRDefault="00A13282" w:rsidP="003841DB">
      <w:pPr>
        <w:pStyle w:val="a5"/>
      </w:pPr>
      <w:r>
        <w:rPr>
          <w:rStyle w:val="a7"/>
        </w:rPr>
        <w:footnoteRef/>
      </w:r>
      <w:r>
        <w:t xml:space="preserve"> </w:t>
      </w:r>
      <w:r>
        <w:rPr>
          <w:b/>
          <w:bCs/>
          <w:rtl/>
        </w:rPr>
        <w:t xml:space="preserve"> ברית אש.</w:t>
      </w:r>
      <w:r>
        <w:rPr>
          <w:rtl/>
        </w:rPr>
        <w:t xml:space="preserve"> כמו שאומר לעיל יו"ד א' ועוד והמשכילים כו', ופומא דאמה - בחינת מלכות, לכן ערלה חופף, וניתן לאדם לתקנו, מלכין דאתבטלו הכא אתקיימו דבמילה אתגליא חסד שם, וזהו תכלית כל האדם לתקנא לדרגא זו, ובעוד ערלה שם נקרא עולם התוהו וכשנימול אתגליא חסד, יוד, כו' ונקרא איש, ועיין באידרא רבה קמ"ב ובספרא דצניעותא פ"ג:</w:t>
      </w:r>
    </w:p>
  </w:footnote>
  <w:footnote w:id="3617">
    <w:p w:rsidR="00A13282" w:rsidRDefault="00A13282" w:rsidP="003841DB">
      <w:pPr>
        <w:pStyle w:val="a5"/>
      </w:pPr>
      <w:r>
        <w:rPr>
          <w:rStyle w:val="a7"/>
        </w:rPr>
        <w:footnoteRef/>
      </w:r>
      <w:r>
        <w:t xml:space="preserve"> </w:t>
      </w:r>
      <w:r>
        <w:rPr>
          <w:b/>
          <w:bCs/>
          <w:rtl/>
        </w:rPr>
        <w:t xml:space="preserve"> ואיהו נשמת כל חי ודא צדיק חי עולמים דמניה פרחין נשמתין דצדיקיא כל אתקרי כו'.</w:t>
      </w:r>
      <w:r>
        <w:rPr>
          <w:rtl/>
        </w:rPr>
        <w:t xml:space="preserve"> עיין לעיל בריש הקדמה א' א' ובזהר פרשת תרומה קל"ח א'. והענין, שרוצה להרכיב שבת וברית יחד, שבשניהם נתגלה הברית ושלכן אומרים בשבת נשמת וכמו שאומר שם, ושניהן הם דרגא דברית, יום השביעי, ובשניהם נאמר ברית וכן מפרש והולך הכל יחד דאיהו תמניא כו' כגוונא דא כו', ועכשיו מפרש והולך היאך נשמת כל חי הוא בצדיק, ואמר נשמת דמיניה פרחין כו'. כל אתקרי שהוא קשורא כו' שבו מתייחדין כל האברים ושפע כולם בו:</w:t>
      </w:r>
    </w:p>
  </w:footnote>
  <w:footnote w:id="3618">
    <w:p w:rsidR="00A13282" w:rsidRDefault="00A13282" w:rsidP="003841DB">
      <w:pPr>
        <w:pStyle w:val="a5"/>
      </w:pPr>
      <w:r>
        <w:rPr>
          <w:rStyle w:val="a7"/>
        </w:rPr>
        <w:footnoteRef/>
      </w:r>
      <w:r>
        <w:t xml:space="preserve"> </w:t>
      </w:r>
      <w:r>
        <w:rPr>
          <w:b/>
          <w:bCs/>
          <w:rtl/>
        </w:rPr>
        <w:t xml:space="preserve"> ח' דאיהי כו'.</w:t>
      </w:r>
      <w:r>
        <w:rPr>
          <w:rtl/>
        </w:rPr>
        <w:t xml:space="preserve"> מפרש שנקרא ח"י - כי היו"ד הוא הברית כמו שאומר לעיל יוד א' ושאר מקומות, וח' - הוא תחום דיליה ועיין לעיל י"א ב' מאן דאעיל ברשות דילה כו' דרשות דילה כו' וזה שאומר שם יו"ד ב' ומאן דאיהו נטיר יו"ד בח' יומין כו' איהו נטיר כו' שנקרא חי ולא יכול לשלטא עליה סטרא דמות:</w:t>
      </w:r>
    </w:p>
  </w:footnote>
  <w:footnote w:id="3619">
    <w:p w:rsidR="00A13282" w:rsidRDefault="00A13282" w:rsidP="003841DB">
      <w:pPr>
        <w:pStyle w:val="a5"/>
      </w:pPr>
      <w:r>
        <w:rPr>
          <w:rStyle w:val="a7"/>
        </w:rPr>
        <w:footnoteRef/>
      </w:r>
      <w:r>
        <w:t xml:space="preserve"> </w:t>
      </w:r>
      <w:r>
        <w:rPr>
          <w:b/>
          <w:bCs/>
          <w:rtl/>
        </w:rPr>
        <w:t xml:space="preserve"> חלול.</w:t>
      </w:r>
      <w:r>
        <w:rPr>
          <w:rtl/>
        </w:rPr>
        <w:t xml:space="preserve"> רוצה לומר הח' שומר מח' של חילול:</w:t>
      </w:r>
    </w:p>
  </w:footnote>
  <w:footnote w:id="3620">
    <w:p w:rsidR="00A13282" w:rsidRDefault="00A13282" w:rsidP="003841DB">
      <w:pPr>
        <w:pStyle w:val="a5"/>
      </w:pPr>
      <w:r>
        <w:rPr>
          <w:rStyle w:val="a7"/>
        </w:rPr>
        <w:footnoteRef/>
      </w:r>
      <w:r>
        <w:t xml:space="preserve"> </w:t>
      </w:r>
      <w:r>
        <w:rPr>
          <w:b/>
          <w:bCs/>
          <w:rtl/>
        </w:rPr>
        <w:t xml:space="preserve"> ואתא בריה כו'.</w:t>
      </w:r>
      <w:r>
        <w:rPr>
          <w:rtl/>
        </w:rPr>
        <w:t xml:space="preserve"> שם כתיב אח"כ שהיה רב המנונא סבא בעצמו:</w:t>
      </w:r>
    </w:p>
  </w:footnote>
  <w:footnote w:id="3621">
    <w:p w:rsidR="00A13282" w:rsidRDefault="00A13282" w:rsidP="003841DB">
      <w:pPr>
        <w:pStyle w:val="a5"/>
      </w:pPr>
      <w:r>
        <w:rPr>
          <w:rStyle w:val="a7"/>
        </w:rPr>
        <w:footnoteRef/>
      </w:r>
      <w:r>
        <w:t xml:space="preserve"> </w:t>
      </w:r>
      <w:r>
        <w:rPr>
          <w:b/>
          <w:bCs/>
          <w:rtl/>
        </w:rPr>
        <w:t xml:space="preserve"> בתר.</w:t>
      </w:r>
      <w:r>
        <w:rPr>
          <w:rtl/>
        </w:rPr>
        <w:t xml:space="preserve"> הענין כבר נתבאר לעיל. וחמרין הן נפשין דתלמידי חכמים וכמו שאמרו ח'כם מ'ופלא ו'רב ר'בנן וכמו שכתוב (בראשית מט יד) יששכר חמור גרם, שתלמידי חכמים הן מסטרא דימינא (ולכן (שמות יג יג, לד כ) ופטר חמור תפדה כו', ועיין בזהר פרשת בא אבל שור שחיטתן בצפון) אבל עמי הארצות נפשותיהן מסטרא דשמאל, שור, בעירן, והלך לקבץ נפשותיהן כנ"ל ולכך הלך אחר מארי תורה עם החמורים:</w:t>
      </w:r>
    </w:p>
  </w:footnote>
  <w:footnote w:id="3622">
    <w:p w:rsidR="00A13282" w:rsidRDefault="00A13282" w:rsidP="003841DB">
      <w:pPr>
        <w:pStyle w:val="a5"/>
        <w:rPr>
          <w:rtl/>
        </w:rPr>
      </w:pPr>
      <w:r>
        <w:rPr>
          <w:rStyle w:val="a7"/>
        </w:rPr>
        <w:footnoteRef/>
      </w:r>
      <w:r>
        <w:t xml:space="preserve"> </w:t>
      </w:r>
      <w:r>
        <w:rPr>
          <w:b/>
          <w:bCs/>
          <w:rtl/>
        </w:rPr>
        <w:t>ואמר איהו כו'.</w:t>
      </w:r>
      <w:r>
        <w:rPr>
          <w:rtl/>
        </w:rPr>
        <w:t xml:space="preserve"> והענין בקיצור, דשבתותי - הוא מ' וס' של אפרסמון, וצריך שמירה מס"ם - נוק' דאל אחר, כמו שאומר בתיקון כ”ד, לפי שנאחזים באחורים דלהון המתפשטת למטה, והענין, כי מ' וס' הן מתפשטין בזו"נ - ו"ק דיליה, וד' סטרין דילה, ו"ד, דו פרצופין כידוע, והן תחום שבת בד' סטרין, ולכן בשבת עונש מיתה וכרת, מיתה - בבית דין שלמטה ששם מ' מלקות מסטרא דמ' שהוא תתאה, וכן מיתה הוא מסטרא דמ' כמו שאומר בזהר פרשת פנחס נחית וסליק כו', וכרת הוא בבית דין שלמעלה ששם ס' פולסין, דס' הוא למעלה בבינה, וכן כרת שנכרת מס', פחות מבן ס', והן ס"ם דאשת זנונים, סם המות, אבל (יומא עב ע"ב) זכה - נעשית לו סם חיים, אפרסמונא דכיא, ואלו הן שבתותי, שניהם בבינה, ומסטרה הוא ב' שבתות - שבת דמעלי שבת ודיום השבת, וכן ב' קדושין דיום ולילה, ומקדשי - אמר שם על חכמת שלמה, והוא המקדש, ושם היראה בסוד (אבות ג יז) אם אין יראה כו' ושם תקופות וגימטריות פרפראות לחכמה (אבות ג יח), ושם פנים ואחור של הוי"ה, זו"נ של חכמה, ו"ד, התחלת המתקלא, והם גימטריה אני, ועל זה נאמר (ישעיהו נח יג) וקראת לשבת עונג, שהעונג הוא על פשיטותא דנקודה והוא עגולא ורבועא, ולקדוש ה' - ההיא נקודה, מכובד - והוא כבוד שבת, כ"ב"ו"ד ידוע, והם ד' דרגין נגד ד' אותיות הוי"ה, כבוד ועונג י"ה כנ"ל, זכור ושמור הן בזו"נ, ומקדשי דכורא בז"א קידוש, שבתותי תשמורו בשמור, ונמצא מפרש כל הקרא הכל על שבת, ומתחילה דריש שם שבתותי על בינה וצדיק שהן שניהם כלילין כחדא, מלכא דשלמא דיליה, ושניהן נקראים שבת יום השביעי מלמטה כו', ומקדשי תיראו על מלכות, והן ג' שבתות, ג' סעודות, שבינה כוללת ויסוד ו"ק, וכן לפירוש אביו הן גם כן ב' שבתות, שבתותי הן בזו"נ שבהן מתפשטין עגולא ורבועא שהן זו"נ, עגולא רהיט ורבועא לא רהיט, שמים וארץ, והארץ לעולם כו' אנת הוא דמרבעת (זוהר חדש מ"ה ג') וכמו שכתוב מארבע כנפות ואמרו בספרי (כב יב) כנפות כסותך כו', ומקדשי הוא בג"ר, אני ה', פנים ואחור ופשוטו, ראשו כתם פז, אבל רשב"י מפרש ומקדשי תיראו על ברית קודש, אשר קידש ידיד כו', (ירמיהו יא טו) ובשר קודש כו', וכליל לון בחד קרא, שהן בחד דרגא ושקולין דא לדא כנ"ל וזה שאומר </w:t>
      </w:r>
      <w:r>
        <w:rPr>
          <w:b/>
          <w:bCs/>
          <w:rtl/>
        </w:rPr>
        <w:t>א"ל ברי בודאי ברית כו'</w:t>
      </w:r>
      <w:r>
        <w:rPr>
          <w:rtl/>
        </w:rPr>
        <w:t xml:space="preserve"> וכן מפורש בתיקון כ”ד בראשית ירא שבת רוצה לומר יראה של הברית, דמקדשי תיראו ושבת כחדא ואמר שם ועלייהו אתמר את כו':</w:t>
      </w:r>
    </w:p>
    <w:p w:rsidR="00A13282" w:rsidRDefault="00A13282" w:rsidP="003841DB">
      <w:pPr>
        <w:pStyle w:val="a5"/>
      </w:pPr>
    </w:p>
  </w:footnote>
  <w:footnote w:id="3623">
    <w:p w:rsidR="00A13282" w:rsidRDefault="00A13282" w:rsidP="003841DB">
      <w:pPr>
        <w:pStyle w:val="a5"/>
      </w:pPr>
      <w:r>
        <w:rPr>
          <w:rStyle w:val="a7"/>
        </w:rPr>
        <w:footnoteRef/>
      </w:r>
      <w:r>
        <w:t xml:space="preserve"> </w:t>
      </w:r>
      <w:r>
        <w:rPr>
          <w:b/>
          <w:bCs/>
          <w:rtl/>
        </w:rPr>
        <w:t>תיקון כ"ד בראשית ירא שבת ומה תהא דחיל ירא ברית כו'.</w:t>
      </w:r>
      <w:r>
        <w:rPr>
          <w:rtl/>
        </w:rPr>
        <w:t xml:space="preserve"> רוצה לומר שנכללין כאן שבת וברית יחד - ששקולין, כנ"ל בתיקון הקודם דיראה שייך בברית כשנסתלק היו"ד נשאר אש, וכמו שאמרו (סוטה יז ע"א) איש ואשה י"ה ביניהן כו', וכתיב (איוב יט כט) גורו לכם כו', ומפרש והולך דשקולין יחד כמה דצריך כו' רוצה לומר בבת אל נכר, כן בשבת בנוק' דאל נכר, דרשות היחיד - נוק' דקדושה, ורשות הרבים - נוק' דאל אחר:</w:t>
      </w:r>
    </w:p>
  </w:footnote>
  <w:footnote w:id="3624">
    <w:p w:rsidR="00A13282" w:rsidRDefault="00A13282" w:rsidP="003841DB">
      <w:pPr>
        <w:pStyle w:val="a5"/>
      </w:pPr>
      <w:r>
        <w:rPr>
          <w:rStyle w:val="a7"/>
        </w:rPr>
        <w:footnoteRef/>
      </w:r>
      <w:r>
        <w:t xml:space="preserve"> </w:t>
      </w:r>
      <w:r>
        <w:rPr>
          <w:b/>
          <w:bCs/>
          <w:rtl/>
        </w:rPr>
        <w:t xml:space="preserve"> ואיהי כללא דע' כו'.</w:t>
      </w:r>
      <w:r>
        <w:rPr>
          <w:rtl/>
        </w:rPr>
        <w:t xml:space="preserve"> רוצה לומר, שלכן נקראת רשות הרבים, אבל שכינתא - לישראל לבד, (שמות לא יז) ביני ובין בני ישראל, (סנהדרין נח ע"ב) עובד כוכבים ששבת כו', וכבר כתבתי בתיקון כ”ג ענין ס"מ שהן זו"נ, ס' - ו"ק, מ' - נוק', השביעית, ואלו הן ע' אומות, עשר דידה, הוא שניתן לאברהם ארץ ישראל, וניתן ביד ישראל (דברים כ טז) לא תחיה כל נשמה, וניתן להשראת שכינה, (שה"ש ג ז) וששים סביב - חוץ לארץ דדכורא, והן לא ניתן ביד ישראל עד יכניע הקב"ה בעצמו, שפעולת ישראל מצד השכינה (וכן הוא ע' דודים דידה, עשר - בסטרהא, וששים גבורים סביב לה מגבורי ישראל בעלה):</w:t>
      </w:r>
    </w:p>
  </w:footnote>
  <w:footnote w:id="3625">
    <w:p w:rsidR="00A13282" w:rsidRDefault="00A13282" w:rsidP="003841DB">
      <w:pPr>
        <w:pStyle w:val="a5"/>
      </w:pPr>
      <w:r>
        <w:rPr>
          <w:rStyle w:val="a7"/>
        </w:rPr>
        <w:footnoteRef/>
      </w:r>
      <w:r>
        <w:t xml:space="preserve"> </w:t>
      </w:r>
      <w:r>
        <w:rPr>
          <w:b/>
          <w:bCs/>
          <w:rtl/>
        </w:rPr>
        <w:t xml:space="preserve"> ואיהי כו' ובעלה חלול כו'.</w:t>
      </w:r>
      <w:r>
        <w:rPr>
          <w:rtl/>
        </w:rPr>
        <w:t xml:space="preserve"> רוצה לומר דאיהי חלל בה' והוא בו':</w:t>
      </w:r>
    </w:p>
  </w:footnote>
  <w:footnote w:id="3626">
    <w:p w:rsidR="00A13282" w:rsidRDefault="00A13282" w:rsidP="003841DB">
      <w:pPr>
        <w:pStyle w:val="a5"/>
      </w:pPr>
      <w:r>
        <w:rPr>
          <w:rStyle w:val="a7"/>
        </w:rPr>
        <w:footnoteRef/>
      </w:r>
      <w:r>
        <w:t xml:space="preserve"> </w:t>
      </w:r>
      <w:r>
        <w:rPr>
          <w:b/>
          <w:bCs/>
          <w:rtl/>
        </w:rPr>
        <w:t>חייב מיתה.</w:t>
      </w:r>
      <w:r>
        <w:rPr>
          <w:rtl/>
        </w:rPr>
        <w:t xml:space="preserve"> רוצה לומר משום שנדבק בסם המות - נוק' כו' כנ"ל, וזה שאומר מחלליה - שמכניס חללה באתר נוק' דקדושה:</w:t>
      </w:r>
    </w:p>
  </w:footnote>
  <w:footnote w:id="3627">
    <w:p w:rsidR="00A13282" w:rsidRDefault="00A13282" w:rsidP="003841DB">
      <w:pPr>
        <w:pStyle w:val="a5"/>
      </w:pPr>
      <w:r>
        <w:rPr>
          <w:rStyle w:val="a7"/>
        </w:rPr>
        <w:footnoteRef/>
      </w:r>
      <w:r>
        <w:t xml:space="preserve"> </w:t>
      </w:r>
      <w:r>
        <w:rPr>
          <w:b/>
          <w:bCs/>
          <w:rtl/>
        </w:rPr>
        <w:t xml:space="preserve"> ועלייהו אתמר כו'.</w:t>
      </w:r>
      <w:r>
        <w:rPr>
          <w:rtl/>
        </w:rPr>
        <w:t xml:space="preserve"> רוצה לומר על שכינה עילאה ותתאה, ומקדשי על ברית שכולל ו"ק והוא כלל עשר ספירות:</w:t>
      </w:r>
    </w:p>
  </w:footnote>
  <w:footnote w:id="3628">
    <w:p w:rsidR="00A13282" w:rsidRDefault="00A13282" w:rsidP="003841DB">
      <w:pPr>
        <w:pStyle w:val="a5"/>
      </w:pPr>
      <w:r>
        <w:rPr>
          <w:rStyle w:val="a7"/>
        </w:rPr>
        <w:footnoteRef/>
      </w:r>
      <w:r>
        <w:t xml:space="preserve"> </w:t>
      </w:r>
      <w:r>
        <w:rPr>
          <w:b/>
          <w:bCs/>
          <w:rtl/>
        </w:rPr>
        <w:t xml:space="preserve"> בבת זוגי'.</w:t>
      </w:r>
      <w:r>
        <w:rPr>
          <w:rtl/>
        </w:rPr>
        <w:t xml:space="preserve"> שכינה תתאה, וכן האדם בבת זוגיה, וסמיך לשבת שאז זמן זיווג:</w:t>
      </w:r>
    </w:p>
  </w:footnote>
  <w:footnote w:id="3629">
    <w:p w:rsidR="00A13282" w:rsidRDefault="00A13282" w:rsidP="003841DB">
      <w:pPr>
        <w:pStyle w:val="a5"/>
      </w:pPr>
      <w:r>
        <w:rPr>
          <w:rStyle w:val="a7"/>
        </w:rPr>
        <w:footnoteRef/>
      </w:r>
      <w:r>
        <w:t xml:space="preserve"> </w:t>
      </w:r>
      <w:r>
        <w:rPr>
          <w:b/>
          <w:bCs/>
          <w:rtl/>
        </w:rPr>
        <w:t xml:space="preserve"> ברכה דיליה.</w:t>
      </w:r>
      <w:r>
        <w:rPr>
          <w:rtl/>
        </w:rPr>
        <w:t xml:space="preserve"> ועם יוד דברית הוא יב"ק, שיחוד הוא בברית, ועוד ברכה הוא בשכינה עילאה וכולן הן יב"ק:</w:t>
      </w:r>
    </w:p>
  </w:footnote>
  <w:footnote w:id="3630">
    <w:p w:rsidR="00A13282" w:rsidRDefault="00A13282" w:rsidP="003841DB">
      <w:pPr>
        <w:pStyle w:val="a5"/>
      </w:pPr>
      <w:r>
        <w:rPr>
          <w:rStyle w:val="a7"/>
        </w:rPr>
        <w:footnoteRef/>
      </w:r>
      <w:r>
        <w:t xml:space="preserve"> </w:t>
      </w:r>
      <w:r>
        <w:rPr>
          <w:b/>
          <w:bCs/>
          <w:rtl/>
        </w:rPr>
        <w:t xml:space="preserve"> ולגבי תרווייהו.</w:t>
      </w:r>
      <w:r>
        <w:rPr>
          <w:rtl/>
        </w:rPr>
        <w:t xml:space="preserve"> שבתותי הנ"ל:</w:t>
      </w:r>
    </w:p>
  </w:footnote>
  <w:footnote w:id="3631">
    <w:p w:rsidR="00A13282" w:rsidRDefault="00A13282" w:rsidP="003841DB">
      <w:pPr>
        <w:pStyle w:val="a5"/>
      </w:pPr>
      <w:r>
        <w:rPr>
          <w:rStyle w:val="a7"/>
        </w:rPr>
        <w:footnoteRef/>
      </w:r>
      <w:r>
        <w:t xml:space="preserve"> </w:t>
      </w:r>
      <w:r>
        <w:rPr>
          <w:b/>
          <w:bCs/>
          <w:rtl/>
        </w:rPr>
        <w:t xml:space="preserve"> וצריך לברכא להון כו' .</w:t>
      </w:r>
      <w:r>
        <w:rPr>
          <w:rtl/>
        </w:rPr>
        <w:t xml:space="preserve"> רוצה לומר ב' שבתותי הנ"ל ולכן ברכה וקידוש ביום ובלילה, וביום נקרא קידושא רבה, מלך רב:</w:t>
      </w:r>
    </w:p>
  </w:footnote>
  <w:footnote w:id="3632">
    <w:p w:rsidR="00A13282" w:rsidRDefault="00A13282" w:rsidP="003841DB">
      <w:pPr>
        <w:pStyle w:val="a5"/>
      </w:pPr>
      <w:r>
        <w:rPr>
          <w:rStyle w:val="a7"/>
        </w:rPr>
        <w:footnoteRef/>
      </w:r>
      <w:r>
        <w:t xml:space="preserve"> </w:t>
      </w:r>
      <w:r>
        <w:rPr>
          <w:b/>
          <w:bCs/>
          <w:rtl/>
        </w:rPr>
        <w:t xml:space="preserve"> דקידוש וויכלו.</w:t>
      </w:r>
      <w:r>
        <w:rPr>
          <w:rtl/>
        </w:rPr>
        <w:t xml:space="preserve"> ל"ה מימינא, ול"ה משמאלא, אני והו דזו"נ, והברכה וקידוש הוא לאמשכא נהירו דאו"א שהן ברכה וקדושה, ברכה חכמה נחית כו' קדושה כו', ע"ב ס"ג, דעתה קל"ה, ודעתה הוא י"ה דב' הנ"ל שהן בראשי תיבות יום הששי והן חושבן ע':</w:t>
      </w:r>
    </w:p>
  </w:footnote>
  <w:footnote w:id="3633">
    <w:p w:rsidR="00A13282" w:rsidRDefault="00A13282" w:rsidP="003841DB">
      <w:pPr>
        <w:pStyle w:val="a5"/>
      </w:pPr>
      <w:r>
        <w:rPr>
          <w:rStyle w:val="a7"/>
        </w:rPr>
        <w:footnoteRef/>
      </w:r>
      <w:r>
        <w:t xml:space="preserve"> </w:t>
      </w:r>
      <w:r>
        <w:rPr>
          <w:b/>
          <w:bCs/>
          <w:rtl/>
        </w:rPr>
        <w:t xml:space="preserve"> כחושבן יין.</w:t>
      </w:r>
      <w:r>
        <w:rPr>
          <w:rtl/>
        </w:rPr>
        <w:t xml:space="preserve"> והוא נקודות דאלקים ששם היין, לכך הוא ב' יודין ונו"ן, וכוס הוא אלקים בעצמו, ויין המשמח הוא הוי"ה בניקוד אלקים ,וזה שאומר בגין דאתקשרו באילנא כו' וכמו שאמרו (ברכות נז ע"א) יש שותה כו', לא בהמשכר:</w:t>
      </w:r>
    </w:p>
  </w:footnote>
  <w:footnote w:id="3634">
    <w:p w:rsidR="00A13282" w:rsidRDefault="00A13282" w:rsidP="003841DB">
      <w:pPr>
        <w:pStyle w:val="a5"/>
      </w:pPr>
      <w:r>
        <w:rPr>
          <w:rStyle w:val="a7"/>
        </w:rPr>
        <w:footnoteRef/>
      </w:r>
      <w:r>
        <w:t xml:space="preserve"> </w:t>
      </w:r>
      <w:r>
        <w:rPr>
          <w:b/>
          <w:bCs/>
          <w:rtl/>
        </w:rPr>
        <w:t xml:space="preserve"> וכולא קשוט שבע כו'.</w:t>
      </w:r>
      <w:r>
        <w:rPr>
          <w:rtl/>
        </w:rPr>
        <w:t xml:space="preserve"> ורוצה לומר ז' מצות דאתפקד, ויצו כו' (סנהדרין נו ע"ב) - עבר באכילתו כמו שאמרו בזהר פרשת בראשית ל"ו א' א"ר יוסי הא דתנינן כו' וחטא בבת שבע דכלילן בה כל שבע מינין, וכמו שאמרו בתיקוני זהר חדש פ' ד' בגין דחב אדם כו':</w:t>
      </w:r>
    </w:p>
  </w:footnote>
  <w:footnote w:id="3635">
    <w:p w:rsidR="00A13282" w:rsidRDefault="00A13282" w:rsidP="003841DB">
      <w:pPr>
        <w:pStyle w:val="a5"/>
      </w:pPr>
      <w:r>
        <w:rPr>
          <w:rStyle w:val="a7"/>
        </w:rPr>
        <w:footnoteRef/>
      </w:r>
      <w:r>
        <w:t xml:space="preserve"> </w:t>
      </w:r>
      <w:r>
        <w:rPr>
          <w:b/>
          <w:bCs/>
          <w:rtl/>
        </w:rPr>
        <w:t xml:space="preserve"> חטה כו'.</w:t>
      </w:r>
      <w:r>
        <w:rPr>
          <w:rtl/>
        </w:rPr>
        <w:t xml:space="preserve"> ח"ט סמיך לה', מוץ ותבן שהם המיתה:</w:t>
      </w:r>
    </w:p>
  </w:footnote>
  <w:footnote w:id="3636">
    <w:p w:rsidR="00A13282" w:rsidRDefault="00A13282" w:rsidP="003841DB">
      <w:pPr>
        <w:pStyle w:val="a5"/>
      </w:pPr>
      <w:r>
        <w:rPr>
          <w:rStyle w:val="a7"/>
        </w:rPr>
        <w:footnoteRef/>
      </w:r>
      <w:r>
        <w:t xml:space="preserve"> </w:t>
      </w:r>
      <w:r>
        <w:rPr>
          <w:b/>
          <w:bCs/>
          <w:rtl/>
        </w:rPr>
        <w:t xml:space="preserve"> תאנה כו'.</w:t>
      </w:r>
      <w:r>
        <w:rPr>
          <w:rtl/>
        </w:rPr>
        <w:t xml:space="preserve"> רוצה לומר כמו שמפרש והולך על לא תשא:</w:t>
      </w:r>
    </w:p>
  </w:footnote>
  <w:footnote w:id="3637">
    <w:p w:rsidR="00A13282" w:rsidRDefault="00A13282" w:rsidP="003841DB">
      <w:pPr>
        <w:pStyle w:val="a5"/>
      </w:pPr>
      <w:r>
        <w:rPr>
          <w:rStyle w:val="a7"/>
        </w:rPr>
        <w:footnoteRef/>
      </w:r>
      <w:r>
        <w:t xml:space="preserve"> </w:t>
      </w:r>
      <w:r>
        <w:rPr>
          <w:b/>
          <w:bCs/>
          <w:rtl/>
        </w:rPr>
        <w:t xml:space="preserve"> רמון אחר בי' כו'.</w:t>
      </w:r>
      <w:r>
        <w:rPr>
          <w:rtl/>
        </w:rPr>
        <w:t xml:space="preserve"> רוצה לומר שהן בז’ ספירות דידה שחב בהן:</w:t>
      </w:r>
    </w:p>
  </w:footnote>
  <w:footnote w:id="3638">
    <w:p w:rsidR="00A13282" w:rsidRDefault="00A13282" w:rsidP="003841DB">
      <w:pPr>
        <w:pStyle w:val="a5"/>
      </w:pPr>
      <w:r>
        <w:rPr>
          <w:rStyle w:val="a7"/>
        </w:rPr>
        <w:footnoteRef/>
      </w:r>
      <w:r>
        <w:t xml:space="preserve"> </w:t>
      </w:r>
      <w:r>
        <w:rPr>
          <w:b/>
          <w:bCs/>
          <w:rtl/>
        </w:rPr>
        <w:t xml:space="preserve"> תוכו אכל.</w:t>
      </w:r>
      <w:r>
        <w:rPr>
          <w:rtl/>
        </w:rPr>
        <w:t xml:space="preserve"> ט"ט שבו שד"י שמי בקרבו, רוכב על כרוב ושט בח"י עלמין, אבל רמון הוא רצוא, ארגמ"ן:</w:t>
      </w:r>
    </w:p>
  </w:footnote>
  <w:footnote w:id="3639">
    <w:p w:rsidR="00A13282" w:rsidRDefault="00A13282" w:rsidP="003841DB">
      <w:pPr>
        <w:pStyle w:val="a5"/>
      </w:pPr>
      <w:r>
        <w:rPr>
          <w:rStyle w:val="a7"/>
        </w:rPr>
        <w:footnoteRef/>
      </w:r>
      <w:r>
        <w:t xml:space="preserve"> </w:t>
      </w:r>
      <w:r>
        <w:rPr>
          <w:b/>
          <w:bCs/>
          <w:rtl/>
        </w:rPr>
        <w:t xml:space="preserve"> דקליפין כו'.</w:t>
      </w:r>
      <w:r>
        <w:rPr>
          <w:rtl/>
        </w:rPr>
        <w:t xml:space="preserve"> שהוא כולל כל צבא השמים ובתוכו הקדושה דרגא דישראל והוא נכנס בקליפין ברמון ונדבק בו:</w:t>
      </w:r>
    </w:p>
  </w:footnote>
  <w:footnote w:id="3640">
    <w:p w:rsidR="00A13282" w:rsidRDefault="00A13282" w:rsidP="003841DB">
      <w:pPr>
        <w:pStyle w:val="a5"/>
      </w:pPr>
      <w:r>
        <w:rPr>
          <w:rStyle w:val="a7"/>
        </w:rPr>
        <w:footnoteRef/>
      </w:r>
      <w:r>
        <w:t xml:space="preserve"> </w:t>
      </w:r>
      <w:r>
        <w:rPr>
          <w:b/>
          <w:bCs/>
          <w:rtl/>
        </w:rPr>
        <w:t xml:space="preserve"> כן כג"ד.</w:t>
      </w:r>
      <w:r>
        <w:rPr>
          <w:rtl/>
        </w:rPr>
        <w:t xml:space="preserve"> שמסתתרת בהון בגלות, (ישעיהו נ ג) אלביש שמים כו', והן לבושי חול בגלות:</w:t>
      </w:r>
    </w:p>
  </w:footnote>
  <w:footnote w:id="3641">
    <w:p w:rsidR="00A13282" w:rsidRDefault="00A13282" w:rsidP="003841DB">
      <w:pPr>
        <w:pStyle w:val="a5"/>
      </w:pPr>
      <w:r>
        <w:rPr>
          <w:rStyle w:val="a7"/>
        </w:rPr>
        <w:footnoteRef/>
      </w:r>
      <w:r>
        <w:t xml:space="preserve"> </w:t>
      </w:r>
      <w:r>
        <w:rPr>
          <w:b/>
          <w:bCs/>
          <w:rtl/>
        </w:rPr>
        <w:t>אגוז כו.</w:t>
      </w:r>
      <w:r>
        <w:rPr>
          <w:rtl/>
        </w:rPr>
        <w:t xml:space="preserve"> ד' קליפין שבו, תהו קו ירוק כו' וגנת הן התמורות והשינויים כו' כמו שאמרו בתיקון כ”ו אבל לעתיד לבא - (שה"ש ה ג) פשטתי את כתנתי, (ישעיהו ל כ) ולא יכנף עוד מוריך והיו כו':</w:t>
      </w:r>
    </w:p>
  </w:footnote>
  <w:footnote w:id="3642">
    <w:p w:rsidR="00A13282" w:rsidRDefault="00A13282" w:rsidP="003841DB">
      <w:pPr>
        <w:pStyle w:val="a5"/>
      </w:pPr>
      <w:r>
        <w:rPr>
          <w:rStyle w:val="a7"/>
        </w:rPr>
        <w:footnoteRef/>
      </w:r>
      <w:r>
        <w:t xml:space="preserve"> </w:t>
      </w:r>
      <w:r>
        <w:rPr>
          <w:b/>
          <w:bCs/>
          <w:rtl/>
        </w:rPr>
        <w:t xml:space="preserve"> איבא כו'.</w:t>
      </w:r>
      <w:r>
        <w:rPr>
          <w:rtl/>
        </w:rPr>
        <w:t xml:space="preserve"> הוא בת מלך, נקודה בהיכליה:</w:t>
      </w:r>
    </w:p>
  </w:footnote>
  <w:footnote w:id="3643">
    <w:p w:rsidR="00A13282" w:rsidRDefault="00A13282" w:rsidP="003841DB">
      <w:pPr>
        <w:pStyle w:val="a5"/>
      </w:pPr>
      <w:r>
        <w:rPr>
          <w:rStyle w:val="a7"/>
        </w:rPr>
        <w:footnoteRef/>
      </w:r>
      <w:r>
        <w:t xml:space="preserve"> </w:t>
      </w:r>
      <w:r>
        <w:rPr>
          <w:b/>
          <w:bCs/>
          <w:rtl/>
        </w:rPr>
        <w:t xml:space="preserve"> ביה ענג.</w:t>
      </w:r>
      <w:r>
        <w:rPr>
          <w:rtl/>
        </w:rPr>
        <w:t xml:space="preserve"> דהוא עדן נהר גן, שהוא ג' סעודות דשבת שהן בעצמן אותן דרגין, וזה שאומר דאיהו צדיק כו' - הוא הנהר, והוא כולל ו"ק דאזיל ת"ק פרסה דרך ה' ספירות כמו שמפרש והולך ונהרא איהו ו' כו':</w:t>
      </w:r>
    </w:p>
  </w:footnote>
  <w:footnote w:id="3644">
    <w:p w:rsidR="00A13282" w:rsidRDefault="00A13282" w:rsidP="003841DB">
      <w:pPr>
        <w:pStyle w:val="a5"/>
      </w:pPr>
      <w:r>
        <w:rPr>
          <w:rStyle w:val="a7"/>
        </w:rPr>
        <w:footnoteRef/>
      </w:r>
      <w:r>
        <w:t xml:space="preserve"> </w:t>
      </w:r>
      <w:r>
        <w:rPr>
          <w:b/>
          <w:bCs/>
          <w:rtl/>
        </w:rPr>
        <w:t xml:space="preserve"> ונהרא איהו ו' כו'.</w:t>
      </w:r>
      <w:r>
        <w:rPr>
          <w:rtl/>
        </w:rPr>
        <w:t xml:space="preserve"> והוא הדעת, בן י"ה, דאזיל בה’ ספירות, ונכלל בצדיק ונקרא על שם הצדיק והאדם ידע כו', וכל ענוגא הוא באותו הנהר דכל שהנהר והזרע הולך באברים כל האברים מתענגים וביותר כשמגיע לצדיק שאז יורה כחץ והוא האור של צדיקים בעולם הבא, דבעולם הזה נגנז רק חוט אחד בחוט של שדרה לצדיק נגנז כו':</w:t>
      </w:r>
    </w:p>
  </w:footnote>
  <w:footnote w:id="3645">
    <w:p w:rsidR="00A13282" w:rsidRDefault="00A13282" w:rsidP="003841DB">
      <w:pPr>
        <w:pStyle w:val="a5"/>
      </w:pPr>
      <w:r>
        <w:rPr>
          <w:rStyle w:val="a7"/>
        </w:rPr>
        <w:footnoteRef/>
      </w:r>
      <w:r>
        <w:t xml:space="preserve"> </w:t>
      </w:r>
      <w:r>
        <w:rPr>
          <w:b/>
          <w:bCs/>
          <w:rtl/>
        </w:rPr>
        <w:t xml:space="preserve"> וע"כ יעזב כו'.</w:t>
      </w:r>
      <w:r>
        <w:rPr>
          <w:rtl/>
        </w:rPr>
        <w:t xml:space="preserve"> על הנהר הזה:</w:t>
      </w:r>
    </w:p>
  </w:footnote>
  <w:footnote w:id="3646">
    <w:p w:rsidR="00A13282" w:rsidRDefault="00A13282" w:rsidP="003841DB">
      <w:pPr>
        <w:pStyle w:val="a5"/>
      </w:pPr>
      <w:r>
        <w:rPr>
          <w:rStyle w:val="a7"/>
        </w:rPr>
        <w:footnoteRef/>
      </w:r>
      <w:r>
        <w:t xml:space="preserve"> </w:t>
      </w:r>
      <w:r>
        <w:rPr>
          <w:b/>
          <w:bCs/>
          <w:rtl/>
        </w:rPr>
        <w:t xml:space="preserve"> וכן ברית מילה כו'.</w:t>
      </w:r>
      <w:r>
        <w:rPr>
          <w:rtl/>
        </w:rPr>
        <w:t xml:space="preserve"> קאי אלמעלה שאמר אגוז קרינן לה, קאמר כאן כמו דשכינה נקרא אגוז כן הצדיק, ושהוא גם כן בד' קליפין דתהו כו' שהן ג' דערלה ואחד דפריעה כמו שאומר לקמן בתיקון ל”ז עיין שם:</w:t>
      </w:r>
    </w:p>
  </w:footnote>
  <w:footnote w:id="3647">
    <w:p w:rsidR="00A13282" w:rsidRDefault="00A13282" w:rsidP="003841DB">
      <w:pPr>
        <w:pStyle w:val="a5"/>
      </w:pPr>
      <w:r>
        <w:rPr>
          <w:rStyle w:val="a7"/>
        </w:rPr>
        <w:footnoteRef/>
      </w:r>
      <w:r>
        <w:t xml:space="preserve"> </w:t>
      </w:r>
      <w:r>
        <w:rPr>
          <w:b/>
          <w:bCs/>
          <w:rtl/>
        </w:rPr>
        <w:t xml:space="preserve"> עלי' אתמר ומע"ה כו'.</w:t>
      </w:r>
      <w:r>
        <w:rPr>
          <w:rtl/>
        </w:rPr>
        <w:t xml:space="preserve"> כמו שאמרו בתיקון הנ"ל דפריעה שהוא קליפה הרביעית - היא נוגה, עץ הדעת טוב ורע עיין שם:</w:t>
      </w:r>
    </w:p>
  </w:footnote>
  <w:footnote w:id="3648">
    <w:p w:rsidR="00A13282" w:rsidRDefault="00A13282" w:rsidP="003841DB">
      <w:pPr>
        <w:pStyle w:val="a5"/>
      </w:pPr>
      <w:r>
        <w:rPr>
          <w:rStyle w:val="a7"/>
        </w:rPr>
        <w:footnoteRef/>
      </w:r>
      <w:r>
        <w:t xml:space="preserve"> </w:t>
      </w:r>
      <w:r>
        <w:rPr>
          <w:b/>
          <w:bCs/>
          <w:rtl/>
        </w:rPr>
        <w:t xml:space="preserve"> ועוד לבא כו'.</w:t>
      </w:r>
      <w:r>
        <w:rPr>
          <w:rtl/>
        </w:rPr>
        <w:t xml:space="preserve"> שהוא גם כן ב' קליפין דזו"נ, ערלה ופריעה, והן תאוני וכעסני שהיא הגאוה, והן נואף ורוצח כמו שאמרו בתיקון הנ"ל, וזהו לב נשבר - מגאוה, ונדכה - מתאוה, כמו שאמרו בזהר פרשת פנחס רעיא מהימנא א' ואת דכא ושפל רוח להחיות כו', וזה שאומר ומסטרא דקליפין כו' שהם ערלים הנ"ל והן אלהים אחרים כמו שאמרו בריש תיקון ל"ח עיין שם:</w:t>
      </w:r>
    </w:p>
  </w:footnote>
  <w:footnote w:id="3649">
    <w:p w:rsidR="00A13282" w:rsidRDefault="00A13282" w:rsidP="003841DB">
      <w:pPr>
        <w:pStyle w:val="a5"/>
      </w:pPr>
      <w:r>
        <w:rPr>
          <w:rStyle w:val="a7"/>
        </w:rPr>
        <w:footnoteRef/>
      </w:r>
      <w:r>
        <w:t xml:space="preserve"> </w:t>
      </w:r>
      <w:r>
        <w:rPr>
          <w:b/>
          <w:bCs/>
          <w:rtl/>
        </w:rPr>
        <w:t xml:space="preserve"> ובשבת כו'.</w:t>
      </w:r>
      <w:r>
        <w:rPr>
          <w:rtl/>
        </w:rPr>
        <w:t xml:space="preserve"> כמו שאומר לקמן ובשבת מלכתא אתפשטת כו':</w:t>
      </w:r>
    </w:p>
  </w:footnote>
  <w:footnote w:id="3650">
    <w:p w:rsidR="00A13282" w:rsidRDefault="00A13282" w:rsidP="003841DB">
      <w:pPr>
        <w:pStyle w:val="a5"/>
      </w:pPr>
      <w:r>
        <w:rPr>
          <w:rStyle w:val="a7"/>
        </w:rPr>
        <w:footnoteRef/>
      </w:r>
      <w:r>
        <w:t xml:space="preserve"> </w:t>
      </w:r>
      <w:r>
        <w:rPr>
          <w:b/>
          <w:bCs/>
          <w:rtl/>
        </w:rPr>
        <w:t xml:space="preserve"> גיהנם כו'.</w:t>
      </w:r>
      <w:r>
        <w:rPr>
          <w:rtl/>
        </w:rPr>
        <w:t xml:space="preserve"> שהן הקליפין, וכן בגופא כמו שמפרש והולך:</w:t>
      </w:r>
    </w:p>
  </w:footnote>
  <w:footnote w:id="3651">
    <w:p w:rsidR="00A13282" w:rsidRDefault="00A13282" w:rsidP="003841DB">
      <w:pPr>
        <w:pStyle w:val="a5"/>
      </w:pPr>
      <w:r>
        <w:rPr>
          <w:rStyle w:val="a7"/>
        </w:rPr>
        <w:footnoteRef/>
      </w:r>
      <w:r>
        <w:t xml:space="preserve"> </w:t>
      </w:r>
      <w:r>
        <w:rPr>
          <w:b/>
          <w:bCs/>
          <w:rtl/>
        </w:rPr>
        <w:t xml:space="preserve"> כבד כו'.</w:t>
      </w:r>
      <w:r>
        <w:rPr>
          <w:rtl/>
        </w:rPr>
        <w:t xml:space="preserve"> ולמטה אמר וכן טחול, והן ב' דרגין דנואף ורוצח, ב' קליפין הנ"ל דזו"ן, ושבת אות ברית צריך לאפשטא, ולאעברא אלין ב' קליפין, והן מרה אדומה ושחורה, וזהו (שמות לה ג) לא תבערו א"ש - אדומה שחורה:</w:t>
      </w:r>
    </w:p>
  </w:footnote>
  <w:footnote w:id="3652">
    <w:p w:rsidR="00A13282" w:rsidRDefault="00A13282" w:rsidP="003841DB">
      <w:pPr>
        <w:pStyle w:val="a5"/>
      </w:pPr>
      <w:r>
        <w:rPr>
          <w:rStyle w:val="a7"/>
        </w:rPr>
        <w:footnoteRef/>
      </w:r>
      <w:r>
        <w:t xml:space="preserve"> </w:t>
      </w:r>
      <w:r>
        <w:rPr>
          <w:b/>
          <w:bCs/>
          <w:rtl/>
        </w:rPr>
        <w:t xml:space="preserve"> דתהא לב נטיר מכלהו דאיהו שמור כו'.</w:t>
      </w:r>
      <w:r>
        <w:rPr>
          <w:rtl/>
        </w:rPr>
        <w:t xml:space="preserve"> דלבא ומוחא הן שמור וזכור כידוע, וכמו שאמרו בזהר פרשת פנחס רכ"ד א' אר"פ מסתכל הוינא שמירה בלב כו' עיין שם בארוכה, ורוצה לומר לפיכך תהא נטיר וזה שכתוב (שמות לא טז) ושמרו כו' לדרתם, דירתם - הלב - יהא שמור:</w:t>
      </w:r>
    </w:p>
  </w:footnote>
  <w:footnote w:id="3653">
    <w:p w:rsidR="00A13282" w:rsidRDefault="00A13282" w:rsidP="003841DB">
      <w:pPr>
        <w:pStyle w:val="a5"/>
      </w:pPr>
      <w:r>
        <w:rPr>
          <w:rStyle w:val="a7"/>
        </w:rPr>
        <w:footnoteRef/>
      </w:r>
      <w:r>
        <w:t xml:space="preserve"> </w:t>
      </w:r>
      <w:r>
        <w:rPr>
          <w:b/>
          <w:bCs/>
          <w:rtl/>
        </w:rPr>
        <w:t xml:space="preserve"> וצריך לקבלא כו' ונפש כו'.</w:t>
      </w:r>
      <w:r>
        <w:rPr>
          <w:rtl/>
        </w:rPr>
        <w:t xml:space="preserve"> שהן נגד ב' הנ"ל זכור ושמור:</w:t>
      </w:r>
    </w:p>
  </w:footnote>
  <w:footnote w:id="3654">
    <w:p w:rsidR="00A13282" w:rsidRDefault="00A13282" w:rsidP="003841DB">
      <w:pPr>
        <w:pStyle w:val="a5"/>
      </w:pPr>
      <w:r>
        <w:rPr>
          <w:rStyle w:val="a7"/>
        </w:rPr>
        <w:footnoteRef/>
      </w:r>
      <w:r>
        <w:t xml:space="preserve"> </w:t>
      </w:r>
      <w:r>
        <w:rPr>
          <w:b/>
          <w:bCs/>
          <w:rtl/>
        </w:rPr>
        <w:t xml:space="preserve"> וצריך אתתא כו'.</w:t>
      </w:r>
      <w:r>
        <w:rPr>
          <w:rtl/>
        </w:rPr>
        <w:t xml:space="preserve"> הן ג' תיקונין שאמרו בגמרא (כתובות קג ע"א?) מטה ונר ושלחן, ואמר שהן ג' דרגין כללא דכלא, מנורה ושולחן - שכינה עילאה ותתאה, ומטה - עמודא דאמצעיתא, והן גם כן ג' דרגין דסעודתא, ומפרש והולך </w:t>
      </w:r>
      <w:r>
        <w:rPr>
          <w:b/>
          <w:bCs/>
          <w:rtl/>
        </w:rPr>
        <w:t>מנרתא לדרום צריכא כו'.</w:t>
      </w:r>
      <w:r>
        <w:rPr>
          <w:rtl/>
        </w:rPr>
        <w:t xml:space="preserve"> דלית פרודא בין או"א:</w:t>
      </w:r>
    </w:p>
  </w:footnote>
  <w:footnote w:id="3655">
    <w:p w:rsidR="00A13282" w:rsidRDefault="00A13282" w:rsidP="003841DB">
      <w:pPr>
        <w:pStyle w:val="a5"/>
      </w:pPr>
      <w:r>
        <w:rPr>
          <w:rStyle w:val="a7"/>
        </w:rPr>
        <w:footnoteRef/>
      </w:r>
      <w:r>
        <w:t xml:space="preserve"> </w:t>
      </w:r>
      <w:r>
        <w:rPr>
          <w:b/>
          <w:bCs/>
          <w:rtl/>
        </w:rPr>
        <w:t xml:space="preserve"> לית דין אתר כו'.</w:t>
      </w:r>
      <w:r>
        <w:rPr>
          <w:rtl/>
        </w:rPr>
        <w:t xml:space="preserve"> תרגום של (בראשית כח יז) מה נורא המקום כו':</w:t>
      </w:r>
    </w:p>
  </w:footnote>
  <w:footnote w:id="3656">
    <w:p w:rsidR="00A13282" w:rsidRDefault="00A13282" w:rsidP="003841DB">
      <w:pPr>
        <w:pStyle w:val="a5"/>
      </w:pPr>
      <w:r>
        <w:rPr>
          <w:rStyle w:val="a7"/>
        </w:rPr>
        <w:footnoteRef/>
      </w:r>
      <w:r>
        <w:t xml:space="preserve"> </w:t>
      </w:r>
      <w:r>
        <w:rPr>
          <w:b/>
          <w:bCs/>
          <w:rtl/>
        </w:rPr>
        <w:t xml:space="preserve"> מטה למערב בין כו' בני כו'.</w:t>
      </w:r>
      <w:r>
        <w:rPr>
          <w:rtl/>
        </w:rPr>
        <w:t xml:space="preserve"> דעליה אתמר (ברכות ה ע"ב) כל הנותן כו' בנים זכרים, וכמו שאמרו בזהר פרשת במדבר קי"ח ב':</w:t>
      </w:r>
    </w:p>
  </w:footnote>
  <w:footnote w:id="3657">
    <w:p w:rsidR="00A13282" w:rsidRDefault="00A13282" w:rsidP="003841DB">
      <w:pPr>
        <w:pStyle w:val="a5"/>
      </w:pPr>
      <w:r>
        <w:rPr>
          <w:rStyle w:val="a7"/>
        </w:rPr>
        <w:footnoteRef/>
      </w:r>
      <w:r>
        <w:t xml:space="preserve"> </w:t>
      </w:r>
      <w:r>
        <w:rPr>
          <w:b/>
          <w:bCs/>
          <w:rtl/>
        </w:rPr>
        <w:t xml:space="preserve"> דאיהו ממש כו'.</w:t>
      </w:r>
      <w:r>
        <w:rPr>
          <w:rtl/>
        </w:rPr>
        <w:t xml:space="preserve"> ובזהר פרשה הנ"ל ושמרו כו' לדורותם כו' ברית עולם כו' אות היא כו' נוק' ליל שבת עטרת הברית, וזה שאומר אות כו':</w:t>
      </w:r>
    </w:p>
  </w:footnote>
  <w:footnote w:id="3658">
    <w:p w:rsidR="00A13282" w:rsidRDefault="00A13282" w:rsidP="003841DB">
      <w:pPr>
        <w:pStyle w:val="a5"/>
      </w:pPr>
      <w:r>
        <w:rPr>
          <w:rStyle w:val="a7"/>
        </w:rPr>
        <w:footnoteRef/>
      </w:r>
      <w:r>
        <w:t xml:space="preserve"> </w:t>
      </w:r>
      <w:r>
        <w:rPr>
          <w:b/>
          <w:bCs/>
          <w:rtl/>
        </w:rPr>
        <w:t xml:space="preserve"> א"ל לא דברית כו'.</w:t>
      </w:r>
      <w:r>
        <w:rPr>
          <w:rtl/>
        </w:rPr>
        <w:t xml:space="preserve"> שהן ג' דרגין דבי"ע, עץ החיים, ועץ הדעת טוב ורע, וכולו רע ועיין מה שכתבתי במקום אחר:</w:t>
      </w:r>
    </w:p>
  </w:footnote>
  <w:footnote w:id="3659">
    <w:p w:rsidR="00A13282" w:rsidRDefault="00A13282" w:rsidP="003841DB">
      <w:pPr>
        <w:pStyle w:val="a5"/>
      </w:pPr>
      <w:r>
        <w:rPr>
          <w:rStyle w:val="a7"/>
        </w:rPr>
        <w:footnoteRef/>
      </w:r>
      <w:r>
        <w:t xml:space="preserve"> </w:t>
      </w:r>
      <w:r>
        <w:rPr>
          <w:b/>
          <w:bCs/>
          <w:rtl/>
        </w:rPr>
        <w:t xml:space="preserve"> איהו מזונא לחויא כו' ודם כו'.</w:t>
      </w:r>
      <w:r>
        <w:rPr>
          <w:rtl/>
        </w:rPr>
        <w:t xml:space="preserve"> עיין מה שכתבתי בתיקון ל”ז בארוכה:</w:t>
      </w:r>
    </w:p>
  </w:footnote>
  <w:footnote w:id="3660">
    <w:p w:rsidR="00A13282" w:rsidRDefault="00A13282" w:rsidP="003841DB">
      <w:pPr>
        <w:pStyle w:val="a5"/>
      </w:pPr>
      <w:r>
        <w:rPr>
          <w:rStyle w:val="a7"/>
        </w:rPr>
        <w:footnoteRef/>
      </w:r>
      <w:r>
        <w:t xml:space="preserve"> </w:t>
      </w:r>
      <w:r>
        <w:rPr>
          <w:b/>
          <w:bCs/>
          <w:rtl/>
        </w:rPr>
        <w:t xml:space="preserve"> לחם כו' מים.</w:t>
      </w:r>
      <w:r>
        <w:rPr>
          <w:rtl/>
        </w:rPr>
        <w:t xml:space="preserve"> הן עפרא ודמא הנ"ל:</w:t>
      </w:r>
    </w:p>
  </w:footnote>
  <w:footnote w:id="3661">
    <w:p w:rsidR="00A13282" w:rsidRDefault="00A13282" w:rsidP="003841DB">
      <w:pPr>
        <w:pStyle w:val="a5"/>
      </w:pPr>
      <w:r>
        <w:rPr>
          <w:rStyle w:val="a7"/>
        </w:rPr>
        <w:footnoteRef/>
      </w:r>
      <w:r>
        <w:t xml:space="preserve"> </w:t>
      </w:r>
      <w:r>
        <w:rPr>
          <w:b/>
          <w:bCs/>
          <w:rtl/>
        </w:rPr>
        <w:t xml:space="preserve"> וזבחת כו'.</w:t>
      </w:r>
      <w:r>
        <w:rPr>
          <w:rtl/>
        </w:rPr>
        <w:t xml:space="preserve"> וכתיב (דברים יב כז) ועשית עולותיך הבשר והדם כו':</w:t>
      </w:r>
    </w:p>
  </w:footnote>
  <w:footnote w:id="3662">
    <w:p w:rsidR="00A13282" w:rsidRDefault="00A13282" w:rsidP="003841DB">
      <w:pPr>
        <w:pStyle w:val="a5"/>
      </w:pPr>
      <w:r>
        <w:rPr>
          <w:rStyle w:val="a7"/>
        </w:rPr>
        <w:footnoteRef/>
      </w:r>
      <w:r>
        <w:t xml:space="preserve"> </w:t>
      </w:r>
      <w:r>
        <w:rPr>
          <w:b/>
          <w:bCs/>
          <w:rtl/>
        </w:rPr>
        <w:t xml:space="preserve"> באתר כו'.</w:t>
      </w:r>
      <w:r>
        <w:rPr>
          <w:rtl/>
        </w:rPr>
        <w:t xml:space="preserve"> כמו שכתוב (דברים ל יב) מי יעלה לנו השמימה, וסימן ישמחו השמים ותגל הארץ, י"ה בשמים ו"ה בארץ, הוי"ה שלימה בזו"ן:</w:t>
      </w:r>
    </w:p>
  </w:footnote>
  <w:footnote w:id="3663">
    <w:p w:rsidR="00A13282" w:rsidRDefault="00A13282" w:rsidP="003841DB">
      <w:pPr>
        <w:pStyle w:val="a5"/>
      </w:pPr>
      <w:r>
        <w:rPr>
          <w:rStyle w:val="a7"/>
        </w:rPr>
        <w:footnoteRef/>
      </w:r>
      <w:r>
        <w:t xml:space="preserve"> </w:t>
      </w:r>
      <w:r>
        <w:rPr>
          <w:b/>
          <w:bCs/>
          <w:rtl/>
        </w:rPr>
        <w:t xml:space="preserve"> ועלייהו אתמר כו'.</w:t>
      </w:r>
      <w:r>
        <w:rPr>
          <w:rtl/>
        </w:rPr>
        <w:t xml:space="preserve"> קאי אלמעלה, מזונא לחויא - להנצל מחיבוט הקבר וגיהנם, ודמא - להנצל מחרבא כו', וזהו בדמיך חיי:</w:t>
      </w:r>
    </w:p>
  </w:footnote>
  <w:footnote w:id="3664">
    <w:p w:rsidR="00A13282" w:rsidRDefault="00A13282" w:rsidP="003841DB">
      <w:pPr>
        <w:pStyle w:val="a5"/>
      </w:pPr>
      <w:r>
        <w:rPr>
          <w:rStyle w:val="a7"/>
        </w:rPr>
        <w:footnoteRef/>
      </w:r>
      <w:r>
        <w:t xml:space="preserve"> </w:t>
      </w:r>
      <w:r>
        <w:rPr>
          <w:b/>
          <w:bCs/>
          <w:rtl/>
        </w:rPr>
        <w:t>תיקון א'. בראשית נקודה בהיכליה.</w:t>
      </w:r>
      <w:r>
        <w:rPr>
          <w:rFonts w:hAnsi="Courier New"/>
          <w:szCs w:val="36"/>
          <w:rtl/>
        </w:rPr>
        <w:t xml:space="preserve"> </w:t>
      </w:r>
      <w:r>
        <w:rPr>
          <w:rtl/>
        </w:rPr>
        <w:t xml:space="preserve">נקודה - חכמת שלמה. בהיכליה הוא בינה דילה. ואמר </w:t>
      </w:r>
      <w:r>
        <w:rPr>
          <w:b/>
          <w:bCs/>
          <w:rtl/>
        </w:rPr>
        <w:t>עליה אתמר</w:t>
      </w:r>
      <w:r>
        <w:rPr>
          <w:rtl/>
        </w:rPr>
        <w:t xml:space="preserve"> על ההיכל שהוא הבי"ת, והבי"ת הוא שני שמות אקי"ק אדנ"י, ב' היכלין דכלילן בחד כנוי אלקי"ם, כמו שאומר לעיל ריש תיקון כ”ב והן ג"ן ג"ל, והן פנים דאקי"ק והקודמים דאדנ"י - לבד האלף שלא נתחלף בשניהם דהוא מקודם, והם גימטריא לעולם חושבן אלקים, והוא ב' דבראשית - ב' השמות, ועיין מה שכתבתי לעיל תיקון כ”ט:</w:t>
      </w:r>
    </w:p>
  </w:footnote>
  <w:footnote w:id="3665">
    <w:p w:rsidR="00A13282" w:rsidRDefault="00A13282" w:rsidP="003841DB">
      <w:pPr>
        <w:pStyle w:val="a5"/>
      </w:pPr>
      <w:r>
        <w:rPr>
          <w:rStyle w:val="a7"/>
        </w:rPr>
        <w:footnoteRef/>
      </w:r>
      <w:r>
        <w:t xml:space="preserve"> </w:t>
      </w:r>
      <w:r>
        <w:rPr>
          <w:rtl/>
        </w:rPr>
        <w:t xml:space="preserve"> </w:t>
      </w:r>
      <w:r>
        <w:rPr>
          <w:b/>
          <w:bCs/>
          <w:rtl/>
        </w:rPr>
        <w:t>דא ו' דסתים כו'.</w:t>
      </w:r>
      <w:r>
        <w:rPr>
          <w:rFonts w:hAnsi="Courier New"/>
          <w:szCs w:val="36"/>
          <w:rtl/>
        </w:rPr>
        <w:t xml:space="preserve"> </w:t>
      </w:r>
      <w:r>
        <w:rPr>
          <w:rtl/>
        </w:rPr>
        <w:t>הוא בעלה דסתים לה ונטיר לה, ועיין לעיל תיקון כ”ט ותיקון ל”ו ומה שכתבתי שם ושם, ולמעלה ריש תיקון ה’, וסתימה הוא בדעת, קו המדה דסתים להיכלה, בינה דילה, עד דאתפשט כו' כמו שכתבתי:</w:t>
      </w:r>
    </w:p>
  </w:footnote>
  <w:footnote w:id="3666">
    <w:p w:rsidR="00A13282" w:rsidRDefault="00A13282" w:rsidP="003841DB">
      <w:pPr>
        <w:pStyle w:val="a5"/>
      </w:pPr>
      <w:r>
        <w:rPr>
          <w:rStyle w:val="a7"/>
        </w:rPr>
        <w:footnoteRef/>
      </w:r>
      <w:r>
        <w:t xml:space="preserve"> </w:t>
      </w:r>
      <w:r>
        <w:rPr>
          <w:rtl/>
        </w:rPr>
        <w:t xml:space="preserve"> </w:t>
      </w:r>
      <w:r>
        <w:rPr>
          <w:b/>
          <w:bCs/>
          <w:rtl/>
        </w:rPr>
        <w:t>והאי נקודה כו'.</w:t>
      </w:r>
      <w:r>
        <w:rPr>
          <w:rFonts w:hAnsi="Courier New"/>
          <w:szCs w:val="36"/>
          <w:rtl/>
        </w:rPr>
        <w:t xml:space="preserve"> </w:t>
      </w:r>
      <w:r>
        <w:rPr>
          <w:rtl/>
        </w:rPr>
        <w:t>עיין לעיל סוף תיקון י”ח ובתיקון ל’:</w:t>
      </w:r>
    </w:p>
  </w:footnote>
  <w:footnote w:id="3667">
    <w:p w:rsidR="00A13282" w:rsidRDefault="00A13282" w:rsidP="003841DB">
      <w:pPr>
        <w:pStyle w:val="a5"/>
      </w:pPr>
      <w:r>
        <w:rPr>
          <w:rStyle w:val="a7"/>
        </w:rPr>
        <w:footnoteRef/>
      </w:r>
      <w:r>
        <w:t xml:space="preserve"> </w:t>
      </w:r>
      <w:r>
        <w:rPr>
          <w:rtl/>
        </w:rPr>
        <w:t xml:space="preserve"> </w:t>
      </w:r>
      <w:r>
        <w:rPr>
          <w:b/>
          <w:bCs/>
          <w:rtl/>
        </w:rPr>
        <w:t>והאי נקודה כו'.</w:t>
      </w:r>
      <w:r>
        <w:rPr>
          <w:rFonts w:hAnsi="Courier New"/>
          <w:szCs w:val="36"/>
          <w:rtl/>
        </w:rPr>
        <w:t xml:space="preserve"> </w:t>
      </w:r>
      <w:r>
        <w:rPr>
          <w:rtl/>
        </w:rPr>
        <w:t>דהאי נקודה אתכלילת מכל ספירן דבעלה, דבה איהי מקבלת ממנו וכמו שאומר בפ' פקודי והוא אבן שתיה, בת עין, אבן ספיר דאתכלילת מכולהו:</w:t>
      </w:r>
    </w:p>
  </w:footnote>
  <w:footnote w:id="3668">
    <w:p w:rsidR="00A13282" w:rsidRDefault="00A13282" w:rsidP="003841DB">
      <w:pPr>
        <w:pStyle w:val="a5"/>
      </w:pPr>
      <w:r>
        <w:rPr>
          <w:rStyle w:val="a7"/>
        </w:rPr>
        <w:footnoteRef/>
      </w:r>
      <w:r>
        <w:t xml:space="preserve"> </w:t>
      </w:r>
      <w:r>
        <w:rPr>
          <w:rtl/>
        </w:rPr>
        <w:t xml:space="preserve"> </w:t>
      </w:r>
      <w:r>
        <w:rPr>
          <w:b/>
          <w:bCs/>
          <w:rtl/>
        </w:rPr>
        <w:t xml:space="preserve">ואיהי מצוה. </w:t>
      </w:r>
      <w:r>
        <w:rPr>
          <w:rtl/>
        </w:rPr>
        <w:t xml:space="preserve">רוצה לומר, מסטרא דילה, והוא כלל השם באלו ד' דרגין, וזה שאומר </w:t>
      </w:r>
      <w:r>
        <w:rPr>
          <w:b/>
          <w:bCs/>
          <w:rtl/>
        </w:rPr>
        <w:t>דעמודא דאמצעיתא כליל כו' ושכינתא כו'.</w:t>
      </w:r>
      <w:r>
        <w:rPr>
          <w:rtl/>
        </w:rPr>
        <w:t xml:space="preserve"> ורוצה לומר, כמו דאיהו אתכליל מתרווייהו והוא ב"ג, כן איהי דמקבלת מיניה אתכלילת בכולם והיא ד', ועיין בזהר חדש שה"ש נ' ד'. ואמר</w:t>
      </w:r>
      <w:r>
        <w:rPr>
          <w:rFonts w:hAnsi="Courier New"/>
          <w:szCs w:val="36"/>
          <w:rtl/>
        </w:rPr>
        <w:t xml:space="preserve"> </w:t>
      </w:r>
      <w:r>
        <w:rPr>
          <w:b/>
          <w:bCs/>
          <w:rtl/>
        </w:rPr>
        <w:t>מצוה כלילא כו'.</w:t>
      </w:r>
      <w:r>
        <w:rPr>
          <w:rFonts w:hAnsi="Courier New"/>
          <w:szCs w:val="36"/>
          <w:rtl/>
        </w:rPr>
        <w:t xml:space="preserve"> </w:t>
      </w:r>
      <w:r>
        <w:rPr>
          <w:rtl/>
        </w:rPr>
        <w:t>כמו שמפרש והולך דמצוה הוא אותיות הוי"ה, ונתחלפו אותיות י"ק לפי שהן הנסתרות לה' אלקינו, יראה ואהבה, כמו שאומר ברעיא מהימנא ריש פרשת נשא, והן מוחא ולבא, וזה שאומר</w:t>
      </w:r>
      <w:r>
        <w:rPr>
          <w:rFonts w:hAnsi="Courier New"/>
          <w:szCs w:val="36"/>
          <w:rtl/>
        </w:rPr>
        <w:t xml:space="preserve"> </w:t>
      </w:r>
      <w:r>
        <w:rPr>
          <w:b/>
          <w:bCs/>
          <w:rtl/>
        </w:rPr>
        <w:t>איהי אתקריאת כו'</w:t>
      </w:r>
      <w:r>
        <w:rPr>
          <w:rFonts w:hAnsi="Courier New"/>
          <w:szCs w:val="36"/>
          <w:rtl/>
        </w:rPr>
        <w:t xml:space="preserve"> </w:t>
      </w:r>
      <w:r>
        <w:rPr>
          <w:rtl/>
        </w:rPr>
        <w:t>והן דרגין הנ"ל דחכמה נחית בימינא כו':</w:t>
      </w:r>
      <w:r>
        <w:rPr>
          <w:rFonts w:hAnsi="Courier New"/>
          <w:szCs w:val="36"/>
          <w:rtl/>
        </w:rPr>
        <w:t xml:space="preserve"> </w:t>
      </w:r>
    </w:p>
  </w:footnote>
  <w:footnote w:id="3669">
    <w:p w:rsidR="00A13282" w:rsidRDefault="00A13282" w:rsidP="003841DB">
      <w:pPr>
        <w:pStyle w:val="a5"/>
      </w:pPr>
      <w:r>
        <w:rPr>
          <w:rStyle w:val="a7"/>
        </w:rPr>
        <w:footnoteRef/>
      </w:r>
      <w:r>
        <w:t xml:space="preserve"> </w:t>
      </w:r>
      <w:r>
        <w:rPr>
          <w:rtl/>
        </w:rPr>
        <w:t xml:space="preserve"> </w:t>
      </w:r>
      <w:r>
        <w:rPr>
          <w:b/>
          <w:bCs/>
          <w:rtl/>
        </w:rPr>
        <w:t>דרכו דרך ו'.</w:t>
      </w:r>
      <w:r>
        <w:rPr>
          <w:rtl/>
        </w:rPr>
        <w:t xml:space="preserve"> רוצה לומר, שהיא אומרת ה' קנני כמו שמפרש והולך:</w:t>
      </w:r>
    </w:p>
  </w:footnote>
  <w:footnote w:id="3670">
    <w:p w:rsidR="00A13282" w:rsidRDefault="00A13282" w:rsidP="003841DB">
      <w:pPr>
        <w:pStyle w:val="a5"/>
      </w:pPr>
      <w:r>
        <w:rPr>
          <w:rStyle w:val="a7"/>
        </w:rPr>
        <w:footnoteRef/>
      </w:r>
      <w:r>
        <w:t xml:space="preserve"> </w:t>
      </w:r>
      <w:r>
        <w:rPr>
          <w:rtl/>
        </w:rPr>
        <w:t xml:space="preserve"> </w:t>
      </w:r>
      <w:r>
        <w:rPr>
          <w:b/>
          <w:bCs/>
          <w:rtl/>
        </w:rPr>
        <w:t>דאיהי קן דיליה.</w:t>
      </w:r>
      <w:r>
        <w:rPr>
          <w:rFonts w:hAnsi="Courier New"/>
          <w:szCs w:val="36"/>
          <w:rtl/>
        </w:rPr>
        <w:t xml:space="preserve"> </w:t>
      </w:r>
      <w:r>
        <w:rPr>
          <w:rtl/>
        </w:rPr>
        <w:t>עיין לעיל תיקון כ”ט מה שכתבתי שם בארוכה, והיא ראשית התורה שנקראת ראשית - ראשית לכל הנבראים, ועיין לעיל ד' ב' באורייתא דאיהי ראשית כו' ואית אורייתא כו', היא דרך ו' - עמודא דאמצעיתא, שעל ידו נקראת ראשית תורה:</w:t>
      </w:r>
    </w:p>
  </w:footnote>
  <w:footnote w:id="3671">
    <w:p w:rsidR="00A13282" w:rsidRDefault="00A13282" w:rsidP="003841DB">
      <w:pPr>
        <w:pStyle w:val="a5"/>
      </w:pPr>
      <w:r>
        <w:rPr>
          <w:rStyle w:val="a7"/>
        </w:rPr>
        <w:footnoteRef/>
      </w:r>
      <w:r>
        <w:t xml:space="preserve"> </w:t>
      </w:r>
      <w:r>
        <w:rPr>
          <w:rtl/>
        </w:rPr>
        <w:t xml:space="preserve"> </w:t>
      </w:r>
      <w:r>
        <w:rPr>
          <w:b/>
          <w:bCs/>
          <w:rtl/>
        </w:rPr>
        <w:t>ובה כלילן פקודין כו'.</w:t>
      </w:r>
      <w:r>
        <w:rPr>
          <w:rFonts w:hAnsi="Courier New"/>
          <w:szCs w:val="36"/>
          <w:rtl/>
        </w:rPr>
        <w:t xml:space="preserve"> </w:t>
      </w:r>
      <w:r>
        <w:rPr>
          <w:rtl/>
        </w:rPr>
        <w:t>שמצוה כולל מצוות עשה ומצוות לא תעשה, וכן בשם הוי"ה בסוד זה שמי כו', ומצוה הוא שם הוי' כו' וזה שאומר פקודין דלא תעשה כו' ועלה כו'. ואמר</w:t>
      </w:r>
      <w:r>
        <w:rPr>
          <w:rFonts w:hAnsi="Courier New"/>
          <w:szCs w:val="36"/>
          <w:rtl/>
        </w:rPr>
        <w:t xml:space="preserve"> </w:t>
      </w:r>
      <w:r>
        <w:rPr>
          <w:b/>
          <w:bCs/>
          <w:rtl/>
        </w:rPr>
        <w:t>פקודין דעשה כו'.</w:t>
      </w:r>
      <w:r>
        <w:rPr>
          <w:rFonts w:hAnsi="Courier New"/>
          <w:szCs w:val="36"/>
          <w:rtl/>
        </w:rPr>
        <w:t xml:space="preserve"> </w:t>
      </w:r>
      <w:r>
        <w:rPr>
          <w:rtl/>
        </w:rPr>
        <w:t>רוצה לומר דאברהם גימטריא רמ"ח, מצוות עשה, והוא רחם מסטרא דימינא רחמים, ולא תעשה מסטרא דדין כו', וזה שאומר</w:t>
      </w:r>
      <w:r>
        <w:rPr>
          <w:rFonts w:hAnsi="Courier New"/>
          <w:szCs w:val="36"/>
          <w:rtl/>
        </w:rPr>
        <w:t xml:space="preserve"> </w:t>
      </w:r>
      <w:r>
        <w:rPr>
          <w:b/>
          <w:bCs/>
          <w:rtl/>
        </w:rPr>
        <w:t>ועלייהו אתמר ברגז.</w:t>
      </w:r>
      <w:r>
        <w:rPr>
          <w:rFonts w:hAnsi="Courier New"/>
          <w:szCs w:val="36"/>
          <w:rtl/>
        </w:rPr>
        <w:t xml:space="preserve"> </w:t>
      </w:r>
      <w:r>
        <w:rPr>
          <w:rtl/>
        </w:rPr>
        <w:t>דהוא שעוברין ישראל על מצוות לא תעשה - רחם, תזכור להם מצוות עשה שהוא רחם, והוא זכרי - תזכור, וכמו שאמרו (שמות רבה פ' מט) שחורה אני במצוות לא תעשה ונאוה במצוות עשה:</w:t>
      </w:r>
    </w:p>
  </w:footnote>
  <w:footnote w:id="3672">
    <w:p w:rsidR="00A13282" w:rsidRDefault="00A13282" w:rsidP="003841DB">
      <w:pPr>
        <w:pStyle w:val="a5"/>
      </w:pPr>
      <w:r>
        <w:rPr>
          <w:rStyle w:val="a7"/>
        </w:rPr>
        <w:footnoteRef/>
      </w:r>
      <w:r>
        <w:t xml:space="preserve"> </w:t>
      </w:r>
      <w:r>
        <w:rPr>
          <w:rtl/>
        </w:rPr>
        <w:t xml:space="preserve"> </w:t>
      </w:r>
      <w:r>
        <w:rPr>
          <w:b/>
          <w:bCs/>
          <w:rtl/>
        </w:rPr>
        <w:t>קום אדליק כו'.</w:t>
      </w:r>
      <w:r>
        <w:rPr>
          <w:rFonts w:hAnsi="Courier New"/>
          <w:szCs w:val="36"/>
          <w:rtl/>
        </w:rPr>
        <w:t xml:space="preserve"> </w:t>
      </w:r>
      <w:r>
        <w:rPr>
          <w:rtl/>
        </w:rPr>
        <w:t>דמצוה הוא נר מצוה כמו שאומר לעיל בתיקון כ’ ושאר מקומות, וזה שאומר</w:t>
      </w:r>
      <w:r>
        <w:rPr>
          <w:rFonts w:hAnsi="Courier New"/>
          <w:szCs w:val="36"/>
          <w:rtl/>
        </w:rPr>
        <w:t xml:space="preserve"> </w:t>
      </w:r>
      <w:r>
        <w:rPr>
          <w:b/>
          <w:bCs/>
          <w:rtl/>
        </w:rPr>
        <w:t>דעלה כו' ועליה אתמר כו'.</w:t>
      </w:r>
      <w:r>
        <w:rPr>
          <w:rFonts w:hAnsi="Courier New"/>
          <w:b/>
          <w:bCs/>
          <w:szCs w:val="36"/>
          <w:rtl/>
        </w:rPr>
        <w:t xml:space="preserve"> </w:t>
      </w:r>
      <w:r>
        <w:rPr>
          <w:rtl/>
        </w:rPr>
        <w:t>נר ה' כו':</w:t>
      </w:r>
    </w:p>
  </w:footnote>
  <w:footnote w:id="3673">
    <w:p w:rsidR="00A13282" w:rsidRDefault="00A13282" w:rsidP="003841DB">
      <w:pPr>
        <w:pStyle w:val="a5"/>
        <w:rPr>
          <w:rtl/>
        </w:rPr>
      </w:pPr>
      <w:r>
        <w:rPr>
          <w:rStyle w:val="a7"/>
        </w:rPr>
        <w:footnoteRef/>
      </w:r>
      <w:r>
        <w:t xml:space="preserve"> </w:t>
      </w:r>
      <w:r>
        <w:rPr>
          <w:b/>
          <w:bCs/>
          <w:rtl/>
        </w:rPr>
        <w:t>אור דנהיר כו'.</w:t>
      </w:r>
      <w:r>
        <w:rPr>
          <w:rFonts w:hAnsi="Courier New"/>
          <w:szCs w:val="36"/>
          <w:rtl/>
        </w:rPr>
        <w:t xml:space="preserve"> </w:t>
      </w:r>
      <w:r>
        <w:rPr>
          <w:rtl/>
        </w:rPr>
        <w:t>רוצה לומר דכתיב (משלי כ כז) נר ה' נשמת אדם, נר ה' הוא נפש, נוק', נשמת אדם הוא דכורא, אור, והן (משלי ו כג) נר מצוה ותורה אור, ועיין לעיל מ"ג ומ"ד:</w:t>
      </w:r>
    </w:p>
    <w:p w:rsidR="00A13282" w:rsidRDefault="00A13282" w:rsidP="003841DB">
      <w:pPr>
        <w:pStyle w:val="a5"/>
      </w:pPr>
    </w:p>
  </w:footnote>
  <w:footnote w:id="3674">
    <w:p w:rsidR="00A13282" w:rsidRDefault="00A13282" w:rsidP="003841DB">
      <w:pPr>
        <w:pStyle w:val="a5"/>
      </w:pPr>
      <w:r>
        <w:rPr>
          <w:rStyle w:val="a7"/>
        </w:rPr>
        <w:footnoteRef/>
      </w:r>
      <w:r>
        <w:t xml:space="preserve"> </w:t>
      </w:r>
      <w:r>
        <w:rPr>
          <w:b/>
          <w:bCs/>
          <w:rtl/>
        </w:rPr>
        <w:t xml:space="preserve">תיקון ל בראשית כו' ודא יראה . </w:t>
      </w:r>
      <w:r>
        <w:rPr>
          <w:rtl/>
        </w:rPr>
        <w:t>שהוא חכמה דילה, שעלה אמרו (אבות ג יז) אם אין חכמה אין יראה אם אין כו', וכמו שאמרו בזהר פרשת בראשית ז' ב':</w:t>
      </w:r>
    </w:p>
  </w:footnote>
  <w:footnote w:id="3675">
    <w:p w:rsidR="00A13282" w:rsidRDefault="00A13282" w:rsidP="003841DB">
      <w:pPr>
        <w:pStyle w:val="a5"/>
      </w:pPr>
      <w:r>
        <w:rPr>
          <w:rStyle w:val="a7"/>
        </w:rPr>
        <w:footnoteRef/>
      </w:r>
      <w:r>
        <w:t xml:space="preserve"> </w:t>
      </w:r>
      <w:r>
        <w:rPr>
          <w:rtl/>
        </w:rPr>
        <w:t xml:space="preserve"> </w:t>
      </w:r>
      <w:r>
        <w:rPr>
          <w:b/>
          <w:bCs/>
          <w:rtl/>
        </w:rPr>
        <w:t>ואיהי רמיזא כו'.</w:t>
      </w:r>
      <w:r>
        <w:rPr>
          <w:rtl/>
        </w:rPr>
        <w:t xml:space="preserve"> רוצה לומר, שאותיות יראת שם, וכמו שאומר למטה וכלא אתרמיז בהאי תיבה יראת כו':</w:t>
      </w:r>
    </w:p>
  </w:footnote>
  <w:footnote w:id="3676">
    <w:p w:rsidR="00A13282" w:rsidRDefault="00A13282" w:rsidP="003841DB">
      <w:pPr>
        <w:pStyle w:val="a5"/>
      </w:pPr>
      <w:r>
        <w:rPr>
          <w:rStyle w:val="a7"/>
        </w:rPr>
        <w:footnoteRef/>
      </w:r>
      <w:r>
        <w:t xml:space="preserve"> </w:t>
      </w:r>
      <w:r>
        <w:rPr>
          <w:b/>
          <w:bCs/>
          <w:rtl/>
        </w:rPr>
        <w:t>ואית יראה כו'.</w:t>
      </w:r>
      <w:r>
        <w:rPr>
          <w:rtl/>
        </w:rPr>
        <w:t xml:space="preserve"> רוצה לומר והארץ היתה כו' (בראשית א ב), כמו שאומר בזהר פרשת בראשית בפיקודין:</w:t>
      </w:r>
    </w:p>
  </w:footnote>
  <w:footnote w:id="3677">
    <w:p w:rsidR="00A13282" w:rsidRDefault="00A13282" w:rsidP="003841DB">
      <w:pPr>
        <w:pStyle w:val="a5"/>
      </w:pPr>
      <w:r>
        <w:rPr>
          <w:rStyle w:val="a7"/>
        </w:rPr>
        <w:footnoteRef/>
      </w:r>
      <w:r>
        <w:t xml:space="preserve"> </w:t>
      </w:r>
      <w:r>
        <w:rPr>
          <w:b/>
          <w:bCs/>
          <w:rtl/>
        </w:rPr>
        <w:t xml:space="preserve"> ואות דתפלין </w:t>
      </w:r>
      <w:r>
        <w:rPr>
          <w:rtl/>
        </w:rPr>
        <w:t>(לכאורה מיותר, אפשר לומר שהוא בחול במקום שבת, וכמו שאומר בזהר חדש שיר השירים ועיין לעיל ב' א')</w:t>
      </w:r>
      <w:r>
        <w:rPr>
          <w:b/>
          <w:bCs/>
          <w:rtl/>
        </w:rPr>
        <w:t>.</w:t>
      </w:r>
      <w:r>
        <w:rPr>
          <w:rtl/>
        </w:rPr>
        <w:t xml:space="preserve"> ורוצה לומר דבהאי נקודה כליל תלת פיקודין דתיקון כ”ט וכמו שאומר למטה וכלא אתרמיז כו', ואמר אות - שאות הוא י', עטרת הברית, כמו שאומר בכמה מקומות, והוא נקודה (והם ג' יודין דכלילן ביו"ד, ג' נקודין חש"ח, דכלילן בנקודה דילה:</w:t>
      </w:r>
    </w:p>
  </w:footnote>
  <w:footnote w:id="3678">
    <w:p w:rsidR="00A13282" w:rsidRDefault="00A13282" w:rsidP="003841DB">
      <w:pPr>
        <w:pStyle w:val="a5"/>
      </w:pPr>
      <w:r>
        <w:rPr>
          <w:rStyle w:val="a7"/>
        </w:rPr>
        <w:footnoteRef/>
      </w:r>
      <w:r>
        <w:t xml:space="preserve"> </w:t>
      </w:r>
      <w:r>
        <w:rPr>
          <w:rtl/>
        </w:rPr>
        <w:t xml:space="preserve"> </w:t>
      </w:r>
      <w:r>
        <w:rPr>
          <w:b/>
          <w:bCs/>
          <w:rtl/>
        </w:rPr>
        <w:t>ההיא רצועה כו' איהי ערלה.</w:t>
      </w:r>
      <w:r>
        <w:rPr>
          <w:rtl/>
        </w:rPr>
        <w:t xml:space="preserve"> וכן בשבת - ל"ט מלאכות, והוא ל"ט מלקות של יראה רעה, ל"ט קללות דארבעה נתקללו והן ד' מיתות בית דין כמו שאומר בזהר פרשת בראשית וכמו שאומר בזהר פרשת פנחס נחית וסליק נחית לד' כו' וזה שאומר רצועה ועיין מה שבארנו לקמן תיקון ל”ו:</w:t>
      </w:r>
    </w:p>
  </w:footnote>
  <w:footnote w:id="3679">
    <w:p w:rsidR="00A13282" w:rsidRDefault="00A13282" w:rsidP="003841DB">
      <w:pPr>
        <w:pStyle w:val="a5"/>
      </w:pPr>
      <w:r>
        <w:rPr>
          <w:rStyle w:val="a7"/>
        </w:rPr>
        <w:footnoteRef/>
      </w:r>
      <w:r>
        <w:t xml:space="preserve"> </w:t>
      </w:r>
      <w:r>
        <w:rPr>
          <w:b/>
          <w:bCs/>
          <w:rtl/>
        </w:rPr>
        <w:t xml:space="preserve"> כגוונא דא בראשית כלא כו'.</w:t>
      </w:r>
      <w:r>
        <w:rPr>
          <w:rtl/>
        </w:rPr>
        <w:t xml:space="preserve"> (רוצה לומר שבב' לבדה נרמז נקודה בהיכליה - הדגש שבתוכו, וזה שאומר למעלה בראש התיקון דא נקודה דלגו, רוצה לומר שבתוך הב', ואמר שלזה רומז כל התיבה גם כן, ראשית - ההיא נקודה, וב' - בהיכליה) שכל תיבה בראשית רומז על ההיא נקודה, ראשית - על הנקודה עצמה, וב' - על חלל דילה, ו' אותיות של בראשית הוא ו' כמו שמפרש והולך, ואמר כגוונא דא כו'. שלמעלה אמר שמרומז באותיות יראת שבתוכו, וכן באותיות ברית - ברית שבתוכו, וכן באותיות שבת שבתוכו, ועכשיו אמר שכל התיבה מורה עלה (והוא כללא דיו"ד):</w:t>
      </w:r>
    </w:p>
  </w:footnote>
  <w:footnote w:id="3680">
    <w:p w:rsidR="00A13282" w:rsidRDefault="00A13282" w:rsidP="003841DB">
      <w:pPr>
        <w:pStyle w:val="a5"/>
      </w:pPr>
      <w:r>
        <w:rPr>
          <w:rStyle w:val="a7"/>
        </w:rPr>
        <w:footnoteRef/>
      </w:r>
      <w:r>
        <w:t xml:space="preserve"> </w:t>
      </w:r>
      <w:r>
        <w:rPr>
          <w:b/>
          <w:bCs/>
          <w:rtl/>
        </w:rPr>
        <w:t xml:space="preserve"> ביה איהו נטירא כו' ששת כו'.</w:t>
      </w:r>
      <w:r>
        <w:rPr>
          <w:rtl/>
        </w:rPr>
        <w:t xml:space="preserve"> שמאיר לה בדעתה שכנגד יסודו, ה’ גבורות כמו שכתוב (בראשית מא לו) והיה האוכל כו', ושם יינא - ה’ גבורות - סתומים כו', כמו שאומר בתיקון כ”ט, וכשהדעת סתום הוא נקרא מ"ם סתימא מה שאין כן כשמתפשט שנקרא ב' פתיחא כמו שאומר בתיקון ה’ והוא בעת הזיווג, וכן הוא ביסודה - בחול היא בתולה ובשבת נפתחת, והכל אחד כשזה נפתח זה נפתח, ודעת ויסוד הוא אחד, וידע אדם כו', ובששת ימים שהוא הנהגת ו"ק, והיא נכללת בו - היא חתימא בוא"ו, אבל בשבת - הנהגתה, ואז הוא"ו נכלל בה, ועייל הוא בגווה, וכמו שאומר בזהר חדש שיר השירים נ"ה ב' ובא אליה מלך גדול כו' והאי אע"ג כו' ואיהי את זעירא כו', ונעשה היוד תג על ראש ו' ונעשית ז' שהיא שביעית, וזהו ז' - בששה ימים ו' ובשביעי ז', וכן עטרה על ברית הוא צורת ז', והוא שביעי, וענין הסתימה בחול - שמאיר לה מבחוץ דרך דופן היסוד, וכן הוא בה גם כן ההארה מבחוץ כדרך הנתינה, אבל בשבת בזיווגא דעייל בגוה ומכניס השפע דרך פי היסוד דרך אות ברית, וזה שאומר עטרה על ברית כו', והיא פתוחה - שאין פחד בשבת, שמאיר עלמא דחירו, סכת שלום, וכן הוא בזמן בית המקדש אפילו בחול, וזה שאומר בגלותא, ומכל מקום אינה פתוחה לגמרי עד ביאת המשיח שתתמלא אור הלבנה, ולכן נאמר יהיה סגור ששת כו', וזה שאומר ביום ההוא לא תקראי לי בעלי כו' (הושע ב יח), כי שתי בחינות באיש ואשה, א' הזיווג והוא לפרקים, ב' האחוה שביניהם והקורבה והפרנסה, והראשון הוא נקרא איש והוא מסטרא דיסוד והוא אורח לפרקים, אבל בחינה השנית נקרא בעל שהוא היישוב דמתייתבא, וכמו שאמרו בריש מועד קטן שנאמר כי יבעל בחור בתולה יבעלוך בניך - שעל ידם תתיישב, וכן הוא על ידי בעל, ולכן נאמר שם זה גם על האדון לעבד והוא בעל הבית תמיד, וזה שאמרו בעל הבית בוצע ואורח מברך, כמו שאומר ברעיא מהימנא, אבל לעתיד לבא יהיה הזיווג תדיר ולא תקראי לי כו', לא יאמרו ארון ה' כו' (ירמיהו ג טז):</w:t>
      </w:r>
    </w:p>
  </w:footnote>
  <w:footnote w:id="3681">
    <w:p w:rsidR="00A13282" w:rsidRDefault="00A13282" w:rsidP="003841DB">
      <w:pPr>
        <w:pStyle w:val="a5"/>
      </w:pPr>
      <w:r>
        <w:rPr>
          <w:rStyle w:val="a7"/>
        </w:rPr>
        <w:footnoteRef/>
      </w:r>
      <w:r>
        <w:t xml:space="preserve"> </w:t>
      </w:r>
      <w:r>
        <w:rPr>
          <w:rtl/>
        </w:rPr>
        <w:t xml:space="preserve"> </w:t>
      </w:r>
      <w:r>
        <w:rPr>
          <w:b/>
          <w:bCs/>
          <w:rtl/>
        </w:rPr>
        <w:t>והאי מילה ופריעה כו'.</w:t>
      </w:r>
      <w:r>
        <w:rPr>
          <w:rtl/>
        </w:rPr>
        <w:t xml:space="preserve"> קאי למעלה ואית יראה כו' ההיא רצועה כו', ואחר שהשלים ענין הנקודה חוזר לפרש ההיא ערלה, ואינון ב' קליפין שמעבירין במילה ופריעה שהן זו"נ דס"א, וזה שאומר אינון כמוץ כו' דחטה ח"ט הן מוץ ותבן והה"א הוא הבל להב כמו שמפרש והולך, וזהו בחול אבל בשבת שנתגלה ההיא נקודה, יו"ד, נקראת לבי. והענין, ה"א הנ"ל הוא בינה, ועם ל"ב אלהי"ם דילה היא להב המזבח כו' (שופטים יג כ), והוא בינה דילה לשרפא מוץ ותבן שסובבין זו"נ דילה ונשרפין בבינה כידוע, אבל בשבת הה"א נכלל ביו"ד, בנקודה דשבת, ושם יוד ול"ב (דיליה ל"ב נתיבות של חכמה) אלקים הנ"ל והיא נקודה בהיכליה, דגש בתוך הב', ובי"ת הוא ביתא שהוא ההיכל בינה ששם ל"ב אלקים, וזה שאומר וביתא דילה רוצה לומר של הנקודה שהוא ב' דבראשית שכוללת ל"ב וכמו שמפרש והולך:</w:t>
      </w:r>
    </w:p>
  </w:footnote>
  <w:footnote w:id="3682">
    <w:p w:rsidR="00A13282" w:rsidRDefault="00A13282" w:rsidP="003841DB">
      <w:pPr>
        <w:pStyle w:val="a5"/>
      </w:pPr>
      <w:r>
        <w:rPr>
          <w:rStyle w:val="a7"/>
        </w:rPr>
        <w:footnoteRef/>
      </w:r>
      <w:r>
        <w:t xml:space="preserve"> </w:t>
      </w:r>
      <w:r>
        <w:rPr>
          <w:rtl/>
        </w:rPr>
        <w:t xml:space="preserve"> </w:t>
      </w:r>
      <w:r>
        <w:rPr>
          <w:b/>
          <w:bCs/>
          <w:rtl/>
        </w:rPr>
        <w:t>ואיהי ב' כלילא כו.</w:t>
      </w:r>
      <w:r>
        <w:rPr>
          <w:rtl/>
        </w:rPr>
        <w:t xml:space="preserve"> רוצה לומר יו"ד ול' הם ד' פעמים עשר, מד' סטרין, וכן הוא גם כן לבי בחכמה עצמה יו"ד ול"ב נתיבות דידיה, אלא שאחד נעלם שם שלכן נקרא יש שא' אין דבוק באין, וכן נהירו דיליה אל גדול והוא שם ס"ג - ל"א ול"ב כידוע, ייא"י והנשאר, והן בחו"ב - אלי ולהב, והן ימינא ושמאלא, אור וחושך, חו"ג, ומהן תרי"ג מצות (מצוות עשה ולא תעשה, ימינא ושמאלא) אור - אלי והוא אוריא"ל, להב עם חשך כמו שאומר בזהר פרשת בראשית י"א ב' וחשך דא כו', והן נהירו דחו"ב וזה שכתוב (שה"ש ה ב) אני ישנה ולב"י ע"ר - ישנה בחול מסטרא דגבורות לילה ונקראת אני כי בחול י' דילה מסתתרת בוא"ו והיא חוזרת לנקודה אחת וט' מסתלקין בו כידוע והוא במלכות דילה לבד והיא נקראת בת שבע הרי ס"א אני, אבל בשבת שהיוד נעשה תג על ראש ו' ז' ואז היא שבעין וזה סוד היין וע' תיבין דקידוש וסוד המרגלא והוא ע' דער, ונשאר רמ"ח - ולבי ער - בשבת, והוא בנהורא דימינא, מצוות עשה, וכל ששת ימי המעשה הוא המעשה לאעברא מוץ ותבן ח"ט דחטה בשביל האי ה' ואז שריא בשבת יו"ד עלה ומתעשרת כמו שאומר ברעיא מהימנא פ' משפטים עיין שם בארוכה:</w:t>
      </w:r>
    </w:p>
  </w:footnote>
  <w:footnote w:id="3683">
    <w:p w:rsidR="00A13282" w:rsidRDefault="00A13282" w:rsidP="003841DB">
      <w:pPr>
        <w:pStyle w:val="a5"/>
      </w:pPr>
      <w:r>
        <w:rPr>
          <w:rStyle w:val="a7"/>
        </w:rPr>
        <w:footnoteRef/>
      </w:r>
      <w:r>
        <w:t xml:space="preserve"> </w:t>
      </w:r>
      <w:r>
        <w:rPr>
          <w:rtl/>
        </w:rPr>
        <w:t xml:space="preserve"> </w:t>
      </w:r>
      <w:r>
        <w:rPr>
          <w:b/>
          <w:bCs/>
          <w:rtl/>
        </w:rPr>
        <w:t>האי י' אתקריאת כו'.</w:t>
      </w:r>
      <w:r>
        <w:rPr>
          <w:rtl/>
        </w:rPr>
        <w:t xml:space="preserve"> שהיא נקודה הפנימית המתפשטת בפיקודין ובשבת שהוא עיגולא ורבועא יוד בתוכו ומקדשי תיראו, וכן בברית שמתגלה היוד ושם גם כן ומקדשי תיראו כמו שאומר לקמן בתיקון כ”ד וכמו שבארנו שם, וכן בדחילו, והם הג' פיקודין דלמעלה שכולל בראשית כנ"ל וכאן נשלם מה שאמר בתיקון כ”ט:</w:t>
      </w:r>
    </w:p>
  </w:footnote>
  <w:footnote w:id="3684">
    <w:p w:rsidR="00A13282" w:rsidRDefault="00A13282" w:rsidP="003841DB">
      <w:pPr>
        <w:pStyle w:val="a5"/>
      </w:pPr>
      <w:r>
        <w:rPr>
          <w:rStyle w:val="a7"/>
        </w:rPr>
        <w:footnoteRef/>
      </w:r>
      <w:r>
        <w:t xml:space="preserve"> </w:t>
      </w:r>
      <w:r>
        <w:rPr>
          <w:rtl/>
        </w:rPr>
        <w:t xml:space="preserve"> </w:t>
      </w:r>
      <w:r>
        <w:rPr>
          <w:b/>
          <w:bCs/>
          <w:rtl/>
        </w:rPr>
        <w:t>אלהי"ם דא נתיב כו'.</w:t>
      </w:r>
      <w:r>
        <w:rPr>
          <w:rtl/>
        </w:rPr>
        <w:t xml:space="preserve"> ואיהו פקודא דיראה מה שאמר למעלה ודא יראה דאיהו פקודא קדמאה, קדמאה לשבילין, אבל קדמאה למאמרות מפרש לקמן ע"ז ב' פקודא קדמאה כו', ועיין לקמן תיקון ל”ב ול"ג:</w:t>
      </w:r>
    </w:p>
  </w:footnote>
  <w:footnote w:id="3685">
    <w:p w:rsidR="00A13282" w:rsidRDefault="00A13282" w:rsidP="003841DB">
      <w:pPr>
        <w:pStyle w:val="a5"/>
      </w:pPr>
      <w:r>
        <w:rPr>
          <w:rStyle w:val="a7"/>
        </w:rPr>
        <w:footnoteRef/>
      </w:r>
      <w:r>
        <w:t xml:space="preserve"> </w:t>
      </w:r>
      <w:r>
        <w:rPr>
          <w:b/>
          <w:bCs/>
          <w:rtl/>
        </w:rPr>
        <w:t xml:space="preserve"> עיט. </w:t>
      </w:r>
      <w:r>
        <w:rPr>
          <w:rtl/>
        </w:rPr>
        <w:t>הן</w:t>
      </w:r>
      <w:r>
        <w:rPr>
          <w:b/>
          <w:bCs/>
          <w:rtl/>
        </w:rPr>
        <w:t xml:space="preserve"> </w:t>
      </w:r>
      <w:r>
        <w:rPr>
          <w:rtl/>
        </w:rPr>
        <w:t xml:space="preserve">השרפים שנאמר בהם (ישעיהו ו ב) ובשתים יעופף, (בראשית א כ) ועוף יעופף, ואיה הן החיות כמו שמפרש והולך </w:t>
      </w:r>
      <w:r>
        <w:rPr>
          <w:b/>
          <w:bCs/>
          <w:rtl/>
        </w:rPr>
        <w:t>מאן כו' איה כו'</w:t>
      </w:r>
      <w:r>
        <w:rPr>
          <w:rtl/>
        </w:rPr>
        <w:t>, והן האומרים ברוך כבוד ה' ממקומו, דלא ידעו מקומו ואמרין ממקומו, וכמו שמפרש והולך סתירא מחיוון דמרכבתא:</w:t>
      </w:r>
    </w:p>
  </w:footnote>
  <w:footnote w:id="3686">
    <w:p w:rsidR="00A13282" w:rsidRDefault="00A13282" w:rsidP="003841DB">
      <w:pPr>
        <w:pStyle w:val="a5"/>
      </w:pPr>
      <w:r>
        <w:rPr>
          <w:rStyle w:val="a7"/>
        </w:rPr>
        <w:footnoteRef/>
      </w:r>
      <w:r>
        <w:t xml:space="preserve"> </w:t>
      </w:r>
      <w:r>
        <w:rPr>
          <w:b/>
          <w:bCs/>
          <w:rtl/>
        </w:rPr>
        <w:t xml:space="preserve"> כד איהו כו'.</w:t>
      </w:r>
      <w:r>
        <w:rPr>
          <w:rtl/>
        </w:rPr>
        <w:t xml:space="preserve"> דאז היא סגירא כמו שאומר לקמן בתיקון ל”ו והאי נקודה איהי סתימא כו' וכד איהי סתימא כו', והענין, כי אז היא נקודה אחת בלבד, והיא חכמה דבה, שהיא נעלמה וכמו שאומר לעיל סוף תיקון י”ח ל"ז א' דהאי נקודה טמירא גניזא דאתמר בה כו' ועלה אתמר נתיב כו', אבל כד איהי בנתיב דאהבה, דאתפתחת לבעלה, וההיא נקודה אתפשטת בעגולא - אז משיגין לאתפשטותה וכן בשאר נתיבות:</w:t>
      </w:r>
    </w:p>
  </w:footnote>
  <w:footnote w:id="3687">
    <w:p w:rsidR="00A13282" w:rsidRDefault="00A13282" w:rsidP="003841DB">
      <w:pPr>
        <w:pStyle w:val="a5"/>
      </w:pPr>
      <w:r>
        <w:rPr>
          <w:rStyle w:val="a7"/>
        </w:rPr>
        <w:footnoteRef/>
      </w:r>
      <w:r>
        <w:t xml:space="preserve"> </w:t>
      </w:r>
      <w:r>
        <w:rPr>
          <w:b/>
          <w:bCs/>
          <w:rtl/>
        </w:rPr>
        <w:t>והארץ כו'.</w:t>
      </w:r>
      <w:r>
        <w:rPr>
          <w:rtl/>
        </w:rPr>
        <w:t xml:space="preserve"> בהאי תיקון מפרש כל פרשת בראשית עד ויכלו - בעשר אמירן ול"ב שבילן, אבל חסר כאן מיום שלישי והלאה:</w:t>
      </w:r>
    </w:p>
  </w:footnote>
  <w:footnote w:id="3688">
    <w:p w:rsidR="00A13282" w:rsidRDefault="00A13282" w:rsidP="003841DB">
      <w:pPr>
        <w:pStyle w:val="a5"/>
      </w:pPr>
      <w:r>
        <w:rPr>
          <w:rStyle w:val="a7"/>
        </w:rPr>
        <w:footnoteRef/>
      </w:r>
      <w:r>
        <w:t xml:space="preserve"> </w:t>
      </w:r>
      <w:r>
        <w:rPr>
          <w:b/>
          <w:bCs/>
          <w:rtl/>
        </w:rPr>
        <w:t xml:space="preserve"> מאי והארץ כו'.</w:t>
      </w:r>
      <w:r>
        <w:rPr>
          <w:rtl/>
        </w:rPr>
        <w:t xml:space="preserve"> רוצה לומר מאי סמיכות הוא זה לנתיב הראשון, דעד אלקים שני הוא נתיב הראשון, ומפרש והולך אלא מאן כו', דנתיב זה הוא אות שבת כמו שאומר למעלה:</w:t>
      </w:r>
    </w:p>
  </w:footnote>
  <w:footnote w:id="3689">
    <w:p w:rsidR="00A13282" w:rsidRDefault="00A13282" w:rsidP="003841DB">
      <w:pPr>
        <w:pStyle w:val="a5"/>
      </w:pPr>
      <w:r>
        <w:rPr>
          <w:rStyle w:val="a7"/>
        </w:rPr>
        <w:footnoteRef/>
      </w:r>
      <w:r>
        <w:t xml:space="preserve"> </w:t>
      </w:r>
      <w:r>
        <w:rPr>
          <w:b/>
          <w:bCs/>
          <w:rtl/>
        </w:rPr>
        <w:t xml:space="preserve"> דאינון ארבע גליות.</w:t>
      </w:r>
      <w:r>
        <w:rPr>
          <w:rtl/>
        </w:rPr>
        <w:t xml:space="preserve"> שהן ד' קליפין דיחזקאל ואליהו, ד' קליפין דאגוזא וצלם דנבוכדנצר, וזה שאומר דאינון ד' גליות שהן זו"ן:</w:t>
      </w:r>
    </w:p>
  </w:footnote>
  <w:footnote w:id="3690">
    <w:p w:rsidR="00A13282" w:rsidRDefault="00A13282" w:rsidP="003841DB">
      <w:pPr>
        <w:pStyle w:val="a5"/>
      </w:pPr>
      <w:r>
        <w:rPr>
          <w:rStyle w:val="a7"/>
        </w:rPr>
        <w:footnoteRef/>
      </w:r>
      <w:r>
        <w:t xml:space="preserve"> </w:t>
      </w:r>
      <w:r>
        <w:rPr>
          <w:b/>
          <w:bCs/>
          <w:rtl/>
        </w:rPr>
        <w:t xml:space="preserve"> דאסתלקת כו'.</w:t>
      </w:r>
      <w:r>
        <w:rPr>
          <w:rtl/>
        </w:rPr>
        <w:t xml:space="preserve"> וכמו שאומר בתיקון כ”ט דמעין חתום הוא הנקודה:</w:t>
      </w:r>
    </w:p>
  </w:footnote>
  <w:footnote w:id="3691">
    <w:p w:rsidR="00A13282" w:rsidRDefault="00A13282" w:rsidP="003841DB">
      <w:pPr>
        <w:pStyle w:val="a5"/>
      </w:pPr>
      <w:r>
        <w:rPr>
          <w:rStyle w:val="a7"/>
        </w:rPr>
        <w:footnoteRef/>
      </w:r>
      <w:r>
        <w:t xml:space="preserve"> </w:t>
      </w:r>
      <w:r>
        <w:rPr>
          <w:b/>
          <w:bCs/>
          <w:rtl/>
        </w:rPr>
        <w:t xml:space="preserve"> נתיב כו' בזמנא דשכינתא כו'.</w:t>
      </w:r>
      <w:r>
        <w:rPr>
          <w:rtl/>
        </w:rPr>
        <w:t xml:space="preserve"> דע"כ מדבר בגלות עד נתיב השלישי ויהי אור כמו שאומר בסוף תיקון ל”ז ובתיקון ל”ח, אלא דרוח אלקים כו' - הוא תורה, והוא סעד לשכינתא וכמו שאומר בתיקון ל”ו דב' אלפים תהו ורוח כו' ב' אלפים תורה ואור כו' ימות המשיח, ע"ש והארץ היתה כו' הן דעבדין לאורייתא יבשה כמו שמפרש והולך, וכן בפקודין כנ"ל מרשות היחיד לרשות הרבים ורוח אלקים כו' הן דעסקין בחכמה לשמה נשיב עליהון, וזהו על פני המים:</w:t>
      </w:r>
    </w:p>
  </w:footnote>
  <w:footnote w:id="3692">
    <w:p w:rsidR="00A13282" w:rsidRDefault="00A13282" w:rsidP="003841DB">
      <w:pPr>
        <w:pStyle w:val="a5"/>
      </w:pPr>
      <w:r>
        <w:rPr>
          <w:rStyle w:val="a7"/>
        </w:rPr>
        <w:footnoteRef/>
      </w:r>
      <w:r>
        <w:t xml:space="preserve"> </w:t>
      </w:r>
      <w:r>
        <w:rPr>
          <w:b/>
          <w:bCs/>
          <w:rtl/>
        </w:rPr>
        <w:t xml:space="preserve"> והאי רוח אתעביד קלא כו'.</w:t>
      </w:r>
      <w:r>
        <w:rPr>
          <w:rtl/>
        </w:rPr>
        <w:t xml:space="preserve"> רוצה לומר המאמר הראשון דכאן הוא כאן נרמז באותו קול ורוח ודבור שהן חד, והוא מה שאומר ע"ז א' אדהכי הא קלא כו', והוא מאמר הראשון כמו שכתבתי שם, והוא נתינת התורה:</w:t>
      </w:r>
    </w:p>
  </w:footnote>
  <w:footnote w:id="3693">
    <w:p w:rsidR="00A13282" w:rsidRDefault="00A13282" w:rsidP="003841DB">
      <w:pPr>
        <w:pStyle w:val="a5"/>
      </w:pPr>
      <w:r>
        <w:rPr>
          <w:rStyle w:val="a7"/>
        </w:rPr>
        <w:footnoteRef/>
      </w:r>
      <w:r>
        <w:t xml:space="preserve"> </w:t>
      </w:r>
      <w:r>
        <w:rPr>
          <w:b/>
          <w:bCs/>
          <w:rtl/>
        </w:rPr>
        <w:t xml:space="preserve"> אינון דמיכין .</w:t>
      </w:r>
      <w:r>
        <w:rPr>
          <w:rtl/>
        </w:rPr>
        <w:t xml:space="preserve"> שכ' אני ישנה - בתורה שבעל פה, בלא רזין דאורייתא, וכמו שאומר בתיקוני זהר חדש ע"ג ד' קום רעיא מהימנא לאתערא לההיא דאתמר ביה אני ישנה ולבי ער וכמה אינון דמיכין כו' דיתער לה בבעלה דאיהו רז אור כו'. והיא ה' בתראה. ואמר:</w:t>
      </w:r>
    </w:p>
  </w:footnote>
  <w:footnote w:id="3694">
    <w:p w:rsidR="00A13282" w:rsidRDefault="00A13282" w:rsidP="003841DB">
      <w:pPr>
        <w:pStyle w:val="a5"/>
      </w:pPr>
      <w:r>
        <w:rPr>
          <w:rStyle w:val="a7"/>
        </w:rPr>
        <w:footnoteRef/>
      </w:r>
      <w:r>
        <w:t xml:space="preserve"> </w:t>
      </w:r>
      <w:r>
        <w:rPr>
          <w:b/>
          <w:bCs/>
          <w:rtl/>
        </w:rPr>
        <w:t xml:space="preserve"> דשינתא בחוריהון.</w:t>
      </w:r>
      <w:r>
        <w:rPr>
          <w:rtl/>
        </w:rPr>
        <w:t xml:space="preserve"> רוצה לומר בחוטם, בב' נוקבין דתמן רוח חיים באפיו (בראשית ז כב), ותמן (ישעיהו יא ב) רוח ה' רוח חכמה ובינה, כמו שאומר באידרא רבה ק"ל ב' עיין שם, ושם הוא בעלה כידוע ו' של שם , ואיהו כליל יה"ו, ולכן נגד י"ה אמר </w:t>
      </w:r>
      <w:r>
        <w:rPr>
          <w:b/>
          <w:bCs/>
          <w:rtl/>
        </w:rPr>
        <w:t>סתימין עיינין</w:t>
      </w:r>
      <w:r>
        <w:rPr>
          <w:rtl/>
        </w:rPr>
        <w:t xml:space="preserve"> ביו"ד, </w:t>
      </w:r>
      <w:r>
        <w:rPr>
          <w:b/>
          <w:bCs/>
          <w:rtl/>
        </w:rPr>
        <w:t>אטימין דלבא</w:t>
      </w:r>
      <w:r>
        <w:rPr>
          <w:rtl/>
        </w:rPr>
        <w:t xml:space="preserve"> שהוא באזן ה', דלבא תליא גם כן בה' - בינה, לב מבין, וכמו שאומר לקמן קכ"ט א' א"ל ר"א אבא מנ"ל דאימא כו' (ובזהר חדש ע"ה ג' שמיעה בשור, גבורה דתמן בינה כו' ועיין שם ובזהר חדש ריש פרשת יתרו באינון ד' תיקונין ובבהיר ז' ב' אמר כמו שכתוב (דברים כח מט) אשר לא תשמע לשונו):</w:t>
      </w:r>
    </w:p>
  </w:footnote>
  <w:footnote w:id="3695">
    <w:p w:rsidR="00A13282" w:rsidRDefault="00A13282" w:rsidP="003841DB">
      <w:pPr>
        <w:pStyle w:val="a5"/>
      </w:pPr>
      <w:r>
        <w:rPr>
          <w:rStyle w:val="a7"/>
        </w:rPr>
        <w:footnoteRef/>
      </w:r>
      <w:r>
        <w:t xml:space="preserve"> </w:t>
      </w:r>
      <w:r>
        <w:rPr>
          <w:b/>
          <w:bCs/>
          <w:rtl/>
        </w:rPr>
        <w:t xml:space="preserve"> לגבי שכינתא כו' בלא סוכלתנו למנדע בה.</w:t>
      </w:r>
      <w:r>
        <w:rPr>
          <w:rtl/>
        </w:rPr>
        <w:t xml:space="preserve"> רוצה לומר ב' דברים, אחד לעשות בשביל השכינה והוא למנדע בה, והשני לעסוק ברזין וזהו (ירמיהו ט כג) השכל וידוע אותי, ונגד שני אלו אמר כל הבשר חציר א', וכל חסדו כו' ב', כמו שמפרש והולך:</w:t>
      </w:r>
    </w:p>
  </w:footnote>
  <w:footnote w:id="3696">
    <w:p w:rsidR="00A13282" w:rsidRDefault="00A13282" w:rsidP="003841DB">
      <w:pPr>
        <w:pStyle w:val="a5"/>
      </w:pPr>
      <w:r>
        <w:rPr>
          <w:rStyle w:val="a7"/>
        </w:rPr>
        <w:footnoteRef/>
      </w:r>
      <w:r>
        <w:t xml:space="preserve"> </w:t>
      </w:r>
      <w:r>
        <w:rPr>
          <w:b/>
          <w:bCs/>
          <w:rtl/>
        </w:rPr>
        <w:t xml:space="preserve"> דאית לכון לבא כו'.</w:t>
      </w:r>
      <w:r>
        <w:rPr>
          <w:rtl/>
        </w:rPr>
        <w:t xml:space="preserve"> רוצה לומר לבא - בתורה, בלא חכמה וזהו בלא סכלתנו, והשני למנדע בה כנ"ל והוא מה שכתוב (משלי ג ו) בכל דרכיך דעהו כו', (משלי כג כו) תנה בני לבך לי כו', ואלו ב' דברים בשביל השכינה הוא תיקון עצמה, והב' ברזין - הוא תיקון לאנהרא לה מבעלה, תיקון זו"ן:</w:t>
      </w:r>
    </w:p>
  </w:footnote>
  <w:footnote w:id="3697">
    <w:p w:rsidR="00A13282" w:rsidRDefault="00A13282" w:rsidP="003841DB">
      <w:pPr>
        <w:pStyle w:val="a5"/>
      </w:pPr>
      <w:r>
        <w:rPr>
          <w:rStyle w:val="a7"/>
        </w:rPr>
        <w:footnoteRef/>
      </w:r>
      <w:r>
        <w:t xml:space="preserve"> </w:t>
      </w:r>
      <w:r>
        <w:rPr>
          <w:b/>
          <w:bCs/>
          <w:rtl/>
        </w:rPr>
        <w:t xml:space="preserve"> כגון קרא נא כו'.</w:t>
      </w:r>
      <w:r>
        <w:rPr>
          <w:rtl/>
        </w:rPr>
        <w:t xml:space="preserve"> רוצה לומר דאין עונה לה, והוא בעקבות משיחא שכתוב (ישעיהו סג ה) ואביט ואין עוזר כו', וכמו שאמרו (משנה סוטה ט טו) בעקבות משיחא כו':</w:t>
      </w:r>
    </w:p>
  </w:footnote>
  <w:footnote w:id="3698">
    <w:p w:rsidR="00A13282" w:rsidRDefault="00A13282" w:rsidP="003841DB">
      <w:pPr>
        <w:pStyle w:val="a5"/>
      </w:pPr>
      <w:r>
        <w:rPr>
          <w:rStyle w:val="a7"/>
        </w:rPr>
        <w:footnoteRef/>
      </w:r>
      <w:r>
        <w:t xml:space="preserve"> </w:t>
      </w:r>
      <w:r>
        <w:rPr>
          <w:b/>
          <w:bCs/>
          <w:rtl/>
        </w:rPr>
        <w:t xml:space="preserve"> כלא אינון כו'.</w:t>
      </w:r>
      <w:r>
        <w:rPr>
          <w:rtl/>
        </w:rPr>
        <w:t xml:space="preserve"> תבנא דאורייתא:</w:t>
      </w:r>
    </w:p>
  </w:footnote>
  <w:footnote w:id="3699">
    <w:p w:rsidR="00A13282" w:rsidRDefault="00A13282" w:rsidP="003841DB">
      <w:pPr>
        <w:pStyle w:val="a5"/>
      </w:pPr>
      <w:r>
        <w:rPr>
          <w:rStyle w:val="a7"/>
        </w:rPr>
        <w:footnoteRef/>
      </w:r>
      <w:r>
        <w:t xml:space="preserve"> </w:t>
      </w:r>
      <w:r>
        <w:rPr>
          <w:b/>
          <w:bCs/>
          <w:rtl/>
        </w:rPr>
        <w:t xml:space="preserve"> כל חסד כו' ואפילו כל כו'.</w:t>
      </w:r>
      <w:r>
        <w:rPr>
          <w:rtl/>
        </w:rPr>
        <w:t xml:space="preserve"> והן ב' דברים הנ"ל:</w:t>
      </w:r>
    </w:p>
  </w:footnote>
  <w:footnote w:id="3700">
    <w:p w:rsidR="00A13282" w:rsidRDefault="00A13282" w:rsidP="003841DB">
      <w:pPr>
        <w:pStyle w:val="a5"/>
      </w:pPr>
      <w:r>
        <w:rPr>
          <w:rStyle w:val="a7"/>
        </w:rPr>
        <w:footnoteRef/>
      </w:r>
      <w:r>
        <w:t xml:space="preserve"> </w:t>
      </w:r>
      <w:r>
        <w:rPr>
          <w:b/>
          <w:bCs/>
          <w:rtl/>
        </w:rPr>
        <w:t xml:space="preserve"> בההוא זמנא ויזכור כו'.</w:t>
      </w:r>
      <w:r>
        <w:rPr>
          <w:rtl/>
        </w:rPr>
        <w:t xml:space="preserve"> קאי על ענין הראשון, כל הבשר כו', וכמו שמפרש והולך וי לון כו' ולא בעאן כו':</w:t>
      </w:r>
    </w:p>
  </w:footnote>
  <w:footnote w:id="3701">
    <w:p w:rsidR="00A13282" w:rsidRDefault="00A13282" w:rsidP="003841DB">
      <w:pPr>
        <w:pStyle w:val="a5"/>
      </w:pPr>
      <w:r>
        <w:rPr>
          <w:rStyle w:val="a7"/>
        </w:rPr>
        <w:footnoteRef/>
      </w:r>
      <w:r>
        <w:t xml:space="preserve"> </w:t>
      </w:r>
      <w:r>
        <w:rPr>
          <w:b/>
          <w:bCs/>
          <w:rtl/>
        </w:rPr>
        <w:t xml:space="preserve"> ודא איהו כו'.</w:t>
      </w:r>
      <w:r>
        <w:rPr>
          <w:rtl/>
        </w:rPr>
        <w:t xml:space="preserve"> רוצה לומר בשביל זה הולך רוחו דמשיח ולא בא הגאולה, דרוחו הוא רוח חכמה כמו שאמרו באידרא רבה ק"ל ב', וכשאין לומדים בזאת החכמה - הוא מתאחר, וכמו שאמרו ברעיא מהימנא פ' נשא קכ"ד ב' והמשכילים כו' ובגין דעתידין כו' (ועיין לעיל מ"ט ב' ובגיניה וקראתם דרור) כו', ואמר זכאה אנת דמהאי חבורא כו', ובגיניה ושבתם איש אל אחוזתו כו', וכמה מקומות:</w:t>
      </w:r>
    </w:p>
  </w:footnote>
  <w:footnote w:id="3702">
    <w:p w:rsidR="00A13282" w:rsidRDefault="00A13282" w:rsidP="003841DB">
      <w:pPr>
        <w:pStyle w:val="a5"/>
      </w:pPr>
      <w:r>
        <w:rPr>
          <w:rStyle w:val="a7"/>
        </w:rPr>
        <w:footnoteRef/>
      </w:r>
      <w:r>
        <w:t xml:space="preserve"> </w:t>
      </w:r>
      <w:r>
        <w:rPr>
          <w:b/>
          <w:bCs/>
          <w:rtl/>
        </w:rPr>
        <w:t xml:space="preserve"> דאלין אינון כו'.</w:t>
      </w:r>
      <w:r>
        <w:rPr>
          <w:rtl/>
        </w:rPr>
        <w:t xml:space="preserve"> כנ"ל, שיו"ד - חכמה שבתוכו הוא מעין חתום:</w:t>
      </w:r>
    </w:p>
  </w:footnote>
  <w:footnote w:id="3703">
    <w:p w:rsidR="00A13282" w:rsidRDefault="00A13282" w:rsidP="003841DB">
      <w:pPr>
        <w:pStyle w:val="a5"/>
      </w:pPr>
      <w:r>
        <w:rPr>
          <w:rStyle w:val="a7"/>
        </w:rPr>
        <w:footnoteRef/>
      </w:r>
      <w:r>
        <w:t xml:space="preserve"> </w:t>
      </w:r>
      <w:r>
        <w:rPr>
          <w:b/>
          <w:bCs/>
          <w:rtl/>
        </w:rPr>
        <w:t xml:space="preserve"> וי לון דגרמין כו'.</w:t>
      </w:r>
      <w:r>
        <w:rPr>
          <w:rtl/>
        </w:rPr>
        <w:t xml:space="preserve"> שנאמר (במדבר יא ו) ועתה נפשנו יבשה כו', (ירמיהו ד כג) ראיתי הארץ והנה תהו, והן ד' דקרא תהו ובהו, ובפרק ב' דשבת אמרינן בעון ביטול תורה חרב וביזה כו':</w:t>
      </w:r>
    </w:p>
  </w:footnote>
  <w:footnote w:id="3704">
    <w:p w:rsidR="00A13282" w:rsidRDefault="00A13282" w:rsidP="003841DB">
      <w:pPr>
        <w:pStyle w:val="a5"/>
      </w:pPr>
      <w:r>
        <w:rPr>
          <w:rStyle w:val="a7"/>
        </w:rPr>
        <w:footnoteRef/>
      </w:r>
      <w:r>
        <w:t xml:space="preserve"> </w:t>
      </w:r>
      <w:r>
        <w:rPr>
          <w:b/>
          <w:bCs/>
          <w:rtl/>
        </w:rPr>
        <w:t xml:space="preserve"> והאי רוח כו'.</w:t>
      </w:r>
      <w:r>
        <w:rPr>
          <w:rtl/>
        </w:rPr>
        <w:t xml:space="preserve"> כמו שאמרו (ילקוט שמעוני בראשית א סימן ד) ורוח אלקים הוא רוחו של משיח, וגם כן ורוח אלקים מרמז על רוח הקודש (כפשטיה) וכמו שאמרו בספר יצירה פרק א' אחת רוח אלקים חיים כו', והוא רוח הקודש:</w:t>
      </w:r>
    </w:p>
  </w:footnote>
  <w:footnote w:id="3705">
    <w:p w:rsidR="00A13282" w:rsidRDefault="00A13282" w:rsidP="003841DB">
      <w:pPr>
        <w:pStyle w:val="a5"/>
      </w:pPr>
      <w:r>
        <w:rPr>
          <w:rStyle w:val="a7"/>
        </w:rPr>
        <w:footnoteRef/>
      </w:r>
      <w:r>
        <w:t xml:space="preserve"> </w:t>
      </w:r>
      <w:r>
        <w:rPr>
          <w:b/>
          <w:bCs/>
          <w:rtl/>
        </w:rPr>
        <w:t xml:space="preserve"> ואיהו רוח חכמה כו'.</w:t>
      </w:r>
      <w:r>
        <w:rPr>
          <w:rtl/>
        </w:rPr>
        <w:t xml:space="preserve"> שהוא רוחו של משיח, והוא רוחא דכליל שיתא רוחין כמו שאמרו באידרא רבה ק"ל ב' והוא ו"ק בעלה, דהוא רזין דאורייתא כנ"ל:</w:t>
      </w:r>
    </w:p>
  </w:footnote>
  <w:footnote w:id="3706">
    <w:p w:rsidR="00A13282" w:rsidRDefault="00A13282" w:rsidP="003841DB">
      <w:pPr>
        <w:pStyle w:val="a5"/>
      </w:pPr>
      <w:r>
        <w:rPr>
          <w:rStyle w:val="a7"/>
        </w:rPr>
        <w:footnoteRef/>
      </w:r>
      <w:r>
        <w:t xml:space="preserve"> </w:t>
      </w:r>
      <w:r>
        <w:rPr>
          <w:rtl/>
        </w:rPr>
        <w:t xml:space="preserve"> (מתל"ה) </w:t>
      </w:r>
      <w:r>
        <w:rPr>
          <w:b/>
          <w:bCs/>
          <w:rtl/>
        </w:rPr>
        <w:t>ואיהו רוח חכמה כו'.</w:t>
      </w:r>
      <w:r>
        <w:rPr>
          <w:rtl/>
        </w:rPr>
        <w:t xml:space="preserve"> כמו שאמרו במדר רבה (שמות פרשה טו) דג' אומנים בריות ראשונות אש ומים ורוח, ג' יסודות, אש הוליד אור, ומים ילדו אפלה, ורוח הוליד חכמה:</w:t>
      </w:r>
    </w:p>
  </w:footnote>
  <w:footnote w:id="3707">
    <w:p w:rsidR="00A13282" w:rsidRDefault="00A13282" w:rsidP="003841DB">
      <w:pPr>
        <w:pStyle w:val="a5"/>
      </w:pPr>
      <w:r>
        <w:rPr>
          <w:rStyle w:val="a7"/>
        </w:rPr>
        <w:footnoteRef/>
      </w:r>
      <w:r>
        <w:t xml:space="preserve"> </w:t>
      </w:r>
      <w:r>
        <w:rPr>
          <w:b/>
          <w:bCs/>
          <w:rtl/>
        </w:rPr>
        <w:t xml:space="preserve"> פקודא תניינא כו' הה"ד כו'.</w:t>
      </w:r>
      <w:r>
        <w:rPr>
          <w:rtl/>
        </w:rPr>
        <w:t xml:space="preserve"> מביא ראיה שאהבה מסטרא דחסד, וזהו אור דהוא חסד כידוע, ועד כאן היה מדבר במים שהן גבורות גשמים והוא בפקודא דיראה, וכמו שמפרש והולך יראה אתקריאת כו' ואהבה כו' ומים הרו וילדו אפלה וזהו והארץ היתה כו' דנוריאל מכריע בין אור ומים והכי סליק בחושבן:</w:t>
      </w:r>
    </w:p>
  </w:footnote>
  <w:footnote w:id="3708">
    <w:p w:rsidR="00A13282" w:rsidRDefault="00A13282" w:rsidP="003841DB">
      <w:pPr>
        <w:pStyle w:val="a5"/>
      </w:pPr>
      <w:r>
        <w:rPr>
          <w:rStyle w:val="a7"/>
        </w:rPr>
        <w:footnoteRef/>
      </w:r>
      <w:r>
        <w:t xml:space="preserve"> </w:t>
      </w:r>
      <w:r>
        <w:rPr>
          <w:rtl/>
        </w:rPr>
        <w:t xml:space="preserve"> </w:t>
      </w:r>
      <w:r>
        <w:rPr>
          <w:b/>
          <w:bCs/>
          <w:rtl/>
        </w:rPr>
        <w:t>פקודא תנינא כו'.</w:t>
      </w:r>
      <w:r>
        <w:rPr>
          <w:rtl/>
        </w:rPr>
        <w:t xml:space="preserve"> והן כסדר, יראה ואח"כ תורה - כל שיראת חטאו קודם כו', ואח"כ אהבה - ולא עם הארץ חסיד, אבל אין בור שהוא ריק אף מדרך ארץ ירא חטא:</w:t>
      </w:r>
    </w:p>
  </w:footnote>
  <w:footnote w:id="3709">
    <w:p w:rsidR="00A13282" w:rsidRDefault="00A13282" w:rsidP="003841DB">
      <w:pPr>
        <w:pStyle w:val="a5"/>
      </w:pPr>
      <w:r>
        <w:rPr>
          <w:rStyle w:val="a7"/>
        </w:rPr>
        <w:footnoteRef/>
      </w:r>
      <w:r>
        <w:t xml:space="preserve"> </w:t>
      </w:r>
      <w:r>
        <w:rPr>
          <w:b/>
          <w:bCs/>
          <w:rtl/>
        </w:rPr>
        <w:t xml:space="preserve"> ועלה אתמר אם כו'.</w:t>
      </w:r>
      <w:r>
        <w:rPr>
          <w:rtl/>
        </w:rPr>
        <w:t xml:space="preserve"> רוצה לומר קץ הימין, שהשיב אחור ימינו, והוא אור דכאן כמו שאומר לקמן סוף תיקון ל”ז בזמנא דייתי פורקנא מיד ויאמר כו', והוא תליא באהבה שלא על מנת לקבל פרס כמו שמפרש והולך, דעל מנת לקבל פרס - שלטא עבד, כמו שאומר למטה, והוא גלותא תחת עבד, וזה שאומר אית יראה כו' אית כו', ומפרש גם כן יראה משום שרוצה לומר למטה ושפחה כו':</w:t>
      </w:r>
    </w:p>
  </w:footnote>
  <w:footnote w:id="3710">
    <w:p w:rsidR="00A13282" w:rsidRDefault="00A13282" w:rsidP="003841DB">
      <w:pPr>
        <w:pStyle w:val="a5"/>
      </w:pPr>
      <w:r>
        <w:rPr>
          <w:rStyle w:val="a7"/>
        </w:rPr>
        <w:footnoteRef/>
      </w:r>
      <w:r>
        <w:t xml:space="preserve"> </w:t>
      </w:r>
      <w:r>
        <w:rPr>
          <w:b/>
          <w:bCs/>
          <w:rtl/>
        </w:rPr>
        <w:t xml:space="preserve"> ובג"ד הוה כו'.</w:t>
      </w:r>
      <w:r>
        <w:rPr>
          <w:rtl/>
        </w:rPr>
        <w:t xml:space="preserve"> מפרש אהבה:</w:t>
      </w:r>
    </w:p>
  </w:footnote>
  <w:footnote w:id="3711">
    <w:p w:rsidR="00A13282" w:rsidRDefault="00A13282" w:rsidP="003841DB">
      <w:pPr>
        <w:pStyle w:val="a5"/>
      </w:pPr>
      <w:r>
        <w:rPr>
          <w:rStyle w:val="a7"/>
        </w:rPr>
        <w:footnoteRef/>
      </w:r>
      <w:r>
        <w:t xml:space="preserve"> </w:t>
      </w:r>
      <w:r>
        <w:rPr>
          <w:b/>
          <w:bCs/>
          <w:rtl/>
        </w:rPr>
        <w:t xml:space="preserve"> האי יראה ואהבה כו'.</w:t>
      </w:r>
      <w:r>
        <w:rPr>
          <w:rtl/>
        </w:rPr>
        <w:t xml:space="preserve"> שאינו עושה אלא בשבילו ולא בשביל ה', ואינו יראת ה' ואהבת ה' שהוא שכינתא:</w:t>
      </w:r>
    </w:p>
  </w:footnote>
  <w:footnote w:id="3712">
    <w:p w:rsidR="00A13282" w:rsidRDefault="00A13282" w:rsidP="003841DB">
      <w:pPr>
        <w:pStyle w:val="a5"/>
      </w:pPr>
      <w:r>
        <w:rPr>
          <w:rStyle w:val="a7"/>
        </w:rPr>
        <w:footnoteRef/>
      </w:r>
      <w:r>
        <w:t xml:space="preserve"> </w:t>
      </w:r>
      <w:r>
        <w:rPr>
          <w:b/>
          <w:bCs/>
          <w:rtl/>
        </w:rPr>
        <w:t xml:space="preserve"> ובג"ד אמר כו'.</w:t>
      </w:r>
      <w:r>
        <w:rPr>
          <w:rtl/>
        </w:rPr>
        <w:t xml:space="preserve"> כנ"ל, וגם כפשטיה לא לעשות כן, וכנ"ל קרא ואמר מה אקרא כו' וכמאמר התנא אל תהיו כו':</w:t>
      </w:r>
    </w:p>
  </w:footnote>
  <w:footnote w:id="3713">
    <w:p w:rsidR="00A13282" w:rsidRDefault="00A13282" w:rsidP="003841DB">
      <w:pPr>
        <w:pStyle w:val="a5"/>
      </w:pPr>
      <w:r>
        <w:rPr>
          <w:rStyle w:val="a7"/>
        </w:rPr>
        <w:footnoteRef/>
      </w:r>
      <w:r>
        <w:t xml:space="preserve"> </w:t>
      </w:r>
      <w:r>
        <w:rPr>
          <w:b/>
          <w:bCs/>
          <w:rtl/>
        </w:rPr>
        <w:t xml:space="preserve"> איהי שפחה ועבד ותחת כו'.</w:t>
      </w:r>
      <w:r>
        <w:rPr>
          <w:rtl/>
        </w:rPr>
        <w:t xml:space="preserve"> והוא מסטרא דעבד, מט"ט, ושפחה דיליה, ומסטריה - אם כעבדים, וכמו שאומר בתיקוני זהר חדש פ' ג' ובג"ד אמר אל תהיו כעבדים כו' עיין שם בארוכה:</w:t>
      </w:r>
    </w:p>
  </w:footnote>
  <w:footnote w:id="3714">
    <w:p w:rsidR="00A13282" w:rsidRDefault="00A13282" w:rsidP="003841DB">
      <w:pPr>
        <w:pStyle w:val="a5"/>
      </w:pPr>
      <w:r>
        <w:rPr>
          <w:rStyle w:val="a7"/>
        </w:rPr>
        <w:footnoteRef/>
      </w:r>
      <w:r>
        <w:t xml:space="preserve"> </w:t>
      </w:r>
      <w:r>
        <w:rPr>
          <w:b/>
          <w:bCs/>
          <w:rtl/>
        </w:rPr>
        <w:t>אלקים דא כו'.</w:t>
      </w:r>
      <w:r>
        <w:rPr>
          <w:rtl/>
        </w:rPr>
        <w:t xml:space="preserve"> שעד כאן פירש מאמר שני, וכאן על הנתיב, אבל לא אתפרש עד לקמן ע"ז ב', וכאן מפרש הפרשה פירושו עד יום אחד, וחוזר לפרש מאמר הראשון אדהכי כו', ואח"כ הנתיבות וקלא תניינא, מאמר ב' והנתיבות וכמו שבארנו שם:</w:t>
      </w:r>
    </w:p>
  </w:footnote>
  <w:footnote w:id="3715">
    <w:p w:rsidR="00A13282" w:rsidRDefault="00A13282" w:rsidP="003841DB">
      <w:pPr>
        <w:pStyle w:val="a5"/>
      </w:pPr>
      <w:r>
        <w:rPr>
          <w:rStyle w:val="a7"/>
        </w:rPr>
        <w:footnoteRef/>
      </w:r>
      <w:r>
        <w:t xml:space="preserve"> </w:t>
      </w:r>
      <w:r>
        <w:rPr>
          <w:b/>
          <w:bCs/>
          <w:rtl/>
        </w:rPr>
        <w:t xml:space="preserve"> יהי אור י"ה אויר אור י' וכד כו'.</w:t>
      </w:r>
      <w:r>
        <w:rPr>
          <w:rtl/>
        </w:rPr>
        <w:t xml:space="preserve"> רוצה לומר דיו"ד הוא דחילו וכנ"ל א' האי י' אתקריאת יראה כו', ואור הוא אהבה, ושניהם הם אויר, והם י"ה, דחילו ורחימו כמו שאמרו בהרבה מקומות, ובחיבורם שהן חיבור או"א - נתהוו הכל, וזה שאומר מהכא אתמשכו כו':</w:t>
      </w:r>
    </w:p>
  </w:footnote>
  <w:footnote w:id="3716">
    <w:p w:rsidR="00A13282" w:rsidRDefault="00A13282" w:rsidP="003841DB">
      <w:pPr>
        <w:pStyle w:val="a5"/>
      </w:pPr>
      <w:r>
        <w:rPr>
          <w:rStyle w:val="a7"/>
        </w:rPr>
        <w:footnoteRef/>
      </w:r>
      <w:r>
        <w:t xml:space="preserve"> </w:t>
      </w:r>
      <w:r>
        <w:rPr>
          <w:b/>
          <w:bCs/>
          <w:rtl/>
        </w:rPr>
        <w:t xml:space="preserve"> דאיהו טוב.</w:t>
      </w:r>
      <w:r>
        <w:rPr>
          <w:rtl/>
        </w:rPr>
        <w:t xml:space="preserve"> דבחו"ג לבדם אי אפשר להשתמש, כמו שאמרו (ברכות לב ע"א, ילקוט שמעוני איוב יב המשך סימן תתקו) השפעת עליהם כו', וכמו שאמרו בתחלה כו', ובדרגיה - (שמות ב ב) ותרא אותו כי טוב הוא, ועיין בזהר פרשת בראשית ט"ז ב':</w:t>
      </w:r>
    </w:p>
  </w:footnote>
  <w:footnote w:id="3717">
    <w:p w:rsidR="00A13282" w:rsidRDefault="00A13282" w:rsidP="003841DB">
      <w:pPr>
        <w:pStyle w:val="a5"/>
      </w:pPr>
      <w:r>
        <w:rPr>
          <w:rStyle w:val="a7"/>
        </w:rPr>
        <w:footnoteRef/>
      </w:r>
      <w:r>
        <w:t xml:space="preserve"> </w:t>
      </w:r>
      <w:r>
        <w:rPr>
          <w:b/>
          <w:bCs/>
          <w:rtl/>
        </w:rPr>
        <w:t xml:space="preserve"> ויבדל כו' ורזא דמלה ויבדל.</w:t>
      </w:r>
      <w:r>
        <w:rPr>
          <w:rtl/>
        </w:rPr>
        <w:t xml:space="preserve"> דשני מיני הבדלה ומחלוקת הן (אבות ה יז), א' בקדושה - לאסכמה ביניהון ליחדם, וזה מחלוקת הלל ושמאי - לשם שמים, דשמים בינהן, וב' שלא לשם שמים - קרח כו', ובזו צריך הבדלה לגמרי, וכן הוא כאן ויבדל כו' ויהי ערב כו' כמו שאומר לקמן ע"ח א' יהי רקיע כו' ויעש כו' עיין שם, וכאן הכל בעמודא דאמצעיתא דאיהו אסכים ואבדיל, וכמו שאמרו בתיקוני זהר חדש ע"ג ג' וכמה דאפריש כו' הכי מייחד כו', ועיין כל זה בזהר פרשת בראשית י"ז בארוכה, ואע"ג דמחלוקת והבדלה בשני הוה מכל מקום כלא בימינא גם כן הוה, דהוא כליל כלא, כל הו' ימים, וכלא ביה הוה, וכמו שאומר שם ובגין כן בימינא כתיב כלא דהא כו':</w:t>
      </w:r>
    </w:p>
  </w:footnote>
  <w:footnote w:id="3718">
    <w:p w:rsidR="00A13282" w:rsidRDefault="00A13282" w:rsidP="003841DB">
      <w:pPr>
        <w:pStyle w:val="a5"/>
      </w:pPr>
      <w:r>
        <w:rPr>
          <w:rStyle w:val="a7"/>
        </w:rPr>
        <w:footnoteRef/>
      </w:r>
      <w:r>
        <w:t xml:space="preserve"> </w:t>
      </w:r>
      <w:r>
        <w:rPr>
          <w:b/>
          <w:bCs/>
          <w:rtl/>
        </w:rPr>
        <w:t xml:space="preserve"> ויקרא אלקים כו' לילה כהנא דהוא אור דאתמר ויבדל אלקים בין האור אתקשר ביה שוקא ימינא דאתמר ביה נעימות כו'.</w:t>
      </w:r>
      <w:r>
        <w:rPr>
          <w:rtl/>
        </w:rPr>
        <w:t xml:space="preserve"> רוצה לומר דפסוק זה על נו"ה מדבר, שהן נקראים יום ולילה דבהון זו"נ כידוע והן אתקשרו באור וחושך - חו"ג, וזהו הקריאה, ואמר דהוא אור דאתמר כו'. רוצה לומר אע"ג דשמאלא נקרא גם כן אור, קאמר לאור בקמץ, אותו האור שלמעלה מדבר ממנו, והענין, דשמאלא הוא חשך כמו שאומר כאן, והוא הים - זה הים גדול כמו שאומר שם בזהר פרשת בראשית י"ז ב' עיין שם, אלא דאתכליל בימינא ואור נהיר בו, אל, וזהו אלקים, ומים הוא חשך והוא אור במים, ועיין שם ט"ז ב' יהי אור כו' ויהי אור דחשך כו' אתכליל ימינא בשמאלא ושמאלא בימינא וירא כו', רוצה לומר דעמודא דאמצעיתא הוא מהתכללות כפול ולכן הוא אסכים להכא ולהכא דלעולם הוא ממוצע אלא שפעם מכריע לימין מצד התכללות הראשון, ימינא בשמאלא, ורוצה לומר ששמאל נכלל בו, ופעם לשמאל מצד התכללות השני (וכמו שאמרו שני כתובים כו'), ולכן נקרא ישראל וישרון, ששניהם ישר, אלא שמעט הוא הכרעתו לשמאל שהוא מדת הרחמים, ולכן נקרא ישראל בכל מקום ומעט שנקרא ישרון, וכן הלכה כבית הלל בכל מקום כו':</w:t>
      </w:r>
    </w:p>
  </w:footnote>
  <w:footnote w:id="3719">
    <w:p w:rsidR="00A13282" w:rsidRDefault="00A13282" w:rsidP="003841DB">
      <w:pPr>
        <w:pStyle w:val="a5"/>
      </w:pPr>
      <w:r>
        <w:rPr>
          <w:rStyle w:val="a7"/>
        </w:rPr>
        <w:footnoteRef/>
      </w:r>
      <w:r>
        <w:t xml:space="preserve"> </w:t>
      </w:r>
      <w:r>
        <w:rPr>
          <w:b/>
          <w:bCs/>
          <w:rtl/>
        </w:rPr>
        <w:t xml:space="preserve"> ויהי ערב כו' יום א' כו'.</w:t>
      </w:r>
      <w:r>
        <w:rPr>
          <w:rtl/>
        </w:rPr>
        <w:t xml:space="preserve"> כאן הוא האסכמותא, וכמו דב' הקוים ימינא ושמאלא אתקשרו כאחד, כן עמודא דאמצעיתא וצדיק כחד, ומכריעין ביניהן ומייחדים אותם, וכאן אין צריך התקשרות בין עמודא דאמצעיתא וצדיק, דאין הפרש ביניהם כמו בין יד לרגל, וזה שאומר דחשבינן [חד], ויום - ידוע שהוא בצדיק, ולילה - שכינה, אלא דיום בכאן - יום שלם, הוא יום ולילה, ולכן נכלל השכינה גם כן כאן וזה שאומר ולית יום כו' ואתקשר כאן הכל:</w:t>
      </w:r>
    </w:p>
  </w:footnote>
  <w:footnote w:id="3720">
    <w:p w:rsidR="00A13282" w:rsidRDefault="00A13282" w:rsidP="003841DB">
      <w:pPr>
        <w:pStyle w:val="a5"/>
      </w:pPr>
      <w:r>
        <w:rPr>
          <w:rStyle w:val="a7"/>
        </w:rPr>
        <w:footnoteRef/>
      </w:r>
      <w:r>
        <w:t xml:space="preserve"> </w:t>
      </w:r>
      <w:r>
        <w:rPr>
          <w:b/>
          <w:bCs/>
          <w:rtl/>
        </w:rPr>
        <w:t xml:space="preserve"> אדהכי הא כו'.</w:t>
      </w:r>
      <w:r>
        <w:rPr>
          <w:rtl/>
        </w:rPr>
        <w:t xml:space="preserve"> אחר שהשלים לפרש הפרשה, ופירש ב' נתיבות הראשונות שכלולין במאמר הראשון, ופירש שאר הפרשה שהוא הקדמה לנתיבות האחרות כמו שאומר לקמן, מפרש עתה מאמר הראשון - קלא קדמאה - והוא מאמר, וקלא תניינא והוא מאמר שני כלל כל נתיבות שבו, וזה שאומר אדהכי כו' אדהכי כו', וקלא תניינא - מפרש לקמן ב' אדהכי הא קלא כו' והוא קלא תניינא דכאן, ועיין מה שכתבתי שם:</w:t>
      </w:r>
    </w:p>
  </w:footnote>
  <w:footnote w:id="3721">
    <w:p w:rsidR="00A13282" w:rsidRDefault="00A13282" w:rsidP="003841DB">
      <w:pPr>
        <w:pStyle w:val="a5"/>
      </w:pPr>
      <w:r>
        <w:rPr>
          <w:rStyle w:val="a7"/>
        </w:rPr>
        <w:footnoteRef/>
      </w:r>
      <w:r>
        <w:t xml:space="preserve"> </w:t>
      </w:r>
      <w:r>
        <w:rPr>
          <w:b/>
          <w:bCs/>
          <w:rtl/>
        </w:rPr>
        <w:t xml:space="preserve"> סליק כו' אזדרזו כו'.</w:t>
      </w:r>
      <w:r>
        <w:rPr>
          <w:rtl/>
        </w:rPr>
        <w:t xml:space="preserve"> שמאמר הראשון הוא פקודא קדמאה, אנכי, שכולל כל מצוות עשה, כמו שאומר בזהר פרשת יתרו צ"א א' אלין אינון כו' ברזא דאנכי כללא דזכור, ולפיכך ההוא קלא לקבלא למטרוניתא לבעלה לאתקנא לה ברזא דזכור, ולכן אמר משריין כו' דלעילא ותתא, שהן ו"ק, דלעילא הן חג"ת ודלתתא נה"י, כמו שאומר בתיקוני זהר חדש, וקלא תניינא הוא ברזא דנבואה כמו שאומר לקמן והוא מטרוניתא בהיכלין דילה, בעולימתין דילה, וזה שאומר לגבי כו' להיכלא דילה כו', והראשון הוא בסוד קריאת שמע ישראל בעלה, והשני בסוד תפלה, וזה שאומרים אדנ"י שפתי תפתח שהיא בסוד אדני וכמו שאומר לעיל תיקון י”ח כ"ח ב' כד סליקת לגבי מלכא כמה כו' וכד איהי בהיכלהא כלהו נביאיא סלקין תמן ודפקין לתרעא ואמרין אדני שפתי תפתח, תלת קדמאין דצלותא כו' עיין שם בדבריו. ואמר </w:t>
      </w:r>
      <w:r>
        <w:rPr>
          <w:b/>
          <w:bCs/>
          <w:rtl/>
        </w:rPr>
        <w:t>ברומי רקיעין</w:t>
      </w:r>
      <w:r>
        <w:rPr>
          <w:rtl/>
        </w:rPr>
        <w:t xml:space="preserve"> שהן היכלות דז"א, וכן בקלא תניינא אמר לקמן גם כן ברומי רקיעין והן היכלות דנוק' וכמו שכתבתי לעיל, בזהר פרשת פקודי רמ"ה א' באינון רקיעין עילאין ובאינון כו', ואמר ברומי - לאפוקי רקיעין דילן, וכמו שאומרים ושכינת עוזו בגבהי מרומים:</w:t>
      </w:r>
    </w:p>
  </w:footnote>
  <w:footnote w:id="3722">
    <w:p w:rsidR="00A13282" w:rsidRDefault="00A13282" w:rsidP="003841DB">
      <w:pPr>
        <w:pStyle w:val="a5"/>
      </w:pPr>
      <w:r>
        <w:rPr>
          <w:rStyle w:val="a7"/>
        </w:rPr>
        <w:footnoteRef/>
      </w:r>
      <w:r>
        <w:t xml:space="preserve"> </w:t>
      </w:r>
      <w:r>
        <w:rPr>
          <w:b/>
          <w:bCs/>
          <w:rtl/>
        </w:rPr>
        <w:t xml:space="preserve"> בההוא זמנא כו'.</w:t>
      </w:r>
      <w:r>
        <w:rPr>
          <w:rtl/>
        </w:rPr>
        <w:t xml:space="preserve"> קאי אקלא קדמאה וכן כלם:</w:t>
      </w:r>
    </w:p>
  </w:footnote>
  <w:footnote w:id="3723">
    <w:p w:rsidR="00A13282" w:rsidRDefault="00A13282" w:rsidP="003841DB">
      <w:pPr>
        <w:pStyle w:val="a5"/>
      </w:pPr>
      <w:r>
        <w:rPr>
          <w:rStyle w:val="a7"/>
        </w:rPr>
        <w:footnoteRef/>
      </w:r>
      <w:r>
        <w:t xml:space="preserve"> </w:t>
      </w:r>
      <w:r>
        <w:rPr>
          <w:b/>
          <w:bCs/>
          <w:rtl/>
        </w:rPr>
        <w:t xml:space="preserve"> מטרוניתא עלאה.</w:t>
      </w:r>
      <w:r>
        <w:rPr>
          <w:rtl/>
        </w:rPr>
        <w:t xml:space="preserve"> שכינה עלאה שהוא (שמות כ א) וידבר אלקים את כו', והשכינה עלאה נחית תחלה לקראת ישראל שבהן כנסת ישראל וכמו שכתוב (שמות יט טז) ויהי ביום כו', ואח"כ (שם יז) ויוצא משה כו', ואח"כ (שם כ) וירד ה' על כו', דהוא מלכא, וזה שאומר וסלקין תרווייהו כו':</w:t>
      </w:r>
    </w:p>
  </w:footnote>
  <w:footnote w:id="3724">
    <w:p w:rsidR="00A13282" w:rsidRDefault="00A13282" w:rsidP="003841DB">
      <w:pPr>
        <w:pStyle w:val="a5"/>
      </w:pPr>
      <w:r>
        <w:rPr>
          <w:rStyle w:val="a7"/>
        </w:rPr>
        <w:footnoteRef/>
      </w:r>
      <w:r>
        <w:t xml:space="preserve"> </w:t>
      </w:r>
      <w:r>
        <w:rPr>
          <w:b/>
          <w:bCs/>
          <w:rtl/>
        </w:rPr>
        <w:t xml:space="preserve"> בכמה קלין כו'.</w:t>
      </w:r>
      <w:r>
        <w:rPr>
          <w:rtl/>
        </w:rPr>
        <w:t xml:space="preserve"> כמו שכתוב שם (שם טז) ויהי קולות וברקים כו', והן ז' קולות דילה הידועין, וכן שופרות:</w:t>
      </w:r>
    </w:p>
  </w:footnote>
  <w:footnote w:id="3725">
    <w:p w:rsidR="00A13282" w:rsidRDefault="00A13282" w:rsidP="003841DB">
      <w:pPr>
        <w:pStyle w:val="a5"/>
      </w:pPr>
      <w:r>
        <w:rPr>
          <w:rStyle w:val="a7"/>
        </w:rPr>
        <w:footnoteRef/>
      </w:r>
      <w:r>
        <w:t xml:space="preserve"> </w:t>
      </w:r>
      <w:r>
        <w:rPr>
          <w:b/>
          <w:bCs/>
          <w:rtl/>
        </w:rPr>
        <w:t xml:space="preserve"> ובה פתח אנכי כו'.</w:t>
      </w:r>
      <w:r>
        <w:rPr>
          <w:rtl/>
        </w:rPr>
        <w:t xml:space="preserve"> כמו שמפרש והולך דהכי סליק כו', ואנכי הוא רזא דחבורא דתרווייהו כמו שאמרו בזהר פרשת יתרו צ"א א' אנכי, רזא דתרין כרסוון, אני כ', כו':</w:t>
      </w:r>
    </w:p>
  </w:footnote>
  <w:footnote w:id="3726">
    <w:p w:rsidR="00A13282" w:rsidRDefault="00A13282" w:rsidP="003841DB">
      <w:pPr>
        <w:pStyle w:val="a5"/>
      </w:pPr>
      <w:r>
        <w:rPr>
          <w:rStyle w:val="a7"/>
        </w:rPr>
        <w:footnoteRef/>
      </w:r>
      <w:r>
        <w:t xml:space="preserve"> </w:t>
      </w:r>
      <w:r>
        <w:rPr>
          <w:b/>
          <w:bCs/>
          <w:rtl/>
        </w:rPr>
        <w:t xml:space="preserve"> אשר רמיז כו'.</w:t>
      </w:r>
      <w:r>
        <w:rPr>
          <w:rtl/>
        </w:rPr>
        <w:t xml:space="preserve"> כאן מפרש האיך פקודא דא רמיז במאמר הראשון:</w:t>
      </w:r>
    </w:p>
  </w:footnote>
  <w:footnote w:id="3727">
    <w:p w:rsidR="00A13282" w:rsidRDefault="00A13282" w:rsidP="003841DB">
      <w:pPr>
        <w:pStyle w:val="a5"/>
      </w:pPr>
      <w:r>
        <w:rPr>
          <w:rStyle w:val="a7"/>
        </w:rPr>
        <w:footnoteRef/>
      </w:r>
      <w:r>
        <w:t xml:space="preserve"> </w:t>
      </w:r>
      <w:r>
        <w:rPr>
          <w:b/>
          <w:bCs/>
          <w:rtl/>
        </w:rPr>
        <w:t xml:space="preserve"> מאי קדש ידיד ידיד דא צדיק.</w:t>
      </w:r>
      <w:r>
        <w:rPr>
          <w:rtl/>
        </w:rPr>
        <w:t xml:space="preserve"> וכן אמר לקמן בריש תיקון ל"ט בצדיק דאיהו קדש ידיד כו':</w:t>
      </w:r>
    </w:p>
  </w:footnote>
  <w:footnote w:id="3728">
    <w:p w:rsidR="00A13282" w:rsidRDefault="00A13282" w:rsidP="003841DB">
      <w:pPr>
        <w:pStyle w:val="a5"/>
      </w:pPr>
      <w:r>
        <w:rPr>
          <w:rStyle w:val="a7"/>
        </w:rPr>
        <w:footnoteRef/>
      </w:r>
      <w:r>
        <w:t xml:space="preserve"> </w:t>
      </w:r>
      <w:r>
        <w:rPr>
          <w:b/>
          <w:bCs/>
          <w:rtl/>
        </w:rPr>
        <w:t>קדשנו בצדיק וצונו בעד"א.</w:t>
      </w:r>
      <w:r>
        <w:rPr>
          <w:rtl/>
        </w:rPr>
        <w:t xml:space="preserve"> דעמודא דאמצעיתא - בעל הבית - מצוה, וצדיק - אורח - עושה פרי בה, ומעשה דפקודא הוא קדשנו והוא בצדיק כמו שאומר לקמן קדש ידיד וכן אמר בריש תיקון ל"ט עיין שם:</w:t>
      </w:r>
    </w:p>
  </w:footnote>
  <w:footnote w:id="3729">
    <w:p w:rsidR="00A13282" w:rsidRDefault="00A13282" w:rsidP="003841DB">
      <w:pPr>
        <w:pStyle w:val="a5"/>
      </w:pPr>
      <w:r>
        <w:rPr>
          <w:rStyle w:val="a7"/>
        </w:rPr>
        <w:footnoteRef/>
      </w:r>
      <w:r>
        <w:t xml:space="preserve"> </w:t>
      </w:r>
      <w:r>
        <w:rPr>
          <w:b/>
          <w:bCs/>
          <w:rtl/>
        </w:rPr>
        <w:t xml:space="preserve"> דאיהו ראש.</w:t>
      </w:r>
      <w:r>
        <w:rPr>
          <w:rtl/>
        </w:rPr>
        <w:t xml:space="preserve"> רוצה לומר כמו הראש שמצוה על כל דבר:</w:t>
      </w:r>
    </w:p>
  </w:footnote>
  <w:footnote w:id="3730">
    <w:p w:rsidR="00A13282" w:rsidRDefault="00A13282" w:rsidP="003841DB">
      <w:pPr>
        <w:pStyle w:val="a5"/>
      </w:pPr>
      <w:r>
        <w:rPr>
          <w:rStyle w:val="a7"/>
        </w:rPr>
        <w:footnoteRef/>
      </w:r>
      <w:r>
        <w:t xml:space="preserve"> </w:t>
      </w:r>
      <w:r>
        <w:rPr>
          <w:b/>
          <w:bCs/>
          <w:rtl/>
        </w:rPr>
        <w:t xml:space="preserve"> ומסט' דאימא אשר קדשנו.</w:t>
      </w:r>
      <w:r>
        <w:rPr>
          <w:rtl/>
        </w:rPr>
        <w:t xml:space="preserve"> רוצה לומר עושה כנ"ל:</w:t>
      </w:r>
    </w:p>
  </w:footnote>
  <w:footnote w:id="3731">
    <w:p w:rsidR="00A13282" w:rsidRDefault="00A13282" w:rsidP="003841DB">
      <w:pPr>
        <w:pStyle w:val="a5"/>
      </w:pPr>
      <w:r>
        <w:rPr>
          <w:rStyle w:val="a7"/>
        </w:rPr>
        <w:footnoteRef/>
      </w:r>
      <w:r>
        <w:t xml:space="preserve"> </w:t>
      </w:r>
      <w:r>
        <w:rPr>
          <w:b/>
          <w:bCs/>
          <w:rtl/>
        </w:rPr>
        <w:t xml:space="preserve"> על מאן על כו'.</w:t>
      </w:r>
      <w:r>
        <w:rPr>
          <w:rtl/>
        </w:rPr>
        <w:t xml:space="preserve"> רוצה לומר הוא סיום הברכה, על נטילת לולב, שהוא המצוה עצמה - הוא במלכות, וכן בכל מצוה:</w:t>
      </w:r>
    </w:p>
  </w:footnote>
  <w:footnote w:id="3732">
    <w:p w:rsidR="00A13282" w:rsidRDefault="00A13282" w:rsidP="003841DB">
      <w:pPr>
        <w:pStyle w:val="a5"/>
      </w:pPr>
      <w:r>
        <w:rPr>
          <w:rStyle w:val="a7"/>
        </w:rPr>
        <w:footnoteRef/>
      </w:r>
      <w:r>
        <w:t xml:space="preserve"> </w:t>
      </w:r>
      <w:r>
        <w:rPr>
          <w:b/>
          <w:bCs/>
          <w:rtl/>
        </w:rPr>
        <w:t xml:space="preserve"> בכל [אבר] ואבר דמלכא איהי מצוה.</w:t>
      </w:r>
      <w:r>
        <w:rPr>
          <w:rtl/>
        </w:rPr>
        <w:t xml:space="preserve"> רוצה לומר דז"א הוא התורה, ברמ"ח מצוות עשה שבתורה - רמ"ח אברים, והיא כלולה בו - בכל מצוה - בעשית המצוה:</w:t>
      </w:r>
    </w:p>
  </w:footnote>
  <w:footnote w:id="3733">
    <w:p w:rsidR="00A13282" w:rsidRDefault="00A13282" w:rsidP="003841DB">
      <w:pPr>
        <w:pStyle w:val="a5"/>
      </w:pPr>
      <w:r>
        <w:rPr>
          <w:rStyle w:val="a7"/>
        </w:rPr>
        <w:footnoteRef/>
      </w:r>
      <w:r>
        <w:t xml:space="preserve"> </w:t>
      </w:r>
      <w:r>
        <w:rPr>
          <w:b/>
          <w:bCs/>
          <w:rtl/>
        </w:rPr>
        <w:t xml:space="preserve"> ועוד אשר קדשנו וצונו מסט' דאו"א.</w:t>
      </w:r>
      <w:r>
        <w:rPr>
          <w:rtl/>
        </w:rPr>
        <w:t xml:space="preserve"> רוצה לומר, בין קדשנו בין צונו - שניהם מסטרא דתרווייהו וכמו שמפרש והולך דבתחלה מפרש קדשנו וצונו - חד בעמודא דאמצעיתא וחד בצדיק, ואח"כ מפרש שניהם בשניהם:</w:t>
      </w:r>
    </w:p>
  </w:footnote>
  <w:footnote w:id="3734">
    <w:p w:rsidR="00A13282" w:rsidRDefault="00A13282" w:rsidP="003841DB">
      <w:pPr>
        <w:pStyle w:val="a5"/>
      </w:pPr>
      <w:r>
        <w:rPr>
          <w:rStyle w:val="a7"/>
        </w:rPr>
        <w:footnoteRef/>
      </w:r>
      <w:r>
        <w:t xml:space="preserve"> </w:t>
      </w:r>
      <w:r>
        <w:rPr>
          <w:b/>
          <w:bCs/>
          <w:rtl/>
        </w:rPr>
        <w:t xml:space="preserve"> הה"ד ויאמר כו'.</w:t>
      </w:r>
      <w:r>
        <w:rPr>
          <w:rtl/>
        </w:rPr>
        <w:t xml:space="preserve"> רוצה לומר, האמירה הוא צונו, ויהי - הוא מעשה, ומפרש והולך ויאמר - מסטרא דאבא, יהי - מסטרא דאימא, והן תרווייהו בצווי:</w:t>
      </w:r>
    </w:p>
  </w:footnote>
  <w:footnote w:id="3735">
    <w:p w:rsidR="00A13282" w:rsidRDefault="00A13282" w:rsidP="003841DB">
      <w:pPr>
        <w:pStyle w:val="a5"/>
      </w:pPr>
      <w:r>
        <w:rPr>
          <w:rStyle w:val="a7"/>
        </w:rPr>
        <w:footnoteRef/>
      </w:r>
      <w:r>
        <w:t xml:space="preserve"> </w:t>
      </w:r>
      <w:r>
        <w:rPr>
          <w:rtl/>
        </w:rPr>
        <w:t xml:space="preserve"> </w:t>
      </w:r>
      <w:r>
        <w:rPr>
          <w:b/>
          <w:bCs/>
          <w:rtl/>
        </w:rPr>
        <w:t>עשיה דתרווייהו ויהי אור.</w:t>
      </w:r>
      <w:r>
        <w:rPr>
          <w:rtl/>
        </w:rPr>
        <w:t xml:space="preserve"> רוצה לומר כולל שניהם, שלכן נתוסף וא"ו:</w:t>
      </w:r>
    </w:p>
  </w:footnote>
  <w:footnote w:id="3736">
    <w:p w:rsidR="00A13282" w:rsidRDefault="00A13282" w:rsidP="003841DB">
      <w:pPr>
        <w:pStyle w:val="a5"/>
      </w:pPr>
      <w:r>
        <w:rPr>
          <w:rStyle w:val="a7"/>
        </w:rPr>
        <w:footnoteRef/>
      </w:r>
      <w:r>
        <w:t xml:space="preserve"> </w:t>
      </w:r>
      <w:r>
        <w:rPr>
          <w:b/>
          <w:bCs/>
          <w:rtl/>
        </w:rPr>
        <w:t xml:space="preserve"> ע"ש באשרי כו'.</w:t>
      </w:r>
      <w:r>
        <w:rPr>
          <w:rtl/>
        </w:rPr>
        <w:t xml:space="preserve"> כמו שאמרו בזהר פרשת ויחי רמ"ו א' מאשר שמנה לחמו דא הוא אתר דכלא מאשרין ליה ומאן איהו עלמא דאתי, דעלאי ותתאי מאשרין ליה ומכספן ליה כו':</w:t>
      </w:r>
    </w:p>
  </w:footnote>
  <w:footnote w:id="3737">
    <w:p w:rsidR="00A13282" w:rsidRDefault="00A13282" w:rsidP="003841DB">
      <w:pPr>
        <w:pStyle w:val="a5"/>
      </w:pPr>
      <w:r>
        <w:rPr>
          <w:rStyle w:val="a7"/>
        </w:rPr>
        <w:footnoteRef/>
      </w:r>
      <w:r>
        <w:t xml:space="preserve"> </w:t>
      </w:r>
      <w:r>
        <w:rPr>
          <w:b/>
          <w:bCs/>
          <w:rtl/>
        </w:rPr>
        <w:t xml:space="preserve"> וכי עבד כו'.</w:t>
      </w:r>
      <w:r>
        <w:rPr>
          <w:rtl/>
        </w:rPr>
        <w:t xml:space="preserve"> להורות דמיירי ביובלא ועיין מה שכתבתי בתיקון ל”ב:</w:t>
      </w:r>
    </w:p>
  </w:footnote>
  <w:footnote w:id="3738">
    <w:p w:rsidR="00A13282" w:rsidRDefault="00A13282" w:rsidP="003841DB">
      <w:pPr>
        <w:pStyle w:val="a5"/>
      </w:pPr>
      <w:r>
        <w:rPr>
          <w:rStyle w:val="a7"/>
        </w:rPr>
        <w:footnoteRef/>
      </w:r>
      <w:r>
        <w:t xml:space="preserve"> </w:t>
      </w:r>
      <w:r>
        <w:rPr>
          <w:b/>
          <w:bCs/>
          <w:rtl/>
        </w:rPr>
        <w:t xml:space="preserve"> מאינון שבע קלין.</w:t>
      </w:r>
      <w:r>
        <w:rPr>
          <w:rtl/>
        </w:rPr>
        <w:t xml:space="preserve"> הידועין, קול ה' בכח כו', והן קלות וברקים דיצחק כליל באברהם אחת ושתים וקל שפר קול השפר יעננו בקול, רואים את הקולות גם כן כלילן כחדא וכמו שאמרו בזהר פרשת בראשית י"ז א' וכמה דחשך כו' הכי לילה כו', ומה שאמרו בגמרא (ברכות ו ע"ב) ה' קולות, ורואים את הקולות - קולות דמעיקרא - שפיר הוא דאינן אלא ה’ חסדים וה’ גבורות, ובהנך ב' הוא כלילותם, ולפי מה שכתבתי במקום אחר דקול השביעי הוא באימא וכ"מ כאן לא חשיב שהוא שרשם ויסוד כלילותם, ובמקום אחר כתבתי ענין הז' קולות, אחד - הוא קול פנימי, קול גדול ולא יסף, ג' - חג"ת הוא הקול בפה, ג' - נה"י הוא היוצא לחוץ עד מקום גבולו, ומשם חוזר לאחור והוא בת קול, וזה שאומר ואיהי הות כו' בת הי' כו':</w:t>
      </w:r>
    </w:p>
  </w:footnote>
  <w:footnote w:id="3739">
    <w:p w:rsidR="00A13282" w:rsidRDefault="00A13282" w:rsidP="003841DB">
      <w:pPr>
        <w:pStyle w:val="a5"/>
      </w:pPr>
      <w:r>
        <w:rPr>
          <w:rStyle w:val="a7"/>
        </w:rPr>
        <w:footnoteRef/>
      </w:r>
      <w:r>
        <w:t xml:space="preserve"> </w:t>
      </w:r>
      <w:r>
        <w:rPr>
          <w:b/>
          <w:bCs/>
          <w:rtl/>
        </w:rPr>
        <w:t xml:space="preserve"> קול דברים כו'.</w:t>
      </w:r>
      <w:r>
        <w:rPr>
          <w:rtl/>
        </w:rPr>
        <w:t xml:space="preserve"> [נכתב בצדו בכתב יד קדשו. כן הוא בבהיר ג' ב' עיין שם בארוכה, אבל שם אמר ז' קולות עם מלכות, ועל כולן רואין הקולות, לבד עלאין - (דברים ד יב) קול דברים כו', ואמר שם דקול אחד מז' קולות - היה בארץ, שנאמר (דברים ד לו) מן השמים השמיעך כו' ועל הארץ כו' ודבריו שמעת מתוך האש - זהו קול האחרון עיין שם] (הרבה צריך עיון, דהא חשב שם בפרשה שבעה קולות לבד זה, וכבר אמר מאינון שבע קלין והוא עם אימא כמו שאומר למטה שביעאה באימא כו', ועוד מה שאמר ועל אימא עלאה כו'. הא כל ז' קלין כן לבד בת קול וכמו שמפרש והולך אבל בת כו', ועוד מאי על אימא עילאה הוה ליה למימר ועלה כו', ועוד קול דברים איננו באותה פרשה, ונראה שטעות סופר וכן צריך לומר, </w:t>
      </w:r>
      <w:r>
        <w:rPr>
          <w:b/>
          <w:bCs/>
          <w:rtl/>
        </w:rPr>
        <w:t>דכל חד וחד קלא עלאה כו' ספירן עילאין</w:t>
      </w:r>
      <w:r>
        <w:rPr>
          <w:rtl/>
        </w:rPr>
        <w:t xml:space="preserve">). </w:t>
      </w:r>
      <w:r>
        <w:rPr>
          <w:b/>
          <w:bCs/>
          <w:rtl/>
        </w:rPr>
        <w:t>ועלייהו אתמר קול דברים אתם שומעים ותמונה אינכם כו'.</w:t>
      </w:r>
      <w:r>
        <w:rPr>
          <w:rtl/>
        </w:rPr>
        <w:t xml:space="preserve"> רוצה לומר על הז' קלין דלמעלה:</w:t>
      </w:r>
    </w:p>
  </w:footnote>
  <w:footnote w:id="3740">
    <w:p w:rsidR="00A13282" w:rsidRDefault="00A13282" w:rsidP="003841DB">
      <w:pPr>
        <w:pStyle w:val="a5"/>
      </w:pPr>
      <w:r>
        <w:rPr>
          <w:rStyle w:val="a7"/>
        </w:rPr>
        <w:footnoteRef/>
      </w:r>
      <w:r>
        <w:t xml:space="preserve"> </w:t>
      </w:r>
      <w:r>
        <w:rPr>
          <w:rtl/>
        </w:rPr>
        <w:t xml:space="preserve"> (מתל"ה) </w:t>
      </w:r>
      <w:r>
        <w:rPr>
          <w:b/>
          <w:bCs/>
          <w:rtl/>
        </w:rPr>
        <w:t>קול דברים אתם שומעים כו'.</w:t>
      </w:r>
      <w:r>
        <w:rPr>
          <w:rtl/>
        </w:rPr>
        <w:t xml:space="preserve"> עיין מה שכתבתי שם, אבל הענין כי אימא עלאה - קשר המרכבה, שהיא סיומא דג"ר וחותם דילהון, כמו שכינתא תתאה לז"ת, לכן הן ב' ההי"ן, ב' נוק', שכינתא עלאה ותתאה, וא' - ראש ז"ת, סוד הדעת, והיא שביעאה לון בזה, וזה שאומר דא קלא, רוצה לומר קול דברים הן ג"ר כמו שאומר בספר הבהיר ועיין תיקון כ"ב, ואמר ועל אימא אתמר כו' רוצה לומר אע"ג דהיא תמונה דכל ג"ר, כמו מלכות לז"ת, מכל מקום אינכם רואים כו', מה שאין כן בבת קול, דשם (במדבר יב ח) תמונת ה' יביט, (במדבר ז פט, דברים ה כ) את הקול, ו' קולות עם שביעאה דעלייהו, ו' דכליל לון:</w:t>
      </w:r>
    </w:p>
  </w:footnote>
  <w:footnote w:id="3741">
    <w:p w:rsidR="00A13282" w:rsidRDefault="00A13282" w:rsidP="003841DB">
      <w:pPr>
        <w:pStyle w:val="a5"/>
      </w:pPr>
      <w:r>
        <w:rPr>
          <w:rStyle w:val="a7"/>
        </w:rPr>
        <w:footnoteRef/>
      </w:r>
      <w:r>
        <w:t xml:space="preserve"> </w:t>
      </w:r>
      <w:r>
        <w:rPr>
          <w:b/>
          <w:bCs/>
          <w:rtl/>
        </w:rPr>
        <w:t xml:space="preserve"> ברקים מסט' כו'.</w:t>
      </w:r>
      <w:r>
        <w:rPr>
          <w:rtl/>
        </w:rPr>
        <w:t xml:space="preserve"> גם כן כלילא משבעה, דכמו דכלילין כלהו בעמודא דאמצעיתא - כן כלילין בצדיק, וכן בשכינה ועיין לעיל ב' ב' ושאר מקומות:</w:t>
      </w:r>
    </w:p>
  </w:footnote>
  <w:footnote w:id="3742">
    <w:p w:rsidR="00A13282" w:rsidRDefault="00A13282" w:rsidP="003841DB">
      <w:pPr>
        <w:pStyle w:val="a5"/>
      </w:pPr>
      <w:r>
        <w:rPr>
          <w:rStyle w:val="a7"/>
        </w:rPr>
        <w:footnoteRef/>
      </w:r>
      <w:r>
        <w:t xml:space="preserve"> </w:t>
      </w:r>
      <w:r>
        <w:rPr>
          <w:b/>
          <w:bCs/>
          <w:rtl/>
        </w:rPr>
        <w:t xml:space="preserve"> כברק חצו.</w:t>
      </w:r>
      <w:r>
        <w:rPr>
          <w:rtl/>
        </w:rPr>
        <w:t xml:space="preserve"> חצו ידוע שהוא בצדיק כמו שאומר לעיל מ"ב א' והא קשת לגבך כו' תלת ו' ו' ו' כו', רוצה לומר שכתיב (שמואל א כ כ) שלשת החצים צדה כו', תלת טפין יורה כחץ, ועיין לעיל סוף תיקון י”ד כ"ה ב' תלת יודין דאינון כו' פתח ר"ש כו' חד ב"נ צדיק שמיה כו' עיין שם בדבריו:</w:t>
      </w:r>
    </w:p>
  </w:footnote>
  <w:footnote w:id="3743">
    <w:p w:rsidR="00A13282" w:rsidRDefault="00A13282" w:rsidP="003841DB">
      <w:pPr>
        <w:pStyle w:val="a5"/>
      </w:pPr>
      <w:r>
        <w:rPr>
          <w:rStyle w:val="a7"/>
        </w:rPr>
        <w:footnoteRef/>
      </w:r>
      <w:r>
        <w:t xml:space="preserve"> </w:t>
      </w:r>
      <w:r>
        <w:rPr>
          <w:b/>
          <w:bCs/>
          <w:rtl/>
        </w:rPr>
        <w:t xml:space="preserve"> הה"ד ומשה כו'.</w:t>
      </w:r>
      <w:r>
        <w:rPr>
          <w:rtl/>
        </w:rPr>
        <w:t xml:space="preserve"> האלהים דייקא:</w:t>
      </w:r>
    </w:p>
  </w:footnote>
  <w:footnote w:id="3744">
    <w:p w:rsidR="00A13282" w:rsidRDefault="00A13282" w:rsidP="003841DB">
      <w:pPr>
        <w:pStyle w:val="a5"/>
      </w:pPr>
      <w:r>
        <w:rPr>
          <w:rStyle w:val="a7"/>
        </w:rPr>
        <w:footnoteRef/>
      </w:r>
      <w:r>
        <w:t xml:space="preserve"> </w:t>
      </w:r>
      <w:r>
        <w:rPr>
          <w:b/>
          <w:bCs/>
          <w:rtl/>
        </w:rPr>
        <w:t xml:space="preserve"> כשמך כו'.</w:t>
      </w:r>
      <w:r>
        <w:rPr>
          <w:rtl/>
        </w:rPr>
        <w:t xml:space="preserve"> תהלה הוא בבינה כמו שכתוב (ישעיהו מח ט) ותהלתי אחטם לך:</w:t>
      </w:r>
    </w:p>
  </w:footnote>
  <w:footnote w:id="3745">
    <w:p w:rsidR="00A13282" w:rsidRDefault="00A13282" w:rsidP="003841DB">
      <w:pPr>
        <w:pStyle w:val="a5"/>
      </w:pPr>
      <w:r>
        <w:rPr>
          <w:rStyle w:val="a7"/>
        </w:rPr>
        <w:footnoteRef/>
      </w:r>
      <w:r>
        <w:t xml:space="preserve"> </w:t>
      </w:r>
      <w:r>
        <w:rPr>
          <w:b/>
          <w:bCs/>
          <w:rtl/>
        </w:rPr>
        <w:t xml:space="preserve"> ולית פיקודא כו'.</w:t>
      </w:r>
      <w:r>
        <w:rPr>
          <w:rtl/>
        </w:rPr>
        <w:t xml:space="preserve"> רוצה לומר לכן כל הפקודין כלולין בבראשית:</w:t>
      </w:r>
    </w:p>
  </w:footnote>
  <w:footnote w:id="3746">
    <w:p w:rsidR="00A13282" w:rsidRDefault="00A13282" w:rsidP="003841DB">
      <w:pPr>
        <w:pStyle w:val="a5"/>
      </w:pPr>
      <w:r>
        <w:rPr>
          <w:rStyle w:val="a7"/>
        </w:rPr>
        <w:footnoteRef/>
      </w:r>
      <w:r>
        <w:t xml:space="preserve"> </w:t>
      </w:r>
      <w:r>
        <w:rPr>
          <w:b/>
          <w:bCs/>
          <w:rtl/>
        </w:rPr>
        <w:t xml:space="preserve"> מן בראשית דחילו ורחימו.</w:t>
      </w:r>
      <w:r>
        <w:rPr>
          <w:rtl/>
        </w:rPr>
        <w:t xml:space="preserve"> רוצה לומר אלו הן ב':</w:t>
      </w:r>
    </w:p>
  </w:footnote>
  <w:footnote w:id="3747">
    <w:p w:rsidR="00A13282" w:rsidRDefault="00A13282" w:rsidP="003841DB">
      <w:pPr>
        <w:pStyle w:val="a5"/>
      </w:pPr>
      <w:r>
        <w:rPr>
          <w:rStyle w:val="a7"/>
        </w:rPr>
        <w:footnoteRef/>
      </w:r>
      <w:r>
        <w:t xml:space="preserve"> </w:t>
      </w:r>
      <w:r>
        <w:rPr>
          <w:b/>
          <w:bCs/>
          <w:rtl/>
        </w:rPr>
        <w:t xml:space="preserve"> איהי מצוה כו'.</w:t>
      </w:r>
      <w:r>
        <w:rPr>
          <w:rtl/>
        </w:rPr>
        <w:t xml:space="preserve"> וזהו ב', בכל אבר דתורה - היא מצוה שם וכנ"ל:</w:t>
      </w:r>
    </w:p>
  </w:footnote>
  <w:footnote w:id="3748">
    <w:p w:rsidR="00A13282" w:rsidRDefault="00A13282" w:rsidP="003841DB">
      <w:pPr>
        <w:pStyle w:val="a5"/>
      </w:pPr>
      <w:r>
        <w:rPr>
          <w:rStyle w:val="a7"/>
        </w:rPr>
        <w:footnoteRef/>
      </w:r>
      <w:r>
        <w:t xml:space="preserve"> </w:t>
      </w:r>
      <w:r>
        <w:rPr>
          <w:b/>
          <w:bCs/>
          <w:rtl/>
        </w:rPr>
        <w:t xml:space="preserve"> איש כו'.</w:t>
      </w:r>
      <w:r>
        <w:rPr>
          <w:rtl/>
        </w:rPr>
        <w:t xml:space="preserve"> דחו"ב כלילין זה בזה, הבן כו' כנ"ל:</w:t>
      </w:r>
    </w:p>
  </w:footnote>
  <w:footnote w:id="3749">
    <w:p w:rsidR="00A13282" w:rsidRDefault="00A13282" w:rsidP="003841DB">
      <w:pPr>
        <w:pStyle w:val="a5"/>
      </w:pPr>
      <w:r>
        <w:rPr>
          <w:rStyle w:val="a7"/>
        </w:rPr>
        <w:footnoteRef/>
      </w:r>
      <w:r>
        <w:t xml:space="preserve"> </w:t>
      </w:r>
      <w:r>
        <w:rPr>
          <w:b/>
          <w:bCs/>
          <w:rtl/>
        </w:rPr>
        <w:t xml:space="preserve"> ותרווייהו אינון זכור ושמור.</w:t>
      </w:r>
      <w:r>
        <w:rPr>
          <w:rtl/>
        </w:rPr>
        <w:t xml:space="preserve"> רוצה לומר או"א, וכמו שמפרש והולך תפלין דראש כו', וכמו שזו"נ שהן תפלין דילן נקרא זכור ושמור - כן הוא באו"א:</w:t>
      </w:r>
    </w:p>
  </w:footnote>
  <w:footnote w:id="3750">
    <w:p w:rsidR="00A13282" w:rsidRDefault="00A13282" w:rsidP="003841DB">
      <w:pPr>
        <w:pStyle w:val="a5"/>
      </w:pPr>
      <w:r>
        <w:rPr>
          <w:rStyle w:val="a7"/>
        </w:rPr>
        <w:footnoteRef/>
      </w:r>
      <w:r>
        <w:t xml:space="preserve"> </w:t>
      </w:r>
      <w:r>
        <w:rPr>
          <w:b/>
          <w:bCs/>
          <w:rtl/>
        </w:rPr>
        <w:t xml:space="preserve"> דאיהו ראש כו'.</w:t>
      </w:r>
      <w:r>
        <w:rPr>
          <w:rtl/>
        </w:rPr>
        <w:t xml:space="preserve"> רוצה לומר, דעמודא דאמצעיתא נקרא ראש דברך אמת, שהוא אמת ליעקב, ואבא - תפלין דיליה, שנקרא גם כן ראש, ונוטל החסדים ממנו, וכן אימא בנוק':</w:t>
      </w:r>
    </w:p>
  </w:footnote>
  <w:footnote w:id="3751">
    <w:p w:rsidR="00A13282" w:rsidRDefault="00A13282" w:rsidP="003841DB">
      <w:pPr>
        <w:pStyle w:val="a5"/>
      </w:pPr>
      <w:r>
        <w:rPr>
          <w:rStyle w:val="a7"/>
        </w:rPr>
        <w:footnoteRef/>
      </w:r>
      <w:r>
        <w:t xml:space="preserve"> </w:t>
      </w:r>
      <w:r>
        <w:rPr>
          <w:b/>
          <w:bCs/>
          <w:rtl/>
        </w:rPr>
        <w:t xml:space="preserve"> דיד דאיהי כו'.</w:t>
      </w:r>
      <w:r>
        <w:rPr>
          <w:rtl/>
        </w:rPr>
        <w:t xml:space="preserve"> רוצה לומר, יד נקראת שכינה, (יחזקאל ג יד, דבה"י א כח יט) יד ה' עלי:</w:t>
      </w:r>
    </w:p>
  </w:footnote>
  <w:footnote w:id="3752">
    <w:p w:rsidR="00A13282" w:rsidRDefault="00A13282" w:rsidP="003841DB">
      <w:pPr>
        <w:pStyle w:val="a5"/>
      </w:pPr>
      <w:r>
        <w:rPr>
          <w:rStyle w:val="a7"/>
        </w:rPr>
        <w:footnoteRef/>
      </w:r>
      <w:r>
        <w:t xml:space="preserve"> </w:t>
      </w:r>
      <w:r>
        <w:rPr>
          <w:b/>
          <w:bCs/>
          <w:rtl/>
        </w:rPr>
        <w:t xml:space="preserve"> ועוד נתיב כו'.</w:t>
      </w:r>
      <w:r>
        <w:rPr>
          <w:rtl/>
        </w:rPr>
        <w:t xml:space="preserve"> כאן מפרש פקודא דנתיב ג':</w:t>
      </w:r>
    </w:p>
  </w:footnote>
  <w:footnote w:id="3753">
    <w:p w:rsidR="00A13282" w:rsidRDefault="00A13282" w:rsidP="003841DB">
      <w:pPr>
        <w:pStyle w:val="a5"/>
      </w:pPr>
      <w:r>
        <w:rPr>
          <w:rStyle w:val="a7"/>
        </w:rPr>
        <w:footnoteRef/>
      </w:r>
      <w:r>
        <w:t xml:space="preserve"> </w:t>
      </w:r>
      <w:r>
        <w:rPr>
          <w:b/>
          <w:bCs/>
          <w:rtl/>
        </w:rPr>
        <w:t xml:space="preserve"> ועלייהו אתמר נפתחו כו'.</w:t>
      </w:r>
      <w:r>
        <w:rPr>
          <w:rtl/>
        </w:rPr>
        <w:t xml:space="preserve"> מראות הן אור, וכמו שאומר לעיל ד' ב' ואראה מראות אלקים חמש כו' עיין מה שכתבתי שם:</w:t>
      </w:r>
    </w:p>
  </w:footnote>
  <w:footnote w:id="3754">
    <w:p w:rsidR="00A13282" w:rsidRDefault="00A13282" w:rsidP="003841DB">
      <w:pPr>
        <w:pStyle w:val="a5"/>
      </w:pPr>
      <w:r>
        <w:rPr>
          <w:rStyle w:val="a7"/>
        </w:rPr>
        <w:footnoteRef/>
      </w:r>
      <w:r>
        <w:t xml:space="preserve"> </w:t>
      </w:r>
      <w:r>
        <w:rPr>
          <w:b/>
          <w:bCs/>
          <w:rtl/>
        </w:rPr>
        <w:t>אימא עילאה מראה כו'.</w:t>
      </w:r>
      <w:r>
        <w:rPr>
          <w:rtl/>
        </w:rPr>
        <w:t xml:space="preserve"> דבאימא עילאה הן ה' אור, וכמו שאומר לעיל ט"ו א' ושם בסתימו דלית גוונין, ובה' תתאה הן גוונין כמו שאומר שם, ורוצה לומר לכן לא כתב מה הן המראות וסתם:</w:t>
      </w:r>
    </w:p>
  </w:footnote>
  <w:footnote w:id="3755">
    <w:p w:rsidR="00A13282" w:rsidRDefault="00A13282" w:rsidP="003841DB">
      <w:pPr>
        <w:pStyle w:val="a5"/>
      </w:pPr>
      <w:r>
        <w:rPr>
          <w:rStyle w:val="a7"/>
        </w:rPr>
        <w:footnoteRef/>
      </w:r>
      <w:r>
        <w:t xml:space="preserve"> </w:t>
      </w:r>
      <w:r>
        <w:rPr>
          <w:b/>
          <w:bCs/>
          <w:rtl/>
        </w:rPr>
        <w:t xml:space="preserve"> וביד כו'.</w:t>
      </w:r>
      <w:r>
        <w:rPr>
          <w:rtl/>
        </w:rPr>
        <w:t xml:space="preserve"> דאיהי יד כנ"ל:</w:t>
      </w:r>
    </w:p>
  </w:footnote>
  <w:footnote w:id="3756">
    <w:p w:rsidR="00A13282" w:rsidRDefault="00A13282" w:rsidP="003841DB">
      <w:pPr>
        <w:pStyle w:val="a5"/>
      </w:pPr>
      <w:r>
        <w:rPr>
          <w:rStyle w:val="a7"/>
        </w:rPr>
        <w:footnoteRef/>
      </w:r>
      <w:r>
        <w:t xml:space="preserve"> </w:t>
      </w:r>
      <w:r>
        <w:rPr>
          <w:b/>
          <w:bCs/>
          <w:rtl/>
        </w:rPr>
        <w:t xml:space="preserve"> חיה.</w:t>
      </w:r>
      <w:r>
        <w:rPr>
          <w:rtl/>
        </w:rPr>
        <w:t xml:space="preserve"> ח"י עלמין עם ה' דילה:</w:t>
      </w:r>
    </w:p>
  </w:footnote>
  <w:footnote w:id="3757">
    <w:p w:rsidR="00A13282" w:rsidRDefault="00A13282" w:rsidP="003841DB">
      <w:pPr>
        <w:pStyle w:val="a5"/>
      </w:pPr>
      <w:r>
        <w:rPr>
          <w:rStyle w:val="a7"/>
        </w:rPr>
        <w:footnoteRef/>
      </w:r>
      <w:r>
        <w:t xml:space="preserve"> </w:t>
      </w:r>
      <w:r>
        <w:rPr>
          <w:b/>
          <w:bCs/>
          <w:rtl/>
        </w:rPr>
        <w:t xml:space="preserve"> נשר כו'.</w:t>
      </w:r>
      <w:r>
        <w:rPr>
          <w:rtl/>
        </w:rPr>
        <w:t xml:space="preserve"> ג' דרגין, בי"ע, מארי מקרא משנה קבלה, כמו שאומר בתיקוני זהר חדש ע"ד א' עיין שם:</w:t>
      </w:r>
    </w:p>
  </w:footnote>
  <w:footnote w:id="3758">
    <w:p w:rsidR="00A13282" w:rsidRDefault="00A13282" w:rsidP="003841DB">
      <w:pPr>
        <w:pStyle w:val="a5"/>
      </w:pPr>
      <w:r>
        <w:rPr>
          <w:rStyle w:val="a7"/>
        </w:rPr>
        <w:footnoteRef/>
      </w:r>
      <w:r>
        <w:t xml:space="preserve"> </w:t>
      </w:r>
      <w:r>
        <w:rPr>
          <w:b/>
          <w:bCs/>
          <w:rtl/>
        </w:rPr>
        <w:t xml:space="preserve"> סט' בישא כו'.</w:t>
      </w:r>
      <w:r>
        <w:rPr>
          <w:rtl/>
        </w:rPr>
        <w:t xml:space="preserve"> (דה"א היא סימן הנקבה, ודג - יסוד, והיא טפלה לו) דבקדושה היא טפלה ונכללת בו אבל בס"א להיפך דהיא שלטא על דכורא כמו שאומר בזהר פרשת פנחס, לכן נקרא על שמה לשון נקבה ועיין לעיל מ"ו א' בארוכה:</w:t>
      </w:r>
    </w:p>
  </w:footnote>
  <w:footnote w:id="3759">
    <w:p w:rsidR="00A13282" w:rsidRDefault="00A13282" w:rsidP="003841DB">
      <w:pPr>
        <w:pStyle w:val="a5"/>
      </w:pPr>
      <w:r>
        <w:rPr>
          <w:rStyle w:val="a7"/>
        </w:rPr>
        <w:footnoteRef/>
      </w:r>
      <w:r>
        <w:t xml:space="preserve"> </w:t>
      </w:r>
      <w:r>
        <w:rPr>
          <w:b/>
          <w:bCs/>
          <w:rtl/>
        </w:rPr>
        <w:t xml:space="preserve"> ומסט' דעשבין כו'.</w:t>
      </w:r>
      <w:r>
        <w:rPr>
          <w:rtl/>
        </w:rPr>
        <w:t xml:space="preserve"> עיין לעיל ס"ט ב' ע' א' ולקמן ריש תיקון ל”ח:</w:t>
      </w:r>
    </w:p>
  </w:footnote>
  <w:footnote w:id="3760">
    <w:p w:rsidR="00A13282" w:rsidRDefault="00A13282" w:rsidP="003841DB">
      <w:pPr>
        <w:pStyle w:val="a5"/>
      </w:pPr>
      <w:r>
        <w:rPr>
          <w:rStyle w:val="a7"/>
        </w:rPr>
        <w:footnoteRef/>
      </w:r>
      <w:r>
        <w:t xml:space="preserve"> </w:t>
      </w:r>
      <w:r>
        <w:rPr>
          <w:b/>
          <w:bCs/>
          <w:rtl/>
        </w:rPr>
        <w:t xml:space="preserve"> אדהכי הא קלא כו'.</w:t>
      </w:r>
      <w:r>
        <w:rPr>
          <w:rtl/>
        </w:rPr>
        <w:t xml:space="preserve"> הוא קלא תניינא דנבואה כנ"ל, והוה ליה למימר בתר קלא קדמאה, אלא שהתחיל לפרש הנבואה בנתיבות:</w:t>
      </w:r>
    </w:p>
  </w:footnote>
  <w:footnote w:id="3761">
    <w:p w:rsidR="00A13282" w:rsidRDefault="00A13282" w:rsidP="003841DB">
      <w:pPr>
        <w:pStyle w:val="a5"/>
      </w:pPr>
      <w:r>
        <w:rPr>
          <w:rStyle w:val="a7"/>
        </w:rPr>
        <w:footnoteRef/>
      </w:r>
      <w:r>
        <w:t xml:space="preserve"> </w:t>
      </w:r>
      <w:r>
        <w:rPr>
          <w:b/>
          <w:bCs/>
          <w:rtl/>
        </w:rPr>
        <w:t xml:space="preserve"> מארי דהיכלין.</w:t>
      </w:r>
      <w:r>
        <w:rPr>
          <w:rtl/>
        </w:rPr>
        <w:t xml:space="preserve"> כנ"ל שהוא בהיכלין דידה:</w:t>
      </w:r>
    </w:p>
  </w:footnote>
  <w:footnote w:id="3762">
    <w:p w:rsidR="00A13282" w:rsidRDefault="00A13282" w:rsidP="003841DB">
      <w:pPr>
        <w:pStyle w:val="a5"/>
      </w:pPr>
      <w:r>
        <w:rPr>
          <w:rStyle w:val="a7"/>
        </w:rPr>
        <w:footnoteRef/>
      </w:r>
      <w:r>
        <w:t xml:space="preserve"> </w:t>
      </w:r>
      <w:r>
        <w:rPr>
          <w:b/>
          <w:bCs/>
          <w:rtl/>
        </w:rPr>
        <w:t xml:space="preserve"> אדנ"י שפתי כו'.</w:t>
      </w:r>
      <w:r>
        <w:rPr>
          <w:rtl/>
        </w:rPr>
        <w:t xml:space="preserve"> רוצה לומר אדני, כמנין היכל, וכמו שאומר לעיל בתיקון י”ח כ"ח א' איהי היכלא דכל אבר ואבר, מצוה דכל אבר ואבר, אדני איהי כחושבן היכל ובג"ד איתמר (תהלים נא יז) אדני שפתי תפתח כו' עיין שם ושם כ"ט ב' אדהכי הא כו':</w:t>
      </w:r>
    </w:p>
  </w:footnote>
  <w:footnote w:id="3763">
    <w:p w:rsidR="00A13282" w:rsidRDefault="00A13282" w:rsidP="003841DB">
      <w:pPr>
        <w:pStyle w:val="a5"/>
      </w:pPr>
      <w:r>
        <w:rPr>
          <w:rStyle w:val="a7"/>
        </w:rPr>
        <w:footnoteRef/>
      </w:r>
      <w:r>
        <w:t xml:space="preserve"> </w:t>
      </w:r>
      <w:r>
        <w:rPr>
          <w:b/>
          <w:bCs/>
          <w:rtl/>
        </w:rPr>
        <w:t xml:space="preserve"> כלילא כו'.</w:t>
      </w:r>
      <w:r>
        <w:rPr>
          <w:rtl/>
        </w:rPr>
        <w:t xml:space="preserve"> דאיהי בת שבע, ורוצה לומר דכולן כלילן בפסוק זה אדני שפתי כו' עד תהלתך שהוא בבינה:</w:t>
      </w:r>
    </w:p>
  </w:footnote>
  <w:footnote w:id="3764">
    <w:p w:rsidR="00A13282" w:rsidRDefault="00A13282" w:rsidP="003841DB">
      <w:pPr>
        <w:pStyle w:val="a5"/>
      </w:pPr>
      <w:r>
        <w:rPr>
          <w:rStyle w:val="a7"/>
        </w:rPr>
        <w:footnoteRef/>
      </w:r>
      <w:r>
        <w:t xml:space="preserve"> </w:t>
      </w:r>
      <w:r>
        <w:rPr>
          <w:b/>
          <w:bCs/>
          <w:rtl/>
        </w:rPr>
        <w:t xml:space="preserve"> אית נביאים כו'.</w:t>
      </w:r>
      <w:r>
        <w:rPr>
          <w:rtl/>
        </w:rPr>
        <w:t xml:space="preserve"> רוצה לומר, דזה שנאמר יהי אור ויהי אור, ימינא ושמאלא, כמו שאומר לעיל ע"ו ב' והן אספקלריא דנהרא ודלא נהרא, והן יראה ואהבה כמו שמפרש והולך וכמו שאומר לעיל שם יראה אתקריאת מסטרא דשמאלא ואהבה כו':</w:t>
      </w:r>
    </w:p>
  </w:footnote>
  <w:footnote w:id="3765">
    <w:p w:rsidR="00A13282" w:rsidRDefault="00A13282" w:rsidP="003841DB">
      <w:pPr>
        <w:pStyle w:val="a5"/>
      </w:pPr>
      <w:r>
        <w:rPr>
          <w:rStyle w:val="a7"/>
        </w:rPr>
        <w:footnoteRef/>
      </w:r>
      <w:r>
        <w:t xml:space="preserve"> </w:t>
      </w:r>
      <w:r>
        <w:rPr>
          <w:b/>
          <w:bCs/>
          <w:rtl/>
        </w:rPr>
        <w:t xml:space="preserve"> כמה מארי תרעין כו'.</w:t>
      </w:r>
      <w:r>
        <w:rPr>
          <w:rtl/>
        </w:rPr>
        <w:t xml:space="preserve"> כמו שכתוב שפתי תפתח, וכמו שאומר לעיל תיקון י”ח וכן חותמות על תרעין וכלהו בפה, תרעין הן השפתים שנאמר שפתי תפתח וכמו שאומר לקמן למ"ד א' וזכאין שפוון דאינון תרעין דהיכלא כו', וחותמות הן פתוחי חותם והוא פתיחו דפומא, וכן שואל ומשיב הוא בפה, והן ה' מוצאות שהן ד', וכמו שאומר בסוף תיקון י”ח עיין מה שכתבתי שם, והן כמו שאומר בריש פרשת ויקרא תשורי מראש אמנה מראש שניר כו', ובזהר פרשת משפטים קכ"ג א' אמר שם גם כן ד' תיקונים בפה עיין שם, והן שבכאן, וכולן הן דעת, שהוא בפומא, והוא במקום כתר, ובמקום חו"ב אמר וכמה מארי עתידות מה כו', וכמו שאומר לקמן בתיקון מ’ ובההוא זמנא כו' ממה דהוו מסטרא כו' ועיין מה שכתבתי שם:</w:t>
      </w:r>
    </w:p>
  </w:footnote>
  <w:footnote w:id="3766">
    <w:p w:rsidR="00A13282" w:rsidRDefault="00A13282" w:rsidP="003841DB">
      <w:pPr>
        <w:pStyle w:val="a5"/>
      </w:pPr>
      <w:r>
        <w:rPr>
          <w:rStyle w:val="a7"/>
        </w:rPr>
        <w:footnoteRef/>
      </w:r>
      <w:r>
        <w:t xml:space="preserve"> </w:t>
      </w:r>
      <w:r>
        <w:rPr>
          <w:b/>
          <w:bCs/>
          <w:rtl/>
        </w:rPr>
        <w:t xml:space="preserve"> וכמה מארי כו'.</w:t>
      </w:r>
      <w:r>
        <w:rPr>
          <w:rtl/>
        </w:rPr>
        <w:t xml:space="preserve"> חשיב כל תיקונין דגופא, ועיין לעיל תיקון י”ח בארוכה:</w:t>
      </w:r>
    </w:p>
  </w:footnote>
  <w:footnote w:id="3767">
    <w:p w:rsidR="00A13282" w:rsidRDefault="00A13282" w:rsidP="003841DB">
      <w:pPr>
        <w:pStyle w:val="a5"/>
      </w:pPr>
      <w:r>
        <w:rPr>
          <w:rStyle w:val="a7"/>
        </w:rPr>
        <w:footnoteRef/>
      </w:r>
      <w:r>
        <w:t xml:space="preserve"> </w:t>
      </w:r>
      <w:r>
        <w:rPr>
          <w:b/>
          <w:bCs/>
          <w:rtl/>
        </w:rPr>
        <w:t xml:space="preserve"> דאינון מראות כו'.</w:t>
      </w:r>
      <w:r>
        <w:rPr>
          <w:rtl/>
        </w:rPr>
        <w:t xml:space="preserve"> שהן נו"ה, אספקלריא דנהרא ודלא נהרא, והן פתחון וסגרון בפתיחו דעיינין ובסגירו כמו שאומר לעיל כ"ז ב':</w:t>
      </w:r>
    </w:p>
  </w:footnote>
  <w:footnote w:id="3768">
    <w:p w:rsidR="00A13282" w:rsidRDefault="00A13282" w:rsidP="003841DB">
      <w:pPr>
        <w:pStyle w:val="a5"/>
      </w:pPr>
      <w:r>
        <w:rPr>
          <w:rStyle w:val="a7"/>
        </w:rPr>
        <w:footnoteRef/>
      </w:r>
      <w:r>
        <w:t xml:space="preserve"> </w:t>
      </w:r>
      <w:r>
        <w:rPr>
          <w:b/>
          <w:bCs/>
          <w:rtl/>
        </w:rPr>
        <w:t xml:space="preserve"> מארי דקומ'.</w:t>
      </w:r>
      <w:r>
        <w:rPr>
          <w:rtl/>
        </w:rPr>
        <w:t xml:space="preserve"> דכתיב בהו וגויתו כתרשיש בתיקון י”ח כ"ח ב':</w:t>
      </w:r>
    </w:p>
  </w:footnote>
  <w:footnote w:id="3769">
    <w:p w:rsidR="00A13282" w:rsidRDefault="00A13282" w:rsidP="003841DB">
      <w:pPr>
        <w:pStyle w:val="a5"/>
      </w:pPr>
      <w:r>
        <w:rPr>
          <w:rStyle w:val="a7"/>
        </w:rPr>
        <w:footnoteRef/>
      </w:r>
      <w:r>
        <w:t xml:space="preserve"> </w:t>
      </w:r>
      <w:r>
        <w:rPr>
          <w:b/>
          <w:bCs/>
          <w:rtl/>
        </w:rPr>
        <w:t xml:space="preserve"> ודא לב דאתמר כו'.</w:t>
      </w:r>
      <w:r>
        <w:rPr>
          <w:rtl/>
        </w:rPr>
        <w:t xml:space="preserve"> דבבינה גם כן ל"ב אלקים:</w:t>
      </w:r>
    </w:p>
  </w:footnote>
  <w:footnote w:id="3770">
    <w:p w:rsidR="00A13282" w:rsidRDefault="00A13282" w:rsidP="003841DB">
      <w:pPr>
        <w:pStyle w:val="a5"/>
      </w:pPr>
      <w:r>
        <w:rPr>
          <w:rStyle w:val="a7"/>
        </w:rPr>
        <w:footnoteRef/>
      </w:r>
      <w:r>
        <w:t xml:space="preserve"> </w:t>
      </w:r>
      <w:r>
        <w:rPr>
          <w:rtl/>
        </w:rPr>
        <w:t xml:space="preserve"> </w:t>
      </w:r>
      <w:r>
        <w:rPr>
          <w:b/>
          <w:bCs/>
          <w:rtl/>
        </w:rPr>
        <w:t>נר.</w:t>
      </w:r>
      <w:r>
        <w:rPr>
          <w:rtl/>
        </w:rPr>
        <w:t xml:space="preserve"> והוא אור, וזהו האור כי טוב, דרגא דמשה רבינו עליו השלום כי טוב הוא, והוא קבלה למשה:</w:t>
      </w:r>
    </w:p>
  </w:footnote>
  <w:footnote w:id="3771">
    <w:p w:rsidR="00A13282" w:rsidRDefault="00A13282" w:rsidP="003841DB">
      <w:pPr>
        <w:pStyle w:val="a5"/>
      </w:pPr>
      <w:r>
        <w:rPr>
          <w:rStyle w:val="a7"/>
        </w:rPr>
        <w:footnoteRef/>
      </w:r>
      <w:r>
        <w:t xml:space="preserve"> </w:t>
      </w:r>
      <w:r>
        <w:rPr>
          <w:b/>
          <w:bCs/>
          <w:rtl/>
        </w:rPr>
        <w:t xml:space="preserve"> ויבדל כו' באגוזא. </w:t>
      </w:r>
      <w:r>
        <w:rPr>
          <w:rtl/>
        </w:rPr>
        <w:t>רוצה לומר ויבדל</w:t>
      </w:r>
      <w:r>
        <w:rPr>
          <w:b/>
          <w:bCs/>
          <w:rtl/>
        </w:rPr>
        <w:t xml:space="preserve"> </w:t>
      </w:r>
      <w:r>
        <w:rPr>
          <w:rtl/>
        </w:rPr>
        <w:t>הוא הבדלה בין סטרא דקדושה ובין ס"א, ויקרא אלקים הוא חיבור אור וחשך דקדושה, וכמו שאומר לקמן דעמודא דאמצעיתא מפריש בין הקדושה לס"א, ומחבר ימינא ושמאלא דקדושה, וזה שאומר כאן ואית כו' ואית כו', וכאן הוא סיום יום ראשון:</w:t>
      </w:r>
    </w:p>
  </w:footnote>
  <w:footnote w:id="3772">
    <w:p w:rsidR="00A13282" w:rsidRDefault="00A13282" w:rsidP="003841DB">
      <w:pPr>
        <w:pStyle w:val="a5"/>
      </w:pPr>
      <w:r>
        <w:rPr>
          <w:rStyle w:val="a7"/>
        </w:rPr>
        <w:footnoteRef/>
      </w:r>
      <w:r>
        <w:t xml:space="preserve"> </w:t>
      </w:r>
      <w:r>
        <w:rPr>
          <w:b/>
          <w:bCs/>
          <w:rtl/>
        </w:rPr>
        <w:t xml:space="preserve"> פקודא רביעאה כו'.</w:t>
      </w:r>
      <w:r>
        <w:rPr>
          <w:rtl/>
        </w:rPr>
        <w:t xml:space="preserve"> הוא מאמר ג' דיום השני, ולפי שמאמר השני בו ב' פקודין, אחד במאמר ואחד בנתיבות כנ"ל - הוא רביעי:</w:t>
      </w:r>
    </w:p>
  </w:footnote>
  <w:footnote w:id="3773">
    <w:p w:rsidR="00A13282" w:rsidRDefault="00A13282" w:rsidP="003841DB">
      <w:pPr>
        <w:pStyle w:val="a5"/>
      </w:pPr>
      <w:r>
        <w:rPr>
          <w:rStyle w:val="a7"/>
        </w:rPr>
        <w:footnoteRef/>
      </w:r>
      <w:r>
        <w:t xml:space="preserve"> </w:t>
      </w:r>
      <w:r>
        <w:rPr>
          <w:b/>
          <w:bCs/>
          <w:rtl/>
        </w:rPr>
        <w:t>בשית דרגין באיסור כו'.</w:t>
      </w:r>
      <w:r>
        <w:rPr>
          <w:rtl/>
        </w:rPr>
        <w:t xml:space="preserve"> והרקיע הזה הוא מטטרו"ן בשית אתוון דיליה, ו"ק דיצירה שבהן מקנן ז"א בו"ק, ולכן הוא בשית דרגין, והנה הוא עץ הדעת טוב ורע, חציו טוב וחציו רע, החסדים שבו - טוב, והנה בו"ק - ג' חסדים וג' גבורות, והן ג' טוב, היתר, טהרה, כשר, וג' להיפך, והוא המבדיל בין מים, והוא הרקיע שנברא ביום שני כמו שאומר בזהר חדש י"א א' ר"א שאל לריב"ז וא"ל האי רקיע דאתברי בשני מאי הוא א"ל רזא עלאה הוא דברא קב"ה ממנא תחת ידיה ובחר ביה ושלטיה על כל חילי שמיא כו' אריב"ז הוא דכתיב ביה כבוד אל והוא מטטרון שר הפנים כו'. והוא עץ הדעת טוב ורע כידוע בכמה מקומות, וזה שאומר והאי רקיע דאפריש בינייהו כו':</w:t>
      </w:r>
    </w:p>
  </w:footnote>
  <w:footnote w:id="3774">
    <w:p w:rsidR="00A13282" w:rsidRDefault="00A13282" w:rsidP="003841DB">
      <w:pPr>
        <w:pStyle w:val="a5"/>
      </w:pPr>
      <w:r>
        <w:rPr>
          <w:rStyle w:val="a7"/>
        </w:rPr>
        <w:footnoteRef/>
      </w:r>
      <w:r>
        <w:t xml:space="preserve"> </w:t>
      </w:r>
      <w:r>
        <w:rPr>
          <w:b/>
          <w:bCs/>
          <w:rtl/>
        </w:rPr>
        <w:t xml:space="preserve"> ועלייהו איתמר לא י"ל אלהים אחרים על פני.</w:t>
      </w:r>
      <w:r>
        <w:rPr>
          <w:rtl/>
        </w:rPr>
        <w:t xml:space="preserve"> דהוא מארי דאפיא, ועליו נאמר (שמות לג כג) ופני לא יראו, כמו שאומר שם בזהר חדש ועוד אריב"ז כמה נצטער ההוא גברא דכתיב ביה (במדבר יב ז) לא כן עבדי משה בכל ביתי נאמן הוא, למחזי חד שמשא דמשמשא קמיה, ולא אתייהבת ליה רשותא, דכתיב (שמות לג יח) הראני נא את כבודך, אמר ריב"ז הוא דכתיב ביה כבוד אל והוא מט"ט שר הפנים כו' כנ"ל:</w:t>
      </w:r>
    </w:p>
  </w:footnote>
  <w:footnote w:id="3775">
    <w:p w:rsidR="00A13282" w:rsidRDefault="00A13282" w:rsidP="003841DB">
      <w:pPr>
        <w:pStyle w:val="a5"/>
      </w:pPr>
      <w:r>
        <w:rPr>
          <w:rStyle w:val="a7"/>
        </w:rPr>
        <w:footnoteRef/>
      </w:r>
      <w:r>
        <w:t xml:space="preserve"> </w:t>
      </w:r>
      <w:r>
        <w:rPr>
          <w:b/>
          <w:bCs/>
          <w:rtl/>
        </w:rPr>
        <w:t xml:space="preserve"> דמסטריה אתמר ודמות כו'.</w:t>
      </w:r>
      <w:r>
        <w:rPr>
          <w:rtl/>
        </w:rPr>
        <w:t xml:space="preserve"> כמו שאומר שם בזהר חדש אר"ה האי רקיע כו', הוא הרקיע הידוע למעלה שעל ראשי החיות דכתיב ודמות על ראשי החיה רקיע כעין הקרח הנורא, אמר ר' יצחק האי חיות, חיה כתיב חדא, למה נאמר ראשי, אר"ה אית חיה חד רבא ושליטא כו':</w:t>
      </w:r>
    </w:p>
  </w:footnote>
  <w:footnote w:id="3776">
    <w:p w:rsidR="00A13282" w:rsidRDefault="00A13282" w:rsidP="003841DB">
      <w:pPr>
        <w:pStyle w:val="a5"/>
      </w:pPr>
      <w:r>
        <w:rPr>
          <w:rStyle w:val="a7"/>
        </w:rPr>
        <w:footnoteRef/>
      </w:r>
      <w:r>
        <w:t xml:space="preserve"> </w:t>
      </w:r>
      <w:r>
        <w:rPr>
          <w:b/>
          <w:bCs/>
          <w:rtl/>
        </w:rPr>
        <w:t xml:space="preserve"> ואית רקיע כו'.</w:t>
      </w:r>
      <w:r>
        <w:rPr>
          <w:rtl/>
        </w:rPr>
        <w:t xml:space="preserve"> הוא כמו ביום ראשון, שהבדל דשם - ויבדל בין הקדושה לס"א, ואח"כ ויקרא אלקים כו' - שניהם דקדושה, ואח"כ ויהי ערב כו', וכן כאן, דרקיע דכאן הוא באצילות, צדיק, ושניהם בקדושה, וההפרש דכאן לפסוק ראשון - דכאן אמר בין המים כו' מעל לרקיע, דמ' שהן מ"ד ומ"נ ועיין לעיל תיקון י”ח ל"ז א' צדיק אפריש כו' ובתיקון ה’ ט"ו ב' רקיע באמצעית כג"ד א' ועלה כו':</w:t>
      </w:r>
    </w:p>
  </w:footnote>
  <w:footnote w:id="3777">
    <w:p w:rsidR="00A13282" w:rsidRDefault="00A13282" w:rsidP="003841DB">
      <w:pPr>
        <w:pStyle w:val="a5"/>
      </w:pPr>
      <w:r>
        <w:rPr>
          <w:rStyle w:val="a7"/>
        </w:rPr>
        <w:footnoteRef/>
      </w:r>
      <w:r>
        <w:t xml:space="preserve"> </w:t>
      </w:r>
      <w:r>
        <w:rPr>
          <w:b/>
          <w:bCs/>
          <w:rtl/>
        </w:rPr>
        <w:t xml:space="preserve"> הה"ד ויהי כו'.</w:t>
      </w:r>
      <w:r>
        <w:rPr>
          <w:rtl/>
        </w:rPr>
        <w:t xml:space="preserve"> וכלהו הוו ביום ראשון אלא דכאן הכל בגבורת' וביום א' בחסדים:</w:t>
      </w:r>
    </w:p>
  </w:footnote>
  <w:footnote w:id="3778">
    <w:p w:rsidR="00A13282" w:rsidRDefault="00A13282" w:rsidP="00B17EA9">
      <w:pPr>
        <w:pStyle w:val="a5"/>
      </w:pPr>
      <w:r>
        <w:rPr>
          <w:rStyle w:val="a7"/>
        </w:rPr>
        <w:footnoteRef/>
      </w:r>
      <w:r>
        <w:t xml:space="preserve"> </w:t>
      </w:r>
      <w:r>
        <w:rPr>
          <w:b/>
          <w:bCs/>
          <w:rtl/>
        </w:rPr>
        <w:t>תיקון ל"א. בראשית ברא שתי ועלייהו כו'.</w:t>
      </w:r>
      <w:r>
        <w:rPr>
          <w:rtl/>
        </w:rPr>
        <w:t xml:space="preserve"> כמו שאומר בזהר חדש רות ס"ה ב' בזמנא דבעא הקב"ה למיהב אורייתא לישראל, נטל תורה שבכתב ותורה שבעל פה ואזל הוא לשאר עמין ולא בעו כו' הה"ד ותלכנה שתיהם עד בואנה בית לחם, לאן הלכו לשאר עמין, עד דקיימו לישראל על טורא דסיני, כיון דנחתו תורה שבכתב ותורה שבעל פה מיד ותהום כו' אזדעזע כו' וכל העם רואים כו':</w:t>
      </w:r>
    </w:p>
  </w:footnote>
  <w:footnote w:id="3779">
    <w:p w:rsidR="00A13282" w:rsidRDefault="00A13282" w:rsidP="00B17EA9">
      <w:pPr>
        <w:pStyle w:val="a5"/>
      </w:pPr>
      <w:r>
        <w:rPr>
          <w:rStyle w:val="a7"/>
        </w:rPr>
        <w:footnoteRef/>
      </w:r>
      <w:r>
        <w:t xml:space="preserve"> </w:t>
      </w:r>
      <w:r>
        <w:rPr>
          <w:b/>
          <w:bCs/>
          <w:rtl/>
        </w:rPr>
        <w:t>דאיהו יה"ו.</w:t>
      </w:r>
      <w:r>
        <w:rPr>
          <w:rtl/>
        </w:rPr>
        <w:t xml:space="preserve"> דמלא הוא וא"ו כמו שאומר בתיקון ל”ח ו' מלא שרביט, וכמו שאומר שם דאלהים הוא אותיות הוי"ה, י"ה - הן הן בעצמן אלא דשם מסטרא דנוק', נוק' על דכורא, ובהוי"ה - מסטרא דדכורא, דכורא על נוק', וכמו שאומר בתיקון נ”ב צ' א', ומלא - הוא ו', וה' אותיות דאלקים הוא ה' בתראה, דלית לה מגרמה כלום, רק שבאין בתוכה י"ה ומלא, והיא מלאה דומיא דוא"ו שהוא מלא, ועכשיו שהלכו מלא עם י"ה - נשארת אלם, והוא אותיות דידיה, רשימו דיליה, וכמו שאמרו שימני כחותם כו' כהאי חותם אע"ג דאזיל הכא והכא מכל מקום נשאר רשימו דחותם בה, אלא שהוא בהיפוכא - אלם, כמו שהוא מרושם, והיא אלם בלא קול - ו', וזהו נאלמתי - על ה"א בתראה, דומיה - על י"ה, החשיתי - על ו', כמו שמפרש והולך, ושם אלקים כולל כל השמות, כולל אהי"ה אדני כמו שאומר להלן, כולל הוי"ה כנ"ל עם ה' אותיות, וכן כולל עם ה' אותיות הוי"ה אדנ"י, מנין אמן, וזה סוד האלקים הרועה אותי כו', וכולל מ"ם ה"א דשמא מפרש כמו שאומר להלן בתיקון כ”ו, וכן שם הוי"ה כולל הכל כידוע כי ה' הוא אלקים:</w:t>
      </w:r>
    </w:p>
  </w:footnote>
  <w:footnote w:id="3780">
    <w:p w:rsidR="00A13282" w:rsidRDefault="00A13282" w:rsidP="00B17EA9">
      <w:pPr>
        <w:pStyle w:val="a5"/>
      </w:pPr>
      <w:r>
        <w:rPr>
          <w:rStyle w:val="a7"/>
        </w:rPr>
        <w:footnoteRef/>
      </w:r>
      <w:r>
        <w:t xml:space="preserve"> </w:t>
      </w:r>
      <w:r>
        <w:rPr>
          <w:b/>
          <w:bCs/>
          <w:rtl/>
        </w:rPr>
        <w:t>ותגל מרגלותיו.</w:t>
      </w:r>
      <w:r>
        <w:rPr>
          <w:rtl/>
        </w:rPr>
        <w:t xml:space="preserve"> רוצה לומר, ותגל - דאזלת נע ונד ואזלת בגלגולא:</w:t>
      </w:r>
    </w:p>
  </w:footnote>
  <w:footnote w:id="3781">
    <w:p w:rsidR="00A13282" w:rsidRDefault="00A13282" w:rsidP="00B17EA9">
      <w:pPr>
        <w:pStyle w:val="a5"/>
      </w:pPr>
      <w:r>
        <w:rPr>
          <w:rStyle w:val="a7"/>
        </w:rPr>
        <w:footnoteRef/>
      </w:r>
      <w:r>
        <w:t xml:space="preserve"> </w:t>
      </w:r>
      <w:r>
        <w:rPr>
          <w:b/>
          <w:bCs/>
          <w:rtl/>
        </w:rPr>
        <w:t>חזור בך.</w:t>
      </w:r>
      <w:r>
        <w:rPr>
          <w:rtl/>
        </w:rPr>
        <w:t xml:space="preserve"> דלית כאן גופא אלא נפשא ונשמתא כמו שמפרש והולך:</w:t>
      </w:r>
    </w:p>
  </w:footnote>
  <w:footnote w:id="3782">
    <w:p w:rsidR="00A13282" w:rsidRDefault="00A13282" w:rsidP="00B17EA9">
      <w:pPr>
        <w:pStyle w:val="a5"/>
      </w:pPr>
      <w:r>
        <w:rPr>
          <w:rStyle w:val="a7"/>
        </w:rPr>
        <w:footnoteRef/>
      </w:r>
      <w:r>
        <w:t xml:space="preserve"> </w:t>
      </w:r>
      <w:r>
        <w:rPr>
          <w:b/>
          <w:bCs/>
          <w:rtl/>
        </w:rPr>
        <w:t>נעמי כו'.</w:t>
      </w:r>
      <w:r>
        <w:rPr>
          <w:rtl/>
        </w:rPr>
        <w:t xml:space="preserve"> נעם עילאה, ואלימלך - יו"ד, כמו שאומר למטה נשמתא לנשמתא, וכליון - יצר הרע בעלה דגופא ומנהיגו כמו שאומר להלן:</w:t>
      </w:r>
    </w:p>
  </w:footnote>
  <w:footnote w:id="3783">
    <w:p w:rsidR="00A13282" w:rsidRDefault="00A13282" w:rsidP="00B17EA9">
      <w:pPr>
        <w:pStyle w:val="a5"/>
      </w:pPr>
      <w:r>
        <w:rPr>
          <w:rStyle w:val="a7"/>
        </w:rPr>
        <w:footnoteRef/>
      </w:r>
      <w:r>
        <w:t xml:space="preserve"> </w:t>
      </w:r>
      <w:r>
        <w:rPr>
          <w:b/>
          <w:bCs/>
          <w:rtl/>
        </w:rPr>
        <w:t>חזרה ערף.</w:t>
      </w:r>
      <w:r>
        <w:rPr>
          <w:rtl/>
        </w:rPr>
        <w:t xml:space="preserve"> שזהו ערפה, וכתיב (רות א יד) ותשק ערפה - שחזרה ממנה, (שם) ורות דבקה בה, וזה שאומר נפש אתדבק כו':</w:t>
      </w:r>
    </w:p>
  </w:footnote>
  <w:footnote w:id="3784">
    <w:p w:rsidR="00A13282" w:rsidRDefault="00A13282" w:rsidP="00B17EA9">
      <w:pPr>
        <w:pStyle w:val="a5"/>
      </w:pPr>
      <w:r>
        <w:rPr>
          <w:rStyle w:val="a7"/>
        </w:rPr>
        <w:footnoteRef/>
      </w:r>
      <w:r>
        <w:t xml:space="preserve"> </w:t>
      </w:r>
      <w:r>
        <w:rPr>
          <w:b/>
          <w:bCs/>
          <w:rtl/>
        </w:rPr>
        <w:t>בפקודין כו' באשר תליני כו'.</w:t>
      </w:r>
      <w:r>
        <w:rPr>
          <w:rtl/>
        </w:rPr>
        <w:t xml:space="preserve"> שהם מסטרא דיום ולילה, ההליכה ביום ולינה בלילה, וכן רוח ונפש (קהלת א ד) דור הולך כו' והארץ לעולם, וזהו בקום עשה וזהו בשב ואל תעשה, (ישעיהו מד יג) לשבת בית:</w:t>
      </w:r>
    </w:p>
  </w:footnote>
  <w:footnote w:id="3785">
    <w:p w:rsidR="00A13282" w:rsidRDefault="00A13282" w:rsidP="00B17EA9">
      <w:pPr>
        <w:pStyle w:val="a5"/>
        <w:rPr>
          <w:rtl/>
        </w:rPr>
      </w:pPr>
      <w:r>
        <w:rPr>
          <w:rStyle w:val="a7"/>
        </w:rPr>
        <w:footnoteRef/>
      </w:r>
      <w:r>
        <w:t xml:space="preserve"> </w:t>
      </w:r>
      <w:r>
        <w:rPr>
          <w:rtl/>
        </w:rPr>
        <w:t xml:space="preserve"> </w:t>
      </w:r>
      <w:r>
        <w:rPr>
          <w:b/>
          <w:bCs/>
          <w:rtl/>
        </w:rPr>
        <w:t>ד"א באשר כו' במשכבא דילך.</w:t>
      </w:r>
      <w:r>
        <w:rPr>
          <w:rtl/>
        </w:rPr>
        <w:t xml:space="preserve"> הן מסטרא דבנים דמנדדין עמה כמו שאומר לעיל א' ב' ואמר שם אבל אפרוחי לית כו' פקודי דעשה כו' ואינון במשכבא כו':</w:t>
      </w:r>
    </w:p>
  </w:footnote>
  <w:footnote w:id="3786">
    <w:p w:rsidR="00A13282" w:rsidRDefault="00A13282" w:rsidP="00B17EA9">
      <w:pPr>
        <w:pStyle w:val="a5"/>
      </w:pPr>
      <w:r>
        <w:rPr>
          <w:rStyle w:val="a7"/>
        </w:rPr>
        <w:footnoteRef/>
      </w:r>
      <w:r>
        <w:t xml:space="preserve"> </w:t>
      </w:r>
      <w:r>
        <w:rPr>
          <w:b/>
          <w:bCs/>
          <w:rtl/>
        </w:rPr>
        <w:t>עמך עמי כו'.</w:t>
      </w:r>
      <w:r>
        <w:rPr>
          <w:rtl/>
        </w:rPr>
        <w:t xml:space="preserve"> שהן ב' ההי"ן, וישראל הן ו', וקב"ה - יו"ד, אלקי ישראל, ומפרש והולך אלימלך כו':</w:t>
      </w:r>
    </w:p>
  </w:footnote>
  <w:footnote w:id="3787">
    <w:p w:rsidR="00A13282" w:rsidRDefault="00A13282" w:rsidP="00B17EA9">
      <w:pPr>
        <w:pStyle w:val="a5"/>
      </w:pPr>
      <w:r>
        <w:rPr>
          <w:rStyle w:val="a7"/>
        </w:rPr>
        <w:footnoteRef/>
      </w:r>
      <w:r>
        <w:t xml:space="preserve"> </w:t>
      </w:r>
      <w:r>
        <w:rPr>
          <w:b/>
          <w:bCs/>
          <w:rtl/>
        </w:rPr>
        <w:t>וקול התור.</w:t>
      </w:r>
      <w:r>
        <w:rPr>
          <w:rtl/>
        </w:rPr>
        <w:t xml:space="preserve"> גם כן בה"א ונאמר בארצנו:</w:t>
      </w:r>
    </w:p>
  </w:footnote>
  <w:footnote w:id="3788">
    <w:p w:rsidR="00A13282" w:rsidRDefault="00A13282" w:rsidP="00B17EA9">
      <w:pPr>
        <w:pStyle w:val="a5"/>
      </w:pPr>
      <w:r>
        <w:rPr>
          <w:rStyle w:val="a7"/>
        </w:rPr>
        <w:footnoteRef/>
      </w:r>
      <w:r>
        <w:t xml:space="preserve"> </w:t>
      </w:r>
      <w:r>
        <w:rPr>
          <w:b/>
          <w:bCs/>
          <w:rtl/>
        </w:rPr>
        <w:t>ערפה אימא כו'.</w:t>
      </w:r>
      <w:r>
        <w:rPr>
          <w:rtl/>
        </w:rPr>
        <w:t xml:space="preserve"> דריש כאן רות - השכינה, אימא דישראל, והיא התורה, וערפה - אימא דערב רב כו':</w:t>
      </w:r>
    </w:p>
  </w:footnote>
  <w:footnote w:id="3789">
    <w:p w:rsidR="00A13282" w:rsidRDefault="00A13282" w:rsidP="00B17EA9">
      <w:pPr>
        <w:pStyle w:val="a5"/>
      </w:pPr>
      <w:r>
        <w:rPr>
          <w:rStyle w:val="a7"/>
        </w:rPr>
        <w:footnoteRef/>
      </w:r>
      <w:r>
        <w:t xml:space="preserve"> </w:t>
      </w:r>
      <w:r>
        <w:rPr>
          <w:b/>
          <w:bCs/>
          <w:rtl/>
        </w:rPr>
        <w:t>כי עם כו'.</w:t>
      </w:r>
      <w:r>
        <w:rPr>
          <w:rtl/>
        </w:rPr>
        <w:t xml:space="preserve"> דנאמר על הערב רב כידוע:</w:t>
      </w:r>
    </w:p>
  </w:footnote>
  <w:footnote w:id="3790">
    <w:p w:rsidR="00A13282" w:rsidRDefault="00A13282" w:rsidP="00B17EA9">
      <w:pPr>
        <w:pStyle w:val="a5"/>
      </w:pPr>
      <w:r>
        <w:rPr>
          <w:rStyle w:val="a7"/>
        </w:rPr>
        <w:footnoteRef/>
      </w:r>
      <w:r>
        <w:t xml:space="preserve"> </w:t>
      </w:r>
      <w:r>
        <w:rPr>
          <w:b/>
          <w:bCs/>
          <w:rtl/>
        </w:rPr>
        <w:t>וחזרת עורף כו'.</w:t>
      </w:r>
      <w:r>
        <w:rPr>
          <w:rtl/>
        </w:rPr>
        <w:t xml:space="preserve"> רוצה לומר לגבי תשובה שהוא נעמי אחר שהיתה עמה חזרת לסורחנה:</w:t>
      </w:r>
    </w:p>
  </w:footnote>
  <w:footnote w:id="3791">
    <w:p w:rsidR="00A13282" w:rsidRDefault="00A13282" w:rsidP="00B17EA9">
      <w:pPr>
        <w:pStyle w:val="a5"/>
      </w:pPr>
      <w:r>
        <w:rPr>
          <w:rStyle w:val="a7"/>
        </w:rPr>
        <w:footnoteRef/>
      </w:r>
      <w:r>
        <w:t xml:space="preserve"> </w:t>
      </w:r>
      <w:r>
        <w:rPr>
          <w:b/>
          <w:bCs/>
          <w:rtl/>
        </w:rPr>
        <w:t>כליון כו'.</w:t>
      </w:r>
      <w:r>
        <w:rPr>
          <w:rtl/>
        </w:rPr>
        <w:t xml:space="preserve"> שהיא זונה מפתה והוא רוצח כו', ועיין לקמן תיקון ל”ז ומה שכתבתי שם:</w:t>
      </w:r>
    </w:p>
  </w:footnote>
  <w:footnote w:id="3792">
    <w:p w:rsidR="00A13282" w:rsidRDefault="00A13282" w:rsidP="00B17EA9">
      <w:pPr>
        <w:pStyle w:val="a5"/>
      </w:pPr>
      <w:r>
        <w:rPr>
          <w:rStyle w:val="a7"/>
        </w:rPr>
        <w:footnoteRef/>
      </w:r>
      <w:r>
        <w:t xml:space="preserve"> </w:t>
      </w:r>
      <w:r>
        <w:rPr>
          <w:b/>
          <w:bCs/>
          <w:rtl/>
        </w:rPr>
        <w:t>ואתתיה כליה.</w:t>
      </w:r>
      <w:r>
        <w:rPr>
          <w:rtl/>
        </w:rPr>
        <w:t xml:space="preserve"> מפרש האיך אתיא כליה מיניה, והיא הכלולה בו:</w:t>
      </w:r>
    </w:p>
  </w:footnote>
  <w:footnote w:id="3793">
    <w:p w:rsidR="00A13282" w:rsidRDefault="00A13282" w:rsidP="00B17EA9">
      <w:pPr>
        <w:pStyle w:val="a5"/>
      </w:pPr>
      <w:r>
        <w:rPr>
          <w:rStyle w:val="a7"/>
        </w:rPr>
        <w:footnoteRef/>
      </w:r>
      <w:r>
        <w:t xml:space="preserve"> </w:t>
      </w:r>
      <w:r>
        <w:rPr>
          <w:b/>
          <w:bCs/>
          <w:rtl/>
        </w:rPr>
        <w:t>נשמה ונפש כד ב"נ איהו כו'.</w:t>
      </w:r>
      <w:r>
        <w:rPr>
          <w:rtl/>
        </w:rPr>
        <w:t xml:space="preserve"> עתה מפרש על הנשמה ולמטה מפרש על השכינה:</w:t>
      </w:r>
    </w:p>
  </w:footnote>
  <w:footnote w:id="3794">
    <w:p w:rsidR="00A13282" w:rsidRDefault="00A13282" w:rsidP="00B17EA9">
      <w:pPr>
        <w:pStyle w:val="a5"/>
      </w:pPr>
      <w:r>
        <w:rPr>
          <w:rStyle w:val="a7"/>
        </w:rPr>
        <w:footnoteRef/>
      </w:r>
      <w:r>
        <w:t xml:space="preserve"> </w:t>
      </w:r>
      <w:r>
        <w:rPr>
          <w:b/>
          <w:bCs/>
          <w:rtl/>
        </w:rPr>
        <w:t>ותגל מרגלותיו.</w:t>
      </w:r>
      <w:r>
        <w:rPr>
          <w:rtl/>
        </w:rPr>
        <w:t xml:space="preserve"> דגולה ממקומה אל הרגלין, ומפרש למה לרגלין וקאמר </w:t>
      </w:r>
      <w:r>
        <w:rPr>
          <w:b/>
          <w:bCs/>
          <w:rtl/>
        </w:rPr>
        <w:t>לגבי מאן לגבי צדיק כו'.</w:t>
      </w:r>
      <w:r>
        <w:rPr>
          <w:rtl/>
        </w:rPr>
        <w:t>דאף דכל האברים מלוכלכין בחובין מכל מקום חותם הברית מילה קיימת ובשבילה אברהם אבינו אינו מניחו ליכנס לגיהנם ולכן היא נסתרת שם וכמו שאומר לעיל ריש תיקון כ"ב דשם אפילו נחש כרוך על עקבו לא יפסיק, קוצו של ד' לבד המכניס [ברית] בבת אל אחר, דהוא עקרב דפוסק, אז מסתלקת השכינה והנפש, וכמו שאמרו לבד מי שבא על הכותית כו', וכן בקרא מרגלותיו דבועז שהוא דרגא דצדיק כמו שאומר בזהר חדש רות וכמו שמפרש והולך בו עז כו', דשם צריך זריזות גדול להשמר כמו שכתוב (תהלים מה ד) חגור חרבך כו', וקאמר מרגלותיו כמו שמפרש והולך וימד שש כו' לאגנא כו' - שהיא נקודה סתימא בו', כמו שאומר בתיקון ל”ו ושאר מקומות בששת ימי המעשה שהן לה מקיפות משית סטרין לאגנא עלה, והיא נקודה האמצעית שבתוכן, וצריך להיות סתימא מפני הנחש, יין נסך כו', והן שית פרקין דרגלין:</w:t>
      </w:r>
    </w:p>
  </w:footnote>
  <w:footnote w:id="3795">
    <w:p w:rsidR="00A13282" w:rsidRDefault="00A13282" w:rsidP="00B17EA9">
      <w:pPr>
        <w:pStyle w:val="a5"/>
      </w:pPr>
      <w:r>
        <w:rPr>
          <w:rStyle w:val="a7"/>
        </w:rPr>
        <w:footnoteRef/>
      </w:r>
      <w:r>
        <w:t xml:space="preserve"> </w:t>
      </w:r>
      <w:r>
        <w:rPr>
          <w:b/>
          <w:bCs/>
          <w:rtl/>
        </w:rPr>
        <w:t>ותלכנה כו'.</w:t>
      </w:r>
      <w:r>
        <w:rPr>
          <w:rtl/>
        </w:rPr>
        <w:t xml:space="preserve"> עכשיו דריש בשכינה גם כן:</w:t>
      </w:r>
    </w:p>
  </w:footnote>
  <w:footnote w:id="3796">
    <w:p w:rsidR="00A13282" w:rsidRDefault="00A13282" w:rsidP="00B17EA9">
      <w:pPr>
        <w:pStyle w:val="a5"/>
      </w:pPr>
      <w:r>
        <w:rPr>
          <w:rStyle w:val="a7"/>
        </w:rPr>
        <w:footnoteRef/>
      </w:r>
      <w:r>
        <w:t xml:space="preserve"> </w:t>
      </w:r>
      <w:r>
        <w:rPr>
          <w:b/>
          <w:bCs/>
          <w:rtl/>
        </w:rPr>
        <w:t>לו השכנות.</w:t>
      </w:r>
      <w:r>
        <w:rPr>
          <w:rtl/>
        </w:rPr>
        <w:t xml:space="preserve"> רוצה לומר השכינות:</w:t>
      </w:r>
    </w:p>
  </w:footnote>
  <w:footnote w:id="3797">
    <w:p w:rsidR="00A13282" w:rsidRDefault="00A13282" w:rsidP="00B17EA9">
      <w:pPr>
        <w:pStyle w:val="a5"/>
      </w:pPr>
      <w:r>
        <w:rPr>
          <w:rStyle w:val="a7"/>
        </w:rPr>
        <w:footnoteRef/>
      </w:r>
      <w:r>
        <w:t xml:space="preserve"> </w:t>
      </w:r>
      <w:r>
        <w:rPr>
          <w:b/>
          <w:bCs/>
          <w:rtl/>
        </w:rPr>
        <w:t>אתמר בשכינתא כו'.</w:t>
      </w:r>
      <w:r>
        <w:rPr>
          <w:rtl/>
        </w:rPr>
        <w:t xml:space="preserve"> גם כן כמו בנשמה דנסתרת בישראל בזכות המילה, וזה שאמרו הפייטנים הבט לברית ואל תפן ליצר, והיא מקננת אז במט"ט דהוא צדיק דלתתא, ומסתיר אותה בו"ק דיליה וכמו שאומר בתיקון ל”ו עיין שם:</w:t>
      </w:r>
    </w:p>
  </w:footnote>
  <w:footnote w:id="3798">
    <w:p w:rsidR="00A13282" w:rsidRDefault="00A13282" w:rsidP="00B17EA9">
      <w:pPr>
        <w:pStyle w:val="a5"/>
      </w:pPr>
      <w:r>
        <w:rPr>
          <w:rStyle w:val="a7"/>
        </w:rPr>
        <w:footnoteRef/>
      </w:r>
      <w:r>
        <w:t xml:space="preserve"> </w:t>
      </w:r>
      <w:r>
        <w:rPr>
          <w:b/>
          <w:bCs/>
          <w:rtl/>
        </w:rPr>
        <w:t>ממלל על גופא כו'.</w:t>
      </w:r>
      <w:r>
        <w:rPr>
          <w:rtl/>
        </w:rPr>
        <w:t xml:space="preserve"> לא קשיא דלמעלה אמר לרשב"י חזור בך - דשם מפרש ברשע - רות ונעמי, אבל כאן מפרש בבעל תשובה (ונעמי הגוף) וכמו שמפרש והולך:</w:t>
      </w:r>
    </w:p>
  </w:footnote>
  <w:footnote w:id="3799">
    <w:p w:rsidR="00A13282" w:rsidRDefault="00A13282" w:rsidP="00B17EA9">
      <w:pPr>
        <w:pStyle w:val="a5"/>
      </w:pPr>
      <w:r>
        <w:rPr>
          <w:rStyle w:val="a7"/>
        </w:rPr>
        <w:footnoteRef/>
      </w:r>
      <w:r>
        <w:t xml:space="preserve"> </w:t>
      </w:r>
      <w:r>
        <w:rPr>
          <w:b/>
          <w:bCs/>
          <w:rtl/>
        </w:rPr>
        <w:t>כד איהו בעל כו'.</w:t>
      </w:r>
      <w:r>
        <w:rPr>
          <w:rtl/>
        </w:rPr>
        <w:t xml:space="preserve"> וזהו אמירתה לנעמי שהיא תשובה:</w:t>
      </w:r>
    </w:p>
  </w:footnote>
  <w:footnote w:id="3800">
    <w:p w:rsidR="00A13282" w:rsidRDefault="00A13282" w:rsidP="00B17EA9">
      <w:pPr>
        <w:pStyle w:val="a5"/>
      </w:pPr>
      <w:r>
        <w:rPr>
          <w:rStyle w:val="a7"/>
        </w:rPr>
        <w:footnoteRef/>
      </w:r>
      <w:r>
        <w:t xml:space="preserve"> </w:t>
      </w:r>
      <w:r>
        <w:rPr>
          <w:b/>
          <w:bCs/>
          <w:rtl/>
        </w:rPr>
        <w:t>ועלה אתמר בהתהלכך כו'.</w:t>
      </w:r>
      <w:r>
        <w:rPr>
          <w:rtl/>
        </w:rPr>
        <w:t xml:space="preserve"> וזה שכתוב באשר תלכי - בעולם הזה, ותליני - בקבר, באשר תמותי כו' ושם כו', בשעת מיתה וקבורה, דהן יומי דדינא רבא - מכל מקום שם תהיה ותשמרהו:</w:t>
      </w:r>
    </w:p>
  </w:footnote>
  <w:footnote w:id="3801">
    <w:p w:rsidR="00A13282" w:rsidRDefault="00A13282" w:rsidP="00B17EA9">
      <w:pPr>
        <w:pStyle w:val="a5"/>
      </w:pPr>
      <w:r>
        <w:rPr>
          <w:rStyle w:val="a7"/>
        </w:rPr>
        <w:footnoteRef/>
      </w:r>
      <w:r>
        <w:t xml:space="preserve"> </w:t>
      </w:r>
      <w:r>
        <w:rPr>
          <w:b/>
          <w:bCs/>
          <w:rtl/>
        </w:rPr>
        <w:t>דא נפשא לגבי גופא.</w:t>
      </w:r>
      <w:r>
        <w:rPr>
          <w:rtl/>
        </w:rPr>
        <w:t xml:space="preserve"> רוצה לומר מה שכתוב היא תשיחך, וכן כל הפסוק תנחה כו' - הכל עלה:</w:t>
      </w:r>
    </w:p>
  </w:footnote>
  <w:footnote w:id="3802">
    <w:p w:rsidR="00A13282" w:rsidRDefault="00A13282" w:rsidP="00B17EA9">
      <w:pPr>
        <w:pStyle w:val="a5"/>
      </w:pPr>
      <w:r>
        <w:rPr>
          <w:rStyle w:val="a7"/>
        </w:rPr>
        <w:footnoteRef/>
      </w:r>
      <w:r>
        <w:t xml:space="preserve"> </w:t>
      </w:r>
      <w:r>
        <w:rPr>
          <w:b/>
          <w:bCs/>
          <w:rtl/>
        </w:rPr>
        <w:t>לא חזר בתיובתא נפש אתפרש מיני' ואתקרי ערפה.</w:t>
      </w:r>
      <w:r>
        <w:rPr>
          <w:rtl/>
        </w:rPr>
        <w:t xml:space="preserve"> רוצה לומר הנפש, אבל הגוף נקרא כליון, וזה שאומר וגופא דא כו':</w:t>
      </w:r>
    </w:p>
  </w:footnote>
  <w:footnote w:id="3803">
    <w:p w:rsidR="00A13282" w:rsidRDefault="00A13282" w:rsidP="00B17EA9">
      <w:pPr>
        <w:pStyle w:val="a5"/>
      </w:pPr>
      <w:r>
        <w:rPr>
          <w:rStyle w:val="a7"/>
        </w:rPr>
        <w:footnoteRef/>
      </w:r>
      <w:r>
        <w:t xml:space="preserve"> </w:t>
      </w:r>
      <w:r>
        <w:rPr>
          <w:b/>
          <w:bCs/>
          <w:rtl/>
        </w:rPr>
        <w:t>דודאי עלמא דין כו'.</w:t>
      </w:r>
      <w:r>
        <w:rPr>
          <w:rtl/>
        </w:rPr>
        <w:t xml:space="preserve"> שהן ו"ה של שם, כמו שאומר בריש תיקון כ"ב, ובהן זוכות גוף ונפש של צדיקים, אבל של רשעים וכבודי לאחר כו', כמו שאומר בזהר חדש רות נ"ט א' שנאמר כל הנקרא כו' וכדוגמא כו' ולסטרא דמסאבו כו' אני רמז כו', והן תרין עלמין הנ"ל ולכן אתאביד מתרין עלמין וכן נפשא אזלא נע ונד ותגל כו':</w:t>
      </w:r>
    </w:p>
  </w:footnote>
  <w:footnote w:id="3804">
    <w:p w:rsidR="00A13282" w:rsidRDefault="00A13282" w:rsidP="00B17EA9">
      <w:pPr>
        <w:pStyle w:val="a5"/>
      </w:pPr>
      <w:r>
        <w:rPr>
          <w:rStyle w:val="a7"/>
        </w:rPr>
        <w:footnoteRef/>
      </w:r>
      <w:r>
        <w:t xml:space="preserve"> </w:t>
      </w:r>
      <w:r>
        <w:rPr>
          <w:b/>
          <w:bCs/>
          <w:rtl/>
        </w:rPr>
        <w:t>הה"ד ישמחו כו'.</w:t>
      </w:r>
      <w:r>
        <w:rPr>
          <w:rtl/>
        </w:rPr>
        <w:t xml:space="preserve"> בראשי תיבות:</w:t>
      </w:r>
    </w:p>
  </w:footnote>
  <w:footnote w:id="3805">
    <w:p w:rsidR="00A13282" w:rsidRDefault="00A13282" w:rsidP="00B17EA9">
      <w:pPr>
        <w:pStyle w:val="a5"/>
      </w:pPr>
      <w:r>
        <w:rPr>
          <w:rStyle w:val="a7"/>
        </w:rPr>
        <w:footnoteRef/>
      </w:r>
      <w:r>
        <w:t xml:space="preserve"> </w:t>
      </w:r>
      <w:r>
        <w:rPr>
          <w:b/>
          <w:bCs/>
          <w:rtl/>
        </w:rPr>
        <w:t>ולבתר דימחי כו' מיד כו'.</w:t>
      </w:r>
      <w:r>
        <w:rPr>
          <w:rtl/>
        </w:rPr>
        <w:t xml:space="preserve"> רוצה לומר שאז יחדש לאלין גופין ונפשין, שתבלה הרע שבהן, וכל הרע יכלה:</w:t>
      </w:r>
    </w:p>
  </w:footnote>
  <w:footnote w:id="3806">
    <w:p w:rsidR="00A13282" w:rsidRDefault="00A13282" w:rsidP="00B17EA9">
      <w:pPr>
        <w:pStyle w:val="a5"/>
      </w:pPr>
      <w:r>
        <w:rPr>
          <w:rStyle w:val="a7"/>
        </w:rPr>
        <w:footnoteRef/>
      </w:r>
      <w:r>
        <w:t xml:space="preserve"> </w:t>
      </w:r>
      <w:r>
        <w:rPr>
          <w:b/>
          <w:bCs/>
          <w:rtl/>
        </w:rPr>
        <w:t>ואלין עתירין כו'.</w:t>
      </w:r>
      <w:r>
        <w:rPr>
          <w:rtl/>
        </w:rPr>
        <w:t xml:space="preserve"> מפרש למה אתאבידו מתרין עלמין, ואמר משום דהאי עלמא כו' שהן מסטרא דס"ם ונחש, שהן שמים וארץ דנחש, שהן ימלחו ויבלו, אבל צדיקים - לית להו כלום בהאי עלמא, ושמים וארץ שהן דילהון - הן גן ועדן, גן - הוא ארץ, ועדן - שמים, כמו שמפרש והולך והן נגד תורה שבכתב ובעל פה כמו שמפרש והולך:</w:t>
      </w:r>
    </w:p>
  </w:footnote>
  <w:footnote w:id="3807">
    <w:p w:rsidR="00A13282" w:rsidRDefault="00A13282" w:rsidP="00B17EA9">
      <w:pPr>
        <w:pStyle w:val="a5"/>
      </w:pPr>
      <w:r>
        <w:rPr>
          <w:rStyle w:val="a7"/>
        </w:rPr>
        <w:footnoteRef/>
      </w:r>
      <w:r>
        <w:t xml:space="preserve"> </w:t>
      </w:r>
      <w:r>
        <w:rPr>
          <w:b/>
          <w:bCs/>
          <w:rtl/>
        </w:rPr>
        <w:t>וגופא דמשה כו'.</w:t>
      </w:r>
      <w:r>
        <w:rPr>
          <w:rtl/>
        </w:rPr>
        <w:t xml:space="preserve"> דהוא זכה בחיים מה שזוכין הצדיקים לאחר מיתה - לגוף של גן עדן:</w:t>
      </w:r>
    </w:p>
  </w:footnote>
  <w:footnote w:id="3808">
    <w:p w:rsidR="00A13282" w:rsidRDefault="00A13282" w:rsidP="00B17EA9">
      <w:pPr>
        <w:pStyle w:val="a5"/>
      </w:pPr>
      <w:r>
        <w:rPr>
          <w:rStyle w:val="a7"/>
        </w:rPr>
        <w:footnoteRef/>
      </w:r>
      <w:r>
        <w:t xml:space="preserve"> </w:t>
      </w:r>
      <w:r>
        <w:rPr>
          <w:b/>
          <w:bCs/>
          <w:rtl/>
        </w:rPr>
        <w:t>ולא על גופא כו'.</w:t>
      </w:r>
      <w:r>
        <w:rPr>
          <w:rtl/>
        </w:rPr>
        <w:t xml:space="preserve"> דכבר הסיר ממנה בסנה כמו שמפרש והולך:</w:t>
      </w:r>
    </w:p>
  </w:footnote>
  <w:footnote w:id="3809">
    <w:p w:rsidR="00A13282" w:rsidRDefault="00A13282" w:rsidP="00B17EA9">
      <w:pPr>
        <w:pStyle w:val="a5"/>
      </w:pPr>
      <w:r>
        <w:rPr>
          <w:rStyle w:val="a7"/>
        </w:rPr>
        <w:footnoteRef/>
      </w:r>
      <w:r>
        <w:t xml:space="preserve"> </w:t>
      </w:r>
      <w:r>
        <w:rPr>
          <w:b/>
          <w:bCs/>
          <w:rtl/>
        </w:rPr>
        <w:t>ואדם כו'.</w:t>
      </w:r>
      <w:r>
        <w:rPr>
          <w:rtl/>
        </w:rPr>
        <w:t xml:space="preserve"> הן ד' חיות וכמו שמפרש והולך:</w:t>
      </w:r>
    </w:p>
  </w:footnote>
  <w:footnote w:id="3810">
    <w:p w:rsidR="00A13282" w:rsidRDefault="00A13282" w:rsidP="00B17EA9">
      <w:pPr>
        <w:pStyle w:val="a5"/>
      </w:pPr>
      <w:r>
        <w:rPr>
          <w:rStyle w:val="a7"/>
        </w:rPr>
        <w:footnoteRef/>
      </w:r>
      <w:r>
        <w:t xml:space="preserve"> </w:t>
      </w:r>
      <w:r>
        <w:rPr>
          <w:b/>
          <w:bCs/>
          <w:rtl/>
        </w:rPr>
        <w:t>עליה אתמר יעשה כו'.</w:t>
      </w:r>
      <w:r>
        <w:rPr>
          <w:rtl/>
        </w:rPr>
        <w:t xml:space="preserve"> רוצה לומר בעדן, כמו שאמרו בסוף פרק ה' דברכות, ובזוהר:</w:t>
      </w:r>
    </w:p>
  </w:footnote>
  <w:footnote w:id="3811">
    <w:p w:rsidR="00A13282" w:rsidRDefault="00A13282" w:rsidP="00B17EA9">
      <w:pPr>
        <w:pStyle w:val="a5"/>
        <w:rPr>
          <w:rtl/>
        </w:rPr>
      </w:pPr>
      <w:r>
        <w:rPr>
          <w:rStyle w:val="a7"/>
        </w:rPr>
        <w:footnoteRef/>
      </w:r>
      <w:r>
        <w:t xml:space="preserve"> </w:t>
      </w:r>
      <w:r>
        <w:rPr>
          <w:b/>
          <w:bCs/>
          <w:rtl/>
        </w:rPr>
        <w:t>לדכאה כו'.</w:t>
      </w:r>
      <w:r>
        <w:rPr>
          <w:rtl/>
        </w:rPr>
        <w:t xml:space="preserve"> וזה שאומר דנעשה לו שם לבוש מן המצות, והוא גוף הנ"ל, וזה שכתוב (בראשית ב טו) לעבדה ולשמרה:</w:t>
      </w:r>
    </w:p>
    <w:p w:rsidR="00A13282" w:rsidRDefault="00A13282" w:rsidP="00B17EA9">
      <w:pPr>
        <w:pStyle w:val="a5"/>
        <w:rPr>
          <w:rtl/>
        </w:rPr>
      </w:pPr>
    </w:p>
    <w:p w:rsidR="00A13282" w:rsidRDefault="00A13282" w:rsidP="00B17EA9">
      <w:pPr>
        <w:pStyle w:val="a5"/>
      </w:pPr>
      <w:r>
        <w:rPr>
          <w:rtl/>
        </w:rPr>
        <w:t>שמתי כאן את דברי הגר"א שנדפסו בסוף הקדמה ראשונה בדף י"ח ע"ב שכאן מקומם:</w:t>
      </w:r>
    </w:p>
  </w:footnote>
  <w:footnote w:id="3812">
    <w:p w:rsidR="00A13282" w:rsidRDefault="00A13282" w:rsidP="00B17EA9">
      <w:pPr>
        <w:pStyle w:val="aff7"/>
        <w:jc w:val="both"/>
        <w:rPr>
          <w:rFonts w:cs="Arial"/>
          <w:szCs w:val="24"/>
          <w:rtl/>
          <w:lang w:eastAsia="en-US"/>
        </w:rPr>
      </w:pPr>
      <w:r>
        <w:rPr>
          <w:rStyle w:val="a7"/>
          <w:rFonts w:cs="Arial"/>
          <w:szCs w:val="24"/>
        </w:rPr>
        <w:footnoteRef/>
      </w:r>
      <w:r>
        <w:rPr>
          <w:rFonts w:cs="Arial"/>
          <w:szCs w:val="24"/>
        </w:rPr>
        <w:t xml:space="preserve"> </w:t>
      </w:r>
      <w:r>
        <w:rPr>
          <w:rFonts w:cs="Arial"/>
          <w:b/>
          <w:bCs/>
          <w:szCs w:val="24"/>
          <w:rtl/>
        </w:rPr>
        <w:t>תיקון ל"ב בראשית כו' הא הכא כו'.</w:t>
      </w:r>
      <w:r>
        <w:rPr>
          <w:rFonts w:cs="Arial"/>
          <w:szCs w:val="24"/>
          <w:rtl/>
        </w:rPr>
        <w:t xml:space="preserve"> </w:t>
      </w:r>
      <w:r>
        <w:rPr>
          <w:rFonts w:cs="Arial"/>
          <w:szCs w:val="24"/>
          <w:rtl/>
          <w:lang w:eastAsia="en-US"/>
        </w:rPr>
        <w:t xml:space="preserve">בגירסא דידן עד כאן ל"א תיקונין, אבל התיקונין הם מהופכים ויתרים ועוד חסרים הרבה תיקונין. אבל הגירסא הנכונה הוא </w:t>
      </w:r>
      <w:r>
        <w:rPr>
          <w:rFonts w:cs="Arial"/>
          <w:b/>
          <w:bCs/>
          <w:szCs w:val="24"/>
          <w:rtl/>
          <w:lang w:eastAsia="en-US"/>
        </w:rPr>
        <w:t>הא הכא כ"ח זמנין דאתפריש בראשית ועשר כו' הא שבעין וצריך לפרשא לון.</w:t>
      </w:r>
      <w:r>
        <w:rPr>
          <w:rFonts w:cs="Arial"/>
          <w:szCs w:val="24"/>
          <w:rtl/>
          <w:lang w:eastAsia="en-US"/>
        </w:rPr>
        <w:t xml:space="preserve"> וכ"ח דמשלים לשבעין - הוא כ"ח עובדא דבראשית דפסוק ראשון ודמתן תורה (והן כ"ח פרקין דכלילן בעשר אצבעאן, כ"ח מ"ה, כמו שאומר לעיל ל"ט א' ב', והן עשר אמירן), כ"ח נקודין - שעל ידם גם כן נשלמין נ' שערי בינה, וכידוע שעם כ"ב הוא נו"ן, ועם מ"ב הוא ע"ב, והכל אחד.</w:t>
      </w:r>
    </w:p>
    <w:p w:rsidR="00A13282" w:rsidRDefault="00A13282" w:rsidP="00B17EA9">
      <w:pPr>
        <w:pStyle w:val="aff7"/>
        <w:jc w:val="both"/>
        <w:rPr>
          <w:rFonts w:cs="Arial"/>
          <w:szCs w:val="24"/>
          <w:rtl/>
          <w:lang w:eastAsia="en-US"/>
        </w:rPr>
      </w:pPr>
      <w:r>
        <w:rPr>
          <w:rFonts w:cs="Arial"/>
          <w:szCs w:val="24"/>
          <w:rtl/>
          <w:lang w:eastAsia="en-US"/>
        </w:rPr>
        <w:t xml:space="preserve">והוא ענין נפלא, שמפרש התיקונין בתיבת בראשית, מכאן עד סוף התיקונין - הכל על ספר הראשון, שהוא עד </w:t>
      </w:r>
      <w:r>
        <w:rPr>
          <w:rFonts w:cs="Arial"/>
          <w:b/>
          <w:bCs/>
          <w:szCs w:val="24"/>
          <w:rtl/>
          <w:lang w:eastAsia="en-US"/>
        </w:rPr>
        <w:t>זה ספר,</w:t>
      </w:r>
      <w:r>
        <w:rPr>
          <w:rFonts w:cs="Arial"/>
          <w:szCs w:val="24"/>
          <w:rtl/>
          <w:lang w:eastAsia="en-US"/>
        </w:rPr>
        <w:t xml:space="preserve"> שהוא סיום ספר הראשון, והוא עד ק"כ א', שם סיום התיקונין. ואגב שמסיים, מתחיל לפרש רק התחלת ספר השני, תיבות </w:t>
      </w:r>
      <w:r>
        <w:rPr>
          <w:rFonts w:cs="Arial"/>
          <w:b/>
          <w:bCs/>
          <w:szCs w:val="24"/>
          <w:rtl/>
          <w:lang w:eastAsia="en-US"/>
        </w:rPr>
        <w:t>דזה ספר</w:t>
      </w:r>
      <w:r>
        <w:rPr>
          <w:rFonts w:cs="Arial"/>
          <w:szCs w:val="24"/>
          <w:rtl/>
          <w:lang w:eastAsia="en-US"/>
        </w:rPr>
        <w:t xml:space="preserve"> עד קל"ד ב', </w:t>
      </w:r>
      <w:r>
        <w:rPr>
          <w:rFonts w:cs="Arial"/>
          <w:b/>
          <w:bCs/>
          <w:szCs w:val="24"/>
          <w:rtl/>
          <w:lang w:eastAsia="en-US"/>
        </w:rPr>
        <w:t>ד"א זה ספר כו'</w:t>
      </w:r>
      <w:r>
        <w:rPr>
          <w:rFonts w:cs="Arial"/>
          <w:szCs w:val="24"/>
          <w:rtl/>
          <w:lang w:eastAsia="en-US"/>
        </w:rPr>
        <w:t>, ומשם ואילך אינו שייך כאן כלל, רק ליקוטים מזהר חדש. ואפשר לומר דגם שם הוא אגב, אבל הנכון שאינו מהספר.</w:t>
      </w:r>
    </w:p>
    <w:p w:rsidR="00A13282" w:rsidRDefault="00A13282" w:rsidP="00B17EA9">
      <w:pPr>
        <w:pStyle w:val="aff7"/>
        <w:jc w:val="both"/>
        <w:rPr>
          <w:rFonts w:cs="Arial"/>
          <w:szCs w:val="24"/>
          <w:rtl/>
          <w:lang w:eastAsia="en-US"/>
        </w:rPr>
      </w:pPr>
      <w:r>
        <w:rPr>
          <w:rFonts w:cs="Arial"/>
          <w:szCs w:val="24"/>
          <w:rtl/>
          <w:lang w:eastAsia="en-US"/>
        </w:rPr>
        <w:t xml:space="preserve">ומפרש בתיקון זה מאמר הראשון מעשרה מאמרות. וכאן שייך מה שאומר בתיקון למ"ד </w:t>
      </w:r>
      <w:r>
        <w:rPr>
          <w:rFonts w:cs="Arial"/>
          <w:b/>
          <w:bCs/>
          <w:szCs w:val="24"/>
          <w:rtl/>
          <w:lang w:eastAsia="en-US"/>
        </w:rPr>
        <w:t>אלקים דא נתיב קדמאה כו',</w:t>
      </w:r>
      <w:r>
        <w:rPr>
          <w:rFonts w:cs="Arial"/>
          <w:szCs w:val="24"/>
          <w:rtl/>
          <w:lang w:eastAsia="en-US"/>
        </w:rPr>
        <w:t xml:space="preserve"> ואינו מפרש שם רק נתיבות ומאמרות דשני ימים הראשונים שם, שהן ח' נתיבות וג' מאמרות, והשאר חסר שם. וכאן מפרש בפרטות. ומכל מקום חסרין כמה נתיבות באמצע. </w:t>
      </w:r>
    </w:p>
    <w:p w:rsidR="00A13282" w:rsidRDefault="00A13282" w:rsidP="00B17EA9">
      <w:pPr>
        <w:pStyle w:val="aff7"/>
        <w:jc w:val="both"/>
        <w:rPr>
          <w:rFonts w:cs="Arial"/>
          <w:szCs w:val="24"/>
          <w:rtl/>
          <w:lang w:eastAsia="en-US"/>
        </w:rPr>
      </w:pPr>
      <w:r>
        <w:rPr>
          <w:rFonts w:cs="Arial"/>
          <w:szCs w:val="24"/>
          <w:rtl/>
          <w:lang w:eastAsia="en-US"/>
        </w:rPr>
        <w:t xml:space="preserve">והעשרה מאמרות מפרש הכל בפקודין, והן: </w:t>
      </w:r>
      <w:r>
        <w:rPr>
          <w:rFonts w:cs="Arial"/>
          <w:szCs w:val="24"/>
          <w:u w:val="single"/>
          <w:rtl/>
          <w:lang w:eastAsia="en-US"/>
        </w:rPr>
        <w:t>א'</w:t>
      </w:r>
      <w:r>
        <w:rPr>
          <w:rFonts w:cs="Arial"/>
          <w:szCs w:val="24"/>
          <w:rtl/>
          <w:lang w:eastAsia="en-US"/>
        </w:rPr>
        <w:t xml:space="preserve"> אנכי ולא יהיה לך, דבדיבור אחד נאמרו, כמו שמפרש והולך כאן (אע"ג דבריש תיקון ל’ קאמר דיראה הוא מאמר ראשון, וכן הוא בזהר פרשת בראשית - כאן כולל יראה בנתיב הראשון, בתיקון ל”ג, והכל בתיבת בראשית, וכן כולן. </w:t>
      </w:r>
      <w:r>
        <w:rPr>
          <w:rFonts w:cs="Arial"/>
          <w:szCs w:val="24"/>
          <w:u w:val="single"/>
          <w:rtl/>
          <w:lang w:eastAsia="en-US"/>
        </w:rPr>
        <w:t>ב'</w:t>
      </w:r>
      <w:r>
        <w:rPr>
          <w:rFonts w:cs="Arial"/>
          <w:szCs w:val="24"/>
          <w:rtl/>
          <w:lang w:eastAsia="en-US"/>
        </w:rPr>
        <w:t xml:space="preserve"> אהבה, כמו שאמרו בתיקון ל’ ופרשת בראשית), </w:t>
      </w:r>
      <w:r>
        <w:rPr>
          <w:rFonts w:cs="Arial"/>
          <w:b/>
          <w:bCs/>
          <w:szCs w:val="24"/>
          <w:rtl/>
          <w:lang w:eastAsia="en-US"/>
        </w:rPr>
        <w:t>ומאמר ב' פקודא דנבואה</w:t>
      </w:r>
      <w:r>
        <w:rPr>
          <w:rFonts w:cs="Arial"/>
          <w:szCs w:val="24"/>
          <w:rtl/>
          <w:lang w:eastAsia="en-US"/>
        </w:rPr>
        <w:t xml:space="preserve">, רוצה לומר, הראשון להאמין בשם יתברך, השני להאמין בתורה. </w:t>
      </w:r>
      <w:r>
        <w:rPr>
          <w:rFonts w:cs="Arial"/>
          <w:szCs w:val="24"/>
          <w:u w:val="single"/>
          <w:rtl/>
          <w:lang w:eastAsia="en-US"/>
        </w:rPr>
        <w:t>ג'</w:t>
      </w:r>
      <w:r>
        <w:rPr>
          <w:rFonts w:cs="Arial"/>
          <w:szCs w:val="24"/>
          <w:rtl/>
          <w:lang w:eastAsia="en-US"/>
        </w:rPr>
        <w:t xml:space="preserve"> להתעסקא באורייתא דבעל פה. </w:t>
      </w:r>
      <w:r>
        <w:rPr>
          <w:rFonts w:cs="Arial"/>
          <w:szCs w:val="24"/>
          <w:u w:val="single"/>
          <w:rtl/>
          <w:lang w:eastAsia="en-US"/>
        </w:rPr>
        <w:t>ד'</w:t>
      </w:r>
      <w:r>
        <w:rPr>
          <w:rFonts w:cs="Arial"/>
          <w:szCs w:val="24"/>
          <w:rtl/>
          <w:lang w:eastAsia="en-US"/>
        </w:rPr>
        <w:t xml:space="preserve"> יחודא. </w:t>
      </w:r>
      <w:r>
        <w:rPr>
          <w:rFonts w:cs="Arial"/>
          <w:szCs w:val="24"/>
          <w:u w:val="single"/>
          <w:rtl/>
          <w:lang w:eastAsia="en-US"/>
        </w:rPr>
        <w:t>ה'</w:t>
      </w:r>
      <w:r>
        <w:rPr>
          <w:rFonts w:cs="Arial"/>
          <w:szCs w:val="24"/>
          <w:rtl/>
          <w:lang w:eastAsia="en-US"/>
        </w:rPr>
        <w:t xml:space="preserve"> פריה ורביה. </w:t>
      </w:r>
      <w:r>
        <w:rPr>
          <w:rFonts w:cs="Arial"/>
          <w:szCs w:val="24"/>
          <w:u w:val="single"/>
          <w:rtl/>
          <w:lang w:eastAsia="en-US"/>
        </w:rPr>
        <w:t>ו'</w:t>
      </w:r>
      <w:r>
        <w:rPr>
          <w:rFonts w:cs="Arial"/>
          <w:szCs w:val="24"/>
          <w:rtl/>
          <w:lang w:eastAsia="en-US"/>
        </w:rPr>
        <w:t xml:space="preserve"> צדקה. </w:t>
      </w:r>
      <w:r>
        <w:rPr>
          <w:rFonts w:cs="Arial"/>
          <w:szCs w:val="24"/>
          <w:u w:val="single"/>
          <w:rtl/>
          <w:lang w:eastAsia="en-US"/>
        </w:rPr>
        <w:t>ז'</w:t>
      </w:r>
      <w:r>
        <w:rPr>
          <w:rFonts w:cs="Arial"/>
          <w:szCs w:val="24"/>
          <w:rtl/>
          <w:lang w:eastAsia="en-US"/>
        </w:rPr>
        <w:t xml:space="preserve"> למלעי באורייתא - רוצה לומר לחדש, וכמו שאומר שם בזהר פרשת בראשית גם כן. </w:t>
      </w:r>
      <w:r>
        <w:rPr>
          <w:rFonts w:cs="Arial"/>
          <w:szCs w:val="24"/>
          <w:u w:val="single"/>
          <w:rtl/>
          <w:lang w:eastAsia="en-US"/>
        </w:rPr>
        <w:t>ח'</w:t>
      </w:r>
      <w:r>
        <w:rPr>
          <w:rFonts w:cs="Arial"/>
          <w:szCs w:val="24"/>
          <w:rtl/>
          <w:lang w:eastAsia="en-US"/>
        </w:rPr>
        <w:t xml:space="preserve"> תוצא, אמר </w:t>
      </w:r>
      <w:r>
        <w:rPr>
          <w:rFonts w:cs="Arial"/>
          <w:b/>
          <w:bCs/>
          <w:szCs w:val="24"/>
          <w:rtl/>
          <w:lang w:eastAsia="en-US"/>
        </w:rPr>
        <w:t>דאלין ע"ה כו',</w:t>
      </w:r>
      <w:r>
        <w:rPr>
          <w:rFonts w:cs="Arial"/>
          <w:szCs w:val="24"/>
          <w:rtl/>
          <w:lang w:eastAsia="en-US"/>
        </w:rPr>
        <w:t xml:space="preserve"> רוצה לומר, פקודא לעסוק בדרך ארץ, שטוב עם התורה. במאמר </w:t>
      </w:r>
      <w:r>
        <w:rPr>
          <w:rFonts w:cs="Arial"/>
          <w:szCs w:val="24"/>
          <w:u w:val="single"/>
          <w:rtl/>
          <w:lang w:eastAsia="en-US"/>
        </w:rPr>
        <w:t>ט'</w:t>
      </w:r>
      <w:r>
        <w:rPr>
          <w:rFonts w:cs="Arial"/>
          <w:szCs w:val="24"/>
          <w:rtl/>
          <w:lang w:eastAsia="en-US"/>
        </w:rPr>
        <w:t xml:space="preserve"> נעשה - אמר </w:t>
      </w:r>
      <w:r>
        <w:rPr>
          <w:rFonts w:cs="Arial"/>
          <w:b/>
          <w:bCs/>
          <w:szCs w:val="24"/>
          <w:rtl/>
          <w:lang w:eastAsia="en-US"/>
        </w:rPr>
        <w:t xml:space="preserve">למגזר גיורא, </w:t>
      </w:r>
      <w:r>
        <w:rPr>
          <w:rFonts w:cs="Arial"/>
          <w:szCs w:val="24"/>
          <w:rtl/>
          <w:lang w:eastAsia="en-US"/>
        </w:rPr>
        <w:t xml:space="preserve">ולהניח תפלין עשה עיקר הפקודא, אבל בזהר פרשת בראשית אמר זה במאמר ח', ובמאמר ט' הוא להניח תפילין שכולל שם ושם שני פקודין. ומאמר </w:t>
      </w:r>
      <w:r>
        <w:rPr>
          <w:rFonts w:cs="Arial"/>
          <w:szCs w:val="24"/>
          <w:u w:val="single"/>
          <w:rtl/>
          <w:lang w:eastAsia="en-US"/>
        </w:rPr>
        <w:t>יו"ד</w:t>
      </w:r>
      <w:r>
        <w:rPr>
          <w:rFonts w:cs="Arial"/>
          <w:szCs w:val="24"/>
          <w:rtl/>
          <w:lang w:eastAsia="en-US"/>
        </w:rPr>
        <w:t xml:space="preserve"> אמר (הנה נתתי כו' היא צלותא, מצמיח חציר כו' ועשב לעבודת כו', ועיין בתיקון נ”א), בזהר פרשת בראשית אמר - ליתן מעשר, ששם הוא מאמר העשירי, אלא דהזוהר סבירא ליה בפרשת ויקרא כמאן דאמר לא טוב היות כו' - הוא מאמר העשירי, ואין להאריך כאן. </w:t>
      </w:r>
    </w:p>
    <w:p w:rsidR="00A13282" w:rsidRDefault="00A13282" w:rsidP="00B17EA9">
      <w:pPr>
        <w:pStyle w:val="aff7"/>
        <w:jc w:val="both"/>
        <w:rPr>
          <w:rFonts w:cs="Arial"/>
          <w:szCs w:val="24"/>
          <w:rtl/>
          <w:lang w:eastAsia="en-US"/>
        </w:rPr>
      </w:pPr>
      <w:r>
        <w:rPr>
          <w:rFonts w:cs="Arial"/>
          <w:szCs w:val="24"/>
          <w:u w:val="single"/>
          <w:rtl/>
          <w:lang w:eastAsia="en-US"/>
        </w:rPr>
        <w:t>וסדרן של התיקונין:</w:t>
      </w:r>
      <w:r>
        <w:rPr>
          <w:rFonts w:cs="Arial"/>
          <w:szCs w:val="24"/>
          <w:rtl/>
          <w:lang w:eastAsia="en-US"/>
        </w:rPr>
        <w:t xml:space="preserve"> אחר תיקון ל”ג - תיקון ל”ז על פסוק והארץ כו', והוא הכל תיקון אחד, וזה שאומר שם </w:t>
      </w:r>
      <w:r>
        <w:rPr>
          <w:rFonts w:cs="Arial"/>
          <w:b/>
          <w:bCs/>
          <w:szCs w:val="24"/>
          <w:rtl/>
          <w:lang w:eastAsia="en-US"/>
        </w:rPr>
        <w:t>ברית ודאי כו' דחילו כו',</w:t>
      </w:r>
      <w:r>
        <w:rPr>
          <w:rFonts w:cs="Arial"/>
          <w:szCs w:val="24"/>
          <w:rtl/>
          <w:lang w:eastAsia="en-US"/>
        </w:rPr>
        <w:t xml:space="preserve"> ואחרי זה תיקון כ”ה כ"ו - שהוא תיקון אחד, </w:t>
      </w:r>
      <w:r>
        <w:rPr>
          <w:rFonts w:cs="Arial"/>
          <w:b/>
          <w:bCs/>
          <w:szCs w:val="24"/>
          <w:rtl/>
          <w:lang w:eastAsia="en-US"/>
        </w:rPr>
        <w:t>ורוח כו'</w:t>
      </w:r>
      <w:r>
        <w:rPr>
          <w:rFonts w:cs="Arial"/>
          <w:szCs w:val="24"/>
          <w:rtl/>
          <w:lang w:eastAsia="en-US"/>
        </w:rPr>
        <w:t xml:space="preserve"> ומסיים </w:t>
      </w:r>
      <w:r>
        <w:rPr>
          <w:rFonts w:cs="Arial"/>
          <w:b/>
          <w:bCs/>
          <w:szCs w:val="24"/>
          <w:rtl/>
          <w:lang w:eastAsia="en-US"/>
        </w:rPr>
        <w:t>בזמנא דייתי פורקנא כו'.</w:t>
      </w:r>
      <w:r>
        <w:rPr>
          <w:rFonts w:cs="Arial"/>
          <w:szCs w:val="24"/>
          <w:rtl/>
          <w:lang w:eastAsia="en-US"/>
        </w:rPr>
        <w:t xml:space="preserve"> ותיקון ל”ח </w:t>
      </w:r>
      <w:r>
        <w:rPr>
          <w:rFonts w:cs="Arial"/>
          <w:b/>
          <w:bCs/>
          <w:szCs w:val="24"/>
          <w:rtl/>
          <w:lang w:eastAsia="en-US"/>
        </w:rPr>
        <w:t>פתח ואמר כשושנה כו' בזמנא דיהא פורקנא כו'</w:t>
      </w:r>
      <w:r>
        <w:rPr>
          <w:rFonts w:cs="Arial"/>
          <w:szCs w:val="24"/>
          <w:rtl/>
          <w:lang w:eastAsia="en-US"/>
        </w:rPr>
        <w:t xml:space="preserve">, ואחרי זה בהקדמה ט' ב', בפיקודא במלת בראשית דאיהי אהבה, והוא מאמר ב', ואח"כ תיקון ל”ו, ואח"כ תיקון ל”ט ותיקון מ’, וכמו שכתבתי בתיקון ל’, והוא על נתיב ד' וה'. ושם מפרש גם כן מאמר ג'. (חוזר וכולל בתיקון מ”א בבראשית). ושם שייך מה שאומר בדף ק"א ע"א </w:t>
      </w:r>
      <w:r>
        <w:rPr>
          <w:rFonts w:cs="Arial"/>
          <w:b/>
          <w:bCs/>
          <w:szCs w:val="24"/>
          <w:rtl/>
          <w:lang w:eastAsia="en-US"/>
        </w:rPr>
        <w:t xml:space="preserve">אר"א יומא חד הוינן כו' </w:t>
      </w:r>
      <w:r>
        <w:rPr>
          <w:rFonts w:cs="Arial"/>
          <w:szCs w:val="24"/>
          <w:rtl/>
          <w:lang w:eastAsia="en-US"/>
        </w:rPr>
        <w:t xml:space="preserve">עד סוף תיקון ס”ז. ואח"כ תיקון מ”א ותיקון מ”ב, ואח"כ תיקון מ”ט </w:t>
      </w:r>
      <w:r>
        <w:rPr>
          <w:rFonts w:cs="Arial"/>
          <w:b/>
          <w:bCs/>
          <w:szCs w:val="24"/>
          <w:rtl/>
          <w:lang w:eastAsia="en-US"/>
        </w:rPr>
        <w:t>לכלול יחודא בבראשית,</w:t>
      </w:r>
      <w:r>
        <w:rPr>
          <w:rFonts w:cs="Arial"/>
          <w:szCs w:val="24"/>
          <w:rtl/>
          <w:lang w:eastAsia="en-US"/>
        </w:rPr>
        <w:t xml:space="preserve"> ואח"כ תיקון מ”ד עד סוף תיקון מ”ח - שהוא מפרש עד סוף ויכולו. וחסר מהתיקונים נתיבות הרבה. </w:t>
      </w:r>
    </w:p>
    <w:p w:rsidR="00A13282" w:rsidRDefault="00A13282" w:rsidP="00B17EA9">
      <w:pPr>
        <w:pStyle w:val="aff7"/>
        <w:jc w:val="both"/>
        <w:rPr>
          <w:rFonts w:cs="Arial"/>
          <w:szCs w:val="24"/>
          <w:rtl/>
          <w:lang w:eastAsia="en-US"/>
        </w:rPr>
      </w:pPr>
      <w:r>
        <w:rPr>
          <w:rFonts w:cs="Arial"/>
          <w:szCs w:val="24"/>
          <w:rtl/>
          <w:lang w:eastAsia="en-US"/>
        </w:rPr>
        <w:t xml:space="preserve">ואח"כ תיקון נ’ </w:t>
      </w:r>
      <w:r>
        <w:rPr>
          <w:rFonts w:cs="Arial"/>
          <w:b/>
          <w:bCs/>
          <w:szCs w:val="24"/>
          <w:rtl/>
          <w:lang w:eastAsia="en-US"/>
        </w:rPr>
        <w:t>פתח כו', ועלייהו אתמר אלה תולדות כו',</w:t>
      </w:r>
      <w:r>
        <w:rPr>
          <w:rFonts w:cs="Arial"/>
          <w:szCs w:val="24"/>
          <w:rtl/>
          <w:lang w:eastAsia="en-US"/>
        </w:rPr>
        <w:t xml:space="preserve"> </w:t>
      </w:r>
      <w:r>
        <w:rPr>
          <w:rFonts w:cs="Arial"/>
          <w:szCs w:val="24"/>
          <w:u w:val="single"/>
          <w:rtl/>
          <w:lang w:eastAsia="en-US"/>
        </w:rPr>
        <w:t>ומסדר והולך כל התיקונין על הסדר - בתיבת בראשית - כל הפסוקים, עד תיקון ע’</w:t>
      </w:r>
      <w:r>
        <w:rPr>
          <w:rFonts w:cs="Arial"/>
          <w:szCs w:val="24"/>
          <w:rtl/>
          <w:lang w:eastAsia="en-US"/>
        </w:rPr>
        <w:t xml:space="preserve">, עד </w:t>
      </w:r>
      <w:r>
        <w:rPr>
          <w:rFonts w:cs="Arial"/>
          <w:b/>
          <w:bCs/>
          <w:szCs w:val="24"/>
          <w:rtl/>
          <w:lang w:eastAsia="en-US"/>
        </w:rPr>
        <w:t xml:space="preserve">זה ספר </w:t>
      </w:r>
      <w:r>
        <w:rPr>
          <w:rFonts w:cs="Arial"/>
          <w:szCs w:val="24"/>
          <w:rtl/>
          <w:lang w:eastAsia="en-US"/>
        </w:rPr>
        <w:t xml:space="preserve">- לבד תיקון ס”ו שהוא שלא במקומו כנ"ל. והן ע' תיקונין: ל"ב נתיבות, ועשרה מאמרות - שהן נכללים גם כן באלקים, ואח"כ עוד כ"ח כנ"ל - והן כ"ח אלקים מויכלו עד זה ספר. והן ע' תיקונין שעל זה סידר רשב"י זה הספר. ומפרש והולך, על כל שם - תיקון אחד: תיקון נ’ על פסוק אלה כו' ביום כו'. תיקון נ”ב על פסוק וכל שיח כו' כי לא המטיר כו'. תיקון נ”ב ואד יעלה כו' ויצר כו'. תיקון נ”ג ויטע כו'. תיקון נ”ד ויצמח כו', וכל הנהרות כולל שם. ואח"כ בפסוק ויקח כו', שמגיע לשם, חוזר ומתחיל תיקון אחר - תיקון נ”ה, והוא על סוף תיקון נ”ד - ויקח ה' אלקים לעבדה בפקודין כו' ודא זכרונות כו', ואח"כ תיקון נ”ו על ויצו כו', כמו שמפרש והולך </w:t>
      </w:r>
      <w:r>
        <w:rPr>
          <w:rFonts w:cs="Arial"/>
          <w:b/>
          <w:bCs/>
          <w:szCs w:val="24"/>
          <w:rtl/>
          <w:lang w:eastAsia="en-US"/>
        </w:rPr>
        <w:t>דאתמר בהון ויצו כו',</w:t>
      </w:r>
      <w:r>
        <w:rPr>
          <w:rFonts w:cs="Arial"/>
          <w:szCs w:val="24"/>
          <w:rtl/>
          <w:lang w:eastAsia="en-US"/>
        </w:rPr>
        <w:t xml:space="preserve"> ושם צ"ג ב' אבל לתתא אתמר ביה ומעץ הדעת כו', ושם צ"ד מפרש ויאמר ה' אלקים לא טוב כו', וחסר שם תיקון על זה, ושם צריך להיות תיקון ל”ד </w:t>
      </w:r>
      <w:r>
        <w:rPr>
          <w:rFonts w:cs="Arial"/>
          <w:b/>
          <w:bCs/>
          <w:szCs w:val="24"/>
          <w:rtl/>
          <w:lang w:eastAsia="en-US"/>
        </w:rPr>
        <w:t xml:space="preserve">ב' נוק' פתיחא כו' </w:t>
      </w:r>
      <w:r>
        <w:rPr>
          <w:rFonts w:cs="Arial"/>
          <w:szCs w:val="24"/>
          <w:rtl/>
          <w:lang w:eastAsia="en-US"/>
        </w:rPr>
        <w:t>על זה, ואח"כ תיקון נ”ז על וייצר כו', ותיקון נ”ח ויפל כו', ושם מפרש גם כן פסוק ויבן כו', וחסר גם כן תיקון אחד, ואח"כ תיקון נ”ח על והנחש כו' (כולל בתוכו גם כן ה' תיקונים, ואח"כ תיקון נ"ט) ומפרש בתוכו פסוקים ויאמר אל האשה כו', שהן ד' תיקונין, וכוללן בתיקון ס', ואח"כ תיקון ס”א על וישמעו כו', וכולל גם כן תיקון ויתחבא כו', ואח"כ תיקון ס”ב על ויקרא כו', ואח"כ תיקון ס”ג וס"ד על ויאמר כו' ויאמר כו', ואח"כ תיקון ס”ה ויעש כו', ואח"כ תיקון ס”ו על הן האדם כו', ואח"כ תיקון ס”ח וישלחהו כו' וגם תיקון ס”ט נכלל בו לתיקון אחד עד סופו, עד שמגיע כי שת לי כו' והוא תיקון ע’.</w:t>
      </w:r>
    </w:p>
    <w:p w:rsidR="00A13282" w:rsidRDefault="00A13282" w:rsidP="00B17EA9">
      <w:pPr>
        <w:pStyle w:val="aff7"/>
        <w:jc w:val="both"/>
        <w:rPr>
          <w:rFonts w:cs="Arial"/>
          <w:szCs w:val="24"/>
          <w:rtl/>
          <w:lang w:eastAsia="en-US"/>
        </w:rPr>
      </w:pPr>
      <w:r>
        <w:rPr>
          <w:rFonts w:cs="Arial"/>
          <w:szCs w:val="24"/>
          <w:rtl/>
          <w:lang w:eastAsia="en-US"/>
        </w:rPr>
        <w:t>ויש עוד י"א תיקונין, וכמה תיקונין בזהר חדש, ועוד תיקונין הרבה, אבל הכלל - שהן ע' תיקונין, על ע' שמות הנ"ל עם המאמרות, כנ"ל, והן שבעין שנין דאזיל, נ' שנין - ת"ק פרסה מה' ספירות, ושנים - נטיל מאו"א, שהן דיליה, ומשלים לע'. ולכן עשרים מהם הוא עם שם הוי', שהם דאו"א, אבל מכל מקום הן דאלקים, והם יין, ע' אנפין, נ' וכ', ועוד ל' הויו"ת - כ' עם אלקים דאו"א, ויו"ד לבדן - דא"א, דשם ואין אלקים עמדי, דשם כולו רחמים פשוטים. ועיין בזהר פרשת משפטים קכ"ג א', ע' נהירו דע' אנפין כו' מא' נהיר כו' ק' כמה דע' שבעין כו', וע"כ הוא ספר הראשון (שכולל כל התורה), ונכלל הכל בתיבת בראשית.</w:t>
      </w:r>
    </w:p>
    <w:p w:rsidR="00A13282" w:rsidRDefault="00A13282" w:rsidP="00B17EA9">
      <w:pPr>
        <w:pStyle w:val="aff7"/>
        <w:jc w:val="both"/>
        <w:rPr>
          <w:rFonts w:cs="Arial"/>
          <w:szCs w:val="24"/>
          <w:rtl/>
          <w:lang w:eastAsia="en-US"/>
        </w:rPr>
      </w:pPr>
      <w:r>
        <w:rPr>
          <w:rFonts w:cs="Arial"/>
          <w:szCs w:val="24"/>
          <w:rtl/>
          <w:lang w:eastAsia="en-US"/>
        </w:rPr>
        <w:t>וידוע שכלל הכל הוא שבעה, והן עשר, שג"ר נכללין כאחד, שאו"א לא מתפרדין לעלמין, וכתר עליון הוא אין, ואין נגלה אלא באו"א, וכלל הכל הוא בג', בין למעלה בין למטה, שי"ק - אחד, והן ג' שמות הידועים. וכן בי"ע - ג' דמקננן בהן כו', וכן האדם ג' - נר"נ, וכן המשכן, והעולם שנה נפש, וכן כולם. ובכל התורה נכלל כל מה דהוי ויהוי כו', והכל נכלל בז' ימים הראשונים, וכולו נכלל בפסוק ראשון - בז' תיבות, ונכלל גם כן בתיבה הראשונה - בו' אותיות, ונקודה היא היא השביעית, כמו שאמרו כאן בכמה מקומות, והן ג' כללים, בראשית - באו"א, נקודה בהיכליה, ושם מתחיל הגילוי דז"ת, ד"ו פרצופין כידוע, וכתר עליון נעלם בתוכן, ולכן מתחיל בב', שאלף אין. ואח"כ בפסוק ראשון, והוא בו"ק - ז' תיקונים דז"א. ואח"כ והארץ כו' עד סוף ויכלו - הכל בנוק', וכמו שאמרו בספרא דצניעותא והארץ תנינא לאו בחושבן, ומההוא דאתלטיא כו', ושם מתחיל י"ג תיקונין דילה, וכל מעשה בראשית הוא בארץ הלזו, וכמו שאמרו בזהר פרשת בראשית, וכמו שאמרו בריש פרק ג' דחגיגה, ואח"כ מתחיל אלה כו' - גם כן בג' דרגין דבי"ע, אלה - ספר הראשון, הכל בבריאה, ושם עץ הדעת וקין והבל, הכל שם כידוע, והוא ספר אחד עם בראשית, דלא מתפרדין. ואח"כ זה ספר - ד' ספרים עד משנה תורה, והן נגד יצירה שמקנן ז"א בתוכו, והוא ד' אותיות הויה, ד' פרשיות שבתפילין, וכתר דיצירה הוא בריאה כידוע, והוא קוצו של יוד, ולכן ספר בראשית מונין אנו ספר אחד עם זה ספר, שהוא י' בכללו.</w:t>
      </w:r>
    </w:p>
    <w:p w:rsidR="00A13282" w:rsidRDefault="00A13282" w:rsidP="00B17EA9">
      <w:pPr>
        <w:pStyle w:val="aff7"/>
        <w:jc w:val="both"/>
        <w:rPr>
          <w:rFonts w:cs="Arial"/>
          <w:szCs w:val="24"/>
        </w:rPr>
      </w:pPr>
      <w:r>
        <w:rPr>
          <w:rFonts w:cs="Arial"/>
          <w:szCs w:val="24"/>
          <w:rtl/>
          <w:lang w:eastAsia="en-US"/>
        </w:rPr>
        <w:t>ואח"כ משנה תורה, שמשה מפי עצמו אמרן - במלכות שמקנן בעשיה, אדני, תפלין של יד, שהוא בית החמישי, כמו שאומר לעיל ט' א', וזהו אלה הדברים, שהיא בה, והיא משנה תורה, ויש בה עשר סדרים - בעשר ספירות שלה, דברים הוא כתר מלכות, סוף במדבר אלה מסעי - מלכות של ה' כתר שלה, כמו שהוא בכל עולם, והוא שרש לכל הספר. ואתחנן - הקדמה למצות, ושם התחלת התורה, כמו שאומר בספר יצירה, ושם יו"ד - עשרת הדברים. עקב - שכר התורה. ראה - התחלת המצות, עולם חסד יבנה. שופטים - אלקים שופטים בארץ, ושם משיח בן דוד. תצא - כל גופי תורה, אחת מג' פרשיות שכולל רוב גופי תורה, ובאלו שלשה - הכל מצות. תבא - ברכות וקללות, נצח ישראל כו'. נצבים - גם כן, אבל הבטחות בסופן, וגם מלכות בה, כידוע, שמלכות בהוד - הוד מלכות, ועיין בזהר פרשת בראשית (כ"א ב') ואתעכב עד שמואל כו' וע"ד כל מילוי הוה כו' לבתר בהוד אימתי כו'. שירת האזינו - ידוע, ויהי שירו חמשה ואלף, אין אומרים שירה כו', יצא סוד - סוד ה' ליראיו. וזאת הברכה - ידוע, ושם נתברכו י"ב בקר דילה, וזאת - כללותם, אשריך ישראל כו' ואתה על במותימו תדרוך, אבן דאתגזרת כו', מלכות דעשיה. ונראה שמכאן ואילך צריכים להיות ע' תיקונין, וחוזר גם כן מה שאמר ברמז ובקיצור, והסופרים השמיטו - שסברו שהם יתרים, לכך יש הרבה על ע' תיקונים, וגם חסרים עוד:</w:t>
      </w:r>
    </w:p>
  </w:footnote>
  <w:footnote w:id="3813">
    <w:p w:rsidR="00A13282" w:rsidRDefault="00A13282" w:rsidP="00B17EA9">
      <w:pPr>
        <w:pStyle w:val="a5"/>
      </w:pPr>
      <w:r>
        <w:rPr>
          <w:rStyle w:val="a7"/>
        </w:rPr>
        <w:footnoteRef/>
      </w:r>
      <w:r>
        <w:t xml:space="preserve"> </w:t>
      </w:r>
      <w:r>
        <w:rPr>
          <w:rtl/>
        </w:rPr>
        <w:t xml:space="preserve"> (מתל"ה) </w:t>
      </w:r>
      <w:r>
        <w:rPr>
          <w:b/>
          <w:bCs/>
          <w:rtl/>
        </w:rPr>
        <w:t>הכא תלתין זמנין כו'.</w:t>
      </w:r>
      <w:r>
        <w:rPr>
          <w:rtl/>
        </w:rPr>
        <w:t xml:space="preserve"> צריך להיות זה תיכף אחר תיקון למ"ד, ותיקון ל"א אינו שייך, דבתיקון ל' מפרש שם כל הל"ב נתיבות וי' אמירן רק שחסר שם כמו שכתבתי שם, וכבר כתבתי שם שצריך להיות הא כ"ח זמנין כו', והמעתיק טעה שראה שלשים תיקונים וכתב תלתין ואינן אלא כ"ח כי תיקון אחד צריך להיות בהקדמה:</w:t>
      </w:r>
    </w:p>
  </w:footnote>
  <w:footnote w:id="3814">
    <w:p w:rsidR="00A13282" w:rsidRDefault="00A13282" w:rsidP="00B17EA9">
      <w:pPr>
        <w:pStyle w:val="a5"/>
      </w:pPr>
      <w:r>
        <w:rPr>
          <w:rStyle w:val="a7"/>
        </w:rPr>
        <w:footnoteRef/>
      </w:r>
      <w:r>
        <w:t xml:space="preserve"> </w:t>
      </w:r>
      <w:r>
        <w:rPr>
          <w:b/>
          <w:bCs/>
          <w:rtl/>
        </w:rPr>
        <w:t>פתח כו' תרין דבורין.</w:t>
      </w:r>
      <w:r>
        <w:rPr>
          <w:rtl/>
        </w:rPr>
        <w:t xml:space="preserve"> שהמאמרות הן על פקודין, והוא מאמר הראשון של עשרת הדברות שנאמר בדבור אחד, וכן כאן נבראו שנים במאמר אחד - שמים וארץ, והן זו"נ, אנכי ולא יהיה לך כמו שאומר בזהר פרשת יתרו צ"א א' אנכי ולא יהיה לך אתמר ברזא דאורייתא, ודא איהו זכור ושמור שהן גם כן בדבור אחד, והן כללא דמצוות עשה ומצוות לא תעשה, והן ראשית מצוות עשה ומצוות לא תעשה, וכוללן, וכמו שאומר שם אלין אינון תריסר פקודין עלאין דכלילין רל"ו פקודין אחרנין, דאינון ברזא דאנכי - כללא דזכור כו', לא יהיה לך - ברזא דשמור, בשס"ה פקודי אורייתא כו':</w:t>
      </w:r>
    </w:p>
  </w:footnote>
  <w:footnote w:id="3815">
    <w:p w:rsidR="00A13282" w:rsidRDefault="00A13282" w:rsidP="00B17EA9">
      <w:pPr>
        <w:pStyle w:val="a5"/>
      </w:pPr>
      <w:r>
        <w:rPr>
          <w:rStyle w:val="a7"/>
        </w:rPr>
        <w:footnoteRef/>
      </w:r>
      <w:r>
        <w:t xml:space="preserve"> </w:t>
      </w:r>
      <w:r>
        <w:rPr>
          <w:b/>
          <w:bCs/>
          <w:rtl/>
        </w:rPr>
        <w:t>(מאמר קדמאה לכולהו.</w:t>
      </w:r>
      <w:r>
        <w:rPr>
          <w:rtl/>
        </w:rPr>
        <w:t xml:space="preserve"> רוצה לומר, לפי דרומז גם כן על דברות הראשונות, וזה שכתוב בראשית - במאמר הראשון ברא כו', וכן זה שכתוב ב' ראשית - שב' נכללו במאמר הראשון בין כאן בין שם):</w:t>
      </w:r>
    </w:p>
  </w:footnote>
  <w:footnote w:id="3816">
    <w:p w:rsidR="00A13282" w:rsidRDefault="00A13282" w:rsidP="00B17EA9">
      <w:pPr>
        <w:pStyle w:val="a5"/>
      </w:pPr>
      <w:r>
        <w:rPr>
          <w:rStyle w:val="a7"/>
        </w:rPr>
        <w:footnoteRef/>
      </w:r>
      <w:r>
        <w:t xml:space="preserve"> </w:t>
      </w:r>
      <w:r>
        <w:rPr>
          <w:b/>
          <w:bCs/>
          <w:rtl/>
        </w:rPr>
        <w:t>ותרווייהו ב' א' אנכי ב' לא י"ל וכלא את חד ואיהי ב' מבראשית.</w:t>
      </w:r>
      <w:r>
        <w:rPr>
          <w:rtl/>
        </w:rPr>
        <w:t xml:space="preserve"> ורוצה לומר, ושניהם כלילין במאמר אחד כנ"ל, וכן שניהם כלולין באת חד - ב' דבראשית, שהוא שנים, ולכך התחיל התורה בב' - לפי ששנים נאמרו בדבור ומאמר אחד:</w:t>
      </w:r>
    </w:p>
  </w:footnote>
  <w:footnote w:id="3817">
    <w:p w:rsidR="00A13282" w:rsidRDefault="00A13282" w:rsidP="00B17EA9">
      <w:pPr>
        <w:pStyle w:val="a5"/>
      </w:pPr>
      <w:r>
        <w:rPr>
          <w:rStyle w:val="a7"/>
        </w:rPr>
        <w:footnoteRef/>
      </w:r>
      <w:r>
        <w:t xml:space="preserve"> </w:t>
      </w:r>
      <w:r>
        <w:rPr>
          <w:b/>
          <w:bCs/>
          <w:rtl/>
        </w:rPr>
        <w:t>אר"א וכי מאן כו'.</w:t>
      </w:r>
      <w:r>
        <w:rPr>
          <w:rtl/>
        </w:rPr>
        <w:t xml:space="preserve"> כתב זה כאן להודיעך שאנכי - ברזא דשמים, ולא יהיה לך - ברזא דארץ, כי ידוע שיש מ"ט פנים וע' פנים, והן שם מ"ב ושם ע"ב כידוע, ושם מ"ב הוא בדכורא, וע"ב - בנוק', ועיין בזהר פרשת תרומה קל"ג ב', ושער הנו"ן לא נמסר למשה, וזהו (תהלים ח ו) מ"ע"ט מאלקים, והוא (ברכות לד ע"ב) יי"ן המשומר בענביו - ע"נ"ב, וזה שאומר כאן אשר הוצאתיך - ברזא דנש"ב, ולא יהיה לך - ברזא דע', כמו שאומר למטה דאית בה ע' אנפין לשזבא כו', ובחושן ואפוד - בהיפוכא, ועיין בזהר פרשת פקודי רל"א ב':</w:t>
      </w:r>
    </w:p>
  </w:footnote>
  <w:footnote w:id="3818">
    <w:p w:rsidR="00A13282" w:rsidRDefault="00A13282" w:rsidP="00B17EA9">
      <w:pPr>
        <w:pStyle w:val="a5"/>
      </w:pPr>
      <w:r>
        <w:rPr>
          <w:rStyle w:val="a7"/>
        </w:rPr>
        <w:footnoteRef/>
      </w:r>
      <w:r>
        <w:t xml:space="preserve"> </w:t>
      </w:r>
      <w:r>
        <w:rPr>
          <w:b/>
          <w:bCs/>
          <w:rtl/>
        </w:rPr>
        <w:t>אלא חמשין זמנין כו'.</w:t>
      </w:r>
      <w:r>
        <w:rPr>
          <w:rtl/>
        </w:rPr>
        <w:t xml:space="preserve"> והנה יש תשעים פעמים לשון הוצאה, אבל לא חשיב כי אם אותן שאמר הקב"ה לאמרן לישראל, וזה שאומר ובגין דא אדכיר חמשין כו', ואלו הן, </w:t>
      </w:r>
      <w:r>
        <w:rPr>
          <w:u w:val="single"/>
          <w:rtl/>
        </w:rPr>
        <w:t>א' ב'</w:t>
      </w:r>
      <w:r>
        <w:rPr>
          <w:rtl/>
        </w:rPr>
        <w:t xml:space="preserve"> - והוצאתי אתכם, המוציא אתכם, שמות ו'. </w:t>
      </w:r>
      <w:r>
        <w:rPr>
          <w:u w:val="single"/>
          <w:rtl/>
        </w:rPr>
        <w:t>ג'</w:t>
      </w:r>
      <w:r>
        <w:rPr>
          <w:rtl/>
        </w:rPr>
        <w:t xml:space="preserve"> - הוצאתי את צבאותי, י"ב. </w:t>
      </w:r>
      <w:r>
        <w:rPr>
          <w:u w:val="single"/>
          <w:rtl/>
        </w:rPr>
        <w:t>ד' ה' ו' ז' ח' ט' י'</w:t>
      </w:r>
      <w:r>
        <w:rPr>
          <w:rtl/>
        </w:rPr>
        <w:t xml:space="preserve"> - זכור את. הוציא. היום. עשה. כי ביד. בחזק. כי בחזק. </w:t>
      </w:r>
      <w:r>
        <w:rPr>
          <w:u w:val="single"/>
          <w:rtl/>
        </w:rPr>
        <w:t>י"א י"ב</w:t>
      </w:r>
      <w:r>
        <w:rPr>
          <w:rtl/>
        </w:rPr>
        <w:t xml:space="preserve"> - וידעתם. בהוציאי אתכם, ט"ז. </w:t>
      </w:r>
      <w:r>
        <w:rPr>
          <w:u w:val="single"/>
          <w:rtl/>
        </w:rPr>
        <w:t>י"ג</w:t>
      </w:r>
      <w:r>
        <w:rPr>
          <w:rtl/>
        </w:rPr>
        <w:t xml:space="preserve"> - אשר הוצאתיך, כ'. </w:t>
      </w:r>
      <w:r>
        <w:rPr>
          <w:u w:val="single"/>
          <w:rtl/>
        </w:rPr>
        <w:t>י"ד</w:t>
      </w:r>
      <w:r>
        <w:rPr>
          <w:rtl/>
        </w:rPr>
        <w:t xml:space="preserve"> - כי בו, כ"ג. </w:t>
      </w:r>
      <w:r>
        <w:rPr>
          <w:u w:val="single"/>
          <w:rtl/>
        </w:rPr>
        <w:t>ט"ו</w:t>
      </w:r>
      <w:r>
        <w:rPr>
          <w:rtl/>
        </w:rPr>
        <w:t xml:space="preserve"> - אשר הוצאתי ,כ"ט. </w:t>
      </w:r>
      <w:r>
        <w:rPr>
          <w:u w:val="single"/>
          <w:rtl/>
        </w:rPr>
        <w:t>ט"ז</w:t>
      </w:r>
      <w:r>
        <w:rPr>
          <w:rtl/>
        </w:rPr>
        <w:t xml:space="preserve"> - כי בחודש, ל"ד. </w:t>
      </w:r>
      <w:r>
        <w:rPr>
          <w:u w:val="single"/>
          <w:rtl/>
        </w:rPr>
        <w:t>י"ז</w:t>
      </w:r>
      <w:r>
        <w:rPr>
          <w:rtl/>
        </w:rPr>
        <w:t xml:space="preserve"> - אשר הוצאתי, ויקרא י"ט. </w:t>
      </w:r>
      <w:r>
        <w:rPr>
          <w:u w:val="single"/>
          <w:rtl/>
        </w:rPr>
        <w:t>י"ח</w:t>
      </w:r>
      <w:r>
        <w:rPr>
          <w:rtl/>
        </w:rPr>
        <w:t xml:space="preserve"> - המוציא, כ"ב. </w:t>
      </w:r>
      <w:r>
        <w:rPr>
          <w:u w:val="single"/>
          <w:rtl/>
        </w:rPr>
        <w:t>י"ט</w:t>
      </w:r>
      <w:r>
        <w:rPr>
          <w:rtl/>
        </w:rPr>
        <w:t xml:space="preserve"> - בהוציאי אותם, כ"ג. </w:t>
      </w:r>
      <w:r>
        <w:rPr>
          <w:u w:val="single"/>
          <w:rtl/>
        </w:rPr>
        <w:t>כ' כ"א כ"ב כ"ג כ"ד</w:t>
      </w:r>
      <w:r>
        <w:rPr>
          <w:rtl/>
        </w:rPr>
        <w:t xml:space="preserve"> - אשר הוצאתי, כ"ה ג' פעמים כ"ו ב' פעמים. </w:t>
      </w:r>
      <w:r>
        <w:rPr>
          <w:u w:val="single"/>
          <w:rtl/>
        </w:rPr>
        <w:t>כ"ה</w:t>
      </w:r>
      <w:r>
        <w:rPr>
          <w:rtl/>
        </w:rPr>
        <w:t xml:space="preserve"> - אשר הוצאתי, במדבר ט"ו. </w:t>
      </w:r>
      <w:r>
        <w:rPr>
          <w:u w:val="single"/>
          <w:rtl/>
        </w:rPr>
        <w:t>כ"ו כ"ז</w:t>
      </w:r>
      <w:r>
        <w:rPr>
          <w:rtl/>
        </w:rPr>
        <w:t xml:space="preserve"> - בנבואת בלעם שנאמר וכה תדבר, וחזר משה כו' אל מוציאם, אל מוציאו. </w:t>
      </w:r>
      <w:r>
        <w:rPr>
          <w:u w:val="single"/>
          <w:rtl/>
        </w:rPr>
        <w:t>כ"ח כ"ט</w:t>
      </w:r>
      <w:r>
        <w:rPr>
          <w:rtl/>
        </w:rPr>
        <w:t xml:space="preserve"> - ויוציא אתכם. ויוציאך, דברים ד'. </w:t>
      </w:r>
      <w:r>
        <w:rPr>
          <w:u w:val="single"/>
          <w:rtl/>
        </w:rPr>
        <w:t>למ"ד ל"א</w:t>
      </w:r>
      <w:r>
        <w:rPr>
          <w:rtl/>
        </w:rPr>
        <w:t xml:space="preserve"> - אשר הוצאתיך. ויוציאך ה'. </w:t>
      </w:r>
      <w:r>
        <w:rPr>
          <w:u w:val="single"/>
          <w:rtl/>
        </w:rPr>
        <w:t>ל"ב ל"ג ל"ד</w:t>
      </w:r>
      <w:r>
        <w:rPr>
          <w:rtl/>
        </w:rPr>
        <w:t xml:space="preserve"> - אשר הוציאך. ויוציאנו. ואותנו, ו'. </w:t>
      </w:r>
      <w:r>
        <w:rPr>
          <w:u w:val="single"/>
          <w:rtl/>
        </w:rPr>
        <w:t>ל"ה ל"ו</w:t>
      </w:r>
      <w:r>
        <w:rPr>
          <w:rtl/>
        </w:rPr>
        <w:t xml:space="preserve"> - הוציא. אשר הוציאך, ז'. </w:t>
      </w:r>
      <w:r>
        <w:rPr>
          <w:u w:val="single"/>
          <w:rtl/>
        </w:rPr>
        <w:t>ל"ז</w:t>
      </w:r>
      <w:r>
        <w:rPr>
          <w:rtl/>
        </w:rPr>
        <w:t xml:space="preserve"> - המוציאך, ח'. </w:t>
      </w:r>
      <w:r>
        <w:rPr>
          <w:u w:val="single"/>
          <w:rtl/>
        </w:rPr>
        <w:t>ל"ח</w:t>
      </w:r>
      <w:r>
        <w:rPr>
          <w:rtl/>
        </w:rPr>
        <w:t xml:space="preserve"> - אשר יצאת, ט'. </w:t>
      </w:r>
      <w:r>
        <w:rPr>
          <w:u w:val="single"/>
          <w:rtl/>
        </w:rPr>
        <w:t>ל"ט</w:t>
      </w:r>
      <w:r>
        <w:rPr>
          <w:rtl/>
        </w:rPr>
        <w:t xml:space="preserve"> - אשר יצאתם, י"א. </w:t>
      </w:r>
      <w:r>
        <w:rPr>
          <w:u w:val="single"/>
          <w:rtl/>
        </w:rPr>
        <w:t>מ' מ"א</w:t>
      </w:r>
      <w:r>
        <w:rPr>
          <w:rtl/>
        </w:rPr>
        <w:t xml:space="preserve"> - המוציא. המוציאך. </w:t>
      </w:r>
      <w:r>
        <w:rPr>
          <w:u w:val="single"/>
          <w:rtl/>
        </w:rPr>
        <w:t>מ"ב מ"ג מ"ד מ"ה</w:t>
      </w:r>
      <w:r>
        <w:rPr>
          <w:rtl/>
        </w:rPr>
        <w:t xml:space="preserve"> - הוציאך. יצאת. את יום צאתך. מועד צאתך. </w:t>
      </w:r>
      <w:r>
        <w:rPr>
          <w:u w:val="single"/>
          <w:rtl/>
        </w:rPr>
        <w:t>מ"ו מ"ז מ"ח</w:t>
      </w:r>
      <w:r>
        <w:rPr>
          <w:rtl/>
        </w:rPr>
        <w:t xml:space="preserve"> - בדרך בצאתכם ממצרים, כ"ג כ"ד כ"ה. </w:t>
      </w:r>
      <w:r>
        <w:rPr>
          <w:u w:val="single"/>
          <w:rtl/>
        </w:rPr>
        <w:t>מ"ט</w:t>
      </w:r>
      <w:r>
        <w:rPr>
          <w:rtl/>
        </w:rPr>
        <w:t xml:space="preserve"> - ויוציאנו, כ"ו. </w:t>
      </w:r>
      <w:r>
        <w:rPr>
          <w:u w:val="single"/>
          <w:rtl/>
        </w:rPr>
        <w:t>נו"ן</w:t>
      </w:r>
      <w:r>
        <w:rPr>
          <w:rtl/>
        </w:rPr>
        <w:t xml:space="preserve"> - בהוציאו אותם, כ"ט. והן כ"ה בדברי השם יתברך, וכ"ה בדברי משה במשנה תורה וספר בלעם שנאמר כאמרן מפי עצמו, וכמו שאמרו (מגילה לא ע"ב) משה מפי עצמו כו', וזהו שאמר כ"ה וכ"ה דשחרית וערבית, ונזכר עוד חמשים פעמים עם לשון העלאה כו', ועיין בזהר פרשת תצוה בסתרי אותיות שאמר שם והן ברזא דמאה:</w:t>
      </w:r>
    </w:p>
  </w:footnote>
  <w:footnote w:id="3819">
    <w:p w:rsidR="00A13282" w:rsidRDefault="00A13282" w:rsidP="00B17EA9">
      <w:pPr>
        <w:pStyle w:val="a5"/>
      </w:pPr>
      <w:r>
        <w:rPr>
          <w:rStyle w:val="a7"/>
        </w:rPr>
        <w:footnoteRef/>
      </w:r>
      <w:r>
        <w:t xml:space="preserve"> </w:t>
      </w:r>
      <w:r>
        <w:rPr>
          <w:b/>
          <w:bCs/>
          <w:rtl/>
        </w:rPr>
        <w:t>שנת החמשים שנה.</w:t>
      </w:r>
      <w:r>
        <w:rPr>
          <w:rtl/>
        </w:rPr>
        <w:t xml:space="preserve"> וכתיב (ויקרא כה י) וקראתם דרור - עלמא דחירו:</w:t>
      </w:r>
    </w:p>
  </w:footnote>
  <w:footnote w:id="3820">
    <w:p w:rsidR="00A13282" w:rsidRDefault="00A13282" w:rsidP="00B17EA9">
      <w:pPr>
        <w:pStyle w:val="a5"/>
      </w:pPr>
      <w:r>
        <w:rPr>
          <w:rStyle w:val="a7"/>
        </w:rPr>
        <w:footnoteRef/>
      </w:r>
      <w:r>
        <w:t xml:space="preserve"> </w:t>
      </w:r>
      <w:r>
        <w:rPr>
          <w:rtl/>
        </w:rPr>
        <w:t xml:space="preserve"> </w:t>
      </w:r>
      <w:r>
        <w:rPr>
          <w:b/>
          <w:bCs/>
          <w:rtl/>
        </w:rPr>
        <w:t>ואית בה שבעין כו'.</w:t>
      </w:r>
      <w:r>
        <w:rPr>
          <w:rtl/>
        </w:rPr>
        <w:t xml:space="preserve"> רוצה לומר בתורה, שע' אנפין שהוא עמודא דאמצעיתא והוא ע"ב, וכן הוא יעקב ובניו - ע' נפש, וכמו שאמרו המפרשים דיעקב אשלים לשבעין, ואברהם ויצחק מימינא ושמאלא הן ע"ב, וכן הוא בע"ב שמות - שהן ע', עם אנ"י וה"ו, והן בראשי השמות, וכן בקידוש עם י"ום ה"ששי, וכן הוא בס"א - ע' אומין מסטרא דאמצעיתא, וס"ם ונחש, והן ע"ב אומין, ע' אומין שנפלגו, וב' אומין שהבטיח השם יתברך לאברהם וליצחק, והן ישמעאל ועשו (פירוש עמלק), ושרים דלהון ס"ם ונחש כידוע מן ההוא זונה דמפתי לבני נשא, וההיא דמרגיז וקטיל, רוצה לומר והם שלא רצו בלא תרצח ולא תנאף, וכן במזלות דילהון, חמה באמצעיתא ממונה על ע' אומין פלחי כוכביא כידוע, ולכן הם עובדים ומונין לחמה, ולפני חמה - מאדים, מזלו של עשו, ולאחריה - נוגה, מזלו של ישמעאל, וכמו שאמרו האי מאן דבנוגה כו', וכן בסטרא דקדושה, על החמה חקוקין ע' שמות, ומאדים ונוגה - נגד אברהם ויצחק, וכן הוא באדם, ע' ערקין דכבד, ומרה וטחול, ונראה שהע' ערקין - כולם משמשין למרה, דכבד וטחול הן מקומן של עשו וישמעאל כידוע, והן שנבראו בב"ד, היא - נבראת מארת חסר, והוא - בשני, ביומא דזוגות שאין מתחילין בב"ד, והן שנצטוינו דלא לחרוש בשור וחמור, חמור - מימינא, חמור דאברהם, (בראשית כב ה) פה עם החמור, ושור המועד, וסיומא דילהון - נחש בשמאלא ועקרב בימינא, ושלא לזווגן, לכן במזלות עקרב בדרום, התחלת הדרומים, כי טלה ומאזנים הם אמצעים, ושור בצפון, ועל זה אמרו (ערובין נו ע"א) עגלה בצפון ועקרב בדרום, דלא כהמפרשים, וכן הוא בפרק בתרא דברכות רישא דעגלה, ולכן חמרא אפילו בתקופת תמוז קרירא ליה כי מזלות הדרומים הן קרים כידוע, שהקב"ה המזיג אותן, שמים - הן בדרום, ואש - בצפון, ושור הוא להיפך דאמרינן בריש פרק ב' דסנהדרין אם תור כו' ידמוך ישלח משכיה, שלא מצינו כן בכל בריה שבאדר ישלח משכיה מחמת החום שאף שבבוקר הוא קר מאד שגם החמור נתחמם מחמת המשא רק שחוזר ונתקרר כמו שאומר שם ברש"י, וכן הוא בנחש ועקרב כמו שאמרו בפרק ב' דע"ג חמימי לעקרבא וקרירי לזיבורא וחילופא סכנתא, וזה שאמרו בסוף ברכות וגמירי אי לאו עוקצא דעקרבא דמנח בנהר דינור, לפי שהוא מצונן הרבה, וכן מצאתי למהרש"א שפירש כן שם, והוא מזל כימה וכן כתב שם הרש"א דלא כרש"י, ולהכי נטלין מכימה - לפי שנידונו ברותחין, וכן נידונין בגיהנם נגד ב' הנ"ל, חצי השנה באש וחצי בשלג, והוא נגד ו"ק דדכורא ונוק' (וזה שאמרו (ברכות יז ע"א) שאור שבעיסה ושעבוד מלכיות, והן ב' עונשין - גיהנם ושעבוד מלכיות, שעבוד מלכיות נגד ע' אומין פלחי כוכביא, וגיהנם נגד ב' הנ"ל, והן נגד תורה ומצות כמו שאומר למטה, ואע"ג דאמרינן (ילקוט שמעוני בראשית טו עז) שאברהם בירר לו המלכיות - היינו בביטול תורה, וכמו שאמרו (אבות ג ה) כל המקבל עליו עול תורה כו' וכל הפורק כו', וזה שאמרו (ילקוט שמעוני בראשית יד עו) הראה לו ד' כו') וכן הוא בקדושה, שלכן הם ששה חדשים ימות החמה וששה ימות הגשמים, והן רישי דרגין למעלה למעלה, התחלת חו"ג, שראשי נמלא טל קווצותי כו' מליא טלא כו' בוצינא כו':</w:t>
      </w:r>
    </w:p>
  </w:footnote>
  <w:footnote w:id="3821">
    <w:p w:rsidR="00A13282" w:rsidRDefault="00A13282" w:rsidP="00B17EA9">
      <w:pPr>
        <w:pStyle w:val="a5"/>
      </w:pPr>
      <w:r>
        <w:rPr>
          <w:rStyle w:val="a7"/>
        </w:rPr>
        <w:footnoteRef/>
      </w:r>
      <w:r>
        <w:t xml:space="preserve"> </w:t>
      </w:r>
      <w:r>
        <w:rPr>
          <w:b/>
          <w:bCs/>
          <w:rtl/>
        </w:rPr>
        <w:t>דאורייתא אתייהיבת כו'.</w:t>
      </w:r>
      <w:r>
        <w:rPr>
          <w:rtl/>
        </w:rPr>
        <w:t xml:space="preserve"> כמו שכתוב (דברים לג ב) מימינו אש, והיא בעצמה שבעין, והיא  (שם) דת למו, דשרשן ע' נפש, ע' משפחות (וזהו למו, ודת עם ע' - הוא דעת, ת"ת כמו שאומר לעיל בתיקון כ’):</w:t>
      </w:r>
    </w:p>
  </w:footnote>
  <w:footnote w:id="3822">
    <w:p w:rsidR="00A13282" w:rsidRDefault="00A13282" w:rsidP="00B17EA9">
      <w:pPr>
        <w:pStyle w:val="a5"/>
      </w:pPr>
      <w:r>
        <w:rPr>
          <w:rStyle w:val="a7"/>
        </w:rPr>
        <w:footnoteRef/>
      </w:r>
      <w:r>
        <w:t xml:space="preserve"> </w:t>
      </w:r>
      <w:r>
        <w:rPr>
          <w:b/>
          <w:bCs/>
          <w:rtl/>
        </w:rPr>
        <w:t>ובגינייהו כו'.</w:t>
      </w:r>
      <w:r>
        <w:rPr>
          <w:rtl/>
        </w:rPr>
        <w:t xml:space="preserve"> רוצה לומר ע"ב הנ"ל:</w:t>
      </w:r>
    </w:p>
  </w:footnote>
  <w:footnote w:id="3823">
    <w:p w:rsidR="00A13282" w:rsidRDefault="00A13282" w:rsidP="00B17EA9">
      <w:pPr>
        <w:pStyle w:val="a5"/>
      </w:pPr>
      <w:r>
        <w:rPr>
          <w:rStyle w:val="a7"/>
        </w:rPr>
        <w:footnoteRef/>
      </w:r>
      <w:r>
        <w:t xml:space="preserve"> </w:t>
      </w:r>
      <w:r>
        <w:rPr>
          <w:b/>
          <w:bCs/>
          <w:rtl/>
        </w:rPr>
        <w:t>ומאן דעבר על כו'.</w:t>
      </w:r>
      <w:r>
        <w:rPr>
          <w:rtl/>
        </w:rPr>
        <w:t xml:space="preserve"> רוצה לומר על מצוות עשה ולא תעשה, הן ס"ם ונחש, ימינא ושמאלא, וכמו שאומר לקמן בתיקון מ”א וכמה דאברהם דאיהו ימינא יומא כו' הכי נמי מיצחק דאיהו כו', ועל לימוד התורה שהוא דרגא דאמצעיתא ואית בה ע' אנפין - עבר על אלהים אחרים דע' אומין, והן ג' דרגין שנתן לנו השם יתברך, תורה ומצוות עשה ומצוות לא תעשה, והן ע"ב כנ"ל:</w:t>
      </w:r>
    </w:p>
  </w:footnote>
  <w:footnote w:id="3824">
    <w:p w:rsidR="00A13282" w:rsidRDefault="00A13282" w:rsidP="00B17EA9">
      <w:pPr>
        <w:pStyle w:val="a5"/>
      </w:pPr>
      <w:r>
        <w:rPr>
          <w:rStyle w:val="a7"/>
        </w:rPr>
        <w:footnoteRef/>
      </w:r>
      <w:r>
        <w:t xml:space="preserve"> </w:t>
      </w:r>
      <w:r>
        <w:rPr>
          <w:b/>
          <w:bCs/>
          <w:rtl/>
        </w:rPr>
        <w:t>על שבעין נפש.</w:t>
      </w:r>
      <w:r>
        <w:rPr>
          <w:rtl/>
        </w:rPr>
        <w:t xml:space="preserve"> רוצה לומר, אם רובן של ישראל - אז שלטין כו', דבישראל אית בהו ע' בחינות של ע' נפש וב' של אברהם ויצחק, שאלו ג' אבהן הן כלל נשמות ישראל, וכן הן כלל התורה, וכן באדם, על מצוות עשה ולא תעשה שלטין בנפשא ונשמתא כבד וטחול, ועל התורה - ע' ערקין כנ"ל:</w:t>
      </w:r>
    </w:p>
  </w:footnote>
  <w:footnote w:id="3825">
    <w:p w:rsidR="00A13282" w:rsidRDefault="00A13282" w:rsidP="00B17EA9">
      <w:pPr>
        <w:pStyle w:val="a5"/>
      </w:pPr>
      <w:r>
        <w:rPr>
          <w:rStyle w:val="a7"/>
        </w:rPr>
        <w:footnoteRef/>
      </w:r>
      <w:r>
        <w:t xml:space="preserve"> </w:t>
      </w:r>
      <w:r>
        <w:rPr>
          <w:b/>
          <w:bCs/>
          <w:rtl/>
        </w:rPr>
        <w:t>וכמה גלגולין כו' גלגולא קדמאה כו' ועל ארבעה כו'.</w:t>
      </w:r>
      <w:r>
        <w:rPr>
          <w:rtl/>
        </w:rPr>
        <w:t xml:space="preserve"> ורוצה לומר שזה שאומר שם באותו הדיבור כי אני כו' פוקד כו', והן הן גלגוליו וכמו שאומר בזהר פרשת יתרו צ"א ב' פוקד כו' אילנא חדא דאינציב חדא כו', ומה שאומר למטה ועל ארבעה לא כו' רוצה לומר אם בא בגלגול רביעי לא יחזור עוד, וכן הוא בפשטא דקרא על עון הרביעי לא אשיבנו, ורוצה לומר בגלגול הרביעי, ועיין מה שכתבתי לקמן, וכמו כן בזוהר שם א' ורזא דא תחת שלש רגזה ארץ ותחת ארבע כו', שאז לא תוכל שאת, והן ד' קליפין, רוח סערה כו', שבראשונה אדם הוא בטוב ורע דנוגה, ואח"כ נכנס בג' האחרים, וכיון שנכנס בכל ד' אבות נזיקין ויצא מד' מדרגות שבקדושה - אין לו תקנה, ועיין מה שאומר להלן, ורוצה לומר בזה כאן שהן מה שכתוב, פסל וכל תמונה - א'. אשר כו' - ב'. ואשר כו' - ג'. ואשר כו' - ד'. וטעות סופר מה שכתוב בזוהר שם לא תעשה לך חד כו', והן ד' מזלות, פסל הוא אדם, אשר בשמים - דרך הנשר בשמים, ואשר בארץ - הנה נא בהמות אשר עשיתי עמך כו', ואשר במים כו' - הוא אריה שבמרכבה הוא אריה דמיא, מכב"י כידוע, ופירוש לא תעשה לך - שלא תעשה לעצמך, וכמו שאומר שם בזוהר שפסל - רוצה לומר פסולת, שהוא ס"א. וכן הם ד' לאוין שבאותו הדבור לא יהיה לך, ולא תעשה, ולא תשתחוה, ולא תעבדם:</w:t>
      </w:r>
    </w:p>
  </w:footnote>
  <w:footnote w:id="3826">
    <w:p w:rsidR="00A13282" w:rsidRDefault="00A13282" w:rsidP="00B17EA9">
      <w:pPr>
        <w:pStyle w:val="a5"/>
        <w:rPr>
          <w:rtl/>
        </w:rPr>
      </w:pPr>
      <w:r>
        <w:rPr>
          <w:rStyle w:val="a7"/>
          <w:rtl/>
        </w:rPr>
        <w:footnoteRef/>
      </w:r>
      <w:r>
        <w:rPr>
          <w:rtl/>
        </w:rPr>
        <w:t xml:space="preserve"> (מתל"ה) </w:t>
      </w:r>
      <w:r>
        <w:rPr>
          <w:b/>
          <w:bCs/>
          <w:rtl/>
        </w:rPr>
        <w:t>וכמה גלגולים כו'.</w:t>
      </w:r>
      <w:r>
        <w:rPr>
          <w:rtl/>
        </w:rPr>
        <w:t xml:space="preserve"> עיין מה שכתבתי שם דזה שכתוב פסל כו' שהן כו' ומה שאמר ג' - לא חשיב פעם ראשון, דלא נקרא גלגול, ומה שכתוב פעמים שלש - היינו לגלגל, וכמו שאמרו בכמה מקומות, וכן הוא גלגול אדם בג' אבהן, והן ד' חיות הנ"ל, שאבהן הן ג' חיות כידוע, ואם לא נתקן בג' גלגולים - הוא נכרת ונחית בס"א, מרכבת הנחש, ועיין לעיל ס"ד ב' ובג"ד אוקמוה כו' ארבע רשימו דאריה כו' ואיהו נחש דמליל כו' ובאלין פרצופין דחויא כו', וכן הוא בזהר פרשת ואתחנן פן תשחיתון ועשיתם כו', שהוא אותו הלאו דלא תעשה פסל, ופרט שם בפרטות, במקום פסל וכל תמונה קאמר פסל כו' תבנית זכר כו', והוא אדם ביצירה הראשונה, ובמקום בשמים ממעל - אמר שם תבנית כל צפור כו', ובמקום אשר בארץ - אמר תבנית כל בהמה כו', וכמו שאמרו א"ע ע"פ וידעת כו' שמה שכתוב בשמים ממעל - הוא ממעל על ראש האדם, ובארץ מתחת - רוצה לומר מתחת האדם, וכמו שכתוב בפרשת תבא והיו שמיך כו' והארץ אשר כו', ובמקום במים אמר תבנית כל דגה כו'. ואמר תבנית כל רומש - הוא הנחש כנ"ל, דבעשרת הדברות אמר בציווי, ובנחש לאחר מיתה לא שייך, מה שאין כן שם שאמר אם תשחיתון ואז ועשיתם לכם. ואמר בכל אחד - כל, שהד' חיות הן הכוללים אותם, מה שאין כן באדם שאין שם רק הוא לבדו - לא נאמר כל:</w:t>
      </w:r>
    </w:p>
  </w:footnote>
  <w:footnote w:id="3827">
    <w:p w:rsidR="00A13282" w:rsidRDefault="00A13282" w:rsidP="00B17EA9">
      <w:pPr>
        <w:pStyle w:val="a5"/>
      </w:pPr>
      <w:r>
        <w:rPr>
          <w:rStyle w:val="a7"/>
        </w:rPr>
        <w:footnoteRef/>
      </w:r>
      <w:r>
        <w:t xml:space="preserve"> </w:t>
      </w:r>
      <w:r>
        <w:rPr>
          <w:b/>
          <w:bCs/>
          <w:rtl/>
        </w:rPr>
        <w:t>ואינון מזל כו'.</w:t>
      </w:r>
      <w:r>
        <w:rPr>
          <w:rtl/>
        </w:rPr>
        <w:t xml:space="preserve"> והן תלת גלגולים - מצד ג' אבהן, וגלגול הרביעי הוא דאדם, והוא מזל אדם, וג' גלגולין הוא דרוח, יה"ו, אבהן, אבל רביעי - דנפש, ה' אחרונה דלא אזלא בגלגולא, והארץ לעולם עומדת, לשבת בית, עיגולא כו':</w:t>
      </w:r>
    </w:p>
  </w:footnote>
  <w:footnote w:id="3828">
    <w:p w:rsidR="00A13282" w:rsidRDefault="00A13282" w:rsidP="00B17EA9">
      <w:pPr>
        <w:pStyle w:val="a5"/>
      </w:pPr>
      <w:r>
        <w:rPr>
          <w:rStyle w:val="a7"/>
        </w:rPr>
        <w:footnoteRef/>
      </w:r>
      <w:r>
        <w:t xml:space="preserve"> </w:t>
      </w:r>
      <w:r>
        <w:rPr>
          <w:b/>
          <w:bCs/>
          <w:rtl/>
        </w:rPr>
        <w:t>אין כסף.</w:t>
      </w:r>
      <w:r>
        <w:rPr>
          <w:rtl/>
        </w:rPr>
        <w:t xml:space="preserve"> רוצה לומר אין לה בעלמין דכסופין, וכמו שאומר למטה דאינון דכסופין:</w:t>
      </w:r>
    </w:p>
  </w:footnote>
  <w:footnote w:id="3829">
    <w:p w:rsidR="00A13282" w:rsidRDefault="00A13282" w:rsidP="00B17EA9">
      <w:pPr>
        <w:pStyle w:val="a5"/>
      </w:pPr>
      <w:r>
        <w:rPr>
          <w:rStyle w:val="a7"/>
        </w:rPr>
        <w:footnoteRef/>
      </w:r>
      <w:r>
        <w:t xml:space="preserve"> </w:t>
      </w:r>
      <w:r>
        <w:rPr>
          <w:b/>
          <w:bCs/>
          <w:rtl/>
        </w:rPr>
        <w:t>דלא יקלקל לצדיקיא.</w:t>
      </w:r>
      <w:r>
        <w:rPr>
          <w:rtl/>
        </w:rPr>
        <w:t xml:space="preserve"> שהנפש כיון שנתקלקלה - נכנסה כולה בקליפות, ואין לה תקנה, ורק תקלקל הדור, וכן כל אבדון וכרת - הכל בנפש, והאבדתי את כו':</w:t>
      </w:r>
    </w:p>
  </w:footnote>
  <w:footnote w:id="3830">
    <w:p w:rsidR="00A13282" w:rsidRDefault="00A13282" w:rsidP="00B17EA9">
      <w:pPr>
        <w:pStyle w:val="a5"/>
      </w:pPr>
      <w:r>
        <w:rPr>
          <w:rStyle w:val="a7"/>
        </w:rPr>
        <w:footnoteRef/>
      </w:r>
      <w:r>
        <w:t xml:space="preserve"> </w:t>
      </w:r>
      <w:r>
        <w:rPr>
          <w:b/>
          <w:bCs/>
          <w:rtl/>
        </w:rPr>
        <w:t>אלפים ודאי תלת כו'.</w:t>
      </w:r>
      <w:r>
        <w:rPr>
          <w:rtl/>
        </w:rPr>
        <w:t xml:space="preserve"> רוצה לומר, שלשה אלפין שבשם מ"ה - הן שלשה מזלות, ודמות אדם, הרביעי - שם מ"ה כולו, והוא מש"ה - ש' דאבהן, ומ"ה. ובתיקוני זהר חדש אמר לאלפים ממש - שגלגולא דאדם הוא עד אלף, וכמו שכתוב (תהלים קה ח) דבר צוה כו', דבר - ידוע, וזה שאומר ועושה חסד לזכאה אפילו לאלפים, שהוא גלגולא הרביעי, ומצרפו עד אלף פעמים:</w:t>
      </w:r>
    </w:p>
  </w:footnote>
  <w:footnote w:id="3831">
    <w:p w:rsidR="00A13282" w:rsidRDefault="00A13282" w:rsidP="00B17EA9">
      <w:pPr>
        <w:pStyle w:val="a5"/>
      </w:pPr>
      <w:r>
        <w:rPr>
          <w:rStyle w:val="a7"/>
        </w:rPr>
        <w:footnoteRef/>
      </w:r>
      <w:r>
        <w:t xml:space="preserve"> </w:t>
      </w:r>
      <w:r>
        <w:rPr>
          <w:b/>
          <w:bCs/>
          <w:rtl/>
        </w:rPr>
        <w:t>דאינון דכסופין.</w:t>
      </w:r>
      <w:r>
        <w:rPr>
          <w:rtl/>
        </w:rPr>
        <w:t xml:space="preserve"> רוצה לומר, למה קורא לכל גלגול אלף לפי שמרויח בכל גלגול אלף עלמין דכסופין:</w:t>
      </w:r>
    </w:p>
  </w:footnote>
  <w:footnote w:id="3832">
    <w:p w:rsidR="00A13282" w:rsidRDefault="00A13282" w:rsidP="00B17EA9">
      <w:pPr>
        <w:pStyle w:val="a5"/>
      </w:pPr>
      <w:r>
        <w:rPr>
          <w:rStyle w:val="a7"/>
        </w:rPr>
        <w:footnoteRef/>
      </w:r>
      <w:r>
        <w:t xml:space="preserve"> </w:t>
      </w:r>
      <w:r>
        <w:rPr>
          <w:b/>
          <w:bCs/>
          <w:rtl/>
        </w:rPr>
        <w:t>ולמאן לאוהביו כו'.</w:t>
      </w:r>
      <w:r>
        <w:rPr>
          <w:rtl/>
        </w:rPr>
        <w:t xml:space="preserve"> וזה שאומר למעלה שדורש קרא דפוקד כו' ועושה כו':</w:t>
      </w:r>
    </w:p>
  </w:footnote>
  <w:footnote w:id="3833">
    <w:p w:rsidR="00A13282" w:rsidRDefault="00A13282" w:rsidP="00B17EA9">
      <w:pPr>
        <w:pStyle w:val="a5"/>
      </w:pPr>
      <w:r>
        <w:rPr>
          <w:rStyle w:val="a7"/>
        </w:rPr>
        <w:footnoteRef/>
      </w:r>
      <w:r>
        <w:t xml:space="preserve"> </w:t>
      </w:r>
      <w:r>
        <w:rPr>
          <w:b/>
          <w:bCs/>
          <w:rtl/>
        </w:rPr>
        <w:t>בתלת גלגולין.</w:t>
      </w:r>
      <w:r>
        <w:rPr>
          <w:rtl/>
        </w:rPr>
        <w:t xml:space="preserve"> רוצה לומר שלשה פעמים שנתגלגל וכנ"ל:</w:t>
      </w:r>
    </w:p>
  </w:footnote>
  <w:footnote w:id="3834">
    <w:p w:rsidR="00A13282" w:rsidRDefault="00A13282" w:rsidP="00B17EA9">
      <w:pPr>
        <w:pStyle w:val="a5"/>
      </w:pPr>
      <w:r>
        <w:rPr>
          <w:rStyle w:val="a7"/>
        </w:rPr>
        <w:footnoteRef/>
      </w:r>
      <w:r>
        <w:t xml:space="preserve"> </w:t>
      </w:r>
      <w:r>
        <w:rPr>
          <w:b/>
          <w:bCs/>
          <w:rtl/>
        </w:rPr>
        <w:t>והאבדתי כו'.</w:t>
      </w:r>
      <w:r>
        <w:rPr>
          <w:rtl/>
        </w:rPr>
        <w:t xml:space="preserve"> כמו שמפרש והולך שבע ארעין כו' ותמן כו', וההוא דנחית לאבדון - לא סליק לעלמין, שלכן נקרא אבדון, והיא ארץ תחתית דנוק' דס"א - נגד הנפש, שלכן נאמר את הנפש, והיא ס"מ דסמא"ל כמו שאומר לעיל בריש תיקון כ"ד סם דאל אחר כו' נחש, והכל יתוקן - לבד הנחש, וזהו שחיטתו לעתיד לבא, וישאר חלק דקדושה לבד, ודי לחכימא. ואף שבשאול נאמר גם כן יורד שאול לא יעלה, עם כל זה נאמר מוריד שאול ויעל. והענין, כי בזמן הזה - יורד שאול לא יעלה, אבל בזמן ממית ומחיה אז מוריד שאול ויעל, ומוריד - כמו שאמרו שיוריד הצדיקים לשם להעלותן, לכן קרח וסייעתו שירדו לשאול מצפין על ביאת המשיח ושואלין אותו אימתי יעלה אותן כו', ופשטא דקרא על הקבר וכן הוא בזמן אחד בתחיית המתים יעלו עם הגופים מקברם:</w:t>
      </w:r>
    </w:p>
  </w:footnote>
  <w:footnote w:id="3835">
    <w:p w:rsidR="00A13282" w:rsidRDefault="00A13282" w:rsidP="00B17EA9">
      <w:pPr>
        <w:pStyle w:val="a5"/>
      </w:pPr>
      <w:r>
        <w:rPr>
          <w:rStyle w:val="a7"/>
        </w:rPr>
        <w:footnoteRef/>
      </w:r>
      <w:r>
        <w:t xml:space="preserve"> </w:t>
      </w:r>
      <w:r>
        <w:rPr>
          <w:b/>
          <w:bCs/>
          <w:rtl/>
        </w:rPr>
        <w:t>אלא בגין לאפקא כו'.</w:t>
      </w:r>
      <w:r>
        <w:rPr>
          <w:rtl/>
        </w:rPr>
        <w:t xml:space="preserve"> רוצה לומר שלא הספיקו לעשות מחמת זה וכמו שאמרו (ברכות ו ע"א) חשב לעשות ונאנס כו':</w:t>
      </w:r>
    </w:p>
  </w:footnote>
  <w:footnote w:id="3836">
    <w:p w:rsidR="00A13282" w:rsidRDefault="00A13282" w:rsidP="00B17EA9">
      <w:pPr>
        <w:pStyle w:val="a5"/>
        <w:rPr>
          <w:rtl/>
        </w:rPr>
      </w:pPr>
      <w:r>
        <w:rPr>
          <w:rStyle w:val="a7"/>
        </w:rPr>
        <w:footnoteRef/>
      </w:r>
      <w:r>
        <w:t xml:space="preserve"> </w:t>
      </w:r>
      <w:r>
        <w:rPr>
          <w:b/>
          <w:bCs/>
          <w:rtl/>
        </w:rPr>
        <w:t>מתמן כו'.</w:t>
      </w:r>
      <w:r>
        <w:rPr>
          <w:rtl/>
        </w:rPr>
        <w:t xml:space="preserve"> אע"ג דאמר דבאבדון לא סליק - היינו אם לא עביד תיובתא כמו שאומר להלן ההיא נפשא דלא כו', דתשובה - תשוב ה':</w:t>
      </w:r>
    </w:p>
    <w:p w:rsidR="00A13282" w:rsidRDefault="00A13282" w:rsidP="00B17EA9">
      <w:pPr>
        <w:pStyle w:val="a5"/>
      </w:pPr>
    </w:p>
  </w:footnote>
  <w:footnote w:id="3837">
    <w:p w:rsidR="00A13282" w:rsidRDefault="00A13282" w:rsidP="00B17EA9">
      <w:pPr>
        <w:pStyle w:val="a5"/>
      </w:pPr>
      <w:r>
        <w:rPr>
          <w:rStyle w:val="a7"/>
        </w:rPr>
        <w:footnoteRef/>
      </w:r>
      <w:r>
        <w:t xml:space="preserve"> </w:t>
      </w:r>
      <w:r>
        <w:rPr>
          <w:b/>
          <w:bCs/>
          <w:rtl/>
        </w:rPr>
        <w:t>תיקון ל"ג בראשית דא כו'.</w:t>
      </w:r>
      <w:r>
        <w:rPr>
          <w:rtl/>
        </w:rPr>
        <w:t xml:space="preserve"> רוצה לומר, שתיקון שלפני זה הוא במאמר הראשון, וכאן הוא שביל הראשון - שהוא אלקים, והוא היראה, דהוא תרעא קדמאה דכולא כמו שאומר בזהר פרשת בראשית, ובשבילה נבראו שמים וארץ, וזה שכתוב את כו':</w:t>
      </w:r>
    </w:p>
  </w:footnote>
  <w:footnote w:id="3838">
    <w:p w:rsidR="00A13282" w:rsidRDefault="00A13282" w:rsidP="00B17EA9">
      <w:pPr>
        <w:pStyle w:val="a5"/>
      </w:pPr>
      <w:r>
        <w:rPr>
          <w:rStyle w:val="a7"/>
        </w:rPr>
        <w:footnoteRef/>
      </w:r>
      <w:r>
        <w:t xml:space="preserve"> </w:t>
      </w:r>
      <w:r>
        <w:rPr>
          <w:b/>
          <w:bCs/>
          <w:rtl/>
        </w:rPr>
        <w:t>ועשר אמירן.</w:t>
      </w:r>
      <w:r>
        <w:rPr>
          <w:rtl/>
        </w:rPr>
        <w:t xml:space="preserve"> רוצה לומר עשר אלקים דעשר אמירן, ואינהו עשר ספירות בלימה, וכ"ב יסוד, וכמו שאומר בספר יצירה, ואמירן עצמן הן הנשמה וטעמים כמו שבארנו שם:</w:t>
      </w:r>
    </w:p>
  </w:footnote>
  <w:footnote w:id="3839">
    <w:p w:rsidR="00A13282" w:rsidRDefault="00A13282" w:rsidP="00B17EA9">
      <w:pPr>
        <w:pStyle w:val="a5"/>
      </w:pPr>
      <w:r>
        <w:rPr>
          <w:rStyle w:val="a7"/>
        </w:rPr>
        <w:footnoteRef/>
      </w:r>
      <w:r>
        <w:t xml:space="preserve"> </w:t>
      </w:r>
      <w:r>
        <w:rPr>
          <w:b/>
          <w:bCs/>
          <w:rtl/>
        </w:rPr>
        <w:t>דאית דחילו כו'.</w:t>
      </w:r>
      <w:r>
        <w:rPr>
          <w:rtl/>
        </w:rPr>
        <w:t xml:space="preserve"> רוצה לומר זה שאומר יראת ה', נוק' קדישא, דאית נוק' דס"א כמו שמפרש והולך:</w:t>
      </w:r>
    </w:p>
  </w:footnote>
  <w:footnote w:id="3840">
    <w:p w:rsidR="00A13282" w:rsidRDefault="00A13282" w:rsidP="00B17EA9">
      <w:pPr>
        <w:pStyle w:val="a5"/>
      </w:pPr>
      <w:r>
        <w:rPr>
          <w:rStyle w:val="a7"/>
        </w:rPr>
        <w:footnoteRef/>
      </w:r>
      <w:r>
        <w:t xml:space="preserve"> </w:t>
      </w:r>
      <w:r>
        <w:rPr>
          <w:b/>
          <w:bCs/>
          <w:rtl/>
        </w:rPr>
        <w:t>יראה רעה כו'.</w:t>
      </w:r>
      <w:r>
        <w:rPr>
          <w:rtl/>
        </w:rPr>
        <w:t xml:space="preserve"> רוצה לומר זה שכתוב והארץ היתה כו':</w:t>
      </w:r>
    </w:p>
  </w:footnote>
  <w:footnote w:id="3841">
    <w:p w:rsidR="00A13282" w:rsidRDefault="00A13282" w:rsidP="00B17EA9">
      <w:pPr>
        <w:pStyle w:val="a5"/>
      </w:pPr>
      <w:r>
        <w:rPr>
          <w:rStyle w:val="a7"/>
        </w:rPr>
        <w:footnoteRef/>
      </w:r>
      <w:r>
        <w:t xml:space="preserve"> </w:t>
      </w:r>
      <w:r>
        <w:rPr>
          <w:b/>
          <w:bCs/>
          <w:rtl/>
        </w:rPr>
        <w:t>קם כו' דתלת דרגין כו' צדיק גמור כו'.</w:t>
      </w:r>
      <w:r>
        <w:rPr>
          <w:rtl/>
        </w:rPr>
        <w:t xml:space="preserve"> רוצה לומר זה שכתוב שמים וארץ - ארץ זו יראה בינוני, והן נקראים עם הארץ, ועוד יש של הרשע - והארץ היתה כו' לפי שהיא עץ הדעת טוב ורע (וכן הוא בטבעם, דשמים נותנים טלם בלא מעשה אדם - כמעשה הצדיק, וארץ אינה נותנת אלא בזריעה ועבודה - כמו הבינוני, ועוד יש ארץ רעה כמו מדבר - והארץ היתה תהו כו') ויש יראת שמים זו של צדיק גמור, וזה שאמר אנטיגנוס (אבות א ג) אל תהיו כו' ויהא מורא שמים עליכם, ורוצה לומר גם כן זה שאומר ב' ראשית שהן ב' יראות - ברא שמים וארץ והארץ כו':</w:t>
      </w:r>
    </w:p>
  </w:footnote>
  <w:footnote w:id="3842">
    <w:p w:rsidR="00A13282" w:rsidRDefault="00A13282" w:rsidP="00B17EA9">
      <w:pPr>
        <w:pStyle w:val="a5"/>
      </w:pPr>
      <w:r>
        <w:rPr>
          <w:rStyle w:val="a7"/>
        </w:rPr>
        <w:footnoteRef/>
      </w:r>
      <w:r>
        <w:t xml:space="preserve"> </w:t>
      </w:r>
      <w:r>
        <w:rPr>
          <w:b/>
          <w:bCs/>
          <w:rtl/>
        </w:rPr>
        <w:t>ודא פיקודא תניינא כו'.</w:t>
      </w:r>
      <w:r>
        <w:rPr>
          <w:rtl/>
        </w:rPr>
        <w:t xml:space="preserve"> פסוק יהי אור, ורמיזא בבראשית בחושבן דחנוך וכמו שאומר לעיל בהקדמה ט' ב':</w:t>
      </w:r>
    </w:p>
  </w:footnote>
  <w:footnote w:id="3843">
    <w:p w:rsidR="00A13282" w:rsidRDefault="00A13282" w:rsidP="00B17EA9">
      <w:pPr>
        <w:pStyle w:val="a5"/>
      </w:pPr>
      <w:r>
        <w:rPr>
          <w:rStyle w:val="a7"/>
        </w:rPr>
        <w:footnoteRef/>
      </w:r>
      <w:r>
        <w:t xml:space="preserve"> </w:t>
      </w:r>
      <w:r>
        <w:rPr>
          <w:b/>
          <w:bCs/>
          <w:rtl/>
        </w:rPr>
        <w:t>ונר.</w:t>
      </w:r>
      <w:r>
        <w:rPr>
          <w:rtl/>
        </w:rPr>
        <w:t xml:space="preserve"> דסטרא דשמאלא הוא גוון המאיר מהאור, ודימינא - אור המאיר בגוון:</w:t>
      </w:r>
    </w:p>
  </w:footnote>
  <w:footnote w:id="3844">
    <w:p w:rsidR="00A13282" w:rsidRDefault="00A13282" w:rsidP="00B17EA9">
      <w:pPr>
        <w:pStyle w:val="a5"/>
      </w:pPr>
      <w:r>
        <w:rPr>
          <w:rStyle w:val="a7"/>
        </w:rPr>
        <w:footnoteRef/>
      </w:r>
      <w:r>
        <w:t xml:space="preserve"> </w:t>
      </w:r>
      <w:r>
        <w:rPr>
          <w:b/>
          <w:bCs/>
          <w:rtl/>
        </w:rPr>
        <w:t>דצדיקין קיימין כו'.</w:t>
      </w:r>
      <w:r>
        <w:rPr>
          <w:rtl/>
        </w:rPr>
        <w:t xml:space="preserve"> רוצה לומר שהן מאירין לה, שהן מסטרא דדכורא, צדיק המאיר לה:</w:t>
      </w:r>
    </w:p>
  </w:footnote>
  <w:footnote w:id="3845">
    <w:p w:rsidR="00A13282" w:rsidRDefault="00A13282" w:rsidP="00B17EA9">
      <w:pPr>
        <w:pStyle w:val="a5"/>
      </w:pPr>
      <w:r>
        <w:rPr>
          <w:rStyle w:val="a7"/>
        </w:rPr>
        <w:footnoteRef/>
      </w:r>
      <w:r>
        <w:t xml:space="preserve"> </w:t>
      </w:r>
      <w:r>
        <w:rPr>
          <w:b/>
          <w:bCs/>
          <w:rtl/>
        </w:rPr>
        <w:t>ובג"ד ביומא כו'.</w:t>
      </w:r>
      <w:r>
        <w:rPr>
          <w:rtl/>
        </w:rPr>
        <w:t xml:space="preserve"> שהוא סטרא דימינא:</w:t>
      </w:r>
    </w:p>
  </w:footnote>
  <w:footnote w:id="3846">
    <w:p w:rsidR="00A13282" w:rsidRDefault="00A13282" w:rsidP="00B17EA9">
      <w:pPr>
        <w:pStyle w:val="a5"/>
      </w:pPr>
      <w:r>
        <w:rPr>
          <w:rStyle w:val="a7"/>
        </w:rPr>
        <w:footnoteRef/>
      </w:r>
      <w:r>
        <w:t xml:space="preserve"> </w:t>
      </w:r>
      <w:r>
        <w:rPr>
          <w:b/>
          <w:bCs/>
          <w:rtl/>
        </w:rPr>
        <w:t>בגין דחמש כו' יו"ד בשמאלא.</w:t>
      </w:r>
      <w:r>
        <w:rPr>
          <w:rtl/>
        </w:rPr>
        <w:t xml:space="preserve"> רוצה לומר סופן של ב' שמות הנ"ל, וזה שהקדים מסטרא דימינא הויה כו':</w:t>
      </w:r>
    </w:p>
  </w:footnote>
  <w:footnote w:id="3847">
    <w:p w:rsidR="00A13282" w:rsidRDefault="00A13282" w:rsidP="00B17EA9">
      <w:pPr>
        <w:pStyle w:val="a5"/>
      </w:pPr>
      <w:r>
        <w:rPr>
          <w:rStyle w:val="a7"/>
        </w:rPr>
        <w:footnoteRef/>
      </w:r>
      <w:r>
        <w:t xml:space="preserve"> </w:t>
      </w:r>
      <w:r>
        <w:rPr>
          <w:b/>
          <w:bCs/>
          <w:rtl/>
        </w:rPr>
        <w:t>יו"ד בשמאלא.</w:t>
      </w:r>
      <w:r>
        <w:rPr>
          <w:rtl/>
        </w:rPr>
        <w:t xml:space="preserve"> רוצה לומר שביום השני חמש מים וחמש רקיע - הרי יו"ד:</w:t>
      </w:r>
    </w:p>
  </w:footnote>
  <w:footnote w:id="3848">
    <w:p w:rsidR="00A13282" w:rsidRDefault="00A13282" w:rsidP="00B17EA9">
      <w:pPr>
        <w:pStyle w:val="a5"/>
      </w:pPr>
      <w:r>
        <w:rPr>
          <w:rStyle w:val="a7"/>
        </w:rPr>
        <w:footnoteRef/>
      </w:r>
      <w:r>
        <w:t xml:space="preserve"> </w:t>
      </w:r>
      <w:r>
        <w:rPr>
          <w:b/>
          <w:bCs/>
          <w:rtl/>
        </w:rPr>
        <w:t>ודא נר.</w:t>
      </w:r>
      <w:r>
        <w:rPr>
          <w:rtl/>
        </w:rPr>
        <w:t xml:space="preserve"> שהרקיע מאיר מהאור, והן סופן של שמות הנ"ל, שהן נוק' דבהון, ועלה קמפרש הכל אלקים והוי"ה הכל בה, שהיא כלולה גם כן מד' אותיות בעשר ספירות דילה:</w:t>
      </w:r>
    </w:p>
  </w:footnote>
  <w:footnote w:id="3849">
    <w:p w:rsidR="00A13282" w:rsidRDefault="00A13282" w:rsidP="00B17EA9">
      <w:pPr>
        <w:pStyle w:val="a5"/>
      </w:pPr>
      <w:r>
        <w:rPr>
          <w:rStyle w:val="a7"/>
        </w:rPr>
        <w:footnoteRef/>
      </w:r>
      <w:r>
        <w:t xml:space="preserve"> </w:t>
      </w:r>
      <w:r>
        <w:rPr>
          <w:b/>
          <w:bCs/>
          <w:rtl/>
        </w:rPr>
        <w:t>ודא ה"י מן כו'.</w:t>
      </w:r>
      <w:r>
        <w:rPr>
          <w:rtl/>
        </w:rPr>
        <w:t xml:space="preserve"> ששניהם מרומזין בשם הזה, ולפי שמיירי בנוק' לכן הה"א קדים, וסטרא דימינא בה"א ודשמאלא ביו"ד, בסוד אשה כי תזריע (ויקרא יב ב), וכמו שאומר לעיל כמה פעמים דבנוק' שליט נוק' כו' ובה מתחיל הוי"ה בה"א, וכן הוא באלקים - ה"א קודם ליו"ד, והכל לפרש אלקים דפסוק זה - דעלה קאי:</w:t>
      </w:r>
    </w:p>
  </w:footnote>
  <w:footnote w:id="3850">
    <w:p w:rsidR="00A13282" w:rsidRDefault="00A13282" w:rsidP="00B17EA9">
      <w:pPr>
        <w:pStyle w:val="a5"/>
      </w:pPr>
      <w:r>
        <w:rPr>
          <w:rStyle w:val="a7"/>
        </w:rPr>
        <w:footnoteRef/>
      </w:r>
      <w:r>
        <w:t xml:space="preserve"> </w:t>
      </w:r>
      <w:r>
        <w:rPr>
          <w:b/>
          <w:bCs/>
          <w:rtl/>
        </w:rPr>
        <w:t>ו' מלא מתרווייהו.</w:t>
      </w:r>
      <w:r>
        <w:rPr>
          <w:rtl/>
        </w:rPr>
        <w:t xml:space="preserve"> רוצה לומר וא"ו דשם הוי"ה - הוא אותיות מלא דאלקים, וכמו שאומר לקמן בתיקון ל"ח עיין שם, ורוצה לומר מלא - דאיהו אתמליא מנהורין דתרווייהו, חו"ג (וראיה דנקרא מלא שנאמר ובדעת חדרים ימלאו, והוא הדעת והוא הממלא הכל, והכל בוא"ו):</w:t>
      </w:r>
    </w:p>
  </w:footnote>
  <w:footnote w:id="3851">
    <w:p w:rsidR="00A13282" w:rsidRDefault="00A13282" w:rsidP="00B17EA9">
      <w:pPr>
        <w:pStyle w:val="a5"/>
      </w:pPr>
      <w:r>
        <w:rPr>
          <w:rStyle w:val="a7"/>
        </w:rPr>
        <w:footnoteRef/>
      </w:r>
      <w:r>
        <w:t xml:space="preserve"> </w:t>
      </w:r>
      <w:r>
        <w:rPr>
          <w:b/>
          <w:bCs/>
          <w:rtl/>
        </w:rPr>
        <w:t>בן י"ה.</w:t>
      </w:r>
      <w:r>
        <w:rPr>
          <w:rtl/>
        </w:rPr>
        <w:t xml:space="preserve"> רוצה לומר שבינה נקראת בינה - על שמו, בן י"ה, והוא הדעת דנטיל תלת נהורין - בן וי"ה, וכמו שאומר באדרא זוטא רצ"ב ב' ואינון תרין ואינון תלת:</w:t>
      </w:r>
    </w:p>
  </w:footnote>
  <w:footnote w:id="3852">
    <w:p w:rsidR="00A13282" w:rsidRDefault="00A13282" w:rsidP="00B17EA9">
      <w:pPr>
        <w:pStyle w:val="a5"/>
      </w:pPr>
      <w:r>
        <w:rPr>
          <w:rStyle w:val="a7"/>
        </w:rPr>
        <w:footnoteRef/>
      </w:r>
      <w:r>
        <w:t xml:space="preserve"> </w:t>
      </w:r>
      <w:r>
        <w:rPr>
          <w:b/>
          <w:bCs/>
          <w:rtl/>
        </w:rPr>
        <w:t xml:space="preserve">דא פקודא קדמאה. </w:t>
      </w:r>
      <w:r>
        <w:rPr>
          <w:rtl/>
        </w:rPr>
        <w:t>רוצה לומר דא היא אלקים דפקודא קדמאה, יראת ה' שהיא אלקים דכלילא מהויה וזהו יראת ה':</w:t>
      </w:r>
    </w:p>
  </w:footnote>
  <w:footnote w:id="3853">
    <w:p w:rsidR="00A13282" w:rsidRDefault="00A13282" w:rsidP="00B17EA9">
      <w:pPr>
        <w:pStyle w:val="a5"/>
      </w:pPr>
      <w:r>
        <w:rPr>
          <w:rStyle w:val="a7"/>
        </w:rPr>
        <w:footnoteRef/>
      </w:r>
      <w:r>
        <w:t xml:space="preserve"> </w:t>
      </w:r>
      <w:r>
        <w:rPr>
          <w:rtl/>
        </w:rPr>
        <w:t xml:space="preserve"> </w:t>
      </w:r>
      <w:r>
        <w:rPr>
          <w:b/>
          <w:bCs/>
          <w:rtl/>
        </w:rPr>
        <w:t xml:space="preserve">ודא ה' זעירא דאיהי כו'. </w:t>
      </w:r>
      <w:r>
        <w:rPr>
          <w:rtl/>
        </w:rPr>
        <w:t>רוצה לומר שגם ה' בתראה מרומז באלקים וכמו שאומר לקמן בריש תיקון ל"ח:</w:t>
      </w:r>
    </w:p>
  </w:footnote>
  <w:footnote w:id="3854">
    <w:p w:rsidR="00A13282" w:rsidRDefault="00A13282" w:rsidP="00B17EA9">
      <w:pPr>
        <w:pStyle w:val="a5"/>
      </w:pPr>
      <w:r>
        <w:rPr>
          <w:rStyle w:val="a7"/>
        </w:rPr>
        <w:footnoteRef/>
      </w:r>
      <w:r>
        <w:t xml:space="preserve"> </w:t>
      </w:r>
      <w:r>
        <w:rPr>
          <w:rtl/>
        </w:rPr>
        <w:t xml:space="preserve"> </w:t>
      </w:r>
      <w:r>
        <w:rPr>
          <w:b/>
          <w:bCs/>
          <w:rtl/>
        </w:rPr>
        <w:t>איהי קקו"י.</w:t>
      </w:r>
      <w:r>
        <w:rPr>
          <w:rtl/>
        </w:rPr>
        <w:t xml:space="preserve"> רוצה לומר (דסדר של הוי"ה כאן - ה' בימינא ואח"כ יו"ד בשמאלא ואח"כ ו' מלא מתרווייהו ואח"כ ה' בתראה) דאיהי אתמליא מתלת נהורין, שהן ימינא ואמצעיתא ושמאלא, תרין נהורין דאו"א ודעמודא דאמצעיתא באמצע, והיא מקבלת מכולם באחרונה, ויש שהיא בראשונה לפי שהוא בחינת נוק' דקדים לדכורא, ותלת אתוון הנ"ל - הכל דדכורא כידוע:</w:t>
      </w:r>
    </w:p>
  </w:footnote>
  <w:footnote w:id="3855">
    <w:p w:rsidR="00A13282" w:rsidRDefault="00A13282" w:rsidP="00B17EA9">
      <w:pPr>
        <w:pStyle w:val="a5"/>
      </w:pPr>
      <w:r>
        <w:rPr>
          <w:rStyle w:val="a7"/>
        </w:rPr>
        <w:footnoteRef/>
      </w:r>
      <w:r>
        <w:t xml:space="preserve"> </w:t>
      </w:r>
      <w:r>
        <w:rPr>
          <w:b/>
          <w:bCs/>
          <w:rtl/>
        </w:rPr>
        <w:t>ובה מתחילין כו'.</w:t>
      </w:r>
      <w:r>
        <w:rPr>
          <w:rtl/>
        </w:rPr>
        <w:t xml:space="preserve"> כמו שמפרש והולך דד' מרמז על ה' זעירא, והן כסדר בא"ב כמו שמפרש והולך אלא ד' כו' (וזה שאומר למעלה דלעילא היא ההו"י):</w:t>
      </w:r>
    </w:p>
  </w:footnote>
  <w:footnote w:id="3856">
    <w:p w:rsidR="00A13282" w:rsidRDefault="00A13282" w:rsidP="00B17EA9">
      <w:pPr>
        <w:pStyle w:val="a5"/>
      </w:pPr>
      <w:r>
        <w:rPr>
          <w:rStyle w:val="a7"/>
        </w:rPr>
        <w:footnoteRef/>
      </w:r>
      <w:r>
        <w:t xml:space="preserve"> </w:t>
      </w:r>
      <w:r>
        <w:rPr>
          <w:b/>
          <w:bCs/>
          <w:rtl/>
        </w:rPr>
        <w:t>אלא מאן גרים.</w:t>
      </w:r>
      <w:r>
        <w:rPr>
          <w:rtl/>
        </w:rPr>
        <w:t xml:space="preserve"> רוצה לומר למהוי ד', ומשני דפרח כו':</w:t>
      </w:r>
    </w:p>
  </w:footnote>
  <w:footnote w:id="3857">
    <w:p w:rsidR="00A13282" w:rsidRDefault="00A13282" w:rsidP="00B17EA9">
      <w:pPr>
        <w:pStyle w:val="a5"/>
      </w:pPr>
      <w:r>
        <w:rPr>
          <w:rStyle w:val="a7"/>
        </w:rPr>
        <w:footnoteRef/>
      </w:r>
      <w:r>
        <w:t xml:space="preserve"> </w:t>
      </w:r>
      <w:r>
        <w:rPr>
          <w:b/>
          <w:bCs/>
          <w:rtl/>
        </w:rPr>
        <w:t>שנאמר נתנני כו'.</w:t>
      </w:r>
      <w:r>
        <w:rPr>
          <w:rtl/>
        </w:rPr>
        <w:t xml:space="preserve"> שבניינה מג' קוין, נה"י, כמו שכתוב שלשה עדרי כו', ובזמן הבית קיימא על ב' כרובים וכפורת, והן (אבות א ב) שלשה דברים שהעולם כו', והשתא קיימא על חד סמכא, כרוב חד דאשתאר בהדא והיא גמילות חסדים כמאמר רבן יוחנן בן זכאי, והוא נצח דאמרינן (ערובין נד ע"א) כל מקום שנאמר נצח אין לו הפסק כו', והיא בת ד’ ספירות לבד כי נה"י כל אחד מג', ומלכות - נקודתה - משלמת לעשר, וכשחוזר הוד ויסוד נעשית ה', ד"ו, ו' של ב' ספירות הנ"ל בת עשר, והענין, שהוא בנצח ואיהי בהוד, אלא שבה הוא בהיפוך, לכן בהסתלקות הוד ממנה, שהוא בעלה תמן, ויסוד הוא המזווגן לנו"ה, זו"נ חסר גם הוא בחסרון הנצח שהוא הוד וזהו חסרון וא"ו שהוא בעלה, וכמו שאמרו ד"ו פרצופים שהוא זו"נ בה"א, וכמו שאומר בספרא דצניעותא פ"ד ה"א ד' הות כו', ובזהר פרשת משפטים בסבא, יהודה ד"ה כו', וזהו תיבת הוד דמורה על שלימות דידה, ד' - עיקר בניינה, ו' - על חזרת ו' לגבה, וכד נתמלאת ממנה כמו שאומר בספרא דצניעותא ונעשית ה' (ד' בנצח, ו' בהוד דחזר לגבה ושם עמידת בעלה וכולל ליסוד, וה' ביסוד שהוא חיבור ד"ו, והכל תלוי בחזרת הוד שלכן כלול כל ג' אתוון בהוד):</w:t>
      </w:r>
    </w:p>
  </w:footnote>
  <w:footnote w:id="3858">
    <w:p w:rsidR="00A13282" w:rsidRDefault="00A13282" w:rsidP="00B17EA9">
      <w:pPr>
        <w:pStyle w:val="a5"/>
      </w:pPr>
      <w:r>
        <w:rPr>
          <w:rStyle w:val="a7"/>
        </w:rPr>
        <w:footnoteRef/>
      </w:r>
      <w:r>
        <w:t xml:space="preserve"> </w:t>
      </w:r>
      <w:r>
        <w:rPr>
          <w:b/>
          <w:bCs/>
          <w:rtl/>
        </w:rPr>
        <w:t xml:space="preserve">כל היום דוה. </w:t>
      </w:r>
      <w:r>
        <w:rPr>
          <w:rtl/>
        </w:rPr>
        <w:t>דאתהפך הו"ד, וכל היום כמו שאמרו (זהר רעיא מהימנא רמג ע"א) באלף חמישאה דהוא הוד, והוד מתחלת בה"א לרמוז על שלימותה, ודוה להיפך:</w:t>
      </w:r>
    </w:p>
  </w:footnote>
  <w:footnote w:id="3859">
    <w:p w:rsidR="00A13282" w:rsidRDefault="00A13282" w:rsidP="00B17EA9">
      <w:pPr>
        <w:pStyle w:val="a5"/>
      </w:pPr>
      <w:r>
        <w:rPr>
          <w:rStyle w:val="a7"/>
        </w:rPr>
        <w:footnoteRef/>
      </w:r>
      <w:r>
        <w:t xml:space="preserve"> </w:t>
      </w:r>
      <w:r>
        <w:rPr>
          <w:b/>
          <w:bCs/>
          <w:rtl/>
        </w:rPr>
        <w:t>דעליה איתמר ותקע כו'.</w:t>
      </w:r>
      <w:r>
        <w:rPr>
          <w:rtl/>
        </w:rPr>
        <w:t xml:space="preserve"> אע"ג דבזהר פרשת בראשית אמר על נצח, כבר כתבתי שהוא הוד דילה, וזה שאומר ודא אתייהב למשה אע"ג דמשה הוא בנצח (ועיין ברעיא מהימנא פ' פנחס רמ"ג א'):</w:t>
      </w:r>
    </w:p>
  </w:footnote>
  <w:footnote w:id="3860">
    <w:p w:rsidR="00A13282" w:rsidRDefault="00A13282" w:rsidP="00B17EA9">
      <w:pPr>
        <w:pStyle w:val="a5"/>
      </w:pPr>
      <w:r>
        <w:rPr>
          <w:rStyle w:val="a7"/>
        </w:rPr>
        <w:footnoteRef/>
      </w:r>
      <w:r>
        <w:t xml:space="preserve"> </w:t>
      </w:r>
      <w:r>
        <w:rPr>
          <w:b/>
          <w:bCs/>
          <w:rtl/>
        </w:rPr>
        <w:t>אשתמודע דמימינא כו'.</w:t>
      </w:r>
      <w:r>
        <w:rPr>
          <w:rtl/>
        </w:rPr>
        <w:t xml:space="preserve"> ורוצה לומר זה שאומר דבהסתלקות ההוד ונשארת בנצח - נקראת ד', שהוא ספירה הרביעית מהבנין, עולם חסד יבנה, אבל בחזרת הוד נקראת - ה', ספירה ה', ויסוד נקרא ו', ועל שם זה נקראת הוד כנ"ל שכלול ג' ספירות אלו:</w:t>
      </w:r>
    </w:p>
  </w:footnote>
  <w:footnote w:id="3861">
    <w:p w:rsidR="00A13282" w:rsidRDefault="00A13282" w:rsidP="00B17EA9">
      <w:pPr>
        <w:pStyle w:val="a5"/>
      </w:pPr>
      <w:r>
        <w:rPr>
          <w:rStyle w:val="a7"/>
        </w:rPr>
        <w:footnoteRef/>
      </w:r>
      <w:r>
        <w:t xml:space="preserve"> </w:t>
      </w:r>
      <w:r>
        <w:rPr>
          <w:b/>
          <w:bCs/>
          <w:rtl/>
        </w:rPr>
        <w:t>ודא איהו כו'.</w:t>
      </w:r>
      <w:r>
        <w:rPr>
          <w:rtl/>
        </w:rPr>
        <w:t xml:space="preserve"> דהוא בעלה דשכינתא, והוא אשלים ה' תתאה, כמו שאומר לקמן בתיקון ס”ט ושאר מקומות דאבות אשלימו יה"ו, והוא - ה' תתאה:</w:t>
      </w:r>
    </w:p>
  </w:footnote>
  <w:footnote w:id="3862">
    <w:p w:rsidR="00A13282" w:rsidRDefault="00A13282" w:rsidP="00B17EA9">
      <w:pPr>
        <w:pStyle w:val="a5"/>
        <w:rPr>
          <w:rtl/>
        </w:rPr>
      </w:pPr>
      <w:r>
        <w:rPr>
          <w:rStyle w:val="a7"/>
        </w:rPr>
        <w:footnoteRef/>
      </w:r>
      <w:r>
        <w:t xml:space="preserve"> </w:t>
      </w:r>
      <w:r>
        <w:rPr>
          <w:b/>
          <w:bCs/>
          <w:rtl/>
        </w:rPr>
        <w:t>דאוקמוה ונתן הוד למשה שנאמ' ונתתה מהודך עליו.</w:t>
      </w:r>
      <w:r>
        <w:rPr>
          <w:rtl/>
        </w:rPr>
        <w:t xml:space="preserve"> כן צריך לומר, וכן הוא ברעיא מהימנא פ' פנחס רכ"ג ב':</w:t>
      </w:r>
    </w:p>
    <w:p w:rsidR="00A13282" w:rsidRDefault="00A13282" w:rsidP="00B17EA9">
      <w:pPr>
        <w:pStyle w:val="a5"/>
      </w:pPr>
    </w:p>
  </w:footnote>
  <w:footnote w:id="3863">
    <w:p w:rsidR="00A13282" w:rsidRDefault="00A13282" w:rsidP="00B17EA9">
      <w:pPr>
        <w:pStyle w:val="a5"/>
      </w:pPr>
      <w:r>
        <w:rPr>
          <w:rStyle w:val="a7"/>
        </w:rPr>
        <w:footnoteRef/>
      </w:r>
      <w:r>
        <w:t xml:space="preserve"> </w:t>
      </w:r>
      <w:r>
        <w:rPr>
          <w:b/>
          <w:bCs/>
          <w:rtl/>
        </w:rPr>
        <w:t>תיקון ל"ז ברית איהי ודאי כד כו'.</w:t>
      </w:r>
      <w:r>
        <w:rPr>
          <w:rtl/>
        </w:rPr>
        <w:t xml:space="preserve"> והוא תיקון אחד עם הקודם. ולמעלה מפרש ההיא נקודה שנקראת שבת, וצריך דחילו תמן, וכאן מפרש השנית - ברית. ואמר כד כו', ששניהם קאי על הנקודה שנאמר תיראו כנ"ל:</w:t>
      </w:r>
    </w:p>
  </w:footnote>
  <w:footnote w:id="3864">
    <w:p w:rsidR="00A13282" w:rsidRDefault="00A13282" w:rsidP="00B17EA9">
      <w:pPr>
        <w:pStyle w:val="a5"/>
      </w:pPr>
      <w:r>
        <w:rPr>
          <w:rStyle w:val="a7"/>
        </w:rPr>
        <w:footnoteRef/>
      </w:r>
      <w:r>
        <w:t xml:space="preserve"> </w:t>
      </w:r>
      <w:r>
        <w:rPr>
          <w:b/>
          <w:bCs/>
          <w:rtl/>
        </w:rPr>
        <w:t>כד איהו כו' צריך כו'.</w:t>
      </w:r>
      <w:r>
        <w:rPr>
          <w:rtl/>
        </w:rPr>
        <w:t xml:space="preserve"> ורוצה לומר, שלכך נכלל והארץ היתה כו' - בשביל הראשון שהוא יראה. ויאמר כו' - מתחיל פקודא דאהבה:</w:t>
      </w:r>
    </w:p>
  </w:footnote>
  <w:footnote w:id="3865">
    <w:p w:rsidR="00A13282" w:rsidRDefault="00A13282" w:rsidP="00B17EA9">
      <w:pPr>
        <w:pStyle w:val="a5"/>
      </w:pPr>
      <w:r>
        <w:rPr>
          <w:rStyle w:val="a7"/>
        </w:rPr>
        <w:footnoteRef/>
      </w:r>
      <w:r>
        <w:t xml:space="preserve"> </w:t>
      </w:r>
      <w:r>
        <w:rPr>
          <w:b/>
          <w:bCs/>
          <w:rtl/>
        </w:rPr>
        <w:t>ועלייהו כו'.</w:t>
      </w:r>
      <w:r>
        <w:rPr>
          <w:rtl/>
        </w:rPr>
        <w:t xml:space="preserve"> שהן ס"ם ונחש כמו שאומר בתיקון ל”ב והן ערלה ופריעה כמו שמפרש והולך:</w:t>
      </w:r>
    </w:p>
  </w:footnote>
  <w:footnote w:id="3866">
    <w:p w:rsidR="00A13282" w:rsidRDefault="00A13282" w:rsidP="00B17EA9">
      <w:pPr>
        <w:pStyle w:val="a5"/>
      </w:pPr>
      <w:r>
        <w:rPr>
          <w:rStyle w:val="a7"/>
        </w:rPr>
        <w:footnoteRef/>
      </w:r>
      <w:r>
        <w:t xml:space="preserve"> </w:t>
      </w:r>
      <w:r>
        <w:rPr>
          <w:b/>
          <w:bCs/>
          <w:rtl/>
        </w:rPr>
        <w:t>והאי את כו'.</w:t>
      </w:r>
      <w:r>
        <w:rPr>
          <w:rtl/>
        </w:rPr>
        <w:t xml:space="preserve"> רוצה לומר, ובשביל זה מיוחד זה לישראל משום דלית אות ברית עד כו', והן אלהים אחרים שעובדים העובדי כוכבים, ואי אפשר להתגלות בהם, וזה שאמרו (משנה נדרים ג יא) דעובד כוכבים אפילו נימול הוא ערל:</w:t>
      </w:r>
    </w:p>
  </w:footnote>
  <w:footnote w:id="3867">
    <w:p w:rsidR="00A13282" w:rsidRDefault="00A13282" w:rsidP="00B17EA9">
      <w:pPr>
        <w:pStyle w:val="a5"/>
      </w:pPr>
      <w:r>
        <w:rPr>
          <w:rStyle w:val="a7"/>
        </w:rPr>
        <w:footnoteRef/>
      </w:r>
      <w:r>
        <w:t xml:space="preserve"> </w:t>
      </w:r>
      <w:r>
        <w:rPr>
          <w:b/>
          <w:bCs/>
          <w:rtl/>
        </w:rPr>
        <w:t>דאינון ערלה כו'.</w:t>
      </w:r>
      <w:r>
        <w:rPr>
          <w:rtl/>
        </w:rPr>
        <w:t xml:space="preserve"> הן ב' קליפין הנ"ל, ואטיפו שייך לפריעה כמו שאומר לקמן, ולכן אמר באטיפו ולא קאמר ואטיפו:</w:t>
      </w:r>
    </w:p>
  </w:footnote>
  <w:footnote w:id="3868">
    <w:p w:rsidR="00A13282" w:rsidRDefault="00A13282" w:rsidP="00B17EA9">
      <w:pPr>
        <w:pStyle w:val="a5"/>
      </w:pPr>
      <w:r>
        <w:rPr>
          <w:rStyle w:val="a7"/>
        </w:rPr>
        <w:footnoteRef/>
      </w:r>
      <w:r>
        <w:t xml:space="preserve"> </w:t>
      </w:r>
      <w:r>
        <w:rPr>
          <w:b/>
          <w:bCs/>
          <w:rtl/>
        </w:rPr>
        <w:t>תלת קליפין כו'.</w:t>
      </w:r>
      <w:r>
        <w:rPr>
          <w:rtl/>
        </w:rPr>
        <w:t xml:space="preserve"> רוצה לומר, בערלה לבדו יש ג' קליפין זה על זה כגלדי בצלים, והוא (ויקרא יט כג) שלש שנים יהיה לכם ערלים, וצריך לאבד אותם אבל שנה הרביעית שהוא פריעה אין צריך לחתוך ולאבד אלא להפריש ושתכלל בבשר, והן ד' קליפין - רוח סערה כו' ונוגה לו סביב, ועיין מה שכתבתי להלן, ועיין לעיל יו"ד ב':</w:t>
      </w:r>
    </w:p>
  </w:footnote>
  <w:footnote w:id="3869">
    <w:p w:rsidR="00A13282" w:rsidRDefault="00A13282" w:rsidP="00B17EA9">
      <w:pPr>
        <w:pStyle w:val="a5"/>
      </w:pPr>
      <w:r>
        <w:rPr>
          <w:rStyle w:val="a7"/>
        </w:rPr>
        <w:footnoteRef/>
      </w:r>
      <w:r>
        <w:t xml:space="preserve"> </w:t>
      </w:r>
      <w:r>
        <w:rPr>
          <w:b/>
          <w:bCs/>
          <w:rtl/>
        </w:rPr>
        <w:t>תהו קו ירוק כו'.</w:t>
      </w:r>
      <w:r>
        <w:rPr>
          <w:rtl/>
        </w:rPr>
        <w:t xml:space="preserve"> והן ג' קליפין דאגוזא:</w:t>
      </w:r>
    </w:p>
  </w:footnote>
  <w:footnote w:id="3870">
    <w:p w:rsidR="00A13282" w:rsidRDefault="00A13282" w:rsidP="00B17EA9">
      <w:pPr>
        <w:pStyle w:val="a5"/>
      </w:pPr>
      <w:r>
        <w:rPr>
          <w:rStyle w:val="a7"/>
        </w:rPr>
        <w:footnoteRef/>
      </w:r>
      <w:r>
        <w:t xml:space="preserve"> </w:t>
      </w:r>
      <w:r>
        <w:rPr>
          <w:b/>
          <w:bCs/>
          <w:rtl/>
        </w:rPr>
        <w:t>לקבל תלת כו'.</w:t>
      </w:r>
      <w:r>
        <w:rPr>
          <w:rtl/>
        </w:rPr>
        <w:t xml:space="preserve"> כמו שאמרו (ברכות יב ע"ב) ואחרי עיניכם זה זנות שנאמר אותה קח כו', וכן ג' גוונין דקשת שהן באות ברית דקשת, וכן הקשת נגד העין כמו שכתוב (בראשית ט טז) וראיתיה כו':</w:t>
      </w:r>
    </w:p>
  </w:footnote>
  <w:footnote w:id="3871">
    <w:p w:rsidR="00A13282" w:rsidRDefault="00A13282" w:rsidP="00B17EA9">
      <w:pPr>
        <w:pStyle w:val="a5"/>
      </w:pPr>
      <w:r>
        <w:rPr>
          <w:rStyle w:val="a7"/>
        </w:rPr>
        <w:footnoteRef/>
      </w:r>
      <w:r>
        <w:t xml:space="preserve"> </w:t>
      </w:r>
      <w:r>
        <w:rPr>
          <w:b/>
          <w:bCs/>
          <w:rtl/>
        </w:rPr>
        <w:t>אימתי לבתר כו'.</w:t>
      </w:r>
      <w:r>
        <w:rPr>
          <w:rtl/>
        </w:rPr>
        <w:t xml:space="preserve"> דעתה ג' גוונין דילה מתלבשין בג' קליפין ולכן אינון חשוכין וכמו שמפרש והולך ובזמנא דאיהי מלבשא כו' וכמו שאומר למטה עד דתחזי קשת בגוונוי נהירין:</w:t>
      </w:r>
    </w:p>
  </w:footnote>
  <w:footnote w:id="3872">
    <w:p w:rsidR="00A13282" w:rsidRDefault="00A13282" w:rsidP="00B17EA9">
      <w:pPr>
        <w:pStyle w:val="a5"/>
      </w:pPr>
      <w:r>
        <w:rPr>
          <w:rStyle w:val="a7"/>
        </w:rPr>
        <w:footnoteRef/>
      </w:r>
      <w:r>
        <w:t xml:space="preserve"> </w:t>
      </w:r>
      <w:r>
        <w:rPr>
          <w:b/>
          <w:bCs/>
          <w:rtl/>
        </w:rPr>
        <w:t>אל תראוני כו'.</w:t>
      </w:r>
      <w:r>
        <w:rPr>
          <w:rtl/>
        </w:rPr>
        <w:t xml:space="preserve"> ולכן אסור להסתכל בקשת, וזה שאמרו (חגיגה טז ע"א) כל שלא חס כו' זה המסתכל בקשת משום דהיא מתחללת כמו שמפרש והולך:</w:t>
      </w:r>
    </w:p>
  </w:footnote>
  <w:footnote w:id="3873">
    <w:p w:rsidR="00A13282" w:rsidRDefault="00A13282" w:rsidP="00B17EA9">
      <w:pPr>
        <w:pStyle w:val="a5"/>
      </w:pPr>
      <w:r>
        <w:rPr>
          <w:rStyle w:val="a7"/>
        </w:rPr>
        <w:footnoteRef/>
      </w:r>
      <w:r>
        <w:t xml:space="preserve"> </w:t>
      </w:r>
      <w:r>
        <w:rPr>
          <w:b/>
          <w:bCs/>
          <w:rtl/>
        </w:rPr>
        <w:t>ובג"ד מחלליה כו'.</w:t>
      </w:r>
      <w:r>
        <w:rPr>
          <w:rtl/>
        </w:rPr>
        <w:t xml:space="preserve"> מי שמכניס אותה בקליפין אלו:</w:t>
      </w:r>
    </w:p>
  </w:footnote>
  <w:footnote w:id="3874">
    <w:p w:rsidR="00A13282" w:rsidRDefault="00A13282" w:rsidP="00B17EA9">
      <w:pPr>
        <w:pStyle w:val="a5"/>
      </w:pPr>
      <w:r>
        <w:rPr>
          <w:rStyle w:val="a7"/>
        </w:rPr>
        <w:footnoteRef/>
      </w:r>
      <w:r>
        <w:t xml:space="preserve"> </w:t>
      </w:r>
      <w:r>
        <w:rPr>
          <w:b/>
          <w:bCs/>
          <w:rtl/>
        </w:rPr>
        <w:t>תהום איהו כו'.</w:t>
      </w:r>
      <w:r>
        <w:rPr>
          <w:rtl/>
        </w:rPr>
        <w:t xml:space="preserve"> והוא קליפה רביעית, ואלו ג' הנ"ל הן דכורא דס"א, שהן נגד ג' אותיות השם יה"ו שהן בז"א, וזאת - היא נוק', נגד ה' תתאה, רגליה יורדות כו', וזהו המות, וזה שאומר לגביה כו':</w:t>
      </w:r>
    </w:p>
  </w:footnote>
  <w:footnote w:id="3875">
    <w:p w:rsidR="00A13282" w:rsidRDefault="00A13282" w:rsidP="00B17EA9">
      <w:pPr>
        <w:pStyle w:val="a5"/>
      </w:pPr>
      <w:r>
        <w:rPr>
          <w:rStyle w:val="a7"/>
        </w:rPr>
        <w:footnoteRef/>
      </w:r>
      <w:r>
        <w:t xml:space="preserve"> </w:t>
      </w:r>
      <w:r>
        <w:rPr>
          <w:b/>
          <w:bCs/>
          <w:rtl/>
        </w:rPr>
        <w:t>לההוא דאתמר ביה כו'.</w:t>
      </w:r>
      <w:r>
        <w:rPr>
          <w:rtl/>
        </w:rPr>
        <w:t xml:space="preserve"> רוצה לומר שהשכינה תתגלה למשה רבינו עליו השלום שהוא גם כן יהיה גואל האחרון כמו שכתוב מ'ה ש'היה ה'וא שיהיה וכמו שמפרש והולך כימי צאתך כו', וכמו שנתגלה אות ברית בימיו שנאמר וזה לך האות ולכן נעשו אותות ומופתים וכן יהיה לעתיד לבא. ואמר לך האות שאין האשה מגלה עצמה אלא לבעלה, ולכן נעשו האותות דוקא על ידו וכמו שאמרו (שמות רבה ג) אם אין אתה גואלם אין אחר גואלם, ולכן פתח השם יתברך באלקי אברהם ויצחק ויעקב שהן ג' גוונין נהירין, ואמר אלקי העברים הוא התגלות האות בפריעה כמו שאומר בזהר פרשת ואתחנן רס"ב ב' ת"ח כמה דאית כו' ד' מנלן דכתיב כו':</w:t>
      </w:r>
    </w:p>
  </w:footnote>
  <w:footnote w:id="3876">
    <w:p w:rsidR="00A13282" w:rsidRDefault="00A13282" w:rsidP="00B17EA9">
      <w:pPr>
        <w:pStyle w:val="a5"/>
      </w:pPr>
      <w:r>
        <w:rPr>
          <w:rStyle w:val="a7"/>
        </w:rPr>
        <w:footnoteRef/>
      </w:r>
      <w:r>
        <w:t xml:space="preserve"> </w:t>
      </w:r>
      <w:r>
        <w:rPr>
          <w:b/>
          <w:bCs/>
          <w:rtl/>
        </w:rPr>
        <w:t>מאי אות אלא כו'.</w:t>
      </w:r>
      <w:r>
        <w:rPr>
          <w:rtl/>
        </w:rPr>
        <w:t xml:space="preserve"> רוצה לומר שיתגלה כוכב חדש כמו שאומר בריש פרשת שמות, וכוכב הוא צורת יו"ד שהוא אות:</w:t>
      </w:r>
    </w:p>
  </w:footnote>
  <w:footnote w:id="3877">
    <w:p w:rsidR="00A13282" w:rsidRDefault="00A13282" w:rsidP="00B17EA9">
      <w:pPr>
        <w:pStyle w:val="a5"/>
      </w:pPr>
      <w:r>
        <w:rPr>
          <w:rStyle w:val="a7"/>
        </w:rPr>
        <w:footnoteRef/>
      </w:r>
      <w:r>
        <w:t xml:space="preserve"> </w:t>
      </w:r>
      <w:r>
        <w:rPr>
          <w:b/>
          <w:bCs/>
          <w:rtl/>
        </w:rPr>
        <w:t>אות ברית.</w:t>
      </w:r>
      <w:r>
        <w:rPr>
          <w:rtl/>
        </w:rPr>
        <w:t xml:space="preserve"> והוא נוק', וזה שאומר מיעקב שהוא נוק', ומיד וקם כו' - דכורא בעלה דשכינתא וזה שאומר מישראל. ושבט הוא וא"ו, דכורא:</w:t>
      </w:r>
    </w:p>
  </w:footnote>
  <w:footnote w:id="3878">
    <w:p w:rsidR="00A13282" w:rsidRDefault="00A13282" w:rsidP="00B17EA9">
      <w:pPr>
        <w:pStyle w:val="a5"/>
      </w:pPr>
      <w:r>
        <w:rPr>
          <w:rStyle w:val="a7"/>
        </w:rPr>
        <w:footnoteRef/>
      </w:r>
      <w:r>
        <w:t xml:space="preserve"> </w:t>
      </w:r>
      <w:r>
        <w:rPr>
          <w:b/>
          <w:bCs/>
          <w:rtl/>
        </w:rPr>
        <w:t>ויהי בישרון מלך.</w:t>
      </w:r>
      <w:r>
        <w:rPr>
          <w:rtl/>
        </w:rPr>
        <w:t xml:space="preserve"> וזהו ראיה דעליה קאי שבט מושל, וישרון הוא ישראל, וכתיב בהתאסף כו', בקיבוץ גליות:</w:t>
      </w:r>
    </w:p>
  </w:footnote>
  <w:footnote w:id="3879">
    <w:p w:rsidR="00A13282" w:rsidRDefault="00A13282" w:rsidP="00B17EA9">
      <w:pPr>
        <w:pStyle w:val="a5"/>
      </w:pPr>
      <w:r>
        <w:rPr>
          <w:rStyle w:val="a7"/>
        </w:rPr>
        <w:footnoteRef/>
      </w:r>
      <w:r>
        <w:t xml:space="preserve"> </w:t>
      </w:r>
      <w:r>
        <w:rPr>
          <w:b/>
          <w:bCs/>
          <w:rtl/>
        </w:rPr>
        <w:t>דערלה כו'.</w:t>
      </w:r>
      <w:r>
        <w:rPr>
          <w:rtl/>
        </w:rPr>
        <w:t xml:space="preserve"> נוק', נחש, ולכן עפר לחמו סוד עפר שבנוק':</w:t>
      </w:r>
    </w:p>
  </w:footnote>
  <w:footnote w:id="3880">
    <w:p w:rsidR="00A13282" w:rsidRDefault="00A13282" w:rsidP="00B17EA9">
      <w:pPr>
        <w:pStyle w:val="a5"/>
      </w:pPr>
      <w:r>
        <w:rPr>
          <w:rStyle w:val="a7"/>
        </w:rPr>
        <w:footnoteRef/>
      </w:r>
      <w:r>
        <w:t xml:space="preserve"> </w:t>
      </w:r>
      <w:r>
        <w:rPr>
          <w:b/>
          <w:bCs/>
          <w:rtl/>
        </w:rPr>
        <w:t>מחבוט הקבר.</w:t>
      </w:r>
      <w:r>
        <w:rPr>
          <w:rtl/>
        </w:rPr>
        <w:t xml:space="preserve"> שהוא בעפר, וידוע שס"ם ונחש הן כבד וטחול, כעס ותאוה, מאדים ונוגה, זונה ורוצח, והיא מפתה והוא מרגיז כו', ולכן חיבוט הקבר בא על הנאות דהאי עלמא שהיא פיתויי זונה כמו שכתוב במשלי:</w:t>
      </w:r>
    </w:p>
  </w:footnote>
  <w:footnote w:id="3881">
    <w:p w:rsidR="00A13282" w:rsidRDefault="00A13282" w:rsidP="00B17EA9">
      <w:pPr>
        <w:pStyle w:val="a5"/>
      </w:pPr>
      <w:r>
        <w:rPr>
          <w:rStyle w:val="a7"/>
        </w:rPr>
        <w:footnoteRef/>
      </w:r>
      <w:r>
        <w:t xml:space="preserve"> </w:t>
      </w:r>
      <w:r>
        <w:rPr>
          <w:b/>
          <w:bCs/>
          <w:rtl/>
        </w:rPr>
        <w:t>ודמא כו'.</w:t>
      </w:r>
      <w:r>
        <w:rPr>
          <w:rtl/>
        </w:rPr>
        <w:t xml:space="preserve"> והן שני דינין של ס"ם ונחש, והן שרי עשו (פירוש עמלק) וישמעאל דלא בעי לקבלא אורייתא משום ב' לאוין לא תרצח לא תנאף, וזה שאומר </w:t>
      </w:r>
      <w:r>
        <w:rPr>
          <w:b/>
          <w:bCs/>
          <w:rtl/>
        </w:rPr>
        <w:t>ולקבל אלין תרין כו'.</w:t>
      </w:r>
      <w:r>
        <w:rPr>
          <w:rtl/>
        </w:rPr>
        <w:t xml:space="preserve"> והן שני משמרות ראשונות (ברכות ג ע"א), ראשונה - חמור נוער הוא מסטרא דימינא, חמור, פה עם החמור, ואז (איוב כד טו) עין נואף שמרה נשף, שהוא תחלת הערב קודם זמן שינה, אבל שניה - כלבים צועקים, שאז הולכין הגנבים ורצחנים בזמן השינה, ותליתאה לקבל יעקב שמטתו שלימה - תינוק כו'. ואף שאמרתי למעלה דג' קליפין דערלה בדכורא, וד' - פריעה בנוק', וכאן אמר להיפך, הענין, כמו שאומר בזהר חדש פ' יתרו כ"ט א' ההוא עבד מה עבד אזיל כו' לילית פתי לאדם כו' וכגוונא דא אתלבן אדם כו' לבתר אתגלגל ביצחק בת זוגיה דאדם כו', וזה שיצא ישמעאל, נחש - מאברהם דכורא, ועשו (פירוש עמלק), רוצח - מיצחק נוק', וטעות סופר שם בזהר חדש וכן הוא הענין, כי ישמעאל הוא זוהמת הנחש שהטיל באדם, ועשו הוא זוהמת הס"ם שהטיל בחוה, וערלה הוא ישמעאל ומכל מקום כיון שיצא מאדם ואברהם - נקרא דכורא וג' קליפין בו כנ"ל, ועשו - פריעה והוא להיפך. וזה שאומר </w:t>
      </w:r>
      <w:r>
        <w:rPr>
          <w:b/>
          <w:bCs/>
          <w:rtl/>
        </w:rPr>
        <w:t>לקבל פריעה איהו עון.</w:t>
      </w:r>
      <w:r>
        <w:rPr>
          <w:rtl/>
        </w:rPr>
        <w:t xml:space="preserve"> והוא נוק' דמפתי לעשות העון, אשת זנונים:</w:t>
      </w:r>
    </w:p>
  </w:footnote>
  <w:footnote w:id="3882">
    <w:p w:rsidR="00A13282" w:rsidRDefault="00A13282" w:rsidP="00B17EA9">
      <w:pPr>
        <w:pStyle w:val="a5"/>
      </w:pPr>
      <w:r>
        <w:rPr>
          <w:rStyle w:val="a7"/>
        </w:rPr>
        <w:footnoteRef/>
      </w:r>
      <w:r>
        <w:t xml:space="preserve"> </w:t>
      </w:r>
      <w:r>
        <w:rPr>
          <w:b/>
          <w:bCs/>
          <w:rtl/>
        </w:rPr>
        <w:t>ותלת קליפין דערלה אינון משחית כו'.</w:t>
      </w:r>
      <w:r>
        <w:rPr>
          <w:rtl/>
        </w:rPr>
        <w:t xml:space="preserve"> שהן הרוצחים, ג' קליפין דדכורא, והיינו כפי בחינה האחרת, והעון יכפר ויחזור לקדושה והיא שנה הרביעית, רבעי כנ"ל, אבל ג' האחרים יכלו, ולא ירעו ולא ישחיתו כו' (ישעיהו יא ט, סה כה), ולכן נאמר ולא כו', והענין כי בבחינת הקליפות בעצמם פריעה היא נוק', עון, אבל לתת מזונותם צריך לכל אחד לתת שלו, והוא פריעה-  לרוצח, שממנו יצא, וכן ערלה וכנ"ל (ובבחינת הקדושה פריעה בדכורא ומילה בנוק' כמו שאומר בזהר פרשת בראשית ל"ג א' ושאר מקומות ועיין לקמן פ"ו א' דאמר להיפך):</w:t>
      </w:r>
    </w:p>
  </w:footnote>
  <w:footnote w:id="3883">
    <w:p w:rsidR="00A13282" w:rsidRDefault="00A13282" w:rsidP="00B17EA9">
      <w:pPr>
        <w:pStyle w:val="a5"/>
      </w:pPr>
      <w:r>
        <w:rPr>
          <w:rStyle w:val="a7"/>
        </w:rPr>
        <w:footnoteRef/>
      </w:r>
      <w:r>
        <w:t xml:space="preserve"> </w:t>
      </w:r>
      <w:r>
        <w:rPr>
          <w:b/>
          <w:bCs/>
          <w:rtl/>
        </w:rPr>
        <w:t>הה"ד והמים כו'.</w:t>
      </w:r>
      <w:r>
        <w:rPr>
          <w:rtl/>
        </w:rPr>
        <w:t xml:space="preserve"> שהן מים הזידונים, מ"ד, שיצאו ממנו בס"א, והן עונש דור המבול על זנות, מים במים:</w:t>
      </w:r>
    </w:p>
  </w:footnote>
  <w:footnote w:id="3884">
    <w:p w:rsidR="00A13282" w:rsidRDefault="00A13282" w:rsidP="00B17EA9">
      <w:pPr>
        <w:pStyle w:val="a5"/>
      </w:pPr>
      <w:r>
        <w:rPr>
          <w:rStyle w:val="a7"/>
        </w:rPr>
        <w:footnoteRef/>
      </w:r>
      <w:r>
        <w:t xml:space="preserve"> </w:t>
      </w:r>
      <w:r>
        <w:rPr>
          <w:b/>
          <w:bCs/>
          <w:rtl/>
        </w:rPr>
        <w:t>ערלה ופריעה שמענא כו'.</w:t>
      </w:r>
      <w:r>
        <w:rPr>
          <w:rtl/>
        </w:rPr>
        <w:t xml:space="preserve"> עתה מפרש הפסוק גברו על הארץ - הארץ  ממש, והן רומי רבתי כו', שהן ימינא ושמאלא, שאור וחמץ, ועיין ברעיא מהימנא פ' פנחס רנ"ב א' בארוכה:</w:t>
      </w:r>
    </w:p>
  </w:footnote>
  <w:footnote w:id="3885">
    <w:p w:rsidR="00A13282" w:rsidRDefault="00A13282" w:rsidP="00B17EA9">
      <w:pPr>
        <w:pStyle w:val="a5"/>
      </w:pPr>
      <w:r>
        <w:rPr>
          <w:rStyle w:val="a7"/>
        </w:rPr>
        <w:footnoteRef/>
      </w:r>
      <w:r>
        <w:t xml:space="preserve"> </w:t>
      </w:r>
      <w:r>
        <w:rPr>
          <w:b/>
          <w:bCs/>
          <w:rtl/>
        </w:rPr>
        <w:t>דאיהי בת עין כו'.</w:t>
      </w:r>
      <w:r>
        <w:rPr>
          <w:rtl/>
        </w:rPr>
        <w:t xml:space="preserve"> עיין בזהר פרשת שלח קס"א ב' ויסיר ג' קליפין מעל ג' גוונוי עינא רומי רבתא ועוד רומי זעירתא מעל בת עין ואז תאיר הבת עין. וזה שכתוב יהי אור, שעד הנה היתה תהו ובהו, וכמו שכתוב (ירמיהו ד כג) ראיתי הארץ והנה תהו ובהו כו' ואל השמים ואין אורם, וזה שאומר דבזמנא דאלין קליפין כו' בזמנא דייתי כו' וכמו שכתוב ורוח אלקים כו' ואמרו (ילקוט שמעוני בראשית א ד) זו רוחו של משיח, אז, ויאמר כו' כמו שמפרש והולך:</w:t>
      </w:r>
    </w:p>
  </w:footnote>
  <w:footnote w:id="3886">
    <w:p w:rsidR="00A13282" w:rsidRDefault="00A13282" w:rsidP="00B17EA9">
      <w:pPr>
        <w:pStyle w:val="a5"/>
      </w:pPr>
      <w:r>
        <w:rPr>
          <w:rStyle w:val="a7"/>
        </w:rPr>
        <w:footnoteRef/>
      </w:r>
      <w:r>
        <w:t xml:space="preserve"> </w:t>
      </w:r>
      <w:r>
        <w:rPr>
          <w:b/>
          <w:bCs/>
          <w:rtl/>
        </w:rPr>
        <w:t>היה לא כו'.</w:t>
      </w:r>
      <w:r>
        <w:rPr>
          <w:rtl/>
        </w:rPr>
        <w:t xml:space="preserve"> שהיה לו לומר והיה אור:</w:t>
      </w:r>
    </w:p>
  </w:footnote>
  <w:footnote w:id="3887">
    <w:p w:rsidR="00A13282" w:rsidRDefault="00A13282" w:rsidP="00B17EA9">
      <w:pPr>
        <w:pStyle w:val="a5"/>
        <w:rPr>
          <w:rtl/>
        </w:rPr>
      </w:pPr>
      <w:r>
        <w:rPr>
          <w:rStyle w:val="a7"/>
        </w:rPr>
        <w:footnoteRef/>
      </w:r>
      <w:r>
        <w:t xml:space="preserve"> </w:t>
      </w:r>
      <w:r>
        <w:rPr>
          <w:b/>
          <w:bCs/>
          <w:rtl/>
        </w:rPr>
        <w:t>ביום ההוא כו'.</w:t>
      </w:r>
      <w:r>
        <w:rPr>
          <w:rtl/>
        </w:rPr>
        <w:t xml:space="preserve"> שהוא יחוד ערב ובקר, וזה שכתוב (זכריה יד ו) ביום ההוא לא יהיה יום כו', והיה כו':</w:t>
      </w:r>
    </w:p>
    <w:p w:rsidR="00A13282" w:rsidRDefault="00A13282" w:rsidP="00B17EA9">
      <w:pPr>
        <w:pStyle w:val="a5"/>
      </w:pPr>
    </w:p>
  </w:footnote>
  <w:footnote w:id="3888">
    <w:p w:rsidR="00A13282" w:rsidRDefault="00A13282" w:rsidP="00B17EA9">
      <w:pPr>
        <w:pStyle w:val="a5"/>
      </w:pPr>
      <w:r>
        <w:rPr>
          <w:rStyle w:val="a7"/>
        </w:rPr>
        <w:footnoteRef/>
      </w:r>
      <w:r>
        <w:t xml:space="preserve"> </w:t>
      </w:r>
      <w:r>
        <w:rPr>
          <w:b/>
          <w:bCs/>
          <w:rtl/>
        </w:rPr>
        <w:t>תיקון ל"ח בראשית כו'.</w:t>
      </w:r>
      <w:r>
        <w:rPr>
          <w:rtl/>
        </w:rPr>
        <w:t xml:space="preserve"> עיין מה שכתבתי לעיל בתיקון ל”ב דכאן דריש על פסוק ויאמר אלקים יהי אור - מאמר השני, וזה שאומר למטה וכד אתתקנת באלין לבושין מיד אתפתח היכלא לגבה הה"ד אדני שפתי תפתח, והוא מאמר השני כמו שאומר לעיל בתיקון ל”ב ע"ז א' אדהכי הא קלא תניינא הוה מתערי לגבי מארי מפתחין הא שכינתא קא אתיא למיעל להיכלא דילה אדנ"י שפתי תפתח כו', ושם ב' אדהכי הא קלא אשתמע ברומי רקיעין כו' דבההוא זמנא ונבאו בניכם ובנותיכם, וכמו שאומר לקמן בתיקון מ"ם, ואמר לקמן בההוא זמנא דמטרוניתא בעאת לאעלה בהיכלא דילה קלא סליק כו' - והוא מאמר הראשון, ומפרש והולך הכל במאמר הראשון, ואח"כ מפרש אותה בתיקון ל"ט בתיבת בראשית, ואח"כ בתיקון מ"ם מפרש קלא תניינא - פקודא דנבואה, וכאן מפרש פקודא דאהבה, וכמו שכתבתי שם בתיקון ל"ב ובתיקון ל’, וכן מפרש שם בתיקון למ"ד אחר פקודא דאהבה - ב' הקלין, וכן כאן כנ"ל. והענין, שבראשית אע"ג דגם הוא מאמר מכל מקום הוא סתום ולא נזכר בו מאמר, והענין כי מאמר הראשון והוא לוחות הראשונות נסתם ממנו ונשברו הלוחות ופרח ממנו עץ החיים, כמו שאומר בזהר פרשת בראשית וברעיא מהימנא, ולא יתגלו עד לעתיד שיתגלה שיל"ה, וכמו שאומרים והוא ישמיענו שנית כו', ואז ונבאו בניכם כו', וזה שאומר כאן בזמנא דהאי שושנה בגלותא היא אטימא, ודא שבירת הלוחות גרם לנו הגלות והוא אטום, ולכן מזכיר שני המאמרים יחד, ויתגלו המצות, תורה שילמד לנו השם יתברך פנים אל פנים, והשני שיתגלה הנבואה בעולם:</w:t>
      </w:r>
    </w:p>
  </w:footnote>
  <w:footnote w:id="3889">
    <w:p w:rsidR="00A13282" w:rsidRDefault="00A13282" w:rsidP="00B17EA9">
      <w:pPr>
        <w:pStyle w:val="a5"/>
      </w:pPr>
      <w:r>
        <w:rPr>
          <w:rStyle w:val="a7"/>
        </w:rPr>
        <w:footnoteRef/>
      </w:r>
      <w:r>
        <w:t xml:space="preserve"> </w:t>
      </w:r>
      <w:r>
        <w:rPr>
          <w:b/>
          <w:bCs/>
          <w:rtl/>
        </w:rPr>
        <w:t>פתח כו' וכלא אלקים כו'.</w:t>
      </w:r>
      <w:r>
        <w:rPr>
          <w:rtl/>
        </w:rPr>
        <w:t xml:space="preserve"> רוצה לומר דלכן השושנה חיור וסומק, וכמו שאומר בריש בראשית מה שושנה דאיהי בין החוחים איהי סומק וחיור כו', והן הוי"ה אלקי"ם, ואלקים נכלל בהוי"ה כמו שמפרש והולך:</w:t>
      </w:r>
    </w:p>
  </w:footnote>
  <w:footnote w:id="3890">
    <w:p w:rsidR="00A13282" w:rsidRDefault="00A13282" w:rsidP="00B17EA9">
      <w:pPr>
        <w:pStyle w:val="a5"/>
      </w:pPr>
      <w:r>
        <w:rPr>
          <w:rStyle w:val="a7"/>
        </w:rPr>
        <w:footnoteRef/>
      </w:r>
      <w:r>
        <w:t xml:space="preserve"> </w:t>
      </w:r>
      <w:r>
        <w:rPr>
          <w:b/>
          <w:bCs/>
          <w:rtl/>
        </w:rPr>
        <w:t>ו' מלא.</w:t>
      </w:r>
      <w:r>
        <w:rPr>
          <w:rtl/>
        </w:rPr>
        <w:t xml:space="preserve"> רוצה לומר, מלא דאלקים הוא בעמודא דאמצעיתא, שהוא נקרא מלא כמו שאומר לקמן סוף תיקון מ”ז ומלא מסטרא דעמודא דאמצעיתא, ועיין מה שאומר שם דהוא מלא ברכת ה', דאשלים לתרין סטרין, ואשלים למעלה ולמטה, וכולל הכל, ועיין בזהר פרשת תרומה קע"ה ב':</w:t>
      </w:r>
    </w:p>
  </w:footnote>
  <w:footnote w:id="3891">
    <w:p w:rsidR="00A13282" w:rsidRDefault="00A13282" w:rsidP="00B17EA9">
      <w:pPr>
        <w:pStyle w:val="a5"/>
      </w:pPr>
      <w:r>
        <w:rPr>
          <w:rStyle w:val="a7"/>
        </w:rPr>
        <w:footnoteRef/>
      </w:r>
      <w:r>
        <w:t xml:space="preserve"> </w:t>
      </w:r>
      <w:r>
        <w:rPr>
          <w:b/>
          <w:bCs/>
          <w:rtl/>
        </w:rPr>
        <w:t>בזמנא דהאי כו'.</w:t>
      </w:r>
      <w:r>
        <w:rPr>
          <w:rtl/>
        </w:rPr>
        <w:t xml:space="preserve"> דאז אינן ניכרין בה אלא ה' עלין דלבר, שהיא נאלמתי מן מלא, דומיה מי"ה, וכמו שאומר לעיל:</w:t>
      </w:r>
    </w:p>
  </w:footnote>
  <w:footnote w:id="3892">
    <w:p w:rsidR="00A13282" w:rsidRDefault="00A13282" w:rsidP="00B17EA9">
      <w:pPr>
        <w:pStyle w:val="a5"/>
      </w:pPr>
      <w:r>
        <w:rPr>
          <w:rStyle w:val="a7"/>
        </w:rPr>
        <w:footnoteRef/>
      </w:r>
      <w:r>
        <w:t xml:space="preserve"> </w:t>
      </w:r>
      <w:r>
        <w:rPr>
          <w:b/>
          <w:bCs/>
          <w:rtl/>
        </w:rPr>
        <w:t>ובזמנא דיהא פורקנא כו'.</w:t>
      </w:r>
      <w:r>
        <w:rPr>
          <w:rtl/>
        </w:rPr>
        <w:t xml:space="preserve"> הוא ה' עילאה, ימא דאורייתא בה' ספרים של התורה, ה' פעמים אור, וזה שאומר בכמה לבושין דנהורא דאורייתא ועיין לעיל נ"ב ב' בפורקנא בתרייתא כלא בימא דאורייתא כו':</w:t>
      </w:r>
    </w:p>
  </w:footnote>
  <w:footnote w:id="3893">
    <w:p w:rsidR="00A13282" w:rsidRDefault="00A13282" w:rsidP="00B17EA9">
      <w:pPr>
        <w:pStyle w:val="a5"/>
      </w:pPr>
      <w:r>
        <w:rPr>
          <w:rStyle w:val="a7"/>
        </w:rPr>
        <w:footnoteRef/>
      </w:r>
      <w:r>
        <w:t xml:space="preserve"> </w:t>
      </w:r>
      <w:r>
        <w:rPr>
          <w:b/>
          <w:bCs/>
          <w:rtl/>
        </w:rPr>
        <w:t>יהי אור כו'.</w:t>
      </w:r>
      <w:r>
        <w:rPr>
          <w:rtl/>
        </w:rPr>
        <w:t xml:space="preserve"> רוצה לומר ה' אור:</w:t>
      </w:r>
    </w:p>
  </w:footnote>
  <w:footnote w:id="3894">
    <w:p w:rsidR="00A13282" w:rsidRDefault="00A13282" w:rsidP="00B17EA9">
      <w:pPr>
        <w:pStyle w:val="a5"/>
      </w:pPr>
      <w:r>
        <w:rPr>
          <w:rStyle w:val="a7"/>
        </w:rPr>
        <w:footnoteRef/>
      </w:r>
      <w:r>
        <w:t xml:space="preserve"> </w:t>
      </w:r>
      <w:r>
        <w:rPr>
          <w:b/>
          <w:bCs/>
          <w:rtl/>
        </w:rPr>
        <w:t>ואתקשטת בכמה פקודין דעשה ואתקשטת בקשוטהא בארבעה כו'.</w:t>
      </w:r>
      <w:r>
        <w:rPr>
          <w:rtl/>
        </w:rPr>
        <w:t xml:space="preserve"> והן תורה ומצות, והן אור וגוונין, ועיין לעיל ט"ו א' והאי ה' איהי אתפשטת לאנהרא בחמש גוונין כו' וכד אתפשטת ה' עילאה לאנהרא כו' בתכשיטהא ככלה דמתקשטא כו', וידוע דפקודין הן בה, והן גוונין דידה, ועיין לעיל ט' ב' מענין הגוונין, ואמר בזהר פרשת תרומה קס"ו א' פתח ר' אבא כו' מאן דאתעסק באורייתא זכי לההוא נהורא כו':</w:t>
      </w:r>
    </w:p>
  </w:footnote>
  <w:footnote w:id="3895">
    <w:p w:rsidR="00A13282" w:rsidRDefault="00A13282" w:rsidP="00B17EA9">
      <w:pPr>
        <w:pStyle w:val="a5"/>
      </w:pPr>
      <w:r>
        <w:rPr>
          <w:rStyle w:val="a7"/>
        </w:rPr>
        <w:footnoteRef/>
      </w:r>
      <w:r>
        <w:t xml:space="preserve"> </w:t>
      </w:r>
      <w:r>
        <w:rPr>
          <w:b/>
          <w:bCs/>
          <w:rtl/>
        </w:rPr>
        <w:t>בארבעה כו' ובארבעה כו'.</w:t>
      </w:r>
      <w:r>
        <w:rPr>
          <w:rtl/>
        </w:rPr>
        <w:t xml:space="preserve"> והן הכל בבריאה, בזו"נ דבריאה, וכן עולמין דילה ונקראים לבושין כמו שאומר לעיל ג' ב' וזכאה איהו מאן דלביש כו' כשמיה כו', והן ג' דרגין שכוללין כל עשר ספירות דבריאה - נהורין דאורייתא - בינה ואלו ב':</w:t>
      </w:r>
    </w:p>
  </w:footnote>
  <w:footnote w:id="3896">
    <w:p w:rsidR="00A13282" w:rsidRDefault="00A13282" w:rsidP="00B17EA9">
      <w:pPr>
        <w:pStyle w:val="a5"/>
      </w:pPr>
      <w:r>
        <w:rPr>
          <w:rStyle w:val="a7"/>
        </w:rPr>
        <w:footnoteRef/>
      </w:r>
      <w:r>
        <w:t xml:space="preserve"> </w:t>
      </w:r>
      <w:r>
        <w:rPr>
          <w:b/>
          <w:bCs/>
          <w:rtl/>
        </w:rPr>
        <w:t>בארבע בגדי לבן.</w:t>
      </w:r>
      <w:r>
        <w:rPr>
          <w:rtl/>
        </w:rPr>
        <w:t xml:space="preserve"> רוצה לומר משמונה בגדים - כתנת ומצנפת ואבנט ומכנסיים, דשוין בכל, הם בגדי לבן, דאין בהם זהב, וארבע שניתוסף בו - בכולן זהב, ומייחדים ביה, וכן בתפילין כמו שמפרש והולך אלא שתפילין הן בהיכלות שהן לבר ואלו בלבושין לכן אינן אלא בזמן הבית ואלו נקראים בתי תפילין:</w:t>
      </w:r>
    </w:p>
  </w:footnote>
  <w:footnote w:id="3897">
    <w:p w:rsidR="00A13282" w:rsidRDefault="00A13282" w:rsidP="00B17EA9">
      <w:pPr>
        <w:pStyle w:val="a5"/>
      </w:pPr>
      <w:r>
        <w:rPr>
          <w:rStyle w:val="a7"/>
        </w:rPr>
        <w:footnoteRef/>
      </w:r>
      <w:r>
        <w:t xml:space="preserve"> </w:t>
      </w:r>
      <w:r>
        <w:rPr>
          <w:b/>
          <w:bCs/>
          <w:rtl/>
        </w:rPr>
        <w:t>ארבע דכהן הדיוט אינון לקבל ארבע כו'.</w:t>
      </w:r>
      <w:r>
        <w:rPr>
          <w:rtl/>
        </w:rPr>
        <w:t xml:space="preserve"> רוצה לומר אע"ג דאיכא עוד ארבע דכהן הדיוט - אלו אינן בבריאה אלא ביצירה, דהיא מתכסה בהון מפני החיצונים, לקבל ציצית, כמו שמפרש והולך ועיין ברעיא מהימנא פ' נשא קכ"א ב' דמיכאל איהו כהן הדיוט כו', וכן בציצית כמו שאומר שם בזהר פרשת פנחס רכ"ו ב', ציצית דאיהו דמי לרקיע דאיהו מטטרון דיוקנא כו', עיין שם בארוכה, ותמן כסויא מקליפות דבעשיה, שלא יזונו עיניהם, ולהכי גוון דא נגד עינים כמו שאומר בזהר פרשת תרומה לאו דאיהי לבושה דהא שש וארגמן לבושה, ורוצה לומר שש וארגמן הן ד"ו פרצופים, ב' לבושים הנ"ל, שש - ו', ארגמן - ד', והן ו' דרגין לכסא מד' חיות, כמו שאומר שם ברעיא מהימנא:</w:t>
      </w:r>
    </w:p>
  </w:footnote>
  <w:footnote w:id="3898">
    <w:p w:rsidR="00A13282" w:rsidRDefault="00A13282" w:rsidP="00B17EA9">
      <w:pPr>
        <w:pStyle w:val="a5"/>
      </w:pPr>
      <w:r>
        <w:rPr>
          <w:rStyle w:val="a7"/>
        </w:rPr>
        <w:footnoteRef/>
      </w:r>
      <w:r>
        <w:t xml:space="preserve"> </w:t>
      </w:r>
      <w:r>
        <w:rPr>
          <w:b/>
          <w:bCs/>
          <w:rtl/>
        </w:rPr>
        <w:t>מיד אתפתח היכלא לגבה.</w:t>
      </w:r>
      <w:r>
        <w:rPr>
          <w:rtl/>
        </w:rPr>
        <w:t xml:space="preserve"> דאיהי עתה לבר מהיכלא דאצילות, וירדה למטה בסוד מיעוט הירח, בסוד אלקים כמו שאומר בזהר פרשת בראשית כ' א', והוא סוד שושנה הנ"ל אבל אטימא, והיא הנהגת הטבע, אבל אז בקשוטהא, בסוד הוי"ה, וכמו שאומר בזהר פרשת בראשית דאז נקראת המאור הגדול והוא בהיכלה - אדנ"י, וה' בהיכל קדשו - ה"ס כו', וזה שכתוב אדני שפתי. שפתי (חושבן שכינה) הן תרעין דהיכלא, ואדני - היכל, וכמו שאומר לעיל כ"ט ל' אדני סליק לחושבן היכל, והוא הפה כמו שאומר שם זכאה פומא דאיהי היכל ה' כו' וזכאן שפוון דאינון תרעין דהיכלא:</w:t>
      </w:r>
    </w:p>
  </w:footnote>
  <w:footnote w:id="3899">
    <w:p w:rsidR="00A13282" w:rsidRDefault="00A13282" w:rsidP="00B17EA9">
      <w:pPr>
        <w:pStyle w:val="a5"/>
      </w:pPr>
      <w:r>
        <w:rPr>
          <w:rStyle w:val="a7"/>
        </w:rPr>
        <w:footnoteRef/>
      </w:r>
      <w:r>
        <w:t xml:space="preserve"> </w:t>
      </w:r>
      <w:r>
        <w:rPr>
          <w:b/>
          <w:bCs/>
          <w:rtl/>
        </w:rPr>
        <w:t>ולקבל נעימו כו' דלבושא דילה כד אמרין ישראל ק"ש אתמר בחיוון ואשמע את קול כנפיהם מה כתיב בה כו'.</w:t>
      </w:r>
      <w:r>
        <w:rPr>
          <w:rtl/>
        </w:rPr>
        <w:t xml:space="preserve"> הענין כי כל קשוטי ומעשה ישראל וכל עניניהם - הכל בה, וקישוטי דכהן גדול בב' מיני הנ"ל - הוא קשוטהא, ואח"כ יכנס הכהן גדול בהיכל כמו שכתוב (שמות כח מג) והיו על אהרן ועל בניו בבואם אל אוהל מועד, וזה שאומר למעלה וכד אתתקנת באלין לבושין מיד אתפתח היכלא כו' דבלאו הכי היכלא סתימו כמו שכתוב (שם) ולא ישאו עון ומתו, וכשרוצה ליכנס כתיב (שמות כח לה) ונשמע קולו בבואו אל הקודש לפני ה' כו' ולא ימות, והענין הוא כמו שאומר לעיל ג' א' ושאר מקומות דתחלה צריך למקשט לה בקשוטהא וכמו שכתוב (בראשית ט טז) וראיתיה כו', ואח"כ למקרא לישראל בעלה בקריאת שמע, ואח"כ ליחדא להו בתפלה, והקריאה דקריאת שמע הוא בקול, והייחוד דתפלה בחשאי, וזהו הענין בכהן גדול שקודם צריך לקשטא בב' הקישוטים דיליה ודילה שבהן וראיתיה לזכור ברית עולם, ואח"כ ההיכלא מתפתח ליכנס הכהן גדול בו, ומקודם הכנסו ונשמע קולו - קול כניסת השכינה בהיכל, וקראן בה להקב"ה להכנס שם וזה שכתוב בבואו אל הקודש לפני ה' - שיהא כניסתו לפני ה' וזהו גם כן קול כנפי החיות (ישעיהו ו ג) וקרא זה אל זה, (נחמיה ט ד) בקול גדול לקב"ה ועיין בזהר פרשת בלק קצ"א א' וכדין מגו קלין ושאגין דאינן גברי, חילא דילה, נפיק דודה רחימה כו', ואח"כ נכנס כהן גדול לשם ומקטיר קטורת - יחודא דתרווייהו בחשאי, וכנגד זה הוא תפילין, ואח"כ קריאת שמע ותפלה (ובזהר חדש כ"ט א' ואשמע את קול כנפיהם בגין דישמע כו' עיין שם כל הענין היטב) ועיין לעיל ג' א' כד נחית קב"ה בקריאת שמע אתמר בחיוון ואשמע את קול כנפיהם כו' וקראן בה לישראל דאיהו עמודא דאמצעיתא כו', וחבורא דתרין שמהן צריכה בחשאי, ורזא דמלה בעמדם תרפינה כנפיהם כו' דתמן קול דממה דקה כו' עיין שם, וזה שאמרו (חגיגה יג ע"ב) חשמ"ל עתים כו', וכמו שאומר בזהר פרשת פנחס רכ"ח א' וקול דא שמע ישראל דביה ואשמע את קול כנפיהם ודא יהו"ה דאיהו קול כד נפיק לקבלא שכינתא בצלותא בחשאי דאיהו דבור דביה אדני שפתי תפתח כו' בעמדם תרפינה כנפיהם והאי רזא דחשמ"ל כו' בההוא זמנא דמתייחדין קול ודבור כחדא דאינון יאהדונה"י חשות אבל בזמנא כו', ולמעלה למ"ד א' אלין אינון אתוון דחשמ"ל כו' בצלותא כו' עיין שם:</w:t>
      </w:r>
    </w:p>
  </w:footnote>
  <w:footnote w:id="3900">
    <w:p w:rsidR="00A13282" w:rsidRDefault="00A13282" w:rsidP="00B17EA9">
      <w:pPr>
        <w:pStyle w:val="a5"/>
      </w:pPr>
      <w:r>
        <w:rPr>
          <w:rStyle w:val="a7"/>
        </w:rPr>
        <w:footnoteRef/>
      </w:r>
      <w:r>
        <w:t xml:space="preserve"> </w:t>
      </w:r>
      <w:r>
        <w:rPr>
          <w:b/>
          <w:bCs/>
          <w:rtl/>
        </w:rPr>
        <w:t>מה כתיב בה כו' אשתמע לגבה.</w:t>
      </w:r>
      <w:r>
        <w:rPr>
          <w:rtl/>
        </w:rPr>
        <w:t xml:space="preserve"> כמו שאומר למעלה דכל התיקונין בדידן - הכל אליה ומה שאומר אליו הוא אליה דאנן איברים דילה:</w:t>
      </w:r>
    </w:p>
  </w:footnote>
  <w:footnote w:id="3901">
    <w:p w:rsidR="00A13282" w:rsidRDefault="00A13282" w:rsidP="00B17EA9">
      <w:pPr>
        <w:pStyle w:val="a5"/>
      </w:pPr>
      <w:r>
        <w:rPr>
          <w:rStyle w:val="a7"/>
        </w:rPr>
        <w:footnoteRef/>
      </w:r>
      <w:r>
        <w:t xml:space="preserve"> </w:t>
      </w:r>
      <w:r>
        <w:rPr>
          <w:b/>
          <w:bCs/>
          <w:rtl/>
        </w:rPr>
        <w:t>מבין כו'.</w:t>
      </w:r>
      <w:r>
        <w:rPr>
          <w:rtl/>
        </w:rPr>
        <w:t xml:space="preserve"> כמו שאומר שם בפסוק מבין שני הכרובים:</w:t>
      </w:r>
    </w:p>
  </w:footnote>
  <w:footnote w:id="3902">
    <w:p w:rsidR="00A13282" w:rsidRDefault="00A13282" w:rsidP="00B17EA9">
      <w:pPr>
        <w:pStyle w:val="a5"/>
      </w:pPr>
      <w:r>
        <w:rPr>
          <w:rStyle w:val="a7"/>
        </w:rPr>
        <w:footnoteRef/>
      </w:r>
      <w:r>
        <w:t xml:space="preserve"> </w:t>
      </w:r>
      <w:r>
        <w:rPr>
          <w:b/>
          <w:bCs/>
          <w:rtl/>
        </w:rPr>
        <w:t>דאינון ד"ו פרצופים.</w:t>
      </w:r>
      <w:r>
        <w:rPr>
          <w:rtl/>
        </w:rPr>
        <w:t xml:space="preserve"> נו"ה והם דוגמת זכר ונקבה, ועיין לעיל סוף תיקון ל”ג שנו"ה הן ד"ו, ורוצה לומר שהקול הולך מת"ת, בין נו"ה, דרך יסוד, שהוא מעל הכפורת - אליה, וזהו מדבר - שהקול הולך לדבור, ואח"כ בשעת היחוד נכלל קול בדבור, ה' בהיכל קדשו, ולא נשמע אלא הדבור בלבד והוא מה שאומר שם בתחילה הקול מדבר כו' מעל כו' מבין כו' ואח"כ וידבר אליו, וזה שאומר </w:t>
      </w:r>
      <w:r>
        <w:rPr>
          <w:b/>
          <w:bCs/>
          <w:rtl/>
        </w:rPr>
        <w:t>וכד מתייחדא דבור כו' קול דממה דקה ודא כו'.</w:t>
      </w:r>
      <w:r>
        <w:rPr>
          <w:rtl/>
        </w:rPr>
        <w:t xml:space="preserve"> שהדבור בעצמו הוא בחשאי:</w:t>
      </w:r>
    </w:p>
  </w:footnote>
  <w:footnote w:id="3903">
    <w:p w:rsidR="00A13282" w:rsidRDefault="00A13282" w:rsidP="00B17EA9">
      <w:pPr>
        <w:pStyle w:val="a5"/>
      </w:pPr>
      <w:r>
        <w:rPr>
          <w:rStyle w:val="a7"/>
        </w:rPr>
        <w:footnoteRef/>
      </w:r>
      <w:r>
        <w:t xml:space="preserve"> </w:t>
      </w:r>
      <w:r>
        <w:rPr>
          <w:b/>
          <w:bCs/>
          <w:rtl/>
        </w:rPr>
        <w:t>ובההוא זמנא כו' עת רצון כו'.</w:t>
      </w:r>
      <w:r>
        <w:rPr>
          <w:rtl/>
        </w:rPr>
        <w:t xml:space="preserve"> דעת נקרא נוק' ועיין מה שאומר לעיל ל"ט א' ודא איהי עת לעשות לה' ועיין מה שכתבתי שם בארוכה על זה, ורצון הוא ת"ת, מצח, והיכל הרצון ועיין מה שכתבתי בפרק א' דספרא דצניעותא ועיין בזהר פרשת פקודי רנ"ג ב' האי היכלא כו' כל שאלתין וכל בעותין דעלמא כו' וכד צלותין סלקין כדין אקרי עת רצון כו' דאיהו חבורא דא עם דא, והענין כי היא נקראת שאלה דאיהי בעא בעותין דישראל, וכן תפלה, ואז שהיא אצל המלך כתיב (אסתר ב יג) ובזה הנערה באה אל המלך כל אשר תאמר ינתן לה:</w:t>
      </w:r>
    </w:p>
  </w:footnote>
  <w:footnote w:id="3904">
    <w:p w:rsidR="00A13282" w:rsidRDefault="00A13282" w:rsidP="00B17EA9">
      <w:pPr>
        <w:pStyle w:val="a5"/>
      </w:pPr>
      <w:r>
        <w:rPr>
          <w:rStyle w:val="a7"/>
        </w:rPr>
        <w:footnoteRef/>
      </w:r>
      <w:r>
        <w:t xml:space="preserve"> </w:t>
      </w:r>
      <w:r>
        <w:rPr>
          <w:b/>
          <w:bCs/>
          <w:rtl/>
        </w:rPr>
        <w:t>אז תקרא.</w:t>
      </w:r>
      <w:r>
        <w:rPr>
          <w:rtl/>
        </w:rPr>
        <w:t xml:space="preserve"> כמו שמפרש והולך אז כו', וכן וה' גם כן הוא ובית דינו שתקרא באז וכן יענה לך בז"א וכמו שאומר לעיל למ"ד א' הה"ד אז כו':</w:t>
      </w:r>
    </w:p>
  </w:footnote>
  <w:footnote w:id="3905">
    <w:p w:rsidR="00A13282" w:rsidRDefault="00A13282" w:rsidP="00B17EA9">
      <w:pPr>
        <w:pStyle w:val="a5"/>
      </w:pPr>
      <w:r>
        <w:rPr>
          <w:rStyle w:val="a7"/>
        </w:rPr>
        <w:footnoteRef/>
      </w:r>
      <w:r>
        <w:t xml:space="preserve"> </w:t>
      </w:r>
      <w:r>
        <w:rPr>
          <w:b/>
          <w:bCs/>
          <w:rtl/>
        </w:rPr>
        <w:t>ועד דיפקון כו' אז ישיר משה.</w:t>
      </w:r>
      <w:r>
        <w:rPr>
          <w:rtl/>
        </w:rPr>
        <w:t xml:space="preserve"> כמו שאמרו (סנהדרין צא ע"ב) שר לא נאמר אלא ישיר, ואימתי ישיר - א"ז, והוא ראיה דאינן מתחברין א"ז עד הפורקנא, דעד הגאולה הוא תהו ובהו כנ"ל ולית יחודא וכמו שאמרו (תענית ה ע"א) אין הקב"ה נכנס לירושלים כו' (וכמו שאומר בזהר פרשת אחרי מות ע"ז ב' ואי תימא השתא לאו או"א כו' ובזמנא דתיתוב מטרוניתא כו' דתניא אר"ש כו'). וכל תיקונין דאנן עבדין לה עתה הוא סמך לה בגלותא, (שה"ש ב ה) סמכוני באשישות כו' כי חולת כו' וכמו שאומר בזהר פרשת שמיני מ' א' פתח ר' יהודה ואמר סמכוני כו':</w:t>
      </w:r>
    </w:p>
  </w:footnote>
  <w:footnote w:id="3906">
    <w:p w:rsidR="00A13282" w:rsidRDefault="00A13282" w:rsidP="00B17EA9">
      <w:pPr>
        <w:pStyle w:val="a5"/>
      </w:pPr>
      <w:r>
        <w:rPr>
          <w:rStyle w:val="a7"/>
        </w:rPr>
        <w:footnoteRef/>
      </w:r>
      <w:r>
        <w:t xml:space="preserve"> </w:t>
      </w:r>
      <w:r>
        <w:rPr>
          <w:b/>
          <w:bCs/>
          <w:rtl/>
        </w:rPr>
        <w:t>ומיד ויאמר כו'.</w:t>
      </w:r>
      <w:r>
        <w:rPr>
          <w:rtl/>
        </w:rPr>
        <w:t xml:space="preserve"> כמו שכתוב (ישעיהו ס ע"א) קומי אורי כי בא אורך כו', ועיין לקמן סוף תיקון ל"ז היה אור לא כתיב כו', והוא פקודא דאהבה דבה תלוי פורקנא כמו שכתוב (שה"ש ב ז, ג ה) אם תעירו ואם תעוררו כו', ועיין לעיל ס"ו ב' ועוד כי עזה כמות אהבה אם ישראל כו'. והוא נתיב תליתאה, ועתה מפרש מאמר הראשון של בראשית וכמו שכתבתי לעיל דאינון ב' מאמרות מתחברין כחדא שהן קריאת שמע ותפלה הנ"ל ולכן לא נאמר מאמר בראשון עד השני, ומפרש והולך ענין הר סיני, וכן יהיה לעתיד לבא שהקב"ה יפוק לקבלה מטרוניתא בכמה כו' כימי צאתך מארץ כו' (מיכה ז טו), ועיין בזהר פרשת ויקרא ו' א' אמר מלכא האי זמנא כו' מאן חמא יקרא דמטרוניתא כו'. ומפרש והולך כאן מאמר הראשון ואח"כ בתיקון ל”ט מפרש בתיבת בראשית, ובסוף תיקון ל”ט מתחיל לפרש מאמר השני דהיא נכנסת בהיכלה ומתפתח היכלה ונבאו בניכם וכמה מארי כו' וכמה מארי כו' שכ' בתיקון מ’ והן הכל בתפלה - מאמר השני, כמו שאומר בתיקון י”ח כל חד וחד בארוכה, ומפרש בתיקון מ’ בתיבת בראשית, וכן בכל התיקונים דלקמן מפרש בסוף תיקון הקודם את הענין ואח"כ מפרש בתיקון שלאחריו בתיבת בראשית:</w:t>
      </w:r>
    </w:p>
  </w:footnote>
  <w:footnote w:id="3907">
    <w:p w:rsidR="00A13282" w:rsidRDefault="00A13282" w:rsidP="00B17EA9">
      <w:pPr>
        <w:pStyle w:val="a5"/>
      </w:pPr>
      <w:r>
        <w:rPr>
          <w:rStyle w:val="a7"/>
        </w:rPr>
        <w:footnoteRef/>
      </w:r>
      <w:r>
        <w:t xml:space="preserve"> </w:t>
      </w:r>
      <w:r>
        <w:rPr>
          <w:b/>
          <w:bCs/>
          <w:rtl/>
        </w:rPr>
        <w:t>בההוא זמנא דמטרוניתא בעאת כו'.</w:t>
      </w:r>
      <w:r>
        <w:rPr>
          <w:rtl/>
        </w:rPr>
        <w:t xml:space="preserve"> כמו שאומר למעלה שזהו נגד קריאת שמע - מאמר הראשון:</w:t>
      </w:r>
    </w:p>
  </w:footnote>
  <w:footnote w:id="3908">
    <w:p w:rsidR="00A13282" w:rsidRDefault="00A13282" w:rsidP="00B17EA9">
      <w:pPr>
        <w:pStyle w:val="a5"/>
      </w:pPr>
      <w:r>
        <w:rPr>
          <w:rStyle w:val="a7"/>
        </w:rPr>
        <w:footnoteRef/>
      </w:r>
      <w:r>
        <w:t xml:space="preserve"> </w:t>
      </w:r>
      <w:r>
        <w:rPr>
          <w:b/>
          <w:bCs/>
          <w:rtl/>
        </w:rPr>
        <w:t>משריין סגיאין דמתיבתא כו'.</w:t>
      </w:r>
      <w:r>
        <w:rPr>
          <w:rtl/>
        </w:rPr>
        <w:t xml:space="preserve"> עיין מה שכתבתי לעיל תיקון ל’ שהן דרגין דו"ק דאתי לקבלא לה:</w:t>
      </w:r>
    </w:p>
  </w:footnote>
  <w:footnote w:id="3909">
    <w:p w:rsidR="00A13282" w:rsidRDefault="00A13282" w:rsidP="00B17EA9">
      <w:pPr>
        <w:pStyle w:val="a5"/>
      </w:pPr>
      <w:r>
        <w:rPr>
          <w:rStyle w:val="a7"/>
        </w:rPr>
        <w:footnoteRef/>
      </w:r>
      <w:r>
        <w:t xml:space="preserve"> </w:t>
      </w:r>
      <w:r>
        <w:rPr>
          <w:b/>
          <w:bCs/>
          <w:rtl/>
        </w:rPr>
        <w:t>מארי שופרות.</w:t>
      </w:r>
      <w:r>
        <w:rPr>
          <w:rtl/>
        </w:rPr>
        <w:t xml:space="preserve"> מסטרא דבינה, ה' עילאה:</w:t>
      </w:r>
    </w:p>
  </w:footnote>
  <w:footnote w:id="3910">
    <w:p w:rsidR="00A13282" w:rsidRDefault="00A13282" w:rsidP="00B17EA9">
      <w:pPr>
        <w:pStyle w:val="a5"/>
      </w:pPr>
      <w:r>
        <w:rPr>
          <w:rStyle w:val="a7"/>
        </w:rPr>
        <w:footnoteRef/>
      </w:r>
      <w:r>
        <w:t xml:space="preserve"> </w:t>
      </w:r>
      <w:r>
        <w:rPr>
          <w:b/>
          <w:bCs/>
          <w:rtl/>
        </w:rPr>
        <w:t>ומארי דקלין.</w:t>
      </w:r>
      <w:r>
        <w:rPr>
          <w:rtl/>
        </w:rPr>
        <w:t xml:space="preserve"> ו':</w:t>
      </w:r>
    </w:p>
  </w:footnote>
  <w:footnote w:id="3911">
    <w:p w:rsidR="00A13282" w:rsidRDefault="00A13282" w:rsidP="00B17EA9">
      <w:pPr>
        <w:pStyle w:val="a5"/>
      </w:pPr>
      <w:r>
        <w:rPr>
          <w:rStyle w:val="a7"/>
        </w:rPr>
        <w:footnoteRef/>
      </w:r>
      <w:r>
        <w:t xml:space="preserve"> </w:t>
      </w:r>
      <w:r>
        <w:rPr>
          <w:b/>
          <w:bCs/>
          <w:rtl/>
        </w:rPr>
        <w:t>ומארי דברקים.</w:t>
      </w:r>
      <w:r>
        <w:rPr>
          <w:rtl/>
        </w:rPr>
        <w:t xml:space="preserve"> מסטרא דיסוד י':</w:t>
      </w:r>
    </w:p>
  </w:footnote>
  <w:footnote w:id="3912">
    <w:p w:rsidR="00A13282" w:rsidRDefault="00A13282" w:rsidP="00B17EA9">
      <w:pPr>
        <w:pStyle w:val="a5"/>
      </w:pPr>
      <w:r>
        <w:rPr>
          <w:rStyle w:val="a7"/>
        </w:rPr>
        <w:footnoteRef/>
      </w:r>
      <w:r>
        <w:t xml:space="preserve"> </w:t>
      </w:r>
      <w:r>
        <w:rPr>
          <w:b/>
          <w:bCs/>
          <w:rtl/>
        </w:rPr>
        <w:t>וענן כבד.</w:t>
      </w:r>
      <w:r>
        <w:rPr>
          <w:rtl/>
        </w:rPr>
        <w:t xml:space="preserve"> ה' תתאה, וכמו שאומר לעיל ע"ז ב' ברקים מסטרא דצדיק כו' ענן דא שכינתא כו':</w:t>
      </w:r>
    </w:p>
  </w:footnote>
  <w:footnote w:id="3913">
    <w:p w:rsidR="00A13282" w:rsidRDefault="00A13282" w:rsidP="00B17EA9">
      <w:pPr>
        <w:pStyle w:val="a5"/>
      </w:pPr>
      <w:r>
        <w:rPr>
          <w:rStyle w:val="a7"/>
        </w:rPr>
        <w:footnoteRef/>
      </w:r>
      <w:r>
        <w:t xml:space="preserve"> </w:t>
      </w:r>
      <w:r>
        <w:rPr>
          <w:b/>
          <w:bCs/>
          <w:rtl/>
        </w:rPr>
        <w:t>בההוא זימנא משה כו'.</w:t>
      </w:r>
      <w:r>
        <w:rPr>
          <w:rtl/>
        </w:rPr>
        <w:t xml:space="preserve"> דשכינה ידבר בתוך משה, דהוא גוף דידה, של נעליך כו', ומביא ראיה שנאמר אדבר בו - שהדיבור בו, ודיבורו הוא של שכינה, ופה אל פה הוא מה שמפרש והולך והאלקים כו' בקול דאיהו כו' (כמו שאומר בזהר פרשת פקודי). כי דרגיה בת"ת, ודיבורו היה מתוך היכל הרצון, דעת דילה, פומא דילה, פי ה', והאלקים יעננו בקול דהוא דעת דז"א דגניז גם כן בפומא דמלכא, וזהו והאלקים יעננו כו' - דמינה נפיק קול - משופר, ושם הדעת הוא קול, ועיין בזהר פרשת פקודי רנ"ג רנ"ד היכלא שתיתאה כו' מוצא פי ה' האי איהו היכלא דמשה כו' בהאי היכלא משה ידבר והאלקים יעננו בקול כד אתדבקו נשיקין בנשיקין כו' מנשיקות פיהו כו' ת"ח משה ידבר דכתיב הנך יפה רעיתי וכתיב כחוט השני שפתותיך, והאלקים יעננו בקול דכתיב הנך יפה אף נעים וכתיב שפתותיו שושנים כו' - מפרש דהוא פה אל פה, שפתותיך שפתותיו:</w:t>
      </w:r>
    </w:p>
  </w:footnote>
  <w:footnote w:id="3914">
    <w:p w:rsidR="00A13282" w:rsidRDefault="00A13282" w:rsidP="00B17EA9">
      <w:pPr>
        <w:pStyle w:val="a5"/>
      </w:pPr>
      <w:r>
        <w:rPr>
          <w:rStyle w:val="a7"/>
        </w:rPr>
        <w:footnoteRef/>
      </w:r>
      <w:r>
        <w:t xml:space="preserve"> </w:t>
      </w:r>
      <w:r>
        <w:rPr>
          <w:b/>
          <w:bCs/>
          <w:rtl/>
        </w:rPr>
        <w:t>בקולו של משה.</w:t>
      </w:r>
      <w:r>
        <w:rPr>
          <w:rtl/>
        </w:rPr>
        <w:t xml:space="preserve"> שזכה אליו ומשם נבואתו:</w:t>
      </w:r>
    </w:p>
  </w:footnote>
  <w:footnote w:id="3915">
    <w:p w:rsidR="00A13282" w:rsidRDefault="00A13282" w:rsidP="00B17EA9">
      <w:pPr>
        <w:pStyle w:val="a5"/>
      </w:pPr>
      <w:r>
        <w:rPr>
          <w:rStyle w:val="a7"/>
        </w:rPr>
        <w:footnoteRef/>
      </w:r>
      <w:r>
        <w:t xml:space="preserve"> </w:t>
      </w:r>
      <w:r>
        <w:rPr>
          <w:b/>
          <w:bCs/>
          <w:rtl/>
        </w:rPr>
        <w:t>ובההוא זימנא כו'.</w:t>
      </w:r>
      <w:r>
        <w:rPr>
          <w:rtl/>
        </w:rPr>
        <w:t xml:space="preserve"> עיין לעיל ע"ז א' וכד סליקת לעילא כו' וכאן אמר דבה פתח כו', דבאמת עיקר כסא הוא בה, כסא לכבוד - ל"ב דחכמה, אלא בחבורא בה נעשין יחד כסא, וכן אימא עילאה מקנן בכורסיא:</w:t>
      </w:r>
    </w:p>
  </w:footnote>
  <w:footnote w:id="3916">
    <w:p w:rsidR="00A13282" w:rsidRDefault="00A13282" w:rsidP="00B17EA9">
      <w:pPr>
        <w:pStyle w:val="a5"/>
      </w:pPr>
      <w:r>
        <w:rPr>
          <w:rStyle w:val="a7"/>
        </w:rPr>
        <w:footnoteRef/>
      </w:r>
      <w:r>
        <w:t xml:space="preserve"> </w:t>
      </w:r>
      <w:r>
        <w:rPr>
          <w:b/>
          <w:bCs/>
          <w:rtl/>
        </w:rPr>
        <w:t>דב"נ יהיב כו'.</w:t>
      </w:r>
      <w:r>
        <w:rPr>
          <w:rtl/>
        </w:rPr>
        <w:t xml:space="preserve"> וכן הן ג' עולמות וכן ג' דרגין - הכל בג'. אחת אחת ואחת תלת אחדין. ורוצה לומר כמו שאומר דאלו ג' הן ג"ר, ואחת ושתים הוא בינה וחו"ג, ואחת ושלש בינה ות"ת, וכן כולם, וחו"ג - כללן כאחד, דיצחק לעולם נכלל באברהם, לילה ביום, דלכן לא נאמר ו' ביצחק, ולכן שתיה בכלל אכילה, וקראן לג"ר הכל אחדים - דכל אחד הוא פשוט, אמ"ש, מה שאין כן בז"ת דכולן מורכבים מאלו השלשה שהוא ב' כתרים, ג' מוחין דאתפשטו בכולם, ב' והן ג' והן ד' בדגש ורפה קל וחזק, ומכל מקום חו"ב כלילן זה, ולכן נאמר בהן שתים - נגד הכתר:</w:t>
      </w:r>
    </w:p>
  </w:footnote>
  <w:footnote w:id="3917">
    <w:p w:rsidR="00A13282" w:rsidRDefault="00A13282" w:rsidP="00B17EA9">
      <w:pPr>
        <w:pStyle w:val="a5"/>
        <w:rPr>
          <w:rtl/>
        </w:rPr>
      </w:pPr>
      <w:r>
        <w:rPr>
          <w:rStyle w:val="a7"/>
        </w:rPr>
        <w:footnoteRef/>
      </w:r>
      <w:r>
        <w:t xml:space="preserve"> </w:t>
      </w:r>
      <w:r>
        <w:rPr>
          <w:b/>
          <w:bCs/>
          <w:rtl/>
        </w:rPr>
        <w:t>זו ביה כו'.</w:t>
      </w:r>
      <w:r>
        <w:rPr>
          <w:rtl/>
        </w:rPr>
        <w:t xml:space="preserve"> והוא הדעת שעושה כל הג' - אחד, וכמו שאומר לעיל נ"א ב' ותלת הוינן וכען חד, וכמו שאומר בריש ספרא דצניעותא דעד דלא כו', וזה שאומר זו דהוא וא"ו חושבן זו ועושה אותן אחד גם כן בחושבן זו ואח"כ כשנעשין אחת אז מחבר אותם אל ז"ת אחת ושתים אחת ושלש כו':</w:t>
      </w:r>
    </w:p>
    <w:p w:rsidR="00A13282" w:rsidRDefault="00A13282" w:rsidP="00B17EA9">
      <w:pPr>
        <w:pStyle w:val="a5"/>
      </w:pPr>
    </w:p>
  </w:footnote>
  <w:footnote w:id="3918">
    <w:p w:rsidR="00A13282" w:rsidRDefault="00A13282" w:rsidP="00B17EA9">
      <w:pPr>
        <w:pStyle w:val="a5"/>
      </w:pPr>
      <w:r>
        <w:rPr>
          <w:rStyle w:val="a7"/>
        </w:rPr>
        <w:footnoteRef/>
      </w:r>
      <w:r>
        <w:t xml:space="preserve"> </w:t>
      </w:r>
      <w:r>
        <w:rPr>
          <w:b/>
          <w:bCs/>
          <w:rtl/>
        </w:rPr>
        <w:t>תיקון ל"ט בראשית אשר כו'.</w:t>
      </w:r>
      <w:r>
        <w:rPr>
          <w:rtl/>
        </w:rPr>
        <w:t xml:space="preserve"> מפרש מה שאמר לעיל בתיקון ל’ קלא קדמאה - דהוא מרומז בתיבת בראשית דתמן אשר והיא אימא עלאה והכל מפורש שם וכן מה שאמר אשר הוצאתיך, אשר אהיה, אשר קדשנו - הכל פירשתי שם:</w:t>
      </w:r>
    </w:p>
  </w:footnote>
  <w:footnote w:id="3919">
    <w:p w:rsidR="00A13282" w:rsidRDefault="00A13282" w:rsidP="00B17EA9">
      <w:pPr>
        <w:pStyle w:val="a5"/>
      </w:pPr>
      <w:r>
        <w:rPr>
          <w:rStyle w:val="a7"/>
        </w:rPr>
        <w:footnoteRef/>
      </w:r>
      <w:r>
        <w:t xml:space="preserve"> </w:t>
      </w:r>
      <w:r>
        <w:rPr>
          <w:b/>
          <w:bCs/>
          <w:rtl/>
        </w:rPr>
        <w:t>דאפתח רחם דאינון כו'.</w:t>
      </w:r>
      <w:r>
        <w:rPr>
          <w:rtl/>
        </w:rPr>
        <w:t xml:space="preserve"> הענין, כי בשעת הזיווג כל רמ"ח אברים דנוק' פתיחין לקבל מדכורא אלא שהרחם כלילא ומקבלת בעד כולם וממנה מקבלים כולם, כמו שיסוד דדכורא כולל הכל שמשפיע מכולם, כן בה כללא דכולא מקבלת בכל, ורמ"ח דדכורא הוא התורה, לימוד, ושמרתם - זו המשנה, ועשיתם - זו המעשה (סיפרא אמור ח, ספרי ראה נח), וצריך לחברא כחדא, שילמוד לעשותם, וכמו שאומר לעיל ב' א' ועוד אלין דעסקין באורייתא לשמה כו' כבר נש דמתייחד עם בת זוגיה בכל אברין דיליה כו' ואמר בזהר פרשת פנחס דביה אדני שפתי תפתח כל אברין פתיחן כולהו גדפייהו ברמ"ח תיבין כו' על אברין דגופא דאינון ענפי אילנא כו' בכל ענפא וענפא אשתכח פתיחא לגבי דבעלה כו' לית אבר מרמ"ח אברים דשכינתא דלאו איהי פתיחא לקבלא ליה, והן רמ"ח מצוות עשה דאינון בנוק', והפותח הוא הצדיק דעל ידו נפתחין:</w:t>
      </w:r>
    </w:p>
  </w:footnote>
  <w:footnote w:id="3920">
    <w:p w:rsidR="00A13282" w:rsidRDefault="00A13282" w:rsidP="00B17EA9">
      <w:pPr>
        <w:pStyle w:val="a5"/>
      </w:pPr>
      <w:r>
        <w:rPr>
          <w:rStyle w:val="a7"/>
        </w:rPr>
        <w:footnoteRef/>
      </w:r>
      <w:r>
        <w:t xml:space="preserve"> </w:t>
      </w:r>
      <w:r>
        <w:rPr>
          <w:b/>
          <w:bCs/>
          <w:rtl/>
        </w:rPr>
        <w:t xml:space="preserve"> וצונו ביה בגין דאיהו כו' ועושה. </w:t>
      </w:r>
      <w:r>
        <w:rPr>
          <w:rtl/>
        </w:rPr>
        <w:t>רוצה לומר, עשיה - הוא מה שאומרים קדשנו, ועיין כל זה בתיקון ל’ שם:</w:t>
      </w:r>
    </w:p>
  </w:footnote>
  <w:footnote w:id="3921">
    <w:p w:rsidR="00A13282" w:rsidRDefault="00A13282" w:rsidP="00B17EA9">
      <w:pPr>
        <w:pStyle w:val="a5"/>
      </w:pPr>
      <w:r>
        <w:rPr>
          <w:rStyle w:val="a7"/>
        </w:rPr>
        <w:footnoteRef/>
      </w:r>
      <w:r>
        <w:t xml:space="preserve"> </w:t>
      </w:r>
      <w:r>
        <w:rPr>
          <w:rtl/>
        </w:rPr>
        <w:t xml:space="preserve"> </w:t>
      </w:r>
      <w:r>
        <w:rPr>
          <w:b/>
          <w:bCs/>
          <w:rtl/>
        </w:rPr>
        <w:t>ולית קדושה פחות מעשרה.</w:t>
      </w:r>
      <w:r>
        <w:rPr>
          <w:rtl/>
        </w:rPr>
        <w:t xml:space="preserve"> ורוצה לומר והוא דרגא דלוים הנוטלים מעשר, וברכה הוא מסטרא דכהנא כמו שמפרש והולך וצונו על - מסטרא דימינא כו' כחשבן על כו' והוא כהנא דנוטל תרומת מעשר מהלוים בסוד אי"ק בכר, וזה שאומר דאת י' בק' אסתליק למאה, רוצה לומר, די' - המעשר ממנו הוא ק' (ולישראל נשאר הכל בסוד א', ולוי - היו"ד ממנו, וכהן - ק' ממנו):</w:t>
      </w:r>
    </w:p>
  </w:footnote>
  <w:footnote w:id="3922">
    <w:p w:rsidR="00A13282" w:rsidRDefault="00A13282" w:rsidP="00B17EA9">
      <w:pPr>
        <w:pStyle w:val="a5"/>
      </w:pPr>
      <w:r>
        <w:rPr>
          <w:rStyle w:val="a7"/>
        </w:rPr>
        <w:footnoteRef/>
      </w:r>
      <w:r>
        <w:t xml:space="preserve"> </w:t>
      </w:r>
      <w:r>
        <w:rPr>
          <w:rtl/>
        </w:rPr>
        <w:t xml:space="preserve"> </w:t>
      </w:r>
      <w:r>
        <w:rPr>
          <w:b/>
          <w:bCs/>
          <w:rtl/>
        </w:rPr>
        <w:t>ואלין עשרה מאמרות דאתמר ויאמר כו'.</w:t>
      </w:r>
      <w:r>
        <w:rPr>
          <w:rtl/>
        </w:rPr>
        <w:t xml:space="preserve"> רוצה לומר דכתיב בכולן אלקים דגבורה, והן משלימין למ"ב דגבורה, כמו שאומר לעיל סוף תיקון ל”ו בעשר אמירן ול"ב אלקים כו':</w:t>
      </w:r>
    </w:p>
  </w:footnote>
  <w:footnote w:id="3923">
    <w:p w:rsidR="00A13282" w:rsidRDefault="00A13282" w:rsidP="00B17EA9">
      <w:pPr>
        <w:pStyle w:val="a5"/>
      </w:pPr>
      <w:r>
        <w:rPr>
          <w:rStyle w:val="a7"/>
        </w:rPr>
        <w:footnoteRef/>
      </w:r>
      <w:r>
        <w:t xml:space="preserve"> </w:t>
      </w:r>
      <w:r>
        <w:rPr>
          <w:b/>
          <w:bCs/>
          <w:rtl/>
        </w:rPr>
        <w:t>הוקם על.</w:t>
      </w:r>
      <w:r>
        <w:rPr>
          <w:rtl/>
        </w:rPr>
        <w:t xml:space="preserve"> דאתקשר דוד בימינא, דמשם משיח בשמן (תהלים פט כא), ושם (תהלים קי א) שב לימיני:</w:t>
      </w:r>
    </w:p>
  </w:footnote>
  <w:footnote w:id="3924">
    <w:p w:rsidR="00A13282" w:rsidRDefault="00A13282" w:rsidP="00B17EA9">
      <w:pPr>
        <w:pStyle w:val="a5"/>
      </w:pPr>
      <w:r>
        <w:rPr>
          <w:rStyle w:val="a7"/>
        </w:rPr>
        <w:footnoteRef/>
      </w:r>
      <w:r>
        <w:t xml:space="preserve"> </w:t>
      </w:r>
      <w:r>
        <w:rPr>
          <w:b/>
          <w:bCs/>
          <w:rtl/>
        </w:rPr>
        <w:t>דתמן כל ברכאן לימינא.</w:t>
      </w:r>
      <w:r>
        <w:rPr>
          <w:rtl/>
        </w:rPr>
        <w:t xml:space="preserve"> כמו שאמר לעיל ברכה דכהנא וקדושה דליואי כו':</w:t>
      </w:r>
    </w:p>
  </w:footnote>
  <w:footnote w:id="3925">
    <w:p w:rsidR="00A13282" w:rsidRDefault="00A13282" w:rsidP="00B17EA9">
      <w:pPr>
        <w:pStyle w:val="a5"/>
      </w:pPr>
      <w:r>
        <w:rPr>
          <w:rStyle w:val="a7"/>
        </w:rPr>
        <w:footnoteRef/>
      </w:r>
      <w:r>
        <w:t xml:space="preserve"> </w:t>
      </w:r>
      <w:r>
        <w:rPr>
          <w:b/>
          <w:bCs/>
          <w:rtl/>
        </w:rPr>
        <w:t>דאינון כו'.</w:t>
      </w:r>
      <w:r>
        <w:rPr>
          <w:rtl/>
        </w:rPr>
        <w:t xml:space="preserve"> והוא סוד אי"ק דהוא יב"ק, דאלף הוא יחודא וע"י יחודא חוזרים כולם לאחד וכמו שאומר בסוף תיקון הקודם ז"ו ביה עביד לון אחד ועיין מה שכתבתי שם, וחושבן אי"ק הוא אל"ף:</w:t>
      </w:r>
    </w:p>
  </w:footnote>
  <w:footnote w:id="3926">
    <w:p w:rsidR="00A13282" w:rsidRDefault="00A13282" w:rsidP="00B17EA9">
      <w:pPr>
        <w:pStyle w:val="a5"/>
      </w:pPr>
      <w:r>
        <w:rPr>
          <w:rStyle w:val="a7"/>
        </w:rPr>
        <w:footnoteRef/>
      </w:r>
      <w:r>
        <w:t xml:space="preserve"> </w:t>
      </w:r>
      <w:r>
        <w:rPr>
          <w:b/>
          <w:bCs/>
          <w:rtl/>
        </w:rPr>
        <w:t>קרבנא דכולא.</w:t>
      </w:r>
      <w:r>
        <w:rPr>
          <w:rtl/>
        </w:rPr>
        <w:t xml:space="preserve"> רוצה לומר ק' הוא קרבן, קריבו דכולא הוא מסטרא דימינא וכמו שאומר בזהר פרשת אחרי מות ע"ז ב' מאן גרם לון חסד הוא, ושאר מקומות הרבה:</w:t>
      </w:r>
    </w:p>
  </w:footnote>
  <w:footnote w:id="3927">
    <w:p w:rsidR="00A13282" w:rsidRDefault="00A13282" w:rsidP="00B17EA9">
      <w:pPr>
        <w:pStyle w:val="a5"/>
      </w:pPr>
      <w:r>
        <w:rPr>
          <w:rStyle w:val="a7"/>
        </w:rPr>
        <w:footnoteRef/>
      </w:r>
      <w:r>
        <w:t xml:space="preserve"> </w:t>
      </w:r>
      <w:r>
        <w:rPr>
          <w:b/>
          <w:bCs/>
          <w:rtl/>
        </w:rPr>
        <w:t>ומצווה דא עץ פרי ועושה כו'.</w:t>
      </w:r>
      <w:r>
        <w:rPr>
          <w:rtl/>
        </w:rPr>
        <w:t xml:space="preserve"> הוא דרך אחר, דקדשנו הוא על צדיק שהוא עושה פרי, וצונו - בעמודא דאמצעיתא דהוא עץ פרי, ועיין מה שאומר לעיל בתיקון ל’, אבל למעלה אמר דשניהן מצווין ושניהן עושין אלא דקדשנו מסטרא דאימא וצונו מסטרא דאבא וכמו שבארנו שם:</w:t>
      </w:r>
    </w:p>
  </w:footnote>
  <w:footnote w:id="3928">
    <w:p w:rsidR="00A13282" w:rsidRDefault="00A13282" w:rsidP="00B17EA9">
      <w:pPr>
        <w:pStyle w:val="a5"/>
      </w:pPr>
      <w:r>
        <w:rPr>
          <w:rStyle w:val="a7"/>
        </w:rPr>
        <w:footnoteRef/>
      </w:r>
      <w:r>
        <w:t xml:space="preserve"> </w:t>
      </w:r>
      <w:r>
        <w:rPr>
          <w:b/>
          <w:bCs/>
          <w:rtl/>
        </w:rPr>
        <w:t xml:space="preserve"> ואינון גוף כו'.</w:t>
      </w:r>
      <w:r>
        <w:rPr>
          <w:rtl/>
        </w:rPr>
        <w:t xml:space="preserve"> דאמר על שניהם בלשון אחד עץ פרי עושה כו':</w:t>
      </w:r>
    </w:p>
  </w:footnote>
  <w:footnote w:id="3929">
    <w:p w:rsidR="00A13282" w:rsidRDefault="00A13282" w:rsidP="00B17EA9">
      <w:pPr>
        <w:pStyle w:val="a5"/>
      </w:pPr>
      <w:r>
        <w:rPr>
          <w:rStyle w:val="a7"/>
        </w:rPr>
        <w:footnoteRef/>
      </w:r>
      <w:r>
        <w:t xml:space="preserve"> </w:t>
      </w:r>
      <w:r>
        <w:rPr>
          <w:rtl/>
        </w:rPr>
        <w:t xml:space="preserve"> </w:t>
      </w:r>
      <w:r>
        <w:rPr>
          <w:b/>
          <w:bCs/>
          <w:rtl/>
        </w:rPr>
        <w:t>דאינון חד.</w:t>
      </w:r>
      <w:r>
        <w:rPr>
          <w:rtl/>
        </w:rPr>
        <w:t xml:space="preserve"> דאין הפסק כמו בימינא ושמאלא:</w:t>
      </w:r>
    </w:p>
  </w:footnote>
  <w:footnote w:id="3930">
    <w:p w:rsidR="00A13282" w:rsidRDefault="00A13282" w:rsidP="00B17EA9">
      <w:pPr>
        <w:pStyle w:val="a5"/>
      </w:pPr>
      <w:r>
        <w:rPr>
          <w:rStyle w:val="a7"/>
        </w:rPr>
        <w:footnoteRef/>
      </w:r>
      <w:r>
        <w:t xml:space="preserve"> </w:t>
      </w:r>
      <w:r>
        <w:rPr>
          <w:b/>
          <w:bCs/>
          <w:rtl/>
        </w:rPr>
        <w:t>שתי כתפות חוברות כו'.</w:t>
      </w:r>
      <w:r>
        <w:rPr>
          <w:rtl/>
        </w:rPr>
        <w:t xml:space="preserve"> רוצה לומר סיפיה דקרא אל שני קצותיו וחבר, והן ב' ווין דביה, וא"ו, דהן קצוות דוא"ו מלא, ושתי ההין דבשם הן מחוברין אל שתי הווין מכאן ומכאן, והב' ווין הן גוף וברית ועל ידיהם מתחברין שכינה עילאה ותתאה ב' ההין הנ"ל כמו שאמרו (ירושלמי חגיגה ט ע"א) אין בין מים למים כו' וכמו שאומר לעיל בריש תיקון י"ט והן שתי כתפות חוברות וזה שאומר למטה הכי שכינתא עילאה כו' וחבר על שני קצותיו:</w:t>
      </w:r>
    </w:p>
  </w:footnote>
  <w:footnote w:id="3931">
    <w:p w:rsidR="00A13282" w:rsidRDefault="00A13282" w:rsidP="00B17EA9">
      <w:pPr>
        <w:pStyle w:val="a5"/>
      </w:pPr>
      <w:r>
        <w:rPr>
          <w:rStyle w:val="a7"/>
        </w:rPr>
        <w:footnoteRef/>
      </w:r>
      <w:r>
        <w:t xml:space="preserve"> </w:t>
      </w:r>
      <w:r>
        <w:rPr>
          <w:b/>
          <w:bCs/>
          <w:rtl/>
        </w:rPr>
        <w:t>וכמה דאינון כו'.</w:t>
      </w:r>
      <w:r>
        <w:rPr>
          <w:rtl/>
        </w:rPr>
        <w:t xml:space="preserve"> כנ"ל דחג"ת באימא ונה"י במלכות, ות"ת ויסוד אחד - ולכן הן גם כן אחד:</w:t>
      </w:r>
    </w:p>
  </w:footnote>
  <w:footnote w:id="3932">
    <w:p w:rsidR="00A13282" w:rsidRDefault="00A13282" w:rsidP="00B17EA9">
      <w:pPr>
        <w:pStyle w:val="a5"/>
      </w:pPr>
      <w:r>
        <w:rPr>
          <w:rStyle w:val="a7"/>
        </w:rPr>
        <w:footnoteRef/>
      </w:r>
      <w:r>
        <w:t xml:space="preserve"> </w:t>
      </w:r>
      <w:r>
        <w:rPr>
          <w:b/>
          <w:bCs/>
          <w:rtl/>
        </w:rPr>
        <w:t>ועוד אשר כו' ולא כו'.</w:t>
      </w:r>
      <w:r>
        <w:rPr>
          <w:rtl/>
        </w:rPr>
        <w:t xml:space="preserve"> כמו שאומר באדרא זוטא דכתר עליון נקרא הוא, ושירותא מחכמה נקרא אתה, ואמר שם בבחינה אחרת דג"ר - הוא, ומחסד נקרא אתה, וכן אמר ברעיא מהימנא פ' עקב ואמר שם והשתא קרינן כו', ורוצה לומר דשניהם ניחא וד"ל והוא ניחא מה שאמר למעלה דבינה נקראת אשר, והשתא מפרש אשר קדשנו וצונו, אלו ג' הם ג"ר כמו שמפרש והולך:</w:t>
      </w:r>
    </w:p>
  </w:footnote>
  <w:footnote w:id="3933">
    <w:p w:rsidR="00A13282" w:rsidRDefault="00A13282" w:rsidP="00B17EA9">
      <w:pPr>
        <w:pStyle w:val="a5"/>
      </w:pPr>
      <w:r>
        <w:rPr>
          <w:rStyle w:val="a7"/>
        </w:rPr>
        <w:footnoteRef/>
      </w:r>
      <w:r>
        <w:t xml:space="preserve"> </w:t>
      </w:r>
      <w:r>
        <w:rPr>
          <w:b/>
          <w:bCs/>
          <w:rtl/>
        </w:rPr>
        <w:t>אשר אהיה ודאי כו'.</w:t>
      </w:r>
      <w:r>
        <w:rPr>
          <w:rtl/>
        </w:rPr>
        <w:t xml:space="preserve"> רוצה לומר דעיקר שם אקי"ק הוא בכתר כמו שאומר בזהר פרשת ויקרא י"א א':</w:t>
      </w:r>
    </w:p>
  </w:footnote>
  <w:footnote w:id="3934">
    <w:p w:rsidR="00A13282" w:rsidRDefault="00A13282" w:rsidP="00B17EA9">
      <w:pPr>
        <w:pStyle w:val="a5"/>
      </w:pPr>
      <w:r>
        <w:rPr>
          <w:rStyle w:val="a7"/>
        </w:rPr>
        <w:footnoteRef/>
      </w:r>
      <w:r>
        <w:t xml:space="preserve"> </w:t>
      </w:r>
      <w:r>
        <w:rPr>
          <w:rtl/>
        </w:rPr>
        <w:t xml:space="preserve"> </w:t>
      </w:r>
      <w:r>
        <w:rPr>
          <w:b/>
          <w:bCs/>
          <w:rtl/>
        </w:rPr>
        <w:t>מסט' דנוקבא אתקרי אשר ומסט' כו'.</w:t>
      </w:r>
      <w:r>
        <w:rPr>
          <w:rtl/>
        </w:rPr>
        <w:t xml:space="preserve"> רוצה לומר דכתר הוא זו"ן, גלגלתא, רישא דכל רישין, ותניינא - מ"ס, נוק' כידוע בסוד חו"ג, ורישא דלמעלה אינו ממנינא דהוא רישא דלאו רישא לא בחושבנא כו' ברח כו', ומ"ס הוא התחלת האדם ותיקונא וכל המצות כידוע (ומשם שורש או"א, קדשנו וצונו, ואקי"ק הראשון הוא ראש, ואשר אהיה הוא בנוק', מ"ס דהיא עתיד להתגלות בתיקונים התחתונים דמינה נפיק או"א מה שאין כן בראש, גלגלתא דנקרא ראש כנ"ל דנקרא אין, אהיה סתים מאן דאנא וכמו שאומר שם בזהר פרשת ויקרא) ולכן אומרים אשר קדשנו וצונו (וכמו שאומר למעלה דאימא נקרא אשר, ובה הברכה, דאיהי התחלה דכולא בז"ת כמו שאמרו שביעאה באימא, כן מ"ס לעשר ספירות):</w:t>
      </w:r>
    </w:p>
  </w:footnote>
  <w:footnote w:id="3935">
    <w:p w:rsidR="00A13282" w:rsidRDefault="00A13282" w:rsidP="00B17EA9">
      <w:pPr>
        <w:pStyle w:val="a5"/>
      </w:pPr>
      <w:r>
        <w:rPr>
          <w:rStyle w:val="a7"/>
        </w:rPr>
        <w:footnoteRef/>
      </w:r>
      <w:r>
        <w:t xml:space="preserve"> </w:t>
      </w:r>
      <w:r>
        <w:rPr>
          <w:b/>
          <w:bCs/>
          <w:rtl/>
        </w:rPr>
        <w:t>וצונו דא אבא דאתמר בה ויאמר כו'.</w:t>
      </w:r>
      <w:r>
        <w:rPr>
          <w:rtl/>
        </w:rPr>
        <w:t xml:space="preserve"> שהוא מצוה:</w:t>
      </w:r>
    </w:p>
  </w:footnote>
  <w:footnote w:id="3936">
    <w:p w:rsidR="00A13282" w:rsidRDefault="00A13282" w:rsidP="00B17EA9">
      <w:pPr>
        <w:pStyle w:val="a5"/>
      </w:pPr>
      <w:r>
        <w:rPr>
          <w:rStyle w:val="a7"/>
        </w:rPr>
        <w:footnoteRef/>
      </w:r>
      <w:r>
        <w:t xml:space="preserve"> </w:t>
      </w:r>
      <w:r>
        <w:rPr>
          <w:b/>
          <w:bCs/>
          <w:rtl/>
        </w:rPr>
        <w:t xml:space="preserve">קדשנו דא אימא דאתמר בה ויהי אור ולית הוי"ה כו'. </w:t>
      </w:r>
      <w:r>
        <w:rPr>
          <w:rtl/>
        </w:rPr>
        <w:t>רוצה לומר דהויה הוא ע"י עשיה כמו שכתוב יהי רקיע, ויעש אלקים את הרקיע, וכן במאורות, והוא מצווה ועושה וזה שאומר</w:t>
      </w:r>
    </w:p>
  </w:footnote>
  <w:footnote w:id="3937">
    <w:p w:rsidR="00A13282" w:rsidRDefault="00A13282" w:rsidP="00B17EA9">
      <w:pPr>
        <w:pStyle w:val="a5"/>
      </w:pPr>
      <w:r>
        <w:rPr>
          <w:rStyle w:val="a7"/>
        </w:rPr>
        <w:footnoteRef/>
      </w:r>
      <w:r>
        <w:t xml:space="preserve"> </w:t>
      </w:r>
      <w:r>
        <w:rPr>
          <w:b/>
          <w:bCs/>
          <w:rtl/>
        </w:rPr>
        <w:t>ותרווייהו לימינא ושמאלא.</w:t>
      </w:r>
      <w:r>
        <w:rPr>
          <w:rtl/>
        </w:rPr>
        <w:t xml:space="preserve"> כנ"ל קדשנו מסטרא דשמאלא כו' וצונו על - מסטרא דימינא כו', וכן אמר למעלה בתיקון ל’ אימא קדשנו ואבא צונו עיין שם:</w:t>
      </w:r>
    </w:p>
  </w:footnote>
  <w:footnote w:id="3938">
    <w:p w:rsidR="00A13282" w:rsidRDefault="00A13282" w:rsidP="00B17EA9">
      <w:pPr>
        <w:pStyle w:val="a5"/>
      </w:pPr>
      <w:r>
        <w:rPr>
          <w:rStyle w:val="a7"/>
        </w:rPr>
        <w:footnoteRef/>
      </w:r>
      <w:r>
        <w:t xml:space="preserve"> </w:t>
      </w:r>
      <w:r>
        <w:rPr>
          <w:b/>
          <w:bCs/>
          <w:rtl/>
        </w:rPr>
        <w:t>ומאן מצווה כו' והכי צדיק.</w:t>
      </w:r>
      <w:r>
        <w:rPr>
          <w:rtl/>
        </w:rPr>
        <w:t xml:space="preserve"> כנ"ל דעל שניהם מפרשין קדשנו כו' ועוד אשר קדשנו דא עמודא דאמצעיתא כו':</w:t>
      </w:r>
    </w:p>
  </w:footnote>
  <w:footnote w:id="3939">
    <w:p w:rsidR="00A13282" w:rsidRDefault="00A13282" w:rsidP="00B17EA9">
      <w:pPr>
        <w:pStyle w:val="a5"/>
      </w:pPr>
      <w:r>
        <w:rPr>
          <w:rStyle w:val="a7"/>
        </w:rPr>
        <w:footnoteRef/>
      </w:r>
      <w:r>
        <w:t xml:space="preserve"> </w:t>
      </w:r>
      <w:r>
        <w:rPr>
          <w:b/>
          <w:bCs/>
          <w:rtl/>
        </w:rPr>
        <w:t>ועל שמיה כו' ועל שם צדיק כו'.</w:t>
      </w:r>
      <w:r>
        <w:rPr>
          <w:rtl/>
        </w:rPr>
        <w:t xml:space="preserve"> רוצה לומר, דאנחנו נקראים על שם שניהם ולכן מסטרא דילהון אנו מצווים ועושים: </w:t>
      </w:r>
    </w:p>
  </w:footnote>
  <w:footnote w:id="3940">
    <w:p w:rsidR="00A13282" w:rsidRDefault="00A13282" w:rsidP="00B17EA9">
      <w:pPr>
        <w:pStyle w:val="a5"/>
      </w:pPr>
      <w:r>
        <w:rPr>
          <w:rStyle w:val="a7"/>
        </w:rPr>
        <w:footnoteRef/>
      </w:r>
      <w:r>
        <w:t xml:space="preserve"> </w:t>
      </w:r>
      <w:r>
        <w:rPr>
          <w:rtl/>
        </w:rPr>
        <w:t xml:space="preserve"> </w:t>
      </w:r>
      <w:r>
        <w:rPr>
          <w:b/>
          <w:bCs/>
          <w:rtl/>
        </w:rPr>
        <w:t>ועוד אנכי כו'.</w:t>
      </w:r>
      <w:r>
        <w:rPr>
          <w:rtl/>
        </w:rPr>
        <w:t xml:space="preserve"> הוא ראיה דאשר הוא באימא - דבה נ' תרעין ועיין מה שאומר לעיל בתיקון ל”ב בארוכה: </w:t>
      </w:r>
    </w:p>
  </w:footnote>
  <w:footnote w:id="3941">
    <w:p w:rsidR="00A13282" w:rsidRDefault="00A13282" w:rsidP="00B17EA9">
      <w:pPr>
        <w:pStyle w:val="a5"/>
      </w:pPr>
      <w:r>
        <w:rPr>
          <w:rStyle w:val="a7"/>
        </w:rPr>
        <w:footnoteRef/>
      </w:r>
      <w:r>
        <w:t xml:space="preserve"> </w:t>
      </w:r>
      <w:r>
        <w:rPr>
          <w:rtl/>
        </w:rPr>
        <w:t xml:space="preserve"> </w:t>
      </w:r>
      <w:r>
        <w:rPr>
          <w:b/>
          <w:bCs/>
          <w:rtl/>
        </w:rPr>
        <w:t>אשר ודאי דאיהי אשר אהי"ה.</w:t>
      </w:r>
      <w:r>
        <w:rPr>
          <w:rtl/>
        </w:rPr>
        <w:t xml:space="preserve"> כנ"ל דאיהי התחלה לז"ת, ונקראת אהי"ה, כמו הכתר לעשר ספירות, וכן כמו נוק' דכתר - אשר, ודכורא - ראש, כן הוא בחו"ב, כמו שאומר לעיל מסטרא דאבא ראש כו':</w:t>
      </w:r>
    </w:p>
  </w:footnote>
  <w:footnote w:id="3942">
    <w:p w:rsidR="00A13282" w:rsidRDefault="00A13282" w:rsidP="00B17EA9">
      <w:pPr>
        <w:pStyle w:val="a5"/>
      </w:pPr>
      <w:r>
        <w:rPr>
          <w:rStyle w:val="a7"/>
        </w:rPr>
        <w:footnoteRef/>
      </w:r>
      <w:r>
        <w:t xml:space="preserve"> </w:t>
      </w:r>
      <w:r>
        <w:rPr>
          <w:b/>
          <w:bCs/>
          <w:rtl/>
        </w:rPr>
        <w:t>דאיהי מצוה לכל כו'.</w:t>
      </w:r>
      <w:r>
        <w:rPr>
          <w:rtl/>
        </w:rPr>
        <w:t xml:space="preserve"> דשניהם מצווים עליה כנ"ל ומאן כו' והכי צדיק כו': (</w:t>
      </w:r>
      <w:r>
        <w:rPr>
          <w:b/>
          <w:bCs/>
          <w:rtl/>
        </w:rPr>
        <w:t>ועל שמיה כו' ועל שם כו'.</w:t>
      </w:r>
      <w:r>
        <w:rPr>
          <w:rtl/>
        </w:rPr>
        <w:t xml:space="preserve"> רוצה לומר דלא תאמר האי קדשנו וצונו דקאי עלינו, ישראל: </w:t>
      </w:r>
      <w:r>
        <w:rPr>
          <w:b/>
          <w:bCs/>
          <w:rtl/>
        </w:rPr>
        <w:t>כל ספירה וספירה אתקרי ראש כו'.</w:t>
      </w:r>
      <w:r>
        <w:rPr>
          <w:rtl/>
        </w:rPr>
        <w:t xml:space="preserve"> רוצה לומר לכן כתיב אשר הוצאתיך אשר כו': </w:t>
      </w:r>
      <w:r>
        <w:rPr>
          <w:b/>
          <w:bCs/>
          <w:rtl/>
        </w:rPr>
        <w:t>אשר קדשני וצוני כו'.</w:t>
      </w:r>
      <w:r>
        <w:rPr>
          <w:rtl/>
        </w:rPr>
        <w:t xml:space="preserve"> אע"ג דקאי על ישראל גם כן כנ"ל, מכל מקום בלשון יחיד גם כן משתמע על אדם המברך):</w:t>
      </w:r>
    </w:p>
  </w:footnote>
  <w:footnote w:id="3943">
    <w:p w:rsidR="00A13282" w:rsidRDefault="00A13282" w:rsidP="00B17EA9">
      <w:pPr>
        <w:pStyle w:val="a5"/>
      </w:pPr>
      <w:r>
        <w:rPr>
          <w:rStyle w:val="a7"/>
        </w:rPr>
        <w:footnoteRef/>
      </w:r>
      <w:r>
        <w:t xml:space="preserve"> </w:t>
      </w:r>
      <w:r>
        <w:rPr>
          <w:b/>
          <w:bCs/>
          <w:rtl/>
        </w:rPr>
        <w:t>ואינון לעילא תרין כו' ולתתא כו'.</w:t>
      </w:r>
      <w:r>
        <w:rPr>
          <w:rtl/>
        </w:rPr>
        <w:t xml:space="preserve"> רוצה לומר, אע"ג דאדם דלתתא דהוא בדיוקנייהו, מצווה על המצוה - הוא אחד, תירץ, לפי שהוא בא ממלכות דבה נעשין הכל אחד כמו שאמרו בתפלין של ראש ותפלין של יד, וכמו שאומר להלן בהרבה מקומות:</w:t>
      </w:r>
    </w:p>
  </w:footnote>
  <w:footnote w:id="3944">
    <w:p w:rsidR="00A13282" w:rsidRDefault="00A13282" w:rsidP="00B17EA9">
      <w:pPr>
        <w:pStyle w:val="a5"/>
      </w:pPr>
      <w:r>
        <w:rPr>
          <w:rStyle w:val="a7"/>
        </w:rPr>
        <w:footnoteRef/>
      </w:r>
      <w:r>
        <w:t xml:space="preserve"> </w:t>
      </w:r>
      <w:r>
        <w:rPr>
          <w:b/>
          <w:bCs/>
          <w:rtl/>
        </w:rPr>
        <w:t>בה אגדה חדא.</w:t>
      </w:r>
      <w:r>
        <w:rPr>
          <w:rtl/>
        </w:rPr>
        <w:t xml:space="preserve"> כמו שכתוב (עמוס ט ו) ואגדתו על ארץ יסדה, דשם (במדבר א טז) ראשי אלפי ישראל, (דברים א יג) חכמים כו' - הכל באגדה אחת בישראל, וזהו סוד המנין - שיהיו עשרה באגדה אחת (אגדה - גימטריה אחד):</w:t>
      </w:r>
    </w:p>
  </w:footnote>
  <w:footnote w:id="3945">
    <w:p w:rsidR="00A13282" w:rsidRDefault="00A13282" w:rsidP="00B17EA9">
      <w:pPr>
        <w:pStyle w:val="a5"/>
      </w:pPr>
      <w:r>
        <w:rPr>
          <w:rStyle w:val="a7"/>
        </w:rPr>
        <w:footnoteRef/>
      </w:r>
      <w:r>
        <w:t xml:space="preserve"> </w:t>
      </w:r>
      <w:r>
        <w:rPr>
          <w:b/>
          <w:bCs/>
          <w:rtl/>
        </w:rPr>
        <w:t>ובה אתעבידו.</w:t>
      </w:r>
      <w:r>
        <w:rPr>
          <w:rtl/>
        </w:rPr>
        <w:t xml:space="preserve"> בזרע דידה, שנקשרין כל השפע דיליה לבשר אחד:</w:t>
      </w:r>
    </w:p>
  </w:footnote>
  <w:footnote w:id="3946">
    <w:p w:rsidR="00A13282" w:rsidRDefault="00A13282" w:rsidP="00B17EA9">
      <w:pPr>
        <w:pStyle w:val="a5"/>
      </w:pPr>
      <w:r>
        <w:rPr>
          <w:rStyle w:val="a7"/>
        </w:rPr>
        <w:footnoteRef/>
      </w:r>
      <w:r>
        <w:t xml:space="preserve"> </w:t>
      </w:r>
      <w:r>
        <w:rPr>
          <w:b/>
          <w:bCs/>
          <w:rtl/>
        </w:rPr>
        <w:t>ועוד ויאמר כו'.</w:t>
      </w:r>
      <w:r>
        <w:rPr>
          <w:rtl/>
        </w:rPr>
        <w:t xml:space="preserve"> עתה מפרש פקודא דנבואה, קלא תניינא הנ"ל, ובתיקון מ’ מפרש לה בתיבת בראשית, וכאן הוא הקדמה לשם, וכן בתיקונים דלקמן וכנ"ל:</w:t>
      </w:r>
    </w:p>
  </w:footnote>
  <w:footnote w:id="3947">
    <w:p w:rsidR="00A13282" w:rsidRDefault="00A13282" w:rsidP="00B17EA9">
      <w:pPr>
        <w:pStyle w:val="a5"/>
      </w:pPr>
      <w:r>
        <w:rPr>
          <w:rStyle w:val="a7"/>
        </w:rPr>
        <w:footnoteRef/>
      </w:r>
      <w:r>
        <w:t xml:space="preserve"> </w:t>
      </w:r>
      <w:r>
        <w:rPr>
          <w:b/>
          <w:bCs/>
          <w:rtl/>
        </w:rPr>
        <w:t>דא נבואה במראה.</w:t>
      </w:r>
      <w:r>
        <w:rPr>
          <w:rtl/>
        </w:rPr>
        <w:t xml:space="preserve"> רוצה לומר, דבמראה הוא ראיה באור וכמו שאומר לעיל ע"ז ב' חמש אור אינון ועלייהו כו' עיין שם ולקמן קכ"ט א' ראיה ואיהו לימינא דחסד דאיהו יומא קדמאה דתמן אור:</w:t>
      </w:r>
    </w:p>
  </w:footnote>
  <w:footnote w:id="3948">
    <w:p w:rsidR="00A13282" w:rsidRDefault="00A13282" w:rsidP="00B17EA9">
      <w:pPr>
        <w:pStyle w:val="a5"/>
      </w:pPr>
      <w:r>
        <w:rPr>
          <w:rStyle w:val="a7"/>
        </w:rPr>
        <w:footnoteRef/>
      </w:r>
      <w:r>
        <w:t xml:space="preserve"> </w:t>
      </w:r>
      <w:r>
        <w:rPr>
          <w:b/>
          <w:bCs/>
          <w:rtl/>
        </w:rPr>
        <w:t>ואיהי חזון.</w:t>
      </w:r>
      <w:r>
        <w:rPr>
          <w:rtl/>
        </w:rPr>
        <w:t xml:space="preserve"> שהוא גם כן לשון ראיה ונקראו הנביאים רואים לפנים כו' (שמואל א ט ט), וכן חוזים:</w:t>
      </w:r>
    </w:p>
  </w:footnote>
  <w:footnote w:id="3949">
    <w:p w:rsidR="00A13282" w:rsidRDefault="00A13282" w:rsidP="00B17EA9">
      <w:pPr>
        <w:pStyle w:val="a5"/>
      </w:pPr>
      <w:r>
        <w:rPr>
          <w:rStyle w:val="a7"/>
        </w:rPr>
        <w:footnoteRef/>
      </w:r>
      <w:r>
        <w:t xml:space="preserve"> </w:t>
      </w:r>
      <w:r>
        <w:rPr>
          <w:b/>
          <w:bCs/>
          <w:rtl/>
        </w:rPr>
        <w:t>איהי חזון כו'.</w:t>
      </w:r>
      <w:r>
        <w:rPr>
          <w:rtl/>
        </w:rPr>
        <w:t xml:space="preserve"> דכל תוספת נו"ן הוא לשון נקבה, שבתון - על שבות דרבנן וכמו שאומר לעיל ס"ו ב':</w:t>
      </w:r>
    </w:p>
  </w:footnote>
  <w:footnote w:id="3950">
    <w:p w:rsidR="00A13282" w:rsidRDefault="00A13282" w:rsidP="00B17EA9">
      <w:pPr>
        <w:pStyle w:val="a5"/>
      </w:pPr>
      <w:r>
        <w:rPr>
          <w:rStyle w:val="a7"/>
        </w:rPr>
        <w:footnoteRef/>
      </w:r>
      <w:r>
        <w:t xml:space="preserve"> </w:t>
      </w:r>
      <w:r>
        <w:rPr>
          <w:b/>
          <w:bCs/>
          <w:rtl/>
        </w:rPr>
        <w:t>דאיהו יהו"ה אדנ"י.</w:t>
      </w:r>
      <w:r>
        <w:rPr>
          <w:rtl/>
        </w:rPr>
        <w:t xml:space="preserve"> כמו שמפרש והולך (חזון בלא ו'), וחוזה - חושבן הוי"ה. ואמר במאי היא כו' רוצה לומר דוא"ו שבתוך חזון הוא דמסטרא דוא"ו היא נקראת חזון, דב' דרגין הוא בנבואה, מסטרא דראיה הוא אספקלריא דנהרא, ומסטרא דשמיעה אספקלריא דלא נהרא, דכתיב בהון (ישעיהו ו א) ואראה את ה' כו', (יחזקאל ג יב) ואשמע אחרי קול, והם ראיה מסטרא דתורה שבכתב, הוי"ה דצריך ראיה שם, ושמיעה מסטרא דתורה שבעל פה דצריך שמיעה, והם ימינא ושמאלא כמו שאומר לקמן בתיקון ע’ בכמה מקומות ובזהר חדש פ' יתרו, ולכן חזון אתקרי מסטרא דידיה בוא"ו, וזה שאומר אתעבידת אספקלריא דנהרא, ואמר לקמן בתיקון מ’ ובג"ד מסטרא דהויה כו' וכד כו', והיא אור דכאן אספקלריא דנהרא, וזה שאומר למעלה דא נבואה במראה, לאפוקי נבואה בשמיעה, ואמר דא נבואה כו' ואיהי כו'. רוצה לומר הכל בנוק' דבה מתפתחין תרעין דנבואה כמו שאומר לעיל בתיקון ל’, וזה שאומר חזון דנביאיא דלית רשו לשום נביא וחוזה אלא בה כמו שאומר לעיל בתיקון ו’ ושאר מקומות:</w:t>
      </w:r>
    </w:p>
  </w:footnote>
  <w:footnote w:id="3951">
    <w:p w:rsidR="00A13282" w:rsidRDefault="00A13282" w:rsidP="00B17EA9">
      <w:pPr>
        <w:pStyle w:val="a5"/>
      </w:pPr>
      <w:r>
        <w:rPr>
          <w:rStyle w:val="a7"/>
        </w:rPr>
        <w:footnoteRef/>
      </w:r>
      <w:r>
        <w:t xml:space="preserve"> </w:t>
      </w:r>
      <w:r>
        <w:rPr>
          <w:b/>
          <w:bCs/>
          <w:rtl/>
        </w:rPr>
        <w:t>אדון דילה.</w:t>
      </w:r>
      <w:r>
        <w:rPr>
          <w:rtl/>
        </w:rPr>
        <w:t xml:space="preserve"> רוצה לומר דשם אדנ"י הוא בנוק', וכשהוא בוא"ו מראה על דכורא, אדון דילה, כמו שכתוב (יהושע ג יא) אדון כל הארץ רוצה לומר אדון של הארץ וקאי על הברית שבתוך הארון וכמו שאומר בתיקון מ’ אדון כל הארץ ודאי. ומה שכתוב כאן בהגהה בנבואה ס"ו כו' - הגהת תלמיד טועה היא:</w:t>
      </w:r>
    </w:p>
  </w:footnote>
  <w:footnote w:id="3952">
    <w:p w:rsidR="00A13282" w:rsidRDefault="00A13282" w:rsidP="00B17EA9">
      <w:pPr>
        <w:pStyle w:val="a5"/>
        <w:rPr>
          <w:rtl/>
        </w:rPr>
      </w:pPr>
    </w:p>
    <w:p w:rsidR="00A13282" w:rsidRDefault="00A13282" w:rsidP="00B17EA9">
      <w:pPr>
        <w:pStyle w:val="a5"/>
      </w:pPr>
      <w:r>
        <w:rPr>
          <w:rStyle w:val="a7"/>
        </w:rPr>
        <w:footnoteRef/>
      </w:r>
      <w:r>
        <w:t xml:space="preserve"> </w:t>
      </w:r>
      <w:r>
        <w:rPr>
          <w:rtl/>
        </w:rPr>
        <w:t xml:space="preserve"> </w:t>
      </w:r>
      <w:r>
        <w:rPr>
          <w:b/>
          <w:bCs/>
          <w:rtl/>
        </w:rPr>
        <w:t>תיקון מ'. בראשית כו'.</w:t>
      </w:r>
      <w:r>
        <w:rPr>
          <w:rtl/>
        </w:rPr>
        <w:t xml:space="preserve"> עתה מפרש בראשית על הנבואה:</w:t>
      </w:r>
    </w:p>
  </w:footnote>
  <w:footnote w:id="3953">
    <w:p w:rsidR="00A13282" w:rsidRDefault="00A13282" w:rsidP="00B17EA9">
      <w:pPr>
        <w:pStyle w:val="a5"/>
      </w:pPr>
      <w:r>
        <w:rPr>
          <w:rStyle w:val="a7"/>
        </w:rPr>
        <w:footnoteRef/>
      </w:r>
      <w:r>
        <w:t xml:space="preserve"> </w:t>
      </w:r>
      <w:r>
        <w:rPr>
          <w:b/>
          <w:bCs/>
          <w:rtl/>
        </w:rPr>
        <w:t>תמן כו'.</w:t>
      </w:r>
      <w:r>
        <w:rPr>
          <w:rtl/>
        </w:rPr>
        <w:t xml:space="preserve"> שהן ב' נבואות הנ"ל, ולפי שגבורות נכללין בחסדים, ונקראו על שם החסדים, לכן לית תמן אלא ראשי תיבות של שמעי, והכל כלילין בבת כנ"ל:</w:t>
      </w:r>
    </w:p>
  </w:footnote>
  <w:footnote w:id="3954">
    <w:p w:rsidR="00A13282" w:rsidRDefault="00A13282" w:rsidP="00B17EA9">
      <w:pPr>
        <w:pStyle w:val="a5"/>
      </w:pPr>
      <w:r>
        <w:rPr>
          <w:rStyle w:val="a7"/>
        </w:rPr>
        <w:footnoteRef/>
      </w:r>
      <w:r>
        <w:t xml:space="preserve"> </w:t>
      </w:r>
      <w:r>
        <w:rPr>
          <w:b/>
          <w:bCs/>
          <w:rtl/>
        </w:rPr>
        <w:t>בת תמן אשתמודע כו'.</w:t>
      </w:r>
      <w:r>
        <w:rPr>
          <w:rtl/>
        </w:rPr>
        <w:t xml:space="preserve"> רוצה לומר, דהראיה, שהוא מדכורא, תורה שבכתב נכלל בגוה ורוצה לומר וזהו חזון - שוא"ו נכלל בס"ה דילה, וש' נכלל בראי כנ"ל דגבורות נכלל בחסדים, חשך באור, לילה ביום, וכמו שאומר בזהר פרשת בראשית י"ז א'. וזה שאומר </w:t>
      </w:r>
      <w:r>
        <w:rPr>
          <w:b/>
          <w:bCs/>
          <w:rtl/>
        </w:rPr>
        <w:t>וכד תהא בחבורא כו'.</w:t>
      </w:r>
      <w:r>
        <w:rPr>
          <w:rtl/>
        </w:rPr>
        <w:t xml:space="preserve"> והוא חזון הנ"ל דאתדבקת בוא"ו ונקראת אספקלריא דנהרא על שם בעלה דנקרא חוזה דבלא בעלה היא אספקלריא דלא נהרא כמו שאומר למטה ובג"ד כו' וכד איהי כו' והיא מסטרא דשמיעה כנ"ל אבל עתה והיו לבשר אחד, איהו חוזה ואיהי חזון, והגבורות דילה ירתא מאו"א, וחסדים מבעלה, דהם מתקנין לה והיא אז אספקלריא דלא נהרא וכמו שאומר בזהר פרשת בראשית מ"ט א' ב' ויבן ה' אלקים כו' דהא אבא ואימא אתקינו לה כו' אספקלריא דלא נהרא, ובשר מבשרי בגין לאחזאה לה דאינון חד ולא אית פרודא בינייהו בכלא, ועיין באידרא רבה קמ"ב א' בארוכה, וזה שכתוב (תהלים מה יא) שכחי עמך ובית אביך, דהן או"א, דמסטרא דילהון לא נהרא והיא שחורה כמו שאומר שם כמה דאתמר שחורה אני כו' ועתה (שם) ויתאו המלך יפיך, דנהירא באור:</w:t>
      </w:r>
    </w:p>
  </w:footnote>
  <w:footnote w:id="3955">
    <w:p w:rsidR="00A13282" w:rsidRDefault="00A13282" w:rsidP="00B17EA9">
      <w:pPr>
        <w:pStyle w:val="a5"/>
      </w:pPr>
      <w:r>
        <w:rPr>
          <w:rStyle w:val="a7"/>
        </w:rPr>
        <w:footnoteRef/>
      </w:r>
      <w:r>
        <w:t xml:space="preserve"> </w:t>
      </w:r>
      <w:r>
        <w:rPr>
          <w:b/>
          <w:bCs/>
          <w:rtl/>
        </w:rPr>
        <w:t>דעל כן יעזב כו'.</w:t>
      </w:r>
      <w:r>
        <w:rPr>
          <w:rtl/>
        </w:rPr>
        <w:t xml:space="preserve"> כל זה אומר לה, דגם אני עוזב כו', ועיין שם בפרשת בראשית תא חזי מה כתיב הכא ויאמר האדם זאת הפעם וגו' הא בסימו דמילין לאמשכא עמה כו' על כן יעזב איש כו' לבשר אחד, כולא לאמשכא לה ברחימו ולאדבקא בהדה, ורוצה לומר שכל זה דברי אדם הן ולא דברי התורה, ודברי ז"א לנוק', וענין עזיבת אב ואם הוא כי אמרינן באידרא זוטא דנוטל ד' כתרים מאו"א, ב' אחסנתין וב' גניזין, ד' בתים דתפילין שהן למוחין, והכל בסוד הדעת, ונותן הוא לנוק', והאי ירית לברתא וברתא מיניה אתזן כו' עיין שם, והענין, כי שני מיני אישות, אחד בענין הזיווג מסטרא דצדיק, חו"ג, והן ב' גניזין חד עטרא כו', ואחד מסטרא דבעל שזן לה תמיד ומפרנס אותה, והוא מסטרא דת"ת, בעל הבית ואורח, והן ד' חלקים, מזונות שנוטל לשניהם, זכר - זה ככרו, ונקבה - נקיה באה (נדה לא ע"ב), אלא שהקב"ה נותן לזכר חלק שניהם, והוא נותן לה, וכן בזיווג שני חלקים, חו"ג כנ"ל, והן ד' אותיות הוי"ה, והנה כשהבן קטן ואין לו דעת עד י"ג שנה שאז נקרא איש כמו שאמרו איש פרט לקטן (קדושין יט ע"א), והוא מסטרא דצדיק, שהוא איש כידוע, והוא דרגא דדעת, וידע, והענין כי אף שהדעת בו חדרים ימלאו (משלי כד ד) - עיקרו לצורך יסוד, וכן כל האברים משמשים לדבר אחר - לבד היסוד דאינו אלא בשביל הנהר הזה, ולכן נקרא נהר על שמו, וכל זמן שאין לו דעת אז נוטל מזונות מאביו ואמו וסומך על שולחנם, כי מזונות יש לו תיכף שנולד צריך לזון גופו, והוא מסטרא דת"ת שנקרא אדם, ומיד כשיולד נקרא אדם כמו שכתוב (איוב יא יב) אדם יולד, אלא שנוטל מאו"א, וכן הבת נוטלת מאו"א שלה, וכשבא הדעת בו, דאז כולם נכללין בדעת כמו שאומר לעיל בתיקון ל”ח ז"ו - ביה עביד לון אחד, והוא מכתר עליון, שותף השלישי, קב"ה, ונוטל כל הד' עטרין הכל מדעת כתר עליון, ונותן לו הקב"ה מזונות ב"ח והעטרין ב"ח כנ"ל, והנוק' גם כן הולכת מאו"א שלה, והולכת אל אישה ליקח ממנו כנ"ל, ובזהר פרשת בראשית מ"ח ב' כיון דאתחברת בהדיה כו' מכאן אוליפנא כו' ועילת העילות לא נחית עליה עד דהוא עם נוק', והנה עטרא דגבורות, מ"נ, הנה הוא בה שלא על [ידו], אבל מכל מקום הוא ע"י רוחא דשדי בגוה בביאה ראשונה, והרוח הזה הוא המעורר מ"נ לה, והוא מבועא דבירא דלא פריש מבירא לעלמין כמו שאומר בזהר פרשת פקודי רנ"ט א' והוא נקודה בהיכליה מעין חתום כמו שאומר לעיל תיקון ל”ו ושאר מקומות ומעין הוא מבועא כו' ואמר בתיקון ל”ו ושאר מקומות דהוא אות ברית, עטרת הברית, והענין הוא, דבודאי שלא בשעת זיווג - העטרה בדכורא, אלא כי ביסוד זו"נ - האמה, ופומא דאמה - עטרה הנ"ל, ובהן חו"ג, וכמו שאומר בספרא דצניעותא בפרק ג' עיין מה שכתבתי שם, והנה עטרא דגבורה שהוא מעטרה - נשאר בה, והוא רוחא דשדי בגוה עם הגבורות אף שהטפה נולד הולד ממנו, ומההוא רוחא נוטל הולד הלבוש, כימי אלוה כו' (איוב כט ב), מכל מקום נשאר העיקר בקרבה, והוא מביא לה מ"נ, והוא נקודה בהיכליה, כי היכל הוא בבינה דילה, והוא פנימי לא בגופה, כי כל גופה עם הראש הוא ו"ק, וההיכל הזה הוא בפנימיותה, ק"ק, ארון הברית, ובגו היכל זה הוא נקודה אחת והוא מקום רוח הזה, וזה לא פסיק ממנה תמיד אפילו בגלות בגין ברית מילה דלא פסיק מישראל ומקיימין תמיד, (שבת קל ע"א) כל מצוה שמסרו כו' עדיין כו', ואפילו נחש כו' כל זמן שלא בעל בת אל נכר - עקרב, כמו שאומר לעיל ריש תיקון כ”א, והרוח הזה שהוא מהדעת שהוא הולך תמיד אל שרשו - מביא לה מ"נ, ולכן דעתה קלה שאין לה אלא עיטרא דגבורות לבד כידוע, וזה שג' אותיות יה"ו - בדכורא, וה' בתראה - בנוק', כי ב' דת"ת נזונית תמיד בו, י"ה שהן מאו"א - בתחילה, ועתה - בדעת מהקב"ה, מכל מקום ע"י או"א נותן לו הקב"ה ו', עיטרא דחסדים בו, וה' בתראה עיטרא דגבורות הוא בה כנ"ל, והענין, כי חו"ג הן אור ומים שבב' ימים הראשונים כמו שאומר לקמן בתיקון מ”א ובשאר מקומות הרבה, והנה (ישעיהו כז א) לויתן נחש בריח ולויתן נחש עקלתון, זו"נ נבראו אבל סרס את הזכר והרג את הנקבה ומלחה לצדיקים לעתיד לבא, והענין כי לויתן הוא צדיק כמו שאומר לעיל נ"ב ב' לויתן לעילא דא צדיק כו', והוא זו"נ אמה ועטרה כנ"ל, והנה אור ומים הן ב' עיטרין דחו"ג, והיו ראוין להיות שם ולהזדווג וליתן שניהם לנוק' אבל באמת אינו יוצא אלא מים, והאור ההולך בזיווג בכל האברים הוא התענוג בזיווג והולך עד יסוד ושם נגנז, ובעטרה אינו בא אלא מים, וזהו עטרא דגבורות שהוא בעטרה וניתן לנוק' ושם נעשה רקיע בבינה דבה ששם וייצר כו' ועיין פרשת בראשית א' א' מכאן ולהלאה אור דאתברי ואתגניז כו', ואלמלי היה אדם נברא באור הזה היה רואה מסוף כו' אבל לא נברא אלא ממים חשוכים אבל מכל מקום הוא ויהי אור - אור נגד הנוק', כמו אור במים (ספר יצירה) - שמלובש שם, והן באמת עטרא דגבורה, אבל הוא חסדים מ"ד לנגד הנוק' מ"נ דילה, וזהו הענין דלפעמים אומרים דמים הוא בחסד ולפעמים אומרים שהוא בגבורה, ועוד שאומרים אור ומים הוא חו"ג ולפעמים להיפך מים אש חו"ג ואש הוא אור, אבל הענין, כי בדכורא - אור מים הוא חו"ג, ובנוק' - להיפך, אלא שבדידה אין אור רק אש, כי אור דידה הוא גבורה והיא גבורה - נמצא גבורה שבגבורות, ובדידיה הוא חסדים שבחסדים, והיא אינה מקבלת רק מ"ד ונעשה בו חסדים לגבי מים דידה, וזהו סירס - שאינו מוליד אותו האור, והרג את הנקבה - דלית לה אור לגמרי רק אותו המעט שמאיר מלובש במים, והוא אור הלבנה שמקבלת מחמה, וידוע ששמש וירח הם ב' דרגין אלו, וכמו המזונות שחלקו נשאר לו כן עיטרא דחסדים אלא שבגבורות חילוק שהוא נשאר שרשו תמיד בה מה שאין כן במזונות שלה שהוא תמיד אצלו ולכן ג' אותיות בו כנ"ל, וזה שאומר לה שכחי עמך כו' - ותקבל ממני, שאף שאו"א הכינו כלי מקום לקבל הגבורות בה מכל מקום הכל ממנו - חו"ג, וגבורות הוא הנשאר בה ומעורר מ"נ, וחסדים הם הנותן לה, וזה שאומר ובג"ד מסטרא דהוי"ה כו' וכד איהי כו'. והנה, שמיעה - מסטרא דגבורות כנ"ל, ונכלל בחסדים - ראיה, ונעשית חזון כנ"ל, ולכן ש' של בראשית, נכלל בראי, והכל בבת, שהוא בכלי של או"א שמצדן נקראת בת, אבל הכל נקרא על שם החסדים, ראיה הנ"ל, ונכלל הכל, כל ג' בחינות אלו - בא', וזה שכתוב והיו לבשר אחד, וזה שאומר בשר שהוא ראשי תיבות ב'ת ש'מעי ר'אי:</w:t>
      </w:r>
    </w:p>
  </w:footnote>
  <w:footnote w:id="3956">
    <w:p w:rsidR="00A13282" w:rsidRDefault="00A13282" w:rsidP="00B17EA9">
      <w:pPr>
        <w:pStyle w:val="a5"/>
        <w:rPr>
          <w:rtl/>
        </w:rPr>
      </w:pPr>
      <w:r>
        <w:rPr>
          <w:rStyle w:val="a7"/>
          <w:rtl/>
        </w:rPr>
        <w:footnoteRef/>
      </w:r>
      <w:r>
        <w:rPr>
          <w:rtl/>
        </w:rPr>
        <w:t xml:space="preserve"> (מתל"ה) </w:t>
      </w:r>
      <w:r>
        <w:rPr>
          <w:b/>
          <w:bCs/>
          <w:rtl/>
        </w:rPr>
        <w:t>דע"כ יעזב כו'.</w:t>
      </w:r>
      <w:r>
        <w:rPr>
          <w:rtl/>
        </w:rPr>
        <w:t xml:space="preserve"> עיין מה שכתבנו שם בענין הלויתן, והענין הוא כי לויתן הוא אור ששת הימים כי לויתן הוא בדעת כמו שאמרו בזהר פרשת שמות י"א ב' וילך איש כו' מבית לוי כו' וזה שאומר שם אתר דחכמתא וההוא נהר כו', ורוצה לומר בדעת דהוא לוי, לויתן, וכן אמר בפ' שלח קע"ד א' אלא דצדיק אקרי לויתן כמו שאומר בריש תיקון כ”א ובאחרי מות נ"ח א' ע"ש הדעת דעל שמו נקרא כמו שכתבתי לעיל, והוא אור דבדעת מהכתר ועיין מה שכתבתי בריש ספרא דצניעותא בענין הלויתן נחש בריח ועקלתון, שהוא אור הראשון, ובו השמחה, כמו שכתוב (משלי יג ט) אור צדיקים ישמח, שהוא משמח לצדיקים וכתיב (תהלים צז יא) אור זרוע לצדיק כו', ואז (תהלים קד לא) ישמח ה' במעשיו, והאור הזה נברא זו"נ, חוורא, עובר לסוחר כמו שאומר שם, והוא חסדים עשר, שכל דבר כליל מעשר, ולא יצאו אלא ה' חסדים, ונגנזו ביסוד, ושל העטרה לא יצא כלל, ולכן אין לסיהרא אור כלל דלית לה מגרמה כלום, רק מה שמקבלת משמשא, יסוד, ואף גם זה רק מלובש במים, אבל האור נגנז בצדיק, ושם אור הגנוז כמו שאומר לעיל ל"ח ב', ולכן הערלה חופפת שם, ולעתיד לבוא (ישעיהו ל כו) והיה אור הלבנה כאור החמה כו' - שתתגלה האור שלה בעטרה, ואז יכרתו הס"א, (ישעיהו כה ח) ובלע המות כו', מלכין דאתבטלו - הכא אתקיימו, דאתגליא חסד בפום אמה, וזהו (בבא בתרא עד ע"ב) ומלחה לעתיד לבוא, ברית מלח שלא תופר, והן נחש בריח - האמה שהוא בריח, והעטרה - עקלתון, שסובב סובב וגם הסביבו הוא בעקלתון בשיפוע, וכן (תהלים נ י) בהמות בהררי אלף - זו"נ נבראו וסירס את הזכר וצינן את הנקבה הוא בנוק' בדעת שלה המתפשט ביסוד שלה שגם הם זו"נ נבראו - מים אש כמו שאומר שם, והם בהמות בהררי אלף שהוא בנוק' כידוע והוא מהגבורות כמו שאומר בסוף תיקוני זהר חדש ובפרשת בהעלותך והוא בעירא דאשא דאכיל בעירא, תהלים קד יד) מצמיח חציר לבהמה כו', (ב"ב שם) ואלמלא כו' - סירס את הזכר והוא מ"נ דבה שאין יוצאין ממנה כמו בזכר, וצינן את האש שבה כי אלמלא היה האש שבה בכחו היה התשוקה בה עד למאד והגבורות היה חזק אבל צינן בה ולא נשאר תשוקה בה כלל וכלל רק בשעת הזיווג שמתחממת מאורו שנפיק דרך דופן היסוד והוא חוט של חסד המשוך עליה (כמו שאמרו (מגילה יג ע"א) אסתר ירקרוקת אלא כו'), אור השמש המאיר לעולם, והוא לא פסיק מהעולם, וזה שאמרו (חגיגה יב ע"ב) כל העוסק כו', שמשתתף בה ונכלל עמה ומקבל החוט עמה, רק מחטאה נתקללה (בראשית ג טז) ואל אישך תשוקתך, וזהו הסעודה של לויתן ושור הבר והקניגין שלהם שהוא השמחה הגדולה שאין למעלה הימנה:</w:t>
      </w:r>
    </w:p>
  </w:footnote>
  <w:footnote w:id="3957">
    <w:p w:rsidR="00A13282" w:rsidRDefault="00A13282" w:rsidP="00B17EA9">
      <w:pPr>
        <w:pStyle w:val="a5"/>
      </w:pPr>
      <w:r>
        <w:rPr>
          <w:rStyle w:val="a7"/>
        </w:rPr>
        <w:footnoteRef/>
      </w:r>
      <w:r>
        <w:t xml:space="preserve"> </w:t>
      </w:r>
      <w:r>
        <w:rPr>
          <w:b/>
          <w:bCs/>
          <w:rtl/>
        </w:rPr>
        <w:t>והשתחוי לו.</w:t>
      </w:r>
      <w:r>
        <w:rPr>
          <w:rtl/>
        </w:rPr>
        <w:t xml:space="preserve"> כמו שאומר בזהר חדש שה"ש נ"א נ"ב דאע"ג דאיהי תחותיה בשחותא לגבי אמצעיתא דאל"ף כו' הביאני המלך חדריו אנא בעילויא וחביבו כו' ואנא לא חיישנא כו':</w:t>
      </w:r>
    </w:p>
  </w:footnote>
  <w:footnote w:id="3958">
    <w:p w:rsidR="00A13282" w:rsidRDefault="00A13282" w:rsidP="00B17EA9">
      <w:pPr>
        <w:pStyle w:val="a5"/>
      </w:pPr>
      <w:r>
        <w:rPr>
          <w:rStyle w:val="a7"/>
        </w:rPr>
        <w:footnoteRef/>
      </w:r>
      <w:r>
        <w:t xml:space="preserve"> </w:t>
      </w:r>
      <w:r>
        <w:rPr>
          <w:b/>
          <w:bCs/>
          <w:rtl/>
        </w:rPr>
        <w:t>אדון  כל כו'.</w:t>
      </w:r>
      <w:r>
        <w:rPr>
          <w:rtl/>
        </w:rPr>
        <w:t xml:space="preserve"> כנ"ל סוף תיקון ל”ט:</w:t>
      </w:r>
    </w:p>
  </w:footnote>
  <w:footnote w:id="3959">
    <w:p w:rsidR="00A13282" w:rsidRDefault="00A13282" w:rsidP="00B17EA9">
      <w:pPr>
        <w:pStyle w:val="a5"/>
      </w:pPr>
      <w:r>
        <w:rPr>
          <w:rStyle w:val="a7"/>
        </w:rPr>
        <w:footnoteRef/>
      </w:r>
      <w:r>
        <w:t xml:space="preserve"> </w:t>
      </w:r>
      <w:r>
        <w:rPr>
          <w:b/>
          <w:bCs/>
          <w:rtl/>
        </w:rPr>
        <w:t>ובג"ג כו' דנבואה איהי שקילא כו'.</w:t>
      </w:r>
      <w:r>
        <w:rPr>
          <w:rtl/>
        </w:rPr>
        <w:t xml:space="preserve"> ורוצה לומר, זהו שמעי וראי, תורה שבכתב ושבעל פה כנ"ל, והן שניהם בהיכלא דידה, בתי היכלין דנבואה, ואראה כו' ואשמע כו' וכנ"ל:</w:t>
      </w:r>
    </w:p>
  </w:footnote>
  <w:footnote w:id="3960">
    <w:p w:rsidR="00A13282" w:rsidRDefault="00A13282" w:rsidP="00B17EA9">
      <w:pPr>
        <w:pStyle w:val="a5"/>
      </w:pPr>
      <w:r>
        <w:rPr>
          <w:rStyle w:val="a7"/>
        </w:rPr>
        <w:footnoteRef/>
      </w:r>
      <w:r>
        <w:t xml:space="preserve"> </w:t>
      </w:r>
      <w:r>
        <w:rPr>
          <w:b/>
          <w:bCs/>
          <w:rtl/>
        </w:rPr>
        <w:t>מארי דעתידות ממה כו'.</w:t>
      </w:r>
      <w:r>
        <w:rPr>
          <w:rtl/>
        </w:rPr>
        <w:t xml:space="preserve"> מפרש והולך, מארי דעתידות - מאו"א, כי הן עומק ראשית ועומק אחרית כמו שאומר בספר יצירה מים ואש, שממים יצאו, ואש מחזיר כל דבר לשרשו, מוחא ולבא אברים הפנימים, ואח"כ מפרש כל האברים החיצונים הכל כסדר והכל בנבואה כמו שמפרש והולך:</w:t>
      </w:r>
    </w:p>
  </w:footnote>
  <w:footnote w:id="3961">
    <w:p w:rsidR="00A13282" w:rsidRDefault="00A13282" w:rsidP="00B17EA9">
      <w:pPr>
        <w:pStyle w:val="a5"/>
      </w:pPr>
      <w:r>
        <w:rPr>
          <w:rStyle w:val="a7"/>
        </w:rPr>
        <w:footnoteRef/>
      </w:r>
      <w:r>
        <w:t xml:space="preserve"> </w:t>
      </w:r>
      <w:r>
        <w:rPr>
          <w:b/>
          <w:bCs/>
          <w:rtl/>
        </w:rPr>
        <w:t>דאתמר בה ישראל כו'.</w:t>
      </w:r>
      <w:r>
        <w:rPr>
          <w:rtl/>
        </w:rPr>
        <w:t xml:space="preserve"> הוא לראיה שמש' מסטרא דעבר, דאמרינן, עלה במחשבה - שכבה עלה:</w:t>
      </w:r>
    </w:p>
  </w:footnote>
  <w:footnote w:id="3962">
    <w:p w:rsidR="00A13282" w:rsidRDefault="00A13282" w:rsidP="00B17EA9">
      <w:pPr>
        <w:pStyle w:val="a5"/>
      </w:pPr>
      <w:r>
        <w:rPr>
          <w:rStyle w:val="a7"/>
        </w:rPr>
        <w:footnoteRef/>
      </w:r>
      <w:r>
        <w:t xml:space="preserve"> </w:t>
      </w:r>
      <w:r>
        <w:rPr>
          <w:b/>
          <w:bCs/>
          <w:rtl/>
        </w:rPr>
        <w:t>ורזא מה שהי' כבר הוא.</w:t>
      </w:r>
      <w:r>
        <w:rPr>
          <w:rtl/>
        </w:rPr>
        <w:t xml:space="preserve"> רוצה לומר מה שהיה - בחכמה, כבר הוא - בכתר דנקרא הוא כמו שאומר באדרא זוטא דאינו בחכמה כי אם מה שכבר הוא בכתר, וכן אין בבינה כי אם מה שהיה בחכמה, וזהו ואשר להיות כו':</w:t>
      </w:r>
    </w:p>
  </w:footnote>
  <w:footnote w:id="3963">
    <w:p w:rsidR="00A13282" w:rsidRDefault="00A13282" w:rsidP="00B17EA9">
      <w:pPr>
        <w:pStyle w:val="a5"/>
      </w:pPr>
      <w:r>
        <w:rPr>
          <w:rStyle w:val="a7"/>
        </w:rPr>
        <w:footnoteRef/>
      </w:r>
      <w:r>
        <w:t xml:space="preserve"> </w:t>
      </w:r>
      <w:r>
        <w:rPr>
          <w:b/>
          <w:bCs/>
          <w:rtl/>
        </w:rPr>
        <w:t>דאינון חוזים ונביאים.</w:t>
      </w:r>
      <w:r>
        <w:rPr>
          <w:rtl/>
        </w:rPr>
        <w:t xml:space="preserve"> מסטרא דעין שמאל וימין, כמו שאומר לעיל בריש הקדמה ועוד מסגירו דעיינין ופתיחו דעיינין, כמו שאומר לעיל ריש תיקון י”ח ואף שכל עיינין הן אספקלריא דנהרא, היינו לגבי שמיעה, אבל בה גופא אית דו"נ, נו"ה:</w:t>
      </w:r>
    </w:p>
  </w:footnote>
  <w:footnote w:id="3964">
    <w:p w:rsidR="00A13282" w:rsidRDefault="00A13282" w:rsidP="00B17EA9">
      <w:pPr>
        <w:pStyle w:val="a5"/>
      </w:pPr>
      <w:r>
        <w:rPr>
          <w:rStyle w:val="a7"/>
        </w:rPr>
        <w:footnoteRef/>
      </w:r>
      <w:r>
        <w:t xml:space="preserve"> </w:t>
      </w:r>
      <w:r>
        <w:rPr>
          <w:b/>
          <w:bCs/>
          <w:rtl/>
        </w:rPr>
        <w:t>ומארי דאודנין כו' דאתמר כו'.</w:t>
      </w:r>
      <w:r>
        <w:rPr>
          <w:rtl/>
        </w:rPr>
        <w:t xml:space="preserve"> ומארי דעיינין - כבר ביאר שהן נבואה במראה:</w:t>
      </w:r>
    </w:p>
  </w:footnote>
  <w:footnote w:id="3965">
    <w:p w:rsidR="00A13282" w:rsidRDefault="00A13282" w:rsidP="00B17EA9">
      <w:pPr>
        <w:pStyle w:val="a5"/>
      </w:pPr>
      <w:r>
        <w:rPr>
          <w:rStyle w:val="a7"/>
        </w:rPr>
        <w:footnoteRef/>
      </w:r>
      <w:r>
        <w:t xml:space="preserve"> </w:t>
      </w:r>
      <w:r>
        <w:rPr>
          <w:b/>
          <w:bCs/>
          <w:rtl/>
        </w:rPr>
        <w:t>את קול כנפיהם.</w:t>
      </w:r>
      <w:r>
        <w:rPr>
          <w:rtl/>
        </w:rPr>
        <w:t xml:space="preserve"> והוא דיבור מסטרא דנוק', (קהלת י כ) ובעל כנפים יגיד דבר, וזהו שמיעה, והרבה חילוקים בין ראיה לשמיעה, כי הראיה הוא באור, ימינא, אספקלריה דנהרא, והשמיעה אף בלילה בחושך, אבל הראיה הוא מרחוק הרבה שרואין אף בשמים וכמו שכתוב מרחוק ה' נראה כו', אבל שמיעה בקרוב, והן דרגא דת"ת וצדיק, אספלריה דנהרא ואספקלריה דלא נהרא, וכמו שכתוב (ישעיהו נז יט) שלום לרחוק ולקרוב שהן ת"ת וצדיק כמו שאומר לעיל נ"ג א'. ובראיה אחת יכולין לראות מה שאי אפשר לשמוע בזמן גדול. והראיה אינה נשכחת מהרה כשרואה אדם אחד מכירו לאחר זמן הרבה. וכן נקבע האהבה והשנאה בראיה יותר וכמו שכתוב במשה רבינו עליו השלום (שמות לב יט) וירא את העגל כו' והתפעל יותר מבמאמר השם יתברך. וכן הראיה מבוררת יותר וצחה להבין מבשמיעה וכמה מדרגות עוד. ותבין בזה הרבה סתרי תורה:</w:t>
      </w:r>
    </w:p>
  </w:footnote>
  <w:footnote w:id="3966">
    <w:p w:rsidR="00A13282" w:rsidRDefault="00A13282" w:rsidP="00B17EA9">
      <w:pPr>
        <w:pStyle w:val="a5"/>
      </w:pPr>
      <w:r>
        <w:rPr>
          <w:rStyle w:val="a7"/>
        </w:rPr>
        <w:footnoteRef/>
      </w:r>
      <w:r>
        <w:t xml:space="preserve"> </w:t>
      </w:r>
      <w:r>
        <w:rPr>
          <w:b/>
          <w:bCs/>
          <w:rtl/>
        </w:rPr>
        <w:t>ומארי דאנפין כו'.</w:t>
      </w:r>
      <w:r>
        <w:rPr>
          <w:rtl/>
        </w:rPr>
        <w:t xml:space="preserve"> דאינון ידעין במ"ט ובשבעין אנפין דהן מסטרא דד' פנים לאחת שהן י"ב פנים ובכל אחד ששה כמו שאומר לעיל ס"ג א' (ועיין לקמן קמ"ד א' אנפוי דמטרוניתא כו' תליין ע"ב כו'):</w:t>
      </w:r>
    </w:p>
  </w:footnote>
  <w:footnote w:id="3967">
    <w:p w:rsidR="00A13282" w:rsidRDefault="00A13282" w:rsidP="00B17EA9">
      <w:pPr>
        <w:pStyle w:val="a5"/>
      </w:pPr>
      <w:r>
        <w:rPr>
          <w:rStyle w:val="a7"/>
        </w:rPr>
        <w:footnoteRef/>
      </w:r>
      <w:r>
        <w:t xml:space="preserve"> </w:t>
      </w:r>
      <w:r>
        <w:rPr>
          <w:b/>
          <w:bCs/>
          <w:rtl/>
        </w:rPr>
        <w:t>ומארי דקלין ומארי דדבורין.</w:t>
      </w:r>
      <w:r>
        <w:rPr>
          <w:rtl/>
        </w:rPr>
        <w:t xml:space="preserve"> שנאמר כי עוף כו' ובעל כנפים כו' כמו שאומר לעיל בתיקון י”ח עיין שם:</w:t>
      </w:r>
    </w:p>
  </w:footnote>
  <w:footnote w:id="3968">
    <w:p w:rsidR="00A13282" w:rsidRDefault="00A13282" w:rsidP="00B17EA9">
      <w:pPr>
        <w:pStyle w:val="a5"/>
      </w:pPr>
      <w:r>
        <w:rPr>
          <w:rStyle w:val="a7"/>
        </w:rPr>
        <w:footnoteRef/>
      </w:r>
      <w:r>
        <w:t xml:space="preserve"> </w:t>
      </w:r>
      <w:r>
        <w:rPr>
          <w:b/>
          <w:bCs/>
          <w:rtl/>
        </w:rPr>
        <w:t>ומארי דרוחא דקודשא.</w:t>
      </w:r>
      <w:r>
        <w:rPr>
          <w:rtl/>
        </w:rPr>
        <w:t xml:space="preserve"> מסטרא דחוטמא דאתמר בהון עושה מלאכיו רוחות משרתיו אש לוהט כמו שאומר שם, והוא מב' נוקבין, חד רוחא וחד אשא כמו שאומר באדרא זוטא רצ"ד א' ר"ה סבא אוקים כו':</w:t>
      </w:r>
    </w:p>
  </w:footnote>
  <w:footnote w:id="3969">
    <w:p w:rsidR="00A13282" w:rsidRDefault="00A13282" w:rsidP="00B17EA9">
      <w:pPr>
        <w:pStyle w:val="a5"/>
      </w:pPr>
      <w:r>
        <w:rPr>
          <w:rStyle w:val="a7"/>
        </w:rPr>
        <w:footnoteRef/>
      </w:r>
      <w:r>
        <w:t xml:space="preserve"> </w:t>
      </w:r>
      <w:r>
        <w:rPr>
          <w:b/>
          <w:bCs/>
          <w:rtl/>
        </w:rPr>
        <w:t>דכתיב וידי אדם כו'.</w:t>
      </w:r>
      <w:r>
        <w:rPr>
          <w:rtl/>
        </w:rPr>
        <w:t xml:space="preserve"> העושין צדקה בסתר, מתחת כנפיהם, ועיין בתיקון י”ח, כ"ט ב':</w:t>
      </w:r>
    </w:p>
  </w:footnote>
  <w:footnote w:id="3970">
    <w:p w:rsidR="00A13282" w:rsidRDefault="00A13282" w:rsidP="00B17EA9">
      <w:pPr>
        <w:pStyle w:val="a5"/>
      </w:pPr>
      <w:r>
        <w:rPr>
          <w:rStyle w:val="a7"/>
        </w:rPr>
        <w:footnoteRef/>
      </w:r>
      <w:r>
        <w:t xml:space="preserve"> </w:t>
      </w:r>
      <w:r>
        <w:rPr>
          <w:b/>
          <w:bCs/>
          <w:rtl/>
        </w:rPr>
        <w:t>ומארי דקומה.</w:t>
      </w:r>
      <w:r>
        <w:rPr>
          <w:rtl/>
        </w:rPr>
        <w:t xml:space="preserve"> דכתיב וגויתו כתרשיש כמו שאומר לעיל כ"ח ב' ואמר שם כ"ט א' דאינון כרעין וסגדין למלכא בצלותא כו' ומכסיין בעטופא דמצוה כו':</w:t>
      </w:r>
    </w:p>
  </w:footnote>
  <w:footnote w:id="3971">
    <w:p w:rsidR="00A13282" w:rsidRDefault="00A13282" w:rsidP="00B17EA9">
      <w:pPr>
        <w:pStyle w:val="a5"/>
      </w:pPr>
      <w:r>
        <w:rPr>
          <w:rStyle w:val="a7"/>
        </w:rPr>
        <w:footnoteRef/>
      </w:r>
      <w:r>
        <w:t xml:space="preserve"> </w:t>
      </w:r>
      <w:r>
        <w:rPr>
          <w:b/>
          <w:bCs/>
          <w:rtl/>
        </w:rPr>
        <w:t>ומארי דאות.</w:t>
      </w:r>
      <w:r>
        <w:rPr>
          <w:rtl/>
        </w:rPr>
        <w:t xml:space="preserve"> רוצה לומר אות ברית, ונאמר בהן (שמות ג יב) וזה לך האות, (ישעיהו ז יא) שאל לך אות כו':</w:t>
      </w:r>
    </w:p>
  </w:footnote>
  <w:footnote w:id="3972">
    <w:p w:rsidR="00A13282" w:rsidRDefault="00A13282" w:rsidP="00B17EA9">
      <w:pPr>
        <w:pStyle w:val="a5"/>
      </w:pPr>
      <w:r>
        <w:rPr>
          <w:rStyle w:val="a7"/>
        </w:rPr>
        <w:footnoteRef/>
      </w:r>
      <w:r>
        <w:t xml:space="preserve"> </w:t>
      </w:r>
      <w:r>
        <w:rPr>
          <w:b/>
          <w:bCs/>
          <w:rtl/>
        </w:rPr>
        <w:t>ומארי דרגלין.</w:t>
      </w:r>
      <w:r>
        <w:rPr>
          <w:rtl/>
        </w:rPr>
        <w:t xml:space="preserve"> בצלותא, ובגלותא קיימין עלייהו דשכינתא למסבל בגינה כמו שאומר שם למ"ד א' ב', והענין, כי כל מצוה שאדם מחזיק בה יותר הוא רשים בה באותו אבר ומשם נבואתיה וכמו שאומר שם כ"ח א' ולא עוד אלא כל נביאיא הוו חזיין נבואה דלהון באברים דמלכא, כל חד וחד באבר ידיעא ולא יתיר, מנהון ברישא כו', וברתא דמלכא איהי היכלא דכל אבר ואבר, מצוה דכל אבר ואבר כו', ואיהי נבואה דכל אבר ואבר מראה דכל כו', וזהו פתיחות היכלין דכל אבר ואבר:</w:t>
      </w:r>
    </w:p>
  </w:footnote>
  <w:footnote w:id="3973">
    <w:p w:rsidR="00A13282" w:rsidRDefault="00A13282" w:rsidP="00B17EA9">
      <w:pPr>
        <w:pStyle w:val="a5"/>
      </w:pPr>
      <w:r>
        <w:rPr>
          <w:rStyle w:val="a7"/>
        </w:rPr>
        <w:footnoteRef/>
      </w:r>
      <w:r>
        <w:t xml:space="preserve"> </w:t>
      </w:r>
      <w:r>
        <w:rPr>
          <w:b/>
          <w:bCs/>
          <w:rtl/>
        </w:rPr>
        <w:t>בההוא זמנא ויבדל כו'.</w:t>
      </w:r>
      <w:r>
        <w:rPr>
          <w:rtl/>
        </w:rPr>
        <w:t xml:space="preserve"> כמו שאומר לעיל בתיקון ל’ עיין שם, והוא כמו שכתוב (זכריה יג ד) ולא ילבשו עוד אדרת כו':</w:t>
      </w:r>
    </w:p>
  </w:footnote>
  <w:footnote w:id="3974">
    <w:p w:rsidR="00A13282" w:rsidRDefault="00A13282" w:rsidP="00B17EA9">
      <w:pPr>
        <w:pStyle w:val="a5"/>
      </w:pPr>
      <w:r>
        <w:rPr>
          <w:rStyle w:val="a7"/>
        </w:rPr>
        <w:footnoteRef/>
      </w:r>
      <w:r>
        <w:t xml:space="preserve"> </w:t>
      </w:r>
      <w:r>
        <w:rPr>
          <w:b/>
          <w:bCs/>
          <w:rtl/>
        </w:rPr>
        <w:t>ויאמר אלקים כו'.</w:t>
      </w:r>
      <w:r>
        <w:rPr>
          <w:rtl/>
        </w:rPr>
        <w:t xml:space="preserve"> עתה מפרש מאמר ג', ובתיקון מ”א רומז אותו בתיבת בראשית, וכן בכולם וכנ"ל, והן עשר תיקונין לעשר מאמרות, ואח"כ מפרש והולך השאר אלקים דפרשה כמו שכתבתי לעיל בתיקון ל”ב, אבל בל"ב אלקים אינו מפרש רק העשר אמירן:</w:t>
      </w:r>
    </w:p>
  </w:footnote>
  <w:footnote w:id="3975">
    <w:p w:rsidR="00A13282" w:rsidRDefault="00A13282" w:rsidP="00B17EA9">
      <w:pPr>
        <w:pStyle w:val="a5"/>
      </w:pPr>
      <w:r>
        <w:rPr>
          <w:rStyle w:val="a7"/>
        </w:rPr>
        <w:footnoteRef/>
      </w:r>
      <w:r>
        <w:t xml:space="preserve"> </w:t>
      </w:r>
      <w:r>
        <w:rPr>
          <w:b/>
          <w:bCs/>
          <w:rtl/>
        </w:rPr>
        <w:t>הכא רזא כו'.</w:t>
      </w:r>
      <w:r>
        <w:rPr>
          <w:rtl/>
        </w:rPr>
        <w:t xml:space="preserve"> הכל פירש למעלה בתיקון למ"ד עיין שם:</w:t>
      </w:r>
    </w:p>
  </w:footnote>
  <w:footnote w:id="3976">
    <w:p w:rsidR="00A13282" w:rsidRDefault="00A13282" w:rsidP="00B17EA9">
      <w:pPr>
        <w:pStyle w:val="a5"/>
      </w:pPr>
      <w:r>
        <w:rPr>
          <w:rStyle w:val="a7"/>
        </w:rPr>
        <w:footnoteRef/>
      </w:r>
      <w:r>
        <w:t xml:space="preserve"> </w:t>
      </w:r>
      <w:r>
        <w:rPr>
          <w:b/>
          <w:bCs/>
          <w:rtl/>
        </w:rPr>
        <w:t>לשם שמים.</w:t>
      </w:r>
      <w:r>
        <w:rPr>
          <w:rtl/>
        </w:rPr>
        <w:t xml:space="preserve"> לשם שיהיה עם שמים, והן לאה ורחל, מסטרא דבית שמאי ובית הלל, דינא ורחמי דכל אחד רוצה הלכה כמותו, להתקשר בהלכה, דרגיה, והלכה הוא בת"ת המכריע, ונפיק בת קול אלו ואלו דברי כו' (ערובין יג ע"ב), שהן מסטרא דעץ החיים, ששם שניהם מסטרא דחיים וכמו שאומר לקמן ק"א א' והוא ויעש אלקים את הרקיע כו' דכאן:</w:t>
      </w:r>
    </w:p>
  </w:footnote>
  <w:footnote w:id="3977">
    <w:p w:rsidR="00A13282" w:rsidRDefault="00A13282" w:rsidP="00B17EA9">
      <w:pPr>
        <w:pStyle w:val="a5"/>
      </w:pPr>
      <w:r>
        <w:rPr>
          <w:rStyle w:val="a7"/>
        </w:rPr>
        <w:footnoteRef/>
      </w:r>
      <w:r>
        <w:t xml:space="preserve"> </w:t>
      </w:r>
      <w:r>
        <w:rPr>
          <w:b/>
          <w:bCs/>
          <w:rtl/>
        </w:rPr>
        <w:t>אדהכי הא סבא דסבין כו'.</w:t>
      </w:r>
      <w:r>
        <w:rPr>
          <w:rtl/>
        </w:rPr>
        <w:t xml:space="preserve"> רוצה לומר, מדורות הראשונים קודם אברהם הרבה, ושם אריכו דיומין כמו שאומר בסוף תיקון ע', ונראה שהוא אותן שקודם נח שהם האריכו ימים יותר וזהו סבא דסבין עתיקא דעתיקין:</w:t>
      </w:r>
    </w:p>
  </w:footnote>
  <w:footnote w:id="3978">
    <w:p w:rsidR="00A13282" w:rsidRDefault="00A13282" w:rsidP="00B17EA9">
      <w:pPr>
        <w:pStyle w:val="a5"/>
      </w:pPr>
      <w:r>
        <w:rPr>
          <w:rStyle w:val="a7"/>
        </w:rPr>
        <w:footnoteRef/>
      </w:r>
      <w:r>
        <w:t xml:space="preserve"> </w:t>
      </w:r>
      <w:r>
        <w:rPr>
          <w:b/>
          <w:bCs/>
          <w:rtl/>
        </w:rPr>
        <w:t>אינון י' י' דמנהון כו'.</w:t>
      </w:r>
      <w:r>
        <w:rPr>
          <w:rtl/>
        </w:rPr>
        <w:t xml:space="preserve"> הן ב' יודין דשילוב יאקדונק"י, תחלה וסוף, חכמה דזו"נ, שבז"א בראש ובה בסוף, שבה אור חוזר - ב' יודין הנ"ל, ו' באמצע, ו' אותיות הנ"ל, והן כלל האצילות, י' כולל ג"ר, וי' - מלכות, ו"ק באמצע ועיין בזהר חדש שה"ש נ"א ד' בארוכה, ואלו ב' חכמות הן חד, ב' ראשית כמו שאומר בזהר פרשת בראשית ז' ב' ר"ח פתח כו' ראשית ב' תרין אינון דמתחברין כחדא ואינון תרין נקודין כו', וזה שאומר ומנהון כו', דמ"ד ומ"נ נפיק מחכמה, יודי"ן הנ"ל, והן מים מים הנ"ל, אבל אינון ביחודא, לכן אין לומר מים מים ב' פעמים, רק מים אחד הוא מעץ חיים כמו שמפרש והולך:</w:t>
      </w:r>
    </w:p>
  </w:footnote>
  <w:footnote w:id="3979">
    <w:p w:rsidR="00A13282" w:rsidRDefault="00A13282" w:rsidP="00B17EA9">
      <w:pPr>
        <w:pStyle w:val="a5"/>
      </w:pPr>
      <w:r>
        <w:rPr>
          <w:rStyle w:val="a7"/>
        </w:rPr>
        <w:footnoteRef/>
      </w:r>
      <w:r>
        <w:t xml:space="preserve"> </w:t>
      </w:r>
      <w:r>
        <w:rPr>
          <w:b/>
          <w:bCs/>
          <w:rtl/>
        </w:rPr>
        <w:t>ו' דאיהו כו'.</w:t>
      </w:r>
      <w:r>
        <w:rPr>
          <w:rtl/>
        </w:rPr>
        <w:t xml:space="preserve"> רוצה לומר שבתוך האלף כו' והוא בחושבן הוי"ה וכן שילוב הנ"ל כנ"ל:</w:t>
      </w:r>
    </w:p>
  </w:footnote>
  <w:footnote w:id="3980">
    <w:p w:rsidR="00A13282" w:rsidRDefault="00A13282" w:rsidP="00B17EA9">
      <w:pPr>
        <w:pStyle w:val="a5"/>
      </w:pPr>
      <w:r>
        <w:rPr>
          <w:rStyle w:val="a7"/>
        </w:rPr>
        <w:footnoteRef/>
      </w:r>
      <w:r>
        <w:t xml:space="preserve"> </w:t>
      </w:r>
      <w:r>
        <w:rPr>
          <w:b/>
          <w:bCs/>
          <w:rtl/>
        </w:rPr>
        <w:t>עץ החיים.</w:t>
      </w:r>
      <w:r>
        <w:rPr>
          <w:rtl/>
        </w:rPr>
        <w:t xml:space="preserve"> עיין לעיל ס"ו ב' והאי עץ כו':</w:t>
      </w:r>
    </w:p>
  </w:footnote>
  <w:footnote w:id="3981">
    <w:p w:rsidR="00A13282" w:rsidRDefault="00A13282" w:rsidP="00B17EA9">
      <w:pPr>
        <w:pStyle w:val="a5"/>
      </w:pPr>
      <w:r>
        <w:rPr>
          <w:rStyle w:val="a7"/>
        </w:rPr>
        <w:footnoteRef/>
      </w:r>
      <w:r>
        <w:t xml:space="preserve"> </w:t>
      </w:r>
      <w:r>
        <w:rPr>
          <w:b/>
          <w:bCs/>
          <w:rtl/>
        </w:rPr>
        <w:t>ואלין כו' ב' יצירות כו'.</w:t>
      </w:r>
      <w:r>
        <w:rPr>
          <w:rtl/>
        </w:rPr>
        <w:t xml:space="preserve"> כמו שאמרו (ברכות סא ע"א) דוייצר בב' יודין - על ב' יצירות, והוא בעץ הדעת טוב ורע, יצר טוב ויצר הרע, אבל בעץ החיים הוא זו"נ, וזה שאומר יצירה דעילאין כו', והן שמים וארץ כמו שאומר לעיל ס"ב א' את השמים לבושא לעלמא עלאה כו' עיין שם:</w:t>
      </w:r>
    </w:p>
  </w:footnote>
  <w:footnote w:id="3982">
    <w:p w:rsidR="00A13282" w:rsidRDefault="00A13282" w:rsidP="00B17EA9">
      <w:pPr>
        <w:pStyle w:val="a5"/>
      </w:pPr>
      <w:r>
        <w:rPr>
          <w:rStyle w:val="a7"/>
        </w:rPr>
        <w:footnoteRef/>
      </w:r>
      <w:r>
        <w:t xml:space="preserve"> </w:t>
      </w:r>
      <w:r>
        <w:rPr>
          <w:b/>
          <w:bCs/>
          <w:rtl/>
        </w:rPr>
        <w:t>ואינון חכמה כו'.</w:t>
      </w:r>
      <w:r>
        <w:rPr>
          <w:rtl/>
        </w:rPr>
        <w:t xml:space="preserve"> שתחלת המחשבה סוף המעשה, ב' יודין הנ"ל, והן שיש - ש"י י"ש, ב' חכמות, אלא שבה בהיפוכא - ש"י, והוא סוד שד"י אדנ"י כתר חכמה בב' דלתין שבה בציון וירושלים כידוע, וש"י י"ש הוא בחו"ב דילהון דכלילן בחכמה כ"ח מ"ה וכמו שאומר בסוד איש בזהר חדש ע"ג ב' לזמנין חכמה איש כו':</w:t>
      </w:r>
    </w:p>
  </w:footnote>
  <w:footnote w:id="3983">
    <w:p w:rsidR="00A13282" w:rsidRDefault="00A13282" w:rsidP="00B17EA9">
      <w:pPr>
        <w:pStyle w:val="a5"/>
      </w:pPr>
      <w:r>
        <w:rPr>
          <w:rStyle w:val="a7"/>
        </w:rPr>
        <w:footnoteRef/>
      </w:r>
      <w:r>
        <w:t xml:space="preserve"> </w:t>
      </w:r>
      <w:r>
        <w:rPr>
          <w:b/>
          <w:bCs/>
          <w:rtl/>
        </w:rPr>
        <w:t>אינון תעלומות מחכמה עילאה דאיהו כתר עילאה.</w:t>
      </w:r>
      <w:r>
        <w:rPr>
          <w:rtl/>
        </w:rPr>
        <w:t xml:space="preserve"> רוצה לומר ח"ס, ואינון נפקין שניהם משם, דקשה ליה דקאמר תעלומות לשון רבים וחכמה בלשון יחיד אלא תעלומות קאי אב' יודין הנ"ל דשניהן הן תעלומות וכמו שאומר לעיל סוף תיקון ח' ואינון נפקין מחכמה א' דאיש הנ"ל:</w:t>
      </w:r>
    </w:p>
  </w:footnote>
  <w:footnote w:id="3984">
    <w:p w:rsidR="00A13282" w:rsidRDefault="00A13282" w:rsidP="00B17EA9">
      <w:pPr>
        <w:pStyle w:val="a5"/>
      </w:pPr>
      <w:r>
        <w:rPr>
          <w:rStyle w:val="a7"/>
        </w:rPr>
        <w:footnoteRef/>
      </w:r>
      <w:r>
        <w:t xml:space="preserve"> </w:t>
      </w:r>
      <w:r>
        <w:rPr>
          <w:b/>
          <w:bCs/>
          <w:rtl/>
        </w:rPr>
        <w:t>ואינון לקבל כו'.</w:t>
      </w:r>
      <w:r>
        <w:rPr>
          <w:rtl/>
        </w:rPr>
        <w:t xml:space="preserve"> דבעיינין דילה הן חושבן דבחכמה פרפראות כו' (אבות ג יח), וענין הדמעין נתבאר באידרא רבה דאינון ב' אבנין, אוכמא וסומקא, דאתפרשין באסחותא דימא רבא, ואינון ב' דינין דב' אלקים, ה' עילאה וה' תתאה, אוכם וסומק, והן ב' אבנין דלוחות שהן ה' עילאה וה' תתאה, כמו שאומר לעיל ס"ב ב' דאיהו ה' ה' דכלילין בעשר דברן ה' בלוחא כו', והן בית ראשון ושני בב' בתי לבא כמו שאומר שם א' עיין שם, וזהו הכל מסטרא דעץ הדעת טוב ורע דמשמאלא כו', כמו שאומר למטה, אבל בעץ החיים אין צריך הדמעין אלו דשם כולו חיים, וזה שאומר ואמאי נחתו כו' ודא גרים כו':</w:t>
      </w:r>
    </w:p>
  </w:footnote>
  <w:footnote w:id="3985">
    <w:p w:rsidR="00A13282" w:rsidRDefault="00A13282" w:rsidP="00B17EA9">
      <w:pPr>
        <w:pStyle w:val="a5"/>
      </w:pPr>
      <w:r>
        <w:rPr>
          <w:rStyle w:val="a7"/>
        </w:rPr>
        <w:footnoteRef/>
      </w:r>
      <w:r>
        <w:t xml:space="preserve"> </w:t>
      </w:r>
      <w:r>
        <w:rPr>
          <w:b/>
          <w:bCs/>
          <w:rtl/>
        </w:rPr>
        <w:t>בגין דפרח כו'.</w:t>
      </w:r>
      <w:r>
        <w:rPr>
          <w:rtl/>
        </w:rPr>
        <w:t xml:space="preserve"> רוצה לומר הכתב מעלייהו דב' לוחות הוו ב' יודין הנ"ל שהן גם כן ב' ההין שחו"ב אחד הוא כ"ח מ"ה ב' עלמין עילאה ותתאה והוא"ו הוא עלמא מציעתא ו"ק והוא הכתב דעליהון וכיון דפרח הוא"ו אתברו אלו הלוחין גם כן שהן ב' יודין משום דלית פירודא בינייהו וכמו שאומר להלן:</w:t>
      </w:r>
    </w:p>
  </w:footnote>
  <w:footnote w:id="3986">
    <w:p w:rsidR="00A13282" w:rsidRDefault="00A13282" w:rsidP="00B17EA9">
      <w:pPr>
        <w:pStyle w:val="a5"/>
      </w:pPr>
      <w:r>
        <w:rPr>
          <w:rStyle w:val="a7"/>
        </w:rPr>
        <w:footnoteRef/>
      </w:r>
      <w:r>
        <w:t xml:space="preserve"> </w:t>
      </w:r>
      <w:r>
        <w:rPr>
          <w:b/>
          <w:bCs/>
          <w:rtl/>
        </w:rPr>
        <w:t>ויהיב לון אחרנין כו'.</w:t>
      </w:r>
      <w:r>
        <w:rPr>
          <w:rtl/>
        </w:rPr>
        <w:t xml:space="preserve"> והן ב' ההין מסטרא דעץ הדעת טוב ורע והן ב' בתים הנ"ל ולכן גרים איבודא כמו שכתוב (תהלים קכז א) אם ה' לא יבנה בית כו', וזה שאומר בזהר פרשת פנחס דב' בתים שרצה השם יתברך לבנות - לא היו עדיין כלל, ולעתיד לבא יבנה הקב"ה שניהם כאחד, מעשה ידיו לעולם שעתיד להתגלות עץ החיים כמו שאומר בזהר פרשת בראשית ובזהר פרשת משפטים בארוכה:</w:t>
      </w:r>
    </w:p>
  </w:footnote>
  <w:footnote w:id="3987">
    <w:p w:rsidR="00A13282" w:rsidRDefault="00A13282" w:rsidP="00B17EA9">
      <w:pPr>
        <w:pStyle w:val="a5"/>
      </w:pPr>
      <w:r>
        <w:rPr>
          <w:rStyle w:val="a7"/>
        </w:rPr>
        <w:footnoteRef/>
      </w:r>
      <w:r>
        <w:t xml:space="preserve"> </w:t>
      </w:r>
      <w:r>
        <w:rPr>
          <w:b/>
          <w:bCs/>
          <w:rtl/>
        </w:rPr>
        <w:t>אל תאמרו מים מים כו'.</w:t>
      </w:r>
      <w:r>
        <w:rPr>
          <w:rtl/>
        </w:rPr>
        <w:t xml:space="preserve"> רוצה לומר שלא תאמר ששני מיני מים הן כמו בעץ הדעת טוב ורע והן ב' עיינין דז"א שאמרו באידרא רבה והכל במט"ט דשם מקנן ז"א אבל למעלה אף בבריאה דשם מקנן ג"ר עין אחת דא"א הוא חוורא וחוורא גו כו':</w:t>
      </w:r>
    </w:p>
  </w:footnote>
  <w:footnote w:id="3988">
    <w:p w:rsidR="00A13282" w:rsidRDefault="00A13282" w:rsidP="00B17EA9">
      <w:pPr>
        <w:pStyle w:val="a5"/>
      </w:pPr>
      <w:r>
        <w:rPr>
          <w:rStyle w:val="a7"/>
        </w:rPr>
        <w:footnoteRef/>
      </w:r>
      <w:r>
        <w:t xml:space="preserve"> </w:t>
      </w:r>
      <w:r>
        <w:rPr>
          <w:b/>
          <w:bCs/>
          <w:rtl/>
        </w:rPr>
        <w:t>דמתמן לב כו'.</w:t>
      </w:r>
      <w:r>
        <w:rPr>
          <w:rtl/>
        </w:rPr>
        <w:t xml:space="preserve"> רוצה לומר יצר טוב ויצר הרע מה שאין כן בעץ חיים שכולו טוב וחיים ועיין ברעיא מהימנא פ' פנחס רל"ד ב' אמר ר"מ כו' (ולקמן קט"ו א' בארוכה עיין שם):</w:t>
      </w:r>
    </w:p>
  </w:footnote>
  <w:footnote w:id="3989">
    <w:p w:rsidR="00A13282" w:rsidRDefault="00A13282" w:rsidP="00B17EA9">
      <w:pPr>
        <w:pStyle w:val="a5"/>
      </w:pPr>
      <w:r>
        <w:rPr>
          <w:rStyle w:val="a7"/>
        </w:rPr>
        <w:footnoteRef/>
      </w:r>
      <w:r>
        <w:t xml:space="preserve"> </w:t>
      </w:r>
      <w:r>
        <w:rPr>
          <w:b/>
          <w:bCs/>
          <w:rtl/>
        </w:rPr>
        <w:t>ולא עוד כו'.</w:t>
      </w:r>
      <w:r>
        <w:rPr>
          <w:rtl/>
        </w:rPr>
        <w:t xml:space="preserve"> לא זו בלבד שתאמרו שיש שינוי אלא שניהן טובים אלא שהן אחד בלבד:</w:t>
      </w:r>
    </w:p>
  </w:footnote>
  <w:footnote w:id="3990">
    <w:p w:rsidR="00A13282" w:rsidRDefault="00A13282" w:rsidP="00B17EA9">
      <w:pPr>
        <w:pStyle w:val="a5"/>
      </w:pPr>
      <w:r>
        <w:rPr>
          <w:rStyle w:val="a7"/>
        </w:rPr>
        <w:footnoteRef/>
      </w:r>
      <w:r>
        <w:t xml:space="preserve"> </w:t>
      </w:r>
      <w:r>
        <w:rPr>
          <w:b/>
          <w:bCs/>
          <w:rtl/>
        </w:rPr>
        <w:t>ואם תאמרו כו'.</w:t>
      </w:r>
      <w:r>
        <w:rPr>
          <w:rtl/>
        </w:rPr>
        <w:t xml:space="preserve"> רוצה לומר דסלקא דעתין שהוא"ו פרח ונשארו אלו ב' היודין, אמר לא כן אלא גם היודין נסתלקו מאחר שאין פירוד ביניהם, וזה שאומר ואלין דאתברו מאלין הוה, רוצה לומר לא לוחות שניות כסלקא דעתין אלא קודם השבירה לוחות הראשונות, וזהו דובר שקרים כי השקר הוא הפירוד כידוע, וזהו לנגד עיני, עיני הוא ב' עיינין, ב' יודין הנ"ל, ושם לא יכון דובר שקרים דלית תמן פירודא, ועיין לעיל ריש תיקון ד' אינון עיינין כו' הא נחש עקלתון כו', והוא הדובר שקרים כמו שאומר לעיל ס"ד ב' ואיהו נחש דמליל כו', והוא הכל בעץ הדעת טוב ורע, אבל בעץ החיים כנ"ל, ואלו ב' מים דעץ החיים ועץ הדעת טוב ורע הן דפרשה הנ"ל, יהי רקיע - בעץ הדעת טוב ורע, ויעש כו' הוא דעץ החיים כנ"ל:</w:t>
      </w:r>
    </w:p>
  </w:footnote>
  <w:footnote w:id="3991">
    <w:p w:rsidR="00A13282" w:rsidRDefault="00A13282" w:rsidP="00B17EA9">
      <w:pPr>
        <w:pStyle w:val="a5"/>
      </w:pPr>
      <w:r>
        <w:rPr>
          <w:rStyle w:val="a7"/>
        </w:rPr>
        <w:footnoteRef/>
      </w:r>
      <w:r>
        <w:t xml:space="preserve"> </w:t>
      </w:r>
      <w:r>
        <w:rPr>
          <w:rtl/>
        </w:rPr>
        <w:t xml:space="preserve"> (</w:t>
      </w:r>
      <w:r>
        <w:rPr>
          <w:b/>
          <w:bCs/>
          <w:rtl/>
        </w:rPr>
        <w:t>א"ר יצחק כל אינון כו'.</w:t>
      </w:r>
      <w:r>
        <w:rPr>
          <w:rtl/>
        </w:rPr>
        <w:t xml:space="preserve"> אינו מהתיקונים אלא מזהר חדש וטעה המעתיק בעבור שראה למטה כתוב הה"ד וירא אלקים את האור כו':) * </w:t>
      </w:r>
      <w:r>
        <w:rPr>
          <w:b/>
          <w:bCs/>
          <w:rtl/>
        </w:rPr>
        <w:t xml:space="preserve">א"ר יצחק כל אינון כו' </w:t>
      </w:r>
      <w:r>
        <w:rPr>
          <w:rtl/>
        </w:rPr>
        <w:t>עד סוף התיקון אינו מהתיקונים אלא מזוהר פ' חיי שרה</w:t>
      </w:r>
      <w:r>
        <w:rPr>
          <w:b/>
          <w:bCs/>
          <w:rtl/>
        </w:rPr>
        <w:t xml:space="preserve"> א"ר יצחק כל אינון כו' </w:t>
      </w:r>
      <w:r>
        <w:rPr>
          <w:rtl/>
        </w:rPr>
        <w:t>עד</w:t>
      </w:r>
      <w:r>
        <w:rPr>
          <w:b/>
          <w:bCs/>
          <w:rtl/>
        </w:rPr>
        <w:t xml:space="preserve"> א"ר אלעזר. </w:t>
      </w:r>
      <w:r>
        <w:rPr>
          <w:rtl/>
        </w:rPr>
        <w:t>שם קל"א א'</w:t>
      </w:r>
      <w:r>
        <w:rPr>
          <w:b/>
          <w:bCs/>
          <w:rtl/>
        </w:rPr>
        <w:t xml:space="preserve"> ת"ח הא אתמר כו' </w:t>
      </w:r>
      <w:r>
        <w:rPr>
          <w:rtl/>
        </w:rPr>
        <w:t>עד</w:t>
      </w:r>
      <w:r>
        <w:rPr>
          <w:b/>
          <w:bCs/>
          <w:rtl/>
        </w:rPr>
        <w:t xml:space="preserve"> ר' אלעזר: א"ר אלעזר ת"ח בשעתא </w:t>
      </w:r>
      <w:r>
        <w:rPr>
          <w:rtl/>
        </w:rPr>
        <w:t>עד</w:t>
      </w:r>
      <w:r>
        <w:rPr>
          <w:b/>
          <w:bCs/>
          <w:rtl/>
        </w:rPr>
        <w:t xml:space="preserve"> א"ר חזקיה. </w:t>
      </w:r>
      <w:r>
        <w:rPr>
          <w:rtl/>
        </w:rPr>
        <w:t>שם</w:t>
      </w:r>
      <w:r>
        <w:rPr>
          <w:b/>
          <w:bCs/>
          <w:rtl/>
        </w:rPr>
        <w:t xml:space="preserve"> א"ר אלעזר ת"ח </w:t>
      </w:r>
      <w:r>
        <w:rPr>
          <w:rtl/>
        </w:rPr>
        <w:t>עד</w:t>
      </w:r>
      <w:r>
        <w:rPr>
          <w:b/>
          <w:bCs/>
          <w:rtl/>
        </w:rPr>
        <w:t xml:space="preserve"> א"ר ייסא: א"ר חזקיה אי תימא </w:t>
      </w:r>
      <w:r>
        <w:rPr>
          <w:rtl/>
        </w:rPr>
        <w:t>עד</w:t>
      </w:r>
      <w:r>
        <w:rPr>
          <w:b/>
          <w:bCs/>
          <w:rtl/>
        </w:rPr>
        <w:t xml:space="preserve"> א"ר אלעזר. </w:t>
      </w:r>
      <w:r>
        <w:rPr>
          <w:rtl/>
        </w:rPr>
        <w:t>שם למעלה</w:t>
      </w:r>
      <w:r>
        <w:rPr>
          <w:b/>
          <w:bCs/>
          <w:rtl/>
        </w:rPr>
        <w:t xml:space="preserve"> א"ר חזקיה אי תימא כו' </w:t>
      </w:r>
      <w:r>
        <w:rPr>
          <w:rtl/>
        </w:rPr>
        <w:t>עד</w:t>
      </w:r>
      <w:r>
        <w:rPr>
          <w:b/>
          <w:bCs/>
          <w:rtl/>
        </w:rPr>
        <w:t xml:space="preserve"> וכלא אתקם ואתעתד: א"ר אלעזר והאי מאן כו' </w:t>
      </w:r>
      <w:r>
        <w:rPr>
          <w:rtl/>
        </w:rPr>
        <w:t>עשר ספירות התיקון הוא בזהר פרשת וירא קי"ח קי"ט</w:t>
      </w:r>
      <w:r>
        <w:rPr>
          <w:b/>
          <w:bCs/>
          <w:rtl/>
        </w:rPr>
        <w:t xml:space="preserve"> א"ר אלעזר כו':</w:t>
      </w:r>
    </w:p>
  </w:footnote>
  <w:footnote w:id="3992">
    <w:p w:rsidR="00A13282" w:rsidRDefault="00A13282" w:rsidP="00B17EA9">
      <w:pPr>
        <w:pStyle w:val="a5"/>
      </w:pPr>
      <w:r>
        <w:rPr>
          <w:rStyle w:val="a7"/>
        </w:rPr>
        <w:footnoteRef/>
      </w:r>
      <w:r>
        <w:t xml:space="preserve"> </w:t>
      </w:r>
      <w:r>
        <w:rPr>
          <w:b/>
          <w:bCs/>
          <w:rtl/>
        </w:rPr>
        <w:t>יחיו מתיך אלין כו'.</w:t>
      </w:r>
      <w:r>
        <w:rPr>
          <w:rtl/>
        </w:rPr>
        <w:t xml:space="preserve"> דלא נשחטו בסכין פגום, מה שאין כן בחוץ לארץ, וכמו שאומר בזהר פרשת תרומה ובאלין נאמר יחיו ובאלין קימה כמו שמפרש והולך ועיין במדרש הנעלם פ' וירא קי"ג א' ב' א"ר יוחנן המתים שבארץ ישראל הם חיים תחלה הה"ד יחיו כו' ד"א הקיצו כו' הה"ד לכן הנבא כו' והבאתי אתכם אל אדמת ישראל מה כתיב אחריו ונתתי רוחי בכם וחייתם ושם קי"ג א' ב' ריב"א שאל לר' חזקיה אמר ליה מתים שעתיד הקב"ה להחיותן לא כו' לפיכך אין מקבלין נשמתן אלא במקום קיים כו':</w:t>
      </w:r>
    </w:p>
  </w:footnote>
  <w:footnote w:id="3993">
    <w:p w:rsidR="00A13282" w:rsidRDefault="00A13282" w:rsidP="00B17EA9">
      <w:pPr>
        <w:pStyle w:val="a5"/>
      </w:pPr>
      <w:r>
        <w:rPr>
          <w:rStyle w:val="a7"/>
        </w:rPr>
        <w:footnoteRef/>
      </w:r>
      <w:r>
        <w:t xml:space="preserve"> </w:t>
      </w:r>
      <w:r>
        <w:rPr>
          <w:b/>
          <w:bCs/>
          <w:rtl/>
        </w:rPr>
        <w:t>א"ר יוסי אינון כו'.</w:t>
      </w:r>
      <w:r>
        <w:rPr>
          <w:rtl/>
        </w:rPr>
        <w:t xml:space="preserve"> אבל בסבא פ' משפטים ק' א' אמר דקאים ברוחא דשביק בגו אתתא אי זכאה לאתתקנא בגופא בתראה </w:t>
      </w:r>
      <w:r>
        <w:rPr>
          <w:b/>
          <w:bCs/>
          <w:rtl/>
        </w:rPr>
        <w:t>ואתנהר ההוא נהירא כו'</w:t>
      </w:r>
      <w:r>
        <w:rPr>
          <w:rtl/>
        </w:rPr>
        <w:t>:</w:t>
      </w:r>
    </w:p>
  </w:footnote>
  <w:footnote w:id="3994">
    <w:p w:rsidR="00A13282" w:rsidRDefault="00A13282" w:rsidP="00B17EA9">
      <w:pPr>
        <w:pStyle w:val="a5"/>
      </w:pPr>
      <w:r>
        <w:rPr>
          <w:rStyle w:val="a7"/>
        </w:rPr>
        <w:footnoteRef/>
      </w:r>
      <w:r>
        <w:t xml:space="preserve"> </w:t>
      </w:r>
      <w:r>
        <w:rPr>
          <w:b/>
          <w:bCs/>
          <w:rtl/>
        </w:rPr>
        <w:t>דעליה נאמר וירא כו'.</w:t>
      </w:r>
      <w:r>
        <w:rPr>
          <w:rtl/>
        </w:rPr>
        <w:t xml:space="preserve"> כמו שמפרש והולך וכמו שאמרו דגנזו לצדיקים לעתיד לבא, ואין טוב כו':</w:t>
      </w:r>
    </w:p>
  </w:footnote>
  <w:footnote w:id="3995">
    <w:p w:rsidR="00A13282" w:rsidRDefault="00A13282" w:rsidP="00B17EA9">
      <w:pPr>
        <w:pStyle w:val="a5"/>
      </w:pPr>
      <w:r>
        <w:rPr>
          <w:rStyle w:val="a7"/>
        </w:rPr>
        <w:footnoteRef/>
      </w:r>
      <w:r>
        <w:t xml:space="preserve"> </w:t>
      </w:r>
      <w:r>
        <w:rPr>
          <w:b/>
          <w:bCs/>
          <w:rtl/>
        </w:rPr>
        <w:t>הה"ד וזרחה כו'.</w:t>
      </w:r>
      <w:r>
        <w:rPr>
          <w:rtl/>
        </w:rPr>
        <w:t xml:space="preserve"> רוצה לומר שבנהורא הנ"ל יהיה תחיית המתים, וזהו ומרפא בכנפיה כמו שאומר במדרש הנעלם פ' תולדות קל"ט א' הרופא לשבורי כו' זו היא תחיית המתים שהיא רפואה כו':</w:t>
      </w:r>
    </w:p>
  </w:footnote>
  <w:footnote w:id="3996">
    <w:p w:rsidR="00A13282" w:rsidRDefault="00A13282" w:rsidP="00B17EA9">
      <w:pPr>
        <w:pStyle w:val="a5"/>
      </w:pPr>
      <w:r>
        <w:rPr>
          <w:rStyle w:val="a7"/>
        </w:rPr>
        <w:footnoteRef/>
      </w:r>
      <w:r>
        <w:t xml:space="preserve"> </w:t>
      </w:r>
      <w:r>
        <w:rPr>
          <w:b/>
          <w:bCs/>
          <w:rtl/>
        </w:rPr>
        <w:t>וכדין אינון גופין כו'.</w:t>
      </w:r>
      <w:r>
        <w:rPr>
          <w:rtl/>
        </w:rPr>
        <w:t xml:space="preserve"> שהן מסטרא דרע ואז רע יתעבר מעלמא כנ"ל:</w:t>
      </w:r>
    </w:p>
  </w:footnote>
  <w:footnote w:id="3997">
    <w:p w:rsidR="00A13282" w:rsidRDefault="00A13282" w:rsidP="00B17EA9">
      <w:pPr>
        <w:pStyle w:val="a5"/>
      </w:pPr>
      <w:r>
        <w:rPr>
          <w:rStyle w:val="a7"/>
        </w:rPr>
        <w:footnoteRef/>
      </w:r>
      <w:r>
        <w:t xml:space="preserve"> </w:t>
      </w:r>
      <w:r>
        <w:rPr>
          <w:b/>
          <w:bCs/>
          <w:rtl/>
        </w:rPr>
        <w:t>ולא ב"ד דלעילא.</w:t>
      </w:r>
      <w:r>
        <w:rPr>
          <w:rtl/>
        </w:rPr>
        <w:t xml:space="preserve"> דלית משפט תמן עד עשרים, ולמטה מי"ג סוד ס"ם - שיתין פולסי ומ' מכות הראויין להשתלש (משנה מכות ג יא):</w:t>
      </w:r>
    </w:p>
  </w:footnote>
  <w:footnote w:id="3998">
    <w:p w:rsidR="00A13282" w:rsidRDefault="00A13282" w:rsidP="00B17EA9">
      <w:pPr>
        <w:pStyle w:val="a5"/>
        <w:rPr>
          <w:rtl/>
        </w:rPr>
      </w:pPr>
      <w:r>
        <w:rPr>
          <w:rStyle w:val="a7"/>
        </w:rPr>
        <w:footnoteRef/>
      </w:r>
      <w:r>
        <w:t xml:space="preserve"> </w:t>
      </w:r>
      <w:r>
        <w:rPr>
          <w:b/>
          <w:bCs/>
          <w:rtl/>
        </w:rPr>
        <w:t>ולא ב"ד דלתתא.</w:t>
      </w:r>
      <w:r>
        <w:rPr>
          <w:rtl/>
        </w:rPr>
        <w:t xml:space="preserve"> דלא חב במיתת בית דין (גם אמר ולא בית דין דלתתא, רוצה לומר בעון דאבוי והוא ממתיבתא דמט"ט ושם דיינין עד י"ג שנה והראשון נכון)</w:t>
      </w:r>
      <w:r>
        <w:t>:</w:t>
      </w:r>
    </w:p>
    <w:p w:rsidR="00A13282" w:rsidRDefault="00A13282" w:rsidP="00B17EA9">
      <w:pPr>
        <w:pStyle w:val="a5"/>
      </w:pPr>
    </w:p>
  </w:footnote>
  <w:footnote w:id="3999">
    <w:p w:rsidR="00A13282" w:rsidRDefault="00A13282" w:rsidP="00B17EA9">
      <w:pPr>
        <w:pStyle w:val="a5"/>
      </w:pPr>
      <w:r>
        <w:rPr>
          <w:rStyle w:val="a7"/>
        </w:rPr>
        <w:footnoteRef/>
      </w:r>
      <w:r>
        <w:t xml:space="preserve"> </w:t>
      </w:r>
      <w:r>
        <w:rPr>
          <w:rtl/>
        </w:rPr>
        <w:t xml:space="preserve"> </w:t>
      </w:r>
      <w:r>
        <w:rPr>
          <w:b/>
          <w:bCs/>
          <w:rtl/>
        </w:rPr>
        <w:t>תיקון מא.</w:t>
      </w:r>
      <w:r>
        <w:rPr>
          <w:rtl/>
        </w:rPr>
        <w:t xml:space="preserve"> </w:t>
      </w:r>
      <w:r>
        <w:rPr>
          <w:b/>
          <w:bCs/>
          <w:rtl/>
        </w:rPr>
        <w:t>בראשית תמן כו'.</w:t>
      </w:r>
      <w:r>
        <w:rPr>
          <w:rtl/>
        </w:rPr>
        <w:t xml:space="preserve"> עתה מפרש מאמר ג' שהוא ביומא תניינא, וזה שאומר יום תניינא, ואמר דרועא תניינא רוצה לומר שהוא מים דפרשה, שהן אור ומים כנ"ל:</w:t>
      </w:r>
    </w:p>
  </w:footnote>
  <w:footnote w:id="4000">
    <w:p w:rsidR="00A13282" w:rsidRDefault="00A13282" w:rsidP="00B17EA9">
      <w:pPr>
        <w:pStyle w:val="a5"/>
      </w:pPr>
      <w:r>
        <w:rPr>
          <w:rStyle w:val="a7"/>
        </w:rPr>
        <w:footnoteRef/>
      </w:r>
      <w:r>
        <w:t xml:space="preserve"> </w:t>
      </w:r>
      <w:r>
        <w:rPr>
          <w:b/>
          <w:bCs/>
          <w:rtl/>
        </w:rPr>
        <w:t>ישת.</w:t>
      </w:r>
      <w:r>
        <w:rPr>
          <w:rtl/>
        </w:rPr>
        <w:t xml:space="preserve"> רוצה לומר, דתשרי, כמו שמפרש והולך ונאמר חשך סתרו, ששם חשך, וסתרו הוא בכסה כו', בכסה ביום ראש השנה שהוא ר' כמו שמפרש והולך:</w:t>
      </w:r>
    </w:p>
  </w:footnote>
  <w:footnote w:id="4001">
    <w:p w:rsidR="00A13282" w:rsidRDefault="00A13282" w:rsidP="00B17EA9">
      <w:pPr>
        <w:pStyle w:val="a5"/>
      </w:pPr>
      <w:r>
        <w:rPr>
          <w:rStyle w:val="a7"/>
        </w:rPr>
        <w:footnoteRef/>
      </w:r>
      <w:r>
        <w:t xml:space="preserve"> </w:t>
      </w:r>
      <w:r>
        <w:rPr>
          <w:b/>
          <w:bCs/>
          <w:rtl/>
        </w:rPr>
        <w:t>ותמן הבדלה.</w:t>
      </w:r>
      <w:r>
        <w:rPr>
          <w:rtl/>
        </w:rPr>
        <w:t xml:space="preserve"> דאיהו דין רוצה לומר לכן היתה הבדלה בשני שכל הבדלה ומחלוקת הוא מסטרא דדינא ועיין בזהר פרשת בראשית י"ז א' הכא מחלוקת ברזא דשמאלא כו' עיין שם בדבריו הרבה:</w:t>
      </w:r>
    </w:p>
  </w:footnote>
  <w:footnote w:id="4002">
    <w:p w:rsidR="00A13282" w:rsidRDefault="00A13282" w:rsidP="00B17EA9">
      <w:pPr>
        <w:pStyle w:val="a5"/>
      </w:pPr>
      <w:r>
        <w:rPr>
          <w:rStyle w:val="a7"/>
        </w:rPr>
        <w:footnoteRef/>
      </w:r>
      <w:r>
        <w:t xml:space="preserve"> </w:t>
      </w:r>
      <w:r>
        <w:rPr>
          <w:b/>
          <w:bCs/>
          <w:rtl/>
        </w:rPr>
        <w:t>וכל ספירן אתקריאו כו'.</w:t>
      </w:r>
      <w:r>
        <w:rPr>
          <w:rtl/>
        </w:rPr>
        <w:t xml:space="preserve"> רוצה לומר דלכן נאמר ביום ראשון ה’ פעמים אור, וכאן ה’ פעמים מים - בה' ספירות שכולם הם מים מסטריה:</w:t>
      </w:r>
    </w:p>
  </w:footnote>
  <w:footnote w:id="4003">
    <w:p w:rsidR="00A13282" w:rsidRDefault="00A13282" w:rsidP="00B17EA9">
      <w:pPr>
        <w:pStyle w:val="a5"/>
      </w:pPr>
      <w:r>
        <w:rPr>
          <w:rStyle w:val="a7"/>
        </w:rPr>
        <w:footnoteRef/>
      </w:r>
      <w:r>
        <w:t xml:space="preserve"> </w:t>
      </w:r>
      <w:r>
        <w:rPr>
          <w:b/>
          <w:bCs/>
          <w:rtl/>
        </w:rPr>
        <w:t>וכל צבא השמים כו'.</w:t>
      </w:r>
      <w:r>
        <w:rPr>
          <w:rtl/>
        </w:rPr>
        <w:t xml:space="preserve"> כמו שכתוב במלכים (א כב יט), והוא בין מים למים דכאן וכמו שמפרש והולך </w:t>
      </w:r>
      <w:r>
        <w:rPr>
          <w:b/>
          <w:bCs/>
          <w:rtl/>
        </w:rPr>
        <w:t>בההוא זמנא ויהי מבדיל כו' כגון הבדלו.</w:t>
      </w:r>
      <w:r>
        <w:rPr>
          <w:rtl/>
        </w:rPr>
        <w:t xml:space="preserve"> רוצה לומר אלו לחיים ואלו למיתה כמו הבדלו דשם ועיין בזהר פרשת אמור ק"א א' ב' ואמר שם ב' תא חזי לקבל דא תלתא ספרים כו' כך הוא לתתא ועל דא נכתבים כו', וזה שאומר וכד ישראל יתערון בשופרות שהוא ע"י שופר כמו שאומר שם כנ"ל, והבדלה הוא ג' ספרים הנ"ל שהוא מכריע בין מים למים והן ג' מימינא מכריעין הכל לחיים כו' והקב"ה מכריע אלו כו':</w:t>
      </w:r>
    </w:p>
  </w:footnote>
  <w:footnote w:id="4004">
    <w:p w:rsidR="00A13282" w:rsidRDefault="00A13282" w:rsidP="00B17EA9">
      <w:pPr>
        <w:pStyle w:val="a5"/>
      </w:pPr>
      <w:r>
        <w:rPr>
          <w:rStyle w:val="a7"/>
        </w:rPr>
        <w:footnoteRef/>
      </w:r>
      <w:r>
        <w:t xml:space="preserve"> </w:t>
      </w:r>
      <w:r>
        <w:rPr>
          <w:b/>
          <w:bCs/>
          <w:rtl/>
        </w:rPr>
        <w:t>ועל האי תשרי כו'.</w:t>
      </w:r>
      <w:r>
        <w:rPr>
          <w:rtl/>
        </w:rPr>
        <w:t xml:space="preserve"> רוצה לומר שבדין נברא העולם כמו שכתוב בראשית ברא אלקים, ול"ב נתיבות - הכל אלקים, אלא שאח"כ שיתף הקב"ה רחמים, ה' אלקים כו':</w:t>
      </w:r>
    </w:p>
  </w:footnote>
  <w:footnote w:id="4005">
    <w:p w:rsidR="00A13282" w:rsidRDefault="00A13282" w:rsidP="00B17EA9">
      <w:pPr>
        <w:pStyle w:val="a5"/>
      </w:pPr>
      <w:r>
        <w:rPr>
          <w:rStyle w:val="a7"/>
        </w:rPr>
        <w:footnoteRef/>
      </w:r>
      <w:r>
        <w:t xml:space="preserve"> </w:t>
      </w:r>
      <w:r>
        <w:rPr>
          <w:b/>
          <w:bCs/>
          <w:rtl/>
        </w:rPr>
        <w:t>ופתח בב'.</w:t>
      </w:r>
      <w:r>
        <w:rPr>
          <w:rtl/>
        </w:rPr>
        <w:t xml:space="preserve"> רוצה לומר התורה:</w:t>
      </w:r>
    </w:p>
  </w:footnote>
  <w:footnote w:id="4006">
    <w:p w:rsidR="00A13282" w:rsidRDefault="00A13282" w:rsidP="00B17EA9">
      <w:pPr>
        <w:pStyle w:val="a5"/>
      </w:pPr>
      <w:r>
        <w:rPr>
          <w:rStyle w:val="a7"/>
        </w:rPr>
        <w:footnoteRef/>
      </w:r>
      <w:r>
        <w:t xml:space="preserve"> </w:t>
      </w:r>
      <w:r>
        <w:rPr>
          <w:b/>
          <w:bCs/>
          <w:rtl/>
        </w:rPr>
        <w:t>לא אדכר תמן א' בתשרי דלא יתכן לאדכרא בה זמנא אחרא.</w:t>
      </w:r>
      <w:r>
        <w:rPr>
          <w:rtl/>
        </w:rPr>
        <w:t xml:space="preserve"> רוצה לומר דאלף הוא דין, ותשרי הוא גם כן דין. ומביא ראיה </w:t>
      </w:r>
      <w:r>
        <w:rPr>
          <w:b/>
          <w:bCs/>
          <w:rtl/>
        </w:rPr>
        <w:t>שנאמר נר כו'.</w:t>
      </w:r>
      <w:r>
        <w:rPr>
          <w:rtl/>
        </w:rPr>
        <w:t xml:space="preserve"> ונר הוא משמאלא כמו שאומר בתיקון ל”ג, ואדם - שמא מפרש, מ"ס, שורש גבורות, בוצינא דקרדינותא:</w:t>
      </w:r>
    </w:p>
  </w:footnote>
  <w:footnote w:id="4007">
    <w:p w:rsidR="00A13282" w:rsidRDefault="00A13282" w:rsidP="00B17EA9">
      <w:pPr>
        <w:pStyle w:val="a5"/>
      </w:pPr>
      <w:r>
        <w:rPr>
          <w:rStyle w:val="a7"/>
        </w:rPr>
        <w:footnoteRef/>
      </w:r>
      <w:r>
        <w:t xml:space="preserve"> </w:t>
      </w:r>
      <w:r>
        <w:rPr>
          <w:b/>
          <w:bCs/>
          <w:rtl/>
        </w:rPr>
        <w:t>ותמן שבת תניינא כו'.</w:t>
      </w:r>
      <w:r>
        <w:rPr>
          <w:rtl/>
        </w:rPr>
        <w:t xml:space="preserve"> עיין להלן תיקון ל”ו שדרש בבראשית שבת קדמאה, ובראשית - ברא שית, שית יומין דיליה הן ב' תהו כו' כמו שאומר שם, וכאן על שבת תניינא, ושית יומין - ה’ פעמים רקיע בה' ספירות, ושית - שנאמר שמים:</w:t>
      </w:r>
    </w:p>
  </w:footnote>
  <w:footnote w:id="4008">
    <w:p w:rsidR="00A13282" w:rsidRDefault="00A13282" w:rsidP="00B17EA9">
      <w:pPr>
        <w:pStyle w:val="a5"/>
      </w:pPr>
      <w:r>
        <w:rPr>
          <w:rStyle w:val="a7"/>
        </w:rPr>
        <w:footnoteRef/>
      </w:r>
      <w:r>
        <w:t xml:space="preserve"> </w:t>
      </w:r>
      <w:r>
        <w:rPr>
          <w:b/>
          <w:bCs/>
          <w:rtl/>
        </w:rPr>
        <w:t>דלית בתשרי כו'.</w:t>
      </w:r>
      <w:r>
        <w:rPr>
          <w:rtl/>
        </w:rPr>
        <w:t xml:space="preserve"> שהוא אור דאסתלק משם בחטא אדם דאכל מעץ הדעת טוב ורע, דשם פרודא בין ימינא לשמאלא כמו שאומר לקמן ק"א א' וכנ"ל עד לעתיד לבא שיחזור עץ החיים, וזה שאומר עד דאשתלים.</w:t>
      </w:r>
    </w:p>
  </w:footnote>
  <w:footnote w:id="4009">
    <w:p w:rsidR="00A13282" w:rsidRDefault="00A13282" w:rsidP="00B17EA9">
      <w:pPr>
        <w:pStyle w:val="a5"/>
      </w:pPr>
      <w:r>
        <w:rPr>
          <w:rStyle w:val="a7"/>
        </w:rPr>
        <w:footnoteRef/>
      </w:r>
      <w:r>
        <w:t xml:space="preserve"> </w:t>
      </w:r>
      <w:r>
        <w:rPr>
          <w:b/>
          <w:bCs/>
          <w:rtl/>
        </w:rPr>
        <w:t>בראשית דא איהו שבת בראשית כו'.</w:t>
      </w:r>
      <w:r>
        <w:rPr>
          <w:rtl/>
        </w:rPr>
        <w:t xml:space="preserve"> חסר כאן תחילת התיקון, אבל הענין הוא שמפרש על שבת הראשון מז' שבתות והוא יום ראשון וכמו שמפרש והולך, ושבת תניינא דאיהו יומא תניינא מפרש לקמן בתיקון מ”א (והוא מרומז בתיבת בראשית דתמן שבת וראשית הוא שבת ראשון):</w:t>
      </w:r>
    </w:p>
  </w:footnote>
  <w:footnote w:id="4010">
    <w:p w:rsidR="00A13282" w:rsidRDefault="00A13282" w:rsidP="00B17EA9">
      <w:pPr>
        <w:pStyle w:val="a5"/>
      </w:pPr>
      <w:r>
        <w:rPr>
          <w:rStyle w:val="a7"/>
        </w:rPr>
        <w:footnoteRef/>
      </w:r>
      <w:r>
        <w:t xml:space="preserve"> </w:t>
      </w:r>
      <w:r>
        <w:rPr>
          <w:b/>
          <w:bCs/>
          <w:rtl/>
        </w:rPr>
        <w:t>דהא שבע שבתות.</w:t>
      </w:r>
      <w:r>
        <w:rPr>
          <w:rtl/>
        </w:rPr>
        <w:t xml:space="preserve"> מכאן משמע כדברי הראשונים דשבע שמיטות ואנן בשניה, וכמו שאומר בתיקון ל”ה בתשרי אתברי עלמא חסר א' כו' ובתיקון מ”א ועל האי תשרי כו' ותמן שבת תניינא כו':</w:t>
      </w:r>
    </w:p>
  </w:footnote>
  <w:footnote w:id="4011">
    <w:p w:rsidR="00A13282" w:rsidRDefault="00A13282" w:rsidP="00B17EA9">
      <w:pPr>
        <w:pStyle w:val="a5"/>
      </w:pPr>
      <w:r>
        <w:rPr>
          <w:rStyle w:val="a7"/>
        </w:rPr>
        <w:footnoteRef/>
      </w:r>
      <w:r>
        <w:t xml:space="preserve"> </w:t>
      </w:r>
      <w:r>
        <w:rPr>
          <w:b/>
          <w:bCs/>
          <w:rtl/>
        </w:rPr>
        <w:t>ושבת בראשית ו' כו'.</w:t>
      </w:r>
      <w:r>
        <w:rPr>
          <w:rtl/>
        </w:rPr>
        <w:t xml:space="preserve"> רוצה לומר שבת הראשון שנקראת ראשית, והוא נגד יום ראשון לכן כל ו' ימים מרומז ביום ראשון, ושל שני בשני כמו שאומר בתיקון מ”א:</w:t>
      </w:r>
    </w:p>
  </w:footnote>
  <w:footnote w:id="4012">
    <w:p w:rsidR="00A13282" w:rsidRDefault="00A13282" w:rsidP="00B17EA9">
      <w:pPr>
        <w:pStyle w:val="a5"/>
      </w:pPr>
      <w:r>
        <w:rPr>
          <w:rStyle w:val="a7"/>
        </w:rPr>
        <w:footnoteRef/>
      </w:r>
      <w:r>
        <w:t xml:space="preserve"> </w:t>
      </w:r>
      <w:r>
        <w:rPr>
          <w:b/>
          <w:bCs/>
          <w:rtl/>
        </w:rPr>
        <w:t>ב' אלפים תהו.</w:t>
      </w:r>
      <w:r>
        <w:rPr>
          <w:rtl/>
        </w:rPr>
        <w:t xml:space="preserve"> חו"ג קודם לתורה - עמודא דאמצעיתא, ושם נאחזין מאברהם ויצחק כו', והן זו"נ. וב' תהו, אחד ביושר, תהו, והוא דאברהם, ואחד בראשי תיבות למפרע - דיצחק: </w:t>
      </w:r>
    </w:p>
  </w:footnote>
  <w:footnote w:id="4013">
    <w:p w:rsidR="00A13282" w:rsidRDefault="00A13282" w:rsidP="00B17EA9">
      <w:pPr>
        <w:pStyle w:val="a5"/>
        <w:rPr>
          <w:rtl/>
        </w:rPr>
      </w:pPr>
      <w:r>
        <w:rPr>
          <w:rStyle w:val="a7"/>
          <w:rtl/>
        </w:rPr>
        <w:footnoteRef/>
      </w:r>
      <w:r>
        <w:rPr>
          <w:rtl/>
        </w:rPr>
        <w:t xml:space="preserve"> </w:t>
      </w:r>
      <w:r>
        <w:rPr>
          <w:b/>
          <w:bCs/>
          <w:rtl/>
        </w:rPr>
        <w:t>ב' אלפים תורה כו'.</w:t>
      </w:r>
      <w:r>
        <w:rPr>
          <w:rtl/>
        </w:rPr>
        <w:t xml:space="preserve"> כמו שאומר פני המים תרי כו', והוא בת"ת ויסוד שהן נקראים תורה וספר תורה, ויסוד בו גנוזין גבורות כידוע, האוכל לפקדון לארץ (בראשית מא לו), לכן שם מצוות לא תעשה:</w:t>
      </w:r>
    </w:p>
  </w:footnote>
  <w:footnote w:id="4014">
    <w:p w:rsidR="00A13282" w:rsidRDefault="00A13282" w:rsidP="00B17EA9">
      <w:pPr>
        <w:pStyle w:val="a5"/>
      </w:pPr>
      <w:r>
        <w:rPr>
          <w:rStyle w:val="a7"/>
        </w:rPr>
        <w:footnoteRef/>
      </w:r>
      <w:r>
        <w:t xml:space="preserve"> </w:t>
      </w:r>
      <w:r>
        <w:rPr>
          <w:b/>
          <w:bCs/>
          <w:rtl/>
        </w:rPr>
        <w:t>ב' אלפים ימות כו'.</w:t>
      </w:r>
      <w:r>
        <w:rPr>
          <w:rtl/>
        </w:rPr>
        <w:t xml:space="preserve"> והן נו"ה שהן ב' משיחין כידוע בכמה מקומות:</w:t>
      </w:r>
    </w:p>
  </w:footnote>
  <w:footnote w:id="4015">
    <w:p w:rsidR="00A13282" w:rsidRDefault="00A13282" w:rsidP="00B17EA9">
      <w:pPr>
        <w:pStyle w:val="a5"/>
      </w:pPr>
      <w:r>
        <w:rPr>
          <w:rStyle w:val="a7"/>
        </w:rPr>
        <w:footnoteRef/>
      </w:r>
      <w:r>
        <w:t xml:space="preserve"> </w:t>
      </w:r>
      <w:r>
        <w:rPr>
          <w:b/>
          <w:bCs/>
          <w:rtl/>
        </w:rPr>
        <w:t>באורים.</w:t>
      </w:r>
      <w:r>
        <w:rPr>
          <w:rtl/>
        </w:rPr>
        <w:t xml:space="preserve"> אינון ב' אורים הנ"ל:</w:t>
      </w:r>
    </w:p>
  </w:footnote>
  <w:footnote w:id="4016">
    <w:p w:rsidR="00A13282" w:rsidRDefault="00A13282" w:rsidP="00B17EA9">
      <w:pPr>
        <w:pStyle w:val="a5"/>
      </w:pPr>
      <w:r>
        <w:rPr>
          <w:rStyle w:val="a7"/>
        </w:rPr>
        <w:footnoteRef/>
      </w:r>
      <w:r>
        <w:t xml:space="preserve"> </w:t>
      </w:r>
      <w:r>
        <w:rPr>
          <w:b/>
          <w:bCs/>
          <w:rtl/>
        </w:rPr>
        <w:t>דאתמר בה ויהי כן ואינון שבעין.</w:t>
      </w:r>
      <w:r>
        <w:rPr>
          <w:rtl/>
        </w:rPr>
        <w:t xml:space="preserve"> רוצה לומר ע' שנין דחבלי משיח, ע' קלין דיולדה שהוא כן, והוא (ויהי, צערא, כמו שאומר למטה ובכל אתר כו' וכן שבעין כמו שמפרש והולך) וכמו שאומר ברעיא מהימנא פ' משפטים קי"ט ב' תמן ל"ם דאינון ע' קלין כו' כן היינו כו' ועל כן נקוה כו', ובזהר פרשת אחרי מות ס"ז ב' ואינון קלין דיהבת דאינון שבעין כו' מתמן אולידת תרין משיחין כו', ובזהר פרשת פנחס רמ"ט א' ואי תימא דלע' תחיל כו' כולו אומר כבוד כו', וזה שכתוב באורים כבדו ה':</w:t>
      </w:r>
    </w:p>
  </w:footnote>
  <w:footnote w:id="4017">
    <w:p w:rsidR="00A13282" w:rsidRDefault="00A13282" w:rsidP="00B17EA9">
      <w:pPr>
        <w:pStyle w:val="a5"/>
      </w:pPr>
      <w:r>
        <w:rPr>
          <w:rStyle w:val="a7"/>
        </w:rPr>
        <w:footnoteRef/>
      </w:r>
      <w:r>
        <w:t xml:space="preserve"> </w:t>
      </w:r>
      <w:r>
        <w:rPr>
          <w:b/>
          <w:bCs/>
          <w:rtl/>
        </w:rPr>
        <w:t>ד"ו פרצופים.</w:t>
      </w:r>
      <w:r>
        <w:rPr>
          <w:rtl/>
        </w:rPr>
        <w:t xml:space="preserve"> דאיהו בנצח ואיהי בהוד ואז יהיו שוין, אור הלבנה כאור החמה, והן ב' אור הנ"ל:</w:t>
      </w:r>
    </w:p>
  </w:footnote>
  <w:footnote w:id="4018">
    <w:p w:rsidR="00A13282" w:rsidRDefault="00A13282" w:rsidP="00B17EA9">
      <w:pPr>
        <w:pStyle w:val="a5"/>
      </w:pPr>
      <w:r>
        <w:rPr>
          <w:rStyle w:val="a7"/>
        </w:rPr>
        <w:footnoteRef/>
      </w:r>
      <w:r>
        <w:t xml:space="preserve"> </w:t>
      </w:r>
      <w:r>
        <w:rPr>
          <w:b/>
          <w:bCs/>
          <w:rtl/>
        </w:rPr>
        <w:t>יהי אור דא פסח כו' ויהי כו'.</w:t>
      </w:r>
      <w:r>
        <w:rPr>
          <w:rtl/>
        </w:rPr>
        <w:t xml:space="preserve"> ימינא ושמאלא, נו"ה, ובהן עתידין ב' משיחין לגאול כמו שאומר ברעיא מהימנא פ' משפטים שם אע"ג דאקדים בתשרי ואוקמוה בתשרי כו' פסח דרועא כו' ובניסן עתידין להגאל, דשניהם אמת כמו שמפרש והולך שם:</w:t>
      </w:r>
    </w:p>
  </w:footnote>
  <w:footnote w:id="4019">
    <w:p w:rsidR="00A13282" w:rsidRDefault="00A13282" w:rsidP="00B17EA9">
      <w:pPr>
        <w:pStyle w:val="a5"/>
      </w:pPr>
      <w:r>
        <w:rPr>
          <w:rStyle w:val="a7"/>
        </w:rPr>
        <w:footnoteRef/>
      </w:r>
      <w:r>
        <w:t xml:space="preserve"> </w:t>
      </w:r>
      <w:r>
        <w:rPr>
          <w:b/>
          <w:bCs/>
          <w:rtl/>
        </w:rPr>
        <w:t>דאתמר ביה כו'.</w:t>
      </w:r>
      <w:r>
        <w:rPr>
          <w:rtl/>
        </w:rPr>
        <w:t xml:space="preserve"> שראש השנה היה יום הדין כמו שאומר בריש פרשת בא ל"ב ב':</w:t>
      </w:r>
    </w:p>
  </w:footnote>
  <w:footnote w:id="4020">
    <w:p w:rsidR="00A13282" w:rsidRDefault="00A13282" w:rsidP="00B17EA9">
      <w:pPr>
        <w:pStyle w:val="a5"/>
      </w:pPr>
      <w:r>
        <w:rPr>
          <w:rStyle w:val="a7"/>
        </w:rPr>
        <w:footnoteRef/>
      </w:r>
      <w:r>
        <w:t xml:space="preserve"> </w:t>
      </w:r>
      <w:r>
        <w:rPr>
          <w:b/>
          <w:bCs/>
          <w:rtl/>
        </w:rPr>
        <w:t>ובכל אתר כו'.</w:t>
      </w:r>
      <w:r>
        <w:rPr>
          <w:rtl/>
        </w:rPr>
        <w:t xml:space="preserve"> רוצה לומר שמאלא, ומסטריה חבלי משיח כנ"ל:</w:t>
      </w:r>
    </w:p>
  </w:footnote>
  <w:footnote w:id="4021">
    <w:p w:rsidR="00A13282" w:rsidRDefault="00A13282" w:rsidP="00B17EA9">
      <w:pPr>
        <w:pStyle w:val="a5"/>
      </w:pPr>
      <w:r>
        <w:rPr>
          <w:rStyle w:val="a7"/>
        </w:rPr>
        <w:footnoteRef/>
      </w:r>
      <w:r>
        <w:t xml:space="preserve"> </w:t>
      </w:r>
      <w:r>
        <w:rPr>
          <w:b/>
          <w:bCs/>
          <w:rtl/>
        </w:rPr>
        <w:t>בראשית נקודה כו'.</w:t>
      </w:r>
      <w:r>
        <w:rPr>
          <w:rtl/>
        </w:rPr>
        <w:t xml:space="preserve"> עכשיו מפרש האיך שבת מרומז שם, דאמר לעיל דאיהו שבת כו', ושית אתוון דבראשית שהן ברא שית הן שית יומין הנ"ל:</w:t>
      </w:r>
    </w:p>
  </w:footnote>
  <w:footnote w:id="4022">
    <w:p w:rsidR="00A13282" w:rsidRDefault="00A13282" w:rsidP="00B17EA9">
      <w:pPr>
        <w:pStyle w:val="a5"/>
      </w:pPr>
      <w:r>
        <w:rPr>
          <w:rStyle w:val="a7"/>
        </w:rPr>
        <w:footnoteRef/>
      </w:r>
      <w:r>
        <w:t xml:space="preserve"> </w:t>
      </w:r>
      <w:r>
        <w:rPr>
          <w:b/>
          <w:bCs/>
          <w:rtl/>
        </w:rPr>
        <w:t>בחלל דילה דאיהי שבת ברית איהי שבת חלל חלל למאן כו'.</w:t>
      </w:r>
      <w:r>
        <w:rPr>
          <w:rtl/>
        </w:rPr>
        <w:t xml:space="preserve"> רוצה לומר הנקודה הוא ברית ושבת, ומפרש בתיקון זה שבת מחלליה כו' והאי נקודה איהי סתימא וחתימא בשית ימי כו', ובתיקון שאחרי זה מפרש ברית, וזה שאומר איהי שבת רוצה לומר שחוזר ומפרש לשבת שהיא הנקודה וקאמר ההוא חלל למאן וקאמר לההיא כו', שאינו חלל רק לההיא נקודה אבל זר הקרב כו':</w:t>
      </w:r>
    </w:p>
  </w:footnote>
  <w:footnote w:id="4023">
    <w:p w:rsidR="00A13282" w:rsidRDefault="00A13282" w:rsidP="00B17EA9">
      <w:pPr>
        <w:pStyle w:val="a5"/>
      </w:pPr>
      <w:r>
        <w:rPr>
          <w:rStyle w:val="a7"/>
        </w:rPr>
        <w:footnoteRef/>
      </w:r>
      <w:r>
        <w:t xml:space="preserve"> </w:t>
      </w:r>
      <w:r>
        <w:rPr>
          <w:b/>
          <w:bCs/>
          <w:rtl/>
        </w:rPr>
        <w:t>יי"נ זונה.</w:t>
      </w:r>
      <w:r>
        <w:rPr>
          <w:rtl/>
        </w:rPr>
        <w:t xml:space="preserve"> זונה נגד ברית, ויין נסך לסוד מן יסוד כמו שאומר לעיל, והן ג' דרגין דתיקון כ”ט ותיקון ל’, יראה ברית שבת, ויין נסך נגד יראה כמו שאומר בתיקון כ”ט ביין נסך דאיהו יצרא כו', ונגדן אמר בריש תיקון ל’ רצועה יראה רעה. ערלה רצועה נגד שבת, ל"ט מלקות, ל"ט מלאכות:</w:t>
      </w:r>
    </w:p>
  </w:footnote>
  <w:footnote w:id="4024">
    <w:p w:rsidR="00A13282" w:rsidRDefault="00A13282" w:rsidP="00B17EA9">
      <w:pPr>
        <w:pStyle w:val="a5"/>
      </w:pPr>
      <w:r>
        <w:rPr>
          <w:rStyle w:val="a7"/>
        </w:rPr>
        <w:footnoteRef/>
      </w:r>
      <w:r>
        <w:t xml:space="preserve"> </w:t>
      </w:r>
      <w:r>
        <w:rPr>
          <w:b/>
          <w:bCs/>
          <w:rtl/>
        </w:rPr>
        <w:t>ובג"ד הכא צריך כו'.</w:t>
      </w:r>
      <w:r>
        <w:rPr>
          <w:rtl/>
        </w:rPr>
        <w:t xml:space="preserve"> דתיקון זה ותיקון ל”ז, מפרש הכל על פיקודא קדמאה שבשביל הראשון שבתיקון ל”ג, וזה שאומר גם כן בריש תיקון ל”ז ברית ודאי כו' צריך תמן דחילו, וכן קאמר כאן:</w:t>
      </w:r>
    </w:p>
  </w:footnote>
  <w:footnote w:id="4025">
    <w:p w:rsidR="00A13282" w:rsidRDefault="00A13282" w:rsidP="00B17EA9">
      <w:pPr>
        <w:pStyle w:val="a5"/>
      </w:pPr>
      <w:r>
        <w:rPr>
          <w:rStyle w:val="a7"/>
        </w:rPr>
        <w:footnoteRef/>
      </w:r>
      <w:r>
        <w:t xml:space="preserve"> </w:t>
      </w:r>
      <w:r>
        <w:rPr>
          <w:b/>
          <w:bCs/>
          <w:rtl/>
        </w:rPr>
        <w:t>את שבתותי תשמרו ומקדשי תיראו.</w:t>
      </w:r>
      <w:r>
        <w:rPr>
          <w:rtl/>
        </w:rPr>
        <w:t xml:space="preserve"> שהוא ההיא נקודה, וכמו שאומר בזהר פרשת בראשית ו' א', וזה שאומר ומאן דעאל כו' את מקדש כו':</w:t>
      </w:r>
    </w:p>
  </w:footnote>
  <w:footnote w:id="4026">
    <w:p w:rsidR="00A13282" w:rsidRDefault="00A13282" w:rsidP="00B17EA9">
      <w:pPr>
        <w:pStyle w:val="a5"/>
      </w:pPr>
      <w:r>
        <w:rPr>
          <w:rStyle w:val="a7"/>
        </w:rPr>
        <w:footnoteRef/>
      </w:r>
      <w:r>
        <w:t xml:space="preserve"> </w:t>
      </w:r>
      <w:r>
        <w:rPr>
          <w:b/>
          <w:bCs/>
          <w:rtl/>
        </w:rPr>
        <w:t>תגא דס"ת.</w:t>
      </w:r>
      <w:r>
        <w:rPr>
          <w:rtl/>
        </w:rPr>
        <w:t xml:space="preserve"> שיסוד הוא ספר תורה כידוע:</w:t>
      </w:r>
    </w:p>
  </w:footnote>
  <w:footnote w:id="4027">
    <w:p w:rsidR="00A13282" w:rsidRDefault="00A13282" w:rsidP="00B17EA9">
      <w:pPr>
        <w:pStyle w:val="a5"/>
      </w:pPr>
      <w:r>
        <w:rPr>
          <w:rStyle w:val="a7"/>
        </w:rPr>
        <w:footnoteRef/>
      </w:r>
      <w:r>
        <w:t xml:space="preserve"> </w:t>
      </w:r>
      <w:r>
        <w:rPr>
          <w:b/>
          <w:bCs/>
          <w:rtl/>
        </w:rPr>
        <w:t>כתרא בריש כל צדיק.</w:t>
      </w:r>
      <w:r>
        <w:rPr>
          <w:rtl/>
        </w:rPr>
        <w:t xml:space="preserve"> שאמרו (זהר שמות קטז ע"א) צדיקים יושבין ועטרותיהן בראשיהן, וצדיקים הן צדיק, ועטרה הוא עטרת דברית, ובשבילה זכו על ההוא חותם וכמו שכתוב (ישעיהו ס כא) ועמך כולם כו':</w:t>
      </w:r>
    </w:p>
  </w:footnote>
  <w:footnote w:id="4028">
    <w:p w:rsidR="00A13282" w:rsidRDefault="00A13282" w:rsidP="00B17EA9">
      <w:pPr>
        <w:pStyle w:val="a5"/>
      </w:pPr>
      <w:r>
        <w:rPr>
          <w:rStyle w:val="a7"/>
        </w:rPr>
        <w:footnoteRef/>
      </w:r>
      <w:r>
        <w:t xml:space="preserve"> </w:t>
      </w:r>
      <w:r>
        <w:rPr>
          <w:b/>
          <w:bCs/>
          <w:rtl/>
        </w:rPr>
        <w:t>עלה אתמר אדם וחוה דהוו ד"ו פרצופים א"א לשני מלכים כו'.</w:t>
      </w:r>
      <w:r>
        <w:rPr>
          <w:rtl/>
        </w:rPr>
        <w:t xml:space="preserve"> רוצה לומר על ההיא נקודה, וכמו שמפרש והולך רזא דא לחכימי לבא אתמסר, ומפרש והולך הרזא דא ואמר</w:t>
      </w:r>
      <w:r>
        <w:rPr>
          <w:b/>
          <w:bCs/>
          <w:rtl/>
        </w:rPr>
        <w:t xml:space="preserve"> ד"ו איהי ה' כתרא דתרווייהו י' ובה כו'.</w:t>
      </w:r>
      <w:r>
        <w:rPr>
          <w:rtl/>
        </w:rPr>
        <w:t xml:space="preserve"> רוצה לומר דאדם וחוה הן חו"ב, ואמרינן (בספר יצירה) הבן בחכמה וחכם בבינה, ולכן שניהם כלולים בבינה וכן בחכמה, ובבינה הן כלולין בה"א, ד"ו של ה', והן בה ד"ו פרצופין, שהד' והו' חולקין בה, לכן הה"א נחלק לשנים, אבל בחכמה הן באת אחת - י', שד"ו גימטריא עשר, והן עשר כידוע, בו - ו"ק ובה - ד', והן יו"ד, וכתר של ה' הוא יו"ד, וזהו בכתר אחד, וכן הוא כאן בב', דבב' עצמה הן ב' פרצופים שמרמז ב' אבל בנקודה שבתוכה הן אחד וזה בכתר אחד והנקודה הוא כתר כמו שאומר לעיל עטרת כו' כתרא כו':</w:t>
      </w:r>
    </w:p>
  </w:footnote>
  <w:footnote w:id="4029">
    <w:p w:rsidR="00A13282" w:rsidRDefault="00A13282" w:rsidP="00B17EA9">
      <w:pPr>
        <w:pStyle w:val="a5"/>
      </w:pPr>
      <w:r>
        <w:rPr>
          <w:rStyle w:val="a7"/>
        </w:rPr>
        <w:footnoteRef/>
      </w:r>
      <w:r>
        <w:t xml:space="preserve"> </w:t>
      </w:r>
      <w:r>
        <w:rPr>
          <w:b/>
          <w:bCs/>
          <w:rtl/>
        </w:rPr>
        <w:t>והאי נקודה כו' באת ו' כו' וביומא שביעאה כו'.</w:t>
      </w:r>
      <w:r>
        <w:rPr>
          <w:rtl/>
        </w:rPr>
        <w:t xml:space="preserve"> הענין, שכל ימות החול מקננה במט"ט שהוא מרכבה דוא"ו, ז"א, ושם היא סתומה שלא תתנסך מפני פחד החיצונים, אבל בשבת עולה למקום לא יגורך רע, וסכת שלום אז כו', והוא בין למעלה בין למטה, למטה במט"ט שומר כל ימות החול בו"ק דיליה, ואיהי שריא בנקודת המרכז, שמי בקרבו, והוא תופר מנעלים לעשות מסגרת לה, ועיין לקמן ריש תיקון נ"ח, ובשבת עולם הבריאה שלטא, דביה מקננת בינה, עלמא דחירו, ובה עולה ומתפתחת שם, וכן באצילות - כל ימות החול מסתתרת בו"ק ובשבת עולה לבינה:</w:t>
      </w:r>
    </w:p>
  </w:footnote>
  <w:footnote w:id="4030">
    <w:p w:rsidR="00A13282" w:rsidRDefault="00A13282" w:rsidP="00B17EA9">
      <w:pPr>
        <w:pStyle w:val="a5"/>
      </w:pPr>
      <w:r>
        <w:rPr>
          <w:rStyle w:val="a7"/>
        </w:rPr>
        <w:footnoteRef/>
      </w:r>
      <w:r>
        <w:t xml:space="preserve"> </w:t>
      </w:r>
      <w:r>
        <w:rPr>
          <w:b/>
          <w:bCs/>
          <w:rtl/>
        </w:rPr>
        <w:t>בעשר אמירן ול"ב כו'.</w:t>
      </w:r>
      <w:r>
        <w:rPr>
          <w:rtl/>
        </w:rPr>
        <w:t xml:space="preserve"> שהן כולם בששת הימים של ימות החול דאיהו סגירא, אבל בשבת איהי ויכלו כמנין חסד כמו שמפרש והולך </w:t>
      </w:r>
      <w:r>
        <w:rPr>
          <w:b/>
          <w:bCs/>
          <w:rtl/>
        </w:rPr>
        <w:t>ושבת ויכלו חסד דבימינא כו'.</w:t>
      </w:r>
      <w:r>
        <w:rPr>
          <w:rtl/>
        </w:rPr>
        <w:t xml:space="preserve"> ורוצה לומר דבחול הוא חלל דב' בינה אבל בשבת היא נקודה דבה חכמה כנ"ל ושם חסד אהבה, וזהו דחילו שהוא בינה, וזה שכתוב איש אמו ואביו תיראו - בינה שבהם, וזה שכתוב כבד כו' - חכמה שבהם, וכנ"ל הבן בחכמה כו':</w:t>
      </w:r>
    </w:p>
  </w:footnote>
  <w:footnote w:id="4031">
    <w:p w:rsidR="00A13282" w:rsidRDefault="00A13282" w:rsidP="00B17EA9">
      <w:pPr>
        <w:pStyle w:val="a5"/>
      </w:pPr>
      <w:r>
        <w:rPr>
          <w:rStyle w:val="a7"/>
        </w:rPr>
        <w:footnoteRef/>
      </w:r>
      <w:r>
        <w:t xml:space="preserve"> </w:t>
      </w:r>
      <w:r>
        <w:rPr>
          <w:b/>
          <w:bCs/>
          <w:rtl/>
        </w:rPr>
        <w:t>ומדחילו כו'.</w:t>
      </w:r>
      <w:r>
        <w:rPr>
          <w:rtl/>
        </w:rPr>
        <w:t xml:space="preserve"> וזהו זכור ושמור, דבשבת - שמור, תשמרו ומקדשי תיראו כנ"ל, איש אמו כו' ואת שבתותי תשמרו, וזכרי - בזכור דתמן זה זכרי, רמ"ח, ושם לקדוש ה' מכובד, קדש ה' הוא חכמה ותמן כבד את כו' כנ"ל:</w:t>
      </w:r>
    </w:p>
  </w:footnote>
  <w:footnote w:id="4032">
    <w:p w:rsidR="00A13282" w:rsidRDefault="00A13282" w:rsidP="00B17EA9">
      <w:pPr>
        <w:pStyle w:val="a5"/>
        <w:rPr>
          <w:rtl/>
        </w:rPr>
      </w:pPr>
      <w:r>
        <w:rPr>
          <w:rStyle w:val="a7"/>
        </w:rPr>
        <w:footnoteRef/>
      </w:r>
      <w:r>
        <w:t xml:space="preserve"> </w:t>
      </w:r>
      <w:r>
        <w:rPr>
          <w:b/>
          <w:bCs/>
          <w:rtl/>
        </w:rPr>
        <w:t xml:space="preserve">וכמה דאברהם כו' ה"נ מיצחק כו'. </w:t>
      </w:r>
      <w:r>
        <w:rPr>
          <w:rtl/>
        </w:rPr>
        <w:t>ורוצה לומר שהן דחילו ורחימו כידוע אברהם אוהבי ופחד יצחק ואמר וכמה דאברהם כו' שידוע שממנו רמ"ח מצוות עשה חושבן שמו והן שמי וזכרי עם י"ה דאלקים ו"ה דאלו"ה וביומא תליתאה כולל שניהם (בשם הוי"ה וכמו שאומר בזהר חדש ע"ח ב' עיין שם) ובתורה שהוא תרי"ג בחושבן עם כלילות ב' ימינא ושמאלא וכלולין גם כן בד' אותיות הוי"ה דיליה כנ"ל:</w:t>
      </w:r>
    </w:p>
    <w:p w:rsidR="00A13282" w:rsidRDefault="00A13282" w:rsidP="00B17EA9">
      <w:pPr>
        <w:pStyle w:val="a5"/>
      </w:pPr>
    </w:p>
  </w:footnote>
  <w:footnote w:id="4033">
    <w:p w:rsidR="00A13282" w:rsidRDefault="00A13282" w:rsidP="00B17EA9">
      <w:pPr>
        <w:pStyle w:val="a5"/>
      </w:pPr>
      <w:r>
        <w:rPr>
          <w:rStyle w:val="a7"/>
        </w:rPr>
        <w:footnoteRef/>
      </w:r>
      <w:r>
        <w:t xml:space="preserve"> </w:t>
      </w:r>
      <w:r>
        <w:rPr>
          <w:rtl/>
        </w:rPr>
        <w:t xml:space="preserve"> </w:t>
      </w:r>
      <w:r>
        <w:rPr>
          <w:b/>
          <w:bCs/>
          <w:rtl/>
        </w:rPr>
        <w:t>תיקון מב.</w:t>
      </w:r>
      <w:r>
        <w:rPr>
          <w:rtl/>
        </w:rPr>
        <w:t xml:space="preserve"> </w:t>
      </w:r>
      <w:r>
        <w:rPr>
          <w:b/>
          <w:bCs/>
          <w:rtl/>
        </w:rPr>
        <w:t>בראשית כו'.</w:t>
      </w:r>
      <w:r>
        <w:rPr>
          <w:rtl/>
        </w:rPr>
        <w:t xml:space="preserve"> על מאמר ג' שהוא ביום הג' כמו שמפרש והולך:</w:t>
      </w:r>
    </w:p>
  </w:footnote>
  <w:footnote w:id="4034">
    <w:p w:rsidR="00A13282" w:rsidRDefault="00A13282" w:rsidP="00B17EA9">
      <w:pPr>
        <w:pStyle w:val="a5"/>
      </w:pPr>
      <w:r>
        <w:rPr>
          <w:rStyle w:val="a7"/>
        </w:rPr>
        <w:footnoteRef/>
      </w:r>
      <w:r>
        <w:t xml:space="preserve"> </w:t>
      </w:r>
      <w:r>
        <w:rPr>
          <w:rtl/>
        </w:rPr>
        <w:t xml:space="preserve"> </w:t>
      </w:r>
      <w:r>
        <w:rPr>
          <w:b/>
          <w:bCs/>
          <w:rtl/>
        </w:rPr>
        <w:t>דהא תלת אומנין כו'.</w:t>
      </w:r>
      <w:r>
        <w:rPr>
          <w:rtl/>
        </w:rPr>
        <w:t xml:space="preserve"> שהן אור מים וארץ, ואלו עצמן הוציאו תולדות בג' ימים האחרונים, יהי מאורות, וישרצו, ותוצא כו', וכאן אמר רקיע (שעיקרו מהמים הוא, וחשיב מה דאפיקו. והכל אחד, (ישעיהו מג טז) במים עזים, (תהלים קנ א) ברקיע עוזו כידוע ועיין לקמן ריש תיקון מ"ז הכא תלת אומנין כו') והן חג"ת - אבות, ונה"י - תולדות, בניך למודי ה', וכל אחד אתקשר בדרגיה כמו שאומר לעיל ע"ז א':</w:t>
      </w:r>
    </w:p>
  </w:footnote>
  <w:footnote w:id="4035">
    <w:p w:rsidR="00A13282" w:rsidRDefault="00A13282" w:rsidP="00B17EA9">
      <w:pPr>
        <w:pStyle w:val="a5"/>
      </w:pPr>
      <w:r>
        <w:rPr>
          <w:rStyle w:val="a7"/>
        </w:rPr>
        <w:footnoteRef/>
      </w:r>
      <w:r>
        <w:t xml:space="preserve"> </w:t>
      </w:r>
      <w:r>
        <w:rPr>
          <w:b/>
          <w:bCs/>
          <w:rtl/>
        </w:rPr>
        <w:t>כל חד אפיק.</w:t>
      </w:r>
      <w:r>
        <w:rPr>
          <w:rtl/>
        </w:rPr>
        <w:t xml:space="preserve"> כמו שאומר למטה, דבכל אחד נאמר יהי ואח"כ העשיה, שהוא אפיק אומנותיה, ורוצה לומר הציווי היה לג' ימים האלו שיפיקו לאלו ג', אור רקיע וארץ, וכן עשו, והציווי היה מג' דעליהון כח"ב כמו שמפרש והולך:</w:t>
      </w:r>
    </w:p>
  </w:footnote>
  <w:footnote w:id="4036">
    <w:p w:rsidR="00A13282" w:rsidRDefault="00A13282" w:rsidP="00B17EA9">
      <w:pPr>
        <w:pStyle w:val="a5"/>
      </w:pPr>
      <w:r>
        <w:rPr>
          <w:rStyle w:val="a7"/>
        </w:rPr>
        <w:footnoteRef/>
      </w:r>
      <w:r>
        <w:t xml:space="preserve"> </w:t>
      </w:r>
      <w:r>
        <w:rPr>
          <w:b/>
          <w:bCs/>
          <w:rtl/>
        </w:rPr>
        <w:t>אמון מופלא ומכוסה.</w:t>
      </w:r>
      <w:r>
        <w:rPr>
          <w:rtl/>
        </w:rPr>
        <w:t xml:space="preserve"> הוא כתר כמו שכתוב (משלי ח ל) ואהיה אצלו אמון, ואהיה הוא בכתר, ואמרו בריש בראשית רבה אמון - מכוסה, כמו שכתוב (איכה ד ה) האמונים כו', אמון מוצנע כמו שכתוב ויהי אומן כו', ובמקום מוצנע אמר מופלא והענין אחד, ואמר שם דבר אחר אמון אומן כו', וזה שאומר כאן אמון, דהוא ראש האומנים המצוה להאומנים לעשות, וכמו שאומר לעיל דהא תלת אומנין כו', והוא אומר להם לעשות כמו שמפרש והולך, ונקרא מופלא ומכוסה - על ב' דרגין דביה, כמו שאומר בריש תיקוני זהר חדש עיין שם, והן נגד ג"ר - כח"ב, נגד בינה - אמון כמו שאומר בזהר פרשת בראשית כ"ב א', ומופלא הוא פליאות חכמה, ומכוסה בכתר עליון דמתכסה בספירן כידוע, והן כלילין כולם ביה בג"ר, דביה אמון מ"ס כידוע, והכל כנ"ל וזה שאומר כליל תלת כו':</w:t>
      </w:r>
    </w:p>
  </w:footnote>
  <w:footnote w:id="4037">
    <w:p w:rsidR="00A13282" w:rsidRDefault="00A13282" w:rsidP="00B17EA9">
      <w:pPr>
        <w:pStyle w:val="a5"/>
      </w:pPr>
      <w:r>
        <w:rPr>
          <w:rStyle w:val="a7"/>
        </w:rPr>
        <w:footnoteRef/>
      </w:r>
      <w:r>
        <w:t xml:space="preserve"> </w:t>
      </w:r>
      <w:r>
        <w:rPr>
          <w:b/>
          <w:bCs/>
          <w:rtl/>
        </w:rPr>
        <w:t>דאיהו אין כו'.</w:t>
      </w:r>
      <w:r>
        <w:rPr>
          <w:rtl/>
        </w:rPr>
        <w:t xml:space="preserve"> דמחכמה מתחיל יש, אבל כאן - אין לגמרי, דחכמה - מציאותו מושגת ולא מהותו, אבל כאן אפילו מציאותו אינה מושגת, ואינו רמוז רק בקוץ, ואינו רק שורש עשר ספירות:</w:t>
      </w:r>
    </w:p>
  </w:footnote>
  <w:footnote w:id="4038">
    <w:p w:rsidR="00A13282" w:rsidRDefault="00A13282" w:rsidP="00B17EA9">
      <w:pPr>
        <w:pStyle w:val="a5"/>
      </w:pPr>
      <w:r>
        <w:rPr>
          <w:rStyle w:val="a7"/>
        </w:rPr>
        <w:footnoteRef/>
      </w:r>
      <w:r>
        <w:t xml:space="preserve"> </w:t>
      </w:r>
      <w:r>
        <w:rPr>
          <w:b/>
          <w:bCs/>
          <w:rtl/>
        </w:rPr>
        <w:t>כליל כו'.</w:t>
      </w:r>
      <w:r>
        <w:rPr>
          <w:rtl/>
        </w:rPr>
        <w:t xml:space="preserve"> רוצה לומר, בג' אותיות אין, כמו שמפרש והולך:</w:t>
      </w:r>
    </w:p>
  </w:footnote>
  <w:footnote w:id="4039">
    <w:p w:rsidR="00A13282" w:rsidRDefault="00A13282" w:rsidP="00B17EA9">
      <w:pPr>
        <w:pStyle w:val="a5"/>
      </w:pPr>
      <w:r>
        <w:rPr>
          <w:rStyle w:val="a7"/>
        </w:rPr>
        <w:footnoteRef/>
      </w:r>
      <w:r>
        <w:t xml:space="preserve"> </w:t>
      </w:r>
      <w:r>
        <w:rPr>
          <w:b/>
          <w:bCs/>
          <w:rtl/>
        </w:rPr>
        <w:t>א' כתר.</w:t>
      </w:r>
      <w:r>
        <w:rPr>
          <w:rtl/>
        </w:rPr>
        <w:t xml:space="preserve"> (א' דאי"ה או"ה, שכולל כל הוי"ה באלף, כ"ו) דהוא יחודא דכולא, שותף השלישי, ושם אח"ד, י"ג מכילין דרחמי, ושם עד שלא נברא העולם היה הוא ושמו אחד בכתר, דזו"נ התחלתן מחכמה כמו שאומר באדרא זוטא ושם אין אלקים עמדי.</w:t>
      </w:r>
    </w:p>
  </w:footnote>
  <w:footnote w:id="4040">
    <w:p w:rsidR="00A13282" w:rsidRDefault="00A13282" w:rsidP="00B17EA9">
      <w:pPr>
        <w:pStyle w:val="a5"/>
      </w:pPr>
      <w:r>
        <w:rPr>
          <w:rStyle w:val="a7"/>
        </w:rPr>
        <w:footnoteRef/>
      </w:r>
      <w:r>
        <w:t xml:space="preserve"> </w:t>
      </w:r>
      <w:r>
        <w:rPr>
          <w:rtl/>
        </w:rPr>
        <w:t xml:space="preserve"> </w:t>
      </w:r>
      <w:r>
        <w:rPr>
          <w:b/>
          <w:bCs/>
          <w:rtl/>
        </w:rPr>
        <w:t>יוד חכמה.</w:t>
      </w:r>
      <w:r>
        <w:rPr>
          <w:rtl/>
        </w:rPr>
        <w:t xml:space="preserve"> יו"ד של שם, ומסטרה - עשר ספירות, עשר חכמות, כמו שאומר בתיקוני זהר חדש ע"ג עיין שם בדבריו ובזהר פרשת ויקרא יו"ד ב' תאנא בספרא דחנוך בשעתא כו' א"ל על יוד כו' עיין שם היטב. </w:t>
      </w:r>
    </w:p>
  </w:footnote>
  <w:footnote w:id="4041">
    <w:p w:rsidR="00A13282" w:rsidRDefault="00A13282" w:rsidP="00B17EA9">
      <w:pPr>
        <w:pStyle w:val="a5"/>
      </w:pPr>
      <w:r>
        <w:rPr>
          <w:rStyle w:val="a7"/>
        </w:rPr>
        <w:footnoteRef/>
      </w:r>
      <w:r>
        <w:t xml:space="preserve"> </w:t>
      </w:r>
      <w:r>
        <w:rPr>
          <w:rtl/>
        </w:rPr>
        <w:t xml:space="preserve"> </w:t>
      </w:r>
      <w:r>
        <w:rPr>
          <w:b/>
          <w:bCs/>
          <w:rtl/>
        </w:rPr>
        <w:t>נ'.</w:t>
      </w:r>
      <w:r>
        <w:rPr>
          <w:rtl/>
        </w:rPr>
        <w:t xml:space="preserve"> הוא נש"ב:</w:t>
      </w:r>
    </w:p>
  </w:footnote>
  <w:footnote w:id="4042">
    <w:p w:rsidR="00A13282" w:rsidRDefault="00A13282" w:rsidP="00B17EA9">
      <w:pPr>
        <w:pStyle w:val="a5"/>
      </w:pPr>
      <w:r>
        <w:rPr>
          <w:rStyle w:val="a7"/>
        </w:rPr>
        <w:footnoteRef/>
      </w:r>
      <w:r>
        <w:t xml:space="preserve"> </w:t>
      </w:r>
      <w:r>
        <w:rPr>
          <w:rtl/>
        </w:rPr>
        <w:t xml:space="preserve"> </w:t>
      </w:r>
      <w:r>
        <w:rPr>
          <w:b/>
          <w:bCs/>
          <w:rtl/>
        </w:rPr>
        <w:t>א' מן אין דהוה כו'.</w:t>
      </w:r>
      <w:r>
        <w:rPr>
          <w:rtl/>
        </w:rPr>
        <w:t xml:space="preserve"> רוצה לומר, אלו הג' הן שלשה שכוללין הכל, שמים ואויר וארץ, שהן כלל הכל, בין בעולם ושנה ונפש, ועשר ספירות וג' עולמות ובנשמה ובכל דבר, ואויר באמצע בין רקיע לארץ, שהוא המכריע, ושמים וארץ - חו"ג, כמו שאומר כאן, והכתר לא אפיק שום דבר כי הוא אין, אלא כד מתעטף באור דהוא דעת, ה’ פעמים אור, ה’ חסדים, שהוא אויר בהתעטפות היוד בה' אור דהוא כליל י"ה, חו"ב, והוא אויר וכמו שאומר לעיל ע"ו ב' נתיב תליתאה כו' (ע"י אפיק אור וכן בג' רישין רישא עילאה ע"י אוירא דשם גנוז דעת דע"י) ואלו ג' כלולין באי"ש, דרגא דיעקב, דכולל ג' הימים והוא כולל ג"ר כמו שאומר בתיקוני זהר חדש ע"ג ב' איש, א' - כתר, י' - חכמה, ש' - תשובה, והענין ששם הוא ן' וכאן ש', כי האתוון דיהו"ה נכללין כל דרגא ממה שעליה, ה' מיו"ד הוא נו"ן שערי בינה כמו שאומר בככמה מקומות, וא"ו ממנה הוא שי"ן, וה' בתראה אלף ות"ק מפתחאן כו' כידוע ולכן בבינה - נו"ן, וכאן בת"ת - שי"ן (וזהו י"ש בחכמה דכולל חו"ב, כ"ח מ"ה, ועם כתר - איש כנ"ל, וכולן נכללין לבד מן הכתר דהוא א' ולכך לית חושבן ביה):</w:t>
      </w:r>
    </w:p>
  </w:footnote>
  <w:footnote w:id="4043">
    <w:p w:rsidR="00A13282" w:rsidRDefault="00A13282" w:rsidP="00B17EA9">
      <w:pPr>
        <w:pStyle w:val="a5"/>
      </w:pPr>
      <w:r>
        <w:rPr>
          <w:rStyle w:val="a7"/>
        </w:rPr>
        <w:footnoteRef/>
      </w:r>
      <w:r>
        <w:t xml:space="preserve"> </w:t>
      </w:r>
      <w:r>
        <w:rPr>
          <w:rtl/>
        </w:rPr>
        <w:t xml:space="preserve"> </w:t>
      </w:r>
      <w:r>
        <w:rPr>
          <w:b/>
          <w:bCs/>
          <w:rtl/>
        </w:rPr>
        <w:t>פקודא דיחודא ופקודא דפ"ו.</w:t>
      </w:r>
      <w:r>
        <w:rPr>
          <w:rtl/>
        </w:rPr>
        <w:t xml:space="preserve"> והן ב' מאמרות דיום השלישי, יקוו ותדשא, אלא שנכללין זה בזה אבל העיקר הוא כאן דיחודא כמו שמפרש והולך (כולל בו למטה), ובתדשא - פריה ורביה כמו שאומר לקמן בתיקון מ”ג ועיין מה שכתבתי שם:</w:t>
      </w:r>
    </w:p>
  </w:footnote>
  <w:footnote w:id="4044">
    <w:p w:rsidR="00A13282" w:rsidRDefault="00A13282" w:rsidP="00B17EA9">
      <w:pPr>
        <w:pStyle w:val="a5"/>
      </w:pPr>
      <w:r>
        <w:rPr>
          <w:rStyle w:val="a7"/>
        </w:rPr>
        <w:footnoteRef/>
      </w:r>
      <w:r>
        <w:t xml:space="preserve"> </w:t>
      </w:r>
      <w:r>
        <w:rPr>
          <w:rtl/>
        </w:rPr>
        <w:t xml:space="preserve"> </w:t>
      </w:r>
      <w:r>
        <w:rPr>
          <w:b/>
          <w:bCs/>
          <w:rtl/>
        </w:rPr>
        <w:t>פקודא דיחודא כו' יחודא דכל ספירה כו'.</w:t>
      </w:r>
      <w:r>
        <w:rPr>
          <w:rtl/>
        </w:rPr>
        <w:t xml:space="preserve"> כי היחוד הוא שמתכנשין כל השפע של כל האברים יחד, וכן יחוד דכר ונוק' שבאין יחד מ"ד ומ"נ ונעשין אחד וכמו שכתוב (בראשית ב כד) והיו לבשר אחד ועיין רש"י שם, ולפיכך כל היחוד הוא בההוא נהר, וזה שכתוב יקוו המים שהוא הנהר יחודא דכל ספירות כו':</w:t>
      </w:r>
    </w:p>
  </w:footnote>
  <w:footnote w:id="4045">
    <w:p w:rsidR="00A13282" w:rsidRDefault="00A13282" w:rsidP="00B17EA9">
      <w:pPr>
        <w:pStyle w:val="a5"/>
      </w:pPr>
      <w:r>
        <w:rPr>
          <w:rStyle w:val="a7"/>
        </w:rPr>
        <w:footnoteRef/>
      </w:r>
      <w:r>
        <w:t xml:space="preserve"> </w:t>
      </w:r>
      <w:r>
        <w:rPr>
          <w:b/>
          <w:bCs/>
          <w:rtl/>
        </w:rPr>
        <w:t>לאתר חד דאיהו כו'.</w:t>
      </w:r>
      <w:r>
        <w:rPr>
          <w:rtl/>
        </w:rPr>
        <w:t xml:space="preserve"> מפרש עתה אל מקום אחד דהוא בת"ת דהוא מקוה, מקום קוית המים, ומנא לן דהוא נקרא מקוה דכתיב מקוה ישראל - ישראל הוא מקוה, וכר"י בזהר פרשת בראשית ל"ג א' רי"א ישראל מקוה איהו דכתיב מקוה ישראל ה', ועוד דכתיב ה' והוא בשמהן ת"ת כמו שאומר בזהר פרשת ויקרא י"א ב', ועוד דכאן הוא יומא תליתאה דיעקב כמו שאומר לעיל, ועוד דכתיב מקום אחד ואחד הוא כמו שכתוב שמע ישראל כו' ה' אחד ונאמר שם ישראל דקראן לישראל בעלה כמו שאומר לעיל, ונאמר ה' ונאמר בהן אחד, וכן ידוע שיחודא דקריאת שמע בת"ת וכן הוא יחודא דכאן והוא גם כן על קריאת שמע, ועוד דכתיב מקום והוא בהוי"ה שהוא בת"ת:</w:t>
      </w:r>
    </w:p>
  </w:footnote>
  <w:footnote w:id="4046">
    <w:p w:rsidR="00A13282" w:rsidRDefault="00A13282" w:rsidP="00B17EA9">
      <w:pPr>
        <w:pStyle w:val="a5"/>
      </w:pPr>
      <w:r>
        <w:rPr>
          <w:rStyle w:val="a7"/>
        </w:rPr>
        <w:footnoteRef/>
      </w:r>
      <w:r>
        <w:t xml:space="preserve"> </w:t>
      </w:r>
      <w:r>
        <w:rPr>
          <w:b/>
          <w:bCs/>
          <w:rtl/>
        </w:rPr>
        <w:t>דאיהו מקוה. ישראל. ה'. יומא תליתאה. שמע ישראל כו'.</w:t>
      </w:r>
      <w:r>
        <w:rPr>
          <w:rtl/>
        </w:rPr>
        <w:t xml:space="preserve"> </w:t>
      </w:r>
      <w:r>
        <w:rPr>
          <w:b/>
          <w:bCs/>
          <w:rtl/>
        </w:rPr>
        <w:t>ה' אחד ואיהו הוי"ה מקום אתקרי.</w:t>
      </w:r>
      <w:r>
        <w:rPr>
          <w:rtl/>
        </w:rPr>
        <w:t xml:space="preserve"> והוא כנישו דכולא דכל עשר ספירות שלכן נקרא בשם הוי"ה שכולל כל העשר ספירות שלימו דכל הימנותא:</w:t>
      </w:r>
    </w:p>
  </w:footnote>
  <w:footnote w:id="4047">
    <w:p w:rsidR="00A13282" w:rsidRDefault="00A13282" w:rsidP="00B17EA9">
      <w:pPr>
        <w:pStyle w:val="a5"/>
      </w:pPr>
      <w:r>
        <w:rPr>
          <w:rStyle w:val="a7"/>
        </w:rPr>
        <w:footnoteRef/>
      </w:r>
      <w:r>
        <w:t xml:space="preserve"> </w:t>
      </w:r>
      <w:r>
        <w:rPr>
          <w:b/>
          <w:bCs/>
          <w:rtl/>
        </w:rPr>
        <w:t>והא אוקמוהו מ"מ כו'.</w:t>
      </w:r>
      <w:r>
        <w:rPr>
          <w:rtl/>
        </w:rPr>
        <w:t xml:space="preserve"> מפרש דמקום הוא בהויה ומפרש והולך כגוונא דא יוד כו' דסליק בחשבן מקום, אלמא דהוא בהוי"ה ולמטה מפרש מהו עולם:</w:t>
      </w:r>
    </w:p>
  </w:footnote>
  <w:footnote w:id="4048">
    <w:p w:rsidR="00A13282" w:rsidRDefault="00A13282" w:rsidP="00B17EA9">
      <w:pPr>
        <w:pStyle w:val="a5"/>
      </w:pPr>
      <w:r>
        <w:rPr>
          <w:rStyle w:val="a7"/>
        </w:rPr>
        <w:footnoteRef/>
      </w:r>
      <w:r>
        <w:t xml:space="preserve"> </w:t>
      </w:r>
      <w:r>
        <w:rPr>
          <w:b/>
          <w:bCs/>
          <w:rtl/>
        </w:rPr>
        <w:t>ומאי ק'.</w:t>
      </w:r>
      <w:r>
        <w:rPr>
          <w:rtl/>
        </w:rPr>
        <w:t xml:space="preserve"> רוצה לומר למאי רמיזא:</w:t>
      </w:r>
    </w:p>
  </w:footnote>
  <w:footnote w:id="4049">
    <w:p w:rsidR="00A13282" w:rsidRDefault="00A13282" w:rsidP="00B17EA9">
      <w:pPr>
        <w:pStyle w:val="a5"/>
      </w:pPr>
      <w:r>
        <w:rPr>
          <w:rStyle w:val="a7"/>
        </w:rPr>
        <w:footnoteRef/>
      </w:r>
      <w:r>
        <w:t xml:space="preserve"> </w:t>
      </w:r>
      <w:r>
        <w:rPr>
          <w:b/>
          <w:bCs/>
          <w:rtl/>
        </w:rPr>
        <w:t>כחשבן גדפין כו'.</w:t>
      </w:r>
      <w:r>
        <w:rPr>
          <w:rtl/>
        </w:rPr>
        <w:t xml:space="preserve"> רוצה לומר דכתיב ל"ו. והוא כמו שאומר לעיל דמט"ט כליל שית שרפים דתחותיה בשית אתוון דיליה, וכל אחד כליל שית גדפין, וזה שאומר ואלין גדפין תליין כו' ובה סלקין ארבעים ותרין כו' ועיין לעיל ס"ג א' דא מטטרו"ן דאיהו כליל שמא דארבעין ותרין אתוון ואינון שית אתוון, ולכל את סלקין שית וסלקין למ"ב ודא איהו שרפים עומדים ממעל ל"ו שש כו', ולמעלה ל"ח א' לההוא צינור דאיהו ו' דכליל שית צינורין דכלהון משית אתוון כו' כליל שית אחרנין וכלהו סלקין למ"ב, ועיין מה שאומר שם ושם, כי שם מ"ב הן ז' קלין, דשביעאה באימא כמו שאומר למעלה ב' ב' איהו מטטרון עליה אתמר כי עוף השמים יוליך את הקול, קול דקריאת שמע כליל שית יומין דחול, ושליט עלייהו, ונטיל לההוא קול ופרח ביה עד עמודא דאמצעיתא דאיהו קול ה' על המים כו' ואיהו קול ה' בהדר, עד שית קלין ואיהו שביעאה לון באימא, והענין, בכל מקום שהצטרפות אימא לשבעה - הוא הדעת, הנהר, כמו שאומר לעיל ל"ח א' דהוא הנהר שמתפשט בכל ו' קצוות, בו' צינורות, וזהו שכולל ו' צינורות, והצינורות דומין לאב כוללין כל אחד ו' - הרי מ"ב, וזה שאומר שם כולל שית יומין דחול - הן ו' שרפים שתחתיו והוא שליט עלייהו דהוא שביעאה שכולל אותן, הנהר הנ"ל, וזה שאומר ואיהו שביעאה כו' וזה שאומר כאן תליין מן ו' שהוא הנהר כמו שאומר לעיל ל"ח א' כל צינורין אינון אתשקיין מן את ו' דאיהו נהר כו', וכן במטטרו"ן - כליל שית תיבין דיחודא, וכן הנהר - דהוא הייחודא דכלא, כמו שאומר למעלה, והוא המייחד בין שני ההין כמו שאומר לעיל ס"ב א' שתים זו - אלין אנכי ולא יהיה לך ואיהו אחד בינייהו ועיין מה שאומר שם, וידוע שה' עילאה הוא שמים וה' תתאה ארץ ווא"ו אויר בינתים וכנ"ל ומייחד אותם, וזה שאומר למעלה כחושבן אתוון דיחודא תרין זמנין כו', דהן שושנה דשחרית ושושנה דערבית כמו שאומר לעיל סוף תיקון כ”ה. ואמר דמייחדין שמע ישראל דאינון שית תיבין רוצה לומר דהיחודא דהוא וא"ו כולל שניהם, והענין כמו שאומר לעיל ל"ט ב' שתי כתפות חוברות דא כו' ואינון ה' ה', אל שני קצותיו וחובר אינון וו' ובהון אתעביד הה' בחיבורא ובג"ד כו', וכתבתי שם כי בכל ה' ו' הנהר ואינון דבקים אל שני קצותיו דעמודא דאמצעיתא שלכן בו ח"י ברכאין, והוא הנהר הנ"ל דבתוך הבינה, וא"ו דה"א דכולל שית דיחודא, ובו הוא שם מ"ב, וזה שאומר שם כחושבן אתוון דייחודא כו' שית תיבין בוא"ו דה"א, וזהו גם כן סוד מ"ט שערי בינה ונש"ב דה"א תתאה, בת שבע, דכוללת שבע שמהן דשם מ"ב ונעשין מ"ט, והוא בו"ד שבה, דו' כולל שית וד' הוא השביעית כמו שאומר בזהר פרשת אמור צ"ב א' אתגליפו אתוון ו"ה הא שבעת כו', וכן כאן, וכן בה' עילאה להד' שבה שהוא הבינה עצמה כי נקרא בינה בן י"ה דהיא יו"ד שבה חו"ב, והנהר, והד' הוא משלים לחמשים כידוע שבינה משלמת חמשים (ועיין בתיקוני זהר חדש ע"ג ג') והוא נעלם מפני השביל שבה היוד כידוע שהוא לפניך ולא ניתן למשה, וז"ס שבע ושבע בב' ההין, וזה שאומר כאן דבהון אתבריאו שמיא וארעא רוצה לומר ב' ההין הנ"ל, ואמר דבהון כו' דהוא שם מ"ב דבראשית, דבהון ברא אלקים כו', וכאן הודיענו סוד גדול שיב"ק הוא רמוז בהוי"ה, ברכה ביו"ד, קדושה בוא"ו, שרפים כו' יחוד - בב' ההין:</w:t>
      </w:r>
    </w:p>
  </w:footnote>
  <w:footnote w:id="4050">
    <w:p w:rsidR="00A13282" w:rsidRDefault="00A13282" w:rsidP="00B17EA9">
      <w:pPr>
        <w:pStyle w:val="a5"/>
      </w:pPr>
      <w:r>
        <w:rPr>
          <w:rStyle w:val="a7"/>
        </w:rPr>
        <w:footnoteRef/>
      </w:r>
      <w:r>
        <w:t xml:space="preserve"> </w:t>
      </w:r>
      <w:r>
        <w:rPr>
          <w:b/>
          <w:bCs/>
          <w:rtl/>
        </w:rPr>
        <w:t>בהאי שמא כו'.</w:t>
      </w:r>
      <w:r>
        <w:rPr>
          <w:rtl/>
        </w:rPr>
        <w:t xml:space="preserve"> עתה מפרש האיך מתכנש הייחודא, הנהר - במקום דהוא הוי"ה, ומפרש דייחודא הוא שמא מפרש דהוא שקיו דאילנא כמו שאומר לעיל י"ג א' והוא יחודא דכל עשר ספירות בעשר אתוון דביה, והוא סתים ונעלם דהוא דא"א דמייחד לון כמו שאומר בתיקוני זהר חדש בכמה מקומות, ונקרא עולם, וזהו (בראשית רבה פרשה סח) מקומו של עולם כו' וכמו שמפרש והולך למטה:</w:t>
      </w:r>
    </w:p>
  </w:footnote>
  <w:footnote w:id="4051">
    <w:p w:rsidR="00A13282" w:rsidRDefault="00A13282" w:rsidP="00B17EA9">
      <w:pPr>
        <w:pStyle w:val="a5"/>
      </w:pPr>
      <w:r>
        <w:rPr>
          <w:rStyle w:val="a7"/>
        </w:rPr>
        <w:footnoteRef/>
      </w:r>
      <w:r>
        <w:t xml:space="preserve"> </w:t>
      </w:r>
      <w:r>
        <w:rPr>
          <w:rtl/>
        </w:rPr>
        <w:t xml:space="preserve"> </w:t>
      </w:r>
      <w:r>
        <w:rPr>
          <w:b/>
          <w:bCs/>
          <w:rtl/>
        </w:rPr>
        <w:t>לאו ספירה דלית תמן כו'.</w:t>
      </w:r>
      <w:r>
        <w:rPr>
          <w:rtl/>
        </w:rPr>
        <w:t xml:space="preserve"> רוצה לומר, דהוי"ה בין בפשוטה בין במילואה - כוללת כל העשר ספירות, וזהו לית תמן, רוצה לומר דאין לו חלק ממנה, וזהו כלילת הכל וייחודא דכולא ואמר והכי כו' דכן כל הכינויין כלא כלילן ביה דהכל כינויין להויה. ואמר יהו"ה מקום כו' כנ"ל מקומו של עולם:</w:t>
      </w:r>
    </w:p>
  </w:footnote>
  <w:footnote w:id="4052">
    <w:p w:rsidR="00A13282" w:rsidRDefault="00A13282" w:rsidP="00B17EA9">
      <w:pPr>
        <w:pStyle w:val="a5"/>
      </w:pPr>
      <w:r>
        <w:rPr>
          <w:rStyle w:val="a7"/>
        </w:rPr>
        <w:footnoteRef/>
      </w:r>
      <w:r>
        <w:t xml:space="preserve"> </w:t>
      </w:r>
      <w:r>
        <w:rPr>
          <w:b/>
          <w:bCs/>
          <w:rtl/>
        </w:rPr>
        <w:t>ובג"ד אתקרי כו'.</w:t>
      </w:r>
      <w:r>
        <w:rPr>
          <w:rtl/>
        </w:rPr>
        <w:t xml:space="preserve"> כמו שאמרו לעולם - לעלם כתיב, והוא משום שמא מפרש דביה:</w:t>
      </w:r>
    </w:p>
  </w:footnote>
  <w:footnote w:id="4053">
    <w:p w:rsidR="00A13282" w:rsidRDefault="00A13282" w:rsidP="00B17EA9">
      <w:pPr>
        <w:pStyle w:val="a5"/>
      </w:pPr>
      <w:r>
        <w:rPr>
          <w:rStyle w:val="a7"/>
        </w:rPr>
        <w:footnoteRef/>
      </w:r>
      <w:r>
        <w:t xml:space="preserve"> </w:t>
      </w:r>
      <w:r>
        <w:rPr>
          <w:b/>
          <w:bCs/>
          <w:rtl/>
        </w:rPr>
        <w:t>דאיהו עלם ושכינתא כו'.</w:t>
      </w:r>
      <w:r>
        <w:rPr>
          <w:rtl/>
        </w:rPr>
        <w:t xml:space="preserve"> רוצה לומר דלכן השכינה גם כן נקראת נעלמה:</w:t>
      </w:r>
    </w:p>
  </w:footnote>
  <w:footnote w:id="4054">
    <w:p w:rsidR="00A13282" w:rsidRDefault="00A13282" w:rsidP="00B17EA9">
      <w:pPr>
        <w:pStyle w:val="a5"/>
      </w:pPr>
      <w:r>
        <w:rPr>
          <w:rStyle w:val="a7"/>
        </w:rPr>
        <w:footnoteRef/>
      </w:r>
      <w:r>
        <w:t xml:space="preserve"> </w:t>
      </w:r>
      <w:r>
        <w:rPr>
          <w:b/>
          <w:bCs/>
          <w:rtl/>
        </w:rPr>
        <w:t>הה"ד כו'.</w:t>
      </w:r>
      <w:r>
        <w:rPr>
          <w:rtl/>
        </w:rPr>
        <w:t xml:space="preserve"> וכמו שאומר לעיל סוף תיקון י”ח, ואמר זה משום שרוצה לפרש כל הנ"ל גם כן על השכינה דנקראת מקום אחד, מקומו של עולם, נעלמה, וכמו שמפרש והולך ושכינתיה איהי הוי"ה כלילא כו', והוא כדעת ר' יהודה שם בבראשית דאמר אל מקום אחד לאתר דאקרי אחד דהא איהו אשלים לאחד ובלא איהו לא אקרי אחד, ומשמע דכתיב יקוו דביה מתכנשין כלהו מיא כמה דאת אמר כל הנחלים הולכים אל הים, ורוצה לומר דזה שכתוב (בראשית א י) ולמקוה המים קרא ימים, ואמר שם דהא איהו כו' וכלא כו', דאין יחודא בלא נוק', דעילת העילות לא נחית כו', ואמר שם כ"ב ב' דאית אחד בשיתוף כגון דכר ונוק' ואתמר בהון כי אחד קראתיו, וכן אמר לקמן פ"ו ב', ורוצה לומר דכתיב (ישעיהו נא ב) הביטו אל אברהם אביכם ואל שרה תחוללכם כי אחד קראתיו, ומ' דקאי על שניהם יחד, וזה שאומר למטה מקום אחד ודאי כנ"ל דהיא אחד ובה נעשה הכל אחד לבשר אחד, תפלין של יד, ואמר דנקראת מקום - דבה נשלם הוי"ה בה' אחרונה. וידוע שכוללת כולם וזה שאומר ולא אתקרי מקום אלא בה דהויה אינו שלימו כי אם בה וכמו שאומר איהי שלימו דהוי"ה ודכל עילאין ותתאין (ועיין לעיל ע"ד ב' מלכות תמן ה' ובה אתקרי הוי"ה בשלימו כו'):</w:t>
      </w:r>
    </w:p>
  </w:footnote>
  <w:footnote w:id="4055">
    <w:p w:rsidR="00A13282" w:rsidRDefault="00A13282" w:rsidP="00B17EA9">
      <w:pPr>
        <w:pStyle w:val="a5"/>
      </w:pPr>
      <w:r>
        <w:rPr>
          <w:rStyle w:val="a7"/>
        </w:rPr>
        <w:footnoteRef/>
      </w:r>
      <w:r>
        <w:t xml:space="preserve"> </w:t>
      </w:r>
      <w:r>
        <w:rPr>
          <w:b/>
          <w:bCs/>
          <w:rtl/>
        </w:rPr>
        <w:t>איהו לא אתקרי אדם כו'.</w:t>
      </w:r>
      <w:r>
        <w:rPr>
          <w:rtl/>
        </w:rPr>
        <w:t xml:space="preserve"> כמו שמפרש והולך גם כן על דרך הנ"ל דשמא מפרש אשתלים בה' בתראה ורוצה לומר בזה דזהו מקומו של עולם וקויית המים דשמא מפרש:</w:t>
      </w:r>
    </w:p>
  </w:footnote>
  <w:footnote w:id="4056">
    <w:p w:rsidR="00A13282" w:rsidRDefault="00A13282" w:rsidP="00B17EA9">
      <w:pPr>
        <w:pStyle w:val="a5"/>
      </w:pPr>
      <w:r>
        <w:rPr>
          <w:rStyle w:val="a7"/>
        </w:rPr>
        <w:footnoteRef/>
      </w:r>
      <w:r>
        <w:t xml:space="preserve"> </w:t>
      </w:r>
      <w:r>
        <w:rPr>
          <w:b/>
          <w:bCs/>
          <w:rtl/>
        </w:rPr>
        <w:t>ועוד כי אחד קראתיו.</w:t>
      </w:r>
      <w:r>
        <w:rPr>
          <w:rtl/>
        </w:rPr>
        <w:t xml:space="preserve"> הוא ראיה דנקרא אחד ביה ואדם ביחד מפרש והולך כגוונא דעשר ספירות כו' שהוא כוונת היחודא, והענין, שג' אותיות אלו הן ג' שותפין דיחודא כלל הכל, כי אע"ג שג"ר בסדר האצילות הוא אחד בסוד היחוד מתגלפין המוחין ויורדין בז"א כמו שאומר באדרא זוטא, ובמקום הכתר - הדעת, אלא שדעת נכלל בו"ק וכשמתייחד בד' נוק' שורה הכתר עליהם, דעילת העילות לא נחית כו' (כמו שאומר בתיקוני זהר חדש ע"ח ב'):</w:t>
      </w:r>
    </w:p>
  </w:footnote>
  <w:footnote w:id="4057">
    <w:p w:rsidR="00A13282" w:rsidRDefault="00A13282" w:rsidP="00B17EA9">
      <w:pPr>
        <w:pStyle w:val="a5"/>
      </w:pPr>
      <w:r>
        <w:rPr>
          <w:rStyle w:val="a7"/>
        </w:rPr>
        <w:footnoteRef/>
      </w:r>
      <w:r>
        <w:t xml:space="preserve"> </w:t>
      </w:r>
      <w:r>
        <w:rPr>
          <w:b/>
          <w:bCs/>
          <w:rtl/>
        </w:rPr>
        <w:t>למען יאריך ימים כו'.</w:t>
      </w:r>
      <w:r>
        <w:rPr>
          <w:rtl/>
        </w:rPr>
        <w:t xml:space="preserve"> כמו שאמרו (ברכות יג ע"ב) כל המאריך באחד כו', ובלבד בד', וצריך לאמלכא לה בשית סטרין שהן ששת הימים וזהו יאריך הימים על ממלכתו דהוא ד', ועיין בסוף ח"א א' ב' בארוכה:</w:t>
      </w:r>
    </w:p>
  </w:footnote>
  <w:footnote w:id="4058">
    <w:p w:rsidR="00A13282" w:rsidRDefault="00A13282" w:rsidP="00B17EA9">
      <w:pPr>
        <w:pStyle w:val="a5"/>
      </w:pPr>
      <w:r>
        <w:rPr>
          <w:rStyle w:val="a7"/>
        </w:rPr>
        <w:footnoteRef/>
      </w:r>
      <w:r>
        <w:t xml:space="preserve"> </w:t>
      </w:r>
      <w:r>
        <w:rPr>
          <w:b/>
          <w:bCs/>
          <w:rtl/>
        </w:rPr>
        <w:t>אסתלק קוצא כו'.</w:t>
      </w:r>
      <w:r>
        <w:rPr>
          <w:rtl/>
        </w:rPr>
        <w:t xml:space="preserve"> דהוא משלים לעשר דשמא מפרש, והד' בעצמה הוא ד' אתוון הנ"ל, דהן רוח ונפש זו"נ וכמו שאומר לעיל בתיקון כ”ח, והקוץ הוא עטרת הברית, כתר דנוק', וכמו שאמרו שכתר דז"א אינו בהוי"ה אלא שורש ואינו מהגוף מלכות דבינה, וצריך לאכללא ביחוד שהוא עיקר היחוד, כן הוא בעטרה הזאת ולכן הוא בגוף דכורא, ובו היחוד, מה שאין כן בחכמה - אות ברית דידה דהוא נקודה בהיכלה ועיין לקמן פ"ו ב' כי אחד קראתיו כו' עיין שם היטב:</w:t>
      </w:r>
    </w:p>
  </w:footnote>
  <w:footnote w:id="4059">
    <w:p w:rsidR="00A13282" w:rsidRDefault="00A13282" w:rsidP="00B17EA9">
      <w:pPr>
        <w:pStyle w:val="a5"/>
      </w:pPr>
      <w:r>
        <w:rPr>
          <w:rStyle w:val="a7"/>
        </w:rPr>
        <w:footnoteRef/>
      </w:r>
      <w:r>
        <w:t xml:space="preserve"> </w:t>
      </w:r>
      <w:r>
        <w:rPr>
          <w:b/>
          <w:bCs/>
          <w:rtl/>
        </w:rPr>
        <w:t>ואשתארת יבשה.</w:t>
      </w:r>
      <w:r>
        <w:rPr>
          <w:rtl/>
        </w:rPr>
        <w:t xml:space="preserve"> דהוא מקור למעין דילה אות ברית דילה, ועיין ברעיא מהימנא פ' בא דכתר מקור וחכמה מעין ועיין לעיל ע"ו ב' ואשתארת ב' כו'. ורוצה לומר בזה, זה שכתוב ותראה היבשה, רוצה לומר שתכלל היבשה שהוא הד' דלית לה מגרמה כלום, דלה, גם כן בהאי יחודא, וכמו שאומר בזהר פרשת בראשית י"ב א' פקודא תליתאה כו' דאצטריך לארכא בדלת דאחד, דדלת דאחד גדולה, והיינו דכתיב ותראה היבשה דתתחזי ותתקשר דלת דאיהי יבשה בההוא יחודא, מכל מקום שמעינן מזה דבלא יחודא אתקרי יבשה:</w:t>
      </w:r>
    </w:p>
  </w:footnote>
  <w:footnote w:id="4060">
    <w:p w:rsidR="00A13282" w:rsidRDefault="00A13282" w:rsidP="00B17EA9">
      <w:pPr>
        <w:pStyle w:val="a5"/>
      </w:pPr>
      <w:r>
        <w:rPr>
          <w:rStyle w:val="a7"/>
        </w:rPr>
        <w:footnoteRef/>
      </w:r>
      <w:r>
        <w:t xml:space="preserve"> </w:t>
      </w:r>
      <w:r>
        <w:rPr>
          <w:b/>
          <w:bCs/>
          <w:rtl/>
        </w:rPr>
        <w:t>ורזא דמלה כו' דנוק' כו'.</w:t>
      </w:r>
      <w:r>
        <w:rPr>
          <w:rtl/>
        </w:rPr>
        <w:t xml:space="preserve"> רוצה לומר דעתה ניחא מה דכתיב מתחת השמים, ורוצה לומר כל המים שמתחת השמים, שיורד מת"ת, יתכנש הכל בה, ומה שאמר דאיהי תחת השמים רוצה לומר לכן כל המים, דתחת - הכל בה:</w:t>
      </w:r>
    </w:p>
  </w:footnote>
  <w:footnote w:id="4061">
    <w:p w:rsidR="00A13282" w:rsidRDefault="00A13282" w:rsidP="00B17EA9">
      <w:pPr>
        <w:pStyle w:val="a5"/>
      </w:pPr>
      <w:r>
        <w:rPr>
          <w:rStyle w:val="a7"/>
        </w:rPr>
        <w:footnoteRef/>
      </w:r>
      <w:r>
        <w:t xml:space="preserve"> </w:t>
      </w:r>
      <w:r>
        <w:rPr>
          <w:b/>
          <w:bCs/>
          <w:rtl/>
        </w:rPr>
        <w:t>והכי כל מאן כו'.</w:t>
      </w:r>
      <w:r>
        <w:rPr>
          <w:rtl/>
        </w:rPr>
        <w:t xml:space="preserve"> קאי אלמעלה מה שאמר ואם ח"ו פחית כו' דכולל כל היחוד שהוא הנהר - פחית בה, והכי נמי דאפיק טפה שהוא הנהר בלא אשתו בבת אל נכר:</w:t>
      </w:r>
    </w:p>
  </w:footnote>
  <w:footnote w:id="4062">
    <w:p w:rsidR="00A13282" w:rsidRDefault="00A13282" w:rsidP="00B17EA9">
      <w:pPr>
        <w:pStyle w:val="a5"/>
      </w:pPr>
      <w:r>
        <w:rPr>
          <w:rStyle w:val="a7"/>
        </w:rPr>
        <w:footnoteRef/>
      </w:r>
      <w:r>
        <w:t xml:space="preserve"> </w:t>
      </w:r>
      <w:r>
        <w:rPr>
          <w:b/>
          <w:bCs/>
          <w:rtl/>
        </w:rPr>
        <w:t>יבשה מסטרי'.</w:t>
      </w:r>
      <w:r>
        <w:rPr>
          <w:rtl/>
        </w:rPr>
        <w:t xml:space="preserve"> דכל הפגמים הוא רק מסטריה כמו שכתוב (דברים לב ה) שחת לו לא כו':</w:t>
      </w:r>
    </w:p>
  </w:footnote>
  <w:footnote w:id="4063">
    <w:p w:rsidR="00A13282" w:rsidRDefault="00A13282" w:rsidP="00B17EA9">
      <w:pPr>
        <w:pStyle w:val="a5"/>
        <w:rPr>
          <w:rtl/>
        </w:rPr>
      </w:pPr>
      <w:r>
        <w:rPr>
          <w:rStyle w:val="a7"/>
        </w:rPr>
        <w:footnoteRef/>
      </w:r>
      <w:r>
        <w:t xml:space="preserve"> </w:t>
      </w:r>
      <w:r>
        <w:rPr>
          <w:b/>
          <w:bCs/>
          <w:rtl/>
        </w:rPr>
        <w:t>דאשקי ליה לגן דאיהי אורייתא דבע"פ דאיהו מתשקיא כו'.</w:t>
      </w:r>
      <w:r>
        <w:rPr>
          <w:rtl/>
        </w:rPr>
        <w:t xml:space="preserve"> רוצה לומר דלכן נקראת גן אבל אורייתא דבכתב נקראת נהר על שם ההוא נהר דכולל אותו ועיין בתיקון מ”ג ומה שכתבתי שם:</w:t>
      </w:r>
    </w:p>
    <w:p w:rsidR="00A13282" w:rsidRDefault="00A13282" w:rsidP="00B17EA9">
      <w:pPr>
        <w:pStyle w:val="a5"/>
      </w:pPr>
    </w:p>
  </w:footnote>
  <w:footnote w:id="4064">
    <w:p w:rsidR="00A13282" w:rsidRDefault="00A13282" w:rsidP="00B17EA9">
      <w:pPr>
        <w:pStyle w:val="a5"/>
      </w:pPr>
      <w:r>
        <w:rPr>
          <w:rStyle w:val="a7"/>
        </w:rPr>
        <w:footnoteRef/>
      </w:r>
      <w:r>
        <w:t xml:space="preserve"> </w:t>
      </w:r>
      <w:r>
        <w:rPr>
          <w:rtl/>
        </w:rPr>
        <w:t xml:space="preserve"> </w:t>
      </w:r>
      <w:r>
        <w:rPr>
          <w:b/>
          <w:bCs/>
          <w:rtl/>
        </w:rPr>
        <w:t>תיקון מג.</w:t>
      </w:r>
      <w:r>
        <w:rPr>
          <w:rtl/>
        </w:rPr>
        <w:t xml:space="preserve"> </w:t>
      </w:r>
      <w:r>
        <w:rPr>
          <w:b/>
          <w:bCs/>
          <w:rtl/>
        </w:rPr>
        <w:t>בראשית תמן יבש.</w:t>
      </w:r>
      <w:r>
        <w:rPr>
          <w:rtl/>
        </w:rPr>
        <w:t xml:space="preserve"> כל מקום שאומר תמן אינו בשלימות:</w:t>
      </w:r>
    </w:p>
  </w:footnote>
  <w:footnote w:id="4065">
    <w:p w:rsidR="00A13282" w:rsidRDefault="00A13282" w:rsidP="00B17EA9">
      <w:pPr>
        <w:pStyle w:val="a5"/>
      </w:pPr>
      <w:r>
        <w:rPr>
          <w:rStyle w:val="a7"/>
        </w:rPr>
        <w:footnoteRef/>
      </w:r>
      <w:r>
        <w:t xml:space="preserve"> </w:t>
      </w:r>
      <w:r>
        <w:rPr>
          <w:b/>
          <w:bCs/>
          <w:rtl/>
        </w:rPr>
        <w:t>ואין קול ואין עונה.</w:t>
      </w:r>
      <w:r>
        <w:rPr>
          <w:rtl/>
        </w:rPr>
        <w:t xml:space="preserve"> רוצה לומר קול דקריאת שמע כמו שאומר לעיל ב' ב' את הקול - קול דקריאת שמע כו', ואין עונה - בתפלה, דשם אז תקרא וה' יענה כמו שאומר לעיל למ"ד א' ושאר מקומות, ודווקא באז, דהוא יחודא, כמו שאומר סוף ח"א א' ב' אז הייתי בעיניו כו', אז ושלום עיין שם, מה שאין כן מאן דפגים אות ברית, דגרים לההוא נהר, והוא קריאת שמע, ולההוא גן, והוא תפלה. וזה שאומר בההוא זמנא דאיהו יבש ואיהי כו', וזה שאומר הה"ד אז כו', דאז הוא קריאת שמע ותפלה כנ"ל וכמו שאומר לעיל למ"ד א'. ותיקון הזה הוא סיום תיקון הקודם אלא שמציין בתיבת בראשית:</w:t>
      </w:r>
    </w:p>
  </w:footnote>
  <w:footnote w:id="4066">
    <w:p w:rsidR="00A13282" w:rsidRDefault="00A13282" w:rsidP="00B17EA9">
      <w:pPr>
        <w:pStyle w:val="a5"/>
      </w:pPr>
      <w:r>
        <w:rPr>
          <w:rStyle w:val="a7"/>
        </w:rPr>
        <w:footnoteRef/>
      </w:r>
      <w:r>
        <w:t xml:space="preserve"> </w:t>
      </w:r>
      <w:r>
        <w:rPr>
          <w:b/>
          <w:bCs/>
          <w:rtl/>
        </w:rPr>
        <w:t>והכי מאן דגרים דאסתלק כו' ומאורייתא דבכתב ולא משתדל בהון ואמר דלא כו'.</w:t>
      </w:r>
      <w:r>
        <w:rPr>
          <w:rtl/>
        </w:rPr>
        <w:t xml:space="preserve"> הענין, שקבלה הוא מעין, יו"ד, שממנו יוצא הנהר והגן, תורה שבכתב ובעל פה, ועיין לעיל ע"ו ב' ווי לון מאן דגרמין כו' דאלין דעבדין לאורייתא יבשה, ולא בעין לאשתדלא בחכמה בקבלה, דגרמין דאסתלק נביעו דחכמה דאיהו י' מינה, ואשתארת ב' יבשה, ווי לון דגרמין כו' ועיין לעיל ל"ח א' כל צינורין אינון אתשקיין מן את ו' דאיהו נהר דנגיד ונפיק מעדן ואיהו צינור דנפיק ממעיינא דמיא דאיהו י' ומיניה אתפשטא ה' דאיהי ים עילאה, והן חכמה וקבלה, חכמה - בחכמה, וקבלה - בבינה דהוא ים דמקבל ממנו, והוא מה שמקבל מאחר, וחכמה הוא מחכמתו, וכמו שכתוב (משלי ה טו, טז) שתה מים כו' יפוצו מעינותיך כו'. ואמר </w:t>
      </w:r>
      <w:r>
        <w:rPr>
          <w:b/>
          <w:bCs/>
          <w:rtl/>
        </w:rPr>
        <w:t>כאלו אחזר עלמא.</w:t>
      </w:r>
      <w:r>
        <w:rPr>
          <w:rtl/>
        </w:rPr>
        <w:t xml:space="preserve"> כמו שאומר לעיל ע"ו ב' והארץ היתה תהו, דגרם לה למהוי יבשה תהו דאסתלקת כו' ורוח אלקים כו' עיין שם, והענין שבזמן [הזה] הוא עולם התהו, בלא תורה ובלא משיח, ואינון גרמין דיזיל משיח כמו שאומר שם:</w:t>
      </w:r>
    </w:p>
  </w:footnote>
  <w:footnote w:id="4067">
    <w:p w:rsidR="00A13282" w:rsidRDefault="00A13282" w:rsidP="00B17EA9">
      <w:pPr>
        <w:pStyle w:val="a5"/>
      </w:pPr>
      <w:r>
        <w:rPr>
          <w:rStyle w:val="a7"/>
        </w:rPr>
        <w:footnoteRef/>
      </w:r>
      <w:r>
        <w:t xml:space="preserve"> </w:t>
      </w:r>
      <w:r>
        <w:rPr>
          <w:b/>
          <w:bCs/>
          <w:rtl/>
        </w:rPr>
        <w:t>מאן תדשא הארץ.</w:t>
      </w:r>
      <w:r>
        <w:rPr>
          <w:rtl/>
        </w:rPr>
        <w:t xml:space="preserve"> רוצה לומר דלמעלה מיניה כתיב ויקרא אלקים ליבשה ארץ, אלמא דארץ נקראת כל זמן שהיא יבשה, ואם כן מאן תדשא, והשיב ר' שמעון דלא כן, דארץ נקראת בנביעו דבה, והכי קאמר, ותראה היבשה בההוא יחודא, ואז ויקרא אלקים ליבשה ארץ ולמקוה כו', ומה שכתוב יבשה - דקודם הוה יבשה, קודם תשובה, ואמרה התורה ותראה היבשה ויקוו המים - שיחזור, ואז השם יתברך יקבלו, וזהו ויקרא אלקים - הבטחת הקבלה, ואז תדשא הארץ דשא כו' כמו שמפרש והולך: </w:t>
      </w:r>
    </w:p>
  </w:footnote>
  <w:footnote w:id="4068">
    <w:p w:rsidR="00A13282" w:rsidRDefault="00A13282" w:rsidP="00B17EA9">
      <w:pPr>
        <w:pStyle w:val="a5"/>
        <w:rPr>
          <w:rtl/>
        </w:rPr>
      </w:pPr>
      <w:r>
        <w:rPr>
          <w:rStyle w:val="a7"/>
          <w:rtl/>
        </w:rPr>
        <w:footnoteRef/>
      </w:r>
      <w:r>
        <w:rPr>
          <w:rtl/>
        </w:rPr>
        <w:t xml:space="preserve"> </w:t>
      </w:r>
      <w:r>
        <w:rPr>
          <w:b/>
          <w:bCs/>
          <w:rtl/>
        </w:rPr>
        <w:t>ונהר דהוה חרב כו'.</w:t>
      </w:r>
      <w:r>
        <w:rPr>
          <w:rtl/>
        </w:rPr>
        <w:t xml:space="preserve"> כשיטתו בתיקון מ”ב דמקוה הוא בת"ת, והוא הנהר, תורה שבכתב:</w:t>
      </w:r>
    </w:p>
  </w:footnote>
  <w:footnote w:id="4069">
    <w:p w:rsidR="00A13282" w:rsidRDefault="00A13282" w:rsidP="00B17EA9">
      <w:pPr>
        <w:pStyle w:val="a5"/>
      </w:pPr>
      <w:r>
        <w:rPr>
          <w:rStyle w:val="a7"/>
        </w:rPr>
        <w:footnoteRef/>
      </w:r>
      <w:r>
        <w:t xml:space="preserve"> </w:t>
      </w:r>
      <w:r>
        <w:rPr>
          <w:b/>
          <w:bCs/>
          <w:rtl/>
        </w:rPr>
        <w:t>בההוא זמנא מה כתיב ויאמר כו' לזנוהי.</w:t>
      </w:r>
      <w:r>
        <w:rPr>
          <w:rtl/>
        </w:rPr>
        <w:t xml:space="preserve"> לתלמידי חכמים נשמות מכסא דשם נהורא דאורייתא, ולבעלי מצוות ורוחין כו' דשם פקודא דעשה, וכמו שאומר לעיל ריש תיקון ל”ח ולעמי הארצות נפשין, והן ג' דרגין דפסוק זה. דשא - והן חציר לבהמה דהוא דמקנן בעשיה. עשב מזריע זרע - דהוא לעבודת אדם דמקנן ביצירה. עץ פרי - תלמיד חכם כמו שמפרש והולך עץ פרי דא כו':</w:t>
      </w:r>
    </w:p>
  </w:footnote>
  <w:footnote w:id="4070">
    <w:p w:rsidR="00A13282" w:rsidRDefault="00A13282" w:rsidP="00B17EA9">
      <w:pPr>
        <w:pStyle w:val="a5"/>
      </w:pPr>
      <w:r>
        <w:rPr>
          <w:rStyle w:val="a7"/>
        </w:rPr>
        <w:footnoteRef/>
      </w:r>
      <w:r>
        <w:t xml:space="preserve"> </w:t>
      </w:r>
      <w:r>
        <w:rPr>
          <w:b/>
          <w:bCs/>
          <w:rtl/>
        </w:rPr>
        <w:t>והכא פקודא כו'.</w:t>
      </w:r>
      <w:r>
        <w:rPr>
          <w:rtl/>
        </w:rPr>
        <w:t xml:space="preserve"> במאמר החמישי הזה והוא תיקון זה, שתיקון הקודם במאמר הרביעי יקוו המים בת"ת דהוא איש דתמן, ותיקון זה הוא במ"ה תמן יב"ש וכמו שמפרש והולך ומאן דאתבטל מפרש והולך כאלו אחזר כו', דבפקודא דפריה ורביה הוא גורם יותר מביחודא וקבלה וכל הפקודין, וכמו שאמרו (יבמות סג ע"ב) וכל מי שאינו עוסק בפריה ורביה כאלו ממעט כו', והחמירו שאין לו חלק לעולם הבא ועיין סבא פ' משפטים ובזהר פרשת בראשית י"ג א':</w:t>
      </w:r>
    </w:p>
  </w:footnote>
  <w:footnote w:id="4071">
    <w:p w:rsidR="00A13282" w:rsidRDefault="00A13282" w:rsidP="00B17EA9">
      <w:pPr>
        <w:pStyle w:val="a5"/>
      </w:pPr>
      <w:r>
        <w:rPr>
          <w:rStyle w:val="a7"/>
        </w:rPr>
        <w:footnoteRef/>
      </w:r>
      <w:r>
        <w:t xml:space="preserve"> </w:t>
      </w:r>
      <w:r>
        <w:rPr>
          <w:b/>
          <w:bCs/>
          <w:rtl/>
        </w:rPr>
        <w:t>לא תהו כו'.</w:t>
      </w:r>
      <w:r>
        <w:rPr>
          <w:rtl/>
        </w:rPr>
        <w:t xml:space="preserve"> דאחזר עלמא לתהו ובהו:</w:t>
      </w:r>
    </w:p>
  </w:footnote>
  <w:footnote w:id="4072">
    <w:p w:rsidR="00A13282" w:rsidRDefault="00A13282" w:rsidP="00B17EA9">
      <w:pPr>
        <w:pStyle w:val="a5"/>
        <w:rPr>
          <w:rtl/>
        </w:rPr>
      </w:pPr>
      <w:r>
        <w:rPr>
          <w:rStyle w:val="a7"/>
        </w:rPr>
        <w:footnoteRef/>
      </w:r>
      <w:r>
        <w:t xml:space="preserve"> </w:t>
      </w:r>
      <w:r>
        <w:rPr>
          <w:b/>
          <w:bCs/>
          <w:rtl/>
        </w:rPr>
        <w:t>כל חד לפום כו'.</w:t>
      </w:r>
      <w:r>
        <w:rPr>
          <w:rtl/>
        </w:rPr>
        <w:t xml:space="preserve"> לפי נשמתיה, אם מכורסיא כו' כנ"ל וכמו שמפרש והולך:</w:t>
      </w:r>
    </w:p>
    <w:p w:rsidR="00A13282" w:rsidRDefault="00A13282" w:rsidP="00B17EA9">
      <w:pPr>
        <w:pStyle w:val="a5"/>
      </w:pPr>
    </w:p>
  </w:footnote>
  <w:footnote w:id="4073">
    <w:p w:rsidR="00A13282" w:rsidRDefault="00A13282" w:rsidP="00B17EA9">
      <w:pPr>
        <w:pStyle w:val="a5"/>
      </w:pPr>
      <w:r>
        <w:rPr>
          <w:rStyle w:val="a7"/>
        </w:rPr>
        <w:footnoteRef/>
      </w:r>
      <w:r>
        <w:t xml:space="preserve"> </w:t>
      </w:r>
      <w:r>
        <w:rPr>
          <w:rtl/>
        </w:rPr>
        <w:t xml:space="preserve"> </w:t>
      </w:r>
      <w:r>
        <w:rPr>
          <w:b/>
          <w:bCs/>
          <w:rtl/>
        </w:rPr>
        <w:t>תיקון מד.</w:t>
      </w:r>
      <w:r>
        <w:rPr>
          <w:rtl/>
        </w:rPr>
        <w:t xml:space="preserve"> </w:t>
      </w:r>
      <w:r>
        <w:rPr>
          <w:b/>
          <w:bCs/>
          <w:rtl/>
        </w:rPr>
        <w:t>בראשית תמן ארת תמן אש כו' ותורה אור ועלייהו אתמר כו'.</w:t>
      </w:r>
      <w:r>
        <w:rPr>
          <w:rtl/>
        </w:rPr>
        <w:t xml:space="preserve"> רוצה לומר, ארת - הוא תורה שבכתב, וכמו שאומר מארת חסר, שרומז על מאור אחד, והוא - ותורה אור, ואש רומז על נר מצוה, דהוא משנה, תורה שבעל פה, ועיין בזהר פרשת תרומה קס"ו א' דבר אחר כי נר מצוה תקונא דשרגא כו' תקונא דאורייתא דבעל פה כו', וזה שאומר ועלייהו כו' - על נר ואור, ואע"ג דשם לא כתיב אלא מארת, שמשא בלבד, מכל מקום כתיב אח"כ והיו למאורות, כולל שניהם, וכמו שאומר בזהר פרשת בראשית ל"ד א' אלא ששם אמר מארת חד על סיהרא עיין שם:</w:t>
      </w:r>
    </w:p>
  </w:footnote>
  <w:footnote w:id="4074">
    <w:p w:rsidR="00A13282" w:rsidRDefault="00A13282" w:rsidP="00B17EA9">
      <w:pPr>
        <w:pStyle w:val="a5"/>
      </w:pPr>
      <w:r>
        <w:rPr>
          <w:rStyle w:val="a7"/>
        </w:rPr>
        <w:footnoteRef/>
      </w:r>
      <w:r>
        <w:t xml:space="preserve"> </w:t>
      </w:r>
      <w:r>
        <w:rPr>
          <w:b/>
          <w:bCs/>
          <w:rtl/>
        </w:rPr>
        <w:t>הכא פקודא כו'.</w:t>
      </w:r>
      <w:r>
        <w:rPr>
          <w:rtl/>
        </w:rPr>
        <w:t xml:space="preserve"> כמו שאומר שם וכל מה דנטיל - בגין לאנהרא לה לסיהרא, וכן הקב"ה נותן לעשיר - לפרנס לעני, ואמר בזהר פרשת תרומה שם דהא אורייתא דבעל פה לית לה נהירו אלא מגו תורה שבכתב דאיהו אור לאנהרא:</w:t>
      </w:r>
    </w:p>
  </w:footnote>
  <w:footnote w:id="4075">
    <w:p w:rsidR="00A13282" w:rsidRDefault="00A13282" w:rsidP="00B17EA9">
      <w:pPr>
        <w:pStyle w:val="a5"/>
      </w:pPr>
      <w:r>
        <w:rPr>
          <w:rStyle w:val="a7"/>
        </w:rPr>
        <w:footnoteRef/>
      </w:r>
      <w:r>
        <w:t xml:space="preserve"> </w:t>
      </w:r>
      <w:r>
        <w:rPr>
          <w:b/>
          <w:bCs/>
          <w:rtl/>
        </w:rPr>
        <w:t>הכי שכינתא אמרה לוו עלי.</w:t>
      </w:r>
      <w:r>
        <w:rPr>
          <w:rtl/>
        </w:rPr>
        <w:t xml:space="preserve"> רוצה לומר בשבילי, כדי שאתמלא אני, ואז - ואני פורע, אני דייקא, וכמו שאומר למטה והכי לוה שכינתא כו':</w:t>
      </w:r>
    </w:p>
  </w:footnote>
  <w:footnote w:id="4076">
    <w:p w:rsidR="00A13282" w:rsidRDefault="00A13282" w:rsidP="00B17EA9">
      <w:pPr>
        <w:pStyle w:val="a5"/>
      </w:pPr>
      <w:r>
        <w:rPr>
          <w:rStyle w:val="a7"/>
        </w:rPr>
        <w:footnoteRef/>
      </w:r>
      <w:r>
        <w:t xml:space="preserve"> </w:t>
      </w:r>
      <w:r>
        <w:rPr>
          <w:b/>
          <w:bCs/>
          <w:rtl/>
        </w:rPr>
        <w:t>כי שמש ומגן.</w:t>
      </w:r>
      <w:r>
        <w:rPr>
          <w:rtl/>
        </w:rPr>
        <w:t xml:space="preserve"> קאי על אלקים:</w:t>
      </w:r>
    </w:p>
  </w:footnote>
  <w:footnote w:id="4077">
    <w:p w:rsidR="00A13282" w:rsidRDefault="00A13282" w:rsidP="00B17EA9">
      <w:pPr>
        <w:pStyle w:val="a5"/>
        <w:rPr>
          <w:rtl/>
        </w:rPr>
      </w:pPr>
      <w:r>
        <w:rPr>
          <w:rStyle w:val="a7"/>
        </w:rPr>
        <w:footnoteRef/>
      </w:r>
      <w:r>
        <w:t xml:space="preserve"> </w:t>
      </w:r>
      <w:r>
        <w:rPr>
          <w:b/>
          <w:bCs/>
          <w:rtl/>
        </w:rPr>
        <w:t>כגון סיהרא וכוכביא.</w:t>
      </w:r>
      <w:r>
        <w:rPr>
          <w:rtl/>
        </w:rPr>
        <w:t xml:space="preserve"> סיהרא על יהושע, וכוכביא על נביאיא כידוע:</w:t>
      </w:r>
    </w:p>
    <w:p w:rsidR="00A13282" w:rsidRDefault="00A13282" w:rsidP="00B17EA9">
      <w:pPr>
        <w:pStyle w:val="a5"/>
      </w:pPr>
    </w:p>
  </w:footnote>
  <w:footnote w:id="4078">
    <w:p w:rsidR="00A13282" w:rsidRDefault="00A13282" w:rsidP="00B17EA9">
      <w:pPr>
        <w:pStyle w:val="a5"/>
      </w:pPr>
      <w:r>
        <w:rPr>
          <w:rStyle w:val="a7"/>
        </w:rPr>
        <w:footnoteRef/>
      </w:r>
      <w:r>
        <w:t xml:space="preserve"> </w:t>
      </w:r>
      <w:r>
        <w:rPr>
          <w:rtl/>
        </w:rPr>
        <w:t xml:space="preserve"> </w:t>
      </w:r>
      <w:r>
        <w:rPr>
          <w:b/>
          <w:bCs/>
          <w:rtl/>
        </w:rPr>
        <w:t>תיקון מה.</w:t>
      </w:r>
      <w:r>
        <w:rPr>
          <w:rtl/>
        </w:rPr>
        <w:t xml:space="preserve"> </w:t>
      </w:r>
      <w:r>
        <w:rPr>
          <w:b/>
          <w:bCs/>
          <w:rtl/>
        </w:rPr>
        <w:t>בראשית כו' אל הים.</w:t>
      </w:r>
      <w:r>
        <w:rPr>
          <w:rtl/>
        </w:rPr>
        <w:t xml:space="preserve"> רוצה לומר אותיות אלהים, ורוצה לומר אזהרה - לכו למים, כמו שמפרש והולך, דכל המאמרות מפרש על פקודין, דלכן כתיב ויאמר, כמו ציווי, ותיקון שקודם הוא מאמר ו' וכאן מאמר ז' וכמו שאומר הכא פקודא כו' ורוצה לומר ישרצו המים - שיעסקו בה, דאז ישרצו המים נפש לכם, וכן רוח ונשמה, כמו שאומר לעיל, ורוצה לומר, ישרצו - תראו שישרצו כו', ושרץ כו' הוא נפש, ועוף - רוח, ועל פני כו' - נשמה, כמו שמפרש והולך, והכל במים דאורייתא:</w:t>
      </w:r>
    </w:p>
  </w:footnote>
  <w:footnote w:id="4079">
    <w:p w:rsidR="00A13282" w:rsidRDefault="00A13282" w:rsidP="00B17EA9">
      <w:pPr>
        <w:pStyle w:val="a5"/>
      </w:pPr>
      <w:r>
        <w:rPr>
          <w:rStyle w:val="a7"/>
        </w:rPr>
        <w:footnoteRef/>
      </w:r>
      <w:r>
        <w:t xml:space="preserve"> </w:t>
      </w:r>
      <w:r>
        <w:rPr>
          <w:b/>
          <w:bCs/>
          <w:rtl/>
        </w:rPr>
        <w:t>הה"ד ישרצו כו'.</w:t>
      </w:r>
      <w:r>
        <w:rPr>
          <w:rtl/>
        </w:rPr>
        <w:t xml:space="preserve"> כתיב נפש וכתיב חיה דאיהי שכינתא כמו שכתוב (יחזקאל י כ) היא החיה אשר ראיתי תחת אלקי ישראל, כמו שאומר ויחי רמ"ב א' ובזהר פרשת משפטי' קכ"ו א':</w:t>
      </w:r>
    </w:p>
  </w:footnote>
  <w:footnote w:id="4080">
    <w:p w:rsidR="00A13282" w:rsidRDefault="00A13282" w:rsidP="00B17EA9">
      <w:pPr>
        <w:pStyle w:val="a5"/>
      </w:pPr>
      <w:r>
        <w:rPr>
          <w:rStyle w:val="a7"/>
        </w:rPr>
        <w:footnoteRef/>
      </w:r>
      <w:r>
        <w:t xml:space="preserve"> </w:t>
      </w:r>
      <w:r>
        <w:rPr>
          <w:b/>
          <w:bCs/>
          <w:rtl/>
        </w:rPr>
        <w:t>ועוף כו' לקבליה מטטרון כו'.</w:t>
      </w:r>
      <w:r>
        <w:rPr>
          <w:rtl/>
        </w:rPr>
        <w:t xml:space="preserve"> כמו שאומר לעיל ב' ב' עוף דאיהו צפור דיליה איהו מטטרון עליה איתמר כי עוף השמים יוליך את הקול דקריאת שמע כליל שית יומין דחול ושליט עלייהו ונטיל ההוא קול ופרח ביה עד עמודא דאמצעיתא דאיהו קול ה' כו', וזהו עוף השמים, דרגא דשמים, ת"ת, והוא קול, וכן קריאת שמע בדרגיה, וכמו שאומר לעיל בתיקון מ”ב ועיין מה שכתבתי שם:</w:t>
      </w:r>
    </w:p>
  </w:footnote>
  <w:footnote w:id="4081">
    <w:p w:rsidR="00A13282" w:rsidRDefault="00A13282" w:rsidP="00B17EA9">
      <w:pPr>
        <w:pStyle w:val="a5"/>
      </w:pPr>
      <w:r>
        <w:rPr>
          <w:rStyle w:val="a7"/>
        </w:rPr>
        <w:footnoteRef/>
      </w:r>
      <w:r>
        <w:t xml:space="preserve"> </w:t>
      </w:r>
      <w:r>
        <w:rPr>
          <w:b/>
          <w:bCs/>
          <w:rtl/>
        </w:rPr>
        <w:t>יוד רישא כו'.</w:t>
      </w:r>
      <w:r>
        <w:rPr>
          <w:rtl/>
        </w:rPr>
        <w:t xml:space="preserve"> מפרש - שמיה כשם רביה:</w:t>
      </w:r>
    </w:p>
  </w:footnote>
  <w:footnote w:id="4082">
    <w:p w:rsidR="00A13282" w:rsidRDefault="00A13282" w:rsidP="00B17EA9">
      <w:pPr>
        <w:pStyle w:val="a5"/>
      </w:pPr>
      <w:r>
        <w:rPr>
          <w:rStyle w:val="a7"/>
        </w:rPr>
        <w:footnoteRef/>
      </w:r>
      <w:r>
        <w:t xml:space="preserve"> </w:t>
      </w:r>
      <w:r>
        <w:rPr>
          <w:b/>
          <w:bCs/>
          <w:rtl/>
        </w:rPr>
        <w:t>דבהון פרח כו'.</w:t>
      </w:r>
      <w:r>
        <w:rPr>
          <w:rtl/>
        </w:rPr>
        <w:t xml:space="preserve"> נגד ה' עילאה ותתאה, והוא הבריח התיכון מבריח מקצה אל הקצה, פרח לעילא ונטיל מה' עילאה ופרח לתתא ויהיב לתתאה, תאות גבעות עולם:</w:t>
      </w:r>
    </w:p>
  </w:footnote>
  <w:footnote w:id="4083">
    <w:p w:rsidR="00A13282" w:rsidRDefault="00A13282" w:rsidP="00B17EA9">
      <w:pPr>
        <w:pStyle w:val="a5"/>
      </w:pPr>
      <w:r>
        <w:rPr>
          <w:rStyle w:val="a7"/>
        </w:rPr>
        <w:footnoteRef/>
      </w:r>
      <w:r>
        <w:t xml:space="preserve"> </w:t>
      </w:r>
      <w:r>
        <w:rPr>
          <w:b/>
          <w:bCs/>
          <w:rtl/>
        </w:rPr>
        <w:t>ואלין תרין כו'.</w:t>
      </w:r>
      <w:r>
        <w:rPr>
          <w:rtl/>
        </w:rPr>
        <w:t xml:space="preserve"> מפרש עתה שם הוי"ה בקול, דאיהו נעשה מרכבה ליה, ומוליך אותו, דהוא קול הוי"ה כנ"ל:</w:t>
      </w:r>
    </w:p>
  </w:footnote>
  <w:footnote w:id="4084">
    <w:p w:rsidR="00A13282" w:rsidRDefault="00A13282" w:rsidP="00B17EA9">
      <w:pPr>
        <w:pStyle w:val="a5"/>
      </w:pPr>
      <w:r>
        <w:rPr>
          <w:rStyle w:val="a7"/>
        </w:rPr>
        <w:footnoteRef/>
      </w:r>
      <w:r>
        <w:t xml:space="preserve"> </w:t>
      </w:r>
      <w:r>
        <w:rPr>
          <w:b/>
          <w:bCs/>
          <w:rtl/>
        </w:rPr>
        <w:t>תרין הבלים ה"ה.</w:t>
      </w:r>
      <w:r>
        <w:rPr>
          <w:rtl/>
        </w:rPr>
        <w:t xml:space="preserve"> הבל מלבר והבל מלגאו, בפומא ולבא כמו שאומר לעיל ס"ב ב' דבהון הבל סליק ונחית תמיד הולך ושב, וזהו פרח לעילא ונחית לתתא וכמו שמפרש והולך דבהון אתמר והחיות רצוא ושוב. והוא חיות של אדם, והוא מט"ט דהוא חיה, וחיות כלל ד' חיות, וכמו שאומר לעיל בתיקון ה’ ושאר מקומות, ואמר שם רצוא בנוריאל ושוב במט"ט שדי, דהכי סליק בחושבן, ושניהם חושבן תור"ה, עמודא דאמצעיתא, ורצוא היינו לפנים דאז הוא נוריאל ארגמן בכללן וכמו שאומר שם והוא כד הבל נחית, ושוב - הבל סליק בפומא:</w:t>
      </w:r>
    </w:p>
  </w:footnote>
  <w:footnote w:id="4085">
    <w:p w:rsidR="00A13282" w:rsidRDefault="00A13282" w:rsidP="00B17EA9">
      <w:pPr>
        <w:pStyle w:val="a5"/>
      </w:pPr>
      <w:r>
        <w:rPr>
          <w:rStyle w:val="a7"/>
        </w:rPr>
        <w:footnoteRef/>
      </w:r>
      <w:r>
        <w:t xml:space="preserve"> </w:t>
      </w:r>
      <w:r>
        <w:rPr>
          <w:b/>
          <w:bCs/>
          <w:rtl/>
        </w:rPr>
        <w:t>רצוא ושוב בדגש ורפה דאינון י"ו.</w:t>
      </w:r>
      <w:r>
        <w:rPr>
          <w:rtl/>
        </w:rPr>
        <w:t xml:space="preserve"> כמו שאומר בסוף תיקון ה’ רפה איהו לעילא מאתוון ועליה אתמר ודמות על ראשי החיה רקיע כו', שהוא הרקיע שעל ראשם כמו שאומר בזהר חדש פ' בראשית נטוי על ראשיהם מלמעלה ודא איהו רפה, נטוי כו', דגש איהו מלגאו דאתוון כגוונא דא כו' ובהון והחיות רצוא ושוב, רצוא בדגש ושוב ברפה, וזה שאומר דאינון י"ו, י' דגש ו' רפה, ודגש בתוך האתוון שהוא הגוף כמו שאומר שם, והוא בלבא דשם הבל נחית, ורפה - הבל סליק בפה, וזה שאומר </w:t>
      </w:r>
      <w:r>
        <w:rPr>
          <w:b/>
          <w:bCs/>
          <w:rtl/>
        </w:rPr>
        <w:t>הבל סליק כו'</w:t>
      </w:r>
      <w:r>
        <w:rPr>
          <w:rtl/>
        </w:rPr>
        <w:t xml:space="preserve"> </w:t>
      </w:r>
      <w:r>
        <w:rPr>
          <w:b/>
          <w:bCs/>
          <w:rtl/>
        </w:rPr>
        <w:t>כהבל דנפיק מפומא</w:t>
      </w:r>
      <w:r>
        <w:rPr>
          <w:rtl/>
        </w:rPr>
        <w:t xml:space="preserve"> ורוצה לומר כהבל הרצוא ושוב מפומא, דעד כאן דבר בהבלים דמעלה ומוריד מטטרון, והוא סליק בקריאת שמע לת"ת, ואז (יחזקאל א כד) ואשמע - בשמע ישראל, ת"ת, את קול כנפיהם - דקול כנפיהם הוא כשמעופפין למעלה כמו שכתוב (ישעיהו ו ב,ג,ד) ובשתים יעופף וקרא זה אל זה כו' וינועו אמות הספים מקול הקורא, וזהו יוליך את הקול - קול דקריאת שמע כנ"ל. וזה שאומר למטה הבל סליק בקול ואמר שם ו' קול. והבל נחית בתפלה דאז בעמדם תרפינה כנפיהם כמו שאומר לעיל ג' ב' ושאר מקומות בעמידה דצלותא כו' והוא נחית מלעופף ואז ובעל הכנפים יגיד דבר דצלותא כמו שאומר שם דהוא דבור, וזהו יגיד דהוא ושוב כמו (שמות יט ח) וישב משה את דברי כו' (שם ט) ויגד משה כו', וזה שאומר למטה נחית בדבור ואמר שם י' דבור והיו"ד הוא בלבא ושם נחית ההבלים דאינון כנפים ו' בפומא ושם סלקין. וזה שאומר תא חזי כו':</w:t>
      </w:r>
    </w:p>
  </w:footnote>
  <w:footnote w:id="4086">
    <w:p w:rsidR="00A13282" w:rsidRDefault="00A13282" w:rsidP="00B17EA9">
      <w:pPr>
        <w:pStyle w:val="a5"/>
      </w:pPr>
      <w:r>
        <w:rPr>
          <w:rStyle w:val="a7"/>
        </w:rPr>
        <w:footnoteRef/>
      </w:r>
      <w:r>
        <w:t xml:space="preserve"> </w:t>
      </w:r>
      <w:r>
        <w:rPr>
          <w:b/>
          <w:bCs/>
          <w:rtl/>
        </w:rPr>
        <w:t>ת"ח י' איהי אמירה כו'.</w:t>
      </w:r>
      <w:r>
        <w:rPr>
          <w:rtl/>
        </w:rPr>
        <w:t xml:space="preserve"> רוצה לומר, דלכן עשר אמירן, ועשר דברות, ועשר קריאות בתורה שקרא השם או מלאך בשליחותו דהוא מלאך הגואל. והן בפרשת בראשית, (ג ט) ויקרא ה' אלקים אל האדם. ב' בהגר (כא יז) ויקרא מלאך כו'. ג' בפרשת וירא (כב טו) ויקרא מלאך ה'. ד' שם (כב יא) ויקרא אליו מלאך ה' כו'. ה' שמות (ג ד) ויקרא אליו אלקים כו'. ו' ז' יתרו (יט ג) ויקרא אליו ה', (יט כ) ויקרא ה' למשה כו'. ח' משפטים (כד טז) ויקרא אל משה ביום כו'. ט' ויקרא (א א) ויקרא אל משה. י' (במדבר יב ה) ויקרא אהרן ומרים כו'. אחד באדם (אלקים). שלשה באברהם והגר. חמשה במשה - א' בסנה. ג' בסיני. א' באהל מועד. ואחד שלשתם. ואמר כל זה להורות שיו"ד הוא בדיבור:</w:t>
      </w:r>
    </w:p>
  </w:footnote>
  <w:footnote w:id="4087">
    <w:p w:rsidR="00A13282" w:rsidRDefault="00A13282" w:rsidP="00B17EA9">
      <w:pPr>
        <w:pStyle w:val="a5"/>
      </w:pPr>
      <w:r>
        <w:rPr>
          <w:rStyle w:val="a7"/>
        </w:rPr>
        <w:footnoteRef/>
      </w:r>
      <w:r>
        <w:t xml:space="preserve"> </w:t>
      </w:r>
      <w:r>
        <w:rPr>
          <w:b/>
          <w:bCs/>
          <w:rtl/>
        </w:rPr>
        <w:t>קול סליק כו'.</w:t>
      </w:r>
      <w:r>
        <w:rPr>
          <w:rtl/>
        </w:rPr>
        <w:t xml:space="preserve"> רוצה לומר שקול צריך להגביה את קול ודבור הוא בנחת וזהו נחית וכן ההבלים גם כן בקול סליק ההבל בתנועות הקול ובדבור שבההבל לגוף וזה שאומר הבל סליק כו' קול סליק וכן בדיבור:</w:t>
      </w:r>
    </w:p>
  </w:footnote>
  <w:footnote w:id="4088">
    <w:p w:rsidR="00A13282" w:rsidRDefault="00A13282" w:rsidP="00B17EA9">
      <w:pPr>
        <w:pStyle w:val="a5"/>
      </w:pPr>
      <w:r>
        <w:rPr>
          <w:rStyle w:val="a7"/>
        </w:rPr>
        <w:footnoteRef/>
      </w:r>
      <w:r>
        <w:t xml:space="preserve"> </w:t>
      </w:r>
      <w:r>
        <w:rPr>
          <w:b/>
          <w:bCs/>
          <w:rtl/>
        </w:rPr>
        <w:t>וכד איהו סליק ונחית כו'.</w:t>
      </w:r>
      <w:r>
        <w:rPr>
          <w:rtl/>
        </w:rPr>
        <w:t xml:space="preserve"> רוצה לומר מט"ט, וזה שאומר דאינון כו', דהוא כליל לון והן עולים ויורדים עמו:</w:t>
      </w:r>
    </w:p>
  </w:footnote>
  <w:footnote w:id="4089">
    <w:p w:rsidR="00A13282" w:rsidRDefault="00A13282" w:rsidP="00B17EA9">
      <w:pPr>
        <w:pStyle w:val="a5"/>
      </w:pPr>
      <w:r>
        <w:rPr>
          <w:rStyle w:val="a7"/>
        </w:rPr>
        <w:footnoteRef/>
      </w:r>
      <w:r>
        <w:t xml:space="preserve"> </w:t>
      </w:r>
      <w:r>
        <w:rPr>
          <w:b/>
          <w:bCs/>
          <w:rtl/>
        </w:rPr>
        <w:t>ודא איהו רזא מי כו'.</w:t>
      </w:r>
      <w:r>
        <w:rPr>
          <w:rtl/>
        </w:rPr>
        <w:t xml:space="preserve"> כנ"ל, והוא בקריאת שמע ותפלה, והוא יורד לארץ בכלילו דתתאי כמו שאומר בזהר חדש שיר השירים:</w:t>
      </w:r>
    </w:p>
  </w:footnote>
  <w:footnote w:id="4090">
    <w:p w:rsidR="00A13282" w:rsidRDefault="00A13282" w:rsidP="00B17EA9">
      <w:pPr>
        <w:pStyle w:val="a5"/>
      </w:pPr>
      <w:r>
        <w:rPr>
          <w:rStyle w:val="a7"/>
        </w:rPr>
        <w:footnoteRef/>
      </w:r>
      <w:r>
        <w:t xml:space="preserve"> </w:t>
      </w:r>
      <w:r>
        <w:rPr>
          <w:b/>
          <w:bCs/>
          <w:rtl/>
        </w:rPr>
        <w:t>זכאה כו' צלותין ביה.</w:t>
      </w:r>
      <w:r>
        <w:rPr>
          <w:rtl/>
        </w:rPr>
        <w:t xml:space="preserve"> רוצה לומר במט"ט דהוא מוליך כנ"ל ועל ידו היחוד בימות החול וזה שאומר</w:t>
      </w:r>
    </w:p>
  </w:footnote>
  <w:footnote w:id="4091">
    <w:p w:rsidR="00A13282" w:rsidRDefault="00A13282" w:rsidP="00B17EA9">
      <w:pPr>
        <w:pStyle w:val="a5"/>
      </w:pPr>
      <w:r>
        <w:rPr>
          <w:rStyle w:val="a7"/>
        </w:rPr>
        <w:footnoteRef/>
      </w:r>
      <w:r>
        <w:t xml:space="preserve"> </w:t>
      </w:r>
      <w:r>
        <w:rPr>
          <w:b/>
          <w:bCs/>
          <w:rtl/>
        </w:rPr>
        <w:t>דהא צלותא איהי סלם כו'.</w:t>
      </w:r>
      <w:r>
        <w:rPr>
          <w:rtl/>
        </w:rPr>
        <w:t xml:space="preserve"> רוצה לומר דע"י הצלותא עולה מט"ט למעלה להוליך הקול דקריאת שמע ועמיה סלקין המלאכים כו' כנ"ל, וכן נחתין, וצלותא איהי סלם, ועיין בסוף ח"א יו"ד ב' והנה סלם - דא צלותא, מוצב ארצה - דמצלאן בני נשא ליה בארעא דאיהו שכינתא ומטא לשמיא דאיהו קב"ה דאתמר ביה ואתה תשמע השמים כו', מיד והנה מלאכי אלקים עולים ויורדים בו - בההוא בר נש, כלהו פתחין גדפייהו לקבלא שכינתא בההוא צלותא כו', והאי איהו עולים - שכינתא על גדפייהו, ויורדים בו, מאי בו בקב"ה דקב"ה נחית עלייהו לקבלא שכינתא ומתייחד קב"ה ביה בהוא בר נש בצלותיה כו'. וכן סלם הוא מט"ט דעל ידו סלקין ונחתין (כמו שאומר ברעיא מהימנא פ' פנחס) וכנ"ל, והוא דרגא דת"ת דנקרא סלם דביה הבלים סלקין ונחתין כמו שאומר ברעיא מהימנא פ' פנחס רל"ה א' ב' וקנה איהו סולם דביה מלאכי אלקים עולים ויורדים בו דאינון הבלים סלקין מלבא ורוחין חורין נחתין ביה בלבא וכד רוחא נחית, נחית בכמה רוחין כמלכא עם חיליה כו' דאתמר עלייהו עושה מלאכיו רוחות, וסלקין לקביל אלין הבלים דאתמר עלייהו משרתיו אש לוהט כו', דמיניה סלקין להבות אש בפומא כו', תפארת סלם באמצעיתא כו', וזה שאומר גם כן </w:t>
      </w:r>
      <w:r>
        <w:rPr>
          <w:b/>
          <w:bCs/>
          <w:rtl/>
        </w:rPr>
        <w:t>וכד איהו סליק כו'</w:t>
      </w:r>
      <w:r>
        <w:rPr>
          <w:rtl/>
        </w:rPr>
        <w:t xml:space="preserve"> הוא הקול דמלאכיו רוחות כו', דהן משריין דיליה כנ"ל:</w:t>
      </w:r>
    </w:p>
  </w:footnote>
  <w:footnote w:id="4092">
    <w:p w:rsidR="00A13282" w:rsidRDefault="00A13282" w:rsidP="00B17EA9">
      <w:pPr>
        <w:pStyle w:val="a5"/>
      </w:pPr>
      <w:r>
        <w:rPr>
          <w:rStyle w:val="a7"/>
        </w:rPr>
        <w:footnoteRef/>
      </w:r>
      <w:r>
        <w:t xml:space="preserve"> </w:t>
      </w:r>
      <w:r>
        <w:rPr>
          <w:b/>
          <w:bCs/>
          <w:rtl/>
        </w:rPr>
        <w:t>אית למאן כו'.</w:t>
      </w:r>
      <w:r>
        <w:rPr>
          <w:rtl/>
        </w:rPr>
        <w:t xml:space="preserve"> רוצה לומר, יש שמעלין זכותו למעלה לעולם הבא, ויש שמורידין לעולם הזה, וכמו שמפרש והולך האי לצדיק גמור כו', וכמו שאמרו (ברכות ז ע"א) צדיק וטוב לו צדיק גמור כו' וחסר כאן בבא השנית של בינוני:</w:t>
      </w:r>
    </w:p>
  </w:footnote>
  <w:footnote w:id="4093">
    <w:p w:rsidR="00A13282" w:rsidRDefault="00A13282" w:rsidP="00B17EA9">
      <w:pPr>
        <w:pStyle w:val="a5"/>
      </w:pPr>
      <w:r>
        <w:rPr>
          <w:rStyle w:val="a7"/>
        </w:rPr>
        <w:footnoteRef/>
      </w:r>
      <w:r>
        <w:t xml:space="preserve"> </w:t>
      </w:r>
      <w:r>
        <w:rPr>
          <w:b/>
          <w:bCs/>
          <w:rtl/>
        </w:rPr>
        <w:t>הא הכא כו' מועף ביעף.</w:t>
      </w:r>
      <w:r>
        <w:rPr>
          <w:rtl/>
        </w:rPr>
        <w:t xml:space="preserve"> רוצה לומר כאן השלים לפרש מה שאמר ועוף דא רוחא ממלאכים, והביא ראיה עוד שנאמר מועף ביעף ואמר כגון כו', רוצה לומר דיעופף, לשון כפול, קאי על גבריאל בשתים (ברכות ד ע"ב), מועף ביעף, וכמו שאמרו ועוף זה מיכאל כו':</w:t>
      </w:r>
    </w:p>
  </w:footnote>
  <w:footnote w:id="4094">
    <w:p w:rsidR="00A13282" w:rsidRDefault="00A13282" w:rsidP="00B17EA9">
      <w:pPr>
        <w:pStyle w:val="a5"/>
      </w:pPr>
      <w:r>
        <w:rPr>
          <w:rStyle w:val="a7"/>
        </w:rPr>
        <w:footnoteRef/>
      </w:r>
      <w:r>
        <w:t xml:space="preserve"> </w:t>
      </w:r>
      <w:r>
        <w:rPr>
          <w:b/>
          <w:bCs/>
          <w:rtl/>
        </w:rPr>
        <w:t>על פני רקיע השמים דא נשמה.</w:t>
      </w:r>
      <w:r>
        <w:rPr>
          <w:rtl/>
        </w:rPr>
        <w:t xml:space="preserve"> הוא פשוט דנשמתא הוא בשמים ועיין לעיל א' א':</w:t>
      </w:r>
    </w:p>
  </w:footnote>
  <w:footnote w:id="4095">
    <w:p w:rsidR="00A13282" w:rsidRDefault="00A13282" w:rsidP="00B17EA9">
      <w:pPr>
        <w:pStyle w:val="a5"/>
        <w:rPr>
          <w:rtl/>
        </w:rPr>
      </w:pPr>
      <w:r>
        <w:rPr>
          <w:rStyle w:val="a7"/>
        </w:rPr>
        <w:footnoteRef/>
      </w:r>
      <w:r>
        <w:t xml:space="preserve"> </w:t>
      </w:r>
      <w:r>
        <w:rPr>
          <w:b/>
          <w:bCs/>
          <w:rtl/>
        </w:rPr>
        <w:t>דאלין דזכאן.</w:t>
      </w:r>
      <w:r>
        <w:rPr>
          <w:rtl/>
        </w:rPr>
        <w:t xml:space="preserve"> חוזר בקיצור ומרמז בתיבת בראשית, והוא תיקון אחד, דלמעלה לא פירש רק בתיבת אלקים, והוא בשית גדפין, נהר דכליל ו', בין בעמודא דאמצעיתא בין במט"ט, והוא לפום עובדוי, אם על מנת לקבל פרס - הוא בעבד, ואם לא - מסטרא דבן, מעמודא דאמצעיתא, כמו שאומר בתיקוני זהר חדש פ' ג' ושאר מקומות הרבה. ואמר </w:t>
      </w:r>
      <w:r>
        <w:rPr>
          <w:b/>
          <w:bCs/>
          <w:rtl/>
        </w:rPr>
        <w:t>ואית מאן דירית רוח מלתתא כו'.</w:t>
      </w:r>
      <w:r>
        <w:rPr>
          <w:rtl/>
        </w:rPr>
        <w:t xml:space="preserve"> והוא עם הארץ דרוחיה מהארץ וזה שאומר </w:t>
      </w:r>
      <w:r>
        <w:rPr>
          <w:b/>
          <w:bCs/>
          <w:rtl/>
        </w:rPr>
        <w:t>עלייהו</w:t>
      </w:r>
      <w:r>
        <w:rPr>
          <w:rtl/>
        </w:rPr>
        <w:t xml:space="preserve"> </w:t>
      </w:r>
      <w:r>
        <w:rPr>
          <w:b/>
          <w:bCs/>
          <w:rtl/>
        </w:rPr>
        <w:t>כתיב תוצא הארץ כו'.</w:t>
      </w:r>
      <w:r>
        <w:rPr>
          <w:rtl/>
        </w:rPr>
        <w:t xml:space="preserve"> ונקרא בהמה - דעובדיהון כו'. ואמר </w:t>
      </w:r>
      <w:r>
        <w:rPr>
          <w:b/>
          <w:bCs/>
          <w:rtl/>
        </w:rPr>
        <w:t>הה"ד ביומא שתיתאה ויאמר כו'.</w:t>
      </w:r>
      <w:r>
        <w:rPr>
          <w:rtl/>
        </w:rPr>
        <w:t xml:space="preserve"> ורוצה לומר, זהו מאמר הח'. ואמר ביומא שתיתאה - לרמוז אותו המאמר בתיבת בראשית, כמו שמפרש והולך בתיקון מ”ז בראשית ברא שית ודא יומא שתיתאה, וכן אמר למעלה במאמר ד' בתיקון מ”ב בראשית תמן כו' ודא יומא תליתאה כו', אבל פקודא של זה המאמר לא פירש כאן, ובזהר פרשת בראשית אמר למירחם גיורא כו' עיין שם, וכן יש לפרש כאן בעם הארץ וכמו שאמרו (חולין צב ע"ב) ליבעו רחמי אתכליא על עליא כו', ואמרו בד' מינים במדרש רבה פ' אמור פ' למ"ד יוקשרו אלו עם אלו באגודה אחת והן מכפרין אלו ואם עשיתם כך אותה שעה אני מתעלה כו' ואימתי הוא מתעלה כשהן עשוין אגודה אחת כו', והודיע לנו התורה שגם הן במאמר כמו התלמידי חכמים, וגם כן צוה לנו בפקודא שנראה שיתקיימו וכנ"ל ליבעו כו' וכמו שאומר גבי גיורא שם:</w:t>
      </w:r>
    </w:p>
    <w:p w:rsidR="00A13282" w:rsidRDefault="00A13282" w:rsidP="00B17EA9">
      <w:pPr>
        <w:pStyle w:val="a5"/>
      </w:pPr>
    </w:p>
  </w:footnote>
  <w:footnote w:id="4096">
    <w:p w:rsidR="00A13282" w:rsidRDefault="00A13282" w:rsidP="00B17EA9">
      <w:pPr>
        <w:pStyle w:val="a5"/>
      </w:pPr>
      <w:r>
        <w:rPr>
          <w:rStyle w:val="a7"/>
        </w:rPr>
        <w:footnoteRef/>
      </w:r>
      <w:r>
        <w:t xml:space="preserve"> </w:t>
      </w:r>
      <w:r>
        <w:rPr>
          <w:rtl/>
        </w:rPr>
        <w:t xml:space="preserve"> </w:t>
      </w:r>
      <w:r>
        <w:rPr>
          <w:b/>
          <w:bCs/>
          <w:rtl/>
        </w:rPr>
        <w:t>תיקון מז.</w:t>
      </w:r>
      <w:r>
        <w:rPr>
          <w:rtl/>
        </w:rPr>
        <w:t xml:space="preserve"> </w:t>
      </w:r>
      <w:r>
        <w:rPr>
          <w:b/>
          <w:bCs/>
          <w:rtl/>
        </w:rPr>
        <w:t>יום הששי.</w:t>
      </w:r>
      <w:r>
        <w:rPr>
          <w:rtl/>
        </w:rPr>
        <w:t xml:space="preserve"> וזה שכתוב הששי, דכבר מרומז ביום ראשון:</w:t>
      </w:r>
    </w:p>
  </w:footnote>
  <w:footnote w:id="4097">
    <w:p w:rsidR="00A13282" w:rsidRDefault="00A13282" w:rsidP="00B17EA9">
      <w:pPr>
        <w:pStyle w:val="a5"/>
      </w:pPr>
      <w:r>
        <w:rPr>
          <w:rStyle w:val="a7"/>
        </w:rPr>
        <w:footnoteRef/>
      </w:r>
      <w:r>
        <w:t xml:space="preserve"> </w:t>
      </w:r>
      <w:r>
        <w:rPr>
          <w:b/>
          <w:bCs/>
          <w:rtl/>
        </w:rPr>
        <w:t>דאתמר ביה מים.</w:t>
      </w:r>
      <w:r>
        <w:rPr>
          <w:rtl/>
        </w:rPr>
        <w:t xml:space="preserve"> ועיין מה שכתבתי לעיל ריש תיקון מ”ב דרקיע עיקרו ממים, דלכן נקרא רקיע עוזו, על שם מים עזים, גבורה, בוצינא דקרדינותא, וכתיב (יחזקאל א כב) כעין הקרח הנורא, ואתי שפיר דחשיב הכל מה שהוציאו, וכמו שאומר שם, ומכל מקום כליל גם כן רקיע כמו שכתוב על פני רקיע השמים:</w:t>
      </w:r>
    </w:p>
  </w:footnote>
  <w:footnote w:id="4098">
    <w:p w:rsidR="00A13282" w:rsidRDefault="00A13282" w:rsidP="00B17EA9">
      <w:pPr>
        <w:pStyle w:val="a5"/>
      </w:pPr>
      <w:r>
        <w:rPr>
          <w:rStyle w:val="a7"/>
        </w:rPr>
        <w:footnoteRef/>
      </w:r>
      <w:r>
        <w:t xml:space="preserve"> </w:t>
      </w:r>
      <w:r>
        <w:rPr>
          <w:b/>
          <w:bCs/>
          <w:rtl/>
        </w:rPr>
        <w:t>דאתמר ביה תדשא כו' ואתמר כו'.</w:t>
      </w:r>
      <w:r>
        <w:rPr>
          <w:rtl/>
        </w:rPr>
        <w:t xml:space="preserve"> דאמרינן בסוף שבת האי מאן דבתלתא בשבת יהא עתיר וזנאי, ועיין רש"י שם ד"ה דאברו ביה עשבים כו'. ועיין לעיל תיקון מ”ג תדשא הארץ לאפקא זרעין ואיבין דאינון נשמתין כל חד כו' עיין שם, ואמר שם והכא פקודא דפריה ורביה למעבד כו', ואע"ג דכאן אדכר בפירוש פריה ורביה - כאן הוא לברכה כמו שכתוב ויברך כו' ואינו מעשר מאמרות:</w:t>
      </w:r>
    </w:p>
  </w:footnote>
  <w:footnote w:id="4099">
    <w:p w:rsidR="00A13282" w:rsidRDefault="00A13282" w:rsidP="00B17EA9">
      <w:pPr>
        <w:pStyle w:val="a5"/>
      </w:pPr>
      <w:r>
        <w:rPr>
          <w:rStyle w:val="a7"/>
        </w:rPr>
        <w:footnoteRef/>
      </w:r>
      <w:r>
        <w:t xml:space="preserve"> </w:t>
      </w:r>
      <w:r>
        <w:rPr>
          <w:b/>
          <w:bCs/>
          <w:rtl/>
        </w:rPr>
        <w:t>ומלאו כו'.</w:t>
      </w:r>
      <w:r>
        <w:rPr>
          <w:rtl/>
        </w:rPr>
        <w:t xml:space="preserve"> הביא זה כמו שמפרש והולך מאי ומלאו כו' אתמר הכא כו' דיבשה הוא הפוכו כמו שכתוב (במדבר יא ו) נפשנו יבשה אין כל, דאף דהכנה היה ביום השלישי לנוק' תדשא הארץ והוא בת"ת יום השלישי בעלה מכל מקום לא נתן לה עד יום הששי צדיק דלית יחודא אלא ביה:</w:t>
      </w:r>
    </w:p>
  </w:footnote>
  <w:footnote w:id="4100">
    <w:p w:rsidR="00A13282" w:rsidRDefault="00A13282" w:rsidP="00B17EA9">
      <w:pPr>
        <w:pStyle w:val="a5"/>
      </w:pPr>
      <w:r>
        <w:rPr>
          <w:rStyle w:val="a7"/>
        </w:rPr>
        <w:footnoteRef/>
      </w:r>
      <w:r>
        <w:t xml:space="preserve"> </w:t>
      </w:r>
      <w:r>
        <w:rPr>
          <w:b/>
          <w:bCs/>
          <w:rtl/>
        </w:rPr>
        <w:t>הה"ד מלא כו' ודא ברוך כו'.</w:t>
      </w:r>
      <w:r>
        <w:rPr>
          <w:rtl/>
        </w:rPr>
        <w:t xml:space="preserve"> וזהו שלשה גוונין דאבהן, דנציב לון יוסף, יום הששי, בארעא ע"י פריה ורביה וכמו שאומר בזהר פרשת בראשית א' ב' הנצנים אלין אבהן כו' עאל יוסף בארעא קדישא ונציב לון, וכדין נראו בארץ, ואימתי אתחזון בשעתא דאתגלי קשת בעלמא כו', ואמר שם י"ח א' יקוו המים כו' עלמא דתתאה, ואראה את ה' כו' וכבוד ה' נראה כו' כמראה הקשת וגו' כן מראה הנוגה סביב הוא מראה דמות כבוד ה', ודא איהו רזא ותראה היבשה כו' דאתחזי קשת מראה דמות כבוד ה' כו' מיכאל בסטרא דא כו', ואינון גוונין דאתחזי בההוא דמות חיוור וסומק וירוק כו', יחודא דלעילא ה' אלקינו ה', גוונין סתימין דלא אתחזון כו' יחודא עילאה שמע ישראל כו' יוד הא ואו הא, קדוש קדוש קדוש כו' מלא כל הארץ כבודו דא ותראה היבשה רזא גליפא שמא דיחודא כוז"ו כו'. והכל הוא רזא דג' גוונין דאבהן והן ג' ימים הראשונים יחודא עילאה, וכאן בנוק' רזא דג' ימים תחתונים דנציב לון יוסף בארעא ג' פעמים קדוש, ג' אלפין דשמא מפרש. ואמר ודא ברוך שם כו' דהן ג' גוונין הנ"ל והן ד' פרשיות דתפילין שהן ג' חב"ד, והן אבהן, יחודא הנ"ל, ועיין בזהר פרשת תרומה קס"ב א' יחודא איהו כגוונא דתפילין כו' חד נקודה קדמאה כו' ברוך דא רזא דנקודה עילאה כו' ואלו ג' הן הגוונין דאבהן דאמר שם בריש פ' בראשית דעאלו במחשבה כו':</w:t>
      </w:r>
    </w:p>
  </w:footnote>
  <w:footnote w:id="4101">
    <w:p w:rsidR="00A13282" w:rsidRDefault="00A13282" w:rsidP="00B17EA9">
      <w:pPr>
        <w:pStyle w:val="a5"/>
      </w:pPr>
      <w:r>
        <w:rPr>
          <w:rStyle w:val="a7"/>
        </w:rPr>
        <w:footnoteRef/>
      </w:r>
      <w:r>
        <w:t xml:space="preserve"> </w:t>
      </w:r>
      <w:r>
        <w:rPr>
          <w:b/>
          <w:bCs/>
          <w:rtl/>
        </w:rPr>
        <w:t>ביומא שתיתאה אתקנו שית כו' וביה אתברי אדם כו'.</w:t>
      </w:r>
      <w:r>
        <w:rPr>
          <w:rtl/>
        </w:rPr>
        <w:t xml:space="preserve"> רוצה לומר דב' אדם נאמר כאן, א' נעשה אדם והוא הכסא שלימו דנוק' ו"ק שלה שית דרגין דכורסיא, ושני ויברא האדם בצלמו - דכורא, ושם בצלמו וכאן בצלמנו, דשם עולמתין דידה בדרגין הנ"ל לבד השביעי ק"ק דהוא לדידה רוחא לבד בלא גופא, ושם ד' רגלין ועיין בזהר פרשתך בראשית ל"ט א' ב' היכלא שביעאה כו' ירוק חיוור כו' והן ד' רגלין הנ"ל, ואלין שית היכלין אינון למדורא כדאמרן ושביעאה לאו איהו למדורא ועל דא כתיב בראשית שית דרגין כו', וזה שאומר כאן ביומא שתיתאה אתקינו כו' רוצה לומר דזהו בראשית כנ"ל ואמר בספרא דצניעותא פ"ג נעשה אדם האדם לא כתיב אלא אדם סתם לאפקא דלעילא כו' אשתלים דכר ונוק' כו', וזהו נעשה - תיקון ו"ק דילה, ראה והתקין צורת הלבנה, ובויברא כתיב האדם בה"א והוא אדם על הכסא. ואינון שית שהן שבעה - בלבנת וספיר הן רמיזין בפסוק זה בצלמנו כו' דהן ז' דרגין כסדר לבד ת"ת דהוא אחר נצח ועיין ב"ס ח"א ב' ג'. וזה שאומר והכא תרין פקודין רוצה לומר בב' אדם אלו כמו שמפרש והולך חד כו':</w:t>
      </w:r>
    </w:p>
  </w:footnote>
  <w:footnote w:id="4102">
    <w:p w:rsidR="00A13282" w:rsidRDefault="00A13282" w:rsidP="00B17EA9">
      <w:pPr>
        <w:pStyle w:val="a5"/>
      </w:pPr>
      <w:r>
        <w:rPr>
          <w:rStyle w:val="a7"/>
        </w:rPr>
        <w:footnoteRef/>
      </w:r>
      <w:r>
        <w:t xml:space="preserve"> </w:t>
      </w:r>
      <w:r>
        <w:rPr>
          <w:b/>
          <w:bCs/>
          <w:rtl/>
        </w:rPr>
        <w:t>למגזר ית גיורא כו'.</w:t>
      </w:r>
      <w:r>
        <w:rPr>
          <w:rtl/>
        </w:rPr>
        <w:t xml:space="preserve"> שהוא גר צדק בנוק':</w:t>
      </w:r>
    </w:p>
  </w:footnote>
  <w:footnote w:id="4103">
    <w:p w:rsidR="00A13282" w:rsidRDefault="00A13282" w:rsidP="00B17EA9">
      <w:pPr>
        <w:pStyle w:val="a5"/>
      </w:pPr>
      <w:r>
        <w:rPr>
          <w:rStyle w:val="a7"/>
        </w:rPr>
        <w:footnoteRef/>
      </w:r>
      <w:r>
        <w:t xml:space="preserve"> </w:t>
      </w:r>
      <w:r>
        <w:rPr>
          <w:b/>
          <w:bCs/>
          <w:rtl/>
        </w:rPr>
        <w:t>בצלמנו כו' כדמותנו.</w:t>
      </w:r>
      <w:r>
        <w:rPr>
          <w:rtl/>
        </w:rPr>
        <w:t xml:space="preserve"> זו"נ כמו שאומר בריש פרשת שמיני ר' חייא אמר תורה שבכתב ותורה שבעל פה כו' הה"ד נעשה כו' עיין שם:</w:t>
      </w:r>
    </w:p>
  </w:footnote>
  <w:footnote w:id="4104">
    <w:p w:rsidR="00A13282" w:rsidRDefault="00A13282" w:rsidP="00B17EA9">
      <w:pPr>
        <w:pStyle w:val="a5"/>
      </w:pPr>
      <w:r>
        <w:rPr>
          <w:rStyle w:val="a7"/>
        </w:rPr>
        <w:footnoteRef/>
      </w:r>
      <w:r>
        <w:t xml:space="preserve"> </w:t>
      </w:r>
      <w:r>
        <w:rPr>
          <w:b/>
          <w:bCs/>
          <w:rtl/>
        </w:rPr>
        <w:t>בגזירו כו'.</w:t>
      </w:r>
      <w:r>
        <w:rPr>
          <w:rtl/>
        </w:rPr>
        <w:t xml:space="preserve"> צריך עיון, דבזהר פרשת בראשית ל"ג א' אמר מאי עץ פרי כו' זכאה חולקיה מאן דדמי לאבוי ולאימיה ועל כן רשימא קדישא ביומא תמינאה דידמי לאימיה, וכד אתפרעא ואתגלייא רשימא קדישא בגין דידמי לאבוי כו' וכן בזהר פרשת אמור צ"א ב' מאי בדמיך אלא תרין חד דמילה וחד דפריעה חד דגזירו דכנסת ישראל וחד דפריעה בצדיק יסוד עולם כו' ובזהר פרשת בראשית ל"ב א' ובתוספתא שם אין הכרע אבל בפנים שם ירדו לשערים כו' ובזהר פרשת בא מ' א' ב' ושאר מקומות וצריך עיון. ונראה שכן צריך לומר, </w:t>
      </w:r>
      <w:r>
        <w:rPr>
          <w:b/>
          <w:bCs/>
          <w:rtl/>
        </w:rPr>
        <w:t>בצלמנו כדמותנו בגזירו דערלה ופריעה.</w:t>
      </w:r>
      <w:r>
        <w:rPr>
          <w:rtl/>
        </w:rPr>
        <w:t xml:space="preserve"> ועיין לעיל תיקון ל”ז מה שכתבתי שם:</w:t>
      </w:r>
    </w:p>
  </w:footnote>
  <w:footnote w:id="4105">
    <w:p w:rsidR="00A13282" w:rsidRDefault="00A13282" w:rsidP="00B17EA9">
      <w:pPr>
        <w:pStyle w:val="a5"/>
      </w:pPr>
      <w:r>
        <w:rPr>
          <w:rStyle w:val="a7"/>
        </w:rPr>
        <w:footnoteRef/>
      </w:r>
      <w:r>
        <w:t xml:space="preserve"> </w:t>
      </w:r>
      <w:r>
        <w:rPr>
          <w:b/>
          <w:bCs/>
          <w:rtl/>
        </w:rPr>
        <w:t>ואי מקיים כו'.</w:t>
      </w:r>
      <w:r>
        <w:rPr>
          <w:rtl/>
        </w:rPr>
        <w:t xml:space="preserve"> הכל בזו"נ, וחשיב ה' דרגין דכתיב בקרא וירדו, אחר בצלמנו כדמותנו, והן ה’ חסדים וה’ גבורות, דו"נ:</w:t>
      </w:r>
    </w:p>
  </w:footnote>
  <w:footnote w:id="4106">
    <w:p w:rsidR="00A13282" w:rsidRDefault="00A13282" w:rsidP="00B17EA9">
      <w:pPr>
        <w:pStyle w:val="a5"/>
      </w:pPr>
      <w:r>
        <w:rPr>
          <w:rStyle w:val="a7"/>
        </w:rPr>
        <w:footnoteRef/>
      </w:r>
      <w:r>
        <w:t xml:space="preserve"> </w:t>
      </w:r>
      <w:r>
        <w:rPr>
          <w:b/>
          <w:bCs/>
          <w:rtl/>
        </w:rPr>
        <w:t>יבום וחליצה.</w:t>
      </w:r>
      <w:r>
        <w:rPr>
          <w:rtl/>
        </w:rPr>
        <w:t xml:space="preserve"> יבום ביסוד וחליצה בעקב נוק':</w:t>
      </w:r>
    </w:p>
  </w:footnote>
  <w:footnote w:id="4107">
    <w:p w:rsidR="00A13282" w:rsidRDefault="00A13282" w:rsidP="00B17EA9">
      <w:pPr>
        <w:pStyle w:val="a5"/>
      </w:pPr>
      <w:r>
        <w:rPr>
          <w:rStyle w:val="a7"/>
        </w:rPr>
        <w:footnoteRef/>
      </w:r>
      <w:r>
        <w:t xml:space="preserve"> </w:t>
      </w:r>
      <w:r>
        <w:rPr>
          <w:b/>
          <w:bCs/>
          <w:rtl/>
        </w:rPr>
        <w:t>ואנן לקבלייהו מקדשין כו'.</w:t>
      </w:r>
      <w:r>
        <w:rPr>
          <w:rtl/>
        </w:rPr>
        <w:t xml:space="preserve"> והן גם כן דו"נ, א"ח ד' כמו שאומר למטה דתפארת איהו א"ח כליל כו' ואיהי ד' כלילא כו', וכן בתליסר תיקונים ד' לחודוי, אסתמכן ד' אלפין דיברכך, וכן כאן בקדוש וברוך:</w:t>
      </w:r>
    </w:p>
  </w:footnote>
  <w:footnote w:id="4108">
    <w:p w:rsidR="00A13282" w:rsidRDefault="00A13282" w:rsidP="00B17EA9">
      <w:pPr>
        <w:pStyle w:val="a5"/>
      </w:pPr>
      <w:r>
        <w:rPr>
          <w:rStyle w:val="a7"/>
        </w:rPr>
        <w:footnoteRef/>
      </w:r>
      <w:r>
        <w:t xml:space="preserve"> </w:t>
      </w:r>
      <w:r>
        <w:rPr>
          <w:rtl/>
        </w:rPr>
        <w:t xml:space="preserve"> </w:t>
      </w:r>
      <w:r>
        <w:rPr>
          <w:b/>
          <w:bCs/>
          <w:rtl/>
        </w:rPr>
        <w:t>כמה דאוקימנא.</w:t>
      </w:r>
      <w:r>
        <w:rPr>
          <w:rtl/>
        </w:rPr>
        <w:t xml:space="preserve"> למעלה, הה"ד וקרא כו', ולפי שברוך לא הזכיר למעלה דאינון אמרין - אמר כאן כדמותנו לעומתם כו':</w:t>
      </w:r>
    </w:p>
  </w:footnote>
  <w:footnote w:id="4109">
    <w:p w:rsidR="00A13282" w:rsidRDefault="00A13282" w:rsidP="00B17EA9">
      <w:pPr>
        <w:pStyle w:val="a5"/>
      </w:pPr>
      <w:r>
        <w:rPr>
          <w:rStyle w:val="a7"/>
        </w:rPr>
        <w:footnoteRef/>
      </w:r>
      <w:r>
        <w:t xml:space="preserve"> </w:t>
      </w:r>
      <w:r>
        <w:rPr>
          <w:b/>
          <w:bCs/>
          <w:rtl/>
        </w:rPr>
        <w:t>ואמרו בגין כו'.</w:t>
      </w:r>
      <w:r>
        <w:rPr>
          <w:rtl/>
        </w:rPr>
        <w:t xml:space="preserve"> רוצה לומר העשר ספירות, וכדמותנו בד' האותיות שהן א"ח ד', דו"נ, כמו שאומר למטה:</w:t>
      </w:r>
    </w:p>
  </w:footnote>
  <w:footnote w:id="4110">
    <w:p w:rsidR="00A13282" w:rsidRDefault="00A13282" w:rsidP="00B17EA9">
      <w:pPr>
        <w:pStyle w:val="a5"/>
      </w:pPr>
      <w:r>
        <w:rPr>
          <w:rStyle w:val="a7"/>
        </w:rPr>
        <w:footnoteRef/>
      </w:r>
      <w:r>
        <w:t xml:space="preserve"> </w:t>
      </w:r>
      <w:r>
        <w:rPr>
          <w:b/>
          <w:bCs/>
          <w:rtl/>
        </w:rPr>
        <w:t>בימא דאורייתא.</w:t>
      </w:r>
      <w:r>
        <w:rPr>
          <w:rtl/>
        </w:rPr>
        <w:t xml:space="preserve"> בינה והוא נשמה מכורסייא, ועוף - רוח, ובהמה - נפש מסטרא דעשיה דשם בהמה דרביעא כו' רוח הבהמה היורדת כו' כנ"ל:</w:t>
      </w:r>
    </w:p>
  </w:footnote>
  <w:footnote w:id="4111">
    <w:p w:rsidR="00A13282" w:rsidRDefault="00A13282" w:rsidP="00B17EA9">
      <w:pPr>
        <w:pStyle w:val="a5"/>
      </w:pPr>
      <w:r>
        <w:rPr>
          <w:rStyle w:val="a7"/>
        </w:rPr>
        <w:footnoteRef/>
      </w:r>
      <w:r>
        <w:t xml:space="preserve"> </w:t>
      </w:r>
      <w:r>
        <w:rPr>
          <w:b/>
          <w:bCs/>
          <w:rtl/>
        </w:rPr>
        <w:t>עוף יעופף כו'.</w:t>
      </w:r>
      <w:r>
        <w:rPr>
          <w:rtl/>
        </w:rPr>
        <w:t xml:space="preserve"> כמו שאומר לקמן תיקון מ”ה:</w:t>
      </w:r>
    </w:p>
  </w:footnote>
  <w:footnote w:id="4112">
    <w:p w:rsidR="00A13282" w:rsidRDefault="00A13282" w:rsidP="00B17EA9">
      <w:pPr>
        <w:pStyle w:val="a5"/>
      </w:pPr>
      <w:r>
        <w:rPr>
          <w:rStyle w:val="a7"/>
        </w:rPr>
        <w:footnoteRef/>
      </w:r>
      <w:r>
        <w:t xml:space="preserve"> </w:t>
      </w:r>
      <w:r>
        <w:rPr>
          <w:b/>
          <w:bCs/>
          <w:rtl/>
        </w:rPr>
        <w:t>בגדפין כו'.</w:t>
      </w:r>
      <w:r>
        <w:rPr>
          <w:rtl/>
        </w:rPr>
        <w:t xml:space="preserve"> כמו שאמרו (שבת מט ע"א) מה יונה כנפיה כו', ועיין ברעיא מהימנא פ' צו בארוכה:</w:t>
      </w:r>
    </w:p>
  </w:footnote>
  <w:footnote w:id="4113">
    <w:p w:rsidR="00A13282" w:rsidRDefault="00A13282" w:rsidP="00B17EA9">
      <w:pPr>
        <w:pStyle w:val="a5"/>
      </w:pPr>
      <w:r>
        <w:rPr>
          <w:rStyle w:val="a7"/>
        </w:rPr>
        <w:footnoteRef/>
      </w:r>
      <w:r>
        <w:t xml:space="preserve"> </w:t>
      </w:r>
      <w:r>
        <w:rPr>
          <w:b/>
          <w:bCs/>
          <w:rtl/>
        </w:rPr>
        <w:t>כי לחמנו הם.</w:t>
      </w:r>
      <w:r>
        <w:rPr>
          <w:rtl/>
        </w:rPr>
        <w:t xml:space="preserve"> כמו שכתוב (תהלים קד יד) מצמיח חציר לבהמה כו' להוציא לחם כו', והם לחמנו - דמכינים לנו הלחם:</w:t>
      </w:r>
    </w:p>
  </w:footnote>
  <w:footnote w:id="4114">
    <w:p w:rsidR="00A13282" w:rsidRDefault="00A13282" w:rsidP="00B17EA9">
      <w:pPr>
        <w:pStyle w:val="a5"/>
      </w:pPr>
      <w:r>
        <w:rPr>
          <w:rStyle w:val="a7"/>
        </w:rPr>
        <w:footnoteRef/>
      </w:r>
      <w:r>
        <w:t xml:space="preserve"> </w:t>
      </w:r>
      <w:r>
        <w:rPr>
          <w:b/>
          <w:bCs/>
          <w:rtl/>
        </w:rPr>
        <w:t>דא עד"א ושכינתי'.</w:t>
      </w:r>
      <w:r>
        <w:rPr>
          <w:rtl/>
        </w:rPr>
        <w:t xml:space="preserve"> רוצה לומר אדם כתיב כתפארת, ובית - נוק', וזהו לשבת - (ישעיהו מה יח) לשבת יצרה, ומכל מקום איהי שלימו דאדם העשירית כמו שמפרש והולך ולכן שניהם יחד אדם אחד כמו שמפרש והולך עלייהו:</w:t>
      </w:r>
    </w:p>
  </w:footnote>
  <w:footnote w:id="4115">
    <w:p w:rsidR="00A13282" w:rsidRDefault="00A13282" w:rsidP="00B17EA9">
      <w:pPr>
        <w:pStyle w:val="a5"/>
      </w:pPr>
      <w:r>
        <w:rPr>
          <w:rStyle w:val="a7"/>
        </w:rPr>
        <w:footnoteRef/>
      </w:r>
      <w:r>
        <w:t xml:space="preserve"> </w:t>
      </w:r>
      <w:r>
        <w:rPr>
          <w:b/>
          <w:bCs/>
          <w:rtl/>
        </w:rPr>
        <w:t>כי אחד כו'.</w:t>
      </w:r>
      <w:r>
        <w:rPr>
          <w:rtl/>
        </w:rPr>
        <w:t xml:space="preserve"> דקאי על אברהם ושרה כמו שאומר למעלה ואמר וכמה דקב"ה ושכינתיה כו' כמו שמפרש והולך דתפארת איהו א"ח כו':</w:t>
      </w:r>
    </w:p>
  </w:footnote>
  <w:footnote w:id="4116">
    <w:p w:rsidR="00A13282" w:rsidRDefault="00A13282" w:rsidP="00B17EA9">
      <w:pPr>
        <w:pStyle w:val="a5"/>
      </w:pPr>
      <w:r>
        <w:rPr>
          <w:rStyle w:val="a7"/>
        </w:rPr>
        <w:footnoteRef/>
      </w:r>
      <w:r>
        <w:t xml:space="preserve"> </w:t>
      </w:r>
      <w:r>
        <w:rPr>
          <w:b/>
          <w:bCs/>
          <w:rtl/>
        </w:rPr>
        <w:t>ויברא כו'.</w:t>
      </w:r>
      <w:r>
        <w:rPr>
          <w:rtl/>
        </w:rPr>
        <w:t xml:space="preserve"> כאן פקודא תניינא הנ"ל, וכנגד מה שלא פירש במאמר העשירי פירש כאן ב' פיקודין לאשלמא:</w:t>
      </w:r>
    </w:p>
  </w:footnote>
  <w:footnote w:id="4117">
    <w:p w:rsidR="00A13282" w:rsidRDefault="00A13282" w:rsidP="00B17EA9">
      <w:pPr>
        <w:pStyle w:val="a5"/>
      </w:pPr>
      <w:r>
        <w:rPr>
          <w:rStyle w:val="a7"/>
        </w:rPr>
        <w:footnoteRef/>
      </w:r>
      <w:r>
        <w:t xml:space="preserve"> </w:t>
      </w:r>
      <w:r>
        <w:rPr>
          <w:b/>
          <w:bCs/>
          <w:rtl/>
        </w:rPr>
        <w:t>פקודא דתפילין.</w:t>
      </w:r>
      <w:r>
        <w:rPr>
          <w:rtl/>
        </w:rPr>
        <w:t xml:space="preserve"> דהוא בדכורא וכמו שמפרש והולך על רישא דעמודא דאמצעיתא כו' תפילין דאנח כו':</w:t>
      </w:r>
    </w:p>
  </w:footnote>
  <w:footnote w:id="4118">
    <w:p w:rsidR="00A13282" w:rsidRDefault="00A13282" w:rsidP="00B17EA9">
      <w:pPr>
        <w:pStyle w:val="a5"/>
      </w:pPr>
      <w:r>
        <w:rPr>
          <w:rStyle w:val="a7"/>
        </w:rPr>
        <w:footnoteRef/>
      </w:r>
      <w:r>
        <w:t xml:space="preserve"> </w:t>
      </w:r>
      <w:r>
        <w:rPr>
          <w:b/>
          <w:bCs/>
          <w:rtl/>
        </w:rPr>
        <w:t>לכל חיון דמרכבתא כו'.</w:t>
      </w:r>
      <w:r>
        <w:rPr>
          <w:rtl/>
        </w:rPr>
        <w:t xml:space="preserve"> וחשיב ד' דרגין נגד ד' דאינון בקרא וכבשוה ורדו כו', וכבשוה הוא במלאכין דממנן כו' שהן בזה הארץ בד' סטרין, ורדו כו' הן ג' דרגין דבי"ע כנ"ל והן חיות כו':</w:t>
      </w:r>
    </w:p>
  </w:footnote>
  <w:footnote w:id="4119">
    <w:p w:rsidR="00A13282" w:rsidRDefault="00A13282" w:rsidP="00B17EA9">
      <w:pPr>
        <w:pStyle w:val="a5"/>
      </w:pPr>
      <w:r>
        <w:rPr>
          <w:rStyle w:val="a7"/>
        </w:rPr>
        <w:footnoteRef/>
      </w:r>
      <w:r>
        <w:t xml:space="preserve"> </w:t>
      </w:r>
      <w:r>
        <w:rPr>
          <w:b/>
          <w:bCs/>
          <w:rtl/>
        </w:rPr>
        <w:t>דאיהי קשירא ליה ועלה כו' ביחודא חדא כו'.</w:t>
      </w:r>
      <w:r>
        <w:rPr>
          <w:rtl/>
        </w:rPr>
        <w:t xml:space="preserve"> רוצה לומר דלכן תפלין של יד בקשורא ולא תפלין של ראש, דאינון זו"נ שהן קשורין בברית, כי כל כו', מה שאין כן בתפילין של ראש, שותף השלישי דנחית עלייהו ומיייחדם, ואמר ביחודא חדא רוצה לומר דכאן - יחוד, ולמטה מפרש קדושה וברכה כמו שמפרש והולך רצועה דאיהי טבעת כו', דזרוע הוא דרגיה דדכורא, ותפלין של יד דרגא דנוק', וכאן להיפך דיד דרגא דנוק', יד ה', והרצועה הוא דכורא כידוע וכן טבעת כמו שאומר לקמן תיקון נ”ה חתים בטבעת המלך דאיהו ו', וזהו הקדושין שהיא נושאת חותמו, ותפלין של יד הוא נושא חותמה שימני כחותם כו', וזה שאומר ובה איהי קשירא כו'. ועתה מפרש ברכה. ואמר ברכה. היא שבע ברכאין רוצה לומר ברכת התפילין הוא בצדיק דמברך על שתיהם ברכה אחת כדעת הגאונים והוא כולל שבע ברכות דחתן, והן יב"ק דחתן וכלה:</w:t>
      </w:r>
    </w:p>
  </w:footnote>
  <w:footnote w:id="4120">
    <w:p w:rsidR="00A13282" w:rsidRDefault="00A13282" w:rsidP="00B17EA9">
      <w:pPr>
        <w:pStyle w:val="a5"/>
      </w:pPr>
      <w:r>
        <w:rPr>
          <w:rStyle w:val="a7"/>
        </w:rPr>
        <w:footnoteRef/>
      </w:r>
      <w:r>
        <w:t xml:space="preserve"> </w:t>
      </w:r>
      <w:r>
        <w:rPr>
          <w:b/>
          <w:bCs/>
          <w:rtl/>
        </w:rPr>
        <w:t>דאינון ז' יום השביעי כו'.</w:t>
      </w:r>
      <w:r>
        <w:rPr>
          <w:rtl/>
        </w:rPr>
        <w:t xml:space="preserve"> רוצה לומר אינון ז' ברכות הן אות ז' דהוא צדיק, יום השביעי, והוא בצורת ז' דהוא נהר היוצא מאת יו"ד כמו שאומר לעיל ל"ח א' ואיהו צינור דנפיק ממעינא דמיא דאיהי יו"ד, וזה שאומר ואת י' על רישיה כו', וכן העטרה דעל ראשו הוא יוד, חכמה זעירא, ונעשה צורת ז', וזה שאומר בה אתעביד ז' ועלה אתמר וברכות לראש צדיק, דהוא עטרה, וזה שאומר וברכות לראש כו' ואת י' כו', והוא יום השביעי, וכליל כל ז' ברכות, וכן הוא ברכה דכאן. ואמר דירית מאימא עילאה - דהיא ברכה כמו שאומר לקמן צ"ב ואיהו ברכת ה', ורוצה לומר בזה דהן ו' מאימא עד צדיק, וכן הנהר דאימא ואת י' על רישיה דחכמה שעל הבינה, וכן הוא בצדיק דכולל ו' הנ"ל, ועטרה חכמה זעירא כוללת השביעי דחכמה עלאה, ואמר דירית חתן וכלה כו' דביה מתייחדין כו' דלית יחודא כו'. מביא ראיה דכל ז' ברכאן הם בצדיק מדקאי כל השבע על שניהם חתן וכלה, דעל שניהם הוא מברך ואין דבר שכולל שניהם כי אם הצדיק כמו שאומר דלית כו' ואומר כי כל כו', וקורא כל דכלילין ביה כלהו, וכן הוא בברכות התפלין דכולל שניהם ירית מאימא דלכן ברכה אחת על שניהם, ואמר דאיהו יאהדונה"י - דשם זה ידוע שהוא בו, והוא ראיה דביה מתייחדין, והנה יב"ק - הכל ביה, יחודא וברכה וכן קידושין דהוא טבעת המלך, וזהו הקידושין, שנותן בריתו וחותמו לה, והוא סימן אות ברית העטרה, וכן רוחא דשדי בגוה - משם כמו שאומר לעיל בריש תיקון מ’ והוא יחודא, וכן הברכה כנ"ל:</w:t>
      </w:r>
    </w:p>
  </w:footnote>
  <w:footnote w:id="4121">
    <w:p w:rsidR="00A13282" w:rsidRDefault="00A13282" w:rsidP="00B17EA9">
      <w:pPr>
        <w:pStyle w:val="a5"/>
      </w:pPr>
      <w:r>
        <w:rPr>
          <w:rStyle w:val="a7"/>
        </w:rPr>
        <w:footnoteRef/>
      </w:r>
      <w:r>
        <w:t xml:space="preserve"> </w:t>
      </w:r>
      <w:r>
        <w:rPr>
          <w:b/>
          <w:bCs/>
          <w:rtl/>
        </w:rPr>
        <w:t>ויכלו השמים כו'.</w:t>
      </w:r>
      <w:r>
        <w:rPr>
          <w:rtl/>
        </w:rPr>
        <w:t xml:space="preserve"> עתה מפרש שאר הפרשה, ובתיקון מ”ח מרמזו בבראשית כו', וכן עד סוף ספר הראשון בע' תיקונים וכמו שכתבתי לעיל בריש תיקון ל"ב:</w:t>
      </w:r>
    </w:p>
  </w:footnote>
  <w:footnote w:id="4122">
    <w:p w:rsidR="00A13282" w:rsidRDefault="00A13282" w:rsidP="00B17EA9">
      <w:pPr>
        <w:pStyle w:val="a5"/>
      </w:pPr>
      <w:r>
        <w:rPr>
          <w:rStyle w:val="a7"/>
        </w:rPr>
        <w:footnoteRef/>
      </w:r>
      <w:r>
        <w:t xml:space="preserve"> </w:t>
      </w:r>
      <w:r>
        <w:rPr>
          <w:b/>
          <w:bCs/>
          <w:rtl/>
        </w:rPr>
        <w:t>למעבד כל פיקודין כו'.</w:t>
      </w:r>
      <w:r>
        <w:rPr>
          <w:rtl/>
        </w:rPr>
        <w:t xml:space="preserve"> וכמו שאומר לעיל ריש תיקון ל”ט דאינון פטר כל רחם כו'. וכמו שהוא ביצירה כלל כל האברים (כמו שאומר לעיל ל"ח א' ואיהו ברית דכלילין ביה כל אברים דגופא) כן הוא במצות, מצות מילה כלל כל המצות, ולכן נקרא ברית שכולל תרי"ב מצות:</w:t>
      </w:r>
    </w:p>
  </w:footnote>
  <w:footnote w:id="4123">
    <w:p w:rsidR="00A13282" w:rsidRDefault="00A13282" w:rsidP="00B17EA9">
      <w:pPr>
        <w:pStyle w:val="a5"/>
      </w:pPr>
      <w:r>
        <w:rPr>
          <w:rStyle w:val="a7"/>
        </w:rPr>
        <w:footnoteRef/>
      </w:r>
      <w:r>
        <w:t xml:space="preserve"> </w:t>
      </w:r>
      <w:r>
        <w:rPr>
          <w:b/>
          <w:bCs/>
          <w:rtl/>
        </w:rPr>
        <w:t>דאיהו כו' ואיהו כו' ומיניה כו'.</w:t>
      </w:r>
      <w:r>
        <w:rPr>
          <w:rtl/>
        </w:rPr>
        <w:t xml:space="preserve"> דצדיק עיקרו על שם הנהר כמו שכתבתי לעיל, והנה הנהר הוא בג' מקומות, בדעת - מיניה תלוי כלא כמו שאומר לעיל ל"ח א' שית צינורין אינון דתליין מיניה כו'. ובו' - הוא כלא. וביסוד - הוא כליל כולא, וזה שאומר וביה אתעבידו כלל כו':</w:t>
      </w:r>
    </w:p>
  </w:footnote>
  <w:footnote w:id="4124">
    <w:p w:rsidR="00A13282" w:rsidRDefault="00A13282" w:rsidP="00B17EA9">
      <w:pPr>
        <w:pStyle w:val="a5"/>
      </w:pPr>
      <w:r>
        <w:rPr>
          <w:rStyle w:val="a7"/>
        </w:rPr>
        <w:footnoteRef/>
      </w:r>
      <w:r>
        <w:t xml:space="preserve"> </w:t>
      </w:r>
      <w:r>
        <w:rPr>
          <w:b/>
          <w:bCs/>
          <w:rtl/>
        </w:rPr>
        <w:t>עמודא כו' ובג"ד ויכלו כו'.</w:t>
      </w:r>
      <w:r>
        <w:rPr>
          <w:rtl/>
        </w:rPr>
        <w:t xml:space="preserve"> רוצה לומר, דכתיב ויכלו לשון כולל השמים והארץ דכתיב בתריה:</w:t>
      </w:r>
    </w:p>
  </w:footnote>
  <w:footnote w:id="4125">
    <w:p w:rsidR="00A13282" w:rsidRDefault="00A13282" w:rsidP="00B17EA9">
      <w:pPr>
        <w:pStyle w:val="a5"/>
      </w:pPr>
      <w:r>
        <w:rPr>
          <w:rStyle w:val="a7"/>
        </w:rPr>
        <w:footnoteRef/>
      </w:r>
      <w:r>
        <w:t xml:space="preserve"> </w:t>
      </w:r>
      <w:r>
        <w:rPr>
          <w:b/>
          <w:bCs/>
          <w:rtl/>
        </w:rPr>
        <w:t>שמים אש כו'.</w:t>
      </w:r>
      <w:r>
        <w:rPr>
          <w:rtl/>
        </w:rPr>
        <w:t xml:space="preserve"> עתה מפרש כל ז’ ספירות דבפרשה, שמים - חג"ת, וכל צבאם - נ"ה, והארץ, ויכלו - כוללם, וזה שאומר בגין דאיהו כליל שבע כו':</w:t>
      </w:r>
    </w:p>
  </w:footnote>
  <w:footnote w:id="4126">
    <w:p w:rsidR="00A13282" w:rsidRDefault="00A13282" w:rsidP="00B17EA9">
      <w:pPr>
        <w:pStyle w:val="a5"/>
      </w:pPr>
      <w:r>
        <w:rPr>
          <w:rStyle w:val="a7"/>
        </w:rPr>
        <w:footnoteRef/>
      </w:r>
      <w:r>
        <w:t xml:space="preserve"> </w:t>
      </w:r>
      <w:r>
        <w:rPr>
          <w:b/>
          <w:bCs/>
          <w:rtl/>
        </w:rPr>
        <w:t>דאינון צבא השמים והארץ.</w:t>
      </w:r>
      <w:r>
        <w:rPr>
          <w:rtl/>
        </w:rPr>
        <w:t xml:space="preserve"> דצבאם קאי על שניהם והן נ"ה כידוע דשני צבאות, ועיין מה שכתבתי לעיל בתיקון כ”ב:</w:t>
      </w:r>
    </w:p>
  </w:footnote>
  <w:footnote w:id="4127">
    <w:p w:rsidR="00A13282" w:rsidRDefault="00A13282" w:rsidP="00B17EA9">
      <w:pPr>
        <w:pStyle w:val="a5"/>
      </w:pPr>
      <w:r>
        <w:rPr>
          <w:rStyle w:val="a7"/>
        </w:rPr>
        <w:footnoteRef/>
      </w:r>
      <w:r>
        <w:t xml:space="preserve"> </w:t>
      </w:r>
      <w:r>
        <w:rPr>
          <w:b/>
          <w:bCs/>
          <w:rtl/>
        </w:rPr>
        <w:t>בגין דאיהו כליל כו' הה"ד לך כו'.</w:t>
      </w:r>
      <w:r>
        <w:rPr>
          <w:rtl/>
        </w:rPr>
        <w:t xml:space="preserve"> רוצה לומר דכתיב שם כי כל כו', אלמא דכולל כולם, וכן כתיב כל בשמים ובארץ וכן כאן ויכלו השמים והארץ - דכוללם:</w:t>
      </w:r>
    </w:p>
  </w:footnote>
  <w:footnote w:id="4128">
    <w:p w:rsidR="00A13282" w:rsidRDefault="00A13282" w:rsidP="00B17EA9">
      <w:pPr>
        <w:pStyle w:val="a5"/>
      </w:pPr>
      <w:r>
        <w:rPr>
          <w:rStyle w:val="a7"/>
        </w:rPr>
        <w:footnoteRef/>
      </w:r>
      <w:r>
        <w:t xml:space="preserve"> </w:t>
      </w:r>
      <w:r>
        <w:rPr>
          <w:b/>
          <w:bCs/>
          <w:rtl/>
        </w:rPr>
        <w:t>וסלקין לשבעין.</w:t>
      </w:r>
      <w:r>
        <w:rPr>
          <w:rtl/>
        </w:rPr>
        <w:t xml:space="preserve"> עיין מה שכתבתי למטה האיך הן שבעין:</w:t>
      </w:r>
    </w:p>
  </w:footnote>
  <w:footnote w:id="4129">
    <w:p w:rsidR="00A13282" w:rsidRDefault="00A13282" w:rsidP="00B17EA9">
      <w:pPr>
        <w:pStyle w:val="a5"/>
      </w:pPr>
      <w:r>
        <w:rPr>
          <w:rStyle w:val="a7"/>
        </w:rPr>
        <w:footnoteRef/>
      </w:r>
      <w:r>
        <w:t xml:space="preserve"> </w:t>
      </w:r>
      <w:r>
        <w:rPr>
          <w:b/>
          <w:bCs/>
          <w:rtl/>
        </w:rPr>
        <w:t>בתר דכליל כו' שבע שבתות.</w:t>
      </w:r>
      <w:r>
        <w:rPr>
          <w:rtl/>
        </w:rPr>
        <w:t xml:space="preserve"> רוצה לומר דעל שמיה נקראו ז’ ספירות שבע שבתות בתורה, ואמר זה לפרש ג' שביעי - בג"ר, דגם כן נקראים על שמו כמו שמפרש והולך:</w:t>
      </w:r>
    </w:p>
  </w:footnote>
  <w:footnote w:id="4130">
    <w:p w:rsidR="00A13282" w:rsidRDefault="00A13282" w:rsidP="00B17EA9">
      <w:pPr>
        <w:pStyle w:val="a5"/>
        <w:rPr>
          <w:rtl/>
        </w:rPr>
      </w:pPr>
      <w:r>
        <w:rPr>
          <w:rStyle w:val="a7"/>
        </w:rPr>
        <w:footnoteRef/>
      </w:r>
      <w:r>
        <w:t xml:space="preserve"> </w:t>
      </w:r>
      <w:r>
        <w:rPr>
          <w:b/>
          <w:bCs/>
          <w:rtl/>
        </w:rPr>
        <w:t>דלית ספי' כו' אבל ממשלה כו'.</w:t>
      </w:r>
      <w:r>
        <w:rPr>
          <w:rtl/>
        </w:rPr>
        <w:t xml:space="preserve"> רוצה לומר דזהו שבעין תיבין דקידוש וויכלו, דהוא כולל כל ז’ ספירות, דכל ספירה כולל עשר, וזכור ושמור דקידוש וויכלו - הן ב' דזו"נ זכור ושמור, וכן שבעין תיבין בז’ ספירות בשמים וארץ, ועיין מה שכתבתי למעלה:</w:t>
      </w:r>
    </w:p>
    <w:p w:rsidR="00A13282" w:rsidRDefault="00A13282" w:rsidP="00B17EA9">
      <w:pPr>
        <w:pStyle w:val="a5"/>
      </w:pPr>
    </w:p>
  </w:footnote>
  <w:footnote w:id="4131">
    <w:p w:rsidR="00A13282" w:rsidRDefault="00A13282" w:rsidP="00B17EA9">
      <w:pPr>
        <w:pStyle w:val="a5"/>
      </w:pPr>
      <w:r>
        <w:rPr>
          <w:rStyle w:val="a7"/>
        </w:rPr>
        <w:footnoteRef/>
      </w:r>
      <w:r>
        <w:t xml:space="preserve"> </w:t>
      </w:r>
      <w:r>
        <w:rPr>
          <w:rtl/>
        </w:rPr>
        <w:t xml:space="preserve"> </w:t>
      </w:r>
      <w:r>
        <w:rPr>
          <w:b/>
          <w:bCs/>
          <w:rtl/>
        </w:rPr>
        <w:t>בראשית כו' תמן שבת ואינון תרי שבתות.</w:t>
      </w:r>
      <w:r>
        <w:rPr>
          <w:rtl/>
        </w:rPr>
        <w:t xml:space="preserve"> רוצה לומר, תרי שבת רומז על תרין שבתות, ורוצה לומר דאלו ב', תרי ושבת, הן דבר אחד, שרומזין על ב' שבתות וכמו שמפרש והולך:</w:t>
      </w:r>
    </w:p>
  </w:footnote>
  <w:footnote w:id="4132">
    <w:p w:rsidR="00A13282" w:rsidRDefault="00A13282" w:rsidP="00B17EA9">
      <w:pPr>
        <w:pStyle w:val="a5"/>
      </w:pPr>
      <w:r>
        <w:rPr>
          <w:rStyle w:val="a7"/>
        </w:rPr>
        <w:footnoteRef/>
      </w:r>
      <w:r>
        <w:t xml:space="preserve"> </w:t>
      </w:r>
      <w:r>
        <w:rPr>
          <w:b/>
          <w:bCs/>
          <w:rtl/>
        </w:rPr>
        <w:t>בתרי בתי לבא ואתפני כו'.</w:t>
      </w:r>
      <w:r>
        <w:rPr>
          <w:rtl/>
        </w:rPr>
        <w:t xml:space="preserve"> (א"ה, בדפוס הישן, ההגהה שבתחתית הדף סותרת את ההגהה שבפנים). עיין לעיל ס"ב א' ואינון ה' עילאה ה' תתאה בתרי בתי לבא כו':</w:t>
      </w:r>
    </w:p>
  </w:footnote>
  <w:footnote w:id="4133">
    <w:p w:rsidR="00A13282" w:rsidRDefault="00A13282" w:rsidP="00B17EA9">
      <w:pPr>
        <w:pStyle w:val="a5"/>
      </w:pPr>
      <w:r>
        <w:rPr>
          <w:rStyle w:val="a7"/>
        </w:rPr>
        <w:footnoteRef/>
      </w:r>
      <w:r>
        <w:t xml:space="preserve"> </w:t>
      </w:r>
      <w:r>
        <w:rPr>
          <w:b/>
          <w:bCs/>
          <w:rtl/>
        </w:rPr>
        <w:t>דאיהו חלול שבת.</w:t>
      </w:r>
      <w:r>
        <w:rPr>
          <w:rtl/>
        </w:rPr>
        <w:t xml:space="preserve"> עיין לעיל ריש תיקון כ”ד דאיהי חללה זונה ובעלה כו', ובתיקון ל”ו למאן דעאל נוכראה בחלל דילה דאיהו רשות הרבים יין נסך כו', ובתיקון כ”ט מעין חתום כו' קנקן דהאי יין דא לבא דבר נש, אם הוא קנקנא חדתא ואתנסיך ביצרא בישא כו':</w:t>
      </w:r>
    </w:p>
  </w:footnote>
  <w:footnote w:id="4134">
    <w:p w:rsidR="00A13282" w:rsidRDefault="00A13282" w:rsidP="00B17EA9">
      <w:pPr>
        <w:pStyle w:val="a5"/>
      </w:pPr>
      <w:r>
        <w:rPr>
          <w:rStyle w:val="a7"/>
        </w:rPr>
        <w:footnoteRef/>
      </w:r>
      <w:r>
        <w:t xml:space="preserve"> </w:t>
      </w:r>
      <w:r>
        <w:rPr>
          <w:b/>
          <w:bCs/>
          <w:rtl/>
        </w:rPr>
        <w:t>ברית עולם כו'.</w:t>
      </w:r>
      <w:r>
        <w:rPr>
          <w:rtl/>
        </w:rPr>
        <w:t xml:space="preserve"> כמו שאמרו דאקרי חי וקיים בתרין עלמין:</w:t>
      </w:r>
    </w:p>
  </w:footnote>
  <w:footnote w:id="4135">
    <w:p w:rsidR="00A13282" w:rsidRDefault="00A13282" w:rsidP="00B17EA9">
      <w:pPr>
        <w:pStyle w:val="a5"/>
      </w:pPr>
      <w:r>
        <w:rPr>
          <w:rStyle w:val="a7"/>
        </w:rPr>
        <w:footnoteRef/>
      </w:r>
      <w:r>
        <w:t xml:space="preserve"> </w:t>
      </w:r>
      <w:r>
        <w:rPr>
          <w:b/>
          <w:bCs/>
          <w:rtl/>
        </w:rPr>
        <w:t>אינון תרין כליין כו'.</w:t>
      </w:r>
      <w:r>
        <w:rPr>
          <w:rtl/>
        </w:rPr>
        <w:t xml:space="preserve"> אמר תרין כליין - דיהון תרוייהו דכיין, (ברכות סא ע"א) דכליות יועצות האחת כו':</w:t>
      </w:r>
    </w:p>
  </w:footnote>
  <w:footnote w:id="4136">
    <w:p w:rsidR="00A13282" w:rsidRDefault="00A13282" w:rsidP="00B17EA9">
      <w:pPr>
        <w:pStyle w:val="a5"/>
      </w:pPr>
      <w:r>
        <w:rPr>
          <w:rStyle w:val="a7"/>
        </w:rPr>
        <w:footnoteRef/>
      </w:r>
      <w:r>
        <w:t xml:space="preserve"> </w:t>
      </w:r>
      <w:r>
        <w:rPr>
          <w:b/>
          <w:bCs/>
          <w:rtl/>
        </w:rPr>
        <w:t>דישראל סבא וביום השביעי דא עד"א כליל תלת אבהן תלת שביעי שביעי שביעי עונג שבת כו'.</w:t>
      </w:r>
      <w:r>
        <w:rPr>
          <w:rtl/>
        </w:rPr>
        <w:t xml:space="preserve"> רוצה לומר (שמות לא יז) וביום השביעי שבת, ביום השביעי רומז על תלת יום השביעי דויכלו דהן תלת אבהן כמו שאומר לעיל ס"ו א' וביה אתקרי תלת אבהן שביעיות כו', ואף דקאמר בתיקון מ”ז על ג"ר. ואח"ז מפרש והולך שאר עניני שבת, ענג שבת ונהר כו', דראשי תיבות ענג, וכל הענג שם הוא:</w:t>
      </w:r>
    </w:p>
  </w:footnote>
  <w:footnote w:id="4137">
    <w:p w:rsidR="00A13282" w:rsidRDefault="00A13282" w:rsidP="00B17EA9">
      <w:pPr>
        <w:pStyle w:val="a5"/>
      </w:pPr>
      <w:r>
        <w:rPr>
          <w:rStyle w:val="a7"/>
        </w:rPr>
        <w:footnoteRef/>
      </w:r>
      <w:r>
        <w:t xml:space="preserve"> </w:t>
      </w:r>
      <w:r>
        <w:rPr>
          <w:b/>
          <w:bCs/>
          <w:rtl/>
        </w:rPr>
        <w:t>אית נהר כו'.</w:t>
      </w:r>
      <w:r>
        <w:rPr>
          <w:rtl/>
        </w:rPr>
        <w:t xml:space="preserve"> דהוא מחסד, ואית נהר כו' דהוא מאו"א, כמו שאומר לקמן תיקון נ”ה עיין שם, והוא ב' דעות, דעת עלאה בין או"א, ודעת המתפשט בו"ק מחסד, וזה שאומר כאן אלו ב' נהרות ולקמן בתיקון נ”ה אמר כמה נהרות ע"ש בכל ספי' ואמר דהאי נהר דכאן הוא דעת עליון:</w:t>
      </w:r>
    </w:p>
  </w:footnote>
  <w:footnote w:id="4138">
    <w:p w:rsidR="00A13282" w:rsidRDefault="00A13282" w:rsidP="00B17EA9">
      <w:pPr>
        <w:pStyle w:val="a5"/>
      </w:pPr>
      <w:r>
        <w:rPr>
          <w:rStyle w:val="a7"/>
        </w:rPr>
        <w:footnoteRef/>
      </w:r>
      <w:r>
        <w:t xml:space="preserve"> </w:t>
      </w:r>
      <w:r>
        <w:rPr>
          <w:b/>
          <w:bCs/>
          <w:rtl/>
        </w:rPr>
        <w:t>האי נהר כו' דאיהו א'.</w:t>
      </w:r>
      <w:r>
        <w:rPr>
          <w:rtl/>
        </w:rPr>
        <w:t xml:space="preserve"> כתר כידוע, וכמו שאומר לעיל תיקון מ”ב ורוצה לומר דעם האל"ף נעשה ז' וזה שאומר ומטי עד צדיק שביעי דנקרא על שם הנהר, וזהו וא"ו מלא דשם ו' נהר ויוצא מא' ובא עד ו' תניינא צדיק, ואלו ב' ווין הם ב' נהרות אלו ו' ראשון דעת עליון ו' השני דעת המתפשט עד צדיק:</w:t>
      </w:r>
    </w:p>
  </w:footnote>
  <w:footnote w:id="4139">
    <w:p w:rsidR="00A13282" w:rsidRDefault="00A13282" w:rsidP="00B17EA9">
      <w:pPr>
        <w:pStyle w:val="a5"/>
      </w:pPr>
      <w:r>
        <w:rPr>
          <w:rStyle w:val="a7"/>
        </w:rPr>
        <w:footnoteRef/>
      </w:r>
      <w:r>
        <w:t xml:space="preserve"> </w:t>
      </w:r>
      <w:r>
        <w:rPr>
          <w:b/>
          <w:bCs/>
          <w:rtl/>
        </w:rPr>
        <w:t>עציבו דטחול וכעס דמרה.</w:t>
      </w:r>
      <w:r>
        <w:rPr>
          <w:rtl/>
        </w:rPr>
        <w:t xml:space="preserve"> ענ"ג דאתהפיכו לנגע, וכבד הוא דרגא דאמצעיתא, ומרה וטחול הן ב' נוקבין נגד ה' עילאה ותתאה וכמו שאומר לעיל בתיקון י”ח וחריבו ביתו בית ראשון ובית שני ובג"ד וחפרה הלבנה דאיהי נחש אשת זנונים ובושה החמה דאיהי גיהנם כו' ובההוא זמנא דיתבני בניינא ע"י דקב"ה לעילא ותתא אתמר בשכינתא עילאה ותתאה והיה אור הלבנה כאור החמה וחפרה הלבנה ובושה החמה דאינון נוקבין דס"ם כו', ודירה דשבת בתרי בתי לבא, בית ראשון ושני, ה' עילאה ותתאה כנ"ל וכמו שאומר לעיל ס"ב א' ועיין לעיל מ"ג א' מרה סם המות דיליה טחול נחש נוק' דיליה ושם מ"ד ב' מרה איהי גיהנם כו' יותרת דיליה איהי נחש אשת זנונים בגין דשיורין דיליה נטלא טחול כו' ועיין בזהר פרשת פנחס וברעיא מהימנא שם בארוכה:</w:t>
      </w:r>
    </w:p>
  </w:footnote>
  <w:footnote w:id="4140">
    <w:p w:rsidR="00A13282" w:rsidRDefault="00A13282" w:rsidP="00B17EA9">
      <w:pPr>
        <w:pStyle w:val="a5"/>
      </w:pPr>
      <w:r>
        <w:rPr>
          <w:rStyle w:val="a7"/>
        </w:rPr>
        <w:footnoteRef/>
      </w:r>
      <w:r>
        <w:t xml:space="preserve"> </w:t>
      </w:r>
      <w:r>
        <w:rPr>
          <w:b/>
          <w:bCs/>
          <w:rtl/>
        </w:rPr>
        <w:t>בכל מושבותיכם.</w:t>
      </w:r>
      <w:r>
        <w:rPr>
          <w:rtl/>
        </w:rPr>
        <w:t xml:space="preserve"> דאיהו ב' בתי לבא:</w:t>
      </w:r>
    </w:p>
  </w:footnote>
  <w:footnote w:id="4141">
    <w:p w:rsidR="00A13282" w:rsidRDefault="00A13282" w:rsidP="00B17EA9">
      <w:pPr>
        <w:pStyle w:val="a5"/>
      </w:pPr>
      <w:r>
        <w:rPr>
          <w:rStyle w:val="a7"/>
        </w:rPr>
        <w:footnoteRef/>
      </w:r>
      <w:r>
        <w:t xml:space="preserve"> </w:t>
      </w:r>
      <w:r>
        <w:rPr>
          <w:b/>
          <w:bCs/>
          <w:rtl/>
        </w:rPr>
        <w:t>דכל מאן דכעיס כו'.</w:t>
      </w:r>
      <w:r>
        <w:rPr>
          <w:rtl/>
        </w:rPr>
        <w:t xml:space="preserve"> עיין ברעיא מהימנא פנחס רל"ד ב' כעיס עליה במרה דאיהי גיהנם איהי דאתבריאת ביומא תניינא, מותא דרברבי ואיהי נוק' בישא אש זרה עבודה זרה קרינן לה, ובגין דמינה אתער כעס לכבד אוקמוהו רבנן במתניתין כל הכועס כאלו עובד ע"ג, ולא עוד אלא דלית שרפה בכל מרעין דאברין דגופא אלא ממרה דאיהי אדליקת בשלהובין כו', וכן אמר למעלה מ"ה א' שרף איהו מרה, קטרוגא דריאה, בגין דמרה איהי שרפת כל גופא, וזהו אש בכל מושבותיכם - גיהנם בגוף, ומרה וטחול הן ב' נוקבין - אש התאוה דגם כן אש זרה, ואש הכעס:</w:t>
      </w:r>
    </w:p>
  </w:footnote>
  <w:footnote w:id="4142">
    <w:p w:rsidR="00A13282" w:rsidRDefault="00A13282" w:rsidP="00B17EA9">
      <w:pPr>
        <w:pStyle w:val="a5"/>
      </w:pPr>
      <w:r>
        <w:rPr>
          <w:rStyle w:val="a7"/>
        </w:rPr>
        <w:footnoteRef/>
      </w:r>
      <w:r>
        <w:t xml:space="preserve"> </w:t>
      </w:r>
      <w:r>
        <w:rPr>
          <w:b/>
          <w:bCs/>
          <w:rtl/>
        </w:rPr>
        <w:t>יציאות השבת כו'.</w:t>
      </w:r>
      <w:r>
        <w:rPr>
          <w:rtl/>
        </w:rPr>
        <w:t xml:space="preserve"> ועוד שהן ארבע בכבד ויותרת:</w:t>
      </w:r>
    </w:p>
  </w:footnote>
  <w:footnote w:id="4143">
    <w:p w:rsidR="00A13282" w:rsidRDefault="00A13282" w:rsidP="00B17EA9">
      <w:pPr>
        <w:pStyle w:val="a5"/>
      </w:pPr>
      <w:r>
        <w:rPr>
          <w:rStyle w:val="a7"/>
        </w:rPr>
        <w:footnoteRef/>
      </w:r>
      <w:r>
        <w:t xml:space="preserve"> </w:t>
      </w:r>
      <w:r>
        <w:rPr>
          <w:b/>
          <w:bCs/>
          <w:rtl/>
        </w:rPr>
        <w:t>דאיהי מרה וטחול דאינון ר"ה.</w:t>
      </w:r>
      <w:r>
        <w:rPr>
          <w:rtl/>
        </w:rPr>
        <w:t xml:space="preserve"> כמו שאומר לעיל ריש תיקון כ”ד ואינון שתים, מרה"י לרה"ר - והוא טחול, אשת זנונים דמפתי ללבא, ומרה הוא מרה"ר לרה"י דזריקת טפה דכעס על לבא, ועיין ברעיא מהימנא רל"ב א' רוגזא דמרה דאתגברת על לבא כו' ושאר מקומות הרבה:</w:t>
      </w:r>
    </w:p>
  </w:footnote>
  <w:footnote w:id="4144">
    <w:p w:rsidR="00A13282" w:rsidRDefault="00A13282" w:rsidP="00B17EA9">
      <w:pPr>
        <w:pStyle w:val="a5"/>
      </w:pPr>
      <w:r>
        <w:rPr>
          <w:rStyle w:val="a7"/>
        </w:rPr>
        <w:footnoteRef/>
      </w:r>
      <w:r>
        <w:t xml:space="preserve"> </w:t>
      </w:r>
      <w:r>
        <w:rPr>
          <w:b/>
          <w:bCs/>
          <w:rtl/>
        </w:rPr>
        <w:t>שבתאי עלי' אתמר והבור כו'.</w:t>
      </w:r>
      <w:r>
        <w:rPr>
          <w:rtl/>
        </w:rPr>
        <w:t xml:space="preserve"> היכלא קדמאה דס"א ועיין בזהר פרשת פקודי רס"ג א', והיא נגד נוק' דקדושה דלית לה מגרמה כו' אבל מכל מקום מליא מכל נהורין דעלמא, והאי איהי מליא מנחשים ועקרבים ואמר </w:t>
      </w:r>
      <w:r>
        <w:rPr>
          <w:b/>
          <w:bCs/>
          <w:rtl/>
        </w:rPr>
        <w:t>ואיהי רעב כו'.</w:t>
      </w:r>
      <w:r>
        <w:rPr>
          <w:rtl/>
        </w:rPr>
        <w:t xml:space="preserve"> חשיב ששה דברים, דבעץ הדעת טוב ורע - ג' לימינא, טוב כשר כו', וג' לשמאלא, רע, וכאן - הוא כולו רע, וכמו שאמרו (ברכות סא ע"ב) רשעים יצר הרע שופטן, וכמו שאמרו (שבת קד ע"א) בסוד ח"ק ט"ר י"ש, ואיהי שביעי להיכלין כוללת כולם נגד בת שבע ולכן חשיב כאן ששה דברים דבעלה והשביעי דידה, ואיהי דבור דחול כו' נגד דבור דנוק', וחשיב ג' נגד ג' רעב וצמאון וכנ"ל:</w:t>
      </w:r>
    </w:p>
  </w:footnote>
  <w:footnote w:id="4145">
    <w:p w:rsidR="00A13282" w:rsidRDefault="00A13282" w:rsidP="00B17EA9">
      <w:pPr>
        <w:pStyle w:val="a5"/>
      </w:pPr>
      <w:r>
        <w:rPr>
          <w:rStyle w:val="a7"/>
        </w:rPr>
        <w:footnoteRef/>
      </w:r>
      <w:r>
        <w:t xml:space="preserve"> </w:t>
      </w:r>
      <w:r>
        <w:rPr>
          <w:b/>
          <w:bCs/>
          <w:rtl/>
        </w:rPr>
        <w:t>כגוונא דשפחה כו'.</w:t>
      </w:r>
      <w:r>
        <w:rPr>
          <w:rtl/>
        </w:rPr>
        <w:t xml:space="preserve"> דאיהי שפחה כמו שאומר לעיל מ"ג ב' שחרחורת כו' בגלותא דאיהי שפחה כי תירש גברתה ובההוא זמנא טחול שוחק ולזמנא דייתי משיחא לנטלא נוקמא מטחול דאיהי שפחה - יושב בשמים ישחק כו' וכן ברעיא מהימנא פ' פנחס עיין שם:</w:t>
      </w:r>
    </w:p>
  </w:footnote>
  <w:footnote w:id="4146">
    <w:p w:rsidR="00A13282" w:rsidRDefault="00A13282" w:rsidP="00B17EA9">
      <w:pPr>
        <w:pStyle w:val="a5"/>
      </w:pPr>
      <w:r>
        <w:rPr>
          <w:rStyle w:val="a7"/>
        </w:rPr>
        <w:footnoteRef/>
      </w:r>
      <w:r>
        <w:t xml:space="preserve"> </w:t>
      </w:r>
      <w:r>
        <w:rPr>
          <w:b/>
          <w:bCs/>
          <w:rtl/>
        </w:rPr>
        <w:t>נעל מטונף כו'.</w:t>
      </w:r>
      <w:r>
        <w:rPr>
          <w:rtl/>
        </w:rPr>
        <w:t xml:space="preserve"> הוא נפשא דשמרים דמלביש לנפשא דקדושה, דעלה אתמר אלביש שמים קדרות כו', אל תראוני שאני שחרחורת כו'. וכמו שאומר שם ושם, ועיין בזהר חדש נ"ט א' וכדוגמא דברא רוחא ונפשא דקדושה כך ברא רוחא ונפשא דשמאלא וכדוגמא דהוא היין בשמריו כך הוא כו', וזהו הגלותא ועכירו דלבא, כשהשמרים עולין למעלה ומעכירין את היין, וכמו שאומר להלן קנקן דא איהו לבא דבר נש כו' ובשבת צריך למפשט ההוא לבושא, וכן למעלה, בגלותא אלביש שמים ובשבת פשטתי כו' ולביש לבושין דכורסייא ועיין לעיל ג' ב' ובאלין לבושין לא אתלבש עד כען מיומא דאתחרב בי מקדשא דהא כתיב אלביש שמים קדרות, ושכינתא איתמר בה אל תראוני שאני שחרחורת בגין דאיהי בגלותא כו', ביומי דשבתות וימים טובים כו', ואף בגלותא כמו שאמרו בכמה מקומות, וההוא נוק' טחול הוא דטפה סרוחה, דהוא מתאוה דבר נש, וממנה מסרחת הטפה, והוא יצר הרע דעלה אתמר הן בעוון חוללתי ובחטא כו' ועיין לעיל מ"ה ב' אסתכל דשפחה בישא שלטא עליך דאיהי טפה סרוחה כו' דכל חובין אינון מאברים דטפה סרוחה דבגינה אתמר לגבי חייביא דע מאין באת מטפה סרוחה כו':</w:t>
      </w:r>
    </w:p>
  </w:footnote>
  <w:footnote w:id="4147">
    <w:p w:rsidR="00A13282" w:rsidRDefault="00A13282" w:rsidP="00B17EA9">
      <w:pPr>
        <w:pStyle w:val="a5"/>
      </w:pPr>
      <w:r>
        <w:rPr>
          <w:rStyle w:val="a7"/>
        </w:rPr>
        <w:footnoteRef/>
      </w:r>
      <w:r>
        <w:t xml:space="preserve"> </w:t>
      </w:r>
      <w:r>
        <w:rPr>
          <w:b/>
          <w:bCs/>
          <w:rtl/>
        </w:rPr>
        <w:t>ועליה אמרה כו' את כתנתי.</w:t>
      </w:r>
      <w:r>
        <w:rPr>
          <w:rtl/>
        </w:rPr>
        <w:t xml:space="preserve"> הוא לבושא דחול דטפה סרוחה וזה שאומר ובג"ד צריך ב"נ כו' וצריך למהוי כו' יתירה ח"ו:</w:t>
      </w:r>
    </w:p>
  </w:footnote>
  <w:footnote w:id="4148">
    <w:p w:rsidR="00A13282" w:rsidRDefault="00A13282" w:rsidP="00B17EA9">
      <w:pPr>
        <w:pStyle w:val="a5"/>
      </w:pPr>
      <w:r>
        <w:rPr>
          <w:rStyle w:val="a7"/>
        </w:rPr>
        <w:footnoteRef/>
      </w:r>
      <w:r>
        <w:t xml:space="preserve"> </w:t>
      </w:r>
      <w:r>
        <w:rPr>
          <w:b/>
          <w:bCs/>
          <w:rtl/>
        </w:rPr>
        <w:t>ואינון עשרה דלקה כו'.</w:t>
      </w:r>
      <w:r>
        <w:rPr>
          <w:rtl/>
        </w:rPr>
        <w:t xml:space="preserve"> וכלהו חשיב לון בפרקי דר’ אליעזר פרק י"ד, לבד מארעא דחשיב לון שם בעשרה דאדם, ובפרק ב' דעירובין קאמר דחוה בענין אחר, ואינון נגד ד' מילואין, דאדם וחוה באו"א כידוע, ונחש היה בקדושה נגד ז"א, וכן הוא עכשיו בס"א, רוח בשמאלא ואדמה בנוק' והיא לילית דפתי לאדם, ארעא דאתלטיא, ועלה אמר בריש ספרא דצניעותא ומההיא דאתלטיא נפקת ונחש פתי לאשה, ולכן אמר השם יתברך ואיבה אשית בינך ובין כו', והאדמה נתקללה עם האדם דפתי לאדם, והיא ארץ דע' אומין פלחי כוכביא, רשות הרבים, ועלה אתמר והארץ כבגד תבלה, ויתבטלון בטל של קדושה, כי טל אורות כו', וכן ההיא טפה סרוחה מתבלה בקבר מגופא - ויתסחי בטלא:</w:t>
      </w:r>
    </w:p>
  </w:footnote>
  <w:footnote w:id="4149">
    <w:p w:rsidR="00A13282" w:rsidRDefault="00A13282" w:rsidP="00B17EA9">
      <w:pPr>
        <w:pStyle w:val="a5"/>
      </w:pPr>
      <w:r>
        <w:rPr>
          <w:rStyle w:val="a7"/>
        </w:rPr>
        <w:footnoteRef/>
      </w:r>
      <w:r>
        <w:t xml:space="preserve"> </w:t>
      </w:r>
      <w:r>
        <w:rPr>
          <w:b/>
          <w:bCs/>
          <w:rtl/>
        </w:rPr>
        <w:t>ושבת צריך כו'.</w:t>
      </w:r>
      <w:r>
        <w:rPr>
          <w:rtl/>
        </w:rPr>
        <w:t xml:space="preserve"> מפרש והולך כל עניני שבת וכן בתיקון מ”ט עונג שבת, ונהר יוצא כו', ארבעים מלאכות, יציאות השבת כו':</w:t>
      </w:r>
    </w:p>
  </w:footnote>
  <w:footnote w:id="4150">
    <w:p w:rsidR="00A13282" w:rsidRDefault="00A13282" w:rsidP="00B17EA9">
      <w:pPr>
        <w:pStyle w:val="a5"/>
      </w:pPr>
      <w:r>
        <w:rPr>
          <w:rStyle w:val="a7"/>
        </w:rPr>
        <w:footnoteRef/>
      </w:r>
      <w:r>
        <w:t xml:space="preserve"> </w:t>
      </w:r>
      <w:r>
        <w:rPr>
          <w:b/>
          <w:bCs/>
          <w:rtl/>
        </w:rPr>
        <w:t>כגוונא דפתורא כו'.</w:t>
      </w:r>
      <w:r>
        <w:rPr>
          <w:rtl/>
        </w:rPr>
        <w:t xml:space="preserve"> דהוא שכינתא, כמו שאומר למטה פתורא דקב"ה דא שכינתא, ואיהי בד' רגלין שהן ד' רגלין דכורסייא וכמו שאומר למטה פתורא איהי סמכא כו', והן ד' רגלי המרכבה באבהן ודוד, וכן בד' דגלים כמו שאומר לקמן צ"א א' ובזהר פרשת בראשית כ"ו ב' ונהר יוצא כו' ועמיה מטה יהודה כו', וזהו אשר לפני ה', דהוא שכינתא שהיא לפני ה', ואמר זה - שהוא י"ב פרקין דבד' סמכין כמו שאומר למטה:</w:t>
      </w:r>
    </w:p>
  </w:footnote>
  <w:footnote w:id="4151">
    <w:p w:rsidR="00A13282" w:rsidRDefault="00A13282" w:rsidP="00B17EA9">
      <w:pPr>
        <w:pStyle w:val="a5"/>
      </w:pPr>
      <w:r>
        <w:rPr>
          <w:rStyle w:val="a7"/>
        </w:rPr>
        <w:footnoteRef/>
      </w:r>
      <w:r>
        <w:t xml:space="preserve"> </w:t>
      </w:r>
      <w:r>
        <w:rPr>
          <w:b/>
          <w:bCs/>
          <w:rtl/>
        </w:rPr>
        <w:t>ועלה אתמר תערוך כו'.</w:t>
      </w:r>
      <w:r>
        <w:rPr>
          <w:rtl/>
        </w:rPr>
        <w:t xml:space="preserve"> רוצה לומר בפתורא דלעילא דזכי בעולם הבא בשכינתא, והוא בהיכל הראשון מז' היכלות כמו שאומר שם במזמור, ונגד שם קיימא ס"א וממתין אם נדחה נשמה מהיכל הראשון כמו שאומר בזהר פרשת פקודי רמ"ה ב', וזהו נגד צוררי, ועיין בזהר פרשת בראשית ל"ח א' ב' היכלא קדמאה כו' כתיב אשת חיל כו', ועתה מפרש והולך פתורא דקב"ה כו':</w:t>
      </w:r>
    </w:p>
  </w:footnote>
  <w:footnote w:id="4152">
    <w:p w:rsidR="00A13282" w:rsidRDefault="00A13282" w:rsidP="00B17EA9">
      <w:pPr>
        <w:pStyle w:val="a5"/>
      </w:pPr>
      <w:r>
        <w:rPr>
          <w:rStyle w:val="a7"/>
        </w:rPr>
        <w:footnoteRef/>
      </w:r>
      <w:r>
        <w:t xml:space="preserve"> </w:t>
      </w:r>
      <w:r>
        <w:rPr>
          <w:b/>
          <w:bCs/>
          <w:rtl/>
        </w:rPr>
        <w:t>דא שכינתא איהי כו'.</w:t>
      </w:r>
      <w:r>
        <w:rPr>
          <w:rtl/>
        </w:rPr>
        <w:t xml:space="preserve"> רוצה לומר כמו שאומר בריש פ' בראשית דחשך אפיק לילה, והיא דינא, ומנורה - אימא עילאה, ומטה - עמודא דאמצעיתא, וכמו שאומר לעיל בסוף תיקון כ”ד, וזה שאומר ובג"ד כו', ואח"כ מפרש הכל בשכינתא תתאה דכלילא מג' אבהן וזה שאומר ת"ח שכינתא כו':</w:t>
      </w:r>
    </w:p>
  </w:footnote>
  <w:footnote w:id="4153">
    <w:p w:rsidR="00A13282" w:rsidRDefault="00A13282" w:rsidP="00B17EA9">
      <w:pPr>
        <w:pStyle w:val="a5"/>
      </w:pPr>
      <w:r>
        <w:rPr>
          <w:rStyle w:val="a7"/>
        </w:rPr>
        <w:footnoteRef/>
      </w:r>
      <w:r>
        <w:t xml:space="preserve"> </w:t>
      </w:r>
      <w:r>
        <w:rPr>
          <w:b/>
          <w:bCs/>
          <w:rtl/>
        </w:rPr>
        <w:t>פתורא איהי סמכא כו'.</w:t>
      </w:r>
      <w:r>
        <w:rPr>
          <w:rtl/>
        </w:rPr>
        <w:t xml:space="preserve"> עתה מפרש מה שאמר למעלה בארבע רגלין:</w:t>
      </w:r>
    </w:p>
  </w:footnote>
  <w:footnote w:id="4154">
    <w:p w:rsidR="00A13282" w:rsidRDefault="00A13282" w:rsidP="00B17EA9">
      <w:pPr>
        <w:pStyle w:val="a5"/>
      </w:pPr>
      <w:r>
        <w:rPr>
          <w:rStyle w:val="a7"/>
        </w:rPr>
        <w:footnoteRef/>
      </w:r>
      <w:r>
        <w:t xml:space="preserve"> </w:t>
      </w:r>
      <w:r>
        <w:rPr>
          <w:b/>
          <w:bCs/>
          <w:rtl/>
        </w:rPr>
        <w:t>וצריך שית נהמין כו' דהא שכינתא אתעבידת כו'.</w:t>
      </w:r>
      <w:r>
        <w:rPr>
          <w:rtl/>
        </w:rPr>
        <w:t xml:space="preserve"> דת"ת הוא ו', כולל ב' דרועין שית פרקין, וכן צדיק ו' כולל ב' שוקין שוקיו עמודי שש עמודים של שש, וכמו שאומר באידרא רבה קמ"ג תאנא כתיב וצדיק כו' וכן בהרבה מקומות, וכן בעמודא דאמצעיתא, וזה שאומר בחושבן ו"ו, דהן בעמודא דאמצעיתא וצדיק דהן כלילין כל הו"ק, וזה שאומר דהא שכינתא אתעבידת כו' דאיהו גופא דמלכא בשית תיקונין דאינון ו"ק כמו שאומר לעיל ס"ג ב' ומסטרא דגופא אתקרי כו', אבל ברעיא מהימנא פ' פנחס אמר דאין צריך אלא תרין לחמין בכל סעודה כדברי הגמ', ואמר דהן שית באתגליא ושית באתכסיא, ויש לומר שגם כאן מיירי כהאי גוונא, דוא"ו דעמודא דאמצעיתא שהן דחג"ת - הן גוונין סתימין דלא אתגליין, ודנה"י - הן דשכינתא דאתגליין, והן בפתורא דשבת, וזה שאומר כאן שית מהאי סטרא - יש לפרש על שולחן דבית המקדש שתי המערכות:</w:t>
      </w:r>
    </w:p>
  </w:footnote>
  <w:footnote w:id="4155">
    <w:p w:rsidR="00A13282" w:rsidRDefault="00A13282" w:rsidP="00B17EA9">
      <w:pPr>
        <w:pStyle w:val="a5"/>
      </w:pPr>
      <w:r>
        <w:rPr>
          <w:rStyle w:val="a7"/>
        </w:rPr>
        <w:footnoteRef/>
      </w:r>
      <w:r>
        <w:t xml:space="preserve"> </w:t>
      </w:r>
      <w:r>
        <w:rPr>
          <w:b/>
          <w:bCs/>
          <w:rtl/>
        </w:rPr>
        <w:t>זה עם קב"ה אחד.</w:t>
      </w:r>
      <w:r>
        <w:rPr>
          <w:rtl/>
        </w:rPr>
        <w:t xml:space="preserve"> הוא גוף הכוללם, והוא אלף שבין ב' ווין וא"ו, וכן בשכינה, ושניהם חושבן הויה, וכלא הוי"ה מיחד תרווייהו, וכן מה שאומר למטה בד' אנפין כו' פני אדם הוא אחד הכוללם דביה י"ג, וזה סוד ה' אחד ושמו אחד:</w:t>
      </w:r>
    </w:p>
  </w:footnote>
  <w:footnote w:id="4156">
    <w:p w:rsidR="00A13282" w:rsidRDefault="00A13282" w:rsidP="00B17EA9">
      <w:pPr>
        <w:pStyle w:val="a5"/>
      </w:pPr>
      <w:r>
        <w:rPr>
          <w:rStyle w:val="a7"/>
        </w:rPr>
        <w:footnoteRef/>
      </w:r>
      <w:r>
        <w:t xml:space="preserve"> </w:t>
      </w:r>
      <w:r>
        <w:rPr>
          <w:rtl/>
        </w:rPr>
        <w:t xml:space="preserve"> </w:t>
      </w:r>
      <w:r>
        <w:rPr>
          <w:b/>
          <w:bCs/>
          <w:rtl/>
        </w:rPr>
        <w:t>וצריך לחברא כו'.</w:t>
      </w:r>
      <w:r>
        <w:rPr>
          <w:rtl/>
        </w:rPr>
        <w:t xml:space="preserve"> דפתורא איהי שכינתא:</w:t>
      </w:r>
    </w:p>
  </w:footnote>
  <w:footnote w:id="4157">
    <w:p w:rsidR="00A13282" w:rsidRDefault="00A13282" w:rsidP="00B17EA9">
      <w:pPr>
        <w:pStyle w:val="a5"/>
      </w:pPr>
      <w:r>
        <w:rPr>
          <w:rStyle w:val="a7"/>
        </w:rPr>
        <w:footnoteRef/>
      </w:r>
      <w:r>
        <w:t xml:space="preserve"> </w:t>
      </w:r>
      <w:r>
        <w:rPr>
          <w:rtl/>
        </w:rPr>
        <w:t xml:space="preserve"> </w:t>
      </w:r>
      <w:r>
        <w:rPr>
          <w:b/>
          <w:bCs/>
          <w:rtl/>
        </w:rPr>
        <w:t>ובג"ד אוקמוהו כו'.</w:t>
      </w:r>
      <w:r>
        <w:rPr>
          <w:rtl/>
        </w:rPr>
        <w:t xml:space="preserve"> וזה שאמרו (משנה אבות ג ג) אבל שלשה כו' מזבחי מתים, כמו שאומר לעיל א' ב' דבאתר דאית תמן תורה דאיהו עמודא דאמצעיתא גם צפור מצאה בית תמן כו' ובלאו הכי לא שריא תמן בלא בעלה:</w:t>
      </w:r>
    </w:p>
  </w:footnote>
  <w:footnote w:id="4158">
    <w:p w:rsidR="00A13282" w:rsidRDefault="00A13282" w:rsidP="00B17EA9">
      <w:pPr>
        <w:pStyle w:val="a5"/>
      </w:pPr>
      <w:r>
        <w:rPr>
          <w:rStyle w:val="a7"/>
        </w:rPr>
        <w:footnoteRef/>
      </w:r>
      <w:r>
        <w:t xml:space="preserve"> </w:t>
      </w:r>
      <w:r>
        <w:rPr>
          <w:b/>
          <w:bCs/>
          <w:rtl/>
        </w:rPr>
        <w:t>שנים שאוכלים כו'.</w:t>
      </w:r>
      <w:r>
        <w:rPr>
          <w:rtl/>
        </w:rPr>
        <w:t xml:space="preserve"> ובמתניתין דילן תנן שלשה כו':</w:t>
      </w:r>
    </w:p>
  </w:footnote>
  <w:footnote w:id="4159">
    <w:p w:rsidR="00A13282" w:rsidRDefault="00A13282" w:rsidP="00B17EA9">
      <w:pPr>
        <w:pStyle w:val="a5"/>
      </w:pPr>
      <w:r>
        <w:rPr>
          <w:rStyle w:val="a7"/>
        </w:rPr>
        <w:footnoteRef/>
      </w:r>
      <w:r>
        <w:t xml:space="preserve"> </w:t>
      </w:r>
      <w:r>
        <w:rPr>
          <w:b/>
          <w:bCs/>
          <w:rtl/>
        </w:rPr>
        <w:t>בע"ה בוצע דא כו'.</w:t>
      </w:r>
      <w:r>
        <w:rPr>
          <w:rtl/>
        </w:rPr>
        <w:t xml:space="preserve"> כמו שאומר לעיל ריש תיקון מ"ב דת"ת הוא בעל הבית (בעלה דאתתא) דזן לה והוא קבוע תמיד, וצדיק הוא איש מסטרא דזיווגא והוא אורח כמו שמפרש והולך משבת לשבת ומביא מקרא דכתיב ואורח צדיקים כו' ומפרש והולך </w:t>
      </w:r>
      <w:r>
        <w:rPr>
          <w:b/>
          <w:bCs/>
          <w:rtl/>
        </w:rPr>
        <w:t>שבת שכינתא כו'</w:t>
      </w:r>
      <w:r>
        <w:rPr>
          <w:rtl/>
        </w:rPr>
        <w:t xml:space="preserve"> </w:t>
      </w:r>
      <w:r>
        <w:rPr>
          <w:b/>
          <w:bCs/>
          <w:rtl/>
        </w:rPr>
        <w:t>דההוא טפה.</w:t>
      </w:r>
      <w:r>
        <w:rPr>
          <w:rtl/>
        </w:rPr>
        <w:t xml:space="preserve"> רוצה לומר דהזרע שהולך ליסוד הוא עשירית של הדעת שהוא בה' ספירות דאברים, מעשר מכל, והוא סוד המעשר, והולך כל זה ליסוד, וזהו הבציעה, ואמר ברעיא מהימנא פ' פנחס דהוא שיעור כזית דאיהו יו"ד, וכן אמר על המעשר, ועיין ברעיא מהימנא פ' משפטים, ועיין לעיל תיקון י”ז בראשית כו' ומאן דבעי לאפקא מעשר כו' בההוא זמנא יהא זריק בה טפה דאיהו יו"ד וכגוונא דא בזיווגא דב"נ כו' עיין שם:</w:t>
      </w:r>
    </w:p>
  </w:footnote>
  <w:footnote w:id="4160">
    <w:p w:rsidR="00A13282" w:rsidRDefault="00A13282" w:rsidP="00B17EA9">
      <w:pPr>
        <w:pStyle w:val="a5"/>
      </w:pPr>
      <w:r>
        <w:rPr>
          <w:rStyle w:val="a7"/>
        </w:rPr>
        <w:footnoteRef/>
      </w:r>
      <w:r>
        <w:t xml:space="preserve"> </w:t>
      </w:r>
      <w:r>
        <w:rPr>
          <w:b/>
          <w:bCs/>
          <w:rtl/>
        </w:rPr>
        <w:t>לאורח דאיהו צדיק ועני.</w:t>
      </w:r>
      <w:r>
        <w:rPr>
          <w:rtl/>
        </w:rPr>
        <w:t xml:space="preserve"> אמר ב' דברים, א' דנקרא ארח דהוא צדיק כנ"ל, ועוד דהוא עני דלית ליה אלא מה דיהיב ליה בעל הבית - והוא דרגא דיסוד:</w:t>
      </w:r>
    </w:p>
  </w:footnote>
  <w:footnote w:id="4161">
    <w:p w:rsidR="00A13282" w:rsidRDefault="00A13282" w:rsidP="00B17EA9">
      <w:pPr>
        <w:pStyle w:val="a5"/>
      </w:pPr>
      <w:r>
        <w:rPr>
          <w:rStyle w:val="a7"/>
        </w:rPr>
        <w:footnoteRef/>
      </w:r>
      <w:r>
        <w:t xml:space="preserve"> </w:t>
      </w:r>
      <w:r>
        <w:rPr>
          <w:b/>
          <w:bCs/>
          <w:rtl/>
        </w:rPr>
        <w:t>ואורח מברך כו' דאינון כו'.</w:t>
      </w:r>
      <w:r>
        <w:rPr>
          <w:rtl/>
        </w:rPr>
        <w:t xml:space="preserve"> הכל מסטרא דצדיק דנקרא כל:</w:t>
      </w:r>
    </w:p>
  </w:footnote>
  <w:footnote w:id="4162">
    <w:p w:rsidR="00A13282" w:rsidRDefault="00A13282" w:rsidP="00B17EA9">
      <w:pPr>
        <w:pStyle w:val="a5"/>
      </w:pPr>
      <w:r>
        <w:rPr>
          <w:rStyle w:val="a7"/>
        </w:rPr>
        <w:footnoteRef/>
      </w:r>
      <w:r>
        <w:t xml:space="preserve"> </w:t>
      </w:r>
      <w:r>
        <w:rPr>
          <w:b/>
          <w:bCs/>
          <w:rtl/>
        </w:rPr>
        <w:t>בברכאן דאתברכו אינון.</w:t>
      </w:r>
      <w:r>
        <w:rPr>
          <w:rtl/>
        </w:rPr>
        <w:t xml:space="preserve"> רוצה לומר שמברך לבעל הבית באותן הברכות שנתברכו האבות בכל כו'. וכל הברכות יורדין על ידו, דהוא הנהר שיורד, וכמו שאמרו (ויקרא רבה לד) יותר ממה שבעל הבית עושה עם העני העני עושה עם בעל הבית:</w:t>
      </w:r>
    </w:p>
  </w:footnote>
  <w:footnote w:id="4163">
    <w:p w:rsidR="00A13282" w:rsidRDefault="00A13282" w:rsidP="00B17EA9">
      <w:pPr>
        <w:pStyle w:val="a5"/>
      </w:pPr>
      <w:r>
        <w:rPr>
          <w:rStyle w:val="a7"/>
        </w:rPr>
        <w:footnoteRef/>
      </w:r>
      <w:r>
        <w:t xml:space="preserve"> </w:t>
      </w:r>
      <w:r>
        <w:rPr>
          <w:b/>
          <w:bCs/>
          <w:rtl/>
        </w:rPr>
        <w:t>תשע ברכאין כו'.</w:t>
      </w:r>
      <w:r>
        <w:rPr>
          <w:rtl/>
        </w:rPr>
        <w:t xml:space="preserve"> הוא כדברי מטה יהודה שיש לומר אברהם יצחק ויעקב בכל מכל כל, דכל אחד נתברך בכל הג':</w:t>
      </w:r>
    </w:p>
  </w:footnote>
  <w:footnote w:id="4164">
    <w:p w:rsidR="00A13282" w:rsidRDefault="00A13282" w:rsidP="00B17EA9">
      <w:pPr>
        <w:pStyle w:val="a5"/>
      </w:pPr>
      <w:r>
        <w:rPr>
          <w:rStyle w:val="a7"/>
        </w:rPr>
        <w:footnoteRef/>
      </w:r>
      <w:r>
        <w:t xml:space="preserve"> </w:t>
      </w:r>
      <w:r>
        <w:rPr>
          <w:b/>
          <w:bCs/>
          <w:rtl/>
        </w:rPr>
        <w:t>תשע ברכאין כו' ותשע כו'.</w:t>
      </w:r>
      <w:r>
        <w:rPr>
          <w:rtl/>
        </w:rPr>
        <w:t xml:space="preserve"> אור ישר ואור חוזר, דמכח ההליכה בחוזק מכה לאחוריו כדרך בת קול, והוא ט"ט דמט"ט, ומסטרא דת"ת הוא מעילא לתתא, ומסטרא דצדיק הוא מתתא לעילא, כמו שאומר לעיל ג' ב' אפרוחים כגון פרחים כו' אפרוחים כו'. וכולהו סלקין ח"י דהוא ח"י ברכאין בצלותא מסטרא דצדיק דאינון בצלותא דאיהי שכינתא וזה שאומר וכולא כלילא כו':</w:t>
      </w:r>
    </w:p>
  </w:footnote>
  <w:footnote w:id="4165">
    <w:p w:rsidR="00A13282" w:rsidRDefault="00A13282" w:rsidP="00B17EA9">
      <w:pPr>
        <w:pStyle w:val="a5"/>
      </w:pPr>
      <w:r>
        <w:rPr>
          <w:rStyle w:val="a7"/>
        </w:rPr>
        <w:footnoteRef/>
      </w:r>
      <w:r>
        <w:t xml:space="preserve"> </w:t>
      </w:r>
      <w:r>
        <w:rPr>
          <w:b/>
          <w:bCs/>
          <w:rtl/>
        </w:rPr>
        <w:t>למשה תפלה לדוד.</w:t>
      </w:r>
      <w:r>
        <w:rPr>
          <w:rtl/>
        </w:rPr>
        <w:t xml:space="preserve"> דוד הוא ח"י עלמין, חי וקיים כמו שאמרו בכמה מקומות, ואיהי תפלה לשניהם, ולכן בה ח"י ברכאין מסטרא דשניהם, מעילא לתתא ומתתא לעילא, ואמר בית הכנסת איהו כו', דתפלה הוא ראיה דאיהי חיבור וטפלה לשניהם כמו שמפרש והולך תפלה איהי כו', ובית הכנסת הוא לראיה דכל הברכות מתכנסין בה:</w:t>
      </w:r>
    </w:p>
  </w:footnote>
  <w:footnote w:id="4166">
    <w:p w:rsidR="00A13282" w:rsidRDefault="00A13282" w:rsidP="00B17EA9">
      <w:pPr>
        <w:pStyle w:val="a5"/>
      </w:pPr>
      <w:r>
        <w:rPr>
          <w:rStyle w:val="a7"/>
        </w:rPr>
        <w:footnoteRef/>
      </w:r>
      <w:r>
        <w:t xml:space="preserve"> </w:t>
      </w:r>
      <w:r>
        <w:rPr>
          <w:b/>
          <w:bCs/>
          <w:rtl/>
        </w:rPr>
        <w:t>בגין דאיהי סוס כו'.</w:t>
      </w:r>
      <w:r>
        <w:rPr>
          <w:rtl/>
        </w:rPr>
        <w:t xml:space="preserve"> כמו שכתוב לסוסתי ברכבי פרעה דמיתיך רעיתי וכמו שאומר לעיל ג' ב' ומאן דתקין ליה סוסיא דאתמר בה לסוסתי כו', ואמר למעלה ס"ה ב' ואיהי אתקריאת ע"ב ובה רכיב ו' למפרק לישראל הה"ד הנה ה' רוכב על ע"ב ק"ל כו':</w:t>
      </w:r>
    </w:p>
  </w:footnote>
  <w:footnote w:id="4167">
    <w:p w:rsidR="00A13282" w:rsidRDefault="00A13282" w:rsidP="00B17EA9">
      <w:pPr>
        <w:pStyle w:val="a5"/>
      </w:pPr>
      <w:r>
        <w:rPr>
          <w:rStyle w:val="a7"/>
        </w:rPr>
        <w:footnoteRef/>
      </w:r>
      <w:r>
        <w:t xml:space="preserve"> </w:t>
      </w:r>
      <w:r>
        <w:rPr>
          <w:b/>
          <w:bCs/>
          <w:rtl/>
        </w:rPr>
        <w:t>אית טפל כו'.</w:t>
      </w:r>
      <w:r>
        <w:rPr>
          <w:rtl/>
        </w:rPr>
        <w:t xml:space="preserve"> רוצה לומר, לשון טפלה - פעמים בט' פעמים בת', וכמו שמפרש והולך </w:t>
      </w:r>
      <w:r>
        <w:rPr>
          <w:b/>
          <w:bCs/>
          <w:rtl/>
        </w:rPr>
        <w:t>היאכל תפל כו'.</w:t>
      </w:r>
      <w:r>
        <w:rPr>
          <w:rtl/>
        </w:rPr>
        <w:t xml:space="preserve"> רוצה לומר דבר שמתבשל ללפת את הפת, ואמר שזהו תפלה שמתפללין בשבילה דאיהי טפלה לקב"ה:</w:t>
      </w:r>
    </w:p>
  </w:footnote>
  <w:footnote w:id="4168">
    <w:p w:rsidR="00A13282" w:rsidRDefault="00A13282" w:rsidP="00B17EA9">
      <w:pPr>
        <w:pStyle w:val="a5"/>
      </w:pPr>
      <w:r>
        <w:rPr>
          <w:rStyle w:val="a7"/>
        </w:rPr>
        <w:footnoteRef/>
      </w:r>
      <w:r>
        <w:t xml:space="preserve"> </w:t>
      </w:r>
      <w:r>
        <w:rPr>
          <w:b/>
          <w:bCs/>
          <w:rtl/>
        </w:rPr>
        <w:t>ואיהי כוס דיין.</w:t>
      </w:r>
      <w:r>
        <w:rPr>
          <w:rtl/>
        </w:rPr>
        <w:t xml:space="preserve"> רוצה לומר כוס של ברכה והוא על הנ"ל דאיהי כנוסיא דברכאין:</w:t>
      </w:r>
    </w:p>
  </w:footnote>
  <w:footnote w:id="4169">
    <w:p w:rsidR="00A13282" w:rsidRDefault="00A13282" w:rsidP="00B17EA9">
      <w:pPr>
        <w:pStyle w:val="a5"/>
      </w:pPr>
      <w:r>
        <w:rPr>
          <w:rStyle w:val="a7"/>
        </w:rPr>
        <w:footnoteRef/>
      </w:r>
      <w:r>
        <w:t xml:space="preserve"> </w:t>
      </w:r>
      <w:r>
        <w:rPr>
          <w:b/>
          <w:bCs/>
          <w:rtl/>
        </w:rPr>
        <w:t>וצריך כו' י' מן יסוד.</w:t>
      </w:r>
      <w:r>
        <w:rPr>
          <w:rtl/>
        </w:rPr>
        <w:t xml:space="preserve"> דהיא עטרת שלו דאיהי כנוסיא דברכאן כלילא בה י' דברים כמו שמפרש והולך, והיין בה דהוא סוד דכורא דברית:</w:t>
      </w:r>
    </w:p>
  </w:footnote>
  <w:footnote w:id="4170">
    <w:p w:rsidR="00A13282" w:rsidRDefault="00A13282" w:rsidP="00B17EA9">
      <w:pPr>
        <w:pStyle w:val="a5"/>
      </w:pPr>
      <w:r>
        <w:rPr>
          <w:rStyle w:val="a7"/>
        </w:rPr>
        <w:footnoteRef/>
      </w:r>
      <w:r>
        <w:t xml:space="preserve"> </w:t>
      </w:r>
      <w:r>
        <w:rPr>
          <w:b/>
          <w:bCs/>
          <w:rtl/>
        </w:rPr>
        <w:t>ואינון כו'.</w:t>
      </w:r>
      <w:r>
        <w:rPr>
          <w:rtl/>
        </w:rPr>
        <w:t xml:space="preserve"> כיש אומרים דגמ' (ברכות נא ע"א), ולדידיה מקבלו בשתי ידיו ונותנו בימין - דבר אחד, דלדברי הכל עשרה דברים נאמרו בה:</w:t>
      </w:r>
    </w:p>
  </w:footnote>
  <w:footnote w:id="4171">
    <w:p w:rsidR="00A13282" w:rsidRDefault="00A13282" w:rsidP="00B17EA9">
      <w:pPr>
        <w:pStyle w:val="a5"/>
      </w:pPr>
      <w:r>
        <w:rPr>
          <w:rStyle w:val="a7"/>
        </w:rPr>
        <w:footnoteRef/>
      </w:r>
      <w:r>
        <w:t xml:space="preserve"> </w:t>
      </w:r>
      <w:r>
        <w:rPr>
          <w:b/>
          <w:bCs/>
          <w:rtl/>
        </w:rPr>
        <w:t>עטוף עוטה כו'.</w:t>
      </w:r>
      <w:r>
        <w:rPr>
          <w:rtl/>
        </w:rPr>
        <w:t xml:space="preserve"> רוצה לומר דרגא דיסוד דביה אור הגנוז, וזהו עטוף שנתעטף בו ואמר בזהר פרשת בראשית א' א' אור דאתברי כו':</w:t>
      </w:r>
    </w:p>
  </w:footnote>
  <w:footnote w:id="4172">
    <w:p w:rsidR="00A13282" w:rsidRDefault="00A13282" w:rsidP="00B17EA9">
      <w:pPr>
        <w:pStyle w:val="a5"/>
      </w:pPr>
      <w:r>
        <w:rPr>
          <w:rStyle w:val="a7"/>
        </w:rPr>
        <w:footnoteRef/>
      </w:r>
      <w:r>
        <w:t xml:space="preserve"> </w:t>
      </w:r>
      <w:r>
        <w:rPr>
          <w:b/>
          <w:bCs/>
          <w:rtl/>
        </w:rPr>
        <w:t>ואם הוא עני כו'.</w:t>
      </w:r>
      <w:r>
        <w:rPr>
          <w:rtl/>
        </w:rPr>
        <w:t xml:space="preserve"> רוצה לומר דעטור הוא בנטלי מלאים יין, ואם לית ליה רק כוס של ברכת המזון לבד - אין צריך עיטור ויוצא בעטוף, והענין כי היא דלה דלית לה מגרמה כלום רק מה שמקבלת ממנו ואז הוא גם כן עני כי נקרא עשיר אם נותנין לו להשפיע לה חלקה לא מה שכלולה מכולם והוא חלקה והוא מצד התחתונים אבל אם הוא עני נכלל עיטור בעטוף, וזהו תפלה לעני - שהיא טפלה לעני, יסוד, ששם העטוף - כי יעטוף:</w:t>
      </w:r>
    </w:p>
  </w:footnote>
  <w:footnote w:id="4173">
    <w:p w:rsidR="00A13282" w:rsidRDefault="00A13282" w:rsidP="00B17EA9">
      <w:pPr>
        <w:pStyle w:val="a5"/>
      </w:pPr>
      <w:r>
        <w:rPr>
          <w:rStyle w:val="a7"/>
        </w:rPr>
        <w:footnoteRef/>
      </w:r>
      <w:r>
        <w:t xml:space="preserve"> </w:t>
      </w:r>
      <w:r>
        <w:rPr>
          <w:b/>
          <w:bCs/>
          <w:rtl/>
        </w:rPr>
        <w:t>קם סבא כו' ליה בדרגוי.</w:t>
      </w:r>
      <w:r>
        <w:rPr>
          <w:rtl/>
        </w:rPr>
        <w:t xml:space="preserve"> רוצה לומר, אמת כדבריך מצד הדכורא הוא עיטור במלכות שהיא עטרת הברית אבל האי כוס הוא בנוק' וצריך לסלקא לה בדרגין דנוק' ולכן עיטור - בכתר, כי העטרת הוא כתר מלכות, ועטוף בחכמה כמו שמפרש והולך:</w:t>
      </w:r>
    </w:p>
  </w:footnote>
  <w:footnote w:id="4174">
    <w:p w:rsidR="00A13282" w:rsidRDefault="00A13282" w:rsidP="00B17EA9">
      <w:pPr>
        <w:pStyle w:val="a5"/>
      </w:pPr>
      <w:r>
        <w:rPr>
          <w:rStyle w:val="a7"/>
        </w:rPr>
        <w:footnoteRef/>
      </w:r>
      <w:r>
        <w:t xml:space="preserve"> </w:t>
      </w:r>
      <w:r>
        <w:rPr>
          <w:b/>
          <w:bCs/>
          <w:rtl/>
        </w:rPr>
        <w:t>דא י' דאתעטף כו'.</w:t>
      </w:r>
      <w:r>
        <w:rPr>
          <w:rtl/>
        </w:rPr>
        <w:t xml:space="preserve"> באור הוא בינה וכמו שאומר לעיל תיקון ל’ ע"ו ב' ועיקר האור הוא בחסדים דדעת דהוא אור הגנוז וביה נתעטף ועיין בתוספתא פ' בשלח ובזהר פרשת בראשית ט"ז ב' והוא אוירא עילאה ועיין באדרא זוטא רצ"ב ב' וביה אתגניז האי אוירא והוא מאוירא עילאה:</w:t>
      </w:r>
    </w:p>
  </w:footnote>
  <w:footnote w:id="4175">
    <w:p w:rsidR="00A13282" w:rsidRDefault="00A13282" w:rsidP="00B17EA9">
      <w:pPr>
        <w:pStyle w:val="a5"/>
      </w:pPr>
      <w:r>
        <w:rPr>
          <w:rStyle w:val="a7"/>
        </w:rPr>
        <w:footnoteRef/>
      </w:r>
      <w:r>
        <w:t xml:space="preserve"> </w:t>
      </w:r>
      <w:r>
        <w:rPr>
          <w:b/>
          <w:bCs/>
          <w:rtl/>
        </w:rPr>
        <w:t>טהרה כו'.</w:t>
      </w:r>
      <w:r>
        <w:rPr>
          <w:rtl/>
        </w:rPr>
        <w:t xml:space="preserve"> הוא הדחה, אבל קדושה מבפנים כי כל קדושה מבפנים והוא סמוך ליין, וטהרה סמוך לימין חסד יסובבנו:</w:t>
      </w:r>
    </w:p>
  </w:footnote>
  <w:footnote w:id="4176">
    <w:p w:rsidR="00A13282" w:rsidRDefault="00A13282" w:rsidP="00B17EA9">
      <w:pPr>
        <w:pStyle w:val="a5"/>
      </w:pPr>
      <w:r>
        <w:rPr>
          <w:rStyle w:val="a7"/>
        </w:rPr>
        <w:footnoteRef/>
      </w:r>
      <w:r>
        <w:t xml:space="preserve"> </w:t>
      </w:r>
      <w:r>
        <w:rPr>
          <w:b/>
          <w:bCs/>
          <w:rtl/>
        </w:rPr>
        <w:t>ומלא מסט' דעד"א.</w:t>
      </w:r>
      <w:r>
        <w:rPr>
          <w:rtl/>
        </w:rPr>
        <w:t xml:space="preserve"> שהוא מקום אחד, דאיהו כנישו דכלא, הוי"ה, מקו"ם למילואו כמו שאומר לעיל תיקון מ”ב וזהו מלא, וכן הוא בחושבן מלא:</w:t>
      </w:r>
    </w:p>
  </w:footnote>
  <w:footnote w:id="4177">
    <w:p w:rsidR="00A13282" w:rsidRDefault="00A13282" w:rsidP="00B17EA9">
      <w:pPr>
        <w:pStyle w:val="a5"/>
      </w:pPr>
      <w:r>
        <w:rPr>
          <w:rStyle w:val="a7"/>
        </w:rPr>
        <w:footnoteRef/>
      </w:r>
      <w:r>
        <w:t xml:space="preserve"> </w:t>
      </w:r>
      <w:r>
        <w:rPr>
          <w:b/>
          <w:bCs/>
          <w:rtl/>
        </w:rPr>
        <w:t>ומקבלו כו' דא ההוא כו'.</w:t>
      </w:r>
      <w:r>
        <w:rPr>
          <w:rtl/>
        </w:rPr>
        <w:t xml:space="preserve"> רוצה לומר, הדעת דעליה כתיב מימינו אש, דגבורות נכללים בחסדים ואתהדר כולא ימינא, ולכן מקבלו בב' ידיו ואח"כ נותנו לימין, וכמו שאומר בזהר פרשת יתרו פ"ד ב' הכי תאנא חמשה קלין אינון לימינא וה' לשמאל, ואינון דשמאלא כלולין בימינא ומן ימינא אתחזון אינון דשמאלא, והכא כולא הוא ימינא כו' דהא תנינן שמאלא אתחזר ימינא דכתיב מימינו אש דת למו, והן ה’ חסדים וה’ גבורות שבו חמשה קלין וחמשה, והן כאן ה' אצבעאן דימינא ושמאלא, וזה שאומר תרין ידין אינון ה"ה חד כו'. ואמר </w:t>
      </w:r>
      <w:r>
        <w:rPr>
          <w:b/>
          <w:bCs/>
          <w:rtl/>
        </w:rPr>
        <w:t>כי ימינך פשוטה כו'.</w:t>
      </w:r>
      <w:r>
        <w:rPr>
          <w:rtl/>
        </w:rPr>
        <w:t xml:space="preserve"> כמו שאומר לעיל י"ח ב' שכינתא עילאה יפרוק לה כו' דאיהי ימינך פשוטה לקבל שבים, דלית מלתא דא תלייא אלא בתיובתא, ימין דשכינתא עלאה, ואמר ימינך ה' כו'. ששם כח - כ"ח מ"ה כמו שאומר לעיל בתיקון י”ט ושאר מקומות:</w:t>
      </w:r>
    </w:p>
  </w:footnote>
  <w:footnote w:id="4178">
    <w:p w:rsidR="00A13282" w:rsidRDefault="00A13282" w:rsidP="00B17EA9">
      <w:pPr>
        <w:pStyle w:val="a5"/>
      </w:pPr>
      <w:r>
        <w:rPr>
          <w:rStyle w:val="a7"/>
        </w:rPr>
        <w:footnoteRef/>
      </w:r>
      <w:r>
        <w:t xml:space="preserve"> </w:t>
      </w:r>
      <w:r>
        <w:rPr>
          <w:b/>
          <w:bCs/>
          <w:rtl/>
        </w:rPr>
        <w:t>תרין ידין אינון כו'.</w:t>
      </w:r>
      <w:r>
        <w:rPr>
          <w:rtl/>
        </w:rPr>
        <w:t xml:space="preserve"> כנ"ל ועיין לעיל ל"ט ב' שתי כתפות דא כתף עלאה וכתף תתאה דאינון ימינא ושמאלא, ואינון ה"ה, וידוע כתפין שהן הדעת והן בה' אצבעאן, דאצבע הוא חותמא דגושפנקא במילואו:</w:t>
      </w:r>
    </w:p>
  </w:footnote>
  <w:footnote w:id="4179">
    <w:p w:rsidR="00A13282" w:rsidRDefault="00A13282" w:rsidP="00B17EA9">
      <w:pPr>
        <w:pStyle w:val="a5"/>
      </w:pPr>
      <w:r>
        <w:rPr>
          <w:rStyle w:val="a7"/>
        </w:rPr>
        <w:footnoteRef/>
      </w:r>
      <w:r>
        <w:t xml:space="preserve"> </w:t>
      </w:r>
      <w:r>
        <w:rPr>
          <w:b/>
          <w:bCs/>
          <w:rtl/>
        </w:rPr>
        <w:t>משום כוס ישועות כו'.</w:t>
      </w:r>
      <w:r>
        <w:rPr>
          <w:rtl/>
        </w:rPr>
        <w:t xml:space="preserve"> דאינון חמש תרעין כמו שאומר בזהר פרשת בראשית א' א' ואמר בזהר פרשת תרומה קס"ט א' מאן דנטל כוס של ברכה וקמברך עליה כתיב כוס ישועות אשא, מאן ישועות דא ימינא דאיהו מושיע מכל מקטרגין דעלמא דכתיב ותושע לו ימינו וכתיב הושיעה ימינך כו' אבל בזהר פרשת בראשית שם אמר דאינון חמש תרעין, ואינון ה' עלין תקיפין, וכן אמר למעלה ה' ב' ישועות איהי סדר נזיקין מסטרא דגבורה דתמן כו', ונראה שנקרא הגבורות ישועות - כשנכללין בימינא, וכן הוא על י"ד פרקין דיד נגד י"ג מכילין דקאמר שם ר"ח פתח כשושנה בין החוחים מאי שושנה דא כנסת ישראל בגין דאית שושנה כו' כמו שאומר לעיל בסוף תיקון כ”ה ושושנה עילאה אינה בין החוחים כמו שאומר שם ושם כולו רחמים רק מסטרהא כו', והוא נוטה שמים דבה, אבל כאן מה שושנה דאיהי כו' דייק דווקא דבין החוחים הוא סומק וחוור אוף כנסת ישראל כו' ועיין סוף פ' לך לך צ"ב ב' בגין דינקי בתרי גווני כו' ושאר מקומות. ואמר מה שושנה אית בה תליסר כו', כאן לא קאמר בין החוחים דבשניהם כן הוא וכמו שאומר לעיל בתיקון כ”ה ותיקון כ”ו, ומה שאומר שם שית סומקי ושית חוורי הייינו בעלים. אוף כנסת ישראל אית בה תליסר כו'. והן תליסר עולימתין דילה כמו שאומר בזהר פרשת ויקהל קצ"ז ב' את כל עדת בני ישראל אלין אינון תריסר משריין עלאין קדישין כו', רוצה לומר דהן בני ישראל, י"ב שבטים, בני ישראל דלעילא. ואמר שם דהא מטרוניתא לא אתחזיא למיתי לבעלה אלא באינון בתולתין עולמתהא דייתון עמה כו' והיא משלמת לי"ג כמו שאומר לעיל בסוף תיקון כ”ה ושושנה דאתכלילת בהו וכן אמר בזהר פרשת ויחי רמ"א פתח ר' אבא ואמר ויעש את הים מוצק וגו' וכתיב עומד על שני עשר בקר כו' אשתכחו תריסר קשרין לארבע סטרין, וגופא עלייהו, אשתכחו תליסר עם גופא כגוונא דלעילא, מנא לן דכתיב כל אלה שבטי ישראל י"ב וזאת, בגין דבה אשתלים חושבנא כמה דאתמר והים עליהם מלמעה עיין שם היטב כל הענין ואמר שם רמ"ב א' ד"א בנות ירושלים אלין תריסר שבטין דתנינין ירושלים על תריסר טורין קיימא כו' תלת טורין לסטרא דא כו' ואלין אקרון בנות ירושלים כו', וזהו כשושנה בין החוחים, דחוחים אינון י"ג כמו שאומר בריש תיקון כ”ו כן רעיתי בין הבנות הנ"ל. ואמר ולבתר אדכר זמנא אחרא כו' בגין לאפקא חמש עלין תקיפין כו', הענין הוא כי אלו ב' השושנים, עלאה ותתאה, הן בגוון חד ודרגא חדא, וכן השושנה תתאה הוא בבינה שלה דיתבא על י"ב הוא היכל הרצון דתחתה, ובבינה הוא ב' מיני לבושין חד אור הגנוז עוטה אור כשלמה ותניינא ו' דאינון ה' נוטה שמים כיריעה, כמו שאומר בתוספתא פ' בשלח ס"ח ב' ההוא רשימא בעיא כו' הוא יו"ד דה"א. אוקיר ליה בלבושיה יקר. הן אותן שכתב שם למטה שית יריעין ובגו חד יריעה וחד יריעה הוא אור הנ"ל דאהבה דהוא י"ג כלילין בחד והוא וא"ו דהוי"ה חושבן י"ג דחפיא לה"א עילאה, ואח"כ שית יריעין הוא ה"א בתראה דהוא שית, והוא שכתב בריש פ' תרומה ואשתכללו ביה שית רשימין כו' דחילו ואמתני כו' ואמר אינון שית יריעין אינון חמש, דהן בה' ספירות, ושית הוא יסוד הכוללן, והוא א' דה"א, דכוללן בא' דהוא אחד, ולפי שביסוד נכלל חו"ג לפיכך נכלל האחרון בחסד ונעשה י"ד פרקין וה' אצבעאן, וכן הוא כל זה בשושנה תתאה, ואינון ב' אלקים דפרשה, הראשון הוא מלא, י"ג אתוון, וידוע שמילואו הוא ברחמי"ם כולל י"ג תיקונים והוא מב' מאורות הגדולים כמו שאומר שם כ' א', והשני בפשוטו ולכן עלין תקיפין והוא וא"ו ה"א, דשם וא"ו - על מילואו, ה"א - על פשוטו באתוון, וא' - על התיבה, והוא שושנה דאתכלילת בה' העלין, וכן הוא בי"ג עם השושנה דאתכלילת בהון כמו שאומר למעלה, וכן הוא בכ"ו דיו"ד ה"א דגרעינין גם כן עם השושנה והכל בא' דבהון, וכמו שאומר לעיל בסוף תיקון כ”ה, וזה שאומר בריש תיקון ל"ח, ו' מלא שרביט, רוצה לומר ו' הוא מלא דאלקים, ונקרא מלא שעלין י"ג דיליה הוא במלואו מה שאין כן ה' עלין דה"א בתראה:</w:t>
      </w:r>
    </w:p>
  </w:footnote>
  <w:footnote w:id="4180">
    <w:p w:rsidR="00A13282" w:rsidRDefault="00A13282" w:rsidP="00B17EA9">
      <w:pPr>
        <w:pStyle w:val="a5"/>
      </w:pPr>
      <w:r>
        <w:rPr>
          <w:rStyle w:val="a7"/>
        </w:rPr>
        <w:footnoteRef/>
      </w:r>
      <w:r>
        <w:t xml:space="preserve"> </w:t>
      </w:r>
      <w:r>
        <w:rPr>
          <w:b/>
          <w:bCs/>
          <w:rtl/>
        </w:rPr>
        <w:t xml:space="preserve"> ובינייהו ז"א דאיהו שוקיו כו'.</w:t>
      </w:r>
      <w:r>
        <w:rPr>
          <w:rtl/>
        </w:rPr>
        <w:t xml:space="preserve"> רוצה לומר, יסוד, דכליל שית דתרין שוקין כמו שאומר באידרא רבה ושאר מקומות וכמו שאומר למעלה א', והן ג' גווני עינא דבהון ג' פרקין דשוקין דכל חד והן ו', והן הוי"ה שלימה כ"ו. ורוצה לומר בזה, דשניהם כלילין בהוי"ה אחד, והוא ראיה דכלילין כחדא ולכן חשיב אותן לדבר אחד, מה דלא חשיב בשאר וכידוע שנו"ה תרי פלגי דגופא, והענין, שרגל אחת בלא חבירו אינו משמש כלום אבל ברעיא מהימנא סוף פ' עקב אמר דהן מרמזין על השילוב, והכל אחד, כי ו' אותיות דביניהם עם ב' יודין הן הוי"ה אחת, אלא דאמר שם י' י' מאיר בבת עין (דנחשבין לשנים ואח"כ) הו"ה - בשלשה צבעי העין, אד"נ מאיר בכרובי העין, ושני עפעפי העין כליל שם ב' עין לאחת, וחשיב ג' גוונין דב' עינים לאחת, וכן כרוב כו' ומה שאמר י' י' בבת עין - צריך להיות ב', שני בת עין, דעין אחת, כמו שאומר בתיקוני זהר חדש ע"ג ד' בת דקיקא זעירא אית מלגאו תחות בת עינא עלאה כו' וחשיב כרוב העין לאחד, ועפעפי - לשנים, וכן בתיקוני זהר חדש שם בתרי גדפי עינא דיליה פתחין וסגרין תרי סמכי קשוט, כרוב דעינא דאחיד בתרי גדפי עינא דיליה - דא צדיק, והענין שתרי כרובי עינא הם מחוברים, מה שאין כן בעפעפי שאינן מחוברים אלא ע"י כרובי, והוא צדיק דכולל שניהם, וטעויות סופר הרבה שם ברעיא מהימנא וצריך להיות כמו שאומר למעלה, ובין כאן ובין שם האריך להורות כי שניהם נחשבין לאחד, והוא מסטרא דכתר דמשם אתגזרת, דשם ב' עיינין ואתחזרו לחד כמו שאומר באידרא רבה, ואמר זעיר אנפין - דהוא יסוד, ישראל זוטא, נער ישראל, אבל ת"ת נקרא אריך אנפין כידוע, ישראל סבא:</w:t>
      </w:r>
    </w:p>
  </w:footnote>
  <w:footnote w:id="4181">
    <w:p w:rsidR="00A13282" w:rsidRDefault="00A13282" w:rsidP="00B17EA9">
      <w:pPr>
        <w:pStyle w:val="a5"/>
      </w:pPr>
      <w:r>
        <w:rPr>
          <w:rStyle w:val="a7"/>
        </w:rPr>
        <w:footnoteRef/>
      </w:r>
      <w:r>
        <w:t xml:space="preserve"> </w:t>
      </w:r>
      <w:r>
        <w:rPr>
          <w:b/>
          <w:bCs/>
          <w:rtl/>
        </w:rPr>
        <w:t>ומסלקו כו'.</w:t>
      </w:r>
      <w:r>
        <w:rPr>
          <w:rtl/>
        </w:rPr>
        <w:t xml:space="preserve"> חכמת שלמה, י' דאדני, והיא נקודה בהיכליה, דההיא נקודה כלולה מכולם, ואע"ג דהיא חכמה שבה, מכל מקום היא הכלולה מכולם, דההיא נקודה מקבלת מכל עשר ספירות דז"א ומחלקת לכל עשר ספירות דילה, לכל אחד מדרגיה, אבל היא הכלולה, והיא בהיכל ק"ק, נקודה דשם, כמו שאומר בזהר פרשת פקודי ועיין מה שאומר שם, ואמר למעלה דו"ק הן אמה עיין לעיל ל"ט ב' בכל אתר אמה איהו ו' ובג"ד אמר בת ששה טפחים, וכן הוא בהיכלין דילה, והנה קרקע הוא בת"ת דילה, עפר, דרפאל ת"ת דמלכות, דאמר שהוא בת"ת, ובמקום אחר שהוא במלכות, ודאי שהוא במלכות, חיה רביעית, אדם, אלא שהוא בת"ת דנקרא אדם, וכן כתבו הראשונים וידוע ששם הוא קרקע, ובין יו"ד זה ובין היכל הראשון שהן דעולימתאן, הוא היכל ק"ק שהוא לאו למדורא, והוא שיעורא דטפח וזה שאומר בזהר פרשת תשא כוס דברכה אצטרך למהוי מתקנא בימינא, ונשא מגבעות אצטרך למהוי זקיף שיעורא דזרת זקיף מן פתורא, לברכא לקב"ה ודא הוא ונשא מגבעות, מאי הוא אלא בינה ובין בתולות אחריה רעותיה שיעורא דזרת הוא נשא כוס דברכה מגבעות ודאי ועיין בזהר פרשת משפטים קי"ב ב' מאן גבעות כו':</w:t>
      </w:r>
    </w:p>
  </w:footnote>
  <w:footnote w:id="4182">
    <w:p w:rsidR="00A13282" w:rsidRDefault="00A13282" w:rsidP="00B17EA9">
      <w:pPr>
        <w:pStyle w:val="a5"/>
      </w:pPr>
      <w:r>
        <w:rPr>
          <w:rStyle w:val="a7"/>
        </w:rPr>
        <w:footnoteRef/>
      </w:r>
      <w:r>
        <w:t xml:space="preserve"> </w:t>
      </w:r>
      <w:r>
        <w:rPr>
          <w:b/>
          <w:bCs/>
          <w:rtl/>
        </w:rPr>
        <w:t>דאתמר בה ישמח כו'.</w:t>
      </w:r>
      <w:r>
        <w:rPr>
          <w:rtl/>
        </w:rPr>
        <w:t xml:space="preserve"> דניתן לו בינה, כמו שאמרו (ר"ה כא ע"ב) מ"ט שערי בינה, וידוע ברעיא מהימנא ובתיקונים בכמה מקומות, ועיין לעיל למ"ד א' צלותא דערבית אתה קדשת כו', צלותא כו' ישמח משה במתנת חלקו, ודא נשמת כל חי דאיהי אימא עילאה כו', וזהו לאנשי ביתו, בית דבראשית, נקודה בהיכליה, בכל ביתי נאמן הוא, רק שער הנו"ן דהוא נוגע בחכמה, כי לא יראני האדם וחי, דהוא כבוד"ך וכמו שאומר בסתרי תורה ורזא דא, לפניך וחנותי את כו':</w:t>
      </w:r>
    </w:p>
  </w:footnote>
  <w:footnote w:id="4183">
    <w:p w:rsidR="00A13282" w:rsidRDefault="00A13282" w:rsidP="00B17EA9">
      <w:pPr>
        <w:pStyle w:val="a5"/>
      </w:pPr>
      <w:r>
        <w:rPr>
          <w:rStyle w:val="a7"/>
        </w:rPr>
        <w:footnoteRef/>
      </w:r>
      <w:r>
        <w:t xml:space="preserve"> </w:t>
      </w:r>
      <w:r>
        <w:rPr>
          <w:b/>
          <w:bCs/>
          <w:rtl/>
        </w:rPr>
        <w:t>ובגלותא כו'.</w:t>
      </w:r>
      <w:r>
        <w:rPr>
          <w:rtl/>
        </w:rPr>
        <w:t xml:space="preserve"> כמו שמפרש והולך בגין דאסתלק כו', והענין דה' דילה אינון ד"ו פרצופים, ו"ד, דהן עשר ספירות, ו' דדכורא והוא גאה גאה דאסתלק בגלותא ו' ספירות העליונות, והן ד' נהי"ם שהן דילה, ג' עדרי הצאן כו' ושם קומתה, ובגלותא ירדו הדרגין כל אחד מדרגה, דחסד בנצח וכן בכולם, וזהו אלו הארבעה הדחה כו':</w:t>
      </w:r>
    </w:p>
  </w:footnote>
  <w:footnote w:id="4184">
    <w:p w:rsidR="00A13282" w:rsidRDefault="00A13282" w:rsidP="00B17EA9">
      <w:pPr>
        <w:pStyle w:val="a5"/>
      </w:pPr>
      <w:r>
        <w:rPr>
          <w:rStyle w:val="a7"/>
        </w:rPr>
        <w:footnoteRef/>
      </w:r>
      <w:r>
        <w:t xml:space="preserve"> </w:t>
      </w:r>
      <w:r>
        <w:rPr>
          <w:b/>
          <w:bCs/>
          <w:rtl/>
        </w:rPr>
        <w:t>וסימנך חמשה כו'.</w:t>
      </w:r>
      <w:r>
        <w:rPr>
          <w:rtl/>
        </w:rPr>
        <w:t xml:space="preserve"> ממטה למעלה, וכמו שמפרש והולך משום דהיא ה' לכן הסימן חמשה אבל באמת אינה אלא רביעית בשם, וכוללת כל הד', וכמו שאומר לעיל פ"ו ב' ואיהי ד' כלילא מארבע אתוון דאינון הוי"ה כו' לכן הם ד':</w:t>
      </w:r>
    </w:p>
  </w:footnote>
  <w:footnote w:id="4185">
    <w:p w:rsidR="00A13282" w:rsidRDefault="00A13282" w:rsidP="00B17EA9">
      <w:pPr>
        <w:pStyle w:val="a5"/>
        <w:rPr>
          <w:rtl/>
        </w:rPr>
      </w:pPr>
      <w:r>
        <w:rPr>
          <w:rStyle w:val="a7"/>
        </w:rPr>
        <w:footnoteRef/>
      </w:r>
      <w:r>
        <w:t xml:space="preserve"> </w:t>
      </w:r>
      <w:r>
        <w:rPr>
          <w:b/>
          <w:bCs/>
          <w:rtl/>
        </w:rPr>
        <w:t>הכוס כו' כוס כו'.</w:t>
      </w:r>
      <w:r>
        <w:rPr>
          <w:rtl/>
        </w:rPr>
        <w:t xml:space="preserve"> עיין לעיל תיקון ל”ח דהכוס גם כן אלקים, בה' אתוון, וכן הוא גם כן הוי"ה, דמלא דכוס הוא ו', וכן הוא גם כן שילוב הנ"ל דהן כ"ו, ב' יודין ווא"ו, ויין שבתוכו הוא נקודות דאלקים, והוא יין - ב' יודין דכל אחד נקודה לבדה, ון' כי ה' נקודות באות אחת והן נש"ב, ואח"כ בב' כללות חב"ח, והוא יין המשמח, הוי"ה בניקוד אלהים, כי טובים דודיך מיין, ע' אנפין, והוא יין המשומר בענביו כמו שאומר במדרש הנעלם:</w:t>
      </w:r>
    </w:p>
    <w:p w:rsidR="00A13282" w:rsidRDefault="00A13282" w:rsidP="00B17EA9">
      <w:pPr>
        <w:pStyle w:val="a5"/>
      </w:pPr>
    </w:p>
  </w:footnote>
  <w:footnote w:id="4186">
    <w:p w:rsidR="00A13282" w:rsidRDefault="00A13282" w:rsidP="00B17EA9">
      <w:pPr>
        <w:pStyle w:val="a5"/>
      </w:pPr>
      <w:r>
        <w:rPr>
          <w:rStyle w:val="a7"/>
        </w:rPr>
        <w:footnoteRef/>
      </w:r>
      <w:r>
        <w:t xml:space="preserve"> </w:t>
      </w:r>
      <w:r>
        <w:rPr>
          <w:b/>
          <w:bCs/>
          <w:rtl/>
        </w:rPr>
        <w:t>תיקון מ"ט. בראשית כו'.</w:t>
      </w:r>
      <w:r>
        <w:rPr>
          <w:rtl/>
        </w:rPr>
        <w:t xml:space="preserve"> כאן מתחיל לפרש אלה תולדות השמים כו', וזה שאומר מי ברא אלה, וכמו שמפרש והולך (תיקון מ"ט עם תיקון נו"ן הוא תיקון אחד. לפי שכאן מפרש על קריאת שמע, והפסיק הסבא כו' וא"ל סבא סבא כו', וחוזר לפרש שאו כו' - על תפלה, אמר </w:t>
      </w:r>
      <w:r>
        <w:rPr>
          <w:b/>
          <w:bCs/>
          <w:rtl/>
        </w:rPr>
        <w:t>פתח ר"ש כו',</w:t>
      </w:r>
      <w:r>
        <w:rPr>
          <w:rtl/>
        </w:rPr>
        <w:t xml:space="preserve"> טעה המעתיק לומר שהן שני תיקונין, וטעות גדול הוא לפרש יחד שני תיקונין בענין אחד, ושם לא קאמר כלל מענין בראשית ואלקים כו', ואין להאריך בזה, ובכאן לא פירש כלל למי ברא), ופירש כאן כל הפסוק הזה, לבד לברא אלה, דהמתין עד שם, דשם מתחיל לפרש האלה דתולדות השמים כו', והוא מי אלה דאלקים הנזכר כאן, וכאן סתים מי ברא אלה ומתחיל לפרש הקרא על קריאת שמע, שאו מרום עיניכם דא קריאת שמע כו' דהוא כ"ה וכ"ה דשחרית וערבית וכמו שאומר לעיל סוף תיקון כ”ה, ורצונו בזה כמו שמפרש והולך ודא ערב דיצחק ובקר דאברהם דתמן כו' דהן אלה דאבהן וכמו שאומר לקמן פ"ט א' אלה דאינון תלת אבהן כו' דבהון אחיד בה, ועל גופא אסתלקת, ולכן תפלת ערבית רשות כמו שאומר בזהר פרשת חיי שרה קל"ג א', וכן כאן בקריאת שמע ודא ערב כו' והוא אלה, ואמר שם ומאן סליק לה על גופא, מי, אימא עילאה, מי ברא אלה, וכן כאן מ"י דחמשין אתוון דאימא סלקא לה על גופא - בעלה ישראל, ועיין מה שאומר שם בסוף פ' חיי שרה דאברהם ויצחק תקינו בחינת דכורא, בקר וערב דהן ביממא, ויעקב - בחינת נוק' דהוא בלילא, ועל שכולל שניהם לכן תפלת ערב כל הלילה - כולל שניהם, ולכן בקריאת שמע הוא בשכמל"ו בנוק' מתקנת יעקב והוא כולל שניהם בבקר וערב:</w:t>
      </w:r>
    </w:p>
  </w:footnote>
  <w:footnote w:id="4187">
    <w:p w:rsidR="00A13282" w:rsidRDefault="00A13282" w:rsidP="00B17EA9">
      <w:pPr>
        <w:pStyle w:val="a5"/>
      </w:pPr>
      <w:r>
        <w:rPr>
          <w:rStyle w:val="a7"/>
        </w:rPr>
        <w:footnoteRef/>
      </w:r>
      <w:r>
        <w:t xml:space="preserve"> </w:t>
      </w:r>
      <w:r>
        <w:rPr>
          <w:b/>
          <w:bCs/>
          <w:rtl/>
        </w:rPr>
        <w:t>ובמאי צריך כו' דאיהו מרומים ישכון.</w:t>
      </w:r>
      <w:r>
        <w:rPr>
          <w:rtl/>
        </w:rPr>
        <w:t xml:space="preserve"> רוצה לומר השכינה שוכנת במרום דהוא חכמה כמו שאומר לעיל ל"ט א' עיין שם, וזה שכתוב רום ידיהו נשא כמו שאומר שם, ואמר דאיהו מרום, רוצה לומר מרום דפסוק זה שאו מרום, דאיהו חכמה, מרומים - תמן ישכון השכינה בשחרית, ואמר וראו תמן אור רוצה לומר בתיבת ראו אותיות אור ולפי שכתוב וראו בוא"ו לפיכך אמר תמן ומפרש והולך ודא אור הכוכבים דכתיב הללוהו כל כוכבי אור, ואמר </w:t>
      </w:r>
      <w:r>
        <w:rPr>
          <w:b/>
          <w:bCs/>
          <w:rtl/>
        </w:rPr>
        <w:t>דבהון שכינתא נפקת הה"ד כו'.</w:t>
      </w:r>
      <w:r>
        <w:rPr>
          <w:rtl/>
        </w:rPr>
        <w:t xml:space="preserve"> רוצה לומר דבמספר הוא שכינתא כמו שאומר בסוף התיקון איהו מספר הימים, ורוצה לומר דעמה מוציא הכוכבים:</w:t>
      </w:r>
    </w:p>
  </w:footnote>
  <w:footnote w:id="4188">
    <w:p w:rsidR="00A13282" w:rsidRDefault="00A13282" w:rsidP="00B17EA9">
      <w:pPr>
        <w:pStyle w:val="a5"/>
      </w:pPr>
      <w:r>
        <w:rPr>
          <w:rStyle w:val="a7"/>
        </w:rPr>
        <w:footnoteRef/>
      </w:r>
      <w:r>
        <w:t xml:space="preserve"> </w:t>
      </w:r>
      <w:r>
        <w:rPr>
          <w:b/>
          <w:bCs/>
          <w:rtl/>
        </w:rPr>
        <w:t>ערב ובוקר כו' עם מלכא.</w:t>
      </w:r>
      <w:r>
        <w:rPr>
          <w:rtl/>
        </w:rPr>
        <w:t xml:space="preserve"> רוצה לומר עם בעלה ישראל, עמודא דאמצעיתא, אלא דבבוקר היא שושנה עלאה, ה' עלאה, כמו שאומר לעיל סוף תיקון כ"ה שושנה עלאה שכינתא עילאה, ואיהי קריאת שמע דשחרית, ושושנה תניינא קריאת שמע דערבית שכינתא תתאה, דא לימינא ודא לשמאלא, הרועה בשושנים דא עמודא דאמצעיתא, ושושנה עלאה דקריאת שמע דשחרית דאיהו בקר דאברהם כו', וזה שאומר כאן ודא ערב דיצחק ובקר דאברהם שהוא תרין השושנים דתמן אינון ובעלה בינייהו ישראל, וזה שאומר למעלה דאיהו מרומים ישכון והוא שכינה עילאה דשריא בחכמה כ"ח מ"ה ותמן בקר דאברהם דחכמה בימינא דכהנא אבל כאן מדבר הכל במלכות, דקאמר בעלה בינייהו, וקאמר לייחדא לה, והוא בלאה ורחל, דו"נ דבהו, לאה מרומים ישכון, והוא ב' בחינות דילה, דשריא בשמים ובארץ, ובשמים איהי מרומים ישכון והיא שושנה עילאה, ולתתא איהי בין החוחים, שושנה תתאה, ועיין בזהר חדש שה"ש נ"ה א' תו שחורה אני מסטרא דלתתא ונאוה מסטרא דלכון אתון בנות ירושלים, וזה שכתוב כשושנה כו' כן רעיתי שהיא שושנה עילאה שנקראת רעיתי מסטרא דאימא עילאה, וכמו שאומר בזהר פרשת ויחי בין הבנות דאינון בנות ירושלים כנ"ל, וכן הוא בחנוך דהוא מרכבה דילה דיש לו כלילו בתתאי ובעלאי כמו שאומר שם נ"ד ב' והוא גופו ונפשו בהאי עלמא ושם היא מקנן כשאין צדיקים בדור לאשראה עלייהו וזה שאומר, בגין דבערב היא באה, רוצה לומר בערב היא באה בזה העולם דבלילה שליטה דילה, לילה ועולם הזה, ותקם בעוד לילה כו', ואז כלילת יום בלילה, לאה ברחל שהן ד"ו פרצופים, ההין ואלפין דברכת כהנים, וזה שאמרו (חגיגה יב ע"ב) וילון נכנס שחרית ויוצא ערבית עם הכוכבים כפירש"י שם וכמו שאומר כאן. ומכל מקום באה עמיה מדת יום בלילה. ובבוקר היא שבה עם הכוכבים לשמים, דכורא, דכוכבים ניתנין ללבנה יוצאין ונכנסין עמה וכמו שאומר בבראשית רבה (פ' ו ד) משל למלך כו', ואז נכללת בלאה בדכורא, וזהו שבה - לגביה, דבלילה יוצאת להאיר על ארץ וביום נכנסת לשמים, וזהו שאו עיניכם שהוא היחוד כמו שאומר לעיל תיקון ד’ והוא שמע בראשי תיבות בשחרית למרום, ובערבית וראו, שבשחרית עלתה הסיהרא למרום:</w:t>
      </w:r>
    </w:p>
  </w:footnote>
  <w:footnote w:id="4189">
    <w:p w:rsidR="00A13282" w:rsidRDefault="00A13282" w:rsidP="00B17EA9">
      <w:pPr>
        <w:pStyle w:val="a5"/>
      </w:pPr>
      <w:r>
        <w:rPr>
          <w:rStyle w:val="a7"/>
        </w:rPr>
        <w:footnoteRef/>
      </w:r>
      <w:r>
        <w:t xml:space="preserve"> </w:t>
      </w:r>
      <w:r>
        <w:rPr>
          <w:b/>
          <w:bCs/>
          <w:rtl/>
        </w:rPr>
        <w:t>ועוד המוציא כו'.</w:t>
      </w:r>
      <w:r>
        <w:rPr>
          <w:rtl/>
        </w:rPr>
        <w:t xml:space="preserve"> דלמעלה אמר על הכוכבים ועתה דריש הכל בקריאת שמע, ומ"י כבר דריש - נ' אתוון, ואלה הוא תלת אבהן כנ"ל, ודא ערב דשכינה בב' המקומות חו"ג ובעלה ת"ת:</w:t>
      </w:r>
    </w:p>
  </w:footnote>
  <w:footnote w:id="4190">
    <w:p w:rsidR="00A13282" w:rsidRDefault="00A13282" w:rsidP="00B17EA9">
      <w:pPr>
        <w:pStyle w:val="a5"/>
      </w:pPr>
      <w:r>
        <w:rPr>
          <w:rStyle w:val="a7"/>
        </w:rPr>
        <w:footnoteRef/>
      </w:r>
      <w:r>
        <w:t xml:space="preserve"> </w:t>
      </w:r>
      <w:r>
        <w:rPr>
          <w:b/>
          <w:bCs/>
          <w:rtl/>
        </w:rPr>
        <w:t>רמ"ח תיבין דק"ש.</w:t>
      </w:r>
      <w:r>
        <w:rPr>
          <w:rtl/>
        </w:rPr>
        <w:t xml:space="preserve"> שהן רמ"ח אברים של אדם דכלילין כל הדרגין דג' עולמות בי"ע שהן קומה שלימה, רב"ג, וזה שכתוב לכלם בשם כו', לכל חיות הקודש כו' דכל אחד תליא באבר ואתר ידיעא, וכולם מתייחדים בקריאת שמע כמו שאומר ברעיא מהימנא פ' ואתחנן רס"ג א' מאן דמייחד כו' ויחבר כל שייפוי בההוא יחודא כו' הכי לעילא מחבר כל שייפין עלאה בההוא יחודא כו' כל חיילי שמיא כלהו קיימין שורין שורין בגין לאתתקנא ולאתכללא כלהו בההוא יחודא למיקם ברזא דחד ביחודא חדא כו' תחות  רמ"ח עלמין וכלהו אקרון שייפין דגופא כו' עיין שם בדבריו:</w:t>
      </w:r>
    </w:p>
  </w:footnote>
  <w:footnote w:id="4191">
    <w:p w:rsidR="00A13282" w:rsidRDefault="00A13282" w:rsidP="00B17EA9">
      <w:pPr>
        <w:pStyle w:val="a5"/>
      </w:pPr>
      <w:r>
        <w:rPr>
          <w:rStyle w:val="a7"/>
        </w:rPr>
        <w:footnoteRef/>
      </w:r>
      <w:r>
        <w:t xml:space="preserve"> </w:t>
      </w:r>
      <w:r>
        <w:rPr>
          <w:b/>
          <w:bCs/>
          <w:rtl/>
        </w:rPr>
        <w:t>לכלם כו'.</w:t>
      </w:r>
      <w:r>
        <w:rPr>
          <w:rtl/>
        </w:rPr>
        <w:t xml:space="preserve"> ת"ת כמו שמפרש והולך דא כו':</w:t>
      </w:r>
    </w:p>
  </w:footnote>
  <w:footnote w:id="4192">
    <w:p w:rsidR="00A13282" w:rsidRDefault="00A13282" w:rsidP="00B17EA9">
      <w:pPr>
        <w:pStyle w:val="a5"/>
      </w:pPr>
      <w:r>
        <w:rPr>
          <w:rStyle w:val="a7"/>
        </w:rPr>
        <w:footnoteRef/>
      </w:r>
      <w:r>
        <w:t xml:space="preserve"> </w:t>
      </w:r>
      <w:r>
        <w:rPr>
          <w:b/>
          <w:bCs/>
          <w:rtl/>
        </w:rPr>
        <w:t>לאשתמודע כו'.</w:t>
      </w:r>
      <w:r>
        <w:rPr>
          <w:rtl/>
        </w:rPr>
        <w:t xml:space="preserve"> רוצה לומר, כשחוזר משליחותו לידע לאיזה מקום במרכבה לחזור, והוא בשמו - שנקרא על שם מקומו במרכבה, ועיין לקמן תיקון נ”ז לית מלאך דלית ליה עיקרא כו' דכל ממנן דלעילא שמהן דילהון תליין בספירן כו' עיין שם:</w:t>
      </w:r>
    </w:p>
  </w:footnote>
  <w:footnote w:id="4193">
    <w:p w:rsidR="00A13282" w:rsidRDefault="00A13282" w:rsidP="00B17EA9">
      <w:pPr>
        <w:pStyle w:val="a5"/>
      </w:pPr>
      <w:r>
        <w:rPr>
          <w:rStyle w:val="a7"/>
        </w:rPr>
        <w:footnoteRef/>
      </w:r>
      <w:r>
        <w:t xml:space="preserve"> </w:t>
      </w:r>
      <w:r>
        <w:rPr>
          <w:b/>
          <w:bCs/>
          <w:rtl/>
        </w:rPr>
        <w:t>כגוונא דנחלי כו'.</w:t>
      </w:r>
      <w:r>
        <w:rPr>
          <w:rtl/>
        </w:rPr>
        <w:t xml:space="preserve"> רוצה לומר, אל מקום שהנחלים הולכים, מן הים, לאותו מקום עצמו בים הם שבים ללכת שם, וכן הוא במלאכים מאתר דאזלין כו':</w:t>
      </w:r>
    </w:p>
  </w:footnote>
  <w:footnote w:id="4194">
    <w:p w:rsidR="00A13282" w:rsidRDefault="00A13282" w:rsidP="00B17EA9">
      <w:pPr>
        <w:pStyle w:val="a5"/>
      </w:pPr>
      <w:r>
        <w:rPr>
          <w:rStyle w:val="a7"/>
        </w:rPr>
        <w:footnoteRef/>
      </w:r>
      <w:r>
        <w:t xml:space="preserve"> </w:t>
      </w:r>
      <w:r>
        <w:rPr>
          <w:b/>
          <w:bCs/>
          <w:rtl/>
        </w:rPr>
        <w:t>מרוב אונים כו'.</w:t>
      </w:r>
      <w:r>
        <w:rPr>
          <w:rtl/>
        </w:rPr>
        <w:t xml:space="preserve"> דאון הוא כח כמו שכתוב (בראשית מט ג) כחי וראשית אוני, ואמר לקמן בתיקון נ”ב תוקפא דיליה נביעו דלית ליה סוף, דשם אין סוף, וזהו מרוב אונים:</w:t>
      </w:r>
    </w:p>
  </w:footnote>
  <w:footnote w:id="4195">
    <w:p w:rsidR="00A13282" w:rsidRDefault="00A13282" w:rsidP="00B17EA9">
      <w:pPr>
        <w:pStyle w:val="a5"/>
      </w:pPr>
      <w:r>
        <w:rPr>
          <w:rStyle w:val="a7"/>
        </w:rPr>
        <w:footnoteRef/>
      </w:r>
      <w:r>
        <w:t xml:space="preserve"> </w:t>
      </w:r>
      <w:r>
        <w:rPr>
          <w:b/>
          <w:bCs/>
          <w:rtl/>
        </w:rPr>
        <w:t>ואמיץ כח.</w:t>
      </w:r>
      <w:r>
        <w:rPr>
          <w:rtl/>
        </w:rPr>
        <w:t xml:space="preserve"> כמו שמפרש והולך שהוא מאמץ הכח, כ"ח מ"ה, ואמיץ כח הוא חו"ב, וכן אמר למטה מרוב אונים כולל תפארת נצח הוד, ועיין מה שכתבתי שם. וחוזר וכולל כל כח"ב איש כו' כמו שמפרש והולך, ורוצה לומר לכלם בשם יקרא מאלו ג"ר שהן כללא דכלהו לא נעדר אחד מהם דלית ליה שם משם:</w:t>
      </w:r>
    </w:p>
  </w:footnote>
  <w:footnote w:id="4196">
    <w:p w:rsidR="00A13282" w:rsidRDefault="00A13282" w:rsidP="00B17EA9">
      <w:pPr>
        <w:pStyle w:val="a5"/>
      </w:pPr>
      <w:r>
        <w:rPr>
          <w:rStyle w:val="a7"/>
        </w:rPr>
        <w:footnoteRef/>
      </w:r>
      <w:r>
        <w:t xml:space="preserve"> </w:t>
      </w:r>
      <w:r>
        <w:rPr>
          <w:b/>
          <w:bCs/>
          <w:rtl/>
        </w:rPr>
        <w:t>ש' כו' תשובה ודאי.</w:t>
      </w:r>
      <w:r>
        <w:rPr>
          <w:rtl/>
        </w:rPr>
        <w:t xml:space="preserve"> אמר ודאי, שהוא ידוע מתנאים הקודמים וכמו שאומר בס' הבהיר ב' ד' א"ר אמוראי מ"ד ה' איש מלחמה כו' א"ל בגין אל"ף ראש, יו"ד שני לה, שי"ן כולל כל העולם, ולמה שי"ן כולל כל העולם מפני שכתוב בה תשובה, ואמר שם ד' ד' שורש דשין דומיא דשורש האילן ושורש כל האילן הוא מעיקרו:</w:t>
      </w:r>
    </w:p>
  </w:footnote>
  <w:footnote w:id="4197">
    <w:p w:rsidR="00A13282" w:rsidRDefault="00A13282" w:rsidP="00B17EA9">
      <w:pPr>
        <w:pStyle w:val="a5"/>
      </w:pPr>
      <w:r>
        <w:rPr>
          <w:rStyle w:val="a7"/>
        </w:rPr>
        <w:footnoteRef/>
      </w:r>
      <w:r>
        <w:t xml:space="preserve"> </w:t>
      </w:r>
      <w:r>
        <w:rPr>
          <w:b/>
          <w:bCs/>
          <w:rtl/>
        </w:rPr>
        <w:t>ועוד מרוב כו'.</w:t>
      </w:r>
      <w:r>
        <w:rPr>
          <w:rtl/>
        </w:rPr>
        <w:t xml:space="preserve"> עתה בא לכלול כל העשר ספירות דמרום וראו אמר לעיל שהן חו"ג המוציא כו' הוא שכינתא ואמר מרוב כו' איש לא נעדר ה' כו' רוצה לומר כנ"ל שהן ג"ר ומשם המלחמה כמו שכתוב כי יד על כס י"ה וכמו שאומר לעיל ס"ו ב' וכד מטא זמנא לנקמא מניה שלהובין דאשא נפקין מהאי י"ה כמה דאת אמר רשפיה כו', ולפירוש הראשון לכלם בשם יקרא כולל ו"ק, אבל לפירוש זה לא חשיב כלל לכלם בשם יקרא, אלא הוא כולל כל העשר ספירות, דלכלם בשם יקרא לכל ממנן דמינייהו כנ"ל:</w:t>
      </w:r>
    </w:p>
  </w:footnote>
  <w:footnote w:id="4198">
    <w:p w:rsidR="00A13282" w:rsidRDefault="00A13282" w:rsidP="00B17EA9">
      <w:pPr>
        <w:pStyle w:val="a5"/>
      </w:pPr>
      <w:r>
        <w:rPr>
          <w:rStyle w:val="a7"/>
        </w:rPr>
        <w:footnoteRef/>
      </w:r>
      <w:r>
        <w:t xml:space="preserve"> </w:t>
      </w:r>
      <w:r>
        <w:rPr>
          <w:b/>
          <w:bCs/>
          <w:rtl/>
        </w:rPr>
        <w:t>קם סבא כו'.</w:t>
      </w:r>
      <w:r>
        <w:rPr>
          <w:rtl/>
        </w:rPr>
        <w:t xml:space="preserve"> שאו מרום מי - כח"ב, אלה - חג"ת, צבאם - נו"ה, לכלם - מלכות, מרוב כו' - הכל בצדיק, וכמו שמפרש והולך, ואמר שאו כו' ראשית, דהוא חכמה, וכן הוא קדש ונאמר שאו כו', וזה שאמרו למי נושאין כפים כו' כנ"ל, והענין כי נשיאת עינים הוא בחכמה, כי למעלה מהם הוא מקום החכמה ומשם למרום כתר:</w:t>
      </w:r>
    </w:p>
  </w:footnote>
  <w:footnote w:id="4199">
    <w:p w:rsidR="00A13282" w:rsidRDefault="00A13282" w:rsidP="00B17EA9">
      <w:pPr>
        <w:pStyle w:val="a5"/>
      </w:pPr>
      <w:r>
        <w:rPr>
          <w:rStyle w:val="a7"/>
        </w:rPr>
        <w:footnoteRef/>
      </w:r>
      <w:r>
        <w:t xml:space="preserve"> </w:t>
      </w:r>
      <w:r>
        <w:rPr>
          <w:b/>
          <w:bCs/>
          <w:rtl/>
        </w:rPr>
        <w:t>מרוב כו'.</w:t>
      </w:r>
      <w:r>
        <w:rPr>
          <w:rtl/>
        </w:rPr>
        <w:t xml:space="preserve"> כמו שמפרש והולך שנאמר ביה לרוב והוא וידגו, נונא, דרגא דיוסף:</w:t>
      </w:r>
    </w:p>
  </w:footnote>
  <w:footnote w:id="4200">
    <w:p w:rsidR="00A13282" w:rsidRDefault="00A13282" w:rsidP="00B17EA9">
      <w:pPr>
        <w:pStyle w:val="a5"/>
      </w:pPr>
      <w:r>
        <w:rPr>
          <w:rStyle w:val="a7"/>
        </w:rPr>
        <w:footnoteRef/>
      </w:r>
      <w:r>
        <w:t xml:space="preserve"> </w:t>
      </w:r>
      <w:r>
        <w:rPr>
          <w:b/>
          <w:bCs/>
          <w:rtl/>
        </w:rPr>
        <w:t>ואיהו אמיץ כח.</w:t>
      </w:r>
      <w:r>
        <w:rPr>
          <w:rtl/>
        </w:rPr>
        <w:t xml:space="preserve"> דנקרא איתן דעייל בימא בתוקפא:</w:t>
      </w:r>
    </w:p>
  </w:footnote>
  <w:footnote w:id="4201">
    <w:p w:rsidR="00A13282" w:rsidRDefault="00A13282" w:rsidP="00B17EA9">
      <w:pPr>
        <w:pStyle w:val="a5"/>
      </w:pPr>
      <w:r>
        <w:rPr>
          <w:rStyle w:val="a7"/>
        </w:rPr>
        <w:footnoteRef/>
      </w:r>
      <w:r>
        <w:t xml:space="preserve"> </w:t>
      </w:r>
      <w:r>
        <w:rPr>
          <w:b/>
          <w:bCs/>
          <w:rtl/>
        </w:rPr>
        <w:t>כח דיליה איהו כו'.</w:t>
      </w:r>
      <w:r>
        <w:rPr>
          <w:rtl/>
        </w:rPr>
        <w:t xml:space="preserve"> שהן שתי הידים, חו"ג, שמהן נתאמץ כידוע וכמו שאומר לעיל ס"ז א' והאי כח איהו רזא כו' דאתלבש בתרין דרועין דאינון חו"ג, ואמר שם ס"ו ב' ד"א שימני כחותם כח כו' ועלה אתמר ועתה יגדל כו' דהאי כח דאתלבש בשבע תיבין דעובדא דבראשית כ"ח אתוון כו', ואמר בזהר פרשת בלק קפ"ו ב' וברית קדישא אתער בחמשה אצבעין דידא, והן ה’ חסדים וה’ גבורות ולכן (שבת קח ע"ב) יד לאמה כו':</w:t>
      </w:r>
    </w:p>
  </w:footnote>
  <w:footnote w:id="4202">
    <w:p w:rsidR="00A13282" w:rsidRDefault="00A13282" w:rsidP="00B17EA9">
      <w:pPr>
        <w:pStyle w:val="a5"/>
      </w:pPr>
      <w:r>
        <w:rPr>
          <w:rStyle w:val="a7"/>
        </w:rPr>
        <w:footnoteRef/>
      </w:r>
      <w:r>
        <w:t xml:space="preserve"> </w:t>
      </w:r>
      <w:r>
        <w:rPr>
          <w:b/>
          <w:bCs/>
          <w:rtl/>
        </w:rPr>
        <w:t>לא נעדר משכינתא לעולם.</w:t>
      </w:r>
      <w:r>
        <w:rPr>
          <w:rtl/>
        </w:rPr>
        <w:t xml:space="preserve"> רוצה לומר, הצדיק כמו שאומר בזהר פרשת פקודי דלא פסיק מבירא לעלמין, וקאי הכל על הצדיק:</w:t>
      </w:r>
    </w:p>
  </w:footnote>
  <w:footnote w:id="4203">
    <w:p w:rsidR="00A13282" w:rsidRDefault="00A13282" w:rsidP="00B17EA9">
      <w:pPr>
        <w:pStyle w:val="a5"/>
      </w:pPr>
      <w:r>
        <w:rPr>
          <w:rStyle w:val="a7"/>
        </w:rPr>
        <w:footnoteRef/>
      </w:r>
      <w:r>
        <w:t xml:space="preserve"> </w:t>
      </w:r>
      <w:r>
        <w:rPr>
          <w:b/>
          <w:bCs/>
          <w:rtl/>
        </w:rPr>
        <w:t>א"ל סבא סבא כו' תמן כו'.</w:t>
      </w:r>
      <w:r>
        <w:rPr>
          <w:rtl/>
        </w:rPr>
        <w:t xml:space="preserve"> רוצה לומר, לפרש איש לא נעדר דלא פירש הסבא, ופירש הוא דקאי על כל נשמתין דאיש לא נעדר משם, דצדיק כולל כולם וכמו שאומר לעיל א' א' וכלהו פרחין מן רקיע ודא צדיק כו', וכן כל צבא השמים ביה כמו שאומר בריש שמות הרקיע ביה קיימין כוכביא ומזלי כו', וזה שאמרו כגוונא דצבא השמים, וכל צבאם קאי גם כן על ישראל, דעתה הוא שפיר מה שאומר צבאם נו"ה:</w:t>
      </w:r>
    </w:p>
  </w:footnote>
  <w:footnote w:id="4204">
    <w:p w:rsidR="00A13282" w:rsidRDefault="00A13282" w:rsidP="00B17EA9">
      <w:pPr>
        <w:pStyle w:val="a5"/>
      </w:pPr>
      <w:r>
        <w:rPr>
          <w:rStyle w:val="a7"/>
        </w:rPr>
        <w:footnoteRef/>
      </w:r>
      <w:r>
        <w:t xml:space="preserve"> </w:t>
      </w:r>
      <w:r>
        <w:rPr>
          <w:b/>
          <w:bCs/>
          <w:rtl/>
        </w:rPr>
        <w:t>ועוד מרוב כו'.</w:t>
      </w:r>
      <w:r>
        <w:rPr>
          <w:rtl/>
        </w:rPr>
        <w:t xml:space="preserve"> אמר מרוב כו' ואמיץ כו' איש, הן חג"ת וכן כח"ב וכן נה"י, דכלהו הן בחד דרגא ומספר שכינה כוללת כולם כמו שמפרש והולך:</w:t>
      </w:r>
    </w:p>
  </w:footnote>
  <w:footnote w:id="4205">
    <w:p w:rsidR="00A13282" w:rsidRDefault="00A13282" w:rsidP="00B17EA9">
      <w:pPr>
        <w:pStyle w:val="a5"/>
      </w:pPr>
      <w:r>
        <w:rPr>
          <w:rStyle w:val="a7"/>
        </w:rPr>
        <w:footnoteRef/>
      </w:r>
      <w:r>
        <w:t xml:space="preserve"> </w:t>
      </w:r>
      <w:r>
        <w:rPr>
          <w:b/>
          <w:bCs/>
          <w:rtl/>
        </w:rPr>
        <w:t>כהן און.</w:t>
      </w:r>
      <w:r>
        <w:rPr>
          <w:rtl/>
        </w:rPr>
        <w:t xml:space="preserve"> בס"א נגד הקדושה:</w:t>
      </w:r>
    </w:p>
  </w:footnote>
  <w:footnote w:id="4206">
    <w:p w:rsidR="00A13282" w:rsidRDefault="00A13282" w:rsidP="00B17EA9">
      <w:pPr>
        <w:pStyle w:val="a5"/>
      </w:pPr>
      <w:r>
        <w:rPr>
          <w:rStyle w:val="a7"/>
        </w:rPr>
        <w:footnoteRef/>
      </w:r>
      <w:r>
        <w:t xml:space="preserve"> </w:t>
      </w:r>
      <w:r>
        <w:rPr>
          <w:b/>
          <w:bCs/>
          <w:rtl/>
        </w:rPr>
        <w:t>ואמיץ כו'.</w:t>
      </w:r>
      <w:r>
        <w:rPr>
          <w:rtl/>
        </w:rPr>
        <w:t xml:space="preserve"> רוצה לומר גבורה בכח דאימא דהיא כח מה, וזה שאומר ובג"ד כו' רוצה לומר הגבורה:</w:t>
      </w:r>
    </w:p>
  </w:footnote>
  <w:footnote w:id="4207">
    <w:p w:rsidR="00A13282" w:rsidRDefault="00A13282" w:rsidP="00B17EA9">
      <w:pPr>
        <w:pStyle w:val="a5"/>
      </w:pPr>
      <w:r>
        <w:rPr>
          <w:rStyle w:val="a7"/>
        </w:rPr>
        <w:footnoteRef/>
      </w:r>
      <w:r>
        <w:t xml:space="preserve"> </w:t>
      </w:r>
      <w:r>
        <w:rPr>
          <w:b/>
          <w:bCs/>
          <w:rtl/>
        </w:rPr>
        <w:t>איש כו' דאתמר ביה כו'.</w:t>
      </w:r>
      <w:r>
        <w:rPr>
          <w:rtl/>
        </w:rPr>
        <w:t xml:space="preserve"> עיין מה שכתבתי לעיל בתיקון מ"ב:</w:t>
      </w:r>
    </w:p>
  </w:footnote>
  <w:footnote w:id="4208">
    <w:p w:rsidR="00A13282" w:rsidRDefault="00A13282" w:rsidP="00B17EA9">
      <w:pPr>
        <w:pStyle w:val="a5"/>
      </w:pPr>
      <w:r>
        <w:rPr>
          <w:rStyle w:val="a7"/>
        </w:rPr>
        <w:footnoteRef/>
      </w:r>
      <w:r>
        <w:t xml:space="preserve"> </w:t>
      </w:r>
      <w:r>
        <w:rPr>
          <w:bCs/>
          <w:rtl/>
        </w:rPr>
        <w:t>פתח ר"ש כו'.</w:t>
      </w:r>
      <w:r>
        <w:rPr>
          <w:rtl/>
        </w:rPr>
        <w:t xml:space="preserve"> עתה מפרש על תפלה:</w:t>
      </w:r>
    </w:p>
  </w:footnote>
  <w:footnote w:id="4209">
    <w:p w:rsidR="00A13282" w:rsidRDefault="00A13282" w:rsidP="00B17EA9">
      <w:pPr>
        <w:pStyle w:val="a5"/>
      </w:pPr>
      <w:r>
        <w:rPr>
          <w:rStyle w:val="a7"/>
        </w:rPr>
        <w:footnoteRef/>
      </w:r>
      <w:r>
        <w:t xml:space="preserve"> </w:t>
      </w:r>
      <w:r>
        <w:rPr>
          <w:bCs/>
          <w:rtl/>
        </w:rPr>
        <w:t>הן כל אלה כו'.</w:t>
      </w:r>
      <w:r>
        <w:rPr>
          <w:rtl/>
        </w:rPr>
        <w:t xml:space="preserve"> רוצה לומר אלה הן אבהן כנ"ל, ומסטרא דילהון הן תלת גלגולים דאדם כמו שאומר לקמן ק"ה ב' ושאר מקומות הרבה, וכן הוא תלת גלגולים דכל אדם מסטרא דתלת אבהן כמו שאומר לעיל בתיקון ל”ב ושאר מקומות הרבה:</w:t>
      </w:r>
    </w:p>
  </w:footnote>
  <w:footnote w:id="4210">
    <w:p w:rsidR="00A13282" w:rsidRDefault="00A13282" w:rsidP="00B17EA9">
      <w:pPr>
        <w:pStyle w:val="a5"/>
      </w:pPr>
      <w:r>
        <w:rPr>
          <w:rStyle w:val="a7"/>
        </w:rPr>
        <w:footnoteRef/>
      </w:r>
      <w:r>
        <w:t xml:space="preserve"> </w:t>
      </w:r>
      <w:r>
        <w:rPr>
          <w:bCs/>
          <w:rtl/>
        </w:rPr>
        <w:t>בגין דאינון כו'.</w:t>
      </w:r>
      <w:r>
        <w:rPr>
          <w:rtl/>
        </w:rPr>
        <w:t xml:space="preserve"> רוצה לומר התלת גלגולים וכמו שאומר לעיל בתיקון ל”ב גלגולא קדמאה אצטבע בגוון חיוור ורכיב נפשא בסוסיא חוורא דאיהו גופא כו', בגלגולא תניינא רכיב כו', וזה שאומר דאינון מרכבה כו' ועיין בזהר חדש פ' יתרו כ"ז ב' אנשי חיל מסטרא דאברהם כו' עיין שם בדבריו ולקמן בתיקון ע’, והן דרגין דתלת צלותין כמו שאמרו (ברכות כו ע"ב) אברהם תיקן כו':</w:t>
      </w:r>
    </w:p>
  </w:footnote>
  <w:footnote w:id="4211">
    <w:p w:rsidR="00A13282" w:rsidRDefault="00A13282" w:rsidP="00B17EA9">
      <w:pPr>
        <w:pStyle w:val="a5"/>
      </w:pPr>
      <w:r>
        <w:rPr>
          <w:rStyle w:val="a7"/>
        </w:rPr>
        <w:footnoteRef/>
      </w:r>
      <w:r>
        <w:t xml:space="preserve"> </w:t>
      </w:r>
      <w:r>
        <w:rPr>
          <w:bCs/>
          <w:rtl/>
        </w:rPr>
        <w:t>ועלייהו כו'.</w:t>
      </w:r>
      <w:r>
        <w:rPr>
          <w:rtl/>
        </w:rPr>
        <w:t xml:space="preserve"> רוצה לומר על הני נשמתין דישראל דאינון מזרע דאבהן אבל ערב רב לאו אינון מזרע דאבהן, דאינון גרי צדק שהן בנוק', ה' זעירא, והן קשין לישראל כספחת שהזהירו מלקבל כמו שאמרו (יבמות קט ע"ב) רעה אחר רעה תבא וכו', וכל הגלות וחורבן בית המקדש וכל הצרות - הכל ע"י קיבול משה רבינו עליו השלום לערב רב, וכל עזי פנים ורשעים שבדור הן מנהון, ורוצה לומר מנשמתין דלהון שהן גלגול דילהון, וזה שאמרו בגמ' (ביצה לב ע"ב) אמר הני מערב רב קאתו כו', ועיין בזהר פרשת בראשית כ"ח ב' כ"ה א' אלה תולדות השמים והארץ הא אוקמוהו כל אתר דכתיב אלה פסל את הראשונים, ואלין תולדין דתהו דאתרמיזו בקרא תניינא והארץ היתה תהו, ואלין אינון דאתמר דקב"ה ברא עלמין ומחריבן, ובגין דא ארעא הוה תוהה ובוהה כו', ואלין אינון דאתגיירין מאומין דעלמא בגינייהו נפלת ה' זעירא דאברהם באלף חמישאה דהוא ה' דאיהו חרב ויבש כו', רוצה לומר משום דלית ליה חולק אלא בה' זעירא, ברתיה דאברהם, ה' דהבראם דהוא אותיות אברהם, דהוא אב המון גוים, בה"א דניתוסף ליה כי אב המון כו', דמשם נתאחזו גרי הצדק בה"א דיליה וזה שאמרו (ירושלמי ג ע"ב) דר' יהודה אומר גר מביא וקורא דכתיב כי אב כו', ומשה בגין דבעא לאעלא גיורין תחות גדפוי דשכינתא, וחשיב דהוי מאלין דאתבריאו בה"א, ויהיב בהון את ה"א דאברהם, גרמו ליה ירידה כמה דאת אמר לך רד כי שחת עמך, בגין דלא קבילו לאת ה"א בדחילו דיו"ד וברחימו דה"א נחית איהו מדרגיה דאיהו את ו' כו' דעתיד איהו בגלגולא לאתערבא בינייהו בגלותא בין ערב רב דאינון נשמתייהו מסטרא דאלין דאתמר כי שמים כעשן נמלחו וגו', ואלין אינון דלא בעא נח רחמי עלייהו ואתמר בהון וימחו מן הארץ בגין דהוו מאלין דאתמר בהון תמחה את זכר עמלק, ומשה לא אסתמר מנייהו ואפיל ה' בינייהו ובג"ד איהו לא ייעול לארעא דישראל עד דיתוב ה' לאתרה כו' ובגין דא ה' זעירא ה' דאברהם דאיהי דהבראם אתזער איהי בגיניה כו', אלין אינון דאהדרו עלמא לתהו ובהו, ורזא דמלה חרב בי מקדשא והארץ היתה תהו ובהו, דאיהי עקרא וישובא דעלמא, מיד דייתי אור דאיהו קב"ה ימחון מן עלמא ויתאבדון כו', אלין אינון דאתמר בהון אלה אלקיך ישראל, ביומא דיתמחון אלין כאלו ההוא יומא עביד קב"ה שמיא וארעא הדא הוא דכתיב ביום עשות ה' אלקים ארץ ושמים, בההוא זמנא יהא קב"ה עם שכינתא ויתחדש עלמא הדא הוא דכתיב כי כאשר השמים החדשים והארץ החדשה וגו' דא איהו ביום עשות, בההוא זמנא ויצמח ה' אלקים כו', וכן דריש כל הפרשה שם על הגאולה, דאז יתמחון אלין דערב רב שהן בדורות אלו עיין שם עד דף כ"ט הכל על הערב רב, וזה שאומר כאן </w:t>
      </w:r>
      <w:r>
        <w:rPr>
          <w:b/>
          <w:bCs/>
          <w:rtl/>
        </w:rPr>
        <w:t>אלה פסל את כו'</w:t>
      </w:r>
      <w:r>
        <w:rPr>
          <w:rtl/>
        </w:rPr>
        <w:t xml:space="preserve"> </w:t>
      </w:r>
      <w:r>
        <w:rPr>
          <w:b/>
          <w:bCs/>
          <w:rtl/>
        </w:rPr>
        <w:t>דאמרו אלה כו' דאתרמיז כו'.</w:t>
      </w:r>
      <w:r>
        <w:rPr>
          <w:rtl/>
        </w:rPr>
        <w:t xml:space="preserve"> רוצה לומר דאלה קאי על גזעא קדישא דישראל דישתארון ביום עשות ה' אלקים כו' שהן השמים והארץ החדשים כנ"ל, ואז פסל להני דרמיזין בראשי תיבות ת'ולדות ה'שמים ו'הארץ, ורוצה לומר אלה ישתארו מתולדות השמים והארץ ביום כו':</w:t>
      </w:r>
    </w:p>
  </w:footnote>
  <w:footnote w:id="4212">
    <w:p w:rsidR="00A13282" w:rsidRDefault="00A13282" w:rsidP="00B17EA9">
      <w:pPr>
        <w:pStyle w:val="a5"/>
      </w:pPr>
      <w:r>
        <w:rPr>
          <w:rStyle w:val="a7"/>
        </w:rPr>
        <w:footnoteRef/>
      </w:r>
      <w:r>
        <w:t xml:space="preserve"> </w:t>
      </w:r>
      <w:r>
        <w:rPr>
          <w:bCs/>
          <w:rtl/>
        </w:rPr>
        <w:t>ואינון חמש מינין כו'.</w:t>
      </w:r>
      <w:r>
        <w:rPr>
          <w:rtl/>
        </w:rPr>
        <w:t xml:space="preserve"> כמו שמפרש והולך ואינון כו', שהן כלהון דערב רב, דנשמתיהון נתערב בישראל, והוא ה' זעירא דבהברא"ם אחר רמיזא דתהו שהן מינה, והן בגדפין דילה, ועיין שם י"ג א' ב' וכמה אדרין סתימין כו':</w:t>
      </w:r>
    </w:p>
  </w:footnote>
  <w:footnote w:id="4213">
    <w:p w:rsidR="00A13282" w:rsidRDefault="00A13282" w:rsidP="00B17EA9">
      <w:pPr>
        <w:pStyle w:val="a5"/>
      </w:pPr>
      <w:r>
        <w:rPr>
          <w:rStyle w:val="a7"/>
        </w:rPr>
        <w:footnoteRef/>
      </w:r>
      <w:r>
        <w:t xml:space="preserve"> </w:t>
      </w:r>
      <w:r>
        <w:rPr>
          <w:bCs/>
          <w:rtl/>
        </w:rPr>
        <w:t>ואינון עמלקים כו'.</w:t>
      </w:r>
      <w:r>
        <w:rPr>
          <w:rtl/>
        </w:rPr>
        <w:t xml:space="preserve"> שהן נג"ע ר"ע, דעלייהו אמרו קשים גרים לישראל כספחת, דכל נגעים אינן קשים כספחת דהוא נדבק, (ישעיהו יד א) ונספחו על בית כו', ואינון בעץ הדעת טוב ורע, חט דחט"ה, דישראל אינון מה', ה' מיני חטה כמו שאומר ברעיא מהימנא פ' משפטים ק"כ ב' עיין שם בדבריו, ואינון סובין ומורסן דחט"ה, וחשיב משה להכניסן לקדושה אבל לא יכול ונפיל איהו וישראל בגינם כמו שאומר שם ברעיא מהימנא ובזהר פרשת בראשית שם, וזה שאומר ובגין דא טרחת ה' בגינייהו כו' רוצה לומר להחזירם בקדושה וכמו שאומר למטה:</w:t>
      </w:r>
    </w:p>
  </w:footnote>
  <w:footnote w:id="4214">
    <w:p w:rsidR="00A13282" w:rsidRDefault="00A13282" w:rsidP="00B17EA9">
      <w:pPr>
        <w:pStyle w:val="a5"/>
      </w:pPr>
      <w:r>
        <w:rPr>
          <w:rStyle w:val="a7"/>
        </w:rPr>
        <w:footnoteRef/>
      </w:r>
      <w:r>
        <w:t xml:space="preserve"> </w:t>
      </w:r>
      <w:r>
        <w:rPr>
          <w:bCs/>
          <w:rtl/>
        </w:rPr>
        <w:t>עמלקים כו'.</w:t>
      </w:r>
      <w:r>
        <w:rPr>
          <w:rtl/>
        </w:rPr>
        <w:t xml:space="preserve"> מפרש בזהר פרשת בראשית שם, דעמלקים רישין דבני ישראל בגלותא, כלי חמס, וגוזלים לעניי ישראל, והן מסטרא דדור המבול ונשמתין דילהון, ונצטרפו במצרים, ונפרד הרע בערב רב, וכד קביל לון משה עליו השלום, נתערבו נשמתן בישראל, והוא הגלות הזה גלות רביעי בגין אות ד', ה' זעירא, כמו שאומר ברעיא מהימנא פ' משפטים. נפילים הן דאזלין בתר זנות וכן בתר בצעין דהאי עלמא אשה זונה מסטרא דנפילים. גבורים הן אנשי השם דכל עובדיהון בשביל לעשות לון שם מסטרא דדור הפלגה. רפאים הן שאינן רוצים לעשות גמילות חסדים וצדקה עם בעלי תורה. ענקים הם המזלזלים תלמידי חכמים, עיין שם בדבריו:</w:t>
      </w:r>
    </w:p>
  </w:footnote>
  <w:footnote w:id="4215">
    <w:p w:rsidR="00A13282" w:rsidRDefault="00A13282" w:rsidP="00B17EA9">
      <w:pPr>
        <w:pStyle w:val="a5"/>
      </w:pPr>
      <w:r>
        <w:rPr>
          <w:rStyle w:val="a7"/>
        </w:rPr>
        <w:footnoteRef/>
      </w:r>
      <w:r>
        <w:t xml:space="preserve"> </w:t>
      </w:r>
      <w:r>
        <w:rPr>
          <w:bCs/>
          <w:rtl/>
        </w:rPr>
        <w:t>ובג"ד טרחת ה' כו'.</w:t>
      </w:r>
      <w:r>
        <w:rPr>
          <w:rtl/>
        </w:rPr>
        <w:t xml:space="preserve"> רוצה לומר ה' דמשה, דמשה הוא מסטרא דה' בתראה, דתלת אבהן הן יה"ו, והוא אשלים להויה ולכן נתגלה לו שם הוי"ה וכמו שאומר לקמן בתיקון ס”ט בכמה מקומות, ולכן טרח אחריהם דסבור דהם מסטרא דטוב גם כן דה"א וכנ"ל:</w:t>
      </w:r>
    </w:p>
  </w:footnote>
  <w:footnote w:id="4216">
    <w:p w:rsidR="00A13282" w:rsidRDefault="00A13282" w:rsidP="00B17EA9">
      <w:pPr>
        <w:pStyle w:val="a5"/>
      </w:pPr>
      <w:r>
        <w:rPr>
          <w:rStyle w:val="a7"/>
        </w:rPr>
        <w:footnoteRef/>
      </w:r>
      <w:r>
        <w:t xml:space="preserve"> </w:t>
      </w:r>
      <w:r>
        <w:rPr>
          <w:bCs/>
          <w:rtl/>
        </w:rPr>
        <w:t>ועלה אתמר.</w:t>
      </w:r>
      <w:r>
        <w:rPr>
          <w:rtl/>
        </w:rPr>
        <w:t xml:space="preserve"> רוצה לומר על ה' הנ"ל, דשם כתוב דלא בשביל תהו איהי, דהן ערב רב הנ"ל, אלא בשביל גרים מסטרא דטוב, וכמו שאמרו (פסחים פז ע"ב) דלא גלו ישראל לבין האומות אלא כדי שיתוספו עליהם גרים כו', והן ד' כתות, (במדבר רבה ח ב) זה יאמר לה' אני כו' ועליהן נאמר יראי ה' ברכו את ה', דהמרכבה הוא מג' אבהן והרביעי דוד שבא מרות המואביה ואמר גר אנכי כו', וכנגדם הם ד' דרגין כהנים לוים וישראלים וגרי צדק, בית אהרן ברכו ה' בית הלוי כו' בית ישראל כו' ויראי ה' כמו שאומר במדרש רבה, והן ד' אותיות הוי"ה אלא שהן מסטרא דטוב, דנגה, ונטפלו אל הקדושה, וכנגדן ד' רגלים, ושמיני אף שרגל בפני עצמו מכל מקום תשלומין כו' (ר"ה ד ע"ב), ונטפל אל סוכות דרגא דיעקב, וזה שכתוב לא תהו בראה למיתב בינייהו ברע, דאז פרודא באתוון, אלא לשבת יצרה - לשבת בית עם תפארת אדם כנ"ל למעבד ישובא מינייהו להתוסף על ישראל, ומשה טעה בזה שסבור שהם מסטרא דטוב, אבל כבר נבררו כל מצרים בגלות ולכן נאסר לירד למצרים, וכן לעתיד לבא (יבמות כד ע"ב) אין מקבלין גרים לימות המשיח מטעם זה, וכמו שאומר האריז"ל דר"ב ניצוצין נבררו במצרים והן הר"ע שבהן ערב רב וראשי תיבות שלהן ר"ע והנשאר שבהם גרם לו רד בגלות הזה כמו שאומר ברעיא מהימנא פ' משפטים ומשה עלה אל האלקים, לברר פ"ו הנשאר מרפ"ח, ולא נסתייע בעון העגל שפגמו בשם אלקים כמו שאומר בזהר פרשת תשא במי אלה, וגרם הגלות עד שיתברר וזה שאומר </w:t>
      </w:r>
      <w:r>
        <w:rPr>
          <w:b/>
          <w:bCs/>
          <w:rtl/>
        </w:rPr>
        <w:t>ובגין האי ה' אלה דאינון כו'.</w:t>
      </w:r>
      <w:r>
        <w:rPr>
          <w:rtl/>
        </w:rPr>
        <w:t xml:space="preserve"> דהתפלה הוא במלכות, ג' תפלות - להעלותה בג' אבהן, וזה שאומר לנחתא בהון רוצה לומר האבהן בשבילה, וכן הוא הגלות דזרע אבהן שהן הישראל, ירדו בגלות להעלות ניצוצות דילה ולהעלותה:</w:t>
      </w:r>
    </w:p>
  </w:footnote>
  <w:footnote w:id="4217">
    <w:p w:rsidR="00A13282" w:rsidRDefault="00A13282" w:rsidP="00B17EA9">
      <w:pPr>
        <w:pStyle w:val="a5"/>
      </w:pPr>
      <w:r>
        <w:rPr>
          <w:rStyle w:val="a7"/>
        </w:rPr>
        <w:footnoteRef/>
      </w:r>
      <w:r>
        <w:t xml:space="preserve"> </w:t>
      </w:r>
      <w:r>
        <w:rPr>
          <w:bCs/>
          <w:rtl/>
        </w:rPr>
        <w:t>דבהון אחיד בה.</w:t>
      </w:r>
      <w:r>
        <w:rPr>
          <w:rtl/>
        </w:rPr>
        <w:t xml:space="preserve"> כמו שכתוב (שה"ש ב ו) שמאלו תחת לראשי וימינו תחבקני, וכמו שאומר שבנינה אדני הוא מימינא ושמאלא שנעשו מאל אלקים ה', ג' הויות דגדלות, וכן העלאה דגרים מצד אברהם ויצחק דבהון אחיזה לאומין מצד עשו (פירוש עמלק) וישמעאל, ועל גופא דיעקב אסתלקו שהן ישראלים וכמו שאמרו (שבת לא ע"א) גיירני על מנת שתשימני כהן גדול גר הקל כו':</w:t>
      </w:r>
    </w:p>
  </w:footnote>
  <w:footnote w:id="4218">
    <w:p w:rsidR="00A13282" w:rsidRDefault="00A13282" w:rsidP="00B17EA9">
      <w:pPr>
        <w:pStyle w:val="a5"/>
      </w:pPr>
      <w:r>
        <w:rPr>
          <w:rStyle w:val="a7"/>
        </w:rPr>
        <w:footnoteRef/>
      </w:r>
      <w:r>
        <w:t xml:space="preserve"> </w:t>
      </w:r>
      <w:r>
        <w:rPr>
          <w:bCs/>
          <w:rtl/>
        </w:rPr>
        <w:t>ומאן סליק לה כו'.</w:t>
      </w:r>
      <w:r>
        <w:rPr>
          <w:rtl/>
        </w:rPr>
        <w:t xml:space="preserve"> דהיא תשובה דבה סלקא תפלה, וכן הגרים ששבו לה', וזהו אלה תולדות כו' בהבראם, דאלה, בהבראם מתהו, להעלות הה' דאברהם ולבררה מתהו, ביום עשות כו', וזהו אלקים דבראשית, דמי שמעלה ה' כנ"ל נתחבר עם אלה, וזה שאומר מי ברא אלה:</w:t>
      </w:r>
    </w:p>
  </w:footnote>
  <w:footnote w:id="4219">
    <w:p w:rsidR="00A13282" w:rsidRDefault="00A13282" w:rsidP="00B17EA9">
      <w:pPr>
        <w:pStyle w:val="a5"/>
        <w:rPr>
          <w:rtl/>
        </w:rPr>
      </w:pPr>
      <w:r>
        <w:rPr>
          <w:rStyle w:val="a7"/>
          <w:rtl/>
        </w:rPr>
        <w:footnoteRef/>
      </w:r>
      <w:r>
        <w:rPr>
          <w:rtl/>
        </w:rPr>
        <w:t xml:space="preserve"> </w:t>
      </w:r>
      <w:r>
        <w:rPr>
          <w:b/>
          <w:bCs/>
          <w:rtl/>
        </w:rPr>
        <w:t>וכד סלקת כו'.</w:t>
      </w:r>
      <w:r>
        <w:rPr>
          <w:rtl/>
        </w:rPr>
        <w:t xml:space="preserve"> רוצה לומר בתפלה וכן לעתיד לבוא:</w:t>
      </w:r>
    </w:p>
  </w:footnote>
  <w:footnote w:id="4220">
    <w:p w:rsidR="00A13282" w:rsidRDefault="00A13282" w:rsidP="00B17EA9">
      <w:pPr>
        <w:pStyle w:val="a5"/>
      </w:pPr>
      <w:r>
        <w:rPr>
          <w:rStyle w:val="a7"/>
        </w:rPr>
        <w:footnoteRef/>
      </w:r>
      <w:r>
        <w:t xml:space="preserve"> </w:t>
      </w:r>
      <w:r>
        <w:rPr>
          <w:bCs/>
          <w:rtl/>
        </w:rPr>
        <w:t>וכל ישראל כו'.</w:t>
      </w:r>
      <w:r>
        <w:rPr>
          <w:rtl/>
        </w:rPr>
        <w:t xml:space="preserve"> דבמספר קאי גם כן עלייהו, דנספרו במדבר שתין רבוא ונאמר בהן כל יוצא צבא, ועל צבא, יצאו צבאות ה' כו':</w:t>
      </w:r>
    </w:p>
  </w:footnote>
  <w:footnote w:id="4221">
    <w:p w:rsidR="00A13282" w:rsidRDefault="00A13282" w:rsidP="00B17EA9">
      <w:pPr>
        <w:pStyle w:val="a5"/>
      </w:pPr>
      <w:r>
        <w:rPr>
          <w:rStyle w:val="a7"/>
        </w:rPr>
        <w:footnoteRef/>
      </w:r>
      <w:r>
        <w:t xml:space="preserve"> </w:t>
      </w:r>
      <w:r>
        <w:rPr>
          <w:bCs/>
          <w:rtl/>
        </w:rPr>
        <w:t>דאינון שתין רבוא מתייחסין בצבא דלעילא.</w:t>
      </w:r>
      <w:r>
        <w:rPr>
          <w:rtl/>
        </w:rPr>
        <w:t xml:space="preserve"> כמו שאומר בזהר פרשת שמות ד' ב' דתנינן שית מאה אלפין רתיכין קדישין נחתו עם יעקב למצרים, וכלהו סליקו מתמן כד נפקו ישראל ממצרים הה"ד ויסעו בני ישראל מרעמסס סכותה כשש מאות אלף רגלי וגו' שש מאות לא נאמר אלא כשש כגוונא דנפקו אלין כך נפקו אלין כו'. וכן לעתיד לבא, וזהו המוציא מגלות במספר צבאם דעילא ותתא ע"י מי ואלה כנ"ל:</w:t>
      </w:r>
    </w:p>
  </w:footnote>
  <w:footnote w:id="4222">
    <w:p w:rsidR="00A13282" w:rsidRDefault="00A13282" w:rsidP="00B17EA9">
      <w:pPr>
        <w:pStyle w:val="a5"/>
      </w:pPr>
      <w:r>
        <w:rPr>
          <w:rStyle w:val="a7"/>
        </w:rPr>
        <w:footnoteRef/>
      </w:r>
      <w:r>
        <w:t xml:space="preserve"> </w:t>
      </w:r>
      <w:r>
        <w:rPr>
          <w:bCs/>
          <w:rtl/>
        </w:rPr>
        <w:t>לכלם בשם כו'.</w:t>
      </w:r>
      <w:r>
        <w:rPr>
          <w:rtl/>
        </w:rPr>
        <w:t xml:space="preserve"> כמו שאומר בזהר פרשת בהעלותך דכל חושבנין דדגלים הכל במשריין דלעילא, והכל בשמהן דלהון, וזה שכתוב (במדבר א) במספר שמות כו', וכמו שאומר בזוהר בענין מזמרי שירתא אסף והימן וידותון, וזה שאומר איש לא נעדר מחושבנא - דהכל נקראו על צבא דלעילא, דלכן נאמר בכולם במספר שמות, מלבד השבטים והמשפחות דנתייחסו על צבא דלעילא תריסר ושבעין, והכל בשמהן, כל ששים רבוא בשמותם לגלגלותם כל יוצא צבא כו', וכן לעתיד לבא (ירמיהו לג יג) עוד תעבורנה הצאן ע"י מונה:</w:t>
      </w:r>
    </w:p>
  </w:footnote>
  <w:footnote w:id="4223">
    <w:p w:rsidR="00A13282" w:rsidRDefault="00A13282" w:rsidP="00B17EA9">
      <w:pPr>
        <w:pStyle w:val="a5"/>
      </w:pPr>
      <w:r>
        <w:rPr>
          <w:rStyle w:val="a7"/>
        </w:rPr>
        <w:footnoteRef/>
      </w:r>
      <w:r>
        <w:t xml:space="preserve"> </w:t>
      </w:r>
      <w:r>
        <w:rPr>
          <w:bCs/>
          <w:rtl/>
        </w:rPr>
        <w:t>ושכינתא בגלותא כו'.</w:t>
      </w:r>
      <w:r>
        <w:rPr>
          <w:rtl/>
        </w:rPr>
        <w:t xml:space="preserve"> אמר זה כאן משום שמסיים זכאה איהו מאן דמסלק לה לאתרה כו' ובמאי חזרין ליה לאתריה כו' המייחדים שמו כו', והוא חמשין אתוון דמ"י דקריאת שמע כמו שאומר לעיל ריש תיקון מ"ט, וזה מי ברא אלה המוציא כו' והמעלה אותה כנ"ל ועיין מה שכתבתי בסוף התיקון:</w:t>
      </w:r>
    </w:p>
  </w:footnote>
  <w:footnote w:id="4224">
    <w:p w:rsidR="00A13282" w:rsidRDefault="00A13282" w:rsidP="00B17EA9">
      <w:pPr>
        <w:pStyle w:val="a5"/>
      </w:pPr>
      <w:r>
        <w:rPr>
          <w:rStyle w:val="a7"/>
        </w:rPr>
        <w:footnoteRef/>
      </w:r>
      <w:r>
        <w:t xml:space="preserve"> </w:t>
      </w:r>
      <w:r>
        <w:rPr>
          <w:bCs/>
          <w:rtl/>
        </w:rPr>
        <w:t>בזמנא כו' לזמנין כו' וכלא יהיב כו'.</w:t>
      </w:r>
      <w:r>
        <w:rPr>
          <w:rtl/>
        </w:rPr>
        <w:t xml:space="preserve"> כל זה קאי אדעת דהוא בעלה, דרגא דמשה, וביה תליא מזונות בב' אחסנתין כמו שאומר לעיל בתיקון מ’ והוא ההולך בין או"א ונקרא בן י"ה בינה על שמו, והוא המתפשט בכל ו"ק לכמה נהרין כמו שאומר לקמן צ"א א' אית נהר כו' ואית נהר כו', לפי התפשטותו אם בחסד ואם בשאר ספירה, וכמו שאומר כאן וכד איהו נחית כו' וכד איהו נחית כו', והכל במזונות, אבל יחודא בב' עיטרין אינו אלא בצדיק כמו שאומר לקמן פ"ו ב' דלית יחודא לחתן וכלה כו' וכמו שאומר לקמן בתיקון נ”ו בארוכה, אבל מזונות אפשר ע"י שליח וכמו שמפרש והולך:</w:t>
      </w:r>
    </w:p>
  </w:footnote>
  <w:footnote w:id="4225">
    <w:p w:rsidR="00A13282" w:rsidRDefault="00A13282" w:rsidP="00B17EA9">
      <w:pPr>
        <w:pStyle w:val="a5"/>
      </w:pPr>
      <w:r>
        <w:rPr>
          <w:rStyle w:val="a7"/>
        </w:rPr>
        <w:footnoteRef/>
      </w:r>
      <w:r>
        <w:t xml:space="preserve"> </w:t>
      </w:r>
      <w:r>
        <w:rPr>
          <w:bCs/>
          <w:rtl/>
        </w:rPr>
        <w:t>לזמנין אתפרנסת ע"י שליח.</w:t>
      </w:r>
      <w:r>
        <w:rPr>
          <w:rtl/>
        </w:rPr>
        <w:t xml:space="preserve"> מט"ט, וכמו שאומר למטה וכד נחיתת מאתרהא כו':</w:t>
      </w:r>
    </w:p>
  </w:footnote>
  <w:footnote w:id="4226">
    <w:p w:rsidR="00A13282" w:rsidRDefault="00A13282" w:rsidP="00B17EA9">
      <w:pPr>
        <w:pStyle w:val="a5"/>
      </w:pPr>
      <w:r>
        <w:rPr>
          <w:rStyle w:val="a7"/>
        </w:rPr>
        <w:footnoteRef/>
      </w:r>
      <w:r>
        <w:t xml:space="preserve"> </w:t>
      </w:r>
      <w:r>
        <w:rPr>
          <w:bCs/>
          <w:rtl/>
        </w:rPr>
        <w:t>לזמנין ע"י אבהן כו'.</w:t>
      </w:r>
      <w:r>
        <w:rPr>
          <w:rtl/>
        </w:rPr>
        <w:t xml:space="preserve"> חשיב כל הספירות לבד כתר ומלכות, דכתר ומלכות בה בחינות אחרות כמו שאומר למטה וכד נחית בה כו' וכד אסתלק עד אין סוף כו' (ות"ת לא חשיב משום דאמר וכולן יהיב בעלה כו' ובת"ת אין רבותא דשם עיקר מקומו) אבל למטה דחשיב המקומות בפרטות וכד נחית כו' - חשיב כל העשר ספירות:</w:t>
      </w:r>
    </w:p>
  </w:footnote>
  <w:footnote w:id="4227">
    <w:p w:rsidR="00A13282" w:rsidRDefault="00A13282" w:rsidP="00B17EA9">
      <w:pPr>
        <w:pStyle w:val="a5"/>
      </w:pPr>
      <w:r>
        <w:rPr>
          <w:rStyle w:val="a7"/>
        </w:rPr>
        <w:footnoteRef/>
      </w:r>
      <w:r>
        <w:t xml:space="preserve"> </w:t>
      </w:r>
      <w:r>
        <w:rPr>
          <w:bCs/>
          <w:rtl/>
        </w:rPr>
        <w:t>בעלה דאיהו ו'.</w:t>
      </w:r>
      <w:r>
        <w:rPr>
          <w:rtl/>
        </w:rPr>
        <w:t xml:space="preserve"> עיין לעיל ל"ח א' כל צינורין אינון אתשקיין מן את ו' דאיהו נהר דנגיד ונפיק מעדן ואיהו צינור דנפיק ממעיינא דמיא דאיהו את י' ומניה אתפשטא ה"א דאיהי ים עילאה, וזה שאומר </w:t>
      </w:r>
      <w:r>
        <w:rPr>
          <w:b/>
          <w:bCs/>
          <w:rtl/>
        </w:rPr>
        <w:t xml:space="preserve">איהו בין או"א בן י"ה. </w:t>
      </w:r>
      <w:r>
        <w:rPr>
          <w:rtl/>
        </w:rPr>
        <w:t>רוצה לומר דבינה נקראת בינה על שם דכליל לון לאלו ג', או"א ונהר, והכל בוא"ו כאן בוא"ו שבתוך הה"א שכתוב שתי כתפות כו' אל שני קצותיו וחבר וכמו שאומר לעיל בתיקון י”ט וכן בב' ידים דבהון שית פרקין, ידיו כו' ממולאים בתרשיש ואמרו בתרי שש, וזה שאומר בין תרין דרועין כו' דלא נחית בפחות משש:</w:t>
      </w:r>
    </w:p>
  </w:footnote>
  <w:footnote w:id="4228">
    <w:p w:rsidR="00A13282" w:rsidRDefault="00A13282" w:rsidP="00B17EA9">
      <w:pPr>
        <w:pStyle w:val="a5"/>
      </w:pPr>
      <w:r>
        <w:rPr>
          <w:rStyle w:val="a7"/>
        </w:rPr>
        <w:footnoteRef/>
      </w:r>
      <w:r>
        <w:t xml:space="preserve"> </w:t>
      </w:r>
      <w:r>
        <w:rPr>
          <w:bCs/>
          <w:rtl/>
        </w:rPr>
        <w:t>וכד נחית בגופא.</w:t>
      </w:r>
      <w:r>
        <w:rPr>
          <w:rtl/>
        </w:rPr>
        <w:t xml:space="preserve"> דאיהו כליל שית דב' דרועין, וכן צדיק - כליל ב' שוקין וכמו שאומר בהרבה מקומות ואמר </w:t>
      </w:r>
      <w:r>
        <w:rPr>
          <w:b/>
          <w:bCs/>
          <w:rtl/>
        </w:rPr>
        <w:t>דאיהו יעקב.</w:t>
      </w:r>
      <w:r>
        <w:rPr>
          <w:rtl/>
        </w:rPr>
        <w:t xml:space="preserve"> דלא תקשי הלא ו' הוא בגופא, ת"ת, ואמר יעקב דיעקב מלבר בגופא ומשה מלגאו - ההוא נהר כנ"ל:</w:t>
      </w:r>
    </w:p>
  </w:footnote>
  <w:footnote w:id="4229">
    <w:p w:rsidR="00A13282" w:rsidRDefault="00A13282" w:rsidP="00B17EA9">
      <w:pPr>
        <w:pStyle w:val="a5"/>
      </w:pPr>
      <w:r>
        <w:rPr>
          <w:rStyle w:val="a7"/>
        </w:rPr>
        <w:footnoteRef/>
      </w:r>
      <w:r>
        <w:t xml:space="preserve"> </w:t>
      </w:r>
      <w:r>
        <w:rPr>
          <w:bCs/>
          <w:rtl/>
        </w:rPr>
        <w:t>וכד נחית בה כו'.</w:t>
      </w:r>
      <w:r>
        <w:rPr>
          <w:rtl/>
        </w:rPr>
        <w:t xml:space="preserve"> הוא לעתיד לבא, שהדעת יהיה בארץ, (ישעיהו יא ט) ומלאה הארץ דעה כמים כו' שהוא הנהר וזהו חיבור וא"ו בה"א:</w:t>
      </w:r>
    </w:p>
  </w:footnote>
  <w:footnote w:id="4230">
    <w:p w:rsidR="00A13282" w:rsidRDefault="00A13282" w:rsidP="00B17EA9">
      <w:pPr>
        <w:pStyle w:val="a5"/>
      </w:pPr>
      <w:r>
        <w:rPr>
          <w:rStyle w:val="a7"/>
        </w:rPr>
        <w:footnoteRef/>
      </w:r>
      <w:r>
        <w:t xml:space="preserve"> </w:t>
      </w:r>
      <w:r>
        <w:rPr>
          <w:bCs/>
          <w:rtl/>
        </w:rPr>
        <w:t>וכד אסתליק עד כו'.</w:t>
      </w:r>
      <w:r>
        <w:rPr>
          <w:rtl/>
        </w:rPr>
        <w:t xml:space="preserve"> שהוא בכתר, למקומו, אז עניים ואביונים מבקשים מים ואין, דאסתליק לאין דשם אין, דאין השגה בו כלל והוא בגלות האחרון, (תהלים עד ט) ואין אתנו יודע כו', (ישעיהו לב טו) עד יערה רוח כו', וכן המזונות לכלל ישראל בצמצום גדול, וכל דנחית יותר הוא יותר קרוב אלינו עד דנחית בה, וזו אינו עד לעתיד לבא, אבל שאר הדרגין הכל באפשר לפי המעשים וכמו שאומר למטה וכל דא כפום עובדיהון דישראל:</w:t>
      </w:r>
    </w:p>
  </w:footnote>
  <w:footnote w:id="4231">
    <w:p w:rsidR="00A13282" w:rsidRDefault="00A13282" w:rsidP="00B17EA9">
      <w:pPr>
        <w:pStyle w:val="a5"/>
      </w:pPr>
      <w:r>
        <w:rPr>
          <w:rStyle w:val="a7"/>
        </w:rPr>
        <w:footnoteRef/>
      </w:r>
      <w:r>
        <w:t xml:space="preserve"> </w:t>
      </w:r>
      <w:r>
        <w:rPr>
          <w:bCs/>
          <w:rtl/>
        </w:rPr>
        <w:t>מזונא דילה לאו בזכותא תליא ולא חיי דאינון או"א ולא בני דאינון כו'.</w:t>
      </w:r>
      <w:r>
        <w:rPr>
          <w:rtl/>
        </w:rPr>
        <w:t xml:space="preserve"> רוצה לומר מזוני הוא בחו"ג שהמזונות הוא ע"י מעשה ידיו של אדם, וחיים הן באו"א וכמו שאומר לעיל ס"ו ב' החיים אינון או"א כו' ומנ"ל דאתקרי חיים כמה דאת אמר והחכמה כו' כמה דאת אמר עץ חיים כו', ונו"ה אקרון בני כמו שכתוב וכל בניך למודי ה', ואלו ג' כוללין כל ט' ספירות, דקו האמצעי הוא כלל ב' הקצוות ת"ת לחו"ג וכן כולם וכנ"ל, ואמר. דאסתלק הכל למזלא, כתר עליון, ואז תלוי במזל, דאין זכות מועיל, דעולם נידון אחר רובו, ועיין בזהר פרשת תשא קצ"ד א' אר"י הא כתיב ויתנצלו כו' פתח ואמר כו', ואמר לעיל בתיקון מ”ג בההוא זמנא דאיהו יבש ואיהי יבשה צווחין בנין לתתא כו' הה"ד אז יקראונני כו', והוא שנסתלק הנהר למעלה ואין דעת בארץ וכמו שאומר שם והכי מאן דגרם דאסתלק כו' אבל אם הוא בין או"א חיי בזכותא וכן בכולם:</w:t>
      </w:r>
    </w:p>
  </w:footnote>
  <w:footnote w:id="4232">
    <w:p w:rsidR="00A13282" w:rsidRDefault="00A13282" w:rsidP="00B17EA9">
      <w:pPr>
        <w:pStyle w:val="a5"/>
      </w:pPr>
      <w:r>
        <w:rPr>
          <w:rStyle w:val="a7"/>
        </w:rPr>
        <w:footnoteRef/>
      </w:r>
      <w:r>
        <w:t xml:space="preserve"> </w:t>
      </w:r>
      <w:r>
        <w:rPr>
          <w:bCs/>
          <w:rtl/>
        </w:rPr>
        <w:t xml:space="preserve">וכד נחית </w:t>
      </w:r>
      <w:r>
        <w:rPr>
          <w:b/>
          <w:bCs/>
          <w:rtl/>
        </w:rPr>
        <w:t>קב"ה כו' אתמר דקב"ה רכיב על כרוב כו'.</w:t>
      </w:r>
      <w:r>
        <w:rPr>
          <w:rtl/>
        </w:rPr>
        <w:t xml:space="preserve"> רוצה לומר כד נחית קב"ה בה - אז אין מזל לישראל, והוא מעלה עליונה וכנ"ל, וכד נחיתת ומתלבשת במט"ט - אז מזונותיה ע"י שליח, מט"ט, ואז הכל תלוי במזל דאיהו מט"ט כולל כל צבא השמים וכל המזלות כמו שאומר לעיל תיקון י”ח והוא כד בעלה אסתלק באין סוף אז נחיתת במט"ט, ולא הפסיק אלא משום דמפרש תליא במזל ואין מזל לישראל, וקאמר למעלה דזמנין אתפרנסת ע"י או"א כו' אבל ע"י כתר אין פרנסה משם, דשם אל למסתתר באין כנ"ל, והיא נחיתת לעבדה דהוא עבד עולם דילה, דמעשה ידיו לה, ומפרנס אותה עד דייתי בעלה, וזה שאומר דאיהו עבד עולם דילה, דבעלה אסתלק ממנה כמו שכתוב (משלי ז יט) כי אין האיש בביתו הלך כו' אבל הוא עבד נרצע לה עד עולם של יובל שאז יצא לחירות, (זכריה ט ט) הנה מלכך יבוא לך כו', (זכריה ב יד) כי הנני בא ושכנתי בתוכך כו', והנה כל סליקו דאסתלק הוא - היא נחיתת כנגדו, דכד הוא בה אז היא בהיכלה וכד הוא בצדיק אז יורדת לחכמה דבריאה כי כתר דבריאה הוא במלכות דאצילות וכן הוא הדרגין באור חוזר כתר במלכות וחכמה ביסוד ובינה בהוד וכן כולם כידוע, וידוע שבה הוא דרגין דאור חוזר, וכן כולם, עד כשהוא מסתלק בכתר אז היא במלכות דבריאה, ששם נקראת אסתר דמסתתרת במט"ט, כי מלכות הוא כתר דמט"ט כנ"ל, ושם (דברים לא יח) הסתר אסתיר פני כו', כמו שאמרו (חולין קלט ע"ב) מנין לאסתר מן התורה שנאמר כו', וכמו שהוא (ישעיהו מה טו) אל מסתתר כנ"ל, ושם היא שושנה בין החוחים דמט"ט הוא ע"ה, וזה שאומר זכאה איהו מאן דסליק לה לאתרה ולקב"ה לאתריה רוצה לומר דנחית קב"ה לאתריה (בסוד עולה ויורד):</w:t>
      </w:r>
    </w:p>
  </w:footnote>
  <w:footnote w:id="4233">
    <w:p w:rsidR="00A13282" w:rsidRDefault="00A13282" w:rsidP="00B17EA9">
      <w:pPr>
        <w:pStyle w:val="a5"/>
      </w:pPr>
      <w:r>
        <w:rPr>
          <w:rStyle w:val="a7"/>
        </w:rPr>
        <w:footnoteRef/>
      </w:r>
      <w:r>
        <w:t xml:space="preserve"> </w:t>
      </w:r>
      <w:r>
        <w:rPr>
          <w:bCs/>
          <w:rtl/>
        </w:rPr>
        <w:t>שלימו דתיקונא כו' המייחדים כו'.</w:t>
      </w:r>
      <w:r>
        <w:rPr>
          <w:rtl/>
        </w:rPr>
        <w:t xml:space="preserve"> רוצה לומר, דאמר פעמים באהבה כו', ומוכח דבקריאת שמע מחזירים אותו למקומו, דזה שאומרים ממקומו - שיחזור למקומו ומשם יפן כו' בזכות המייחדים, ואמר בסוף תיקון כ”ה דב' פעמים קריאת שמע הוא שושנה עלאה ושושנה תתאה וזה שאומר ואינון ה"ה רוצה לומר אלו פעמים הן ה"ה. ואמר דצריך לאחזרא כו' ולאחזרא כו', ואמר בגין דקב"ה אומי כו' כמו שאומר לעיל בסוף תיקון כ”ה בגין דשושנים אינון רמיזין לקבל בית ראשון ושני כו', וכאן לכאורה משמע דהיחוד בשחרית הוא עם חכמה אבל למעלה בריש תיקון מ”ט אמר ערב ובקר צריכין ליחדא לה עם מלכא כו' דתמן בעלה בינייהו ישראל, וצריך לומר דמה שאומר כאן י"ה - גם כן בז"א, די"ה בשמים וו"ה בארץ והכל בז"א וכמו שאומר בתיקון נ”א ועיין מה שכתבתי שם:</w:t>
      </w:r>
    </w:p>
  </w:footnote>
  <w:footnote w:id="4234">
    <w:p w:rsidR="00A13282" w:rsidRDefault="00A13282" w:rsidP="00602EF1">
      <w:pPr>
        <w:pStyle w:val="a5"/>
      </w:pPr>
      <w:r>
        <w:rPr>
          <w:rStyle w:val="a7"/>
        </w:rPr>
        <w:footnoteRef/>
      </w:r>
      <w:r>
        <w:t xml:space="preserve"> </w:t>
      </w:r>
      <w:r>
        <w:rPr>
          <w:b/>
          <w:bCs/>
          <w:rtl/>
        </w:rPr>
        <w:t>תיקון נ"א בראשית כו'.</w:t>
      </w:r>
      <w:r>
        <w:rPr>
          <w:rtl/>
        </w:rPr>
        <w:t xml:space="preserve"> כאן מפרש אלקים דפסוק (בראשית ב ה) וכל שיח כו' כי לא המטיר כו', כמו שמפרש והולך דבה אתבריאו שמיא וארעא, רוצה לומר כל אחד מכ"ב אתוון כמו שאומר בזהר חדש שה"ש נ"ב ד' עיין שם בדבריו, ולכן נאמר בכל אחד את בלחודיה, והיא נקראת אתה בה' אותיות מנצפ"ך דבה כידוע, ועיין בסבא פ' משפטים ומה שאומר באידרא זוטא דחכמה נקראת אתה גם כן על הגילוי הזה, והן כ"ח אתוון דעובדא דבראשית - (במדבר יד יז) כח אדני, והוא בהשלים האלף לאלף אני ראשון ואני אחרון, והוא השער הנו"ן דלא אתגליא בא"ב שהוא הדעת במקומו, אלף אדרין, אלף בינה, ושאר כ"ב אתוון וכ"ז הם מ"ט שערים, דעת המתפשט, וזהו ואת דהארץ, וכן הוא נש"ב באתוון ונקודין, וכן הוא ל"ב נתיבות באתוון ונקודין, ועיין מה שכתבתי במקום אחר:</w:t>
      </w:r>
    </w:p>
  </w:footnote>
  <w:footnote w:id="4235">
    <w:p w:rsidR="00A13282" w:rsidRDefault="00A13282" w:rsidP="00602EF1">
      <w:pPr>
        <w:pStyle w:val="a5"/>
        <w:rPr>
          <w:rtl/>
        </w:rPr>
      </w:pPr>
      <w:r>
        <w:rPr>
          <w:rStyle w:val="a7"/>
          <w:rtl/>
        </w:rPr>
        <w:footnoteRef/>
      </w:r>
      <w:r>
        <w:rPr>
          <w:rtl/>
        </w:rPr>
        <w:t xml:space="preserve"> </w:t>
      </w:r>
      <w:r>
        <w:rPr>
          <w:b/>
          <w:bCs/>
          <w:rtl/>
        </w:rPr>
        <w:t>ועוד את כו'.</w:t>
      </w:r>
      <w:r>
        <w:rPr>
          <w:rtl/>
        </w:rPr>
        <w:t xml:space="preserve"> דאת בכל מקום הוא נוק', והיא בג' מקומות והכל בקו האמצעי, בכתר ת"ת ויסוד, והוא סוד שם י"ב כמו שאומר בתיקוני זהר חדש, וכ"ז היא דבוקה עמו, אך יש עוד בחינת פרצוף נוק' והיא הארץ, ועמה י"ג י"ג מכילין דרחמי, ד' לחודוי אסתמכן מקומות החלקים וביה ט' והן תתן אמת כו' והוא א"ח ד', אבל כאן לא הזכיר אלא מו"ק דיליה אבל ג"ר רמוזין בג' תיבות הראשונות, בראשית - ראשי תיבות וסופי תיבות בת, דשם מקומה, והוא בחינת נוק' דע"י ברח לך כו', וברא אלקים הן ראשי תיבות וסופי תיבות אב אם, הרי ג"ר, את השמים ואת הארץ - ז"ת, ג' תיבות את השמים ואת - ז"א, הארץ - פרצוף דמלכות, השמים - ת"ת כולל חג"ת, ו' דואת - יסוד כולל נה"י, ובכל אחד נוק' משלמת לד', רביעית לכל תלת, וכמו שאומר בתיקוני זהר חדש שם, ושזה הוא סוד שם י"ב, וכנ"ל:</w:t>
      </w:r>
    </w:p>
  </w:footnote>
  <w:footnote w:id="4236">
    <w:p w:rsidR="00A13282" w:rsidRDefault="00A13282" w:rsidP="00602EF1">
      <w:pPr>
        <w:pStyle w:val="a5"/>
        <w:rPr>
          <w:rtl/>
        </w:rPr>
      </w:pPr>
      <w:r>
        <w:rPr>
          <w:rStyle w:val="a7"/>
          <w:rtl/>
        </w:rPr>
        <w:footnoteRef/>
      </w:r>
      <w:r>
        <w:rPr>
          <w:rtl/>
        </w:rPr>
        <w:t xml:space="preserve"> </w:t>
      </w:r>
      <w:r>
        <w:rPr>
          <w:b/>
          <w:bCs/>
          <w:rtl/>
        </w:rPr>
        <w:t>הארץ כו'.</w:t>
      </w:r>
      <w:r>
        <w:rPr>
          <w:rtl/>
        </w:rPr>
        <w:t xml:space="preserve"> הוא פרצוף כו' דכלילא מכולהו, ואמר זרעין ואיבין כמו שמפרש והולך וכל שיח כו' וכל עשב כו', והם דת"ת ויסוד כמו שמפרש והולך שיח בצדיק ועשב בת"ת והכל בארץ, ואמר וכל כו' וכל כו' כמו שבארנו דהכל בה, מאנא דכולהו כו', וענין הנוק' בג' המקומות כי אין השפעה בכל מקום עד שיהיה זיווג מיניה וביה, וב' הקצוות חו"ג הן זו"נ, ולכן בת"ת שצריך לכלל משניהם לכן בו גם כן זו"נ, וכן בכל קו האמצעי בחו"ב ונו"ה כידוע, וכל נוק' הוא פתיחא, והן בג' מקומות הנ"ל בפה מקום הכתר וכן דעת, וטבור בת"ת, ועטרה ביסוד, ואלו ג' נקבים הם סוד שלשה נקודין חולם שורק חירק ברב"ג, וזה שאומר לעיל ל"ח א' ותא חזי שכינתא תתאה כד איהי אתשקייא מן נקודין אתקרי חירק חולם שורק למאן לההוא כו' ובי' ו' נקודין הרי ט', והארץ מאנא דכלהו וזה סוד ד' בכל מקום:</w:t>
      </w:r>
    </w:p>
  </w:footnote>
  <w:footnote w:id="4237">
    <w:p w:rsidR="00A13282" w:rsidRDefault="00A13282" w:rsidP="00602EF1">
      <w:pPr>
        <w:pStyle w:val="a5"/>
        <w:rPr>
          <w:rtl/>
        </w:rPr>
      </w:pPr>
      <w:r>
        <w:rPr>
          <w:rStyle w:val="a7"/>
          <w:rtl/>
        </w:rPr>
        <w:footnoteRef/>
      </w:r>
      <w:r>
        <w:rPr>
          <w:rtl/>
        </w:rPr>
        <w:t xml:space="preserve"> </w:t>
      </w:r>
      <w:r>
        <w:rPr>
          <w:b/>
          <w:bCs/>
          <w:rtl/>
        </w:rPr>
        <w:t>ורזא דמלה י"ה כו'.</w:t>
      </w:r>
      <w:r>
        <w:rPr>
          <w:rtl/>
        </w:rPr>
        <w:t xml:space="preserve"> רוצה לומר י"ה הוא בת"ת ונוק' ו"ה בצדיק ונוק', דידוע שו"ק כוללין הויה שלימה, וחג"ת הן מקום אימא שבינה נעלמת בהן ונה"י מקום הנוק', וכידוע בסוד קו המדה מן העולם ועד העולם, ואין בין מים למים כו', לכן חג"ת נקראים שמים על שם הבינה דאיהי שמים, ונה"י ארץ על שם הנוק', וזהו ישמחו השמים י"ה בשמים כו':</w:t>
      </w:r>
    </w:p>
  </w:footnote>
  <w:footnote w:id="4238">
    <w:p w:rsidR="00A13282" w:rsidRDefault="00A13282" w:rsidP="00602EF1">
      <w:pPr>
        <w:pStyle w:val="a5"/>
        <w:rPr>
          <w:rtl/>
        </w:rPr>
      </w:pPr>
      <w:r>
        <w:rPr>
          <w:rStyle w:val="a7"/>
          <w:rtl/>
        </w:rPr>
        <w:footnoteRef/>
      </w:r>
      <w:r>
        <w:rPr>
          <w:rtl/>
        </w:rPr>
        <w:t xml:space="preserve"> </w:t>
      </w:r>
      <w:r>
        <w:rPr>
          <w:b/>
          <w:bCs/>
          <w:rtl/>
        </w:rPr>
        <w:t>עם כל דא כו' בגין דאדם אין כו'.</w:t>
      </w:r>
      <w:r>
        <w:rPr>
          <w:rtl/>
        </w:rPr>
        <w:t xml:space="preserve"> הענין כי ג' שותפין באדם זו"נ וקב"ה, וכן נחלק הכל בג', כל עניני העולם, משפיע ומקבל וקב"ה המסייע לדבר, אם ה' לא יבנה בית כו', בוניו הן זו"נ, וכן בכל דבר, נשיאים ורוח וגשם אין כו', נשיאים מלמטה ורוח מלמעלה משיב הרוח כו', וכן אין בכל זיווג הריון עד שה' נותן הריון, וכן אמר אדוניהו (מלכים א ב טו) כי לי היתה המלוכה מצד המקבל הייתי ראוי שאני הגדול וכן מצד הנותנים ועלי שמו כל ישראל כו' אך ותשב המלוכה כו' כי מה' היתה לו, וזה סוד ב' וא' שנברא העולם בהן, הבריאה בב' והיחוד בא', וזה שאמרו (הקדמת ספר הזהר ג ע"ב) כל יחודי לא יהיה אלא בך, והן הכל מג' ג', וכל ג' גם כן נכלל מג', והן חג"ת הן דז"א והוא מג' נה"י כולו דנוק' ונכלל הכל בארץ, פרצוף נוק', דהיא לית לה מגרמה כלום, וכח"ב ג"ר הוא נכלל בא"א שותף הג' והוא המייחדם והוא נביעו ושקיו דלהון בדעת והוא שמא מפרש כמו שאומר לעיל י"ג א', וזה שאומר עם כל דא דכלא אתקן, שהן זו"נ, שמים וארץ, לא נחית נביעו כו' כמו שאומר לעיל י"ג א' דאשקי לאילנא בההוא נביעו כו', ואו"א נותנין כל אחד ה' דברים שהן ב' אחסנתין והוא נותן עשר ב' עיטרין והן עשר דשמא מפרש והוא מלגאו ברוח דבה דהוא שמא מפרש וזה שאמרו (נידה לא ע"א) דעה בינה השכל קלסתר כו' והן עשר נקודין כידוע, ועתיקא קדישא לא נחית עד דהוא עם נוק' והכל בשבילה וזה שאומר לעבוד את האדמה, וכל זרעין ואיבין הכל בשבילה, וכמו שהוא בזיווג זכר ונקבה, וכן המטר חבור שמים וארץ:</w:t>
      </w:r>
    </w:p>
  </w:footnote>
  <w:footnote w:id="4239">
    <w:p w:rsidR="00A13282" w:rsidRDefault="00A13282" w:rsidP="00602EF1">
      <w:pPr>
        <w:pStyle w:val="a5"/>
        <w:rPr>
          <w:rtl/>
        </w:rPr>
      </w:pPr>
      <w:r>
        <w:rPr>
          <w:rStyle w:val="a7"/>
          <w:rtl/>
        </w:rPr>
        <w:footnoteRef/>
      </w:r>
      <w:r>
        <w:rPr>
          <w:rtl/>
        </w:rPr>
        <w:t xml:space="preserve"> </w:t>
      </w:r>
      <w:r>
        <w:rPr>
          <w:b/>
          <w:bCs/>
          <w:rtl/>
        </w:rPr>
        <w:t>א"ל ברי ביה כו'.</w:t>
      </w:r>
      <w:r>
        <w:rPr>
          <w:rtl/>
        </w:rPr>
        <w:t xml:space="preserve"> שכל שי"ן כולל ג' חד"ר בג' ווי"ן שבו, ימינא ושמאלא ואמצעיתא, והוא ש' של עשב ושיח, והנה אע"ג ששי"ן כולל כל הג' מכל מקום י"ח גם כן בשיח על אות ברית לפי שיש לו ב' בחינות, שאף שנכלל בנה"י בשם צבאות, ה' צבאות כו', מכל מקום אות הוא בצבא שלו כמו שאמרו (מכילתא בשלח מסכתא דשירה פרשה א) צבאות אות כו', והן ב' בחינות שבו, זו"נ, דכורא נכלל בנה"י שהן כולן דכורא יה"ו, ובחינה אחרת נוק', וכן הוא בעשב גם כן ב' בחינות הנ"ל, ש' ע"ב, ועשב ושיח דת"ת ויסוד הן שמים וארץ דזו"נ ואדם הוא הנביעו, ג' דרגין כנ"ל, והם ג' בני נח שממנו יצאו שח"י, ונח הוא צדיק כמו שאמרו ריש פ' נח ובניו שי"ח הן נה"י, אך שהוזכרו בתורה ממטה למעלה כי מסטרא דצדיק הוא מתתא לעילא כמו שאומר לעיל ג' ב' כגון פרחים כו', ואבהן הן מסטרא דחג"ת והן שי"ח ועש"ב, מכל מקום לא נחית נביעו התורה לעולם עד שבא משה, והוא מבחינת ג"ר, ש' דיליה כליל ג' קוין כנ"ל, מ"ה דיליה - אדם, והנה זו"נ עש"ב ושי"ח הן ב' דבראשית, ומשה א' דאנכי מייחד וכליל שניהם, וכן א"א כולל זו"נ ונחית נביעו לשניהם מ"ד ומ"נ, ה’ חסדים וה’ גבורות, ולכן נקרא משה משה בג' חג"ת ובג' נה"י כולל ב' שינין וב' מ"ה וכמו שכתבתי שב' מ"ה בז"א, בחג"ת ונה"י, וכן ב' שינין כנ"ל, והן ד', שבכל אחד מהן ד' חיות - ש' ומ"ה, וכן משה משה גימטריא עש"ב שי"ח, וג' נוקבין הנ"ל בחינות נוק' של יסוד, נח - בעטרה ולכן נאמר לו זאת אות הברית, ואבהן - של טבור ששם בחינת ארץ ישראל טבור הארץ שהוא טבור הגוף כידוע ולכן להם ניתנה הארץ, ומשה רבינו עליו השלום - של כתר והוא הדעת דמשה שהוא הפה, פה אל פה אדבר בו, ולכן הוא זכה לדיבור והוא אשה הכושית אשר לקח, כלת משה, והוא הוריד השכינה לארץ כנ"ל דלא נחית נביעו כו' ואדם אין לעבוד את האדמה עד דהוא בא והכל להשפיע משם על פרצוף נוק', מאנא דכלהו, דלית לה מגרמה כלום, עד דאתי דוד ותיקנה, אבן מאסו הבונים, וניתן לו המלכות לברית עולם:</w:t>
      </w:r>
    </w:p>
  </w:footnote>
  <w:footnote w:id="4240">
    <w:p w:rsidR="00A13282" w:rsidRDefault="00A13282" w:rsidP="00602EF1">
      <w:pPr>
        <w:pStyle w:val="a5"/>
        <w:rPr>
          <w:rtl/>
        </w:rPr>
      </w:pPr>
      <w:r>
        <w:rPr>
          <w:rStyle w:val="a7"/>
          <w:rtl/>
        </w:rPr>
        <w:footnoteRef/>
      </w:r>
      <w:r>
        <w:rPr>
          <w:rtl/>
        </w:rPr>
        <w:t xml:space="preserve"> </w:t>
      </w:r>
      <w:r>
        <w:rPr>
          <w:b/>
          <w:bCs/>
          <w:rtl/>
        </w:rPr>
        <w:t>דבהאי שמא אתבריאו כו'.</w:t>
      </w:r>
      <w:r>
        <w:rPr>
          <w:rtl/>
        </w:rPr>
        <w:t xml:space="preserve"> אע"ג דע"ב הוא בחג"ת כנ"ל - הוא גם כן בנה"י, ענבים לבנים ושחורים, כמו שאומר בזהר חדש שה"ש, אלא דבחג"ת הוא וה"ו ששם חו"ג פשוטים, הנהגת השמים, אבל בנה"י שהם מורכבים ונקראים חסדי דוד לכן גם הוד ישר כמו ת"ת וכמו שאומר בפ' בשלח על ת"ת עיין שם, והן ג' ווין, לכן כאן י"ח דשיח שהוא ג' ווין, אבל שם - וה"ו הוא אהו"ה דגושפנקא, ו"ה - הן בחו"ג, ו' השני הוא דת"ת שכולל ב' אותיות א"ה, כי ד' אותיות דגושפנקא הן ד' עיטרין שנוטלין חג"ת, ויעקב נוטל שנים, ועיין בזהר חדש שה"ש נ"ב:</w:t>
      </w:r>
    </w:p>
  </w:footnote>
  <w:footnote w:id="4241">
    <w:p w:rsidR="00A13282" w:rsidRDefault="00A13282" w:rsidP="00602EF1">
      <w:pPr>
        <w:pStyle w:val="a5"/>
        <w:rPr>
          <w:rtl/>
        </w:rPr>
      </w:pPr>
      <w:r>
        <w:rPr>
          <w:rStyle w:val="a7"/>
          <w:rtl/>
        </w:rPr>
        <w:footnoteRef/>
      </w:r>
      <w:r>
        <w:rPr>
          <w:rtl/>
        </w:rPr>
        <w:t xml:space="preserve"> </w:t>
      </w:r>
      <w:r>
        <w:rPr>
          <w:b/>
          <w:bCs/>
          <w:rtl/>
        </w:rPr>
        <w:t>דאינון נשמתין דצדיקיא.</w:t>
      </w:r>
      <w:r>
        <w:rPr>
          <w:rtl/>
        </w:rPr>
        <w:t xml:space="preserve"> והן דכורין ונוקבין אף שהכל בדכורא, כמו יצחק וחבקוק וכיוצא, והן דחו"ג, והן דעש"ב ושי"ח כנ"ל שהן עשבים ואילנות:</w:t>
      </w:r>
    </w:p>
  </w:footnote>
  <w:footnote w:id="4242">
    <w:p w:rsidR="00A13282" w:rsidRDefault="00A13282" w:rsidP="00602EF1">
      <w:pPr>
        <w:pStyle w:val="a5"/>
        <w:rPr>
          <w:rtl/>
        </w:rPr>
      </w:pPr>
      <w:r>
        <w:rPr>
          <w:rStyle w:val="a7"/>
          <w:rtl/>
        </w:rPr>
        <w:footnoteRef/>
      </w:r>
      <w:r>
        <w:rPr>
          <w:rtl/>
        </w:rPr>
        <w:t xml:space="preserve"> </w:t>
      </w:r>
      <w:r>
        <w:rPr>
          <w:b/>
          <w:bCs/>
          <w:rtl/>
        </w:rPr>
        <w:t>והאי עשב.</w:t>
      </w:r>
      <w:r>
        <w:rPr>
          <w:rtl/>
        </w:rPr>
        <w:t xml:space="preserve"> רוצה לומר ע"ב ש' הנ"ל דביה אתבריאו עשבים ואילנות דהוא כלל נשמתין דצדיקיא מב' הבחינות, עליה אתמר ועשב לעבודת האדם, כמו שמפרש והולך, ה' דהאדם, והוא נוק', ועבודתה הוא צלותא, דצלותא בנוק' כידוע, וכמו שאומר לעיל בתיקון נ’ והיא עבודתה, כמו שאמרו (ירושלמי ברכות כט ע"ב) ולעבדו כו' איזו עבודה שבלב הוי אומר זו תפלה וכן הוא אומר אלהא די אנת פלח ליה כו' וכי יש פולחן בבבל כו', והוא במקום עבודה דקרבנות, ורוצה לומר דנשמתן אתבריאו לעבודת ה' דהאדם וכל זה בשביל להוציא לחם מן הארץ כמו שמפרש והולך שהוא נהמא דאורייתא, וכמו למטה שעשב הוא לעבודת האדם בשביל להוציא על ידי זה לחם מן הארץ, כן הוא למעלה שעשב שהן עשבים ואילנות שנבראו בשם הוי"ה שהן דו"נ - הוא לעבודת ה' דהאדם, משה רבינו עליו השלום, שותף השלישי, והוא הוציא לחם הן הארץ, וידוע שמקודם צריך לזווג דו"נ - והן הסבה, וכן בכל דבר, ואח"כ ה' מסייע להם, וכן כאן ועשב כו' להוציא לחם מן הארץ, ולחמה של תורה אינה אלא מן הארץ כמו אדם שזורע והמטר משקה והארץ מוציאה הלחם כך לחמה של תורה אינה אלא מה שמוציאה הארץ כי מן השמים ניתן התורה כמו המטר שכלולה מהכל להצמיח הכל, ובני אדם בארץ הם הלוחמים מלחמתה ומוציאין אותה לאורה, לכן השם יתברך מזכיר התורה במתיבתא דרקיעא משמם של צדיקים, והוא נתינת התורה לארץ, ובימי משה רבינו עליו השלום היתה הלכה למשה מסיני דהוא לחם מן השמים אבל מימות יהושע שלטה משנה, עתה באתי, ואז ויאכלו מעבור הארץ, ואף בימי משה רבינו עליו השלום שטו העם ולקטו וטחנו ובשלו כו' וזה שכתוב (תהלים עח כה) לחם אבירים אכל איש, משה רבינו עליו השלום, שהוא זה הלחם לשובע (שמות טז ג), וביה ה' דהאדם להוציא כו', וכן איש - ה' איש מלחמה אוכל זה הלחם כמו שכתוב (שה"ש ה א) באתי לגני אחותי כלה אריתי כו' אכלו רעים כו', וכמו שאמרו בפ' ויקרא ובפ' פנחס בארוכה, וכמו שהאדם באדמה כאן זורע ואוכל הלחם ממנה כן למעלה השם יתברך מצמיח עשב בארץ וזורע התורה בה ואח"כ לחם אבירים כו' וכמו שכתוב (במדבר כח ב) את קרבני לחמי כו':</w:t>
      </w:r>
    </w:p>
  </w:footnote>
  <w:footnote w:id="4243">
    <w:p w:rsidR="00A13282" w:rsidRDefault="00A13282" w:rsidP="00602EF1">
      <w:pPr>
        <w:pStyle w:val="a5"/>
        <w:rPr>
          <w:rtl/>
        </w:rPr>
      </w:pPr>
      <w:r>
        <w:rPr>
          <w:rStyle w:val="a7"/>
          <w:rtl/>
        </w:rPr>
        <w:footnoteRef/>
      </w:r>
      <w:r>
        <w:rPr>
          <w:rtl/>
        </w:rPr>
        <w:t xml:space="preserve"> </w:t>
      </w:r>
      <w:r>
        <w:rPr>
          <w:b/>
          <w:bCs/>
          <w:rtl/>
        </w:rPr>
        <w:t>דאתמר בה המוציא כו'.</w:t>
      </w:r>
      <w:r>
        <w:rPr>
          <w:rtl/>
        </w:rPr>
        <w:t xml:space="preserve"> כמו שאמרו ברעיא מהימנא רע"ב א' פתח ואמר והיה באכלכם מלחם הארץ כו' שכינתא דאיהי ה' דהמוציא כו', והוא ה' דמשה שהוא אדם כנ"ל:</w:t>
      </w:r>
    </w:p>
  </w:footnote>
  <w:footnote w:id="4244">
    <w:p w:rsidR="00A13282" w:rsidRDefault="00A13282" w:rsidP="00602EF1">
      <w:pPr>
        <w:pStyle w:val="a5"/>
        <w:rPr>
          <w:rtl/>
        </w:rPr>
      </w:pPr>
      <w:r>
        <w:rPr>
          <w:rStyle w:val="a7"/>
          <w:rtl/>
        </w:rPr>
        <w:footnoteRef/>
      </w:r>
      <w:r>
        <w:rPr>
          <w:rtl/>
        </w:rPr>
        <w:t xml:space="preserve"> </w:t>
      </w:r>
      <w:r>
        <w:rPr>
          <w:b/>
          <w:bCs/>
          <w:rtl/>
        </w:rPr>
        <w:t>יצא אדם לפעלו דא צלותא דשחרית.</w:t>
      </w:r>
      <w:r>
        <w:rPr>
          <w:rtl/>
        </w:rPr>
        <w:t xml:space="preserve"> דשם היא פעלו לבד דאברהם קראה הר, אבל יצחק - שדה בחרישה, וזהו ולעבודתו כו' - לשוח בשדה, ולשוח הוא שיח הנ"ל, וכן פירשו המפרשים, ומביא ראיה דכתיב לפנות ערב, והן דשחרית וערבית, זו"נ כידוע, והן עשב ואילנות כנ"ל, והכל התכלית להוציא לחם כו' דאדם כנ"ל:</w:t>
      </w:r>
    </w:p>
    <w:p w:rsidR="00A13282" w:rsidRDefault="00A13282" w:rsidP="00602EF1">
      <w:pPr>
        <w:pStyle w:val="a5"/>
        <w:rPr>
          <w:rtl/>
        </w:rPr>
      </w:pPr>
    </w:p>
  </w:footnote>
  <w:footnote w:id="4245">
    <w:p w:rsidR="00A13282" w:rsidRDefault="00A13282" w:rsidP="00602EF1">
      <w:pPr>
        <w:pStyle w:val="a5"/>
        <w:rPr>
          <w:rtl/>
        </w:rPr>
      </w:pPr>
      <w:r>
        <w:rPr>
          <w:rStyle w:val="a7"/>
          <w:rtl/>
        </w:rPr>
        <w:footnoteRef/>
      </w:r>
      <w:r>
        <w:rPr>
          <w:rtl/>
        </w:rPr>
        <w:t xml:space="preserve"> </w:t>
      </w:r>
      <w:r>
        <w:rPr>
          <w:b/>
          <w:bCs/>
          <w:rtl/>
        </w:rPr>
        <w:t>תיקון נ"ב בראשית כו'.</w:t>
      </w:r>
      <w:r>
        <w:rPr>
          <w:rtl/>
        </w:rPr>
        <w:t xml:space="preserve"> עתה מפרש אלקים דוייצר, והתחלתו הוא ואד יעלה כו':</w:t>
      </w:r>
    </w:p>
  </w:footnote>
  <w:footnote w:id="4246">
    <w:p w:rsidR="00A13282" w:rsidRDefault="00A13282" w:rsidP="00602EF1">
      <w:pPr>
        <w:pStyle w:val="a5"/>
        <w:rPr>
          <w:rtl/>
        </w:rPr>
      </w:pPr>
      <w:r>
        <w:rPr>
          <w:rStyle w:val="a7"/>
          <w:rtl/>
        </w:rPr>
        <w:footnoteRef/>
      </w:r>
      <w:r>
        <w:rPr>
          <w:rtl/>
        </w:rPr>
        <w:t xml:space="preserve"> </w:t>
      </w:r>
      <w:r>
        <w:rPr>
          <w:b/>
          <w:bCs/>
          <w:rtl/>
        </w:rPr>
        <w:t>כחושבן ה'.</w:t>
      </w:r>
      <w:r>
        <w:rPr>
          <w:rtl/>
        </w:rPr>
        <w:t xml:space="preserve"> רוצה לומר ה' בתראה דהוי"ה, ונכלל בה מנין אותיות אלקים, וכמו שאומר לעיל ריש תיקון ל"ח שהוא המאור הגדול בה' באצילות והמאור הקטן באלקים בבריאה ואעפ"כ נכללת בה"א וכמו שאמרו כל זה בפ' בראשית כ' א':</w:t>
      </w:r>
    </w:p>
  </w:footnote>
  <w:footnote w:id="4247">
    <w:p w:rsidR="00A13282" w:rsidRDefault="00A13282" w:rsidP="00602EF1">
      <w:pPr>
        <w:pStyle w:val="a5"/>
        <w:rPr>
          <w:rtl/>
        </w:rPr>
      </w:pPr>
      <w:r>
        <w:rPr>
          <w:rStyle w:val="a7"/>
          <w:rtl/>
        </w:rPr>
        <w:footnoteRef/>
      </w:r>
      <w:r>
        <w:rPr>
          <w:rtl/>
        </w:rPr>
        <w:t xml:space="preserve"> </w:t>
      </w:r>
      <w:r>
        <w:rPr>
          <w:b/>
          <w:bCs/>
          <w:rtl/>
        </w:rPr>
        <w:t>א"ד מן אדני הכי כו'.</w:t>
      </w:r>
      <w:r>
        <w:rPr>
          <w:rtl/>
        </w:rPr>
        <w:t xml:space="preserve"> רוצה לומר וכן ב' אותיות הראשונות מן אדני גם כן כלול בה"א בתראה הנ"ל, והענין, כי כמו שהוי"ה אחת כולל כל העשר ספירות, כן הוא בז"א כידוע, וכן הוא בת"ת דז"א שנקרא גם כן הוי"ה בפרטות. והנה יה"ו הוא בו עד הטבור דשם ג' חב"ד בהתלבשות נה"י דבינה כידוע והן ג' מוחין דיליה, ומשם ואילך התחלת הנוק' כמו שאמרו באידרא רבא קמ"א ב', והיא רובע ישראל דמטיבורא הוא שיעור רובע הגוף, ושם בחינת ה' אחרונה, רובע דשם, ושם בחינת ג"ר דילה כי ו"ק דילה הן בנו"ה דילה כמו שאומר שם אתפשטו כו', והנה כמו שג"ר דידיה הוא בי"ה של השם כן הוא א"ד בג"ר דידה ונכללין בה"א:</w:t>
      </w:r>
    </w:p>
  </w:footnote>
  <w:footnote w:id="4248">
    <w:p w:rsidR="00A13282" w:rsidRDefault="00A13282" w:rsidP="00602EF1">
      <w:pPr>
        <w:pStyle w:val="a5"/>
        <w:rPr>
          <w:rtl/>
        </w:rPr>
      </w:pPr>
      <w:r>
        <w:rPr>
          <w:rStyle w:val="a7"/>
          <w:rtl/>
        </w:rPr>
        <w:footnoteRef/>
      </w:r>
      <w:r>
        <w:rPr>
          <w:rtl/>
        </w:rPr>
        <w:t xml:space="preserve"> </w:t>
      </w:r>
      <w:r>
        <w:rPr>
          <w:b/>
          <w:bCs/>
          <w:rtl/>
        </w:rPr>
        <w:t>ורזא דמלה ואד כו'.</w:t>
      </w:r>
      <w:r>
        <w:rPr>
          <w:rtl/>
        </w:rPr>
        <w:t xml:space="preserve"> מה שאומר בכל מקום רזא דמלה - שמביא פסוק כדבריו ומפרש אותו הסוד בפסוק הזה (ורוצה לומר בזה, לרמוז בפסוק בראשית, באלקים, ואד כו'):</w:t>
      </w:r>
    </w:p>
  </w:footnote>
  <w:footnote w:id="4249">
    <w:p w:rsidR="00A13282" w:rsidRDefault="00A13282" w:rsidP="00602EF1">
      <w:pPr>
        <w:pStyle w:val="a5"/>
        <w:rPr>
          <w:rtl/>
        </w:rPr>
      </w:pPr>
      <w:r>
        <w:rPr>
          <w:rStyle w:val="a7"/>
          <w:rtl/>
        </w:rPr>
        <w:footnoteRef/>
      </w:r>
      <w:r>
        <w:rPr>
          <w:rtl/>
        </w:rPr>
        <w:t xml:space="preserve"> </w:t>
      </w:r>
      <w:r>
        <w:rPr>
          <w:b/>
          <w:bCs/>
          <w:rtl/>
        </w:rPr>
        <w:t>ואד יעלה כו'.</w:t>
      </w:r>
      <w:r>
        <w:rPr>
          <w:rtl/>
        </w:rPr>
        <w:t xml:space="preserve"> כי ההתעוררות מהתחתון הוא מעליון שלו ששם דבוק הוא למעלה והוא א"ד שלה בה' של הוי"ה והוא מ"נ ואח"כ והשקה ו' כו', מ"ד, ונמשך ממוחא כמו שמפרש והולך:</w:t>
      </w:r>
    </w:p>
  </w:footnote>
  <w:footnote w:id="4250">
    <w:p w:rsidR="00A13282" w:rsidRDefault="00A13282" w:rsidP="00602EF1">
      <w:pPr>
        <w:pStyle w:val="a5"/>
        <w:rPr>
          <w:rtl/>
        </w:rPr>
      </w:pPr>
      <w:r>
        <w:rPr>
          <w:rStyle w:val="a7"/>
          <w:rtl/>
        </w:rPr>
        <w:footnoteRef/>
      </w:r>
      <w:r>
        <w:rPr>
          <w:rtl/>
        </w:rPr>
        <w:t xml:space="preserve"> </w:t>
      </w:r>
      <w:r>
        <w:rPr>
          <w:b/>
          <w:bCs/>
          <w:rtl/>
        </w:rPr>
        <w:t>נוק' א"ד כו'.</w:t>
      </w:r>
      <w:r>
        <w:rPr>
          <w:rtl/>
        </w:rPr>
        <w:t xml:space="preserve"> משום שרוצה לפרש הפסוק ה' אדני חילי, דלא תימא דקאי אזיווג זו"נ והוא התערותא מעילא לתתא, אלא אולד שהוא זכר, דכל ולד בין זכר בין נקבה הוא כלול מזו"נ, מ"נ ומ"ד, אלא שבזכר גובר הזכר ובנקבה הנקבה, וזהו ה' אדני חילי דקאי אולד ומפרש הקרא דהתעוררות שם מלמטה למעלה לכן ה' אדני חילי כמו שמפרש והולך:</w:t>
      </w:r>
    </w:p>
  </w:footnote>
  <w:footnote w:id="4251">
    <w:p w:rsidR="00A13282" w:rsidRDefault="00A13282" w:rsidP="00602EF1">
      <w:pPr>
        <w:pStyle w:val="a5"/>
        <w:rPr>
          <w:rtl/>
        </w:rPr>
      </w:pPr>
      <w:r>
        <w:rPr>
          <w:rStyle w:val="a7"/>
          <w:rtl/>
        </w:rPr>
        <w:footnoteRef/>
      </w:r>
      <w:r>
        <w:rPr>
          <w:rtl/>
        </w:rPr>
        <w:t xml:space="preserve"> </w:t>
      </w:r>
      <w:r>
        <w:rPr>
          <w:b/>
          <w:bCs/>
          <w:rtl/>
        </w:rPr>
        <w:t>וישם רגלי כאילות אלין אמה ותרין שוקין.</w:t>
      </w:r>
      <w:r>
        <w:rPr>
          <w:rtl/>
        </w:rPr>
        <w:t xml:space="preserve"> דכולן הן רגלין, (בראשית מו כו) יוצאי ירכו, (בראשית מז כט) תחת ירכי, (במדבר ה כז) ונפלה ירכה, (דברים כח נז) מבין רגליה, ולכן כינו אשה לנעל:</w:t>
      </w:r>
    </w:p>
  </w:footnote>
  <w:footnote w:id="4252">
    <w:p w:rsidR="00A13282" w:rsidRDefault="00A13282" w:rsidP="00602EF1">
      <w:pPr>
        <w:pStyle w:val="a5"/>
        <w:rPr>
          <w:rtl/>
        </w:rPr>
      </w:pPr>
      <w:r>
        <w:rPr>
          <w:rStyle w:val="a7"/>
          <w:rtl/>
        </w:rPr>
        <w:footnoteRef/>
      </w:r>
      <w:r>
        <w:rPr>
          <w:rtl/>
        </w:rPr>
        <w:t xml:space="preserve"> </w:t>
      </w:r>
      <w:r>
        <w:rPr>
          <w:b/>
          <w:bCs/>
          <w:rtl/>
        </w:rPr>
        <w:t>ועל במותי ידריכני אלין אבהן למנצח בנגינותי אלין כתר ואו"א.</w:t>
      </w:r>
      <w:r>
        <w:rPr>
          <w:rtl/>
        </w:rPr>
        <w:t xml:space="preserve"> דנצוח הוא בסליקותה בכתר, די התגזרת אבן די לא בידין, וכמו שאומר לעיל ריש תיקון יו"ד ושאר מקומות, והשיר הוא באבא כמו שאומר שם אז ישיר כד סלקא לגבי יו"ד עלאה אז ישיר, וכן באימא כמו שאומר שם ובזהר חדש שה"ש:</w:t>
      </w:r>
    </w:p>
  </w:footnote>
  <w:footnote w:id="4253">
    <w:p w:rsidR="00A13282" w:rsidRDefault="00A13282" w:rsidP="00602EF1">
      <w:pPr>
        <w:pStyle w:val="a5"/>
        <w:rPr>
          <w:rtl/>
        </w:rPr>
      </w:pPr>
      <w:r>
        <w:rPr>
          <w:rStyle w:val="a7"/>
          <w:rtl/>
        </w:rPr>
        <w:footnoteRef/>
      </w:r>
      <w:r>
        <w:rPr>
          <w:rtl/>
        </w:rPr>
        <w:t xml:space="preserve"> </w:t>
      </w:r>
      <w:r>
        <w:rPr>
          <w:b/>
          <w:bCs/>
          <w:rtl/>
        </w:rPr>
        <w:t>חיל יו"ד כו'.</w:t>
      </w:r>
      <w:r>
        <w:rPr>
          <w:rtl/>
        </w:rPr>
        <w:t xml:space="preserve"> רוצה לומר שהזרע הוא כח אבא, דכורא, וחיל הכח שלו הוא מכתר, נביעו דלית ליה סוף:</w:t>
      </w:r>
    </w:p>
  </w:footnote>
  <w:footnote w:id="4254">
    <w:p w:rsidR="00A13282" w:rsidRDefault="00A13282" w:rsidP="00602EF1">
      <w:pPr>
        <w:pStyle w:val="a5"/>
        <w:rPr>
          <w:rtl/>
        </w:rPr>
      </w:pPr>
      <w:r>
        <w:rPr>
          <w:rStyle w:val="a7"/>
          <w:rtl/>
        </w:rPr>
        <w:footnoteRef/>
      </w:r>
      <w:r>
        <w:rPr>
          <w:rtl/>
        </w:rPr>
        <w:t xml:space="preserve"> </w:t>
      </w:r>
      <w:r>
        <w:rPr>
          <w:b/>
          <w:bCs/>
          <w:rtl/>
        </w:rPr>
        <w:t>אר"א כו' מדינא לרחמי.</w:t>
      </w:r>
      <w:r>
        <w:rPr>
          <w:rtl/>
        </w:rPr>
        <w:t xml:space="preserve"> הוא קושית הגמרא (ברכות ס ע"א) כיון דתליא בהזרעה תחילה אמאי עד מ' יום יכול להשתנות, והן מ' יום דמשה בהר דהתנפל שם עד שהיפך מידת הדין למידת הרחמים כמו שכתוב (דברים ט כה) ואתנפל לפני ה' את ארבעים היום כו' וישמע ה' אלי גם בפעם ההיא כו', וזה שאומר מדינא לרחמי:</w:t>
      </w:r>
    </w:p>
  </w:footnote>
  <w:footnote w:id="4255">
    <w:p w:rsidR="00A13282" w:rsidRDefault="00A13282" w:rsidP="00602EF1">
      <w:pPr>
        <w:pStyle w:val="a5"/>
        <w:rPr>
          <w:rtl/>
        </w:rPr>
      </w:pPr>
      <w:r>
        <w:rPr>
          <w:rStyle w:val="a7"/>
          <w:rtl/>
        </w:rPr>
        <w:footnoteRef/>
      </w:r>
      <w:r>
        <w:rPr>
          <w:rtl/>
        </w:rPr>
        <w:t xml:space="preserve"> </w:t>
      </w:r>
      <w:r>
        <w:rPr>
          <w:b/>
          <w:bCs/>
          <w:rtl/>
        </w:rPr>
        <w:t>א"ל הא אוקמוה בגין כו'</w:t>
      </w:r>
      <w:r>
        <w:rPr>
          <w:rtl/>
        </w:rPr>
        <w:t xml:space="preserve"> </w:t>
      </w:r>
      <w:r>
        <w:rPr>
          <w:b/>
          <w:bCs/>
          <w:rtl/>
        </w:rPr>
        <w:t>וייצר ואמאי נטיל שעורא במ"ם כו'.</w:t>
      </w:r>
      <w:r>
        <w:rPr>
          <w:rtl/>
        </w:rPr>
        <w:t xml:space="preserve"> ורוצה לומר דאימא מציירת הולד במ' יום, ועיין לעיל ו' ב' צירי איהו חושבן כו' הרי מ"ב ובג"ד צירי ביה צייר עלמין וייצר תמן צרי ביה צייר אדם כו'. רוצה לומר דבשם מ"ב נברא ונצטייר העולם והאדם, והוא וייצר במ"ם יום כי המ"ב הוא מ"ם, יו"ד לכל סטר כמו שאמרו בס"א פ' בראשית, וב' הן תרין אודנין דכללין לון, ב' בתי לבא ועיין מה שכתבתי לעיל ל"ז ב' בזה בארוכה, וזה שאומר ואמאי נטל שיעורא במ', והן הנקודה דאמצעיתא של יוד, הטפה דבה מחכמה, דמדיד ד' נקודין, עשר לכל סטר כנ"ל, ויוד הנ"ל הוא באמצעיתא ולכן נקרא ים מי כמו שמפרש והולך ויו"ד הוא דחכמה, הטפה בזיווג, ומ"ם הוא ציורא דידה במ"ם יום, וזה שאומר </w:t>
      </w:r>
      <w:r>
        <w:rPr>
          <w:b/>
          <w:bCs/>
          <w:rtl/>
        </w:rPr>
        <w:t>ים מי ודאי</w:t>
      </w:r>
      <w:r>
        <w:rPr>
          <w:rtl/>
        </w:rPr>
        <w:t>, רוצה לומר, כידוע, זהו לשון וודאי:</w:t>
      </w:r>
    </w:p>
  </w:footnote>
  <w:footnote w:id="4256">
    <w:p w:rsidR="00A13282" w:rsidRDefault="00A13282" w:rsidP="00602EF1">
      <w:pPr>
        <w:pStyle w:val="a5"/>
        <w:rPr>
          <w:rtl/>
        </w:rPr>
      </w:pPr>
      <w:r>
        <w:rPr>
          <w:rStyle w:val="a7"/>
          <w:rtl/>
        </w:rPr>
        <w:footnoteRef/>
      </w:r>
      <w:r>
        <w:rPr>
          <w:rtl/>
        </w:rPr>
        <w:t xml:space="preserve"> </w:t>
      </w:r>
      <w:r>
        <w:rPr>
          <w:b/>
          <w:bCs/>
          <w:rtl/>
        </w:rPr>
        <w:t>נחל דא ו' דאתמשך מן יו"ד והשקה כו'.</w:t>
      </w:r>
      <w:r>
        <w:rPr>
          <w:rtl/>
        </w:rPr>
        <w:t xml:space="preserve"> רוצה לומר, כמו שהוא באימא יו"ד ומ"ם י"ם כן הוא במלכות, דוא"ו דמשקה לה אתמשך ממוחא מן י' דהוא מעין, וכמו שאומר לעיל ל"ח א' עיין שם בדבריו, והוא שעורא דיו"ד, דאתי מיו"ד וכן הוא בה גם כן יו"ד וכמו שאומר לעיל ל"ח א' עיין מה שכתבתי שם, והיא אתעבידת מ"ם וכמו שאומר שם ל"ז ב' בארוכה, ואינון בד' גוונין מד' סטרין וזה שאומר דאינון סומק כו', ועיין לעיל סוף תיקון י”ח והאי נקודה בתר דאתפשטת מהאי אור אתלבשת בגוונין ארבעה ומאי איהי ב' כו', ואמר למעלה ריש תיקון ה’ דהאי ב' איהי מ"ם סתימא ואמר שם סוף תיקון י”ח אלין גלגלין כלהו סחרין כו' איהי בארבע כו' תשע לכל סטר כו' וכל זה הוא בחו"ב דכלילין בבינה, מלבד הטפה שמקבלת מאבא דאיהי יו"ד, וכן הוא במלכות, ומפרש כאן לקרא והשקה את כל פני האדמה שהן ד' אנפין דילה הידועין שהן ד' גוונין הנ"ל כידוע:</w:t>
      </w:r>
    </w:p>
  </w:footnote>
  <w:footnote w:id="4257">
    <w:p w:rsidR="00A13282" w:rsidRDefault="00A13282" w:rsidP="00602EF1">
      <w:pPr>
        <w:pStyle w:val="a5"/>
        <w:rPr>
          <w:rtl/>
        </w:rPr>
      </w:pPr>
      <w:r>
        <w:rPr>
          <w:rStyle w:val="a7"/>
          <w:rtl/>
        </w:rPr>
        <w:footnoteRef/>
      </w:r>
      <w:r>
        <w:rPr>
          <w:rtl/>
        </w:rPr>
        <w:t xml:space="preserve"> </w:t>
      </w:r>
      <w:r>
        <w:rPr>
          <w:b/>
          <w:bCs/>
          <w:rtl/>
        </w:rPr>
        <w:t>באלין גוונין נהירא ההיא מבועא.</w:t>
      </w:r>
      <w:r>
        <w:rPr>
          <w:rtl/>
        </w:rPr>
        <w:t xml:space="preserve"> כבר כתבתי למעלה ענין הנהורין וניצוצין, שהגבורות הן גוונין והן מקבלין האור שהוא החסדים, והחסדים הוא אור פשוט אלא שמתחלק בגוונין לפי הגוונין, ולכן יו"ד דאבא סתים ביו"ד טפה אחת בלא חילוק אבל ה' דאמא מתפתח לה' גוונין, וכן הוא בזו"נ ולכן מתחלק שם לה' אור, והגוונין הן חשוכין עד בא האור עליהן שלכן נקרא חושך אף שהיא מאירה אלא דלית לה מגרמה אור, וכן בסיהרא, וזה שאומר באלין גוונין כו', ולכן הזרעת הטפה דיו"ד הוא ברגע אחת ומתחלק בה למ"ם במ"ם יום כנ"ל, וכמו שאומר לעיל סוף תיקון י"ח. וזה שאומר </w:t>
      </w:r>
      <w:r>
        <w:rPr>
          <w:b/>
          <w:bCs/>
          <w:rtl/>
        </w:rPr>
        <w:t>דגוונין אינון מהאי יבשה כו'.</w:t>
      </w:r>
      <w:r>
        <w:rPr>
          <w:rtl/>
        </w:rPr>
        <w:t xml:space="preserve"> דהוא מ"ם סתימא, ב' דבראשית, ונביעו נהורא דילה הוא נקודה שבתוך ב' דבראשית, וכמו שאומר לעיל בתיקון ל’ ושאר מקומות שהוא המעין, וכן הוא הנגלה והנסתר וכמו שאומר שם:</w:t>
      </w:r>
    </w:p>
  </w:footnote>
  <w:footnote w:id="4258">
    <w:p w:rsidR="00A13282" w:rsidRDefault="00A13282" w:rsidP="00602EF1">
      <w:pPr>
        <w:pStyle w:val="a5"/>
        <w:rPr>
          <w:rtl/>
        </w:rPr>
      </w:pPr>
      <w:r>
        <w:rPr>
          <w:rStyle w:val="a7"/>
          <w:rtl/>
        </w:rPr>
        <w:footnoteRef/>
      </w:r>
      <w:r>
        <w:rPr>
          <w:rtl/>
        </w:rPr>
        <w:t xml:space="preserve"> </w:t>
      </w:r>
      <w:r>
        <w:rPr>
          <w:b/>
          <w:bCs/>
          <w:rtl/>
        </w:rPr>
        <w:t>דהכי איהו נביעו כו'.</w:t>
      </w:r>
      <w:r>
        <w:rPr>
          <w:rtl/>
        </w:rPr>
        <w:t xml:space="preserve"> ורוצה לומר דזהו מה שאמר לעיל בתיקון נ”א ואדם אין כי לא המטיר, בשביל דאדם אין, דהוא שמא מפרש והוא נביעו דילה והוא נשמתא לגופא כמו שאומר לעיל י"ג א' מלגאו איהו יוד קא ואו קא כו' איהו שקיא דאילנא בדרועוי וענפוי כמיא דאשקי לאילנא ואתרבי בההוא שקיא כו' דאשקי לאילנא בההוא נביעו וההוא נביעו איהו כנשמתא לגופא דאיהו חיים לגופא. וזה שאומר </w:t>
      </w:r>
      <w:r>
        <w:rPr>
          <w:b/>
          <w:bCs/>
          <w:rtl/>
        </w:rPr>
        <w:t>כמה דאילנא כו' הכי ישראל כו'.</w:t>
      </w:r>
      <w:r>
        <w:rPr>
          <w:rtl/>
        </w:rPr>
        <w:t xml:space="preserve"> והוא נביעו דאוריד ההוא אדם הנ"ל שהוריד התורה לישראל וכמו שאומר לעיל בתיקון נ”א:</w:t>
      </w:r>
    </w:p>
  </w:footnote>
  <w:footnote w:id="4259">
    <w:p w:rsidR="00A13282" w:rsidRDefault="00A13282" w:rsidP="00602EF1">
      <w:pPr>
        <w:pStyle w:val="a5"/>
        <w:rPr>
          <w:rtl/>
        </w:rPr>
      </w:pPr>
      <w:r>
        <w:rPr>
          <w:rStyle w:val="a7"/>
          <w:rtl/>
        </w:rPr>
        <w:footnoteRef/>
      </w:r>
      <w:r>
        <w:rPr>
          <w:rtl/>
        </w:rPr>
        <w:t xml:space="preserve"> </w:t>
      </w:r>
      <w:r>
        <w:rPr>
          <w:b/>
          <w:bCs/>
          <w:rtl/>
        </w:rPr>
        <w:t>כתר איהו כו'.</w:t>
      </w:r>
      <w:r>
        <w:rPr>
          <w:rtl/>
        </w:rPr>
        <w:t xml:space="preserve"> לשון זה מהבהיר, ורוצה לומר אמון מופלא - שהוא אומן דעלמא שכתוב (משלי ח ל) ואהיה אצלו אמון, ועיין מה שאמר לעיל בתיקון מ”ב:</w:t>
      </w:r>
    </w:p>
  </w:footnote>
  <w:footnote w:id="4260">
    <w:p w:rsidR="00A13282" w:rsidRDefault="00A13282" w:rsidP="00602EF1">
      <w:pPr>
        <w:pStyle w:val="a5"/>
        <w:rPr>
          <w:rtl/>
        </w:rPr>
      </w:pPr>
      <w:r>
        <w:rPr>
          <w:rStyle w:val="a7"/>
          <w:rtl/>
        </w:rPr>
        <w:footnoteRef/>
      </w:r>
      <w:r>
        <w:rPr>
          <w:rtl/>
        </w:rPr>
        <w:t xml:space="preserve"> </w:t>
      </w:r>
      <w:r>
        <w:rPr>
          <w:b/>
          <w:bCs/>
          <w:rtl/>
        </w:rPr>
        <w:t>בגנתא.</w:t>
      </w:r>
      <w:r>
        <w:rPr>
          <w:rtl/>
        </w:rPr>
        <w:t xml:space="preserve"> איהי בינה, גן העליון וכמו שמפרש והולך וכמה דאית גן לתתא רוצה לומר מלכות דנקראת גן כן הוא בינה גם כן גן, מאילנין דגנתא הוא ת"ת, וזה שאומר ודא גן סדרים דאורייתא, רוצה לומר בבינה דהיא ימא דאורייתא:</w:t>
      </w:r>
    </w:p>
  </w:footnote>
  <w:footnote w:id="4261">
    <w:p w:rsidR="00A13282" w:rsidRDefault="00A13282" w:rsidP="00602EF1">
      <w:pPr>
        <w:pStyle w:val="a5"/>
        <w:rPr>
          <w:rtl/>
        </w:rPr>
      </w:pPr>
      <w:r>
        <w:rPr>
          <w:rStyle w:val="a7"/>
          <w:rtl/>
        </w:rPr>
        <w:footnoteRef/>
      </w:r>
      <w:r>
        <w:rPr>
          <w:rtl/>
        </w:rPr>
        <w:t xml:space="preserve"> </w:t>
      </w:r>
      <w:r>
        <w:rPr>
          <w:b/>
          <w:bCs/>
          <w:rtl/>
        </w:rPr>
        <w:t>וכמה דאית כו'.</w:t>
      </w:r>
      <w:r>
        <w:rPr>
          <w:rtl/>
        </w:rPr>
        <w:t xml:space="preserve"> רוצה לומר שלא תאמר שגן הוא במלכות, וקאמר וכמה כו', וזהו גנים, שמעין הוא לשני גנים, וכל זה דקאמר כאן הוא הקדמה לתיקון נ”ג שאמר שם ואינון גן עלאה גן תתאה ומפרש שם פסוק ויטע ה' אלקים גן בעדן כו':</w:t>
      </w:r>
    </w:p>
  </w:footnote>
  <w:footnote w:id="4262">
    <w:p w:rsidR="00A13282" w:rsidRDefault="00A13282" w:rsidP="00602EF1">
      <w:pPr>
        <w:pStyle w:val="a5"/>
        <w:rPr>
          <w:rtl/>
        </w:rPr>
      </w:pPr>
      <w:r>
        <w:rPr>
          <w:rStyle w:val="a7"/>
          <w:rtl/>
        </w:rPr>
        <w:footnoteRef/>
      </w:r>
      <w:r>
        <w:rPr>
          <w:rtl/>
        </w:rPr>
        <w:t xml:space="preserve"> </w:t>
      </w:r>
      <w:r>
        <w:rPr>
          <w:b/>
          <w:bCs/>
          <w:rtl/>
        </w:rPr>
        <w:t>והאי מעין כו'.</w:t>
      </w:r>
      <w:r>
        <w:rPr>
          <w:rtl/>
        </w:rPr>
        <w:t xml:space="preserve"> עתה מפרש בגופא דבר נש דקאמר למעלה כנשמתא בגופא:</w:t>
      </w:r>
    </w:p>
  </w:footnote>
  <w:footnote w:id="4263">
    <w:p w:rsidR="00A13282" w:rsidRDefault="00A13282" w:rsidP="00602EF1">
      <w:pPr>
        <w:pStyle w:val="a5"/>
        <w:rPr>
          <w:rtl/>
        </w:rPr>
      </w:pPr>
      <w:r>
        <w:rPr>
          <w:rStyle w:val="a7"/>
          <w:rtl/>
        </w:rPr>
        <w:footnoteRef/>
      </w:r>
      <w:r>
        <w:rPr>
          <w:rtl/>
        </w:rPr>
        <w:t xml:space="preserve"> </w:t>
      </w:r>
      <w:r>
        <w:rPr>
          <w:b/>
          <w:bCs/>
          <w:rtl/>
        </w:rPr>
        <w:t>אילנא גופא.</w:t>
      </w:r>
      <w:r>
        <w:rPr>
          <w:rtl/>
        </w:rPr>
        <w:t xml:space="preserve"> וגן איהו לבא דבה נטיעא גופא, והמעין יוצא ממוחא ללבא כמו שאמרו ברעיא מהימנא פ' פנחס רל"ה ב' בארוכה עיין שם:</w:t>
      </w:r>
    </w:p>
  </w:footnote>
  <w:footnote w:id="4264">
    <w:p w:rsidR="00A13282" w:rsidRDefault="00A13282" w:rsidP="00602EF1">
      <w:pPr>
        <w:pStyle w:val="a5"/>
        <w:rPr>
          <w:rtl/>
        </w:rPr>
      </w:pPr>
      <w:r>
        <w:rPr>
          <w:rStyle w:val="a7"/>
          <w:rtl/>
        </w:rPr>
        <w:footnoteRef/>
      </w:r>
      <w:r>
        <w:rPr>
          <w:rtl/>
        </w:rPr>
        <w:t xml:space="preserve"> </w:t>
      </w:r>
      <w:r>
        <w:rPr>
          <w:b/>
          <w:bCs/>
          <w:rtl/>
        </w:rPr>
        <w:t>ענפין דיליה כו'.</w:t>
      </w:r>
      <w:r>
        <w:rPr>
          <w:rtl/>
        </w:rPr>
        <w:t xml:space="preserve"> וכן ישראל דאינון ענפין דאילנא שהן מסטרא דחו"ג - עשב השדה, ומסטרא דנו"ה - שיח השדה כנ"ל תיקון נ”א:</w:t>
      </w:r>
    </w:p>
  </w:footnote>
  <w:footnote w:id="4265">
    <w:p w:rsidR="00A13282" w:rsidRDefault="00A13282" w:rsidP="00602EF1">
      <w:pPr>
        <w:pStyle w:val="a5"/>
        <w:rPr>
          <w:rtl/>
        </w:rPr>
      </w:pPr>
      <w:r>
        <w:rPr>
          <w:rStyle w:val="a7"/>
          <w:rtl/>
        </w:rPr>
        <w:footnoteRef/>
      </w:r>
      <w:r>
        <w:rPr>
          <w:rtl/>
        </w:rPr>
        <w:t xml:space="preserve"> </w:t>
      </w:r>
      <w:r>
        <w:rPr>
          <w:b/>
          <w:bCs/>
          <w:rtl/>
        </w:rPr>
        <w:t>ונוזלים מן לבנון דא לבנה.</w:t>
      </w:r>
      <w:r>
        <w:rPr>
          <w:rtl/>
        </w:rPr>
        <w:t xml:space="preserve"> רוצה לומר כמו שחכמה עלאה הוא מעין לגן עלאה כן חכמה דידה דהוא סיהרא, נקודה מלגאו, בת מלך פנימה כידוע, וכמו שאמרו ברעיא מהימנא פ' פנחס רמ"ח ב' נקודה דנגיד עלה מלגאו היא חכמה כו' וההיא נקודה כו' ואמאי אתקריאת לבנה על שם לבון ההלכה דאיהי מלגאו, כל כבודה בת מלך פנימה כו', סיהרא דעץ החיים, ההיא נקודה דלגו מינה איהי כמבועא דלית ליה פסק דכתיב (ישעיהו נח יא) וכמוצא מים אשר לא כו', והוא בת מלך דלעיל סוף תיקון י”ח עיין שם ועיין לעיל נ"ב ב' וברתא כו' בת מלך פנימאה כו' עלה אתמר יפה כלבנה תורה שבעל פה קראן לה כו':</w:t>
      </w:r>
    </w:p>
  </w:footnote>
  <w:footnote w:id="4266">
    <w:p w:rsidR="00A13282" w:rsidRDefault="00A13282" w:rsidP="00602EF1">
      <w:pPr>
        <w:pStyle w:val="a5"/>
        <w:rPr>
          <w:rtl/>
        </w:rPr>
      </w:pPr>
      <w:r>
        <w:rPr>
          <w:rStyle w:val="a7"/>
          <w:rtl/>
        </w:rPr>
        <w:footnoteRef/>
      </w:r>
      <w:r>
        <w:rPr>
          <w:rtl/>
        </w:rPr>
        <w:t xml:space="preserve"> </w:t>
      </w:r>
      <w:r>
        <w:rPr>
          <w:b/>
          <w:bCs/>
          <w:rtl/>
        </w:rPr>
        <w:t>דאיהי דלת דלה כו'.</w:t>
      </w:r>
      <w:r>
        <w:rPr>
          <w:rtl/>
        </w:rPr>
        <w:t xml:space="preserve"> רוצה לומר דנקראת דלת אות ד' על שם שהיא דלה, והוא גם כן לשון דלה דלה לנו (שמות ב יט) ההוא רעיא מהימנא דלה לנו מינה, וזה שאומר ועלה אתמר יזל כו', והוא סיהרא דעץ החיים אשר לא יכזבו כו' כנ"ל. ואמר </w:t>
      </w:r>
      <w:r>
        <w:rPr>
          <w:b/>
          <w:bCs/>
          <w:rtl/>
        </w:rPr>
        <w:t>דאיהי דלת כו'.</w:t>
      </w:r>
      <w:r>
        <w:rPr>
          <w:rtl/>
        </w:rPr>
        <w:t xml:space="preserve"> לפרש מה שכתוב ונוזלים, וכמו שכתוב יזל כו'. וזהו החילוק בין מעין לכאן, דכאן לפי שהיא מלבנה דאיהי כו' - רק נוזלים, אבל מכל מקום היא כגוונא דחכמה עלאה שהן תעלומות חכמה, ואמר בפ' בראשית ז' ב' ר"ח פתח כו' ב' תרין אינון דמתחבראן כחדא, ואינון תרין נקודין, חד גניזא וטמירא וחד באתגליא, ובגין דלית ליה פרודא אקרון ראשית, חד ולא תרין, מאן דנטיל האי נטיל האי, וכולא חד כו', וזה דשקיל קרא לתרווייהו כחדא מעין ונוזלים, וזה שאמרו (מקוואות פ"ה) הזוחלין, שהן הנוזלים כמעין כו':</w:t>
      </w:r>
    </w:p>
  </w:footnote>
  <w:footnote w:id="4267">
    <w:p w:rsidR="00A13282" w:rsidRDefault="00A13282" w:rsidP="00602EF1">
      <w:pPr>
        <w:pStyle w:val="a5"/>
        <w:rPr>
          <w:rtl/>
        </w:rPr>
      </w:pPr>
      <w:r>
        <w:rPr>
          <w:rStyle w:val="a7"/>
          <w:rtl/>
        </w:rPr>
        <w:footnoteRef/>
      </w:r>
      <w:r>
        <w:rPr>
          <w:rtl/>
        </w:rPr>
        <w:t xml:space="preserve"> </w:t>
      </w:r>
      <w:r>
        <w:rPr>
          <w:b/>
          <w:bCs/>
          <w:rtl/>
        </w:rPr>
        <w:t>דאתקריאו כו'.</w:t>
      </w:r>
      <w:r>
        <w:rPr>
          <w:rtl/>
        </w:rPr>
        <w:t xml:space="preserve"> דלית להו נביעו:</w:t>
      </w:r>
    </w:p>
  </w:footnote>
  <w:footnote w:id="4268">
    <w:p w:rsidR="00A13282" w:rsidRDefault="00A13282" w:rsidP="00602EF1">
      <w:pPr>
        <w:pStyle w:val="a5"/>
        <w:rPr>
          <w:rtl/>
        </w:rPr>
      </w:pPr>
      <w:r>
        <w:rPr>
          <w:rStyle w:val="a7"/>
          <w:rtl/>
        </w:rPr>
        <w:footnoteRef/>
      </w:r>
      <w:r>
        <w:rPr>
          <w:rtl/>
        </w:rPr>
        <w:t xml:space="preserve"> </w:t>
      </w:r>
      <w:r>
        <w:rPr>
          <w:b/>
          <w:bCs/>
          <w:rtl/>
        </w:rPr>
        <w:t>דאינון עמלים כו'.</w:t>
      </w:r>
      <w:r>
        <w:rPr>
          <w:rtl/>
        </w:rPr>
        <w:t xml:space="preserve"> מה שאמרו בפרק ד' דברכות אנו עמלים והם עמלים כו' אנו רצים כו' והם רצים לבאר שחת:</w:t>
      </w:r>
    </w:p>
  </w:footnote>
  <w:footnote w:id="4269">
    <w:p w:rsidR="00A13282" w:rsidRDefault="00A13282" w:rsidP="00602EF1">
      <w:pPr>
        <w:pStyle w:val="a5"/>
        <w:rPr>
          <w:rtl/>
        </w:rPr>
      </w:pPr>
      <w:r>
        <w:rPr>
          <w:rStyle w:val="a7"/>
          <w:rtl/>
        </w:rPr>
        <w:footnoteRef/>
      </w:r>
      <w:r>
        <w:rPr>
          <w:rtl/>
        </w:rPr>
        <w:t xml:space="preserve"> </w:t>
      </w:r>
      <w:r>
        <w:rPr>
          <w:b/>
          <w:bCs/>
          <w:rtl/>
        </w:rPr>
        <w:t>ואע"ג דמתרבי כו'.</w:t>
      </w:r>
      <w:r>
        <w:rPr>
          <w:rtl/>
        </w:rPr>
        <w:t xml:space="preserve"> רוצה לומר, כמו שאמרו (יומא עב ע"ב) במטותא מינייכו לא תירתו כו' ואמרו (שם) ווי למאן דלית ליה דרתא ותרעא לדרתא עביד, דעיקר הוא על נביעו דעביד פירות שאינו עץ סרק וזה שאומר רק עץ כו', ואמר זה להקדמה על מה שאומר בתיקון נ”ג ועוד ויצמח כו' בפקודין דאורייתא, וכמו שהמשילו על המעין דאשקי לאילנין טוב ורע, וכמו שאמרו (שם) זכה כו':</w:t>
      </w:r>
    </w:p>
    <w:p w:rsidR="00A13282" w:rsidRDefault="00A13282" w:rsidP="00602EF1">
      <w:pPr>
        <w:pStyle w:val="a5"/>
        <w:rPr>
          <w:rtl/>
        </w:rPr>
      </w:pPr>
    </w:p>
  </w:footnote>
  <w:footnote w:id="4270">
    <w:p w:rsidR="00A13282" w:rsidRDefault="00A13282" w:rsidP="00602EF1">
      <w:pPr>
        <w:pStyle w:val="a5"/>
        <w:rPr>
          <w:rtl/>
        </w:rPr>
      </w:pPr>
      <w:r>
        <w:rPr>
          <w:rStyle w:val="a7"/>
          <w:rtl/>
        </w:rPr>
        <w:footnoteRef/>
      </w:r>
      <w:r>
        <w:rPr>
          <w:rtl/>
        </w:rPr>
        <w:t xml:space="preserve"> </w:t>
      </w:r>
      <w:r>
        <w:rPr>
          <w:b/>
          <w:bCs/>
          <w:rtl/>
        </w:rPr>
        <w:t>תיקון נ"ג בראשית כו'.</w:t>
      </w:r>
      <w:r>
        <w:rPr>
          <w:rtl/>
        </w:rPr>
        <w:t xml:space="preserve"> כאן דריש פסוק ויטע כו' כמו שמפרש והולך:</w:t>
      </w:r>
    </w:p>
  </w:footnote>
  <w:footnote w:id="4271">
    <w:p w:rsidR="00A13282" w:rsidRDefault="00A13282" w:rsidP="00602EF1">
      <w:pPr>
        <w:pStyle w:val="a5"/>
        <w:rPr>
          <w:rtl/>
        </w:rPr>
      </w:pPr>
      <w:r>
        <w:rPr>
          <w:rStyle w:val="a7"/>
          <w:rtl/>
        </w:rPr>
        <w:footnoteRef/>
      </w:r>
      <w:r>
        <w:rPr>
          <w:rtl/>
        </w:rPr>
        <w:t xml:space="preserve"> </w:t>
      </w:r>
      <w:r>
        <w:rPr>
          <w:b/>
          <w:bCs/>
          <w:rtl/>
        </w:rPr>
        <w:t>תמן בת כו'.</w:t>
      </w:r>
      <w:r>
        <w:rPr>
          <w:rtl/>
        </w:rPr>
        <w:t xml:space="preserve"> בראשי תיבות וסופי תיבות, והן גנים הנ"ל, ובאמת כל ה' פרצופים מפורשים כאן - בת אב אם שמים וארץ, ובת הוא כתר אבל הוא דריש בת ממש ולענין הקרא דגן עדן כמו שמפרש והולך וכן כל התיקונין הולכין אחר הקרא:</w:t>
      </w:r>
    </w:p>
  </w:footnote>
  <w:footnote w:id="4272">
    <w:p w:rsidR="00A13282" w:rsidRDefault="00A13282" w:rsidP="00602EF1">
      <w:pPr>
        <w:pStyle w:val="a5"/>
        <w:rPr>
          <w:rtl/>
        </w:rPr>
      </w:pPr>
      <w:r>
        <w:rPr>
          <w:rStyle w:val="a7"/>
          <w:rtl/>
        </w:rPr>
        <w:footnoteRef/>
      </w:r>
      <w:r>
        <w:rPr>
          <w:rtl/>
        </w:rPr>
        <w:t xml:space="preserve"> </w:t>
      </w:r>
      <w:r>
        <w:rPr>
          <w:b/>
          <w:bCs/>
          <w:rtl/>
        </w:rPr>
        <w:t>בעדן דא אימא עלאה.</w:t>
      </w:r>
      <w:r>
        <w:rPr>
          <w:rtl/>
        </w:rPr>
        <w:t xml:space="preserve"> אע"ג דנקראת גן לגבי עדן עלאה, נקראת עדן לגבי שכינתא, גן תתאה, כמו שאמרו בזוהר ולקמן ריש תיקון נ"ד ורזא דקרא דאלקים שהוא עדן ברא בראשית הגן בתוכה:</w:t>
      </w:r>
    </w:p>
  </w:footnote>
  <w:footnote w:id="4273">
    <w:p w:rsidR="00A13282" w:rsidRDefault="00A13282" w:rsidP="00602EF1">
      <w:pPr>
        <w:pStyle w:val="a5"/>
        <w:rPr>
          <w:rtl/>
        </w:rPr>
      </w:pPr>
      <w:r>
        <w:rPr>
          <w:rStyle w:val="a7"/>
          <w:rtl/>
        </w:rPr>
        <w:footnoteRef/>
      </w:r>
      <w:r>
        <w:rPr>
          <w:rtl/>
        </w:rPr>
        <w:t xml:space="preserve"> </w:t>
      </w:r>
      <w:r>
        <w:rPr>
          <w:b/>
          <w:bCs/>
          <w:rtl/>
        </w:rPr>
        <w:t>מקדם אבא עלאה.</w:t>
      </w:r>
      <w:r>
        <w:rPr>
          <w:rtl/>
        </w:rPr>
        <w:t xml:space="preserve"> רוצה לומר בעדן מקדם - שהעדן הוא מקדם, דלא מתפרשין, ומקדם הוא מזרח שנקרא אבא מזרח כמו שאמרו בפרשת במדבר:</w:t>
      </w:r>
    </w:p>
  </w:footnote>
  <w:footnote w:id="4274">
    <w:p w:rsidR="00A13282" w:rsidRDefault="00A13282" w:rsidP="00602EF1">
      <w:pPr>
        <w:pStyle w:val="a5"/>
        <w:rPr>
          <w:rtl/>
        </w:rPr>
      </w:pPr>
      <w:r>
        <w:rPr>
          <w:rStyle w:val="a7"/>
          <w:rtl/>
        </w:rPr>
        <w:footnoteRef/>
      </w:r>
      <w:r>
        <w:rPr>
          <w:rtl/>
        </w:rPr>
        <w:t xml:space="preserve"> </w:t>
      </w:r>
      <w:r>
        <w:rPr>
          <w:b/>
          <w:bCs/>
          <w:rtl/>
        </w:rPr>
        <w:t>וישם שם כו'.</w:t>
      </w:r>
      <w:r>
        <w:rPr>
          <w:rtl/>
        </w:rPr>
        <w:t xml:space="preserve"> והן ג' קטירין דכליל כולא - גן ואדם ועדן, וזה שאומר ועלייהו אתמר, על הג' הנ"ל, את האדם, הוא עמודא דאמצעיתא כנ"ל, וייצר, ב' יצירות בעלמא כו' הן ב' גנים הנ"ל, גן ועדן שהן ב' עלמין כו', והן עפר מן האדמה, עפר ידוע שהוא במלכות, מן האדמה - בינה, ארץ אדום, כמו שאמרו באידרא רבא, ואדמה חושבן נ' שערי בינה, וזה קאי על הגוף בג' קטירין - ראש בטן גויה, ואח"כ קאמר על הנשמה, נר"ן דבהן, כמו שמפרש והולך ויפח כו' ויהי כו' לנפש כו', ג' קטירין נר"ן, וייצר כו' ג' כלים לנר"ן כנ"ל ויטע כו' למעלה עשר ספירות בג' קטירין כנ"ל, ופסוק וייצר היה לו להביא בתיקון נ”ב אלא דסמיך ליה כאן שמפרש בענין אחד:</w:t>
      </w:r>
    </w:p>
  </w:footnote>
  <w:footnote w:id="4275">
    <w:p w:rsidR="00A13282" w:rsidRDefault="00A13282" w:rsidP="00602EF1">
      <w:pPr>
        <w:pStyle w:val="a5"/>
        <w:rPr>
          <w:rtl/>
        </w:rPr>
      </w:pPr>
      <w:r>
        <w:rPr>
          <w:rStyle w:val="a7"/>
          <w:rtl/>
        </w:rPr>
        <w:footnoteRef/>
      </w:r>
      <w:r>
        <w:rPr>
          <w:rtl/>
        </w:rPr>
        <w:t xml:space="preserve"> </w:t>
      </w:r>
      <w:r>
        <w:rPr>
          <w:b/>
          <w:bCs/>
          <w:rtl/>
        </w:rPr>
        <w:t>עדן דא עדונא כו'.</w:t>
      </w:r>
      <w:r>
        <w:rPr>
          <w:rtl/>
        </w:rPr>
        <w:t xml:space="preserve"> חכמת הקבלה, ונטע את הגן על הרזין בעדן:</w:t>
      </w:r>
    </w:p>
  </w:footnote>
  <w:footnote w:id="4276">
    <w:p w:rsidR="00A13282" w:rsidRDefault="00A13282" w:rsidP="00602EF1">
      <w:pPr>
        <w:pStyle w:val="a5"/>
        <w:rPr>
          <w:rtl/>
        </w:rPr>
      </w:pPr>
      <w:r>
        <w:rPr>
          <w:rStyle w:val="a7"/>
          <w:rtl/>
        </w:rPr>
        <w:footnoteRef/>
      </w:r>
      <w:r>
        <w:rPr>
          <w:rtl/>
        </w:rPr>
        <w:t xml:space="preserve"> </w:t>
      </w:r>
      <w:r>
        <w:rPr>
          <w:b/>
          <w:bCs/>
          <w:rtl/>
        </w:rPr>
        <w:t>ויצמח כו'.</w:t>
      </w:r>
      <w:r>
        <w:rPr>
          <w:rtl/>
        </w:rPr>
        <w:t xml:space="preserve"> מכאן שייך לתיקון נ”ד, והקדים כאן הקדמה לתיקון נ”ד וכמו שכתבתי לעיל: </w:t>
      </w:r>
    </w:p>
  </w:footnote>
  <w:footnote w:id="4277">
    <w:p w:rsidR="00A13282" w:rsidRDefault="00A13282" w:rsidP="00602EF1">
      <w:pPr>
        <w:pStyle w:val="a5"/>
        <w:rPr>
          <w:rtl/>
        </w:rPr>
      </w:pPr>
      <w:r>
        <w:rPr>
          <w:rStyle w:val="a7"/>
          <w:rtl/>
        </w:rPr>
        <w:footnoteRef/>
      </w:r>
      <w:r>
        <w:rPr>
          <w:rtl/>
        </w:rPr>
        <w:t xml:space="preserve"> </w:t>
      </w:r>
      <w:r>
        <w:rPr>
          <w:b/>
          <w:bCs/>
          <w:rtl/>
        </w:rPr>
        <w:t>דכל גוונין כו'.</w:t>
      </w:r>
      <w:r>
        <w:rPr>
          <w:rtl/>
        </w:rPr>
        <w:t xml:space="preserve"> דכולל כל הגוונין, ואמר שפירין כמו שמפרש והולך תפארת שפירו כו':</w:t>
      </w:r>
    </w:p>
  </w:footnote>
  <w:footnote w:id="4278">
    <w:p w:rsidR="00A13282" w:rsidRDefault="00A13282" w:rsidP="00602EF1">
      <w:pPr>
        <w:pStyle w:val="a5"/>
        <w:rPr>
          <w:rtl/>
        </w:rPr>
      </w:pPr>
      <w:r>
        <w:rPr>
          <w:rStyle w:val="a7"/>
          <w:rtl/>
        </w:rPr>
        <w:footnoteRef/>
      </w:r>
      <w:r>
        <w:rPr>
          <w:rtl/>
        </w:rPr>
        <w:t xml:space="preserve"> </w:t>
      </w:r>
      <w:r>
        <w:rPr>
          <w:b/>
          <w:bCs/>
          <w:rtl/>
        </w:rPr>
        <w:t>וטוב למאכל דא צדיק.</w:t>
      </w:r>
      <w:r>
        <w:rPr>
          <w:rtl/>
        </w:rPr>
        <w:t xml:space="preserve"> כמו שאמרו בזוהר פ' ויחי ר"מ א' מהאוכל יצא מאכל כו' מהאוכל דא צדיק דכתיב צדיק אוכל לשובע נפשו, צדיק אוכל ודאי ונטיל לכולו, אמאי, לשובע נפשו למיהב שבעא לההוא דאקרי נפשו, דאקרי דוד, יצא מאכל - דאלמלא צדיק לא יפוק מזונא לעלמין:</w:t>
      </w:r>
    </w:p>
  </w:footnote>
  <w:footnote w:id="4279">
    <w:p w:rsidR="00A13282" w:rsidRDefault="00A13282" w:rsidP="00602EF1">
      <w:pPr>
        <w:pStyle w:val="a5"/>
        <w:rPr>
          <w:rtl/>
        </w:rPr>
      </w:pPr>
      <w:r>
        <w:rPr>
          <w:rStyle w:val="a7"/>
          <w:rtl/>
        </w:rPr>
        <w:footnoteRef/>
      </w:r>
      <w:r>
        <w:rPr>
          <w:rtl/>
        </w:rPr>
        <w:t xml:space="preserve"> </w:t>
      </w:r>
      <w:r>
        <w:rPr>
          <w:b/>
          <w:bCs/>
          <w:rtl/>
        </w:rPr>
        <w:t>א"ל ר"י כו'.</w:t>
      </w:r>
      <w:r>
        <w:rPr>
          <w:rtl/>
        </w:rPr>
        <w:t xml:space="preserve"> קושייתו היה האיך דריש (על ספירה יחידית) על ת"ת, הא כל כתיב, דהוא צדיק, וזה שהשיב לו ודאי הכי הוא אבל מזה אין קושיא דכל קאי אצדיק ועץ - את"ת, ואע"ג דכל עץ סמיכי ומשמע דקאי אחד לא קשיא דגוף וברית חשבינן חד, והשתא אתי שפיר מה שאומר נחמד כו' את"ת וטוב כו' אצדיק, דקאי אכל עץ אלא שחוזר בו מטעם אחר וקמפרש הכל על צדיק כדברי ר"י ממה שכתוב שם ועץ החיים דהוא ת"ת כמו שמפרש והולך, והשתא כל עץ - צדיק דהוא כולל כל עץ - נחמד לשכינתא דאקרי מראה כמו שמפרש והולך, והיא מתאוה כל היום לצדיק וכמו שאמרו בפ' בראשית ו' ב' וישימהו דוד אל משמעתו דלא אתפרש מלוחא דלבא לעלמין כו' דוד שם ליה לבא כו'. וטוב למאכל כנ"ל והוא טוב כמו שכתוב (ישעיהו ג י) אמרו צדיק כי טוב:</w:t>
      </w:r>
    </w:p>
  </w:footnote>
  <w:footnote w:id="4280">
    <w:p w:rsidR="00A13282" w:rsidRDefault="00A13282" w:rsidP="00602EF1">
      <w:pPr>
        <w:pStyle w:val="a5"/>
        <w:rPr>
          <w:rtl/>
        </w:rPr>
      </w:pPr>
      <w:r>
        <w:rPr>
          <w:rStyle w:val="a7"/>
          <w:rtl/>
        </w:rPr>
        <w:footnoteRef/>
      </w:r>
      <w:r>
        <w:rPr>
          <w:rtl/>
        </w:rPr>
        <w:t xml:space="preserve"> </w:t>
      </w:r>
      <w:r>
        <w:rPr>
          <w:b/>
          <w:bCs/>
          <w:rtl/>
        </w:rPr>
        <w:t>דאתמר בה במראה כו'.</w:t>
      </w:r>
      <w:r>
        <w:rPr>
          <w:rtl/>
        </w:rPr>
        <w:t xml:space="preserve"> עיין רעיא מהימנא פ' תצא ר"פ ב' א"ל בוצינא קדישא האי מראה כו' כלילא איהי מעשר ספירות כו' עיין שם בדבריו: </w:t>
      </w:r>
    </w:p>
  </w:footnote>
  <w:footnote w:id="4281">
    <w:p w:rsidR="00A13282" w:rsidRDefault="00A13282" w:rsidP="00602EF1">
      <w:pPr>
        <w:pStyle w:val="a5"/>
        <w:rPr>
          <w:rtl/>
        </w:rPr>
      </w:pPr>
      <w:r>
        <w:rPr>
          <w:rStyle w:val="a7"/>
          <w:rtl/>
        </w:rPr>
        <w:footnoteRef/>
      </w:r>
      <w:r>
        <w:rPr>
          <w:rtl/>
        </w:rPr>
        <w:t xml:space="preserve"> </w:t>
      </w:r>
      <w:r>
        <w:rPr>
          <w:b/>
          <w:bCs/>
          <w:rtl/>
        </w:rPr>
        <w:t>ועץ החיים כו' החיים דלעילא כו'.</w:t>
      </w:r>
      <w:r>
        <w:rPr>
          <w:rtl/>
        </w:rPr>
        <w:t xml:space="preserve"> שהוא מהחיים דלעילא, חכמה, שנותן לו מוחין דהוא חיים, כמו שמפרש והולך והחכמה כו', והוא התורה, עץ החיים, ועץ נחמד כו' וטוב למאכל הוא צדיק במעשים טובים, וכמו שאומר לעיל סוף תיקון נ”ב רק עץ אשר תדע כו', ובתחלה רצה לפרש עץ נחמד למראה שזהו תורה וכמו שאמרו אילנא גופא (ואף עתה נחמד למראה קאי על רזין דאורייתא דהוא ביסוד כידוע וכמו שאומר למטה, אלא דעץ החיים הוא תורה דלעילא דלא זכה אליה שום בר נש, דעלה אתמר (בראשית ג כב) פן ישלח ידו כו', (שמות לג כ) כי לא יראני כו', והכל בחטא האדם):</w:t>
      </w:r>
    </w:p>
  </w:footnote>
  <w:footnote w:id="4282">
    <w:p w:rsidR="00A13282" w:rsidRDefault="00A13282" w:rsidP="00602EF1">
      <w:pPr>
        <w:pStyle w:val="a5"/>
        <w:rPr>
          <w:rtl/>
        </w:rPr>
      </w:pPr>
      <w:r>
        <w:rPr>
          <w:rStyle w:val="a7"/>
          <w:rtl/>
        </w:rPr>
        <w:footnoteRef/>
      </w:r>
      <w:r>
        <w:rPr>
          <w:rtl/>
        </w:rPr>
        <w:t xml:space="preserve"> </w:t>
      </w:r>
      <w:r>
        <w:rPr>
          <w:b/>
          <w:bCs/>
          <w:rtl/>
        </w:rPr>
        <w:t>א"ל הא כו' דתמן כו'.</w:t>
      </w:r>
      <w:r>
        <w:rPr>
          <w:rtl/>
        </w:rPr>
        <w:t xml:space="preserve"> רוצה לומר, מאי מן האדמה דמשמע דמשם מקורו שמשם יצא (הא אדרבה ועל כרחך אינו מן השכינתא, דנטוע בא ממקום אחר ונטע כאן, וכמו שאמרו (בראשית רבה פרשה טו) כקרני חגבים היו ועקרן ונטע להו כו', ושאל אם כן על כרחך האדמה לא קאי על שכינתא תתאה ומאי היא) ואיך אפשר לומר לפירושך דעץ החיים - ת"ת, וכל עץ - צדיק, שיצאו מהמלכות, ואמר הא שכינתא כו' דתמן עץ החיים כו'. רוצה לומר דמן האדמה קאי על הגן דתמן הם נטועים, וזה שאומר בתוך הגן:</w:t>
      </w:r>
    </w:p>
  </w:footnote>
  <w:footnote w:id="4283">
    <w:p w:rsidR="00A13282" w:rsidRDefault="00A13282" w:rsidP="00602EF1">
      <w:pPr>
        <w:pStyle w:val="a5"/>
        <w:rPr>
          <w:rtl/>
        </w:rPr>
      </w:pPr>
      <w:r>
        <w:rPr>
          <w:rStyle w:val="a7"/>
          <w:rtl/>
        </w:rPr>
        <w:footnoteRef/>
      </w:r>
      <w:r>
        <w:rPr>
          <w:rtl/>
        </w:rPr>
        <w:t xml:space="preserve"> </w:t>
      </w:r>
      <w:r>
        <w:rPr>
          <w:b/>
          <w:bCs/>
          <w:rtl/>
        </w:rPr>
        <w:t>א"ל</w:t>
      </w:r>
      <w:r>
        <w:rPr>
          <w:rtl/>
        </w:rPr>
        <w:t xml:space="preserve"> </w:t>
      </w:r>
      <w:r>
        <w:rPr>
          <w:b/>
          <w:bCs/>
          <w:rtl/>
        </w:rPr>
        <w:t xml:space="preserve">דא שכינתא כו'. </w:t>
      </w:r>
      <w:r>
        <w:rPr>
          <w:rtl/>
        </w:rPr>
        <w:t>רוצה לומר, דהאדמה אינו אדמת הגן אלא אדמה דלעילא, נש"ב כנ"ל, וארץ אדום דמשם יצאו ונטען בגן, וכמו שאמרו דעקרן קב"ה ונטען אח"כ בתוך הגן, וכן אמר בזוהר פ' בראשית ל"ה א' ב':</w:t>
      </w:r>
    </w:p>
  </w:footnote>
  <w:footnote w:id="4284">
    <w:p w:rsidR="00A13282" w:rsidRDefault="00A13282" w:rsidP="00602EF1">
      <w:pPr>
        <w:pStyle w:val="a5"/>
        <w:rPr>
          <w:rtl/>
        </w:rPr>
      </w:pPr>
      <w:r>
        <w:rPr>
          <w:rStyle w:val="a7"/>
          <w:rtl/>
        </w:rPr>
        <w:footnoteRef/>
      </w:r>
      <w:r>
        <w:rPr>
          <w:rtl/>
        </w:rPr>
        <w:t xml:space="preserve"> </w:t>
      </w:r>
      <w:r>
        <w:rPr>
          <w:b/>
          <w:bCs/>
          <w:rtl/>
        </w:rPr>
        <w:t>לחושבן כ"ל מ"י.</w:t>
      </w:r>
      <w:r>
        <w:rPr>
          <w:rtl/>
        </w:rPr>
        <w:t xml:space="preserve"> דהן כלל, וחוזר וכלל בדעת וביסוד נש"ב, ה’ גבורות, וכמו שאומר לעיל בתיקון מ”ז והוא חושבן אדמה כנ"ל ועל מה שאמר על עץ החיים אמר ובגינה רוצה לומר הבינה אמר מבטן כו' דאיהו כו', אלמא דנורא, ת"ת, יצא גם כן ממנה:</w:t>
      </w:r>
    </w:p>
  </w:footnote>
  <w:footnote w:id="4285">
    <w:p w:rsidR="00A13282" w:rsidRDefault="00A13282" w:rsidP="00602EF1">
      <w:pPr>
        <w:pStyle w:val="a5"/>
        <w:rPr>
          <w:rtl/>
        </w:rPr>
      </w:pPr>
      <w:r>
        <w:rPr>
          <w:rStyle w:val="a7"/>
          <w:rtl/>
        </w:rPr>
        <w:footnoteRef/>
      </w:r>
      <w:r>
        <w:rPr>
          <w:rtl/>
        </w:rPr>
        <w:t xml:space="preserve"> </w:t>
      </w:r>
      <w:r>
        <w:rPr>
          <w:b/>
          <w:bCs/>
          <w:rtl/>
        </w:rPr>
        <w:t>ועץ הדעת כו'.</w:t>
      </w:r>
      <w:r>
        <w:rPr>
          <w:rtl/>
        </w:rPr>
        <w:t xml:space="preserve"> דלכן לא קאמר בתוך הגן בסוף אלא קודם ועץ הדעת, דהוא אינו שם והוא ביצירה כמו שמפרש והולך:</w:t>
      </w:r>
    </w:p>
  </w:footnote>
  <w:footnote w:id="4286">
    <w:p w:rsidR="00A13282" w:rsidRDefault="00A13282" w:rsidP="00602EF1">
      <w:pPr>
        <w:pStyle w:val="a5"/>
        <w:rPr>
          <w:rtl/>
        </w:rPr>
      </w:pPr>
      <w:r>
        <w:rPr>
          <w:rStyle w:val="a7"/>
          <w:rtl/>
        </w:rPr>
        <w:footnoteRef/>
      </w:r>
      <w:r>
        <w:rPr>
          <w:rtl/>
        </w:rPr>
        <w:t xml:space="preserve"> </w:t>
      </w:r>
      <w:r>
        <w:rPr>
          <w:b/>
          <w:bCs/>
          <w:rtl/>
        </w:rPr>
        <w:t>ובג"ד ועץ הדעת דאיהו כו'.</w:t>
      </w:r>
      <w:r>
        <w:rPr>
          <w:rtl/>
        </w:rPr>
        <w:t xml:space="preserve"> רוצה לומר כנ"ל, דלכן כתיב ועץ הדעת בתר בתוך הגן, ומה שכתיב בהאי קרא וע"ה כו' קאי על ויצמח:</w:t>
      </w:r>
    </w:p>
  </w:footnote>
  <w:footnote w:id="4287">
    <w:p w:rsidR="00A13282" w:rsidRDefault="00A13282" w:rsidP="00602EF1">
      <w:pPr>
        <w:pStyle w:val="a5"/>
        <w:rPr>
          <w:rtl/>
        </w:rPr>
      </w:pPr>
      <w:r>
        <w:rPr>
          <w:rStyle w:val="a7"/>
          <w:rtl/>
        </w:rPr>
        <w:footnoteRef/>
      </w:r>
      <w:r>
        <w:rPr>
          <w:rtl/>
        </w:rPr>
        <w:t xml:space="preserve"> </w:t>
      </w:r>
      <w:r>
        <w:rPr>
          <w:b/>
          <w:bCs/>
          <w:rtl/>
        </w:rPr>
        <w:t>ועוד ויצמח כו' דא צמח כו'.</w:t>
      </w:r>
      <w:r>
        <w:rPr>
          <w:rtl/>
        </w:rPr>
        <w:t xml:space="preserve"> רוצה לומר דקאי על הצדיקים שהם מסטרא דצדיק דלעילא, וזהו צמח צדיק - צמח שלו, וזהו ויצמח דקרא, וכמו שכתוב ומתחתיו יצמח וכמו שמפרש והולך. ת"ח כל מאן כו' ורוצה לומר דאז הוא צמח של אביו שהוא צדיק דנטר ברית:</w:t>
      </w:r>
    </w:p>
  </w:footnote>
  <w:footnote w:id="4288">
    <w:p w:rsidR="00A13282" w:rsidRDefault="00A13282" w:rsidP="00602EF1">
      <w:pPr>
        <w:pStyle w:val="a5"/>
        <w:rPr>
          <w:rtl/>
        </w:rPr>
      </w:pPr>
      <w:r>
        <w:rPr>
          <w:rStyle w:val="a7"/>
          <w:rtl/>
        </w:rPr>
        <w:footnoteRef/>
      </w:r>
      <w:r>
        <w:rPr>
          <w:rtl/>
        </w:rPr>
        <w:t xml:space="preserve"> </w:t>
      </w:r>
      <w:r>
        <w:rPr>
          <w:b/>
          <w:bCs/>
          <w:rtl/>
        </w:rPr>
        <w:t>ברזין דאורייתא.</w:t>
      </w:r>
      <w:r>
        <w:rPr>
          <w:rtl/>
        </w:rPr>
        <w:t xml:space="preserve"> דהוא גם כן ביסוד כידוע וכמו שאמרו בריש פרשת שמות ובמתניתין דרזא דטעמי ושאר מקומות, וזה שאומר נחמד וטוב, שהוא באלו השנים, ואלו אשר צוה  השם יתברך מכל עץ הגן אכל, שהוא כל עץ כנ"ל, אבל מעץ הדעת כו' כמו שמפרש והולך אבל ברא כו', וכמו שאמרו בזהר חדש פ' בראשית דהשם צוה לאדם נעשה אדם, אני ואתם, שתצרפוני בשעת הזיווג דאם ה' לא כו' (תהלים קכז א):</w:t>
      </w:r>
    </w:p>
  </w:footnote>
  <w:footnote w:id="4289">
    <w:p w:rsidR="00A13282" w:rsidRDefault="00A13282" w:rsidP="00602EF1">
      <w:pPr>
        <w:pStyle w:val="a5"/>
        <w:rPr>
          <w:rtl/>
        </w:rPr>
      </w:pPr>
      <w:r>
        <w:rPr>
          <w:rStyle w:val="a7"/>
          <w:rtl/>
        </w:rPr>
        <w:footnoteRef/>
      </w:r>
      <w:r>
        <w:rPr>
          <w:rtl/>
        </w:rPr>
        <w:t xml:space="preserve"> </w:t>
      </w:r>
      <w:r>
        <w:rPr>
          <w:b/>
          <w:bCs/>
          <w:rtl/>
        </w:rPr>
        <w:t>ובג"ד מני כו'.</w:t>
      </w:r>
      <w:r>
        <w:rPr>
          <w:rtl/>
        </w:rPr>
        <w:t xml:space="preserve"> רוצה לומר דכתיב (ויקרא יט ב) קדושים תהיו כו', ואמרו (שבועות יח ע"ב) כל המקדש כו':</w:t>
      </w:r>
    </w:p>
  </w:footnote>
  <w:footnote w:id="4290">
    <w:p w:rsidR="00A13282" w:rsidRDefault="00A13282" w:rsidP="00602EF1">
      <w:pPr>
        <w:pStyle w:val="a5"/>
        <w:rPr>
          <w:rtl/>
        </w:rPr>
      </w:pPr>
      <w:r>
        <w:rPr>
          <w:rStyle w:val="a7"/>
          <w:rtl/>
        </w:rPr>
        <w:footnoteRef/>
      </w:r>
      <w:r>
        <w:rPr>
          <w:rtl/>
        </w:rPr>
        <w:t xml:space="preserve"> </w:t>
      </w:r>
      <w:r>
        <w:rPr>
          <w:b/>
          <w:bCs/>
          <w:rtl/>
        </w:rPr>
        <w:t>ורע מסט' דדם נדות כו'.</w:t>
      </w:r>
      <w:r>
        <w:rPr>
          <w:rtl/>
        </w:rPr>
        <w:t xml:space="preserve"> דהאדם נברא מדם שבאשה אלא דלפי המחשבה נקלט בדם אם טמא אם טהור, ועיקרו קאי על בני ט' מדות (נדרים כ ע"ב) שנאמר בהן וברותי מכם הפושעים והמורדים דהן מסטרא דערב רב וע"ה כמו שאומר לעיל:</w:t>
      </w:r>
    </w:p>
    <w:p w:rsidR="00A13282" w:rsidRDefault="00A13282" w:rsidP="00602EF1">
      <w:pPr>
        <w:pStyle w:val="a5"/>
        <w:rPr>
          <w:rtl/>
        </w:rPr>
      </w:pPr>
    </w:p>
  </w:footnote>
  <w:footnote w:id="4291">
    <w:p w:rsidR="00A13282" w:rsidRDefault="00A13282" w:rsidP="00602EF1">
      <w:pPr>
        <w:pStyle w:val="a5"/>
        <w:rPr>
          <w:rtl/>
        </w:rPr>
      </w:pPr>
      <w:r>
        <w:rPr>
          <w:rStyle w:val="a7"/>
          <w:rtl/>
        </w:rPr>
        <w:footnoteRef/>
      </w:r>
      <w:r>
        <w:rPr>
          <w:rtl/>
        </w:rPr>
        <w:t xml:space="preserve"> </w:t>
      </w:r>
      <w:r>
        <w:rPr>
          <w:b/>
          <w:bCs/>
          <w:rtl/>
        </w:rPr>
        <w:t>תיקון נ"ד בראשית.</w:t>
      </w:r>
      <w:r>
        <w:rPr>
          <w:rtl/>
        </w:rPr>
        <w:t xml:space="preserve"> כאן מתחיל תיקון נ”ד ולא כמו שכתוב בהגהה, וטעה טעות גדול וכמו שכתבתי לעיל דהתיקונים סדרם דתחלה מקדים ואח"כ מרמז אותו בפסוק ראשון דבראשית, וכאן מרמז פסוק הנ"ל דויצמח כו', דאת השמים - עץ החיים, ת"ת, ואת הארץ - צדיק, וכמו שאומר לעיל בריש תיקון נ”א דנה"י הן דנוק', והוא שנצטוה עליו לאכול מכל עץ כו' כנ"ל דהארץ נתן לבני אדם אבל השמים שמים לה':</w:t>
      </w:r>
    </w:p>
  </w:footnote>
  <w:footnote w:id="4292">
    <w:p w:rsidR="00A13282" w:rsidRDefault="00A13282" w:rsidP="00602EF1">
      <w:pPr>
        <w:pStyle w:val="a5"/>
        <w:rPr>
          <w:rtl/>
        </w:rPr>
      </w:pPr>
      <w:r>
        <w:rPr>
          <w:rStyle w:val="a7"/>
          <w:rtl/>
        </w:rPr>
        <w:footnoteRef/>
      </w:r>
      <w:r>
        <w:rPr>
          <w:rtl/>
        </w:rPr>
        <w:t xml:space="preserve"> </w:t>
      </w:r>
      <w:r>
        <w:rPr>
          <w:b/>
          <w:bCs/>
          <w:rtl/>
        </w:rPr>
        <w:t xml:space="preserve"> והארץ כו'.</w:t>
      </w:r>
      <w:r>
        <w:rPr>
          <w:rtl/>
        </w:rPr>
        <w:t xml:space="preserve"> כמו שמפרש והולך ודא כו', והכל בפסוק דויצמח כו':</w:t>
      </w:r>
    </w:p>
  </w:footnote>
  <w:footnote w:id="4293">
    <w:p w:rsidR="00A13282" w:rsidRDefault="00A13282" w:rsidP="00602EF1">
      <w:pPr>
        <w:pStyle w:val="a5"/>
        <w:rPr>
          <w:rtl/>
        </w:rPr>
      </w:pPr>
      <w:r>
        <w:rPr>
          <w:rStyle w:val="a7"/>
          <w:rtl/>
        </w:rPr>
        <w:footnoteRef/>
      </w:r>
      <w:r>
        <w:rPr>
          <w:rtl/>
        </w:rPr>
        <w:t xml:space="preserve"> </w:t>
      </w:r>
      <w:r>
        <w:rPr>
          <w:b/>
          <w:bCs/>
          <w:rtl/>
        </w:rPr>
        <w:t>תהו עמק רע כו'</w:t>
      </w:r>
      <w:r>
        <w:rPr>
          <w:b/>
          <w:bCs/>
        </w:rPr>
        <w:t>.</w:t>
      </w:r>
      <w:r>
        <w:rPr>
          <w:rtl/>
        </w:rPr>
        <w:t xml:space="preserve"> רוצה לומר עשרה עומקים דספר יצירה ועיין בספר הבהיר ב' ב' ברא בהו ושם מקומו בשלום וברא תהו ושם מקומו ברע כו' ומנ"ל דתהו ברע דכתיב עושה שלום ובורא רע הא כיצד רע מתהו ושלום מבהו ועיין בזהר פרשת בראשית ט"ז א', והכל ביצירה:</w:t>
      </w:r>
    </w:p>
  </w:footnote>
  <w:footnote w:id="4294">
    <w:p w:rsidR="00A13282" w:rsidRDefault="00A13282" w:rsidP="00602EF1">
      <w:pPr>
        <w:pStyle w:val="a5"/>
        <w:rPr>
          <w:rtl/>
        </w:rPr>
      </w:pPr>
      <w:r>
        <w:rPr>
          <w:rStyle w:val="a7"/>
          <w:rtl/>
        </w:rPr>
        <w:footnoteRef/>
      </w:r>
      <w:r>
        <w:rPr>
          <w:rtl/>
        </w:rPr>
        <w:t xml:space="preserve"> </w:t>
      </w:r>
      <w:r>
        <w:rPr>
          <w:b/>
          <w:bCs/>
          <w:rtl/>
        </w:rPr>
        <w:t>כי שם בלל כו'.</w:t>
      </w:r>
      <w:r>
        <w:rPr>
          <w:rtl/>
        </w:rPr>
        <w:t xml:space="preserve"> שנתערבו טוב ורע והוא בנוגה, עץ הדעת, והוא מה שאמרו (בראשית רבה פרשה לח) אשר בנו בני האדם בנוי דאדם קדמאה, רוצה לומר שגם הם בעץ הדעת חטאו:</w:t>
      </w:r>
    </w:p>
  </w:footnote>
  <w:footnote w:id="4295">
    <w:p w:rsidR="00A13282" w:rsidRDefault="00A13282" w:rsidP="00602EF1">
      <w:pPr>
        <w:pStyle w:val="a5"/>
        <w:rPr>
          <w:rtl/>
        </w:rPr>
      </w:pPr>
      <w:r>
        <w:rPr>
          <w:rStyle w:val="a7"/>
          <w:rtl/>
        </w:rPr>
        <w:footnoteRef/>
      </w:r>
      <w:r>
        <w:rPr>
          <w:rtl/>
        </w:rPr>
        <w:t xml:space="preserve"> </w:t>
      </w:r>
      <w:r>
        <w:rPr>
          <w:b/>
          <w:bCs/>
          <w:rtl/>
        </w:rPr>
        <w:t>ומהכא נפק כו'.</w:t>
      </w:r>
      <w:r>
        <w:rPr>
          <w:rtl/>
        </w:rPr>
        <w:t xml:space="preserve"> כמו שאמרו (ברכות ז ע"א) צדיק שאינו גמור ורשע שאינו גמור, והן מסטרא דערבוביא טוב ורע, והן מסטרא דגלגולא כמו שאומר לעיל וכי צדיק שאינו גמור הוא צדיק א"ל כו', וזה שאמרו גם כן (שם) צדיק בן רשע, רשע בן צדיק, וכמו שאומר לקמן בתיקון ס”ט ושאר מקומות דגלגולא מחייב ליה כו', וכל הגלגולין הוא בעץ הדעת הזה כמו שאמרו בתיקוני זהר חדש פ"ו ב' ושאר מקומות, והכל גרם ההוא ערבוביא:</w:t>
      </w:r>
    </w:p>
  </w:footnote>
  <w:footnote w:id="4296">
    <w:p w:rsidR="00A13282" w:rsidRDefault="00A13282" w:rsidP="00602EF1">
      <w:pPr>
        <w:pStyle w:val="a5"/>
        <w:rPr>
          <w:rtl/>
        </w:rPr>
      </w:pPr>
      <w:r>
        <w:rPr>
          <w:rStyle w:val="a7"/>
          <w:rtl/>
        </w:rPr>
        <w:footnoteRef/>
      </w:r>
      <w:r>
        <w:rPr>
          <w:rtl/>
        </w:rPr>
        <w:t xml:space="preserve"> </w:t>
      </w:r>
      <w:r>
        <w:rPr>
          <w:b/>
          <w:bCs/>
          <w:rtl/>
        </w:rPr>
        <w:t>בראשית ברא בית כו'</w:t>
      </w:r>
      <w:r>
        <w:rPr>
          <w:b/>
          <w:bCs/>
        </w:rPr>
        <w:t>.</w:t>
      </w:r>
      <w:r>
        <w:rPr>
          <w:rtl/>
        </w:rPr>
        <w:t xml:space="preserve"> כאן מרמז פסוק ונהר יוצא כו' וכל ענין הנהרות כמו שמפרש והולך בתיקון זה, ומכל מקום כללו בתיקון אחד עם הנ"ל לפי שאינו כתוב שם אלקים עד ויקח ה' כו', והוא תיקון נ”ה כמו שכתבתי שם:</w:t>
      </w:r>
    </w:p>
  </w:footnote>
  <w:footnote w:id="4297">
    <w:p w:rsidR="00A13282" w:rsidRDefault="00A13282" w:rsidP="00602EF1">
      <w:pPr>
        <w:pStyle w:val="a5"/>
        <w:rPr>
          <w:rtl/>
        </w:rPr>
      </w:pPr>
      <w:r>
        <w:rPr>
          <w:rStyle w:val="a7"/>
          <w:rtl/>
        </w:rPr>
        <w:footnoteRef/>
      </w:r>
      <w:r>
        <w:rPr>
          <w:rtl/>
        </w:rPr>
        <w:t xml:space="preserve"> </w:t>
      </w:r>
      <w:r>
        <w:rPr>
          <w:b/>
          <w:bCs/>
          <w:rtl/>
        </w:rPr>
        <w:t>בית ראש ואינון או"א</w:t>
      </w:r>
      <w:r>
        <w:rPr>
          <w:b/>
          <w:bCs/>
        </w:rPr>
        <w:t>.</w:t>
      </w:r>
      <w:r>
        <w:rPr>
          <w:rtl/>
        </w:rPr>
        <w:t xml:space="preserve">  עיין בזהר פרשת בראשית ט"ו ב' לבתר אתחלף גוון ההוא היכלא ואיקרי בית ונקודה עלאה אקרי ראש כליל דא בדא ברזא בראשית:</w:t>
      </w:r>
    </w:p>
  </w:footnote>
  <w:footnote w:id="4298">
    <w:p w:rsidR="00A13282" w:rsidRDefault="00A13282" w:rsidP="00602EF1">
      <w:pPr>
        <w:pStyle w:val="a5"/>
        <w:rPr>
          <w:rtl/>
        </w:rPr>
      </w:pPr>
      <w:r>
        <w:rPr>
          <w:rStyle w:val="a7"/>
          <w:rtl/>
        </w:rPr>
        <w:footnoteRef/>
      </w:r>
      <w:r>
        <w:rPr>
          <w:rtl/>
        </w:rPr>
        <w:t xml:space="preserve"> </w:t>
      </w:r>
      <w:r>
        <w:rPr>
          <w:b/>
          <w:bCs/>
          <w:rtl/>
        </w:rPr>
        <w:t>ברא איהו עד"א</w:t>
      </w:r>
      <w:r>
        <w:rPr>
          <w:b/>
          <w:bCs/>
        </w:rPr>
        <w:t>.</w:t>
      </w:r>
      <w:r>
        <w:rPr>
          <w:rtl/>
        </w:rPr>
        <w:t xml:space="preserve"> רוצה לומר הדעת דנפיק מאו"א וכמו שמפרש והולך ועליה כו', שנהר הוא בכל מקום דעת, בכל ספירה על הדעת שבתוכו וזה שאומר אית כו' אית כו', ונקרא היסוד ביחוד נהר - שבו מתקבץ כל הנהרות שהוא הדעת, והוא אינו חי אלא בסוד הדעת, אבר חי, ובריאתו הוא בשביל זה, ובסוד (בראשית ד א) והאדם ידע כו', (בראשית ד יז, כה) וידע כו':</w:t>
      </w:r>
    </w:p>
  </w:footnote>
  <w:footnote w:id="4299">
    <w:p w:rsidR="00A13282" w:rsidRDefault="00A13282" w:rsidP="00602EF1">
      <w:pPr>
        <w:pStyle w:val="a5"/>
        <w:rPr>
          <w:rtl/>
        </w:rPr>
      </w:pPr>
      <w:r>
        <w:rPr>
          <w:rStyle w:val="a7"/>
          <w:rtl/>
        </w:rPr>
        <w:footnoteRef/>
      </w:r>
      <w:r>
        <w:rPr>
          <w:rtl/>
        </w:rPr>
        <w:t xml:space="preserve"> </w:t>
      </w:r>
      <w:r>
        <w:rPr>
          <w:b/>
          <w:bCs/>
          <w:rtl/>
        </w:rPr>
        <w:t>אית עדן כו' עדניך ודאי.</w:t>
      </w:r>
      <w:r>
        <w:rPr>
          <w:rtl/>
        </w:rPr>
        <w:t xml:space="preserve"> רוצה לומר, עדניך לשון רבים משמע תרי, ומפרש והולך דא עדן כו' - והוא ך' של עדניך, ועדן דלתתא דא יוד רוצה לומר חכמה והוא יו"ד של עדניך:</w:t>
      </w:r>
    </w:p>
  </w:footnote>
  <w:footnote w:id="4300">
    <w:p w:rsidR="00A13282" w:rsidRDefault="00A13282" w:rsidP="00602EF1">
      <w:pPr>
        <w:pStyle w:val="a5"/>
        <w:rPr>
          <w:rtl/>
        </w:rPr>
      </w:pPr>
      <w:r>
        <w:rPr>
          <w:rStyle w:val="a7"/>
          <w:rtl/>
        </w:rPr>
        <w:footnoteRef/>
      </w:r>
      <w:r>
        <w:rPr>
          <w:rtl/>
        </w:rPr>
        <w:t xml:space="preserve"> </w:t>
      </w:r>
      <w:r>
        <w:rPr>
          <w:b/>
          <w:bCs/>
          <w:rtl/>
        </w:rPr>
        <w:t>דאיהו עדן כו'.</w:t>
      </w:r>
      <w:r>
        <w:rPr>
          <w:rtl/>
        </w:rPr>
        <w:t xml:space="preserve"> רוצה לומר, אעפ"י שנקראת גן כמו שאומר בסוף תיקון נ”ב ובריש תיקון נ”ג, מכל מקום הוא עדן לגבי נהר כו', ורוצה לומר, לדעת המתפשט ממנה, דאית דעת לעילא דנפיק מחכמה ומיניה אתשקיא בינה ונעשית כמו שאומר לעיל ל"ח א', והיא גן דמתשקיא מההוא נהר, אבל לגבי נהר דעת המתפשט - היא עדן:</w:t>
      </w:r>
    </w:p>
  </w:footnote>
  <w:footnote w:id="4301">
    <w:p w:rsidR="00A13282" w:rsidRDefault="00A13282" w:rsidP="00602EF1">
      <w:pPr>
        <w:pStyle w:val="a5"/>
        <w:rPr>
          <w:rtl/>
        </w:rPr>
      </w:pPr>
      <w:r>
        <w:rPr>
          <w:rStyle w:val="a7"/>
          <w:rtl/>
        </w:rPr>
        <w:footnoteRef/>
      </w:r>
      <w:r>
        <w:rPr>
          <w:rtl/>
        </w:rPr>
        <w:t xml:space="preserve"> </w:t>
      </w:r>
      <w:r>
        <w:rPr>
          <w:b/>
          <w:bCs/>
          <w:rtl/>
        </w:rPr>
        <w:t>הה"ד ונהר כו'.</w:t>
      </w:r>
      <w:r>
        <w:rPr>
          <w:rtl/>
        </w:rPr>
        <w:t xml:space="preserve"> רוצה לומר, דעל זה עדן ונהר נאמר ונהר יוצא כו' וכנ"ל ואינון או"א, ברא - עמודא דאמצעיתא ועליה אתמר ונהר כו', וכל עדן הוא מסטרא דחכמה, בין בחכמה בין בבינה מסטרא דחכם בבינה בין בכתר עילאה מסטרא דמ"ס, ונהר בכל מקום על הדעת בכל ספירה וזה שאומר תא חזי כו':</w:t>
      </w:r>
    </w:p>
  </w:footnote>
  <w:footnote w:id="4302">
    <w:p w:rsidR="00A13282" w:rsidRDefault="00A13282" w:rsidP="00602EF1">
      <w:pPr>
        <w:pStyle w:val="a5"/>
        <w:rPr>
          <w:rtl/>
        </w:rPr>
      </w:pPr>
      <w:r>
        <w:rPr>
          <w:rStyle w:val="a7"/>
          <w:rtl/>
        </w:rPr>
        <w:footnoteRef/>
      </w:r>
      <w:r>
        <w:rPr>
          <w:rtl/>
        </w:rPr>
        <w:t xml:space="preserve"> </w:t>
      </w:r>
      <w:r>
        <w:rPr>
          <w:b/>
          <w:bCs/>
          <w:rtl/>
        </w:rPr>
        <w:t>אית נהר מנהורא כו'.</w:t>
      </w:r>
      <w:r>
        <w:rPr>
          <w:rtl/>
        </w:rPr>
        <w:t xml:space="preserve"> שהוא בת"ת, תורה, וזה שאומר תורת חכם, והוא (ילקוט שמעוני בראשית ב כג) תורה נובלות חכמה, והוא עץ החיים נטוע בחכמה, וזה שאומר מקור חיים כנ"ל עץ החיים, (קהלת ז יב) והחכמה תחיה, כמו שאומר לעיל תיקון נ”ג, והוא מקור שהוא נהר, וזה שאומר נהרא דמיא, והוא נהורא מנהורא כו' רוצה לומר מחכמה ורוצה לומר שזהו לשון נהר:</w:t>
      </w:r>
    </w:p>
  </w:footnote>
  <w:footnote w:id="4303">
    <w:p w:rsidR="00A13282" w:rsidRDefault="00A13282" w:rsidP="00602EF1">
      <w:pPr>
        <w:pStyle w:val="a5"/>
        <w:rPr>
          <w:rtl/>
        </w:rPr>
      </w:pPr>
      <w:r>
        <w:rPr>
          <w:rStyle w:val="a7"/>
          <w:rtl/>
        </w:rPr>
        <w:footnoteRef/>
      </w:r>
      <w:r>
        <w:rPr>
          <w:rtl/>
        </w:rPr>
        <w:t xml:space="preserve"> </w:t>
      </w:r>
      <w:r>
        <w:rPr>
          <w:b/>
          <w:bCs/>
          <w:rtl/>
        </w:rPr>
        <w:t>ואית נהר דאתקרי נהר דינור כו'</w:t>
      </w:r>
      <w:r>
        <w:rPr>
          <w:rtl/>
        </w:rPr>
        <w:t xml:space="preserve"> </w:t>
      </w:r>
      <w:r>
        <w:rPr>
          <w:b/>
          <w:bCs/>
          <w:rtl/>
        </w:rPr>
        <w:t xml:space="preserve">ואית נהר דאתקרי נחל קדומים. </w:t>
      </w:r>
      <w:r>
        <w:rPr>
          <w:rtl/>
        </w:rPr>
        <w:t>והן או"א, כמו שמפרש והולך שהן אלפים שנה קדומה קודם חסד יבנה:</w:t>
      </w:r>
    </w:p>
  </w:footnote>
  <w:footnote w:id="4304">
    <w:p w:rsidR="00A13282" w:rsidRDefault="00A13282" w:rsidP="00602EF1">
      <w:pPr>
        <w:pStyle w:val="a5"/>
        <w:rPr>
          <w:rtl/>
        </w:rPr>
      </w:pPr>
      <w:r>
        <w:rPr>
          <w:rStyle w:val="a7"/>
          <w:rtl/>
        </w:rPr>
        <w:footnoteRef/>
      </w:r>
      <w:r>
        <w:rPr>
          <w:rtl/>
        </w:rPr>
        <w:t xml:space="preserve"> </w:t>
      </w:r>
      <w:r>
        <w:rPr>
          <w:b/>
          <w:bCs/>
          <w:rtl/>
        </w:rPr>
        <w:t>ששה נהרות דאתמר בהון נשאו נהרות ה' נשאו כו'.</w:t>
      </w:r>
      <w:r>
        <w:rPr>
          <w:rtl/>
        </w:rPr>
        <w:t xml:space="preserve"> דשש נהרות נאמר שם בפסוק, דנחל קדומים הוא הדעת במקומו, וממנו יוצא ששה נהרות בו"ק, וכמו שאומר לעיל ל"ח א' דאיהו ו' דכליל שית צנורין כו', והן שם מ"ב, ז' נהרות וכל אחד הוא ו' כמו שאומר שם וכמו שאומר כאן ונהר בכל אתר איהו ו', שהוא סוד הדעת בכל מקום שהוא:</w:t>
      </w:r>
    </w:p>
  </w:footnote>
  <w:footnote w:id="4305">
    <w:p w:rsidR="00A13282" w:rsidRDefault="00A13282" w:rsidP="00602EF1">
      <w:pPr>
        <w:pStyle w:val="a5"/>
        <w:rPr>
          <w:rtl/>
        </w:rPr>
      </w:pPr>
      <w:r>
        <w:rPr>
          <w:rStyle w:val="a7"/>
          <w:rtl/>
        </w:rPr>
        <w:footnoteRef/>
      </w:r>
      <w:r>
        <w:rPr>
          <w:rtl/>
        </w:rPr>
        <w:t xml:space="preserve"> </w:t>
      </w:r>
      <w:r>
        <w:rPr>
          <w:b/>
          <w:bCs/>
          <w:rtl/>
        </w:rPr>
        <w:t>ומניה תליין שתין כו'.</w:t>
      </w:r>
      <w:r>
        <w:rPr>
          <w:rtl/>
        </w:rPr>
        <w:t xml:space="preserve"> מסטרא דאת א', וזה שכתוב (שה"ש ג ז) מגבורי ישראל - דהוא וא"ו, דההוא נהר נקרא עמודא דאמצעיתא דאתפשט בז"א, בו"ק דביה, ונקרא ישראל:</w:t>
      </w:r>
    </w:p>
  </w:footnote>
  <w:footnote w:id="4306">
    <w:p w:rsidR="00A13282" w:rsidRDefault="00A13282" w:rsidP="00602EF1">
      <w:pPr>
        <w:pStyle w:val="a5"/>
        <w:rPr>
          <w:rtl/>
        </w:rPr>
      </w:pPr>
      <w:r>
        <w:rPr>
          <w:rStyle w:val="a7"/>
          <w:rtl/>
        </w:rPr>
        <w:footnoteRef/>
      </w:r>
      <w:r>
        <w:rPr>
          <w:rtl/>
        </w:rPr>
        <w:t xml:space="preserve"> </w:t>
      </w:r>
      <w:r>
        <w:rPr>
          <w:b/>
          <w:bCs/>
          <w:rtl/>
        </w:rPr>
        <w:t>ומסט' דימינא ושמאלא כו'.</w:t>
      </w:r>
      <w:r>
        <w:rPr>
          <w:rtl/>
        </w:rPr>
        <w:t xml:space="preserve"> רוצה לומר, בנהרות דנה"י דכל אחד כלול מחו"ג כידוע, ודבש מסטרא דשמאלא, (שה"ש ה א) יערי עם דבשי, שהוא שופר, ב' מיני גבורות דש"ך ופ"ר, ואין בדבש אלא ד' ידות דה' פעמים אדני, וכמו שכתוב וארבע הידות יהיה לכם כו' ולאכלכם, וזה שכתוב (משלי כה טז) דבש מצאת אכול דיך וכו', והן שאור ודבש (ויקרא ב יא), דבש דאדני, ושאור דאלקים כידוע במילואו ורבועו, וחמאה מסטרא דימינא - עם חלבי (שה"ש ה א):</w:t>
      </w:r>
    </w:p>
  </w:footnote>
  <w:footnote w:id="4307">
    <w:p w:rsidR="00A13282" w:rsidRDefault="00A13282" w:rsidP="00602EF1">
      <w:pPr>
        <w:pStyle w:val="a5"/>
        <w:rPr>
          <w:rtl/>
        </w:rPr>
      </w:pPr>
      <w:r>
        <w:rPr>
          <w:rStyle w:val="a7"/>
          <w:rtl/>
        </w:rPr>
        <w:footnoteRef/>
      </w:r>
      <w:r>
        <w:rPr>
          <w:rtl/>
        </w:rPr>
        <w:t xml:space="preserve"> </w:t>
      </w:r>
      <w:r>
        <w:rPr>
          <w:b/>
          <w:bCs/>
          <w:rtl/>
        </w:rPr>
        <w:t>ונחל עדניך כו'.</w:t>
      </w:r>
      <w:r>
        <w:rPr>
          <w:rtl/>
        </w:rPr>
        <w:t xml:space="preserve"> חוזר לענין ראשון, לפרש מעדן עלאה, כתר, דהוא א', דשם - ה' אחד נכלל בא' דהוא כ"ו, יהוה, ומשם יפרד לד' פרצופים - או"א זו"נ, ד' אתוון דהוי"ה, וכאן כמה נוסחאות והנוסחא המדויקת מצאתי שהוא </w:t>
      </w:r>
      <w:r>
        <w:rPr>
          <w:b/>
          <w:bCs/>
          <w:rtl/>
        </w:rPr>
        <w:t xml:space="preserve">והאי איהו עדן דעין לא ראתה אלקים וגו' סתים וגניז דאיהו כתר עילאה </w:t>
      </w:r>
      <w:r>
        <w:rPr>
          <w:b/>
          <w:bCs/>
          <w:szCs w:val="32"/>
          <w:rtl/>
        </w:rPr>
        <w:t>א</w:t>
      </w:r>
      <w:r>
        <w:rPr>
          <w:b/>
          <w:bCs/>
          <w:rtl/>
        </w:rPr>
        <w:t xml:space="preserve"> ומשם יפרד והיה לארבעה ראשים, ראשים יהו"ה דאינון או"א וברא וברתא, ת"ח קרקפתא דאלף כגוונא דא </w:t>
      </w:r>
      <w:r>
        <w:rPr>
          <w:b/>
          <w:bCs/>
          <w:szCs w:val="32"/>
          <w:rtl/>
        </w:rPr>
        <w:t xml:space="preserve">א </w:t>
      </w:r>
      <w:r>
        <w:rPr>
          <w:b/>
          <w:bCs/>
          <w:spacing w:val="-400"/>
          <w:rtl/>
        </w:rPr>
        <w:t xml:space="preserve"> </w:t>
      </w:r>
      <w:r>
        <w:rPr>
          <w:b/>
          <w:bCs/>
          <w:spacing w:val="-200"/>
          <w:position w:val="20"/>
          <w:rtl/>
        </w:rPr>
        <w:t>י</w:t>
      </w:r>
      <w:r>
        <w:rPr>
          <w:b/>
          <w:bCs/>
          <w:spacing w:val="-200"/>
          <w:position w:val="-20"/>
          <w:rtl/>
        </w:rPr>
        <w:t>ו</w:t>
      </w:r>
      <w:r>
        <w:rPr>
          <w:b/>
          <w:bCs/>
          <w:position w:val="-6"/>
          <w:szCs w:val="20"/>
          <w:rtl/>
        </w:rPr>
        <w:t>\</w:t>
      </w:r>
      <w:r>
        <w:rPr>
          <w:b/>
          <w:bCs/>
          <w:position w:val="6"/>
          <w:szCs w:val="20"/>
          <w:rtl/>
        </w:rPr>
        <w:t>\</w:t>
      </w:r>
      <w:r>
        <w:rPr>
          <w:b/>
          <w:bCs/>
          <w:spacing w:val="-58"/>
          <w:position w:val="6"/>
          <w:szCs w:val="20"/>
          <w:rtl/>
        </w:rPr>
        <w:t xml:space="preserve"> </w:t>
      </w:r>
      <w:r>
        <w:rPr>
          <w:b/>
          <w:bCs/>
          <w:spacing w:val="-102"/>
          <w:position w:val="20"/>
          <w:rtl/>
        </w:rPr>
        <w:t>ה</w:t>
      </w:r>
      <w:r>
        <w:rPr>
          <w:b/>
          <w:bCs/>
          <w:spacing w:val="-102"/>
          <w:position w:val="-20"/>
          <w:rtl/>
        </w:rPr>
        <w:t>ה</w:t>
      </w:r>
      <w:r>
        <w:rPr>
          <w:b/>
          <w:bCs/>
          <w:spacing w:val="-400"/>
          <w:rtl/>
        </w:rPr>
        <w:t xml:space="preserve"> </w:t>
      </w:r>
      <w:r>
        <w:rPr>
          <w:b/>
          <w:bCs/>
          <w:rtl/>
        </w:rPr>
        <w:t>ארבע סטרין דיליה בהון הוה הוא ושמיה חד, אין עוד מלבדו בלא פירוד ובלא שיתוף כלל. ועוד ונהר יוצא מעדן דא אימא כו'.</w:t>
      </w:r>
      <w:r>
        <w:rPr>
          <w:rtl/>
        </w:rPr>
        <w:t xml:space="preserve"> ורוצה לומר דא' הוא כתר כידוע, ובו כלול ד' אתוון דהוי"ה בד' רוחות דאלף כמו שמצויר כנ"ל, ושם הוא אחד בלא שיתוף דכר ונוק', וכל שכן בלא פירוד כמו שהוא בעץ הדעת, וכמו שכתוב (דברים לב לט) ואין אלקים עמדי - שם, ואמר ועוד ונהר כו' דא אימא כו', דלמעלה פריש על כתר ואית עדן הה"ד ונחל עדניך כו' ואמר שם ואית עדן דלתתא כו' הה"ד ונהר כו', דריש הקרא על שניהם - כתר ואימא, וחוזר כאן לפרש על כתר כנ"ל ונחל עדניך דא נהר כו' איהו עדן דעין לא ראתה כו', ועתה מפרש על אימא ומפרש ארבע נהרות בשניהם בכתר כנ"ל וכאן כמו שמפרש והולך אלין כו':</w:t>
      </w:r>
    </w:p>
  </w:footnote>
  <w:footnote w:id="4308">
    <w:p w:rsidR="00A13282" w:rsidRDefault="00A13282" w:rsidP="00602EF1">
      <w:pPr>
        <w:pStyle w:val="a5"/>
        <w:rPr>
          <w:rtl/>
        </w:rPr>
      </w:pPr>
      <w:r>
        <w:rPr>
          <w:rStyle w:val="a7"/>
          <w:rtl/>
        </w:rPr>
        <w:footnoteRef/>
      </w:r>
      <w:r>
        <w:rPr>
          <w:rtl/>
        </w:rPr>
        <w:t xml:space="preserve"> </w:t>
      </w:r>
      <w:r>
        <w:rPr>
          <w:b/>
          <w:bCs/>
          <w:rtl/>
        </w:rPr>
        <w:t>דאיהי א' תניינא כו'.</w:t>
      </w:r>
      <w:r>
        <w:rPr>
          <w:rtl/>
        </w:rPr>
        <w:t xml:space="preserve"> שהיא בכתר עליון כגוונא דכתר שנקרא א' כמו הכתר וכן שם אהי"ה וכמו שהכתר שורש לשם הוי"ה דט' ספירות כן הוא שורש לשם הוי"ה דז"א לז' ספירות והיא כתר דז"א והיא עדן וכל ענינה הוא כמו הכתר וכידוע:</w:t>
      </w:r>
    </w:p>
  </w:footnote>
  <w:footnote w:id="4309">
    <w:p w:rsidR="00A13282" w:rsidRDefault="00A13282" w:rsidP="00602EF1">
      <w:pPr>
        <w:pStyle w:val="a5"/>
        <w:rPr>
          <w:rtl/>
        </w:rPr>
      </w:pPr>
      <w:r>
        <w:rPr>
          <w:rStyle w:val="a7"/>
          <w:rtl/>
        </w:rPr>
        <w:footnoteRef/>
      </w:r>
      <w:r>
        <w:rPr>
          <w:rtl/>
        </w:rPr>
        <w:t xml:space="preserve"> </w:t>
      </w:r>
      <w:r>
        <w:rPr>
          <w:b/>
          <w:bCs/>
          <w:rtl/>
        </w:rPr>
        <w:t>ולאן אתמשך בגופא.</w:t>
      </w:r>
      <w:r>
        <w:rPr>
          <w:rtl/>
        </w:rPr>
        <w:t xml:space="preserve"> (שהוא הגן, ג"ן סדרים דאורייתא, והוא לבא, ואף שבתיקון נ”ב אמר דהיא גן, כבר פירשנו שיש עדן ויש עדן וכן גן וכן דריש באידרא זוטא דגן הוא) רוצה לומר והיכן הוא הנהר ואמר בגופא, דלמעלה הנהר הוא דעת בין או"א שנמשך מכתר, וכאן שמתפשט מאימא והוא דעת המתפשט שנקרא עמודא דאמצעיתא בכל מקום, דמאימא שהוא לבא אתמשך לגופא ומשם לדרועין ורגלין ומתקבץ אח"כ ביסוד - כללא דה’ חסדים וה’ גבורות, וממנו אתשקיא מלכות, ודריש ומשם יפרד - לא מהגן רק מהנהר, וכן הוא האמת דאתפרדותם של הנהרות ויציאתם הוא מהנהר אלא דהגן אתשקיא מקודם, וכן הוא באדם דנוק' אתשקיא מגוף וברית דאינון כחדא וע"י יציאתם לנוק' אתשקיא גם כן דרועין ורגלין וזה שאומר מאן גן כו' הואיל ואימא הוא עדן (דבתיקון נ”ב אמר מעין ולבתר גנים דאיהו לבא, אמא, כמו שאומר שם וכאן קרא עדן אם כן מי הגן) ותירץ דא שכינתא, דתרין גנים כו' וכמו שאמר לעיל בתיקון נ”ב, וזה שאומר והא אוקמוהו וכמו שאומר שם וכמה דאית גן לתתא כו':</w:t>
      </w:r>
    </w:p>
  </w:footnote>
  <w:footnote w:id="4310">
    <w:p w:rsidR="00A13282" w:rsidRDefault="00A13282" w:rsidP="00602EF1">
      <w:pPr>
        <w:pStyle w:val="a5"/>
        <w:rPr>
          <w:rtl/>
        </w:rPr>
      </w:pPr>
      <w:r>
        <w:rPr>
          <w:rStyle w:val="a7"/>
          <w:rtl/>
        </w:rPr>
        <w:footnoteRef/>
      </w:r>
      <w:r>
        <w:rPr>
          <w:rtl/>
        </w:rPr>
        <w:t xml:space="preserve"> </w:t>
      </w:r>
      <w:r>
        <w:rPr>
          <w:b/>
          <w:bCs/>
          <w:rtl/>
        </w:rPr>
        <w:t>ורזא דמלה כו'.</w:t>
      </w:r>
      <w:r>
        <w:rPr>
          <w:rtl/>
        </w:rPr>
        <w:t xml:space="preserve"> רוצה לומר דבזה הקרא, הולך, רמיזין כלא, ולא אמר באלו חדקל ופרת רוח מסוים כמו שלא אמר בנשר ואדם - דאינון מתחלפין כמו שבארנו במקום אחר:</w:t>
      </w:r>
    </w:p>
  </w:footnote>
  <w:footnote w:id="4311">
    <w:p w:rsidR="00A13282" w:rsidRDefault="00A13282" w:rsidP="00602EF1">
      <w:pPr>
        <w:pStyle w:val="a5"/>
        <w:rPr>
          <w:rtl/>
        </w:rPr>
      </w:pPr>
      <w:r>
        <w:rPr>
          <w:rStyle w:val="a7"/>
          <w:rtl/>
        </w:rPr>
        <w:footnoteRef/>
      </w:r>
      <w:r>
        <w:rPr>
          <w:rtl/>
        </w:rPr>
        <w:t xml:space="preserve"> </w:t>
      </w:r>
      <w:r>
        <w:rPr>
          <w:b/>
          <w:bCs/>
          <w:rtl/>
        </w:rPr>
        <w:t>ג' גומל חסד.</w:t>
      </w:r>
      <w:r>
        <w:rPr>
          <w:rtl/>
        </w:rPr>
        <w:t xml:space="preserve"> כמו שאומר בספר הבהיר ב' ג', וכמו שאמרו בגמ' (שבת קד ע"א) ג"ד גומל דלים, דג' הוא חסד, והוא ג' דגיחון, וזהו ראיה דהוא בחסד:</w:t>
      </w:r>
    </w:p>
  </w:footnote>
  <w:footnote w:id="4312">
    <w:p w:rsidR="00A13282" w:rsidRDefault="00A13282" w:rsidP="00602EF1">
      <w:pPr>
        <w:pStyle w:val="a5"/>
        <w:rPr>
          <w:rtl/>
        </w:rPr>
      </w:pPr>
      <w:r>
        <w:rPr>
          <w:rStyle w:val="a7"/>
          <w:rtl/>
        </w:rPr>
        <w:footnoteRef/>
      </w:r>
      <w:r>
        <w:rPr>
          <w:rtl/>
        </w:rPr>
        <w:t xml:space="preserve"> </w:t>
      </w:r>
      <w:r>
        <w:rPr>
          <w:b/>
          <w:bCs/>
          <w:rtl/>
        </w:rPr>
        <w:t>ותמן חיוון.</w:t>
      </w:r>
      <w:r>
        <w:rPr>
          <w:rtl/>
        </w:rPr>
        <w:t xml:space="preserve"> רוצה לומר בתיבת גיחון אותיות חיון:</w:t>
      </w:r>
    </w:p>
  </w:footnote>
  <w:footnote w:id="4313">
    <w:p w:rsidR="00A13282" w:rsidRDefault="00A13282" w:rsidP="00602EF1">
      <w:pPr>
        <w:pStyle w:val="a5"/>
        <w:rPr>
          <w:rtl/>
        </w:rPr>
      </w:pPr>
      <w:r>
        <w:rPr>
          <w:rStyle w:val="a7"/>
          <w:rtl/>
        </w:rPr>
        <w:footnoteRef/>
      </w:r>
      <w:r>
        <w:rPr>
          <w:rtl/>
        </w:rPr>
        <w:t xml:space="preserve"> </w:t>
      </w:r>
      <w:r>
        <w:rPr>
          <w:b/>
          <w:bCs/>
          <w:rtl/>
        </w:rPr>
        <w:t>דאתקריאו כו'.</w:t>
      </w:r>
      <w:r>
        <w:rPr>
          <w:rtl/>
        </w:rPr>
        <w:t xml:space="preserve"> רוצה לומר דחיות אתקריאו מסטרא דאריה שהוא חיה, ושאר אינן חיות אלא דעל שמיה נקראו חיות, דימינא הוא ההולך בכולם כמו שאמרו (זהר בראשית לט ע"א) יום דכולא יומין, כמו שאומר לעיל ס"ו א':</w:t>
      </w:r>
    </w:p>
  </w:footnote>
  <w:footnote w:id="4314">
    <w:p w:rsidR="00A13282" w:rsidRDefault="00A13282" w:rsidP="00602EF1">
      <w:pPr>
        <w:pStyle w:val="a5"/>
        <w:rPr>
          <w:rtl/>
        </w:rPr>
      </w:pPr>
      <w:r>
        <w:rPr>
          <w:rStyle w:val="a7"/>
          <w:rtl/>
        </w:rPr>
        <w:footnoteRef/>
      </w:r>
      <w:r>
        <w:rPr>
          <w:rtl/>
        </w:rPr>
        <w:t xml:space="preserve"> </w:t>
      </w:r>
      <w:r>
        <w:rPr>
          <w:b/>
          <w:bCs/>
          <w:rtl/>
        </w:rPr>
        <w:t>מסט' דימינא.</w:t>
      </w:r>
      <w:r>
        <w:rPr>
          <w:rtl/>
        </w:rPr>
        <w:t xml:space="preserve"> רוצה לומר מסטרא דקדושה אבל מסטרא אחרא הוא נחש לימינא ושפיפון לשמאלא במרכבתא דנחש, ונחש נקרא הולך על גחון כמו שכתוב (בראשית ג יד) על גחונך כו', והוא גם כן ראיה דגיחון הוא לימינא:</w:t>
      </w:r>
    </w:p>
  </w:footnote>
  <w:footnote w:id="4315">
    <w:p w:rsidR="00A13282" w:rsidRDefault="00A13282" w:rsidP="00602EF1">
      <w:pPr>
        <w:pStyle w:val="a5"/>
        <w:rPr>
          <w:rtl/>
        </w:rPr>
      </w:pPr>
      <w:r>
        <w:rPr>
          <w:rStyle w:val="a7"/>
          <w:rtl/>
        </w:rPr>
        <w:footnoteRef/>
      </w:r>
      <w:r>
        <w:rPr>
          <w:rtl/>
        </w:rPr>
        <w:t xml:space="preserve"> </w:t>
      </w:r>
      <w:r>
        <w:rPr>
          <w:b/>
          <w:bCs/>
          <w:rtl/>
        </w:rPr>
        <w:t>למאן דאעבר כו' מימינא.</w:t>
      </w:r>
      <w:r>
        <w:rPr>
          <w:rtl/>
        </w:rPr>
        <w:t xml:space="preserve"> רוצה לומר תורה שבכתב כמו שכתוב (דברים לג ע"ב) מימינו, וכמו שאמרו (ברכות ו ע"א) נשבע ה' בימינו בימינו זו תורה שנאמר כו':</w:t>
      </w:r>
    </w:p>
  </w:footnote>
  <w:footnote w:id="4316">
    <w:p w:rsidR="00A13282" w:rsidRDefault="00A13282" w:rsidP="00602EF1">
      <w:pPr>
        <w:pStyle w:val="a5"/>
        <w:rPr>
          <w:rtl/>
        </w:rPr>
      </w:pPr>
      <w:r>
        <w:rPr>
          <w:rStyle w:val="a7"/>
          <w:rtl/>
        </w:rPr>
        <w:footnoteRef/>
      </w:r>
      <w:r>
        <w:rPr>
          <w:rtl/>
        </w:rPr>
        <w:t xml:space="preserve"> </w:t>
      </w:r>
      <w:r>
        <w:rPr>
          <w:b/>
          <w:bCs/>
          <w:rtl/>
        </w:rPr>
        <w:t>פישון כו' דבע"פ.</w:t>
      </w:r>
      <w:r>
        <w:rPr>
          <w:rtl/>
        </w:rPr>
        <w:t xml:space="preserve"> דהוא לשמאלא, ורוצה לומר דפישון הוא אותיות שפיפון דשרשו שפי, (במדבר כג ג) וילך שפי:</w:t>
      </w:r>
    </w:p>
  </w:footnote>
  <w:footnote w:id="4317">
    <w:p w:rsidR="00A13282" w:rsidRDefault="00A13282" w:rsidP="00602EF1">
      <w:pPr>
        <w:pStyle w:val="a5"/>
        <w:rPr>
          <w:rtl/>
        </w:rPr>
      </w:pPr>
      <w:r>
        <w:rPr>
          <w:rStyle w:val="a7"/>
          <w:rtl/>
        </w:rPr>
        <w:footnoteRef/>
      </w:r>
      <w:r>
        <w:rPr>
          <w:rtl/>
        </w:rPr>
        <w:t xml:space="preserve"> </w:t>
      </w:r>
      <w:r>
        <w:rPr>
          <w:b/>
          <w:bCs/>
          <w:rtl/>
        </w:rPr>
        <w:t xml:space="preserve">ובג"ד פישון פי שונה כו'. </w:t>
      </w:r>
      <w:r>
        <w:rPr>
          <w:rtl/>
        </w:rPr>
        <w:t>רוצה לומר דתמן אורייתא דבעל פה, וחוזר כאן, דמפרש גיחון על אורייתא דבכתב כמו שמפרש והולך דתמן משה רבינו עליו השלום קבורתו בגיא, והוא אורייתא דבכתב, ואמר בזהר חדש דבגיא הוא משם ראשון דשם מ"ב והוא בחסד עיין שם ע"ה בארוכה אבל בפ' בראשית אמר להיפוך דגיחון לשמאלא ופישון לימינא:</w:t>
      </w:r>
    </w:p>
  </w:footnote>
  <w:footnote w:id="4318">
    <w:p w:rsidR="00A13282" w:rsidRDefault="00A13282" w:rsidP="00602EF1">
      <w:pPr>
        <w:pStyle w:val="a5"/>
        <w:rPr>
          <w:rtl/>
        </w:rPr>
      </w:pPr>
      <w:r>
        <w:rPr>
          <w:rStyle w:val="a7"/>
          <w:rtl/>
        </w:rPr>
        <w:footnoteRef/>
      </w:r>
      <w:r>
        <w:rPr>
          <w:rtl/>
        </w:rPr>
        <w:t xml:space="preserve"> </w:t>
      </w:r>
      <w:r>
        <w:rPr>
          <w:b/>
          <w:bCs/>
          <w:rtl/>
        </w:rPr>
        <w:t>חדקל חד קל כו'.</w:t>
      </w:r>
      <w:r>
        <w:rPr>
          <w:rtl/>
        </w:rPr>
        <w:t xml:space="preserve"> קל הוא בימינא וחריפות הוא בשמאלא, בתורה שבעל פה, וכמו שאמרו בתיקוני זהר חדש דשם קרע - שם שני דשם מ"ב דהוא בגבורה - בה עוקר הרים, וכן בית שמאי ובית הלל, בית שמאי הוו חריפי טפי כמו שאמרו בפ"ק דיבמות, ובית הלל נוחים ועלובים. ואמר חד בשינים למטחן לון כמו שאמרו (סנהדרין כד ע"א) עוקר הרים וטוחנן כו', וכמו שאומר ברעיא מהימנא פ' פנחס רל"ו א' מאן דאפיק מילין דאורייתא צריך למטחן לון כו' עיין שם בדבריו. ואמר וקל בשפוון. רוצה לומר לאחזרא עליהון תמיד, וכל הנהרות - הכל בתורה, וכן פרת כמו שמפרש והולך פרת האי כו' רוצה לומר דנהר זה רומז לפרות ולחדש בתורה תמיד, מתורה שבכתב לתורה שבעל פה, והוא בנוק', נהר הרביעי, וזה שאומר עלה אתמר אם כו'. כמו שאמרו בתיקוני זהר חדש ע"ו ד' אם תשכבון כו' אל תקרי אם אלא אֵם כו' עיין שם וזה שאומר אם ודאי למעבד כו' תשכבון כו', השכיבה הוא למעבד פריה ורביה:</w:t>
      </w:r>
    </w:p>
  </w:footnote>
  <w:footnote w:id="4319">
    <w:p w:rsidR="00A13282" w:rsidRDefault="00A13282" w:rsidP="00602EF1">
      <w:pPr>
        <w:pStyle w:val="a5"/>
        <w:rPr>
          <w:rtl/>
        </w:rPr>
      </w:pPr>
      <w:r>
        <w:rPr>
          <w:rStyle w:val="a7"/>
          <w:rtl/>
        </w:rPr>
        <w:footnoteRef/>
      </w:r>
      <w:r>
        <w:rPr>
          <w:rtl/>
        </w:rPr>
        <w:t xml:space="preserve"> </w:t>
      </w:r>
      <w:r>
        <w:rPr>
          <w:b/>
          <w:bCs/>
          <w:rtl/>
        </w:rPr>
        <w:t>לפרדס.</w:t>
      </w:r>
      <w:r>
        <w:rPr>
          <w:rtl/>
        </w:rPr>
        <w:t xml:space="preserve"> שהוא ביצירה, והוא ראשי תיבות של ד' פנים הידועים, וזה שאומר אלין דעאלו בקליפין כו', רביעאה דעאל כו' - דהוא סוד וכמו שאמרו בפ' בראשית כ"ו ב' דבר אחר ומשם יפרד והיה לארבעה ראשים אלין אינון ארבעה דנכנסו לפרדס חד עאל בפישון דאיהו פי שונה הלכות, ורוצה לומר פשט, והוא בן עזאי, בימינא, ועליו נאמר יקר כו' לחסידיו בסטרא דחסד, תניינא עאל בגיחון ותמן הוא קבור ההוא דאתמר ביה כל הולך על גחון רוצה לומר תורתו של משה שהוא ברמז של הגדות שעליה נתחנן משה שלא להקבר בחו"ל בהאי צולמא דלאו הגונה ליה דע"י הכאת הסלע גרם ליה וכמו שאומר ברעיא מהימנא פ' תצא רע"ט ר"פ בארוכה, גבריאל - גבר אל, רוצה לומר עליה אתמר לגבר אשר דרכו נסתרה ויסך אלוה בעדו. רוצה לומר רמז, דדרכו נסתרה ולא ידע גבר ית קבורתיה עד יומא הדין, רוצה לומר דתורתו שהיא קבלה למשה מסיני דנסתרה בתורה ונקבר שם בהגדות - לא ידע אינש ממנו עד שהוא יגלה, וכמו שאומר לעיל בריש תיקון כ"א, וגיחון הוא משה נחש בריח כמו שאומר ברעיא מהימנא פ' תצא רע"ט א' דאנת לויתן נחש בריח כו', וזה שאומר ודא איהו רמז ולחכימא ברמיזא רוצה לומר שמרמזין לחכימא והוא בן זומא דעליה אתמר דבש מצאת כו' שהן הרמזים ומסטרא דשמאלא כנ"ל, תליתאי עאל בחדקל חד קל ודא לישנא חדידא קלא לדרשא רוצה לומר דרשה. רביעאה עאל בפרת דאיהו מוחא דביה פריה ורביה. בן זומא ובן עזאי דעאלו בקליפין כו' והענין כי שם עץ הדעת טוב ורע קליפין שם על ההלכה ג' קליפין שלש שנים ערלים והרביעי הוא קדש וכמו שאומר לעיל י"א א' עיין שם:</w:t>
      </w:r>
    </w:p>
  </w:footnote>
  <w:footnote w:id="4320">
    <w:p w:rsidR="00A13282" w:rsidRDefault="00A13282" w:rsidP="00602EF1">
      <w:pPr>
        <w:pStyle w:val="a5"/>
        <w:rPr>
          <w:rtl/>
        </w:rPr>
      </w:pPr>
      <w:r>
        <w:rPr>
          <w:rStyle w:val="a7"/>
          <w:rtl/>
        </w:rPr>
        <w:footnoteRef/>
      </w:r>
      <w:r>
        <w:rPr>
          <w:rtl/>
        </w:rPr>
        <w:t xml:space="preserve"> </w:t>
      </w:r>
      <w:r>
        <w:rPr>
          <w:b/>
          <w:bCs/>
          <w:rtl/>
        </w:rPr>
        <w:t>אתהפיך ליה לנגע כו'.</w:t>
      </w:r>
      <w:r>
        <w:rPr>
          <w:rtl/>
        </w:rPr>
        <w:t xml:space="preserve"> דהוא רוח מסאבא ואערע ברוחיה ונפגע:</w:t>
      </w:r>
    </w:p>
  </w:footnote>
  <w:footnote w:id="4321">
    <w:p w:rsidR="00A13282" w:rsidRDefault="00A13282" w:rsidP="00602EF1">
      <w:pPr>
        <w:pStyle w:val="a5"/>
        <w:rPr>
          <w:rtl/>
        </w:rPr>
      </w:pPr>
      <w:r>
        <w:rPr>
          <w:rStyle w:val="a7"/>
          <w:rtl/>
        </w:rPr>
        <w:footnoteRef/>
      </w:r>
      <w:r>
        <w:rPr>
          <w:rtl/>
        </w:rPr>
        <w:t xml:space="preserve"> </w:t>
      </w:r>
      <w:r>
        <w:rPr>
          <w:b/>
          <w:bCs/>
          <w:rtl/>
        </w:rPr>
        <w:t>הכא אסור כו'.</w:t>
      </w:r>
      <w:r>
        <w:rPr>
          <w:rtl/>
        </w:rPr>
        <w:t xml:space="preserve"> דאינון ו"ק, חציין טוב כו', ולכן באלו השלשה אסור טומאה ופסול - לקו אלין שלשה, אבל ר"ע עאל במוחא נקודה הפנימית דנסגרת במט"ט שמי בקרבו, דאכל איבא וקליפתו זרק דהוא במט"ט וכמו שאומר לעיל י"א א' ועליה אתמר רמון מצא כו':</w:t>
      </w:r>
    </w:p>
  </w:footnote>
  <w:footnote w:id="4322">
    <w:p w:rsidR="00A13282" w:rsidRDefault="00A13282" w:rsidP="00602EF1">
      <w:pPr>
        <w:pStyle w:val="a5"/>
        <w:rPr>
          <w:rtl/>
        </w:rPr>
      </w:pPr>
      <w:r>
        <w:rPr>
          <w:rStyle w:val="a7"/>
          <w:rtl/>
        </w:rPr>
        <w:footnoteRef/>
      </w:r>
      <w:r>
        <w:rPr>
          <w:rtl/>
        </w:rPr>
        <w:t xml:space="preserve"> </w:t>
      </w:r>
      <w:r>
        <w:rPr>
          <w:b/>
          <w:bCs/>
          <w:rtl/>
        </w:rPr>
        <w:t>ויקח ה' אלקים כו'.</w:t>
      </w:r>
      <w:r>
        <w:rPr>
          <w:rtl/>
        </w:rPr>
        <w:t xml:space="preserve"> כאן מתחיל לפרש פסוק ויקח כו' והוא הקדמה לתיקון נ”ה:</w:t>
      </w:r>
    </w:p>
  </w:footnote>
  <w:footnote w:id="4323">
    <w:p w:rsidR="00A13282" w:rsidRDefault="00A13282" w:rsidP="00602EF1">
      <w:pPr>
        <w:pStyle w:val="a5"/>
        <w:rPr>
          <w:rtl/>
        </w:rPr>
      </w:pPr>
      <w:r>
        <w:rPr>
          <w:rStyle w:val="a7"/>
          <w:rtl/>
        </w:rPr>
        <w:footnoteRef/>
      </w:r>
      <w:r>
        <w:rPr>
          <w:rtl/>
        </w:rPr>
        <w:t xml:space="preserve"> </w:t>
      </w:r>
      <w:r>
        <w:rPr>
          <w:b/>
          <w:bCs/>
          <w:rtl/>
        </w:rPr>
        <w:t>גן דאורייתא.</w:t>
      </w:r>
      <w:r>
        <w:rPr>
          <w:rtl/>
        </w:rPr>
        <w:t xml:space="preserve"> כנ"ל גן סדרים דאורייתא:</w:t>
      </w:r>
    </w:p>
  </w:footnote>
  <w:footnote w:id="4324">
    <w:p w:rsidR="00A13282" w:rsidRDefault="00A13282" w:rsidP="00602EF1">
      <w:pPr>
        <w:pStyle w:val="a5"/>
        <w:rPr>
          <w:rtl/>
        </w:rPr>
      </w:pPr>
      <w:r>
        <w:rPr>
          <w:rStyle w:val="a7"/>
          <w:rtl/>
        </w:rPr>
        <w:footnoteRef/>
      </w:r>
      <w:r>
        <w:rPr>
          <w:rtl/>
        </w:rPr>
        <w:t xml:space="preserve"> </w:t>
      </w:r>
      <w:r>
        <w:rPr>
          <w:b/>
          <w:bCs/>
          <w:rtl/>
        </w:rPr>
        <w:t>דאיהו זכור כו'.</w:t>
      </w:r>
      <w:r>
        <w:rPr>
          <w:rtl/>
        </w:rPr>
        <w:t xml:space="preserve"> דזכור ושמור הן מצוות עשה ולא תעשה דשבת, והן כלל מצוות עשה ולא תעשה של כל התורה, שזכור ושמור הן זו"נ כמו שאמרו בפ' פנחס רכ"ד א' ושאר מקומות הרבה, והן לעבדה דהוא לעשות והוא מצוות עשה, ולשמרה ברזא דשמור כמו שמפרש והולך והוא לשמור שלא לעשות, וזה שאומר דאיהו זכור כו' וכן אמרו (מנחות מג ע"ב) זכירה מביא לידי עשיה, והוא לעבדה:</w:t>
      </w:r>
    </w:p>
  </w:footnote>
  <w:footnote w:id="4325">
    <w:p w:rsidR="00A13282" w:rsidRDefault="00A13282" w:rsidP="00602EF1">
      <w:pPr>
        <w:pStyle w:val="a5"/>
        <w:rPr>
          <w:rtl/>
        </w:rPr>
      </w:pPr>
      <w:r>
        <w:rPr>
          <w:rStyle w:val="a7"/>
          <w:rtl/>
        </w:rPr>
        <w:footnoteRef/>
      </w:r>
      <w:r>
        <w:rPr>
          <w:rtl/>
        </w:rPr>
        <w:t xml:space="preserve"> </w:t>
      </w:r>
      <w:r>
        <w:rPr>
          <w:b/>
          <w:bCs/>
          <w:rtl/>
        </w:rPr>
        <w:t>את האדם כו'.</w:t>
      </w:r>
      <w:r>
        <w:rPr>
          <w:rtl/>
        </w:rPr>
        <w:t xml:space="preserve"> רוצה לומר, זו תורה שהוא אדם, עמודא דאמצעיתא, והוא א"ת מא' עד ת', ועיין לעיל ריש תיקון נ”א, והן ג', ימינא ושמאלא ואמצעיתא, והן זכרונות ומלכיות ושופרות, זכרונות מימינא ומלכיות משמאלא ושופרות בעמודא דאמצעיתא וכמו שמפרש והולך, וזהו ויקח כו' את האדם ויניחהו כו' שהוא התורה ותכליתה לעבדה ולשמרה במצוות עשה ולא תעשה וכמו שאומר לעיל סוף תיקון נ”ב ועיין מה שכתבתי שם:</w:t>
      </w:r>
    </w:p>
  </w:footnote>
  <w:footnote w:id="4326">
    <w:p w:rsidR="00A13282" w:rsidRDefault="00A13282" w:rsidP="00602EF1">
      <w:pPr>
        <w:pStyle w:val="a5"/>
        <w:rPr>
          <w:rtl/>
        </w:rPr>
      </w:pPr>
      <w:r>
        <w:rPr>
          <w:rStyle w:val="a7"/>
          <w:rtl/>
        </w:rPr>
        <w:footnoteRef/>
      </w:r>
      <w:r>
        <w:rPr>
          <w:rtl/>
        </w:rPr>
        <w:t xml:space="preserve"> </w:t>
      </w:r>
      <w:r>
        <w:rPr>
          <w:b/>
          <w:bCs/>
          <w:rtl/>
        </w:rPr>
        <w:t>דאתיהיבת מימינא כו'.</w:t>
      </w:r>
      <w:r>
        <w:rPr>
          <w:rtl/>
        </w:rPr>
        <w:t xml:space="preserve"> רוצה לומר דלכן התורה כליל שניהם דעמודא דאמצעיתא כליל ימינא ושמאלא, ועיין לעיל תיקון ל”ב מה שאומר שם בארוכה:</w:t>
      </w:r>
    </w:p>
  </w:footnote>
  <w:footnote w:id="4327">
    <w:p w:rsidR="00A13282" w:rsidRDefault="00A13282" w:rsidP="00602EF1">
      <w:pPr>
        <w:pStyle w:val="a5"/>
        <w:rPr>
          <w:rtl/>
        </w:rPr>
      </w:pPr>
      <w:r>
        <w:rPr>
          <w:rStyle w:val="a7"/>
          <w:rtl/>
        </w:rPr>
        <w:footnoteRef/>
      </w:r>
      <w:r>
        <w:rPr>
          <w:rtl/>
        </w:rPr>
        <w:t xml:space="preserve"> </w:t>
      </w:r>
      <w:r>
        <w:rPr>
          <w:b/>
          <w:bCs/>
          <w:rtl/>
        </w:rPr>
        <w:t>לקבל ו"ה זכרי.</w:t>
      </w:r>
      <w:r>
        <w:rPr>
          <w:rtl/>
        </w:rPr>
        <w:t xml:space="preserve"> שהן רמ"ח:</w:t>
      </w:r>
    </w:p>
  </w:footnote>
  <w:footnote w:id="4328">
    <w:p w:rsidR="00A13282" w:rsidRDefault="00A13282" w:rsidP="00602EF1">
      <w:pPr>
        <w:pStyle w:val="a5"/>
        <w:rPr>
          <w:rtl/>
        </w:rPr>
      </w:pPr>
      <w:r>
        <w:rPr>
          <w:rStyle w:val="a7"/>
          <w:rtl/>
        </w:rPr>
        <w:footnoteRef/>
      </w:r>
      <w:r>
        <w:rPr>
          <w:rtl/>
        </w:rPr>
        <w:t xml:space="preserve"> </w:t>
      </w:r>
      <w:r>
        <w:rPr>
          <w:b/>
          <w:bCs/>
          <w:rtl/>
        </w:rPr>
        <w:t>ודא זכרונות.</w:t>
      </w:r>
      <w:r>
        <w:rPr>
          <w:rtl/>
        </w:rPr>
        <w:t xml:space="preserve"> שהוא זכרי וכלול בהן רמ"ח כנ"ל:</w:t>
      </w:r>
    </w:p>
  </w:footnote>
  <w:footnote w:id="4329">
    <w:p w:rsidR="00A13282" w:rsidRDefault="00A13282" w:rsidP="00602EF1">
      <w:pPr>
        <w:pStyle w:val="a5"/>
        <w:rPr>
          <w:rtl/>
        </w:rPr>
      </w:pPr>
      <w:r>
        <w:rPr>
          <w:rStyle w:val="a7"/>
          <w:rtl/>
        </w:rPr>
        <w:footnoteRef/>
      </w:r>
      <w:r>
        <w:rPr>
          <w:rtl/>
        </w:rPr>
        <w:t xml:space="preserve"> </w:t>
      </w:r>
      <w:r>
        <w:rPr>
          <w:b/>
          <w:bCs/>
          <w:rtl/>
        </w:rPr>
        <w:t>לקבל י"ה שמי.</w:t>
      </w:r>
      <w:r>
        <w:rPr>
          <w:rtl/>
        </w:rPr>
        <w:t xml:space="preserve"> ושמי הוא מלכיות, כמו שאומר לעיל תיקון נ”ה דמלכיות מסטרא דמלכות דאיהו זה שמי דתמן אשתמודע כו', דשמו הוא דאשתמודע למלך, ושמו הוא מלכותו:</w:t>
      </w:r>
    </w:p>
  </w:footnote>
  <w:footnote w:id="4330">
    <w:p w:rsidR="00A13282" w:rsidRDefault="00A13282" w:rsidP="00602EF1">
      <w:pPr>
        <w:pStyle w:val="a5"/>
        <w:rPr>
          <w:rtl/>
        </w:rPr>
      </w:pPr>
      <w:r>
        <w:rPr>
          <w:rStyle w:val="a7"/>
          <w:rtl/>
        </w:rPr>
        <w:footnoteRef/>
      </w:r>
      <w:r>
        <w:rPr>
          <w:rtl/>
        </w:rPr>
        <w:t xml:space="preserve"> </w:t>
      </w:r>
      <w:r>
        <w:rPr>
          <w:b/>
          <w:bCs/>
          <w:rtl/>
        </w:rPr>
        <w:t>עד"א כליל תרווייהו יהו"ה שמיה.</w:t>
      </w:r>
      <w:r>
        <w:rPr>
          <w:rtl/>
        </w:rPr>
        <w:t xml:space="preserve"> רוצה לומר דיהו"ה הוא בעמודא דאמצעיתא כמו שאמרו בפ' ויקרא, והוא כולל ימינא ושמאלא, י"ה בשמאלא ו"ה בימינא, שהם כוללים תרי"ג, והוא יהו"ה כולל כל התרי"ג והוא שופרות כמו שמפרש והולך:</w:t>
      </w:r>
    </w:p>
  </w:footnote>
  <w:footnote w:id="4331">
    <w:p w:rsidR="00A13282" w:rsidRDefault="00A13282" w:rsidP="00602EF1">
      <w:pPr>
        <w:pStyle w:val="a5"/>
        <w:rPr>
          <w:rtl/>
        </w:rPr>
      </w:pPr>
      <w:r>
        <w:rPr>
          <w:rStyle w:val="a7"/>
          <w:rtl/>
        </w:rPr>
        <w:footnoteRef/>
      </w:r>
      <w:r>
        <w:rPr>
          <w:rtl/>
        </w:rPr>
        <w:t xml:space="preserve"> </w:t>
      </w:r>
      <w:r>
        <w:rPr>
          <w:b/>
          <w:bCs/>
          <w:rtl/>
        </w:rPr>
        <w:t>ואיהו קול השופר כו'.</w:t>
      </w:r>
      <w:r>
        <w:rPr>
          <w:rtl/>
        </w:rPr>
        <w:t xml:space="preserve"> דאיהי שופר והוא קול דידה, קול דנפיק משופרות, ושופרות הוא על שם קול דנפיק:</w:t>
      </w:r>
    </w:p>
  </w:footnote>
  <w:footnote w:id="4332">
    <w:p w:rsidR="00A13282" w:rsidRDefault="00A13282" w:rsidP="00602EF1">
      <w:pPr>
        <w:pStyle w:val="a5"/>
        <w:rPr>
          <w:rtl/>
        </w:rPr>
      </w:pPr>
      <w:r>
        <w:rPr>
          <w:rStyle w:val="a7"/>
          <w:rtl/>
        </w:rPr>
        <w:footnoteRef/>
      </w:r>
      <w:r>
        <w:rPr>
          <w:rtl/>
        </w:rPr>
        <w:t xml:space="preserve"> </w:t>
      </w:r>
      <w:r>
        <w:rPr>
          <w:b/>
          <w:bCs/>
          <w:rtl/>
        </w:rPr>
        <w:t>תקיעה כו'.</w:t>
      </w:r>
      <w:r>
        <w:rPr>
          <w:rtl/>
        </w:rPr>
        <w:t xml:space="preserve"> רוצה לומר, דאמר למעלה דעמודא דאמצעיתא כליל ימינא ושמאלא ולכן צריך להיות שופרות כליל לחג"ת, וזה שאומר תקיעה כו', ועיין מה שאמר לעיל בתיקון כ”ה בענין תר"ת:</w:t>
      </w:r>
    </w:p>
  </w:footnote>
  <w:footnote w:id="4333">
    <w:p w:rsidR="00A13282" w:rsidRDefault="00A13282" w:rsidP="00602EF1">
      <w:pPr>
        <w:pStyle w:val="a5"/>
        <w:rPr>
          <w:rtl/>
        </w:rPr>
      </w:pPr>
      <w:r>
        <w:rPr>
          <w:rStyle w:val="a7"/>
          <w:rtl/>
        </w:rPr>
        <w:footnoteRef/>
      </w:r>
      <w:r>
        <w:rPr>
          <w:rtl/>
        </w:rPr>
        <w:t xml:space="preserve"> </w:t>
      </w:r>
      <w:r>
        <w:rPr>
          <w:b/>
          <w:bCs/>
          <w:rtl/>
        </w:rPr>
        <w:t>תרועה כו'.</w:t>
      </w:r>
      <w:r>
        <w:rPr>
          <w:rtl/>
        </w:rPr>
        <w:t xml:space="preserve"> דלעולם עמודא דאמצעיתא אינו אלא כלל שניהם דכלל הכל הוא חו"ג:</w:t>
      </w:r>
    </w:p>
    <w:p w:rsidR="00A13282" w:rsidRDefault="00A13282" w:rsidP="00602EF1">
      <w:pPr>
        <w:pStyle w:val="a5"/>
        <w:rPr>
          <w:rtl/>
        </w:rPr>
      </w:pPr>
    </w:p>
  </w:footnote>
  <w:footnote w:id="4334">
    <w:p w:rsidR="00A13282" w:rsidRDefault="00A13282" w:rsidP="00602EF1">
      <w:pPr>
        <w:pStyle w:val="a5"/>
        <w:rPr>
          <w:rtl/>
        </w:rPr>
      </w:pPr>
      <w:r>
        <w:rPr>
          <w:rStyle w:val="a7"/>
          <w:rtl/>
        </w:rPr>
        <w:footnoteRef/>
      </w:r>
      <w:r>
        <w:rPr>
          <w:rtl/>
        </w:rPr>
        <w:t xml:space="preserve"> </w:t>
      </w:r>
      <w:r>
        <w:rPr>
          <w:b/>
          <w:bCs/>
          <w:snapToGrid w:val="0"/>
          <w:sz w:val="24"/>
          <w:rtl/>
        </w:rPr>
        <w:t>תיקון נ"ה בראשית כו'.</w:t>
      </w:r>
      <w:r>
        <w:rPr>
          <w:snapToGrid w:val="0"/>
          <w:sz w:val="24"/>
          <w:rtl/>
        </w:rPr>
        <w:t xml:space="preserve"> עתה מרמז את הפסוק הנ"ל ויקח כו' בבראשית, ואמר דבראשית הוא ברא שית, ו"ק דהוא עמודא דאמצעיתא דהוא את האדם כמו שאומר לעיל בתיקון הקודם והוא כולל כל הג' כמו שאומר שם:</w:t>
      </w:r>
    </w:p>
  </w:footnote>
  <w:footnote w:id="4335">
    <w:p w:rsidR="00A13282" w:rsidRDefault="00A13282" w:rsidP="00602EF1">
      <w:pPr>
        <w:pStyle w:val="a5"/>
        <w:rPr>
          <w:rtl/>
        </w:rPr>
      </w:pPr>
      <w:r>
        <w:rPr>
          <w:rStyle w:val="a7"/>
          <w:rtl/>
        </w:rPr>
        <w:footnoteRef/>
      </w:r>
      <w:r>
        <w:rPr>
          <w:rtl/>
        </w:rPr>
        <w:t xml:space="preserve"> </w:t>
      </w:r>
      <w:r>
        <w:rPr>
          <w:b/>
          <w:bCs/>
          <w:snapToGrid w:val="0"/>
          <w:sz w:val="24"/>
          <w:rtl/>
        </w:rPr>
        <w:t>ברא אלקים האי אלקים כו'.</w:t>
      </w:r>
      <w:r>
        <w:rPr>
          <w:snapToGrid w:val="0"/>
          <w:sz w:val="24"/>
          <w:rtl/>
        </w:rPr>
        <w:t xml:space="preserve"> רוצה לומר, דרומז באלקים - תרועה, דאימא אלקים סלקא ביה, ותרועה הוא כולל כל הג' קוים כנ"ל, את האדם הנ"ל, וזהו ברא אלקים דאיהו שביעאה דסליקת בתרועה עמודא דאמצעיתא, ושית הן ו' עזקאן דקנה, קול השופר, כמו שאמרו ברעיא מהימנא פ' נשא ופ' פנחס בארוכה:</w:t>
      </w:r>
    </w:p>
  </w:footnote>
  <w:footnote w:id="4336">
    <w:p w:rsidR="00A13282" w:rsidRDefault="00A13282" w:rsidP="00602EF1">
      <w:pPr>
        <w:pStyle w:val="a5"/>
        <w:rPr>
          <w:rtl/>
        </w:rPr>
      </w:pPr>
      <w:r>
        <w:rPr>
          <w:rStyle w:val="a7"/>
          <w:rtl/>
        </w:rPr>
        <w:footnoteRef/>
      </w:r>
      <w:r>
        <w:rPr>
          <w:rtl/>
        </w:rPr>
        <w:t xml:space="preserve"> </w:t>
      </w:r>
      <w:r>
        <w:rPr>
          <w:b/>
          <w:bCs/>
          <w:snapToGrid w:val="0"/>
          <w:sz w:val="24"/>
          <w:rtl/>
        </w:rPr>
        <w:t>דאיהי יעקב דאתמר ביה לא הביט כו' ותרועת מלך בו ואתמר ביה עלה כו'.</w:t>
      </w:r>
      <w:r>
        <w:rPr>
          <w:snapToGrid w:val="0"/>
          <w:sz w:val="24"/>
          <w:rtl/>
        </w:rPr>
        <w:t xml:space="preserve"> פסוק דלעיל מביא ראיה דתרועה הוא ביעקב, ואין צריך לה כל כך אלא משום דקאמר ברא שית דהוא יעקב דכליל ו"ק ואמר דברא אלקים רכיבת עליה:</w:t>
      </w:r>
    </w:p>
  </w:footnote>
  <w:footnote w:id="4337">
    <w:p w:rsidR="00A13282" w:rsidRDefault="00A13282" w:rsidP="00602EF1">
      <w:pPr>
        <w:pStyle w:val="a5"/>
        <w:rPr>
          <w:rtl/>
        </w:rPr>
      </w:pPr>
      <w:r>
        <w:rPr>
          <w:rStyle w:val="a7"/>
          <w:rtl/>
        </w:rPr>
        <w:footnoteRef/>
      </w:r>
      <w:r>
        <w:rPr>
          <w:rtl/>
        </w:rPr>
        <w:t xml:space="preserve"> </w:t>
      </w:r>
      <w:r>
        <w:rPr>
          <w:b/>
          <w:bCs/>
          <w:snapToGrid w:val="0"/>
          <w:sz w:val="24"/>
          <w:rtl/>
        </w:rPr>
        <w:t>ה' בקול שופר סליק.</w:t>
      </w:r>
      <w:r>
        <w:rPr>
          <w:snapToGrid w:val="0"/>
          <w:sz w:val="24"/>
          <w:rtl/>
        </w:rPr>
        <w:t xml:space="preserve"> והוא ראיה דשופרות הוא בעמודא דאמצעיתא אבל אלקים בינה דהיא מלכיות כמו שמפרש והולך - נעלה על התרועה, דנתעלה בה וכמו שאמרו (ר"ה לד ע"ב) אמרו לפני מלכיות כדי שתמליכוני עליכם כו' ובמה בשופר, וקאי גם על המלכיות, שבשופרות נתעלה השם למלך וכמו שכתוב (תהלים מז ו) עלה אלקים כו':</w:t>
      </w:r>
    </w:p>
  </w:footnote>
  <w:footnote w:id="4338">
    <w:p w:rsidR="00A13282" w:rsidRDefault="00A13282" w:rsidP="00602EF1">
      <w:pPr>
        <w:pStyle w:val="a5"/>
        <w:rPr>
          <w:rtl/>
        </w:rPr>
      </w:pPr>
      <w:r>
        <w:rPr>
          <w:rStyle w:val="a7"/>
          <w:rtl/>
        </w:rPr>
        <w:footnoteRef/>
      </w:r>
      <w:r>
        <w:rPr>
          <w:rtl/>
        </w:rPr>
        <w:t xml:space="preserve"> </w:t>
      </w:r>
      <w:r>
        <w:rPr>
          <w:b/>
          <w:bCs/>
          <w:snapToGrid w:val="0"/>
          <w:sz w:val="24"/>
          <w:rtl/>
        </w:rPr>
        <w:t>ואוקמוה כו' דא יו"ד ה"י וא"ו ה"י.</w:t>
      </w:r>
      <w:r>
        <w:rPr>
          <w:snapToGrid w:val="0"/>
          <w:sz w:val="24"/>
          <w:rtl/>
        </w:rPr>
        <w:t xml:space="preserve"> דביה ג' יודין נגד אלו ג' פעמים עשרה, ויוד של עמודא דאמצעיתא הוא בה"א בתראה כנ"ל:</w:t>
      </w:r>
    </w:p>
  </w:footnote>
  <w:footnote w:id="4339">
    <w:p w:rsidR="00A13282" w:rsidRDefault="00A13282" w:rsidP="00602EF1">
      <w:pPr>
        <w:pStyle w:val="a5"/>
        <w:rPr>
          <w:rtl/>
        </w:rPr>
      </w:pPr>
      <w:r>
        <w:rPr>
          <w:rStyle w:val="a7"/>
          <w:rtl/>
        </w:rPr>
        <w:footnoteRef/>
      </w:r>
      <w:r>
        <w:rPr>
          <w:rtl/>
        </w:rPr>
        <w:t xml:space="preserve"> </w:t>
      </w:r>
      <w:r>
        <w:rPr>
          <w:b/>
          <w:bCs/>
          <w:snapToGrid w:val="0"/>
          <w:sz w:val="24"/>
          <w:rtl/>
        </w:rPr>
        <w:t>מלכיות ותמלוך כו'.</w:t>
      </w:r>
      <w:r>
        <w:rPr>
          <w:snapToGrid w:val="0"/>
          <w:sz w:val="24"/>
          <w:rtl/>
        </w:rPr>
        <w:t xml:space="preserve"> מפרש והולך שבתפלה הן גם כן מרומז באותן הדרגין:</w:t>
      </w:r>
    </w:p>
  </w:footnote>
  <w:footnote w:id="4340">
    <w:p w:rsidR="00A13282" w:rsidRDefault="00A13282" w:rsidP="00602EF1">
      <w:pPr>
        <w:pStyle w:val="a5"/>
        <w:rPr>
          <w:rtl/>
        </w:rPr>
      </w:pPr>
      <w:r>
        <w:rPr>
          <w:rStyle w:val="a7"/>
          <w:rtl/>
        </w:rPr>
        <w:footnoteRef/>
      </w:r>
      <w:r>
        <w:rPr>
          <w:rtl/>
        </w:rPr>
        <w:t xml:space="preserve"> </w:t>
      </w:r>
      <w:r>
        <w:rPr>
          <w:b/>
          <w:bCs/>
          <w:snapToGrid w:val="0"/>
          <w:sz w:val="24"/>
          <w:rtl/>
        </w:rPr>
        <w:t>ה' אלקינו.</w:t>
      </w:r>
      <w:r>
        <w:rPr>
          <w:snapToGrid w:val="0"/>
          <w:sz w:val="24"/>
          <w:rtl/>
        </w:rPr>
        <w:t xml:space="preserve"> שהוא בבינה, אלקים הנ"ל, ונאמר ה' אלקינו דהיא הוי"ה בניקוד אלקים:</w:t>
      </w:r>
    </w:p>
  </w:footnote>
  <w:footnote w:id="4341">
    <w:p w:rsidR="00A13282" w:rsidRDefault="00A13282" w:rsidP="00602EF1">
      <w:pPr>
        <w:pStyle w:val="a5"/>
        <w:rPr>
          <w:rtl/>
        </w:rPr>
      </w:pPr>
      <w:r>
        <w:rPr>
          <w:rStyle w:val="a7"/>
          <w:rtl/>
        </w:rPr>
        <w:footnoteRef/>
      </w:r>
      <w:r>
        <w:rPr>
          <w:rtl/>
        </w:rPr>
        <w:t xml:space="preserve"> </w:t>
      </w:r>
      <w:r>
        <w:rPr>
          <w:b/>
          <w:bCs/>
          <w:snapToGrid w:val="0"/>
          <w:sz w:val="24"/>
          <w:rtl/>
        </w:rPr>
        <w:t>זכרונות אתה זוכר זכרנו לחיים.</w:t>
      </w:r>
      <w:r>
        <w:rPr>
          <w:snapToGrid w:val="0"/>
          <w:sz w:val="24"/>
          <w:rtl/>
        </w:rPr>
        <w:t xml:space="preserve"> מתחיל הברכה אתה זוכר אבל הראיה הוא ממה שאומרים זכרנו לחיים וחיים הוא בחכמה והחכמה תחיה כו' כנ"ל:</w:t>
      </w:r>
    </w:p>
  </w:footnote>
  <w:footnote w:id="4342">
    <w:p w:rsidR="00A13282" w:rsidRDefault="00A13282" w:rsidP="00602EF1">
      <w:pPr>
        <w:pStyle w:val="a5"/>
        <w:rPr>
          <w:snapToGrid w:val="0"/>
          <w:sz w:val="24"/>
          <w:rtl/>
        </w:rPr>
      </w:pPr>
      <w:r>
        <w:rPr>
          <w:rStyle w:val="a7"/>
          <w:rtl/>
        </w:rPr>
        <w:footnoteRef/>
      </w:r>
      <w:r>
        <w:rPr>
          <w:rtl/>
        </w:rPr>
        <w:t xml:space="preserve"> </w:t>
      </w:r>
      <w:r>
        <w:rPr>
          <w:b/>
          <w:bCs/>
          <w:snapToGrid w:val="0"/>
          <w:sz w:val="24"/>
          <w:rtl/>
        </w:rPr>
        <w:t>שופרות תקע כו'.</w:t>
      </w:r>
      <w:r>
        <w:rPr>
          <w:snapToGrid w:val="0"/>
          <w:sz w:val="24"/>
          <w:rtl/>
        </w:rPr>
        <w:t xml:space="preserve"> ברכת השופרות, ותקע שהוא קול דנפיק משופר והוא עמודא דאמצעיתא:</w:t>
      </w:r>
    </w:p>
    <w:p w:rsidR="00A13282" w:rsidRDefault="00A13282" w:rsidP="00602EF1">
      <w:pPr>
        <w:pStyle w:val="a5"/>
        <w:rPr>
          <w:rtl/>
        </w:rPr>
      </w:pPr>
      <w:r>
        <w:rPr>
          <w:snapToGrid w:val="0"/>
          <w:sz w:val="24"/>
          <w:rtl/>
        </w:rPr>
        <w:t>כאן צריך להיות מה שאומר למעלה תקעו בחודש שופר דא ירחא דסיהרא. ורוצה לומר, כמו שכתבתי להלן דאיהי כולל הכל, דכאן הוא סיום המאמר:</w:t>
      </w:r>
    </w:p>
  </w:footnote>
  <w:footnote w:id="4343">
    <w:p w:rsidR="00A13282" w:rsidRDefault="00A13282" w:rsidP="00602EF1">
      <w:pPr>
        <w:pStyle w:val="a5"/>
        <w:rPr>
          <w:rtl/>
        </w:rPr>
      </w:pPr>
      <w:r>
        <w:rPr>
          <w:rStyle w:val="a7"/>
          <w:rtl/>
        </w:rPr>
        <w:footnoteRef/>
      </w:r>
      <w:r>
        <w:rPr>
          <w:rtl/>
        </w:rPr>
        <w:t xml:space="preserve"> </w:t>
      </w:r>
      <w:r>
        <w:rPr>
          <w:b/>
          <w:bCs/>
          <w:snapToGrid w:val="0"/>
          <w:sz w:val="24"/>
          <w:rtl/>
        </w:rPr>
        <w:t>תקעו בחודש שופר דא ירחא דסיהרא.</w:t>
      </w:r>
      <w:r>
        <w:rPr>
          <w:snapToGrid w:val="0"/>
          <w:sz w:val="24"/>
          <w:rtl/>
        </w:rPr>
        <w:t xml:space="preserve"> רוצה לומר, החודש הוא הסיהרא שהיא כלולה מהכל, דמלכיות זכרונות ושופרות הן יה"ו כמו שמפרש והולך, והחודש עצמו ירחא דסיהרא שבה היא נולד בחג - כוללת כולם, שבה אומרים מלכיות כו' והיא ה' בתראה לאשלמא השם, ועתה מפרש והולך. מלכיות כו':</w:t>
      </w:r>
    </w:p>
  </w:footnote>
  <w:footnote w:id="4344">
    <w:p w:rsidR="00A13282" w:rsidRDefault="00A13282" w:rsidP="00602EF1">
      <w:pPr>
        <w:pStyle w:val="a5"/>
        <w:rPr>
          <w:rtl/>
        </w:rPr>
      </w:pPr>
      <w:r>
        <w:rPr>
          <w:rStyle w:val="a7"/>
          <w:rtl/>
        </w:rPr>
        <w:footnoteRef/>
      </w:r>
      <w:r>
        <w:rPr>
          <w:rtl/>
        </w:rPr>
        <w:t xml:space="preserve"> </w:t>
      </w:r>
      <w:r>
        <w:rPr>
          <w:b/>
          <w:bCs/>
          <w:snapToGrid w:val="0"/>
          <w:sz w:val="24"/>
          <w:rtl/>
        </w:rPr>
        <w:t>מלכיות מסט' דמלכות.</w:t>
      </w:r>
      <w:r>
        <w:rPr>
          <w:snapToGrid w:val="0"/>
          <w:sz w:val="24"/>
          <w:rtl/>
        </w:rPr>
        <w:t xml:space="preserve"> רוצה לומר לשון מלוכה דהוא שמו הגדול, והוא זה שמי, דבשמו אשתמודע למלך, והוא מסטרא דשמאל וכמו שאמרו בפ' פקודי בהיכל הרביעי, היכלא רביעאה היכלא דא דקב"ה אשתמודע שולטניה בארעא בגיניה, וזה שאומר ובה איהו המלך הקדוש, שהוא מלכות, והקדוש הוא בשמאלא כמו שאומר לעיל פ"ז ב' וקדשו מסטרא דשמאלא שנאמר וקדשת את הלוים, וכן המלך המשפט, וזה שאומר מסטרא דשמאלא, ועוד ראיה מביא שנאמר מלך על כל הארץ אלקים דהוא בינה מסטרא דשמאלא אלקים:</w:t>
      </w:r>
    </w:p>
  </w:footnote>
  <w:footnote w:id="4345">
    <w:p w:rsidR="00A13282" w:rsidRDefault="00A13282" w:rsidP="00602EF1">
      <w:pPr>
        <w:pStyle w:val="a5"/>
        <w:rPr>
          <w:rtl/>
        </w:rPr>
      </w:pPr>
      <w:r>
        <w:rPr>
          <w:rStyle w:val="a7"/>
          <w:rtl/>
        </w:rPr>
        <w:footnoteRef/>
      </w:r>
      <w:r>
        <w:rPr>
          <w:rtl/>
        </w:rPr>
        <w:t xml:space="preserve"> </w:t>
      </w:r>
      <w:r>
        <w:rPr>
          <w:b/>
          <w:bCs/>
          <w:snapToGrid w:val="0"/>
          <w:sz w:val="24"/>
          <w:rtl/>
        </w:rPr>
        <w:t>ודא לבא לשמאלא מלכיות.</w:t>
      </w:r>
      <w:r>
        <w:rPr>
          <w:snapToGrid w:val="0"/>
          <w:sz w:val="24"/>
          <w:rtl/>
        </w:rPr>
        <w:t xml:space="preserve"> רוצה לומר מלכיות בבינה לשמאלא, וזכרונות באבא לימינא, ושופרות בעמודא דאמצעיתא באמצעיתא, והן כוללין ג' אתוון יה"ו שהן ג' מלמעלה למטה או"א וז"א, וכן ג' קוין חד"ר שהן גם כן יה"ו, ואמר כאן שהן הן, הכל אחד, שאו"א הן ימינא ושמאלא ואמר בהקדמה ושאר מקומות חכמה נחית בימינא דכהנא ובינה נחית בשמאלא:</w:t>
      </w:r>
    </w:p>
  </w:footnote>
  <w:footnote w:id="4346">
    <w:p w:rsidR="00A13282" w:rsidRDefault="00A13282" w:rsidP="00602EF1">
      <w:pPr>
        <w:pStyle w:val="a5"/>
        <w:rPr>
          <w:rtl/>
        </w:rPr>
      </w:pPr>
      <w:r>
        <w:rPr>
          <w:rStyle w:val="a7"/>
          <w:rtl/>
        </w:rPr>
        <w:footnoteRef/>
      </w:r>
      <w:r>
        <w:rPr>
          <w:rtl/>
        </w:rPr>
        <w:t xml:space="preserve"> </w:t>
      </w:r>
      <w:r>
        <w:rPr>
          <w:b/>
          <w:bCs/>
          <w:snapToGrid w:val="0"/>
          <w:sz w:val="24"/>
          <w:rtl/>
        </w:rPr>
        <w:t>שופרות דא קנה כו'.</w:t>
      </w:r>
      <w:r>
        <w:rPr>
          <w:snapToGrid w:val="0"/>
          <w:sz w:val="24"/>
          <w:rtl/>
        </w:rPr>
        <w:t xml:space="preserve"> ובו סליק ממוחא ללבא ומלבא למוחא כמו שאמרו ברעיא מהימנא פ' פנחס, ולכן שופרות כליל שניהם כנ"ל, וזה שנתייחד השופר שהוא מן התורה, ונאמר תקעו בחודש שופר - לייחד חודש עם שופר שהוא כלל הכל:</w:t>
      </w:r>
    </w:p>
  </w:footnote>
  <w:footnote w:id="4347">
    <w:p w:rsidR="00A13282" w:rsidRDefault="00A13282" w:rsidP="00602EF1">
      <w:pPr>
        <w:pStyle w:val="a5"/>
        <w:rPr>
          <w:rtl/>
        </w:rPr>
      </w:pPr>
      <w:r>
        <w:rPr>
          <w:rStyle w:val="a7"/>
          <w:rtl/>
        </w:rPr>
        <w:footnoteRef/>
      </w:r>
      <w:r>
        <w:rPr>
          <w:rtl/>
        </w:rPr>
        <w:t xml:space="preserve"> </w:t>
      </w:r>
      <w:r>
        <w:rPr>
          <w:b/>
          <w:bCs/>
          <w:snapToGrid w:val="0"/>
          <w:sz w:val="24"/>
          <w:rtl/>
        </w:rPr>
        <w:t>ואיהי יהו"ה במוחא בלבא בגופא.</w:t>
      </w:r>
      <w:r>
        <w:rPr>
          <w:snapToGrid w:val="0"/>
          <w:sz w:val="24"/>
          <w:rtl/>
        </w:rPr>
        <w:t xml:space="preserve"> רוצה לומר בגופא דהוא הקנה, עמודא דאמצעיתא שהוא גופא, דאף שהן ג' מכל מקום</w:t>
      </w:r>
      <w:r>
        <w:rPr>
          <w:b/>
          <w:bCs/>
          <w:snapToGrid w:val="0"/>
          <w:sz w:val="24"/>
          <w:rtl/>
        </w:rPr>
        <w:t xml:space="preserve"> </w:t>
      </w:r>
      <w:r>
        <w:rPr>
          <w:snapToGrid w:val="0"/>
          <w:sz w:val="24"/>
          <w:rtl/>
        </w:rPr>
        <w:t>ה' בתראה נכלל בשופרות שנאמר בחודש שופר כנ"ל, וכידוע שהיא נכללת בעמודא דאמצעיתא, ועיין מה שכתבתי בתיקון כ”ה כי מוחא ולבא הן י"ה, וגופא ופומא הן ו"ה שהן בקנה ופומא שבהם קול השופר הולך וז"ס קול ודיבור בזו"נ שהוא בקנה גופא ובפומא ורוצה לומר בזה כמו שמפרש והולך</w:t>
      </w:r>
    </w:p>
  </w:footnote>
  <w:footnote w:id="4348">
    <w:p w:rsidR="00A13282" w:rsidRDefault="00A13282" w:rsidP="00602EF1">
      <w:pPr>
        <w:pStyle w:val="a5"/>
        <w:rPr>
          <w:rtl/>
        </w:rPr>
      </w:pPr>
      <w:r>
        <w:rPr>
          <w:rStyle w:val="a7"/>
          <w:rtl/>
        </w:rPr>
        <w:footnoteRef/>
      </w:r>
      <w:r>
        <w:rPr>
          <w:rtl/>
        </w:rPr>
        <w:t xml:space="preserve"> </w:t>
      </w:r>
      <w:r>
        <w:rPr>
          <w:b/>
          <w:bCs/>
          <w:snapToGrid w:val="0"/>
          <w:sz w:val="24"/>
          <w:rtl/>
        </w:rPr>
        <w:t>כתבנו לחיים איהו בקרא דא והלוחות מעשה אלקים כו' על הלוחות ו"הלוחות אינון ו"ה כו',</w:t>
      </w:r>
      <w:r>
        <w:rPr>
          <w:snapToGrid w:val="0"/>
          <w:sz w:val="24"/>
          <w:rtl/>
        </w:rPr>
        <w:t xml:space="preserve"> הכל כמו שכתוב בפנים דלא כהגהה, ואמר כתבנו לחיים הואיל וזכר לעיל זכרנו לחיים מפרש גם כתבנו לחיים היאך רמיזא בקרא, ואמר והלוחות כו' שהן זו"נ שהן ב' לוחות, ה' לקבל ה', ה’ חסדים וה’ גבורות, וכמו שאמרו בפ' יתרו וזהו ו"ה לוחות כמו שאומר ו"ה כו', ואינון מעשה אלקים דאימא כידוע:</w:t>
      </w:r>
    </w:p>
  </w:footnote>
  <w:footnote w:id="4349">
    <w:p w:rsidR="00A13282" w:rsidRDefault="00A13282" w:rsidP="00602EF1">
      <w:pPr>
        <w:pStyle w:val="a5"/>
        <w:rPr>
          <w:rtl/>
        </w:rPr>
      </w:pPr>
      <w:r>
        <w:rPr>
          <w:rStyle w:val="a7"/>
          <w:rtl/>
        </w:rPr>
        <w:footnoteRef/>
      </w:r>
      <w:r>
        <w:rPr>
          <w:rtl/>
        </w:rPr>
        <w:t xml:space="preserve"> </w:t>
      </w:r>
      <w:r>
        <w:rPr>
          <w:b/>
          <w:bCs/>
          <w:snapToGrid w:val="0"/>
          <w:sz w:val="24"/>
          <w:rtl/>
        </w:rPr>
        <w:t>מעשה איהו בתרין כו'.</w:t>
      </w:r>
      <w:r>
        <w:rPr>
          <w:snapToGrid w:val="0"/>
          <w:sz w:val="24"/>
          <w:rtl/>
        </w:rPr>
        <w:t xml:space="preserve"> רוצה לומר כמו שאומר לעיל ס"ז א' כ"ח אתוון שכינתא עלאה כו' והאי כח איהו רזא דה' אלקינו ה' כו' דאיהו כ"ח דאתלבש בתרין דרועין דאינון חו"ג כו', והוא כח מעשיו, כ"ח אתוון דעובדא דבראשית שהן בב' ידין, כל יד - י"ד פרקין כמו שאומר שם וכמו שאומר לקמן, וזה שאומר דתמן עשיה רוצה לומר בב' ידין דעובדא ובאיברין כמו שאומר לעיל ל"ט א':</w:t>
      </w:r>
    </w:p>
  </w:footnote>
  <w:footnote w:id="4350">
    <w:p w:rsidR="00A13282" w:rsidRDefault="00A13282" w:rsidP="00602EF1">
      <w:pPr>
        <w:pStyle w:val="a5"/>
        <w:rPr>
          <w:rtl/>
        </w:rPr>
      </w:pPr>
      <w:r>
        <w:rPr>
          <w:rStyle w:val="a7"/>
          <w:rtl/>
        </w:rPr>
        <w:footnoteRef/>
      </w:r>
      <w:r>
        <w:rPr>
          <w:rtl/>
        </w:rPr>
        <w:t xml:space="preserve"> </w:t>
      </w:r>
      <w:r>
        <w:rPr>
          <w:b/>
          <w:bCs/>
          <w:snapToGrid w:val="0"/>
          <w:sz w:val="24"/>
          <w:rtl/>
        </w:rPr>
        <w:t>דתמן כתיבה.</w:t>
      </w:r>
      <w:r>
        <w:rPr>
          <w:snapToGrid w:val="0"/>
          <w:sz w:val="24"/>
          <w:rtl/>
        </w:rPr>
        <w:t xml:space="preserve"> רוצה לומר דכל עשיה וכתיבה - הכל בידיו, ותמן ספר וספר וכן העובדא כמו שאומר בריש ספר יצירה:</w:t>
      </w:r>
    </w:p>
  </w:footnote>
  <w:footnote w:id="4351">
    <w:p w:rsidR="00A13282" w:rsidRDefault="00A13282" w:rsidP="00602EF1">
      <w:pPr>
        <w:pStyle w:val="a5"/>
        <w:rPr>
          <w:rtl/>
        </w:rPr>
      </w:pPr>
      <w:r>
        <w:rPr>
          <w:rStyle w:val="a7"/>
          <w:rtl/>
        </w:rPr>
        <w:footnoteRef/>
      </w:r>
      <w:r>
        <w:rPr>
          <w:rtl/>
        </w:rPr>
        <w:t xml:space="preserve"> </w:t>
      </w:r>
      <w:r>
        <w:rPr>
          <w:b/>
          <w:bCs/>
          <w:snapToGrid w:val="0"/>
          <w:sz w:val="24"/>
          <w:rtl/>
        </w:rPr>
        <w:t>יד כותבת ויד חותמת.</w:t>
      </w:r>
      <w:r>
        <w:rPr>
          <w:snapToGrid w:val="0"/>
          <w:sz w:val="24"/>
          <w:rtl/>
        </w:rPr>
        <w:t xml:space="preserve"> והן ב' ידין, יד שמאלא כותבת ויד ימינא חותמת כמו שאומר לעיל וזה שאומר </w:t>
      </w:r>
      <w:r>
        <w:rPr>
          <w:b/>
          <w:bCs/>
          <w:snapToGrid w:val="0"/>
          <w:sz w:val="24"/>
          <w:rtl/>
        </w:rPr>
        <w:t>ואינון חד יד הגדולה.</w:t>
      </w:r>
      <w:r>
        <w:rPr>
          <w:snapToGrid w:val="0"/>
          <w:sz w:val="24"/>
          <w:rtl/>
        </w:rPr>
        <w:t xml:space="preserve"> רוצה לומר חסד. </w:t>
      </w:r>
      <w:r>
        <w:rPr>
          <w:b/>
          <w:bCs/>
          <w:snapToGrid w:val="0"/>
          <w:sz w:val="24"/>
          <w:rtl/>
        </w:rPr>
        <w:t>יד החזקה.</w:t>
      </w:r>
      <w:r>
        <w:rPr>
          <w:snapToGrid w:val="0"/>
          <w:sz w:val="24"/>
          <w:rtl/>
        </w:rPr>
        <w:t xml:space="preserve"> גבורה, ומביא ראיה מפסוק דיש יד הגדולה ויד חזקה, וחזקה הוא גבורה, וגדולה - גדולה:</w:t>
      </w:r>
    </w:p>
  </w:footnote>
  <w:footnote w:id="4352">
    <w:p w:rsidR="00A13282" w:rsidRDefault="00A13282" w:rsidP="00602EF1">
      <w:pPr>
        <w:pStyle w:val="a5"/>
        <w:rPr>
          <w:rtl/>
        </w:rPr>
      </w:pPr>
      <w:r>
        <w:rPr>
          <w:rStyle w:val="a7"/>
          <w:rtl/>
        </w:rPr>
        <w:footnoteRef/>
      </w:r>
      <w:r>
        <w:rPr>
          <w:rtl/>
        </w:rPr>
        <w:t xml:space="preserve"> </w:t>
      </w:r>
      <w:r>
        <w:rPr>
          <w:b/>
          <w:bCs/>
          <w:snapToGrid w:val="0"/>
          <w:sz w:val="24"/>
          <w:rtl/>
        </w:rPr>
        <w:t>ורזא דמלה ה' כו' יד החזקה וכולא כ"ח פרקין כו' יוד הא ואו הא ואיהו יד תניינא אהי"ה כו' כח לפני רודף</w:t>
      </w:r>
      <w:r>
        <w:rPr>
          <w:snapToGrid w:val="0"/>
          <w:sz w:val="24"/>
          <w:rtl/>
        </w:rPr>
        <w:t xml:space="preserve"> </w:t>
      </w:r>
      <w:r>
        <w:rPr>
          <w:b/>
          <w:bCs/>
          <w:snapToGrid w:val="0"/>
          <w:sz w:val="24"/>
          <w:rtl/>
        </w:rPr>
        <w:t>כו' תרין ידין כותבות מימינא ומשמאלא חרות על הלוחות עד"א כתביאל כתב אלי כו'.</w:t>
      </w:r>
      <w:r>
        <w:rPr>
          <w:snapToGrid w:val="0"/>
          <w:sz w:val="24"/>
          <w:rtl/>
        </w:rPr>
        <w:t xml:space="preserve"> רוצה לומר דאלו כ"ח הנ"ל דה' אלקינו ה' וחילופו הן בב' ידין, חו"ג, וכ"ח אחרא דפשוט ומלא דהוי"ה אהי"ה הוא בעמודא דאמצעיתא שכולל ב' ידין חו"ג כנ"ל סוף תיקון נ”ד עמודא דאמצעיתא כליל תרווייהו כו', והוי"ה אהי"ה הן באו"א, ימינא ושמאלא, והוא כולל אותם, ועתה מפרש אותם בקרא כל הג' חג"ת, תרין ידין הן ב' כתיבות דפסוק וחרות הוא כולל ב' הכתיבות הוא בעמודא דאמצעיתא שכולל ב' של ב' ידין, כתיבה וחתימה, דלכן ביה כ"ח תניינא, וכ"ח הוא ראשי תיבות כתיבה חתימה, והן בב' י"ד דכ"ח, והן ג' דרגין הנ"ל דפסוק ויקח כו' את האדם. לעבדה. ולשמרה. והן מלכיות זכרונות ושופרות. וכנ"ל. ועתה מפרש המלאכים דכתיבה וחתימה כו' עד איה שוקל:</w:t>
      </w:r>
    </w:p>
  </w:footnote>
  <w:footnote w:id="4353">
    <w:p w:rsidR="00A13282" w:rsidRDefault="00A13282" w:rsidP="00602EF1">
      <w:pPr>
        <w:pStyle w:val="a5"/>
        <w:rPr>
          <w:rtl/>
        </w:rPr>
      </w:pPr>
      <w:r>
        <w:rPr>
          <w:rStyle w:val="a7"/>
          <w:rtl/>
        </w:rPr>
        <w:footnoteRef/>
      </w:r>
      <w:r>
        <w:rPr>
          <w:rtl/>
        </w:rPr>
        <w:t xml:space="preserve"> </w:t>
      </w:r>
      <w:r>
        <w:rPr>
          <w:snapToGrid w:val="0"/>
          <w:rtl/>
        </w:rPr>
        <w:t xml:space="preserve">[א"ה, לכאורה סתירה בהגהות הגר"א בין שלש הגהות כאן. א) בד"ה </w:t>
      </w:r>
      <w:r>
        <w:rPr>
          <w:b/>
          <w:bCs/>
          <w:snapToGrid w:val="0"/>
          <w:rtl/>
        </w:rPr>
        <w:t>ואינון אימא</w:t>
      </w:r>
      <w:r>
        <w:rPr>
          <w:snapToGrid w:val="0"/>
          <w:rtl/>
        </w:rPr>
        <w:t xml:space="preserve"> כתב שכאן צ"ל מ"ש למטה </w:t>
      </w:r>
      <w:r>
        <w:rPr>
          <w:b/>
          <w:bCs/>
          <w:snapToGrid w:val="0"/>
          <w:rtl/>
        </w:rPr>
        <w:t xml:space="preserve">תרין וכו' עד"א </w:t>
      </w:r>
      <w:r>
        <w:rPr>
          <w:snapToGrid w:val="0"/>
          <w:rtl/>
        </w:rPr>
        <w:t xml:space="preserve">ואח"כ </w:t>
      </w:r>
      <w:r>
        <w:rPr>
          <w:b/>
          <w:bCs/>
          <w:snapToGrid w:val="0"/>
          <w:rtl/>
        </w:rPr>
        <w:t>כתביאל וכו'</w:t>
      </w:r>
      <w:r>
        <w:rPr>
          <w:snapToGrid w:val="0"/>
          <w:rtl/>
        </w:rPr>
        <w:t xml:space="preserve">. ולכן העתקתי משם לכאן, אמנם השארתי גם שם. ב) בד"ה </w:t>
      </w:r>
      <w:r>
        <w:rPr>
          <w:b/>
          <w:bCs/>
          <w:snapToGrid w:val="0"/>
          <w:rtl/>
        </w:rPr>
        <w:t xml:space="preserve">דסחיפי </w:t>
      </w:r>
      <w:r>
        <w:rPr>
          <w:snapToGrid w:val="0"/>
          <w:rtl/>
        </w:rPr>
        <w:t xml:space="preserve">כתב שאחרי </w:t>
      </w:r>
      <w:r>
        <w:rPr>
          <w:b/>
          <w:bCs/>
          <w:snapToGrid w:val="0"/>
          <w:rtl/>
        </w:rPr>
        <w:t>מגדל עז שם ה'</w:t>
      </w:r>
      <w:r>
        <w:rPr>
          <w:snapToGrid w:val="0"/>
          <w:rtl/>
        </w:rPr>
        <w:t xml:space="preserve"> צ"ל </w:t>
      </w:r>
      <w:r>
        <w:rPr>
          <w:b/>
          <w:bCs/>
          <w:snapToGrid w:val="0"/>
          <w:rtl/>
        </w:rPr>
        <w:t>וכמה מלאכיא דחותמא כו'</w:t>
      </w:r>
      <w:r>
        <w:rPr>
          <w:snapToGrid w:val="0"/>
          <w:rtl/>
        </w:rPr>
        <w:t xml:space="preserve">. ולא עשיתי כי סותר את ג. ג) השארתי כמ"ש הגר"א בד"ה </w:t>
      </w:r>
      <w:r>
        <w:rPr>
          <w:b/>
          <w:bCs/>
          <w:snapToGrid w:val="0"/>
          <w:rtl/>
        </w:rPr>
        <w:t>ועוד והמכתב מכתב אלקים תרין ידין כותבות מימינא ומשמאלא חרות על הלוחות עד"א כמה כו'</w:t>
      </w:r>
      <w:r>
        <w:rPr>
          <w:snapToGrid w:val="0"/>
          <w:rtl/>
        </w:rPr>
        <w:t>. כצ"ל כמ"ש בפנים.]</w:t>
      </w:r>
    </w:p>
  </w:footnote>
  <w:footnote w:id="4354">
    <w:p w:rsidR="00A13282" w:rsidRDefault="00A13282" w:rsidP="00602EF1">
      <w:pPr>
        <w:pStyle w:val="a5"/>
        <w:rPr>
          <w:rtl/>
        </w:rPr>
      </w:pPr>
      <w:r>
        <w:rPr>
          <w:rStyle w:val="a7"/>
          <w:rtl/>
        </w:rPr>
        <w:footnoteRef/>
      </w:r>
      <w:r>
        <w:rPr>
          <w:rtl/>
        </w:rPr>
        <w:t xml:space="preserve"> </w:t>
      </w:r>
      <w:r>
        <w:rPr>
          <w:b/>
          <w:bCs/>
          <w:snapToGrid w:val="0"/>
          <w:sz w:val="24"/>
          <w:rtl/>
        </w:rPr>
        <w:t>אלי איהו אם כו'.</w:t>
      </w:r>
      <w:r>
        <w:rPr>
          <w:snapToGrid w:val="0"/>
          <w:sz w:val="24"/>
          <w:rtl/>
        </w:rPr>
        <w:t xml:space="preserve"> כמו שאומר לעיל דאיהו מעשה אלקים בתרין ידין ואיהו מכתב אלקים דתרין ידין, וכמו שאומר לעיל דכ"ח אתוון דידה מתלבשת בתרין ידין, ולכן בין בחתמיאל בין בכתביאל הוא אלי מסטרא דאימא אף שחתמיאל הוא מסטרא דחכמה. רוצה לומר חכמה דנחית בימינא והוא בימינא מכל מקום אימא חותמת והוא ביום הכפורים שהוא אימא וכן בראש השנה חודש השביעי:</w:t>
      </w:r>
    </w:p>
  </w:footnote>
  <w:footnote w:id="4355">
    <w:p w:rsidR="00A13282" w:rsidRDefault="00A13282" w:rsidP="00602EF1">
      <w:pPr>
        <w:pStyle w:val="a5"/>
        <w:rPr>
          <w:rtl/>
        </w:rPr>
      </w:pPr>
      <w:r>
        <w:rPr>
          <w:rStyle w:val="a7"/>
          <w:rtl/>
        </w:rPr>
        <w:footnoteRef/>
      </w:r>
      <w:r>
        <w:rPr>
          <w:rtl/>
        </w:rPr>
        <w:t xml:space="preserve"> </w:t>
      </w:r>
      <w:r>
        <w:rPr>
          <w:b/>
          <w:bCs/>
          <w:snapToGrid w:val="0"/>
          <w:sz w:val="24"/>
          <w:rtl/>
        </w:rPr>
        <w:t xml:space="preserve">איהו אם בחושבן </w:t>
      </w:r>
      <w:r>
        <w:rPr>
          <w:snapToGrid w:val="0"/>
          <w:sz w:val="24"/>
          <w:rtl/>
        </w:rPr>
        <w:t>ואמר</w:t>
      </w:r>
      <w:r>
        <w:rPr>
          <w:b/>
          <w:bCs/>
          <w:snapToGrid w:val="0"/>
          <w:sz w:val="24"/>
          <w:rtl/>
        </w:rPr>
        <w:t xml:space="preserve"> זה אלי ואנוהו.</w:t>
      </w:r>
      <w:r>
        <w:rPr>
          <w:snapToGrid w:val="0"/>
          <w:sz w:val="24"/>
          <w:rtl/>
        </w:rPr>
        <w:t xml:space="preserve"> מביא מקרא דאימא הוציאם ממצרים כמו שאומר לעיל ע"ז א' ושאר מקומות:</w:t>
      </w:r>
    </w:p>
  </w:footnote>
  <w:footnote w:id="4356">
    <w:p w:rsidR="00A13282" w:rsidRDefault="00A13282" w:rsidP="00602EF1">
      <w:pPr>
        <w:pStyle w:val="a5"/>
        <w:rPr>
          <w:rtl/>
        </w:rPr>
      </w:pPr>
      <w:r>
        <w:rPr>
          <w:rStyle w:val="a7"/>
          <w:rtl/>
        </w:rPr>
        <w:footnoteRef/>
      </w:r>
      <w:r>
        <w:rPr>
          <w:rtl/>
        </w:rPr>
        <w:t xml:space="preserve"> </w:t>
      </w:r>
      <w:r>
        <w:rPr>
          <w:b/>
          <w:bCs/>
          <w:snapToGrid w:val="0"/>
          <w:sz w:val="24"/>
          <w:rtl/>
        </w:rPr>
        <w:t>כתב כו'.</w:t>
      </w:r>
      <w:r>
        <w:rPr>
          <w:snapToGrid w:val="0"/>
          <w:sz w:val="24"/>
          <w:rtl/>
        </w:rPr>
        <w:t xml:space="preserve"> עתה מביא ראיה שכתב הוא מסטרא דאימא ואמר </w:t>
      </w:r>
      <w:r>
        <w:rPr>
          <w:b/>
          <w:bCs/>
          <w:snapToGrid w:val="0"/>
          <w:sz w:val="24"/>
          <w:rtl/>
        </w:rPr>
        <w:t>כ' כתר כו'.</w:t>
      </w:r>
      <w:r>
        <w:rPr>
          <w:snapToGrid w:val="0"/>
          <w:sz w:val="24"/>
          <w:rtl/>
        </w:rPr>
        <w:t xml:space="preserve"> שהן ג"ר וכולא כלילין באימא דהיא כוללת ג"ר כידוע ומפרש והולך </w:t>
      </w:r>
      <w:r>
        <w:rPr>
          <w:b/>
          <w:bCs/>
          <w:snapToGrid w:val="0"/>
          <w:sz w:val="24"/>
          <w:rtl/>
        </w:rPr>
        <w:t>איהי כתר כו'.</w:t>
      </w:r>
      <w:r>
        <w:rPr>
          <w:snapToGrid w:val="0"/>
          <w:sz w:val="24"/>
          <w:rtl/>
        </w:rPr>
        <w:t xml:space="preserve"> שהיא נקראת עטרת תפארת, כליל תפארת בראשו כו' שהיא מתנת חלקו וכמו שאומר לעיל תיקון י”ח וסוף תיקון י”ז, ובה משכן העולם הבא, והיא עצמה נקראת כתר כמו שאומר לעיל ל"ז ב' דאיהי גלגלתא דרישא שמקפת למוחא חכמה, ואמר למעלה י"ג א' דגלגלתא הוא כתר, וכן באידרא זוטא ושאר מקומות, וכל ענין הכתר הוא בה כמו שאומר לעיל ולכן נקראת אהי"ה על שמו והוא מסטרא דכתר:</w:t>
      </w:r>
    </w:p>
  </w:footnote>
  <w:footnote w:id="4357">
    <w:p w:rsidR="00A13282" w:rsidRDefault="00A13282" w:rsidP="00602EF1">
      <w:pPr>
        <w:pStyle w:val="a5"/>
        <w:rPr>
          <w:rtl/>
        </w:rPr>
      </w:pPr>
      <w:r>
        <w:rPr>
          <w:rStyle w:val="a7"/>
          <w:rtl/>
        </w:rPr>
        <w:footnoteRef/>
      </w:r>
      <w:r>
        <w:rPr>
          <w:rtl/>
        </w:rPr>
        <w:t xml:space="preserve"> </w:t>
      </w:r>
      <w:r>
        <w:rPr>
          <w:b/>
          <w:bCs/>
          <w:snapToGrid w:val="0"/>
          <w:sz w:val="24"/>
          <w:rtl/>
        </w:rPr>
        <w:t>ואיהי תורת כו'.</w:t>
      </w:r>
      <w:r>
        <w:rPr>
          <w:snapToGrid w:val="0"/>
          <w:sz w:val="24"/>
          <w:rtl/>
        </w:rPr>
        <w:t xml:space="preserve"> רוצה לומר, תמימה הוא מסטרא דאימא שהיא תמימה בנ' תרעין כמו שאומר בפ' תרומה קל"ז ב' כדין סיהרא מתעטרא כגוונא דאימא עילאה שלימא בנ' תרעין ודא איהו דכתיב תורת ה' תמימה דהא כדין איהי שלימא תמימה מכל סטרין ברזא דחמש דרגין כגוונא עילאה דאינון חמש רזא דחמשין כו', רוצה לומר דתורה היא חמשה חומשים שהן ה' תרעין דילה כמו שאומר בתוספתא פ' בשלח ופ' תצוה, והן גם כן</w:t>
      </w:r>
      <w:r>
        <w:rPr>
          <w:b/>
          <w:bCs/>
          <w:snapToGrid w:val="0"/>
          <w:sz w:val="24"/>
          <w:rtl/>
        </w:rPr>
        <w:t xml:space="preserve"> </w:t>
      </w:r>
      <w:r>
        <w:rPr>
          <w:snapToGrid w:val="0"/>
          <w:sz w:val="24"/>
          <w:rtl/>
        </w:rPr>
        <w:t>נ' פרשיות נ' תרעין, דכל ספר כלול מעשרה כמו שאומר במדרש הנעלם פ' וירא ק"ד ב' אולי יש חמשים צדיקים כו' שמא נתעסקו בנ' פרשיות של תורה כו', חמשה ספרים הן בתורה ובכל אחד ואחד נכללים עשרת כו', הוא חמשים, וזהו תמימה, והוא ברזא דה"א דנקראת תמימה, וזהו ראיה דהוא באימא אבל הוא מסטרא דאבא דשם סוד התורה שבכתב וכמו שאומר בפ' ויקהל ר' א' ספר עלאה איהו תורה שבכתב בגין דאיהי סתימא ולא קיימא אלא בכתב דתמן איהו אתר לאתגלאה לתתא ומאן איהי עלמא דאתי, עיין שם בדבריו:</w:t>
      </w:r>
    </w:p>
  </w:footnote>
  <w:footnote w:id="4358">
    <w:p w:rsidR="00A13282" w:rsidRDefault="00A13282" w:rsidP="00602EF1">
      <w:pPr>
        <w:pStyle w:val="a5"/>
        <w:rPr>
          <w:rtl/>
        </w:rPr>
      </w:pPr>
      <w:r>
        <w:rPr>
          <w:rStyle w:val="a7"/>
          <w:rtl/>
        </w:rPr>
        <w:footnoteRef/>
      </w:r>
      <w:r>
        <w:rPr>
          <w:rtl/>
        </w:rPr>
        <w:t xml:space="preserve"> </w:t>
      </w:r>
      <w:r>
        <w:rPr>
          <w:b/>
          <w:bCs/>
          <w:snapToGrid w:val="0"/>
          <w:sz w:val="24"/>
          <w:rtl/>
        </w:rPr>
        <w:t>ואיהי ברכת ה' כו'.</w:t>
      </w:r>
      <w:r>
        <w:rPr>
          <w:snapToGrid w:val="0"/>
          <w:sz w:val="24"/>
          <w:rtl/>
        </w:rPr>
        <w:t xml:space="preserve"> דמצפון זהב יאתה (איוב לז כב), והרוצה להעשיר יצפין (שו"ע או"ח צד ס' ב'), ונאמר היא תעשיר - היא דייקא, והוא מסטרא דידה אע"ג דברכה מימינא דכהנא מכל מקום ממנה מקבל, נמצא דכתב הוא באימא, ועתה מפרש דחתימה באבא ואמר חתמיאל מסטרא דחכמה, והוא בחילוף הת' באתוון דאלב"ם כידוע, וזהו (אסתר ג יב) נחתם בטבעת המלך דאיהו אות ברית דהיא חכמה כמו שאומר לעיל בתיקון ל”ו פ"א א' והוא חתימה ביד ימינא וכתיבה ביד שמאלא כמו שאומר לעיל (תרין ידין) דאינון ה' אצבעאן דיד ימינא וה' כו' והן ה’ חסדים וה’ גבורות שהן ימינא ושמאלא והן מסטרא דאו"א כמו שאומר באידרא זוטא אבא גניז בגויה כו' וזה שאומר ותרווייהו לימינא ושמאלא רוצה לומר בב' הידים וכן אמר למעלה יד כותבת ויד חותמת ואיהו חד יד הגדולה כו' דחכמה נחית בימינא ובינה בשמאלא, ומכל מקום הכל ע"י אימא כידוע ומכל מקום כותבין בימין, דשמאלא אתכליל בימינא והיא סיוע אליה ועיין באידרא רבא קמ"ב ב':</w:t>
      </w:r>
    </w:p>
  </w:footnote>
  <w:footnote w:id="4359">
    <w:p w:rsidR="00A13282" w:rsidRDefault="00A13282" w:rsidP="00602EF1">
      <w:pPr>
        <w:pStyle w:val="a5"/>
        <w:rPr>
          <w:rtl/>
        </w:rPr>
      </w:pPr>
      <w:r>
        <w:rPr>
          <w:rStyle w:val="a7"/>
          <w:rtl/>
        </w:rPr>
        <w:footnoteRef/>
      </w:r>
      <w:r>
        <w:rPr>
          <w:rtl/>
        </w:rPr>
        <w:t xml:space="preserve"> </w:t>
      </w:r>
      <w:r>
        <w:rPr>
          <w:b/>
          <w:bCs/>
          <w:snapToGrid w:val="0"/>
          <w:sz w:val="24"/>
          <w:rtl/>
        </w:rPr>
        <w:t>ותרווייהו חיים כו'.</w:t>
      </w:r>
      <w:r>
        <w:rPr>
          <w:snapToGrid w:val="0"/>
          <w:sz w:val="24"/>
          <w:rtl/>
        </w:rPr>
        <w:t xml:space="preserve"> רוצה לומר דזה שאומרים כתבנו לחיים חתמנו לחיים:</w:t>
      </w:r>
    </w:p>
  </w:footnote>
  <w:footnote w:id="4360">
    <w:p w:rsidR="00A13282" w:rsidRDefault="00A13282" w:rsidP="00602EF1">
      <w:pPr>
        <w:pStyle w:val="a5"/>
        <w:rPr>
          <w:rtl/>
        </w:rPr>
      </w:pPr>
      <w:r>
        <w:rPr>
          <w:rStyle w:val="a7"/>
          <w:rtl/>
        </w:rPr>
        <w:footnoteRef/>
      </w:r>
      <w:r>
        <w:rPr>
          <w:rtl/>
        </w:rPr>
        <w:t xml:space="preserve"> </w:t>
      </w:r>
      <w:r>
        <w:rPr>
          <w:b/>
          <w:bCs/>
          <w:snapToGrid w:val="0"/>
          <w:sz w:val="24"/>
          <w:rtl/>
        </w:rPr>
        <w:t>עץ חיים היא.</w:t>
      </w:r>
      <w:r>
        <w:rPr>
          <w:snapToGrid w:val="0"/>
          <w:sz w:val="24"/>
          <w:rtl/>
        </w:rPr>
        <w:t xml:space="preserve"> היא דייקא וכמו שאומר לעיל בתיקון כ”ב:</w:t>
      </w:r>
    </w:p>
  </w:footnote>
  <w:footnote w:id="4361">
    <w:p w:rsidR="00A13282" w:rsidRDefault="00A13282" w:rsidP="00602EF1">
      <w:pPr>
        <w:pStyle w:val="a5"/>
        <w:rPr>
          <w:rtl/>
        </w:rPr>
      </w:pPr>
      <w:r>
        <w:rPr>
          <w:rStyle w:val="a7"/>
          <w:rtl/>
        </w:rPr>
        <w:footnoteRef/>
      </w:r>
      <w:r>
        <w:rPr>
          <w:rtl/>
        </w:rPr>
        <w:t xml:space="preserve"> </w:t>
      </w:r>
      <w:r>
        <w:rPr>
          <w:b/>
          <w:bCs/>
          <w:snapToGrid w:val="0"/>
          <w:sz w:val="24"/>
          <w:rtl/>
        </w:rPr>
        <w:t>תלת אצבעאן.</w:t>
      </w:r>
      <w:r>
        <w:rPr>
          <w:snapToGrid w:val="0"/>
          <w:sz w:val="24"/>
          <w:rtl/>
        </w:rPr>
        <w:t xml:space="preserve"> רוצה לומר חג"ת, דה’ חסדים וה’ גבורות נקראו אצבעות כמו שאומר למטה וכנ"ל, ובחושבן הגושפנקא דשמיא וארעא, ותלת הן העיקרין והנמתקין והן מתייחדין לכתיבה כשאדם אוחז הקולמוס וכותב אוחז בשלש אצבעות הראשונות אבל ב' אינן אלא מסייעין, וזה שאומר </w:t>
      </w:r>
      <w:r>
        <w:rPr>
          <w:b/>
          <w:bCs/>
          <w:snapToGrid w:val="0"/>
          <w:sz w:val="24"/>
          <w:rtl/>
        </w:rPr>
        <w:t>ותרין אינון דסמכין לון.</w:t>
      </w:r>
      <w:r>
        <w:rPr>
          <w:snapToGrid w:val="0"/>
          <w:sz w:val="24"/>
          <w:rtl/>
        </w:rPr>
        <w:t xml:space="preserve"> רוצה לומר, לא לקולמוס אלא לג' אצבעות הראשונות, שאלו יקוטע ב' אצבעות אינו יכול לכתוב, והן אותן ב' שאינן נמתקין כל כך ומכל מקום מסייעין וסמכין לון: </w:t>
      </w:r>
    </w:p>
  </w:footnote>
  <w:footnote w:id="4362">
    <w:p w:rsidR="00A13282" w:rsidRDefault="00A13282" w:rsidP="00602EF1">
      <w:pPr>
        <w:pStyle w:val="a5"/>
        <w:rPr>
          <w:rtl/>
        </w:rPr>
      </w:pPr>
      <w:r>
        <w:rPr>
          <w:rStyle w:val="a7"/>
          <w:rtl/>
        </w:rPr>
        <w:footnoteRef/>
      </w:r>
      <w:r>
        <w:rPr>
          <w:rtl/>
        </w:rPr>
        <w:t xml:space="preserve"> </w:t>
      </w:r>
      <w:r>
        <w:rPr>
          <w:b/>
          <w:bCs/>
          <w:snapToGrid w:val="0"/>
          <w:sz w:val="24"/>
          <w:rtl/>
        </w:rPr>
        <w:t>ועלייהו אמר בן זומא כו'.</w:t>
      </w:r>
      <w:r>
        <w:rPr>
          <w:snapToGrid w:val="0"/>
          <w:sz w:val="24"/>
          <w:rtl/>
        </w:rPr>
        <w:t xml:space="preserve"> דנה"י הן דנוק'. ולכן אין בין מים העליונים - בינה כו':</w:t>
      </w:r>
    </w:p>
  </w:footnote>
  <w:footnote w:id="4363">
    <w:p w:rsidR="00A13282" w:rsidRDefault="00A13282" w:rsidP="00602EF1">
      <w:pPr>
        <w:pStyle w:val="a5"/>
        <w:rPr>
          <w:rtl/>
        </w:rPr>
      </w:pPr>
      <w:r>
        <w:rPr>
          <w:rStyle w:val="a7"/>
          <w:rtl/>
        </w:rPr>
        <w:footnoteRef/>
      </w:r>
      <w:r>
        <w:rPr>
          <w:rtl/>
        </w:rPr>
        <w:t xml:space="preserve"> </w:t>
      </w:r>
      <w:r>
        <w:rPr>
          <w:b/>
          <w:bCs/>
          <w:snapToGrid w:val="0"/>
          <w:sz w:val="24"/>
          <w:rtl/>
        </w:rPr>
        <w:t>ואינון כתרי גלימי כו'.</w:t>
      </w:r>
      <w:r>
        <w:rPr>
          <w:snapToGrid w:val="0"/>
          <w:sz w:val="24"/>
          <w:rtl/>
        </w:rPr>
        <w:t xml:space="preserve"> הוא דעת אחרת בגמ' (חגיגה טו ע"א), ודעתו דאימא עילאה אע"ג דעד הוד אתפשטת מכל מקום המלכות הוא בהוד ואין מלכות נוגעת בחברתה ועיקרה עד נצח אספקלריא דנהרא, והוד אספקלריא דלא נהרא מסטרא דמלכות כידוע, והן תרי גלימי כו' דהן נקראים מעלה ומטה:</w:t>
      </w:r>
    </w:p>
  </w:footnote>
  <w:footnote w:id="4364">
    <w:p w:rsidR="00A13282" w:rsidRDefault="00A13282" w:rsidP="00602EF1">
      <w:pPr>
        <w:pStyle w:val="a5"/>
        <w:rPr>
          <w:rtl/>
        </w:rPr>
      </w:pPr>
      <w:r>
        <w:rPr>
          <w:rStyle w:val="a7"/>
          <w:rtl/>
        </w:rPr>
        <w:footnoteRef/>
      </w:r>
      <w:r>
        <w:rPr>
          <w:rtl/>
        </w:rPr>
        <w:t xml:space="preserve"> </w:t>
      </w:r>
      <w:r>
        <w:rPr>
          <w:b/>
          <w:bCs/>
          <w:snapToGrid w:val="0"/>
          <w:rtl/>
        </w:rPr>
        <w:t>דאיהו מגדול עוז כו'.</w:t>
      </w:r>
      <w:r>
        <w:rPr>
          <w:snapToGrid w:val="0"/>
          <w:rtl/>
        </w:rPr>
        <w:t xml:space="preserve"> רוצה לומר, (חגיגה טו ע"ב) מגדל הפורח באויר, והוא למ"ד דצוארא דיליה פורח באויר, ואין באתוון דסליק למעלה רק הוא, ועיין בזהר חדש שה"ש נ"ב ג' למ"ד דא מגדל הפורח באויר כו' עיין שם, והוא ל' דחול (איוב כט יח) וכחול ארבה ימים, מגדל השן (שה"ש ז ה) דפרח באוירא, מג' אוירים (שו"ע חו"מ סימן מה סעיף ט): </w:t>
      </w:r>
    </w:p>
  </w:footnote>
  <w:footnote w:id="4365">
    <w:p w:rsidR="00A13282" w:rsidRDefault="00A13282" w:rsidP="005F01B5">
      <w:pPr>
        <w:pStyle w:val="a5"/>
        <w:rPr>
          <w:rtl/>
        </w:rPr>
      </w:pPr>
      <w:r>
        <w:rPr>
          <w:rStyle w:val="a7"/>
          <w:rtl/>
        </w:rPr>
        <w:footnoteRef/>
      </w:r>
      <w:r>
        <w:rPr>
          <w:rtl/>
        </w:rPr>
        <w:t xml:space="preserve"> </w:t>
      </w:r>
      <w:r>
        <w:rPr>
          <w:b/>
          <w:bCs/>
          <w:snapToGrid w:val="0"/>
          <w:rtl/>
        </w:rPr>
        <w:t xml:space="preserve">ועוד והמכתב מכתב אלקים תרין ידין כותבות מימינא ומשמאלא חרות על </w:t>
      </w:r>
      <w:r w:rsidR="005F01B5">
        <w:rPr>
          <w:rFonts w:hint="cs"/>
          <w:b/>
          <w:bCs/>
          <w:snapToGrid w:val="0"/>
          <w:rtl/>
        </w:rPr>
        <w:t>ה</w:t>
      </w:r>
      <w:r>
        <w:rPr>
          <w:b/>
          <w:bCs/>
          <w:snapToGrid w:val="0"/>
          <w:rtl/>
        </w:rPr>
        <w:t>לוחות עד"א כמה כו'.</w:t>
      </w:r>
      <w:r>
        <w:rPr>
          <w:snapToGrid w:val="0"/>
          <w:rtl/>
        </w:rPr>
        <w:t xml:space="preserve"> חדש כאן חרות על כו', שאלו השלשה הן בחג"ת, יד ימין חתימה ושמאל כתיבה ועמודא דאמצעיתא חרות שהוא חקיקה יותר מהן כי בימין ושמאל הן בשניהם כתיבה שהוא זכוון דישראל כמו שמפרש והולך כמה מלאכיא כו' וכמה כו' והוא מצוות עשה ומצוות לא תעשה שהן בשניהם ובשניהם מעשה בחיצונות האברים מה שאין כן בעמודא דאמצעיתא דהוא אורייתא חקוק על לוח הלב וזה שאומר חרות על הלוחות ועמודא דאמצעיתא כולל שניהם, חו"ג, והן שני בתי לבא שהן שני לוחות כמו שאומר בריש תיקון כ"ב ס"ב א' ב' ותרין בתין אית בלבא כו' ואינון ה' עילאה ה' תתאה כו', ואמר שם ב' (אינון תרווייהו בלבא ופומא אינון) תרין ההין ודאי אינון ב' דבורין כו' דאיהו ה"ה דכלילין בעשר דברן, ה' בלוחא חדא כו' בלוחא תניינא כו', ואמר שם ו' קלא דנפיק מינייהו ועליה אתמר קול דברים, והוא שכולל ב' ההין דימינא ושמאלא, ולב הוא בגופא גם כן שהוא עמודא דאמצעיתא, קרקע, ערבות:</w:t>
      </w:r>
    </w:p>
  </w:footnote>
  <w:footnote w:id="4366">
    <w:p w:rsidR="00A13282" w:rsidRDefault="00A13282" w:rsidP="00602EF1">
      <w:pPr>
        <w:pStyle w:val="a5"/>
        <w:rPr>
          <w:rtl/>
        </w:rPr>
      </w:pPr>
      <w:r>
        <w:rPr>
          <w:rStyle w:val="a7"/>
          <w:rtl/>
        </w:rPr>
        <w:footnoteRef/>
      </w:r>
      <w:r>
        <w:rPr>
          <w:rtl/>
        </w:rPr>
        <w:t xml:space="preserve"> </w:t>
      </w:r>
      <w:r>
        <w:rPr>
          <w:b/>
          <w:bCs/>
          <w:snapToGrid w:val="0"/>
          <w:rtl/>
        </w:rPr>
        <w:t>כמה כו' וכמה כו' וכמה כו'.</w:t>
      </w:r>
      <w:r>
        <w:rPr>
          <w:snapToGrid w:val="0"/>
          <w:rtl/>
        </w:rPr>
        <w:t xml:space="preserve"> רוצה לומר כמו שמפרש והולך הה"ד איה סופר ואיה שוקל, דסופר - ב' ידין, ושוקל - בעמודא דאמצעיתא, קל וחומר דאורייתא, והוא כולל ב' ידין כנ"ל וזהו קל וחומר כמו שאומר בתיקוני זהר חדש ע"ה ד' חומרא איהו מימינא קולא משמאלא ודא איהו ק"ו כו' עיין שם בדבריו:</w:t>
      </w:r>
    </w:p>
  </w:footnote>
  <w:footnote w:id="4367">
    <w:p w:rsidR="00A13282" w:rsidRDefault="00A13282" w:rsidP="00602EF1">
      <w:pPr>
        <w:pStyle w:val="a5"/>
        <w:rPr>
          <w:rtl/>
        </w:rPr>
      </w:pPr>
      <w:r>
        <w:rPr>
          <w:rStyle w:val="a7"/>
          <w:rtl/>
        </w:rPr>
        <w:footnoteRef/>
      </w:r>
      <w:r>
        <w:rPr>
          <w:rtl/>
        </w:rPr>
        <w:t xml:space="preserve"> </w:t>
      </w:r>
      <w:r>
        <w:rPr>
          <w:b/>
          <w:bCs/>
          <w:snapToGrid w:val="0"/>
          <w:sz w:val="24"/>
          <w:rtl/>
        </w:rPr>
        <w:t>וכמה מלאכיא דחותמא כו'.</w:t>
      </w:r>
      <w:r>
        <w:rPr>
          <w:snapToGrid w:val="0"/>
          <w:sz w:val="24"/>
          <w:rtl/>
        </w:rPr>
        <w:t xml:space="preserve"> ונקיט מלאכים אלו שג' מלאכים חסדיאל גבריאל אוריאל שהן מסטרא </w:t>
      </w:r>
      <w:r>
        <w:rPr>
          <w:snapToGrid w:val="0"/>
          <w:rtl/>
        </w:rPr>
        <w:t>דחג"ת הן ג' מלאכים דמתיחדין בחתימה כמו שצריך ג' אצבעות לכתיבה כן לחתימה, והן מסטרא דימינא כמו שמפרש והולך דאוריאל מסטרא דעמודא דאמצעיתא דכולל כל חג"ת כנ"ל הוא רמ"ח דזכרי שהוא בימינא כמו שאומר לעיל סוף תיקון נ”ד פקודין דעשה מימינא כו' וכנ"ל, וג' מלאכים אחרים דשמ"י דהן לשמאלא הן לכתיבה והכל מסטרא דאימא, מכתב אלקים, בתרין ידין כו', וזה שאומר בכל סטרא אלי כו':</w:t>
      </w:r>
    </w:p>
  </w:footnote>
  <w:footnote w:id="4368">
    <w:p w:rsidR="00A13282" w:rsidRDefault="00A13282" w:rsidP="00602EF1">
      <w:pPr>
        <w:pStyle w:val="a5"/>
        <w:rPr>
          <w:rtl/>
        </w:rPr>
      </w:pPr>
      <w:r>
        <w:rPr>
          <w:rStyle w:val="a7"/>
          <w:rtl/>
        </w:rPr>
        <w:footnoteRef/>
      </w:r>
      <w:r>
        <w:rPr>
          <w:rtl/>
        </w:rPr>
        <w:t xml:space="preserve"> </w:t>
      </w:r>
      <w:r>
        <w:rPr>
          <w:b/>
          <w:bCs/>
          <w:snapToGrid w:val="0"/>
          <w:rtl/>
        </w:rPr>
        <w:t>וכד כו' המלך דאיהו יו"ד אין כו'.</w:t>
      </w:r>
      <w:r>
        <w:rPr>
          <w:snapToGrid w:val="0"/>
          <w:rtl/>
        </w:rPr>
        <w:t xml:space="preserve"> מפרש דכליל יהו"ה, דטבעת המלך הוא יו"ד דהוא צורת יוד והוא אות ברית, והחותם שבה הוא ו' כמו שמפרש והולך חותם איהו ו' ומביא ראיה שנאמר חותם אמת וכמו שכתוב תתן אמת ליעקב, והיד שחותם הוא ה', והן יה"ו, וה' תתאה כותב וכידוע דבדכורא - יה"ו, ובנוק' - ה', משלמת הוי"ה, וכמו שמפרש והולך יד כותב ויד חותם כו' דאינון ה' אצבעאן כו':</w:t>
      </w:r>
    </w:p>
  </w:footnote>
  <w:footnote w:id="4369">
    <w:p w:rsidR="00A13282" w:rsidRDefault="00A13282" w:rsidP="00602EF1">
      <w:pPr>
        <w:pStyle w:val="a5"/>
        <w:rPr>
          <w:rtl/>
        </w:rPr>
      </w:pPr>
      <w:r>
        <w:rPr>
          <w:rStyle w:val="a7"/>
          <w:rtl/>
        </w:rPr>
        <w:footnoteRef/>
      </w:r>
      <w:r>
        <w:rPr>
          <w:rtl/>
        </w:rPr>
        <w:t xml:space="preserve"> </w:t>
      </w:r>
      <w:r>
        <w:rPr>
          <w:b/>
          <w:bCs/>
          <w:snapToGrid w:val="0"/>
          <w:rtl/>
        </w:rPr>
        <w:t>ה' תתאה כותב באת ו' כו'.</w:t>
      </w:r>
      <w:r>
        <w:rPr>
          <w:snapToGrid w:val="0"/>
          <w:rtl/>
        </w:rPr>
        <w:t xml:space="preserve"> חוזר לפרש הוי"ה בענין אחר, דכתיבה כוללת ו"ה, דקולמוס עם ה' אצבעאן דאחזין ביה בכתיבה הם ו"ה, וטבעת דהוא יו"ד עם היד דאחזין ביה הם י"ה והן כנ"ל דחתימה באימא עילאה דכוללת חכמה, י"ה, וכתיבה בה' תתאה כוללת עמודא דאמצעיתא ו"ה, וכן ימינא ושמאלא דאימא עילאה - בימינא, ואימא תתאה - בשמאלא, ולכן כל העשר ספירות נכללין בימינא ושמאלא בעשר אצבעאן וכמו שאומר בספר יצירה עשר ספירות בלי מה נגד עשר אצבעות חמש נגד חמש כו', וכן הן רמיזין ביד עצמה, ה' אצבעאן עם כף היד </w:t>
      </w:r>
      <w:r>
        <w:rPr>
          <w:rtl/>
        </w:rPr>
        <w:t>שהוא צורת יו"ד - י"ה, וחמש אצבעאן עם קנה הזרוע שהוא צורת ו' ו"ה, וזה שאומר דאיהו קולמוס, קנה דדרועא כו', דאיהו כף היד כו', ואע"ג דביד אחת אינה אלא ה' אצבעות כבר כתבתי שחמש דשמאלא נכללין בחמש דימינא כמו שאומר באידרא רבא ובפ' יתרו ולכן אמר החתימה בה' דימינא וכתיבה בה' דשמאלא אע"ג דבאדם הכל הוא בימין, וענין הכלילות, שכל ענינים המוזכרים בזוהר ובתיקונים הכל על כחות שבפנים, והנה כח דיד שמאלא לקח הימין ונכלל בו, ולכן שמאל יד כהה וכמו שאומר בפ' בראשית י"ז א' ובגין דההוא חושך תיאובתיה לאתכללא בימינא חלש תוקפיה כו' עיין שם בדבריו, וכתיבה צריך לכח יותר וצריך לכח של שמאל הנכלל בו מה שאין כן בחתימה, וכל הענין של שמאל הוא הכל באתכללותיה בימין כידוע, ובראש השנה הוא הכתיבה יד שמאל יד כהה ותכהין עיניו כו' כמו שאומר ברעיא מהימנא פ' אמור וכן בסיהרא בכסה ליום חגנו יצחק ורבקה כידוע וכמו שאומר בפ' פקודי ופ' אמור שם, וביום הכפורים החתימה באימא עילאה ולכן לית ליה רשו לשטן לאסטוני וביד ימין בוותרנותא כידוע:</w:t>
      </w:r>
    </w:p>
  </w:footnote>
  <w:footnote w:id="4370">
    <w:p w:rsidR="00A13282" w:rsidRDefault="00A13282" w:rsidP="00602EF1">
      <w:pPr>
        <w:pStyle w:val="a5"/>
        <w:rPr>
          <w:rtl/>
        </w:rPr>
      </w:pPr>
      <w:r>
        <w:rPr>
          <w:rStyle w:val="a7"/>
          <w:rtl/>
        </w:rPr>
        <w:footnoteRef/>
      </w:r>
      <w:r>
        <w:rPr>
          <w:rtl/>
        </w:rPr>
        <w:t xml:space="preserve"> </w:t>
      </w:r>
      <w:r>
        <w:rPr>
          <w:b/>
          <w:bCs/>
          <w:rtl/>
        </w:rPr>
        <w:t>ונקודה דשם הכותב והמכתב מכתב כו' יעף דבר ודא יהו"ה שם הדורש איהו צדיק כו' ודא ז' י"ו זעירא  כו' יעופף על הארץ ידיעת קב"ה כו'.</w:t>
      </w:r>
      <w:r>
        <w:rPr>
          <w:rtl/>
        </w:rPr>
        <w:t xml:space="preserve"> אמר ונקודה דשם הכותב, רוצה לומר, שמושי השמות שהן שמות הכותב והדורש והידיעה כמו שאומר בברית מנוחה ושארי ספרים, וכל שם צריך למקור והוא שם הויה ולכן כתב שהכתיבה והחתימה יש להן הוי"ה שלימה כמו שאומר לעיל בב' אופנים והן רמיזין בפסוק זה והמכתב מכתב כו' שהן כתיבה וחתימה ולכן אמר שניקודו הוא גם כן בראשי תיבות של פסוק זה כי השמות שמקורן ההוי"ה - כל הוי"ה יש לו ניקוד אחר ולכן נשתנו השמות גם כן, וניקודו כאן הוא שו"א חירק חטף-סגול שורק בד' אתוון, ושם הדורש שו"א חטף-סגול קמץ חירק ומפרש והולך האיך בשם הדורש יש הוי"ה ואמר דשם הדורש הוא צדיק, יום השביעי, ז', וז' הוא י"ו, ברית ועטרה, וזהו לשון למודים, דלשון הוא ברית דהן מכוונים ברית הלשון והמעור, והוא הדורש בלשון ויעף דבר, הן ב' ההי"ן כמו שמפרש והולך דבהון ועוף כו', דהן ימינא  ושמאלא כמו שאומר בפ' בראשית שהן מיכאל וגבריאל כמו שאמרו (ברכות ד ע"ב) מיכאל באחת וגבריאל כשתים יעופף מועף ביעף, והן ב' שפתים שהן מעופפים בדיבור, והן הלמודים, נו"ה, ב' ההין דבימינא ושמאלא כנ"ל, ושם הידיעה הוא חירק פתח פתח שו"א וכמו שמפרש והולך כל אלין נקודין כו':</w:t>
      </w:r>
    </w:p>
  </w:footnote>
  <w:footnote w:id="4371">
    <w:p w:rsidR="00A13282" w:rsidRDefault="00A13282" w:rsidP="00602EF1">
      <w:pPr>
        <w:pStyle w:val="a5"/>
        <w:rPr>
          <w:rtl/>
        </w:rPr>
      </w:pPr>
      <w:r>
        <w:rPr>
          <w:rStyle w:val="a7"/>
          <w:rtl/>
        </w:rPr>
        <w:footnoteRef/>
      </w:r>
      <w:r>
        <w:rPr>
          <w:rtl/>
        </w:rPr>
        <w:t xml:space="preserve"> </w:t>
      </w:r>
      <w:r>
        <w:rPr>
          <w:b/>
          <w:bCs/>
          <w:rtl/>
        </w:rPr>
        <w:t>דרכיב עלי'.</w:t>
      </w:r>
      <w:r>
        <w:rPr>
          <w:rtl/>
        </w:rPr>
        <w:t xml:space="preserve"> רוצה לומר הוי"ה על השם, ועיין בספר ברית מנוחה באורך, והויה הוא בעמודא דאמצעיתא, והשם הוא בנוק', וזה שאומר כגון דכורא כו', וכן הוא במלאכים דהוי"ה הוא במט"ט דשמו כשם רבו והשמות במלאכים דתחות ידיה ואינון דשכינתיה כמו שמפרש והולך וכגוונא דא כו', ואין רשות להשתמש בשמות כי אם בכוונת ההוי"ה מקורו, שהוא ח"ו קצוץ חטא אדם הראשון וזה שאומר לית ליה רשו לעאלא כו' ואמר ורזא כו', דתרומה הוא שכינתא, ועיין בזהר פרשת תרומה קכ"ז א' ר"י פתח כו' לי תרומה תרין דרגין דאינון חד מתחברין כחדא:</w:t>
      </w:r>
    </w:p>
    <w:p w:rsidR="00A13282" w:rsidRDefault="00A13282" w:rsidP="00602EF1">
      <w:pPr>
        <w:pStyle w:val="a5"/>
        <w:rPr>
          <w:rtl/>
        </w:rPr>
      </w:pPr>
    </w:p>
  </w:footnote>
  <w:footnote w:id="4372">
    <w:p w:rsidR="00A13282" w:rsidRDefault="00A13282" w:rsidP="00602EF1">
      <w:pPr>
        <w:pStyle w:val="a5"/>
        <w:rPr>
          <w:rtl/>
        </w:rPr>
      </w:pPr>
      <w:r>
        <w:rPr>
          <w:rStyle w:val="a7"/>
          <w:rtl/>
        </w:rPr>
        <w:footnoteRef/>
      </w:r>
      <w:r>
        <w:rPr>
          <w:rtl/>
        </w:rPr>
        <w:t xml:space="preserve"> </w:t>
      </w:r>
      <w:r>
        <w:rPr>
          <w:b/>
          <w:bCs/>
          <w:snapToGrid w:val="0"/>
          <w:sz w:val="24"/>
          <w:rtl/>
        </w:rPr>
        <w:t>תיקון נ"ו בראשית ברא אלקים הא אוקמוה תמן דחילו.</w:t>
      </w:r>
      <w:r>
        <w:rPr>
          <w:snapToGrid w:val="0"/>
          <w:sz w:val="24"/>
          <w:rtl/>
        </w:rPr>
        <w:t xml:space="preserve"> רוצה לומר, שם אלקים הוא דחילו, דביה תליא יראה, כמו שכתוב (בראשית מב יח) את האלקים אני ירא, (איוב א א) ירא אלקים וסר מרע, (בראשית כב יב) כי ירא אלקים אתה, וכהנה רבות, ואמר הא אוקמוה והוא למעלה בתיקון ל’ ע"ו א' בראשית מאן כו' ודא יראה כו' אלקים דא נתיב קדמאה כו', ועיין בזהר פ' ויקהל רי"ו א' פתח ואמר כו' וכתיב ויראת מאלקיך כו' עיין שם, ועיין לעיל ריש תיקון ל”ג תיקונא קדמאה כו' ואמר שם הכי איהי נטלת מתרווייהו מסטרא דשמאלא אתקריאת יראה פחד יצחק ומסטרא דימינא אהבה אתקרי כו', והוא שם אלקים כידוע וכמו שאמרו בפ' ויקרא י"א א' רביעאה כו', ושם ב' חמישאה כו', ורוצה לומר בכאן לרמז על פסוק ויצו ה' אלקים כמו שמפרש והולך, והוא מצות לא תעשה שנצטוה אדם הראשון והוא מסטרא דיראה כמו שאומר לעיל סוף תיקון ל”ו וסוף תיקון מ”א וכמה דאברהם כו' הכי נמי מיצחק כו', ואמר שהענין שהיראה הוא בזה השם מצד שבו אות ה"א, וה"א הוא לשמאלא אות שני של שם הוי"ה שהוא יראה כי הראשון הוא אהבה ואע"ג דיו"ד שהוא אהבה גם כן יש בו מכל מקום הה"א קדם לו מה שאין כן בשם הויה שהיו"ד קדם לה"א לכן הוא רחמים וזה שאומר </w:t>
      </w:r>
      <w:r>
        <w:rPr>
          <w:b/>
          <w:bCs/>
          <w:snapToGrid w:val="0"/>
          <w:sz w:val="24"/>
          <w:rtl/>
        </w:rPr>
        <w:t>מסט' דאת ה' כו' דאע"ג כו' באתר כו'.</w:t>
      </w:r>
      <w:r>
        <w:rPr>
          <w:snapToGrid w:val="0"/>
          <w:sz w:val="24"/>
          <w:rtl/>
        </w:rPr>
        <w:t xml:space="preserve"> ואע"ג דברעיא מהימנא פ' נשא קכ"ב ב', יו"ד - יראה כו' דלא יעבור על פקודין דלא תעשה, ה' - אהבה כו', וכן אמר בכמה מקומות, שם הוא בנוק' דדוד שני מדות דיליה ואמר כהניך ירננו כו' וכמו שאומר בפ' פנחס עיין שם. ואמר </w:t>
      </w:r>
      <w:r>
        <w:rPr>
          <w:b/>
          <w:bCs/>
          <w:snapToGrid w:val="0"/>
          <w:sz w:val="24"/>
          <w:rtl/>
        </w:rPr>
        <w:t>כג"ד ק"י ורזא דא אתגליא ביו"ד ק"י וא"ו ק"י.</w:t>
      </w:r>
      <w:r>
        <w:rPr>
          <w:snapToGrid w:val="0"/>
          <w:sz w:val="24"/>
          <w:rtl/>
        </w:rPr>
        <w:t xml:space="preserve"> רוצה לומר באות ה"י מלא ביו"ד, שהוא נקבה אע"ג דיו"ד ביה, כיון דה"א אקדימת - היא נקבה, ואמר ורזא כו' רוצה לומר בשם הזה שההי"ן מלאים ביודי"ן ושניהם הן נקבות, ואמר דלא תקשי האיך בא היו"ד בתוכו הזכר ואמר שבין בזכר בין בנקבה הוא כלול מזו"נ, טפת מ"ד ומ"נ של אביו ואמו אלא לפי התגברות והקדמה, וזה שאומר </w:t>
      </w:r>
      <w:r>
        <w:rPr>
          <w:b/>
          <w:bCs/>
          <w:snapToGrid w:val="0"/>
          <w:sz w:val="24"/>
          <w:rtl/>
        </w:rPr>
        <w:t>דלית בריה בלא דכר ונוק'</w:t>
      </w:r>
      <w:r>
        <w:rPr>
          <w:snapToGrid w:val="0"/>
          <w:sz w:val="24"/>
          <w:rtl/>
        </w:rPr>
        <w:t xml:space="preserve"> רוצה לומר דכל בריה הוא כלול בתוכו דכר ונוק' וכמו שמפרש והולך </w:t>
      </w:r>
      <w:r>
        <w:rPr>
          <w:b/>
          <w:bCs/>
          <w:snapToGrid w:val="0"/>
          <w:sz w:val="24"/>
          <w:rtl/>
        </w:rPr>
        <w:t>דתרין שותפין אינון בברא וברתא</w:t>
      </w:r>
      <w:r>
        <w:rPr>
          <w:snapToGrid w:val="0"/>
          <w:sz w:val="24"/>
          <w:rtl/>
        </w:rPr>
        <w:t xml:space="preserve"> רוצה לומר בין בזכר בין בנקבה אלא </w:t>
      </w:r>
      <w:r>
        <w:rPr>
          <w:b/>
          <w:bCs/>
          <w:snapToGrid w:val="0"/>
          <w:sz w:val="24"/>
          <w:rtl/>
        </w:rPr>
        <w:t>כד שליט כו'</w:t>
      </w:r>
      <w:r>
        <w:rPr>
          <w:snapToGrid w:val="0"/>
          <w:sz w:val="24"/>
          <w:rtl/>
        </w:rPr>
        <w:t xml:space="preserve"> </w:t>
      </w:r>
      <w:r>
        <w:rPr>
          <w:b/>
          <w:bCs/>
          <w:snapToGrid w:val="0"/>
          <w:sz w:val="24"/>
          <w:rtl/>
        </w:rPr>
        <w:t>והא אוקמוה ברזא דאשה כו'</w:t>
      </w:r>
      <w:r>
        <w:rPr>
          <w:snapToGrid w:val="0"/>
          <w:sz w:val="24"/>
          <w:rtl/>
        </w:rPr>
        <w:t xml:space="preserve"> וכמו שאומר לעיל צ' א' והכי צריך לאתערא כו' כד אקדימת ברתא שליט דכורא ואתעביד כו':</w:t>
      </w:r>
    </w:p>
  </w:footnote>
  <w:footnote w:id="4373">
    <w:p w:rsidR="00A13282" w:rsidRDefault="00A13282" w:rsidP="00602EF1">
      <w:pPr>
        <w:pStyle w:val="a5"/>
        <w:rPr>
          <w:rtl/>
        </w:rPr>
      </w:pPr>
      <w:r>
        <w:rPr>
          <w:rStyle w:val="a7"/>
          <w:rtl/>
        </w:rPr>
        <w:footnoteRef/>
      </w:r>
      <w:r>
        <w:rPr>
          <w:rtl/>
        </w:rPr>
        <w:t xml:space="preserve"> </w:t>
      </w:r>
      <w:r>
        <w:rPr>
          <w:b/>
          <w:bCs/>
          <w:snapToGrid w:val="0"/>
          <w:sz w:val="24"/>
          <w:rtl/>
        </w:rPr>
        <w:t>ורזא עלאה הכא לזמנין כו'.</w:t>
      </w:r>
      <w:r>
        <w:rPr>
          <w:snapToGrid w:val="0"/>
          <w:sz w:val="24"/>
          <w:rtl/>
        </w:rPr>
        <w:t xml:space="preserve"> והוא אחד דדכורא ואחד דנוק' - הוא ב' טיפין, ולכן אין פחות משנים, ושלש הוא כאשר אחד מהן נותן ב' טיפין או הדכורא או הנוק', וארבעה כאשר שניהם נותנין ב' טיפין, וכן הוא בכולם עד שבע שהוא הזכר נותן ד' טיפין והנקבה שלשה, שיותר אין בעולם הזה. וענין הטיפין הוא הנר"ן שאביו ואמו נותנים לו בזיווג, ופעמים שאין נותנים לו רק הנפש ופעמים גם רוח ולפעמים גם נשמה אבל החיה אין האשה נותנת לו כלל רק אביו לבד יכול ליתן, ולא זכה אליה רק משה רבינו לבדו שיהיה בו ז' טיפין החיה, והוא דרגא דשם הוי"ה שזכה אליה משה, והוא סוד אש"ה רי"ח ניחו"ח לה' - בלבא וריאה ומוחא, וההוא דטמיר מכלא, החיה ששמה אדם - על קרומא דאוירא, על אבן ספיר דמות כסא, מ"ה דמשה, אדם, ועיין לעיל סוף תיקון כ”א ס"א א' ומה שכתבתי שם בארוכה הרבה, וכלל הנפשות של האדם הן שתים, נפש - מסטרא דאימא, ורוח - מסטרא דאבא, אלא דאימא כליל שלה ושל אביו ארבעה כנ"ל, ואלו היה לו ד' משל אימא היה האדם חי לעולם מצד החיה דנפשא הוא שתופא דגופא, ומצדה כל עניני הגוף אבל עניני הרוח הוא בעולם הבא, ולא בא אלא לתקן הנפש וכמו שאמרו בסוד אדם ובהמה דהן מ"ה וב"ן, רוחא ונפשא לתקנה, ואלו זכה אדם ואכל מעץ החיים וחי לעולם שעץ החיים הוא מסטרא דחיה, והוא החיים - ב' חיה, דרוחא ונפשא, והוא באכילתו שהוא מעשה הגוף ונפש - היה זוכה אל החיה דילה, ומשה רבינו עליו השלום נתחנן הראני נא את כבודך - כבוד ידוע, ולא ניתן לו, ואמר השם יתברך כי לא יראני האדם וח"י - וחי דייקא, כי הגוף והנפש אי אפשר לבוא אליה בעולם הזה ועיין בזהר חדש ה' ב' וע"ד לא קאים משה עלייהו בגין דהוה מקדמת דרגא דיליה כו', וזה שאומר שמשה זכה לבינה לבד אבל בת מלך פנימה לא זכה אליה עדיין עד לעתיד לבוא כמו שאומר לעיל נ"ג ב' בארוכה עיין שם היטב, ובסלע רצה השם יתברך לזכותו וגרע בגין הערב רב, והיא סתימא בסלע, לית שמגיע אליה, ועיין לעיל נ"ד ב' קרקפתא איהי סלע, ומבועא מלגאו דא מוחא ועיין שם, וזה שאמרו (ערכין יג ע"ב) כנור של העולם הזה הוא של שבע נימין תודיעני אורח חיים שבע שמחות אל תקרי שבע אלא שֶבע ולעתיד לבוא יהיה שמונה שאז אין חוזרין לעפרן כל הכתוב לחיים בירושלים אבל היחידה לא יזכו אלא לעולם הבא בנבל עשור זמרו לו ונקראת יחידה לפי שאין בה דכר ונוק' אע"ג דהיא שורש שניהם ושניהם נכללים בה והיא הכתר ששניהם משתמשין בכתר אחד וכמו שאומר לעיל נ"ו ג' בא' דהוא כתרא עלאה כו' והוא בעת שתהיה אור הלבנה כאור החמה, שני המאורות הגדולים - כבראשונה, ואז ישתמשו בכתר אחד כבראשונה והוא בעת שיחוברו יחד ואז שורה הכתר עליהם שותף הג' ששורה בעת הזיווג דע"י לא נחית עליה כו' ולכן ב' נימין, הט' ויו"ד - יבואו יחד, ואלו הן הנשמות חדשות שיבואו לעתיד לבוא ולעולם הבא, ואלו הז' טיפין הן מה שכתוב (ישעיהו יא ב) ונחה עליו רוח ה' רוח חכמה ובינה כו', רוח ה' הוא החיה הנ"ל והוא רוח אחת של דכורא והוא ה' כנ"ל, ואח"כ ג' רוחין דכל אחד כליל מב' רוחין דזו"נ, והן ארבע רוחין, מארבע הרוחות בואי הרוח (יחזקאל לז ט), ועיין באידרא רבא ק"ל ב' תא חזי כתיב כה אמר ה' מארבע כו' דאינון ארבע דכלילין בשבעה דרגין כו' עיין שם, והן גם כן מד' סמכין, ד' רגלי המרכבה, מרכבה ראשונה ומרכבת המשנה ואדם שביעי להון, ועיין לעיל כ"א ב' ומה שכתבתי שם, והן ז' דרגין הנ"ל, ועיין מה שאמר לעיל ס' ד' בארוכה, ורוצה לומר בכל זה בכאן לפרש קרא ויצו ה' כו' דנצטוה בז' מצות, והוא לנטרא טיפין דיליה, ז' טיפין, וכמו שמפרש והולך ותלת טיפין כו' ויצו ה' כו', והוא ציווי של אכילת עץ הדעת, וידע את אשתו, ולא מפרש כאן אלא ג' טיפין בג' מצות וע"ל ס"ח א' ומה שכתבתי שם:</w:t>
      </w:r>
    </w:p>
  </w:footnote>
  <w:footnote w:id="4374">
    <w:p w:rsidR="00A13282" w:rsidRDefault="00A13282" w:rsidP="00602EF1">
      <w:pPr>
        <w:pStyle w:val="a5"/>
        <w:rPr>
          <w:rtl/>
        </w:rPr>
      </w:pPr>
      <w:r>
        <w:rPr>
          <w:rStyle w:val="a7"/>
          <w:rtl/>
        </w:rPr>
        <w:footnoteRef/>
      </w:r>
      <w:r>
        <w:rPr>
          <w:rtl/>
        </w:rPr>
        <w:t xml:space="preserve"> </w:t>
      </w:r>
      <w:r>
        <w:rPr>
          <w:b/>
          <w:bCs/>
          <w:snapToGrid w:val="0"/>
          <w:sz w:val="24"/>
          <w:rtl/>
        </w:rPr>
        <w:t>ודא רזא דסליקו כו'.</w:t>
      </w:r>
      <w:r>
        <w:rPr>
          <w:snapToGrid w:val="0"/>
          <w:sz w:val="24"/>
          <w:rtl/>
        </w:rPr>
        <w:t xml:space="preserve"> כי אדם וחוה הן חו"ב, כי בה לא נתגלה אלא בינה כנ"ל והוא לחכמה כידוע, אדם קדמאה, והורישו לקין והבל חמשה מדרגות הנשארים והן תאומתן ותאומה יתירה של הבל, וקין מסטרא דנפשא שלהם והבל מסטרא דרוחא, ותאומה יתירה שעל דא קנא לו קין אבל בדמותם כצלמם לא הולידו אלא לשת:</w:t>
      </w:r>
    </w:p>
  </w:footnote>
  <w:footnote w:id="4375">
    <w:p w:rsidR="00A13282" w:rsidRDefault="00A13282" w:rsidP="00602EF1">
      <w:pPr>
        <w:pStyle w:val="a5"/>
        <w:rPr>
          <w:rtl/>
        </w:rPr>
      </w:pPr>
      <w:r>
        <w:rPr>
          <w:rStyle w:val="a7"/>
          <w:rtl/>
        </w:rPr>
        <w:footnoteRef/>
      </w:r>
      <w:r>
        <w:rPr>
          <w:rtl/>
        </w:rPr>
        <w:t xml:space="preserve"> </w:t>
      </w:r>
      <w:r>
        <w:rPr>
          <w:b/>
          <w:bCs/>
          <w:snapToGrid w:val="0"/>
          <w:sz w:val="24"/>
          <w:rtl/>
        </w:rPr>
        <w:t>לזמנין צירי ולזמנין שבא.</w:t>
      </w:r>
      <w:r>
        <w:rPr>
          <w:snapToGrid w:val="0"/>
          <w:sz w:val="24"/>
          <w:rtl/>
        </w:rPr>
        <w:t xml:space="preserve"> הוא בסוד (בראשית א טז) שני המאורות הגדולים את המאור הגדול ואת המאור כו', והוא כאשר הוא בנצח ואיהי בהוד אז הן שבא וכאשר הן בחו"ג אז הן צירי, ב' המאורות כו', וכמו שאומר לעיל ל"ח ב' ונ"ג ד' ועיין מה שכתבתי שם, וכן הוא בסגול ושורק וכמו שאומר שם ושם:</w:t>
      </w:r>
    </w:p>
  </w:footnote>
  <w:footnote w:id="4376">
    <w:p w:rsidR="00A13282" w:rsidRDefault="00A13282" w:rsidP="00602EF1">
      <w:pPr>
        <w:pStyle w:val="a5"/>
        <w:rPr>
          <w:rtl/>
        </w:rPr>
      </w:pPr>
      <w:r>
        <w:rPr>
          <w:rStyle w:val="a7"/>
          <w:rtl/>
        </w:rPr>
        <w:footnoteRef/>
      </w:r>
      <w:r>
        <w:rPr>
          <w:rtl/>
        </w:rPr>
        <w:t xml:space="preserve"> </w:t>
      </w:r>
      <w:r>
        <w:rPr>
          <w:b/>
          <w:bCs/>
          <w:snapToGrid w:val="0"/>
          <w:sz w:val="24"/>
          <w:rtl/>
        </w:rPr>
        <w:t>כג"ד ז' מן זרע.</w:t>
      </w:r>
      <w:r>
        <w:rPr>
          <w:snapToGrid w:val="0"/>
          <w:sz w:val="24"/>
          <w:rtl/>
        </w:rPr>
        <w:t xml:space="preserve"> ז' הוא יו"ד, שביעית, על ו', ג' דכלילין בג' כנ"ל ועיין מה שאמר לעיל מ"ו א' ב' בענין הזרע שאמר שם כזרע ג"ד דהוא ג"ד חושבן שבעה ועיין שם, והז' הוא טוב שהוא יום השביעי, לצדיק כי טוב (ישעיהו ג י), (שמות טז לא) כזרע ג"ד, אלא שרע סמוך לו וכמו בחט"ה ולכן צוה השם יתברך (בראשית ב יז) ומעץ הדעת טוב ורע כו', וזה שאומר </w:t>
      </w:r>
      <w:r>
        <w:rPr>
          <w:b/>
          <w:bCs/>
          <w:snapToGrid w:val="0"/>
          <w:sz w:val="24"/>
          <w:rtl/>
        </w:rPr>
        <w:t>ותלת טיפין צריכין נטירו כו'.</w:t>
      </w:r>
      <w:r>
        <w:rPr>
          <w:snapToGrid w:val="0"/>
          <w:sz w:val="24"/>
          <w:rtl/>
        </w:rPr>
        <w:t xml:space="preserve"> שהן רע כמו שאומר למטה ובגין דא ערות כו' ער רע כו', ואלו ג' טיפין הן דלבא וריאה ומוחא, דקטרוגא דלהון, מרה כו' כמו שאומר לעיל ס' ד' ושאר מקומות, וזה שאומר צריכין כו' וכמו שמפרש והולך בקרא ויצו כו':</w:t>
      </w:r>
    </w:p>
  </w:footnote>
  <w:footnote w:id="4377">
    <w:p w:rsidR="00A13282" w:rsidRDefault="00A13282" w:rsidP="00602EF1">
      <w:pPr>
        <w:pStyle w:val="a5"/>
        <w:rPr>
          <w:rtl/>
        </w:rPr>
      </w:pPr>
      <w:r>
        <w:rPr>
          <w:rStyle w:val="a7"/>
          <w:rtl/>
        </w:rPr>
        <w:footnoteRef/>
      </w:r>
      <w:r>
        <w:rPr>
          <w:rtl/>
        </w:rPr>
        <w:t xml:space="preserve"> </w:t>
      </w:r>
      <w:r>
        <w:rPr>
          <w:b/>
          <w:bCs/>
          <w:snapToGrid w:val="0"/>
          <w:sz w:val="24"/>
          <w:rtl/>
        </w:rPr>
        <w:t>וכד זריק ב"נ כו'.</w:t>
      </w:r>
      <w:r>
        <w:rPr>
          <w:snapToGrid w:val="0"/>
          <w:sz w:val="24"/>
          <w:rtl/>
        </w:rPr>
        <w:t xml:space="preserve"> דכל הג' טיפין צריכין נטירו כל אחד מכל ג' הנ"ל :</w:t>
      </w:r>
    </w:p>
  </w:footnote>
  <w:footnote w:id="4378">
    <w:p w:rsidR="00A13282" w:rsidRDefault="00A13282" w:rsidP="00602EF1">
      <w:pPr>
        <w:pStyle w:val="a5"/>
        <w:rPr>
          <w:rtl/>
        </w:rPr>
      </w:pPr>
      <w:r>
        <w:rPr>
          <w:rStyle w:val="a7"/>
          <w:rtl/>
        </w:rPr>
        <w:footnoteRef/>
      </w:r>
      <w:r>
        <w:rPr>
          <w:rtl/>
        </w:rPr>
        <w:t xml:space="preserve"> </w:t>
      </w:r>
      <w:r>
        <w:rPr>
          <w:b/>
          <w:bCs/>
          <w:snapToGrid w:val="0"/>
          <w:sz w:val="24"/>
          <w:rtl/>
        </w:rPr>
        <w:t>אתקריאו סגולתא.</w:t>
      </w:r>
      <w:r>
        <w:rPr>
          <w:snapToGrid w:val="0"/>
          <w:sz w:val="24"/>
          <w:rtl/>
        </w:rPr>
        <w:t xml:space="preserve"> דסגולתא לשון רחימו, ואינון ג' טיפין הן סגולתא כמו שאומר להלן בכמה מקומות ובזהר חדש, ואמר </w:t>
      </w:r>
      <w:r>
        <w:rPr>
          <w:b/>
          <w:bCs/>
          <w:snapToGrid w:val="0"/>
          <w:sz w:val="24"/>
          <w:rtl/>
        </w:rPr>
        <w:t>ורזא דמלה כו'</w:t>
      </w:r>
      <w:r>
        <w:rPr>
          <w:snapToGrid w:val="0"/>
          <w:sz w:val="24"/>
          <w:rtl/>
        </w:rPr>
        <w:t xml:space="preserve"> רוצה לומר זרקא דזריק לאלו הטיפין ואמר </w:t>
      </w:r>
      <w:r>
        <w:rPr>
          <w:b/>
          <w:bCs/>
          <w:snapToGrid w:val="0"/>
          <w:sz w:val="24"/>
          <w:rtl/>
        </w:rPr>
        <w:t>שופר הולך</w:t>
      </w:r>
      <w:r>
        <w:rPr>
          <w:snapToGrid w:val="0"/>
          <w:sz w:val="24"/>
          <w:rtl/>
        </w:rPr>
        <w:t xml:space="preserve"> כמו שאומר בתיקוני זהר חדש ע"ו ב' בתלת נקודין דסגולתא דמנהון אתמשכו תלת טיפין דתלת מוחין עלאין דכד בר נש אתמשך זרע מיניה, אלין טיפין דאתמשכו מיניה אינון משופרי שופרי כו':</w:t>
      </w:r>
    </w:p>
  </w:footnote>
  <w:footnote w:id="4379">
    <w:p w:rsidR="00A13282" w:rsidRDefault="00A13282" w:rsidP="00602EF1">
      <w:pPr>
        <w:pStyle w:val="a5"/>
        <w:rPr>
          <w:rtl/>
        </w:rPr>
      </w:pPr>
      <w:r>
        <w:rPr>
          <w:rStyle w:val="a7"/>
          <w:rtl/>
        </w:rPr>
        <w:footnoteRef/>
      </w:r>
      <w:r>
        <w:rPr>
          <w:rtl/>
        </w:rPr>
        <w:t xml:space="preserve"> </w:t>
      </w:r>
      <w:r>
        <w:rPr>
          <w:b/>
          <w:bCs/>
          <w:snapToGrid w:val="0"/>
          <w:sz w:val="24"/>
          <w:rtl/>
        </w:rPr>
        <w:t>דא אתערותא כו' מליחה סומקא ואיהו סגול כו'.</w:t>
      </w:r>
      <w:r>
        <w:rPr>
          <w:snapToGrid w:val="0"/>
          <w:sz w:val="24"/>
          <w:rtl/>
        </w:rPr>
        <w:t xml:space="preserve"> רוצה לומר כי הכבד הוא דכורא, ומרה - נוק' דיליה כמו שאומר לעיל בתיקון כ’ בארוכה, ולכן אתערותא דדכורא הוא בכבד ואתערותא דנוק' הוא במרה, כעס דנוק', והוא אל אחר, לא יהיה בך אל זר, וכמו שאמרו (ילקוט שמעוני תהלים פרק פא) כל המשבר כו' שנאמר לא יהיה, והיא ס"ם דיליה כמו שאומר לעיל סם המות, (משלי ה ד) ואחריתה מרה כלענה חדה כו', והוא ש"ד ושניהן הן סמאל, וטחול נחש, דו"נ דביה, וכמו שאומר לעיל בתיקון כ’ בארוכה עיין שם היטב, וזה שאומר </w:t>
      </w:r>
      <w:r>
        <w:rPr>
          <w:b/>
          <w:bCs/>
          <w:snapToGrid w:val="0"/>
          <w:sz w:val="24"/>
          <w:rtl/>
        </w:rPr>
        <w:t>לאמר דא כו'.</w:t>
      </w:r>
      <w:r>
        <w:rPr>
          <w:snapToGrid w:val="0"/>
          <w:sz w:val="24"/>
          <w:rtl/>
        </w:rPr>
        <w:t xml:space="preserve"> וכמו שאמרו (סנהדרין נו ע"ב) דלאמר הוא אשה לאמר הן ישלח כו', דהוא נחש, נוק' דס"מ, אלא דביה גם כן דכורא ונוק' וזה שאומר </w:t>
      </w:r>
      <w:r>
        <w:rPr>
          <w:b/>
          <w:bCs/>
          <w:snapToGrid w:val="0"/>
          <w:sz w:val="24"/>
          <w:rtl/>
        </w:rPr>
        <w:t xml:space="preserve">ובג"ד ערות אביך וערות כו'. </w:t>
      </w:r>
      <w:r>
        <w:rPr>
          <w:snapToGrid w:val="0"/>
          <w:sz w:val="24"/>
          <w:rtl/>
        </w:rPr>
        <w:t xml:space="preserve">דהוא כולל שניהם, ואמר ערוה דכולא, אבל כבד ומרה הן דכורא, והוא דרגא דעמלק, רוצח, כמו שאומר לעיל בתיקון ל”ז עיין שם, וזה שאומר </w:t>
      </w:r>
      <w:r>
        <w:rPr>
          <w:b/>
          <w:bCs/>
          <w:snapToGrid w:val="0"/>
          <w:sz w:val="24"/>
          <w:rtl/>
        </w:rPr>
        <w:t>וכד זריקת ליה במרה דאיהי גיהנם קטילת ליה.</w:t>
      </w:r>
      <w:r>
        <w:rPr>
          <w:snapToGrid w:val="0"/>
          <w:sz w:val="24"/>
          <w:rtl/>
        </w:rPr>
        <w:t xml:space="preserve"> רוצה לומר לולד, דכעס באשה כי קריא כו' וה"מ באתתא וכן זנותא בביתא (סוטה ג ע"ב), ואלו הן ב' דרגין דמרה וטחול, דבאשה יותר קשין, ולכן אמר שהוא גיהנם בנוק', ואמר </w:t>
      </w:r>
      <w:r>
        <w:rPr>
          <w:b/>
          <w:bCs/>
          <w:snapToGrid w:val="0"/>
          <w:sz w:val="24"/>
          <w:rtl/>
        </w:rPr>
        <w:t>ואיהי סגול כו'</w:t>
      </w:r>
      <w:r>
        <w:rPr>
          <w:snapToGrid w:val="0"/>
          <w:sz w:val="24"/>
          <w:rtl/>
        </w:rPr>
        <w:t xml:space="preserve"> רוצה לומר דסגולתא הן ג' טיפין דדכורא ולכן השלישית למעלה שהוא דכורא אבל בנוק' הוא סגול וגם כן צריך ברחימו וזה שאומר ואיהי סגול דהא צריכה גם כן ג' טיפין ברחימו ולא במרה, וזה שאמרו (ברכות סא ע"ב) כבד כועס מרה זורקת כו', דכבד כועס - (ב"ב טז ע"א) עולה ומרגיז, ומרה כו' - (שם) יורד כו', ואז מניחתו, כמו שכתוב (יונה א יג-טו) כי הים הולך וסוער ויטילוהו אל הים וישתוק הים מזעפו, ועיין מה שכתבתי במקום אחר בארוכה, ואמרו דהאשה אינה נוחה לפתות כעסה דכיון שניתן רשות כו' (ב"ק ס ע"א), וכעס האשה נקרא גיהנם דאש דידה מקרבא וכמו שאמרו (סוטה ג ע"ב) ושל אשה קשה יותר משל איש, וזה שאמרו (סוטה יז ע"א) זכו כו', והן אש ואש דכבד ומרה, וזה שאמרו (יבמות סג ע"ב) כמה רעה אשה רעה שהגיהנם נמשלה בה, ואמר </w:t>
      </w:r>
      <w:r>
        <w:rPr>
          <w:b/>
          <w:bCs/>
          <w:snapToGrid w:val="0"/>
          <w:sz w:val="24"/>
          <w:rtl/>
        </w:rPr>
        <w:t>באתתיה בעציבו</w:t>
      </w:r>
      <w:r>
        <w:rPr>
          <w:snapToGrid w:val="0"/>
          <w:sz w:val="24"/>
          <w:rtl/>
        </w:rPr>
        <w:t xml:space="preserve"> דהוא מרה שחורה והוא בעציבו דשניהם עריתא דשניהם כנ"ל:</w:t>
      </w:r>
    </w:p>
  </w:footnote>
  <w:footnote w:id="4380">
    <w:p w:rsidR="00A13282" w:rsidRDefault="00A13282" w:rsidP="00602EF1">
      <w:pPr>
        <w:pStyle w:val="a5"/>
        <w:rPr>
          <w:rtl/>
        </w:rPr>
      </w:pPr>
      <w:r>
        <w:rPr>
          <w:rStyle w:val="a7"/>
          <w:rtl/>
        </w:rPr>
        <w:footnoteRef/>
      </w:r>
      <w:r>
        <w:rPr>
          <w:rtl/>
        </w:rPr>
        <w:t xml:space="preserve"> </w:t>
      </w:r>
      <w:r>
        <w:rPr>
          <w:b/>
          <w:bCs/>
          <w:snapToGrid w:val="0"/>
          <w:sz w:val="24"/>
          <w:rtl/>
        </w:rPr>
        <w:t>אר"א שעורא כו'.</w:t>
      </w:r>
      <w:r>
        <w:rPr>
          <w:snapToGrid w:val="0"/>
          <w:sz w:val="24"/>
          <w:rtl/>
        </w:rPr>
        <w:t xml:space="preserve"> רוצה לומר אם הם נוגעין בכולא, כל העשר ספירות, וכמו שמפרש והולך דאינן אלא בקצוות. ואליהו ז"ל מפרש דיחודא אינו אלא בצדיק, ועיין מה שאמר לעיל בתיקון ל”ד:</w:t>
      </w:r>
    </w:p>
  </w:footnote>
  <w:footnote w:id="4381">
    <w:p w:rsidR="00A13282" w:rsidRDefault="00A13282" w:rsidP="00602EF1">
      <w:pPr>
        <w:pStyle w:val="a5"/>
        <w:rPr>
          <w:rtl/>
        </w:rPr>
      </w:pPr>
      <w:r>
        <w:rPr>
          <w:rStyle w:val="a7"/>
          <w:rtl/>
        </w:rPr>
        <w:footnoteRef/>
      </w:r>
      <w:r>
        <w:rPr>
          <w:rtl/>
        </w:rPr>
        <w:t xml:space="preserve"> </w:t>
      </w:r>
      <w:r>
        <w:rPr>
          <w:b/>
          <w:bCs/>
          <w:snapToGrid w:val="0"/>
          <w:sz w:val="24"/>
          <w:rtl/>
        </w:rPr>
        <w:t>כפום ענפין כו'.</w:t>
      </w:r>
      <w:r>
        <w:rPr>
          <w:snapToGrid w:val="0"/>
          <w:sz w:val="24"/>
          <w:rtl/>
        </w:rPr>
        <w:t xml:space="preserve"> רוצה לומר דכל הוי"ה הוא בכל ספירה, ובכל ספירה משתנין השמות והעריות וכמו שאומר לעיל דבחסד נקרא אחותו (ויקרא כ יז) כי יקח כו' חסד הוא, וכן בכל ספירה הן משתנין לפי הבחינה ועיין לקמן סוף תיקון זה תא חזי שכינתא תתאה אתקריאת בתה כו' ועיין שם למעלה תא חזי ארבע ענפין רברבין כו' ובכל אמה ה' ענפין זעירין כו', ועיין מה שכתבתי במעשה המרכבה בחילוקא דאצבעאן בסוד וכף רגליהם כו' דאהדר לשני טלפין, ולכן הם ח"י עריות, דט' אוירין בין יו"ד אצבעות, ח' בין האצבעות ואחד בין ידים, וכן הוא בין הרגלים:</w:t>
      </w:r>
    </w:p>
  </w:footnote>
  <w:footnote w:id="4382">
    <w:p w:rsidR="00A13282" w:rsidRDefault="00A13282" w:rsidP="00602EF1">
      <w:pPr>
        <w:pStyle w:val="a5"/>
        <w:rPr>
          <w:rtl/>
        </w:rPr>
      </w:pPr>
      <w:r>
        <w:rPr>
          <w:rStyle w:val="a7"/>
          <w:rtl/>
        </w:rPr>
        <w:footnoteRef/>
      </w:r>
      <w:r>
        <w:rPr>
          <w:rtl/>
        </w:rPr>
        <w:t xml:space="preserve"> </w:t>
      </w:r>
      <w:r>
        <w:rPr>
          <w:b/>
          <w:bCs/>
          <w:snapToGrid w:val="0"/>
          <w:sz w:val="24"/>
          <w:rtl/>
        </w:rPr>
        <w:t>ופניהם וכנפיהם פרודות.</w:t>
      </w:r>
      <w:r>
        <w:rPr>
          <w:snapToGrid w:val="0"/>
          <w:sz w:val="24"/>
          <w:rtl/>
        </w:rPr>
        <w:t xml:space="preserve"> פניהם ידוע, וכנפיהם גם כן, ודי לחכימא. וזה שאומר ולא יגלה כו' בענפין:</w:t>
      </w:r>
    </w:p>
  </w:footnote>
  <w:footnote w:id="4383">
    <w:p w:rsidR="00A13282" w:rsidRDefault="00A13282" w:rsidP="00602EF1">
      <w:pPr>
        <w:pStyle w:val="a5"/>
        <w:rPr>
          <w:rtl/>
        </w:rPr>
      </w:pPr>
      <w:r>
        <w:rPr>
          <w:rStyle w:val="a7"/>
          <w:rtl/>
        </w:rPr>
        <w:footnoteRef/>
      </w:r>
      <w:r>
        <w:rPr>
          <w:rtl/>
        </w:rPr>
        <w:t xml:space="preserve"> </w:t>
      </w:r>
      <w:r>
        <w:rPr>
          <w:b/>
          <w:bCs/>
          <w:snapToGrid w:val="0"/>
          <w:sz w:val="24"/>
          <w:rtl/>
        </w:rPr>
        <w:t>נפרדו עליו כשר.</w:t>
      </w:r>
      <w:r>
        <w:rPr>
          <w:snapToGrid w:val="0"/>
          <w:sz w:val="24"/>
          <w:rtl/>
        </w:rPr>
        <w:t xml:space="preserve"> דכן הוא דינו אבל נפרצו - שהערוה פרצה בה וזה שאומר </w:t>
      </w:r>
      <w:r>
        <w:rPr>
          <w:b/>
          <w:bCs/>
          <w:snapToGrid w:val="0"/>
          <w:sz w:val="24"/>
          <w:rtl/>
        </w:rPr>
        <w:t>והאי פרץ כו'</w:t>
      </w:r>
      <w:r>
        <w:rPr>
          <w:snapToGrid w:val="0"/>
          <w:sz w:val="24"/>
          <w:rtl/>
        </w:rPr>
        <w:t xml:space="preserve"> ולכן אמרו פרוץ בעריות:</w:t>
      </w:r>
    </w:p>
  </w:footnote>
  <w:footnote w:id="4384">
    <w:p w:rsidR="00A13282" w:rsidRDefault="00A13282" w:rsidP="00602EF1">
      <w:pPr>
        <w:pStyle w:val="a5"/>
        <w:rPr>
          <w:rtl/>
        </w:rPr>
      </w:pPr>
      <w:r>
        <w:rPr>
          <w:rStyle w:val="a7"/>
          <w:rtl/>
        </w:rPr>
        <w:footnoteRef/>
      </w:r>
      <w:r>
        <w:rPr>
          <w:rtl/>
        </w:rPr>
        <w:t xml:space="preserve"> </w:t>
      </w:r>
      <w:r>
        <w:rPr>
          <w:b/>
          <w:bCs/>
          <w:snapToGrid w:val="0"/>
          <w:sz w:val="24"/>
          <w:rtl/>
        </w:rPr>
        <w:t>ויפוזו זרועי ידיו.</w:t>
      </w:r>
      <w:r>
        <w:rPr>
          <w:snapToGrid w:val="0"/>
          <w:sz w:val="24"/>
          <w:rtl/>
        </w:rPr>
        <w:t xml:space="preserve"> רוצה לומר ויפוזו - שנתפזרו ונתרחקו כדינם שלא יקרבו ועיין לקמן תיקון ס”ט בזה:</w:t>
      </w:r>
    </w:p>
  </w:footnote>
  <w:footnote w:id="4385">
    <w:p w:rsidR="00A13282" w:rsidRDefault="00A13282" w:rsidP="00602EF1">
      <w:pPr>
        <w:pStyle w:val="a5"/>
        <w:rPr>
          <w:rtl/>
        </w:rPr>
      </w:pPr>
      <w:r>
        <w:rPr>
          <w:rStyle w:val="a7"/>
          <w:rtl/>
        </w:rPr>
        <w:footnoteRef/>
      </w:r>
      <w:r>
        <w:rPr>
          <w:rtl/>
        </w:rPr>
        <w:t xml:space="preserve"> </w:t>
      </w:r>
      <w:r>
        <w:rPr>
          <w:b/>
          <w:bCs/>
          <w:snapToGrid w:val="0"/>
          <w:sz w:val="24"/>
          <w:rtl/>
        </w:rPr>
        <w:t>ובג"ד תמן אתקרי וא"ו אח וה"א אחות.</w:t>
      </w:r>
      <w:r>
        <w:rPr>
          <w:snapToGrid w:val="0"/>
          <w:sz w:val="24"/>
          <w:rtl/>
        </w:rPr>
        <w:t xml:space="preserve"> ואמר בת אביו או בת אמו, והן בסוד לאה ורחל, לאה - בת אמו, ורחל - בת אביו, אבא יסד ברתא, (משלי ג יט) בחכמה יסד ארץ, והן הוי"ה שלימה וכמו שמפרש והולך </w:t>
      </w:r>
      <w:r>
        <w:rPr>
          <w:b/>
          <w:bCs/>
          <w:snapToGrid w:val="0"/>
          <w:sz w:val="24"/>
          <w:rtl/>
        </w:rPr>
        <w:t>והכי</w:t>
      </w:r>
      <w:r>
        <w:rPr>
          <w:snapToGrid w:val="0"/>
          <w:sz w:val="24"/>
          <w:rtl/>
        </w:rPr>
        <w:t xml:space="preserve"> </w:t>
      </w:r>
      <w:r>
        <w:rPr>
          <w:b/>
          <w:bCs/>
          <w:snapToGrid w:val="0"/>
          <w:sz w:val="24"/>
          <w:rtl/>
        </w:rPr>
        <w:t>י"ה בימינא,</w:t>
      </w:r>
      <w:r>
        <w:rPr>
          <w:snapToGrid w:val="0"/>
          <w:sz w:val="24"/>
          <w:rtl/>
        </w:rPr>
        <w:t xml:space="preserve"> דזיווגא דלאה נקרא י"ה כידוע, ועיין מה שאמר לעיל ריש תיקון מ”ט פ"ד ב':</w:t>
      </w:r>
    </w:p>
  </w:footnote>
  <w:footnote w:id="4386">
    <w:p w:rsidR="00A13282" w:rsidRDefault="00A13282" w:rsidP="00602EF1">
      <w:pPr>
        <w:pStyle w:val="a5"/>
        <w:rPr>
          <w:rtl/>
        </w:rPr>
      </w:pPr>
      <w:r>
        <w:rPr>
          <w:rStyle w:val="a7"/>
          <w:rtl/>
        </w:rPr>
        <w:footnoteRef/>
      </w:r>
      <w:r>
        <w:rPr>
          <w:rtl/>
        </w:rPr>
        <w:t xml:space="preserve"> </w:t>
      </w:r>
      <w:r>
        <w:rPr>
          <w:b/>
          <w:bCs/>
          <w:snapToGrid w:val="0"/>
          <w:sz w:val="24"/>
          <w:rtl/>
        </w:rPr>
        <w:t>והכי בשוקא כו'.</w:t>
      </w:r>
      <w:r>
        <w:rPr>
          <w:snapToGrid w:val="0"/>
          <w:sz w:val="24"/>
          <w:rtl/>
        </w:rPr>
        <w:t xml:space="preserve"> דבין ידים צריך נטירה מטחול, ובשוקא מפני כבד ומרה וע' ערקין, אלקים, ואעפ"כ כולן נכללין בעריות, דאיהי ערוה דכלא, נוק' דיליה וכמו שמפרש והולך וכל אינון עריין כו':</w:t>
      </w:r>
    </w:p>
  </w:footnote>
  <w:footnote w:id="4387">
    <w:p w:rsidR="00A13282" w:rsidRDefault="00A13282" w:rsidP="00602EF1">
      <w:pPr>
        <w:pStyle w:val="a5"/>
        <w:rPr>
          <w:rtl/>
        </w:rPr>
      </w:pPr>
      <w:r>
        <w:rPr>
          <w:rStyle w:val="a7"/>
          <w:rtl/>
        </w:rPr>
        <w:footnoteRef/>
      </w:r>
      <w:r>
        <w:rPr>
          <w:rtl/>
        </w:rPr>
        <w:t xml:space="preserve"> </w:t>
      </w:r>
      <w:r>
        <w:rPr>
          <w:b/>
          <w:bCs/>
          <w:snapToGrid w:val="0"/>
          <w:sz w:val="24"/>
          <w:rtl/>
        </w:rPr>
        <w:t>ודא איהי רזא וסוד כו'.</w:t>
      </w:r>
      <w:r>
        <w:rPr>
          <w:snapToGrid w:val="0"/>
          <w:sz w:val="24"/>
          <w:rtl/>
        </w:rPr>
        <w:t xml:space="preserve"> עיין מה שאמר לעיל תיקון ל”ד וכ"ה למאן דגלי רזין כמו שאמרו בספרא דצניעותא ובאידרא זוטא וברעיא מהימנא פ' פנחס רמ"ד א' אמר רעיא מהימנא כו' כ"ש דמזלזל בפרורין דמוחא דאינון דזרע כו' וכ"ש מאן דמזלזל בפרורין דאורייתא כו' לאנשים דלאו אינון הגונים דשליט עלייהו יצר הרע אשה זונה כו':</w:t>
      </w:r>
    </w:p>
  </w:footnote>
  <w:footnote w:id="4388">
    <w:p w:rsidR="00A13282" w:rsidRDefault="00A13282" w:rsidP="00602EF1">
      <w:pPr>
        <w:pStyle w:val="a5"/>
        <w:rPr>
          <w:rtl/>
        </w:rPr>
      </w:pPr>
      <w:r>
        <w:rPr>
          <w:rStyle w:val="a7"/>
          <w:rtl/>
        </w:rPr>
        <w:footnoteRef/>
      </w:r>
      <w:r>
        <w:rPr>
          <w:rtl/>
        </w:rPr>
        <w:t xml:space="preserve"> </w:t>
      </w:r>
      <w:r>
        <w:rPr>
          <w:b/>
          <w:bCs/>
          <w:snapToGrid w:val="0"/>
          <w:sz w:val="24"/>
          <w:rtl/>
        </w:rPr>
        <w:t>וד' זמנין גלת כו'.</w:t>
      </w:r>
      <w:r>
        <w:rPr>
          <w:snapToGrid w:val="0"/>
          <w:sz w:val="24"/>
          <w:rtl/>
        </w:rPr>
        <w:t xml:space="preserve"> כמו שמפרש והולך דעאלו כו', והוא בד' ענפין וזהו מארבע כנפות הארץ וכמו שכתב הרמב"ם דכנף הוא לשון סתר, כמו שכתוב ולא יכנף עוד כו', והוא סתרין דד' אתוון, סתרין דפרד"ס:</w:t>
      </w:r>
    </w:p>
  </w:footnote>
  <w:footnote w:id="4389">
    <w:p w:rsidR="00A13282" w:rsidRDefault="00A13282" w:rsidP="00602EF1">
      <w:pPr>
        <w:pStyle w:val="a5"/>
        <w:rPr>
          <w:rtl/>
        </w:rPr>
      </w:pPr>
      <w:r>
        <w:rPr>
          <w:rStyle w:val="a7"/>
          <w:rtl/>
        </w:rPr>
        <w:footnoteRef/>
      </w:r>
      <w:r>
        <w:rPr>
          <w:rtl/>
        </w:rPr>
        <w:t xml:space="preserve"> </w:t>
      </w:r>
      <w:r>
        <w:rPr>
          <w:b/>
          <w:bCs/>
          <w:snapToGrid w:val="0"/>
          <w:sz w:val="24"/>
          <w:rtl/>
        </w:rPr>
        <w:t>בשית יומי דחול.</w:t>
      </w:r>
      <w:r>
        <w:rPr>
          <w:snapToGrid w:val="0"/>
          <w:sz w:val="24"/>
          <w:rtl/>
        </w:rPr>
        <w:t xml:space="preserve"> ששת ימי בראשית כמו שמפרש והולך, ולכן קאמר דוא"ו הוא שית זמנין טוב אבל ששת הימים לא חשיב:</w:t>
      </w:r>
    </w:p>
  </w:footnote>
  <w:footnote w:id="4390">
    <w:p w:rsidR="00A13282" w:rsidRDefault="00A13282" w:rsidP="00602EF1">
      <w:pPr>
        <w:pStyle w:val="a5"/>
        <w:rPr>
          <w:rtl/>
        </w:rPr>
      </w:pPr>
      <w:r>
        <w:rPr>
          <w:rStyle w:val="a7"/>
          <w:rtl/>
        </w:rPr>
        <w:footnoteRef/>
      </w:r>
      <w:r>
        <w:rPr>
          <w:rtl/>
        </w:rPr>
        <w:t xml:space="preserve"> </w:t>
      </w:r>
      <w:r>
        <w:rPr>
          <w:b/>
          <w:bCs/>
          <w:snapToGrid w:val="0"/>
          <w:sz w:val="24"/>
          <w:rtl/>
        </w:rPr>
        <w:t>ראש דבראשית כו'.</w:t>
      </w:r>
      <w:r>
        <w:rPr>
          <w:snapToGrid w:val="0"/>
          <w:sz w:val="24"/>
          <w:rtl/>
        </w:rPr>
        <w:t xml:space="preserve"> וכן בת הוא שם כמו שאומר להלן בארוכה:</w:t>
      </w:r>
    </w:p>
  </w:footnote>
  <w:footnote w:id="4391">
    <w:p w:rsidR="00A13282" w:rsidRDefault="00A13282" w:rsidP="00602EF1">
      <w:pPr>
        <w:pStyle w:val="a5"/>
        <w:rPr>
          <w:rtl/>
        </w:rPr>
      </w:pPr>
      <w:r>
        <w:rPr>
          <w:rStyle w:val="a7"/>
          <w:rtl/>
        </w:rPr>
        <w:footnoteRef/>
      </w:r>
      <w:r>
        <w:rPr>
          <w:rtl/>
        </w:rPr>
        <w:t xml:space="preserve"> </w:t>
      </w:r>
      <w:r>
        <w:rPr>
          <w:b/>
          <w:bCs/>
          <w:snapToGrid w:val="0"/>
          <w:sz w:val="24"/>
          <w:rtl/>
        </w:rPr>
        <w:t>בגין דלית כו'.</w:t>
      </w:r>
      <w:r>
        <w:rPr>
          <w:snapToGrid w:val="0"/>
          <w:sz w:val="24"/>
          <w:rtl/>
        </w:rPr>
        <w:t xml:space="preserve"> רוצה לומר אות ברית השביעי אבל צדיק עצמו נכלל בו' פעמים טוב וזה שאומר ובשבת כו' דהוא אות ברית ביני כו':</w:t>
      </w:r>
    </w:p>
  </w:footnote>
  <w:footnote w:id="4392">
    <w:p w:rsidR="00A13282" w:rsidRDefault="00A13282" w:rsidP="00602EF1">
      <w:pPr>
        <w:pStyle w:val="a5"/>
        <w:rPr>
          <w:rtl/>
        </w:rPr>
      </w:pPr>
      <w:r>
        <w:rPr>
          <w:rStyle w:val="a7"/>
          <w:rtl/>
        </w:rPr>
        <w:footnoteRef/>
      </w:r>
      <w:r>
        <w:rPr>
          <w:rtl/>
        </w:rPr>
        <w:t xml:space="preserve"> </w:t>
      </w:r>
      <w:r>
        <w:rPr>
          <w:b/>
          <w:bCs/>
          <w:rtl/>
        </w:rPr>
        <w:t>ע</w:t>
      </w:r>
      <w:r>
        <w:rPr>
          <w:b/>
          <w:bCs/>
          <w:snapToGrid w:val="0"/>
          <w:sz w:val="24"/>
          <w:rtl/>
        </w:rPr>
        <w:t>ליה אתמר צדיק כו'.</w:t>
      </w:r>
      <w:r>
        <w:rPr>
          <w:snapToGrid w:val="0"/>
          <w:sz w:val="24"/>
          <w:rtl/>
        </w:rPr>
        <w:t xml:space="preserve"> רוצה לומר זהו (בראשית ב יז) ומעץ הדעת טוב ורע לא תאכל כו', ועיין לעיל סוף תיקון נ”ג, וזה שאומר ובההוא זמנא איהו צדיק כו' וטוב לו, אבל עיקר הענין מאן דערב זרעא בנשג"ז (סנהדרין פב ע"א) כמו שאומר לקמן ק' ב' ושאר מקומות:</w:t>
      </w:r>
    </w:p>
  </w:footnote>
  <w:footnote w:id="4393">
    <w:p w:rsidR="00A13282" w:rsidRDefault="00A13282" w:rsidP="00602EF1">
      <w:pPr>
        <w:pStyle w:val="a5"/>
        <w:rPr>
          <w:rtl/>
        </w:rPr>
      </w:pPr>
      <w:r>
        <w:rPr>
          <w:rStyle w:val="a7"/>
          <w:rtl/>
        </w:rPr>
        <w:footnoteRef/>
      </w:r>
      <w:r>
        <w:rPr>
          <w:rtl/>
        </w:rPr>
        <w:t xml:space="preserve"> </w:t>
      </w:r>
      <w:r>
        <w:rPr>
          <w:b/>
          <w:bCs/>
          <w:snapToGrid w:val="0"/>
          <w:sz w:val="24"/>
          <w:rtl/>
        </w:rPr>
        <w:t>דאנת הוית גרים כו'.</w:t>
      </w:r>
      <w:r>
        <w:rPr>
          <w:snapToGrid w:val="0"/>
          <w:sz w:val="24"/>
          <w:rtl/>
        </w:rPr>
        <w:t xml:space="preserve"> דאכל מעץ הדעת ונחית למט"ט, דשם בצדו הערוה דשם, ומשם יפרד והיה לארבעה ראשים, ד' ענפין כנ"ל וכמו שאומר בפ' בראשית ולמעלה צ"א א' אבל למעלה הוא ביחודא ואמר </w:t>
      </w:r>
      <w:r>
        <w:rPr>
          <w:b/>
          <w:bCs/>
          <w:snapToGrid w:val="0"/>
          <w:sz w:val="24"/>
          <w:rtl/>
        </w:rPr>
        <w:t xml:space="preserve">הה"ד ויהיו תואמים כו' </w:t>
      </w:r>
      <w:r>
        <w:rPr>
          <w:snapToGrid w:val="0"/>
          <w:sz w:val="24"/>
          <w:rtl/>
        </w:rPr>
        <w:t xml:space="preserve">על נו"ה, ב' כרובים, איש אל אחיו, וזה שאומר אחים תאומים - פרץ וזרח, ויחדו כו', חו"ג, ושם תמים - (בראשית כה כד) והנה תומים בבטנה, והוא נאמר על יעקב לבדו דהוא מזל תאומים כמו שאומר בפ' יתרו ונטל חולקא דעשו ולכן כליל תרין סטרין, ושם הוא בחבורא יתיר, וקאמר </w:t>
      </w:r>
      <w:r>
        <w:rPr>
          <w:b/>
          <w:bCs/>
          <w:snapToGrid w:val="0"/>
          <w:sz w:val="24"/>
          <w:rtl/>
        </w:rPr>
        <w:t>אל הטבעת כו'</w:t>
      </w:r>
      <w:r>
        <w:rPr>
          <w:snapToGrid w:val="0"/>
          <w:sz w:val="24"/>
          <w:rtl/>
        </w:rPr>
        <w:t xml:space="preserve"> רוצה לומר דקאי בין למטה בין למעלה, הכל ביחודא ע"י הטבעת. ואמר </w:t>
      </w:r>
      <w:r>
        <w:rPr>
          <w:b/>
          <w:bCs/>
          <w:snapToGrid w:val="0"/>
          <w:sz w:val="24"/>
          <w:rtl/>
        </w:rPr>
        <w:t>דאיהו שיעור כו'.</w:t>
      </w:r>
      <w:r>
        <w:rPr>
          <w:snapToGrid w:val="0"/>
          <w:sz w:val="24"/>
          <w:rtl/>
        </w:rPr>
        <w:t xml:space="preserve"> רוצה לומר כל העריות למטה הן ע"י, וכל היחודא למעלה הוא על ידו:</w:t>
      </w:r>
    </w:p>
  </w:footnote>
  <w:footnote w:id="4394">
    <w:p w:rsidR="00A13282" w:rsidRDefault="00A13282" w:rsidP="00602EF1">
      <w:pPr>
        <w:pStyle w:val="a5"/>
        <w:rPr>
          <w:rtl/>
        </w:rPr>
      </w:pPr>
      <w:r>
        <w:rPr>
          <w:rStyle w:val="a7"/>
          <w:rtl/>
        </w:rPr>
        <w:footnoteRef/>
      </w:r>
      <w:r>
        <w:rPr>
          <w:rtl/>
        </w:rPr>
        <w:t xml:space="preserve"> </w:t>
      </w:r>
      <w:r>
        <w:rPr>
          <w:b/>
          <w:bCs/>
          <w:snapToGrid w:val="0"/>
          <w:sz w:val="24"/>
          <w:rtl/>
        </w:rPr>
        <w:t>ואתמר בשבת כו'.</w:t>
      </w:r>
      <w:r>
        <w:rPr>
          <w:snapToGrid w:val="0"/>
          <w:sz w:val="24"/>
          <w:rtl/>
        </w:rPr>
        <w:t xml:space="preserve"> רוצה לומר דהוא אות ברית וכמו שאומר לעיל בתיקון ל”ו מחלליה למאן כו' והאי נקודה איהי כו':</w:t>
      </w:r>
    </w:p>
  </w:footnote>
  <w:footnote w:id="4395">
    <w:p w:rsidR="00A13282" w:rsidRDefault="00A13282" w:rsidP="00602EF1">
      <w:pPr>
        <w:pStyle w:val="a5"/>
        <w:rPr>
          <w:rtl/>
        </w:rPr>
      </w:pPr>
      <w:r>
        <w:rPr>
          <w:rStyle w:val="a7"/>
          <w:rtl/>
        </w:rPr>
        <w:footnoteRef/>
      </w:r>
      <w:r>
        <w:rPr>
          <w:rtl/>
        </w:rPr>
        <w:t xml:space="preserve"> </w:t>
      </w:r>
      <w:r>
        <w:rPr>
          <w:b/>
          <w:bCs/>
          <w:snapToGrid w:val="0"/>
          <w:sz w:val="24"/>
          <w:rtl/>
        </w:rPr>
        <w:t>והוו נהרין כו'.</w:t>
      </w:r>
      <w:r>
        <w:rPr>
          <w:snapToGrid w:val="0"/>
          <w:sz w:val="24"/>
          <w:rtl/>
        </w:rPr>
        <w:t xml:space="preserve"> רוצה לומר כל הגוונין דנהורין וזה שאומר </w:t>
      </w:r>
      <w:r>
        <w:rPr>
          <w:b/>
          <w:bCs/>
          <w:snapToGrid w:val="0"/>
          <w:sz w:val="24"/>
          <w:rtl/>
        </w:rPr>
        <w:t>בגין אלין נהורין כו' כגוונא דלעילא עד דהוה אמר כו'.</w:t>
      </w:r>
    </w:p>
  </w:footnote>
  <w:footnote w:id="4396">
    <w:p w:rsidR="00A13282" w:rsidRDefault="00A13282" w:rsidP="00602EF1">
      <w:pPr>
        <w:pStyle w:val="a5"/>
        <w:rPr>
          <w:rtl/>
        </w:rPr>
      </w:pPr>
      <w:r>
        <w:rPr>
          <w:rStyle w:val="a7"/>
          <w:rtl/>
        </w:rPr>
        <w:footnoteRef/>
      </w:r>
      <w:r>
        <w:rPr>
          <w:rtl/>
        </w:rPr>
        <w:t xml:space="preserve"> </w:t>
      </w:r>
      <w:r>
        <w:rPr>
          <w:b/>
          <w:bCs/>
          <w:snapToGrid w:val="0"/>
          <w:sz w:val="24"/>
          <w:rtl/>
        </w:rPr>
        <w:t>ובההוא זמנא הוה איהו כו'.</w:t>
      </w:r>
      <w:r>
        <w:rPr>
          <w:snapToGrid w:val="0"/>
          <w:sz w:val="24"/>
          <w:rtl/>
        </w:rPr>
        <w:t xml:space="preserve"> כמו שכתוב (תהלים ח ז) תמשילהו במעשה ידיך כל שתה תחת כו', ועיין לקמן ריש תיקון נ"ז כל חית השדה כו' לכל חיה ואופן כו', וכן (מוראכם וחתכם) ורדו בדגת הים ובעוף כו' קאי גם כן עליהם:</w:t>
      </w:r>
    </w:p>
  </w:footnote>
  <w:footnote w:id="4397">
    <w:p w:rsidR="00A13282" w:rsidRDefault="00A13282" w:rsidP="00602EF1">
      <w:pPr>
        <w:pStyle w:val="a5"/>
        <w:rPr>
          <w:rtl/>
        </w:rPr>
      </w:pPr>
      <w:r>
        <w:rPr>
          <w:rStyle w:val="a7"/>
          <w:rtl/>
        </w:rPr>
        <w:footnoteRef/>
      </w:r>
      <w:r>
        <w:rPr>
          <w:rtl/>
        </w:rPr>
        <w:t xml:space="preserve"> </w:t>
      </w:r>
      <w:r>
        <w:rPr>
          <w:b/>
          <w:bCs/>
          <w:snapToGrid w:val="0"/>
          <w:sz w:val="24"/>
          <w:rtl/>
        </w:rPr>
        <w:t>גוון אוכם כו' חוורו כו'.</w:t>
      </w:r>
      <w:r>
        <w:rPr>
          <w:snapToGrid w:val="0"/>
          <w:sz w:val="24"/>
          <w:rtl/>
        </w:rPr>
        <w:t xml:space="preserve"> כמו שאמרו סוף פרק ג' דנדה עיין שם, וזה שאומר דהכי אוקמוה מ"מ כו':</w:t>
      </w:r>
    </w:p>
  </w:footnote>
  <w:footnote w:id="4398">
    <w:p w:rsidR="00A13282" w:rsidRDefault="00A13282" w:rsidP="00602EF1">
      <w:pPr>
        <w:pStyle w:val="a5"/>
        <w:rPr>
          <w:rtl/>
        </w:rPr>
      </w:pPr>
      <w:r>
        <w:rPr>
          <w:rStyle w:val="a7"/>
          <w:rtl/>
        </w:rPr>
        <w:footnoteRef/>
      </w:r>
      <w:r>
        <w:rPr>
          <w:rtl/>
        </w:rPr>
        <w:t xml:space="preserve"> </w:t>
      </w:r>
      <w:r>
        <w:rPr>
          <w:b/>
          <w:bCs/>
          <w:snapToGrid w:val="0"/>
          <w:sz w:val="24"/>
          <w:rtl/>
        </w:rPr>
        <w:t>אוכמו מלבר כו'.</w:t>
      </w:r>
      <w:r>
        <w:rPr>
          <w:snapToGrid w:val="0"/>
          <w:sz w:val="24"/>
          <w:rtl/>
        </w:rPr>
        <w:t xml:space="preserve"> רוצה לומר, בכתר דלבר נקרא חושך כמו שמפרש והולך ישת חשך סתרו, והוא נקרא סתר, (חגיגה יג ע"א) במופלא כו', ומלגאו - ועתה לא ראו כו', ובמכוסה ממך כו', ואמר אור, אלמא דנקרא אור:</w:t>
      </w:r>
    </w:p>
  </w:footnote>
  <w:footnote w:id="4399">
    <w:p w:rsidR="00A13282" w:rsidRDefault="00A13282" w:rsidP="00602EF1">
      <w:pPr>
        <w:pStyle w:val="a5"/>
        <w:rPr>
          <w:rtl/>
        </w:rPr>
      </w:pPr>
      <w:r>
        <w:rPr>
          <w:rStyle w:val="a7"/>
          <w:rtl/>
        </w:rPr>
        <w:footnoteRef/>
      </w:r>
      <w:r>
        <w:rPr>
          <w:rtl/>
        </w:rPr>
        <w:t xml:space="preserve"> </w:t>
      </w:r>
      <w:r>
        <w:rPr>
          <w:b/>
          <w:bCs/>
          <w:snapToGrid w:val="0"/>
          <w:sz w:val="24"/>
          <w:rtl/>
        </w:rPr>
        <w:t>ות"ח אימא כו' נהורא דלגאו מינה.</w:t>
      </w:r>
      <w:r>
        <w:rPr>
          <w:snapToGrid w:val="0"/>
          <w:sz w:val="24"/>
          <w:rtl/>
        </w:rPr>
        <w:t xml:space="preserve"> רוצה לומר נגד חכמה כנ"ל, והוא נקודיה בהיכליה, וכדוגמת הכתר כנ"ל:</w:t>
      </w:r>
    </w:p>
  </w:footnote>
  <w:footnote w:id="4400">
    <w:p w:rsidR="00A13282" w:rsidRDefault="00A13282" w:rsidP="00602EF1">
      <w:pPr>
        <w:pStyle w:val="a5"/>
        <w:rPr>
          <w:rtl/>
        </w:rPr>
      </w:pPr>
      <w:r>
        <w:rPr>
          <w:rStyle w:val="a7"/>
          <w:rtl/>
        </w:rPr>
        <w:footnoteRef/>
      </w:r>
      <w:r>
        <w:rPr>
          <w:rtl/>
        </w:rPr>
        <w:t xml:space="preserve"> </w:t>
      </w:r>
      <w:r>
        <w:rPr>
          <w:b/>
          <w:bCs/>
          <w:snapToGrid w:val="0"/>
          <w:sz w:val="24"/>
          <w:rtl/>
        </w:rPr>
        <w:t>אבל כד נחתא כו'.</w:t>
      </w:r>
      <w:r>
        <w:rPr>
          <w:snapToGrid w:val="0"/>
          <w:sz w:val="24"/>
          <w:rtl/>
        </w:rPr>
        <w:t xml:space="preserve"> דכל אחד הוא נהורא קדם דלתתא מיניה:</w:t>
      </w:r>
    </w:p>
  </w:footnote>
  <w:footnote w:id="4401">
    <w:p w:rsidR="00A13282" w:rsidRDefault="00A13282" w:rsidP="00602EF1">
      <w:pPr>
        <w:pStyle w:val="a5"/>
        <w:rPr>
          <w:rtl/>
        </w:rPr>
      </w:pPr>
      <w:r>
        <w:rPr>
          <w:rStyle w:val="a7"/>
          <w:rtl/>
        </w:rPr>
        <w:footnoteRef/>
      </w:r>
      <w:r>
        <w:rPr>
          <w:rtl/>
        </w:rPr>
        <w:t xml:space="preserve"> </w:t>
      </w:r>
      <w:r>
        <w:rPr>
          <w:b/>
          <w:bCs/>
          <w:snapToGrid w:val="0"/>
          <w:sz w:val="24"/>
          <w:rtl/>
        </w:rPr>
        <w:t>גוונהא בחמש ספירן כו'.</w:t>
      </w:r>
      <w:r>
        <w:rPr>
          <w:snapToGrid w:val="0"/>
          <w:sz w:val="24"/>
          <w:rtl/>
        </w:rPr>
        <w:t xml:space="preserve"> עיין לעיל ריש תיקון ה' וריש תיקון י”ט ומה שכתבתי שם ושם:</w:t>
      </w:r>
    </w:p>
  </w:footnote>
  <w:footnote w:id="4402">
    <w:p w:rsidR="00A13282" w:rsidRDefault="00A13282" w:rsidP="00602EF1">
      <w:pPr>
        <w:pStyle w:val="a5"/>
        <w:rPr>
          <w:rtl/>
        </w:rPr>
      </w:pPr>
      <w:r>
        <w:rPr>
          <w:rStyle w:val="a7"/>
          <w:rtl/>
        </w:rPr>
        <w:footnoteRef/>
      </w:r>
      <w:r>
        <w:rPr>
          <w:rtl/>
        </w:rPr>
        <w:t xml:space="preserve"> </w:t>
      </w:r>
      <w:r>
        <w:rPr>
          <w:b/>
          <w:bCs/>
          <w:snapToGrid w:val="0"/>
          <w:sz w:val="24"/>
          <w:rtl/>
        </w:rPr>
        <w:t>דחמש ספירין ועלייהו אתמר כו'.</w:t>
      </w:r>
      <w:r>
        <w:rPr>
          <w:snapToGrid w:val="0"/>
          <w:sz w:val="24"/>
          <w:rtl/>
        </w:rPr>
        <w:t xml:space="preserve"> הן ה' מיני גוונין, ואמר מתתא לעילא - דבה הולך באור חוזר, כתר במלכות, וכן בז"ת, וכן כאן כי שם מתחיל מחסד, וצדיק כליל כולא, וכאן להיפך, ות"ת שהוא במקום יסוד באור חוזר, והוא כליל כולא, וזה שאומר וכמה דאתכלילן כל גוונין כו' הכי אתכלילן כל גוונין כו':</w:t>
      </w:r>
    </w:p>
  </w:footnote>
  <w:footnote w:id="4403">
    <w:p w:rsidR="00A13282" w:rsidRDefault="00A13282" w:rsidP="00602EF1">
      <w:pPr>
        <w:pStyle w:val="a5"/>
        <w:rPr>
          <w:rtl/>
        </w:rPr>
      </w:pPr>
      <w:r>
        <w:rPr>
          <w:rStyle w:val="a7"/>
          <w:rtl/>
        </w:rPr>
        <w:footnoteRef/>
      </w:r>
      <w:r>
        <w:rPr>
          <w:rtl/>
        </w:rPr>
        <w:t xml:space="preserve"> </w:t>
      </w:r>
      <w:r>
        <w:rPr>
          <w:b/>
          <w:bCs/>
          <w:snapToGrid w:val="0"/>
          <w:sz w:val="24"/>
          <w:rtl/>
        </w:rPr>
        <w:t>ת"ח ארבע כו' וכולהו כו'.</w:t>
      </w:r>
      <w:r>
        <w:rPr>
          <w:snapToGrid w:val="0"/>
          <w:sz w:val="24"/>
          <w:rtl/>
        </w:rPr>
        <w:t xml:space="preserve"> רוצה לומר דאתעביד בשם הוי"ה ד' ענפין רברבין דאינון ה' כמו שאומר לעיל דאינון ה' ענפין דאילנא דרועא כו', אלא דכאן קאמר בלא גופא ועיין לעיל סוף תיקון י”ח דד' גוונין אינון, דאינון ה', וכלהו כלילין בו' כמו שמפרש והולך וכלהו בשעורא כו' שכל אחד שעורא באמה וכמו שאומר לעיל ריש תיקון י”ט וצורתן וא"ו וכן מדתן וכנ"ל בריש תיקון י”ט דאזלין על קו המדה ובכל אחד ה' ענפין זעירין דאינון ה' אצבעאן, והגוף הוא הכולל ה' ענפין רברבין, ועל ה' ענפין - כף היד צורת יו"ד, הרי הוי"ה שלימה יתברך, ובגוף - אות ברית, דברית נכלל בגוף, ואינון שרשא ואילנא וענפין ואיבא כמו שאומר לעיל נ"ט ב' אילנא הוא"ו, איבא דיליה יו"ד כו', ענפוי לעילא איהו ה' עלאה, ושרשוי ה' תתאה, וכאן הוא ה' ענפין רברבין - ה' תתאה ועליו ו', ה' זעירין - ה' עלאה ועליו יו"ד, וזה שאומר ודא איבא דאילנא:</w:t>
      </w:r>
    </w:p>
  </w:footnote>
  <w:footnote w:id="4404">
    <w:p w:rsidR="00A13282" w:rsidRDefault="00A13282" w:rsidP="00602EF1">
      <w:pPr>
        <w:pStyle w:val="a5"/>
        <w:rPr>
          <w:rtl/>
        </w:rPr>
      </w:pPr>
      <w:r>
        <w:rPr>
          <w:rStyle w:val="a7"/>
          <w:rtl/>
        </w:rPr>
        <w:footnoteRef/>
      </w:r>
      <w:r>
        <w:rPr>
          <w:rtl/>
        </w:rPr>
        <w:t xml:space="preserve"> </w:t>
      </w:r>
      <w:r>
        <w:rPr>
          <w:b/>
          <w:bCs/>
          <w:snapToGrid w:val="0"/>
          <w:sz w:val="24"/>
          <w:rtl/>
        </w:rPr>
        <w:t>דבהון אתפתחת שושנה.</w:t>
      </w:r>
      <w:r>
        <w:rPr>
          <w:snapToGrid w:val="0"/>
          <w:sz w:val="24"/>
          <w:rtl/>
        </w:rPr>
        <w:t xml:space="preserve"> דשושנה כד איהי בגלותא איהי סתימא, בזמנא דפורקנא אתפתחת בחמש אור כמו שאומר לעיל בריש תיקון ל"ח</w:t>
      </w:r>
      <w:r>
        <w:rPr>
          <w:b/>
          <w:bCs/>
          <w:snapToGrid w:val="0"/>
          <w:sz w:val="24"/>
          <w:rtl/>
        </w:rPr>
        <w:t xml:space="preserve"> </w:t>
      </w:r>
      <w:r>
        <w:rPr>
          <w:snapToGrid w:val="0"/>
          <w:sz w:val="24"/>
          <w:rtl/>
        </w:rPr>
        <w:t xml:space="preserve">והיא כף היד דאיהי סתימא בקמץ ואתפתחת בחמש אצבעאן דהן ה' עלין דשושנה מי"ג פרקין לבד התחתון שאינו ממניינא דעומד לבדו, והוא י"ג עלין דשושנה ועיין מה שאומר בריש פ' בראשית בארוכה, והפתוחין דשרטוטין הן פתוחין דמעשה פרח שושן וזה שאומר אתפתחת שושנה והשושנה כד איהי סתימא לית לה ריחא והיא בלא זיווגא וכד אתדבקת בבעלה אתפתחת דקודם לכן היא גן נעול ואח"כ ויקרא ליבשה ארץ ועבדת איבין וזה שאומר </w:t>
      </w:r>
      <w:r>
        <w:rPr>
          <w:b/>
          <w:bCs/>
          <w:snapToGrid w:val="0"/>
          <w:sz w:val="24"/>
          <w:rtl/>
        </w:rPr>
        <w:t>דאתעביד מינה איבא</w:t>
      </w:r>
      <w:r>
        <w:rPr>
          <w:snapToGrid w:val="0"/>
          <w:sz w:val="24"/>
          <w:rtl/>
        </w:rPr>
        <w:t xml:space="preserve"> והוא ביד, דכל מעשה ידיו של אדם הוא באתפתחת היד שהן פרי מעשיו של אדם והוא מעשיו הטובים כמו שאמרו (תנחומא נח סימן ב) תולדותיו של צדיק מעשיו הטובים שנאמר פרי צדיק כו', וכן כתובים שם באלו הגוונין כל מעשיו, ועיין בזהר פרשת יתרו וכמו שכתוב (איוב לז ז) ביד כל אדם יחתום לדעת כל אנשי מעשהו, וכן איבא דבנים הם שם כמו שאומר בפ' בלק וברית אתער בידין, וכמו שאמרו (שבת לב ע"ב) איזה מעשה ידיו של אדם זהו בניו ובנותיו של אדם, והוא דוגמת החכמה דהכל שם ולא אתגליא אלא בבינה, ה' עלאה, וכן כאן ביו"ד דהוא כף היד צורת יו"ד סתום בקמץ צורת יו"ד ואתפתח ונתגלה בה' אצבעאן פתיחו דידא וכמו שאומר לעיל בהקדמה בארוכה:</w:t>
      </w:r>
    </w:p>
  </w:footnote>
  <w:footnote w:id="4405">
    <w:p w:rsidR="00A13282" w:rsidRDefault="00A13282" w:rsidP="00602EF1">
      <w:pPr>
        <w:pStyle w:val="a5"/>
        <w:rPr>
          <w:rtl/>
        </w:rPr>
      </w:pPr>
      <w:r>
        <w:rPr>
          <w:rStyle w:val="a7"/>
          <w:rtl/>
        </w:rPr>
        <w:footnoteRef/>
      </w:r>
      <w:r>
        <w:rPr>
          <w:rtl/>
        </w:rPr>
        <w:t xml:space="preserve"> </w:t>
      </w:r>
      <w:r>
        <w:rPr>
          <w:b/>
          <w:bCs/>
          <w:snapToGrid w:val="0"/>
          <w:sz w:val="24"/>
          <w:rtl/>
        </w:rPr>
        <w:t>ואינון כפתור ופרח.</w:t>
      </w:r>
      <w:r>
        <w:rPr>
          <w:snapToGrid w:val="0"/>
          <w:sz w:val="24"/>
          <w:rtl/>
        </w:rPr>
        <w:t xml:space="preserve"> דהוא פרח שושן וכן תרגם אונקלוס (שמות כה לג) חזור ושושן, והוא שושנה הנ"ל וכן כפתורים הכל מצויירין בשרטוטין:</w:t>
      </w:r>
    </w:p>
  </w:footnote>
  <w:footnote w:id="4406">
    <w:p w:rsidR="00A13282" w:rsidRDefault="00A13282" w:rsidP="00602EF1">
      <w:pPr>
        <w:pStyle w:val="a5"/>
        <w:rPr>
          <w:rtl/>
        </w:rPr>
      </w:pPr>
      <w:r>
        <w:rPr>
          <w:rStyle w:val="a7"/>
          <w:rtl/>
        </w:rPr>
        <w:footnoteRef/>
      </w:r>
      <w:r>
        <w:rPr>
          <w:rtl/>
        </w:rPr>
        <w:t xml:space="preserve"> </w:t>
      </w:r>
      <w:r>
        <w:rPr>
          <w:b/>
          <w:bCs/>
          <w:snapToGrid w:val="0"/>
          <w:sz w:val="24"/>
          <w:rtl/>
        </w:rPr>
        <w:t xml:space="preserve">ששה קנים יוצאים מן כו'. </w:t>
      </w:r>
      <w:r>
        <w:rPr>
          <w:snapToGrid w:val="0"/>
          <w:sz w:val="24"/>
          <w:rtl/>
        </w:rPr>
        <w:t>וכן נקראים קנה הזרוע וכן כל ג' פרקין, והמנורה הוא גם כן הוי"ה שלימה כמו שאמרו ברעיא מהימנא פ' תרומה קנ"ח א' דה' הוא תלת קנים וה' שניה תלת קנים והן ב' ההין, בימינא ושמאלא, כמו שאומר לעיל ל"ט ב' וריש תיקון כ”ב, והיא ה' עלאה ביד ימינא וה' תתאה ביד שמאלא כמו שאומר לעיל בתיקון נ”ה ולכן ה' אצבעאן נגד ה', ו' - גוף המנורה, עמודא דאמצעיתא, יו"ד - נרות שעליהן והוא ראש על הגוף, י' על ו', ושבעה נרות הן ז' נוקבין דרישא שהן ז' נרות כמו שאומר בתיקון כ”ח ושאר מקומות:</w:t>
      </w:r>
    </w:p>
  </w:footnote>
  <w:footnote w:id="4407">
    <w:p w:rsidR="00A13282" w:rsidRDefault="00A13282" w:rsidP="00602EF1">
      <w:pPr>
        <w:pStyle w:val="a5"/>
        <w:rPr>
          <w:rtl/>
        </w:rPr>
      </w:pPr>
      <w:r>
        <w:rPr>
          <w:rStyle w:val="a7"/>
          <w:rtl/>
        </w:rPr>
        <w:footnoteRef/>
      </w:r>
      <w:r>
        <w:rPr>
          <w:rtl/>
        </w:rPr>
        <w:t xml:space="preserve"> </w:t>
      </w:r>
      <w:r>
        <w:rPr>
          <w:b/>
          <w:bCs/>
          <w:snapToGrid w:val="0"/>
          <w:sz w:val="24"/>
          <w:rtl/>
        </w:rPr>
        <w:t>ואיהו עבד פרודא כו'.</w:t>
      </w:r>
      <w:r>
        <w:rPr>
          <w:snapToGrid w:val="0"/>
          <w:sz w:val="24"/>
          <w:rtl/>
        </w:rPr>
        <w:t xml:space="preserve"> כמו שאמרו על פסוק (קהלת ז כט) והאלקים עשה את האדם ישר והמה כו':</w:t>
      </w:r>
    </w:p>
  </w:footnote>
  <w:footnote w:id="4408">
    <w:p w:rsidR="00A13282" w:rsidRDefault="00A13282" w:rsidP="00602EF1">
      <w:pPr>
        <w:pStyle w:val="a5"/>
        <w:rPr>
          <w:rtl/>
        </w:rPr>
      </w:pPr>
      <w:r>
        <w:rPr>
          <w:rStyle w:val="a7"/>
          <w:rtl/>
        </w:rPr>
        <w:footnoteRef/>
      </w:r>
      <w:r>
        <w:rPr>
          <w:rtl/>
        </w:rPr>
        <w:t xml:space="preserve"> </w:t>
      </w:r>
      <w:r>
        <w:rPr>
          <w:b/>
          <w:bCs/>
          <w:snapToGrid w:val="0"/>
          <w:sz w:val="24"/>
          <w:rtl/>
        </w:rPr>
        <w:t>סליק מיניה בת זוגא.</w:t>
      </w:r>
      <w:r>
        <w:rPr>
          <w:snapToGrid w:val="0"/>
          <w:sz w:val="24"/>
          <w:rtl/>
        </w:rPr>
        <w:t xml:space="preserve"> היא נשמת חיים כמו שאומר למטה דאסתלק מיניה אתתא דאיהי עץ חיים דאתמר בה עץ חיים כו' ועיין לקמן תיקון ס”ה צ"ט ב' ועלה אתמר עץ חיים כו' ומסטרא דילה ויפח באפיו נשמת חיים כו', וכן הוה לישראל בשברון הלוחות וכמו שאומר לקמן ק"א א' בארוכה וכמו שאומר בפ' בראשית דעובדא דאדם הוה לישראל בעגל, והוא תורת חיים, בת מלך פנימה דאתאביד מיניה, וכן נשמתא דיליה, וחנוך נטיל יתיה וכמו שאומר בזהר חדש רות ולכן זכה לחיים והסתלקות בת זוגיה גרים לנפש חיה דאתפשט מיניה ונחית כמו שאומר בפרק ג' דספרא דצניעותא ובפ' תזריע ועיין מה שכתבתי שם, וכן משה אבד לה בסלע ועדיין היא ארוסה, (דברים לג ד) מורשה - מאורסה, ולא נכנס לארץ בשביל כן דהיא (דברים ח ט) ארץ אשר כו' כמו שאומר למטה ועלה אתמר ארץ אשר לא כו' ואמר למטה דאיהו הוה (שמות לב טז) חרות כו' (תנחומא שלח יג) חירות ממלאך המות, חירות כו', והן לוחות הראשונות, וענין הבת זוג הוא הנפש וכן הוא לקמן בתיקון ס”ט ועיין מה שאמר לעיל בתיקון כ”ה והות ליה נפש דאצילות ונסתלק ממנו וזה שאומר </w:t>
      </w:r>
      <w:r>
        <w:rPr>
          <w:b/>
          <w:bCs/>
          <w:snapToGrid w:val="0"/>
          <w:sz w:val="24"/>
          <w:rtl/>
        </w:rPr>
        <w:t>דגרים לסלקא כו'</w:t>
      </w:r>
      <w:r>
        <w:rPr>
          <w:snapToGrid w:val="0"/>
          <w:sz w:val="24"/>
          <w:rtl/>
        </w:rPr>
        <w:t xml:space="preserve"> </w:t>
      </w:r>
      <w:r>
        <w:rPr>
          <w:b/>
          <w:bCs/>
          <w:snapToGrid w:val="0"/>
          <w:sz w:val="24"/>
          <w:rtl/>
        </w:rPr>
        <w:t>הכי קב"ה סליק מיניה בת זוגי' כו' דבאתר דלא שריא שכינתא כו'.</w:t>
      </w:r>
      <w:r>
        <w:rPr>
          <w:snapToGrid w:val="0"/>
          <w:sz w:val="24"/>
          <w:rtl/>
        </w:rPr>
        <w:t xml:space="preserve"> כי שכינתא דאצילות שריא על נפש דאצילות שהיא ממנה כי הכל נמשך אל יסודה כמו שאומר בפ' פנחס בענין הקרבנות כי כל דבר יש לה הנאה ביסודה והכל מתקרב אל הדבר היוצא ממנה ומתהני במעשיה וכיון שנסתלק הנפשא דאתי מסטרה היא גם כן נסתלקה ממנו, ואמר ואסתלק קב"ה מיניה דבאתר כו', דרוחא דאצילות היה לו גם כן מתחלה והיא גם כן נסתלקה מיניה, דבאצילות אין פירוד, דקב"ה אסתלק עם שכינתא וכן רוחא דאצילות עם נפשא וכן הות ליה נשמתא דאצילות ונסתלק ממנו כל הנר"ן בבת אחת וכמו שאומר בלוחות הראשונות לקמן ק"א א' בשבירת ב' לוחות, ב' יודין, ב' בתים, ופריחת ו' עמהון עיין שם ונשארה לו נר"ן דבי"ע שהן עץ הדעת טוב ורע כידוע:</w:t>
      </w:r>
    </w:p>
  </w:footnote>
  <w:footnote w:id="4409">
    <w:p w:rsidR="00A13282" w:rsidRDefault="00A13282" w:rsidP="00602EF1">
      <w:pPr>
        <w:pStyle w:val="a5"/>
        <w:rPr>
          <w:rtl/>
        </w:rPr>
      </w:pPr>
      <w:r>
        <w:rPr>
          <w:rStyle w:val="a7"/>
          <w:rtl/>
        </w:rPr>
        <w:footnoteRef/>
      </w:r>
      <w:r>
        <w:rPr>
          <w:rtl/>
        </w:rPr>
        <w:t xml:space="preserve"> </w:t>
      </w:r>
      <w:r>
        <w:rPr>
          <w:b/>
          <w:bCs/>
          <w:snapToGrid w:val="0"/>
          <w:sz w:val="24"/>
          <w:rtl/>
        </w:rPr>
        <w:t>כד"א ויאמ' ה' אלקחם לא כו'.</w:t>
      </w:r>
      <w:r>
        <w:rPr>
          <w:snapToGrid w:val="0"/>
          <w:sz w:val="24"/>
          <w:rtl/>
        </w:rPr>
        <w:t xml:space="preserve"> רוצה לומר שהתקין לו מקודם נר"ן</w:t>
      </w:r>
      <w:r>
        <w:rPr>
          <w:b/>
          <w:bCs/>
          <w:snapToGrid w:val="0"/>
          <w:sz w:val="24"/>
          <w:rtl/>
        </w:rPr>
        <w:t xml:space="preserve"> </w:t>
      </w:r>
      <w:r>
        <w:rPr>
          <w:snapToGrid w:val="0"/>
          <w:sz w:val="24"/>
          <w:rtl/>
        </w:rPr>
        <w:t>דבי"ע שיהיה לו עזר שאם יחטא שלא ישאר לבדו ועיין לקמן ריש תיקון ס”ה האי לאו איהי כאתתא קדמאה כו' אין חד יצר טוב וחד כו':</w:t>
      </w:r>
    </w:p>
  </w:footnote>
  <w:footnote w:id="4410">
    <w:p w:rsidR="00A13282" w:rsidRDefault="00A13282" w:rsidP="00602EF1">
      <w:pPr>
        <w:pStyle w:val="a5"/>
        <w:rPr>
          <w:rtl/>
        </w:rPr>
      </w:pPr>
      <w:r>
        <w:rPr>
          <w:rStyle w:val="a7"/>
          <w:rtl/>
        </w:rPr>
        <w:footnoteRef/>
      </w:r>
      <w:r>
        <w:rPr>
          <w:rtl/>
        </w:rPr>
        <w:t xml:space="preserve"> </w:t>
      </w:r>
      <w:r>
        <w:rPr>
          <w:b/>
          <w:bCs/>
          <w:snapToGrid w:val="0"/>
          <w:sz w:val="24"/>
          <w:rtl/>
        </w:rPr>
        <w:t>ודא גרים ליעקב כו'.</w:t>
      </w:r>
      <w:r>
        <w:rPr>
          <w:snapToGrid w:val="0"/>
          <w:sz w:val="24"/>
          <w:rtl/>
        </w:rPr>
        <w:t xml:space="preserve"> הענין כי יעקב הוא זכה תחלה לנפשא דאדם הראשון, נר"ן דבי"ע, וגם לנפשא דאצילות, והוא סוד ד' אתוון דיעקב, עקב - הוא נר"ן דבי"ע, (דברים ז יב) עקב תשמעון דשם שכר ועונש אבל לנפשא דאצילות לא תליא שכר ועונש והוא י' דיעקב, וישראל הוא נר"ן דבי"ע גם כן אלא דשם מצד הנוק' וכאן מצד הדכורא וכמו שאומר למעלה כי לאדם ב' נשמתין, אחד - נר"ן מצד הדכורא, ואחד - מצד הנוק', והראשונה בכללה נקראת רוח, והשניה בכללה נקראת נפש, בת זוגיה, ונגד זה יש לאדם ב' יצרין, והיצר הרע מפתה לנוק' וכמו שאומר לעיל מ"ג א' למאן פתי מינייהו כו', והוא פתויו לחוה כמו שאומר לעיל תיקון ס”ה, ונגד זה נתקלל, הוא ישופך ראש - בדכורא וכמו שאומר ברעיא מהימנא סוף ח"א, ואתה כו' - בנוק' דהוא עקב כנ"ל, והכל בבי"ע אבל באצילות לא יגורך רע ושם לא שייך לומר אפילו הוא ישופך ראש דשם אין צריך לא זכות ולא חובה, ויעקב לא זכה מתחלה אלא לנוק', מקום אחיזת החויא, ולכן שכן עמו בבטן אחד ועקב שם את אחיו והלך עמו בעקמומית עד דסליק ליה מכולא כמו שכתוב עם עקש תתפתל כמו שעשה לו החויא מתחלה עשה לו הוא כנגדו עד דסליק ליה מכולא (הנה זכה גם ליו"ד, נפשא דאצילות אבל לא בא לו בפועל כנ"ל) ועקב אותו שלשה פעמים לסלקא אותו מכל הג' עולמות, מנר"ן דיליה כמו שכתוב (בראשית כז לו) הכי קרא שמו יעקב ויעקבני זה פעמים את בכורתי לקח - ביצירה, דשם בני בכורי ישראל מקנן שם, ועתה לקח ברכתי - בבריאה דשם ברכת ה' היא תעשיר, בבינה דמקננת שם וכמו שאומר לעיל  תיקון נ”ה ובבטן עקב את אחיו ודא לא ידע ועיין בפ' משפטים קי"א ב' בכלא דחי יעקב לעשו אחוי בגין דלא יהא ליה חולקא כלל כו' דאינון תרין כו' ולא ידע עשו מה דעביד ליה בבטן אבל רב ממנא דיליה ידע כו' עיין שם בארוכה כל הענין והנה זכה יעקב גם ליו"ד נפשא דאצילות והנה באותו לילה ויותר יעקב לבדו, שבו נתעורר רב ממנא דעשו, ובחטא אדם הראשון נסתלק היו"ד ממנו ונשאר עקב ונתקיים ואתה תשופנו עקב שנגע בכף ירך יעקב, עקב דיעקב, סוף של תיבה יעקב, וזה שאומר ודא גרים ליעקב כו' כמו שנסתלק מאדם הראשון כך נסתלק ממנו עתה גם כן, שהוא אדם בעצמו וכמו שנתפתה העקב נר"ן הנ"ל דנוק' שלו בתחילה לכן נצח ליה כאן גם כן ונגע ביה ונלקה שם וזה שאומר ובההוא זמנא כו' והכל בשביל דפרח היו"ד כי שם לא יגורך כו' והזר הקרב כו':</w:t>
      </w:r>
    </w:p>
  </w:footnote>
  <w:footnote w:id="4411">
    <w:p w:rsidR="00A13282" w:rsidRDefault="00A13282" w:rsidP="00602EF1">
      <w:pPr>
        <w:pStyle w:val="a5"/>
        <w:rPr>
          <w:rtl/>
        </w:rPr>
      </w:pPr>
      <w:r>
        <w:rPr>
          <w:rStyle w:val="a7"/>
          <w:rtl/>
        </w:rPr>
        <w:footnoteRef/>
      </w:r>
      <w:r>
        <w:rPr>
          <w:rtl/>
        </w:rPr>
        <w:t xml:space="preserve"> </w:t>
      </w:r>
      <w:r>
        <w:rPr>
          <w:b/>
          <w:bCs/>
          <w:snapToGrid w:val="0"/>
          <w:sz w:val="24"/>
          <w:rtl/>
        </w:rPr>
        <w:t>באן אתר נגע בגיד כו' דאיהי י' כו'.</w:t>
      </w:r>
      <w:r>
        <w:rPr>
          <w:snapToGrid w:val="0"/>
          <w:sz w:val="24"/>
          <w:rtl/>
        </w:rPr>
        <w:t xml:space="preserve"> הנה גיד הנשה מפרש דהוא גיד האמה וכמו שאומר לעיל מ"ם א' ודא ברית מילה כו' בההיא יו"ד אתעבידת גיד ואמאי אתקריאת ג"ד בגין דאיהי כלילא מז' ספירות דסלקין לחושבן ג"ד, ואמאי אתקריאת נשה בגין כו' כזרע ג"ד וע"ל מ"ו א' פתח ואמר והמן כזרע ג"ד כו' יו"ד ודאי טפה חוורתא דביה אשתלים ג"ד ואתעביד גיד כו', והוא יו"ד דברית והוא סוד יסו"ד, סו"ד הוא ג"ד כד נטיל ונכלל ביו"ד, ויו"ד הוא יו"ד דגיד, והוא יסו"ד וכמו שאומר לעיל ובחטא אדם הראשון שאמרו (סנהדרין לח ע"ב) מושך בערלתו כו', דשם חטא ונסתלק ונעשה גד, ומיעקב עקב, וכן יו"ד דשד"י ולכן ותקע כו', והכל בעטיו של נחש, ואמרו במדרש רבה שנגע בתולדותיו וגרם להו גלותא והכל בשביל יוד דפרח מינייהו דחטאו בברית והוא נגיעתו בגיד הנשה וכמו שאומר לעיל צ"ג א' דדא גרים גלות ואתגלי כו', וזהו (תהלים מט ו) עון עקבי יסובני ואמרו (ע"ז יח ע"א) עונות שאדם דש בעקבו, ורומז על חטא זה כמו שאמרו (חגיגה ה ע"ב) אפילו שיחה קלה כו', ודש לשון דש מבפנים, ועקב ידוע כמו שכתוב ובשליתה היוצאת מבין רגליה, ועקב הוא סוף כי זו בחינה האחרונה שבאדם וכף הוא ידוע שנקרא כף, וכן ירך - יוצאי ירך, וכן (במדבר ה כז) ירכה, וכמו שאמרו בהיכל לבנת הספיר בארוכה, וזהו דש בעקב דאסתלק יו"ד דשד"י ויו"ד דיעקב והוא בזו"נ דביה ולכן גם בגלותא נשאר דש בעקב כמו שמפרש והולך דאיהי דש בעקב בגלותא כו' דהוא לזנב ונידוש ברגלין וזהו דש בעקבא דלהון וכמו שאמרו (בראשית רבה פרשה מא) ותשימי כארץ גוך וכחוץ לעוברים אשר אמרו לנפשך שחי ונעבורה, שהיו מרביצין אותן בפלטריות כו', וכן עובד להם בגלותא וכמו שאמרו (ברכות לה ע"ב) ולא עוד כו' כמו שכתוב ועבדת את אויבך, (ילקוט שמעוני בראשית פרק כה סימן קי) זכה יעבוד כו', וזה שאומר ודא רזא וידו אוחזת כו' דאיהו דש כו', שידו משועבד לעקב עשו שהוא הגלותא כמו שמפרש והולך אבל עבד ליה עוקבא בדא כמו שאומר בפ' משפטים שם עקב את אחיו ודאי דעבד ליה עוקבא וארמי ליה לאחורא מאי לאחורא אקדים ליה דיפוק בקדמיתא להאי עלמא אמר יעקב לעשו טול אתה האי עלמא בקדמיתא ואנא לבתר כו' וידו אוחזת בעקב עשו הוא בעקבות משיחא דאף האי עלמא יחזור ליעקב וזהו בעקב דיליה שהוא עקב דהאי עלמא לקח לעצמו והוא יעבוד צעיר, (ישעיהו סא ה) ועמדו זרים ורעו צאנכם, (ישעיהו יא ח) ושעשע יונק על חור פתן ועל מאורת צפעוני גמול ידו הדה, וזהו (בראשית כה כו) וידו אוחזת כו', (עובדיה א כא) ועלו מושיעים בהר ציון לשפוט כו', ויחזור היו"ד ליעקב, וישראל זכה אח"כ והוא נר"ן שבבי"ע מצד הדכורא, ויו"ד רוחא דאצילות, ושם והוא ישופך ראש - ראש דדכורא כנ"ל ונתרפא מצלעתו והוא ההוא עלמא, עולם הבא דשם ישופך ראש דאין חלק בו שם ועיין מה שכתבתי במקום אחר בענין שם יל"י דהוא בישראל ויעקב בארוכה:</w:t>
      </w:r>
    </w:p>
  </w:footnote>
  <w:footnote w:id="4412">
    <w:p w:rsidR="00A13282" w:rsidRDefault="00A13282" w:rsidP="00602EF1">
      <w:pPr>
        <w:pStyle w:val="a5"/>
        <w:rPr>
          <w:rtl/>
        </w:rPr>
      </w:pPr>
      <w:r>
        <w:rPr>
          <w:rStyle w:val="a7"/>
          <w:rtl/>
        </w:rPr>
        <w:footnoteRef/>
      </w:r>
      <w:r>
        <w:rPr>
          <w:rtl/>
        </w:rPr>
        <w:t xml:space="preserve"> </w:t>
      </w:r>
      <w:r>
        <w:rPr>
          <w:b/>
          <w:bCs/>
          <w:snapToGrid w:val="0"/>
          <w:sz w:val="24"/>
          <w:rtl/>
        </w:rPr>
        <w:t>כמה דגרים דשכינתא כו'.</w:t>
      </w:r>
      <w:r>
        <w:rPr>
          <w:snapToGrid w:val="0"/>
          <w:sz w:val="24"/>
          <w:rtl/>
        </w:rPr>
        <w:t xml:space="preserve"> לכן גם כן פרח יו"ד דיעקב מבני ישראל ונשארו עקב כנ"ל, ויו"ד הנ"ל הוא שכינתא דפרח מיניה כמה דהוא גרים יעקב הוא אתתא אחרא דבי"ע, עץ הדעת טוב ורע כנ"ל וזה שאומר </w:t>
      </w:r>
      <w:r>
        <w:rPr>
          <w:b/>
          <w:bCs/>
          <w:snapToGrid w:val="0"/>
          <w:sz w:val="24"/>
          <w:rtl/>
        </w:rPr>
        <w:t>ובג"ד לא כו' דא אחרא כו' מסט' דעץ הדעת טוב ורע באיסור והיתר כו'.</w:t>
      </w:r>
      <w:r>
        <w:rPr>
          <w:snapToGrid w:val="0"/>
          <w:sz w:val="24"/>
          <w:rtl/>
        </w:rPr>
        <w:t xml:space="preserve"> ורוצה לומר זהו עזר כנגדו, עזר מסטרא דטוב וכנגדו מסטרא דרע וכמו שאומר למטה אתייהב ליה אחרא מסטרא דסיהרא כו' דאיהי פלגו דילה כו' כגוונא דלבא כו' ובג"ד אם זכה כו', והיא שית סדרין, ג' - טוב, היתר, טהרה, כשר, וחציו כו' ועיין בזהר פרשת בראשית כ"ז ב' ואי זכו ישראל איהי עזר לון בגלותא מסטרא דהיתר טהור כשר ואי לאו כו', טהור היתר כשר איהי יצר הטוב כו', ואתתא דאית לה דם טוהר ודם נדה מסטרא דמשנה איהי כו' עיין שם בדבריו, וניתן לו מצוות עשה ומצוות לא תעשה בשביל זה גם כן והוא שית סטרין דנוק' והן ב' לוחות האחרונות, ימינא ושמאלא, ה' בלוח אחד וה' בשני, דהראשונות היו מעץ החיים ועיין לקמן ק"א א' וזה שאומר דם טהור כו' שהן ה' דמים טהורים וה' כו', שהוא (בראשית ג טז) הרבה ארבה עצבונך, ב' פעמים הרבה ארבה, ושם בעצבון תאכלנה מה שאין כן בעץ החיים כמו שאומר למטה וזהו ועצבונך ב' מיני דמים הנ"ל:</w:t>
      </w:r>
    </w:p>
  </w:footnote>
  <w:footnote w:id="4413">
    <w:p w:rsidR="00A13282" w:rsidRDefault="00A13282" w:rsidP="00602EF1">
      <w:pPr>
        <w:pStyle w:val="a5"/>
        <w:rPr>
          <w:rtl/>
        </w:rPr>
      </w:pPr>
      <w:r>
        <w:rPr>
          <w:rStyle w:val="a7"/>
          <w:rtl/>
        </w:rPr>
        <w:footnoteRef/>
      </w:r>
      <w:r>
        <w:rPr>
          <w:rtl/>
        </w:rPr>
        <w:t xml:space="preserve"> </w:t>
      </w:r>
      <w:r>
        <w:rPr>
          <w:b/>
          <w:bCs/>
          <w:snapToGrid w:val="0"/>
          <w:sz w:val="24"/>
          <w:rtl/>
        </w:rPr>
        <w:t>חירו מכל מרעין בישין מעניותא כו'.</w:t>
      </w:r>
      <w:r>
        <w:rPr>
          <w:snapToGrid w:val="0"/>
          <w:sz w:val="24"/>
          <w:rtl/>
        </w:rPr>
        <w:t xml:space="preserve"> חשיב ששה דברים נגד ששה שבעץ הדעת, איסור והיתר כו' שהוא בעצבון כנ"ל ואמר חירות ממלאך המות חירות משעבוד מלכיות שהן ב' כתרים שזכו ישראל בלוחות הראשונות  וכמו שאמרו (ערובין נד ע"א) אלמלא לא נשתברו לוחות הראשונות אין כל אומה כו' ואין מ"ה כו', והוא דכורא ונוק' דביה, דשעבוד הוא מסטרא דנוק' כללא דשבעין אומין פלחי כוכביא כמו שאומר לעיל בריש תיקון כ"ד, ושני הכתרים הן מסטרא די"ה עלמא דחירו כי יד על כס י"ה, ועוד שהתורה לא נשתכחה כלל וזהו חרות על הלוחות חקוק על לוח לבם, כתר הג' כידוע, שאלו הב' הן ג' וכמו שכתוב והייתם לי סגולה וכמו שכתבתי במקום אחר, והן ט' ספירות דנהירו בה ונעשו אח"ד והכל יחזרו לעתיד לבוא כמו שכתוב (ישעיהו ד ג) כל הכתוב לחיים כו', (ישעיהו מט כג) והיו מלכים אומניך כו' וכיוצא הרבה, (ירמיהו לא לב) נתתי את תורתי בקרבם ועל לבם אכתבנה כו', דיתבקע ימא דאורייתא ע"י שילה ויקח את ארוסה דיליה:</w:t>
      </w:r>
    </w:p>
  </w:footnote>
  <w:footnote w:id="4414">
    <w:p w:rsidR="00A13282" w:rsidRDefault="00A13282" w:rsidP="00602EF1">
      <w:pPr>
        <w:pStyle w:val="a5"/>
        <w:rPr>
          <w:rtl/>
        </w:rPr>
      </w:pPr>
      <w:r>
        <w:rPr>
          <w:rStyle w:val="a7"/>
          <w:rtl/>
        </w:rPr>
        <w:footnoteRef/>
      </w:r>
      <w:r>
        <w:rPr>
          <w:rtl/>
        </w:rPr>
        <w:t xml:space="preserve"> </w:t>
      </w:r>
      <w:r>
        <w:rPr>
          <w:b/>
          <w:bCs/>
          <w:snapToGrid w:val="0"/>
          <w:sz w:val="24"/>
          <w:rtl/>
        </w:rPr>
        <w:t>מסט' דסיהרא.</w:t>
      </w:r>
      <w:r>
        <w:rPr>
          <w:snapToGrid w:val="0"/>
          <w:sz w:val="24"/>
          <w:rtl/>
        </w:rPr>
        <w:t xml:space="preserve"> רוצה לומר סיהרא דעץ הדעת דהיא פגומה חצי חודש, כ"ח עתים דקהלת, י"ד וי"ד, והן ה' אלקינו ה' דיד ימינא י"ד פרקין, וחילופם ביד שמאלא, ועיין לעיל תיקון נ”ה אבל סיהרא דעץ החיים לית לה פסק כמו שאומר ברעיא מהימנא פ' פנחס רמ"ח ב' עיין שם:</w:t>
      </w:r>
    </w:p>
  </w:footnote>
  <w:footnote w:id="4415">
    <w:p w:rsidR="00A13282" w:rsidRDefault="00A13282" w:rsidP="00602EF1">
      <w:pPr>
        <w:pStyle w:val="a5"/>
        <w:rPr>
          <w:rtl/>
        </w:rPr>
      </w:pPr>
      <w:r>
        <w:rPr>
          <w:rStyle w:val="a7"/>
          <w:rtl/>
        </w:rPr>
        <w:footnoteRef/>
      </w:r>
      <w:r>
        <w:rPr>
          <w:rtl/>
        </w:rPr>
        <w:t xml:space="preserve"> </w:t>
      </w:r>
      <w:r>
        <w:rPr>
          <w:b/>
          <w:bCs/>
          <w:snapToGrid w:val="0"/>
          <w:sz w:val="24"/>
          <w:rtl/>
        </w:rPr>
        <w:t>עריות מסט' כו'.</w:t>
      </w:r>
      <w:r>
        <w:rPr>
          <w:snapToGrid w:val="0"/>
          <w:sz w:val="24"/>
          <w:rtl/>
        </w:rPr>
        <w:t xml:space="preserve"> עתה חוזר לפרש מה שאמר לעיל צ"ג א' וד' זמנין גלת כו' בין ד' אתוון ומפרש לה מקרא, והן ט"ו עריות, חמש עשרה נשים מסטרא די"ה, ושש עריות חמורות מסטרא דוא"ו, וכמו שאומר בפ' בראשית, והן חמורות שהן למטה, וכמו שי"ה הן כחדא לכן הם גם כן כנ"ל, וה' עריות שאינן מקורבה, נדה ואשת איש וזכר ובהמה רובע ונרבע, ואף שעיקרן חי"ה וכמו שכתבתי במקום אחר שאלו הכ"א הן ח"י וזה שאומר ו"חי בהם והוא מסטרא דצדיק דנקרא ח"י ואעפ"כ מתחלקים כנ"ל:</w:t>
      </w:r>
    </w:p>
  </w:footnote>
  <w:footnote w:id="4416">
    <w:p w:rsidR="00A13282" w:rsidRDefault="00A13282" w:rsidP="00602EF1">
      <w:pPr>
        <w:pStyle w:val="a5"/>
        <w:rPr>
          <w:snapToGrid w:val="0"/>
          <w:sz w:val="24"/>
          <w:rtl/>
        </w:rPr>
      </w:pPr>
      <w:r>
        <w:rPr>
          <w:rStyle w:val="a7"/>
          <w:rtl/>
        </w:rPr>
        <w:footnoteRef/>
      </w:r>
      <w:r>
        <w:rPr>
          <w:rtl/>
        </w:rPr>
        <w:t xml:space="preserve"> </w:t>
      </w:r>
      <w:r>
        <w:rPr>
          <w:b/>
          <w:bCs/>
          <w:snapToGrid w:val="0"/>
          <w:sz w:val="24"/>
          <w:rtl/>
        </w:rPr>
        <w:t>ערות אשה ובתה כו'.</w:t>
      </w:r>
      <w:r>
        <w:rPr>
          <w:snapToGrid w:val="0"/>
          <w:sz w:val="24"/>
          <w:rtl/>
        </w:rPr>
        <w:t xml:space="preserve"> ורוצה לומר, לאדם שהוא דכורא הזהיר כל העריות והוא ו' של שם, וערות אשה ובתה הן ה"ה, וכלתך - יו"ד, הרי יהו"ה, וכן שאר כל העריות באלו ג' אותיות, והזהיר את הוא"ו כנ"ל, ועיין בזהר פ' בראשית ואינון אפרישין בין ה' לה' דלא אתקריב וא"ו בינייהו הדא הוא דכתיב ערות אשה ובתה לא תגלה ואינון שכינתא עלאה ותתאה כו' ורזא דמלה ונהר יחרב כו' ובגין דא לית קריבו כו' עיין שם. ומפרש שם כל העריות על ג' אתוון הנשארים, ומפרש שם על הערב רב דהן עריות דישראל וגלותא דלהון עיין שם בדבריו. ואמר דא י' זעירא כו' רוצה לומר מלכות דילה שהיא הכלה ומפרש והולך </w:t>
      </w:r>
      <w:r>
        <w:rPr>
          <w:b/>
          <w:bCs/>
          <w:snapToGrid w:val="0"/>
          <w:sz w:val="24"/>
          <w:rtl/>
        </w:rPr>
        <w:t>ת"ח שכינתא כו'.</w:t>
      </w:r>
      <w:r>
        <w:rPr>
          <w:snapToGrid w:val="0"/>
          <w:sz w:val="24"/>
          <w:rtl/>
        </w:rPr>
        <w:t xml:space="preserve"> והן ד' דרגין דנוק' כמו שאומר לעיל נ"ג ד' ובכל קו האמצעי, ביסוד - כלה, ובת"ת - אחות, ומסטרא דאימא - בת, והן ג' נקבים - שורק וכמו שאומר שם. ואמר </w:t>
      </w:r>
      <w:r>
        <w:rPr>
          <w:b/>
          <w:bCs/>
          <w:snapToGrid w:val="0"/>
          <w:sz w:val="24"/>
          <w:rtl/>
        </w:rPr>
        <w:t>שאר בשרו כו'.</w:t>
      </w:r>
      <w:r>
        <w:rPr>
          <w:snapToGrid w:val="0"/>
          <w:sz w:val="24"/>
          <w:rtl/>
        </w:rPr>
        <w:t xml:space="preserve"> רוצה לומר מסטרא דדעת דכליל כולא כמו שאומר למעלה בתיקון כ”א ושאר מקומות, ופה מסטרא דאימא הוא בבחינה חיצונית אבל מסטרא דפנימית הוא מסטרא דיו"ד, חכמה דכליל כולא כמו שאומר בפ' ויקרא יו"ד ב' עיין שם בדבריו (ובע"א כלה י' וש"ב ה' אמ' ו' וב' וב' כולל הכל ה' אחרונה דכולל הכל) והוא ד' אתוון דהוי"ה כסדר הזה כלה אחות ובת ושאר בשר דכליל כולא:</w:t>
      </w:r>
    </w:p>
    <w:p w:rsidR="00A13282" w:rsidRDefault="00A13282" w:rsidP="00602EF1">
      <w:pPr>
        <w:pStyle w:val="a5"/>
        <w:rPr>
          <w:rtl/>
        </w:rPr>
      </w:pPr>
    </w:p>
  </w:footnote>
  <w:footnote w:id="4417">
    <w:p w:rsidR="00A13282" w:rsidRDefault="00A13282" w:rsidP="00602EF1">
      <w:pPr>
        <w:pStyle w:val="a5"/>
      </w:pPr>
      <w:r>
        <w:rPr>
          <w:rStyle w:val="a7"/>
        </w:rPr>
        <w:footnoteRef/>
      </w:r>
      <w:r>
        <w:t xml:space="preserve"> </w:t>
      </w:r>
      <w:r>
        <w:rPr>
          <w:rtl/>
        </w:rPr>
        <w:t xml:space="preserve"> </w:t>
      </w:r>
      <w:r>
        <w:rPr>
          <w:b/>
          <w:bCs/>
          <w:rtl/>
        </w:rPr>
        <w:t>תיקון ל"ד בראשית ב' נוק' פתיחא לקבלא לההוא דגמיל חסד עמה ולמאן לימינא דאת י' על כו'.</w:t>
      </w:r>
      <w:r>
        <w:rPr>
          <w:rtl/>
        </w:rPr>
        <w:t xml:space="preserve"> רוצה לומר דב' פתוחה כלפי ג' שהוא חסד, שלכן נקרא גימל - גומל חסד לד', וכמו שאמרו (שבת קד ע"א) ג"ד גמול דלים, דלא עייל בה אלא חס"ד כמו שאמרו דלא עייל בקודש הקדשים אלא כהנא, ועיין באדרא זוטא רצ"ו ב' וההוא חסד עייל לקודש הקדשים כו', ובזהר פרשת פקודי רנ"ג א' עיין שם, ואמר דאת י' - שעל ג' בראשו יו"ד, והוא חכמה ברישא דכהנא - דחכמה נחית בימינא כו', ופשיטו דג' - הוא הברית, דביה תליא, וכמו שכתוב (דברים ז ט) שומר הברית והחסד, ועיין שם בזהר פרשת פקודי ובזהר פרשת בראשית ט"ז ב' עאל ימינא בההוא כו' ואפיק יסודא דעלמא כו'. ואמר לימינא משום שרוצה לומר ובג"ד הרוצה כו':</w:t>
      </w:r>
    </w:p>
  </w:footnote>
  <w:footnote w:id="4418">
    <w:p w:rsidR="00A13282" w:rsidRDefault="00A13282" w:rsidP="00602EF1">
      <w:pPr>
        <w:pStyle w:val="a5"/>
      </w:pPr>
      <w:r>
        <w:rPr>
          <w:rStyle w:val="a7"/>
        </w:rPr>
        <w:footnoteRef/>
      </w:r>
      <w:r>
        <w:t xml:space="preserve"> </w:t>
      </w:r>
      <w:r>
        <w:rPr>
          <w:b/>
          <w:bCs/>
          <w:rtl/>
        </w:rPr>
        <w:t>ואיש אשר כו' חסד הוא.</w:t>
      </w:r>
      <w:r>
        <w:rPr>
          <w:rtl/>
        </w:rPr>
        <w:t xml:space="preserve"> רוצה לומר דאחותו הוא באתר דענפין מתפרדין, דלית יחודא אלא בצדיק, אבל אחותו הוא מסטרא דחסד ותמן קורבה ואחוה ולא יחודא, משום ערוה שכנגדן וכמו שאומר בתיקון נ”ו ועיין שם צ"ג א' אדהכי הא אליהו כו' קורבה דאחוה אית תמן כו' ובהאי אתר אתמר ואיש אשר כו' בזמנא דאלהים אחרים כו' עיין שם, וזה שאומר למטה בגין עריין כו'. והענין, כי (משלי ל כח) שממית בידים תתפש - מאברהם ויצחק, שיצאו מהן סיגים מחטא אדם הראשון שנצטרף בהם אדם וחוה ויצאו זוהמא דס"ם ונחש כמו שאומר בפרשת יתרו בזהר חדש ושאר מקומות, וכן בנו"ה דלא אתכלילן באדם ועיין בתיקון נ”ו, ולכן בחילוק האצבעות נאחזין, וכמו שאמרו במעשה מרכבה, וכן חילוק הידים זה מזה, וידים מרגלים, מה שאין כן גוף וברית שהן כחדא, ושם יחודא דאיש ואשה, ששניהם ביסוד, יסוד ועטרה, ברית אש הוא איש כמו שאומר לעיל בהקדמה וכן האשה, מה שאין כן בקורבה שהן בענפין כנ"ל:</w:t>
      </w:r>
    </w:p>
  </w:footnote>
  <w:footnote w:id="4419">
    <w:p w:rsidR="00A13282" w:rsidRDefault="00A13282" w:rsidP="00602EF1">
      <w:pPr>
        <w:pStyle w:val="a5"/>
      </w:pPr>
      <w:r>
        <w:rPr>
          <w:rStyle w:val="a7"/>
        </w:rPr>
        <w:footnoteRef/>
      </w:r>
      <w:r>
        <w:t xml:space="preserve"> </w:t>
      </w:r>
      <w:r>
        <w:rPr>
          <w:b/>
          <w:bCs/>
          <w:rtl/>
        </w:rPr>
        <w:t>בבשת בענוה ובגינם אתמר ערי' תעור ולפני עור כו' עור דאיהו ער ו' ורזא כו'.</w:t>
      </w:r>
      <w:r>
        <w:rPr>
          <w:rtl/>
        </w:rPr>
        <w:t xml:space="preserve"> רוצה לומר, תעור - לשון גילוי, שם - עריה, וכן עור, ראה רעה, הרי בכל ד' אתוון, ואמר כאן ורזא דמלה משום שכאן כתיב ונסתר דלא לאתחזיא פנים בפנים:</w:t>
      </w:r>
    </w:p>
  </w:footnote>
  <w:footnote w:id="4420">
    <w:p w:rsidR="00A13282" w:rsidRDefault="00A13282" w:rsidP="00602EF1">
      <w:pPr>
        <w:pStyle w:val="a5"/>
      </w:pPr>
      <w:r>
        <w:rPr>
          <w:rStyle w:val="a7"/>
        </w:rPr>
        <w:footnoteRef/>
      </w:r>
      <w:r>
        <w:t xml:space="preserve"> </w:t>
      </w:r>
      <w:r>
        <w:rPr>
          <w:b/>
          <w:bCs/>
          <w:rtl/>
        </w:rPr>
        <w:t>אבא כו'.</w:t>
      </w:r>
      <w:r>
        <w:rPr>
          <w:rtl/>
        </w:rPr>
        <w:t xml:space="preserve"> שהם הוי"ה:</w:t>
      </w:r>
    </w:p>
  </w:footnote>
  <w:footnote w:id="4421">
    <w:p w:rsidR="00A13282" w:rsidRDefault="00A13282" w:rsidP="00602EF1">
      <w:pPr>
        <w:pStyle w:val="a5"/>
      </w:pPr>
      <w:r>
        <w:rPr>
          <w:rStyle w:val="a7"/>
        </w:rPr>
        <w:footnoteRef/>
      </w:r>
      <w:r>
        <w:t xml:space="preserve"> </w:t>
      </w:r>
      <w:r>
        <w:rPr>
          <w:b/>
          <w:bCs/>
          <w:rtl/>
        </w:rPr>
        <w:t>ערוה דתרווייהו אחר.</w:t>
      </w:r>
      <w:r>
        <w:rPr>
          <w:rtl/>
        </w:rPr>
        <w:t xml:space="preserve"> כמו שמפרש והולך בזמנא כו', והוא אל אחר דמפריד כו':</w:t>
      </w:r>
    </w:p>
  </w:footnote>
  <w:footnote w:id="4422">
    <w:p w:rsidR="00A13282" w:rsidRDefault="00A13282" w:rsidP="00602EF1">
      <w:pPr>
        <w:pStyle w:val="a5"/>
        <w:rPr>
          <w:rtl/>
        </w:rPr>
      </w:pPr>
      <w:r>
        <w:rPr>
          <w:rStyle w:val="a7"/>
        </w:rPr>
        <w:footnoteRef/>
      </w:r>
      <w:r>
        <w:t xml:space="preserve"> </w:t>
      </w:r>
      <w:r>
        <w:rPr>
          <w:b/>
          <w:bCs/>
          <w:rtl/>
        </w:rPr>
        <w:t>וסוד אחר כו'.</w:t>
      </w:r>
      <w:r>
        <w:rPr>
          <w:rtl/>
        </w:rPr>
        <w:t xml:space="preserve"> סו"ד הוא יי"ן המשומר, סוד מן יסוד, שיסוד הוא סוד ע' אנפין ויוד הוא עטרת הברית, קוצא דאת ד', ובמקום אחר - אל תגל, ותגל הוא גלות דגרים בזה, וכמו שאומר לקמן צ"ג ודא איהו רזא וסוד כו', וכן הוא עריות די"ה לגלות סוד למי שאינו ראוי, שהס"א שורה, והוא גם כן וסוד אחר כו' וכמו שאומר בספרא דצניעותא וי מאן דגלי כו', והוא ברית הלשון, ובו"ה - ברית המעור ועיין בזהר פרשת ויקרא ברעיא מהימנא כ' א' מענין ע' אנפין ביסוד והוא לשון הקודש כו':</w:t>
      </w:r>
    </w:p>
    <w:p w:rsidR="00A13282" w:rsidRDefault="00A13282" w:rsidP="00602EF1">
      <w:pPr>
        <w:pStyle w:val="a5"/>
      </w:pPr>
    </w:p>
  </w:footnote>
  <w:footnote w:id="4423">
    <w:p w:rsidR="00A13282" w:rsidRDefault="00A13282" w:rsidP="00602EF1">
      <w:pPr>
        <w:pStyle w:val="a5"/>
        <w:rPr>
          <w:rtl/>
        </w:rPr>
      </w:pPr>
      <w:r>
        <w:rPr>
          <w:rStyle w:val="a7"/>
          <w:rtl/>
        </w:rPr>
        <w:footnoteRef/>
      </w:r>
      <w:r>
        <w:rPr>
          <w:rtl/>
        </w:rPr>
        <w:t xml:space="preserve"> </w:t>
      </w:r>
      <w:r>
        <w:rPr>
          <w:b/>
          <w:bCs/>
          <w:snapToGrid w:val="0"/>
          <w:sz w:val="24"/>
          <w:rtl/>
        </w:rPr>
        <w:t>תיקון נ"ז בראשית תרי שבא.</w:t>
      </w:r>
      <w:r>
        <w:rPr>
          <w:snapToGrid w:val="0"/>
          <w:sz w:val="24"/>
          <w:rtl/>
        </w:rPr>
        <w:t xml:space="preserve"> רוצה לומר ששם ב' תיבות האלו:</w:t>
      </w:r>
    </w:p>
  </w:footnote>
  <w:footnote w:id="4424">
    <w:p w:rsidR="00A13282" w:rsidRDefault="00A13282" w:rsidP="00602EF1">
      <w:pPr>
        <w:pStyle w:val="a5"/>
        <w:rPr>
          <w:rtl/>
        </w:rPr>
      </w:pPr>
      <w:r>
        <w:rPr>
          <w:rStyle w:val="a7"/>
          <w:rtl/>
        </w:rPr>
        <w:footnoteRef/>
      </w:r>
      <w:r>
        <w:rPr>
          <w:rtl/>
        </w:rPr>
        <w:t xml:space="preserve"> </w:t>
      </w:r>
      <w:r>
        <w:rPr>
          <w:b/>
          <w:bCs/>
          <w:snapToGrid w:val="0"/>
          <w:sz w:val="24"/>
          <w:rtl/>
        </w:rPr>
        <w:t>ואינון תרין כו'.</w:t>
      </w:r>
      <w:r>
        <w:rPr>
          <w:snapToGrid w:val="0"/>
          <w:sz w:val="24"/>
          <w:rtl/>
        </w:rPr>
        <w:t xml:space="preserve"> רוצה לומר השבא, וזהו תרי, תרין נקודין, ומפרש איזה נקודין והוא השבא וכאלו אמר תרי נקודין של שבא ומפרש והולך מהו תרין נקודין - תרי יצירות, ורמיז פסוק וייצר כו' אבל פסוק לא טוב כבר פירש סוף תיקון נ”ו ורמיז לקמן בתיקון ס”ב ושאר תיקונין, ושני יצירות, עוף משמים וחית משדה, וכן הוא למעלה. וזה שאומר לעיל דף צ"ג ע"ב ובההוא זמנא הוה איהו שליט על כל המוני עילא ותתא שהן שתי יצירות, וקרא לכל אחת שמהן כמו שמפרש והולך:</w:t>
      </w:r>
    </w:p>
  </w:footnote>
  <w:footnote w:id="4425">
    <w:p w:rsidR="00A13282" w:rsidRDefault="00A13282" w:rsidP="00602EF1">
      <w:pPr>
        <w:pStyle w:val="a5"/>
        <w:rPr>
          <w:rtl/>
        </w:rPr>
      </w:pPr>
      <w:r>
        <w:rPr>
          <w:rStyle w:val="a7"/>
          <w:rtl/>
        </w:rPr>
        <w:footnoteRef/>
      </w:r>
      <w:r>
        <w:rPr>
          <w:rtl/>
        </w:rPr>
        <w:t xml:space="preserve"> </w:t>
      </w:r>
      <w:r>
        <w:rPr>
          <w:b/>
          <w:bCs/>
          <w:snapToGrid w:val="0"/>
          <w:sz w:val="24"/>
          <w:rtl/>
        </w:rPr>
        <w:t>ת"ח כמה כו'.</w:t>
      </w:r>
      <w:r>
        <w:rPr>
          <w:snapToGrid w:val="0"/>
          <w:sz w:val="24"/>
          <w:rtl/>
        </w:rPr>
        <w:t xml:space="preserve"> זהו וייצר כו' ולאדם כו', והוא משה רבינו עליו השלום דהוא גלגולא דאדם, מ"ה דמשה, אדם דאדם וכן שכינתא הוא אדם גם כן, חיה הרביעית כמו משה רבינו ע"ה. ועיין בזוהר פרשת בראשית דף כ"ח ע"א וייצר ה' אלקים כו' אינון עמי הארץ ואפילו באלין כו', והן שתי יצירות, חית השדה - מעשיה, ועוף השמים - מיצירה. ועיין לעיל סוף תיקון מ"ה ותיקון מ"ו. וכן צבאות עליונים ותחתונים שהן נו"ה ואדם הוא יסוד שמט"ט ירש מעלתו, ועולם הוא מלכות שהן כלל הכל. ועיין מה שכתבתי במקום אחר. אבל כאן רמיז כמו שאומר שם ואמר שם אר"א והא מאן כו' א"ל ברי כו' עיין שם:</w:t>
      </w:r>
    </w:p>
  </w:footnote>
  <w:footnote w:id="4426">
    <w:p w:rsidR="00A13282" w:rsidRDefault="00A13282" w:rsidP="00602EF1">
      <w:pPr>
        <w:pStyle w:val="a5"/>
        <w:rPr>
          <w:rtl/>
        </w:rPr>
      </w:pPr>
      <w:r>
        <w:rPr>
          <w:rStyle w:val="a7"/>
          <w:rtl/>
        </w:rPr>
        <w:footnoteRef/>
      </w:r>
      <w:r>
        <w:rPr>
          <w:rtl/>
        </w:rPr>
        <w:t xml:space="preserve"> </w:t>
      </w:r>
      <w:r>
        <w:rPr>
          <w:b/>
          <w:bCs/>
          <w:snapToGrid w:val="0"/>
          <w:sz w:val="24"/>
          <w:rtl/>
        </w:rPr>
        <w:t>ומזל ידיע כו'.</w:t>
      </w:r>
      <w:r>
        <w:rPr>
          <w:snapToGrid w:val="0"/>
          <w:sz w:val="24"/>
          <w:rtl/>
        </w:rPr>
        <w:t xml:space="preserve"> דהכוכבים מערכתם נשתנה לפי המלאכים:</w:t>
      </w:r>
    </w:p>
  </w:footnote>
  <w:footnote w:id="4427">
    <w:p w:rsidR="00A13282" w:rsidRDefault="00A13282" w:rsidP="00602EF1">
      <w:pPr>
        <w:pStyle w:val="a5"/>
        <w:rPr>
          <w:rtl/>
        </w:rPr>
      </w:pPr>
      <w:r>
        <w:rPr>
          <w:rStyle w:val="a7"/>
          <w:rtl/>
        </w:rPr>
        <w:footnoteRef/>
      </w:r>
      <w:r>
        <w:rPr>
          <w:rtl/>
        </w:rPr>
        <w:t xml:space="preserve"> </w:t>
      </w:r>
      <w:r>
        <w:rPr>
          <w:b/>
          <w:bCs/>
          <w:snapToGrid w:val="0"/>
          <w:sz w:val="24"/>
          <w:rtl/>
        </w:rPr>
        <w:t>בזמנא דסתיר כו'.</w:t>
      </w:r>
      <w:r>
        <w:rPr>
          <w:snapToGrid w:val="0"/>
          <w:sz w:val="24"/>
          <w:rtl/>
        </w:rPr>
        <w:t xml:space="preserve"> כמו שכתוב (תהלים צא א) יושב בסתר עליון כו' וסיפא ותחת כנפיו כו':</w:t>
      </w:r>
    </w:p>
  </w:footnote>
  <w:footnote w:id="4428">
    <w:p w:rsidR="00A13282" w:rsidRDefault="00A13282" w:rsidP="00602EF1">
      <w:pPr>
        <w:pStyle w:val="a5"/>
        <w:rPr>
          <w:rtl/>
        </w:rPr>
      </w:pPr>
      <w:r>
        <w:rPr>
          <w:rStyle w:val="a7"/>
          <w:rtl/>
        </w:rPr>
        <w:footnoteRef/>
      </w:r>
      <w:r>
        <w:rPr>
          <w:rtl/>
        </w:rPr>
        <w:t xml:space="preserve"> </w:t>
      </w:r>
      <w:r>
        <w:rPr>
          <w:b/>
          <w:bCs/>
          <w:snapToGrid w:val="0"/>
          <w:sz w:val="24"/>
          <w:rtl/>
        </w:rPr>
        <w:t>זכריאל זכרנו לחיים ועל שם זוכר ברית אבות ואשתרשא בזכור.</w:t>
      </w:r>
      <w:r>
        <w:rPr>
          <w:snapToGrid w:val="0"/>
          <w:sz w:val="24"/>
          <w:rtl/>
        </w:rPr>
        <w:t xml:space="preserve"> ורוצה לומר דנקרא זכריאל בזמנא דזוכר לחיים, וקרא דיליה (ויקרא כו מב) וזכרתי את בריתי יעקב כו', ואמר בקצרה על שם שזוכר ברית אבות ולשון המורגל בתפלה וכן זכרנו לחיים ואמר ששרשו בספירן הוא בזכור והוא בצדיק ששם מקום הזכירה ומקום החיים, אל חי, ושם כל זכורך מאן דרשים ברשימא קדישא דאיהו דכר כו' ומכל מקום הוא בנצח כמו שאומר לעיל תיקון י”ג בו נח צדיק ותנח התיבה, והם בדיבור אחד, ב' פלגי דאינון חד, ואמר בשמור בצדק במלכות דהן בחינות שונות והכל במלכות וכן ששים רבוא שמהן והן בעשר ספירות:</w:t>
      </w:r>
    </w:p>
  </w:footnote>
  <w:footnote w:id="4429">
    <w:p w:rsidR="00A13282" w:rsidRDefault="00A13282" w:rsidP="00602EF1">
      <w:pPr>
        <w:pStyle w:val="a5"/>
        <w:rPr>
          <w:rtl/>
        </w:rPr>
      </w:pPr>
      <w:r>
        <w:rPr>
          <w:rStyle w:val="a7"/>
          <w:rtl/>
        </w:rPr>
        <w:footnoteRef/>
      </w:r>
      <w:r>
        <w:rPr>
          <w:rtl/>
        </w:rPr>
        <w:t xml:space="preserve"> </w:t>
      </w:r>
      <w:r>
        <w:rPr>
          <w:b/>
          <w:bCs/>
          <w:snapToGrid w:val="0"/>
          <w:sz w:val="24"/>
          <w:rtl/>
        </w:rPr>
        <w:t>שם ידיע.</w:t>
      </w:r>
      <w:r>
        <w:rPr>
          <w:snapToGrid w:val="0"/>
          <w:sz w:val="24"/>
          <w:rtl/>
        </w:rPr>
        <w:t xml:space="preserve"> הוא בנוק':</w:t>
      </w:r>
    </w:p>
  </w:footnote>
  <w:footnote w:id="4430">
    <w:p w:rsidR="00A13282" w:rsidRDefault="00A13282" w:rsidP="00602EF1">
      <w:pPr>
        <w:pStyle w:val="a5"/>
        <w:rPr>
          <w:rtl/>
        </w:rPr>
      </w:pPr>
      <w:r>
        <w:rPr>
          <w:rStyle w:val="a7"/>
          <w:rtl/>
        </w:rPr>
        <w:footnoteRef/>
      </w:r>
      <w:r>
        <w:rPr>
          <w:rtl/>
        </w:rPr>
        <w:t xml:space="preserve"> </w:t>
      </w:r>
      <w:r>
        <w:rPr>
          <w:b/>
          <w:bCs/>
          <w:snapToGrid w:val="0"/>
          <w:sz w:val="24"/>
          <w:rtl/>
        </w:rPr>
        <w:t>והוי"ה ידיע.</w:t>
      </w:r>
      <w:r>
        <w:rPr>
          <w:snapToGrid w:val="0"/>
          <w:sz w:val="24"/>
          <w:rtl/>
        </w:rPr>
        <w:t xml:space="preserve"> בדכורא ורוצה לומר בשינוי הנקודה ועיין לעיל סוף תיקון נ”ה ומה שכתבתי שם:</w:t>
      </w:r>
    </w:p>
  </w:footnote>
  <w:footnote w:id="4431">
    <w:p w:rsidR="00A13282" w:rsidRDefault="00A13282" w:rsidP="00602EF1">
      <w:pPr>
        <w:pStyle w:val="a5"/>
        <w:rPr>
          <w:rtl/>
        </w:rPr>
      </w:pPr>
      <w:r>
        <w:rPr>
          <w:rStyle w:val="a7"/>
          <w:rtl/>
        </w:rPr>
        <w:footnoteRef/>
      </w:r>
      <w:r>
        <w:rPr>
          <w:rtl/>
        </w:rPr>
        <w:t xml:space="preserve"> </w:t>
      </w:r>
      <w:r>
        <w:rPr>
          <w:b/>
          <w:bCs/>
          <w:snapToGrid w:val="0"/>
          <w:sz w:val="24"/>
          <w:rtl/>
        </w:rPr>
        <w:t>וכל שמהן תמן.</w:t>
      </w:r>
      <w:r>
        <w:rPr>
          <w:snapToGrid w:val="0"/>
          <w:sz w:val="24"/>
          <w:rtl/>
        </w:rPr>
        <w:t xml:space="preserve"> רוצה לומר בספירן:</w:t>
      </w:r>
    </w:p>
  </w:footnote>
  <w:footnote w:id="4432">
    <w:p w:rsidR="00A13282" w:rsidRDefault="00A13282" w:rsidP="00602EF1">
      <w:pPr>
        <w:pStyle w:val="a5"/>
        <w:rPr>
          <w:snapToGrid w:val="0"/>
          <w:sz w:val="24"/>
          <w:rtl/>
        </w:rPr>
      </w:pPr>
      <w:r>
        <w:rPr>
          <w:rStyle w:val="a7"/>
          <w:rtl/>
        </w:rPr>
        <w:footnoteRef/>
      </w:r>
      <w:r>
        <w:rPr>
          <w:rtl/>
        </w:rPr>
        <w:t xml:space="preserve"> </w:t>
      </w:r>
      <w:r>
        <w:rPr>
          <w:b/>
          <w:bCs/>
          <w:snapToGrid w:val="0"/>
          <w:sz w:val="24"/>
          <w:rtl/>
        </w:rPr>
        <w:t>דאשתכח בכל אתר כגוונא דנשמתא.</w:t>
      </w:r>
      <w:r>
        <w:rPr>
          <w:snapToGrid w:val="0"/>
          <w:sz w:val="24"/>
          <w:rtl/>
        </w:rPr>
        <w:t xml:space="preserve"> דהוי"ה הוא נשמתא, ונוק' הוא גופא, כמו שאומר לעיל ס"ג ב' ומסטרא דגופא ועיין מה שכתבתי שם, ולכן כל השמהן הן בגופא דכל אבר ואבר וגיד ועורק ודופק ועצם וכל שרטוט וקו וציור - הכל שם אחר, והוי"ה הוא אחד בנשמתא ולכן אין רשאי להשתמש בשמא בלא הויה כנ"ל סוף תיקון נ"ה דהיא אחת אלא דנשתנה לפי האבר דמתפשט ביה והוא הנקוד ובעצמו אין שינוי וכן הוא שם הוי"ה בכל העולמות כולהו שהן אדם אחד בכללו וזה שאומר ובג"ד אית לב"נ כו' ולכן כל המצות כולן רמיזין בהוי"ה ואמר אלא בעלת העלות כו' רוצה לומר אין סוף והוא בכתר שמשם הכל אחד דהוא אחד אבל הכל באין סוף ועיין לעיל י"ב ב', ס"ג א':</w:t>
      </w:r>
    </w:p>
    <w:p w:rsidR="00A13282" w:rsidRDefault="00A13282" w:rsidP="00602EF1">
      <w:pPr>
        <w:pStyle w:val="a5"/>
        <w:rPr>
          <w:rtl/>
        </w:rPr>
      </w:pPr>
    </w:p>
  </w:footnote>
  <w:footnote w:id="4433">
    <w:p w:rsidR="00A13282" w:rsidRDefault="00A13282" w:rsidP="00602EF1">
      <w:pPr>
        <w:pStyle w:val="a5"/>
        <w:rPr>
          <w:rtl/>
        </w:rPr>
      </w:pPr>
      <w:r>
        <w:rPr>
          <w:rStyle w:val="a7"/>
          <w:rtl/>
        </w:rPr>
        <w:footnoteRef/>
      </w:r>
      <w:r>
        <w:rPr>
          <w:rtl/>
        </w:rPr>
        <w:t xml:space="preserve"> </w:t>
      </w:r>
      <w:r>
        <w:rPr>
          <w:b/>
          <w:bCs/>
          <w:snapToGrid w:val="0"/>
          <w:sz w:val="24"/>
          <w:rtl/>
        </w:rPr>
        <w:t>תיקון נ"ח בראשית כו' איהי בת יחידה כו' פנימה איהי אמה ועלה אתמר ויפל כו'.</w:t>
      </w:r>
      <w:r>
        <w:rPr>
          <w:snapToGrid w:val="0"/>
          <w:sz w:val="24"/>
          <w:rtl/>
        </w:rPr>
        <w:t xml:space="preserve"> ורוצה לומר דהיא בת דבראשית, ואמה דאלקים, והכל בנוק' דהיא עקב, עם יו"ד דפרח ממנה הוא יעקב כמו שאומר לעיל צ"ד א' ועיין ברעיא מהימנא סוף ח"א והוא יו"ד דבראשית, נשאר ראש, דכורא, כמו שאומר ברעיא מהימנא שם ועיין תיקון ל”ט וזה שאומר בריש פ' בראשית דבראשית הוא בית ראש, דו"נ באו"א, וכן הוא בזו"נ, והוא ראש דישראל שנאמר (בראשית ג טו) הוא ישופך ראש ואתה כו' וכמו שאומר ברעיא מהימנא וכמו שכתבתי במקום אחר בארוכה ונשאר מישראל ל"י והוא הנשאר מאמה דאלדים והוא שם הגדול יל"י כמו שאומר שם בארוכה הרבה, ובת הוא ברתא דמלכא באצילות, ואמה הוא בבריאה ועיין בזהר פרשת תצא רע"ט ב' אבל סלע דילי איהי ברתא דמלכא כו' ובפ' משפטים צ"ד ב' תא חזי בר נש כד אתיילד כו' ותלת אלין אינון אמה ועבד ושפחה, דברתא דמלכא זכה יתיר יהבין ליה נשמתא בארח אצילות מסטרא דבת יחידה ואתקריאת איהי בת מלך כו' ובגין דא כד בר נש זכי בנפש מסטרא דבת יחידה כו', וכן אמר שם למעלה תא חזי שכינתא אית דאתקריאת כו' וזה שאומר עלה אתמר כו', רוצה לומר דצלע הוא אמה, ובשר הוא בת מלך פנימה, וכמו שאומר לעיל נ"ד ב' דא סלע מטטרון דבגינה אתמר ויקח אחת מצלעותיו ויסגור בשר תחתנה מאי בשר ההוא דאתמר ביה בשגם הוא בשר ורוצה לומר בת מלך הנ"ל שהיא דרגיה דמשה כמו שאומר לעיל נ"ג ב' בארוכה עיין שם היטב, ואף שאמר שם מט"ט, הנה מט"ט כולל כל הג' עולמות, ראשו בבריאה, גופו ביצירה כו', אלא שנקרא היצירה על שמו לפי שגופו שם וכמו שכל האצילות נקרא על שם ז"א כן הוא בעולמות ושמו כשם רבו וזה שאומר </w:t>
      </w:r>
      <w:r>
        <w:rPr>
          <w:b/>
          <w:bCs/>
          <w:snapToGrid w:val="0"/>
          <w:sz w:val="24"/>
          <w:rtl/>
        </w:rPr>
        <w:t xml:space="preserve">פתח ר"ש כו' דאיהי גופא דילה אמתא כו' דאיהי נקודה דילה כו' כגוונא דא .) ובגינה כו'. </w:t>
      </w:r>
      <w:r>
        <w:rPr>
          <w:snapToGrid w:val="0"/>
          <w:sz w:val="24"/>
          <w:rtl/>
        </w:rPr>
        <w:t xml:space="preserve">דהנקודה הפנימית שבירח היא בת מלך כמו שאומר ברעיא מהימנא פ' פנחס רמ"ח ב' ועוד ובר"ח כו' לזימנין סיהרא הות כגוונא דא כו' וההיא נקודה כו' כל כבודה בת מלך פנימה, וירח עצמה היא צלע הנ"ל, סיהרא חיוורא, ועיין בזהר פרשת בראשית כ"ח א' ויקח אחת מצלעותיו, מצלעותיו דמאן אלא מאלין עולמין דמטרוניתא נטלו או"א חד מינייהו ואיהו סטרא חיוורא, יפה כלבנה, ויסגור בשר תחתנה דא בשר דאתמר ביה בשגם הוא בשר, בשר דמשה, סומק, ועליה אתמר פני משה כפני חמה ובגין דא יפה כלבנה ברה כחמה כו', אלא דשם מדבר באופן אחר דצלע הוא סיהרא, מלכות, ואיהו חד מעולימתין דילה דאינון אילות דסחרני כורסיא ועיין בזהר פרשת אחרי מות ס"ח א' אילות, אילת כתיב חסר, דא אילת השדה כו' כל אינון איילתא דסחרני כורסיא יקירא קדישא הדא הוא דכתיב ששים גבורים סביב לה כו', והוא ע"ב עולמין דילה, י"ב דתחותה, ועיין בזהר פרשת ויקהל קצ"ז ב' את כל עדת בני ישראל אינון תריסר משריין קדישין כו' דהא מטרוניתא לא אתחזי למיתי לבעלה אלא באלין בתולתאן עולמתהא דייתון עמה כו' וכל חכם לב בכם אלין אינון שיתין מקורין דאשקאן עלמא כו', ועיין בזהר פרשת ויקרא כ"א ב' מאן אילת השחר דא כנסת ישראל כו' ואיהי חד מן הנהו איילות וכמו שכתוב ששים המה מלכות כו' אחת היא יונתי תמתי כו', ובשר דמשה הוא דעת דילה שהן גבורות והיא דחילא ואמתני כמו שאומר בריש פ' תרומה והיא איומה כנדגלות ועיין באדרא רבה קל"ה א' וימלוך באדום כו' והוא דרגא דמשה רבינו עליו השלום וכמו שאמרו (ילקוט שמעוני דברים לד סימן תתקסו) בישראל לא קם כו', אשה כושית, ובזהר חדש פ' יתרו ל"ג ב' כיון דאנהירת כחוורו דאבנא בדולחא ע"כ לית לה חיזו בשפירו לאסתכלא כו' וזה שכתוב (תהלים קמט ט) לעשות בהם משפט כתוב הדר הוא כו' אבל כאן מיירי באופן אחר כנ"ל וכל ג' עולמות בי"ע הוא גופא דילה והן מבינה דילה ולמטה דמקננת בג' עלמין והן גופא דילה אבל חכמה דילה שנקראת בת מלך פנימה, נקודיה בהיכליה פנימה דעלה נאמר כל כבודה, דחכמה נקרא כבוד, ל"ב נתיבות, וכורסייא הוא כסא לכבוד, והכל במלכות, חכמת שלמה, מקדשי תיראו, ואף שבפ' משפטים שם אמר מאן גופא דברתא דמלכא דא מטטרון והאי גופא איהי אמה דשכינתא כו', כבר כתבתי שכולם נקראו מט"ט, ואמר בפ' בראשית שם וייצר ה' אלקים כו' ולא למשה דאיהו עמה, ורוצה לומר, לא לשכינתא - לעשות בגינה, ולא למשה הוא קבלה דמשה וכמו שאומר לעיל ע"ו ב' כלא אינון כבעירין כו' ואפילו אינון דמשתדלין באורייתא כל חסד דעבדין לגרמייהו כו' ולא בעאן לאשתדלא בחכמה בקבלה כו' דגרמין דאסתלק נביעו דחכמה דאיהו יו"ד מינה ואשתארת ב' יבשה כו', והן אלו שניים, אמתא - גופא דילה, גופי הלכות, בית דילה, ויו"ד היא בת מלך, נקודה שבבי"ת, נקודיה בהיכליה כמו שאמרו בכמה מקומות, ואמר שם ובגינה אתמר בגלותא בתראה ולאדם לא מצא כו' בההוא זמנא ויפל כו' תרדמה דא גלות דאתמר ותרדמה נפלה כו' ויקח אחת מצלעותיו כו' כנ"ל, והוא בניינא דילה לעת הגאולה וכמו שמפרש והולך שם, ואמר שם ויסגור בשר בעאן לאגנא עלה כו' דבר אחר ויסגור בשר כמה דאת אמר לעומת המסגרת, מסגרת מתקיימת דבה מטרוניתא יהיה סגור ששת ימי המעשה, ומפרש ויסגור כמו שאומר כאן דהיא סגורה במט"ט, גופא דילה, כל ששת ימים ושם מסתתרת לאגנא עלה כמו שאומר למעלה בכמה מקומות, וזה שאומר </w:t>
      </w:r>
      <w:r>
        <w:rPr>
          <w:b/>
          <w:bCs/>
          <w:snapToGrid w:val="0"/>
          <w:sz w:val="24"/>
          <w:rtl/>
        </w:rPr>
        <w:t>ובגינה אתמר לעומת המסגרת כו'</w:t>
      </w:r>
      <w:r>
        <w:rPr>
          <w:snapToGrid w:val="0"/>
          <w:sz w:val="24"/>
          <w:rtl/>
        </w:rPr>
        <w:t xml:space="preserve"> ורוצה לומר כמו שמפרש והולך דמסגרת הוא לבא דשם נסגרת נקודה בהיכליה וכמו שאומר לעיל תיקון כ”ט מעין חתום דא ראשית, נקודיה בהיכליה כו' קנקן דהאי יין דא לבא דבר נש כו' וכד איהו קנקן דאיהו לבא דכיא מלגאו ומלבר שריא תמן חכמה כו' וזה שאומר </w:t>
      </w:r>
      <w:r>
        <w:rPr>
          <w:b/>
          <w:bCs/>
          <w:snapToGrid w:val="0"/>
          <w:sz w:val="24"/>
          <w:rtl/>
        </w:rPr>
        <w:t>מאי הטבעות אלין תרין אודנין כו'.</w:t>
      </w:r>
      <w:r>
        <w:rPr>
          <w:snapToGrid w:val="0"/>
          <w:sz w:val="24"/>
          <w:rtl/>
        </w:rPr>
        <w:t xml:space="preserve"> ואמר שם דלבא הוא בי"ת חתום בוא"ו והוא מ"ם, ועיין לעיל ריש תיקון ה' ובשני אודנין הוא סוד שם מ"ב וכמו שאומר בזהר חדש ו' ב' ועיין מה שאמר לעיל ל"ז ב', וצריך לומר דמפרש מה שכתוב לעומת המסגרת תהיין הטבעות, אינן אותן הטבעות שנאמר למעלה דהן ארבע טבעות:</w:t>
      </w:r>
    </w:p>
  </w:footnote>
  <w:footnote w:id="4434">
    <w:p w:rsidR="00A13282" w:rsidRDefault="00A13282" w:rsidP="00602EF1">
      <w:pPr>
        <w:pStyle w:val="a5"/>
        <w:rPr>
          <w:rtl/>
        </w:rPr>
      </w:pPr>
      <w:r>
        <w:rPr>
          <w:rStyle w:val="a7"/>
          <w:rtl/>
        </w:rPr>
        <w:footnoteRef/>
      </w:r>
      <w:r>
        <w:rPr>
          <w:rtl/>
        </w:rPr>
        <w:t xml:space="preserve"> </w:t>
      </w:r>
      <w:r>
        <w:rPr>
          <w:b/>
          <w:bCs/>
          <w:snapToGrid w:val="0"/>
          <w:sz w:val="24"/>
          <w:rtl/>
        </w:rPr>
        <w:t>ובג"ד שמיעה תליא בלבא כו'.</w:t>
      </w:r>
      <w:r>
        <w:rPr>
          <w:snapToGrid w:val="0"/>
          <w:sz w:val="24"/>
          <w:rtl/>
        </w:rPr>
        <w:t xml:space="preserve"> רוצה לומר לכן אמרו דשמיעה הוא בשמאל כמו שאומר לעיל תיקון ע’ (לב הוא לשמאל וכ"פ שמיעה בבינה וכמו שכתוב אשר לא תשמע לשונו) ואמר על מלכות דאיהי לשמאלא ועיין לעיל ריש תיקון נ”ה ודא לבא לשמאלא מלכיות זכרונות כו' ובתיקון כ"ד דתהא לב נטיר מכולא דאיהי שבת שמור, ומוחא זכור כו' מנרתא לדרום כו' פתורא צריך לתקנא לה לגבי צפון ופתורא איהי שכינתא תתאה דאתמר בה כל כבודה בת מלך פנימה ממשבצות זהב לבושה מאי זהב דא גבורה דאתמר בה מצפון זהב יאתה, ממשבצות זהב - תרי סמכי קשוט והן ב' כליין, שנים כרובים זהב והן לבדים דכאן כמו שמפרש והולך:</w:t>
      </w:r>
    </w:p>
  </w:footnote>
  <w:footnote w:id="4435">
    <w:p w:rsidR="00A13282" w:rsidRDefault="00A13282" w:rsidP="00602EF1">
      <w:pPr>
        <w:pStyle w:val="a5"/>
        <w:rPr>
          <w:rtl/>
        </w:rPr>
      </w:pPr>
      <w:r>
        <w:rPr>
          <w:rStyle w:val="a7"/>
          <w:rtl/>
        </w:rPr>
        <w:footnoteRef/>
      </w:r>
      <w:r>
        <w:rPr>
          <w:rtl/>
        </w:rPr>
        <w:t xml:space="preserve"> </w:t>
      </w:r>
      <w:r>
        <w:rPr>
          <w:b/>
          <w:bCs/>
          <w:snapToGrid w:val="0"/>
          <w:sz w:val="24"/>
          <w:rtl/>
        </w:rPr>
        <w:t>מאי לבדים כו' תרווייהו לבר.</w:t>
      </w:r>
      <w:r>
        <w:rPr>
          <w:snapToGrid w:val="0"/>
          <w:sz w:val="24"/>
          <w:rtl/>
        </w:rPr>
        <w:t xml:space="preserve"> רוצה לומר שהן נק' לבר תרי סמכי קשוט והוא לבר. ואמר </w:t>
      </w:r>
      <w:r>
        <w:rPr>
          <w:b/>
          <w:bCs/>
          <w:snapToGrid w:val="0"/>
          <w:sz w:val="24"/>
          <w:rtl/>
        </w:rPr>
        <w:t>עלייהו אתמר והיו כו'</w:t>
      </w:r>
      <w:r>
        <w:rPr>
          <w:snapToGrid w:val="0"/>
          <w:sz w:val="24"/>
          <w:rtl/>
        </w:rPr>
        <w:t xml:space="preserve"> רוצה לומר על הכוליין שהן אחים תאומים כידוע דכל מה דדא עביד דא עביד, שנים כרובים איש אל אחיו, ואמר </w:t>
      </w:r>
      <w:r>
        <w:rPr>
          <w:b/>
          <w:bCs/>
          <w:snapToGrid w:val="0"/>
          <w:sz w:val="24"/>
          <w:rtl/>
        </w:rPr>
        <w:t>תרי כנפי ריאה ויחדו כו'</w:t>
      </w:r>
      <w:r>
        <w:rPr>
          <w:snapToGrid w:val="0"/>
          <w:sz w:val="24"/>
          <w:rtl/>
        </w:rPr>
        <w:t xml:space="preserve"> שהן שניהם ביחד מה שאין כן בכליות שהן לבדן כל אחת וכן הם תמים וכמו שאומר לעיל ריש תיקון כ”ה ויעקב איש תם וס"ת כך צריך למהוי תם כו' כגוונא דא אינון חמש כנפי ריאה כו' ותרי אומות אינון בריאה כו':</w:t>
      </w:r>
    </w:p>
  </w:footnote>
  <w:footnote w:id="4436">
    <w:p w:rsidR="00A13282" w:rsidRDefault="00A13282" w:rsidP="00602EF1">
      <w:pPr>
        <w:pStyle w:val="a5"/>
        <w:rPr>
          <w:rtl/>
        </w:rPr>
      </w:pPr>
      <w:r>
        <w:rPr>
          <w:rStyle w:val="a7"/>
          <w:rtl/>
        </w:rPr>
        <w:footnoteRef/>
      </w:r>
      <w:r>
        <w:rPr>
          <w:rtl/>
        </w:rPr>
        <w:t xml:space="preserve"> </w:t>
      </w:r>
      <w:r>
        <w:rPr>
          <w:b/>
          <w:bCs/>
          <w:snapToGrid w:val="0"/>
          <w:sz w:val="24"/>
          <w:rtl/>
        </w:rPr>
        <w:t>ת"ח אתמר כו' ולבתר ויבן.</w:t>
      </w:r>
      <w:r>
        <w:rPr>
          <w:snapToGrid w:val="0"/>
          <w:sz w:val="24"/>
          <w:rtl/>
        </w:rPr>
        <w:t xml:space="preserve"> רוצה לומר דהן ג' עלמין דמט"ט, ויקח את הצלע הוא גוף דמט"ט ביצירה, ויבן - בבריאה ועשיה, ב' בניינים כמו שמפרש והולך שהן ב' ההי"ן כמו שאומר לעיל ריש תיקון מ”ב, והן מקננין בהן, וזה שאומר אינון תרין בניינין דהאי קרא רוצה לומר בבריאה ועשיה:</w:t>
      </w:r>
    </w:p>
  </w:footnote>
  <w:footnote w:id="4437">
    <w:p w:rsidR="00A13282" w:rsidRDefault="00A13282" w:rsidP="00602EF1">
      <w:pPr>
        <w:pStyle w:val="a5"/>
        <w:rPr>
          <w:rtl/>
        </w:rPr>
      </w:pPr>
      <w:r>
        <w:rPr>
          <w:rStyle w:val="a7"/>
          <w:rtl/>
        </w:rPr>
        <w:footnoteRef/>
      </w:r>
      <w:r>
        <w:rPr>
          <w:rtl/>
        </w:rPr>
        <w:t xml:space="preserve"> </w:t>
      </w:r>
      <w:r>
        <w:rPr>
          <w:b/>
          <w:bCs/>
          <w:snapToGrid w:val="0"/>
          <w:sz w:val="24"/>
          <w:rtl/>
        </w:rPr>
        <w:t>ולקבלייהו כו' חד כו'.</w:t>
      </w:r>
      <w:r>
        <w:rPr>
          <w:snapToGrid w:val="0"/>
          <w:sz w:val="24"/>
          <w:rtl/>
        </w:rPr>
        <w:t xml:space="preserve"> רוצה לומר באצילות שמקננין בהן:</w:t>
      </w:r>
    </w:p>
  </w:footnote>
  <w:footnote w:id="4438">
    <w:p w:rsidR="00A13282" w:rsidRDefault="00A13282" w:rsidP="00602EF1">
      <w:pPr>
        <w:pStyle w:val="a5"/>
        <w:rPr>
          <w:rtl/>
        </w:rPr>
      </w:pPr>
      <w:r>
        <w:rPr>
          <w:rStyle w:val="a7"/>
          <w:rtl/>
        </w:rPr>
        <w:footnoteRef/>
      </w:r>
      <w:r>
        <w:rPr>
          <w:rtl/>
        </w:rPr>
        <w:t xml:space="preserve"> </w:t>
      </w:r>
      <w:r>
        <w:rPr>
          <w:b/>
          <w:bCs/>
          <w:snapToGrid w:val="0"/>
          <w:sz w:val="24"/>
          <w:rtl/>
        </w:rPr>
        <w:t>ועוד ויבן לישנא כו' בניינא דיבום.</w:t>
      </w:r>
      <w:r>
        <w:rPr>
          <w:snapToGrid w:val="0"/>
          <w:sz w:val="24"/>
          <w:rtl/>
        </w:rPr>
        <w:t xml:space="preserve"> עיין בזהר פרשת בראשית שם כ"ח א' ויבן ה' אלקים את הצלע הכא אתרמיז רזא דיבום דאמרו ביה כיון שלא בנה שוב לא יבנה הדא הוא דכתיב אשר לא יבנה את בית אחיו אבל לגבי קב"ה אתמר ביה ויבן ה' אלקים, או"א בני לה לגביה, הה"ד בונה ירושלים ה', ו' דאיהו בן י"ה או"א כו', ובג"ד בטורא דא אתבני בי מקדשא כו' עיין שם כל הענין, ועיין בזהר פרשת תצא ר"פ ב' כי ישבו אחים כו' פקודא דא ליבם אשת אח כו' והן כל אלה יפעל כו' הכא קא רמיז שינוי השם כו' באן אתר אתטמרת, בעולימא דילה, מט"ט, וישנה כו', ביה רזא ישוב לימי עלומיו אבל שכינתא כו' עיין שם היטב, ועיין בזהר פרשת פנחס רי"ז א' ב' אנוש דא רזא דההוא נער דסליק לסיבו ואתהדר כמלקדמין ועל דא אנוש כחציר ימיו כו' כציץ השדה כן יציץ, דאתחדש ואתהדר כמלקדמין, הכי יציץ וסליק, מאי טעמא בגין כי רוח עברה בו כו' ודא הוא רזא דחנוך כו' ואוליד ליה כמלקדמין ואתחדש כנשר עולמין ואתהדר איהו נער. והענין כי רזא דיבום הוא בעלמין בי"ע שהן דמט"ט כמו שאומר שם וכמו שאומר לעיל בתיקון כ”ה ותיקון כ”א ושאר מקומות הרבה, ועיין בזהר פרשת משפטים ק' ב' הא תנינן קרי לה בת, קרי לה אחות, קרי לה אם, וכולא איהו וכלא הוה כו' מאנא דהות לתתא היך אתעביד לעילא, כיון דאיהו לא בעא לקיימא בההוא דרגיה דיוסף כו' כדין נחית לתתא ואתעבידת איהו אימיה כו' והא אתעקר מתמן והשתא איהו מעלמא דנוק' כו' עיין שם בדבריו, וזה שאומר שכל יבום הוא במט"ט ושם נשתנה כי כל השנויין ביה כמו שאומר לעיל בתיקון כ”א ותיקון כ”ח ולקמן תיקון ס”ח וביה אשתני כל דיוקנין דלא דמו דא לדא וכן בשאר מקומות הרבה, והענין כי נשמתא לית לה שינוי, וכל השינויים הוא בגוף כמו שאומר בתיקון נ”ז עיין מה שכתבתי שם, וכמו נהורא בגוונין - דהשינוי אינו אלא בגוונין, וכן הוא בנשמתא כידוע, וכן הוא כאן כי עלמין דמט"ט הן גופא לגבי ברתא דמלכא באצילות ולכן אין שינוי אלא ביבום כד נחית לעלמין דיליה, ועיין לעיל סוף תיקון ס’ ועוד ויורהו ה' עץ דא מטה דמשה דהוה מתהפך כו' ואמאי אתקרי מט"ט - מטה, דלזמנין מטה כלפי זכו לצדיקייא ולזמנין כו' דהכי איהו הוה מלאכא לקב"ה כגוונא דנשמתא דרכיב על גופא כו' ובהאי אתר צריך שינוי מעשה בגין דאתהפך מדינא לרחמי וקב"ה דאיהו מלגאו איתמר ביה אני ה' לא שניתי דאיהו רחום וחנון לית ביה דינא ולא שינויין כו' ועיין לעיל ע"ג ב' מאנא דא גופא איהו עבד ואיהו רכיב לתלת סטרין אלין דאינון קטורא דיחודא חדא, דאינון נר ה' נשמת אדם, והאי עבד איהו כנויא לכל שמהן, שינוי לכל שמהן, וביה מרכיבין כל אילנין עילאין מסטרא דטוב כו', והענין מה שאומר ואבנה גם אנכי ממנה וענין צדיק יסוד עולם כי השכינה אין בנינה בעולם הזה אלא ע"י רוחיהון דצדיקיא כמו שאומר בפ' תרומה קמ"ו א' ויקחו לי כו' רזא דרזין כו' שלימו דתקונא דהאי רוחא, רוחיהון דצדיקיא בהאי עלמא, רוחא דא אשתלים בזמנא דחנוך כו', אמר קב"ה רעותי לדיירא בינייהו אבל לא יכילנא עד דתתקון ההוא רוחא דילי דשריא בגוייהו הה"ד ועשו לי מקדש ושכנתי בתוכם רוצה לומר בתוך בני ישראל, דעיקר בנין הוא רוחיהון דצדיקיא, וקיימא בית המקדש בזה, וכל תיקון השכינה הוא נשמתין דצדיקיא בהאי עלמא דהוא התפשטות רוחא דילה ולכן אמרו (יבמות סג ע"ב) כל מי שאינו עוסק בפריה ורביה ממעט את הדמות, שהוא רוחא דילה שהיא כדמותנו כידוע, וזהו וצדיק יסוד עולם שהוא השכינה שהיא כלל הארץ והעולם צדיק דלתתא וכן צדיק דלעילא, ברית קיימא שמשפיע ונותן לה בנים וכן הוא באשה שבניה הן בנין דילה ואתפשטות רוחא שאו"א נותנין רוחם בולד, ועיין מדרש הנעלם פ' לך לך בארוכה, וזה שכתוב (בראשית ל א) ואם אין מתה אנכי ואמרו (כתובות נט ע"ב) אין אשה אלא לבנים, כי האשה בסוד נפש והבעל בסוד רוח ובולד - והיו לבשר אחד, מתחברין רוח ונפש דילהון כאחד ואז נקרא חיים כי הנפש בלא רוח הוא מת כמו בקבר והרוח בא לעולם להחיות הנפש בסוד אדם ובהמה כו' וכן הרוח בלא נפש אין לו שכר כלל וכל העונש של הרוח הכל בשביל שלא תיקן הנפש וכן הוא לאיש ואשה והנה בנים הם יסודה ובניינה וכן ברית קיימא קדישא וכנ"ל ואלו הן ב' בתי מקדשים  שהן בניינים דילה, ב' ההין כנגד ב' עלמין כמו שאומר שם בפ' תרומה אתמלי מסטרא חדא לארקא להאי עלמא ומסטרא אחרא לארקא למלאכי עילאי כו' ובפ' פקודי רנ"ט ב' מסטרא דיעקב נטיל רוחא דחיי כו' מסטרא דיוסף דאיהו לתתא כו'. ועל דא קיימין תרין סטרין אלין דא לעילא ודא לתתא כו'. ועיקר הענין בשביל ב' מיני נשמתין, א' בדרגא דבינה, עולם הבא, והוא נשמתין דאינון בההוא עלמא, וב' דרגא דמלכות לצדיקיא דהאי עלמא בגופא, עולם הזה, וכמו שאומר בפ' תרומה קכ"ז א' ב' אפרסמון דא היכלא עילאה כו', אפריון דא היכלא דלתתא כו', ונשמתין עילאין דלית להו גופא בהאי עלמא ינקין כו', ונשמתין דאית לון גופא בהאי עלמא סלקין וינקין מהההוא נהירו דאפריון כו' ואלין אינון ב' בית המקדש, ב' ההי"ן, ויבן, ב' בניינים הנ"ל, ומלאכים הן עולם האמצעי, והן ג' עלמין בי"ע וכל זה בניינא דאמה ועבד ושפחה אבל ברתא דמלכא אינה כי אם ע"י נשמתא דאצילות, ברתא יחידה כנ"ל, והנה כשאין האדם מתתקן בהאי עלמא בבנים - יורד לעלמין דנוק', למט"ט, ואז בניינא סתיר אלא כשהאדם מתתקן יכול לזכות אח"כ לנשמתא דילה וזה שכתוב בא נא אל שפחתי ואבנה גם אנכי כו' שלא זכיתי להבנות וכן הוא באשה הגשמי שע"י שפחתה שתלד והתפשטות רוח שפחתה בולד, יכולה להתפשט רוחא דילה גם כן בולד ע"י שמגדלת אותו, ועל ידה ילדה, ורוח דילה קרובה לגברתה והיא משתעבדת תחותה וכן הוא ברזא דיבום דאחיו דע"י שהוא קרוב לו הוא מתבנה על ידו, דכמו שהגופות מתקרבין באחוה כן הוא בנשמות יותר, ולכן באחיו ובאשתו שהן הקרובים יותר - מתבנה, וזה שכתוב (בראשית ל ג) ותלד על ברכי, ואף באחר אמרו (סנהדרין יט ע"ב) כל המגדל בן חבירו כאלו ילדו, והוא גם כן שמתפשט רוחו בתוכו ע"י התקרבותו לו. והנה עלמין דחנוך שעשר ספירות עלאין מתקננין ביה ונקרא אחיו של הקב"ה - הוא גואל של הקב"ה, שכינתיה, כשאין מתבנין ע"י אדם ואתעקר מאתם ויורד לקליפות ח"ו - אז הוא גואל הקרוב ומתבנה בו ע"י יבום, והנה בתחילה היה בן השכינה כמו שהוא למטה בן לאשה עד י"ג שנה והוא נקרא נער עד י"ג שנה והוא במדרגת נער ואח"כ כשנשא אשה עלה למדרגת בעל השכינה שהוליד בנים והוא בעלמא דדכורא וכשלא נתבנה חזר להיות בן אשתו במדרגת נער ונשאר במדרגתו כמו שאומר בפ' משפטים בסבא כיון שהיה כבר וירד, וכן הוא בכל חטא דאדם, כמו באדם שאבד ההוא זיהרא וירש חנוך אף שעשה תשובה גדולה מאד, וכן ישראל בעגל, דבעל תשובה יורד בהנהו עלמין הנ"ל, ולא זכה רק דוד הוקם על, שלכן עשה כל מה שעשה עד שזכה לזה, ולכמה שנים, וכן הוא בעובד שזכה ביבום למאי דלא זכה שום בר נש כמו שאומר שם עיין שם, ואף גם זה אינו זוכה כי אם ע"י שנכללו ברוח היבם, ובהתפשטות רוחו של היבם בולד נכלל גם הרוח של המת ורוח של היבם דזכה להתבנה הוא במדרגת בעל השכינה כמו שאומר שם וההוא פרוקא ירית ירותא דיוסף דהוה הוא בקדמיתא כו' אתר דיוסף אבוי אקרי ואבוי הוה וכן הוא למעלה דחנוך שנטיל ההיא נשמתא אינו אלא ע"י רוחו של היבם שעולה למעלה באצילות ונכלל עמו רוחא דמיתה, והוא במוחא וזרעו של היבם רוחא דיליה ומוריד ההוא רוחא דיליה ורוחא דאחוה במט"ט וזהו ההרכבה והתכללות שאמר בפ' פנחס כנ"ל ועיין ברעיא מהימנא שם בארוכה וזה שאומר שם דאתחדש האי נער דסליק לסיבו רוצה לומר שאדם נזדקן ומת בלא בנים וחוזר ונעשה נער ונעשה במדרגת נער וזהו שינוי שנשתנה בהאי נער שנשתנה ברוח היבם וכן נעשה גוף אחר וכן רוחיה נשתנה וכמו שאומר שם ולא יכירנו עוד מקומו והכל שנכלל ברוח היבם וכן הוא במט"ט והן ג' שינויים בג' גלגולים הראשון בבריאה שינוי מקום כמו שכתוב הנה ה' יוצא ממקומו כ"י ממקומו והוא אהי"ה ובגלגול שני ביצירה שינוי השם מצפ"ץ חלוף הוי"ה ושם הוא שמו של הקב"ה דמקנן ביה, הוי"ה, ז"א, שמו כשם רבו, אל תמירני בו, ובגלגול שלישי יורד לעשיה שינוי מעשה ועיין בזהר פרשת תצא שם, והוא ביה"ו ג' גלגולים עיין שם בארוכה, ובבנין הראשון והיה הבכור כו' יקום כו' ולא נשתנה השם רק המקום מאצילות לבריאה עלמא דנוק', אבל בשני נשתנה אף השם ובשלישי צריך לשינוי מעשה למעשים גדולים שתשלם נשמתו שהוא בעולם הקליפות וס"א והוא קרוב מאד לחטא וגם הס"א מסיתהו מאד שאם לא השלים כאן אז יורד לס"א ואינו נשלם אלא במעשה שהוא עלמא דעשיה אבל בראשון ושני הוא במחשבה ודבור. והנה אמרו (יבמות י ע"ב) כיון שלא בנה שוב לא יבנה, והוא כנ"ל דכל שהיה במדרגה וירד לא יעלה לעולם וכן הוא בהיבם כיון שהיה בידו לבנות אותו וסלק מחשבתו וכמו שכתוב (דברים כה ז) מאן יבמי להקים כו' והוא גילוי מחשבתו ואח"כ עומד ואומר לא חפצתי לקחתה והוא דבור ואח"כ וחלצה נעלו שהוא קשירתו בעקב שהוא עולם העשיה עקב כידוע ושם (זהר שמות רכ"ב ע"א) של נעלך כו' זו אשה כו' והתיר הקשר שהיה המת קשור בו לתקנו ואז לא יבנה עוד והולך נע ונד עד דאשכח פרוקא ברחמים גדולים ובזכות ובמעשים גדולים מאד של תלמיד חכם גדול מאד שעולה למדרגת או"א עילאין דשם עלמא דחירו ומוציאו מיד ס"א, וצריך לחליצה להתירו מקשר אחיו לאשכח ליה פרוקא אחרא, ואף בועז שהיה קרוב הוצרכו לרחמים ובקשות גדולות, (רות ד יא) יתן ה' לך את האשה, ברכות כל הזקנים, (רות ד יז) ותקראנה לו השכנות שם כו' וכידוע וכן בתמר אלא ששם היה על הענין אחר להעלותם למדרגתם הראשונה שאביהם היה הגואל ואמר בסבא שם יהודה אתה יודוך אחיך בב' עניינים א' שלא ירדו לאחר להתבנות ועוד שזכו לעניינם הראשן ולזו לא זכה שום אדם. והענין כי זה הבנין היה ע"י השם יתברך שלא בידיעת יהודה וכן הוא בענין בית המקדש דבתחילה היה ראוי להתבנות שני בתי המקדש ע"י דקב"ה והוא דרגא דאצילות - בינה ומלכות, וכשחטאו - אבדו, וע"י תשובתם זכו לשני בתי המקדש אבל ע"י דבני נשא, ובעלמין דמט"ט - בבריאה ועשיה, ולא נתבנו ישראל ע"י ב' בית המקדש אלו, שאבדו אותם, והשתא אזלין בגלותא נע ונד עד דיתער רחמים גדולים וע"י שילה - משה רבינו עליו השלום, ויתבני ע"י או"א עלאין, עלמא דחירו, ויצאו מהגלות וכמו שכתוב (ישעיהו נד ז) וברחמים גדולים אקבצך, ואז יתבנה שני בתי המקדש ע"י דקב"ה וכמו שאומר בפ' פנחס רכ"א א' עיין שם בדבריו, וזה שאומר בפ' בראשית שם ויבן כו' כיון שלא בנה כו' אבל לגבי קב"ה כו', דודאי חנוך לא יבנה עוד אלא קב"ה וכמו שכתוב (עמוס ה ב) נפלה לא תוסיף קום, מעצמה ע"י בני אדם אלא (עמוס ט יא) אקים את סוכת דוד הנופלת, ובאלו הבניינים ירדה מעולם לעולם - השכינה, ועתה היא נע ונד עד הגאולה שתעלה למקומה הראשון באצילות והוא ברחמים גדולים וע"י מלך המשיח שהוא מיהודה כנ"ל וכן ישראל יזכו אז גם כן לבת זוגם הראשונה באצילות שאבדו בעגל וכן משה רבינו עליו השלום לשכינתא דאצילות, נערה המאורסה שעדיין לא זכה אליה (ברכות נז ע"א) ותורה כו' מאורשה - מאורסה, שלכן לא זכה משה רבינו עליו השלום ליכנס לארץ ישראל שיבנה בית המקדש על ידו, שאז היה מעשה הקב"ה כמו לוחות הראשונות, והכל ע"י הערב רב בחטא העגל שע"י כן לקה בסלע ועיין לעיל נ"ג ב' בארוכה, וזה שאומר בפ' בראשית שם וכן אתמר במשה ויבן כו' דא שכינתא נערה המאורסה כו' בההוא זמנא זכו כל ישראל כו', וג' עלמין בג' גלגולים, ב' בית המקדש והמשכן דהוא משכן דנער מט"ט כמו שאומר בפ' תרומה, וזה היה לפי שעה דאין בניינה אלא בנוק', ב' ההי"ן, אבל ביצירה נאמר ויקח ה' אלקים את הצלע כנ"ל, וזה היה לשעה, שתתקיים השכינה ביניהם, והנה אף זה לא זכו ישראל רק ע"י יבום שהוא משה שרוצה לומר המטה דרגא דמט"ט, והלוחות השניות שהיו בנויין ב' בית המקדש כאחד ע"י דמשה ועם המשכן כמו שהוא ביבום דאתבנאה ג' נר"ן כאחד ובפעם ראשון וע"י הסלע נלקח ממנו המטה כמו שאומר בפ' בראשית ו' ב' ולא אתקיים ברזא דיבום שהוא גואל הקרוב לנו דביה אתבני שכינתא אלא ע"י אחר והלכה נע ונד עד שלמה ועזרא כל אחד לבדו כמו שאומר בגלגולא ע"י אחר ולזמן רחוק וזה שאומר שם כיון שלא בנה שוב לא יבנה, והבנין הוא ע"י הדיבור אל הסלע וכיון שלא בנה שוב כו' עד הגאולה כנ"ל, וענין הסלע בסוד ראה והתקין צורת הלבנה וכמו שאומר באידרא רבא קמ"א ב' סתימא מכל סטרוי כו' וכן זהו ויבן ה' אלקים את הצלע והצלע הוא הסלע כמו שאומר לעיל נ"ד ב' ודבור אל הסלע שהשם יתברך היה חפץ שיזכו אל מעלתם הראשונה כמו בהגאולה אבל ע"י הערב רב לא זכו אליה ומכל מקום התחנן משה לכנוס לא"י להיות בסוד היבום אבל לא זכה גם לזה כיון שלא בנה שוב לא יבנה אלא עד לעתיד לבוא ע"י דקב"ה שיתמחון הערב רב מעלמא שהם גרמו כל זה, ולולי הדיבור בסלע היו זוכין ישראל בכל יבום לבנות את אחיו כבתחילה וכן בעלי תשובה אבל כיון שלא זכו אז הוא כנ"ל וזהו מה שאמרו הרכבה מין במינו ושלא במינו, ע"י אחיו הוא במינו והוא מוציא פרי וכמו שאמרו בירושלמי זימנין דעקר זרע מינה וכן הוא כל נשואי בת אחותו וממשפחתו, וע"י אחר הוא שלא במינו וזהו סוד העריות שהן קרובים מאד והיו ההתבנות ואצילות להשפיע בולד נשמת עץ חיים מאצילות אבל כבר נאבד מהאדם זה ע"י עץ הדעת להוליד מאצילות בסוד והאדם ידע בעץ הדעת טוב ורע שהוא דרגא דבי"ע במט"ט מצפ"ץ זה ולא תדמה ליוצרך וכמו שאומר לעיל צ"ג ב' דאנת גרים, ולא הותר אלא ביבם להתכללות רוחא ברוחא ואז יהיה במדרגת הנער הולד כנ"ל ולולי זה אף זה לא יזכה כנ"ל ועיין שם בהמאמרים הנ"ל שהבאתי למעלה ותבין הכל:</w:t>
      </w:r>
    </w:p>
  </w:footnote>
  <w:footnote w:id="4439">
    <w:p w:rsidR="00A13282" w:rsidRDefault="00A13282" w:rsidP="00602EF1">
      <w:pPr>
        <w:pStyle w:val="a5"/>
        <w:rPr>
          <w:rtl/>
        </w:rPr>
      </w:pPr>
      <w:r>
        <w:rPr>
          <w:rStyle w:val="a7"/>
          <w:rtl/>
        </w:rPr>
        <w:footnoteRef/>
      </w:r>
      <w:r>
        <w:rPr>
          <w:rtl/>
        </w:rPr>
        <w:t xml:space="preserve"> </w:t>
      </w:r>
      <w:r>
        <w:rPr>
          <w:b/>
          <w:bCs/>
          <w:snapToGrid w:val="0"/>
          <w:sz w:val="24"/>
          <w:rtl/>
        </w:rPr>
        <w:t>וכמה דהאי נקודה כו'.</w:t>
      </w:r>
      <w:r>
        <w:rPr>
          <w:snapToGrid w:val="0"/>
          <w:sz w:val="24"/>
          <w:rtl/>
        </w:rPr>
        <w:t xml:space="preserve"> אמר סוגרת ומסוגרת, בב' בתים ראשון ושני שהיו ראוין להיות יחד כנ"ל והן ב' עלמין דהיא מסתתרת בהון, ועולם היצירה לא חשיב ואין בנין נגדו דאין בנין אלא בנוק' ויבן את הצלע אבל באדם לא נאמר בנין וכן בלב, ב' בתי לבא כנ"ל בנה בניתי כו', וכן מעין חתום דילה בב' חותמות חותם בתוך חותם, ציון וירושלים, ב' דלתות, שד"י אדנ"י, והכל כי בעלמא דדכורא אין בנין כנ"ל אבל מכל מקום הוא שומר דילה, וכנגדו כתיב אין יוצא ואין בא, שהוא סלע דמחאן ביה, והוא יותר קשה מב' הבניינים אף שהן חומות מכל מקום היו נפתחים והוא קשה להפתח עד כי יבא שיל"ה וכן באשה סלע בתולים דילה שהוא צריך להקרע וזה שאמרו (יבמות נט ע"א) בתולה ב' בתולים, ואיש לא ידעה שהוא ב' חותמות דילה שלא נגע אדם בהן והן ג', וזה שאומר ותלת גוונין סחרין לה כו' וכן בקליפות האגוז, קליפה חיוורא היא הקשה וכן (חגיגה יב ע"א) בהו אבנים מפולמות, ונגדו אין יוצא ואין בא וכמו שאומר לעיל נ"ג ב' דמחאן בה כו', כי האשה אפשר לבוא עליה ונקביה רחבים מה שאין כן באיש ולכן צריך להקרע והוא קריעת ימא דאורייתא כמו שאומר שם, שלכן צריך באיש כריתת ערלה מה שאין באשה אלא לעשותה כלי וכן נאמר בבת מלך פנימה, ופנימה הוא חדר לפנים מחדר, בבית הפנימי, כמו שכתוב (מלכים א ו כט,ל) דבית המקדש לפנים ולחיצון, שהוא קדש קדשים, חדר הפנימי ושם בת מלך סגורה ומסוגרת, והשלישי - ממשבצות זהב לבושה והיא מסתתרת בלבושה, ובה לבושין ואיש לא ידעה אלא לבעלה לבד בקרוב בשר כמו שמפרש והולך וכמו קודם החטא (בראשית ב כה) ויהיו שניהם ערומים כו', ונגד זה הלוחות בארון, לא יפתח כלל, והוא ממשבצות זהב לבושה - הארון לתורה, וכן צריכה להיות כל בתולה בבית אביה - מכוסה בלבושיה ומסוגרת חדר לפנים מחדר וזה שאומר </w:t>
      </w:r>
      <w:r>
        <w:rPr>
          <w:b/>
          <w:bCs/>
          <w:snapToGrid w:val="0"/>
          <w:sz w:val="24"/>
          <w:rtl/>
        </w:rPr>
        <w:t xml:space="preserve">הכי צריכא ברתא דאיהי בתולה כו' </w:t>
      </w:r>
      <w:r>
        <w:rPr>
          <w:snapToGrid w:val="0"/>
          <w:sz w:val="24"/>
          <w:rtl/>
        </w:rPr>
        <w:t>רוצה לומר לשמור בתולים דילה כנ"ל וכן אורייתא סתומה ובתולה עד שיבוא חתן דילה ותבר בתוליה ויקרע ימא דאורייתא ועדיין היא ארוסה לגביה והיא סגורה בג', פר"ד, והסוד הוא הבתולה, והקשה מכולם היא הרמז, ולא ידע איש את קבורתו וכמו שאמרו בפ' בראשית שם עיין שם בדבריו:</w:t>
      </w:r>
    </w:p>
  </w:footnote>
  <w:footnote w:id="4440">
    <w:p w:rsidR="00A13282" w:rsidRDefault="00A13282" w:rsidP="00602EF1">
      <w:pPr>
        <w:pStyle w:val="a5"/>
        <w:rPr>
          <w:rtl/>
        </w:rPr>
      </w:pPr>
      <w:r>
        <w:rPr>
          <w:rStyle w:val="a7"/>
          <w:rtl/>
        </w:rPr>
        <w:footnoteRef/>
      </w:r>
      <w:r>
        <w:rPr>
          <w:rtl/>
        </w:rPr>
        <w:t xml:space="preserve"> </w:t>
      </w:r>
      <w:r>
        <w:rPr>
          <w:b/>
          <w:bCs/>
          <w:snapToGrid w:val="0"/>
          <w:sz w:val="24"/>
          <w:rtl/>
        </w:rPr>
        <w:t>דא בת עינא.</w:t>
      </w:r>
      <w:r>
        <w:rPr>
          <w:snapToGrid w:val="0"/>
          <w:sz w:val="24"/>
          <w:rtl/>
        </w:rPr>
        <w:t xml:space="preserve"> רוצה לומר, דבת מלך היושבת פנימה במוח יורדת לבת עין ורואה משם, דהראיה בא מבת עין, והיא דרגא דבת מלך, ורואה בדברי תורה, וחוזרת הראיה למוח כידוע וזהו (בראשית כד טז) ותמלא כדה ותעל:</w:t>
      </w:r>
    </w:p>
  </w:footnote>
  <w:footnote w:id="4441">
    <w:p w:rsidR="00A13282" w:rsidRDefault="00A13282" w:rsidP="00602EF1">
      <w:pPr>
        <w:pStyle w:val="a5"/>
        <w:rPr>
          <w:rtl/>
        </w:rPr>
      </w:pPr>
      <w:r>
        <w:rPr>
          <w:rStyle w:val="a7"/>
          <w:rtl/>
        </w:rPr>
        <w:footnoteRef/>
      </w:r>
      <w:r>
        <w:rPr>
          <w:rtl/>
        </w:rPr>
        <w:t xml:space="preserve"> </w:t>
      </w:r>
      <w:r>
        <w:rPr>
          <w:b/>
          <w:bCs/>
          <w:snapToGrid w:val="0"/>
          <w:sz w:val="24"/>
          <w:rtl/>
        </w:rPr>
        <w:t>סוגרת כו'.</w:t>
      </w:r>
      <w:r>
        <w:rPr>
          <w:snapToGrid w:val="0"/>
          <w:sz w:val="24"/>
          <w:rtl/>
        </w:rPr>
        <w:t xml:space="preserve"> כמו שמפרש והולך ותלת גוונין כו', וכן היא מסוגרת בכרובי ועפעפי עינא, בב' מסגרות, אבל עיקר המכוון כאן בתלת גוונין כנ"ל וכמו שמפרש והולך שלשת ימים לקבל כו' ואיהי טמירא סתימא כו':</w:t>
      </w:r>
    </w:p>
  </w:footnote>
  <w:footnote w:id="4442">
    <w:p w:rsidR="00A13282" w:rsidRDefault="00A13282" w:rsidP="00602EF1">
      <w:pPr>
        <w:pStyle w:val="a5"/>
        <w:rPr>
          <w:rtl/>
        </w:rPr>
      </w:pPr>
      <w:r>
        <w:rPr>
          <w:rStyle w:val="a7"/>
          <w:rtl/>
        </w:rPr>
        <w:footnoteRef/>
      </w:r>
      <w:r>
        <w:rPr>
          <w:rtl/>
        </w:rPr>
        <w:t xml:space="preserve"> </w:t>
      </w:r>
      <w:r>
        <w:rPr>
          <w:b/>
          <w:bCs/>
          <w:snapToGrid w:val="0"/>
          <w:sz w:val="24"/>
          <w:rtl/>
        </w:rPr>
        <w:t>ועלייהו אתמר כו'.</w:t>
      </w:r>
      <w:r>
        <w:rPr>
          <w:snapToGrid w:val="0"/>
          <w:sz w:val="24"/>
          <w:rtl/>
        </w:rPr>
        <w:t xml:space="preserve"> שאלו ג' עלמין הן ג' גלגולים שלכן ועל ארבעה לא אשיבנו כמו שאומר לעיל בתיקון ל”ב והן ג' גוונין, בגלגול ראשן גוון חיוורא כמו שאומר שם, ופעם הראשון שלא נתגלגל הוא בת עין וכן הסוד כנגד בת עין וכן התורה בג' עלמין, ונגד ג' עלמין יש ס"א שלכן שם טמירא בפר"ד, כנפים ולבושים לכסאה מינייהו, אבל באצילות - לא יגורך רע ואין צריך כיסוי תמן ושם אין ערוה וכמו שאומר לעיל צ"ג ב' אבל לעילא לית ערוה כו' וזה שאומר </w:t>
      </w:r>
      <w:r>
        <w:rPr>
          <w:b/>
          <w:bCs/>
          <w:snapToGrid w:val="0"/>
          <w:sz w:val="24"/>
          <w:rtl/>
        </w:rPr>
        <w:t>וכד נחית לון כו'</w:t>
      </w:r>
      <w:r>
        <w:rPr>
          <w:snapToGrid w:val="0"/>
          <w:sz w:val="24"/>
          <w:rtl/>
        </w:rPr>
        <w:t xml:space="preserve"> </w:t>
      </w:r>
      <w:r>
        <w:rPr>
          <w:b/>
          <w:bCs/>
          <w:snapToGrid w:val="0"/>
          <w:sz w:val="24"/>
          <w:rtl/>
        </w:rPr>
        <w:t>שלשת ימים לקבל כו'</w:t>
      </w:r>
      <w:r>
        <w:rPr>
          <w:snapToGrid w:val="0"/>
          <w:sz w:val="24"/>
          <w:rtl/>
        </w:rPr>
        <w:t xml:space="preserve"> לקבל ג' עלמין כנ"ל לעלות בהן ולהתקדש בהון, וכמו שבאלו ג' היא ואיש לא ידעה שבהון ערוה וצריך להזהר שם כן לא יגשו אל אשה:</w:t>
      </w:r>
    </w:p>
  </w:footnote>
  <w:footnote w:id="4443">
    <w:p w:rsidR="00A13282" w:rsidRDefault="00A13282" w:rsidP="00602EF1">
      <w:pPr>
        <w:pStyle w:val="a5"/>
        <w:rPr>
          <w:rtl/>
        </w:rPr>
      </w:pPr>
      <w:r>
        <w:rPr>
          <w:rStyle w:val="a7"/>
          <w:rtl/>
        </w:rPr>
        <w:footnoteRef/>
      </w:r>
      <w:r>
        <w:rPr>
          <w:rtl/>
        </w:rPr>
        <w:t xml:space="preserve"> </w:t>
      </w:r>
      <w:r>
        <w:rPr>
          <w:b/>
          <w:bCs/>
          <w:snapToGrid w:val="0"/>
          <w:sz w:val="24"/>
          <w:rtl/>
        </w:rPr>
        <w:t>ואיש לא ידעה כו'.</w:t>
      </w:r>
      <w:r>
        <w:rPr>
          <w:snapToGrid w:val="0"/>
          <w:sz w:val="24"/>
          <w:rtl/>
        </w:rPr>
        <w:t xml:space="preserve"> לא ידעה ממש היא טמירא שם:</w:t>
      </w:r>
    </w:p>
  </w:footnote>
  <w:footnote w:id="4444">
    <w:p w:rsidR="00A13282" w:rsidRDefault="00A13282" w:rsidP="00602EF1">
      <w:pPr>
        <w:pStyle w:val="a5"/>
        <w:rPr>
          <w:rtl/>
        </w:rPr>
      </w:pPr>
      <w:r>
        <w:rPr>
          <w:rStyle w:val="a7"/>
          <w:rtl/>
        </w:rPr>
        <w:footnoteRef/>
      </w:r>
      <w:r>
        <w:rPr>
          <w:rtl/>
        </w:rPr>
        <w:t xml:space="preserve"> </w:t>
      </w:r>
      <w:r>
        <w:rPr>
          <w:b/>
          <w:bCs/>
          <w:snapToGrid w:val="0"/>
          <w:sz w:val="24"/>
          <w:rtl/>
        </w:rPr>
        <w:t>ובההוא זמנא כו'.</w:t>
      </w:r>
      <w:r>
        <w:rPr>
          <w:snapToGrid w:val="0"/>
          <w:sz w:val="24"/>
          <w:rtl/>
        </w:rPr>
        <w:t xml:space="preserve"> כמו שכתוב (דברים ה ד) פנים בפנים דבר ה' עמכם - בלא אמצעי ובלא הסתר שעל זה נאמר (שה"ש א ב) ישקני מנשיקות פיהו כו':</w:t>
      </w:r>
    </w:p>
  </w:footnote>
  <w:footnote w:id="4445">
    <w:p w:rsidR="00A13282" w:rsidRDefault="00A13282" w:rsidP="00602EF1">
      <w:pPr>
        <w:pStyle w:val="a5"/>
        <w:rPr>
          <w:rtl/>
        </w:rPr>
      </w:pPr>
      <w:r>
        <w:rPr>
          <w:rStyle w:val="a7"/>
          <w:rtl/>
        </w:rPr>
        <w:footnoteRef/>
      </w:r>
      <w:r>
        <w:rPr>
          <w:rtl/>
        </w:rPr>
        <w:t xml:space="preserve"> </w:t>
      </w:r>
      <w:r>
        <w:rPr>
          <w:b/>
          <w:bCs/>
          <w:snapToGrid w:val="0"/>
          <w:sz w:val="24"/>
          <w:rtl/>
        </w:rPr>
        <w:t>הה"ד עצם כו'.</w:t>
      </w:r>
      <w:r>
        <w:rPr>
          <w:snapToGrid w:val="0"/>
          <w:sz w:val="24"/>
          <w:rtl/>
        </w:rPr>
        <w:t xml:space="preserve"> דורש והולך סיפא דקרא הנ"ל ויפל כו', שדרש על משה רבינו עליו השלום, על הגלות וכן על כלל ישראל וכמו שאומר שם בפ' בראשית, ואז יזכו כל אחד לבת זוגיה, וכן היה למשה בגלות מצרים ולישראל וכמו שאומר להלן ובזמנא דמשה הוה מתלבש בהון כו' מיד דאתפשט כו' ויבן את הצלע לאשה, זו התורה מאורסה לנו, ויביאה אל האדם כמו שכתוב (שמות יט כ) וירד ה' על הר סיני, (משלי כא כב) הוריד עוז מבטחה, וכן לעתיד לבוא כמו שאומר לעיל נ"ג ב' ושאר מקומות ובפ' בראשית שם ואמר הה"ד עצם כו' - דהיא נלקחה מנשמתא כמו שאומר בסוף תיקוני זהר חדש פ"ט ג' ואורייתא טפילה לנשמתא כו' עיין שם בדבריו, וזה שאומר כי מאיש כו'. ואמר עצם ובשר נגד תורה שבכתב ובעל פה, ואמר על כן יעזב כו' כמו שכתוב (דברים לג ט) האומר לאביו ולאמו לא ראיתיו כו' כי שמרו אמרתך כו' וכמו שאומר לעיל ריש תיקון מ’ שכחי עמך כו', וזה שכתוב ודבק באשתו וכמו שכתוב (משלי ד ו) אל תעזבה כו' נצרה כו'. ואמר והיו לבשר אחד רוצה לומר בלא מחשבה אחרת שהוא דברים החוצצים ויהא לבו ונפשו אחריה תמיד כמו שכתוב (משלי ה יט) באהבתה תשגה תמיד, אילת כו'. וזה שאמרו (ברכות ה ע"ב) דלא כו' לבין הקיר, רוצה לומר כמו שאמרו (ברכות י ע"ב) מקירות לבו, שלא יהא חוצץ בתפלה בין דבורו לקירות לבו, שפה ולב, הוא קב"ה ושכינתיה שלכן אמרו (ברכות כח ע"א) מי שאין תוכו כברו וכמו שאומר לעיל ס"ב ב', וזה שאומר </w:t>
      </w:r>
      <w:r>
        <w:rPr>
          <w:b/>
          <w:bCs/>
          <w:snapToGrid w:val="0"/>
          <w:sz w:val="24"/>
          <w:rtl/>
        </w:rPr>
        <w:t>דכד בר נש מצלי ומייחד  כו',</w:t>
      </w:r>
      <w:r>
        <w:rPr>
          <w:snapToGrid w:val="0"/>
          <w:sz w:val="24"/>
          <w:rtl/>
        </w:rPr>
        <w:t xml:space="preserve"> שיותר צריך ליזהר ביחוד, וכמו שאומר לעיל ק"א א' ובההוא זמנא דצריך בר נש כו' כגוונא כו', ואמר </w:t>
      </w:r>
      <w:r>
        <w:rPr>
          <w:b/>
          <w:bCs/>
          <w:snapToGrid w:val="0"/>
          <w:sz w:val="24"/>
          <w:rtl/>
        </w:rPr>
        <w:t>ודא דבוקא דיחודא דלעילא כו'</w:t>
      </w:r>
      <w:r>
        <w:rPr>
          <w:snapToGrid w:val="0"/>
          <w:sz w:val="24"/>
          <w:rtl/>
        </w:rPr>
        <w:t xml:space="preserve"> רוצה לומר שלמעלה אין ערוה ושום חוצץ וכנ"ל:</w:t>
      </w:r>
    </w:p>
  </w:footnote>
  <w:footnote w:id="4446">
    <w:p w:rsidR="00A13282" w:rsidRDefault="00A13282" w:rsidP="00602EF1">
      <w:pPr>
        <w:pStyle w:val="a5"/>
        <w:rPr>
          <w:rtl/>
        </w:rPr>
      </w:pPr>
      <w:r>
        <w:rPr>
          <w:rStyle w:val="a7"/>
          <w:rtl/>
        </w:rPr>
        <w:footnoteRef/>
      </w:r>
      <w:r>
        <w:rPr>
          <w:rtl/>
        </w:rPr>
        <w:t xml:space="preserve"> </w:t>
      </w:r>
      <w:r>
        <w:rPr>
          <w:b/>
          <w:bCs/>
          <w:snapToGrid w:val="0"/>
          <w:sz w:val="24"/>
          <w:rtl/>
        </w:rPr>
        <w:t>ובההוא זמנא כו'.</w:t>
      </w:r>
      <w:r>
        <w:rPr>
          <w:snapToGrid w:val="0"/>
          <w:sz w:val="24"/>
          <w:rtl/>
        </w:rPr>
        <w:t xml:space="preserve"> רוצה לומר, לעתיד לבוא, וידוע שכפי קירוב השכינה כן מקורבין ישראל שהיא כנסת ישראל, ולפי מדרגתם היא עולה, וזה שאומר ולא יכנף כו', ונאמר (ישעיהו כה ט) ואמר ביום ההוא הנה כו', וכמו שאמרו (מגילה טו ע"ב) עתיד הקב"ה להעשות ראש כו' ורוצה לומר שישיגו השגה שלימה כמו שכתוב (חבקוק ב יד) כי תמלא הארץ דעה כו':</w:t>
      </w:r>
    </w:p>
  </w:footnote>
  <w:footnote w:id="4447">
    <w:p w:rsidR="00A13282" w:rsidRDefault="00A13282" w:rsidP="00602EF1">
      <w:pPr>
        <w:pStyle w:val="a5"/>
        <w:rPr>
          <w:rtl/>
        </w:rPr>
      </w:pPr>
      <w:r>
        <w:rPr>
          <w:rStyle w:val="a7"/>
          <w:rtl/>
        </w:rPr>
        <w:footnoteRef/>
      </w:r>
      <w:r>
        <w:rPr>
          <w:rtl/>
        </w:rPr>
        <w:t xml:space="preserve"> </w:t>
      </w:r>
      <w:r>
        <w:rPr>
          <w:b/>
          <w:bCs/>
          <w:snapToGrid w:val="0"/>
          <w:sz w:val="24"/>
          <w:rtl/>
        </w:rPr>
        <w:t>א"ל ר"א אבא כו'.</w:t>
      </w:r>
      <w:r>
        <w:rPr>
          <w:snapToGrid w:val="0"/>
          <w:sz w:val="24"/>
          <w:rtl/>
        </w:rPr>
        <w:t xml:space="preserve"> רוצה לומר, מאי בושה שייך בתורה והשיב כמו שזיווג באשתו נולד עתה הבושה מחמת היצר הרע שנולד באדם ולעתיד לבוא אז לא יתבוששו וכן הוא בגילוי הסוד כל זמן שמלובשין באלו ג' עריות אסור לגלות וזהו אין דורשין בעריות בשלשה כמו שמפרש והולך וכמו שאמרו בספרא דצניעותא ואידרא זוטא ווי למאן דגלי עריתהון ובפ' פנחס ברעיא מהימנא בארוכה, וכל זמן שאנו מלובשין באלו הקליפות צריכין אנו להתבושש ולכסות, וזה שאומר </w:t>
      </w:r>
      <w:r>
        <w:rPr>
          <w:b/>
          <w:bCs/>
          <w:snapToGrid w:val="0"/>
          <w:sz w:val="24"/>
          <w:rtl/>
        </w:rPr>
        <w:t>א"ל ברי באתר כו' ירא בושת.</w:t>
      </w:r>
      <w:r>
        <w:rPr>
          <w:snapToGrid w:val="0"/>
          <w:sz w:val="24"/>
          <w:rtl/>
        </w:rPr>
        <w:t xml:space="preserve"> רוצה לומר, כל זמן שמתיירא מעריות - צריך בושת, והוא אותיות בראשית כמו שאומר לעיל תיקון ז’:</w:t>
      </w:r>
    </w:p>
  </w:footnote>
  <w:footnote w:id="4448">
    <w:p w:rsidR="00A13282" w:rsidRDefault="00A13282" w:rsidP="00602EF1">
      <w:pPr>
        <w:pStyle w:val="a5"/>
        <w:rPr>
          <w:rtl/>
        </w:rPr>
      </w:pPr>
      <w:r>
        <w:rPr>
          <w:rStyle w:val="a7"/>
          <w:rtl/>
        </w:rPr>
        <w:footnoteRef/>
      </w:r>
      <w:r>
        <w:rPr>
          <w:rtl/>
        </w:rPr>
        <w:t xml:space="preserve"> </w:t>
      </w:r>
      <w:r>
        <w:rPr>
          <w:b/>
          <w:bCs/>
          <w:snapToGrid w:val="0"/>
          <w:sz w:val="24"/>
          <w:rtl/>
        </w:rPr>
        <w:t>ומאן דלית ליה בושת כו'.</w:t>
      </w:r>
      <w:r>
        <w:rPr>
          <w:snapToGrid w:val="0"/>
          <w:sz w:val="24"/>
          <w:rtl/>
        </w:rPr>
        <w:t xml:space="preserve"> כמו שאמר משה לישראל אז (שמות כ יז) ובעבור תהיה יראתו כו' ואמרו (נדרים כ ע"א) זה הבושה מכאן אמרו כו' וכנ"ל ירא בושת:</w:t>
      </w:r>
    </w:p>
  </w:footnote>
  <w:footnote w:id="4449">
    <w:p w:rsidR="00A13282" w:rsidRDefault="00A13282" w:rsidP="00602EF1">
      <w:pPr>
        <w:pStyle w:val="a5"/>
        <w:rPr>
          <w:rtl/>
        </w:rPr>
      </w:pPr>
      <w:r>
        <w:rPr>
          <w:rStyle w:val="a7"/>
          <w:rtl/>
        </w:rPr>
        <w:footnoteRef/>
      </w:r>
      <w:r>
        <w:rPr>
          <w:rtl/>
        </w:rPr>
        <w:t xml:space="preserve"> </w:t>
      </w:r>
      <w:r>
        <w:rPr>
          <w:b/>
          <w:bCs/>
          <w:snapToGrid w:val="0"/>
          <w:sz w:val="24"/>
          <w:rtl/>
        </w:rPr>
        <w:t>בתלת גוונין חיוור כו'.</w:t>
      </w:r>
      <w:r>
        <w:rPr>
          <w:snapToGrid w:val="0"/>
          <w:sz w:val="24"/>
          <w:rtl/>
        </w:rPr>
        <w:t xml:space="preserve"> כשהאדם מתבייש פתאום נעשה סומק ואח"כ חיוור, (ב"מ נח ע"ב) דאזל סומקא ואתא חוורא, וכשהאדם מתבושש זמן ארוך הוא ירוק, והן גוונין דאבהן, חיוור - אברהם מישמעאל, ויצחק - סומק מעשו אדמוני, ויעקב - ירוק, (ירמיהו ל ו) ונהפכו כל פנים לירקון מערב רב, וכשיתמחון הערב רב ולא יהיה בגלות עשו (פי' עמלק) וישמעאל שמהן נעשין תמיד חיוור וסומק, (תהלים סו יב) באנו באש ובמים כו' - אז לא יבוש יעקב ולא כו', והן ג' גוונין דמתכסיין בקליפין, ג' גלגולים דאדם בג' אנפי חיוון אבל גלגולא דאדם במשה, מ"ה דמשה, אתפשט מינייהו ונאמר לו (שמות ג ה) של נעלך כמו שמפרש והולך ואז זכו ישראל לתורה, וכן לעתיד לבוא (דברים לג כח) וישכון ישראל בטח בדד עין יעקב, דבת עינא יתפשט מאלו ג' קליפין וכמו שמפרש והולך ואמר </w:t>
      </w:r>
      <w:r>
        <w:rPr>
          <w:b/>
          <w:bCs/>
          <w:snapToGrid w:val="0"/>
          <w:sz w:val="24"/>
          <w:rtl/>
        </w:rPr>
        <w:t>דבהון אתלבש' קש"ת</w:t>
      </w:r>
      <w:r>
        <w:rPr>
          <w:snapToGrid w:val="0"/>
          <w:sz w:val="24"/>
          <w:rtl/>
        </w:rPr>
        <w:t xml:space="preserve"> כידוע וקש"ת הוא ראשי תיבות תקיעה שברים תרועה שבהן (בראשית לה טז) ותק"ש בלדתה, ג' גוונין הנ"ל ועיין בזהר פרשת בראשית ובריש פ' פנחס בארוכה:</w:t>
      </w:r>
    </w:p>
  </w:footnote>
  <w:footnote w:id="4450">
    <w:p w:rsidR="00A13282" w:rsidRDefault="00A13282" w:rsidP="00602EF1">
      <w:pPr>
        <w:pStyle w:val="a5"/>
        <w:rPr>
          <w:rtl/>
        </w:rPr>
      </w:pPr>
      <w:r>
        <w:rPr>
          <w:rStyle w:val="a7"/>
          <w:rtl/>
        </w:rPr>
        <w:footnoteRef/>
      </w:r>
      <w:r>
        <w:rPr>
          <w:rtl/>
        </w:rPr>
        <w:t xml:space="preserve"> </w:t>
      </w:r>
      <w:r>
        <w:rPr>
          <w:b/>
          <w:bCs/>
          <w:snapToGrid w:val="0"/>
          <w:sz w:val="24"/>
          <w:rtl/>
        </w:rPr>
        <w:t>ובג"ד אסור כו'.</w:t>
      </w:r>
      <w:r>
        <w:rPr>
          <w:snapToGrid w:val="0"/>
          <w:sz w:val="24"/>
          <w:rtl/>
        </w:rPr>
        <w:t xml:space="preserve"> וכמו שאמרו (סנהדרין צב ע"א) כל המסתכל בערוה כו', וכן אסור לחקור ולדרוש בהן וכמו שאמרו (חגיגה יא ע"ב) אין דורשין כו', ואסור כו' שלא יקרה כמו לאדם הראשון וכיוצא דאלו ג' מד' שנכנסו לפרד"ס וכמו שאומר לעיל י"א א' ואמר </w:t>
      </w:r>
      <w:r>
        <w:rPr>
          <w:b/>
          <w:bCs/>
          <w:snapToGrid w:val="0"/>
          <w:sz w:val="24"/>
          <w:rtl/>
        </w:rPr>
        <w:t>ודא רזא דערלה כו'</w:t>
      </w:r>
      <w:r>
        <w:rPr>
          <w:snapToGrid w:val="0"/>
          <w:sz w:val="24"/>
          <w:rtl/>
        </w:rPr>
        <w:t xml:space="preserve"> כמו שאומר לעיל בתיקון ל”ז ועיין מה שכתבתי שם. ואמר </w:t>
      </w:r>
      <w:r>
        <w:rPr>
          <w:b/>
          <w:bCs/>
          <w:snapToGrid w:val="0"/>
          <w:sz w:val="24"/>
          <w:rtl/>
        </w:rPr>
        <w:t>ועל אלין תלת קליפין אתמר כו'</w:t>
      </w:r>
      <w:r>
        <w:rPr>
          <w:snapToGrid w:val="0"/>
          <w:sz w:val="24"/>
          <w:rtl/>
        </w:rPr>
        <w:t xml:space="preserve"> והוא גוף הטפה סרוחה שהוא כתנות עור דחויא, הערלה דיליה כמו שאומר לעיל תיקון ל”א שהן ג' קליפין דאגוזא, עור - תהו ובורא רע שהוא תהו, ובשר - בהו קליפה הקשה מכולם קץ כל בשר, וחושך - גידין והדם וכידוע ואמר </w:t>
      </w:r>
      <w:r>
        <w:rPr>
          <w:b/>
          <w:bCs/>
          <w:snapToGrid w:val="0"/>
          <w:sz w:val="24"/>
          <w:rtl/>
        </w:rPr>
        <w:t>ומיד וראיתיה</w:t>
      </w:r>
      <w:r>
        <w:rPr>
          <w:snapToGrid w:val="0"/>
          <w:sz w:val="24"/>
          <w:rtl/>
        </w:rPr>
        <w:t xml:space="preserve"> כמו שאומר שם אל תקרב הלום ואח"כ ותמונת ה' יביט וכן במשה ידעתיך בשם וביה נתקרבה השכינה:</w:t>
      </w:r>
    </w:p>
  </w:footnote>
  <w:footnote w:id="4451">
    <w:p w:rsidR="00A13282" w:rsidRDefault="00A13282" w:rsidP="00602EF1">
      <w:pPr>
        <w:pStyle w:val="a5"/>
        <w:rPr>
          <w:rtl/>
        </w:rPr>
      </w:pPr>
      <w:r>
        <w:rPr>
          <w:rStyle w:val="a7"/>
          <w:rtl/>
        </w:rPr>
        <w:footnoteRef/>
      </w:r>
      <w:r>
        <w:rPr>
          <w:rtl/>
        </w:rPr>
        <w:t xml:space="preserve"> </w:t>
      </w:r>
      <w:r>
        <w:rPr>
          <w:b/>
          <w:bCs/>
          <w:snapToGrid w:val="0"/>
          <w:sz w:val="24"/>
          <w:rtl/>
        </w:rPr>
        <w:t>ודא רזא דקרבנא.</w:t>
      </w:r>
      <w:r>
        <w:rPr>
          <w:snapToGrid w:val="0"/>
          <w:sz w:val="24"/>
          <w:rtl/>
        </w:rPr>
        <w:t xml:space="preserve"> רוצה לומר שנתקרב הקב"ה בשכינה וישראל ע"י הקרבן ששמו מוכיח עליו:</w:t>
      </w:r>
    </w:p>
  </w:footnote>
  <w:footnote w:id="4452">
    <w:p w:rsidR="00A13282" w:rsidRDefault="00A13282" w:rsidP="00602EF1">
      <w:pPr>
        <w:pStyle w:val="a5"/>
        <w:rPr>
          <w:rtl/>
        </w:rPr>
      </w:pPr>
      <w:r>
        <w:rPr>
          <w:rStyle w:val="a7"/>
          <w:rtl/>
        </w:rPr>
        <w:footnoteRef/>
      </w:r>
      <w:r>
        <w:rPr>
          <w:rtl/>
        </w:rPr>
        <w:t xml:space="preserve"> </w:t>
      </w:r>
      <w:r>
        <w:rPr>
          <w:b/>
          <w:bCs/>
          <w:snapToGrid w:val="0"/>
          <w:sz w:val="24"/>
          <w:rtl/>
        </w:rPr>
        <w:t>הה"ד זאת כו'.</w:t>
      </w:r>
      <w:r>
        <w:rPr>
          <w:snapToGrid w:val="0"/>
          <w:sz w:val="24"/>
          <w:rtl/>
        </w:rPr>
        <w:t xml:space="preserve"> ב' פעמים העולה שהוא לשון כליל באש ועל מוקדה וכמו שאומר לקמן והאש אית לה תלת גוונין אלו לסלקא אלו ג' וכמו שמפרש והולך </w:t>
      </w:r>
      <w:r>
        <w:rPr>
          <w:b/>
          <w:bCs/>
          <w:snapToGrid w:val="0"/>
          <w:sz w:val="24"/>
          <w:rtl/>
        </w:rPr>
        <w:t>הא תלת גוונין דאשא כו'.</w:t>
      </w:r>
      <w:r>
        <w:rPr>
          <w:snapToGrid w:val="0"/>
          <w:sz w:val="24"/>
          <w:rtl/>
        </w:rPr>
        <w:t xml:space="preserve"> וזה שאומר ב' פעמים תוקד בו, פעם ראשון לקבל ערבית בלילה כמו שכתוב (ויקרא ו ב) כל הלילה עד הבוקר ואש כו', השני לקבל תפלת שחרית בבוקר כמו שכתוב (ויקרא ו ה) ובער עליה עצים בבוקר בבוקר והאש על המזבח כו', וכן הוא פשטא דקרא, דראשון נאמר שיהא דולק כל הלילה על האברים ופדרים, והשני נאמר על המערכה בבוקר שידליק אותה (ולא יהא בטל האש בסדר המערכה וזה שאומר לא תכבה), והשלישי נאמר (שם ו ו) אש תמיד, נאמר שיהא דולק תמיד עד הערב ועליו נאמר תמיד וכן עולת התמיד נאמר על התמיד של בין הערבים שאז נתקיים תמיד, שלשון תמיד אינו על עולם אלא על הזמן שהוא יהא תמיד וכמו בלחם הפנים ומנורה - כל הלילה, והתמיד - בבקר ובערב:</w:t>
      </w:r>
    </w:p>
  </w:footnote>
  <w:footnote w:id="4453">
    <w:p w:rsidR="00A13282" w:rsidRDefault="00A13282" w:rsidP="00602EF1">
      <w:pPr>
        <w:pStyle w:val="a5"/>
        <w:rPr>
          <w:rtl/>
        </w:rPr>
      </w:pPr>
      <w:r>
        <w:rPr>
          <w:rStyle w:val="a7"/>
          <w:rtl/>
        </w:rPr>
        <w:footnoteRef/>
      </w:r>
      <w:r>
        <w:rPr>
          <w:rtl/>
        </w:rPr>
        <w:t xml:space="preserve"> </w:t>
      </w:r>
      <w:r>
        <w:rPr>
          <w:b/>
          <w:bCs/>
          <w:snapToGrid w:val="0"/>
          <w:sz w:val="24"/>
          <w:rtl/>
        </w:rPr>
        <w:t>ובההוא זמנא כו' ובזמנא כ'.</w:t>
      </w:r>
      <w:r>
        <w:rPr>
          <w:snapToGrid w:val="0"/>
          <w:sz w:val="24"/>
          <w:rtl/>
        </w:rPr>
        <w:t xml:space="preserve"> עיין לעיל צ"ג א' בארוכה:</w:t>
      </w:r>
    </w:p>
  </w:footnote>
  <w:footnote w:id="4454">
    <w:p w:rsidR="00A13282" w:rsidRDefault="00A13282" w:rsidP="00602EF1">
      <w:pPr>
        <w:pStyle w:val="a5"/>
        <w:rPr>
          <w:rtl/>
        </w:rPr>
      </w:pPr>
      <w:r>
        <w:rPr>
          <w:rStyle w:val="a7"/>
          <w:rtl/>
        </w:rPr>
        <w:footnoteRef/>
      </w:r>
      <w:r>
        <w:rPr>
          <w:rtl/>
        </w:rPr>
        <w:t xml:space="preserve"> </w:t>
      </w:r>
      <w:r>
        <w:rPr>
          <w:b/>
          <w:bCs/>
          <w:snapToGrid w:val="0"/>
          <w:sz w:val="24"/>
          <w:rtl/>
        </w:rPr>
        <w:t>דאינון כהנים כו'.</w:t>
      </w:r>
      <w:r>
        <w:rPr>
          <w:snapToGrid w:val="0"/>
          <w:sz w:val="24"/>
          <w:rtl/>
        </w:rPr>
        <w:t xml:space="preserve"> שהן נגד ג' אבהן כידוע (תהלים קי ד) אתה כהן לעולם, (בראשית לא מב) ופחד יצחק וישראל והן העבירו ג' הגוונין בג' צלותין דתקינו וכן צריכין ישראל לאפשטא מג' דרגין אלו דבהון. ואמר</w:t>
      </w:r>
    </w:p>
  </w:footnote>
  <w:footnote w:id="4455">
    <w:p w:rsidR="00A13282" w:rsidRDefault="00A13282" w:rsidP="00602EF1">
      <w:pPr>
        <w:pStyle w:val="a5"/>
        <w:rPr>
          <w:rtl/>
        </w:rPr>
      </w:pPr>
      <w:r>
        <w:rPr>
          <w:rStyle w:val="a7"/>
          <w:rtl/>
        </w:rPr>
        <w:footnoteRef/>
      </w:r>
      <w:r>
        <w:rPr>
          <w:rtl/>
        </w:rPr>
        <w:t xml:space="preserve"> </w:t>
      </w:r>
      <w:r>
        <w:rPr>
          <w:b/>
          <w:bCs/>
          <w:snapToGrid w:val="0"/>
          <w:sz w:val="24"/>
          <w:rtl/>
        </w:rPr>
        <w:t>ואינון נעילת כו'.</w:t>
      </w:r>
      <w:r>
        <w:rPr>
          <w:snapToGrid w:val="0"/>
          <w:sz w:val="24"/>
          <w:rtl/>
        </w:rPr>
        <w:t xml:space="preserve"> דג' רגלין נגד ג' אבהן וכהן לוי וישראל, דשמיני עצרת תשלומין כו', ומכל מקום הוא נגד דוד מלכא וכן נגד גרי צדק ובו אך שמח. ואמר נעילת חגין כמו שכתוב מה יפו פעמיך בנעלים כו' ודרשו בשעה שעולין לרגל רוצה לומר נעלים על ג' רגלים דנעל על הרגל ורוצה לומר דעתה הוא מכל מקום בנעלים לבד יום הכפורים דמתגלה בת עין. וזה שאומר</w:t>
      </w:r>
    </w:p>
  </w:footnote>
  <w:footnote w:id="4456">
    <w:p w:rsidR="00A13282" w:rsidRDefault="00A13282" w:rsidP="00602EF1">
      <w:pPr>
        <w:pStyle w:val="a5"/>
        <w:rPr>
          <w:rtl/>
        </w:rPr>
      </w:pPr>
      <w:r>
        <w:rPr>
          <w:rStyle w:val="a7"/>
          <w:rtl/>
        </w:rPr>
        <w:footnoteRef/>
      </w:r>
      <w:r>
        <w:rPr>
          <w:rtl/>
        </w:rPr>
        <w:t xml:space="preserve"> </w:t>
      </w:r>
      <w:r>
        <w:rPr>
          <w:b/>
          <w:bCs/>
          <w:snapToGrid w:val="0"/>
          <w:sz w:val="24"/>
          <w:rtl/>
        </w:rPr>
        <w:t>תלת קליפין עלייהו כו' בקדמיתא כו'.</w:t>
      </w:r>
      <w:r>
        <w:rPr>
          <w:snapToGrid w:val="0"/>
          <w:sz w:val="24"/>
          <w:rtl/>
        </w:rPr>
        <w:t xml:space="preserve"> רוצה לומר שאלו לבושין דג' עלמין היו כתנות אור שהיה מאיר בהם בת עין נהורא דעיינין והשתא חשוכא דעיינין עור עִוֵר</w:t>
      </w:r>
      <w:r>
        <w:rPr>
          <w:snapToGrid w:val="0"/>
          <w:sz w:val="24"/>
        </w:rPr>
        <w:t xml:space="preserve"> </w:t>
      </w:r>
      <w:r>
        <w:rPr>
          <w:snapToGrid w:val="0"/>
          <w:sz w:val="24"/>
          <w:rtl/>
        </w:rPr>
        <w:t>מנין עור משכא דחוויא כמו שמפרש והולך ואמר</w:t>
      </w:r>
    </w:p>
  </w:footnote>
  <w:footnote w:id="4457">
    <w:p w:rsidR="00A13282" w:rsidRDefault="00A13282" w:rsidP="00602EF1">
      <w:pPr>
        <w:pStyle w:val="a5"/>
        <w:rPr>
          <w:rtl/>
        </w:rPr>
      </w:pPr>
      <w:r>
        <w:rPr>
          <w:rStyle w:val="a7"/>
          <w:rtl/>
        </w:rPr>
        <w:footnoteRef/>
      </w:r>
      <w:r>
        <w:rPr>
          <w:rtl/>
        </w:rPr>
        <w:t xml:space="preserve"> </w:t>
      </w:r>
      <w:r>
        <w:rPr>
          <w:b/>
          <w:bCs/>
          <w:snapToGrid w:val="0"/>
          <w:sz w:val="24"/>
          <w:rtl/>
        </w:rPr>
        <w:t>ולשבעין שנין כו'.</w:t>
      </w:r>
      <w:r>
        <w:rPr>
          <w:snapToGrid w:val="0"/>
          <w:sz w:val="24"/>
          <w:rtl/>
        </w:rPr>
        <w:t xml:space="preserve"> כידוע ורוצה לומר בכאן על זמן חיי האדם שבעין שנין ואח"כ מתפשט מזה הגוף להתלבש בגן עדן בכתנות אור כמקדם, ושם (יחזקאל לז ט) מארבע הרוחות כו' שהן ג' גוונין נהירין עם הבת עין. ואמר</w:t>
      </w:r>
    </w:p>
  </w:footnote>
  <w:footnote w:id="4458">
    <w:p w:rsidR="00A13282" w:rsidRDefault="00A13282" w:rsidP="00602EF1">
      <w:pPr>
        <w:pStyle w:val="a5"/>
        <w:rPr>
          <w:rtl/>
        </w:rPr>
      </w:pPr>
      <w:r>
        <w:rPr>
          <w:rStyle w:val="a7"/>
          <w:rtl/>
        </w:rPr>
        <w:footnoteRef/>
      </w:r>
      <w:r>
        <w:rPr>
          <w:rtl/>
        </w:rPr>
        <w:t xml:space="preserve"> </w:t>
      </w:r>
      <w:r>
        <w:rPr>
          <w:b/>
          <w:bCs/>
          <w:snapToGrid w:val="0"/>
          <w:sz w:val="24"/>
          <w:rtl/>
        </w:rPr>
        <w:t>דתלת גוונין כו' תלת ווין כו'.</w:t>
      </w:r>
      <w:r>
        <w:rPr>
          <w:snapToGrid w:val="0"/>
          <w:sz w:val="24"/>
          <w:rtl/>
        </w:rPr>
        <w:t xml:space="preserve"> שהן ג' דאבהן ויסע כו', שם ע"ב כמו שאמרו בפ' בשלח ושאר מקומות הרבה והן ג' גוונין נהירין הנ"ל. ואמרו</w:t>
      </w:r>
    </w:p>
  </w:footnote>
  <w:footnote w:id="4459">
    <w:p w:rsidR="00A13282" w:rsidRDefault="00A13282" w:rsidP="00602EF1">
      <w:pPr>
        <w:pStyle w:val="a5"/>
        <w:rPr>
          <w:rtl/>
        </w:rPr>
      </w:pPr>
      <w:r>
        <w:rPr>
          <w:rStyle w:val="a7"/>
          <w:rtl/>
        </w:rPr>
        <w:footnoteRef/>
      </w:r>
      <w:r>
        <w:rPr>
          <w:rtl/>
        </w:rPr>
        <w:t xml:space="preserve"> </w:t>
      </w:r>
      <w:r>
        <w:rPr>
          <w:b/>
          <w:bCs/>
          <w:snapToGrid w:val="0"/>
          <w:sz w:val="24"/>
          <w:rtl/>
        </w:rPr>
        <w:t xml:space="preserve">מיד וראיתיה כו'. </w:t>
      </w:r>
      <w:r>
        <w:rPr>
          <w:snapToGrid w:val="0"/>
          <w:sz w:val="24"/>
          <w:rtl/>
        </w:rPr>
        <w:t>וכמו שכתוב (ויקרא כו מב) וזכרתי את בריתי יעקב ואף כו' ואף כו' והארץ אזכור:</w:t>
      </w:r>
    </w:p>
  </w:footnote>
  <w:footnote w:id="4460">
    <w:p w:rsidR="00A13282" w:rsidRDefault="00A13282" w:rsidP="00602EF1">
      <w:pPr>
        <w:pStyle w:val="a5"/>
        <w:rPr>
          <w:rtl/>
        </w:rPr>
      </w:pPr>
      <w:r>
        <w:rPr>
          <w:rStyle w:val="a7"/>
          <w:rtl/>
        </w:rPr>
        <w:footnoteRef/>
      </w:r>
      <w:r>
        <w:rPr>
          <w:rtl/>
        </w:rPr>
        <w:t xml:space="preserve"> </w:t>
      </w:r>
      <w:r>
        <w:rPr>
          <w:b/>
          <w:bCs/>
          <w:snapToGrid w:val="0"/>
          <w:sz w:val="24"/>
          <w:rtl/>
        </w:rPr>
        <w:t>ואינון תלת ווין אינון כו'.</w:t>
      </w:r>
      <w:r>
        <w:rPr>
          <w:snapToGrid w:val="0"/>
          <w:sz w:val="24"/>
          <w:rtl/>
        </w:rPr>
        <w:t xml:space="preserve"> ג' עלמין הנ"ל ביתא דשכינתא שעל זה נאמר (במדבר יב ז) בכל ביתי כו', שהגיע עד הבריאה ואתמסר ליה תורת הבריאה והוא ב' דבראשית, נקודיה בהיכליה, הבית גוף להנקודה שבתוכו וכנ"ל והיא בת דנתקשרא בג' אבהן, ג' ווין הנ"ל, ועיין בזהר פרשת בשלח דהיא נטלא כל הג' שמהן דע"ב אלו:</w:t>
      </w:r>
    </w:p>
  </w:footnote>
  <w:footnote w:id="4461">
    <w:p w:rsidR="00A13282" w:rsidRDefault="00A13282" w:rsidP="00602EF1">
      <w:pPr>
        <w:pStyle w:val="a5"/>
        <w:rPr>
          <w:rtl/>
        </w:rPr>
      </w:pPr>
      <w:r>
        <w:rPr>
          <w:rStyle w:val="a7"/>
          <w:rtl/>
        </w:rPr>
        <w:footnoteRef/>
      </w:r>
      <w:r>
        <w:rPr>
          <w:rtl/>
        </w:rPr>
        <w:t xml:space="preserve"> </w:t>
      </w:r>
      <w:r>
        <w:rPr>
          <w:b/>
          <w:bCs/>
          <w:snapToGrid w:val="0"/>
          <w:sz w:val="24"/>
          <w:rtl/>
        </w:rPr>
        <w:t>חד לשמיא כו'.</w:t>
      </w:r>
      <w:r>
        <w:rPr>
          <w:snapToGrid w:val="0"/>
          <w:sz w:val="24"/>
          <w:rtl/>
        </w:rPr>
        <w:t xml:space="preserve"> שמים הוא בריאה בסוד ראש, וארץ - עשיה, וימא - יצירה כמו שאמרו בפ' צו בענין גלגלי ימא דאמרין ברוך כבוד ה' ממקומו ועיין מה שכתבתי שם:</w:t>
      </w:r>
    </w:p>
  </w:footnote>
  <w:footnote w:id="4462">
    <w:p w:rsidR="00A13282" w:rsidRDefault="00A13282" w:rsidP="00602EF1">
      <w:pPr>
        <w:pStyle w:val="a5"/>
        <w:rPr>
          <w:rtl/>
        </w:rPr>
      </w:pPr>
      <w:r>
        <w:rPr>
          <w:rStyle w:val="a7"/>
          <w:rtl/>
        </w:rPr>
        <w:footnoteRef/>
      </w:r>
      <w:r>
        <w:rPr>
          <w:rtl/>
        </w:rPr>
        <w:t xml:space="preserve"> </w:t>
      </w:r>
      <w:r>
        <w:rPr>
          <w:b/>
          <w:bCs/>
          <w:snapToGrid w:val="0"/>
          <w:sz w:val="24"/>
          <w:rtl/>
        </w:rPr>
        <w:t>ומהאי ב' תליין כו'.</w:t>
      </w:r>
      <w:r>
        <w:rPr>
          <w:snapToGrid w:val="0"/>
          <w:sz w:val="24"/>
          <w:rtl/>
        </w:rPr>
        <w:t xml:space="preserve"> שבעין דודין דסחרין לה כמו שאמרו בזהר חדש שה"ש ובזוהר פ' וירא שהן מ"ב דאתוון וכ"ח דנקודין, שתין מקורין דחיין, שתין איילתא, (שה"ש ג ז) ששים גבורים סביב לה, וי"ב עלמות דילה - י"ב בקר, והן במט"ט דיש לו שבעין שמהן והן ע' נפש וע' שמהן נגד ע' אנפין דת"ת דמקנן ביה, ובי"ת עצמה שהוא שנים הן ב' בתים הנ"ל, בריאה ועשיה, וזה שאומר</w:t>
      </w:r>
    </w:p>
  </w:footnote>
  <w:footnote w:id="4463">
    <w:p w:rsidR="00A13282" w:rsidRDefault="00A13282" w:rsidP="00602EF1">
      <w:pPr>
        <w:pStyle w:val="a5"/>
        <w:rPr>
          <w:rtl/>
        </w:rPr>
      </w:pPr>
      <w:r>
        <w:rPr>
          <w:rStyle w:val="a7"/>
          <w:rtl/>
        </w:rPr>
        <w:footnoteRef/>
      </w:r>
      <w:r>
        <w:rPr>
          <w:rtl/>
        </w:rPr>
        <w:t xml:space="preserve"> </w:t>
      </w:r>
      <w:r>
        <w:rPr>
          <w:b/>
          <w:bCs/>
          <w:snapToGrid w:val="0"/>
          <w:sz w:val="24"/>
          <w:rtl/>
        </w:rPr>
        <w:t xml:space="preserve">ואינון שבעין ותרין כו'. </w:t>
      </w:r>
      <w:r>
        <w:rPr>
          <w:snapToGrid w:val="0"/>
          <w:sz w:val="24"/>
          <w:rtl/>
        </w:rPr>
        <w:t>וע"ב גוונין הן י"ב גוונין דדעת, ב' עיטרין דחו"ב, וב' אחסנתין - ה’ חסדים וה’ גבורות, והן י"ב גוונין שבחושן, והן כללים וכל אחד נכלל מששה שכל אחד מתפשט בו"ק ומשתנה בכל אחד, ומה שאמר לעיל ל"ח א' שהן ל"ו היינו בהתכללות שמאלא בימינא והן חו"ב כל אחד וה’ חסדים וה’ גבורות ל"ה אבל הן ע"ב, ל"ו - וה"ו, ול"ו - אני לנוק' ונשארין אלה לדכורא וכללן ע"ב:</w:t>
      </w:r>
    </w:p>
  </w:footnote>
  <w:footnote w:id="4464">
    <w:p w:rsidR="00A13282" w:rsidRDefault="00A13282" w:rsidP="00602EF1">
      <w:pPr>
        <w:pStyle w:val="a5"/>
        <w:rPr>
          <w:rtl/>
        </w:rPr>
      </w:pPr>
      <w:r>
        <w:rPr>
          <w:rStyle w:val="a7"/>
          <w:rtl/>
        </w:rPr>
        <w:footnoteRef/>
      </w:r>
      <w:r>
        <w:rPr>
          <w:rtl/>
        </w:rPr>
        <w:t xml:space="preserve"> </w:t>
      </w:r>
      <w:r>
        <w:rPr>
          <w:b/>
          <w:bCs/>
          <w:snapToGrid w:val="0"/>
          <w:sz w:val="24"/>
          <w:rtl/>
        </w:rPr>
        <w:t>דעלייהו אתמר כו'.</w:t>
      </w:r>
      <w:r>
        <w:rPr>
          <w:snapToGrid w:val="0"/>
          <w:sz w:val="24"/>
          <w:rtl/>
        </w:rPr>
        <w:t xml:space="preserve"> כיון שנתרבה הדעת ונתגלה אזי יתבטל הס"א כמו שכתוב (ישעיהו יא ט) לא ירעו כו' כי מלאה כו' כמו שכתוב (יואל ב כ) ואת הצפוני ארחיק מעליכם והדחתיו כו', (יואל ג א) ונבאו בניכם כו':</w:t>
      </w:r>
    </w:p>
  </w:footnote>
  <w:footnote w:id="4465">
    <w:p w:rsidR="00A13282" w:rsidRDefault="00A13282" w:rsidP="00602EF1">
      <w:pPr>
        <w:pStyle w:val="a5"/>
        <w:rPr>
          <w:rtl/>
        </w:rPr>
      </w:pPr>
      <w:r>
        <w:rPr>
          <w:rStyle w:val="a7"/>
          <w:rtl/>
        </w:rPr>
        <w:footnoteRef/>
      </w:r>
      <w:r>
        <w:rPr>
          <w:rtl/>
        </w:rPr>
        <w:t xml:space="preserve"> </w:t>
      </w:r>
      <w:r>
        <w:rPr>
          <w:b/>
          <w:bCs/>
          <w:snapToGrid w:val="0"/>
          <w:sz w:val="24"/>
          <w:rtl/>
        </w:rPr>
        <w:t>ואינון תלת כו'.</w:t>
      </w:r>
      <w:r>
        <w:rPr>
          <w:snapToGrid w:val="0"/>
          <w:sz w:val="24"/>
          <w:rtl/>
        </w:rPr>
        <w:t xml:space="preserve"> דה' היא שכינתא, והכל כמו בבית והה"א מתפשט בג' עלמין:</w:t>
      </w:r>
    </w:p>
  </w:footnote>
  <w:footnote w:id="4466">
    <w:p w:rsidR="00A13282" w:rsidRDefault="00A13282" w:rsidP="00602EF1">
      <w:pPr>
        <w:pStyle w:val="a5"/>
        <w:rPr>
          <w:rtl/>
        </w:rPr>
      </w:pPr>
      <w:r>
        <w:rPr>
          <w:rStyle w:val="a7"/>
          <w:rtl/>
        </w:rPr>
        <w:footnoteRef/>
      </w:r>
      <w:r>
        <w:rPr>
          <w:rtl/>
        </w:rPr>
        <w:t xml:space="preserve"> </w:t>
      </w:r>
      <w:r>
        <w:rPr>
          <w:b/>
          <w:bCs/>
          <w:snapToGrid w:val="0"/>
          <w:sz w:val="24"/>
          <w:rtl/>
        </w:rPr>
        <w:t>דאיהי יו"ד.</w:t>
      </w:r>
      <w:r>
        <w:rPr>
          <w:snapToGrid w:val="0"/>
          <w:sz w:val="24"/>
          <w:rtl/>
        </w:rPr>
        <w:t xml:space="preserve"> הוא המפיק שבתוך ועיין לעיל ד' א':</w:t>
      </w:r>
    </w:p>
  </w:footnote>
  <w:footnote w:id="4467">
    <w:p w:rsidR="00A13282" w:rsidRDefault="00A13282" w:rsidP="00602EF1">
      <w:pPr>
        <w:pStyle w:val="a5"/>
        <w:rPr>
          <w:snapToGrid w:val="0"/>
          <w:sz w:val="24"/>
          <w:rtl/>
        </w:rPr>
      </w:pPr>
      <w:r>
        <w:rPr>
          <w:rStyle w:val="a7"/>
          <w:rtl/>
        </w:rPr>
        <w:footnoteRef/>
      </w:r>
      <w:r>
        <w:rPr>
          <w:rtl/>
        </w:rPr>
        <w:t xml:space="preserve"> </w:t>
      </w:r>
      <w:r>
        <w:rPr>
          <w:b/>
          <w:bCs/>
          <w:snapToGrid w:val="0"/>
          <w:sz w:val="24"/>
          <w:rtl/>
        </w:rPr>
        <w:t>ואיהי חמש כו'.</w:t>
      </w:r>
      <w:r>
        <w:rPr>
          <w:snapToGrid w:val="0"/>
          <w:sz w:val="24"/>
          <w:rtl/>
        </w:rPr>
        <w:t xml:space="preserve"> רוצה לומר שברתא דמלכא מכוסה בלבושין דה"א, ובאלף הששי יתגלה היו"ד וכנ"ל והיא יו"ד דמילוי ה"י כמו שמפרש והולך ה' מן יו"ד כו' וכן א' דמילוי ה"י המש"ו ה' מן יו"ד כו' וכן א' דמילוי ה"א - או"ר שתתגלה, ועל זה נאמר (מלכים א ה יב) חמשה ואלף, וכן ה"י דאלקים דיו"ד דאלקים מסתתר בה"י ונחה נח נסתר וכן במילוי וזה שאומר ה"י מן אלקים, ה"י מן כו' ואמר </w:t>
      </w:r>
      <w:r>
        <w:rPr>
          <w:b/>
          <w:bCs/>
          <w:snapToGrid w:val="0"/>
          <w:sz w:val="24"/>
          <w:rtl/>
        </w:rPr>
        <w:t>דסליק לע"ב.</w:t>
      </w:r>
      <w:r>
        <w:rPr>
          <w:snapToGrid w:val="0"/>
          <w:sz w:val="24"/>
          <w:rtl/>
        </w:rPr>
        <w:t xml:space="preserve"> כנ"ל בבי"ת:</w:t>
      </w:r>
    </w:p>
    <w:p w:rsidR="00A13282" w:rsidRDefault="00A13282" w:rsidP="00602EF1">
      <w:pPr>
        <w:pStyle w:val="a5"/>
        <w:rPr>
          <w:rtl/>
        </w:rPr>
      </w:pPr>
    </w:p>
  </w:footnote>
  <w:footnote w:id="4468">
    <w:p w:rsidR="00A13282" w:rsidRDefault="00A13282" w:rsidP="00602EF1">
      <w:pPr>
        <w:pStyle w:val="a5"/>
        <w:rPr>
          <w:rtl/>
        </w:rPr>
      </w:pPr>
      <w:r>
        <w:rPr>
          <w:rStyle w:val="a7"/>
          <w:rtl/>
        </w:rPr>
        <w:footnoteRef/>
      </w:r>
      <w:r>
        <w:rPr>
          <w:rtl/>
        </w:rPr>
        <w:t xml:space="preserve"> </w:t>
      </w:r>
      <w:r>
        <w:rPr>
          <w:b/>
          <w:bCs/>
          <w:snapToGrid w:val="0"/>
          <w:sz w:val="24"/>
          <w:rtl/>
        </w:rPr>
        <w:t xml:space="preserve">תיקון נ"ט בראשית </w:t>
      </w:r>
      <w:r>
        <w:rPr>
          <w:snapToGrid w:val="0"/>
          <w:sz w:val="24"/>
          <w:rtl/>
        </w:rPr>
        <w:t>כי כו'. רוצה לומר שנשפט באש:</w:t>
      </w:r>
    </w:p>
  </w:footnote>
  <w:footnote w:id="4469">
    <w:p w:rsidR="00A13282" w:rsidRDefault="00A13282" w:rsidP="00602EF1">
      <w:pPr>
        <w:pStyle w:val="a5"/>
        <w:rPr>
          <w:rtl/>
        </w:rPr>
      </w:pPr>
      <w:r>
        <w:rPr>
          <w:rStyle w:val="a7"/>
          <w:rtl/>
        </w:rPr>
        <w:footnoteRef/>
      </w:r>
      <w:r>
        <w:rPr>
          <w:rtl/>
        </w:rPr>
        <w:t xml:space="preserve"> </w:t>
      </w:r>
      <w:r>
        <w:rPr>
          <w:b/>
          <w:bCs/>
          <w:snapToGrid w:val="0"/>
          <w:sz w:val="24"/>
          <w:rtl/>
        </w:rPr>
        <w:t>כתנות אור.</w:t>
      </w:r>
      <w:r>
        <w:rPr>
          <w:snapToGrid w:val="0"/>
          <w:sz w:val="24"/>
          <w:rtl/>
        </w:rPr>
        <w:t xml:space="preserve"> שהוא מאור אש שנפשט ממנו, ובאש - ב' אש, מאורי האש, ואינון דאיש ואשה וכמו שאומר לעיל יו"ד א' וברית איהו יו"ד ועם אש אתעביד איש ואוף הכי אות ה' עם אש איהי נוק' ועל תרין אישות אתמר בקדמיתא כתנות אור דבהון עקבו מכהה גלגל חמה והיינו בורא מאורי האש בתר דחבו ויעש כו' עור משכא דחויא כו' עיין שם ורוצה לומר דבתיבת בראשית אותיות באש ונשאר תרי על ב' הנ"ל וכל אחד כליל מב' כמו שאומר בריש פ' שמיני וכאן מפרש והולך פסוק והנחש כו' שנתקנא על כתנות אור עד שגרם להפשיטו כמו שמפרש והולך:</w:t>
      </w:r>
    </w:p>
  </w:footnote>
  <w:footnote w:id="4470">
    <w:p w:rsidR="00A13282" w:rsidRDefault="00A13282" w:rsidP="00602EF1">
      <w:pPr>
        <w:pStyle w:val="a5"/>
        <w:rPr>
          <w:rtl/>
        </w:rPr>
      </w:pPr>
      <w:r>
        <w:rPr>
          <w:rStyle w:val="a7"/>
          <w:rtl/>
        </w:rPr>
        <w:footnoteRef/>
      </w:r>
      <w:r>
        <w:rPr>
          <w:rtl/>
        </w:rPr>
        <w:t xml:space="preserve"> </w:t>
      </w:r>
      <w:r>
        <w:rPr>
          <w:b/>
          <w:bCs/>
          <w:snapToGrid w:val="0"/>
          <w:sz w:val="24"/>
          <w:rtl/>
        </w:rPr>
        <w:t>דצריך בהון הבדלה כו'.</w:t>
      </w:r>
      <w:r>
        <w:rPr>
          <w:snapToGrid w:val="0"/>
          <w:sz w:val="24"/>
          <w:rtl/>
        </w:rPr>
        <w:t xml:space="preserve"> רוצה לומר, בין אור דכתנות אור דשבת, לחושך כתנות עור דחול דהוא חושך כמו שמפרש והולך חושך אוכם כתנות עור דיליה גם כן אוכם ועיין לעיל ל"ו א' ועל אלין קליפין אמרו דצריך הבדלה כו' ובשבת אתפשט כו' ובגין דא תקינו בהבדלה המבדיל בין קודש לחול ובין אור לחושך דלא יתחבר קליפין דחול לקליפין דקודש ולא יעביד תערובות כו' דעיקר התערובות הוא בלבושין כי הזכות ופגם הכל בהם כמו שאומר בפ' בראשית ובתיקון י”ח ולכן ההבדלה הוא בלבושין שלא יתערבו וכמו שאומר שם דמוחא לא מקבל טומאה הה"ד כה דברי כו' ועיין לעיל י' ב' וידעו כי עירומים הם כו' מכתנות אור דאינון מאורי האש ובגין דבשבת אתחזייא לון בהדלקת שרגא דשבת בתרין פתילות דאש (רוצה לומר שהן נגד זכור ושמור, איש ואשה כנ"ל) ובמוצאי שבת יתעברון מינייהו תקינו למימר במוצאי שבת הבדלה באש ובגין דבשבת וי"ט מתלבשין נשמתין בכתנות אור כו' עיין שם ובפ' בראשית י"ז ב' הבדלה במוצאי שבת בין אינון דשליטין ביומא דחול לשבת ועיין שם י"ד ב' ובשעתא דמבדילים על כסא כל אינון חיילין כו' ובפ' ויקהל ר"ז ב' לבתר דנפיק שבתא בעי בר נש לאפרשא בין קודש לחול אמאי דהא אתיהב רשו לממנן כו' עיין שם בדבריו ואמר שם ובפ' בראשית י"ד ב' דענין הברכה מאורי האש שיאירו הממנן דחול משרגא ורוצה לומר שאף שבחול מתלבש האדם בכתנות עור ונפשט מכתנות אור, מכל מקום יאיר ממאורי האש עיין שם וזה שאומר למעלה יו"ד א' לאתדכאה במאי דחב וכן אמר שם בצפרנים גם כן להראות שהופשט מהם גם כן שיאירו ועיין שם ובפ' ויקהל בארוכה שהצפרנים הם לבושי קדושה אחורים דקדושה והן לבושין כתנות אור עיין שם בדבריו:</w:t>
      </w:r>
    </w:p>
  </w:footnote>
  <w:footnote w:id="4471">
    <w:p w:rsidR="00A13282" w:rsidRDefault="00A13282" w:rsidP="00602EF1">
      <w:pPr>
        <w:pStyle w:val="a5"/>
        <w:rPr>
          <w:rtl/>
        </w:rPr>
      </w:pPr>
      <w:r>
        <w:rPr>
          <w:rStyle w:val="a7"/>
          <w:rtl/>
        </w:rPr>
        <w:footnoteRef/>
      </w:r>
      <w:r>
        <w:rPr>
          <w:rtl/>
        </w:rPr>
        <w:t xml:space="preserve"> </w:t>
      </w:r>
      <w:r>
        <w:rPr>
          <w:b/>
          <w:bCs/>
          <w:snapToGrid w:val="0"/>
          <w:sz w:val="24"/>
          <w:rtl/>
        </w:rPr>
        <w:t>ערום מינייהו.</w:t>
      </w:r>
      <w:r>
        <w:rPr>
          <w:snapToGrid w:val="0"/>
          <w:sz w:val="24"/>
          <w:rtl/>
        </w:rPr>
        <w:t xml:space="preserve"> רוצה לומר מהלבושין, דלאדם הוה ליה כתנות אור, מעולה שבלבושין, והוא לא הוה ליה לבוש כלל, והלבוש הוא הגוף דעתה הוא באדם כתנות עור וקודם החטא הגוף היה מזהיר כתנות אור כמו שהוא עתה בגן עדן והוא לא הוה ליה גוף כלל:</w:t>
      </w:r>
    </w:p>
  </w:footnote>
  <w:footnote w:id="4472">
    <w:p w:rsidR="00A13282" w:rsidRDefault="00A13282" w:rsidP="00602EF1">
      <w:pPr>
        <w:pStyle w:val="a5"/>
        <w:rPr>
          <w:rtl/>
        </w:rPr>
      </w:pPr>
      <w:r>
        <w:rPr>
          <w:rStyle w:val="a7"/>
          <w:rtl/>
        </w:rPr>
        <w:footnoteRef/>
      </w:r>
      <w:r>
        <w:rPr>
          <w:rtl/>
        </w:rPr>
        <w:t xml:space="preserve"> </w:t>
      </w:r>
      <w:r>
        <w:rPr>
          <w:b/>
          <w:bCs/>
          <w:snapToGrid w:val="0"/>
          <w:sz w:val="24"/>
          <w:rtl/>
        </w:rPr>
        <w:t>דלכל חיה כו'.</w:t>
      </w:r>
      <w:r>
        <w:rPr>
          <w:snapToGrid w:val="0"/>
          <w:sz w:val="24"/>
          <w:rtl/>
        </w:rPr>
        <w:t xml:space="preserve"> רוצה לומר זה שכתוב (בראשית ג א) ערום מכל חיות כו' וכמו שמפרש והולך ובג"ד והנחש כו':</w:t>
      </w:r>
    </w:p>
  </w:footnote>
  <w:footnote w:id="4473">
    <w:p w:rsidR="00A13282" w:rsidRDefault="00A13282" w:rsidP="00602EF1">
      <w:pPr>
        <w:pStyle w:val="a5"/>
        <w:rPr>
          <w:rtl/>
        </w:rPr>
      </w:pPr>
      <w:r>
        <w:rPr>
          <w:rStyle w:val="a7"/>
          <w:rtl/>
        </w:rPr>
        <w:footnoteRef/>
      </w:r>
      <w:r>
        <w:rPr>
          <w:rtl/>
        </w:rPr>
        <w:t xml:space="preserve"> </w:t>
      </w:r>
      <w:r>
        <w:rPr>
          <w:b/>
          <w:bCs/>
          <w:snapToGrid w:val="0"/>
          <w:sz w:val="24"/>
          <w:rtl/>
        </w:rPr>
        <w:t>בגין דהוה ע"ש.</w:t>
      </w:r>
      <w:r>
        <w:rPr>
          <w:snapToGrid w:val="0"/>
          <w:sz w:val="24"/>
          <w:rtl/>
        </w:rPr>
        <w:t xml:space="preserve"> כמו שאמרו (אבות ה ו) עשרה דברים נבראו בערב שבת בין השמשות כו' וי"א כו' ואשתאר למעבד גוף, וקדש היום, ועיין בזהר פרשת בראשית י"ד ע"א פקודא ארביסר כו' כיון דאתקדש יומא כו' לא יכיל עלמא למיקם קמייהו כו' וזה שאומר ואמאי לא ברא לון בגין כו' בגין דאשתייר ערום בגיניה כו' ואמר </w:t>
      </w:r>
      <w:r>
        <w:rPr>
          <w:b/>
          <w:bCs/>
          <w:snapToGrid w:val="0"/>
          <w:sz w:val="24"/>
          <w:rtl/>
        </w:rPr>
        <w:t xml:space="preserve">ודא איהו אשר ברא כו'. </w:t>
      </w:r>
      <w:r>
        <w:rPr>
          <w:snapToGrid w:val="0"/>
          <w:sz w:val="24"/>
          <w:rtl/>
        </w:rPr>
        <w:t>כמו שאמרו (ר"ה טז ע"ב) לעשות ולא עשה, ופירוש דקרא, בו שבת כו' אשר ברא כו' כי ברגע בין השמשות נבראו, ושבת, אשר ברא אותן לעשות עדיין ושבת מזה ועיין בזהר פרשת תרומה קנ"ה ע"ב מאי לעשות דאשתארו גופא דשידי דאתקדש יומא ולא אתעבידו ואשתארו כו':</w:t>
      </w:r>
    </w:p>
  </w:footnote>
  <w:footnote w:id="4474">
    <w:p w:rsidR="00A13282" w:rsidRDefault="00A13282" w:rsidP="00602EF1">
      <w:pPr>
        <w:pStyle w:val="a5"/>
        <w:rPr>
          <w:rtl/>
        </w:rPr>
      </w:pPr>
      <w:r>
        <w:rPr>
          <w:rStyle w:val="a7"/>
          <w:rtl/>
        </w:rPr>
        <w:footnoteRef/>
      </w:r>
      <w:r>
        <w:rPr>
          <w:rtl/>
        </w:rPr>
        <w:t xml:space="preserve"> </w:t>
      </w:r>
      <w:r>
        <w:rPr>
          <w:b/>
          <w:bCs/>
          <w:snapToGrid w:val="0"/>
          <w:sz w:val="24"/>
          <w:rtl/>
        </w:rPr>
        <w:t>ואיהו גרם לבתר כו'.</w:t>
      </w:r>
      <w:r>
        <w:rPr>
          <w:snapToGrid w:val="0"/>
          <w:sz w:val="24"/>
          <w:rtl/>
        </w:rPr>
        <w:t xml:space="preserve"> רוצה לומר הנחש גרם מיתה לאדם דאתפשט מהגוף שהוא לבושוי ואף הכתנות עור כתנות ממש דעביד ליה הקב"ה ירית הנחש דיהיב לנמרוד ועשו כמו שמפרש והולך ועיין בזהר פרשת תולדות קמ"ב ב'. ואמר </w:t>
      </w:r>
      <w:r>
        <w:rPr>
          <w:b/>
          <w:bCs/>
          <w:snapToGrid w:val="0"/>
          <w:sz w:val="24"/>
          <w:rtl/>
        </w:rPr>
        <w:t>ובג"ד</w:t>
      </w:r>
      <w:r>
        <w:rPr>
          <w:snapToGrid w:val="0"/>
          <w:sz w:val="24"/>
          <w:rtl/>
        </w:rPr>
        <w:t xml:space="preserve"> </w:t>
      </w:r>
      <w:r>
        <w:rPr>
          <w:b/>
          <w:bCs/>
          <w:snapToGrid w:val="0"/>
          <w:sz w:val="24"/>
          <w:rtl/>
        </w:rPr>
        <w:t xml:space="preserve">והנחש היה ערום. </w:t>
      </w:r>
      <w:r>
        <w:rPr>
          <w:snapToGrid w:val="0"/>
          <w:sz w:val="24"/>
          <w:rtl/>
        </w:rPr>
        <w:t xml:space="preserve">רוצה לומר ערום מלבושין כנ"ל ואח"כ מפרש ערום לשון ערמה, ערום לביש, ואמר </w:t>
      </w:r>
      <w:r>
        <w:rPr>
          <w:b/>
          <w:bCs/>
          <w:snapToGrid w:val="0"/>
          <w:sz w:val="24"/>
          <w:rtl/>
        </w:rPr>
        <w:t>דגרים בערמה כו'</w:t>
      </w:r>
      <w:r>
        <w:rPr>
          <w:snapToGrid w:val="0"/>
          <w:sz w:val="24"/>
          <w:rtl/>
        </w:rPr>
        <w:t xml:space="preserve"> דערמה היא נוק' דיודעת לפתות (משלי ה ג) כי נופת תטופנה כו' ואחריתה כו' ועיין בזהר פרשת ויצא קמ"ח א' בסתרי תורה בארוכה ולכן לשון ערמה לשון נקבה:</w:t>
      </w:r>
    </w:p>
  </w:footnote>
  <w:footnote w:id="4475">
    <w:p w:rsidR="00A13282" w:rsidRDefault="00A13282" w:rsidP="00602EF1">
      <w:pPr>
        <w:pStyle w:val="a5"/>
        <w:rPr>
          <w:rtl/>
        </w:rPr>
      </w:pPr>
      <w:r>
        <w:rPr>
          <w:rStyle w:val="a7"/>
          <w:rtl/>
        </w:rPr>
        <w:footnoteRef/>
      </w:r>
      <w:r>
        <w:rPr>
          <w:rtl/>
        </w:rPr>
        <w:t xml:space="preserve"> </w:t>
      </w:r>
      <w:r>
        <w:rPr>
          <w:b/>
          <w:bCs/>
          <w:snapToGrid w:val="0"/>
          <w:sz w:val="24"/>
          <w:rtl/>
        </w:rPr>
        <w:t>דפתי לחוה כו' ומה א"ל כו'.</w:t>
      </w:r>
      <w:r>
        <w:rPr>
          <w:snapToGrid w:val="0"/>
          <w:sz w:val="24"/>
          <w:rtl/>
        </w:rPr>
        <w:t xml:space="preserve"> רוצה לומר בב' דברים אלו היה ערמה ולכן ביעקב נאמר (בראשית כז לו) ויעקבני זה פעמים כו' לנטלא דיליה ועיין שם קמ"ג א' בג"כ אזדמן יעקב כו' דאיהו כגוונא דאדם הראשון כו' עיין שם בדבריו:</w:t>
      </w:r>
    </w:p>
  </w:footnote>
  <w:footnote w:id="4476">
    <w:p w:rsidR="00A13282" w:rsidRDefault="00A13282" w:rsidP="00602EF1">
      <w:pPr>
        <w:pStyle w:val="a5"/>
        <w:rPr>
          <w:rtl/>
        </w:rPr>
      </w:pPr>
      <w:r>
        <w:rPr>
          <w:rStyle w:val="a7"/>
          <w:rtl/>
        </w:rPr>
        <w:footnoteRef/>
      </w:r>
      <w:r>
        <w:rPr>
          <w:rtl/>
        </w:rPr>
        <w:t xml:space="preserve"> </w:t>
      </w:r>
      <w:r>
        <w:rPr>
          <w:b/>
          <w:bCs/>
          <w:snapToGrid w:val="0"/>
          <w:sz w:val="24"/>
          <w:rtl/>
        </w:rPr>
        <w:t>חד בלב כו'.</w:t>
      </w:r>
      <w:r>
        <w:rPr>
          <w:snapToGrid w:val="0"/>
          <w:sz w:val="24"/>
          <w:rtl/>
        </w:rPr>
        <w:t xml:space="preserve"> דומיא דנחש ועיין לקמן תיקון ס’ בארוכה:</w:t>
      </w:r>
    </w:p>
  </w:footnote>
  <w:footnote w:id="4477">
    <w:p w:rsidR="00A13282" w:rsidRDefault="00A13282" w:rsidP="00602EF1">
      <w:pPr>
        <w:pStyle w:val="a5"/>
        <w:rPr>
          <w:snapToGrid w:val="0"/>
          <w:sz w:val="24"/>
          <w:rtl/>
        </w:rPr>
      </w:pPr>
      <w:r>
        <w:rPr>
          <w:rStyle w:val="a7"/>
          <w:rtl/>
        </w:rPr>
        <w:footnoteRef/>
      </w:r>
      <w:r>
        <w:rPr>
          <w:rtl/>
        </w:rPr>
        <w:t xml:space="preserve"> </w:t>
      </w:r>
      <w:r>
        <w:rPr>
          <w:b/>
          <w:bCs/>
          <w:snapToGrid w:val="0"/>
          <w:sz w:val="24"/>
          <w:rtl/>
        </w:rPr>
        <w:t>אעבר הכא על כו' לא תשא כו'.</w:t>
      </w:r>
      <w:r>
        <w:rPr>
          <w:snapToGrid w:val="0"/>
          <w:sz w:val="24"/>
          <w:rtl/>
        </w:rPr>
        <w:t xml:space="preserve"> שהזכיר שם אלקים לשקרא, וחסר כאן, והן בפסוקים היה ערום כו' דחמד לבושוי ונתכוין להרגו וזהו מכל חית כו' ימינים ושמאלים. ויאמר אל האשה - הטיל בה זוהמא והוא לא תנאף. אף כי כו' - לא תשא. לא תאכלו מכל כו' - לא תגנוב. לא מות תמותון - לא תענה. והייתם כאלקים, תהוון כוותיה - לא יהיה לך אלהים אחרים דעבד אלהים אחרים וכן לא תחמוד - דחמד לבושוי, והן ז' לא תעשה דעשרת הדברות בז"ת נגד ז' מצות שנצטוה ועיין לעיל ס"ח א':</w:t>
      </w:r>
    </w:p>
    <w:p w:rsidR="00A13282" w:rsidRDefault="00A13282" w:rsidP="00602EF1">
      <w:pPr>
        <w:pStyle w:val="a5"/>
        <w:rPr>
          <w:rtl/>
        </w:rPr>
      </w:pPr>
    </w:p>
  </w:footnote>
  <w:footnote w:id="4478">
    <w:p w:rsidR="00A13282" w:rsidRDefault="00A13282" w:rsidP="00602EF1">
      <w:pPr>
        <w:pStyle w:val="a5"/>
        <w:rPr>
          <w:rtl/>
        </w:rPr>
      </w:pPr>
      <w:r>
        <w:rPr>
          <w:rStyle w:val="a7"/>
          <w:rtl/>
        </w:rPr>
        <w:footnoteRef/>
      </w:r>
      <w:r>
        <w:rPr>
          <w:rtl/>
        </w:rPr>
        <w:t xml:space="preserve"> </w:t>
      </w:r>
      <w:r>
        <w:rPr>
          <w:b/>
          <w:bCs/>
          <w:snapToGrid w:val="0"/>
          <w:sz w:val="24"/>
          <w:rtl/>
        </w:rPr>
        <w:t xml:space="preserve">תיקון ס' בראשית דא ברית. </w:t>
      </w:r>
      <w:r>
        <w:rPr>
          <w:snapToGrid w:val="0"/>
          <w:sz w:val="24"/>
          <w:rtl/>
        </w:rPr>
        <w:t>רוצה לומר שאותיותיו בו:</w:t>
      </w:r>
    </w:p>
  </w:footnote>
  <w:footnote w:id="4479">
    <w:p w:rsidR="00A13282" w:rsidRDefault="00A13282" w:rsidP="00602EF1">
      <w:pPr>
        <w:pStyle w:val="a5"/>
        <w:rPr>
          <w:rtl/>
        </w:rPr>
      </w:pPr>
      <w:r>
        <w:rPr>
          <w:rStyle w:val="a7"/>
          <w:rtl/>
        </w:rPr>
        <w:footnoteRef/>
      </w:r>
      <w:r>
        <w:rPr>
          <w:rtl/>
        </w:rPr>
        <w:t xml:space="preserve"> </w:t>
      </w:r>
      <w:r>
        <w:rPr>
          <w:b/>
          <w:bCs/>
          <w:snapToGrid w:val="0"/>
          <w:sz w:val="24"/>
          <w:rtl/>
        </w:rPr>
        <w:t>דאתמר כו'.</w:t>
      </w:r>
      <w:r>
        <w:rPr>
          <w:snapToGrid w:val="0"/>
          <w:sz w:val="24"/>
          <w:rtl/>
        </w:rPr>
        <w:t xml:space="preserve"> עיין ברעיא מהימנא ריש פ' לך לך ע"ו ב' תאנא כו' ובריש פ’ שמות כזוהר כו' זוהר איבא דאילנא יהיב חיין לכלא קיומיה כו' עיין שם:</w:t>
      </w:r>
    </w:p>
  </w:footnote>
  <w:footnote w:id="4480">
    <w:p w:rsidR="00A13282" w:rsidRDefault="00A13282" w:rsidP="00602EF1">
      <w:pPr>
        <w:pStyle w:val="a5"/>
        <w:rPr>
          <w:rtl/>
        </w:rPr>
      </w:pPr>
      <w:r>
        <w:rPr>
          <w:rStyle w:val="a7"/>
          <w:rtl/>
        </w:rPr>
        <w:footnoteRef/>
      </w:r>
      <w:r>
        <w:rPr>
          <w:rtl/>
        </w:rPr>
        <w:t xml:space="preserve"> </w:t>
      </w:r>
      <w:r>
        <w:rPr>
          <w:b/>
          <w:bCs/>
          <w:snapToGrid w:val="0"/>
          <w:sz w:val="24"/>
          <w:rtl/>
        </w:rPr>
        <w:t>ודא ע"ה כו'.</w:t>
      </w:r>
      <w:r>
        <w:rPr>
          <w:snapToGrid w:val="0"/>
          <w:sz w:val="24"/>
          <w:rtl/>
        </w:rPr>
        <w:t xml:space="preserve"> שהוא בהיפך, שכתוב (בראשית ב יז) מות תמות, כמו תביר הפוך ברית, והוא כסופין דזנות, (משלי ה ג,ד) נופת תטופנה כו', ואחריתה כו' שהוא איבא דילה, וזה שאומר </w:t>
      </w:r>
      <w:r>
        <w:rPr>
          <w:b/>
          <w:bCs/>
          <w:snapToGrid w:val="0"/>
          <w:sz w:val="24"/>
          <w:rtl/>
        </w:rPr>
        <w:t xml:space="preserve">טוב איהו אילנא כו'. </w:t>
      </w:r>
      <w:r>
        <w:rPr>
          <w:snapToGrid w:val="0"/>
          <w:sz w:val="24"/>
          <w:rtl/>
        </w:rPr>
        <w:t xml:space="preserve">רוצה לומר, האילן טוב למאכל, שהזנות עצמה טוב למראית עין, ואחריתה כו', ועוד, שהעץ הוא היסוד הברית, ומעשה הוא עין כו', וכן הוא בברית הלשון. וזה שאומר </w:t>
      </w:r>
      <w:r>
        <w:rPr>
          <w:b/>
          <w:bCs/>
          <w:snapToGrid w:val="0"/>
          <w:sz w:val="24"/>
          <w:rtl/>
        </w:rPr>
        <w:t>ואיבא כו' כפום חיזו כו'.</w:t>
      </w:r>
      <w:r>
        <w:rPr>
          <w:snapToGrid w:val="0"/>
          <w:sz w:val="24"/>
          <w:rtl/>
        </w:rPr>
        <w:t xml:space="preserve"> כמו שכתוב כי נופת תטופנה שפתי זרה וחלק משמן חכה כו', והוא היפך שמירת הברית, ולכן נקרא עץ הדעת לשון שכל כסופין דעלמא וביה טעיין וכשלין כו', ועיין בסוף פ' פקודי בהיכל ו' דס"א בארוכה, ורצונו לבאר אלקים דדברי חוה ונחש שביאר בסוף תיקון הקודם, וכאן רמיז בבראשית - ברית, ליזהר ממנו, והיפוכא הכל בברית כנ"ל, וג' אלקים אמרה הנחש נגד ג' הידועים שהן דינים:</w:t>
      </w:r>
    </w:p>
  </w:footnote>
  <w:footnote w:id="4481">
    <w:p w:rsidR="00A13282" w:rsidRDefault="00A13282" w:rsidP="00602EF1">
      <w:pPr>
        <w:pStyle w:val="a5"/>
        <w:rPr>
          <w:rtl/>
        </w:rPr>
      </w:pPr>
      <w:r>
        <w:rPr>
          <w:rStyle w:val="a7"/>
          <w:rtl/>
        </w:rPr>
        <w:footnoteRef/>
      </w:r>
      <w:r>
        <w:rPr>
          <w:rtl/>
        </w:rPr>
        <w:t xml:space="preserve"> </w:t>
      </w:r>
      <w:r>
        <w:rPr>
          <w:b/>
          <w:bCs/>
          <w:snapToGrid w:val="0"/>
          <w:sz w:val="24"/>
          <w:rtl/>
        </w:rPr>
        <w:t>כגוונא דפומא כו'.</w:t>
      </w:r>
      <w:r>
        <w:rPr>
          <w:snapToGrid w:val="0"/>
          <w:sz w:val="24"/>
          <w:rtl/>
        </w:rPr>
        <w:t xml:space="preserve"> כמו שהנחש וכל דאתיין מסטריה - כן הוא עץ הדעת עצמו:</w:t>
      </w:r>
    </w:p>
  </w:footnote>
  <w:footnote w:id="4482">
    <w:p w:rsidR="00A13282" w:rsidRDefault="00A13282" w:rsidP="00602EF1">
      <w:pPr>
        <w:pStyle w:val="a5"/>
        <w:rPr>
          <w:rtl/>
        </w:rPr>
      </w:pPr>
      <w:r>
        <w:rPr>
          <w:rStyle w:val="a7"/>
          <w:rtl/>
        </w:rPr>
        <w:footnoteRef/>
      </w:r>
      <w:r>
        <w:rPr>
          <w:rtl/>
        </w:rPr>
        <w:t xml:space="preserve"> </w:t>
      </w:r>
      <w:r>
        <w:rPr>
          <w:b/>
          <w:bCs/>
          <w:snapToGrid w:val="0"/>
          <w:sz w:val="24"/>
          <w:rtl/>
        </w:rPr>
        <w:t>הה"ד ותקח כו'.</w:t>
      </w:r>
      <w:r>
        <w:rPr>
          <w:snapToGrid w:val="0"/>
          <w:sz w:val="24"/>
          <w:rtl/>
        </w:rPr>
        <w:t xml:space="preserve"> מביא ראיה שאיבא גרם מות שהרי אכלה מפריו אבל כי טוב לא כתיב אלא בעץ, ועיין בזהר פרשת בראשית ס"ב ב' וכד האי אור כו' אר"א כו':</w:t>
      </w:r>
    </w:p>
  </w:footnote>
  <w:footnote w:id="4483">
    <w:p w:rsidR="00A13282" w:rsidRDefault="00A13282" w:rsidP="00602EF1">
      <w:pPr>
        <w:pStyle w:val="a5"/>
        <w:rPr>
          <w:rtl/>
        </w:rPr>
      </w:pPr>
      <w:r>
        <w:rPr>
          <w:rStyle w:val="a7"/>
          <w:rtl/>
        </w:rPr>
        <w:footnoteRef/>
      </w:r>
      <w:r>
        <w:rPr>
          <w:rtl/>
        </w:rPr>
        <w:t xml:space="preserve"> </w:t>
      </w:r>
      <w:r>
        <w:rPr>
          <w:b/>
          <w:bCs/>
          <w:snapToGrid w:val="0"/>
          <w:sz w:val="24"/>
          <w:rtl/>
        </w:rPr>
        <w:t>ואית קליפין דאיבא כו'.</w:t>
      </w:r>
      <w:r>
        <w:rPr>
          <w:snapToGrid w:val="0"/>
          <w:sz w:val="24"/>
          <w:rtl/>
        </w:rPr>
        <w:t xml:space="preserve"> שהן קליפין דאגוזא, וגנת אגוז מבפנים - לראות באבי הנחל כו':</w:t>
      </w:r>
    </w:p>
  </w:footnote>
  <w:footnote w:id="4484">
    <w:p w:rsidR="00A13282" w:rsidRDefault="00A13282" w:rsidP="00602EF1">
      <w:pPr>
        <w:pStyle w:val="a5"/>
        <w:rPr>
          <w:rtl/>
        </w:rPr>
      </w:pPr>
      <w:r>
        <w:rPr>
          <w:rStyle w:val="a7"/>
          <w:rtl/>
        </w:rPr>
        <w:footnoteRef/>
      </w:r>
      <w:r>
        <w:rPr>
          <w:rtl/>
        </w:rPr>
        <w:t xml:space="preserve"> </w:t>
      </w:r>
      <w:r>
        <w:rPr>
          <w:b/>
          <w:bCs/>
          <w:snapToGrid w:val="0"/>
          <w:sz w:val="24"/>
          <w:rtl/>
        </w:rPr>
        <w:t>ואית דפלגו כו' ודא כו'.</w:t>
      </w:r>
      <w:r>
        <w:rPr>
          <w:snapToGrid w:val="0"/>
          <w:sz w:val="24"/>
          <w:rtl/>
        </w:rPr>
        <w:t xml:space="preserve"> והוא צלמא דנבוכדנצר כמו שאומר לעיל ק' א' א"ל בני ממראה כו':</w:t>
      </w:r>
    </w:p>
  </w:footnote>
  <w:footnote w:id="4485">
    <w:p w:rsidR="00A13282" w:rsidRDefault="00A13282" w:rsidP="00602EF1">
      <w:pPr>
        <w:pStyle w:val="a5"/>
        <w:rPr>
          <w:rtl/>
        </w:rPr>
      </w:pPr>
      <w:r>
        <w:rPr>
          <w:rStyle w:val="a7"/>
          <w:rtl/>
        </w:rPr>
        <w:footnoteRef/>
      </w:r>
      <w:r>
        <w:rPr>
          <w:rtl/>
        </w:rPr>
        <w:t xml:space="preserve"> </w:t>
      </w:r>
      <w:r>
        <w:rPr>
          <w:b/>
          <w:bCs/>
          <w:snapToGrid w:val="0"/>
          <w:sz w:val="24"/>
          <w:rtl/>
        </w:rPr>
        <w:t>דא איהו צדיק ורע לו אבל כו'.</w:t>
      </w:r>
      <w:r>
        <w:rPr>
          <w:snapToGrid w:val="0"/>
          <w:sz w:val="24"/>
          <w:rtl/>
        </w:rPr>
        <w:t xml:space="preserve"> שיש לו נפש רעה שהוא שתופא דגופא וכן כל מדותיו רעות אבל רוחא שלו טובה והוא מכריח הנפש לדרכו כמו שאמרו (יבמות סה ע"ב) וכבשוה האיש דרכו לכבוש, וזהו צדיק ורע לו שקשה לו מאד לכבוש ויצרו גדול מאד לפי נפשו, והוא ידוע במדותיו ומעשיו, שמדותיו לפי הגוף והנפש, ומעשיו לפי הרוח, וכן סימניו בשרטוטיו וכל זר"ה פס"ץ הוא לפי מדותיו בנפש, וזה שאומר </w:t>
      </w:r>
      <w:r>
        <w:rPr>
          <w:b/>
          <w:bCs/>
          <w:snapToGrid w:val="0"/>
          <w:sz w:val="24"/>
          <w:rtl/>
        </w:rPr>
        <w:t>אבל כו' בגין דלא כו'</w:t>
      </w:r>
      <w:r>
        <w:rPr>
          <w:snapToGrid w:val="0"/>
          <w:sz w:val="24"/>
          <w:rtl/>
        </w:rPr>
        <w:t xml:space="preserve"> שהיה קל מאד לעשות טוב - ולא רצה, ועל כהאי גוונא אמרו (סוכה נב ע"א) לעתיד לבוא כו' צדיקים נדמה להם כהר כו' ואלו כו', וכן הטובה והרעה בעולם הזה הכל על פי הרוב לפי המדות, לבד אם נתחייב בגלגולא כמו שאומר לעיל בתיקון ס”ט וכמו שאמרו בסוף פרק קמא דקדושין אמרו צדיק כי טוב כי פרי מעלליהם יאכלו וכי יש צדיק שאינו טוב אלא טוב לשמים ולבריות כו' כיוצא בו אמרו לרשע רע כו', והכל אחד, וזה שאומר בפ"א דברכות (ז ע"א) צדיק וטוב לו צדיק גמור כו', ורוצה לומר צדיק גמור כנ"ל גמור בנפש ורוח וכן בכולם וזה שאומר דפלגי' כו' - משום מזלא בגלגולא כמו שאומר לעיל תיקון ס”ט אבל בלאו הכי הוא כנ"ל, וזה שאומר טוב מלבר ומלגאו כו', ועל זה אמר שלמה (משלי יב ד) אשת חיל עטרת בעלה, (משלי לא יא) ושלל כו', וכן כל המזמור (משלי לא), וכן בריש משלי מהאשה זונה (ב טז-יט, ופרק ה), הכל על הנפש, והורה שלא לילך אחריה, והכל כנ"ל:</w:t>
      </w:r>
    </w:p>
  </w:footnote>
  <w:footnote w:id="4486">
    <w:p w:rsidR="00A13282" w:rsidRDefault="00A13282" w:rsidP="00602EF1">
      <w:pPr>
        <w:pStyle w:val="a5"/>
        <w:rPr>
          <w:rtl/>
        </w:rPr>
      </w:pPr>
      <w:r>
        <w:rPr>
          <w:rStyle w:val="a7"/>
          <w:rtl/>
        </w:rPr>
        <w:footnoteRef/>
      </w:r>
      <w:r>
        <w:rPr>
          <w:rtl/>
        </w:rPr>
        <w:t xml:space="preserve"> </w:t>
      </w:r>
      <w:r>
        <w:rPr>
          <w:b/>
          <w:bCs/>
          <w:snapToGrid w:val="0"/>
          <w:sz w:val="24"/>
          <w:rtl/>
        </w:rPr>
        <w:t>והא אוקמוה.</w:t>
      </w:r>
      <w:r>
        <w:rPr>
          <w:snapToGrid w:val="0"/>
          <w:sz w:val="24"/>
          <w:rtl/>
        </w:rPr>
        <w:t xml:space="preserve"> רוצה לומר כנ"ל צדיק גמור כו' כנ"ל:</w:t>
      </w:r>
    </w:p>
  </w:footnote>
  <w:footnote w:id="4487">
    <w:p w:rsidR="00A13282" w:rsidRDefault="00A13282" w:rsidP="00602EF1">
      <w:pPr>
        <w:pStyle w:val="a5"/>
        <w:rPr>
          <w:rtl/>
        </w:rPr>
      </w:pPr>
      <w:r>
        <w:rPr>
          <w:rStyle w:val="a7"/>
          <w:rtl/>
        </w:rPr>
        <w:footnoteRef/>
      </w:r>
      <w:r>
        <w:rPr>
          <w:rtl/>
        </w:rPr>
        <w:t xml:space="preserve"> </w:t>
      </w:r>
      <w:r>
        <w:rPr>
          <w:b/>
          <w:bCs/>
          <w:snapToGrid w:val="0"/>
          <w:sz w:val="24"/>
          <w:rtl/>
        </w:rPr>
        <w:t>עני ורוכב על החמור.</w:t>
      </w:r>
      <w:r>
        <w:rPr>
          <w:snapToGrid w:val="0"/>
          <w:sz w:val="24"/>
          <w:rtl/>
        </w:rPr>
        <w:t xml:space="preserve"> עני - על הרוח, ענוותן כתרגומו, וגם בפשוטו, שהוא צדיק ורע לו וגופא דיליה חמור, בשר חמורים בשרם, ולזה אמרו (ב"מ פד ע"א) אבריה דר"י כו' כמו שאמרו המפרשים (וכן נפשא ועיין מה שאמר לעיל בתיקון כ”ג). ועיין בזהר פרשת בא מ"א ב' קדש לי כל בכור כו' ושם מ"ג א' וכל פטר כו' בגין דאינון דיוקנא כו', ונאמר במשיח (זכריה ט ט) עני ורוכב כו' דהוא דוד בעצמו, ואמרו בירושלמי (סוטה פ"ה ה"ה) אברהם היה יצרו רך כו' והוא ראש לכל צדיק וטוב, ודוד כו' עד שהרגו:</w:t>
      </w:r>
    </w:p>
  </w:footnote>
  <w:footnote w:id="4488">
    <w:p w:rsidR="00A13282" w:rsidRDefault="00A13282" w:rsidP="00602EF1">
      <w:pPr>
        <w:pStyle w:val="a5"/>
        <w:rPr>
          <w:rtl/>
        </w:rPr>
      </w:pPr>
      <w:r>
        <w:rPr>
          <w:rStyle w:val="a7"/>
          <w:rtl/>
        </w:rPr>
        <w:footnoteRef/>
      </w:r>
      <w:r>
        <w:rPr>
          <w:rtl/>
        </w:rPr>
        <w:t xml:space="preserve"> </w:t>
      </w:r>
      <w:r>
        <w:rPr>
          <w:b/>
          <w:bCs/>
          <w:snapToGrid w:val="0"/>
          <w:sz w:val="24"/>
          <w:rtl/>
        </w:rPr>
        <w:t>ולאו למגנא אוקמוה כו'.</w:t>
      </w:r>
      <w:r>
        <w:rPr>
          <w:snapToGrid w:val="0"/>
          <w:sz w:val="24"/>
          <w:rtl/>
        </w:rPr>
        <w:t xml:space="preserve"> דמדרש הוא אילנא ומעשה הוא הפרי והכל אחר הפרי דהוא דוגמת הלבושא ומלגאו כנ"ל ועיין לעיל סוף תיקון נ”ב ואע"ג דמתרבי אילנא כו' ובג"ד אמרו מכל מקום דלית מדרשא כו':</w:t>
      </w:r>
    </w:p>
  </w:footnote>
  <w:footnote w:id="4489">
    <w:p w:rsidR="00A13282" w:rsidRDefault="00A13282" w:rsidP="00602EF1">
      <w:pPr>
        <w:pStyle w:val="a5"/>
        <w:rPr>
          <w:rtl/>
        </w:rPr>
      </w:pPr>
      <w:r>
        <w:rPr>
          <w:rStyle w:val="a7"/>
          <w:rtl/>
        </w:rPr>
        <w:footnoteRef/>
      </w:r>
      <w:r>
        <w:rPr>
          <w:rtl/>
        </w:rPr>
        <w:t xml:space="preserve"> </w:t>
      </w:r>
      <w:r>
        <w:rPr>
          <w:b/>
          <w:bCs/>
          <w:snapToGrid w:val="0"/>
          <w:sz w:val="24"/>
          <w:rtl/>
        </w:rPr>
        <w:t>ועוד ויורהו כו'.</w:t>
      </w:r>
      <w:r>
        <w:rPr>
          <w:snapToGrid w:val="0"/>
          <w:sz w:val="24"/>
          <w:rtl/>
        </w:rPr>
        <w:t xml:space="preserve"> דלמעלה אוקים ליה בעץ החיים עץ מתוק, וענפין מתוקין (תהלים יט יא) ומתוקים מדבש, שלכן נאמר (שמות טו כה) שם שם לו חק ומשפט כו', שנאמר (תהלים יט י) משפטי ה' אמת צדקו יחדו, הנחמדים כו', ועיין לעיל כ"ד ב' הה"ד ויורהו כו' ודא עץ החיים כו' ועיין בזהר פרשת בשלח ס' ב' אבל כאן פירש על מט"ט דהוא מתהפך מנחש למטה לכן בו אתהפכו מרירין למתיקין ולכן שם שם לו כו' ושם נסהו ויאמר אם שמוע תשמע כו' דהאי עץ הוא לפי מעשה בני אדם וביה אמר בריש פ’ בראשית דצריך להפך מרירו למתיקו:</w:t>
      </w:r>
    </w:p>
  </w:footnote>
  <w:footnote w:id="4490">
    <w:p w:rsidR="00A13282" w:rsidRDefault="00A13282" w:rsidP="00602EF1">
      <w:pPr>
        <w:pStyle w:val="a5"/>
        <w:rPr>
          <w:rtl/>
        </w:rPr>
      </w:pPr>
      <w:r>
        <w:rPr>
          <w:rStyle w:val="a7"/>
          <w:rtl/>
        </w:rPr>
        <w:footnoteRef/>
      </w:r>
      <w:r>
        <w:rPr>
          <w:rtl/>
        </w:rPr>
        <w:t xml:space="preserve"> </w:t>
      </w:r>
      <w:r>
        <w:rPr>
          <w:b/>
          <w:bCs/>
          <w:snapToGrid w:val="0"/>
          <w:sz w:val="24"/>
          <w:rtl/>
        </w:rPr>
        <w:t>כגון להט כו'.</w:t>
      </w:r>
      <w:r>
        <w:rPr>
          <w:snapToGrid w:val="0"/>
          <w:sz w:val="24"/>
          <w:rtl/>
        </w:rPr>
        <w:t xml:space="preserve"> עיין לקמן תיקון ס”ח ועיין לקמן סוף תיקון זה כד אתהפך מנחש כו' דסטרא דנפשא מיניה הדרא גופא וכמו שאומר למטה דהכי האי מלאכא כו' ועיין מה שאמר לעיל ריש תיקון נ"ח, והוא מתהפך לפי שהנשמה והרוח מהפכין את הנפש והגוף, כן השם יתברך מהפך ליה שהוא הנהגת עולם הזה, שר העולם, ולכן צדיק ורע כו' כנ"ל וזה שאומר </w:t>
      </w:r>
      <w:r>
        <w:rPr>
          <w:b/>
          <w:bCs/>
          <w:snapToGrid w:val="0"/>
          <w:sz w:val="24"/>
          <w:rtl/>
        </w:rPr>
        <w:t>וצדיק בהאי אתר אתמר כו'.</w:t>
      </w:r>
      <w:r>
        <w:rPr>
          <w:snapToGrid w:val="0"/>
          <w:sz w:val="24"/>
          <w:rtl/>
        </w:rPr>
        <w:t xml:space="preserve"> כשם שמושל בנפשו:</w:t>
      </w:r>
    </w:p>
  </w:footnote>
  <w:footnote w:id="4491">
    <w:p w:rsidR="00A13282" w:rsidRDefault="00A13282" w:rsidP="00602EF1">
      <w:pPr>
        <w:pStyle w:val="a5"/>
        <w:rPr>
          <w:rtl/>
        </w:rPr>
      </w:pPr>
      <w:r>
        <w:rPr>
          <w:rStyle w:val="a7"/>
          <w:rtl/>
        </w:rPr>
        <w:footnoteRef/>
      </w:r>
      <w:r>
        <w:rPr>
          <w:rtl/>
        </w:rPr>
        <w:t xml:space="preserve"> </w:t>
      </w:r>
      <w:r>
        <w:rPr>
          <w:b/>
          <w:bCs/>
          <w:snapToGrid w:val="0"/>
          <w:sz w:val="24"/>
          <w:rtl/>
        </w:rPr>
        <w:t>שינוי כו' ושינוי כו'.</w:t>
      </w:r>
      <w:r>
        <w:rPr>
          <w:snapToGrid w:val="0"/>
          <w:sz w:val="24"/>
          <w:rtl/>
        </w:rPr>
        <w:t xml:space="preserve"> כנ"ל ריש תיקון נ"ח בג' עלמין דיליה, והוא גופא דבת מלך נשמתא כמו שאומר שם:</w:t>
      </w:r>
    </w:p>
  </w:footnote>
  <w:footnote w:id="4492">
    <w:p w:rsidR="00A13282" w:rsidRDefault="00A13282" w:rsidP="00602EF1">
      <w:pPr>
        <w:pStyle w:val="a5"/>
        <w:rPr>
          <w:rtl/>
        </w:rPr>
      </w:pPr>
      <w:r>
        <w:rPr>
          <w:rStyle w:val="a7"/>
          <w:rtl/>
        </w:rPr>
        <w:footnoteRef/>
      </w:r>
      <w:r>
        <w:rPr>
          <w:rtl/>
        </w:rPr>
        <w:t xml:space="preserve"> </w:t>
      </w:r>
      <w:r>
        <w:rPr>
          <w:b/>
          <w:bCs/>
          <w:snapToGrid w:val="0"/>
          <w:sz w:val="24"/>
          <w:rtl/>
        </w:rPr>
        <w:t>מיד וינס כו' שינוי מקום כו'.</w:t>
      </w:r>
      <w:r>
        <w:rPr>
          <w:snapToGrid w:val="0"/>
          <w:sz w:val="24"/>
          <w:rtl/>
        </w:rPr>
        <w:t xml:space="preserve"> רוצה לומר לאתבא בגלגולא כשרואין שהגוף נתהפך לנחש, ועפר אחר יקח כו' לאתבא ליה בגופא ונפשא עד דאתרמי ליה בת מזליה ועיין לקמן ק"ג א' ואיהי שעתא דקיימא כו' דנפשא שתופא דגופא לא מתגלגלא והארץ לעולם כו':</w:t>
      </w:r>
    </w:p>
  </w:footnote>
  <w:footnote w:id="4493">
    <w:p w:rsidR="00A13282" w:rsidRDefault="00A13282" w:rsidP="00602EF1">
      <w:pPr>
        <w:pStyle w:val="a5"/>
        <w:rPr>
          <w:snapToGrid w:val="0"/>
          <w:sz w:val="24"/>
          <w:rtl/>
        </w:rPr>
      </w:pPr>
      <w:r>
        <w:rPr>
          <w:rStyle w:val="a7"/>
          <w:rtl/>
        </w:rPr>
        <w:footnoteRef/>
      </w:r>
      <w:r>
        <w:rPr>
          <w:rtl/>
        </w:rPr>
        <w:t xml:space="preserve"> </w:t>
      </w:r>
      <w:r>
        <w:rPr>
          <w:b/>
          <w:bCs/>
          <w:snapToGrid w:val="0"/>
          <w:sz w:val="24"/>
          <w:rtl/>
        </w:rPr>
        <w:t>דאיהו מטה כו'.</w:t>
      </w:r>
      <w:r>
        <w:rPr>
          <w:snapToGrid w:val="0"/>
          <w:sz w:val="24"/>
          <w:rtl/>
        </w:rPr>
        <w:t xml:space="preserve"> דהוא (ירושלמי סנהדרין פ"ד ה"ב) מ"ט פנים טהור ומ"ט כו', וה' דאתפשט בהו, ועיין בזהר פרשת משפטים קט"ו א' לא הוית אלא כו' בגין דמטה דאתמסר כו':</w:t>
      </w:r>
    </w:p>
    <w:p w:rsidR="00A13282" w:rsidRDefault="00A13282" w:rsidP="00602EF1">
      <w:pPr>
        <w:pStyle w:val="a5"/>
        <w:rPr>
          <w:rtl/>
        </w:rPr>
      </w:pPr>
    </w:p>
  </w:footnote>
  <w:footnote w:id="4494">
    <w:p w:rsidR="00A13282" w:rsidRDefault="00A13282" w:rsidP="00602EF1">
      <w:pPr>
        <w:pStyle w:val="a5"/>
        <w:rPr>
          <w:rtl/>
        </w:rPr>
      </w:pPr>
      <w:r>
        <w:rPr>
          <w:rStyle w:val="a7"/>
          <w:rtl/>
        </w:rPr>
        <w:footnoteRef/>
      </w:r>
      <w:r>
        <w:rPr>
          <w:rtl/>
        </w:rPr>
        <w:t xml:space="preserve"> </w:t>
      </w:r>
      <w:r>
        <w:rPr>
          <w:b/>
          <w:bCs/>
          <w:snapToGrid w:val="0"/>
          <w:sz w:val="24"/>
          <w:rtl/>
        </w:rPr>
        <w:t>תיקון ס"א בראשית כו'.</w:t>
      </w:r>
      <w:r>
        <w:rPr>
          <w:snapToGrid w:val="0"/>
          <w:sz w:val="24"/>
          <w:rtl/>
        </w:rPr>
        <w:t xml:space="preserve"> לרמוז כאן פסוק וישמעו כמו שמפרש והולך. ואמר </w:t>
      </w:r>
      <w:r>
        <w:rPr>
          <w:b/>
          <w:bCs/>
          <w:snapToGrid w:val="0"/>
          <w:sz w:val="24"/>
          <w:rtl/>
        </w:rPr>
        <w:t>דא מחשבה.</w:t>
      </w:r>
      <w:r>
        <w:rPr>
          <w:snapToGrid w:val="0"/>
          <w:sz w:val="24"/>
          <w:rtl/>
        </w:rPr>
        <w:t xml:space="preserve"> כמו שכתוב (תהלים קיא י) ראשית חכמה כו':</w:t>
      </w:r>
    </w:p>
  </w:footnote>
  <w:footnote w:id="4495">
    <w:p w:rsidR="00A13282" w:rsidRDefault="00A13282" w:rsidP="00602EF1">
      <w:pPr>
        <w:pStyle w:val="a5"/>
        <w:rPr>
          <w:rtl/>
        </w:rPr>
      </w:pPr>
      <w:r>
        <w:rPr>
          <w:rStyle w:val="a7"/>
          <w:rtl/>
        </w:rPr>
        <w:footnoteRef/>
      </w:r>
      <w:r>
        <w:rPr>
          <w:rtl/>
        </w:rPr>
        <w:t xml:space="preserve"> </w:t>
      </w:r>
      <w:r>
        <w:rPr>
          <w:b/>
          <w:bCs/>
          <w:snapToGrid w:val="0"/>
          <w:sz w:val="24"/>
          <w:rtl/>
        </w:rPr>
        <w:t>עובדא.</w:t>
      </w:r>
      <w:r>
        <w:rPr>
          <w:snapToGrid w:val="0"/>
          <w:sz w:val="24"/>
          <w:rtl/>
        </w:rPr>
        <w:t xml:space="preserve"> עיין לעיל ל"ט א':</w:t>
      </w:r>
    </w:p>
  </w:footnote>
  <w:footnote w:id="4496">
    <w:p w:rsidR="00A13282" w:rsidRDefault="00A13282" w:rsidP="00602EF1">
      <w:pPr>
        <w:pStyle w:val="a5"/>
        <w:rPr>
          <w:rtl/>
        </w:rPr>
      </w:pPr>
      <w:r>
        <w:rPr>
          <w:rStyle w:val="a7"/>
          <w:rtl/>
        </w:rPr>
        <w:footnoteRef/>
      </w:r>
      <w:r>
        <w:rPr>
          <w:rtl/>
        </w:rPr>
        <w:t xml:space="preserve"> </w:t>
      </w:r>
      <w:r>
        <w:rPr>
          <w:b/>
          <w:bCs/>
          <w:snapToGrid w:val="0"/>
          <w:sz w:val="24"/>
          <w:rtl/>
        </w:rPr>
        <w:t>מההוא אילנא דחב כו'.</w:t>
      </w:r>
      <w:r>
        <w:rPr>
          <w:snapToGrid w:val="0"/>
          <w:sz w:val="24"/>
          <w:rtl/>
        </w:rPr>
        <w:t xml:space="preserve"> רוצה לומר שהלך ויצא מאילנא ההוא בשביל נגיעת הנחש שמטמא בנגיעתן כמו במת וכיוצא, והקדושה בורחת וזה שאומר דהוה אמר אילנא כו':</w:t>
      </w:r>
    </w:p>
  </w:footnote>
  <w:footnote w:id="4497">
    <w:p w:rsidR="00A13282" w:rsidRDefault="00A13282" w:rsidP="00602EF1">
      <w:pPr>
        <w:pStyle w:val="a5"/>
        <w:rPr>
          <w:rtl/>
        </w:rPr>
      </w:pPr>
      <w:r>
        <w:rPr>
          <w:rStyle w:val="a7"/>
          <w:rtl/>
        </w:rPr>
        <w:footnoteRef/>
      </w:r>
      <w:r>
        <w:rPr>
          <w:rtl/>
        </w:rPr>
        <w:t xml:space="preserve"> </w:t>
      </w:r>
      <w:r>
        <w:rPr>
          <w:b/>
          <w:bCs/>
          <w:snapToGrid w:val="0"/>
          <w:sz w:val="24"/>
          <w:rtl/>
        </w:rPr>
        <w:t>בגנתא דאיהו אדנ"י.</w:t>
      </w:r>
      <w:r>
        <w:rPr>
          <w:snapToGrid w:val="0"/>
          <w:sz w:val="24"/>
          <w:rtl/>
        </w:rPr>
        <w:t xml:space="preserve"> דגן הוא פני אדנ"י כי אדני הוא היכ"ל, וג"ן הוא לפני היכל כמו שאמרו בפ' בלק דיש שזוכים אל הבתים הפנימים וזה שכתוב אל גינת ביתן המלך כמו שאומר שם ויש עוד פ"ז, הוא יותר פנים, והכל חושבן הר, מי יעלה בהר ה' כו' (תהלים כד ג):</w:t>
      </w:r>
    </w:p>
  </w:footnote>
  <w:footnote w:id="4498">
    <w:p w:rsidR="00A13282" w:rsidRDefault="00A13282" w:rsidP="00602EF1">
      <w:pPr>
        <w:pStyle w:val="a5"/>
        <w:rPr>
          <w:rtl/>
        </w:rPr>
      </w:pPr>
      <w:r>
        <w:rPr>
          <w:rStyle w:val="a7"/>
          <w:rtl/>
        </w:rPr>
        <w:footnoteRef/>
      </w:r>
      <w:r>
        <w:rPr>
          <w:rtl/>
        </w:rPr>
        <w:t xml:space="preserve"> </w:t>
      </w:r>
      <w:r>
        <w:rPr>
          <w:b/>
          <w:bCs/>
          <w:snapToGrid w:val="0"/>
          <w:sz w:val="24"/>
          <w:rtl/>
        </w:rPr>
        <w:t>לסט' כו' ודא איהו לרוח היום.</w:t>
      </w:r>
      <w:r>
        <w:rPr>
          <w:snapToGrid w:val="0"/>
          <w:sz w:val="24"/>
          <w:rtl/>
        </w:rPr>
        <w:t xml:space="preserve"> רוצה לומר לרוחו של היום דהוא ראש השנה, דינא, וכמו שכתוב (איוב א ו) ויהי היום:</w:t>
      </w:r>
    </w:p>
  </w:footnote>
  <w:footnote w:id="4499">
    <w:p w:rsidR="00A13282" w:rsidRDefault="00A13282" w:rsidP="00602EF1">
      <w:pPr>
        <w:pStyle w:val="a5"/>
        <w:rPr>
          <w:rtl/>
        </w:rPr>
      </w:pPr>
      <w:r>
        <w:rPr>
          <w:rStyle w:val="a7"/>
          <w:rtl/>
        </w:rPr>
        <w:footnoteRef/>
      </w:r>
      <w:r>
        <w:rPr>
          <w:rtl/>
        </w:rPr>
        <w:t xml:space="preserve"> </w:t>
      </w:r>
      <w:r>
        <w:rPr>
          <w:b/>
          <w:bCs/>
          <w:snapToGrid w:val="0"/>
          <w:sz w:val="24"/>
          <w:rtl/>
        </w:rPr>
        <w:t>ועוד וישמעו כו'.</w:t>
      </w:r>
      <w:r>
        <w:rPr>
          <w:snapToGrid w:val="0"/>
          <w:sz w:val="24"/>
          <w:rtl/>
        </w:rPr>
        <w:t xml:space="preserve"> רוצה לומר כמו שאמרו במדבר רבה (פרשה יג) מתהלך, מקפץ ועולה, הסתלקות מהגן וכמו שמפרש והולך:</w:t>
      </w:r>
    </w:p>
  </w:footnote>
  <w:footnote w:id="4500">
    <w:p w:rsidR="00A13282" w:rsidRDefault="00A13282" w:rsidP="00602EF1">
      <w:pPr>
        <w:pStyle w:val="a5"/>
        <w:rPr>
          <w:rtl/>
        </w:rPr>
      </w:pPr>
      <w:r>
        <w:rPr>
          <w:rStyle w:val="a7"/>
          <w:rtl/>
        </w:rPr>
        <w:footnoteRef/>
      </w:r>
      <w:r>
        <w:rPr>
          <w:rtl/>
        </w:rPr>
        <w:t xml:space="preserve"> </w:t>
      </w:r>
      <w:r>
        <w:rPr>
          <w:b/>
          <w:bCs/>
          <w:snapToGrid w:val="0"/>
          <w:sz w:val="24"/>
          <w:rtl/>
        </w:rPr>
        <w:t>דחוה גרמת כו'.</w:t>
      </w:r>
      <w:r>
        <w:rPr>
          <w:snapToGrid w:val="0"/>
          <w:sz w:val="24"/>
          <w:rtl/>
        </w:rPr>
        <w:t xml:space="preserve"> רוצה לומר בעובדא, דהיא דרגא דעובדא בינה כנ"ל, ואדם דרגא דמחשבה, ושניהם פגמו בדרגא דלהון, ואילנא עץ החיים נגד עובדא שאכלה מעץ הדעת גרם לעץ החיים דהוא הפוכא דיליה כמו שאומר לעיל ריש תיקון ס', ובמחשבה גרם לנביעו דהוא מחשבה כמו שאומר לעיל י"ג א' ושאר מקומות הרבה ומפרש והולך </w:t>
      </w:r>
      <w:r>
        <w:rPr>
          <w:b/>
          <w:bCs/>
          <w:snapToGrid w:val="0"/>
          <w:sz w:val="24"/>
          <w:rtl/>
        </w:rPr>
        <w:t>יהו"ה דא כו'.</w:t>
      </w:r>
      <w:r>
        <w:rPr>
          <w:snapToGrid w:val="0"/>
          <w:sz w:val="24"/>
          <w:rtl/>
        </w:rPr>
        <w:t xml:space="preserve"> והן ג' דרגין, גנתא - אדנ"י, ואילנא עץ החיים - הוי"ה, ונביעו - מכתר, דהוא בג"ר אבל עיקרו בכתר, שמא מפרש דאשקי לאילנא:</w:t>
      </w:r>
    </w:p>
  </w:footnote>
  <w:footnote w:id="4501">
    <w:p w:rsidR="00A13282" w:rsidRDefault="00A13282" w:rsidP="00602EF1">
      <w:pPr>
        <w:pStyle w:val="a5"/>
        <w:rPr>
          <w:rtl/>
        </w:rPr>
      </w:pPr>
      <w:r>
        <w:rPr>
          <w:rStyle w:val="a7"/>
          <w:rtl/>
        </w:rPr>
        <w:footnoteRef/>
      </w:r>
      <w:r>
        <w:rPr>
          <w:rtl/>
        </w:rPr>
        <w:t xml:space="preserve"> </w:t>
      </w:r>
      <w:r>
        <w:rPr>
          <w:b/>
          <w:bCs/>
          <w:snapToGrid w:val="0"/>
          <w:sz w:val="24"/>
          <w:rtl/>
        </w:rPr>
        <w:t>נביעו דיליה כגוונא דא ה' אחד ושמו אחד.</w:t>
      </w:r>
      <w:r>
        <w:rPr>
          <w:snapToGrid w:val="0"/>
          <w:sz w:val="24"/>
          <w:rtl/>
        </w:rPr>
        <w:t xml:space="preserve"> רוצה לומר, דנביעו הוא המייחד ה' ושמו אדנ"י, כמו בדו"נ שיחודם ע"י מ"ד ומ"נ, והוא נביעו, והוא ב' פעמים אחד, חושבן הוי"ה, ואחד הוא י"ג מכילין דרחמי דבכתר, דמשם הוא כל הנביעו, דבהון כל משח רבות, ובהן ב' מזלות דכלילן הכל והן משפיעין לזו"נ כידוע: </w:t>
      </w:r>
    </w:p>
  </w:footnote>
  <w:footnote w:id="4502">
    <w:p w:rsidR="00A13282" w:rsidRDefault="00A13282" w:rsidP="00602EF1">
      <w:pPr>
        <w:pStyle w:val="a5"/>
        <w:rPr>
          <w:rtl/>
        </w:rPr>
      </w:pPr>
      <w:r>
        <w:rPr>
          <w:rStyle w:val="a7"/>
          <w:rtl/>
        </w:rPr>
        <w:footnoteRef/>
      </w:r>
      <w:r>
        <w:rPr>
          <w:rtl/>
        </w:rPr>
        <w:t xml:space="preserve"> </w:t>
      </w:r>
      <w:r>
        <w:rPr>
          <w:b/>
          <w:bCs/>
          <w:snapToGrid w:val="0"/>
          <w:sz w:val="24"/>
          <w:rtl/>
        </w:rPr>
        <w:t>ומנ"ל דאתקרי כו'.</w:t>
      </w:r>
      <w:r>
        <w:rPr>
          <w:snapToGrid w:val="0"/>
          <w:sz w:val="24"/>
          <w:rtl/>
        </w:rPr>
        <w:t xml:space="preserve"> עיין לעיל תיקון מ”ג פקודא דיחודא דאיהו יקוו כו' שמע ישראל כו' עיין שם בדבריו דכל יחודא תליא בזה השם, ושורש זה השם הוא י"א י"א אחד, ואמרו ותראה היבשה עיין בזהר פרשת בראשית י"ב א' פקודא תליתאי כו' ועם כ"ד כו':</w:t>
      </w:r>
    </w:p>
  </w:footnote>
  <w:footnote w:id="4503">
    <w:p w:rsidR="00A13282" w:rsidRDefault="00A13282" w:rsidP="00602EF1">
      <w:pPr>
        <w:pStyle w:val="a5"/>
        <w:rPr>
          <w:rtl/>
        </w:rPr>
      </w:pPr>
      <w:r>
        <w:rPr>
          <w:rStyle w:val="a7"/>
          <w:rtl/>
        </w:rPr>
        <w:footnoteRef/>
      </w:r>
      <w:r>
        <w:rPr>
          <w:rtl/>
        </w:rPr>
        <w:t xml:space="preserve"> </w:t>
      </w:r>
      <w:r>
        <w:rPr>
          <w:b/>
          <w:bCs/>
          <w:snapToGrid w:val="0"/>
          <w:sz w:val="24"/>
          <w:rtl/>
        </w:rPr>
        <w:t>תמן אתכסיאו כו'.</w:t>
      </w:r>
      <w:r>
        <w:rPr>
          <w:snapToGrid w:val="0"/>
          <w:sz w:val="24"/>
          <w:rtl/>
        </w:rPr>
        <w:t xml:space="preserve"> רוצה לומר מה שכתוב (בראשית ג ח) בתוך עץ הגן, היינו ששם בושו מאד מה דעבדו תמן, מפני העץ ומה שבתוך העץ, דהיינו נביעו הנ"ל, והן ג' תיבות, בתוך עץ הגן, בתוך לעץ, ועץ, וגן, וזה מפני ה' אלקים, עובדא ומחשבה כנ"ל:</w:t>
      </w:r>
    </w:p>
  </w:footnote>
  <w:footnote w:id="4504">
    <w:p w:rsidR="00A13282" w:rsidRDefault="00A13282" w:rsidP="00602EF1">
      <w:pPr>
        <w:pStyle w:val="a5"/>
        <w:rPr>
          <w:snapToGrid w:val="0"/>
          <w:sz w:val="24"/>
          <w:rtl/>
        </w:rPr>
      </w:pPr>
      <w:r>
        <w:rPr>
          <w:rStyle w:val="a7"/>
          <w:rtl/>
        </w:rPr>
        <w:footnoteRef/>
      </w:r>
      <w:r>
        <w:rPr>
          <w:rtl/>
        </w:rPr>
        <w:t xml:space="preserve"> </w:t>
      </w:r>
      <w:r>
        <w:rPr>
          <w:b/>
          <w:bCs/>
          <w:snapToGrid w:val="0"/>
          <w:sz w:val="24"/>
          <w:rtl/>
        </w:rPr>
        <w:t>אית כו'.</w:t>
      </w:r>
      <w:r>
        <w:rPr>
          <w:snapToGrid w:val="0"/>
          <w:sz w:val="24"/>
          <w:rtl/>
        </w:rPr>
        <w:t xml:space="preserve"> דלמעלה אמר על כל העשר ספירות וכאן מפרש הכל על הצדיק דהוא עץ החיים כנ"ל ריש תיקון ס' והוא כולל הוי"ה כמו שאומר לעיל תיקון כ”ב ואמר </w:t>
      </w:r>
      <w:r>
        <w:rPr>
          <w:b/>
          <w:bCs/>
          <w:snapToGrid w:val="0"/>
          <w:sz w:val="24"/>
          <w:rtl/>
        </w:rPr>
        <w:t>יוד איבא כו'.</w:t>
      </w:r>
      <w:r>
        <w:rPr>
          <w:snapToGrid w:val="0"/>
          <w:sz w:val="24"/>
          <w:rtl/>
        </w:rPr>
        <w:t xml:space="preserve"> רוצה לומר עטרה, והנביעו הוא בי', מ"ד, והוא צריך להיות דבוק בגנתא:</w:t>
      </w:r>
    </w:p>
    <w:p w:rsidR="00A13282" w:rsidRDefault="00A13282" w:rsidP="00602EF1">
      <w:pPr>
        <w:pStyle w:val="a5"/>
        <w:rPr>
          <w:rtl/>
        </w:rPr>
      </w:pPr>
    </w:p>
  </w:footnote>
  <w:footnote w:id="4505">
    <w:p w:rsidR="00A13282" w:rsidRDefault="00A13282" w:rsidP="00602EF1">
      <w:pPr>
        <w:pStyle w:val="a5"/>
        <w:rPr>
          <w:rtl/>
        </w:rPr>
      </w:pPr>
      <w:r>
        <w:rPr>
          <w:rStyle w:val="a7"/>
          <w:rtl/>
        </w:rPr>
        <w:footnoteRef/>
      </w:r>
      <w:r>
        <w:rPr>
          <w:rtl/>
        </w:rPr>
        <w:t xml:space="preserve"> </w:t>
      </w:r>
      <w:r>
        <w:rPr>
          <w:b/>
          <w:bCs/>
          <w:snapToGrid w:val="0"/>
          <w:sz w:val="24"/>
          <w:rtl/>
        </w:rPr>
        <w:t>תיקון ס"ב בראשית תמן בת תמן אי בההוא כו'.</w:t>
      </w:r>
      <w:r>
        <w:rPr>
          <w:snapToGrid w:val="0"/>
          <w:sz w:val="24"/>
          <w:rtl/>
        </w:rPr>
        <w:t xml:space="preserve"> רוצה לומר לפרש פסוק איכה (בראשית ג ט) כמו שמפרש והולך, וכ"ה היא בת, דהיא נקרא כ"ה כמו שאמרו בהרבה מקומות:</w:t>
      </w:r>
    </w:p>
  </w:footnote>
  <w:footnote w:id="4506">
    <w:p w:rsidR="00A13282" w:rsidRDefault="00A13282" w:rsidP="00602EF1">
      <w:pPr>
        <w:pStyle w:val="a5"/>
        <w:rPr>
          <w:rtl/>
        </w:rPr>
      </w:pPr>
      <w:r>
        <w:rPr>
          <w:rStyle w:val="a7"/>
          <w:rtl/>
        </w:rPr>
        <w:footnoteRef/>
      </w:r>
      <w:r>
        <w:rPr>
          <w:rtl/>
        </w:rPr>
        <w:t xml:space="preserve"> </w:t>
      </w:r>
      <w:r>
        <w:rPr>
          <w:b/>
          <w:bCs/>
          <w:snapToGrid w:val="0"/>
          <w:sz w:val="24"/>
          <w:rtl/>
        </w:rPr>
        <w:t>דאסתלק יו"ד מן ה' ו' מן ה' ואשתארת כו'.</w:t>
      </w:r>
      <w:r>
        <w:rPr>
          <w:snapToGrid w:val="0"/>
          <w:sz w:val="24"/>
          <w:rtl/>
        </w:rPr>
        <w:t xml:space="preserve"> הן ב' פעמים כ"ה דקריאת שמע דשחרית ודקריאת שמע דערבית ועיין לעיל סוף תיקון כ"ה ותיקון כ”ו:</w:t>
      </w:r>
    </w:p>
  </w:footnote>
  <w:footnote w:id="4507">
    <w:p w:rsidR="00A13282" w:rsidRDefault="00A13282" w:rsidP="00602EF1">
      <w:pPr>
        <w:pStyle w:val="a5"/>
        <w:rPr>
          <w:rtl/>
        </w:rPr>
      </w:pPr>
      <w:r>
        <w:rPr>
          <w:rStyle w:val="a7"/>
          <w:rtl/>
        </w:rPr>
        <w:footnoteRef/>
      </w:r>
      <w:r>
        <w:rPr>
          <w:rtl/>
        </w:rPr>
        <w:t xml:space="preserve"> </w:t>
      </w:r>
      <w:r>
        <w:rPr>
          <w:b/>
          <w:bCs/>
          <w:snapToGrid w:val="0"/>
          <w:sz w:val="24"/>
          <w:rtl/>
        </w:rPr>
        <w:t>ובמאי נסתר כו'.</w:t>
      </w:r>
      <w:r>
        <w:rPr>
          <w:snapToGrid w:val="0"/>
          <w:sz w:val="24"/>
          <w:rtl/>
        </w:rPr>
        <w:t xml:space="preserve"> רוצה לומר שעשו תשובה באותן שתים שפגמו וכמו שמפרש והולך בסתר עליון ובצל שדי, באלו שתים נתחבאו, ופגמם היה במחשבה בנביעו דהוא בחכמה מחשבה מבינה ואילנא מגן כנ"ל, והן בב' ההי"ן כנ"ל, ובשתיהן שבו, והוא תשובה עילאה ותשובה תתאה כמו שאמרו ברעיא מהימנא פ' נשא:</w:t>
      </w:r>
    </w:p>
  </w:footnote>
  <w:footnote w:id="4508">
    <w:p w:rsidR="00A13282" w:rsidRDefault="00A13282" w:rsidP="00602EF1">
      <w:pPr>
        <w:pStyle w:val="a5"/>
        <w:rPr>
          <w:rtl/>
        </w:rPr>
      </w:pPr>
      <w:r>
        <w:rPr>
          <w:rStyle w:val="a7"/>
          <w:rtl/>
        </w:rPr>
        <w:footnoteRef/>
      </w:r>
      <w:r>
        <w:rPr>
          <w:rtl/>
        </w:rPr>
        <w:t xml:space="preserve"> </w:t>
      </w:r>
      <w:r>
        <w:rPr>
          <w:b/>
          <w:bCs/>
          <w:snapToGrid w:val="0"/>
          <w:sz w:val="24"/>
          <w:rtl/>
        </w:rPr>
        <w:t>דלא אשתמודע אלא בה.</w:t>
      </w:r>
      <w:r>
        <w:rPr>
          <w:snapToGrid w:val="0"/>
          <w:sz w:val="24"/>
          <w:rtl/>
        </w:rPr>
        <w:t xml:space="preserve"> רוצה לומר בבינה, וכן אין המחשבה ניכר אלא בעובדא:</w:t>
      </w:r>
    </w:p>
  </w:footnote>
  <w:footnote w:id="4509">
    <w:p w:rsidR="00A13282" w:rsidRDefault="00A13282" w:rsidP="00602EF1">
      <w:pPr>
        <w:pStyle w:val="a5"/>
        <w:rPr>
          <w:rtl/>
        </w:rPr>
      </w:pPr>
      <w:r>
        <w:rPr>
          <w:rStyle w:val="a7"/>
          <w:rtl/>
        </w:rPr>
        <w:footnoteRef/>
      </w:r>
      <w:r>
        <w:rPr>
          <w:rtl/>
        </w:rPr>
        <w:t xml:space="preserve"> </w:t>
      </w:r>
      <w:r>
        <w:rPr>
          <w:b/>
          <w:bCs/>
          <w:snapToGrid w:val="0"/>
          <w:sz w:val="24"/>
          <w:rtl/>
        </w:rPr>
        <w:t>אך בצלם.</w:t>
      </w:r>
      <w:r>
        <w:rPr>
          <w:snapToGrid w:val="0"/>
          <w:sz w:val="24"/>
          <w:rtl/>
        </w:rPr>
        <w:t xml:space="preserve"> רוצה לומר זהו בצל ועיין בזהר פרשת נשא ברעיא מהימנא קכ"ב ב' והוא על רישיה דבר נש כו' אך בצלם יתהלך איש כו' עיין שם בדבריו וזה שאומר ודא שכינתא כו':</w:t>
      </w:r>
    </w:p>
  </w:footnote>
  <w:footnote w:id="4510">
    <w:p w:rsidR="00A13282" w:rsidRDefault="00A13282" w:rsidP="00602EF1">
      <w:pPr>
        <w:pStyle w:val="a5"/>
        <w:rPr>
          <w:rtl/>
        </w:rPr>
      </w:pPr>
      <w:r>
        <w:rPr>
          <w:rStyle w:val="a7"/>
          <w:rtl/>
        </w:rPr>
        <w:footnoteRef/>
      </w:r>
      <w:r>
        <w:rPr>
          <w:rtl/>
        </w:rPr>
        <w:t xml:space="preserve"> </w:t>
      </w:r>
      <w:r>
        <w:rPr>
          <w:b/>
          <w:bCs/>
          <w:snapToGrid w:val="0"/>
          <w:sz w:val="24"/>
          <w:rtl/>
        </w:rPr>
        <w:t>דאיהו צלמו כו'.</w:t>
      </w:r>
      <w:r>
        <w:rPr>
          <w:snapToGrid w:val="0"/>
          <w:sz w:val="24"/>
          <w:rtl/>
        </w:rPr>
        <w:t xml:space="preserve"> דנקראת דמות אדם ועיין לעיל תיקון א’ ותיקון י”ח ושאר מקומות:</w:t>
      </w:r>
    </w:p>
  </w:footnote>
  <w:footnote w:id="4511">
    <w:p w:rsidR="00A13282" w:rsidRDefault="00A13282" w:rsidP="00602EF1">
      <w:pPr>
        <w:pStyle w:val="a5"/>
        <w:rPr>
          <w:rtl/>
        </w:rPr>
      </w:pPr>
      <w:r>
        <w:rPr>
          <w:rStyle w:val="a7"/>
          <w:rtl/>
        </w:rPr>
        <w:footnoteRef/>
      </w:r>
      <w:r>
        <w:rPr>
          <w:rtl/>
        </w:rPr>
        <w:t xml:space="preserve"> </w:t>
      </w:r>
      <w:r>
        <w:rPr>
          <w:b/>
          <w:bCs/>
          <w:snapToGrid w:val="0"/>
          <w:sz w:val="24"/>
          <w:rtl/>
        </w:rPr>
        <w:t>ויברא אלקים.</w:t>
      </w:r>
      <w:r>
        <w:rPr>
          <w:snapToGrid w:val="0"/>
          <w:sz w:val="24"/>
          <w:rtl/>
        </w:rPr>
        <w:t xml:space="preserve"> רוצה לומר אלקים חיים דלעילא, בינה, ולכן למטה פירש אלא שכינתא אתקרי אלקים רוצה לומר שכינתא תתאה, וכאן מפרש את האדם דא שכינתא תתאה כמו שמפרש והולך:</w:t>
      </w:r>
    </w:p>
  </w:footnote>
  <w:footnote w:id="4512">
    <w:p w:rsidR="00A13282" w:rsidRDefault="00A13282" w:rsidP="00602EF1">
      <w:pPr>
        <w:pStyle w:val="a5"/>
        <w:rPr>
          <w:rtl/>
        </w:rPr>
      </w:pPr>
      <w:r>
        <w:rPr>
          <w:rStyle w:val="a7"/>
          <w:rtl/>
        </w:rPr>
        <w:footnoteRef/>
      </w:r>
      <w:r>
        <w:rPr>
          <w:rtl/>
        </w:rPr>
        <w:t xml:space="preserve"> </w:t>
      </w:r>
      <w:r>
        <w:rPr>
          <w:b/>
          <w:bCs/>
          <w:snapToGrid w:val="0"/>
          <w:sz w:val="24"/>
          <w:rtl/>
        </w:rPr>
        <w:t>במדה דיליה.</w:t>
      </w:r>
      <w:r>
        <w:rPr>
          <w:snapToGrid w:val="0"/>
          <w:sz w:val="24"/>
          <w:rtl/>
        </w:rPr>
        <w:t xml:space="preserve"> כמו שאמרו במדרש שה"ש רבה (פרשה ה) תמתי תאומתי לא אני גדול ממנה ולא כו', וזה שאומר </w:t>
      </w:r>
      <w:r>
        <w:rPr>
          <w:b/>
          <w:bCs/>
          <w:snapToGrid w:val="0"/>
          <w:sz w:val="24"/>
          <w:rtl/>
        </w:rPr>
        <w:t>דלא אוסיף כו'.</w:t>
      </w:r>
      <w:r>
        <w:rPr>
          <w:snapToGrid w:val="0"/>
          <w:sz w:val="24"/>
          <w:rtl/>
        </w:rPr>
        <w:t xml:space="preserve"> שני המאורות הגדולים:</w:t>
      </w:r>
    </w:p>
  </w:footnote>
  <w:footnote w:id="4513">
    <w:p w:rsidR="00A13282" w:rsidRDefault="00A13282" w:rsidP="00602EF1">
      <w:pPr>
        <w:pStyle w:val="a5"/>
        <w:rPr>
          <w:rtl/>
        </w:rPr>
      </w:pPr>
      <w:r>
        <w:rPr>
          <w:rStyle w:val="a7"/>
          <w:rtl/>
        </w:rPr>
        <w:footnoteRef/>
      </w:r>
      <w:r>
        <w:rPr>
          <w:rtl/>
        </w:rPr>
        <w:t xml:space="preserve"> </w:t>
      </w:r>
      <w:r>
        <w:rPr>
          <w:b/>
          <w:bCs/>
          <w:snapToGrid w:val="0"/>
          <w:sz w:val="24"/>
          <w:rtl/>
        </w:rPr>
        <w:t>ועוד הל"ל ויברא ה' את האדם.</w:t>
      </w:r>
      <w:r>
        <w:rPr>
          <w:snapToGrid w:val="0"/>
          <w:sz w:val="24"/>
          <w:rtl/>
        </w:rPr>
        <w:t xml:space="preserve"> רוצה לומר כיון דכתיב בצלמו דקאי על כרחך אעמודא דאמצעיתא ואם כן ויברא מדבר בעמודא דאמצעיתא ואם כן ויברא ה' הוה ליה למימר:</w:t>
      </w:r>
    </w:p>
  </w:footnote>
  <w:footnote w:id="4514">
    <w:p w:rsidR="00A13282" w:rsidRDefault="00A13282" w:rsidP="00602EF1">
      <w:pPr>
        <w:pStyle w:val="a5"/>
        <w:rPr>
          <w:snapToGrid w:val="0"/>
          <w:sz w:val="24"/>
          <w:rtl/>
        </w:rPr>
      </w:pPr>
      <w:r>
        <w:rPr>
          <w:rStyle w:val="a7"/>
          <w:rtl/>
        </w:rPr>
        <w:footnoteRef/>
      </w:r>
      <w:r>
        <w:rPr>
          <w:rtl/>
        </w:rPr>
        <w:t xml:space="preserve"> </w:t>
      </w:r>
      <w:r>
        <w:rPr>
          <w:b/>
          <w:bCs/>
          <w:snapToGrid w:val="0"/>
          <w:sz w:val="24"/>
          <w:rtl/>
        </w:rPr>
        <w:t>דהא בזמנא דאסתלק כו'.</w:t>
      </w:r>
      <w:r>
        <w:rPr>
          <w:snapToGrid w:val="0"/>
          <w:sz w:val="24"/>
          <w:rtl/>
        </w:rPr>
        <w:t xml:space="preserve"> רוצה לומר מה שכתוב בצלם יתהלך איש, ע"י הצלם יכול להתנענע ולהלך ועיין בזהר פרשת משפטים קי"ו ב' מה דלאו הכי מאן דאיהו מלובש כו' ולית ליה תנועה כו', ואף שאמר שם בכל אדם, וכאן אומר בשני ענינים, א' כפשטיה דכשמסתלק הנשמה ומת אין לו הילוך, וב' בנשמתא קדישא, דרשעים בחייהן כו' ולית ליה תנועה כנ"ל ברעיא מהימנא, וזה שאומר וברי כל מאן דפגם האי דיוקנא רוצה לומר נשמתא קדישא שהוא צלם אלקים, וזה שאומר בפ' ואתחנן רס"ה א' ושאר מקומות הרבה הבו יקר לדיוקנא כו' שהוא לנשמתא קדישא כד אשתלים בשלימו ועיין בזהר פרשת בראשית י"ד א' ועל דא מאן דאתתקן כו' ולמעלה פ"ו ב' ויברא אלקים כו' תא חזי כל מאן דאנח כו' לדיוקנא כו':</w:t>
      </w:r>
    </w:p>
    <w:p w:rsidR="00A13282" w:rsidRDefault="00A13282" w:rsidP="00602EF1">
      <w:pPr>
        <w:pStyle w:val="a5"/>
        <w:rPr>
          <w:rtl/>
        </w:rPr>
      </w:pPr>
    </w:p>
  </w:footnote>
  <w:footnote w:id="4515">
    <w:p w:rsidR="00A13282" w:rsidRDefault="00A13282" w:rsidP="00602EF1">
      <w:pPr>
        <w:pStyle w:val="a5"/>
        <w:rPr>
          <w:rtl/>
        </w:rPr>
      </w:pPr>
      <w:r>
        <w:rPr>
          <w:rStyle w:val="a7"/>
          <w:rtl/>
        </w:rPr>
        <w:footnoteRef/>
      </w:r>
      <w:r>
        <w:rPr>
          <w:rtl/>
        </w:rPr>
        <w:t xml:space="preserve"> </w:t>
      </w:r>
      <w:r>
        <w:rPr>
          <w:b/>
          <w:bCs/>
          <w:snapToGrid w:val="0"/>
          <w:sz w:val="24"/>
          <w:rtl/>
        </w:rPr>
        <w:t>תיקון ס"ג בראשית כו' מי אלה ועל כו'.</w:t>
      </w:r>
      <w:r>
        <w:rPr>
          <w:snapToGrid w:val="0"/>
          <w:sz w:val="24"/>
          <w:rtl/>
        </w:rPr>
        <w:t xml:space="preserve"> עיין לעיל ריש תיקון מ”ט ובפ' בראשית א' ב' בארוכה:</w:t>
      </w:r>
    </w:p>
  </w:footnote>
  <w:footnote w:id="4516">
    <w:p w:rsidR="00A13282" w:rsidRDefault="00A13282" w:rsidP="00602EF1">
      <w:pPr>
        <w:pStyle w:val="a5"/>
        <w:rPr>
          <w:rtl/>
        </w:rPr>
      </w:pPr>
      <w:r>
        <w:rPr>
          <w:rStyle w:val="a7"/>
          <w:rtl/>
        </w:rPr>
        <w:footnoteRef/>
      </w:r>
      <w:r>
        <w:rPr>
          <w:rtl/>
        </w:rPr>
        <w:t xml:space="preserve"> </w:t>
      </w:r>
      <w:r>
        <w:rPr>
          <w:b/>
          <w:bCs/>
          <w:snapToGrid w:val="0"/>
          <w:sz w:val="24"/>
          <w:rtl/>
        </w:rPr>
        <w:t>ועל האי מי אתמר מי כו'.</w:t>
      </w:r>
      <w:r>
        <w:rPr>
          <w:snapToGrid w:val="0"/>
          <w:sz w:val="24"/>
          <w:rtl/>
        </w:rPr>
        <w:t xml:space="preserve"> כמו שאמרו בפ' ויקרא דאורייתא מודיעת ליה חוביה בגין דייתוב מיניה, והוא בינה, ימא דאורייתא, ורוצה לומר, על דשב - לכן לא מת והאריך לו אלף שנה, ועל אשר צויתיך כו' - לכן נתקלל. ואמר </w:t>
      </w:r>
      <w:r>
        <w:rPr>
          <w:b/>
          <w:bCs/>
          <w:snapToGrid w:val="0"/>
          <w:sz w:val="24"/>
          <w:rtl/>
        </w:rPr>
        <w:t>אשר צויתיך ההוא דאתמר כו'.</w:t>
      </w:r>
      <w:r>
        <w:rPr>
          <w:snapToGrid w:val="0"/>
          <w:sz w:val="24"/>
          <w:rtl/>
        </w:rPr>
        <w:t xml:space="preserve"> גם כן דרגא הנ"ל כמו שאומר בתיקון ל”ט בראשית - אשר, דאתמר ביה אשר כו' ודא כו' עיין שם בדבריו ומשם נצטוה ושם חב ושם שב ורפא לו:</w:t>
      </w:r>
    </w:p>
  </w:footnote>
  <w:footnote w:id="4517">
    <w:p w:rsidR="00A13282" w:rsidRDefault="00A13282" w:rsidP="00602EF1">
      <w:pPr>
        <w:pStyle w:val="a5"/>
        <w:rPr>
          <w:rtl/>
        </w:rPr>
      </w:pPr>
      <w:r>
        <w:rPr>
          <w:rStyle w:val="a7"/>
          <w:rtl/>
        </w:rPr>
        <w:footnoteRef/>
      </w:r>
      <w:r>
        <w:rPr>
          <w:rtl/>
        </w:rPr>
        <w:t xml:space="preserve"> </w:t>
      </w:r>
      <w:r>
        <w:rPr>
          <w:b/>
          <w:bCs/>
          <w:snapToGrid w:val="0"/>
          <w:sz w:val="24"/>
          <w:rtl/>
        </w:rPr>
        <w:t>דהיא רה"ר אשת זנונים.</w:t>
      </w:r>
      <w:r>
        <w:rPr>
          <w:snapToGrid w:val="0"/>
          <w:sz w:val="24"/>
          <w:rtl/>
        </w:rPr>
        <w:t xml:space="preserve"> רוצה לומר לכן נאמר הכל בלשון רבים וכמו שאומר לעיל בריש תיקון כ”ד רשות הרבים, נחש, אשת זנונים כו' כללא כו', וחזר ופירש דרשעים הן ס"מ ונחש שפיתו לאדם וחוה ועיין בזהר חדש פ' יתרו דנחש פתה לאדם וס"מ לחוה כו' עיין שם בדבריו:</w:t>
      </w:r>
    </w:p>
  </w:footnote>
  <w:footnote w:id="4518">
    <w:p w:rsidR="00A13282" w:rsidRDefault="00A13282" w:rsidP="00602EF1">
      <w:pPr>
        <w:pStyle w:val="a5"/>
        <w:rPr>
          <w:rtl/>
        </w:rPr>
      </w:pPr>
      <w:r>
        <w:rPr>
          <w:rStyle w:val="a7"/>
          <w:rtl/>
        </w:rPr>
        <w:footnoteRef/>
      </w:r>
      <w:r>
        <w:rPr>
          <w:rtl/>
        </w:rPr>
        <w:t xml:space="preserve"> </w:t>
      </w:r>
      <w:r>
        <w:rPr>
          <w:b/>
          <w:bCs/>
          <w:snapToGrid w:val="0"/>
          <w:sz w:val="24"/>
          <w:rtl/>
        </w:rPr>
        <w:t>אסוותא לכל מרעין כו'.</w:t>
      </w:r>
      <w:r>
        <w:rPr>
          <w:snapToGrid w:val="0"/>
          <w:sz w:val="24"/>
          <w:rtl/>
        </w:rPr>
        <w:t xml:space="preserve"> מביא ראיה דמ"י הוא תשובה, שתשובה הוא רפואה כמו שכתוב ושב כו' ונאמר מי ירפא לך:</w:t>
      </w:r>
    </w:p>
  </w:footnote>
  <w:footnote w:id="4519">
    <w:p w:rsidR="00A13282" w:rsidRDefault="00A13282" w:rsidP="00602EF1">
      <w:pPr>
        <w:pStyle w:val="a5"/>
        <w:rPr>
          <w:rtl/>
        </w:rPr>
      </w:pPr>
      <w:r>
        <w:rPr>
          <w:rStyle w:val="a7"/>
          <w:rtl/>
        </w:rPr>
        <w:footnoteRef/>
      </w:r>
      <w:r>
        <w:rPr>
          <w:rtl/>
        </w:rPr>
        <w:t xml:space="preserve"> </w:t>
      </w:r>
      <w:r>
        <w:rPr>
          <w:b/>
          <w:bCs/>
          <w:snapToGrid w:val="0"/>
          <w:sz w:val="24"/>
          <w:rtl/>
        </w:rPr>
        <w:t>רפאות תהי לשרך.</w:t>
      </w:r>
      <w:r>
        <w:rPr>
          <w:snapToGrid w:val="0"/>
          <w:sz w:val="24"/>
          <w:rtl/>
        </w:rPr>
        <w:t xml:space="preserve"> רוצה לומר לשכינתא תתאה דהיא שררך אגן הסהר, סיהרא קדישא כו', וזה שאומר </w:t>
      </w:r>
      <w:r>
        <w:rPr>
          <w:b/>
          <w:bCs/>
          <w:snapToGrid w:val="0"/>
          <w:sz w:val="24"/>
          <w:rtl/>
        </w:rPr>
        <w:t>זכאה איהו מאן דקריב לה כו'</w:t>
      </w:r>
      <w:r>
        <w:rPr>
          <w:snapToGrid w:val="0"/>
          <w:sz w:val="24"/>
          <w:rtl/>
        </w:rPr>
        <w:t xml:space="preserve"> ואמר למטה ותשלך אמת ארצה דא שכינתא ועיין בזהר פרשת נשא קכ"ב א' ברעיא מהימנא וכל מאן דחזר בתיובתא כאלו חזר את ה' לאת ו' דאיהו בן י"ה, אשתלים ביה הוי"ה, ודא איהו תשובה, תשוב ה' ודאי לגבי ו' כו':</w:t>
      </w:r>
    </w:p>
  </w:footnote>
  <w:footnote w:id="4520">
    <w:p w:rsidR="00A13282" w:rsidRDefault="00A13282" w:rsidP="00602EF1">
      <w:pPr>
        <w:pStyle w:val="a5"/>
        <w:rPr>
          <w:rtl/>
        </w:rPr>
      </w:pPr>
      <w:r>
        <w:rPr>
          <w:rStyle w:val="a7"/>
          <w:rtl/>
        </w:rPr>
        <w:footnoteRef/>
      </w:r>
      <w:r>
        <w:rPr>
          <w:rtl/>
        </w:rPr>
        <w:t xml:space="preserve"> </w:t>
      </w:r>
      <w:r>
        <w:rPr>
          <w:b/>
          <w:bCs/>
          <w:snapToGrid w:val="0"/>
          <w:sz w:val="24"/>
          <w:rtl/>
        </w:rPr>
        <w:t>דדא איהו רזא דתיובתא כו'.</w:t>
      </w:r>
      <w:r>
        <w:rPr>
          <w:snapToGrid w:val="0"/>
          <w:sz w:val="24"/>
          <w:rtl/>
        </w:rPr>
        <w:t xml:space="preserve"> כצ"ל ועבד"ז וד"ק. ואמר </w:t>
      </w:r>
      <w:r>
        <w:rPr>
          <w:b/>
          <w:bCs/>
          <w:snapToGrid w:val="0"/>
          <w:sz w:val="24"/>
          <w:rtl/>
        </w:rPr>
        <w:t>דיחזיר כו'</w:t>
      </w:r>
      <w:r>
        <w:rPr>
          <w:snapToGrid w:val="0"/>
          <w:sz w:val="24"/>
          <w:rtl/>
        </w:rPr>
        <w:t xml:space="preserve"> רוצה לומר לשכינתא תתאה כנ"ל ואמר </w:t>
      </w:r>
      <w:r>
        <w:rPr>
          <w:b/>
          <w:bCs/>
          <w:snapToGrid w:val="0"/>
          <w:sz w:val="24"/>
          <w:rtl/>
        </w:rPr>
        <w:t>הה"ד ויפח כו'</w:t>
      </w:r>
      <w:r>
        <w:rPr>
          <w:snapToGrid w:val="0"/>
          <w:sz w:val="24"/>
          <w:rtl/>
        </w:rPr>
        <w:t xml:space="preserve"> דהנשמה היא ממנה כמו שאומר לעיל בסוף תיקון הקודם ועל ההיא נשמתא כו' וברי כל מאן כו' ושכינתא כו', וזה שאומר דחייך תלואים מנגד - שכינתא וכן נשמתא וכמו שאומר שם ואמר </w:t>
      </w:r>
      <w:r>
        <w:rPr>
          <w:b/>
          <w:bCs/>
          <w:snapToGrid w:val="0"/>
          <w:sz w:val="24"/>
          <w:rtl/>
        </w:rPr>
        <w:t>דמאן דקרא לי' בשקרא</w:t>
      </w:r>
      <w:r>
        <w:rPr>
          <w:snapToGrid w:val="0"/>
          <w:sz w:val="24"/>
          <w:rtl/>
        </w:rPr>
        <w:t xml:space="preserve"> כו' רוצה לומר בעצת רשעים הנ"ל דאינון שקרא וכמו שאומר לעיל </w:t>
      </w:r>
      <w:r>
        <w:rPr>
          <w:b/>
          <w:bCs/>
          <w:snapToGrid w:val="0"/>
          <w:sz w:val="24"/>
          <w:rtl/>
        </w:rPr>
        <w:t>ומאן משקר דא כו'</w:t>
      </w:r>
      <w:r>
        <w:rPr>
          <w:snapToGrid w:val="0"/>
          <w:sz w:val="24"/>
          <w:rtl/>
        </w:rPr>
        <w:t xml:space="preserve"> דאיהו אמר כמה שקרים לחוה, וכל עצתו בשקר, עצת רשעים. ואמר </w:t>
      </w:r>
    </w:p>
  </w:footnote>
  <w:footnote w:id="4521">
    <w:p w:rsidR="00A13282" w:rsidRDefault="00A13282" w:rsidP="00602EF1">
      <w:pPr>
        <w:pStyle w:val="a5"/>
        <w:rPr>
          <w:rtl/>
        </w:rPr>
      </w:pPr>
      <w:r>
        <w:rPr>
          <w:rStyle w:val="a7"/>
          <w:rtl/>
        </w:rPr>
        <w:footnoteRef/>
      </w:r>
      <w:r>
        <w:rPr>
          <w:rtl/>
        </w:rPr>
        <w:t xml:space="preserve"> </w:t>
      </w:r>
      <w:r>
        <w:rPr>
          <w:b/>
          <w:bCs/>
          <w:snapToGrid w:val="0"/>
          <w:sz w:val="24"/>
          <w:rtl/>
        </w:rPr>
        <w:t>אמת עשורא דיליה כו'</w:t>
      </w:r>
      <w:r>
        <w:rPr>
          <w:snapToGrid w:val="0"/>
          <w:sz w:val="24"/>
          <w:rtl/>
        </w:rPr>
        <w:t xml:space="preserve"> להורות איך השם קרוב באמת משום דהוא עשורא דיליה, והוא השכינה דהיא עשורא דיליה כמו שאומר לעיל מ"ו ב' והוא נקרא אמת כמו שכתוב תתן אמת ליעקב לכן לקוראים באמת ומקרבין לה לגביה, קרוב ה' להו, שהוא עשורא דיליה, שכינתא כנ"ל. ואמר </w:t>
      </w:r>
      <w:r>
        <w:rPr>
          <w:b/>
          <w:bCs/>
          <w:snapToGrid w:val="0"/>
          <w:sz w:val="24"/>
          <w:rtl/>
        </w:rPr>
        <w:t>מאי ארצה כו'</w:t>
      </w:r>
      <w:r>
        <w:rPr>
          <w:snapToGrid w:val="0"/>
          <w:sz w:val="24"/>
          <w:rtl/>
        </w:rPr>
        <w:t xml:space="preserve"> רוצה לומר, דותשלך אמת ארצה, וכמו שכתוב (איכה ב א) השליך משמים ארץ תפארת ישראל, וכמו שאומר למטה מאי אמת עמודא דאמצעיתא כו' וזה שאומר </w:t>
      </w:r>
      <w:r>
        <w:rPr>
          <w:b/>
          <w:bCs/>
          <w:snapToGrid w:val="0"/>
          <w:sz w:val="24"/>
          <w:rtl/>
        </w:rPr>
        <w:t>תורת אמת באומאה דקשוט</w:t>
      </w:r>
      <w:r>
        <w:rPr>
          <w:snapToGrid w:val="0"/>
          <w:sz w:val="24"/>
          <w:rtl/>
        </w:rPr>
        <w:t xml:space="preserve"> ב' דברים, אומאה דקשוט הוא אמת עצמו, עמודא דאמצעיתא, ותורת אמת - שכינתא כמו שאומר למטה. ואמר </w:t>
      </w:r>
      <w:r>
        <w:rPr>
          <w:b/>
          <w:bCs/>
          <w:snapToGrid w:val="0"/>
          <w:sz w:val="24"/>
          <w:rtl/>
        </w:rPr>
        <w:t>כוננת לא כתיב</w:t>
      </w:r>
      <w:r>
        <w:rPr>
          <w:snapToGrid w:val="0"/>
          <w:sz w:val="24"/>
          <w:rtl/>
        </w:rPr>
        <w:t xml:space="preserve"> דעדיין לא שלטא בעלמא עד לעתיד לבוא וכמו שאומר בזוהר עיין שם ואמר </w:t>
      </w:r>
      <w:r>
        <w:rPr>
          <w:b/>
          <w:bCs/>
          <w:snapToGrid w:val="0"/>
          <w:sz w:val="24"/>
          <w:rtl/>
        </w:rPr>
        <w:t>אמת א' ברישא דא"ב</w:t>
      </w:r>
      <w:r>
        <w:rPr>
          <w:snapToGrid w:val="0"/>
          <w:sz w:val="24"/>
          <w:rtl/>
        </w:rPr>
        <w:t xml:space="preserve"> להודיע שהתורה תליא באמת וזהו תורת אמת:</w:t>
      </w:r>
    </w:p>
  </w:footnote>
  <w:footnote w:id="4522">
    <w:p w:rsidR="00A13282" w:rsidRDefault="00A13282" w:rsidP="00602EF1">
      <w:pPr>
        <w:pStyle w:val="a5"/>
        <w:rPr>
          <w:rtl/>
        </w:rPr>
      </w:pPr>
      <w:r>
        <w:rPr>
          <w:rStyle w:val="a7"/>
          <w:rtl/>
        </w:rPr>
        <w:footnoteRef/>
      </w:r>
      <w:r>
        <w:rPr>
          <w:rtl/>
        </w:rPr>
        <w:t xml:space="preserve"> </w:t>
      </w:r>
      <w:r>
        <w:rPr>
          <w:b/>
          <w:bCs/>
          <w:snapToGrid w:val="0"/>
          <w:sz w:val="24"/>
          <w:rtl/>
        </w:rPr>
        <w:t>אמת איהו בסוף כו'.</w:t>
      </w:r>
      <w:r>
        <w:rPr>
          <w:snapToGrid w:val="0"/>
          <w:sz w:val="24"/>
          <w:rtl/>
        </w:rPr>
        <w:t xml:space="preserve"> רוצה לומר והוא יסוד עולם שלכן הוא בסוף יסוד הבנין:</w:t>
      </w:r>
    </w:p>
  </w:footnote>
  <w:footnote w:id="4523">
    <w:p w:rsidR="00A13282" w:rsidRDefault="00A13282" w:rsidP="00602EF1">
      <w:pPr>
        <w:pStyle w:val="a5"/>
        <w:rPr>
          <w:rtl/>
        </w:rPr>
      </w:pPr>
      <w:r>
        <w:rPr>
          <w:rStyle w:val="a7"/>
          <w:rtl/>
        </w:rPr>
        <w:footnoteRef/>
      </w:r>
      <w:r>
        <w:rPr>
          <w:rtl/>
        </w:rPr>
        <w:t xml:space="preserve"> </w:t>
      </w:r>
      <w:r>
        <w:rPr>
          <w:b/>
          <w:bCs/>
          <w:snapToGrid w:val="0"/>
          <w:sz w:val="24"/>
          <w:rtl/>
        </w:rPr>
        <w:t>ואינון ברא כו'.</w:t>
      </w:r>
      <w:r>
        <w:rPr>
          <w:snapToGrid w:val="0"/>
          <w:sz w:val="24"/>
          <w:rtl/>
        </w:rPr>
        <w:t xml:space="preserve"> תחילת מעשה בראשית וסוף, ומתחיל מברא דהוא התחלת בריאה אבל מלת בראשית אינו בריאה רק זמן הבריאה:</w:t>
      </w:r>
    </w:p>
  </w:footnote>
  <w:footnote w:id="4524">
    <w:p w:rsidR="00A13282" w:rsidRDefault="00A13282" w:rsidP="00602EF1">
      <w:pPr>
        <w:pStyle w:val="a5"/>
        <w:rPr>
          <w:rtl/>
        </w:rPr>
      </w:pPr>
      <w:r>
        <w:rPr>
          <w:rStyle w:val="a7"/>
          <w:rtl/>
        </w:rPr>
        <w:footnoteRef/>
      </w:r>
      <w:r>
        <w:rPr>
          <w:rtl/>
        </w:rPr>
        <w:t xml:space="preserve"> </w:t>
      </w:r>
      <w:r>
        <w:rPr>
          <w:b/>
          <w:bCs/>
          <w:snapToGrid w:val="0"/>
          <w:sz w:val="24"/>
          <w:rtl/>
        </w:rPr>
        <w:t>דאומי בשקרא כו' דאיהו ירושלים.</w:t>
      </w:r>
      <w:r>
        <w:rPr>
          <w:snapToGrid w:val="0"/>
          <w:sz w:val="24"/>
          <w:rtl/>
        </w:rPr>
        <w:t xml:space="preserve"> דירושלים כתיב, (זכריה ח ג) ונקראה ירושלים עיר האמת כו', אבל בחורבנו כתיב (דניאל ח יא,יב) הורם התמיד והשלך מכון מקדשו כו' בפשע ותשלך אמת ארצה ועשתה והצליחה, וזה שאומר ובזמנא דאתעביד כו', ואמר ודא גרים דאתחרב ביתא ואתחזר עלמא כו' כמו שמפרש והולך דהכי אוקמוה כו' וכמו שכתוב (ירמיהו ד כג) ראיתי את הארץ והנה תוהו כו' ועיין ברעיא מהימנא שם ואמר חרב בית שני כו' כמו שאמרו דגלותא דיליה לית לה תהום, ואוקמוה שם דאלו ד' הן נגד ד' גליות עיין שם וכן הוא ד' קליפין שבהן גלו ד' גליות וכמו שאומר לעיל צ"ו ע"ב קליפין דאיבא דאינון כו' ועיין לעיל צ"ג א' וד' זמנין גלת כו' ונמצא תהום נגד גלות בית שני:</w:t>
      </w:r>
    </w:p>
  </w:footnote>
  <w:footnote w:id="4525">
    <w:p w:rsidR="00A13282" w:rsidRDefault="00A13282" w:rsidP="00602EF1">
      <w:pPr>
        <w:pStyle w:val="a5"/>
        <w:rPr>
          <w:rtl/>
        </w:rPr>
      </w:pPr>
      <w:r>
        <w:rPr>
          <w:rStyle w:val="a7"/>
          <w:rtl/>
        </w:rPr>
        <w:footnoteRef/>
      </w:r>
      <w:r>
        <w:rPr>
          <w:rtl/>
        </w:rPr>
        <w:t xml:space="preserve"> </w:t>
      </w:r>
      <w:r>
        <w:rPr>
          <w:b/>
          <w:bCs/>
          <w:snapToGrid w:val="0"/>
          <w:sz w:val="24"/>
          <w:rtl/>
        </w:rPr>
        <w:t>דאמת הוא סביל כו'.</w:t>
      </w:r>
      <w:r>
        <w:rPr>
          <w:snapToGrid w:val="0"/>
          <w:sz w:val="24"/>
          <w:rtl/>
        </w:rPr>
        <w:t xml:space="preserve"> כמו שאומר למטה ו' עמודא דאמצעיתא סביל כו' וב' ההי"ן אינון בית ראשון ושני כמו שאומר לעיל ריש תיקון ס"ב ושאר מקומות לכן חרב בית ראשון ושני בשבילו:</w:t>
      </w:r>
    </w:p>
  </w:footnote>
  <w:footnote w:id="4526">
    <w:p w:rsidR="00A13282" w:rsidRDefault="00A13282" w:rsidP="00602EF1">
      <w:pPr>
        <w:pStyle w:val="a5"/>
        <w:rPr>
          <w:rtl/>
        </w:rPr>
      </w:pPr>
      <w:r>
        <w:rPr>
          <w:rStyle w:val="a7"/>
          <w:rtl/>
        </w:rPr>
        <w:footnoteRef/>
      </w:r>
      <w:r>
        <w:rPr>
          <w:rtl/>
        </w:rPr>
        <w:t xml:space="preserve"> </w:t>
      </w:r>
      <w:r>
        <w:rPr>
          <w:b/>
          <w:bCs/>
          <w:snapToGrid w:val="0"/>
          <w:sz w:val="24"/>
          <w:rtl/>
        </w:rPr>
        <w:t>נפלה לא תוסיף קום נפלה כו' דאינון כו' .</w:t>
      </w:r>
      <w:r>
        <w:rPr>
          <w:snapToGrid w:val="0"/>
          <w:sz w:val="24"/>
          <w:rtl/>
        </w:rPr>
        <w:t xml:space="preserve"> רוצה לומר פסוק ראשון הוא בתולת ישראל, ה' תתאה, עטרת ראשנו הוא ה' עילאה, תפילין שבראש, עטרת תפארת לת"ת:</w:t>
      </w:r>
    </w:p>
  </w:footnote>
  <w:footnote w:id="4527">
    <w:p w:rsidR="00A13282" w:rsidRDefault="00A13282" w:rsidP="00602EF1">
      <w:pPr>
        <w:pStyle w:val="a5"/>
        <w:rPr>
          <w:rtl/>
        </w:rPr>
      </w:pPr>
      <w:r>
        <w:rPr>
          <w:rStyle w:val="a7"/>
          <w:rtl/>
        </w:rPr>
        <w:footnoteRef/>
      </w:r>
      <w:r>
        <w:rPr>
          <w:rtl/>
        </w:rPr>
        <w:t xml:space="preserve"> </w:t>
      </w:r>
      <w:r>
        <w:rPr>
          <w:b/>
          <w:bCs/>
          <w:snapToGrid w:val="0"/>
          <w:sz w:val="24"/>
          <w:rtl/>
        </w:rPr>
        <w:t>ו' עד"א סביל תרווייהו.</w:t>
      </w:r>
      <w:r>
        <w:rPr>
          <w:snapToGrid w:val="0"/>
          <w:sz w:val="24"/>
          <w:rtl/>
        </w:rPr>
        <w:t xml:space="preserve"> דהוא אמת כנ"ל מאי אמת כו' וכמו שכתוב תתן אמת ליעקב:</w:t>
      </w:r>
    </w:p>
  </w:footnote>
  <w:footnote w:id="4528">
    <w:p w:rsidR="00A13282" w:rsidRDefault="00A13282" w:rsidP="00602EF1">
      <w:pPr>
        <w:pStyle w:val="a5"/>
        <w:rPr>
          <w:rtl/>
        </w:rPr>
      </w:pPr>
      <w:r>
        <w:rPr>
          <w:rStyle w:val="a7"/>
          <w:rtl/>
        </w:rPr>
        <w:footnoteRef/>
      </w:r>
      <w:r>
        <w:rPr>
          <w:rtl/>
        </w:rPr>
        <w:t xml:space="preserve"> </w:t>
      </w:r>
      <w:r>
        <w:rPr>
          <w:b/>
          <w:bCs/>
          <w:snapToGrid w:val="0"/>
          <w:sz w:val="24"/>
          <w:rtl/>
        </w:rPr>
        <w:t>יסודא דכולא יו"ד.</w:t>
      </w:r>
      <w:r>
        <w:rPr>
          <w:snapToGrid w:val="0"/>
          <w:sz w:val="24"/>
          <w:rtl/>
        </w:rPr>
        <w:t xml:space="preserve"> כמו שאומר לעיל מ"ג א' ת"ת כליל כלהו, וכלא על עמודא חד כו', ורוצה לומר דכל שם הוי"ה קיימא על אמת ונקרא אמת וכנ"ל קרוב ה' כו' דהוא עשורא דאמת, וכן מדתו של יעקב, שם הוי"ה, וברית הוא יו"ד כמו שאומר לעיל בתיקון ס”ב ושאר מקומות, והוא עטרת, אות הברית דעליה קיימא עלמא כמו שכתוב (ירמיהו לג כה) אם לא בריתי כו'. וזה שאומר </w:t>
      </w:r>
      <w:r>
        <w:rPr>
          <w:b/>
          <w:bCs/>
          <w:snapToGrid w:val="0"/>
          <w:sz w:val="24"/>
          <w:rtl/>
        </w:rPr>
        <w:t>כל מאן דמשקר כו'.</w:t>
      </w:r>
      <w:r>
        <w:rPr>
          <w:snapToGrid w:val="0"/>
          <w:sz w:val="24"/>
          <w:rtl/>
        </w:rPr>
        <w:t xml:space="preserve"> והוא להורות דהוא יסוד דעליה קיימא כלא, והוא גם כן באמת כמו שמפרש והולך כל מאן דמשקר כו', שלא להכניסו במקום השקר, בבת אל נכר, דהוא מקום שקרא ואמר </w:t>
      </w:r>
      <w:r>
        <w:rPr>
          <w:b/>
          <w:bCs/>
          <w:snapToGrid w:val="0"/>
          <w:sz w:val="24"/>
          <w:rtl/>
        </w:rPr>
        <w:t>והאי יו"ד איהו אבן כו'</w:t>
      </w:r>
      <w:r>
        <w:rPr>
          <w:snapToGrid w:val="0"/>
          <w:sz w:val="24"/>
          <w:rtl/>
        </w:rPr>
        <w:t xml:space="preserve"> גם כן להורות דהוא יסודא דכולא קיימא עליה וכן אמר </w:t>
      </w:r>
      <w:r>
        <w:rPr>
          <w:b/>
          <w:bCs/>
          <w:snapToGrid w:val="0"/>
          <w:sz w:val="24"/>
          <w:rtl/>
        </w:rPr>
        <w:t>ומאן דחאב כו' ואהדר עלמא לתוהו ובוהו</w:t>
      </w:r>
      <w:r>
        <w:rPr>
          <w:snapToGrid w:val="0"/>
          <w:sz w:val="24"/>
          <w:rtl/>
        </w:rPr>
        <w:t xml:space="preserve"> כנ"ל דבשביל האמת אהדר כו' דהוא בנין עלמא וצדיק יסוד הבנין:</w:t>
      </w:r>
    </w:p>
  </w:footnote>
  <w:footnote w:id="4529">
    <w:p w:rsidR="00A13282" w:rsidRDefault="00A13282" w:rsidP="00602EF1">
      <w:pPr>
        <w:pStyle w:val="a5"/>
        <w:rPr>
          <w:rtl/>
        </w:rPr>
      </w:pPr>
      <w:r>
        <w:rPr>
          <w:rStyle w:val="a7"/>
          <w:rtl/>
        </w:rPr>
        <w:footnoteRef/>
      </w:r>
      <w:r>
        <w:rPr>
          <w:rtl/>
        </w:rPr>
        <w:t xml:space="preserve"> </w:t>
      </w:r>
      <w:r>
        <w:rPr>
          <w:b/>
          <w:bCs/>
          <w:snapToGrid w:val="0"/>
          <w:sz w:val="24"/>
          <w:rtl/>
        </w:rPr>
        <w:t>מארבע אתוון כו'.</w:t>
      </w:r>
      <w:r>
        <w:rPr>
          <w:snapToGrid w:val="0"/>
          <w:sz w:val="24"/>
          <w:rtl/>
        </w:rPr>
        <w:t xml:space="preserve"> והן בד' פרצופין, נמצא הוי"ה דכאן הוא בשכינתא תתאה ואמר </w:t>
      </w:r>
      <w:r>
        <w:rPr>
          <w:b/>
          <w:bCs/>
          <w:snapToGrid w:val="0"/>
          <w:sz w:val="24"/>
          <w:rtl/>
        </w:rPr>
        <w:t>וראית את אחורי.</w:t>
      </w:r>
      <w:r>
        <w:rPr>
          <w:snapToGrid w:val="0"/>
          <w:sz w:val="24"/>
          <w:rtl/>
        </w:rPr>
        <w:t xml:space="preserve"> רוצה לומר הוי"ה מהופכת, וכן שכינתא תתאה כמו שכתוב (תהלים קלט ה) אחור וקדם, דו"נ, ד"ו פרצופין. ואמר </w:t>
      </w:r>
      <w:r>
        <w:rPr>
          <w:b/>
          <w:bCs/>
          <w:snapToGrid w:val="0"/>
          <w:sz w:val="24"/>
          <w:rtl/>
        </w:rPr>
        <w:t xml:space="preserve">ואלין דחביבין כו'. </w:t>
      </w:r>
      <w:r>
        <w:rPr>
          <w:snapToGrid w:val="0"/>
          <w:sz w:val="24"/>
          <w:rtl/>
        </w:rPr>
        <w:t>עיין בתיקוני זהר חדש ע"ו ג':</w:t>
      </w:r>
    </w:p>
  </w:footnote>
  <w:footnote w:id="4530">
    <w:p w:rsidR="00A13282" w:rsidRDefault="00A13282" w:rsidP="00602EF1">
      <w:pPr>
        <w:pStyle w:val="a5"/>
        <w:rPr>
          <w:snapToGrid w:val="0"/>
          <w:sz w:val="24"/>
          <w:rtl/>
        </w:rPr>
      </w:pPr>
      <w:r>
        <w:rPr>
          <w:rStyle w:val="a7"/>
          <w:rtl/>
        </w:rPr>
        <w:footnoteRef/>
      </w:r>
      <w:r>
        <w:rPr>
          <w:rtl/>
        </w:rPr>
        <w:t xml:space="preserve"> </w:t>
      </w:r>
      <w:r>
        <w:rPr>
          <w:b/>
          <w:bCs/>
          <w:snapToGrid w:val="0"/>
          <w:sz w:val="24"/>
          <w:rtl/>
        </w:rPr>
        <w:t>ומסטרא דאחורים איהי י' לתתא ומסטרא דפנים איהי י' לעילא.</w:t>
      </w:r>
      <w:r>
        <w:rPr>
          <w:snapToGrid w:val="0"/>
          <w:sz w:val="24"/>
          <w:rtl/>
        </w:rPr>
        <w:t xml:space="preserve"> הוא חכמה בראש וחכמה בסוף:</w:t>
      </w:r>
    </w:p>
    <w:p w:rsidR="00A13282" w:rsidRDefault="00A13282" w:rsidP="00602EF1">
      <w:pPr>
        <w:pStyle w:val="a5"/>
        <w:rPr>
          <w:rtl/>
        </w:rPr>
      </w:pPr>
    </w:p>
  </w:footnote>
  <w:footnote w:id="4531">
    <w:p w:rsidR="00A13282" w:rsidRDefault="00A13282" w:rsidP="00602EF1">
      <w:pPr>
        <w:pStyle w:val="a5"/>
        <w:rPr>
          <w:rtl/>
        </w:rPr>
      </w:pPr>
      <w:r>
        <w:rPr>
          <w:rStyle w:val="a7"/>
          <w:rtl/>
        </w:rPr>
        <w:footnoteRef/>
      </w:r>
      <w:r>
        <w:rPr>
          <w:rtl/>
        </w:rPr>
        <w:t xml:space="preserve"> </w:t>
      </w:r>
      <w:r>
        <w:rPr>
          <w:b/>
          <w:bCs/>
          <w:snapToGrid w:val="0"/>
          <w:sz w:val="24"/>
          <w:rtl/>
        </w:rPr>
        <w:t>תיקון ס"ד בראשית כו' באשישות כו'.</w:t>
      </w:r>
      <w:r>
        <w:rPr>
          <w:snapToGrid w:val="0"/>
          <w:sz w:val="24"/>
          <w:rtl/>
        </w:rPr>
        <w:t xml:space="preserve"> ב' אשות, וכן הנפרד ממנו, אשישה, דתמן איש אשה ורוצה לומר שיסמכנה בב' אורות דכתנות אור שהופשט האדם מהן, אדם וחוה בב' כתנות וכמו שאומר לעיל יו"ד תרין אשות כו' באורים כבדו ה' והוא הבקשה סמכוני. וזה שאומר</w:t>
      </w:r>
    </w:p>
  </w:footnote>
  <w:footnote w:id="4532">
    <w:p w:rsidR="00A13282" w:rsidRDefault="00A13282" w:rsidP="00602EF1">
      <w:pPr>
        <w:pStyle w:val="a5"/>
        <w:rPr>
          <w:rtl/>
        </w:rPr>
      </w:pPr>
      <w:r>
        <w:rPr>
          <w:rStyle w:val="a7"/>
          <w:rtl/>
        </w:rPr>
        <w:footnoteRef/>
      </w:r>
      <w:r>
        <w:rPr>
          <w:rtl/>
        </w:rPr>
        <w:t xml:space="preserve"> </w:t>
      </w:r>
      <w:r>
        <w:rPr>
          <w:b/>
          <w:bCs/>
          <w:snapToGrid w:val="0"/>
          <w:sz w:val="24"/>
          <w:rtl/>
        </w:rPr>
        <w:t>ומאן גרים דא בגין כו'.</w:t>
      </w:r>
      <w:r>
        <w:rPr>
          <w:snapToGrid w:val="0"/>
          <w:sz w:val="24"/>
          <w:rtl/>
        </w:rPr>
        <w:t xml:space="preserve"> רוצה לומר מאן גרים דהיא צריכה לסמיכה באשישות, בשביל שהופשטו, וידוע כפי ענין התחתונים כן ענינה, (משנה סנהדרין ו ה) בזמן שהאדם מצטער כו', והכל לפי התחתונים כידוע ואמר כתנות עור, דעתה הוא נגד עורות כו' שהוא מאדמים, וכן הוא בעור, דהוא מכל מקום נשאר בב' אשות מה דאשתייר מכתנות אור מעט אור ולכן מאדמים, ואמר ומאן כו' דהאשה גרמה שלכן כל הקלקול הכל בשכינה וכמו שמפרש והולך</w:t>
      </w:r>
    </w:p>
  </w:footnote>
  <w:footnote w:id="4533">
    <w:p w:rsidR="00A13282" w:rsidRDefault="00A13282" w:rsidP="00602EF1">
      <w:pPr>
        <w:pStyle w:val="a5"/>
        <w:rPr>
          <w:rtl/>
        </w:rPr>
      </w:pPr>
      <w:r>
        <w:rPr>
          <w:rStyle w:val="a7"/>
          <w:rtl/>
        </w:rPr>
        <w:footnoteRef/>
      </w:r>
      <w:r>
        <w:rPr>
          <w:rtl/>
        </w:rPr>
        <w:t xml:space="preserve"> </w:t>
      </w:r>
      <w:r>
        <w:rPr>
          <w:b/>
          <w:bCs/>
          <w:snapToGrid w:val="0"/>
          <w:sz w:val="24"/>
          <w:rtl/>
        </w:rPr>
        <w:t>כל חובא דעבדת לשכינתא כו'.</w:t>
      </w:r>
      <w:r>
        <w:rPr>
          <w:snapToGrid w:val="0"/>
          <w:sz w:val="24"/>
          <w:rtl/>
        </w:rPr>
        <w:t xml:space="preserve"> ולכן היא מבקשת דווקא סמכוני. ורומז בבראשית כל פסוק זה, מה זאת, והיא מבקשת סמכוני באשישות:</w:t>
      </w:r>
    </w:p>
  </w:footnote>
  <w:footnote w:id="4534">
    <w:p w:rsidR="00A13282" w:rsidRDefault="00A13282" w:rsidP="00602EF1">
      <w:pPr>
        <w:pStyle w:val="a5"/>
        <w:rPr>
          <w:rtl/>
        </w:rPr>
      </w:pPr>
      <w:r>
        <w:rPr>
          <w:rStyle w:val="a7"/>
          <w:rtl/>
        </w:rPr>
        <w:footnoteRef/>
      </w:r>
      <w:r>
        <w:rPr>
          <w:rtl/>
        </w:rPr>
        <w:t xml:space="preserve"> </w:t>
      </w:r>
      <w:r>
        <w:rPr>
          <w:b/>
          <w:bCs/>
          <w:snapToGrid w:val="0"/>
          <w:sz w:val="24"/>
          <w:rtl/>
        </w:rPr>
        <w:t>מה שמו.</w:t>
      </w:r>
      <w:r>
        <w:rPr>
          <w:snapToGrid w:val="0"/>
          <w:sz w:val="24"/>
          <w:rtl/>
        </w:rPr>
        <w:t xml:space="preserve"> דהיא נקראת שם כידוע בהרבה מקומות:</w:t>
      </w:r>
    </w:p>
  </w:footnote>
  <w:footnote w:id="4535">
    <w:p w:rsidR="00A13282" w:rsidRDefault="00A13282" w:rsidP="00602EF1">
      <w:pPr>
        <w:pStyle w:val="a5"/>
        <w:rPr>
          <w:rtl/>
        </w:rPr>
      </w:pPr>
      <w:r>
        <w:rPr>
          <w:rStyle w:val="a7"/>
          <w:rtl/>
        </w:rPr>
        <w:footnoteRef/>
      </w:r>
      <w:r>
        <w:rPr>
          <w:rtl/>
        </w:rPr>
        <w:t xml:space="preserve"> </w:t>
      </w:r>
      <w:r>
        <w:rPr>
          <w:b/>
          <w:bCs/>
          <w:snapToGrid w:val="0"/>
          <w:sz w:val="24"/>
          <w:rtl/>
        </w:rPr>
        <w:t>מה זאת וודאי.</w:t>
      </w:r>
      <w:r>
        <w:rPr>
          <w:snapToGrid w:val="0"/>
          <w:sz w:val="24"/>
          <w:rtl/>
        </w:rPr>
        <w:t xml:space="preserve"> רוצה לומר דהיא נקראת מה וזאת, ואמר יתברך שניהם, מה וזאת, מ"ה - מ"ה עשית דלא דחילת מאימא עילאה שהיא תענישך בשביל שכינה תתאה ולזאת עשית וזה שאומר מה ה' אלקיך כו' לזאת עבדת כל דא וודאי כו'. ואמר</w:t>
      </w:r>
    </w:p>
  </w:footnote>
  <w:footnote w:id="4536">
    <w:p w:rsidR="00A13282" w:rsidRDefault="00A13282" w:rsidP="00602EF1">
      <w:pPr>
        <w:pStyle w:val="a5"/>
        <w:rPr>
          <w:rtl/>
        </w:rPr>
      </w:pPr>
      <w:r>
        <w:rPr>
          <w:rStyle w:val="a7"/>
          <w:rtl/>
        </w:rPr>
        <w:footnoteRef/>
      </w:r>
      <w:r>
        <w:rPr>
          <w:rtl/>
        </w:rPr>
        <w:t xml:space="preserve"> </w:t>
      </w:r>
      <w:r>
        <w:rPr>
          <w:b/>
          <w:bCs/>
          <w:snapToGrid w:val="0"/>
          <w:sz w:val="24"/>
          <w:rtl/>
        </w:rPr>
        <w:t>א"ת אם כו'</w:t>
      </w:r>
      <w:r>
        <w:rPr>
          <w:snapToGrid w:val="0"/>
          <w:sz w:val="24"/>
          <w:rtl/>
        </w:rPr>
        <w:t xml:space="preserve"> לראיה שהיראה הוא באימא וכמו שכתוב איש אמו כו' </w:t>
      </w:r>
      <w:r>
        <w:rPr>
          <w:b/>
          <w:bCs/>
          <w:snapToGrid w:val="0"/>
          <w:sz w:val="24"/>
          <w:rtl/>
        </w:rPr>
        <w:t>ואנת לא דחילת כו'</w:t>
      </w:r>
      <w:r>
        <w:rPr>
          <w:snapToGrid w:val="0"/>
          <w:sz w:val="24"/>
          <w:rtl/>
        </w:rPr>
        <w:t xml:space="preserve"> וזהו מ"ה וכמו שכתוב מה ה' אלקיך שואל מעמך כו', על מה זה שאיל לו. ואמר</w:t>
      </w:r>
    </w:p>
  </w:footnote>
  <w:footnote w:id="4537">
    <w:p w:rsidR="00A13282" w:rsidRDefault="00A13282" w:rsidP="00602EF1">
      <w:pPr>
        <w:pStyle w:val="a5"/>
        <w:rPr>
          <w:rtl/>
        </w:rPr>
      </w:pPr>
      <w:r>
        <w:rPr>
          <w:rStyle w:val="a7"/>
          <w:rtl/>
        </w:rPr>
        <w:footnoteRef/>
      </w:r>
      <w:r>
        <w:rPr>
          <w:rtl/>
        </w:rPr>
        <w:t xml:space="preserve"> </w:t>
      </w:r>
      <w:r>
        <w:rPr>
          <w:b/>
          <w:bCs/>
          <w:snapToGrid w:val="0"/>
          <w:sz w:val="24"/>
          <w:rtl/>
        </w:rPr>
        <w:t>או"א עילאין</w:t>
      </w:r>
      <w:r>
        <w:rPr>
          <w:snapToGrid w:val="0"/>
          <w:sz w:val="24"/>
          <w:rtl/>
        </w:rPr>
        <w:t xml:space="preserve"> שלא תעשה בזו"נ שהן או"א של האדם, ולהורות על ענין עמוק שדחילו הוא באבא כמו שאומר לעיל ריש תיקון ס”א וברעיא מהימנא פ' נשא ושאר מקומות, אלא שאו"א עילאין נכללין באבא ונקראים דחילו, ושם, איש אמו כו' (הקדים אמו דשם אבא טמיר יתיר וכמו שאומר לעיל תיקון ס”ב בסתר עליון כו') ובתבונה נכלל אבא גם כן כידוע ונקרא רחימו, לשם, כבד כו' וזה שאמרו (קדושין ל ע"ב) הקדים אמו לאביו דגלוי וידוע לפני מי שאמר והיה העולם שירא מפני אביו כו', דדחילו הוא באבא ולכן הקדים לאמו להורות שגם היא כלולה עמו, ובכבוד להיפוך, וכמו שאמרו הבן בחכמה וחכם בבינה, כתרין רחימין דמתחבקין כו', והוא יו"ד ה"י מלא ו"ד הוא ה', וזהו כלילותיה, ועיקר הגילוי הוא במילוי שהוא התפשטותם למטה לכן למעלה אבא טמיר יתיר כמו שאמרו באידרא זוטא ולכן הקפידה תורה - כי אם ליראה, בשביל האם, וכן הקדים הקרא כנ"ל, וזה שאומר ואנת לא כו':</w:t>
      </w:r>
    </w:p>
  </w:footnote>
  <w:footnote w:id="4538">
    <w:p w:rsidR="00A13282" w:rsidRDefault="00A13282" w:rsidP="00602EF1">
      <w:pPr>
        <w:pStyle w:val="a5"/>
        <w:rPr>
          <w:rtl/>
        </w:rPr>
      </w:pPr>
      <w:r>
        <w:rPr>
          <w:rStyle w:val="a7"/>
          <w:rtl/>
        </w:rPr>
        <w:footnoteRef/>
      </w:r>
      <w:r>
        <w:rPr>
          <w:rtl/>
        </w:rPr>
        <w:t xml:space="preserve"> </w:t>
      </w:r>
      <w:r>
        <w:rPr>
          <w:b/>
          <w:bCs/>
          <w:snapToGrid w:val="0"/>
          <w:sz w:val="24"/>
          <w:rtl/>
        </w:rPr>
        <w:t>זאת אות כו'.</w:t>
      </w:r>
      <w:r>
        <w:rPr>
          <w:snapToGrid w:val="0"/>
          <w:sz w:val="24"/>
          <w:rtl/>
        </w:rPr>
        <w:t xml:space="preserve"> דהיא אות ברית, עטרת כו':</w:t>
      </w:r>
    </w:p>
  </w:footnote>
  <w:footnote w:id="4539">
    <w:p w:rsidR="00A13282" w:rsidRDefault="00A13282" w:rsidP="00602EF1">
      <w:pPr>
        <w:pStyle w:val="a5"/>
        <w:rPr>
          <w:rtl/>
        </w:rPr>
      </w:pPr>
      <w:r>
        <w:rPr>
          <w:rStyle w:val="a7"/>
          <w:rtl/>
        </w:rPr>
        <w:footnoteRef/>
      </w:r>
      <w:r>
        <w:rPr>
          <w:rtl/>
        </w:rPr>
        <w:t xml:space="preserve"> </w:t>
      </w:r>
      <w:r>
        <w:rPr>
          <w:b/>
          <w:bCs/>
          <w:snapToGrid w:val="0"/>
          <w:sz w:val="24"/>
          <w:rtl/>
        </w:rPr>
        <w:t>וחובא דא גרים כו'.</w:t>
      </w:r>
      <w:r>
        <w:rPr>
          <w:snapToGrid w:val="0"/>
          <w:sz w:val="24"/>
          <w:rtl/>
        </w:rPr>
        <w:t xml:space="preserve"> שהאדם לא נתקלל, רק האדמה בעבורו, מה שאין כן באשה הרבה ארבה כו' וכמו שאמרו בזוהר סוף פ' בראשית עיין שם והטעם כנ"ל כי עיקר החטא עשתה האשה שהיא גרמה לכל זה:</w:t>
      </w:r>
    </w:p>
  </w:footnote>
  <w:footnote w:id="4540">
    <w:p w:rsidR="00A13282" w:rsidRDefault="00A13282" w:rsidP="00602EF1">
      <w:pPr>
        <w:pStyle w:val="a5"/>
        <w:rPr>
          <w:rtl/>
        </w:rPr>
      </w:pPr>
      <w:r>
        <w:rPr>
          <w:rStyle w:val="a7"/>
          <w:rtl/>
        </w:rPr>
        <w:footnoteRef/>
      </w:r>
      <w:r>
        <w:rPr>
          <w:rtl/>
        </w:rPr>
        <w:t xml:space="preserve"> </w:t>
      </w:r>
      <w:r>
        <w:rPr>
          <w:b/>
          <w:bCs/>
          <w:snapToGrid w:val="0"/>
          <w:sz w:val="24"/>
          <w:rtl/>
        </w:rPr>
        <w:t>דהוו ישראל כו'.</w:t>
      </w:r>
      <w:r>
        <w:rPr>
          <w:snapToGrid w:val="0"/>
          <w:sz w:val="24"/>
          <w:rtl/>
        </w:rPr>
        <w:t xml:space="preserve"> רוצה לומר, לכן נפקדו גם כן על חטא האדם, דנתגרשה השכינה, כמו שכתוב ויגרש את האדם, ודרשו את - על השכינה, ובשבילה אנו נגאלין, שהיא עמנו, וזה שאומר ובגין דא ואף גם כו' ועיין סוף פ' בחקותי בארוכה:</w:t>
      </w:r>
    </w:p>
  </w:footnote>
  <w:footnote w:id="4541">
    <w:p w:rsidR="00A13282" w:rsidRDefault="00A13282" w:rsidP="00602EF1">
      <w:pPr>
        <w:pStyle w:val="a5"/>
        <w:rPr>
          <w:rtl/>
        </w:rPr>
      </w:pPr>
      <w:r>
        <w:rPr>
          <w:rStyle w:val="a7"/>
          <w:rtl/>
        </w:rPr>
        <w:footnoteRef/>
      </w:r>
      <w:r>
        <w:rPr>
          <w:rtl/>
        </w:rPr>
        <w:t xml:space="preserve"> </w:t>
      </w:r>
      <w:r>
        <w:rPr>
          <w:b/>
          <w:bCs/>
          <w:snapToGrid w:val="0"/>
          <w:sz w:val="24"/>
          <w:rtl/>
        </w:rPr>
        <w:t>דא איהו במלחמת כו'.</w:t>
      </w:r>
      <w:r>
        <w:rPr>
          <w:snapToGrid w:val="0"/>
          <w:sz w:val="24"/>
          <w:rtl/>
        </w:rPr>
        <w:t xml:space="preserve"> ואמר בשביל משיח בן דוד וכמו שאמרו (סוכה נב ע"א) שהשם יתברך אומר למשיח שאל, מכיון שרואה למשיח בן יוסף שנהרג אומר איני מבקש אלא חיים ואמר לו השם יתברך חיים כבר נתנבא דוד אביך כו' ובזכות דוד כמו שמפרש והולך ומאן גרים כו' בגין דעלה כו':</w:t>
      </w:r>
    </w:p>
  </w:footnote>
  <w:footnote w:id="4542">
    <w:p w:rsidR="00A13282" w:rsidRDefault="00A13282" w:rsidP="00602EF1">
      <w:pPr>
        <w:pStyle w:val="a5"/>
        <w:rPr>
          <w:rtl/>
        </w:rPr>
      </w:pPr>
      <w:r>
        <w:rPr>
          <w:rStyle w:val="a7"/>
          <w:rtl/>
        </w:rPr>
        <w:footnoteRef/>
      </w:r>
      <w:r>
        <w:rPr>
          <w:rtl/>
        </w:rPr>
        <w:t xml:space="preserve"> </w:t>
      </w:r>
      <w:r>
        <w:rPr>
          <w:b/>
          <w:bCs/>
          <w:snapToGrid w:val="0"/>
          <w:sz w:val="24"/>
          <w:rtl/>
        </w:rPr>
        <w:t>וחכמת המסכן בזויה.</w:t>
      </w:r>
      <w:r>
        <w:rPr>
          <w:snapToGrid w:val="0"/>
          <w:sz w:val="24"/>
          <w:rtl/>
        </w:rPr>
        <w:t xml:space="preserve"> שהיא מסכנא דלית לה מגרמה כו', ובפרט בגלותא כמו שאמרו (משנה סוטה ט טו) וחכמת סופרים תסרח ויראי כו', והוא בעיני הערב רב דהן ראשים בגלותא וכן יהיו הערב רב לעתיד לבוא לפני התלמידי חכמים, וזה שאומר ועלה אתמר כי מכבדי כו', ועיין ברעיא מהימנא פ' אחרי מות ס"ז ב' אמר רעיא מהימנא בההוא זמנא אלין מארי חכמתא עילאה כו' והאי איהו דאוקמוה מארי מתניתין דור שבן דוד בא כו', ובפ' נשא קכ"ה ב' אמר ליה רעיא מהימנא באומאה כו' ועיין שם א' ובזימנא דאילנא דחיי כו' עיין שם בדבריו:</w:t>
      </w:r>
    </w:p>
  </w:footnote>
  <w:footnote w:id="4543">
    <w:p w:rsidR="00A13282" w:rsidRDefault="00A13282" w:rsidP="00602EF1">
      <w:pPr>
        <w:pStyle w:val="a5"/>
        <w:rPr>
          <w:rtl/>
        </w:rPr>
      </w:pPr>
      <w:r>
        <w:rPr>
          <w:rStyle w:val="a7"/>
          <w:rtl/>
        </w:rPr>
        <w:footnoteRef/>
      </w:r>
      <w:r>
        <w:rPr>
          <w:rtl/>
        </w:rPr>
        <w:t xml:space="preserve"> </w:t>
      </w:r>
      <w:r>
        <w:rPr>
          <w:b/>
          <w:bCs/>
          <w:snapToGrid w:val="0"/>
          <w:sz w:val="24"/>
          <w:rtl/>
        </w:rPr>
        <w:t>דאיהי חכמה כו'.</w:t>
      </w:r>
      <w:r>
        <w:rPr>
          <w:snapToGrid w:val="0"/>
          <w:sz w:val="24"/>
          <w:rtl/>
        </w:rPr>
        <w:t xml:space="preserve"> דהן ג' דרגין דכלילין כולא, והיא סלקא בכולם, ועיין לעיל נ"ד ג' עד דסליק כו' ונטילת כו':</w:t>
      </w:r>
    </w:p>
  </w:footnote>
  <w:footnote w:id="4544">
    <w:p w:rsidR="00A13282" w:rsidRDefault="00A13282" w:rsidP="00602EF1">
      <w:pPr>
        <w:pStyle w:val="a5"/>
        <w:rPr>
          <w:rtl/>
        </w:rPr>
      </w:pPr>
      <w:r>
        <w:rPr>
          <w:rStyle w:val="a7"/>
          <w:rtl/>
        </w:rPr>
        <w:footnoteRef/>
      </w:r>
      <w:r>
        <w:rPr>
          <w:rtl/>
        </w:rPr>
        <w:t xml:space="preserve"> </w:t>
      </w:r>
      <w:r>
        <w:rPr>
          <w:b/>
          <w:bCs/>
          <w:snapToGrid w:val="0"/>
          <w:sz w:val="24"/>
          <w:rtl/>
        </w:rPr>
        <w:t>מסט' דשלמה כו'.</w:t>
      </w:r>
      <w:r>
        <w:rPr>
          <w:snapToGrid w:val="0"/>
          <w:sz w:val="24"/>
          <w:rtl/>
        </w:rPr>
        <w:t xml:space="preserve"> כנ"ל כד נחית ממלכותיה, ורוצה לומר דבימי שלמה סלקא ונחתא מה שאין כן בחייבא כמו שמפרש והולך דכתיב נתנני כו' ואעפ"י דלית לה כו' כיון דלית בישראל מאן דיוקים ליה בזכותיה, וכמו שכתוב (ישעיהו נט טז) וארא כי אין איש ותושע לי זרועי כו', (יחזקאל כ ט) ואעש למען שמי כו', ורוצה לומר דזה שאמר לא תוסיף קום - מעצמה, וכמו שאמרו בפ' שמות עיין שם בדבריו וכמו שמפרש והולך כמה דאת אמר ביום ההוא אקים כו':</w:t>
      </w:r>
    </w:p>
  </w:footnote>
  <w:footnote w:id="4545">
    <w:p w:rsidR="00A13282" w:rsidRDefault="00A13282" w:rsidP="00602EF1">
      <w:pPr>
        <w:pStyle w:val="a5"/>
        <w:rPr>
          <w:rtl/>
        </w:rPr>
      </w:pPr>
      <w:r>
        <w:rPr>
          <w:rStyle w:val="a7"/>
          <w:rtl/>
        </w:rPr>
        <w:footnoteRef/>
      </w:r>
      <w:r>
        <w:rPr>
          <w:rtl/>
        </w:rPr>
        <w:t xml:space="preserve"> </w:t>
      </w:r>
      <w:r>
        <w:rPr>
          <w:b/>
          <w:bCs/>
          <w:snapToGrid w:val="0"/>
          <w:sz w:val="24"/>
          <w:rtl/>
        </w:rPr>
        <w:t>ומאן גרם דנחתא כו'.</w:t>
      </w:r>
      <w:r>
        <w:rPr>
          <w:snapToGrid w:val="0"/>
          <w:sz w:val="24"/>
          <w:rtl/>
        </w:rPr>
        <w:t xml:space="preserve"> רוצה לומר, לפרש הקרא ויאמר ה' אלקים אל הנחש כו' כמו שמפרש והולך, ורמיז גם כן בבראשית באשישות דהיא גרמה גם כן וכמו שמפרש והולך כי עשית זאת דאיהי כו' ולכן היא מבקשת סמכוני מנפילתה ובאשישות הן כוסות יין וזה שאומר דאשתכחת יבשה, והיין הוא לעורר רחמין דאיש ואשה כמו שכתוב (שה"ש א ב) ישקני כו' כי טובים כו', ומפרש והולך הפסוק ארור כו', על מה דסמיך, ורוצה לומר כמו שאמרו (ילקוט ירמיהו פרק מט סימן שלב) שאין להם מלך בן מלך, דבכל האומות נסמך המלוכה ממלך מה שאין כן באדום שהוא עמלק, ועוד שהמלוכה נסמך על זרעו, מה שאין כן באדום כי אף שאין להם בן מלך מכל מקום היה אפשר לחול המלוכה באחר, במשנה וכיוצא שיש להם חק קבוע שזה ימלוך תחתיו, וכן שזרעו יצליח למלוכה באומה אחרת או לזמן אחר, ושניהם אין להם, והכל דבר אחד שהוא המלוכה והוא קציצות הרגלין, דרגלין הן סמכין בכל מקום וכן סמכין לאורייתא ועיין בזהר פרשת פקודי רנ"ז ב' ושאר מקומות, וקציצת ידים - שאין להם כתב, וכמו שבכל מקום ברגלין נכלל הברית כן נכלל כאן שלא יהיה להם בן מלך שהוא זרע וכן בידין נכלל הלשון שאין להם לשון וכמו שאומר בספר יצירה וספרא דצניעותא ושאר מקומות בכף זכות כו' וכרת לו ברית עשר אצבעותיו כו' ועיין מה שכתבתי שם ב' והוא ענין אחד, כתב ולשון כמו שם, והן ב' דברים שחשב הכתוב (עובדיה א ב) קטן נתתיך בגוים, שהאדם בלא רגלין קטן הוא מאד, בזוי - בלא לשון וידין, שכלל כל הבריאה הוא בדבור ומעשה, ויאמר ויעש, ספר וספר, שהוא כתב וחותם, ועיין לעיל תיקון נ”ה שהן בב' ידין, וספור הוא הלשון וכן הוא כל חשיבות האדם בהן וכל העולם ואמר</w:t>
      </w:r>
    </w:p>
  </w:footnote>
  <w:footnote w:id="4546">
    <w:p w:rsidR="00A13282" w:rsidRDefault="00A13282" w:rsidP="00602EF1">
      <w:pPr>
        <w:pStyle w:val="a5"/>
        <w:rPr>
          <w:rtl/>
        </w:rPr>
      </w:pPr>
      <w:r>
        <w:rPr>
          <w:rStyle w:val="a7"/>
          <w:rtl/>
        </w:rPr>
        <w:footnoteRef/>
      </w:r>
      <w:r>
        <w:rPr>
          <w:rtl/>
        </w:rPr>
        <w:t xml:space="preserve"> </w:t>
      </w:r>
      <w:r>
        <w:rPr>
          <w:b/>
          <w:bCs/>
          <w:snapToGrid w:val="0"/>
          <w:sz w:val="24"/>
          <w:rtl/>
        </w:rPr>
        <w:t>וכמה דאיהו גרם כו'.</w:t>
      </w:r>
      <w:r>
        <w:rPr>
          <w:snapToGrid w:val="0"/>
          <w:sz w:val="24"/>
          <w:rtl/>
        </w:rPr>
        <w:t xml:space="preserve"> דבין ידין ורגלין לית קרובה דאשות עתה ועיין לעיל תיקון נ”ו בארוכה. ואמר</w:t>
      </w:r>
    </w:p>
  </w:footnote>
  <w:footnote w:id="4547">
    <w:p w:rsidR="00A13282" w:rsidRDefault="00A13282" w:rsidP="00602EF1">
      <w:pPr>
        <w:pStyle w:val="a5"/>
        <w:rPr>
          <w:rtl/>
        </w:rPr>
      </w:pPr>
      <w:r>
        <w:rPr>
          <w:rStyle w:val="a7"/>
          <w:rtl/>
        </w:rPr>
        <w:footnoteRef/>
      </w:r>
      <w:r>
        <w:rPr>
          <w:rtl/>
        </w:rPr>
        <w:t xml:space="preserve"> </w:t>
      </w:r>
      <w:r>
        <w:rPr>
          <w:b/>
          <w:bCs/>
          <w:snapToGrid w:val="0"/>
          <w:sz w:val="24"/>
          <w:rtl/>
        </w:rPr>
        <w:t>ודא הוא דאמר יצחק כו'.</w:t>
      </w:r>
      <w:r>
        <w:rPr>
          <w:snapToGrid w:val="0"/>
          <w:sz w:val="24"/>
          <w:rtl/>
        </w:rPr>
        <w:t xml:space="preserve"> דאפריש ליה מהא דלעילא, ונתן ליה לתתא כמו שאומר בפ' תולדות קמ"ג ע"ב ועיין מה שכתבתי שם, ועפר הוא עפר שבקרקע המשכן כמו שאומר בפ' פקודי בהיכלות עיין שם, ונגד עשר קללות דאדם נתברך יעקב בעשר ברכאן ועיין שם בפ' תולדות שם ועיין מה שאמר לעיל פ"ח א' בארוכה, ואמר וממאי דחאבת, שלא מצינו שחטאה, ועוד דהא קללת האדמה אמר השם יתברך בעבורך, משמע בשביל האדם ולא בשבילה, ואמר דלמה נתקללה - בשבילו, משום דאתנטיל מינה וכמו שאומר במדרש רבה, ותירץ אלא בגין כו' ומה שכתוב בעבורך - בשביל שלא מחתה, וזה שאומר ובגין דא אמר בעבורך, ואמר ליה מה חבאת ארעא לצדיק, אמת שחטאה אבל האיך לצדיק, ומפרש והולך כגון דעץ הדעת טוב ורע כו', דעץ החיים הוא ברית בלא ערלה וכמו שאומר לעיל ריש תיקון ס', ואמר שם ובהיפוכא כו', ועיין לעיל ריש תיקון ל"ז ברית ודאי כד כו' עיין שם בדבריו ומה שכתבתי שם ושם ועיין בזהר פרשת בראשית ל"ה ע"ב ר"י שאיל לר"ש כו' עיין שם:</w:t>
      </w:r>
    </w:p>
  </w:footnote>
  <w:footnote w:id="4548">
    <w:p w:rsidR="00A13282" w:rsidRDefault="00A13282" w:rsidP="00602EF1">
      <w:pPr>
        <w:pStyle w:val="a5"/>
        <w:rPr>
          <w:rtl/>
        </w:rPr>
      </w:pPr>
      <w:r>
        <w:rPr>
          <w:rStyle w:val="a7"/>
          <w:rtl/>
        </w:rPr>
        <w:footnoteRef/>
      </w:r>
      <w:r>
        <w:rPr>
          <w:rtl/>
        </w:rPr>
        <w:t xml:space="preserve"> </w:t>
      </w:r>
      <w:r>
        <w:rPr>
          <w:b/>
          <w:bCs/>
          <w:snapToGrid w:val="0"/>
          <w:sz w:val="24"/>
          <w:rtl/>
        </w:rPr>
        <w:t>ות"ח שבעה כו'.</w:t>
      </w:r>
      <w:r>
        <w:rPr>
          <w:snapToGrid w:val="0"/>
          <w:sz w:val="24"/>
          <w:rtl/>
        </w:rPr>
        <w:t xml:space="preserve"> רוצה לומר בגין דחטא בבת שבע ונצטוה על ז' מצות ועבר בכולם, ועיין מה שאמר לעיל בריש תיקון כ"ד, לכן נחית בשבעה ארעין, וכן כל בני אדם (ברכות ז ע"א) כשאוחזין כו', והוא שבעה מיני גיהנם, וכן בגלותא ועניותא שהוא במקום הגיהנם כמו שאמרו (בראשית רבה פרשה מד) כי צורם מכרם כו', הוא בז' מיני עניותא כמו שמפרש והולך וזה שכתוב (ויקרא כו יח) שבע על חטאתיכם, וזה שאומר ואדם חאב כו' הכי אלין אינון דנחתין לשבעה כו' ונחיתת אדם לתמן עיין בזהר חדש פ' בראשית יו"ד ג' בארוכה:</w:t>
      </w:r>
    </w:p>
  </w:footnote>
  <w:footnote w:id="4549">
    <w:p w:rsidR="00A13282" w:rsidRDefault="00A13282" w:rsidP="00602EF1">
      <w:pPr>
        <w:pStyle w:val="a5"/>
        <w:rPr>
          <w:rtl/>
        </w:rPr>
      </w:pPr>
      <w:r>
        <w:rPr>
          <w:rStyle w:val="a7"/>
          <w:rtl/>
        </w:rPr>
        <w:footnoteRef/>
      </w:r>
      <w:r>
        <w:rPr>
          <w:rtl/>
        </w:rPr>
        <w:t xml:space="preserve"> </w:t>
      </w:r>
      <w:r>
        <w:rPr>
          <w:b/>
          <w:bCs/>
          <w:snapToGrid w:val="0"/>
          <w:sz w:val="24"/>
          <w:rtl/>
        </w:rPr>
        <w:t>*יבשה.</w:t>
      </w:r>
      <w:r>
        <w:rPr>
          <w:snapToGrid w:val="0"/>
          <w:sz w:val="24"/>
          <w:rtl/>
        </w:rPr>
        <w:t xml:space="preserve"> צ"ל </w:t>
      </w:r>
      <w:r>
        <w:rPr>
          <w:b/>
          <w:bCs/>
          <w:snapToGrid w:val="0"/>
          <w:sz w:val="24"/>
          <w:rtl/>
        </w:rPr>
        <w:t>ציה</w:t>
      </w:r>
      <w:r>
        <w:rPr>
          <w:snapToGrid w:val="0"/>
          <w:sz w:val="24"/>
          <w:rtl/>
        </w:rPr>
        <w:t xml:space="preserve"> וכן הוא שם ובזוהר פ' בראשית אלא שבזוהר ארקא בין ציה לתבל והנוסח שבכאן ובזהר חדש הוא הנכון עיין שם:</w:t>
      </w:r>
    </w:p>
  </w:footnote>
  <w:footnote w:id="4550">
    <w:p w:rsidR="00A13282" w:rsidRDefault="00A13282" w:rsidP="00602EF1">
      <w:pPr>
        <w:pStyle w:val="a5"/>
        <w:rPr>
          <w:rtl/>
        </w:rPr>
      </w:pPr>
      <w:r>
        <w:rPr>
          <w:rStyle w:val="a7"/>
          <w:rtl/>
        </w:rPr>
        <w:footnoteRef/>
      </w:r>
      <w:r>
        <w:rPr>
          <w:rtl/>
        </w:rPr>
        <w:t xml:space="preserve"> </w:t>
      </w:r>
      <w:r>
        <w:rPr>
          <w:b/>
          <w:bCs/>
          <w:snapToGrid w:val="0"/>
          <w:sz w:val="24"/>
          <w:rtl/>
        </w:rPr>
        <w:t>בתלת עד שבע.</w:t>
      </w:r>
      <w:r>
        <w:rPr>
          <w:snapToGrid w:val="0"/>
          <w:sz w:val="24"/>
          <w:rtl/>
        </w:rPr>
        <w:t xml:space="preserve"> נגד ז' הנ"ל:</w:t>
      </w:r>
    </w:p>
  </w:footnote>
  <w:footnote w:id="4551">
    <w:p w:rsidR="00A13282" w:rsidRDefault="00A13282" w:rsidP="00602EF1">
      <w:pPr>
        <w:pStyle w:val="a5"/>
        <w:rPr>
          <w:rtl/>
        </w:rPr>
      </w:pPr>
      <w:r>
        <w:rPr>
          <w:rStyle w:val="a7"/>
          <w:rtl/>
        </w:rPr>
        <w:footnoteRef/>
      </w:r>
      <w:r>
        <w:rPr>
          <w:rtl/>
        </w:rPr>
        <w:t xml:space="preserve"> </w:t>
      </w:r>
      <w:r>
        <w:rPr>
          <w:b/>
          <w:bCs/>
          <w:snapToGrid w:val="0"/>
          <w:sz w:val="24"/>
          <w:rtl/>
        </w:rPr>
        <w:t>ואית אתר דלית בי' נהורא כו'.</w:t>
      </w:r>
      <w:r>
        <w:rPr>
          <w:snapToGrid w:val="0"/>
          <w:sz w:val="24"/>
          <w:rtl/>
        </w:rPr>
        <w:t xml:space="preserve"> הוא ציה כמו שאומר בזוהר שם שהוא מחשך דפרשת בראשית אבל בזהר חדש שם אמר דהוא ארץ, והוא הנכון, שהוא המדרגה האחרונה מז' עניותא והוא נגד לילה, מדרגה השביעית, ומה שאמר בזוהר ציה הוא נגד גבו' כמו שאומר שם:</w:t>
      </w:r>
    </w:p>
  </w:footnote>
  <w:footnote w:id="4552">
    <w:p w:rsidR="00A13282" w:rsidRDefault="00A13282" w:rsidP="00602EF1">
      <w:pPr>
        <w:pStyle w:val="a5"/>
        <w:rPr>
          <w:rtl/>
        </w:rPr>
      </w:pPr>
      <w:r>
        <w:rPr>
          <w:rStyle w:val="a7"/>
          <w:rtl/>
        </w:rPr>
        <w:footnoteRef/>
      </w:r>
      <w:r>
        <w:rPr>
          <w:rtl/>
        </w:rPr>
        <w:t xml:space="preserve"> </w:t>
      </w:r>
      <w:r>
        <w:rPr>
          <w:b/>
          <w:bCs/>
          <w:snapToGrid w:val="0"/>
          <w:sz w:val="24"/>
          <w:rtl/>
        </w:rPr>
        <w:t>לשבעה כו'.</w:t>
      </w:r>
      <w:r>
        <w:rPr>
          <w:snapToGrid w:val="0"/>
          <w:sz w:val="24"/>
          <w:rtl/>
        </w:rPr>
        <w:t xml:space="preserve"> נגד ז' ארעין הנ"ל ומפרש והולך אית מנהון דלית להו כו' ואית מנהון דאית להון נהורא כו' ואית מנהון דלזמנין כו' ואית אחרנין כו' ואית מנהון דלא כו' ואית מנהון דמצליחין כו' ואית ארעין כו' הן שבעה ואף שאמר דאית להון נהורא כל יומיהון מכל מקום הן עניים בד"א כמו שאומר בזוהר פ' פקודי והן נגד ארץ, אתר דנהרא שמשא כו', ויש ארץ אור וחושך כמו בארקא כמו שאומר בפ"ב ט' ב':</w:t>
      </w:r>
    </w:p>
  </w:footnote>
  <w:footnote w:id="4553">
    <w:p w:rsidR="00A13282" w:rsidRDefault="00A13282" w:rsidP="00602EF1">
      <w:pPr>
        <w:pStyle w:val="a5"/>
        <w:rPr>
          <w:rtl/>
        </w:rPr>
      </w:pPr>
      <w:r>
        <w:rPr>
          <w:rStyle w:val="a7"/>
          <w:rtl/>
        </w:rPr>
        <w:footnoteRef/>
      </w:r>
      <w:r>
        <w:rPr>
          <w:rtl/>
        </w:rPr>
        <w:t xml:space="preserve"> </w:t>
      </w:r>
      <w:r>
        <w:rPr>
          <w:b/>
          <w:bCs/>
          <w:snapToGrid w:val="0"/>
          <w:sz w:val="24"/>
          <w:rtl/>
        </w:rPr>
        <w:t>ואית ארעין דאתמר כו' אוף הכי כו'.</w:t>
      </w:r>
      <w:r>
        <w:rPr>
          <w:snapToGrid w:val="0"/>
          <w:sz w:val="24"/>
          <w:rtl/>
        </w:rPr>
        <w:t xml:space="preserve"> והוא ארץ העליונה ונגדו בור כמו שאמרו בהיכלות וכן בזה העולם בבתיהון כמו שמפרש והולך:</w:t>
      </w:r>
    </w:p>
  </w:footnote>
  <w:footnote w:id="4554">
    <w:p w:rsidR="00A13282" w:rsidRDefault="00A13282" w:rsidP="00602EF1">
      <w:pPr>
        <w:pStyle w:val="a5"/>
        <w:rPr>
          <w:rtl/>
        </w:rPr>
      </w:pPr>
      <w:r>
        <w:rPr>
          <w:rStyle w:val="a7"/>
          <w:rtl/>
        </w:rPr>
        <w:footnoteRef/>
      </w:r>
      <w:r>
        <w:rPr>
          <w:rtl/>
        </w:rPr>
        <w:t xml:space="preserve"> </w:t>
      </w:r>
      <w:r>
        <w:rPr>
          <w:b/>
          <w:bCs/>
          <w:snapToGrid w:val="0"/>
          <w:sz w:val="24"/>
          <w:rtl/>
        </w:rPr>
        <w:t>וצווחין באלין כו'.</w:t>
      </w:r>
      <w:r>
        <w:rPr>
          <w:snapToGrid w:val="0"/>
          <w:sz w:val="24"/>
          <w:rtl/>
        </w:rPr>
        <w:t xml:space="preserve"> רוצה לומר שמלאכי חבלה נשכין לון במקום גיהנם:</w:t>
      </w:r>
    </w:p>
  </w:footnote>
  <w:footnote w:id="4555">
    <w:p w:rsidR="00A13282" w:rsidRDefault="00A13282" w:rsidP="00602EF1">
      <w:pPr>
        <w:pStyle w:val="a5"/>
        <w:rPr>
          <w:snapToGrid w:val="0"/>
          <w:sz w:val="24"/>
          <w:rtl/>
        </w:rPr>
      </w:pPr>
      <w:r>
        <w:rPr>
          <w:rStyle w:val="a7"/>
          <w:rtl/>
        </w:rPr>
        <w:footnoteRef/>
      </w:r>
      <w:r>
        <w:rPr>
          <w:rtl/>
        </w:rPr>
        <w:t xml:space="preserve"> </w:t>
      </w:r>
      <w:r>
        <w:rPr>
          <w:b/>
          <w:bCs/>
          <w:snapToGrid w:val="0"/>
          <w:sz w:val="24"/>
          <w:rtl/>
        </w:rPr>
        <w:t>ואית אחרין כו'.</w:t>
      </w:r>
      <w:r>
        <w:rPr>
          <w:snapToGrid w:val="0"/>
          <w:sz w:val="24"/>
          <w:rtl/>
        </w:rPr>
        <w:t xml:space="preserve"> רוצה לומר שאלו אינן כלל מז' ארעין:</w:t>
      </w:r>
    </w:p>
    <w:p w:rsidR="00A13282" w:rsidRDefault="00A13282" w:rsidP="00602EF1">
      <w:pPr>
        <w:pStyle w:val="a5"/>
        <w:rPr>
          <w:rtl/>
        </w:rPr>
      </w:pPr>
    </w:p>
  </w:footnote>
  <w:footnote w:id="4556">
    <w:p w:rsidR="00A13282" w:rsidRDefault="00A13282" w:rsidP="00602EF1">
      <w:pPr>
        <w:pStyle w:val="a5"/>
        <w:rPr>
          <w:rtl/>
        </w:rPr>
      </w:pPr>
      <w:r>
        <w:rPr>
          <w:rStyle w:val="a7"/>
          <w:rtl/>
        </w:rPr>
        <w:footnoteRef/>
      </w:r>
      <w:r>
        <w:rPr>
          <w:rtl/>
        </w:rPr>
        <w:t xml:space="preserve"> </w:t>
      </w:r>
      <w:r>
        <w:rPr>
          <w:b/>
          <w:bCs/>
          <w:snapToGrid w:val="0"/>
          <w:sz w:val="24"/>
          <w:rtl/>
        </w:rPr>
        <w:t>תיקון ס"ה בראשית כו' ורזא דמלא ויקרא כו'.</w:t>
      </w:r>
      <w:r>
        <w:rPr>
          <w:snapToGrid w:val="0"/>
          <w:sz w:val="24"/>
          <w:rtl/>
        </w:rPr>
        <w:t xml:space="preserve"> והוא אם דאלקים, אם כל חי, ואדם הוא אב, שהן מדרגת או"א כידוע וזה שאומר כגוונא דההיא דאתמר כו', ואם כל חי דהיא מלכא דשלמה דיליה, אם לכל, שנקרא כל, וכן נקראת חי, ומינה נפקין כל חי והיא נשמת כל חי, ורומז במלת בראשית פסוק ויקרא האדם שם אשתו כו', שהוא או"א כנ"ל ועיין מה שכתבתי לקמן למטה בזה ולקמן מפרש והולך פסוק ויעש ה' אלקים כו' דלאדם ואשתו שהן איש ואשה דרגא דאו"א בלבושים מה שאין כן ב' שפחות וידעו כי עירומים הם כמו שאומר למטה, וזה שאומר הפסוק ויעש נרמז כאן שלאו"א עשה כתנות אור להלבישם ועיין מה שכתבתי שם. ואמר</w:t>
      </w:r>
    </w:p>
  </w:footnote>
  <w:footnote w:id="4557">
    <w:p w:rsidR="00A13282" w:rsidRDefault="00A13282" w:rsidP="00602EF1">
      <w:pPr>
        <w:pStyle w:val="a5"/>
        <w:rPr>
          <w:rtl/>
        </w:rPr>
      </w:pPr>
      <w:r>
        <w:rPr>
          <w:rStyle w:val="a7"/>
          <w:rtl/>
        </w:rPr>
        <w:footnoteRef/>
      </w:r>
      <w:r>
        <w:rPr>
          <w:rtl/>
        </w:rPr>
        <w:t xml:space="preserve"> </w:t>
      </w:r>
      <w:r>
        <w:rPr>
          <w:b/>
          <w:bCs/>
          <w:snapToGrid w:val="0"/>
          <w:sz w:val="24"/>
          <w:rtl/>
        </w:rPr>
        <w:t>דאינון י"ה.</w:t>
      </w:r>
      <w:r>
        <w:rPr>
          <w:snapToGrid w:val="0"/>
          <w:sz w:val="24"/>
          <w:rtl/>
        </w:rPr>
        <w:t xml:space="preserve"> רוצה לומר שהן ב' דרגין עליונים דנשמתא, י"ה, דאין שטן נוגע שם ואינון חיים וכמו שאומר למטה ולקמן תיקון ס”ו ק' א' עיין שם:</w:t>
      </w:r>
    </w:p>
  </w:footnote>
  <w:footnote w:id="4558">
    <w:p w:rsidR="00A13282" w:rsidRDefault="00A13282" w:rsidP="00602EF1">
      <w:pPr>
        <w:pStyle w:val="a5"/>
        <w:rPr>
          <w:rtl/>
        </w:rPr>
      </w:pPr>
      <w:r>
        <w:rPr>
          <w:rStyle w:val="a7"/>
          <w:rtl/>
        </w:rPr>
        <w:footnoteRef/>
      </w:r>
      <w:r>
        <w:rPr>
          <w:rtl/>
        </w:rPr>
        <w:t xml:space="preserve"> </w:t>
      </w:r>
      <w:r>
        <w:rPr>
          <w:b/>
          <w:bCs/>
          <w:snapToGrid w:val="0"/>
          <w:sz w:val="24"/>
          <w:rtl/>
        </w:rPr>
        <w:t>לאו איהו כאתתא כו'.</w:t>
      </w:r>
      <w:r>
        <w:rPr>
          <w:snapToGrid w:val="0"/>
          <w:sz w:val="24"/>
          <w:rtl/>
        </w:rPr>
        <w:t xml:space="preserve"> רוצה לומר, דהראשונה היא גרמת מיתה, והיא - חיים:</w:t>
      </w:r>
    </w:p>
  </w:footnote>
  <w:footnote w:id="4559">
    <w:p w:rsidR="00A13282" w:rsidRDefault="00A13282" w:rsidP="00602EF1">
      <w:pPr>
        <w:pStyle w:val="a5"/>
        <w:rPr>
          <w:rtl/>
        </w:rPr>
      </w:pPr>
      <w:r>
        <w:rPr>
          <w:rStyle w:val="a7"/>
          <w:rtl/>
        </w:rPr>
        <w:footnoteRef/>
      </w:r>
      <w:r>
        <w:rPr>
          <w:rtl/>
        </w:rPr>
        <w:t xml:space="preserve"> </w:t>
      </w:r>
      <w:r>
        <w:rPr>
          <w:b/>
          <w:bCs/>
          <w:snapToGrid w:val="0"/>
          <w:sz w:val="24"/>
          <w:rtl/>
        </w:rPr>
        <w:t>אם כל חי כתיב בה דאתמר בה ראה כו'.</w:t>
      </w:r>
      <w:r>
        <w:rPr>
          <w:snapToGrid w:val="0"/>
          <w:sz w:val="24"/>
          <w:rtl/>
        </w:rPr>
        <w:t xml:space="preserve"> ורוצה לומר, מב' נשים הראשונות קודם לזו, שאחת מהן טוב ואחת רע, מעץ הדעת טוב ורע כמו שמפרש והולך אמר ראה חיים כו', אם כל חי, עץ החיים, עם האשה הטובה מעץ החיים, דעלה נאמר (משלי יח כב) מצא אשה מצא טוב, והוא אשר אהבת וכמו שמפרש והולך:</w:t>
      </w:r>
    </w:p>
  </w:footnote>
  <w:footnote w:id="4560">
    <w:p w:rsidR="00A13282" w:rsidRDefault="00A13282" w:rsidP="00602EF1">
      <w:pPr>
        <w:pStyle w:val="a5"/>
        <w:rPr>
          <w:rtl/>
        </w:rPr>
      </w:pPr>
      <w:r>
        <w:rPr>
          <w:rStyle w:val="a7"/>
          <w:rtl/>
        </w:rPr>
        <w:footnoteRef/>
      </w:r>
      <w:r>
        <w:rPr>
          <w:rtl/>
        </w:rPr>
        <w:t xml:space="preserve"> </w:t>
      </w:r>
      <w:r>
        <w:rPr>
          <w:b/>
          <w:bCs/>
          <w:snapToGrid w:val="0"/>
          <w:sz w:val="24"/>
          <w:rtl/>
        </w:rPr>
        <w:t>א"ל ר"א וכי תרין נשים הוו לי'.</w:t>
      </w:r>
      <w:r>
        <w:rPr>
          <w:snapToGrid w:val="0"/>
          <w:sz w:val="24"/>
          <w:rtl/>
        </w:rPr>
        <w:t xml:space="preserve"> רוצה לומר קודם לזו:</w:t>
      </w:r>
    </w:p>
  </w:footnote>
  <w:footnote w:id="4561">
    <w:p w:rsidR="00A13282" w:rsidRDefault="00A13282" w:rsidP="00602EF1">
      <w:pPr>
        <w:pStyle w:val="a5"/>
        <w:rPr>
          <w:rtl/>
        </w:rPr>
      </w:pPr>
      <w:r>
        <w:rPr>
          <w:rStyle w:val="a7"/>
          <w:rtl/>
        </w:rPr>
        <w:footnoteRef/>
      </w:r>
      <w:r>
        <w:rPr>
          <w:rtl/>
        </w:rPr>
        <w:t xml:space="preserve"> </w:t>
      </w:r>
      <w:r>
        <w:rPr>
          <w:b/>
          <w:bCs/>
          <w:snapToGrid w:val="0"/>
          <w:sz w:val="24"/>
          <w:rtl/>
        </w:rPr>
        <w:t>א"ל אין חד יצה"ט כו'.</w:t>
      </w:r>
      <w:r>
        <w:rPr>
          <w:snapToGrid w:val="0"/>
          <w:sz w:val="24"/>
          <w:rtl/>
        </w:rPr>
        <w:t xml:space="preserve"> ועיין לקמן מ"ג א' דפתי לחוה דאיהי לבא וגרם לה מותא, והא תרי בתי לבא אינון למאן דפתי מנייהו אלא ההיא דשמאלא דאתמר ביה לב כסיל לשמאלו ועליה אתמר ומוצא אני מר ממות את האשה, לב חכם לימינו דא אשת חיל עטרת בעלה עלה אתמר מצא אשה מצא טוב ואיהי יצר הטוב כו' עיין שם והכל הוא באדם, וכל השית דכליל כאן וכמו שאומר בריש תיקון ס”ו דא אדם דכליל שית, והשית מפרש והולך שהן ד' - באותיות הוי"ה שהן בד' פרצופין, וב' - בשמא מפרש שהוא בכתר, ב' דשם, מופלא ומכוסה והן גלגלתא ומ"ס, שהן שורש לכל דו"נ, חו"ג, והכל בתורה, ותורה מסטרא דו"ה הוא עץ הדעת טוב ורע אבל משם ולמעלה היא מסטרא דעץ החיים, דלמטה יש אחיזה כו', ובנוק' - (משלי ה ה) רגליה יורדות כו' דהוא מסטרא דרע, ומסטרא דו"ה הן יצר הטוב ויצר הרע ועיין בזהר פרשת בראשית כ"ח א' בההוא זמנא זכו כל ישראל כל חד וחד לבת זוגיה ודא איהו דכתיב ונתתי לכם לב בשר ורוח חדשה אתן בקרבכם כו', והכל על הנשמתין והן ה' נשמתין דאדם שהן ששה אלא דב' דלעילא כלילין בחד ונקרא יחידה וכן לקמן דשניהם נקרא אדם והוא המייחד הכל ולכן נקרא יחידה ובהן נאמר כי אחד קראתיו ועיין לעיל תיקון מ”ז ועיין שם בפ' בראשית דקאמר שם ואלין אינון נשמתין חדתין דעתידין למהוי על ישראל כו' עיין שם וזה שאומר ונתתי לכם לב בשר לא גרמא כמו שאומר לקמן ורוח חדשה והן נפש ורוח, דנפש איהו בלב. ואמר</w:t>
      </w:r>
    </w:p>
  </w:footnote>
  <w:footnote w:id="4562">
    <w:p w:rsidR="00A13282" w:rsidRDefault="00A13282" w:rsidP="00602EF1">
      <w:pPr>
        <w:pStyle w:val="a5"/>
        <w:rPr>
          <w:rtl/>
        </w:rPr>
      </w:pPr>
      <w:r>
        <w:rPr>
          <w:rStyle w:val="a7"/>
          <w:rtl/>
        </w:rPr>
        <w:footnoteRef/>
      </w:r>
      <w:r>
        <w:rPr>
          <w:rtl/>
        </w:rPr>
        <w:t xml:space="preserve"> </w:t>
      </w:r>
      <w:r>
        <w:rPr>
          <w:b/>
          <w:bCs/>
          <w:snapToGrid w:val="0"/>
          <w:sz w:val="24"/>
          <w:rtl/>
        </w:rPr>
        <w:t>חדא מסט' דעצם וחדא כו'</w:t>
      </w:r>
      <w:r>
        <w:rPr>
          <w:snapToGrid w:val="0"/>
          <w:sz w:val="24"/>
          <w:rtl/>
        </w:rPr>
        <w:t xml:space="preserve"> כמו שכתוב (בראשית ב כג) עצם מעצמי ובשר מבשרי, ובהן יצר הטוב ויצר הרע אבל בנשמתא לא שלטא יצר הרע דשם עלמא דחירו, עץ החיים, והזר הקרב יומת, וכמו שאומר לעיל בתיקון כ' והיא מסתלקת קודם החטא וכמו שאומר לעיל בתיקון ס”ו בתר דחאב אדם דיצירה, ובתר לאו דוקא כידוע. ואמר</w:t>
      </w:r>
    </w:p>
  </w:footnote>
  <w:footnote w:id="4563">
    <w:p w:rsidR="00A13282" w:rsidRDefault="00A13282" w:rsidP="00602EF1">
      <w:pPr>
        <w:pStyle w:val="a5"/>
        <w:rPr>
          <w:rtl/>
        </w:rPr>
      </w:pPr>
      <w:r>
        <w:rPr>
          <w:rStyle w:val="a7"/>
          <w:rtl/>
        </w:rPr>
        <w:footnoteRef/>
      </w:r>
      <w:r>
        <w:rPr>
          <w:rtl/>
        </w:rPr>
        <w:t xml:space="preserve"> </w:t>
      </w:r>
      <w:r>
        <w:rPr>
          <w:b/>
          <w:bCs/>
          <w:snapToGrid w:val="0"/>
          <w:sz w:val="24"/>
          <w:rtl/>
        </w:rPr>
        <w:t xml:space="preserve">על אתתא דאתנטילת כו' </w:t>
      </w:r>
      <w:r>
        <w:rPr>
          <w:snapToGrid w:val="0"/>
          <w:sz w:val="24"/>
          <w:rtl/>
        </w:rPr>
        <w:t>רוצה לומר, היצר הרע שניתן לאדם, אם טב ואם ביש, צריך לעסוק עמו ולרככו כמו אברהם ודוד. ואמר</w:t>
      </w:r>
    </w:p>
  </w:footnote>
  <w:footnote w:id="4564">
    <w:p w:rsidR="00A13282" w:rsidRDefault="00A13282" w:rsidP="00602EF1">
      <w:pPr>
        <w:pStyle w:val="a5"/>
        <w:rPr>
          <w:rtl/>
        </w:rPr>
      </w:pPr>
      <w:r>
        <w:rPr>
          <w:rStyle w:val="a7"/>
          <w:rtl/>
        </w:rPr>
        <w:footnoteRef/>
      </w:r>
      <w:r>
        <w:rPr>
          <w:rtl/>
        </w:rPr>
        <w:t xml:space="preserve"> </w:t>
      </w:r>
      <w:r>
        <w:rPr>
          <w:b/>
          <w:bCs/>
          <w:snapToGrid w:val="0"/>
          <w:sz w:val="24"/>
          <w:rtl/>
        </w:rPr>
        <w:t xml:space="preserve">ועל אתתי' דגרמא כו' דאחרא שפחה הות. </w:t>
      </w:r>
      <w:r>
        <w:rPr>
          <w:snapToGrid w:val="0"/>
          <w:sz w:val="24"/>
          <w:rtl/>
        </w:rPr>
        <w:t>רוצה לומר לכן לא קרא אשתו, דשפחה אין קדושין תופסין בה ואינה אשה, עם הדומה לחמור (יבמות סב ע"א), ועלה נאמר עני ורוכב על החמור כמו שאומר לעיל בתיקון ס’ ודווקא על אתתא דגרמא, דאתתא דבשרא היא אינה אשה באמת דהיא דכורא אלא דמבינה ולמטה נקרא עלמא דנוק' וכן מבריאה ולמטה - נוקבין כמו שאמרו בפ' משפטים והן עולמות:</w:t>
      </w:r>
    </w:p>
  </w:footnote>
  <w:footnote w:id="4565">
    <w:p w:rsidR="00A13282" w:rsidRDefault="00A13282" w:rsidP="00602EF1">
      <w:pPr>
        <w:pStyle w:val="a5"/>
        <w:rPr>
          <w:rtl/>
        </w:rPr>
      </w:pPr>
      <w:r>
        <w:rPr>
          <w:rStyle w:val="a7"/>
          <w:rtl/>
        </w:rPr>
        <w:footnoteRef/>
      </w:r>
      <w:r>
        <w:rPr>
          <w:rtl/>
        </w:rPr>
        <w:t xml:space="preserve"> </w:t>
      </w:r>
      <w:r>
        <w:rPr>
          <w:b/>
          <w:bCs/>
          <w:snapToGrid w:val="0"/>
          <w:sz w:val="24"/>
          <w:rtl/>
        </w:rPr>
        <w:t>חו"ה ח' ו' ה' כו'.</w:t>
      </w:r>
      <w:r>
        <w:rPr>
          <w:snapToGrid w:val="0"/>
          <w:sz w:val="24"/>
          <w:rtl/>
        </w:rPr>
        <w:t xml:space="preserve"> מפרש והולך דחוה קאי על נשמת חיים מבינה דכוללת גם של זו"נ, ב' הנ"ל, והיא אתייהיבת בינייהו וכמו שאומר לעיל תיקון ס”ו הה"ד וייצר כו' ואתמר בהון ויפח באפיו כו' ואמר דח' רומז לחכמה דהוא כ"ח מ"ה שהן חו"ב כמו שאומר לעיל ל"ט א' ולקמן ק"ג א' ושאר מקומות, ו"ה הן זו"נ והן כלל השם, וזה שאומר</w:t>
      </w:r>
    </w:p>
  </w:footnote>
  <w:footnote w:id="4566">
    <w:p w:rsidR="00A13282" w:rsidRDefault="00A13282" w:rsidP="00602EF1">
      <w:pPr>
        <w:pStyle w:val="a5"/>
        <w:rPr>
          <w:rtl/>
        </w:rPr>
      </w:pPr>
      <w:r>
        <w:rPr>
          <w:rStyle w:val="a7"/>
          <w:rtl/>
        </w:rPr>
        <w:footnoteRef/>
      </w:r>
      <w:r>
        <w:rPr>
          <w:rtl/>
        </w:rPr>
        <w:t xml:space="preserve"> </w:t>
      </w:r>
      <w:r>
        <w:rPr>
          <w:b/>
          <w:bCs/>
          <w:snapToGrid w:val="0"/>
          <w:sz w:val="24"/>
          <w:rtl/>
        </w:rPr>
        <w:t>כללא דשמא קדישא</w:t>
      </w:r>
      <w:r>
        <w:rPr>
          <w:snapToGrid w:val="0"/>
          <w:sz w:val="24"/>
          <w:rtl/>
        </w:rPr>
        <w:t xml:space="preserve"> דאף דחוה אינה אלא מבינה מכל מקום כלילא גם כן בחכמה כידוע וכמו שאומר לעיל ואינון או"א חו"ב דמתמן אתנטילת, וחוזר ומפרש החי"ת בענין אחר דהיא בבינה:</w:t>
      </w:r>
    </w:p>
  </w:footnote>
  <w:footnote w:id="4567">
    <w:p w:rsidR="00A13282" w:rsidRDefault="00A13282" w:rsidP="00602EF1">
      <w:pPr>
        <w:pStyle w:val="a5"/>
        <w:rPr>
          <w:rtl/>
        </w:rPr>
      </w:pPr>
      <w:r>
        <w:rPr>
          <w:rStyle w:val="a7"/>
          <w:rtl/>
        </w:rPr>
        <w:footnoteRef/>
      </w:r>
      <w:r>
        <w:rPr>
          <w:rtl/>
        </w:rPr>
        <w:t xml:space="preserve"> </w:t>
      </w:r>
      <w:r>
        <w:rPr>
          <w:b/>
          <w:bCs/>
          <w:snapToGrid w:val="0"/>
          <w:sz w:val="24"/>
          <w:rtl/>
        </w:rPr>
        <w:t>ח' איהי כגוונא דאימא כו' וא' ועלה אתמר עץ חיים כו'.</w:t>
      </w:r>
      <w:r>
        <w:rPr>
          <w:snapToGrid w:val="0"/>
          <w:sz w:val="24"/>
          <w:rtl/>
        </w:rPr>
        <w:t xml:space="preserve"> עיין לעיל ס"ו ב' מנא לן דאתקרי חיים כו', ועיין מה שכתבתי שם ולעיל כ"ב א' אימא עילאה עץ חיים כו', ואמרו ומסטרא דילה ויפח באפיו כו', דהוא הנשמה, והיא נשמת חיים מעץ החיים:</w:t>
      </w:r>
    </w:p>
  </w:footnote>
  <w:footnote w:id="4568">
    <w:p w:rsidR="00A13282" w:rsidRDefault="00A13282" w:rsidP="00602EF1">
      <w:pPr>
        <w:pStyle w:val="a5"/>
        <w:rPr>
          <w:rtl/>
        </w:rPr>
      </w:pPr>
      <w:r>
        <w:rPr>
          <w:rStyle w:val="a7"/>
          <w:rtl/>
        </w:rPr>
        <w:footnoteRef/>
      </w:r>
      <w:r>
        <w:rPr>
          <w:rtl/>
        </w:rPr>
        <w:t xml:space="preserve"> </w:t>
      </w:r>
      <w:r>
        <w:rPr>
          <w:b/>
          <w:bCs/>
          <w:snapToGrid w:val="0"/>
          <w:sz w:val="24"/>
          <w:rtl/>
        </w:rPr>
        <w:t>ועלה אתמר לזאת כו'.</w:t>
      </w:r>
      <w:r>
        <w:rPr>
          <w:snapToGrid w:val="0"/>
          <w:sz w:val="24"/>
          <w:rtl/>
        </w:rPr>
        <w:t xml:space="preserve"> רוצה לומר עצם מעצמי ובשר מבשרי הן ב' השפחות, לזאת יקרא אשה כי מאיש לקחה זאת הן איש ואשה, ד' דשם הוי"ה, על כן יעזב ודבק באשתו והיו לבשר אחד הן דאדם, ששם הן אחד, ומשם הוא היחודא וכנ"ל, וזאת הפעם אמר על כל הששה שהן סטרא דנוק', וכן אמר לזאת כו' לקחה זאת, והן כולם רמיזין בבראשית, בראשית - ראשי תיבות וסופי תיבות בת, והוא בת זוגיה דהוא מסטרא דכתר וכמו שאומר למטה, וגם דכורא נרמז בו, באותיות ראש דביה, וכמו שאומר לעיל בתיקון ל”ט עיין שם. ברא אלקים - אב ואם כנ"ל. את השמים ואת הארץ - ב' שפחות מסטרא דזו"נ וכמו שאומר לעיל ריש תיקון ס”א עיין שם וב' שפחות הן בעלמין יצירה ועשיה שהוא עבד ושפחה כמו שאומר בריש משפטים, ואיש ואשה הוא בבריאה ששם מקנן בינה בתלת ספירן, ובת זוגיה היא בת יחידה, בת מלך פנימה, ועיין לעיל ריש תיקון נ”ח ועיין בריש תיקון ס”ו בתר דחב אדם דיצירה כו', והן התרי שפחות, ועיין לעיל תיקון ס”ז בהגהה אעשה לו עזר כנגדו כו' דאיהי עבד ושפחה כלילא מטוב ורע בגין למהוי ליה כו' ועיין לעיל צ"ד א' עזר כנגדו כו' עיין שם. ואמר</w:t>
      </w:r>
    </w:p>
  </w:footnote>
  <w:footnote w:id="4569">
    <w:p w:rsidR="00A13282" w:rsidRDefault="00A13282" w:rsidP="00602EF1">
      <w:pPr>
        <w:pStyle w:val="a5"/>
        <w:rPr>
          <w:rtl/>
        </w:rPr>
      </w:pPr>
      <w:r>
        <w:rPr>
          <w:rStyle w:val="a7"/>
          <w:rtl/>
        </w:rPr>
        <w:footnoteRef/>
      </w:r>
      <w:r>
        <w:rPr>
          <w:rtl/>
        </w:rPr>
        <w:t xml:space="preserve"> </w:t>
      </w:r>
      <w:r>
        <w:rPr>
          <w:b/>
          <w:bCs/>
          <w:snapToGrid w:val="0"/>
          <w:sz w:val="24"/>
          <w:rtl/>
        </w:rPr>
        <w:t>דהא שפחה גרמת וידעו כו' ובג"ד ויעש כו'</w:t>
      </w:r>
      <w:r>
        <w:rPr>
          <w:snapToGrid w:val="0"/>
          <w:sz w:val="24"/>
          <w:rtl/>
        </w:rPr>
        <w:t xml:space="preserve"> רוצה לומר דווקא לאדם ולאשתו עשה כתנות אור אבל עבד ושפחה נשארו ערומים וכמו שאומר בזוהר בכמה מקומות נשמתין ערטילאין, והן אותן שלא זכו אל הנשמה ואין להם לבושא ועיין בזהר פרשת בראשית קמ"ב ב' וירח את ריח בגדיו כו' עיין שם בדבריו. ואלו הבגדים אתעבידו בשם מלא:</w:t>
      </w:r>
    </w:p>
  </w:footnote>
  <w:footnote w:id="4570">
    <w:p w:rsidR="00A13282" w:rsidRDefault="00A13282" w:rsidP="00602EF1">
      <w:pPr>
        <w:pStyle w:val="a5"/>
        <w:rPr>
          <w:rtl/>
        </w:rPr>
      </w:pPr>
      <w:r>
        <w:rPr>
          <w:rStyle w:val="a7"/>
          <w:rtl/>
        </w:rPr>
        <w:footnoteRef/>
      </w:r>
      <w:r>
        <w:rPr>
          <w:rtl/>
        </w:rPr>
        <w:t xml:space="preserve"> </w:t>
      </w:r>
      <w:r>
        <w:rPr>
          <w:b/>
          <w:bCs/>
          <w:snapToGrid w:val="0"/>
          <w:sz w:val="24"/>
          <w:rtl/>
        </w:rPr>
        <w:t>דמתמן אתנטילת.</w:t>
      </w:r>
      <w:r>
        <w:rPr>
          <w:snapToGrid w:val="0"/>
          <w:sz w:val="24"/>
          <w:rtl/>
        </w:rPr>
        <w:t xml:space="preserve"> דכלילא בחו"ב, וכן האיש דלכן כתיב ביה מאיש וכנ"ל. ואמר</w:t>
      </w:r>
    </w:p>
  </w:footnote>
  <w:footnote w:id="4571">
    <w:p w:rsidR="00A13282" w:rsidRDefault="00A13282" w:rsidP="00602EF1">
      <w:pPr>
        <w:pStyle w:val="a5"/>
        <w:rPr>
          <w:rtl/>
        </w:rPr>
      </w:pPr>
      <w:r>
        <w:rPr>
          <w:rStyle w:val="a7"/>
          <w:rtl/>
        </w:rPr>
        <w:footnoteRef/>
      </w:r>
      <w:r>
        <w:rPr>
          <w:rtl/>
        </w:rPr>
        <w:t xml:space="preserve"> </w:t>
      </w:r>
      <w:r>
        <w:rPr>
          <w:b/>
          <w:bCs/>
          <w:snapToGrid w:val="0"/>
          <w:sz w:val="24"/>
          <w:rtl/>
        </w:rPr>
        <w:t>ובכל מה כו'.</w:t>
      </w:r>
      <w:r>
        <w:rPr>
          <w:rtl/>
        </w:rPr>
        <w:t xml:space="preserve"> רומז למה שאומר בזוהר דשית בני אדם הוו בדיוקנא, וכולן לקו. וענין שית בני אדם הן שית דכלילין ביה, והן נמי מסטרא דא הוו:</w:t>
      </w:r>
    </w:p>
    <w:p w:rsidR="00A13282" w:rsidRDefault="00A13282" w:rsidP="00602EF1">
      <w:pPr>
        <w:pStyle w:val="a5"/>
        <w:rPr>
          <w:rtl/>
        </w:rPr>
      </w:pPr>
    </w:p>
  </w:footnote>
  <w:footnote w:id="4572">
    <w:p w:rsidR="00A13282" w:rsidRDefault="00A13282" w:rsidP="00602EF1">
      <w:pPr>
        <w:pStyle w:val="a5"/>
        <w:rPr>
          <w:rtl/>
        </w:rPr>
      </w:pPr>
      <w:r>
        <w:rPr>
          <w:rStyle w:val="a7"/>
          <w:rtl/>
        </w:rPr>
        <w:footnoteRef/>
      </w:r>
      <w:r>
        <w:rPr>
          <w:rtl/>
        </w:rPr>
        <w:t xml:space="preserve"> </w:t>
      </w:r>
      <w:r>
        <w:rPr>
          <w:b/>
          <w:bCs/>
          <w:snapToGrid w:val="0"/>
          <w:sz w:val="24"/>
          <w:rtl/>
        </w:rPr>
        <w:t>תיקון ס"ו בראשית ברא כו'.</w:t>
      </w:r>
      <w:r>
        <w:rPr>
          <w:snapToGrid w:val="0"/>
          <w:sz w:val="24"/>
          <w:rtl/>
        </w:rPr>
        <w:t xml:space="preserve"> כנ"ל, מסטרא דהוי"ה ד' בג' עלמין דהן כלילין ד', די"ה לא מתפרשין וכמו שכתבתי בליקוטים בארוכה עיין שם, וב' מסטרא דאדם שהן אחד וכמו שאומר לעיל פ"ו כי אחד קראתיו, ומפרש והולך כאן קרא </w:t>
      </w:r>
      <w:r>
        <w:rPr>
          <w:b/>
          <w:bCs/>
          <w:snapToGrid w:val="0"/>
          <w:sz w:val="24"/>
          <w:rtl/>
        </w:rPr>
        <w:t>הן האדם כו' כאחד ממלאכי השרת.</w:t>
      </w:r>
      <w:r>
        <w:rPr>
          <w:snapToGrid w:val="0"/>
          <w:sz w:val="24"/>
          <w:rtl/>
        </w:rPr>
        <w:t xml:space="preserve"> דהן כלילין בהויה פשוטה ומלואה עשר ספירות דמלאכין בעשר גלגלין דכורסיא הוא שם מלא, ומסטרא דד' חיון, ד' רגלין, הוא הוי"ה פשוטה, וכמו שאומר לעיל בתיקון כ”ח ושאר מקומות הרבה, ורוצה לומר, היה כאחד - שהיה לכתחילה כאחד כו', וכמו שאומר למטה במימרא דאליהו אלא שאליהו פירש כאחד כו' כמו שמפרש והולך:</w:t>
      </w:r>
    </w:p>
  </w:footnote>
  <w:footnote w:id="4573">
    <w:p w:rsidR="00A13282" w:rsidRDefault="00A13282" w:rsidP="00602EF1">
      <w:pPr>
        <w:pStyle w:val="a5"/>
        <w:rPr>
          <w:rtl/>
        </w:rPr>
      </w:pPr>
      <w:r>
        <w:rPr>
          <w:rStyle w:val="a7"/>
          <w:rtl/>
        </w:rPr>
        <w:footnoteRef/>
      </w:r>
      <w:r>
        <w:rPr>
          <w:rtl/>
        </w:rPr>
        <w:t xml:space="preserve"> </w:t>
      </w:r>
      <w:r>
        <w:rPr>
          <w:b/>
          <w:bCs/>
          <w:snapToGrid w:val="0"/>
          <w:sz w:val="24"/>
          <w:rtl/>
        </w:rPr>
        <w:t>מאי האדם בתוס' ה"א כו' ובגין דלא אתחזרת לגביה הה"ד ולקח גם מעץ החיים ואכל וחי לעולם כתיב ביה וישלחהו כו'.</w:t>
      </w:r>
      <w:r>
        <w:rPr>
          <w:snapToGrid w:val="0"/>
          <w:sz w:val="24"/>
          <w:rtl/>
        </w:rPr>
        <w:t xml:space="preserve"> הענין, כי בתחילה היה בו הויה שלימה כנ"ל, ואח"כ נשתייר ה' תתאה ביה לבד, א"י כ"ה, כמו שאומר לעיל תיקון ס”ב, וה' דהאדם קאי על ה' עילאה שהיא עץ החיים כמו שאומר לעיל בתיקון ס”ה ולמטה, ובתחילה עאל ה' עילאה בין התרין שפחות דטוב ורע וכמו שאומר בזוהר חד עייל בין תרין רוצה לומר דנשמתא עאל בין רוחא ונפשא, דהוא המיחד, ועיין מה שאומר במתני' דטעמים דנשמתא עאלת באדם לאנהגא, והוא סוכלתנו האיך למיטל ולאנהגא וכמו שאומר בזהר חדש שה"ש עיין שם, וזה שאומר לדעת טוב ורע למנדע מה דהוו גרמין למעבד, דנשמתא עאלת כדי להודיעו מה שיגרום אם יאכל עץ הדעת טוב ורע, וזה שאומר ובגין דא עאלת בינייהו, ומכל מקום לא נזהר ולא שמע לעצת נשמתיה, ופירוש דקרא הוא כך, הן האדם - ה' דהאדם שהוא ה' עלאה, היה - ביה, כאחד ממנו שהוא ה' תתאה שעתה היא אחד מיהו"ה שהיה בו והיא נשארת עתה יחידה, והן היה בו אף ה' עילאה, ועתה חוששני שמא יחזור הוא לכל הוי"ה, והוא אינו כדאי לזה כמו שאומר למטה דלא הוה כדאי למהוי כו' כיון כו', וזה שאומר ועתה פן ישלח ידו שהוא יה"ו שהיה בו ויחזור בו עתה. ואמר ידו דא יו"ד דהוא אותיות יו"ד, ושליטא על העץ החיים בינה הוא חכמה, כבעל לאשה, וזה שאומר ידו דהוא יו"ד. ואמר מעץ החיים דא ה"א, רוצה לומר ה' עילאה וכמו שאומר לעיל תיקון ס”ה ושאר מקומות. ואמר וחי לעולם דא ו', ח"י ודאי, שהוא ידוע דהוא אות החיים כמו שאומר בסוף פ' במדבר קכ"א א' בגין כן לא אית ביה וא"ו דוא"ו כו', ובפ' ויחי רמ"א א' ר' אבא הוה יתיב כו' דא אות ו' בגין דביה שריין חיין כו' ובזהר חדש רות ושאר מקומות הרבה, ואמר כד ה"א הות ביה רוצה לומר ה"א עילאה עץ החיים עאלת בין טוב כו', רוצה לומר זה שכתוב כאחד ממנו לדעת טוב ורע רוצה לומר שה"א עילאה היתה בו כדי לדעת טוב ורע, להזהירו שלא יחטא, ועתה שחטא ואבד הכל ואינו כדאי שיחזרו לו, ופן ישלח ידו כו' ויחזרון לגביה. וזה שאומר בתר דחאב כו' ובגין דלא אתחזרת לגביה. רוצה לומר שלא יחזרו לגביה באכילת עץ החיים לכך שלחוהו מגן עדן וזה שאומר הה"ד ולקח גם כו' והוא לראיה שהשם יתברך ירא מזה ואמר כתיב ביה רוצה לומר לכן וישלחהו כו' ופירש הטעם למה לא רצה השם יתברך שיאכל מעץ החיים לכן אמר דלא הוי כדאי כו' כיון דלא נטיר כו' דאם לא עבר באמת ולקח כו' וזה שאומר דאם הוה נטיר כו':</w:t>
      </w:r>
    </w:p>
  </w:footnote>
  <w:footnote w:id="4574">
    <w:p w:rsidR="00A13282" w:rsidRDefault="00A13282" w:rsidP="00602EF1">
      <w:pPr>
        <w:pStyle w:val="a5"/>
        <w:rPr>
          <w:rtl/>
        </w:rPr>
      </w:pPr>
      <w:r>
        <w:rPr>
          <w:rStyle w:val="a7"/>
          <w:rtl/>
        </w:rPr>
        <w:footnoteRef/>
      </w:r>
      <w:r>
        <w:rPr>
          <w:rtl/>
        </w:rPr>
        <w:t xml:space="preserve"> </w:t>
      </w:r>
      <w:r>
        <w:rPr>
          <w:b/>
          <w:bCs/>
          <w:snapToGrid w:val="0"/>
          <w:sz w:val="24"/>
          <w:rtl/>
        </w:rPr>
        <w:t>דאתמר בה תורת כו' עץ חיים כו'.</w:t>
      </w:r>
      <w:r>
        <w:rPr>
          <w:snapToGrid w:val="0"/>
          <w:sz w:val="24"/>
          <w:rtl/>
        </w:rPr>
        <w:t xml:space="preserve"> רוצה לומר, אדם דיצירה שכולל ב' שפחות, ו"ה, ואם אכל מעץ החיים היה זוכה לי"ה גם כן שהוא תורת חכם ועץ חיים היא היא דייקא וכמו שאומר לעיל ס"ו ב' וכנ"ל והוא לסור ממוקשי מות דעץ הדעת. ואמר</w:t>
      </w:r>
    </w:p>
  </w:footnote>
  <w:footnote w:id="4575">
    <w:p w:rsidR="00A13282" w:rsidRDefault="00A13282" w:rsidP="00602EF1">
      <w:pPr>
        <w:pStyle w:val="a5"/>
        <w:rPr>
          <w:rtl/>
        </w:rPr>
      </w:pPr>
      <w:r>
        <w:rPr>
          <w:rStyle w:val="a7"/>
          <w:rtl/>
        </w:rPr>
        <w:footnoteRef/>
      </w:r>
      <w:r>
        <w:rPr>
          <w:rtl/>
        </w:rPr>
        <w:t xml:space="preserve"> </w:t>
      </w:r>
      <w:r>
        <w:rPr>
          <w:b/>
          <w:bCs/>
          <w:snapToGrid w:val="0"/>
          <w:sz w:val="24"/>
          <w:rtl/>
        </w:rPr>
        <w:t>ודא ולקח גם כו'.</w:t>
      </w:r>
      <w:r>
        <w:rPr>
          <w:snapToGrid w:val="0"/>
          <w:sz w:val="24"/>
          <w:rtl/>
        </w:rPr>
        <w:t xml:space="preserve"> רוצה לומר שהוא בינה, עץ חיים, וחי לעולם הוא חכמה שנקרא חיה, מקור חיים, שבינה עץ מהחיים של חכמה אבל החכמה היא החיים:</w:t>
      </w:r>
    </w:p>
  </w:footnote>
  <w:footnote w:id="4576">
    <w:p w:rsidR="00A13282" w:rsidRDefault="00A13282" w:rsidP="00602EF1">
      <w:pPr>
        <w:pStyle w:val="a5"/>
        <w:rPr>
          <w:rtl/>
        </w:rPr>
      </w:pPr>
      <w:r>
        <w:rPr>
          <w:rStyle w:val="a7"/>
          <w:rtl/>
        </w:rPr>
        <w:footnoteRef/>
      </w:r>
      <w:r>
        <w:rPr>
          <w:rtl/>
        </w:rPr>
        <w:t xml:space="preserve"> </w:t>
      </w:r>
      <w:r>
        <w:rPr>
          <w:b/>
          <w:bCs/>
          <w:snapToGrid w:val="0"/>
          <w:sz w:val="24"/>
          <w:rtl/>
        </w:rPr>
        <w:t>ועוד הן כו'.</w:t>
      </w:r>
      <w:r>
        <w:rPr>
          <w:snapToGrid w:val="0"/>
          <w:sz w:val="24"/>
          <w:rtl/>
        </w:rPr>
        <w:t xml:space="preserve"> הן דברי ר' שמעון, ורוצה לומר שמניח את התורה ועוסק בהשבעת השמות והמלאכים ושדים לידע כל אשר בארץ טוב ורע, וזה שאומר אמרו מלאכין קדישין כו' דאם זכה למיכל כו' גם לרבות נוק' איבא כו', ומפרש והולך אמר ר"ש ווי לון לאינון כו' ובפיקודין דילה כו' ורוצה לומר כנ"ל גם לרבות כו' למהוי כאלקים יודע טוב ורע, וההשבעות עצמן הן בעץ הדעת טוב ורע וכמו שאומר למטה ודאי הא כדאי דאילנא דעץ הדעת טוב ורע כו' וכמו שאמרו ז"ל דכל ההשבעות למלאכים הכל בעץ הדעת טוב ורע עתה וכי הם למטה, ועיין מה שאומר למטה, וכל זה שרוצה להיות כאלקים, המלאכים והשדים, לידע עתידות טוב ורע, ולהיות שם זה משותף וכמו שאמרו בזהר חדש ס"פ בארוכה, ועיין לקמן ב' אלין שדים מסטרא דשמאלא ואלין מלאכים מסטרא דימינא, וזו היתה עבודת גלולים של הראשונים, הכל לדעת טוב ורע כמו התרפים וכל פסל ומסכה כמו שאמרו ברעיא מהימנא וכמו שמפרש והולך ועלייהו אתמר כה אמר כו' ודור אנוש כו'. ואמר וחובא דא גרים כו' כמו שאומר לעיל תיקון ס”ד בארוכה וחובא דא גרים דנחתת שכינתא בגלותא דהוו ישראל עבדין מעשה אבותיהם בידיהם ומה שאמר </w:t>
      </w:r>
      <w:r>
        <w:rPr>
          <w:b/>
          <w:bCs/>
          <w:snapToGrid w:val="0"/>
          <w:sz w:val="24"/>
          <w:rtl/>
        </w:rPr>
        <w:t>כה אמר ה' למזבחים כו'</w:t>
      </w:r>
      <w:r>
        <w:rPr>
          <w:snapToGrid w:val="0"/>
          <w:sz w:val="24"/>
          <w:rtl/>
        </w:rPr>
        <w:t xml:space="preserve"> על כרחך ב' פסוקים הוא, דבמלכים ב' כ"ג כתיב המקטרים לבעל ולשמש ולירח ולמזלות ולכל צבא השמים, ובירמיה מ"ד נאמר כה אמר ה' כו' לקטר למלכת השמים כו', ולמזבחים לא נאמר, רק במנשה נאמר שם כ"א ויבן מזבחות לכל צבא השמים כו', ולקמן ב' שאלו, אמר ליה מאי למזבחים כו' אמר ליה כו', והלשון מזבחים מצינו בפסוק רק לגבוה, באיסור מזבחים ומקטרים בבמות, אבל בעבודת גלולים לא נאמר רק באחד ויזבח ויקטר בבמות ועל הגבעות כו', ואשר לא צויתי לא נאמר שם ושם, רק במלכים ב' י"ז נאמר ויכרת ה' אותם ברית כו' ולא תזבחו להם:</w:t>
      </w:r>
    </w:p>
  </w:footnote>
  <w:footnote w:id="4577">
    <w:p w:rsidR="00A13282" w:rsidRDefault="00A13282" w:rsidP="00602EF1">
      <w:pPr>
        <w:pStyle w:val="a5"/>
        <w:rPr>
          <w:rtl/>
        </w:rPr>
      </w:pPr>
      <w:r>
        <w:rPr>
          <w:rStyle w:val="a7"/>
          <w:rtl/>
        </w:rPr>
        <w:footnoteRef/>
      </w:r>
      <w:r>
        <w:rPr>
          <w:rtl/>
        </w:rPr>
        <w:t xml:space="preserve"> </w:t>
      </w:r>
      <w:r>
        <w:rPr>
          <w:b/>
          <w:bCs/>
          <w:snapToGrid w:val="0"/>
          <w:sz w:val="24"/>
          <w:rtl/>
        </w:rPr>
        <w:t>ולא שמעו לקול כו'.</w:t>
      </w:r>
      <w:r>
        <w:rPr>
          <w:snapToGrid w:val="0"/>
          <w:sz w:val="24"/>
          <w:rtl/>
        </w:rPr>
        <w:t xml:space="preserve"> שם (מלכים ב יז יג,יד) ויעד ה' בישראל וביהודה ביד כל נביא כל חוזה כו' ולא שמעו כו':</w:t>
      </w:r>
    </w:p>
  </w:footnote>
  <w:footnote w:id="4578">
    <w:p w:rsidR="00A13282" w:rsidRDefault="00A13282" w:rsidP="00602EF1">
      <w:pPr>
        <w:pStyle w:val="a5"/>
        <w:rPr>
          <w:rtl/>
        </w:rPr>
      </w:pPr>
      <w:r>
        <w:rPr>
          <w:rStyle w:val="a7"/>
          <w:rtl/>
        </w:rPr>
        <w:footnoteRef/>
      </w:r>
      <w:r>
        <w:rPr>
          <w:rtl/>
        </w:rPr>
        <w:t xml:space="preserve"> </w:t>
      </w:r>
      <w:r>
        <w:rPr>
          <w:b/>
          <w:bCs/>
          <w:snapToGrid w:val="0"/>
          <w:sz w:val="24"/>
          <w:rtl/>
        </w:rPr>
        <w:t>א"ל ברי מה את חשיב דהוו נחתין.</w:t>
      </w:r>
      <w:r>
        <w:rPr>
          <w:snapToGrid w:val="0"/>
          <w:sz w:val="24"/>
          <w:rtl/>
        </w:rPr>
        <w:t xml:space="preserve"> רוצה לומר מהו החיילין שאתה חושב דהוו נחתין, ומפרש והולך דלא הוו אלא מעץ הדעת טוב ורע, והוא קליפת נוגה כידוע דביה כל החטאים וכל הפתויים, שם (משלי ה ג,ד) נופת תטופנה - מסטרא דטוב, ואחריתה כו', טוב ורע. ואמר </w:t>
      </w:r>
      <w:r>
        <w:rPr>
          <w:b/>
          <w:bCs/>
          <w:snapToGrid w:val="0"/>
          <w:sz w:val="24"/>
          <w:rtl/>
        </w:rPr>
        <w:t xml:space="preserve">והוו ענפין תליין כו'. </w:t>
      </w:r>
      <w:r>
        <w:rPr>
          <w:snapToGrid w:val="0"/>
          <w:sz w:val="24"/>
          <w:rtl/>
        </w:rPr>
        <w:t>רוצה לומר מה שכתוב (מלכים א כב יט) וכל צבא השמים כו' מימינו ומשמאלו, ואמרו (תנחומא שמות יח) מיימינים כו' וכמו שמפרש והולך אלין ממיתין ואלין מחיין, אלין כו':</w:t>
      </w:r>
    </w:p>
  </w:footnote>
  <w:footnote w:id="4579">
    <w:p w:rsidR="00A13282" w:rsidRDefault="00A13282" w:rsidP="00602EF1">
      <w:pPr>
        <w:pStyle w:val="a5"/>
        <w:rPr>
          <w:rtl/>
        </w:rPr>
      </w:pPr>
      <w:r>
        <w:rPr>
          <w:rStyle w:val="a7"/>
          <w:rtl/>
        </w:rPr>
        <w:footnoteRef/>
      </w:r>
      <w:r>
        <w:rPr>
          <w:rtl/>
        </w:rPr>
        <w:t xml:space="preserve"> </w:t>
      </w:r>
      <w:r>
        <w:rPr>
          <w:b/>
          <w:bCs/>
          <w:snapToGrid w:val="0"/>
          <w:sz w:val="24"/>
          <w:rtl/>
        </w:rPr>
        <w:t>כגון טלה כו'.</w:t>
      </w:r>
      <w:r>
        <w:rPr>
          <w:snapToGrid w:val="0"/>
          <w:sz w:val="24"/>
          <w:rtl/>
        </w:rPr>
        <w:t xml:space="preserve"> וחסר כאן קשת וצריך להגיה גם קשת:</w:t>
      </w:r>
    </w:p>
  </w:footnote>
  <w:footnote w:id="4580">
    <w:p w:rsidR="00A13282" w:rsidRDefault="00A13282" w:rsidP="00602EF1">
      <w:pPr>
        <w:pStyle w:val="a5"/>
        <w:rPr>
          <w:rtl/>
        </w:rPr>
      </w:pPr>
      <w:r>
        <w:rPr>
          <w:rStyle w:val="a7"/>
          <w:rtl/>
        </w:rPr>
        <w:footnoteRef/>
      </w:r>
      <w:r>
        <w:rPr>
          <w:rtl/>
        </w:rPr>
        <w:t xml:space="preserve"> </w:t>
      </w:r>
      <w:r>
        <w:rPr>
          <w:b/>
          <w:bCs/>
          <w:snapToGrid w:val="0"/>
          <w:sz w:val="24"/>
          <w:rtl/>
        </w:rPr>
        <w:t>ושבעה כוכבי כו'.</w:t>
      </w:r>
      <w:r>
        <w:rPr>
          <w:snapToGrid w:val="0"/>
          <w:sz w:val="24"/>
          <w:rtl/>
        </w:rPr>
        <w:t xml:space="preserve"> רוצה לומר, שאר משבעה כוכבי כו', ואף שאמר בתיקון כ”ח דחמה ולבנה חוץ ז' כוכבים מכל מקום כאן אין צריך לזה:</w:t>
      </w:r>
    </w:p>
  </w:footnote>
  <w:footnote w:id="4581">
    <w:p w:rsidR="00A13282" w:rsidRDefault="00A13282" w:rsidP="00602EF1">
      <w:pPr>
        <w:pStyle w:val="a5"/>
        <w:rPr>
          <w:rtl/>
        </w:rPr>
      </w:pPr>
      <w:r>
        <w:rPr>
          <w:rStyle w:val="a7"/>
          <w:rtl/>
        </w:rPr>
        <w:footnoteRef/>
      </w:r>
      <w:r>
        <w:rPr>
          <w:rtl/>
        </w:rPr>
        <w:t xml:space="preserve"> </w:t>
      </w:r>
      <w:r>
        <w:rPr>
          <w:b/>
          <w:bCs/>
          <w:snapToGrid w:val="0"/>
          <w:sz w:val="24"/>
          <w:rtl/>
        </w:rPr>
        <w:t>ודא איהו והוצאתי את בלעו מפיו.</w:t>
      </w:r>
      <w:r>
        <w:rPr>
          <w:snapToGrid w:val="0"/>
          <w:sz w:val="24"/>
          <w:rtl/>
        </w:rPr>
        <w:t xml:space="preserve"> עיין סוף פ' תרומה בארוכה:</w:t>
      </w:r>
    </w:p>
  </w:footnote>
  <w:footnote w:id="4582">
    <w:p w:rsidR="00A13282" w:rsidRDefault="00A13282" w:rsidP="00602EF1">
      <w:pPr>
        <w:pStyle w:val="a5"/>
        <w:rPr>
          <w:rtl/>
        </w:rPr>
      </w:pPr>
      <w:r>
        <w:rPr>
          <w:rStyle w:val="a7"/>
          <w:rtl/>
        </w:rPr>
        <w:footnoteRef/>
      </w:r>
      <w:r>
        <w:rPr>
          <w:rtl/>
        </w:rPr>
        <w:t xml:space="preserve"> </w:t>
      </w:r>
      <w:r>
        <w:rPr>
          <w:b/>
          <w:bCs/>
          <w:snapToGrid w:val="0"/>
          <w:sz w:val="24"/>
          <w:rtl/>
        </w:rPr>
        <w:t>על האי אתמר לא תשא כו'.</w:t>
      </w:r>
      <w:r>
        <w:rPr>
          <w:snapToGrid w:val="0"/>
          <w:sz w:val="24"/>
          <w:rtl/>
        </w:rPr>
        <w:t xml:space="preserve"> והוא ניצוצין דקדושה והוא גלות השכינה:</w:t>
      </w:r>
    </w:p>
  </w:footnote>
  <w:footnote w:id="4583">
    <w:p w:rsidR="00A13282" w:rsidRDefault="00A13282" w:rsidP="00602EF1">
      <w:pPr>
        <w:pStyle w:val="a5"/>
        <w:rPr>
          <w:rtl/>
        </w:rPr>
      </w:pPr>
      <w:r>
        <w:rPr>
          <w:rStyle w:val="a7"/>
          <w:rtl/>
        </w:rPr>
        <w:footnoteRef/>
      </w:r>
      <w:r>
        <w:rPr>
          <w:rtl/>
        </w:rPr>
        <w:t xml:space="preserve"> </w:t>
      </w:r>
      <w:r>
        <w:rPr>
          <w:b/>
          <w:bCs/>
          <w:snapToGrid w:val="0"/>
          <w:sz w:val="24"/>
          <w:rtl/>
        </w:rPr>
        <w:t>ואעיל ברשו נוכראה כו'.</w:t>
      </w:r>
      <w:r>
        <w:rPr>
          <w:snapToGrid w:val="0"/>
          <w:sz w:val="24"/>
          <w:rtl/>
        </w:rPr>
        <w:t xml:space="preserve"> כמו שכתוב (מלאכי ב יא) ובעל בת אל נכר:</w:t>
      </w:r>
    </w:p>
  </w:footnote>
  <w:footnote w:id="4584">
    <w:p w:rsidR="00A13282" w:rsidRDefault="00A13282" w:rsidP="00602EF1">
      <w:pPr>
        <w:pStyle w:val="a5"/>
        <w:rPr>
          <w:rtl/>
        </w:rPr>
      </w:pPr>
      <w:r>
        <w:rPr>
          <w:rStyle w:val="a7"/>
          <w:rtl/>
        </w:rPr>
        <w:footnoteRef/>
      </w:r>
      <w:r>
        <w:rPr>
          <w:rtl/>
        </w:rPr>
        <w:t xml:space="preserve"> </w:t>
      </w:r>
      <w:r>
        <w:rPr>
          <w:b/>
          <w:bCs/>
          <w:snapToGrid w:val="0"/>
          <w:sz w:val="24"/>
          <w:rtl/>
        </w:rPr>
        <w:t>דנטע בזונה כו'.</w:t>
      </w:r>
      <w:r>
        <w:rPr>
          <w:snapToGrid w:val="0"/>
          <w:sz w:val="24"/>
          <w:rtl/>
        </w:rPr>
        <w:t xml:space="preserve"> חשיב (סנהדרין פב ע"א) נשג"ז דפוגם בנהי"ם כמו שאמרו בזוהר ועושה רגלין כו', ועונו גדול מאד:</w:t>
      </w:r>
    </w:p>
  </w:footnote>
  <w:footnote w:id="4585">
    <w:p w:rsidR="00A13282" w:rsidRDefault="00A13282" w:rsidP="00602EF1">
      <w:pPr>
        <w:pStyle w:val="a5"/>
        <w:rPr>
          <w:rtl/>
        </w:rPr>
      </w:pPr>
      <w:r>
        <w:rPr>
          <w:rStyle w:val="a7"/>
          <w:rtl/>
        </w:rPr>
        <w:footnoteRef/>
      </w:r>
      <w:r>
        <w:rPr>
          <w:rtl/>
        </w:rPr>
        <w:t xml:space="preserve"> </w:t>
      </w:r>
      <w:r>
        <w:rPr>
          <w:b/>
          <w:bCs/>
          <w:snapToGrid w:val="0"/>
          <w:sz w:val="24"/>
          <w:rtl/>
        </w:rPr>
        <w:t>ועלייהו אתמר ארור כו'.</w:t>
      </w:r>
      <w:r>
        <w:rPr>
          <w:snapToGrid w:val="0"/>
          <w:sz w:val="24"/>
          <w:rtl/>
        </w:rPr>
        <w:t xml:space="preserve"> כמו שאמרו (סוטה לז ע"ב) כל הפרשה הזה בנואף ונואפת הכתוב מדבר. ופירש הרש"א פסוק זה לבד:</w:t>
      </w:r>
    </w:p>
  </w:footnote>
  <w:footnote w:id="4586">
    <w:p w:rsidR="00A13282" w:rsidRDefault="00A13282" w:rsidP="00602EF1">
      <w:pPr>
        <w:pStyle w:val="a5"/>
        <w:rPr>
          <w:rtl/>
        </w:rPr>
      </w:pPr>
      <w:r>
        <w:rPr>
          <w:rStyle w:val="a7"/>
          <w:rtl/>
        </w:rPr>
        <w:footnoteRef/>
      </w:r>
      <w:r>
        <w:rPr>
          <w:rtl/>
        </w:rPr>
        <w:t xml:space="preserve"> </w:t>
      </w:r>
      <w:r>
        <w:rPr>
          <w:b/>
          <w:bCs/>
          <w:snapToGrid w:val="0"/>
          <w:sz w:val="24"/>
          <w:rtl/>
        </w:rPr>
        <w:t>מאי בסתר בסתרא דעלמא.</w:t>
      </w:r>
      <w:r>
        <w:rPr>
          <w:snapToGrid w:val="0"/>
          <w:sz w:val="24"/>
          <w:rtl/>
        </w:rPr>
        <w:t xml:space="preserve"> רוצה לומר דהוא ענין אחר דמצייר לשמא דקב"ה דהוא סתרא דעלמא שום צורה ודמות וכמו שמפרש והולך ובג"ד אמר כו' בסתר דילי שום ציור כו' ועיין באידרא רבא קכ"ז ע"ב פתח ואמר ארור האיש אשר כו', רוצה לומר במחשבה וזה שאומר ואל מי תדמיוני כו' ואל מי תדמיון כו' ועיין בזהר פרשת בא מ"ב ב' בארוכה:</w:t>
      </w:r>
    </w:p>
  </w:footnote>
  <w:footnote w:id="4587">
    <w:p w:rsidR="00A13282" w:rsidRDefault="00A13282" w:rsidP="00602EF1">
      <w:pPr>
        <w:pStyle w:val="a5"/>
        <w:rPr>
          <w:rtl/>
        </w:rPr>
      </w:pPr>
      <w:r>
        <w:rPr>
          <w:rStyle w:val="a7"/>
          <w:rtl/>
        </w:rPr>
        <w:footnoteRef/>
      </w:r>
      <w:r>
        <w:rPr>
          <w:rtl/>
        </w:rPr>
        <w:t xml:space="preserve"> </w:t>
      </w:r>
      <w:r>
        <w:rPr>
          <w:b/>
          <w:bCs/>
          <w:snapToGrid w:val="0"/>
          <w:sz w:val="24"/>
          <w:rtl/>
        </w:rPr>
        <w:t>וברי ודאי כו'.</w:t>
      </w:r>
      <w:r>
        <w:rPr>
          <w:snapToGrid w:val="0"/>
          <w:sz w:val="24"/>
          <w:rtl/>
        </w:rPr>
        <w:t xml:space="preserve"> חוזר לענין הראשון מה שאמר בג"ד מאן כו' דאפיק זרע כו' ואמר ודא הוא רזא דהוה נפיק בלעו כו' ועתיד כו' חוזר למה שאמר למעלה אמר ליה ברי הוו ידעין כו' ואמר קלא נפקת לגבה לצלמא כו' וכמו שכתוב (דברים ז כה) פסילי אלהיהם תשרפון באש:</w:t>
      </w:r>
    </w:p>
  </w:footnote>
  <w:footnote w:id="4588">
    <w:p w:rsidR="00A13282" w:rsidRDefault="00A13282" w:rsidP="00602EF1">
      <w:pPr>
        <w:pStyle w:val="a5"/>
        <w:rPr>
          <w:rtl/>
        </w:rPr>
      </w:pPr>
      <w:r>
        <w:rPr>
          <w:rStyle w:val="a7"/>
          <w:rtl/>
        </w:rPr>
        <w:footnoteRef/>
      </w:r>
      <w:r>
        <w:rPr>
          <w:rtl/>
        </w:rPr>
        <w:t xml:space="preserve"> </w:t>
      </w:r>
      <w:r>
        <w:rPr>
          <w:b/>
          <w:bCs/>
          <w:snapToGrid w:val="0"/>
          <w:sz w:val="24"/>
          <w:rtl/>
        </w:rPr>
        <w:t xml:space="preserve">ובזמנא דישראל אינון בגלותא כו' ובג"ד אוקמוה קדמאין כו'. </w:t>
      </w:r>
      <w:r>
        <w:rPr>
          <w:snapToGrid w:val="0"/>
          <w:sz w:val="24"/>
          <w:rtl/>
        </w:rPr>
        <w:t>רוצה לומר כי בגלותא הוא כל שמושי קבלה מעשיות הכל בעץ הדעת טוב ורע דגלותא דמיא לחטא אדם הראשון וכנ"ל דעובדא דמעשה אבותיהם בידיהם, וקודם החטא הותר לו לאכול מעצי הגן וכן קודם הגלות בבנין בית המקדש אבל לאחר שחטא נתערב לו הכל וכן בגלותא:</w:t>
      </w:r>
    </w:p>
  </w:footnote>
  <w:footnote w:id="4589">
    <w:p w:rsidR="00A13282" w:rsidRDefault="00A13282" w:rsidP="00602EF1">
      <w:pPr>
        <w:pStyle w:val="a5"/>
        <w:rPr>
          <w:rtl/>
        </w:rPr>
      </w:pPr>
      <w:r>
        <w:rPr>
          <w:rStyle w:val="a7"/>
          <w:rtl/>
        </w:rPr>
        <w:footnoteRef/>
      </w:r>
      <w:r>
        <w:rPr>
          <w:rtl/>
        </w:rPr>
        <w:t xml:space="preserve"> </w:t>
      </w:r>
      <w:r>
        <w:rPr>
          <w:b/>
          <w:bCs/>
          <w:snapToGrid w:val="0"/>
          <w:sz w:val="24"/>
          <w:rtl/>
        </w:rPr>
        <w:t>אבל אינון דידעין כו'.</w:t>
      </w:r>
      <w:r>
        <w:rPr>
          <w:snapToGrid w:val="0"/>
          <w:sz w:val="24"/>
          <w:rtl/>
        </w:rPr>
        <w:t xml:space="preserve"> רוצה לומר לכוין כוונות ויחודים אותן היודעים הכוונות על בוריין כל שם האיך יוצא משם הוי"ה, דעליו הם מיוסדים כל השמות, דשמות הן בשכינה והוי"ה בקב"ה כמו שאומר לעיל סוף תיקון כ”ה וזה שאומר יכלין לנחתא חילא מתמן לגבי שכינתא כו', בכל מצוה ומצוה כוונה המיוחדת ומקובלת לכל מצוה כוונה אחרת בקבלה, וזה שאומר בכל פקודא ופקודא כו' למינו כו', וההויות משונות בנקודות וכמו שאומר שם והכל בכוונות דהוא עץ החיים כמו שאומר לעיל ק' א' דתורה ומצות הוא עץ החיים גם לרבות כו' ובעץ החיים אין רע לאפוקי שמושים לצרכי האדם בעץ הדעת טוב ורע כנ"ל:</w:t>
      </w:r>
    </w:p>
  </w:footnote>
  <w:footnote w:id="4590">
    <w:p w:rsidR="00A13282" w:rsidRDefault="00A13282" w:rsidP="00602EF1">
      <w:pPr>
        <w:pStyle w:val="a5"/>
        <w:rPr>
          <w:snapToGrid w:val="0"/>
          <w:sz w:val="24"/>
          <w:rtl/>
        </w:rPr>
      </w:pPr>
      <w:r>
        <w:rPr>
          <w:rStyle w:val="a7"/>
          <w:rtl/>
        </w:rPr>
        <w:footnoteRef/>
      </w:r>
      <w:r>
        <w:rPr>
          <w:rtl/>
        </w:rPr>
        <w:t xml:space="preserve"> </w:t>
      </w:r>
      <w:r>
        <w:rPr>
          <w:b/>
          <w:bCs/>
          <w:snapToGrid w:val="0"/>
          <w:sz w:val="24"/>
          <w:rtl/>
        </w:rPr>
        <w:t>ואמר זכאה איהו מאן דסליק כו'.</w:t>
      </w:r>
      <w:r>
        <w:rPr>
          <w:snapToGrid w:val="0"/>
          <w:sz w:val="24"/>
          <w:rtl/>
        </w:rPr>
        <w:t xml:space="preserve"> דיחוד הויה בשמות צריך ליחדא בשמא מפרש דעשר אתוון, וזה שאומר </w:t>
      </w:r>
      <w:r>
        <w:rPr>
          <w:b/>
          <w:bCs/>
          <w:snapToGrid w:val="0"/>
          <w:sz w:val="24"/>
          <w:rtl/>
        </w:rPr>
        <w:t>מעשר אמירן במחשבתא.</w:t>
      </w:r>
      <w:r>
        <w:rPr>
          <w:snapToGrid w:val="0"/>
          <w:sz w:val="24"/>
          <w:rtl/>
        </w:rPr>
        <w:t xml:space="preserve"> דזהו שם המחשבה ושם נקרא אחד, א"ח - ט', ד' - עשירית כידוע ולכן צריך להיות במחשבה אחת בכוונות ויחודים ח"ו שלא תפול שום מחשבה, וזה שאומר ובההוא זמנא כו'. ואמר </w:t>
      </w:r>
      <w:r>
        <w:rPr>
          <w:b/>
          <w:bCs/>
          <w:snapToGrid w:val="0"/>
          <w:sz w:val="24"/>
          <w:rtl/>
        </w:rPr>
        <w:t>הכי צריך לאפשטא כו'.</w:t>
      </w:r>
      <w:r>
        <w:rPr>
          <w:snapToGrid w:val="0"/>
          <w:sz w:val="24"/>
          <w:rtl/>
        </w:rPr>
        <w:t xml:space="preserve"> דלכן אמרו דפרשה ראשונה צריך כוונה:</w:t>
      </w:r>
    </w:p>
    <w:p w:rsidR="00A13282" w:rsidRDefault="00A13282" w:rsidP="00602EF1">
      <w:pPr>
        <w:pStyle w:val="a5"/>
        <w:rPr>
          <w:rtl/>
        </w:rPr>
      </w:pPr>
    </w:p>
  </w:footnote>
  <w:footnote w:id="4591">
    <w:p w:rsidR="00A13282" w:rsidRDefault="00A13282" w:rsidP="00602EF1">
      <w:pPr>
        <w:pStyle w:val="a5"/>
        <w:rPr>
          <w:rtl/>
        </w:rPr>
      </w:pPr>
      <w:r>
        <w:rPr>
          <w:rStyle w:val="a7"/>
          <w:rtl/>
        </w:rPr>
        <w:footnoteRef/>
      </w:r>
      <w:r>
        <w:rPr>
          <w:rtl/>
        </w:rPr>
        <w:t xml:space="preserve"> </w:t>
      </w:r>
      <w:r>
        <w:rPr>
          <w:b/>
          <w:bCs/>
          <w:snapToGrid w:val="0"/>
          <w:sz w:val="24"/>
          <w:rtl/>
        </w:rPr>
        <w:t>תיקון ס"ז בראשית כו' דא מטטרון.</w:t>
      </w:r>
      <w:r>
        <w:rPr>
          <w:snapToGrid w:val="0"/>
          <w:sz w:val="24"/>
          <w:rtl/>
        </w:rPr>
        <w:t xml:space="preserve"> רוצה לומר מתחלה ברא לאלקים שהוא מטטרון. ותיקון זה עם תיקון ס”ח הוא תיקון אחד ולרמוז כאן מה שכתוב (בראשית ג כד) וישכן כו' ואת להט כו' וכמו שאומר שם מאי אלקים להט כו', והוא מטטרון כמו שאומר ודא מטטרון, ומטטרון נקרא אלקים כמו שאומר בספרא דצניעותא פרק ה' כתיב (בראשית ה כד) ויתהלך חנוך כו' את האלקים, ולא את ה' כו', כי לקח אותו אלקים, להקרא בשמו:</w:t>
      </w:r>
    </w:p>
  </w:footnote>
  <w:footnote w:id="4592">
    <w:p w:rsidR="00A13282" w:rsidRDefault="00A13282" w:rsidP="00602EF1">
      <w:pPr>
        <w:pStyle w:val="a5"/>
        <w:rPr>
          <w:rtl/>
        </w:rPr>
      </w:pPr>
      <w:r>
        <w:rPr>
          <w:rStyle w:val="a7"/>
          <w:rtl/>
        </w:rPr>
        <w:footnoteRef/>
      </w:r>
      <w:r>
        <w:rPr>
          <w:rtl/>
        </w:rPr>
        <w:t xml:space="preserve"> </w:t>
      </w:r>
      <w:r>
        <w:rPr>
          <w:b/>
          <w:bCs/>
          <w:snapToGrid w:val="0"/>
          <w:sz w:val="24"/>
          <w:rtl/>
        </w:rPr>
        <w:t>דברא ליה קדמון כו'.</w:t>
      </w:r>
      <w:r>
        <w:rPr>
          <w:snapToGrid w:val="0"/>
          <w:sz w:val="24"/>
          <w:rtl/>
        </w:rPr>
        <w:t xml:space="preserve"> זהו בראשית:</w:t>
      </w:r>
    </w:p>
  </w:footnote>
  <w:footnote w:id="4593">
    <w:p w:rsidR="00A13282" w:rsidRDefault="00A13282" w:rsidP="00602EF1">
      <w:pPr>
        <w:pStyle w:val="a5"/>
        <w:rPr>
          <w:rtl/>
        </w:rPr>
      </w:pPr>
      <w:r>
        <w:rPr>
          <w:rStyle w:val="a7"/>
          <w:rtl/>
        </w:rPr>
        <w:footnoteRef/>
      </w:r>
      <w:r>
        <w:rPr>
          <w:rtl/>
        </w:rPr>
        <w:t xml:space="preserve"> </w:t>
      </w:r>
      <w:r>
        <w:rPr>
          <w:b/>
          <w:bCs/>
          <w:snapToGrid w:val="0"/>
          <w:sz w:val="24"/>
          <w:rtl/>
        </w:rPr>
        <w:t>לכל צבא השמים דלתתא.</w:t>
      </w:r>
      <w:r>
        <w:rPr>
          <w:snapToGrid w:val="0"/>
          <w:sz w:val="24"/>
          <w:rtl/>
        </w:rPr>
        <w:t xml:space="preserve"> רוצה לומר יצירה ועשיה, לאפוקי עלמין דכסופין דכסיף בהון קב"ה:</w:t>
      </w:r>
    </w:p>
  </w:footnote>
  <w:footnote w:id="4594">
    <w:p w:rsidR="00A13282" w:rsidRDefault="00A13282" w:rsidP="00602EF1">
      <w:pPr>
        <w:pStyle w:val="a5"/>
        <w:rPr>
          <w:rtl/>
        </w:rPr>
      </w:pPr>
      <w:r>
        <w:rPr>
          <w:rStyle w:val="a7"/>
          <w:rtl/>
        </w:rPr>
        <w:footnoteRef/>
      </w:r>
      <w:r>
        <w:rPr>
          <w:rtl/>
        </w:rPr>
        <w:t xml:space="preserve"> </w:t>
      </w:r>
      <w:r>
        <w:rPr>
          <w:b/>
          <w:bCs/>
          <w:snapToGrid w:val="0"/>
          <w:sz w:val="24"/>
          <w:rtl/>
        </w:rPr>
        <w:t>ודא איהו כו' בדיוקנא וציורא כו'.</w:t>
      </w:r>
      <w:r>
        <w:rPr>
          <w:snapToGrid w:val="0"/>
          <w:sz w:val="24"/>
          <w:rtl/>
        </w:rPr>
        <w:t xml:space="preserve"> רוצה לומר זהו שנאמר (בראשית א כו) נעשה אדם בצלמנו כדמותנו:</w:t>
      </w:r>
    </w:p>
  </w:footnote>
  <w:footnote w:id="4595">
    <w:p w:rsidR="00A13282" w:rsidRDefault="00A13282" w:rsidP="00602EF1">
      <w:pPr>
        <w:pStyle w:val="a5"/>
        <w:rPr>
          <w:rtl/>
        </w:rPr>
      </w:pPr>
      <w:r>
        <w:rPr>
          <w:rStyle w:val="a7"/>
          <w:rtl/>
        </w:rPr>
        <w:footnoteRef/>
      </w:r>
      <w:r>
        <w:rPr>
          <w:rtl/>
        </w:rPr>
        <w:t xml:space="preserve"> </w:t>
      </w:r>
      <w:r>
        <w:rPr>
          <w:b/>
          <w:bCs/>
          <w:snapToGrid w:val="0"/>
          <w:sz w:val="24"/>
          <w:rtl/>
        </w:rPr>
        <w:t>ואיהו עץ פרי עושה פרי כו'.</w:t>
      </w:r>
      <w:r>
        <w:rPr>
          <w:snapToGrid w:val="0"/>
          <w:sz w:val="24"/>
          <w:rtl/>
        </w:rPr>
        <w:t xml:space="preserve"> שהוא דו"נ כמו שאומר בפ' בראשית י"ח ב' והוא יצירה ועשיה, עבד ושפחה, כמו שאומר למטה, והוא דוגמת זו"נ דמקנן בהו, ואמר </w:t>
      </w:r>
      <w:r>
        <w:rPr>
          <w:b/>
          <w:bCs/>
          <w:snapToGrid w:val="0"/>
          <w:sz w:val="24"/>
          <w:rtl/>
        </w:rPr>
        <w:t>למינו</w:t>
      </w:r>
      <w:r>
        <w:rPr>
          <w:snapToGrid w:val="0"/>
          <w:sz w:val="24"/>
          <w:rtl/>
        </w:rPr>
        <w:t xml:space="preserve"> לאפוקי ס"א דאינון דו"נ, ובהו הכל שלא למינו, וכמו שאומר לקמן קל"א ב' כד אזדריקו לא אזדריקו כו', וזה שאומר כגוונא דלעילא:</w:t>
      </w:r>
    </w:p>
  </w:footnote>
  <w:footnote w:id="4596">
    <w:p w:rsidR="00A13282" w:rsidRDefault="00A13282" w:rsidP="00602EF1">
      <w:pPr>
        <w:pStyle w:val="a5"/>
        <w:rPr>
          <w:rtl/>
        </w:rPr>
      </w:pPr>
      <w:r>
        <w:rPr>
          <w:rStyle w:val="a7"/>
          <w:rtl/>
        </w:rPr>
        <w:footnoteRef/>
      </w:r>
      <w:r>
        <w:rPr>
          <w:rtl/>
        </w:rPr>
        <w:t xml:space="preserve"> </w:t>
      </w:r>
      <w:r>
        <w:rPr>
          <w:b/>
          <w:bCs/>
          <w:snapToGrid w:val="0"/>
          <w:sz w:val="24"/>
          <w:rtl/>
        </w:rPr>
        <w:t>וי מאן כו'.</w:t>
      </w:r>
      <w:r>
        <w:rPr>
          <w:snapToGrid w:val="0"/>
          <w:sz w:val="24"/>
          <w:rtl/>
        </w:rPr>
        <w:t xml:space="preserve"> רוצה לומר, דגרים במעשהו להתערב בו מאילנא דס"א, דכאן יכול להתערב, דהוא עץ הדעת טוב ורע, חציו טוב הוא מט"ט וכנגדו ס"ם רע ויכול להתערב מה שאין כן למעלה - (תהלים ה ה) לא יגורך רע, ומכל מקום מאן דסאיב לבושיה דמלכא כאלו כו', וכאן תלוי כל שכר ועונש וכמו שאומר למטה ובתיקוני זהר חדש וזה שאומר לעילא ולתתא דהאי איהו אילנא כו':</w:t>
      </w:r>
    </w:p>
  </w:footnote>
  <w:footnote w:id="4597">
    <w:p w:rsidR="00A13282" w:rsidRDefault="00A13282" w:rsidP="00602EF1">
      <w:pPr>
        <w:pStyle w:val="a5"/>
        <w:rPr>
          <w:rtl/>
        </w:rPr>
      </w:pPr>
      <w:r>
        <w:rPr>
          <w:rStyle w:val="a7"/>
          <w:rtl/>
        </w:rPr>
        <w:footnoteRef/>
      </w:r>
      <w:r>
        <w:rPr>
          <w:rtl/>
        </w:rPr>
        <w:t xml:space="preserve"> </w:t>
      </w:r>
      <w:r>
        <w:rPr>
          <w:b/>
          <w:bCs/>
          <w:snapToGrid w:val="0"/>
          <w:sz w:val="24"/>
          <w:rtl/>
        </w:rPr>
        <w:t>א"ל ברי דיוקנא דלעילא כו'.</w:t>
      </w:r>
      <w:r>
        <w:rPr>
          <w:snapToGrid w:val="0"/>
          <w:sz w:val="24"/>
          <w:rtl/>
        </w:rPr>
        <w:t xml:space="preserve"> עיין בתיקוני זהר חדש ובזוהר פ' בראשית כ"ג א' אמרו ליה חבריא אי הכי אמאי כולי האי, אמר להם ר' שמעון חבריא כו' ולא עוד אלא אורייתא דבריאה כו', ועיין מה שכתבתי בתיקוני זהר חדש שם:</w:t>
      </w:r>
    </w:p>
  </w:footnote>
  <w:footnote w:id="4598">
    <w:p w:rsidR="00A13282" w:rsidRDefault="00A13282" w:rsidP="00602EF1">
      <w:pPr>
        <w:pStyle w:val="a5"/>
        <w:rPr>
          <w:rtl/>
        </w:rPr>
      </w:pPr>
      <w:r>
        <w:rPr>
          <w:rStyle w:val="a7"/>
          <w:rtl/>
        </w:rPr>
        <w:footnoteRef/>
      </w:r>
      <w:r>
        <w:rPr>
          <w:rtl/>
        </w:rPr>
        <w:t xml:space="preserve"> </w:t>
      </w:r>
      <w:r>
        <w:rPr>
          <w:b/>
          <w:bCs/>
          <w:snapToGrid w:val="0"/>
          <w:sz w:val="24"/>
          <w:rtl/>
        </w:rPr>
        <w:t>דאינון מות וחיים.</w:t>
      </w:r>
      <w:r>
        <w:rPr>
          <w:snapToGrid w:val="0"/>
          <w:sz w:val="24"/>
          <w:rtl/>
        </w:rPr>
        <w:t xml:space="preserve"> כמו שכתוב (דברים ל טו,יט עיי"ש) את החיים ואת המות נתתי לפניך את הטוב ואת הרע, דטוב ורע הן מות וחיים, ואמר ליה (שם) ובחרת בחיים, וכמ"ש א"ע (א.ה. אולי הכוונה: וכמו שאומר אל עצמו) דכל הפרשה נאמרה על כל האדם דלכן נאמר האדם בה' ידיעה וכן אמר בזוהר פ' בראשית מה שאומר שם ביד לשון, דהוא עץ הדעת טוב ורע, בתורה או בלשון הרע, והוא באדם מסטרא דעץ הדעת טוב ורע אבל באדם מסטרא דעץ החיים שם לא יגורך רע כמו שאומר בריש משפטים ובסוף תיקוני זהר חדש, ונקרא הלשון עץ הדעת טוב ורע כמו שכתוב (תהלים לד יג) מי האיש כו' לראות טוב, נצור לשונך מרע:</w:t>
      </w:r>
    </w:p>
  </w:footnote>
  <w:footnote w:id="4599">
    <w:p w:rsidR="00A13282" w:rsidRDefault="00A13282" w:rsidP="00602EF1">
      <w:pPr>
        <w:pStyle w:val="a5"/>
        <w:rPr>
          <w:rtl/>
        </w:rPr>
      </w:pPr>
      <w:r>
        <w:rPr>
          <w:rStyle w:val="a7"/>
          <w:rtl/>
        </w:rPr>
        <w:footnoteRef/>
      </w:r>
      <w:r>
        <w:rPr>
          <w:rtl/>
        </w:rPr>
        <w:t xml:space="preserve"> </w:t>
      </w:r>
      <w:r>
        <w:rPr>
          <w:b/>
          <w:bCs/>
          <w:snapToGrid w:val="0"/>
          <w:sz w:val="24"/>
          <w:rtl/>
        </w:rPr>
        <w:t>בגופא דב"נ טרפשא כו'.</w:t>
      </w:r>
      <w:r>
        <w:rPr>
          <w:snapToGrid w:val="0"/>
          <w:sz w:val="24"/>
          <w:rtl/>
        </w:rPr>
        <w:t xml:space="preserve"> דלמטה הוא רע כמו שאומר בפ' פנחס וברעיא מהימנא שם בארוכה כולם מה שאין כן למעלה הקנה והריאה וכמו שאומר שם ושאר מקומות והוא דוגמת ע"ה (א.ה. עץ החיים) כמו שאומר לעיל ק' א' א"ל ברי ממראה מתניו כו' ואמר ברעיא מהימנא שם דכל מה שאומר שם הכל באדם בינוני מסטרא דעץ הדעת טוב ורע אבל בצדיק מסטרא דעץ החיים כולו טוב וכגוונא דלעילא עיין שם רל"ד רל"ה ושאר מקומות, ושם רל"ד ב' אמר רעיא מהימנא בתר כו' עיין שם ושית סטרין דעץ הדעת טוב ורע, ג' טוב - כשר טהור מותר, וג' [רע] - אסור טמא פסול, והן ג' דעל טרפשא - מוח ריאה לב, לג' דרגין דנר"ן, וג' שתחת הטרפש, קטרוגא דלהון, מרה כבד טחול כמו שאומר לעיל תיקון כ’ וסוף תיקון כ”א ולכל אחד כמה דרגין, שאר האברים, ועיין ברעיא מהימנא שם. ואמר כד"א ויבדל בין האור, והוא בלבא, (קהלת רבה פרשה א) הלב רואה, ובין הטחול - חשוכא וכמו שאומר לעיל תיקון כ’:</w:t>
      </w:r>
    </w:p>
  </w:footnote>
  <w:footnote w:id="4600">
    <w:p w:rsidR="00A13282" w:rsidRDefault="00A13282" w:rsidP="00602EF1">
      <w:pPr>
        <w:pStyle w:val="a5"/>
        <w:rPr>
          <w:rtl/>
        </w:rPr>
      </w:pPr>
      <w:r>
        <w:rPr>
          <w:rStyle w:val="a7"/>
          <w:rtl/>
        </w:rPr>
        <w:footnoteRef/>
      </w:r>
      <w:r>
        <w:rPr>
          <w:rtl/>
        </w:rPr>
        <w:t xml:space="preserve"> </w:t>
      </w:r>
      <w:r>
        <w:rPr>
          <w:b/>
          <w:bCs/>
          <w:snapToGrid w:val="0"/>
          <w:sz w:val="24"/>
          <w:rtl/>
        </w:rPr>
        <w:t>ומני לי' דלא לערבא כו'.</w:t>
      </w:r>
      <w:r>
        <w:rPr>
          <w:snapToGrid w:val="0"/>
          <w:sz w:val="24"/>
          <w:rtl/>
        </w:rPr>
        <w:t xml:space="preserve"> שלא ללמוד התורה שהוא טוב בקנה למעלה, בכוונת פניה, בשביל כבוד או הנאה או קנאה שהן בכבד מרה וטחול כמו שאמרו (אבות ד כא) הקנאה והתאוה והכבוד כו' והן בג' דרגין אלו:</w:t>
      </w:r>
    </w:p>
  </w:footnote>
  <w:footnote w:id="4601">
    <w:p w:rsidR="00A13282" w:rsidRDefault="00A13282" w:rsidP="00602EF1">
      <w:pPr>
        <w:pStyle w:val="a5"/>
        <w:rPr>
          <w:rtl/>
        </w:rPr>
      </w:pPr>
      <w:r>
        <w:rPr>
          <w:rStyle w:val="a7"/>
          <w:rtl/>
        </w:rPr>
        <w:footnoteRef/>
      </w:r>
      <w:r>
        <w:rPr>
          <w:rtl/>
        </w:rPr>
        <w:t xml:space="preserve"> </w:t>
      </w:r>
      <w:r>
        <w:rPr>
          <w:b/>
          <w:bCs/>
          <w:snapToGrid w:val="0"/>
          <w:sz w:val="24"/>
          <w:rtl/>
        </w:rPr>
        <w:t>ולבתר אמר כו'.</w:t>
      </w:r>
      <w:r>
        <w:rPr>
          <w:snapToGrid w:val="0"/>
          <w:sz w:val="24"/>
          <w:rtl/>
        </w:rPr>
        <w:t xml:space="preserve"> רוצה לומר השפחה דעצם היא פיתני אבל הקב"ה יהיב ביה נשמתא ליזהר ממנה וכמו שאומר לעיל ריש תיקון ס”ו ויפח באפיו כו' למנדע כו':</w:t>
      </w:r>
    </w:p>
  </w:footnote>
  <w:footnote w:id="4602">
    <w:p w:rsidR="00A13282" w:rsidRDefault="00A13282" w:rsidP="00602EF1">
      <w:pPr>
        <w:pStyle w:val="a5"/>
        <w:rPr>
          <w:rtl/>
        </w:rPr>
      </w:pPr>
      <w:r>
        <w:rPr>
          <w:rStyle w:val="a7"/>
          <w:rtl/>
        </w:rPr>
        <w:footnoteRef/>
      </w:r>
      <w:r>
        <w:rPr>
          <w:rtl/>
        </w:rPr>
        <w:t xml:space="preserve"> </w:t>
      </w:r>
      <w:r>
        <w:rPr>
          <w:b/>
          <w:bCs/>
          <w:snapToGrid w:val="0"/>
          <w:sz w:val="24"/>
          <w:rtl/>
        </w:rPr>
        <w:t>אדהכי הא סבא כו'.</w:t>
      </w:r>
      <w:r>
        <w:rPr>
          <w:snapToGrid w:val="0"/>
          <w:sz w:val="24"/>
          <w:rtl/>
        </w:rPr>
        <w:t xml:space="preserve"> רוצה לומר כיון שהתורה קדמה לעולם, ועולם לאדם, כל שכן שהתורה קדמה לאדם וכתיב (במדבר יט יד) כי ימות ועל כרחך נגזר עליו שימות:</w:t>
      </w:r>
    </w:p>
  </w:footnote>
  <w:footnote w:id="4603">
    <w:p w:rsidR="00A13282" w:rsidRDefault="00A13282" w:rsidP="00602EF1">
      <w:pPr>
        <w:pStyle w:val="a5"/>
        <w:rPr>
          <w:rtl/>
        </w:rPr>
      </w:pPr>
      <w:r>
        <w:rPr>
          <w:rStyle w:val="a7"/>
          <w:rtl/>
        </w:rPr>
        <w:footnoteRef/>
      </w:r>
      <w:r>
        <w:rPr>
          <w:rtl/>
        </w:rPr>
        <w:t xml:space="preserve"> </w:t>
      </w:r>
      <w:r>
        <w:rPr>
          <w:b/>
          <w:bCs/>
          <w:snapToGrid w:val="0"/>
          <w:sz w:val="24"/>
          <w:rtl/>
        </w:rPr>
        <w:t>א"ל סבא כו'.</w:t>
      </w:r>
      <w:r>
        <w:rPr>
          <w:snapToGrid w:val="0"/>
          <w:sz w:val="24"/>
          <w:rtl/>
        </w:rPr>
        <w:t xml:space="preserve"> דאין ראיה, דהא נשמה קדמה לעולם:</w:t>
      </w:r>
    </w:p>
  </w:footnote>
  <w:footnote w:id="4604">
    <w:p w:rsidR="00A13282" w:rsidRDefault="00A13282" w:rsidP="00602EF1">
      <w:pPr>
        <w:pStyle w:val="a5"/>
        <w:rPr>
          <w:rtl/>
        </w:rPr>
      </w:pPr>
      <w:r>
        <w:rPr>
          <w:rStyle w:val="a7"/>
          <w:rtl/>
        </w:rPr>
        <w:footnoteRef/>
      </w:r>
      <w:r>
        <w:rPr>
          <w:rtl/>
        </w:rPr>
        <w:t xml:space="preserve"> </w:t>
      </w:r>
      <w:r>
        <w:rPr>
          <w:b/>
          <w:bCs/>
          <w:snapToGrid w:val="0"/>
          <w:sz w:val="24"/>
          <w:rtl/>
        </w:rPr>
        <w:t>ולית ראשית כו' נשמתא דאדם דלעילא.</w:t>
      </w:r>
      <w:r>
        <w:rPr>
          <w:snapToGrid w:val="0"/>
          <w:sz w:val="24"/>
          <w:rtl/>
        </w:rPr>
        <w:t xml:space="preserve"> רוצה לומר מחכמה עילאה שנקרא אדם כידוע ומשם שורשן של ישראל כמו שאמרו ישראל עלה במחשבה, והוא ראיה שנקרא ראשית כמו שכתוב (תהלים קיא י) ראשית חכמה, והוא ידוע בכמה מקומות למעלה ולפיכך סתמו:</w:t>
      </w:r>
    </w:p>
  </w:footnote>
  <w:footnote w:id="4605">
    <w:p w:rsidR="00A13282" w:rsidRDefault="00A13282" w:rsidP="00602EF1">
      <w:pPr>
        <w:pStyle w:val="a5"/>
        <w:rPr>
          <w:rtl/>
        </w:rPr>
      </w:pPr>
      <w:r>
        <w:rPr>
          <w:rStyle w:val="a7"/>
          <w:rtl/>
        </w:rPr>
        <w:footnoteRef/>
      </w:r>
      <w:r>
        <w:rPr>
          <w:rtl/>
        </w:rPr>
        <w:t xml:space="preserve"> </w:t>
      </w:r>
      <w:r>
        <w:rPr>
          <w:b/>
          <w:bCs/>
          <w:snapToGrid w:val="0"/>
          <w:sz w:val="24"/>
          <w:rtl/>
        </w:rPr>
        <w:t>אשר יבטח באדם.</w:t>
      </w:r>
      <w:r>
        <w:rPr>
          <w:snapToGrid w:val="0"/>
          <w:sz w:val="24"/>
          <w:rtl/>
        </w:rPr>
        <w:t xml:space="preserve"> רוצה לומר ונאמר ושם בשר, אלמא דהוא אדם דגופא, והוא מסטרא דקץ כל בשר דשליטתיה על גופא דאיהו בשר:</w:t>
      </w:r>
    </w:p>
  </w:footnote>
  <w:footnote w:id="4606">
    <w:p w:rsidR="00A13282" w:rsidRDefault="00A13282" w:rsidP="00602EF1">
      <w:pPr>
        <w:pStyle w:val="a5"/>
        <w:rPr>
          <w:rtl/>
        </w:rPr>
      </w:pPr>
      <w:r>
        <w:rPr>
          <w:rStyle w:val="a7"/>
          <w:rtl/>
        </w:rPr>
        <w:footnoteRef/>
      </w:r>
      <w:r>
        <w:rPr>
          <w:rtl/>
        </w:rPr>
        <w:t xml:space="preserve"> </w:t>
      </w:r>
      <w:r>
        <w:rPr>
          <w:b/>
          <w:bCs/>
          <w:snapToGrid w:val="0"/>
          <w:sz w:val="24"/>
          <w:rtl/>
        </w:rPr>
        <w:t>ואית לי' תרין כו'.</w:t>
      </w:r>
      <w:r>
        <w:rPr>
          <w:snapToGrid w:val="0"/>
          <w:sz w:val="24"/>
          <w:rtl/>
        </w:rPr>
        <w:t xml:space="preserve"> רוצה לומר כמו שמפרש והולך דזה שאומר נפשות מת לשון רבים שהן נפשות מסטרא דנוק' והן סטרא דמות כמו שאומר לעיל בתיקון כ’ ושאר מקומות ס"מ דיליה כו':</w:t>
      </w:r>
    </w:p>
  </w:footnote>
  <w:footnote w:id="4607">
    <w:p w:rsidR="00A13282" w:rsidRDefault="00A13282" w:rsidP="00602EF1">
      <w:pPr>
        <w:pStyle w:val="a5"/>
        <w:rPr>
          <w:rtl/>
        </w:rPr>
      </w:pPr>
      <w:r>
        <w:rPr>
          <w:rStyle w:val="a7"/>
          <w:rtl/>
        </w:rPr>
        <w:footnoteRef/>
      </w:r>
      <w:r>
        <w:rPr>
          <w:rtl/>
        </w:rPr>
        <w:t xml:space="preserve"> </w:t>
      </w:r>
      <w:r>
        <w:rPr>
          <w:b/>
          <w:bCs/>
          <w:snapToGrid w:val="0"/>
          <w:sz w:val="24"/>
          <w:rtl/>
        </w:rPr>
        <w:t>ולית אביו כו'.</w:t>
      </w:r>
      <w:r>
        <w:rPr>
          <w:snapToGrid w:val="0"/>
          <w:sz w:val="24"/>
          <w:rtl/>
        </w:rPr>
        <w:t xml:space="preserve"> דלא לטמא מקומו וכמו שמפרש והולך:</w:t>
      </w:r>
    </w:p>
  </w:footnote>
  <w:footnote w:id="4608">
    <w:p w:rsidR="00A13282" w:rsidRDefault="00A13282" w:rsidP="00602EF1">
      <w:pPr>
        <w:pStyle w:val="a5"/>
        <w:rPr>
          <w:rtl/>
        </w:rPr>
      </w:pPr>
      <w:r>
        <w:rPr>
          <w:rStyle w:val="a7"/>
          <w:rtl/>
        </w:rPr>
        <w:footnoteRef/>
      </w:r>
      <w:r>
        <w:rPr>
          <w:rtl/>
        </w:rPr>
        <w:t xml:space="preserve"> </w:t>
      </w:r>
      <w:r>
        <w:rPr>
          <w:b/>
          <w:bCs/>
          <w:snapToGrid w:val="0"/>
          <w:sz w:val="24"/>
          <w:rtl/>
        </w:rPr>
        <w:t>מאן דעייל מרה"ר כו'.</w:t>
      </w:r>
      <w:r>
        <w:rPr>
          <w:snapToGrid w:val="0"/>
          <w:sz w:val="24"/>
          <w:rtl/>
        </w:rPr>
        <w:t xml:space="preserve"> דהן נקרא רשות הרבים כמו שאומר לעיל בריש תיקון כ”ד:</w:t>
      </w:r>
    </w:p>
  </w:footnote>
  <w:footnote w:id="4609">
    <w:p w:rsidR="00A13282" w:rsidRDefault="00A13282" w:rsidP="00602EF1">
      <w:pPr>
        <w:pStyle w:val="a5"/>
        <w:rPr>
          <w:rtl/>
        </w:rPr>
      </w:pPr>
      <w:r>
        <w:rPr>
          <w:rStyle w:val="a7"/>
          <w:rtl/>
        </w:rPr>
        <w:footnoteRef/>
      </w:r>
      <w:r>
        <w:rPr>
          <w:rtl/>
        </w:rPr>
        <w:t xml:space="preserve"> </w:t>
      </w:r>
      <w:r>
        <w:rPr>
          <w:b/>
          <w:bCs/>
          <w:snapToGrid w:val="0"/>
          <w:sz w:val="24"/>
          <w:rtl/>
        </w:rPr>
        <w:t>ודא אדנ"י דאיהי כו'.</w:t>
      </w:r>
      <w:r>
        <w:rPr>
          <w:snapToGrid w:val="0"/>
          <w:sz w:val="24"/>
          <w:rtl/>
        </w:rPr>
        <w:t xml:space="preserve"> שהיא רשות בעלה הויה, והוא גבוה יו"ד ורחבו ד' כמו שאמרו בכמה מקומות:</w:t>
      </w:r>
    </w:p>
  </w:footnote>
  <w:footnote w:id="4610">
    <w:p w:rsidR="00A13282" w:rsidRDefault="00A13282" w:rsidP="00602EF1">
      <w:pPr>
        <w:pStyle w:val="a5"/>
        <w:rPr>
          <w:rtl/>
        </w:rPr>
      </w:pPr>
      <w:r>
        <w:rPr>
          <w:rStyle w:val="a7"/>
          <w:rtl/>
        </w:rPr>
        <w:footnoteRef/>
      </w:r>
      <w:r>
        <w:rPr>
          <w:rtl/>
        </w:rPr>
        <w:t xml:space="preserve"> </w:t>
      </w:r>
      <w:r>
        <w:rPr>
          <w:b/>
          <w:bCs/>
          <w:snapToGrid w:val="0"/>
          <w:sz w:val="24"/>
          <w:rtl/>
        </w:rPr>
        <w:t>יחידו דעלמא.</w:t>
      </w:r>
      <w:r>
        <w:rPr>
          <w:snapToGrid w:val="0"/>
          <w:sz w:val="24"/>
          <w:rtl/>
        </w:rPr>
        <w:t xml:space="preserve"> דהויה לא נשתנה, (מלאכי ג ו) אני ה' לא שניתי, בכל העולם כולו הוא יחידי:</w:t>
      </w:r>
    </w:p>
  </w:footnote>
  <w:footnote w:id="4611">
    <w:p w:rsidR="00A13282" w:rsidRDefault="00A13282" w:rsidP="00602EF1">
      <w:pPr>
        <w:pStyle w:val="a5"/>
        <w:rPr>
          <w:rtl/>
        </w:rPr>
      </w:pPr>
      <w:r>
        <w:rPr>
          <w:rStyle w:val="a7"/>
          <w:rtl/>
        </w:rPr>
        <w:footnoteRef/>
      </w:r>
      <w:r>
        <w:rPr>
          <w:rtl/>
        </w:rPr>
        <w:t xml:space="preserve"> </w:t>
      </w:r>
      <w:r>
        <w:rPr>
          <w:b/>
          <w:bCs/>
          <w:snapToGrid w:val="0"/>
          <w:sz w:val="24"/>
          <w:rtl/>
        </w:rPr>
        <w:t>קרוי מת מעיקרא כו'.</w:t>
      </w:r>
      <w:r>
        <w:rPr>
          <w:snapToGrid w:val="0"/>
          <w:sz w:val="24"/>
          <w:rtl/>
        </w:rPr>
        <w:t xml:space="preserve"> הוא תירוץ על קושיא הנ"ל, דקאי על הקליפה, ואלו היה אדם נזהר ממנו לא היה מת וכמו שאומר לעיל ביום אכלך כנ"ל:</w:t>
      </w:r>
    </w:p>
  </w:footnote>
  <w:footnote w:id="4612">
    <w:p w:rsidR="00A13282" w:rsidRDefault="00A13282" w:rsidP="00602EF1">
      <w:pPr>
        <w:pStyle w:val="a5"/>
        <w:rPr>
          <w:rtl/>
        </w:rPr>
      </w:pPr>
      <w:r>
        <w:rPr>
          <w:rStyle w:val="a7"/>
          <w:rtl/>
        </w:rPr>
        <w:footnoteRef/>
      </w:r>
      <w:r>
        <w:rPr>
          <w:rtl/>
        </w:rPr>
        <w:t xml:space="preserve"> </w:t>
      </w:r>
      <w:r>
        <w:rPr>
          <w:b/>
          <w:bCs/>
          <w:rtl/>
        </w:rPr>
        <w:t>ודלא לערבא ליה כו'.</w:t>
      </w:r>
      <w:r>
        <w:rPr>
          <w:rtl/>
        </w:rPr>
        <w:t xml:space="preserve"> עם המלאך כנ"ל:</w:t>
      </w:r>
    </w:p>
  </w:footnote>
  <w:footnote w:id="4613">
    <w:p w:rsidR="00A13282" w:rsidRDefault="00A13282" w:rsidP="00602EF1">
      <w:pPr>
        <w:pStyle w:val="a5"/>
        <w:rPr>
          <w:rtl/>
        </w:rPr>
      </w:pPr>
      <w:r>
        <w:rPr>
          <w:rStyle w:val="a7"/>
          <w:rtl/>
        </w:rPr>
        <w:footnoteRef/>
      </w:r>
      <w:r>
        <w:rPr>
          <w:rtl/>
        </w:rPr>
        <w:t xml:space="preserve"> </w:t>
      </w:r>
      <w:r>
        <w:rPr>
          <w:b/>
          <w:bCs/>
          <w:snapToGrid w:val="0"/>
          <w:sz w:val="24"/>
          <w:rtl/>
        </w:rPr>
        <w:t>ולא עוד כו'.</w:t>
      </w:r>
      <w:r>
        <w:rPr>
          <w:snapToGrid w:val="0"/>
          <w:sz w:val="24"/>
          <w:rtl/>
        </w:rPr>
        <w:t xml:space="preserve"> דהראשונה הוא בעבודה זרה בין האור והחושך, וכאן בין מים למים הוא גילוי עריות, מ"ד דקדושא כו':</w:t>
      </w:r>
    </w:p>
  </w:footnote>
  <w:footnote w:id="4614">
    <w:p w:rsidR="00A13282" w:rsidRDefault="00A13282" w:rsidP="00602EF1">
      <w:pPr>
        <w:pStyle w:val="a5"/>
        <w:rPr>
          <w:rtl/>
        </w:rPr>
      </w:pPr>
      <w:r>
        <w:rPr>
          <w:rStyle w:val="a7"/>
          <w:rtl/>
        </w:rPr>
        <w:footnoteRef/>
      </w:r>
      <w:r>
        <w:rPr>
          <w:rtl/>
        </w:rPr>
        <w:t xml:space="preserve"> </w:t>
      </w:r>
      <w:r>
        <w:rPr>
          <w:b/>
          <w:bCs/>
          <w:snapToGrid w:val="0"/>
          <w:sz w:val="24"/>
          <w:rtl/>
        </w:rPr>
        <w:t>דדא אסור כו'.</w:t>
      </w:r>
      <w:r>
        <w:rPr>
          <w:snapToGrid w:val="0"/>
          <w:sz w:val="24"/>
          <w:rtl/>
        </w:rPr>
        <w:t xml:space="preserve"> דהן שית סטרין כמו שמפרש והולך:</w:t>
      </w:r>
    </w:p>
  </w:footnote>
  <w:footnote w:id="4615">
    <w:p w:rsidR="00A13282" w:rsidRDefault="00A13282" w:rsidP="00602EF1">
      <w:pPr>
        <w:pStyle w:val="a5"/>
        <w:rPr>
          <w:snapToGrid w:val="0"/>
          <w:sz w:val="24"/>
          <w:rtl/>
        </w:rPr>
      </w:pPr>
      <w:r>
        <w:rPr>
          <w:rStyle w:val="a7"/>
          <w:rtl/>
        </w:rPr>
        <w:footnoteRef/>
      </w:r>
      <w:r>
        <w:rPr>
          <w:rtl/>
        </w:rPr>
        <w:t xml:space="preserve"> </w:t>
      </w:r>
      <w:r>
        <w:rPr>
          <w:b/>
          <w:bCs/>
          <w:snapToGrid w:val="0"/>
          <w:sz w:val="24"/>
          <w:rtl/>
        </w:rPr>
        <w:t>משנה.</w:t>
      </w:r>
      <w:r>
        <w:rPr>
          <w:snapToGrid w:val="0"/>
          <w:sz w:val="24"/>
          <w:rtl/>
        </w:rPr>
        <w:t xml:space="preserve"> דהוא בדרגיה:</w:t>
      </w:r>
    </w:p>
    <w:p w:rsidR="00A13282" w:rsidRDefault="00A13282" w:rsidP="00602EF1">
      <w:pPr>
        <w:pStyle w:val="a5"/>
        <w:rPr>
          <w:rtl/>
        </w:rPr>
      </w:pPr>
    </w:p>
  </w:footnote>
  <w:footnote w:id="4616">
    <w:p w:rsidR="00A13282" w:rsidRDefault="00A13282" w:rsidP="00602EF1">
      <w:pPr>
        <w:pStyle w:val="a5"/>
        <w:rPr>
          <w:rtl/>
        </w:rPr>
      </w:pPr>
      <w:r>
        <w:rPr>
          <w:rStyle w:val="a7"/>
          <w:rtl/>
        </w:rPr>
        <w:footnoteRef/>
      </w:r>
      <w:r>
        <w:rPr>
          <w:rtl/>
        </w:rPr>
        <w:t xml:space="preserve"> </w:t>
      </w:r>
      <w:r>
        <w:rPr>
          <w:b/>
          <w:bCs/>
          <w:snapToGrid w:val="0"/>
          <w:sz w:val="24"/>
          <w:rtl/>
        </w:rPr>
        <w:t>תיקון ס"ח בראשית כו' מאי כו'.</w:t>
      </w:r>
      <w:r>
        <w:rPr>
          <w:snapToGrid w:val="0"/>
          <w:sz w:val="24"/>
          <w:rtl/>
        </w:rPr>
        <w:t xml:space="preserve"> דלהט כו' הוא דינא כמו שאמרו בהיכלות, בהיכל אהבה, והוא סטרא דלית ליה קיומא, דמלאכים דנבראו ביום שני דמתחדשין בכל יום ולית להו קיומא, ומתהפכים לפעמים מלאכים לפעמים כו', מצמיח חציר לבהמה כו', וכאן הוא אומר על מט"ט כמו שמפרש והולך ודא מט"ט דהוא מתהפך כו' וכמו שאומר לעיל בכמה מקומות. ואמר </w:t>
      </w:r>
      <w:r>
        <w:rPr>
          <w:b/>
          <w:bCs/>
          <w:snapToGrid w:val="0"/>
          <w:sz w:val="24"/>
          <w:rtl/>
        </w:rPr>
        <w:t>מטה האלקים ודאי</w:t>
      </w:r>
      <w:r>
        <w:rPr>
          <w:snapToGrid w:val="0"/>
          <w:sz w:val="24"/>
          <w:rtl/>
        </w:rPr>
        <w:t xml:space="preserve"> לראיה דהוא נקרא אלהים, ומטה הוא המתהפך ממטה לנחש ומנחש למטה כידוע דהוא דרגא דעמודא דאמצעיתא דמהפך ליה כנ"ל תיקון ס’, והוא מ"ט פנים טהור ומ"ט פנים טמא דמטה, והה' הוא ה' אתוון דאלקים, וכן הוא שם אלקים, בפשוטו הוא דין, וכשמתמלא מתמלא ברחמי"ם, ולכן השושנה י"ג עלין סובבין אותה, י"ג מכילין דרחמי לסחרא לה ולנטרא, וה' עלין תקיפין וכמו שאמרו בריש פ’ בראשית ועיין מה שאומר שם וזה שאומר למטה י"ב מזלות אתחזיין ביה, ועם התנין הוא י"ג והוא א' דאלקים הכולל כל הי"ב:</w:t>
      </w:r>
    </w:p>
  </w:footnote>
  <w:footnote w:id="4617">
    <w:p w:rsidR="00A13282" w:rsidRDefault="00A13282" w:rsidP="00602EF1">
      <w:pPr>
        <w:pStyle w:val="a5"/>
        <w:rPr>
          <w:rtl/>
        </w:rPr>
      </w:pPr>
      <w:r>
        <w:rPr>
          <w:rStyle w:val="a7"/>
          <w:rtl/>
        </w:rPr>
        <w:footnoteRef/>
      </w:r>
      <w:r>
        <w:rPr>
          <w:rtl/>
        </w:rPr>
        <w:t xml:space="preserve"> </w:t>
      </w:r>
      <w:r>
        <w:rPr>
          <w:b/>
          <w:bCs/>
          <w:snapToGrid w:val="0"/>
          <w:sz w:val="24"/>
          <w:rtl/>
        </w:rPr>
        <w:t>וביה אשתנין כל דיוקנין כו'.</w:t>
      </w:r>
      <w:r>
        <w:rPr>
          <w:snapToGrid w:val="0"/>
          <w:sz w:val="24"/>
          <w:rtl/>
        </w:rPr>
        <w:t xml:space="preserve"> דהוא גופא לקב"ה, וקב"ה דאיהו מלגאו, אני ה' לא שניתי, (סנהדרין לח ע"ב) אל תמירני בו, ולכן כל השמות משתנין זה מזה, ושם הוי"ה בכולם שוה, ואתפשט על בריין, וביה אמרינן השוה ומשוה כו':</w:t>
      </w:r>
    </w:p>
  </w:footnote>
  <w:footnote w:id="4618">
    <w:p w:rsidR="00A13282" w:rsidRDefault="00A13282" w:rsidP="00602EF1">
      <w:pPr>
        <w:pStyle w:val="a5"/>
        <w:rPr>
          <w:rtl/>
        </w:rPr>
      </w:pPr>
      <w:r>
        <w:rPr>
          <w:rStyle w:val="a7"/>
          <w:rtl/>
        </w:rPr>
        <w:footnoteRef/>
      </w:r>
      <w:r>
        <w:rPr>
          <w:rtl/>
        </w:rPr>
        <w:t xml:space="preserve"> </w:t>
      </w:r>
      <w:r>
        <w:rPr>
          <w:b/>
          <w:bCs/>
          <w:snapToGrid w:val="0"/>
          <w:sz w:val="24"/>
          <w:rtl/>
        </w:rPr>
        <w:t>הוא כליל בשמיא וארעא כו'.</w:t>
      </w:r>
      <w:r>
        <w:rPr>
          <w:snapToGrid w:val="0"/>
          <w:sz w:val="24"/>
          <w:rtl/>
        </w:rPr>
        <w:t xml:space="preserve"> כבר כתבתי למעלה שמט"ט הוא כלל כל הג' עלמין למטה מאצילות דקב"ה אבל כל הנברא הוא כליל ונקרא מט"ט, ראשו בבריאה וגופו ביצירה ורגליו בעשיה, וכולל כל השם, וכל הספירות מקננן ביה, תלת ספירן מקננין ביה כו', וחשיב כאן עשר הדברים דהוא בכלל עשר ספירות כנ"ל, דג' ספירות הוא בבריאה, ראשו של העולם, שבת, ו"ק - ביצירה, מלכות - בעשיה, והן בכלל עשר ספירות, וכנגד עשרה דברים דכאן, ויצירה משמש בו' ימים, ועשיה - בלילות, מה שאין כן בשבת דלית ערב יום השביעי ג' פעמים יום השביעי (בראשית ב ב,ג), וכל הג' עלמין הוא אדם אחד, שיעור קומה, והכל בשם אלקים ע"ה כמו שאמרו בזהר חדש ריש פ’ בראשית וע' בזוהר פ' בראשית על פ' שני המאורות הגדולים כו' בקדמיתא אתרשים איהו לעיל באתוון דשמא קדישא, את רביעאה דיליה, ולבתר אזעירת גרמה לאתקרי בשמא דאלקים כו':</w:t>
      </w:r>
    </w:p>
  </w:footnote>
  <w:footnote w:id="4619">
    <w:p w:rsidR="00A13282" w:rsidRDefault="00A13282" w:rsidP="00602EF1">
      <w:pPr>
        <w:pStyle w:val="a5"/>
        <w:rPr>
          <w:rtl/>
        </w:rPr>
      </w:pPr>
      <w:r>
        <w:rPr>
          <w:rStyle w:val="a7"/>
          <w:rtl/>
        </w:rPr>
        <w:footnoteRef/>
      </w:r>
      <w:r>
        <w:rPr>
          <w:rtl/>
        </w:rPr>
        <w:t xml:space="preserve"> </w:t>
      </w:r>
      <w:r>
        <w:rPr>
          <w:b/>
          <w:bCs/>
          <w:snapToGrid w:val="0"/>
          <w:sz w:val="24"/>
          <w:rtl/>
        </w:rPr>
        <w:t>מסט' דתרווייהו.</w:t>
      </w:r>
      <w:r>
        <w:rPr>
          <w:snapToGrid w:val="0"/>
          <w:sz w:val="24"/>
          <w:rtl/>
        </w:rPr>
        <w:t xml:space="preserve"> רוצה לומר גן עדן וגיהנם כו' כמו שמפרש והולך, גן עדן מצא כו' ותרווייהו בלבא. ועיין לעיל מ"ג א' ב' ועיין מה שכתבתי במקום אחר באתוון ח"ק ט"ר י"ש:</w:t>
      </w:r>
    </w:p>
  </w:footnote>
  <w:footnote w:id="4620">
    <w:p w:rsidR="00A13282" w:rsidRDefault="00A13282" w:rsidP="0020255E">
      <w:pPr>
        <w:pStyle w:val="a5"/>
      </w:pPr>
      <w:r>
        <w:rPr>
          <w:rStyle w:val="a7"/>
        </w:rPr>
        <w:footnoteRef/>
      </w:r>
      <w:r>
        <w:t xml:space="preserve"> </w:t>
      </w:r>
      <w:r>
        <w:rPr>
          <w:b/>
          <w:bCs/>
          <w:rtl/>
        </w:rPr>
        <w:t>תיקון ס"ט בראשית ב' תרין כו' תליתאי כו'.</w:t>
      </w:r>
      <w:r>
        <w:rPr>
          <w:rtl/>
        </w:rPr>
        <w:t xml:space="preserve"> רוצה לומר שמלת ראשית מורה על השלישי שהוא דעת, ובאלו ג' נברא העולם כמו שכתוב (משלי ג יט,כ) ה' בחכמה כו' כונן כו' בדעתו כו', שהם ספר וספר וסיפור (ספר יצירה), ורוצה לרמוז פסוק והאדם ידע כו' במלת בראשית, שחבור דכר ונוק', אב והאם, הוא דרגין דחו"ב, והמזווגם הוא הדעת, שעל ידי הנהר מזדווגין יחד וכמו שמפרש והולך:</w:t>
      </w:r>
    </w:p>
  </w:footnote>
  <w:footnote w:id="4621">
    <w:p w:rsidR="00A13282" w:rsidRDefault="00A13282" w:rsidP="0020255E">
      <w:pPr>
        <w:pStyle w:val="a5"/>
      </w:pPr>
      <w:r>
        <w:rPr>
          <w:rStyle w:val="a7"/>
        </w:rPr>
        <w:footnoteRef/>
      </w:r>
      <w:r>
        <w:t xml:space="preserve"> </w:t>
      </w:r>
      <w:r>
        <w:rPr>
          <w:rtl/>
        </w:rPr>
        <w:t xml:space="preserve"> </w:t>
      </w:r>
      <w:r>
        <w:rPr>
          <w:b/>
          <w:bCs/>
          <w:rtl/>
        </w:rPr>
        <w:t>ובהאי דעת כו'.</w:t>
      </w:r>
      <w:r>
        <w:rPr>
          <w:rtl/>
        </w:rPr>
        <w:t xml:space="preserve"> דלית זיווג אלא בדעת ומפרש והולך עד סוף הפרשה:</w:t>
      </w:r>
    </w:p>
  </w:footnote>
  <w:footnote w:id="4622">
    <w:p w:rsidR="00A13282" w:rsidRDefault="00A13282" w:rsidP="0020255E">
      <w:pPr>
        <w:pStyle w:val="a5"/>
      </w:pPr>
      <w:r>
        <w:rPr>
          <w:rStyle w:val="a7"/>
        </w:rPr>
        <w:footnoteRef/>
      </w:r>
      <w:r>
        <w:t xml:space="preserve"> </w:t>
      </w:r>
      <w:r>
        <w:rPr>
          <w:rtl/>
        </w:rPr>
        <w:t xml:space="preserve"> </w:t>
      </w:r>
      <w:r>
        <w:rPr>
          <w:b/>
          <w:bCs/>
          <w:rtl/>
        </w:rPr>
        <w:t>דאיהו עד"א יחודא דאו"א כו'.</w:t>
      </w:r>
      <w:r>
        <w:rPr>
          <w:rtl/>
        </w:rPr>
        <w:t xml:space="preserve"> הכל בדעת, כי ע"י ירידת הנהר, מ"ד, לגוף, מקודם צריך זיווג או"א, המוחין, והענין כי חו"ב הן מוחא ולבא כמו שאומר לעיל י"ג א' ושאר מקומות וברעיא מהימנא בהרבה מקומות, ועמודא דאמצעיתא מזווגן הוא הקנה והריאה, ועיין מה שאומר לעיל בתיקון כ”ד בארוכה כי כשאדם רוצה לזווג עם אשתו מתחלה מחשב ומתעורר לזיווג, ומזדווג המוח והלב מקודם, המחשבה והרהור יחד על ידי הקנה כמו שאומר ברעיא מהימנא, וזיווגם נעלם מאד שבאים המחשבה והרהור יחד ונעשה אחד, ויורד המחשבה לגוף ופועל שם, ויורד אור הדעת בגוף והוא לידת הדעת ואח"כ יורד בצדיק ליתן לנוקבא, ואלו ב' גוף וברית הן עיקר מקום הדעת וזה שאומר וגוף וברית כו':</w:t>
      </w:r>
    </w:p>
  </w:footnote>
  <w:footnote w:id="4623">
    <w:p w:rsidR="00A13282" w:rsidRDefault="00A13282" w:rsidP="0020255E">
      <w:pPr>
        <w:pStyle w:val="a5"/>
      </w:pPr>
      <w:r>
        <w:rPr>
          <w:rStyle w:val="a7"/>
        </w:rPr>
        <w:footnoteRef/>
      </w:r>
      <w:r>
        <w:t xml:space="preserve"> </w:t>
      </w:r>
      <w:r>
        <w:rPr>
          <w:rtl/>
        </w:rPr>
        <w:t xml:space="preserve"> </w:t>
      </w:r>
      <w:r>
        <w:rPr>
          <w:b/>
          <w:bCs/>
          <w:rtl/>
        </w:rPr>
        <w:t>ותרווייהון עדות כו'.</w:t>
      </w:r>
      <w:r>
        <w:rPr>
          <w:rtl/>
        </w:rPr>
        <w:t xml:space="preserve"> רוצה לומר דעות אותיות עדות, והוא עדות דהוא סהדותא דאו"א, חסדים וגבורות שהן דאו"א, וכמו שאומר באידרא זוטא רצ"ב ב' ומוחא תליתאי כליל לון ואחיד בהאי סטרא ובהאי סטרא, ומתפשט בכל גופא ואתעביד מיניה תרי גוונין כלילין כחדא ונהיר אנפוי ואסהיד באו"א גווני דאנפוי והוא אקרי דעות, ב' דעות, וכתיב (שמואל א ב ג) כי אל דעות ה', בגין דאיהו בתרי גווני, לו נתכנו עלילות, אבל לעתיקא קדישא סתימאה, לא נתכנו, באלף, מאי טעמא נתכנו להאי בגין דירית תרין חולקן וכתיב (שמואל ב כב כו) עם חסיד תתחסד וגו' והא בקשוט אוקמוהו חבריא דכתיב (בראשית כט יב) ויגד יעקב לרחל כי אחי אביה הוא וכי בן רבקה הוא, בן רבקה ולא כתיב בן יצחק כו', ומה שאמר ואתעביד כו' ואסהיד כו' כמו שכתוב (שה"ש ה י) דודי צח ואדום, והוא עדות דהוא בן או"א, ואמר דעות, ב' דעות, רוצה לומר דכתיב לשון רבים. ואמר לו נתכנו כו' אבל כו' דלו בו' קרינן וכתיב לא באלף ובוא"ו הוא עמודא דאמצעיתא ולו נתכנו עלילות, דשם משלם לאיש כפעלו דכלול מתרי גווני כמו שמפרש והולך עם חסיד כו' אבל בא' הוא בעתיקא קדישא ושם לא נתכנו דשם אין מעשה האדם פועל, (שמות יד יד) ואתם תחרישון, ושם כולו רחמים, כאן שית סטרין, חד"ר וכל אחד כלול משנים, ושם כולו אחד בלבד. ואמר בן רבקה כו' הוא סוד גדול דאמר (מגילה יג ע"ב) אחיו הוא ברמאות ומי שרי כו' אין עם נבר תתברר ועם עקש תתפל, והוא בגוונין דאו"א וזה שאומר בן רבקה הוא וזהו הפירוש עם חסיד כו', בג' אבהן, בד' מוחין, חו"ב חו"ג. ואמר כאן </w:t>
      </w:r>
    </w:p>
  </w:footnote>
  <w:footnote w:id="4624">
    <w:p w:rsidR="00A13282" w:rsidRDefault="00A13282" w:rsidP="0020255E">
      <w:pPr>
        <w:pStyle w:val="a5"/>
      </w:pPr>
      <w:r>
        <w:rPr>
          <w:rStyle w:val="a7"/>
        </w:rPr>
        <w:footnoteRef/>
      </w:r>
      <w:r>
        <w:t xml:space="preserve"> </w:t>
      </w:r>
      <w:r>
        <w:rPr>
          <w:b/>
          <w:bCs/>
          <w:rtl/>
        </w:rPr>
        <w:t>דלית עדות כו'.</w:t>
      </w:r>
      <w:r>
        <w:rPr>
          <w:rtl/>
        </w:rPr>
        <w:t xml:space="preserve"> והוא גוף וברית דכל אחד מעיד על או"א וסהדותא דעמודא דאמצעיתא באנפין כנ"ל (קהלת ח א) חכמת אדם תאיר פניו, שע"י החכמה הן הנהורין וע"י אימא הגוונין, וכן בלשון, התחלת הדעת ומקורו, (משלי יח כא) מות וחיים ביד לשון, וסהדותא דצדיק בבן הנולד, כשיולד הבן ידעו הכל שאביו נזדווג באימא והעדות בשניהם שנודע לכל:</w:t>
      </w:r>
    </w:p>
  </w:footnote>
  <w:footnote w:id="4625">
    <w:p w:rsidR="00A13282" w:rsidRDefault="00A13282" w:rsidP="0020255E">
      <w:pPr>
        <w:pStyle w:val="a5"/>
      </w:pPr>
      <w:r>
        <w:rPr>
          <w:rStyle w:val="a7"/>
        </w:rPr>
        <w:footnoteRef/>
      </w:r>
      <w:r>
        <w:t xml:space="preserve"> </w:t>
      </w:r>
      <w:r>
        <w:rPr>
          <w:rtl/>
        </w:rPr>
        <w:t xml:space="preserve"> </w:t>
      </w:r>
      <w:r>
        <w:rPr>
          <w:b/>
          <w:bCs/>
          <w:rtl/>
        </w:rPr>
        <w:t>איהו עמוד כו'.</w:t>
      </w:r>
      <w:r>
        <w:rPr>
          <w:rtl/>
        </w:rPr>
        <w:t xml:space="preserve"> כמו שהצדיק מחבר זו"נ, כן הוא מחבר הראש והגוף, מוחא ולבא שהן כלל הכל:</w:t>
      </w:r>
    </w:p>
  </w:footnote>
  <w:footnote w:id="4626">
    <w:p w:rsidR="00A13282" w:rsidRDefault="00A13282" w:rsidP="0020255E">
      <w:pPr>
        <w:pStyle w:val="a5"/>
      </w:pPr>
      <w:r>
        <w:rPr>
          <w:rStyle w:val="a7"/>
        </w:rPr>
        <w:footnoteRef/>
      </w:r>
      <w:r>
        <w:t xml:space="preserve"> </w:t>
      </w:r>
      <w:r>
        <w:rPr>
          <w:b/>
          <w:bCs/>
          <w:rtl/>
        </w:rPr>
        <w:t xml:space="preserve"> ואיהו יחוד בין כו'.</w:t>
      </w:r>
      <w:r>
        <w:rPr>
          <w:rtl/>
        </w:rPr>
        <w:t xml:space="preserve"> בשם הוי"ה הוא"ו בין שני ההין כמו שאמרו, והוא (תהלים קו מח) מן העולם ועד העולם, הבריח התיכון, והכל קיימא עליה כמו שאומר לעיל מ"ג א' וזה שאומר למעלה איהו עמוד כו':</w:t>
      </w:r>
    </w:p>
  </w:footnote>
  <w:footnote w:id="4627">
    <w:p w:rsidR="00A13282" w:rsidRDefault="00A13282" w:rsidP="0020255E">
      <w:pPr>
        <w:pStyle w:val="a5"/>
      </w:pPr>
      <w:r>
        <w:rPr>
          <w:rStyle w:val="a7"/>
        </w:rPr>
        <w:footnoteRef/>
      </w:r>
      <w:r>
        <w:t xml:space="preserve"> </w:t>
      </w:r>
      <w:r>
        <w:rPr>
          <w:rtl/>
        </w:rPr>
        <w:t xml:space="preserve"> </w:t>
      </w:r>
      <w:r>
        <w:rPr>
          <w:b/>
          <w:bCs/>
          <w:rtl/>
        </w:rPr>
        <w:t>וביה אתעבידו ה"ה אחד, אחד י"ג, י"ג הכא וי"ג הכא.</w:t>
      </w:r>
      <w:r>
        <w:rPr>
          <w:rtl/>
        </w:rPr>
        <w:t xml:space="preserve"> רוצה לומר דעל ידו אתעבידו אחד, ועוד כל אחד נעשה ע"י אחד כמו שאומר לעיל ריש תיקון כ”ו אחד בתרין שושנים דא הוי"ה, עליה אתמר ביום ההוא יהיה ה' אחד ושמו אחד, ואיהו עמודא דאמצעיתא הרועה בשושנים וחושבניה אחד. ורוצה לומר בשושנים - ב' שושנים, ובכל אחד - אחד. והענין כי אחד הוא י"ג תיקונים דאימא כמו שאומר בספרא דצניעותא רפ"ב וכן בבת כמו שאומר בריש פ' בראשית י"ג מכילין דסחרין לה כו' ועיין בזוהר פ’ ויחי ר"מ רמ"א א' אלא תא חזי הני תריסר שבטין כו' תרין תיקונין דנוק' כו' פתח ר' אבא כו' פתח ר' אליעזר כו', והנה באבא ח' תיקונין דכהנא רבא, (תהלים קלג ב) על פי מדותיו, ח' בגדים (משנה יומא ז ה), ובה - עוד ה' תיקונים, ונשלמת לי"ג תיקונין, וכן הוא בשכינה תתאה דהיא דיוקנא דאימא כנ"ל ולכן בהן ב' ההי"ן שהן שלהן, וביו"ד וא"ו ע"י עמודא דאמצעיתא שיורד חכמה בו כנ"ל דכליל כולא - נשלמו לי"ג, ח' לכאן וח' לכאן, וכידוע דיו"ד שריא בוא"ו:</w:t>
      </w:r>
    </w:p>
  </w:footnote>
  <w:footnote w:id="4628">
    <w:p w:rsidR="00A13282" w:rsidRDefault="00A13282" w:rsidP="0020255E">
      <w:pPr>
        <w:pStyle w:val="a5"/>
      </w:pPr>
      <w:r>
        <w:rPr>
          <w:rStyle w:val="a7"/>
        </w:rPr>
        <w:footnoteRef/>
      </w:r>
      <w:r>
        <w:t xml:space="preserve"> </w:t>
      </w:r>
      <w:r>
        <w:rPr>
          <w:rtl/>
        </w:rPr>
        <w:t xml:space="preserve"> </w:t>
      </w:r>
      <w:r>
        <w:rPr>
          <w:b/>
          <w:bCs/>
          <w:rtl/>
        </w:rPr>
        <w:t>ואיהו ו' יחוד דתרי אחיות כו'.</w:t>
      </w:r>
      <w:r>
        <w:rPr>
          <w:rtl/>
        </w:rPr>
        <w:t xml:space="preserve"> רוצה לומר, בשילוב ב' השמות יאהדונה"י, יו"ד בראש יו"ד בסוף, חכמה בראש וחכמה בסוף, ו' אותיות באמצע, והוא ו' דאלף המייחדם, ועיין בזוהר פ' בראשית ז' ב' בראשית ר"ח פתח כו' עיין שם, ועיין לעיל ק"א א' בוודאי אבני שיש טהור אינון י"י כו' אינון יודין וייצר כו' ואינון חכמה כו' עיין שם, וזה שאומר כאן וייצר רוצה לומר כמו שאמרו ב' יצירות דעלאין ותתאין, דשמים בשם הוי"ה ודארץ בשם אדני, וכולם בחכמה עשית (תהלים קד כד), והכל אחד ולכן רמוז בא', אחד, ונאמר (משלי ז ד) אמור לחכמה אחותי את, וזה שאומר יחודא דתרין אחיות ובה החכמה בסוף כמו שאמרו בסוד ב' דלתין, שד"י ואדנ"י:</w:t>
      </w:r>
    </w:p>
  </w:footnote>
  <w:footnote w:id="4629">
    <w:p w:rsidR="00A13282" w:rsidRDefault="00A13282" w:rsidP="0020255E">
      <w:pPr>
        <w:pStyle w:val="a5"/>
      </w:pPr>
      <w:r>
        <w:rPr>
          <w:rStyle w:val="a7"/>
        </w:rPr>
        <w:footnoteRef/>
      </w:r>
      <w:r>
        <w:t xml:space="preserve"> </w:t>
      </w:r>
      <w:r>
        <w:rPr>
          <w:b/>
          <w:bCs/>
          <w:rtl/>
        </w:rPr>
        <w:t>כלה וחמותה ה"א יו"ד מן אלקים וא"ו מלא כללא דתרווייהו.</w:t>
      </w:r>
      <w:r>
        <w:rPr>
          <w:rtl/>
        </w:rPr>
        <w:t xml:space="preserve"> ועיין לעיל ריש תיקון ל"ח. והענין כי (משלי ג יט) כונן שמים בתבונה ובחכמה יסד ארץ, והעולם נברא בשם אלקים, ובסדר הבריאה היא אמא דבעלה, והוא ה' מאלקים, והיא - נוסדה בחכמה, וכאן סדר השם ההו"י מסטרא דאלקים ב' ההין בחו"ב, ו"י בזו"נ, וה' עילאה בחכמה הוא חמש אותיות דאלקים, כללא דכולהו דבה חכמה נכלל מן הכל, י' דאדני, ועיין לעיל פ' א' לעילא כו' ועיין לעיל ס"ב א', ה' עילאה וה' תתאה כו', ו' קול כו', י' דבור כו', והוא יו"ד דאלקים רומז עליה לכן הה"א קודם ליו"ד והיא כלתה, ואותיות מלא כליל תרווייהון אבל שם הוי"ה הוא קבלת שפעם על עולם מלא בו' ימים, מלא דאלקים, והוא סוד כלים ואורות, ולכן בשם הוי"ה סדורים יו"ד ואח"כ ה"א ואח"כ וא"ו ה"א, ושם הם אמא ובתה, וזה שאומר ה"ה כו' ובשילוב ב' השמות ויחודם ע"י ההוא טמיר ונעלם, שמא מפרש, בכתר שתחתיו ב' חכמות כמו שאומר לעיל ק"א א' שהן תעלומות מחכמה עילאה דאיהו כתר, ושם שניהם משתמשין בכתר אחד ולכן אחיות, ב' המאורות הגדולים דשם (מלכים א ה י) ותרב חכמת שלמה כמו שאומר לעיל ל"ח א' ואורה שוה לחמה בשלימות, וזהו צרי דוייצר, ב' המאורות כו', וחכמה הוא נקבה בסוד בוצינא כו', נגד כתר - גולגלתא, ומוחא - שורש דכר ונוק' לכן הם אחיות:</w:t>
      </w:r>
    </w:p>
  </w:footnote>
  <w:footnote w:id="4630">
    <w:p w:rsidR="00A13282" w:rsidRDefault="00A13282" w:rsidP="0020255E">
      <w:pPr>
        <w:pStyle w:val="a5"/>
      </w:pPr>
      <w:r>
        <w:rPr>
          <w:rStyle w:val="a7"/>
        </w:rPr>
        <w:footnoteRef/>
      </w:r>
      <w:r>
        <w:t xml:space="preserve"> </w:t>
      </w:r>
      <w:r>
        <w:rPr>
          <w:rtl/>
        </w:rPr>
        <w:t xml:space="preserve"> </w:t>
      </w:r>
      <w:r>
        <w:rPr>
          <w:b/>
          <w:bCs/>
          <w:rtl/>
        </w:rPr>
        <w:t>והא אוקימנא לעיל.</w:t>
      </w:r>
      <w:r>
        <w:rPr>
          <w:rtl/>
        </w:rPr>
        <w:t xml:space="preserve"> בתיקון כ"ו ותיקון נ”ו עיין שם:</w:t>
      </w:r>
    </w:p>
  </w:footnote>
  <w:footnote w:id="4631">
    <w:p w:rsidR="00A13282" w:rsidRDefault="00A13282" w:rsidP="0020255E">
      <w:pPr>
        <w:pStyle w:val="a5"/>
      </w:pPr>
      <w:r>
        <w:rPr>
          <w:rStyle w:val="a7"/>
        </w:rPr>
        <w:footnoteRef/>
      </w:r>
      <w:r>
        <w:t xml:space="preserve"> </w:t>
      </w:r>
      <w:r>
        <w:rPr>
          <w:rtl/>
        </w:rPr>
        <w:t xml:space="preserve"> </w:t>
      </w:r>
      <w:r>
        <w:rPr>
          <w:b/>
          <w:bCs/>
          <w:rtl/>
        </w:rPr>
        <w:t>איהו ערוה כו'.</w:t>
      </w:r>
      <w:r>
        <w:rPr>
          <w:rtl/>
        </w:rPr>
        <w:t xml:space="preserve"> הוא מתחיל ענין אחר, לפרש מלת ערוה. ואמר </w:t>
      </w:r>
      <w:r>
        <w:rPr>
          <w:b/>
          <w:bCs/>
          <w:rtl/>
        </w:rPr>
        <w:t>כד אתלבש כו'</w:t>
      </w:r>
      <w:r>
        <w:rPr>
          <w:rtl/>
        </w:rPr>
        <w:t xml:space="preserve"> לפרש מלת עור הנ"ל. ואמר </w:t>
      </w:r>
      <w:r>
        <w:rPr>
          <w:b/>
          <w:bCs/>
          <w:rtl/>
        </w:rPr>
        <w:t>בזמנא דאיהו ער בין כו'.</w:t>
      </w:r>
      <w:r>
        <w:rPr>
          <w:rtl/>
        </w:rPr>
        <w:t xml:space="preserve"> לפרש מלת ערוה הנ"ל:</w:t>
      </w:r>
    </w:p>
  </w:footnote>
  <w:footnote w:id="4632">
    <w:p w:rsidR="00A13282" w:rsidRDefault="00A13282" w:rsidP="0020255E">
      <w:pPr>
        <w:pStyle w:val="a5"/>
      </w:pPr>
      <w:r>
        <w:rPr>
          <w:rStyle w:val="a7"/>
        </w:rPr>
        <w:footnoteRef/>
      </w:r>
      <w:r>
        <w:t xml:space="preserve"> </w:t>
      </w:r>
      <w:r>
        <w:rPr>
          <w:rtl/>
        </w:rPr>
        <w:t xml:space="preserve"> </w:t>
      </w:r>
      <w:r>
        <w:rPr>
          <w:b/>
          <w:bCs/>
          <w:rtl/>
        </w:rPr>
        <w:t>דעליה אתמר וסוד כו' עריה תעור כו'.</w:t>
      </w:r>
      <w:r>
        <w:rPr>
          <w:rtl/>
        </w:rPr>
        <w:t xml:space="preserve"> עיין לעיל תיקון ל”ד ותיקון נ”ו ומה שכתבתי שם ושם:</w:t>
      </w:r>
    </w:p>
  </w:footnote>
  <w:footnote w:id="4633">
    <w:p w:rsidR="00A13282" w:rsidRDefault="00A13282" w:rsidP="0020255E">
      <w:pPr>
        <w:pStyle w:val="a5"/>
      </w:pPr>
      <w:r>
        <w:rPr>
          <w:rStyle w:val="a7"/>
        </w:rPr>
        <w:footnoteRef/>
      </w:r>
      <w:r>
        <w:t xml:space="preserve"> </w:t>
      </w:r>
      <w:r>
        <w:rPr>
          <w:rtl/>
        </w:rPr>
        <w:t xml:space="preserve"> </w:t>
      </w:r>
      <w:r>
        <w:rPr>
          <w:b/>
          <w:bCs/>
          <w:rtl/>
        </w:rPr>
        <w:t>כמה דאוקמוה מארי מתניתין כו'.</w:t>
      </w:r>
      <w:r>
        <w:rPr>
          <w:rtl/>
        </w:rPr>
        <w:t xml:space="preserve"> עיין בזוהר פ’ בראשית ל"ה ב' ר' יהודה שאיל כו' וזה שאומר </w:t>
      </w:r>
      <w:r>
        <w:rPr>
          <w:b/>
          <w:bCs/>
          <w:rtl/>
        </w:rPr>
        <w:t>ודא גרים כו'.</w:t>
      </w:r>
      <w:r>
        <w:rPr>
          <w:rtl/>
        </w:rPr>
        <w:t xml:space="preserve"> שהוא היה כולל הוי"ה כמו שאומר לעיל בתיקון ס”ה, ונדבק ברע דעץ הדעת טוב ורע, ערלה כנ"ל, וא' הוא יחודא שהוא מייחד כל השם דהוי"ה שיחודן ע"י אלף כידוע וכנ"ל, והחליף בר"ע - ער, ועיין בזוהר פ’ בראשית ב' א' ואינון דחבו בעגלא כו', והוא מעשה אדם הראשון כידוע וזהו ערלה:</w:t>
      </w:r>
    </w:p>
  </w:footnote>
  <w:footnote w:id="4634">
    <w:p w:rsidR="00A13282" w:rsidRDefault="00A13282" w:rsidP="0020255E">
      <w:pPr>
        <w:pStyle w:val="a5"/>
      </w:pPr>
      <w:r>
        <w:rPr>
          <w:rStyle w:val="a7"/>
        </w:rPr>
        <w:footnoteRef/>
      </w:r>
      <w:r>
        <w:t xml:space="preserve"> </w:t>
      </w:r>
      <w:r>
        <w:rPr>
          <w:rtl/>
        </w:rPr>
        <w:t xml:space="preserve"> </w:t>
      </w:r>
      <w:r>
        <w:rPr>
          <w:b/>
          <w:bCs/>
          <w:rtl/>
        </w:rPr>
        <w:t>תעור איהו ערות כו'.</w:t>
      </w:r>
      <w:r>
        <w:rPr>
          <w:rtl/>
        </w:rPr>
        <w:t xml:space="preserve"> מפרש והולך כל הפסוק וזה שאומר דאיהו קשת הברית דנקרא קשת כמו שאומר בכתוב (בראשית ט יב,יג), וצורתו גם כן כקשת:</w:t>
      </w:r>
    </w:p>
  </w:footnote>
  <w:footnote w:id="4635">
    <w:p w:rsidR="00A13282" w:rsidRDefault="00A13282" w:rsidP="0020255E">
      <w:pPr>
        <w:pStyle w:val="a5"/>
      </w:pPr>
      <w:r>
        <w:rPr>
          <w:rStyle w:val="a7"/>
        </w:rPr>
        <w:footnoteRef/>
      </w:r>
      <w:r>
        <w:t xml:space="preserve"> </w:t>
      </w:r>
      <w:r>
        <w:rPr>
          <w:rtl/>
        </w:rPr>
        <w:t xml:space="preserve"> </w:t>
      </w:r>
      <w:r>
        <w:rPr>
          <w:b/>
          <w:bCs/>
          <w:rtl/>
        </w:rPr>
        <w:t>תקש איהי קשת.</w:t>
      </w:r>
      <w:r>
        <w:rPr>
          <w:rtl/>
        </w:rPr>
        <w:t xml:space="preserve"> עיין בזוהר פ’ בראשית ח' ב' ועיין מה שאומר לעיל נ"ג א' בארוכה בענין קשת:</w:t>
      </w:r>
    </w:p>
  </w:footnote>
  <w:footnote w:id="4636">
    <w:p w:rsidR="00A13282" w:rsidRDefault="00A13282" w:rsidP="0020255E">
      <w:pPr>
        <w:pStyle w:val="a5"/>
      </w:pPr>
      <w:r>
        <w:rPr>
          <w:rStyle w:val="a7"/>
        </w:rPr>
        <w:footnoteRef/>
      </w:r>
      <w:r>
        <w:t xml:space="preserve"> </w:t>
      </w:r>
      <w:r>
        <w:rPr>
          <w:rtl/>
        </w:rPr>
        <w:t xml:space="preserve"> </w:t>
      </w:r>
      <w:r>
        <w:rPr>
          <w:b/>
          <w:bCs/>
          <w:rtl/>
        </w:rPr>
        <w:t>ורזא דלמלה בעצב כו'.</w:t>
      </w:r>
      <w:r>
        <w:rPr>
          <w:rtl/>
        </w:rPr>
        <w:t xml:space="preserve"> רוצה לומר לכן ולתקש בלדתה וכמו שאומר בזוהר בארוכה, ענין העצבון בה על עובדין דהאי עלמא וזה שאומר ומתמן אמרה חנה כו'. ואמר </w:t>
      </w:r>
      <w:r>
        <w:rPr>
          <w:b/>
          <w:bCs/>
          <w:rtl/>
        </w:rPr>
        <w:t>מלה דאקיש לי.</w:t>
      </w:r>
      <w:r>
        <w:rPr>
          <w:rtl/>
        </w:rPr>
        <w:t xml:space="preserve"> רוצה לומר שוה ומוקש לי, והוא ששמו נקרא כשם רבו, ובו נוקש אדם הראשון כנ"ל תיקון ס”ז ושאר מקומות, וזה שאומר </w:t>
      </w:r>
      <w:r>
        <w:rPr>
          <w:b/>
          <w:bCs/>
          <w:rtl/>
        </w:rPr>
        <w:t>מוקש כתיב ביה.</w:t>
      </w:r>
      <w:r>
        <w:rPr>
          <w:rtl/>
        </w:rPr>
        <w:t xml:space="preserve"> והוא באות ברית, עטרה, מלכות, ותקש רחל בג' גוונין דקשת, מג"ן דבה, והיא הוקש לו, תמתי - תאומתי, איהו חכם ואיהי חכמה, איהו חסיד ואיהי חסידה כו', ובזה הברית נוקש אדם הראשון, וזה שאומר </w:t>
      </w:r>
      <w:r>
        <w:rPr>
          <w:b/>
          <w:bCs/>
          <w:rtl/>
        </w:rPr>
        <w:t xml:space="preserve">כמה דאוקמוהו אדם הראשון כו'. </w:t>
      </w:r>
      <w:r>
        <w:rPr>
          <w:rtl/>
        </w:rPr>
        <w:t>ולמעלה כתבתי שהוא במט"ט ורוצה לומר בנוק' דמט"ט, השפחה דאיהי רע, (משלי ה ה) רגליה כו', דטוב ורע הן עבד ושפחה כמו שאומר לעיל תיקון ס”ז, וזה שאומר כאן דהוא בנוק', וכל מה שאומרים בפגם הנוק' - הכל כאן:</w:t>
      </w:r>
    </w:p>
  </w:footnote>
  <w:footnote w:id="4637">
    <w:p w:rsidR="00A13282" w:rsidRDefault="00A13282" w:rsidP="0020255E">
      <w:pPr>
        <w:pStyle w:val="a5"/>
      </w:pPr>
      <w:r>
        <w:rPr>
          <w:rStyle w:val="a7"/>
        </w:rPr>
        <w:footnoteRef/>
      </w:r>
      <w:r>
        <w:t xml:space="preserve"> </w:t>
      </w:r>
      <w:r>
        <w:rPr>
          <w:rtl/>
        </w:rPr>
        <w:t xml:space="preserve"> </w:t>
      </w:r>
      <w:r>
        <w:rPr>
          <w:b/>
          <w:bCs/>
          <w:rtl/>
        </w:rPr>
        <w:t>ואם נטיר ליה איהו בהקש אלי כו'.</w:t>
      </w:r>
      <w:r>
        <w:rPr>
          <w:rtl/>
        </w:rPr>
        <w:t xml:space="preserve"> רוצה לומר שדרשו את קשתי - הוקש אלי, ורוצה לומר בנוק' דהוקש כנ"ל, וכן הוא באדם דהיה זוכה למלכות כמו שמפרש והולך בגין כו' וכמו ביוסף, וכמו שאומר בזוהר בארוכה. ואמר </w:t>
      </w:r>
      <w:r>
        <w:rPr>
          <w:b/>
          <w:bCs/>
          <w:rtl/>
        </w:rPr>
        <w:t>עליה אתמר ויברא כו'.</w:t>
      </w:r>
      <w:r>
        <w:rPr>
          <w:rtl/>
        </w:rPr>
        <w:t xml:space="preserve"> רוצה לומר שהאדם נברא בדיוקנא דנוק', וזהו בצלמו, דאיהו צלם דיליה, וכמו שאומר לעיל בתיקון ס”ב אר"א והא כו' אלא שכינתא כו' עיין שם:</w:t>
      </w:r>
    </w:p>
  </w:footnote>
  <w:footnote w:id="4638">
    <w:p w:rsidR="00A13282" w:rsidRDefault="00A13282" w:rsidP="0020255E">
      <w:pPr>
        <w:pStyle w:val="a5"/>
      </w:pPr>
      <w:r>
        <w:rPr>
          <w:rStyle w:val="a7"/>
        </w:rPr>
        <w:footnoteRef/>
      </w:r>
      <w:r>
        <w:t xml:space="preserve"> </w:t>
      </w:r>
      <w:r>
        <w:rPr>
          <w:rtl/>
        </w:rPr>
        <w:t xml:space="preserve"> </w:t>
      </w:r>
      <w:r>
        <w:rPr>
          <w:b/>
          <w:bCs/>
          <w:rtl/>
        </w:rPr>
        <w:t>וא"ל נטיר ליה אתחזר קשה לי' קשה כו'.</w:t>
      </w:r>
      <w:r>
        <w:rPr>
          <w:rtl/>
        </w:rPr>
        <w:t xml:space="preserve"> רוצה לומר שאם זכה היה הקש כנ"ל, ה' שליט על קש, אבל כד חב אתהפיך קשה, קש שליט, והוא קשה לאדם, וזהו קשה ליה, לאדם, וקשה לשכינה, וזה שאומר קשה לאת ה', דקש עליה, וזה שאומר ועל האי קש וכו' ואמר </w:t>
      </w:r>
      <w:r>
        <w:rPr>
          <w:b/>
          <w:bCs/>
          <w:rtl/>
        </w:rPr>
        <w:t>ואיהו לקש בהיפוך.</w:t>
      </w:r>
      <w:r>
        <w:rPr>
          <w:rtl/>
        </w:rPr>
        <w:t xml:space="preserve"> רוצה לומר, כד זכה אתהפך לקש דעשו, לשקל דצדיק כו', דברית נקרא שקל הקודש כידוע בסוד ד' אתוון, במשפט במדה במשקל במשורה, ועיין מה שכתבתי בריש ספרא דצניעותא בארוכה בענין הדעת דהוא שקל הקודש והוא בשמירת הברית:</w:t>
      </w:r>
    </w:p>
  </w:footnote>
  <w:footnote w:id="4639">
    <w:p w:rsidR="00A13282" w:rsidRDefault="00A13282" w:rsidP="0020255E">
      <w:pPr>
        <w:pStyle w:val="a5"/>
      </w:pPr>
      <w:r>
        <w:rPr>
          <w:rStyle w:val="a7"/>
        </w:rPr>
        <w:footnoteRef/>
      </w:r>
      <w:r>
        <w:t xml:space="preserve"> </w:t>
      </w:r>
      <w:r>
        <w:rPr>
          <w:b/>
          <w:bCs/>
          <w:rtl/>
        </w:rPr>
        <w:t xml:space="preserve">איהו עד עליה. </w:t>
      </w:r>
      <w:r>
        <w:rPr>
          <w:rtl/>
        </w:rPr>
        <w:t xml:space="preserve">כמו שאומר לעיל דנקרא עדות. ואמר </w:t>
      </w:r>
      <w:r>
        <w:rPr>
          <w:b/>
          <w:bCs/>
          <w:rtl/>
        </w:rPr>
        <w:t>ע' כו'.</w:t>
      </w:r>
      <w:r>
        <w:rPr>
          <w:rtl/>
        </w:rPr>
        <w:t xml:space="preserve"> דהוא סוד דיסוד, והוא קוצו של ד' (הגהה יו"ד דיסוד שהוא טפת הזרע, שמירת הברית). וזה שאומר </w:t>
      </w:r>
      <w:r>
        <w:rPr>
          <w:b/>
          <w:bCs/>
          <w:rtl/>
        </w:rPr>
        <w:t>ואי לא כו' ואשתאר אחר עד ער.</w:t>
      </w:r>
      <w:r>
        <w:rPr>
          <w:rtl/>
        </w:rPr>
        <w:t xml:space="preserve"> והוא ער הנ"ל שהוא ערוה והכל תלוי בקוץ וכמו שאומר לעיל תיקון כ’ ותיקון כ”א ועיין מה שאומר ריש תיקון כ”א:</w:t>
      </w:r>
    </w:p>
  </w:footnote>
  <w:footnote w:id="4640">
    <w:p w:rsidR="00A13282" w:rsidRDefault="00A13282" w:rsidP="0020255E">
      <w:pPr>
        <w:pStyle w:val="a5"/>
      </w:pPr>
      <w:r>
        <w:rPr>
          <w:rStyle w:val="a7"/>
        </w:rPr>
        <w:footnoteRef/>
      </w:r>
      <w:r>
        <w:t xml:space="preserve"> </w:t>
      </w:r>
      <w:r>
        <w:rPr>
          <w:b/>
          <w:bCs/>
          <w:rtl/>
        </w:rPr>
        <w:t>אלא בזמנא כו'.</w:t>
      </w:r>
      <w:r>
        <w:rPr>
          <w:rtl/>
        </w:rPr>
        <w:t xml:space="preserve"> כמו שאמרו (עירובין יח ע"ב) שפירש ק"ל שנה כו', עד שנפרדה הזוהמא, וישב ק"ל שנה בגיחון כו', וזה שאומר ובתר דקבל כו', אבל כאן אומר מיד אחר שנתגרש מגן עדן ידע האדם להוליד קין והבל. ואמר </w:t>
      </w:r>
      <w:r>
        <w:rPr>
          <w:b/>
          <w:bCs/>
          <w:rtl/>
        </w:rPr>
        <w:t>בגין דעלה אתמר כו'</w:t>
      </w:r>
      <w:r>
        <w:rPr>
          <w:rtl/>
        </w:rPr>
        <w:t xml:space="preserve"> רוצה לומר על השכינה. ואמר </w:t>
      </w:r>
      <w:r>
        <w:rPr>
          <w:b/>
          <w:bCs/>
          <w:rtl/>
        </w:rPr>
        <w:t>ומאן אסתלקת כו'</w:t>
      </w:r>
      <w:r>
        <w:rPr>
          <w:rtl/>
        </w:rPr>
        <w:t xml:space="preserve"> לפרש ענין המטה וכמו שמפרש והולך הנותן מטתו כו', והוא עבר על עשה ועל לא תעשה דנצטוה לעבדה ולשמרה, עץ החיים אורייתא דאתייהב מימינא ומשמאלא כמו שאומר לעיל סוף תיקון נ”ד וכן הצווי (בראשית ב טז,יז) מכל עץ הגן כו' ומעץ הדעת כו' - הוא עשה ולא תעשה כמו שאמרו בכמה מקומות, ואמר </w:t>
      </w:r>
      <w:r>
        <w:rPr>
          <w:b/>
          <w:bCs/>
          <w:rtl/>
        </w:rPr>
        <w:t>דבזימנא דלית שכינתא כו'.</w:t>
      </w:r>
      <w:r>
        <w:rPr>
          <w:rtl/>
        </w:rPr>
        <w:t xml:space="preserve"> דזה שאמרו (תענית יא ע"א) אסור לשמש מטתו בשני רעבון וכן אמרו כשאין הארון במקומו כמו שכתוב (שמואל ב יא יא) הארון וישראל כו':</w:t>
      </w:r>
    </w:p>
  </w:footnote>
  <w:footnote w:id="4641">
    <w:p w:rsidR="00A13282" w:rsidRDefault="00A13282" w:rsidP="0020255E">
      <w:pPr>
        <w:pStyle w:val="a5"/>
      </w:pPr>
      <w:r>
        <w:rPr>
          <w:rStyle w:val="a7"/>
        </w:rPr>
        <w:footnoteRef/>
      </w:r>
      <w:r>
        <w:t xml:space="preserve"> </w:t>
      </w:r>
      <w:r>
        <w:rPr>
          <w:rtl/>
        </w:rPr>
        <w:t xml:space="preserve"> </w:t>
      </w:r>
      <w:r>
        <w:rPr>
          <w:bCs/>
          <w:rtl/>
        </w:rPr>
        <w:t>ועוד והאדם כו' ואית כו'.</w:t>
      </w:r>
      <w:r>
        <w:rPr>
          <w:rtl/>
        </w:rPr>
        <w:t xml:space="preserve"> כמו שכתוב הדעת טוב ורע, וטוב הוא (משלי ג ו) בכל דרכיך דעהו, ורוצה לומר שידע מה שעשתה לו חוה אשתו</w:t>
      </w:r>
      <w:r w:rsidR="00C16EB5">
        <w:rPr>
          <w:rFonts w:hint="cs"/>
          <w:rtl/>
        </w:rPr>
        <w:t>.</w:t>
      </w:r>
      <w:r>
        <w:rPr>
          <w:rtl/>
        </w:rPr>
        <w:t xml:space="preserve"> ומפרש והולך הקרא</w:t>
      </w:r>
      <w:r w:rsidR="00C16EB5">
        <w:rPr>
          <w:rFonts w:hint="cs"/>
          <w:rtl/>
        </w:rPr>
        <w:t>,</w:t>
      </w:r>
      <w:r>
        <w:rPr>
          <w:rtl/>
        </w:rPr>
        <w:t xml:space="preserve"> שילדה את קין</w:t>
      </w:r>
      <w:r w:rsidR="00C16EB5">
        <w:rPr>
          <w:rFonts w:hint="cs"/>
          <w:rtl/>
        </w:rPr>
        <w:t>,</w:t>
      </w:r>
      <w:r>
        <w:rPr>
          <w:rtl/>
        </w:rPr>
        <w:t xml:space="preserve"> בזה ידע סהדותא על חטא דיליה, והענין דרוצה לומר שאדם עם חוה אשתו נמלאו בדעת לביש</w:t>
      </w:r>
      <w:r w:rsidR="00C16EB5">
        <w:rPr>
          <w:rFonts w:hint="cs"/>
          <w:rtl/>
        </w:rPr>
        <w:t>.</w:t>
      </w:r>
      <w:r>
        <w:rPr>
          <w:rtl/>
        </w:rPr>
        <w:t xml:space="preserve"> ולכן בזיווגם, חיבור דעתם, ותהר ותלד כו'</w:t>
      </w:r>
      <w:r w:rsidR="00C16EB5">
        <w:rPr>
          <w:rFonts w:hint="cs"/>
          <w:rtl/>
        </w:rPr>
        <w:t>,</w:t>
      </w:r>
      <w:r>
        <w:rPr>
          <w:rtl/>
        </w:rPr>
        <w:t xml:space="preserve"> שלולא החטא היה הזיווג שלא בדעת</w:t>
      </w:r>
      <w:r w:rsidR="00C16EB5">
        <w:rPr>
          <w:rFonts w:hint="cs"/>
          <w:rtl/>
        </w:rPr>
        <w:t>,</w:t>
      </w:r>
      <w:r>
        <w:rPr>
          <w:rtl/>
        </w:rPr>
        <w:t xml:space="preserve"> רוצה לומר היצר הרע</w:t>
      </w:r>
      <w:r w:rsidR="00C16EB5">
        <w:rPr>
          <w:rFonts w:hint="cs"/>
          <w:rtl/>
        </w:rPr>
        <w:t>,</w:t>
      </w:r>
      <w:r>
        <w:rPr>
          <w:rtl/>
        </w:rPr>
        <w:t xml:space="preserve"> אלא בעץ החיים כמו לעתיד לבוא</w:t>
      </w:r>
      <w:r w:rsidR="00C16EB5">
        <w:rPr>
          <w:rFonts w:hint="cs"/>
          <w:rtl/>
        </w:rPr>
        <w:t>,</w:t>
      </w:r>
      <w:r>
        <w:rPr>
          <w:rtl/>
        </w:rPr>
        <w:t xml:space="preserve"> שיבקשו רחמים על התעוררות הזיווג שיהיה מאת השם</w:t>
      </w:r>
      <w:r w:rsidR="00C16EB5">
        <w:rPr>
          <w:rFonts w:hint="cs"/>
          <w:rtl/>
        </w:rPr>
        <w:t>,</w:t>
      </w:r>
      <w:r>
        <w:rPr>
          <w:rtl/>
        </w:rPr>
        <w:t xml:space="preserve"> והיו הולדות חיים לעולם מעץ החיים</w:t>
      </w:r>
      <w:r w:rsidR="00C16EB5">
        <w:rPr>
          <w:rFonts w:hint="cs"/>
          <w:rtl/>
        </w:rPr>
        <w:t>.</w:t>
      </w:r>
      <w:r>
        <w:rPr>
          <w:rtl/>
        </w:rPr>
        <w:t xml:space="preserve"> וכן לעתיד לבוא</w:t>
      </w:r>
      <w:r w:rsidR="00C16EB5">
        <w:rPr>
          <w:rFonts w:hint="cs"/>
          <w:rtl/>
        </w:rPr>
        <w:t>.</w:t>
      </w:r>
      <w:r>
        <w:rPr>
          <w:rtl/>
        </w:rPr>
        <w:t xml:space="preserve"> וזה שאומר ערום מאורייתא כו'</w:t>
      </w:r>
      <w:r w:rsidR="00C16EB5">
        <w:rPr>
          <w:rFonts w:hint="cs"/>
          <w:rtl/>
        </w:rPr>
        <w:t>,</w:t>
      </w:r>
      <w:r>
        <w:rPr>
          <w:rtl/>
        </w:rPr>
        <w:t xml:space="preserve"> דהזיווג היה בתורה שבכתב ובעל פה, את ואת, שהן אש ואש, חמימות להתעוררות הזיווג כמו שאומר לקמן קמ"ב א', וכן הוא ברית הלשון:</w:t>
      </w:r>
    </w:p>
  </w:footnote>
  <w:footnote w:id="4642">
    <w:p w:rsidR="00A13282" w:rsidRDefault="00A13282" w:rsidP="0020255E">
      <w:pPr>
        <w:pStyle w:val="a5"/>
      </w:pPr>
      <w:r>
        <w:rPr>
          <w:rStyle w:val="a7"/>
        </w:rPr>
        <w:footnoteRef/>
      </w:r>
      <w:r>
        <w:t xml:space="preserve"> </w:t>
      </w:r>
      <w:r>
        <w:rPr>
          <w:b/>
          <w:bCs/>
          <w:rtl/>
        </w:rPr>
        <w:t>ערום כו'.</w:t>
      </w:r>
      <w:r>
        <w:rPr>
          <w:rtl/>
        </w:rPr>
        <w:t xml:space="preserve"> דערום ועריה הוא לשון זכר ונקבה</w:t>
      </w:r>
      <w:r w:rsidR="00C16EB5">
        <w:rPr>
          <w:rFonts w:hint="cs"/>
          <w:rtl/>
        </w:rPr>
        <w:t>,</w:t>
      </w:r>
      <w:r>
        <w:rPr>
          <w:rtl/>
        </w:rPr>
        <w:t xml:space="preserve"> רוצה לומר זהו (בראשית ג ז) ערומים הם, שנים, ולפי שכוללן יחד לכן נאמר לשון זכר כמו יום ולילה:</w:t>
      </w:r>
    </w:p>
  </w:footnote>
  <w:footnote w:id="4643">
    <w:p w:rsidR="00A13282" w:rsidRDefault="00A13282" w:rsidP="0020255E">
      <w:pPr>
        <w:pStyle w:val="a5"/>
      </w:pPr>
      <w:r>
        <w:rPr>
          <w:rStyle w:val="a7"/>
        </w:rPr>
        <w:footnoteRef/>
      </w:r>
      <w:r>
        <w:t xml:space="preserve"> </w:t>
      </w:r>
      <w:r>
        <w:rPr>
          <w:rtl/>
        </w:rPr>
        <w:t xml:space="preserve"> </w:t>
      </w:r>
      <w:r>
        <w:rPr>
          <w:b/>
          <w:bCs/>
          <w:rtl/>
        </w:rPr>
        <w:t>בארח אצילות.</w:t>
      </w:r>
      <w:r>
        <w:rPr>
          <w:rtl/>
        </w:rPr>
        <w:t xml:space="preserve"> דהוא דרגא דחכמה, ובריאה דרגא דבינה, ושם הוא מעשה בראשית, כ"ח אתוון דפסוק בראשית כמו שמפרש והולך כ"ח מ"ה - (תהלים קיא ו) כח מעשיו, וגם שבאצילות אין חטא הפגם, שנסתלק האצילות, וכמו שאומר לקמן וכן זיהרא דנשמתא דאצילות:</w:t>
      </w:r>
    </w:p>
  </w:footnote>
  <w:footnote w:id="4644">
    <w:p w:rsidR="00A13282" w:rsidRDefault="00A13282" w:rsidP="0020255E">
      <w:pPr>
        <w:pStyle w:val="a5"/>
      </w:pPr>
      <w:r>
        <w:rPr>
          <w:rStyle w:val="a7"/>
        </w:rPr>
        <w:footnoteRef/>
      </w:r>
      <w:r>
        <w:t xml:space="preserve"> </w:t>
      </w:r>
      <w:r>
        <w:rPr>
          <w:rtl/>
        </w:rPr>
        <w:t xml:space="preserve"> </w:t>
      </w:r>
      <w:r>
        <w:rPr>
          <w:b/>
          <w:bCs/>
          <w:rtl/>
        </w:rPr>
        <w:t>וכלא כח מ"ה.</w:t>
      </w:r>
      <w:r>
        <w:rPr>
          <w:rtl/>
        </w:rPr>
        <w:t xml:space="preserve"> דחכמה מ"ה דרגא דאדם מ"ה וחוה ו' ה' דחוה כ"א כלול מעשר הרי כ"ח ועיין לעיל ל"ט א' מענין כח מ"ה ומה שכתבתי שם. ואמר וחוה במעשה דיליה, דשם הוא מעשה של הקב"ה, בריאה ראשונה, ואצילות - שם הוא מחשבה של הקב"ה ושם איהו שמא מפרש, מ"ה, וכן הוא בחו"ב, וחטאם הוא בעץ הדעת טוב ורע, ביצירה ועשיה נסתלקו אצילות ובריאה וכמו שאומר לעיל ריש תיקון ס”ו ובתר דחאב אדם ביצירה כו' ועיין מה שכתבתי שם:</w:t>
      </w:r>
    </w:p>
  </w:footnote>
  <w:footnote w:id="4645">
    <w:p w:rsidR="00A13282" w:rsidRDefault="00A13282" w:rsidP="0020255E">
      <w:pPr>
        <w:pStyle w:val="a5"/>
      </w:pPr>
      <w:r>
        <w:rPr>
          <w:rStyle w:val="a7"/>
        </w:rPr>
        <w:footnoteRef/>
      </w:r>
      <w:r>
        <w:t xml:space="preserve"> </w:t>
      </w:r>
      <w:r>
        <w:rPr>
          <w:rtl/>
        </w:rPr>
        <w:t xml:space="preserve"> </w:t>
      </w:r>
      <w:r>
        <w:rPr>
          <w:b/>
          <w:bCs/>
          <w:rtl/>
        </w:rPr>
        <w:t>ועוד והאדם כו'.</w:t>
      </w:r>
      <w:r>
        <w:rPr>
          <w:rtl/>
        </w:rPr>
        <w:t xml:space="preserve"> רוצה לומר כמו שאומר לעיל שע"י קין ידע חובא דיליה וידע חובא דילה וזוהמא עד היכן לא פסקה כמו שמפרש והולך דאתפשט עד קני חותן משה רוצה לומר קני הוא קין, ועד יתרו לא הוברר הזוהמא, וביתרו הוברר כל הטוב בו ובזרעו וכל הפסולת הוברר בגלגולין דקין והכל אתפשטותא דרע ועיין לקמן קי"ב א"ל ר"ש ברי קין מסטרא כו' וכמו עד אבהן שנתברר אדם הראשון והיה אתפשטותא דטוב נברר, עד שנברר ביעקב ונשאר לזרעו ומשם ואילך כל האומות פלחי כוכביא אתפשטותא דרע:</w:t>
      </w:r>
    </w:p>
  </w:footnote>
  <w:footnote w:id="4646">
    <w:p w:rsidR="00A13282" w:rsidRDefault="00A13282" w:rsidP="0020255E">
      <w:pPr>
        <w:pStyle w:val="a5"/>
      </w:pPr>
      <w:r>
        <w:rPr>
          <w:rStyle w:val="a7"/>
        </w:rPr>
        <w:footnoteRef/>
      </w:r>
      <w:r>
        <w:t xml:space="preserve"> </w:t>
      </w:r>
      <w:r>
        <w:rPr>
          <w:rtl/>
        </w:rPr>
        <w:t xml:space="preserve"> </w:t>
      </w:r>
      <w:r>
        <w:rPr>
          <w:b/>
          <w:bCs/>
          <w:rtl/>
        </w:rPr>
        <w:t>ובכן ראיתי כו'.</w:t>
      </w:r>
      <w:r>
        <w:rPr>
          <w:rtl/>
        </w:rPr>
        <w:t xml:space="preserve"> רוצה לומר ובאו עוד בגלגולא וממקום קדוש - בצדיקיא בקדושה, ואמר וממקום, דצריך לאתכללא למעלה כמו שאומר בפ' פנחס רי"ז ב' ר' אבא ור' יוסי כו' ועיין מה שאומר לעיל ריש תיקון נ”ח:</w:t>
      </w:r>
    </w:p>
  </w:footnote>
  <w:footnote w:id="4647">
    <w:p w:rsidR="00A13282" w:rsidRDefault="00A13282" w:rsidP="0020255E">
      <w:pPr>
        <w:pStyle w:val="a5"/>
      </w:pPr>
      <w:r>
        <w:rPr>
          <w:rStyle w:val="a7"/>
        </w:rPr>
        <w:footnoteRef/>
      </w:r>
      <w:r>
        <w:t xml:space="preserve"> </w:t>
      </w:r>
      <w:r>
        <w:rPr>
          <w:rtl/>
        </w:rPr>
        <w:t xml:space="preserve"> </w:t>
      </w:r>
      <w:r>
        <w:rPr>
          <w:b/>
          <w:bCs/>
          <w:rtl/>
        </w:rPr>
        <w:t>טפה סרוחה.</w:t>
      </w:r>
      <w:r>
        <w:rPr>
          <w:rtl/>
        </w:rPr>
        <w:t xml:space="preserve"> טפה של האשה ותאותה שהוא מסטרא דלילית והוא שאור שבעיסה שיצר הרע אחוז באדם ומוכרח למות בשביל זה ונולד בערלה וזה שאומר דאתמר כו' ובגינה כו' וכנ"ל:</w:t>
      </w:r>
    </w:p>
  </w:footnote>
  <w:footnote w:id="4648">
    <w:p w:rsidR="00A13282" w:rsidRDefault="00A13282" w:rsidP="0020255E">
      <w:pPr>
        <w:pStyle w:val="a5"/>
      </w:pPr>
      <w:r>
        <w:rPr>
          <w:rStyle w:val="a7"/>
        </w:rPr>
        <w:footnoteRef/>
      </w:r>
      <w:r>
        <w:t xml:space="preserve"> </w:t>
      </w:r>
      <w:r>
        <w:rPr>
          <w:rtl/>
        </w:rPr>
        <w:t xml:space="preserve"> </w:t>
      </w:r>
      <w:r>
        <w:rPr>
          <w:b/>
          <w:bCs/>
          <w:rtl/>
        </w:rPr>
        <w:t>ותוסף כו'.</w:t>
      </w:r>
      <w:r>
        <w:rPr>
          <w:rtl/>
        </w:rPr>
        <w:t xml:space="preserve"> בזה הפסוק מפרש כל רזא דגלגולא דצדיקיא דשרשן הוא משה כמו שמפרש והולך ומשה גלגול הבל שנאמר (קהלת ב טו, ח יד) שגם זה הבל ונאמר (בראשית ו ג) בשגם הוא בשר והיו ימיו מאה ועשרים שנה, שדרשו בשגם, וחסר ב' משגם - שחטא והציץ בשכינה, ב' דבראשית, וניתן שת תחת הבל, ונתגלגלו שניהם במשה, מ"שה ש"ת ה"בל, ושם נתקנו (שמות ג ו) ויסתר משה פניו בשת נתחבר ב' בשת וב' בהבל בשגם ונטלה משה (הגהה, ושגם הוא ז' הבלים דכל אחד כליל ז' עד שמ"ג, (ישעיהו ל כו) ואור החמה כו', (ב"ב עה ע"א) פני משה כו') ועיין לקמן ק"ה א':</w:t>
      </w:r>
    </w:p>
  </w:footnote>
  <w:footnote w:id="4649">
    <w:p w:rsidR="00A13282" w:rsidRDefault="00A13282" w:rsidP="0020255E">
      <w:pPr>
        <w:pStyle w:val="a5"/>
      </w:pPr>
      <w:r>
        <w:rPr>
          <w:rStyle w:val="a7"/>
        </w:rPr>
        <w:footnoteRef/>
      </w:r>
      <w:r>
        <w:t xml:space="preserve"> </w:t>
      </w:r>
      <w:r>
        <w:rPr>
          <w:rtl/>
        </w:rPr>
        <w:t xml:space="preserve"> </w:t>
      </w:r>
      <w:r>
        <w:rPr>
          <w:b/>
          <w:bCs/>
          <w:rtl/>
        </w:rPr>
        <w:t>פתח ואמר תוסף כו'.</w:t>
      </w:r>
      <w:r>
        <w:rPr>
          <w:rtl/>
        </w:rPr>
        <w:t xml:space="preserve"> דבפסוק הזה סוד הגלגול, כמו שכתוב תוסף כו' תשלח כו' ונאמר ותחדש כו' היא חדתותי דסיהרא דסליק לסיבו ואתהדר כמלקדמין כמו שאומר בפ' פנחס רי"ז ב' ואמר שם ואתחדש כנשר עולמין, ופסוק הזה נרמז בכאן תוסף רוחם כו', וזהו ותוסף. תשלח כו' זהו ללדת (בראשית ד ב), ונתקן במשה, וקין - ביתרו, (שמות יח ו) א"ני ח"ותנך י"תרו כו' ואשתך - תאומתך כו':</w:t>
      </w:r>
    </w:p>
  </w:footnote>
  <w:footnote w:id="4650">
    <w:p w:rsidR="00A13282" w:rsidRDefault="00A13282" w:rsidP="0020255E">
      <w:pPr>
        <w:pStyle w:val="a5"/>
      </w:pPr>
      <w:r>
        <w:rPr>
          <w:rStyle w:val="a7"/>
        </w:rPr>
        <w:footnoteRef/>
      </w:r>
      <w:r>
        <w:t xml:space="preserve"> </w:t>
      </w:r>
      <w:r>
        <w:rPr>
          <w:rtl/>
        </w:rPr>
        <w:t xml:space="preserve"> </w:t>
      </w:r>
      <w:r>
        <w:rPr>
          <w:b/>
          <w:bCs/>
          <w:rtl/>
        </w:rPr>
        <w:t>ואחזי לה.</w:t>
      </w:r>
      <w:r>
        <w:rPr>
          <w:rtl/>
        </w:rPr>
        <w:t xml:space="preserve"> וכן למטה </w:t>
      </w:r>
      <w:r>
        <w:rPr>
          <w:b/>
          <w:bCs/>
          <w:rtl/>
        </w:rPr>
        <w:t>ומיד דחמאה.</w:t>
      </w:r>
      <w:r>
        <w:rPr>
          <w:rtl/>
        </w:rPr>
        <w:t xml:space="preserve"> וכן למעלה </w:t>
      </w:r>
      <w:r>
        <w:rPr>
          <w:b/>
          <w:bCs/>
          <w:rtl/>
        </w:rPr>
        <w:t>ותיובתא דיליה תמן אמרה קניתי.</w:t>
      </w:r>
      <w:r>
        <w:rPr>
          <w:rtl/>
        </w:rPr>
        <w:t xml:space="preserve"> הכל על חוה דאיהי שכינתא:</w:t>
      </w:r>
    </w:p>
  </w:footnote>
  <w:footnote w:id="4651">
    <w:p w:rsidR="00A13282" w:rsidRDefault="00A13282" w:rsidP="0020255E">
      <w:pPr>
        <w:pStyle w:val="a5"/>
      </w:pPr>
      <w:r>
        <w:rPr>
          <w:rStyle w:val="a7"/>
        </w:rPr>
        <w:footnoteRef/>
      </w:r>
      <w:r>
        <w:t xml:space="preserve"> </w:t>
      </w:r>
      <w:r>
        <w:rPr>
          <w:rtl/>
        </w:rPr>
        <w:t xml:space="preserve"> </w:t>
      </w:r>
      <w:r>
        <w:rPr>
          <w:b/>
          <w:bCs/>
          <w:rtl/>
        </w:rPr>
        <w:t>גלגולא דילי'.</w:t>
      </w:r>
      <w:r>
        <w:rPr>
          <w:rtl/>
        </w:rPr>
        <w:t xml:space="preserve"> רוצה לומר דהבל:</w:t>
      </w:r>
    </w:p>
  </w:footnote>
  <w:footnote w:id="4652">
    <w:p w:rsidR="00A13282" w:rsidRDefault="00A13282" w:rsidP="0020255E">
      <w:pPr>
        <w:pStyle w:val="a5"/>
      </w:pPr>
      <w:r>
        <w:rPr>
          <w:rStyle w:val="a7"/>
        </w:rPr>
        <w:footnoteRef/>
      </w:r>
      <w:r>
        <w:t xml:space="preserve"> </w:t>
      </w:r>
      <w:r>
        <w:rPr>
          <w:rtl/>
        </w:rPr>
        <w:t xml:space="preserve"> </w:t>
      </w:r>
      <w:r>
        <w:rPr>
          <w:b/>
          <w:bCs/>
          <w:rtl/>
        </w:rPr>
        <w:t>עד שיתין רבוא.</w:t>
      </w:r>
      <w:r>
        <w:rPr>
          <w:rtl/>
        </w:rPr>
        <w:t xml:space="preserve"> רוצה לומר, בכל דור מתפשט עד שיתין רבוא וכמו שמפרש והולך ובגין דא אתמר ביה דור כו' ולית דור כו' ועיין לקמן ק"י א' דעליה איתמר דור הולך ודור בא ולית דור פחות מששים רבוא כו' ואתפשטותא הוא בכל דרא ודרא בכל צדיק וחכם דמתעסק באורייתא עד שיתין רבוא כו' כל דור הולך לההוא עלמא, ודור בא איהו ייתי כמקדמין, וכן אמר כאן דלית דור כו':</w:t>
      </w:r>
    </w:p>
  </w:footnote>
  <w:footnote w:id="4653">
    <w:p w:rsidR="00A13282" w:rsidRDefault="00A13282" w:rsidP="0020255E">
      <w:pPr>
        <w:pStyle w:val="a5"/>
      </w:pPr>
      <w:r>
        <w:rPr>
          <w:rStyle w:val="a7"/>
        </w:rPr>
        <w:footnoteRef/>
      </w:r>
      <w:r>
        <w:t xml:space="preserve"> </w:t>
      </w:r>
      <w:r>
        <w:rPr>
          <w:b/>
          <w:bCs/>
          <w:rtl/>
        </w:rPr>
        <w:t>ולעילא דור הולך דא ו' כו' והארץ כו'.</w:t>
      </w:r>
      <w:r>
        <w:rPr>
          <w:rtl/>
        </w:rPr>
        <w:t xml:space="preserve"> דרוח אזיל בגלגולא, ונפשא דאיהי שתופא לא אזלא בגלגולגא כלל, דהיא אתתא, (ישעיהו מד יג) לשבת בית, וכן הוא בכל דו"נ, דזכר - סובב הולך כל היום (קהלת א ו), ואתתא - (תהלים מה יד) כל כבודה כו', וכן יום ולילה, וכן בזיווגא (סנהדרין עד ע"ב) אתתא קרקע עולם כו' ואמר</w:t>
      </w:r>
    </w:p>
  </w:footnote>
  <w:footnote w:id="4654">
    <w:p w:rsidR="00A13282" w:rsidRDefault="00A13282" w:rsidP="0020255E">
      <w:pPr>
        <w:pStyle w:val="a5"/>
      </w:pPr>
      <w:r>
        <w:rPr>
          <w:rStyle w:val="a7"/>
        </w:rPr>
        <w:footnoteRef/>
      </w:r>
      <w:r>
        <w:t xml:space="preserve"> </w:t>
      </w:r>
      <w:r>
        <w:rPr>
          <w:b/>
          <w:bCs/>
          <w:rtl/>
        </w:rPr>
        <w:t>ואיהי שעתא כו'.</w:t>
      </w:r>
      <w:r>
        <w:rPr>
          <w:rtl/>
        </w:rPr>
        <w:t xml:space="preserve"> דרמ"ח מצוות עשה ושס"ה מצוות לא תעשה הן נגד דו"נ, רוח ונפש, ולכן נשים חייבות במצוות לא תעשה, ורמ"ח מצוות עשה הן נגד רמ"ח אברים, ושס"ה מצוות לא תעשה הן נגד שס"ה ימי השנה, דהאדם והזמן הן נגד דו"נ, רוח ונפש, והנה כל הרוחות הן נאצלים מששת ימי בראשית, (יבמות סג ע"ב) כל הנשמות שבגוף, והן לפי האברים, יש שתלוין בראש ויש בנימין כו' וכמו שאומר לעיל תיקון י”ח ושאר מקומות, והנפשות תלויות בזמן, כל הזמן של ששת אלפי שנה הן גוף אחד לכל הנפשות כי כל שנה מחולקים לשס"ה ימים, וכל יום עד רגעים, והנה מכוונים אברי הגוף של הרוחות נגד אברי הגוף של הזמן שהן דו"נ, וזה שאומר בספר יצירה שחלק לג' עש"ן, עולם שנה הן דו"נ הנ"ל, והנפש כולל דו"נ, רוח ונפש, שנאצל משניהם, וכד בר נש זכי שהרוח יוצא מכוון בשעה שמכוונת לו זהו שזוכה לבת זוגו כי הנפש אינה יוצאה כי אם לפי שעתו ולכך אינה אזלא בגלגולא כי היא אי אפשר לצאת אלא לפי שעתה והרוח אינה יוצאה לפי השעה רק המקום בעולם שכל העולם גוף אחד הוא כנ"ל אלא כאשר זוכה כנ"ל אבל בגלגולא אי אפשר לזכות לבת זוגו אם לא שהראשונה לא היתה בת זוגיה וכן בשני ושלישי וזה שאומר ואיהי שעתא כו' דהיא נקרא שעתא שהיא הזמן כנ"ל ובזמן עצמו - היום הוא דכורא ושעה נוק', לכן יום לשון זכר ושעה לשון נקבה וכמו בשנה שהשמש סובב פעם אחת שנה והירח י"ב פעמים, וכן הוא ביום והן דו"נ שבנוק' וזה שאומר</w:t>
      </w:r>
    </w:p>
  </w:footnote>
  <w:footnote w:id="4655">
    <w:p w:rsidR="00A13282" w:rsidRDefault="00A13282" w:rsidP="0020255E">
      <w:pPr>
        <w:pStyle w:val="a5"/>
      </w:pPr>
      <w:r>
        <w:rPr>
          <w:rStyle w:val="a7"/>
        </w:rPr>
        <w:footnoteRef/>
      </w:r>
      <w:r>
        <w:t xml:space="preserve"> </w:t>
      </w:r>
      <w:r>
        <w:rPr>
          <w:b/>
          <w:bCs/>
          <w:rtl/>
        </w:rPr>
        <w:t>ובג"ד איתמר לית כו'.</w:t>
      </w:r>
      <w:r>
        <w:rPr>
          <w:rtl/>
        </w:rPr>
        <w:t xml:space="preserve"> דהכל </w:t>
      </w:r>
      <w:r>
        <w:rPr>
          <w:b/>
          <w:rtl/>
        </w:rPr>
        <w:t>בנוק'. ואמר</w:t>
      </w:r>
    </w:p>
  </w:footnote>
  <w:footnote w:id="4656">
    <w:p w:rsidR="00A13282" w:rsidRDefault="00A13282" w:rsidP="0020255E">
      <w:pPr>
        <w:pStyle w:val="a5"/>
      </w:pPr>
      <w:r>
        <w:rPr>
          <w:rStyle w:val="a7"/>
        </w:rPr>
        <w:footnoteRef/>
      </w:r>
      <w:r>
        <w:t xml:space="preserve"> </w:t>
      </w:r>
      <w:r>
        <w:rPr>
          <w:b/>
          <w:bCs/>
          <w:rtl/>
        </w:rPr>
        <w:t>ולית לכל ב"נ</w:t>
      </w:r>
      <w:r>
        <w:rPr>
          <w:rtl/>
        </w:rPr>
        <w:t xml:space="preserve"> </w:t>
      </w:r>
      <w:r>
        <w:rPr>
          <w:b/>
          <w:bCs/>
          <w:rtl/>
        </w:rPr>
        <w:t xml:space="preserve">כו' אלא לבעלה </w:t>
      </w:r>
      <w:r>
        <w:rPr>
          <w:rtl/>
        </w:rPr>
        <w:t>כנ"ל שדווקא אם בעלה בא באותה שעה המכוונת כנ"ל ואם לאו אז צדיק ורע לו, דלא קיימא ליה שעתא, ועיין לקמן ב' זכאה איהו כו' כמה דאוקמוהו כל הדוחק כו' רוצה לומר שיצא לפני השעה שלו ועיין מה שאומר בתיקוני זוהר חדש פ"ד ד' תא חזי גלגול דאת ו' כו' ועיין מה שכתבתי שם ועיין לקמן ב' כמה דאוקמוהו מארי מתניתין אשתו כגופו דמי כו', רוצה לומר דהיא גופא דנפש, שיתופא דגופא, לכן ה"ה כגופו ואשתכח דאיהי חיים דיליה כו' ואיהי פרנסה דיליה כו', וכן כל המתנות - הכל מינה, כמו שאמרו בגמ' (ב"מ נט ע"א) ובזוהר חדש ריש פ' חוקת עיין שם בדבריו, וזה שאומר והאי שעתא מינה בני כו':</w:t>
      </w:r>
    </w:p>
  </w:footnote>
  <w:footnote w:id="4657">
    <w:p w:rsidR="00A13282" w:rsidRDefault="00A13282" w:rsidP="0020255E">
      <w:pPr>
        <w:pStyle w:val="a5"/>
      </w:pPr>
      <w:r>
        <w:rPr>
          <w:rStyle w:val="a7"/>
        </w:rPr>
        <w:footnoteRef/>
      </w:r>
      <w:r>
        <w:t xml:space="preserve"> </w:t>
      </w:r>
      <w:r>
        <w:rPr>
          <w:rtl/>
        </w:rPr>
        <w:t xml:space="preserve"> </w:t>
      </w:r>
      <w:r>
        <w:rPr>
          <w:b/>
          <w:bCs/>
          <w:rtl/>
        </w:rPr>
        <w:t>מאי מזלא דילה בעלה.</w:t>
      </w:r>
      <w:r>
        <w:rPr>
          <w:rtl/>
        </w:rPr>
        <w:t xml:space="preserve"> די"ב מזלות שהן בעולם, שולטין על י"ב בשנה, דאינון י"ב חדשים, כמו שאומר בספר יצירה י"ב בעולם כו' י"ב בשנה כו', וכן בי"ב שעות ביום, ולכן מזל שעה גורם ולכן הכל תלוי בנפש שהיא כפי השעה שנולד, דכל שעה יש לה מזל אחר, וי"ב מזלות הן י"ב צרופי הוי"ה של הדעת, דכל עניינים שבעולם הכל הן כפי צירוף הוי"ה כידוע והוא המזל שהוא הדעת הבא מב' מזלות נוצר ונקה, חו"ב, ובו י"ב - ה’ חסדים וה’ גבורות וחו"ב, והוא כ"ב אתוון, ג"ר - אמ"ש, וז' כפולות - ז"ת, וי"ב הוא הדעת והן י"ב שבטים, וזה שכתוב (תהלים קכב ד) שבטי י"ה עדות לישראל, ואמר בפרשת וישב קפ"ג ב' שבטי י"ה כו' לישראל דייקא כו' סהדותא אינון לעילא, ואמר שבטי י"ה דהן מסטרא דחו"ב כמו שאומר באידרא זוטא אבא גניז בגויה כו' אמא כו' ואמר שם רצ"ב ב' ואתעביד מיניה תרי גוונין כלילין כחדא ונהיר אנפוי ואסהיד באו"א גווני דאנפוי כו', ושם רצ"א א' בגין דהאי בן נטיל סימנין דאו"א ואקרי דעת דהוא סהדותא דתרוייהו כו' מאי ירותא כו', והן י"ב עלין דשושנה, שית חיוורין ושית סומקין כמו שאומר לעיל סוף תיקון כ”ה, והן ו' מאבא ו' מאימא והן י"ב גוונין דכלילין כל הגוונין וכן מי"ב מזלות כלילן כל ענינים שבעולם דכל העניינים הכל כפי הגוונין אלא שאין יום דומה לחבירו, דכל יום הי"ב שעות הוא בעולם אחר, דכל יום אית ליה עולם אחר והשינוי הוא בנקודות, והוא בעולם - בנקודות, ובשנה - בשמות, וכפי שינוי הנקודות כן הוא שינוי השמות באותיות ועיין לעיל סוף תיקון נ”ה ומה שכתבתי שם, ושינוי הנקודות הוא רבים מאד, דט' נקודות בד' אותיות הוא ס"ה מאות וס"א צרופים (א.ה. ט' כפול עצמו ד' פעמים), [אח"כ בג' אותיות וב' ובא'], ובי"ב צרופין הנ"ל אם שכולן שוות או צירוף אחד בנקודה אחת וצירוף ב' בנקודה אחרת וכן כל הי"ב צרופים, ועוד ה' אחרונה בלא ניקוד, והן ע"ב מאות ותשעים (א.ה. המספר הקודם, ועוד מספר צרופי הנקודות בג' אותיות כאשר ה' אחרונה בלא ניקוד שהוא ט' כפול עצמו ג' פעמים. וכל זה עבור כל אחד מי"ב צירופי הוי"ה, וזה שאומר), והוא כפילת המספר הנ"ל בעצמו י"ב פעמים, וכל אדם כלול כל י"ב צרופים, וכן בזמן, ובכל דבר, ולכן זהו שינוי המערכות שאין שעה דומה לחבירו מעולם, והכל משם הוי"ה שבו נתהוה כל הוי"ה והוא אחד אבל שינוים כנ"ל:</w:t>
      </w:r>
    </w:p>
  </w:footnote>
  <w:footnote w:id="4658">
    <w:p w:rsidR="00A13282" w:rsidRDefault="00A13282" w:rsidP="0020255E">
      <w:pPr>
        <w:pStyle w:val="a5"/>
      </w:pPr>
      <w:r>
        <w:rPr>
          <w:rStyle w:val="a7"/>
        </w:rPr>
        <w:footnoteRef/>
      </w:r>
      <w:r>
        <w:t xml:space="preserve"> </w:t>
      </w:r>
      <w:r>
        <w:rPr>
          <w:rtl/>
        </w:rPr>
        <w:t xml:space="preserve"> </w:t>
      </w:r>
      <w:r>
        <w:rPr>
          <w:b/>
          <w:bCs/>
          <w:rtl/>
        </w:rPr>
        <w:t>ולבעלה לית מזל כו'.</w:t>
      </w:r>
      <w:r>
        <w:rPr>
          <w:rtl/>
        </w:rPr>
        <w:t xml:space="preserve"> דהוא ישראל והוא ו', עמודא דאמצעיתא, רוח, דאין מזל לו אלא לפי השעה ולא לפי העולם, דהשעות הולכין לפי המזל ולא העולם כי אין מזל לעולם דהי"ב מזלות בעצמן אין להם התפעלות בעצמן רק בתחתונים שהן מתפעלות בקבלתן, וכן הוא בשמות שהשמות משתנים לפי קבלתן אבל שינוי הנקודות אינן שינוי בעצם אלא במקבל:</w:t>
      </w:r>
    </w:p>
  </w:footnote>
  <w:footnote w:id="4659">
    <w:p w:rsidR="00A13282" w:rsidRDefault="00A13282" w:rsidP="0020255E">
      <w:pPr>
        <w:pStyle w:val="a5"/>
      </w:pPr>
      <w:r>
        <w:rPr>
          <w:rStyle w:val="a7"/>
        </w:rPr>
        <w:footnoteRef/>
      </w:r>
      <w:r>
        <w:t xml:space="preserve"> </w:t>
      </w:r>
      <w:r>
        <w:rPr>
          <w:rtl/>
        </w:rPr>
        <w:t xml:space="preserve"> </w:t>
      </w:r>
      <w:r>
        <w:rPr>
          <w:b/>
          <w:bCs/>
          <w:rtl/>
        </w:rPr>
        <w:t>ואע"ג דכולא כו'.</w:t>
      </w:r>
      <w:r>
        <w:rPr>
          <w:rtl/>
        </w:rPr>
        <w:t xml:space="preserve"> מקשה </w:t>
      </w:r>
      <w:r>
        <w:rPr>
          <w:b/>
          <w:bCs/>
          <w:rtl/>
        </w:rPr>
        <w:t>אפילו ס"ת כו',</w:t>
      </w:r>
      <w:r>
        <w:rPr>
          <w:rtl/>
        </w:rPr>
        <w:t xml:space="preserve"> ומשני </w:t>
      </w:r>
      <w:r>
        <w:rPr>
          <w:b/>
          <w:bCs/>
          <w:rtl/>
        </w:rPr>
        <w:t>היכל כו' צדיק.</w:t>
      </w:r>
      <w:r>
        <w:rPr>
          <w:rtl/>
        </w:rPr>
        <w:t xml:space="preserve"> אבל ת"ת שהוא הדעת ודאי אינו תולה במזל, וכן הוא כאן דהנפש שהיא מתנהגת בזמן היא היכל, שכינתא, והצדיק הוא הרוח ב"נ דמתגלגל ביה והוא הצדיק דתליא במזלא, אבל ו' דמיניה אתיא הרוח לית ליה מזלא, רק לרוח דמתפשט מיניה, ונקבע בנפש האדם, דוגמת צדיק העליון שקבוע בשכינתא - הוא תליא במזל:</w:t>
      </w:r>
    </w:p>
  </w:footnote>
  <w:footnote w:id="4660">
    <w:p w:rsidR="00A13282" w:rsidRDefault="00A13282" w:rsidP="0020255E">
      <w:pPr>
        <w:pStyle w:val="a5"/>
      </w:pPr>
      <w:r>
        <w:rPr>
          <w:rStyle w:val="a7"/>
        </w:rPr>
        <w:footnoteRef/>
      </w:r>
      <w:r>
        <w:t xml:space="preserve"> </w:t>
      </w:r>
      <w:r>
        <w:rPr>
          <w:rtl/>
        </w:rPr>
        <w:t xml:space="preserve"> </w:t>
      </w:r>
      <w:r>
        <w:rPr>
          <w:bCs/>
          <w:rtl/>
        </w:rPr>
        <w:t>ותריסר מזלות אינון כו'.</w:t>
      </w:r>
      <w:r>
        <w:rPr>
          <w:rtl/>
        </w:rPr>
        <w:t xml:space="preserve"> מפרש והולך דמזלות אינון בדכורא, והשעות - בנוק', והכל בשמא מפרש דהוא כלל הכל וזה שאומר ואינון ו"ו כו':</w:t>
      </w:r>
    </w:p>
  </w:footnote>
  <w:footnote w:id="4661">
    <w:p w:rsidR="00A13282" w:rsidRDefault="00A13282" w:rsidP="0020255E">
      <w:pPr>
        <w:pStyle w:val="a5"/>
      </w:pPr>
      <w:r>
        <w:rPr>
          <w:rStyle w:val="a7"/>
        </w:rPr>
        <w:footnoteRef/>
      </w:r>
      <w:r>
        <w:t xml:space="preserve"> </w:t>
      </w:r>
      <w:r>
        <w:rPr>
          <w:rtl/>
        </w:rPr>
        <w:t xml:space="preserve"> </w:t>
      </w:r>
      <w:r>
        <w:rPr>
          <w:b/>
          <w:bCs/>
          <w:rtl/>
        </w:rPr>
        <w:t xml:space="preserve">דאינון ה"א ה"א. </w:t>
      </w:r>
      <w:r>
        <w:rPr>
          <w:rtl/>
        </w:rPr>
        <w:t>רוצה לומר ה"א ה"א דבשמא מפרש הן י"ב שעות דהן בנוק', ו' ו' דאת וא"ו דשמא מפרש הן י"ב מזלות דממנן על י"ב שעות, ואלף דוא"ו (והוא היום שכולל י"ב שעות וכן השנה לחדשים שכנגד החודש העיבור לתשלום שנת החמה) הוא התלי המנהיג לכל המזלות דהוא מזלא דכולא, כמו בי"ג תיקונים - מזלא שהוא תיקון י"ג והוא נקרא אלף כידוע, ובתוך האלף הוא וא"ו דהוא דעת עליון דמתלבש בי"ב דת"ת והוא מזלא דכולא והוא סליק במחשבה, בן י"ה, והוא היו"ד שעל ראש האלף והיו"ד שתחת האלף בי' נחית וכמו שאומר לעיל נ"ד ג' עיין שם בדבריו (ואלו ב' יודין הוא חושבן יו"ד דשמא מפרש שבי' סליק במחשבה, והיוד הוא כתר להאלף, וביה סליק לחושבן אהי"ה, כמו שאומר לקמן קל"ד א' יו"ד איהי כ' כתר כו' עיין שם ורוצה לומר כ' הוא כתר, וכן עשרים - גימטריא כתר, וכן יו"ד א' בא"ת ב"ש, וכן אהי"ה בא"ת ב"ש, הכל כתר, מנין אותיות שבלוחות, שהן ב' ההי"ן, במכתב ומאמר, יו"ד, והכל במאמר א' אלף), ויו"ד דשמא מפרש - מפרש והולך, גלגול דכולהו דא יו"ד דאיהי גלגל, רוצה לומר דגלגל הוא יו"ד בצורתו והוא מגלגל לוא"ו, דוא"ו לא יכיל להתגלגל עד דאתכליל ברוחא עלאה ועיין בזוהר פ’ פנחס רי"ז ב' ועיין מה שאומר לעיל ריש תיקון נ"ח, ואמר גלגל איהו אתריה כו', דחושבנא הוא ס"ו והוא התפוצצות הרוח בס"ו כמו שאמרו שראשית התפוצצות הרוח הוא בע"ב נפש כמנין נפש שבעים וב' אבהן כידוע, והנה הוא ס"ו נפש כמו שכתוב כל הנפש כו', והן ס"ו דיעקב ויוסף כמו שמפרש והולך, וששה הן ג' דאבהן מרכבתא עילאה דחג"ת שהן דיעקב וג' דיוסף ובניו שהן מרכבת המשנה, יוסף נגד יעקב, גוף וברית, אלה תולדות יעקב יוסף, ומנשה ואפרים נגד יצחק ואברהם כי ישית יד ימינו על אפרים כו' (בראשית מח יז), ואלו ששה הן בדעת, ו', הנהר, ועיין לעיל תיקון כ”א (תיקון כ”ו) ומה שבארנו שם, והן שם ע"ב, כלל ופרט וכלל כמו שאומר לעיל בתיקון מ”ז ששה בדעת וכן ביסוד וששים בת"ת ואח"כ מתפוצץ לשתין רבוא כידוע וכמו שמפרש והולך:</w:t>
      </w:r>
    </w:p>
  </w:footnote>
  <w:footnote w:id="4662">
    <w:p w:rsidR="00A13282" w:rsidRDefault="00A13282" w:rsidP="0020255E">
      <w:pPr>
        <w:pStyle w:val="a5"/>
      </w:pPr>
      <w:r>
        <w:rPr>
          <w:rStyle w:val="a7"/>
        </w:rPr>
        <w:footnoteRef/>
      </w:r>
      <w:r>
        <w:t xml:space="preserve"> </w:t>
      </w:r>
      <w:r>
        <w:rPr>
          <w:b/>
          <w:bCs/>
          <w:rtl/>
        </w:rPr>
        <w:t>דבי' גלגול יסוד תמן כו'.</w:t>
      </w:r>
      <w:r>
        <w:rPr>
          <w:rtl/>
        </w:rPr>
        <w:t xml:space="preserve"> רוצה לומר דביה גלגול דחושבניה ע"ב כמנין ויכולו דהוא ביסוד כמו שאומר לעיל תיקון כ”ב עיין שם בדבריו, וביה נח כמו שמפרש והולך שהוא שבת, כי בו שבת כו', ואמר </w:t>
      </w:r>
      <w:r>
        <w:rPr>
          <w:b/>
          <w:bCs/>
          <w:rtl/>
        </w:rPr>
        <w:t>תמן יו"ד דאתגלגל כו'</w:t>
      </w:r>
      <w:r>
        <w:rPr>
          <w:rtl/>
        </w:rPr>
        <w:t xml:space="preserve"> רוצה לומר, כי ד' דיסוד הוא נפש דלית לה מגרמה כלום, ס"ו הוא הרוח, יו"ד הוא נשמתא, וכד מאיר בו הנשמה אז לא יצטרך לבוא בגלגול כמו שכתוב (דניאל יב יג) ואתה תנוח ותעמוד כו', והוא באות ברית דביה שהוא יו"ד, וזה שאומר </w:t>
      </w:r>
      <w:r>
        <w:rPr>
          <w:b/>
          <w:bCs/>
          <w:rtl/>
        </w:rPr>
        <w:t>ובגין דא ויכל כו'</w:t>
      </w:r>
      <w:r>
        <w:rPr>
          <w:rtl/>
        </w:rPr>
        <w:t xml:space="preserve"> והוא יו"ד ע"ג </w:t>
      </w:r>
      <w:r>
        <w:rPr>
          <w:b/>
          <w:rtl/>
        </w:rPr>
        <w:t>וא"ו דהוא ז', יום השבת:</w:t>
      </w:r>
    </w:p>
  </w:footnote>
  <w:footnote w:id="4663">
    <w:p w:rsidR="00A13282" w:rsidRDefault="00A13282" w:rsidP="0020255E">
      <w:pPr>
        <w:pStyle w:val="a5"/>
      </w:pPr>
      <w:r>
        <w:rPr>
          <w:rStyle w:val="a7"/>
        </w:rPr>
        <w:footnoteRef/>
      </w:r>
      <w:r>
        <w:t xml:space="preserve"> </w:t>
      </w:r>
      <w:r>
        <w:rPr>
          <w:b/>
          <w:rtl/>
        </w:rPr>
        <w:t xml:space="preserve"> </w:t>
      </w:r>
      <w:r>
        <w:rPr>
          <w:b/>
          <w:bCs/>
          <w:rtl/>
        </w:rPr>
        <w:t>ואות וא"ו דגלגול סליק לשיתין רבוא כו'.</w:t>
      </w:r>
      <w:r>
        <w:rPr>
          <w:rtl/>
        </w:rPr>
        <w:t xml:space="preserve"> רוצה לומר, בצדיק הוא אחדים דהוא דרגא דמלכות, דצדיק וצדק כחדא אזלין, ובת"ת נכלל בעשרה, ובדעת - למאה, ושם הוא סוף המספר, ובבינה לאלף, (שבת קד ע"א) אלף בינה, לכן ברכה דלעילא אין פחות מאלף כמו שאומר בפ' ויצא דשם מקום הברכה, ברכת ה' כו', ובחכמה - לעשרת אלפים, והוא יו"ד חכמה, וזה שאומר בפרק ה' דספרא דצניעותא י' בלחודוי כד אתגליא בזעירא אתמשיך בעשר אלפין שנין, והוא עץ החיים, כיון שחטא בעץ הדעת ירד בדעת למאה שנין וזה שאומר שם מכאן ואילך ותשת עלי כפכה כמו שבארנו, ובגין כן כתיב והיו ימיו כו' ועיין מה שכתבתי שם, ובכתר - למאה אלף והוא שיתין רבוא, והנה התחתונים דוגמת העליונים אלא שהעליונים הם באלפים, והנה בינה נגד מלכות באחדים, וחכמה נגד ת"ת מה שמו ומה שם בנו (וזה שאומר ולשתין ביו"ד ולשתין אלפין באלף כו', דחו"ב הן י"א כמו שאומר לקמן קכ"ב א' וכן הוא בת"ת וצדיק, ימינא ושמאלא, ועיין מה שבארנו שם בדבריו), וכתר נגד דעת, וכל זה בז"א דהוא הגלגול ברוח והוא בעשר ספירות דביה, ונפשא במלכות קביעא, ונשמתא מבינה והוא מנוחה כי ששת ימים נגד ו"ק שבז"א, והלילות הן נגד מלכות בכל אחד ויהי ערב ויהי בקר, וכן הוא בגלגולא בכל אחד נפש נגד ו', ויום השביעי שבת, בינה בג"ר, בה מנוחה שבת, וכן הוא בגלגול כד בא נשמתיה ביה כו', ואף שבכמה מקומות ולקמן קכ"ד א' אמר דנר"ן מתגלגלין, היינו נר"ן שברוח בעשר ספירות דז"א דביה סליק לשיתין רבוא כנ"ל אבל נפשא ונשמתא דבינה ומלכות לא מתגלגלא כלל, ואמר </w:t>
      </w:r>
      <w:r>
        <w:rPr>
          <w:b/>
          <w:bCs/>
          <w:rtl/>
        </w:rPr>
        <w:t xml:space="preserve">ודא איהו דור כו' </w:t>
      </w:r>
      <w:r>
        <w:rPr>
          <w:rtl/>
        </w:rPr>
        <w:t>רוצה לומר דסליק לדור דהוא ששים ריבוא כנ"ל, ודור בא הוא אותיות רבוא ו' ד', רבוא הוא דמתפוצצין לששים ריבוא, ו' הוא רוחא, ו' דגלגול, ד' הוא נפשא (הגהה, והוא ששים ריבוא רוחין שהן מתפוצצין מהרוח בששים ריבוא נפשין) והכל מרומז ביסוד, דביה גלגול, ד' דיסוד הוא הקבוע שביה' מתגלגלין ס"ו הוא אותיות גלגול, ויו"ד דיסוד - נשמתא דנח ביה כנ"ל:</w:t>
      </w:r>
    </w:p>
  </w:footnote>
  <w:footnote w:id="4664">
    <w:p w:rsidR="00A13282" w:rsidRDefault="00A13282" w:rsidP="0020255E">
      <w:pPr>
        <w:pStyle w:val="a5"/>
      </w:pPr>
      <w:r>
        <w:rPr>
          <w:rStyle w:val="a7"/>
        </w:rPr>
        <w:footnoteRef/>
      </w:r>
      <w:r>
        <w:t xml:space="preserve"> </w:t>
      </w:r>
      <w:r>
        <w:rPr>
          <w:rtl/>
        </w:rPr>
        <w:t xml:space="preserve"> </w:t>
      </w:r>
      <w:r>
        <w:rPr>
          <w:b/>
          <w:bCs/>
          <w:rtl/>
        </w:rPr>
        <w:t>ובכל זמנא דאתי כו'.</w:t>
      </w:r>
      <w:r>
        <w:rPr>
          <w:rtl/>
        </w:rPr>
        <w:t xml:space="preserve"> רוצה לומר, זהו לעולם עומדת, לשון קיימא לעולם, קיימא ליה שעתא דאיהי הארץ, בת זוגיה כמו שמפרש והולך ובכל גלגולא, והוא דזכי בזכות גדול דבת זוגיה מתגלגלא עימיה כמו שאומר לקמן ק"ד א' אמר ר' שמעון כו' קיימא ליה שעתא תמן ואיהי בת זוגיה דמתגלגלא עמיה. ואף דנפש אינה מתגלגלת מצד עצמה אבל בשביל בעלה מתגלגלת כמו שאומר בפ' משפטים:</w:t>
      </w:r>
    </w:p>
  </w:footnote>
  <w:footnote w:id="4665">
    <w:p w:rsidR="00A13282" w:rsidRDefault="00A13282" w:rsidP="0020255E">
      <w:pPr>
        <w:pStyle w:val="a5"/>
      </w:pPr>
      <w:r>
        <w:rPr>
          <w:rStyle w:val="a7"/>
        </w:rPr>
        <w:footnoteRef/>
      </w:r>
      <w:r>
        <w:t xml:space="preserve"> </w:t>
      </w:r>
      <w:r>
        <w:rPr>
          <w:rtl/>
        </w:rPr>
        <w:t xml:space="preserve"> </w:t>
      </w:r>
      <w:r>
        <w:rPr>
          <w:b/>
          <w:bCs/>
          <w:rtl/>
        </w:rPr>
        <w:t>כל מי שדוחק כו'.</w:t>
      </w:r>
      <w:r>
        <w:rPr>
          <w:rtl/>
        </w:rPr>
        <w:t xml:space="preserve"> שדוחק ויוצא לפני השעה המזומנת לו וכמו שאומר בזוהר חדש רות דדחקין שעתא בההוא עלמא לצאת קודם זמנן, ויוצאין בשעתן דלאו דילהון, ושעתן נוטל אחר, וזהו בת זוגיה שנוטל אחר, ולזה בכל גלגולים רע לו - כיון דאבד בת זוגיה, וזה שאומר </w:t>
      </w:r>
      <w:r>
        <w:rPr>
          <w:b/>
          <w:bCs/>
          <w:rtl/>
        </w:rPr>
        <w:t>אמר ליה ר' אלעזר והא ר'</w:t>
      </w:r>
      <w:r>
        <w:rPr>
          <w:rtl/>
        </w:rPr>
        <w:t xml:space="preserve"> </w:t>
      </w:r>
      <w:r>
        <w:rPr>
          <w:b/>
          <w:bCs/>
          <w:rtl/>
        </w:rPr>
        <w:t>פדת כו'.</w:t>
      </w:r>
      <w:r>
        <w:rPr>
          <w:rtl/>
        </w:rPr>
        <w:t xml:space="preserve"> דמה שאמרנו הוא בצדיק שאינו גמור כתירוץ האחרון בגמ' (ברכות ז ע"א) דדחיק שעתא אבל צדיק גמור ודאי לא דחיק שעתא, ואמר ליה ברי כו' והוא כתירוץ הראשון שבגמ' (שם) צדיק בן צדיק כו', ובגלגול ראשון יצא בשעתא אבל אתחייב שם ולא יצא נפשו עמו בגלגולא הדין, ויצא בשעתא דלאו כו' חסר מכל מה דאתחייב. ומה שאמר ואולי כו', דוודאי לא יזכה לבת זוגיה אלא שמא ירשיע אחר ויזכה לשעתו וזה שאומר זכה נוטל חלק חברו וזה שאומר בשעתא דמזוני ולא קאמר בשעתא דיליה:</w:t>
      </w:r>
    </w:p>
  </w:footnote>
  <w:footnote w:id="4666">
    <w:p w:rsidR="00A13282" w:rsidRDefault="00A13282" w:rsidP="0020255E">
      <w:pPr>
        <w:pStyle w:val="a5"/>
      </w:pPr>
      <w:r>
        <w:rPr>
          <w:rStyle w:val="a7"/>
        </w:rPr>
        <w:footnoteRef/>
      </w:r>
      <w:r>
        <w:t xml:space="preserve"> </w:t>
      </w:r>
      <w:r>
        <w:rPr>
          <w:rtl/>
        </w:rPr>
        <w:t xml:space="preserve"> </w:t>
      </w:r>
      <w:r>
        <w:rPr>
          <w:b/>
          <w:bCs/>
          <w:rtl/>
        </w:rPr>
        <w:t>עולם דכל צדיק כו'.</w:t>
      </w:r>
      <w:r>
        <w:rPr>
          <w:rtl/>
        </w:rPr>
        <w:t xml:space="preserve"> דהוא אמר על הגוף אבל הסבא אמר על הנפש:</w:t>
      </w:r>
    </w:p>
  </w:footnote>
  <w:footnote w:id="4667">
    <w:p w:rsidR="00A13282" w:rsidRDefault="00A13282" w:rsidP="0020255E">
      <w:pPr>
        <w:pStyle w:val="a5"/>
      </w:pPr>
      <w:r>
        <w:rPr>
          <w:rStyle w:val="a7"/>
        </w:rPr>
        <w:footnoteRef/>
      </w:r>
      <w:r>
        <w:t xml:space="preserve"> </w:t>
      </w:r>
      <w:r>
        <w:rPr>
          <w:rtl/>
        </w:rPr>
        <w:t xml:space="preserve"> </w:t>
      </w:r>
      <w:r>
        <w:rPr>
          <w:b/>
          <w:bCs/>
          <w:rtl/>
        </w:rPr>
        <w:t>כד כו' אשתארת חריבה.</w:t>
      </w:r>
      <w:r>
        <w:rPr>
          <w:rtl/>
        </w:rPr>
        <w:t xml:space="preserve"> וכן הוא בנפש כד בר נש מת ונסתלק הרוח מן הנפש, וזה שאמרו (תענית כה ע"א) תבעי דאחרב עלמא, ואמרו בזוהר שעולם הוא בנוק', בבינה או מלכות, מן העולם ועד העולם, והוא כאן בנפש כמו שהנפש נשארה גלמודה מהרוח וכן העולם הזה דרגא דשכינתא תתאה מן הצדיק, דבעוד הצדיק חי והרוח בנפש והצדיק בעולם הזה כן גורם לעמודא דאמצעיתא שיהיה בשכינתא אבל כד מית אסתלק לעולם אחרא, העולם הבא, דרגא דבינה:</w:t>
      </w:r>
    </w:p>
  </w:footnote>
  <w:footnote w:id="4668">
    <w:p w:rsidR="00A13282" w:rsidRDefault="00A13282" w:rsidP="0020255E">
      <w:pPr>
        <w:pStyle w:val="a5"/>
      </w:pPr>
      <w:r>
        <w:rPr>
          <w:rStyle w:val="a7"/>
        </w:rPr>
        <w:footnoteRef/>
      </w:r>
      <w:r>
        <w:t xml:space="preserve"> </w:t>
      </w:r>
      <w:r>
        <w:rPr>
          <w:rtl/>
        </w:rPr>
        <w:t xml:space="preserve"> </w:t>
      </w:r>
      <w:r>
        <w:rPr>
          <w:b/>
          <w:bCs/>
          <w:rtl/>
        </w:rPr>
        <w:t>דכל ספירה כו' ושית ספירין באות ו' סלקין כו'.</w:t>
      </w:r>
      <w:r>
        <w:rPr>
          <w:rtl/>
        </w:rPr>
        <w:t xml:space="preserve"> דכל ספירה דרגא דיו"ד דכל אחד נכלל בעשר כנ"ל דבעמודא דאמצעיתא סלקין לשיתין ביו"ד והוא גלגל, גלגל חוזר בעולם, דנחית וסליק מספירה לספירה, דג' גלגולין דנר"ן בחג"ת, ועוד בנה"י ב' פעמים, כמו שאומר לקמן וזהו גלגול ו' פעמים מתגלגל, ובכל ו' ספירין אתקרי גלגול, וכל אחד נכלל בעשר עד דסליק לששים ריבוא, ובכל אחד אתגלגל בשכינתא דאיהי לעולם עומדת, ובכל אחד איהי עולם אחרא, וזהו לעולם עומדת דאיהי עומדת להיות לעולם, והכל בזה העולם, שמתגלגלין בארץ הזו שממנה הנפש כמו שכתוב (בראשית א כד) תוצא הארץ נפש חיה ואמרו (בראשית רבה פרשה ח) זו נפש של אדם הראשון, והוא שכינה בארץ הזו שכאן בניינה כמו שאומר בתוספתא פ' תרומה ובניינה מנפשות הצדיקים שנתקנין ברוחיהון ומאירין לה מעמודא דאמצעיתא מדרגיהון:</w:t>
      </w:r>
    </w:p>
  </w:footnote>
  <w:footnote w:id="4669">
    <w:p w:rsidR="00A13282" w:rsidRDefault="00A13282" w:rsidP="0020255E">
      <w:pPr>
        <w:pStyle w:val="a5"/>
      </w:pPr>
      <w:r>
        <w:rPr>
          <w:rStyle w:val="a7"/>
        </w:rPr>
        <w:footnoteRef/>
      </w:r>
      <w:r>
        <w:t xml:space="preserve"> </w:t>
      </w:r>
      <w:r>
        <w:rPr>
          <w:rtl/>
        </w:rPr>
        <w:t xml:space="preserve"> </w:t>
      </w:r>
      <w:r>
        <w:rPr>
          <w:b/>
          <w:bCs/>
          <w:rtl/>
        </w:rPr>
        <w:t>דאיהי אתקריאת אולי.</w:t>
      </w:r>
      <w:r>
        <w:rPr>
          <w:rtl/>
        </w:rPr>
        <w:t xml:space="preserve"> דהמזונות לא תליא בה אלא במזלא דאיהו בעלה ולכן נקראת אולי דהיא בספק:</w:t>
      </w:r>
    </w:p>
  </w:footnote>
  <w:footnote w:id="4670">
    <w:p w:rsidR="00A13282" w:rsidRDefault="00A13282" w:rsidP="0020255E">
      <w:pPr>
        <w:pStyle w:val="a5"/>
      </w:pPr>
      <w:r>
        <w:rPr>
          <w:rStyle w:val="a7"/>
        </w:rPr>
        <w:footnoteRef/>
      </w:r>
      <w:r>
        <w:t xml:space="preserve"> </w:t>
      </w:r>
      <w:r>
        <w:rPr>
          <w:rtl/>
        </w:rPr>
        <w:t xml:space="preserve"> </w:t>
      </w:r>
      <w:r>
        <w:rPr>
          <w:b/>
          <w:bCs/>
          <w:rtl/>
        </w:rPr>
        <w:t>ועלה אתמר ואולי דזכית כו'.</w:t>
      </w:r>
      <w:r>
        <w:rPr>
          <w:rtl/>
        </w:rPr>
        <w:t xml:space="preserve"> רוצה לומר דאולי תזכה לך בשעתא כו':</w:t>
      </w:r>
    </w:p>
  </w:footnote>
  <w:footnote w:id="4671">
    <w:p w:rsidR="00A13282" w:rsidRDefault="00A13282" w:rsidP="0020255E">
      <w:pPr>
        <w:pStyle w:val="a5"/>
      </w:pPr>
      <w:r>
        <w:rPr>
          <w:rStyle w:val="a7"/>
        </w:rPr>
        <w:footnoteRef/>
      </w:r>
      <w:r>
        <w:t xml:space="preserve"> </w:t>
      </w:r>
      <w:r>
        <w:rPr>
          <w:b/>
          <w:bCs/>
          <w:rtl/>
        </w:rPr>
        <w:t>דכבר אתחייב כו'.</w:t>
      </w:r>
      <w:r>
        <w:rPr>
          <w:rtl/>
        </w:rPr>
        <w:t xml:space="preserve"> רוצה לומר דעלמא הדין הוא שכינתא, והוא כבר אתחייב קודם שבא לעולם הזה שהיא שכינתא, והוא בעמודא דאמצעיתא באחד מו"ק שהיה שם, והוא קודם לשכינתא, ועד דמתקן להאי דרגא שפגם שם ואח"כ ישוב בגלגולא אחרא שם יזכה לשעתו ועיין בזוהר פ’ משפטים ק"ט א' אם אדוניו יתן לו אשה כו' קב"ה גבי מדידיה בקדמיתא כו' ולבתר יתוב וישתדל על גרמיה כו' וזה שאומר </w:t>
      </w:r>
      <w:r>
        <w:rPr>
          <w:b/>
          <w:bCs/>
          <w:rtl/>
        </w:rPr>
        <w:t>ובג"ד שעתא כו'.</w:t>
      </w:r>
      <w:r>
        <w:rPr>
          <w:rtl/>
        </w:rPr>
        <w:t xml:space="preserve"> רוצה לומר בגלגול הזה (אף שתיקן כי הוא בלא שעתיה):</w:t>
      </w:r>
    </w:p>
  </w:footnote>
  <w:footnote w:id="4672">
    <w:p w:rsidR="00A13282" w:rsidRDefault="00A13282" w:rsidP="0020255E">
      <w:pPr>
        <w:pStyle w:val="a5"/>
      </w:pPr>
      <w:r>
        <w:rPr>
          <w:rStyle w:val="a7"/>
        </w:rPr>
        <w:footnoteRef/>
      </w:r>
      <w:r>
        <w:rPr>
          <w:rStyle w:val="a7"/>
        </w:rPr>
        <w:t xml:space="preserve"> </w:t>
      </w:r>
      <w:r>
        <w:rPr>
          <w:rtl/>
        </w:rPr>
        <w:t xml:space="preserve"> </w:t>
      </w:r>
      <w:r>
        <w:rPr>
          <w:b/>
          <w:bCs/>
          <w:rtl/>
        </w:rPr>
        <w:t>ואם תליא במזלא כו'.</w:t>
      </w:r>
      <w:r>
        <w:rPr>
          <w:rtl/>
        </w:rPr>
        <w:t xml:space="preserve"> מזלא עילאה הוא דעת כנ"ל ק"ג א', ואם נשמתיה משם ופגם בגלגול ראשון ומזלא כולל כל הגלגולים לכן צריך לכל הגלגולים דו"ק לתקנא מאי דפגם ולכן לא יקום ליה שעתא לעולם בעולם הזה בכל זכוון דיעביד עד דאתתקן מזליה, דמזלא הוא לעילא מזכות, דזכות הוא בו"ק:</w:t>
      </w:r>
    </w:p>
  </w:footnote>
  <w:footnote w:id="4673">
    <w:p w:rsidR="00A13282" w:rsidRDefault="00A13282" w:rsidP="0020255E">
      <w:pPr>
        <w:pStyle w:val="a5"/>
      </w:pPr>
      <w:r>
        <w:rPr>
          <w:rStyle w:val="a7"/>
        </w:rPr>
        <w:footnoteRef/>
      </w:r>
      <w:r>
        <w:rPr>
          <w:rStyle w:val="a7"/>
        </w:rPr>
        <w:t xml:space="preserve"> </w:t>
      </w:r>
      <w:r>
        <w:rPr>
          <w:rtl/>
        </w:rPr>
        <w:t xml:space="preserve"> </w:t>
      </w:r>
      <w:r>
        <w:rPr>
          <w:b/>
          <w:bCs/>
          <w:rtl/>
        </w:rPr>
        <w:t xml:space="preserve">והכא כו'. </w:t>
      </w:r>
      <w:r>
        <w:rPr>
          <w:rtl/>
        </w:rPr>
        <w:t>הכל הוא מאמר הסבא, וכמו שאומר לעיל אמר ר' שמעון סבא סבא כו':</w:t>
      </w:r>
    </w:p>
  </w:footnote>
  <w:footnote w:id="4674">
    <w:p w:rsidR="00A13282" w:rsidRDefault="00A13282" w:rsidP="0020255E">
      <w:pPr>
        <w:pStyle w:val="a5"/>
      </w:pPr>
      <w:r>
        <w:t xml:space="preserve">  </w:t>
      </w:r>
      <w:r>
        <w:rPr>
          <w:rStyle w:val="a7"/>
        </w:rPr>
        <w:footnoteRef/>
      </w:r>
      <w:r>
        <w:t xml:space="preserve"> </w:t>
      </w:r>
      <w:r>
        <w:rPr>
          <w:b/>
          <w:bCs/>
          <w:rtl/>
        </w:rPr>
        <w:t>גלגולא דתליא בשכינתא דאיהו במיני' כו'.</w:t>
      </w:r>
      <w:r>
        <w:rPr>
          <w:rtl/>
        </w:rPr>
        <w:t xml:space="preserve"> קאי על פסוק ואם לבנו ייעדנה שהוא מיניה, ואם אחרת כו' דלאו איהו מיניה, וצריך לאתגלגל בג' גלגולין לתקנא נר"ן דג' אבהן כמו שמפרש והולך מה שאין כן במיניה כמשפט הבנות יעשה לה, דיכול לתקנא כל הנר"ן דיליה כמשפט הראשון דאין זה נקרא גלגול, דבנו קם תחתיו לייעוד ולשדה אחוזה אבל באחרת - שארה כו' רוצה לומר שיראה בכל גלגול שלא יגרע חוקה לקיים כל הפקודין דתליין ברמ"ח אברים דנפש וכן בכל אחד אבל כל אחד מתקן בדרגיה, זה שארה וזה כו' מה שאין כן בבנו שמתקן בכל פקודא אבר דנר"ן:</w:t>
      </w:r>
    </w:p>
  </w:footnote>
  <w:footnote w:id="4675">
    <w:p w:rsidR="00A13282" w:rsidRDefault="00A13282" w:rsidP="0020255E">
      <w:pPr>
        <w:pStyle w:val="a5"/>
      </w:pPr>
      <w:r>
        <w:rPr>
          <w:rStyle w:val="a7"/>
          <w:rtl/>
        </w:rPr>
        <w:footnoteRef/>
      </w:r>
      <w:r>
        <w:rPr>
          <w:rStyle w:val="a7"/>
          <w:rtl/>
        </w:rPr>
        <w:t xml:space="preserve">  </w:t>
      </w:r>
      <w:r>
        <w:rPr>
          <w:b/>
          <w:bCs/>
          <w:rtl/>
        </w:rPr>
        <w:t>הה"ד פותח כו'.</w:t>
      </w:r>
      <w:r>
        <w:rPr>
          <w:rtl/>
        </w:rPr>
        <w:t xml:space="preserve"> דפתח בחכמה, בימינא, ושם ידך, יו"ד, ומשם משביע דהוא מזון:</w:t>
      </w:r>
    </w:p>
  </w:footnote>
  <w:footnote w:id="4676">
    <w:p w:rsidR="00A13282" w:rsidRDefault="00A13282" w:rsidP="0020255E">
      <w:pPr>
        <w:pStyle w:val="a5"/>
      </w:pPr>
      <w:r>
        <w:rPr>
          <w:rStyle w:val="a7"/>
        </w:rPr>
        <w:footnoteRef/>
      </w:r>
      <w:r>
        <w:t xml:space="preserve"> </w:t>
      </w:r>
      <w:r>
        <w:rPr>
          <w:rtl/>
        </w:rPr>
        <w:t xml:space="preserve"> </w:t>
      </w:r>
      <w:r>
        <w:rPr>
          <w:b/>
          <w:bCs/>
          <w:rtl/>
        </w:rPr>
        <w:t>דאיהו כסות עינים.</w:t>
      </w:r>
      <w:r>
        <w:rPr>
          <w:rtl/>
        </w:rPr>
        <w:t xml:space="preserve"> דנאמר על יצחק שלא תאמר מאבימלך נתעברה ופשטא דקרא כסות עינים - שלא יסתכלו בה כמו שאמרו המפרשים וזה שאומר דמתמן עריין כו' ואמר </w:t>
      </w:r>
      <w:r>
        <w:rPr>
          <w:b/>
          <w:bCs/>
          <w:rtl/>
        </w:rPr>
        <w:t>ובג"ד אתמר ביצחק כו'.</w:t>
      </w:r>
      <w:r>
        <w:rPr>
          <w:rtl/>
        </w:rPr>
        <w:t xml:space="preserve"> דהוא כסות עינים. ומפרש והולך </w:t>
      </w:r>
      <w:r>
        <w:rPr>
          <w:b/>
          <w:bCs/>
          <w:rtl/>
        </w:rPr>
        <w:t>ותמן צריך כסויא</w:t>
      </w:r>
      <w:r>
        <w:rPr>
          <w:rtl/>
        </w:rPr>
        <w:t xml:space="preserve"> דשם דרגא דחושך וצריך ליזהר שלא להסתכל שם ולכן כהו עיניו שלא להסתכל אלא בעינים סתומות. ואמר </w:t>
      </w:r>
      <w:r>
        <w:rPr>
          <w:b/>
          <w:bCs/>
          <w:rtl/>
        </w:rPr>
        <w:t>ומשה בההוא כו'.</w:t>
      </w:r>
      <w:r>
        <w:rPr>
          <w:rtl/>
        </w:rPr>
        <w:t xml:space="preserve"> רוצה לומר שנאמר אל האלקים דהוא דרגיה דיצחק ואמר </w:t>
      </w:r>
      <w:r>
        <w:rPr>
          <w:b/>
          <w:bCs/>
          <w:rtl/>
        </w:rPr>
        <w:t>ובג"ד כו' כסויא דילה כו'.</w:t>
      </w:r>
      <w:r>
        <w:rPr>
          <w:rtl/>
        </w:rPr>
        <w:t xml:space="preserve"> רוצה לומר שנאמר כסותה בה' וכן תפלין בשמאלא (ישעיהו סב ח) בזרוע עוזו. ואמר </w:t>
      </w:r>
      <w:r>
        <w:rPr>
          <w:b/>
          <w:bCs/>
          <w:rtl/>
        </w:rPr>
        <w:t xml:space="preserve">ואם שלש אלה כו'. </w:t>
      </w:r>
      <w:r>
        <w:rPr>
          <w:rtl/>
        </w:rPr>
        <w:t>כמו שאומר לעיל בתיקון ל”ב ואם שלש כו' בתלת גלגולין דעביד ליה שאר כסות ועונה ויצאה כו' ועל ארבעה לא אשיבנו כו' וזה שאומר דהן כל אלה כו':</w:t>
      </w:r>
    </w:p>
  </w:footnote>
  <w:footnote w:id="4677">
    <w:p w:rsidR="00A13282" w:rsidRDefault="00A13282" w:rsidP="0020255E">
      <w:pPr>
        <w:pStyle w:val="a5"/>
        <w:rPr>
          <w:rtl/>
        </w:rPr>
      </w:pPr>
      <w:r>
        <w:rPr>
          <w:rStyle w:val="a7"/>
          <w:rtl/>
        </w:rPr>
        <w:footnoteRef/>
      </w:r>
      <w:r>
        <w:rPr>
          <w:rtl/>
        </w:rPr>
        <w:t xml:space="preserve"> </w:t>
      </w:r>
      <w:r>
        <w:rPr>
          <w:b/>
          <w:bCs/>
          <w:rtl/>
        </w:rPr>
        <w:t>אבא דאיהו כו'.</w:t>
      </w:r>
      <w:r>
        <w:rPr>
          <w:rtl/>
        </w:rPr>
        <w:t xml:space="preserve"> רוצה לומר אדם הראשון שהוא אב הראשון, דרגא דחכמה, נחית באלין ג' גלגולין בג' אבהן ופריך </w:t>
      </w:r>
      <w:r>
        <w:rPr>
          <w:b/>
          <w:bCs/>
          <w:rtl/>
        </w:rPr>
        <w:t>והא אתמר באדם וחוה כו'</w:t>
      </w:r>
      <w:r>
        <w:rPr>
          <w:rtl/>
        </w:rPr>
        <w:t xml:space="preserve"> דמשמע שירדו בז' גלגולין, ומשני ודאי כו':</w:t>
      </w:r>
    </w:p>
  </w:footnote>
  <w:footnote w:id="4678">
    <w:p w:rsidR="00A13282" w:rsidRDefault="00A13282" w:rsidP="0020255E">
      <w:pPr>
        <w:pStyle w:val="a5"/>
        <w:rPr>
          <w:rtl/>
        </w:rPr>
      </w:pPr>
      <w:r>
        <w:rPr>
          <w:rStyle w:val="a7"/>
          <w:rtl/>
        </w:rPr>
        <w:footnoteRef/>
      </w:r>
      <w:r>
        <w:rPr>
          <w:rtl/>
        </w:rPr>
        <w:t xml:space="preserve"> </w:t>
      </w:r>
      <w:r>
        <w:rPr>
          <w:b/>
          <w:bCs/>
          <w:rtl/>
        </w:rPr>
        <w:t>וירדו ז'.</w:t>
      </w:r>
      <w:r>
        <w:rPr>
          <w:rtl/>
        </w:rPr>
        <w:t xml:space="preserve"> רוצה לומר דנחית לז' דרגין דשכינתא כמו שמפרש והולך דפגם בז' דרגין דילה דהיא נקראת בת שבע, ונחית בז' ארעין עד דקיים פריה ורביה דגורם להשקותה מנביעו ולהשתרש האילנא בה, וירדו ז' אז נתקן הוא באתריה ואמר ומאי הוה נביעו כו' רוצה לומר הנהר ו' שנסתלק ובפריה ורביה חזר הנהר, דנחית אדם הראשון, אבא, חכמה, שנהר יוצא מעדן, חכמה, לאתריה, להשקות את הגן, נוק', שכינתא, ולבתר סליק אבא כל בריה לאתריה שהן הגלגולין של כל דור ודור:</w:t>
      </w:r>
    </w:p>
  </w:footnote>
  <w:footnote w:id="4679">
    <w:p w:rsidR="00A13282" w:rsidRDefault="00A13282" w:rsidP="0020255E">
      <w:pPr>
        <w:pStyle w:val="a5"/>
        <w:rPr>
          <w:rtl/>
        </w:rPr>
      </w:pPr>
      <w:r>
        <w:rPr>
          <w:rStyle w:val="a7"/>
          <w:rtl/>
        </w:rPr>
        <w:footnoteRef/>
      </w:r>
      <w:r>
        <w:rPr>
          <w:rtl/>
        </w:rPr>
        <w:t xml:space="preserve"> </w:t>
      </w:r>
      <w:r>
        <w:rPr>
          <w:b/>
          <w:bCs/>
          <w:rtl/>
        </w:rPr>
        <w:t>דאיהו שעתא דקימא מזליה כו' עד ומינה בני חיי ומזוני.</w:t>
      </w:r>
      <w:r>
        <w:rPr>
          <w:rtl/>
        </w:rPr>
        <w:t xml:space="preserve"> הוא נוסחא אחרת [וכאן צריך להיות]</w:t>
      </w:r>
    </w:p>
  </w:footnote>
  <w:footnote w:id="4680">
    <w:p w:rsidR="00A13282" w:rsidRDefault="00A13282" w:rsidP="0020255E">
      <w:pPr>
        <w:pStyle w:val="a5"/>
        <w:rPr>
          <w:rtl/>
        </w:rPr>
      </w:pPr>
      <w:r>
        <w:rPr>
          <w:rStyle w:val="a7"/>
          <w:rtl/>
        </w:rPr>
        <w:footnoteRef/>
      </w:r>
      <w:r>
        <w:rPr>
          <w:rtl/>
        </w:rPr>
        <w:t xml:space="preserve"> </w:t>
      </w:r>
      <w:r>
        <w:rPr>
          <w:b/>
          <w:bCs/>
          <w:rtl/>
        </w:rPr>
        <w:t>ולקבל אלין גלגולים שינוי מקום כו'.</w:t>
      </w:r>
      <w:r>
        <w:rPr>
          <w:rtl/>
        </w:rPr>
        <w:t xml:space="preserve"> רוצה לומר תלת גלגולין, שינוי מקום בכסא וכמו שמפרש והולך עומד מכסא רחמים כו' והוא בכסא דמקנן ביה בינה, ובבינה עולם הבא כו' כשאני כו' דש"מ יום השביעי, לא יום כו' לעת ערב יהיה אור [עולם הבא דרגא דבינה דשם נכתב ונקרא בהוי"ה ולא אשתני אלא לבר ממקומו] וכבר כתבתי למעלה (שנעשה) שהוא שינוי מקום מדכורא לנוק' ועיין לעיל ריש תיקון נ"ח ומה שבארנו שם. ורוצה לומר</w:t>
      </w:r>
    </w:p>
  </w:footnote>
  <w:footnote w:id="4681">
    <w:p w:rsidR="00A13282" w:rsidRDefault="00A13282" w:rsidP="0020255E">
      <w:pPr>
        <w:pStyle w:val="a5"/>
        <w:rPr>
          <w:rtl/>
        </w:rPr>
      </w:pPr>
      <w:r>
        <w:rPr>
          <w:rStyle w:val="a7"/>
          <w:rtl/>
        </w:rPr>
        <w:footnoteRef/>
      </w:r>
      <w:r>
        <w:rPr>
          <w:rtl/>
        </w:rPr>
        <w:t xml:space="preserve"> </w:t>
      </w:r>
      <w:r>
        <w:rPr>
          <w:b/>
          <w:bCs/>
          <w:rtl/>
        </w:rPr>
        <w:t>וכד נפיק כו' לא כשאני נכתב כו'.</w:t>
      </w:r>
      <w:r>
        <w:rPr>
          <w:rtl/>
        </w:rPr>
        <w:t xml:space="preserve"> דבאצילות הכל אחד, בינה כסא רחמים אבל בבריאה שם כסא דין ושם נקרא באדנ"י דמשם ואלך דרגא דנוקבא, עולם הזה, ונקרא באדנ"י, אבל באצילות היא נכללת בבעלה בשם הוי"ה ומשם ואילך משתנה לרחמי ולדינא ונקרא אלקים, (בראשית ג כד) להט כו' וכמו שאומר לעיל בתיקון ס”ח עיין שם:</w:t>
      </w:r>
    </w:p>
  </w:footnote>
  <w:footnote w:id="4682">
    <w:p w:rsidR="00A13282" w:rsidRDefault="00A13282" w:rsidP="0020255E">
      <w:pPr>
        <w:pStyle w:val="a5"/>
        <w:rPr>
          <w:rtl/>
        </w:rPr>
      </w:pPr>
      <w:r>
        <w:rPr>
          <w:rStyle w:val="a7"/>
          <w:rtl/>
        </w:rPr>
        <w:footnoteRef/>
      </w:r>
      <w:r>
        <w:rPr>
          <w:rtl/>
        </w:rPr>
        <w:t xml:space="preserve"> </w:t>
      </w:r>
      <w:r>
        <w:rPr>
          <w:b/>
          <w:bCs/>
          <w:rtl/>
        </w:rPr>
        <w:t>שינוי השם דא כו'.</w:t>
      </w:r>
      <w:r>
        <w:rPr>
          <w:rtl/>
        </w:rPr>
        <w:t xml:space="preserve"> דהוא במט"ט דביה כל התמורות והשינויים וזהו שינוי השם דהשם הוי"ה עצמו נשתנה בו ומכל מקום קב"ה דאיהו מלגאו לא נשתנה כמו שאומר לעיל וזה שאמרו (סנהדרין לח ע"ב) אל תמירני בו:</w:t>
      </w:r>
    </w:p>
  </w:footnote>
  <w:footnote w:id="4683">
    <w:p w:rsidR="00A13282" w:rsidRDefault="00A13282" w:rsidP="0020255E">
      <w:pPr>
        <w:pStyle w:val="a5"/>
        <w:rPr>
          <w:rtl/>
        </w:rPr>
      </w:pPr>
      <w:r>
        <w:rPr>
          <w:rStyle w:val="a7"/>
          <w:rtl/>
        </w:rPr>
        <w:footnoteRef/>
      </w:r>
      <w:r>
        <w:rPr>
          <w:rtl/>
        </w:rPr>
        <w:t xml:space="preserve"> </w:t>
      </w:r>
      <w:r>
        <w:rPr>
          <w:b/>
          <w:bCs/>
          <w:rtl/>
        </w:rPr>
        <w:t>שינוי מעשה.</w:t>
      </w:r>
      <w:r>
        <w:rPr>
          <w:rtl/>
        </w:rPr>
        <w:t xml:space="preserve"> בעשיה, דשם המעשה, ועיין בתיקוני זוהר חדש פ"ד ד' ומה שבארנו שם בארוכה:</w:t>
      </w:r>
    </w:p>
  </w:footnote>
  <w:footnote w:id="4684">
    <w:p w:rsidR="00A13282" w:rsidRDefault="00A13282" w:rsidP="0020255E">
      <w:pPr>
        <w:pStyle w:val="a5"/>
        <w:rPr>
          <w:rtl/>
        </w:rPr>
      </w:pPr>
      <w:r>
        <w:rPr>
          <w:rStyle w:val="a7"/>
          <w:rtl/>
        </w:rPr>
        <w:footnoteRef/>
      </w:r>
      <w:r>
        <w:rPr>
          <w:rtl/>
        </w:rPr>
        <w:t xml:space="preserve"> </w:t>
      </w:r>
      <w:r>
        <w:rPr>
          <w:b/>
          <w:bCs/>
          <w:rtl/>
        </w:rPr>
        <w:t>דהא דא אזיל בגלגולא כו'.</w:t>
      </w:r>
      <w:r>
        <w:rPr>
          <w:rtl/>
        </w:rPr>
        <w:t xml:space="preserve"> ולכן צריכין לנהוג בו כבוד ולסגוד ליה, דכל השתחויה וכבוד הוא למלכות, ומי שזוכה למלכות, והוא דקיימא ליה שעתא שהוא דרגא דמלכות. ואמר </w:t>
      </w:r>
      <w:r>
        <w:rPr>
          <w:b/>
          <w:bCs/>
          <w:rtl/>
        </w:rPr>
        <w:t>כ"ח זמנין כו'</w:t>
      </w:r>
      <w:r>
        <w:rPr>
          <w:rtl/>
        </w:rPr>
        <w:t xml:space="preserve"> שהן כ"ח פרקין דב' ידים ועיין לעיל תיקון נ”ב ורזא דמלה ה' אלקינו ה' יד הגדולה כו':</w:t>
      </w:r>
    </w:p>
  </w:footnote>
  <w:footnote w:id="4685">
    <w:p w:rsidR="00A13282" w:rsidRDefault="00A13282" w:rsidP="0020255E">
      <w:pPr>
        <w:pStyle w:val="a5"/>
        <w:rPr>
          <w:rtl/>
        </w:rPr>
      </w:pPr>
      <w:r>
        <w:rPr>
          <w:rStyle w:val="a7"/>
          <w:rtl/>
        </w:rPr>
        <w:footnoteRef/>
      </w:r>
      <w:r>
        <w:rPr>
          <w:rtl/>
        </w:rPr>
        <w:t xml:space="preserve"> </w:t>
      </w:r>
      <w:r>
        <w:rPr>
          <w:b/>
          <w:bCs/>
          <w:rtl/>
        </w:rPr>
        <w:t>ובג"ד אית עת רצון ואתמר בה כו'.</w:t>
      </w:r>
      <w:r>
        <w:rPr>
          <w:rtl/>
        </w:rPr>
        <w:t xml:space="preserve"> לאפוקי שניתן רשות לשלטאה עת אחרא, כמו שכתוב (ויקרא טז ב) ואל יבוא כו' וכבר כתבתי שם למעלה מזה בארוכה:</w:t>
      </w:r>
    </w:p>
  </w:footnote>
  <w:footnote w:id="4686">
    <w:p w:rsidR="00A13282" w:rsidRDefault="00A13282" w:rsidP="0020255E">
      <w:pPr>
        <w:pStyle w:val="a5"/>
        <w:rPr>
          <w:rtl/>
        </w:rPr>
      </w:pPr>
      <w:r>
        <w:rPr>
          <w:rStyle w:val="a7"/>
          <w:rtl/>
        </w:rPr>
        <w:footnoteRef/>
      </w:r>
      <w:r>
        <w:rPr>
          <w:rtl/>
        </w:rPr>
        <w:t xml:space="preserve"> </w:t>
      </w:r>
      <w:r>
        <w:rPr>
          <w:b/>
          <w:bCs/>
          <w:rtl/>
        </w:rPr>
        <w:t>בגין דאינון כו' ומאן דאתברי כו'.</w:t>
      </w:r>
      <w:r>
        <w:rPr>
          <w:rtl/>
        </w:rPr>
        <w:t xml:space="preserve"> דהוי"ה הוא ביד ימינא, ואדני ביד שמאלא, וכמו שאומר לעיל כ"ח כ"ט, יד כותבת - אורייתא דבכתב דאיהו לימינא, יד חותמת - אורייתא דבעל פה דאיהי לשמאלא, אורייתא דבכתב דאיהו לימינא עלה אתמר ובני ישראל יוצאים ביד רמה כו' עיין שם בדבריו. ויחודא דהוי"ה ואדנ"י הוא ההוא טמיר ונעלם, שמא מפרש כידוע, וזה שאומר ומאן דאיהו מסטריה דאדם כו'. ואמר </w:t>
      </w:r>
      <w:r>
        <w:rPr>
          <w:b/>
          <w:bCs/>
          <w:rtl/>
        </w:rPr>
        <w:t>במה דאתברי בשמי' כו'.</w:t>
      </w:r>
      <w:r>
        <w:rPr>
          <w:rtl/>
        </w:rPr>
        <w:t xml:space="preserve"> עיין לעיל נ"ב ב' וחיליה בימא וביבשתא וברקיע, והוא רעיא מהימנא, דרגיה דאדם, שמא מפרש, ועליו נאמר ורדו כו', ועיין בזוהר פ’ תצא רע"ח רע"ט, וזה שאומר </w:t>
      </w:r>
      <w:r>
        <w:rPr>
          <w:b/>
          <w:bCs/>
          <w:rtl/>
        </w:rPr>
        <w:t>ועליה אתמר מה כו'</w:t>
      </w:r>
      <w:r>
        <w:rPr>
          <w:rtl/>
        </w:rPr>
        <w:t xml:space="preserve"> דהוא דרגא דרעיא מהימנא כמו שכתוב מ'ה ש'היה ה'וא שיהיה כו'. ואמר</w:t>
      </w:r>
    </w:p>
  </w:footnote>
  <w:footnote w:id="4687">
    <w:p w:rsidR="00A13282" w:rsidRDefault="00A13282" w:rsidP="0020255E">
      <w:pPr>
        <w:pStyle w:val="a5"/>
        <w:rPr>
          <w:rtl/>
        </w:rPr>
      </w:pPr>
      <w:r>
        <w:rPr>
          <w:rStyle w:val="a7"/>
          <w:rtl/>
        </w:rPr>
        <w:footnoteRef/>
      </w:r>
      <w:r>
        <w:rPr>
          <w:rtl/>
        </w:rPr>
        <w:t xml:space="preserve"> </w:t>
      </w:r>
      <w:r>
        <w:rPr>
          <w:b/>
          <w:bCs/>
          <w:rtl/>
        </w:rPr>
        <w:t xml:space="preserve">מה שהיה כבר הוא. </w:t>
      </w:r>
      <w:r>
        <w:rPr>
          <w:rtl/>
        </w:rPr>
        <w:t>על ביאתו ראשונה לעולם במתן תורה. ואשר להיות כבר היה - על גלגולין דיליה, דאזיל בכל דרא בתלמידי חכמים, והוא מחולל בכל דרא בבני קין דאינון ערב רב, כלי חמס על ישראל ותלמידי חכמים מבוזין, (משנה סוטה ט טו) וחכמת סופרים תסרח, ועיין ברעיא מהימנא פ' נשא ועיין לקמן קי"א א' הכא אחזי לקין דעתידין למהוי ישראל בדוחקא כו', וזה שאומר והאלקים יבקש את נרדף, זה הבל דאיהו נרדף מקין, דהבל הוא משה כמו שאומר לעיל וכמו שאומר למטה, ועיין ברעיא מהימנא שם בארוכה. ואמר</w:t>
      </w:r>
    </w:p>
  </w:footnote>
  <w:footnote w:id="4688">
    <w:p w:rsidR="00A13282" w:rsidRDefault="00A13282" w:rsidP="0020255E">
      <w:pPr>
        <w:pStyle w:val="a5"/>
        <w:rPr>
          <w:rtl/>
        </w:rPr>
      </w:pPr>
      <w:r>
        <w:rPr>
          <w:rStyle w:val="a7"/>
          <w:rtl/>
        </w:rPr>
        <w:footnoteRef/>
      </w:r>
      <w:r>
        <w:rPr>
          <w:rtl/>
        </w:rPr>
        <w:t xml:space="preserve"> </w:t>
      </w:r>
      <w:r>
        <w:rPr>
          <w:b/>
          <w:bCs/>
          <w:rtl/>
        </w:rPr>
        <w:t>כבר הוא מחוייב למהוי כו'</w:t>
      </w:r>
      <w:r>
        <w:rPr>
          <w:rtl/>
        </w:rPr>
        <w:t xml:space="preserve"> בסלע שנלקה, והלוחות שנשברו, והכל בשביל הערב רב שקבל, ולכן יתגלגל בכל דרא בין הערב רב, ומבוזה בינייהו, לאתכפר במה דחב, ולכן בקהלת שם אחר שפירש כ"ח עתים שהן ביד ימינא ושמאלא, הוי"ה ואדנ"י כנ"ל, אמר מה שהיה כבר הוא על דרגיה דאדם המכריע דביה הכל כנ"ל והוא מושל על המזל כמו שאמרו (תרגום יונתן דברי הימים א כט יא) בשמיא ובארעא כו', ולכן היפך הכל ועשה אותות, בשמים כמו חשך, ובים - שבקעו, ובארץ - שהפך אותה לכנים, ושאר מופתים שעשה בהם, והוא שליט על כל כ"ח עתים וזהו חכמה - כ"ח מ"ה, כ"ח באמא כמו שאומר לעיל ל"ט א' ס"ז א' ואיהי כ"ח בב' ידין כמו שאומר לעיל תיקון נ”ה, ומ"ה הוא באבא, אדם, והוא בת"ת המכריע בין ב' ידין, דרגא דרעיא מהימנא, ולכן אחר שסיים כ"ח הנ"ל התחיל מה, והוא כ"ח מ"ה. ואמר</w:t>
      </w:r>
    </w:p>
  </w:footnote>
  <w:footnote w:id="4689">
    <w:p w:rsidR="00A13282" w:rsidRDefault="00A13282" w:rsidP="0020255E">
      <w:pPr>
        <w:pStyle w:val="a5"/>
        <w:rPr>
          <w:rtl/>
        </w:rPr>
      </w:pPr>
      <w:r>
        <w:rPr>
          <w:rStyle w:val="a7"/>
          <w:rtl/>
        </w:rPr>
        <w:footnoteRef/>
      </w:r>
      <w:r>
        <w:rPr>
          <w:rtl/>
        </w:rPr>
        <w:t xml:space="preserve"> </w:t>
      </w:r>
      <w:r>
        <w:rPr>
          <w:b/>
          <w:bCs/>
          <w:rtl/>
        </w:rPr>
        <w:t>ויקם ודאי דהוה הבל כו'.</w:t>
      </w:r>
      <w:r>
        <w:rPr>
          <w:rtl/>
        </w:rPr>
        <w:t xml:space="preserve"> וכן הוא בכל דור, דתלמידי חכמים הם ראוים להיות רישא דעמא, וקאמין בנוי דקין עלייהו, ורדפין להון, והכל בשביל קנאה דהתלמיד חכם סליק לדרגין עילאין דתורתו סליק לעתיק יומין</w:t>
      </w:r>
      <w:r w:rsidR="00C16EB5">
        <w:rPr>
          <w:rFonts w:hint="cs"/>
          <w:rtl/>
        </w:rPr>
        <w:t>.</w:t>
      </w:r>
      <w:r>
        <w:rPr>
          <w:rtl/>
        </w:rPr>
        <w:t xml:space="preserve"> וכן קרח קני למשה:</w:t>
      </w:r>
    </w:p>
  </w:footnote>
  <w:footnote w:id="4690">
    <w:p w:rsidR="00A13282" w:rsidRDefault="00A13282" w:rsidP="0020255E">
      <w:pPr>
        <w:pStyle w:val="a5"/>
        <w:rPr>
          <w:rtl/>
        </w:rPr>
      </w:pPr>
      <w:r>
        <w:rPr>
          <w:rStyle w:val="a7"/>
          <w:rtl/>
        </w:rPr>
        <w:footnoteRef/>
      </w:r>
      <w:r>
        <w:rPr>
          <w:rtl/>
        </w:rPr>
        <w:t xml:space="preserve"> </w:t>
      </w:r>
      <w:r>
        <w:rPr>
          <w:b/>
          <w:bCs/>
          <w:rtl/>
        </w:rPr>
        <w:t>כי ביום אכלך כו'.</w:t>
      </w:r>
      <w:r>
        <w:rPr>
          <w:rtl/>
        </w:rPr>
        <w:t xml:space="preserve"> רוצה לומר דזה נתקיים בהבל. ורוצה לומר כדעת המפרשים שאמרו שהכל היה ביום אחד:</w:t>
      </w:r>
    </w:p>
  </w:footnote>
  <w:footnote w:id="4691">
    <w:p w:rsidR="00A13282" w:rsidRDefault="00A13282" w:rsidP="0020255E">
      <w:pPr>
        <w:pStyle w:val="a5"/>
        <w:rPr>
          <w:rtl/>
        </w:rPr>
      </w:pPr>
      <w:r>
        <w:rPr>
          <w:rStyle w:val="a7"/>
          <w:rtl/>
        </w:rPr>
        <w:footnoteRef/>
      </w:r>
      <w:r>
        <w:rPr>
          <w:rtl/>
        </w:rPr>
        <w:t xml:space="preserve"> </w:t>
      </w:r>
      <w:r>
        <w:rPr>
          <w:b/>
          <w:bCs/>
          <w:rtl/>
        </w:rPr>
        <w:t>כמעשה הרשעים והכא אתרמיז כו'.</w:t>
      </w:r>
      <w:r>
        <w:rPr>
          <w:rtl/>
        </w:rPr>
        <w:t xml:space="preserve"> רוצה לומר בפסוק הזה כמו שכתוב (קהלת ז טו) יש צדיק כו' ויש כו' ומפרש והולך </w:t>
      </w:r>
      <w:r>
        <w:rPr>
          <w:b/>
          <w:bCs/>
          <w:rtl/>
        </w:rPr>
        <w:t>לאו דאיהו כו'.</w:t>
      </w:r>
      <w:r>
        <w:rPr>
          <w:rtl/>
        </w:rPr>
        <w:t xml:space="preserve"> רוצה לומר, שיש צדיק שעושה חטא אחד גדול, והוא בשביל שמושרש בטבעו ממעשה אבותיהם, וזה שאומר </w:t>
      </w:r>
      <w:r>
        <w:rPr>
          <w:b/>
          <w:bCs/>
          <w:rtl/>
        </w:rPr>
        <w:t>אלא כמעשה הרשעים דחב בעובדא דחייבא כו'.</w:t>
      </w:r>
      <w:r>
        <w:rPr>
          <w:rtl/>
        </w:rPr>
        <w:t xml:space="preserve"> רוצה לומר, דכתיב הרשעים, לשון רבים, שהן ס"מ ונחש, והוא בחטא אביו, וגרם ליה להלבישו בלבוש דילהון, והוא קשה לו מאד ליזהר ממנו, וזה שאמרו (משנה קדושין ד ד) הנושא אשה צריך לבדוק כו', שעל פי הרוב טבע האילן הוא בפרי אם לא בזהירות גדול ולואי:</w:t>
      </w:r>
    </w:p>
  </w:footnote>
  <w:footnote w:id="4692">
    <w:p w:rsidR="00A13282" w:rsidRDefault="00A13282" w:rsidP="0020255E">
      <w:pPr>
        <w:pStyle w:val="a5"/>
        <w:rPr>
          <w:rtl/>
        </w:rPr>
      </w:pPr>
      <w:r>
        <w:rPr>
          <w:rStyle w:val="a7"/>
          <w:rtl/>
        </w:rPr>
        <w:footnoteRef/>
      </w:r>
      <w:r>
        <w:rPr>
          <w:rtl/>
        </w:rPr>
        <w:t xml:space="preserve"> </w:t>
      </w:r>
      <w:r>
        <w:rPr>
          <w:b/>
          <w:bCs/>
          <w:rtl/>
        </w:rPr>
        <w:t>ובג"ד אזיל בגלגולא.</w:t>
      </w:r>
      <w:r>
        <w:rPr>
          <w:rtl/>
        </w:rPr>
        <w:t xml:space="preserve"> רוצה לומר בשביל שנשאר בלא בן וכמו שאומר בסבא פ' משפטים. ומפרש והולך הגלגולים דיליה עד משה והאיך הכל מרומז במשה. ואמר </w:t>
      </w:r>
      <w:r>
        <w:rPr>
          <w:b/>
          <w:bCs/>
          <w:rtl/>
        </w:rPr>
        <w:t>שי"ן דמשה איהו שת,</w:t>
      </w:r>
      <w:r>
        <w:rPr>
          <w:rtl/>
        </w:rPr>
        <w:t xml:space="preserve"> דשת גלגולא קדמאה דהבל וזה שאומר הה"ד כי שת לי כו' והוא ראשי תיבות מש"ה - מ'שה ש'ת ה'בל, וע"ל המ"ם דמשה דרווח משם, וה' מאברהם, ורוצה לומר דאברהם תיקן ה' דהבל דחב בה' כמו שאומר למטה דחב באלקים כו' דברתא דמלכא דחב בה כו' ונתקן באברהם, בברית שניתן לו, ואח"כ במשה נתקן הכל, והה' - בה' חומשי תורה, ובמה שהציץ - ויסתר משה פניו כו', וזכה לתמונת ה' יביט, ומ"ם דמשה - במ' יום שעמד בהר ונעשה מ"ה, וש' דג' אבהן בג' דרגין דכהנים לוים וישראלים במתן תורה וכמו שאמרו (שבת פח ע"א) בריך רחמנא דיהיב לן אורייתא תליתאה בירחא תליתאה ביום תליתאה לעם תליתאה ע"י תליתאה (סוד ג' ההי"ן דשבת משם ע"ב ועיין ברעיא מהימנא פ' תצא מאלו ג' ההי"ן) והכל לתקן אות השי"ן דג' ראשין בג' דרגין, ומ"ה דיליה רצה לתקן בגרי הצדק, דש' - ג' חיוון ג' דרגין, ומ"ה - אדם, וחב בזה בערב רב ולכן מ"ה דיליה (קהלת ג טו) מה שהיה כבר הוא ואשר כו', אזלא בגלותא כנ"ל:</w:t>
      </w:r>
    </w:p>
  </w:footnote>
  <w:footnote w:id="4693">
    <w:p w:rsidR="00A13282" w:rsidRDefault="00A13282" w:rsidP="0020255E">
      <w:pPr>
        <w:pStyle w:val="a5"/>
        <w:rPr>
          <w:rtl/>
        </w:rPr>
      </w:pPr>
      <w:r>
        <w:rPr>
          <w:rStyle w:val="a7"/>
          <w:rtl/>
        </w:rPr>
        <w:footnoteRef/>
      </w:r>
      <w:r>
        <w:rPr>
          <w:rtl/>
        </w:rPr>
        <w:t xml:space="preserve"> </w:t>
      </w:r>
      <w:r>
        <w:rPr>
          <w:b/>
          <w:bCs/>
          <w:rtl/>
        </w:rPr>
        <w:t>דהבל רכיב עליה כו'.</w:t>
      </w:r>
      <w:r>
        <w:rPr>
          <w:rtl/>
        </w:rPr>
        <w:t xml:space="preserve"> דהוא סוד הגלגול דמרכיבין אילנא באילנא אחרא ועביד פירין כמו שאומר ברעיא מהימנא פ' פנחס רי"ח א':</w:t>
      </w:r>
    </w:p>
  </w:footnote>
  <w:footnote w:id="4694">
    <w:p w:rsidR="00A13282" w:rsidRDefault="00A13282" w:rsidP="0020255E">
      <w:pPr>
        <w:pStyle w:val="a5"/>
        <w:rPr>
          <w:rtl/>
        </w:rPr>
      </w:pPr>
      <w:r>
        <w:rPr>
          <w:rStyle w:val="a7"/>
          <w:rtl/>
        </w:rPr>
        <w:footnoteRef/>
      </w:r>
      <w:r>
        <w:rPr>
          <w:rtl/>
        </w:rPr>
        <w:t xml:space="preserve"> </w:t>
      </w:r>
      <w:r>
        <w:rPr>
          <w:b/>
          <w:bCs/>
          <w:rtl/>
        </w:rPr>
        <w:t>ואיהו סיומא כו'.</w:t>
      </w:r>
      <w:r>
        <w:rPr>
          <w:rtl/>
        </w:rPr>
        <w:t xml:space="preserve"> דהבל הוא ה' ל"ב נתיבות, ול"ב נתיבות הוא עשר אמירן ואחריהן כ"ב אתוון, ועיין מה שבארנו בספר יצירה בארוכה, וה' הוא ה' דאולידת יתהון, והן ג' דרגין נר"ן, ה' - נשמתא, ול"ב רוחא ונפשא, ושת הוא סיומא דכולן וזה שאומר ובג"ד תחת הבל. רוצה לומר בסיומא והרכבה דיליה:</w:t>
      </w:r>
    </w:p>
  </w:footnote>
  <w:footnote w:id="4695">
    <w:p w:rsidR="00A13282" w:rsidRDefault="00A13282" w:rsidP="0020255E">
      <w:pPr>
        <w:pStyle w:val="a5"/>
        <w:rPr>
          <w:rtl/>
        </w:rPr>
      </w:pPr>
      <w:r>
        <w:rPr>
          <w:rStyle w:val="a7"/>
          <w:rtl/>
        </w:rPr>
        <w:footnoteRef/>
      </w:r>
      <w:r>
        <w:rPr>
          <w:rtl/>
        </w:rPr>
        <w:t xml:space="preserve"> </w:t>
      </w:r>
      <w:r>
        <w:rPr>
          <w:b/>
          <w:bCs/>
          <w:rtl/>
        </w:rPr>
        <w:t>הבל, הלב ואיהי ה' ממשה כו'.</w:t>
      </w:r>
      <w:r>
        <w:rPr>
          <w:rtl/>
        </w:rPr>
        <w:t xml:space="preserve"> רוצה לומר הלב - ה' לב, דלב הוא בינה, ה', וכמו שאומר למטה דהא לבא איהי אימא עילאה דאתמר הלב מבין, וזה שאומר </w:t>
      </w:r>
      <w:r>
        <w:rPr>
          <w:b/>
          <w:bCs/>
          <w:rtl/>
        </w:rPr>
        <w:t>והלב איהי לשמאלא כו'</w:t>
      </w:r>
      <w:r>
        <w:rPr>
          <w:rtl/>
        </w:rPr>
        <w:t xml:space="preserve"> דבינה היא לשמאלא, וכן מלכות, ה' תתאה, ואמר </w:t>
      </w:r>
      <w:r>
        <w:rPr>
          <w:b/>
          <w:bCs/>
          <w:rtl/>
        </w:rPr>
        <w:t>דאיהי אלקים</w:t>
      </w:r>
      <w:r>
        <w:rPr>
          <w:rtl/>
        </w:rPr>
        <w:t xml:space="preserve"> רוצה לומר כמו שמפרש והולך דלכן ירא מהביט אל האלקים בגין כו' דדרגא דהבל משם היה, הבל הלב כנ"ל ושם פגים, דהציץ, ולכן ויסתר, ואמר </w:t>
      </w:r>
      <w:r>
        <w:rPr>
          <w:b/>
          <w:bCs/>
          <w:rtl/>
        </w:rPr>
        <w:t>ואיהו סתיר בנינא</w:t>
      </w:r>
      <w:r>
        <w:rPr>
          <w:rtl/>
        </w:rPr>
        <w:t xml:space="preserve"> רוצה לומר הלב מבין לשון בנין, ובנינא דילה מלכות, ה' תתאה, ויבן ה' אלקים את הצלע, וזה שאומר </w:t>
      </w:r>
      <w:r>
        <w:rPr>
          <w:b/>
          <w:bCs/>
          <w:rtl/>
        </w:rPr>
        <w:t>ונפלת בגיניה.</w:t>
      </w:r>
      <w:r>
        <w:rPr>
          <w:rtl/>
        </w:rPr>
        <w:t xml:space="preserve"> כמו שכתוב (עמוס ב ה) נפלה כו' בתולת ישראל, (עמוס ט יא) סוכת דוד הנופלת. ואמר </w:t>
      </w:r>
      <w:r>
        <w:rPr>
          <w:b/>
          <w:bCs/>
          <w:rtl/>
        </w:rPr>
        <w:t>דאיהו אלקים דעובדא דבראשית</w:t>
      </w:r>
      <w:r>
        <w:rPr>
          <w:rtl/>
        </w:rPr>
        <w:t xml:space="preserve"> רוצה לומר אלקים, בינה, דהיא כ"ח מ"ה, עובדא דבראשית, כ"ח דשם, והיא עשתה את בראשית דהיא בת אש דתמן כמו שמפרש והולך דנראה לו בלבת אש, ב"ל - הן ל"ב נתיבות ב"ל דהבל, בת אש - ד</w:t>
      </w:r>
      <w:r>
        <w:rPr>
          <w:b/>
          <w:bCs/>
          <w:rtl/>
        </w:rPr>
        <w:t>ב</w:t>
      </w:r>
      <w:r>
        <w:rPr>
          <w:rtl/>
        </w:rPr>
        <w:t>ר</w:t>
      </w:r>
      <w:r>
        <w:rPr>
          <w:b/>
          <w:bCs/>
          <w:rtl/>
        </w:rPr>
        <w:t>אש</w:t>
      </w:r>
      <w:r>
        <w:rPr>
          <w:rtl/>
        </w:rPr>
        <w:t>י</w:t>
      </w:r>
      <w:r>
        <w:rPr>
          <w:b/>
          <w:bCs/>
          <w:rtl/>
        </w:rPr>
        <w:t>ת</w:t>
      </w:r>
      <w:r>
        <w:rPr>
          <w:rtl/>
        </w:rPr>
        <w:t xml:space="preserve">, דהיא בת, ה' הנ"ל, ועם אש היא אשה, והוא א"ב ש"ת כמו שמפרש והולך ועוד ש"ת בא"ת ב"ש כו' והוא אב ובן דאתגלגלו ביה. ואמר </w:t>
      </w:r>
      <w:r>
        <w:rPr>
          <w:b/>
          <w:bCs/>
          <w:rtl/>
        </w:rPr>
        <w:t>דחב במעשה.</w:t>
      </w:r>
      <w:r>
        <w:rPr>
          <w:rtl/>
        </w:rPr>
        <w:t xml:space="preserve"> רוצה לומר, בינה דהיא עובדא ועיין לעיל ריש תיקון ס”א ופגם בבית - בינה, ובאלף - חכמה, וכאן נתקן בבשת שהיה ירא, כי יראה היא הבושה כמו שאומר בסוף פרק ב' דנדרים וזה שאומר ירא בושת. וא' דפגם במחשבה - נתקן בסיני דפתח אנכי, וב' הוא עובדא דהעולם נברא בבי"ת, ואלף הוא המחשבה שהוא התורה שניתנה באלף והוא המייחדם, שמא מפרש, אדם:</w:t>
      </w:r>
    </w:p>
  </w:footnote>
  <w:footnote w:id="4696">
    <w:p w:rsidR="00A13282" w:rsidRDefault="00A13282" w:rsidP="0020255E">
      <w:pPr>
        <w:pStyle w:val="a5"/>
        <w:rPr>
          <w:rtl/>
        </w:rPr>
      </w:pPr>
      <w:r>
        <w:rPr>
          <w:rStyle w:val="a7"/>
          <w:rtl/>
        </w:rPr>
        <w:footnoteRef/>
      </w:r>
      <w:r>
        <w:rPr>
          <w:rtl/>
        </w:rPr>
        <w:t xml:space="preserve"> </w:t>
      </w:r>
      <w:r>
        <w:rPr>
          <w:b/>
          <w:bCs/>
          <w:rtl/>
        </w:rPr>
        <w:t>ואיהו יו"ד כו' ראשית דרכו.</w:t>
      </w:r>
      <w:r>
        <w:rPr>
          <w:rtl/>
        </w:rPr>
        <w:t xml:space="preserve"> והוא גם כן רי"ש דבראשית, וזכו במצרים דאצטרפו ר"י שנה:</w:t>
      </w:r>
    </w:p>
  </w:footnote>
  <w:footnote w:id="4697">
    <w:p w:rsidR="00A13282" w:rsidRDefault="00A13282" w:rsidP="0020255E">
      <w:pPr>
        <w:pStyle w:val="a5"/>
        <w:rPr>
          <w:rtl/>
        </w:rPr>
      </w:pPr>
      <w:r>
        <w:rPr>
          <w:rStyle w:val="a7"/>
          <w:rtl/>
        </w:rPr>
        <w:footnoteRef/>
      </w:r>
      <w:r>
        <w:rPr>
          <w:rtl/>
        </w:rPr>
        <w:t xml:space="preserve"> </w:t>
      </w:r>
      <w:r>
        <w:rPr>
          <w:b/>
          <w:bCs/>
          <w:rtl/>
        </w:rPr>
        <w:t>דאיהי עשרה דורות.</w:t>
      </w:r>
      <w:r>
        <w:rPr>
          <w:rtl/>
        </w:rPr>
        <w:t xml:space="preserve"> דאצטרף בהו עד שם כמו שמפרש והולך:</w:t>
      </w:r>
    </w:p>
  </w:footnote>
  <w:footnote w:id="4698">
    <w:p w:rsidR="00A13282" w:rsidRDefault="00A13282" w:rsidP="0020255E">
      <w:pPr>
        <w:pStyle w:val="a5"/>
        <w:rPr>
          <w:rtl/>
        </w:rPr>
      </w:pPr>
      <w:r>
        <w:rPr>
          <w:rStyle w:val="a7"/>
          <w:rtl/>
        </w:rPr>
        <w:footnoteRef/>
      </w:r>
      <w:r>
        <w:rPr>
          <w:rtl/>
        </w:rPr>
        <w:t xml:space="preserve"> </w:t>
      </w:r>
      <w:r>
        <w:rPr>
          <w:b/>
          <w:bCs/>
          <w:rtl/>
        </w:rPr>
        <w:t>והאי יו"ד כו'.</w:t>
      </w:r>
      <w:r>
        <w:rPr>
          <w:rtl/>
        </w:rPr>
        <w:t xml:space="preserve"> דיעקב וישראל הן דרגין דהוי"ה ואדנ"י והן ב' יודין, זה בעקב דאדנ"י, נוק', יעקב, וזה בראש הוי"ה, דכורא, ישראל, ועיין מה שאומר לעיל סוף תיקון נ”ו:</w:t>
      </w:r>
    </w:p>
  </w:footnote>
  <w:footnote w:id="4699">
    <w:p w:rsidR="00A13282" w:rsidRDefault="00A13282" w:rsidP="0020255E">
      <w:pPr>
        <w:pStyle w:val="a5"/>
        <w:rPr>
          <w:rtl/>
        </w:rPr>
      </w:pPr>
      <w:r>
        <w:rPr>
          <w:rStyle w:val="a7"/>
          <w:rtl/>
        </w:rPr>
        <w:footnoteRef/>
      </w:r>
      <w:r>
        <w:rPr>
          <w:rtl/>
        </w:rPr>
        <w:t xml:space="preserve"> </w:t>
      </w:r>
      <w:r>
        <w:rPr>
          <w:b/>
          <w:bCs/>
          <w:rtl/>
        </w:rPr>
        <w:t>ורזא דמלה כו' שם עולם.</w:t>
      </w:r>
      <w:r>
        <w:rPr>
          <w:rtl/>
        </w:rPr>
        <w:t xml:space="preserve"> ימין משה הוא ה' דאברהם דהוא בימינא בה' אצבעאן דבה נעשו כל הנסים כמו שמפרש והולך ובה כו' לעשות שם, להצטרף שם דיליה עמה, ולעשות משה, וזהו בוקע מים דבה בקע ימא כמו שמפרש והולך וכמו שכתוב (שמות יד טז,כא) נטה את ידך כו' ויט משה את ידו כו'. ואמר </w:t>
      </w:r>
      <w:r>
        <w:rPr>
          <w:b/>
          <w:bCs/>
          <w:rtl/>
        </w:rPr>
        <w:t>ובה אפיק כו'.</w:t>
      </w:r>
      <w:r>
        <w:rPr>
          <w:rtl/>
        </w:rPr>
        <w:t xml:space="preserve"> כמו שכתוב (שמות יד ח) ובני ישראל יוצאים כו', וכן ימא כמו שכתוב  (שמות יד לא) וירא ישראל את היד הגדולה כו', וזה שאומר </w:t>
      </w:r>
      <w:r>
        <w:rPr>
          <w:b/>
          <w:bCs/>
          <w:rtl/>
        </w:rPr>
        <w:t>ודא איהו בוקע כו'.</w:t>
      </w:r>
      <w:r>
        <w:rPr>
          <w:rtl/>
        </w:rPr>
        <w:t xml:space="preserve"> רוצה לומר שהוא ה' דמשה:</w:t>
      </w:r>
    </w:p>
  </w:footnote>
  <w:footnote w:id="4700">
    <w:p w:rsidR="00A13282" w:rsidRDefault="00A13282" w:rsidP="0020255E">
      <w:pPr>
        <w:pStyle w:val="a5"/>
        <w:rPr>
          <w:rtl/>
        </w:rPr>
      </w:pPr>
      <w:r>
        <w:rPr>
          <w:rStyle w:val="a7"/>
          <w:rtl/>
        </w:rPr>
        <w:footnoteRef/>
      </w:r>
      <w:r>
        <w:rPr>
          <w:rtl/>
        </w:rPr>
        <w:t xml:space="preserve"> </w:t>
      </w:r>
      <w:r>
        <w:rPr>
          <w:b/>
          <w:bCs/>
          <w:rtl/>
        </w:rPr>
        <w:t>ובה עתיד כו'.</w:t>
      </w:r>
      <w:r>
        <w:rPr>
          <w:rtl/>
        </w:rPr>
        <w:t xml:space="preserve"> עיין לעיל נ"ב ב' ס"ה ב' ומה שבארנו שם ושם:</w:t>
      </w:r>
    </w:p>
  </w:footnote>
  <w:footnote w:id="4701">
    <w:p w:rsidR="00A13282" w:rsidRDefault="00A13282" w:rsidP="0020255E">
      <w:pPr>
        <w:pStyle w:val="a5"/>
        <w:rPr>
          <w:rtl/>
        </w:rPr>
      </w:pPr>
      <w:r>
        <w:rPr>
          <w:rStyle w:val="a7"/>
          <w:rtl/>
        </w:rPr>
        <w:footnoteRef/>
      </w:r>
      <w:r>
        <w:rPr>
          <w:rtl/>
        </w:rPr>
        <w:t xml:space="preserve"> </w:t>
      </w:r>
      <w:r>
        <w:rPr>
          <w:b/>
          <w:bCs/>
          <w:rtl/>
        </w:rPr>
        <w:t>בההוא זמנא מה דהוה כו'.</w:t>
      </w:r>
      <w:r>
        <w:rPr>
          <w:rtl/>
        </w:rPr>
        <w:t xml:space="preserve"> רוצה לומר, לעתיד לבוא יעשה מהלב דהוא לשמאלא - הבל, וסליק למוחא דהוא לימינא ויתוקן הכל מחשבה ועובדה ואח"כ ירד ההבל על הארץ דהוא רעיא מהימנא לבקע ימא דאורייתא. ואמר </w:t>
      </w:r>
      <w:r>
        <w:rPr>
          <w:b/>
          <w:bCs/>
          <w:rtl/>
        </w:rPr>
        <w:t>ובג"ד יש הבל כו'.</w:t>
      </w:r>
      <w:r>
        <w:rPr>
          <w:rtl/>
        </w:rPr>
        <w:t xml:space="preserve"> דכד הבל סליק ליש, נעשה אח"כ על הארץ ואח"כ מפרש והולך סיפיה דקרא אשר יש צדיקים שמגיע כו', דצדיקים לשון רבים הוא אדם והבל, שלאדם מגיע בפיתוי ס"ם ונחש, והוא בגין רשיעיא דתליא ביה, והבל מגיע מעשה אבותיהם כו' כנ"ל, ואמר </w:t>
      </w:r>
      <w:r>
        <w:rPr>
          <w:b/>
          <w:bCs/>
          <w:rtl/>
        </w:rPr>
        <w:t>עליה אתמר וינסו כו'</w:t>
      </w:r>
      <w:r>
        <w:rPr>
          <w:rtl/>
        </w:rPr>
        <w:t xml:space="preserve"> רוצה לומר זהו חטא במחשבה כמו שכתוב (תהלים עח יח) וינסו אל בלבבם כו', ונאמר עשר פעמים והוא ראיה דמחשבה הוא ביו"ד, וישראל היו להם מעשה אבותיהם בידיהם כמו שאומר לעיל צ"ח ב' ועיין בזוהר פ’ בראשית כ"ח א' אמר ר' אלעזר והא מאן יהיב עובדא כו':</w:t>
      </w:r>
    </w:p>
  </w:footnote>
  <w:footnote w:id="4702">
    <w:p w:rsidR="00A13282" w:rsidRDefault="00A13282" w:rsidP="0020255E">
      <w:pPr>
        <w:pStyle w:val="a5"/>
        <w:rPr>
          <w:rtl/>
        </w:rPr>
      </w:pPr>
      <w:r>
        <w:rPr>
          <w:rStyle w:val="a7"/>
          <w:rtl/>
        </w:rPr>
        <w:footnoteRef/>
      </w:r>
      <w:r>
        <w:rPr>
          <w:rtl/>
        </w:rPr>
        <w:t xml:space="preserve"> </w:t>
      </w:r>
      <w:r>
        <w:rPr>
          <w:b/>
          <w:bCs/>
          <w:rtl/>
        </w:rPr>
        <w:t>ובג"ד כד אתא אדם כו'.</w:t>
      </w:r>
      <w:r>
        <w:rPr>
          <w:rtl/>
        </w:rPr>
        <w:t xml:space="preserve"> כמו שאומר בפ' שמיני דאברהם ברזא דחכמה ויצחק ברזא דתבונה ויעקב ברזא דדעת כליל שניהם וזה שאומר דאבא אתגלגל באברהם דאיהו לימינא ואימא כו': </w:t>
      </w:r>
      <w:r>
        <w:rPr>
          <w:b/>
          <w:bCs/>
          <w:rtl/>
        </w:rPr>
        <w:t>לית ספירה דלא כו'.</w:t>
      </w:r>
      <w:r>
        <w:rPr>
          <w:rtl/>
        </w:rPr>
        <w:t xml:space="preserve"> כמו שאומר לעיל תיקון מ”ג ולעיל י"ג א' דשמא מפרש מתפשט  ומשקי כולא, הוא בכל ספירין ובכל עלמין, ובן אדם שהוא בדיוקניה מתגלגל בכל בר נש וכליל כולא ואמר </w:t>
      </w:r>
      <w:r>
        <w:rPr>
          <w:b/>
          <w:bCs/>
          <w:rtl/>
        </w:rPr>
        <w:t>כ"ח מ"ה</w:t>
      </w:r>
      <w:r>
        <w:rPr>
          <w:rtl/>
        </w:rPr>
        <w:t xml:space="preserve"> רוצה לומר, מ"ה חושבן אדם, שמא מפרש. ובנוסחא אחרת שכתוב בפנים </w:t>
      </w:r>
      <w:r>
        <w:rPr>
          <w:b/>
          <w:bCs/>
          <w:rtl/>
        </w:rPr>
        <w:t>מסט' דיצחק קרא לי' יעקב מסט' כו'</w:t>
      </w:r>
      <w:r>
        <w:rPr>
          <w:rtl/>
        </w:rPr>
        <w:t xml:space="preserve"> דהן דו"נ, יעקב וישראל כנ"ל: </w:t>
      </w:r>
      <w:r>
        <w:rPr>
          <w:b/>
          <w:bCs/>
          <w:rtl/>
        </w:rPr>
        <w:t>דתמן מחשבה.</w:t>
      </w:r>
      <w:r>
        <w:rPr>
          <w:rtl/>
        </w:rPr>
        <w:t xml:space="preserve"> רוצה לומר חכמה, דכורא, ורוצה לומר משום שרוצה לסיים ישראל עלה במחשבה:</w:t>
      </w:r>
    </w:p>
  </w:footnote>
  <w:footnote w:id="4703">
    <w:p w:rsidR="00A13282" w:rsidRDefault="00A13282" w:rsidP="0020255E">
      <w:pPr>
        <w:pStyle w:val="a5"/>
        <w:rPr>
          <w:rtl/>
        </w:rPr>
      </w:pPr>
      <w:r>
        <w:rPr>
          <w:rStyle w:val="a7"/>
          <w:rtl/>
        </w:rPr>
        <w:footnoteRef/>
      </w:r>
      <w:r>
        <w:rPr>
          <w:rtl/>
        </w:rPr>
        <w:t xml:space="preserve"> </w:t>
      </w:r>
      <w:r>
        <w:rPr>
          <w:b/>
          <w:bCs/>
          <w:rtl/>
        </w:rPr>
        <w:t>א"ל מנלן דאברהם כו'.</w:t>
      </w:r>
      <w:r>
        <w:rPr>
          <w:rtl/>
        </w:rPr>
        <w:t xml:space="preserve"> רוצה לומר, ישראל הבאת ראיה דהוא מסטרא דאברהם ממה שאמרו ישראל עלה במחשבה, אברהם עצמו לא ידענו:</w:t>
      </w:r>
    </w:p>
  </w:footnote>
  <w:footnote w:id="4704">
    <w:p w:rsidR="00A13282" w:rsidRDefault="00A13282" w:rsidP="0020255E">
      <w:pPr>
        <w:pStyle w:val="a5"/>
        <w:rPr>
          <w:rtl/>
        </w:rPr>
      </w:pPr>
      <w:r>
        <w:rPr>
          <w:rStyle w:val="a7"/>
          <w:rtl/>
        </w:rPr>
        <w:footnoteRef/>
      </w:r>
      <w:r>
        <w:rPr>
          <w:rtl/>
        </w:rPr>
        <w:t xml:space="preserve"> </w:t>
      </w:r>
      <w:r>
        <w:rPr>
          <w:b/>
          <w:bCs/>
          <w:rtl/>
        </w:rPr>
        <w:t>לאילנא דהוה כו'.</w:t>
      </w:r>
      <w:r>
        <w:rPr>
          <w:rtl/>
        </w:rPr>
        <w:t xml:space="preserve"> עיין בזוהר פ’ פנחס רי"ז ב':</w:t>
      </w:r>
    </w:p>
  </w:footnote>
  <w:footnote w:id="4705">
    <w:p w:rsidR="00A13282" w:rsidRDefault="00A13282" w:rsidP="0020255E">
      <w:pPr>
        <w:pStyle w:val="a5"/>
        <w:rPr>
          <w:rtl/>
        </w:rPr>
      </w:pPr>
      <w:r>
        <w:rPr>
          <w:rStyle w:val="a7"/>
          <w:rtl/>
        </w:rPr>
        <w:footnoteRef/>
      </w:r>
      <w:r>
        <w:rPr>
          <w:rtl/>
        </w:rPr>
        <w:t xml:space="preserve"> </w:t>
      </w:r>
      <w:r>
        <w:rPr>
          <w:b/>
          <w:bCs/>
          <w:rtl/>
        </w:rPr>
        <w:t>ואסתלקו ענפוי בכל רקיעים כו'.</w:t>
      </w:r>
      <w:r>
        <w:rPr>
          <w:rtl/>
        </w:rPr>
        <w:t xml:space="preserve"> דהוא יעקב דדיוקניה בכסא הכבוד ועליו נאמר (בראשית א כו) וירדו כו', ונפקי מיניה ישראל דשולטנותם בכולא, ומיניה אתפשטו הכל בסטרא דקדושה, ויעקב הוא עץ החיים כמו שאמרו יעקב לא מת, מאן דחזא ליה בחלמא מקסטר כו', והוא דיוקנא דאדם הראשון והוא תיקן עץ החיים, מתחלה בדרגא דיעקב תיקן עץ הדעת טוב ורע, ורווח כל הברכאין מסטרא דנחש בעקימו, ואח"כ אכל מעץ החיים וחי לעולם ונקרא שמו ישראל, ואמר בהגהה </w:t>
      </w:r>
      <w:r>
        <w:rPr>
          <w:b/>
          <w:bCs/>
          <w:rtl/>
        </w:rPr>
        <w:t>דבזמנא דחב אדם כו'</w:t>
      </w:r>
      <w:r>
        <w:rPr>
          <w:rtl/>
        </w:rPr>
        <w:t xml:space="preserve"> דהוה כלהון לבטלה, וזהו כל חטאים, לא תזרע כרמך כלאים, דלא יהון חבוש בבית האסורים בבתי כלאים, ויעקב תיקן הכל. ואמר </w:t>
      </w:r>
      <w:r>
        <w:rPr>
          <w:b/>
          <w:bCs/>
          <w:rtl/>
        </w:rPr>
        <w:t>יוליך את הקול</w:t>
      </w:r>
      <w:r>
        <w:rPr>
          <w:rtl/>
        </w:rPr>
        <w:t xml:space="preserve"> הוא קול דקריאת שמע, שמע ישראל, שתיקן ישראל בדרגא עילאה, וצלותא הוא דבר, שתיקן יעקב בעודו יעקב שהלך ללבן:</w:t>
      </w:r>
    </w:p>
  </w:footnote>
  <w:footnote w:id="4706">
    <w:p w:rsidR="00A13282" w:rsidRDefault="00A13282" w:rsidP="0020255E">
      <w:pPr>
        <w:pStyle w:val="a5"/>
        <w:rPr>
          <w:rtl/>
        </w:rPr>
      </w:pPr>
      <w:r>
        <w:rPr>
          <w:rStyle w:val="a7"/>
          <w:rtl/>
        </w:rPr>
        <w:footnoteRef/>
      </w:r>
      <w:r>
        <w:rPr>
          <w:rtl/>
        </w:rPr>
        <w:t xml:space="preserve"> </w:t>
      </w:r>
      <w:r>
        <w:rPr>
          <w:b/>
          <w:bCs/>
          <w:rtl/>
        </w:rPr>
        <w:t>אבל ב"נ כו'.</w:t>
      </w:r>
      <w:r>
        <w:rPr>
          <w:rtl/>
        </w:rPr>
        <w:t xml:space="preserve"> דבאדם נתקן בכל ג' גלגולים, בג' אבהן, אבל בר נש דטרח כו' רוצה לומר בגלגול הראשון לא נשתנה כלל רק שירד לעלמא דנוק' אבל בשני במט"ט שם נשתנה השם כמו הוי"ה במצפ"ץ והוא שינוי ברוח, דשם השם, ואח"כ בגלגול השלישי נשתנה הנפש ומשתנה בכל ציוריו, דהוא מחמת הנפש, ונשתנה הגוף שהוא שתופא דנפש וחותם הנפש:</w:t>
      </w:r>
    </w:p>
  </w:footnote>
  <w:footnote w:id="4707">
    <w:p w:rsidR="00A13282" w:rsidRDefault="00A13282" w:rsidP="0020255E">
      <w:pPr>
        <w:pStyle w:val="a5"/>
        <w:rPr>
          <w:rtl/>
        </w:rPr>
      </w:pPr>
      <w:r>
        <w:rPr>
          <w:rStyle w:val="a7"/>
          <w:rtl/>
        </w:rPr>
        <w:footnoteRef/>
      </w:r>
      <w:r>
        <w:rPr>
          <w:rtl/>
        </w:rPr>
        <w:t xml:space="preserve"> </w:t>
      </w:r>
      <w:r>
        <w:rPr>
          <w:b/>
          <w:bCs/>
          <w:rtl/>
        </w:rPr>
        <w:t>ודא ונתץ את הבית כו'.</w:t>
      </w:r>
      <w:r>
        <w:rPr>
          <w:rtl/>
        </w:rPr>
        <w:t xml:space="preserve"> והן ג' שבועות דבתים, בכל הסגר שבעה ימים, שהן שנותינו שבעים שנה:</w:t>
      </w:r>
    </w:p>
  </w:footnote>
  <w:footnote w:id="4708">
    <w:p w:rsidR="00A13282" w:rsidRDefault="00A13282" w:rsidP="0020255E">
      <w:pPr>
        <w:pStyle w:val="a5"/>
        <w:rPr>
          <w:rtl/>
        </w:rPr>
      </w:pPr>
      <w:r>
        <w:rPr>
          <w:rStyle w:val="a7"/>
          <w:rtl/>
        </w:rPr>
        <w:footnoteRef/>
      </w:r>
      <w:r>
        <w:rPr>
          <w:rtl/>
        </w:rPr>
        <w:t xml:space="preserve"> </w:t>
      </w:r>
      <w:r>
        <w:rPr>
          <w:b/>
          <w:bCs/>
          <w:rtl/>
        </w:rPr>
        <w:t>קרקע דנטע ליה תמן ואצלח ומתפשט ענפוי ושרשוי דא שכינתא ועד כמה עד אלף דור כד"א דבר כו'.</w:t>
      </w:r>
      <w:r>
        <w:rPr>
          <w:rtl/>
        </w:rPr>
        <w:t xml:space="preserve"> רוצה לומר כמו שנוטעין האילן בקרקע ואצלח ומתפשט הענפים שמרכיבין ומבריכין ממנו כמה אילנות כן הוא בקרקע השכינה שמתפוצצין מגלגולא דאדם עד אלף ועיין בתיקוני זוהר חדש פ"ה א' חזא דלא אצלח ונתץ כו' אדם צוה לאלף דור כו' ועיין מה שבארנו שם ותבין כל הענין דכאן, וכתוב הכל שם, ומחלק שם בין רשע גמור לשאינו גמור ובהנהו אשר קומטו לא כהנך שכתוב יפול כו' וזה שאומר כאן אמר ליה אי הכי מאי כו' אמר ליה אלין תשע כו':</w:t>
      </w:r>
    </w:p>
  </w:footnote>
  <w:footnote w:id="4709">
    <w:p w:rsidR="00A13282" w:rsidRDefault="00A13282" w:rsidP="0020255E">
      <w:pPr>
        <w:pStyle w:val="a5"/>
        <w:rPr>
          <w:rtl/>
        </w:rPr>
      </w:pPr>
      <w:r>
        <w:rPr>
          <w:rStyle w:val="a7"/>
          <w:rtl/>
        </w:rPr>
        <w:footnoteRef/>
      </w:r>
      <w:r>
        <w:rPr>
          <w:rtl/>
        </w:rPr>
        <w:t xml:space="preserve"> </w:t>
      </w:r>
      <w:r>
        <w:rPr>
          <w:b/>
          <w:bCs/>
          <w:rtl/>
        </w:rPr>
        <w:t>ודאי האי איהו סבא כו'.</w:t>
      </w:r>
      <w:r>
        <w:rPr>
          <w:rtl/>
        </w:rPr>
        <w:t xml:space="preserve"> זה שאומר למעלה סבא דסבין, שג' אבהן נקראים זקנים, והוא זקן זקנים ועתיק עתיקין כי עתיק הוא מימים קדמונים, וזקן שחיה שנים הרבה, וזהו עתיק יומין שנהג עלמא בז' ימי בראשית, וא"א נקרא עתיקא קדישא דאנהג עלמא עד נח כמו שאומר לקמן קל"ו ב':</w:t>
      </w:r>
    </w:p>
  </w:footnote>
  <w:footnote w:id="4710">
    <w:p w:rsidR="00A13282" w:rsidRDefault="00A13282" w:rsidP="0020255E">
      <w:pPr>
        <w:pStyle w:val="a5"/>
        <w:rPr>
          <w:rtl/>
        </w:rPr>
      </w:pPr>
      <w:r>
        <w:rPr>
          <w:rStyle w:val="a7"/>
          <w:rtl/>
        </w:rPr>
        <w:footnoteRef/>
      </w:r>
      <w:r>
        <w:rPr>
          <w:rtl/>
        </w:rPr>
        <w:t xml:space="preserve"> </w:t>
      </w:r>
      <w:r>
        <w:rPr>
          <w:b/>
          <w:bCs/>
          <w:rtl/>
        </w:rPr>
        <w:t>[בנ"א למטה] לית אתוון אלא כו' כי בי חשק כו'.</w:t>
      </w:r>
      <w:r>
        <w:rPr>
          <w:rtl/>
        </w:rPr>
        <w:t xml:space="preserve"> רוצה לומר, כי בי - הוא שם מ"ב הנ"ל שהן שבעה הבלים כנ"ל וזה שאומר ואלין אינון ברזא כו', ואמר לקבל כו' להורות דשבעה כולל מ"ב, ל"ב ויו"ד, לב"י כמו שאומר לעיל בריש תיקון למ"ד, וטעות סופר, וצריך להיות וא"ו יומי בראשית אלא דלילה דלהון הוא השביעי דבה מקום אחד, תפילין של יד, אבל יום השביעי, ג' אלקים, ג' גניזין דהוא משלים לשמא מפרש וכוללין כל המ"ה, וזהו עשר ספירות בלימה, דז' ימים הם עשרה, ששה כוללין שבעה כנ"ל אבל בשביעי אין לילה אבל שלשה ימים, ג' ביום השביעי, והן עשר ספירין דכלילין בלימה, ז"ת הן ימי המעשה, ב' ספרים הנ"ל, ויום השביעי הוא הבל של מנוחה, ועיין ברעיא מהימנא ריש פ' נשא קכ"ב ב' ותשובה דא אתקריאת חיים כי ממנה תוצאות חיים דאינון נשמתין דישראל ואיהו הבל דנחית ועאל בגופא דבר נש בלא עמל ובלא יגיעה כו', ושבת שמה, וכד האי שריא על ישראל לית להו יגיעה ולא שעבוד, ובה נפש עמלה ויגעה - שבת וינפש כו', עיין שם בדבריו, ואע"ג דאמר שם על ה' אחרונה, הכל ענין אחד דהיא שבת בכורסיא לגבי עלמין תתאין וכמו שמפרש והולך שם דנפש אחרא אית על רישא דבר נש דאקרי עבד והוא למעלה, ו' דמקנן במט"ט:</w:t>
      </w:r>
    </w:p>
  </w:footnote>
  <w:footnote w:id="4711">
    <w:p w:rsidR="00A13282" w:rsidRDefault="00A13282" w:rsidP="0020255E">
      <w:pPr>
        <w:pStyle w:val="a5"/>
        <w:rPr>
          <w:rtl/>
        </w:rPr>
      </w:pPr>
      <w:r>
        <w:rPr>
          <w:rStyle w:val="a7"/>
          <w:rtl/>
        </w:rPr>
        <w:footnoteRef/>
      </w:r>
      <w:r>
        <w:rPr>
          <w:rtl/>
        </w:rPr>
        <w:t xml:space="preserve"> </w:t>
      </w:r>
      <w:r>
        <w:rPr>
          <w:b/>
          <w:bCs/>
          <w:rtl/>
        </w:rPr>
        <w:t>ועלייהו כו' אלקי אלקים כו'.</w:t>
      </w:r>
      <w:r>
        <w:rPr>
          <w:rtl/>
        </w:rPr>
        <w:t xml:space="preserve"> רוצה לומר כנ"ל דז' שמהן הנ"ל הוא באלקים תתאה, לב תתאה, בלבת, בת לב, ובינה - ל"ב אלקים עלאה:</w:t>
      </w:r>
    </w:p>
  </w:footnote>
  <w:footnote w:id="4712">
    <w:p w:rsidR="00A13282" w:rsidRDefault="00A13282" w:rsidP="0020255E">
      <w:pPr>
        <w:pStyle w:val="a5"/>
        <w:rPr>
          <w:rtl/>
        </w:rPr>
      </w:pPr>
      <w:r>
        <w:rPr>
          <w:rStyle w:val="a7"/>
          <w:rtl/>
        </w:rPr>
        <w:footnoteRef/>
      </w:r>
      <w:r>
        <w:rPr>
          <w:rtl/>
        </w:rPr>
        <w:t xml:space="preserve"> </w:t>
      </w:r>
      <w:r>
        <w:rPr>
          <w:b/>
          <w:bCs/>
          <w:rtl/>
        </w:rPr>
        <w:t>בב' אתוון מכל שם כו' הכי לנפשא ואית שם בן מ"ב כו'.</w:t>
      </w:r>
      <w:r>
        <w:rPr>
          <w:rtl/>
        </w:rPr>
        <w:t xml:space="preserve"> דיוקניה הוא באצילות, וחותמא בבריאה, ובשעוה הוא ביצירה וכמו שאומר לעיל בהקדמה, והן כנפים, ג' ידין דמ"ב, יד הגדולה יד החזקה יד רמה, אבל בעשיה לית כנפים, דג' מ"ב הוא להעלות ג' עלמין בי"ע, ושם מ"ב דאיהו חותמא הוא המרגלא, ודיוקניה הוא בשמא מפרש, אדם הגדול נגד חכמה, ואהי"ה - חותמא, בינה, ושם מ"ב דהוא בשעוה - לבושא דז' הויות בז"ת כנ"ל, ואמר</w:t>
      </w:r>
    </w:p>
  </w:footnote>
  <w:footnote w:id="4713">
    <w:p w:rsidR="00A13282" w:rsidRDefault="00A13282" w:rsidP="0020255E">
      <w:pPr>
        <w:pStyle w:val="a5"/>
        <w:rPr>
          <w:rtl/>
        </w:rPr>
      </w:pPr>
      <w:r>
        <w:rPr>
          <w:rStyle w:val="a7"/>
          <w:rtl/>
        </w:rPr>
        <w:footnoteRef/>
      </w:r>
      <w:r>
        <w:rPr>
          <w:rtl/>
        </w:rPr>
        <w:t xml:space="preserve"> </w:t>
      </w:r>
      <w:r>
        <w:rPr>
          <w:b/>
          <w:bCs/>
          <w:rtl/>
        </w:rPr>
        <w:t>כי כרם כו' צבאות דילי'</w:t>
      </w:r>
      <w:r>
        <w:rPr>
          <w:rtl/>
        </w:rPr>
        <w:t xml:space="preserve"> רוצה לומר דהכי פרושו, כי כרם דה' הוא צבאות דהן ישראל שהן מסטרא דשם הוי"ה ולכן לא תזרע כרמך כלאים שהן זרע דאבהן כמו שמפרש והולך ואינון זרע אברהם יצחק ויעקב כו', ואמר הוי"ה רוצה לומר של הוי"ה, וכך צריך לומר</w:t>
      </w:r>
    </w:p>
  </w:footnote>
  <w:footnote w:id="4714">
    <w:p w:rsidR="00A13282" w:rsidRDefault="00A13282" w:rsidP="0020255E">
      <w:pPr>
        <w:pStyle w:val="a5"/>
        <w:rPr>
          <w:rtl/>
        </w:rPr>
      </w:pPr>
      <w:r>
        <w:rPr>
          <w:rStyle w:val="a7"/>
          <w:rtl/>
        </w:rPr>
        <w:footnoteRef/>
      </w:r>
      <w:r>
        <w:rPr>
          <w:rtl/>
        </w:rPr>
        <w:t xml:space="preserve"> </w:t>
      </w:r>
      <w:r>
        <w:rPr>
          <w:b/>
          <w:bCs/>
          <w:rtl/>
        </w:rPr>
        <w:t>דילי' דיהו"ה ועלייהו אתמר רק כו'.</w:t>
      </w:r>
      <w:r>
        <w:rPr>
          <w:rtl/>
        </w:rPr>
        <w:t xml:space="preserve"> רוצה לומר על ישראל שהן צבאות דיליה של שם הוי"ה, וכמו שהוי"ה מנוקד באלין נקודין דאבהן, חש"ק, כן הוא צבאות מנוקד באלין חש"ק והן זרעא דאבהן שהן חש"ק וכמו שמפרש והולך קמץ חכמה כו', להחכים ידרים, נקודה דאברהם, ושבא חולם אין צריך לפרשו שידוע דהן נקודין דיצחק ויעקב, וזהו באבותיך חש"ק ויבחר בזרעם אחריהם שהן צבאות, וכל אחד חש"ק ה' כו' וכן צבאות ה', ואמר כל זה דאלין שלושה שם מ"ב כוללין כל שמהן, דהוי"ה הוא פנימית כל השמות כמו שאומר לעיל סוף תיקון נ”ה ואהיה מקיף ליה, ושמהן גופא דיליה כמו שאומר שם, ומקור של שמהן דגופא הוא שם מ"ב שבו נברא העולם, פסוק ראשון דבראשית, וכן שם מ"ב דיוקנא הוא מקור לכל הויו"ת, והן ג' דרגין דנר"ן מה שאין כן ברשיעי כו' שעוסקים בכשופים ועליהם נאמר (ירמיהו י טו) הבל המה מעשה תעתועים, מה שאין כן באלין שהן הבלים דקיימא עלמא כנ"ל ואמר</w:t>
      </w:r>
    </w:p>
  </w:footnote>
  <w:footnote w:id="4715">
    <w:p w:rsidR="00A13282" w:rsidRDefault="00A13282" w:rsidP="0020255E">
      <w:pPr>
        <w:pStyle w:val="a5"/>
        <w:rPr>
          <w:rtl/>
        </w:rPr>
      </w:pPr>
      <w:r>
        <w:rPr>
          <w:rStyle w:val="a7"/>
          <w:rtl/>
        </w:rPr>
        <w:footnoteRef/>
      </w:r>
      <w:r>
        <w:rPr>
          <w:rtl/>
        </w:rPr>
        <w:t xml:space="preserve"> </w:t>
      </w:r>
      <w:r>
        <w:rPr>
          <w:b/>
          <w:bCs/>
          <w:rtl/>
        </w:rPr>
        <w:t>ובחכמה מחכה כו'</w:t>
      </w:r>
      <w:r>
        <w:rPr>
          <w:rtl/>
        </w:rPr>
        <w:t xml:space="preserve"> כמו שכתוב (דניאל יב י) והרשיעו כו' והמשכילים יזהירו כו' (דניאל יב ג), שבחכמה עתידין ליגאל כמו שאומר לעיל ע"ו ב' ועיין מה שכתבתי שם בארוכה:</w:t>
      </w:r>
    </w:p>
  </w:footnote>
  <w:footnote w:id="4716">
    <w:p w:rsidR="00A13282" w:rsidRDefault="00A13282" w:rsidP="0020255E">
      <w:pPr>
        <w:pStyle w:val="a5"/>
        <w:rPr>
          <w:rtl/>
        </w:rPr>
      </w:pPr>
      <w:r>
        <w:rPr>
          <w:rStyle w:val="a7"/>
          <w:rtl/>
        </w:rPr>
        <w:footnoteRef/>
      </w:r>
      <w:r>
        <w:rPr>
          <w:rtl/>
        </w:rPr>
        <w:t xml:space="preserve"> </w:t>
      </w:r>
      <w:r>
        <w:rPr>
          <w:b/>
          <w:bCs/>
          <w:rtl/>
        </w:rPr>
        <w:t>לשבעה היכלין כו'.</w:t>
      </w:r>
      <w:r>
        <w:rPr>
          <w:rtl/>
        </w:rPr>
        <w:t xml:space="preserve"> נגד ז' הבלים, ואינון נבנין מז' הבלים וכמו שאומר למטה בהאי קרא עבידנא כל בנינא דא:</w:t>
      </w:r>
    </w:p>
  </w:footnote>
  <w:footnote w:id="4717">
    <w:p w:rsidR="00A13282" w:rsidRDefault="00A13282" w:rsidP="0020255E">
      <w:pPr>
        <w:pStyle w:val="a5"/>
        <w:rPr>
          <w:rtl/>
        </w:rPr>
      </w:pPr>
      <w:r>
        <w:rPr>
          <w:rStyle w:val="a7"/>
          <w:rtl/>
        </w:rPr>
        <w:footnoteRef/>
      </w:r>
      <w:r>
        <w:rPr>
          <w:rtl/>
        </w:rPr>
        <w:t xml:space="preserve"> </w:t>
      </w:r>
      <w:r>
        <w:rPr>
          <w:b/>
          <w:bCs/>
          <w:rtl/>
        </w:rPr>
        <w:t>נשרא כו' ודמות יונה כו'.</w:t>
      </w:r>
      <w:r>
        <w:rPr>
          <w:rtl/>
        </w:rPr>
        <w:t xml:space="preserve"> נשרא נגד היכל עליון השביעי, [יונה נגד הראשון, בת שבע] דכליל כל היכלין כמו שאומר לעיל, והוא הכל הבל, והעטרה שמעטרא ליונה קדישא, בת שבע, דכליל מכולא ועיין להלן: </w:t>
      </w:r>
    </w:p>
  </w:footnote>
  <w:footnote w:id="4718">
    <w:p w:rsidR="00A13282" w:rsidRDefault="00A13282" w:rsidP="0020255E">
      <w:pPr>
        <w:pStyle w:val="a5"/>
        <w:rPr>
          <w:rtl/>
        </w:rPr>
      </w:pPr>
      <w:r>
        <w:rPr>
          <w:rStyle w:val="a7"/>
          <w:rtl/>
        </w:rPr>
        <w:footnoteRef/>
      </w:r>
      <w:r>
        <w:rPr>
          <w:rtl/>
        </w:rPr>
        <w:t xml:space="preserve"> </w:t>
      </w:r>
      <w:r>
        <w:rPr>
          <w:b/>
          <w:bCs/>
          <w:rtl/>
        </w:rPr>
        <w:t>ובי' הוינא כו' ובזמנא כו'.</w:t>
      </w:r>
      <w:r>
        <w:rPr>
          <w:rtl/>
        </w:rPr>
        <w:t xml:space="preserve"> לפי הענין שהיה צריך, אם לחסד אם לגבורה:</w:t>
      </w:r>
    </w:p>
  </w:footnote>
  <w:footnote w:id="4719">
    <w:p w:rsidR="00A13282" w:rsidRDefault="00A13282" w:rsidP="0020255E">
      <w:pPr>
        <w:pStyle w:val="a5"/>
        <w:rPr>
          <w:rtl/>
        </w:rPr>
      </w:pPr>
      <w:r>
        <w:rPr>
          <w:rStyle w:val="a7"/>
          <w:rtl/>
        </w:rPr>
        <w:footnoteRef/>
      </w:r>
      <w:r>
        <w:rPr>
          <w:rtl/>
        </w:rPr>
        <w:t xml:space="preserve"> </w:t>
      </w:r>
      <w:r>
        <w:rPr>
          <w:b/>
          <w:bCs/>
          <w:rtl/>
        </w:rPr>
        <w:t>ואנן בהאי ארעא כו'.</w:t>
      </w:r>
      <w:r>
        <w:rPr>
          <w:rtl/>
        </w:rPr>
        <w:t xml:space="preserve"> הוא שלמה המלך עליו השלום כמו שמפרש והולך והאי קרא יריתנא כו', והנה הגוף הוא מעולם הזה, והנה נה"י (של הנוק') קומה של הנוקבא, דנוק' נפלה בחורבן בית המקדש וכמו שכתוב (ישעיהו ס יג) ומקום רגלי אכבד, דהוא בית המקדש, ולכן הוא בעלי קב, (איכה א יג) כל היום דוה, (בראשית לב כו) ותקע כף כו', (משנה שבת ו ח) הקיטע יוצא בקב, ובניינא דיליה נפלה אבל כד אתפשט מן גופא כו':</w:t>
      </w:r>
    </w:p>
  </w:footnote>
  <w:footnote w:id="4720">
    <w:p w:rsidR="00A13282" w:rsidRDefault="00A13282" w:rsidP="0020255E">
      <w:pPr>
        <w:pStyle w:val="a5"/>
        <w:rPr>
          <w:rtl/>
        </w:rPr>
      </w:pPr>
      <w:r>
        <w:rPr>
          <w:rStyle w:val="a7"/>
          <w:rtl/>
        </w:rPr>
        <w:footnoteRef/>
      </w:r>
      <w:r>
        <w:rPr>
          <w:rtl/>
        </w:rPr>
        <w:t xml:space="preserve"> </w:t>
      </w:r>
      <w:r>
        <w:rPr>
          <w:b/>
          <w:bCs/>
          <w:rtl/>
        </w:rPr>
        <w:t>והאי קרא יריתנא כו'.</w:t>
      </w:r>
      <w:r>
        <w:rPr>
          <w:rtl/>
        </w:rPr>
        <w:t xml:space="preserve"> דז' הבלים דכלילין בבת שבע היא ליה מדוד מלכא דהוא בדרגא דידה והוא מלכות בית דוד, והוא להם בירושה דור דור עד יהודה הראשון, (בראשית מט י) לא יסור כו', וביה (בראשית כט לה) ותעמוד מלדת, דקיימא כרסיא על סמכוי, רגל הרביעי. והנה ז' הבלים אמר דוד בדרגיה, ושלמה אמר מ"ב בדרגיה דבריאה, דשם מ"ב דמרגלא דכלילא בז' שמהן, ואמר לאשלמא למ"ט כמו שאמרו (ראש השנה כא ע"ב) מ"ט שערי בינה נבראו בעולם ונתגלו למשה, ובנביאים לא קם כו' (שם), וכן בלעם ואיוב (הגהה: ואיוב לא השיג אלא מ"ח, וכן כל החכמים שכתבו מ"ח צורות דתלי שמנהיג הכל, לא השיגו, ועל זה אמר (איוב מב ג) מי זה מעלים עצה כו', והוא מטה התלי שמהפך כל הכוכבים כרצונו, ועל שמו נקרא השם יתברך אדון הנפלאות, ובו כל הנסים, ונגדו אמר בלעם (במדבר כג ט) כי מראש צורים כו') ולכן כתב משה ספרם. והנה, דמשה, כבר כתב למעלה תיקון ל”ב, ודבלעם - ח', י"ג, י"ט, ט': (במדבר כג ט) כי, (שם) ומגבעות, (שם) הן, (שם) ובגוים, (שם י) מי, (שם) ומספר, (שם) תמות, (שם) ותהי. (שם כא) לא, (שם) ולא, (שם) ה', (שם) ותרועת. (שם כב) אל, (שם) כתועפות, (שם כג) כי, (שם) ולא, (שם) כעת, (שם כד) הן, (שם) וכארי, (שם) לא, (שם) ודם, (שם כד ה) מה, (שם) משכנותיך, (שם ו) כנחלים, (שם) כגנות, (שם) כאהלים,(שם) כארזים, (שם ז) יזל, (שם) וזרעו, (שם) וירם, (שם) ותנשא, (שם ח) אל, (שם) כתועפות, (שם) יאכל, (שם) ועצמותיהם, (שם) וחציו, (שם ט) כרע, (שם) וכלביא, (שם) מברכיך, (שם) ואורריך. (שם יז) דרך, (שם) וקם, (שם) ומחץ, (שם) וקרקר, (שם יח) והיה, (שם) והיה, (שם) וישראל, (שם יט) וירד, (שם) והאביד. </w:t>
      </w:r>
      <w:r>
        <w:rPr>
          <w:b/>
          <w:bCs/>
          <w:rtl/>
        </w:rPr>
        <w:t>ודאיוב</w:t>
      </w:r>
      <w:r>
        <w:rPr>
          <w:rtl/>
        </w:rPr>
        <w:t xml:space="preserve">: (איוב לח ב) מי זה, (שם ה) מי שם, (שם) או מי, (שם ו) או מי, (שם יב) המימיך צוית, (שם טז) הבאת עד, (שם יז) הנגלו לך, (שם כב) הבאת אל, (שם כה) מי פלג, (שם כח) היש למטר, (שם) או מי, (שם כט) מבטן מי, (שם) וכפור שמים, (שם לא) התקשר מעדנות, (שם לב) התוציא מזרות, (שם לג) הידעת חקות, (שם לד) התרים לעב, (שם לה) התשלח ברקים, (שם לו) מי שת, (שם) או מי, (שם לז) מי יספר, (שם) ונבלי שמים, (שם לט) התצוד ללביא, (שם מא) מי יכין, (שם לט א) הידעת עת לדת, (שם ה) מי שלח, (שם) ומוסרות ערוד, (שם ט) היאבה רים, (שם י) התקשר רים, (שם יא) התבטח בו, (שם יב) התאמין בו, (שם יט) התתן לסוס, (שם) התלביש צוארו, (שם כ) התרעישנו כארבה, (שם כו) המבינתך יאבר, (שם מ ב) הרב עם, (שם ח) האף תפר, (שם כו) התשים אגמון, (שם כז) הירבה אליך, (שם כח) היכרות ברית, (שם כט) התשחק בו, (שם לא) התמלא בשכות, (שם מא א) הגם אל, (שם ב) ומי הוא, (שם ג) מי הקדימני, (שם ה) מי גלה, (שם) בכפל רסנו, (שם ו) דלתי פניו, (שם מב ג) מי זה, והאחרון נעלם ממנו והודה בעצמו בכל הפסוק הזה ומשה כתבו, וכולם תמיהות, הה"א בחטף פתח. וסוד נ' שערי בינה הוא ה' תרעין אלא שכל אחד כלול מן יו"ד של חכמה ולכן הן כ"ב [אותיות של ה' עצמה, וכ"ח נקודות של חכמה, מי] וכ"ח, וסימנך ה"ן, דה' - כ"ח, ודנ' - כ"ב, אלא שהאלף פלא נעלם והן כ"ח נקודין וכ"ב אתוון. </w:t>
      </w:r>
      <w:r>
        <w:rPr>
          <w:b/>
          <w:bCs/>
          <w:rtl/>
        </w:rPr>
        <w:t>ודוד</w:t>
      </w:r>
      <w:r>
        <w:rPr>
          <w:rtl/>
        </w:rPr>
        <w:t xml:space="preserve"> אמר (תהלים לט ו) הנה טפחות, (שם ז) אך בצלם, (שם יב) בתוכחות על, ל"ט. (שם סב י) אך הבל, ס"ב. (שם עח לג) ויכל בהבל, ע"ח. (שם צד יא) ה' יודע, צ"ד. (שם קמד ד) אדם להבל, קמ"ד. ויש שנים עוד בסימן ל"א וס"ב ואינן בחשבון. </w:t>
      </w:r>
      <w:r>
        <w:rPr>
          <w:b/>
          <w:bCs/>
          <w:rtl/>
        </w:rPr>
        <w:t>שלמה</w:t>
      </w:r>
      <w:r>
        <w:rPr>
          <w:rtl/>
        </w:rPr>
        <w:t>: דברי שבעה. (קהלת א יד) ראיתי את, א'. (שם ב א) אמרתי אני. (שם יא) ופניתי אני. (שם טו) ואמרתי אני. (שם יז) ושנאתי. (שם יט) ומי יודע. (שם כא) כי יש. (שם כג) כי כל. (שם כו) כי לאדם, ב'. (שם ג יט) כי מקרה, ג'. (שם ד ד) וראיתי אני. (שם ז) ושבתי אני. (שם ח) יש אחד, ד'. (שם ה ו) כי ברב, שתים. (שם ט) אהב כסף, ה'. (שם ו ב) איש אשר. (שם ד) כי בהבל. (שם ט) טוב מראה. (שם יא) כי יש. (שם יב) כי מי, ו'. (שם ז ו) כי כקול. (שם טו) את הכל, ז'. (שם ח י) ובכן ראיתי. (שם יד) יש הבל, שתים, ח'. (שם ט ט) ראה חיים, שתים, ט'. (שם יא ח) כי אם, (שם י) והסר כעס, י"א. (שם יב ח) הבל הבלים, ארבעה. והן הראשים של בעלי רוח הקודש ושלמה אתלבש בשל דוד. ואמר עד דרא כולהו. כי ז' בתורה (הגהה: והואיל והבל פגם בשביעית כמו שאומר לעיל ק"ה א' לכן אי הבל נאמר אחר מיתה, ואמר לו יתברך אי הבל השביעית, ובשת אתתקן השביעית תחת הבל רוצה לומר תחת הז', וכל הגלגולין הכל בשביל שביעית, וכן משה הוא שביעי וכן כל השביעית) ושל שלמה הוא של שת שהוא תחת הבל בדרגיה כנ"ל ולכן אמר תחת השמש וכמו שאמר לעיל ק"ה א' תחת הבל ודאי דהבל רכיב עליה ואתעביד שת הרכבה ליה ואיהי סיומא דא"ב כו', וכן בימי שלמה אתיישבו אתוון על תיקוניהו כסדרן וכמו שאומר בזוהר חדש נ' ג' ש"ת דא איהו סיומא דא"ב כו' כיון דאתייליד שת, אשתלימו כל עובדין דלעילא ותתא ברזא דאתוון, כדין אתבסם דאשתלים תיקונוי כו', ועד דאתא שלמה כו' אתהדרו אתוון כו' ובהו בנה מקדשא דהוא הלב, ה' לב, אימא עילאה, וב' ההי"ן - ב' בתי לבא, ב' מקדשין, כמו שאומר לעיל ריש תיקון ס"ב ועיין בזוהר פ’ נח ע"ד א' שכל הבנין הכל הבל לבד עיין שם בדבריו. ואינון מ"ב הוא שם מ"ב, ואינון שבעה הוא שבע שמהן הכוללים, דאתוון הן בשכינתא עילאה המקננת בכורסייא דשלמה, ושבע תיבין הם בשכינתא תתאה, ועיין לעיל ס"ז א' כ"ח אתוון שכינתא עלאה שבע כלילין כו', וכן שם מ"ב הוא בקרא דבראשית, בראשית - שית, ושית תיבין, והוא שם מ"ב שבו נברא העולם, בנינא דז' היכלין, והן ז' תיבין דבראשית כמו שאומר שם, וזה שאומר ובגין דא יש הבל כו', דהן נעשים על הארץ, נוק', בז' הבלים  דכלילין, וכל תיקונא דילה בהבלים דבר נש, ועיין לקמן ק"ז א' זכאין אינון ישראל דסלקין כו' ובג"ד כו':</w:t>
      </w:r>
    </w:p>
  </w:footnote>
  <w:footnote w:id="4721">
    <w:p w:rsidR="00A13282" w:rsidRDefault="00A13282" w:rsidP="0020255E">
      <w:pPr>
        <w:pStyle w:val="a5"/>
        <w:rPr>
          <w:rtl/>
        </w:rPr>
      </w:pPr>
      <w:r>
        <w:rPr>
          <w:rStyle w:val="a7"/>
          <w:rtl/>
        </w:rPr>
        <w:footnoteRef/>
      </w:r>
      <w:r>
        <w:rPr>
          <w:rtl/>
        </w:rPr>
        <w:t xml:space="preserve"> </w:t>
      </w:r>
      <w:r>
        <w:rPr>
          <w:b/>
          <w:bCs/>
          <w:rtl/>
        </w:rPr>
        <w:t>ואינון שבע הוויין כו'.</w:t>
      </w:r>
      <w:r>
        <w:rPr>
          <w:rtl/>
        </w:rPr>
        <w:t xml:space="preserve">  עיין לעיל ע"ד ב' ז' זמנין אתקריאת הוי"ה כו' ואית בהון כ"ח אתוון דאתמר בהון ועתה יגדל נא כח ה', ובאלין ז' שמהן אתקריאת היא בת שבע כו':</w:t>
      </w:r>
    </w:p>
  </w:footnote>
  <w:footnote w:id="4722">
    <w:p w:rsidR="00A13282" w:rsidRDefault="00A13282" w:rsidP="0020255E">
      <w:pPr>
        <w:pStyle w:val="a5"/>
        <w:rPr>
          <w:rtl/>
        </w:rPr>
      </w:pPr>
      <w:r>
        <w:rPr>
          <w:rStyle w:val="a7"/>
          <w:rtl/>
        </w:rPr>
        <w:footnoteRef/>
      </w:r>
      <w:r>
        <w:rPr>
          <w:rtl/>
        </w:rPr>
        <w:t xml:space="preserve"> </w:t>
      </w:r>
      <w:r>
        <w:rPr>
          <w:b/>
          <w:bCs/>
          <w:rtl/>
        </w:rPr>
        <w:t>דאתמר בהון באמירה והוה מיד.</w:t>
      </w:r>
      <w:r>
        <w:rPr>
          <w:rtl/>
        </w:rPr>
        <w:t xml:space="preserve"> רוצה לומר, מעשרה מאמרות דבראשית נאמר בשבע מנהון ויהי כן, על הראשון ויהי אור, וששה פעמים ויהי כן, אבל תלת, בראשית וישרצו ונעשה, לא נאמר [ויהי], והן נגד תלת גניזין כמו שאומר בהגהה למטה אבל לקמן קל"ג ב' חשיב לון בענין אחר, אחד בכל יום, והנה נתתי לכם נגד השביעי, ואמר שם שבעה שמהן דרישא דסלקין למ"ב אינון אב"ג ית"ץ כו', ונקודין דלהון והוויין כו' וכמו שאומר לעיל וכן אמר כאן ולבושין דאינון כו':</w:t>
      </w:r>
    </w:p>
  </w:footnote>
  <w:footnote w:id="4723">
    <w:p w:rsidR="00A13282" w:rsidRDefault="00A13282" w:rsidP="0020255E">
      <w:pPr>
        <w:pStyle w:val="a5"/>
        <w:rPr>
          <w:rtl/>
        </w:rPr>
      </w:pPr>
      <w:r>
        <w:rPr>
          <w:rStyle w:val="a7"/>
          <w:rtl/>
        </w:rPr>
        <w:footnoteRef/>
      </w:r>
      <w:r>
        <w:rPr>
          <w:rtl/>
        </w:rPr>
        <w:t xml:space="preserve"> </w:t>
      </w:r>
      <w:r>
        <w:rPr>
          <w:b/>
          <w:bCs/>
          <w:rtl/>
        </w:rPr>
        <w:t>הבל איהו להב.</w:t>
      </w:r>
      <w:r>
        <w:rPr>
          <w:rtl/>
        </w:rPr>
        <w:t xml:space="preserve"> דהבל נפיק בחמימו מלבא, נור דליק והוא הלב כנ"ל:</w:t>
      </w:r>
    </w:p>
  </w:footnote>
  <w:footnote w:id="4724">
    <w:p w:rsidR="00A13282" w:rsidRDefault="00A13282" w:rsidP="0020255E">
      <w:pPr>
        <w:pStyle w:val="a5"/>
        <w:rPr>
          <w:rtl/>
        </w:rPr>
      </w:pPr>
      <w:r>
        <w:rPr>
          <w:rStyle w:val="a7"/>
          <w:rtl/>
        </w:rPr>
        <w:footnoteRef/>
      </w:r>
      <w:r>
        <w:rPr>
          <w:rtl/>
        </w:rPr>
        <w:t xml:space="preserve"> </w:t>
      </w:r>
      <w:r>
        <w:rPr>
          <w:b/>
          <w:bCs/>
          <w:rtl/>
        </w:rPr>
        <w:t>ידע לכוונא כו' ומתלבשין כו'.</w:t>
      </w:r>
      <w:r>
        <w:rPr>
          <w:rtl/>
        </w:rPr>
        <w:t xml:space="preserve"> וזה שאומר מפומוי ומלבא, שהן שכינתא תתאה ועילאה כמו שאומר לעיל ריש תיקון כ"ב ומשכינתא עלאה תליין כל ז' הבלים, ובשכינתא תתאה כלהו כלילן ועיין לעיל ס"ז א' וכנ"ל ואמר</w:t>
      </w:r>
    </w:p>
  </w:footnote>
  <w:footnote w:id="4725">
    <w:p w:rsidR="00A13282" w:rsidRDefault="00A13282" w:rsidP="0020255E">
      <w:pPr>
        <w:pStyle w:val="a5"/>
        <w:rPr>
          <w:rtl/>
        </w:rPr>
      </w:pPr>
      <w:r>
        <w:rPr>
          <w:rStyle w:val="a7"/>
          <w:rtl/>
        </w:rPr>
        <w:footnoteRef/>
      </w:r>
      <w:r>
        <w:rPr>
          <w:rtl/>
        </w:rPr>
        <w:t xml:space="preserve"> </w:t>
      </w:r>
      <w:r>
        <w:rPr>
          <w:b/>
          <w:bCs/>
          <w:rtl/>
        </w:rPr>
        <w:t>דכלילא שבע כו'.</w:t>
      </w:r>
      <w:r>
        <w:rPr>
          <w:rtl/>
        </w:rPr>
        <w:t xml:space="preserve"> רוצה לומר שכינתא תתאה אבל שכינתא עילאה היא ז' הויות הנ"ל וזה שאומר דאלין תליין באמירה רוצה לומר הויות דשכינתא עילאה, ואלין שם מ"ב דשכינתא תתאה ולכן הן דעובדא דבראשית רוצה לומר דעשיה, ואמר ברזא דאומר ועושה מיד, דכל מעשה בראשית הוא באומר ועושה, ויאמר אלקים יהי, והוא הויות באמירה, ויעש - בעשיה, והן ספר וספר וסיפור בידין ולשון כמו שאומר בריש ספר יצירה וריש ספרא דצניעותא עיין מה שכתבתי שם, וכאן ספר וספר בעובדא הוא בזו"נ, וג"ר דכחדא חשיבין וכלילין בדעת שהוא השותף הג' - הוא הסיפור ששם הוא אמירה. וזה שאומר ואינון י"ה כו', ז' ביו"ד ה"א, וז' בוא"ו ה"א, וספור הוא הוא ויאמר אלקים בג"ר, אמירה, י"ה, והוא הבל דאתלבש בכורסייא כמו שאומר למטה זכאה איהו מאן דירית כו' ולית ה"א בלא יו"ד כו', ויהי כן הוא ספר הראשון, הוי"ה דמקנן במט"ט, ששם שם הוי"ה, ויעש הוא ספר השני, דמקנן בעשיה, והן ב' ספרים - ו"ה, סיפור - י"ה כנ"ל, והן ג' עלמין דהוי"ה כוללם וכמו שבארנו במקום אחר, וכן ג' דרגין דאצילות שהן עשר ספירות וכן ג' דרגין דנר"ן כמו שאומר למטה ואמר</w:t>
      </w:r>
    </w:p>
  </w:footnote>
  <w:footnote w:id="4726">
    <w:p w:rsidR="00A13282" w:rsidRDefault="00A13282" w:rsidP="0020255E">
      <w:pPr>
        <w:pStyle w:val="a5"/>
        <w:rPr>
          <w:rtl/>
        </w:rPr>
      </w:pPr>
      <w:r>
        <w:rPr>
          <w:rStyle w:val="a7"/>
          <w:rtl/>
        </w:rPr>
        <w:footnoteRef/>
      </w:r>
      <w:r>
        <w:rPr>
          <w:rtl/>
        </w:rPr>
        <w:t xml:space="preserve"> </w:t>
      </w:r>
      <w:r>
        <w:rPr>
          <w:b/>
          <w:bCs/>
          <w:rtl/>
        </w:rPr>
        <w:t>ועליה אתמר שבעה ושבעה מוצקות כו'.</w:t>
      </w:r>
      <w:r>
        <w:rPr>
          <w:rtl/>
        </w:rPr>
        <w:t xml:space="preserve"> כמו שאומר בנוסח אחר למטה אלין ז' הבלים אינון כפולים כו', והן כמו שאומר בהגהה שבע הבלים סלקין שבע נחתין כו', והן ז' דסלקין מלבא לפומא דהן דשכינתא עילאה לבא, ושבע אחרות נחתין מפומא ללבא דשכינתא תתאה, שהן שבעה ושבעה נגד ז' ימי הפסח והחג כמו שאומר בפ' אמור ועיין בזוהר חדש שה"ש מ"ט ב' ג' שבעה ושבעה מוצקות אלין שבעת ימים ושבעת ימים, אלין עלאה ואלין תתאה, דמתחברין כחדא, וענין שבעה הבלים הן הבל אחד דהוא נהר יוצא מעדן תמיד, קלא דלא פסיק, קול גדול ולא יסף, והוא הדעת דכלילא כל ז' קלין נגד שם הראשון דמ"ב, ועיין לעיל ל"ח א' ואח"כ בפומא כלילא ג' ברזא דאמ"ש דכל הבל הוא אמ"ש ואח"כ כשיוצא לחוץ גם כן מאמ"ש, ובפומא הוא גניזא נגד חג"ת דאינון טמירין, הנהגת עלמא דלעילא, ובחוץ נגלה נגד נה"י, ובקלא אית בת קול נגד מלכות דהיא אור חוזר כידוע בסוד אור חוזר דהוא מחמת הכאה חוזר, וכן בהבל הוא ז' דנחתין מבחוץ, ועל ההבלים אלין הוא חיות האדם וקיומו וכן הם קיום העולם וכמאמר ריב"ח במדרש רבה (?) דכל עלמא קיימא ברוח עיין שם והוא ברוח האדם, דאדם הוא קיום העולם דכל עלמא קאים עליה במה דאיהו קיים, וכפי רוח האדם בשמחה או בעצבון ושארי מדות האדם כן הוא בשכינה ובעולם דהאי מרגליתא כו', והוא סוד דוד השביעי דהוא רבהון ויסוד דכל בעלי הבלים והוא חושבן י"ד והוא דור י"ד, סיהרא באשלמותא, דאע"ג דבימי שלמה קיימא באשלמותא האחרון ודאי כן הוא אבל בימיו התחילה להתפגמא דביום ט"ו בתחילה הוא בשלימות האחרון אבל בסופו מתחיל לחסור מה שאין כן בי"ד ועיין לעיל ריש תיקון כ”ח:</w:t>
      </w:r>
    </w:p>
  </w:footnote>
  <w:footnote w:id="4727">
    <w:p w:rsidR="00A13282" w:rsidRDefault="00A13282" w:rsidP="0020255E">
      <w:pPr>
        <w:pStyle w:val="a5"/>
        <w:rPr>
          <w:rtl/>
        </w:rPr>
      </w:pPr>
      <w:r>
        <w:rPr>
          <w:rStyle w:val="a7"/>
          <w:rtl/>
        </w:rPr>
        <w:footnoteRef/>
      </w:r>
      <w:r>
        <w:rPr>
          <w:rtl/>
        </w:rPr>
        <w:t xml:space="preserve"> </w:t>
      </w:r>
      <w:r>
        <w:rPr>
          <w:b/>
          <w:bCs/>
          <w:rtl/>
        </w:rPr>
        <w:t>זכאה עמא דידעין כו'.</w:t>
      </w:r>
      <w:r>
        <w:rPr>
          <w:rtl/>
        </w:rPr>
        <w:t xml:space="preserve"> עיין סוף פ' במדבר בענין הצלותא בעובדא ומלולא, ד' תיקונין בזה ובזה, והן נגד ד' אותיות הוי"ה וד' אותיות אדנ"י, מלולא ועובדא, אומר ועושה, והכל כלילין בג' עלמין, די"ה אינון כחדא וכמו שאומר למטה וכנ"ל וכן בארח אצילות הכל כפי הנשמתא כמו שאומר למטה דשמא דהוי"ה דאיהו בארח אצילות כו' דאית נשמה ורוח ונפש כו' ואמר ועליה אתמר כו', ועיין בזוהר פ’ בראשית ד' ב' בראשית ר"ש פתח כו' עיין שם בדבריו, וכן בעובדא ועל ג' אלין קיימא הכל ספר וספר וסיפור, והן נגד תורה ומצות, מצות הן ספר וספר, זו"נ, מצוות עשה ומצוות לא תעשה, ימינא ושמאלא, וסיפור הוא התורה שכולל מצוות עשה ומצוות לא תעשה, בינה, ימא דאורייתא והן גם כן בג' קוין חג"ת שכולל הכל:</w:t>
      </w:r>
    </w:p>
  </w:footnote>
  <w:footnote w:id="4728">
    <w:p w:rsidR="00A13282" w:rsidRDefault="00A13282" w:rsidP="0020255E">
      <w:pPr>
        <w:pStyle w:val="a5"/>
        <w:rPr>
          <w:rtl/>
        </w:rPr>
      </w:pPr>
      <w:r>
        <w:rPr>
          <w:rStyle w:val="a7"/>
          <w:rtl/>
        </w:rPr>
        <w:footnoteRef/>
      </w:r>
      <w:r>
        <w:rPr>
          <w:rtl/>
        </w:rPr>
        <w:t xml:space="preserve"> </w:t>
      </w:r>
      <w:r>
        <w:rPr>
          <w:b/>
          <w:bCs/>
          <w:rtl/>
        </w:rPr>
        <w:t>ועוד הבל ה' לב כו'.</w:t>
      </w:r>
      <w:r>
        <w:rPr>
          <w:rtl/>
        </w:rPr>
        <w:t xml:space="preserve"> רוצה לומר, דהוא מבינה דהיא כסא כבוד, חכמה, וכן היא מקננת בכסא והוא ה' עילאה והוא ל"ב אלקים, ול"ב הוא כבוד כמו שאומר בבהיר דכבוד הוא ל"ב והוא עשר ספירות דכורסייא, ד' רגלין ו' דרגין וכמו שאומר ברעיא מהימנא פ' בא עיין שם בדבריו וכל זה לאות דהבל מבינה וזה שאומר זכאה איהו מאן כו', דהוא נשמת רוח אלקים חיים ולכן נאמר (בראשית ב ז) ויפח באפיו נשמת חיים, והוא ההבל:</w:t>
      </w:r>
    </w:p>
  </w:footnote>
  <w:footnote w:id="4729">
    <w:p w:rsidR="00A13282" w:rsidRDefault="00A13282" w:rsidP="0020255E">
      <w:pPr>
        <w:pStyle w:val="a5"/>
        <w:rPr>
          <w:rtl/>
        </w:rPr>
      </w:pPr>
      <w:r>
        <w:rPr>
          <w:rStyle w:val="a7"/>
          <w:rtl/>
        </w:rPr>
        <w:footnoteRef/>
      </w:r>
      <w:r>
        <w:rPr>
          <w:rtl/>
        </w:rPr>
        <w:t xml:space="preserve"> </w:t>
      </w:r>
      <w:r>
        <w:rPr>
          <w:b/>
          <w:bCs/>
          <w:rtl/>
        </w:rPr>
        <w:t>ועביד לה כורסיא לה'.</w:t>
      </w:r>
      <w:r>
        <w:rPr>
          <w:rtl/>
        </w:rPr>
        <w:t xml:space="preserve"> רוצה לומר לשם הוי"ה כמו שמפרש והולך דשמא דהוי"ה דאיהו בארח אצילות כו' בר נש בנשמתא כו':</w:t>
      </w:r>
    </w:p>
  </w:footnote>
  <w:footnote w:id="4730">
    <w:p w:rsidR="00A13282" w:rsidRDefault="00A13282" w:rsidP="0020255E">
      <w:pPr>
        <w:pStyle w:val="a5"/>
        <w:rPr>
          <w:rtl/>
        </w:rPr>
      </w:pPr>
      <w:r>
        <w:rPr>
          <w:rStyle w:val="a7"/>
          <w:rtl/>
        </w:rPr>
        <w:footnoteRef/>
      </w:r>
      <w:r>
        <w:rPr>
          <w:rtl/>
        </w:rPr>
        <w:t xml:space="preserve"> </w:t>
      </w:r>
      <w:r>
        <w:rPr>
          <w:b/>
          <w:bCs/>
          <w:rtl/>
        </w:rPr>
        <w:t>ה"א שריא באופן כו'.</w:t>
      </w:r>
      <w:r>
        <w:rPr>
          <w:rtl/>
        </w:rPr>
        <w:t xml:space="preserve"> רוצה לומר, לתקנא ליה כורסיא לשם הוי"ה דאיהו באצילות ג' דרגין הנ"ל, שיהא נר"ן שלו כורסיא להשם דאתנטילת משם, ואית נר"ן דהוא מג' עלמין וזאת הנשמה היא כורסייא לג' עלמין ועיין פ’ משפטים בארוכה וזה שאומר דאית נשמה ורוח ונפש כו', ואמר דהכי אוקמוהו קדמאין כו' והוא לראיה דנשמתא כורסיא לג"ר כמו שמפרש והולך ותמן שריא כו', ואמר ולית ה' בלא יו"ד דאינון כחדא שריין, ומילוי ה"י במוצאו הוא יו"ד וזה שאומר ולית ה', דאי אפשר לומר ה"י בלא יו"ד, ולכן לא מתפרשין, ומביא ראיה שנאמר כס י"ה אלמא דשריא תמן י' ה' ומפרש והולך ו"ה בחיה ואופן, ואמר זכאין כו' לגבי אתוון כו', דהן ג' דרגין דכלילין בהוי"ה כנ"ל ואמר ובגין דא יש הבל אשר כו' דהבל מתלבש בעשיה דהוא שכינתא תתאה דהיא הארץ:</w:t>
      </w:r>
    </w:p>
  </w:footnote>
  <w:footnote w:id="4731">
    <w:p w:rsidR="00A13282" w:rsidRDefault="00A13282" w:rsidP="0020255E">
      <w:pPr>
        <w:pStyle w:val="a5"/>
        <w:rPr>
          <w:rtl/>
        </w:rPr>
      </w:pPr>
      <w:r>
        <w:rPr>
          <w:rStyle w:val="a7"/>
          <w:rtl/>
        </w:rPr>
        <w:footnoteRef/>
      </w:r>
      <w:r>
        <w:rPr>
          <w:rtl/>
        </w:rPr>
        <w:t xml:space="preserve"> </w:t>
      </w:r>
      <w:r>
        <w:rPr>
          <w:b/>
          <w:bCs/>
          <w:rtl/>
        </w:rPr>
        <w:t>[בהגהה] שבעה ושבעה מוצקות.</w:t>
      </w:r>
      <w:r>
        <w:rPr>
          <w:rtl/>
        </w:rPr>
        <w:t xml:space="preserve"> שבע כפולות בג"ד כפר"ת, שהן כפולות בדגש ורפה, וכן ז"ת הן כפולות שהן ממוזגות דכל אחד כליל דרגיה דחבריה ועיין לעיל סוף תיקון כ”א, וכן הן כפולות בחו"ג בסוד שם י"ב, י"ב שבטים כמו שאומר בפ' ויחי, והן הכל בז"ת דאינון ז' הבלים וזה שאומר תלת אינון גניזין כו' אמ"ש, כמו שאומר בספר יצירה דאמ"ש הוא בג"ר, וז' כפולות בז"ת, ואמר שם בפרק א' שנים רוח מרוח, שלש מים מרוח, ארבע אש ממים, ועיין מה שכתבתי שם:</w:t>
      </w:r>
    </w:p>
  </w:footnote>
  <w:footnote w:id="4732">
    <w:p w:rsidR="00A13282" w:rsidRDefault="00A13282" w:rsidP="0020255E">
      <w:pPr>
        <w:pStyle w:val="a5"/>
        <w:rPr>
          <w:rtl/>
        </w:rPr>
      </w:pPr>
      <w:r>
        <w:rPr>
          <w:rStyle w:val="a7"/>
          <w:rtl/>
        </w:rPr>
        <w:footnoteRef/>
      </w:r>
      <w:r>
        <w:rPr>
          <w:rtl/>
        </w:rPr>
        <w:t xml:space="preserve"> </w:t>
      </w:r>
      <w:r>
        <w:rPr>
          <w:b/>
          <w:bCs/>
          <w:rtl/>
        </w:rPr>
        <w:t>מלבא נפיק כו'.</w:t>
      </w:r>
      <w:r>
        <w:rPr>
          <w:rtl/>
        </w:rPr>
        <w:t xml:space="preserve"> עתה מפרש ג' אמ"ש דהן בג"ר, ורוחא די בריאה - דעת במקום הכתר, רוח מרוח, והן ג' אמ"ש בספר יצירה, ראש בטן גויה, אלא דשם אמר להיפך, ראש מאש ובטן ממים אלא דשם אמר (על האברים החיצונים) מסטרא דנפשא וכמו שאומר לעיל ס"א א' מוח איהו בהיפוכא חום כו' ואיהו אריה מסטרא דגופא, שור מסטרא דנפשא, ואינון אש ומים, אש שכלית, מים יסודית, ראיה בלבא כו' מים שכלית לקררא אש יסודי כו' וריאה איהי מסטרא דמוחא קרירא, מסטרא דלבא יבשה, ואיהו חציו מים כו' עיין שם וזה שאומר </w:t>
      </w:r>
      <w:r>
        <w:rPr>
          <w:b/>
          <w:bCs/>
          <w:rtl/>
        </w:rPr>
        <w:t>ורוחא אחיד במיא ואשא כו'</w:t>
      </w:r>
      <w:r>
        <w:rPr>
          <w:rtl/>
        </w:rPr>
        <w:t xml:space="preserve"> דקול כלילא מכל השלשה, וכן ז' הבלים כל אחד כלילא מכל הג' דלכן אמ"ש נקראין אמות דהן בכולהו ג' מוחין מתפשטין, ג' יסודין דכלילין בכולהו ואין דבר בלעדם וכן אמר שם בז"ת דהן ו"ק שבכל אחד ג' אותיות דשמו הגדול יה"ו בסוד ג' אמ"ש שהן ח"י עלמין, ורוח הראשון דכליל כל הג' אמ"ש והוא סוד שם יה"ו שהוא כ"א, שהוא סוד אמ"ש כנ"ל וכן שם אהי"ה שהוא סוד ז' הבלים באימא כנ"ל שם מ"ב (הגהה: דז' סלקין וז' נחתין כנ"ל וזהו אהי"ה אשר אהי"ה, מ"ב):</w:t>
      </w:r>
    </w:p>
  </w:footnote>
  <w:footnote w:id="4733">
    <w:p w:rsidR="00A13282" w:rsidRDefault="00A13282" w:rsidP="0020255E">
      <w:pPr>
        <w:pStyle w:val="a5"/>
        <w:rPr>
          <w:rtl/>
        </w:rPr>
      </w:pPr>
      <w:r>
        <w:rPr>
          <w:rStyle w:val="a7"/>
          <w:rtl/>
        </w:rPr>
        <w:footnoteRef/>
      </w:r>
      <w:r>
        <w:rPr>
          <w:rtl/>
        </w:rPr>
        <w:t xml:space="preserve"> </w:t>
      </w:r>
      <w:r>
        <w:rPr>
          <w:b/>
          <w:bCs/>
          <w:rtl/>
        </w:rPr>
        <w:t>כד אחיד במיא אתמר ביה קול כו'.</w:t>
      </w:r>
      <w:r>
        <w:rPr>
          <w:rtl/>
        </w:rPr>
        <w:t xml:space="preserve"> עתה מפרש והולך  ז' קלין דמזמור הזה דכלילין ט"ס ממלכות, בת קול דכלילא מכולא, קול דממה דקה, דקול באשה ערוה ולכן צלותא בחשאי וכן ברוך שם כבוד מלכולו לעולם ועד - בחשאי, מה שאין כן שמע ישראל דהוא בקלא, דהוא ו' תיבין, ז' קלין באימא כמו שאומר לעיל ב' ב', ושם - כי עוף השמים יוליך את הקול, קול דקריאת שמע כליל שית כו' עד שית קלין ואיהו שביעאה כו' ועיין לעיל ל"ח א' ס"ג א' דשם הראשון הוא הכלול שית אחרונות, ובעל כנפים יגיד דבר כו' דיבור בלא קול בחשאי עיין שם ומפרש והולך דקול הראשון הוא בחכמה, מוחא, מים, קול ה' בכח - חו"ג כחדא כלילין וכן נו"ה כמו שאומר למטה, קול ה' בהדר - ת"ת, קול ה' שובר כו' בכתר, קול ה' חוצב כו' בבינה, קול ה' יחיל ביסוד, קול ה' יחולל בנו"ה שהן איילות, ומלכות כלילא מכולהון, ומתחיל מחכמה שהיא ראשית, וכתר ובינה חשיב קודם נה"י שבינה אפיק נ"ה, כרובים זהב, וכתר ליסוד, ויסוד קודם לנו"ה ואמר כד אחיד כו' דקול כליל הכל ואחיד כולא:</w:t>
      </w:r>
    </w:p>
  </w:footnote>
  <w:footnote w:id="4734">
    <w:p w:rsidR="00A13282" w:rsidRDefault="00A13282" w:rsidP="0020255E">
      <w:pPr>
        <w:pStyle w:val="a5"/>
        <w:rPr>
          <w:rtl/>
        </w:rPr>
      </w:pPr>
      <w:r>
        <w:rPr>
          <w:rStyle w:val="a7"/>
          <w:rtl/>
        </w:rPr>
        <w:footnoteRef/>
      </w:r>
      <w:r>
        <w:rPr>
          <w:rtl/>
        </w:rPr>
        <w:t xml:space="preserve"> </w:t>
      </w:r>
      <w:r>
        <w:rPr>
          <w:b/>
          <w:bCs/>
          <w:rtl/>
        </w:rPr>
        <w:t xml:space="preserve">וכד רוחא אחיד ביה כו' וכד אחיד ביה רוחא כו'. </w:t>
      </w:r>
      <w:r>
        <w:rPr>
          <w:rtl/>
        </w:rPr>
        <w:t>דרוח הוא ממוצע בין שניהם וכלילא מן שניהם וכמו שאומר לעיל ס"א א' וכנ"ל ומה שאמר למעלה ברוח דהוא רוח חזק משום דהגילוי של הכתר הוא במ"ס בוצינא כו' וכן בדעת אמתני כו':</w:t>
      </w:r>
    </w:p>
  </w:footnote>
  <w:footnote w:id="4735">
    <w:p w:rsidR="00A13282" w:rsidRDefault="00A13282" w:rsidP="0020255E">
      <w:pPr>
        <w:pStyle w:val="a5"/>
        <w:rPr>
          <w:rtl/>
        </w:rPr>
      </w:pPr>
      <w:r>
        <w:rPr>
          <w:rStyle w:val="a7"/>
          <w:rtl/>
        </w:rPr>
        <w:footnoteRef/>
      </w:r>
      <w:r>
        <w:rPr>
          <w:rtl/>
        </w:rPr>
        <w:t xml:space="preserve"> </w:t>
      </w:r>
      <w:r>
        <w:rPr>
          <w:b/>
          <w:bCs/>
          <w:rtl/>
        </w:rPr>
        <w:t xml:space="preserve">כד אחיד כו' בין קמץ שבא כו'. </w:t>
      </w:r>
      <w:r>
        <w:rPr>
          <w:rtl/>
        </w:rPr>
        <w:t xml:space="preserve">עתה מפרש והולך חו"ג דאינון קול ה' בכח כנ"ל דהן כ"ח פרקין בב' ידין ונאמר בלשון יחיד בכח, דשמאלא נכלל בימינא וכל הכח הוא בימינא וזהו התכללות כו' ולכן הימין נקרא כח, ימינך ה' נאדרי בכח והוא סוד שם הוי"ה, שהחולם בין שבא לקמץ, ואמר </w:t>
      </w:r>
      <w:r>
        <w:rPr>
          <w:b/>
          <w:bCs/>
          <w:rtl/>
        </w:rPr>
        <w:t xml:space="preserve">דאית בהון יד כו'. </w:t>
      </w:r>
      <w:r>
        <w:rPr>
          <w:rtl/>
        </w:rPr>
        <w:t>רוצה לומר יד נקרא על שם י"ד פרקין, והן כ"ח וכל הכח נכלל בימין כנ"ל:</w:t>
      </w:r>
    </w:p>
  </w:footnote>
  <w:footnote w:id="4736">
    <w:p w:rsidR="00A13282" w:rsidRDefault="00A13282" w:rsidP="0020255E">
      <w:pPr>
        <w:pStyle w:val="a5"/>
        <w:rPr>
          <w:rtl/>
        </w:rPr>
      </w:pPr>
      <w:r>
        <w:rPr>
          <w:rStyle w:val="a7"/>
          <w:rtl/>
        </w:rPr>
        <w:footnoteRef/>
      </w:r>
      <w:r>
        <w:rPr>
          <w:rtl/>
        </w:rPr>
        <w:t xml:space="preserve"> </w:t>
      </w:r>
      <w:r>
        <w:rPr>
          <w:b/>
          <w:bCs/>
          <w:rtl/>
        </w:rPr>
        <w:t xml:space="preserve">כד כו' בהדר. </w:t>
      </w:r>
      <w:r>
        <w:rPr>
          <w:rtl/>
        </w:rPr>
        <w:t>כמו שאומר בזוהר חדש דאיהו מלך הדר עיין שם:</w:t>
      </w:r>
    </w:p>
  </w:footnote>
  <w:footnote w:id="4737">
    <w:p w:rsidR="00A13282" w:rsidRDefault="00A13282" w:rsidP="0020255E">
      <w:pPr>
        <w:pStyle w:val="a5"/>
        <w:rPr>
          <w:rtl/>
        </w:rPr>
      </w:pPr>
      <w:r>
        <w:rPr>
          <w:rStyle w:val="a7"/>
          <w:rtl/>
        </w:rPr>
        <w:footnoteRef/>
      </w:r>
      <w:r>
        <w:rPr>
          <w:rtl/>
        </w:rPr>
        <w:t xml:space="preserve"> </w:t>
      </w:r>
      <w:r>
        <w:rPr>
          <w:b/>
          <w:bCs/>
          <w:rtl/>
        </w:rPr>
        <w:t xml:space="preserve">דאינון תרי עוזלי דאיילתא תרין כו'. </w:t>
      </w:r>
      <w:r>
        <w:rPr>
          <w:rtl/>
        </w:rPr>
        <w:t xml:space="preserve">דידים יכולים לשמש זה בלא זה, ושם שמאלא נכלל בימינה והוא עיקר, מה שאין כן [ברגלין] דשניהם כחדא נמנים והן אחים תאומים ורוצה לומר דלכן נאמר בהם לשון רבים, איילות, וזה שאומר איש באחיהו ידבקו וכמו שכתוב (תהלים יח לד) משוה רגלי כאילות, דהן אילות, ועיין ברעיא מהימנא פ' אחרי מות ס"ח א' על פסוק יחולל אילות דאמר שם ואעילת רישא בין ברכהא כו', נו"ה, תרין נביאים, מתמן אולידת תרין משיחין כו' ועיין ברעיא מהימנא סוף פ' משפטים  ושאר מקומות. ואמר </w:t>
      </w:r>
      <w:r>
        <w:rPr>
          <w:b/>
          <w:bCs/>
          <w:rtl/>
        </w:rPr>
        <w:t xml:space="preserve">והכא רזא דיבום </w:t>
      </w:r>
      <w:r>
        <w:rPr>
          <w:rtl/>
        </w:rPr>
        <w:t xml:space="preserve">רוצה לומר דהדר להיות עולמין ברזא דנו"ה ואמר </w:t>
      </w:r>
      <w:r>
        <w:rPr>
          <w:b/>
          <w:bCs/>
          <w:rtl/>
        </w:rPr>
        <w:t xml:space="preserve">ורזא דא נתנני כו' ודא הוד כו' </w:t>
      </w:r>
      <w:r>
        <w:rPr>
          <w:rtl/>
        </w:rPr>
        <w:t>רוצה לומר אלף החמישי, והן ה' אחת, שמלכות מתבני מהם, ושם מקומה, וד' של ה' הוא הוד, ו' של ה' - נצח, וכלילותם הוא ה', מלכות, ולכן נקרא הוד, דו"ה, והן ד"ו פרצופין, שנים כרובין, ד"ו, ובחורבן בית המקדש קיימא עלמא על חד סמכא דהוד, נתנני, ותקע כו', ומתחיל דו"ה בד' דפרח כו', והוא בעלה, ו', דהוא בנצח ואיהי בהוד, ולכן הוד - דו"ה בגלותא, (ראש השנה כו ע"א) נדה גלמודה מבעלה, וידוע שהן סוד גוף ונפש כמו שאומר לעיל תיקון ס”ב וסוף תיקון נ”ה, וכשמת בלא בנים דאז הגוף דוה ואחיו בנצח מושך הנפש לאקמא למיתה בגוף חדש (רות ד י) ולא יכרת שם המת מישראל וזהו מה שאומר להלן והכא רזא דיבום ורזא כו', וכן שכינתא בגלותא ויבן ה' כו' ברזא דיבום דבעלה יוקים לה ועיין מה שאומר לעיל ריש תיקון נ"ח בארוכה:</w:t>
      </w:r>
    </w:p>
  </w:footnote>
  <w:footnote w:id="4738">
    <w:p w:rsidR="00A13282" w:rsidRDefault="00A13282" w:rsidP="0020255E">
      <w:pPr>
        <w:pStyle w:val="a5"/>
        <w:rPr>
          <w:rtl/>
        </w:rPr>
      </w:pPr>
      <w:r>
        <w:rPr>
          <w:rStyle w:val="a7"/>
          <w:rtl/>
        </w:rPr>
        <w:footnoteRef/>
      </w:r>
      <w:r>
        <w:rPr>
          <w:rtl/>
        </w:rPr>
        <w:t xml:space="preserve"> </w:t>
      </w:r>
      <w:r>
        <w:rPr>
          <w:b/>
          <w:bCs/>
          <w:rtl/>
        </w:rPr>
        <w:t xml:space="preserve">קול כו' חיריק ודא צדיק. </w:t>
      </w:r>
      <w:r>
        <w:rPr>
          <w:rtl/>
        </w:rPr>
        <w:t>דהוא חיריק תחות תרין שוקין ועיין לעיל נ"ד א' והנה הם ז' נקודין, דשבא - ב' נקודין וכן צירי, והן נגד ז' שמהן כמו שמפרש והולך שבע קלין כו':</w:t>
      </w:r>
    </w:p>
  </w:footnote>
  <w:footnote w:id="4739">
    <w:p w:rsidR="00A13282" w:rsidRDefault="00A13282" w:rsidP="0020255E">
      <w:pPr>
        <w:pStyle w:val="a5"/>
        <w:rPr>
          <w:rtl/>
        </w:rPr>
      </w:pPr>
      <w:r>
        <w:rPr>
          <w:rStyle w:val="a7"/>
          <w:rtl/>
        </w:rPr>
        <w:footnoteRef/>
      </w:r>
      <w:r>
        <w:rPr>
          <w:rtl/>
        </w:rPr>
        <w:t xml:space="preserve"> </w:t>
      </w:r>
      <w:r>
        <w:rPr>
          <w:b/>
          <w:bCs/>
          <w:rtl/>
        </w:rPr>
        <w:t xml:space="preserve">רוח סליק באויר. </w:t>
      </w:r>
      <w:r>
        <w:rPr>
          <w:rtl/>
        </w:rPr>
        <w:t>דרוח מים אש הן בחג"ת, ואויר - כתר, והן רוח ורוח מרוח:</w:t>
      </w:r>
    </w:p>
  </w:footnote>
  <w:footnote w:id="4740">
    <w:p w:rsidR="00A13282" w:rsidRDefault="00A13282" w:rsidP="0020255E">
      <w:pPr>
        <w:pStyle w:val="a5"/>
        <w:rPr>
          <w:rtl/>
        </w:rPr>
      </w:pPr>
      <w:r>
        <w:rPr>
          <w:rStyle w:val="a7"/>
          <w:rtl/>
        </w:rPr>
        <w:footnoteRef/>
      </w:r>
      <w:r>
        <w:rPr>
          <w:rtl/>
        </w:rPr>
        <w:t xml:space="preserve"> </w:t>
      </w:r>
      <w:r>
        <w:rPr>
          <w:b/>
          <w:bCs/>
          <w:rtl/>
        </w:rPr>
        <w:t xml:space="preserve">והכי נחתין כו'. </w:t>
      </w:r>
      <w:r>
        <w:rPr>
          <w:rtl/>
        </w:rPr>
        <w:t xml:space="preserve">נמצא כללא דכולהו - ג' יסודין, ומלכות משלמת לארבעה, וזה שאומר </w:t>
      </w:r>
      <w:r>
        <w:rPr>
          <w:b/>
          <w:bCs/>
          <w:rtl/>
        </w:rPr>
        <w:t xml:space="preserve">מלכות מאנא דכולהו ואיהי עפר כו' </w:t>
      </w:r>
      <w:r>
        <w:rPr>
          <w:rtl/>
        </w:rPr>
        <w:t>סוד שם</w:t>
      </w:r>
      <w:r>
        <w:rPr>
          <w:b/>
          <w:bCs/>
          <w:rtl/>
        </w:rPr>
        <w:t xml:space="preserve"> </w:t>
      </w:r>
      <w:r>
        <w:rPr>
          <w:rtl/>
        </w:rPr>
        <w:t>י"ב דהוא עשר ספירות, ג' הויו"ת:</w:t>
      </w:r>
    </w:p>
  </w:footnote>
  <w:footnote w:id="4741">
    <w:p w:rsidR="00A13282" w:rsidRDefault="00A13282" w:rsidP="0020255E">
      <w:pPr>
        <w:pStyle w:val="a5"/>
        <w:rPr>
          <w:rtl/>
        </w:rPr>
      </w:pPr>
      <w:r>
        <w:rPr>
          <w:rStyle w:val="a7"/>
          <w:rtl/>
        </w:rPr>
        <w:footnoteRef/>
      </w:r>
      <w:r>
        <w:rPr>
          <w:rtl/>
        </w:rPr>
        <w:t xml:space="preserve"> </w:t>
      </w:r>
      <w:r>
        <w:rPr>
          <w:b/>
          <w:bCs/>
          <w:rtl/>
        </w:rPr>
        <w:t xml:space="preserve">ואיהו כללא דכל אתוון דאינון מאנא לנקודין. </w:t>
      </w:r>
      <w:r>
        <w:rPr>
          <w:rtl/>
        </w:rPr>
        <w:t>עיין לעיל ל"ח א' ותא חזי תשע נקודין אינון מן קמץ ועד שורק וכולן אתקיאו צנורין ומבועין לאתוון דאינון כלילין בקרקע דאיהי שכינתא תתאה כו' עיין שם:</w:t>
      </w:r>
    </w:p>
  </w:footnote>
  <w:footnote w:id="4742">
    <w:p w:rsidR="00A13282" w:rsidRDefault="00A13282" w:rsidP="0020255E">
      <w:pPr>
        <w:pStyle w:val="a5"/>
        <w:rPr>
          <w:rtl/>
        </w:rPr>
      </w:pPr>
      <w:r>
        <w:rPr>
          <w:rStyle w:val="a7"/>
          <w:rtl/>
        </w:rPr>
        <w:footnoteRef/>
      </w:r>
      <w:r>
        <w:rPr>
          <w:rtl/>
        </w:rPr>
        <w:t xml:space="preserve"> </w:t>
      </w:r>
      <w:r>
        <w:rPr>
          <w:b/>
          <w:bCs/>
          <w:rtl/>
        </w:rPr>
        <w:t xml:space="preserve">ועל אלין ז' קלין. </w:t>
      </w:r>
      <w:r>
        <w:rPr>
          <w:rtl/>
        </w:rPr>
        <w:t>רוצה לומר, היינו עם הדעת, וזה שאומר ועל תלת גניזין כו' בת קול דכולהו כו' ועיין לעיל ל"ח א' לההוא צינור כו' ולעיל ב' ב' עד שית קלין ואיהו שביעאה כו':</w:t>
      </w:r>
    </w:p>
  </w:footnote>
  <w:footnote w:id="4743">
    <w:p w:rsidR="00A13282" w:rsidRDefault="00A13282" w:rsidP="0020255E">
      <w:pPr>
        <w:pStyle w:val="a5"/>
        <w:rPr>
          <w:rtl/>
        </w:rPr>
      </w:pPr>
      <w:r>
        <w:rPr>
          <w:rStyle w:val="a7"/>
          <w:rtl/>
        </w:rPr>
        <w:footnoteRef/>
      </w:r>
      <w:r>
        <w:rPr>
          <w:rtl/>
        </w:rPr>
        <w:t xml:space="preserve"> </w:t>
      </w:r>
      <w:r>
        <w:rPr>
          <w:b/>
          <w:bCs/>
          <w:rtl/>
        </w:rPr>
        <w:t xml:space="preserve">ת"ח ג' נקודין כו'. </w:t>
      </w:r>
      <w:r>
        <w:rPr>
          <w:rtl/>
        </w:rPr>
        <w:t xml:space="preserve">עתה מפרש והולך ענין הנקודין, ומה שאמר </w:t>
      </w:r>
      <w:r>
        <w:rPr>
          <w:b/>
          <w:bCs/>
          <w:rtl/>
        </w:rPr>
        <w:t>ג' נקודין כו'</w:t>
      </w:r>
      <w:r>
        <w:rPr>
          <w:rtl/>
        </w:rPr>
        <w:t xml:space="preserve"> </w:t>
      </w:r>
      <w:r>
        <w:rPr>
          <w:b/>
          <w:bCs/>
          <w:rtl/>
        </w:rPr>
        <w:t xml:space="preserve">קוצא כו'. </w:t>
      </w:r>
      <w:r>
        <w:rPr>
          <w:rtl/>
        </w:rPr>
        <w:t>עיין שם ל"ח א' ותא חזי שכינתא תתאה כד איהי כו', אתקריאת חיריק חולם שורק, דההוא צינור כגוונא דא והכי כו' ועיין לעיל נ"ג ד' ומה שבארנו שם בדבריו, ואינון ג' נקודין אלו הם כלל האמ"ש שהן כלל הכל כנ"ל דסלקין בכח"ב ונחתין בנה"י:</w:t>
      </w:r>
    </w:p>
  </w:footnote>
  <w:footnote w:id="4744">
    <w:p w:rsidR="00A13282" w:rsidRDefault="00A13282" w:rsidP="0020255E">
      <w:pPr>
        <w:pStyle w:val="a5"/>
        <w:rPr>
          <w:rtl/>
        </w:rPr>
      </w:pPr>
      <w:r>
        <w:rPr>
          <w:rStyle w:val="a7"/>
          <w:rtl/>
        </w:rPr>
        <w:footnoteRef/>
      </w:r>
      <w:r>
        <w:rPr>
          <w:rtl/>
        </w:rPr>
        <w:t xml:space="preserve"> </w:t>
      </w:r>
      <w:r>
        <w:rPr>
          <w:b/>
          <w:bCs/>
          <w:rtl/>
        </w:rPr>
        <w:t xml:space="preserve">אינון סגולתא כו'. </w:t>
      </w:r>
      <w:r>
        <w:rPr>
          <w:rtl/>
        </w:rPr>
        <w:t>סגולתא ושלשלת בטעמים, וסגול ושורק בנקודות, וסגולתא וסגול הן בענין אחד, ושורק ושלשלת הן בענין אחד כמו שמפרש והולך שזהו כשורה וזהו כחצובה ומכל מקום כל אחד מורה על ענין אחר, דסגלתא הוא כח"ב, דכתר למעלה מהן, וסגול חג"ת, ות"ת עם נו"ה הוא שלשלת, ונה"י הוא שורק, וכמו שאומר לעיל נ"ג ד' דחו"ג הן צירי אבל נו"ה הן מעלה ומטה וכידוע, ושורק דכאן קבוץ, ולמעלה דאמר דנו"ה הוא צירי הוא לענין אחר על פעולתן, וכמו שאומר שם, ובאמת בכל ספירין יש בחינת צירי ושבא וכמו שמפרש והולך כל ספירה דא כו' כד אינון שוין כו' אלא בכללות חו"ג, צירי כו':</w:t>
      </w:r>
    </w:p>
  </w:footnote>
  <w:footnote w:id="4745">
    <w:p w:rsidR="00A13282" w:rsidRDefault="00A13282" w:rsidP="0020255E">
      <w:pPr>
        <w:pStyle w:val="a5"/>
        <w:rPr>
          <w:rtl/>
        </w:rPr>
      </w:pPr>
      <w:r>
        <w:rPr>
          <w:rStyle w:val="a7"/>
          <w:rtl/>
        </w:rPr>
        <w:footnoteRef/>
      </w:r>
      <w:r>
        <w:rPr>
          <w:rtl/>
        </w:rPr>
        <w:t xml:space="preserve"> </w:t>
      </w:r>
      <w:r>
        <w:rPr>
          <w:b/>
          <w:bCs/>
          <w:rtl/>
        </w:rPr>
        <w:t>נקודין אינון דבור אתוון אינון הבל כו' ואתוון זעירין טעמים אינון קלין ואתוון ונקודין כלילין בהו אתוון מן ה"ה כו'.</w:t>
      </w:r>
      <w:r>
        <w:rPr>
          <w:rtl/>
        </w:rPr>
        <w:t xml:space="preserve"> רוצה לומר דאלו ג', טעמים ונקודין ואתוון, הם שם הוי"ה, והן בהבל וקול ודבור דהן כלל הכל כמו שאומר בפרק א' דספר יצירה רוח וקול ודיבור, והבל הוא ב', הבל הבלים, שהן מב' בתי לבא כמו שאומר לעיל ריש תיקון כ”ב והבל הוא הלב וכולהו כלילין בקלא ומפרש והולך נקודין מן יו"ד והוא דבור, ואתוון מן ה"ה דהן ב' הבלים כנ"ל, וטעמי מן ו' דהוא קלא ועיין לעיל תיקון מ”ה תא חזי י' איהו אמירה ודבור וקריאה, ו' קול, ה"ה הבל, ואמר שם תרין הבלים ה"ה, וב' הבלים אינון, הבל סליק והבל נחית, בפומא ולבא כמו שאומר שם וכמו שאומר לעיל ק"ו ע"ב שבע הבלים, שבע נחתין כו' מה שאין כן בקול ודבור. והנה אותיות בלא נקודין אי אפשר לדבר רק במחשבה, בהבל, ולכן קאמר נקודין בדבור, וטעמים הם בקלא לבד כי אין ניכרים בדבור רק בקול הניגון, והנה הנקודין הן יודין ברובם, לבד הקמץ והפתח שלא פירש כאן, והאותיות הן מרובעים [שטחים] צורת ה"א, וטעמים הם צורות קוין, ו'. ומפרש והולך</w:t>
      </w:r>
    </w:p>
  </w:footnote>
  <w:footnote w:id="4746">
    <w:p w:rsidR="00A13282" w:rsidRDefault="00A13282" w:rsidP="0020255E">
      <w:pPr>
        <w:pStyle w:val="a5"/>
        <w:rPr>
          <w:rtl/>
        </w:rPr>
      </w:pPr>
      <w:r>
        <w:rPr>
          <w:rStyle w:val="a7"/>
          <w:rtl/>
        </w:rPr>
        <w:footnoteRef/>
      </w:r>
      <w:r>
        <w:rPr>
          <w:rtl/>
        </w:rPr>
        <w:t xml:space="preserve"> </w:t>
      </w:r>
      <w:r>
        <w:rPr>
          <w:b/>
          <w:bCs/>
          <w:rtl/>
        </w:rPr>
        <w:t xml:space="preserve">נקודין מתלבשין כו' </w:t>
      </w:r>
      <w:r>
        <w:rPr>
          <w:rtl/>
        </w:rPr>
        <w:t>דהן בכח"ב, יה"ו, ולכן טעמים לעילא מהן, והן מתלבשין בחג"ת ונה"י, ומלכות - מאנא דכולא שהוא הפה כלילא מכולהו, וכלהו מינה נפקין כמו שמפרש והולך ודא אתוון זעירין כנ"ל דלכן ה"ה כפול וכנ"ל אבל עיקר שמושא לאכללא מכולהו ובה השם בהיפוכא ועיין לעיל ס"ב א' ואינון ה' עילאה ה' תתאה כו', ו' קול כו', י' דיבור כו' ועיין מה שכתבתי שם ולכן כתובים הנקודים למטה מהאותיות והן בדבור, וטעמים למעלה ועיין לעיל ה' דקול על הבל דפומא, ה' עילאה הוא דכליל כלא דכלילא קול ורוח ודבור כמו שאומר בספר יצירה וכן הוא בכל דבר שם הוי"ה, דבכל דבר יש נקודה וקו ושטח וגוף. נקודה וקו - יו"ד וא"ו. ושטח וגובה - ב' ההי"ן, אלא שה"א הראשון הוא על צורת השטח שהוא כעין ה"א אבל ה"א האחרון הוא על גבול הגוף שהוא מוגבל מג' קוים, אורך ורוחב וגובה, והגוף הוא כלל הכל, ובה נאחז הכל, והם במחשבה, והיא במעשה, והם גבולותיה, והנה בגוף מרובע ו' שטחים שהם ו"ק, וי"ב גבולי אלכסונים בקוים, וט' נקודין עם נקודה הפנימית שאליו נמשכין הכל, היכל הקודש, והן כ"ז, כמנין השם עם קוצו של יו"ד שהוא מרמז על נקודה שהוא אל מסתתר בשפריר חביון בתוכם, והוא כ"ז אתוון, ועם הגוף הכוללן הוא כ"ח, כ"ח עובדא דבראשית, דכח הוא עובדא והוא הגוף שהוא במעשה, והנה נקודין הם תשעה כמנין ט' נקודות, וקוין - י"ב, ועם הגוף שבתוכו ד' אלכסונים גדולים באלכסון והן ד' פני אדם אלא דאדם נכלל בא', והוא גוף הכוללם שאין שם גבול להיכר דלכן ט"ז פנים נכללים בי"ג ובפרטות הן ל"ב, כ"ח הנ"ל וד', ובמקום פגיעת ד' האלכסונים אלו הוא נקודה התשיעית הפנימית הנ"ל, והכלל דהן ל"ב, וכ"ח דגוף כוללם כנ"ל (ונתיב אחד נעלם דלכן ט' נקודות לבד) ועוד דד' אלכסונים אלו נכללים כאחד, דנפגעים ונחתכים זה עם זה מה שאין כן בי"ב גבולי האלכסון, וזהו ד' פני אדם שהן אחד כנ"ל וכמו שד' פני אדם משולבים באחד, ומשלמת לי"ג, וכל הט' נקודין נאחזים באלו הד' אלכסונים, ונקודה האמצעית היא אמצעית לכל ב' נקודין של כל אלכסון, ולכן אמר בפ' תצוה שאלו שמונה הם תשע, והם י"ב, ועוד ל"ב הן ג' עומקים וששה שטחים י"ב גבולים הן כ"ב, ועשרה הוא ט' נקודין והגוף מאנא לכולהו, ונקודה אחת נעלמת, נתיב לא כו', נתיב אחד נעלם, דלכן ט' נקודות לבד, וכן ד' פני אדם אינן נראים בחוץ כלל ולכן נחשב בכל מקום י"ב פנים, דאלו הד' הן בהסתר והן כאן בפנים בהסתר הכל כמו בד' אדם לכן פעמים י"ב ופעמים י"ג ופעמים ט"ז נקודה הפנימית הם י"ג כמנין הטעמים שהן קוים כנ"ל והשטחים ששה וא"ו דכליל כולא והם כ"ח אתוון כנ"ל:</w:t>
      </w:r>
    </w:p>
  </w:footnote>
  <w:footnote w:id="4747">
    <w:p w:rsidR="00A13282" w:rsidRDefault="00A13282" w:rsidP="0020255E">
      <w:pPr>
        <w:pStyle w:val="a5"/>
        <w:rPr>
          <w:rtl/>
        </w:rPr>
      </w:pPr>
      <w:r>
        <w:rPr>
          <w:rStyle w:val="a7"/>
          <w:rtl/>
        </w:rPr>
        <w:footnoteRef/>
      </w:r>
      <w:r>
        <w:rPr>
          <w:rtl/>
        </w:rPr>
        <w:t xml:space="preserve"> </w:t>
      </w:r>
      <w:r>
        <w:rPr>
          <w:b/>
          <w:bCs/>
          <w:rtl/>
        </w:rPr>
        <w:t xml:space="preserve">איהי פה דמינה הבלים כו' אתכלילן ואיהי לב כו' דפיקו דרוחא לכל ערקין דרוחא כד כו'. </w:t>
      </w:r>
      <w:r>
        <w:rPr>
          <w:rtl/>
        </w:rPr>
        <w:t>רוצה לומר כמו שאומר לעיל בתיקון כ”ב דאיהי מאנא גופא לכל, וכן כאן דקול ורוח ודבור הוא הפנימית ברוחא ואיהי גופא לכל ולכן ביה ג' אתוון יה"ו והן נר"ן שברוחא, ואיהי גופא, ה' אחרונה, וכלא כלילן בגופא, וכן כאן בקול ורוח ודיבור:</w:t>
      </w:r>
    </w:p>
  </w:footnote>
  <w:footnote w:id="4748">
    <w:p w:rsidR="00A13282" w:rsidRDefault="00A13282" w:rsidP="0020255E">
      <w:pPr>
        <w:pStyle w:val="a5"/>
        <w:rPr>
          <w:rtl/>
        </w:rPr>
      </w:pPr>
      <w:r>
        <w:rPr>
          <w:rStyle w:val="a7"/>
          <w:rtl/>
        </w:rPr>
        <w:footnoteRef/>
      </w:r>
      <w:r>
        <w:rPr>
          <w:rtl/>
        </w:rPr>
        <w:t xml:space="preserve"> </w:t>
      </w:r>
      <w:r>
        <w:rPr>
          <w:b/>
          <w:bCs/>
          <w:rtl/>
        </w:rPr>
        <w:t xml:space="preserve">כד רוח דפיק כו'. </w:t>
      </w:r>
      <w:r>
        <w:rPr>
          <w:rtl/>
        </w:rPr>
        <w:t>מפרש ד' מיני דפיקין כמו שאומר לעיל בתיקון כ”ה והן בד' יסודין והן ד' דקרא דופק כו' אחותי כו' בד' שמות אחותי כו' וכמו שמפרש והולך:</w:t>
      </w:r>
    </w:p>
  </w:footnote>
  <w:footnote w:id="4749">
    <w:p w:rsidR="00A13282" w:rsidRDefault="00A13282" w:rsidP="0020255E">
      <w:pPr>
        <w:pStyle w:val="a5"/>
        <w:rPr>
          <w:rtl/>
        </w:rPr>
      </w:pPr>
      <w:r>
        <w:rPr>
          <w:rStyle w:val="a7"/>
          <w:rtl/>
        </w:rPr>
        <w:footnoteRef/>
      </w:r>
      <w:r>
        <w:rPr>
          <w:rtl/>
        </w:rPr>
        <w:t xml:space="preserve"> </w:t>
      </w:r>
      <w:r>
        <w:rPr>
          <w:b/>
          <w:bCs/>
          <w:rtl/>
        </w:rPr>
        <w:t xml:space="preserve">לההיא דאתמר כו'. </w:t>
      </w:r>
      <w:r>
        <w:rPr>
          <w:rtl/>
        </w:rPr>
        <w:t>רוצה לומר חכמת שלמה מסטרא דחכמה והוא בסטרא דחסד דמשם אהבה, ומסטרא דגבורה הוא אישות, איש ואשה דהן אש ואש, חמימות הזיווג וכמו שמפרש והולך דביה אתוקד בכמה רשפים כו' רשפי אש כו' דהן מסטרא דגבורה, ורשפי אש לשון רבים - ב' אשות דאיש ואשה, וי"ה דבהון הוא שלהבת י"ה, ומסטרא דת"ת - תמתי כמו שמפרש והולך בגין דאיהו דרגא כו' ודפיקו דילה כו', דבחסד נחית ובגבורה סליק וכמו שאומר לעיל תיקון כ”ה בארוכה עיין שם דכן האש סליק ומים נחית ורוח באמצע וזה שאומר די במיא  נחית כו', והן ג' אהבות, אהבת הערב - איש ואשה. אהבת המועיל - קרובים, (משלי יז יז) אח לצרה יולד. ואהבת הטוב - אהבת החסידים והתמימים, והן ג' אהבה דכאן ועוד אהבה הרביעית מצד המקבל שהוא (אמת) [את] האוהב מאד, (משלי כז יט) כמים הפנים לפנים, והוא יונתי והוא מסטרא דנוק', ה' אחרונה, יונתי דאינה נזקקת כו' (שה"ש רבה פ' א), וזה שאומר  עיניך יונים דכל עיניה לגביה דקב"ה:</w:t>
      </w:r>
    </w:p>
  </w:footnote>
  <w:footnote w:id="4750">
    <w:p w:rsidR="00A13282" w:rsidRDefault="00A13282" w:rsidP="0020255E">
      <w:pPr>
        <w:pStyle w:val="a5"/>
        <w:rPr>
          <w:rtl/>
        </w:rPr>
      </w:pPr>
      <w:r>
        <w:rPr>
          <w:rStyle w:val="a7"/>
          <w:rtl/>
        </w:rPr>
        <w:footnoteRef/>
      </w:r>
      <w:r>
        <w:rPr>
          <w:rtl/>
        </w:rPr>
        <w:t xml:space="preserve"> </w:t>
      </w:r>
      <w:r>
        <w:rPr>
          <w:b/>
          <w:bCs/>
          <w:rtl/>
        </w:rPr>
        <w:t xml:space="preserve">וסליק באריכו דתקיעה באשא איהו כו'. </w:t>
      </w:r>
      <w:r>
        <w:rPr>
          <w:rtl/>
        </w:rPr>
        <w:t>עיין לעיל תיקון כ”ה כ"ז בארוכה:</w:t>
      </w:r>
    </w:p>
  </w:footnote>
  <w:footnote w:id="4751">
    <w:p w:rsidR="00A13282" w:rsidRDefault="00A13282" w:rsidP="0020255E">
      <w:pPr>
        <w:pStyle w:val="a5"/>
        <w:rPr>
          <w:rtl/>
        </w:rPr>
      </w:pPr>
      <w:r>
        <w:rPr>
          <w:rStyle w:val="a7"/>
          <w:rtl/>
        </w:rPr>
        <w:footnoteRef/>
      </w:r>
      <w:r>
        <w:rPr>
          <w:rtl/>
        </w:rPr>
        <w:t xml:space="preserve"> </w:t>
      </w:r>
      <w:r>
        <w:rPr>
          <w:b/>
          <w:bCs/>
          <w:rtl/>
        </w:rPr>
        <w:t xml:space="preserve">בשברים בתבירו. </w:t>
      </w:r>
      <w:r>
        <w:rPr>
          <w:rtl/>
        </w:rPr>
        <w:t>לשון שבר והוא בתביר, דהטעם הוא בנחיתו, דרביע הוא בסליקו ועיין לעיל כ"ה א':</w:t>
      </w:r>
    </w:p>
  </w:footnote>
  <w:footnote w:id="4752">
    <w:p w:rsidR="00A13282" w:rsidRDefault="00A13282" w:rsidP="0020255E">
      <w:pPr>
        <w:pStyle w:val="a5"/>
        <w:rPr>
          <w:rtl/>
        </w:rPr>
      </w:pPr>
      <w:r>
        <w:rPr>
          <w:rStyle w:val="a7"/>
          <w:rtl/>
        </w:rPr>
        <w:footnoteRef/>
      </w:r>
      <w:r>
        <w:rPr>
          <w:rtl/>
        </w:rPr>
        <w:t xml:space="preserve"> </w:t>
      </w:r>
      <w:r>
        <w:rPr>
          <w:b/>
          <w:bCs/>
          <w:rtl/>
        </w:rPr>
        <w:t xml:space="preserve">ובעד"א אחיד בתרווייהו. </w:t>
      </w:r>
      <w:r>
        <w:rPr>
          <w:rtl/>
        </w:rPr>
        <w:t>כן הוא הנוסחא לקמן קט"ז ב' בהגהה עיין שם ושם קי"ז א':</w:t>
      </w:r>
    </w:p>
  </w:footnote>
  <w:footnote w:id="4753">
    <w:p w:rsidR="00A13282" w:rsidRDefault="00A13282" w:rsidP="0020255E">
      <w:pPr>
        <w:pStyle w:val="a5"/>
        <w:rPr>
          <w:rtl/>
        </w:rPr>
      </w:pPr>
      <w:r>
        <w:rPr>
          <w:rStyle w:val="a7"/>
          <w:rtl/>
        </w:rPr>
        <w:footnoteRef/>
      </w:r>
      <w:r>
        <w:rPr>
          <w:rtl/>
        </w:rPr>
        <w:t xml:space="preserve"> </w:t>
      </w:r>
      <w:r>
        <w:rPr>
          <w:b/>
          <w:bCs/>
          <w:rtl/>
        </w:rPr>
        <w:t xml:space="preserve">שלשלת בינוני ודא תרועה. </w:t>
      </w:r>
      <w:r>
        <w:rPr>
          <w:rtl/>
        </w:rPr>
        <w:t>רוצה לומר בטעמים הוא שלשלת, לא סליק ולא נחית בנגינו ועיין שם מה שבארנו שם:</w:t>
      </w:r>
    </w:p>
  </w:footnote>
  <w:footnote w:id="4754">
    <w:p w:rsidR="00A13282" w:rsidRDefault="00A13282" w:rsidP="0020255E">
      <w:pPr>
        <w:pStyle w:val="a5"/>
        <w:rPr>
          <w:rtl/>
        </w:rPr>
      </w:pPr>
      <w:r>
        <w:rPr>
          <w:rStyle w:val="a7"/>
          <w:rtl/>
        </w:rPr>
        <w:footnoteRef/>
      </w:r>
      <w:r>
        <w:rPr>
          <w:rtl/>
        </w:rPr>
        <w:t xml:space="preserve"> </w:t>
      </w:r>
      <w:r>
        <w:rPr>
          <w:b/>
          <w:bCs/>
          <w:rtl/>
        </w:rPr>
        <w:t>קול דממה דקה לגבי שכינתא תתאה כו'.</w:t>
      </w:r>
      <w:r>
        <w:rPr>
          <w:rtl/>
        </w:rPr>
        <w:t xml:space="preserve"> רוצה לומר מצד עצמה נקראת יונתי, ודפיקו דילה הוא סימן שהוא בחשאי, בת קול, ברוך שם כבוד מלכותו לעולם ועד, וכנ"ל, וזה שאומר בגין דהביאו כו' והיא יונתי כו', קלא דיונה בחשאי, וכתיב יונתי בסתר המדרגה והוא סימן לד' דפיקין, אם סליק או נחית או בינוני או בחשאי, והן עשר דפיקין דעשר תקיעות וכמו שאומר לעיל תיקון כ”ה עיין שם:</w:t>
      </w:r>
    </w:p>
  </w:footnote>
  <w:footnote w:id="4755">
    <w:p w:rsidR="00A13282" w:rsidRDefault="00A13282" w:rsidP="0020255E">
      <w:pPr>
        <w:pStyle w:val="a5"/>
        <w:rPr>
          <w:rtl/>
        </w:rPr>
      </w:pPr>
      <w:r>
        <w:rPr>
          <w:rStyle w:val="a7"/>
          <w:rtl/>
        </w:rPr>
        <w:footnoteRef/>
      </w:r>
      <w:r>
        <w:rPr>
          <w:rtl/>
        </w:rPr>
        <w:t xml:space="preserve"> </w:t>
      </w:r>
      <w:r>
        <w:rPr>
          <w:b/>
          <w:bCs/>
          <w:rtl/>
        </w:rPr>
        <w:t xml:space="preserve">למה נאלמתי מי"ה כו'. </w:t>
      </w:r>
      <w:r>
        <w:rPr>
          <w:rtl/>
        </w:rPr>
        <w:t>רוצה לומר דאלקים הוא מלא י"ה, והוא יה"ו, והיא מליאה מהם אותיות מליאה, ועתה דום י"ה דומיה, וכד אסתלק י"ה נשאר אלם והחשיתי מטוב. הוא ו', שית זמנין טוב דמעשה בראשית, והן דפיקין דאמ"ש כנ"ל והיא נשארת בלא קול, דקול הוא רוח הקודש שכלול ממים ואש כנ"ל ובגלותא אין נביא וחכם ואין רוח הקודש (והרביעית בת קול כמו שאומר למטה) ואמר למה נאלמתי, ומשני מי"ה דאיהי דומיה, אלם מי"ה כנ"ל:</w:t>
      </w:r>
    </w:p>
  </w:footnote>
  <w:footnote w:id="4756">
    <w:p w:rsidR="00A13282" w:rsidRDefault="00A13282" w:rsidP="0020255E">
      <w:pPr>
        <w:pStyle w:val="a5"/>
        <w:rPr>
          <w:rtl/>
        </w:rPr>
      </w:pPr>
      <w:r>
        <w:rPr>
          <w:rStyle w:val="a7"/>
          <w:rtl/>
        </w:rPr>
        <w:footnoteRef/>
      </w:r>
      <w:r>
        <w:rPr>
          <w:rtl/>
        </w:rPr>
        <w:t xml:space="preserve"> </w:t>
      </w:r>
      <w:r>
        <w:rPr>
          <w:b/>
          <w:bCs/>
          <w:rtl/>
        </w:rPr>
        <w:t xml:space="preserve">*דאתרמיז באלקים דאיהי ל"ב אלקים דמעשה בראשית דדפיק רוחא דקודשא דאתמר ביה ורוח אלקים בגין דהחשיתי מטוב דאיהי קול בההוא זמנא אשתארת בת יחידה בלא קול. </w:t>
      </w:r>
      <w:r>
        <w:rPr>
          <w:rtl/>
        </w:rPr>
        <w:t>כצ"ל (הגהה: ותיקון זה משובש ועיין לעיל בהגהה ועיין לקמן ל"ה ב' שאביא הסדר הזה בקצרה) (א.ה. לכאורה סתירה בהגות הגר"א, ועיין לעיל ק"ו ע"ב בסוף ההגהה) כמו שאומר ק"ז ב' למטה ורוצה לומר דרוח אלקים מרומז דרוח הקודש דדפיק הוא בתיבת אלקים דהוא מלא י"ה:</w:t>
      </w:r>
    </w:p>
  </w:footnote>
  <w:footnote w:id="4757">
    <w:p w:rsidR="00A13282" w:rsidRDefault="00A13282" w:rsidP="0020255E">
      <w:pPr>
        <w:pStyle w:val="a5"/>
        <w:rPr>
          <w:rtl/>
        </w:rPr>
      </w:pPr>
      <w:r>
        <w:rPr>
          <w:rStyle w:val="a7"/>
          <w:rtl/>
        </w:rPr>
        <w:footnoteRef/>
      </w:r>
      <w:r>
        <w:rPr>
          <w:rtl/>
        </w:rPr>
        <w:t xml:space="preserve"> </w:t>
      </w:r>
      <w:r>
        <w:rPr>
          <w:b/>
          <w:bCs/>
          <w:rtl/>
        </w:rPr>
        <w:t xml:space="preserve">אע"ג דרזין סגיאין כו'. </w:t>
      </w:r>
      <w:r>
        <w:rPr>
          <w:rtl/>
        </w:rPr>
        <w:t>רוצה לומר, על ברוך שם כבוד מלכותו לעולם ועד וצלותא, דהן בחשאי:</w:t>
      </w:r>
    </w:p>
  </w:footnote>
  <w:footnote w:id="4758">
    <w:p w:rsidR="00A13282" w:rsidRDefault="00A13282" w:rsidP="0020255E">
      <w:pPr>
        <w:pStyle w:val="a5"/>
        <w:rPr>
          <w:rtl/>
        </w:rPr>
      </w:pPr>
      <w:r>
        <w:rPr>
          <w:rStyle w:val="a7"/>
          <w:rtl/>
        </w:rPr>
        <w:footnoteRef/>
      </w:r>
      <w:r>
        <w:rPr>
          <w:rtl/>
        </w:rPr>
        <w:t xml:space="preserve"> </w:t>
      </w:r>
      <w:r>
        <w:rPr>
          <w:b/>
          <w:bCs/>
          <w:rtl/>
        </w:rPr>
        <w:t xml:space="preserve">דאיהו כגונא דנקודי דמנקדין בדפיקו דאצבעאן. </w:t>
      </w:r>
      <w:r>
        <w:rPr>
          <w:rtl/>
        </w:rPr>
        <w:t xml:space="preserve">דדפיקו הוא בצורות נקודין כמו שאומר לעיל ל"ה ב' בארוכה ודפיקו ברוחא והוא נקודין והוא באתוון, וכמו האותיות בלי נקודות לית להו תנועה ולא קלא, כן הוא בלא דפיקו, ועשר מיני דפיקו כמו שאומר לעיל תיקון כ”ה באריכו בחבירו במהירו, והן בסליקו בנחיתו בבינוני, והן ט' ואחד בחשאי כלילא מכולהו, והן ד' דסלקין לעשר כמו בתקיעות תשר"ת תש"ת תר"ת, והן לקבל עשר אצבעין דבכל אצבע אית בה דפיקו, והן נגד עשר נקודין וכן הם בנגינו, עשרה מיני ניגונים, ועשר אצבעין דבטשין בנגינו כמו שאומר לעיל כ"ג ב' וזה שאומר </w:t>
      </w:r>
      <w:r>
        <w:rPr>
          <w:b/>
          <w:bCs/>
          <w:rtl/>
        </w:rPr>
        <w:t xml:space="preserve">ואינון מנקדין בנימין דכנור דדוד דפיקו איהו כו'. </w:t>
      </w:r>
      <w:r>
        <w:rPr>
          <w:rtl/>
        </w:rPr>
        <w:t>דהן שיר פשוט כפול משולש מרובע, דאינון ד' ואינון עשר כמו שאומר שם וכן בדפיקו כנ"ל:</w:t>
      </w:r>
    </w:p>
  </w:footnote>
  <w:footnote w:id="4759">
    <w:p w:rsidR="00A13282" w:rsidRDefault="00A13282" w:rsidP="0020255E">
      <w:pPr>
        <w:pStyle w:val="a5"/>
        <w:rPr>
          <w:rtl/>
        </w:rPr>
      </w:pPr>
      <w:r>
        <w:rPr>
          <w:rStyle w:val="a7"/>
          <w:rtl/>
        </w:rPr>
        <w:footnoteRef/>
      </w:r>
      <w:r>
        <w:rPr>
          <w:rtl/>
        </w:rPr>
        <w:t xml:space="preserve"> </w:t>
      </w:r>
      <w:r>
        <w:rPr>
          <w:b/>
          <w:bCs/>
          <w:rtl/>
        </w:rPr>
        <w:t xml:space="preserve">דאסתכל אסיא כו'. </w:t>
      </w:r>
      <w:r>
        <w:rPr>
          <w:rtl/>
        </w:rPr>
        <w:t>בחולה, וידוע שהן עשר דפיקין הנ"ל ועל  ידן ידוע באיזה חולי הוא, דכללן עשרה מיני חולאים, דיו"ד עש"ר מתהפך ליה לער"ש דו"י, וידוע בדפיקין הכל, ובאיזה נקודה וספירה פגם, וכאשר כל העשר דפיקין הולכים כסדרם אז היא בריאה, וזה שאומר עבד דוד עשרה וכמו שאומר לעיל כ"ג א' בההוא זמנא אתער דוד בכנור דאיהו מנגן מאליו בעשרה מיני נגונים, קדמאה כו' עיין שם בתיקון י”ג בארוכה:</w:t>
      </w:r>
    </w:p>
  </w:footnote>
  <w:footnote w:id="4760">
    <w:p w:rsidR="00A13282" w:rsidRDefault="00A13282" w:rsidP="0020255E">
      <w:pPr>
        <w:pStyle w:val="a5"/>
        <w:rPr>
          <w:rtl/>
        </w:rPr>
      </w:pPr>
      <w:r>
        <w:rPr>
          <w:rStyle w:val="a7"/>
          <w:rtl/>
        </w:rPr>
        <w:footnoteRef/>
      </w:r>
      <w:r>
        <w:rPr>
          <w:rtl/>
        </w:rPr>
        <w:t xml:space="preserve"> </w:t>
      </w:r>
      <w:r>
        <w:rPr>
          <w:b/>
          <w:bCs/>
          <w:rtl/>
        </w:rPr>
        <w:t xml:space="preserve">ודא הוא רוח צפונית כו'. </w:t>
      </w:r>
      <w:r>
        <w:rPr>
          <w:rtl/>
        </w:rPr>
        <w:t xml:space="preserve">רוצה לומר רוח הקודש דשריא בתוך פה האדם ודובר מאליו, והוא רוח הקודש כידוע וזהו כנור דמנגן מאליו וזהו כנור דדוד, דדוד דרגיה, והוא ראש לכל בעלי רוח הקודש, ובעבור שהלב הוא בצפון ומאזנא שמאלא דלבא נפיק הרוח ודפיקו לכן אמר רוח צפונית וזה שאומר וכל ערקין וורידי כו' ולכן כל המזמורים הכל אומרים של דוד דהוא לבא דכלל ישראל ואדם כמו שאומר בפ' משפטים וכל דפיקין הכל מיניה ולכן אנו ממתינין על ביאתו, קול דודי דופק, ובגלותא - אני ישנה והוא בלא רוחא דמשיחא כמו שאומר לעיל ע"ו ב' והאי רוחא דאסתלק איהו רוחא דמשיח כמה דאתמר, ואיהו רוח הקודש, ואיהי רוח חכמה ובינה כו', ואמר כמה דאתמר, דאמר שם שאיהו רוח אלקים מרחפת כו' וכמו שאומר למעלה דדפיק ביה רוחא דקודשא דאתמר ביה ורוח אלקים בגין דהחשיתי כו'. וזה שאומר </w:t>
      </w:r>
      <w:r>
        <w:rPr>
          <w:b/>
          <w:bCs/>
          <w:rtl/>
        </w:rPr>
        <w:t xml:space="preserve">ובגלותא דאסתלק כו' בפומא כו' </w:t>
      </w:r>
      <w:r>
        <w:rPr>
          <w:rtl/>
        </w:rPr>
        <w:t>דהוא רוח הקודש דשריא בלבא למנדע, ובפומא לדבר מאליו, והן ב' מיני רוח הקודש, א' לדעת והב' היא למעלה ממנה בדבור, וזה שאומר למעלה ק"ז ב' איהי פה כו' ואיהי לב כו':</w:t>
      </w:r>
    </w:p>
  </w:footnote>
  <w:footnote w:id="4761">
    <w:p w:rsidR="00A13282" w:rsidRDefault="00A13282" w:rsidP="0020255E">
      <w:pPr>
        <w:pStyle w:val="a5"/>
        <w:rPr>
          <w:rtl/>
        </w:rPr>
      </w:pPr>
      <w:r>
        <w:rPr>
          <w:rStyle w:val="a7"/>
          <w:rtl/>
        </w:rPr>
        <w:footnoteRef/>
      </w:r>
      <w:r>
        <w:rPr>
          <w:rtl/>
        </w:rPr>
        <w:t xml:space="preserve"> (</w:t>
      </w:r>
      <w:r>
        <w:rPr>
          <w:b/>
          <w:bCs/>
          <w:rtl/>
        </w:rPr>
        <w:t xml:space="preserve">לא דפקין ערקין דיליה ובג"ד לא כו'. </w:t>
      </w:r>
      <w:r>
        <w:rPr>
          <w:rtl/>
        </w:rPr>
        <w:t>דערקין דיליה הן ערקין דדמא שהן לא דפקין, והוא אדום דאין לו רוחא ודפיקו, ולכן ישראל מתנענעים כמו שאומר בפ' פנחס עיין שם בדבריו):</w:t>
      </w:r>
    </w:p>
  </w:footnote>
  <w:footnote w:id="4762">
    <w:p w:rsidR="00A13282" w:rsidRDefault="00A13282" w:rsidP="0020255E">
      <w:pPr>
        <w:pStyle w:val="a5"/>
        <w:rPr>
          <w:rtl/>
        </w:rPr>
      </w:pPr>
      <w:r>
        <w:rPr>
          <w:rStyle w:val="a7"/>
          <w:rtl/>
        </w:rPr>
        <w:footnoteRef/>
      </w:r>
      <w:r>
        <w:rPr>
          <w:rtl/>
        </w:rPr>
        <w:t xml:space="preserve"> </w:t>
      </w:r>
      <w:r>
        <w:rPr>
          <w:b/>
          <w:bCs/>
          <w:rtl/>
        </w:rPr>
        <w:t xml:space="preserve">בת קול איהי כו'. </w:t>
      </w:r>
      <w:r>
        <w:rPr>
          <w:rtl/>
        </w:rPr>
        <w:t xml:space="preserve">הוא דפיקו הרביעית דמשלמת לארבעה ולעשר כנ"ל, ה' אחרונה, ואמר </w:t>
      </w:r>
      <w:r>
        <w:rPr>
          <w:b/>
          <w:bCs/>
          <w:rtl/>
        </w:rPr>
        <w:t xml:space="preserve">דהא קול באשה ערוה </w:t>
      </w:r>
      <w:r>
        <w:rPr>
          <w:rtl/>
        </w:rPr>
        <w:t>ולכן ברוך שם כבוד מלכותו לעולם ועד בחשאי וכמו שאומר בפ' תרומה קל"ד א' ובזמנא דאתי כו' בגין דהשתא דההוא ס"א אתדבק בהדה לאו איהי אחד אלא דאנן מייחדין לה בלחישו כו' עיין שם בדבריו והוא רזא דלחישו דלא לאחוז ההוא ערוה, וכן הצלותא מזה הטעם, מה שאין כן חזרה - בקול, וכן שמע דאיהו בדכורא ושם דפיק קלא:</w:t>
      </w:r>
    </w:p>
  </w:footnote>
  <w:footnote w:id="4763">
    <w:p w:rsidR="00A13282" w:rsidRDefault="00A13282" w:rsidP="0020255E">
      <w:pPr>
        <w:pStyle w:val="a5"/>
        <w:rPr>
          <w:rtl/>
        </w:rPr>
      </w:pPr>
      <w:r>
        <w:rPr>
          <w:rStyle w:val="a7"/>
          <w:rtl/>
        </w:rPr>
        <w:footnoteRef/>
      </w:r>
      <w:r>
        <w:rPr>
          <w:rtl/>
        </w:rPr>
        <w:t xml:space="preserve"> </w:t>
      </w:r>
      <w:r>
        <w:rPr>
          <w:b/>
          <w:bCs/>
          <w:rtl/>
        </w:rPr>
        <w:t xml:space="preserve">וכד ייתי משיחא נחית כו'. </w:t>
      </w:r>
      <w:r>
        <w:rPr>
          <w:rtl/>
        </w:rPr>
        <w:t>כמו שכתוב שם (ישעיהו יא ב) ונחה עליו רוח ה', (בראשית א ב) רוח אלקים מרחפת כו', כמו שאומר לעיל ע"ו ב' וכנ"ל ולכן (ישעיהו יא ט) ותמלא הארץ דעה כו':</w:t>
      </w:r>
    </w:p>
  </w:footnote>
  <w:footnote w:id="4764">
    <w:p w:rsidR="00A13282" w:rsidRDefault="00A13282" w:rsidP="0020255E">
      <w:pPr>
        <w:pStyle w:val="a5"/>
        <w:rPr>
          <w:rtl/>
        </w:rPr>
      </w:pPr>
      <w:r>
        <w:rPr>
          <w:rStyle w:val="a7"/>
          <w:rtl/>
        </w:rPr>
        <w:footnoteRef/>
      </w:r>
      <w:r>
        <w:rPr>
          <w:rtl/>
        </w:rPr>
        <w:t xml:space="preserve"> </w:t>
      </w:r>
      <w:r>
        <w:rPr>
          <w:b/>
          <w:bCs/>
          <w:rtl/>
        </w:rPr>
        <w:t xml:space="preserve">סליק ה' תתאה כו'. </w:t>
      </w:r>
      <w:r>
        <w:rPr>
          <w:rtl/>
        </w:rPr>
        <w:t>להתבנות, דהתבנות הוא בסדר הזה כמו שמפרש והולך ואח"כ קריבו ויחודא והוא הוי"ה כסדרו וכמו שאומר למטה וכד מתקרבין כו':</w:t>
      </w:r>
    </w:p>
  </w:footnote>
  <w:footnote w:id="4765">
    <w:p w:rsidR="00A13282" w:rsidRDefault="00A13282" w:rsidP="0020255E">
      <w:pPr>
        <w:pStyle w:val="a5"/>
        <w:rPr>
          <w:rtl/>
        </w:rPr>
      </w:pPr>
      <w:r>
        <w:rPr>
          <w:rStyle w:val="a7"/>
          <w:rtl/>
        </w:rPr>
        <w:footnoteRef/>
      </w:r>
      <w:r>
        <w:rPr>
          <w:rtl/>
        </w:rPr>
        <w:t xml:space="preserve"> </w:t>
      </w:r>
      <w:r>
        <w:rPr>
          <w:b/>
          <w:bCs/>
          <w:rtl/>
        </w:rPr>
        <w:t xml:space="preserve">ואביו שמר כו'. </w:t>
      </w:r>
      <w:r>
        <w:rPr>
          <w:rtl/>
        </w:rPr>
        <w:t>דהיא נקראת דבר, ובה חלמא, והוא דבר מלוכה של יוסף דאתבני ע"י אבא, וזהו ואביו כו':</w:t>
      </w:r>
    </w:p>
  </w:footnote>
  <w:footnote w:id="4766">
    <w:p w:rsidR="00A13282" w:rsidRDefault="00A13282" w:rsidP="0020255E">
      <w:pPr>
        <w:pStyle w:val="a5"/>
        <w:rPr>
          <w:rtl/>
        </w:rPr>
      </w:pPr>
      <w:r>
        <w:rPr>
          <w:rStyle w:val="a7"/>
          <w:rtl/>
        </w:rPr>
        <w:footnoteRef/>
      </w:r>
      <w:r>
        <w:rPr>
          <w:rtl/>
        </w:rPr>
        <w:t xml:space="preserve"> </w:t>
      </w:r>
      <w:r>
        <w:rPr>
          <w:b/>
          <w:bCs/>
          <w:rtl/>
        </w:rPr>
        <w:t xml:space="preserve">ואיהו בן י"ה. </w:t>
      </w:r>
      <w:r>
        <w:rPr>
          <w:rtl/>
        </w:rPr>
        <w:t>הוא לראיה דמתבני באימא, דבינה הוא בן י"ה מרמז עליה:</w:t>
      </w:r>
    </w:p>
  </w:footnote>
  <w:footnote w:id="4767">
    <w:p w:rsidR="00A13282" w:rsidRDefault="00A13282" w:rsidP="0020255E">
      <w:pPr>
        <w:pStyle w:val="a5"/>
        <w:rPr>
          <w:rtl/>
        </w:rPr>
      </w:pPr>
      <w:r>
        <w:rPr>
          <w:rStyle w:val="a7"/>
          <w:rtl/>
        </w:rPr>
        <w:footnoteRef/>
      </w:r>
      <w:r>
        <w:rPr>
          <w:rtl/>
        </w:rPr>
        <w:t xml:space="preserve"> </w:t>
      </w:r>
      <w:r>
        <w:rPr>
          <w:b/>
          <w:bCs/>
          <w:rtl/>
        </w:rPr>
        <w:t xml:space="preserve">האי איהו קרבן עולה ויורד. </w:t>
      </w:r>
      <w:r>
        <w:rPr>
          <w:rtl/>
        </w:rPr>
        <w:t>רוצה לומר דלמעלה היה עולה ויורד, ועתה העולה ויורד מתקרב כאחד כו':</w:t>
      </w:r>
    </w:p>
  </w:footnote>
  <w:footnote w:id="4768">
    <w:p w:rsidR="00A13282" w:rsidRDefault="00A13282" w:rsidP="0020255E">
      <w:pPr>
        <w:pStyle w:val="a5"/>
        <w:rPr>
          <w:rtl/>
        </w:rPr>
      </w:pPr>
      <w:r>
        <w:rPr>
          <w:rStyle w:val="a7"/>
          <w:rtl/>
        </w:rPr>
        <w:footnoteRef/>
      </w:r>
      <w:r>
        <w:rPr>
          <w:rtl/>
        </w:rPr>
        <w:t xml:space="preserve"> </w:t>
      </w:r>
      <w:r>
        <w:rPr>
          <w:b/>
          <w:bCs/>
          <w:rtl/>
        </w:rPr>
        <w:t xml:space="preserve">וע"כ יעזב כו'. </w:t>
      </w:r>
      <w:r>
        <w:rPr>
          <w:rtl/>
        </w:rPr>
        <w:t>והוא לראיה דנקראים בשר שנאמר והיו לבשר אחד:</w:t>
      </w:r>
    </w:p>
  </w:footnote>
  <w:footnote w:id="4769">
    <w:p w:rsidR="00A13282" w:rsidRDefault="00A13282" w:rsidP="0020255E">
      <w:pPr>
        <w:pStyle w:val="a5"/>
        <w:rPr>
          <w:rtl/>
        </w:rPr>
      </w:pPr>
      <w:r>
        <w:rPr>
          <w:rStyle w:val="a7"/>
          <w:rtl/>
        </w:rPr>
        <w:footnoteRef/>
      </w:r>
      <w:r>
        <w:rPr>
          <w:rtl/>
        </w:rPr>
        <w:t xml:space="preserve"> </w:t>
      </w:r>
      <w:r>
        <w:rPr>
          <w:b/>
          <w:bCs/>
          <w:rtl/>
        </w:rPr>
        <w:t xml:space="preserve">דהא סלקת כו'. </w:t>
      </w:r>
      <w:r>
        <w:rPr>
          <w:rtl/>
        </w:rPr>
        <w:t>ולכן נאמר היא העולה, והוא עולה של עולה ויורד:</w:t>
      </w:r>
    </w:p>
  </w:footnote>
  <w:footnote w:id="4770">
    <w:p w:rsidR="00A13282" w:rsidRDefault="00A13282" w:rsidP="0020255E">
      <w:pPr>
        <w:pStyle w:val="a5"/>
        <w:rPr>
          <w:rtl/>
        </w:rPr>
      </w:pPr>
      <w:r>
        <w:rPr>
          <w:rStyle w:val="a7"/>
          <w:rtl/>
        </w:rPr>
        <w:footnoteRef/>
      </w:r>
      <w:r>
        <w:rPr>
          <w:rtl/>
        </w:rPr>
        <w:t xml:space="preserve"> </w:t>
      </w:r>
      <w:r>
        <w:rPr>
          <w:b/>
          <w:bCs/>
          <w:rtl/>
        </w:rPr>
        <w:t xml:space="preserve">וכד נחיתת אימא לגבי כו'. </w:t>
      </w:r>
      <w:r>
        <w:rPr>
          <w:rtl/>
        </w:rPr>
        <w:t xml:space="preserve">דבינה נקראת אשא, והוא מוחין שנותנת לו לזיווג, וברתא על מוקדה למעלה ממנה, ואתבנין לזווגא, ועיין לעיל ט' ב' בענין הויות, וקרבן עולה ויורד כד ההי"ן באמצע, ויש עוד הוי"ה שההין באמצע כזה והה"י וגם כן אימא אצל ברא, וברתא אצל אבא, וכאן פירש ענין אחר, קרבן עולה ויורד בצירוף הוי"ה גם כן אמא על ברא, ואבא נחית לגבי ברתא, וזהו החילוק, דלמעלה ברתא סליק באבא וכאן נחית אבא לגבי ברתא וצריך כאן עולה ויורד בזכרים, יו"ד סליק וא"ו נחית, וזה שאומר </w:t>
      </w:r>
      <w:r>
        <w:rPr>
          <w:b/>
          <w:bCs/>
          <w:rtl/>
        </w:rPr>
        <w:t xml:space="preserve">והכי כד נחית ו' כו'. </w:t>
      </w:r>
      <w:r>
        <w:rPr>
          <w:rtl/>
        </w:rPr>
        <w:t>ואמר והכי, רוצה לומר דזהו גם כן קרבן עולה ויורד ועיין לעיל ט' א' ב', ה' תפילין על ו', אימא על ברא, דבה אתבני, הדא הוא דכתיב כונן שמים בתבונה, י' אבא תפילין על ברתא, דביה אתבניאת, הה"ד ה' בחכמה יסד ארץ, ודא הוא הוי"ה, ורוצה לומר מה שאמר לעיל ח' ב' והאי איהו הוי"ה דאתמר ביה הנה יד ה' הוי"ה וכו' ובג"ד אוקמוה מארי דתלמודא ירושלמי הויות באמצע כו' כגוונא דא יהה"ו כו' תא חזי כל הוי"ה דאיהי כו' רחוקים דא מן דא או קרובים דא לדא עלייהו אתמר שלום לרחוק ולקרוב וגו' דהיינו קרבן עולה ויורד, יהה"ו, ה' דאיהי אימא סלקת כו' ועל כן יעזב איש כו' והן בתרי גווני הנ"ל יהה"ו, אחיות קרובים אחים רחוקים, הוי"ה הוא להיפך וזה שאומר רחוקים דא כו' וצריך ב' שלומות לקרבא י"ה, אב עם אם, ו"ה, בן ובת דהוא עולה ויורד, וזהו ב' שלומות:</w:t>
      </w:r>
    </w:p>
  </w:footnote>
  <w:footnote w:id="4771">
    <w:p w:rsidR="00A13282" w:rsidRDefault="00A13282" w:rsidP="0020255E">
      <w:pPr>
        <w:pStyle w:val="a5"/>
        <w:rPr>
          <w:rtl/>
        </w:rPr>
      </w:pPr>
      <w:r>
        <w:rPr>
          <w:rStyle w:val="a7"/>
          <w:rtl/>
        </w:rPr>
        <w:footnoteRef/>
      </w:r>
      <w:r>
        <w:rPr>
          <w:rtl/>
        </w:rPr>
        <w:t xml:space="preserve"> </w:t>
      </w:r>
      <w:r>
        <w:rPr>
          <w:b/>
          <w:bCs/>
          <w:rtl/>
        </w:rPr>
        <w:t xml:space="preserve">בההוא זמנא והנה כו'. </w:t>
      </w:r>
      <w:r>
        <w:rPr>
          <w:rtl/>
        </w:rPr>
        <w:t>רוצה לומר דלכן נאמר עולים, לשון רבים, ויורדים וכמו שמפרש והולך סלקין כו' והן בשני הויות הנ"ל ולכן אקדים והכי כד נחית ו' כו' כנ"ל:</w:t>
      </w:r>
    </w:p>
  </w:footnote>
  <w:footnote w:id="4772">
    <w:p w:rsidR="00A13282" w:rsidRDefault="00A13282" w:rsidP="0020255E">
      <w:pPr>
        <w:pStyle w:val="a5"/>
        <w:rPr>
          <w:rtl/>
        </w:rPr>
      </w:pPr>
      <w:r>
        <w:rPr>
          <w:rStyle w:val="a7"/>
          <w:rtl/>
        </w:rPr>
        <w:footnoteRef/>
      </w:r>
      <w:r>
        <w:rPr>
          <w:rtl/>
        </w:rPr>
        <w:t xml:space="preserve"> </w:t>
      </w:r>
      <w:r>
        <w:rPr>
          <w:b/>
          <w:bCs/>
          <w:rtl/>
        </w:rPr>
        <w:t xml:space="preserve">ועוד סלקין כו'. </w:t>
      </w:r>
      <w:r>
        <w:rPr>
          <w:rtl/>
        </w:rPr>
        <w:t xml:space="preserve">דכאשר האדם חולה הוא מהשתנות היסודות ומתגברין  זה על זה, וכאשר הוא בבריאות הולכין כסדרן, ב' בסליקו וב' בנחיתו כמו שמפרש והולך והן ד' מיני דפיקין הנ"ל עולים תרין ויורדין תרין ואמר </w:t>
      </w:r>
      <w:r>
        <w:rPr>
          <w:b/>
          <w:bCs/>
          <w:rtl/>
        </w:rPr>
        <w:t xml:space="preserve">ואינון מיכאל כו'. </w:t>
      </w:r>
      <w:r>
        <w:rPr>
          <w:rtl/>
        </w:rPr>
        <w:t>רוצה לומר דזה שאמרו דמלאכי אלקים עולין תרין ויורדים תרין, והן אלו הד' מלאכים והן בסטרא דגבורה, אלקים, הוי"ה מהופכת כסדר ארמ"ע וכמו שאומר כאן ולכן בארץ הלזו היסודות ארמ"ע, דבה הוי"ה למפרע, נוק' (הגהה: באמת היסודות הן ארע"ם כמו שכתוב לרוקע הארץ על המים אבל לעתיד לבוא כי תמלא הארץ דעה כו', והוא מים העליונים, ויהיה כסדר. ועיקר הענין מה שאמר סלקין תרין רוחא ואשא כו' דלמעלה אמר בעולה ויורד יהה"ו הכל בההי"ן דה"א עילאה סליק וה"א תתאה נחית וכאן אמר דיו"ד גם כן נחית לה"א עילאה, ווא"ו גם כן סליק לה"א תתאה, והכל בהוי"ה אחת הנ"ל יהה"ו, עולים תרין ויורדים תרין, וזהו מיא ועפרא נחית ואש ורוחא סליק) וכן אלקים, ה' על י', והנה סולם מוצב ארצה, והיא אבן מאסו הבונים היתה גו' דיו"ד דהוי"ה דידה היא אבן מאסו הבונים, ותסלק למעלה ותהיה הוי"ה ישרה:</w:t>
      </w:r>
    </w:p>
  </w:footnote>
  <w:footnote w:id="4773">
    <w:p w:rsidR="00A13282" w:rsidRDefault="00A13282" w:rsidP="0020255E">
      <w:pPr>
        <w:pStyle w:val="a5"/>
        <w:rPr>
          <w:rtl/>
        </w:rPr>
      </w:pPr>
      <w:r>
        <w:rPr>
          <w:rStyle w:val="a7"/>
          <w:rtl/>
        </w:rPr>
        <w:footnoteRef/>
      </w:r>
      <w:r>
        <w:rPr>
          <w:rtl/>
        </w:rPr>
        <w:t xml:space="preserve"> </w:t>
      </w:r>
      <w:r>
        <w:rPr>
          <w:b/>
          <w:bCs/>
          <w:rtl/>
        </w:rPr>
        <w:t>ה"ה הבל סליק הבל נחית כו'.</w:t>
      </w:r>
      <w:r>
        <w:rPr>
          <w:rtl/>
        </w:rPr>
        <w:t xml:space="preserve"> מפרש והולך עולה ויורד דהוי"ה בקול, דאמירה איהי יו"ד ולכן עשר אמירן, ושני הבלים הן אחד סליק מלבא ואחד נחית כמו שאומר למעלה והוא עולה ויורד כנ"ל [ה' עילאה לגבי יו"ד וה' תתאה נחית לגבי וא"ו] וכנ"ל [הגהה וטעות סופר כאן וכך צריך להיות </w:t>
      </w:r>
      <w:r>
        <w:rPr>
          <w:b/>
          <w:bCs/>
          <w:rtl/>
        </w:rPr>
        <w:t>*הבל סליק דא ה' עילאה דסליק בקלא דאיהו וא"ו והבל נחית דא ה' תתאה דנחית לגבי יו"ד דאיהו עשר אמירן ועבד דבור קריבו דכל כו'.</w:t>
      </w:r>
      <w:r>
        <w:rPr>
          <w:rtl/>
        </w:rPr>
        <w:t xml:space="preserve"> וכמו שאומר לעיל בתיקון מ”ה דבקלא סליק ובדבור נחית, וסליק למעלה על הקלא ונחיתא למטה תחת הדבור, והוא עולה ויורד, הוי"ה הנ"ל] וכמו שמפרש והולך ועיין לעיל תיקון מ”ה ומה שכתבתי שם בארוכה הרבה, והדיבור והאמירה הכל ענין אחד ולכן עשר אמירן ועשר דברות וכמו שבארנו שם, והכל נכלל בה"א אחרונה, בפה, וכמו שאומר לעיל ק"ז ב' דקלא ודבור והבל נכללין בפה, ה' אחרונה, וזה שאומר קריבו דכל הבלים וקלא ודבורא איהו פה כו', ומה שקורא פעם לה' בפנימית בב' הבלים ופעם היא גופא לכל, משום שבה שתי בחינות, אחת ה"א אחרונה, ואחת - אדני, והוא גופא לשם הוי"ה, והוא פומא, מלכות, תורה שבעל פה, כמו שאומר לעיל י"ג א', ובחינת ה"א אחרונה היא דוגמת אימא כידוע ולכן היא גם כן הבל דוגמת אימא, ב' ההי"ן ב' הבלים. ואמר בחושבן מילה דהוא עטרת הברית, דרגא חד וחושבן חד, ובשניהם נכלל כולא כידוע והן ב' בריתות, ברית הלשון וברית המעור, תורה וברית, ועל זה אמרו כבוד רבו קודם לאביו וכן מורא רבו ואביו וכמו שזה פתוח להוציא תורה כן זה להוליד בנים, ושניהם סיומא, זה סיומא דרישא וזה סיומא דגופא, כוללין כל מה שלמעלה, ובברית המעור ה’ חסדים וכן בברית הלשון ה' פתוחי חותם, וזה יחוד או"א וזה זו"נ, והכל בדעת, ה’ חסדים, ה' פעמים טו"ב מנין גי"ד - חושבן פה ומילה, וה’ גבורות נכללין בה’ חסדים, והוא יחודא וקריבו וכמו שמפרש והולך:</w:t>
      </w:r>
    </w:p>
  </w:footnote>
  <w:footnote w:id="4774">
    <w:p w:rsidR="00A13282" w:rsidRDefault="00A13282" w:rsidP="0020255E">
      <w:pPr>
        <w:pStyle w:val="a5"/>
        <w:rPr>
          <w:rtl/>
        </w:rPr>
      </w:pPr>
      <w:r>
        <w:rPr>
          <w:rStyle w:val="a7"/>
          <w:rtl/>
        </w:rPr>
        <w:footnoteRef/>
      </w:r>
      <w:r>
        <w:rPr>
          <w:rtl/>
        </w:rPr>
        <w:t xml:space="preserve"> </w:t>
      </w:r>
      <w:r>
        <w:rPr>
          <w:b/>
          <w:bCs/>
          <w:rtl/>
        </w:rPr>
        <w:t xml:space="preserve">איהו קריבו כו' ואיהו יחודא כו'. </w:t>
      </w:r>
      <w:r>
        <w:rPr>
          <w:rtl/>
        </w:rPr>
        <w:t>כמו שאומר למעלה דשתי בחינות הם, א' בה"א הוא יחודא דאתוון, וב' - אדני, קריבו דכל הבלים כו' דהכל נכלל בה, והוא קריבו קרבן לה', והן ב' הנ"ל (יחזקאל לז ז) ותקרבו עצם אל עצמו, ויחודא - (בראשית ב כד) והיו לבשר אחד, ואמר דקריבו הוא בעמודא דאמצעיתא ויחודא בצדיק, ועיין לעיל צ"ג א' דלית יחודא אלא בצדיק, וזה שאומר דאיהו ברית, דלית יחודא אלא בברית מילה, ויחודא הוא בקריאת שמע, אחד, וקריבו הוא בתפלה דהוא במקום קרבן. ואמר ומאן איהו כו' והוא בשמא מפרש דמייחד כולא:</w:t>
      </w:r>
    </w:p>
  </w:footnote>
  <w:footnote w:id="4775">
    <w:p w:rsidR="00A13282" w:rsidRDefault="00A13282" w:rsidP="0020255E">
      <w:pPr>
        <w:pStyle w:val="a5"/>
        <w:rPr>
          <w:rtl/>
        </w:rPr>
      </w:pPr>
      <w:r>
        <w:rPr>
          <w:rStyle w:val="a7"/>
          <w:rtl/>
        </w:rPr>
        <w:footnoteRef/>
      </w:r>
      <w:r>
        <w:rPr>
          <w:rtl/>
        </w:rPr>
        <w:t xml:space="preserve"> </w:t>
      </w:r>
      <w:r>
        <w:rPr>
          <w:b/>
          <w:bCs/>
          <w:rtl/>
        </w:rPr>
        <w:t xml:space="preserve">אדהכי הא כו'. </w:t>
      </w:r>
      <w:r>
        <w:rPr>
          <w:rtl/>
        </w:rPr>
        <w:t>פליג עליה, דלפי דברי ר' שמעון קריאת שמע בדרגיה דצדיק, ותפלה בעמודא דאמצעיתא, ואמרינן בהקדמה למעלה להיפך דקריאת שמע בעמודא דאמצעיתא, שמע ישראל וצלותא - בצדיק, וברכות לראש צדיק, וצריך לומר דעל הנקרב  קאמר שם, דבצלותא נקרב אדנ"י דהיא בדרגיה דצדיק, ובקריאת שמע מתייחד השם הוי"ה, אבל הסבא פירש דבין בצדיק בין בעמודא דאמצעיתא יש יחוד וקריבו, והן קריאת שמע ותפלה, ובבוקר - דעמודא דאמצעיתא, דהוא נגד יום, ודערב - נגד צדיק דהוא נגד לילה, דהכלל דהצדיק נחשב עם הלילה ולכן שם יחודא דהוי"ה, ובעמודא דאמצעיתא - דעמודא דאמצעיתא:</w:t>
      </w:r>
    </w:p>
  </w:footnote>
  <w:footnote w:id="4776">
    <w:p w:rsidR="00A13282" w:rsidRDefault="00A13282" w:rsidP="0020255E">
      <w:pPr>
        <w:pStyle w:val="a5"/>
        <w:rPr>
          <w:rtl/>
        </w:rPr>
      </w:pPr>
      <w:r>
        <w:rPr>
          <w:rStyle w:val="a7"/>
          <w:rtl/>
        </w:rPr>
        <w:footnoteRef/>
      </w:r>
      <w:r>
        <w:rPr>
          <w:rtl/>
        </w:rPr>
        <w:t xml:space="preserve"> </w:t>
      </w:r>
      <w:r>
        <w:rPr>
          <w:b/>
          <w:bCs/>
          <w:rtl/>
        </w:rPr>
        <w:t xml:space="preserve">אע"ג דכולא קשוט עולה כו'. </w:t>
      </w:r>
      <w:r>
        <w:rPr>
          <w:rtl/>
        </w:rPr>
        <w:t>רוצה לומר אע"ג שהפירוש הנ"ל בשם הוי"ה עצמו עולה ויורד אמת מכל מקום גם זה אמת:</w:t>
      </w:r>
    </w:p>
  </w:footnote>
  <w:footnote w:id="4777">
    <w:p w:rsidR="00A13282" w:rsidRDefault="00A13282" w:rsidP="0020255E">
      <w:pPr>
        <w:pStyle w:val="a5"/>
        <w:rPr>
          <w:rtl/>
        </w:rPr>
      </w:pPr>
      <w:r>
        <w:rPr>
          <w:rStyle w:val="a7"/>
          <w:rtl/>
        </w:rPr>
        <w:footnoteRef/>
      </w:r>
      <w:r>
        <w:rPr>
          <w:rtl/>
        </w:rPr>
        <w:t xml:space="preserve"> </w:t>
      </w:r>
      <w:r>
        <w:rPr>
          <w:b/>
          <w:bCs/>
          <w:rtl/>
        </w:rPr>
        <w:t xml:space="preserve">ואפילו שרפים כו'. </w:t>
      </w:r>
      <w:r>
        <w:rPr>
          <w:rtl/>
        </w:rPr>
        <w:t>כמו שאומר לעיל ק"ה ב' בהגהה הה"ד רבא אילנא ותקיף כו' חיוון ומלאכים כו' דאתמר בהון כי עוף השמים כו':</w:t>
      </w:r>
    </w:p>
  </w:footnote>
  <w:footnote w:id="4778">
    <w:p w:rsidR="00A13282" w:rsidRDefault="00A13282" w:rsidP="0020255E">
      <w:pPr>
        <w:pStyle w:val="a5"/>
        <w:rPr>
          <w:rtl/>
        </w:rPr>
      </w:pPr>
      <w:r>
        <w:rPr>
          <w:rStyle w:val="a7"/>
          <w:rtl/>
        </w:rPr>
        <w:footnoteRef/>
      </w:r>
      <w:r>
        <w:rPr>
          <w:rtl/>
        </w:rPr>
        <w:t xml:space="preserve"> </w:t>
      </w:r>
      <w:r>
        <w:rPr>
          <w:b/>
          <w:bCs/>
          <w:rtl/>
        </w:rPr>
        <w:t xml:space="preserve">ונטיל קב"ה אלין כו'. </w:t>
      </w:r>
      <w:r>
        <w:rPr>
          <w:rtl/>
        </w:rPr>
        <w:t>עיין בזוהר פ’ בראשית בארוכה:</w:t>
      </w:r>
    </w:p>
  </w:footnote>
  <w:footnote w:id="4779">
    <w:p w:rsidR="00A13282" w:rsidRDefault="00A13282" w:rsidP="0020255E">
      <w:pPr>
        <w:pStyle w:val="a5"/>
        <w:rPr>
          <w:rtl/>
        </w:rPr>
      </w:pPr>
      <w:r>
        <w:rPr>
          <w:rStyle w:val="a7"/>
          <w:rtl/>
        </w:rPr>
        <w:footnoteRef/>
      </w:r>
      <w:r>
        <w:rPr>
          <w:rtl/>
        </w:rPr>
        <w:t xml:space="preserve"> </w:t>
      </w:r>
      <w:r>
        <w:rPr>
          <w:b/>
          <w:bCs/>
          <w:rtl/>
        </w:rPr>
        <w:t xml:space="preserve">אלא עמי בשותפו אדהכי הא סבא קא נחית ואמר אני ישנה ולבי ער אני ישנה מרחימאי דאתרחק כו' דכמה משקין כו'. </w:t>
      </w:r>
      <w:r>
        <w:rPr>
          <w:rtl/>
        </w:rPr>
        <w:t>עיין לעיל ס"ט ב' ומה שכתבתי שם, ואסיא דילה הוא רעיא מהימנא דידע בדפיקו דילה בכל עשר דפיקין, והוא חתן דילה, ועל ידו אתקריבת לבעלה:</w:t>
      </w:r>
    </w:p>
  </w:footnote>
  <w:footnote w:id="4780">
    <w:p w:rsidR="00A13282" w:rsidRDefault="00A13282" w:rsidP="0020255E">
      <w:pPr>
        <w:pStyle w:val="a5"/>
        <w:rPr>
          <w:rtl/>
        </w:rPr>
      </w:pPr>
      <w:r>
        <w:rPr>
          <w:rStyle w:val="a7"/>
          <w:rtl/>
        </w:rPr>
        <w:footnoteRef/>
      </w:r>
      <w:r>
        <w:rPr>
          <w:rtl/>
        </w:rPr>
        <w:t xml:space="preserve"> </w:t>
      </w:r>
      <w:r>
        <w:rPr>
          <w:b/>
          <w:bCs/>
          <w:rtl/>
        </w:rPr>
        <w:t xml:space="preserve">דא ו' דפיק לתרעא בשית דפיקין. </w:t>
      </w:r>
      <w:r>
        <w:rPr>
          <w:rtl/>
        </w:rPr>
        <w:t>עיין שם א' וכד ייתי רוחא כו' דפיק לתרעא דלבא שית דפיקין, לאשתמודע דאיהו ו' דייתי לגבי יו"ד דאיהי נפש ובה אינון עשרה כו' ואינון שית סלקין לעשרה כו' דאתכלילו כו' ועיין מה שכתבתי שם ועיין לעיל תיקון נ”ג:</w:t>
      </w:r>
    </w:p>
  </w:footnote>
  <w:footnote w:id="4781">
    <w:p w:rsidR="00A13282" w:rsidRDefault="00A13282" w:rsidP="0020255E">
      <w:pPr>
        <w:pStyle w:val="a5"/>
        <w:rPr>
          <w:rtl/>
        </w:rPr>
      </w:pPr>
      <w:r>
        <w:rPr>
          <w:rStyle w:val="a7"/>
          <w:rtl/>
        </w:rPr>
        <w:footnoteRef/>
      </w:r>
      <w:r>
        <w:rPr>
          <w:rtl/>
        </w:rPr>
        <w:t xml:space="preserve"> </w:t>
      </w:r>
      <w:r>
        <w:rPr>
          <w:b/>
          <w:bCs/>
          <w:rtl/>
        </w:rPr>
        <w:t xml:space="preserve">רזא דמלה כו'. </w:t>
      </w:r>
      <w:r>
        <w:rPr>
          <w:rtl/>
        </w:rPr>
        <w:t>רוצה לומר בתרשיש הוא בתרי שש כמו שאומר כ"ג ב' עיין שם בדבריו:</w:t>
      </w:r>
    </w:p>
  </w:footnote>
  <w:footnote w:id="4782">
    <w:p w:rsidR="00A13282" w:rsidRDefault="00A13282" w:rsidP="0020255E">
      <w:pPr>
        <w:pStyle w:val="a5"/>
        <w:rPr>
          <w:rtl/>
        </w:rPr>
      </w:pPr>
      <w:r>
        <w:rPr>
          <w:rStyle w:val="a7"/>
          <w:rtl/>
        </w:rPr>
        <w:footnoteRef/>
      </w:r>
      <w:r>
        <w:rPr>
          <w:rtl/>
        </w:rPr>
        <w:t xml:space="preserve"> </w:t>
      </w:r>
      <w:r>
        <w:rPr>
          <w:b/>
          <w:bCs/>
          <w:rtl/>
        </w:rPr>
        <w:t xml:space="preserve">דאיהו ברא שית. </w:t>
      </w:r>
      <w:r>
        <w:rPr>
          <w:rtl/>
        </w:rPr>
        <w:t>רוצה לומר שית דפיקין אלו:</w:t>
      </w:r>
    </w:p>
  </w:footnote>
  <w:footnote w:id="4783">
    <w:p w:rsidR="00A13282" w:rsidRDefault="00A13282" w:rsidP="0020255E">
      <w:pPr>
        <w:pStyle w:val="a5"/>
        <w:rPr>
          <w:rtl/>
        </w:rPr>
      </w:pPr>
      <w:r>
        <w:rPr>
          <w:rStyle w:val="a7"/>
          <w:rtl/>
        </w:rPr>
        <w:footnoteRef/>
      </w:r>
      <w:r>
        <w:rPr>
          <w:rtl/>
        </w:rPr>
        <w:t xml:space="preserve"> </w:t>
      </w:r>
      <w:r>
        <w:rPr>
          <w:b/>
          <w:bCs/>
          <w:rtl/>
        </w:rPr>
        <w:t xml:space="preserve">ועלייהו אתמר. </w:t>
      </w:r>
      <w:r>
        <w:rPr>
          <w:rtl/>
        </w:rPr>
        <w:t>רוצה לומר על אלו שית דפיקין וכמו שאומר שם, וכלילין הכל באותיות של בראשית כמו שמפרש והולך:</w:t>
      </w:r>
    </w:p>
  </w:footnote>
  <w:footnote w:id="4784">
    <w:p w:rsidR="00A13282" w:rsidRDefault="00A13282" w:rsidP="0020255E">
      <w:pPr>
        <w:pStyle w:val="a5"/>
        <w:rPr>
          <w:rtl/>
        </w:rPr>
      </w:pPr>
      <w:r>
        <w:rPr>
          <w:rStyle w:val="a7"/>
          <w:rtl/>
        </w:rPr>
        <w:footnoteRef/>
      </w:r>
      <w:r>
        <w:rPr>
          <w:rtl/>
        </w:rPr>
        <w:t xml:space="preserve"> </w:t>
      </w:r>
      <w:r>
        <w:rPr>
          <w:b/>
          <w:bCs/>
          <w:rtl/>
        </w:rPr>
        <w:t xml:space="preserve">פתחו לי שערי צדק. </w:t>
      </w:r>
      <w:r>
        <w:rPr>
          <w:rtl/>
        </w:rPr>
        <w:t>שהן ב' שערים, שערי, וכן שערים ראשיכם, פתחי עולם, והוא ב', שתים, וכן צורתו (כאכסדרה פתוח) כשער כמו שאמרו (בראשית רבה פרשה א) למה ב' פתוח מלפניו כו', וב' הוא דרגא דצדק והוא זה השער לה':</w:t>
      </w:r>
    </w:p>
  </w:footnote>
  <w:footnote w:id="4785">
    <w:p w:rsidR="00A13282" w:rsidRDefault="00A13282" w:rsidP="0020255E">
      <w:pPr>
        <w:pStyle w:val="a5"/>
        <w:rPr>
          <w:rtl/>
        </w:rPr>
      </w:pPr>
      <w:r>
        <w:rPr>
          <w:rStyle w:val="a7"/>
          <w:rtl/>
        </w:rPr>
        <w:footnoteRef/>
      </w:r>
      <w:r>
        <w:rPr>
          <w:rtl/>
        </w:rPr>
        <w:t xml:space="preserve"> </w:t>
      </w:r>
      <w:r>
        <w:rPr>
          <w:b/>
          <w:bCs/>
          <w:rtl/>
        </w:rPr>
        <w:t>נמלא טל רזא כו'.</w:t>
      </w:r>
      <w:r>
        <w:rPr>
          <w:rtl/>
        </w:rPr>
        <w:t xml:space="preserve"> והוא יו"ד ה"א וא"ו, ושית דפיקין הוא ה"א אחרונה, והטל מרומז בדגש שבתוך הבית:</w:t>
      </w:r>
    </w:p>
  </w:footnote>
  <w:footnote w:id="4786">
    <w:p w:rsidR="00A13282" w:rsidRDefault="00A13282" w:rsidP="0020255E">
      <w:pPr>
        <w:pStyle w:val="a5"/>
        <w:rPr>
          <w:rtl/>
        </w:rPr>
      </w:pPr>
      <w:r>
        <w:rPr>
          <w:rStyle w:val="a7"/>
          <w:rtl/>
        </w:rPr>
        <w:footnoteRef/>
      </w:r>
      <w:r>
        <w:rPr>
          <w:rtl/>
        </w:rPr>
        <w:t xml:space="preserve"> </w:t>
      </w:r>
      <w:r>
        <w:rPr>
          <w:b/>
          <w:bCs/>
          <w:rtl/>
        </w:rPr>
        <w:t xml:space="preserve">ד"א נמלא כו'. </w:t>
      </w:r>
      <w:r>
        <w:rPr>
          <w:rtl/>
        </w:rPr>
        <w:t>דאלקים הוא מלא י"ה, דהוא יה"ו כמו שאומר למעלה והוא טל כנ"ל, והוא פירוש אחד עם מה שאמר למעלה אלא דלמעלה מפרש חושבן טל וכאן מפרש תיבת נמלא דהוא אלקים דהן אותיות מליאה כמו שמפרש והולך וביה איהו מליאה וכמו שאומר לעיל בתיקון ל"ח דהיא מליאה באלקים דהוא יה"ו וכן כאן וכנ"ל ואמר באן אתר ביומא כו' והוא דגש שבתוך הבית דהוא יו"ד, מעין חתום כמו שאומר לעיל בתיקון ל”ו ושאר מקומות, והוא יו"ד על ו', ו' אתוון דבראשית שהוא ז' והוא נגד יום ז', דכל ז' ימי בראשית מרומז בתיבת בראשית וכן בפסוק פתחו לי הנ"ל, וראשי הוא ראש צדיק, ברית אות שבת יום שביעי, והוא מלא טל ועתה מפרש והולך ג' אתוון יה"ו הנ"ל דאתער בדפיקו אליה ואמר יו"ד איהי טפה כו' דהוא מוחא, וה"א ראשונה לבא, וא"ו - רוחא דנפיק מינה והן ג' דרגין הנ"ל ומיד דרוח אתער לגבה היא נתמלא מן י"ה גם כן, מליאה - מלא י"ה, דמלא ו' הוא י"ה בו, ואמר דבקדמיתא אמרת ה' זעירא אני ישנה מן י"ה רוצה לומר דבתיבת ישנה י"ה בראשי תיבות וסופי תיבות, ואמרה קול דודי דופק דהוא ו' בשית דפיקין ורוצה לומר דכל הוי"ה מרומז כאן, אני - ה' בתראה, ישנה - י"ה, קול דודי כו' - ו':</w:t>
      </w:r>
    </w:p>
  </w:footnote>
  <w:footnote w:id="4787">
    <w:p w:rsidR="00A13282" w:rsidRDefault="00A13282" w:rsidP="0020255E">
      <w:pPr>
        <w:pStyle w:val="a5"/>
        <w:rPr>
          <w:rtl/>
        </w:rPr>
      </w:pPr>
      <w:r>
        <w:rPr>
          <w:rStyle w:val="a7"/>
          <w:rtl/>
        </w:rPr>
        <w:footnoteRef/>
      </w:r>
      <w:r>
        <w:rPr>
          <w:rtl/>
        </w:rPr>
        <w:t xml:space="preserve"> </w:t>
      </w:r>
      <w:r>
        <w:rPr>
          <w:b/>
          <w:bCs/>
          <w:rtl/>
        </w:rPr>
        <w:t xml:space="preserve">ועוד פתחי כו' דאיהו לימינא. </w:t>
      </w:r>
      <w:r>
        <w:rPr>
          <w:rtl/>
        </w:rPr>
        <w:t>דחכמה נחית בימינא:</w:t>
      </w:r>
    </w:p>
  </w:footnote>
  <w:footnote w:id="4788">
    <w:p w:rsidR="00A13282" w:rsidRDefault="00A13282" w:rsidP="0020255E">
      <w:pPr>
        <w:pStyle w:val="a5"/>
        <w:rPr>
          <w:rtl/>
        </w:rPr>
      </w:pPr>
      <w:r>
        <w:rPr>
          <w:rStyle w:val="a7"/>
          <w:rtl/>
        </w:rPr>
        <w:footnoteRef/>
      </w:r>
      <w:r>
        <w:rPr>
          <w:rtl/>
        </w:rPr>
        <w:t xml:space="preserve"> </w:t>
      </w:r>
      <w:r>
        <w:rPr>
          <w:b/>
          <w:bCs/>
          <w:rtl/>
        </w:rPr>
        <w:t xml:space="preserve">אחותי כו'. </w:t>
      </w:r>
      <w:r>
        <w:rPr>
          <w:rtl/>
        </w:rPr>
        <w:t xml:space="preserve">כולל אחותי רעיתי בחד, דהוא כינוי אחד, וכן יונתי תמתי דהוא יונה תמה ואמר </w:t>
      </w:r>
      <w:r>
        <w:rPr>
          <w:b/>
          <w:bCs/>
          <w:rtl/>
        </w:rPr>
        <w:t xml:space="preserve">ביומא תניינא כו. </w:t>
      </w:r>
      <w:r>
        <w:rPr>
          <w:rtl/>
        </w:rPr>
        <w:t>רוצה לומר דהוא נוק', ה', דתמן נחיתא בינה:</w:t>
      </w:r>
    </w:p>
  </w:footnote>
  <w:footnote w:id="4789">
    <w:p w:rsidR="00A13282" w:rsidRDefault="00A13282" w:rsidP="0020255E">
      <w:pPr>
        <w:pStyle w:val="a5"/>
        <w:rPr>
          <w:rtl/>
        </w:rPr>
      </w:pPr>
      <w:r>
        <w:rPr>
          <w:rStyle w:val="a7"/>
          <w:rtl/>
        </w:rPr>
        <w:footnoteRef/>
      </w:r>
      <w:r>
        <w:rPr>
          <w:rtl/>
        </w:rPr>
        <w:t xml:space="preserve"> </w:t>
      </w:r>
      <w:r>
        <w:rPr>
          <w:b/>
          <w:bCs/>
          <w:rtl/>
        </w:rPr>
        <w:t xml:space="preserve">יונתי ביומא כו'. </w:t>
      </w:r>
      <w:r>
        <w:rPr>
          <w:rtl/>
        </w:rPr>
        <w:t>דוא"ו כליל שניהם, דו"נ, וכן יונה משמש זכר ונקבה, ועוד דכתיב תמתי וכמו שאומר לעיל ק"ד ב' מסטרא דיעקב איש תם:</w:t>
      </w:r>
    </w:p>
  </w:footnote>
  <w:footnote w:id="4790">
    <w:p w:rsidR="00A13282" w:rsidRDefault="00A13282" w:rsidP="0020255E">
      <w:pPr>
        <w:pStyle w:val="a5"/>
        <w:rPr>
          <w:rtl/>
        </w:rPr>
      </w:pPr>
      <w:r>
        <w:rPr>
          <w:rStyle w:val="a7"/>
          <w:rtl/>
        </w:rPr>
        <w:footnoteRef/>
      </w:r>
      <w:r>
        <w:rPr>
          <w:rtl/>
        </w:rPr>
        <w:t xml:space="preserve"> </w:t>
      </w:r>
      <w:r>
        <w:rPr>
          <w:b/>
          <w:bCs/>
          <w:rtl/>
        </w:rPr>
        <w:t xml:space="preserve">שראשי כו'. </w:t>
      </w:r>
      <w:r>
        <w:rPr>
          <w:rtl/>
        </w:rPr>
        <w:t>דבברית נתמלא הוא"ו כמו שמפרש והולך ודא איהו גוף כו' דוא"ו חושבן אחד, ועוד ו' עלאה עמודא דאמצעיתא ו' כו', והברית נקרא כל, דכליל הכל, וכולל  גם י"ה, והכל במילוי דוגמת הוא"ו, וביה ה' אחד, אחד מצד הוא"ו, וה' חושבן יו"ד ה"א, ואמר שראשי דהוא ברית, ראש צדיק, דכליל יה"ו, נמלא נתמלא לחושבן טל:</w:t>
      </w:r>
    </w:p>
  </w:footnote>
  <w:footnote w:id="4791">
    <w:p w:rsidR="00A13282" w:rsidRDefault="00A13282" w:rsidP="0020255E">
      <w:pPr>
        <w:pStyle w:val="a5"/>
        <w:rPr>
          <w:rtl/>
        </w:rPr>
      </w:pPr>
      <w:r>
        <w:rPr>
          <w:rStyle w:val="a7"/>
          <w:rtl/>
        </w:rPr>
        <w:footnoteRef/>
      </w:r>
      <w:r>
        <w:rPr>
          <w:rtl/>
        </w:rPr>
        <w:t xml:space="preserve"> </w:t>
      </w:r>
      <w:r>
        <w:rPr>
          <w:b/>
          <w:bCs/>
          <w:rtl/>
        </w:rPr>
        <w:t xml:space="preserve">קווצותי אלין שית [פרקי] קצוות דאינון ה"א. </w:t>
      </w:r>
      <w:r>
        <w:rPr>
          <w:rtl/>
        </w:rPr>
        <w:t>רוצה לומר ה"א אחרונה בחושבן, וה' שית פרקין ושם דרגא דנוק' ועמידתה שם והן שית סדרין דש"ס והן נגד יום חמישי וששי ולכן קאמר לילה דשם ה' אחרונה לילה וזה שאומר רסיסי לילה דא כו'. וכמו שברית כולל יה"ו כן היא כוללת כל הוי"ה ועיין לעיל תיקון כ”ח ע"ד ב' אלין אינון י"ח אתוון כו' מלכות תמן ה' בה אשתלים כו':</w:t>
      </w:r>
    </w:p>
  </w:footnote>
  <w:footnote w:id="4792">
    <w:p w:rsidR="00A13282" w:rsidRDefault="00A13282" w:rsidP="0020255E">
      <w:pPr>
        <w:pStyle w:val="a5"/>
        <w:rPr>
          <w:rtl/>
        </w:rPr>
      </w:pPr>
      <w:r>
        <w:rPr>
          <w:rStyle w:val="a7"/>
          <w:rtl/>
        </w:rPr>
        <w:footnoteRef/>
      </w:r>
      <w:r>
        <w:rPr>
          <w:rtl/>
        </w:rPr>
        <w:t xml:space="preserve"> </w:t>
      </w:r>
      <w:r>
        <w:rPr>
          <w:b/>
          <w:bCs/>
          <w:rtl/>
        </w:rPr>
        <w:t xml:space="preserve">דאתקריאת לילה דאיהי ליל כו'. </w:t>
      </w:r>
      <w:r>
        <w:rPr>
          <w:rtl/>
        </w:rPr>
        <w:t>ורוצה לומר בזה דרסיסי לילה רמיז על ליל שביעי דאיהי ליל שמורים דנקרא שמור, דיום - זכור, ונאמר ליל שמורים הוא לה' הוא הלילה כו' דנקרא סתם לילה, והוא לה' כמו שאומר כאן דכלילא כל השם:</w:t>
      </w:r>
    </w:p>
  </w:footnote>
  <w:footnote w:id="4793">
    <w:p w:rsidR="00A13282" w:rsidRDefault="00A13282" w:rsidP="0020255E">
      <w:pPr>
        <w:pStyle w:val="a5"/>
        <w:rPr>
          <w:rtl/>
        </w:rPr>
      </w:pPr>
      <w:r>
        <w:rPr>
          <w:rStyle w:val="a7"/>
          <w:rtl/>
        </w:rPr>
        <w:footnoteRef/>
      </w:r>
      <w:r>
        <w:rPr>
          <w:rtl/>
        </w:rPr>
        <w:t xml:space="preserve"> </w:t>
      </w:r>
      <w:r>
        <w:rPr>
          <w:b/>
          <w:bCs/>
          <w:rtl/>
        </w:rPr>
        <w:t xml:space="preserve">ועוד אני ישנה במשנה. </w:t>
      </w:r>
      <w:r>
        <w:rPr>
          <w:rtl/>
        </w:rPr>
        <w:t>רוצה לומר ישנה לשון משנה דשם דרגא דנוק':</w:t>
      </w:r>
    </w:p>
  </w:footnote>
  <w:footnote w:id="4794">
    <w:p w:rsidR="00A13282" w:rsidRDefault="00A13282" w:rsidP="0020255E">
      <w:pPr>
        <w:pStyle w:val="a5"/>
        <w:rPr>
          <w:rtl/>
        </w:rPr>
      </w:pPr>
      <w:r>
        <w:rPr>
          <w:rStyle w:val="a7"/>
          <w:rtl/>
        </w:rPr>
        <w:footnoteRef/>
      </w:r>
      <w:r>
        <w:rPr>
          <w:rtl/>
        </w:rPr>
        <w:t xml:space="preserve"> </w:t>
      </w:r>
      <w:r>
        <w:rPr>
          <w:b/>
          <w:bCs/>
          <w:rtl/>
        </w:rPr>
        <w:t xml:space="preserve">ולבי ער באורייתא. </w:t>
      </w:r>
      <w:r>
        <w:rPr>
          <w:rtl/>
        </w:rPr>
        <w:t>דכורא ועיין בתיקוני זוהר חדש ע"ג ד' קום רעיא מהימנא לאתערא לההיא דאמר בה אני ישנה ולבי ער וכמה אינון דמיכין ושינתא בעיניהון כו' דאיהו ר"ז או"ר כו' והוא אורייתא דקאמר כאן דהוא קבלה למשה:</w:t>
      </w:r>
    </w:p>
  </w:footnote>
  <w:footnote w:id="4795">
    <w:p w:rsidR="00A13282" w:rsidRDefault="00A13282" w:rsidP="0020255E">
      <w:pPr>
        <w:pStyle w:val="a5"/>
        <w:rPr>
          <w:rtl/>
        </w:rPr>
      </w:pPr>
      <w:r>
        <w:rPr>
          <w:rStyle w:val="a7"/>
          <w:rtl/>
        </w:rPr>
        <w:footnoteRef/>
      </w:r>
      <w:r>
        <w:rPr>
          <w:rtl/>
        </w:rPr>
        <w:t xml:space="preserve"> </w:t>
      </w:r>
      <w:r>
        <w:rPr>
          <w:b/>
          <w:bCs/>
          <w:rtl/>
        </w:rPr>
        <w:t xml:space="preserve">דאתמר בה התאנה כו'. </w:t>
      </w:r>
      <w:r>
        <w:rPr>
          <w:rtl/>
        </w:rPr>
        <w:t>וכמו שאומר להלן והגפנים כו', דבעלי מצות הן ריח, והתלמידי חכמים הן עץ מאכל דהוא תאנה דהיא חשובה למאכל מכולם כמו שכתוב (ישעיהו כח ד) כבכורה כו' בעודה בכפו כו', ורוצה לומר בזה, דנאמר שם קומי לך רעיתי כמו שמפרש והולך והוא קול דודי דופק כו' אחותי רעיתי דכאן, ואמר בל"ב נתיבות חכמה דרוצה לומר זה שאומר ולבי, דעל שם כך נקרא לב ורוצה לומר דזהו אורייתא המתחלת בל"ב אלקים דבראשית ונכללת בל"ב דאיהו ב' מן כו':</w:t>
      </w:r>
    </w:p>
  </w:footnote>
  <w:footnote w:id="4796">
    <w:p w:rsidR="00A13282" w:rsidRDefault="00A13282" w:rsidP="0020255E">
      <w:pPr>
        <w:pStyle w:val="a5"/>
        <w:rPr>
          <w:rtl/>
        </w:rPr>
      </w:pPr>
      <w:r>
        <w:rPr>
          <w:rStyle w:val="a7"/>
          <w:rtl/>
        </w:rPr>
        <w:footnoteRef/>
      </w:r>
      <w:r>
        <w:rPr>
          <w:rtl/>
        </w:rPr>
        <w:t xml:space="preserve"> </w:t>
      </w:r>
      <w:r>
        <w:rPr>
          <w:b/>
          <w:bCs/>
          <w:rtl/>
        </w:rPr>
        <w:t xml:space="preserve">קומי לך כו'. </w:t>
      </w:r>
      <w:r>
        <w:rPr>
          <w:rtl/>
        </w:rPr>
        <w:t>כנ"ל לאתערא מן שינתא:</w:t>
      </w:r>
    </w:p>
  </w:footnote>
  <w:footnote w:id="4797">
    <w:p w:rsidR="00A13282" w:rsidRDefault="00A13282" w:rsidP="0020255E">
      <w:pPr>
        <w:pStyle w:val="a5"/>
        <w:rPr>
          <w:rtl/>
        </w:rPr>
      </w:pPr>
      <w:r>
        <w:rPr>
          <w:rStyle w:val="a7"/>
          <w:rtl/>
        </w:rPr>
        <w:footnoteRef/>
      </w:r>
      <w:r>
        <w:rPr>
          <w:rtl/>
        </w:rPr>
        <w:t xml:space="preserve"> </w:t>
      </w:r>
      <w:r>
        <w:rPr>
          <w:b/>
          <w:bCs/>
          <w:rtl/>
        </w:rPr>
        <w:t xml:space="preserve">ולכי בהלכה </w:t>
      </w:r>
      <w:r>
        <w:rPr>
          <w:rtl/>
        </w:rPr>
        <w:t>דהוא לשון הליכה וכמו שאומר לעיל ס"א ב':</w:t>
      </w:r>
    </w:p>
  </w:footnote>
  <w:footnote w:id="4798">
    <w:p w:rsidR="00A13282" w:rsidRDefault="00A13282" w:rsidP="0020255E">
      <w:pPr>
        <w:pStyle w:val="a5"/>
        <w:rPr>
          <w:rtl/>
        </w:rPr>
      </w:pPr>
      <w:r>
        <w:rPr>
          <w:rStyle w:val="a7"/>
          <w:rtl/>
        </w:rPr>
        <w:footnoteRef/>
      </w:r>
      <w:r>
        <w:rPr>
          <w:rtl/>
        </w:rPr>
        <w:t xml:space="preserve"> </w:t>
      </w:r>
      <w:r>
        <w:rPr>
          <w:b/>
          <w:bCs/>
          <w:rtl/>
        </w:rPr>
        <w:t xml:space="preserve">ועוד אני ישנה כו'. </w:t>
      </w:r>
      <w:r>
        <w:rPr>
          <w:rtl/>
        </w:rPr>
        <w:t>דהוא בנוק':</w:t>
      </w:r>
    </w:p>
  </w:footnote>
  <w:footnote w:id="4799">
    <w:p w:rsidR="00A13282" w:rsidRDefault="00A13282" w:rsidP="0020255E">
      <w:pPr>
        <w:pStyle w:val="a5"/>
        <w:rPr>
          <w:rtl/>
        </w:rPr>
      </w:pPr>
      <w:r>
        <w:rPr>
          <w:rStyle w:val="a7"/>
          <w:rtl/>
        </w:rPr>
        <w:footnoteRef/>
      </w:r>
      <w:r>
        <w:rPr>
          <w:rtl/>
        </w:rPr>
        <w:t xml:space="preserve"> </w:t>
      </w:r>
      <w:r>
        <w:rPr>
          <w:b/>
          <w:bCs/>
          <w:rtl/>
        </w:rPr>
        <w:t>ולבי ער כו'.</w:t>
      </w:r>
      <w:r>
        <w:rPr>
          <w:rtl/>
        </w:rPr>
        <w:t xml:space="preserve"> שהוא מן דכורא והן בחו"ג דידה וע' בעמודא דאמצעיתא ת"ת דילה דהוא לימינא, וכך צריך לומר </w:t>
      </w:r>
      <w:r>
        <w:rPr>
          <w:b/>
          <w:bCs/>
          <w:rtl/>
        </w:rPr>
        <w:t xml:space="preserve">מאי ע' מן ער דאיהו בתוספת, דא עד"א דאתמר ביה עין יעקב כו' ביה כלילין, קול דודי דופק כו'. </w:t>
      </w:r>
      <w:r>
        <w:rPr>
          <w:rtl/>
        </w:rPr>
        <w:t>כמו שכתוב בהגהה, ולא גרסינן ועוד, ורוצה לומר דע' הוא עמודא דאמצעיתא דכליל ע' נפש, עין יעקב, ע' שמהן (הגהה: והן ע' אנפין, ואני, ס"א מסכתות, והן ד' דרגין, מצוות עשה ומצוות לא תעשה ותורה שבכתב ותורה שבעל פה, והוא כולל כל תרי"ג פקודין דימינא ושמאלא והוא ג' דרגין יה"ו, חג"ת דבה, והיא אורייתא דבעל פה דכלילא מכולא, והוא אני, והן ד' תיבות אני כו' בד' אתוון, ד' דרגין אלו, וקול דודי דופק הוא אתוון דדכורא דנקרא תורה חושבן תרי"א, לאשלמא תרי"ג אתכליל חו"ג דתמן י"ה, הרי דכליל יה"ו ובה ה' דבה אשתלים כנ"ל וזה שאומר דאתיהב כו' ובהון אשתלים כו' ה' תתאה כו':</w:t>
      </w:r>
    </w:p>
  </w:footnote>
  <w:footnote w:id="4800">
    <w:p w:rsidR="00A13282" w:rsidRDefault="00A13282" w:rsidP="0020255E">
      <w:pPr>
        <w:pStyle w:val="a5"/>
        <w:rPr>
          <w:rtl/>
        </w:rPr>
      </w:pPr>
      <w:r>
        <w:rPr>
          <w:rStyle w:val="a7"/>
          <w:rtl/>
        </w:rPr>
        <w:footnoteRef/>
      </w:r>
      <w:r>
        <w:rPr>
          <w:rtl/>
        </w:rPr>
        <w:t xml:space="preserve"> </w:t>
      </w:r>
      <w:r>
        <w:rPr>
          <w:b/>
          <w:bCs/>
          <w:rtl/>
        </w:rPr>
        <w:t xml:space="preserve">ועוד אני ישנה שני' ודאי לחכמה דאיהי יו"ד כד אתרחיק מינה רחימא דאיהו וא"ו ורזא כו'. </w:t>
      </w:r>
      <w:r>
        <w:rPr>
          <w:rtl/>
        </w:rPr>
        <w:t>רוצה לומר, ברזא דקרבן עולה ויורד היא שניה לה כזה יהה"ו כנ"ל וא"ו אתרחיק מינה אז ולכן היא ישנה וזה שאומר ורזא דמלה כו':</w:t>
      </w:r>
    </w:p>
  </w:footnote>
  <w:footnote w:id="4801">
    <w:p w:rsidR="00A13282" w:rsidRDefault="00A13282" w:rsidP="0020255E">
      <w:pPr>
        <w:pStyle w:val="a5"/>
        <w:rPr>
          <w:rtl/>
        </w:rPr>
      </w:pPr>
      <w:r>
        <w:rPr>
          <w:rStyle w:val="a7"/>
          <w:rtl/>
        </w:rPr>
        <w:footnoteRef/>
      </w:r>
      <w:r>
        <w:rPr>
          <w:rtl/>
        </w:rPr>
        <w:t xml:space="preserve"> </w:t>
      </w:r>
      <w:r>
        <w:rPr>
          <w:b/>
          <w:bCs/>
          <w:rtl/>
        </w:rPr>
        <w:t xml:space="preserve">כד איהו עם ו' דאיהו בן ו' ת' תפארת (אשתארת) ואיהי ה' עמי' בההוא זמנא דאות ו' איהו עם אימא ואיהו מרחק מינה אתמר בה אני ישנה ואיהי שניה לחכמה כו'. </w:t>
      </w:r>
      <w:r>
        <w:rPr>
          <w:rtl/>
        </w:rPr>
        <w:t>רוצה לומר דלכן אמר שמים בתבונה, דאז נקראת תבונה, ואמר הטעם דהוא אותיות בן ו' ת' ה', בן ו' ת' קאי על עמודא דאמצעיתא וה' על אמא דהיא עמיה, וזה שאומר ואיהי ה' עמיה רוצה לומר ה' עלאה, ואמר בההוא זמנא דאת ו' כו' ואת ו' מרחק מינה בשם הנ"ל וקאמר ג' כינויים לעמודא דאמצעיתא, בן - על דעת בן י"ה כמו שאומר לעיל בנבל בן לב, ועיין מה שבארנו שם ו' על ו"ק דעמודא דאמצעיתא, ת' על תפארת דכליל כל הו"ק, והן כלל ופרט וכלל, דכליל עמודא דאמצעיתא ועיין לעיל פ"ו ב', אלא דשם נכלל ביסוד וכאן בת"ת כידוע דבשניהם נכללו:</w:t>
      </w:r>
    </w:p>
  </w:footnote>
  <w:footnote w:id="4802">
    <w:p w:rsidR="00A13282" w:rsidRDefault="00A13282" w:rsidP="0020255E">
      <w:pPr>
        <w:pStyle w:val="a5"/>
        <w:rPr>
          <w:rtl/>
        </w:rPr>
      </w:pPr>
      <w:r>
        <w:rPr>
          <w:rStyle w:val="a7"/>
          <w:rtl/>
        </w:rPr>
        <w:footnoteRef/>
      </w:r>
      <w:r>
        <w:rPr>
          <w:rtl/>
        </w:rPr>
        <w:t xml:space="preserve"> </w:t>
      </w:r>
      <w:r>
        <w:rPr>
          <w:b/>
          <w:bCs/>
          <w:rtl/>
        </w:rPr>
        <w:t xml:space="preserve">ובג"ד אמר נביא כו'. </w:t>
      </w:r>
      <w:r>
        <w:rPr>
          <w:rtl/>
        </w:rPr>
        <w:t>דאוכיח לישראל כו' דאין בידם מעשים טובים לאחזרא הכל לאתריה דאל יתהלל כי אם כו':</w:t>
      </w:r>
    </w:p>
  </w:footnote>
  <w:footnote w:id="4803">
    <w:p w:rsidR="00A13282" w:rsidRDefault="00A13282" w:rsidP="0020255E">
      <w:pPr>
        <w:pStyle w:val="a5"/>
        <w:rPr>
          <w:rtl/>
        </w:rPr>
      </w:pPr>
      <w:r>
        <w:rPr>
          <w:rStyle w:val="a7"/>
          <w:rtl/>
        </w:rPr>
        <w:footnoteRef/>
      </w:r>
      <w:r>
        <w:rPr>
          <w:rtl/>
        </w:rPr>
        <w:t xml:space="preserve"> </w:t>
      </w:r>
      <w:r>
        <w:rPr>
          <w:b/>
          <w:bCs/>
          <w:rtl/>
        </w:rPr>
        <w:t xml:space="preserve">דתמן גבורה בצפון. </w:t>
      </w:r>
      <w:r>
        <w:rPr>
          <w:rtl/>
        </w:rPr>
        <w:t xml:space="preserve">רוצה לומר, חכם איהו יוד דנחית בימינא, וגבור הוא ה' זעירא שהיא עתה במקום גבורה שהוא בצפון, ועשיר הוא ה' עילאה ששם ברכת ה' היא תעשיר כמו שאומר לעיל תיקון נ”ה ושאר מקומות, והיא נקראת צפון כמו שאומר בפ' במדבר דהיא מקומה בצפון וזה שאומר </w:t>
      </w:r>
      <w:r>
        <w:rPr>
          <w:b/>
          <w:bCs/>
          <w:rtl/>
        </w:rPr>
        <w:t xml:space="preserve">בעשרו תמן לצפון כו'. </w:t>
      </w:r>
      <w:r>
        <w:rPr>
          <w:rtl/>
        </w:rPr>
        <w:t>והכל בשביל וא"ו שאינו במקומו ומרחק משכינתא תתאה כמו שמפרש והולך ואמר כי אם בזאת כו' שראשי תיבות יתהלל כו' הוא יהה"ו כמו שאומר לעיל ט' א' ובזה יתהלל וידוע אותי רוצה לומר לחבר כסדר כמו שכתוב אני ה', כסדר, והוא בב' דברים, א' השכל ובזה מתחברים חו"ב, וב' וידוע, (משלי ג ו) בכל דרכיך דעהו, לעשות לשמם, ובזה מתחברים זו"נ וכמו שאומר לעיל ע"ו ב' כלא אינון כבעירין כו' ואפילו כל אינון כו' עיין שם בדבריו ומה שכתבתי שם, ואמר שם האי רוח נשיב על אינון דמתעסקין באורייתא בגין שכינתא כו', ושם, ולא בעאן לאשתדלא בחכמת הקבלה דגרמין כו':</w:t>
      </w:r>
    </w:p>
  </w:footnote>
  <w:footnote w:id="4804">
    <w:p w:rsidR="00A13282" w:rsidRDefault="00A13282" w:rsidP="0020255E">
      <w:pPr>
        <w:pStyle w:val="a5"/>
        <w:rPr>
          <w:rtl/>
        </w:rPr>
      </w:pPr>
      <w:r>
        <w:rPr>
          <w:rStyle w:val="a7"/>
          <w:rtl/>
        </w:rPr>
        <w:footnoteRef/>
      </w:r>
      <w:r>
        <w:rPr>
          <w:rtl/>
        </w:rPr>
        <w:t xml:space="preserve"> </w:t>
      </w:r>
      <w:r>
        <w:rPr>
          <w:b/>
          <w:bCs/>
          <w:rtl/>
        </w:rPr>
        <w:t xml:space="preserve">הה"ד עצם כו'. </w:t>
      </w:r>
      <w:r>
        <w:rPr>
          <w:rtl/>
        </w:rPr>
        <w:t>כמו שאומר לעיל ל"ה א' ורזה דמלה עצם כו':</w:t>
      </w:r>
    </w:p>
  </w:footnote>
  <w:footnote w:id="4805">
    <w:p w:rsidR="00A13282" w:rsidRDefault="00A13282" w:rsidP="0020255E">
      <w:pPr>
        <w:pStyle w:val="a5"/>
        <w:rPr>
          <w:rtl/>
        </w:rPr>
      </w:pPr>
      <w:r>
        <w:rPr>
          <w:rStyle w:val="a7"/>
          <w:rtl/>
        </w:rPr>
        <w:footnoteRef/>
      </w:r>
      <w:r>
        <w:rPr>
          <w:rtl/>
        </w:rPr>
        <w:t xml:space="preserve"> </w:t>
      </w:r>
      <w:r>
        <w:rPr>
          <w:b/>
          <w:bCs/>
          <w:rtl/>
        </w:rPr>
        <w:t xml:space="preserve">ע"כ יעזוב כו'. </w:t>
      </w:r>
      <w:r>
        <w:rPr>
          <w:rtl/>
        </w:rPr>
        <w:t xml:space="preserve">שהיה עם אמו כנ"ל ויעזוב אביו שיהיה עם אמו: </w:t>
      </w:r>
    </w:p>
  </w:footnote>
  <w:footnote w:id="4806">
    <w:p w:rsidR="00A13282" w:rsidRDefault="00A13282" w:rsidP="0020255E">
      <w:pPr>
        <w:pStyle w:val="a5"/>
        <w:rPr>
          <w:rtl/>
        </w:rPr>
      </w:pPr>
      <w:r>
        <w:rPr>
          <w:rStyle w:val="a7"/>
          <w:rtl/>
        </w:rPr>
        <w:footnoteRef/>
      </w:r>
      <w:r>
        <w:rPr>
          <w:rtl/>
        </w:rPr>
        <w:t xml:space="preserve"> </w:t>
      </w:r>
      <w:r>
        <w:rPr>
          <w:b/>
          <w:bCs/>
          <w:rtl/>
        </w:rPr>
        <w:t xml:space="preserve">ודבק באשתו דא ו' דאתדביק באתתי' דאיהי ה' כו'. </w:t>
      </w:r>
      <w:r>
        <w:rPr>
          <w:rtl/>
        </w:rPr>
        <w:t>רוצה לומר, ודבק הוא ו' דבק:</w:t>
      </w:r>
    </w:p>
  </w:footnote>
  <w:footnote w:id="4807">
    <w:p w:rsidR="00A13282" w:rsidRDefault="00A13282" w:rsidP="0020255E">
      <w:pPr>
        <w:pStyle w:val="a5"/>
        <w:rPr>
          <w:rtl/>
        </w:rPr>
      </w:pPr>
      <w:r>
        <w:rPr>
          <w:rStyle w:val="a7"/>
          <w:rtl/>
        </w:rPr>
        <w:footnoteRef/>
      </w:r>
      <w:r>
        <w:rPr>
          <w:rtl/>
        </w:rPr>
        <w:t xml:space="preserve"> </w:t>
      </w:r>
      <w:r>
        <w:rPr>
          <w:b/>
          <w:bCs/>
          <w:rtl/>
        </w:rPr>
        <w:t xml:space="preserve">סליק באשא ורוחא ונחית כו'. </w:t>
      </w:r>
      <w:r>
        <w:rPr>
          <w:rtl/>
        </w:rPr>
        <w:t>עיין לעיל ל"ה א' ומה שכתבתי שם דאינון טבעם לעלות ואינון טבעם לירד, והטעם כי התבנותם היה יהה"ו מים ועפר ואש ורוח ואח"כ נתן הקב"ה בטבעם למים לירד (לאש) ולאש לעלות י' עם ה', וכן ברוח ועפר ו' עם ה' וכמו שאומר שם, ונשארו תמיד על זה הטבע, והיסודות הן כסדרן כמו שאומר בתורה בפ' בראשית שהמים הם למעלה אלא שעתה אנו חסרים מהמים ההם כמו שכתוב (ישעיהו מא יז) העניים והאביונים מבקשים מים כו' ולכן הוא בהיפך אבן מאסו כו' כמו שבארנו שם, ולעתיד לבוא יתגלו המים ההם (שם יח) אפתח על שפיים כו', (ישעיהו לה ו) כי נבקעו במדבר כו', (חבקוק ב יד, ישעיהו יא ט) כי תמלא הארץ דעה כו':</w:t>
      </w:r>
    </w:p>
  </w:footnote>
  <w:footnote w:id="4808">
    <w:p w:rsidR="00A13282" w:rsidRDefault="00A13282" w:rsidP="0020255E">
      <w:pPr>
        <w:pStyle w:val="a5"/>
        <w:rPr>
          <w:rtl/>
        </w:rPr>
      </w:pPr>
      <w:r>
        <w:rPr>
          <w:rStyle w:val="a7"/>
          <w:rtl/>
        </w:rPr>
        <w:footnoteRef/>
      </w:r>
      <w:r>
        <w:rPr>
          <w:rtl/>
        </w:rPr>
        <w:t xml:space="preserve"> </w:t>
      </w:r>
      <w:r>
        <w:rPr>
          <w:b/>
          <w:bCs/>
          <w:rtl/>
        </w:rPr>
        <w:t xml:space="preserve">ואינון מים קמץ כו'. </w:t>
      </w:r>
      <w:r>
        <w:rPr>
          <w:rtl/>
        </w:rPr>
        <w:t xml:space="preserve">שהן נקודין, באבותיך חש"ק כמו שאומר לעיל ק"ז א' עיין שם ואמר </w:t>
      </w:r>
      <w:r>
        <w:rPr>
          <w:b/>
          <w:bCs/>
          <w:rtl/>
        </w:rPr>
        <w:t xml:space="preserve">שורק כו'. </w:t>
      </w:r>
      <w:r>
        <w:rPr>
          <w:rtl/>
        </w:rPr>
        <w:t xml:space="preserve">רוצה לומר שורק בוא"ו שקורין מלאפום והוא רגל הרביעי, (דברים י טו) ויבחר בזרעם אחריהם כמו שאומר בפ' ואתחנן, והוא (ויקרא כו מב) וזכרתי את כו' והארץ אזכור, ואמר </w:t>
      </w:r>
      <w:r>
        <w:rPr>
          <w:b/>
          <w:bCs/>
          <w:rtl/>
        </w:rPr>
        <w:t xml:space="preserve">עפר מאנא דכולהו. </w:t>
      </w:r>
      <w:r>
        <w:rPr>
          <w:rtl/>
        </w:rPr>
        <w:t>דכל ג' היסודין פועלים בה כמו שאומר בריש פ' וארא, וכן נכללין בה, והן ד' יסודות כסדר:</w:t>
      </w:r>
    </w:p>
  </w:footnote>
  <w:footnote w:id="4809">
    <w:p w:rsidR="00A13282" w:rsidRDefault="00A13282" w:rsidP="0020255E">
      <w:pPr>
        <w:pStyle w:val="a5"/>
        <w:rPr>
          <w:rtl/>
        </w:rPr>
      </w:pPr>
      <w:r>
        <w:rPr>
          <w:rStyle w:val="a7"/>
          <w:rtl/>
        </w:rPr>
        <w:footnoteRef/>
      </w:r>
      <w:r>
        <w:rPr>
          <w:rtl/>
        </w:rPr>
        <w:t xml:space="preserve"> </w:t>
      </w:r>
      <w:r>
        <w:rPr>
          <w:b/>
          <w:bCs/>
          <w:rtl/>
        </w:rPr>
        <w:t xml:space="preserve">חרק י"א חירק כו' שורק כו'. </w:t>
      </w:r>
      <w:r>
        <w:rPr>
          <w:rtl/>
        </w:rPr>
        <w:t>דתרי חירק הן, תנועה גדולה ותנועה קטנה, עם יו"ד ובלא יו"ד, וכן הוא באתוון חרק חירק. וכן הוא בשורק, ועפרא הוא שורק ביו"ד שהוא תנועה אחרונה, וכפי החשבון ב' חיריק הן עשר נקודות כמו שאמרו המדקדקים [הגהה: וכן הוא בתיקוני זוהר חדש ע"ד ד'] אלא שבמקום קמץ קטן כתב שבא והיא שורק נקודה העשירית, ואמר קמץ דאיהו מים כו' כמה דאוקמוהו כו' לראיה דהן בימינא וזה שאומר הרוצה להחכים ידרים - יתקן ה' עלאה לגבי יו"ד, הרוצה להעשיר יצפין - יתקן ה' תתאה לגבי וא"ו, ואף שצריך לתקן הכל מכל מקום עיקר מסעו היא לדרום כמו שאמרו דאברהם תיקן מדת הדרום ויצחק צפון כו', ואמר ומאי שמה דא משה רוצה לומר באתוון ורוצה לומר דהוא קול דודי דופק ועל ידו יתוקן הכל כמו שאומר לעיל סוף תיקון כ”ה ואמר הולך אל דרום כו' רוצה לומר הולך ה' עלאה אל דרום וסובב ה' תתאה אל צפון ואמר דאתמר ביה הולך כו' רוצה לומר במשה דהוא רוחא ועל ידו סובב סובב הולך הרוח בדפיקין דגופא ועיין לעיל סוף תיקון כ”ה עד דייתי רעיא מהימנא רחימו דילה כו' מיד חזרת רוחא ודפיקו לגבה ואמר סלקין ד' דפיקין לעשרה כו', דכל את נתמלא כמו שמפרש והולך ועיין רעיא מהימנא נתמלא דהוא אדם כי יקריב, שמא מפרש דהוא קריבו דאתוון כנ"ל מאי אדם דא כו' והוא דרגיה דמשה כידוע והוא הדעת דמייחד הכל וידוע אותי כנ"ל וזהו מה שאומר למעלה ואינון י"ה בימינא כו' ה' דאיהי כו' נחית לשמאלא כו', לפרש הקרא הולך אל דרום כו', ואמר כל נביאיא מתנהגין כו' רוצה לומר שכתוב אל אשר יהיה שמה הרוח, דהוא משה, שם ללכת ילכו כל הנביאים אחריו, והוא הרוח, רוח אלקים מרחפת, והוא הרוח שאמר בקרא הולך אל דרום כו' כנ"ל דפשטא דקרא קאי על הרוחות והן ד' רוחות בד' דפיקין, מארבע הרוחות בואי הרוח, הולך אל דרום - חצי לילה הראשונה, סובב אל צפון - חצי לילה אחרונה, רוח צפונית דנשיב בכנור, סובב סובב כו' - מזרח ומערב בב' חצאי היום כמו שאומר בזוהר חדש פ' בראשית י"ג ד', ולזה שאיל ומאן סליק בקדמיתא, דקרא כתיב קודם אל דרום דהן י"ה לימינא כנ"ל, ומשני אע"ג דהחזרה הוא לדרום קודם מכל מקום הזיווג אינו אלא כד אחזיר לצפון, וה' (א.ה. והרי?) דבחצי לילה הראשונה אין זיווג, ובפלגות לילה דהצדיקים שבעולם הזה קמים לזווג ירושלים דלתתא שהן אפריון אז הקב"ה עייל לגן עדן להשתעשע בצדיקים דגן עדן באפרסמון, שהן צפון ודרום, עולם הזה ועולם הבא, כמו שאומר בריש פ' תרומה, וזהו דלא עייל כו' וכמו שכתוב (שה"ש ח יג) היושבת בגנים חברים מקשיבים לקולך השמעני שהם ממתינים על הצדיקים שבעולם הזה, וכן מלאכי השרת בקדושה ממתינין על ישראל, וזה שאומר ועוד אני כו' רוח צפונית כו' ורוח דרומית כו' גם כן קאי על האי קרא הולך אל דרום כו':</w:t>
      </w:r>
    </w:p>
  </w:footnote>
  <w:footnote w:id="4810">
    <w:p w:rsidR="00A13282" w:rsidRDefault="00A13282" w:rsidP="0020255E">
      <w:pPr>
        <w:pStyle w:val="a5"/>
        <w:rPr>
          <w:rtl/>
        </w:rPr>
      </w:pPr>
      <w:r>
        <w:rPr>
          <w:rStyle w:val="a7"/>
          <w:rtl/>
        </w:rPr>
        <w:footnoteRef/>
      </w:r>
      <w:r>
        <w:rPr>
          <w:rtl/>
        </w:rPr>
        <w:t xml:space="preserve"> </w:t>
      </w:r>
      <w:r>
        <w:rPr>
          <w:b/>
          <w:bCs/>
          <w:rtl/>
        </w:rPr>
        <w:t xml:space="preserve">אדהכי הא סבא כו' לארבע סטרין. </w:t>
      </w:r>
      <w:r>
        <w:rPr>
          <w:rtl/>
        </w:rPr>
        <w:t xml:space="preserve">כנ"ל וכמו שמפרש והולך הה"ד מארבע כו'. ואמר </w:t>
      </w:r>
      <w:r>
        <w:rPr>
          <w:b/>
          <w:bCs/>
          <w:rtl/>
        </w:rPr>
        <w:t xml:space="preserve">מסטרא דאויר כו'. </w:t>
      </w:r>
      <w:r>
        <w:rPr>
          <w:rtl/>
        </w:rPr>
        <w:t>מפרש ד' איכיות, לח ויבש קר וחם, מסטרא דאמצעיתא - לח, וימינא - קר, ושמאלא - חם, וארץ - יבש, והכל בשכינה, אלא מסטרא דימינא לח כו' כנ"ל וזה שאומר מסטרא כו' מסטרא כו' והם ד' יסודות אע"ג דבכל אחד ב' איכיות מכל מקום אלו הם עיקרים ופועלים יותר, דאויר רכותו נרגש שהוא ספוגי והכל נכנסין בו לח מאד יותר מהמים אין ספוגי כמוהו, וארץ יבש מאד שאין דבר בעולם נכנס בו בלא חפירה והוא יבש מכל, אבל איכיות הקר והחם אינם נרגשים כל כך, והאש נרגש חמימותו יותר מיבשותו שהוא שורף למרחוק, וכן המים מקררין למרחוק מאד שכל הקרירות שלנו הכל מהמים שבימים והכפור שנולד מהאדים שבימים:</w:t>
      </w:r>
    </w:p>
  </w:footnote>
  <w:footnote w:id="4811">
    <w:p w:rsidR="00A13282" w:rsidRDefault="00A13282" w:rsidP="0020255E">
      <w:pPr>
        <w:pStyle w:val="a5"/>
        <w:rPr>
          <w:rtl/>
        </w:rPr>
      </w:pPr>
      <w:r>
        <w:rPr>
          <w:rStyle w:val="a7"/>
          <w:rtl/>
        </w:rPr>
        <w:footnoteRef/>
      </w:r>
      <w:r>
        <w:rPr>
          <w:rtl/>
        </w:rPr>
        <w:t xml:space="preserve"> </w:t>
      </w:r>
      <w:r>
        <w:rPr>
          <w:b/>
          <w:bCs/>
          <w:rtl/>
        </w:rPr>
        <w:t xml:space="preserve">בגין דאויר קדמאה כו'. </w:t>
      </w:r>
      <w:r>
        <w:rPr>
          <w:rtl/>
        </w:rPr>
        <w:t>רוצה לומר שכל עשר ספירות כלילין בד', ג' פעמים ג' והיא רביעית ועשירית לון, והן ארבע רוחות לד' סטרן, והוא סוד שם י"ב ועיין בתיקוני זוהר חדש ע"ג ג' ותשע ספירין אינון משולשים כו' ושם ע"ח ג' וכלהו אתרמיזו בהוויין כגוונא דא כו', והן ד' דפיקין דסלקין לעשר, ד' סטרין והן עשר וזה שאומר והא אינון ארבע כו' כגוונא דא כו', ולפי שהוד ניתן למלכות, שלכן כד שכינתא בגלותא ותקע כף ירך יעקב, כל היום דו"ה, וכד קיימא באשלמותא ניתן לשלמה הוד מלכות וכן למשיח לכן ה"א ראשונה ואחרונה ב' אתוון.</w:t>
      </w:r>
    </w:p>
  </w:footnote>
  <w:footnote w:id="4812">
    <w:p w:rsidR="00A13282" w:rsidRDefault="00A13282" w:rsidP="0020255E">
      <w:pPr>
        <w:pStyle w:val="a5"/>
        <w:rPr>
          <w:rtl/>
        </w:rPr>
      </w:pPr>
      <w:r>
        <w:rPr>
          <w:rStyle w:val="a7"/>
          <w:rtl/>
        </w:rPr>
        <w:footnoteRef/>
      </w:r>
      <w:r>
        <w:rPr>
          <w:rtl/>
        </w:rPr>
        <w:t xml:space="preserve"> </w:t>
      </w:r>
      <w:r>
        <w:rPr>
          <w:b/>
          <w:bCs/>
          <w:rtl/>
        </w:rPr>
        <w:t xml:space="preserve">ולתתא מיכאל כו'. </w:t>
      </w:r>
      <w:r>
        <w:rPr>
          <w:rtl/>
        </w:rPr>
        <w:t>דהן ארבעה יסודין, ארבע רוחות כמו שאומר לעיל ל"ה א':</w:t>
      </w:r>
    </w:p>
  </w:footnote>
  <w:footnote w:id="4813">
    <w:p w:rsidR="00A13282" w:rsidRDefault="00A13282" w:rsidP="0020255E">
      <w:pPr>
        <w:pStyle w:val="a5"/>
        <w:rPr>
          <w:rtl/>
        </w:rPr>
      </w:pPr>
      <w:r>
        <w:rPr>
          <w:rStyle w:val="a7"/>
          <w:rtl/>
        </w:rPr>
        <w:footnoteRef/>
      </w:r>
      <w:r>
        <w:rPr>
          <w:rtl/>
        </w:rPr>
        <w:t xml:space="preserve"> </w:t>
      </w:r>
      <w:r>
        <w:rPr>
          <w:b/>
          <w:bCs/>
          <w:rtl/>
        </w:rPr>
        <w:t xml:space="preserve">הה"ד רוח כו'. </w:t>
      </w:r>
      <w:r>
        <w:rPr>
          <w:rtl/>
        </w:rPr>
        <w:t>הוא לראיה להנ"ל דדפיקו דילה מארבע רוחין, דד' רוחין כאן והוא רוחא דיתער לגבה, רוחו של משיח כמו שאומר לעיל ע"ו ב':</w:t>
      </w:r>
    </w:p>
  </w:footnote>
  <w:footnote w:id="4814">
    <w:p w:rsidR="00A13282" w:rsidRDefault="00A13282" w:rsidP="0020255E">
      <w:pPr>
        <w:pStyle w:val="a5"/>
        <w:rPr>
          <w:rtl/>
        </w:rPr>
      </w:pPr>
      <w:r>
        <w:rPr>
          <w:rStyle w:val="a7"/>
          <w:rtl/>
        </w:rPr>
        <w:footnoteRef/>
      </w:r>
      <w:r>
        <w:rPr>
          <w:rtl/>
        </w:rPr>
        <w:t xml:space="preserve"> </w:t>
      </w:r>
      <w:r>
        <w:rPr>
          <w:b/>
          <w:bCs/>
          <w:rtl/>
        </w:rPr>
        <w:t xml:space="preserve">רוח ה' דא אויר כו'. </w:t>
      </w:r>
      <w:r>
        <w:rPr>
          <w:rtl/>
        </w:rPr>
        <w:t>מפרש והולך הקרא דכלילן ביה עשר ספירות דד' רוחין סלקין לעשר כנ"ל אלא שכאן הוא בענין אחר כמו שמפרש והולך ואמר דא אוירא קדמאה דהוא סתם רוח דהוא רוח אויר ואע"ג דכל קו אמצעי הוא אויר מכל מקום הוא אויר הראשון, שורש לכל רוח וכן אמר באדרא רבה שהוא רוח דעתיקא קדישא:</w:t>
      </w:r>
    </w:p>
  </w:footnote>
  <w:footnote w:id="4815">
    <w:p w:rsidR="00A13282" w:rsidRDefault="00A13282" w:rsidP="0020255E">
      <w:pPr>
        <w:pStyle w:val="a5"/>
        <w:rPr>
          <w:rtl/>
        </w:rPr>
      </w:pPr>
      <w:r>
        <w:rPr>
          <w:rStyle w:val="a7"/>
          <w:rtl/>
        </w:rPr>
        <w:footnoteRef/>
      </w:r>
      <w:r>
        <w:rPr>
          <w:rtl/>
        </w:rPr>
        <w:t xml:space="preserve"> </w:t>
      </w:r>
      <w:r>
        <w:rPr>
          <w:b/>
          <w:bCs/>
          <w:rtl/>
        </w:rPr>
        <w:t xml:space="preserve">רוח עצה כו'. </w:t>
      </w:r>
      <w:r>
        <w:rPr>
          <w:rtl/>
        </w:rPr>
        <w:t>עצה הוא השקאה כמו שאומר בפ' צו ל"א א' יועץ דא נהר כו' ואשקי לכולא. והענין, שהיועץ, הכל ניזונים וחיים ומתנהגים בעצתו, וכן נקראים כליות יועצות שהן אפיקי מים, והכל מצד הנהר, מימי החסד דאשקי לכלא, ונקראת בינה - יועץ, בשם התואר, שיועץ תמיד דלא פסיק, ונהר יוצא מעדן אשר לא יכזבו מימיו, והחסד - עצה, שם המקרה, כי המים הוא העצה כנ"ל וכמו שכתוב (משלי כ ה) מים עמוקים עצה בלב איש ואיש תבונה ידלנה, כי השותה המים אלו יחכם שהם מסטרא דחכמה דהיא בימינא, הרוצה להחכים ידרים, ולכן (משלי יב טו) ושומע לעצה חכם, (משלי יג י) ואת נועצים חכמה:</w:t>
      </w:r>
    </w:p>
  </w:footnote>
  <w:footnote w:id="4816">
    <w:p w:rsidR="00A13282" w:rsidRDefault="00A13282" w:rsidP="0020255E">
      <w:pPr>
        <w:pStyle w:val="a5"/>
        <w:rPr>
          <w:rtl/>
        </w:rPr>
      </w:pPr>
      <w:r>
        <w:rPr>
          <w:rStyle w:val="a7"/>
          <w:rtl/>
        </w:rPr>
        <w:footnoteRef/>
      </w:r>
      <w:r>
        <w:rPr>
          <w:rtl/>
        </w:rPr>
        <w:t xml:space="preserve"> </w:t>
      </w:r>
      <w:r>
        <w:rPr>
          <w:b/>
          <w:bCs/>
          <w:rtl/>
        </w:rPr>
        <w:t xml:space="preserve">רוח דעת כו'. </w:t>
      </w:r>
      <w:r>
        <w:rPr>
          <w:rtl/>
        </w:rPr>
        <w:t xml:space="preserve">כמו שאומר לעיל מ"ג א' ושאר מקומות, דדעת הוא תפארת, וכן יראת ה' ידוע, והנה ג' נה"י נכללין לעולם בחג"ת ולכן נכללין בד' רוחין אלו, אלא שבאלו ג' מתנהג העולם שחג"ת הוא בהעלם מדותיו של הקב"ה, כי טוב, וכאן - כי לעולם חסדו, ועיין מה שאומר לעיל ק"ה ב' בענין ז' הבלים ומה שכתבתי במקום אחר בענין העשר ספירות ולכן נאמר בהן (ישעיהו יא ג) והריחו ביראת ה', שריחו יוצא למרחוק, שמורה צדק, וכמו שמפרש והולך (שם ד) ושפט בצדק כו', ואמר ביראת ה' שאלו ג' הן דרגין דמלכות, יראת ה' כידוע וזה שאומר </w:t>
      </w:r>
      <w:r>
        <w:rPr>
          <w:b/>
          <w:bCs/>
          <w:rtl/>
        </w:rPr>
        <w:t>דא ריח ניחוח ומאי ריח ניחוח דא צדיק כו'.</w:t>
      </w:r>
      <w:r>
        <w:rPr>
          <w:rtl/>
        </w:rPr>
        <w:t xml:space="preserve"> כן צריך לומר, וכן הוא בספרים אחרים וכמו שמפרש והולך דביה נייחא כו' ועיין בסוף פ’ נח בארוכה, וצדיק כולל נו"ה ועיין בסוף תיקוני זוהר חדש ו' נצח דאזלא תדיר כו' דקטורת בוסמין כו' ריחא כו' וכמו שמפרש והולך דבריח ניחוח נכלל נו"ה שנאמר שם אשה לה' וכמו שמפרש והולך אשי ה' כו' סמכוני כו' על כן באורים, ועיין לקמן קמ"ב א' ואלין אינון תרין כו' ועלייהו איתמר סמכוני כו' ומאי ניהו למודי ה', תרין שפוון דאקרון להבות אש ואינון תרין תפוחים כו', וזה שאומר וריח אפך כתפוחים, לראיה דאינון נקראים ריח וכמו שאומר שם תרין נוקבין דחוטמא אינון לקבל תרין תפוחים דאינון תרין נביאי קשוט, ומביא ראיה שהן נקראים תפוחים שנאמר תפוחי זהב שהן כרובים זהב מסטרא דשמאלא שהן דינין מצד עצמם אבל הן אפיקי מים, חסדי דוד הנאמנים וזהו במשכיות כסף והכל לראיה דנכללין נה"י בוהריחו ונכללין ביראת ה' כנ"ל:</w:t>
      </w:r>
    </w:p>
  </w:footnote>
  <w:footnote w:id="4817">
    <w:p w:rsidR="00A13282" w:rsidRDefault="00A13282" w:rsidP="0020255E">
      <w:pPr>
        <w:pStyle w:val="a5"/>
        <w:rPr>
          <w:rtl/>
        </w:rPr>
      </w:pPr>
      <w:r>
        <w:rPr>
          <w:rStyle w:val="a7"/>
          <w:rtl/>
        </w:rPr>
        <w:footnoteRef/>
      </w:r>
      <w:r>
        <w:rPr>
          <w:rtl/>
        </w:rPr>
        <w:t xml:space="preserve"> </w:t>
      </w:r>
      <w:r>
        <w:rPr>
          <w:b/>
          <w:bCs/>
          <w:rtl/>
        </w:rPr>
        <w:t xml:space="preserve">ואינון תרי אופני כו'. </w:t>
      </w:r>
      <w:r>
        <w:rPr>
          <w:rtl/>
        </w:rPr>
        <w:t>רוצה לומר זה שאומר בסיפא דקרא הנ"ל (משלי כה יא) דבר דבור על אופניו, ונקרא אופני המרכבה, דמלכות נקראת מרכבה כמו שאומר למטה מרכבה דכלא שכינה:</w:t>
      </w:r>
    </w:p>
  </w:footnote>
  <w:footnote w:id="4818">
    <w:p w:rsidR="00A13282" w:rsidRDefault="00A13282" w:rsidP="0020255E">
      <w:pPr>
        <w:pStyle w:val="a5"/>
        <w:rPr>
          <w:rtl/>
        </w:rPr>
      </w:pPr>
      <w:r>
        <w:rPr>
          <w:rStyle w:val="a7"/>
          <w:rtl/>
        </w:rPr>
        <w:footnoteRef/>
      </w:r>
      <w:r>
        <w:rPr>
          <w:rtl/>
        </w:rPr>
        <w:t xml:space="preserve"> </w:t>
      </w:r>
      <w:r>
        <w:rPr>
          <w:b/>
          <w:bCs/>
          <w:rtl/>
        </w:rPr>
        <w:t xml:space="preserve">שרפים תרין כו'. </w:t>
      </w:r>
      <w:r>
        <w:rPr>
          <w:rtl/>
        </w:rPr>
        <w:t>רוצה לומר בכולם מיעוט לשון רבים שנים ואע"ג דאופנים הם ארבעה, כתיב (יחזקאל א טז) כאשר יהיה האופן בתוך האופן, והם שנים לבד וכן הוא בחיות ועיין בהיכלות פ"פ, ואמר שרפים הם דרועין שנאמר ממעל לו למעלה מהוי"ה ת"ת:</w:t>
      </w:r>
    </w:p>
  </w:footnote>
  <w:footnote w:id="4819">
    <w:p w:rsidR="00A13282" w:rsidRDefault="00A13282" w:rsidP="0020255E">
      <w:pPr>
        <w:pStyle w:val="a5"/>
        <w:rPr>
          <w:rtl/>
        </w:rPr>
      </w:pPr>
      <w:r>
        <w:rPr>
          <w:rStyle w:val="a7"/>
          <w:rtl/>
        </w:rPr>
        <w:footnoteRef/>
      </w:r>
      <w:r>
        <w:rPr>
          <w:rtl/>
        </w:rPr>
        <w:t xml:space="preserve"> </w:t>
      </w:r>
      <w:r>
        <w:rPr>
          <w:b/>
          <w:bCs/>
          <w:rtl/>
        </w:rPr>
        <w:t xml:space="preserve">בגין דאינון שית כו' כלילא מארבע רוחין ודא כו'. </w:t>
      </w:r>
      <w:r>
        <w:rPr>
          <w:rtl/>
        </w:rPr>
        <w:t xml:space="preserve">רוצה לומר שרוחא דקודשא דנשיב הוא ד"ו פרצופים, דרוח בעצמו הוא ו', וכלילותו מד' רוחין הוא ד', ואמר </w:t>
      </w:r>
      <w:r>
        <w:rPr>
          <w:b/>
          <w:bCs/>
          <w:rtl/>
        </w:rPr>
        <w:t xml:space="preserve">דאינון ה' דנפיק כו' </w:t>
      </w:r>
      <w:r>
        <w:rPr>
          <w:rtl/>
        </w:rPr>
        <w:t xml:space="preserve">רוצה לומר ה' דהבל, מלב, הוא בינה דכליל ד"ו פרצופים והוא הכסא בעצמו שהוא ה', וד"ו פרצופים דילה הן הנ"ל שהן ד' רגלין ושית דרגין ואמר </w:t>
      </w:r>
      <w:r>
        <w:rPr>
          <w:b/>
          <w:bCs/>
          <w:rtl/>
        </w:rPr>
        <w:t xml:space="preserve">דמתמן כל נשמתין בארח אצילות </w:t>
      </w:r>
      <w:r>
        <w:rPr>
          <w:rtl/>
        </w:rPr>
        <w:t xml:space="preserve">רוצה לומר דנר"ן הוא מג' עלמין בי"ע, ואית נר"ן מג' דרגין דאצילות דמקננין בבי"ע וכמו שאומר בריש פ' משפטים והן אלו, הכסא - בינה, וד"ו פרצופים הנ"ל - זו"נ, ומפרש והולך </w:t>
      </w:r>
      <w:r>
        <w:rPr>
          <w:b/>
          <w:bCs/>
          <w:rtl/>
        </w:rPr>
        <w:t xml:space="preserve">דשכינתא עילאה כו'. </w:t>
      </w:r>
      <w:r>
        <w:rPr>
          <w:rtl/>
        </w:rPr>
        <w:t>ורוצה לומר דהיא מרום מראשון, דראשון הוא מלכות, בראשית, (תהלים קיא י) ראשית חכמה יראת ה', והיא מקום מקדשנו (ירמיהו יז יב), והוא הדום רגליו של כסא כמו שאמרו (חגיגה יד ע"א) אחד לכסא ואחד לשרפרף, והן ב' כסאות דאמר ברעיא מהימנא ריש פ' נשא, והן אחד:</w:t>
      </w:r>
    </w:p>
  </w:footnote>
  <w:footnote w:id="4820">
    <w:p w:rsidR="00A13282" w:rsidRDefault="00A13282" w:rsidP="0020255E">
      <w:pPr>
        <w:pStyle w:val="a5"/>
        <w:rPr>
          <w:rtl/>
        </w:rPr>
      </w:pPr>
      <w:r>
        <w:rPr>
          <w:rStyle w:val="a7"/>
          <w:rtl/>
        </w:rPr>
        <w:footnoteRef/>
      </w:r>
      <w:r>
        <w:rPr>
          <w:rtl/>
        </w:rPr>
        <w:t xml:space="preserve"> </w:t>
      </w:r>
      <w:r>
        <w:rPr>
          <w:b/>
          <w:bCs/>
          <w:rtl/>
        </w:rPr>
        <w:t>ובהון ה"ה ו' אתלבש כו'.</w:t>
      </w:r>
      <w:r>
        <w:rPr>
          <w:rtl/>
        </w:rPr>
        <w:t xml:space="preserve"> רוצה לומר, באלו ב' כסאות שהן כסא והדום רגליו הוא ה"ה, ו' אתלביש בשית דרגין, ויו"ד בעשר גלגלי הכסא, והוא כל שם הוי"ה דאתלבש בכסא, וכן אלף דכתר שהוא שורש כולם, כן הוא גם כן אדם על הכסא והוא שמא מפרש:</w:t>
      </w:r>
    </w:p>
  </w:footnote>
  <w:footnote w:id="4821">
    <w:p w:rsidR="00A13282" w:rsidRDefault="00A13282" w:rsidP="0020255E">
      <w:pPr>
        <w:pStyle w:val="a5"/>
        <w:rPr>
          <w:rtl/>
        </w:rPr>
      </w:pPr>
      <w:r>
        <w:rPr>
          <w:rStyle w:val="a7"/>
          <w:rtl/>
        </w:rPr>
        <w:footnoteRef/>
      </w:r>
      <w:r>
        <w:rPr>
          <w:rtl/>
        </w:rPr>
        <w:t xml:space="preserve"> </w:t>
      </w:r>
      <w:r>
        <w:rPr>
          <w:b/>
          <w:bCs/>
          <w:rtl/>
        </w:rPr>
        <w:t xml:space="preserve">ה' זעירא איהו לימינא כו'. </w:t>
      </w:r>
      <w:r>
        <w:rPr>
          <w:rtl/>
        </w:rPr>
        <w:t>חוזר לענין ראשון לפרש עולה ויורד - בגלותא ובפורקנא, שיחזור להתחבר אלא שלמעלה ל"ד ב' אמר די"ה אינון לימינא, ו"ה לשמאלא, וכאן אמר להיפך וזה שכתוב (בראשית מח יד) שכל את ידיו לעשות להיפך דימינא לשמאלא ודשמאלא לימינא, והוא בעת קיבוץ גליות דקיבוץ צריך להיות להיפוך בגין דהגלות בעשו ואדום הוא גם כן להיפוך, עשו לימינא וישמעאל לשמאלא, וכמו שאומר ברעיא מהימנא:</w:t>
      </w:r>
    </w:p>
  </w:footnote>
  <w:footnote w:id="4822">
    <w:p w:rsidR="00A13282" w:rsidRDefault="00A13282" w:rsidP="0020255E">
      <w:pPr>
        <w:pStyle w:val="a5"/>
        <w:rPr>
          <w:rtl/>
        </w:rPr>
      </w:pPr>
      <w:r>
        <w:rPr>
          <w:rStyle w:val="a7"/>
          <w:rtl/>
        </w:rPr>
        <w:footnoteRef/>
      </w:r>
      <w:r>
        <w:rPr>
          <w:rtl/>
        </w:rPr>
        <w:t xml:space="preserve"> </w:t>
      </w:r>
      <w:r>
        <w:rPr>
          <w:b/>
          <w:bCs/>
          <w:rtl/>
        </w:rPr>
        <w:t xml:space="preserve">נטיר לה. </w:t>
      </w:r>
      <w:r>
        <w:rPr>
          <w:rtl/>
        </w:rPr>
        <w:t>כמו שאומר לעיל ל"ה א' ואביו שמר כו':</w:t>
      </w:r>
    </w:p>
  </w:footnote>
  <w:footnote w:id="4823">
    <w:p w:rsidR="00A13282" w:rsidRDefault="00A13282" w:rsidP="0020255E">
      <w:pPr>
        <w:pStyle w:val="a5"/>
        <w:rPr>
          <w:rtl/>
        </w:rPr>
      </w:pPr>
      <w:r>
        <w:rPr>
          <w:rStyle w:val="a7"/>
          <w:rtl/>
        </w:rPr>
        <w:footnoteRef/>
      </w:r>
      <w:r>
        <w:rPr>
          <w:rtl/>
        </w:rPr>
        <w:t xml:space="preserve"> </w:t>
      </w:r>
      <w:r>
        <w:rPr>
          <w:b/>
          <w:bCs/>
          <w:rtl/>
        </w:rPr>
        <w:t xml:space="preserve">אשא דבלבא ו' רוחא כו'. </w:t>
      </w:r>
      <w:r>
        <w:rPr>
          <w:rtl/>
        </w:rPr>
        <w:t xml:space="preserve">רוצה לומר כנ"ל דהן עולה ויורד, ומפרש הטעם למה היא אצל אביה והוא אצל אמו, ומפרש, היא - למנטר לה, דבגלותא היא בת הקטנה ושדים אין לה והיא ברשות אביה, והוא אצל אימא למנשב לה רוחא, ובעא מינה דלא כו', ועיין בזוהר פ' פנחס רל"ד א' וברעיא מהימנא שם, ואמר </w:t>
      </w:r>
      <w:r>
        <w:rPr>
          <w:b/>
          <w:bCs/>
          <w:rtl/>
        </w:rPr>
        <w:t xml:space="preserve">ומאריך רוגזאה, </w:t>
      </w:r>
      <w:r>
        <w:rPr>
          <w:rtl/>
        </w:rPr>
        <w:t xml:space="preserve">דוא"ו הוא אריך אנפין, ועיין בזוהר שם לב דא איהו נורא דדליק, ואלמלא דזמין לגביה מלכא עילאה, כנפי ריאה דאייתי לקמיה רוחא מרוחא דנשיב מגו בוסמין עילאין, הוא אוקיד לעלמא כו', ורוצה לומר מעתיקא קדישא דרוחא נשיב ביה כנ"ל קט"ו ב' בגין דאויר קדמאה נטיל בעמודא דאמצעיתא, ואימא היא לשמאלא בחמימו סגי כנ"ל ובזמן שהיא מקרבא בבעלה דהוא מים בקרירו היא נתקררה אבל בגין דמרחקה מבעלה לכן ו' רוחא דנשיב כו' </w:t>
      </w:r>
      <w:r>
        <w:rPr>
          <w:b/>
          <w:bCs/>
          <w:rtl/>
        </w:rPr>
        <w:t xml:space="preserve">ולזמנא דייתי פורקנא כו. </w:t>
      </w:r>
      <w:r>
        <w:rPr>
          <w:rtl/>
        </w:rPr>
        <w:t xml:space="preserve">ו' אזיל לימינא להתחבר לה"א תתאה, ויו"ד הולך לשמאלא לה"א עילאה, ואמר כאן </w:t>
      </w:r>
      <w:r>
        <w:rPr>
          <w:b/>
          <w:bCs/>
          <w:rtl/>
        </w:rPr>
        <w:t xml:space="preserve">לסמכא </w:t>
      </w:r>
      <w:r>
        <w:rPr>
          <w:rtl/>
        </w:rPr>
        <w:t xml:space="preserve">וכאן </w:t>
      </w:r>
      <w:r>
        <w:rPr>
          <w:b/>
          <w:bCs/>
          <w:rtl/>
        </w:rPr>
        <w:t>לזקפא</w:t>
      </w:r>
      <w:r>
        <w:rPr>
          <w:rtl/>
        </w:rPr>
        <w:t xml:space="preserve"> כמו שכתוב (תהלים קמה יד) סומך ה' לכל הנופלים, (עמוס ט יא) סוכת דוד הנופלת, (תהלים שם) וזוקף לכל הכפופים:</w:t>
      </w:r>
    </w:p>
  </w:footnote>
  <w:footnote w:id="4824">
    <w:p w:rsidR="00A13282" w:rsidRDefault="00A13282" w:rsidP="0020255E">
      <w:pPr>
        <w:pStyle w:val="a5"/>
        <w:rPr>
          <w:rtl/>
        </w:rPr>
      </w:pPr>
      <w:r>
        <w:rPr>
          <w:rStyle w:val="a7"/>
          <w:rtl/>
        </w:rPr>
        <w:footnoteRef/>
      </w:r>
      <w:r>
        <w:rPr>
          <w:rtl/>
        </w:rPr>
        <w:t xml:space="preserve"> </w:t>
      </w:r>
      <w:r>
        <w:rPr>
          <w:b/>
          <w:bCs/>
          <w:rtl/>
        </w:rPr>
        <w:t xml:space="preserve">ורזא דמלה יעקב בהאי כו'. </w:t>
      </w:r>
      <w:r>
        <w:rPr>
          <w:rtl/>
        </w:rPr>
        <w:t xml:space="preserve">רוצה לומר, עמודא דאמצעיתא, ימינא דיליה בריך לקטן, ה' זעירא, (בראשית כט יח) בתך הקטנה, ובשמאלא - לגדול, (שם טז) ושם הגדולה כו', וישתנה אז סדר העולם, ואז המשכילים יבינו שהיא עת הגאולה, וזה שאומר </w:t>
      </w:r>
      <w:r>
        <w:rPr>
          <w:b/>
          <w:bCs/>
          <w:rtl/>
        </w:rPr>
        <w:t xml:space="preserve">לחכימיא ברמיזא </w:t>
      </w:r>
      <w:r>
        <w:rPr>
          <w:rtl/>
        </w:rPr>
        <w:t>ורוצה לומר שזה שאומר שכל - זה לחכימיא ברמיזא:</w:t>
      </w:r>
    </w:p>
  </w:footnote>
  <w:footnote w:id="4825">
    <w:p w:rsidR="00A13282" w:rsidRDefault="00A13282" w:rsidP="0020255E">
      <w:pPr>
        <w:pStyle w:val="a5"/>
        <w:rPr>
          <w:rtl/>
        </w:rPr>
      </w:pPr>
      <w:r>
        <w:rPr>
          <w:rStyle w:val="a7"/>
          <w:rtl/>
        </w:rPr>
        <w:footnoteRef/>
      </w:r>
      <w:r>
        <w:rPr>
          <w:rtl/>
        </w:rPr>
        <w:t xml:space="preserve"> </w:t>
      </w:r>
      <w:r>
        <w:rPr>
          <w:b/>
          <w:bCs/>
          <w:rtl/>
        </w:rPr>
        <w:t>אתחזר ו"ה לימינא כו'.</w:t>
      </w:r>
      <w:r>
        <w:rPr>
          <w:rtl/>
        </w:rPr>
        <w:t xml:space="preserve"> מביא ראיה דהוא לימינא דהא אתקרי זכור, וזה זכרי דהוא עם ו"ה רמ"ח לימינא, מצוות עשה, וי"ה לשמאלא, מצוות לא תעשה, שלהבת י"ה, והוא אלוק ואלקים כמו שאומר בתיקוני זוהר חדש ואמר </w:t>
      </w:r>
      <w:r>
        <w:rPr>
          <w:b/>
          <w:bCs/>
          <w:rtl/>
        </w:rPr>
        <w:t xml:space="preserve">בפסח יהון ו"ה לימינא כו'. </w:t>
      </w:r>
      <w:r>
        <w:rPr>
          <w:rtl/>
        </w:rPr>
        <w:t xml:space="preserve">דד' יום טוב אלו הן נגד ד' דרגין, ד' פרצופים, ד' אותיות הוי"ה, חגת"ם שהעולם מתנהג בהן, (משנה ר"ה א ב) ובד' פרקים אלו העולם נידון, ובהון יהיה הגאולה שלא ישתעבדו, ונקמה מהאומות פלחי כוכבים, וקבוץ גליות, ובנין בית המקדש ויבן כו' כמו שאומר בפ' משפטים ק"כ א' פסח - דרועא ימינא, לקיים בה כימי צאתך כו', ולבתר נטלי כולהו מגבורה כו' דהכי בעא, לנקאה עבורא דאינון ישראל בימינא ולבתר לאוקדא קש בשמאלא הדא הוא דכתיב והיה בית יעקב אש כו', וכנישו דעבורא בעמודא דאמצעיתא כו', לאן אתר, לביתא דא שכינתא, והוא שאמר כאן בפסח כו' ובאן אתר בסוכה כו' דהוא סוכת שלום, והכל נאמר בדרגיה בימינא ופסח - ו"ה, ובר"ה שמאלא - י"ה, בשבועות עמודא דאמצעיתא דכליל ימינא ושמאלא הוי"ה שלימה, ולכן בו הוי"ה שלימה לעולם, ובסוכות - שכינתא תתאה, סוכת דוד, אדנ"י, והוי"ה עייל בה, ואמר </w:t>
      </w:r>
      <w:r>
        <w:rPr>
          <w:b/>
          <w:bCs/>
          <w:rtl/>
        </w:rPr>
        <w:t xml:space="preserve">הה"ד מלא כו' ונתנה כו' </w:t>
      </w:r>
      <w:r>
        <w:rPr>
          <w:rtl/>
        </w:rPr>
        <w:t>כנ"ל, דגדולה איהי י"ה, וקטנה ו"ה, ואחיד בתרוויהו, ונאמר (בראשית כט כז) מלא שבוע כו', והוא דרגיה דשבועות, ובסוכות (בראשית לג יח) ויבא יעקב שלם, הוי"ה שלימה, (שם יז) ויבן כו' כמו שמפרש והולך, והן בד' אתוון דהוי"ה, ד' דרגין, י"ה בהון בכל אחד חצי הוי"ה, ו' הוא שילו' הוי"ה, ה' שילוב הוי"ה ואדנ"י, והן ד' דרגין דגאולה כנ"ל ושם יהון משיחין [כמו שאומר שם בפ' משפטים] משיח בן דוד דאיהו אריה מימינא ומשיח כו', מימינא אברהם משמאלא כו', מסטרא דאברהם אתקריאו אריות, בקר, מסטרא כו', ורביעאה אדם כו', בההוא זמנא (בראשית מט כז) בבוקר יאכל עד ולערב כו', בחד ייכול כו' ובחד יחלק לון לישראל כו', יתער נשר ויתפרש גדפהא על ערבוביא כו' דאינון עמלקים כו' הדא הוא דכתיב (דברים לב יב) בדד ינחנו כו', ואז יהיה הוי"ה שלימה כמו שאומר בפ' בראשית כ"ז ב' בזמנא דערב רב כו' מיד דיתמחון מעלמא אתמר באתוון דקב"ה ביום ההוא כו', לבתר דיתברר, מתכנשין לההוא אתר דאקרי ירושלים והוא סוכת שלום והוא בחינה דאקרי אדם כמו שאומר שם למעלה ה' בדד ינחנו כו', ואומין דעלמא דישתארון, יתער קב"ה חיה דאדם לשלטאה כו', וכמו שכתוב (מיכה ד ח) עדיך תאתה ובאה הממלכה הראשונה לבת ירושלים:</w:t>
      </w:r>
    </w:p>
  </w:footnote>
  <w:footnote w:id="4826">
    <w:p w:rsidR="00A13282" w:rsidRDefault="00A13282" w:rsidP="0020255E">
      <w:pPr>
        <w:pStyle w:val="a5"/>
        <w:rPr>
          <w:rtl/>
        </w:rPr>
      </w:pPr>
      <w:r>
        <w:rPr>
          <w:rStyle w:val="a7"/>
          <w:rtl/>
        </w:rPr>
        <w:footnoteRef/>
      </w:r>
      <w:r>
        <w:rPr>
          <w:rtl/>
        </w:rPr>
        <w:t xml:space="preserve"> </w:t>
      </w:r>
      <w:r>
        <w:rPr>
          <w:b/>
          <w:bCs/>
          <w:rtl/>
        </w:rPr>
        <w:t xml:space="preserve">באה מן הצפון. </w:t>
      </w:r>
      <w:r>
        <w:rPr>
          <w:rtl/>
        </w:rPr>
        <w:t xml:space="preserve">כנ"ל באודנא שמאלא, ומפרש והולך מצפון תפתח כו' והוא חולי דבר נש דרוחא לא נשיב וכל גופא אוקיד וכנ"ל דאלמלי רוחא לא נשיב הוה לבא כו' ואז מתעורר הסערה וכן הוא כל זה בישראל בגלותא, ושכינתא בעולם, דכל זה הוא ענין אחד, וזה שאומר </w:t>
      </w:r>
      <w:r>
        <w:rPr>
          <w:b/>
          <w:bCs/>
          <w:rtl/>
        </w:rPr>
        <w:t xml:space="preserve">דאברין דאינון ישראל. </w:t>
      </w:r>
      <w:r>
        <w:rPr>
          <w:rtl/>
        </w:rPr>
        <w:t>רוצה לומר, כמו באברים דאדם כן לישראל בגלותא דהוא (ירמיהו ל יב, נחום ג יט) נחלה מכתך, ונאמר (הושע ו ב) חיינו מיומים כו':</w:t>
      </w:r>
    </w:p>
  </w:footnote>
  <w:footnote w:id="4827">
    <w:p w:rsidR="00A13282" w:rsidRDefault="00A13282" w:rsidP="0020255E">
      <w:pPr>
        <w:pStyle w:val="a5"/>
        <w:rPr>
          <w:rtl/>
        </w:rPr>
      </w:pPr>
      <w:r>
        <w:rPr>
          <w:rStyle w:val="a7"/>
          <w:rtl/>
        </w:rPr>
        <w:footnoteRef/>
      </w:r>
      <w:r>
        <w:rPr>
          <w:rtl/>
        </w:rPr>
        <w:t xml:space="preserve"> </w:t>
      </w:r>
      <w:r>
        <w:rPr>
          <w:b/>
          <w:bCs/>
          <w:rtl/>
        </w:rPr>
        <w:t>בעבודה קשה דא דפיקו דערקין דמרה דאיהי כבדה על ב"נ בחומר ובלבנים דא הוא ליחה חיוורא דמינה ייתון כו'.</w:t>
      </w:r>
      <w:r>
        <w:rPr>
          <w:rtl/>
        </w:rPr>
        <w:t xml:space="preserve"> רוצה לומר, ד' מיני עבודה דגלותא שנאמר כאן הוא בד' מרות שמכל אחת בהתגברותה בא חולי אחר, והן נגד ד' יסודין דרוחא דפיק בהון לארבע סטרין כנ"ל, וכד לא נשיב, אתערו הן בעבודה קשה הוא מרה דחמימו אשתא דחולה והדפיקו הוא בקשיו, ובקוצר רוח בחומר ובלבנים, ליחה חיוורא - לבנים וכן חומר דהוא מים הזדונים והן ב' יסודין מים ואש, ובכל עבודה בשדה הוא כבד, דם שנתרבה, דרגא דעשו איש שדה שהוא אדמוני, ואמר </w:t>
      </w:r>
      <w:r>
        <w:rPr>
          <w:b/>
          <w:bCs/>
          <w:rtl/>
        </w:rPr>
        <w:t xml:space="preserve">כי רגליהם לרע וכו' </w:t>
      </w:r>
      <w:r>
        <w:rPr>
          <w:rtl/>
        </w:rPr>
        <w:t xml:space="preserve">רוצה לומר הערקין דדמא כאשר נתרבו וירוצו בתקיפו, הוא סימן לרע ולמיתה, </w:t>
      </w:r>
      <w:r>
        <w:rPr>
          <w:b/>
          <w:bCs/>
          <w:rtl/>
        </w:rPr>
        <w:t xml:space="preserve">וימהרו לשפך דם, </w:t>
      </w:r>
      <w:r>
        <w:rPr>
          <w:rtl/>
        </w:rPr>
        <w:t>דרגא דעשו, שופך דם, וכבד הוא עשו, אדמוני כידוע, בפרך הוא מרה אוכמא דהוא יבש בריקניא כמו שכתוב (במדבר יא ו) נפשנו יבשה אין כל, והן נגד ד' הנ"ל קט"ו ב', מסטרא דאוירא קדמאה איהי לח כו', וכן כאן דכבד לח, לבנה - קר, ומסטרא דשכינתא תתאה איהי יבשה כו' דלית לה מגרמה כלום, אבל מכל מקום היא אתמליא מכולם, מה שאין כן בזו - והבור רק אין בו מים, דהיא נקראת בור, וישליכוהו הבורה ועיין בזוהר פ’ פקודי רס"ג א' וזהו בפרך, שהוא עבודת חנם כמו שאומר בתורת כהנים (ויקרא כה מג) והביאו רש"י שם עבודה ריקנית אמר ליה החם לי כו', ולכן נאמר כאן את כל עבודתם כו', דכאן כלילא כל עבודות, דעבודות הצריכות לאדם אי אפשר לעבוד בעבד כל העבודות מה שאין כן עבודה ריקנית שאין בה צורך, והוא נגד דרגא דקדושה דכוללת הכל:</w:t>
      </w:r>
    </w:p>
  </w:footnote>
  <w:footnote w:id="4828">
    <w:p w:rsidR="00A13282" w:rsidRDefault="00A13282" w:rsidP="0020255E">
      <w:pPr>
        <w:pStyle w:val="a5"/>
        <w:rPr>
          <w:rtl/>
        </w:rPr>
      </w:pPr>
      <w:r>
        <w:rPr>
          <w:rStyle w:val="a7"/>
          <w:rtl/>
        </w:rPr>
        <w:footnoteRef/>
      </w:r>
      <w:r>
        <w:rPr>
          <w:rtl/>
        </w:rPr>
        <w:t xml:space="preserve"> </w:t>
      </w:r>
      <w:r>
        <w:rPr>
          <w:b/>
          <w:bCs/>
          <w:rtl/>
        </w:rPr>
        <w:t xml:space="preserve">מי בזאת עולה. </w:t>
      </w:r>
      <w:r>
        <w:rPr>
          <w:rtl/>
        </w:rPr>
        <w:t>עיין לעיל ע"ז א' בההוא זמנא מטרוניתא עלאה כו' וסלקין תרווייהו לגבי מלכא, מי דאיהי אימא עלאה בזאת עולה כו':</w:t>
      </w:r>
    </w:p>
  </w:footnote>
  <w:footnote w:id="4829">
    <w:p w:rsidR="00A13282" w:rsidRDefault="00A13282" w:rsidP="0020255E">
      <w:pPr>
        <w:pStyle w:val="a5"/>
        <w:rPr>
          <w:rtl/>
        </w:rPr>
      </w:pPr>
      <w:r>
        <w:rPr>
          <w:rStyle w:val="a7"/>
          <w:rtl/>
        </w:rPr>
        <w:footnoteRef/>
      </w:r>
      <w:r>
        <w:rPr>
          <w:rtl/>
        </w:rPr>
        <w:t xml:space="preserve"> </w:t>
      </w:r>
      <w:r>
        <w:rPr>
          <w:b/>
          <w:bCs/>
          <w:rtl/>
        </w:rPr>
        <w:t>עולה ודאי ובג"ד אית הבל ואית הבל כו'.</w:t>
      </w:r>
      <w:r>
        <w:rPr>
          <w:rtl/>
        </w:rPr>
        <w:t xml:space="preserve"> רוצה לומר, כנ"ל דרוחא דדפיקו דקודשא, ורוח סערה כו' וכמו שמפרש והולך:</w:t>
      </w:r>
    </w:p>
  </w:footnote>
  <w:footnote w:id="4830">
    <w:p w:rsidR="00A13282" w:rsidRDefault="00A13282" w:rsidP="0020255E">
      <w:pPr>
        <w:pStyle w:val="a5"/>
        <w:rPr>
          <w:rtl/>
        </w:rPr>
      </w:pPr>
      <w:r>
        <w:rPr>
          <w:rStyle w:val="a7"/>
          <w:rtl/>
        </w:rPr>
        <w:footnoteRef/>
      </w:r>
      <w:r>
        <w:rPr>
          <w:rtl/>
        </w:rPr>
        <w:t xml:space="preserve"> </w:t>
      </w:r>
      <w:r>
        <w:rPr>
          <w:b/>
          <w:bCs/>
          <w:rtl/>
        </w:rPr>
        <w:t>את הבל ודא הבל דצלותין כו'.</w:t>
      </w:r>
      <w:r>
        <w:rPr>
          <w:rtl/>
        </w:rPr>
        <w:t xml:space="preserve"> כמו שאומר לעיל ק"ג א' אוסיפת בגיניה כמה קורבנין לקב"ה וכמה צלותין ובעותין, ודא איהו ותוסף ללדת ובדף ק"ז ב' א"ל ודאי ותוסף רוח דקודשא כו' תרין אתוון כו':</w:t>
      </w:r>
    </w:p>
  </w:footnote>
  <w:footnote w:id="4831">
    <w:p w:rsidR="00A13282" w:rsidRDefault="00A13282" w:rsidP="0020255E">
      <w:pPr>
        <w:pStyle w:val="a5"/>
        <w:rPr>
          <w:rtl/>
        </w:rPr>
      </w:pPr>
      <w:r>
        <w:rPr>
          <w:rStyle w:val="a7"/>
          <w:rtl/>
        </w:rPr>
        <w:footnoteRef/>
      </w:r>
      <w:r>
        <w:rPr>
          <w:rtl/>
        </w:rPr>
        <w:t xml:space="preserve"> </w:t>
      </w:r>
      <w:r>
        <w:rPr>
          <w:b/>
          <w:bCs/>
          <w:rtl/>
        </w:rPr>
        <w:t xml:space="preserve">פורקנא ופקוד' כו' בעלמא דאיהו קול דודי כו'. </w:t>
      </w:r>
      <w:r>
        <w:rPr>
          <w:rtl/>
        </w:rPr>
        <w:t>דאז דפיקו דרוח סערה מתעבר מעלמא, וכן באדם כשנתרפא:</w:t>
      </w:r>
    </w:p>
  </w:footnote>
  <w:footnote w:id="4832">
    <w:p w:rsidR="00A13282" w:rsidRDefault="00A13282" w:rsidP="0020255E">
      <w:pPr>
        <w:pStyle w:val="a5"/>
        <w:rPr>
          <w:rtl/>
        </w:rPr>
      </w:pPr>
      <w:r>
        <w:rPr>
          <w:rStyle w:val="a7"/>
          <w:rtl/>
        </w:rPr>
        <w:footnoteRef/>
      </w:r>
      <w:r>
        <w:rPr>
          <w:rtl/>
        </w:rPr>
        <w:t xml:space="preserve"> </w:t>
      </w:r>
      <w:r>
        <w:rPr>
          <w:b/>
          <w:bCs/>
          <w:rtl/>
        </w:rPr>
        <w:t xml:space="preserve">אתמר אל אשר יהי' כו'. </w:t>
      </w:r>
      <w:r>
        <w:rPr>
          <w:rtl/>
        </w:rPr>
        <w:t xml:space="preserve">דגלין הולכין אחר הרוח וכן הדפיקו הולך אחר הרוח, ואמר </w:t>
      </w:r>
      <w:r>
        <w:rPr>
          <w:b/>
          <w:bCs/>
          <w:rtl/>
        </w:rPr>
        <w:t xml:space="preserve">ובהון והחיות כו' </w:t>
      </w:r>
      <w:r>
        <w:rPr>
          <w:rtl/>
        </w:rPr>
        <w:t xml:space="preserve">דהוא חיות של אדם דדפיק לד' סטרין, ואמר </w:t>
      </w:r>
      <w:r>
        <w:rPr>
          <w:b/>
          <w:bCs/>
          <w:rtl/>
        </w:rPr>
        <w:t xml:space="preserve">רצוא תרין כו' </w:t>
      </w:r>
      <w:r>
        <w:rPr>
          <w:rtl/>
        </w:rPr>
        <w:t>כמו שאומר לעיל ל"ה א' תרין סלקין כו' ואינון מיכאל כו' וכן בשם הוי"ה כו' כמו שאומר שם וזה שאומר ואינון יהו"ה:</w:t>
      </w:r>
    </w:p>
  </w:footnote>
  <w:footnote w:id="4833">
    <w:p w:rsidR="00A13282" w:rsidRDefault="00A13282" w:rsidP="0020255E">
      <w:pPr>
        <w:pStyle w:val="a5"/>
        <w:rPr>
          <w:rtl/>
        </w:rPr>
      </w:pPr>
      <w:r>
        <w:rPr>
          <w:rStyle w:val="a7"/>
          <w:rtl/>
        </w:rPr>
        <w:footnoteRef/>
      </w:r>
      <w:r>
        <w:rPr>
          <w:rtl/>
        </w:rPr>
        <w:t xml:space="preserve"> </w:t>
      </w:r>
      <w:r>
        <w:rPr>
          <w:b/>
          <w:bCs/>
          <w:rtl/>
        </w:rPr>
        <w:t xml:space="preserve">שכינתא דאתמר בה כו'. </w:t>
      </w:r>
      <w:r>
        <w:rPr>
          <w:rtl/>
        </w:rPr>
        <w:t>כמו שאומר לעיל ק"ז א' דשם אדני הוא מאנא דכולהו, (חבקוק ב כ) וה' בהיכל קדשו, ולא נפיק מינה לבר, וכן הוא גלי ימא דנפקין ד' אתוון דהוי"ה מן ימא, בינה, ולא נפקין מחול דאיהו ארץ, גבול להון, וכן הוא הבלים דדפיקו מן לבא שחוזרין כל רגע ללב, הלוך ושוב כל רגע ורגע:</w:t>
      </w:r>
    </w:p>
  </w:footnote>
  <w:footnote w:id="4834">
    <w:p w:rsidR="00A13282" w:rsidRDefault="00A13282" w:rsidP="0020255E">
      <w:pPr>
        <w:pStyle w:val="a5"/>
        <w:rPr>
          <w:rtl/>
        </w:rPr>
      </w:pPr>
      <w:r>
        <w:rPr>
          <w:rStyle w:val="a7"/>
          <w:rtl/>
        </w:rPr>
        <w:footnoteRef/>
      </w:r>
      <w:r>
        <w:rPr>
          <w:rtl/>
        </w:rPr>
        <w:t xml:space="preserve"> </w:t>
      </w:r>
      <w:r>
        <w:rPr>
          <w:b/>
          <w:bCs/>
          <w:rtl/>
        </w:rPr>
        <w:t xml:space="preserve">בנקודין דדפיק אשתמודע כו'. </w:t>
      </w:r>
      <w:r>
        <w:rPr>
          <w:rtl/>
        </w:rPr>
        <w:t>דדפיקו הוא מרוח שהיא נקודין, ונשמתא - טעמי, ונפש - אתוון, וכמו שאומר לעיל ל"ה ב' ומפרש והולך נקודות בדפיקו, ובזה ניכר דרגא דאדם מאיזה ספירה הוא, וכל ענין האדם, ואיזה יסוד מתגבר בו כמו שמפרש והולך אם היא לעילא אחזי כו':</w:t>
      </w:r>
    </w:p>
  </w:footnote>
  <w:footnote w:id="4835">
    <w:p w:rsidR="00A13282" w:rsidRDefault="00A13282" w:rsidP="0020255E">
      <w:pPr>
        <w:pStyle w:val="a5"/>
        <w:rPr>
          <w:rtl/>
        </w:rPr>
      </w:pPr>
      <w:r>
        <w:rPr>
          <w:rStyle w:val="a7"/>
          <w:rtl/>
        </w:rPr>
        <w:footnoteRef/>
      </w:r>
      <w:r>
        <w:rPr>
          <w:rtl/>
        </w:rPr>
        <w:t xml:space="preserve"> </w:t>
      </w:r>
      <w:r>
        <w:rPr>
          <w:b/>
          <w:bCs/>
          <w:rtl/>
        </w:rPr>
        <w:t xml:space="preserve">ברוחא על מיא. </w:t>
      </w:r>
      <w:r>
        <w:rPr>
          <w:rtl/>
        </w:rPr>
        <w:t>כמו שכתוב ורוח אלקים מרחפת כו', דמים איהו כבד ונחית לתתא כנ"ל:</w:t>
      </w:r>
    </w:p>
  </w:footnote>
  <w:footnote w:id="4836">
    <w:p w:rsidR="00A13282" w:rsidRDefault="00A13282" w:rsidP="0020255E">
      <w:pPr>
        <w:pStyle w:val="a5"/>
        <w:rPr>
          <w:rtl/>
        </w:rPr>
      </w:pPr>
      <w:r>
        <w:rPr>
          <w:rStyle w:val="a7"/>
          <w:rtl/>
        </w:rPr>
        <w:footnoteRef/>
      </w:r>
      <w:r>
        <w:rPr>
          <w:rtl/>
        </w:rPr>
        <w:t xml:space="preserve"> </w:t>
      </w:r>
      <w:r>
        <w:rPr>
          <w:b/>
          <w:bCs/>
          <w:rtl/>
        </w:rPr>
        <w:t xml:space="preserve">ולזמנא דפיק באריכו ונקיד נקוד' אבתרי' דא קמץ באריכו אחזי רחמי. </w:t>
      </w:r>
      <w:r>
        <w:rPr>
          <w:rtl/>
        </w:rPr>
        <w:t>רוצה לומר דכל באריכו, בין קמץ בין פתח, אחזי רחמי, דאריכו הוא וא"ו, אריך אנפין, דרגא דתקיע באריכו:</w:t>
      </w:r>
    </w:p>
  </w:footnote>
  <w:footnote w:id="4837">
    <w:p w:rsidR="00A13282" w:rsidRDefault="00A13282" w:rsidP="0020255E">
      <w:pPr>
        <w:pStyle w:val="a5"/>
        <w:rPr>
          <w:rtl/>
        </w:rPr>
      </w:pPr>
      <w:r>
        <w:rPr>
          <w:rStyle w:val="a7"/>
          <w:rtl/>
        </w:rPr>
        <w:footnoteRef/>
      </w:r>
      <w:r>
        <w:rPr>
          <w:rtl/>
        </w:rPr>
        <w:t xml:space="preserve"> </w:t>
      </w:r>
      <w:r>
        <w:rPr>
          <w:b/>
          <w:bCs/>
          <w:rtl/>
        </w:rPr>
        <w:t xml:space="preserve">אם זכו דפיקו כו'. </w:t>
      </w:r>
      <w:r>
        <w:rPr>
          <w:rtl/>
        </w:rPr>
        <w:t>דאז רוחא שליט בכולא:</w:t>
      </w:r>
    </w:p>
  </w:footnote>
  <w:footnote w:id="4838">
    <w:p w:rsidR="00A13282" w:rsidRDefault="00A13282" w:rsidP="0020255E">
      <w:pPr>
        <w:pStyle w:val="a5"/>
        <w:rPr>
          <w:rtl/>
        </w:rPr>
      </w:pPr>
      <w:r>
        <w:rPr>
          <w:rStyle w:val="a7"/>
          <w:rtl/>
        </w:rPr>
        <w:footnoteRef/>
      </w:r>
      <w:r>
        <w:rPr>
          <w:rtl/>
        </w:rPr>
        <w:t xml:space="preserve"> </w:t>
      </w:r>
      <w:r>
        <w:rPr>
          <w:b/>
          <w:bCs/>
          <w:rtl/>
        </w:rPr>
        <w:t xml:space="preserve">שכינתא מאנא כו' כגופא כו'. </w:t>
      </w:r>
      <w:r>
        <w:rPr>
          <w:rtl/>
        </w:rPr>
        <w:t>והיא נפשא כמו שאומר למטה ומאנא דנקודין איהו נפש אלא שנפשא שתופא דגופא:</w:t>
      </w:r>
    </w:p>
  </w:footnote>
  <w:footnote w:id="4839">
    <w:p w:rsidR="00A13282" w:rsidRDefault="00A13282" w:rsidP="0020255E">
      <w:pPr>
        <w:pStyle w:val="a5"/>
        <w:rPr>
          <w:rtl/>
        </w:rPr>
      </w:pPr>
      <w:r>
        <w:rPr>
          <w:rStyle w:val="a7"/>
          <w:rtl/>
        </w:rPr>
        <w:footnoteRef/>
      </w:r>
      <w:r>
        <w:rPr>
          <w:rtl/>
        </w:rPr>
        <w:t xml:space="preserve"> </w:t>
      </w:r>
      <w:r>
        <w:rPr>
          <w:b/>
          <w:bCs/>
          <w:rtl/>
        </w:rPr>
        <w:t>ובין כל דפיקו ודפיקו ו' שעורי' כו'.</w:t>
      </w:r>
      <w:r>
        <w:rPr>
          <w:rtl/>
        </w:rPr>
        <w:t xml:space="preserve"> כמו שאומר לעיל ל"ז ב' דוא"ו איהו שיעור קומה, ורוצה לומר דשיעור הריוח בין כל דפיקו לדפיקו, והוא בריאות האדם, וזה שאומר וכד נקודין כו' וכד לית כו', שמראה על חולי, וכן הוא חבלי משיח כמו שאומר לעיל ס"ט א' ב' קם סבא תניינא כו' וכד דפיקו איהו בתרועה במהירו דוחקא בתר דוחקא מיד ייתי פורקנא ועיין בזוהר פ’ שמות ל"ז ב' ואגרא דכלה דוחקא:</w:t>
      </w:r>
    </w:p>
  </w:footnote>
  <w:footnote w:id="4840">
    <w:p w:rsidR="00A13282" w:rsidRDefault="00A13282" w:rsidP="0020255E">
      <w:pPr>
        <w:pStyle w:val="a5"/>
        <w:rPr>
          <w:rtl/>
        </w:rPr>
      </w:pPr>
      <w:r>
        <w:rPr>
          <w:rStyle w:val="a7"/>
          <w:rtl/>
        </w:rPr>
        <w:footnoteRef/>
      </w:r>
      <w:r>
        <w:rPr>
          <w:rtl/>
        </w:rPr>
        <w:t xml:space="preserve"> ו</w:t>
      </w:r>
      <w:r>
        <w:rPr>
          <w:b/>
          <w:bCs/>
          <w:rtl/>
        </w:rPr>
        <w:t xml:space="preserve">איהי תליא במחשבתא ונקודין כו'. </w:t>
      </w:r>
      <w:r>
        <w:rPr>
          <w:rtl/>
        </w:rPr>
        <w:t xml:space="preserve">שהן ג' דרגין דכלילין כולא, מחשבה דבור ומעשה, ג"ר זו"נ, וחוזר וכולל ג' אלו בג' קוין דהן כוללין גם כן הכל, ואמר מסטרא דימינא כו' עמודא דאמצעיתא כליל כו' והוא סליק במחשבה, וכמו שאמרו ישראל עלה במחשבה וכמו שאומר לקמן קט"ו ב' דאויר קדמון נטיל בעמודא דאמצעיתא, ואמר </w:t>
      </w:r>
      <w:r>
        <w:rPr>
          <w:b/>
          <w:bCs/>
          <w:rtl/>
        </w:rPr>
        <w:t xml:space="preserve">ובמאי אומר ועושה בהוי"ה. </w:t>
      </w:r>
      <w:r>
        <w:rPr>
          <w:rtl/>
        </w:rPr>
        <w:t>רוצה לומר כמו שמפרש והולך דאתמר בהון כו', יהי אור - הוא אמירה, ויהי אור - הוא עשיה, והכל בהוי"ה, יהי ויהי, והוא לראיה שהוא בעמודא דאמצעיתא שנקרא הוי"ה. ואמר עוד לראיה דיהי אור הוא אותיות י"ה אויר, אויר הוא עמודא דאמצעיתא דאחיד בתרווייהו, י"ה - ימינא ושמאלא ועיין בזוהר פ’ בראשית כ"ב א' הוה אמר אבא כו' מארי דבניינא איהו אומר ואומנא עביד, ולקמן פ"ב ב' מסטרא דאבא מצווה ומסטרא דאימא עושה ומחשבה אחיד בתרווייהו, דבין האמירה ובין העשיה אי אפשר להיות בלא מחשבה:</w:t>
      </w:r>
    </w:p>
  </w:footnote>
  <w:footnote w:id="4841">
    <w:p w:rsidR="00A13282" w:rsidRDefault="00A13282" w:rsidP="0020255E">
      <w:pPr>
        <w:pStyle w:val="a5"/>
        <w:rPr>
          <w:rtl/>
        </w:rPr>
      </w:pPr>
      <w:r>
        <w:rPr>
          <w:rStyle w:val="a7"/>
          <w:rtl/>
        </w:rPr>
        <w:footnoteRef/>
      </w:r>
      <w:r>
        <w:rPr>
          <w:rtl/>
        </w:rPr>
        <w:t xml:space="preserve"> </w:t>
      </w:r>
      <w:r>
        <w:rPr>
          <w:b/>
          <w:bCs/>
          <w:rtl/>
        </w:rPr>
        <w:t xml:space="preserve">ואית דפיקו דע"ה כו' וכל מאן דאלים גבר. </w:t>
      </w:r>
      <w:r>
        <w:rPr>
          <w:rtl/>
        </w:rPr>
        <w:t>דדפיקו דעץ החיים כולו טוב ובריאות בתכלית השלימות בכל נקודה ונקודה ואית בכל נקודין אם זכו כנ"ל ואילנא דכולא ביש הוא כולו רע וחולי כמו שאומר לעיל ל"ו א' ואין בו טוב כלל אבל מעץ הדעת טוב ורע לעולם אין בו כולו טוב או כולו רע רק מאן דאלים גבר ואינו בריא בשלימות או חולי בשלימות, וכן הוא בישראל כד אינון בסטרא דעץ הדעת טוב ורע גדולתם אין בשלימות, ולעולם לא היתה לישראל בשלימות עד שלמה ואתפגים בסוף ימיו והיה הולך וחסר, וכן גלותם כמו שכתוב (ויקרא כו מד) ואף כו' לא עזבתים כו' והכל משום דמעשה  אבותיהם בידיהם (ברכות ז ע"א), (ישעיהו מג כז) אביך הראשון חטא, וכמו שאומר לעיל צ"ח ב', אבל בימי חבלי משיח (ירמיהו ל ז) והיתה עת צרה ליעקב כנ"ל וכמו שאמרו (סנהדרין צח ע"א) אין בן דוד בא אלא בדור כו', וודאי אופן השני וכמו שאומר בפ' שמות ז' ב' יסתכל מאן אינון דקיימין בהדה בכל אינון דמשתכחין עמה בכל עובדוי דכל חד וחד, ולא אשתכח זכאי דכתיב ואביט ואין עוזר, וכמה עקתין כו' וכשיבוא משיח אז יתגלה עץ החיים שכולו טוב:</w:t>
      </w:r>
    </w:p>
  </w:footnote>
  <w:footnote w:id="4842">
    <w:p w:rsidR="00A13282" w:rsidRDefault="00A13282" w:rsidP="0020255E">
      <w:pPr>
        <w:pStyle w:val="a5"/>
        <w:rPr>
          <w:rtl/>
        </w:rPr>
      </w:pPr>
      <w:r>
        <w:rPr>
          <w:rStyle w:val="a7"/>
          <w:rtl/>
        </w:rPr>
        <w:footnoteRef/>
      </w:r>
      <w:r>
        <w:rPr>
          <w:rtl/>
        </w:rPr>
        <w:t xml:space="preserve"> </w:t>
      </w:r>
      <w:r>
        <w:rPr>
          <w:b/>
          <w:bCs/>
          <w:rtl/>
        </w:rPr>
        <w:t xml:space="preserve">אין קול כו'. </w:t>
      </w:r>
      <w:r>
        <w:rPr>
          <w:rtl/>
        </w:rPr>
        <w:t>שהן דפיקין דתקיעה ושברים באריכו וקצירו אלא קול ענות דענויא דחולי וכובד הגלות, וזה שאומר קול ענויא כו':</w:t>
      </w:r>
    </w:p>
  </w:footnote>
  <w:footnote w:id="4843">
    <w:p w:rsidR="00A13282" w:rsidRDefault="00A13282" w:rsidP="0020255E">
      <w:pPr>
        <w:pStyle w:val="a5"/>
        <w:rPr>
          <w:rtl/>
        </w:rPr>
      </w:pPr>
      <w:r>
        <w:rPr>
          <w:rStyle w:val="a7"/>
          <w:rtl/>
        </w:rPr>
        <w:footnoteRef/>
      </w:r>
      <w:r>
        <w:rPr>
          <w:rtl/>
        </w:rPr>
        <w:t xml:space="preserve"> </w:t>
      </w:r>
      <w:r>
        <w:rPr>
          <w:b/>
          <w:bCs/>
          <w:rtl/>
        </w:rPr>
        <w:t xml:space="preserve">דאינון צלעות. </w:t>
      </w:r>
      <w:r>
        <w:rPr>
          <w:rtl/>
        </w:rPr>
        <w:t>כמו שאומר לעיל נ"ד ב' דא סלע, מט"ט, דבגיניה אתמר ויקח אחת מצלעותיו, דריש צלע - סלע:</w:t>
      </w:r>
    </w:p>
  </w:footnote>
  <w:footnote w:id="4844">
    <w:p w:rsidR="00A13282" w:rsidRDefault="00A13282" w:rsidP="0020255E">
      <w:pPr>
        <w:pStyle w:val="a5"/>
        <w:rPr>
          <w:rtl/>
        </w:rPr>
      </w:pPr>
      <w:r>
        <w:rPr>
          <w:rStyle w:val="a7"/>
          <w:rtl/>
        </w:rPr>
        <w:footnoteRef/>
      </w:r>
      <w:r>
        <w:rPr>
          <w:rtl/>
        </w:rPr>
        <w:t xml:space="preserve"> </w:t>
      </w:r>
      <w:r>
        <w:rPr>
          <w:b/>
          <w:bCs/>
          <w:rtl/>
        </w:rPr>
        <w:t xml:space="preserve">והאי איהו נפיק כו'. </w:t>
      </w:r>
      <w:r>
        <w:rPr>
          <w:rtl/>
        </w:rPr>
        <w:t>דלית ליה שיעורא כמו בנקודין דאורייתא ואמר משקל, משקל הוא יו"ד הנקודין עצמן, ושיעור ו', והוא בין דפיקו לדפיקו כנ"ל מה שאין כן בעץ הדעת דמכל מקום מסטרא דטוב יש לו שיעור ומשקל:</w:t>
      </w:r>
    </w:p>
  </w:footnote>
  <w:footnote w:id="4845">
    <w:p w:rsidR="00A13282" w:rsidRDefault="00A13282" w:rsidP="0020255E">
      <w:pPr>
        <w:pStyle w:val="a5"/>
        <w:rPr>
          <w:rtl/>
        </w:rPr>
      </w:pPr>
      <w:r>
        <w:rPr>
          <w:rStyle w:val="a7"/>
          <w:rtl/>
        </w:rPr>
        <w:footnoteRef/>
      </w:r>
      <w:r>
        <w:rPr>
          <w:rtl/>
        </w:rPr>
        <w:t xml:space="preserve"> </w:t>
      </w:r>
      <w:r>
        <w:rPr>
          <w:b/>
          <w:bCs/>
          <w:rtl/>
        </w:rPr>
        <w:t xml:space="preserve">כגלי ימא דאינון כו'. </w:t>
      </w:r>
      <w:r>
        <w:rPr>
          <w:rtl/>
        </w:rPr>
        <w:t>נגד גלגלי דקדושה דאינון עשר גלי ימא, גלגלין דכורסיא:</w:t>
      </w:r>
    </w:p>
  </w:footnote>
  <w:footnote w:id="4846">
    <w:p w:rsidR="00A13282" w:rsidRDefault="00A13282" w:rsidP="0020255E">
      <w:pPr>
        <w:pStyle w:val="a5"/>
        <w:rPr>
          <w:rtl/>
        </w:rPr>
      </w:pPr>
      <w:r>
        <w:rPr>
          <w:rStyle w:val="a7"/>
          <w:rtl/>
        </w:rPr>
        <w:footnoteRef/>
      </w:r>
      <w:r>
        <w:rPr>
          <w:rtl/>
        </w:rPr>
        <w:t xml:space="preserve"> </w:t>
      </w:r>
      <w:r>
        <w:rPr>
          <w:b/>
          <w:bCs/>
          <w:rtl/>
        </w:rPr>
        <w:t xml:space="preserve">ובת זוגי' ערלה כו'. </w:t>
      </w:r>
      <w:r>
        <w:rPr>
          <w:rtl/>
        </w:rPr>
        <w:t>הוא מלכות חייבא (פירוש ס"מ) הנ"ל אלא חוזר כאן לפי שאמר ערל, דיש ערל והוא באדם דכר, ויש ערלה בפירות בארץ דאיהי נוק', כי האדם והארץ הם דו"נ, גוי אחד בארץ:</w:t>
      </w:r>
    </w:p>
  </w:footnote>
  <w:footnote w:id="4847">
    <w:p w:rsidR="00A13282" w:rsidRDefault="00A13282" w:rsidP="0020255E">
      <w:pPr>
        <w:pStyle w:val="a5"/>
        <w:rPr>
          <w:rtl/>
        </w:rPr>
      </w:pPr>
      <w:r>
        <w:rPr>
          <w:rStyle w:val="a7"/>
          <w:rtl/>
        </w:rPr>
        <w:footnoteRef/>
      </w:r>
      <w:r>
        <w:rPr>
          <w:rtl/>
        </w:rPr>
        <w:t xml:space="preserve"> </w:t>
      </w:r>
      <w:r>
        <w:rPr>
          <w:b/>
          <w:bCs/>
          <w:rtl/>
        </w:rPr>
        <w:t xml:space="preserve">לקבל תרי כו'. </w:t>
      </w:r>
      <w:r>
        <w:rPr>
          <w:rtl/>
        </w:rPr>
        <w:t>דהן בסטרא דקדושה אחים תואמים כמו שאומר לעיל ק"ז א', והן לשון תהומות, וזה שכתוב (שמות טו ה) תהומות יכסיומו, והן נגד אפיקי מים דקדושה:</w:t>
      </w:r>
    </w:p>
  </w:footnote>
  <w:footnote w:id="4848">
    <w:p w:rsidR="00A13282" w:rsidRDefault="00A13282" w:rsidP="0020255E">
      <w:pPr>
        <w:pStyle w:val="a5"/>
        <w:rPr>
          <w:rtl/>
        </w:rPr>
      </w:pPr>
      <w:r>
        <w:rPr>
          <w:rStyle w:val="a7"/>
          <w:rtl/>
        </w:rPr>
        <w:footnoteRef/>
      </w:r>
      <w:r>
        <w:rPr>
          <w:rtl/>
        </w:rPr>
        <w:t xml:space="preserve"> </w:t>
      </w:r>
      <w:r>
        <w:rPr>
          <w:b/>
          <w:bCs/>
          <w:rtl/>
        </w:rPr>
        <w:t xml:space="preserve">עוג מלך כו'. </w:t>
      </w:r>
      <w:r>
        <w:rPr>
          <w:rtl/>
        </w:rPr>
        <w:t>דלכן נאמר (במדבר כא לד, דברים ג ב) כי בידך נתתי כו' דווקא, דהוא נגד דרגיה דמשה ונקרא עמודא דאמצעיתא, אחד, ט' וד', ונאמר ביה (דברים ג יא) ערש ברזל תשע כו' וארבע כו', אלא דבקדושה קוצו של ד' משלמת לעשר, גבהו עשרה ורחבו ארבעה, והוא ברית קודש, מה שאין כן בהם ולכן נתירא משה ממנו עד שנאמר אל תירא אותו כי כבר פגם הברית כמו שאומר בסוף פ’ חקת וביה אתעקר:</w:t>
      </w:r>
    </w:p>
  </w:footnote>
  <w:footnote w:id="4849">
    <w:p w:rsidR="00A13282" w:rsidRDefault="00A13282" w:rsidP="0020255E">
      <w:pPr>
        <w:pStyle w:val="a5"/>
        <w:rPr>
          <w:rtl/>
        </w:rPr>
      </w:pPr>
      <w:r>
        <w:rPr>
          <w:rStyle w:val="a7"/>
          <w:rtl/>
        </w:rPr>
        <w:footnoteRef/>
      </w:r>
      <w:r>
        <w:rPr>
          <w:rtl/>
        </w:rPr>
        <w:t xml:space="preserve"> </w:t>
      </w:r>
      <w:r>
        <w:rPr>
          <w:b/>
          <w:bCs/>
          <w:rtl/>
        </w:rPr>
        <w:t>אינון אגגיאל עזיאל מתמן אגג.</w:t>
      </w:r>
      <w:r>
        <w:rPr>
          <w:rtl/>
        </w:rPr>
        <w:t xml:space="preserve"> ולכן נאמר (במדבר כד כ) ראשית גוים עמלק, התחלת הבנים, ונאמר (במדבר כד ז) וירום מאגג מלכו, ואמר </w:t>
      </w:r>
      <w:r>
        <w:rPr>
          <w:b/>
          <w:bCs/>
          <w:rtl/>
        </w:rPr>
        <w:t xml:space="preserve">וביה כי גאה, </w:t>
      </w:r>
      <w:r>
        <w:rPr>
          <w:rtl/>
        </w:rPr>
        <w:t>דמשם הגאה וירם יד ימינו ולכן (שמות יד לא) וירא ישראל את היד הגדולה כו', ונגד השני (שמות טו ב) עזי וזמרת י"ה כו' כמו שאומר למטה:</w:t>
      </w:r>
    </w:p>
  </w:footnote>
  <w:footnote w:id="4850">
    <w:p w:rsidR="00A13282" w:rsidRDefault="00A13282" w:rsidP="0020255E">
      <w:pPr>
        <w:pStyle w:val="a5"/>
        <w:rPr>
          <w:rtl/>
        </w:rPr>
      </w:pPr>
      <w:r>
        <w:rPr>
          <w:rStyle w:val="a7"/>
          <w:rtl/>
        </w:rPr>
        <w:footnoteRef/>
      </w:r>
      <w:r>
        <w:rPr>
          <w:rtl/>
        </w:rPr>
        <w:t xml:space="preserve"> </w:t>
      </w:r>
      <w:r>
        <w:rPr>
          <w:b/>
          <w:bCs/>
          <w:rtl/>
        </w:rPr>
        <w:t xml:space="preserve">ומתמן עזא ועזאל. </w:t>
      </w:r>
      <w:r>
        <w:rPr>
          <w:rtl/>
        </w:rPr>
        <w:t xml:space="preserve">שהן שני שעירים שהן דרגא דעשו (עמלק) איש שעיר שהוא בשמאלא. וזה שאומר </w:t>
      </w:r>
      <w:r>
        <w:rPr>
          <w:b/>
          <w:bCs/>
          <w:rtl/>
        </w:rPr>
        <w:t xml:space="preserve">ואיהו חזריאל יכרסמנה כו' ועל כו'. </w:t>
      </w:r>
      <w:r>
        <w:rPr>
          <w:rtl/>
        </w:rPr>
        <w:t>וכן  שעריאל שעיר כנ"ל כולו כאדרת שער וכמו שמפרש והולך ואיהו עשו כו':</w:t>
      </w:r>
    </w:p>
  </w:footnote>
  <w:footnote w:id="4851">
    <w:p w:rsidR="00A13282" w:rsidRDefault="00A13282" w:rsidP="0020255E">
      <w:pPr>
        <w:pStyle w:val="a5"/>
        <w:rPr>
          <w:rtl/>
        </w:rPr>
      </w:pPr>
      <w:r>
        <w:rPr>
          <w:rStyle w:val="a7"/>
          <w:rtl/>
        </w:rPr>
        <w:footnoteRef/>
      </w:r>
      <w:r>
        <w:rPr>
          <w:rtl/>
        </w:rPr>
        <w:t xml:space="preserve"> </w:t>
      </w:r>
      <w:r>
        <w:rPr>
          <w:b/>
          <w:bCs/>
          <w:rtl/>
        </w:rPr>
        <w:t xml:space="preserve">ומתמן שער כו'. </w:t>
      </w:r>
      <w:r>
        <w:rPr>
          <w:rtl/>
        </w:rPr>
        <w:t>דאשה נוק' לשמאלא לכן צריכה ליזהר משער, שלא לאחוז בה זה:</w:t>
      </w:r>
    </w:p>
  </w:footnote>
  <w:footnote w:id="4852">
    <w:p w:rsidR="00A13282" w:rsidRDefault="00A13282" w:rsidP="0020255E">
      <w:pPr>
        <w:pStyle w:val="a5"/>
        <w:rPr>
          <w:rtl/>
        </w:rPr>
      </w:pPr>
      <w:r>
        <w:rPr>
          <w:rStyle w:val="a7"/>
          <w:rtl/>
        </w:rPr>
        <w:footnoteRef/>
      </w:r>
      <w:r>
        <w:rPr>
          <w:rtl/>
        </w:rPr>
        <w:t xml:space="preserve"> </w:t>
      </w:r>
      <w:r>
        <w:rPr>
          <w:b/>
          <w:bCs/>
          <w:rtl/>
        </w:rPr>
        <w:t xml:space="preserve">איש מלחמה. </w:t>
      </w:r>
      <w:r>
        <w:rPr>
          <w:rtl/>
        </w:rPr>
        <w:t>על ההוא (בראשית כז מ) ועל חרבך תחיה:</w:t>
      </w:r>
    </w:p>
  </w:footnote>
  <w:footnote w:id="4853">
    <w:p w:rsidR="00A13282" w:rsidRDefault="00A13282" w:rsidP="0020255E">
      <w:pPr>
        <w:pStyle w:val="a5"/>
        <w:rPr>
          <w:rtl/>
        </w:rPr>
      </w:pPr>
      <w:r>
        <w:rPr>
          <w:rStyle w:val="a7"/>
          <w:rtl/>
        </w:rPr>
        <w:footnoteRef/>
      </w:r>
      <w:r>
        <w:rPr>
          <w:rtl/>
        </w:rPr>
        <w:t xml:space="preserve"> </w:t>
      </w:r>
      <w:r>
        <w:rPr>
          <w:b/>
          <w:bCs/>
          <w:rtl/>
        </w:rPr>
        <w:t xml:space="preserve">אדם כו'. </w:t>
      </w:r>
      <w:r>
        <w:rPr>
          <w:rtl/>
        </w:rPr>
        <w:t>דחכמה נקרא אדם כמו שאומר בתיקוני זוהר חדש ע"ג א' ושאר מקומות הרבה:</w:t>
      </w:r>
    </w:p>
  </w:footnote>
  <w:footnote w:id="4854">
    <w:p w:rsidR="00A13282" w:rsidRDefault="00A13282" w:rsidP="0020255E">
      <w:pPr>
        <w:pStyle w:val="a5"/>
        <w:rPr>
          <w:rtl/>
        </w:rPr>
      </w:pPr>
      <w:r>
        <w:rPr>
          <w:rStyle w:val="a7"/>
          <w:rtl/>
        </w:rPr>
        <w:footnoteRef/>
      </w:r>
      <w:r>
        <w:rPr>
          <w:rtl/>
        </w:rPr>
        <w:t xml:space="preserve"> </w:t>
      </w:r>
      <w:r>
        <w:rPr>
          <w:b/>
          <w:bCs/>
          <w:rtl/>
        </w:rPr>
        <w:t xml:space="preserve">ומלכותו. </w:t>
      </w:r>
      <w:r>
        <w:rPr>
          <w:rtl/>
        </w:rPr>
        <w:t>נוק':</w:t>
      </w:r>
    </w:p>
  </w:footnote>
  <w:footnote w:id="4855">
    <w:p w:rsidR="00A13282" w:rsidRDefault="00A13282" w:rsidP="0020255E">
      <w:pPr>
        <w:pStyle w:val="a5"/>
        <w:rPr>
          <w:rtl/>
        </w:rPr>
      </w:pPr>
      <w:r>
        <w:rPr>
          <w:rStyle w:val="a7"/>
          <w:rtl/>
        </w:rPr>
        <w:footnoteRef/>
      </w:r>
      <w:r>
        <w:rPr>
          <w:rtl/>
        </w:rPr>
        <w:t xml:space="preserve"> </w:t>
      </w:r>
      <w:r>
        <w:rPr>
          <w:b/>
          <w:bCs/>
          <w:rtl/>
        </w:rPr>
        <w:t xml:space="preserve">כי מלך כו'. </w:t>
      </w:r>
      <w:r>
        <w:rPr>
          <w:rtl/>
        </w:rPr>
        <w:t>דכורא זו"נ:</w:t>
      </w:r>
    </w:p>
  </w:footnote>
  <w:footnote w:id="4856">
    <w:p w:rsidR="00A13282" w:rsidRDefault="00A13282" w:rsidP="0020255E">
      <w:pPr>
        <w:pStyle w:val="a5"/>
        <w:rPr>
          <w:rtl/>
        </w:rPr>
      </w:pPr>
      <w:r>
        <w:rPr>
          <w:rStyle w:val="a7"/>
          <w:rtl/>
        </w:rPr>
        <w:footnoteRef/>
      </w:r>
      <w:r>
        <w:rPr>
          <w:rtl/>
        </w:rPr>
        <w:t xml:space="preserve"> </w:t>
      </w:r>
      <w:r>
        <w:rPr>
          <w:b/>
          <w:bCs/>
          <w:rtl/>
        </w:rPr>
        <w:t xml:space="preserve">אינון לבושין כו'. </w:t>
      </w:r>
      <w:r>
        <w:rPr>
          <w:rtl/>
        </w:rPr>
        <w:t>דהוא לבושין דבריאה, דהן קליפין נגד אצילות ועיין בזוהר פ’ בראשית כ' א' עד דאשתכח דהאי קליפה להאי כו' עיין שם:</w:t>
      </w:r>
    </w:p>
  </w:footnote>
  <w:footnote w:id="4857">
    <w:p w:rsidR="00A13282" w:rsidRDefault="00A13282" w:rsidP="0020255E">
      <w:pPr>
        <w:pStyle w:val="a5"/>
        <w:rPr>
          <w:rtl/>
        </w:rPr>
      </w:pPr>
      <w:r>
        <w:rPr>
          <w:rStyle w:val="a7"/>
          <w:rtl/>
        </w:rPr>
        <w:footnoteRef/>
      </w:r>
      <w:r>
        <w:rPr>
          <w:rtl/>
        </w:rPr>
        <w:t xml:space="preserve"> </w:t>
      </w:r>
      <w:r>
        <w:rPr>
          <w:b/>
          <w:bCs/>
          <w:rtl/>
        </w:rPr>
        <w:t xml:space="preserve">בגלותא ואתלבש כו'. </w:t>
      </w:r>
      <w:r>
        <w:rPr>
          <w:rtl/>
        </w:rPr>
        <w:t>כמו שכתוב (שה"ש א ו) שמוני נוטרה את כו':</w:t>
      </w:r>
    </w:p>
  </w:footnote>
  <w:footnote w:id="4858">
    <w:p w:rsidR="00A13282" w:rsidRDefault="00A13282" w:rsidP="0020255E">
      <w:pPr>
        <w:pStyle w:val="a5"/>
        <w:rPr>
          <w:rtl/>
        </w:rPr>
      </w:pPr>
      <w:r>
        <w:rPr>
          <w:rStyle w:val="a7"/>
          <w:rtl/>
        </w:rPr>
        <w:footnoteRef/>
      </w:r>
      <w:r>
        <w:rPr>
          <w:rtl/>
        </w:rPr>
        <w:t xml:space="preserve"> </w:t>
      </w:r>
      <w:r>
        <w:rPr>
          <w:b/>
          <w:bCs/>
          <w:rtl/>
        </w:rPr>
        <w:t xml:space="preserve">בלבושין דקודש ובג"ד תקינו בהבדלה כו' דלא יחבר כו'. </w:t>
      </w:r>
      <w:r>
        <w:rPr>
          <w:rtl/>
        </w:rPr>
        <w:t>שלא יעשה מלאכה ועובדין דחול בעוד שלא הבדיל והפשיט לבושי קודש ממנו בהבדלה וכמו שמפרש והולך דכל התערובות וזכות וחובה הכל בלבושין אבל בפנים שם אין זכות וחובה, דשם (תהלים ה ה) לא יגורך רע, ועיין מה שאומר בתיקוני זוהר חדש פ"ו א' ועיין שם פ"ט ג' וכמו שאומר למטה דמוחא לא קבל טומאה כו' אבל מוחא דאיהי נהורא בארח אצילות כו':</w:t>
      </w:r>
    </w:p>
  </w:footnote>
  <w:footnote w:id="4859">
    <w:p w:rsidR="00A13282" w:rsidRDefault="00A13282" w:rsidP="0020255E">
      <w:pPr>
        <w:pStyle w:val="a5"/>
        <w:rPr>
          <w:rtl/>
        </w:rPr>
      </w:pPr>
      <w:r>
        <w:rPr>
          <w:rStyle w:val="a7"/>
          <w:rtl/>
        </w:rPr>
        <w:footnoteRef/>
      </w:r>
      <w:r>
        <w:rPr>
          <w:rtl/>
        </w:rPr>
        <w:t xml:space="preserve"> </w:t>
      </w:r>
      <w:r>
        <w:rPr>
          <w:b/>
          <w:bCs/>
          <w:rtl/>
        </w:rPr>
        <w:t xml:space="preserve">ואית אילנא כו'. </w:t>
      </w:r>
      <w:r>
        <w:rPr>
          <w:rtl/>
        </w:rPr>
        <w:t>עיין לעיל תיקון ס’ בארוכה:</w:t>
      </w:r>
    </w:p>
  </w:footnote>
  <w:footnote w:id="4860">
    <w:p w:rsidR="00A13282" w:rsidRDefault="00A13282" w:rsidP="0020255E">
      <w:pPr>
        <w:pStyle w:val="a5"/>
        <w:rPr>
          <w:rtl/>
        </w:rPr>
      </w:pPr>
      <w:r>
        <w:rPr>
          <w:rStyle w:val="a7"/>
          <w:rtl/>
        </w:rPr>
        <w:footnoteRef/>
      </w:r>
      <w:r>
        <w:rPr>
          <w:rtl/>
        </w:rPr>
        <w:t xml:space="preserve"> </w:t>
      </w:r>
      <w:r>
        <w:rPr>
          <w:b/>
          <w:bCs/>
          <w:rtl/>
        </w:rPr>
        <w:t xml:space="preserve">ותוסף רוחא דקודשא. </w:t>
      </w:r>
      <w:r>
        <w:rPr>
          <w:rtl/>
        </w:rPr>
        <w:t>כמו שאומר לעיל ק"ז ב' וכמו שמפרש והולך ועוד ותוסף ללדת כו':</w:t>
      </w:r>
    </w:p>
  </w:footnote>
  <w:footnote w:id="4861">
    <w:p w:rsidR="00A13282" w:rsidRDefault="00A13282" w:rsidP="0020255E">
      <w:pPr>
        <w:pStyle w:val="a5"/>
        <w:rPr>
          <w:rtl/>
        </w:rPr>
      </w:pPr>
      <w:r>
        <w:rPr>
          <w:rStyle w:val="a7"/>
          <w:rtl/>
        </w:rPr>
        <w:footnoteRef/>
      </w:r>
      <w:r>
        <w:rPr>
          <w:rtl/>
        </w:rPr>
        <w:t xml:space="preserve"> [ובהגהה </w:t>
      </w:r>
      <w:r>
        <w:rPr>
          <w:b/>
          <w:bCs/>
          <w:rtl/>
        </w:rPr>
        <w:t xml:space="preserve">א"ל שמענא דתלת כו' מאדם קדמאה דאתמר בהון אלה א"ל והא אנא שמענא אלה כו'. </w:t>
      </w:r>
      <w:r>
        <w:rPr>
          <w:rtl/>
        </w:rPr>
        <w:t>כן צריך לומר, וכן הוא בנוסחות מדויקות ורוצה לומר שהן ג' אבהן כמו שאומר לקמן דעלייהו אתמר הן כל אלה כו' כמו שאומר לעיל בריש תיקון נ’ עיין שם, והן אלה ראשי בית אבותם, וזה שהקשה והא אנא כו' והשיב לו כמו שאומר שם בריש תיקון נ’ עיין שם דאלה פסל את הראשונים דתהו, דהן דערב רב, ה' מינים, בנוי דקין, עד בהבראם - אברהם, ראשית אלה, וביה נתוסף ה' זעירא ונתקן מה שהיתה תהו בשני אלפים תהו בה' מינים הנ"ל במבול (בראשית ו יא) ותמלא כו' ושאר דורות (משנה אבות ה ב) עד שבא וקבל שכר כולם: (עיין תשלום ביאור הגר"א על ההגהה לקמן בדף קכ"ז ב').</w:t>
      </w:r>
    </w:p>
  </w:footnote>
  <w:footnote w:id="4862">
    <w:p w:rsidR="00A13282" w:rsidRDefault="00A13282" w:rsidP="0020255E">
      <w:pPr>
        <w:pStyle w:val="a5"/>
        <w:rPr>
          <w:rtl/>
        </w:rPr>
      </w:pPr>
      <w:r>
        <w:rPr>
          <w:rStyle w:val="a7"/>
          <w:rtl/>
        </w:rPr>
        <w:footnoteRef/>
      </w:r>
      <w:r>
        <w:rPr>
          <w:rtl/>
        </w:rPr>
        <w:t xml:space="preserve"> [ובהגהה ק"ז ב' ר' אליעזר ור' יוסי כו' </w:t>
      </w:r>
      <w:r>
        <w:rPr>
          <w:b/>
          <w:bCs/>
          <w:rtl/>
        </w:rPr>
        <w:t xml:space="preserve">דאזדריקו מאדם קדמאה דאתמר בהון אלה תולדות השמים והארץ א"ל והא אנא כו'. </w:t>
      </w:r>
      <w:r>
        <w:rPr>
          <w:rtl/>
        </w:rPr>
        <w:t>כן צריך לומר וכן הוא בספר יצירה ורוצה לומר דאלה הוא ג' טפין דג' אבהן דג' גלגולים כמו שאומר ריש תיקון נ' תלת צלותין עלייהו אתמר הן כל אלה כו' ובתיקוני זוהר חדש ע"ב ג' מאי אלה אלא אלה כו' ולקבליהון אתמר הן כל אלה כו'. ואמר תולדות כו' רוצה לומר מאדם דהוא תולדות שמים וארץ (דאינן נבראים מאב ואם כמו שאר בני אדם וכמו שאומר בפ' בראשית עיין שם):</w:t>
      </w:r>
    </w:p>
  </w:footnote>
  <w:footnote w:id="4863">
    <w:p w:rsidR="00A13282" w:rsidRDefault="00A13282" w:rsidP="0020255E">
      <w:pPr>
        <w:pStyle w:val="a5"/>
        <w:rPr>
          <w:rtl/>
        </w:rPr>
      </w:pPr>
      <w:r>
        <w:rPr>
          <w:rStyle w:val="a7"/>
          <w:rtl/>
        </w:rPr>
        <w:footnoteRef/>
      </w:r>
      <w:r>
        <w:rPr>
          <w:rtl/>
        </w:rPr>
        <w:t xml:space="preserve"> </w:t>
      </w:r>
      <w:r>
        <w:rPr>
          <w:b/>
          <w:bCs/>
          <w:rtl/>
        </w:rPr>
        <w:t xml:space="preserve">א"ל והא אנא כו'. </w:t>
      </w:r>
      <w:r>
        <w:rPr>
          <w:rtl/>
        </w:rPr>
        <w:t>עיין לעיל ריש תיקון נ’ שם ורוצה לומר והאיך אפשר דקאי על תולדות של אדם הראשון ותירץ לו דקאי על קין דעיקרו מעולם התהו ולכן נפק ראשון והיה בכור, וכן באברהם ויצחק שהולידו קודם ב והו (א.ה. אולי צ"ל בתוהו), ותוהו ובוהו הן קין והבל כמו שאומר בבהיר וברזיאל:</w:t>
      </w:r>
    </w:p>
  </w:footnote>
  <w:footnote w:id="4864">
    <w:p w:rsidR="00A13282" w:rsidRDefault="00A13282" w:rsidP="0020255E">
      <w:pPr>
        <w:pStyle w:val="a5"/>
        <w:rPr>
          <w:rtl/>
        </w:rPr>
      </w:pPr>
      <w:r>
        <w:rPr>
          <w:rStyle w:val="a7"/>
          <w:rtl/>
        </w:rPr>
        <w:footnoteRef/>
      </w:r>
      <w:r>
        <w:rPr>
          <w:rtl/>
        </w:rPr>
        <w:t xml:space="preserve"> </w:t>
      </w:r>
      <w:r>
        <w:rPr>
          <w:b/>
          <w:bCs/>
          <w:rtl/>
        </w:rPr>
        <w:t xml:space="preserve">א"ל אלין טפין דאתוספו הכא על מאן אמר ודאי כו'. </w:t>
      </w:r>
      <w:r>
        <w:rPr>
          <w:rtl/>
        </w:rPr>
        <w:t xml:space="preserve">רוצה לומר דכל תוספות הוא על עיקר אם כן צריך להיות ג' דברים עקרים ראשונים ומאן אינון, והשיב לו </w:t>
      </w:r>
      <w:r>
        <w:rPr>
          <w:b/>
          <w:bCs/>
          <w:rtl/>
        </w:rPr>
        <w:t xml:space="preserve">על אלין תלת כו' </w:t>
      </w:r>
      <w:r>
        <w:rPr>
          <w:rtl/>
        </w:rPr>
        <w:t xml:space="preserve">והן נר"ן כמו שאומר בזוהר חדש פ' יתרו כ"ט ג' תא חזי תלת שותפין אינון, אדם דבריאה אדם דיצירה אדם דעשיה, אדם דבריאה איהי נשמתא, בה חשיב בר נש, ודא מחשבה עולם המחשבה ודאי אתקריאת, רוח - אדם דיצירה, עולם הדבור כו', דנפש איהי עולם המעשה כו', וכן הוא באצילות כמו שאומר שם, ועם כל דא דתלת שותפין אלין בבר נש, לית מחשבה כו' עיין שם בדבריו הרבה. ואמר </w:t>
      </w:r>
      <w:r>
        <w:rPr>
          <w:b/>
          <w:bCs/>
          <w:rtl/>
        </w:rPr>
        <w:t xml:space="preserve">חכמת כו' חכמת כו'. </w:t>
      </w:r>
      <w:r>
        <w:rPr>
          <w:rtl/>
        </w:rPr>
        <w:t>משום דכאן מדבר על המוחין דאינון חכמות, ג' טפין בג' מוחין דהן שרש לג' עלמין, והן דמוחא תניינא והתוספת הוא ממ"ס כמו שמפרש והולך תלת טפין כו' ואית כו', ואינון שית תיבין דקרא כמו שאומר למעלה וכבר פירשתי שם כל הענין הזה עיין שם:</w:t>
      </w:r>
    </w:p>
  </w:footnote>
  <w:footnote w:id="4865">
    <w:p w:rsidR="00A13282" w:rsidRDefault="00A13282" w:rsidP="0020255E">
      <w:pPr>
        <w:pStyle w:val="a5"/>
        <w:rPr>
          <w:rtl/>
        </w:rPr>
      </w:pPr>
      <w:r>
        <w:rPr>
          <w:rStyle w:val="a7"/>
          <w:rtl/>
        </w:rPr>
        <w:footnoteRef/>
      </w:r>
      <w:r>
        <w:rPr>
          <w:rtl/>
        </w:rPr>
        <w:t xml:space="preserve"> </w:t>
      </w:r>
      <w:r>
        <w:rPr>
          <w:b/>
          <w:bCs/>
          <w:rtl/>
        </w:rPr>
        <w:t xml:space="preserve">מה שמו באימא עילאה כו'. </w:t>
      </w:r>
      <w:r>
        <w:rPr>
          <w:rtl/>
        </w:rPr>
        <w:t xml:space="preserve">רוצה לומר דשם הוא לעולם בנוק', דדכורא - בה אתגלייא, וכן טפה דדכורא נצטייר בנוק' ונודע בה שהיא מדכורא, ומלכות נקראת שם כידוע, וכן בינה - לשמך הגדול, וזהו ומה שמו, דמ"ה, חכמה, בשמו אשתמודע, וזה שאומר </w:t>
      </w:r>
      <w:r>
        <w:rPr>
          <w:b/>
          <w:bCs/>
          <w:rtl/>
        </w:rPr>
        <w:t xml:space="preserve">דתמן חכמה. </w:t>
      </w:r>
      <w:r>
        <w:rPr>
          <w:rtl/>
        </w:rPr>
        <w:t>ומה שם בנו גם כן בשם מלכות אשתמודע ומה כו' אשתמודע:</w:t>
      </w:r>
    </w:p>
  </w:footnote>
  <w:footnote w:id="4866">
    <w:p w:rsidR="00A13282" w:rsidRDefault="00A13282" w:rsidP="0020255E">
      <w:pPr>
        <w:pStyle w:val="a5"/>
        <w:rPr>
          <w:rtl/>
        </w:rPr>
      </w:pPr>
      <w:r>
        <w:rPr>
          <w:rStyle w:val="a7"/>
          <w:rtl/>
        </w:rPr>
        <w:footnoteRef/>
      </w:r>
      <w:r>
        <w:rPr>
          <w:rtl/>
        </w:rPr>
        <w:t xml:space="preserve"> </w:t>
      </w:r>
      <w:r>
        <w:rPr>
          <w:b/>
          <w:bCs/>
          <w:rtl/>
        </w:rPr>
        <w:t xml:space="preserve">ואלין הוו עתידין למהוי בשת תלת דאדם ותלת דהבל אלא דפרח יו"ד משת כו'. </w:t>
      </w:r>
      <w:r>
        <w:rPr>
          <w:rtl/>
        </w:rPr>
        <w:t>כן צריך לומר וכן הוא בפנים ק"ח ב' ומשית תיקונים אלין כו' ג' דאדם כו' [הן תלת דשת שהוא מאדם] כמו שכתוב ויולד בדמותו כצלמו ויקרא שמו שת, וזהו בצלמו, ושת - שית הנ"ל ועליו נאמר בראשית כנ"ל:</w:t>
      </w:r>
    </w:p>
  </w:footnote>
  <w:footnote w:id="4867">
    <w:p w:rsidR="00A13282" w:rsidRDefault="00A13282" w:rsidP="0020255E">
      <w:pPr>
        <w:pStyle w:val="a5"/>
        <w:rPr>
          <w:rtl/>
        </w:rPr>
      </w:pPr>
      <w:r>
        <w:rPr>
          <w:rStyle w:val="a7"/>
          <w:rtl/>
        </w:rPr>
        <w:footnoteRef/>
      </w:r>
      <w:r>
        <w:rPr>
          <w:rtl/>
        </w:rPr>
        <w:t xml:space="preserve"> </w:t>
      </w:r>
      <w:r>
        <w:rPr>
          <w:b/>
          <w:bCs/>
          <w:rtl/>
        </w:rPr>
        <w:t xml:space="preserve">אלא דפרח יו"ד כו'. </w:t>
      </w:r>
      <w:r>
        <w:rPr>
          <w:rtl/>
        </w:rPr>
        <w:t xml:space="preserve">רוצה לומר בעון אב ובן דחבו במחשבה כמו שאומר לעיל ק"ה א' והוא יו"ד, דפרח היו"ד שהוא הבנין דג' טפין דמיניה אזדריקו כנ"ל ולכן אתפזרו הג' טפין בג' אנשים כיון דפרח היו"ד, יסודא דלהון, ועיין לקמן קי"א א' ובגין דעקר כו' ואתעבידו תלת ענפין דאינון תלת כו' ומה דהוה שרשא חדא, עיקרא חדא, אתפלגו לתלת, הכי איהו אזדריק בתלת גלגולין, חד בנח, ותרין בשם ויפת ואמר </w:t>
      </w:r>
      <w:r>
        <w:rPr>
          <w:b/>
          <w:bCs/>
          <w:rtl/>
        </w:rPr>
        <w:t xml:space="preserve">דאיהו נקודה אבן שתי'. </w:t>
      </w:r>
      <w:r>
        <w:rPr>
          <w:rtl/>
        </w:rPr>
        <w:t>רוצה לומר חכמה וכמו שאומר לקמן קי"ח ב' מי שת בטוחות חכמה ודא יו"ד דבה הוי שית, או מי נתן לשכוי בינה דא ה' כו', ואינון י' ה', יו"ד מן שית, ה' מן הבל, ואינון או"א, שית ו' ברא באמצעיתא, ורוצה לומר שת בעצמו דהוא כולל ו' תיקונין, ו"ק, ג' - בג' אבהן, וג' - בנה"י כנ"ל, הוא ברא דאו"א עיין שם בדבריו, וזה סוד שתיה, ושתיה הוא נקודת ציון דמשם הושתת עלמא כמו שאמרו (יומא נד ע"ב) אלו ואלו מציון נבראו, מציון מכלל יופי, והוא חכמה דבה, באור חוזר, יו"ד זעירא, אבן מאסו כו' כמו שאומר לקמן ק"י א' וכמו שבארנו במקום אחר בסוד ב' דלתין, שד"י אדנ"י ועיין בזוהר פ’ נח ע"א ב' וע"ב א' פתח ר"י ואמר והאבן הזאת אשר שמתי מצבה יהיה בית אלקים דא היא אבן שתיה, פתח ואמר אני בצדק אחזה כו' דוד מלכא חביבותא ודביקותא דיליה בהאי אבן הוה, ועלה אתמר אבן מאסו הבונים כו' דאתקין אבן שתיה כו' ושוי עלה קודש הקדשים, וכדין ותכון מלכותו מאד משום שהיא חכמת שלמה ובפ' ויחי רל"א א' פתח ר' יוסי כו' עיין שם בדבריו, ועיין לקמן ק"י ח' ועוד כי שת לי זרע כו' דפרח ביה יו"ד מן שית כו' ובגין האי יו"ד אתמר אבן מאסו הבונים כו' אמר ודאי יו"ד עילאה איהי מן חכמה והאי איהו יו"ד זעירא כו' ודא יו"ד מן אדנ"י ואיהי יו"ד מן הוה"י כו' וכנ"ל דבה אור חוזר, ואלין ב' יודין - ב' חכמות אינון, חד בלא פרודא כמו שאומר בפ' בראשית ב' ב' בראשית ר"ח פתח כו' ואינון תרין נקודין כו' ובגין דלית לון פרודא אקרון ראשית, חד ולא תרין, מאן דנטיל האי נטיל האי וכלא חד כו' והוא אות ברית קודש דהוא חכמה דידה כמו שאומר לעיל תיקון ל”ו ושאר מקומות, עטרת הברית שהוא קיום העולם, אם לא בריתי כו' וזה שאומר ובהאי יו"ד חב יוסף כו' מקשת דאיהו ברית. ועיין לקמן ק"י א' בהגהה בראשית כו' א"ל מהכא אשתמודע דבהאי אות דברית מילה חב כו' והוא בזרע דהוא יו"ד דנחית מחכמה עלאה, מוחא, ויורד באות ברית, וביה פגים ופרח מיניה וכמו שאומר לקמן קי"א ד' ובג"ד כד פרח י' מן שת מה כתיב כי שת לי אלקים זרע אחר, אחר דגרם דאתאביד יו"ד דאיהי זרע מן שת, ורזא דשת - כל שתה תחת רגליו, כל וודאי דאיהי זרע, אות ברית קדש כו' וזה שאומר ובהאי חב יוסף הה"ד כו' בזרע דנפיק מיניה, והענין כי יעקב שופריה דאדם קדמאה, וביה אתתקן, וכמו שאומר לקמן ק"י א' דיעקב דיוקנא דאדם קדמאה הוה כמה דאוקמוה כו' כיון דאתא יעקב תמן כו' בית - בת יו"ד, מיד אשתלים יוד בעקב ואתעביד יעקב, ודא איהו דאמר קרא ויבא יעקב שלם, ויוסף דיוקניה דבנו ולכן באות יו"ד חב גם כן אלא דתקין דלא אזדריק בהאי זונה כמו שמפרש והולך:</w:t>
      </w:r>
    </w:p>
  </w:footnote>
  <w:footnote w:id="4868">
    <w:p w:rsidR="00A13282" w:rsidRDefault="00A13282" w:rsidP="0020255E">
      <w:pPr>
        <w:pStyle w:val="a5"/>
        <w:rPr>
          <w:rtl/>
        </w:rPr>
      </w:pPr>
      <w:r>
        <w:rPr>
          <w:rStyle w:val="a7"/>
          <w:rtl/>
        </w:rPr>
        <w:footnoteRef/>
      </w:r>
      <w:r>
        <w:rPr>
          <w:rtl/>
        </w:rPr>
        <w:t xml:space="preserve"> </w:t>
      </w:r>
      <w:r>
        <w:rPr>
          <w:b/>
          <w:bCs/>
          <w:rtl/>
        </w:rPr>
        <w:t xml:space="preserve">דאתמר בהון עושה כו'. </w:t>
      </w:r>
      <w:r>
        <w:rPr>
          <w:rtl/>
        </w:rPr>
        <w:t>עיין בזוהר פ’ לך לך צ' א' ד"א ברכו ה' מלאכיו אלין אינון צדקייא כו' עיין שם:</w:t>
      </w:r>
    </w:p>
  </w:footnote>
  <w:footnote w:id="4869">
    <w:p w:rsidR="00A13282" w:rsidRDefault="00A13282" w:rsidP="0020255E">
      <w:pPr>
        <w:pStyle w:val="a5"/>
        <w:rPr>
          <w:rtl/>
        </w:rPr>
      </w:pPr>
      <w:r>
        <w:rPr>
          <w:rStyle w:val="a7"/>
          <w:rtl/>
        </w:rPr>
        <w:footnoteRef/>
      </w:r>
      <w:r>
        <w:rPr>
          <w:rtl/>
        </w:rPr>
        <w:t xml:space="preserve"> </w:t>
      </w:r>
      <w:r>
        <w:rPr>
          <w:b/>
          <w:bCs/>
          <w:rtl/>
        </w:rPr>
        <w:t xml:space="preserve">דא תוספת רוחא כו'. </w:t>
      </w:r>
      <w:r>
        <w:rPr>
          <w:rtl/>
        </w:rPr>
        <w:t>דעמודא דאמצעיתא - דרגא דרוחא, והוא מנר"ן דיליה כמו שמפרש והולך (ותוסף כמו שמפרש והולך) ומאי הוה תוספת כו' דהוא אדם עילאה, ועמודא דאמצעיתא אדם תתאה, והוא שריא על רוחא דעמודא דאמצעיתא, והוא נשמתא לנשמתא דהוא תוספת על נר"ן, והבל הוא אדם תתאה כמו שאומר להלן רוחא דקודשא ותוסף תוספת רוחא את את נשמתא ונפשא, דאת בכל מקום הוא נוק' כמו שאומר בזוהר חדש שה"ש נ"ב ג':</w:t>
      </w:r>
    </w:p>
  </w:footnote>
  <w:footnote w:id="4870">
    <w:p w:rsidR="00A13282" w:rsidRDefault="00A13282" w:rsidP="0020255E">
      <w:pPr>
        <w:pStyle w:val="a5"/>
        <w:rPr>
          <w:rtl/>
        </w:rPr>
      </w:pPr>
      <w:r>
        <w:rPr>
          <w:rStyle w:val="a7"/>
          <w:rtl/>
        </w:rPr>
        <w:footnoteRef/>
      </w:r>
      <w:r>
        <w:rPr>
          <w:rtl/>
        </w:rPr>
        <w:t xml:space="preserve"> </w:t>
      </w:r>
      <w:r>
        <w:rPr>
          <w:b/>
          <w:bCs/>
          <w:rtl/>
        </w:rPr>
        <w:t xml:space="preserve">תלת טפין דאזדריקו כו'. </w:t>
      </w:r>
      <w:r>
        <w:rPr>
          <w:rtl/>
        </w:rPr>
        <w:t>והן נר"ן, ואמר דאזדריקו דאינון סגולתא כמו שאומר למטה והן זרקא סגולתא ועיין בזוהר חדש ע"ו ב' בתלת נקודין דסגולתא דמנהון אתמשכו תלת טפין דתלת מוחין עילאין דכד בר נש אתמשך זרע מיניה כו' הכי כגוונא דא כד קב"ה אורית בבר נש תלת קטירין דאינון נשמתא ורוחא ונפשא כו' דאתרמיזו בשם יו"ד ה"י וא"ו ה"י, ומרמז כאן על גלגולא דהבל דהוא משה, דתלת טיפין דיליה הוא ממוחא תניינא כמו שאומר לקמן, ואתוסף ביה תלת אלין כמו שאומר לקמן ק"ט א' ומשה כליל תרווייהו כו', וזהו שית תיבין דקרא, תלת דיליה ותלת רבויין הנ"ל ועיין מה שבארנו בהגהה כאן:</w:t>
      </w:r>
    </w:p>
  </w:footnote>
  <w:footnote w:id="4871">
    <w:p w:rsidR="00A13282" w:rsidRDefault="00A13282" w:rsidP="0020255E">
      <w:pPr>
        <w:pStyle w:val="a5"/>
        <w:rPr>
          <w:rtl/>
        </w:rPr>
      </w:pPr>
      <w:r>
        <w:rPr>
          <w:rStyle w:val="a7"/>
          <w:rtl/>
        </w:rPr>
        <w:footnoteRef/>
      </w:r>
      <w:r>
        <w:rPr>
          <w:rtl/>
        </w:rPr>
        <w:t xml:space="preserve"> </w:t>
      </w:r>
      <w:r>
        <w:rPr>
          <w:b/>
          <w:bCs/>
          <w:rtl/>
        </w:rPr>
        <w:t xml:space="preserve">ואלין אינון ג' גלגולים. </w:t>
      </w:r>
      <w:r>
        <w:rPr>
          <w:rtl/>
        </w:rPr>
        <w:t>כמו שאומר לעיל סוף תיקון כ”ו הה"ד גם צפור מצאה בית כו' והן בג' אבהן כמו שאומר לעיל:</w:t>
      </w:r>
    </w:p>
  </w:footnote>
  <w:footnote w:id="4872">
    <w:p w:rsidR="00A13282" w:rsidRDefault="00A13282" w:rsidP="0020255E">
      <w:pPr>
        <w:pStyle w:val="a5"/>
        <w:rPr>
          <w:rtl/>
        </w:rPr>
      </w:pPr>
      <w:r>
        <w:rPr>
          <w:rStyle w:val="a7"/>
          <w:rtl/>
        </w:rPr>
        <w:footnoteRef/>
      </w:r>
      <w:r>
        <w:rPr>
          <w:rtl/>
        </w:rPr>
        <w:t xml:space="preserve"> </w:t>
      </w:r>
      <w:r>
        <w:rPr>
          <w:b/>
          <w:bCs/>
          <w:rtl/>
        </w:rPr>
        <w:t xml:space="preserve">לקבל ג' נשים דאתמר כו'. </w:t>
      </w:r>
      <w:r>
        <w:rPr>
          <w:rtl/>
        </w:rPr>
        <w:t>רוצה לומר דכתיב (משלי יד א) חכמת נשים, ואתמר במתניתין (פסחים ג ד) שלש נשים אופות כמו שמפרש והולך והוא לראיה דג' חכמות הן בג' מוחין ואף על גב דמוחא דעתיקא קדישא הוא חד מכל מקום שרשא דג' הוא, דביה ג' הויו"ת כמו שאומר באידרא זוטא והן ג' חכמות דכתיב שם, אחת - חכמת נשים בנתה כו', ואחת - (משלי ט א) חכמות בנתה כו', ואחת - (משלי א כ) חכמות בחוץ תרונה, וקראן נשים דהוא שרשא דנוק', שביבין דנורא, ראשיתא דנוק':</w:t>
      </w:r>
    </w:p>
  </w:footnote>
  <w:footnote w:id="4873">
    <w:p w:rsidR="00A13282" w:rsidRDefault="00A13282" w:rsidP="0020255E">
      <w:pPr>
        <w:pStyle w:val="a5"/>
        <w:rPr>
          <w:rtl/>
        </w:rPr>
      </w:pPr>
      <w:r>
        <w:rPr>
          <w:rStyle w:val="a7"/>
          <w:rtl/>
        </w:rPr>
        <w:footnoteRef/>
      </w:r>
      <w:r>
        <w:rPr>
          <w:rtl/>
        </w:rPr>
        <w:t xml:space="preserve"> </w:t>
      </w:r>
      <w:r>
        <w:rPr>
          <w:b/>
          <w:bCs/>
          <w:rtl/>
        </w:rPr>
        <w:t xml:space="preserve">דחד אופה כו'. </w:t>
      </w:r>
      <w:r>
        <w:rPr>
          <w:rtl/>
        </w:rPr>
        <w:t>ג' מוחין כמו שאומר לקמן ב' חד אופה במוחא כו':</w:t>
      </w:r>
    </w:p>
  </w:footnote>
  <w:footnote w:id="4874">
    <w:p w:rsidR="00A13282" w:rsidRDefault="00A13282" w:rsidP="0020255E">
      <w:pPr>
        <w:pStyle w:val="a5"/>
        <w:rPr>
          <w:rtl/>
        </w:rPr>
      </w:pPr>
      <w:r>
        <w:rPr>
          <w:rStyle w:val="a7"/>
          <w:rtl/>
        </w:rPr>
        <w:footnoteRef/>
      </w:r>
      <w:r>
        <w:rPr>
          <w:rtl/>
        </w:rPr>
        <w:t xml:space="preserve"> </w:t>
      </w:r>
      <w:r>
        <w:rPr>
          <w:b/>
          <w:bCs/>
          <w:rtl/>
        </w:rPr>
        <w:t xml:space="preserve">לההוא דאתמר כו'. </w:t>
      </w:r>
      <w:r>
        <w:rPr>
          <w:rtl/>
        </w:rPr>
        <w:t xml:space="preserve">רוצה לומר חכמה דנקרא אבא דהוא אדם הראשון, וג' טיפין דיליה הוא מעתיקא קדישא ומ"ס הוא שורש החכמה ועיין באידרא זוטא רפ"ח א' ב' רישא חדא חכמתא סתימאה דאתכסיא ולא מתפתחא, וחכמה דא סתימאה רישא לכל רישי דשאר חכמות כו' דהאי חכמתא סתימאה ביה מתפרש תלת זמנין לארבע ארבע כו', ושם רפ"ט ב' אתר דשירותא אשתכח מעתיקא קדישא דאתנהיר ממזלא הוא נהירו דחכמתא דמתפשט לל"ב עיבר ונפקא מההוא מ"ס כו' עיין שם וההיא חכמה הוא ראשית כמו שאומר שם דהיא שירותא דכולא וכמו שכתוב (תהלים קיא י) ראשית חכמה, וכמו שאומר בתרגום יונתן על בראשית, והוא ראשית עריסותיכם וכמו שאומר לקמן תיקון ט”ז בראשית דא חלה הה"ד ראשית עריסותיכם חלה תרימו תרומה, והא אוקמוהו דאדם חלתו של עולם הוה רוצה לומר דאדם הוא חכמה של עולם כמו חלה מעיסה ואלו ג' הנ"ל הן עורכין ומקטפין ואופין לההיא חלה דמנהון אתמשך וזה שאומר בנתה ביתה בלשון יחידה, דקאי על חכמה זו דהיא בנתה ביתה דהיא בית לחכמה והוא ע"י ג' חכמות הנ"ל, ועיין בזוהר ריש פ' בראשית ט"ו א' זהר סתימא דסתימין בטש כו' וכדין אתפשט האי ראשית ועביד ליה יקרא והיכליה כו' ואקרי בית ועיין שם כ"ט א' וכתיב בחכמה יבנה בית כו' עיין שם בדבריו והוא ב' דבראשית, נקודה בהיכליה כמו שאומר למעלה וכן ביתא תתאה אתבני גם כן בחכמה כמו שאומר שם וכדין בחכמה יבנה בית, בית עילאה אתבני בחכמה וכן תתאה אוף הכי אבל בית עילאה רברבא ישובא דעלמא כו', והוא בנתה ביתה דכאן דהוא ע"י ג' נשים הנ"ל דהן ג' הויו"ת, י"ג מכילין דרחמי כמו שאומר באידרא זוטא שם וכן הוא בה כמו שאומר בריש פרק ב' דספרא דצניעותא, ואמת שגם בביתא תתאה י"ג מכילין דרחמי כמו שאומר ברעיא מהימנא פ' תצא ובריש פ' בראשית מכל מקום כאן, באדם הראשון דהוא מעלמא עילאה בה מדבר, וזה שאומר </w:t>
      </w:r>
      <w:r>
        <w:rPr>
          <w:b/>
          <w:bCs/>
          <w:rtl/>
        </w:rPr>
        <w:t xml:space="preserve">ודא חלה דפסח. </w:t>
      </w:r>
      <w:r>
        <w:rPr>
          <w:rtl/>
        </w:rPr>
        <w:t>דפסח הוא בה', דהיא אפיקת לחירות, עלמא דחירות, אנכי דיציאת מצרים, ולכן בפסח שלש נשים כו' והוא חלה דמתקנא לעיסה דפסח, ויש עיסה דכל השנה, ביתא תתאה, וחלה דילה הוא באדם תניינא כמו שאומר למטה:</w:t>
      </w:r>
    </w:p>
  </w:footnote>
  <w:footnote w:id="4875">
    <w:p w:rsidR="00A13282" w:rsidRDefault="00A13282" w:rsidP="0020255E">
      <w:pPr>
        <w:pStyle w:val="a5"/>
        <w:rPr>
          <w:rtl/>
        </w:rPr>
      </w:pPr>
      <w:r>
        <w:rPr>
          <w:rStyle w:val="a7"/>
          <w:rtl/>
        </w:rPr>
        <w:footnoteRef/>
      </w:r>
      <w:r>
        <w:rPr>
          <w:rtl/>
        </w:rPr>
        <w:t xml:space="preserve"> </w:t>
      </w:r>
      <w:r>
        <w:rPr>
          <w:b/>
          <w:bCs/>
          <w:rtl/>
        </w:rPr>
        <w:t xml:space="preserve">דפסח איהו טיפה קדמאה ומינה כו'. </w:t>
      </w:r>
      <w:r>
        <w:rPr>
          <w:rtl/>
        </w:rPr>
        <w:t xml:space="preserve">רוצה לומר חלה הנ"ל הוא ראשית דהוא טפה קדמאה, שירותא דכולא, ומינה אזדריקו ג' טיפות דירית מעתיקא קדישא, והן ג' חג"ת דז"א, וכן הוא באדם הראשון שירית ג' קטורין מעתיקא קדישא  ומיניה אזדריקו בג' אבהן כמו שמפרש והולך ובאן אזדריקו כו'. ואמר </w:t>
      </w:r>
      <w:r>
        <w:rPr>
          <w:b/>
          <w:bCs/>
          <w:rtl/>
        </w:rPr>
        <w:t xml:space="preserve">דאינון סגולתא </w:t>
      </w:r>
      <w:r>
        <w:rPr>
          <w:rtl/>
        </w:rPr>
        <w:t>רוצה לומר כנ"ל דזהו זרקא סגולתא, ומסטרא דאבהן נאמר (שמות יט ה) והייתם לי סגולה:</w:t>
      </w:r>
    </w:p>
  </w:footnote>
  <w:footnote w:id="4876">
    <w:p w:rsidR="00A13282" w:rsidRDefault="00A13282" w:rsidP="0020255E">
      <w:pPr>
        <w:pStyle w:val="a5"/>
        <w:rPr>
          <w:rtl/>
        </w:rPr>
      </w:pPr>
      <w:r>
        <w:rPr>
          <w:rStyle w:val="a7"/>
          <w:rtl/>
        </w:rPr>
        <w:footnoteRef/>
      </w:r>
      <w:r>
        <w:rPr>
          <w:rtl/>
        </w:rPr>
        <w:t xml:space="preserve"> </w:t>
      </w:r>
      <w:r>
        <w:rPr>
          <w:b/>
          <w:bCs/>
          <w:rtl/>
        </w:rPr>
        <w:t xml:space="preserve">ואינון י' יברכך כו'. </w:t>
      </w:r>
      <w:r>
        <w:rPr>
          <w:rtl/>
        </w:rPr>
        <w:t>ובהן ג' שמות הוי"ה, דאינון ג' יודין דיברכך יאר ישא - באין מנהון וכנ"ל:</w:t>
      </w:r>
    </w:p>
  </w:footnote>
  <w:footnote w:id="4877">
    <w:p w:rsidR="00A13282" w:rsidRDefault="00A13282" w:rsidP="0020255E">
      <w:pPr>
        <w:pStyle w:val="a5"/>
        <w:rPr>
          <w:rtl/>
        </w:rPr>
      </w:pPr>
      <w:r>
        <w:rPr>
          <w:rStyle w:val="a7"/>
          <w:rtl/>
        </w:rPr>
        <w:footnoteRef/>
      </w:r>
      <w:r>
        <w:rPr>
          <w:rtl/>
        </w:rPr>
        <w:t xml:space="preserve"> </w:t>
      </w:r>
      <w:r>
        <w:rPr>
          <w:b/>
          <w:bCs/>
          <w:rtl/>
        </w:rPr>
        <w:t xml:space="preserve">דתמן נחית אדם כו'. </w:t>
      </w:r>
      <w:r>
        <w:rPr>
          <w:rtl/>
        </w:rPr>
        <w:t>רוצה לומר דאתפשט בהון וכמו בחכמה עילאה כמו שאומר באידרא זוטא רפ"ט ר"צ אתר דשירותא אשתכח כו' ואתעביד לתלת רישין ורישא חדא כליל לון ואילין תלת מתפשטין לז"א ומאלין נהרין כולא אתגליף האי חכמתא כו' ואלין נהרין מנהירו דההוא מוחא עילאה סתימאה כו' אלין תלת נהורין נהרין לתלתא אחרנין דאקרון אבהן כו':</w:t>
      </w:r>
    </w:p>
  </w:footnote>
  <w:footnote w:id="4878">
    <w:p w:rsidR="00A13282" w:rsidRDefault="00A13282" w:rsidP="0020255E">
      <w:pPr>
        <w:pStyle w:val="a5"/>
        <w:rPr>
          <w:rtl/>
        </w:rPr>
      </w:pPr>
      <w:r>
        <w:rPr>
          <w:rStyle w:val="a7"/>
          <w:rtl/>
        </w:rPr>
        <w:footnoteRef/>
      </w:r>
      <w:r>
        <w:rPr>
          <w:rtl/>
        </w:rPr>
        <w:t xml:space="preserve"> </w:t>
      </w:r>
      <w:r>
        <w:rPr>
          <w:b/>
          <w:bCs/>
          <w:rtl/>
        </w:rPr>
        <w:t xml:space="preserve">מההוא דנחית בהון דאיהו מסט' דחכמה עילאה אדהכי הא ר' יצחק כו'. </w:t>
      </w:r>
      <w:r>
        <w:rPr>
          <w:rtl/>
        </w:rPr>
        <w:t>כן צריך לומר. (ולפנינו הוא נדפס בדף קט ע"א [א.ה. ביאורי הגר"א הדיבורים המתחילים ואתערותא דלתתא, בוודאי כו', כג"ד נפש איהי כו', תמצא לקמן קח ע"א]):</w:t>
      </w:r>
    </w:p>
  </w:footnote>
  <w:footnote w:id="4879">
    <w:p w:rsidR="00A13282" w:rsidRDefault="00A13282" w:rsidP="0020255E">
      <w:pPr>
        <w:pStyle w:val="a5"/>
        <w:rPr>
          <w:rtl/>
        </w:rPr>
      </w:pPr>
      <w:r>
        <w:rPr>
          <w:rStyle w:val="a7"/>
          <w:rtl/>
        </w:rPr>
        <w:footnoteRef/>
      </w:r>
      <w:r>
        <w:rPr>
          <w:rtl/>
        </w:rPr>
        <w:t xml:space="preserve"> </w:t>
      </w:r>
      <w:r>
        <w:rPr>
          <w:b/>
          <w:bCs/>
          <w:rtl/>
        </w:rPr>
        <w:t xml:space="preserve">ממוחא תניינא. </w:t>
      </w:r>
      <w:r>
        <w:rPr>
          <w:rtl/>
        </w:rPr>
        <w:t>רוצה לומר ממוחא דז"א דהוא אדם תניינא, דרגא דהבל כמו שאומר לעיל ב' מה שמו ומה שם בנו, דהוא אדם והבל, וכן אבא וז"א, אב ובן, וכמו שחכמה סתימאה הוא מוחא לחכמה דמינה אזדריקו ג' טיפין דאבהן כן הוא מוחא דז"א לז"א, דמינה אזדריקו ג' טיפין דנה"י, ומחכמה דהוא אדם עילאה אזדריקו ג' טיפין לאבהן, וכן מאדם תתאה והוא ת"ת דז"א לג' נה"י, וכן מהבל לנח שם חם ויפת כמו שמפרש והולך:</w:t>
      </w:r>
    </w:p>
  </w:footnote>
  <w:footnote w:id="4880">
    <w:p w:rsidR="00A13282" w:rsidRDefault="00A13282" w:rsidP="0020255E">
      <w:pPr>
        <w:pStyle w:val="a5"/>
        <w:rPr>
          <w:rtl/>
        </w:rPr>
      </w:pPr>
      <w:r>
        <w:rPr>
          <w:rStyle w:val="a7"/>
          <w:rtl/>
        </w:rPr>
        <w:footnoteRef/>
      </w:r>
      <w:r>
        <w:rPr>
          <w:rtl/>
        </w:rPr>
        <w:t xml:space="preserve"> </w:t>
      </w:r>
      <w:r>
        <w:rPr>
          <w:b/>
          <w:bCs/>
          <w:rtl/>
        </w:rPr>
        <w:t xml:space="preserve">ואינון סגול. </w:t>
      </w:r>
      <w:r>
        <w:rPr>
          <w:rtl/>
        </w:rPr>
        <w:t>כמו שאומר לעיל בתיקון כ”א ושאר מקומות דחג"ת הן סגולתא, דת"ת למעלה מהן, ונה"י סגול ואזדריקו להיפך, דיעקב הוא אחרון ונח ראשון:</w:t>
      </w:r>
    </w:p>
  </w:footnote>
  <w:footnote w:id="4881">
    <w:p w:rsidR="00A13282" w:rsidRDefault="00A13282" w:rsidP="0020255E">
      <w:pPr>
        <w:pStyle w:val="a5"/>
        <w:rPr>
          <w:rtl/>
        </w:rPr>
      </w:pPr>
      <w:r>
        <w:rPr>
          <w:rStyle w:val="a7"/>
          <w:rtl/>
        </w:rPr>
        <w:footnoteRef/>
      </w:r>
      <w:r>
        <w:rPr>
          <w:rtl/>
        </w:rPr>
        <w:t xml:space="preserve"> </w:t>
      </w:r>
      <w:r>
        <w:rPr>
          <w:b/>
          <w:bCs/>
          <w:rtl/>
        </w:rPr>
        <w:t xml:space="preserve">ועלייהו אתמר ברא שית. </w:t>
      </w:r>
      <w:r>
        <w:rPr>
          <w:rtl/>
        </w:rPr>
        <w:t xml:space="preserve">שית אלו. ואמר </w:t>
      </w:r>
      <w:r>
        <w:rPr>
          <w:b/>
          <w:bCs/>
          <w:rtl/>
        </w:rPr>
        <w:t xml:space="preserve">ג' טיפין עלאין כו' יו"ד לתתא מן א' כו'. </w:t>
      </w:r>
      <w:r>
        <w:rPr>
          <w:rtl/>
        </w:rPr>
        <w:t>והוא"ו שבאמצע הוא דעת, שהוא כולל חו"ב כמו שאומר באידרא זוטא שם ואתעביד תלת רישין, ורישא חדא כליל לון כו' והוא וא"ו כידוע והוא בין מים עליונים לבין מים תחתונים שהן ב' יודין הנ"ל כמו שאומר לעיל למעלה בתיקונים, ואמר בפרק ה' דספרא דצניעותא יהי רקיע בתוך כו' עתיקא לזעירא כו' [הגהה בין מים למים] מים שלימין כו' והוא"ו מפסיק ביניהם והוא רומז על ששה טפין אלו, שהן מב' יודין אלו, ויוד העליון הוא מוחא סתימאה ויו"ד תתאה מוחא דז"א, וכולא הוא אלף דהוא עתיקא קדישא כמו שאומר שם ואלו נהרין כו' ואתקשר דא בדא ודא בדא עד דאשתמודע דכלא חד וכלא הוא עתיקא קדישא כו', וכן דעת - מחבר ששה הנ"ל דנוק' בין ג"ר דחג"ת ובין ג' נה"י, מעוי בדעת אתתקן, ושם י"ב מנהיגים בנפש, י"ב שבדעת, וכן אתתקן י"ב ברכות אמצעיות כנגדו, וכל י"ח ברכות הוא גם כן באלף, יו"ד - ג"ר, קוצא וקוצא וגב, וכן ג' אחרונות - ו"ו, דהוא ו"ו דמתחלק לב' ווין באמצעיות:</w:t>
      </w:r>
    </w:p>
  </w:footnote>
  <w:footnote w:id="4882">
    <w:p w:rsidR="00A13282" w:rsidRDefault="00A13282" w:rsidP="0020255E">
      <w:pPr>
        <w:pStyle w:val="a5"/>
        <w:rPr>
          <w:rtl/>
        </w:rPr>
      </w:pPr>
      <w:r>
        <w:rPr>
          <w:rStyle w:val="a7"/>
          <w:rtl/>
        </w:rPr>
        <w:footnoteRef/>
      </w:r>
      <w:r>
        <w:rPr>
          <w:rtl/>
        </w:rPr>
        <w:t xml:space="preserve"> </w:t>
      </w:r>
      <w:r>
        <w:rPr>
          <w:b/>
          <w:bCs/>
          <w:rtl/>
        </w:rPr>
        <w:t xml:space="preserve">ותרווייהו אתרמיזו כו'. </w:t>
      </w:r>
      <w:r>
        <w:rPr>
          <w:rtl/>
        </w:rPr>
        <w:t>דמ"ה הוא אדם, וזהו מ"ה שמו, מה - אדם, וכן שם בנו, ולפי שמשה ירית לתרווייהו דאכפל משה משה, ב' מ"ה - ב' אדם כנ"ל, וב' שינין - ב' פעמים ג' טיפין כמו שאומר לעיל ק"ט א' ולכן בעא לקיימא על דרגא דלהון למעלה:</w:t>
      </w:r>
    </w:p>
  </w:footnote>
  <w:footnote w:id="4883">
    <w:p w:rsidR="00A13282" w:rsidRDefault="00A13282" w:rsidP="0020255E">
      <w:pPr>
        <w:pStyle w:val="a5"/>
        <w:rPr>
          <w:rtl/>
        </w:rPr>
      </w:pPr>
      <w:r>
        <w:rPr>
          <w:rStyle w:val="a7"/>
          <w:rtl/>
        </w:rPr>
        <w:footnoteRef/>
      </w:r>
      <w:r>
        <w:rPr>
          <w:rtl/>
        </w:rPr>
        <w:t xml:space="preserve"> </w:t>
      </w:r>
      <w:r>
        <w:rPr>
          <w:b/>
          <w:bCs/>
          <w:rtl/>
        </w:rPr>
        <w:t>חד אופה כו'.</w:t>
      </w:r>
      <w:r>
        <w:rPr>
          <w:rtl/>
        </w:rPr>
        <w:t xml:space="preserve"> הוא הגהת איזה תלמיד אבל אינו כן, דשר המשקים הוא לימינא, דשם מוזג במים, מוחא בימין מים, והוא נגד קנה לימינא דביה (ברכות סא ע"ב) ריאה שואבת כל משקים, שר האופים בשמאלא, דביה (הושע ז ד) אש תנור בוערה מאופה, ונגדו וושט בשמאלא, וקנה וושט הוא נגד עולם הזה ועולם הבא כמו שאומר ברעיא מהימנא פ' פנחס רל"ב א' ושט דומה לעלמא דין כו' קנה דומה לעלמא דאתי, ולבתר דשט ו' מן ושט ברבוי אכילה ושתיה, אתאריך ואתעביד שטן כו' (במדבר יא לג) ואף ה' חרה כו', (ברכות נו ע"ב) הרואה קנה יצפה לחכמה כו', והוא חכמה בימין, וכן הוא כנגדן בבית המקדש, מנורה דביה השמן - בימין, ושלחן דביה הלחם - בשמאל, ולכן פתח שר האופים באף, דהוא בשמאלא, (שבת נג ע"ב) וקשין מזונותיו של אדם כו', (בראשית ג יז) בעצבון תאכלנה, וכן היו החלומות שלהם, האי בסטרא דטוב והאי בסטרא דרע, וזה על בנין בית המקדש וזה על חורבנו, וכמו שאומר במדרש רבה, ועיין בסוף פ’ וישב קצ"ב א' בארוכה, וכן פתר להם יוסף לטוב ולרע, כל אחד בדרגיה שהן היו בעץ הדעת טוב ורע דמימיניה חיים כו' ושר הטבחים דהוא על הבשר דלכן נקרא טבחים, טבח, והוא מבשל הבשר וכל צרכי הסעודה בכל התבשילין, והוא צריך לשניהם לאש ומים, והוא כולל שניהם, ונגדו וורידין, וכן כתב האריז"ל, וכולן הן בקרא הנ"ל, חכמות בנתה ביתה, ג' נשים הנ"ל, טבחה טבחה מסכה יינה אף ערכה שולחנה, ועריכת השלחן הוא בפת לבד, ולכן נאמר בו אף כנ"ל, וכן ג' נשים הנ"ל, חד אופה וחד עורכת נגד (משלי ט ב) ערכה שולחנה, וחד מקטפת ביין ומים נגד שר המשקים, וכן בקרבנות הקרבן ושחיטתו - א', והמנחות על האש - ב', ונסוך היין - ג':</w:t>
      </w:r>
    </w:p>
  </w:footnote>
  <w:footnote w:id="4884">
    <w:p w:rsidR="00A13282" w:rsidRDefault="00A13282" w:rsidP="0020255E">
      <w:pPr>
        <w:pStyle w:val="a5"/>
        <w:rPr>
          <w:rtl/>
        </w:rPr>
      </w:pPr>
      <w:r>
        <w:rPr>
          <w:rStyle w:val="a7"/>
          <w:rtl/>
        </w:rPr>
        <w:footnoteRef/>
      </w:r>
      <w:r>
        <w:rPr>
          <w:rtl/>
        </w:rPr>
        <w:t xml:space="preserve"> </w:t>
      </w:r>
      <w:r>
        <w:rPr>
          <w:b/>
          <w:bCs/>
          <w:rtl/>
        </w:rPr>
        <w:t>ולקבל אלין תלת טפין כו'.</w:t>
      </w:r>
      <w:r>
        <w:rPr>
          <w:rtl/>
        </w:rPr>
        <w:t xml:space="preserve"> דשם זה הוא בעתיקא קדישא במוחא סתימאה כמו שאומר בתיקוני זוהר חדש, וזה השם הוא המילוי במוצאותיו, אחר צירי יו"ד, ואחר קמץ אלף, ואחר חולם וא"ו, וידוע ניקוד השם במוצאותיו, וכל ג' אותיות או"י שנחין באמצע הן בו, ואלין ג' יודין הם ג' מוחין דביה, ג' הויות, מכל יו"ד הוי"ה אחת ועיין לקמן קכ"א א' מ"ס אתקרי אין סוף, דאתפלג לתלת מוחין דאינון י' י' י' דאתרמיזו בהאי שמא יו"ד ה"י וא"ו ה"י כו' עיין שם:</w:t>
      </w:r>
    </w:p>
  </w:footnote>
  <w:footnote w:id="4885">
    <w:p w:rsidR="00A13282" w:rsidRDefault="00A13282" w:rsidP="0020255E">
      <w:pPr>
        <w:pStyle w:val="a5"/>
        <w:rPr>
          <w:rtl/>
        </w:rPr>
      </w:pPr>
      <w:r>
        <w:rPr>
          <w:rStyle w:val="a7"/>
          <w:rtl/>
        </w:rPr>
        <w:footnoteRef/>
      </w:r>
      <w:r>
        <w:rPr>
          <w:rtl/>
        </w:rPr>
        <w:t xml:space="preserve"> </w:t>
      </w:r>
      <w:r>
        <w:rPr>
          <w:b/>
          <w:bCs/>
          <w:rtl/>
        </w:rPr>
        <w:t xml:space="preserve">דעליה אתמר אני כו'. </w:t>
      </w:r>
      <w:r>
        <w:rPr>
          <w:rtl/>
        </w:rPr>
        <w:t>אני הוא בכתר ובמלכות כידוע, וכמו שאומר באידרא רבה ק"ל א' תא חזי כתיב אני ה' ראשון כו', ומבלעדי אין אלקים הוא יוד השני [איהי דאנהיג עלמא], ה' עלאה - אלקים חיים, והן ספר וספר וסיפור דעלמא מתנהג בהון, יו"ד ה"י - ספר וספר, וא"ו ה"י הן דעת, סיפור, והוא למעלה בשרשם אבל בהתפשטותם למטה והנהגת עולם - שם מ"ה, ג' אלפין בג' עלמין, בינה וזו"נ, מרמזין גם כן על היה הוה ויהיה, והן מלך מלך ימלוך וכמו שאומר בפ' בראשית ל"ד א' כתיב ה' מלך כו' דא עלמא כו' עיין שם: [ובהגהה ק"ז ב' ר' אליעזר ור' יוסי כו', תמצא לעיל על ההגהה. א.ה.]</w:t>
      </w:r>
    </w:p>
  </w:footnote>
  <w:footnote w:id="4886">
    <w:p w:rsidR="00A13282" w:rsidRDefault="00A13282" w:rsidP="0020255E">
      <w:pPr>
        <w:pStyle w:val="a5"/>
        <w:rPr>
          <w:rtl/>
        </w:rPr>
      </w:pPr>
      <w:r>
        <w:rPr>
          <w:rStyle w:val="a7"/>
          <w:rtl/>
        </w:rPr>
        <w:footnoteRef/>
      </w:r>
      <w:r>
        <w:rPr>
          <w:rtl/>
        </w:rPr>
        <w:t xml:space="preserve"> </w:t>
      </w:r>
      <w:r>
        <w:rPr>
          <w:b/>
          <w:bCs/>
          <w:rtl/>
        </w:rPr>
        <w:t xml:space="preserve">מאי ויפוזו דאזדריקת כו'. </w:t>
      </w:r>
      <w:r>
        <w:rPr>
          <w:rtl/>
        </w:rPr>
        <w:t>לשון ויהי דוד מפזז:</w:t>
      </w:r>
    </w:p>
  </w:footnote>
  <w:footnote w:id="4887">
    <w:p w:rsidR="00A13282" w:rsidRDefault="00A13282" w:rsidP="0020255E">
      <w:pPr>
        <w:pStyle w:val="a5"/>
        <w:rPr>
          <w:rtl/>
        </w:rPr>
      </w:pPr>
      <w:r>
        <w:rPr>
          <w:rStyle w:val="a7"/>
          <w:rtl/>
        </w:rPr>
        <w:footnoteRef/>
      </w:r>
      <w:r>
        <w:rPr>
          <w:rtl/>
        </w:rPr>
        <w:t xml:space="preserve"> </w:t>
      </w:r>
      <w:r>
        <w:rPr>
          <w:b/>
          <w:bCs/>
          <w:rtl/>
        </w:rPr>
        <w:t xml:space="preserve">ואזדריקת קשת כו'. </w:t>
      </w:r>
      <w:r>
        <w:rPr>
          <w:rtl/>
        </w:rPr>
        <w:t>רוצה לומר זה שאומר קשתו, דקשתו חזר לאיתנו ואזדריקו בזרועי ידיו, והטפה הוא יו"ד דלכן אתפליג ליה ניצוצין בעשר אצבעאן, דהטפה הוא ה’ חסדים וה’ גבורות (ועשר אצבעות הוא חכמה, יו"ד, כמו שאומר בס"ת כ"ב) שהן מן אצבעאן, ה' נגד ה' וכמו שאומר בפ' בלק וברית קדישא אתער בחמש אצבעאן דידין כו':</w:t>
      </w:r>
    </w:p>
  </w:footnote>
  <w:footnote w:id="4888">
    <w:p w:rsidR="00A13282" w:rsidRDefault="00A13282" w:rsidP="0020255E">
      <w:pPr>
        <w:pStyle w:val="a5"/>
        <w:rPr>
          <w:rtl/>
        </w:rPr>
      </w:pPr>
      <w:r>
        <w:rPr>
          <w:rStyle w:val="a7"/>
          <w:rtl/>
        </w:rPr>
        <w:footnoteRef/>
      </w:r>
      <w:r>
        <w:rPr>
          <w:rtl/>
        </w:rPr>
        <w:t xml:space="preserve"> </w:t>
      </w:r>
      <w:r>
        <w:rPr>
          <w:b/>
          <w:bCs/>
          <w:rtl/>
        </w:rPr>
        <w:t xml:space="preserve">בדיוקני' הוה ומאן גרם דאזדריקו תמן דיוקנא דאבוה כו'. </w:t>
      </w:r>
      <w:r>
        <w:rPr>
          <w:rtl/>
        </w:rPr>
        <w:t>הענין, כי הבל גרים ליה עובדא דאבוה כמו שאומר לעיל ק"ה א' וכיון דאתתקן עובדא דאבוה ביעקב לכן אזדמן ליה דיוקנא דאבוה ומנעו, וזה שאומר דהוה ביה דיוקנא דאדם קדמאה דא גרים כו' ונתקנו בהון אב ובן וזה שכתוב (בראשית מט כד) מידי אביר יעקב משם רועה אבן ישראל, הוא אבן שתיה הנ"ל שהוא אבן ישראל, דישראל שם ליה, (בראשית כח כב) והאבן הזאת אשר שמתי מצבה כו' כנ"ל, והוא אבנא דלהון לדרי דרין והאי אבנא גרם ליה למהוי רועה ומלך דאיהו מלכותא כנ"ל דמיניה ירתין מלכותא:</w:t>
      </w:r>
    </w:p>
  </w:footnote>
  <w:footnote w:id="4889">
    <w:p w:rsidR="00A13282" w:rsidRDefault="00A13282" w:rsidP="0020255E">
      <w:pPr>
        <w:pStyle w:val="a5"/>
        <w:rPr>
          <w:rtl/>
        </w:rPr>
      </w:pPr>
      <w:r>
        <w:rPr>
          <w:rStyle w:val="a7"/>
          <w:rtl/>
        </w:rPr>
        <w:footnoteRef/>
      </w:r>
      <w:r>
        <w:rPr>
          <w:rtl/>
        </w:rPr>
        <w:t xml:space="preserve"> </w:t>
      </w:r>
      <w:r>
        <w:rPr>
          <w:b/>
          <w:bCs/>
          <w:rtl/>
        </w:rPr>
        <w:t xml:space="preserve">ונעץ צפרניו בקרקע. </w:t>
      </w:r>
      <w:r>
        <w:rPr>
          <w:rtl/>
        </w:rPr>
        <w:t>שיצאו משם ולא בההוא זונה ע"י ברית קודש וכמו שאומר בפרק ב' דשבועות נועץ עשר צפרניו בקרקע כו', וזה שאמרו (יומא ט ע"ב) טובה צפרנן של ראשונים מכריסן של אחרונים, דודאי האי דנפיק מצפרנים אינן כי אם הארה מועטת דהוא רק בקיעה בעלמא בלא נקב ולא ע"י ברית בשפע גדול וקדוש - וראה מה קדושים היו, מכריסן - הוא ע"י כליות וברית קדש:</w:t>
      </w:r>
    </w:p>
  </w:footnote>
  <w:footnote w:id="4890">
    <w:p w:rsidR="00A13282" w:rsidRDefault="00A13282" w:rsidP="0020255E">
      <w:pPr>
        <w:pStyle w:val="a5"/>
        <w:rPr>
          <w:rtl/>
        </w:rPr>
      </w:pPr>
      <w:r>
        <w:rPr>
          <w:rStyle w:val="a7"/>
          <w:rtl/>
        </w:rPr>
        <w:footnoteRef/>
      </w:r>
      <w:r>
        <w:rPr>
          <w:rtl/>
        </w:rPr>
        <w:t xml:space="preserve"> </w:t>
      </w:r>
      <w:r>
        <w:rPr>
          <w:b/>
          <w:bCs/>
          <w:rtl/>
        </w:rPr>
        <w:t xml:space="preserve">ולא אזדריקו בהאי זונה דאי הוה זריק לה בהאי זונה כלהו ישראל הוו טבען בימא ולאו למגנא אוקמוהו קדמאין בשכר וינס הים ראה וינוס ואיהו קביל כו'. </w:t>
      </w:r>
      <w:r>
        <w:rPr>
          <w:rtl/>
        </w:rPr>
        <w:t>דבזכותיה ניצולו ישראל מן ימא ואזלין במדברא וכמו שכתוב (שמות יג יט) ויקח משה את עצמות יוסף עמו, (ירושלמי ברכות יד ע"א) והיו שתי ארונות מהלכין כו', והוא גרם זיווגא משה בארון, ולכן נאמר ויקח משה את עצמות יוסף עמו כדי לאזדווגא בשכינתא והאי עובדא גרם ליה להיות צדיק אלא דהקב"ה מדקדק בצדיקייא וחסר מיניה עשר שבטין דהוא דוגמת אבוה, דגוף וברית חד הוא, ושניהם אתחמו לתריסר תחומין, ועיקר תריסר תחומין הוא ביוסף הצדיק כמו שאומר בסתרי תורה ריש פ' לך לך וריש פ' שמות ושאר מקומות, והוא נקרא זה, ועיין לעיל ל"ב א':</w:t>
      </w:r>
    </w:p>
  </w:footnote>
  <w:footnote w:id="4891">
    <w:p w:rsidR="00A13282" w:rsidRDefault="00A13282" w:rsidP="0020255E">
      <w:pPr>
        <w:pStyle w:val="a5"/>
        <w:rPr>
          <w:rtl/>
        </w:rPr>
      </w:pPr>
      <w:r>
        <w:rPr>
          <w:rStyle w:val="a7"/>
          <w:rtl/>
        </w:rPr>
        <w:footnoteRef/>
      </w:r>
      <w:r>
        <w:rPr>
          <w:rtl/>
        </w:rPr>
        <w:t xml:space="preserve"> </w:t>
      </w:r>
      <w:r>
        <w:rPr>
          <w:b/>
          <w:bCs/>
          <w:rtl/>
        </w:rPr>
        <w:t xml:space="preserve">א"ל א"כ מאן יהב כו'. </w:t>
      </w:r>
      <w:r>
        <w:rPr>
          <w:rtl/>
        </w:rPr>
        <w:t>דאמר דפרח י' מן שת, דהן עשרה ניצוצין הנ"ל, הא אמר דהן בנוי דיוסף, והשיב לו נשמתין דצדיקייא כו' ושרשן משם , והבל פגם בהון ולכן גרם דאזדריק מיוסף בקרקע:</w:t>
      </w:r>
    </w:p>
  </w:footnote>
  <w:footnote w:id="4892">
    <w:p w:rsidR="00A13282" w:rsidRDefault="00A13282" w:rsidP="0020255E">
      <w:pPr>
        <w:pStyle w:val="a5"/>
        <w:rPr>
          <w:rtl/>
        </w:rPr>
      </w:pPr>
      <w:r>
        <w:rPr>
          <w:rStyle w:val="a7"/>
          <w:rtl/>
        </w:rPr>
        <w:footnoteRef/>
      </w:r>
      <w:r>
        <w:rPr>
          <w:rtl/>
        </w:rPr>
        <w:t xml:space="preserve"> </w:t>
      </w:r>
      <w:r>
        <w:rPr>
          <w:b/>
          <w:bCs/>
          <w:rtl/>
        </w:rPr>
        <w:t xml:space="preserve">מראשית לית ראשית כו'. </w:t>
      </w:r>
      <w:r>
        <w:rPr>
          <w:rtl/>
        </w:rPr>
        <w:t>רוצה לומר מה שכתוב מראשית אחרית, ראשית קאי על הנשמה דהיא ראשית לעולם, והוא מגיד ומושך לה אחרית בסוף ימים כמו שאמרו ביוסף וי' הרוגי מלוכה, וכן שת נקרא ראשית, בראשית הימים והוא ראשית לעולם דמיניה הושתת העולם ועיין לקמן קי"א ד':</w:t>
      </w:r>
    </w:p>
  </w:footnote>
  <w:footnote w:id="4893">
    <w:p w:rsidR="00A13282" w:rsidRDefault="00A13282" w:rsidP="0020255E">
      <w:pPr>
        <w:pStyle w:val="a5"/>
        <w:rPr>
          <w:rtl/>
        </w:rPr>
      </w:pPr>
      <w:r>
        <w:rPr>
          <w:rStyle w:val="a7"/>
          <w:rtl/>
        </w:rPr>
        <w:footnoteRef/>
      </w:r>
      <w:r>
        <w:rPr>
          <w:rtl/>
        </w:rPr>
        <w:t xml:space="preserve"> </w:t>
      </w:r>
      <w:r>
        <w:rPr>
          <w:b/>
          <w:bCs/>
          <w:rtl/>
        </w:rPr>
        <w:t xml:space="preserve">א"ל מהכא אשתמודע כו'. </w:t>
      </w:r>
      <w:r>
        <w:rPr>
          <w:rtl/>
        </w:rPr>
        <w:t>רוצה לומר דקאמר דיו"ד פרח מיניה כו' מקשת דאיהו ברית ואיהו הוה ליה מעשה אבותיו בידיו כמו שאומר לעיל ק"ה א' וזה שאומר ודא איהו דאמר כו' בגין דמעשה כו':</w:t>
      </w:r>
    </w:p>
  </w:footnote>
  <w:footnote w:id="4894">
    <w:p w:rsidR="00A13282" w:rsidRDefault="00A13282" w:rsidP="0020255E">
      <w:pPr>
        <w:pStyle w:val="a5"/>
        <w:rPr>
          <w:rtl/>
        </w:rPr>
      </w:pPr>
      <w:r>
        <w:rPr>
          <w:rStyle w:val="a7"/>
          <w:rtl/>
        </w:rPr>
        <w:footnoteRef/>
      </w:r>
      <w:r>
        <w:rPr>
          <w:rtl/>
        </w:rPr>
        <w:t xml:space="preserve"> </w:t>
      </w:r>
      <w:r>
        <w:rPr>
          <w:b/>
          <w:bCs/>
          <w:rtl/>
        </w:rPr>
        <w:t xml:space="preserve">א"ל אשתכח כו'. </w:t>
      </w:r>
      <w:r>
        <w:rPr>
          <w:rtl/>
        </w:rPr>
        <w:t>מקומו לקמן קי"א א' קודם אמר ר' אלעזר כו' ועיין מה שאומר שם:</w:t>
      </w:r>
    </w:p>
  </w:footnote>
  <w:footnote w:id="4895">
    <w:p w:rsidR="00A13282" w:rsidRDefault="00A13282" w:rsidP="0020255E">
      <w:pPr>
        <w:pStyle w:val="a5"/>
        <w:rPr>
          <w:rtl/>
        </w:rPr>
      </w:pPr>
      <w:r>
        <w:rPr>
          <w:rStyle w:val="a7"/>
          <w:rtl/>
        </w:rPr>
        <w:footnoteRef/>
      </w:r>
      <w:r>
        <w:rPr>
          <w:rtl/>
        </w:rPr>
        <w:t xml:space="preserve"> </w:t>
      </w:r>
      <w:r>
        <w:rPr>
          <w:b/>
          <w:bCs/>
          <w:rtl/>
        </w:rPr>
        <w:t xml:space="preserve">דמשה איהו גלגולא כו'. </w:t>
      </w:r>
      <w:r>
        <w:rPr>
          <w:rtl/>
        </w:rPr>
        <w:t>ועל אדם לא הוצרך לפרש דכבר פירש שם בארוכה, ואמר שם אדם ושת ופירש כאן דהוא הבל כמו שמפרש והולך בשגם כו' ורוצה לומר דבשגם קאי על משה דכתיב והיו ימיו כו' ונאמר שגם זה הבל וכמו שאומר לעיל ק"ג א' ואמר ורזא דמלה דאתמר בשת דהוא שית תיקונים  דאדם והבל כתיב ביה (בראשית ד כו) אז הוחל לקרוא בשם ה' אע"ג דכתיב אחר שילד את אנוש מכל מקום לא קאי אלא על שת אלא שגמר את הענין, ועוד דאנוש קאי על גלגולין דיליה כמו שאומר בסוף תיקוני זוהר חדש פ"ו עיין שם בדבריו והכל קאי על משה, אז - אז ישיר, בשם - ואדעך בשם, ודריש בשם - ב' שם, שמו ושם בנו כמו שמפרש והולך, הוחל - דמתמן הושתת עלמא, דמסיני הושתת עלמא במתן תורה ואתבסם עלמא ועיין בזוהר חדש שה"ש ולקרוא בשם ה' כמו שכתוב ושמי ה' לא נודעתי להם, עד דאתא משה ועיין לקמן קי"ח ב' כד אתא משה בתר יעקב אשתלים ביה ה' בתראה, ושריא עליה יה"ו, ואשתלים ביה יהו"ה, ובג"ד ושמי ה' לא נודעתי להם אבל למשה ואמרו לי מה שמו מה אומר אליהם, בגין דאשתלים יהו"ה במשה אמר אז הוחל לקרוא בשם ה', דבקדמיתא ושמי ה' לא נודעתי להם כו' ולא עוד אלא תרין זמנין אמר בהאי קרא מ"ה, הה"ד ואמרו לי מה שמו מה אומר אליהם, דכלא חזר לאתריה כו':</w:t>
      </w:r>
    </w:p>
  </w:footnote>
  <w:footnote w:id="4896">
    <w:p w:rsidR="00A13282" w:rsidRDefault="00A13282" w:rsidP="0020255E">
      <w:pPr>
        <w:pStyle w:val="a5"/>
        <w:rPr>
          <w:rtl/>
        </w:rPr>
      </w:pPr>
      <w:r>
        <w:rPr>
          <w:rStyle w:val="a7"/>
          <w:rtl/>
        </w:rPr>
        <w:footnoteRef/>
      </w:r>
      <w:r>
        <w:rPr>
          <w:rtl/>
        </w:rPr>
        <w:t xml:space="preserve"> </w:t>
      </w:r>
      <w:r>
        <w:rPr>
          <w:b/>
          <w:bCs/>
          <w:rtl/>
        </w:rPr>
        <w:t xml:space="preserve">הרי עשיה. </w:t>
      </w:r>
      <w:r>
        <w:rPr>
          <w:rtl/>
        </w:rPr>
        <w:t xml:space="preserve">הוא בינה, עובדא דאתכליל בחכמה, וזה שאומר בגין דתמן כ"ח מ"ה אותיות חכמה, וכח הוא כח מעשיו הגיד לעמו, עובדא דבראשית ועיין לעיל ל"ט א' ואמר </w:t>
      </w:r>
      <w:r>
        <w:rPr>
          <w:b/>
          <w:bCs/>
          <w:rtl/>
        </w:rPr>
        <w:t xml:space="preserve">דא חכמה דאתפליג כו' </w:t>
      </w:r>
      <w:r>
        <w:rPr>
          <w:rtl/>
        </w:rPr>
        <w:t xml:space="preserve">ורוצה לומר כ"ח מ"ה, חו"ב, מה הוא חכמה דהוא אדם כמו שאומר למעלה והוא חושבן מה, מה שמו כנ"ל ק"ח ב', וזה שאומר </w:t>
      </w:r>
      <w:r>
        <w:rPr>
          <w:b/>
          <w:bCs/>
          <w:rtl/>
        </w:rPr>
        <w:t xml:space="preserve">מ"ה איהו אדם חשב מ"ה ותשכח דאיהו אדם ודא הוא מחשבה. </w:t>
      </w:r>
      <w:r>
        <w:rPr>
          <w:rtl/>
        </w:rPr>
        <w:t>ורוצה לומר דמה הוא בחושבן, וזהו אותיות מחשבה - חשב מ"ה דחכמה ותמצא דהוא אדם, וכן אמר בתיקוני זוהר חדש ורוצה לומר ונמצא דחכמה כולל חו"ב וכן בינה כמו שמפרש והולך בינה תמן כו' אלא דבה נתגלה הדעת גם כן וכמו שאמרו (אבות ג יז) אם אין בינה אין דעת, דבן לא אשתמודע אלא בבטן אמו וכנ"ל וזהו הבן בחכמה וחכם בבינה, דשניהם נכללו זה בזה, ואמר כל זה בשביל זה שאמר דמעשה הוא בבינה, ומביא ראיה שנאמר בחכמה עשית ואע"ג שנאמר בחכמה - היינו בינה, שבחכמה כ"ח מ"ה כנ"ל ואמר דאתכלילו זה בזה:</w:t>
      </w:r>
    </w:p>
  </w:footnote>
  <w:footnote w:id="4897">
    <w:p w:rsidR="00A13282" w:rsidRDefault="00A13282" w:rsidP="0020255E">
      <w:pPr>
        <w:pStyle w:val="a5"/>
        <w:rPr>
          <w:rtl/>
        </w:rPr>
      </w:pPr>
      <w:r>
        <w:rPr>
          <w:rStyle w:val="a7"/>
          <w:rtl/>
        </w:rPr>
        <w:footnoteRef/>
      </w:r>
      <w:r>
        <w:rPr>
          <w:rtl/>
        </w:rPr>
        <w:t xml:space="preserve"> </w:t>
      </w:r>
      <w:r>
        <w:rPr>
          <w:b/>
          <w:bCs/>
          <w:rtl/>
        </w:rPr>
        <w:t xml:space="preserve">עמוד דסמיך כו'. </w:t>
      </w:r>
      <w:r>
        <w:rPr>
          <w:rtl/>
        </w:rPr>
        <w:t xml:space="preserve">הוא הדעת וזה שאומר ההוא דאתמר כו', דהוא דרגיה, וכמו יסוד עמוד דסמיך לזו"נ, כן הוא לאו"א, דאינון בחד דרגא שלכן נאמר ידע את אשתו, ברית הלשון וברית המעור, ובג"ד יש הבל כו' אשר כו' ויש כו' והן ב' הבלים הנ"ל ואמר </w:t>
      </w:r>
      <w:r>
        <w:rPr>
          <w:b/>
          <w:bCs/>
          <w:rtl/>
        </w:rPr>
        <w:t xml:space="preserve">מאי הרשעים כו' </w:t>
      </w:r>
      <w:r>
        <w:rPr>
          <w:rtl/>
        </w:rPr>
        <w:t>עיין לעיל ק"ה א' בארוכה:</w:t>
      </w:r>
    </w:p>
  </w:footnote>
  <w:footnote w:id="4898">
    <w:p w:rsidR="00A13282" w:rsidRDefault="00A13282" w:rsidP="0020255E">
      <w:pPr>
        <w:pStyle w:val="a5"/>
        <w:rPr>
          <w:rtl/>
        </w:rPr>
      </w:pPr>
      <w:r>
        <w:rPr>
          <w:rStyle w:val="a7"/>
          <w:rtl/>
        </w:rPr>
        <w:footnoteRef/>
      </w:r>
      <w:r>
        <w:rPr>
          <w:rtl/>
        </w:rPr>
        <w:t xml:space="preserve"> </w:t>
      </w:r>
      <w:r>
        <w:rPr>
          <w:b/>
          <w:bCs/>
          <w:rtl/>
        </w:rPr>
        <w:t xml:space="preserve">ש' דמשה איהו תלת ענפין דשרשא דאילנא. </w:t>
      </w:r>
      <w:r>
        <w:rPr>
          <w:rtl/>
        </w:rPr>
        <w:t xml:space="preserve">רוצה לומר תלת גלגולין דשת, ואמר דשרשא דאילנא רוצה לומר כמו שאומר למטה ובגין דעקר שי"ן דאיהי שרשא דאילנא מאתריה דאתעבידת כו' אתפלגו לתלת כו' אבל במשה נעשו לאחדים בשרשא דאילנא, בגוף אחד, וזה שאומר ודא כו' ואמר מ"ה מן משה דא אדם כנ"ל בחושבן, ולא קאמר כאן גם כן ג' ענפין משום דאדם כבר אצלח באבהן ואתא יחידאי כנ"ל במשה וכמו שאומר למטה אבל אדם אתנטע כו' ולא אתא ביה אלא לאשקאה אילנא כמו שאומר למטה משום שהוא סוד הדעת עיין שם, ואמר </w:t>
      </w:r>
      <w:r>
        <w:rPr>
          <w:b/>
          <w:bCs/>
          <w:rtl/>
        </w:rPr>
        <w:t xml:space="preserve">דאיהו בדיוקנא דאדם דלעילא. </w:t>
      </w:r>
      <w:r>
        <w:rPr>
          <w:rtl/>
        </w:rPr>
        <w:t xml:space="preserve">והוא חכמה דהוא בחכמה עלאה ורוצה לומר משום דרוצה לומר ודא איהו מה שמו כו' (כולה במשה: </w:t>
      </w:r>
      <w:r>
        <w:rPr>
          <w:b/>
          <w:bCs/>
          <w:rtl/>
        </w:rPr>
        <w:t xml:space="preserve">והאי מה תורה כו'. </w:t>
      </w:r>
      <w:r>
        <w:rPr>
          <w:rtl/>
        </w:rPr>
        <w:t xml:space="preserve">כן צריך לומר, ורוצה לומר דתמימה תמן מה, והן ב' מ"ה יו"ד וא' סוד וידע כו') ומפרש והולך ה' חמשה כו'. ואמר </w:t>
      </w:r>
      <w:r>
        <w:rPr>
          <w:b/>
          <w:bCs/>
          <w:rtl/>
        </w:rPr>
        <w:t xml:space="preserve">דלחם לא אכל כו'. </w:t>
      </w:r>
      <w:r>
        <w:rPr>
          <w:rtl/>
        </w:rPr>
        <w:t>רוצה לומר ותיקן חובא דאדם דהיה באכילה, והוא מ"ה דאדם, מ' יום, ולמד ה' חומשי תורה אז בלא אכילה:</w:t>
      </w:r>
    </w:p>
  </w:footnote>
  <w:footnote w:id="4899">
    <w:p w:rsidR="00A13282" w:rsidRDefault="00A13282" w:rsidP="0020255E">
      <w:pPr>
        <w:pStyle w:val="a5"/>
        <w:rPr>
          <w:rtl/>
        </w:rPr>
      </w:pPr>
      <w:r>
        <w:rPr>
          <w:rStyle w:val="a7"/>
          <w:rtl/>
        </w:rPr>
        <w:footnoteRef/>
      </w:r>
      <w:r>
        <w:rPr>
          <w:rtl/>
        </w:rPr>
        <w:t xml:space="preserve"> </w:t>
      </w:r>
      <w:r>
        <w:rPr>
          <w:b/>
          <w:bCs/>
          <w:rtl/>
        </w:rPr>
        <w:t xml:space="preserve">ובגין דעקר כו'. </w:t>
      </w:r>
      <w:r>
        <w:rPr>
          <w:rtl/>
        </w:rPr>
        <w:t>כנ"ל דפרח יו"ד מיניה, דמיניה הן ג' טפין, ונפרדו לתלת, וכן הוא בשי"ן, דפרח יוד דאיהי שורש השין למטה ועל ידה נעשו ג' זיינין כמו שמפרש והולך ולכן כמו שעקר לג' כן אתפלגו לג' וכמו שמפרש והולך אתפלגו לתלת כו':</w:t>
      </w:r>
    </w:p>
  </w:footnote>
  <w:footnote w:id="4900">
    <w:p w:rsidR="00A13282" w:rsidRDefault="00A13282" w:rsidP="0020255E">
      <w:pPr>
        <w:pStyle w:val="a5"/>
        <w:rPr>
          <w:rtl/>
        </w:rPr>
      </w:pPr>
      <w:r>
        <w:rPr>
          <w:rStyle w:val="a7"/>
          <w:rtl/>
        </w:rPr>
        <w:footnoteRef/>
      </w:r>
      <w:r>
        <w:rPr>
          <w:rtl/>
        </w:rPr>
        <w:t xml:space="preserve"> </w:t>
      </w:r>
      <w:r>
        <w:rPr>
          <w:b/>
          <w:bCs/>
          <w:rtl/>
        </w:rPr>
        <w:t xml:space="preserve">ובגין כו'. </w:t>
      </w:r>
      <w:r>
        <w:rPr>
          <w:rtl/>
        </w:rPr>
        <w:t>רוצה לומר כל זה להורות דמשה הוא גלגולא דלהון, ואמר ושם לאו למגנא כו' רוצה לומר דוגמת משה דעל ידו נתנה התורה, וכן יפת כו'.</w:t>
      </w:r>
    </w:p>
  </w:footnote>
  <w:footnote w:id="4901">
    <w:p w:rsidR="00A13282" w:rsidRDefault="00A13282" w:rsidP="0020255E">
      <w:pPr>
        <w:pStyle w:val="a5"/>
        <w:rPr>
          <w:rtl/>
        </w:rPr>
      </w:pPr>
      <w:r>
        <w:rPr>
          <w:rStyle w:val="a7"/>
          <w:rtl/>
        </w:rPr>
        <w:footnoteRef/>
      </w:r>
      <w:r>
        <w:rPr>
          <w:rtl/>
        </w:rPr>
        <w:t xml:space="preserve"> </w:t>
      </w:r>
      <w:r>
        <w:rPr>
          <w:b/>
          <w:bCs/>
          <w:rtl/>
        </w:rPr>
        <w:t xml:space="preserve">חמא דלא אצלח. </w:t>
      </w:r>
      <w:r>
        <w:rPr>
          <w:rtl/>
        </w:rPr>
        <w:t xml:space="preserve">רוצה לומר שלא אתפשטו שרשין, אע"ג דשם קבע מדרשות ברבים מכל מקום לא הלכו הכל שם, וכל שכן יפת, וכן נח דלא בעא על עמיה - נטע ליה יחידאי במשה, ולמד תורה לכל ישראל, ובעא עלייהו, ואתקיימו על ידו, והוא אצלח בענפיה לכל סטר, ואמר </w:t>
      </w:r>
      <w:r>
        <w:rPr>
          <w:b/>
          <w:bCs/>
          <w:rtl/>
        </w:rPr>
        <w:t xml:space="preserve">אבל אדם כו' </w:t>
      </w:r>
      <w:r>
        <w:rPr>
          <w:rtl/>
        </w:rPr>
        <w:t>דנפקי מינייהו ענפין לכל סטר שהולידו לכל ישראל ועיין לעיל ק"ה ב' והאי אילנא קב"ה נטע כו' בתלת אבהן ומצלח תמן כו' ואסתלקו ענפוי כו', ונמצא למדין מכאן הצלחה של חג"ת הוא שמהם יתפשטו תולדות טובים, והצלחה של נה"י הוא ללמד ולהורות לכל, שעל ידו יתקיימו, ולכן חג"ת נקראו אבהן אבל נו"ה תרין משיחין, לקבץ ולהורות כולם, וכן תרין נביאים, וכן יוסף הצדיק שעל ידו נתקיימו כולם, וכן נח בתיבה, ונענש שלא ביקש שיתקיימו כולם, וכן שם ויפת בבתי מדרשות, וכן משה:</w:t>
      </w:r>
    </w:p>
  </w:footnote>
  <w:footnote w:id="4902">
    <w:p w:rsidR="00A13282" w:rsidRDefault="00A13282" w:rsidP="0020255E">
      <w:pPr>
        <w:pStyle w:val="a5"/>
        <w:rPr>
          <w:rtl/>
        </w:rPr>
      </w:pPr>
      <w:r>
        <w:rPr>
          <w:rStyle w:val="a7"/>
          <w:rtl/>
        </w:rPr>
        <w:footnoteRef/>
      </w:r>
      <w:r>
        <w:rPr>
          <w:rtl/>
        </w:rPr>
        <w:t xml:space="preserve"> </w:t>
      </w:r>
      <w:r>
        <w:rPr>
          <w:b/>
          <w:bCs/>
          <w:rtl/>
        </w:rPr>
        <w:t xml:space="preserve">מיד אתא משה דאיהו בריה ויהיב כו'. </w:t>
      </w:r>
      <w:r>
        <w:rPr>
          <w:rtl/>
        </w:rPr>
        <w:t>רוצה לומר דאבהן הן אדם, והוא - שת בריה דאדם, ועל ידו אתשקי עילנא כו' כמו שמפרש והולך לאפקאה אילנא לאתגדלא בשרשוי וענפוי כו' (הגהה: ושרשוי הוא ביה, וענפוי הוא בישראל, ג' דרגין דאבהן כהנים כו' וזה שאמרו (שבת פח ע"א) לעם תליתאי ע"י תליתאי, וזכו לזה באורייתא ביום כו', דג' ימים נצרפו ג' מנהון, ומשה בג' דביה אוריד אורייתא) וכנ"ל שפעולתו הוא לגדל האילן בתורה, ושיתקיימו על ידו, והוא השקאת האילן שלא יתיבש. ואמר בההוא זמנא אתתקן כו', דגרים הבל, ולא אתקן בשת כנ"ל, ואתתקן ביה בשורש אחד:</w:t>
      </w:r>
    </w:p>
  </w:footnote>
  <w:footnote w:id="4903">
    <w:p w:rsidR="00A13282" w:rsidRDefault="00A13282" w:rsidP="0020255E">
      <w:pPr>
        <w:pStyle w:val="a5"/>
        <w:rPr>
          <w:rtl/>
        </w:rPr>
      </w:pPr>
      <w:r>
        <w:rPr>
          <w:rStyle w:val="a7"/>
          <w:rtl/>
        </w:rPr>
        <w:footnoteRef/>
      </w:r>
      <w:r>
        <w:rPr>
          <w:rtl/>
        </w:rPr>
        <w:t xml:space="preserve"> </w:t>
      </w:r>
      <w:r>
        <w:rPr>
          <w:b/>
          <w:bCs/>
          <w:rtl/>
        </w:rPr>
        <w:t xml:space="preserve">לבת' דאתכניש כו' </w:t>
      </w:r>
      <w:r>
        <w:rPr>
          <w:rtl/>
        </w:rPr>
        <w:t>דהוא אתפשט ואתגלגל בכל דור, והוא בג' דרגין, בנביאים דאינון תרין, נביאים ובעלי רוח הקודש, ובמשכילים דאינון מסטרא דמשכיל לאיתן, איתן מושבך, תניא דמסייע ליה:</w:t>
      </w:r>
    </w:p>
  </w:footnote>
  <w:footnote w:id="4904">
    <w:p w:rsidR="00A13282" w:rsidRDefault="00A13282" w:rsidP="0020255E">
      <w:pPr>
        <w:pStyle w:val="a5"/>
        <w:rPr>
          <w:rtl/>
        </w:rPr>
      </w:pPr>
      <w:r>
        <w:rPr>
          <w:rStyle w:val="a7"/>
          <w:rtl/>
        </w:rPr>
        <w:footnoteRef/>
      </w:r>
      <w:r>
        <w:rPr>
          <w:rtl/>
        </w:rPr>
        <w:t xml:space="preserve"> </w:t>
      </w:r>
      <w:r>
        <w:rPr>
          <w:b/>
          <w:bCs/>
          <w:rtl/>
        </w:rPr>
        <w:t xml:space="preserve">מיד דאשכח כו'. </w:t>
      </w:r>
      <w:r>
        <w:rPr>
          <w:rtl/>
        </w:rPr>
        <w:t>רוצה לומר דשם נח, וזהו שב הרוח, דנח:</w:t>
      </w:r>
    </w:p>
  </w:footnote>
  <w:footnote w:id="4905">
    <w:p w:rsidR="00A13282" w:rsidRDefault="00A13282" w:rsidP="0020255E">
      <w:pPr>
        <w:pStyle w:val="a5"/>
        <w:rPr>
          <w:rtl/>
        </w:rPr>
      </w:pPr>
      <w:r>
        <w:rPr>
          <w:rStyle w:val="a7"/>
          <w:rtl/>
        </w:rPr>
        <w:footnoteRef/>
      </w:r>
      <w:r>
        <w:rPr>
          <w:rtl/>
        </w:rPr>
        <w:t xml:space="preserve"> </w:t>
      </w:r>
      <w:r>
        <w:rPr>
          <w:b/>
          <w:bCs/>
          <w:rtl/>
        </w:rPr>
        <w:t xml:space="preserve">א"ל ר"א כו'. </w:t>
      </w:r>
      <w:r>
        <w:rPr>
          <w:rtl/>
        </w:rPr>
        <w:t xml:space="preserve">רוצה לומר דמפרש לקרא דאתפשט בשית סטרין, ג' - סובב הנ"ל בג' חג"ת, ועל סביבותיו שב הרוח הוא בנה"י שהוא סביבותיו של חג"ת, ונאמר כאן סביבותיו של רוח שהוא ג' ענפין דביה, נה"י כנ"ל, מה שאין כן בחג"ת שאינו הולך רק לאשקאה להון כנ"ל, וכאן נאמר סביבותיו בלשון יחיד דביה נעשו לשורש אחד, וג' דאבהן הן כהנים לוים וישראלים דאחזר לאשקאה להון, אבל שב הרוח הוא בג' דרגין דיליה, נביאים ומשכילים הנ"ל, וכמו בימיו דג' נה"י אתכלילו ביה ולימד לכל ג' דרגין דכהנים ולוים וישראלים ואשקי לון, כן מחזיר בתר ג' דרגין דיליה, נביאים ומשכילים, לאשקי לכלהו ואמר </w:t>
      </w:r>
      <w:r>
        <w:rPr>
          <w:b/>
          <w:bCs/>
          <w:rtl/>
        </w:rPr>
        <w:t xml:space="preserve">מרוחא דקודשא כו'. </w:t>
      </w:r>
      <w:r>
        <w:rPr>
          <w:rtl/>
        </w:rPr>
        <w:t>רוצה לומר הדעת דהוא הרוח דסובב לכל סיטרין והוא דרגא דמשה והוא קרא הזה ברוח והוא אשקי לכל שית סיטרין:</w:t>
      </w:r>
    </w:p>
  </w:footnote>
  <w:footnote w:id="4906">
    <w:p w:rsidR="00A13282" w:rsidRDefault="00A13282" w:rsidP="0020255E">
      <w:pPr>
        <w:pStyle w:val="a5"/>
        <w:rPr>
          <w:rtl/>
        </w:rPr>
      </w:pPr>
      <w:r>
        <w:rPr>
          <w:rStyle w:val="a7"/>
          <w:rtl/>
        </w:rPr>
        <w:footnoteRef/>
      </w:r>
      <w:r>
        <w:rPr>
          <w:rtl/>
        </w:rPr>
        <w:t xml:space="preserve"> </w:t>
      </w:r>
      <w:r>
        <w:rPr>
          <w:b/>
          <w:bCs/>
          <w:rtl/>
        </w:rPr>
        <w:t xml:space="preserve">והכי אדם עילאה כו'. </w:t>
      </w:r>
      <w:r>
        <w:rPr>
          <w:rtl/>
        </w:rPr>
        <w:t>רוצה לומר דאדם גם כן אתפשט באלין שית, כהנים לויים וישראלים וג' הנ"ל, שהן הכל זרע דאבהן, ומשה הוא רוחא דבפנים שמלמד תורה לכולם ואשקי לון וכמו שאמרו יעקב מלבר ומשה מלגאו, דהכל יצאו מיעקב דהוא עמודא דאמצעיתא כליל ו"ק והוא ששה הנ"ל, ומשה רוחא דקודשא, דעת דאשקי לון, וזה שאומר ברא שית לעילא ברא כו', והן אדם ושת, וזה שאומר י' דפרח כו', וכמו שפרח מהבן ונעשה שת, כן פרח מאב דאיהו יעקב, דיוקנא דאדם, ולכן (בראשית לב לב) והוא צולע על ירכו, ונשיך ליה חיויא בלילה ההוא בעקב, אבל אח"כ (שם) ויזרח לו השמש ונקרא ישראל, הוא ישופך ראש דישראל ויו"ד דשת במשה כנ"ל:</w:t>
      </w:r>
    </w:p>
  </w:footnote>
  <w:footnote w:id="4907">
    <w:p w:rsidR="00A13282" w:rsidRDefault="00A13282" w:rsidP="0020255E">
      <w:pPr>
        <w:pStyle w:val="a5"/>
        <w:rPr>
          <w:rtl/>
        </w:rPr>
      </w:pPr>
      <w:r>
        <w:rPr>
          <w:rStyle w:val="a7"/>
          <w:rtl/>
        </w:rPr>
        <w:footnoteRef/>
      </w:r>
      <w:r>
        <w:rPr>
          <w:rtl/>
        </w:rPr>
        <w:t xml:space="preserve"> </w:t>
      </w:r>
      <w:r>
        <w:rPr>
          <w:b/>
          <w:bCs/>
          <w:rtl/>
        </w:rPr>
        <w:t xml:space="preserve">ובג"ד כד פרח כו' אחר דגרם כו'. </w:t>
      </w:r>
      <w:r>
        <w:rPr>
          <w:rtl/>
        </w:rPr>
        <w:t>דאחד, יחודא, הוא בקוצו של ד' וכשפרח אות ברית נעשה אחר כמו שאומר לעיל ק"ב ב' עיין שם בדבריו:</w:t>
      </w:r>
    </w:p>
  </w:footnote>
  <w:footnote w:id="4908">
    <w:p w:rsidR="00A13282" w:rsidRDefault="00A13282" w:rsidP="0020255E">
      <w:pPr>
        <w:pStyle w:val="a5"/>
        <w:rPr>
          <w:rtl/>
        </w:rPr>
      </w:pPr>
      <w:r>
        <w:rPr>
          <w:rStyle w:val="a7"/>
          <w:rtl/>
        </w:rPr>
        <w:footnoteRef/>
      </w:r>
      <w:r>
        <w:rPr>
          <w:rtl/>
        </w:rPr>
        <w:t xml:space="preserve"> </w:t>
      </w:r>
      <w:r>
        <w:rPr>
          <w:b/>
          <w:bCs/>
          <w:rtl/>
        </w:rPr>
        <w:t xml:space="preserve">ורזא דשת כל כו'. </w:t>
      </w:r>
      <w:r>
        <w:rPr>
          <w:rtl/>
        </w:rPr>
        <w:t>דגרם לכל דנחית תחות רגליה, דפרח מיניה ואתפליג ליו"ד ניצוצין תחות רגליה כנ"ל:</w:t>
      </w:r>
    </w:p>
  </w:footnote>
  <w:footnote w:id="4909">
    <w:p w:rsidR="00A13282" w:rsidRDefault="00A13282" w:rsidP="0020255E">
      <w:pPr>
        <w:pStyle w:val="a5"/>
        <w:rPr>
          <w:rtl/>
        </w:rPr>
      </w:pPr>
      <w:r>
        <w:rPr>
          <w:rStyle w:val="a7"/>
          <w:rtl/>
        </w:rPr>
        <w:footnoteRef/>
      </w:r>
      <w:r>
        <w:rPr>
          <w:rtl/>
        </w:rPr>
        <w:t xml:space="preserve"> </w:t>
      </w:r>
      <w:r>
        <w:rPr>
          <w:b/>
          <w:bCs/>
          <w:rtl/>
        </w:rPr>
        <w:t xml:space="preserve">בההוא זמנא כו' דאינון ב' כו'. </w:t>
      </w:r>
      <w:r>
        <w:rPr>
          <w:rtl/>
        </w:rPr>
        <w:t>דבית הוא היכלא ליו"ד, נקודה בהיכליה, ב' דבראשית, וזה שאומר ובאן כו' ואת יו"ד איהו כו', שלא רצה להציץ על תמונת ה', חכמה דילה, וכסה פניו והעלימה בב', נקודה בהיכליה, בב' לוחין, ולא אסתכל אלא בב' לוחין דהן לבושיה דיו"ד אבל במראה, נקודה בלא לבושיה, לא רצה להסתכל, ובזה תיקן חטא הבל דהציץ ופרח היו"ד, מחשבה דחב ולכן זכה לתמונת ה' יביט:</w:t>
      </w:r>
    </w:p>
  </w:footnote>
  <w:footnote w:id="4910">
    <w:p w:rsidR="00A13282" w:rsidRDefault="00A13282" w:rsidP="0020255E">
      <w:pPr>
        <w:pStyle w:val="a5"/>
        <w:rPr>
          <w:rtl/>
        </w:rPr>
      </w:pPr>
      <w:r>
        <w:rPr>
          <w:rStyle w:val="a7"/>
          <w:rtl/>
        </w:rPr>
        <w:footnoteRef/>
      </w:r>
      <w:r>
        <w:rPr>
          <w:rtl/>
        </w:rPr>
        <w:t xml:space="preserve"> </w:t>
      </w:r>
      <w:r>
        <w:rPr>
          <w:b/>
          <w:bCs/>
          <w:rtl/>
        </w:rPr>
        <w:t xml:space="preserve">ואשתלים שת והיינו בראשית. </w:t>
      </w:r>
      <w:r>
        <w:rPr>
          <w:rtl/>
        </w:rPr>
        <w:t xml:space="preserve">רוצה לומר והתחילה התורה על ידו בראשית, שית מלא ביו"ד בראשית ומפרש והולך כל תיבת בראשית דהוא תיקונא דאב ובן, דתמן אב שת דהוא אב ובן, ואמר בכלי אחד רוצה לומר בתיבה אחת וכן הם בגוף אחד, זה מלבר וזה מלגאו כנ"ל, והוא רזא דא"ת ב"ש שהן אב ובן משולבות באחד, מיוחדים זה בזה ולא מתפרשין וזה שאומר ודא הוא רזא כו' הכא אתתקן כו' בראשית תמן כו'. ואמר </w:t>
      </w:r>
      <w:r>
        <w:rPr>
          <w:b/>
          <w:bCs/>
          <w:rtl/>
        </w:rPr>
        <w:t xml:space="preserve">אשתאר ר"י מן כו' וירא כו'. </w:t>
      </w:r>
      <w:r>
        <w:rPr>
          <w:rtl/>
        </w:rPr>
        <w:t>רוצה לומר כמו שמפרש והולך, דאיהו - ראשית חכמה יראת ה', והן - ב' יודין דחבו בהון, אב - בחכמה עילאה דהוא נקרא ראשית, ר', ובן - בחכמה תתאה, ברית קודש, יראת ה' כידוע, וממקדשי תיראו, והוא י', ונתקנו כאן ועייל ריש בין אב ונעשה ברא, ויו"ד בין שת ונעשה שית, ונעשה בראשית, (הגהה: וזכה לזה בסנה כי ירא כו' ובסיני בתורה שהיא ראשית) וכן הוא בוירא ראשית ירא ראשית הן י"ר דוא"ו אינו רק מהפך מעתיד לעבר. והיראה והראיה הכל אחד דע"י יראה שירא להסתכל זכה לראיה ותמונה ה' יביט ובזה נתתקן י' של שת כנ"ל, וזה שאומר</w:t>
      </w:r>
      <w:r>
        <w:rPr>
          <w:b/>
          <w:bCs/>
          <w:rtl/>
        </w:rPr>
        <w:t xml:space="preserve"> ובג"ד בין ואב וירא ראשית לו </w:t>
      </w:r>
      <w:r>
        <w:rPr>
          <w:rtl/>
        </w:rPr>
        <w:t xml:space="preserve">כן צריך לומר: </w:t>
      </w:r>
    </w:p>
  </w:footnote>
  <w:footnote w:id="4911">
    <w:p w:rsidR="00A13282" w:rsidRDefault="00A13282" w:rsidP="0020255E">
      <w:pPr>
        <w:pStyle w:val="a5"/>
        <w:rPr>
          <w:rtl/>
        </w:rPr>
      </w:pPr>
      <w:r>
        <w:rPr>
          <w:rStyle w:val="a7"/>
          <w:rtl/>
        </w:rPr>
        <w:footnoteRef/>
      </w:r>
      <w:r>
        <w:rPr>
          <w:rtl/>
        </w:rPr>
        <w:t xml:space="preserve"> </w:t>
      </w:r>
      <w:r>
        <w:rPr>
          <w:b/>
          <w:bCs/>
          <w:rtl/>
        </w:rPr>
        <w:t xml:space="preserve">מתמן ירית לו נשמתא. </w:t>
      </w:r>
      <w:r>
        <w:rPr>
          <w:rtl/>
        </w:rPr>
        <w:t xml:space="preserve">רוצה לומר אדם הראשון ירית נשמתא מחכמה עילאה שנקרא ראשית, ונקרא אדם הראשון ראשית בשמיה הראשון, ונקרא גם כן אדם בשמו, וזהו אדם הראשון, הכל בשמו, וזהו וירא ראשית לו - דראשית ירית ליה, וזה שאומר </w:t>
      </w:r>
      <w:r>
        <w:rPr>
          <w:b/>
          <w:bCs/>
          <w:rtl/>
        </w:rPr>
        <w:t xml:space="preserve">ואתקרי ראשית כו'. </w:t>
      </w:r>
      <w:r>
        <w:rPr>
          <w:rtl/>
        </w:rPr>
        <w:t>רוצה לומר בשם החכמה, ואתקרי אדם כשמיה:</w:t>
      </w:r>
    </w:p>
  </w:footnote>
  <w:footnote w:id="4912">
    <w:p w:rsidR="00A13282" w:rsidRDefault="00A13282" w:rsidP="0020255E">
      <w:pPr>
        <w:pStyle w:val="a5"/>
        <w:rPr>
          <w:rtl/>
        </w:rPr>
      </w:pPr>
      <w:r>
        <w:rPr>
          <w:rStyle w:val="a7"/>
          <w:rtl/>
        </w:rPr>
        <w:footnoteRef/>
      </w:r>
      <w:r>
        <w:rPr>
          <w:rtl/>
        </w:rPr>
        <w:t xml:space="preserve"> </w:t>
      </w:r>
      <w:r>
        <w:rPr>
          <w:b/>
          <w:bCs/>
          <w:rtl/>
        </w:rPr>
        <w:t xml:space="preserve">בתלת אבהן דאינון שי"ן אתא אדם ובמשה כליל כלא ובג"ד ש' מן משה לקבל תלת אבהן כו'. </w:t>
      </w:r>
      <w:r>
        <w:rPr>
          <w:rtl/>
        </w:rPr>
        <w:t>ורוצה לומר דאדם נתגלגל בתלת אבהן דאינון ש' וזהו ראשית חכמה יראת ה', דיראת נעשה באבהן ראשית, ואמר ש' דמשה רמיז גם כן לתלת אבהן כגוונא דאדם קדמאה ואמר מרכבתא שלימתא כו' רוצה לומר כמו שהן באדם וג' אבהן, שהן מרכבה שלימה, אבהן בג' חיות כידוע ואדם הוא הרביעי דמות אדם דכליל כולה, כן הוא במשה לבדו במ"ה וש' דיליה כמו שמפרש והולך תלת ענפין כו' מ"ה כו':</w:t>
      </w:r>
    </w:p>
  </w:footnote>
  <w:footnote w:id="4913">
    <w:p w:rsidR="00A13282" w:rsidRDefault="00A13282" w:rsidP="0020255E">
      <w:pPr>
        <w:pStyle w:val="a5"/>
        <w:rPr>
          <w:rtl/>
        </w:rPr>
      </w:pPr>
      <w:r>
        <w:rPr>
          <w:rStyle w:val="a7"/>
          <w:rtl/>
        </w:rPr>
        <w:footnoteRef/>
      </w:r>
      <w:r>
        <w:rPr>
          <w:rtl/>
        </w:rPr>
        <w:t xml:space="preserve"> </w:t>
      </w:r>
      <w:r>
        <w:rPr>
          <w:b/>
          <w:bCs/>
          <w:rtl/>
        </w:rPr>
        <w:t xml:space="preserve">משה משה כו' מה כו'. </w:t>
      </w:r>
      <w:r>
        <w:rPr>
          <w:rtl/>
        </w:rPr>
        <w:t>רוצה לומר כמו שאומר לעיל ק"ד ב' דמה שהיה הוא שיהיה דאזל בכל דרא בגלגולא וזהו שיהיה, והוא בגלגולא דשת דמיניה אשתיל עלמא, ואשר להיות רוצה לומר במשה עצמו, כבר היה באדם וזה שאומר דא אדם הראשון, והן בו"ק וכמו שאומר לעיל ק"ט א' וכפל שמיה תרין זמנין כו' ועיקר הכוונה כאן כמו שאומר לעיל ק"ד ב' דכבר היה באדם, ועוד יתפשט בכל דרא:</w:t>
      </w:r>
    </w:p>
  </w:footnote>
  <w:footnote w:id="4914">
    <w:p w:rsidR="00A13282" w:rsidRDefault="00A13282" w:rsidP="0020255E">
      <w:pPr>
        <w:pStyle w:val="a5"/>
        <w:rPr>
          <w:rtl/>
        </w:rPr>
      </w:pPr>
      <w:r>
        <w:rPr>
          <w:rStyle w:val="a7"/>
          <w:rtl/>
        </w:rPr>
        <w:footnoteRef/>
      </w:r>
      <w:r>
        <w:rPr>
          <w:rtl/>
        </w:rPr>
        <w:t xml:space="preserve"> </w:t>
      </w:r>
      <w:r>
        <w:rPr>
          <w:b/>
          <w:bCs/>
          <w:rtl/>
        </w:rPr>
        <w:t xml:space="preserve">אר"א אשתמודע כו'. </w:t>
      </w:r>
      <w:r>
        <w:rPr>
          <w:rtl/>
        </w:rPr>
        <w:t>רוצה לומר ראשי תיבות דילהון:</w:t>
      </w:r>
    </w:p>
  </w:footnote>
  <w:footnote w:id="4915">
    <w:p w:rsidR="00A13282" w:rsidRDefault="00A13282" w:rsidP="0020255E">
      <w:pPr>
        <w:pStyle w:val="a5"/>
        <w:rPr>
          <w:rtl/>
        </w:rPr>
      </w:pPr>
      <w:r>
        <w:rPr>
          <w:rStyle w:val="a7"/>
          <w:rtl/>
        </w:rPr>
        <w:footnoteRef/>
      </w:r>
      <w:r>
        <w:rPr>
          <w:rtl/>
        </w:rPr>
        <w:t xml:space="preserve"> </w:t>
      </w:r>
      <w:r>
        <w:rPr>
          <w:b/>
          <w:bCs/>
          <w:rtl/>
        </w:rPr>
        <w:t xml:space="preserve">בתלת תלת כו'. </w:t>
      </w:r>
      <w:r>
        <w:rPr>
          <w:rtl/>
        </w:rPr>
        <w:t>כנ"ל דאתפשטותיה בנה"י וכנ"ל דאתפשטותיה בכל דרא בסוד נה"י, כי נה"י נקראים בנים, והוא כולל אבהן ואדם קדמאה והן אבות, וזה מה שהיה כבר הוא, דאבהן היו קודם למשה ואתכלילו ביה אבל בנין הן אחר משה והוא ואשר להיות כו', ומשה סוד הדעת שהוא בין חג"ת לנה"י, סוד ברכות האמצעות דהתחלתן ברכת הדעת וכמו שאומר לעיל ולכן הוא בין אלו לאלו מה שהי' כו' ואשר כו', ותלת דאיהו רכיב הוא נר"ן ואינון מפיך ומפי כו' מהכא אשתמודע כו' דכתיב לא ימושו כו' וזה שאומר ובג"ד כו':</w:t>
      </w:r>
    </w:p>
  </w:footnote>
  <w:footnote w:id="4916">
    <w:p w:rsidR="00A13282" w:rsidRDefault="00A13282" w:rsidP="0020255E">
      <w:pPr>
        <w:pStyle w:val="a5"/>
        <w:rPr>
          <w:rtl/>
        </w:rPr>
      </w:pPr>
      <w:r>
        <w:rPr>
          <w:rStyle w:val="a7"/>
          <w:rtl/>
        </w:rPr>
        <w:footnoteRef/>
      </w:r>
      <w:r>
        <w:rPr>
          <w:rtl/>
        </w:rPr>
        <w:t xml:space="preserve"> </w:t>
      </w:r>
      <w:r>
        <w:rPr>
          <w:b/>
          <w:bCs/>
          <w:rtl/>
        </w:rPr>
        <w:t xml:space="preserve">א"ל אין עד כו'. </w:t>
      </w:r>
      <w:r>
        <w:rPr>
          <w:rtl/>
        </w:rPr>
        <w:t>רוצה לומר דיכול להתפשט בששים ריבוא בכל דור כמו שכתוב דור הולך כו' שמאיר בכל דור בששים ריבוא כוכבים, וכאשר אלין מתכנשין ונולדים אחרים - מאיר בהם, ועליו נאמר וזרח השמש ובא השמש, כמו שהשמש מאיר בכל לילה בכוכבים ואח"כ מתכנשין הכוכבים ובלילה האחרת מאיר עוד בהם, כן משה רבינו עליו השלום בכל דור, וזה שאומר בכרס אחד - דהוא בדור אחד אבל לא כל דור שוה, דלאו בכל דור יש ששים ריבוא לאנהרא בהון אבל אתפשטותיה להאיר הוא בששים ריבוא [עד כאן ביאור ההגהה]:</w:t>
      </w:r>
    </w:p>
  </w:footnote>
  <w:footnote w:id="4917">
    <w:p w:rsidR="00A13282" w:rsidRDefault="00A13282" w:rsidP="0020255E">
      <w:pPr>
        <w:pStyle w:val="a5"/>
        <w:rPr>
          <w:rtl/>
        </w:rPr>
      </w:pPr>
      <w:r>
        <w:rPr>
          <w:rStyle w:val="a7"/>
          <w:rtl/>
        </w:rPr>
        <w:footnoteRef/>
      </w:r>
      <w:r>
        <w:rPr>
          <w:rtl/>
        </w:rPr>
        <w:t xml:space="preserve"> </w:t>
      </w:r>
      <w:r>
        <w:rPr>
          <w:b/>
          <w:bCs/>
          <w:rtl/>
        </w:rPr>
        <w:t xml:space="preserve">ובג"ד שת כו' איהו סיומא דאתוון כו'. </w:t>
      </w:r>
      <w:r>
        <w:rPr>
          <w:rtl/>
        </w:rPr>
        <w:t>רוצה לומר דבא"ת ב"ש שת הוא אב וזהו מגיד מראשית אחרית, שמאב נעשה שת, סיומא כו' ונמשך ממוח האב וזהו מגיד כו':</w:t>
      </w:r>
    </w:p>
  </w:footnote>
  <w:footnote w:id="4918">
    <w:p w:rsidR="00A13282" w:rsidRDefault="00A13282" w:rsidP="0020255E">
      <w:pPr>
        <w:pStyle w:val="a5"/>
        <w:rPr>
          <w:rtl/>
        </w:rPr>
      </w:pPr>
      <w:r>
        <w:rPr>
          <w:rStyle w:val="a7"/>
          <w:rtl/>
        </w:rPr>
        <w:footnoteRef/>
      </w:r>
      <w:r>
        <w:rPr>
          <w:rtl/>
        </w:rPr>
        <w:t xml:space="preserve"> </w:t>
      </w:r>
      <w:r>
        <w:rPr>
          <w:b/>
          <w:bCs/>
          <w:rtl/>
        </w:rPr>
        <w:t xml:space="preserve">ועוד שת כו' ת' תפארת כליל שית כו'. </w:t>
      </w:r>
      <w:r>
        <w:rPr>
          <w:rtl/>
        </w:rPr>
        <w:t>רוצה לומר דג' ענפין לעילא, ג' דאדם, והשורש לתתא כולל גם כן ג' אלא דהוא שם אחד שנשתרש אח"כ באחד כמו שאומר לקמן קי"א א' והן שית גלגולין ואח"כ נתכללו כולם באחד והוא משה והוא תפארת כליל ו"ק וזהו שת, ש' אחזי על ששה ות' על אחד דכליל ששה וזה שאומר ודא דרגא דמשה כליל תלת אבהן וג' דרגין תחותייהו ואינון נח שם ויפת, ומשת אתייחסו כל כו' רוצה לומר ממשה דביה אתבסם עלמא כנ"ל וזה שאומר דאמר ביה אז כו' ובג"ד שת מתמן כו' בשגם כו' ונתפרש הכל למעלה:</w:t>
      </w:r>
    </w:p>
  </w:footnote>
  <w:footnote w:id="4919">
    <w:p w:rsidR="00A13282" w:rsidRDefault="00A13282" w:rsidP="0020255E">
      <w:pPr>
        <w:pStyle w:val="a5"/>
        <w:rPr>
          <w:rtl/>
        </w:rPr>
      </w:pPr>
      <w:r>
        <w:rPr>
          <w:rStyle w:val="a7"/>
          <w:rtl/>
        </w:rPr>
        <w:footnoteRef/>
      </w:r>
      <w:r>
        <w:rPr>
          <w:rtl/>
        </w:rPr>
        <w:t xml:space="preserve"> </w:t>
      </w:r>
      <w:r>
        <w:rPr>
          <w:b/>
          <w:bCs/>
          <w:rtl/>
        </w:rPr>
        <w:t xml:space="preserve">ואיוב עליה אמר מי כו'. </w:t>
      </w:r>
      <w:r>
        <w:rPr>
          <w:rtl/>
        </w:rPr>
        <w:t>רוצה לומר דבשת פרח יו"ד דאיהי חכמה אבל במשה חזר היו"ד דהוא מ' דמשה שהוא ראשי תיבות מים, ונאמר כי מן המים משיתיהו (הגהה: הוא שת), דמשם דרגיה דהוא חכמה, מים, וזה שאומר מי שת, שנתן לשת, חכמה - יו"ד, וכמו שאומר לקמן קי"ח ב' ועוד שת עליה אמר איוב מי שת בטוחות חכמה ודא יו"ד דבה הוא שית, ואמר בטוחות שהן הכליות כי היוד הוא ברית דיסוד ונשאר ש"ת, נו"ה, ואתחזר חכמה בין הטוחות, דנחית חכמה הזרע הנ"ל בהון ליסוד:</w:t>
      </w:r>
    </w:p>
  </w:footnote>
  <w:footnote w:id="4920">
    <w:p w:rsidR="00A13282" w:rsidRDefault="00A13282" w:rsidP="0020255E">
      <w:pPr>
        <w:pStyle w:val="a5"/>
        <w:rPr>
          <w:rtl/>
        </w:rPr>
      </w:pPr>
      <w:r>
        <w:rPr>
          <w:rStyle w:val="a7"/>
          <w:rtl/>
        </w:rPr>
        <w:footnoteRef/>
      </w:r>
      <w:r>
        <w:rPr>
          <w:rtl/>
        </w:rPr>
        <w:t xml:space="preserve"> </w:t>
      </w:r>
      <w:r>
        <w:rPr>
          <w:b/>
          <w:bCs/>
          <w:rtl/>
        </w:rPr>
        <w:t xml:space="preserve">ה' שכינתא הבל הלב. </w:t>
      </w:r>
      <w:r>
        <w:rPr>
          <w:rtl/>
        </w:rPr>
        <w:t>ואתכלילו ביה כל עשר ספירות כמו שמפרש והולך, וכפל שמיה תרין זמנין כו' דמ' חכמה, ה' בינה, ש' תלת אבהן, ומ"ס הוא דעת קודם לנה"י כנ"ל והוא במקום כתר, ה' מלכות, ש' נה"י, וזה שאומר לאחדא כו', וטעות סופר כאן, וכן צריך לומר, משה משה לאחדא בתרין ההי"ן ה' עילאה וה' תתאה ולאחדא בתלת ענפין ובתלת שרשין דאינון שית רוצה לומר ו"ק, וה' עלאה וה' תתאה נאחדין בו"ק, דהוא מן העולם ועד העולם, תאות גבעות עולם, מבריח כו':</w:t>
      </w:r>
    </w:p>
  </w:footnote>
  <w:footnote w:id="4921">
    <w:p w:rsidR="00A13282" w:rsidRDefault="00A13282" w:rsidP="0020255E">
      <w:pPr>
        <w:pStyle w:val="a5"/>
        <w:rPr>
          <w:rtl/>
        </w:rPr>
      </w:pPr>
      <w:r>
        <w:rPr>
          <w:rStyle w:val="a7"/>
          <w:rtl/>
        </w:rPr>
        <w:footnoteRef/>
      </w:r>
      <w:r>
        <w:rPr>
          <w:rtl/>
        </w:rPr>
        <w:t xml:space="preserve"> </w:t>
      </w:r>
      <w:r>
        <w:rPr>
          <w:b/>
          <w:bCs/>
          <w:rtl/>
        </w:rPr>
        <w:t xml:space="preserve">תרין זמנין מה ממשה כו'. </w:t>
      </w:r>
      <w:r>
        <w:rPr>
          <w:rtl/>
        </w:rPr>
        <w:t>עתה מפרש בענין אחר היאך כליל כולא, דמ"ה הוא אדם, וש' תלת חיוון, וב' פעמים משה - ב' מרכבתין, שהוא חג"ת בעלמא עילאה דכליל ג"ר, ונה"י בעלמא תתאה מלכות:</w:t>
      </w:r>
    </w:p>
  </w:footnote>
  <w:footnote w:id="4922">
    <w:p w:rsidR="00A13282" w:rsidRDefault="00A13282" w:rsidP="0020255E">
      <w:pPr>
        <w:pStyle w:val="a5"/>
        <w:rPr>
          <w:rtl/>
        </w:rPr>
      </w:pPr>
      <w:r>
        <w:rPr>
          <w:rStyle w:val="a7"/>
          <w:rtl/>
        </w:rPr>
        <w:footnoteRef/>
      </w:r>
      <w:r>
        <w:rPr>
          <w:rtl/>
        </w:rPr>
        <w:t xml:space="preserve"> </w:t>
      </w:r>
      <w:r>
        <w:rPr>
          <w:b/>
          <w:bCs/>
          <w:rtl/>
        </w:rPr>
        <w:t xml:space="preserve">ובגין דאיהו כו'. </w:t>
      </w:r>
      <w:r>
        <w:rPr>
          <w:rtl/>
        </w:rPr>
        <w:t>ב' פעמים מה כנ"ל, והוא ב' אדם דכליל הכל, מה שמו ומה שם בנו:</w:t>
      </w:r>
    </w:p>
  </w:footnote>
  <w:footnote w:id="4923">
    <w:p w:rsidR="00A13282" w:rsidRDefault="00A13282" w:rsidP="0020255E">
      <w:pPr>
        <w:pStyle w:val="a5"/>
        <w:rPr>
          <w:rtl/>
        </w:rPr>
      </w:pPr>
      <w:r>
        <w:rPr>
          <w:rStyle w:val="a7"/>
          <w:rtl/>
        </w:rPr>
        <w:footnoteRef/>
      </w:r>
      <w:r>
        <w:rPr>
          <w:rtl/>
        </w:rPr>
        <w:t xml:space="preserve"> </w:t>
      </w:r>
      <w:r>
        <w:rPr>
          <w:b/>
          <w:bCs/>
          <w:rtl/>
        </w:rPr>
        <w:t xml:space="preserve">ואתערותא דלתתא כו'. </w:t>
      </w:r>
      <w:r>
        <w:rPr>
          <w:rtl/>
        </w:rPr>
        <w:t>שלפי המעשים כך יורשים הנשמות, אברהם זכה לחסד שהיה עושה חסד כל הימים, וכן בכולם, וכמו שאדם אתפשט בתלת אבהן כן אתפשט חכמה בחג"ת, וכן הוא כל עניני החכמה הזאת, שכל ההנהגה הכל לפי המעשה מאדם הראשון ולהלאה:</w:t>
      </w:r>
    </w:p>
  </w:footnote>
  <w:footnote w:id="4924">
    <w:p w:rsidR="00A13282" w:rsidRDefault="00A13282" w:rsidP="0020255E">
      <w:pPr>
        <w:pStyle w:val="a5"/>
        <w:rPr>
          <w:rtl/>
        </w:rPr>
      </w:pPr>
      <w:r>
        <w:rPr>
          <w:rStyle w:val="a7"/>
          <w:rtl/>
        </w:rPr>
        <w:footnoteRef/>
      </w:r>
      <w:r>
        <w:rPr>
          <w:rtl/>
        </w:rPr>
        <w:t xml:space="preserve"> </w:t>
      </w:r>
      <w:r>
        <w:rPr>
          <w:b/>
          <w:bCs/>
          <w:rtl/>
        </w:rPr>
        <w:t xml:space="preserve">בוודאי כו' ורזא דמלה כו'. </w:t>
      </w:r>
      <w:r>
        <w:rPr>
          <w:rtl/>
        </w:rPr>
        <w:t xml:space="preserve">כמו שאומר למעלה דנפש לא מתגלגלא, והרוח מתגלגל בה וכמו בגלגל שמתגלגל סביבות נקודה האמצעית והוא נח כמו קוטב וקוטר, וכן הרוח הוא ו"ק, מתגלגל סביב הנקודה האמצעית שהוא הנפש, היכל הקודש באמצע, והוא נושא את כולם, וכן הנפש באדם בדם, כי הדם הוא הנפש, וערקין דדמא שוכבין, וערקין דרוחא דופקין, והן תמיד ברצוא ושוב וזה שאומר </w:t>
      </w:r>
      <w:r>
        <w:rPr>
          <w:b/>
          <w:bCs/>
          <w:rtl/>
        </w:rPr>
        <w:t xml:space="preserve">כג"ד נפש איהי כו'. </w:t>
      </w:r>
      <w:r>
        <w:rPr>
          <w:rtl/>
        </w:rPr>
        <w:t>וכן איש ואשה, האיש יוצא ושוב וכמו שאומר לקמן ק"ט א' עיין שם:</w:t>
      </w:r>
    </w:p>
  </w:footnote>
  <w:footnote w:id="4925">
    <w:p w:rsidR="00A13282" w:rsidRDefault="00A13282" w:rsidP="0020255E">
      <w:pPr>
        <w:pStyle w:val="a5"/>
        <w:rPr>
          <w:rtl/>
        </w:rPr>
      </w:pPr>
      <w:r>
        <w:rPr>
          <w:rStyle w:val="a7"/>
          <w:rtl/>
        </w:rPr>
        <w:footnoteRef/>
      </w:r>
      <w:r>
        <w:rPr>
          <w:rtl/>
        </w:rPr>
        <w:t xml:space="preserve"> </w:t>
      </w:r>
      <w:r>
        <w:rPr>
          <w:b/>
          <w:bCs/>
          <w:rtl/>
        </w:rPr>
        <w:t xml:space="preserve">כבר אמרנא. </w:t>
      </w:r>
      <w:r>
        <w:rPr>
          <w:rtl/>
        </w:rPr>
        <w:t>חוזר לענין הראשון שהתחיל דרוחא אזלא בגלגולא ונפש קביעא ולכן משה אזיל בגלגולא בכל דור, דהוא רוחא דכלא כנ"ל וכמו שאומר לקמן קי"א א' דעליו נאמר סובב סובב הולך הרוח, וכמו הרוח בגוף, וכמו האיש שסובב והאשה יושבת, (ישעיהו מד יג) כתפארת אדם לשבת בית כו', (תהלים מה יד) כל כבודה כו', וכן בזווגא קרקע עולם היא (סנהדרין עד ע"ב), וכן שמים וארץ או רוח וארץ, דרוח סובב, וכן יום ולילה ביום סובב השמש וכן האדם ובלילה נח, וכן מצוות עשה בקום ועשה ומצוות לא תעשה בשב ואל תעשה, ובכל זה הזכר סובב בתשוקה לתקן הנקבה:</w:t>
      </w:r>
    </w:p>
  </w:footnote>
  <w:footnote w:id="4926">
    <w:p w:rsidR="00A13282" w:rsidRDefault="00A13282" w:rsidP="0020255E">
      <w:pPr>
        <w:pStyle w:val="a5"/>
        <w:rPr>
          <w:rtl/>
        </w:rPr>
      </w:pPr>
      <w:r>
        <w:rPr>
          <w:rStyle w:val="a7"/>
          <w:rtl/>
        </w:rPr>
        <w:footnoteRef/>
      </w:r>
      <w:r>
        <w:rPr>
          <w:rtl/>
        </w:rPr>
        <w:t xml:space="preserve"> </w:t>
      </w:r>
      <w:r>
        <w:rPr>
          <w:b/>
          <w:bCs/>
          <w:rtl/>
        </w:rPr>
        <w:t xml:space="preserve">ובג"ד אתמר בה כו' הכי כו'. </w:t>
      </w:r>
      <w:r>
        <w:rPr>
          <w:rtl/>
        </w:rPr>
        <w:t>דלא אתגלגל בה אלא רוח בעלה ולא נפש בנפש או כיוצא, רק בעלה:</w:t>
      </w:r>
    </w:p>
  </w:footnote>
  <w:footnote w:id="4927">
    <w:p w:rsidR="00A13282" w:rsidRDefault="00A13282" w:rsidP="0020255E">
      <w:pPr>
        <w:pStyle w:val="a5"/>
        <w:rPr>
          <w:rtl/>
        </w:rPr>
      </w:pPr>
      <w:r>
        <w:rPr>
          <w:rStyle w:val="a7"/>
          <w:rtl/>
        </w:rPr>
        <w:footnoteRef/>
      </w:r>
      <w:r>
        <w:rPr>
          <w:rtl/>
        </w:rPr>
        <w:t xml:space="preserve"> </w:t>
      </w:r>
      <w:r>
        <w:rPr>
          <w:b/>
          <w:bCs/>
          <w:rtl/>
        </w:rPr>
        <w:t xml:space="preserve">ר"ש פתח כו' דא עד"א. </w:t>
      </w:r>
      <w:r>
        <w:rPr>
          <w:rtl/>
        </w:rPr>
        <w:t>רוצה לומר, דעת כמו שמפרש והולך, ונקרא שמש על שמא מפרש בהכאה כל אות בעצמו ואחד יותר על שרשו שנתמלא ממנה, דג' שרשין הם אי"ו (א.ה. אברהם, יצחק ויעקב) שהם נחות:</w:t>
      </w:r>
    </w:p>
  </w:footnote>
  <w:footnote w:id="4928">
    <w:p w:rsidR="00A13282" w:rsidRDefault="00A13282" w:rsidP="0020255E">
      <w:pPr>
        <w:pStyle w:val="a5"/>
        <w:rPr>
          <w:rtl/>
        </w:rPr>
      </w:pPr>
      <w:r>
        <w:rPr>
          <w:rStyle w:val="a7"/>
          <w:rtl/>
        </w:rPr>
        <w:footnoteRef/>
      </w:r>
      <w:r>
        <w:rPr>
          <w:rtl/>
        </w:rPr>
        <w:t xml:space="preserve"> </w:t>
      </w:r>
      <w:r>
        <w:rPr>
          <w:b/>
          <w:bCs/>
          <w:rtl/>
        </w:rPr>
        <w:t xml:space="preserve">וזרח הה"ד כו'. </w:t>
      </w:r>
      <w:r>
        <w:rPr>
          <w:rtl/>
        </w:rPr>
        <w:t>רוצה לומר בימי משה כשחי, והוא שניתן התורה דהוא הדעת לישראל, דתורה הוא דרגיה דדעת והוא השקאת אילנא דאינון ישראל:</w:t>
      </w:r>
    </w:p>
  </w:footnote>
  <w:footnote w:id="4929">
    <w:p w:rsidR="00A13282" w:rsidRDefault="00A13282" w:rsidP="0020255E">
      <w:pPr>
        <w:pStyle w:val="a5"/>
        <w:rPr>
          <w:rtl/>
        </w:rPr>
      </w:pPr>
      <w:r>
        <w:rPr>
          <w:rStyle w:val="a7"/>
          <w:rtl/>
        </w:rPr>
        <w:footnoteRef/>
      </w:r>
      <w:r>
        <w:rPr>
          <w:rtl/>
        </w:rPr>
        <w:t xml:space="preserve"> </w:t>
      </w:r>
      <w:r>
        <w:rPr>
          <w:b/>
          <w:bCs/>
          <w:rtl/>
        </w:rPr>
        <w:t xml:space="preserve">אל מקומו כו'. </w:t>
      </w:r>
      <w:r>
        <w:rPr>
          <w:rtl/>
        </w:rPr>
        <w:t>דסיהרא מקומו של שמשא, (חבקוק ב כ) וה' בהיכל קדשו, וזריחתו שם כמו הלבנה שמאיר בלילה ע"י השמש, וכן הוא התורה שלמד יהושע לישראל על ידו שקיבל ממנו:</w:t>
      </w:r>
    </w:p>
  </w:footnote>
  <w:footnote w:id="4930">
    <w:p w:rsidR="00A13282" w:rsidRDefault="00A13282" w:rsidP="0020255E">
      <w:pPr>
        <w:pStyle w:val="a5"/>
        <w:rPr>
          <w:rtl/>
        </w:rPr>
      </w:pPr>
      <w:r>
        <w:rPr>
          <w:rStyle w:val="a7"/>
          <w:rtl/>
        </w:rPr>
        <w:footnoteRef/>
      </w:r>
      <w:r>
        <w:rPr>
          <w:rtl/>
        </w:rPr>
        <w:t xml:space="preserve"> </w:t>
      </w:r>
      <w:r>
        <w:rPr>
          <w:b/>
          <w:bCs/>
          <w:rtl/>
        </w:rPr>
        <w:t xml:space="preserve">ועוד וזרח כו'. </w:t>
      </w:r>
      <w:r>
        <w:rPr>
          <w:rtl/>
        </w:rPr>
        <w:t>כנ"ל דאזיל בגלגולא בכל צדיק ורוצה לומר אורו כמו אור הכוכבים בלילה שהשמש זורח על כל הרקיע בלילה וכשיש כוכב שמקבל האור בשפע שופע בו, ואי לאו - לית מקום לאורו:</w:t>
      </w:r>
    </w:p>
  </w:footnote>
  <w:footnote w:id="4931">
    <w:p w:rsidR="00A13282" w:rsidRDefault="00A13282" w:rsidP="0020255E">
      <w:pPr>
        <w:pStyle w:val="a5"/>
        <w:rPr>
          <w:rtl/>
        </w:rPr>
      </w:pPr>
      <w:r>
        <w:rPr>
          <w:rStyle w:val="a7"/>
          <w:rtl/>
        </w:rPr>
        <w:footnoteRef/>
      </w:r>
      <w:r>
        <w:rPr>
          <w:rtl/>
        </w:rPr>
        <w:t xml:space="preserve"> </w:t>
      </w:r>
      <w:r>
        <w:rPr>
          <w:b/>
          <w:bCs/>
          <w:rtl/>
        </w:rPr>
        <w:t xml:space="preserve">ובג"ד אל כו'. </w:t>
      </w:r>
      <w:r>
        <w:rPr>
          <w:rtl/>
        </w:rPr>
        <w:t>שמתאוה ושואף לאשכחא מקומו לזרוח שם, והכלל כי כמו שהלבנה והכוכבים אין מאירים מעצמם כי אם ע"י השמש כן התלמידי חכמים  בכל דור:</w:t>
      </w:r>
    </w:p>
  </w:footnote>
  <w:footnote w:id="4932">
    <w:p w:rsidR="00A13282" w:rsidRDefault="00A13282" w:rsidP="0020255E">
      <w:pPr>
        <w:pStyle w:val="a5"/>
        <w:rPr>
          <w:rtl/>
        </w:rPr>
      </w:pPr>
      <w:r>
        <w:rPr>
          <w:rStyle w:val="a7"/>
          <w:rtl/>
        </w:rPr>
        <w:footnoteRef/>
      </w:r>
      <w:r>
        <w:rPr>
          <w:rtl/>
        </w:rPr>
        <w:t xml:space="preserve"> </w:t>
      </w:r>
      <w:r>
        <w:rPr>
          <w:b/>
          <w:bCs/>
          <w:rtl/>
        </w:rPr>
        <w:t xml:space="preserve">ועוד וזרח השמש דא קב"ה. </w:t>
      </w:r>
      <w:r>
        <w:rPr>
          <w:rtl/>
        </w:rPr>
        <w:t>כמו שכתוב (תהלים פד יב) כי שמש ומגן ה' אלקים:</w:t>
      </w:r>
    </w:p>
  </w:footnote>
  <w:footnote w:id="4933">
    <w:p w:rsidR="00A13282" w:rsidRDefault="00A13282" w:rsidP="0020255E">
      <w:pPr>
        <w:pStyle w:val="a5"/>
        <w:rPr>
          <w:rtl/>
        </w:rPr>
      </w:pPr>
      <w:r>
        <w:rPr>
          <w:rStyle w:val="a7"/>
          <w:rtl/>
        </w:rPr>
        <w:footnoteRef/>
      </w:r>
      <w:r>
        <w:rPr>
          <w:rtl/>
        </w:rPr>
        <w:t xml:space="preserve"> </w:t>
      </w:r>
      <w:r>
        <w:rPr>
          <w:b/>
          <w:bCs/>
          <w:rtl/>
        </w:rPr>
        <w:t xml:space="preserve">באן אתר כו'. </w:t>
      </w:r>
      <w:r>
        <w:rPr>
          <w:rtl/>
        </w:rPr>
        <w:t>רוצה לומר כמו שכתוב ואל מקומו כו' כנ"ל עד דאשכח אתריה, ואן הוא אתר בבר נש כו' כמה דאת אמר בכל המקום כו', אלמא דשם נקרא מקום:</w:t>
      </w:r>
    </w:p>
  </w:footnote>
  <w:footnote w:id="4934">
    <w:p w:rsidR="00A13282" w:rsidRDefault="00A13282" w:rsidP="0020255E">
      <w:pPr>
        <w:pStyle w:val="a5"/>
        <w:rPr>
          <w:rtl/>
        </w:rPr>
      </w:pPr>
      <w:r>
        <w:rPr>
          <w:rStyle w:val="a7"/>
          <w:rtl/>
        </w:rPr>
        <w:footnoteRef/>
      </w:r>
      <w:r>
        <w:rPr>
          <w:rtl/>
        </w:rPr>
        <w:t xml:space="preserve"> </w:t>
      </w:r>
      <w:r>
        <w:rPr>
          <w:b/>
          <w:bCs/>
          <w:rtl/>
        </w:rPr>
        <w:t xml:space="preserve">ואשתאר בחשוכא. </w:t>
      </w:r>
      <w:r>
        <w:rPr>
          <w:rtl/>
        </w:rPr>
        <w:t>כמו בלילה דאין השמש זורחת, ואמר ושלטין עליה כו' דממשלה דלהון היא בלילה והן נקראין חשך לילה כמו שאומר בזוהר חדש רות ושאר מקומות ועיין שם בפ' אחרי מות:</w:t>
      </w:r>
    </w:p>
  </w:footnote>
  <w:footnote w:id="4935">
    <w:p w:rsidR="00A13282" w:rsidRDefault="00A13282" w:rsidP="0020255E">
      <w:pPr>
        <w:pStyle w:val="a5"/>
        <w:rPr>
          <w:rtl/>
        </w:rPr>
      </w:pPr>
      <w:r>
        <w:rPr>
          <w:rStyle w:val="a7"/>
          <w:rtl/>
        </w:rPr>
        <w:footnoteRef/>
      </w:r>
      <w:r>
        <w:rPr>
          <w:rtl/>
        </w:rPr>
        <w:t xml:space="preserve"> </w:t>
      </w:r>
      <w:r>
        <w:rPr>
          <w:b/>
          <w:bCs/>
          <w:rtl/>
        </w:rPr>
        <w:t xml:space="preserve">כמה מחבלין וכמה יסורין. </w:t>
      </w:r>
      <w:r>
        <w:rPr>
          <w:rtl/>
        </w:rPr>
        <w:t>שהן (דברים לא יז,כא) רעות רבות וצרות, רעות - מחבלין וכמו שמפרש והולך הה"ד כו':</w:t>
      </w:r>
    </w:p>
  </w:footnote>
  <w:footnote w:id="4936">
    <w:p w:rsidR="00A13282" w:rsidRDefault="00A13282" w:rsidP="0020255E">
      <w:pPr>
        <w:pStyle w:val="a5"/>
        <w:rPr>
          <w:rtl/>
        </w:rPr>
      </w:pPr>
      <w:r>
        <w:rPr>
          <w:rStyle w:val="a7"/>
          <w:rtl/>
        </w:rPr>
        <w:footnoteRef/>
      </w:r>
      <w:r>
        <w:rPr>
          <w:rtl/>
        </w:rPr>
        <w:t xml:space="preserve"> </w:t>
      </w:r>
      <w:r>
        <w:rPr>
          <w:b/>
          <w:bCs/>
          <w:rtl/>
        </w:rPr>
        <w:t xml:space="preserve">דאלין רעות מצוין בכל עתין ורגעין. ומאן גרים דלא כו' </w:t>
      </w:r>
      <w:r>
        <w:rPr>
          <w:rtl/>
        </w:rPr>
        <w:t>רוצה לומר דלכך כתיב הרעות האלה, דהם נקראים אלה, שהן מצויין תדיר, לא כסטרא דקדושה כמו שאומר בריש פ' תרומה קכ"ח א':</w:t>
      </w:r>
    </w:p>
  </w:footnote>
  <w:footnote w:id="4937">
    <w:p w:rsidR="00A13282" w:rsidRDefault="00A13282" w:rsidP="0020255E">
      <w:pPr>
        <w:pStyle w:val="a5"/>
        <w:rPr>
          <w:rtl/>
        </w:rPr>
      </w:pPr>
      <w:r>
        <w:rPr>
          <w:rStyle w:val="a7"/>
          <w:rtl/>
        </w:rPr>
        <w:footnoteRef/>
      </w:r>
      <w:r>
        <w:rPr>
          <w:rtl/>
        </w:rPr>
        <w:t xml:space="preserve"> </w:t>
      </w:r>
      <w:r>
        <w:rPr>
          <w:b/>
          <w:bCs/>
          <w:rtl/>
        </w:rPr>
        <w:t xml:space="preserve">ובגין הבל כו' ומלין כו'. </w:t>
      </w:r>
      <w:r>
        <w:rPr>
          <w:rtl/>
        </w:rPr>
        <w:t xml:space="preserve">ב' דברים, נגד זה מסתלק קב"ה ושכינתא, וזה שכתוב (קהלת א ב) הבל הבלים כו' מה יתרון כו' תחת השמש, דלא שריא שמשא עליה, וזרח השמש כו' כנ"ל, דור הולך ודור בא הוא רעיא מהימנא דלא אשכח אתר, וכן סובב סובב הולך הרוח כמו שאומר לקמן קי"א א' והכל תליא בהבל דהוא כליל מיא ואשא ורוח, וזהו וזרח השמש - אשא, סובב כו' כל הנחלים כו'. והכל תליא בהבל פיו, דכל עלמא תליא במה שמוציא מפיו, וזה שאומר </w:t>
      </w:r>
      <w:r>
        <w:rPr>
          <w:b/>
          <w:bCs/>
          <w:rtl/>
        </w:rPr>
        <w:t xml:space="preserve">ובג"ד יש הבל כו' </w:t>
      </w:r>
      <w:r>
        <w:rPr>
          <w:rtl/>
        </w:rPr>
        <w:t>דכל הארץ תליא ביה, וכל הנעשה על הארץ תליא בהבל:</w:t>
      </w:r>
    </w:p>
  </w:footnote>
  <w:footnote w:id="4938">
    <w:p w:rsidR="00A13282" w:rsidRDefault="00A13282" w:rsidP="0020255E">
      <w:pPr>
        <w:pStyle w:val="a5"/>
        <w:rPr>
          <w:rtl/>
        </w:rPr>
      </w:pPr>
      <w:r>
        <w:rPr>
          <w:rStyle w:val="a7"/>
          <w:rtl/>
        </w:rPr>
        <w:footnoteRef/>
      </w:r>
      <w:r>
        <w:rPr>
          <w:rtl/>
        </w:rPr>
        <w:t xml:space="preserve"> </w:t>
      </w:r>
      <w:r>
        <w:rPr>
          <w:b/>
          <w:bCs/>
          <w:rtl/>
        </w:rPr>
        <w:t xml:space="preserve">דאיהו ה' כו'. </w:t>
      </w:r>
      <w:r>
        <w:rPr>
          <w:rtl/>
        </w:rPr>
        <w:t>והוא ראש וסוף ואמצעית התורה, ה', כל, אמצעית התורה, ה' חומשים, וב' ל' - ראש וסוף:</w:t>
      </w:r>
    </w:p>
  </w:footnote>
  <w:footnote w:id="4939">
    <w:p w:rsidR="00A13282" w:rsidRDefault="00A13282" w:rsidP="0020255E">
      <w:pPr>
        <w:pStyle w:val="a5"/>
        <w:rPr>
          <w:rtl/>
        </w:rPr>
      </w:pPr>
      <w:r>
        <w:rPr>
          <w:rStyle w:val="a7"/>
          <w:rtl/>
        </w:rPr>
        <w:footnoteRef/>
      </w:r>
      <w:r>
        <w:rPr>
          <w:rtl/>
        </w:rPr>
        <w:t xml:space="preserve"> </w:t>
      </w:r>
      <w:r>
        <w:rPr>
          <w:b/>
          <w:bCs/>
          <w:rtl/>
        </w:rPr>
        <w:t xml:space="preserve">דא וא"ו כו'. </w:t>
      </w:r>
      <w:r>
        <w:rPr>
          <w:rtl/>
        </w:rPr>
        <w:t>דזה הוא דכורא ועיין לעיל תיקון כ”ה בארוכה, ונגד ההבל וקלא שריא שכינתא וקב"ה כנ"ל:</w:t>
      </w:r>
    </w:p>
  </w:footnote>
  <w:footnote w:id="4940">
    <w:p w:rsidR="00A13282" w:rsidRDefault="00A13282" w:rsidP="0020255E">
      <w:pPr>
        <w:pStyle w:val="a5"/>
        <w:rPr>
          <w:rtl/>
        </w:rPr>
      </w:pPr>
      <w:r>
        <w:rPr>
          <w:rStyle w:val="a7"/>
          <w:rtl/>
        </w:rPr>
        <w:footnoteRef/>
      </w:r>
      <w:r>
        <w:rPr>
          <w:rtl/>
        </w:rPr>
        <w:t xml:space="preserve"> </w:t>
      </w:r>
      <w:r>
        <w:rPr>
          <w:b/>
          <w:bCs/>
          <w:rtl/>
        </w:rPr>
        <w:t xml:space="preserve">והאי אינון דנשמתין כו'. </w:t>
      </w:r>
      <w:r>
        <w:rPr>
          <w:rtl/>
        </w:rPr>
        <w:t>רוצה לומר, שיש אף שלא חטאו הן בגלגולא, אלא שבאו מפגימו דאדם והבל, והוא בעטיו של נחש, וכמו יעקב שתיקן פגימו דאדם וסביל כמה צרות:</w:t>
      </w:r>
    </w:p>
  </w:footnote>
  <w:footnote w:id="4941">
    <w:p w:rsidR="00A13282" w:rsidRDefault="00A13282" w:rsidP="0020255E">
      <w:pPr>
        <w:pStyle w:val="a5"/>
        <w:rPr>
          <w:rtl/>
        </w:rPr>
      </w:pPr>
      <w:r>
        <w:rPr>
          <w:rStyle w:val="a7"/>
          <w:rtl/>
        </w:rPr>
        <w:footnoteRef/>
      </w:r>
      <w:r>
        <w:rPr>
          <w:rtl/>
        </w:rPr>
        <w:t xml:space="preserve"> </w:t>
      </w:r>
      <w:r>
        <w:rPr>
          <w:b/>
          <w:bCs/>
          <w:rtl/>
        </w:rPr>
        <w:t xml:space="preserve">גם לרבות אדם. </w:t>
      </w:r>
      <w:r>
        <w:rPr>
          <w:rtl/>
        </w:rPr>
        <w:t>וחסר ב', כמו שחסר ב' לאשלמא בשגם מ"ה דמשה (הגהה: והוא ב', מחשבה ועובדא, דחב אדם בהון, וב' בינה כלול שניהם, ב' דבראשית נקודיה בהיכליה, וזכה משה לבינה ונשלם) דאתתקן בב' תירות:</w:t>
      </w:r>
    </w:p>
  </w:footnote>
  <w:footnote w:id="4942">
    <w:p w:rsidR="00A13282" w:rsidRDefault="00A13282" w:rsidP="0020255E">
      <w:pPr>
        <w:pStyle w:val="a5"/>
        <w:rPr>
          <w:rtl/>
        </w:rPr>
      </w:pPr>
      <w:r>
        <w:rPr>
          <w:rStyle w:val="a7"/>
          <w:rtl/>
        </w:rPr>
        <w:footnoteRef/>
      </w:r>
      <w:r>
        <w:rPr>
          <w:rtl/>
        </w:rPr>
        <w:t xml:space="preserve"> </w:t>
      </w:r>
      <w:r>
        <w:rPr>
          <w:b/>
          <w:bCs/>
          <w:rtl/>
        </w:rPr>
        <w:t xml:space="preserve">כ"ח אתוון כו'. </w:t>
      </w:r>
      <w:r>
        <w:rPr>
          <w:rtl/>
        </w:rPr>
        <w:t>דפסוק ראשון:</w:t>
      </w:r>
    </w:p>
  </w:footnote>
  <w:footnote w:id="4943">
    <w:p w:rsidR="00A13282" w:rsidRDefault="00A13282" w:rsidP="0020255E">
      <w:pPr>
        <w:pStyle w:val="a5"/>
        <w:rPr>
          <w:rtl/>
        </w:rPr>
      </w:pPr>
      <w:r>
        <w:rPr>
          <w:rStyle w:val="a7"/>
          <w:rtl/>
        </w:rPr>
        <w:footnoteRef/>
      </w:r>
      <w:r>
        <w:rPr>
          <w:rtl/>
        </w:rPr>
        <w:t xml:space="preserve"> </w:t>
      </w:r>
      <w:r>
        <w:rPr>
          <w:b/>
          <w:bCs/>
          <w:rtl/>
        </w:rPr>
        <w:t xml:space="preserve">א"כ במאי כו'. </w:t>
      </w:r>
      <w:r>
        <w:rPr>
          <w:rtl/>
        </w:rPr>
        <w:t>דשם אין מגיע פגם, שהן חו"ג דחכמה כמו שאומר לקמן ק"י ב':</w:t>
      </w:r>
    </w:p>
  </w:footnote>
  <w:footnote w:id="4944">
    <w:p w:rsidR="00A13282" w:rsidRDefault="00A13282" w:rsidP="0020255E">
      <w:pPr>
        <w:pStyle w:val="a5"/>
        <w:rPr>
          <w:rtl/>
        </w:rPr>
      </w:pPr>
      <w:r>
        <w:rPr>
          <w:rStyle w:val="a7"/>
          <w:rtl/>
        </w:rPr>
        <w:footnoteRef/>
      </w:r>
      <w:r>
        <w:rPr>
          <w:rtl/>
        </w:rPr>
        <w:t xml:space="preserve"> </w:t>
      </w:r>
      <w:r>
        <w:rPr>
          <w:b/>
          <w:bCs/>
          <w:rtl/>
        </w:rPr>
        <w:t xml:space="preserve">א"ל בודאי כל מאן כו'. </w:t>
      </w:r>
      <w:r>
        <w:rPr>
          <w:rtl/>
        </w:rPr>
        <w:t>רוצה לומר דגופיה הוא דיוקניה דשכינתא תתאה דהיא גופא לנשמתא דאיהו עמודא דאמצעיתא כמו שאומר לעיל ס"ג ב' וביה שריא עובדא, דכל המעשים בגוף, והמעשה הוא בינה דשריא בגופא מלכות, ונשמתיה הוא דיוקנא דעמודא דאמצעיתא כנ"ל וביה שריא מחשבה דבר נש דהוא דיוקנא דחכמה, ובזמן שהאדם פוגם במעשה דהוא בגוף, פוגם בגוף שלמעלה שנברא בצלמו, וכן בנשמתא במחשבה, והפגם הוא לגוף ונפש לא לעובדא ומחשבה, והן ב' צלמים, בצלמו, בצלם ו', בצלם אלקים כו' ועיין לקמן קי"ג א' ב' דהפגם שמסתלקין המחשבה והמעשה מהם:</w:t>
      </w:r>
    </w:p>
  </w:footnote>
  <w:footnote w:id="4945">
    <w:p w:rsidR="00A13282" w:rsidRDefault="00A13282" w:rsidP="0020255E">
      <w:pPr>
        <w:pStyle w:val="a5"/>
        <w:rPr>
          <w:rtl/>
        </w:rPr>
      </w:pPr>
      <w:r>
        <w:rPr>
          <w:rStyle w:val="a7"/>
          <w:rtl/>
        </w:rPr>
        <w:footnoteRef/>
      </w:r>
      <w:r>
        <w:rPr>
          <w:rtl/>
        </w:rPr>
        <w:t xml:space="preserve"> </w:t>
      </w:r>
      <w:r>
        <w:rPr>
          <w:b/>
          <w:bCs/>
          <w:rtl/>
        </w:rPr>
        <w:t xml:space="preserve">אלא טובא כו'. </w:t>
      </w:r>
      <w:r>
        <w:rPr>
          <w:rtl/>
        </w:rPr>
        <w:t>ורעות רוח, אע"ג דרעות רוח לא כתיב שם, כיון דכתיב הבל הוא רעות רוח:</w:t>
      </w:r>
    </w:p>
  </w:footnote>
  <w:footnote w:id="4946">
    <w:p w:rsidR="00A13282" w:rsidRDefault="00A13282" w:rsidP="0020255E">
      <w:pPr>
        <w:pStyle w:val="a5"/>
        <w:rPr>
          <w:rtl/>
        </w:rPr>
      </w:pPr>
      <w:r>
        <w:rPr>
          <w:rStyle w:val="a7"/>
          <w:rtl/>
        </w:rPr>
        <w:footnoteRef/>
      </w:r>
      <w:r>
        <w:rPr>
          <w:rtl/>
        </w:rPr>
        <w:t xml:space="preserve"> </w:t>
      </w:r>
      <w:r>
        <w:rPr>
          <w:b/>
          <w:bCs/>
          <w:rtl/>
        </w:rPr>
        <w:t>ובכן ראיתי כו'.</w:t>
      </w:r>
      <w:r>
        <w:rPr>
          <w:rtl/>
        </w:rPr>
        <w:t xml:space="preserve"> עיין מה שאומר לעיל, ואמר וישתבחו כו' דנשתבחו מעשים הרעים שעשו שמגיע אליהם כמעשה הצדיקים ונאמר שם גם זה הבל:</w:t>
      </w:r>
    </w:p>
  </w:footnote>
  <w:footnote w:id="4947">
    <w:p w:rsidR="00A13282" w:rsidRDefault="00A13282" w:rsidP="0020255E">
      <w:pPr>
        <w:pStyle w:val="a5"/>
        <w:rPr>
          <w:rtl/>
        </w:rPr>
      </w:pPr>
      <w:r>
        <w:rPr>
          <w:rStyle w:val="a7"/>
          <w:rtl/>
        </w:rPr>
        <w:footnoteRef/>
      </w:r>
      <w:r>
        <w:rPr>
          <w:rtl/>
        </w:rPr>
        <w:t xml:space="preserve"> </w:t>
      </w:r>
      <w:r>
        <w:rPr>
          <w:b/>
          <w:bCs/>
          <w:rtl/>
        </w:rPr>
        <w:t xml:space="preserve">כד"א ואד יעלה כו'. </w:t>
      </w:r>
      <w:r>
        <w:rPr>
          <w:rtl/>
        </w:rPr>
        <w:t>כמו שהמטר וכל מעשה עולם הזה תליא באדים שעולין מן הארץ, כן כל מעשה השכינה והנהגתה תליא בהבל פיו של אדם, וכל הנהגת עולם הזה בה, ולכן כל אשר נעשה על הארץ - הכל בהבל וכנ"ל:</w:t>
      </w:r>
    </w:p>
  </w:footnote>
  <w:footnote w:id="4948">
    <w:p w:rsidR="00A13282" w:rsidRDefault="00A13282" w:rsidP="0020255E">
      <w:pPr>
        <w:pStyle w:val="a5"/>
        <w:rPr>
          <w:rtl/>
        </w:rPr>
      </w:pPr>
      <w:r>
        <w:rPr>
          <w:rStyle w:val="a7"/>
          <w:rtl/>
        </w:rPr>
        <w:footnoteRef/>
      </w:r>
      <w:r>
        <w:rPr>
          <w:rtl/>
        </w:rPr>
        <w:t xml:space="preserve"> </w:t>
      </w:r>
      <w:r>
        <w:rPr>
          <w:b/>
          <w:bCs/>
          <w:rtl/>
        </w:rPr>
        <w:t xml:space="preserve">רוחא נפיק מאודנא כו'. </w:t>
      </w:r>
      <w:r>
        <w:rPr>
          <w:rtl/>
        </w:rPr>
        <w:t>דאע"ג דרוחא הוא בריאה מכל מקום נשיב בכנור דדוד, ורוצה לומר בזה שכל הוי"ה נכלל בהבל כמו שמפרש והולך דהוא קלא ודבורא, אילנא ואיבא, וב' הבלים הן שרשא וענפים דהן הוי"ה:</w:t>
      </w:r>
    </w:p>
  </w:footnote>
  <w:footnote w:id="4949">
    <w:p w:rsidR="00A13282" w:rsidRDefault="00A13282" w:rsidP="0020255E">
      <w:pPr>
        <w:pStyle w:val="a5"/>
        <w:rPr>
          <w:rtl/>
        </w:rPr>
      </w:pPr>
      <w:r>
        <w:rPr>
          <w:rStyle w:val="a7"/>
          <w:rtl/>
        </w:rPr>
        <w:footnoteRef/>
      </w:r>
      <w:r>
        <w:rPr>
          <w:rtl/>
        </w:rPr>
        <w:t xml:space="preserve"> </w:t>
      </w:r>
      <w:r>
        <w:rPr>
          <w:b/>
          <w:bCs/>
          <w:rtl/>
        </w:rPr>
        <w:t xml:space="preserve">ה' תתאה שרשא כו'. </w:t>
      </w:r>
      <w:r>
        <w:rPr>
          <w:rtl/>
        </w:rPr>
        <w:t xml:space="preserve">רוצה לומר דה"א ג' קוין דוגמת השי"ן, דשי"ן הוא ראשי תיבות שרשא, ובשין ג' ענפין לקבל ג' ענפין, והוא ה' עילאה כמו שמפרש והולך והכל נכלל בשי"ן, שרש השי"ן למטה ה' תתאה, וב' ענפין ה' עלאה, והווי"ן עצמן הוא ו', והיודין שעל הוא"ו הוא יו"ד, ואמר </w:t>
      </w:r>
      <w:r>
        <w:rPr>
          <w:b/>
          <w:bCs/>
          <w:rtl/>
        </w:rPr>
        <w:t xml:space="preserve">איהו אילנא </w:t>
      </w:r>
      <w:r>
        <w:rPr>
          <w:rtl/>
        </w:rPr>
        <w:t>רוצה לומר שהקול הוא אילן, ו', ואתפליג לכמה קלין הוא ענפין, ה' עילאה, והוא הבל עליון כנ"ל:</w:t>
      </w:r>
    </w:p>
  </w:footnote>
  <w:footnote w:id="4950">
    <w:p w:rsidR="00A13282" w:rsidRDefault="00A13282" w:rsidP="0020255E">
      <w:pPr>
        <w:pStyle w:val="a5"/>
        <w:rPr>
          <w:rtl/>
        </w:rPr>
      </w:pPr>
      <w:r>
        <w:rPr>
          <w:rStyle w:val="a7"/>
          <w:rtl/>
        </w:rPr>
        <w:footnoteRef/>
      </w:r>
      <w:r>
        <w:rPr>
          <w:rtl/>
        </w:rPr>
        <w:t xml:space="preserve"> </w:t>
      </w:r>
      <w:r>
        <w:rPr>
          <w:b/>
          <w:bCs/>
          <w:rtl/>
        </w:rPr>
        <w:t xml:space="preserve">ואתמר באילנא כו'. </w:t>
      </w:r>
      <w:r>
        <w:rPr>
          <w:rtl/>
        </w:rPr>
        <w:t>וכתיב שם גם כן (דניאל ד יא) ובדרו אנביה, וכן הוא בכל רשע דלא נשאר ביה אלא ה' תתאה, נפשא דביה, וכל הנפשין - מסטרא דשכינתא תתאה, וחסר דיוקנא דילה ועל זה מתאבל השם יתברך כמו שמפרש והולך:</w:t>
      </w:r>
    </w:p>
  </w:footnote>
  <w:footnote w:id="4951">
    <w:p w:rsidR="00A13282" w:rsidRDefault="00A13282" w:rsidP="0020255E">
      <w:pPr>
        <w:pStyle w:val="a5"/>
        <w:rPr>
          <w:rtl/>
        </w:rPr>
      </w:pPr>
      <w:r>
        <w:rPr>
          <w:rStyle w:val="a7"/>
          <w:rtl/>
        </w:rPr>
        <w:footnoteRef/>
      </w:r>
      <w:r>
        <w:rPr>
          <w:rtl/>
        </w:rPr>
        <w:t xml:space="preserve"> </w:t>
      </w:r>
      <w:r>
        <w:rPr>
          <w:b/>
          <w:bCs/>
          <w:rtl/>
        </w:rPr>
        <w:t xml:space="preserve">ובג"ד שלש כו'. </w:t>
      </w:r>
      <w:r>
        <w:rPr>
          <w:rtl/>
        </w:rPr>
        <w:t>דשלש הוא ג' אתוון דיה"ו - הו"י, והלילה - ה' בתראה כלולה מכולם, וזהו פלוגתא ר' נתן ורבי, דרבי סבירא ליה ד' - ד' אתוון, ור' נתן סבירא ליה דה"א אחרונה היא הלילה כולה שכלולה מכולם ולכן על כל משמר דהוי נהיר לה ועתה נסתלק ממנה שואג כו':</w:t>
      </w:r>
    </w:p>
  </w:footnote>
  <w:footnote w:id="4952">
    <w:p w:rsidR="00A13282" w:rsidRDefault="00A13282" w:rsidP="0020255E">
      <w:pPr>
        <w:pStyle w:val="a5"/>
        <w:rPr>
          <w:rtl/>
        </w:rPr>
      </w:pPr>
      <w:r>
        <w:rPr>
          <w:rStyle w:val="a7"/>
          <w:rtl/>
        </w:rPr>
        <w:footnoteRef/>
      </w:r>
      <w:r>
        <w:rPr>
          <w:rtl/>
        </w:rPr>
        <w:t xml:space="preserve"> </w:t>
      </w:r>
      <w:r>
        <w:rPr>
          <w:b/>
          <w:bCs/>
          <w:rtl/>
        </w:rPr>
        <w:t xml:space="preserve">נחית באברם כו'. </w:t>
      </w:r>
      <w:r>
        <w:rPr>
          <w:rtl/>
        </w:rPr>
        <w:t>שניתוסף לו ה' והוא ה' עילאה כמו שאומר בזוהר ויצחק יו"ד ראשי תיבות שקב"ה קרא לו כל השם:</w:t>
      </w:r>
    </w:p>
  </w:footnote>
  <w:footnote w:id="4953">
    <w:p w:rsidR="00A13282" w:rsidRDefault="00A13282" w:rsidP="0020255E">
      <w:pPr>
        <w:pStyle w:val="a5"/>
        <w:rPr>
          <w:rtl/>
        </w:rPr>
      </w:pPr>
      <w:r>
        <w:rPr>
          <w:rStyle w:val="a7"/>
          <w:rtl/>
        </w:rPr>
        <w:footnoteRef/>
      </w:r>
      <w:r>
        <w:rPr>
          <w:rtl/>
        </w:rPr>
        <w:t xml:space="preserve"> </w:t>
      </w:r>
      <w:r>
        <w:rPr>
          <w:b/>
          <w:bCs/>
          <w:rtl/>
        </w:rPr>
        <w:t xml:space="preserve">בשגם כו' </w:t>
      </w:r>
      <w:r>
        <w:rPr>
          <w:rtl/>
        </w:rPr>
        <w:t>לראיה דהוא ה', ה' דהבל, ה' חומשי תורה כנ"ל וכמו שמפרש והולך:</w:t>
      </w:r>
    </w:p>
  </w:footnote>
  <w:footnote w:id="4954">
    <w:p w:rsidR="00A13282" w:rsidRDefault="00A13282" w:rsidP="0020255E">
      <w:pPr>
        <w:pStyle w:val="a5"/>
        <w:rPr>
          <w:rtl/>
        </w:rPr>
      </w:pPr>
      <w:r>
        <w:rPr>
          <w:rStyle w:val="a7"/>
          <w:rtl/>
        </w:rPr>
        <w:footnoteRef/>
      </w:r>
      <w:r>
        <w:rPr>
          <w:rtl/>
        </w:rPr>
        <w:t xml:space="preserve"> </w:t>
      </w:r>
      <w:r>
        <w:rPr>
          <w:b/>
          <w:bCs/>
          <w:rtl/>
        </w:rPr>
        <w:t xml:space="preserve">ובמה דחב הבל. </w:t>
      </w:r>
      <w:r>
        <w:rPr>
          <w:rtl/>
        </w:rPr>
        <w:t>רוצה לומר דג"ם של הבל נתתקן ביה, דעיקריה הוא הבל, ונתקן גם כן ד' אלו בנח שם ויפת ובמשה שביה ד', ג' דשי"ן ורביעית דמ"ה כמו שאומר לקמן ק"ט א' ונכפל ביה משה ב' פעמים וכמו שאומר שם:</w:t>
      </w:r>
    </w:p>
  </w:footnote>
  <w:footnote w:id="4955">
    <w:p w:rsidR="00A13282" w:rsidRDefault="00A13282" w:rsidP="0020255E">
      <w:pPr>
        <w:pStyle w:val="a5"/>
        <w:rPr>
          <w:rtl/>
        </w:rPr>
      </w:pPr>
      <w:r>
        <w:rPr>
          <w:rStyle w:val="a7"/>
          <w:rtl/>
        </w:rPr>
        <w:footnoteRef/>
      </w:r>
      <w:r>
        <w:rPr>
          <w:rtl/>
        </w:rPr>
        <w:t xml:space="preserve"> </w:t>
      </w:r>
      <w:r>
        <w:rPr>
          <w:b/>
          <w:bCs/>
          <w:rtl/>
        </w:rPr>
        <w:t xml:space="preserve">בנופיה. </w:t>
      </w:r>
      <w:r>
        <w:rPr>
          <w:rtl/>
        </w:rPr>
        <w:t>והוא האילן עצמו:</w:t>
      </w:r>
    </w:p>
  </w:footnote>
  <w:footnote w:id="4956">
    <w:p w:rsidR="00A13282" w:rsidRDefault="00A13282" w:rsidP="0020255E">
      <w:pPr>
        <w:pStyle w:val="a5"/>
        <w:rPr>
          <w:rtl/>
        </w:rPr>
      </w:pPr>
      <w:r>
        <w:rPr>
          <w:rStyle w:val="a7"/>
          <w:rtl/>
        </w:rPr>
        <w:footnoteRef/>
      </w:r>
      <w:r>
        <w:rPr>
          <w:rtl/>
        </w:rPr>
        <w:t xml:space="preserve"> </w:t>
      </w:r>
      <w:r>
        <w:rPr>
          <w:b/>
          <w:bCs/>
          <w:rtl/>
        </w:rPr>
        <w:t xml:space="preserve">אשתלים בבר. </w:t>
      </w:r>
      <w:r>
        <w:rPr>
          <w:rtl/>
        </w:rPr>
        <w:t>דהוא בן לאדם הראשון, מה שם בנו שהוא הבל, בשגם כו', והוא הדעת שנקרא בן כמו שאומר לקמן ב' ולמעלה ס"א ב' ושאר מקומות:</w:t>
      </w:r>
    </w:p>
  </w:footnote>
  <w:footnote w:id="4957">
    <w:p w:rsidR="00A13282" w:rsidRDefault="00A13282" w:rsidP="0020255E">
      <w:pPr>
        <w:pStyle w:val="a5"/>
        <w:rPr>
          <w:rtl/>
        </w:rPr>
      </w:pPr>
      <w:r>
        <w:rPr>
          <w:rStyle w:val="a7"/>
          <w:rtl/>
        </w:rPr>
        <w:footnoteRef/>
      </w:r>
      <w:r>
        <w:rPr>
          <w:rtl/>
        </w:rPr>
        <w:t xml:space="preserve"> </w:t>
      </w:r>
      <w:r>
        <w:rPr>
          <w:b/>
          <w:bCs/>
          <w:rtl/>
        </w:rPr>
        <w:t xml:space="preserve">מה דהות שת כו'. </w:t>
      </w:r>
      <w:r>
        <w:rPr>
          <w:rtl/>
        </w:rPr>
        <w:t>דפרח היו"ד ולכן נתפרדו הגלגולין, ועתה נשתלמו ונכללו הכל בו לכן נעשה שית, כל השית ביחד:</w:t>
      </w:r>
    </w:p>
  </w:footnote>
  <w:footnote w:id="4958">
    <w:p w:rsidR="00A13282" w:rsidRDefault="00A13282" w:rsidP="0020255E">
      <w:pPr>
        <w:pStyle w:val="a5"/>
        <w:rPr>
          <w:rtl/>
        </w:rPr>
      </w:pPr>
      <w:r>
        <w:rPr>
          <w:rStyle w:val="a7"/>
          <w:rtl/>
        </w:rPr>
        <w:footnoteRef/>
      </w:r>
      <w:r>
        <w:rPr>
          <w:rtl/>
        </w:rPr>
        <w:t xml:space="preserve"> </w:t>
      </w:r>
      <w:r>
        <w:rPr>
          <w:b/>
          <w:bCs/>
          <w:rtl/>
        </w:rPr>
        <w:t xml:space="preserve">ומתחיל בב' דאיהי כו'. </w:t>
      </w:r>
      <w:r>
        <w:rPr>
          <w:rtl/>
        </w:rPr>
        <w:t xml:space="preserve">רוצה לומר בינה, (משלי י כב) ברכת ה' היא תעשיר כמו שאומר לעיל תיקון כ”ה: </w:t>
      </w:r>
    </w:p>
  </w:footnote>
  <w:footnote w:id="4959">
    <w:p w:rsidR="00A13282" w:rsidRDefault="00A13282" w:rsidP="0020255E">
      <w:pPr>
        <w:pStyle w:val="a5"/>
        <w:rPr>
          <w:rtl/>
        </w:rPr>
      </w:pPr>
      <w:r>
        <w:rPr>
          <w:rStyle w:val="a7"/>
          <w:rtl/>
        </w:rPr>
        <w:footnoteRef/>
      </w:r>
      <w:r>
        <w:rPr>
          <w:rtl/>
        </w:rPr>
        <w:t xml:space="preserve"> </w:t>
      </w:r>
      <w:r>
        <w:rPr>
          <w:b/>
          <w:bCs/>
          <w:rtl/>
        </w:rPr>
        <w:t xml:space="preserve">ולבתר כו' ר' כו'. </w:t>
      </w:r>
      <w:r>
        <w:rPr>
          <w:rtl/>
        </w:rPr>
        <w:t xml:space="preserve">והן י"ה, שית הוא ו', ויו"ד דבגויה הוא ברית קדש ה' אחרונה, ונשתלם הוי"ה, וזה שאומר </w:t>
      </w:r>
      <w:r>
        <w:rPr>
          <w:b/>
          <w:bCs/>
          <w:rtl/>
        </w:rPr>
        <w:t xml:space="preserve">הא אילנא שלים בהוי"ה </w:t>
      </w:r>
      <w:r>
        <w:rPr>
          <w:rtl/>
        </w:rPr>
        <w:t xml:space="preserve">דהן ד' תיקונין הנ"ל ב"ר ש"ת י' שהן ד' תיקונין דאילן, בענפוי בשרשוי בנופיה באיביה. ואמר </w:t>
      </w:r>
      <w:r>
        <w:rPr>
          <w:b/>
          <w:bCs/>
          <w:rtl/>
        </w:rPr>
        <w:t xml:space="preserve">אלא בגין דאיהו נביעו </w:t>
      </w:r>
      <w:r>
        <w:rPr>
          <w:rtl/>
        </w:rPr>
        <w:t>דאלף הוא כתר שהוא שמא מפרש, שקיו דאילנא כמו שאומר לעיל י"ג א' וכשנשלם האילן נחית שקיו דאילנא וזה שאומר למעלה דאינון אתוון דעשר אמירין דהוא שמא מפרש, והוא עשרת הדברות שהתחלה דלהון באלף וכמו שהבטיח השם יתברך לאלף, והן ל"ב נתיבות עם עשר אמירין דשמא מפרש וכמו שבארנו במקום אחר, ונמצא בבראשית נכלל כל זה אילנא ונביעו דיליה, כל העשר ספירות שניתן התורה ע"י ונתקן הכל:</w:t>
      </w:r>
    </w:p>
  </w:footnote>
  <w:footnote w:id="4960">
    <w:p w:rsidR="00A13282" w:rsidRDefault="00A13282" w:rsidP="0020255E">
      <w:pPr>
        <w:pStyle w:val="a5"/>
        <w:rPr>
          <w:rtl/>
        </w:rPr>
      </w:pPr>
      <w:r>
        <w:rPr>
          <w:rStyle w:val="a7"/>
          <w:rtl/>
        </w:rPr>
        <w:footnoteRef/>
      </w:r>
      <w:r>
        <w:rPr>
          <w:rtl/>
        </w:rPr>
        <w:t xml:space="preserve"> </w:t>
      </w:r>
      <w:r>
        <w:rPr>
          <w:b/>
          <w:bCs/>
          <w:rtl/>
        </w:rPr>
        <w:t xml:space="preserve">אלקים מליאה כו'. </w:t>
      </w:r>
      <w:r>
        <w:rPr>
          <w:rtl/>
        </w:rPr>
        <w:t xml:space="preserve">אע"ג שאמרנו שכל עשר ספירות בבראשית מכל מקום אינן אלא תשע, דה' אחרונה שהוא עטרת הברית נכלל בדכורא בברית, ולכן שית אינן אלא ו' ספירות ו"ק אבל בחינת המלכות עצמה היא אלקים דבראשית דכלולה ונתמלא מכולם, מהשם ומילואו, והוא אותיות מליאה כמו שכתוב מכל, ומפרש והולך דבראשית שית דבראשית הוא שית ועטרה כלולה בהם ולכן הוא שי"ת לבד, וברא דבראשית הוא ג"ר כנ"ל, ואלקים מליאה מכלהו, שלימו דכלהו, דהיא עשירית לכל חד ומליאה מכולם וזהו שם מלא. ואמר </w:t>
      </w:r>
      <w:r>
        <w:rPr>
          <w:b/>
          <w:bCs/>
          <w:rtl/>
        </w:rPr>
        <w:t xml:space="preserve">ובג"ד בראשית כו'. </w:t>
      </w:r>
      <w:r>
        <w:rPr>
          <w:rtl/>
        </w:rPr>
        <w:t>רוצה לומר דבראשית ברא את השמים ואת הארץ, ובמה ברא לון, באלקים, ולא כללן בחד משום דהיא לית לה מגרמה כלום אלא דכלולה מכולם, ולכן קאמר דבראשית ברא ע"י אלקים שמים וארץ:</w:t>
      </w:r>
    </w:p>
  </w:footnote>
  <w:footnote w:id="4961">
    <w:p w:rsidR="00A13282" w:rsidRDefault="00A13282" w:rsidP="0020255E">
      <w:pPr>
        <w:pStyle w:val="a5"/>
        <w:rPr>
          <w:rtl/>
        </w:rPr>
      </w:pPr>
      <w:r>
        <w:rPr>
          <w:rStyle w:val="a7"/>
          <w:rtl/>
        </w:rPr>
        <w:footnoteRef/>
      </w:r>
      <w:r>
        <w:rPr>
          <w:rtl/>
        </w:rPr>
        <w:t xml:space="preserve"> </w:t>
      </w:r>
      <w:r>
        <w:rPr>
          <w:b/>
          <w:bCs/>
          <w:rtl/>
        </w:rPr>
        <w:t xml:space="preserve">לקיימא כו'. </w:t>
      </w:r>
      <w:r>
        <w:rPr>
          <w:rtl/>
        </w:rPr>
        <w:t>דהוא בראשי תיבות ורוצה לומר דהוא שהיה נתנה התורה על ידו, והוא שיהיה:</w:t>
      </w:r>
    </w:p>
  </w:footnote>
  <w:footnote w:id="4962">
    <w:p w:rsidR="00A13282" w:rsidRDefault="00A13282" w:rsidP="0020255E">
      <w:pPr>
        <w:pStyle w:val="a5"/>
        <w:rPr>
          <w:rtl/>
        </w:rPr>
      </w:pPr>
      <w:r>
        <w:rPr>
          <w:rStyle w:val="a7"/>
          <w:rtl/>
        </w:rPr>
        <w:footnoteRef/>
      </w:r>
      <w:r>
        <w:rPr>
          <w:rtl/>
        </w:rPr>
        <w:t xml:space="preserve"> </w:t>
      </w:r>
      <w:r>
        <w:rPr>
          <w:b/>
          <w:bCs/>
          <w:rtl/>
        </w:rPr>
        <w:t xml:space="preserve">וביה ממכון כו'. </w:t>
      </w:r>
      <w:r>
        <w:rPr>
          <w:rtl/>
        </w:rPr>
        <w:t>גם כן בראשי תיבות ורוצה לומר דעל ידו השם יתברך ירד והשגיח לישראל כמו שכתוב (דברים ה ה) אנכי עומד בין ה' וביניכם:</w:t>
      </w:r>
    </w:p>
  </w:footnote>
  <w:footnote w:id="4963">
    <w:p w:rsidR="00A13282" w:rsidRDefault="00A13282" w:rsidP="0020255E">
      <w:pPr>
        <w:pStyle w:val="a5"/>
        <w:rPr>
          <w:rtl/>
        </w:rPr>
      </w:pPr>
      <w:r>
        <w:rPr>
          <w:rStyle w:val="a7"/>
          <w:rtl/>
        </w:rPr>
        <w:footnoteRef/>
      </w:r>
      <w:r>
        <w:rPr>
          <w:rtl/>
        </w:rPr>
        <w:t xml:space="preserve"> </w:t>
      </w:r>
      <w:r>
        <w:rPr>
          <w:b/>
          <w:bCs/>
          <w:rtl/>
        </w:rPr>
        <w:t xml:space="preserve">שככה כו'. </w:t>
      </w:r>
      <w:r>
        <w:rPr>
          <w:rtl/>
        </w:rPr>
        <w:t>בחושבן, ואשרינו שהוא בנו, ועל ידו השם יתברך הוא אלקינו, בסיני בחר בנו:</w:t>
      </w:r>
    </w:p>
  </w:footnote>
  <w:footnote w:id="4964">
    <w:p w:rsidR="00A13282" w:rsidRDefault="00A13282" w:rsidP="0020255E">
      <w:pPr>
        <w:pStyle w:val="a5"/>
        <w:rPr>
          <w:rtl/>
        </w:rPr>
      </w:pPr>
      <w:r>
        <w:rPr>
          <w:rStyle w:val="a7"/>
          <w:rtl/>
        </w:rPr>
        <w:footnoteRef/>
      </w:r>
      <w:r>
        <w:rPr>
          <w:rtl/>
        </w:rPr>
        <w:t xml:space="preserve"> </w:t>
      </w:r>
      <w:r>
        <w:rPr>
          <w:b/>
          <w:bCs/>
          <w:rtl/>
        </w:rPr>
        <w:t xml:space="preserve">דעליה אתמר כו'. </w:t>
      </w:r>
      <w:r>
        <w:rPr>
          <w:rtl/>
        </w:rPr>
        <w:t>כמו שמפרש והולך ואתפשטותיה כו':</w:t>
      </w:r>
    </w:p>
  </w:footnote>
  <w:footnote w:id="4965">
    <w:p w:rsidR="00A13282" w:rsidRDefault="00A13282" w:rsidP="0020255E">
      <w:pPr>
        <w:pStyle w:val="a5"/>
        <w:rPr>
          <w:rtl/>
        </w:rPr>
      </w:pPr>
      <w:r>
        <w:rPr>
          <w:rStyle w:val="a7"/>
          <w:rtl/>
        </w:rPr>
        <w:footnoteRef/>
      </w:r>
      <w:r>
        <w:rPr>
          <w:rtl/>
        </w:rPr>
        <w:t xml:space="preserve"> </w:t>
      </w:r>
      <w:r>
        <w:rPr>
          <w:b/>
          <w:bCs/>
          <w:rtl/>
        </w:rPr>
        <w:t xml:space="preserve">ועליה אתמר כו'. </w:t>
      </w:r>
      <w:r>
        <w:rPr>
          <w:rtl/>
        </w:rPr>
        <w:t>דגלגולא דאדם הוא באלף דור כמו שאומר בסוף תיקוני זוהר חדש ולכן א' דאדם רבתי, והיה ראוי לאשתלים הכל במשה בפעם הראשון כל האלף דור, אלף פעמים ששים ריבוא, ובחטא העגל אבד אלף (הגהה: וכמו שאמרו במתניתין סוף תיקוני זוהר חדש ובגיניה קיימין ששים ריבוא אלפין על טורא כו' אלף הרים בהררי אלף כו', ולכן עלה אלי ההרה, לתקן כל ההרים שהיא כלולה מכלם אבל אח"כ אמר ליה לך רד מן ההר, ואמר לך רד בגלותא, והוא נ' אלף שנין דאיהו בא"ר, וזה שאומר לך בחושבן נו"ן בח"ג) חולקין, ונשאר בו חלק א', אלף זעירא דויקרא, והוא ששים ריבוא דור שלו, אבל שאר דורות לא נתתקנו, ולכן הולך בכל דור לאשלמא פגימו דלהון וזה שאומר לאשלמא כלהו מפגימו כו' וכמו שאמרו לך רד בגלותא, ובביאתו ויגאלנו - יתקן כל האלף דור:</w:t>
      </w:r>
    </w:p>
  </w:footnote>
  <w:footnote w:id="4966">
    <w:p w:rsidR="00A13282" w:rsidRDefault="00A13282" w:rsidP="0020255E">
      <w:pPr>
        <w:pStyle w:val="a5"/>
        <w:rPr>
          <w:rtl/>
        </w:rPr>
      </w:pPr>
      <w:r>
        <w:rPr>
          <w:rStyle w:val="a7"/>
          <w:rtl/>
        </w:rPr>
        <w:footnoteRef/>
      </w:r>
      <w:r>
        <w:rPr>
          <w:rtl/>
        </w:rPr>
        <w:t xml:space="preserve"> </w:t>
      </w:r>
      <w:r>
        <w:rPr>
          <w:b/>
          <w:bCs/>
          <w:rtl/>
        </w:rPr>
        <w:t xml:space="preserve">ובג"ד אתמר עליה דור הולך לההוא עלמא ודור בא איהו כו'. </w:t>
      </w:r>
      <w:r>
        <w:rPr>
          <w:rtl/>
        </w:rPr>
        <w:t>דבכל דור אזיל ואתי, שמתים ונולדים, והכל בי"ה והוא הדעת שמתפשט בכולו, ולעתיד לבוא (חבקוק ב יד) כי תמלא הארץ דעה שיתפשט בכולו בכל האלף דור:</w:t>
      </w:r>
    </w:p>
  </w:footnote>
  <w:footnote w:id="4967">
    <w:p w:rsidR="00A13282" w:rsidRDefault="00A13282" w:rsidP="0020255E">
      <w:pPr>
        <w:pStyle w:val="a5"/>
        <w:rPr>
          <w:rtl/>
        </w:rPr>
      </w:pPr>
      <w:r>
        <w:rPr>
          <w:rStyle w:val="a7"/>
          <w:rtl/>
        </w:rPr>
        <w:footnoteRef/>
      </w:r>
      <w:r>
        <w:rPr>
          <w:rtl/>
        </w:rPr>
        <w:t xml:space="preserve"> </w:t>
      </w:r>
      <w:r>
        <w:rPr>
          <w:b/>
          <w:bCs/>
          <w:rtl/>
        </w:rPr>
        <w:t xml:space="preserve">ועוד כי שת כו'. </w:t>
      </w:r>
      <w:r>
        <w:rPr>
          <w:rtl/>
        </w:rPr>
        <w:t>חוזר לענינו הראשון:</w:t>
      </w:r>
    </w:p>
  </w:footnote>
  <w:footnote w:id="4968">
    <w:p w:rsidR="00A13282" w:rsidRDefault="00A13282" w:rsidP="0020255E">
      <w:pPr>
        <w:pStyle w:val="a5"/>
        <w:rPr>
          <w:rtl/>
        </w:rPr>
      </w:pPr>
      <w:r>
        <w:rPr>
          <w:rStyle w:val="a7"/>
          <w:rtl/>
        </w:rPr>
        <w:footnoteRef/>
      </w:r>
      <w:r>
        <w:rPr>
          <w:rtl/>
        </w:rPr>
        <w:t xml:space="preserve"> </w:t>
      </w:r>
      <w:r>
        <w:rPr>
          <w:b/>
          <w:bCs/>
          <w:rtl/>
        </w:rPr>
        <w:t xml:space="preserve">אתפשטותיה עד יעקב. </w:t>
      </w:r>
      <w:r>
        <w:rPr>
          <w:rtl/>
        </w:rPr>
        <w:t>דהוא ספירה ששית, ת"ת ועיין לקמן קי"ח ב' בארוכה והן - אדם הבל שת דהן ג"ר, שת יו"ד, הבל ה' כמו שאומר שם, ו' - אבהן:</w:t>
      </w:r>
    </w:p>
  </w:footnote>
  <w:footnote w:id="4969">
    <w:p w:rsidR="00A13282" w:rsidRDefault="00A13282" w:rsidP="0020255E">
      <w:pPr>
        <w:pStyle w:val="a5"/>
        <w:rPr>
          <w:rtl/>
        </w:rPr>
      </w:pPr>
      <w:r>
        <w:rPr>
          <w:rStyle w:val="a7"/>
          <w:rtl/>
        </w:rPr>
        <w:footnoteRef/>
      </w:r>
      <w:r>
        <w:rPr>
          <w:rtl/>
        </w:rPr>
        <w:t xml:space="preserve"> </w:t>
      </w:r>
      <w:r>
        <w:rPr>
          <w:b/>
          <w:bCs/>
          <w:rtl/>
        </w:rPr>
        <w:t xml:space="preserve">דפרח כו'. </w:t>
      </w:r>
      <w:r>
        <w:rPr>
          <w:rtl/>
        </w:rPr>
        <w:t>רוצה לומר כמו שפרח היוד מיניה, כן מיעקב, ולקה בעקב באותו הלילה ע"י חוויא, (בראשית לב כה) ויאבק כו' כמו שמפרש והולך:</w:t>
      </w:r>
    </w:p>
  </w:footnote>
  <w:footnote w:id="4970">
    <w:p w:rsidR="00A13282" w:rsidRDefault="00A13282" w:rsidP="0020255E">
      <w:pPr>
        <w:pStyle w:val="a5"/>
        <w:rPr>
          <w:rtl/>
        </w:rPr>
      </w:pPr>
      <w:r>
        <w:rPr>
          <w:rStyle w:val="a7"/>
          <w:rtl/>
        </w:rPr>
        <w:footnoteRef/>
      </w:r>
      <w:r>
        <w:rPr>
          <w:rtl/>
        </w:rPr>
        <w:t xml:space="preserve"> </w:t>
      </w:r>
      <w:r>
        <w:rPr>
          <w:b/>
          <w:bCs/>
          <w:rtl/>
        </w:rPr>
        <w:t xml:space="preserve">דיעקב דיוקני' כו'. </w:t>
      </w:r>
      <w:r>
        <w:rPr>
          <w:rtl/>
        </w:rPr>
        <w:t>דרוצה לומר דלכן נאמר על אדם הראשון תשופנו עקב, עקב דאדם הראשון שהוא דיעקב, אבל אח"כ ישופך ראש - דישראל, שברכו בעצמו והודה לו על כל ברכאן ונצחו לשטן, וכן ניתוסף לו כמנין שטן, דלקח כל דיליה, כל הברכאן דרווח בעקימו - נטלא מיניה כמו שאומר בפ' תולדות בארוכה:</w:t>
      </w:r>
    </w:p>
  </w:footnote>
  <w:footnote w:id="4971">
    <w:p w:rsidR="00A13282" w:rsidRDefault="00A13282" w:rsidP="0020255E">
      <w:pPr>
        <w:pStyle w:val="a5"/>
        <w:rPr>
          <w:rtl/>
        </w:rPr>
      </w:pPr>
      <w:r>
        <w:rPr>
          <w:rStyle w:val="a7"/>
          <w:rtl/>
        </w:rPr>
        <w:footnoteRef/>
      </w:r>
      <w:r>
        <w:rPr>
          <w:rtl/>
        </w:rPr>
        <w:t xml:space="preserve"> </w:t>
      </w:r>
      <w:r>
        <w:rPr>
          <w:b/>
          <w:bCs/>
          <w:rtl/>
        </w:rPr>
        <w:t xml:space="preserve">ובגין האי יו"ד כו'. </w:t>
      </w:r>
      <w:r>
        <w:rPr>
          <w:rtl/>
        </w:rPr>
        <w:t>כמו שאומר לעיל דהוא יו"ד זעירא, ברית קודש דחב ביה אדם כמו שאומר לקמן ב' (וב' ההי"ן באברהם ויצחק, י"ו ביעקב בב' שמהן דיליה, י' נוק' ולכן נגע כו' אבל ו' ישראל הוא ישופך כו' וזה שאומר למטה והא ר' פנחס כו'):</w:t>
      </w:r>
    </w:p>
    <w:p w:rsidR="00A13282" w:rsidRDefault="00A13282" w:rsidP="0020255E">
      <w:pPr>
        <w:pStyle w:val="a5"/>
        <w:rPr>
          <w:rtl/>
        </w:rPr>
      </w:pPr>
      <w:r>
        <w:rPr>
          <w:b/>
          <w:bCs/>
          <w:rtl/>
        </w:rPr>
        <w:t xml:space="preserve">מהכא אשתמודע כו'. </w:t>
      </w:r>
      <w:r>
        <w:rPr>
          <w:rtl/>
        </w:rPr>
        <w:t>והם העלו ותקנו אותה בדרגין דלמעלה, תפלת שחרית ומנחה במדת יום אבל במדת לילה יראו מנגע אבל יעקב תיקן תפלת ערבית מדת לילה ולכן צריך למסבל פגימו דילה תמן ונלקה בלילה דנתלו בה המאורות:</w:t>
      </w:r>
    </w:p>
  </w:footnote>
  <w:footnote w:id="4972">
    <w:p w:rsidR="00A13282" w:rsidRDefault="00A13282" w:rsidP="0020255E">
      <w:pPr>
        <w:pStyle w:val="a5"/>
        <w:rPr>
          <w:rtl/>
        </w:rPr>
      </w:pPr>
      <w:r>
        <w:rPr>
          <w:rStyle w:val="a7"/>
          <w:rtl/>
        </w:rPr>
        <w:footnoteRef/>
      </w:r>
      <w:r>
        <w:rPr>
          <w:rtl/>
        </w:rPr>
        <w:t xml:space="preserve"> </w:t>
      </w:r>
      <w:r>
        <w:rPr>
          <w:b/>
          <w:bCs/>
          <w:rtl/>
        </w:rPr>
        <w:t xml:space="preserve">דבה ויסתר כו'. </w:t>
      </w:r>
      <w:r>
        <w:rPr>
          <w:rtl/>
        </w:rPr>
        <w:t>דהוא תמונת ה', וכסה אותה בבית, נקודיה בהיכליה בש"ת, והוא יראה כמו שאמרו (נדרים כ ע"א) זו הבושה:</w:t>
      </w:r>
    </w:p>
  </w:footnote>
  <w:footnote w:id="4973">
    <w:p w:rsidR="00A13282" w:rsidRDefault="00A13282" w:rsidP="0020255E">
      <w:pPr>
        <w:pStyle w:val="a5"/>
        <w:rPr>
          <w:rtl/>
        </w:rPr>
      </w:pPr>
      <w:r>
        <w:rPr>
          <w:rStyle w:val="a7"/>
          <w:rtl/>
        </w:rPr>
        <w:footnoteRef/>
      </w:r>
      <w:r>
        <w:rPr>
          <w:rtl/>
        </w:rPr>
        <w:t xml:space="preserve"> </w:t>
      </w:r>
      <w:r>
        <w:rPr>
          <w:b/>
          <w:bCs/>
          <w:rtl/>
        </w:rPr>
        <w:t xml:space="preserve">בת יו"ד. </w:t>
      </w:r>
      <w:r>
        <w:rPr>
          <w:rtl/>
        </w:rPr>
        <w:t>דהיא בת מלך פנימה, ונעשה בית, בית ליו"ד, נקודיה בהיכליה, והכל הוא יו"ד ועיין לקמן קי"א ב':</w:t>
      </w:r>
    </w:p>
  </w:footnote>
  <w:footnote w:id="4974">
    <w:p w:rsidR="00A13282" w:rsidRDefault="00A13282" w:rsidP="0020255E">
      <w:pPr>
        <w:pStyle w:val="a5"/>
        <w:rPr>
          <w:rtl/>
        </w:rPr>
      </w:pPr>
      <w:r>
        <w:rPr>
          <w:rStyle w:val="a7"/>
          <w:rtl/>
        </w:rPr>
        <w:footnoteRef/>
      </w:r>
      <w:r>
        <w:rPr>
          <w:rtl/>
        </w:rPr>
        <w:t xml:space="preserve"> </w:t>
      </w:r>
      <w:r>
        <w:rPr>
          <w:b/>
          <w:bCs/>
          <w:rtl/>
        </w:rPr>
        <w:t xml:space="preserve">מאת ה' היתה כו'. </w:t>
      </w:r>
      <w:r>
        <w:rPr>
          <w:rtl/>
        </w:rPr>
        <w:t>נפלאות דסליק לאלף, פלא, למקום דאתגזרת מינה דסליק לה משה לשם כמו שאומר לעיל ריש תיקון יו"ד באז ישיר כו' עיין שם וע' בתיקוני זוהר חדש ע"ו ג' בארוכה:</w:t>
      </w:r>
    </w:p>
  </w:footnote>
  <w:footnote w:id="4975">
    <w:p w:rsidR="00A13282" w:rsidRDefault="00A13282" w:rsidP="0020255E">
      <w:pPr>
        <w:pStyle w:val="a5"/>
        <w:rPr>
          <w:rtl/>
        </w:rPr>
      </w:pPr>
      <w:r>
        <w:rPr>
          <w:rStyle w:val="a7"/>
          <w:rtl/>
        </w:rPr>
        <w:footnoteRef/>
      </w:r>
      <w:r>
        <w:rPr>
          <w:rtl/>
        </w:rPr>
        <w:t xml:space="preserve"> </w:t>
      </w:r>
      <w:r>
        <w:rPr>
          <w:b/>
          <w:bCs/>
          <w:rtl/>
        </w:rPr>
        <w:t xml:space="preserve">כגון ב"נ דאיהו כו'. </w:t>
      </w:r>
      <w:r>
        <w:rPr>
          <w:rtl/>
        </w:rPr>
        <w:t>רוצה לומר דזה שאומר מקץ ימים והוא מסטרא דקין דקריב משיורין דיליה והוא מקץ הימים, דרגא דאקרי קץ הימים, דלא נטיל אלא שיורין, תמציתא, וכן נקרא קץ כל בשר, דלא שליט אלא על בשרא דהוא שיורין ולכן לא הביא קין אלא משיורא דיליה ולכן לא שעה אליו השם ואתמסר לכלבא ועיין לקמן קי"ב א' מקץ הימים ולא אמר מראש כו':</w:t>
      </w:r>
    </w:p>
  </w:footnote>
  <w:footnote w:id="4976">
    <w:p w:rsidR="00A13282" w:rsidRDefault="00A13282" w:rsidP="0020255E">
      <w:pPr>
        <w:pStyle w:val="a5"/>
        <w:rPr>
          <w:rtl/>
        </w:rPr>
      </w:pPr>
      <w:r>
        <w:rPr>
          <w:rStyle w:val="a7"/>
          <w:rtl/>
        </w:rPr>
        <w:footnoteRef/>
      </w:r>
      <w:r>
        <w:rPr>
          <w:rtl/>
        </w:rPr>
        <w:t xml:space="preserve"> </w:t>
      </w:r>
      <w:r>
        <w:rPr>
          <w:b/>
          <w:bCs/>
          <w:rtl/>
        </w:rPr>
        <w:t xml:space="preserve">מההוא אתר כו'. </w:t>
      </w:r>
      <w:r>
        <w:rPr>
          <w:rtl/>
        </w:rPr>
        <w:t>כמו שכתוב (שמות כח מב) ועשה להם מכנסי בד לכסות כו' ועיין בזוהר פ' קדושים פ"ז א' והוא מסוף של הקרבן, בסופי תיבות שלו, והוא מה דנטיל איהו כמו אברים ופדרים בלילה, דבסוף מתזני מינייהו כל בעלי קריין, וזהו ערוה וזהו מקץ הימים ועיין בזוהר ריש פ' מקץ:</w:t>
      </w:r>
    </w:p>
  </w:footnote>
  <w:footnote w:id="4977">
    <w:p w:rsidR="00A13282" w:rsidRDefault="00A13282" w:rsidP="0020255E">
      <w:pPr>
        <w:pStyle w:val="a5"/>
        <w:rPr>
          <w:rtl/>
        </w:rPr>
      </w:pPr>
      <w:r>
        <w:rPr>
          <w:rStyle w:val="a7"/>
          <w:rtl/>
        </w:rPr>
        <w:footnoteRef/>
      </w:r>
      <w:r>
        <w:rPr>
          <w:rtl/>
        </w:rPr>
        <w:t xml:space="preserve"> </w:t>
      </w:r>
      <w:r>
        <w:rPr>
          <w:b/>
          <w:bCs/>
          <w:rtl/>
        </w:rPr>
        <w:t>יתר שאת ויתר עז.</w:t>
      </w:r>
      <w:r>
        <w:rPr>
          <w:rtl/>
        </w:rPr>
        <w:t xml:space="preserve"> דבמקום שבעלי תשובה עומדין אין כו' (סנהדרין צט ע"א), ולו הבכורה, דהוא (בראשית מט ג) יתר שאת ויתר עז דראובן:</w:t>
      </w:r>
    </w:p>
  </w:footnote>
  <w:footnote w:id="4978">
    <w:p w:rsidR="00A13282" w:rsidRDefault="00A13282" w:rsidP="0020255E">
      <w:pPr>
        <w:pStyle w:val="a5"/>
        <w:rPr>
          <w:rtl/>
        </w:rPr>
      </w:pPr>
      <w:r>
        <w:rPr>
          <w:rStyle w:val="a7"/>
          <w:rtl/>
        </w:rPr>
        <w:footnoteRef/>
      </w:r>
      <w:r>
        <w:rPr>
          <w:rtl/>
        </w:rPr>
        <w:t xml:space="preserve"> </w:t>
      </w:r>
      <w:r>
        <w:rPr>
          <w:b/>
          <w:bCs/>
          <w:rtl/>
        </w:rPr>
        <w:t xml:space="preserve">ודא איהו ויקם קין אל הבל. </w:t>
      </w:r>
      <w:r>
        <w:rPr>
          <w:rtl/>
        </w:rPr>
        <w:t>רוצה לומר מה שמיוחד אל הבל - קם אליו:</w:t>
      </w:r>
    </w:p>
  </w:footnote>
  <w:footnote w:id="4979">
    <w:p w:rsidR="00A13282" w:rsidRDefault="00A13282" w:rsidP="0020255E">
      <w:pPr>
        <w:pStyle w:val="a5"/>
        <w:rPr>
          <w:rtl/>
        </w:rPr>
      </w:pPr>
      <w:r>
        <w:rPr>
          <w:rStyle w:val="a7"/>
          <w:rtl/>
        </w:rPr>
        <w:footnoteRef/>
      </w:r>
      <w:r>
        <w:rPr>
          <w:rtl/>
        </w:rPr>
        <w:t xml:space="preserve"> </w:t>
      </w:r>
      <w:r>
        <w:rPr>
          <w:b/>
          <w:bCs/>
          <w:rtl/>
        </w:rPr>
        <w:t xml:space="preserve">ראה מה עשה כו'. </w:t>
      </w:r>
      <w:r>
        <w:rPr>
          <w:rtl/>
        </w:rPr>
        <w:t>רוצה לומר כאן שלם לו מה שעשה לו בתחלה שבא על תאומתו והרגו וזה שאומר ולית שדה אלא אשה תאומתו הראשונה ושלם לו כאן:</w:t>
      </w:r>
    </w:p>
  </w:footnote>
  <w:footnote w:id="4980">
    <w:p w:rsidR="00A13282" w:rsidRDefault="00A13282" w:rsidP="0020255E">
      <w:pPr>
        <w:pStyle w:val="a5"/>
        <w:rPr>
          <w:rtl/>
        </w:rPr>
      </w:pPr>
      <w:r>
        <w:rPr>
          <w:rStyle w:val="a7"/>
          <w:rtl/>
        </w:rPr>
        <w:footnoteRef/>
      </w:r>
      <w:r>
        <w:rPr>
          <w:rtl/>
        </w:rPr>
        <w:t xml:space="preserve"> </w:t>
      </w:r>
      <w:r>
        <w:rPr>
          <w:b/>
          <w:bCs/>
          <w:rtl/>
        </w:rPr>
        <w:t xml:space="preserve">אל תקרי ואם אלא ואם. </w:t>
      </w:r>
      <w:r>
        <w:rPr>
          <w:rtl/>
        </w:rPr>
        <w:t>רוצה לומר בצירי, דהוא פגים לאימא לכן לפתח כו':</w:t>
      </w:r>
    </w:p>
  </w:footnote>
  <w:footnote w:id="4981">
    <w:p w:rsidR="00A13282" w:rsidRDefault="00A13282" w:rsidP="0020255E">
      <w:pPr>
        <w:pStyle w:val="a5"/>
        <w:rPr>
          <w:rtl/>
        </w:rPr>
      </w:pPr>
      <w:r>
        <w:rPr>
          <w:rStyle w:val="a7"/>
          <w:rtl/>
        </w:rPr>
        <w:footnoteRef/>
      </w:r>
      <w:r>
        <w:rPr>
          <w:rtl/>
        </w:rPr>
        <w:t xml:space="preserve"> </w:t>
      </w:r>
      <w:r>
        <w:rPr>
          <w:b/>
          <w:bCs/>
          <w:rtl/>
        </w:rPr>
        <w:t xml:space="preserve">אלא כי תראה כו'. </w:t>
      </w:r>
      <w:r>
        <w:rPr>
          <w:rtl/>
        </w:rPr>
        <w:t>מביא ראיה שרובץ, שלא יוכל לשאת המשא עלוי, וכן בנוי דקין דלא יכילא למסבל עולא דאורייתא, ועול מלכותא במסין גם כן שאינם רוצים ליתן מסים ומטילין על עניים, דכל המקבל עליו עול תורה מעבירין כו', והוא אינו רוצה להיות בשניהם:</w:t>
      </w:r>
    </w:p>
  </w:footnote>
  <w:footnote w:id="4982">
    <w:p w:rsidR="00A13282" w:rsidRDefault="00A13282" w:rsidP="0020255E">
      <w:pPr>
        <w:pStyle w:val="a5"/>
        <w:rPr>
          <w:rtl/>
        </w:rPr>
      </w:pPr>
      <w:r>
        <w:rPr>
          <w:rStyle w:val="a7"/>
          <w:rtl/>
        </w:rPr>
        <w:footnoteRef/>
      </w:r>
      <w:r>
        <w:rPr>
          <w:rtl/>
        </w:rPr>
        <w:t xml:space="preserve"> </w:t>
      </w:r>
      <w:r>
        <w:rPr>
          <w:b/>
          <w:bCs/>
          <w:rtl/>
        </w:rPr>
        <w:t xml:space="preserve">למהוי חמרא דאורייתא. </w:t>
      </w:r>
      <w:r>
        <w:rPr>
          <w:rtl/>
        </w:rPr>
        <w:t>כמו שאומר לעיל, (בראשית מט יד) יששכר חמור גרם כו' ויט שכמו לסבול ויהי למס עובד, וכמו שמפרש והולך:</w:t>
      </w:r>
    </w:p>
  </w:footnote>
  <w:footnote w:id="4983">
    <w:p w:rsidR="00A13282" w:rsidRDefault="00A13282" w:rsidP="0020255E">
      <w:pPr>
        <w:pStyle w:val="a5"/>
        <w:rPr>
          <w:rtl/>
        </w:rPr>
      </w:pPr>
      <w:r>
        <w:rPr>
          <w:rStyle w:val="a7"/>
          <w:rtl/>
        </w:rPr>
        <w:footnoteRef/>
      </w:r>
      <w:r>
        <w:rPr>
          <w:rtl/>
        </w:rPr>
        <w:t xml:space="preserve"> </w:t>
      </w:r>
      <w:r>
        <w:rPr>
          <w:b/>
          <w:bCs/>
          <w:rtl/>
        </w:rPr>
        <w:t xml:space="preserve">וחדלת כו'. </w:t>
      </w:r>
      <w:r>
        <w:rPr>
          <w:rtl/>
        </w:rPr>
        <w:t>עיין לקמן קי"ב ב' שמפרש, אי לא בעי למהדר בתיובתא - וחדלת מעזוב לו, ואי תב - עזוב כו':</w:t>
      </w:r>
    </w:p>
  </w:footnote>
  <w:footnote w:id="4984">
    <w:p w:rsidR="00A13282" w:rsidRDefault="00A13282" w:rsidP="0020255E">
      <w:pPr>
        <w:pStyle w:val="a5"/>
        <w:rPr>
          <w:rtl/>
        </w:rPr>
      </w:pPr>
      <w:r>
        <w:rPr>
          <w:rStyle w:val="a7"/>
          <w:rtl/>
        </w:rPr>
        <w:footnoteRef/>
      </w:r>
      <w:r>
        <w:rPr>
          <w:rtl/>
        </w:rPr>
        <w:t xml:space="preserve"> </w:t>
      </w:r>
      <w:r>
        <w:rPr>
          <w:b/>
          <w:bCs/>
          <w:rtl/>
        </w:rPr>
        <w:t xml:space="preserve">הכא אחזי לקין כו'. </w:t>
      </w:r>
      <w:r>
        <w:rPr>
          <w:rtl/>
        </w:rPr>
        <w:t>רוצה לומר, דוגמת שרואה את ישראל דחמור שלהם רובץ תחת משאו, וחמור הוא דבר שנושא את המשא, ורוצה לומר רוכב על החמור דרוכב והולך מעיר לעיר בשביל משאו משא עול המסים בגלותא, ובנוי דקין דהן הערב רב, רישא דעמא, אינן עוזבים להם ומטילין הכל עליהם, לכן נגד זה לפתח חטאת רובץ, אבל אם תיטיב שאת, שתשא המשא ממנו, גם אנכי שאת לך, ומאריך לך, ונושא עון:</w:t>
      </w:r>
    </w:p>
  </w:footnote>
  <w:footnote w:id="4985">
    <w:p w:rsidR="00A13282" w:rsidRDefault="00A13282" w:rsidP="0020255E">
      <w:pPr>
        <w:pStyle w:val="a5"/>
        <w:rPr>
          <w:rtl/>
        </w:rPr>
      </w:pPr>
      <w:r>
        <w:rPr>
          <w:rStyle w:val="a7"/>
          <w:rtl/>
        </w:rPr>
        <w:footnoteRef/>
      </w:r>
      <w:r>
        <w:rPr>
          <w:rtl/>
        </w:rPr>
        <w:t xml:space="preserve"> </w:t>
      </w:r>
      <w:r>
        <w:rPr>
          <w:b/>
          <w:bCs/>
          <w:rtl/>
        </w:rPr>
        <w:t xml:space="preserve">חבילו דכל בשרא. </w:t>
      </w:r>
      <w:r>
        <w:rPr>
          <w:rtl/>
        </w:rPr>
        <w:t>רוצה לומר, קץ לשון חבלה, והן (שה"ש ב טו) מחבלים כרמים בגזילות, ומביאין מהן קרבן:</w:t>
      </w:r>
    </w:p>
  </w:footnote>
  <w:footnote w:id="4986">
    <w:p w:rsidR="00A13282" w:rsidRDefault="00A13282" w:rsidP="0020255E">
      <w:pPr>
        <w:pStyle w:val="a5"/>
        <w:rPr>
          <w:rtl/>
        </w:rPr>
      </w:pPr>
      <w:r>
        <w:rPr>
          <w:rStyle w:val="a7"/>
          <w:rtl/>
        </w:rPr>
        <w:footnoteRef/>
      </w:r>
      <w:r>
        <w:rPr>
          <w:rtl/>
        </w:rPr>
        <w:t xml:space="preserve"> </w:t>
      </w:r>
      <w:r>
        <w:rPr>
          <w:b/>
          <w:bCs/>
          <w:rtl/>
        </w:rPr>
        <w:t xml:space="preserve">בעירן. </w:t>
      </w:r>
      <w:r>
        <w:rPr>
          <w:rtl/>
        </w:rPr>
        <w:t>כמו שמפרש והולך דאכלין תבנא כו':</w:t>
      </w:r>
    </w:p>
  </w:footnote>
  <w:footnote w:id="4987">
    <w:p w:rsidR="00A13282" w:rsidRDefault="00A13282" w:rsidP="0020255E">
      <w:pPr>
        <w:pStyle w:val="a5"/>
        <w:rPr>
          <w:rtl/>
        </w:rPr>
      </w:pPr>
      <w:r>
        <w:rPr>
          <w:rStyle w:val="a7"/>
          <w:rtl/>
        </w:rPr>
        <w:footnoteRef/>
      </w:r>
      <w:r>
        <w:rPr>
          <w:rtl/>
        </w:rPr>
        <w:t xml:space="preserve"> </w:t>
      </w:r>
      <w:r>
        <w:rPr>
          <w:b/>
          <w:bCs/>
          <w:rtl/>
        </w:rPr>
        <w:t xml:space="preserve">פטורין מן המעשר. </w:t>
      </w:r>
      <w:r>
        <w:rPr>
          <w:rtl/>
        </w:rPr>
        <w:t>דהוא יו"ד, קדש, חכמה, דהוא חכמה דאורייתא ולא שריא קדושה בהון, ותבן ומוץ הוא, להבין הפשט הוא תבן ולכן אמר בתבנא דאורייתא, ומוץ הוא דקדוק המלות דהוא קליפה אחרונה של התורה, לא להבין הענין רק שמושי תיבות ודקדוקן, אף על גב שהכל הן קדושת תורה מכל מקום נגד הקבלה - קליפין, וכמו שאומר בפ' בראשית דדא קליפה לדא כו':</w:t>
      </w:r>
    </w:p>
  </w:footnote>
  <w:footnote w:id="4988">
    <w:p w:rsidR="00A13282" w:rsidRDefault="00A13282" w:rsidP="0020255E">
      <w:pPr>
        <w:pStyle w:val="a5"/>
        <w:rPr>
          <w:rtl/>
        </w:rPr>
      </w:pPr>
      <w:r>
        <w:rPr>
          <w:rStyle w:val="a7"/>
          <w:rtl/>
        </w:rPr>
        <w:footnoteRef/>
      </w:r>
      <w:r>
        <w:rPr>
          <w:rtl/>
        </w:rPr>
        <w:t xml:space="preserve"> </w:t>
      </w:r>
      <w:r>
        <w:rPr>
          <w:b/>
          <w:bCs/>
          <w:rtl/>
        </w:rPr>
        <w:t xml:space="preserve">דאיהי א' אהי' כו'. </w:t>
      </w:r>
      <w:r>
        <w:rPr>
          <w:rtl/>
        </w:rPr>
        <w:t>דאיהי כלל ג' שמהן, כלל ג' דרגין דכלילין הכל, ואמר אנכי דהוא אמא עלאה, אנכי דיציאת מצרים, ואמר זה משום שאמר השומר אחי אנכי כמו שמפרש והולך:</w:t>
      </w:r>
    </w:p>
  </w:footnote>
  <w:footnote w:id="4989">
    <w:p w:rsidR="00A13282" w:rsidRDefault="00A13282" w:rsidP="0020255E">
      <w:pPr>
        <w:pStyle w:val="a5"/>
        <w:rPr>
          <w:rtl/>
        </w:rPr>
      </w:pPr>
      <w:r>
        <w:rPr>
          <w:rStyle w:val="a7"/>
          <w:rtl/>
        </w:rPr>
        <w:footnoteRef/>
      </w:r>
      <w:r>
        <w:rPr>
          <w:rtl/>
        </w:rPr>
        <w:t xml:space="preserve"> </w:t>
      </w:r>
      <w:r>
        <w:rPr>
          <w:b/>
          <w:bCs/>
          <w:rtl/>
        </w:rPr>
        <w:t xml:space="preserve">י' יהו"ה כו'. </w:t>
      </w:r>
      <w:r>
        <w:rPr>
          <w:rtl/>
        </w:rPr>
        <w:t>רוצה לומר עמודא דאמצעיתא כמו שאומר לעיל דאסתלק כו':</w:t>
      </w:r>
    </w:p>
  </w:footnote>
  <w:footnote w:id="4990">
    <w:p w:rsidR="00A13282" w:rsidRDefault="00A13282" w:rsidP="0020255E">
      <w:pPr>
        <w:pStyle w:val="a5"/>
        <w:rPr>
          <w:rtl/>
        </w:rPr>
      </w:pPr>
      <w:r>
        <w:rPr>
          <w:rStyle w:val="a7"/>
          <w:rtl/>
        </w:rPr>
        <w:footnoteRef/>
      </w:r>
      <w:r>
        <w:rPr>
          <w:rtl/>
        </w:rPr>
        <w:t xml:space="preserve"> </w:t>
      </w:r>
      <w:r>
        <w:rPr>
          <w:b/>
          <w:bCs/>
          <w:rtl/>
        </w:rPr>
        <w:t xml:space="preserve">למידן לקין. </w:t>
      </w:r>
      <w:r>
        <w:rPr>
          <w:rtl/>
        </w:rPr>
        <w:t>כמו שמפרש והולך, דאשתאר דן, ונגזר עליו נד:</w:t>
      </w:r>
    </w:p>
  </w:footnote>
  <w:footnote w:id="4991">
    <w:p w:rsidR="00A13282" w:rsidRDefault="00A13282" w:rsidP="0020255E">
      <w:pPr>
        <w:pStyle w:val="a5"/>
        <w:rPr>
          <w:rtl/>
        </w:rPr>
      </w:pPr>
      <w:r>
        <w:rPr>
          <w:rStyle w:val="a7"/>
          <w:rtl/>
        </w:rPr>
        <w:footnoteRef/>
      </w:r>
      <w:r>
        <w:rPr>
          <w:rtl/>
        </w:rPr>
        <w:t xml:space="preserve"> </w:t>
      </w:r>
      <w:r>
        <w:rPr>
          <w:b/>
          <w:bCs/>
          <w:rtl/>
        </w:rPr>
        <w:t xml:space="preserve">ובג"ד א"י כו'. </w:t>
      </w:r>
      <w:r>
        <w:rPr>
          <w:rtl/>
        </w:rPr>
        <w:t>רוצה לומר, דשאל לו איה אותיות א"י דאסתלקי ע"י הריגת הבל:</w:t>
      </w:r>
    </w:p>
  </w:footnote>
  <w:footnote w:id="4992">
    <w:p w:rsidR="00A13282" w:rsidRDefault="00A13282" w:rsidP="0020255E">
      <w:pPr>
        <w:pStyle w:val="a5"/>
        <w:rPr>
          <w:rtl/>
        </w:rPr>
      </w:pPr>
      <w:r>
        <w:rPr>
          <w:rStyle w:val="a7"/>
          <w:rtl/>
        </w:rPr>
        <w:footnoteRef/>
      </w:r>
      <w:r>
        <w:rPr>
          <w:rtl/>
        </w:rPr>
        <w:t xml:space="preserve"> </w:t>
      </w:r>
      <w:r>
        <w:rPr>
          <w:b/>
          <w:bCs/>
          <w:rtl/>
        </w:rPr>
        <w:t xml:space="preserve">לא ידענא כו'. </w:t>
      </w:r>
      <w:r>
        <w:rPr>
          <w:rtl/>
        </w:rPr>
        <w:t>רוצה לומר, לא ידעתי השומר אחי אנכי, שלא ידעתי אם שומר אחי את אנכי למהוי עמיה, ואלמלי ידעתי זה דהוא במעלה הזאת לא הרגתיו:</w:t>
      </w:r>
    </w:p>
  </w:footnote>
  <w:footnote w:id="4993">
    <w:p w:rsidR="00A13282" w:rsidRDefault="00A13282" w:rsidP="0020255E">
      <w:pPr>
        <w:pStyle w:val="a5"/>
        <w:rPr>
          <w:rtl/>
        </w:rPr>
      </w:pPr>
      <w:r>
        <w:rPr>
          <w:rStyle w:val="a7"/>
          <w:rtl/>
        </w:rPr>
        <w:footnoteRef/>
      </w:r>
      <w:r>
        <w:rPr>
          <w:rtl/>
        </w:rPr>
        <w:t xml:space="preserve"> </w:t>
      </w:r>
      <w:r>
        <w:rPr>
          <w:b/>
          <w:bCs/>
          <w:rtl/>
        </w:rPr>
        <w:t xml:space="preserve">בגין דאיהו אדם עלאה כו'. </w:t>
      </w:r>
      <w:r>
        <w:rPr>
          <w:rtl/>
        </w:rPr>
        <w:t>רוצה לומר בשביל שהרג את בנו של אדם, צריך למקבל לאדם, וכן לאדם עלאה דגם כן הבל בנו, מה שמו ומה שם בנו כמו שאומר לעיל:</w:t>
      </w:r>
    </w:p>
  </w:footnote>
  <w:footnote w:id="4994">
    <w:p w:rsidR="00A13282" w:rsidRDefault="00A13282" w:rsidP="0020255E">
      <w:pPr>
        <w:pStyle w:val="a5"/>
        <w:rPr>
          <w:rtl/>
        </w:rPr>
      </w:pPr>
      <w:r>
        <w:rPr>
          <w:rStyle w:val="a7"/>
          <w:rtl/>
        </w:rPr>
        <w:footnoteRef/>
      </w:r>
      <w:r>
        <w:rPr>
          <w:rtl/>
        </w:rPr>
        <w:t xml:space="preserve"> </w:t>
      </w:r>
      <w:r>
        <w:rPr>
          <w:b/>
          <w:bCs/>
          <w:rtl/>
        </w:rPr>
        <w:t xml:space="preserve">אלא מאי דמי כו'. </w:t>
      </w:r>
      <w:r>
        <w:rPr>
          <w:rtl/>
        </w:rPr>
        <w:t>רוצה לומר, דאינון אתוון צועקים דאשתארו בלחודוי, וזהו מן האדמה, דשם אדנ"י הוא באדמה קדישא:</w:t>
      </w:r>
    </w:p>
  </w:footnote>
  <w:footnote w:id="4995">
    <w:p w:rsidR="00A13282" w:rsidRDefault="00A13282" w:rsidP="0020255E">
      <w:pPr>
        <w:pStyle w:val="a5"/>
        <w:rPr>
          <w:rtl/>
        </w:rPr>
      </w:pPr>
      <w:r>
        <w:rPr>
          <w:rStyle w:val="a7"/>
          <w:rtl/>
        </w:rPr>
        <w:footnoteRef/>
      </w:r>
      <w:r>
        <w:rPr>
          <w:rtl/>
        </w:rPr>
        <w:t xml:space="preserve"> </w:t>
      </w:r>
      <w:r>
        <w:rPr>
          <w:b/>
          <w:bCs/>
          <w:rtl/>
        </w:rPr>
        <w:t>דן אנכי.</w:t>
      </w:r>
      <w:r>
        <w:rPr>
          <w:rtl/>
        </w:rPr>
        <w:t xml:space="preserve"> רוצה לומר דאנכי, אימא עילאה, דן ליה על דאשתאר כנ"ל, וכן במצרים דאינון מסטרא דקין ושעבדו ישראל בגלותא:</w:t>
      </w:r>
    </w:p>
  </w:footnote>
  <w:footnote w:id="4996">
    <w:p w:rsidR="00A13282" w:rsidRDefault="00A13282" w:rsidP="0020255E">
      <w:pPr>
        <w:pStyle w:val="a5"/>
        <w:rPr>
          <w:rtl/>
        </w:rPr>
      </w:pPr>
      <w:r>
        <w:rPr>
          <w:rStyle w:val="a7"/>
          <w:rtl/>
        </w:rPr>
        <w:footnoteRef/>
      </w:r>
      <w:r>
        <w:rPr>
          <w:rtl/>
        </w:rPr>
        <w:t xml:space="preserve"> </w:t>
      </w:r>
      <w:r>
        <w:rPr>
          <w:b/>
          <w:bCs/>
          <w:rtl/>
        </w:rPr>
        <w:t xml:space="preserve">בההוא דאתמר ביה בשגם כו'. </w:t>
      </w:r>
      <w:r>
        <w:rPr>
          <w:rtl/>
        </w:rPr>
        <w:t>דהוא כליל שיתין רבוא כמו שאומר לקמן ק"י א' ושאר מקומות, והוא הבל כנ"ל:</w:t>
      </w:r>
    </w:p>
  </w:footnote>
  <w:footnote w:id="4997">
    <w:p w:rsidR="00A13282" w:rsidRDefault="00A13282" w:rsidP="0020255E">
      <w:pPr>
        <w:pStyle w:val="a5"/>
        <w:rPr>
          <w:rtl/>
        </w:rPr>
      </w:pPr>
      <w:r>
        <w:rPr>
          <w:rStyle w:val="a7"/>
          <w:rtl/>
        </w:rPr>
        <w:footnoteRef/>
      </w:r>
      <w:r>
        <w:rPr>
          <w:rtl/>
        </w:rPr>
        <w:t xml:space="preserve"> </w:t>
      </w:r>
      <w:r>
        <w:rPr>
          <w:b/>
          <w:bCs/>
          <w:rtl/>
        </w:rPr>
        <w:t xml:space="preserve">מסט' דאינון דאתמר בהון והרגו כו'. </w:t>
      </w:r>
      <w:r>
        <w:rPr>
          <w:rtl/>
        </w:rPr>
        <w:t>רוצה לומר, הערב רב דאינון עבדו לעגל, ונקרא אחיך, כן הוא בגלותא, דערב רב אינון כלי חמס על ישראל כנ"ל:</w:t>
      </w:r>
    </w:p>
  </w:footnote>
  <w:footnote w:id="4998">
    <w:p w:rsidR="00A13282" w:rsidRDefault="00A13282" w:rsidP="0020255E">
      <w:pPr>
        <w:pStyle w:val="a5"/>
        <w:rPr>
          <w:rtl/>
        </w:rPr>
      </w:pPr>
      <w:r>
        <w:rPr>
          <w:rStyle w:val="a7"/>
          <w:rtl/>
        </w:rPr>
        <w:footnoteRef/>
      </w:r>
      <w:r>
        <w:rPr>
          <w:rtl/>
        </w:rPr>
        <w:t xml:space="preserve"> </w:t>
      </w:r>
      <w:r>
        <w:rPr>
          <w:b/>
          <w:bCs/>
          <w:rtl/>
        </w:rPr>
        <w:t xml:space="preserve">אר"א א"כ כו'. </w:t>
      </w:r>
      <w:r>
        <w:rPr>
          <w:rtl/>
        </w:rPr>
        <w:t>רוצה לומר, בשביל דור אחד, יתרו לבד, תאמר קניתי כו', והשיב לו כל דורות עד קני - עליהם אמרה כו':</w:t>
      </w:r>
    </w:p>
  </w:footnote>
  <w:footnote w:id="4999">
    <w:p w:rsidR="00A13282" w:rsidRDefault="00A13282" w:rsidP="0020255E">
      <w:pPr>
        <w:pStyle w:val="a5"/>
        <w:rPr>
          <w:rtl/>
        </w:rPr>
      </w:pPr>
      <w:r>
        <w:rPr>
          <w:rStyle w:val="a7"/>
          <w:rtl/>
        </w:rPr>
        <w:footnoteRef/>
      </w:r>
      <w:r>
        <w:rPr>
          <w:rtl/>
        </w:rPr>
        <w:t xml:space="preserve"> </w:t>
      </w:r>
      <w:r>
        <w:rPr>
          <w:b/>
          <w:bCs/>
          <w:rtl/>
        </w:rPr>
        <w:t xml:space="preserve">ומנ"ל דאחזי כו'. </w:t>
      </w:r>
      <w:r>
        <w:rPr>
          <w:rtl/>
        </w:rPr>
        <w:t xml:space="preserve">רוצה לומר כמו שאומר למטה הכא רמיז גלגולא כו', שראה שהן בטובה גדולה ועשירות, והכל בשביל גלגולא דלהון כמו שאומר לקמן ק"ט ב' א"ל טובא דלהון כו', וזה שאומר </w:t>
      </w:r>
      <w:r>
        <w:rPr>
          <w:b/>
          <w:bCs/>
          <w:rtl/>
        </w:rPr>
        <w:t>והא אוקימנא לון:</w:t>
      </w:r>
    </w:p>
  </w:footnote>
  <w:footnote w:id="5000">
    <w:p w:rsidR="00A13282" w:rsidRDefault="00A13282" w:rsidP="0020255E">
      <w:pPr>
        <w:pStyle w:val="a5"/>
        <w:rPr>
          <w:rtl/>
        </w:rPr>
      </w:pPr>
      <w:r>
        <w:rPr>
          <w:rStyle w:val="a7"/>
          <w:rtl/>
        </w:rPr>
        <w:footnoteRef/>
      </w:r>
      <w:r>
        <w:rPr>
          <w:rtl/>
        </w:rPr>
        <w:t xml:space="preserve"> </w:t>
      </w:r>
      <w:r>
        <w:rPr>
          <w:b/>
          <w:bCs/>
          <w:rtl/>
        </w:rPr>
        <w:t xml:space="preserve">(הה"ד ובכן ראיתי. </w:t>
      </w:r>
      <w:r>
        <w:rPr>
          <w:rtl/>
        </w:rPr>
        <w:t>כמו שאומר למעלה ומשלם לשונאיו כו', והכל גלגולין דבנוי, דאין מתגלגלין רק ג' פעמים כמו שאומר לעיל תיקון ל”ב. ואמר נע ונד ודאי רוצה לומר נע ונד בגלגולא, והן גרשת כו', ומפניך אסתר. גלגולא קדמאה נגד הנשמה, מה שחטא לאימא עילאה לכן מעל פני האדמה, וכן ומפניך אסתר דהוא דרגא דחכמה, דשם אסתלקת כנ"ל, נע נגד רוחא, מה שעשה להוי"ה שנע מאדנ"י, ונד נגד נפשא, אדני, שנשארת נד כנ"ל, וזה שאומר דא גלגולא קדמאה):</w:t>
      </w:r>
    </w:p>
  </w:footnote>
  <w:footnote w:id="5001">
    <w:p w:rsidR="00A13282" w:rsidRDefault="00A13282" w:rsidP="0020255E">
      <w:pPr>
        <w:pStyle w:val="a5"/>
        <w:rPr>
          <w:rtl/>
        </w:rPr>
      </w:pPr>
      <w:r>
        <w:rPr>
          <w:rStyle w:val="a7"/>
          <w:rtl/>
        </w:rPr>
        <w:footnoteRef/>
      </w:r>
      <w:r>
        <w:rPr>
          <w:rtl/>
        </w:rPr>
        <w:t xml:space="preserve"> </w:t>
      </w:r>
      <w:r>
        <w:rPr>
          <w:b/>
          <w:bCs/>
          <w:rtl/>
        </w:rPr>
        <w:t xml:space="preserve">היום כההוא דאתמר כו'. </w:t>
      </w:r>
      <w:r>
        <w:rPr>
          <w:rtl/>
        </w:rPr>
        <w:t>רוצה לומר שתשובו כמו שכתוב (ישעיהו כא יב) אם תבעיון בעיו שובו אתיו, ותשובה תולה באימא, גלגולא קדמאה:</w:t>
      </w:r>
    </w:p>
  </w:footnote>
  <w:footnote w:id="5002">
    <w:p w:rsidR="00A13282" w:rsidRDefault="00A13282" w:rsidP="0020255E">
      <w:pPr>
        <w:pStyle w:val="a5"/>
        <w:rPr>
          <w:rtl/>
        </w:rPr>
      </w:pPr>
      <w:r>
        <w:rPr>
          <w:rStyle w:val="a7"/>
          <w:rtl/>
        </w:rPr>
        <w:footnoteRef/>
      </w:r>
      <w:r>
        <w:rPr>
          <w:rtl/>
        </w:rPr>
        <w:t xml:space="preserve"> </w:t>
      </w:r>
      <w:r>
        <w:rPr>
          <w:b/>
          <w:bCs/>
          <w:rtl/>
        </w:rPr>
        <w:t xml:space="preserve">הכא רמיז ויאמר כו'. </w:t>
      </w:r>
      <w:r>
        <w:rPr>
          <w:rtl/>
        </w:rPr>
        <w:t xml:space="preserve">רוצה לומר הגלותא, דאינון גלגולין כגוונא דגלותא, ובגלות הרביעי לא ישובו עוד להגאל כמו שמפרש והולך ולאו בפורקנא רביעאה אלא אתמר כו', וכל הערב רב, בנוי דקין, יתמחון מעלמא כמו שאומר בפ' בראשית, והן מסטרא דאל נכר, והן מה שאמרו (יבמות מז ע"ב) קשים גרים לישראל כו', וזה שאומר </w:t>
      </w:r>
      <w:r>
        <w:rPr>
          <w:b/>
          <w:bCs/>
          <w:rtl/>
        </w:rPr>
        <w:t>ובג"ד אוקמוהו כו'.</w:t>
      </w:r>
      <w:r>
        <w:rPr>
          <w:rtl/>
        </w:rPr>
        <w:t xml:space="preserve"> דבדד ינחנו:</w:t>
      </w:r>
    </w:p>
  </w:footnote>
  <w:footnote w:id="5003">
    <w:p w:rsidR="00A13282" w:rsidRDefault="00A13282" w:rsidP="0020255E">
      <w:pPr>
        <w:pStyle w:val="a5"/>
        <w:rPr>
          <w:rtl/>
        </w:rPr>
      </w:pPr>
      <w:r>
        <w:rPr>
          <w:rStyle w:val="a7"/>
          <w:rtl/>
        </w:rPr>
        <w:footnoteRef/>
      </w:r>
      <w:r>
        <w:rPr>
          <w:rtl/>
        </w:rPr>
        <w:t xml:space="preserve"> </w:t>
      </w:r>
      <w:r>
        <w:rPr>
          <w:b/>
          <w:bCs/>
          <w:rtl/>
        </w:rPr>
        <w:t xml:space="preserve">ויהי מקץ ימים כו' אלא מההוא דעתיד לאתמר בי' כו'. </w:t>
      </w:r>
      <w:r>
        <w:rPr>
          <w:rtl/>
        </w:rPr>
        <w:t>כבר נתבאר למעלה בפנים קי"א א' ויהי מקץ ימים וגו' פתח ר"ש ואמר מאן כו':</w:t>
      </w:r>
    </w:p>
  </w:footnote>
  <w:footnote w:id="5004">
    <w:p w:rsidR="00A13282" w:rsidRDefault="00A13282" w:rsidP="0020255E">
      <w:pPr>
        <w:pStyle w:val="a5"/>
        <w:rPr>
          <w:rtl/>
        </w:rPr>
      </w:pPr>
      <w:r>
        <w:rPr>
          <w:rStyle w:val="a7"/>
          <w:rtl/>
        </w:rPr>
        <w:footnoteRef/>
      </w:r>
      <w:r>
        <w:rPr>
          <w:rtl/>
        </w:rPr>
        <w:t xml:space="preserve"> </w:t>
      </w:r>
      <w:r>
        <w:rPr>
          <w:b/>
          <w:bCs/>
          <w:rtl/>
        </w:rPr>
        <w:t xml:space="preserve">עוד מקץ ימים ולא אמר מראש. </w:t>
      </w:r>
      <w:r>
        <w:rPr>
          <w:rtl/>
        </w:rPr>
        <w:t>רוצה לומר כמו שאומר לקמן ק"י ב' משיורין דיליה כגון בר נש דאיהו בסוף יומוי כו' עיין שם:</w:t>
      </w:r>
    </w:p>
  </w:footnote>
  <w:footnote w:id="5005">
    <w:p w:rsidR="00A13282" w:rsidRDefault="00A13282" w:rsidP="0020255E">
      <w:pPr>
        <w:pStyle w:val="a5"/>
        <w:rPr>
          <w:rtl/>
        </w:rPr>
      </w:pPr>
      <w:r>
        <w:rPr>
          <w:rStyle w:val="a7"/>
          <w:rtl/>
        </w:rPr>
        <w:footnoteRef/>
      </w:r>
      <w:r>
        <w:rPr>
          <w:rtl/>
        </w:rPr>
        <w:t xml:space="preserve"> </w:t>
      </w:r>
      <w:r>
        <w:rPr>
          <w:b/>
          <w:bCs/>
          <w:rtl/>
        </w:rPr>
        <w:t xml:space="preserve">דא קין דאיהו רביץ כו'. </w:t>
      </w:r>
      <w:r>
        <w:rPr>
          <w:rtl/>
        </w:rPr>
        <w:t>והמצוה לאחזרא ליה בתיובתא כמו שמפרש והולך:</w:t>
      </w:r>
    </w:p>
  </w:footnote>
  <w:footnote w:id="5006">
    <w:p w:rsidR="00A13282" w:rsidRDefault="00A13282" w:rsidP="0020255E">
      <w:pPr>
        <w:pStyle w:val="a5"/>
        <w:rPr>
          <w:rtl/>
        </w:rPr>
      </w:pPr>
      <w:r>
        <w:rPr>
          <w:rStyle w:val="a7"/>
          <w:rtl/>
        </w:rPr>
        <w:footnoteRef/>
      </w:r>
      <w:r>
        <w:rPr>
          <w:rtl/>
        </w:rPr>
        <w:t xml:space="preserve"> </w:t>
      </w:r>
      <w:r>
        <w:rPr>
          <w:b/>
          <w:bCs/>
          <w:rtl/>
        </w:rPr>
        <w:t xml:space="preserve">א' איהו אנכי כו'. </w:t>
      </w:r>
      <w:r>
        <w:rPr>
          <w:rtl/>
        </w:rPr>
        <w:t>כאן פירש בענין אחר, דא"י הן או"א, ב' שמות הנ"ל, והבל איהו בדרגיה דעמודא דאמצעיתא, בן אדם הראשון וחוה, או"א, וקול הוא עמודא דאמצעיתא, קול הבל, דמי הוא דן דאדנ"י, וכולא אתרמיז כאן:</w:t>
      </w:r>
    </w:p>
  </w:footnote>
  <w:footnote w:id="5007">
    <w:p w:rsidR="00A13282" w:rsidRDefault="00A13282" w:rsidP="0020255E">
      <w:pPr>
        <w:pStyle w:val="a5"/>
        <w:rPr>
          <w:rtl/>
        </w:rPr>
      </w:pPr>
      <w:r>
        <w:rPr>
          <w:rStyle w:val="a7"/>
          <w:rtl/>
        </w:rPr>
        <w:footnoteRef/>
      </w:r>
      <w:r>
        <w:rPr>
          <w:rtl/>
        </w:rPr>
        <w:t xml:space="preserve"> </w:t>
      </w:r>
      <w:r>
        <w:rPr>
          <w:b/>
          <w:bCs/>
          <w:rtl/>
        </w:rPr>
        <w:t xml:space="preserve">וכלא קשוט. </w:t>
      </w:r>
      <w:r>
        <w:rPr>
          <w:rtl/>
        </w:rPr>
        <w:t>רוצה לומר, דפירוש הראשון דקאי על אבא, והפירוש האחרון דקאי על ברתא דכלא אתכליל בה, ועמודא דאמצעיתא הוא הבל והוא קול, וזה שאומר בגין דהבל הוא כו', דהוא דרגא דמשה, מה שם בנו וכנ"ל, ותחלה אמר ליה א"י, ואח"כ קול דמ"י, והן או"א זו"נ, והענין כי בתחלה שאלו והוכיחו על דאסתלקו או"א, והשיב לא ידעתי דסליק לאתר עילאה כל כך והוא אנכי, א"י, או"א, ואמר לו השם יתברך מכל מקום זה ידעת דהבל הוא בזו"נ דהוא בן אדם הראשון, קול דמי כו':</w:t>
      </w:r>
    </w:p>
  </w:footnote>
  <w:footnote w:id="5008">
    <w:p w:rsidR="00A13282" w:rsidRDefault="00A13282" w:rsidP="0020255E">
      <w:pPr>
        <w:pStyle w:val="a5"/>
        <w:rPr>
          <w:rtl/>
        </w:rPr>
      </w:pPr>
      <w:r>
        <w:rPr>
          <w:rStyle w:val="a7"/>
          <w:rtl/>
        </w:rPr>
        <w:footnoteRef/>
      </w:r>
      <w:r>
        <w:rPr>
          <w:rtl/>
        </w:rPr>
        <w:t xml:space="preserve"> </w:t>
      </w:r>
      <w:r>
        <w:rPr>
          <w:b/>
          <w:bCs/>
          <w:rtl/>
        </w:rPr>
        <w:t xml:space="preserve">ואית רזא אחרא כו'. </w:t>
      </w:r>
      <w:r>
        <w:rPr>
          <w:rtl/>
        </w:rPr>
        <w:t>כבר נתבאר למעלה כמו שבארנו שם בההוא דאתמר בשגם כו':</w:t>
      </w:r>
    </w:p>
  </w:footnote>
  <w:footnote w:id="5009">
    <w:p w:rsidR="00A13282" w:rsidRDefault="00A13282" w:rsidP="0020255E">
      <w:pPr>
        <w:pStyle w:val="a5"/>
        <w:rPr>
          <w:rtl/>
        </w:rPr>
      </w:pPr>
      <w:r>
        <w:rPr>
          <w:rStyle w:val="a7"/>
          <w:rtl/>
        </w:rPr>
        <w:footnoteRef/>
      </w:r>
      <w:r>
        <w:rPr>
          <w:rtl/>
        </w:rPr>
        <w:t xml:space="preserve"> </w:t>
      </w:r>
      <w:r>
        <w:rPr>
          <w:b/>
          <w:bCs/>
          <w:rtl/>
        </w:rPr>
        <w:t xml:space="preserve">אלא יד ליד כו'. </w:t>
      </w:r>
      <w:r>
        <w:rPr>
          <w:rtl/>
        </w:rPr>
        <w:t>דאזיל כאבנא בקוספיתא:</w:t>
      </w:r>
    </w:p>
  </w:footnote>
  <w:footnote w:id="5010">
    <w:p w:rsidR="00A13282" w:rsidRDefault="00A13282" w:rsidP="0020255E">
      <w:pPr>
        <w:pStyle w:val="a5"/>
        <w:rPr>
          <w:rtl/>
        </w:rPr>
      </w:pPr>
      <w:r>
        <w:rPr>
          <w:rStyle w:val="a7"/>
          <w:rtl/>
        </w:rPr>
        <w:footnoteRef/>
      </w:r>
      <w:r>
        <w:rPr>
          <w:rtl/>
        </w:rPr>
        <w:t xml:space="preserve"> </w:t>
      </w:r>
      <w:r>
        <w:rPr>
          <w:b/>
          <w:bCs/>
          <w:rtl/>
        </w:rPr>
        <w:t xml:space="preserve">עד שתין רבוא. </w:t>
      </w:r>
      <w:r>
        <w:rPr>
          <w:rtl/>
        </w:rPr>
        <w:t>דאתפשטותיה הוא בשיתין רבוא כמו בהבל, אלא דשל הבל דהן של צדיקיא - הן באלף דור, אלף פעמים ששים ריבוא כמו שאומר לקמן ק"י א', מה שאין כן בשל קין דאינן אלא שלשה פעמים ועיין בתיקוני זוהר חדש פ"ה א' ועיין מה שכתבתי שם:</w:t>
      </w:r>
    </w:p>
  </w:footnote>
  <w:footnote w:id="5011">
    <w:p w:rsidR="00A13282" w:rsidRDefault="00A13282" w:rsidP="0020255E">
      <w:pPr>
        <w:pStyle w:val="a5"/>
        <w:rPr>
          <w:rtl/>
        </w:rPr>
      </w:pPr>
      <w:r>
        <w:rPr>
          <w:rStyle w:val="a7"/>
          <w:rtl/>
        </w:rPr>
        <w:footnoteRef/>
      </w:r>
      <w:r>
        <w:rPr>
          <w:rtl/>
        </w:rPr>
        <w:t xml:space="preserve"> כאן שייך מה שאומר למעלה מ"א א', הוא נ"א דכאן אע"ג שכולו הוא באורך בפנים: </w:t>
      </w:r>
    </w:p>
    <w:p w:rsidR="00A13282" w:rsidRDefault="00A13282" w:rsidP="0020255E">
      <w:pPr>
        <w:pStyle w:val="a5"/>
        <w:rPr>
          <w:rtl/>
        </w:rPr>
      </w:pPr>
      <w:r>
        <w:rPr>
          <w:b/>
          <w:bCs/>
          <w:rtl/>
        </w:rPr>
        <w:t xml:space="preserve">ועוד ויאמר א"י כו' ת"ח תרין כו'. </w:t>
      </w:r>
      <w:r>
        <w:rPr>
          <w:rtl/>
        </w:rPr>
        <w:t>רוצה לומר כתר וחכמה כמו שמפרש והולך, דכתר הוא א' כידוע:</w:t>
      </w:r>
    </w:p>
  </w:footnote>
  <w:footnote w:id="5012">
    <w:p w:rsidR="00A13282" w:rsidRDefault="00A13282" w:rsidP="0020255E">
      <w:pPr>
        <w:pStyle w:val="a5"/>
        <w:rPr>
          <w:rtl/>
        </w:rPr>
      </w:pPr>
      <w:r>
        <w:rPr>
          <w:rStyle w:val="a7"/>
          <w:rtl/>
        </w:rPr>
        <w:footnoteRef/>
      </w:r>
      <w:r>
        <w:rPr>
          <w:rtl/>
        </w:rPr>
        <w:t xml:space="preserve"> </w:t>
      </w:r>
      <w:r>
        <w:rPr>
          <w:b/>
          <w:bCs/>
          <w:rtl/>
        </w:rPr>
        <w:t xml:space="preserve">א"ל ר"א כו'. </w:t>
      </w:r>
      <w:r>
        <w:rPr>
          <w:rtl/>
        </w:rPr>
        <w:t>רוצה לומר דשכינתא תתאה נקרא מחשבה, דהוא חכמה זעירא, וחכמה אבא נקרא מחשבה וודאי:</w:t>
      </w:r>
    </w:p>
  </w:footnote>
  <w:footnote w:id="5013">
    <w:p w:rsidR="00A13282" w:rsidRDefault="00A13282" w:rsidP="0020255E">
      <w:pPr>
        <w:pStyle w:val="a5"/>
        <w:rPr>
          <w:rtl/>
        </w:rPr>
      </w:pPr>
      <w:r>
        <w:rPr>
          <w:rStyle w:val="a7"/>
          <w:rtl/>
        </w:rPr>
        <w:footnoteRef/>
      </w:r>
      <w:r>
        <w:rPr>
          <w:rtl/>
        </w:rPr>
        <w:t xml:space="preserve"> </w:t>
      </w:r>
      <w:r>
        <w:rPr>
          <w:b/>
          <w:bCs/>
          <w:rtl/>
        </w:rPr>
        <w:t xml:space="preserve">ולעילא לעילא מחשבה. </w:t>
      </w:r>
      <w:r>
        <w:rPr>
          <w:rtl/>
        </w:rPr>
        <w:t>רוצה לומר כתר:</w:t>
      </w:r>
    </w:p>
  </w:footnote>
  <w:footnote w:id="5014">
    <w:p w:rsidR="00A13282" w:rsidRDefault="00A13282" w:rsidP="0020255E">
      <w:pPr>
        <w:pStyle w:val="a5"/>
        <w:rPr>
          <w:rtl/>
        </w:rPr>
      </w:pPr>
      <w:r>
        <w:rPr>
          <w:rStyle w:val="a7"/>
          <w:rtl/>
        </w:rPr>
        <w:footnoteRef/>
      </w:r>
      <w:r>
        <w:rPr>
          <w:rtl/>
        </w:rPr>
        <w:t xml:space="preserve"> </w:t>
      </w:r>
      <w:r>
        <w:rPr>
          <w:b/>
          <w:bCs/>
          <w:rtl/>
        </w:rPr>
        <w:t xml:space="preserve">ולעילא מכולהו כו'. </w:t>
      </w:r>
      <w:r>
        <w:rPr>
          <w:rtl/>
        </w:rPr>
        <w:t>רוצה לומר דא' דאדם חטא במחשבה, וכן הבל, ואמרת דאסתלקו מיניה כתר וחכמה מן הבל דגרם ליה מיתה דבהון חב, אלמא דכיון שחטא במחשבה, בכל מה שנקרא מחשבה פגם, אם כן תאמר אף לעילא מכולהו וזהו אי אפשר, דהא אתמר באדם ואירא כי עירום אנכי, למה עירום, כי היכא דפגם בלבושא למעלה כן אפשיט מיניה לבושא, אלמא דלא חטא אלא בלבושא, וכן הבל, דלכן נאמר באדם (בראשית ג י) ואחבא, בשביל דאפשיט מלבושא וירא ממוחא דאיהו בלא לבושא וכמו שאומר לקמן קי"ג א' ובגין דא ואירא כו' וכן במשה ויסתר כו' בגין חובא דהבל עד דאכסי ליה בלבושיה בש"ת דכסי בבית וכמו שאומר לקמן קי"א ד' וזה שאומר ובג"ד אתמר באבא כו':</w:t>
      </w:r>
    </w:p>
  </w:footnote>
  <w:footnote w:id="5015">
    <w:p w:rsidR="00A13282" w:rsidRDefault="00A13282" w:rsidP="0020255E">
      <w:pPr>
        <w:pStyle w:val="a5"/>
        <w:rPr>
          <w:rtl/>
        </w:rPr>
      </w:pPr>
      <w:r>
        <w:rPr>
          <w:rStyle w:val="a7"/>
          <w:rtl/>
        </w:rPr>
        <w:footnoteRef/>
      </w:r>
      <w:r>
        <w:rPr>
          <w:rtl/>
        </w:rPr>
        <w:t xml:space="preserve"> </w:t>
      </w:r>
      <w:r>
        <w:rPr>
          <w:b/>
          <w:bCs/>
          <w:rtl/>
        </w:rPr>
        <w:t xml:space="preserve">א"ל ברי כו'. </w:t>
      </w:r>
      <w:r>
        <w:rPr>
          <w:rtl/>
        </w:rPr>
        <w:t xml:space="preserve">רוצה לומר בחכמה דהוא לבושא למ"ס, ובמ"ס גם כן, ובשביל חכמה דהוא לבושא נשאר ערום כנ"ל, ובשביל מ"ס דלגאו נגזר עליו מיתה, דהוא על האדם עצמו ולא לבושיו ואמר </w:t>
      </w:r>
      <w:r>
        <w:rPr>
          <w:b/>
          <w:bCs/>
          <w:rtl/>
        </w:rPr>
        <w:t xml:space="preserve">דאיהו חי החיים </w:t>
      </w:r>
      <w:r>
        <w:rPr>
          <w:rtl/>
        </w:rPr>
        <w:t xml:space="preserve">דחכמה נקרא חיה, (קהלת ז יב) והחכמה תחיה כו', וזה נקרא חי החיים וזה שאומר ודא הוה כו' וחאב במחשבה סתימא ואשתאר ערום. ואמר </w:t>
      </w:r>
      <w:r>
        <w:rPr>
          <w:b/>
          <w:bCs/>
          <w:rtl/>
        </w:rPr>
        <w:t>בכל מה</w:t>
      </w:r>
      <w:r>
        <w:rPr>
          <w:rtl/>
        </w:rPr>
        <w:t xml:space="preserve"> </w:t>
      </w:r>
      <w:r>
        <w:rPr>
          <w:b/>
          <w:bCs/>
          <w:rtl/>
        </w:rPr>
        <w:t xml:space="preserve">דלעילא מן אימא עילא דאיהו תשובה חב ואסתלקו מיני' </w:t>
      </w:r>
      <w:r>
        <w:rPr>
          <w:rtl/>
        </w:rPr>
        <w:t xml:space="preserve">רוצה לומר דכל מה שמעלה מן אימא עילאה נקרא הכל מחשבה, ובכלא חב, ולכן אסתלקו הכל מיניה ולא נשאר אלא באימא ע' ואף בה לא היה נשאר דהא חב בעובדא גם כן אלא שעשה תשובה ונשארה היא עימיה, דהיא דרגא דתשובה, אבל ממנה ולמעלה שהן למעלה מן התשובה - לא הועילה לו התשובה, ולכן לא הועיל לו כל התשובה שעשה להצילו מן המיתה ולהחזירה לו כתנות אור דהוא לבושא דיליה, ואמר </w:t>
      </w:r>
      <w:r>
        <w:rPr>
          <w:b/>
          <w:bCs/>
          <w:rtl/>
        </w:rPr>
        <w:t xml:space="preserve">וגלת עמי'. </w:t>
      </w:r>
      <w:r>
        <w:rPr>
          <w:rtl/>
        </w:rPr>
        <w:t>רוצה לומר מחוץ לגן עדן דאשתארת עמיה בלחודה, וזה שאומר ובג"ד ובפשעיכם כו':</w:t>
      </w:r>
    </w:p>
  </w:footnote>
  <w:footnote w:id="5016">
    <w:p w:rsidR="00A13282" w:rsidRDefault="00A13282" w:rsidP="0020255E">
      <w:pPr>
        <w:pStyle w:val="a5"/>
        <w:rPr>
          <w:rtl/>
        </w:rPr>
      </w:pPr>
      <w:r>
        <w:rPr>
          <w:rStyle w:val="a7"/>
          <w:rtl/>
        </w:rPr>
        <w:footnoteRef/>
      </w:r>
      <w:r>
        <w:rPr>
          <w:rtl/>
        </w:rPr>
        <w:t xml:space="preserve"> </w:t>
      </w:r>
      <w:r>
        <w:rPr>
          <w:b/>
          <w:bCs/>
          <w:rtl/>
        </w:rPr>
        <w:t>את האם את לאסגאה כו'. ו</w:t>
      </w:r>
      <w:r>
        <w:rPr>
          <w:rtl/>
        </w:rPr>
        <w:t>עיקר הקרא שהביא לראיה על אימא עילאה ועיין בתיקוני זוהר חדש פ"ה ד':</w:t>
      </w:r>
    </w:p>
  </w:footnote>
  <w:footnote w:id="5017">
    <w:p w:rsidR="00A13282" w:rsidRDefault="00A13282" w:rsidP="0020255E">
      <w:pPr>
        <w:pStyle w:val="a5"/>
        <w:rPr>
          <w:rtl/>
        </w:rPr>
      </w:pPr>
      <w:r>
        <w:rPr>
          <w:rStyle w:val="a7"/>
          <w:rtl/>
        </w:rPr>
        <w:footnoteRef/>
      </w:r>
      <w:r>
        <w:rPr>
          <w:rtl/>
        </w:rPr>
        <w:t xml:space="preserve"> </w:t>
      </w:r>
      <w:r>
        <w:rPr>
          <w:b/>
          <w:bCs/>
          <w:rtl/>
        </w:rPr>
        <w:t xml:space="preserve">אימא עלאה קמת כו'. </w:t>
      </w:r>
      <w:r>
        <w:rPr>
          <w:rtl/>
        </w:rPr>
        <w:t>אבל שניהם חבו בענין אחד כמו שאומר לעיל תא חזי תרין אתוון כו', דא"י נסתלקו בחטא הבל גם כן אלא משום דדרגיה דהבל אינו גדול כמו של אדם, דחובין הן לפי הדרגין וכמו שאומר לקמן בתיקון ע’:</w:t>
      </w:r>
    </w:p>
  </w:footnote>
  <w:footnote w:id="5018">
    <w:p w:rsidR="00A13282" w:rsidRDefault="00A13282" w:rsidP="0020255E">
      <w:pPr>
        <w:pStyle w:val="a5"/>
        <w:rPr>
          <w:rtl/>
        </w:rPr>
      </w:pPr>
      <w:r>
        <w:rPr>
          <w:rStyle w:val="a7"/>
          <w:rtl/>
        </w:rPr>
        <w:footnoteRef/>
      </w:r>
      <w:r>
        <w:rPr>
          <w:rtl/>
        </w:rPr>
        <w:t xml:space="preserve"> </w:t>
      </w:r>
      <w:r>
        <w:rPr>
          <w:b/>
          <w:bCs/>
          <w:rtl/>
        </w:rPr>
        <w:t xml:space="preserve">ובג"ד ברי אי הבל כו'. </w:t>
      </w:r>
      <w:r>
        <w:rPr>
          <w:rtl/>
        </w:rPr>
        <w:t>כנ"ל דפגם באימא עילאה ותתאה, שלח תשלח את, עם האם, ופגם באותיות א"י, ובכולם חאבו דאשתארו נוקבין לחודייהו וכמו שאומר לעיל תיקון ל”א ותיקון ס”ב:</w:t>
      </w:r>
    </w:p>
  </w:footnote>
  <w:footnote w:id="5019">
    <w:p w:rsidR="00A13282" w:rsidRDefault="00A13282" w:rsidP="0020255E">
      <w:pPr>
        <w:pStyle w:val="a5"/>
        <w:rPr>
          <w:rtl/>
        </w:rPr>
      </w:pPr>
      <w:r>
        <w:rPr>
          <w:rStyle w:val="a7"/>
          <w:rtl/>
        </w:rPr>
        <w:footnoteRef/>
      </w:r>
      <w:r>
        <w:rPr>
          <w:rtl/>
        </w:rPr>
        <w:t xml:space="preserve"> </w:t>
      </w:r>
      <w:r>
        <w:rPr>
          <w:b/>
          <w:bCs/>
          <w:rtl/>
        </w:rPr>
        <w:t>חובא דאדם כו' מן יהו"ה ואשתארת ה"ה.</w:t>
      </w:r>
      <w:r>
        <w:rPr>
          <w:rtl/>
        </w:rPr>
        <w:t xml:space="preserve"> גם כן כנ"ל אלא דפגם בהוי"ה, והבל פגם בנוקבין הנ"ל, ואיהו פגם באבא וז"א שבשניהם הוי"ה:</w:t>
      </w:r>
    </w:p>
  </w:footnote>
  <w:footnote w:id="5020">
    <w:p w:rsidR="00A13282" w:rsidRDefault="00A13282" w:rsidP="0020255E">
      <w:pPr>
        <w:pStyle w:val="a5"/>
        <w:rPr>
          <w:rtl/>
        </w:rPr>
      </w:pPr>
      <w:r>
        <w:rPr>
          <w:rStyle w:val="a7"/>
          <w:rtl/>
        </w:rPr>
        <w:footnoteRef/>
      </w:r>
      <w:r>
        <w:rPr>
          <w:rtl/>
        </w:rPr>
        <w:t xml:space="preserve"> </w:t>
      </w:r>
      <w:r>
        <w:rPr>
          <w:b/>
          <w:bCs/>
          <w:rtl/>
        </w:rPr>
        <w:t>א"ל ברי כו'.</w:t>
      </w:r>
      <w:r>
        <w:rPr>
          <w:rtl/>
        </w:rPr>
        <w:t xml:space="preserve"> רוצה לומר בכתר דביה, בג' רישין, ואסתלק רישא עלאה, יו"ד עילאה דביה שריא עלת העלות, דלית לעילא מיניה כלל כו', דאף שם ברח לך אל מקומך. ואמר </w:t>
      </w:r>
      <w:r>
        <w:rPr>
          <w:b/>
          <w:bCs/>
          <w:rtl/>
        </w:rPr>
        <w:t>כי ידע שמי שם י'.</w:t>
      </w:r>
      <w:r>
        <w:rPr>
          <w:rtl/>
        </w:rPr>
        <w:t xml:space="preserve"> רוצה לומר דידע יו"ד הזה ועיין לקמן קי"ג ב' ומה שבארנו שם:</w:t>
      </w:r>
    </w:p>
  </w:footnote>
  <w:footnote w:id="5021">
    <w:p w:rsidR="00A13282" w:rsidRDefault="00A13282" w:rsidP="0020255E">
      <w:pPr>
        <w:pStyle w:val="a5"/>
        <w:rPr>
          <w:rtl/>
        </w:rPr>
      </w:pPr>
      <w:r>
        <w:rPr>
          <w:rStyle w:val="a7"/>
          <w:rtl/>
        </w:rPr>
        <w:footnoteRef/>
      </w:r>
      <w:r>
        <w:rPr>
          <w:rtl/>
        </w:rPr>
        <w:t xml:space="preserve"> </w:t>
      </w:r>
      <w:r>
        <w:rPr>
          <w:b/>
          <w:bCs/>
          <w:rtl/>
        </w:rPr>
        <w:t>אלא ההוא דברא כו'.</w:t>
      </w:r>
      <w:r>
        <w:rPr>
          <w:rtl/>
        </w:rPr>
        <w:t xml:space="preserve"> אין סוף יתברך שמו, והוא נקרא עילת כל העילות ועיין בזוהר חדש פ"ו א':</w:t>
      </w:r>
    </w:p>
  </w:footnote>
  <w:footnote w:id="5022">
    <w:p w:rsidR="00A13282" w:rsidRDefault="00A13282" w:rsidP="0020255E">
      <w:pPr>
        <w:pStyle w:val="a5"/>
        <w:rPr>
          <w:rtl/>
        </w:rPr>
      </w:pPr>
      <w:r>
        <w:rPr>
          <w:rStyle w:val="a7"/>
          <w:rtl/>
        </w:rPr>
        <w:footnoteRef/>
      </w:r>
      <w:r>
        <w:rPr>
          <w:rtl/>
        </w:rPr>
        <w:t xml:space="preserve"> </w:t>
      </w:r>
      <w:r>
        <w:rPr>
          <w:b/>
          <w:bCs/>
          <w:rtl/>
        </w:rPr>
        <w:t>כד כו' עם י"ו אתעביד אוי כו' מן א' מן אהי"ה איהי ומכל שמהן.</w:t>
      </w:r>
      <w:r>
        <w:rPr>
          <w:rtl/>
        </w:rPr>
        <w:t xml:space="preserve"> רוצה לומר, דו"י אמר כד נשארו מן האלף, דאסתלק יו"ד העליון, וכד אסתלק גם האלף של אהיה לשם כו', ואמר ליה אם כן על כרחך האלף הנ"ל הוא למעלה מן א' של אהי"ה, ומכל שכן מכל שמהן, והשיב לו ודאי שכן הוא, דאלף מן אהי"ה ומן אדני הוא יו"ד שכולל ג' דרגין, י' בג"ר, ו' בז"א דשם, ד' בנוק' דשם, והוא ד' דלית לה מגרמה כלום, מלכות, נוק', אבל באלף הזה לית נוק', דכולא שוה שם, וזה שאומר סופה כתחלתה, דשניהם יודי"ן:</w:t>
      </w:r>
    </w:p>
  </w:footnote>
  <w:footnote w:id="5023">
    <w:p w:rsidR="00A13282" w:rsidRDefault="00A13282" w:rsidP="0020255E">
      <w:pPr>
        <w:pStyle w:val="a5"/>
        <w:rPr>
          <w:rtl/>
        </w:rPr>
      </w:pPr>
      <w:r>
        <w:rPr>
          <w:rStyle w:val="a7"/>
          <w:rtl/>
        </w:rPr>
        <w:footnoteRef/>
      </w:r>
      <w:r>
        <w:rPr>
          <w:rtl/>
        </w:rPr>
        <w:t xml:space="preserve"> </w:t>
      </w:r>
      <w:r>
        <w:rPr>
          <w:b/>
          <w:bCs/>
          <w:rtl/>
        </w:rPr>
        <w:t>דאית אדם קדמון.</w:t>
      </w:r>
      <w:r>
        <w:rPr>
          <w:rtl/>
        </w:rPr>
        <w:t xml:space="preserve"> רוצה לומר כתר נקרא קדמון לכל הקדומים, ועד עתה לא ידע שגם כן שם נקרא אדם אבל השתא שאמר דשם נקרא גם כן אלף, דאלף דאהי"ה הוא כתר דאימא, וכן א' דאדני כתר דמלכות, ועתה גילה לו דגם שם אלף ונקרא אדם גם כן, דדרגיה דאדם עד שם הגיע, דלכן פגם שם כנ"ל, והוא אדם דבריאה דבה חאב בנשמה דיליה דהוא מן בריאה, ואדם דיצירה חאב במחשבה, חכמה, ואדם דעשיה - במעשה ועיין לקמן קי"ד ב':</w:t>
      </w:r>
    </w:p>
  </w:footnote>
  <w:footnote w:id="5024">
    <w:p w:rsidR="00A13282" w:rsidRDefault="00A13282" w:rsidP="0020255E">
      <w:pPr>
        <w:pStyle w:val="a5"/>
        <w:rPr>
          <w:rtl/>
        </w:rPr>
      </w:pPr>
      <w:r>
        <w:rPr>
          <w:rStyle w:val="a7"/>
          <w:rtl/>
        </w:rPr>
        <w:footnoteRef/>
      </w:r>
      <w:r>
        <w:rPr>
          <w:rtl/>
        </w:rPr>
        <w:t xml:space="preserve"> </w:t>
      </w:r>
      <w:r>
        <w:rPr>
          <w:b/>
          <w:bCs/>
          <w:rtl/>
        </w:rPr>
        <w:t>א"ל עכ"ד הוה כו'.</w:t>
      </w:r>
      <w:r>
        <w:rPr>
          <w:rtl/>
        </w:rPr>
        <w:t xml:space="preserve"> עתה מפרש מה ששאל לו הוי אחר שסיים לו לפרש אוי, ורוצה לומר ה' עילאה דהיא תשובה הנ"ל דקמת עמיה, וכבר פירש למעלה דיו"ד וא"ו כבר נסתלקו ונשארו נוק', ועתה בחטא העגל גרמו לאסתלקא גם כן ה' עילאה לגבייהו:</w:t>
      </w:r>
    </w:p>
  </w:footnote>
  <w:footnote w:id="5025">
    <w:p w:rsidR="00A13282" w:rsidRDefault="00A13282" w:rsidP="0020255E">
      <w:pPr>
        <w:pStyle w:val="a5"/>
        <w:rPr>
          <w:rtl/>
        </w:rPr>
      </w:pPr>
      <w:r>
        <w:rPr>
          <w:rStyle w:val="a7"/>
          <w:rtl/>
        </w:rPr>
        <w:footnoteRef/>
      </w:r>
      <w:r>
        <w:rPr>
          <w:rtl/>
        </w:rPr>
        <w:t xml:space="preserve"> </w:t>
      </w:r>
      <w:r>
        <w:rPr>
          <w:b/>
          <w:bCs/>
          <w:rtl/>
        </w:rPr>
        <w:t>בתר דאתערבו כו'.</w:t>
      </w:r>
      <w:r>
        <w:rPr>
          <w:rtl/>
        </w:rPr>
        <w:t xml:space="preserve"> רוצה לומר דמעשה אבותיהם בידיהם, דכל חטא של עץ הדעת קאי הכל על ערב רב כמו שאומר בפ' בראשית בארוכה:</w:t>
      </w:r>
    </w:p>
  </w:footnote>
  <w:footnote w:id="5026">
    <w:p w:rsidR="00A13282" w:rsidRDefault="00A13282" w:rsidP="0020255E">
      <w:pPr>
        <w:pStyle w:val="a5"/>
        <w:rPr>
          <w:rtl/>
        </w:rPr>
      </w:pPr>
      <w:r>
        <w:rPr>
          <w:rStyle w:val="a7"/>
          <w:rtl/>
        </w:rPr>
        <w:footnoteRef/>
      </w:r>
      <w:r>
        <w:rPr>
          <w:rtl/>
        </w:rPr>
        <w:t xml:space="preserve"> </w:t>
      </w:r>
      <w:r>
        <w:rPr>
          <w:b/>
          <w:bCs/>
          <w:rtl/>
        </w:rPr>
        <w:t>גרמו דגלת כו'.</w:t>
      </w:r>
      <w:r>
        <w:rPr>
          <w:rtl/>
        </w:rPr>
        <w:t xml:space="preserve"> כמו שאומר שם ושאר מקומות: [עד כאן פירוש ההגהה]:</w:t>
      </w:r>
    </w:p>
  </w:footnote>
  <w:footnote w:id="5027">
    <w:p w:rsidR="00A13282" w:rsidRDefault="00A13282" w:rsidP="0020255E">
      <w:pPr>
        <w:pStyle w:val="a5"/>
        <w:rPr>
          <w:rtl/>
        </w:rPr>
      </w:pPr>
      <w:r>
        <w:rPr>
          <w:rStyle w:val="a7"/>
          <w:rtl/>
        </w:rPr>
        <w:footnoteRef/>
      </w:r>
      <w:r>
        <w:rPr>
          <w:rtl/>
        </w:rPr>
        <w:t xml:space="preserve"> </w:t>
      </w:r>
      <w:r>
        <w:rPr>
          <w:b/>
          <w:bCs/>
          <w:rtl/>
        </w:rPr>
        <w:t>ובג"ד אמר למשה בזמנא דאמר הראני נא כו'.</w:t>
      </w:r>
      <w:r>
        <w:rPr>
          <w:rtl/>
        </w:rPr>
        <w:t xml:space="preserve"> דכבודך הוא חכמה, וחובא דאדם גרם שלא יראהו, דשם וחי לעולם:</w:t>
      </w:r>
    </w:p>
  </w:footnote>
  <w:footnote w:id="5028">
    <w:p w:rsidR="00A13282" w:rsidRDefault="00A13282" w:rsidP="0020255E">
      <w:pPr>
        <w:pStyle w:val="a5"/>
        <w:rPr>
          <w:rtl/>
        </w:rPr>
      </w:pPr>
      <w:r>
        <w:rPr>
          <w:rStyle w:val="a7"/>
          <w:rtl/>
        </w:rPr>
        <w:footnoteRef/>
      </w:r>
      <w:r>
        <w:rPr>
          <w:rtl/>
        </w:rPr>
        <w:t xml:space="preserve"> </w:t>
      </w:r>
      <w:r>
        <w:rPr>
          <w:b/>
          <w:bCs/>
          <w:rtl/>
        </w:rPr>
        <w:t xml:space="preserve">באתר דאשתמודע כו' ובאתר דאתגליא. </w:t>
      </w:r>
      <w:r>
        <w:rPr>
          <w:rtl/>
        </w:rPr>
        <w:t>רוצה לומר בכתר וחכמה, דבחכמה הוא גילוי צניעותא דספרא, (משלי יא ב) ואת צנועים חכמה:</w:t>
      </w:r>
    </w:p>
  </w:footnote>
  <w:footnote w:id="5029">
    <w:p w:rsidR="00A13282" w:rsidRDefault="00A13282" w:rsidP="0020255E">
      <w:pPr>
        <w:pStyle w:val="a5"/>
        <w:rPr>
          <w:rtl/>
        </w:rPr>
      </w:pPr>
      <w:r>
        <w:rPr>
          <w:rStyle w:val="a7"/>
          <w:rtl/>
        </w:rPr>
        <w:footnoteRef/>
      </w:r>
      <w:r>
        <w:rPr>
          <w:rtl/>
        </w:rPr>
        <w:t xml:space="preserve"> </w:t>
      </w:r>
      <w:r>
        <w:rPr>
          <w:b/>
          <w:bCs/>
          <w:rtl/>
        </w:rPr>
        <w:t>ומחשבה דאסתלק מיניה.</w:t>
      </w:r>
      <w:r>
        <w:rPr>
          <w:rtl/>
        </w:rPr>
        <w:t xml:space="preserve"> רוצה לומר מאדם, הוא חכמה, ולכן נשאר בלא לבוש וזהו שהקשה לו </w:t>
      </w:r>
      <w:r>
        <w:rPr>
          <w:b/>
          <w:bCs/>
          <w:rtl/>
        </w:rPr>
        <w:t>והא מהכא כו'.</w:t>
      </w:r>
      <w:r>
        <w:rPr>
          <w:rtl/>
        </w:rPr>
        <w:t xml:space="preserve"> והשיב לו ר' שמעון </w:t>
      </w:r>
      <w:r>
        <w:rPr>
          <w:b/>
          <w:bCs/>
          <w:rtl/>
        </w:rPr>
        <w:t>ברי כו'</w:t>
      </w:r>
      <w:r>
        <w:rPr>
          <w:rtl/>
        </w:rPr>
        <w:t xml:space="preserve"> וכנ"ל:</w:t>
      </w:r>
    </w:p>
  </w:footnote>
  <w:footnote w:id="5030">
    <w:p w:rsidR="00A13282" w:rsidRDefault="00A13282" w:rsidP="0020255E">
      <w:pPr>
        <w:pStyle w:val="a5"/>
        <w:rPr>
          <w:rtl/>
        </w:rPr>
      </w:pPr>
      <w:r>
        <w:rPr>
          <w:rStyle w:val="a7"/>
          <w:rtl/>
        </w:rPr>
        <w:footnoteRef/>
      </w:r>
      <w:r>
        <w:rPr>
          <w:rtl/>
        </w:rPr>
        <w:t xml:space="preserve"> </w:t>
      </w:r>
      <w:r>
        <w:rPr>
          <w:b/>
          <w:bCs/>
          <w:rtl/>
        </w:rPr>
        <w:t>דאיהו אור קדמון כו'.</w:t>
      </w:r>
      <w:r>
        <w:rPr>
          <w:rtl/>
        </w:rPr>
        <w:t xml:space="preserve"> הן ג' הויות דמ"ס, ג' טפין דיו"ד כמו שאומר למעלה ק"ח א', והן כאן ביו"ד תתאה דאלף, דעילת העילות הוא יו"ד עילאה דאלף:</w:t>
      </w:r>
    </w:p>
  </w:footnote>
  <w:footnote w:id="5031">
    <w:p w:rsidR="00A13282" w:rsidRDefault="00A13282" w:rsidP="0020255E">
      <w:pPr>
        <w:pStyle w:val="a5"/>
        <w:rPr>
          <w:rtl/>
        </w:rPr>
      </w:pPr>
      <w:r>
        <w:rPr>
          <w:rStyle w:val="a7"/>
          <w:rtl/>
        </w:rPr>
        <w:footnoteRef/>
      </w:r>
      <w:r>
        <w:rPr>
          <w:rtl/>
        </w:rPr>
        <w:t xml:space="preserve"> </w:t>
      </w:r>
      <w:r>
        <w:rPr>
          <w:b/>
          <w:bCs/>
          <w:rtl/>
        </w:rPr>
        <w:t>וערב תמן כו'.</w:t>
      </w:r>
      <w:r>
        <w:rPr>
          <w:rtl/>
        </w:rPr>
        <w:t xml:space="preserve"> כמו שכתוב (תהלים יח יב) ישת חושך סתרו ועיין לקמן תיקון ע’ והוא דלית השגה תמן ועיין מה שכתבתי שם:</w:t>
      </w:r>
    </w:p>
  </w:footnote>
  <w:footnote w:id="5032">
    <w:p w:rsidR="00A13282" w:rsidRDefault="00A13282" w:rsidP="0020255E">
      <w:pPr>
        <w:pStyle w:val="a5"/>
        <w:rPr>
          <w:rtl/>
        </w:rPr>
      </w:pPr>
      <w:r>
        <w:rPr>
          <w:rStyle w:val="a7"/>
          <w:rtl/>
        </w:rPr>
        <w:footnoteRef/>
      </w:r>
      <w:r>
        <w:rPr>
          <w:rtl/>
        </w:rPr>
        <w:t xml:space="preserve"> </w:t>
      </w:r>
      <w:r>
        <w:rPr>
          <w:b/>
          <w:bCs/>
          <w:rtl/>
        </w:rPr>
        <w:t xml:space="preserve">דעלת העלות לא אשתתף כו'. </w:t>
      </w:r>
      <w:r>
        <w:rPr>
          <w:rtl/>
        </w:rPr>
        <w:t>כן צריך להיות כמו שכתוב בפנים, וכן הוא בכולן ולא כמו שהוגה בהגהה דודאי עלת על כל העלות לא אשתתף, ובזה לא היה מסופק אלא על עילת העילות דהוא אדם קדמון לכל הקדומין דודאי אפשר לומר דאשתתף בהו:</w:t>
      </w:r>
    </w:p>
  </w:footnote>
  <w:footnote w:id="5033">
    <w:p w:rsidR="00A13282" w:rsidRDefault="00A13282" w:rsidP="0020255E">
      <w:pPr>
        <w:pStyle w:val="a5"/>
        <w:rPr>
          <w:rtl/>
        </w:rPr>
      </w:pPr>
      <w:r>
        <w:rPr>
          <w:rStyle w:val="a7"/>
          <w:rtl/>
        </w:rPr>
        <w:footnoteRef/>
      </w:r>
      <w:r>
        <w:rPr>
          <w:rtl/>
        </w:rPr>
        <w:t xml:space="preserve"> </w:t>
      </w:r>
      <w:r>
        <w:rPr>
          <w:b/>
          <w:bCs/>
          <w:rtl/>
        </w:rPr>
        <w:t>בשום אור גניז כו'.</w:t>
      </w:r>
      <w:r>
        <w:rPr>
          <w:rtl/>
        </w:rPr>
        <w:t xml:space="preserve"> גניז הוא רישא עילאה, </w:t>
      </w:r>
      <w:r>
        <w:rPr>
          <w:b/>
          <w:bCs/>
          <w:rtl/>
        </w:rPr>
        <w:t>וטמיר</w:t>
      </w:r>
      <w:r>
        <w:rPr>
          <w:rtl/>
        </w:rPr>
        <w:t xml:space="preserve"> הוא אוירא, רישא תניינא, ואלו ג' במ"ס כנ"ל משום דהוא כולל שלשתן. ואמר </w:t>
      </w:r>
      <w:r>
        <w:rPr>
          <w:b/>
          <w:bCs/>
          <w:rtl/>
        </w:rPr>
        <w:t>ואור קדמון אע"ג כו'.</w:t>
      </w:r>
      <w:r>
        <w:rPr>
          <w:rtl/>
        </w:rPr>
        <w:t xml:space="preserve"> הוא מוח ראשון דביה, דהוא כתר דביה:</w:t>
      </w:r>
    </w:p>
  </w:footnote>
  <w:footnote w:id="5034">
    <w:p w:rsidR="00A13282" w:rsidRDefault="00A13282" w:rsidP="0020255E">
      <w:pPr>
        <w:pStyle w:val="a5"/>
        <w:rPr>
          <w:rtl/>
        </w:rPr>
      </w:pPr>
      <w:r>
        <w:rPr>
          <w:rStyle w:val="a7"/>
          <w:rtl/>
        </w:rPr>
        <w:footnoteRef/>
      </w:r>
      <w:r>
        <w:rPr>
          <w:rtl/>
        </w:rPr>
        <w:t xml:space="preserve"> </w:t>
      </w:r>
      <w:r>
        <w:rPr>
          <w:b/>
          <w:bCs/>
          <w:rtl/>
        </w:rPr>
        <w:t>בתר דהרהר תשובה ואתחבר מוחא דאיהי חכמה כו'.</w:t>
      </w:r>
      <w:r>
        <w:rPr>
          <w:rtl/>
        </w:rPr>
        <w:t xml:space="preserve"> זהו תיקון לאימא דאיהי תשובה אבל לאבא דאסתלק מחשבה שלמעלה לא תקן כנ"ל וזה שאומר ובג"ד שכינתא עילאה לא זזה כו':</w:t>
      </w:r>
    </w:p>
  </w:footnote>
  <w:footnote w:id="5035">
    <w:p w:rsidR="00A13282" w:rsidRDefault="00A13282" w:rsidP="0020255E">
      <w:pPr>
        <w:pStyle w:val="a5"/>
        <w:rPr>
          <w:rtl/>
        </w:rPr>
      </w:pPr>
      <w:r>
        <w:rPr>
          <w:rStyle w:val="a7"/>
          <w:rtl/>
        </w:rPr>
        <w:footnoteRef/>
      </w:r>
      <w:r>
        <w:rPr>
          <w:rtl/>
        </w:rPr>
        <w:t xml:space="preserve"> </w:t>
      </w:r>
      <w:r>
        <w:rPr>
          <w:b/>
          <w:bCs/>
          <w:rtl/>
        </w:rPr>
        <w:t>באדם תתאה.</w:t>
      </w:r>
      <w:r>
        <w:rPr>
          <w:rtl/>
        </w:rPr>
        <w:t xml:space="preserve"> רוצה לומר הבל וכנ"ל מ"א ב':</w:t>
      </w:r>
    </w:p>
  </w:footnote>
  <w:footnote w:id="5036">
    <w:p w:rsidR="00A13282" w:rsidRDefault="00A13282" w:rsidP="0020255E">
      <w:pPr>
        <w:pStyle w:val="a5"/>
        <w:rPr>
          <w:rtl/>
        </w:rPr>
      </w:pPr>
      <w:r>
        <w:rPr>
          <w:rStyle w:val="a7"/>
          <w:rtl/>
        </w:rPr>
        <w:footnoteRef/>
      </w:r>
      <w:r>
        <w:rPr>
          <w:rtl/>
        </w:rPr>
        <w:t xml:space="preserve"> </w:t>
      </w:r>
      <w:r>
        <w:rPr>
          <w:b/>
          <w:bCs/>
          <w:rtl/>
        </w:rPr>
        <w:t>במחשבה דאיהו יו"ד עילאה.</w:t>
      </w:r>
      <w:r>
        <w:rPr>
          <w:rtl/>
        </w:rPr>
        <w:t xml:space="preserve"> רוצה לומר דג' רישין הן, א' כתרא דהיינו גולגלתא הוא י' עלאה, ומ"ס יו"ד תתאה, ואוירא הוא וא"ו כידוע, וביוד עילאה שם עילת העילות, דביה אין שום אות, דשם ברח לך אל מקומך וזה שאומר דתמן עלת העלות, וחובא גרם ליו"ד דאסתלק גרם דגם עלת העלות נסתלק, ואמר למעלה דבעילת העילות לית ביה גוון כו' ולא דיוקנא רוצה לומר אפילו קוצו של יו"ד. ואמר זכאה איהו מאן דנחית ליה במחשבתיה רוצה לומר על כתרא דנקרא מחשבה, ועד שם מגיע כח של המחשבה מה שאין כן למעלה דאין מחשבה מגיע לשם כנ"ל ברח כו':</w:t>
      </w:r>
    </w:p>
  </w:footnote>
  <w:footnote w:id="5037">
    <w:p w:rsidR="00A13282" w:rsidRDefault="00A13282" w:rsidP="0020255E">
      <w:pPr>
        <w:pStyle w:val="a5"/>
        <w:rPr>
          <w:rtl/>
        </w:rPr>
      </w:pPr>
      <w:r>
        <w:rPr>
          <w:rStyle w:val="a7"/>
          <w:rtl/>
        </w:rPr>
        <w:footnoteRef/>
      </w:r>
      <w:r>
        <w:rPr>
          <w:rtl/>
        </w:rPr>
        <w:t xml:space="preserve"> </w:t>
      </w:r>
      <w:r>
        <w:rPr>
          <w:b/>
          <w:bCs/>
          <w:rtl/>
        </w:rPr>
        <w:t>שם יו"ד יקראני.</w:t>
      </w:r>
      <w:r>
        <w:rPr>
          <w:rtl/>
        </w:rPr>
        <w:t xml:space="preserve"> רוצה לומר שידע שם של היו"ד כנ"ל, שידע לקרוא ליוד הזה, דכיון שמגיע תפלתו לשם אין חוזרת ריקם כמו שכתוב בחנה (שמואל א א י) ותתפלל חנה על ה':</w:t>
      </w:r>
    </w:p>
  </w:footnote>
  <w:footnote w:id="5038">
    <w:p w:rsidR="00A13282" w:rsidRDefault="00A13282" w:rsidP="0020255E">
      <w:pPr>
        <w:pStyle w:val="a5"/>
        <w:rPr>
          <w:rtl/>
        </w:rPr>
      </w:pPr>
      <w:r>
        <w:rPr>
          <w:rStyle w:val="a7"/>
          <w:rtl/>
        </w:rPr>
        <w:footnoteRef/>
      </w:r>
      <w:r>
        <w:rPr>
          <w:rtl/>
        </w:rPr>
        <w:t xml:space="preserve"> </w:t>
      </w:r>
      <w:r>
        <w:rPr>
          <w:b/>
          <w:bCs/>
          <w:rtl/>
        </w:rPr>
        <w:t>דהאי כו' זאת התורה כו'.</w:t>
      </w:r>
      <w:r>
        <w:rPr>
          <w:rtl/>
        </w:rPr>
        <w:t xml:space="preserve"> רוצה לומר כמו שאמרו (מנחות קי ע"א) לעולה, אין צריך לא עולה ולא חטאת, דמשם מתכפר הכל, והוא כאשר התפלה והתורה עולים שם:</w:t>
      </w:r>
    </w:p>
  </w:footnote>
  <w:footnote w:id="5039">
    <w:p w:rsidR="00A13282" w:rsidRDefault="00A13282" w:rsidP="0020255E">
      <w:pPr>
        <w:pStyle w:val="a5"/>
        <w:rPr>
          <w:rtl/>
        </w:rPr>
      </w:pPr>
      <w:r>
        <w:rPr>
          <w:rStyle w:val="a7"/>
          <w:rtl/>
        </w:rPr>
        <w:footnoteRef/>
      </w:r>
      <w:r>
        <w:rPr>
          <w:rtl/>
        </w:rPr>
        <w:t xml:space="preserve"> </w:t>
      </w:r>
      <w:r>
        <w:rPr>
          <w:b/>
          <w:bCs/>
          <w:rtl/>
        </w:rPr>
        <w:t>דלית באות יו"ד כו'.</w:t>
      </w:r>
      <w:r>
        <w:rPr>
          <w:rtl/>
        </w:rPr>
        <w:t xml:space="preserve"> דהוא נקודה אחת והוא משתתף בכל, שממנו נאצלים הכל אבל הוא אינו נאצל משום דבר, נקודה לבד וכן הוא כתרא עלאה, ומרמז על אין סוף יתברך שמו דהוא אחד בלא שותפו:</w:t>
      </w:r>
    </w:p>
  </w:footnote>
  <w:footnote w:id="5040">
    <w:p w:rsidR="00A13282" w:rsidRDefault="00A13282" w:rsidP="0020255E">
      <w:pPr>
        <w:pStyle w:val="a5"/>
        <w:rPr>
          <w:rtl/>
        </w:rPr>
      </w:pPr>
      <w:r>
        <w:rPr>
          <w:rStyle w:val="a7"/>
          <w:rtl/>
        </w:rPr>
        <w:footnoteRef/>
      </w:r>
      <w:r>
        <w:rPr>
          <w:rtl/>
        </w:rPr>
        <w:t xml:space="preserve"> </w:t>
      </w:r>
      <w:r>
        <w:rPr>
          <w:b/>
          <w:bCs/>
          <w:rtl/>
        </w:rPr>
        <w:t>בורא בשותפו כו'.</w:t>
      </w:r>
      <w:r>
        <w:rPr>
          <w:rtl/>
        </w:rPr>
        <w:t xml:space="preserve"> דהן עשר ספירות כמו שמפרש והולך, והוא ע"י אלקים, דהיא מליאה מכולם, ועשירית כמו שאומר לקמן ק"י א':</w:t>
      </w:r>
    </w:p>
  </w:footnote>
  <w:footnote w:id="5041">
    <w:p w:rsidR="00A13282" w:rsidRDefault="00A13282" w:rsidP="0020255E">
      <w:pPr>
        <w:pStyle w:val="a5"/>
        <w:rPr>
          <w:rtl/>
        </w:rPr>
      </w:pPr>
      <w:r>
        <w:rPr>
          <w:rStyle w:val="a7"/>
          <w:rtl/>
        </w:rPr>
        <w:footnoteRef/>
      </w:r>
      <w:r>
        <w:rPr>
          <w:rtl/>
        </w:rPr>
        <w:t xml:space="preserve"> </w:t>
      </w:r>
      <w:r>
        <w:rPr>
          <w:b/>
          <w:bCs/>
          <w:rtl/>
        </w:rPr>
        <w:t>דאיהו עד"א א' דאיהו כתר דאינון ברא מבראשית שית שית ספירן כו'.</w:t>
      </w:r>
      <w:r>
        <w:rPr>
          <w:rtl/>
        </w:rPr>
        <w:t xml:space="preserve"> רוצה לומר דבורא הוא בראשית, דוא"ו במקום שית:</w:t>
      </w:r>
    </w:p>
  </w:footnote>
  <w:footnote w:id="5042">
    <w:p w:rsidR="00A13282" w:rsidRDefault="00A13282" w:rsidP="0020255E">
      <w:pPr>
        <w:pStyle w:val="a5"/>
        <w:rPr>
          <w:rtl/>
        </w:rPr>
      </w:pPr>
      <w:r>
        <w:rPr>
          <w:rStyle w:val="a7"/>
          <w:rtl/>
        </w:rPr>
        <w:footnoteRef/>
      </w:r>
      <w:r>
        <w:rPr>
          <w:rtl/>
        </w:rPr>
        <w:t xml:space="preserve"> </w:t>
      </w:r>
      <w:r>
        <w:rPr>
          <w:b/>
          <w:bCs/>
          <w:rtl/>
        </w:rPr>
        <w:t xml:space="preserve">אבל עלת על כל העלות. </w:t>
      </w:r>
      <w:r>
        <w:rPr>
          <w:rtl/>
        </w:rPr>
        <w:t>כן צריך להיות כאן, וכן בכולם מכאן ולהלאה, ועיין בתיקוני זוהר חדש פ"ה ד' עיין שם היטב:</w:t>
      </w:r>
    </w:p>
  </w:footnote>
  <w:footnote w:id="5043">
    <w:p w:rsidR="00A13282" w:rsidRDefault="00A13282" w:rsidP="0020255E">
      <w:pPr>
        <w:pStyle w:val="a5"/>
        <w:rPr>
          <w:rtl/>
        </w:rPr>
      </w:pPr>
      <w:r>
        <w:rPr>
          <w:rStyle w:val="a7"/>
          <w:rtl/>
        </w:rPr>
        <w:footnoteRef/>
      </w:r>
      <w:r>
        <w:rPr>
          <w:rtl/>
        </w:rPr>
        <w:t xml:space="preserve"> </w:t>
      </w:r>
      <w:r>
        <w:rPr>
          <w:b/>
          <w:bCs/>
          <w:rtl/>
        </w:rPr>
        <w:t>א"ל אית א' לעילא מן א' כו'.</w:t>
      </w:r>
      <w:r>
        <w:rPr>
          <w:rtl/>
        </w:rPr>
        <w:t xml:space="preserve"> רוצה לומר, אלף זה הוא בכתר דהוא אדם דבריאה, דכל אלף מורה על אדם כמו שאומר בזוהר חדש שה"ש, ולכן אמר ליה דהוא גם כן אדם וכנ"ל מ"א ב' ועיין מה שכתבתי שם:</w:t>
      </w:r>
    </w:p>
  </w:footnote>
  <w:footnote w:id="5044">
    <w:p w:rsidR="00A13282" w:rsidRDefault="00A13282" w:rsidP="0020255E">
      <w:pPr>
        <w:pStyle w:val="a5"/>
        <w:rPr>
          <w:rtl/>
        </w:rPr>
      </w:pPr>
      <w:r>
        <w:rPr>
          <w:rStyle w:val="a7"/>
          <w:rtl/>
        </w:rPr>
        <w:footnoteRef/>
      </w:r>
      <w:r>
        <w:rPr>
          <w:rtl/>
        </w:rPr>
        <w:t xml:space="preserve"> </w:t>
      </w:r>
      <w:r>
        <w:rPr>
          <w:b/>
          <w:bCs/>
          <w:rtl/>
        </w:rPr>
        <w:t>אור לבוש עליון.</w:t>
      </w:r>
      <w:r>
        <w:rPr>
          <w:rtl/>
        </w:rPr>
        <w:t xml:space="preserve"> כידוע דבריאה נקרא לבושו, וזה שאמרו השמים מהיכן נבראו מאור לבושו, דהשמים הן ביצירה ונבראו מאור לבושו דבריאה:</w:t>
      </w:r>
    </w:p>
  </w:footnote>
  <w:footnote w:id="5045">
    <w:p w:rsidR="00A13282" w:rsidRDefault="00A13282" w:rsidP="0020255E">
      <w:pPr>
        <w:pStyle w:val="a5"/>
        <w:rPr>
          <w:rtl/>
        </w:rPr>
      </w:pPr>
      <w:r>
        <w:rPr>
          <w:rStyle w:val="a7"/>
          <w:rtl/>
        </w:rPr>
        <w:footnoteRef/>
      </w:r>
      <w:r>
        <w:rPr>
          <w:rtl/>
        </w:rPr>
        <w:t xml:space="preserve"> </w:t>
      </w:r>
      <w:r>
        <w:rPr>
          <w:b/>
          <w:bCs/>
          <w:rtl/>
        </w:rPr>
        <w:t>כל ספירה יהיב ביה חולקי'.</w:t>
      </w:r>
      <w:r>
        <w:rPr>
          <w:rtl/>
        </w:rPr>
        <w:t xml:space="preserve"> דבריאת אדם היה מג' עלמין, בריאה יצירה עשיה, ראשו מבריאה כו', דזה שאמרו (חגיגה יב ע"א) מקצה העולם ועד קצה העולם היה, וספירין דאצילות יהבי ביה חולק זהרא עילאה נשמת חיים, וכשחטא נסתלק ממנו ההוא זהרא עילאה ונשאר כבהמות נדמו כידוע בסוד אדם ובהמה וזה שאומר </w:t>
      </w:r>
      <w:r>
        <w:rPr>
          <w:b/>
          <w:bCs/>
          <w:rtl/>
        </w:rPr>
        <w:t>אמרו מארי מתניתין ואדם ביקר כו'</w:t>
      </w:r>
      <w:r>
        <w:rPr>
          <w:rtl/>
        </w:rPr>
        <w:t xml:space="preserve"> </w:t>
      </w:r>
      <w:r>
        <w:rPr>
          <w:b/>
          <w:bCs/>
          <w:rtl/>
        </w:rPr>
        <w:t>אדם דהוי ביקר כו'.</w:t>
      </w:r>
      <w:r>
        <w:rPr>
          <w:rtl/>
        </w:rPr>
        <w:t xml:space="preserve"> ואמר ואשתאר אין כנ"ל, דכל בי"ע אין אדם, אלא דאצילות, לכן כשנסתלק נשאר דרגא דאדם אין, כאלו לא היה, דענין אין הוא דבר שהיה ועתה אין, ורוצה לומר שזה שכתוב (קהלת ג יט) ומותר האדם כו' כמו שמפרש והולך ורוצה לומר דהיתרון מה שנשתייר באדם מן הבהמה - אין, דמה שנשאר בו שוה לבהמה:</w:t>
      </w:r>
    </w:p>
  </w:footnote>
  <w:footnote w:id="5046">
    <w:p w:rsidR="00A13282" w:rsidRDefault="00A13282" w:rsidP="0020255E">
      <w:pPr>
        <w:pStyle w:val="a5"/>
        <w:rPr>
          <w:rtl/>
        </w:rPr>
      </w:pPr>
      <w:r>
        <w:rPr>
          <w:rStyle w:val="a7"/>
          <w:rtl/>
        </w:rPr>
        <w:footnoteRef/>
      </w:r>
      <w:r>
        <w:rPr>
          <w:rtl/>
        </w:rPr>
        <w:t xml:space="preserve"> </w:t>
      </w:r>
      <w:r>
        <w:rPr>
          <w:b/>
          <w:bCs/>
          <w:rtl/>
        </w:rPr>
        <w:t>דמות דילה.</w:t>
      </w:r>
      <w:r>
        <w:rPr>
          <w:rtl/>
        </w:rPr>
        <w:t xml:space="preserve"> רוצה לומר זה שכתוב (תהלים מט יג) נדמו, דמות דיליה רוצה לומר כמו שהבהמה דמות דילה בחיות הקודש כמו שאומר בפ' פנחס ואם כן נמשל כו':</w:t>
      </w:r>
    </w:p>
  </w:footnote>
  <w:footnote w:id="5047">
    <w:p w:rsidR="00A13282" w:rsidRDefault="00A13282" w:rsidP="0020255E">
      <w:pPr>
        <w:pStyle w:val="a5"/>
        <w:rPr>
          <w:rtl/>
        </w:rPr>
      </w:pPr>
      <w:r>
        <w:rPr>
          <w:rStyle w:val="a7"/>
          <w:rtl/>
        </w:rPr>
        <w:footnoteRef/>
      </w:r>
      <w:r>
        <w:rPr>
          <w:rtl/>
        </w:rPr>
        <w:t xml:space="preserve"> </w:t>
      </w:r>
      <w:r>
        <w:rPr>
          <w:b/>
          <w:bCs/>
          <w:rtl/>
        </w:rPr>
        <w:t>כד ברא לי' כד"א ויברא כו'.</w:t>
      </w:r>
      <w:r>
        <w:rPr>
          <w:rtl/>
        </w:rPr>
        <w:t xml:space="preserve"> הכל כמו שאומר למטה בהגהה:</w:t>
      </w:r>
    </w:p>
  </w:footnote>
  <w:footnote w:id="5048">
    <w:p w:rsidR="00A13282" w:rsidRDefault="00A13282" w:rsidP="0020255E">
      <w:pPr>
        <w:pStyle w:val="a5"/>
        <w:rPr>
          <w:rtl/>
        </w:rPr>
      </w:pPr>
      <w:r>
        <w:rPr>
          <w:rStyle w:val="a7"/>
          <w:rtl/>
        </w:rPr>
        <w:footnoteRef/>
      </w:r>
      <w:r>
        <w:rPr>
          <w:rtl/>
        </w:rPr>
        <w:t xml:space="preserve"> </w:t>
      </w:r>
      <w:r>
        <w:rPr>
          <w:b/>
          <w:bCs/>
          <w:rtl/>
        </w:rPr>
        <w:t>ולבתר עבד לי' מאנא כו'.</w:t>
      </w:r>
      <w:r>
        <w:rPr>
          <w:rtl/>
        </w:rPr>
        <w:t xml:space="preserve"> רוצה לומר מלכות, וכאן כל הוי"ה דהוא עשר ספירות, ה' אלקים - או"א, את האדם - בדרגא דז"א, עפר - נוק', אבל ויברא אלקים כו' הוא על עלת העלות דברא ליה בלא שותפו כנ"ל. ואמר </w:t>
      </w:r>
      <w:r>
        <w:rPr>
          <w:b/>
          <w:bCs/>
          <w:rtl/>
        </w:rPr>
        <w:t xml:space="preserve">מן האדמה לא כתיב. </w:t>
      </w:r>
      <w:r>
        <w:rPr>
          <w:rtl/>
        </w:rPr>
        <w:t xml:space="preserve">דאדמ"ה הוא בינה, ארץ אדום, כמו שאומר באידרא רבה והיא נש"ב, אבל עפר דאתהוי מינה הוא מלכות. ואמר </w:t>
      </w:r>
      <w:r>
        <w:rPr>
          <w:b/>
          <w:bCs/>
          <w:rtl/>
        </w:rPr>
        <w:t>דאתמר בה ואדם על כו'</w:t>
      </w:r>
      <w:r>
        <w:rPr>
          <w:rtl/>
        </w:rPr>
        <w:t xml:space="preserve"> דג' גלגולין דאבהן - אש"ן, אבל גלגולא דילה הוא אדם, ונאמר (איוב לד טו) על עפר ישוב, ועיין בתיקוני זוהר חדש פ"ה א', ואמר מאנא דכלהו רוצה לומר הגוף הוא מן המלכות דהיא גופא לגבי קב"ה, וכן גופא דאדם לגבי אדם שהוא דרגא דעמודא דאמצעיתא כנ"ל, את האדם, שהוא דרגא דעמודא דאמצעיתא, צייר ביה מוחין והן נר"ן דיליה, אבל הכל הוא בכלל עמודא דאמצעיתא דהוא נשמתא, ומאנא דהוא גופא, דעליהם נאמר זכר ונקבה בראם, ובתוכן המזווגן והמייחדן והוא דרגא דעילת העילות שעליו נאמר ויברא כו' כנ"ל ולכן הקשה ר' אלעזר שהאיך אפשר לומר שם בצלמו, והשיב לו </w:t>
      </w:r>
      <w:r>
        <w:rPr>
          <w:b/>
          <w:bCs/>
          <w:rtl/>
        </w:rPr>
        <w:t>א"ל ברי לא אמר דאית בי' דיוקנא כו'.</w:t>
      </w:r>
      <w:r>
        <w:rPr>
          <w:rtl/>
        </w:rPr>
        <w:t xml:space="preserve"> דלכן לא נאמר שם דמות רק צלם וכמו שמפרש והולך </w:t>
      </w:r>
      <w:r>
        <w:rPr>
          <w:b/>
          <w:bCs/>
          <w:rtl/>
        </w:rPr>
        <w:t>רוצה לומר</w:t>
      </w:r>
      <w:r>
        <w:rPr>
          <w:rtl/>
        </w:rPr>
        <w:t xml:space="preserve"> </w:t>
      </w:r>
      <w:r>
        <w:rPr>
          <w:b/>
          <w:bCs/>
          <w:rtl/>
        </w:rPr>
        <w:t>כגוונא דאיהו כו' דלית קדמון כו'.</w:t>
      </w:r>
      <w:r>
        <w:rPr>
          <w:rtl/>
        </w:rPr>
        <w:t xml:space="preserve"> כמו שכתוב ורוח אלקים מרחפת כו' [אולי צריך להיות ואמרו זה רוחו של אדם כו'] ואמר </w:t>
      </w:r>
      <w:r>
        <w:rPr>
          <w:b/>
          <w:bCs/>
          <w:rtl/>
        </w:rPr>
        <w:t>כגוונא דאיהו חד כו'.</w:t>
      </w:r>
      <w:r>
        <w:rPr>
          <w:rtl/>
        </w:rPr>
        <w:t xml:space="preserve"> דנשמתא זהירא עילאה אינו רק אחד לבד, ולא זכה ביה רק אחד לבד כידוע, וחשיב ד' גוונין נגד ד' אתוון דהוי"ה דעלת העלות מתפשט בהון:</w:t>
      </w:r>
    </w:p>
  </w:footnote>
  <w:footnote w:id="5049">
    <w:p w:rsidR="00A13282" w:rsidRDefault="00A13282" w:rsidP="0020255E">
      <w:pPr>
        <w:pStyle w:val="a5"/>
        <w:rPr>
          <w:rtl/>
        </w:rPr>
      </w:pPr>
      <w:r>
        <w:rPr>
          <w:rStyle w:val="a7"/>
          <w:rtl/>
        </w:rPr>
        <w:footnoteRef/>
      </w:r>
      <w:r>
        <w:rPr>
          <w:rtl/>
        </w:rPr>
        <w:t xml:space="preserve"> </w:t>
      </w:r>
      <w:r>
        <w:rPr>
          <w:b/>
          <w:bCs/>
          <w:rtl/>
        </w:rPr>
        <w:t>ואית אדם דבריאה כו' ועשיה כלל אבל בריאה דברא כו' דאתברי איהו אבל בלבושא וגופא דלבר אית בריאה ובג"ד כתיב כו' רזא אחרא בגופא את האדם דא כו'.</w:t>
      </w:r>
      <w:r>
        <w:rPr>
          <w:rtl/>
        </w:rPr>
        <w:t xml:space="preserve"> רוצה לומר דלמעלה אמר ואינון אדם דבריאה, אדם כו', והוא בבי"ע, אבל באצילות לית בריאה, ואף שאמר למעלה דברא כו' קאי על עילת העילות וייצר כו' אמר כאן דרוצה לומר דברא הוא לתתא בדיוקניה אבל לאו דאתברי הוא ומכל מקום בגופא ולבושין דלבר אית בריאה ועל זה נאמר ויברא אלקים כמו שמפרש והולך וקאי הכל על גופא מה שאין כן בבי"ע דאפילו ברוחא וכמו שאמרו דגופא דאצילות הוי בהון רוחא ומפרש והולך דאדם דבריאה ויצירה ועשיה הוא ת"ת ויסוד ומלכות, ומסטרא דלהון גם כן באדם דלתתא ג' דרגין, בי"ע, ויברא מסטרא דת"ת, וכן בכולם, וקאי הפסוקים בין למעלה בין לתתא על האדם, וכל אדם ידוע שכולל עשר ספירות, והן ג' דרגין שכלילין בהן עשר ספירות, לכן מפרש בכל אדם ג' דרגין כמו שמפרש והולך, את האדם כו' בצלמו כו' בצלם כו', וכן בוייצר כו' ובנעשה כו' וכמו שמפרש והולך, ובכלם האדם הוא עמודא דאמצעיתא כמו שמפרש והולך דאתמר ביה כתפארת אדם, והוא נברא ונוצר ונעשה בתרין - בג"ר ומלכות, כמו שמפרש והולך בצלמו כו' בצלם כו' וכן בכלם ורוצה לומר דנכלל גם כן בהם, והן ג' דרגין שהן עשר ספירות כנ"ל. ואמר </w:t>
      </w:r>
      <w:r>
        <w:rPr>
          <w:b/>
          <w:bCs/>
          <w:rtl/>
        </w:rPr>
        <w:t>בצלמו שכינתא תתאה.</w:t>
      </w:r>
      <w:r>
        <w:rPr>
          <w:rtl/>
        </w:rPr>
        <w:t xml:space="preserve"> כידוע דהיא בצלמו, במדה דיליה כו' ועיין לעיל תיקון ס"ב, ואמר </w:t>
      </w:r>
      <w:r>
        <w:rPr>
          <w:b/>
          <w:bCs/>
          <w:rtl/>
        </w:rPr>
        <w:t>בצלם אלקים כו'</w:t>
      </w:r>
      <w:r>
        <w:rPr>
          <w:rtl/>
        </w:rPr>
        <w:t xml:space="preserve"> דהוא אלקים דבכל עובדא דבראשית, ועלה אתמר ויברא אלקים כו':</w:t>
      </w:r>
    </w:p>
  </w:footnote>
  <w:footnote w:id="5050">
    <w:p w:rsidR="00A13282" w:rsidRDefault="00A13282" w:rsidP="0020255E">
      <w:pPr>
        <w:pStyle w:val="a5"/>
        <w:rPr>
          <w:rtl/>
        </w:rPr>
      </w:pPr>
      <w:r>
        <w:rPr>
          <w:rStyle w:val="a7"/>
          <w:rtl/>
        </w:rPr>
        <w:footnoteRef/>
      </w:r>
      <w:r>
        <w:rPr>
          <w:rtl/>
        </w:rPr>
        <w:t xml:space="preserve"> </w:t>
      </w:r>
      <w:r>
        <w:rPr>
          <w:b/>
          <w:bCs/>
          <w:rtl/>
        </w:rPr>
        <w:t>וייצר כו' ו' דאמצעיתא דאיהו בין תרין יודין כו'.</w:t>
      </w:r>
      <w:r>
        <w:rPr>
          <w:rtl/>
        </w:rPr>
        <w:t xml:space="preserve"> והוא כמו תפארת אדם דבריאה ועיין לעיל ק"א א' בודאי אבני שיש טהור אינון י"י, דמנהון מיין דכיין נפקין ואינון רמיזין באת א', רישא וסיפא, י"י, ו' דאיהו נטוי בינייהו איהו עץ החיים, מאן דאכל מינייהו וחי לעולם, ואלין תרין יודין אינון יודין דוייצר, ואינון תרין יצירות, יצירה דעילאין ויצירה דתתאין, ואינון חכמה בראש וחכמה בסוף כו', והכל בצדיק דאיהו עץ החיים כמו שאמרו בסתרי תורה ריש פ' לך לך ומאן דאכל מיניה כו', כמו שאומר בריש פ' שמות זהר איבא דאילנא יהיב חיין לכלא, קיומא לעלם ולעלמי עלמיא, ס"א לא שריא ביה אלא סטרא דקדושה, זכאה חולקיהון אינון דטעמין מיניה, קיימין אינון לעלם ולעלמי עלמין, אלין אינון אקרון חיין להאי עלמא וחיין לעלמא דאתי, וזה שאומר </w:t>
      </w:r>
      <w:r>
        <w:rPr>
          <w:b/>
          <w:bCs/>
          <w:rtl/>
        </w:rPr>
        <w:t>ותרין יודין עלייהו אתמר חכמות כו' ואינון חכמה כו'.</w:t>
      </w:r>
      <w:r>
        <w:rPr>
          <w:rtl/>
        </w:rPr>
        <w:t xml:space="preserve"> רוצה לומר חכמה ומלכות, והן ב' יודין דמנהון מיין דכיין נפיק, והן מ"ד ומ"נ, והן כלילין בצדיק דביה מ"ד ומ"נ קיימין, והנה בת"ת כולל ג"ר מסטרא דבינה, ובצדיק - מסטרא דחכמה, ובמלכות - מסטרא דכתר בסוד כתר מלכות, ומלכות דכלילא בכל הג' דרגין היא גם כן נכללת כמו הג"ר כאן נקרא חכמה ובת"ת נקרא בינה, דעל שניהם אמר בצלם, ובעשיה מלכות נקראת כתר, והן ד' דרגין דידה - ג"ר ומלכות, דהן ד' אותיות אדנ"י - אי"ן וד':</w:t>
      </w:r>
    </w:p>
  </w:footnote>
  <w:footnote w:id="5051">
    <w:p w:rsidR="00A13282" w:rsidRDefault="00A13282" w:rsidP="0020255E">
      <w:pPr>
        <w:pStyle w:val="a5"/>
        <w:rPr>
          <w:rtl/>
        </w:rPr>
      </w:pPr>
      <w:r>
        <w:rPr>
          <w:rStyle w:val="a7"/>
          <w:rtl/>
        </w:rPr>
        <w:footnoteRef/>
      </w:r>
      <w:r>
        <w:rPr>
          <w:rtl/>
        </w:rPr>
        <w:t xml:space="preserve"> </w:t>
      </w:r>
      <w:r>
        <w:rPr>
          <w:b/>
          <w:bCs/>
          <w:rtl/>
        </w:rPr>
        <w:t>ואדם מסט' דאות כו'.</w:t>
      </w:r>
      <w:r>
        <w:rPr>
          <w:rtl/>
        </w:rPr>
        <w:t xml:space="preserve"> רוצה לומר, דאדם דלתתא דנכלל מכל הג' דרגין, דעיקר בריאתו הוא אדם דבריאה שבו נברא, והוא מסטרא דתפארת דהוא אדם כנ"ל, כתפארת אדם, ומסטרא דצדיק שבו נצטייר, נולד מהול. ואמר </w:t>
      </w:r>
      <w:r>
        <w:rPr>
          <w:b/>
          <w:bCs/>
          <w:rtl/>
        </w:rPr>
        <w:t>הה"ד ותרא אותו כו'.</w:t>
      </w:r>
      <w:r>
        <w:rPr>
          <w:rtl/>
        </w:rPr>
        <w:t xml:space="preserve"> דמשה הוא אדם כמו שאומר לעיל בכמה מקומות, ואמר </w:t>
      </w:r>
      <w:r>
        <w:rPr>
          <w:b/>
          <w:bCs/>
          <w:rtl/>
        </w:rPr>
        <w:t>דתמן לאו קליפה כו'</w:t>
      </w:r>
      <w:r>
        <w:rPr>
          <w:rtl/>
        </w:rPr>
        <w:t xml:space="preserve"> כנ"ל ס"א לא שריא ביה ורוצה לומר דזה כי טוב, שאין שם רע כלל:</w:t>
      </w:r>
    </w:p>
  </w:footnote>
  <w:footnote w:id="5052">
    <w:p w:rsidR="00A13282" w:rsidRDefault="00A13282" w:rsidP="0020255E">
      <w:pPr>
        <w:pStyle w:val="a5"/>
        <w:rPr>
          <w:rtl/>
        </w:rPr>
      </w:pPr>
      <w:r>
        <w:rPr>
          <w:rStyle w:val="a7"/>
          <w:rtl/>
        </w:rPr>
        <w:footnoteRef/>
      </w:r>
      <w:r>
        <w:rPr>
          <w:rtl/>
        </w:rPr>
        <w:t xml:space="preserve"> </w:t>
      </w:r>
      <w:r>
        <w:rPr>
          <w:b/>
          <w:bCs/>
          <w:rtl/>
        </w:rPr>
        <w:t xml:space="preserve">בכל משלה ועלה אתמר נעשה אדם בצלמינו כדמותנו והא אמרן דכל ע"ס כו' מעשרין חד מעשרה ובגין דאיהי כלילא מכלהו כו' אתקריאת בשמי' ובג"ד זמנין אתקריאת נשר כו' </w:t>
      </w:r>
      <w:r>
        <w:rPr>
          <w:rtl/>
        </w:rPr>
        <w:t>ואח"כ</w:t>
      </w:r>
      <w:r>
        <w:rPr>
          <w:b/>
          <w:bCs/>
          <w:rtl/>
        </w:rPr>
        <w:t xml:space="preserve"> הא הכא אדם דעשיה כו'.</w:t>
      </w:r>
      <w:r>
        <w:rPr>
          <w:rtl/>
        </w:rPr>
        <w:t xml:space="preserve"> ורוצה לומר דנעשה נאמר על אדם דעשיה, מלכות, ונאמר עלה בצלמנו, דכל עשר ספירות יהיבו כו', והיא גם כן כלילא מתלת, מב' דרגין, מעשר ספירות דלמעלה, ומכל דיוקנין דלתתא מינה, והיא עשיריות דכל ספירה ועיין לעיל מ"ו ב', ואמר </w:t>
      </w:r>
      <w:r>
        <w:rPr>
          <w:b/>
          <w:bCs/>
          <w:rtl/>
        </w:rPr>
        <w:t>הא הכא כו' אדם דבריאה כו' מאי כו'</w:t>
      </w:r>
      <w:r>
        <w:rPr>
          <w:rtl/>
        </w:rPr>
        <w:t xml:space="preserve"> משום שרוצה לפרש בצלמו בצלם היכן רמיזין ביה, ואיך הן בצלמו, ואמר בב' ווין דוא"ו, דאלף דביניהון הוא ת"ת דנקרא א', ואמר דשכינתא עילאה ותתאה דנקראו צלם ודמות אדם, שכינה עילאה דמות חכמה, ושכינתא תתאה דמות עמודא דאמצעיתא:</w:t>
      </w:r>
    </w:p>
  </w:footnote>
  <w:footnote w:id="5053">
    <w:p w:rsidR="00A13282" w:rsidRDefault="00A13282" w:rsidP="0020255E">
      <w:pPr>
        <w:pStyle w:val="a5"/>
        <w:rPr>
          <w:rtl/>
        </w:rPr>
      </w:pPr>
      <w:r>
        <w:rPr>
          <w:rStyle w:val="a7"/>
          <w:rtl/>
        </w:rPr>
        <w:footnoteRef/>
      </w:r>
      <w:r>
        <w:rPr>
          <w:rtl/>
        </w:rPr>
        <w:t xml:space="preserve"> </w:t>
      </w:r>
      <w:r>
        <w:rPr>
          <w:b/>
          <w:bCs/>
          <w:rtl/>
        </w:rPr>
        <w:t xml:space="preserve">ועוד עד"א כו' וכלא קשוט </w:t>
      </w:r>
      <w:r>
        <w:rPr>
          <w:rtl/>
        </w:rPr>
        <w:t xml:space="preserve">ואח"כ </w:t>
      </w:r>
      <w:r>
        <w:rPr>
          <w:b/>
          <w:bCs/>
          <w:rtl/>
        </w:rPr>
        <w:t>והאדם ידע כו'.</w:t>
      </w:r>
      <w:r>
        <w:rPr>
          <w:rtl/>
        </w:rPr>
        <w:t xml:space="preserve"> כנ"ל רוצה לומר שאלו הג' הן דמות כח"ב, ועמודא דאמצעיתא דיוקנא דכתר ידוע שבו הדעת, והוא ביה סליק, וצדיק דמות חכמה מפרש והולך שנאמר חכמה לשלמה, ושלמה הוא צדיק כידוע ברעיא מהימנא בכמה מקומות, ומביא ראיה דאתוון דיליה שלם ה', שהוא ברית שלם. ואמר </w:t>
      </w:r>
      <w:r>
        <w:rPr>
          <w:b/>
          <w:bCs/>
          <w:rtl/>
        </w:rPr>
        <w:t>שלם ה'</w:t>
      </w:r>
      <w:r>
        <w:rPr>
          <w:rtl/>
        </w:rPr>
        <w:t xml:space="preserve"> דגם ה' נכלל בברית דהיא עטרה. ואמר </w:t>
      </w:r>
      <w:r>
        <w:rPr>
          <w:b/>
          <w:bCs/>
          <w:rtl/>
        </w:rPr>
        <w:t>ושכינתא כו' דמות כו'.</w:t>
      </w:r>
      <w:r>
        <w:rPr>
          <w:rtl/>
        </w:rPr>
        <w:t xml:space="preserve"> הוא ידוע ב' ההי"ן, שכינה עילאה ותתאה, ואמר </w:t>
      </w:r>
      <w:r>
        <w:rPr>
          <w:b/>
          <w:bCs/>
          <w:rtl/>
        </w:rPr>
        <w:t>וכלא קשוט,</w:t>
      </w:r>
      <w:r>
        <w:rPr>
          <w:rtl/>
        </w:rPr>
        <w:t xml:space="preserve"> דמה שאמר למעלה דת"ת בצלם אלקים בינה כו' כנ"ל, וכאן אמר כתר, והכל אמת כל אחד בבחינתו:</w:t>
      </w:r>
    </w:p>
  </w:footnote>
  <w:footnote w:id="5054">
    <w:p w:rsidR="00A13282" w:rsidRDefault="00A13282" w:rsidP="0020255E">
      <w:pPr>
        <w:pStyle w:val="a5"/>
        <w:rPr>
          <w:rtl/>
        </w:rPr>
      </w:pPr>
      <w:r>
        <w:rPr>
          <w:rStyle w:val="a7"/>
          <w:rtl/>
        </w:rPr>
        <w:footnoteRef/>
      </w:r>
      <w:r>
        <w:rPr>
          <w:rtl/>
        </w:rPr>
        <w:t xml:space="preserve"> </w:t>
      </w:r>
      <w:r>
        <w:rPr>
          <w:b/>
          <w:bCs/>
          <w:rtl/>
        </w:rPr>
        <w:t>ידע ודאי</w:t>
      </w:r>
      <w:r>
        <w:rPr>
          <w:rtl/>
        </w:rPr>
        <w:t xml:space="preserve"> רוצה לומר ידיעה ממש, שידע זוהמא דחוה אשתו שהוא בקין עד כל דרין, ועוד ידע עד היכן הוא בס"א כמו שמפרש והולך </w:t>
      </w:r>
      <w:r>
        <w:rPr>
          <w:b/>
          <w:bCs/>
          <w:rtl/>
        </w:rPr>
        <w:t>והאי ידיעה כו'</w:t>
      </w:r>
      <w:r>
        <w:rPr>
          <w:rtl/>
        </w:rPr>
        <w:t xml:space="preserve"> </w:t>
      </w:r>
      <w:r>
        <w:rPr>
          <w:b/>
          <w:bCs/>
          <w:rtl/>
        </w:rPr>
        <w:t>יצא צפע</w:t>
      </w:r>
      <w:r>
        <w:rPr>
          <w:rtl/>
        </w:rPr>
        <w:t xml:space="preserve"> שהוא צפע משרש נחש דאטיל כו' כמו שמפרש והולך:</w:t>
      </w:r>
    </w:p>
  </w:footnote>
  <w:footnote w:id="5055">
    <w:p w:rsidR="00A13282" w:rsidRDefault="00A13282" w:rsidP="0020255E">
      <w:pPr>
        <w:pStyle w:val="a5"/>
        <w:rPr>
          <w:rtl/>
        </w:rPr>
      </w:pPr>
      <w:r>
        <w:rPr>
          <w:rStyle w:val="a7"/>
          <w:rtl/>
        </w:rPr>
        <w:footnoteRef/>
      </w:r>
      <w:r>
        <w:rPr>
          <w:rtl/>
        </w:rPr>
        <w:t xml:space="preserve"> </w:t>
      </w:r>
      <w:r>
        <w:rPr>
          <w:b/>
          <w:bCs/>
          <w:rtl/>
        </w:rPr>
        <w:t>והאי זוהמא דאתנטיל כו'.</w:t>
      </w:r>
      <w:r>
        <w:rPr>
          <w:rtl/>
        </w:rPr>
        <w:t xml:space="preserve"> רוצה לומר, מהנחש בקין הוא הלילית דאיהי מות כמו שמפרש והולך. ואמר </w:t>
      </w:r>
      <w:r>
        <w:rPr>
          <w:b/>
          <w:bCs/>
          <w:rtl/>
        </w:rPr>
        <w:t>ואיהי איבא</w:t>
      </w:r>
      <w:r>
        <w:rPr>
          <w:rtl/>
        </w:rPr>
        <w:t xml:space="preserve">. דאיבא הוא נוק' ואילנא דכורא. ואמר </w:t>
      </w:r>
      <w:r>
        <w:rPr>
          <w:b/>
          <w:bCs/>
          <w:rtl/>
        </w:rPr>
        <w:t>גם לרבות כו'.</w:t>
      </w:r>
      <w:r>
        <w:rPr>
          <w:rtl/>
        </w:rPr>
        <w:t xml:space="preserve"> שהוא דכורא, ולכן חוה שהיא נוק' אכלה מפרי דהוא נוק', ותתן גם, את הגם, לאישה שהוא דכורא, וזה שאומר </w:t>
      </w:r>
      <w:r>
        <w:rPr>
          <w:b/>
          <w:bCs/>
          <w:rtl/>
        </w:rPr>
        <w:t>בגינה אתמר כו'.</w:t>
      </w:r>
      <w:r>
        <w:rPr>
          <w:rtl/>
        </w:rPr>
        <w:t xml:space="preserve"> רוצה לומר בשביל נוק' דס"א הנ"ל, ובשביל דכורא דס"א ותקח כו' ותתן כו', ואמר כל זה בשביל שבאשתו היא הנוק' דאיהי מות, ויצא צפע דקטיל, ולכן נאמר ידע את חוה אשתו:</w:t>
      </w:r>
    </w:p>
  </w:footnote>
  <w:footnote w:id="5056">
    <w:p w:rsidR="00A13282" w:rsidRDefault="00A13282" w:rsidP="0020255E">
      <w:pPr>
        <w:pStyle w:val="a5"/>
        <w:rPr>
          <w:rtl/>
        </w:rPr>
      </w:pPr>
      <w:r>
        <w:rPr>
          <w:rStyle w:val="a7"/>
          <w:rtl/>
        </w:rPr>
        <w:footnoteRef/>
      </w:r>
      <w:r>
        <w:rPr>
          <w:rtl/>
        </w:rPr>
        <w:t xml:space="preserve"> </w:t>
      </w:r>
      <w:r>
        <w:rPr>
          <w:b/>
          <w:bCs/>
          <w:rtl/>
        </w:rPr>
        <w:t>ולבתר חזא לי' כו'.</w:t>
      </w:r>
      <w:r>
        <w:rPr>
          <w:rtl/>
        </w:rPr>
        <w:t xml:space="preserve"> רוצה לומר כמו שמפרש והולך דלכן ותאמר קניתי כו', ובגין האי חרטה נפיק מיניה יתרו דגם כן אתחרט ואהדר בתשובה וכמו שמפרש והולך הכא רמיז כו':</w:t>
      </w:r>
    </w:p>
  </w:footnote>
  <w:footnote w:id="5057">
    <w:p w:rsidR="00A13282" w:rsidRDefault="00A13282" w:rsidP="0020255E">
      <w:pPr>
        <w:pStyle w:val="a5"/>
        <w:rPr>
          <w:rtl/>
        </w:rPr>
      </w:pPr>
      <w:r>
        <w:rPr>
          <w:rStyle w:val="a7"/>
          <w:rtl/>
        </w:rPr>
        <w:footnoteRef/>
      </w:r>
      <w:r>
        <w:rPr>
          <w:rtl/>
        </w:rPr>
        <w:t xml:space="preserve"> ומפרש והולך הפרשה ואמר </w:t>
      </w:r>
      <w:r>
        <w:rPr>
          <w:b/>
          <w:bCs/>
          <w:rtl/>
        </w:rPr>
        <w:t>ותוסף כו'</w:t>
      </w:r>
      <w:r>
        <w:rPr>
          <w:rtl/>
        </w:rPr>
        <w:t xml:space="preserve"> </w:t>
      </w:r>
      <w:r>
        <w:rPr>
          <w:b/>
          <w:bCs/>
          <w:rtl/>
        </w:rPr>
        <w:t>ההוא זוהמא דנפיק מינה.</w:t>
      </w:r>
      <w:r>
        <w:rPr>
          <w:rtl/>
        </w:rPr>
        <w:t xml:space="preserve"> רוצה לומר דנאמר ותוסף שהיא אוסיפת למילד, על מה שאמר קניתי שהוא מסטרא דטוב, ונאמר בה ותוסף ולא נאמר ביה תוספת, וידע עוד את אשתו, בגין דכאן ולא יסף עוד לדעתה, דאין בה זוהמא כלל בלידתו, שכולה טוב בגין דנפיק מינה ההיא זוהמא בלידת קין וזה שאומר </w:t>
      </w:r>
      <w:r>
        <w:rPr>
          <w:b/>
          <w:bCs/>
          <w:rtl/>
        </w:rPr>
        <w:t>כיון דחמא כו':</w:t>
      </w:r>
    </w:p>
  </w:footnote>
  <w:footnote w:id="5058">
    <w:p w:rsidR="00A13282" w:rsidRDefault="00A13282" w:rsidP="0020255E">
      <w:pPr>
        <w:pStyle w:val="a5"/>
        <w:rPr>
          <w:rtl/>
        </w:rPr>
      </w:pPr>
      <w:r>
        <w:rPr>
          <w:rStyle w:val="a7"/>
          <w:rtl/>
        </w:rPr>
        <w:footnoteRef/>
      </w:r>
      <w:r>
        <w:rPr>
          <w:rtl/>
        </w:rPr>
        <w:t xml:space="preserve"> </w:t>
      </w:r>
      <w:r>
        <w:rPr>
          <w:b/>
          <w:bCs/>
          <w:rtl/>
        </w:rPr>
        <w:t>זוהמא דילה.</w:t>
      </w:r>
      <w:r>
        <w:rPr>
          <w:rtl/>
        </w:rPr>
        <w:t xml:space="preserve"> רוצה לומר דבימי משה בסיני כמו שאמרו (שבת קמו ע"א) כיון שבא נחש על חוה כו' ישראל שעמדו בסיני כו'.</w:t>
      </w:r>
    </w:p>
  </w:footnote>
  <w:footnote w:id="5059">
    <w:p w:rsidR="00A13282" w:rsidRDefault="00A13282" w:rsidP="0020255E">
      <w:pPr>
        <w:pStyle w:val="a5"/>
        <w:rPr>
          <w:rtl/>
        </w:rPr>
      </w:pPr>
      <w:r>
        <w:rPr>
          <w:rStyle w:val="a7"/>
          <w:rtl/>
        </w:rPr>
        <w:footnoteRef/>
      </w:r>
      <w:r>
        <w:rPr>
          <w:rtl/>
        </w:rPr>
        <w:t xml:space="preserve"> </w:t>
      </w:r>
      <w:r>
        <w:rPr>
          <w:b/>
          <w:bCs/>
          <w:rtl/>
        </w:rPr>
        <w:t>בשגם זה הבל והא כו'.</w:t>
      </w:r>
      <w:r>
        <w:rPr>
          <w:rtl/>
        </w:rPr>
        <w:t xml:space="preserve"> וכנ"ל דהוא עתיד לאתדכאה זוהמא דילה, וכן לעתיד לבוא שערב רב יתמחון מעלמא, (בראשית מט י) כי יבוא שילה, (צפניה ג ט) אהפוך אל עמים שפה ברורה כו':</w:t>
      </w:r>
    </w:p>
  </w:footnote>
  <w:footnote w:id="5060">
    <w:p w:rsidR="00A13282" w:rsidRDefault="00A13282" w:rsidP="0020255E">
      <w:pPr>
        <w:pStyle w:val="a5"/>
        <w:rPr>
          <w:rtl/>
        </w:rPr>
      </w:pPr>
      <w:r>
        <w:rPr>
          <w:rStyle w:val="a7"/>
          <w:rtl/>
        </w:rPr>
        <w:footnoteRef/>
      </w:r>
      <w:r>
        <w:rPr>
          <w:rtl/>
        </w:rPr>
        <w:t xml:space="preserve"> </w:t>
      </w:r>
      <w:r>
        <w:rPr>
          <w:b/>
          <w:bCs/>
          <w:rtl/>
        </w:rPr>
        <w:t>בשגם זה משה.</w:t>
      </w:r>
      <w:r>
        <w:rPr>
          <w:rtl/>
        </w:rPr>
        <w:t xml:space="preserve"> חשבן משה:</w:t>
      </w:r>
    </w:p>
  </w:footnote>
  <w:footnote w:id="5061">
    <w:p w:rsidR="00A13282" w:rsidRDefault="00A13282" w:rsidP="0020255E">
      <w:pPr>
        <w:pStyle w:val="a5"/>
        <w:rPr>
          <w:rtl/>
        </w:rPr>
      </w:pPr>
      <w:r>
        <w:rPr>
          <w:rStyle w:val="a7"/>
          <w:rtl/>
        </w:rPr>
        <w:footnoteRef/>
      </w:r>
      <w:r>
        <w:rPr>
          <w:rtl/>
        </w:rPr>
        <w:t xml:space="preserve"> </w:t>
      </w:r>
      <w:r>
        <w:rPr>
          <w:b/>
          <w:bCs/>
          <w:rtl/>
        </w:rPr>
        <w:t>משה איהו שת ואיהו שם ואיהו הבל.</w:t>
      </w:r>
      <w:r>
        <w:rPr>
          <w:rtl/>
        </w:rPr>
        <w:t xml:space="preserve"> (רוצה לומר דמשה ראשי תיבות משה שת הבל והן ג' גלגולין):</w:t>
      </w:r>
    </w:p>
  </w:footnote>
  <w:footnote w:id="5062">
    <w:p w:rsidR="00A13282" w:rsidRDefault="00A13282" w:rsidP="0020255E">
      <w:pPr>
        <w:pStyle w:val="a5"/>
        <w:rPr>
          <w:rtl/>
        </w:rPr>
      </w:pPr>
      <w:r>
        <w:rPr>
          <w:rStyle w:val="a7"/>
          <w:rtl/>
        </w:rPr>
        <w:footnoteRef/>
      </w:r>
      <w:r>
        <w:rPr>
          <w:rtl/>
        </w:rPr>
        <w:t xml:space="preserve"> כצ"ל </w:t>
      </w:r>
      <w:r>
        <w:rPr>
          <w:b/>
          <w:bCs/>
          <w:rtl/>
        </w:rPr>
        <w:t>בשגם זה משה ואיהו שת ואיהו שם ואיהו הבל הבל דאורייתא כו' ה' דמשה שם דאתמר ביה השם בקרבו את רוח קדשו ולאו למגנא כו' באורייתא שת דאתמר ביה כי מן המים משיתיהו ושת הוא סיומא כו' תחת רגליו ודא ש' דמשה והן כל אלה כו' עם גבר ועל ארבע כו' דרכיב עלייהו מה ודא אדם דאיהו רביעאה</w:t>
      </w:r>
      <w:r>
        <w:rPr>
          <w:rtl/>
        </w:rPr>
        <w:t xml:space="preserve"> ואח"כ </w:t>
      </w:r>
      <w:r>
        <w:rPr>
          <w:b/>
          <w:bCs/>
          <w:rtl/>
        </w:rPr>
        <w:t>והן כל אלה כו'.</w:t>
      </w:r>
      <w:r>
        <w:rPr>
          <w:rtl/>
        </w:rPr>
        <w:t xml:space="preserve"> ורוצה לומר דמשה הוא הבל דאורייתא דניתנה על ידו, ומ' רוח לי' משם כמו שאומר לעיל ק"ה א' [והוא מים, כי מן המים] ולכן שם קבע כו' דהוא דרגא דמשה, ושת סיומא, ולכן נאמר כל שתה, דקאי הכל על משה שעליו נאמר וירדו בדגת הים כו', ותחת רגליו שהוא שת, סיומא דא"ב, ואלו ג' גלגולין נאמר פעמים כו' ורוצה לומר עם גבר דהוא אדם שהוא גבר וזה שאומר איה השם, דהוא אותיות משה, והשם הוא השם בצירי דהוא מה שמו, דמה הוא אדם:</w:t>
      </w:r>
    </w:p>
  </w:footnote>
  <w:footnote w:id="5063">
    <w:p w:rsidR="00A13282" w:rsidRDefault="00A13282" w:rsidP="0020255E">
      <w:pPr>
        <w:pStyle w:val="a5"/>
        <w:rPr>
          <w:rtl/>
        </w:rPr>
      </w:pPr>
      <w:r>
        <w:rPr>
          <w:rStyle w:val="a7"/>
          <w:rtl/>
        </w:rPr>
        <w:footnoteRef/>
      </w:r>
      <w:r>
        <w:rPr>
          <w:rtl/>
        </w:rPr>
        <w:t xml:space="preserve"> </w:t>
      </w:r>
      <w:r>
        <w:rPr>
          <w:b/>
          <w:bCs/>
          <w:rtl/>
        </w:rPr>
        <w:t>בההוא זמנא כו'.</w:t>
      </w:r>
      <w:r>
        <w:rPr>
          <w:rtl/>
        </w:rPr>
        <w:t xml:space="preserve"> דאדם ובן נח בגוויה, ואמר </w:t>
      </w:r>
      <w:r>
        <w:rPr>
          <w:b/>
          <w:bCs/>
          <w:rtl/>
        </w:rPr>
        <w:t>ודא איהו רזא כו'.</w:t>
      </w:r>
      <w:r>
        <w:rPr>
          <w:rtl/>
        </w:rPr>
        <w:t xml:space="preserve"> ב' פעמים מ"ה דהוא שמו ושם בנו. ואמר </w:t>
      </w:r>
      <w:r>
        <w:rPr>
          <w:b/>
          <w:bCs/>
          <w:rtl/>
        </w:rPr>
        <w:t>ש' תלת חיוון</w:t>
      </w:r>
      <w:r>
        <w:rPr>
          <w:rtl/>
        </w:rPr>
        <w:t xml:space="preserve"> שהן ג' גלגולים הנ"ל, ומ"ה הוא אדם, שעל גלגולא דאדם לא אשיבנו כמו שאומר לעיל תיקון ל”ב וכאן משום דכבר נח ביה אדם כנ"ל:</w:t>
      </w:r>
    </w:p>
  </w:footnote>
  <w:footnote w:id="5064">
    <w:p w:rsidR="00A13282" w:rsidRDefault="00A13282" w:rsidP="0020255E">
      <w:pPr>
        <w:pStyle w:val="a5"/>
        <w:rPr>
          <w:rtl/>
        </w:rPr>
      </w:pPr>
      <w:r>
        <w:rPr>
          <w:rStyle w:val="a7"/>
          <w:rtl/>
        </w:rPr>
        <w:footnoteRef/>
      </w:r>
      <w:r>
        <w:rPr>
          <w:rtl/>
        </w:rPr>
        <w:t xml:space="preserve"> </w:t>
      </w:r>
      <w:r>
        <w:rPr>
          <w:b/>
          <w:bCs/>
          <w:rtl/>
        </w:rPr>
        <w:t>ת"ח קין כו'.</w:t>
      </w:r>
      <w:r>
        <w:rPr>
          <w:rtl/>
        </w:rPr>
        <w:t xml:space="preserve"> אע"ג דתרין בתי לבא אית בהבל כמו שמפרש והולך, וקין גופא לתרווייהו כמו שמפרש והולך (הגהה: קן לתרווייהו כו', ורוצה לומר דב' ההי"ן בב' בתי לבא, בעץ הדעת טוב ורע, (קהלת י ב) לב חכם כו', ואינון מפורשים, אבל קין - קן י', שני ההי"ן מעץ הדעת, ולכן ממנו לא תאכל, והוא הלב עצמו שהוא קליפה לב' החללים שהן הבתים, ורוצה לומר לא תאכל - שלא לשמוע לעצת הלב כמו שכתוב (במדבר טו לט) ולא תתורו אחרי לבבכם, לפי שהוא פונה לכאן ולכאן, עץ הדעת טוב ורע, אלא ילך בעצת התורה וכמו שכתוב (דברים יא טז) פן יפתה לבבכם, עד לעתיד לבוא אז (יחזקאל יא יט) לב בשר כו', שאז יתעבר כו' כמו שאומר למטה, והענין כי כאן הוי"ה בהיפוך כמו שאומר לעיל ריש תיקון כ"ב וב' ההי"ן בב' הבלים בב' בתי לבא, וא"ו - רוחא דנשיב בהם, יו"ד - לבא קין, ו' הוא אדם הראשון, וב' אותיות אחרונות הן שנאמר (בראשית ב יז) ומעץ הדעת כו', ובהון (שמות יז טז) כי יד על כו', ויהיה השם כסדר) ולכן ב' הבל וקול ודבור כולל כל שם הוי"ה, דב' אותיות הראשונים הן כחדא כידוע, והן כאן ב' הבלים (אבל הנכון שהוא טעות סופר וכן צריך להיות </w:t>
      </w:r>
      <w:r>
        <w:rPr>
          <w:b/>
          <w:bCs/>
          <w:rtl/>
        </w:rPr>
        <w:t>ת"ח אית הבל ואית הבל אית הבל דא יצה"ר ואית הבל יצ"ט כו' רוח הקודש הבל דאיהו רוח הטומאה גרע ולא כו' לההוא דלעילא כו' מניה דאגוזא הבל הבל טב והבל ביש מיתה וחיים אור וחושך והבל מסט' דימינא כו'</w:t>
      </w:r>
      <w:r>
        <w:rPr>
          <w:rtl/>
        </w:rPr>
        <w:t xml:space="preserve">) מכל מקום גם ההיא דשמאלא לאו ביש הוא, אלא מסטרא דקין - גופא, וקליפה דלבא, דפתי לה כמו שאומר לעיל מ"ג למאן פתי מינייהו כו' וכמו שמפרש והולך </w:t>
      </w:r>
      <w:r>
        <w:rPr>
          <w:b/>
          <w:bCs/>
          <w:rtl/>
        </w:rPr>
        <w:t>ודאי קן איהו לבא דאיהו קליפה דאגוזא</w:t>
      </w:r>
      <w:r>
        <w:rPr>
          <w:rtl/>
        </w:rPr>
        <w:t xml:space="preserve"> </w:t>
      </w:r>
      <w:r>
        <w:rPr>
          <w:b/>
          <w:bCs/>
          <w:rtl/>
        </w:rPr>
        <w:t>לההוא דלעילא כו'.</w:t>
      </w:r>
      <w:r>
        <w:rPr>
          <w:rtl/>
        </w:rPr>
        <w:t xml:space="preserve"> רוצה לומר, להבל דהוא איבא דאילנא דחיי, אבל בשביל שהוא מלובש בקליפה, הוא עץ הדעת וכמו שמפרש והולך עד דאתעבר ההוא קליפה מיניה דאגוזא איבא אתקרי מיתה וחיי כו', אבל הבל בעצמו ותוסף כו' איהו תוספת רוח הקודש, והוא כד יתעבר ההוא יצר הרע, קין, ויתמחון הערב רב מן עלמא, נאמר (יואל ג א) והיה בימים ההם אשפוך את רוחי על כל בשר כו', (חבקוק ב יד) כי תמלא הארץ דעה כו':</w:t>
      </w:r>
    </w:p>
  </w:footnote>
  <w:footnote w:id="5065">
    <w:p w:rsidR="00A13282" w:rsidRDefault="00A13282" w:rsidP="0020255E">
      <w:pPr>
        <w:pStyle w:val="a5"/>
        <w:rPr>
          <w:rtl/>
        </w:rPr>
      </w:pPr>
      <w:r>
        <w:rPr>
          <w:rStyle w:val="a7"/>
          <w:rtl/>
        </w:rPr>
        <w:footnoteRef/>
      </w:r>
      <w:r>
        <w:rPr>
          <w:rtl/>
        </w:rPr>
        <w:t xml:space="preserve"> </w:t>
      </w:r>
      <w:r>
        <w:rPr>
          <w:b/>
          <w:bCs/>
          <w:rtl/>
        </w:rPr>
        <w:t>ז' הבלים.</w:t>
      </w:r>
      <w:r>
        <w:rPr>
          <w:rtl/>
        </w:rPr>
        <w:t xml:space="preserve"> עיין לעיל ק"ו ב', ק"ז א':</w:t>
      </w:r>
    </w:p>
  </w:footnote>
  <w:footnote w:id="5066">
    <w:p w:rsidR="00A13282" w:rsidRDefault="00A13282" w:rsidP="0020255E">
      <w:pPr>
        <w:pStyle w:val="a5"/>
        <w:rPr>
          <w:rtl/>
        </w:rPr>
      </w:pPr>
      <w:r>
        <w:rPr>
          <w:rStyle w:val="a7"/>
          <w:rtl/>
        </w:rPr>
        <w:footnoteRef/>
      </w:r>
      <w:r>
        <w:rPr>
          <w:rtl/>
        </w:rPr>
        <w:t xml:space="preserve"> </w:t>
      </w:r>
      <w:r>
        <w:rPr>
          <w:b/>
          <w:bCs/>
          <w:rtl/>
        </w:rPr>
        <w:t>ובג"ד יש הבל ויש הבל הבל ה' לב כו'.</w:t>
      </w:r>
      <w:r>
        <w:rPr>
          <w:rtl/>
        </w:rPr>
        <w:t xml:space="preserve"> רוצה לומר זה שכתוב (קהלת ח יד) יש הבל אשר נעשה כו' אשר יש צדיקים כו' ויש רשעים כו' שגם זה הבל, והן ב' הבלים הנ"ל ואמר הבל - ה' ל"ב, וה' נחלק לשתים, ד"ו פרצופים, שהוא בכורסייא שהוא הלב, ד' חיוון שהן ד' רגלין, ושית דרגין, והכל הוא ה"א:</w:t>
      </w:r>
    </w:p>
  </w:footnote>
  <w:footnote w:id="5067">
    <w:p w:rsidR="00A13282" w:rsidRDefault="00A13282" w:rsidP="0020255E">
      <w:pPr>
        <w:pStyle w:val="a5"/>
        <w:rPr>
          <w:rtl/>
        </w:rPr>
      </w:pPr>
      <w:r>
        <w:rPr>
          <w:rStyle w:val="a7"/>
          <w:rtl/>
        </w:rPr>
        <w:footnoteRef/>
      </w:r>
      <w:r>
        <w:rPr>
          <w:rtl/>
        </w:rPr>
        <w:t xml:space="preserve"> </w:t>
      </w:r>
      <w:r>
        <w:rPr>
          <w:b/>
          <w:bCs/>
          <w:rtl/>
        </w:rPr>
        <w:t>ועלייהו שרין כו'</w:t>
      </w:r>
      <w:r>
        <w:rPr>
          <w:rtl/>
        </w:rPr>
        <w:t xml:space="preserve"> שהוא הדיבור, ואמר להורות שהאיך נכלל הדיבור שהוא יו"ד בהבל שהוא ה' לפי שה"א נחלק גם כן על יו"ד ואח"כ אמר על הקול שהוא וא"ו דגם כן נכלל בה"א ויו"ד ואמר דהוא פורח באויר, ואויר הוא אור י', אור הוא ה', ה' אור, ויו"ד, והוא בן י"ה שנכלל בי"ק:</w:t>
      </w:r>
    </w:p>
  </w:footnote>
  <w:footnote w:id="5068">
    <w:p w:rsidR="00A13282" w:rsidRDefault="00A13282" w:rsidP="0020255E">
      <w:pPr>
        <w:pStyle w:val="a5"/>
        <w:rPr>
          <w:rtl/>
        </w:rPr>
      </w:pPr>
      <w:r>
        <w:rPr>
          <w:rStyle w:val="a7"/>
          <w:rtl/>
        </w:rPr>
        <w:footnoteRef/>
      </w:r>
      <w:r>
        <w:rPr>
          <w:rtl/>
        </w:rPr>
        <w:t xml:space="preserve"> </w:t>
      </w:r>
      <w:r>
        <w:rPr>
          <w:b/>
          <w:bCs/>
          <w:rtl/>
        </w:rPr>
        <w:t>ואינון ב' הבלים כו'.</w:t>
      </w:r>
      <w:r>
        <w:rPr>
          <w:rtl/>
        </w:rPr>
        <w:t xml:space="preserve"> רוצה לומר דב' הבלים אינון ב' ההי"ן, ולכן הבל וקול ודיבור כולל כל שם הוי"ה, דב' אותיות הראשונות הן כחדא כידוע, והן כאן ב' הבלים, ועתה נשלם הוי"ה, ועיין לעיל תיקון מ”ה ואמר בה' תתאה סליק כו' דהוא קרבן עולה ויורד, וזה שאומר </w:t>
      </w:r>
      <w:r>
        <w:rPr>
          <w:b/>
          <w:bCs/>
          <w:rtl/>
        </w:rPr>
        <w:t>והנה מלאכי אלקים.</w:t>
      </w:r>
      <w:r>
        <w:rPr>
          <w:rtl/>
        </w:rPr>
        <w:t xml:space="preserve"> ועיין לעיל תיקון י”ח ומה שבארנו שם בארוכה, ורוצה לומר דלבא הוא סולם, ומלאכי כו' דסלקין ונחתין הן י"ו, דבור וקלא, וב' ההין אינון ב' הבלים, שהוא מוצב ארצה בה' תתאה, וראשו כו' בה' עלאה, מחשבה הוא הסולם דעליו סלקין ונחתין הקול והדבור, [והוא כמו סולם שמתפשט ההבל] מלבא לפומא, ובכל השם הנ"ל שהוא ההבל בקול ודבור צריך המחשבה דהוא שמא מפרש דמתפשט בתוך השם כמו שאומר תיקון מ”ב והוא שם המחשבה כמו שאומר לעיל חש"ב מ"ה,</w:t>
      </w:r>
    </w:p>
  </w:footnote>
  <w:footnote w:id="5069">
    <w:p w:rsidR="00A13282" w:rsidRDefault="00A13282" w:rsidP="0020255E">
      <w:pPr>
        <w:pStyle w:val="a5"/>
        <w:rPr>
          <w:rtl/>
        </w:rPr>
      </w:pPr>
      <w:r>
        <w:rPr>
          <w:rStyle w:val="a7"/>
          <w:rtl/>
        </w:rPr>
        <w:footnoteRef/>
      </w:r>
      <w:r>
        <w:rPr>
          <w:rtl/>
        </w:rPr>
        <w:t xml:space="preserve"> (</w:t>
      </w:r>
      <w:r>
        <w:rPr>
          <w:b/>
          <w:bCs/>
          <w:rtl/>
        </w:rPr>
        <w:t>וצריך לסלקא לון במחשבה כו'.</w:t>
      </w:r>
      <w:r>
        <w:rPr>
          <w:rtl/>
        </w:rPr>
        <w:t xml:space="preserve"> רוצה לומר דמחשבה הוא הסולם שהוא המחבר ומצרף המעשה שלהן, הבל וקול ודבור, אבל מחשבה בישא לאו מצטרף המעשה שלהן, דס"א אינון בפירודא, וכן התפלה בלא מחשבה כו', וזה שאומר והבלים כו' דלית כו', או שהוא במחשבה רק שיש גם כן מחשבה בישא פיגול כו', דיחודא צריך כולו דבוק כמו שאומר לעיל ק"א א' ובההוא זמנא כו' עיין שם, ואמר ועיקר הכל כו' שהוא פומא, מלכות, אדני, ואלו ג' שמהן חושבן קול, שם הגושפנקא, ובשם אלקים בעובדא דאיהי עובדא, וצריך בצלותא לכללן, עובדא ומלולא, ה' הוא אלקים):</w:t>
      </w:r>
    </w:p>
  </w:footnote>
  <w:footnote w:id="5070">
    <w:p w:rsidR="00A13282" w:rsidRDefault="00A13282" w:rsidP="0020255E">
      <w:pPr>
        <w:pStyle w:val="a5"/>
        <w:rPr>
          <w:rtl/>
        </w:rPr>
      </w:pPr>
      <w:r>
        <w:rPr>
          <w:rStyle w:val="a7"/>
          <w:rtl/>
        </w:rPr>
        <w:footnoteRef/>
      </w:r>
      <w:r>
        <w:rPr>
          <w:rtl/>
        </w:rPr>
        <w:t xml:space="preserve"> </w:t>
      </w:r>
      <w:r>
        <w:rPr>
          <w:b/>
          <w:bCs/>
          <w:rtl/>
        </w:rPr>
        <w:t>ועיקר דארבע כו'.</w:t>
      </w:r>
      <w:r>
        <w:rPr>
          <w:rtl/>
        </w:rPr>
        <w:t xml:space="preserve"> דהיא המשלמת לעשר וד', וכמו שאומר שם ובתיקון מ”ז פ"ו ב' כי אחד קראתיו כו' מלכות ד' עשירית כו' ואיהי ד' כו', קוצא דאת ד' מורה על עשר, וד' על ארבע:</w:t>
      </w:r>
    </w:p>
  </w:footnote>
  <w:footnote w:id="5071">
    <w:p w:rsidR="00A13282" w:rsidRDefault="00A13282" w:rsidP="0020255E">
      <w:pPr>
        <w:pStyle w:val="a5"/>
        <w:rPr>
          <w:rtl/>
        </w:rPr>
      </w:pPr>
      <w:r>
        <w:rPr>
          <w:rStyle w:val="a7"/>
          <w:rtl/>
        </w:rPr>
        <w:footnoteRef/>
      </w:r>
      <w:r>
        <w:rPr>
          <w:rtl/>
        </w:rPr>
        <w:t xml:space="preserve"> </w:t>
      </w:r>
      <w:r>
        <w:rPr>
          <w:b/>
          <w:bCs/>
          <w:rtl/>
        </w:rPr>
        <w:t>וכל מאן כו' כופר בעיקר.</w:t>
      </w:r>
      <w:r>
        <w:rPr>
          <w:rtl/>
        </w:rPr>
        <w:t xml:space="preserve"> כנ"ל ועיקר דארבעה אתוון ועשר כו', והיא שרשא דאילנא כמו שאומר לקמן ק"ט ב' ה' תתאה שרשא דאילנא כו' שרשוהי כו', וזהו מקצץ בנטיעות וכמו שאומר שם גודו אילנא וקציצו ענפיה ובדרו אנביה, דגרם אדם כמו שבארנו שם, וזהו קציצה - משרשוי, דכל היחודא הוא ליחדא יה"ו בה' תתאה, ובהון שמא מפרש דתהוי רשות היחיד, גבהו עשרה ורחבו ארבעה כנ"ל דהוא רשות היחיד, יחודא דכולא כנ"ל:</w:t>
      </w:r>
    </w:p>
  </w:footnote>
  <w:footnote w:id="5072">
    <w:p w:rsidR="00A13282" w:rsidRDefault="00A13282" w:rsidP="0020255E">
      <w:pPr>
        <w:pStyle w:val="a5"/>
        <w:rPr>
          <w:rtl/>
        </w:rPr>
      </w:pPr>
      <w:r>
        <w:rPr>
          <w:rStyle w:val="a7"/>
          <w:rtl/>
        </w:rPr>
        <w:footnoteRef/>
      </w:r>
      <w:r>
        <w:rPr>
          <w:rtl/>
        </w:rPr>
        <w:t xml:space="preserve"> </w:t>
      </w:r>
      <w:r>
        <w:rPr>
          <w:b/>
          <w:bCs/>
          <w:rtl/>
        </w:rPr>
        <w:t>וכלהו סלקין לגבי מוחא.</w:t>
      </w:r>
      <w:r>
        <w:rPr>
          <w:rtl/>
        </w:rPr>
        <w:t xml:space="preserve"> דהוא מחשבה ולכן נבנים בהן רקיעין וארצות, מוחא ולבא, זכור ושמור כמו שאומר לעיל בתיקון כ”ד, וכנגדן בס"א וכמו שכתוב (ישעיהו נא ו) כי שמים כעשן נמלחו והארץ כו', (ישעיהו ה יח) הוי מושכי כו', שהוא הבל שאין בו ממש, ונעשה מהבלים - חבלים של שוא, דנסתם ה"א כמו שאומר ברעיא מהימנא אצל מצה וחמץ, ואמר </w:t>
      </w:r>
      <w:r>
        <w:rPr>
          <w:b/>
          <w:bCs/>
          <w:rtl/>
        </w:rPr>
        <w:t>אית חמה כו'.</w:t>
      </w:r>
      <w:r>
        <w:rPr>
          <w:rtl/>
        </w:rPr>
        <w:t xml:space="preserve"> רוצה לומר שלכן נאמר וחפרה הלבנה כו', דקאי עלייהו, וכמו שאומר לעיל בתיקון ח’, והן ז' הבלים דלבא, וי"ב מנהיגים ללבא, כמו שאומר בספר יצירה, והן כלהון סלקין למוחא דהוא רקיע כנ"ל, וזה שאומר אית חמה כו' מזליא כו', ז' כוכבים וי"ב מזלות, וכן בסטרא דקדושה, והן, קול הוא בשבע, ז' קולות שאמר דוד, ודבור הוא בי"ב, עשר דברות בב' הבלים הוא י"ב, וכמו שאומר לעיל ס"ב ב' שבע הבלים דנפקין מפומך כו' ומיניה סלקין קול כו' ביה סלקא לשבע, ואמר שם ה' ה' - ב' דבורין ובהון עשר הא תריסר כו' עיין מה שכתבתי שם ובהן סוד שם מ"ב דהוא ברזא דשבעה, ושם ע"ב ברזא דשנים עשר כמו שכתבתי שם, והרקיעין עצמן הן סוד אמ"ש, שרשא דז' הבלים כמו שאומר לקמן ק"ז א' והן כ"ב אתוון דקביעין בהבל דפומא:</w:t>
      </w:r>
    </w:p>
  </w:footnote>
  <w:footnote w:id="5073">
    <w:p w:rsidR="00A13282" w:rsidRDefault="00A13282" w:rsidP="0020255E">
      <w:pPr>
        <w:pStyle w:val="a5"/>
        <w:rPr>
          <w:rtl/>
        </w:rPr>
      </w:pPr>
      <w:r>
        <w:rPr>
          <w:rStyle w:val="a7"/>
          <w:rtl/>
        </w:rPr>
        <w:footnoteRef/>
      </w:r>
      <w:r>
        <w:rPr>
          <w:rtl/>
        </w:rPr>
        <w:t xml:space="preserve"> </w:t>
      </w:r>
      <w:r>
        <w:rPr>
          <w:b/>
          <w:bCs/>
          <w:rtl/>
        </w:rPr>
        <w:t>ואלין מלולין בניין כמה בנינין.</w:t>
      </w:r>
      <w:r>
        <w:rPr>
          <w:rtl/>
        </w:rPr>
        <w:t xml:space="preserve"> כאן מסיים המאמר:</w:t>
      </w:r>
    </w:p>
  </w:footnote>
  <w:footnote w:id="5074">
    <w:p w:rsidR="00A13282" w:rsidRDefault="00A13282" w:rsidP="0020255E">
      <w:pPr>
        <w:pStyle w:val="a5"/>
        <w:rPr>
          <w:rtl/>
        </w:rPr>
      </w:pPr>
      <w:r>
        <w:rPr>
          <w:rStyle w:val="a7"/>
          <w:rtl/>
        </w:rPr>
        <w:footnoteRef/>
      </w:r>
      <w:r>
        <w:rPr>
          <w:rtl/>
        </w:rPr>
        <w:t xml:space="preserve"> </w:t>
      </w:r>
      <w:r>
        <w:rPr>
          <w:b/>
          <w:bCs/>
          <w:rtl/>
        </w:rPr>
        <w:t>יכול למעבד נקי.</w:t>
      </w:r>
      <w:r>
        <w:rPr>
          <w:rtl/>
        </w:rPr>
        <w:t xml:space="preserve"> רוצה לומר, אותיות קין, ואין אומרים נקי אלא שנעשה ממלוכלך נקי:</w:t>
      </w:r>
    </w:p>
  </w:footnote>
  <w:footnote w:id="5075">
    <w:p w:rsidR="00A13282" w:rsidRDefault="00A13282" w:rsidP="0020255E">
      <w:pPr>
        <w:pStyle w:val="a5"/>
        <w:rPr>
          <w:rtl/>
        </w:rPr>
      </w:pPr>
      <w:r>
        <w:rPr>
          <w:rStyle w:val="a7"/>
          <w:rtl/>
        </w:rPr>
        <w:footnoteRef/>
      </w:r>
      <w:r>
        <w:rPr>
          <w:rtl/>
        </w:rPr>
        <w:t xml:space="preserve"> </w:t>
      </w:r>
      <w:r>
        <w:rPr>
          <w:b/>
          <w:bCs/>
          <w:rtl/>
        </w:rPr>
        <w:t>ורזא דמלה כו'.</w:t>
      </w:r>
      <w:r>
        <w:rPr>
          <w:rtl/>
        </w:rPr>
        <w:t xml:space="preserve"> חוזר לענין הראשון להבל. ואמר </w:t>
      </w:r>
      <w:r>
        <w:rPr>
          <w:b/>
          <w:bCs/>
          <w:rtl/>
        </w:rPr>
        <w:t>יש צדיקים כו'.</w:t>
      </w:r>
      <w:r>
        <w:rPr>
          <w:rtl/>
        </w:rPr>
        <w:t xml:space="preserve"> ששם ב' הבלים, יש כו' ויש כו' וכנ"ל:</w:t>
      </w:r>
    </w:p>
  </w:footnote>
  <w:footnote w:id="5076">
    <w:p w:rsidR="00A13282" w:rsidRDefault="00A13282" w:rsidP="0020255E">
      <w:pPr>
        <w:pStyle w:val="a5"/>
        <w:rPr>
          <w:rtl/>
        </w:rPr>
      </w:pPr>
      <w:r>
        <w:rPr>
          <w:rStyle w:val="a7"/>
          <w:rtl/>
        </w:rPr>
        <w:footnoteRef/>
      </w:r>
      <w:r>
        <w:rPr>
          <w:rtl/>
        </w:rPr>
        <w:t xml:space="preserve"> </w:t>
      </w:r>
      <w:r>
        <w:rPr>
          <w:b/>
          <w:bCs/>
          <w:rtl/>
        </w:rPr>
        <w:t>ה' כורסיא ו' כו'.</w:t>
      </w:r>
      <w:r>
        <w:rPr>
          <w:rtl/>
        </w:rPr>
        <w:t xml:space="preserve"> כנ"ל דה' מתחלק לד"ו פרצופים, י':</w:t>
      </w:r>
    </w:p>
  </w:footnote>
  <w:footnote w:id="5077">
    <w:p w:rsidR="00A13282" w:rsidRDefault="00A13282" w:rsidP="0020255E">
      <w:pPr>
        <w:pStyle w:val="a5"/>
        <w:rPr>
          <w:rtl/>
        </w:rPr>
      </w:pPr>
      <w:r>
        <w:rPr>
          <w:rStyle w:val="a7"/>
          <w:rtl/>
        </w:rPr>
        <w:footnoteRef/>
      </w:r>
      <w:r>
        <w:rPr>
          <w:rtl/>
        </w:rPr>
        <w:t xml:space="preserve"> </w:t>
      </w:r>
      <w:r>
        <w:rPr>
          <w:b/>
          <w:bCs/>
          <w:rtl/>
        </w:rPr>
        <w:t>ומלכות דאינון כו'.</w:t>
      </w:r>
      <w:r>
        <w:rPr>
          <w:rtl/>
        </w:rPr>
        <w:t xml:space="preserve"> רוצה לומר דשבעה הבלים הן, ו' דסליק ששה, וה', מלכות השביעית, וכמו שאומר לקמן קט"ו א' שית כו' בשית עזקאן דקנה והבל דפה כו', והן קול ודבור, קול ו', ודבור ה', השביעי, וי"ה כלילין באויר, דהוא אור י', וכמו שאומר שם ב', והוא ההבל דסליק באויר, נשלם שם הוי"ה, ואמר </w:t>
      </w:r>
      <w:r>
        <w:rPr>
          <w:b/>
          <w:bCs/>
          <w:rtl/>
        </w:rPr>
        <w:t>אבל כו' באויר דהאי עלמא בקול ודבור.</w:t>
      </w:r>
      <w:r>
        <w:rPr>
          <w:rtl/>
        </w:rPr>
        <w:t xml:space="preserve"> שהוא נגד ד' הנ"ל:</w:t>
      </w:r>
    </w:p>
  </w:footnote>
  <w:footnote w:id="5078">
    <w:p w:rsidR="00A13282" w:rsidRDefault="00A13282" w:rsidP="0020255E">
      <w:pPr>
        <w:pStyle w:val="a5"/>
        <w:rPr>
          <w:rtl/>
        </w:rPr>
      </w:pPr>
      <w:r>
        <w:rPr>
          <w:rStyle w:val="a7"/>
          <w:rtl/>
        </w:rPr>
        <w:footnoteRef/>
      </w:r>
      <w:r>
        <w:rPr>
          <w:rtl/>
        </w:rPr>
        <w:t xml:space="preserve"> </w:t>
      </w:r>
      <w:r>
        <w:rPr>
          <w:b/>
          <w:bCs/>
          <w:rtl/>
        </w:rPr>
        <w:t>ות"ח מאן כו' אבל אחרנין כו'.</w:t>
      </w:r>
      <w:r>
        <w:rPr>
          <w:rtl/>
        </w:rPr>
        <w:t xml:space="preserve"> עיין בזוהר פ’ בראשית ח' א':</w:t>
      </w:r>
    </w:p>
  </w:footnote>
  <w:footnote w:id="5079">
    <w:p w:rsidR="00A13282" w:rsidRDefault="00A13282" w:rsidP="0020255E">
      <w:pPr>
        <w:pStyle w:val="a5"/>
        <w:rPr>
          <w:rtl/>
        </w:rPr>
      </w:pPr>
      <w:r>
        <w:rPr>
          <w:rStyle w:val="a7"/>
          <w:rtl/>
        </w:rPr>
        <w:footnoteRef/>
      </w:r>
      <w:r>
        <w:rPr>
          <w:rtl/>
        </w:rPr>
        <w:t xml:space="preserve"> </w:t>
      </w:r>
      <w:r>
        <w:rPr>
          <w:b/>
          <w:bCs/>
          <w:rtl/>
        </w:rPr>
        <w:t>דמחללין שם כו'.</w:t>
      </w:r>
      <w:r>
        <w:rPr>
          <w:rtl/>
        </w:rPr>
        <w:t xml:space="preserve"> דשם ה' כליל בהבל כנ"ל, ואמר דגם כן כפשטיה באומאה לשקרא כו' ובהון רבים חללים הפילה, בבניינין דשקרא כנ"ל, ברקיעין וארעין דשוא, וכמו שאומר בפ' בראשית שם אלא דשם מדבר בענין אחר, בחידושין דשקרא, אבל הכל הוא ענין אחד:</w:t>
      </w:r>
    </w:p>
  </w:footnote>
  <w:footnote w:id="5080">
    <w:p w:rsidR="00A13282" w:rsidRDefault="00A13282" w:rsidP="0020255E">
      <w:pPr>
        <w:pStyle w:val="a5"/>
        <w:rPr>
          <w:rtl/>
        </w:rPr>
      </w:pPr>
      <w:r>
        <w:rPr>
          <w:rStyle w:val="a7"/>
          <w:rtl/>
        </w:rPr>
        <w:footnoteRef/>
      </w:r>
      <w:r>
        <w:rPr>
          <w:rtl/>
        </w:rPr>
        <w:t xml:space="preserve"> </w:t>
      </w:r>
      <w:r>
        <w:rPr>
          <w:b/>
          <w:bCs/>
          <w:rtl/>
        </w:rPr>
        <w:t>אר"ש כו' תליין במחשבה.</w:t>
      </w:r>
      <w:r>
        <w:rPr>
          <w:rtl/>
        </w:rPr>
        <w:t xml:space="preserve"> כמו שאומר לקמן קט"ו ב' דבהון אתלבש המחשבה, וסליקו דלהון ע"י המחשבה דהיא הסולם, ולכן הכל לפי המחשבה דהוא רוח דהבל שהוא הגוף, והמחשבה רוח לגביה, והכל תלוי ברוח:</w:t>
      </w:r>
    </w:p>
  </w:footnote>
  <w:footnote w:id="5081">
    <w:p w:rsidR="00A13282" w:rsidRDefault="00A13282" w:rsidP="0020255E">
      <w:pPr>
        <w:pStyle w:val="a5"/>
        <w:rPr>
          <w:rtl/>
        </w:rPr>
      </w:pPr>
      <w:r>
        <w:rPr>
          <w:rStyle w:val="a7"/>
          <w:rtl/>
        </w:rPr>
        <w:footnoteRef/>
      </w:r>
      <w:r>
        <w:rPr>
          <w:rtl/>
        </w:rPr>
        <w:t xml:space="preserve"> </w:t>
      </w:r>
      <w:r>
        <w:rPr>
          <w:b/>
          <w:bCs/>
          <w:rtl/>
        </w:rPr>
        <w:t>צרפה למעשה.</w:t>
      </w:r>
      <w:r>
        <w:rPr>
          <w:rtl/>
        </w:rPr>
        <w:t xml:space="preserve"> דהוא הגופא דקרבנא אבל בקין דמחשבה כו', ונשאר גוף בלא רוח ולכן לא קבלו וזה שאומר </w:t>
      </w:r>
      <w:r>
        <w:rPr>
          <w:b/>
          <w:bCs/>
          <w:rtl/>
        </w:rPr>
        <w:t>ומחשבה כו' ודא כו' אם תיטיב עובדך.</w:t>
      </w:r>
      <w:r>
        <w:rPr>
          <w:rtl/>
        </w:rPr>
        <w:t xml:space="preserve"> במחשבה טובה שבזה תיטיב עובדך:</w:t>
      </w:r>
    </w:p>
  </w:footnote>
  <w:footnote w:id="5082">
    <w:p w:rsidR="00A13282" w:rsidRDefault="00A13282" w:rsidP="0020255E">
      <w:pPr>
        <w:pStyle w:val="a5"/>
        <w:rPr>
          <w:rtl/>
        </w:rPr>
      </w:pPr>
      <w:r>
        <w:rPr>
          <w:rStyle w:val="a7"/>
          <w:rtl/>
        </w:rPr>
        <w:footnoteRef/>
      </w:r>
      <w:r>
        <w:rPr>
          <w:rtl/>
        </w:rPr>
        <w:t xml:space="preserve"> </w:t>
      </w:r>
      <w:r>
        <w:rPr>
          <w:b/>
          <w:bCs/>
          <w:rtl/>
        </w:rPr>
        <w:t>מטולא דחובין עלי.</w:t>
      </w:r>
      <w:r>
        <w:rPr>
          <w:rtl/>
        </w:rPr>
        <w:t xml:space="preserve"> כמו שכתוב (שמות לד ז) נושא עון:</w:t>
      </w:r>
    </w:p>
  </w:footnote>
  <w:footnote w:id="5083">
    <w:p w:rsidR="00A13282" w:rsidRDefault="00A13282" w:rsidP="0020255E">
      <w:pPr>
        <w:pStyle w:val="a5"/>
        <w:rPr>
          <w:rtl/>
        </w:rPr>
      </w:pPr>
      <w:r>
        <w:rPr>
          <w:rStyle w:val="a7"/>
          <w:rtl/>
        </w:rPr>
        <w:footnoteRef/>
      </w:r>
      <w:r>
        <w:rPr>
          <w:rtl/>
        </w:rPr>
        <w:t xml:space="preserve"> </w:t>
      </w:r>
      <w:r>
        <w:rPr>
          <w:b/>
          <w:bCs/>
          <w:rtl/>
        </w:rPr>
        <w:t>לשמא דאתקרי מ"ה.</w:t>
      </w:r>
      <w:r>
        <w:rPr>
          <w:rtl/>
        </w:rPr>
        <w:t xml:space="preserve"> דקין הוא גופא, וחובא מטא לה:</w:t>
      </w:r>
    </w:p>
  </w:footnote>
  <w:footnote w:id="5084">
    <w:p w:rsidR="00A13282" w:rsidRDefault="00A13282" w:rsidP="0020255E">
      <w:pPr>
        <w:pStyle w:val="a5"/>
        <w:rPr>
          <w:rtl/>
        </w:rPr>
      </w:pPr>
      <w:r>
        <w:rPr>
          <w:rStyle w:val="a7"/>
          <w:rtl/>
        </w:rPr>
        <w:footnoteRef/>
      </w:r>
      <w:r>
        <w:rPr>
          <w:rtl/>
        </w:rPr>
        <w:t xml:space="preserve"> </w:t>
      </w:r>
      <w:r>
        <w:rPr>
          <w:b/>
          <w:bCs/>
          <w:rtl/>
        </w:rPr>
        <w:t>מה אעידך ואסהיד כו'.</w:t>
      </w:r>
      <w:r>
        <w:rPr>
          <w:rtl/>
        </w:rPr>
        <w:t xml:space="preserve"> כמו שאמרו דשכינתא מעידה, ועיין לקמן קמ"א א' הא שכינתא כו' בגין דשכינתא כו'. וכמו שאמר יהושע (יהושע כד כז) והאבן כו' תהיה לעדה כי היא שמעה כו':</w:t>
      </w:r>
    </w:p>
  </w:footnote>
  <w:footnote w:id="5085">
    <w:p w:rsidR="00A13282" w:rsidRDefault="00A13282" w:rsidP="0020255E">
      <w:pPr>
        <w:pStyle w:val="a5"/>
        <w:rPr>
          <w:rtl/>
        </w:rPr>
      </w:pPr>
      <w:r>
        <w:rPr>
          <w:rStyle w:val="a7"/>
          <w:rtl/>
        </w:rPr>
        <w:footnoteRef/>
      </w:r>
      <w:r>
        <w:rPr>
          <w:rtl/>
        </w:rPr>
        <w:t xml:space="preserve"> </w:t>
      </w:r>
      <w:r>
        <w:rPr>
          <w:b/>
          <w:bCs/>
          <w:rtl/>
        </w:rPr>
        <w:t>מה דאיהו אדם.</w:t>
      </w:r>
      <w:r>
        <w:rPr>
          <w:rtl/>
        </w:rPr>
        <w:t xml:space="preserve"> רוצה לומר דאתה נענש גם כן עליו כמו שכתוב (שמות כ ה) פוקד עון כו' וכמו שמפרש והולך, וזה שהקשה והא אתמר אם אוחזין כו':</w:t>
      </w:r>
    </w:p>
  </w:footnote>
  <w:footnote w:id="5086">
    <w:p w:rsidR="00A13282" w:rsidRDefault="00A13282" w:rsidP="0020255E">
      <w:pPr>
        <w:pStyle w:val="a5"/>
        <w:rPr>
          <w:rtl/>
        </w:rPr>
      </w:pPr>
      <w:r>
        <w:rPr>
          <w:rStyle w:val="a7"/>
          <w:rtl/>
        </w:rPr>
        <w:footnoteRef/>
      </w:r>
      <w:r>
        <w:rPr>
          <w:rtl/>
        </w:rPr>
        <w:t xml:space="preserve"> </w:t>
      </w:r>
      <w:r>
        <w:rPr>
          <w:b/>
          <w:bCs/>
          <w:rtl/>
        </w:rPr>
        <w:t>דאפיק מ"ה כו'.</w:t>
      </w:r>
      <w:r>
        <w:rPr>
          <w:rtl/>
        </w:rPr>
        <w:t xml:space="preserve"> כמו שאומר לקמן קי"ד ב' בגין דאיהו משרש כו':</w:t>
      </w:r>
    </w:p>
  </w:footnote>
  <w:footnote w:id="5087">
    <w:p w:rsidR="00A13282" w:rsidRDefault="00A13282" w:rsidP="0020255E">
      <w:pPr>
        <w:pStyle w:val="a5"/>
        <w:rPr>
          <w:rtl/>
        </w:rPr>
      </w:pPr>
      <w:r>
        <w:rPr>
          <w:rStyle w:val="a7"/>
          <w:rtl/>
        </w:rPr>
        <w:footnoteRef/>
      </w:r>
      <w:r>
        <w:rPr>
          <w:rtl/>
        </w:rPr>
        <w:t xml:space="preserve"> </w:t>
      </w:r>
      <w:r>
        <w:rPr>
          <w:b/>
          <w:bCs/>
          <w:rtl/>
        </w:rPr>
        <w:t>וגרמת מיתה להבל.</w:t>
      </w:r>
      <w:r>
        <w:rPr>
          <w:rtl/>
        </w:rPr>
        <w:t xml:space="preserve"> שקין המיתו בשבילה, והוא התאוה רעה, לילית, דפתי לאדם, ופתי לקין על התאומה וכמו שמפרש והולך ולכן חובא דיליה לשמא הנ"ל מה:</w:t>
      </w:r>
    </w:p>
  </w:footnote>
  <w:footnote w:id="5088">
    <w:p w:rsidR="00A13282" w:rsidRDefault="00A13282" w:rsidP="0020255E">
      <w:pPr>
        <w:pStyle w:val="a5"/>
        <w:rPr>
          <w:rtl/>
        </w:rPr>
      </w:pPr>
      <w:r>
        <w:rPr>
          <w:rStyle w:val="a7"/>
          <w:rtl/>
        </w:rPr>
        <w:footnoteRef/>
      </w:r>
      <w:r>
        <w:rPr>
          <w:rtl/>
        </w:rPr>
        <w:t xml:space="preserve"> </w:t>
      </w:r>
      <w:r>
        <w:rPr>
          <w:b/>
          <w:bCs/>
          <w:rtl/>
        </w:rPr>
        <w:t>אנת הוא ברי' כו'.</w:t>
      </w:r>
      <w:r>
        <w:rPr>
          <w:rtl/>
        </w:rPr>
        <w:t xml:space="preserve"> רוצה לומר לכן נאמר בו גם כן ארור כמו שמפרש והולך, ומן האדמה לאשלמא לעשרה כמו שמפרש והולך:</w:t>
      </w:r>
    </w:p>
  </w:footnote>
  <w:footnote w:id="5089">
    <w:p w:rsidR="00A13282" w:rsidRDefault="00A13282" w:rsidP="0020255E">
      <w:pPr>
        <w:pStyle w:val="a5"/>
        <w:rPr>
          <w:rtl/>
        </w:rPr>
      </w:pPr>
      <w:r>
        <w:rPr>
          <w:rStyle w:val="a7"/>
          <w:rtl/>
        </w:rPr>
        <w:footnoteRef/>
      </w:r>
      <w:r>
        <w:rPr>
          <w:rtl/>
        </w:rPr>
        <w:t xml:space="preserve"> </w:t>
      </w:r>
      <w:r>
        <w:rPr>
          <w:b/>
          <w:bCs/>
          <w:rtl/>
        </w:rPr>
        <w:t>ולא יפקון מינך כו'.</w:t>
      </w:r>
      <w:r>
        <w:rPr>
          <w:rtl/>
        </w:rPr>
        <w:t xml:space="preserve"> עיין לעיל צ"ח ב' דהוא גם כן קללה דנחש דוגמא דיליה:</w:t>
      </w:r>
    </w:p>
  </w:footnote>
  <w:footnote w:id="5090">
    <w:p w:rsidR="00A13282" w:rsidRDefault="00A13282" w:rsidP="0020255E">
      <w:pPr>
        <w:pStyle w:val="a5"/>
        <w:rPr>
          <w:rtl/>
        </w:rPr>
      </w:pPr>
      <w:r>
        <w:rPr>
          <w:rStyle w:val="a7"/>
          <w:rtl/>
        </w:rPr>
        <w:footnoteRef/>
      </w:r>
      <w:r>
        <w:rPr>
          <w:rtl/>
        </w:rPr>
        <w:t xml:space="preserve"> </w:t>
      </w:r>
      <w:r>
        <w:rPr>
          <w:b/>
          <w:bCs/>
          <w:rtl/>
        </w:rPr>
        <w:t>דתליין במזלות כו'.</w:t>
      </w:r>
      <w:r>
        <w:rPr>
          <w:rtl/>
        </w:rPr>
        <w:t xml:space="preserve"> רוצה לומר דכולן מושלין בך ובזרעך:</w:t>
      </w:r>
    </w:p>
  </w:footnote>
  <w:footnote w:id="5091">
    <w:p w:rsidR="00A13282" w:rsidRDefault="00A13282" w:rsidP="0020255E">
      <w:pPr>
        <w:pStyle w:val="a5"/>
        <w:rPr>
          <w:rtl/>
        </w:rPr>
      </w:pPr>
      <w:r>
        <w:rPr>
          <w:rStyle w:val="a7"/>
          <w:rtl/>
        </w:rPr>
        <w:footnoteRef/>
      </w:r>
      <w:r>
        <w:rPr>
          <w:rtl/>
        </w:rPr>
        <w:t xml:space="preserve"> </w:t>
      </w:r>
      <w:r>
        <w:rPr>
          <w:b/>
          <w:bCs/>
          <w:rtl/>
        </w:rPr>
        <w:t>נע ונד מקדמאי.</w:t>
      </w:r>
      <w:r>
        <w:rPr>
          <w:rtl/>
        </w:rPr>
        <w:t xml:space="preserve"> רוצה לומר בגלגול:</w:t>
      </w:r>
    </w:p>
  </w:footnote>
  <w:footnote w:id="5092">
    <w:p w:rsidR="00A13282" w:rsidRDefault="00A13282" w:rsidP="0020255E">
      <w:pPr>
        <w:pStyle w:val="a5"/>
        <w:rPr>
          <w:rtl/>
        </w:rPr>
      </w:pPr>
      <w:r>
        <w:rPr>
          <w:rStyle w:val="a7"/>
          <w:rtl/>
        </w:rPr>
        <w:footnoteRef/>
      </w:r>
      <w:r>
        <w:rPr>
          <w:rtl/>
        </w:rPr>
        <w:t xml:space="preserve"> </w:t>
      </w:r>
      <w:r>
        <w:rPr>
          <w:b/>
          <w:bCs/>
          <w:rtl/>
        </w:rPr>
        <w:t>עו"ן ד"ן.</w:t>
      </w:r>
      <w:r>
        <w:rPr>
          <w:rtl/>
        </w:rPr>
        <w:t xml:space="preserve"> רוצה לומר נ"ע ונ"ד על עון ד"ן דאשתארת בלחודוי כמו שאומר לקמן קי"ב ב':</w:t>
      </w:r>
    </w:p>
  </w:footnote>
  <w:footnote w:id="5093">
    <w:p w:rsidR="00A13282" w:rsidRDefault="00A13282" w:rsidP="0020255E">
      <w:pPr>
        <w:pStyle w:val="a5"/>
        <w:rPr>
          <w:rtl/>
        </w:rPr>
      </w:pPr>
      <w:r>
        <w:rPr>
          <w:rStyle w:val="a7"/>
          <w:rtl/>
        </w:rPr>
        <w:footnoteRef/>
      </w:r>
      <w:r>
        <w:rPr>
          <w:rtl/>
        </w:rPr>
        <w:t xml:space="preserve"> </w:t>
      </w:r>
      <w:r>
        <w:rPr>
          <w:b/>
          <w:bCs/>
          <w:rtl/>
        </w:rPr>
        <w:t>ובג"ד כד כו'.</w:t>
      </w:r>
      <w:r>
        <w:rPr>
          <w:rtl/>
        </w:rPr>
        <w:t xml:space="preserve"> דאמר דשכינתא עילאה ותתאה כו' ועיין לקמן קי"ב ד':</w:t>
      </w:r>
    </w:p>
  </w:footnote>
  <w:footnote w:id="5094">
    <w:p w:rsidR="00A13282" w:rsidRDefault="00A13282" w:rsidP="0020255E">
      <w:pPr>
        <w:pStyle w:val="a5"/>
        <w:rPr>
          <w:rtl/>
        </w:rPr>
      </w:pPr>
      <w:r>
        <w:rPr>
          <w:rStyle w:val="a7"/>
          <w:rtl/>
        </w:rPr>
        <w:footnoteRef/>
      </w:r>
      <w:r>
        <w:rPr>
          <w:rtl/>
        </w:rPr>
        <w:t xml:space="preserve"> </w:t>
      </w:r>
      <w:r>
        <w:rPr>
          <w:b/>
          <w:bCs/>
          <w:rtl/>
        </w:rPr>
        <w:t>שנפרד מקין.</w:t>
      </w:r>
      <w:r>
        <w:rPr>
          <w:rtl/>
        </w:rPr>
        <w:t xml:space="preserve"> כמו שכתוב (שופטים ד יא) וחבר הקני נפרד מקין, ורוצה לומר שנפרד מזוהמא דיליה ונעשה נקי כנ"ל א':</w:t>
      </w:r>
    </w:p>
  </w:footnote>
  <w:footnote w:id="5095">
    <w:p w:rsidR="00A13282" w:rsidRDefault="00A13282" w:rsidP="0020255E">
      <w:pPr>
        <w:pStyle w:val="a5"/>
        <w:rPr>
          <w:rtl/>
        </w:rPr>
      </w:pPr>
      <w:r>
        <w:rPr>
          <w:rStyle w:val="a7"/>
          <w:rtl/>
        </w:rPr>
        <w:footnoteRef/>
      </w:r>
      <w:r>
        <w:rPr>
          <w:rtl/>
        </w:rPr>
        <w:t xml:space="preserve"> </w:t>
      </w:r>
      <w:r>
        <w:rPr>
          <w:b/>
          <w:bCs/>
          <w:rtl/>
        </w:rPr>
        <w:t>אמר וכי כו'.</w:t>
      </w:r>
      <w:r>
        <w:rPr>
          <w:rtl/>
        </w:rPr>
        <w:t xml:space="preserve"> רוצה לומר קין אמר זה, שהראה לו הקב"ה שישבו בלשכת הגזית בשביל שנתחרט, ולכן קיבל עליה כל מה כו' כמו שמפרש והולך:</w:t>
      </w:r>
    </w:p>
  </w:footnote>
  <w:footnote w:id="5096">
    <w:p w:rsidR="00A13282" w:rsidRDefault="00A13282" w:rsidP="0020255E">
      <w:pPr>
        <w:pStyle w:val="a5"/>
        <w:rPr>
          <w:rtl/>
        </w:rPr>
      </w:pPr>
      <w:r>
        <w:rPr>
          <w:rStyle w:val="a7"/>
          <w:rtl/>
        </w:rPr>
        <w:footnoteRef/>
      </w:r>
      <w:r>
        <w:rPr>
          <w:rtl/>
        </w:rPr>
        <w:t xml:space="preserve"> </w:t>
      </w:r>
      <w:r>
        <w:rPr>
          <w:b/>
          <w:bCs/>
          <w:rtl/>
        </w:rPr>
        <w:t>שוי עלי' ו'.</w:t>
      </w:r>
      <w:r>
        <w:rPr>
          <w:rtl/>
        </w:rPr>
        <w:t xml:space="preserve"> על נד דהיא נוק', דן, ועתה נתחבר ו', דכורא, והוא ו' דברית דקביל יתרו כמו שמפרש והולך ובגין דחב כו':</w:t>
      </w:r>
    </w:p>
  </w:footnote>
  <w:footnote w:id="5097">
    <w:p w:rsidR="00A13282" w:rsidRDefault="00A13282" w:rsidP="0020255E">
      <w:pPr>
        <w:pStyle w:val="a5"/>
        <w:rPr>
          <w:rtl/>
        </w:rPr>
      </w:pPr>
      <w:r>
        <w:rPr>
          <w:rStyle w:val="a7"/>
          <w:rtl/>
        </w:rPr>
        <w:footnoteRef/>
      </w:r>
      <w:r>
        <w:rPr>
          <w:rtl/>
        </w:rPr>
        <w:t xml:space="preserve"> </w:t>
      </w:r>
      <w:r>
        <w:rPr>
          <w:b/>
          <w:bCs/>
          <w:rtl/>
        </w:rPr>
        <w:t>דבגיני' זכה לג"ע.</w:t>
      </w:r>
      <w:r>
        <w:rPr>
          <w:rtl/>
        </w:rPr>
        <w:t xml:space="preserve"> רוצה לומר יתרו ובניו, ואמר קדמת עדן, דגן הוא בקדמת עדן, והמדור דגיורין הן בהיכל ראשון מקדם:</w:t>
      </w:r>
    </w:p>
  </w:footnote>
  <w:footnote w:id="5098">
    <w:p w:rsidR="00A13282" w:rsidRDefault="00A13282" w:rsidP="0020255E">
      <w:pPr>
        <w:pStyle w:val="a5"/>
        <w:rPr>
          <w:rtl/>
        </w:rPr>
      </w:pPr>
      <w:r>
        <w:rPr>
          <w:rStyle w:val="a7"/>
          <w:rtl/>
        </w:rPr>
        <w:footnoteRef/>
      </w:r>
      <w:r>
        <w:rPr>
          <w:rtl/>
        </w:rPr>
        <w:t xml:space="preserve"> </w:t>
      </w:r>
      <w:r>
        <w:rPr>
          <w:b/>
          <w:bCs/>
          <w:rtl/>
        </w:rPr>
        <w:t>וידע כו' כל אלין תולדין כו'.</w:t>
      </w:r>
      <w:r>
        <w:rPr>
          <w:rtl/>
        </w:rPr>
        <w:t xml:space="preserve"> דעד קני הוא סטרא דטוב, ומשם סטרא דרע כמו שאומר לקמן קי"ב ב', ולכן מכאן (בראשית ד יז) ותלד את חנוך כו', וכלהו תולדין מרמזין על כל תולדין דיליה, הכל מסטרא דרע, והן ערב רב עד דיתמחון מעלמא ואמר </w:t>
      </w:r>
      <w:r>
        <w:rPr>
          <w:b/>
          <w:bCs/>
          <w:rtl/>
        </w:rPr>
        <w:t>כל אלין תולדין מנעין כו'</w:t>
      </w:r>
      <w:r>
        <w:rPr>
          <w:rtl/>
        </w:rPr>
        <w:t xml:space="preserve"> שהן תולדות יצר הרע וחינוכין בישין דיליה, שהכל הוא מונע לאדם להתרצה אל השם, ונאמר בהם תולדות כמו שאמרו תולדות של צדיקים מעשים טובים, וכן בהיפוך:</w:t>
      </w:r>
    </w:p>
  </w:footnote>
  <w:footnote w:id="5099">
    <w:p w:rsidR="00A13282" w:rsidRDefault="00A13282" w:rsidP="0020255E">
      <w:pPr>
        <w:pStyle w:val="a5"/>
        <w:rPr>
          <w:rtl/>
        </w:rPr>
      </w:pPr>
      <w:r>
        <w:rPr>
          <w:rStyle w:val="a7"/>
          <w:rtl/>
        </w:rPr>
        <w:footnoteRef/>
      </w:r>
      <w:r>
        <w:rPr>
          <w:rtl/>
        </w:rPr>
        <w:t xml:space="preserve"> </w:t>
      </w:r>
      <w:r>
        <w:rPr>
          <w:b/>
          <w:bCs/>
          <w:rtl/>
        </w:rPr>
        <w:t>ואינון חנוך כו' עדה וצלה אית חנוך לטב חנוך לנער ע"פ דרכו ואית חנוכא לביש ודא יצה"ר מחנך כו'.</w:t>
      </w:r>
      <w:r>
        <w:rPr>
          <w:rtl/>
        </w:rPr>
        <w:t xml:space="preserve"> מנה בתחלה תולדות עד למך, ונשיו בכללות, ואח"כ מפרשם בפרטות עד כצל עובר, ואח"כ מפרש תולדות למך ותלד כו', לפי שבהן האריכה התורה באומנותיהם וכמו שמפרש והולך לכן פרשן לבד בארוכה עד וידע אדם כו', ואמר אית חנוך כו' רוצה לומר בשביל שיש חנוך אחר, זרעו של שת, שהוא חנוך לנער, נער הידוע, שממנו בא היצר טוב לאדם, שיצר טוב ויצר הרע הן מט"ט וס"ם כידוע וכמו שאומר ברעיא מהימנא פ' בא ועיין בתיקוני זוהר חדש פ"ו ב' ותלד את חנוך, חנוך מסטרא דקין ודא יצר הרע, חנוכא לביש, ואית חנוך מסטרא דאנוש דאיהו יצר טוב, חנוכא לטב, ואתמר ביה ויתהלך חנוך כו', אנוש מתמן אתייחסו כל דרין כו' כל גלגולים דצדיקיא כו', ורוצה לומר כמו שאומר בפ' פנחס אנוש כחציר ימיו כו' רזא דגלגולא, ואמר שם חנוך דנפיק מאנוש איהו מט"ט כו' וכל מלאכין דממנין על נשמתן דגלגולא מתמן הוו כו', והן גלגולין דהבל שהן מסטריה, אבל חנוך דקין גלגולין מסטרא דרע, וכן במעשים, חנוך לטב וחנוך לביש, והכל לפי הרגל של אדם:</w:t>
      </w:r>
    </w:p>
  </w:footnote>
  <w:footnote w:id="5100">
    <w:p w:rsidR="00A13282" w:rsidRDefault="00A13282" w:rsidP="0020255E">
      <w:pPr>
        <w:pStyle w:val="a5"/>
        <w:rPr>
          <w:rtl/>
        </w:rPr>
      </w:pPr>
      <w:r>
        <w:rPr>
          <w:rStyle w:val="a7"/>
          <w:rtl/>
        </w:rPr>
        <w:footnoteRef/>
      </w:r>
      <w:r>
        <w:rPr>
          <w:rtl/>
        </w:rPr>
        <w:t xml:space="preserve"> </w:t>
      </w:r>
      <w:r>
        <w:rPr>
          <w:b/>
          <w:bCs/>
          <w:rtl/>
        </w:rPr>
        <w:t>ולבתר אעיל רעדה כו'.</w:t>
      </w:r>
      <w:r>
        <w:rPr>
          <w:rtl/>
        </w:rPr>
        <w:t xml:space="preserve"> רוצה לומר דשליט החנוכה דיליה וגומר המעשה, וכמו שאומר במדרש הנעלם על פסוק שתי בנות לוט שהן כח המתאוה, חנוך הנ"ל, וכח המשלים שהוא המעשה, וקין הוא יצר הרע כמו שאומר לעיל, והן שתי בנותיו:</w:t>
      </w:r>
    </w:p>
  </w:footnote>
  <w:footnote w:id="5101">
    <w:p w:rsidR="00A13282" w:rsidRDefault="00A13282" w:rsidP="0020255E">
      <w:pPr>
        <w:pStyle w:val="a5"/>
        <w:rPr>
          <w:rtl/>
        </w:rPr>
      </w:pPr>
      <w:r>
        <w:rPr>
          <w:rStyle w:val="a7"/>
          <w:rtl/>
        </w:rPr>
        <w:footnoteRef/>
      </w:r>
      <w:r>
        <w:rPr>
          <w:rtl/>
        </w:rPr>
        <w:t xml:space="preserve"> </w:t>
      </w:r>
      <w:r>
        <w:rPr>
          <w:b/>
          <w:bCs/>
          <w:rtl/>
        </w:rPr>
        <w:t>ולבתר דאטיל לב"נ כו'.</w:t>
      </w:r>
      <w:r>
        <w:rPr>
          <w:rtl/>
        </w:rPr>
        <w:t xml:space="preserve"> כמו שאמרו (ב"ב טז ע"א) יורד ומתעה ועולה כו':</w:t>
      </w:r>
    </w:p>
  </w:footnote>
  <w:footnote w:id="5102">
    <w:p w:rsidR="00A13282" w:rsidRDefault="00A13282" w:rsidP="0020255E">
      <w:pPr>
        <w:pStyle w:val="a5"/>
        <w:rPr>
          <w:rtl/>
        </w:rPr>
      </w:pPr>
      <w:r>
        <w:rPr>
          <w:rStyle w:val="a7"/>
          <w:rtl/>
        </w:rPr>
        <w:footnoteRef/>
      </w:r>
      <w:r>
        <w:rPr>
          <w:rtl/>
        </w:rPr>
        <w:t xml:space="preserve"> </w:t>
      </w:r>
      <w:r>
        <w:rPr>
          <w:b/>
          <w:bCs/>
          <w:rtl/>
        </w:rPr>
        <w:t>ולבתר אמליך כו'.</w:t>
      </w:r>
      <w:r>
        <w:rPr>
          <w:rtl/>
        </w:rPr>
        <w:t xml:space="preserve"> רוצה לומר במות ושאול דהוא הגיהנם כמו שאומר לקמן קי"ד ב' ודא פתח דגיהנם, דתמן חובין דילך שלטין עלך:</w:t>
      </w:r>
    </w:p>
  </w:footnote>
  <w:footnote w:id="5103">
    <w:p w:rsidR="00A13282" w:rsidRDefault="00A13282" w:rsidP="0020255E">
      <w:pPr>
        <w:pStyle w:val="a5"/>
        <w:rPr>
          <w:rtl/>
        </w:rPr>
      </w:pPr>
      <w:r>
        <w:rPr>
          <w:rStyle w:val="a7"/>
          <w:rtl/>
        </w:rPr>
        <w:footnoteRef/>
      </w:r>
      <w:r>
        <w:rPr>
          <w:rtl/>
        </w:rPr>
        <w:t xml:space="preserve"> </w:t>
      </w:r>
      <w:r>
        <w:rPr>
          <w:b/>
          <w:bCs/>
          <w:rtl/>
        </w:rPr>
        <w:t>ותרין נשין כו' דאזיל עלה כצל.</w:t>
      </w:r>
      <w:r>
        <w:rPr>
          <w:rtl/>
        </w:rPr>
        <w:t xml:space="preserve"> רוצה לומר, דמתלבש ביומין דיליה שהן לבושין צואים שבהם האדם נידון, וכן לטובה בהן מקבל שכר, והן נגד ב' יצרים, דדכורא מעיד ונוק' מתקוממת לו, כמו שכתוב (איוב כ כז) יגלו שמים כו' וארץ כו', והן תרין מלאכין דאזלין עמיה דבר נש מימינא ומשמאלא, ורשעים - שניהן רעים, ומכל מקום שניהם בסטרא דנוק', ודריש גם כן בעולם הזה בעניותא כמו שאמרו (בראשית רבה פרשה צו) ואין מות כו', ורוצה לומר או דקטיל ליה ממש, או בעניותא, ואמר מתושאל דתשיש, דריש לשון מתיש, ואח"כ דריש לשון מות ושאול דהוא בקרא חסר ו', ותרין נשין נגד ב' המלאכים כנ"ל, והן נגד רמ"ח אברים שכנגדן מצוות עשה ונגד שס"ה ימות השנה וכמו שאומר למעלה ק"ג א' שהאברים והשנה הן דו"נ, וזהו דמעיד על חובוי דבר נש, שהן חקוקין בעצמותיו, ואחת דאזיל עלה, רוצה לומר השניה שהן ימות השנה:</w:t>
      </w:r>
    </w:p>
  </w:footnote>
  <w:footnote w:id="5104">
    <w:p w:rsidR="00A13282" w:rsidRDefault="00A13282" w:rsidP="0020255E">
      <w:pPr>
        <w:pStyle w:val="a5"/>
        <w:rPr>
          <w:rtl/>
        </w:rPr>
      </w:pPr>
      <w:r>
        <w:rPr>
          <w:rStyle w:val="a7"/>
          <w:rtl/>
        </w:rPr>
        <w:footnoteRef/>
      </w:r>
      <w:r>
        <w:rPr>
          <w:rtl/>
        </w:rPr>
        <w:t xml:space="preserve"> </w:t>
      </w:r>
      <w:r>
        <w:rPr>
          <w:b/>
          <w:bCs/>
          <w:rtl/>
        </w:rPr>
        <w:t>ותלד עדה כו'.</w:t>
      </w:r>
      <w:r>
        <w:rPr>
          <w:rtl/>
        </w:rPr>
        <w:t xml:space="preserve"> שב' יצר הרע לאדם, שהן ב' נוק' הנ"ל דיצר הרע, והן, אחת - התאוה, והוא נוק' דבהון הקשה מכולם, (משלי ה ג) נופת תטופנה כו', ואחת - בהבלי עולם הזה, או לממון הרבה או לשמחה ושחוק כמו שכתוב (קהלת י יט) לשחוק עושים לחם כו' והכסף יענה את הכל, (קהלת ב א) לכה נא אנסכה בשמחה וראה בטוב כו', (קהלת ב ח) כנסתי כסף כו', והנה היא אינה קשה כמו הראשונה והיא עדה ובניה, יבל הוא הממון, יושב אוהל ומקנה, קנייני העולם הזה והיכלות לבנות, ונקרא יבל שאח"כ יבלה הכל, (משלי יא ד) לא יועיל הון כו' כמו שמפרש והולך, וכן יובל ותובל אלא שזה זכר בוא"ו וזה בנקבה בתי"ו, ויובל (בראשית ד כא) תופש כנור ועוגב, אבל של צלה הוא התאוה הרעה שהוא נקרא יצר הרע, (בראשית ו ה) כל יצר מחשבות לבו רק רע כו', וזה שאומר </w:t>
      </w:r>
      <w:r>
        <w:rPr>
          <w:b/>
          <w:bCs/>
          <w:rtl/>
        </w:rPr>
        <w:t>ודא יצה"ר דאתמר בי' אם יצרך כו'.</w:t>
      </w:r>
      <w:r>
        <w:rPr>
          <w:rtl/>
        </w:rPr>
        <w:t xml:space="preserve"> רוצה לומר שאמרו (סוכה נב ע"ב) אם ברזל הוא מתפוצץ:</w:t>
      </w:r>
    </w:p>
  </w:footnote>
  <w:footnote w:id="5105">
    <w:p w:rsidR="00A13282" w:rsidRDefault="00A13282" w:rsidP="0020255E">
      <w:pPr>
        <w:pStyle w:val="a5"/>
        <w:rPr>
          <w:rtl/>
        </w:rPr>
      </w:pPr>
      <w:r>
        <w:rPr>
          <w:rStyle w:val="a7"/>
          <w:rtl/>
        </w:rPr>
        <w:footnoteRef/>
      </w:r>
      <w:r>
        <w:rPr>
          <w:rtl/>
        </w:rPr>
        <w:t xml:space="preserve"> </w:t>
      </w:r>
      <w:r>
        <w:rPr>
          <w:b/>
          <w:bCs/>
          <w:rtl/>
        </w:rPr>
        <w:t>ושלטין עלי' עדה וצלה יבל כגוונא כו'.</w:t>
      </w:r>
      <w:r>
        <w:rPr>
          <w:rtl/>
        </w:rPr>
        <w:t xml:space="preserve"> רוצה לומר שבנין דלהון, יבל יובל תובל, הכל תבלה:</w:t>
      </w:r>
    </w:p>
  </w:footnote>
  <w:footnote w:id="5106">
    <w:p w:rsidR="00A13282" w:rsidRDefault="00A13282" w:rsidP="0020255E">
      <w:pPr>
        <w:pStyle w:val="a5"/>
        <w:rPr>
          <w:rtl/>
        </w:rPr>
      </w:pPr>
      <w:r>
        <w:rPr>
          <w:rStyle w:val="a7"/>
          <w:rtl/>
        </w:rPr>
        <w:footnoteRef/>
      </w:r>
      <w:r>
        <w:rPr>
          <w:rtl/>
        </w:rPr>
        <w:t xml:space="preserve"> </w:t>
      </w:r>
      <w:r>
        <w:rPr>
          <w:b/>
          <w:bCs/>
          <w:rtl/>
        </w:rPr>
        <w:t>כגוונא דשמיא וארעא דאתמר כו'.</w:t>
      </w:r>
      <w:r>
        <w:rPr>
          <w:rtl/>
        </w:rPr>
        <w:t xml:space="preserve"> שהן ב' נשין דיצר הרע כנ"ל, ועתידין לבלות וכמו שאומר לקמן קט"ו ב' וכן אינון תולדין דלהון גם כן וכמו שמפרש והולך, ואמר </w:t>
      </w:r>
      <w:r>
        <w:rPr>
          <w:b/>
          <w:bCs/>
          <w:rtl/>
        </w:rPr>
        <w:t>והא אתמר דשליט כו'.</w:t>
      </w:r>
      <w:r>
        <w:rPr>
          <w:rtl/>
        </w:rPr>
        <w:t xml:space="preserve"> כנ"ל, ואין מות אלא עניות וכמו שמפרש והולך ולית עניותא כו', דמשכח ממנו תלמודו ואין מניח לו לעשות טוב, כמו שאמרו (אבות ד ב) עבירה גוררת עבירה, וזה שאומר למעלה ולבתר אמליך עליה כו', כיון שחסר מתורה ומצות, וכמו שאמרו (סוכה נב ע"ב) בתחלה הלך כו', ואמר (סוטה מח ע"א) זמרא בביתא כו'. רוצה לומר דזהו יובל, שנתבלה גם כן:</w:t>
      </w:r>
    </w:p>
  </w:footnote>
  <w:footnote w:id="5107">
    <w:p w:rsidR="00A13282" w:rsidRDefault="00A13282" w:rsidP="0020255E">
      <w:pPr>
        <w:pStyle w:val="a5"/>
        <w:rPr>
          <w:rtl/>
        </w:rPr>
      </w:pPr>
      <w:r>
        <w:rPr>
          <w:rStyle w:val="a7"/>
          <w:rtl/>
        </w:rPr>
        <w:footnoteRef/>
      </w:r>
      <w:r>
        <w:rPr>
          <w:rtl/>
        </w:rPr>
        <w:t xml:space="preserve"> </w:t>
      </w:r>
      <w:r>
        <w:rPr>
          <w:b/>
          <w:bCs/>
          <w:rtl/>
        </w:rPr>
        <w:t>ודא יצה"ר דאתמר בי' אם יצרך כו'.</w:t>
      </w:r>
      <w:r>
        <w:rPr>
          <w:rtl/>
        </w:rPr>
        <w:t xml:space="preserve"> רוצה לומר שאמרו (סוכה נב ע"ב) אם ברזל הוא מתפוצץ:</w:t>
      </w:r>
    </w:p>
  </w:footnote>
  <w:footnote w:id="5108">
    <w:p w:rsidR="00A13282" w:rsidRDefault="00A13282" w:rsidP="0020255E">
      <w:pPr>
        <w:pStyle w:val="a5"/>
        <w:rPr>
          <w:rtl/>
        </w:rPr>
      </w:pPr>
      <w:r>
        <w:rPr>
          <w:rStyle w:val="a7"/>
          <w:rtl/>
        </w:rPr>
        <w:footnoteRef/>
      </w:r>
      <w:r>
        <w:rPr>
          <w:rtl/>
        </w:rPr>
        <w:t xml:space="preserve"> </w:t>
      </w:r>
      <w:r>
        <w:rPr>
          <w:b/>
          <w:bCs/>
          <w:rtl/>
        </w:rPr>
        <w:t>ואחות תובל קין כו'.</w:t>
      </w:r>
      <w:r>
        <w:rPr>
          <w:rtl/>
        </w:rPr>
        <w:t xml:space="preserve"> שמהן נולדו השדים, מתאוות, שהיא נוטלת התשוקה כו' כידוע. ואמר </w:t>
      </w:r>
      <w:r>
        <w:rPr>
          <w:b/>
          <w:bCs/>
          <w:rtl/>
        </w:rPr>
        <w:t>ושלטין עלי' עדה וצלה יבל כגוונא כו'.</w:t>
      </w:r>
      <w:r>
        <w:rPr>
          <w:rtl/>
        </w:rPr>
        <w:t xml:space="preserve"> רוצה לומר שבנין דלהון, יבל יובל תובל, הכל תבלה:</w:t>
      </w:r>
    </w:p>
  </w:footnote>
  <w:footnote w:id="5109">
    <w:p w:rsidR="00A13282" w:rsidRDefault="00A13282" w:rsidP="0020255E">
      <w:pPr>
        <w:pStyle w:val="a5"/>
        <w:rPr>
          <w:rtl/>
        </w:rPr>
      </w:pPr>
      <w:r>
        <w:rPr>
          <w:rStyle w:val="a7"/>
          <w:rtl/>
        </w:rPr>
        <w:footnoteRef/>
      </w:r>
      <w:r>
        <w:rPr>
          <w:rtl/>
        </w:rPr>
        <w:t xml:space="preserve"> </w:t>
      </w:r>
      <w:r>
        <w:rPr>
          <w:b/>
          <w:bCs/>
          <w:rtl/>
        </w:rPr>
        <w:t>ולמך בשעתא דשליט כו'.</w:t>
      </w:r>
      <w:r>
        <w:rPr>
          <w:rtl/>
        </w:rPr>
        <w:t xml:space="preserve"> רוצה לומר אחר שילד ההוא לוטש שאמר אם אבן כו' אם ברזל כו', לכך כתיב פצעי וחבורתי, שפצע - מכת חרב הוא, וחבורה - באבן, ובילד הוא כאבן, ובאיש נעשה כברזל קשה מאד, שלכן באבן נימוח לגמרי ובברזל רק מתפוצץ, ובאבן נימוח במים כמו שכתוב (איוב יד יט) אבנים שחקו מים, אבל ברזל באש מתפוצץ וצריך ללבנו, וזה שאומר כי איש כו' וילד כו' ורוצה לומר דכאן הוא דקטל ליה כמו שכתוב הרגתי כו', וקין הוא תחילתו שהוא יצר הרע, ולמך - סופו, דהוא מלאך המות, וזה שאומר </w:t>
      </w:r>
      <w:r>
        <w:rPr>
          <w:b/>
          <w:bCs/>
          <w:rtl/>
        </w:rPr>
        <w:t xml:space="preserve">ועתיד לנטלא כו' הה"ד בלע כו'. </w:t>
      </w:r>
      <w:r>
        <w:rPr>
          <w:rtl/>
        </w:rPr>
        <w:t>שהוא מלאך המות, (ישעיהו כה ח) וחרפת עמו כו' שהוא יצר הרע, שעליו נאמר (יחזקאל לו לב) בושו מדרכיכם כו', (ירמיהו ג כה) נשכבה בבשתנו ותכסנו כו', ונאמר (יואל ב כ) ואת הצפוני ארחיק כו' פניו כו' וסופו כו', פניו וסופו הן קין ולמך, שתחלתו מתעה וסופו קטיל (ואף שבגמ' דרשו בענין אחר, הכל ענין אחד, שב' בתי מקדשים הם נגד נשמה ונפש שתופא דגופא, ב' ההין, ויצר הרע הרג לנשמה ומלאך המות לגוף, וב' ההי"ן אלו הן ימים כידוע, ונשמה לא שהרגה אלא שהעבירה מן האדם מזה העולם, וכן הנפש, והן ב', מות תמות, מות שאול הנ"ל, ולעתיד לבוא בלע כו' ומחה דמעה, ששם (קהלת ד א) דמעת כו' ואין כו', וחרפת עמו, הוא היצר הרע עצמו, יסיר מעל הארץ כו', כמו שכתוב (יחזקאל לו כו) ונתתי לכם לב חדש ורוח חדשה והסירותי את כו', (שם כה) וזרקתי עליכם כו'), ולמך שבעים ושבעה שנאמר בלע כו', מה שאין כן שם דנאמר יסיר כמו שאמרו במלאך המות דלא יהא מנוול כבקדמיתא, ועל שניהם נאמר ועלה באשו ותעל צחנתו כי הגדיל לעשות:</w:t>
      </w:r>
    </w:p>
  </w:footnote>
  <w:footnote w:id="5110">
    <w:p w:rsidR="00A13282" w:rsidRDefault="00A13282" w:rsidP="0020255E">
      <w:pPr>
        <w:pStyle w:val="a5"/>
        <w:rPr>
          <w:rtl/>
        </w:rPr>
      </w:pPr>
      <w:r>
        <w:rPr>
          <w:rStyle w:val="a7"/>
          <w:rtl/>
        </w:rPr>
        <w:footnoteRef/>
      </w:r>
      <w:r>
        <w:rPr>
          <w:rtl/>
        </w:rPr>
        <w:t xml:space="preserve"> </w:t>
      </w:r>
      <w:r>
        <w:rPr>
          <w:b/>
          <w:bCs/>
          <w:rtl/>
        </w:rPr>
        <w:t>בגין דממשלה דעבד כו'.</w:t>
      </w:r>
      <w:r>
        <w:rPr>
          <w:rtl/>
        </w:rPr>
        <w:t xml:space="preserve"> דהוא מט"ט וסנד"ל, דרגין דעבד ושפחה, שבהן ס"א שולט, (משלי ל כב,כג) תחת עבד כו' ושפחה, והן ביומין דחול, (שמות כ ט) ששת ימים תעבוד, ובלילות - דרגא דשפחה, דלכן שפחה משרתת בבית, וביום עבד יוצא לעבודתו עדי ערב, ובלילה משרתת האשה בבית, אבל שבת, (שמות כ יא) וינח ביום השביעי, ממשלתה דשכינה דבה מנוחה ועיין בזוהר פ’ נשא קכ"ב ב' אבל בתר דיתעברון הס"א וממשלתה דשכינתא תהא, אז וידע כו' כמו שמפרש והולך כי מלאה הארץ דעה כו':</w:t>
      </w:r>
    </w:p>
  </w:footnote>
  <w:footnote w:id="5111">
    <w:p w:rsidR="00A13282" w:rsidRDefault="00A13282" w:rsidP="0020255E">
      <w:pPr>
        <w:pStyle w:val="a5"/>
        <w:rPr>
          <w:rtl/>
        </w:rPr>
      </w:pPr>
      <w:r>
        <w:rPr>
          <w:rStyle w:val="a7"/>
          <w:rtl/>
        </w:rPr>
        <w:footnoteRef/>
      </w:r>
      <w:r>
        <w:rPr>
          <w:rtl/>
        </w:rPr>
        <w:t xml:space="preserve"> </w:t>
      </w:r>
      <w:r>
        <w:rPr>
          <w:b/>
          <w:bCs/>
          <w:rtl/>
        </w:rPr>
        <w:t>דאיהו ברא שית.</w:t>
      </w:r>
      <w:r>
        <w:rPr>
          <w:rtl/>
        </w:rPr>
        <w:t xml:space="preserve"> רוצה לומר בשית תיקונין כמו שאומר ק"ח ב':</w:t>
      </w:r>
    </w:p>
  </w:footnote>
  <w:footnote w:id="5112">
    <w:p w:rsidR="00A13282" w:rsidRDefault="00A13282" w:rsidP="0020255E">
      <w:pPr>
        <w:pStyle w:val="a5"/>
        <w:rPr>
          <w:rtl/>
        </w:rPr>
      </w:pPr>
      <w:r>
        <w:rPr>
          <w:rStyle w:val="a7"/>
          <w:rtl/>
        </w:rPr>
        <w:footnoteRef/>
      </w:r>
      <w:r>
        <w:rPr>
          <w:rtl/>
        </w:rPr>
        <w:t xml:space="preserve"> </w:t>
      </w:r>
      <w:r>
        <w:rPr>
          <w:b/>
          <w:bCs/>
          <w:rtl/>
        </w:rPr>
        <w:t>ואיהו הוה ראשית.</w:t>
      </w:r>
      <w:r>
        <w:rPr>
          <w:rtl/>
        </w:rPr>
        <w:t xml:space="preserve"> רוצה לומר הבל הוא ראשית לסטרא דטוב, ושת הוא אחרית אחריו, וכן הוא סיומא דא"ב, וזה שאומר </w:t>
      </w:r>
      <w:r>
        <w:rPr>
          <w:b/>
          <w:bCs/>
          <w:rtl/>
        </w:rPr>
        <w:t>מגיד מראשית כו'.</w:t>
      </w:r>
      <w:r>
        <w:rPr>
          <w:rtl/>
        </w:rPr>
        <w:t xml:space="preserve"> דנעשה מראשית אחרית:</w:t>
      </w:r>
    </w:p>
  </w:footnote>
  <w:footnote w:id="5113">
    <w:p w:rsidR="00A13282" w:rsidRDefault="00A13282" w:rsidP="0020255E">
      <w:pPr>
        <w:pStyle w:val="a5"/>
        <w:rPr>
          <w:rtl/>
        </w:rPr>
      </w:pPr>
      <w:r>
        <w:rPr>
          <w:rStyle w:val="a7"/>
          <w:rtl/>
        </w:rPr>
        <w:footnoteRef/>
      </w:r>
      <w:r>
        <w:rPr>
          <w:rtl/>
        </w:rPr>
        <w:t xml:space="preserve"> </w:t>
      </w:r>
      <w:r>
        <w:rPr>
          <w:b/>
          <w:bCs/>
          <w:rtl/>
        </w:rPr>
        <w:t>אתקרי אחר.</w:t>
      </w:r>
      <w:r>
        <w:rPr>
          <w:rtl/>
        </w:rPr>
        <w:t xml:space="preserve"> דהיוד אות ברית, קוצא ד' של אחד ונעשה אחר כמו שאומר לעיל נ' א', והיו"ד הזה הוא יחודא כמו שאומר לעיל פ"ו ב' ושאר מקומות, והכל בשביל חטא האדם וכמו שמפרש והולך בגין דחב כו':</w:t>
      </w:r>
    </w:p>
  </w:footnote>
  <w:footnote w:id="5114">
    <w:p w:rsidR="00A13282" w:rsidRDefault="00A13282" w:rsidP="0020255E">
      <w:pPr>
        <w:pStyle w:val="a5"/>
        <w:rPr>
          <w:rtl/>
        </w:rPr>
      </w:pPr>
      <w:r>
        <w:rPr>
          <w:rStyle w:val="a7"/>
          <w:rtl/>
        </w:rPr>
        <w:footnoteRef/>
      </w:r>
      <w:r>
        <w:rPr>
          <w:rtl/>
        </w:rPr>
        <w:t xml:space="preserve"> </w:t>
      </w:r>
      <w:r>
        <w:rPr>
          <w:b/>
          <w:bCs/>
          <w:rtl/>
        </w:rPr>
        <w:t>ובג"ד שירותא כו'.</w:t>
      </w:r>
      <w:r>
        <w:rPr>
          <w:rtl/>
        </w:rPr>
        <w:t xml:space="preserve"> דח' הוא בינה, דרגא תמינאה כמו שמפרש והולך ורוצה לומר דנאמר אז הוחל כו' אבל חכמה אסתלק בחובא דאדם, ורק תשובה קמת עליה דאדם כמו שאומר לקמן קי"ג ב' ורוצה לומר זהו אז דחושבניה ח', והיא אחת ושבע, אימא על בנין:</w:t>
      </w:r>
    </w:p>
  </w:footnote>
  <w:footnote w:id="5115">
    <w:p w:rsidR="00A13282" w:rsidRDefault="00A13282" w:rsidP="0020255E">
      <w:pPr>
        <w:pStyle w:val="a5"/>
        <w:rPr>
          <w:rtl/>
        </w:rPr>
      </w:pPr>
      <w:r>
        <w:rPr>
          <w:rStyle w:val="a7"/>
          <w:rtl/>
        </w:rPr>
        <w:footnoteRef/>
      </w:r>
      <w:r>
        <w:rPr>
          <w:rtl/>
        </w:rPr>
        <w:t xml:space="preserve"> </w:t>
      </w:r>
      <w:r>
        <w:rPr>
          <w:b/>
          <w:bCs/>
          <w:rtl/>
        </w:rPr>
        <w:t>ומתמן עבדו ברית מילה ואעברו מיניה ערלה ופריעה לאעלא בח' דשירותא כו'.</w:t>
      </w:r>
      <w:r>
        <w:rPr>
          <w:rtl/>
        </w:rPr>
        <w:t xml:space="preserve"> רוצה לומר בשם ה' הוא מילה כמו שאומר לעיל ס"ד ב' ועאלו בח' בינה והכל בגלגולין דילה במשה וישראל, ואמר </w:t>
      </w:r>
      <w:r>
        <w:rPr>
          <w:b/>
          <w:bCs/>
          <w:rtl/>
        </w:rPr>
        <w:t>למנצח על השמינית</w:t>
      </w:r>
      <w:r>
        <w:rPr>
          <w:rtl/>
        </w:rPr>
        <w:t xml:space="preserve"> דהוא כנור של שמנה נימין שיהיה לעתיד לבוא, דרגא דעולם הבא:</w:t>
      </w:r>
    </w:p>
  </w:footnote>
  <w:footnote w:id="5116">
    <w:p w:rsidR="00A13282" w:rsidRDefault="00A13282" w:rsidP="0020255E">
      <w:pPr>
        <w:pStyle w:val="a5"/>
        <w:rPr>
          <w:rtl/>
        </w:rPr>
      </w:pPr>
      <w:r>
        <w:rPr>
          <w:rStyle w:val="a7"/>
          <w:rtl/>
        </w:rPr>
        <w:footnoteRef/>
      </w:r>
      <w:r>
        <w:rPr>
          <w:rtl/>
        </w:rPr>
        <w:t xml:space="preserve"> </w:t>
      </w:r>
      <w:r>
        <w:rPr>
          <w:b/>
          <w:bCs/>
          <w:rtl/>
        </w:rPr>
        <w:t>ועוד אז הוחל כו'.</w:t>
      </w:r>
      <w:r>
        <w:rPr>
          <w:rtl/>
        </w:rPr>
        <w:t xml:space="preserve"> רוצה לומר לשון ויחל משה, ועליו נאמר אז תקרא וה' יענה כמו שכתוב (במדבר יד כ) סלחתי כדברך, והכל בדרגא דאז, דרגא דמשה סליק לה ועיין לעיל תיקון י”ח אז בתמניא אתוון כו':</w:t>
      </w:r>
    </w:p>
  </w:footnote>
  <w:footnote w:id="5117">
    <w:p w:rsidR="00A13282" w:rsidRDefault="00A13282" w:rsidP="0020255E">
      <w:pPr>
        <w:pStyle w:val="a5"/>
        <w:rPr>
          <w:rtl/>
        </w:rPr>
      </w:pPr>
      <w:r>
        <w:rPr>
          <w:rStyle w:val="a7"/>
          <w:rtl/>
        </w:rPr>
        <w:footnoteRef/>
      </w:r>
      <w:r>
        <w:rPr>
          <w:rtl/>
        </w:rPr>
        <w:t xml:space="preserve"> </w:t>
      </w:r>
      <w:r>
        <w:rPr>
          <w:b/>
          <w:bCs/>
          <w:rtl/>
        </w:rPr>
        <w:t>אז דא הוא נטורא כו'.</w:t>
      </w:r>
      <w:r>
        <w:rPr>
          <w:rtl/>
        </w:rPr>
        <w:t xml:space="preserve"> רוצה לומר, דאז משה נוקים בשביל הבל דהרג למצרים דאינון מסטרא דקין, ולעתיד לבוא כל הערב רב, וכמו שמפרש והולך:</w:t>
      </w:r>
    </w:p>
  </w:footnote>
  <w:footnote w:id="5118">
    <w:p w:rsidR="00A13282" w:rsidRDefault="00A13282" w:rsidP="0020255E">
      <w:pPr>
        <w:pStyle w:val="a5"/>
        <w:rPr>
          <w:rtl/>
        </w:rPr>
      </w:pPr>
      <w:r>
        <w:rPr>
          <w:rStyle w:val="a7"/>
          <w:rtl/>
        </w:rPr>
        <w:footnoteRef/>
      </w:r>
      <w:r>
        <w:rPr>
          <w:rtl/>
        </w:rPr>
        <w:t xml:space="preserve"> </w:t>
      </w:r>
      <w:r>
        <w:rPr>
          <w:b/>
          <w:bCs/>
          <w:rtl/>
        </w:rPr>
        <w:t>רועה נוקים לרועה.</w:t>
      </w:r>
      <w:r>
        <w:rPr>
          <w:rtl/>
        </w:rPr>
        <w:t xml:space="preserve"> הוא הגהת תלמידים, ורוצה לומר דמשה רועה צאן נקים בשביל הבל רועה צאן:</w:t>
      </w:r>
    </w:p>
  </w:footnote>
  <w:footnote w:id="5119">
    <w:p w:rsidR="00A13282" w:rsidRDefault="00A13282" w:rsidP="0020255E">
      <w:pPr>
        <w:pStyle w:val="a5"/>
        <w:rPr>
          <w:rtl/>
        </w:rPr>
      </w:pPr>
      <w:r>
        <w:rPr>
          <w:rStyle w:val="a7"/>
          <w:rtl/>
        </w:rPr>
        <w:footnoteRef/>
      </w:r>
      <w:r>
        <w:rPr>
          <w:rtl/>
        </w:rPr>
        <w:t xml:space="preserve"> </w:t>
      </w:r>
      <w:r>
        <w:rPr>
          <w:b/>
          <w:bCs/>
          <w:rtl/>
        </w:rPr>
        <w:t>ולבתר אז אהפוך כו'.</w:t>
      </w:r>
      <w:r>
        <w:rPr>
          <w:rtl/>
        </w:rPr>
        <w:t xml:space="preserve"> שיתמחון זרעא דקין דאינון ערב רב מעלמא, ואהפוך אל עמים כו'. והכל זרעא דשת וע"י משה דהוא גלגולא דיליה וכמו שכתוב (קהלת א ט) מה שהיה הוא שיהיה, שהיה גואל ראשון והוא יהיה גואל אחרון כמו שכתוב (בראשית מט י) כי יבא שילה, שילה - משה בחושבן, וכמו שאומר לעיל נ"ב ב', ואמר </w:t>
      </w:r>
      <w:r>
        <w:rPr>
          <w:b/>
          <w:bCs/>
          <w:rtl/>
        </w:rPr>
        <w:t>דאינון בכורי מצרים</w:t>
      </w:r>
      <w:r>
        <w:rPr>
          <w:rtl/>
        </w:rPr>
        <w:t xml:space="preserve"> רוצה לומר כמו שהרג משה במצרים בכוריהם, כן לעתיד לבוא הערב רב דאינון בכורין ורישין על ישראל, וכמו שמפרש והולך </w:t>
      </w:r>
      <w:r>
        <w:rPr>
          <w:b/>
          <w:bCs/>
          <w:rtl/>
        </w:rPr>
        <w:t xml:space="preserve">עלייהו אתמר תמחה כו'. </w:t>
      </w:r>
      <w:r>
        <w:rPr>
          <w:rtl/>
        </w:rPr>
        <w:t>שהן הערב רב:</w:t>
      </w:r>
    </w:p>
  </w:footnote>
  <w:footnote w:id="5120">
    <w:p w:rsidR="00A13282" w:rsidRDefault="00A13282" w:rsidP="0020255E">
      <w:pPr>
        <w:pStyle w:val="a5"/>
        <w:rPr>
          <w:rtl/>
        </w:rPr>
      </w:pPr>
      <w:r>
        <w:rPr>
          <w:rStyle w:val="a7"/>
          <w:rtl/>
        </w:rPr>
        <w:footnoteRef/>
      </w:r>
      <w:r>
        <w:rPr>
          <w:rtl/>
        </w:rPr>
        <w:t xml:space="preserve"> </w:t>
      </w:r>
      <w:r>
        <w:rPr>
          <w:b/>
          <w:bCs/>
          <w:rtl/>
        </w:rPr>
        <w:t>ואינון ערבוביא מקין כו'.</w:t>
      </w:r>
      <w:r>
        <w:rPr>
          <w:rtl/>
        </w:rPr>
        <w:t xml:space="preserve"> דלאחר שחשיב כל תולדין דקין, ואין שם עוד, אז חשיב לשת:</w:t>
      </w:r>
    </w:p>
  </w:footnote>
  <w:footnote w:id="5121">
    <w:p w:rsidR="00A13282" w:rsidRDefault="00A13282" w:rsidP="006D2826">
      <w:pPr>
        <w:pStyle w:val="a5"/>
        <w:rPr>
          <w:rtl/>
        </w:rPr>
      </w:pPr>
      <w:r>
        <w:rPr>
          <w:rStyle w:val="a7"/>
          <w:rtl/>
        </w:rPr>
        <w:footnoteRef/>
      </w:r>
      <w:r>
        <w:rPr>
          <w:rtl/>
        </w:rPr>
        <w:t xml:space="preserve">  </w:t>
      </w:r>
      <w:r>
        <w:rPr>
          <w:b/>
          <w:bCs/>
          <w:rtl/>
        </w:rPr>
        <w:t>בראשית ברא שית.</w:t>
      </w:r>
      <w:r>
        <w:rPr>
          <w:rtl/>
        </w:rPr>
        <w:t xml:space="preserve"> אותיות בראשית כמו שאומר לעיל דף ע"ג ע"ב, ורוצה לומר שית - יסוד, שהוא שית בו"ק, והוא כלול מכל הו"ק, ו' זעירא, וכן מט"ט בדרגא דצדיק, וכלול ו"ק של יצירה, ו' אותיות של מטטרו"ן, וזה שאומר דא מט"ט וזה שאומר בראשית, שהוא קדם לכל בריה, והוא זקן ביתו, קודם לכל: </w:t>
      </w:r>
    </w:p>
  </w:footnote>
  <w:footnote w:id="5122">
    <w:p w:rsidR="00A13282" w:rsidRDefault="00A13282" w:rsidP="006D2826">
      <w:pPr>
        <w:pStyle w:val="a5"/>
        <w:rPr>
          <w:rtl/>
        </w:rPr>
      </w:pPr>
      <w:r>
        <w:rPr>
          <w:rStyle w:val="a7"/>
          <w:rtl/>
        </w:rPr>
        <w:footnoteRef/>
      </w:r>
      <w:r>
        <w:rPr>
          <w:rtl/>
        </w:rPr>
        <w:t xml:space="preserve">  </w:t>
      </w:r>
      <w:r>
        <w:rPr>
          <w:b/>
          <w:bCs/>
          <w:rtl/>
        </w:rPr>
        <w:t>אות בצבא דיליה.</w:t>
      </w:r>
      <w:r>
        <w:rPr>
          <w:rtl/>
        </w:rPr>
        <w:t xml:space="preserve"> כמו יסוד, אות ברית קודש, ו' זעירא, בצבא שלו - נו"ה, שלכן נקרא צבאות, אות בצבא, כן הוא במט"ט אצל המלאכים, שכל אות - בצדיק, אות ברית, אות תפילין, אות דשבת ויום טוב, כמו שאומר בתיקונים עיין שם, וזה שאומר (חגיגה טז ע"א) מאי דרש אות ברבבה שלו דוגמא כו' אדון הוא בצבא שלו, וצריך לומר אות הוא בצבא שלו כנ"ל, וכל זה על מט"ט, שלא הציץ בו, שד' שנכנסו לפרדס - הוא במט"ט כמו שאומר לעיל ובה"ת, וכולם הציצו במט"ט לכן כולם לקו, לפי שבו מתלבש השכינה, שעליו בקש משה (שמות לג יח) הראני נא את כבודך כמו שאומר במדרש הנעלם כמה אצטער האי צדיקא כו' ולא הראה, ואחר טעה שראה שהוא מושל בכל צבא השמים כמו שכתוב (בראשית כד ב) אל עבדו זקן ביתו המושל בכל אשר לו כמו שאמרו במדרש הנעלם, וכל זה הוא בשמו שבקרבו, ולזה אמרו (שם) על ר' עקיבא מאי דרש שלא הציץ במט"ט כמו שכתב רש"י עיין שם:</w:t>
      </w:r>
    </w:p>
  </w:footnote>
  <w:footnote w:id="5123">
    <w:p w:rsidR="00A13282" w:rsidRDefault="00A13282" w:rsidP="006D2826">
      <w:pPr>
        <w:pStyle w:val="a5"/>
        <w:rPr>
          <w:rtl/>
        </w:rPr>
      </w:pPr>
      <w:r>
        <w:rPr>
          <w:rStyle w:val="a7"/>
          <w:rtl/>
        </w:rPr>
        <w:footnoteRef/>
      </w:r>
      <w:r>
        <w:rPr>
          <w:rtl/>
        </w:rPr>
        <w:t xml:space="preserve">  </w:t>
      </w:r>
      <w:r>
        <w:rPr>
          <w:b/>
          <w:bCs/>
          <w:rtl/>
        </w:rPr>
        <w:t>לקין אות.</w:t>
      </w:r>
      <w:r>
        <w:rPr>
          <w:rtl/>
        </w:rPr>
        <w:t xml:space="preserve"> שהוא אות כנ"ל, ורוצה לומר בגלגול כמו שמפרש והולך שג' הגלגולים הוא במט"ט, שמסטרא דיליה הרוח וכל הגלגולים ברוח כמו שאומר לעיל, ורוצה לומר ביתרו שהוא גלגול קין, וקבל על עצמו אות ברית, שנתגייר כמו שמפרש והולך ולכן נתן למשה שהוא גלגול הבל, צפורה בתו, שהיא התיומת של הבל שקנא בה, והרג אותו, ובשבילה נהרג הבל, והיא הצילה אותו עכשיו, (שמות ד כד) ויבקש המיתו ותקח צפורה צר ותכרת כו', במילה, אות ברית כנ"ל, ועלה אמר הקב"ה (בראשית ד ז) אם תיטיב שאת, שדרשו בתיקונים אשת, שבשבילה נתנשא יתרו:</w:t>
      </w:r>
    </w:p>
  </w:footnote>
  <w:footnote w:id="5124">
    <w:p w:rsidR="00A13282" w:rsidRDefault="00A13282" w:rsidP="006D2826">
      <w:pPr>
        <w:pStyle w:val="a5"/>
        <w:rPr>
          <w:rtl/>
        </w:rPr>
      </w:pPr>
      <w:r>
        <w:rPr>
          <w:rStyle w:val="a7"/>
          <w:rtl/>
        </w:rPr>
        <w:footnoteRef/>
      </w:r>
      <w:r>
        <w:rPr>
          <w:rtl/>
        </w:rPr>
        <w:t xml:space="preserve">  </w:t>
      </w:r>
      <w:r>
        <w:rPr>
          <w:b/>
          <w:bCs/>
          <w:rtl/>
        </w:rPr>
        <w:t>נע ונד בגלגולא.</w:t>
      </w:r>
      <w:r>
        <w:rPr>
          <w:rtl/>
        </w:rPr>
        <w:t xml:space="preserve"> עד יתרו שעל זה אמר הקב"ה נע ונד כו'. שהוא בעולם הזה ועולם הבא בגלגולים עד יתרו:</w:t>
      </w:r>
    </w:p>
  </w:footnote>
  <w:footnote w:id="5125">
    <w:p w:rsidR="00A13282" w:rsidRDefault="00A13282" w:rsidP="006D2826">
      <w:pPr>
        <w:pStyle w:val="a5"/>
        <w:rPr>
          <w:rtl/>
        </w:rPr>
      </w:pPr>
      <w:r>
        <w:rPr>
          <w:rStyle w:val="a7"/>
          <w:rtl/>
        </w:rPr>
        <w:footnoteRef/>
      </w:r>
      <w:r>
        <w:rPr>
          <w:rtl/>
        </w:rPr>
        <w:t xml:space="preserve">  </w:t>
      </w:r>
      <w:r>
        <w:rPr>
          <w:b/>
          <w:bCs/>
          <w:rtl/>
        </w:rPr>
        <w:t>אתעביד נוד.</w:t>
      </w:r>
      <w:r>
        <w:rPr>
          <w:rtl/>
        </w:rPr>
        <w:t xml:space="preserve"> עם ו' של אות ברית, (בראשית ד טו) לקין אות כנ"ל: </w:t>
      </w:r>
    </w:p>
  </w:footnote>
  <w:footnote w:id="5126">
    <w:p w:rsidR="00A13282" w:rsidRDefault="00A13282" w:rsidP="006D2826">
      <w:pPr>
        <w:pStyle w:val="a5"/>
        <w:rPr>
          <w:rtl/>
        </w:rPr>
      </w:pPr>
      <w:r>
        <w:rPr>
          <w:rStyle w:val="a7"/>
          <w:rtl/>
        </w:rPr>
        <w:footnoteRef/>
      </w:r>
      <w:r>
        <w:rPr>
          <w:rtl/>
        </w:rPr>
        <w:t xml:space="preserve">  </w:t>
      </w:r>
      <w:r>
        <w:rPr>
          <w:b/>
          <w:bCs/>
          <w:rtl/>
        </w:rPr>
        <w:t>קדמת עדן.</w:t>
      </w:r>
      <w:r>
        <w:rPr>
          <w:rtl/>
        </w:rPr>
        <w:t xml:space="preserve"> מפרש לקמן ונפקו בנוי כו': </w:t>
      </w:r>
    </w:p>
  </w:footnote>
  <w:footnote w:id="5127">
    <w:p w:rsidR="00A13282" w:rsidRDefault="00A13282" w:rsidP="006D2826">
      <w:pPr>
        <w:pStyle w:val="a5"/>
        <w:rPr>
          <w:rtl/>
        </w:rPr>
      </w:pPr>
      <w:r>
        <w:rPr>
          <w:rStyle w:val="a7"/>
          <w:rtl/>
        </w:rPr>
        <w:footnoteRef/>
      </w:r>
      <w:r>
        <w:rPr>
          <w:rtl/>
        </w:rPr>
        <w:t xml:space="preserve">  </w:t>
      </w:r>
      <w:r>
        <w:rPr>
          <w:b/>
          <w:bCs/>
          <w:rtl/>
        </w:rPr>
        <w:t>דקני.</w:t>
      </w:r>
      <w:r>
        <w:rPr>
          <w:rtl/>
        </w:rPr>
        <w:t xml:space="preserve"> שקנא על אחיו, וזכה ביתרו כמו שמפרש והולך:</w:t>
      </w:r>
    </w:p>
  </w:footnote>
  <w:footnote w:id="5128">
    <w:p w:rsidR="00A13282" w:rsidRDefault="00A13282" w:rsidP="006D2826">
      <w:pPr>
        <w:pStyle w:val="a5"/>
        <w:rPr>
          <w:rtl/>
        </w:rPr>
      </w:pPr>
      <w:r>
        <w:rPr>
          <w:rStyle w:val="a7"/>
          <w:rtl/>
        </w:rPr>
        <w:footnoteRef/>
      </w:r>
      <w:r>
        <w:rPr>
          <w:rtl/>
        </w:rPr>
        <w:t xml:space="preserve"> </w:t>
      </w:r>
      <w:r>
        <w:rPr>
          <w:b/>
          <w:bCs/>
          <w:rtl/>
        </w:rPr>
        <w:t>בקיני.</w:t>
      </w:r>
      <w:r>
        <w:rPr>
          <w:rtl/>
        </w:rPr>
        <w:t xml:space="preserve"> יתרו כמו שכתוב (שופטים א טז) ובני קיני חותן משה, והוא אותיות קין: </w:t>
      </w:r>
    </w:p>
  </w:footnote>
  <w:footnote w:id="5129">
    <w:p w:rsidR="00A13282" w:rsidRDefault="00A13282" w:rsidP="006D2826">
      <w:pPr>
        <w:pStyle w:val="a5"/>
        <w:rPr>
          <w:rtl/>
        </w:rPr>
      </w:pPr>
      <w:r>
        <w:rPr>
          <w:rStyle w:val="a7"/>
          <w:rtl/>
        </w:rPr>
        <w:footnoteRef/>
      </w:r>
      <w:r>
        <w:rPr>
          <w:rtl/>
        </w:rPr>
        <w:t xml:space="preserve"> </w:t>
      </w:r>
      <w:r>
        <w:rPr>
          <w:b/>
          <w:bCs/>
          <w:rtl/>
        </w:rPr>
        <w:t>ונפקו בנוי.</w:t>
      </w:r>
      <w:r>
        <w:rPr>
          <w:rtl/>
        </w:rPr>
        <w:t xml:space="preserve"> שזכו לישב בלשכת הגזית:</w:t>
      </w:r>
    </w:p>
  </w:footnote>
  <w:footnote w:id="5130">
    <w:p w:rsidR="00A13282" w:rsidRDefault="00A13282" w:rsidP="006D2826">
      <w:pPr>
        <w:pStyle w:val="a5"/>
        <w:rPr>
          <w:rtl/>
        </w:rPr>
      </w:pPr>
      <w:r>
        <w:rPr>
          <w:rStyle w:val="a7"/>
          <w:rtl/>
        </w:rPr>
        <w:footnoteRef/>
      </w:r>
      <w:r>
        <w:rPr>
          <w:rtl/>
        </w:rPr>
        <w:t xml:space="preserve"> </w:t>
      </w:r>
      <w:r>
        <w:rPr>
          <w:b/>
          <w:bCs/>
          <w:rtl/>
        </w:rPr>
        <w:t>דעאלו לג"ע.</w:t>
      </w:r>
      <w:r>
        <w:rPr>
          <w:rtl/>
        </w:rPr>
        <w:t xml:space="preserve"> רוצה לומר כמו שמפרש והולך ובג"ד כו' קדמת עדן, שהגן הוא קדמת עדן כמו שכתוב ויטע ה' אלקים גן בעדן מקדם, ולכן לא נאמר קדמת גן עדן:</w:t>
      </w:r>
    </w:p>
  </w:footnote>
  <w:footnote w:id="5131">
    <w:p w:rsidR="00A13282" w:rsidRDefault="00A13282" w:rsidP="006D2826">
      <w:pPr>
        <w:pStyle w:val="a5"/>
        <w:rPr>
          <w:rtl/>
        </w:rPr>
      </w:pPr>
      <w:r>
        <w:rPr>
          <w:rStyle w:val="a7"/>
          <w:rtl/>
        </w:rPr>
        <w:footnoteRef/>
      </w:r>
      <w:r>
        <w:rPr>
          <w:rtl/>
        </w:rPr>
        <w:t xml:space="preserve"> </w:t>
      </w:r>
      <w:r>
        <w:rPr>
          <w:b/>
          <w:bCs/>
          <w:rtl/>
        </w:rPr>
        <w:t>לבתר עביד כו'.</w:t>
      </w:r>
      <w:r>
        <w:rPr>
          <w:rtl/>
        </w:rPr>
        <w:t xml:space="preserve"> כמו שאמרו בתיקונים עד יתרו גלגולין שלו בסטרא דטוב, משם ואילך בסטרא דרע, והן ערב רב שבדור כמו שאומר שם וזה שאומר. ועלייהו אתמר כו'. כמו שאמרו בתיקונים כל השמות מחואיל מתושאל כו' עיין שם וכאן דרש חנוך לבד:</w:t>
      </w:r>
    </w:p>
  </w:footnote>
  <w:footnote w:id="5132">
    <w:p w:rsidR="00A13282" w:rsidRDefault="00A13282" w:rsidP="006D2826">
      <w:pPr>
        <w:pStyle w:val="a5"/>
        <w:rPr>
          <w:rtl/>
        </w:rPr>
      </w:pPr>
      <w:r>
        <w:rPr>
          <w:rStyle w:val="a7"/>
          <w:rtl/>
        </w:rPr>
        <w:footnoteRef/>
      </w:r>
      <w:r>
        <w:rPr>
          <w:rtl/>
        </w:rPr>
        <w:t xml:space="preserve"> </w:t>
      </w:r>
      <w:r>
        <w:rPr>
          <w:b/>
          <w:bCs/>
          <w:rtl/>
        </w:rPr>
        <w:t>חנוך מסט' דקין כו'.</w:t>
      </w:r>
      <w:r>
        <w:rPr>
          <w:rtl/>
        </w:rPr>
        <w:t xml:space="preserve"> שחנוך הוא במט"ט, עץ הדעת טוב ורע, יצר טוב ויצר הרע וזה שאומר ודא יצר הרע חינוכא כו'. כמו שכתוב חנוך לנער ע"פ דרכו והוא לאדם מסטרא דיצירה שהוא נער:</w:t>
      </w:r>
    </w:p>
  </w:footnote>
  <w:footnote w:id="5133">
    <w:p w:rsidR="00A13282" w:rsidRDefault="00A13282" w:rsidP="006D2826">
      <w:pPr>
        <w:pStyle w:val="a5"/>
        <w:rPr>
          <w:rtl/>
        </w:rPr>
      </w:pPr>
      <w:r>
        <w:rPr>
          <w:rStyle w:val="a7"/>
          <w:rtl/>
        </w:rPr>
        <w:footnoteRef/>
      </w:r>
      <w:r>
        <w:rPr>
          <w:rtl/>
        </w:rPr>
        <w:t xml:space="preserve"> </w:t>
      </w:r>
      <w:r>
        <w:rPr>
          <w:b/>
          <w:bCs/>
          <w:rtl/>
        </w:rPr>
        <w:t>ואית חנוך מסט' דאנוש.</w:t>
      </w:r>
      <w:r>
        <w:rPr>
          <w:rtl/>
        </w:rPr>
        <w:t xml:space="preserve"> הוא חנוך בן ירד, מט"ט, ובנוי דקין הוא ס"מ כידוע, ואמר מסטרא דאנוש, שממנו התחילו הגלגולים כמו שמפרש והולך. וזהו (תהלים קג טו) אנוש כחציר ימיו, שדרשו על גלגולא דאדם בזוהר פ' פנחס עיין שם שלכן נקראו כל האנשים בשם אנוש:</w:t>
      </w:r>
    </w:p>
  </w:footnote>
  <w:footnote w:id="5134">
    <w:p w:rsidR="00A13282" w:rsidRDefault="00A13282" w:rsidP="006D2826">
      <w:pPr>
        <w:pStyle w:val="a5"/>
        <w:rPr>
          <w:rtl/>
        </w:rPr>
      </w:pPr>
      <w:r>
        <w:rPr>
          <w:rStyle w:val="a7"/>
          <w:rtl/>
        </w:rPr>
        <w:footnoteRef/>
      </w:r>
      <w:r>
        <w:rPr>
          <w:rtl/>
        </w:rPr>
        <w:t xml:space="preserve"> </w:t>
      </w:r>
      <w:r>
        <w:rPr>
          <w:b/>
          <w:bCs/>
          <w:rtl/>
        </w:rPr>
        <w:t>דנהפך בשריה כו'.</w:t>
      </w:r>
      <w:r>
        <w:rPr>
          <w:rtl/>
        </w:rPr>
        <w:t xml:space="preserve"> שרוצה לקמן לומר ובגיניה כו' כל בשר בגין כו' כמו שבארנו שם: </w:t>
      </w:r>
    </w:p>
  </w:footnote>
  <w:footnote w:id="5135">
    <w:p w:rsidR="00A13282" w:rsidRDefault="00A13282" w:rsidP="006D2826">
      <w:pPr>
        <w:pStyle w:val="a5"/>
        <w:rPr>
          <w:rtl/>
        </w:rPr>
      </w:pPr>
      <w:r>
        <w:rPr>
          <w:rStyle w:val="a7"/>
          <w:rtl/>
        </w:rPr>
        <w:footnoteRef/>
      </w:r>
      <w:r>
        <w:rPr>
          <w:rtl/>
        </w:rPr>
        <w:t xml:space="preserve"> </w:t>
      </w:r>
      <w:r>
        <w:rPr>
          <w:b/>
          <w:bCs/>
          <w:rtl/>
        </w:rPr>
        <w:t>ותלתא אינון כו'.</w:t>
      </w:r>
      <w:r>
        <w:rPr>
          <w:rtl/>
        </w:rPr>
        <w:t xml:space="preserve"> שתלת גלגולין דג' חיון הוא עד אנוש, ומשם ואילך גלגולין דאלף דור דאדם כמו שאומר לעיל בדף הקודם וזה שאומר אנוש מתמן כו' שלכן בשת כתיב בדמותו כצלמו מה שאין כן באנוש כמו שאומר לעיל בגלגול השלישי, שנוי מעשה, משנה פניו, וכן דרשו בזוהר הנ"ל משנה פניו על פסוק (תהלים קג טו,טז) אנוש כחציר ימיו, כי רוח עברה בו ואיננו, ואיננו בפנים הראשונים עיין שם, וזה שכתוב אצל חנוך ואיננו כי לקח כו', מכבר, קודם זה הגלגול, שהגלגולים ממנו כנ"ל:</w:t>
      </w:r>
    </w:p>
  </w:footnote>
  <w:footnote w:id="5136">
    <w:p w:rsidR="00A13282" w:rsidRDefault="00A13282" w:rsidP="006D2826">
      <w:pPr>
        <w:pStyle w:val="a5"/>
        <w:rPr>
          <w:rtl/>
        </w:rPr>
      </w:pPr>
      <w:r>
        <w:rPr>
          <w:rStyle w:val="a7"/>
          <w:rtl/>
        </w:rPr>
        <w:footnoteRef/>
      </w:r>
      <w:r>
        <w:rPr>
          <w:rtl/>
        </w:rPr>
        <w:t xml:space="preserve"> </w:t>
      </w:r>
      <w:r>
        <w:rPr>
          <w:b/>
          <w:bCs/>
          <w:rtl/>
        </w:rPr>
        <w:t>מתמן אתייחסו כו'.</w:t>
      </w:r>
      <w:r>
        <w:rPr>
          <w:rtl/>
        </w:rPr>
        <w:t xml:space="preserve"> שלכן אצל אנוש נאמר (בראשית ה א) זה ספר תולדות אדם כו' וזה שאומר מתמן כו':</w:t>
      </w:r>
    </w:p>
  </w:footnote>
  <w:footnote w:id="5137">
    <w:p w:rsidR="00A13282" w:rsidRDefault="00A13282" w:rsidP="006D2826">
      <w:pPr>
        <w:pStyle w:val="a5"/>
        <w:rPr>
          <w:rtl/>
        </w:rPr>
      </w:pPr>
      <w:r>
        <w:rPr>
          <w:rStyle w:val="a7"/>
          <w:rtl/>
        </w:rPr>
        <w:footnoteRef/>
      </w:r>
      <w:r>
        <w:rPr>
          <w:rtl/>
        </w:rPr>
        <w:t xml:space="preserve"> </w:t>
      </w:r>
      <w:r>
        <w:rPr>
          <w:b/>
          <w:bCs/>
          <w:rtl/>
        </w:rPr>
        <w:t>הה"ד כו' בשם ה'.</w:t>
      </w:r>
      <w:r>
        <w:rPr>
          <w:rtl/>
        </w:rPr>
        <w:t xml:space="preserve"> שהוא גלגולין דאדם בשכינה שנקראת שם ה' כמו שאומר לעיל:</w:t>
      </w:r>
    </w:p>
  </w:footnote>
  <w:footnote w:id="5138">
    <w:p w:rsidR="00A13282" w:rsidRDefault="00A13282" w:rsidP="006D2826">
      <w:pPr>
        <w:pStyle w:val="a5"/>
        <w:rPr>
          <w:rtl/>
        </w:rPr>
      </w:pPr>
      <w:r>
        <w:rPr>
          <w:rStyle w:val="a7"/>
          <w:rtl/>
        </w:rPr>
        <w:footnoteRef/>
      </w:r>
      <w:r>
        <w:rPr>
          <w:rtl/>
        </w:rPr>
        <w:t xml:space="preserve"> </w:t>
      </w:r>
      <w:r>
        <w:rPr>
          <w:b/>
          <w:bCs/>
          <w:rtl/>
        </w:rPr>
        <w:t xml:space="preserve">איהו מט"ט כו' ללפידי אש. </w:t>
      </w:r>
      <w:r>
        <w:rPr>
          <w:rtl/>
        </w:rPr>
        <w:t>רוצה לומר לכן נקרא נוריאל לשון נור דליק כמו שאומר למטה וזה שאומר ואיהו נוריאל:</w:t>
      </w:r>
    </w:p>
  </w:footnote>
  <w:footnote w:id="5139">
    <w:p w:rsidR="00A13282" w:rsidRDefault="00A13282" w:rsidP="006D2826">
      <w:pPr>
        <w:pStyle w:val="a5"/>
        <w:rPr>
          <w:rtl/>
        </w:rPr>
      </w:pPr>
      <w:r>
        <w:rPr>
          <w:rStyle w:val="a7"/>
          <w:rtl/>
        </w:rPr>
        <w:footnoteRef/>
      </w:r>
      <w:r>
        <w:rPr>
          <w:rtl/>
        </w:rPr>
        <w:t xml:space="preserve"> </w:t>
      </w:r>
      <w:r>
        <w:rPr>
          <w:b/>
          <w:bCs/>
          <w:rtl/>
        </w:rPr>
        <w:t>ועל תרוייהו.</w:t>
      </w:r>
      <w:r>
        <w:rPr>
          <w:rtl/>
        </w:rPr>
        <w:t xml:space="preserve"> רוצה לומר תרין דרגין, מט"ט ונוריאל. כי ד' חיות הן ד' אותיות שבשם, ט' ספירות מחכמה ולמטה, ומט"ט הוא חיה החמישי, פרצוף החמישי, כתר היצירה שבו שני בחינות של כתר, עתיקא קדישא וא"א כידוע, מופלא ומכוסה, שעליו נאמר (יחזקאל א כח) ואראה ואפול על כו', ובחינה הראשונה הוא מט"ט, שבו מתלבש שם ה' בבריאה, כמו כל עתיק כידוע, ונוריאל הוא בחינה האחרונה שלכן הוא נחשב בכלל החיות, ארגמן, כידוע בכל כתר וזה שכתוב והחיות רצוא כו', שבסטרא דנוריאל רצין להשיגו, ושוב - בסטרא דמט"ט, שעתיק נקרא רישא דלא אתיידע: </w:t>
      </w:r>
    </w:p>
  </w:footnote>
  <w:footnote w:id="5140">
    <w:p w:rsidR="00A13282" w:rsidRDefault="00A13282" w:rsidP="006D2826">
      <w:pPr>
        <w:pStyle w:val="a5"/>
        <w:rPr>
          <w:rtl/>
        </w:rPr>
      </w:pPr>
      <w:r>
        <w:rPr>
          <w:rStyle w:val="a7"/>
          <w:rtl/>
        </w:rPr>
        <w:footnoteRef/>
      </w:r>
      <w:r>
        <w:rPr>
          <w:rtl/>
        </w:rPr>
        <w:t xml:space="preserve"> </w:t>
      </w:r>
      <w:r>
        <w:rPr>
          <w:b/>
          <w:bCs/>
          <w:rtl/>
        </w:rPr>
        <w:t>הכי סלקי בחושבן.</w:t>
      </w:r>
      <w:r>
        <w:rPr>
          <w:rtl/>
        </w:rPr>
        <w:t xml:space="preserve"> רוצה לומר רצוא ושוב כמנין מט"ט ונוריאל:</w:t>
      </w:r>
    </w:p>
  </w:footnote>
  <w:footnote w:id="5141">
    <w:p w:rsidR="00A13282" w:rsidRDefault="00A13282" w:rsidP="006D2826">
      <w:pPr>
        <w:pStyle w:val="a5"/>
        <w:rPr>
          <w:rtl/>
        </w:rPr>
      </w:pPr>
      <w:r>
        <w:rPr>
          <w:rStyle w:val="a7"/>
          <w:rtl/>
        </w:rPr>
        <w:footnoteRef/>
      </w:r>
      <w:r>
        <w:rPr>
          <w:rtl/>
        </w:rPr>
        <w:t xml:space="preserve"> </w:t>
      </w:r>
      <w:r>
        <w:rPr>
          <w:b/>
          <w:bCs/>
          <w:rtl/>
        </w:rPr>
        <w:t>כמראה הבזק.</w:t>
      </w:r>
      <w:r>
        <w:rPr>
          <w:rtl/>
        </w:rPr>
        <w:t xml:space="preserve"> רוצה לומר עליו נאמר כמראה כמו שמפרש והולך כמראה הקשת שהוא מט"ט, קשת דאתחזי כידוע:</w:t>
      </w:r>
    </w:p>
  </w:footnote>
  <w:footnote w:id="5142">
    <w:p w:rsidR="00A13282" w:rsidRDefault="00A13282" w:rsidP="006D2826">
      <w:pPr>
        <w:pStyle w:val="a5"/>
        <w:rPr>
          <w:rtl/>
        </w:rPr>
      </w:pPr>
      <w:r>
        <w:rPr>
          <w:rStyle w:val="a7"/>
          <w:rtl/>
        </w:rPr>
        <w:footnoteRef/>
      </w:r>
      <w:r>
        <w:rPr>
          <w:rtl/>
        </w:rPr>
        <w:t xml:space="preserve"> </w:t>
      </w:r>
      <w:r>
        <w:rPr>
          <w:b/>
          <w:bCs/>
          <w:rtl/>
        </w:rPr>
        <w:t>ובגיניה אתמר כו'.</w:t>
      </w:r>
      <w:r>
        <w:rPr>
          <w:rtl/>
        </w:rPr>
        <w:t xml:space="preserve"> בגין דאתהפך כו' וכל מלאכין דממנן כו'. רוצה לומר כמו שאומר לעיל (איוב כב טז) דנהר יוצק יסודם, נהר דינור שכל הרשעים נידונין  בו ונתקנין בו וחזרין בגלגול, ומט"ט הוא נהר דינור. נור של נוריאל כמו שאומר למטה נוריאל נור דליק, ונוריאל עם ד' חיות שכלילן בו כידוע, וכן כל כתר כולל כל ד' אותיות של השם, ד' פרצופין שלמטה, וכן הוא בנוריאל, נוריאל וד' גי' אש, וזה שאומר שנהפך ללפידי אש, והוא רון דמטטרו"ן כמו שאומר למטה, והוא עץ הדעת טוב ורע, הרע נקרא בשר, (בראשית ו ג) בשגם הוא בשר, (בראשית ו יז) לשחת כל בשר, (בראשית ו יג) קץ כל בשר, שלכן מרבה בשר, וכן אמרו אוי לבשר מפני בשר, ואש הוא טוב, (ירמיהו כג כט) דברי כאש, והוא מטה דאתהפך מנחש למטה, מסטרא דרע לסטרא דטוב, וכן נידונין ונצרפים שם הרשעים ונעשין מבשר אש, וזה שאומר דנהפך בשריה ללפידי אש, ולכן ולא יהיה מבול לשחת כל בשר אלא נהר יוצק יסודם - לאש, וזהו הקשת, נהר הנ"ל כנ"ל וזה שאומר. וכל מלאכין כו'. ורוצה לומר זהו ללפידי אש, רבים, והן המלאכים דממנן כו' שכל הגלגולים בו כנ"ל:</w:t>
      </w:r>
    </w:p>
  </w:footnote>
  <w:footnote w:id="5143">
    <w:p w:rsidR="00A13282" w:rsidRDefault="00A13282" w:rsidP="006D2826">
      <w:pPr>
        <w:pStyle w:val="a5"/>
        <w:rPr>
          <w:rtl/>
        </w:rPr>
      </w:pPr>
      <w:r>
        <w:rPr>
          <w:rStyle w:val="a7"/>
          <w:rtl/>
        </w:rPr>
        <w:footnoteRef/>
      </w:r>
      <w:r>
        <w:rPr>
          <w:rtl/>
        </w:rPr>
        <w:t xml:space="preserve"> </w:t>
      </w:r>
      <w:r>
        <w:rPr>
          <w:b/>
          <w:bCs/>
          <w:rtl/>
        </w:rPr>
        <w:t>ועוד כמראה כו' כמראה אשר כו'.</w:t>
      </w:r>
      <w:r>
        <w:rPr>
          <w:rtl/>
        </w:rPr>
        <w:t xml:space="preserve"> והוא משכן דנער מט"ט שהראה למשה כמו שאומר בזוהר ובתבניתם עשה הכל:</w:t>
      </w:r>
    </w:p>
  </w:footnote>
  <w:footnote w:id="5144">
    <w:p w:rsidR="00A13282" w:rsidRDefault="00A13282" w:rsidP="006D2826">
      <w:pPr>
        <w:pStyle w:val="a5"/>
        <w:rPr>
          <w:rtl/>
        </w:rPr>
      </w:pPr>
      <w:r>
        <w:rPr>
          <w:rStyle w:val="a7"/>
          <w:rtl/>
        </w:rPr>
        <w:footnoteRef/>
      </w:r>
      <w:r>
        <w:rPr>
          <w:rtl/>
        </w:rPr>
        <w:t xml:space="preserve"> </w:t>
      </w:r>
      <w:r>
        <w:rPr>
          <w:b/>
          <w:bCs/>
          <w:rtl/>
        </w:rPr>
        <w:t>ודא מט"ט כו'.</w:t>
      </w:r>
      <w:r>
        <w:rPr>
          <w:rtl/>
        </w:rPr>
        <w:t xml:space="preserve"> רוצה לומר המנורה ולכן נאמר אצל המנורה שני פסוקים הנ"ל וראה ועשה כו' כמראה כו':</w:t>
      </w:r>
    </w:p>
  </w:footnote>
  <w:footnote w:id="5145">
    <w:p w:rsidR="00A13282" w:rsidRDefault="00A13282" w:rsidP="006D2826">
      <w:pPr>
        <w:pStyle w:val="a5"/>
        <w:rPr>
          <w:rtl/>
        </w:rPr>
      </w:pPr>
      <w:r>
        <w:rPr>
          <w:rStyle w:val="a7"/>
          <w:rtl/>
        </w:rPr>
        <w:footnoteRef/>
      </w:r>
      <w:r>
        <w:rPr>
          <w:rtl/>
        </w:rPr>
        <w:t xml:space="preserve"> </w:t>
      </w:r>
      <w:r>
        <w:rPr>
          <w:b/>
          <w:bCs/>
          <w:rtl/>
        </w:rPr>
        <w:t>מ' דיליה.</w:t>
      </w:r>
      <w:r>
        <w:rPr>
          <w:rtl/>
        </w:rPr>
        <w:t xml:space="preserve"> של ראשי תיבות מט"ט: </w:t>
      </w:r>
    </w:p>
  </w:footnote>
  <w:footnote w:id="5146">
    <w:p w:rsidR="00A13282" w:rsidRDefault="00A13282" w:rsidP="006D2826">
      <w:pPr>
        <w:pStyle w:val="a5"/>
        <w:rPr>
          <w:rtl/>
        </w:rPr>
      </w:pPr>
      <w:r>
        <w:rPr>
          <w:rStyle w:val="a7"/>
          <w:rtl/>
        </w:rPr>
        <w:footnoteRef/>
      </w:r>
      <w:r>
        <w:rPr>
          <w:rtl/>
        </w:rPr>
        <w:t xml:space="preserve"> </w:t>
      </w:r>
      <w:r>
        <w:rPr>
          <w:b/>
          <w:bCs/>
          <w:rtl/>
        </w:rPr>
        <w:t>נוריאל נור דליק.</w:t>
      </w:r>
      <w:r>
        <w:rPr>
          <w:rtl/>
        </w:rPr>
        <w:t xml:space="preserve"> (במדבר ח ב) בהעלותך את הנרות, להדליק מנורה גי' אש, והוא נור של מט"ט ונוריאל ומט"ט ונוריאל הן אחד באותיותיהן, רק א' של נוריאל וט"ט של מט"ט, כי י' ל' של נוריאל הוא מ"ם של מט"ט, נור הוא רון והוא רנ"ו כנפים של החיות, מ' הוא ד' אנפין של החיות, וד' החיות עצמן שהן מ', כל אחת עשר כידוע, והן נחלקין בנוריאל לשתים, ל' וי', כי ג' חיוון, ורביעי אדם נכללת מכולם, וכן בשם, יק"ו וה' אחרונה שלכן נאמר (יחזקאל א י) ודמות פניהם כו' כידוע, ובו מתלבש מלכות, אדני, שהוא א' של נוריאל בבחינה התחתונה שבו, וזהו מנורה, נו"ר ומ' וה' שהוא מלכות, והוא חיה הראשונה וכולל כל החמשה חיות לכן הוא ה', וכן ה' רביעית שבשם הוא כולל כל ה' פרצופין, ובמט"ט מתלבש ח"י עלמין כידוע והוא ט"ט שבו כמו שאמרו ח"י עלמין ט' מלמעלה למטה וט' ממטה למעלה, וזה שאומר והוא ט"ט כו' והוא כמו שאמרו (סנהדרין ד ב) ט"ט שתים פת שתים, שד' פרשיות של תפלין הן בתפארת, פת דת"פארת שכלול שתים, חו"ג, וט"ט ביסוד כלול נו"ה כידוע:</w:t>
      </w:r>
    </w:p>
  </w:footnote>
  <w:footnote w:id="5147">
    <w:p w:rsidR="00A13282" w:rsidRDefault="00A13282" w:rsidP="006D2826">
      <w:pPr>
        <w:pStyle w:val="a5"/>
        <w:rPr>
          <w:rtl/>
        </w:rPr>
      </w:pPr>
      <w:r>
        <w:rPr>
          <w:rStyle w:val="a7"/>
          <w:rtl/>
        </w:rPr>
        <w:footnoteRef/>
      </w:r>
      <w:r>
        <w:rPr>
          <w:rtl/>
        </w:rPr>
        <w:t xml:space="preserve"> </w:t>
      </w:r>
      <w:r>
        <w:rPr>
          <w:b/>
          <w:bCs/>
          <w:rtl/>
        </w:rPr>
        <w:t>וכולא נתפשט מאנוש.</w:t>
      </w:r>
      <w:r>
        <w:rPr>
          <w:rtl/>
        </w:rPr>
        <w:t xml:space="preserve"> כל הגלגולין, והוא אש דאנוש, נ"ו שבו של נוריאל כנ"ל והוא גי' מט"ט עם שם מ"ב שהוא במט"ט כידוע והוא בגבורה, אש כידוע:</w:t>
      </w:r>
    </w:p>
  </w:footnote>
  <w:footnote w:id="5148">
    <w:p w:rsidR="00A13282" w:rsidRDefault="00A13282" w:rsidP="006D2826">
      <w:pPr>
        <w:pStyle w:val="a5"/>
        <w:rPr>
          <w:rtl/>
        </w:rPr>
      </w:pPr>
      <w:r>
        <w:rPr>
          <w:rStyle w:val="a7"/>
        </w:rPr>
        <w:footnoteRef/>
      </w:r>
      <w:r>
        <w:t xml:space="preserve"> </w:t>
      </w:r>
      <w:r>
        <w:rPr>
          <w:rtl/>
        </w:rPr>
        <w:t xml:space="preserve"> </w:t>
      </w:r>
      <w:r>
        <w:rPr>
          <w:b/>
          <w:bCs/>
          <w:rtl/>
        </w:rPr>
        <w:t>תיקון ע בראשית כו' אימא כו'.</w:t>
      </w:r>
      <w:r>
        <w:rPr>
          <w:rtl/>
        </w:rPr>
        <w:t xml:space="preserve"> והוא אלקים דבראשית:</w:t>
      </w:r>
    </w:p>
  </w:footnote>
  <w:footnote w:id="5149">
    <w:p w:rsidR="00A13282" w:rsidRDefault="00A13282" w:rsidP="006D2826">
      <w:pPr>
        <w:pStyle w:val="a5"/>
        <w:rPr>
          <w:rtl/>
        </w:rPr>
      </w:pPr>
      <w:r>
        <w:rPr>
          <w:rStyle w:val="a7"/>
          <w:rtl/>
        </w:rPr>
        <w:footnoteRef/>
      </w:r>
      <w:r>
        <w:rPr>
          <w:rtl/>
        </w:rPr>
        <w:t xml:space="preserve"> </w:t>
      </w:r>
      <w:r>
        <w:rPr>
          <w:b/>
          <w:bCs/>
          <w:rtl/>
        </w:rPr>
        <w:t>ובאלין שית כו'.</w:t>
      </w:r>
      <w:r>
        <w:rPr>
          <w:rtl/>
        </w:rPr>
        <w:t xml:space="preserve"> כמו שאומר לעיל ק"ח דמשית תיקונין כו', והן שית היכלין דכאן, ותחת הבל הוא היכלא שביעאה, הבל ה' עילאה כמו שאומר למטה (ונחיתת ביה ה' מן הבל כו', או מי נתן כו', ולמטה שית, ו', ברא באמצעיתא) ואמר כאן ענין ז' היכלין לפי שרוצה לפרש לקמן שבעה היכלין בשם מ"ב שהוא בפסוק ראשון דבראשית לכן מרמז כאן במלת בראשית, ומרמז בפסוק וידע כו' שנאמר כי נתן לי אלקים כו', שהוא שם האחרון מע' שמות כמו שאומר לעיל בתיקון ל”ב:</w:t>
      </w:r>
    </w:p>
  </w:footnote>
  <w:footnote w:id="5150">
    <w:p w:rsidR="00A13282" w:rsidRDefault="00A13282" w:rsidP="006D2826">
      <w:pPr>
        <w:pStyle w:val="a5"/>
        <w:rPr>
          <w:rtl/>
        </w:rPr>
      </w:pPr>
      <w:r>
        <w:rPr>
          <w:rStyle w:val="a7"/>
          <w:rtl/>
        </w:rPr>
        <w:footnoteRef/>
      </w:r>
      <w:r>
        <w:rPr>
          <w:rtl/>
        </w:rPr>
        <w:t xml:space="preserve"> </w:t>
      </w:r>
      <w:r>
        <w:rPr>
          <w:b/>
          <w:bCs/>
          <w:rtl/>
        </w:rPr>
        <w:t xml:space="preserve">שת סיומא דאתוון. </w:t>
      </w:r>
      <w:r>
        <w:rPr>
          <w:rtl/>
        </w:rPr>
        <w:t>לרמוז שהוא אחרית וראשית, גלגולא דהבל כנ"ל וזהו תחת הבל:</w:t>
      </w:r>
    </w:p>
  </w:footnote>
  <w:footnote w:id="5151">
    <w:p w:rsidR="00A13282" w:rsidRDefault="00A13282" w:rsidP="006D2826">
      <w:pPr>
        <w:pStyle w:val="a5"/>
        <w:rPr>
          <w:rtl/>
        </w:rPr>
      </w:pPr>
      <w:r>
        <w:rPr>
          <w:rStyle w:val="a7"/>
          <w:rtl/>
        </w:rPr>
        <w:footnoteRef/>
      </w:r>
      <w:r>
        <w:rPr>
          <w:rtl/>
        </w:rPr>
        <w:t xml:space="preserve"> </w:t>
      </w:r>
      <w:r>
        <w:rPr>
          <w:b/>
          <w:bCs/>
          <w:rtl/>
        </w:rPr>
        <w:t>תחת הבל הה"ד כל כו'.</w:t>
      </w:r>
      <w:r>
        <w:rPr>
          <w:rtl/>
        </w:rPr>
        <w:t xml:space="preserve"> רוצה לומר במקום כל, שהוא יו"ד דזרע ברית קדש כמו שאומר לעיל קי"א ב' בהגהה שתה, שת ה', תחת רגליו שהוא נקרא א"ב, התחלת א"ב, ושת ה' תחת רגליו, סוף תיבת שת, ונעשה שתה, וקאי על האדם, וכן נקרא כרעא דאבוה, וזהו רגליו וכנ"ל, ויו"ד היה באמצע שהוא זכר, אבל ה"א שהיא נקבה היא בסוף כמו באיש ואשה:</w:t>
      </w:r>
    </w:p>
  </w:footnote>
  <w:footnote w:id="5152">
    <w:p w:rsidR="00A13282" w:rsidRDefault="00A13282" w:rsidP="006D2826">
      <w:pPr>
        <w:pStyle w:val="a5"/>
        <w:rPr>
          <w:rtl/>
        </w:rPr>
      </w:pPr>
      <w:r>
        <w:rPr>
          <w:rStyle w:val="a7"/>
          <w:rtl/>
        </w:rPr>
        <w:footnoteRef/>
      </w:r>
      <w:r>
        <w:rPr>
          <w:rtl/>
        </w:rPr>
        <w:t xml:space="preserve"> </w:t>
      </w:r>
      <w:r>
        <w:rPr>
          <w:b/>
          <w:bCs/>
          <w:rtl/>
        </w:rPr>
        <w:t xml:space="preserve">ועוד שת כו'. </w:t>
      </w:r>
      <w:r>
        <w:rPr>
          <w:rtl/>
        </w:rPr>
        <w:t>והוא דרגא דמשה, גלגולא דיליה:</w:t>
      </w:r>
    </w:p>
  </w:footnote>
  <w:footnote w:id="5153">
    <w:p w:rsidR="00A13282" w:rsidRDefault="00A13282" w:rsidP="006D2826">
      <w:pPr>
        <w:pStyle w:val="a5"/>
        <w:rPr>
          <w:rtl/>
        </w:rPr>
      </w:pPr>
      <w:r>
        <w:rPr>
          <w:rStyle w:val="a7"/>
          <w:rtl/>
        </w:rPr>
        <w:footnoteRef/>
      </w:r>
      <w:r>
        <w:rPr>
          <w:rtl/>
        </w:rPr>
        <w:t xml:space="preserve"> </w:t>
      </w:r>
      <w:r>
        <w:rPr>
          <w:b/>
          <w:bCs/>
          <w:rtl/>
        </w:rPr>
        <w:t xml:space="preserve">ועוד שת עלי' אמר כו'. </w:t>
      </w:r>
      <w:r>
        <w:rPr>
          <w:rtl/>
        </w:rPr>
        <w:t>כמו שאומר למטה דנשלם שת והוא באבהן כמו שאומר לעיל ק"ט ב':</w:t>
      </w:r>
    </w:p>
  </w:footnote>
  <w:footnote w:id="5154">
    <w:p w:rsidR="00A13282" w:rsidRDefault="00A13282" w:rsidP="006D2826">
      <w:pPr>
        <w:pStyle w:val="a5"/>
        <w:rPr>
          <w:rtl/>
        </w:rPr>
      </w:pPr>
      <w:r>
        <w:rPr>
          <w:rStyle w:val="a7"/>
          <w:rtl/>
        </w:rPr>
        <w:footnoteRef/>
      </w:r>
      <w:r>
        <w:rPr>
          <w:rtl/>
        </w:rPr>
        <w:t xml:space="preserve"> </w:t>
      </w:r>
      <w:r>
        <w:rPr>
          <w:b/>
          <w:bCs/>
          <w:rtl/>
        </w:rPr>
        <w:t xml:space="preserve">תמן התחלה דגלגולא כו'. </w:t>
      </w:r>
      <w:r>
        <w:rPr>
          <w:rtl/>
        </w:rPr>
        <w:t>רוצה לומר לההוא דקרא בשם ה', משה, שנאמר ויקרא בשם ה', שביה נשלם השם כמו שאומר למטה הוחל כאן גלגולא דיליה:</w:t>
      </w:r>
    </w:p>
  </w:footnote>
  <w:footnote w:id="5155">
    <w:p w:rsidR="00A13282" w:rsidRDefault="00A13282" w:rsidP="006D2826">
      <w:pPr>
        <w:pStyle w:val="a5"/>
        <w:rPr>
          <w:rtl/>
        </w:rPr>
      </w:pPr>
      <w:r>
        <w:rPr>
          <w:rStyle w:val="a7"/>
          <w:rtl/>
        </w:rPr>
        <w:footnoteRef/>
      </w:r>
      <w:r>
        <w:rPr>
          <w:rtl/>
        </w:rPr>
        <w:t xml:space="preserve"> </w:t>
      </w:r>
      <w:r>
        <w:rPr>
          <w:b/>
          <w:bCs/>
          <w:rtl/>
        </w:rPr>
        <w:t xml:space="preserve">ואתפשטותיה דאת יו"ד משת כו'. </w:t>
      </w:r>
      <w:r>
        <w:rPr>
          <w:rtl/>
        </w:rPr>
        <w:t xml:space="preserve">רוצה לומר דיו"ד משת דהוא שית, אתכליל ביעקב כמו שאומר למטה ותלתא אתוון אתכלילו ביעקב, ויעקב הוא ספירה הששית, ואמר ודא אבן השתיה [אע"ג דהיו"ד הוא חכמה מכל מקום הוא ג"כ מלכות וכמו שאומר לעיל ק"ח ב' עיין שם היטב] ורוצה לומר זה שכתוב אבן ישראל ואמר </w:t>
      </w:r>
      <w:r>
        <w:rPr>
          <w:b/>
          <w:bCs/>
          <w:rtl/>
        </w:rPr>
        <w:t>ואבתרי' אז ודא משה.</w:t>
      </w:r>
      <w:r>
        <w:rPr>
          <w:rtl/>
        </w:rPr>
        <w:t xml:space="preserve"> רוצה לומר דמשה הוא שביעי דהוא אחר יעקב וכמו שאומר לקמן דדעת שם מקומו, וזהו אז, א' וז', וא' הוא אבן שתיה הנ"ל, ושתיה הוא תלתא אתוון דאתכלילו ביעקב, שת י"ה, כמו שאומר למטה ואינון או"א כו':</w:t>
      </w:r>
    </w:p>
  </w:footnote>
  <w:footnote w:id="5156">
    <w:p w:rsidR="00A13282" w:rsidRDefault="00A13282" w:rsidP="006D2826">
      <w:pPr>
        <w:pStyle w:val="a5"/>
        <w:rPr>
          <w:rtl/>
        </w:rPr>
      </w:pPr>
      <w:r>
        <w:rPr>
          <w:rStyle w:val="a7"/>
          <w:rtl/>
        </w:rPr>
        <w:footnoteRef/>
      </w:r>
      <w:r>
        <w:rPr>
          <w:rtl/>
        </w:rPr>
        <w:t xml:space="preserve"> </w:t>
      </w:r>
      <w:r>
        <w:rPr>
          <w:b/>
          <w:bCs/>
          <w:rtl/>
        </w:rPr>
        <w:t xml:space="preserve">מתמן ואילך אז כו'. </w:t>
      </w:r>
      <w:r>
        <w:rPr>
          <w:rtl/>
        </w:rPr>
        <w:t>כנ"ל שאז הוחל להתפלל, ואז נשלם שם יהו"ה ולכן וה' יענה סלחתי כו':</w:t>
      </w:r>
    </w:p>
  </w:footnote>
  <w:footnote w:id="5157">
    <w:p w:rsidR="00A13282" w:rsidRDefault="00A13282" w:rsidP="006D2826">
      <w:pPr>
        <w:pStyle w:val="a5"/>
        <w:rPr>
          <w:rtl/>
        </w:rPr>
      </w:pPr>
      <w:r>
        <w:rPr>
          <w:rStyle w:val="a7"/>
          <w:rtl/>
        </w:rPr>
        <w:footnoteRef/>
      </w:r>
      <w:r>
        <w:rPr>
          <w:rtl/>
        </w:rPr>
        <w:t xml:space="preserve"> </w:t>
      </w:r>
      <w:r>
        <w:rPr>
          <w:b/>
          <w:bCs/>
          <w:rtl/>
        </w:rPr>
        <w:t xml:space="preserve">ובג"ד שתה בתר כו'. </w:t>
      </w:r>
      <w:r>
        <w:rPr>
          <w:rtl/>
        </w:rPr>
        <w:t>חוזר לענין ראשון ולפרש דביעקב נכללו ג' אתוון, והוא כמו שאומר לעיל ק"ט ב' די"ה נכללו ונשלמו באברהם ויצחק, ו' - ביעקב, וידוע שיעקב הוא כלל אבהן, דנוטל חו"ג שהן דאבהן, לכן נטיל כל ג' אתוון:</w:t>
      </w:r>
    </w:p>
  </w:footnote>
  <w:footnote w:id="5158">
    <w:p w:rsidR="00A13282" w:rsidRDefault="00A13282" w:rsidP="006D2826">
      <w:pPr>
        <w:pStyle w:val="a5"/>
        <w:rPr>
          <w:rtl/>
        </w:rPr>
      </w:pPr>
      <w:r>
        <w:rPr>
          <w:rStyle w:val="a7"/>
          <w:rtl/>
        </w:rPr>
        <w:footnoteRef/>
      </w:r>
      <w:r>
        <w:rPr>
          <w:rtl/>
        </w:rPr>
        <w:t xml:space="preserve"> </w:t>
      </w:r>
      <w:r>
        <w:rPr>
          <w:b/>
          <w:bCs/>
          <w:rtl/>
        </w:rPr>
        <w:t>כד אתא משה כו'.</w:t>
      </w:r>
      <w:r>
        <w:rPr>
          <w:rtl/>
        </w:rPr>
        <w:t xml:space="preserve"> שהוא ה' דמשה:</w:t>
      </w:r>
    </w:p>
  </w:footnote>
  <w:footnote w:id="5159">
    <w:p w:rsidR="00A13282" w:rsidRDefault="00A13282" w:rsidP="006D2826">
      <w:pPr>
        <w:pStyle w:val="a5"/>
        <w:rPr>
          <w:rtl/>
        </w:rPr>
      </w:pPr>
      <w:r>
        <w:rPr>
          <w:rStyle w:val="a7"/>
          <w:rtl/>
        </w:rPr>
        <w:footnoteRef/>
      </w:r>
      <w:r>
        <w:rPr>
          <w:rtl/>
        </w:rPr>
        <w:t xml:space="preserve"> </w:t>
      </w:r>
      <w:r>
        <w:rPr>
          <w:b/>
          <w:bCs/>
          <w:rtl/>
        </w:rPr>
        <w:t>למשה ואמרו כו'.</w:t>
      </w:r>
      <w:r>
        <w:rPr>
          <w:rtl/>
        </w:rPr>
        <w:t xml:space="preserve"> סופי תיבות הוי"ה:</w:t>
      </w:r>
    </w:p>
  </w:footnote>
  <w:footnote w:id="5160">
    <w:p w:rsidR="00A13282" w:rsidRDefault="00A13282" w:rsidP="006D2826">
      <w:pPr>
        <w:pStyle w:val="a5"/>
        <w:rPr>
          <w:rtl/>
        </w:rPr>
      </w:pPr>
      <w:r>
        <w:rPr>
          <w:rStyle w:val="a7"/>
          <w:rtl/>
        </w:rPr>
        <w:footnoteRef/>
      </w:r>
      <w:r>
        <w:rPr>
          <w:rtl/>
        </w:rPr>
        <w:t xml:space="preserve"> </w:t>
      </w:r>
      <w:r>
        <w:rPr>
          <w:b/>
          <w:bCs/>
          <w:rtl/>
        </w:rPr>
        <w:t xml:space="preserve">ואתקרי בההוא זמנא מ"ה. </w:t>
      </w:r>
      <w:r>
        <w:rPr>
          <w:rtl/>
        </w:rPr>
        <w:t>רוצה לומר שמא מפרש, חושבן מ"ה, מה דמשה:</w:t>
      </w:r>
    </w:p>
  </w:footnote>
  <w:footnote w:id="5161">
    <w:p w:rsidR="00A13282" w:rsidRDefault="00A13282" w:rsidP="006D2826">
      <w:pPr>
        <w:pStyle w:val="a5"/>
        <w:rPr>
          <w:rtl/>
        </w:rPr>
      </w:pPr>
      <w:r>
        <w:rPr>
          <w:rStyle w:val="a7"/>
          <w:rtl/>
        </w:rPr>
        <w:footnoteRef/>
      </w:r>
      <w:r>
        <w:rPr>
          <w:rtl/>
        </w:rPr>
        <w:t xml:space="preserve"> </w:t>
      </w:r>
      <w:r>
        <w:rPr>
          <w:b/>
          <w:bCs/>
          <w:rtl/>
        </w:rPr>
        <w:t xml:space="preserve">ולא עוד אלא תרין זמנין כו' מה דלעילא כו'. </w:t>
      </w:r>
      <w:r>
        <w:rPr>
          <w:rtl/>
        </w:rPr>
        <w:t xml:space="preserve">דמה הוא יחודא, והוא יחודא בין או"א ובין זו"נ, והוא בשמו ובשם בנו, וזה שאומר </w:t>
      </w:r>
      <w:r>
        <w:rPr>
          <w:b/>
          <w:bCs/>
          <w:rtl/>
        </w:rPr>
        <w:t>דהא כולא ביחודא חדא כו' ואי חאב אבוי ואנא כו'</w:t>
      </w:r>
      <w:r>
        <w:rPr>
          <w:rtl/>
        </w:rPr>
        <w:t xml:space="preserve"> בין או"א אבא והוא בין זו"נ:</w:t>
      </w:r>
    </w:p>
  </w:footnote>
  <w:footnote w:id="5162">
    <w:p w:rsidR="00A13282" w:rsidRDefault="00A13282" w:rsidP="006D2826">
      <w:pPr>
        <w:pStyle w:val="a5"/>
        <w:rPr>
          <w:rtl/>
        </w:rPr>
      </w:pPr>
      <w:r>
        <w:rPr>
          <w:rStyle w:val="a7"/>
          <w:rtl/>
        </w:rPr>
        <w:footnoteRef/>
      </w:r>
      <w:r>
        <w:rPr>
          <w:rtl/>
        </w:rPr>
        <w:t xml:space="preserve"> </w:t>
      </w:r>
      <w:r>
        <w:rPr>
          <w:b/>
          <w:bCs/>
          <w:rtl/>
        </w:rPr>
        <w:t xml:space="preserve">הא קבילנא כו'. </w:t>
      </w:r>
      <w:r>
        <w:rPr>
          <w:rtl/>
        </w:rPr>
        <w:t>במיתת הבל, וכן אדם:</w:t>
      </w:r>
    </w:p>
  </w:footnote>
  <w:footnote w:id="5163">
    <w:p w:rsidR="00A13282" w:rsidRDefault="00A13282" w:rsidP="006D2826">
      <w:pPr>
        <w:pStyle w:val="a5"/>
        <w:rPr>
          <w:rtl/>
        </w:rPr>
      </w:pPr>
      <w:r>
        <w:rPr>
          <w:rStyle w:val="a7"/>
          <w:rtl/>
        </w:rPr>
        <w:footnoteRef/>
      </w:r>
      <w:r>
        <w:rPr>
          <w:rtl/>
        </w:rPr>
        <w:t xml:space="preserve"> </w:t>
      </w:r>
      <w:r>
        <w:rPr>
          <w:b/>
          <w:bCs/>
          <w:rtl/>
        </w:rPr>
        <w:t xml:space="preserve">וחזרנא כלא כו'. </w:t>
      </w:r>
      <w:r>
        <w:rPr>
          <w:rtl/>
        </w:rPr>
        <w:t>ה' אלקינו - או"א, ה' אחד - דו"נ כידוע, ונתקן הכל ביחודא חדא:</w:t>
      </w:r>
    </w:p>
  </w:footnote>
  <w:footnote w:id="5164">
    <w:p w:rsidR="00A13282" w:rsidRDefault="00A13282" w:rsidP="006D2826">
      <w:pPr>
        <w:pStyle w:val="a5"/>
        <w:rPr>
          <w:rtl/>
        </w:rPr>
      </w:pPr>
      <w:r>
        <w:rPr>
          <w:rStyle w:val="a7"/>
          <w:rtl/>
        </w:rPr>
        <w:footnoteRef/>
      </w:r>
      <w:r>
        <w:rPr>
          <w:rtl/>
        </w:rPr>
        <w:t xml:space="preserve"> </w:t>
      </w:r>
      <w:r>
        <w:rPr>
          <w:b/>
          <w:bCs/>
          <w:rtl/>
        </w:rPr>
        <w:t xml:space="preserve">ת"ח שבע היכלין אינון דבניינא כו'. </w:t>
      </w:r>
      <w:r>
        <w:rPr>
          <w:rtl/>
        </w:rPr>
        <w:t>כמו שאומר לעיל ק"ו ב' מיד קם ההוא מארי כו' לשבעה היכלין כו' בהאי קרא עבידנא כל בניינא דא כו' שבע הבלים אינון בהאי קרא כו' ולבושין דאינון הויות אינון ז' שמהן כו', וכל שם ממונה על יום אחד כמו שאומר לקמן קל"ג ב' שבעה שמהן דרישא דסלקין למ"ב וכו' ונקודין דלהון כו', ואינון כלולין בפסוק ראשון דבראשית שהוא ז' תיבין כמו שאומר בפ' בראשית ט"ו ב' והכא אגליף רזא דשמא דארבעין ותרין אתוון, ורוצה לומר בפסוק ראשון דאתפרש שם, דמשם ולהלאה ט"ז א' מפרש פסוק ב' והארץ היתה תהו, ומסיים שם, דשם שמא דתריסר אתוון, ורוצה לומר שם הי"ב</w:t>
      </w:r>
      <w:r>
        <w:rPr>
          <w:b/>
          <w:bCs/>
          <w:rtl/>
        </w:rPr>
        <w:t xml:space="preserve"> </w:t>
      </w:r>
      <w:r>
        <w:rPr>
          <w:rtl/>
        </w:rPr>
        <w:t>הידוע שהן בי"ב פרקי גופא העיקרין והן מלך כו' שהן מנצפ"ך כו' שהן י"ב אותיות, דשאר אותיות הן ששים, בס' פרקין, נ"ו הידועים, ופה וצואר וב' עינים, שהוא שם ע"ב, י"ב אינון דילה, וששים גבורים סביב לה, ויוצאין מקרא הנ"ל תהו ובהו וחשך ורוח, ד' תיבין בג' אתוון כל אחד, והן בד' שמהן כמו שאומר שם, ויוצאין משם י"ב וכמו שאומר שם ארבע פרקין הכא דאינון פרקי גופא ואברין ידיעין דאינון ארבעה ואינון תריסר והכא כו', אבל שם הנ"ל יוצא מפסוק ראשון וכמו שאומר שם ט' א' על רזא דא כתיב בראשית הא שית אתוון ברא אלקים כו' הא הכא שית תיבין, ועיין לעיל ל"ח א' וכולהו סלקין למ"ב כו' ובתיקון כ”ב ס"ג א' ואינון שית אתוון ולכל כו':</w:t>
      </w:r>
    </w:p>
  </w:footnote>
  <w:footnote w:id="5165">
    <w:p w:rsidR="00A13282" w:rsidRDefault="00A13282" w:rsidP="006D2826">
      <w:pPr>
        <w:pStyle w:val="a5"/>
        <w:rPr>
          <w:rtl/>
        </w:rPr>
      </w:pPr>
      <w:r>
        <w:rPr>
          <w:rStyle w:val="a7"/>
          <w:rtl/>
        </w:rPr>
        <w:footnoteRef/>
      </w:r>
      <w:r>
        <w:rPr>
          <w:rtl/>
        </w:rPr>
        <w:t xml:space="preserve"> </w:t>
      </w:r>
      <w:r>
        <w:rPr>
          <w:b/>
          <w:bCs/>
          <w:rtl/>
        </w:rPr>
        <w:t xml:space="preserve">היכלא קדמאה מרקמא כו'. </w:t>
      </w:r>
      <w:r>
        <w:rPr>
          <w:rtl/>
        </w:rPr>
        <w:t>כמו שאומר למטה וציורא דהאי היכלא אינון עשר ספירות דמתלבשין ביו"ד דברים דאתבריאו ביומא קדמאה ואינון כו', והן בעשר ספירות דשם זה כמו שמפרש והולך, א' מן כו' ית"ץ, הן ו"ק, והן עשר ספירות, והן כסדר, ומלכות, עטרת בעלה, (שה"ש ו ד) איומה כנדגלות, והיכלא קדמאה הוא ביום ראשון כנ"ל וכן מפרש לקמן ק"כ א', היכל שני ליום שני במים, אלא שחסר שם הרבה וכן שאר היכלין:</w:t>
      </w:r>
    </w:p>
  </w:footnote>
  <w:footnote w:id="5166">
    <w:p w:rsidR="00A13282" w:rsidRDefault="00A13282" w:rsidP="006D2826">
      <w:pPr>
        <w:pStyle w:val="a5"/>
        <w:rPr>
          <w:rtl/>
        </w:rPr>
      </w:pPr>
      <w:r>
        <w:rPr>
          <w:rStyle w:val="a7"/>
          <w:rtl/>
        </w:rPr>
        <w:footnoteRef/>
      </w:r>
      <w:r>
        <w:rPr>
          <w:rtl/>
        </w:rPr>
        <w:t xml:space="preserve"> </w:t>
      </w:r>
      <w:r>
        <w:rPr>
          <w:b/>
          <w:bCs/>
          <w:rtl/>
        </w:rPr>
        <w:t>א' מן כו'</w:t>
      </w:r>
      <w:r>
        <w:rPr>
          <w:rtl/>
        </w:rPr>
        <w:t xml:space="preserve">. רוצה לומר ראשי תיבות אמון, והוא בכתר שנאמר עליו ואהיה אצלו אמון, דשם ההוא בכתר, ואמרו (בראשית רבה פרשה א) אמון מופלא אמון מכוסה כו', והכל בכתר דהוא מופלא ומכוסה כמו שכתוב (בן סירא) במופלא ממך כו' ובמכוסה ממך כו', ועיין בתיקוני זוהר חדש ע"ד א' ושאר מקומות, והוא אמון אומן של עלת העלות וכמו שמפרש והולך בגין האי א"ק אתמר בעלת העלות ואהיה אצלו אמון, ולההוא קדמון אמר נעשה כו', ואמון מופלא ומכוסה הן בג' רישין דביה. מ"ס הוא האמון דביה נעשה הכל כמו שאומר באידרא זוטא בארוכה, ועיין בסוף אידרא רבה קמ"ד א' ובאידרא זוטא רצ"ב ב' וההוא דלא הוה כו' אומנא לאומנתיה כו', ומכוסה הוא ח"ס עלאה, אוירא עלאה, ומופלא הוא רישא עילאה לכל רישין, ואלף מורה על כולם, אלף - אמון כנ"ל, אלף - פלא, אלף - מכוסה דהוא נח נסתר יותר מכל הנסתרים, ולכן אמרו (חגיגה יג ע"א) במה שהורשית התבונן אין לך עסק בנסתרות שהן חב"ד שהן הנסתרות לה' אלקינו במוחא וריאה ולבא, דריאה כלולה עם לבא, אם אין בינה אין דעת אם אין כו', דרוחא דיליה נשיב בלבא כו', ולכן חשיב בכל מקום רק מוחא ולבא, וכן בעשר ספירות אבל הן ג' כנ"ל ולכן אותיות יה"ו הן נסתרות, נח נסתר, ולפי שלבא סופא דג"ר ורישא לז"ת, שהיא קשר המרכבה, לכן היא אינה נח רק בסוף התיבה לבד, ומפני שהיא כתר לז"ת והיא דוגמת הכתר, היא נחה אחר כל תנועה דוגמת האלף, אבל האלף היא טמירא דטמירין כנ"ל שהיא אחר כל תנועה ואין בה נח נראה רק לפרקים מועטים כו' והיא נסתר אף מהנסתרים, נחה אחר נח, כמו הוא היא, ולכן אלו ב' תיבות הוא היא מורה על זו"נ נסתרים, שכל האותיות הן מאותיות נסתרים, והה"א מפני שהיא נרגשת יותר מהן שמה בתחילה בתנועה, ואותיות או"י נסתרים תחתיה, ופלא שמופלא מהכל, והתורה מתחלת בב', ונברא העולם בב', בראשית שהוא ראשית הגילוי, (תהלים קיא י) ראשית חכמה, ושם אין חשבון ומספר, דמספר מתחיל משנים, דבאחד אין מספר כידוע, ושם הוא חד ולא בחושבנא, וכל הג' רישין כולן בא', שהוא יו"י, וא"ו הוא באוירא כידוע, והן מה שאומר למעלה קי"ג א' אור גניז וטמיר כו', והוא גניז וטמיר במופלא ומכוסה. וקדמון צח ומצוחצח הוא בג' מוחין דמ"ס, דשם הוא קמ"ץ ראשי תיבות הנ"ל, והן נגד ג' דרגין דכלילין כולא, והן ג' הויות כמו שאומר באידרא זוטא ועל זה נאמר (ישעיהו נח יא) והשביע בצחצחות נפשך, צח וצחות ועיין מה שאומר למטה: </w:t>
      </w:r>
    </w:p>
  </w:footnote>
  <w:footnote w:id="5167">
    <w:p w:rsidR="00A13282" w:rsidRDefault="00A13282" w:rsidP="006D2826">
      <w:pPr>
        <w:pStyle w:val="a5"/>
        <w:rPr>
          <w:rtl/>
        </w:rPr>
      </w:pPr>
      <w:r>
        <w:rPr>
          <w:rStyle w:val="a7"/>
          <w:rtl/>
        </w:rPr>
        <w:footnoteRef/>
      </w:r>
      <w:r>
        <w:rPr>
          <w:rtl/>
        </w:rPr>
        <w:t xml:space="preserve"> </w:t>
      </w:r>
      <w:r>
        <w:rPr>
          <w:b/>
          <w:bCs/>
          <w:rtl/>
        </w:rPr>
        <w:t>את ב' איהו כו'.</w:t>
      </w:r>
      <w:r>
        <w:rPr>
          <w:rtl/>
        </w:rPr>
        <w:t xml:space="preserve"> רוצה לומר חכמה, ב' דבראשית, התחלת התורה שמשם התורה כ"ב אתוון וי' נקודות כמו שאומר לקמן, בספר יצירה בל"ב נתיבות פליאות חכמה כו' והוא ב' אלפים שנה כו', ועיין בתיקוני זוהר חדש פ' ואתחנן ענין ב' אלפים:</w:t>
      </w:r>
    </w:p>
  </w:footnote>
  <w:footnote w:id="5168">
    <w:p w:rsidR="00A13282" w:rsidRDefault="00A13282" w:rsidP="006D2826">
      <w:pPr>
        <w:pStyle w:val="a5"/>
        <w:rPr>
          <w:rtl/>
        </w:rPr>
      </w:pPr>
      <w:r>
        <w:rPr>
          <w:rStyle w:val="a7"/>
          <w:rtl/>
        </w:rPr>
        <w:footnoteRef/>
      </w:r>
      <w:r>
        <w:rPr>
          <w:rtl/>
        </w:rPr>
        <w:t xml:space="preserve"> </w:t>
      </w:r>
      <w:r>
        <w:rPr>
          <w:b/>
          <w:bCs/>
          <w:rtl/>
        </w:rPr>
        <w:t>ג' גומלת כו'.</w:t>
      </w:r>
      <w:r>
        <w:rPr>
          <w:rtl/>
        </w:rPr>
        <w:t xml:space="preserve"> דהיא אם הבנים, וינקא להו ואשקי ליה תדיר כמו שכתוב (איוב טו טו) ושמים לא זכו בעיניו, (משלי ג יט) כונן שמים בתבונה:</w:t>
      </w:r>
    </w:p>
  </w:footnote>
  <w:footnote w:id="5169">
    <w:p w:rsidR="00A13282" w:rsidRDefault="00A13282" w:rsidP="006D2826">
      <w:pPr>
        <w:pStyle w:val="a5"/>
        <w:rPr>
          <w:rtl/>
        </w:rPr>
      </w:pPr>
      <w:r>
        <w:rPr>
          <w:rStyle w:val="a7"/>
          <w:rtl/>
        </w:rPr>
        <w:footnoteRef/>
      </w:r>
      <w:r>
        <w:rPr>
          <w:rtl/>
        </w:rPr>
        <w:t xml:space="preserve"> </w:t>
      </w:r>
      <w:r>
        <w:rPr>
          <w:b/>
          <w:bCs/>
          <w:rtl/>
        </w:rPr>
        <w:t>גומלת כו' דאיהי ד'.</w:t>
      </w:r>
      <w:r>
        <w:rPr>
          <w:rtl/>
        </w:rPr>
        <w:t xml:space="preserve"> רוצה לומר מלכות, דאיהי רביעאה לכל תלת, ואיהי רביעאה לג"ר כנ"ל, בסוד עטרת בעלה, את רביעי דשמא קדישא, ואמר דאיהי ד' רוצה לומר שהיא נקראת אות ד' על שם שהיא דלה ועניה דלית לה מגרמה כלום, ואמרו (שבת קד ע"א) ג"ד גמול דלים, והוא כמו שאומר כאן, ואמר כאן ב' דברים, א' גומלת ומגדלת ב' גומלת חסד כו':</w:t>
      </w:r>
    </w:p>
  </w:footnote>
  <w:footnote w:id="5170">
    <w:p w:rsidR="00A13282" w:rsidRDefault="00A13282" w:rsidP="006D2826">
      <w:pPr>
        <w:pStyle w:val="a5"/>
        <w:rPr>
          <w:rtl/>
        </w:rPr>
      </w:pPr>
      <w:r>
        <w:rPr>
          <w:rStyle w:val="a7"/>
          <w:rtl/>
        </w:rPr>
        <w:footnoteRef/>
      </w:r>
      <w:r>
        <w:rPr>
          <w:rtl/>
        </w:rPr>
        <w:t xml:space="preserve"> </w:t>
      </w:r>
      <w:r>
        <w:rPr>
          <w:b/>
          <w:bCs/>
          <w:rtl/>
        </w:rPr>
        <w:t>י' חכמה.</w:t>
      </w:r>
      <w:r>
        <w:rPr>
          <w:rtl/>
        </w:rPr>
        <w:t xml:space="preserve"> דכל יו"ד היא חכמה אלא דכאן חכמת שלמה והיא נאצלת קודם בעלה, בסוד ד"ו פרצופים, ד' ו', ולכן כל השם הוא כסדר העשר ספירות, ות"ת כולל אבהן, וצדיק - בנין:</w:t>
      </w:r>
    </w:p>
  </w:footnote>
  <w:footnote w:id="5171">
    <w:p w:rsidR="00A13282" w:rsidRDefault="00A13282" w:rsidP="006D2826">
      <w:pPr>
        <w:pStyle w:val="a5"/>
        <w:rPr>
          <w:rtl/>
        </w:rPr>
      </w:pPr>
      <w:r>
        <w:rPr>
          <w:rStyle w:val="a7"/>
          <w:rtl/>
        </w:rPr>
        <w:footnoteRef/>
      </w:r>
      <w:r>
        <w:rPr>
          <w:rtl/>
        </w:rPr>
        <w:t xml:space="preserve"> </w:t>
      </w:r>
      <w:r>
        <w:rPr>
          <w:b/>
          <w:bCs/>
          <w:rtl/>
        </w:rPr>
        <w:t>א' אמון כו'.</w:t>
      </w:r>
      <w:r>
        <w:rPr>
          <w:rtl/>
        </w:rPr>
        <w:t xml:space="preserve"> עתה חוזר לפרש בפרטיות:</w:t>
      </w:r>
    </w:p>
  </w:footnote>
  <w:footnote w:id="5172">
    <w:p w:rsidR="00A13282" w:rsidRDefault="00A13282" w:rsidP="006D2826">
      <w:pPr>
        <w:pStyle w:val="a5"/>
        <w:rPr>
          <w:rtl/>
        </w:rPr>
      </w:pPr>
      <w:r>
        <w:rPr>
          <w:rStyle w:val="a7"/>
          <w:rtl/>
        </w:rPr>
        <w:footnoteRef/>
      </w:r>
      <w:r>
        <w:rPr>
          <w:rtl/>
        </w:rPr>
        <w:t xml:space="preserve"> </w:t>
      </w:r>
      <w:r>
        <w:rPr>
          <w:b/>
          <w:bCs/>
          <w:rtl/>
        </w:rPr>
        <w:t>בהיכלא דא"ק כו'.</w:t>
      </w:r>
      <w:r>
        <w:rPr>
          <w:rtl/>
        </w:rPr>
        <w:t xml:space="preserve"> רוצה לומר בכתר כמו שמפרש והולך, ורוצה לומר שהיכל ראשון שהוא דאימא כנ"ל כולל ד' היכלין, ג"ר ודעת כידוע בכל היכל שביעי, והוא ד' רגלין דכסא, וששה היכלות דלמטה שית דרגין, והן ג' אותיות ראשונות כנ"ל וג' אחרונות הן סוד הדעת כולל ו"ק, שורש לשית היכלין שתחתיו כידוע שזהו סוד הדעת, ולפי שהדעת נכלל מג"ר כן נתחלק לג' אותיות שכוללין ז"ת, דו"נ וצדיק מכריע בינתים, שעל זה הולך בתלת תלת, ספר וספר וסיפור, ולכן לא מפרש רק הג' אותיות בג' היכלין דהיכל זה, וכמו שאומר לקמן למטה עד הכא א' מן אב"ג, מאי ב' כו' ג' כו', דכאן הוא היכל הכתר ואמר </w:t>
      </w:r>
      <w:r>
        <w:rPr>
          <w:b/>
          <w:bCs/>
          <w:rtl/>
        </w:rPr>
        <w:t>קדמאה דכל קדומים</w:t>
      </w:r>
      <w:r>
        <w:rPr>
          <w:rtl/>
        </w:rPr>
        <w:t xml:space="preserve"> משום דחו"ב הן ג"כ קדומים לעולם אלפים שנה קדומה לעולם חסד יבנה, ואמר </w:t>
      </w:r>
      <w:r>
        <w:rPr>
          <w:b/>
          <w:bCs/>
          <w:rtl/>
        </w:rPr>
        <w:t>דאית אדם כו'.</w:t>
      </w:r>
      <w:r>
        <w:rPr>
          <w:rtl/>
        </w:rPr>
        <w:t xml:space="preserve"> רוצה לומר דלכן א' דא"ק, דא' מורה על אדם, ושם הוא אדם אע"ג דכל ספירה נקרא אדם מכל מקום הוא אדם קדמאה, ואמר כתר עליון דיש שאר כתרים כמו כתר דז"א ושאר פרצופים וכמו שאומר בריש אידרא זוטא רישא עילאה עתיקא קדישא סתימאה דכל סתימין רישא דכל רישין, והוא כולל ג' ג' רישין, גולגלתא ואוירא ומ"ס, ונגד זה אמר כתר עליון סתים וטמיר - כסדר, ועוד למעלה למעלה רדל"א כולל ג"כ ג', שכל רישא כולל ג' שלכן אמר שם ג', דלאו רישא, ולא ידע, ולא אתיידע כו', ונגד זה אמר כאן סתים כו' עלת כו' קדמון, והוא מלמטה למעלה והבן מאד:</w:t>
      </w:r>
    </w:p>
  </w:footnote>
  <w:footnote w:id="5173">
    <w:p w:rsidR="00A13282" w:rsidRDefault="00A13282" w:rsidP="006D2826">
      <w:pPr>
        <w:pStyle w:val="a5"/>
        <w:rPr>
          <w:rtl/>
        </w:rPr>
      </w:pPr>
      <w:r>
        <w:rPr>
          <w:rStyle w:val="a7"/>
          <w:rtl/>
        </w:rPr>
        <w:footnoteRef/>
      </w:r>
      <w:r>
        <w:rPr>
          <w:rtl/>
        </w:rPr>
        <w:t xml:space="preserve"> </w:t>
      </w:r>
      <w:r>
        <w:rPr>
          <w:b/>
          <w:bCs/>
          <w:rtl/>
        </w:rPr>
        <w:t>בגין האי אדם קדמון אתמר בעלת כו'.</w:t>
      </w:r>
      <w:r>
        <w:rPr>
          <w:rtl/>
        </w:rPr>
        <w:t xml:space="preserve"> רוצה לומר, דאדם קדמון דהוא הכתר, אמר, ואהיה אצלו רוצה לומר אצל עילת העילות, אמון כמו שמפרש והולך דעלת העלות אמר לא"ק נעשה כו', נמצא דהוא האומן, וכל פסוק זה על היכל זה, ואהיה אצלו אמון - בכתר, (משלי ח ל) ואהיה שעשועים יום יום - בחו"ב דכלילין כחדא, אע"ג דאמר בחכמה נכלל ג"כ הבינה דלא מתפרשין וזהו ב' פעמים ואהיה כמו שכתוב (שמות ג יד) אהי"ה אשר אהי"ה, (משלי שם) משחקת כו' הוא הדעת שעליו נאמר (תהלים קד כו) לויתן זה יצרת לשחק בו, ועיין בזוהר פ’ שמות י"א ב' וכל השמחה ושעשועים - הכל בו וכמו שאומר במדרש הנעלם פ' תולדות, ואמר ג' דברים, משחקת לפניו בכל עת הוא במקומו וזהו לפניו בג"ר דהם נקראים לפניו, ואמר בכל עת - דשם לא מתפרשין לעלמין והוא חידו תדיר, זיווגא תדיר דלא פסיק, משחקת בתבל ארצו - בנוק', ושעשועי את בני אדם - בדכורא שהן ארץ ואדם כמו שאומר בפ' ויגש ובפ' אמור ושאר מקומות וכמו שכתוב (ישעיהו מה יב) אנכי עשיתי ארץ ואדם עליה בראתי, והן ו' אותיות הנ"ל ואהיה כו', א' ואהיה כו', יום יום ב' ג', משחקת לפניו בכל עת - צדיק דנקרא נהר על שמו וכן ידע, וכולו נכלל בו וכל שרשו ואצילותו משם וכן פעולתו, לזה משחקת כו' ושעשועי י' ת':</w:t>
      </w:r>
    </w:p>
  </w:footnote>
  <w:footnote w:id="5174">
    <w:p w:rsidR="00A13282" w:rsidRDefault="00A13282" w:rsidP="006D2826">
      <w:pPr>
        <w:pStyle w:val="a5"/>
        <w:rPr>
          <w:rtl/>
        </w:rPr>
      </w:pPr>
      <w:r>
        <w:rPr>
          <w:rStyle w:val="a7"/>
          <w:rtl/>
        </w:rPr>
        <w:footnoteRef/>
      </w:r>
      <w:r>
        <w:rPr>
          <w:rtl/>
        </w:rPr>
        <w:t xml:space="preserve"> </w:t>
      </w:r>
      <w:r>
        <w:rPr>
          <w:b/>
          <w:bCs/>
          <w:rtl/>
        </w:rPr>
        <w:t>אנת יהיב כו'.</w:t>
      </w:r>
      <w:r>
        <w:rPr>
          <w:rtl/>
        </w:rPr>
        <w:t xml:space="preserve"> דהוא אדם קדמון, הראשון שנצטייר בציור אדם ולכן יהיב כו' ועיין לקמן קל"ב א' אשכחנא כו', ומכל מקום כלן כלילן בראשון דהוא כולל תלת ועיין בריש אידרא זוטא:</w:t>
      </w:r>
    </w:p>
  </w:footnote>
  <w:footnote w:id="5175">
    <w:p w:rsidR="00A13282" w:rsidRDefault="00A13282" w:rsidP="006D2826">
      <w:pPr>
        <w:pStyle w:val="a5"/>
        <w:rPr>
          <w:rtl/>
        </w:rPr>
      </w:pPr>
      <w:r>
        <w:rPr>
          <w:rStyle w:val="a7"/>
          <w:rtl/>
        </w:rPr>
        <w:footnoteRef/>
      </w:r>
      <w:r>
        <w:rPr>
          <w:rtl/>
        </w:rPr>
        <w:t xml:space="preserve"> </w:t>
      </w:r>
      <w:r>
        <w:rPr>
          <w:b/>
          <w:bCs/>
          <w:rtl/>
        </w:rPr>
        <w:t>וכל אברים וכל גוונין ואנא יהיב חילא דישתמודע ביה דאם כו'.</w:t>
      </w:r>
      <w:r>
        <w:rPr>
          <w:rtl/>
        </w:rPr>
        <w:t xml:space="preserve"> עיין שם קל"ב א' דתלת אדם, מנהון ג', שרטוטין וציורין וגוונין, והכל בהיכל הזה כמו שאומר למטה ג' תלת דיוקנין כגוונא דאדם דבריאה כו', ונכלל באדם הזה בתחילה כנ"ל, ואמר ה' דברים נגד ה' אותיות דשם זה שנכלל הכל בא"ק, ציורין ודיוקנין ותיקונין סתימין - ג"ר, אב"ג, אברין - בצ' דביה רמ"ח אברים ועיין לעיל ריש תיקון ל”ט, וגוונין - בת', וכמו שאומר לקמן קל"ב א' ודא תפארת שפירו דכלא כו', ונגד יו"ד, חכמה, הוא שכל דעלת העלות יהיב דבגיניה נחית עלת העלות וכמו שאומר בזוהר חדש פ"ה ב' א"ר אלעזר כו' א"ל אין דההוא א"ק הוה בני עלמין ומחריבן בגין דעלת העלות לא הוה משתתף תמן בגין דעד השתא לא הוה שלים בנוק' דיליה כו' דבכל אתר דלית שכינתא תמן לית שלימותא תמן ועלת העלות לא שריא תמן כו':</w:t>
      </w:r>
    </w:p>
  </w:footnote>
  <w:footnote w:id="5176">
    <w:p w:rsidR="00A13282" w:rsidRDefault="00A13282" w:rsidP="006D2826">
      <w:pPr>
        <w:pStyle w:val="a5"/>
        <w:rPr>
          <w:rtl/>
        </w:rPr>
      </w:pPr>
      <w:r>
        <w:rPr>
          <w:rStyle w:val="a7"/>
          <w:rtl/>
        </w:rPr>
        <w:footnoteRef/>
      </w:r>
      <w:r>
        <w:rPr>
          <w:rtl/>
        </w:rPr>
        <w:t xml:space="preserve"> </w:t>
      </w:r>
      <w:r>
        <w:rPr>
          <w:b/>
          <w:bCs/>
          <w:rtl/>
        </w:rPr>
        <w:t>שמיא וארעא וימא כו'.</w:t>
      </w:r>
      <w:r>
        <w:rPr>
          <w:rtl/>
        </w:rPr>
        <w:t xml:space="preserve"> כמו שמפרש והולך בדגת הים, והוא נוני ימא דלעילא, ובעוף השמים כו' ובכל הארץ ועיין לעיל ק"ד ב' ומאן דאיהו מסטרא דאיהו יו"ד ה"א וא"ו ה"א אתמר ביה וירדו בדגת הים כו' בכלא שליט כמה דאתברי בשמיא וארעא וימא ועליה אתמר מה שהיה כו':</w:t>
      </w:r>
    </w:p>
  </w:footnote>
  <w:footnote w:id="5177">
    <w:p w:rsidR="00A13282" w:rsidRDefault="00A13282" w:rsidP="006D2826">
      <w:pPr>
        <w:pStyle w:val="a5"/>
        <w:rPr>
          <w:rtl/>
        </w:rPr>
      </w:pPr>
      <w:r>
        <w:rPr>
          <w:rStyle w:val="a7"/>
          <w:rtl/>
        </w:rPr>
        <w:footnoteRef/>
      </w:r>
      <w:r>
        <w:rPr>
          <w:rtl/>
        </w:rPr>
        <w:t xml:space="preserve"> </w:t>
      </w:r>
      <w:r>
        <w:rPr>
          <w:b/>
          <w:bCs/>
          <w:rtl/>
        </w:rPr>
        <w:t>ומאי ניהו האי אדם כו' ועוד נעשה אדם כו'.</w:t>
      </w:r>
      <w:r>
        <w:rPr>
          <w:rtl/>
        </w:rPr>
        <w:t xml:space="preserve"> דשניהם נקראים אדם, מה, מה שמו ומה שם בנו, וכן באדם הגשמי, אדם הראשון בדיוקנא דחכמה שאליו נאמר ורדו בדגת הים כו', ושת בנו בדרגא דעמודא דאמצעיתא שעליו נאמר ג"כ ורדו כנ"ל, והוא מה שהיה הוא שיהיה, שהיה בשת, ויולד בדמותו כצלמו, הוא שיהיה במשה, ועיין לעיל נ"ב ב' עד דייתי ההוא דאתמר ביה ויפן כו' וחיליה בימא וביבשתא וברקיע כו':</w:t>
      </w:r>
    </w:p>
  </w:footnote>
  <w:footnote w:id="5178">
    <w:p w:rsidR="00A13282" w:rsidRDefault="00A13282" w:rsidP="006D2826">
      <w:pPr>
        <w:pStyle w:val="a5"/>
        <w:rPr>
          <w:rtl/>
        </w:rPr>
      </w:pPr>
      <w:r>
        <w:rPr>
          <w:rStyle w:val="a7"/>
          <w:rtl/>
        </w:rPr>
        <w:footnoteRef/>
      </w:r>
      <w:r>
        <w:rPr>
          <w:rtl/>
        </w:rPr>
        <w:t xml:space="preserve"> </w:t>
      </w:r>
      <w:r>
        <w:rPr>
          <w:b/>
          <w:bCs/>
          <w:rtl/>
        </w:rPr>
        <w:t>האי אדם דאתמר ביה נעשה כו'.</w:t>
      </w:r>
      <w:r>
        <w:rPr>
          <w:rtl/>
        </w:rPr>
        <w:t xml:space="preserve"> אמר בצלמנו כדמותנו, דשם ב', דאמר למטה מאי ב' בה אשתמודען ד"ו פרצופים דאדם עילאה, וזהו בצלמנו כדמותנו דהוא דו"נ כמו שאומר בריש פ’ שמיני ושאר מקומות, ואמר ועוד נעשה כו', דא"ק עביד אדם וכליל ביה דו"נ דוגמת חו"ב, וזה שאומר </w:t>
      </w:r>
      <w:r>
        <w:rPr>
          <w:b/>
          <w:bCs/>
          <w:rtl/>
        </w:rPr>
        <w:t>בצלמנו דא חכמה כדמותנו כו'.</w:t>
      </w:r>
      <w:r>
        <w:rPr>
          <w:rtl/>
        </w:rPr>
        <w:t xml:space="preserve"> דבעתיקא קדישא לא אשתמודע דו"נ כמו שאומר למטה ובאידרא זוטא דהתחלת דו"נ בחו"ב ומכל מקום שרשם שם וזה שאומר למטה בה אשתמודען דו"נ כו' ואמר </w:t>
      </w:r>
      <w:r>
        <w:rPr>
          <w:b/>
          <w:bCs/>
          <w:rtl/>
        </w:rPr>
        <w:t>דכמה דאיהו אדם דבריאה כו'</w:t>
      </w:r>
      <w:r>
        <w:rPr>
          <w:rtl/>
        </w:rPr>
        <w:t xml:space="preserve"> רוצה לומר האדם הגשמי שבו ג' אדם נר"ן, דבי"ע דוגמת כח"ב, ודוגמת ג' התחתונים דכאן דבאדם מתלבשין, והוא ג' עלאין באדם הראשון, מה שמו, וג' תתאין בבנו, אדם השני כנ"ל ועיין לעיל ק"ח ב' וזה שאומר </w:t>
      </w:r>
      <w:r>
        <w:rPr>
          <w:b/>
          <w:bCs/>
          <w:rtl/>
        </w:rPr>
        <w:t>דבספירן כלא כו'.</w:t>
      </w:r>
      <w:r>
        <w:rPr>
          <w:rtl/>
        </w:rPr>
        <w:t xml:space="preserve"> רוצה לומר כל הנר"ן הוא דאצילות ועיין בריש פ’ משפטים:</w:t>
      </w:r>
    </w:p>
  </w:footnote>
  <w:footnote w:id="5179">
    <w:p w:rsidR="00A13282" w:rsidRDefault="00A13282" w:rsidP="006D2826">
      <w:pPr>
        <w:pStyle w:val="a5"/>
        <w:rPr>
          <w:rtl/>
        </w:rPr>
      </w:pPr>
      <w:r>
        <w:rPr>
          <w:rStyle w:val="a7"/>
          <w:rtl/>
        </w:rPr>
        <w:footnoteRef/>
      </w:r>
      <w:r>
        <w:rPr>
          <w:rtl/>
        </w:rPr>
        <w:t xml:space="preserve"> </w:t>
      </w:r>
      <w:r>
        <w:rPr>
          <w:b/>
          <w:bCs/>
          <w:rtl/>
        </w:rPr>
        <w:t>ועוד נעשה כו' וההוא דאמר נעשה כו'.</w:t>
      </w:r>
      <w:r>
        <w:rPr>
          <w:rtl/>
        </w:rPr>
        <w:t xml:space="preserve"> עיין לעיל ק"ל א', אלף ה"א יו"ד ה"א איהו רזא דעשר אתוון מעילא לתתא, האי איהו כתר בריש כולהו שמהן, ולעילא מיניה יו"ד ה"י וא"ו ה"י, אלף דלת נון יוד לעילא מיניה יו"ד ה"א וא"ו ה"א, וכלהו ארבעין ותרין אתוון, ואלין אינון אתוון דאתבריאו בהון שמיא עלאין וארצות החיים, דאלין אתקריאו שמי השמים, ומאן דברא בהון כלא, אומנא דכלא, עלת העלות כו', ולקמן קל"ד א' אמר תא חזי כמה עילות סתימין דאינון מתלבשין ואינון מורכבין בספירין כו' וכל נהורין דאינון לעילא מנהורין, אינון כתרין על רישייהו, ורזא דמלה אלף ה"א יו"ד ה"א דא רזא דעשרה כתרין דאינון מורכבין על עשר ספירין, ודא איהו כי גבוה מעל גבוה שומר וגבוהים עליהם, יו"ד ה"א וא"ו ה"א, יו"ד ה"י וא"ו ה"י, אלין על גבי אלין, אלין עשר נהרין בעשר, הה"ד עשרה עשרה הכף בשקל הקודש כו', והענין הוא כי ג' רישין מלמטה למעלה, מ"ס וגלגלתא ורדל"א שנקרא עלת העלות, ומיהו אע"ג שגלגלתא למעלה ממ"ס, והוא כתר ומ"ס הוא חכמה דא"א, זהו בקרקפתא אבל מקרקפתא ולמטה שמקיף את מ"ס נקרא הגלגלתא בינה כמו שאומר לעיל ריש תיקון י”ט ל"ז ב' וימודו בעומר דא שכינתא עילאה דאיהי עומר לגלגלת דאיהי גלגלתא דרישא, וזה שבינה וכתר הן דרגא חד בכל מקום ושם אחד להם, וכתיב אהיה אשר אהיה, ואע"ג דבינה לבא, שם הוא בינה שבחכמה וזה שאומר י"ג א' כתר כו' ואיהו קרקפתא דתפילין, רוצה לומר דווקא במקום הנחת תפילין בקרקפתא למעלה, והנה בין גולגלתא למ"ס יש אוירא עילאה כי הג' רישין הן בח"ב דא"א וכמו שהכתר אינו מן הספירות והוא שרשן והוא נעלם, כן הוא בא"א שאינו רק ט' ספירות וכתר דיליה הוא נעלם מאד, ברח לך כו', וגלגלתא ומ"ס הן חו"ב דיליה לכן הגלגלתא שורש לכל החסדים, גלגלתא חוורא, וכולא תיקונין דיליה כמו שאומר באידרא רבה, ומ"ס בוצינא דקרדינותא, שביבין דנור, וכן תיקוני הזקן, וכן הוא יתיב כחמרא על כו', ואוירא הוא נעלם שהוא הדעת והוא נהירו דרדל"א שדעת במקום הכתר לעולם והוא אינו במנין הספירות לכן אינו נחשב ג"כ בכלל ג' רישין, וכל זה הוא למעלה אבל כשמקיפין למ"ס אז הוא לבוש למ"ס וגלגלת לבוש אליו, ומ"ס הוא חכמה, ואוירא - דעת בין חכמה ובינה, וגלגלתא בינה כנ"ל וזהו מה שאומר לקמן קכ"א א' ולמעלה ס"ז ב' כתר ע' שריא ברישא דב"נ כו', אין סוף אתקרי מלגאו, כתר עילאה מלבר, דמשמע דמ"ס הוא גבוה במדרגה יותר מגלגלתא, ובאידרא זוטא רפ"ח א' אמר תלת רישין כו' רישא חדא ח"ס דאתכסי ולא מתפתחי חכמה דא סתימאה רישא דכל רישא לשאר חכמות רישא עילאה עתיקא קדישא סתימא דכל סתימין רישא דכל רישא, משמע שמ"ס נקרא חכמה בערכו, וכתר ודאי גבוה הרבה מחכמה, והחכמה מאין תמצא, אבל כפי מה שכתבתי למעלה ניחא, ואמר לקמן קכ"א א' מ"ס אתקרי אין סוף דאתפליג לתלת מוחין דאינון י' י' י' דאתרמיזו בהאי שמא יו"ד ה"י וא"ו ה"י, ודא איהו מלגאו אבל שמא דאיהו יו"ד ה"א וא"ו ה"א איהו כליל א' א' א' ואינון תלת אוירין דמתלבשין בהון תלת מוחין י' י' י', שמא חד איהו גופא ושמא תניינא מוחא, דא מלגאו ודא מלבר, והוא כמו שכתבתי למעלה, דלמטה הוא להיפוך דמ"ס מתלבשא באוירא, ושמא דאוירא הוא דאלפין כמו שאמר ג' אלפין ג' אוירין, דכל חד כלול מתלת והוא הדעת שהוא שקיו דאילנא כידוע והוא מהשאמר לעיל י"ג א' מלגאו איהו יו"ד ה"א וא"ו ה"א דאיהו ארח אצילות איהו שקיו דאילנא בדרועוי וענפוי כמיא דאשקי לאילנא כו', וגלגלתא שמקפת את מ"ס הוא אהי"ה דאלפין, דבין למעלה בין למטה הוא אהי"ה כנ"ל, והוא המתפשט בכל ספירין והוא כתרא דלהון, שכל ספירה מתחיל מחכמה והוא כתרא דכל חד וחד, וכמו שמלכות, נוק', היא המשלמת מלכות דלהון, כן הוא משלים כתר דלהון, שלעולם כתר אינו מן הספירות בעצמן רק כתרא על רישיהון ושרשן, ואהי"ה הוא לעולם בחינת גוף וכמו שאומר לעיל ח' ב' דהד' בתים הן אהי"ה, ופרשיות הן הוי"ה, ואמר למעלה ה' א', אדנ"י מרכבה להוי"ה ובה אתעטף ואוף הכי הוי"ה אתעטף באהי"ה למברי עלמא, אבל שם הוי"ה איהו מרכבה למאריה, לכתר עילאה, ובג"ד אין קדוש כה', עלת על כלא, טמיר וגניז בכתר כו', ורוצה לומר הויה באדני הוא זו"נ, הוי"ה באהי"ה הוא חו"ב, אבל איהו מרכבה למאריה, לאהיה בכתר עילאה, והנה הם כלם בכתר, דגלגלתא המקפת הוא אהי"ה וביה מתעטף אוירא הוי"ה, והנה מ"ס אף שהוא הוי"ה בג' יודין כנ"ל מכל מקום ביה שם אדני מלא ג"כ, שביה ראשית הגילוי לזו"נ ומשם מתפשטין והוי"ה מתעטף ביה כנ"ל, והן כולם מרכבה לגלגלתא עלאה, והנה אוירא נעלם ונכלל בגלגלתא ולא הזכירו באידרא זוטא כנ"ל וכאן פעמים שמזכירו למטה בלבוש מ"ס ופעמים למעלה שלכן קכ"א א' מזכירו למטה לבד ולא הזכיר גלגלתא וקורא ליה גופא על שם שנכלל בגלגלתא לפי שאינו עוסק שם בשם אהי"ה רק לחלק בין הוי"ה להוי"ה כמו שאמר ההוא סבא שם, קם סבא דסבין כו' ולקמן קל"ד א' הזכיר שם שניהם ואמר דאהי"ה הוא עשרה כתרין כנ"ל והוא גבוה על עשר ספירות ולמעלה דאלפין ודיודין אוירא ומ"ס, ולקמן ק"ל א' קאמר דאהי"ה כתר בריש כו', ולמעלה מ"ס כליל שורש דו"נ הוי"ה דיודין ואדני לעילא מיניה שם מ"ה באוירא עילאה אבל הענין הכולל שלעולם אינו חושב אותם הגלגלת ואוירא רק לאחד ולכן שם ק"ל א' אינו מזכיר הגלגלת למעלה ומסיים בשם מ"ה אוירא עילאה, ולמטה בלבושין מזכיר גלגלתא לבד ולקמן קל"ד א' שאמר וגבוהים עליהם כו' מכוון ג"כ ששם מ"ה על שם ס"ג, אלין על גבי אלין כסדר וכמו שאומר בד' ק"ל א' לענין שם הוי"ה ואדני, ואלו ג' כוללין כל הראש, כח"ב, אוירא ומ"ס וגלגלתא מלמעלה למטה, וחשיב גלגלתא למטה במקום בינה חשיב אוירא לכתר ובאמת כל חשיבות הגלגלתא שהוא גוף מלבר לגבי מ"ס אינו אלא משום נהירו דביה, דעלת העלות מתלבש ביה ומתגלה באוירא, ובאלו ג' נברא העולם שהן ספר וספר וספור, כח"ב, ובהן שם מ"ב שידוע שהוא בראש כמו שאומר לקמן קל"ג ב' והוא בכח"ב כידוע אבל סדרן למטה בלבושין מ"ס ואוירא וגלגלתא, ס"ג ומ"ה כמו שאומר לקמן קכ"א א', וקמ"ג - בגלגלתא, וכן הוא למעלה בשרשן, דגלגלתא למטה מורה עליה למעלה דהיא ג"כ קמ"ג, אהי"ה אשר אהי"ה, ואוירא על אוירא, דבגויה שם מ"ה, ומ"ס מורה על עלת העלות דהוא שם ס"ג וזה שאומר כאן </w:t>
      </w:r>
      <w:r>
        <w:rPr>
          <w:b/>
          <w:bCs/>
          <w:rtl/>
        </w:rPr>
        <w:t>עלת העלות אמר ליו"ד ה"א וא"ו ה"א.</w:t>
      </w:r>
      <w:r>
        <w:rPr>
          <w:rtl/>
        </w:rPr>
        <w:t xml:space="preserve"> ורוצה לומר עשר ספירות דאינון עשר כתרים, והן עשר ספירות דהיכל הזה כמו שאומר למטה וציורא דהאי היכל אינון עשר ספירות דמתלבשין ביו"ד דברים כו', דאינון עשר ספירות הפרטים וההוא דאמר נעשה כו', וכלא כלילין בתלת תלת, ג' יודין וג' אלפין דהוי"ה כנ"ל, וג' אלפין דאהי"ה, וג' דאהי"ה בג' דהוי"ה, והוי"ה בהוי"ה:</w:t>
      </w:r>
    </w:p>
  </w:footnote>
  <w:footnote w:id="5180">
    <w:p w:rsidR="00A13282" w:rsidRDefault="00A13282" w:rsidP="006D2826">
      <w:pPr>
        <w:pStyle w:val="a5"/>
        <w:rPr>
          <w:rtl/>
        </w:rPr>
      </w:pPr>
      <w:r>
        <w:rPr>
          <w:rStyle w:val="a7"/>
          <w:rtl/>
        </w:rPr>
        <w:footnoteRef/>
      </w:r>
      <w:r>
        <w:rPr>
          <w:rtl/>
        </w:rPr>
        <w:t xml:space="preserve"> </w:t>
      </w:r>
      <w:r>
        <w:rPr>
          <w:b/>
          <w:bCs/>
          <w:rtl/>
        </w:rPr>
        <w:t>וציורא כו' ואינון שמים כו'.</w:t>
      </w:r>
      <w:r>
        <w:rPr>
          <w:rtl/>
        </w:rPr>
        <w:t xml:space="preserve"> הכל בעשר ספירות כמו שמפרש והולך:</w:t>
      </w:r>
    </w:p>
  </w:footnote>
  <w:footnote w:id="5181">
    <w:p w:rsidR="00A13282" w:rsidRDefault="00A13282" w:rsidP="006D2826">
      <w:pPr>
        <w:pStyle w:val="a5"/>
        <w:rPr>
          <w:rtl/>
        </w:rPr>
      </w:pPr>
      <w:r>
        <w:rPr>
          <w:rStyle w:val="a7"/>
          <w:rtl/>
        </w:rPr>
        <w:footnoteRef/>
      </w:r>
      <w:r>
        <w:rPr>
          <w:rtl/>
        </w:rPr>
        <w:t xml:space="preserve"> </w:t>
      </w:r>
      <w:r>
        <w:rPr>
          <w:b/>
          <w:bCs/>
          <w:rtl/>
        </w:rPr>
        <w:t>שמים אית לעילא כו'.</w:t>
      </w:r>
      <w:r>
        <w:rPr>
          <w:rtl/>
        </w:rPr>
        <w:t xml:space="preserve"> רוצה לומר שמים שלנו ועיין לקמן ק"ל א' ואלין אינון אתוון דאתבריאו בהון שמיא עלאין וארצות החיים דאלין אתקריאו שמי השמים כו', והן שמים וארץ, חכמה ויסוד, שהן שירותא וסיומא, שיסוד הוא סיומא דמחשבה כמו שאומר בפ' ויקרא, וכן בריש ספרא דצניעותא נקרא הארץ, והוא דוגמא דיליה כמו שאומר כאן שהוא אדם דיצירה דוגמת חכמה, ועיקר השמים וארץ הוא בכל מקום בינה ומלכות, בנוק', אבל כאן הן מדת יום ומדת לילה, ודכורין, דבהון שמים וארץ, תהו בהו הן נו"ה, וחושך - גבורה, ורוח - ת"ת, ומים - חסד, והן ה' ספירות, דיסוד כליל מנהון, וזה שכתוב והארץ היתה כו', ואור הוא כתר, בא אחר כולם, וזה שאומר </w:t>
      </w:r>
      <w:r>
        <w:rPr>
          <w:b/>
          <w:bCs/>
          <w:rtl/>
        </w:rPr>
        <w:t>ואית אור לעילא לעילא</w:t>
      </w:r>
      <w:r>
        <w:rPr>
          <w:rtl/>
        </w:rPr>
        <w:t xml:space="preserve"> אמר ב’ פעמים לעילא ואמר </w:t>
      </w:r>
      <w:r>
        <w:rPr>
          <w:b/>
          <w:bCs/>
          <w:rtl/>
        </w:rPr>
        <w:t>דעינא לא שליט עליה</w:t>
      </w:r>
      <w:r>
        <w:rPr>
          <w:rtl/>
        </w:rPr>
        <w:t xml:space="preserve"> רוצה לומר כמו שכתוב (ישעיהו סד ג) עין לא ראתה, ועינא לא שליט בכתר (כמו שאומר ברעיא מהימנא דכתר הוא כ', למעלה מעשרים, דעינא לא כו') דנקרא אין, והוא אור הגנוז כמו שאומר בפרק א' דספרא דצניעותא:</w:t>
      </w:r>
    </w:p>
  </w:footnote>
  <w:footnote w:id="5182">
    <w:p w:rsidR="00A13282" w:rsidRDefault="00A13282" w:rsidP="006D2826">
      <w:pPr>
        <w:pStyle w:val="a5"/>
        <w:rPr>
          <w:rtl/>
        </w:rPr>
      </w:pPr>
      <w:r>
        <w:rPr>
          <w:rStyle w:val="a7"/>
          <w:rtl/>
        </w:rPr>
        <w:footnoteRef/>
      </w:r>
      <w:r>
        <w:rPr>
          <w:rtl/>
        </w:rPr>
        <w:t xml:space="preserve"> </w:t>
      </w:r>
      <w:r>
        <w:rPr>
          <w:b/>
          <w:bCs/>
          <w:rtl/>
        </w:rPr>
        <w:t>דאתמר בי' רוח הקודש המרחפת כו'.</w:t>
      </w:r>
      <w:r>
        <w:rPr>
          <w:rtl/>
        </w:rPr>
        <w:t xml:space="preserve"> עיין לעיל ע"ו ב', ורוצה לומר דרוח הקודש שורה על אינון דמתעסקין באורייתא וכמו שאמרו (ע"ז כ ע"ב) תורה מביאה לידי זהירות זהירות כו' לידי רוח הקדש:</w:t>
      </w:r>
    </w:p>
  </w:footnote>
  <w:footnote w:id="5183">
    <w:p w:rsidR="00A13282" w:rsidRDefault="00A13282" w:rsidP="006D2826">
      <w:pPr>
        <w:pStyle w:val="a5"/>
        <w:rPr>
          <w:rtl/>
        </w:rPr>
      </w:pPr>
      <w:r>
        <w:rPr>
          <w:rStyle w:val="a7"/>
          <w:rtl/>
        </w:rPr>
        <w:footnoteRef/>
      </w:r>
      <w:r>
        <w:rPr>
          <w:rtl/>
        </w:rPr>
        <w:t xml:space="preserve"> </w:t>
      </w:r>
      <w:r>
        <w:rPr>
          <w:b/>
          <w:bCs/>
          <w:rtl/>
        </w:rPr>
        <w:t>מדת יום כו'.</w:t>
      </w:r>
      <w:r>
        <w:rPr>
          <w:rtl/>
        </w:rPr>
        <w:t xml:space="preserve"> דעלה נאמר מי מדד כו' בה' גוונים דילה כמו שאומר לעיל תיקון ה’ וסוף תיקון י”ח, וכן הוא בשכינתא תתאה, ה' זעירא, כמו שאומר שם ובריש תיקון י”ט דהיא אתעבידת מדה מתתא לעילא:</w:t>
      </w:r>
    </w:p>
  </w:footnote>
  <w:footnote w:id="5184">
    <w:p w:rsidR="00A13282" w:rsidRDefault="00A13282" w:rsidP="006D2826">
      <w:pPr>
        <w:pStyle w:val="a5"/>
        <w:rPr>
          <w:rtl/>
        </w:rPr>
      </w:pPr>
      <w:r>
        <w:rPr>
          <w:rStyle w:val="a7"/>
          <w:rtl/>
        </w:rPr>
        <w:footnoteRef/>
      </w:r>
      <w:r>
        <w:rPr>
          <w:rtl/>
        </w:rPr>
        <w:t xml:space="preserve"> </w:t>
      </w:r>
      <w:r>
        <w:rPr>
          <w:b/>
          <w:bCs/>
          <w:rtl/>
        </w:rPr>
        <w:t>דמיניה יומין ארוכין.</w:t>
      </w:r>
      <w:r>
        <w:rPr>
          <w:rtl/>
        </w:rPr>
        <w:t xml:space="preserve"> דת"ת נקרא אריך אנפין, ישראל סבא, ויסוד זעיר אנפין, נער ישראל ואוהבהו, דסבין הן בחג"ת אברהם זקן, כי זקן יצחק, אב זקן, כי כבדו כו', ונה"י - נערים כידוע כמו שכתוב והנער שמואל, ויהושע בן נון נער, והוא נער את בני בלהה, ועיין בזוהר פ’ בראשית כ"א ב' ושם י"ח ב' אמר אלין אנפי רברבן בדיקנא חתימין, כרובין אנפי זוטרא כרביין כו', ואותיות גדולות ואותיות קטנות הן בעמודא דאמצעיתא וצדיק, וכן בבינה ומלכות כידוע, ואמר </w:t>
      </w:r>
      <w:r>
        <w:rPr>
          <w:b/>
          <w:bCs/>
          <w:rtl/>
        </w:rPr>
        <w:t>הה"ד אורך כו'.</w:t>
      </w:r>
      <w:r>
        <w:rPr>
          <w:rtl/>
        </w:rPr>
        <w:t xml:space="preserve"> והוא נקרא ימין, חסד, כמו שמפרש והולך הה"ד יומם יצוה כו' אלמא חסד הוא ביום, ורוצה לומר ששני אלו המדות, מדת יום ומדת לילה, הן אריכו דיומין לעולם הבא, ליום שכולו ארוך, וקצר ימים בעולם הזה, וזהו מדת יום ומדת לילה, וכל זה בעשר ספירות דכתר דהיכל הראשון כנ"ל, וזה שאומר </w:t>
      </w:r>
      <w:r>
        <w:rPr>
          <w:b/>
          <w:bCs/>
          <w:rtl/>
        </w:rPr>
        <w:t>עד הכא א' מן אב"ג</w:t>
      </w:r>
      <w:r>
        <w:rPr>
          <w:rtl/>
        </w:rPr>
        <w:t xml:space="preserve"> וקאמר אב"ג משום דלא מפרש אלא ג' אותיות בדרך זה כנ"ל:</w:t>
      </w:r>
    </w:p>
  </w:footnote>
  <w:footnote w:id="5185">
    <w:p w:rsidR="00A13282" w:rsidRDefault="00A13282" w:rsidP="006D2826">
      <w:pPr>
        <w:pStyle w:val="a5"/>
        <w:rPr>
          <w:rtl/>
        </w:rPr>
      </w:pPr>
      <w:r>
        <w:rPr>
          <w:rStyle w:val="a7"/>
          <w:rtl/>
        </w:rPr>
        <w:footnoteRef/>
      </w:r>
      <w:r>
        <w:rPr>
          <w:rtl/>
        </w:rPr>
        <w:t xml:space="preserve"> </w:t>
      </w:r>
      <w:r>
        <w:rPr>
          <w:b/>
          <w:bCs/>
          <w:rtl/>
        </w:rPr>
        <w:t>מאי ב' כו'.</w:t>
      </w:r>
      <w:r>
        <w:rPr>
          <w:rtl/>
        </w:rPr>
        <w:t xml:space="preserve"> כנ"ל דלא אשתמודעו דו"נ אלא במ"ס דהוא חכמה, ב' כנ"ל:</w:t>
      </w:r>
    </w:p>
  </w:footnote>
  <w:footnote w:id="5186">
    <w:p w:rsidR="00A13282" w:rsidRDefault="00A13282" w:rsidP="006D2826">
      <w:pPr>
        <w:pStyle w:val="a5"/>
        <w:rPr>
          <w:rtl/>
        </w:rPr>
      </w:pPr>
      <w:r>
        <w:rPr>
          <w:rStyle w:val="a7"/>
          <w:rtl/>
        </w:rPr>
        <w:footnoteRef/>
      </w:r>
      <w:r>
        <w:rPr>
          <w:rtl/>
        </w:rPr>
        <w:t xml:space="preserve"> </w:t>
      </w:r>
      <w:r>
        <w:rPr>
          <w:b/>
          <w:bCs/>
          <w:rtl/>
        </w:rPr>
        <w:t>ג' תלת כו'.</w:t>
      </w:r>
      <w:r>
        <w:rPr>
          <w:rtl/>
        </w:rPr>
        <w:t xml:space="preserve"> דבה נכללו כל התלת כח"ב שהן ג' אדם הנ"ל והוא מנין ג':</w:t>
      </w:r>
    </w:p>
  </w:footnote>
  <w:footnote w:id="5187">
    <w:p w:rsidR="00A13282" w:rsidRDefault="00A13282" w:rsidP="006D2826">
      <w:pPr>
        <w:pStyle w:val="a5"/>
        <w:rPr>
          <w:rtl/>
        </w:rPr>
      </w:pPr>
      <w:r>
        <w:rPr>
          <w:rStyle w:val="a7"/>
          <w:rtl/>
        </w:rPr>
        <w:footnoteRef/>
      </w:r>
      <w:r>
        <w:rPr>
          <w:rtl/>
        </w:rPr>
        <w:t xml:space="preserve"> </w:t>
      </w:r>
      <w:r>
        <w:rPr>
          <w:b/>
          <w:bCs/>
          <w:rtl/>
        </w:rPr>
        <w:t>ג' אית לה כו'.</w:t>
      </w:r>
      <w:r>
        <w:rPr>
          <w:rtl/>
        </w:rPr>
        <w:t xml:space="preserve"> עתה מפרש שבצורתו נכלל ג' אדם הנ"ל שהוא רישא וגופא וזנבא, וגופא וזנבא הן ד"ו פרצופים, אדם דיצירה ועשיה, ורישא הוא אימא עלאה שלכן בינה כוללת ג', ב' דחכמה וא' דכתר, דבאותיות, א"ב הן ביחד שלשה וג' כוללם, כן הוא כאן ב' - חכמה, בה ד"ו פרצופים, ובינה כוללת גם כתר דביה רק אחד אחד בכל צד ולכן היא נכללת בשלשה, והן ג' אדם הנ"ל והוא ראש בטן גויה, ושם הזנב בבטן, ושם קומת הנוק', וכן בעולם שנה נפש, ואמר רישא דא יו"ד דהוא רישא שעל הגימ"ל, גופא - פרצופא שהוא ו', וזנב הוא ד', נוק', ואמר ובג"ד כו' פרצוף ולבסוף זנב כמו שאמרו במדרש רבה והוא כנ"ל וכן על הנוק' אמרו (ברכות סא ע"א) חד אמר פרצוף וחד אמר זנב, כי היא נכללת בג' אדם הנ"ל שהן ג' דרגין דכוללין הכל, וברישא היא עטרת בעלה, וכן היא פרצוף וזנב, והן חולם שורק חיריק כמו שאומר לעיל נ"ד ד' ועיין מה שבארנו שם בארוכה, ואמר </w:t>
      </w:r>
      <w:r>
        <w:rPr>
          <w:b/>
          <w:bCs/>
          <w:rtl/>
        </w:rPr>
        <w:t>זנב עליה אתמר כו'.</w:t>
      </w:r>
      <w:r>
        <w:rPr>
          <w:rtl/>
        </w:rPr>
        <w:t xml:space="preserve"> רוצה לומר כל זמן שהילד יונק משדי אמו נעשה זנב לה שהוא בחיקה עד שנתגדל ואין צריך לאמו אז הוא פרצוף ואח"כ כשהוא מוליד נעשה הוא אב וכן הנקבה תחילה בחיק אמה ואח"כ פרצוף ואח"כ אם לילד דידה וכמו שאמרו (שמות רבה פרשה נב) לא זז כו' בתי כו' אחותי כו' אמי כו', והן ג' דרגין דג', והוא נר"ן, נפש נקרא זנב, ורוח פרצוף שהוא עיקר האדם, והנשמה הוא אם המגדלתו ומורה לו דרך, (משלי א ח)  אל תטוש תורת אמך, והן ג' היכלין דהיכל הראשון הכוללן אימא עילאה והוא כמו שאומר לעיל ב' ב' ואיהו שביעאה לון באימא, אלא שכאן לפי סדר הימים, דיום הראשון הוא בחסד אור, והשני במים גבורה, וכן לקמן קל"ג ב' אלא דאימא מתלבשת בחסד שהוא יומא דכלא יומין, והיא מידת יום, (תהלים מב ט) יומם יצוה ה' חסדו כנ"ל, והיכל שביעי הוא הנה נתתי כו' כמו שאומר לקמן קל"ג ב':</w:t>
      </w:r>
    </w:p>
  </w:footnote>
  <w:footnote w:id="5188">
    <w:p w:rsidR="00A13282" w:rsidRDefault="00A13282" w:rsidP="006D2826">
      <w:pPr>
        <w:pStyle w:val="a5"/>
        <w:rPr>
          <w:rtl/>
        </w:rPr>
      </w:pPr>
      <w:r>
        <w:rPr>
          <w:rStyle w:val="a7"/>
          <w:rtl/>
        </w:rPr>
        <w:footnoteRef/>
      </w:r>
      <w:r>
        <w:rPr>
          <w:rtl/>
        </w:rPr>
        <w:t xml:space="preserve"> </w:t>
      </w:r>
      <w:r>
        <w:rPr>
          <w:b/>
          <w:bCs/>
          <w:rtl/>
        </w:rPr>
        <w:t xml:space="preserve">ועוד אב"ג ית"ץ כו'. </w:t>
      </w:r>
      <w:r>
        <w:rPr>
          <w:rtl/>
        </w:rPr>
        <w:t>מפרש והולך כל הששה אותיות - הכל בשמות, שכל אות הוא שורש לשמות וספירות כמו שמפרש והולך דביה נברא העולם כנ"ל ולכן מתחיל התורה בו, ויוצא מפסוק ראשון כנ"ל, וביה כלילין הכל :</w:t>
      </w:r>
    </w:p>
  </w:footnote>
  <w:footnote w:id="5189">
    <w:p w:rsidR="00A13282" w:rsidRDefault="00A13282" w:rsidP="006D2826">
      <w:pPr>
        <w:pStyle w:val="a5"/>
        <w:rPr>
          <w:rtl/>
        </w:rPr>
      </w:pPr>
      <w:r>
        <w:rPr>
          <w:rStyle w:val="a7"/>
          <w:rtl/>
        </w:rPr>
        <w:footnoteRef/>
      </w:r>
      <w:r>
        <w:rPr>
          <w:rtl/>
        </w:rPr>
        <w:t xml:space="preserve"> </w:t>
      </w:r>
      <w:r>
        <w:rPr>
          <w:b/>
          <w:bCs/>
          <w:rtl/>
        </w:rPr>
        <w:t xml:space="preserve">א' איהי מורה על אל כו'. </w:t>
      </w:r>
      <w:r>
        <w:rPr>
          <w:rtl/>
        </w:rPr>
        <w:t xml:space="preserve">דהוא אל עליון כו', כתר כמו שאומר לקמן קכ"ב א' והוא מסתתר מעיני כו' כנ"ל (ישעיהו סד ג) עין לא ראתה, ונקרא אין וכנ"ל והוא באצילות, ושם </w:t>
      </w:r>
      <w:r>
        <w:rPr>
          <w:b/>
          <w:bCs/>
          <w:rtl/>
        </w:rPr>
        <w:t>אדירירו"ן</w:t>
      </w:r>
      <w:r>
        <w:rPr>
          <w:rtl/>
        </w:rPr>
        <w:t xml:space="preserve"> הוא בבריאה כידוע, ואמר </w:t>
      </w:r>
      <w:r>
        <w:rPr>
          <w:b/>
          <w:bCs/>
          <w:rtl/>
        </w:rPr>
        <w:t>עליה איתמר</w:t>
      </w:r>
      <w:r>
        <w:rPr>
          <w:rtl/>
        </w:rPr>
        <w:t xml:space="preserve"> </w:t>
      </w:r>
      <w:r>
        <w:rPr>
          <w:b/>
          <w:bCs/>
          <w:rtl/>
        </w:rPr>
        <w:t>קומה</w:t>
      </w:r>
      <w:r>
        <w:rPr>
          <w:rtl/>
        </w:rPr>
        <w:t xml:space="preserve"> </w:t>
      </w:r>
      <w:r>
        <w:rPr>
          <w:b/>
          <w:bCs/>
          <w:rtl/>
        </w:rPr>
        <w:t xml:space="preserve">אדירירו"ן </w:t>
      </w:r>
      <w:r>
        <w:rPr>
          <w:rtl/>
        </w:rPr>
        <w:t>רוצה לומר בהיכלות דפרקי היכלות,</w:t>
      </w:r>
      <w:r>
        <w:rPr>
          <w:b/>
          <w:bCs/>
          <w:rtl/>
        </w:rPr>
        <w:t xml:space="preserve"> </w:t>
      </w:r>
      <w:r>
        <w:rPr>
          <w:rtl/>
        </w:rPr>
        <w:t>ו</w:t>
      </w:r>
      <w:r>
        <w:rPr>
          <w:b/>
          <w:bCs/>
          <w:rtl/>
        </w:rPr>
        <w:t>אדיר אדירים.</w:t>
      </w:r>
      <w:r>
        <w:rPr>
          <w:rtl/>
        </w:rPr>
        <w:t xml:space="preserve"> הוא ביצירה ו</w:t>
      </w:r>
      <w:r>
        <w:rPr>
          <w:b/>
          <w:bCs/>
          <w:rtl/>
        </w:rPr>
        <w:t>אתני"ק.</w:t>
      </w:r>
      <w:r>
        <w:rPr>
          <w:rtl/>
        </w:rPr>
        <w:t xml:space="preserve"> הוא בעשיה, ואמר </w:t>
      </w:r>
      <w:r>
        <w:rPr>
          <w:b/>
          <w:bCs/>
          <w:rtl/>
        </w:rPr>
        <w:t xml:space="preserve">ואיהו נפיק כו'. </w:t>
      </w:r>
      <w:r>
        <w:rPr>
          <w:rtl/>
        </w:rPr>
        <w:t>רוצה לומר, ממלת איתן כולו, וק' דקנך, כמו שמפרש והולך:</w:t>
      </w:r>
    </w:p>
  </w:footnote>
  <w:footnote w:id="5190">
    <w:p w:rsidR="00A13282" w:rsidRDefault="00A13282" w:rsidP="006D2826">
      <w:pPr>
        <w:pStyle w:val="a5"/>
        <w:rPr>
          <w:rtl/>
        </w:rPr>
      </w:pPr>
      <w:r>
        <w:rPr>
          <w:rStyle w:val="a7"/>
          <w:rtl/>
        </w:rPr>
        <w:footnoteRef/>
      </w:r>
      <w:r>
        <w:rPr>
          <w:rtl/>
        </w:rPr>
        <w:t xml:space="preserve"> </w:t>
      </w:r>
      <w:r>
        <w:rPr>
          <w:b/>
          <w:bCs/>
          <w:rtl/>
        </w:rPr>
        <w:t>תמן כו'.</w:t>
      </w:r>
      <w:r>
        <w:rPr>
          <w:rtl/>
        </w:rPr>
        <w:t xml:space="preserve"> והוא סלע דשפחה דההוא נער, סיהרא דעץ הדעת, </w:t>
      </w:r>
      <w:r>
        <w:rPr>
          <w:b/>
          <w:bCs/>
          <w:rtl/>
        </w:rPr>
        <w:t>ואיהו תניא</w:t>
      </w:r>
      <w:r>
        <w:rPr>
          <w:rtl/>
        </w:rPr>
        <w:t xml:space="preserve"> דאיתן, ברייתא, שפחה תניינא דמשנה, ועיין לקמן קמ"ה ב', והכל בכתר דלהון, א' דשם זה כנ"ל, ושמות הראשים דשם הראשון משם מ"ב כמו שמפרש והולך הוא אדירירו"ן ביהרירו"ן גיהרירו"ן יגבי"ה תלמי"ה צתני"ה שלשה ראשונות מהשמות ברון רירון, וג' אחרונות שהן ז"ת מסיימות בי"ה, וכיוצא בזה בעשר ספירות בדברי הגאונים אלא שהוא באופן אחר, ושם חו"ב שניהם י"ה אלא שחכמה מתחלת בב' ובינה בג', וזהו החילוק בין שמותיהם, וכתר באלף (ועוד בג"ר ח' אותיות ובג"א ה' אותיות שהן ג' פעמים י"ג שבהם כידוע והוא הטל, טלא דבדולחא, וח' היא עד המזל העליון, וה' היא עד המזל התחתון, לכן בג"ר שהן עליונים ח' כו' כנ"ל) ולכן אומרים במוספי יום טוב אדיר אדירנו, שבו כתר יתנו לך ה' אלוקינו המוני מעלה, מלאכים שהן ביצירה, אבל בשבת מתגלה הבריאה ולכן אין חטאת במוסף שלו:</w:t>
      </w:r>
    </w:p>
  </w:footnote>
  <w:footnote w:id="5191">
    <w:p w:rsidR="00A13282" w:rsidRDefault="00A13282" w:rsidP="006D2826">
      <w:pPr>
        <w:pStyle w:val="a5"/>
        <w:rPr>
          <w:rtl/>
        </w:rPr>
      </w:pPr>
      <w:r>
        <w:rPr>
          <w:rStyle w:val="a7"/>
          <w:rtl/>
        </w:rPr>
        <w:footnoteRef/>
      </w:r>
      <w:r>
        <w:rPr>
          <w:rtl/>
        </w:rPr>
        <w:t xml:space="preserve"> </w:t>
      </w:r>
      <w:r>
        <w:rPr>
          <w:b/>
          <w:bCs/>
          <w:rtl/>
        </w:rPr>
        <w:t>קנה חכמה כו'.</w:t>
      </w:r>
      <w:r>
        <w:rPr>
          <w:rtl/>
        </w:rPr>
        <w:t xml:space="preserve"> רוצה לומר דחכמה נקראת קנין כמו שכתוב (משלי ד ה,ז) קנה חכמה, ובינה נקרא קנין, אבל כתר הוא קנין קדומה להון, שלכן נאמר (משלי ח כב) קנני ראשית להון, וזה שאומר </w:t>
      </w:r>
      <w:r>
        <w:rPr>
          <w:b/>
          <w:bCs/>
          <w:rtl/>
        </w:rPr>
        <w:t>ה' קנני ראשית דרכו לעילא מכולהו.</w:t>
      </w:r>
      <w:r>
        <w:rPr>
          <w:rtl/>
        </w:rPr>
        <w:t xml:space="preserve"> וקאי על הכתר דאיהי תורה קדומה ונאמר בה קדם מפעליו מאז, ואמר </w:t>
      </w:r>
      <w:r>
        <w:rPr>
          <w:b/>
          <w:bCs/>
          <w:rtl/>
        </w:rPr>
        <w:t>מאי מראש אלא כו'.</w:t>
      </w:r>
      <w:r>
        <w:rPr>
          <w:rtl/>
        </w:rPr>
        <w:t xml:space="preserve"> רוצה לומר, מעולם שהוא העולם, נסכתי להיות מראש לו, ראש לעולם והוא הכתר, ואמר כל זה לפרש השם אתני"ק - איתן ק', ק' קנין, איתן תניא, שהוא התורה והוא תורה קנין של השם יתברך, תורה קדומה:</w:t>
      </w:r>
    </w:p>
  </w:footnote>
  <w:footnote w:id="5192">
    <w:p w:rsidR="00A13282" w:rsidRDefault="00A13282" w:rsidP="006D2826">
      <w:pPr>
        <w:pStyle w:val="a5"/>
        <w:rPr>
          <w:rtl/>
        </w:rPr>
      </w:pPr>
      <w:r>
        <w:rPr>
          <w:rStyle w:val="a7"/>
          <w:rtl/>
        </w:rPr>
        <w:footnoteRef/>
      </w:r>
      <w:r>
        <w:rPr>
          <w:rtl/>
        </w:rPr>
        <w:t xml:space="preserve"> </w:t>
      </w:r>
      <w:r>
        <w:rPr>
          <w:b/>
          <w:bCs/>
          <w:rtl/>
        </w:rPr>
        <w:t>ב' ביהרירו"ן.</w:t>
      </w:r>
      <w:r>
        <w:rPr>
          <w:rtl/>
        </w:rPr>
        <w:t xml:space="preserve"> כנ"ל שאלו ג"ר מסיימות בשוה, והתחלתה הוא בי"ה כמו שמפרש והולך כי בי"ה כו' שהוא שמא של החכמה ועיין לעיל ריש תיקון כ”ב מה שאומר בזה בארוכה שהן ב' עלמין סתימין דחכמה שהיא ד"ו פרצופין דב' של חכמה כנ"ל:</w:t>
      </w:r>
    </w:p>
  </w:footnote>
  <w:footnote w:id="5193">
    <w:p w:rsidR="00A13282" w:rsidRDefault="00A13282" w:rsidP="006D2826">
      <w:pPr>
        <w:pStyle w:val="a5"/>
        <w:rPr>
          <w:rtl/>
        </w:rPr>
      </w:pPr>
      <w:r>
        <w:rPr>
          <w:rStyle w:val="a7"/>
          <w:rtl/>
        </w:rPr>
        <w:footnoteRef/>
      </w:r>
      <w:r>
        <w:rPr>
          <w:rtl/>
        </w:rPr>
        <w:t xml:space="preserve"> </w:t>
      </w:r>
      <w:r>
        <w:rPr>
          <w:b/>
          <w:bCs/>
          <w:rtl/>
        </w:rPr>
        <w:t>ואיהו ב' ברוך.</w:t>
      </w:r>
      <w:r>
        <w:rPr>
          <w:rtl/>
        </w:rPr>
        <w:t xml:space="preserve"> דברכות הוא מחכמה, שכל הברכות הוא ממ"ס, נביעו דכל ברכאין:</w:t>
      </w:r>
    </w:p>
  </w:footnote>
  <w:footnote w:id="5194">
    <w:p w:rsidR="00A13282" w:rsidRDefault="00A13282" w:rsidP="006D2826">
      <w:pPr>
        <w:pStyle w:val="a5"/>
        <w:rPr>
          <w:rtl/>
        </w:rPr>
      </w:pPr>
      <w:r>
        <w:rPr>
          <w:rStyle w:val="a7"/>
          <w:rtl/>
        </w:rPr>
        <w:footnoteRef/>
      </w:r>
      <w:r>
        <w:rPr>
          <w:rtl/>
        </w:rPr>
        <w:t xml:space="preserve"> </w:t>
      </w:r>
      <w:r>
        <w:rPr>
          <w:b/>
          <w:bCs/>
          <w:rtl/>
        </w:rPr>
        <w:t>ברוך ראשי אתוון ב' ברכות ר' ראש ו' ומקור ך' כל דא איהו ראש ומקור לכל הברכות ובג"ד ב' איהי כו'.</w:t>
      </w:r>
      <w:r>
        <w:rPr>
          <w:rtl/>
        </w:rPr>
        <w:t xml:space="preserve"> מתחילה מפרש הפירוש של ברוך דמורה על האלף, דחכמה היא מעין שהיא בריכה, ברוך, וכתר הוא מקור של המעין כמו שאומר בפ' בא, וזה שאומר </w:t>
      </w:r>
      <w:r>
        <w:rPr>
          <w:b/>
          <w:bCs/>
          <w:rtl/>
        </w:rPr>
        <w:t>ובג"ד ב' איהי חכמה ומורה כו'.</w:t>
      </w:r>
      <w:r>
        <w:rPr>
          <w:rtl/>
        </w:rPr>
        <w:t xml:space="preserve"> דכתר איהו נעלם ואינו מושג אלא מכח החכמה, (איוב כח יב,כ) דחכמה מאין תמצא, ע"כ (איוב כח א) יש מוצא לה, וכמו מקור שהוא נעלם ואינו מושג אלא ממעין שעל כרחך יש מקור למעין, ולכן בתיבת ברוך שהוא חכמה מרומז הכתר שהוא ראשי תיבות ב"רכה ר"אש ו"מקור כ"ל, ברכה הוא חכמה ראש, ומקור כל היא כתר, ואמר </w:t>
      </w:r>
      <w:r>
        <w:rPr>
          <w:b/>
          <w:bCs/>
          <w:rtl/>
        </w:rPr>
        <w:t xml:space="preserve">ובג"ד ב' תרין לחושבנא </w:t>
      </w:r>
      <w:r>
        <w:rPr>
          <w:rtl/>
        </w:rPr>
        <w:t>רוצה לומר אע"ג דהתורה מתחלת בב' וכן המספר, מכל מקום הוא תרין לחושבנא שמורה שיש אחד קודם לה אבל האחד לבד אינו במספר, וכן בראשית מתחיל בב' ואח"כ ראשית שהוא נקרא כאן כתר:</w:t>
      </w:r>
    </w:p>
  </w:footnote>
  <w:footnote w:id="5195">
    <w:p w:rsidR="00A13282" w:rsidRDefault="00A13282" w:rsidP="006D2826">
      <w:pPr>
        <w:pStyle w:val="a5"/>
        <w:rPr>
          <w:rtl/>
        </w:rPr>
      </w:pPr>
      <w:r>
        <w:rPr>
          <w:rStyle w:val="a7"/>
          <w:rtl/>
        </w:rPr>
        <w:footnoteRef/>
      </w:r>
      <w:r>
        <w:rPr>
          <w:rtl/>
        </w:rPr>
        <w:t xml:space="preserve"> </w:t>
      </w:r>
      <w:r>
        <w:rPr>
          <w:b/>
          <w:bCs/>
          <w:rtl/>
        </w:rPr>
        <w:t>ג' גיהרירו"ן כו'.</w:t>
      </w:r>
      <w:r>
        <w:rPr>
          <w:rtl/>
        </w:rPr>
        <w:t xml:space="preserve"> ג"כ כמו החכמה, ושניהם בי"ה, הבן בחכמה וחכם בבינה, אחתא ומודעתא כלילין דא בדא, כתרין רחימין דמתחבקין כו', אלא שנשתנה באות הראשון שהוא ג' ולכן מפרש והולך </w:t>
      </w:r>
      <w:r>
        <w:rPr>
          <w:b/>
          <w:bCs/>
          <w:rtl/>
        </w:rPr>
        <w:t>ואיהו תלילתאה ודא שכינתא עילאה כו'</w:t>
      </w:r>
      <w:r>
        <w:rPr>
          <w:rtl/>
        </w:rPr>
        <w:t xml:space="preserve">: </w:t>
      </w:r>
    </w:p>
  </w:footnote>
  <w:footnote w:id="5196">
    <w:p w:rsidR="00A13282" w:rsidRDefault="00A13282" w:rsidP="006D2826">
      <w:pPr>
        <w:pStyle w:val="a5"/>
        <w:rPr>
          <w:rtl/>
        </w:rPr>
      </w:pPr>
      <w:r>
        <w:rPr>
          <w:rStyle w:val="a7"/>
          <w:rtl/>
        </w:rPr>
        <w:footnoteRef/>
      </w:r>
      <w:r>
        <w:rPr>
          <w:rtl/>
        </w:rPr>
        <w:t xml:space="preserve"> </w:t>
      </w:r>
      <w:r>
        <w:rPr>
          <w:b/>
          <w:bCs/>
          <w:rtl/>
        </w:rPr>
        <w:t>עלה אתמר כל כו'.</w:t>
      </w:r>
      <w:r>
        <w:rPr>
          <w:rtl/>
        </w:rPr>
        <w:t xml:space="preserve"> כמו שאומר בתיקוני זוהר חדש ע"ה ב' ובהון כל גיא ינשא, ההוא דכולא כלילא ביה ודא רעיא מהימנא דאתמר ויקבור אותו בגיא, א"ב לי"ג מכילין כו', ורוצה לומר דנאמר ביה (ישעיהו נג ה) והוא מחולל כו', (משנה סוטה פ"ט טו) חכמת סופרים תסרח, נאמר (ישעיהו נב יג) ירום ונשא וגבה מאד, וזה כל גיא שהיה שפל מאד - ינשא, והוא שעליו נאמר (דברים לד ו) ויקבור אותו בגיא, ובה, רוצה לומר בבינה, ינשא, שבה כל הזקיפות כמו שאומר למטה ג' אחזי על הזקיפה, וזהו ג"י של השם רוצה לומר גיא, ובה י"ג מכילין דרחמי ג"י של השם שהוא בגיא הנ"ל והוא א"ב של כתר חכמה, וג"י של בינה, הוא בגיא, כמו שאומר בתיקוני זוהר חדש</w:t>
      </w:r>
      <w:r>
        <w:rPr>
          <w:b/>
          <w:rtl/>
        </w:rPr>
        <w:t xml:space="preserve"> שם ובהן ינשא, והיא גיא לחכמה שהוא הר, והיא נוק', גיא, כר לבעלה, כסא לכבוד, מקום הנקבות גיא, ועיין באידרא רבה ובפרק ג' דספרא דצניעותא, ואמר ואיהו </w:t>
      </w:r>
      <w:r>
        <w:rPr>
          <w:b/>
          <w:bCs/>
          <w:rtl/>
        </w:rPr>
        <w:t>גי' פרפראות לחכמה.</w:t>
      </w:r>
      <w:r>
        <w:rPr>
          <w:rtl/>
        </w:rPr>
        <w:t xml:space="preserve"> שהיא פרפרת לחכמה שעליה, וגימטריאות הוא ג"כ ג' של השם זה, וכל זה לפרש שהיא ג':</w:t>
      </w:r>
    </w:p>
  </w:footnote>
  <w:footnote w:id="5197">
    <w:p w:rsidR="00A13282" w:rsidRDefault="00A13282" w:rsidP="006D2826">
      <w:pPr>
        <w:pStyle w:val="a5"/>
        <w:rPr>
          <w:rtl/>
        </w:rPr>
      </w:pPr>
      <w:r>
        <w:rPr>
          <w:rStyle w:val="a7"/>
          <w:rtl/>
        </w:rPr>
        <w:footnoteRef/>
      </w:r>
      <w:r>
        <w:rPr>
          <w:rtl/>
        </w:rPr>
        <w:t xml:space="preserve"> </w:t>
      </w:r>
      <w:r>
        <w:rPr>
          <w:b/>
          <w:bCs/>
          <w:rtl/>
        </w:rPr>
        <w:t>ועוד ברוך כו'.</w:t>
      </w:r>
      <w:r>
        <w:rPr>
          <w:rtl/>
        </w:rPr>
        <w:t xml:space="preserve"> עתה חוזר ומפרש שניהם, חו"ב, ואמר ברוך שהוא חכמה ונכלל בו כל העשר ספירות, חכמה עד מלכות, וכתר הוא כלל הברוך שהוא ראש ומקור לכל הברכות כנ"ל ואליו הכריעה כמו שמפרש והולך למכרע ביה לההוא דכל כו', וזקיפה בשם שהוא דרגא דבינה שהיא סומך ה' לכל הנופלים וזוקף לכל הכפופים, דהשם זוקף לכל הכפופים כמו שאמרו (ברכות יב ע"א) מאי טעמא דכתיב ה' זוקף כפופים, והיא ס"ג - סמ"ך וג', סומך וזוקף, ומפרש והולך דהוא בשם מ"ה וכמו שאומר לעיל א' דשם זה הוא מלגאו דעשר ספירות דהוא האומן, וההוא דאמר נעשה אדם הוא שם ס"ג שהוא נודע במ"ס, ושם מ"ה באוירא דמ"ס מתלבש ביה וכמו שאומר לקמן קכ"א א' דא גופא ודא מוחא, והן חו"ב וכלם מעידין על עלת העלות אלא שזה מלגאו על שפעו וזה מלבר על יכלתו, וזה הכריעה והזקיפה שהן חו"ב, ובברוך כורע גופו, ובאתה - ראשו שהוא הכתר, ראשית כנ"ל, וזוקף בבינה, השם - שניהם, דכולל שניהם כנ"ל:</w:t>
      </w:r>
    </w:p>
  </w:footnote>
  <w:footnote w:id="5198">
    <w:p w:rsidR="00A13282" w:rsidRDefault="00A13282" w:rsidP="006D2826">
      <w:pPr>
        <w:pStyle w:val="a5"/>
        <w:rPr>
          <w:rtl/>
        </w:rPr>
      </w:pPr>
      <w:r>
        <w:rPr>
          <w:rStyle w:val="a7"/>
          <w:rtl/>
        </w:rPr>
        <w:footnoteRef/>
      </w:r>
      <w:r>
        <w:rPr>
          <w:rtl/>
        </w:rPr>
        <w:t xml:space="preserve"> </w:t>
      </w:r>
      <w:r>
        <w:rPr>
          <w:b/>
          <w:bCs/>
          <w:rtl/>
        </w:rPr>
        <w:t>דאתמר ביה וברוך א"ל עליון.</w:t>
      </w:r>
      <w:r>
        <w:rPr>
          <w:rtl/>
        </w:rPr>
        <w:t xml:space="preserve"> מפרש הקרא על חכמה, דהוא עליון על א"ל דהוא חסד, נהירו דחכמתא, ולכן נאמר שם והוא כהן לא"ל עליון, דשם כהונא רבתא:</w:t>
      </w:r>
    </w:p>
  </w:footnote>
  <w:footnote w:id="5199">
    <w:p w:rsidR="00A13282" w:rsidRDefault="00A13282" w:rsidP="006D2826">
      <w:pPr>
        <w:pStyle w:val="a5"/>
        <w:rPr>
          <w:rtl/>
        </w:rPr>
      </w:pPr>
      <w:r>
        <w:rPr>
          <w:rStyle w:val="a7"/>
          <w:rtl/>
        </w:rPr>
        <w:footnoteRef/>
      </w:r>
      <w:r>
        <w:rPr>
          <w:rtl/>
        </w:rPr>
        <w:t xml:space="preserve"> </w:t>
      </w:r>
      <w:r>
        <w:rPr>
          <w:b/>
          <w:bCs/>
          <w:rtl/>
        </w:rPr>
        <w:t>דאיהו גאה כו'.</w:t>
      </w:r>
      <w:r>
        <w:rPr>
          <w:rtl/>
        </w:rPr>
        <w:t xml:space="preserve"> רוצה לומר בבינה וזה שאומר מאי דכתיב כי גאה גאה, ארבע גאים כו', שהוא חגת"ם, מרכבה דילה, והיא מתגאה עליהן, ואמרו (תפילה של שבת) המתגאה על חיות הקודש, ושם מקום הגאה כמו שאומר בפ' תרומה קכ"ט א' מאן איהו גס רוח כו' דהא לית גבהות באורייתא אלא בעלמא דאתי והיא נקראת מרום, (ישעיהו ו א) כסא רם ונשא, ואמר </w:t>
      </w:r>
      <w:r>
        <w:rPr>
          <w:b/>
          <w:bCs/>
          <w:rtl/>
        </w:rPr>
        <w:t xml:space="preserve">ובמאי יתגאה כו'. </w:t>
      </w:r>
      <w:r>
        <w:rPr>
          <w:rtl/>
        </w:rPr>
        <w:t>דהגבהות של הקב"ה - כד אבן מאסו כו' (תהלים קיח כב), (דניאל ב מה) אבן דאתגזרת כו' כמו שאומר לעיל ראשי תיבות יו"ד ורוצה לומר שזהו שם יגבי"ה דהוא באות יוד, מלכות כמו שמפרש והולך:</w:t>
      </w:r>
    </w:p>
  </w:footnote>
  <w:footnote w:id="5200">
    <w:p w:rsidR="00A13282" w:rsidRDefault="00A13282" w:rsidP="006D2826">
      <w:pPr>
        <w:pStyle w:val="a5"/>
        <w:rPr>
          <w:rtl/>
        </w:rPr>
      </w:pPr>
      <w:r>
        <w:rPr>
          <w:rStyle w:val="a7"/>
          <w:rtl/>
        </w:rPr>
        <w:footnoteRef/>
      </w:r>
      <w:r>
        <w:rPr>
          <w:rtl/>
        </w:rPr>
        <w:t xml:space="preserve"> </w:t>
      </w:r>
      <w:r>
        <w:rPr>
          <w:b/>
          <w:bCs/>
          <w:rtl/>
        </w:rPr>
        <w:t>ועוד אשכחנא בגוונא יגבהי"ה ואתוון דיליה יגבה י"ה עלאה כו'.</w:t>
      </w:r>
      <w:r>
        <w:rPr>
          <w:rtl/>
        </w:rPr>
        <w:t xml:space="preserve"> ורוצה לומר דכולן מורין על הגבהות, עילת העילות בכתר למעלה מחו"ב כמו שאמר בברוך דמורה על הכתר, וכן בכריעה וזקיפה כנ"ל וכן כאן יגבה, י"ה למעלה מי"ה, וזה שאומר עילאה דכל עילאי:</w:t>
      </w:r>
    </w:p>
  </w:footnote>
  <w:footnote w:id="5201">
    <w:p w:rsidR="00A13282" w:rsidRDefault="00A13282" w:rsidP="006D2826">
      <w:pPr>
        <w:pStyle w:val="a5"/>
        <w:rPr>
          <w:rtl/>
        </w:rPr>
      </w:pPr>
      <w:r>
        <w:rPr>
          <w:rStyle w:val="a7"/>
          <w:rtl/>
        </w:rPr>
        <w:footnoteRef/>
      </w:r>
      <w:r>
        <w:rPr>
          <w:rtl/>
        </w:rPr>
        <w:t xml:space="preserve"> </w:t>
      </w:r>
      <w:r>
        <w:rPr>
          <w:b/>
          <w:bCs/>
          <w:rtl/>
        </w:rPr>
        <w:t>ת' תלמי"ה ת"ל שהכל כו'.</w:t>
      </w:r>
      <w:r>
        <w:rPr>
          <w:rtl/>
        </w:rPr>
        <w:t xml:space="preserve"> רוצה לומר, ת"ל של שם תפארת שהכל פונים אליו, שכן הענפים ממנו, והוא תורה, שהוא מקור חיים, שלכן הכל פונים אליו לקבל חיים, ואמר </w:t>
      </w:r>
      <w:r>
        <w:rPr>
          <w:b/>
          <w:bCs/>
          <w:rtl/>
        </w:rPr>
        <w:t>תורה קדומה</w:t>
      </w:r>
      <w:r>
        <w:rPr>
          <w:rtl/>
        </w:rPr>
        <w:t xml:space="preserve"> לפי שכאן בהיכל הראשון עשר ספירות קדומים, ואמר </w:t>
      </w:r>
      <w:r>
        <w:rPr>
          <w:b/>
          <w:bCs/>
          <w:rtl/>
        </w:rPr>
        <w:t>תורת ה' תמימה.</w:t>
      </w:r>
      <w:r>
        <w:rPr>
          <w:rtl/>
        </w:rPr>
        <w:t xml:space="preserve"> שבו אותיות מי"ה דתלמי"ה, והענין שאמר שהוא תל כו' ורוצה לומר שהשם הוא תל מי"ה, שהוא בן י"ה, תל מנהון, ואמר </w:t>
      </w:r>
      <w:r>
        <w:rPr>
          <w:b/>
          <w:bCs/>
          <w:rtl/>
        </w:rPr>
        <w:t>ועוד תלמיה כו'.</w:t>
      </w:r>
      <w:r>
        <w:rPr>
          <w:rtl/>
        </w:rPr>
        <w:t xml:space="preserve"> על שם תלמים כמו שמפרש והולך תלמיה רוה כו', והוא שבו קרע הים, בשם ע"ב, לשנים עשר גזרים נגד י"ב גבולי אלכסונים דביה שבטי י"ה עדות לישראל, לישראל סבא, ובו שם ע"ב, ו' פעמים י"ב, וזה שאומר בהאי שמא אתעביד כו':</w:t>
      </w:r>
    </w:p>
  </w:footnote>
  <w:footnote w:id="5202">
    <w:p w:rsidR="00A13282" w:rsidRDefault="00A13282" w:rsidP="006D2826">
      <w:pPr>
        <w:pStyle w:val="a5"/>
        <w:rPr>
          <w:rtl/>
        </w:rPr>
      </w:pPr>
      <w:r>
        <w:rPr>
          <w:rStyle w:val="a7"/>
          <w:rtl/>
        </w:rPr>
        <w:footnoteRef/>
      </w:r>
      <w:r>
        <w:rPr>
          <w:rtl/>
        </w:rPr>
        <w:t xml:space="preserve"> </w:t>
      </w:r>
      <w:r>
        <w:rPr>
          <w:b/>
          <w:bCs/>
          <w:rtl/>
        </w:rPr>
        <w:t>ועוד תלמיה דא אורייתא כו'.</w:t>
      </w:r>
      <w:r>
        <w:rPr>
          <w:rtl/>
        </w:rPr>
        <w:t xml:space="preserve"> ג"כ כנ"ל תל מי"ה, בן י"ה:</w:t>
      </w:r>
    </w:p>
  </w:footnote>
  <w:footnote w:id="5203">
    <w:p w:rsidR="00A13282" w:rsidRDefault="00A13282" w:rsidP="006D2826">
      <w:pPr>
        <w:pStyle w:val="a5"/>
        <w:rPr>
          <w:rtl/>
        </w:rPr>
      </w:pPr>
      <w:r>
        <w:rPr>
          <w:rStyle w:val="a7"/>
          <w:rtl/>
        </w:rPr>
        <w:footnoteRef/>
      </w:r>
      <w:r>
        <w:rPr>
          <w:rtl/>
        </w:rPr>
        <w:t xml:space="preserve"> </w:t>
      </w:r>
      <w:r>
        <w:rPr>
          <w:b/>
          <w:bCs/>
          <w:rtl/>
        </w:rPr>
        <w:t>צתני"ה דא צדיק כו'.</w:t>
      </w:r>
      <w:r>
        <w:rPr>
          <w:rtl/>
        </w:rPr>
        <w:t xml:space="preserve"> דריש צ"ת, ב' אותיות הראשונות, כמו ג"י ותל הנ"ל, וצת הוא לשון גובה כמו שאומר בתרגום אונקלוס על (בראשית יא ד) וראשו בשמים, ורישיה מטי לצית שמיא, וזה שאומר </w:t>
      </w:r>
      <w:r>
        <w:rPr>
          <w:b/>
          <w:bCs/>
          <w:rtl/>
        </w:rPr>
        <w:t xml:space="preserve">וביה אשתמודע מאן דאיהו לעילא מכולא </w:t>
      </w:r>
      <w:r>
        <w:rPr>
          <w:rtl/>
        </w:rPr>
        <w:t>ומפרש והולך</w:t>
      </w:r>
      <w:r>
        <w:rPr>
          <w:b/>
          <w:bCs/>
          <w:rtl/>
        </w:rPr>
        <w:t xml:space="preserve"> בגין דצדיק איהו כליל כו'.</w:t>
      </w:r>
      <w:r>
        <w:rPr>
          <w:rtl/>
        </w:rPr>
        <w:t xml:space="preserve"> ולפי שבו כלולים כולם - ניכר מי הוא העולה על כולן, כמו בלולב שנאגדים כלם יחד - ניכר הלולב שעולה על כלם, אבל אם כל אחד לבדו אינו ניכר מי גבוה יותר, שיכול להעלות הקטן על הגדול, מה שאין כן בקשורים יחד, וזה שאומר </w:t>
      </w:r>
      <w:r>
        <w:rPr>
          <w:b/>
          <w:bCs/>
          <w:rtl/>
        </w:rPr>
        <w:t>איהו לולב כו'.</w:t>
      </w:r>
      <w:r>
        <w:rPr>
          <w:rtl/>
        </w:rPr>
        <w:t xml:space="preserve"> והצדיק הוא המגדל שעולה עד צית שמיא כמו הלולב, והוא משכיל לאיתן כמו שאומר בפ' משפטים והוא סליק למעלה:</w:t>
      </w:r>
    </w:p>
  </w:footnote>
  <w:footnote w:id="5204">
    <w:p w:rsidR="00A13282" w:rsidRDefault="00A13282" w:rsidP="006D2826">
      <w:pPr>
        <w:pStyle w:val="a5"/>
        <w:rPr>
          <w:rtl/>
        </w:rPr>
      </w:pPr>
      <w:r>
        <w:rPr>
          <w:rStyle w:val="a7"/>
          <w:rtl/>
        </w:rPr>
        <w:footnoteRef/>
      </w:r>
      <w:r>
        <w:rPr>
          <w:rtl/>
        </w:rPr>
        <w:t xml:space="preserve"> </w:t>
      </w:r>
      <w:r>
        <w:rPr>
          <w:b/>
          <w:bCs/>
          <w:rtl/>
        </w:rPr>
        <w:t>ואת צ' ביה כו'.</w:t>
      </w:r>
      <w:r>
        <w:rPr>
          <w:rtl/>
        </w:rPr>
        <w:t xml:space="preserve"> אמר ועוד נקרא צדיק לפי שהוא ראשי תיבות ציור דביה מצויירין, שהוא אדם דיצירה, דביה וייצר, צייר הכל, וביה כל נקודין לאשקאה לאתוון דבגנתא כמו שאומר לעיל ל"ח א' ושאר מקומות הרבה, וזה שאומר </w:t>
      </w:r>
      <w:r>
        <w:rPr>
          <w:b/>
          <w:bCs/>
          <w:rtl/>
        </w:rPr>
        <w:t>בי' מצויירין כו'</w:t>
      </w:r>
      <w:r>
        <w:rPr>
          <w:rtl/>
        </w:rPr>
        <w:t xml:space="preserve"> </w:t>
      </w:r>
      <w:r>
        <w:rPr>
          <w:b/>
          <w:bCs/>
          <w:rtl/>
        </w:rPr>
        <w:t>וביה נקודין כו'.</w:t>
      </w:r>
      <w:r>
        <w:rPr>
          <w:rtl/>
        </w:rPr>
        <w:t xml:space="preserve"> שהן הציורין כו', וביה כל הכוכבים כמו שאומר בריש פ’ שמות ולמעלה א' א', והן הן הנקודין דאורייתא, וזה שאומר </w:t>
      </w:r>
      <w:r>
        <w:rPr>
          <w:b/>
          <w:bCs/>
          <w:rtl/>
        </w:rPr>
        <w:t>ובגין דכל נקודין דכוכביא כו':</w:t>
      </w:r>
    </w:p>
  </w:footnote>
  <w:footnote w:id="5205">
    <w:p w:rsidR="00A13282" w:rsidRDefault="00A13282" w:rsidP="006D2826">
      <w:pPr>
        <w:pStyle w:val="a5"/>
        <w:rPr>
          <w:rtl/>
        </w:rPr>
      </w:pPr>
      <w:r>
        <w:rPr>
          <w:rStyle w:val="a7"/>
          <w:rtl/>
        </w:rPr>
        <w:footnoteRef/>
      </w:r>
      <w:r>
        <w:rPr>
          <w:rtl/>
        </w:rPr>
        <w:t xml:space="preserve"> </w:t>
      </w:r>
      <w:r>
        <w:rPr>
          <w:b/>
          <w:bCs/>
          <w:rtl/>
        </w:rPr>
        <w:t>היכלא כו' גלידין במיא כו'.</w:t>
      </w:r>
      <w:r>
        <w:rPr>
          <w:rtl/>
        </w:rPr>
        <w:t xml:space="preserve"> דהוא יום שני שבו מלאכת המים, וביה גלידין מיא כמו שאומר דבצפון גלידין מיא ודרום כו', ולכן הוא אבני שיש, וזה שאומר גלידין כו' ואינון כו', ונקרא טהור, דימינא הוא קדוש ושמאלא טהור, מפני שיש אבני נגף דכשלין בהון בני נשא, ואמר </w:t>
      </w:r>
      <w:r>
        <w:rPr>
          <w:b/>
          <w:bCs/>
          <w:rtl/>
        </w:rPr>
        <w:t>ואיהו רקיע,</w:t>
      </w:r>
      <w:r>
        <w:rPr>
          <w:rtl/>
        </w:rPr>
        <w:t xml:space="preserve"> שהוא נברא ביום שני והוא אותיות קר"ע, ואמר </w:t>
      </w:r>
      <w:r>
        <w:rPr>
          <w:b/>
          <w:bCs/>
          <w:rtl/>
        </w:rPr>
        <w:t>דביה קרע ימא</w:t>
      </w:r>
      <w:r>
        <w:rPr>
          <w:rtl/>
        </w:rPr>
        <w:t xml:space="preserve"> שקריעת ים סוף הוא מסטרא דשמאלא ולכן אמרו קשה לפניו כקריעת ים סוף, ואמר </w:t>
      </w:r>
      <w:r>
        <w:rPr>
          <w:b/>
          <w:bCs/>
          <w:rtl/>
        </w:rPr>
        <w:t>ואפריש מתמן השטן כו'</w:t>
      </w:r>
      <w:r>
        <w:rPr>
          <w:rtl/>
        </w:rPr>
        <w:t xml:space="preserve"> רוצה לומר כמו שאומר לעיל ע"ה א' הה"ד ויאמר אלקים יהי רקיע כו' בין מים דדכיו כו', וכן בימא דאורייתא כמו שאומר לעיל נ"ב ב' עד דייתי מורשה דיליה וקרע ימא דאורייתא, וסוס ורוכבו רמה בים דאיהו חוויא ובת זוגיה דאיהי סוסיא דיליה כו' בפורקנא בתרייתא, כלא בימא דאורייתא כו' בההוא זמנא דאתעבר חוויא בישא מן ימא, שליט כו', וזה שאומר </w:t>
      </w:r>
      <w:r>
        <w:rPr>
          <w:b/>
          <w:bCs/>
          <w:rtl/>
        </w:rPr>
        <w:t>דא איהו שמא דעקר שטן מן ימא דאורייתא ואפריש ליה מתמן,</w:t>
      </w:r>
      <w:r>
        <w:rPr>
          <w:rtl/>
        </w:rPr>
        <w:t xml:space="preserve"> ורוצה לומר דקרע אותיות עקר, וזה שאומר בגין דאיהו עקר כו' רוצה לומר כמו שהוא האמונה, ונרגן מפריד אלוף, כנסת ישראל שהיא אמונה דישראל סבא, כן השם יתברך יעקור אותו, והוא בשם זה, קרע שטן, קרע שטן מן ימא, וכן הוא במעשה, במאמר יהי רקיע דאתפרד מתמן התורה כו' כמו שאומר בפ' בראשית, ואינון נגד קריעת ים סוף כמו שאמרו כל מה שנאמר בפ' בראשית נאמר ביציאת מצרים כו', בפסוק יהי רקיע ביציאת מצרים קריעת ים סוף כו', והוא בתורה שבעל פה שהוא מסטרא דגבורה, דתורה שבכתב מימינו כו' ותורה שבעל פה מסטרא דשמאלא, ולכן שם ויהי מבדיל כנ"ל ע"ח א' ועיין בתיקוני זוהר חדש ע"ה ב' בה קרע שטן מן שמאלא, ובה ישם את הים לחרבה, ובה קרע ימא כו', ובה עקר טורין ותבר טינרין דחוויא הה"ד והנה רוח חזק מפרק הרים ומשבר סלעים דאינון טורין וסלעים דחויא כו' ובהאי שמא הוה רבה עוקר הרים באורייתא דבעל פה, ורוצה לומר טורין וסלעים כמו שאומר שם דנחש מקננא בשבע סלעים, ובעלה בשבע טורין, וביה סוס ורוכבו רמה בים כנ"ל והוא ברוח חזק כמו שאומר שם ויולך ה' את הים ברוח קדים עזה כו'. *וחסר כאן הרבה מזה ההיכל, ושאר חמשה היכלות, השם יתברך יחזיר לנו את האבדה הגדולה הזאת, וכאן נשלמו התיקונין שבעין, וספר הראשון מששה ספרים, שעליו נבנו התיקונים שבעין, על ששים שמהן, ועשרה מאמרות, כמו שכתבתי לעיל תיקון ל”ב ומכל מקום מסיים והולך לדרוש (בראשית ה א) זה ספר, התחלת ס"ת, והכל על חכמת הפרצוף שהוא ספר תולדות וקורות האדם, שבאדם עצמו נצטייר כמו בספר תולדותיו כנ"ל:</w:t>
      </w:r>
    </w:p>
  </w:footnote>
  <w:footnote w:id="5206">
    <w:p w:rsidR="00A13282" w:rsidRDefault="00A13282" w:rsidP="006D2826">
      <w:pPr>
        <w:pStyle w:val="a5"/>
        <w:rPr>
          <w:rtl/>
        </w:rPr>
      </w:pPr>
      <w:r>
        <w:rPr>
          <w:rStyle w:val="a7"/>
          <w:rtl/>
        </w:rPr>
        <w:footnoteRef/>
      </w:r>
      <w:r>
        <w:rPr>
          <w:rtl/>
        </w:rPr>
        <w:t xml:space="preserve"> </w:t>
      </w:r>
      <w:r>
        <w:rPr>
          <w:b/>
          <w:bCs/>
          <w:rtl/>
        </w:rPr>
        <w:t>זה ספר כו' ושתין כו' ושתין כו'.</w:t>
      </w:r>
      <w:r>
        <w:rPr>
          <w:rtl/>
        </w:rPr>
        <w:t xml:space="preserve"> ורוצה לומר שתין רבוא דקב"ה וס' רבוא דשכינתא ועיין בתיקוני זוהר חדש, ולפי שזה הפסוק אמר זכר ונקבה ברא אותם וכן אמר לקמן ב', בענין ד' תיקונין דהוי"ה דאינון מראה, וד' תיקונין דשם אדנ"י דאינון דמיון שהן זו"נ:</w:t>
      </w:r>
    </w:p>
  </w:footnote>
  <w:footnote w:id="5207">
    <w:p w:rsidR="00A13282" w:rsidRDefault="00A13282" w:rsidP="006D2826">
      <w:pPr>
        <w:jc w:val="both"/>
        <w:rPr>
          <w:rtl/>
        </w:rPr>
      </w:pPr>
      <w:r>
        <w:rPr>
          <w:rStyle w:val="a7"/>
          <w:rFonts w:cs="Arial"/>
          <w:rtl/>
        </w:rPr>
        <w:footnoteRef/>
      </w:r>
      <w:r>
        <w:rPr>
          <w:rtl/>
        </w:rPr>
        <w:t xml:space="preserve"> </w:t>
      </w:r>
      <w:r>
        <w:rPr>
          <w:b/>
          <w:bCs/>
          <w:rtl/>
        </w:rPr>
        <w:t>פתח ואמר כו' דאדם דלעילא כו'.</w:t>
      </w:r>
      <w:r>
        <w:rPr>
          <w:rtl/>
        </w:rPr>
        <w:t xml:space="preserve"> רוצה לומר, כמו יעקב הוליד י"ב שבטים, כן עמודא דאמצעיתא דרגא דיליה, הוליד י"ב שבטין עלאין, וכולן אתחמן ביסוד כמו שאומר בסתרי תורה ריש פ' לך לך ובריש פ’ שמות, ואמר למעלה ל"ב א' דמסטרא דהאי אות אמר למשה וזה לך האות ואיהו כליל תרי עשר מזלות דכל מזל אתקרי אות כו', וזהו זה ספר, דזה הוא ביסוד (ובפ' יתרו ע' א' בהגהה זה דתליא ביה כלא, זה אילנא דחיי כו' אילנא דגלי תולדות אדם ועביד איבין לאפקא בעלמא כו', ולקמן קל"ו ב' אמר ר' שמעון זה ספר דא צדיק חי עלמין דאיהו אפיק תולדין זה ספר ודאי ולא אחרא ואינון תולדות אדם ההוא דאתמר ביה כתפארת אדם לשבת בית מאן בית דא שכינתא ורעיא מהימנא כו') וביה תרי עשר מזלות, תרין עשר שבטין [והוא נקרא ג"כ ספר, ספר זכרון, וביה תולדות אדם] וספר הוא במלכות דבה אשתמודעין כל י"ב פרצופין והוא קובע בה כל י"ב שבטין כמו שאומר שם ושם, ואינון י"ב בקר דתחותיה י"ב שבטין כמו שאומר בפ' ויחי ושאר מקומות הרבה, וזהו ספר דכאן, ואינון תרין דרגין כחדא, זה ספר, כמו שאומר בפ' ויקהל ר' א' ספר זכרון מאי איהו אלא כו' ספר זכרון, תרין דרגין דאינון חד, ורזא דא כו' (הגהה: וכן הוא בפ' יתרו שם ורזא אולפי זה ספר, אית ספר כו' זה ספר תרין דרגין דאינון חד, כללא דו"נ, ודא איהו כללא חדא דכל אינון נשמתין ורוחין דפרחין בבני נשא, כללא דכל תולדות אינון תולדות אדם ודאי דהא מההוא צדיק כו' עיין שם היטב בארוכה) ספר תתאה דא תורה דאקרי תורה שבעל פה כו' עיין שם, ובהון תולדות אדם, אדם דלעילא, תפארת כמו שמפרש והולך ויעקב בדיוקניה שהוא דיוקנא דאדם קדמאה, וכן הוא באדם הראשון דכל דיוקנין שהוא בבני אדם הכל בתולדות שלו, והוא אדם כליל כולא, וכן יעקב אדם כולל י"ב תולדות שלו, והוא מה שכתוב (יחזקאל א י) ודמות פניהם פני אדם, שכולל כולם, ועיין לעיל י"ד א', ועיין לעיל ל"ח א', וס"ג א' ואינון תרין עשר אנפין ואדם רכיב על גביהון כו', והוא סוד וא"ו, ו"ו - י"ב ואלף בתוכו הוא אדם הכולל אותן ועיין לעיל ק"ג א' ותריסר מזלות אינון ו"ו דאשתכחו מאת אלף, ודא רזא דוא"ו כו', ואדם הוא סוד הדעת, שקיו דאילנא כמו שאומר לעיל קי"ט א' בארוכה והוא כולל תרין עשר הנ"ל, ה’ חסדים וה’ גבורות וב' אחסנתין, וזה שכתוב שבטי י"ה, דהכל הוא מאו"א, ב' אחסנתין וב' עיטרין כמו שאומר באידרא זוטא, והן עדות, ב' דעות, ועדות - סהדותא שהוא מאו"א ואסהיד באנפיה כו', והוא דיוקנין פרצופין דב"נ, י"ב אנפין דג' חיוון כמו שמפרש והולך והן ע"ב אנפין דאורייתא, ואדם - מ"ט אנפין דאורייתא בהתכללות בד' אותיות הפשוטין כמו שאומר לעיל סוף תיקון כ”ב, והנה אף שי"ב הן כנ"ל, ה’ חסדים וה’ גבורות כו' ו"ו (כמו שאומר לעיל ל"ב א') מכל מקום בעמידתן וקביעותן בנוק' הן ג' פעמים ד', ג' בכל צד כמו שאומר בפ' ויחי ועיין מה שבארנו בספרא דצניעותא, וזה שאומר כאן ארבע אנפין דאריה כו', ואדם - התלי הכולל כולן, וכן הוא בשרשן במ"ס בג' הויות כמו שאומר באידרא זוטא ועתיקא קדישא כליל לון, ולכן אדם שליט על המזל, ועיין לעיל ק"ד ב' ומאן דאיהו מסטרא דאדם דאיהו יו"ד ה"א וא"ו ה"א כו' בכולא שליט כו' ואמר </w:t>
      </w:r>
      <w:r>
        <w:rPr>
          <w:b/>
          <w:bCs/>
          <w:rtl/>
        </w:rPr>
        <w:t>דבהון אשתמודען פרצופים דב"נ.</w:t>
      </w:r>
      <w:r>
        <w:rPr>
          <w:rtl/>
        </w:rPr>
        <w:t xml:space="preserve"> כמו שאומר לקמן קכ"ח א' אנפין חיוורין כו', וכל התיקון הזה, ועיין לעיל ע"ט ב' גלגולא קדמאה כו', ואמר </w:t>
      </w:r>
      <w:r>
        <w:rPr>
          <w:b/>
          <w:bCs/>
          <w:rtl/>
        </w:rPr>
        <w:t>וכלהו אנפין אינון כו'.</w:t>
      </w:r>
      <w:r>
        <w:rPr>
          <w:rtl/>
        </w:rPr>
        <w:t xml:space="preserve"> שכל אחד ד' אנפין בד' אתוון, ועיין לעיל ס"ב ב' ובאן אתר יו"ד ברישא כו', ובזוהר חדש ריש פ' יתרו ואלין ג' חיוון כלילין בחד, והן ד' אותיות הוי"ה, ואדם מילואו, וכולן כלילין בשכינתא כמו שמפרש והולך, והן י"ד אתוון, וזה שאומר ובגינה אתמר וביד הנביאים אדמה, דהוא י"ד ולכן נקרא יד, ועיין לעיל ל"ב א' ומה שבארנו שם, וזה שאומר פתח ואמר כו' אשתארו עשר תיקונין, רוצה לומר מי"ד, ובה אדמה, שעלה נאמר בפסוק זה בדמות אלקים עשה אותו, דכל דמיונין כו', והיא דמות אדם, ועיין לעיל י"ד ב' וכן דמות ארבע חיות, וזהו סוד מ"ט הנ"ל - מ"ה וד' אתוון כנ"ל:</w:t>
      </w:r>
    </w:p>
  </w:footnote>
  <w:footnote w:id="5208">
    <w:p w:rsidR="00A13282" w:rsidRDefault="00A13282" w:rsidP="006D2826">
      <w:pPr>
        <w:pStyle w:val="a5"/>
        <w:rPr>
          <w:rtl/>
        </w:rPr>
      </w:pPr>
      <w:r>
        <w:rPr>
          <w:rStyle w:val="a7"/>
          <w:rtl/>
        </w:rPr>
        <w:footnoteRef/>
      </w:r>
      <w:r>
        <w:rPr>
          <w:rtl/>
        </w:rPr>
        <w:t xml:space="preserve"> </w:t>
      </w:r>
      <w:r>
        <w:rPr>
          <w:b/>
          <w:bCs/>
          <w:rtl/>
        </w:rPr>
        <w:t>פתח כו' אנשי חיל מסט' דחסד.</w:t>
      </w:r>
      <w:r>
        <w:rPr>
          <w:rtl/>
        </w:rPr>
        <w:t xml:space="preserve"> דימינא נקרא כח כמו שכתוב (שמות טו ו) ימינך ה' נאדרי בכח, כמו שאומר למעלה, וכל כח הוא בימין, דשמאל הוא יד כהה וכמו שהקשו שם דלמא יד שבכח, וכן חכמה בסטרא דימינא נקרא כח מ"ה, ובימינא נחית חכמה ובשמאלא בינה, וזה שאומר </w:t>
      </w:r>
      <w:r>
        <w:rPr>
          <w:b/>
          <w:bCs/>
          <w:rtl/>
        </w:rPr>
        <w:t>דתמן יו"ד ובגיני' כו'.</w:t>
      </w:r>
      <w:r>
        <w:rPr>
          <w:rtl/>
        </w:rPr>
        <w:t xml:space="preserve"> לראיה דתמן יו"ד, חכמה, ורוצה לומר לפרש ד' אתוון דאינון בחגת"ם, מרכבה דהוי"ה, דהוא באינון ד' דקרא כמו שמפרש והולך, ואמר </w:t>
      </w:r>
      <w:r>
        <w:rPr>
          <w:b/>
          <w:bCs/>
          <w:rtl/>
        </w:rPr>
        <w:t xml:space="preserve">יראי כו' </w:t>
      </w:r>
      <w:r>
        <w:rPr>
          <w:rtl/>
        </w:rPr>
        <w:t xml:space="preserve">דיראה הוא בשמאלא, פחד יצחק כמו שאומר למטה, ובימינא אהבה דמצד אהבה (משלי כד ה, עיי"ש) איש חיל מאמיץ כח, ואמר </w:t>
      </w:r>
      <w:r>
        <w:rPr>
          <w:b/>
          <w:bCs/>
          <w:rtl/>
        </w:rPr>
        <w:t>ובה אתמר הרוצה כו'.</w:t>
      </w:r>
      <w:r>
        <w:rPr>
          <w:rtl/>
        </w:rPr>
        <w:t xml:space="preserve"> כמו שאומר לעיל בתיקון נ”ה דעלה נאמר ברכת ה' היא תעשיר, ואמר </w:t>
      </w:r>
      <w:r>
        <w:rPr>
          <w:b/>
          <w:bCs/>
          <w:rtl/>
        </w:rPr>
        <w:t>אנשי אמת כו'.</w:t>
      </w:r>
      <w:r>
        <w:rPr>
          <w:rtl/>
        </w:rPr>
        <w:t xml:space="preserve"> כמו שכתוב (מיכה ז כ) תתן אמת ליעקב, והוא דרגא דתורה, (משלי כג כג) אמת קנה כו', ואמר </w:t>
      </w:r>
      <w:r>
        <w:rPr>
          <w:b/>
          <w:bCs/>
          <w:rtl/>
        </w:rPr>
        <w:t>שונא בצע כו'</w:t>
      </w:r>
      <w:r>
        <w:rPr>
          <w:rtl/>
        </w:rPr>
        <w:t xml:space="preserve"> והוא מדת הצדק, (ישעיהו לב א) הן לצדק ימלך מלך, ויהודה זכה למלוכה בשביל שאמר מה בצע כו', ואמר </w:t>
      </w:r>
      <w:r>
        <w:rPr>
          <w:b/>
          <w:bCs/>
          <w:rtl/>
        </w:rPr>
        <w:t>אלין אינון מראה</w:t>
      </w:r>
      <w:r>
        <w:rPr>
          <w:rtl/>
        </w:rPr>
        <w:t xml:space="preserve"> שהוא ואתה תחזה:</w:t>
      </w:r>
    </w:p>
  </w:footnote>
  <w:footnote w:id="5209">
    <w:p w:rsidR="00A13282" w:rsidRDefault="00A13282" w:rsidP="006D2826">
      <w:pPr>
        <w:pStyle w:val="a5"/>
        <w:rPr>
          <w:rtl/>
        </w:rPr>
      </w:pPr>
      <w:r>
        <w:rPr>
          <w:rStyle w:val="a7"/>
          <w:rtl/>
        </w:rPr>
        <w:footnoteRef/>
      </w:r>
      <w:r>
        <w:rPr>
          <w:rtl/>
        </w:rPr>
        <w:t xml:space="preserve"> </w:t>
      </w:r>
      <w:r>
        <w:rPr>
          <w:b/>
          <w:bCs/>
          <w:rtl/>
        </w:rPr>
        <w:t>ואית ארבע כו' ועלייהו אתמר כו'.</w:t>
      </w:r>
      <w:r>
        <w:rPr>
          <w:rtl/>
        </w:rPr>
        <w:t xml:space="preserve"> דהוי"ה הוא מצד עצמן בהוויותן אבל שרי אלפים כו' הוא בהתמנותן לשרים והוא מדת המלכות, אדני, אדון העולם, ומסטרא דידה שרים, ועיין בזוהר חדש ריש שה"ש, וכן כל עניניה צריך הכל למעשה, וזהו החילוק שבין נבואת משה רבינו עליו השלום לשאר הנביאים דכולם בדמיון כמו שאומר לקמן וביד הנביאים אדמה באספקלריא דלא נהרא מסטרא דנוק' אבל במשה (במדבר יב ח) במראה ולא בחידות, מסטרא דדכורא אספקלריא דנהרא וזהו ואתה תחזה - במראה, ושמת - בדמיון. ואמר </w:t>
      </w:r>
      <w:r>
        <w:rPr>
          <w:b/>
          <w:bCs/>
          <w:rtl/>
        </w:rPr>
        <w:t>שרי אלפים כו'</w:t>
      </w:r>
      <w:r>
        <w:rPr>
          <w:rtl/>
        </w:rPr>
        <w:t xml:space="preserve"> שהן ראשי תיבות אדנ"י לבד הד', שמתחלף בא"ת ב"ש, והוא מילוי אהי"ה דיודין, חושבן אלפים, אות ראשון דכליל כולא, והוא אלף דאהי"ה כמו שאומר לעיל בתיקון ס”ט, ואמר </w:t>
      </w:r>
      <w:r>
        <w:rPr>
          <w:b/>
          <w:bCs/>
          <w:rtl/>
        </w:rPr>
        <w:t>אשתארו עשר תיקונין</w:t>
      </w:r>
      <w:r>
        <w:rPr>
          <w:rtl/>
        </w:rPr>
        <w:t xml:space="preserve"> רוצה לומר מן י"ד, וביד הנביאים אדמה כנ"ל, ואמר </w:t>
      </w:r>
      <w:r>
        <w:rPr>
          <w:b/>
          <w:bCs/>
          <w:rtl/>
        </w:rPr>
        <w:t>עלייהו אתמר ואתה תחזה מכל העם.</w:t>
      </w:r>
      <w:r>
        <w:rPr>
          <w:rtl/>
        </w:rPr>
        <w:t xml:space="preserve"> רוצה לומר, ואתה דרגא דילך שהוא שמא מפרש בעשר אתוון, ואמר מכל העם שהם ביחד פרצוף שלם ובהן עשר תיקונין כמו שמפרש והולך:</w:t>
      </w:r>
    </w:p>
  </w:footnote>
  <w:footnote w:id="5210">
    <w:p w:rsidR="00A13282" w:rsidRDefault="00A13282" w:rsidP="006D2826">
      <w:pPr>
        <w:pStyle w:val="a5"/>
        <w:rPr>
          <w:rtl/>
        </w:rPr>
      </w:pPr>
      <w:r>
        <w:rPr>
          <w:rStyle w:val="a7"/>
          <w:rtl/>
        </w:rPr>
        <w:footnoteRef/>
      </w:r>
      <w:r>
        <w:rPr>
          <w:rtl/>
        </w:rPr>
        <w:t xml:space="preserve"> </w:t>
      </w:r>
      <w:r>
        <w:rPr>
          <w:b/>
          <w:bCs/>
          <w:rtl/>
        </w:rPr>
        <w:t>בשערא כו'.</w:t>
      </w:r>
      <w:r>
        <w:rPr>
          <w:rtl/>
        </w:rPr>
        <w:t xml:space="preserve"> שהן עשר תיקונין ובכל אחד ד' הנ"ל אנשי חיל כו' שהן עשר וד' דשמא וכמו שאומר לקמן קכ"א א' עשר תיקונין אלין כל תיקונא אית לה ארבע שעורין כו', וכמו שמפרש והולך שערא חיוורא סומקא ירוקא אוכמא, ד' גוונין, אנשי חיל כו', ד' אתוון דהוי"ה כמו שמפרש והולך, וכן הוא באריכו דשערא, ועיין לקמן קכ"ב ב' אנשי חיל שערא שעיע כו' שערא חוורא מסטרא דימינא כו', ועוד בשערות בכללן אם יש לו ריבוי שער או מיעוט או בינוני וזה שאומר בשערא בגוונין באריכו, והן ג' פעמים ד' שהן י"ב אנפין הנ"ל ואדם כליל כולן דהן עשר תיקונין כל אחד הוא ג' פעמים ד' כמו שמפרש והולך באודנין כו' באנפין כו' וכן בכולם ובמצחא קמיטו ופותיא ושרטוטין:</w:t>
      </w:r>
    </w:p>
  </w:footnote>
  <w:footnote w:id="5211">
    <w:p w:rsidR="00A13282" w:rsidRDefault="00A13282" w:rsidP="006D2826">
      <w:pPr>
        <w:pStyle w:val="a5"/>
        <w:rPr>
          <w:rtl/>
        </w:rPr>
      </w:pPr>
      <w:r>
        <w:rPr>
          <w:rStyle w:val="a7"/>
          <w:rtl/>
        </w:rPr>
        <w:footnoteRef/>
      </w:r>
      <w:r>
        <w:rPr>
          <w:rtl/>
        </w:rPr>
        <w:t xml:space="preserve"> </w:t>
      </w:r>
      <w:r>
        <w:rPr>
          <w:b/>
          <w:bCs/>
          <w:rtl/>
        </w:rPr>
        <w:t>בשערא בגוונין דשערא שערא חוורא כו'.</w:t>
      </w:r>
      <w:r>
        <w:rPr>
          <w:rtl/>
        </w:rPr>
        <w:t xml:space="preserve"> עתה מפרש ואזיל כל העשר תיקונין:</w:t>
      </w:r>
    </w:p>
  </w:footnote>
  <w:footnote w:id="5212">
    <w:p w:rsidR="00A13282" w:rsidRDefault="00A13282" w:rsidP="006D2826">
      <w:pPr>
        <w:pStyle w:val="a5"/>
        <w:rPr>
          <w:rtl/>
        </w:rPr>
      </w:pPr>
      <w:r>
        <w:rPr>
          <w:rStyle w:val="a7"/>
          <w:rtl/>
        </w:rPr>
        <w:footnoteRef/>
      </w:r>
      <w:r>
        <w:rPr>
          <w:rtl/>
        </w:rPr>
        <w:t xml:space="preserve"> </w:t>
      </w:r>
      <w:r>
        <w:rPr>
          <w:b/>
          <w:bCs/>
          <w:rtl/>
        </w:rPr>
        <w:t>ועתיק יומין כו'.</w:t>
      </w:r>
      <w:r>
        <w:rPr>
          <w:rtl/>
        </w:rPr>
        <w:t xml:space="preserve"> דשם כלא ימינא כמו שאומר באידרא רבה ונאמר (דניאל ז ט) כעמר נקי, חוורא כמו שאמרו (שבת נד ע"א) כצמר נקי בן יומו כו', ועיין שם באידרא רבה בארוכה:</w:t>
      </w:r>
    </w:p>
  </w:footnote>
  <w:footnote w:id="5213">
    <w:p w:rsidR="00A13282" w:rsidRDefault="00A13282" w:rsidP="006D2826">
      <w:pPr>
        <w:pStyle w:val="a5"/>
        <w:rPr>
          <w:rtl/>
        </w:rPr>
      </w:pPr>
      <w:r>
        <w:rPr>
          <w:rStyle w:val="a7"/>
          <w:rtl/>
        </w:rPr>
        <w:footnoteRef/>
      </w:r>
      <w:r>
        <w:rPr>
          <w:rtl/>
        </w:rPr>
        <w:t xml:space="preserve"> </w:t>
      </w:r>
      <w:r>
        <w:rPr>
          <w:b/>
          <w:bCs/>
          <w:rtl/>
        </w:rPr>
        <w:t>ועלייהו אתמר תתן אמת כו'.</w:t>
      </w:r>
      <w:r>
        <w:rPr>
          <w:rtl/>
        </w:rPr>
        <w:t xml:space="preserve"> אבהן הן ג' גוונין הנ"ל כמו שאומר בפ' פנחס רט"ו א' אבל הכי אמר בוצינא קדישא כו', והן המרכבה הנ"ל דד' אתוון עם דוד מלכא ועיין לקמן קכ"ד א', (שמואל א יז יד) ודוד הוא הקטן שהוא אות יו"ד זעירא דאתוון דלית בה חיוורא, שחורה אני ונאוה כו' כמו שאומר בריש שה"ש בארוכה וזה שאומר דאתמר בה שחורה אני ונאוה כו' ועיין שם נ"ה ב' בארוכה, ואמר </w:t>
      </w:r>
      <w:r>
        <w:rPr>
          <w:b/>
          <w:bCs/>
          <w:rtl/>
        </w:rPr>
        <w:t>ואיהו שערא דיליה אוכמא.</w:t>
      </w:r>
      <w:r>
        <w:rPr>
          <w:rtl/>
        </w:rPr>
        <w:t xml:space="preserve"> רוצה לומר, על האדם קאי מאן דהוא מסטרא דשונאי בצע שערא דיליה אוכמא, ולא קאי עלה, דבה נאמר ודלת ראשך כארגמן אלא ביה שחורות כעורב והוא מסטרא דה' אחרונה ובה להיפך כארגמן ועיין לקמן קמ"ב קמ"ג:</w:t>
      </w:r>
    </w:p>
  </w:footnote>
  <w:footnote w:id="5214">
    <w:p w:rsidR="00A13282" w:rsidRDefault="00A13282" w:rsidP="006D2826">
      <w:pPr>
        <w:pStyle w:val="a5"/>
        <w:rPr>
          <w:rtl/>
        </w:rPr>
      </w:pPr>
      <w:r>
        <w:rPr>
          <w:rStyle w:val="a7"/>
          <w:rtl/>
        </w:rPr>
        <w:footnoteRef/>
      </w:r>
      <w:r>
        <w:rPr>
          <w:rtl/>
        </w:rPr>
        <w:t xml:space="preserve"> </w:t>
      </w:r>
      <w:r>
        <w:rPr>
          <w:b/>
          <w:bCs/>
          <w:rtl/>
        </w:rPr>
        <w:t>ואיהי שעורא כו'.</w:t>
      </w:r>
      <w:r>
        <w:rPr>
          <w:rtl/>
        </w:rPr>
        <w:t xml:space="preserve"> רוצה לומר השערות הן שיעורא דאתוון דאורייתא דלכן נקרא שער לשון שיעור והשערות הן אותיות ההי"ן, והמבועין הן נקודין שהן יודי"ן וכמו שאומר לעיל ל"ח א' דנקודין הן מבועין לאתוון, ואתוון מבינה ונקודין מחכמה, שהן גלגלתא ומוחא, ונקודין פנימית האותיות ורוחא להון, וכן מוחא לגלגלתא ועיין לעיל קכ"א א', ואמר </w:t>
      </w:r>
      <w:r>
        <w:rPr>
          <w:b/>
          <w:bCs/>
          <w:rtl/>
        </w:rPr>
        <w:t>דאתמר עלייהו קווצותיו תלתלים.</w:t>
      </w:r>
      <w:r>
        <w:rPr>
          <w:rtl/>
        </w:rPr>
        <w:t xml:space="preserve"> דקאי על התורה, תלי תלין כו' וזהו שחורות דהן שחורות על העור שהוא לבן, כמו השערות על עור הגלגלת, וכמו שאמרו (ירושלמי סוטה לז ע"א) אש שחורה על גבי אש לבנה:</w:t>
      </w:r>
    </w:p>
  </w:footnote>
  <w:footnote w:id="5215">
    <w:p w:rsidR="00A13282" w:rsidRDefault="00A13282" w:rsidP="006D2826">
      <w:pPr>
        <w:pStyle w:val="a5"/>
        <w:rPr>
          <w:rtl/>
        </w:rPr>
      </w:pPr>
      <w:r>
        <w:rPr>
          <w:rStyle w:val="a7"/>
          <w:rtl/>
        </w:rPr>
        <w:footnoteRef/>
      </w:r>
      <w:r>
        <w:rPr>
          <w:rtl/>
        </w:rPr>
        <w:t xml:space="preserve"> </w:t>
      </w:r>
      <w:r>
        <w:rPr>
          <w:b/>
          <w:bCs/>
          <w:rtl/>
        </w:rPr>
        <w:t>וכל נימא כו'.</w:t>
      </w:r>
      <w:r>
        <w:rPr>
          <w:rtl/>
        </w:rPr>
        <w:t xml:space="preserve"> כנ"ל, והן י"ו של שם, ושערא אריכא וקמיטא - ב' ההי"ן כמו שמפרש והולך, והן יהו"ה ברזא דאריכו וקמיטו. ואמר </w:t>
      </w:r>
      <w:r>
        <w:rPr>
          <w:b/>
          <w:bCs/>
          <w:rtl/>
        </w:rPr>
        <w:t>דנטלי מאת י'</w:t>
      </w:r>
      <w:r>
        <w:rPr>
          <w:rtl/>
        </w:rPr>
        <w:t xml:space="preserve"> דיו"ד הוא זעירא י', ווא"ו הוא אריכו, ואמר דנטלא כמו שכתוב (משלי ג יט) בחכמה יסד ארץ כונן שמים בתבונה, וזה שאומר </w:t>
      </w:r>
      <w:r>
        <w:rPr>
          <w:b/>
          <w:bCs/>
          <w:rtl/>
        </w:rPr>
        <w:t>דנטלא באת</w:t>
      </w:r>
      <w:r>
        <w:rPr>
          <w:rtl/>
        </w:rPr>
        <w:t xml:space="preserve"> </w:t>
      </w:r>
      <w:r>
        <w:rPr>
          <w:b/>
          <w:bCs/>
          <w:rtl/>
        </w:rPr>
        <w:t>וא"ו,</w:t>
      </w:r>
      <w:r>
        <w:rPr>
          <w:rtl/>
        </w:rPr>
        <w:t xml:space="preserve"> באת ולא מאת, והנה השערות בעצמן הן סוד האותיות, והן אותיות גדולות שערא אריכא בה' עילאה דשם אותיות גדולות, ואותיות קטנות בקמיטו בה' תתאה דשם אותיות קטנות, וקווצותיו השערות בי"ג נימין הן הטעמים י"ג טעמים, ובטעמים הן קיבוץ תיבות הפסוק, והמבועין נקודין, ועיין לעיל ק"ז א' אתוון מן ה"ה, נקודין מן י', טעמין מן ו' כו':</w:t>
      </w:r>
    </w:p>
  </w:footnote>
  <w:footnote w:id="5216">
    <w:p w:rsidR="00A13282" w:rsidRDefault="00A13282" w:rsidP="006D2826">
      <w:pPr>
        <w:pStyle w:val="a5"/>
        <w:rPr>
          <w:rtl/>
        </w:rPr>
      </w:pPr>
      <w:r>
        <w:rPr>
          <w:rStyle w:val="a7"/>
          <w:rtl/>
        </w:rPr>
        <w:footnoteRef/>
      </w:r>
      <w:r>
        <w:rPr>
          <w:rtl/>
        </w:rPr>
        <w:t xml:space="preserve"> </w:t>
      </w:r>
      <w:r>
        <w:rPr>
          <w:b/>
          <w:bCs/>
          <w:rtl/>
        </w:rPr>
        <w:t>עשר כו'.</w:t>
      </w:r>
      <w:r>
        <w:rPr>
          <w:rtl/>
        </w:rPr>
        <w:t xml:space="preserve"> כנ"ל:</w:t>
      </w:r>
    </w:p>
  </w:footnote>
  <w:footnote w:id="5217">
    <w:p w:rsidR="00A13282" w:rsidRDefault="00A13282" w:rsidP="006D2826">
      <w:pPr>
        <w:pStyle w:val="a5"/>
        <w:rPr>
          <w:rtl/>
        </w:rPr>
      </w:pPr>
      <w:r>
        <w:rPr>
          <w:rStyle w:val="a7"/>
          <w:rtl/>
        </w:rPr>
        <w:footnoteRef/>
      </w:r>
      <w:r>
        <w:rPr>
          <w:rtl/>
        </w:rPr>
        <w:t xml:space="preserve"> </w:t>
      </w:r>
      <w:r>
        <w:rPr>
          <w:b/>
          <w:bCs/>
          <w:rtl/>
        </w:rPr>
        <w:t>לית נימא כו'.</w:t>
      </w:r>
      <w:r>
        <w:rPr>
          <w:rtl/>
        </w:rPr>
        <w:t xml:space="preserve"> עיין באידרא רבה בארוכה:</w:t>
      </w:r>
    </w:p>
  </w:footnote>
  <w:footnote w:id="5218">
    <w:p w:rsidR="00A13282" w:rsidRDefault="00A13282" w:rsidP="006D2826">
      <w:pPr>
        <w:pStyle w:val="a5"/>
        <w:rPr>
          <w:rtl/>
        </w:rPr>
      </w:pPr>
      <w:r>
        <w:rPr>
          <w:rStyle w:val="a7"/>
          <w:rtl/>
        </w:rPr>
        <w:footnoteRef/>
      </w:r>
      <w:r>
        <w:rPr>
          <w:rtl/>
        </w:rPr>
        <w:t xml:space="preserve"> </w:t>
      </w:r>
      <w:r>
        <w:rPr>
          <w:b/>
          <w:bCs/>
          <w:rtl/>
        </w:rPr>
        <w:t>כגוונא דאבנין כו'.</w:t>
      </w:r>
      <w:r>
        <w:rPr>
          <w:rtl/>
        </w:rPr>
        <w:t xml:space="preserve"> דשערא נפקין על קרקפתא דהוא כתרא כמו שאומר תליין מכתרא, וזה שאומר באידרא רבה וכל נימא ונימא להיט בת"י עלמין והוא מנין קדוש כמו שאומר שם, וכל עלמא ועלמא סתים וגניז ולית דידע להון בר איהו, ולהיט בארבע מאה ועשרין עיבר [והוא מנין כתר, תר"כ עמודי אור, אתוון דעשרת הדברות] ובכל נימא ונימא אית מבועא כו':</w:t>
      </w:r>
    </w:p>
  </w:footnote>
  <w:footnote w:id="5219">
    <w:p w:rsidR="00A13282" w:rsidRDefault="00A13282" w:rsidP="006D2826">
      <w:pPr>
        <w:pStyle w:val="a5"/>
        <w:rPr>
          <w:rtl/>
        </w:rPr>
      </w:pPr>
      <w:r>
        <w:rPr>
          <w:rStyle w:val="a7"/>
          <w:rtl/>
        </w:rPr>
        <w:footnoteRef/>
      </w:r>
      <w:r>
        <w:rPr>
          <w:rtl/>
        </w:rPr>
        <w:t xml:space="preserve"> </w:t>
      </w:r>
      <w:r>
        <w:rPr>
          <w:b/>
          <w:bCs/>
          <w:rtl/>
        </w:rPr>
        <w:t>והכי תליין צבא כו' מימינו ומשמאלו ובג"ד צריך כו'.</w:t>
      </w:r>
      <w:r>
        <w:rPr>
          <w:rtl/>
        </w:rPr>
        <w:t xml:space="preserve"> [עיין בזוהר חדש כ"ז ב' יראי אלקים באודנין ובשערא דתליין מרישא עלייהו כו', שערא איהו דינא וכמה נימין תליין מינה דאינון צבא השמים, ד' קיימין על ב"ד רברבא דאיהו גבורה לשמאלא רוצה לומר דהן אודנין שהן גבורה כנ"ל וכמו שאומר שם ולכן הן קיימין על אודנין, דפעולותיה בחיה דאיהי שור כו', ובצלותא צריך לבערא לון מן בתר אודנין דלא יהון מכסין תרעין דשמיעה לאעלא בהון צלותא, ואי לאו, אתקיים ביה אז יקראוני ולא אענה, ובזמנא דשמיעה איהי פנויה מאינון דינין - אתקיים ביה אז תקרא וה' יענה, והן ברוחא דחוטמא] ועיין שם קל"ו א' וכל אינון קוצין תליין וחפיין לסטרא דאודנין, ובג"כ כתיב הטה אלהי אזנך ושמע, ובהאי תלי תליין ימינא ושמאלא כו' וזה שאומר מימינא ומשמאלא:</w:t>
      </w:r>
    </w:p>
  </w:footnote>
  <w:footnote w:id="5220">
    <w:p w:rsidR="00A13282" w:rsidRDefault="00A13282" w:rsidP="006D2826">
      <w:pPr>
        <w:pStyle w:val="a5"/>
        <w:rPr>
          <w:rtl/>
        </w:rPr>
      </w:pPr>
      <w:r>
        <w:rPr>
          <w:rStyle w:val="a7"/>
          <w:rtl/>
        </w:rPr>
        <w:footnoteRef/>
      </w:r>
      <w:r>
        <w:rPr>
          <w:rtl/>
        </w:rPr>
        <w:t xml:space="preserve"> </w:t>
      </w:r>
      <w:r>
        <w:rPr>
          <w:b/>
          <w:bCs/>
          <w:rtl/>
        </w:rPr>
        <w:t>דאתקריאו עיני ה'.</w:t>
      </w:r>
      <w:r>
        <w:rPr>
          <w:rtl/>
        </w:rPr>
        <w:t xml:space="preserve"> כמו שכתוב (זכריה ד י) עיני ה' המה כו', וכן אזני ה' כמו שכתוב במתאוננים (במדבר יא א) רע באזני ה' וכמו שמפרש והולך מיד (שם) וישמע ה' ויחר כו', ואמר </w:t>
      </w:r>
      <w:r>
        <w:rPr>
          <w:b/>
          <w:bCs/>
          <w:rtl/>
        </w:rPr>
        <w:t>ומאן דמשתמע קליה כו' ריחא ותמן סלקין כו' וא"ל סליק כו'</w:t>
      </w:r>
      <w:r>
        <w:rPr>
          <w:rtl/>
        </w:rPr>
        <w:t xml:space="preserve"> </w:t>
      </w:r>
      <w:r>
        <w:rPr>
          <w:b/>
          <w:bCs/>
          <w:rtl/>
        </w:rPr>
        <w:t>דבור כו' תמן סלקין כו'.</w:t>
      </w:r>
      <w:r>
        <w:rPr>
          <w:rtl/>
        </w:rPr>
        <w:t xml:space="preserve"> הענין כי ד' דברים הוא בצלותא, מחשבה ורעותא וקלא ודבורא, על המחשבה עין רואה דמעשים בספר נכתבים וכמו שאמרו (אבות ב א) עין רואה ואוזן שומעת וכל כו' וכמו שכתוב (?) וראיתי אני בלבי, (קהלת א טז) ולבי ראה הרבה כו', ואוזן שומעת הקול, ובחוטם רעותא דקרבנין שהן הצלותא דסלקין ביה למוח דשם ניחוח לה', ופה מקבל הדיבור, ועוף השמים הוא באודנין ששם השמים בינה, וזה שכתוב (קהלת י כ) כי עוף השמים יוליך את הקול ובעל כנפים שהן השפתים, ובעל הכנפים הוא פומא, יגיד דבר, ואמר </w:t>
      </w:r>
      <w:r>
        <w:rPr>
          <w:b/>
          <w:bCs/>
          <w:rtl/>
        </w:rPr>
        <w:t>ריחא תמן אנשי אמת כו'.</w:t>
      </w:r>
      <w:r>
        <w:rPr>
          <w:rtl/>
        </w:rPr>
        <w:t xml:space="preserve"> כמו שאומר בזוהר חדש שם אנשי אמת בדיוקנא דחוטמא דאיהו רוחא דקודשא ודא תפארת, רוצה לומר דתפארת הוא רוח והוא בחוטם, וביה וייצר שם הוי"ה כמו שאומר לקמן קמ"ד א' וא"ו איהו חוטמא מתתקנא באנפין עלייהו אתמר וייצר כו' ועיין מה שבארנו שם, ופומא - מלכות כמו שאומר לעיל י"ג א' ושאר מקומות, וראיה מפרש והולך אריה דא ראיה כו' והפוך כו'. ואמר </w:t>
      </w:r>
      <w:r>
        <w:rPr>
          <w:b/>
          <w:bCs/>
          <w:rtl/>
        </w:rPr>
        <w:t>בכל אתר ארבעתם כו'.</w:t>
      </w:r>
      <w:r>
        <w:rPr>
          <w:rtl/>
        </w:rPr>
        <w:t xml:space="preserve"> והן ג' פעמים ארבעתם דכתיב שם ג' הויות, אבל באדם לא כתיב דהוא כולל כולן וכולל עשר ג"כ:</w:t>
      </w:r>
    </w:p>
  </w:footnote>
  <w:footnote w:id="5221">
    <w:p w:rsidR="00A13282" w:rsidRDefault="00A13282" w:rsidP="006D2826">
      <w:pPr>
        <w:pStyle w:val="a5"/>
        <w:rPr>
          <w:rtl/>
        </w:rPr>
      </w:pPr>
      <w:r>
        <w:rPr>
          <w:rStyle w:val="a7"/>
          <w:rtl/>
        </w:rPr>
        <w:footnoteRef/>
      </w:r>
      <w:r>
        <w:rPr>
          <w:rtl/>
        </w:rPr>
        <w:t xml:space="preserve"> </w:t>
      </w:r>
      <w:r>
        <w:rPr>
          <w:b/>
          <w:bCs/>
          <w:rtl/>
        </w:rPr>
        <w:t>ואיהו לימינא כו' דתמן א' אור ראובן כו'.</w:t>
      </w:r>
      <w:r>
        <w:rPr>
          <w:rtl/>
        </w:rPr>
        <w:t xml:space="preserve"> רוצה לומר אריה מתחלת באל"ף, יום א' דביה נברא האור ג"כ בא', ואור הוא ראיה, וכן ראובן לשון ראיה כמו שכתוב (בראשית כט לב) כי ראה כו', ונקרא אור - בן, כמו שמפרש והולך על שם האור ביום ראשון, ושמעון על שם כי שמע, וכן הן חושין דלהון כמו שאומר בספר יצירה, וזה שאומר </w:t>
      </w:r>
      <w:r>
        <w:rPr>
          <w:b/>
          <w:bCs/>
          <w:rtl/>
        </w:rPr>
        <w:t>שמיעה לשמאלא כו'</w:t>
      </w:r>
      <w:r>
        <w:rPr>
          <w:rtl/>
        </w:rPr>
        <w:t>:</w:t>
      </w:r>
    </w:p>
  </w:footnote>
  <w:footnote w:id="5222">
    <w:p w:rsidR="00A13282" w:rsidRDefault="00A13282" w:rsidP="006D2826">
      <w:pPr>
        <w:pStyle w:val="a5"/>
        <w:rPr>
          <w:rtl/>
        </w:rPr>
      </w:pPr>
      <w:r>
        <w:rPr>
          <w:rStyle w:val="a7"/>
          <w:rtl/>
        </w:rPr>
        <w:footnoteRef/>
      </w:r>
      <w:r>
        <w:rPr>
          <w:rtl/>
        </w:rPr>
        <w:t xml:space="preserve"> </w:t>
      </w:r>
      <w:r>
        <w:rPr>
          <w:b/>
          <w:bCs/>
          <w:rtl/>
        </w:rPr>
        <w:t>דאינון תרין כו'</w:t>
      </w:r>
      <w:r>
        <w:rPr>
          <w:rtl/>
        </w:rPr>
        <w:t xml:space="preserve"> זהו חפניו תרין, תרין נוקבין, ונשר פרח ברוחא, רוחא דחוטמא כנ"ל. ואמר מי אסף כמו שאומר בזוהר חדש שם וחוטמא דאיהו יעקב אתמר ביה ויפח באפיו נשמת חיים ודא בינה בן י"ה (משה רבינו איהו ליה כנשמתא דחיי) כו' וזהו מי כו', ודרש על משה רבינו עליו השלום והוא בינה, בן י"ה, שהוא הדעת שהיא בינה, ובתרין נוקבין שם איהו, כמו שאומר לקמן קמ"ב א' אבל תרין נוקבין דחוטמא כו' לאפקא רוחא דקודשא דאיהו רעיא מהימנא כו': </w:t>
      </w:r>
    </w:p>
  </w:footnote>
  <w:footnote w:id="5223">
    <w:p w:rsidR="00A13282" w:rsidRDefault="00A13282" w:rsidP="006D2826">
      <w:pPr>
        <w:pStyle w:val="a5"/>
        <w:rPr>
          <w:rtl/>
        </w:rPr>
      </w:pPr>
      <w:r>
        <w:rPr>
          <w:rStyle w:val="a7"/>
          <w:rtl/>
        </w:rPr>
        <w:footnoteRef/>
      </w:r>
      <w:r>
        <w:rPr>
          <w:rtl/>
        </w:rPr>
        <w:t xml:space="preserve"> </w:t>
      </w:r>
      <w:r>
        <w:rPr>
          <w:b/>
          <w:bCs/>
          <w:rtl/>
        </w:rPr>
        <w:t>ואתה תחזה כו' מ"ס אתקרי כו' אינון תלת אוירין כו'.</w:t>
      </w:r>
      <w:r>
        <w:rPr>
          <w:rtl/>
        </w:rPr>
        <w:t xml:space="preserve"> עיין מה שבארנו לקמן קי"ט א' בארוכה:</w:t>
      </w:r>
    </w:p>
  </w:footnote>
  <w:footnote w:id="5224">
    <w:p w:rsidR="00A13282" w:rsidRDefault="00A13282" w:rsidP="006D2826">
      <w:pPr>
        <w:pStyle w:val="a5"/>
        <w:rPr>
          <w:rtl/>
        </w:rPr>
      </w:pPr>
      <w:r>
        <w:rPr>
          <w:rStyle w:val="a7"/>
          <w:rtl/>
        </w:rPr>
        <w:footnoteRef/>
      </w:r>
      <w:r>
        <w:rPr>
          <w:rtl/>
        </w:rPr>
        <w:t xml:space="preserve"> </w:t>
      </w:r>
      <w:r>
        <w:rPr>
          <w:b/>
          <w:bCs/>
          <w:rtl/>
        </w:rPr>
        <w:t>תלת ווין אית בהאי שמא.</w:t>
      </w:r>
      <w:r>
        <w:rPr>
          <w:rtl/>
        </w:rPr>
        <w:t xml:space="preserve"> רוצה לומר בשם ס"ג, דתלת יודין הן המבועין דאינון ג' הויות מג' חיוון והן ג’ פעמים קדוש דהוא בשערא כמו שאומר באידרא רבה וכמו שכתוב (במדבר ו ה) קדוש יהיה גדל פרע שער ראשו, ות"י נימין כמנין קדוש כמו שאומר שם, ושם ה' צבאות דתמן צבא השמים כו' כנ"ל, ופלגותא דשערא לימינא ולשמאלא כמו שאומר באידרא רבה שם והן צבא השמים עומדים כו' כנ"ל, וזהו צבאות, והארח באמצעיתא דאתפלג לתרי"ג אורחין הוא דרגא דצדיק, ברי"ת תרי"ג, נה"ר במילואו, עומד בין הצבאות, וזהו (ישעיהו ו ג) מלא כל כו', ותלת ווי"ן דשמא הן הנימין עצמן, ונשארו ד' אותיות לאשלמא לעשר, ובהצטרף ד' וא' נעשה ה', נמצאו שם ג"כ ג' ההי"ן שהן אותיות ונקודין וטעמים דאורייתא, והן ט' תיבות דפסוק קדוש, ועיין מה שבארנו מזה במקום אחר, ואמר </w:t>
      </w:r>
      <w:r>
        <w:rPr>
          <w:b/>
          <w:bCs/>
          <w:rtl/>
        </w:rPr>
        <w:t xml:space="preserve">שער אתקרי על שם שעור כו'. </w:t>
      </w:r>
      <w:r>
        <w:rPr>
          <w:rtl/>
        </w:rPr>
        <w:t>כנ"ל דהוא שעורא דאתוון דאורייתא:</w:t>
      </w:r>
    </w:p>
  </w:footnote>
  <w:footnote w:id="5225">
    <w:p w:rsidR="00A13282" w:rsidRDefault="00A13282" w:rsidP="006D2826">
      <w:pPr>
        <w:pStyle w:val="a5"/>
        <w:rPr>
          <w:rtl/>
        </w:rPr>
      </w:pPr>
      <w:r>
        <w:rPr>
          <w:rStyle w:val="a7"/>
          <w:rtl/>
        </w:rPr>
        <w:footnoteRef/>
      </w:r>
      <w:r>
        <w:rPr>
          <w:rtl/>
        </w:rPr>
        <w:t xml:space="preserve"> </w:t>
      </w:r>
      <w:r>
        <w:rPr>
          <w:b/>
          <w:bCs/>
          <w:rtl/>
        </w:rPr>
        <w:t>ונימין אינון צדיקיא כו' וכל ניצוץ כו'.</w:t>
      </w:r>
      <w:r>
        <w:rPr>
          <w:rtl/>
        </w:rPr>
        <w:t xml:space="preserve"> כמו שאומר לעיל ל"ז א' ונימין הן גופין, וניצוץ - נשמתא, כמו כתרא ומ"ס וכמו שאומר לקמן, וכן בנימין ומבועין כנ"ל, ואמר ואית כו' [דבהון להפוך] דגלגל ואופן הוא יו"ד כמו שאומר לעיל ק"ג ב' ומלאכין ו' כנ"ל וכל צבא השמים, והן למטה מהאופנים:</w:t>
      </w:r>
    </w:p>
  </w:footnote>
  <w:footnote w:id="5226">
    <w:p w:rsidR="00A13282" w:rsidRDefault="00A13282" w:rsidP="006D2826">
      <w:pPr>
        <w:pStyle w:val="a5"/>
        <w:rPr>
          <w:rtl/>
        </w:rPr>
      </w:pPr>
      <w:r>
        <w:rPr>
          <w:rStyle w:val="a7"/>
          <w:rtl/>
        </w:rPr>
        <w:footnoteRef/>
      </w:r>
      <w:r>
        <w:rPr>
          <w:rtl/>
        </w:rPr>
        <w:t xml:space="preserve"> </w:t>
      </w:r>
      <w:r>
        <w:rPr>
          <w:b/>
          <w:bCs/>
          <w:rtl/>
        </w:rPr>
        <w:t>ואית מינייהו דאינון כו'.</w:t>
      </w:r>
      <w:r>
        <w:rPr>
          <w:rtl/>
        </w:rPr>
        <w:t xml:space="preserve"> הן ד' גווני דשערא הנ"ל ומפרש והולך אלין אתקריאו כו':</w:t>
      </w:r>
    </w:p>
  </w:footnote>
  <w:footnote w:id="5227">
    <w:p w:rsidR="00A13282" w:rsidRDefault="00A13282" w:rsidP="006D2826">
      <w:pPr>
        <w:pStyle w:val="a5"/>
        <w:rPr>
          <w:rtl/>
        </w:rPr>
      </w:pPr>
      <w:r>
        <w:rPr>
          <w:rStyle w:val="a7"/>
          <w:rtl/>
        </w:rPr>
        <w:footnoteRef/>
      </w:r>
      <w:r>
        <w:rPr>
          <w:rtl/>
        </w:rPr>
        <w:t xml:space="preserve"> </w:t>
      </w:r>
      <w:r>
        <w:rPr>
          <w:b/>
          <w:bCs/>
          <w:rtl/>
        </w:rPr>
        <w:t>כל ניצוץ כו'.</w:t>
      </w:r>
      <w:r>
        <w:rPr>
          <w:rtl/>
        </w:rPr>
        <w:t xml:space="preserve"> דניצוץ דהוא מבועא הוא יו"ד, ועיין בפרק ה' דספרא דצניעותא י' בלחודוי כד אתגליא בזעירא אתמשיך בעשר אלפין כו':</w:t>
      </w:r>
    </w:p>
  </w:footnote>
  <w:footnote w:id="5228">
    <w:p w:rsidR="00A13282" w:rsidRDefault="00A13282" w:rsidP="006D2826">
      <w:pPr>
        <w:pStyle w:val="a5"/>
        <w:rPr>
          <w:rtl/>
        </w:rPr>
      </w:pPr>
      <w:r>
        <w:rPr>
          <w:rStyle w:val="a7"/>
          <w:rtl/>
        </w:rPr>
        <w:footnoteRef/>
      </w:r>
      <w:r>
        <w:rPr>
          <w:rtl/>
        </w:rPr>
        <w:t xml:space="preserve"> </w:t>
      </w:r>
      <w:r>
        <w:rPr>
          <w:b/>
          <w:bCs/>
          <w:rtl/>
        </w:rPr>
        <w:t>וכל נימא כו'.</w:t>
      </w:r>
      <w:r>
        <w:rPr>
          <w:rtl/>
        </w:rPr>
        <w:t xml:space="preserve"> שהוא וא"ו כנ"ל:</w:t>
      </w:r>
    </w:p>
  </w:footnote>
  <w:footnote w:id="5229">
    <w:p w:rsidR="00A13282" w:rsidRDefault="00A13282" w:rsidP="006D2826">
      <w:pPr>
        <w:pStyle w:val="a5"/>
        <w:rPr>
          <w:rtl/>
        </w:rPr>
      </w:pPr>
      <w:r>
        <w:rPr>
          <w:rStyle w:val="a7"/>
          <w:rtl/>
        </w:rPr>
        <w:footnoteRef/>
      </w:r>
      <w:r>
        <w:rPr>
          <w:rtl/>
        </w:rPr>
        <w:t xml:space="preserve"> </w:t>
      </w:r>
      <w:r>
        <w:rPr>
          <w:b/>
          <w:bCs/>
          <w:rtl/>
        </w:rPr>
        <w:t>וכל אצבע איהו פרסה זעירא.</w:t>
      </w:r>
      <w:r>
        <w:rPr>
          <w:rtl/>
        </w:rPr>
        <w:t xml:space="preserve"> דאמה איהי פרסה רבתא כמו שמפרש והולך והכי אמה תשכח בה כו':</w:t>
      </w:r>
    </w:p>
  </w:footnote>
  <w:footnote w:id="5230">
    <w:p w:rsidR="00A13282" w:rsidRDefault="00A13282" w:rsidP="006D2826">
      <w:pPr>
        <w:pStyle w:val="a5"/>
        <w:rPr>
          <w:rtl/>
        </w:rPr>
      </w:pPr>
      <w:r>
        <w:rPr>
          <w:rStyle w:val="a7"/>
          <w:rtl/>
        </w:rPr>
        <w:footnoteRef/>
      </w:r>
      <w:r>
        <w:rPr>
          <w:rtl/>
        </w:rPr>
        <w:t xml:space="preserve"> </w:t>
      </w:r>
      <w:r>
        <w:rPr>
          <w:b/>
          <w:bCs/>
          <w:rtl/>
        </w:rPr>
        <w:t>וכל אמה איהו ו' אבל אצבע ואמה דא שעורא זעיר כו'.</w:t>
      </w:r>
      <w:r>
        <w:rPr>
          <w:rtl/>
        </w:rPr>
        <w:t xml:space="preserve"> [רוצה לומר אמה - אצבע הגדולה] ובאמה העשרת אלפים הם של עשרות, וכאן של אחדים ועיין לעיל ק"ג ב' דסלקין לשית כו' ולשיתין רבוא בכתר עלאה, וזה שאומר </w:t>
      </w:r>
      <w:r>
        <w:rPr>
          <w:b/>
          <w:bCs/>
          <w:rtl/>
        </w:rPr>
        <w:t>מיל דפרסה עלאה איהו עשרת כו'.</w:t>
      </w:r>
      <w:r>
        <w:rPr>
          <w:rtl/>
        </w:rPr>
        <w:t xml:space="preserve"> רוצה לומר בכתר וכן בדרועא ג"כ נקרא פרסה בג' פרקין אלא הכל לפי גדלו, כן הוא העשרת אלפים, ורוצה לומר </w:t>
      </w:r>
      <w:r>
        <w:rPr>
          <w:b/>
          <w:bCs/>
          <w:rtl/>
        </w:rPr>
        <w:t>וכל אמה</w:t>
      </w:r>
      <w:r>
        <w:rPr>
          <w:rtl/>
        </w:rPr>
        <w:t xml:space="preserve"> היינו האמות דשיעור קומה שאמר כך אמות, מדקאמר וכל אמה אבל מה שאמר </w:t>
      </w:r>
      <w:r>
        <w:rPr>
          <w:b/>
          <w:bCs/>
          <w:rtl/>
        </w:rPr>
        <w:t>והכי אמה תשכח בה,</w:t>
      </w:r>
      <w:r>
        <w:rPr>
          <w:rtl/>
        </w:rPr>
        <w:t xml:space="preserve"> קאי על אצבע הגדולה או על הזרוע שהוא אמה, וזה שאומר וכל אמה - שהכל נמדד באמת הזרוע, וזה שאומר ודא שעוריה רב - שהוא גדול מאד על האצבע, ואמר </w:t>
      </w:r>
      <w:r>
        <w:rPr>
          <w:b/>
          <w:bCs/>
          <w:rtl/>
        </w:rPr>
        <w:t>וכל פרק כו'.</w:t>
      </w:r>
      <w:r>
        <w:rPr>
          <w:rtl/>
        </w:rPr>
        <w:t xml:space="preserve"> היינו הפרקין מקום חבורן:</w:t>
      </w:r>
    </w:p>
  </w:footnote>
  <w:footnote w:id="5231">
    <w:p w:rsidR="00A13282" w:rsidRDefault="00A13282" w:rsidP="006D2826">
      <w:pPr>
        <w:pStyle w:val="a5"/>
        <w:rPr>
          <w:rtl/>
        </w:rPr>
      </w:pPr>
      <w:r>
        <w:rPr>
          <w:rStyle w:val="a7"/>
          <w:rtl/>
        </w:rPr>
        <w:footnoteRef/>
      </w:r>
      <w:r>
        <w:rPr>
          <w:rtl/>
        </w:rPr>
        <w:t xml:space="preserve"> </w:t>
      </w:r>
      <w:r>
        <w:rPr>
          <w:b/>
          <w:bCs/>
          <w:rtl/>
        </w:rPr>
        <w:t>מסט' דאריך אנפין כו'.</w:t>
      </w:r>
      <w:r>
        <w:rPr>
          <w:rtl/>
        </w:rPr>
        <w:t xml:space="preserve"> כבר כתבתי לעיל שא"א וז"א - עמודא דאמצעיתא וצדיק:</w:t>
      </w:r>
    </w:p>
  </w:footnote>
  <w:footnote w:id="5232">
    <w:p w:rsidR="00A13282" w:rsidRDefault="00A13282" w:rsidP="006D2826">
      <w:pPr>
        <w:pStyle w:val="a5"/>
        <w:rPr>
          <w:rtl/>
        </w:rPr>
      </w:pPr>
      <w:r>
        <w:rPr>
          <w:rStyle w:val="a7"/>
          <w:rtl/>
        </w:rPr>
        <w:footnoteRef/>
      </w:r>
      <w:r>
        <w:rPr>
          <w:rtl/>
        </w:rPr>
        <w:t xml:space="preserve"> </w:t>
      </w:r>
      <w:r>
        <w:rPr>
          <w:b/>
          <w:bCs/>
          <w:rtl/>
        </w:rPr>
        <w:t>ובכל אבר איהו הוי"ה.</w:t>
      </w:r>
      <w:r>
        <w:rPr>
          <w:rtl/>
        </w:rPr>
        <w:t xml:space="preserve"> דרמ"ח אברין הן רמ"ח פקודין, וכל מצוה היא הוי"ה כמו שאומר לקמן קל"ז א' ובגין דאיהי כלילא מכלהו ארבע אתקריאת מצוה, מ"צ באותיות א"ת ב"ש כו':</w:t>
      </w:r>
    </w:p>
  </w:footnote>
  <w:footnote w:id="5233">
    <w:p w:rsidR="00A13282" w:rsidRDefault="00A13282" w:rsidP="006D2826">
      <w:pPr>
        <w:pStyle w:val="a5"/>
        <w:rPr>
          <w:rtl/>
        </w:rPr>
      </w:pPr>
      <w:r>
        <w:rPr>
          <w:rStyle w:val="a7"/>
          <w:rtl/>
        </w:rPr>
        <w:footnoteRef/>
      </w:r>
      <w:r>
        <w:rPr>
          <w:rtl/>
        </w:rPr>
        <w:t xml:space="preserve"> </w:t>
      </w:r>
      <w:r>
        <w:rPr>
          <w:b/>
          <w:bCs/>
          <w:rtl/>
        </w:rPr>
        <w:t>ואיהו שעורא כו'.</w:t>
      </w:r>
      <w:r>
        <w:rPr>
          <w:rtl/>
        </w:rPr>
        <w:t xml:space="preserve"> עיין מה שאומר בספר יצירה דעשר אתוון הוא בו"ק של האבר כמו שאומר כאן עילא ותתא ולארבע כו', וג' עומקים כמו שאומר כאן </w:t>
      </w:r>
      <w:r>
        <w:rPr>
          <w:b/>
          <w:bCs/>
          <w:rtl/>
        </w:rPr>
        <w:t>בגבהא בארכא וברחבא.</w:t>
      </w:r>
      <w:r>
        <w:rPr>
          <w:rtl/>
        </w:rPr>
        <w:t xml:space="preserve"> ונקודה הפנימית שאליו נמשכין הכל, והוא נושא את הכל - משלמת לעשר, כמו שאומר שם היכל הקודש באמצע והוא נושא את כולם:</w:t>
      </w:r>
    </w:p>
  </w:footnote>
  <w:footnote w:id="5234">
    <w:p w:rsidR="00A13282" w:rsidRDefault="00A13282" w:rsidP="006D2826">
      <w:pPr>
        <w:pStyle w:val="a5"/>
        <w:rPr>
          <w:rtl/>
        </w:rPr>
      </w:pPr>
      <w:r>
        <w:rPr>
          <w:rStyle w:val="a7"/>
          <w:rtl/>
        </w:rPr>
        <w:footnoteRef/>
      </w:r>
      <w:r>
        <w:rPr>
          <w:rtl/>
        </w:rPr>
        <w:t xml:space="preserve"> </w:t>
      </w:r>
      <w:r>
        <w:rPr>
          <w:b/>
          <w:bCs/>
          <w:rtl/>
        </w:rPr>
        <w:t xml:space="preserve">ואית אבר כו'. </w:t>
      </w:r>
      <w:r>
        <w:rPr>
          <w:rtl/>
        </w:rPr>
        <w:t xml:space="preserve">זה הלשון איני יכול להולמו שהוא משובש מאד. שקודם צריך להיות </w:t>
      </w:r>
      <w:r>
        <w:rPr>
          <w:b/>
          <w:bCs/>
          <w:rtl/>
        </w:rPr>
        <w:t>ואית אבר דאתקרי אלקים כו' על כל הארץ אלקים</w:t>
      </w:r>
      <w:r>
        <w:rPr>
          <w:rtl/>
        </w:rPr>
        <w:t xml:space="preserve"> ואח"כ </w:t>
      </w:r>
      <w:r>
        <w:rPr>
          <w:b/>
          <w:bCs/>
          <w:rtl/>
        </w:rPr>
        <w:t>ואית אבר עלאה דאתקרי כו' על כל הארץ</w:t>
      </w:r>
      <w:r>
        <w:rPr>
          <w:rtl/>
        </w:rPr>
        <w:t xml:space="preserve"> ואח"כ </w:t>
      </w:r>
      <w:r>
        <w:rPr>
          <w:b/>
          <w:bCs/>
          <w:rtl/>
        </w:rPr>
        <w:t>ואית תרין אברים כו'</w:t>
      </w:r>
      <w:r>
        <w:rPr>
          <w:rtl/>
        </w:rPr>
        <w:t xml:space="preserve"> עם </w:t>
      </w:r>
      <w:r>
        <w:rPr>
          <w:b/>
          <w:bCs/>
          <w:rtl/>
        </w:rPr>
        <w:t>ואית אחרא דשולטנותיה איהו בתרין אברים כו'</w:t>
      </w:r>
      <w:r>
        <w:rPr>
          <w:rtl/>
        </w:rPr>
        <w:t>:</w:t>
      </w:r>
    </w:p>
    <w:p w:rsidR="00A13282" w:rsidRDefault="00A13282" w:rsidP="006D2826">
      <w:pPr>
        <w:pStyle w:val="a5"/>
        <w:rPr>
          <w:rtl/>
        </w:rPr>
      </w:pPr>
      <w:r>
        <w:rPr>
          <w:b/>
          <w:bCs/>
          <w:rtl/>
        </w:rPr>
        <w:t>ואית תרין אברים כו' ואית אחרא דשולטנותיה איהו בתרין אברים כו'</w:t>
      </w:r>
      <w:r>
        <w:rPr>
          <w:rtl/>
        </w:rPr>
        <w:t xml:space="preserve"> לכללן בכלל אחד, דתרין אברים אלו הן נגד שמיא וארעא כמו שאומר בספר יצירה שמים בעולם וראש בנפש כו', וכן ארץ כמו שאומר שם, ואמר </w:t>
      </w:r>
      <w:r>
        <w:rPr>
          <w:b/>
          <w:bCs/>
          <w:rtl/>
        </w:rPr>
        <w:t>ואע"ג דהאי קרא על קב"ה כו'.</w:t>
      </w:r>
      <w:r>
        <w:rPr>
          <w:rtl/>
        </w:rPr>
        <w:t xml:space="preserve"> רוצה לומר מכל מקום קאי ג"כ על האברים דאיהו שריא ביה, דיש אברים שמתפשטין חיותן בכל הגוף, והן כלל הגוף, וביה נאמר כי ה' כו' אין עוד מלבדו:</w:t>
      </w:r>
    </w:p>
  </w:footnote>
  <w:footnote w:id="5235">
    <w:p w:rsidR="00A13282" w:rsidRDefault="00A13282" w:rsidP="006D2826">
      <w:pPr>
        <w:pStyle w:val="a5"/>
        <w:rPr>
          <w:rtl/>
        </w:rPr>
      </w:pPr>
      <w:r>
        <w:rPr>
          <w:rStyle w:val="a7"/>
          <w:rtl/>
        </w:rPr>
        <w:footnoteRef/>
      </w:r>
      <w:r>
        <w:rPr>
          <w:rtl/>
        </w:rPr>
        <w:t xml:space="preserve"> </w:t>
      </w:r>
      <w:r>
        <w:rPr>
          <w:b/>
          <w:bCs/>
          <w:rtl/>
        </w:rPr>
        <w:t>ואית אבר כו'.</w:t>
      </w:r>
      <w:r>
        <w:rPr>
          <w:rtl/>
        </w:rPr>
        <w:t xml:space="preserve"> חשיב ז' השמות שאינן נמחקים, שהן כלל העשר ספירות, דאהי"ה כולל ג"ר, וצבאות נ"ה, ולכן עשר ספירות נכללין בז' וכמו שאומר לעיל קכ"ב א' ומסטרא דכתר אתקרי תלת כו':</w:t>
      </w:r>
    </w:p>
  </w:footnote>
  <w:footnote w:id="5236">
    <w:p w:rsidR="00A13282" w:rsidRDefault="00A13282" w:rsidP="006D2826">
      <w:pPr>
        <w:pStyle w:val="a5"/>
        <w:rPr>
          <w:rtl/>
        </w:rPr>
      </w:pPr>
      <w:r>
        <w:rPr>
          <w:rStyle w:val="a7"/>
          <w:rtl/>
        </w:rPr>
        <w:footnoteRef/>
      </w:r>
      <w:r>
        <w:rPr>
          <w:rtl/>
        </w:rPr>
        <w:t xml:space="preserve"> </w:t>
      </w:r>
      <w:r>
        <w:rPr>
          <w:b/>
          <w:bCs/>
          <w:rtl/>
        </w:rPr>
        <w:t>אהי"ה על הוי"ה.</w:t>
      </w:r>
      <w:r>
        <w:rPr>
          <w:rtl/>
        </w:rPr>
        <w:t xml:space="preserve"> רוצה לומר על מציאות, דאהיה הוא לשון מציאות וכמו שפירשו המפרשים על אהיה אשר אהיה, מפרש והולך דהוא מורה על היה הוה ויהיה, ורוצה לומר דלכן נאמר שם ג’ פעמים אהיה וכמו שאמרו (שמות רבה פרשה ג') אהיה אשר אהיה אני שהייתי עמכם כו' ואני אהיה עמכם כו', והוא היה ויהיה, ואח"כ אמר לך ואמור אהיה שהוא על הגאולה בהוה, וכמו שאומר לעיל קכ"ב א' ואתקריאו תלת שמהן אהיה אהיה אהיה כו' ומסטרא דכתר אתקריאו תלת ספירין כו':</w:t>
      </w:r>
    </w:p>
  </w:footnote>
  <w:footnote w:id="5237">
    <w:p w:rsidR="00A13282" w:rsidRDefault="00A13282" w:rsidP="006D2826">
      <w:pPr>
        <w:pStyle w:val="a5"/>
        <w:rPr>
          <w:rtl/>
        </w:rPr>
      </w:pPr>
      <w:r>
        <w:rPr>
          <w:rStyle w:val="a7"/>
          <w:rtl/>
        </w:rPr>
        <w:footnoteRef/>
      </w:r>
      <w:r>
        <w:rPr>
          <w:rtl/>
        </w:rPr>
        <w:t xml:space="preserve"> </w:t>
      </w:r>
      <w:r>
        <w:rPr>
          <w:b/>
          <w:bCs/>
          <w:rtl/>
        </w:rPr>
        <w:t>ההוא דרכיב על קלא דהויה איהו עלת העלות כו'.</w:t>
      </w:r>
      <w:r>
        <w:rPr>
          <w:rtl/>
        </w:rPr>
        <w:t xml:space="preserve"> רוצה לומר דעלת העלות הוא רכיב על קלא דהוי"ה וכמו שמפרש והולך ואיהו רכיב ושליט כו' וכמו שמפרש והולך אהי"ה אחזי על כו', דכלהו שמהן מורין על עלת העלות אע"ג דעלת העלות בעצמו אין לו שם ידיע כלל מכל מקום בספירין אית ליה שמות דמורין על הנהגתו וקדמותו, וכמו שאומר ברעיא מהימנא פ' בא בארוכה עיין שם. ואמר </w:t>
      </w:r>
      <w:r>
        <w:rPr>
          <w:b/>
          <w:bCs/>
          <w:rtl/>
        </w:rPr>
        <w:t>ואיהו הבל כו'.</w:t>
      </w:r>
      <w:r>
        <w:rPr>
          <w:rtl/>
        </w:rPr>
        <w:t xml:space="preserve"> דהבל הוא מציאות האדם, שהוא רוח חיים של אדם, והוא סליק עד אין סוף, דקול יש לו שיעור ידיע עד היכן שנשמע הקול אבל ההבל מתפשט בלי גבול, והוא הבל דיעקב, רוח חיים באפיו - בחוטמא כמו שאומר בזוהר חדש פ' יתרו כ"ז ב' וחוטמא דאיהו יעקב אתמר ביה ויפח באפיו נשמת חיים ודא בינה בן י"ה, משה רבינו איהו ליה כנשמתא דחיי וכנ"ל, ועקרא בהבל דלבא דהוא דרגא דמשה, בינה, בן י"ה, ושם סליק לאין סוף כמו שאומר בתיקוני זוהר חדש דדרגיה דיליה סליק לאין סוף, וזה שאומר וביה רכיב עלת העלות, ועל ידו רכיב על קלא דהוא תפארת, הוי"ה, והוא יעקב ומשה קלא והבל, וזה שאומר דרכיב על קלא ובהבל ביה רכיב:</w:t>
      </w:r>
    </w:p>
  </w:footnote>
  <w:footnote w:id="5238">
    <w:p w:rsidR="00A13282" w:rsidRDefault="00A13282" w:rsidP="006D2826">
      <w:pPr>
        <w:pStyle w:val="a5"/>
        <w:rPr>
          <w:rtl/>
        </w:rPr>
      </w:pPr>
      <w:r>
        <w:rPr>
          <w:rStyle w:val="a7"/>
          <w:rtl/>
        </w:rPr>
        <w:footnoteRef/>
      </w:r>
      <w:r>
        <w:rPr>
          <w:rtl/>
        </w:rPr>
        <w:t xml:space="preserve"> </w:t>
      </w:r>
      <w:r>
        <w:rPr>
          <w:b/>
          <w:bCs/>
          <w:rtl/>
        </w:rPr>
        <w:t>אל אחזי על אלקות כו'.</w:t>
      </w:r>
      <w:r>
        <w:rPr>
          <w:rtl/>
        </w:rPr>
        <w:t xml:space="preserve"> כנ"ל דהכל מורין עליה, וכל אחד למדה ידיעה שלו והנהגתו בעולם, דהוא לפי שעור המקבלים כמו שאומר בפ' בא במשל המעין כו' אבל ביה, בעצמו יתברך שמו, אין מדה ידיע כלל:</w:t>
      </w:r>
    </w:p>
  </w:footnote>
  <w:footnote w:id="5239">
    <w:p w:rsidR="00A13282" w:rsidRDefault="00A13282" w:rsidP="006D2826">
      <w:pPr>
        <w:pStyle w:val="a5"/>
        <w:rPr>
          <w:rtl/>
        </w:rPr>
      </w:pPr>
      <w:r>
        <w:rPr>
          <w:rStyle w:val="a7"/>
          <w:rtl/>
        </w:rPr>
        <w:footnoteRef/>
      </w:r>
      <w:r>
        <w:rPr>
          <w:rtl/>
        </w:rPr>
        <w:t xml:space="preserve"> </w:t>
      </w:r>
      <w:r>
        <w:rPr>
          <w:b/>
          <w:bCs/>
          <w:rtl/>
        </w:rPr>
        <w:t>כל מלאכיא דאתקריאו בהאי אל כו'.</w:t>
      </w:r>
      <w:r>
        <w:rPr>
          <w:rtl/>
        </w:rPr>
        <w:t xml:space="preserve"> רוצה לומר שהן עונין לו מיד, בין בצלותא בין בהשבעה, ועיין לעיל סוף תיקון נ”ה, וזה שאומר למטה ג"כ והכי כל מלאכיא דאתקרי קלין כו' עונין ליה בקלא - והוא בצלותא דקול רם:</w:t>
      </w:r>
    </w:p>
  </w:footnote>
  <w:footnote w:id="5240">
    <w:p w:rsidR="00A13282" w:rsidRDefault="00A13282" w:rsidP="006D2826">
      <w:pPr>
        <w:pStyle w:val="a5"/>
        <w:rPr>
          <w:rtl/>
        </w:rPr>
      </w:pPr>
      <w:r>
        <w:rPr>
          <w:rStyle w:val="a7"/>
          <w:rtl/>
        </w:rPr>
        <w:footnoteRef/>
      </w:r>
      <w:r>
        <w:rPr>
          <w:rtl/>
        </w:rPr>
        <w:t xml:space="preserve"> </w:t>
      </w:r>
      <w:r>
        <w:rPr>
          <w:b/>
          <w:bCs/>
          <w:rtl/>
        </w:rPr>
        <w:t>איהו חד כו'.</w:t>
      </w:r>
      <w:r>
        <w:rPr>
          <w:rtl/>
        </w:rPr>
        <w:t xml:space="preserve"> כמו שמפרש והולך שהוא כמו הנשמה בגוף, שעל ידה העין רואה והאוזן שומעת, והנשמה שוה בכולא ולית ביה שנויא:</w:t>
      </w:r>
    </w:p>
  </w:footnote>
  <w:footnote w:id="5241">
    <w:p w:rsidR="00A13282" w:rsidRDefault="00A13282" w:rsidP="006D2826">
      <w:pPr>
        <w:pStyle w:val="a5"/>
        <w:rPr>
          <w:rtl/>
        </w:rPr>
      </w:pPr>
      <w:r>
        <w:rPr>
          <w:rStyle w:val="a7"/>
          <w:rtl/>
        </w:rPr>
        <w:footnoteRef/>
      </w:r>
      <w:r>
        <w:rPr>
          <w:rtl/>
        </w:rPr>
        <w:t xml:space="preserve"> </w:t>
      </w:r>
      <w:r>
        <w:rPr>
          <w:b/>
          <w:bCs/>
          <w:rtl/>
        </w:rPr>
        <w:t>ואית אבר דארח כו'.</w:t>
      </w:r>
      <w:r>
        <w:rPr>
          <w:rtl/>
        </w:rPr>
        <w:t xml:space="preserve"> כמו שאומר לעיל א' ריחא תמן כו' סלקין כל ריחין כו' וצלותין כו', ועיין מה שבארנו שם:</w:t>
      </w:r>
    </w:p>
  </w:footnote>
  <w:footnote w:id="5242">
    <w:p w:rsidR="00A13282" w:rsidRDefault="00A13282" w:rsidP="006D2826">
      <w:pPr>
        <w:pStyle w:val="a5"/>
        <w:rPr>
          <w:rtl/>
        </w:rPr>
      </w:pPr>
      <w:r>
        <w:rPr>
          <w:rStyle w:val="a7"/>
          <w:rtl/>
        </w:rPr>
        <w:footnoteRef/>
      </w:r>
      <w:r>
        <w:rPr>
          <w:rtl/>
        </w:rPr>
        <w:t xml:space="preserve"> </w:t>
      </w:r>
      <w:r>
        <w:rPr>
          <w:b/>
          <w:bCs/>
          <w:rtl/>
        </w:rPr>
        <w:t>על דבורא.</w:t>
      </w:r>
      <w:r>
        <w:rPr>
          <w:rtl/>
        </w:rPr>
        <w:t xml:space="preserve"> פרט דבורא שהוא אדני, שפירש אלו ג' שמהן שכוללין הכל, שהן הבל וקלא ודבורא, הבל אהי"ה, וקלא הוי"ה כנ"ל:</w:t>
      </w:r>
    </w:p>
  </w:footnote>
  <w:footnote w:id="5243">
    <w:p w:rsidR="00A13282" w:rsidRDefault="00A13282" w:rsidP="006D2826">
      <w:pPr>
        <w:pStyle w:val="a5"/>
        <w:rPr>
          <w:rtl/>
        </w:rPr>
      </w:pPr>
      <w:r>
        <w:rPr>
          <w:rStyle w:val="a7"/>
          <w:rtl/>
        </w:rPr>
        <w:footnoteRef/>
      </w:r>
      <w:r>
        <w:rPr>
          <w:rtl/>
        </w:rPr>
        <w:t xml:space="preserve"> </w:t>
      </w:r>
      <w:r>
        <w:rPr>
          <w:b/>
          <w:bCs/>
          <w:rtl/>
        </w:rPr>
        <w:t>בה לב מבין.</w:t>
      </w:r>
      <w:r>
        <w:rPr>
          <w:rtl/>
        </w:rPr>
        <w:t xml:space="preserve"> רוצה לומר דזה שאומר ר' עקיבא באותיות שלו על הלמ"ד ל'ב מ'בין ד'עת, ודעת הוא בינה - בן י"ה:</w:t>
      </w:r>
    </w:p>
  </w:footnote>
  <w:footnote w:id="5244">
    <w:p w:rsidR="00A13282" w:rsidRDefault="00A13282" w:rsidP="006D2826">
      <w:pPr>
        <w:pStyle w:val="a5"/>
        <w:rPr>
          <w:rtl/>
        </w:rPr>
      </w:pPr>
      <w:r>
        <w:rPr>
          <w:rStyle w:val="a7"/>
          <w:rtl/>
        </w:rPr>
        <w:footnoteRef/>
      </w:r>
      <w:r>
        <w:rPr>
          <w:rtl/>
        </w:rPr>
        <w:t xml:space="preserve"> </w:t>
      </w:r>
      <w:r>
        <w:rPr>
          <w:b/>
          <w:bCs/>
          <w:rtl/>
        </w:rPr>
        <w:t>אדהכי הא אליהו כו'.</w:t>
      </w:r>
      <w:r>
        <w:rPr>
          <w:rtl/>
        </w:rPr>
        <w:t xml:space="preserve"> ורוצה לומר דתפיס אותו על מה שאמר דקנה הכל הוא חו"ב, משום דקשיא ליה לר"ש לפרש הכל על הכתר משום דג' כנויים כאן גומל כו' קונה הכל וזוכר כו', לכן פירש קונה כו' וזוכר כו' על חו"ב, אבל אליהו ז"ל פירש על הכתר כל השלשה, והוא מסטרא דג' אבהן, וזה שאומר </w:t>
      </w:r>
      <w:r>
        <w:rPr>
          <w:b/>
          <w:bCs/>
          <w:rtl/>
        </w:rPr>
        <w:t xml:space="preserve">דהא כלהו אזלין בתלת תלת כו' </w:t>
      </w:r>
      <w:r>
        <w:rPr>
          <w:rtl/>
        </w:rPr>
        <w:t>ופירש דנקראו תלת אבהן בג' הויו"ת מסטרא דאש דלא איהו שורף משום דאיהו דכורא, אבל אהי"ה ואדנ"י, שהן בבינה דכליל ג"ר, ומלכות, שהן נוק' והן שורף, אלא אהי"ה דהיא בבינה דהיא בעצמה רחמים ונקראה ג"כ עלמא דדכורא לכן היא אינה אוכלת, והוא מראה הסנה בוער באש ואיננו אוכל, והשיב לו ה' יתברך שמו שהוא ג' אהי"ה:</w:t>
      </w:r>
    </w:p>
  </w:footnote>
  <w:footnote w:id="5245">
    <w:p w:rsidR="00A13282" w:rsidRDefault="00A13282" w:rsidP="006D2826">
      <w:pPr>
        <w:pStyle w:val="a5"/>
        <w:rPr>
          <w:rtl/>
        </w:rPr>
      </w:pPr>
      <w:r>
        <w:rPr>
          <w:rStyle w:val="a7"/>
          <w:rtl/>
        </w:rPr>
        <w:footnoteRef/>
      </w:r>
      <w:r>
        <w:rPr>
          <w:rtl/>
        </w:rPr>
        <w:t xml:space="preserve"> </w:t>
      </w:r>
      <w:r>
        <w:rPr>
          <w:b/>
          <w:bCs/>
          <w:rtl/>
        </w:rPr>
        <w:t>א' איהו כתר כו'.</w:t>
      </w:r>
      <w:r>
        <w:rPr>
          <w:rtl/>
        </w:rPr>
        <w:t xml:space="preserve"> רוצה לומר דכל שמהן דפתחין באלף, האלף של השם הוא כתר של השם, והוא אימא עילאה דנקראת כתר לגבייהו וכמו שמפרש והולך וכולהו שמהן דפתחין באלף עקרא כו' וכמו שאומר לעיל קי"ב א' מן אדני דאיהו א' אהי"ה, אימא עילאה, אנכי, י' יהו"ה דסליק עמה כו', ושם ב' בהגהה דיו"ד יהו"ה הוא אבא דסליק עמה כו' עיין שם ולכן שם אדנ"י הוא נוק', דראשיתה היא נוק', אימא, וסופא - דכורא, וכל דשליט נוק' על דכורא הוא נוק', וכמו שאומר לעיל צ' א', ואמר וכלהו שמהן כו', דחו"ב כוללין כל שמהן דפתחין בה' ויו"ד שהן או"א, וכתר כליל לון ורוצה לומר דלכן אהי"ה מורה על הכתר, דחצי הראשונה א' ה' הוא מסטרא דאימא, וחצי השניה י' ה' הוא מסטרא דאבא, ואבא - הוי"ה, ימינא, ולכן אינו שורף כלל, ואימא - אדני, שיו"ד הוא בסופה ואלף בתחילתה, והוא שמאלא ולכן שורף ואוכל, ואהי"ה - דיו"ד הוא באמצעיתא לכן שורף ואינו אוכל והוא בכתר דכליל שניהם, וכוונתו בזה למה שאומר למטה ומסטרא דכתר אתקריאו תלת כו', ואמר ואשכחנא תקונא בגוונא כו' דבענין הראשון ג' שמהן כל אחד ג’ פעמים הוא בג' קוין, ג' דקו ימין חח"נ, ג' הויות, ג' דשמאלא בג"ה, ג' אדני, דאמצעיתא - כת"י, ג' אהי"ה שהן מכריעין בין ימינא ושמאלא לכן שורף ואינו אוכל, וכולן נכללין במלכות אבל בגוונא אחרא דפירש הוא אהיה בג"ר, והוי"ה בג' אמצעות חג"ת, ואדני במלכות כוללת ג' אחרונות כידוע, וידוע שכתר הוא המכריע בין זו"נ, שותף השלישי, לכן הוא באהי"ה כולל ג"ר [והוא באימא כנ"ל] וזה שאומר ומסטרא דכתר אתקריאו תלת ספירין כו', והכל באבהן כנ"ל ורוצה לומר בזה כנ"ל דכל השלשה גומל כו' וקונה כו' וזוכר כו' הכל בכתר מסטרא דתלת אבהן שהן ג"ר, ג’ פעמים אהי"ה, והגדול הגבור והנורא - באבהן עצמן בחג"ת ג' הויות, ואלקי אברהם אלקי יצחק ואלקי יעקב הוא במלכות מסטרא דאבהן בג' אחרונות והוא אלקינו מסטרא דשמאלא כמו שאומר דכל דפתח באלף כו' ולכן הוא ג’ פעמים בתלת תלת בזה הברכה נגד ג’ פעמים הנ"ל, והן ג’ פעמים ג' ביחד, אלקי כו' האל כו' גומל כו', ועיין בזוהר פ’ פקודי רס"א א' את כל אשר תאמר ינתן לה דא רזא דאבהן לברכא לה ודא איהו רזא אלקי אברהם אלקי יצחק ואלקי יעקב כמה דהאי נערה לא אשתבקת מתתאי הכי נמי לא אשתבקת מאבהן לעלמין כו' עיין שם וזה שאומר ורזא דמלה (תהלים נ א) אל אלקים ה' דבר כו' שהן ג' שמהן דאבהן והן (שם) יקרא ארץ:</w:t>
      </w:r>
    </w:p>
  </w:footnote>
  <w:footnote w:id="5246">
    <w:p w:rsidR="00A13282" w:rsidRDefault="00A13282" w:rsidP="006D2826">
      <w:pPr>
        <w:pStyle w:val="a5"/>
        <w:rPr>
          <w:rtl/>
        </w:rPr>
      </w:pPr>
      <w:r>
        <w:rPr>
          <w:rStyle w:val="a7"/>
          <w:rtl/>
        </w:rPr>
        <w:footnoteRef/>
      </w:r>
      <w:r>
        <w:rPr>
          <w:rtl/>
        </w:rPr>
        <w:t xml:space="preserve"> </w:t>
      </w:r>
      <w:r>
        <w:rPr>
          <w:b/>
          <w:bCs/>
          <w:rtl/>
        </w:rPr>
        <w:t>והמלך שלמה ברוך.</w:t>
      </w:r>
      <w:r>
        <w:rPr>
          <w:rtl/>
        </w:rPr>
        <w:t xml:space="preserve"> דשלמה ביסוד באינון שבע רועין כמו שאומר ברעיא מהימנא בכמה מקומות ולגבי יסוד כרעין כולא כמו שכתוב (בראשית לז ז) תסובינה אלומותיכם ותשתחוין לאלומתי, (שם ט) והנה השמש והירח ואחד עשר כוכבים משתחוים לי:</w:t>
      </w:r>
    </w:p>
  </w:footnote>
  <w:footnote w:id="5247">
    <w:p w:rsidR="00A13282" w:rsidRDefault="00A13282" w:rsidP="006D2826">
      <w:pPr>
        <w:pStyle w:val="a5"/>
        <w:rPr>
          <w:rtl/>
        </w:rPr>
      </w:pPr>
      <w:r>
        <w:rPr>
          <w:rStyle w:val="a7"/>
          <w:rtl/>
        </w:rPr>
        <w:footnoteRef/>
      </w:r>
      <w:r>
        <w:rPr>
          <w:rtl/>
        </w:rPr>
        <w:t xml:space="preserve"> </w:t>
      </w:r>
      <w:r>
        <w:rPr>
          <w:b/>
          <w:bCs/>
          <w:rtl/>
        </w:rPr>
        <w:t>אתה את ה' כו'.</w:t>
      </w:r>
      <w:r>
        <w:rPr>
          <w:rtl/>
        </w:rPr>
        <w:t xml:space="preserve"> דבה אתכללן כ"ב אתוון שהיא כללא דאתוון כמו שאומר לעיל ל"ח א' ושאר מקומות, וה' הוא ה' זעירא ברזא דמנצפ"ך, והוא (אסתר ב יג) את כל אשר תאמר שהוא רזא דאתה, את הוא רזא דאת דאתה, כל כו' ינתן לה הוא ה' דאתה שהן ה’ גבורות שניתן לה, ה' דמנצפ"ך, כל - נש"ב, וזה שאומר בה צריך לנחתא ברכאן:</w:t>
      </w:r>
    </w:p>
  </w:footnote>
  <w:footnote w:id="5248">
    <w:p w:rsidR="00A13282" w:rsidRDefault="00A13282" w:rsidP="006D2826">
      <w:pPr>
        <w:pStyle w:val="a5"/>
        <w:rPr>
          <w:rtl/>
        </w:rPr>
      </w:pPr>
      <w:r>
        <w:rPr>
          <w:rStyle w:val="a7"/>
          <w:rtl/>
        </w:rPr>
        <w:footnoteRef/>
      </w:r>
      <w:r>
        <w:rPr>
          <w:rtl/>
        </w:rPr>
        <w:t xml:space="preserve"> </w:t>
      </w:r>
      <w:r>
        <w:rPr>
          <w:b/>
          <w:bCs/>
          <w:rtl/>
        </w:rPr>
        <w:t>וכל הזוקף זוקף כו'.</w:t>
      </w:r>
      <w:r>
        <w:rPr>
          <w:rtl/>
        </w:rPr>
        <w:t xml:space="preserve"> ובאלו ג' דרגין אתכלילו כלא דיסוד (הוא במקום הדעת דכליל ג"ר) כולל ג' אחרונות, ושם מקום הכריעה של ברכים נו"ה, ויסוד כורע ג"כ, ואתה - מלכות דאתברכא מג"ר וכלילא להון, כתר מלכות, ולכן שם שוחה ראשו שהוא ג"ר, וזקיפה בגוף, עמודא דאמצעיתא כולל ג' אמצעות והן כללא דכלא ואח"כ פורט אותן בפרטות ומתחיל </w:t>
      </w:r>
      <w:r>
        <w:rPr>
          <w:b/>
          <w:bCs/>
          <w:rtl/>
        </w:rPr>
        <w:t>אלקינו כו'</w:t>
      </w:r>
      <w:r>
        <w:rPr>
          <w:rtl/>
        </w:rPr>
        <w:t xml:space="preserve"> או"א שהן ראשיתא דמהימנותא ובהם מתחיל התחלת הבנין, ואחר הת"ת מזכיר הכתר, דלא נחית עד דאפיק ליה נוק', ושם התחלת בנין נוק', אחורי הת"ת בטיבורא כמו שאומר באידרא רבה ולכן אמר אל עליון, אל - בכתר דידה, עליון על כתר עליון, גומל חסדים טובים - חו"ב דידה כידוע וזוכר חסדי אבות - אבהן דידה ואח"כ כולל ג' אחרונות דשניהם יחד </w:t>
      </w:r>
      <w:r>
        <w:rPr>
          <w:b/>
          <w:bCs/>
          <w:rtl/>
        </w:rPr>
        <w:t>ומביא כו'.</w:t>
      </w:r>
      <w:r>
        <w:rPr>
          <w:rtl/>
        </w:rPr>
        <w:t xml:space="preserve"> שלכן אמר לבני בניהם שהן בנים של הבנים דיליה שדיליה הן בנים דאבהן, וקונה הכל הוא היסוד (זהו על דרך פירוש האר"י) אבל כאן כליל כל זה בכתר והן ג' כנויים גומל כו' וקונה כו' וזוכר כו' בג' אבהן דכלילין בכתר כנ"ל ויסוד לא הוזכר כלל ונראה שטעות סופר כאן וכן צריך לומר </w:t>
      </w:r>
      <w:r>
        <w:rPr>
          <w:b/>
          <w:bCs/>
          <w:rtl/>
        </w:rPr>
        <w:t>ומביא גואל לבני בניהם אלין נו"ה ויסוד.</w:t>
      </w:r>
      <w:r>
        <w:rPr>
          <w:rtl/>
        </w:rPr>
        <w:t xml:space="preserve"> דכאן מפרש הכל בתלת תלת, דיסוד ג"כ מבני כו' ואמר בני בניהם לפי שאל עליון גומל כו' הוא ג' אבהן בג"ר, שנה"י הן בני בניהם, ואלקי אברהם כו' הוא הדעת במקום הכתר דכליל ג' אבהן, דבדכורא הדעת משמש, ובנוק' - הכתר, שלכן נקרא כתר מלכות, ולא הוזכר עד יציאת הנוק' כנ"ל ונתכללו הכל כאן, דברכה ראשונה - יומא דכלהו, כליל כולא, ואלקינו - אימא דהוא אלוק דכנסת ישראל, ואלקי אבותינו - אבא אלוק דאבהן בז"א, ושם הוא הכל בכללא חדא מה שאין כן בדעת דהוא מתחלק לג' מוחין, ש' דתפילין כידוע, ב' אחסנתין וב' עיטרין דכלילין כחדא, וזהו רזא דאבהן אלקי אברהם כו' וכמו שאומר בפ' שמות עבד לאברהם ברזא דחכמה, ליצחק ברזא דתבונה כו':</w:t>
      </w:r>
    </w:p>
  </w:footnote>
  <w:footnote w:id="5249">
    <w:p w:rsidR="00A13282" w:rsidRDefault="00A13282" w:rsidP="006D2826">
      <w:pPr>
        <w:pStyle w:val="a5"/>
        <w:rPr>
          <w:rtl/>
        </w:rPr>
      </w:pPr>
      <w:r>
        <w:rPr>
          <w:rStyle w:val="a7"/>
          <w:rtl/>
        </w:rPr>
        <w:footnoteRef/>
      </w:r>
      <w:r>
        <w:rPr>
          <w:rtl/>
        </w:rPr>
        <w:t xml:space="preserve"> </w:t>
      </w:r>
      <w:r>
        <w:rPr>
          <w:b/>
          <w:bCs/>
          <w:rtl/>
        </w:rPr>
        <w:t xml:space="preserve">דביה אתכלילן כו' עד בזקיפה. </w:t>
      </w:r>
      <w:r>
        <w:rPr>
          <w:rtl/>
        </w:rPr>
        <w:t>רוצה לומר דעמודא דאמצעיתא כליל גוף וברית דאינון חדא, ואתכלילין תתאי בצדיק בהכרעה, ועילאין בזקיפה, וכמו שאומר למעלה דבאלו ג' תיבות ברוך אתה ה' נכללו כלהו בכלל ואח"כ הוא בפרט, ומתחיל ומפרש אלקינו אמא כו', ואמר אלקינו אמא, ואלקי כו' אבא, אלקי כו' דעת, שהן ג"ר כלן באלקים כמו שאומר תיקונא בגוונא אחרא דג"ר הן אהי"ה המתחילים באלף לפי שהן דרגא דנוק' כנ"ל והנה מלכות אתכלילא בג' מקומות והכל בקו האמצעי, בכתר ות"ת ויסוד, והנה היא נקראת אל, (תהלים ז יב) ואל זועם כו', אל שדי כו', ולכן נקרא אל עליון על שמה, וכן האל הגדול הגבור והנורא אצל אבהן ובסוף למען שמו כו':</w:t>
      </w:r>
    </w:p>
  </w:footnote>
  <w:footnote w:id="5250">
    <w:p w:rsidR="00A13282" w:rsidRDefault="00A13282" w:rsidP="006D2826">
      <w:pPr>
        <w:pStyle w:val="a5"/>
        <w:rPr>
          <w:rtl/>
        </w:rPr>
      </w:pPr>
      <w:r>
        <w:rPr>
          <w:rStyle w:val="a7"/>
          <w:rtl/>
        </w:rPr>
        <w:footnoteRef/>
      </w:r>
      <w:r>
        <w:rPr>
          <w:rtl/>
        </w:rPr>
        <w:t xml:space="preserve"> </w:t>
      </w:r>
      <w:r>
        <w:rPr>
          <w:b/>
          <w:bCs/>
          <w:rtl/>
        </w:rPr>
        <w:t>ועמודא דאמצעיתא איהו כליל כו'.</w:t>
      </w:r>
      <w:r>
        <w:rPr>
          <w:rtl/>
        </w:rPr>
        <w:t xml:space="preserve"> דכליל ו"ק שהן ג"ר וג' אחרונות, שהוא וא"ו של שם כפשוטו, ועוד כליל י"ב של הדעת שהוא באמצע כמו שאומר למעלה והוא י"ב האמצעות, והוא וא"ו מליאה, ב' ווין ואלף שבאמצע נגדו ברכת המינים, שהוא אלף בינה, לבא שמתלבש בתוכו, ועיין לעיל סוף תיקון יו"ד באמצעיתא צריך למשאל דתמן ו"ו כו' ואינון ו' עלאה ו' תתאה, תלת קדמאין - רישא ותרין דרועין, תלת בתראין - גופא ותרין שוקין, ולעיל ל"ט ב' ואיהו כליל תלת ברכאן דצלותא קדמאין ותלת בתראין, ואיהו כליל תרין ו"ו דאתמר בהון על שני קצותיו וחבר ועיין מה שבארנו שם:</w:t>
      </w:r>
    </w:p>
  </w:footnote>
  <w:footnote w:id="5251">
    <w:p w:rsidR="00A13282" w:rsidRDefault="00A13282" w:rsidP="006D2826">
      <w:pPr>
        <w:pStyle w:val="a5"/>
        <w:rPr>
          <w:rtl/>
        </w:rPr>
      </w:pPr>
      <w:r>
        <w:rPr>
          <w:rStyle w:val="a7"/>
          <w:rtl/>
        </w:rPr>
        <w:footnoteRef/>
      </w:r>
      <w:r>
        <w:rPr>
          <w:rtl/>
        </w:rPr>
        <w:t xml:space="preserve"> </w:t>
      </w:r>
      <w:r>
        <w:rPr>
          <w:b/>
          <w:bCs/>
          <w:rtl/>
        </w:rPr>
        <w:t>ומבלעדי אין אלקים.</w:t>
      </w:r>
      <w:r>
        <w:rPr>
          <w:rtl/>
        </w:rPr>
        <w:t xml:space="preserve"> דתמן למשאל מיניה כמו שכתוב (תהלים סט יד) אלקים ברב חסדך ענני באמת ישעך, והוא חותם אמת:</w:t>
      </w:r>
    </w:p>
  </w:footnote>
  <w:footnote w:id="5252">
    <w:p w:rsidR="00A13282" w:rsidRDefault="00A13282" w:rsidP="006D2826">
      <w:pPr>
        <w:pStyle w:val="a5"/>
        <w:rPr>
          <w:rtl/>
        </w:rPr>
      </w:pPr>
      <w:r>
        <w:rPr>
          <w:rStyle w:val="a7"/>
          <w:rtl/>
        </w:rPr>
        <w:footnoteRef/>
      </w:r>
      <w:r>
        <w:rPr>
          <w:rtl/>
        </w:rPr>
        <w:t xml:space="preserve"> </w:t>
      </w:r>
      <w:r>
        <w:rPr>
          <w:b/>
          <w:bCs/>
          <w:rtl/>
        </w:rPr>
        <w:t>ומארי מלכותא.</w:t>
      </w:r>
      <w:r>
        <w:rPr>
          <w:rtl/>
        </w:rPr>
        <w:t xml:space="preserve"> רוצה לומר שהן מקבלין עליהון מלכות שמים תמיד כמו שאמרו אי אתם רשאים ליבטל כו' ועיין בזוהר פ’ במדבר:</w:t>
      </w:r>
    </w:p>
  </w:footnote>
  <w:footnote w:id="5253">
    <w:p w:rsidR="00A13282" w:rsidRDefault="00A13282" w:rsidP="006D2826">
      <w:pPr>
        <w:pStyle w:val="a5"/>
        <w:rPr>
          <w:rtl/>
        </w:rPr>
      </w:pPr>
      <w:r>
        <w:rPr>
          <w:rStyle w:val="a7"/>
          <w:rtl/>
        </w:rPr>
        <w:footnoteRef/>
      </w:r>
      <w:r>
        <w:rPr>
          <w:rtl/>
        </w:rPr>
        <w:t xml:space="preserve"> </w:t>
      </w:r>
      <w:r>
        <w:rPr>
          <w:b/>
          <w:bCs/>
          <w:rtl/>
        </w:rPr>
        <w:t>ומארי יחודא כו'.</w:t>
      </w:r>
      <w:r>
        <w:rPr>
          <w:rtl/>
        </w:rPr>
        <w:t xml:space="preserve"> דכל יחודא הוא בכתר שהוא המייחד בין דו"נ ובכולם והוא שמא מפרש:</w:t>
      </w:r>
    </w:p>
  </w:footnote>
  <w:footnote w:id="5254">
    <w:p w:rsidR="00A13282" w:rsidRDefault="00A13282" w:rsidP="006D2826">
      <w:pPr>
        <w:pStyle w:val="a5"/>
        <w:rPr>
          <w:rtl/>
        </w:rPr>
      </w:pPr>
      <w:r>
        <w:rPr>
          <w:rStyle w:val="a7"/>
          <w:rtl/>
        </w:rPr>
        <w:footnoteRef/>
      </w:r>
      <w:r>
        <w:rPr>
          <w:rtl/>
        </w:rPr>
        <w:t xml:space="preserve"> </w:t>
      </w:r>
      <w:r>
        <w:rPr>
          <w:b/>
          <w:bCs/>
          <w:rtl/>
        </w:rPr>
        <w:t>ובגין דב"נ.</w:t>
      </w:r>
      <w:r>
        <w:rPr>
          <w:rtl/>
        </w:rPr>
        <w:t xml:space="preserve"> חוזר לענין הראשון לפרש דיוקנין ולכן הקדים בתחילה חכימין כולהו אינון רשימין כו', לפרש כל הדיוקנין בעשר ספירות ועתה חוזר לענין ראשון: </w:t>
      </w:r>
    </w:p>
  </w:footnote>
  <w:footnote w:id="5255">
    <w:p w:rsidR="00A13282" w:rsidRDefault="00A13282" w:rsidP="006D2826">
      <w:pPr>
        <w:pStyle w:val="a5"/>
        <w:rPr>
          <w:rtl/>
        </w:rPr>
      </w:pPr>
      <w:r>
        <w:rPr>
          <w:rStyle w:val="a7"/>
          <w:rtl/>
        </w:rPr>
        <w:footnoteRef/>
      </w:r>
      <w:r>
        <w:rPr>
          <w:rtl/>
        </w:rPr>
        <w:t xml:space="preserve"> </w:t>
      </w:r>
      <w:r>
        <w:rPr>
          <w:b/>
          <w:bCs/>
          <w:rtl/>
        </w:rPr>
        <w:t>בשערא שערא שעיע ואריך ארחא מתפלג כו'.</w:t>
      </w:r>
      <w:r>
        <w:rPr>
          <w:rtl/>
        </w:rPr>
        <w:t xml:space="preserve"> רוצה לומר דשערא שעיע ואריך הוא מסטרא דא"א כמו שאומר ולכן ביה ארחא מתפלג כו' כמו שאומר באידרא רבה קכ"ט א' דפלגותא דשערי אזיל חד ארחא דנהיר למאתן ושבעין עלמין, ומיניה נהיר ארחא כו' ומיניה ארחא אתפרשא כו', אבל הנכון בענין הזה דלא גרסינן כאן שערא שעיע אריך אלא </w:t>
      </w:r>
      <w:r>
        <w:rPr>
          <w:b/>
          <w:bCs/>
          <w:rtl/>
        </w:rPr>
        <w:t xml:space="preserve">בשערא ארחא מתפלג כו'. </w:t>
      </w:r>
      <w:r>
        <w:rPr>
          <w:rtl/>
        </w:rPr>
        <w:t>דגם בז"א ארחא מתפלג כמו שאומר שם קל"ו א' דלכן לא פליג כאן בין שערא לשערא בענין הארחין אלא נתן כלל לכולם:</w:t>
      </w:r>
    </w:p>
  </w:footnote>
  <w:footnote w:id="5256">
    <w:p w:rsidR="00A13282" w:rsidRDefault="00A13282" w:rsidP="006D2826">
      <w:pPr>
        <w:pStyle w:val="a5"/>
        <w:rPr>
          <w:rtl/>
        </w:rPr>
      </w:pPr>
      <w:r>
        <w:rPr>
          <w:rStyle w:val="a7"/>
          <w:rtl/>
        </w:rPr>
        <w:footnoteRef/>
      </w:r>
      <w:r>
        <w:rPr>
          <w:rtl/>
        </w:rPr>
        <w:t xml:space="preserve"> </w:t>
      </w:r>
      <w:r>
        <w:rPr>
          <w:b/>
          <w:bCs/>
          <w:rtl/>
        </w:rPr>
        <w:t>עלה אתמר הנותן כו'.</w:t>
      </w:r>
      <w:r>
        <w:rPr>
          <w:rtl/>
        </w:rPr>
        <w:t xml:space="preserve"> רוצה לומר על האורח הגדולה ההולך באמצע הראש ועל ארחין אחרנין דמתפרשין מינה:</w:t>
      </w:r>
    </w:p>
  </w:footnote>
  <w:footnote w:id="5257">
    <w:p w:rsidR="00A13282" w:rsidRDefault="00A13282" w:rsidP="006D2826">
      <w:pPr>
        <w:pStyle w:val="a5"/>
        <w:rPr>
          <w:rtl/>
        </w:rPr>
      </w:pPr>
      <w:r>
        <w:rPr>
          <w:rStyle w:val="a7"/>
          <w:rtl/>
        </w:rPr>
        <w:footnoteRef/>
      </w:r>
      <w:r>
        <w:rPr>
          <w:rtl/>
        </w:rPr>
        <w:t xml:space="preserve"> </w:t>
      </w:r>
      <w:r>
        <w:rPr>
          <w:b/>
          <w:bCs/>
          <w:rtl/>
        </w:rPr>
        <w:t>ובמים עזים דו'.</w:t>
      </w:r>
      <w:r>
        <w:rPr>
          <w:rtl/>
        </w:rPr>
        <w:t xml:space="preserve"> והן ל"ב נתיבות כמו שמפרש והולך, כי מ"ס נקרא ימא רבא, וכן כל מוחא נקרא ימא, והשפע ההולך בשערות, (איוב יב כב) מגלה עמוקות מני חושך, הן הדרכים כמו שאומר באידרא רבה ק"מ א' ולמעלה קכ"א א' והן ל"ב נתיבות דמוחא חכמה וכן שרטוטין דמצחא כמו שאומר בזוהר חדש פ' יתרו שם מצחא מתתקנא עלייהו דאיהו בינה בכמה שרטוטין דאינון אורחין דימא דאורייתא, עלייהו אתמר כל ארחות ה' חסד ואמת, מאן ניהו דעביד אורחין אלין דאינון שרטוטין דמצחא, דא מוחא דאיהו חכמה, אלין שרטוטין אינון תלתין ותרין שבילין דימא דאורייתא, וזהו סוד ל"ב נתיבות חכמה ול"ב אלקים שהן ל"ב שבבינה, והוא במוחא - ל"ב נתיבות חכמה, ובגולגולתא ובמצחא שהוא סוד בינה - ל"ב דבינה, ודא כמה נתיב הראשון אין, ולא מתגלה אלא יש מהן, ג' יודי"ן ואלף דשם שבמוחא שהוא דס"ג כנ"ל, ובבינה מתגלין הכל, והן אותיות הנשארים דס"ג, וגם שם מ"ה הוא בגלגלתא כמו שאומר לעיל קי"ט א' והוא ל"ב שבילין כנ"ל, יו"ד ה"א ה"א, וי"ג חיוורתא כמו שאומר באידרא רבה קכ"ח ב', והוא וא"ו שהוא א"א כמו שאומר כאן למטה (והן ד' גוונין דשערא שהן י"ג כמו שאומר בזוהר חדש כ"ט ב' שערא חוורא מסטרא דחסד כו', הרי ארבע תיקונין כו' י"ג תיקונין ואינון דתליין משערא ג' לכל סטר לד' סטרין ואינון וא"ו כו' לעילא דרישא בפלגו דרישא מתפלגין אורחין בשערא לל"ב שבילין בחושבן יו"ד ה"א ה"א וכלהון שבילין אינון בימא דאיהו מוחא ואלין תיקונין אינון ברישא דאינון גופא כו' שהוא כתר וחכמה):</w:t>
      </w:r>
    </w:p>
  </w:footnote>
  <w:footnote w:id="5258">
    <w:p w:rsidR="00A13282" w:rsidRDefault="00A13282" w:rsidP="006D2826">
      <w:pPr>
        <w:pStyle w:val="a5"/>
        <w:rPr>
          <w:rtl/>
        </w:rPr>
      </w:pPr>
      <w:r>
        <w:rPr>
          <w:rStyle w:val="a7"/>
          <w:rtl/>
        </w:rPr>
        <w:footnoteRef/>
      </w:r>
      <w:r>
        <w:rPr>
          <w:rtl/>
        </w:rPr>
        <w:t xml:space="preserve"> *(מתל"ה) </w:t>
      </w:r>
      <w:r>
        <w:rPr>
          <w:b/>
          <w:bCs/>
          <w:rtl/>
        </w:rPr>
        <w:t>תלתין ותרין שבילין וכו'.</w:t>
      </w:r>
      <w:r>
        <w:rPr>
          <w:rtl/>
        </w:rPr>
        <w:t xml:space="preserve"> עיין מה שבארנו שם (א.ה. כאן), ועיין בזוהר חדש כ"ט א' הכי ארבע תיקונין דשערא דשרייא עלייהו יקו"ק, י"ג תיקונין ואינון דתליין כו', ורוצה לומר כמו ששם הוי"ה בפשיטו כוללין התיקונין ד' פעמים ג', וכן הוא במילואו אדם דכליל כולן, שלכן הן י"ג והוא וא"ו במילואו, בי"ג תיקונין דשערא שהן י"ג נימין דשערא, ג' לכל סטר, וכמו שאומר באידרא רבה קכ"ח ב' וג' יק"ק במילואו - ל"ב נתיבות, דלכן י"ג בכתר, ול"ב בחכמה, דוא"ו הוא אריך אנפין כנ"ל וכמו שאומר למטה ובזוהר חדש כ"ח ג' אדם סטא לעילא ושריא בדיוקנא דאנפין ורשים תמן דיוקנא דכלהו חיון ואתלבש בכלהו ואחזי דיוקניה בהו הדא הוא דכתיב ודמות פניהם פני אדם, ופני אריה אל הימין לארבעתם כו', ורשים בהון ציורין, וגוונין דאנפין, ושרטוטין דמצחא, בהון רשים תלתין ותרין שבילין דאינון נתיבות פליאות חכמה וכלהו אתכסיין בתלתין ותרין, בין אנפין וגדפין דחיוון, דשש עשר אנפין אינון לארבעתן לד' חיוון, ושש עשר גדפין סלקין ל"ב, והכי אינון שרטוטין דמצחא ושרטוטין דעיינין תלת עשר גוונין אינון בציורין דאנפין דקו המדה, וכלהו גוונין אזלין בקו המדה באורח קשוט, וכלהו רשימין בוא"ו, תרין ותלתין שבילין מצויירין ביו"ד ה"א ה"א, תרין עשר גוונין דתלת חיוון דאינון וא"ו ודמות פניהם פני אדם דאתלבש בהון ואתכסי בהון, ו' לעילא ו' לתתא כו', עיין שם, ורוצה לומר ל"ב שרטוטין הן ט"ז על מצחא דהוא דאנפין, וט"ז על עיינין שהן גדפי דעיינין, שהן של גדפין, והן ד' אנפין לד' חיוון, והן ד' רשימין לד' ציורין דמצחא כמו שאומר שם קכ"ד ב' ועיין מה שבארנו שם, וכן הוא בעיינין, וי"ג דאנפין - ג' ציורין דאנפין שכל אחד הוא הוי"ה וכמו שאומר שם ק"כ א' זה ספר - י"ב אנפין, וא' - דמות אדם דכליל לון, והוא א' שבאמצע הווין דאתלבש בהון כו' רזא דכתר, והן שם מה, ארחין עם התיקונין, ושרטוטין עם האנפין, והוא מה שמו - בראש, ומה שם בנו - בפנים, י' רישא, ו' פנים:</w:t>
      </w:r>
    </w:p>
  </w:footnote>
  <w:footnote w:id="5259">
    <w:p w:rsidR="00A13282" w:rsidRDefault="00A13282" w:rsidP="006D2826">
      <w:pPr>
        <w:pStyle w:val="a5"/>
        <w:rPr>
          <w:rtl/>
        </w:rPr>
      </w:pPr>
      <w:r>
        <w:rPr>
          <w:rStyle w:val="a7"/>
          <w:rtl/>
        </w:rPr>
        <w:footnoteRef/>
      </w:r>
      <w:r>
        <w:rPr>
          <w:rtl/>
        </w:rPr>
        <w:t xml:space="preserve"> </w:t>
      </w:r>
      <w:r>
        <w:rPr>
          <w:b/>
          <w:bCs/>
          <w:rtl/>
        </w:rPr>
        <w:t>ושערא שעיע אריך כו'.</w:t>
      </w:r>
      <w:r>
        <w:rPr>
          <w:rtl/>
        </w:rPr>
        <w:t xml:space="preserve"> שב' ענינים הוא מסטרא דא"א שהוא חסד וכמו שאומר באידרא רבה וכמו שמפרש והולך שערא קמיטא ולא שעיע אלא קמיט וחריש, שהוא הפוכא דאריך ושעיע, שהוא מסתבך וקצר וכמו שאומר באידרא רבה קל"ו א', וזה שאומר דא א"א כו' ודא כו', ואמר </w:t>
      </w:r>
      <w:r>
        <w:rPr>
          <w:b/>
          <w:bCs/>
          <w:rtl/>
        </w:rPr>
        <w:t>דאיהו א' כו'.</w:t>
      </w:r>
      <w:r>
        <w:rPr>
          <w:rtl/>
        </w:rPr>
        <w:t xml:space="preserve"> דאלף מורה על א"א כמו שאומר לעיל בכמה מקומות, ורוצה לומר בזה כמו שמפרש והולך דא' הוא חוטם ו"ו, והוא וא"ו שהוא א"א, דא א"א מסטרא דוא"ו ודא ז"א מסטרא דיו"ד, שדא אריך ודא קציר, ורוצה לומר עמודא דאמצעיתא וצדיק כמו שאומר למעלה דאנפין דצדיק הוא קצר, יודין, ודא"א עמודא דאמצעיתא - אריכין ווי"ן, ולכן בו וא"ו מלא, ובצדיק בכללא הוא אלף, יו"י דוייצר כמו שאומר לעיל קי"ד א' וייצר ה' אלקים את האדם דא צדיק כו', דאינון י' י' מן אלף, ו' וייצר איהו ו' דאמצעיתא דאיהו בין תרין יודין דאת א' כו', אדם דבריאה אוקמוהו על תפארת כו' אינון וא"ו ב' ווין אינון ב' כו', והענין כי החוטם הוא ו', וב' נוקבין אינון ב' יודין, והוא א', אלא שבז"א שהוא צדיק נכללו ב' יודין דנוק' בב' אנפין שהן ג"כ יודין, ואמר </w:t>
      </w:r>
      <w:r>
        <w:rPr>
          <w:b/>
          <w:bCs/>
          <w:rtl/>
        </w:rPr>
        <w:t>ואיהו סבא דסבין</w:t>
      </w:r>
      <w:r>
        <w:rPr>
          <w:rtl/>
        </w:rPr>
        <w:t xml:space="preserve"> </w:t>
      </w:r>
      <w:r>
        <w:rPr>
          <w:b/>
          <w:bCs/>
          <w:rtl/>
        </w:rPr>
        <w:t>כו'.</w:t>
      </w:r>
      <w:r>
        <w:rPr>
          <w:rtl/>
        </w:rPr>
        <w:t xml:space="preserve"> ורוצה לומר שאלף דבינייהו מורה עליה שהוא סבא דסבין כו', וכבר פירש למעלה מהו סבא דסבין:</w:t>
      </w:r>
    </w:p>
  </w:footnote>
  <w:footnote w:id="5260">
    <w:p w:rsidR="00A13282" w:rsidRDefault="00A13282" w:rsidP="006D2826">
      <w:pPr>
        <w:pStyle w:val="a5"/>
        <w:rPr>
          <w:rtl/>
        </w:rPr>
      </w:pPr>
      <w:r>
        <w:rPr>
          <w:rStyle w:val="a7"/>
          <w:rtl/>
        </w:rPr>
        <w:footnoteRef/>
      </w:r>
      <w:r>
        <w:rPr>
          <w:rtl/>
        </w:rPr>
        <w:t xml:space="preserve"> </w:t>
      </w:r>
      <w:r>
        <w:rPr>
          <w:b/>
          <w:bCs/>
          <w:rtl/>
        </w:rPr>
        <w:t>עתיק כו'.</w:t>
      </w:r>
      <w:r>
        <w:rPr>
          <w:rtl/>
        </w:rPr>
        <w:t xml:space="preserve"> שהוא על אריכו דיומין ושנים קדמוניות, וא"א הוא סבא, ועתיק על כולם, ועמודא דאמצעיתא נקרא א"א משם דא"א מתלבש באימא והיא בו, מה שאין כן יוסף שהוא יתום מאמו ולכן נשאר קטן, זעיר אנפין, (בראשית לז ב) והוא נער, ו' זעירא, ונו"ה - ב' יודי"ן, (בראשית מח טז) את הנערים, אבל עמודא דאמצעיתא א', וחו"ג ב' ווין, וכלם זקנים כמו שאומר לעיל בארוכה, והכלל בזה כי שערא דא"א הוא מסטרא דחסד ושערא דז"א מסטרא דגבורה כמו שאומר באידרא רבה בסוד ה' אלקים וזה שאומר למטה שערא דא"א כגוונא כו' אנשי חיל שערא שעיע כו', בד' דרגין הנ"ל אנשי חיל כו', בחגת"ם:</w:t>
      </w:r>
    </w:p>
  </w:footnote>
  <w:footnote w:id="5261">
    <w:p w:rsidR="00A13282" w:rsidRDefault="00A13282" w:rsidP="006D2826">
      <w:pPr>
        <w:pStyle w:val="a5"/>
        <w:rPr>
          <w:rtl/>
        </w:rPr>
      </w:pPr>
      <w:r>
        <w:rPr>
          <w:rStyle w:val="a7"/>
          <w:rtl/>
        </w:rPr>
        <w:footnoteRef/>
      </w:r>
      <w:r>
        <w:rPr>
          <w:rtl/>
        </w:rPr>
        <w:t xml:space="preserve"> </w:t>
      </w:r>
      <w:r>
        <w:rPr>
          <w:b/>
          <w:bCs/>
          <w:rtl/>
        </w:rPr>
        <w:t>שערא דא"א איהו כגוונא כו'.</w:t>
      </w:r>
      <w:r>
        <w:rPr>
          <w:rtl/>
        </w:rPr>
        <w:t xml:space="preserve"> רוצה לומר כי תקיעה הוא אריך ולא פסיק בינתיים, והוא כמו שערא שעיע שהן כולם יחד אבל שערא חריש הוא כל אחד לבדו שאינן מדובקים יחד שכל סטרא דדינא הוא בפיזור כמו שאומר לעיל וכמו שכתוב (בראשית מט ז) אפם כי עז כו' אחלקם ביעקב ואפיצם וגו', וזה שאומר </w:t>
      </w:r>
      <w:r>
        <w:rPr>
          <w:b/>
          <w:bCs/>
          <w:rtl/>
        </w:rPr>
        <w:t>כגוונא דשברים ו' ו' ו'.</w:t>
      </w:r>
      <w:r>
        <w:rPr>
          <w:rtl/>
        </w:rPr>
        <w:t xml:space="preserve"> רוצה לומר שערות מפורדות כמו השברים, והן קצרים ג"כ כמו השערות דקמיט אבל התרועה שהוא בינוני הן הקולות קצרים מכל מקום מדובקים יחד זה אל זה במהירו כמו שאומר לעיל בתיקון כ”ה ושאר מקומות, וזה שאומר </w:t>
      </w:r>
      <w:r>
        <w:rPr>
          <w:b/>
          <w:bCs/>
          <w:rtl/>
        </w:rPr>
        <w:t>כגוונא דשלשלת</w:t>
      </w:r>
      <w:r>
        <w:rPr>
          <w:rtl/>
        </w:rPr>
        <w:t xml:space="preserve"> שג' קוין מדובקים יחד, ואמר </w:t>
      </w:r>
      <w:r>
        <w:rPr>
          <w:b/>
          <w:bCs/>
          <w:rtl/>
        </w:rPr>
        <w:t>שערא בעגולא כו'</w:t>
      </w:r>
      <w:r>
        <w:rPr>
          <w:rtl/>
        </w:rPr>
        <w:t xml:space="preserve"> הוא מסטרא דמלכות דכליל כולא, והוא השערות שמסבבין על הראש בצורת עגולא, ומפרש והולך אנשי חיל שערא כו':</w:t>
      </w:r>
    </w:p>
  </w:footnote>
  <w:footnote w:id="5262">
    <w:p w:rsidR="00A13282" w:rsidRDefault="00A13282" w:rsidP="006D2826">
      <w:pPr>
        <w:pStyle w:val="a5"/>
        <w:rPr>
          <w:rtl/>
        </w:rPr>
      </w:pPr>
      <w:r>
        <w:rPr>
          <w:rStyle w:val="a7"/>
          <w:rtl/>
        </w:rPr>
        <w:footnoteRef/>
      </w:r>
      <w:r>
        <w:rPr>
          <w:rtl/>
        </w:rPr>
        <w:t xml:space="preserve"> </w:t>
      </w:r>
      <w:r>
        <w:rPr>
          <w:b/>
          <w:bCs/>
          <w:rtl/>
        </w:rPr>
        <w:t>דוד שבעה כו'.</w:t>
      </w:r>
      <w:r>
        <w:rPr>
          <w:rtl/>
        </w:rPr>
        <w:t xml:space="preserve"> והוא שערות הראש והפנים והזקן, ג' נגד ג"ר, ובית השחי שתים בב' זרועות שהן חו"ג, ועל החזה נגד ת"ת, ועל הברית צדיק כולל ד' אחרונות שלכן עשר כלולין בשבעה, או שג"ר ומלכות נחשבין כאחד או ד' אחרונות כידוע, ועיין לעיל בענין ז' רוחין קט"ז א' רוח ה' דא אויר קדמאה, רוח חכמה ובינה - תרין ספירין אבתריה, רוח עצה וגבורה - ימינא ושמאלא, רוח דעת ויראת ה' דא עמודא דאמצעיתא ומלכות כו' וכולל צדיק שם, והריחו כו' ולא ברוח מיוחדת, וכן בכמה מקומות מבואר יותר, והן ז' מיני זהבים כמו שמפרש והולך, והן ד' שערות על האמה וב' הביצים ולאחוריו, נגד ד' ספירות דכלילין בצדיק, ובגוון אחד כי הן שערות במקום אחד. [ובלקוטיו כתב יד ז"ל. </w:t>
      </w:r>
      <w:r>
        <w:rPr>
          <w:b/>
          <w:bCs/>
          <w:rtl/>
        </w:rPr>
        <w:t>דוד שבעה מיני דהבא כו'.</w:t>
      </w:r>
      <w:r>
        <w:rPr>
          <w:rtl/>
        </w:rPr>
        <w:t xml:space="preserve"> בזוהר פ' יתרו ע"ג ב' חמינא בספרא דאדם קדמאה דאמר הכי דיוקנין דמשיחא קדמאה לסיהרא גוון דיליה זהב ירקרק באנפוי גוון דיליה זהב אופיר בדיקניה גוון דיליה זהב שבא בגבינוי גוון דיליה זהב פרוים בקריצין דעל עינוי גוון דיליה זהב סגיר בשערוי דעל רישיה גוון דיליה זהב מופז על חדוי בלוחא דעל לביה גוון דיליה זהב תרשיש על תרין דרועין כל שבעה גוונין כו' עד כאן]:</w:t>
      </w:r>
    </w:p>
  </w:footnote>
  <w:footnote w:id="5263">
    <w:p w:rsidR="00A13282" w:rsidRDefault="00A13282" w:rsidP="006D2826">
      <w:pPr>
        <w:pStyle w:val="a5"/>
        <w:rPr>
          <w:rtl/>
        </w:rPr>
      </w:pPr>
      <w:r>
        <w:rPr>
          <w:rStyle w:val="a7"/>
          <w:rtl/>
        </w:rPr>
        <w:footnoteRef/>
      </w:r>
      <w:r>
        <w:rPr>
          <w:rtl/>
        </w:rPr>
        <w:t xml:space="preserve"> </w:t>
      </w:r>
      <w:r>
        <w:rPr>
          <w:b/>
          <w:bCs/>
          <w:rtl/>
        </w:rPr>
        <w:t>והאי איהו זהב מזוקק שבעתים.</w:t>
      </w:r>
      <w:r>
        <w:rPr>
          <w:rtl/>
        </w:rPr>
        <w:t xml:space="preserve"> רוצה לומר זהב שבא, שהוא מזוקק, והוא שבעתים - כולל שבעה זהבים:</w:t>
      </w:r>
    </w:p>
  </w:footnote>
  <w:footnote w:id="5264">
    <w:p w:rsidR="00A13282" w:rsidRDefault="00A13282" w:rsidP="006D2826">
      <w:pPr>
        <w:pStyle w:val="a5"/>
        <w:rPr>
          <w:rtl/>
        </w:rPr>
      </w:pPr>
      <w:r>
        <w:rPr>
          <w:rStyle w:val="a7"/>
          <w:rtl/>
        </w:rPr>
        <w:footnoteRef/>
      </w:r>
      <w:r>
        <w:rPr>
          <w:rtl/>
        </w:rPr>
        <w:t xml:space="preserve"> </w:t>
      </w:r>
      <w:r>
        <w:rPr>
          <w:b/>
          <w:bCs/>
          <w:rtl/>
        </w:rPr>
        <w:t>והכי אינון שבעה כו'.</w:t>
      </w:r>
      <w:r>
        <w:rPr>
          <w:rtl/>
        </w:rPr>
        <w:t xml:space="preserve"> שזהב הוא גוון ירוק:</w:t>
      </w:r>
    </w:p>
  </w:footnote>
  <w:footnote w:id="5265">
    <w:p w:rsidR="00A13282" w:rsidRDefault="00A13282" w:rsidP="006D2826">
      <w:pPr>
        <w:pStyle w:val="a5"/>
        <w:rPr>
          <w:rtl/>
        </w:rPr>
      </w:pPr>
      <w:r>
        <w:rPr>
          <w:rStyle w:val="a7"/>
          <w:rtl/>
        </w:rPr>
        <w:footnoteRef/>
      </w:r>
      <w:r>
        <w:rPr>
          <w:rtl/>
        </w:rPr>
        <w:t xml:space="preserve"> </w:t>
      </w:r>
      <w:r>
        <w:rPr>
          <w:bCs/>
          <w:rtl/>
        </w:rPr>
        <w:t>כל ספירין אתקריאו כו'</w:t>
      </w:r>
      <w:r>
        <w:rPr>
          <w:rtl/>
        </w:rPr>
        <w:t xml:space="preserve"> י עיין לעיל פ"ז א', והן ג' השביעי דויכולו, נגד תלת אבהן כמו שאומר שם ובתיקון כ”ב שהן ג' גוונין הנ"ל וכמו שמפרש והולך והן סוד כ"ב אתוון דאורייתא שהן השערות כנ"ל, כ"א - בג’ פעמים ז', ושערא אוכמא מפרש והולך שהוא גוון יחידה כמו שכתוב (שה"ש ו ט) אחת היא יונתי כו' הוא כ"ב, כמו שאומר לעיל וכמו שאומר בריש פ’ בראשית בענין הכ"ב אותיות, שח' אותיות בקו האמצעי, והוא מלכות שדבוקה עמו שם, והוא בשם הוי"ה יה"ו הן כ"א בג' קוין כנ"ל, וה' אחרונה יחידה כוללת כולם דבה הכל הולך אל מקום אחד בסוד תפילין של יד וכידוע, ואמר </w:t>
      </w:r>
      <w:r>
        <w:rPr>
          <w:bCs/>
          <w:rtl/>
        </w:rPr>
        <w:t>דלא תפיס בה גוון כלל</w:t>
      </w:r>
      <w:r>
        <w:rPr>
          <w:rtl/>
        </w:rPr>
        <w:t xml:space="preserve"> שהיא גוון אחרונה שהיא תפיסה בכולם ועל גוון שחור לא תפיס גוון אחרא והיא מיוחדת דאין בה רבוי גוונין כמו בגוון אחר, דיש ירוק בכמה ענינים, וכן בכלהו גוונין, מה שאין כן בה:</w:t>
      </w:r>
    </w:p>
  </w:footnote>
  <w:footnote w:id="5266">
    <w:p w:rsidR="00A13282" w:rsidRDefault="00A13282" w:rsidP="006D2826">
      <w:pPr>
        <w:pStyle w:val="a5"/>
        <w:rPr>
          <w:rtl/>
        </w:rPr>
      </w:pPr>
      <w:r>
        <w:rPr>
          <w:rStyle w:val="a7"/>
          <w:rtl/>
        </w:rPr>
        <w:footnoteRef/>
      </w:r>
      <w:r>
        <w:rPr>
          <w:rtl/>
        </w:rPr>
        <w:t xml:space="preserve"> </w:t>
      </w:r>
      <w:r>
        <w:rPr>
          <w:bCs/>
          <w:rtl/>
        </w:rPr>
        <w:t>מלגאו דילה גוון חוור.</w:t>
      </w:r>
      <w:r>
        <w:rPr>
          <w:rtl/>
        </w:rPr>
        <w:t xml:space="preserve"> דהיא סיהרא לבנה וזהו (שה"ש א ה) ונאוה, ואמר </w:t>
      </w:r>
      <w:r>
        <w:rPr>
          <w:b/>
          <w:bCs/>
          <w:rtl/>
        </w:rPr>
        <w:t>ורזא דמלה כו'.</w:t>
      </w:r>
      <w:r>
        <w:rPr>
          <w:rtl/>
        </w:rPr>
        <w:t xml:space="preserve"> רוצה לומר, סתרו - סביבו, גוון חושך, והוא מסטרא דתתאי, דמראה לתתאי, אבל לחמה, בעלה, מראה גוון חוורא, מראה הזכיות, (ר"ה כג ע"ב) מעולם לא ראתה חמה פגימתה כו', (תהלים קכו ו) הלוך ילך ובכה נושא כו', מלמדת זכות תמיד כו':</w:t>
      </w:r>
    </w:p>
  </w:footnote>
  <w:footnote w:id="5267">
    <w:p w:rsidR="00A13282" w:rsidRDefault="00A13282" w:rsidP="006D2826">
      <w:pPr>
        <w:pStyle w:val="a5"/>
        <w:rPr>
          <w:rtl/>
        </w:rPr>
      </w:pPr>
      <w:r>
        <w:rPr>
          <w:rStyle w:val="a7"/>
          <w:rtl/>
        </w:rPr>
        <w:footnoteRef/>
      </w:r>
      <w:r>
        <w:rPr>
          <w:rtl/>
        </w:rPr>
        <w:t xml:space="preserve"> </w:t>
      </w:r>
      <w:r>
        <w:rPr>
          <w:b/>
          <w:bCs/>
          <w:rtl/>
        </w:rPr>
        <w:t>שערא שעיע עליה כו'.</w:t>
      </w:r>
      <w:r>
        <w:rPr>
          <w:rtl/>
        </w:rPr>
        <w:t xml:space="preserve"> עיין בזוהר פ’ נשא קכ"ז א' ב'. </w:t>
      </w:r>
      <w:r>
        <w:rPr>
          <w:b/>
          <w:bCs/>
          <w:rtl/>
        </w:rPr>
        <w:t>שערא דעד"א צריך כו' וי כו'.</w:t>
      </w:r>
      <w:r>
        <w:rPr>
          <w:rtl/>
        </w:rPr>
        <w:t xml:space="preserve"> עיין לעיל קכ"ד א' וי לון כו' דאלין כו' ועיין שם בדבריו:</w:t>
      </w:r>
    </w:p>
  </w:footnote>
  <w:footnote w:id="5268">
    <w:p w:rsidR="00A13282" w:rsidRDefault="00A13282" w:rsidP="006D2826">
      <w:pPr>
        <w:pStyle w:val="a5"/>
        <w:rPr>
          <w:rtl/>
        </w:rPr>
      </w:pPr>
      <w:r>
        <w:rPr>
          <w:rStyle w:val="a7"/>
          <w:rtl/>
        </w:rPr>
        <w:footnoteRef/>
      </w:r>
      <w:r>
        <w:rPr>
          <w:rtl/>
        </w:rPr>
        <w:t xml:space="preserve"> </w:t>
      </w:r>
      <w:r>
        <w:rPr>
          <w:b/>
          <w:bCs/>
          <w:rtl/>
        </w:rPr>
        <w:t>מסט' דשבתאי.</w:t>
      </w:r>
      <w:r>
        <w:rPr>
          <w:rtl/>
        </w:rPr>
        <w:t xml:space="preserve"> דהוא גוון אוכם כמו שאומר לקמן קכ"ז ב' עיין שם:</w:t>
      </w:r>
    </w:p>
  </w:footnote>
  <w:footnote w:id="5269">
    <w:p w:rsidR="00A13282" w:rsidRDefault="00A13282" w:rsidP="006D2826">
      <w:pPr>
        <w:pStyle w:val="a5"/>
        <w:rPr>
          <w:rtl/>
        </w:rPr>
      </w:pPr>
      <w:r>
        <w:rPr>
          <w:rStyle w:val="a7"/>
          <w:rtl/>
        </w:rPr>
        <w:footnoteRef/>
      </w:r>
      <w:r>
        <w:rPr>
          <w:rtl/>
        </w:rPr>
        <w:t xml:space="preserve"> </w:t>
      </w:r>
      <w:r>
        <w:rPr>
          <w:b/>
          <w:bCs/>
          <w:rtl/>
        </w:rPr>
        <w:t>פתיא אוכמא.</w:t>
      </w:r>
      <w:r>
        <w:rPr>
          <w:rtl/>
        </w:rPr>
        <w:t xml:space="preserve"> פירש הערוך דלי של חרס עב ושחור, וכמו שאומר בע"ז (לג ע"ב) הני פתוותא דבי מכסי כו', ועורב שחור הוא מסטרא דיליה, וזה שאומר </w:t>
      </w:r>
      <w:r>
        <w:rPr>
          <w:b/>
          <w:bCs/>
          <w:rtl/>
        </w:rPr>
        <w:t>דתמן כו'.</w:t>
      </w:r>
      <w:r>
        <w:rPr>
          <w:rtl/>
        </w:rPr>
        <w:t xml:space="preserve"> וכמו שאומר למטה דקסם רכיבת על תנועין דיליה, ואמר </w:t>
      </w:r>
      <w:r>
        <w:rPr>
          <w:b/>
          <w:bCs/>
          <w:rtl/>
        </w:rPr>
        <w:t>דאתקריאו לילות</w:t>
      </w:r>
      <w:r>
        <w:rPr>
          <w:rtl/>
        </w:rPr>
        <w:t xml:space="preserve"> עיין בזוהר חדש ריש רות נ"ט ב', ואמר </w:t>
      </w:r>
      <w:r>
        <w:rPr>
          <w:b/>
          <w:bCs/>
          <w:rtl/>
        </w:rPr>
        <w:t>דעלייהו כו'.</w:t>
      </w:r>
      <w:r>
        <w:rPr>
          <w:rtl/>
        </w:rPr>
        <w:t xml:space="preserve"> דאמר (תהלים טז ז) אברך את ה' אשר יעצני - לילך בדרך הטוב מחמת מורא שמים, ואף לילות כו' - שירא מסטרא דלהון, ולכן (שם ח) שויתי כו' בל אמוט, וכן אמר שלמה ששים גבורים כו' מלומדי מלחמה והכל מפחד בלילות, מסטרא דלהון, וזה שאומר מפחד בלילות, ואמר </w:t>
      </w:r>
      <w:r>
        <w:rPr>
          <w:b/>
          <w:bCs/>
          <w:rtl/>
        </w:rPr>
        <w:t>וכולהו נחתי כו'</w:t>
      </w:r>
      <w:r>
        <w:rPr>
          <w:rtl/>
        </w:rPr>
        <w:t xml:space="preserve"> כל הדינין של ס"א וכרוזי דלהון, לאודעא לתתאי, וכמו בסטרא דקדושה הדינין מודעי התרנגול, גבר, ויונה בסטרא דרחמי, ואמר </w:t>
      </w:r>
      <w:r>
        <w:rPr>
          <w:b/>
          <w:bCs/>
          <w:rtl/>
        </w:rPr>
        <w:t>ואית אחרנין דממנין כו'</w:t>
      </w:r>
      <w:r>
        <w:rPr>
          <w:rtl/>
        </w:rPr>
        <w:t xml:space="preserve"> שהן דו"נ דס"א שהן נגד דבור ומעשה, שהן בקדושה תורה ומצות שהן באברים החיצונים ראש וגוף, ז"ת, ו"ה, דו"נ, כמו שאומר ברעיא מהימנא פ' נשא, ולמעלה, ועיין בזוהר פ’ בלק שזה התחברות בלק בעובדא, דלא הוה דכוותיה, וקסמים בידם, ובלעם - במלולא, דלא הוה דכוותיה, וכמו שאומר נחש רכיב על כו' שהוא אל אחר, דכורא, ובת זוגיה הוא קסם, ס"מ דאל אחר, ועיין שם ר"ז א' וכן הוא עובדא דדור הפלגה במלולא ועובדא, (בראשית יא ו) ושפה אחת לכולם וזה החלם לעשות, וכן בתיקוני דקדושה - הוא בעובדא ומילולא כמו שאומר סוף פ' במדבר ושאר מקומות הרבה:</w:t>
      </w:r>
    </w:p>
  </w:footnote>
  <w:footnote w:id="5270">
    <w:p w:rsidR="00A13282" w:rsidRDefault="00A13282" w:rsidP="006D2826">
      <w:pPr>
        <w:pStyle w:val="a5"/>
        <w:rPr>
          <w:rtl/>
        </w:rPr>
      </w:pPr>
      <w:r>
        <w:rPr>
          <w:rStyle w:val="a7"/>
          <w:rtl/>
        </w:rPr>
        <w:footnoteRef/>
      </w:r>
      <w:r>
        <w:rPr>
          <w:rtl/>
        </w:rPr>
        <w:t xml:space="preserve"> </w:t>
      </w:r>
      <w:r>
        <w:rPr>
          <w:b/>
          <w:bCs/>
          <w:rtl/>
        </w:rPr>
        <w:t>וצווחין קלא בתר קלא כו'.</w:t>
      </w:r>
      <w:r>
        <w:rPr>
          <w:rtl/>
        </w:rPr>
        <w:t xml:space="preserve"> הוא סמנין בקלא דעורבא, אם הוא כמין שברים קלא בתר קלא, קצרים ולא במהירו שהוא תרועה, ולזמנין בג' סמנין קר"ק, וכל קר"ק הוא מסטרא דדינא, ותקיעה היא דינא רפיא כמו שמפרש והולך, ואמר </w:t>
      </w:r>
      <w:r>
        <w:rPr>
          <w:b/>
          <w:bCs/>
          <w:rtl/>
        </w:rPr>
        <w:t xml:space="preserve">ובאמצעיתא כו' בתרועה כו'. </w:t>
      </w:r>
      <w:r>
        <w:rPr>
          <w:rtl/>
        </w:rPr>
        <w:t>רוצה לומר, אם שברים באמצע שהוא קש"ק, הוא תבירו סגי, ואם תרועה הוא, דחקא בתר דחקא במהירו ולא על שבר גדול אלא על הרבה וזה אחר זה, שכל תקיעות הוא מסטרא דדינא כמו שכתוב (ירמיהו ד יט) בתרועת מלחמה, וכן ביומא דדינא בר"ה ובתענית אלא שהוא לעורר רחמים העליונים, לישב יצחק סטרא דדינא באמצעיתא, כמו שאומר בפ' אמור מה שאין כן בסטרא דלהון שאין מכריע ביניהם כמו שכתוב (יחזקאל א ד) והנה רוח סערה מבחוץ ענן כו' ואש כו', דלית בהון דעת המכריע, מלך זקן וכסיל דאסתרס כו':</w:t>
      </w:r>
    </w:p>
  </w:footnote>
  <w:footnote w:id="5271">
    <w:p w:rsidR="00A13282" w:rsidRDefault="00A13282" w:rsidP="006D2826">
      <w:pPr>
        <w:pStyle w:val="a5"/>
        <w:rPr>
          <w:rtl/>
        </w:rPr>
      </w:pPr>
      <w:r>
        <w:rPr>
          <w:rStyle w:val="a7"/>
          <w:rtl/>
        </w:rPr>
        <w:footnoteRef/>
      </w:r>
      <w:r>
        <w:rPr>
          <w:rtl/>
        </w:rPr>
        <w:t xml:space="preserve"> </w:t>
      </w:r>
      <w:r>
        <w:rPr>
          <w:b/>
          <w:bCs/>
          <w:rtl/>
        </w:rPr>
        <w:t>ורזא דמלה ובחדרי כו' כי עוף כו'.</w:t>
      </w:r>
      <w:r>
        <w:rPr>
          <w:rtl/>
        </w:rPr>
        <w:t xml:space="preserve"> רוצה לומר עורב הנ"ל שהוא שולט על הקללה, ועל הקלא מפרש והולך </w:t>
      </w:r>
      <w:r>
        <w:rPr>
          <w:b/>
          <w:bCs/>
          <w:rtl/>
        </w:rPr>
        <w:t>נחש רכיב על קלא כו'.</w:t>
      </w:r>
      <w:r>
        <w:rPr>
          <w:rtl/>
        </w:rPr>
        <w:t xml:space="preserve"> והוא ארור ולכן אל תקלל כו':</w:t>
      </w:r>
    </w:p>
  </w:footnote>
  <w:footnote w:id="5272">
    <w:p w:rsidR="00A13282" w:rsidRDefault="00A13282" w:rsidP="006D2826">
      <w:pPr>
        <w:pStyle w:val="a5"/>
        <w:rPr>
          <w:rtl/>
        </w:rPr>
      </w:pPr>
      <w:r>
        <w:rPr>
          <w:rStyle w:val="a7"/>
          <w:rtl/>
        </w:rPr>
        <w:footnoteRef/>
      </w:r>
      <w:r>
        <w:rPr>
          <w:rtl/>
        </w:rPr>
        <w:t xml:space="preserve"> </w:t>
      </w:r>
      <w:r>
        <w:rPr>
          <w:b/>
          <w:bCs/>
          <w:rtl/>
        </w:rPr>
        <w:t>ואיהו תנועה דכלהו כו'.</w:t>
      </w:r>
      <w:r>
        <w:rPr>
          <w:rtl/>
        </w:rPr>
        <w:t xml:space="preserve"> רוצה לומר, שכל מעשה בני אדם וחובין דלהון - הכל בתנועה דילה שהיא מפתה כו' כמו שמפרש והולך, ואמר </w:t>
      </w:r>
      <w:r>
        <w:rPr>
          <w:b/>
          <w:bCs/>
          <w:rtl/>
        </w:rPr>
        <w:t>בפרשת אורחין</w:t>
      </w:r>
      <w:r>
        <w:rPr>
          <w:rtl/>
        </w:rPr>
        <w:t xml:space="preserve"> דתנועה דעורבין דווקא באורחין כמו שאומר לקמן ב' וכל אלין סימנין איהי אחזי כו' דס"א אינון כלסטים כו' ובג"ד עורבין כו', כמו שכתוב (משלי ז יא) בביתה לא ישכנו רגליה פעם בחוץ כו', וכמו שכתוב (בראשית ד ז) לפתח חטאת רובץ, ויהי בהיותם בשדה כו', ולכן (ברכות כט ע"ב) המלך בקונך וצא, וכן בבני אדם שהן עומדים בפרשת דרכים שהן מסטרא דעץ הדעת טוב ורע, ובוחרין בטוב, היא קיימא לפתאה, מה שאין כן באלו שהן בעץ החיים שהן בישובא, וזה שכתוב (דברים כה יח) אשר קרך בדרך ויזנב בך כל הנחשלים, חלושי כח כמו שכתוב (שם) ואתה עיף ויגע, מה שאין כן בעץ החיים (ישעיהו מ לא) וקוי ה' יחליפו כח כו':</w:t>
      </w:r>
    </w:p>
  </w:footnote>
  <w:footnote w:id="5273">
    <w:p w:rsidR="00A13282" w:rsidRDefault="00A13282" w:rsidP="006D2826">
      <w:pPr>
        <w:pStyle w:val="a5"/>
        <w:rPr>
          <w:rtl/>
        </w:rPr>
      </w:pPr>
      <w:r>
        <w:rPr>
          <w:rStyle w:val="a7"/>
          <w:rtl/>
        </w:rPr>
        <w:footnoteRef/>
      </w:r>
      <w:r>
        <w:rPr>
          <w:rtl/>
        </w:rPr>
        <w:t xml:space="preserve"> </w:t>
      </w:r>
      <w:r>
        <w:rPr>
          <w:b/>
          <w:bCs/>
          <w:rtl/>
        </w:rPr>
        <w:t>תנועה דילה כו'.</w:t>
      </w:r>
      <w:r>
        <w:rPr>
          <w:rtl/>
        </w:rPr>
        <w:t xml:space="preserve"> נגד ארבעה דקדושה במעשה שהן בד' אלו כמו שאומר לעיל בתיקון כ”ב ס"ג א' ו' ברישאה כו' וכן </w:t>
      </w:r>
      <w:r>
        <w:rPr>
          <w:b/>
          <w:bCs/>
          <w:rtl/>
        </w:rPr>
        <w:t>בקריאה כו'.</w:t>
      </w:r>
      <w:r>
        <w:rPr>
          <w:rtl/>
        </w:rPr>
        <w:t xml:space="preserve"> ג"כ ד', נגד ד' אותיות הוי"ה שהוא בדכורא, וד' אדני בנוק' שהוא במעשה:</w:t>
      </w:r>
    </w:p>
  </w:footnote>
  <w:footnote w:id="5274">
    <w:p w:rsidR="00A13282" w:rsidRDefault="00A13282" w:rsidP="006D2826">
      <w:pPr>
        <w:pStyle w:val="a5"/>
        <w:rPr>
          <w:rtl/>
        </w:rPr>
      </w:pPr>
      <w:r>
        <w:rPr>
          <w:rStyle w:val="a7"/>
          <w:rtl/>
        </w:rPr>
        <w:footnoteRef/>
      </w:r>
      <w:r>
        <w:rPr>
          <w:rtl/>
        </w:rPr>
        <w:t xml:space="preserve"> </w:t>
      </w:r>
      <w:r>
        <w:rPr>
          <w:b/>
          <w:bCs/>
          <w:rtl/>
        </w:rPr>
        <w:t>ואלין תנועין שריין בכל הולך כו'.</w:t>
      </w:r>
      <w:r>
        <w:rPr>
          <w:rtl/>
        </w:rPr>
        <w:t xml:space="preserve"> רוצה לומר, שגם בכל הולך על ארבע - ארבע תנועין הנ"ל בארבע רגלין דלהון שהוא מקור כל תנועה דלהון כמו בעורב שמקור כל תנועה דיליה ברישא כו' שהיא פורחת בהון, ובאלו ברגלין שהיא הולכת:</w:t>
      </w:r>
    </w:p>
  </w:footnote>
  <w:footnote w:id="5275">
    <w:p w:rsidR="00A13282" w:rsidRDefault="00A13282" w:rsidP="006D2826">
      <w:pPr>
        <w:pStyle w:val="a5"/>
        <w:rPr>
          <w:rtl/>
        </w:rPr>
      </w:pPr>
      <w:r>
        <w:rPr>
          <w:rStyle w:val="a7"/>
          <w:rtl/>
        </w:rPr>
        <w:footnoteRef/>
      </w:r>
      <w:r>
        <w:rPr>
          <w:rtl/>
        </w:rPr>
        <w:t xml:space="preserve"> </w:t>
      </w:r>
      <w:r>
        <w:rPr>
          <w:b/>
          <w:bCs/>
          <w:rtl/>
        </w:rPr>
        <w:t>ומנא כו' בגין כו'.</w:t>
      </w:r>
      <w:r>
        <w:rPr>
          <w:rtl/>
        </w:rPr>
        <w:t xml:space="preserve"> ואלו מודיעין הדינין כנ"ל מסטרא דלהון:</w:t>
      </w:r>
    </w:p>
  </w:footnote>
  <w:footnote w:id="5276">
    <w:p w:rsidR="00A13282" w:rsidRDefault="00A13282" w:rsidP="006D2826">
      <w:pPr>
        <w:pStyle w:val="a5"/>
        <w:rPr>
          <w:rtl/>
        </w:rPr>
      </w:pPr>
      <w:r>
        <w:rPr>
          <w:rStyle w:val="a7"/>
          <w:rtl/>
        </w:rPr>
        <w:footnoteRef/>
      </w:r>
      <w:r>
        <w:rPr>
          <w:rtl/>
        </w:rPr>
        <w:t xml:space="preserve"> </w:t>
      </w:r>
      <w:r>
        <w:rPr>
          <w:b/>
          <w:bCs/>
          <w:rtl/>
        </w:rPr>
        <w:t>ורזא דמלה ויאמר כו'.</w:t>
      </w:r>
      <w:r>
        <w:rPr>
          <w:rtl/>
        </w:rPr>
        <w:t xml:space="preserve"> דכסא הוא ארץ החיים גבי אצילות כידוע, וכן הנשמה משם הוא גופא כו' כמו שמפרש והולך דהאי נשמתא כו':</w:t>
      </w:r>
    </w:p>
  </w:footnote>
  <w:footnote w:id="5277">
    <w:p w:rsidR="00A13282" w:rsidRDefault="00A13282" w:rsidP="006D2826">
      <w:pPr>
        <w:pStyle w:val="a5"/>
        <w:rPr>
          <w:rtl/>
        </w:rPr>
      </w:pPr>
      <w:r>
        <w:rPr>
          <w:rStyle w:val="a7"/>
          <w:rtl/>
        </w:rPr>
        <w:footnoteRef/>
      </w:r>
      <w:r>
        <w:rPr>
          <w:rtl/>
        </w:rPr>
        <w:t xml:space="preserve"> </w:t>
      </w:r>
      <w:r>
        <w:rPr>
          <w:b/>
          <w:bCs/>
          <w:rtl/>
        </w:rPr>
        <w:t>והאי לב"נ דלא עובדוי כו'.</w:t>
      </w:r>
      <w:r>
        <w:rPr>
          <w:rtl/>
        </w:rPr>
        <w:t xml:space="preserve"> רוצה לומר דלא אזדמן ליה עורבא אלא אם הולך אחרי נחשים ודרכי האמורי אבל לאיש תמים לא מזדמן ליה כלל וכמו שמפרש והולך:</w:t>
      </w:r>
    </w:p>
  </w:footnote>
  <w:footnote w:id="5278">
    <w:p w:rsidR="00A13282" w:rsidRDefault="00A13282" w:rsidP="006D2826">
      <w:pPr>
        <w:pStyle w:val="a5"/>
        <w:rPr>
          <w:rtl/>
        </w:rPr>
      </w:pPr>
      <w:r>
        <w:rPr>
          <w:rStyle w:val="a7"/>
          <w:rtl/>
        </w:rPr>
        <w:footnoteRef/>
      </w:r>
      <w:r>
        <w:rPr>
          <w:rtl/>
        </w:rPr>
        <w:t xml:space="preserve"> </w:t>
      </w:r>
      <w:r>
        <w:rPr>
          <w:b/>
          <w:bCs/>
          <w:rtl/>
        </w:rPr>
        <w:t>דב"נ דיעביד כו' ויעקב איש תם כו'.</w:t>
      </w:r>
      <w:r>
        <w:rPr>
          <w:rtl/>
        </w:rPr>
        <w:t xml:space="preserve"> כמו שאמרו (ילקוט שמעוני דברים יח סימן תתקיט) מנין שאין שואלין בכלדיים שנאמר תמים כו' וכמו שמפרש והולך:</w:t>
      </w:r>
    </w:p>
  </w:footnote>
  <w:footnote w:id="5279">
    <w:p w:rsidR="00A13282" w:rsidRDefault="00A13282" w:rsidP="006D2826">
      <w:pPr>
        <w:pStyle w:val="a5"/>
        <w:rPr>
          <w:rtl/>
        </w:rPr>
      </w:pPr>
      <w:r>
        <w:rPr>
          <w:rStyle w:val="a7"/>
          <w:rtl/>
        </w:rPr>
        <w:footnoteRef/>
      </w:r>
      <w:r>
        <w:rPr>
          <w:rtl/>
        </w:rPr>
        <w:t xml:space="preserve"> </w:t>
      </w:r>
      <w:r>
        <w:rPr>
          <w:b/>
          <w:bCs/>
          <w:rtl/>
        </w:rPr>
        <w:t>לא כאלה כו'.</w:t>
      </w:r>
      <w:r>
        <w:rPr>
          <w:rtl/>
        </w:rPr>
        <w:t xml:space="preserve"> דנאמר שם אל דרך הגוים כו' ומאותות השמים אל תחתו כו' לא כאלה כו' ודרך הגוים הוא בקסם ובנחש הנ"ל כמו שכתוב לא תלמד לעשות (דברים יח ט-טו) כתועבות כו' ומנחש כו' וקוסם קסמים כו' תמים תהי' כו' כי הגוים האלה כו' ואתה לא כן נתן כו', וזהו (ירמיהו י טז, נא יט) לא כאלה חלק יעקב, וכתיב (במדבר כג כג) כי לא נחש ביעקב ולא כו' כמו שמפרש והולך שהן אלו ב' דרגין אלא אם יזדמן לאדם ההוא חובא - אורייתא מודעא ליה חוביה כמו שאומר בפ' ויקרא והן תורה ומצות שהוא עושה הן מודיעין לו שהן נגד ב' דרגין הנ"ל אבל באלו הנ"ל (איוב כ כז) יגלו שמים עונו וארץ כו' ומשם נחית כו' עד שמגיע אליהם מה שאין כן בחלק יעקב - בדרך חביבו כמו שאומר שם וזה שכתוב שם בפסוק (ויקרא ד כג,כח) ב’ פעמים או הודע, בשעיר ובשעירה, דו"נ כנ"ל, תורה ומצות:</w:t>
      </w:r>
    </w:p>
  </w:footnote>
  <w:footnote w:id="5280">
    <w:p w:rsidR="00A13282" w:rsidRDefault="00A13282" w:rsidP="006D2826">
      <w:pPr>
        <w:pStyle w:val="a5"/>
        <w:rPr>
          <w:rtl/>
        </w:rPr>
      </w:pPr>
      <w:r>
        <w:rPr>
          <w:rStyle w:val="a7"/>
          <w:rtl/>
        </w:rPr>
        <w:footnoteRef/>
      </w:r>
      <w:r>
        <w:rPr>
          <w:rtl/>
        </w:rPr>
        <w:t xml:space="preserve"> </w:t>
      </w:r>
      <w:r>
        <w:rPr>
          <w:b/>
          <w:bCs/>
          <w:rtl/>
        </w:rPr>
        <w:t>ולא אשכח אתר כו'.</w:t>
      </w:r>
      <w:r>
        <w:rPr>
          <w:rtl/>
        </w:rPr>
        <w:t xml:space="preserve"> משום דאינון תמימים ואין בהם נחש וקסם ולכן לא הועיל בהם וכמו שאמרו (נדרים לב ע"א) כל המנחש לו נחש כל המתמם כו', ואמר נחש ביעקב שהוא נוק', וקסם בישראל כמו שאומר לעיל סוף תיקון כ”ב ס"ו ב' דנוק' איהי כו' ובזוהר חדש פ' יתרו ועיין מה שבארנו שם, וזה שאומר דמסטרא דיעקב וישראל בעא כו':</w:t>
      </w:r>
    </w:p>
  </w:footnote>
  <w:footnote w:id="5281">
    <w:p w:rsidR="00A13282" w:rsidRDefault="00A13282" w:rsidP="006D2826">
      <w:pPr>
        <w:pStyle w:val="a5"/>
        <w:rPr>
          <w:rtl/>
        </w:rPr>
      </w:pPr>
      <w:r>
        <w:rPr>
          <w:rStyle w:val="a7"/>
          <w:rtl/>
        </w:rPr>
        <w:footnoteRef/>
      </w:r>
      <w:r>
        <w:rPr>
          <w:rtl/>
        </w:rPr>
        <w:t xml:space="preserve"> </w:t>
      </w:r>
      <w:r>
        <w:rPr>
          <w:b/>
          <w:bCs/>
          <w:rtl/>
        </w:rPr>
        <w:t>אמר ברי כו'.</w:t>
      </w:r>
      <w:r>
        <w:rPr>
          <w:rtl/>
        </w:rPr>
        <w:t xml:space="preserve"> דאחייב מסטרא דגלגולא דיליה והוא שושנה כו' דאדם וחוה אצטריפו ביה כמו שאומר בזוהר חדש לבתר עאלו תרווייהו ביעקב ונצטרף אצל לבן כמו שאומר בזוהר פ' ויצא, ואחר שנצרף הזהב בעופרת ויצא נקי, אז כי לא נחש כו', יכול לאעלא ביה:</w:t>
      </w:r>
    </w:p>
  </w:footnote>
  <w:footnote w:id="5282">
    <w:p w:rsidR="00A13282" w:rsidRDefault="00A13282" w:rsidP="006D2826">
      <w:pPr>
        <w:pStyle w:val="a5"/>
        <w:rPr>
          <w:rtl/>
        </w:rPr>
      </w:pPr>
      <w:r>
        <w:rPr>
          <w:rStyle w:val="a7"/>
          <w:rtl/>
        </w:rPr>
        <w:footnoteRef/>
      </w:r>
      <w:r>
        <w:rPr>
          <w:rtl/>
        </w:rPr>
        <w:t xml:space="preserve"> </w:t>
      </w:r>
      <w:r>
        <w:rPr>
          <w:b/>
          <w:bCs/>
          <w:rtl/>
        </w:rPr>
        <w:t>דסליק ברביע כו'.</w:t>
      </w:r>
      <w:r>
        <w:rPr>
          <w:rtl/>
        </w:rPr>
        <w:t xml:space="preserve"> רביע הוא על גבי האות, ותנועתו ונגינו דיליה מורה למעלה, וההפוך בתביר, ורביע ותביר הן נגד תקיעה ושברים, דו"נ, כמו שאומר לעיל בתיקון כ”א נ"ה א' והן נגד שמים וארץ, עולם הבא ועולם הזה, ותביר מורה על שבר בעולם הזה ורביע מורה דחובא רביע עליה עד שאולה:</w:t>
      </w:r>
    </w:p>
  </w:footnote>
  <w:footnote w:id="5283">
    <w:p w:rsidR="00A13282" w:rsidRDefault="00A13282" w:rsidP="006D2826">
      <w:pPr>
        <w:pStyle w:val="a5"/>
        <w:rPr>
          <w:rtl/>
        </w:rPr>
      </w:pPr>
      <w:r>
        <w:rPr>
          <w:rStyle w:val="a7"/>
          <w:rtl/>
        </w:rPr>
        <w:footnoteRef/>
      </w:r>
      <w:r>
        <w:rPr>
          <w:rtl/>
        </w:rPr>
        <w:t xml:space="preserve"> </w:t>
      </w:r>
      <w:r>
        <w:rPr>
          <w:b/>
          <w:bCs/>
          <w:rtl/>
        </w:rPr>
        <w:t>ואינון דמזליהון כו'.</w:t>
      </w:r>
      <w:r>
        <w:rPr>
          <w:rtl/>
        </w:rPr>
        <w:t xml:space="preserve"> שעליהון נאמר (חבקוק ב ד,ה) הנה עפלה לא ישרה נפשו בו כו', והוא כמות ולא ישבע, והן ערב רב מסטרא דטחול, שבתאי, כמו שאומר לעיל בתיקון כ’, וזה שאומר </w:t>
      </w:r>
      <w:r>
        <w:rPr>
          <w:b/>
          <w:bCs/>
          <w:rtl/>
        </w:rPr>
        <w:t>ואינון דוחקין כו'.</w:t>
      </w:r>
      <w:r>
        <w:rPr>
          <w:rtl/>
        </w:rPr>
        <w:t xml:space="preserve"> כמו שאומר שם שכל הדוחק והשפלות של ישראל ושכינה - הכל מינייהו עיין שם בארוכה ומה שבארנו שם:</w:t>
      </w:r>
    </w:p>
  </w:footnote>
  <w:footnote w:id="5284">
    <w:p w:rsidR="00A13282" w:rsidRDefault="00A13282" w:rsidP="006D2826">
      <w:pPr>
        <w:pStyle w:val="a5"/>
        <w:rPr>
          <w:rtl/>
        </w:rPr>
      </w:pPr>
      <w:r>
        <w:rPr>
          <w:rStyle w:val="a7"/>
          <w:rtl/>
        </w:rPr>
        <w:footnoteRef/>
      </w:r>
      <w:r>
        <w:rPr>
          <w:rtl/>
        </w:rPr>
        <w:t xml:space="preserve"> </w:t>
      </w:r>
      <w:r>
        <w:rPr>
          <w:b/>
          <w:bCs/>
          <w:rtl/>
        </w:rPr>
        <w:t>תרין בתין חד כו'.</w:t>
      </w:r>
      <w:r>
        <w:rPr>
          <w:rtl/>
        </w:rPr>
        <w:t xml:space="preserve"> כן הוא שמותם כידוע בחכמת המזלות, ומאלו ב' באין לישראל שפלות ועניות, והפוכו עושר וכבוד, מא' שפלות ומהב' דחקות בכובד הגלות, מחריבי הבית והמסים וכמו שמפרש והולך:</w:t>
      </w:r>
    </w:p>
  </w:footnote>
  <w:footnote w:id="5285">
    <w:p w:rsidR="00A13282" w:rsidRDefault="00A13282" w:rsidP="006D2826">
      <w:pPr>
        <w:pStyle w:val="a5"/>
        <w:rPr>
          <w:rtl/>
        </w:rPr>
      </w:pPr>
      <w:r>
        <w:rPr>
          <w:rStyle w:val="a7"/>
          <w:rtl/>
        </w:rPr>
        <w:footnoteRef/>
      </w:r>
      <w:r>
        <w:rPr>
          <w:rtl/>
        </w:rPr>
        <w:t xml:space="preserve"> </w:t>
      </w:r>
      <w:r>
        <w:rPr>
          <w:b/>
          <w:bCs/>
          <w:rtl/>
        </w:rPr>
        <w:t>דאסירי מלכא כו'.</w:t>
      </w:r>
      <w:r>
        <w:rPr>
          <w:rtl/>
        </w:rPr>
        <w:t xml:space="preserve"> רוצה לומר כמו שכתוב (בראשית לט כ) אל בית הסוהר מקום אשר אסירי המלך אסורים, והוא הדחקות כמו בבית הסוהר שיושב בדוחק, ורוצה לומר, אסירי מלכא הן ישראל בגלות, כמו שמפרש והולך בגלותא, ולכן כנגדן בשבת דלית לה מגרמה כלום אבל היא קודש (בראשית ב ג) ויברך ה' את יום השביעי, וכל ברכאין בה, ונפקין מינה, ובה עלמא דחירו, סוכת שלום, פרישת גדפהא, ולית בה עבודה ושעבודא, ואסור במלאכה, והוא שמור, ונגד שפל ראש - (שמות כ ח) זכור את כו', מקרא קודש, (ישעיהו נח יג) לקדוש ה' מכובד, וכן מצווין בכבוד ועונג - נגדן:</w:t>
      </w:r>
    </w:p>
  </w:footnote>
  <w:footnote w:id="5286">
    <w:p w:rsidR="00A13282" w:rsidRDefault="00A13282" w:rsidP="006D2826">
      <w:pPr>
        <w:pStyle w:val="a5"/>
        <w:rPr>
          <w:rtl/>
        </w:rPr>
      </w:pPr>
      <w:r>
        <w:rPr>
          <w:rStyle w:val="a7"/>
          <w:rtl/>
        </w:rPr>
        <w:footnoteRef/>
      </w:r>
      <w:r>
        <w:rPr>
          <w:rtl/>
        </w:rPr>
        <w:t xml:space="preserve"> </w:t>
      </w:r>
      <w:r>
        <w:rPr>
          <w:b/>
          <w:bCs/>
          <w:rtl/>
        </w:rPr>
        <w:t>ומאן דבעי לאסתמרא כו'.</w:t>
      </w:r>
      <w:r>
        <w:rPr>
          <w:rtl/>
        </w:rPr>
        <w:t xml:space="preserve"> כמו שאמרו (ר"ה טז ע"ב) ג' דברים מקרעין גזר דינו כו' וי"א כו', וכן גלות מכפרת כו', וכן הבאים מסטרא דילה צריך לאסתמרא מינייהו כמו שאומר בזוהר חדש שם כ"ז ד' והכי צריכין לאתכסיא מינייהו בגלותא, בלבושיהון בנשיהון בבניהון בעותרא דלהון, ולאו למגנא כו', ושם כ"ט א' עיינין אוכמין חשוכין תמן לילית דאיהי חשוכא אפילה פתיא אוכמא כו' תמן ישבתאי כו', ולמאן דאסתכל לילית שבתאי באלין עיינין מארה וכפנא מיתנא ייתי, אסתמר מינה כו', וכל משא ומתן כו' וצריך כו', אלא בשבת דלית לה שלטנותא עליה, ואם ישתכח ביומא דחול בשבעה קדמיה ואסתכל ביה כו', עיינין אוכמין שפירין על קו היושר איהי מסטרא דשבת דאיהי בת עין שפירא, עלה אתמר שחורה אני ונאוה, האי איהו בדיוקנא דשבת דשקיל לאורייתא כלא, ובשבת צריך לאחזאה שובעא בהפוכא דשפחה לילית, וצריך באתר דעציבו דשבתאי לאחזאה חדוה כו', יוסף דאיהו כגוונא דא, ישראל דאינון כו' בהאי בור, ודאוקיר שבת ימלט ממנה כו', וישראל דנטרין שבת כו', כל ישראל בני מלכים הן, ואלמלי נטרין שבת אחת כהלכתה - מיד נגאלין, והוא מבית הסהר דילה, ונגד שפל דילה - בני מלכים הן, ועיין בתיקוני זוהר חדש פ"ז ג' ד' וכן הוא בגלגולא, משנה פניו ותשלחהו, דלא אשתמודעין ביה מארי דחובא דיליה כמו שאומר שם ברעיא מהימנא פ' פנחס וזה שאומר </w:t>
      </w:r>
      <w:r>
        <w:rPr>
          <w:b/>
          <w:bCs/>
          <w:rtl/>
        </w:rPr>
        <w:t>ודא איהו שינוי כו' והן כל אלה כו'</w:t>
      </w:r>
      <w:r>
        <w:rPr>
          <w:rtl/>
        </w:rPr>
        <w:t xml:space="preserve"> תלת גלגולין דנר"ן:</w:t>
      </w:r>
    </w:p>
  </w:footnote>
  <w:footnote w:id="5287">
    <w:p w:rsidR="00A13282" w:rsidRDefault="00A13282" w:rsidP="006D2826">
      <w:pPr>
        <w:pStyle w:val="a5"/>
        <w:rPr>
          <w:rtl/>
        </w:rPr>
      </w:pPr>
      <w:r>
        <w:rPr>
          <w:rStyle w:val="a7"/>
          <w:rtl/>
        </w:rPr>
        <w:footnoteRef/>
      </w:r>
      <w:r>
        <w:rPr>
          <w:rtl/>
        </w:rPr>
        <w:t xml:space="preserve"> </w:t>
      </w:r>
      <w:r>
        <w:rPr>
          <w:b/>
          <w:bCs/>
          <w:rtl/>
        </w:rPr>
        <w:t>שערא חוורא כו'.</w:t>
      </w:r>
      <w:r>
        <w:rPr>
          <w:rtl/>
        </w:rPr>
        <w:t xml:space="preserve"> דעד עתה פירש שערא אוכמא בס"א, ופירש כאן דאף חוורא יש שהוא בס"א שהן הרמאין שמצופין זהב מבחוץ ומראים עצמם כפרושים, והן יותר חמורים מאינון דבסטרא דסומקו, שהן ניכרין לכל כעסנים ושופכים דמים מה שאין כן באלו וכמו שמפרש והולך</w:t>
      </w:r>
    </w:p>
  </w:footnote>
  <w:footnote w:id="5288">
    <w:p w:rsidR="00A13282" w:rsidRDefault="00A13282" w:rsidP="006D2826">
      <w:pPr>
        <w:pStyle w:val="a5"/>
        <w:rPr>
          <w:rtl/>
        </w:rPr>
      </w:pPr>
      <w:r>
        <w:rPr>
          <w:rStyle w:val="a7"/>
          <w:rtl/>
        </w:rPr>
        <w:footnoteRef/>
      </w:r>
      <w:r>
        <w:rPr>
          <w:rtl/>
        </w:rPr>
        <w:t xml:space="preserve"> </w:t>
      </w:r>
      <w:r>
        <w:rPr>
          <w:b/>
          <w:bCs/>
          <w:rtl/>
        </w:rPr>
        <w:t xml:space="preserve">מסטרא דלבן הארמי </w:t>
      </w:r>
      <w:r>
        <w:rPr>
          <w:rtl/>
        </w:rPr>
        <w:t xml:space="preserve">לבן - פרדוכסוס, ואמר </w:t>
      </w:r>
      <w:r>
        <w:rPr>
          <w:b/>
          <w:bCs/>
          <w:rtl/>
        </w:rPr>
        <w:t>אסתמר מיניה</w:t>
      </w:r>
      <w:r>
        <w:rPr>
          <w:rtl/>
        </w:rPr>
        <w:t xml:space="preserve"> כאן בענין אחר, שלא יפתוך שעליה נאמר (משלי ה ג) כי נפת תטופנה וחלק משמן חכה כו', (חולין קכז ע"א) נרשאה נשקיך מני כו', ואמר </w:t>
      </w:r>
      <w:r>
        <w:rPr>
          <w:b/>
          <w:bCs/>
          <w:rtl/>
        </w:rPr>
        <w:t>בהרת היא</w:t>
      </w:r>
      <w:r>
        <w:rPr>
          <w:rtl/>
        </w:rPr>
        <w:t xml:space="preserve"> שהיא לבנה, ובהרת היא עזה כשלג שאין לבן ממנה והיא צרעת החמורה: </w:t>
      </w:r>
    </w:p>
  </w:footnote>
  <w:footnote w:id="5289">
    <w:p w:rsidR="00A13282" w:rsidRDefault="00A13282" w:rsidP="006D2826">
      <w:pPr>
        <w:pStyle w:val="a5"/>
        <w:rPr>
          <w:rtl/>
        </w:rPr>
      </w:pPr>
      <w:r>
        <w:rPr>
          <w:rStyle w:val="a7"/>
          <w:rtl/>
        </w:rPr>
        <w:footnoteRef/>
      </w:r>
      <w:r>
        <w:rPr>
          <w:rtl/>
        </w:rPr>
        <w:t xml:space="preserve"> </w:t>
      </w:r>
      <w:r>
        <w:rPr>
          <w:b/>
          <w:bCs/>
          <w:rtl/>
        </w:rPr>
        <w:t>ולילית היא בהרת כו'.</w:t>
      </w:r>
      <w:r>
        <w:rPr>
          <w:rtl/>
        </w:rPr>
        <w:t xml:space="preserve"> כמו שמפרש והולך ואם בהרת כו' ושפלה, ששפלה וכהה היא, שבתאי פתיא אוכמא כנ"ל והן ד' נגד ד' אנשי חיל בחוורא כו' כנ"ל, ואמר </w:t>
      </w:r>
      <w:r>
        <w:rPr>
          <w:b/>
          <w:bCs/>
          <w:rtl/>
        </w:rPr>
        <w:t>כלהו מתהפכין כו'.</w:t>
      </w:r>
      <w:r>
        <w:rPr>
          <w:rtl/>
        </w:rPr>
        <w:t xml:space="preserve"> רוצה לומר דכעס הוא ניכר בעיינין באיזה דרגא הוא בס"א ומפרש והולך שלא תאמר שמתהפך כלא לחוורא אלא שמתגבר זה המראה יותר, וזה שאומר וכ"ד במאי כו': </w:t>
      </w:r>
    </w:p>
  </w:footnote>
  <w:footnote w:id="5290">
    <w:p w:rsidR="00A13282" w:rsidRDefault="00A13282" w:rsidP="006D2826">
      <w:pPr>
        <w:pStyle w:val="a5"/>
        <w:rPr>
          <w:b/>
          <w:bCs/>
          <w:rtl/>
        </w:rPr>
      </w:pPr>
      <w:r>
        <w:rPr>
          <w:rStyle w:val="a7"/>
          <w:rtl/>
        </w:rPr>
        <w:footnoteRef/>
      </w:r>
      <w:r>
        <w:rPr>
          <w:rtl/>
        </w:rPr>
        <w:t xml:space="preserve"> </w:t>
      </w:r>
      <w:r>
        <w:rPr>
          <w:b/>
          <w:bCs/>
          <w:rtl/>
        </w:rPr>
        <w:t>ארבע כו'.</w:t>
      </w:r>
      <w:r>
        <w:rPr>
          <w:rtl/>
        </w:rPr>
        <w:t xml:space="preserve"> כמו שאומר תהו גוון ירוק, קליפה ירוקא דאגוזא, בהו אבנים המפולמות, קליפה הלבנה כאבן דבה, וחשך גוון שחור שהוא קליפה הדקה מבפנים, ותהום שם הוא קליפה אדומה בחללא דאגוזא והוא גלות עמלק כתהום דלית לה סוף כמו שאמרו במדרש רבה שהן ד' גליות וכמו שאומר לעיל בתיקון כ’ (ועיין בזוהר חדש כ"ח ב' תהו גוון ירוק כו' בהו גוון חוור כו' מ"ה א', אבל בזוהר חדש כ"ז ג' אמר גוון סומק - שרף, גוון תליתאי דאיהו ירוק כלול מתרווייהו, עקרב גוון רביעאה כו', וכן אמר שם כ"ח א' עיינין סומקין מס"א נטלי סומקי משרף כו' דחמה בישא ומתאדמין כו', רוצה לומר אע"ג דמרה הוא סטרא דחמה דהוא ירוק, הוא באתאדמו דמתאדם במאדים דס"א דתרין דרגין אלין כו', ואמר שם חמה בישא איהו גיהנם כו' ובסטרא דדרגא כו' אבל אצטגנינין כו') וכן נחש שרף כו' כמו שמפרש והולך, והן בד' מרות כמו שאומר בתיקון כ’, וזה שאומר ומאן אתר מסתלקי כו', ושרף הוא ירקרק שהוא במרה ירוקא כמו שאומר שם, ועקרב אדמדם בכבד, וצמאון בטחול עניותא והבור רק כו', וכמו שאומר שם וזה שאומר </w:t>
      </w:r>
      <w:r>
        <w:rPr>
          <w:b/>
          <w:bCs/>
          <w:rtl/>
        </w:rPr>
        <w:t xml:space="preserve">וצמאון בהרת שחורה אלין אינון ארבע גוונין כו'. </w:t>
      </w:r>
      <w:r>
        <w:rPr>
          <w:rtl/>
        </w:rPr>
        <w:t>כן צריך לומר, ולא מה שכתוב למטה בהגהה:</w:t>
      </w:r>
      <w:r>
        <w:rPr>
          <w:b/>
          <w:bCs/>
          <w:rtl/>
        </w:rPr>
        <w:t xml:space="preserve"> </w:t>
      </w:r>
    </w:p>
  </w:footnote>
  <w:footnote w:id="5291">
    <w:p w:rsidR="00A13282" w:rsidRDefault="00A13282" w:rsidP="006D2826">
      <w:pPr>
        <w:pStyle w:val="a5"/>
        <w:rPr>
          <w:rtl/>
        </w:rPr>
      </w:pPr>
      <w:r>
        <w:rPr>
          <w:rStyle w:val="a7"/>
          <w:rtl/>
        </w:rPr>
        <w:footnoteRef/>
      </w:r>
      <w:r>
        <w:rPr>
          <w:rtl/>
        </w:rPr>
        <w:t xml:space="preserve"> *(מתל"ה) </w:t>
      </w:r>
      <w:r>
        <w:rPr>
          <w:b/>
          <w:bCs/>
          <w:rtl/>
        </w:rPr>
        <w:t>ארבע כו'.</w:t>
      </w:r>
      <w:r>
        <w:rPr>
          <w:rtl/>
        </w:rPr>
        <w:t xml:space="preserve"> עיין מה שכתבתי שם שבזוהר חדש פ' יתרו אמר גוון סומק - שרף, דהוא מרה ואודם עקרב, וכן אמר לקמן קכ"ה ב' בהגהה למטה בגוון סומק מתלבש גבריאל ותחותיה שרף בגוון ירוק מתלבש אוריאל שר שלום כו'  אבל לקמן קכ"ו א' בנקודין ירוקין כו' מסטרא דמרה, וכן לקמן קכ"ז ב' אמר אנפין ירוקין אינון מסטרא דמרה ירוקין כו', אנפין סומקין מסטרא דמאדים כו' אלא שאמר שירוק הוא היפוכא דחוור, וסומק הוא בינוני במקום ירוק, והוא הפוכא דאוכם, והוא סותר בשני דברים למה שאומר בזוהר חדש כ"ז ג', דשם אמר גוון חוור כו', נחש גוון סומק, שרף גוון תליתאה דאיהו ירוק כליל מתרווייהו, עקרב ובקרא הוא ירוק גוון קדמאה, ואח"כ גוון חוור ואח"כ סומק שכתוב (יחזקאל א ד) והנה רוח סערה ענן גדול כו', ועיין בפ' ויקהל ר"ג א' גוון קדמאה ירוקא כו' עיין שם, וכן באליהו (מלכים א יט יא) רוח גדולה כו' ואחר הרוח רעש, דהוא ענן גדול, ואחר הרעש אש, וכן בפסוק בראשית, תהו ובהו וחושך, וחושך הוא אש כמו שכתוב (דברים ד יא) וההר בוער באש חשך כו', כמו שאומר בפ' בראשית י"א ב' עיין שם, לפי שאין ביניהם מכריע - שריא מבחוץ, דאסתרס:</w:t>
      </w:r>
    </w:p>
  </w:footnote>
  <w:footnote w:id="5292">
    <w:p w:rsidR="00A13282" w:rsidRDefault="00A13282" w:rsidP="006D2826">
      <w:pPr>
        <w:pStyle w:val="a5"/>
        <w:rPr>
          <w:rtl/>
        </w:rPr>
      </w:pPr>
      <w:r>
        <w:rPr>
          <w:rStyle w:val="a7"/>
          <w:rtl/>
        </w:rPr>
        <w:footnoteRef/>
      </w:r>
      <w:r>
        <w:rPr>
          <w:rtl/>
        </w:rPr>
        <w:t xml:space="preserve"> </w:t>
      </w:r>
      <w:r>
        <w:rPr>
          <w:b/>
          <w:bCs/>
          <w:rtl/>
        </w:rPr>
        <w:t>וממרה חוורא דריאה.</w:t>
      </w:r>
      <w:r>
        <w:rPr>
          <w:rtl/>
        </w:rPr>
        <w:t xml:space="preserve"> היינו הסרכות, אבל הריאה הוא בסטרא דקדושה שמהן ד' גוונין קדישין, ד' יסודות, והן מוח ריאה ולב שהן כוללין ד' שי"ק הן כאחת:</w:t>
      </w:r>
    </w:p>
  </w:footnote>
  <w:footnote w:id="5293">
    <w:p w:rsidR="00A13282" w:rsidRDefault="00A13282" w:rsidP="006D2826">
      <w:pPr>
        <w:pStyle w:val="a5"/>
        <w:rPr>
          <w:rtl/>
        </w:rPr>
      </w:pPr>
      <w:r>
        <w:rPr>
          <w:rStyle w:val="a7"/>
          <w:rtl/>
        </w:rPr>
        <w:footnoteRef/>
      </w:r>
      <w:r>
        <w:rPr>
          <w:rtl/>
        </w:rPr>
        <w:t xml:space="preserve"> </w:t>
      </w:r>
      <w:r>
        <w:rPr>
          <w:b/>
          <w:bCs/>
          <w:rtl/>
        </w:rPr>
        <w:t>מאדים איהו כו'.</w:t>
      </w:r>
      <w:r>
        <w:rPr>
          <w:rtl/>
        </w:rPr>
        <w:t xml:space="preserve"> רוצה לומר, אוכמא אמר למעלה שהוא במזל שבתאי ולכן בהרת לבנה בלבנה, וסומק אמר כאן שהוא במאדים, והן בג' מרות הנ"ל, וחסר כאן, וצריך להיות גם כן </w:t>
      </w:r>
      <w:r>
        <w:rPr>
          <w:b/>
          <w:bCs/>
          <w:rtl/>
        </w:rPr>
        <w:t xml:space="preserve">וירוק הוא מסטרא דחמה בישא </w:t>
      </w:r>
      <w:r>
        <w:rPr>
          <w:rtl/>
        </w:rPr>
        <w:t xml:space="preserve">ואחר כך </w:t>
      </w:r>
      <w:r>
        <w:rPr>
          <w:b/>
          <w:bCs/>
          <w:rtl/>
        </w:rPr>
        <w:t xml:space="preserve">אלין אינון ד' גוונין כו' סם המות והכי שכינתא כו'. </w:t>
      </w:r>
    </w:p>
  </w:footnote>
  <w:footnote w:id="5294">
    <w:p w:rsidR="00A13282" w:rsidRDefault="00A13282" w:rsidP="006D2826">
      <w:pPr>
        <w:pStyle w:val="a5"/>
        <w:rPr>
          <w:rtl/>
        </w:rPr>
      </w:pPr>
      <w:r>
        <w:rPr>
          <w:rStyle w:val="a7"/>
          <w:rtl/>
        </w:rPr>
        <w:footnoteRef/>
      </w:r>
      <w:r>
        <w:rPr>
          <w:rtl/>
        </w:rPr>
        <w:t xml:space="preserve"> </w:t>
      </w:r>
      <w:r>
        <w:rPr>
          <w:b/>
          <w:bCs/>
          <w:rtl/>
        </w:rPr>
        <w:t>והכי שכינתא כו'.</w:t>
      </w:r>
      <w:r>
        <w:rPr>
          <w:rtl/>
        </w:rPr>
        <w:t xml:space="preserve"> רוצה לומר, כמו שהוא בס"א כלילא מכלהו והיא גוון תכלת דיותרת הכבד, והוא נגד צדק וכמו שאומר לקמן קכ"ז ב', וכן בסטרא דקדושה ג"כ באלו הכוכבים ובאלו הגוונין, שגוון זה הוא בצדק דלא יוקיד עלמא כו', ובה מתחבר בעלה בכל הגוונין דיהו"ה, ארבעה, והיא אדני - גוון הנ"ל, כלולה בכל הגוונין הארבעה, ומאירין בה, והן ה' מראות, ה' פעמים אור כמו שאומר לעיל בתיקון ה’ ותיקון י”ח ותיקון י”ט ועיין לעיל תיקון כ’ ומה שבארנו שם, אבל כאן לא קאמר אלא באלו ד' גוונין והיא ג"כ כלולה בד', שהן מראה ודמיון כמו שאומר לעיל ק"כ ב', וזה שאומר והכי שכינתא אשתמודעת בד' גוונין שפירין נהירין כו':</w:t>
      </w:r>
    </w:p>
  </w:footnote>
  <w:footnote w:id="5295">
    <w:p w:rsidR="00A13282" w:rsidRDefault="00A13282" w:rsidP="006D2826">
      <w:pPr>
        <w:pStyle w:val="a5"/>
        <w:rPr>
          <w:rtl/>
        </w:rPr>
      </w:pPr>
      <w:r>
        <w:rPr>
          <w:rStyle w:val="a7"/>
          <w:rtl/>
        </w:rPr>
        <w:footnoteRef/>
      </w:r>
      <w:r>
        <w:rPr>
          <w:rtl/>
        </w:rPr>
        <w:t xml:space="preserve"> </w:t>
      </w:r>
      <w:r>
        <w:rPr>
          <w:b/>
          <w:bCs/>
          <w:rtl/>
        </w:rPr>
        <w:t>דאתמר בה שמע כו'.</w:t>
      </w:r>
      <w:r>
        <w:rPr>
          <w:rtl/>
        </w:rPr>
        <w:t xml:space="preserve"> ורוצה לומר התורה היא שחורה כמו שאמרו (דברים רבה פרשה ג) אש שחורה כו' (הגהה: ובזוהר חדש כ"ז ג' מסטרא דחסד חוורין, וסומקין מסטרא דגבורה, וירוקין מסטרא דתפארת, ואוכמין מסטרא דמלכות דאתמר בה שחורה אני ונאוה, חוורו דלהון כו', אוכמו דלהון שפירו דאורייתא דאיהו אוכמא שפירתא כמה דאתמר כו', וזה שאמרו (תענית ז סוף ע"א) אי הוה סני טפי הוה כו' וקרא בגמרא פתיא אוכמי - על אורייתא דביה, וכמו שאמרו (עירובין  כא סוף ע"ב) שחורות כעורב במי אתה מוצא כו'):</w:t>
      </w:r>
    </w:p>
  </w:footnote>
  <w:footnote w:id="5296">
    <w:p w:rsidR="00A13282" w:rsidRDefault="00A13282" w:rsidP="006D2826">
      <w:pPr>
        <w:pStyle w:val="a5"/>
        <w:rPr>
          <w:b/>
          <w:bCs/>
          <w:rtl/>
        </w:rPr>
      </w:pPr>
      <w:r>
        <w:rPr>
          <w:rStyle w:val="a7"/>
          <w:rtl/>
        </w:rPr>
        <w:footnoteRef/>
      </w:r>
      <w:r>
        <w:rPr>
          <w:rtl/>
        </w:rPr>
        <w:t xml:space="preserve"> </w:t>
      </w:r>
      <w:r>
        <w:rPr>
          <w:b/>
          <w:bCs/>
          <w:rtl/>
        </w:rPr>
        <w:t>אימא תתאה כו'.</w:t>
      </w:r>
      <w:r>
        <w:rPr>
          <w:rtl/>
        </w:rPr>
        <w:t xml:space="preserve"> רוצה לומר שאלו ד' גוונין כוללין הכל כמו שמפרש והולך דד' נטלין מד' עד אימא עילאה, וחכמה הוא אדם דכליל כל הד' גוונין כמו שאומר בפ' פקודי רנ"ג א' וזה שאומר </w:t>
      </w:r>
      <w:r>
        <w:rPr>
          <w:b/>
          <w:bCs/>
          <w:rtl/>
        </w:rPr>
        <w:t>אות ברית נטיל גוון מגופא דחכמה, אדם דרכיב על כלא</w:t>
      </w:r>
      <w:r>
        <w:rPr>
          <w:rtl/>
        </w:rPr>
        <w:t>:</w:t>
      </w:r>
    </w:p>
  </w:footnote>
  <w:footnote w:id="5297">
    <w:p w:rsidR="00A13282" w:rsidRDefault="00A13282" w:rsidP="006D2826">
      <w:pPr>
        <w:pStyle w:val="a5"/>
        <w:rPr>
          <w:rtl/>
        </w:rPr>
      </w:pPr>
      <w:r>
        <w:rPr>
          <w:rStyle w:val="a7"/>
          <w:rtl/>
        </w:rPr>
        <w:footnoteRef/>
      </w:r>
      <w:r>
        <w:rPr>
          <w:rtl/>
        </w:rPr>
        <w:t xml:space="preserve"> </w:t>
      </w:r>
      <w:r>
        <w:rPr>
          <w:b/>
          <w:bCs/>
          <w:rtl/>
        </w:rPr>
        <w:t>אדם.</w:t>
      </w:r>
      <w:r>
        <w:rPr>
          <w:rtl/>
        </w:rPr>
        <w:t xml:space="preserve"> כנ"ל דכליל כל גוון, ומביא עוד ראיה שנאמר כולם בחכמה וכל הגוונין ממנה אם כן על כרחך כליל כולא, וכתר אין בו גוון כלל, דשם הויה מתחיל מחכמה, ובהוי"ה ד' הגוונין הנ"ל וכמו שמפרש והולך ארבע אתוון מתלבשין כו', ולכן נקרא כתר - אין, דדבר שהוא בלא גוון אינו מושג, ואמר כל זה כאן דלא תאמר הואיל והיא כלילא מכל הד' גוונין למה פורט בה גוון אוכמא, ואמר אימא תתאה נטילת כו', והוא גוון המיוחד בה מה שאין כן שאר הגוונין, דנצח נוטל מחסד, והיא אתכלילת ונטילת ממנו, וכן בכולם:</w:t>
      </w:r>
    </w:p>
  </w:footnote>
  <w:footnote w:id="5298">
    <w:p w:rsidR="00A13282" w:rsidRDefault="00A13282" w:rsidP="006D2826">
      <w:pPr>
        <w:pStyle w:val="a5"/>
        <w:rPr>
          <w:rtl/>
        </w:rPr>
      </w:pPr>
      <w:r>
        <w:rPr>
          <w:rStyle w:val="a7"/>
          <w:rtl/>
        </w:rPr>
        <w:footnoteRef/>
      </w:r>
      <w:r>
        <w:rPr>
          <w:rtl/>
        </w:rPr>
        <w:t xml:space="preserve"> </w:t>
      </w:r>
      <w:r>
        <w:rPr>
          <w:b/>
          <w:bCs/>
          <w:rtl/>
        </w:rPr>
        <w:t>ואינון ד' רשימין כו'.</w:t>
      </w:r>
      <w:r>
        <w:rPr>
          <w:rtl/>
        </w:rPr>
        <w:t xml:space="preserve"> רוצה לומר, עומק מזרח ומערב הן מב' צדדי המצח, דבדבר שטחיות אין בו אלא ד' עומקים רוצה לומר ד' קצוות, ונקט ב' קצוות הראשונות מזרח ומערב, ורוצה לומר אם האדם עומד לצד דרום או צפון וזהו במצח. ובקריצין דעינא רוצה לומר כאשר קורץ ופותח עיניו נעשה על גביהן שרטוטין (והן ד' ג"כ כמו שמפרש והולך, והן ג"כ במצחא כמו שאומר לקמן ב', אלא משום דאמר למעלה בקריצין דעל עינא מפרש כאן לפרש כל מה שאמר למעלה, ובעיינין הוא ניכר יותר, וכן הד' רשימין הן בעיינין כמו שאומר בליקוטים עיין שם שהן ל"ב נתיבות וכמו שאומר לעיל ק"כ ב') [באופן אחר כמו שמפרש והולך כי בכל אבר הוא באופן אחר כמו שאומר בפ' ב' בהיכלות אמר בגבהא] והן כמו שמפרש והולך זעירין ואריכין ובפותיא, רוצה לומר שהן קצרים אבל כל שרטוט הוא רחב, וגבוה הוא שהוא ארוך ורוחב וכן בשיעור קומה כמו שמפרש והולך באורכא מסטרא כו' בפותיא קצר קומה ורחבה כו', ואמר למטה שגבוה הוא מסטרא דיעקב, זרע אמת שמכריע בין הקצוות, והוא אורך ורוחב, וזהו אמת, שמסכים [הגבורה עם חסד] האורך עם הרוחב, וכן בענין הת"ת שמסכים החסד עם הגבורה, שחסד - שכולו חסד אף לרשעים, וזהו אינו אמת, וכן בגבורה - מדקדק מאד, אבל כאן - אמת, שה' אוהב משפט ובעל הרחמים, ושם מצדיק כידוע, וזעירא בעגולא הרביעי, והן בגוף - כדורי, שהעולם כדורי והוא השוה שבתמונות, ויש בו ג' עומקים, אורך ורוחב וגובה, והן ג' אותיות הו"ה, והגוף כלו י' שהוא (כלל כולם דוגמת שכינה כנ"ל והוא) בעגולא וכצורת יו"ד כידוע שעגולא הוא יו"ד, וזה שאומר זעירין בעגולא:</w:t>
      </w:r>
    </w:p>
  </w:footnote>
  <w:footnote w:id="5299">
    <w:p w:rsidR="00A13282" w:rsidRDefault="00A13282" w:rsidP="006D2826">
      <w:pPr>
        <w:pStyle w:val="a5"/>
        <w:rPr>
          <w:rtl/>
        </w:rPr>
      </w:pPr>
      <w:r>
        <w:rPr>
          <w:rStyle w:val="a7"/>
          <w:rtl/>
        </w:rPr>
        <w:footnoteRef/>
      </w:r>
      <w:r>
        <w:rPr>
          <w:rtl/>
        </w:rPr>
        <w:t xml:space="preserve"> </w:t>
      </w:r>
      <w:r>
        <w:rPr>
          <w:b/>
          <w:bCs/>
          <w:rtl/>
        </w:rPr>
        <w:t>שונאי בצע מסט' דאת י'.</w:t>
      </w:r>
      <w:r>
        <w:rPr>
          <w:rtl/>
        </w:rPr>
        <w:t xml:space="preserve"> וראיה דעלה הוא כמו שמפרש והולך ודוד הוא הקטן ועיין לעיל קי"ו א' אמר ודאי י' עילאה כו' ודא כו':</w:t>
      </w:r>
    </w:p>
  </w:footnote>
  <w:footnote w:id="5300">
    <w:p w:rsidR="00A13282" w:rsidRDefault="00A13282" w:rsidP="006D2826">
      <w:pPr>
        <w:pStyle w:val="a5"/>
        <w:rPr>
          <w:rtl/>
        </w:rPr>
      </w:pPr>
      <w:r>
        <w:rPr>
          <w:rStyle w:val="a7"/>
          <w:rtl/>
        </w:rPr>
        <w:footnoteRef/>
      </w:r>
      <w:r>
        <w:rPr>
          <w:rtl/>
        </w:rPr>
        <w:t xml:space="preserve"> </w:t>
      </w:r>
      <w:r>
        <w:rPr>
          <w:b/>
          <w:bCs/>
          <w:rtl/>
        </w:rPr>
        <w:t>שרטוטין אלין בארח מישור כשרטוטין דאורייתא ועל אלין שרטוטין אתמר כו'.</w:t>
      </w:r>
      <w:r>
        <w:rPr>
          <w:rtl/>
        </w:rPr>
        <w:t xml:space="preserve"> רוצה לומר, משום דאמר למטה שרטוטין עקימין דלאו אינון באורח מישור כו' הפוכא דארחות ה':</w:t>
      </w:r>
    </w:p>
  </w:footnote>
  <w:footnote w:id="5301">
    <w:p w:rsidR="00A13282" w:rsidRDefault="00A13282" w:rsidP="006D2826">
      <w:pPr>
        <w:pStyle w:val="a5"/>
        <w:rPr>
          <w:rtl/>
        </w:rPr>
      </w:pPr>
      <w:r>
        <w:rPr>
          <w:rStyle w:val="a7"/>
          <w:rtl/>
        </w:rPr>
        <w:footnoteRef/>
      </w:r>
      <w:r>
        <w:rPr>
          <w:rtl/>
        </w:rPr>
        <w:t xml:space="preserve"> </w:t>
      </w:r>
      <w:r>
        <w:rPr>
          <w:b/>
          <w:bCs/>
          <w:rtl/>
        </w:rPr>
        <w:t>מסט' דרביע.</w:t>
      </w:r>
      <w:r>
        <w:rPr>
          <w:rtl/>
        </w:rPr>
        <w:t xml:space="preserve"> מפרש בטעמים שהן רביעי תביר ושלשלת, שהן ג' גוונין דחג"ת, תר"ת, כמו שמפרש והולך ושלשלת אמר [לקמן ב' כגוונא דתרועה, ואינון, דרגא - לתתא, שלשלת - לעילא בגוונא דקדושה כו' ועיין לעיל כ"ה א'] למטה גבהנין מסטרא דתרועה כו' ועיין לעיל נ"ה א':</w:t>
      </w:r>
    </w:p>
  </w:footnote>
  <w:footnote w:id="5302">
    <w:p w:rsidR="00A13282" w:rsidRDefault="00A13282" w:rsidP="006D2826">
      <w:pPr>
        <w:pStyle w:val="a5"/>
        <w:rPr>
          <w:rtl/>
        </w:rPr>
      </w:pPr>
      <w:r>
        <w:rPr>
          <w:rStyle w:val="a7"/>
          <w:rtl/>
        </w:rPr>
        <w:footnoteRef/>
      </w:r>
      <w:r>
        <w:rPr>
          <w:rtl/>
        </w:rPr>
        <w:t xml:space="preserve"> </w:t>
      </w:r>
      <w:r>
        <w:rPr>
          <w:b/>
          <w:bCs/>
          <w:rtl/>
        </w:rPr>
        <w:t>וי לון לאלין כו'.</w:t>
      </w:r>
      <w:r>
        <w:rPr>
          <w:rtl/>
        </w:rPr>
        <w:t xml:space="preserve"> רוצה לומר לאלין דאין מעשיהם לפי גוון דלהון כמו שמפרש והולך דגוון חוור דהוא אריכה צריך להיות איש חסד ואהבה לקב"ה, וגוון סומק קצר קומה ורחב צריך להיות יראי אלקים, וגוון ירוק גבה קומה אנשי אמת:</w:t>
      </w:r>
    </w:p>
  </w:footnote>
  <w:footnote w:id="5303">
    <w:p w:rsidR="00A13282" w:rsidRDefault="00A13282" w:rsidP="006D2826">
      <w:pPr>
        <w:pStyle w:val="a5"/>
        <w:rPr>
          <w:rtl/>
        </w:rPr>
      </w:pPr>
      <w:r>
        <w:rPr>
          <w:rStyle w:val="a7"/>
          <w:rtl/>
        </w:rPr>
        <w:footnoteRef/>
      </w:r>
      <w:r>
        <w:rPr>
          <w:rtl/>
        </w:rPr>
        <w:t xml:space="preserve"> </w:t>
      </w:r>
      <w:r>
        <w:rPr>
          <w:b/>
          <w:bCs/>
          <w:rtl/>
        </w:rPr>
        <w:t>ואלין אינון אדני כו'.</w:t>
      </w:r>
      <w:r>
        <w:rPr>
          <w:rtl/>
        </w:rPr>
        <w:t xml:space="preserve"> עתה מפרש הד' הנ"ל בד' אותיות אדני וכמו שאומר לעיל ק"כ ב' ואית ד' דמתלבשין בהון כו', וא' הוא א"א שהוא א' כמו שאומר לעיל קכ"ב ב', וד' הוא רחבה דאנפין כי ד' מורה על השטח אורך ורוחב, ויוד זעירא כנ"ל, ונ' גובה דאנפין, והענין כי ארוך - שארוך וקצר ברוחב שארכו הוא מעדיף הרבה על רחבו, ורוחב הוא שרחבו יותר לפי שיעור האורך, והנה נו"ן הוא קצר למעלה ורחב למטה והוא בב' סטרין הנ"ל וכמו שאומר למטה ודא בינוני כו' לא אריך ולא קצר ועליהון שריא ד' אותיות הוי"ה כמו שמפרש והולך ועליה שריא י' ד' כו' נ' כו' שרטוטין זעירין כו' ועליה שריא ה':</w:t>
      </w:r>
    </w:p>
  </w:footnote>
  <w:footnote w:id="5304">
    <w:p w:rsidR="00A13282" w:rsidRDefault="00A13282" w:rsidP="006D2826">
      <w:pPr>
        <w:pStyle w:val="a5"/>
        <w:rPr>
          <w:rtl/>
        </w:rPr>
      </w:pPr>
      <w:r>
        <w:rPr>
          <w:rStyle w:val="a7"/>
          <w:rtl/>
        </w:rPr>
        <w:footnoteRef/>
      </w:r>
      <w:r>
        <w:rPr>
          <w:rtl/>
        </w:rPr>
        <w:t xml:space="preserve"> </w:t>
      </w:r>
      <w:r>
        <w:rPr>
          <w:b/>
          <w:bCs/>
          <w:rtl/>
        </w:rPr>
        <w:t>שרטוטין גבהנין מסט' כו'.</w:t>
      </w:r>
      <w:r>
        <w:rPr>
          <w:rtl/>
        </w:rPr>
        <w:t xml:space="preserve"> עתה מפרש והולך תנועה בגבהא דהוא שלשלת שהוא אחוז בין חו"ג כמו שלשלת שהוא לאחוז ולחבר ב' דברים וכן צורתו, וזה שאומר </w:t>
      </w:r>
      <w:r>
        <w:rPr>
          <w:b/>
          <w:bCs/>
          <w:rtl/>
        </w:rPr>
        <w:t>שלשלאה כו'</w:t>
      </w:r>
      <w:r>
        <w:rPr>
          <w:rtl/>
        </w:rPr>
        <w:t>:</w:t>
      </w:r>
    </w:p>
  </w:footnote>
  <w:footnote w:id="5305">
    <w:p w:rsidR="00A13282" w:rsidRDefault="00A13282" w:rsidP="006D2826">
      <w:pPr>
        <w:pStyle w:val="a5"/>
        <w:rPr>
          <w:rtl/>
        </w:rPr>
      </w:pPr>
      <w:r>
        <w:rPr>
          <w:rStyle w:val="a7"/>
          <w:rtl/>
        </w:rPr>
        <w:footnoteRef/>
      </w:r>
      <w:r>
        <w:rPr>
          <w:rtl/>
        </w:rPr>
        <w:t xml:space="preserve"> </w:t>
      </w:r>
      <w:r>
        <w:rPr>
          <w:b/>
          <w:bCs/>
          <w:rtl/>
        </w:rPr>
        <w:t>לא אריך ולא קצר</w:t>
      </w:r>
      <w:r>
        <w:rPr>
          <w:rtl/>
        </w:rPr>
        <w:t xml:space="preserve"> רוצה לומר שאין ארכו לפי הערך יותר על רחבו, ולא רחבו על ארכו, וכן הוא מסטרא דשכינתא אלא שבה הוא קצר באורך וברוחב, ודוד הוא הקטן, שג"כ אינו זה יותר על זה, שעמודא דאמצעיתא ושכינתא שניהם הם כלולים מחו"ג, ומכריעין, וחסד ועמודא דאמצעיתא ארוכים, וגבורה ושכינתא קצרים כמדתן, אלא שהן מכריעין כנ"ל:</w:t>
      </w:r>
    </w:p>
  </w:footnote>
  <w:footnote w:id="5306">
    <w:p w:rsidR="00A13282" w:rsidRDefault="00A13282" w:rsidP="006D2826">
      <w:pPr>
        <w:pStyle w:val="a5"/>
        <w:rPr>
          <w:rtl/>
        </w:rPr>
      </w:pPr>
      <w:r>
        <w:rPr>
          <w:rStyle w:val="a7"/>
          <w:rtl/>
        </w:rPr>
        <w:footnoteRef/>
      </w:r>
      <w:r>
        <w:rPr>
          <w:rtl/>
        </w:rPr>
        <w:t xml:space="preserve"> </w:t>
      </w:r>
      <w:r>
        <w:rPr>
          <w:b/>
          <w:bCs/>
          <w:rtl/>
        </w:rPr>
        <w:t>איהו קול דממה כו'.</w:t>
      </w:r>
      <w:r>
        <w:rPr>
          <w:rtl/>
        </w:rPr>
        <w:t xml:space="preserve"> דמסטרא דחסד אריכין בקלא וכן הוא בכולם:</w:t>
      </w:r>
    </w:p>
  </w:footnote>
  <w:footnote w:id="5307">
    <w:p w:rsidR="00A13282" w:rsidRDefault="00A13282" w:rsidP="006D2826">
      <w:pPr>
        <w:pStyle w:val="a5"/>
        <w:rPr>
          <w:rtl/>
        </w:rPr>
      </w:pPr>
      <w:r>
        <w:rPr>
          <w:rStyle w:val="a7"/>
          <w:rtl/>
        </w:rPr>
        <w:footnoteRef/>
      </w:r>
      <w:r>
        <w:rPr>
          <w:rtl/>
        </w:rPr>
        <w:t xml:space="preserve"> </w:t>
      </w:r>
      <w:r>
        <w:rPr>
          <w:b/>
          <w:bCs/>
          <w:rtl/>
        </w:rPr>
        <w:t>ואינון מדה לכל כו'.</w:t>
      </w:r>
      <w:r>
        <w:rPr>
          <w:rtl/>
        </w:rPr>
        <w:t xml:space="preserve"> רוצה לומר ד' אותיות הוי"ה כמו שמפרש והולך י' לעילא כו'. ואמר </w:t>
      </w:r>
      <w:r>
        <w:rPr>
          <w:b/>
          <w:bCs/>
          <w:rtl/>
        </w:rPr>
        <w:t>לכל אברין דאנפין</w:t>
      </w:r>
      <w:r>
        <w:rPr>
          <w:rtl/>
        </w:rPr>
        <w:t xml:space="preserve"> רוצה לומר ד' אנפין הנ"ל שהן ד' אותיות הוי"ה, ועיין לעיל ל"ח ב' דכל עגולא כגון אנפין ועיינין ושפה - מדתן ביו"ד, וכל אורכא כגון חוטמא ואצבעין ובין עין לעין שהוא סוד קו המדה בין האברים, וה' הוא שיעור של קו המדה שהוא וא"ו, כמה אמות הוא, שכל וא"ו הוא אמה ועיין לעיל קכ"א ב' וזהו סוד קמץ ופתח ביד, כד סתים - קמץ, שוא"ו של פתח שהן האצבעין סתומין בקמץ הנקודה שהוא כף היד, וכד אתפתחת נעשה פתח והוא פשיטו דאצבעאן פתח, והוא ה' בה' אצבעאן שהוא שיעור כמה אצבעין והן כמה אמות, וזהו יה"ו של השם וכמו שאומר שם וה' אחרונה הוא ג"כ שעורא אלא שזה על היו"ד, כמה יודין בשעורא [בחכמה יסד ארץ כונן כו'] וזהו על הוא"ו, וזה שאומר </w:t>
      </w:r>
      <w:r>
        <w:rPr>
          <w:b/>
          <w:bCs/>
          <w:rtl/>
        </w:rPr>
        <w:t>ה' ה' אינון מהלך כו' מעילא לתתא כו'.</w:t>
      </w:r>
      <w:r>
        <w:rPr>
          <w:rtl/>
        </w:rPr>
        <w:t xml:space="preserve"> ועיין שם היטב ובתיקון ה’ ולעיל קכ"א ב', וזהו סוד קו המדה, וזהו סוד הוי"ה ביד, י"ה - כף היד סתום בה' אצבעאן, ו"ה - פתיחו דאצבעאן בה' אצבעאן, י"ה -  (דברים כח כט) הנסתרות כו' ו"הנגלות כו', וזה שאומר ל"ח ב' ומדה דקמץ סתום וכד אתפתח קמץ אתפתח בה' אצבעאן ברזא דה' דבהון, האי קו אזיל ה' מאה שנין כו' רוצה לומר בה' ספירות, בכל אחד וא"ו האי נהר אזיל כמו שאומר לעיל צ' א' ושאר מקומות, והוא קו המדה, בוצינא דנותן המדה לכל, והן ה' פעמים ו', (תהלים יט ח) תורת ה' תמימה כו':</w:t>
      </w:r>
    </w:p>
  </w:footnote>
  <w:footnote w:id="5308">
    <w:p w:rsidR="00A13282" w:rsidRDefault="00A13282" w:rsidP="006D2826">
      <w:pPr>
        <w:pStyle w:val="a5"/>
        <w:rPr>
          <w:b/>
          <w:bCs/>
          <w:rtl/>
        </w:rPr>
      </w:pPr>
      <w:r>
        <w:rPr>
          <w:rStyle w:val="a7"/>
          <w:rtl/>
        </w:rPr>
        <w:footnoteRef/>
      </w:r>
      <w:r>
        <w:rPr>
          <w:rtl/>
        </w:rPr>
        <w:t xml:space="preserve"> </w:t>
      </w:r>
      <w:r>
        <w:rPr>
          <w:b/>
          <w:bCs/>
          <w:rtl/>
        </w:rPr>
        <w:t>דשרטוטין כשלשלאה כו'.</w:t>
      </w:r>
      <w:r>
        <w:rPr>
          <w:rtl/>
        </w:rPr>
        <w:t xml:space="preserve"> רוצה לומר דשרטוטין כשלשלת בצורה שמפרש והולך הן ג"כ בסטרא דקדושה שהוא תרועה, שלשלת כנ"ל, וכמו שמפרש והולך דכמו שהנחש התנין אשר בים מס"א - כן הוא בקדושה כמו שאומר לעיל ריש תיקון כ"א וברעיא מהימנא פ' תצא לויתן התנין הגדול משה רבינו עליו השלום והן תנינא דמתניתין דמתרבין בימים דאורייתא כו' עיין שם, וזה שאומר </w:t>
      </w:r>
      <w:r>
        <w:rPr>
          <w:b/>
          <w:bCs/>
          <w:rtl/>
        </w:rPr>
        <w:t>אינון מהלך כו' ואינון רזא דתרועה ושלשלת</w:t>
      </w:r>
      <w:r>
        <w:rPr>
          <w:rtl/>
        </w:rPr>
        <w:t xml:space="preserve"> ושרטוטין גבהנין הן ביעקב מלבר, ושלשלת הוא במשה התנין הגדול מלגאו, ושם נונין בימא דאורייתא כמו שאומר לעיל ריש תיקון כ"א [צייר בציורין], ואמר </w:t>
      </w:r>
      <w:r>
        <w:rPr>
          <w:b/>
          <w:bCs/>
          <w:rtl/>
        </w:rPr>
        <w:t>ואינון דרגא לתתא שלשלת לעילא</w:t>
      </w:r>
      <w:r>
        <w:rPr>
          <w:rtl/>
        </w:rPr>
        <w:t xml:space="preserve"> רוצה לומר ב' ציורין הנ"ל כגוונא דא ^^^^ </w:t>
      </w:r>
      <w:r>
        <w:t>vvv</w:t>
      </w:r>
      <w:r>
        <w:rPr>
          <w:rtl/>
        </w:rPr>
        <w:t xml:space="preserve"> שהן דרגא ושלשלת שצורתן אחת, ושלשלת אזיל בקו האמצעי ובעמודא דאמצעיתא וצדיק כמו שאומר שם רע"ט א' מאן ניהו לויתן אמר ליה האי איהו דדרגיה עמודא דאמצעיתא וצדיק דאתמר ביה גוף וברית כו', והוא שלשלת בעמודא דאמצעיתא ודרגא בצדיק, ועמודא דאמצעיתא פתוח למעלה, וצדיק - למטה, וזהו בסטרא דקדושה ואמר </w:t>
      </w:r>
      <w:r>
        <w:rPr>
          <w:b/>
          <w:bCs/>
          <w:rtl/>
        </w:rPr>
        <w:t>כגוונא דקדושה הכי אינון רשימין מסטרא כו'</w:t>
      </w:r>
      <w:r>
        <w:rPr>
          <w:rtl/>
        </w:rPr>
        <w:t>:</w:t>
      </w:r>
    </w:p>
  </w:footnote>
  <w:footnote w:id="5309">
    <w:p w:rsidR="00A13282" w:rsidRDefault="00A13282" w:rsidP="006D2826">
      <w:pPr>
        <w:pStyle w:val="a5"/>
        <w:rPr>
          <w:rtl/>
        </w:rPr>
      </w:pPr>
      <w:r>
        <w:rPr>
          <w:rStyle w:val="a7"/>
          <w:rtl/>
        </w:rPr>
        <w:footnoteRef/>
      </w:r>
      <w:r>
        <w:rPr>
          <w:rtl/>
        </w:rPr>
        <w:t xml:space="preserve"> </w:t>
      </w:r>
      <w:r>
        <w:rPr>
          <w:b/>
          <w:bCs/>
          <w:rtl/>
        </w:rPr>
        <w:t>ובמאי אשתמודע כו'.</w:t>
      </w:r>
      <w:r>
        <w:rPr>
          <w:rtl/>
        </w:rPr>
        <w:t xml:space="preserve"> רוצה לומר, כיון דבסטרא דקדושה הוא ג"כ שלשלת, ואמר במאי אשתמודע אלא אם לית ביה פסק בין הקוין דשלשלת והקוין שלימין ג"כ בעצמן, וזה שאומר דלית בהו פסק ושלימין כו':</w:t>
      </w:r>
    </w:p>
  </w:footnote>
  <w:footnote w:id="5310">
    <w:p w:rsidR="00A13282" w:rsidRDefault="00A13282" w:rsidP="006D2826">
      <w:pPr>
        <w:pStyle w:val="a5"/>
        <w:rPr>
          <w:rtl/>
        </w:rPr>
      </w:pPr>
      <w:r>
        <w:rPr>
          <w:rStyle w:val="a7"/>
          <w:rtl/>
        </w:rPr>
        <w:footnoteRef/>
      </w:r>
      <w:r>
        <w:rPr>
          <w:rtl/>
        </w:rPr>
        <w:t xml:space="preserve"> </w:t>
      </w:r>
      <w:r>
        <w:rPr>
          <w:b/>
          <w:bCs/>
          <w:rtl/>
        </w:rPr>
        <w:t>ואם חזר כו'.</w:t>
      </w:r>
      <w:r>
        <w:rPr>
          <w:rtl/>
        </w:rPr>
        <w:t xml:space="preserve"> דזהו סוד צדיק ורע לו כמו שאומר למעלה: </w:t>
      </w:r>
    </w:p>
  </w:footnote>
  <w:footnote w:id="5311">
    <w:p w:rsidR="00A13282" w:rsidRDefault="00A13282" w:rsidP="006D2826">
      <w:pPr>
        <w:pStyle w:val="a5"/>
        <w:rPr>
          <w:rtl/>
        </w:rPr>
      </w:pPr>
      <w:r>
        <w:rPr>
          <w:rStyle w:val="a7"/>
          <w:rtl/>
        </w:rPr>
        <w:footnoteRef/>
      </w:r>
      <w:r>
        <w:rPr>
          <w:rtl/>
        </w:rPr>
        <w:t xml:space="preserve"> </w:t>
      </w:r>
      <w:r>
        <w:rPr>
          <w:b/>
          <w:bCs/>
          <w:rtl/>
        </w:rPr>
        <w:t>מעם מזבחי כו'.</w:t>
      </w:r>
      <w:r>
        <w:rPr>
          <w:rtl/>
        </w:rPr>
        <w:t xml:space="preserve"> רוצה לומר ממקום שפגם דהוא מזבח דלכן בו הקרבנות, לתקן האי פגימו ועיין סוף ח"א בארוכה:</w:t>
      </w:r>
    </w:p>
  </w:footnote>
  <w:footnote w:id="5312">
    <w:p w:rsidR="00A13282" w:rsidRDefault="00A13282" w:rsidP="006D2826">
      <w:pPr>
        <w:pStyle w:val="a5"/>
        <w:rPr>
          <w:rtl/>
        </w:rPr>
      </w:pPr>
      <w:r>
        <w:rPr>
          <w:rStyle w:val="a7"/>
          <w:rtl/>
        </w:rPr>
        <w:footnoteRef/>
      </w:r>
      <w:r>
        <w:rPr>
          <w:rtl/>
        </w:rPr>
        <w:t xml:space="preserve"> </w:t>
      </w:r>
      <w:r>
        <w:rPr>
          <w:b/>
          <w:bCs/>
          <w:rtl/>
        </w:rPr>
        <w:t>במקום שאמרו להאריך כו'.</w:t>
      </w:r>
      <w:r>
        <w:rPr>
          <w:rtl/>
        </w:rPr>
        <w:t xml:space="preserve"> דהוא מגוונא דאריך ושרטוטין אריכין אלא דנפסק באמצע ונעשו קצרים, וזה שאמרו במתניתין שם (ברכות א ד) לחתום כו' דלא יהא פסק בין קו לקו, וכן בהפוכא (שם) שלא להיות מחוברין במקום שצריך להיות פרודין, ועיין לעיל תיקון נ”ו דבס"א אינון כסדרן, ומהופכין, וכן הוא בשרטוטין עצמן שאינו רשאי לקצר כו' כמו שאומר לקמן קכ"ז א', ולהאריך ולקצר הם חו"ג, ולחתום ושלא לחתום הם תו"מ - כגוונא דחו"ג, דלחתום ושלא לחתום הם כגוונא דלהאריך ולקצר כמו שאומר בירושלמי שם מטבע קצר פותח ואינו חותם, מטבע ארוך פותח וחותם כו', אלא דארוכה הוא ארוך יותר כמו תעניות ושל ראש השנה, והן כגוונא דשרטוטין ושעור קומה הנ"ל וכנ"ל ומכל מקום אף דאמר שרטוטין עקימין בגוונא חד, הן בב' גוונין, כגוונא דסטרא דקדושה, כמו שכתוב (ישעיהו כז א) נחש בריח ונחש עקלתון והרג את התנין כו' ועיין לעיל קכ"ג ב' ואלין ארבע גוונין בישין כו' וכלהו כלילין בלילית כו' והיא גוונא ד' כמו שאומר שם ואמר שם והכי שכינתא כו':</w:t>
      </w:r>
    </w:p>
  </w:footnote>
  <w:footnote w:id="5313">
    <w:p w:rsidR="00A13282" w:rsidRDefault="00A13282" w:rsidP="006D2826">
      <w:pPr>
        <w:pStyle w:val="a5"/>
        <w:rPr>
          <w:rtl/>
        </w:rPr>
      </w:pPr>
      <w:r>
        <w:rPr>
          <w:rStyle w:val="a7"/>
          <w:rtl/>
        </w:rPr>
        <w:footnoteRef/>
      </w:r>
      <w:r>
        <w:rPr>
          <w:rtl/>
        </w:rPr>
        <w:t xml:space="preserve"> </w:t>
      </w:r>
      <w:r>
        <w:rPr>
          <w:b/>
          <w:bCs/>
          <w:rtl/>
        </w:rPr>
        <w:t>מאן דרשים כו' אמון כו'.</w:t>
      </w:r>
      <w:r>
        <w:rPr>
          <w:rtl/>
        </w:rPr>
        <w:t xml:space="preserve"> דביה לית גוון כלל כנ"ל והוא האומן דלכן נקרא אמון כו' כנ"ל קי"ט א' ועיין לקמן קל"ב א' אשכחנא במתניתין כו' דאדם דבריאה כו' ועביד שרטוטין כו' אמר ליה מאן אדם דבריאה כו', ואמר שם כל שרטוטין וציורין ועובדין אינון אתחזיין בשכינתא תתאה דאיהי דמות אדם ועלה אתמר וביד הנביאים אדמה, כלא אתחזי בה לתתא ולית בר נש יכיל כו', וזה שאומר </w:t>
      </w:r>
      <w:r>
        <w:rPr>
          <w:b/>
          <w:bCs/>
          <w:rtl/>
        </w:rPr>
        <w:t>מאן דיסתכל בשפולי משכנא אשתמודע כו'</w:t>
      </w:r>
      <w:r>
        <w:rPr>
          <w:rtl/>
        </w:rPr>
        <w:t xml:space="preserve"> שהיא נקראת קרקע המשכן, והוא עור האדם, דתמן כל השרטוטין והיא משכא דאדם כמו שאומר לקמן קל"ח א' עור איהו לבושא דאדם כו' אם זכה כתנות כו', ושם ב' משכא איהו דמות אדם, מלכות, כל דיוקנין אתחזיין בה כו', וזה שאומר </w:t>
      </w:r>
      <w:r>
        <w:rPr>
          <w:b/>
          <w:bCs/>
          <w:rtl/>
        </w:rPr>
        <w:t>רקמתי בתחתיות ארץ,</w:t>
      </w:r>
      <w:r>
        <w:rPr>
          <w:rtl/>
        </w:rPr>
        <w:t xml:space="preserve"> שהיא נקראת כן כנ"ל, והיא כתר מלכות, תחלתו בסופו כמו שאומר לעיל י"ג א' ולכן אמון מופלא רקים וצייר בתחתיות ארץ, וכתר לית ביה גוון כלל דוגמת חומר הראשון, ומיניה באין ציור כל הגוונין, ומלכות בה כל גוונין וכלילא מהכל, ואמר </w:t>
      </w:r>
      <w:r>
        <w:rPr>
          <w:b/>
          <w:bCs/>
          <w:rtl/>
        </w:rPr>
        <w:t>רשימין וציורין,</w:t>
      </w:r>
      <w:r>
        <w:rPr>
          <w:rtl/>
        </w:rPr>
        <w:t xml:space="preserve"> רשימין הן ד' רשימין שכתב למעלה א' ואינון ד' רשימין דשרטוטין דאינון עומק רום כו', וציורין הן השרטוטין עצמן בצורתם אם אריכין או רחבין או גבהנין או זעירין שהן ג"כ ד', והן ג"כ במצחא ובכל מקום שהן כגון בידין, וזה שאומר </w:t>
      </w:r>
      <w:r>
        <w:rPr>
          <w:b/>
          <w:bCs/>
          <w:rtl/>
        </w:rPr>
        <w:t>וציורא דארבע שרטוטין אלין אינון כו'.</w:t>
      </w:r>
      <w:r>
        <w:rPr>
          <w:rtl/>
        </w:rPr>
        <w:t xml:space="preserve"> שאריכו הוא אריה וכן בכולם בחיה מיוחדת כנ"ל קכ"א א', ובכולן הן הד' רשימין הנ"ל שהן הוי"ה שלימה וכמו שאומר לעיל קכ"א א' לא אית תיקונא מאלין ארבע דלית תמן הוי"ה, ואריה דא ראיה ואתמר ביה ופני אריה אל הימין לארבעתם, בכל אתר ארבעתם דא הוי"ה, ארבע אתוון דיליה כו', וזה שאומר </w:t>
      </w:r>
      <w:r>
        <w:rPr>
          <w:b/>
          <w:bCs/>
          <w:rtl/>
        </w:rPr>
        <w:t>בכלהו ארבע רשימין.</w:t>
      </w:r>
      <w:r>
        <w:rPr>
          <w:rtl/>
        </w:rPr>
        <w:t xml:space="preserve"> רוצה לומר בכל אחד יש ארבע רשימין הנ"ל, וזה שאומר הה"ד כו' לארבעתם:</w:t>
      </w:r>
    </w:p>
  </w:footnote>
  <w:footnote w:id="5314">
    <w:p w:rsidR="00A13282" w:rsidRDefault="00A13282" w:rsidP="006D2826">
      <w:pPr>
        <w:pStyle w:val="a5"/>
        <w:rPr>
          <w:rtl/>
        </w:rPr>
      </w:pPr>
      <w:r>
        <w:rPr>
          <w:rStyle w:val="a7"/>
          <w:rtl/>
        </w:rPr>
        <w:footnoteRef/>
      </w:r>
      <w:r>
        <w:rPr>
          <w:rtl/>
        </w:rPr>
        <w:t xml:space="preserve"> </w:t>
      </w:r>
      <w:r>
        <w:rPr>
          <w:b/>
          <w:bCs/>
          <w:rtl/>
        </w:rPr>
        <w:t>שר עד"א.</w:t>
      </w:r>
      <w:r>
        <w:rPr>
          <w:rtl/>
        </w:rPr>
        <w:t xml:space="preserve"> הן ג' הויו"ת, זה ספר, ופני אדם דכליל כולא - ד', שד' דיליה נעשה עשר, והן ד' רשימין דיליה שהן עשר, שמא מפרש, כמו שאומר שם וכמו שאומר לעיל ק"כ א', והענין כי כל אחד מג' אותיות הראשונות דהוי"ה דיליה, כלול כל אחד מג' שהן ג' חיות הראשונות וכמו שאומר לעיל דשרטוטין בעגולא כלילא אינון ג' ציורין דשרטוטין והן ט', וה' אחרונה כלולה מכולם, דבה נעשין אחד, הרי עשרה:</w:t>
      </w:r>
    </w:p>
  </w:footnote>
  <w:footnote w:id="5315">
    <w:p w:rsidR="00A13282" w:rsidRDefault="00A13282" w:rsidP="006D2826">
      <w:pPr>
        <w:pStyle w:val="a5"/>
        <w:rPr>
          <w:rtl/>
        </w:rPr>
      </w:pPr>
      <w:r>
        <w:rPr>
          <w:rStyle w:val="a7"/>
          <w:rtl/>
        </w:rPr>
        <w:footnoteRef/>
      </w:r>
      <w:r>
        <w:rPr>
          <w:rtl/>
        </w:rPr>
        <w:t xml:space="preserve"> </w:t>
      </w:r>
      <w:r>
        <w:rPr>
          <w:b/>
          <w:bCs/>
          <w:rtl/>
        </w:rPr>
        <w:t>דתמן פאר.</w:t>
      </w:r>
      <w:r>
        <w:rPr>
          <w:rtl/>
        </w:rPr>
        <w:t xml:space="preserve"> רוצה לומר בתיבת חיה דיליה, ואמר </w:t>
      </w:r>
      <w:r>
        <w:rPr>
          <w:b/>
          <w:bCs/>
          <w:rtl/>
        </w:rPr>
        <w:t>דאתמר פארך כו'.</w:t>
      </w:r>
      <w:r>
        <w:rPr>
          <w:rtl/>
        </w:rPr>
        <w:t xml:space="preserve"> דהוא משכא דתפילין, (שמות כב כו) שמלתו לעורו, והוא חיה דאדם (הגהה: וכן לקמן קל"ד ב' בהגהה א' זה ספר כו' בארבע גוונין דנהרין בהון ד' חיוון כו' אנפין אוכמין במצוה דאיהי תפילין של יד, ותפלין במשכא אוכמא אינון שונאי בצע) כמו שאומר לקמן קל"ח ב' משכא איהו דמות כו' דפאר הוא עור הבתים, (דברים כח י) וראו כי שם ה' כו' שהוא השי"ן כמו שאמרו (ברכות ו ע"א) וראו כו' זה כו', ואמרו (שבת כח ע"ב) אלא לעורן והאמר אביי שי"ן כו', ותפילין הוא דמות אדם וצלמו כמו שאומר בפ' בראשית ולמעלה פ"ו ב' ויברא אלקים את האדם בצלמו בצלם אלקים ברא אותו הכא פקודא דתפילין תא חזי כל מאן דאנח תפילין כו' הבו יקר לדיוקנא דמלכא דאיהו מאן דאנח תפילין דעליה אתמר ויברא כו' ועיין בזוהר חדש כ"ז ג' ודא מלכות וחיה דרכיב עלה רפאל כו' עיין שם:</w:t>
      </w:r>
    </w:p>
  </w:footnote>
  <w:footnote w:id="5316">
    <w:p w:rsidR="00A13282" w:rsidRDefault="00A13282" w:rsidP="006D2826">
      <w:pPr>
        <w:pStyle w:val="a5"/>
        <w:rPr>
          <w:rtl/>
        </w:rPr>
      </w:pPr>
      <w:r>
        <w:rPr>
          <w:rStyle w:val="a7"/>
          <w:rtl/>
        </w:rPr>
        <w:footnoteRef/>
      </w:r>
      <w:r>
        <w:rPr>
          <w:rtl/>
        </w:rPr>
        <w:t xml:space="preserve"> </w:t>
      </w:r>
      <w:r>
        <w:rPr>
          <w:b/>
          <w:bCs/>
          <w:rtl/>
        </w:rPr>
        <w:t>מאן דלא אתחזיין כו' מאן דשרטוטין דיליה רכיבין כו' ל"ל שרטוטין כו'.</w:t>
      </w:r>
      <w:r>
        <w:rPr>
          <w:rtl/>
        </w:rPr>
        <w:t xml:space="preserve"> רוצה לומר, אם שרטוטין פשוטין - עדיין לא בא בגלגול כלל והוא אדם, ועיין מה שבארנו לעיל בתיקון ל”ב, ואם מורכבין באחד רוצה לומר שקו אחד באורך ואחד ברוחב מורכבין זה על זה - מורה על גלגולא בגלגול הראשון דמרכיבין נשמתיה בנשמתא אחרא כמו שאומר בפ' פנחס וברעיא מהימנא שם עיין שם בדבריו רי"ח א' מתלא לאילן דלא עביד איבין נטלין ענפין דיליה ומרכיבין ליה בענפא דאילנא אחרא עלאה דעביד פירין ואתכליל דא בדא ועביד פרי כו', ותרין מורכבין על אחד הוא ב' באורך שכולם מורכבין על הרוחב דרוחב השרטוט פשוט הוא בלא גלגולא, והאורך המורכבין לפי הגלגולא וכמו שאומר למטה קמץ שרטוט כו' דא אחזי כו' ודא פתח ולא אית ליה הרכבה בגלגול דלית ליה כו' דרך בין שתי כו' בתרין גלגולין כו' וכד אתי כו', והנה תלת מורכבין אע"ג דלרשיעא לית ליה תקנתא כמו שאומר לעיל תיקון ל”ב מכל מקום לצדיקיא מגלגל ליה עד כמה פעמים ויש שאינו צריך לגלגל עוד שנשלם כאן אבל אם לית ליה שרטוטין (כלל לא במצחא ולא בקריצין דאינון חד עם מצחא כמו שאומר בלקוטים דאינון ל"ב נתיבות דשרטוטין שכתב למעלה קכ"ב ב' דדא מורה) במצחא ואית ליה על קריצין - מורה שהוא רשע ועל ארבעה לא אשיבנו ורוצה לומר מורכבין בשלשה קריצין דכיון דלית ליה במצחא מורה ג"כ דלית ליה תקנתא מה שאין כן אם יש לו במצחא מורה דהוא אשלים גלגולא דיליה וזה שאומר הא אשלים כו' אבל אם לית ליה גם על קריצין זהו מורה על ימחו מספר, דשרטוטין הן זה ספר תולדות אדם כנ"ל, ואמר </w:t>
      </w:r>
      <w:r>
        <w:rPr>
          <w:b/>
          <w:bCs/>
          <w:rtl/>
        </w:rPr>
        <w:t>זכותיה נחית לתתא</w:t>
      </w:r>
      <w:r>
        <w:rPr>
          <w:rtl/>
        </w:rPr>
        <w:t xml:space="preserve"> כמו שכתוב (דברים ז י) ומשלם לשונאיו אל פניו להאבידו, וזהו </w:t>
      </w:r>
      <w:r>
        <w:rPr>
          <w:b/>
          <w:bCs/>
          <w:rtl/>
        </w:rPr>
        <w:t>ימחו כו'</w:t>
      </w:r>
      <w:r>
        <w:rPr>
          <w:rtl/>
        </w:rPr>
        <w:t xml:space="preserve"> והוא רשע וטוב לו ועיין לעיל תיקון מ”ה, ואמר </w:t>
      </w:r>
      <w:r>
        <w:rPr>
          <w:b/>
          <w:bCs/>
          <w:rtl/>
        </w:rPr>
        <w:t>דדא אשתכח דל"ל כו'.</w:t>
      </w:r>
      <w:r>
        <w:rPr>
          <w:rtl/>
        </w:rPr>
        <w:t xml:space="preserve"> רוצה לומר דלית ליה שורש כלל בנשמתא למעלה דייתי בגלגולא וכל זכות שעשה נותנין לו הכל בעולם הזה, ולא נשאר לו לא שורש ולא ענף ולכן לית ליה שרטוטין כלל דמורה על הנשמות דיליה, חד - נשמתא חדא, ב' - שנים, ג' - שלשה, עד ארבעה, דבכל גלגולא מרכיבין בנשמתא אחרא ונעשה הענף מורכב משנים, וחזא דלא אצלח - מרכיבין ליה עוד בענפא אחרא ונעשה מורכב משלשה, מה שאין כן זה דלית ליה נשמתא כלל, וכשנתנו אותו בגוף הזה הורידו כל זכיותיה מלעילא הכל בגוף זה עד שיאכל כל זכותא ולא נשאר לו למעלה כלל והוא מאותן שנאמר עליהן אבל עקרב פוסק, וכמו שאומר לעיל בריש תיקון כ”א, ונפסקה נשמתו (סנהדרין צ ע"ב) שנאמר הכרת תכרת הנפש ההיא יכול אפילו עשה תשובה תלמוד לומר כו', וזה שאומר </w:t>
      </w:r>
      <w:r>
        <w:rPr>
          <w:b/>
          <w:bCs/>
          <w:rtl/>
        </w:rPr>
        <w:t xml:space="preserve">אלא אם תב בתיובתא, </w:t>
      </w:r>
      <w:r>
        <w:rPr>
          <w:rtl/>
        </w:rPr>
        <w:t>(מלכים ב כג כה) וכמוהו לא היה אשר שב כו':</w:t>
      </w:r>
    </w:p>
  </w:footnote>
  <w:footnote w:id="5317">
    <w:p w:rsidR="00A13282" w:rsidRDefault="00A13282" w:rsidP="006D2826">
      <w:pPr>
        <w:pStyle w:val="a5"/>
        <w:rPr>
          <w:rtl/>
        </w:rPr>
      </w:pPr>
      <w:r>
        <w:rPr>
          <w:rStyle w:val="a7"/>
          <w:rtl/>
        </w:rPr>
        <w:footnoteRef/>
      </w:r>
      <w:r>
        <w:rPr>
          <w:rtl/>
        </w:rPr>
        <w:t xml:space="preserve"> </w:t>
      </w:r>
      <w:r>
        <w:rPr>
          <w:b/>
          <w:bCs/>
          <w:rtl/>
        </w:rPr>
        <w:t>שרטוטין אינון באתוון.</w:t>
      </w:r>
      <w:r>
        <w:rPr>
          <w:rtl/>
        </w:rPr>
        <w:t xml:space="preserve"> רוצה לומר, ד' שרטוטין רשימין דשרטוטין באתוון, דאותיות התורה בנויות מקוין דאינון שרטוטין אבל נקודין הן ציורין כנ"ל דאות יו"ד איהו ציורא דענפין ועיינין כו'. ואמר </w:t>
      </w:r>
      <w:r>
        <w:rPr>
          <w:b/>
          <w:bCs/>
          <w:rtl/>
        </w:rPr>
        <w:t>דאינון הוי"ה.</w:t>
      </w:r>
      <w:r>
        <w:rPr>
          <w:rtl/>
        </w:rPr>
        <w:t xml:space="preserve"> שהן ד' שרטוטין, ד' אותיות הוי"ה וכמו שאומר לעיל תיקון כ”ח ושאר מקומות דאותיות הוא בהוי"ה פשוטה ונקודין בהוי"ה מליאה והן עשר אותיות דיליה [וא' נעלם], וכ"ב אתוון בהוי"ה פשוטה דה"א אחרונה הוא א' כוללת כולם, וזה שאומר </w:t>
      </w:r>
      <w:r>
        <w:rPr>
          <w:b/>
          <w:bCs/>
          <w:rtl/>
        </w:rPr>
        <w:t>ציורין בנקודין דאינון כו'</w:t>
      </w:r>
      <w:r>
        <w:rPr>
          <w:rtl/>
        </w:rPr>
        <w:t xml:space="preserve"> והן ג' יודין בג' אתוון שהן ג' גלגולים דאינון מורכבים בנקודין, בשלשה נקודות, והראשונה בלא גלגול הוא ו', פתח, והוא וא"ו דשם שאין שם יו"ד, וכל הג' יודין נרכבין בו, והוא עיקר האדם בעמודא דאמצעיתא ועליו נרכבין הכל, ואמר </w:t>
      </w:r>
      <w:r>
        <w:rPr>
          <w:b/>
          <w:bCs/>
          <w:rtl/>
        </w:rPr>
        <w:t>וציורין אינון בעיינין כו'.</w:t>
      </w:r>
      <w:r>
        <w:rPr>
          <w:rtl/>
        </w:rPr>
        <w:t xml:space="preserve"> דכלם הם צורות יודין, והן תשע נקודין בעיינין תרין כו' (הגהה: והראש ג"כ בעיגול, נקודה נעלמת דכליל כולא) ופומא אע"ג שבעגולא הוא צורת יוד מכל מקום הוא צורת וא"ו והוא פתח והוא אדם כמו שאומר בזוהר חדש כ"ז ג' פומא ודאי כו' והוא אדם דלא אתי בגלגולא כמו שאומר לעיל בתיקון ל”ב, ואמר כל זה כאן לפרש המורכבין בנקודות וכל הנקודין כמו שמפרש והולך קמץ שרטוט כו', וציורין הן ד' של ד' חיות כנ"ל והן בשם הזה כנ"ל, וא"ו הוא אדם ציור הראשון והוא אלף שבתוכן, וג' יודין - ג' חיות שהן ג' הויות שג' יודין מורין על ג' הויות כמו שאומר לעיל בתיקון ס”ט ושאר מקומות ואלף שבתוכו מורה על שמא מפרש, אדם, וכולא כלילין בשם הזה דס"ג:</w:t>
      </w:r>
    </w:p>
  </w:footnote>
  <w:footnote w:id="5318">
    <w:p w:rsidR="00A13282" w:rsidRDefault="00A13282" w:rsidP="006D2826">
      <w:pPr>
        <w:pStyle w:val="a5"/>
        <w:rPr>
          <w:rtl/>
        </w:rPr>
      </w:pPr>
      <w:r>
        <w:rPr>
          <w:rStyle w:val="a7"/>
          <w:rtl/>
        </w:rPr>
        <w:footnoteRef/>
      </w:r>
      <w:r>
        <w:rPr>
          <w:rtl/>
        </w:rPr>
        <w:t xml:space="preserve"> </w:t>
      </w:r>
      <w:r>
        <w:rPr>
          <w:b/>
          <w:bCs/>
          <w:rtl/>
        </w:rPr>
        <w:t>קמץ שרטוט וציור כו'.</w:t>
      </w:r>
      <w:r>
        <w:rPr>
          <w:rtl/>
        </w:rPr>
        <w:t xml:space="preserve"> דנשמה ראשונה רכיב על השניה כמו הרכבה דאילן כנ"ל וכמו שאומר לעיל ק"ה א' תחת הבל ודאי, דהבל רכיב עליה ואתעביד שת הרכבה ליה, ונשמה הראשונה הוא פתח, ו' כנ"ל, וכמו שאומר לעיל ודא פתח ולא אית ליה הרכבה כו', וכל הנשמות הנוספות בגלגול הן הכל יודין והן ד' נקודות הראשונות כמו שמפרש והולך פתח בראשונה, וקמץ בגלגול וא"ו ביו"ד, ובגלגול השני אותו יו"ד ביו"ד אחר והוא צירי, ואח"כ בשלישי הראשון והוא סגול, ואמר שרטוט וציור דהראשונה אינה נחשבת לציור דחשיב למעלה ק"כ א' ג' הויות, י"ב אנפין, ואדם כללא דכולהו ולכן הוא וא"ו כנ"ל, וזהו זה ספר, י"ב, וכלהו תולדות אדם, גלגולא דיליה שהן תולדות כמו שכתוב (שמות כ ה) פוקד עון כו' כמו שאומר בפ' יתרו, ונקרא הניצוץ חיה י"ב אנפין דחיוון, והיא מחיה את הקו דהוה מית, וידוע שהנקודין - חיות האותיות וכן הכוכבים ברקיע וכן החיות שתחת הרקיע וכמו שאומר לעיל בהקדמה, וזה שאומר ניצוץ כו' רקיע כו', ואמר </w:t>
      </w:r>
      <w:r>
        <w:rPr>
          <w:b/>
          <w:bCs/>
          <w:rtl/>
        </w:rPr>
        <w:t>ובה סומך כו',</w:t>
      </w:r>
      <w:r>
        <w:rPr>
          <w:rtl/>
        </w:rPr>
        <w:t xml:space="preserve"> דנופלים הן גלגולין קדמאין דנפלו ומיתו ולא אצלחו, וסומך הוא סמ"ך שהוא הניצוץ:</w:t>
      </w:r>
    </w:p>
  </w:footnote>
  <w:footnote w:id="5319">
    <w:p w:rsidR="00A13282" w:rsidRDefault="00A13282" w:rsidP="006D2826">
      <w:pPr>
        <w:pStyle w:val="a5"/>
        <w:rPr>
          <w:rtl/>
        </w:rPr>
      </w:pPr>
      <w:r>
        <w:rPr>
          <w:rStyle w:val="a7"/>
          <w:rtl/>
        </w:rPr>
        <w:footnoteRef/>
      </w:r>
      <w:r>
        <w:rPr>
          <w:rtl/>
        </w:rPr>
        <w:t xml:space="preserve"> </w:t>
      </w:r>
      <w:r>
        <w:rPr>
          <w:b/>
          <w:bCs/>
          <w:rtl/>
        </w:rPr>
        <w:t>ניצוץ איהו גלגל כו'.</w:t>
      </w:r>
      <w:r>
        <w:rPr>
          <w:rtl/>
        </w:rPr>
        <w:t xml:space="preserve"> גלגל הוא יו"ד כמו שאומר לעיל ק"ג ב', והוא צורות הגלגל שסובב בעגולא, וכלו נקרא על שם הכוכב, גלגל שבתאי וגלגל צדק כו', וכל פעולותיו וחיותו הוא בכוכב, והוא הניצוץ, והן קבועין ברקיע שהוא והן למטה ממנו, כמו הקמץ, והן ט' גלגלין כמנין הנקודין, והוא סמ"ך כנ"ל אתרכיב הוא"ו ונעשה בו אחד לבד מה שהוא למעלה ממנו, וכמו מצה מצוה, וזהו גלגל חושבן ס"ו כמו שאומר שם וא"ו הוא רקיע שע"ג וזה שאומר ודא פתח ולא אית ליה הרכבה כו':</w:t>
      </w:r>
    </w:p>
  </w:footnote>
  <w:footnote w:id="5320">
    <w:p w:rsidR="00A13282" w:rsidRDefault="00A13282" w:rsidP="006D2826">
      <w:pPr>
        <w:pStyle w:val="a5"/>
        <w:rPr>
          <w:rtl/>
        </w:rPr>
      </w:pPr>
      <w:r>
        <w:rPr>
          <w:rStyle w:val="a7"/>
          <w:rtl/>
        </w:rPr>
        <w:footnoteRef/>
      </w:r>
      <w:r>
        <w:rPr>
          <w:rtl/>
        </w:rPr>
        <w:t xml:space="preserve"> </w:t>
      </w:r>
      <w:r>
        <w:rPr>
          <w:b/>
          <w:bCs/>
          <w:rtl/>
        </w:rPr>
        <w:t>דרכיב עליה.</w:t>
      </w:r>
      <w:r>
        <w:rPr>
          <w:rtl/>
        </w:rPr>
        <w:t xml:space="preserve"> רוצה לומר על החיה דהוא ניצוץ:</w:t>
      </w:r>
    </w:p>
  </w:footnote>
  <w:footnote w:id="5321">
    <w:p w:rsidR="00A13282" w:rsidRDefault="00A13282" w:rsidP="006D2826">
      <w:pPr>
        <w:pStyle w:val="a5"/>
        <w:rPr>
          <w:rtl/>
        </w:rPr>
      </w:pPr>
      <w:r>
        <w:rPr>
          <w:rStyle w:val="a7"/>
          <w:rtl/>
        </w:rPr>
        <w:footnoteRef/>
      </w:r>
      <w:r>
        <w:rPr>
          <w:rtl/>
        </w:rPr>
        <w:t xml:space="preserve"> </w:t>
      </w:r>
      <w:r>
        <w:rPr>
          <w:b/>
          <w:bCs/>
          <w:rtl/>
        </w:rPr>
        <w:t>ודא שרביט כו'.</w:t>
      </w:r>
      <w:r>
        <w:rPr>
          <w:rtl/>
        </w:rPr>
        <w:t xml:space="preserve"> רוצה לומר שנאמר דרך כוכב הוא ניצוץ, וקם שבט הוא שרביט הכוכב, וכן פירש רב האי גאון, והוא פתח, וא"ו:</w:t>
      </w:r>
    </w:p>
  </w:footnote>
  <w:footnote w:id="5322">
    <w:p w:rsidR="00A13282" w:rsidRDefault="00A13282" w:rsidP="006D2826">
      <w:pPr>
        <w:pStyle w:val="a5"/>
        <w:rPr>
          <w:rtl/>
        </w:rPr>
      </w:pPr>
      <w:r>
        <w:rPr>
          <w:rStyle w:val="a7"/>
          <w:rtl/>
        </w:rPr>
        <w:footnoteRef/>
      </w:r>
      <w:r>
        <w:rPr>
          <w:rtl/>
        </w:rPr>
        <w:t xml:space="preserve"> </w:t>
      </w:r>
      <w:r>
        <w:rPr>
          <w:b/>
          <w:bCs/>
          <w:rtl/>
        </w:rPr>
        <w:t>אתעביד וייצר.</w:t>
      </w:r>
      <w:r>
        <w:rPr>
          <w:rtl/>
        </w:rPr>
        <w:t xml:space="preserve"> רוצה לומר, כמו שאומר לעיל קי"ד א', וי"י דהוא כ"ו, והוא אדם דיצירה כמו שאומר שם והן ג' אדם בג' גלגולין כמו שאומר לעיל סוף תיקון כ”ו וייצר הוא צרי לשון צר, כמו שאומר לעיל בהקדמה בב' יודין דביה, וא"ו אתרכיב בהון, והוא (ברכות י ע"א) צר צורה בתוך צורה, אין צייר כאלקינו, ורוצה לומר דהציור הוא הנקודות כנ"ל גלגול ראשון בתוך שני, דעל גלגול האחד אינו צורה בתוך צורה:</w:t>
      </w:r>
    </w:p>
  </w:footnote>
  <w:footnote w:id="5323">
    <w:p w:rsidR="00A13282" w:rsidRDefault="00A13282" w:rsidP="006D2826">
      <w:pPr>
        <w:pStyle w:val="a5"/>
        <w:rPr>
          <w:rtl/>
        </w:rPr>
      </w:pPr>
      <w:r>
        <w:rPr>
          <w:rStyle w:val="a7"/>
          <w:rtl/>
        </w:rPr>
        <w:footnoteRef/>
      </w:r>
      <w:r>
        <w:rPr>
          <w:rtl/>
        </w:rPr>
        <w:t xml:space="preserve"> </w:t>
      </w:r>
      <w:r>
        <w:rPr>
          <w:b/>
          <w:bCs/>
          <w:rtl/>
        </w:rPr>
        <w:t>משולש בהון.</w:t>
      </w:r>
      <w:r>
        <w:rPr>
          <w:rtl/>
        </w:rPr>
        <w:t xml:space="preserve"> רוצה לומר בג' נקודין, ודריש לשון שלשלת, והוא ג"כ בג' קוין:</w:t>
      </w:r>
    </w:p>
  </w:footnote>
  <w:footnote w:id="5324">
    <w:p w:rsidR="00A13282" w:rsidRDefault="00A13282" w:rsidP="006D2826">
      <w:pPr>
        <w:pStyle w:val="a5"/>
        <w:rPr>
          <w:rtl/>
        </w:rPr>
      </w:pPr>
      <w:r>
        <w:rPr>
          <w:rStyle w:val="a7"/>
          <w:rtl/>
        </w:rPr>
        <w:footnoteRef/>
      </w:r>
      <w:r>
        <w:rPr>
          <w:rtl/>
        </w:rPr>
        <w:t xml:space="preserve"> </w:t>
      </w:r>
      <w:r>
        <w:rPr>
          <w:b/>
          <w:bCs/>
          <w:rtl/>
        </w:rPr>
        <w:t>והכי איהו שרביט כו' שבא אתעביד שורק דרגא.</w:t>
      </w:r>
      <w:r>
        <w:rPr>
          <w:rtl/>
        </w:rPr>
        <w:t xml:space="preserve"> רוצה לומר, דבג' ספירות חג"ת דהן ג' גלגולין, הן בגלגול ב' וג' - צירי סגול, דהן ח"ג חג"ת אבל באופנים דהן נה"י הן שבא ושורק דהן זה על גבי זה, מעלה ומטה וכמו שאומר לעיל נ"ד נ"ה בארוכה, והן במקום השלשלת - דרגא, והן ב' מיני גלגולין שהן בו"ק כמו שאומר לעיל בריש תיקון ס”ט, וזה שאומר ואינון שלשלת לעילא בסגול, דרגא לתתא בשורק:</w:t>
      </w:r>
    </w:p>
  </w:footnote>
  <w:footnote w:id="5325">
    <w:p w:rsidR="00A13282" w:rsidRDefault="00A13282" w:rsidP="006D2826">
      <w:pPr>
        <w:pStyle w:val="a5"/>
        <w:rPr>
          <w:rtl/>
        </w:rPr>
      </w:pPr>
      <w:r>
        <w:rPr>
          <w:rStyle w:val="a7"/>
          <w:rtl/>
        </w:rPr>
        <w:footnoteRef/>
      </w:r>
      <w:r>
        <w:rPr>
          <w:rtl/>
        </w:rPr>
        <w:t xml:space="preserve"> </w:t>
      </w:r>
      <w:r>
        <w:rPr>
          <w:b/>
          <w:bCs/>
          <w:rtl/>
        </w:rPr>
        <w:t>שבא צירי חולם כד כו'.</w:t>
      </w:r>
      <w:r>
        <w:rPr>
          <w:rtl/>
        </w:rPr>
        <w:t xml:space="preserve"> מפרש והולך, דהנקודה הג' דאתלבש באלו שנים שבא צרי, ונעשה סגול שורק, אינו הכל תנועה אחת, דחלם עאל לעילא מצירי ונעשה סגולתא, ולתתא שנעשה סגול הוא חירק, ובשבא באמצע שורק רוצה לומר מלאפום ונעשה שורק בג' נקודות, וזה שאומר </w:t>
      </w:r>
      <w:r>
        <w:rPr>
          <w:b/>
          <w:bCs/>
          <w:rtl/>
        </w:rPr>
        <w:t>וכד עאל בשבא שורק אתעביד שרק,</w:t>
      </w:r>
      <w:r>
        <w:rPr>
          <w:rtl/>
        </w:rPr>
        <w:t xml:space="preserve"> והראשון צריך להיות בוא"ו - שורק, ובכלם הכל ע"י נקודה חדא, וזה שאומר </w:t>
      </w:r>
      <w:r>
        <w:rPr>
          <w:b/>
          <w:bCs/>
          <w:rtl/>
        </w:rPr>
        <w:t>וכולא נקודא חדא חלם כו' הן כל אלה כו'.</w:t>
      </w:r>
      <w:r>
        <w:rPr>
          <w:rtl/>
        </w:rPr>
        <w:t xml:space="preserve"> והענין, כי ג' גלגולין הן ובכל אחד נר"ן, דמה שאמר לעיל סוף תיקון נ”ו דבכל אחד אחד היינו בכללות אבל בפרטות הן ג' פעמים ג' והן ט' נקודין בג' בחינות (חד כ"א בנקודה א' ח"ל) ב' בחינות כנ"ל אב"ג אב"ג קמץ צרי סגול בחינה (ק"ח הנעלמת בסוד המאור הגדול) א' בחינה ב' (נקודה א' מאלין ג' חש"ש), ב' נקודות שבא, ג' נקודות שורק, בחינה ג' נקודה א' בג' אופנים חש"ח, וזה שכתוב הן כל אלה כו' [מכל מקום בכללם הן ח' נקודין] ופתח משלמת להן, והוא הראשונה שלא בגלגול שבה נכלל הכל ששם היה הכל ביחד ואח"כ מרכיבין ענפים ממנה כפי בחינתו, דכל שחב יותר מתפרדין הענפין יותר ונרגן מפריד כו' (הגהה: וזהו אריכות הגלות - ריבוי הענפין) אלא שאלה הם כללות הבחינה, והנה בראשונה פתח, ובגלגול הראשון עדיין ניכר בקמץ ואח"כ מתבטל כי מרכיבין ענף הראשון בשני ונעשה ב' נקודות ולא נזכר השורש כלל, וכל הכלל הזה הוא בכללות הרוח שהוא נקודות, ויש עוד בטעמים והן סגולתא לעילא (שלשלת) בחולם, שלשלת בחירק דהוא בסגול כנ"ל, דרגא בשורק ג"כ בשלש אלא דבטעמים הן ג’ פעמים ד', זה ספר, י"ב אנפין, כמו שאומר לעיל ק"כ א' וקכ"ד ב' ציורא דארבע שרטוטין בג' חיוון, וחיה רביעית, אדם, דכליל כולא, והן י"ג טעמים, והן ג' נר"ן דטעמים בד' גלגולים עם הראשונה, ובנקודין הן שם מלא דס"ג בעשר אותיות, שהן ט' נקודין וההוא דכליל כולא והוא א' דוא"ו דהוא אדם דכליל ג' חיוון דד' אנפין דטעמים, שאלף ההוא מצטרף להטעמים כידוע, והן ט' וי"ג נגד ט' תיקונין דז"א וי"ג תיקונין דא"א, שהן י"ג יודין וט' ווין דברכת כהנים כידוע, ויש עוד באותיות, שבהן נכלל הנקודות והטעמים, שהן כ"ב אותיות, שהן ג’ פעמים ד' ועשר דשמא מפרש דכליל כלא, וטעמים נקודות אותיות הן נר"ן דכללות, והכל בשם הוי"ה, טעמים - ג' הויות כנ"ל, ונקודין - בשמא מפרש, והאלף משלים לטעמים כנ"ל, ובספר יצירה חשיב לה יו"ד וי"ב אבל שם הוא באותיות וכמו שאומר למטה, ובאותיות הן עשר דרבוע השם, י' הראשון דכליל כולא, י"ה בגלגול הראשון דמרכיבין היו"ד בה"א, ובגלגול השני מרכיבין י"ה בוא"ו והוא יה"ו, ובשלישי יהו"ה, וזה שאומר</w:t>
      </w:r>
    </w:p>
  </w:footnote>
  <w:footnote w:id="5326">
    <w:p w:rsidR="00A13282" w:rsidRDefault="00A13282" w:rsidP="006D2826">
      <w:pPr>
        <w:pStyle w:val="a5"/>
        <w:rPr>
          <w:rtl/>
        </w:rPr>
      </w:pPr>
      <w:r>
        <w:rPr>
          <w:rStyle w:val="a7"/>
          <w:rtl/>
        </w:rPr>
        <w:footnoteRef/>
      </w:r>
      <w:r>
        <w:rPr>
          <w:rtl/>
        </w:rPr>
        <w:t xml:space="preserve"> </w:t>
      </w:r>
      <w:r>
        <w:rPr>
          <w:b/>
          <w:bCs/>
          <w:rtl/>
        </w:rPr>
        <w:t>י"ה אחזי גלגולא קדמאה יה"ו אחזי גלגולא תניינא יהו"ה אחזי גלגולא תליתאה הרכבה דכלהו תלת אדני.</w:t>
      </w:r>
      <w:r>
        <w:rPr>
          <w:rtl/>
        </w:rPr>
        <w:t xml:space="preserve"> והן כ"ב אותיות, ואלו ג' אדני הן לבושין דג' הויו"ת, ורבוע דעשר אתוון הן לבושין לעשר אתוון דשמא מפרש, ובאלו ג' דרבוע בג' גלגולין הן ג' יודין, וכן בהרכבה דלהון ג' אדני ג"כ ג' יודין, והן נגד ג' נקודות חש"ח דהן בג' גלגולין, וזה שאומר ורזא דא י' י' י' כו'. ואמר </w:t>
      </w:r>
      <w:r>
        <w:rPr>
          <w:b/>
          <w:bCs/>
          <w:rtl/>
        </w:rPr>
        <w:t>אמון כו'</w:t>
      </w:r>
      <w:r>
        <w:rPr>
          <w:rtl/>
        </w:rPr>
        <w:t xml:space="preserve"> שהן בכתר בג' נהורין דאתרמיזו בקמ"ץ, אור צח כו', בג"ר, והן בג' מוחין כמו שמפרש והולך </w:t>
      </w:r>
      <w:r>
        <w:rPr>
          <w:b/>
          <w:bCs/>
          <w:rtl/>
        </w:rPr>
        <w:t>דאתרמיזו בהאי שמא</w:t>
      </w:r>
      <w:r>
        <w:rPr>
          <w:rtl/>
        </w:rPr>
        <w:t xml:space="preserve"> </w:t>
      </w:r>
      <w:r>
        <w:rPr>
          <w:b/>
          <w:bCs/>
          <w:rtl/>
        </w:rPr>
        <w:t>יו"ד ה"י וא"ו ה"י חד שריא כו'.</w:t>
      </w:r>
      <w:r>
        <w:rPr>
          <w:rtl/>
        </w:rPr>
        <w:t xml:space="preserve"> כי שם זה הוא במוחא דכליל ג' מוחין כמו שאומר לעיל ק"ח א' קי"ט א', ואמר חד שריא כו' דהן ג' מוחין שרש נר"ן ועיין לעיל ק"ז ב' על אלין תלת טיפין שריין תלת חכמות חד איהו כו', ואמר</w:t>
      </w:r>
    </w:p>
  </w:footnote>
  <w:footnote w:id="5327">
    <w:p w:rsidR="00A13282" w:rsidRDefault="00A13282" w:rsidP="006D2826">
      <w:pPr>
        <w:pStyle w:val="a5"/>
        <w:rPr>
          <w:rtl/>
        </w:rPr>
      </w:pPr>
      <w:r>
        <w:rPr>
          <w:rStyle w:val="a7"/>
          <w:rtl/>
        </w:rPr>
        <w:footnoteRef/>
      </w:r>
      <w:r>
        <w:rPr>
          <w:rtl/>
        </w:rPr>
        <w:t xml:space="preserve"> </w:t>
      </w:r>
      <w:r>
        <w:rPr>
          <w:b/>
          <w:bCs/>
          <w:rtl/>
        </w:rPr>
        <w:t xml:space="preserve">רהיטא דסחיר לון כגוונא דא </w:t>
      </w:r>
      <w:r>
        <w:rPr>
          <w:rFonts w:ascii="Arial" w:hAnsi="Arial" w:cs="Guttman Frank"/>
          <w:b/>
          <w:bCs/>
          <w:sz w:val="29"/>
          <w:szCs w:val="32"/>
          <w:vertAlign w:val="superscript"/>
          <w:rtl/>
        </w:rPr>
        <w:t>ֶ</w:t>
      </w:r>
      <w:r>
        <w:rPr>
          <w:b/>
          <w:bCs/>
          <w:rtl/>
        </w:rPr>
        <w:t>) איהי כו'</w:t>
      </w:r>
      <w:r>
        <w:rPr>
          <w:rtl/>
        </w:rPr>
        <w:t xml:space="preserve"> רוצה לומר הגלגלת, והוא כתר דשם הנ"ל דכליל ג' יודין, אדם דכליל ג' חיוון, והוא השורש הראשון קודם הגלגול בראשונה וכנ"ל, ואמר </w:t>
      </w:r>
      <w:r>
        <w:rPr>
          <w:b/>
          <w:bCs/>
          <w:rtl/>
        </w:rPr>
        <w:t>שרטוטין אינון כגוונא יהו"ה מלך וגו' הא כו'</w:t>
      </w:r>
      <w:r>
        <w:rPr>
          <w:rtl/>
        </w:rPr>
        <w:t xml:space="preserve"> רוצה לומר, דאמר למעלה כ"ב, דאתוון הן יו"ד דשמא מפרש דביה ג' יודין בג' גלגולין דאתרמיזו בהאי שמא כו' והן עשר דאתלבשו בעשר, והרכבה דלהון אמר שהן ג' אדנ"י ובהון אתלבשו ג’ פעמים הוי"ה דטעמים, והן ד' שרטוטין שהן הוי"ה, בג' רשימין כנ"ל קכ"ד ב', וזה שאומר שרטוטין כו' ג' הויות דה' מלך כו' שהן בג' חיוון דהן משוררין במרכבה, ובהון סליק אליהו לשמיא והן י"ב אותיות דמנצפ"ך שהן היה הוה ויהיה, י"ב בעשר, וכללות כולן, ופרטות הכל בג' יודין בג' אמון בג' מוחין דג' נר"ן, ובכללות הוא הוי"ה בג' אופנים, הוי"ה פשוטה בג’ פעמים, הוי"ה מליאה, הוי"ה בריבוע, והן נגד ג' חיוון שהן נר"ן, וג’ פעמים אדני הוא נגד חיה הרביעית דכליל לון, והוא אלף דשם ס"ג כנ"ל, והוא נגד אותיות, דנפש הוא נגד דגש ורפה שהוא שתופא דאתוון, דנפשא שתופא דגופא, והאותיות נגד הגוף, והוא אדני דנעשה גוף לשם הוי"ה כמו שאומר לעיל בתיקון כ”ב והוא הראשון שלא בא בגלגול שהוא חיה דאדם דכליל כולא, ובכל אחד ג' יודין אלא שברבוע הוא ד' יודין והוא א' דכליל כולא, והן י"ג יודין בי"ג תיקונין שא' כליל כלא, והן י"ב כמו שאומר באידרא רבה דמכאן אשתלשלו י"ב תחומין כו', ואמר </w:t>
      </w:r>
      <w:r>
        <w:rPr>
          <w:b/>
          <w:bCs/>
          <w:rtl/>
        </w:rPr>
        <w:t>הא הכא שרטוטין דמצחא.</w:t>
      </w:r>
      <w:r>
        <w:rPr>
          <w:rtl/>
        </w:rPr>
        <w:t xml:space="preserve"> רוצה לומר דכאן סיים תיקון השני שהוא דמצחא, והראשון דשערא סיים למעלה קכ"ד איהו דרקים גוונין בכל אתר, ומתחיל שם ואיהו דצייר שרטוטין כו', וכאן מתחיל תיקון ג' עיינין כו', ולקמן קכ"ז ב' תיקון ד’ אנפין אינון בארבע כו', ולקמן קכ"ח ב' תיקון ה’ חוטמא כו', וקכ"ט א' תיקון ו’ אודנין כו', וקל"א א' תיקון ז’ שפוון כו', ושם ב' תיקון ח’ שירטוטין דידין אשכחנא כו', וקל"ג א' תיקון ט’, ותיקון י’ בקומה בצואר כו':</w:t>
      </w:r>
    </w:p>
  </w:footnote>
  <w:footnote w:id="5328">
    <w:p w:rsidR="00A13282" w:rsidRDefault="00A13282" w:rsidP="006D2826">
      <w:pPr>
        <w:pStyle w:val="a5"/>
        <w:rPr>
          <w:rtl/>
        </w:rPr>
      </w:pPr>
      <w:r>
        <w:rPr>
          <w:rStyle w:val="a7"/>
          <w:rtl/>
        </w:rPr>
        <w:footnoteRef/>
      </w:r>
      <w:r>
        <w:rPr>
          <w:rtl/>
        </w:rPr>
        <w:t xml:space="preserve"> </w:t>
      </w:r>
      <w:r>
        <w:rPr>
          <w:b/>
          <w:bCs/>
          <w:rtl/>
        </w:rPr>
        <w:t>עיינין בהון ואתה כו'.</w:t>
      </w:r>
      <w:r>
        <w:rPr>
          <w:rtl/>
        </w:rPr>
        <w:t xml:space="preserve"> דתחזה הוא בעיינין, דבעיינין יש כל הד' גוונין הנ"ל (כמו שמפרש והולך אנשי חיל כו') כידוע, וזה שאומר אנשי חיל כו' ודא רזא דשבת כו', דעקרא הוא על הבת עין דאתאחדא ג' עיינין בג' אנפין </w:t>
      </w:r>
      <w:r>
        <w:rPr>
          <w:b/>
          <w:bCs/>
          <w:rtl/>
        </w:rPr>
        <w:t>דאינון תרי שבתות כו'</w:t>
      </w:r>
      <w:r>
        <w:rPr>
          <w:rtl/>
        </w:rPr>
        <w:t xml:space="preserve"> ועיין בזוהר חדש פ' יתרו כ"ט א' עיינין אוכמין שפירין על קו היושר איהו מסטרא דשבת דאיהו בת עין שפירא, עלה אתמר שחורה אני ונאוה כו', ואמר </w:t>
      </w:r>
      <w:r>
        <w:rPr>
          <w:b/>
          <w:bCs/>
          <w:rtl/>
        </w:rPr>
        <w:t>והא אוקמוהו כו'.</w:t>
      </w:r>
      <w:r>
        <w:rPr>
          <w:rtl/>
        </w:rPr>
        <w:t xml:space="preserve"> רוצה לומר דכתיב ב’ פעמים שבת בהאי קרא, שאמרו (ילקוט ישעיהו נו סימן תפה) אלמלי שמרו ישראל ב' שבתות כו', והוא ב' שבתות, ו' ימים בינתיים דהן ו"ק, ג' ימים בתר שבתא, ג' ימים מקמי שבתא, והיו זוכים לשבת עילאה דהוא עלמא דחירו ולכן היו מיד נגאלין:</w:t>
      </w:r>
    </w:p>
  </w:footnote>
  <w:footnote w:id="5329">
    <w:p w:rsidR="00A13282" w:rsidRDefault="00A13282" w:rsidP="006D2826">
      <w:pPr>
        <w:pStyle w:val="a5"/>
        <w:rPr>
          <w:rtl/>
        </w:rPr>
      </w:pPr>
      <w:r>
        <w:rPr>
          <w:rStyle w:val="a7"/>
          <w:rtl/>
        </w:rPr>
        <w:footnoteRef/>
      </w:r>
      <w:r>
        <w:rPr>
          <w:rtl/>
        </w:rPr>
        <w:t xml:space="preserve"> </w:t>
      </w:r>
      <w:r>
        <w:rPr>
          <w:b/>
          <w:bCs/>
          <w:rtl/>
        </w:rPr>
        <w:t>עיינין דרחימו.</w:t>
      </w:r>
      <w:r>
        <w:rPr>
          <w:rtl/>
        </w:rPr>
        <w:t xml:space="preserve"> סוד החסד, (ירמיהו לא ב) ואהבת עולם אהבתיך על כן משכתיך חסד:</w:t>
      </w:r>
    </w:p>
  </w:footnote>
  <w:footnote w:id="5330">
    <w:p w:rsidR="00A13282" w:rsidRDefault="00A13282" w:rsidP="006D2826">
      <w:pPr>
        <w:pStyle w:val="a5"/>
        <w:rPr>
          <w:rtl/>
        </w:rPr>
      </w:pPr>
      <w:r>
        <w:rPr>
          <w:rStyle w:val="a7"/>
          <w:rtl/>
        </w:rPr>
        <w:footnoteRef/>
      </w:r>
      <w:r>
        <w:rPr>
          <w:rtl/>
        </w:rPr>
        <w:t xml:space="preserve"> </w:t>
      </w:r>
      <w:r>
        <w:rPr>
          <w:b/>
          <w:bCs/>
          <w:rtl/>
        </w:rPr>
        <w:t>יפה כלבנה.</w:t>
      </w:r>
      <w:r>
        <w:rPr>
          <w:rtl/>
        </w:rPr>
        <w:t xml:space="preserve"> לבנה הוא לבן, גוון חוור, (שה"ש ו י) הנשקפה כמו שחר, אוכם - בת עין, שממנה הראיה, וזהו הנשקפה, והכל צופין אליה, ברה כחמה - גוון ירוק כמו שאומר לקמן קמ"ג א' ב', איומה כו' - גוון סומק דהיא דחילא, יראי אלקים, וכמו שכתוב (דניאל ז ז) דחילא ואמתני, אבל בזוהר חדש שם פירש איומה כנדגלות ב' גוונין סומק ואוכם ואפשר שטעות סופר נפל שם:</w:t>
      </w:r>
    </w:p>
  </w:footnote>
  <w:footnote w:id="5331">
    <w:p w:rsidR="00A13282" w:rsidRDefault="00A13282" w:rsidP="006D2826">
      <w:pPr>
        <w:pStyle w:val="a5"/>
        <w:rPr>
          <w:rtl/>
        </w:rPr>
      </w:pPr>
      <w:r>
        <w:rPr>
          <w:rStyle w:val="a7"/>
          <w:rtl/>
        </w:rPr>
        <w:footnoteRef/>
      </w:r>
      <w:r>
        <w:rPr>
          <w:rtl/>
        </w:rPr>
        <w:t xml:space="preserve"> </w:t>
      </w:r>
      <w:r>
        <w:rPr>
          <w:b/>
          <w:bCs/>
          <w:rtl/>
        </w:rPr>
        <w:t>דלית בה פגימו.</w:t>
      </w:r>
      <w:r>
        <w:rPr>
          <w:rtl/>
        </w:rPr>
        <w:t xml:space="preserve"> שזהו יפה, דאית גוון חוור מסטרא דנחש כמו שאומר לעיל קכ"ג ב' והוא ארור, מכוערת, [מגרעת] וכמו שמפרש והולך, לכן נאמר יפה וכמו שכתוב (שה"ש ד ז) כלך יפה רעיתי ומום אין בך:</w:t>
      </w:r>
    </w:p>
  </w:footnote>
  <w:footnote w:id="5332">
    <w:p w:rsidR="00A13282" w:rsidRDefault="00A13282" w:rsidP="006D2826">
      <w:pPr>
        <w:pStyle w:val="a5"/>
        <w:rPr>
          <w:rtl/>
        </w:rPr>
      </w:pPr>
      <w:r>
        <w:rPr>
          <w:rStyle w:val="a7"/>
          <w:rtl/>
        </w:rPr>
        <w:footnoteRef/>
      </w:r>
      <w:r>
        <w:rPr>
          <w:rtl/>
        </w:rPr>
        <w:t xml:space="preserve"> </w:t>
      </w:r>
      <w:r>
        <w:rPr>
          <w:b/>
          <w:bCs/>
          <w:rtl/>
        </w:rPr>
        <w:t>דאתמר בה הנך כו'.</w:t>
      </w:r>
      <w:r>
        <w:rPr>
          <w:rtl/>
        </w:rPr>
        <w:t xml:space="preserve"> ראיה דיפה כלבנה קאי על העינים שנאמר הנך יפה עיניך ולפיכך הנך יפה רעיתי כלך וכמו שאמרו (שה"ש רבה פרשה ד) לכלה שעיניה יפות אין צריכה בדיקה:</w:t>
      </w:r>
    </w:p>
  </w:footnote>
  <w:footnote w:id="5333">
    <w:p w:rsidR="00A13282" w:rsidRDefault="00A13282" w:rsidP="006D2826">
      <w:pPr>
        <w:pStyle w:val="a5"/>
        <w:rPr>
          <w:rtl/>
        </w:rPr>
      </w:pPr>
      <w:r>
        <w:rPr>
          <w:rStyle w:val="a7"/>
          <w:rtl/>
        </w:rPr>
        <w:footnoteRef/>
      </w:r>
      <w:r>
        <w:rPr>
          <w:rtl/>
        </w:rPr>
        <w:t xml:space="preserve"> </w:t>
      </w:r>
      <w:r>
        <w:rPr>
          <w:b/>
          <w:bCs/>
          <w:rtl/>
        </w:rPr>
        <w:t>ואית עיינין כו'.</w:t>
      </w:r>
      <w:r>
        <w:rPr>
          <w:rtl/>
        </w:rPr>
        <w:t xml:space="preserve"> דהוא חוורא מסטרא דנחש כנ"ל וכמו שאומר בזוהר חדש כ"ח ג' גוונין חיור דיליה איהו נחש כו' עיין שם:</w:t>
      </w:r>
    </w:p>
  </w:footnote>
  <w:footnote w:id="5334">
    <w:p w:rsidR="00A13282" w:rsidRDefault="00A13282" w:rsidP="006D2826">
      <w:pPr>
        <w:pStyle w:val="a5"/>
        <w:rPr>
          <w:rtl/>
        </w:rPr>
      </w:pPr>
      <w:r>
        <w:rPr>
          <w:rStyle w:val="a7"/>
          <w:rtl/>
        </w:rPr>
        <w:footnoteRef/>
      </w:r>
      <w:r>
        <w:rPr>
          <w:rtl/>
        </w:rPr>
        <w:t xml:space="preserve"> </w:t>
      </w:r>
      <w:r>
        <w:rPr>
          <w:b/>
          <w:bCs/>
          <w:rtl/>
        </w:rPr>
        <w:t>עינא איהו כגלגל כו'.</w:t>
      </w:r>
      <w:r>
        <w:rPr>
          <w:rtl/>
        </w:rPr>
        <w:t xml:space="preserve"> רוצה לומר שנקרא גלגל העין, דכליל כל עלמא כמו שמפרש והולך:</w:t>
      </w:r>
    </w:p>
  </w:footnote>
  <w:footnote w:id="5335">
    <w:p w:rsidR="00A13282" w:rsidRDefault="00A13282" w:rsidP="006D2826">
      <w:pPr>
        <w:pStyle w:val="a5"/>
        <w:rPr>
          <w:rtl/>
        </w:rPr>
      </w:pPr>
      <w:r>
        <w:rPr>
          <w:rStyle w:val="a7"/>
          <w:rtl/>
        </w:rPr>
        <w:footnoteRef/>
      </w:r>
      <w:r>
        <w:rPr>
          <w:rtl/>
        </w:rPr>
        <w:t xml:space="preserve"> </w:t>
      </w:r>
      <w:r>
        <w:rPr>
          <w:b/>
          <w:bCs/>
          <w:rtl/>
        </w:rPr>
        <w:t>ואית ב"נ דגוון כו'.</w:t>
      </w:r>
      <w:r>
        <w:rPr>
          <w:rtl/>
        </w:rPr>
        <w:t xml:space="preserve"> רוצה לומר במקום גוון ירוק, וזה שאומר </w:t>
      </w:r>
      <w:r>
        <w:rPr>
          <w:b/>
          <w:bCs/>
          <w:rtl/>
        </w:rPr>
        <w:t>דומה לרקיע.</w:t>
      </w:r>
      <w:r>
        <w:rPr>
          <w:rtl/>
        </w:rPr>
        <w:t xml:space="preserve"> דהוא נגד ירוק, עמודא דאמצעיתא וכמו שאומר לקמן ב' תכלת דאיהו אחיד בצלותא כו' ובגין דא תכלת דומה לרקיע דאתמר כו' דאפריש כו' ומאן רקיע דא ו' כו', ואמר </w:t>
      </w:r>
      <w:r>
        <w:rPr>
          <w:b/>
          <w:bCs/>
          <w:rtl/>
        </w:rPr>
        <w:t>ורקיע דומה לכסא הכבוד</w:t>
      </w:r>
      <w:r>
        <w:rPr>
          <w:rtl/>
        </w:rPr>
        <w:t xml:space="preserve"> משום דד' גוונין דאתרמיזו בהון כל עלמא הן ד' עולמות אבי"ע, בת עין דאיהו ציון היא בת מלך דאצילות ועיין בריש פ’ משפטים ולעיל נ"ב ב', וארץ ישראל הוא כסא הכבוד, בריאה, והוא גוון תליתאי, אנשי אמת, גוון ירוק, סמוך לשונאי בצע בת עין, ונגדו תכלת דומה לכסא הכבוד, וב' גוונין הארץ והים הוא יצירה ועשיה כידוע:</w:t>
      </w:r>
    </w:p>
  </w:footnote>
  <w:footnote w:id="5336">
    <w:p w:rsidR="00A13282" w:rsidRDefault="00A13282" w:rsidP="006D2826">
      <w:pPr>
        <w:pStyle w:val="a5"/>
        <w:rPr>
          <w:rtl/>
        </w:rPr>
      </w:pPr>
      <w:r>
        <w:rPr>
          <w:rStyle w:val="a7"/>
          <w:rtl/>
        </w:rPr>
        <w:footnoteRef/>
      </w:r>
      <w:r>
        <w:rPr>
          <w:rtl/>
        </w:rPr>
        <w:t xml:space="preserve"> </w:t>
      </w:r>
      <w:r>
        <w:rPr>
          <w:b/>
          <w:bCs/>
          <w:rtl/>
        </w:rPr>
        <w:t>חוור כו' סומק כו'.</w:t>
      </w:r>
      <w:r>
        <w:rPr>
          <w:rtl/>
        </w:rPr>
        <w:t xml:space="preserve"> עיין לעיל קכ"ב א' ובפ' בראשית:</w:t>
      </w:r>
    </w:p>
  </w:footnote>
  <w:footnote w:id="5337">
    <w:p w:rsidR="00A13282" w:rsidRDefault="00A13282" w:rsidP="006D2826">
      <w:pPr>
        <w:pStyle w:val="a5"/>
        <w:rPr>
          <w:rtl/>
        </w:rPr>
      </w:pPr>
      <w:r>
        <w:rPr>
          <w:rStyle w:val="a7"/>
          <w:rtl/>
        </w:rPr>
        <w:footnoteRef/>
      </w:r>
      <w:r>
        <w:rPr>
          <w:rtl/>
        </w:rPr>
        <w:t xml:space="preserve"> </w:t>
      </w:r>
      <w:r>
        <w:rPr>
          <w:b/>
          <w:bCs/>
          <w:rtl/>
        </w:rPr>
        <w:t>בלבת כו'.</w:t>
      </w:r>
      <w:r>
        <w:rPr>
          <w:rtl/>
        </w:rPr>
        <w:t xml:space="preserve"> לב בת, לבא דכל עלמא, ציון כמו שאומר בפ' שלח:</w:t>
      </w:r>
    </w:p>
  </w:footnote>
  <w:footnote w:id="5338">
    <w:p w:rsidR="00A13282" w:rsidRDefault="00A13282" w:rsidP="006D2826">
      <w:pPr>
        <w:pStyle w:val="a5"/>
        <w:rPr>
          <w:rtl/>
        </w:rPr>
      </w:pPr>
      <w:r>
        <w:rPr>
          <w:rStyle w:val="a7"/>
          <w:rtl/>
        </w:rPr>
        <w:footnoteRef/>
      </w:r>
      <w:r>
        <w:rPr>
          <w:rtl/>
        </w:rPr>
        <w:t xml:space="preserve"> </w:t>
      </w:r>
      <w:r>
        <w:rPr>
          <w:b/>
          <w:bCs/>
          <w:rtl/>
        </w:rPr>
        <w:t>דא גוון דעל כו'.</w:t>
      </w:r>
      <w:r>
        <w:rPr>
          <w:rtl/>
        </w:rPr>
        <w:t xml:space="preserve"> כנ"ל דהוא תכלת דכסה על בת עין והוא בוער באש:</w:t>
      </w:r>
    </w:p>
  </w:footnote>
  <w:footnote w:id="5339">
    <w:p w:rsidR="00A13282" w:rsidRDefault="00A13282" w:rsidP="006D2826">
      <w:pPr>
        <w:pStyle w:val="a5"/>
        <w:rPr>
          <w:rtl/>
        </w:rPr>
      </w:pPr>
      <w:r>
        <w:rPr>
          <w:rStyle w:val="a7"/>
          <w:rtl/>
        </w:rPr>
        <w:footnoteRef/>
      </w:r>
      <w:r>
        <w:rPr>
          <w:rtl/>
        </w:rPr>
        <w:t xml:space="preserve"> </w:t>
      </w:r>
      <w:r>
        <w:rPr>
          <w:b/>
          <w:bCs/>
          <w:rtl/>
        </w:rPr>
        <w:t>ויאמר משה כו'.</w:t>
      </w:r>
      <w:r>
        <w:rPr>
          <w:rtl/>
        </w:rPr>
        <w:t xml:space="preserve"> רוצה לומר דכתיב לא יבער הסנה דלאו איהו שורף כלל מה שאין כן בתליתאי שנאמר איננו אוכל דלא אכיל וגו':</w:t>
      </w:r>
    </w:p>
  </w:footnote>
  <w:footnote w:id="5340">
    <w:p w:rsidR="00A13282" w:rsidRDefault="00A13282" w:rsidP="006D2826">
      <w:pPr>
        <w:pStyle w:val="a5"/>
        <w:rPr>
          <w:rtl/>
        </w:rPr>
      </w:pPr>
      <w:r>
        <w:rPr>
          <w:rStyle w:val="a7"/>
          <w:rtl/>
        </w:rPr>
        <w:footnoteRef/>
      </w:r>
      <w:r>
        <w:rPr>
          <w:rtl/>
        </w:rPr>
        <w:t xml:space="preserve"> </w:t>
      </w:r>
      <w:r>
        <w:rPr>
          <w:b/>
          <w:bCs/>
          <w:rtl/>
        </w:rPr>
        <w:t>גוון חיוור גוון עילאה דשרגא ובתלת כו'.</w:t>
      </w:r>
      <w:r>
        <w:rPr>
          <w:rtl/>
        </w:rPr>
        <w:t xml:space="preserve"> רוצה לומר כמו שהוא בעין, דבת עין הוא בתוך וסביבו תכלת וסביבו סומק והחיוור הוא סביב בחוץ מכולם, כן הוא באש דשרגא דהאוכם בת עין כו' עד שגוון עלאה הוא דחוור, ובהון אתחזיא שכינתא למטה, והחיוור הוא המראה הגדול, שחוורא דעין הוא גדול מכולם, וחוורו נקרא גדולה, הגדול, וכמו שמפרש והולך:</w:t>
      </w:r>
    </w:p>
  </w:footnote>
  <w:footnote w:id="5341">
    <w:p w:rsidR="00A13282" w:rsidRDefault="00A13282" w:rsidP="006D2826">
      <w:pPr>
        <w:pStyle w:val="a5"/>
        <w:rPr>
          <w:rtl/>
        </w:rPr>
      </w:pPr>
      <w:r>
        <w:rPr>
          <w:rStyle w:val="a7"/>
          <w:rtl/>
        </w:rPr>
        <w:footnoteRef/>
      </w:r>
      <w:r>
        <w:rPr>
          <w:rtl/>
        </w:rPr>
        <w:t xml:space="preserve"> </w:t>
      </w:r>
      <w:r>
        <w:rPr>
          <w:b/>
          <w:bCs/>
          <w:rtl/>
        </w:rPr>
        <w:t>ובתלת גוונין כו' ובהון סלקא כו' זאת תורת דא בת עין כו'.</w:t>
      </w:r>
      <w:r>
        <w:rPr>
          <w:rtl/>
        </w:rPr>
        <w:t xml:space="preserve"> דהיא נקראת זאת, (היא) (ויקרא ו ב) העולה היא העולה על מוקדה, ג' אשין דשרגא דמקיפין לה ועיין לעיל צ"ה ב' הה"ד זאת תורת העולה על מוקדה הא תלת גוונין דאשא דהוו נחתין בתלת צלותין לאדלקא כו' ובג"ד תקינו תלת צלותין בכל יומא כו' ובדא שריא בתלת גוונין נהירין דאינון כו', וזה שאומר דסלקא בתלת אבהן שהן ג' גוונין אלו וכמו שאומר בפ' פנחס רי"ז א', וכן בתכלת במקום ירוק כמו שמפרש והולך ועיין לעיל פ"ט א' תלת צלותין עלייהו כו' בגין דאינון מרכבה דתלת אבהן כו' דאינון תלת אבהן תקינו תלת צלותין לנחתא בהון לסלקא שכינתא בהון דאיהי ה' זעירא, דעמודא דאמצעיתא איהו גופא ותרין דרועין ימינא ושמאלא דבהון אחיד בה ועל גופא אסתלקת:</w:t>
      </w:r>
    </w:p>
  </w:footnote>
  <w:footnote w:id="5342">
    <w:p w:rsidR="00A13282" w:rsidRDefault="00A13282" w:rsidP="006D2826">
      <w:pPr>
        <w:pStyle w:val="a5"/>
        <w:rPr>
          <w:rtl/>
        </w:rPr>
      </w:pPr>
      <w:r>
        <w:rPr>
          <w:rStyle w:val="a7"/>
          <w:rtl/>
        </w:rPr>
        <w:footnoteRef/>
      </w:r>
      <w:r>
        <w:rPr>
          <w:rtl/>
        </w:rPr>
        <w:t xml:space="preserve"> </w:t>
      </w:r>
      <w:r>
        <w:rPr>
          <w:b/>
          <w:bCs/>
          <w:rtl/>
        </w:rPr>
        <w:t>ובג"ד זאת כו'.</w:t>
      </w:r>
      <w:r>
        <w:rPr>
          <w:rtl/>
        </w:rPr>
        <w:t xml:space="preserve"> דעולה הוא זכר לכן הוא בימינא, יו"ד כמו שמפרש והולך אבל היא העולה קאי על נוק' ולכן אמר היא העולה גוון תניינא כו' (הגהה: ב’ פעמים העולה נגד ב' עולות תמידים, העולה כמו שאמרו (יומא לד ע"א) עולה ראשונה, היא העולה, תמיד של בין הערבים דהיא על מוקדה דשל בין הערבים אברים ופדרים בלילה, וכן היא נגד מדת לילה על מוקדה לא נאמר עולה אלא אברים ופדרים לבד) ביה סלקא ברתא כו' ובגין דאתתא כו':</w:t>
      </w:r>
    </w:p>
  </w:footnote>
  <w:footnote w:id="5343">
    <w:p w:rsidR="00A13282" w:rsidRDefault="00A13282" w:rsidP="006D2826">
      <w:pPr>
        <w:pStyle w:val="a5"/>
        <w:rPr>
          <w:rtl/>
        </w:rPr>
      </w:pPr>
      <w:r>
        <w:rPr>
          <w:rStyle w:val="a7"/>
          <w:rtl/>
        </w:rPr>
        <w:footnoteRef/>
      </w:r>
      <w:r>
        <w:rPr>
          <w:rtl/>
        </w:rPr>
        <w:t xml:space="preserve"> </w:t>
      </w:r>
      <w:r>
        <w:rPr>
          <w:b/>
          <w:bCs/>
          <w:rtl/>
        </w:rPr>
        <w:t>דתמן חכמה.</w:t>
      </w:r>
      <w:r>
        <w:rPr>
          <w:rtl/>
        </w:rPr>
        <w:t xml:space="preserve"> יו"ד של שם, דג' צלותין ג' אותיות של שם כמו שמפרש והולך בג' נקודין חש"ק דהן מעלין  השכינה כמו שאומר בתיקון כ’, והוא ה' בתראה בלא ניקוד שהיא כלילא מכולן ועיין לעיל קכ"ח א' במלכות כו':</w:t>
      </w:r>
    </w:p>
  </w:footnote>
  <w:footnote w:id="5344">
    <w:p w:rsidR="00A13282" w:rsidRDefault="00A13282" w:rsidP="006D2826">
      <w:pPr>
        <w:pStyle w:val="a5"/>
        <w:rPr>
          <w:rtl/>
        </w:rPr>
      </w:pPr>
      <w:r>
        <w:rPr>
          <w:rStyle w:val="a7"/>
          <w:rtl/>
        </w:rPr>
        <w:footnoteRef/>
      </w:r>
      <w:r>
        <w:rPr>
          <w:rtl/>
        </w:rPr>
        <w:t xml:space="preserve"> </w:t>
      </w:r>
      <w:r>
        <w:rPr>
          <w:b/>
          <w:bCs/>
          <w:rtl/>
        </w:rPr>
        <w:t>דאיהו כו'.</w:t>
      </w:r>
      <w:r>
        <w:rPr>
          <w:rtl/>
        </w:rPr>
        <w:t xml:space="preserve"> רוצה לומר דלכן הוא לא שורף כמו שמפרש והולך:</w:t>
      </w:r>
    </w:p>
  </w:footnote>
  <w:footnote w:id="5345">
    <w:p w:rsidR="00A13282" w:rsidRDefault="00A13282" w:rsidP="006D2826">
      <w:pPr>
        <w:pStyle w:val="a5"/>
        <w:rPr>
          <w:rtl/>
        </w:rPr>
      </w:pPr>
      <w:r>
        <w:rPr>
          <w:rStyle w:val="a7"/>
          <w:rtl/>
        </w:rPr>
        <w:footnoteRef/>
      </w:r>
      <w:r>
        <w:rPr>
          <w:rtl/>
        </w:rPr>
        <w:t xml:space="preserve"> </w:t>
      </w:r>
      <w:r>
        <w:rPr>
          <w:b/>
          <w:bCs/>
          <w:rtl/>
        </w:rPr>
        <w:t>וקמץ הכהן.</w:t>
      </w:r>
      <w:r>
        <w:rPr>
          <w:rtl/>
        </w:rPr>
        <w:t xml:space="preserve"> דקמץ ביד סתים, דאיהי יו"ד חכמה סתימאה כמו שאומר בהקדמה וזהו קמיצה ביד סתים, והוא כהן, יד ימינא דשם קמיצה ושם נחית חכמה כמו שאומר שם:</w:t>
      </w:r>
    </w:p>
  </w:footnote>
  <w:footnote w:id="5346">
    <w:p w:rsidR="00A13282" w:rsidRDefault="00A13282" w:rsidP="006D2826">
      <w:pPr>
        <w:pStyle w:val="a5"/>
        <w:rPr>
          <w:rtl/>
        </w:rPr>
      </w:pPr>
      <w:r>
        <w:rPr>
          <w:rStyle w:val="a7"/>
          <w:rtl/>
        </w:rPr>
        <w:footnoteRef/>
      </w:r>
      <w:r>
        <w:rPr>
          <w:rtl/>
        </w:rPr>
        <w:t xml:space="preserve"> </w:t>
      </w:r>
      <w:r>
        <w:rPr>
          <w:b/>
          <w:bCs/>
          <w:rtl/>
        </w:rPr>
        <w:t>קמץ נקודה כו' לא אתחייב כו'.</w:t>
      </w:r>
      <w:r>
        <w:rPr>
          <w:rtl/>
        </w:rPr>
        <w:t xml:space="preserve"> רוצה לומר דהוא נקודה העצמית דיליה ואע"ג דלקמן קכ"ח א' אמר דכתר איהו קמץ, הוא כשנחשב הכתר, אבל כאשר יבא הדעת במקומו והתחלה מחכמה אז חכמה קמץ יו"ד ובינה פתח נפתח היד הקמץ בפתיחו דיד בה' אצבעאן כמו שאומר שם, וצרי הוא בדעת ב' נקודין על שם חו"ג דביה, ושם שני המאורות הגדולים דו"נ שוים:</w:t>
      </w:r>
    </w:p>
  </w:footnote>
  <w:footnote w:id="5347">
    <w:p w:rsidR="00A13282" w:rsidRDefault="00A13282" w:rsidP="006D2826">
      <w:pPr>
        <w:pStyle w:val="a5"/>
        <w:rPr>
          <w:rtl/>
        </w:rPr>
      </w:pPr>
      <w:r>
        <w:rPr>
          <w:rStyle w:val="a7"/>
          <w:rtl/>
        </w:rPr>
        <w:footnoteRef/>
      </w:r>
      <w:r>
        <w:rPr>
          <w:rtl/>
        </w:rPr>
        <w:t xml:space="preserve"> </w:t>
      </w:r>
      <w:r>
        <w:rPr>
          <w:b/>
          <w:bCs/>
          <w:rtl/>
        </w:rPr>
        <w:t>היא העולה כו' ברתא כו'.</w:t>
      </w:r>
      <w:r>
        <w:rPr>
          <w:rtl/>
        </w:rPr>
        <w:t xml:space="preserve"> דדכורא הוא בימינא ונוק' בשמאלא, והיא תפילין של יד ביד כהה בשמאלא, ואמר </w:t>
      </w:r>
      <w:r>
        <w:rPr>
          <w:b/>
          <w:bCs/>
          <w:rtl/>
        </w:rPr>
        <w:t>דתמן ה' כו'</w:t>
      </w:r>
      <w:r>
        <w:rPr>
          <w:rtl/>
        </w:rPr>
        <w:t xml:space="preserve"> לפרש ה' של שם שהיא תפלת המנחה, ואמר </w:t>
      </w:r>
      <w:r>
        <w:rPr>
          <w:b/>
          <w:bCs/>
          <w:rtl/>
        </w:rPr>
        <w:t>ובה</w:t>
      </w:r>
      <w:r>
        <w:rPr>
          <w:rtl/>
        </w:rPr>
        <w:t xml:space="preserve"> </w:t>
      </w:r>
      <w:r>
        <w:rPr>
          <w:b/>
          <w:bCs/>
          <w:rtl/>
        </w:rPr>
        <w:t>הרוצה כו'.</w:t>
      </w:r>
      <w:r>
        <w:rPr>
          <w:rtl/>
        </w:rPr>
        <w:t xml:space="preserve"> לראיה דאתתא תמן כמו שמפרש והולך </w:t>
      </w:r>
      <w:r>
        <w:rPr>
          <w:b/>
          <w:bCs/>
          <w:rtl/>
        </w:rPr>
        <w:t>ובגין דאתתא כו'.</w:t>
      </w:r>
      <w:r>
        <w:rPr>
          <w:rtl/>
        </w:rPr>
        <w:t xml:space="preserve"> ועוד לפרש דה' עלאה תמן דהיא (משלי י כב) ברכת ה' תעשיר ולכן (איוב לז כב) מצפון זהב יאתה כמו שמפרש והולך:</w:t>
      </w:r>
    </w:p>
  </w:footnote>
  <w:footnote w:id="5348">
    <w:p w:rsidR="00A13282" w:rsidRDefault="00A13282" w:rsidP="006D2826">
      <w:pPr>
        <w:pStyle w:val="a5"/>
        <w:rPr>
          <w:rtl/>
        </w:rPr>
      </w:pPr>
      <w:r>
        <w:rPr>
          <w:rStyle w:val="a7"/>
          <w:rtl/>
        </w:rPr>
        <w:footnoteRef/>
      </w:r>
      <w:r>
        <w:rPr>
          <w:rtl/>
        </w:rPr>
        <w:t xml:space="preserve"> </w:t>
      </w:r>
      <w:r>
        <w:rPr>
          <w:b/>
          <w:bCs/>
          <w:rtl/>
        </w:rPr>
        <w:t>ונקודה דאיהי כו'.</w:t>
      </w:r>
      <w:r>
        <w:rPr>
          <w:rtl/>
        </w:rPr>
        <w:t xml:space="preserve"> דהיא נקודות הגבורה, ואמר </w:t>
      </w:r>
      <w:r>
        <w:rPr>
          <w:b/>
          <w:bCs/>
          <w:rtl/>
        </w:rPr>
        <w:t>כי באש כו'.</w:t>
      </w:r>
      <w:r>
        <w:rPr>
          <w:rtl/>
        </w:rPr>
        <w:t xml:space="preserve"> אותיות שבא, דאש הוא תמן, דבימינא מיא כנ"ל, והן נקודות חש"ק, דוא"ו הוא בת"ת ונקודה עצמית דיליה הוא חולם, וזה שאומר למטה והאי נקודה איהי מחייבא לאת וא"ו ורזא כו', והטעם שה' עלאה היא נקודה דגבורה משום שבינה נחית בשמאלא שהוא לבא בגוף בצד שמאל מה שאין כן חכמה מוחא שהוא בראש וזהו תפילין של ראש בדכורא על הראש על המוח בחכמה, ותפילין של יד נוק' ביד שמאל נגד הלב:</w:t>
      </w:r>
    </w:p>
  </w:footnote>
  <w:footnote w:id="5349">
    <w:p w:rsidR="00A13282" w:rsidRDefault="00A13282" w:rsidP="006D2826">
      <w:pPr>
        <w:pStyle w:val="a5"/>
        <w:rPr>
          <w:rtl/>
        </w:rPr>
      </w:pPr>
      <w:r>
        <w:rPr>
          <w:rStyle w:val="a7"/>
          <w:rtl/>
        </w:rPr>
        <w:footnoteRef/>
      </w:r>
      <w:r>
        <w:rPr>
          <w:rtl/>
        </w:rPr>
        <w:t xml:space="preserve"> </w:t>
      </w:r>
      <w:r>
        <w:rPr>
          <w:b/>
          <w:bCs/>
          <w:rtl/>
        </w:rPr>
        <w:t>על מוקדה כו' דא כו'.</w:t>
      </w:r>
      <w:r>
        <w:rPr>
          <w:rtl/>
        </w:rPr>
        <w:t xml:space="preserve"> דאיהו אש שורף ואוכל ולכן כתיב על מוקדה והוא צלותא דערבית דאיהו מדת לילה דאיהי תכלת דאכיל וכמו שאומר בפ' בראשית נ"א א' עיין שם בדבריו ולכן ביה מתאכיל אברין ופדרין וזה שכתוב על מוקדה כל הלילה - תפלת ערבית כל הלילה:</w:t>
      </w:r>
    </w:p>
  </w:footnote>
  <w:footnote w:id="5350">
    <w:p w:rsidR="00A13282" w:rsidRDefault="00A13282" w:rsidP="006D2826">
      <w:pPr>
        <w:pStyle w:val="a5"/>
        <w:rPr>
          <w:rtl/>
        </w:rPr>
      </w:pPr>
      <w:r>
        <w:rPr>
          <w:rStyle w:val="a7"/>
          <w:rtl/>
        </w:rPr>
        <w:footnoteRef/>
      </w:r>
      <w:r>
        <w:rPr>
          <w:rtl/>
        </w:rPr>
        <w:t xml:space="preserve"> </w:t>
      </w:r>
      <w:r>
        <w:rPr>
          <w:b/>
          <w:bCs/>
          <w:rtl/>
        </w:rPr>
        <w:t>ובג"ד תכלת דומה כו'.</w:t>
      </w:r>
      <w:r>
        <w:rPr>
          <w:rtl/>
        </w:rPr>
        <w:t xml:space="preserve"> רוצה לומר דרקיע הוא ו', עמודא דאמצעיתא, ואמר </w:t>
      </w:r>
      <w:r>
        <w:rPr>
          <w:b/>
          <w:bCs/>
          <w:rtl/>
        </w:rPr>
        <w:t>דאתמר יהי רקיע כו'.</w:t>
      </w:r>
      <w:r>
        <w:rPr>
          <w:rtl/>
        </w:rPr>
        <w:t xml:space="preserve"> כמו שמפרש והולך </w:t>
      </w:r>
      <w:r>
        <w:rPr>
          <w:b/>
          <w:bCs/>
          <w:rtl/>
        </w:rPr>
        <w:t>דאפריש כו'.</w:t>
      </w:r>
      <w:r>
        <w:rPr>
          <w:rtl/>
        </w:rPr>
        <w:t xml:space="preserve"> והוא עמודא דאמצעיתא וכמו שכתוב ויהי מבדיל כו', ואמר </w:t>
      </w:r>
      <w:r>
        <w:rPr>
          <w:b/>
          <w:bCs/>
          <w:rtl/>
        </w:rPr>
        <w:t>ונקודה דרקיע חולם.</w:t>
      </w:r>
      <w:r>
        <w:rPr>
          <w:rtl/>
        </w:rPr>
        <w:t xml:space="preserve"> כמו שאומר לעיל ה' ב' וממעל לרקיע אשר על ראשם כמראה אבן ספיר כו' זהו חולם, והארץ כו' - חיריק, וכולא הוא אחד, והן ב' נקודות והוא חולם חיריק בב' אותיות ו"ה אלא דכאן היא כלולה מכולם וזה שאומר </w:t>
      </w:r>
      <w:r>
        <w:rPr>
          <w:b/>
          <w:bCs/>
          <w:rtl/>
        </w:rPr>
        <w:t>ומאן כו' כג"ד</w:t>
      </w:r>
      <w:r>
        <w:rPr>
          <w:rtl/>
        </w:rPr>
        <w:t xml:space="preserve"> ואמר </w:t>
      </w:r>
      <w:r>
        <w:rPr>
          <w:b/>
          <w:bCs/>
          <w:rtl/>
        </w:rPr>
        <w:t>והאי נקודה כו'</w:t>
      </w:r>
      <w:r>
        <w:rPr>
          <w:rtl/>
        </w:rPr>
        <w:t xml:space="preserve"> כנ"ל שהיא נקודה העצמיות דיליה:</w:t>
      </w:r>
    </w:p>
  </w:footnote>
  <w:footnote w:id="5351">
    <w:p w:rsidR="00A13282" w:rsidRDefault="00A13282" w:rsidP="006D2826">
      <w:pPr>
        <w:pStyle w:val="a5"/>
        <w:rPr>
          <w:rtl/>
        </w:rPr>
      </w:pPr>
      <w:r>
        <w:rPr>
          <w:rStyle w:val="a7"/>
          <w:rtl/>
        </w:rPr>
        <w:footnoteRef/>
      </w:r>
      <w:r>
        <w:rPr>
          <w:rtl/>
        </w:rPr>
        <w:t xml:space="preserve"> </w:t>
      </w:r>
      <w:r>
        <w:rPr>
          <w:b/>
          <w:bCs/>
          <w:rtl/>
        </w:rPr>
        <w:t>ורזא דנקוד י</w:t>
      </w:r>
      <w:r>
        <w:rPr>
          <w:rFonts w:ascii="Arial"/>
          <w:b/>
          <w:bCs/>
          <w:sz w:val="29"/>
          <w:rtl/>
        </w:rPr>
        <w:t>ָ</w:t>
      </w:r>
      <w:r>
        <w:rPr>
          <w:b/>
          <w:bCs/>
          <w:rtl/>
        </w:rPr>
        <w:t>' ה</w:t>
      </w:r>
      <w:r>
        <w:rPr>
          <w:rFonts w:ascii="Arial" w:hAnsi="Arial"/>
          <w:b/>
          <w:bCs/>
          <w:rtl/>
        </w:rPr>
        <w:t>ֺ</w:t>
      </w:r>
      <w:r>
        <w:rPr>
          <w:b/>
          <w:bCs/>
          <w:rtl/>
        </w:rPr>
        <w:t>' ו</w:t>
      </w:r>
      <w:r>
        <w:rPr>
          <w:rFonts w:ascii="Arial" w:cs="Guttman Frank"/>
          <w:b/>
          <w:bCs/>
          <w:sz w:val="29"/>
          <w:szCs w:val="29"/>
          <w:rtl/>
        </w:rPr>
        <w:t>ְ</w:t>
      </w:r>
      <w:r>
        <w:rPr>
          <w:b/>
          <w:bCs/>
          <w:rtl/>
        </w:rPr>
        <w:t xml:space="preserve">' ה'. </w:t>
      </w:r>
      <w:r>
        <w:rPr>
          <w:rtl/>
        </w:rPr>
        <w:t>הוא נקודות הוי"ה בקריאתו באדני אלא דבה נתחלף, בסוד כהניך ילבשו צדק כו', והוא נקודות צבאות נתחלף ימינא ושמאלא בסוד הנ"ל, בסוד נו"ה ששם נתחלפו ב' נקודות הראשונות, ואח"כ בה נתחלף כידוע נתחלפו עוד ב' נקודות האחרונות, וזהו ענין כל השמות שהן הכל בשורש אלא דאתחלף לשנאה לטב כמו שכתוב (אסתר ב ט) וישנה ואת נערותיה לטוב כמו שאומר בהיכלות כו':</w:t>
      </w:r>
    </w:p>
  </w:footnote>
  <w:footnote w:id="5352">
    <w:p w:rsidR="00A13282" w:rsidRDefault="00A13282" w:rsidP="006D2826">
      <w:pPr>
        <w:pStyle w:val="a5"/>
        <w:rPr>
          <w:rtl/>
        </w:rPr>
      </w:pPr>
      <w:r>
        <w:rPr>
          <w:rStyle w:val="a7"/>
          <w:rtl/>
        </w:rPr>
        <w:footnoteRef/>
      </w:r>
      <w:r>
        <w:rPr>
          <w:rtl/>
        </w:rPr>
        <w:t xml:space="preserve"> </w:t>
      </w:r>
      <w:r>
        <w:rPr>
          <w:bCs/>
          <w:rtl/>
        </w:rPr>
        <w:t>ורזא דמלה רק כו'</w:t>
      </w:r>
      <w:r>
        <w:rPr>
          <w:rtl/>
        </w:rPr>
        <w:t xml:space="preserve"> רוצה לומר, חש"ק, נקודין דאבהן, באבותיך שהן תקינו הצלותין, והן ג' אתוון דהוי"ה, והן נקודין דבהון, ואמר </w:t>
      </w:r>
      <w:r>
        <w:rPr>
          <w:bCs/>
          <w:rtl/>
        </w:rPr>
        <w:t>כי בי חש"ק</w:t>
      </w:r>
      <w:r>
        <w:rPr>
          <w:rtl/>
        </w:rPr>
        <w:t xml:space="preserve"> כמו שמפרש והולך שמא דמ"ב, והוא ניקוד דבהון י"ד פעמים כסדר הזה דכל ג' אותיות הן חג"ת, וג' אחרות נה"י שהן ו"ק דכל צינור כמו שאומר לעיל ל"ח ושאר מקומות, ואמר כי בי ירבו ימיך, דשם ע"ב הוא לתתא ושם מ"ב לעילא, כמו שאומר בפ' תרומה ולקמן, ושם הוא אריכו דיומין, (איוב כט יח) כחול ארבה ימים:</w:t>
      </w:r>
    </w:p>
  </w:footnote>
  <w:footnote w:id="5353">
    <w:p w:rsidR="00A13282" w:rsidRDefault="00A13282" w:rsidP="006D2826">
      <w:pPr>
        <w:pStyle w:val="a5"/>
        <w:rPr>
          <w:rtl/>
        </w:rPr>
      </w:pPr>
      <w:r>
        <w:rPr>
          <w:rStyle w:val="a7"/>
          <w:rtl/>
        </w:rPr>
        <w:footnoteRef/>
      </w:r>
      <w:r>
        <w:rPr>
          <w:rtl/>
        </w:rPr>
        <w:t xml:space="preserve"> </w:t>
      </w:r>
      <w:r>
        <w:rPr>
          <w:bCs/>
          <w:rtl/>
        </w:rPr>
        <w:t>ואית מאל דאיהו מפרש כו'.</w:t>
      </w:r>
      <w:r>
        <w:rPr>
          <w:rtl/>
        </w:rPr>
        <w:t xml:space="preserve"> רוצה לומר ברקיע כולל ג' גוונין דאבהן, דרקיע ו' כולל ב' חו"ג, והוא חוור למעלה מרקיע, דשם למעלה נהורא חיוורא ולכן אין מיתה שם, ולמטה בארץ גוון תכלת וכמו שאומר שם בפ' בראשית ורקיע הוא אוכם כמו שאומר שם שנאמר (ישעיהו נ ג) אלביש שמים כו', וכן הם בשרגא כמו שמפרש והולך חד לעילא כו', ואע"ג דה' גוונין בשרגא מכל מקום נכללין באלו, ולמעלה אמר בענין אחר הג' גוונין, ולמעלה אמר ד' גוונין, והכל לפי ענין הפתילה כך מאירין הגוונין, וכן למעלה לפי העולמות והבחינות, ואמר </w:t>
      </w:r>
      <w:r>
        <w:rPr>
          <w:b/>
          <w:bCs/>
          <w:rtl/>
        </w:rPr>
        <w:t>אפריש בין תרווייהו כו'.</w:t>
      </w:r>
      <w:r>
        <w:rPr>
          <w:rtl/>
        </w:rPr>
        <w:t xml:space="preserve"> והוא ענין אחר, שבלילה הרקיע גוון תכלת וביממא גוון חיוור, ובקדרותא דשחרא דמתחברין יום ולילה, איילתא בבעלה, הוא גוון אוכם מפריש בין תרווייהו (הגהה: ותחילה אמר ד' גוונין, ועם תכלת שהוא החמישי, תפילין של יד, ואח"כ כלל בד' עמה, ואח"כ בג' כאן, ולמטה בשנים, כל הד' באחד, והן תפילין של ראש ותפילין של יד) ולא אשתמודע לא גוון דיממא ולא דלילא מחמת קדרותא, ונכללין בו שניהם והוא יחודא דלהון בין חו"ג, רקיע בתוך כו' כנ"ל, בין יום ללילה, חו"ג, ואמר </w:t>
      </w:r>
      <w:r>
        <w:rPr>
          <w:b/>
          <w:bCs/>
          <w:rtl/>
        </w:rPr>
        <w:t>ורזא דא אוקמוהו</w:t>
      </w:r>
      <w:r>
        <w:rPr>
          <w:rtl/>
        </w:rPr>
        <w:t xml:space="preserve"> </w:t>
      </w:r>
      <w:r>
        <w:rPr>
          <w:b/>
          <w:bCs/>
          <w:rtl/>
        </w:rPr>
        <w:t xml:space="preserve">כו' </w:t>
      </w:r>
      <w:r>
        <w:rPr>
          <w:rtl/>
        </w:rPr>
        <w:t xml:space="preserve">הוא בענין אחר, דכד אתעבר קדרותא דשמיא ונהיר שמיא, ת"ת, רקיע, אז ניכר בין תכלת ללבן, חו"ג, והוא כוללן, דעד דנהיר שמיא, ת"ת, לא אשתמודע גם הן, וזה שאומר ואשתמודע הכא כו' עמודא דאמצעיתא אחיד בתרווייהו, ואמר </w:t>
      </w:r>
      <w:r>
        <w:rPr>
          <w:b/>
          <w:bCs/>
          <w:rtl/>
        </w:rPr>
        <w:t>וביה קורין ק"ש כו'</w:t>
      </w:r>
      <w:r>
        <w:rPr>
          <w:rtl/>
        </w:rPr>
        <w:t xml:space="preserve"> כד אשתמודע בין כו', דאז נהיר שמיא, ת"ת, קורין קריאת שמע, בת עין, שכינתא, לאתאחדא בבעלה, עמודא דאמצעיתא, ד' גדולה בא"ח בעלה, והיא ד' בת עין רביעית לג' גוונין דעינא שכינתא, וכן הוא בשרגא דהשרגא עצמה היא שכינתא דכליל כולא כמו שאומר למטה שכינתא כד אתאחדת בהון כי נר מצוה, דלמעלה פירש גוון אוכם נגד בת עין אבל כאן פירש הגוון הזה לעמודא דאמצעיתא, והיא בת עין עצמה דאתאחדת, בה גוון הזה, והוא אחד דקריאת שמע, ואמר </w:t>
      </w:r>
      <w:r>
        <w:rPr>
          <w:b/>
          <w:bCs/>
          <w:rtl/>
        </w:rPr>
        <w:t>והכי ק"ש כו'.</w:t>
      </w:r>
      <w:r>
        <w:rPr>
          <w:rtl/>
        </w:rPr>
        <w:t xml:space="preserve"> דגם בערבית כן הוא דקורין בכוכבים בינונים דהוא עמודא דאמצעיתא, כוכבים גדולים הוא המאור הגדול מסטרא דגדולה לממשלת היום וכן הנראים ביום, וכוכבים קטנים מסטרא דמאור הקטן לממשלת הלילה, אור וחושך חו"ג והן הנראים בלילה, אלא בינונים והוא בעת התחברות יומם ולילה חו"ג בעמודא דאמצעיתא, וזה שאומר</w:t>
      </w:r>
    </w:p>
  </w:footnote>
  <w:footnote w:id="5354">
    <w:p w:rsidR="00A13282" w:rsidRDefault="00A13282" w:rsidP="006D2826">
      <w:pPr>
        <w:pStyle w:val="a5"/>
        <w:rPr>
          <w:rtl/>
        </w:rPr>
      </w:pPr>
      <w:r>
        <w:rPr>
          <w:rStyle w:val="a7"/>
          <w:rtl/>
        </w:rPr>
        <w:footnoteRef/>
      </w:r>
      <w:r>
        <w:rPr>
          <w:rtl/>
        </w:rPr>
        <w:t xml:space="preserve"> </w:t>
      </w:r>
      <w:r>
        <w:rPr>
          <w:b/>
          <w:bCs/>
          <w:rtl/>
        </w:rPr>
        <w:t>לא מן הכוכבים הנראים ביום ולא מן הכוכבים שאין נראים אלא בלילה אלא כו'.</w:t>
      </w:r>
      <w:r>
        <w:rPr>
          <w:rtl/>
        </w:rPr>
        <w:t xml:space="preserve"> ולכן דווקא ג' כוכבים והן בינונים כמו שאומר לעיל י"ג ב' חד אריך כו', ורוצה לומר חסד אריך כו' וכמו שאומר לקמן קכ"ד א' ואלין אינון אריכין כו' ואלין רחבים כו' ודא בינוני בקליה כו' לא אריך ולא קציר, וכן כאן לא כוכבים גדולים כו' (הגהה: וב' קריאת שמע אלו נגד ב' עיינין, בכל אחד בת עין כו') ואמר </w:t>
      </w:r>
      <w:r>
        <w:rPr>
          <w:b/>
          <w:bCs/>
          <w:rtl/>
        </w:rPr>
        <w:t>הא הכא תלת כו'</w:t>
      </w:r>
      <w:r>
        <w:rPr>
          <w:rtl/>
        </w:rPr>
        <w:t xml:space="preserve"> </w:t>
      </w:r>
      <w:r>
        <w:rPr>
          <w:b/>
          <w:bCs/>
          <w:rtl/>
        </w:rPr>
        <w:t>שכינתא כד כו'.</w:t>
      </w:r>
      <w:r>
        <w:rPr>
          <w:rtl/>
        </w:rPr>
        <w:t xml:space="preserve"> כנ"ל, דלמעלה פירש דהוא גוון אוכם אבל כאן צריך לפרש בענין אחר דהיא כלל הנר, דכאן ג' גוונין לבד דכוללין כל הגוונין והיא נר מצוה דמצוה ד' אותיות הוי"ה דכלילן בה כמו שאומר לקמן קל"ח א' והוא הנר דהוא האש עצמו אבל האור שהוא בבית שמאיר הוא ותורה אור כמו שמפרש והולך והוא בדכורא דכל הג' גוונין הכל בה כנ"ל בד' בחינות שבה כנ"ל, ואמר </w:t>
      </w:r>
      <w:r>
        <w:rPr>
          <w:b/>
          <w:bCs/>
          <w:rtl/>
        </w:rPr>
        <w:t xml:space="preserve">דאיהי נשמת אדם </w:t>
      </w:r>
      <w:r>
        <w:rPr>
          <w:rtl/>
        </w:rPr>
        <w:t xml:space="preserve">רוצה לומר עמודא דאמצעיתא עצמו דנקרא אדם, כתפארת אדם, ורוצה לומר זה שכתוב נר ה' נשמת אדם, נוק' ודכורא דכלילין בנר שהוא הנר והאור תורה ומצות שניתן לאדם להאיר נשמתו, וזהו נשמת. ואמר </w:t>
      </w:r>
      <w:r>
        <w:rPr>
          <w:b/>
          <w:bCs/>
          <w:rtl/>
        </w:rPr>
        <w:t>עלייהו אתמר את המאור הגדול.</w:t>
      </w:r>
      <w:r>
        <w:rPr>
          <w:rtl/>
        </w:rPr>
        <w:t xml:space="preserve"> דביום, עמודא דאמצעיתא האור משמש, ויקרא אלקים לאור יום, ובלילה הנר שהוא המאור הקטן נר שאינו מאיר אלא בקירוב הנר שהוא להשתמש בלילה, שרגא בטיהרא, וכן מאור הלבנה שאינה כי אם נר שלכן אינה מאירה ביום וכמו שאמרה סיהרא שרגא בטיהרא מאי כו' (ילקוט שמעוני בראשית א סימן ח'):</w:t>
      </w:r>
    </w:p>
  </w:footnote>
  <w:footnote w:id="5355">
    <w:p w:rsidR="00A13282" w:rsidRDefault="00A13282" w:rsidP="006D2826">
      <w:pPr>
        <w:pStyle w:val="a5"/>
        <w:rPr>
          <w:rtl/>
        </w:rPr>
      </w:pPr>
      <w:r>
        <w:rPr>
          <w:rStyle w:val="a7"/>
          <w:rtl/>
        </w:rPr>
        <w:footnoteRef/>
      </w:r>
      <w:r>
        <w:rPr>
          <w:rtl/>
        </w:rPr>
        <w:t xml:space="preserve"> </w:t>
      </w:r>
      <w:r>
        <w:rPr>
          <w:b/>
          <w:bCs/>
          <w:rtl/>
        </w:rPr>
        <w:t>גוון חוור כו'.</w:t>
      </w:r>
      <w:r>
        <w:rPr>
          <w:rtl/>
        </w:rPr>
        <w:t xml:space="preserve"> רוצה לומר בד' אותיות הוי"ה, ומפרש להו בב' גוונין, שהן כלל כל הגוונין דשרגא כמו שאומר בפ' בראשית נ"א א' וכן דעינא כמו שמפרש והולך, והן, אימא עילאה גיון חיוור כסא רחמים, ואמא תתאה גוון תכלת כסא דין, והן נר מצוה בגוונין דשרגא, כסא ששם דנין חיים ומיתה, ושם אש אוכלה השרגא, והדכורין הן האור דנהיר בב' הגוונין, והן ב' דכורין, חכמה ועמודא דאמצעיתא, בבינה ומלכות, נהורא דבהון, שהן גופין להון כמו שאומר למעלה נוק' גופא לדכורא, (ירמיהו לא כא) נקבה תסובב גבר, וזה שאומר </w:t>
      </w:r>
      <w:r>
        <w:rPr>
          <w:b/>
          <w:bCs/>
          <w:rtl/>
        </w:rPr>
        <w:t>מלך דאחיד בהון כו'</w:t>
      </w:r>
      <w:r>
        <w:rPr>
          <w:rtl/>
        </w:rPr>
        <w:t xml:space="preserve"> והוא"ו - תורה אור, ואמר </w:t>
      </w:r>
      <w:r>
        <w:rPr>
          <w:b/>
          <w:bCs/>
          <w:rtl/>
        </w:rPr>
        <w:t>מה שמו כו'</w:t>
      </w:r>
      <w:r>
        <w:rPr>
          <w:rtl/>
        </w:rPr>
        <w:t xml:space="preserve"> להורות דהן בענין אחד ושניהם שם הוי"ה דהוא מ"ה, שמא מפרש, ומשה שאיל (שמות ג יג) מה שמו מה אומר, ב’ פעמים מ"ה, והשם יתברך פירש לו שהוא שם הוי"ה, והוא ראיה דשניהם נקראים בשם זה, ואמר ג"כ </w:t>
      </w:r>
      <w:r>
        <w:rPr>
          <w:b/>
          <w:bCs/>
          <w:rtl/>
        </w:rPr>
        <w:t>אהי"ה אדנ"י</w:t>
      </w:r>
      <w:r>
        <w:rPr>
          <w:rtl/>
        </w:rPr>
        <w:t xml:space="preserve"> שנאמר (שמות ג טו) וזה זכרי, והן ד' פרצופין דכלילין בשרגא, והחמישי - מזלא עילאה, נעלם למעלה, ועיין בזוהר פ’ בראשית שם, ועיין לקמן במזלא כו', ואמר </w:t>
      </w:r>
      <w:r>
        <w:rPr>
          <w:b/>
          <w:bCs/>
          <w:rtl/>
        </w:rPr>
        <w:t>מסט' כו' ומסט' דכרסיא כו'.</w:t>
      </w:r>
      <w:r>
        <w:rPr>
          <w:rtl/>
        </w:rPr>
        <w:t xml:space="preserve"> ששניהם נקרא אני, אין - דכליל ג"ר, ואני הוא נוק', והכל בכסא ששם המשפט לחיים ולמות, והכל לפי המעשה שהן נהורין דבהון, וכן הם בתלמידי חכמים שהן מחיים וממיתים בעיינים דלהון כמו שמפרש והולך </w:t>
      </w:r>
      <w:r>
        <w:rPr>
          <w:b/>
          <w:bCs/>
          <w:rtl/>
        </w:rPr>
        <w:t>ובג"ד ת"ח כו' או עוני.</w:t>
      </w:r>
      <w:r>
        <w:rPr>
          <w:rtl/>
        </w:rPr>
        <w:t xml:space="preserve"> </w:t>
      </w:r>
      <w:r>
        <w:rPr>
          <w:b/>
          <w:bCs/>
          <w:rtl/>
        </w:rPr>
        <w:t>ובכל אתר כו'.</w:t>
      </w:r>
      <w:r>
        <w:rPr>
          <w:rtl/>
        </w:rPr>
        <w:t xml:space="preserve"> וכן הוא באש, שבה ב' הגוונין, שהיא שורף הכל והיא מחיה הכל, שאין דבר מתבשל ונגמר בלא אש, וכן בגופא של אדם (עבודה זרה כח ע"א) האי אשתא פרוונקא כו', והיא החיות של האדם בחום הטבעי, שכל החיות של אדם ממנו, וכל זה כאשר הנשמה באדם במוחא ולבא שהן גוון חוור ותכלת שמוחא הוא כסא רחמים וכד לבא אין מרחק ממוחא היא נור כו' כמו שאומר שם, אש דלא שורף, ולבא הוא נור דליק, כסא דין כמו שאומר ברעיא מהימנא בפ' פנחס ושאר מקומות הרבה, והנשמה דבהון הוא ותורה אור, הוא נשמת אדם כנ"ל דנהיר בנר ה' כנ"ל, אבל כד אסתלק - אין בו לא חום הטבעי ולא אש השורפת, וכן באש כד מסתלק האור ממנה אינה מאירה ולא שורפת, גחלים עוממות או כבויין, וכן בעמי הארצות שאין התורה אור בהן אינן יכולים לא להמית בעינים דלהון ולא להחיות, וזה שאומר </w:t>
      </w:r>
      <w:r>
        <w:rPr>
          <w:b/>
          <w:bCs/>
          <w:rtl/>
        </w:rPr>
        <w:t xml:space="preserve">ובזמנא דאסתלק כו'. </w:t>
      </w:r>
      <w:r>
        <w:rPr>
          <w:rtl/>
        </w:rPr>
        <w:t>וכן אסתלק מנהון בגלותא ותלכנה שתיהן ב' ההי"ן כו' וא"י לעשות נסים לישראל בגלותא וכן להעניש לרשעים כמו בזמן הבית ובימי משה שהיו נענשים לפי שעה ונושעים וכן בארון דהוא נור דליק נאמר ויהי בנסוע הארון כו' ויפוצו אויביך כו' שהיו יוצאים ממנו ב' זיקין כו' ונאמר ובנוחה יאמר שובה כו' והן ב' כסאות הנ"ל והכל בשם הוי"ה דביה בב' פסוקים אלו קומה כד האש מתגבר ושובה האש בנחת ועיין לעיל דאמר אוריאל נוריאל אור חסד נור גבורה נור דליק והוא בארון אור מלפניו ונור מלאחריו למפרע ונ"ש ע"כ באורים ב' אורים כבדו ה' דבהון והוא נר מצוה ב' מצות מצוות עשה ומצוות לא תעשה כסא רחמים כסא דין ותורה אור דנהיר בהון שכולל מצוות עשה ומצוות לא תעשה ונהיר בהון:</w:t>
      </w:r>
    </w:p>
  </w:footnote>
  <w:footnote w:id="5356">
    <w:p w:rsidR="00A13282" w:rsidRDefault="00A13282" w:rsidP="006D2826">
      <w:pPr>
        <w:pStyle w:val="a5"/>
        <w:rPr>
          <w:rtl/>
        </w:rPr>
      </w:pPr>
      <w:r>
        <w:rPr>
          <w:rStyle w:val="a7"/>
          <w:rtl/>
        </w:rPr>
        <w:footnoteRef/>
      </w:r>
      <w:r>
        <w:rPr>
          <w:rtl/>
        </w:rPr>
        <w:t xml:space="preserve"> *(מתל"ה) </w:t>
      </w:r>
      <w:r>
        <w:rPr>
          <w:b/>
          <w:bCs/>
          <w:rtl/>
        </w:rPr>
        <w:t>גוון חוור כו'.</w:t>
      </w:r>
      <w:r>
        <w:rPr>
          <w:rtl/>
        </w:rPr>
        <w:t xml:space="preserve"> עיין לעיל תיקון ה' ותיקון י"ט ושאר מקומות, שה' גוונין בשרגא, אבל נכללין באלו השנים, כי ד' גוונין חוור וסומק וירוק ואוכם הן ד' אותיות הוי"ה דדכורא, וגוון תכלת הוא דנוק' שנכללין כל הד' בה לאחת בד' אותיות אדנ"י דהוא אש שורף ואכיל כמו שאומר לעיל קכ"ב א' ועיין בפ' בראשית נ"א א', והן תפילין של ראש בד' בתים, ושל יד - בית החמישי, אדנ"י, כולל ד' פרשיות, וכמו שאומר לעיל ח' ב', ולכן אמר למעלה א', ד' גוונין בלא תכלת - עיינין בהון, ואתה כו', ואח"כ אמר ד' גוונין עמה, וכלל ד' גוונין בג' והיא רביעית הות, ה' אחרונה, והן ש' דד' ראשין ושל ג' ראשין, דד' פרשיות נכללין בג', חב"ד כידוע, ואח"כ כללן כולן בב' לבד התכלת ואמר ואית מאן דמפרש כו', וכאן כללן הכל בחוור לבד התכלת, והן תפילין של ראש ותפילין של יד, ועיין באידרא זוטא רפ"ח ב' האי עתיקא קדישא כו' כלילן בתלת כו' סתימין בתרין, עוד עתיקא קדישא אתרשים ואסתיים בחד, והוא חד וכלא הוא חד כו' ומתדבקין בחד ואינון חדא:</w:t>
      </w:r>
    </w:p>
    <w:p w:rsidR="00A13282" w:rsidRDefault="00A13282" w:rsidP="006D2826">
      <w:pPr>
        <w:pStyle w:val="a5"/>
        <w:rPr>
          <w:b/>
          <w:bCs/>
          <w:rtl/>
        </w:rPr>
      </w:pPr>
      <w:r>
        <w:rPr>
          <w:rtl/>
        </w:rPr>
        <w:t xml:space="preserve">בהגהה למטה </w:t>
      </w:r>
      <w:r>
        <w:rPr>
          <w:b/>
          <w:bCs/>
          <w:rtl/>
        </w:rPr>
        <w:t>חוור דבגוון כו'</w:t>
      </w:r>
      <w:r>
        <w:rPr>
          <w:rtl/>
        </w:rPr>
        <w:t xml:space="preserve"> אינו כלל מהתיקונים, דהתיקונים הולכין על דרך שירוק הוא במרה, וסומק - בכבד עקרב, ומרה הוא שרף כמו שאומר בתיקון כ' ולקמן קכ"ו א' וקכ"ז ב', והוא הגהה מזהר חדש:</w:t>
      </w:r>
    </w:p>
  </w:footnote>
  <w:footnote w:id="5357">
    <w:p w:rsidR="00A13282" w:rsidRDefault="00A13282" w:rsidP="006D2826">
      <w:pPr>
        <w:pStyle w:val="a5"/>
        <w:rPr>
          <w:rtl/>
        </w:rPr>
      </w:pPr>
      <w:r>
        <w:rPr>
          <w:rStyle w:val="a7"/>
          <w:rtl/>
        </w:rPr>
        <w:footnoteRef/>
      </w:r>
      <w:r>
        <w:rPr>
          <w:rtl/>
        </w:rPr>
        <w:t xml:space="preserve"> </w:t>
      </w:r>
      <w:r>
        <w:rPr>
          <w:b/>
          <w:bCs/>
          <w:rtl/>
        </w:rPr>
        <w:t>בההוא זמנא בני כו'.</w:t>
      </w:r>
      <w:r>
        <w:rPr>
          <w:rtl/>
        </w:rPr>
        <w:t xml:space="preserve"> דאינון בג' דרגין, חיי - באבא, בני - בעמודא דאמצעיתא, מזונא - בנוק' כמו שאומר לעיל ס"ז (הגהה: והן חיים מסטרא דאבא כמו שכתוב החכמה תחיה בעליה, מזונא מסטרא דאמא ברכת ה' היא תעשיר וכנ"ל קכ"ה ב'. ובני בעמודא דאמצעיתא מסטרא דדעת, והן ג' אותיות יה"ו בג' גוונין הנ"ל בג' צלותין). ובזמן דהוו נהירין, הוו מתפשטין או"א ג"כ למטה והוה הכל תלוי בזכותא, דהוה שכינתא שריא בישראל והיו מתפעלים לפי מעשיהם כידוע אבל עתה אסתלק הכל למזלא, והכל במזל קדם דייתי בגלגולא, ואין זכות ואין חוב אלא בעולם הבא דהוא בדרגא דשם אסתלקו, לכן ניתן הכל ביד המזל בעולם הזה, ועיין לעיל תיקון נ’ ומה שבארנו שם, ואלו ג' דרגין בני כו' - הן ג' גוונין דשרגא עם האור הוי"ה דבתוכם, ואמר </w:t>
      </w:r>
      <w:r>
        <w:rPr>
          <w:b/>
          <w:bCs/>
          <w:rtl/>
        </w:rPr>
        <w:t>ובההוא זמנא הכל כו'</w:t>
      </w:r>
      <w:r>
        <w:rPr>
          <w:rtl/>
        </w:rPr>
        <w:t xml:space="preserve"> דספר תורה, עמודא דאמצעיתא, בהיכל - מלכות, בחושבן וה' בהיכל קדשו ה"ס כו':</w:t>
      </w:r>
    </w:p>
  </w:footnote>
  <w:footnote w:id="5358">
    <w:p w:rsidR="00A13282" w:rsidRDefault="00A13282" w:rsidP="006D2826">
      <w:pPr>
        <w:pStyle w:val="a5"/>
        <w:rPr>
          <w:rtl/>
        </w:rPr>
      </w:pPr>
      <w:r>
        <w:rPr>
          <w:rStyle w:val="a7"/>
          <w:rtl/>
        </w:rPr>
        <w:footnoteRef/>
      </w:r>
      <w:r>
        <w:rPr>
          <w:rtl/>
        </w:rPr>
        <w:t xml:space="preserve"> </w:t>
      </w:r>
      <w:r>
        <w:rPr>
          <w:b/>
          <w:bCs/>
          <w:rtl/>
        </w:rPr>
        <w:t>בההוא זמנא מה שהי' קרוב ה' לכל קוראיו אתמר רחוק כו'.</w:t>
      </w:r>
      <w:r>
        <w:rPr>
          <w:rtl/>
        </w:rPr>
        <w:t xml:space="preserve"> כנ"ל דבג' צלותין הוה נחית, חכמה - בימינא, יו"ד של שם, ובינה - ה' של שם, בשמאלא, ועמודא דאמצעיתא - ו' של שם, בהדעת, ומעלין השכינה בתרין דרועין ועל גופא כנ"ל תיקון מ’, והיה קרוב ה' לכל קוראיו בג' צלותין, דשכינתא היא תפלת כל פה, וג' אתוון היו קרובין, וזהו קרוב ה', ד' אתוון, אבל עתה נתרחקו, עמודא דאמצעיתא - בדעת שהוא הכתר, מזלא עילאה, וחו"ב לא נחיתו למטה, ונשארת איך ה' ישבה בדד, ולית דעניא לה בג' צלותין, ולכן רחוק מה שהיה - הוא הדעת, דרגא דמה, שהיה הוא שיהיה, דלעתיד לבא מה שהיה הוא שיהיה, כי מלאה הארץ דעת, ותתייהב שוב על ידו, אבל עתה רחוק בכתר </w:t>
      </w:r>
      <w:r>
        <w:rPr>
          <w:b/>
          <w:bCs/>
          <w:rtl/>
        </w:rPr>
        <w:t>ועמוק עמוק</w:t>
      </w:r>
      <w:r>
        <w:rPr>
          <w:rtl/>
        </w:rPr>
        <w:t xml:space="preserve"> בחו"ב שהן ממעמקים קראתיך כו':</w:t>
      </w:r>
    </w:p>
  </w:footnote>
  <w:footnote w:id="5359">
    <w:p w:rsidR="00A13282" w:rsidRDefault="00A13282" w:rsidP="006D2826">
      <w:pPr>
        <w:pStyle w:val="a5"/>
        <w:rPr>
          <w:rtl/>
        </w:rPr>
      </w:pPr>
      <w:r>
        <w:rPr>
          <w:rStyle w:val="a7"/>
          <w:rtl/>
        </w:rPr>
        <w:footnoteRef/>
      </w:r>
      <w:r>
        <w:rPr>
          <w:rtl/>
        </w:rPr>
        <w:t xml:space="preserve"> </w:t>
      </w:r>
      <w:r>
        <w:rPr>
          <w:b/>
          <w:bCs/>
          <w:rtl/>
        </w:rPr>
        <w:t>לית מאן דאשיג כו'.</w:t>
      </w:r>
      <w:r>
        <w:rPr>
          <w:rtl/>
        </w:rPr>
        <w:t xml:space="preserve"> שבתפלה אינו מושג, שאינן נענים כמו בראשונה, אלא בחכמה ובינה מושג, ע"י החכמה - בבחינתו, ובבינה - בהנהגתו הוא מושג, כי לא נשאר מושג אלא ע"י החכמה והבינה משום דאסתלק הכל לחו"ב ומשם משיגין, וזה שאומר </w:t>
      </w:r>
      <w:r>
        <w:rPr>
          <w:b/>
          <w:bCs/>
          <w:rtl/>
        </w:rPr>
        <w:t>אלא בחכמה ובבינה ובג"ד כד כו'.</w:t>
      </w:r>
      <w:r>
        <w:rPr>
          <w:rtl/>
        </w:rPr>
        <w:t xml:space="preserve"> ורוצה לומר בחכמה ובבינה של האדם</w:t>
      </w:r>
      <w:r>
        <w:rPr>
          <w:b/>
          <w:bCs/>
          <w:rtl/>
        </w:rPr>
        <w:t xml:space="preserve"> ובג"ד כו'</w:t>
      </w:r>
      <w:r>
        <w:rPr>
          <w:rtl/>
        </w:rPr>
        <w:t xml:space="preserve"> </w:t>
      </w:r>
      <w:r>
        <w:rPr>
          <w:b/>
          <w:bCs/>
          <w:rtl/>
        </w:rPr>
        <w:t>אלא בחכמה ובבינה</w:t>
      </w:r>
      <w:r>
        <w:rPr>
          <w:rtl/>
        </w:rPr>
        <w:t xml:space="preserve"> רוצה לומר דאינן משיגין אלא לשם ולכן הוא עמוק למצוא כי שם עמוק להשיגו, ואמר </w:t>
      </w:r>
      <w:r>
        <w:rPr>
          <w:b/>
          <w:bCs/>
          <w:rtl/>
        </w:rPr>
        <w:t>דאינון י"ם</w:t>
      </w:r>
      <w:r>
        <w:rPr>
          <w:rtl/>
        </w:rPr>
        <w:t xml:space="preserve"> </w:t>
      </w:r>
      <w:r>
        <w:rPr>
          <w:b/>
          <w:bCs/>
          <w:rtl/>
        </w:rPr>
        <w:t>י' כו'</w:t>
      </w:r>
      <w:r>
        <w:rPr>
          <w:rtl/>
        </w:rPr>
        <w:t xml:space="preserve"> רוצה לומר דזהו מ"י ימצאנו, במ"י דהוא י"ם, חו"ב, וים הוא כסדר ולענין השגה שצריך להשיג מלמטה למעלה הוא מ"י ולכן אמר </w:t>
      </w:r>
      <w:r>
        <w:rPr>
          <w:b/>
          <w:bCs/>
          <w:rtl/>
        </w:rPr>
        <w:t>עמוק</w:t>
      </w:r>
      <w:r>
        <w:rPr>
          <w:rtl/>
        </w:rPr>
        <w:t xml:space="preserve"> שהוא י"ם, שהוא עמוק, וב’ פעמים עמוק, חו"ב, הים והמקיף של ים, שהוא י' של ים, מבועא דיליה, ועיין לעיל תיקון נ”ב ומה שבארנו שם, והוא עמוק יותר ואינו מושג אלא ע"י הים ומכל מקום מושגין קצת אבל דבר הרחוק אינו מושג כלל, והוא בכתר, ושם הוא מ"ה, שמא מפרש, דהוא בכתר ובדעת, והיה קרוב מאד עד שהיה קבוע במלכות, כמו שאומר בפ' בראשית א' ב' וזהו רחוק מה שהיה, ואמר </w:t>
      </w:r>
      <w:r>
        <w:rPr>
          <w:b/>
          <w:bCs/>
          <w:rtl/>
        </w:rPr>
        <w:t>ורזא דמלה קרובים כו'.</w:t>
      </w:r>
      <w:r>
        <w:rPr>
          <w:rtl/>
        </w:rPr>
        <w:t xml:space="preserve"> שה' אלקינו - הוא או"א, והיו קרובים בכהנים ולוים, בימינא ושמאלא, ועתה שבטלו כהנים בעבודתן ולוים במשמרותם - אתרחקו, ולכן אמר שלמה שתפלתו ודבריו יהיו קרובים אל ה' אלקינו - שנבנה הבית על ידו, וזה שכתוב (דברים ד ז) מי גוי גדול אשר לו אלקים קרובים אליו כה' אלקינו בכל קראנו אליו:</w:t>
      </w:r>
    </w:p>
  </w:footnote>
  <w:footnote w:id="5360">
    <w:p w:rsidR="00A13282" w:rsidRDefault="00A13282" w:rsidP="006D2826">
      <w:pPr>
        <w:pStyle w:val="a5"/>
        <w:rPr>
          <w:rtl/>
        </w:rPr>
      </w:pPr>
      <w:r>
        <w:rPr>
          <w:rStyle w:val="a7"/>
          <w:rtl/>
        </w:rPr>
        <w:footnoteRef/>
      </w:r>
      <w:r>
        <w:rPr>
          <w:rtl/>
        </w:rPr>
        <w:t xml:space="preserve"> </w:t>
      </w:r>
      <w:r>
        <w:rPr>
          <w:b/>
          <w:bCs/>
          <w:rtl/>
        </w:rPr>
        <w:t>אשא עיני אל ההרים כו' וכסא דין דאסתלק משם ודא יהו"ה דאיהו כו'.</w:t>
      </w:r>
      <w:r>
        <w:rPr>
          <w:rtl/>
        </w:rPr>
        <w:t xml:space="preserve"> רוצה לומר אשא עיני אל ההרים - אבהן, בג' צלותין, אבל מאין יבוא עזרי - דאסתלקו לאי"ן, עזרי מעם ה' - שם הויה דאסתלק, והוא עושה שמים וארץ - דאתפשט בהון בינה ומלכות, כסא רחמים וכסא דין, שמים וארץ, ואמר </w:t>
      </w:r>
      <w:r>
        <w:rPr>
          <w:b/>
          <w:bCs/>
          <w:rtl/>
        </w:rPr>
        <w:t>עלה אתמר לך ה' הגדולה כו'.</w:t>
      </w:r>
      <w:r>
        <w:rPr>
          <w:rtl/>
        </w:rPr>
        <w:t xml:space="preserve"> רוצה לומר דחשיב ז"ת, וה' הוא ג"ר, דש</w:t>
      </w:r>
      <w:r>
        <w:rPr>
          <w:rFonts w:ascii="Arial"/>
          <w:sz w:val="29"/>
          <w:rtl/>
        </w:rPr>
        <w:t>ָ</w:t>
      </w:r>
      <w:r>
        <w:rPr>
          <w:rtl/>
        </w:rPr>
        <w:t>ם ש</w:t>
      </w:r>
      <w:r>
        <w:rPr>
          <w:rFonts w:ascii="Arial"/>
          <w:sz w:val="29"/>
          <w:rtl/>
        </w:rPr>
        <w:t>ֵ</w:t>
      </w:r>
      <w:r>
        <w:rPr>
          <w:rtl/>
        </w:rPr>
        <w:t xml:space="preserve">ם ה' אסתלק, והם כח"ב בג' שמות הוי"ה, ברוך אתה ה' אלקי ישראל, דהוא אלקי ישראל דעמודא דאמצעיתא, ואח"כ לך ה' הגדולה היא חכמה דאתפשט בו"ק, ואח"כ לך ה' הממלכה - בינה דמתפשט במלכות, והן ג' הויות בג' פסוקים, חו"ב בזו"נ וכתר שותף השלישי בקרא בפני עצמו - שרשן, שהן ג' ספרים כלל הכל, ולא קראן בשם שהן נעלמות רק בשם הוי"ה, ונגד אלו הג' אמר כאן </w:t>
      </w:r>
      <w:r>
        <w:rPr>
          <w:b/>
          <w:bCs/>
          <w:rtl/>
        </w:rPr>
        <w:t xml:space="preserve">לגו מכלהו ואיהו מלבר כו' ואיהו בין כו'. </w:t>
      </w:r>
      <w:r>
        <w:rPr>
          <w:rtl/>
        </w:rPr>
        <w:t>לגו - חכמה, לבר - בינה, בין כו', דעת דהוא כתר, והן ג"ר דמתפשטין בהון כמו שאומר באידרא זוטא ג' אמ"ש ג' עומקי בו"ק, והיכל הקודש כמו שאומר בספר יצירה:</w:t>
      </w:r>
    </w:p>
  </w:footnote>
  <w:footnote w:id="5361">
    <w:p w:rsidR="00A13282" w:rsidRDefault="00A13282" w:rsidP="006D2826">
      <w:pPr>
        <w:pStyle w:val="a5"/>
        <w:rPr>
          <w:rtl/>
        </w:rPr>
      </w:pPr>
      <w:r>
        <w:rPr>
          <w:rStyle w:val="a7"/>
          <w:rtl/>
        </w:rPr>
        <w:footnoteRef/>
      </w:r>
      <w:r>
        <w:rPr>
          <w:rtl/>
        </w:rPr>
        <w:t xml:space="preserve"> </w:t>
      </w:r>
      <w:r>
        <w:rPr>
          <w:b/>
          <w:bCs/>
          <w:rtl/>
        </w:rPr>
        <w:t>אית עיינין כו'.</w:t>
      </w:r>
      <w:r>
        <w:rPr>
          <w:rtl/>
        </w:rPr>
        <w:t xml:space="preserve"> רוצה לומר מרקמן מד' גוונין כמו שמפרש והולך, והוא גוון ארגמן כמו שאומר בפ' בראשית מ"ד א' היכלא חמישאה כו' חד נהורא כעין ארגוונא, נהורא דא כליל כל גוונין דנהרין, נהורא חוור וסומק וירוק ואוכם, אתכלילן אלין באלין כו', והן ד' המלאכים שהן בד' גוונין כמו שמפרש והולך </w:t>
      </w:r>
      <w:r>
        <w:rPr>
          <w:b/>
          <w:bCs/>
          <w:rtl/>
        </w:rPr>
        <w:t>רגמ"ן ר' כו'</w:t>
      </w:r>
      <w:r>
        <w:rPr>
          <w:rtl/>
        </w:rPr>
        <w:t xml:space="preserve"> וכמו שאומר לקמן קכ"ד ב', ואמר ורזא דמלה </w:t>
      </w:r>
      <w:r>
        <w:rPr>
          <w:b/>
          <w:bCs/>
          <w:rtl/>
        </w:rPr>
        <w:t>מרכבו ארגמ"ן</w:t>
      </w:r>
      <w:r>
        <w:rPr>
          <w:rtl/>
        </w:rPr>
        <w:t xml:space="preserve"> רוצה לומר מרכבו של הוי"ה - ארגמ"ן כמו שאומר לקמן קכ"ד א' ושאר מקומות:</w:t>
      </w:r>
    </w:p>
  </w:footnote>
  <w:footnote w:id="5362">
    <w:p w:rsidR="00A13282" w:rsidRDefault="00A13282" w:rsidP="006D2826">
      <w:pPr>
        <w:pStyle w:val="a5"/>
        <w:rPr>
          <w:rtl/>
        </w:rPr>
      </w:pPr>
      <w:r>
        <w:rPr>
          <w:rStyle w:val="a7"/>
          <w:rtl/>
        </w:rPr>
        <w:footnoteRef/>
      </w:r>
      <w:r>
        <w:rPr>
          <w:rtl/>
        </w:rPr>
        <w:t xml:space="preserve"> </w:t>
      </w:r>
      <w:r>
        <w:rPr>
          <w:b/>
          <w:bCs/>
          <w:rtl/>
        </w:rPr>
        <w:t>א' אור כו'.</w:t>
      </w:r>
      <w:r>
        <w:rPr>
          <w:rtl/>
        </w:rPr>
        <w:t xml:space="preserve"> שמתלבש בתוכם דוגמת הכתר בד' אותיות הוי"ה, והכתר הוא א' שמתלבש בתוכם, אי"ה או"ה, וכן הוא כאן כמו שמפרש והולך </w:t>
      </w:r>
      <w:r>
        <w:rPr>
          <w:b/>
          <w:bCs/>
          <w:rtl/>
        </w:rPr>
        <w:t>א' אור פניא"ל ואיהו מט"ט</w:t>
      </w:r>
      <w:r>
        <w:rPr>
          <w:rtl/>
        </w:rPr>
        <w:t xml:space="preserve"> שהוא אדם דרכיב עליהון כמו שאומר לעיל ס"ג א' ושאר מקומות, והוא כתרא דלהון ועיין לעיל תיקון ה', ואע"ג שה' אור, נהיר בה' גוונין - הוא לפי הגוונין, אבל האור בעצמו הוא פשוט א' לבד כמו שאומר בתוספתא פ' יתרו ונקרא אור פניאל שהוא אור המתלבש בפנים של (החיות), והנה החיות הן מתפרדין ולפנים הן אחד, והן בסיומן - שכולן הן אל, ושם הוא נהיר בפנימיותם שהן אל, וזהו פניאל, שם הוא אור דנהיר בהון, וזה שאומר אור פניאל, ואמר</w:t>
      </w:r>
      <w:r>
        <w:rPr>
          <w:b/>
          <w:bCs/>
          <w:rtl/>
        </w:rPr>
        <w:t xml:space="preserve"> ובג"ד אתקרי שר הפנים</w:t>
      </w:r>
      <w:r>
        <w:rPr>
          <w:rtl/>
        </w:rPr>
        <w:t xml:space="preserve"> שהוא בפנים דלהון </w:t>
      </w:r>
      <w:r>
        <w:rPr>
          <w:b/>
          <w:bCs/>
          <w:rtl/>
        </w:rPr>
        <w:t>ואיהו רזיאל</w:t>
      </w:r>
      <w:r>
        <w:rPr>
          <w:rtl/>
        </w:rPr>
        <w:t xml:space="preserve"> שהוא אור פנימיות (התורה) רזא דרזין, שד' חיות הן פרד"ס כמו שאומר לעיל תיקון נ”ד ובפ' בראשית, ור"ז הוא אור כמו שאומר לעיל, והוא בחושבן אור כמו שאומר לקמן בתיקוני זוהר חדש, והוא אור פני של התורה, וזה שאומר </w:t>
      </w:r>
      <w:r>
        <w:rPr>
          <w:b/>
          <w:bCs/>
          <w:rtl/>
        </w:rPr>
        <w:t>ואיהו אוריאל</w:t>
      </w:r>
      <w:r>
        <w:rPr>
          <w:rtl/>
        </w:rPr>
        <w:t xml:space="preserve"> אור של המלאכים והחיות דהן אל, והוא רז, ואמר </w:t>
      </w:r>
      <w:r>
        <w:rPr>
          <w:b/>
          <w:bCs/>
          <w:rtl/>
        </w:rPr>
        <w:t>ואיהו סליק כו'.</w:t>
      </w:r>
      <w:r>
        <w:rPr>
          <w:rtl/>
        </w:rPr>
        <w:t xml:space="preserve"> לראיה שהוא גוון חוור מימינא, דמשם רמ"ח מצוות עשה וכמו שאומר לעיל בכמה מקומות, והוא חושבן אברהם איש החסד, והוא אור של יום הראשון שהוא חסד, וזה שאומר </w:t>
      </w:r>
      <w:r>
        <w:rPr>
          <w:b/>
          <w:bCs/>
          <w:rtl/>
        </w:rPr>
        <w:t>ודא מלאך כו'.</w:t>
      </w:r>
      <w:r>
        <w:rPr>
          <w:rtl/>
        </w:rPr>
        <w:t xml:space="preserve"> ואמר </w:t>
      </w:r>
      <w:r>
        <w:rPr>
          <w:b/>
          <w:bCs/>
          <w:rtl/>
        </w:rPr>
        <w:t>דמתמן כו'.</w:t>
      </w:r>
      <w:r>
        <w:rPr>
          <w:rtl/>
        </w:rPr>
        <w:t xml:space="preserve"> דהוא אור הרזין דאורייתא, וזה שאומר </w:t>
      </w:r>
      <w:r>
        <w:rPr>
          <w:b/>
          <w:bCs/>
          <w:rtl/>
        </w:rPr>
        <w:t>ואיהו ממונה כו' והוא גלי כו'.</w:t>
      </w:r>
      <w:r>
        <w:rPr>
          <w:rtl/>
        </w:rPr>
        <w:t xml:space="preserve"> שלפני הרזין הן עמוקות שהן חשך ולכן צריך לגלות ועיין במתניתין דטעמים, וזה שאומר </w:t>
      </w:r>
      <w:r>
        <w:rPr>
          <w:b/>
          <w:bCs/>
          <w:rtl/>
        </w:rPr>
        <w:t xml:space="preserve">ומסתרתא בגין דחושך איהו לבושא דאור אור הוא רז כו'. </w:t>
      </w:r>
      <w:r>
        <w:rPr>
          <w:rtl/>
        </w:rPr>
        <w:t>כן צריך להיות, ולא כמו שכתוב בהגהה, וזו הגהה היא מתיקון נ"ה, ורוצה לומר הוא רז בחושבן, וכן הוא הרז - אור התורה, ופשוטו הוא חושך, ולכן מגלה עמוקות מני חושך וזהו גלי עמיקתא כו':</w:t>
      </w:r>
    </w:p>
  </w:footnote>
  <w:footnote w:id="5363">
    <w:p w:rsidR="00A13282" w:rsidRDefault="00A13282" w:rsidP="006D2826">
      <w:pPr>
        <w:pStyle w:val="a5"/>
        <w:rPr>
          <w:rtl/>
        </w:rPr>
      </w:pPr>
      <w:r>
        <w:rPr>
          <w:rStyle w:val="a7"/>
          <w:rtl/>
        </w:rPr>
        <w:footnoteRef/>
      </w:r>
      <w:r>
        <w:rPr>
          <w:rtl/>
        </w:rPr>
        <w:t xml:space="preserve"> </w:t>
      </w:r>
      <w:r>
        <w:rPr>
          <w:b/>
          <w:bCs/>
          <w:rtl/>
        </w:rPr>
        <w:t>וכל מאל דידע ביה.</w:t>
      </w:r>
      <w:r>
        <w:rPr>
          <w:rtl/>
        </w:rPr>
        <w:t xml:space="preserve"> רוצה לומר בזה המלאך:</w:t>
      </w:r>
    </w:p>
  </w:footnote>
  <w:footnote w:id="5364">
    <w:p w:rsidR="00A13282" w:rsidRDefault="00A13282" w:rsidP="006D2826">
      <w:pPr>
        <w:pStyle w:val="a5"/>
        <w:rPr>
          <w:rtl/>
        </w:rPr>
      </w:pPr>
      <w:r>
        <w:rPr>
          <w:rStyle w:val="a7"/>
          <w:rtl/>
        </w:rPr>
        <w:footnoteRef/>
      </w:r>
      <w:r>
        <w:rPr>
          <w:rtl/>
        </w:rPr>
        <w:t xml:space="preserve"> </w:t>
      </w:r>
      <w:r>
        <w:rPr>
          <w:b/>
          <w:bCs/>
          <w:rtl/>
        </w:rPr>
        <w:t>ואיהו נוריאל נור כו'.</w:t>
      </w:r>
      <w:r>
        <w:rPr>
          <w:rtl/>
        </w:rPr>
        <w:t xml:space="preserve"> רוצה לומר נור שהוא אש שורף שהוא גוון תכלת, האחרונה מד' גוונין, והוא כולל הד' גוונין, והחוורא נהיר ביה, והן ב' גוונין הנ"ל כסא רחמים כו', וזה שאומר </w:t>
      </w:r>
      <w:r>
        <w:rPr>
          <w:b/>
          <w:bCs/>
          <w:rtl/>
        </w:rPr>
        <w:t>כרסיא דרחמי לימינא, כרסיא כו'</w:t>
      </w:r>
      <w:r>
        <w:rPr>
          <w:rtl/>
        </w:rPr>
        <w:t xml:space="preserve"> ואמר </w:t>
      </w:r>
      <w:r>
        <w:rPr>
          <w:b/>
          <w:bCs/>
          <w:rtl/>
        </w:rPr>
        <w:t>דתמן</w:t>
      </w:r>
      <w:r>
        <w:rPr>
          <w:rtl/>
        </w:rPr>
        <w:t xml:space="preserve"> </w:t>
      </w:r>
      <w:r>
        <w:rPr>
          <w:b/>
          <w:bCs/>
          <w:rtl/>
        </w:rPr>
        <w:t>רי"ו</w:t>
      </w:r>
      <w:r>
        <w:rPr>
          <w:rtl/>
        </w:rPr>
        <w:t xml:space="preserve"> רוצה לומר בנוריאל ואע"ג דגם באוריאל יש רי"ו, הוא דשמאלא נכלל בימינא, אל דאלקים, ואמר </w:t>
      </w:r>
      <w:r>
        <w:rPr>
          <w:b/>
          <w:bCs/>
          <w:rtl/>
        </w:rPr>
        <w:t>ומתמן פקודין דל"ת</w:t>
      </w:r>
      <w:r>
        <w:rPr>
          <w:rtl/>
        </w:rPr>
        <w:t xml:space="preserve"> רוצה לומר משמאלא כנ"ל, ואמר </w:t>
      </w:r>
      <w:r>
        <w:rPr>
          <w:b/>
          <w:bCs/>
          <w:rtl/>
        </w:rPr>
        <w:t>כרסיא דרחמי כו'</w:t>
      </w:r>
      <w:r>
        <w:rPr>
          <w:rtl/>
        </w:rPr>
        <w:t xml:space="preserve"> שאימא, כרסיא דרחמי, הוא בימינא, ושכינתא תתאה, כרסיא דדינא, לשמאלא, כמו שאומר לעיל בתיקון נ”ה, וזה שאומר </w:t>
      </w:r>
      <w:r>
        <w:rPr>
          <w:b/>
          <w:bCs/>
          <w:rtl/>
        </w:rPr>
        <w:t>עד"א כליל תרווייהו כו'.</w:t>
      </w:r>
      <w:r>
        <w:rPr>
          <w:rtl/>
        </w:rPr>
        <w:t xml:space="preserve"> דכליל ימינא ושמאלא, וביה שניהן, והן ב’ פעמים הוי"ה כנ"ל וכמו שמפרש והולך, והן ד' מוחין בחג"ת כידוע, ד' אותיות הוי"ה דביה תרין דדעת, אל דעות, וכמו שאומר בריש ש"ה, וכן הוא ב' הויות, דידיה ודחכמה כנ"ל אורות דב' שכינות, ונכללין כולהו בג' חג"ת ג' קוין, ואמר </w:t>
      </w:r>
      <w:r>
        <w:rPr>
          <w:b/>
          <w:bCs/>
          <w:rtl/>
        </w:rPr>
        <w:t>בשם כו'.</w:t>
      </w:r>
      <w:r>
        <w:rPr>
          <w:rtl/>
        </w:rPr>
        <w:t xml:space="preserve"> רוצה לומר בשם הוא ב' שם, וכמו שכתוב (שמות ג ד) ויקרא משה משה וכמו שאומר לעיל ק"ט א' עיין שם דביה אכלל חכמה ועמודא דאמצעיתא, אב ובן עיין שם בדבריו:</w:t>
      </w:r>
    </w:p>
  </w:footnote>
  <w:footnote w:id="5365">
    <w:p w:rsidR="00A13282" w:rsidRDefault="00A13282" w:rsidP="006D2826">
      <w:pPr>
        <w:pStyle w:val="a5"/>
        <w:rPr>
          <w:rtl/>
        </w:rPr>
      </w:pPr>
      <w:r>
        <w:rPr>
          <w:rStyle w:val="a7"/>
          <w:rtl/>
        </w:rPr>
        <w:footnoteRef/>
      </w:r>
      <w:r>
        <w:rPr>
          <w:rtl/>
        </w:rPr>
        <w:t xml:space="preserve"> </w:t>
      </w:r>
      <w:r>
        <w:rPr>
          <w:b/>
          <w:bCs/>
          <w:rtl/>
        </w:rPr>
        <w:t>עיינין מרקמן כו' על לול"א כו'.</w:t>
      </w:r>
      <w:r>
        <w:rPr>
          <w:rtl/>
        </w:rPr>
        <w:t xml:space="preserve"> דנקודין ממעטין את הכתב שאין (תוך הענין) כמו שכתוב, ורמאי איהו שאינו תוכו כברו, וזה שאומר על לול"א שדרשו בהיפך הכתב בפרק קמא דברכות (ד ע"א), ואמר בנקודין חוורין דהוא מסטרא דנחש גוון חוור והוא נחש הרמאי דפתי לאדם כנ"ל וכמו שאומר בזוהר חדש שם עיין שם וכנ"ל, וזה שאומר </w:t>
      </w:r>
      <w:r>
        <w:rPr>
          <w:b/>
          <w:bCs/>
          <w:rtl/>
        </w:rPr>
        <w:t>ומאן דאיהו בנקודין כו' בנקודין כו'.</w:t>
      </w:r>
      <w:r>
        <w:rPr>
          <w:rtl/>
        </w:rPr>
        <w:t xml:space="preserve"> ואמר בנקודין אוכמין כל בישין משום דהיא כללא דכל גוונין כמו שאומר בזוהר חדש שם ועיין שם כ"ח א' כ"ט א':</w:t>
      </w:r>
    </w:p>
  </w:footnote>
  <w:footnote w:id="5366">
    <w:p w:rsidR="00A13282" w:rsidRDefault="00A13282" w:rsidP="006D2826">
      <w:pPr>
        <w:pStyle w:val="a5"/>
        <w:rPr>
          <w:rtl/>
        </w:rPr>
      </w:pPr>
      <w:r>
        <w:rPr>
          <w:rStyle w:val="a7"/>
          <w:rtl/>
        </w:rPr>
        <w:footnoteRef/>
      </w:r>
      <w:r>
        <w:rPr>
          <w:rtl/>
        </w:rPr>
        <w:t xml:space="preserve"> </w:t>
      </w:r>
      <w:r>
        <w:rPr>
          <w:b/>
          <w:bCs/>
          <w:rtl/>
        </w:rPr>
        <w:t>עמק טוב כו'.</w:t>
      </w:r>
      <w:r>
        <w:rPr>
          <w:rtl/>
        </w:rPr>
        <w:t xml:space="preserve"> שהן תהו ובהו כמו שאומר בספר הבהיר, והוא בעץ הדעת טוב ורע, בהו טוב כו', ומה שאמר תהו ובהו רעים הוא בס"א, ועיין בפרק א' דספר יצירה עומק כו':</w:t>
      </w:r>
    </w:p>
  </w:footnote>
  <w:footnote w:id="5367">
    <w:p w:rsidR="00A13282" w:rsidRDefault="00A13282" w:rsidP="006D2826">
      <w:pPr>
        <w:pStyle w:val="a5"/>
        <w:rPr>
          <w:rtl/>
        </w:rPr>
      </w:pPr>
      <w:r>
        <w:rPr>
          <w:rStyle w:val="a7"/>
          <w:rtl/>
        </w:rPr>
        <w:footnoteRef/>
      </w:r>
      <w:r>
        <w:rPr>
          <w:rtl/>
        </w:rPr>
        <w:t xml:space="preserve"> </w:t>
      </w:r>
      <w:r>
        <w:rPr>
          <w:b/>
          <w:bCs/>
          <w:rtl/>
        </w:rPr>
        <w:t>עמוק עמוק מי כו'.</w:t>
      </w:r>
      <w:r>
        <w:rPr>
          <w:rtl/>
        </w:rPr>
        <w:t xml:space="preserve"> כמו שמפרש והולך </w:t>
      </w:r>
      <w:r>
        <w:rPr>
          <w:b/>
          <w:bCs/>
          <w:rtl/>
        </w:rPr>
        <w:t>לא יכיל ב"נ כו'</w:t>
      </w:r>
      <w:r>
        <w:rPr>
          <w:rtl/>
        </w:rPr>
        <w:t xml:space="preserve"> והוא בחכמה כמו שאומר למעלה, והוא במחשבה, דמחשבה הוא עמוק. ואמר </w:t>
      </w:r>
      <w:r>
        <w:rPr>
          <w:b/>
          <w:bCs/>
          <w:rtl/>
        </w:rPr>
        <w:t>ואם הוא ע"ה כו'.</w:t>
      </w:r>
      <w:r>
        <w:rPr>
          <w:rtl/>
        </w:rPr>
        <w:t xml:space="preserve"> כמו שאומר בפ' ויקרא דמחשבה אתפשט לתרין סטרין כו', ואמר </w:t>
      </w:r>
      <w:r>
        <w:rPr>
          <w:b/>
          <w:bCs/>
          <w:rtl/>
        </w:rPr>
        <w:t>איהו קבר פתוח</w:t>
      </w:r>
      <w:r>
        <w:rPr>
          <w:rtl/>
        </w:rPr>
        <w:t xml:space="preserve"> רוצה לומר כמו שעיינין דיליה עמיקין ופתיחין, ואמר </w:t>
      </w:r>
      <w:r>
        <w:rPr>
          <w:b/>
          <w:bCs/>
          <w:rtl/>
        </w:rPr>
        <w:t>אסתמר מעינא כו'.</w:t>
      </w:r>
      <w:r>
        <w:rPr>
          <w:rtl/>
        </w:rPr>
        <w:t xml:space="preserve"> דהוא נוק' דס"א, בור שאולה. ואמר </w:t>
      </w:r>
    </w:p>
  </w:footnote>
  <w:footnote w:id="5368">
    <w:p w:rsidR="00A13282" w:rsidRDefault="00A13282" w:rsidP="006D2826">
      <w:pPr>
        <w:pStyle w:val="a5"/>
        <w:rPr>
          <w:rtl/>
        </w:rPr>
      </w:pPr>
      <w:r>
        <w:rPr>
          <w:rStyle w:val="a7"/>
          <w:rtl/>
        </w:rPr>
        <w:footnoteRef/>
      </w:r>
      <w:r>
        <w:rPr>
          <w:rtl/>
        </w:rPr>
        <w:t xml:space="preserve"> </w:t>
      </w:r>
      <w:r>
        <w:rPr>
          <w:b/>
          <w:bCs/>
          <w:rtl/>
        </w:rPr>
        <w:t>עיינין גבהנין בהפוכא כו'</w:t>
      </w:r>
      <w:r>
        <w:rPr>
          <w:rtl/>
        </w:rPr>
        <w:t xml:space="preserve"> </w:t>
      </w:r>
      <w:r>
        <w:rPr>
          <w:b/>
          <w:bCs/>
          <w:rtl/>
        </w:rPr>
        <w:t>כמה דעיינין עמיקין כו'.</w:t>
      </w:r>
      <w:r>
        <w:rPr>
          <w:rtl/>
        </w:rPr>
        <w:t xml:space="preserve"> כי כל בליטה הוא רחמי וכל שקיעה הוא דין, שלכן כל דינין בערוה דכלא שקיעה וכל רחמי באמה דדכורא, והוא סוד הזיווג לאתבסמא כמו שאומר בספרא דצניעותא ובאידרא רבה עיין שם בדבריו, וכמו שכתוב (תהלים לו ז) צדקתך כהררי אל משפטיך כו'. ואמר </w:t>
      </w:r>
      <w:r>
        <w:rPr>
          <w:b/>
          <w:bCs/>
          <w:rtl/>
        </w:rPr>
        <w:t>עלייהו אתמר וגביהן כו'.</w:t>
      </w:r>
      <w:r>
        <w:rPr>
          <w:rtl/>
        </w:rPr>
        <w:t xml:space="preserve"> דבפסוק הזה כתיב מלאות עינים, דקאי על העינים וכמו שאומר לקמן, ואמר </w:t>
      </w:r>
      <w:r>
        <w:rPr>
          <w:b/>
          <w:bCs/>
          <w:rtl/>
        </w:rPr>
        <w:t>ואית עיינין כו' כי גאה כו'.</w:t>
      </w:r>
      <w:r>
        <w:rPr>
          <w:rtl/>
        </w:rPr>
        <w:t xml:space="preserve"> רוצה לומר, דלמעלה אמר דהן מורין על רחמנין, וכאן אמר דאית דמורה על שררות וממשלה כמו שכתוב (שמות טו א) כי גאה גאה סוס כו', ואמרו (חגיגה יג ע"ב) כי גאה גאה שמתגאה על גאים, וכן כאן מורה על התנשאות גדולה מלך על מלכים וכיוצא וכמו שכתוב בפסוק הנ"ל וגביהן וגובה להם וכמו שמפרש והולך כי גבוה מעל גבוה כו' והכל לפי גבהות העין, ואמר </w:t>
      </w:r>
      <w:r>
        <w:rPr>
          <w:b/>
          <w:bCs/>
          <w:rtl/>
        </w:rPr>
        <w:t>ואית מנהון דאתחזיין גבה רוחא.</w:t>
      </w:r>
      <w:r>
        <w:rPr>
          <w:rtl/>
        </w:rPr>
        <w:t xml:space="preserve"> שהן גבהנין מס"א, והוא גאה בלב, גבה לב, ולא על ממשלה:</w:t>
      </w:r>
    </w:p>
    <w:p w:rsidR="00A13282" w:rsidRDefault="00A13282" w:rsidP="006D2826">
      <w:pPr>
        <w:pStyle w:val="a5"/>
        <w:rPr>
          <w:rtl/>
        </w:rPr>
      </w:pPr>
      <w:r>
        <w:rPr>
          <w:rtl/>
        </w:rPr>
        <w:t xml:space="preserve">(הגהה: אבל יותר נכון גירסא האחרת, </w:t>
      </w:r>
      <w:r>
        <w:rPr>
          <w:b/>
          <w:bCs/>
          <w:rtl/>
        </w:rPr>
        <w:t>דאתחזין על גפי מרומי</w:t>
      </w:r>
      <w:r>
        <w:rPr>
          <w:rtl/>
        </w:rPr>
        <w:t xml:space="preserve"> והוא העיקר, ורוצה לומר דאית גבוהין בגבורה וממשלה, ואית מנהון מלכות על גפי דאמרינן שהוא כסא מלוכה כמו שכתוב (משלי ט יד) על כסא מרומי כו', ומה שאומר למטה עיינין גבוהין מסטרא דימינא כו' עד ודא עז פנים, שייך למעלה אחר עיינין גבהנין בהפוכא) (וכן מצאנו נכתב בצידו בגוף כתב יד קדשו בתיקוני זהר).</w:t>
      </w:r>
    </w:p>
  </w:footnote>
  <w:footnote w:id="5369">
    <w:p w:rsidR="00A13282" w:rsidRDefault="00A13282" w:rsidP="006D2826">
      <w:pPr>
        <w:pStyle w:val="a5"/>
        <w:rPr>
          <w:rtl/>
        </w:rPr>
      </w:pPr>
      <w:r>
        <w:rPr>
          <w:rStyle w:val="a7"/>
          <w:rtl/>
        </w:rPr>
        <w:footnoteRef/>
      </w:r>
      <w:r>
        <w:rPr>
          <w:rtl/>
        </w:rPr>
        <w:t xml:space="preserve"> </w:t>
      </w:r>
      <w:r>
        <w:rPr>
          <w:b/>
          <w:bCs/>
          <w:rtl/>
        </w:rPr>
        <w:t>דא ענו ודא ביישן.</w:t>
      </w:r>
      <w:r>
        <w:rPr>
          <w:rtl/>
        </w:rPr>
        <w:t xml:space="preserve"> ועניו הוא מסטרא דימינא, וביישן הוא מסטרא דשמאלא, כמו שכתוב (ישעיהו כט כב) לא יבוש יעקב מאביו בגוון סומק, ועניו הוא מסטרא דגדולה כמו שאמרו (מגילה לא ע"א) כל מקום שאתה מוצא גדולתו כו':</w:t>
      </w:r>
    </w:p>
  </w:footnote>
  <w:footnote w:id="5370">
    <w:p w:rsidR="00A13282" w:rsidRDefault="00A13282" w:rsidP="006D2826">
      <w:pPr>
        <w:pStyle w:val="a5"/>
        <w:rPr>
          <w:rtl/>
        </w:rPr>
      </w:pPr>
      <w:r>
        <w:rPr>
          <w:rStyle w:val="a7"/>
          <w:rtl/>
        </w:rPr>
        <w:footnoteRef/>
      </w:r>
      <w:r>
        <w:rPr>
          <w:rtl/>
        </w:rPr>
        <w:t xml:space="preserve"> </w:t>
      </w:r>
      <w:r>
        <w:rPr>
          <w:b/>
          <w:bCs/>
          <w:rtl/>
        </w:rPr>
        <w:t>ואית אחרנין דאתקריאו גאונים באורייתא</w:t>
      </w:r>
      <w:r>
        <w:rPr>
          <w:rtl/>
        </w:rPr>
        <w:t xml:space="preserve"> והוא כי גאה גאה באורייתא, סוס ורוכבו רמה בים - בימא דאורייתא כמו שאומר לעיל נ"ב ב' ויקרע ימא דאורייתא וסוס ורוכבו כו', והן שני מיני גאה גאה, לא יסור שבט מיהודה אלו ראשי גלויות (סנהדרין ה ע"א), ומחוקק כו' שרי גאים כמו שאומר בחולין (צב ע"א), ואמר </w:t>
      </w:r>
      <w:r>
        <w:rPr>
          <w:b/>
          <w:bCs/>
          <w:rtl/>
        </w:rPr>
        <w:t>וכלהו אית לון כו'.</w:t>
      </w:r>
      <w:r>
        <w:rPr>
          <w:rtl/>
        </w:rPr>
        <w:t xml:space="preserve"> דג' מיני גאים הנ"ל, כי גאה, ועל גפי מרומי, וגאונים באורייתא, שהן ג' דרגין דכללין כלהו כמו שמפרש והולך, וזה שאומר שם בחולין ג' שרי גאים כו', וזה שאומר </w:t>
      </w:r>
      <w:r>
        <w:rPr>
          <w:b/>
          <w:bCs/>
          <w:rtl/>
        </w:rPr>
        <w:t xml:space="preserve">ובג"ד וגביהן כו' </w:t>
      </w:r>
      <w:r>
        <w:rPr>
          <w:rtl/>
        </w:rPr>
        <w:t xml:space="preserve">שהן ג’ פעמים גבוה בפסוק, ומפרש והולך </w:t>
      </w:r>
      <w:r>
        <w:rPr>
          <w:b/>
          <w:bCs/>
          <w:rtl/>
        </w:rPr>
        <w:t>מההוא דאתמר כי גבוה כו'</w:t>
      </w:r>
      <w:r>
        <w:rPr>
          <w:rtl/>
        </w:rPr>
        <w:t xml:space="preserve"> ג' גבוהים בפסוק זה על זה, ומפרש והולך </w:t>
      </w:r>
      <w:r>
        <w:rPr>
          <w:b/>
          <w:bCs/>
          <w:rtl/>
        </w:rPr>
        <w:t xml:space="preserve">ודא מרכבה כו' </w:t>
      </w:r>
      <w:r>
        <w:rPr>
          <w:rtl/>
        </w:rPr>
        <w:t xml:space="preserve">ואמר </w:t>
      </w:r>
      <w:r>
        <w:rPr>
          <w:b/>
          <w:bCs/>
          <w:rtl/>
        </w:rPr>
        <w:t>הה"ד משא כו'.</w:t>
      </w:r>
      <w:r>
        <w:rPr>
          <w:rtl/>
        </w:rPr>
        <w:t xml:space="preserve"> רוצה לומר, אתה הוא גיא חזיון מעיינין עמיקין שמורה על שפלות </w:t>
      </w:r>
      <w:r>
        <w:rPr>
          <w:b/>
          <w:bCs/>
          <w:rtl/>
        </w:rPr>
        <w:t>מה לך כי עלית כו'.</w:t>
      </w:r>
      <w:r>
        <w:rPr>
          <w:rtl/>
        </w:rPr>
        <w:t xml:space="preserve"> ומפרש והולך דרוצה לומר למה אתה רוכב על מרכבות וזה שאומר ואלין אינון דרכבין על מרכבות:</w:t>
      </w:r>
    </w:p>
  </w:footnote>
  <w:footnote w:id="5371">
    <w:p w:rsidR="00A13282" w:rsidRDefault="00A13282" w:rsidP="006D2826">
      <w:pPr>
        <w:pStyle w:val="a5"/>
        <w:rPr>
          <w:rtl/>
        </w:rPr>
      </w:pPr>
      <w:r>
        <w:rPr>
          <w:rStyle w:val="a7"/>
          <w:rtl/>
        </w:rPr>
        <w:footnoteRef/>
      </w:r>
      <w:r>
        <w:rPr>
          <w:rtl/>
        </w:rPr>
        <w:t xml:space="preserve"> </w:t>
      </w:r>
      <w:r>
        <w:rPr>
          <w:b/>
          <w:bCs/>
          <w:rtl/>
        </w:rPr>
        <w:t>ועוד וגביהן כו'.</w:t>
      </w:r>
      <w:r>
        <w:rPr>
          <w:rtl/>
        </w:rPr>
        <w:t xml:space="preserve"> דאותיות ונקודות וטעמים הן בי"ע, ג' דרגין דכלילין כלא, ואופנים הם מעשיה אותיות מנוק' וכמו שאומר לעיל בכמה מקומות, ואמר </w:t>
      </w:r>
      <w:r>
        <w:rPr>
          <w:b/>
          <w:bCs/>
          <w:rtl/>
        </w:rPr>
        <w:t>דאתוון מלאות עינים מנייהו</w:t>
      </w:r>
      <w:r>
        <w:rPr>
          <w:rtl/>
        </w:rPr>
        <w:t xml:space="preserve"> רוצה לומר וגבותם קאי על אתוון, והקרא מפרש דגביהן שהן האותיות הן מלאות עינים מנקודין, ואמר </w:t>
      </w:r>
      <w:r>
        <w:rPr>
          <w:b/>
          <w:bCs/>
          <w:rtl/>
        </w:rPr>
        <w:t>כד"א עיני ה'</w:t>
      </w:r>
      <w:r>
        <w:rPr>
          <w:rtl/>
        </w:rPr>
        <w:t xml:space="preserve"> שהן הנקודין והן דהוי"ה, משוטטות באתוון שהן בנוק' האופנים שהן בארץ כמו שכתוב (יחזקאל א טו) אופן אחד בארץ כו', והנקודות משוטטות על כל, וכל הילוך הוא הכל בנקודין ולכן נקרא תנועות וזהו משוטטות:</w:t>
      </w:r>
    </w:p>
  </w:footnote>
  <w:footnote w:id="5372">
    <w:p w:rsidR="00A13282" w:rsidRDefault="00A13282" w:rsidP="006D2826">
      <w:pPr>
        <w:pStyle w:val="a5"/>
        <w:rPr>
          <w:rtl/>
        </w:rPr>
      </w:pPr>
      <w:r>
        <w:rPr>
          <w:rStyle w:val="a7"/>
          <w:rtl/>
        </w:rPr>
        <w:footnoteRef/>
      </w:r>
      <w:r>
        <w:rPr>
          <w:rtl/>
        </w:rPr>
        <w:t xml:space="preserve"> </w:t>
      </w:r>
      <w:r>
        <w:rPr>
          <w:b/>
          <w:bCs/>
          <w:rtl/>
        </w:rPr>
        <w:t xml:space="preserve">אלין תלת חיוון כו' </w:t>
      </w:r>
      <w:r>
        <w:rPr>
          <w:rtl/>
        </w:rPr>
        <w:t>דבכלהו תלת כתיב לארבעתם שהן י"ב אנפין ועיין לעיל קי"ט א' קכ"ד ב' ומה שבארנו שם ושם:</w:t>
      </w:r>
    </w:p>
  </w:footnote>
  <w:footnote w:id="5373">
    <w:p w:rsidR="00A13282" w:rsidRDefault="00A13282" w:rsidP="006D2826">
      <w:pPr>
        <w:pStyle w:val="a5"/>
        <w:rPr>
          <w:rtl/>
        </w:rPr>
      </w:pPr>
      <w:r>
        <w:rPr>
          <w:rStyle w:val="a7"/>
          <w:rtl/>
        </w:rPr>
        <w:footnoteRef/>
      </w:r>
      <w:r>
        <w:rPr>
          <w:rtl/>
        </w:rPr>
        <w:t xml:space="preserve"> </w:t>
      </w:r>
      <w:r>
        <w:rPr>
          <w:b/>
          <w:bCs/>
          <w:rtl/>
        </w:rPr>
        <w:t>דאינון לקבל ע' כו'.</w:t>
      </w:r>
      <w:r>
        <w:rPr>
          <w:rtl/>
        </w:rPr>
        <w:t xml:space="preserve"> דאינון עיני העדה, ואמר </w:t>
      </w:r>
      <w:r>
        <w:rPr>
          <w:b/>
          <w:bCs/>
          <w:rtl/>
        </w:rPr>
        <w:t>ומשה ואהרן</w:t>
      </w:r>
      <w:r>
        <w:rPr>
          <w:rtl/>
        </w:rPr>
        <w:t xml:space="preserve"> דהן נשיא ואב בית דין, דלעולם צריך להיות ע"ב כמו שבארנו במקום אחר בארוכה, והן גביהן דהן נשיאי וראשי העדה, וזה שאומר </w:t>
      </w:r>
      <w:r>
        <w:rPr>
          <w:b/>
          <w:bCs/>
          <w:rtl/>
        </w:rPr>
        <w:t xml:space="preserve">אלין אינון וגביהן </w:t>
      </w:r>
      <w:r>
        <w:rPr>
          <w:rtl/>
        </w:rPr>
        <w:t xml:space="preserve">ואמר </w:t>
      </w:r>
      <w:r>
        <w:rPr>
          <w:b/>
          <w:bCs/>
          <w:rtl/>
        </w:rPr>
        <w:t>וגובה להם כו' מ"ה עיינין כו'.</w:t>
      </w:r>
      <w:r>
        <w:rPr>
          <w:rtl/>
        </w:rPr>
        <w:t xml:space="preserve"> דהוא אדם דרכיב על גבי הג' חיוון כמו שאומר לעיל ס"ג א' ואינון תרי עשר אנפין לכל חד שית, סלקין לע"ב כו' ואדם דרכיב על גבייהו דא כו' וזה שאומר </w:t>
      </w:r>
      <w:r>
        <w:rPr>
          <w:b/>
          <w:bCs/>
          <w:rtl/>
        </w:rPr>
        <w:t>כחושבן אדם.</w:t>
      </w:r>
      <w:r>
        <w:rPr>
          <w:rtl/>
        </w:rPr>
        <w:t xml:space="preserve"> והענין כי וגביהן הן י"ב אותיות דג' הוויין, והעיינין הן הנקודין, וגבה להם הן ט' אותיות דג' יה"ו והן במלכות ועמודא דאמצעיתא ובינה ולכן בה יה"ו לבד דשם נכללת נוק' בדכורא, בינה בן י"ה דהוא יה"ו וכמו שאומר בסוף ספר יצירה בארוכה, והעיינין מ"ה הוא בחכמה דכמו דעמודא דאמצעיתא הוא עיינין לשכינה תתאה כן הוא חכמה לשכינה עלאה וכמו שמפרש והולך ועוד וגביהן דא שכינתא כו' ועוד וגביהן דא אימא עילאה כו' וזה שכתוב וגבותם מלאות עינים, על שניהם, וגביהן וגבה כו', והוא כי גבוה מעל גבוה וגבוהים עליהם וכמו שמפרש והולך ועוד וגביהן דא שכינתא כו' אלא דשם מפרש וגובה להם על עמודא דאמצעיתא, ועל ג"ר לא פירש בפסוק זה אבל הוא כמו שאומר למטה ועוד וגביהן כו' שהוא ויראה להם על ג"ר וכמו שאומר למעלה ובג"ד וגביהן וגבה להם (וכאן הוא ע"ב ועל גבן ס"ג ועל גבן מ"ה, כי גבוה מעל גבוה כו' עיין לעיל קי"ט א' מה שבארנו שם, ולמטה מהם הויו"ת פשוטות, וחושבן כלם ג’ פעמים אלקים ובהם נמתקות) ויראה להם מההוא דאתמר כי גבוה כו' וגבוהים עליהם אבל כאן שרוצה לומר וגבותם מליאות עינים לא פירש ויראה להם:</w:t>
      </w:r>
    </w:p>
  </w:footnote>
  <w:footnote w:id="5374">
    <w:p w:rsidR="00A13282" w:rsidRDefault="00A13282" w:rsidP="006D2826">
      <w:pPr>
        <w:pStyle w:val="a5"/>
        <w:rPr>
          <w:rtl/>
        </w:rPr>
      </w:pPr>
      <w:r>
        <w:rPr>
          <w:rStyle w:val="a7"/>
          <w:rtl/>
        </w:rPr>
        <w:footnoteRef/>
      </w:r>
      <w:r>
        <w:rPr>
          <w:rtl/>
        </w:rPr>
        <w:t xml:space="preserve"> </w:t>
      </w:r>
      <w:r>
        <w:rPr>
          <w:b/>
          <w:bCs/>
          <w:rtl/>
        </w:rPr>
        <w:t>ועוד וגביהם דא כו' ומלכותו כו'.</w:t>
      </w:r>
      <w:r>
        <w:rPr>
          <w:rtl/>
        </w:rPr>
        <w:t xml:space="preserve"> ואית לה גבהות וממשלה על הכל:</w:t>
      </w:r>
    </w:p>
  </w:footnote>
  <w:footnote w:id="5375">
    <w:p w:rsidR="00A13282" w:rsidRDefault="00A13282" w:rsidP="006D2826">
      <w:pPr>
        <w:pStyle w:val="a5"/>
        <w:rPr>
          <w:rtl/>
        </w:rPr>
      </w:pPr>
      <w:r>
        <w:rPr>
          <w:rStyle w:val="a7"/>
          <w:rtl/>
        </w:rPr>
        <w:footnoteRef/>
      </w:r>
      <w:r>
        <w:rPr>
          <w:rtl/>
        </w:rPr>
        <w:t xml:space="preserve"> </w:t>
      </w:r>
      <w:r>
        <w:rPr>
          <w:b/>
          <w:bCs/>
          <w:rtl/>
        </w:rPr>
        <w:t>דאיהו כליל שית כו'.</w:t>
      </w:r>
      <w:r>
        <w:rPr>
          <w:rtl/>
        </w:rPr>
        <w:t xml:space="preserve"> רוצה לומר דהוא מקנן במט"ט דשם הם חיות, ומט"ט הוא ו"ק, שית אותיות דביה, שש שנים יעבוד, וזה שאומר דאיהו כליל כו':</w:t>
      </w:r>
    </w:p>
  </w:footnote>
  <w:footnote w:id="5376">
    <w:p w:rsidR="00A13282" w:rsidRDefault="00A13282" w:rsidP="006D2826">
      <w:pPr>
        <w:pStyle w:val="a5"/>
        <w:rPr>
          <w:rtl/>
        </w:rPr>
      </w:pPr>
      <w:r>
        <w:rPr>
          <w:rStyle w:val="a7"/>
          <w:rtl/>
        </w:rPr>
        <w:footnoteRef/>
      </w:r>
      <w:r>
        <w:rPr>
          <w:rtl/>
        </w:rPr>
        <w:t xml:space="preserve"> </w:t>
      </w:r>
      <w:r>
        <w:rPr>
          <w:b/>
          <w:bCs/>
          <w:rtl/>
        </w:rPr>
        <w:t>כתרא על ראשיהון.</w:t>
      </w:r>
      <w:r>
        <w:rPr>
          <w:rtl/>
        </w:rPr>
        <w:t xml:space="preserve"> רוצה לומר שזהו וגבותם מלאות עינים שהן ככוכבים וכמרגליות בריש כתרא כמו שאומר למעלה ואלו שלשה הן מקננין בכרסיא, ולמטה שפירש בג"ר פירש וגבותם באור צח כו':</w:t>
      </w:r>
    </w:p>
  </w:footnote>
  <w:footnote w:id="5377">
    <w:p w:rsidR="00A13282" w:rsidRDefault="00A13282" w:rsidP="006D2826">
      <w:pPr>
        <w:pStyle w:val="a5"/>
        <w:rPr>
          <w:rtl/>
        </w:rPr>
      </w:pPr>
      <w:r>
        <w:rPr>
          <w:rStyle w:val="a7"/>
          <w:rtl/>
        </w:rPr>
        <w:footnoteRef/>
      </w:r>
      <w:r>
        <w:rPr>
          <w:rtl/>
        </w:rPr>
        <w:t xml:space="preserve"> </w:t>
      </w:r>
      <w:r>
        <w:rPr>
          <w:b/>
          <w:bCs/>
          <w:rtl/>
        </w:rPr>
        <w:t>ועוד וגביהן דא אימא כו'.</w:t>
      </w:r>
      <w:r>
        <w:rPr>
          <w:rtl/>
        </w:rPr>
        <w:t xml:space="preserve"> דהכלל דבינה וזו"נ הן דוגמא דג"ר, וכמו כתר שרש לט' ספירות כן ג' אור כו' שורש לג"ר:</w:t>
      </w:r>
    </w:p>
  </w:footnote>
  <w:footnote w:id="5378">
    <w:p w:rsidR="00A13282" w:rsidRDefault="00A13282" w:rsidP="006D2826">
      <w:pPr>
        <w:pStyle w:val="a5"/>
        <w:rPr>
          <w:rtl/>
        </w:rPr>
      </w:pPr>
      <w:r>
        <w:rPr>
          <w:rStyle w:val="a7"/>
          <w:rtl/>
        </w:rPr>
        <w:footnoteRef/>
      </w:r>
      <w:r>
        <w:rPr>
          <w:rtl/>
        </w:rPr>
        <w:t xml:space="preserve"> </w:t>
      </w:r>
      <w:r>
        <w:rPr>
          <w:b/>
          <w:bCs/>
          <w:rtl/>
        </w:rPr>
        <w:t>דנהרין מלגאו כו'.</w:t>
      </w:r>
      <w:r>
        <w:rPr>
          <w:rtl/>
        </w:rPr>
        <w:t xml:space="preserve"> וזהו מליאות עינים, שעיינין הן רוחא דבגויה כמו נקודין באותיות, וכן כאן שג"ר הן לג' אור אלו כגופא לנשמתא, שכל אור חבירו כו' כמו שאומר בפ' בראשית, וזהו מלאות עינים שהוא מלא בפנים:</w:t>
      </w:r>
    </w:p>
  </w:footnote>
  <w:footnote w:id="5379">
    <w:p w:rsidR="00A13282" w:rsidRDefault="00A13282" w:rsidP="006D2826">
      <w:pPr>
        <w:pStyle w:val="a5"/>
        <w:rPr>
          <w:rtl/>
        </w:rPr>
      </w:pPr>
      <w:r>
        <w:rPr>
          <w:rStyle w:val="a7"/>
          <w:rtl/>
        </w:rPr>
        <w:footnoteRef/>
      </w:r>
      <w:r>
        <w:rPr>
          <w:rtl/>
        </w:rPr>
        <w:t xml:space="preserve"> </w:t>
      </w:r>
      <w:r>
        <w:rPr>
          <w:b/>
          <w:bCs/>
          <w:rtl/>
        </w:rPr>
        <w:t>ועוד וגביהון אלין שבעה גלדי כו'.</w:t>
      </w:r>
      <w:r>
        <w:rPr>
          <w:rtl/>
        </w:rPr>
        <w:t xml:space="preserve"> רוצה לומר וגביהן - גלדי עינא שהן זה על גבי זה, זהו וגביהן, וגבה להן - עפעפי וכרובי עינא שהן על עינא על ז' גלדי עינא, וגבותם מלאות עינים הוא העינא רוצה לומר ז' גלדי מלאות עינים, שהן ד' גווני עינא, והוא גבוה מעל גבוה כו' כמו שמפרש והולך שהן הוי"ה אדנ"י, וגבוהים עליהם - הוי"ה אהי"ה, והוא בת עין עם ז' גלדי עינא, ח' אותיות הוי"ה אהי"ה, וח' הוי"ה אדנ"י, ד' גוונין וד' עפעפים וכרובים, ואמר </w:t>
      </w:r>
      <w:r>
        <w:rPr>
          <w:b/>
          <w:bCs/>
          <w:rtl/>
        </w:rPr>
        <w:t>כרובי עינא ועפעפי עינא עלייהו כו'.</w:t>
      </w:r>
      <w:r>
        <w:rPr>
          <w:rtl/>
        </w:rPr>
        <w:t xml:space="preserve"> רוצה לומר הכרובים כרובי עינא פורשי כנפים עפעפי עינא:</w:t>
      </w:r>
    </w:p>
  </w:footnote>
  <w:footnote w:id="5380">
    <w:p w:rsidR="00A13282" w:rsidRDefault="00A13282" w:rsidP="006D2826">
      <w:pPr>
        <w:pStyle w:val="a5"/>
        <w:rPr>
          <w:rtl/>
        </w:rPr>
      </w:pPr>
      <w:r>
        <w:rPr>
          <w:rStyle w:val="a7"/>
          <w:rtl/>
        </w:rPr>
        <w:footnoteRef/>
      </w:r>
      <w:r>
        <w:rPr>
          <w:rtl/>
        </w:rPr>
        <w:t xml:space="preserve"> </w:t>
      </w:r>
      <w:r>
        <w:rPr>
          <w:b/>
          <w:bCs/>
          <w:rtl/>
        </w:rPr>
        <w:t>ופניהם איש אל אחיו</w:t>
      </w:r>
      <w:r>
        <w:rPr>
          <w:rtl/>
        </w:rPr>
        <w:t xml:space="preserve"> שהן חו"ב, והן בת עין עלאה ובת עין תתאה שהן פני אדם, והן איש אל אחיו, והן כל הקצוות, שכרובים - נו"ה, וכנפים - חו"ג כמו שאומר לקמן קכ"ז, והכפורת הוא הגלדי עינא והוא יסוד שהוא נקרא שבעה, שביעי דכלול שבעה כמו שאומר לעיל תיקון כ”ב ותיקון מ”ז ושאר מקומות הרבה, והוא דכליל שבעה גלדי עינא, והוא הכפורת כפורתא דעינא, וכפורת הוא יסוד שהכרובין הן לו מצדדין, והוא באמצע כידוע, ונשארו כתר ת"ת ומלכות והן ג' הגוונין, וזה שאומר </w:t>
      </w:r>
      <w:r>
        <w:rPr>
          <w:b/>
          <w:bCs/>
          <w:rtl/>
        </w:rPr>
        <w:t>תלת גוונין דעינא אינון כו',</w:t>
      </w:r>
      <w:r>
        <w:rPr>
          <w:rtl/>
        </w:rPr>
        <w:t xml:space="preserve"> ואמר </w:t>
      </w:r>
      <w:r>
        <w:rPr>
          <w:b/>
          <w:bCs/>
          <w:rtl/>
        </w:rPr>
        <w:t>כלל ופרט כו' יחוד כו'</w:t>
      </w:r>
      <w:r>
        <w:rPr>
          <w:rtl/>
        </w:rPr>
        <w:t xml:space="preserve"> דכמו שהן ברוחב בג' קוין כן הן באורך, כתר - יחוד כידוע, וברכה וקדושה שהן ימינא ושמאלא הן זו"נ שהן ימינא ושמאלא חו"ג, וכן כלל כו' כמו שמפרש והולך </w:t>
      </w:r>
      <w:r>
        <w:rPr>
          <w:b/>
          <w:bCs/>
          <w:rtl/>
        </w:rPr>
        <w:t>אהי"ה כלל הוי"ה פרט אדנ"י חזר וכלל</w:t>
      </w:r>
      <w:r>
        <w:rPr>
          <w:rtl/>
        </w:rPr>
        <w:t xml:space="preserve"> כמו שאומר בתיקון מ”ז דהחסדים וגבורות נכללין בדעת ואח"כ מתפרשין בעמודא דאמצעיתא ואח"כ נכללין בה דבה נעשין הכל אחד כמו שאומר לעיל, ואמר </w:t>
      </w:r>
      <w:r>
        <w:rPr>
          <w:b/>
          <w:bCs/>
          <w:rtl/>
        </w:rPr>
        <w:t>ועוד עינא כגוונא כו'</w:t>
      </w:r>
      <w:r>
        <w:rPr>
          <w:rtl/>
        </w:rPr>
        <w:t xml:space="preserve"> דעין כולל הכל, ועיין לעיל קכ"ה א', והן ג"כ כנ"ל ופניהם - מוחין, כרובין ועפעפים כמו שמפרש והולך וכפורת ברית ג' גוונין רב"ג ועיין בתיקוני זוהר חדש ע"ג ב' והיו הכרובים פורשי כנפים למעלה, מאן גדפין דלהון לעילא ימינא ושמאלא, סוככים בכנפיהם תרי סמכי קשוט, על הכפורת דא צדיק דצריך לכסאה ליה, ופניהם איש אל אחיו אינון חו"ב דאינון אנפין דכרובין כו', וזה שאומר </w:t>
      </w:r>
      <w:r>
        <w:rPr>
          <w:b/>
          <w:bCs/>
          <w:rtl/>
        </w:rPr>
        <w:t>אלין מסככים ואלין פרחין,</w:t>
      </w:r>
      <w:r>
        <w:rPr>
          <w:rtl/>
        </w:rPr>
        <w:t xml:space="preserve"> דבידים שהן הכנפים - פרחין, ובשוקין - מסככין לצדיק וכמו שכתוב ובשתים יכסה רגליו, ובשתים יעופף שהן חו"ג, כי ו' הן בקצוות, חח"נ בג"ה, חו"ב ונו"ה הן בשתים יכסה פניו ובשתים יכסה רגליו, וחו"ג הן בשתים יעופף כי הכנפים הן במקום הידים, וכן הן בעינא, בכרובין מסככין את העין, ובעפעפים פרחין רוצה לומר פתחין וסגרין וכמו שאומר לעיל תיקון ד’ פתחו לי ודאי אינון תרי עפעפי עינא דאינון פתחין וסגרין ועלייהו אתמר והיו הכרובים פורשי כנפים עפעפי עינא כו':</w:t>
      </w:r>
    </w:p>
  </w:footnote>
  <w:footnote w:id="5381">
    <w:p w:rsidR="00A13282" w:rsidRDefault="00A13282" w:rsidP="006D2826">
      <w:pPr>
        <w:pStyle w:val="a5"/>
        <w:rPr>
          <w:rtl/>
        </w:rPr>
      </w:pPr>
      <w:r>
        <w:rPr>
          <w:rStyle w:val="a7"/>
          <w:rtl/>
        </w:rPr>
        <w:footnoteRef/>
      </w:r>
      <w:r>
        <w:rPr>
          <w:rtl/>
        </w:rPr>
        <w:t xml:space="preserve"> </w:t>
      </w:r>
      <w:r>
        <w:rPr>
          <w:b/>
          <w:bCs/>
          <w:rtl/>
        </w:rPr>
        <w:t>ולבש הכהן.</w:t>
      </w:r>
      <w:r>
        <w:rPr>
          <w:rtl/>
        </w:rPr>
        <w:t xml:space="preserve"> כמו שאומר דאינון לבושי עינא, ואתמר בכהן דלא יהא ביה מומא כמו שאמרו (בכורות ג ע"ב) שיהא שוה בזרעו של אהרן, ואמר </w:t>
      </w:r>
      <w:r>
        <w:rPr>
          <w:b/>
          <w:bCs/>
          <w:rtl/>
        </w:rPr>
        <w:t xml:space="preserve">דאינון ד"ו פרצופין </w:t>
      </w:r>
      <w:r>
        <w:rPr>
          <w:rtl/>
        </w:rPr>
        <w:t>שלא יהא ג"כ כרוב אחד גדול מחבירו כמו שאמרו (שה"ש רבה פרשה ה) תמתי תאומתי לא היא גדולה כו', וכרובין ד"ו פרצופין היו והיו ג"כ שוין:</w:t>
      </w:r>
    </w:p>
  </w:footnote>
  <w:footnote w:id="5382">
    <w:p w:rsidR="00A13282" w:rsidRDefault="00A13282" w:rsidP="006D2826">
      <w:pPr>
        <w:pStyle w:val="a5"/>
        <w:rPr>
          <w:rtl/>
        </w:rPr>
      </w:pPr>
      <w:r>
        <w:rPr>
          <w:rStyle w:val="a7"/>
          <w:rtl/>
        </w:rPr>
        <w:footnoteRef/>
      </w:r>
      <w:r>
        <w:rPr>
          <w:rtl/>
        </w:rPr>
        <w:t xml:space="preserve"> </w:t>
      </w:r>
      <w:r>
        <w:rPr>
          <w:b/>
          <w:bCs/>
          <w:rtl/>
        </w:rPr>
        <w:t>דגודל איהו מדה כו'.</w:t>
      </w:r>
      <w:r>
        <w:rPr>
          <w:rtl/>
        </w:rPr>
        <w:t xml:space="preserve"> רוצה לומר, דאמר (דברים כה יד) איפה ואיפה גדולה וקטנה, דהזהיר הכתוב שלא יהיה לך ב' מדות, לזה למכור בגדולה ולזה בקטנה, והוא כמו שמפרש והולך דעיינין חוטמא כו' - הכל יהיה במדה אחד, והוא בגודל, כמו שמפרש והולך האי כו' ונראה דצריך לומר </w:t>
      </w:r>
      <w:r>
        <w:rPr>
          <w:b/>
          <w:bCs/>
          <w:rtl/>
        </w:rPr>
        <w:t>דאצבע איהו מדה כו'</w:t>
      </w:r>
      <w:r>
        <w:rPr>
          <w:rtl/>
        </w:rPr>
        <w:t xml:space="preserve"> ועיין לעיל קכ"א ב':</w:t>
      </w:r>
    </w:p>
  </w:footnote>
  <w:footnote w:id="5383">
    <w:p w:rsidR="00A13282" w:rsidRDefault="00A13282" w:rsidP="006D2826">
      <w:pPr>
        <w:pStyle w:val="a5"/>
        <w:rPr>
          <w:rtl/>
        </w:rPr>
      </w:pPr>
      <w:r>
        <w:rPr>
          <w:rStyle w:val="a7"/>
          <w:rtl/>
        </w:rPr>
        <w:footnoteRef/>
      </w:r>
      <w:r>
        <w:rPr>
          <w:rtl/>
        </w:rPr>
        <w:t xml:space="preserve"> </w:t>
      </w:r>
      <w:r>
        <w:rPr>
          <w:b/>
          <w:bCs/>
          <w:rtl/>
        </w:rPr>
        <w:t>ועל כנפי כו'.</w:t>
      </w:r>
      <w:r>
        <w:rPr>
          <w:rtl/>
        </w:rPr>
        <w:t xml:space="preserve"> דאינון סגרין ופתחין, מלאכים שליחן, וכל נענוע הוא בנקודין דאינון מסטרא דרוח:</w:t>
      </w:r>
    </w:p>
  </w:footnote>
  <w:footnote w:id="5384">
    <w:p w:rsidR="00A13282" w:rsidRDefault="00A13282" w:rsidP="006D2826">
      <w:pPr>
        <w:pStyle w:val="a5"/>
        <w:rPr>
          <w:rtl/>
        </w:rPr>
      </w:pPr>
      <w:r>
        <w:rPr>
          <w:rStyle w:val="a7"/>
          <w:rtl/>
        </w:rPr>
        <w:footnoteRef/>
      </w:r>
      <w:r>
        <w:rPr>
          <w:rtl/>
        </w:rPr>
        <w:t xml:space="preserve"> </w:t>
      </w:r>
      <w:r>
        <w:rPr>
          <w:b/>
          <w:bCs/>
          <w:rtl/>
        </w:rPr>
        <w:t>אש לוהט אלין כו'.</w:t>
      </w:r>
      <w:r>
        <w:rPr>
          <w:rtl/>
        </w:rPr>
        <w:t xml:space="preserve"> שגוונין דעינא הן גוונין דאשא כמו שאומר לקמן קכ"ה א' ב':</w:t>
      </w:r>
    </w:p>
  </w:footnote>
  <w:footnote w:id="5385">
    <w:p w:rsidR="00A13282" w:rsidRDefault="00A13282" w:rsidP="006D2826">
      <w:pPr>
        <w:pStyle w:val="a5"/>
        <w:rPr>
          <w:rtl/>
        </w:rPr>
      </w:pPr>
      <w:r>
        <w:rPr>
          <w:rStyle w:val="a7"/>
          <w:rtl/>
        </w:rPr>
        <w:footnoteRef/>
      </w:r>
      <w:r>
        <w:rPr>
          <w:rtl/>
        </w:rPr>
        <w:t xml:space="preserve"> </w:t>
      </w:r>
      <w:r>
        <w:rPr>
          <w:b/>
          <w:bCs/>
          <w:rtl/>
        </w:rPr>
        <w:t>ועינא לקבל לבא כו'.</w:t>
      </w:r>
      <w:r>
        <w:rPr>
          <w:rtl/>
        </w:rPr>
        <w:t xml:space="preserve"> כמו שאומר לעיל תיקון כ”ה ותיקון כ”ח וברעיא מהימנא פ' פנחס דלבא הוא נור דליק והוא לקביל גווני דעינא, וריאה דנשבי עליה בכנפים הן נגד כנפי עינא והן מלאכיו רוחות דכנפי ריאה דשם רוח, ומשרתיו אש לוהט הוא לבא כנ"ל, וזה שאומר ובכנפי ריאה כו' ועיין ברעיא מהימנא שם והן נגד רוח ונפש, דנפש איהי אש לוהט, גוון תכלת ועיין בתיקון ה’ מה שבארנו שם:</w:t>
      </w:r>
    </w:p>
  </w:footnote>
  <w:footnote w:id="5386">
    <w:p w:rsidR="00A13282" w:rsidRDefault="00A13282" w:rsidP="006D2826">
      <w:pPr>
        <w:pStyle w:val="a5"/>
        <w:rPr>
          <w:rtl/>
        </w:rPr>
      </w:pPr>
      <w:r>
        <w:rPr>
          <w:rStyle w:val="a7"/>
          <w:rtl/>
        </w:rPr>
        <w:footnoteRef/>
      </w:r>
      <w:r>
        <w:rPr>
          <w:rtl/>
        </w:rPr>
        <w:t xml:space="preserve"> </w:t>
      </w:r>
      <w:r>
        <w:rPr>
          <w:b/>
          <w:bCs/>
          <w:rtl/>
        </w:rPr>
        <w:t>עולה איהו דא.</w:t>
      </w:r>
      <w:r>
        <w:rPr>
          <w:rtl/>
        </w:rPr>
        <w:t xml:space="preserve"> דשקר הוא בדבר אחד, שמשקר בו, אבל אם מודד לאחד בזו ולאחר באחרת הוא עולה, ולכן נאמר שם כי תועבת כו' כל עושה עול, ומפרש והולך ובג"ד לא תעשו כו':</w:t>
      </w:r>
    </w:p>
  </w:footnote>
  <w:footnote w:id="5387">
    <w:p w:rsidR="00A13282" w:rsidRDefault="00A13282" w:rsidP="006D2826">
      <w:pPr>
        <w:pStyle w:val="a5"/>
        <w:rPr>
          <w:rtl/>
        </w:rPr>
      </w:pPr>
      <w:r>
        <w:rPr>
          <w:rStyle w:val="a7"/>
          <w:rtl/>
        </w:rPr>
        <w:footnoteRef/>
      </w:r>
      <w:r>
        <w:rPr>
          <w:rtl/>
        </w:rPr>
        <w:t xml:space="preserve"> </w:t>
      </w:r>
      <w:r>
        <w:rPr>
          <w:b/>
          <w:bCs/>
          <w:rtl/>
        </w:rPr>
        <w:t>דא מדה דשיעור קומה.</w:t>
      </w:r>
      <w:r>
        <w:rPr>
          <w:rtl/>
        </w:rPr>
        <w:t xml:space="preserve"> שיהא האברים לפי גופו כנ"ל וכמו שאמרו בגמ' (בכורות מד ע"א) גופו גדול מאבריו או קטן כו' וכמו שמפרש והולך </w:t>
      </w:r>
      <w:r>
        <w:rPr>
          <w:b/>
          <w:bCs/>
          <w:rtl/>
        </w:rPr>
        <w:t>דע"ס דלעילא כו'</w:t>
      </w:r>
      <w:r>
        <w:rPr>
          <w:rtl/>
        </w:rPr>
        <w:t xml:space="preserve"> הכל במדה אחת:</w:t>
      </w:r>
    </w:p>
  </w:footnote>
  <w:footnote w:id="5388">
    <w:p w:rsidR="00A13282" w:rsidRDefault="00A13282" w:rsidP="006D2826">
      <w:pPr>
        <w:pStyle w:val="a5"/>
        <w:rPr>
          <w:rtl/>
        </w:rPr>
      </w:pPr>
      <w:r>
        <w:rPr>
          <w:rStyle w:val="a7"/>
          <w:rtl/>
        </w:rPr>
        <w:footnoteRef/>
      </w:r>
      <w:r>
        <w:rPr>
          <w:rtl/>
        </w:rPr>
        <w:t xml:space="preserve"> </w:t>
      </w:r>
      <w:r>
        <w:rPr>
          <w:b/>
          <w:bCs/>
          <w:rtl/>
        </w:rPr>
        <w:t>במדה מסט' כו'.</w:t>
      </w:r>
      <w:r>
        <w:rPr>
          <w:rtl/>
        </w:rPr>
        <w:t xml:space="preserve"> דמדה הוא בחלל הכלי דהוא צורת יוד, </w:t>
      </w:r>
      <w:r>
        <w:rPr>
          <w:b/>
          <w:bCs/>
          <w:rtl/>
        </w:rPr>
        <w:t>ומשקל</w:t>
      </w:r>
      <w:r>
        <w:rPr>
          <w:rtl/>
        </w:rPr>
        <w:t xml:space="preserve"> הוא בלשון המשקל ולשון חק כו' שהוא כף זכות וכף חובה שהן י' אצבעות מב' הידים ה' נגד ה' כמו שאומר בספר יצירה וכמו שאומר למטה, וזה שאומר תרי מאזני השקל כו' וכמו שמפרש והולך </w:t>
      </w:r>
      <w:r>
        <w:rPr>
          <w:b/>
          <w:bCs/>
          <w:rtl/>
        </w:rPr>
        <w:t>ת"ח י'</w:t>
      </w:r>
      <w:r>
        <w:rPr>
          <w:rtl/>
        </w:rPr>
        <w:t xml:space="preserve"> </w:t>
      </w:r>
      <w:r>
        <w:rPr>
          <w:b/>
          <w:bCs/>
          <w:rtl/>
        </w:rPr>
        <w:t xml:space="preserve">איהו רישא כו' </w:t>
      </w:r>
      <w:r>
        <w:rPr>
          <w:rtl/>
        </w:rPr>
        <w:t>דכל נוקבין דרישא הכל ביוד כמו שאומר למעלה דאינון צורת יו"ד, ושם ציורין דנקודין, וכן הרישא בעצמה יוד, והגוף וא"ו וכן כל מדותיו כו' והאצבעאן כו' והגוף הוא לשון חק שמכריע בין הידים, ספר וספר כו' כמו שאומר בספר יצירה וכן פירש למטה בעיינין ולפי שרוצה לכלול מדה ומשקל אבל בכל אחד הוי"ה שלימה, דאבן המשקל הוא יו"ד, וכן במדה - ב' מדות, הלח והיבש שניהם בכלי הוא ב' ההי"ן כמו כנפי המשקל, ומדות האמה באמה הוא וא"ו, והמדה בכללו יוד כנ"ל:</w:t>
      </w:r>
    </w:p>
  </w:footnote>
  <w:footnote w:id="5389">
    <w:p w:rsidR="00A13282" w:rsidRDefault="00A13282" w:rsidP="006D2826">
      <w:pPr>
        <w:pStyle w:val="a5"/>
        <w:rPr>
          <w:rtl/>
        </w:rPr>
      </w:pPr>
      <w:r>
        <w:rPr>
          <w:rStyle w:val="a7"/>
          <w:rtl/>
        </w:rPr>
        <w:footnoteRef/>
      </w:r>
      <w:r>
        <w:rPr>
          <w:rtl/>
        </w:rPr>
        <w:t xml:space="preserve"> </w:t>
      </w:r>
      <w:r>
        <w:rPr>
          <w:b/>
          <w:bCs/>
          <w:rtl/>
        </w:rPr>
        <w:t>ת"ח יוד איהי רישא כו'.</w:t>
      </w:r>
      <w:r>
        <w:rPr>
          <w:rtl/>
        </w:rPr>
        <w:t xml:space="preserve"> כולל כל הגוף בשם הוי"ה. רישא וגופא וידין ועיין לעיל סוף תיקון כ”ב:</w:t>
      </w:r>
    </w:p>
  </w:footnote>
  <w:footnote w:id="5390">
    <w:p w:rsidR="00A13282" w:rsidRDefault="00A13282" w:rsidP="006D2826">
      <w:pPr>
        <w:pStyle w:val="a5"/>
        <w:rPr>
          <w:rtl/>
        </w:rPr>
      </w:pPr>
      <w:r>
        <w:rPr>
          <w:rStyle w:val="a7"/>
          <w:rtl/>
        </w:rPr>
        <w:footnoteRef/>
      </w:r>
      <w:r>
        <w:rPr>
          <w:rtl/>
        </w:rPr>
        <w:t xml:space="preserve"> </w:t>
      </w:r>
      <w:r>
        <w:rPr>
          <w:b/>
          <w:bCs/>
          <w:rtl/>
        </w:rPr>
        <w:t>ובג"ד לא י"ל בכיסך כו'.</w:t>
      </w:r>
      <w:r>
        <w:rPr>
          <w:rtl/>
        </w:rPr>
        <w:t xml:space="preserve"> רוצה לומר כמו שמפרש והולך שלא יהיה אחד בפה ואחד בלב, דאבן הוא יו"ד, מחשבה, וכן דבור כמו שאומר לעיל ריש תיקון כ”ב ושאר מקומות, ואמר בכיסך - ב' כיס, פה ולב כמו שמפרש והולך, ופסוק הראשון לא יהיה לך בביתך - דריש על הגוף, והשני - על הנשמה, דיש שהגוף טוב והפנימית רע כמו שאומר לעיל צ"ו ב' ואית מפומוי טב ולבא ביש האי איהו עץ הדעת טוב ורע הכא מקנן נחש רמאי הכי איהו בר נש דתשכח ליה גופא שפיר וסימנין דיליה כלהו שפירין במדה ונשמתיה נפש חייבא מלגאו כו', וזה שאומר כאן </w:t>
      </w:r>
      <w:r>
        <w:rPr>
          <w:b/>
          <w:bCs/>
          <w:rtl/>
        </w:rPr>
        <w:t>דודאי איהו מאילנא טו"ר כו'</w:t>
      </w:r>
      <w:r>
        <w:rPr>
          <w:rtl/>
        </w:rPr>
        <w:t xml:space="preserve"> ואמר </w:t>
      </w:r>
      <w:r>
        <w:rPr>
          <w:b/>
          <w:bCs/>
          <w:rtl/>
        </w:rPr>
        <w:t>דמערב כספא כו'</w:t>
      </w:r>
      <w:r>
        <w:rPr>
          <w:rtl/>
        </w:rPr>
        <w:t xml:space="preserve"> שהיא לערב ולרמות ותוכו עופרת ועיין לעיל ק"ב א' ועל האי אדם כו', וזה שאומר ודא איהו חטא אדם הראשון כו', ואמר </w:t>
      </w:r>
      <w:r>
        <w:rPr>
          <w:b/>
          <w:bCs/>
          <w:rtl/>
        </w:rPr>
        <w:t>עד דאתא אברהם כו'</w:t>
      </w:r>
      <w:r>
        <w:rPr>
          <w:rtl/>
        </w:rPr>
        <w:t xml:space="preserve"> דאצטרפו עד דיהו מזוקקים מן העופרת וכמו שאומר לעיל ריש תיקון ס"ט מצרף לכסף וכור לזהב שהן אברהם ויצחק עיין שם בדבריו, ואמר </w:t>
      </w:r>
      <w:r>
        <w:rPr>
          <w:b/>
          <w:bCs/>
          <w:rtl/>
        </w:rPr>
        <w:t xml:space="preserve">ביעקב נח כו' </w:t>
      </w:r>
      <w:r>
        <w:rPr>
          <w:rtl/>
        </w:rPr>
        <w:t xml:space="preserve">שמטתו שלמה, ועליו נאמר תתן אמת ליעקב, פיו ולבו שוין, שארית ישראל לא יעשו עולה ולא ידברו כזב, והוא השקר והעולה הנ"ל, והצטרפות שלו היה בעשו שהלך עמו בעוקבא שלכן נקרא יעקב ואח"כ כשנצרף נקרא ישראל ישר אל, וכן ישורון אלא שזה מצד החסד וזה מצד הגבורה כמו שכתבתי במקום אחר אבל שניהם ישרים, שהוא המכריע, שלפי שאברהם ויצחק יש בהן נטיה, לכן היו בהן סיג, כי שניהם אינון כחוק, כמו שכתוב ריש ועושר אל תתן לי פן כו', השפעת עליהם כו', וענין הצטרפות הכסף והזהב כנ"ל וכמו שאומר כאן דאתערב בטפה חוורא כספא כו' אתערב ערבוביא כו' הוא התערבות בחו"ג, טפה דדכורא ודנוק', וזה שאומר חטא דחוה כו' ואתמר באדם כו' ועיין בזוהר חדש פ' יתרו כ"ט א' בארוכה, ועיין מה שבארנו לעיל סוף תיקון ל”ז ויעקב הוא מסטרא דמוחין, דחו"ג הן דעת, ומוחין - חיים, וזה שאומר </w:t>
      </w:r>
      <w:r>
        <w:rPr>
          <w:b/>
          <w:bCs/>
          <w:rtl/>
        </w:rPr>
        <w:t>ואתרבי עה"ח כו'</w:t>
      </w:r>
      <w:r>
        <w:rPr>
          <w:rtl/>
        </w:rPr>
        <w:t xml:space="preserve"> וג' אבהן הן ד' בתים דתפילין, ואמר </w:t>
      </w:r>
      <w:r>
        <w:rPr>
          <w:b/>
          <w:bCs/>
          <w:rtl/>
        </w:rPr>
        <w:t>בענפוי ושרשוי</w:t>
      </w:r>
      <w:r>
        <w:rPr>
          <w:rtl/>
        </w:rPr>
        <w:t xml:space="preserve"> ביה ובבניו ועיין לעיל ק"ה ב':</w:t>
      </w:r>
    </w:p>
  </w:footnote>
  <w:footnote w:id="5391">
    <w:p w:rsidR="00A13282" w:rsidRDefault="00A13282" w:rsidP="006D2826">
      <w:pPr>
        <w:pStyle w:val="a5"/>
        <w:rPr>
          <w:rtl/>
        </w:rPr>
      </w:pPr>
      <w:r>
        <w:rPr>
          <w:rStyle w:val="a7"/>
          <w:rtl/>
        </w:rPr>
        <w:footnoteRef/>
      </w:r>
      <w:r>
        <w:rPr>
          <w:rtl/>
        </w:rPr>
        <w:t xml:space="preserve"> </w:t>
      </w:r>
      <w:r>
        <w:rPr>
          <w:b/>
          <w:bCs/>
          <w:rtl/>
        </w:rPr>
        <w:t>עיינין בעגולא כו'.</w:t>
      </w:r>
      <w:r>
        <w:rPr>
          <w:rtl/>
        </w:rPr>
        <w:t xml:space="preserve"> עתה מפרש מה שאמר למעלה במדה מסטרא דאת י' כו' עיינין דהוא בעגולא במדה, ובאריכו במשקל:</w:t>
      </w:r>
    </w:p>
  </w:footnote>
  <w:footnote w:id="5392">
    <w:p w:rsidR="00A13282" w:rsidRDefault="00A13282" w:rsidP="006D2826">
      <w:pPr>
        <w:pStyle w:val="a5"/>
        <w:rPr>
          <w:rtl/>
        </w:rPr>
      </w:pPr>
      <w:r>
        <w:rPr>
          <w:rStyle w:val="a7"/>
          <w:rtl/>
        </w:rPr>
        <w:footnoteRef/>
      </w:r>
      <w:r>
        <w:rPr>
          <w:rtl/>
        </w:rPr>
        <w:t xml:space="preserve"> </w:t>
      </w:r>
      <w:r>
        <w:rPr>
          <w:b/>
          <w:bCs/>
          <w:rtl/>
        </w:rPr>
        <w:t>במדה במשקל כו'.</w:t>
      </w:r>
      <w:r>
        <w:rPr>
          <w:rtl/>
        </w:rPr>
        <w:t xml:space="preserve"> דבאלו שנים הן הוי"ה כנ"ל וכן בכל אבר וכמו שמפרש והולך, ואמר שכן הוא בדבורא דפומא:</w:t>
      </w:r>
    </w:p>
  </w:footnote>
  <w:footnote w:id="5393">
    <w:p w:rsidR="00A13282" w:rsidRDefault="00A13282" w:rsidP="006D2826">
      <w:pPr>
        <w:pStyle w:val="a5"/>
        <w:rPr>
          <w:rtl/>
        </w:rPr>
      </w:pPr>
      <w:r>
        <w:rPr>
          <w:rStyle w:val="a7"/>
          <w:rtl/>
        </w:rPr>
        <w:footnoteRef/>
      </w:r>
      <w:r>
        <w:rPr>
          <w:rtl/>
        </w:rPr>
        <w:t xml:space="preserve"> </w:t>
      </w:r>
      <w:r>
        <w:rPr>
          <w:b/>
          <w:bCs/>
          <w:rtl/>
        </w:rPr>
        <w:t>ואיהו במדה ובמשקל דדבורא קלא איהו שקל מדה דבור כו'.</w:t>
      </w:r>
      <w:r>
        <w:rPr>
          <w:rtl/>
        </w:rPr>
        <w:t xml:space="preserve"> והענין כי יו"ד של הוי"ה כאן הוא בנוק' של ההוי"ה, שהמדה הוא ממטה למעלה וכמו שאומר לעיל תיקון ה’, וזה שאומר יו"ד הוא עיינין בעגולא וכמו שאומר לקמן קכ"ד א' זעירין בעגולא שונאי בצע, מסטרא דאת יו"ד, ודוד מסטרא כו' הוא הקטן, ואמר שם למעלה דג' שרטוטין אחרים, שרטוטין באורכא כו' מסטרא דתלת אתוון דאינון הו"ה והן דדכורא, ויוד הוא אות רביעית של השם דנוק', והנה השם הוא בשתים, דו"נ, וכן הוא בדבורא, שמדה יו"ד הוא דבור, וג' אתוון הוא בקלא בשקל, וכן בכל אבר, והוא זו"נ בהוי"ה, ז"א - יה"ו וה' נוק', ולכן מחלקן במדה באות אחת ובמשקל בג' אתוון, מתרין הבלין דאינון אמירה וקריאה שייכין לקלא וכן כנפי עינא לאריכו דעיינין שצריכין להיות לפי מדתן כנ"ל:</w:t>
      </w:r>
    </w:p>
  </w:footnote>
  <w:footnote w:id="5394">
    <w:p w:rsidR="00A13282" w:rsidRDefault="00A13282" w:rsidP="006D2826">
      <w:pPr>
        <w:pStyle w:val="a5"/>
        <w:rPr>
          <w:rtl/>
        </w:rPr>
      </w:pPr>
      <w:r>
        <w:rPr>
          <w:rStyle w:val="a7"/>
          <w:rtl/>
        </w:rPr>
        <w:footnoteRef/>
      </w:r>
      <w:r>
        <w:rPr>
          <w:rtl/>
        </w:rPr>
        <w:t xml:space="preserve"> </w:t>
      </w:r>
      <w:r>
        <w:rPr>
          <w:b/>
          <w:bCs/>
          <w:rtl/>
        </w:rPr>
        <w:t>גוונין דעינא כו'.</w:t>
      </w:r>
      <w:r>
        <w:rPr>
          <w:rtl/>
        </w:rPr>
        <w:t xml:space="preserve"> עתה מסיים דיוקנא דעיינין ומפרש והולך כל הגוונין דעיינין שהן ה' גוונין, כמו שאומר לעיל, וב' כנפי עינא הן בז"ת נגד ז' כוכבים דנהרין בעיינין, וג"ר כבר כתב למעלה שהן ב' אנפין דכרובים, ב' בת עין, ואור דנהיר בהון א' כתר, ואמר </w:t>
      </w:r>
      <w:r>
        <w:rPr>
          <w:b/>
          <w:bCs/>
          <w:rtl/>
        </w:rPr>
        <w:t>חוור לבנה</w:t>
      </w:r>
      <w:r>
        <w:rPr>
          <w:rtl/>
        </w:rPr>
        <w:t xml:space="preserve"> שהיא חוורא וכן כל כוכב בגוונא דיליה, ולבנה היא כוכב ראשון באצילותה, וצדק אחרון, (ישעיהו מא ב) צדק יקראהו לרגלו, (שבת קנו ע"ב) ובימי אברהם אתהדר צדק למזרח וכמו שאומר בספר יצירה יום א' לבנה, ואמר </w:t>
      </w:r>
      <w:r>
        <w:rPr>
          <w:b/>
          <w:bCs/>
          <w:rtl/>
        </w:rPr>
        <w:t>ואינון כגוונא דחסד כו'.</w:t>
      </w:r>
      <w:r>
        <w:rPr>
          <w:rtl/>
        </w:rPr>
        <w:t xml:space="preserve"> והנה חגת"ם הוא המרכבה של הד' גוונין אלו, ויסוד הוא נגד בינה שהיא הרוכב ומאיר בגוונין, והיא גוון אוכם כמו שאומר לעיל קכ"ג ב' גוון חוור מסטרא דחסד כו' אוכם מסטרא דאימא כו', ואימא מלכא דשלמא דיליה לכן הוא ביסוד, ואלו ה' גוונין נגד ארגמ"ן, המרכבה והרוכב, ויוסף הוא הרוכב במרכבת המשנה כמו שכתוב וירכיבהו כו', ואמר </w:t>
      </w:r>
      <w:r>
        <w:rPr>
          <w:b/>
          <w:bCs/>
          <w:rtl/>
        </w:rPr>
        <w:t>תרי כרובי עינא כו'</w:t>
      </w:r>
      <w:r>
        <w:rPr>
          <w:rtl/>
        </w:rPr>
        <w:t xml:space="preserve"> כי נו"ה הן ערבה שאין בהן טעם וריח אלא הן אפיקי מים והן כנישו לכולהו כו' לכן אין גוון נגדן רק הן לכסות ולכללן בגוון:</w:t>
      </w:r>
    </w:p>
  </w:footnote>
  <w:footnote w:id="5395">
    <w:p w:rsidR="00A13282" w:rsidRDefault="00A13282" w:rsidP="006D2826">
      <w:pPr>
        <w:pStyle w:val="a5"/>
        <w:rPr>
          <w:rtl/>
        </w:rPr>
      </w:pPr>
      <w:r>
        <w:rPr>
          <w:rStyle w:val="a7"/>
          <w:rtl/>
        </w:rPr>
        <w:footnoteRef/>
      </w:r>
      <w:r>
        <w:rPr>
          <w:rtl/>
        </w:rPr>
        <w:t xml:space="preserve"> </w:t>
      </w:r>
      <w:r>
        <w:rPr>
          <w:b/>
          <w:bCs/>
          <w:rtl/>
        </w:rPr>
        <w:t>אינון שבע כפולות.</w:t>
      </w:r>
      <w:r>
        <w:rPr>
          <w:rtl/>
        </w:rPr>
        <w:t xml:space="preserve"> והוא ז' הנ"ל וז' גלדי עינא שהן שבע בשבע מוצקות וכמו שמפרש והולך ואינון שבעה ושבעה מוצקות, ואמר </w:t>
      </w:r>
      <w:r>
        <w:rPr>
          <w:b/>
          <w:bCs/>
          <w:rtl/>
        </w:rPr>
        <w:t>ובהון והחיות</w:t>
      </w:r>
      <w:r>
        <w:rPr>
          <w:rtl/>
        </w:rPr>
        <w:t xml:space="preserve"> שהן סגירו ופתיחו דעיינין, כי הסגירו הוא בדגש והוא רצוא, כי סגירו - חזון, בעיינין סתימין, אספקלריא דלא נהרא, ופתיחו - נבואה, בפתיחו דעיינין אספקלריא דנהרא ועיין לעיל ריש תיקון י”ח ונבואה וחזון בעיינין, (שמואל א ט ט) לפנים יקרא רואה, ועיינין סתימין הן צורת יו"ד דגש, ופתיחו דעיינין צורת וא"ו רפה ועיין לעיל סוף תיקון ה’ ואמר והכי אינון מס"א כנ"ל דאית עיינין וגוונין דס"א ועיין לעיל קכ"ג ב' ובזוהר חדש שם בארוכה, ומפרש בכל ענין שהוא כנגדן בס"א ואמר </w:t>
      </w:r>
      <w:r>
        <w:rPr>
          <w:b/>
          <w:bCs/>
          <w:rtl/>
        </w:rPr>
        <w:t>והכי אינון שבע ארעין דגיהנם ושבע כו'.</w:t>
      </w:r>
      <w:r>
        <w:rPr>
          <w:rtl/>
        </w:rPr>
        <w:t xml:space="preserve"> דהיכלין, בין בקדושה בין בס"א - אינון רקיעים כמו שאומר בפ' בראשית ובפ' פנחס, ואמר דמתמן הוה מתנבא כו' שהוא בעיינין דמשם הוא הנבואה והחזון דאמר (במדבר כד ד) מחזה כו' וגלוי עינים, וגיהנם הוא בארעין, ז' ארצות הידועים כמו שאומר בפ' בראשית, ואמר </w:t>
      </w:r>
      <w:r>
        <w:rPr>
          <w:b/>
          <w:bCs/>
          <w:rtl/>
        </w:rPr>
        <w:t>וככביא דלהון כו'.</w:t>
      </w:r>
      <w:r>
        <w:rPr>
          <w:rtl/>
        </w:rPr>
        <w:t xml:space="preserve"> הן ז' כוכבים הנ"ל ברקיע דס"א:</w:t>
      </w:r>
    </w:p>
  </w:footnote>
  <w:footnote w:id="5396">
    <w:p w:rsidR="00A13282" w:rsidRDefault="00A13282" w:rsidP="006D2826">
      <w:pPr>
        <w:pStyle w:val="a5"/>
        <w:rPr>
          <w:rtl/>
        </w:rPr>
      </w:pPr>
      <w:r>
        <w:rPr>
          <w:rStyle w:val="a7"/>
          <w:rtl/>
        </w:rPr>
        <w:footnoteRef/>
      </w:r>
      <w:r>
        <w:rPr>
          <w:rtl/>
        </w:rPr>
        <w:t xml:space="preserve"> </w:t>
      </w:r>
      <w:r>
        <w:rPr>
          <w:b/>
          <w:bCs/>
          <w:rtl/>
        </w:rPr>
        <w:t>דאתבריאו בשמא דיהו"ה.</w:t>
      </w:r>
      <w:r>
        <w:rPr>
          <w:rtl/>
        </w:rPr>
        <w:t xml:space="preserve"> דהוא בראשי תיבות, ועיין מה שבארנו לעיל בתיקון נ”א:</w:t>
      </w:r>
    </w:p>
  </w:footnote>
  <w:footnote w:id="5397">
    <w:p w:rsidR="00A13282" w:rsidRDefault="00A13282" w:rsidP="006D2826">
      <w:pPr>
        <w:pStyle w:val="a5"/>
        <w:rPr>
          <w:rtl/>
        </w:rPr>
      </w:pPr>
      <w:r>
        <w:rPr>
          <w:rStyle w:val="a7"/>
          <w:rtl/>
        </w:rPr>
        <w:footnoteRef/>
      </w:r>
      <w:r>
        <w:rPr>
          <w:rtl/>
        </w:rPr>
        <w:t xml:space="preserve"> </w:t>
      </w:r>
      <w:r>
        <w:rPr>
          <w:b/>
          <w:bCs/>
          <w:rtl/>
        </w:rPr>
        <w:t>לקבלייהו ארבע כו'.</w:t>
      </w:r>
      <w:r>
        <w:rPr>
          <w:rtl/>
        </w:rPr>
        <w:t xml:space="preserve"> רוצה לומר ג"כ באלו הד' הגוונין אלא שבס"א שהן בחשוכין אנפין וכמו שמפרש והולך דבימינא הוא כספא, ודס"א - עופרת, עבים וגסים גדולים ועבים, והן הפוכא דע"ב ס"ג חושבן קל"ה, ואינון כבדים, ואמר מסטרא דימינא מוחא כו' ורוצה לומר והן פסולת, מוניטא דשקרא, עופרת, ואמר זרע אברהם אוהבי - מסטרא דאהבה, ורוצה לומר בזה דבהיפוכא (בראשית טו יב) ותרדמה נפלה על אברם כמו שמפרש והולך, ואמר איהי זוהמא דהיטל נחש בחוה, והיא אצטרף באברהם ונפיק העופרת כמו שאומר לעיל א' וכל כבדות הוא מסטרא דא כמו שמפרש והולך תכבד כו' ויכבד כו' והוא עופרת שהוא כבד מאד, והוא פסולת שנופל מהמוח שהוא חיוורא, ליחה חיוורא:</w:t>
      </w:r>
    </w:p>
  </w:footnote>
  <w:footnote w:id="5398">
    <w:p w:rsidR="00A13282" w:rsidRDefault="00A13282" w:rsidP="006D2826">
      <w:pPr>
        <w:pStyle w:val="a5"/>
        <w:rPr>
          <w:rtl/>
        </w:rPr>
      </w:pPr>
      <w:r>
        <w:rPr>
          <w:rStyle w:val="a7"/>
          <w:rtl/>
        </w:rPr>
        <w:footnoteRef/>
      </w:r>
      <w:r>
        <w:rPr>
          <w:rtl/>
        </w:rPr>
        <w:t xml:space="preserve"> </w:t>
      </w:r>
      <w:r>
        <w:rPr>
          <w:b/>
          <w:bCs/>
          <w:rtl/>
        </w:rPr>
        <w:t>אנפין ירוקין כו'.</w:t>
      </w:r>
      <w:r>
        <w:rPr>
          <w:rtl/>
        </w:rPr>
        <w:t xml:space="preserve"> כבר כתב למעלה שבס"א ירוק נגד חיוורא, ואוכם נגד סומק וכמו שמפרש והולך:</w:t>
      </w:r>
    </w:p>
  </w:footnote>
  <w:footnote w:id="5399">
    <w:p w:rsidR="00A13282" w:rsidRDefault="00A13282" w:rsidP="006D2826">
      <w:pPr>
        <w:pStyle w:val="a5"/>
        <w:rPr>
          <w:rtl/>
        </w:rPr>
      </w:pPr>
      <w:r>
        <w:rPr>
          <w:rStyle w:val="a7"/>
          <w:rtl/>
        </w:rPr>
        <w:footnoteRef/>
      </w:r>
      <w:r>
        <w:rPr>
          <w:rtl/>
        </w:rPr>
        <w:t xml:space="preserve"> </w:t>
      </w:r>
      <w:r>
        <w:rPr>
          <w:b/>
          <w:bCs/>
          <w:rtl/>
        </w:rPr>
        <w:t>האי פתי לביש.</w:t>
      </w:r>
      <w:r>
        <w:rPr>
          <w:rtl/>
        </w:rPr>
        <w:t xml:space="preserve"> דהוא נחש גוון חוור דמפתי לבר נש, דמראה ליה חוור, (משלי ה ג) חלק משמן חכה, (שם) נפת כו', נחש רמאה כמו שאומר למעלה אבל ירוק מאי דאית ליה בלביה שפיך לבר כמו שאומר למטה, ואמר </w:t>
      </w:r>
      <w:r>
        <w:rPr>
          <w:b/>
          <w:bCs/>
          <w:rtl/>
        </w:rPr>
        <w:t>האי מזקין במהירו.</w:t>
      </w:r>
      <w:r>
        <w:rPr>
          <w:rtl/>
        </w:rPr>
        <w:t xml:space="preserve"> רוצה לומר הירוק דאיהו יבש כמו שמפרש והולך, ואמר </w:t>
      </w:r>
      <w:r>
        <w:rPr>
          <w:b/>
          <w:bCs/>
          <w:rtl/>
        </w:rPr>
        <w:t>ואקדים בסיבו</w:t>
      </w:r>
      <w:r>
        <w:rPr>
          <w:rtl/>
        </w:rPr>
        <w:t xml:space="preserve"> רוצה לומר בשיבה, והוא זקנה בכח, ושיבה בשערות:</w:t>
      </w:r>
    </w:p>
  </w:footnote>
  <w:footnote w:id="5400">
    <w:p w:rsidR="00A13282" w:rsidRDefault="00A13282" w:rsidP="006D2826">
      <w:pPr>
        <w:pStyle w:val="a5"/>
        <w:rPr>
          <w:rtl/>
        </w:rPr>
      </w:pPr>
      <w:r>
        <w:rPr>
          <w:rStyle w:val="a7"/>
          <w:rtl/>
        </w:rPr>
        <w:footnoteRef/>
      </w:r>
      <w:r>
        <w:rPr>
          <w:rtl/>
        </w:rPr>
        <w:t xml:space="preserve"> </w:t>
      </w:r>
      <w:r>
        <w:rPr>
          <w:b/>
          <w:bCs/>
          <w:rtl/>
        </w:rPr>
        <w:t>מיא דמי טופנא כו'.</w:t>
      </w:r>
      <w:r>
        <w:rPr>
          <w:rtl/>
        </w:rPr>
        <w:t xml:space="preserve"> רוצה לומר המבול וסדום, חד מיא וחד אשא, והן משני אלו, וכן בגהינם דנין בתלגא ואשא, תלגא על ביטול מצוות עשה שהן העצלות, ואשא על מצוות לא תעשה שהן במהירו, (משלי ב יד, השמחים לעשות רע, או משלי ו יח, רגלים ממהרות לרוץ לרעה) הממהרים לעשות רע, וחמימו דיצר הרע, שכן ביצר הרע הן אלו שנים, חמימו לעבירה, ועצלות וקרירו וכבדות למצוה, דמשני סיטרין אלין ימינא ושמאלא אתייהבו מצוות עשה ומצוות לא תעשה כמו שאומר לעיל סוף תיקון ל”ו ושאר מקומות, ועליהם אמר (תהלים לד יד) דוד נצור לשונך מרע - שהוא רע דשמאלא כעסן ושפיך לבר, ושפתיך מדבר מרמה - שהוא נחש הרמאי מסטרא דימינא, והן ב' יצרין, דו"נ של אדם, ס"ם ונחש, רוצח ונואף, ישמעאל ועשו, זוהמא דאדם וחוה דאתערב בכספא ודהבא כמו שאומר לעיל א', והן התאווני והכעסני, דכורא בכעסני, ונוק' נפת תטופנה כו' דמפתי, יורד ומסטין ועולה ומקטרג, עשק ושטנה, וכנגד ימות החמה והגשמים, מיא ואשא, לכן נידונין ששה חדשים כו', ובמבול היה דינם בכבדות שנה תמימה וימחו כו' אבל בסדום ההפוכה כמו רגע במהירו כמדתם:</w:t>
      </w:r>
    </w:p>
  </w:footnote>
  <w:footnote w:id="5401">
    <w:p w:rsidR="00A13282" w:rsidRDefault="00A13282" w:rsidP="006D2826">
      <w:pPr>
        <w:pStyle w:val="a5"/>
        <w:rPr>
          <w:rtl/>
        </w:rPr>
      </w:pPr>
      <w:r>
        <w:rPr>
          <w:rStyle w:val="a7"/>
          <w:rtl/>
        </w:rPr>
        <w:footnoteRef/>
      </w:r>
      <w:r>
        <w:rPr>
          <w:rtl/>
        </w:rPr>
        <w:t xml:space="preserve"> </w:t>
      </w:r>
      <w:r>
        <w:rPr>
          <w:b/>
          <w:bCs/>
          <w:rtl/>
        </w:rPr>
        <w:t>ותרן איהו סומק ואוכם אינון בהפוכא כו'.</w:t>
      </w:r>
      <w:r>
        <w:rPr>
          <w:rtl/>
        </w:rPr>
        <w:t xml:space="preserve"> אמר ותרן איהו, דהוא שמחן מסטרא דדם הרבה דביה כמו שאומר לעיל ולכן הוא ותרן, ואוכם הוא בהפוכא - עציב וכניש קובץ כו' כמו שמפרש והולך:</w:t>
      </w:r>
    </w:p>
  </w:footnote>
  <w:footnote w:id="5402">
    <w:p w:rsidR="00A13282" w:rsidRDefault="00A13282" w:rsidP="006D2826">
      <w:pPr>
        <w:pStyle w:val="a5"/>
        <w:rPr>
          <w:rtl/>
        </w:rPr>
      </w:pPr>
      <w:r>
        <w:rPr>
          <w:rStyle w:val="a7"/>
          <w:rtl/>
        </w:rPr>
        <w:footnoteRef/>
      </w:r>
      <w:r>
        <w:rPr>
          <w:rtl/>
        </w:rPr>
        <w:t xml:space="preserve"> </w:t>
      </w:r>
      <w:r>
        <w:rPr>
          <w:b/>
          <w:bCs/>
          <w:rtl/>
        </w:rPr>
        <w:t>שעור ומדה דלהון כו'.</w:t>
      </w:r>
      <w:r>
        <w:rPr>
          <w:rtl/>
        </w:rPr>
        <w:t xml:space="preserve"> רוצה לומר דד' אותיות אדני הוא באברים מוחא ולבא ופומא, דהוא כללא דרישא וגופא, והוי"ה הוא בנשמתא, דאדני הוא גופא להוי"ה כמו שאומר לעיל בתיקון ס”ב, והוא בד' תיקונין יראה ואהבה ותורה ומצות שהן בד' אברים אלו כמו שמפרש והולך, ועיין ברעיא מהימנא פ' נשא קכ"ב ב' קכ"ג ב', אבל למעלה י"ג א' אמר דו"ק הן כל האברים דגופא בוא"ו, ופומא - תורה שבעל פה - מלכות, והוא כי שם אמר בגופא וכאן בנשמתא, ועיין לעיל ס"א א' בהגהה דהן בהפוכא, אריה שכלות כו', וכן היסודות ברוחות, שהן ג"כ גופא ורוחא, וכן בדחילו ורחימו ג"כ אמר כאן שאהבה הוא במוחא, ובמקום אחר אמר להיפך, וכן ברעיא מהימנא שם אמר הכל כמו כאן:</w:t>
      </w:r>
    </w:p>
  </w:footnote>
  <w:footnote w:id="5403">
    <w:p w:rsidR="00A13282" w:rsidRDefault="00A13282" w:rsidP="006D2826">
      <w:pPr>
        <w:pStyle w:val="a5"/>
        <w:rPr>
          <w:rtl/>
        </w:rPr>
      </w:pPr>
      <w:r>
        <w:rPr>
          <w:rStyle w:val="a7"/>
          <w:rtl/>
        </w:rPr>
        <w:footnoteRef/>
      </w:r>
      <w:r>
        <w:rPr>
          <w:rtl/>
        </w:rPr>
        <w:t xml:space="preserve"> </w:t>
      </w:r>
      <w:r>
        <w:rPr>
          <w:b/>
          <w:bCs/>
          <w:rtl/>
        </w:rPr>
        <w:t>אנפין עגולין כו'.</w:t>
      </w:r>
      <w:r>
        <w:rPr>
          <w:rtl/>
        </w:rPr>
        <w:t xml:space="preserve"> עתה מפרש והולך ציורין דאנפין והן ג"כ בד' חיוון, אנפין רברבין ואנפין זוטרין כמו שאומר לקמן ב', ובינונים נגד ג' חיוון, ועגולים הוא חיה רביעית, אדם, דכליל עשר אתוון, והן עשר נקודין כמו שמפרש והולך </w:t>
      </w:r>
      <w:r>
        <w:rPr>
          <w:b/>
          <w:bCs/>
          <w:rtl/>
        </w:rPr>
        <w:t>מלכות כללא דכולהו</w:t>
      </w:r>
      <w:r>
        <w:rPr>
          <w:rtl/>
        </w:rPr>
        <w:t xml:space="preserve"> הוא אדם, עשר אתוון דשמא מפרש:</w:t>
      </w:r>
    </w:p>
  </w:footnote>
  <w:footnote w:id="5404">
    <w:p w:rsidR="00A13282" w:rsidRDefault="00A13282" w:rsidP="006D2826">
      <w:pPr>
        <w:pStyle w:val="a5"/>
        <w:rPr>
          <w:rtl/>
        </w:rPr>
      </w:pPr>
      <w:r>
        <w:rPr>
          <w:rStyle w:val="a7"/>
          <w:rtl/>
        </w:rPr>
        <w:footnoteRef/>
      </w:r>
      <w:r>
        <w:rPr>
          <w:rtl/>
        </w:rPr>
        <w:t xml:space="preserve"> </w:t>
      </w:r>
      <w:r>
        <w:rPr>
          <w:b/>
          <w:bCs/>
          <w:rtl/>
        </w:rPr>
        <w:t>סתם בקמץ.</w:t>
      </w:r>
      <w:r>
        <w:rPr>
          <w:rtl/>
        </w:rPr>
        <w:t xml:space="preserve"> דהוא נקודה שתחת הקו, והוא ביוד סתומה בעשר אצבען דהוא יוד, וכמו שאומר לעיל וקמץ הכהן מסטרא דחכמה דבה אתפתחת כו' לל"ב שבילין, ואף דגם בה סתים מכל מקום נגד כתר הוא פתוח, פותח את ידך - יודי"ך, והוא ב' יודין דאלף כמו שמפרש והולך כג"ד לעילא והוא דאתפתחת ביה לשנים, דו"נ, והוא ו"ד של היו"ד ד"ו פרצופים ובה נקרא יש ראשית המציאות, דכתר נקרא אין ועלה נאמר והחכמה מאין תמצא, נאמר בה מציאות, והוא יש, יש מאין, והיא ראשית וסיומא, נקודה על הא', (יחזקאל א כו) וממעל לרקיע כו', (שמות כד י) ותחת רגליו כו' - נקודה שתחת האלף, ועל הפתח נאמר (איוב יב כב) מגלה עמוקות מני חושך:</w:t>
      </w:r>
    </w:p>
  </w:footnote>
  <w:footnote w:id="5405">
    <w:p w:rsidR="00A13282" w:rsidRDefault="00A13282" w:rsidP="006D2826">
      <w:pPr>
        <w:pStyle w:val="a5"/>
        <w:rPr>
          <w:rtl/>
        </w:rPr>
      </w:pPr>
      <w:r>
        <w:rPr>
          <w:rStyle w:val="a7"/>
          <w:rtl/>
        </w:rPr>
        <w:footnoteRef/>
      </w:r>
      <w:r>
        <w:rPr>
          <w:rtl/>
        </w:rPr>
        <w:t xml:space="preserve"> </w:t>
      </w:r>
      <w:r>
        <w:rPr>
          <w:b/>
          <w:bCs/>
          <w:rtl/>
        </w:rPr>
        <w:t>ותרין נקודין אלין אתגליאו באימא ואתעבידו צירי כו'.</w:t>
      </w:r>
      <w:r>
        <w:rPr>
          <w:rtl/>
        </w:rPr>
        <w:t xml:space="preserve"> דבחכמה - הפתח וא"ו דביניהם סותם בפניהם, וכאן אתגליאו כמו בבטן המלאה שניכרין התעברות מתאומים, ואמר </w:t>
      </w:r>
      <w:r>
        <w:rPr>
          <w:b/>
          <w:bCs/>
          <w:rtl/>
        </w:rPr>
        <w:t>עלייהו אתמר וייצר</w:t>
      </w:r>
      <w:r>
        <w:rPr>
          <w:rtl/>
        </w:rPr>
        <w:t xml:space="preserve"> רוצה לומר בב' יודין, וייצר, הוא לשון צירי, ואמר </w:t>
      </w:r>
      <w:r>
        <w:rPr>
          <w:b/>
          <w:bCs/>
          <w:rtl/>
        </w:rPr>
        <w:t>כי ביה כו'.</w:t>
      </w:r>
      <w:r>
        <w:rPr>
          <w:rtl/>
        </w:rPr>
        <w:t xml:space="preserve"> שהן זו"נ ועיין לעיל ריש תיקון כ”א ומה שבארנו שם:</w:t>
      </w:r>
    </w:p>
  </w:footnote>
  <w:footnote w:id="5406">
    <w:p w:rsidR="00A13282" w:rsidRDefault="00A13282" w:rsidP="006D2826">
      <w:pPr>
        <w:pStyle w:val="a5"/>
        <w:rPr>
          <w:rtl/>
        </w:rPr>
      </w:pPr>
      <w:r>
        <w:rPr>
          <w:rStyle w:val="a7"/>
          <w:rtl/>
        </w:rPr>
        <w:footnoteRef/>
      </w:r>
      <w:r>
        <w:rPr>
          <w:rtl/>
        </w:rPr>
        <w:t xml:space="preserve"> </w:t>
      </w:r>
      <w:r>
        <w:rPr>
          <w:b/>
          <w:bCs/>
          <w:rtl/>
        </w:rPr>
        <w:t>סגול כו'.</w:t>
      </w:r>
      <w:r>
        <w:rPr>
          <w:rtl/>
        </w:rPr>
        <w:t xml:space="preserve"> רוצה לומר לשון רחימו כמו שמפרש והולך, ואמר </w:t>
      </w:r>
      <w:r>
        <w:rPr>
          <w:b/>
          <w:bCs/>
          <w:rtl/>
        </w:rPr>
        <w:t>סגולתא לעילא</w:t>
      </w:r>
      <w:r>
        <w:rPr>
          <w:rtl/>
        </w:rPr>
        <w:t xml:space="preserve"> רוצה לומר בכח"ב, דהיא כתר מלכות על חו"ב, ולתתא בעמודא דאמצעיתא סגול תחת חו"ג, ועיין לעיל קכ"ה א' ומה שבארנו שם:</w:t>
      </w:r>
    </w:p>
  </w:footnote>
  <w:footnote w:id="5407">
    <w:p w:rsidR="00A13282" w:rsidRDefault="00A13282" w:rsidP="006D2826">
      <w:pPr>
        <w:pStyle w:val="a5"/>
        <w:rPr>
          <w:rtl/>
        </w:rPr>
      </w:pPr>
      <w:r>
        <w:rPr>
          <w:rStyle w:val="a7"/>
          <w:rtl/>
        </w:rPr>
        <w:footnoteRef/>
      </w:r>
      <w:r>
        <w:rPr>
          <w:rtl/>
        </w:rPr>
        <w:t xml:space="preserve"> </w:t>
      </w:r>
      <w:r>
        <w:rPr>
          <w:b/>
          <w:bCs/>
          <w:rtl/>
        </w:rPr>
        <w:t>כי באש.</w:t>
      </w:r>
      <w:r>
        <w:rPr>
          <w:rtl/>
        </w:rPr>
        <w:t xml:space="preserve"> אותיות שבא, והוא גבורה, ואמר </w:t>
      </w:r>
      <w:r>
        <w:rPr>
          <w:b/>
          <w:bCs/>
          <w:rtl/>
        </w:rPr>
        <w:t>ותפול שבא</w:t>
      </w:r>
      <w:r>
        <w:rPr>
          <w:rtl/>
        </w:rPr>
        <w:t xml:space="preserve"> ג"כ מסטרא דא, כי שלוחי שטן היו, ונאמר ג"כ שם אש אלקים נפלה כו', ואמר </w:t>
      </w:r>
      <w:r>
        <w:rPr>
          <w:b/>
          <w:bCs/>
          <w:rtl/>
        </w:rPr>
        <w:t>שבה עמדי</w:t>
      </w:r>
      <w:r>
        <w:rPr>
          <w:rtl/>
        </w:rPr>
        <w:t xml:space="preserve"> רוצה לומר דיעקב היה פלג גופא, (ישעיהו מד יג) כתפארת אדם, וחסר ממנו (שם) לשבת בית, (ישעיהו מה יח) לשבת יצרה, ורוצה לומר שעמדי תתיישב, וזהו שבא, והוא האשה, וזה שאומר דאיהי שכינתא כו', וידוע שהיא נוטלת גבורות:</w:t>
      </w:r>
    </w:p>
  </w:footnote>
  <w:footnote w:id="5408">
    <w:p w:rsidR="00A13282" w:rsidRDefault="00A13282" w:rsidP="006D2826">
      <w:pPr>
        <w:pStyle w:val="a5"/>
        <w:rPr>
          <w:rtl/>
        </w:rPr>
      </w:pPr>
      <w:r>
        <w:rPr>
          <w:rStyle w:val="a7"/>
          <w:rtl/>
        </w:rPr>
        <w:footnoteRef/>
      </w:r>
      <w:r>
        <w:rPr>
          <w:rtl/>
        </w:rPr>
        <w:t xml:space="preserve"> </w:t>
      </w:r>
      <w:r>
        <w:rPr>
          <w:b/>
          <w:bCs/>
          <w:rtl/>
        </w:rPr>
        <w:t>אבן ישראל.</w:t>
      </w:r>
      <w:r>
        <w:rPr>
          <w:rtl/>
        </w:rPr>
        <w:t xml:space="preserve"> דישראל הוא עמודא דאמצעיתא, ואבנא דיליה הוא חולם, נקודה אחת דכתיב ביה (בראשית לא מה) וירימה מצבה, ואמר </w:t>
      </w:r>
      <w:r>
        <w:rPr>
          <w:b/>
          <w:bCs/>
          <w:rtl/>
        </w:rPr>
        <w:t>אבן כו'.</w:t>
      </w:r>
      <w:r>
        <w:rPr>
          <w:rtl/>
        </w:rPr>
        <w:t xml:space="preserve"> דכתיב לראש פנה, והוא - חולם:</w:t>
      </w:r>
    </w:p>
  </w:footnote>
  <w:footnote w:id="5409">
    <w:p w:rsidR="00A13282" w:rsidRDefault="00A13282" w:rsidP="006D2826">
      <w:pPr>
        <w:pStyle w:val="a5"/>
        <w:rPr>
          <w:rtl/>
        </w:rPr>
      </w:pPr>
      <w:r>
        <w:rPr>
          <w:rStyle w:val="a7"/>
          <w:rtl/>
        </w:rPr>
        <w:footnoteRef/>
      </w:r>
      <w:r>
        <w:rPr>
          <w:rtl/>
        </w:rPr>
        <w:t xml:space="preserve"> </w:t>
      </w:r>
      <w:r>
        <w:rPr>
          <w:b/>
          <w:bCs/>
          <w:rtl/>
        </w:rPr>
        <w:t>כל מרגליתא כו'.</w:t>
      </w:r>
      <w:r>
        <w:rPr>
          <w:rtl/>
        </w:rPr>
        <w:t xml:space="preserve"> דחולם הוא כתר, כמו כתר בראש האדם שמונח עליו מלמעלה, ות"ת הוא חולם משום שהוא כתר דנוק' כמו שאומר באידרא רבה, ועיין לעיל בהקדמה, ואמר למעלה כמרגלאן בכתרא, אבנין קביעין בכתרא, וזה שאומר כל מרגליתא כו', ואמר </w:t>
      </w:r>
      <w:r>
        <w:rPr>
          <w:b/>
          <w:bCs/>
          <w:rtl/>
        </w:rPr>
        <w:t>הה"ד כו'</w:t>
      </w:r>
      <w:r>
        <w:rPr>
          <w:rtl/>
        </w:rPr>
        <w:t xml:space="preserve"> די"ב אבנין דחושן הן ד' פעמים ג', בג' הויו"ת, ג' פעמים ג', ביה"ו, כמו שאומר בתיקוני זוהר חדש ולמעלה קכ"ו ב' והוא ט' ספירות, ט' תיקונין דז"א, וג' ההי"ן דנוק', ועיין לעיל ט' ב' וכלהו משלשלין באבהן כו', וזהו אחלמה - התשיעי, דהוא כליל ט' דביה, והוא נקרא תפארת, תיקון התשיעי כמו שאומר באידרא רבה ומגיע עד תפארת, ושם מתחלת הנוק', כתר דידה כמו שאומר שם, ואמר </w:t>
      </w:r>
      <w:r>
        <w:rPr>
          <w:b/>
          <w:bCs/>
          <w:rtl/>
        </w:rPr>
        <w:t>וביה ונחלמה כו'.</w:t>
      </w:r>
      <w:r>
        <w:rPr>
          <w:rtl/>
        </w:rPr>
        <w:t xml:space="preserve"> דחלום הוא מצד הסתלקות הרוח, ומרחף על האדם בשינה, והוא דוגמת החולם, כתר על גבי האדם:</w:t>
      </w:r>
    </w:p>
  </w:footnote>
  <w:footnote w:id="5410">
    <w:p w:rsidR="00A13282" w:rsidRDefault="00A13282" w:rsidP="006D2826">
      <w:pPr>
        <w:pStyle w:val="a5"/>
        <w:rPr>
          <w:b/>
          <w:bCs/>
          <w:rtl/>
        </w:rPr>
      </w:pPr>
      <w:r>
        <w:rPr>
          <w:rStyle w:val="a7"/>
          <w:rtl/>
        </w:rPr>
        <w:footnoteRef/>
      </w:r>
      <w:r>
        <w:rPr>
          <w:rtl/>
        </w:rPr>
        <w:t xml:space="preserve"> *(מתל"ה) </w:t>
      </w:r>
      <w:r>
        <w:rPr>
          <w:b/>
          <w:bCs/>
          <w:rtl/>
        </w:rPr>
        <w:t>כל מרגליתא כו'</w:t>
      </w:r>
      <w:r>
        <w:rPr>
          <w:rtl/>
        </w:rPr>
        <w:t xml:space="preserve"> הה"ד כו', בספר הבהיר ג' ב' שאלו תלמידיו מהו חולם, אמר להם כשמה ושמו חולם כו', ועוד אמרו שכל חלום הוא בחולם, וכל מרגלית לבנה הוא בחולם כדכתיב ואחלמה, אבל כאן דמפרש בת"ת אי אפשר לומר מרגלית לבנה דוקא, אלא כמו שבארנו שם:</w:t>
      </w:r>
    </w:p>
  </w:footnote>
  <w:footnote w:id="5411">
    <w:p w:rsidR="00A13282" w:rsidRDefault="00A13282" w:rsidP="006D2826">
      <w:pPr>
        <w:pStyle w:val="a5"/>
        <w:rPr>
          <w:rtl/>
        </w:rPr>
      </w:pPr>
      <w:r>
        <w:rPr>
          <w:rStyle w:val="a7"/>
          <w:rtl/>
        </w:rPr>
        <w:footnoteRef/>
      </w:r>
      <w:r>
        <w:rPr>
          <w:rtl/>
        </w:rPr>
        <w:t xml:space="preserve"> </w:t>
      </w:r>
      <w:r>
        <w:rPr>
          <w:b/>
          <w:bCs/>
          <w:rtl/>
        </w:rPr>
        <w:t>ביה חקירה.</w:t>
      </w:r>
      <w:r>
        <w:rPr>
          <w:rtl/>
        </w:rPr>
        <w:t xml:space="preserve"> דחקירה אינה אלא מנה"י ולמטה, מקום הנוק', דאין מושג כלל אלא בזאת, וג' חג"ת אינון ג' גוונין נעלמים, ורוצה לומר, דהוא אותיות חקר וכן קרח דביה מים, אפיקי מים, ונקרחין משום דהוא מורכב מדרום וצפון, ובסטרא דצפון גלידין מיא, והוא נורא מסטרא דעמודא דאמצעיתא:</w:t>
      </w:r>
    </w:p>
  </w:footnote>
  <w:footnote w:id="5412">
    <w:p w:rsidR="00A13282" w:rsidRDefault="00A13282" w:rsidP="006D2826">
      <w:pPr>
        <w:pStyle w:val="a5"/>
        <w:rPr>
          <w:rtl/>
        </w:rPr>
      </w:pPr>
      <w:r>
        <w:rPr>
          <w:rStyle w:val="a7"/>
          <w:rtl/>
        </w:rPr>
        <w:footnoteRef/>
      </w:r>
      <w:r>
        <w:rPr>
          <w:rtl/>
        </w:rPr>
        <w:t xml:space="preserve"> </w:t>
      </w:r>
      <w:r>
        <w:rPr>
          <w:b/>
          <w:bCs/>
          <w:rtl/>
        </w:rPr>
        <w:t>קשר המרכבה.</w:t>
      </w:r>
      <w:r>
        <w:rPr>
          <w:rtl/>
        </w:rPr>
        <w:t xml:space="preserve"> כמו שכתוב (ישעיהו מג יד) והורדתי בריחים כולם, ופירש בריש פ’ שמות דהן הקשרים דעולמות כמו הבריחים לקרשים שבהן נאחז אחת אל אחת, והוא התפשטות הדעת שביה נעשו לבשר אחד במשך הזרע כידוע, וכמו שאומר לעיל בתיקון ס”ג, והנה הם ה’ חסדים וה’ גבורות, והם חמשה בריחים כו' וכמו שאומר בפ' בלק דאחת ושנית כתיב שלישית ורביעית לא כתיב, והנה התפשטות דלהון עד הוד, וזה שאומר </w:t>
      </w:r>
      <w:r>
        <w:rPr>
          <w:b/>
          <w:bCs/>
          <w:rtl/>
        </w:rPr>
        <w:t>ואיהו הוד דמשה.</w:t>
      </w:r>
      <w:r>
        <w:rPr>
          <w:rtl/>
        </w:rPr>
        <w:t xml:space="preserve"> והוא של הדעת, דרגא דמשה, ונתן ההוד למשה כמו שמפרש והולך ביה אשתלימו כו', ואמר </w:t>
      </w:r>
      <w:r>
        <w:rPr>
          <w:b/>
          <w:bCs/>
          <w:rtl/>
        </w:rPr>
        <w:t>השנית</w:t>
      </w:r>
      <w:r>
        <w:rPr>
          <w:rtl/>
        </w:rPr>
        <w:t xml:space="preserve"> דגם גבורות אשתלימו שם, ורוצה לומר כמו שמפרש והולך דלכן נקרא הוד, ה' - על כללות ה' שבדעת, ו"ד - על פרטות שהן עשר, והן מתפשטות בזעיר ונוק' שהן ו"ד, ד"ו פרצופין כמו שמפרש והולך, וזהו עשר אמות אורך הקרש, קרש - קשר, שאורך הקשר דהוא הדעת עשר, ואמר </w:t>
      </w:r>
      <w:r>
        <w:rPr>
          <w:b/>
          <w:bCs/>
          <w:rtl/>
        </w:rPr>
        <w:t>שרק ודאי</w:t>
      </w:r>
      <w:r>
        <w:rPr>
          <w:rtl/>
        </w:rPr>
        <w:t xml:space="preserve"> דהן אותיות קשר קרש שרק, והוא שורק בלא וא"ו:</w:t>
      </w:r>
    </w:p>
  </w:footnote>
  <w:footnote w:id="5413">
    <w:p w:rsidR="00A13282" w:rsidRDefault="00A13282" w:rsidP="006D2826">
      <w:pPr>
        <w:pStyle w:val="a5"/>
        <w:rPr>
          <w:rtl/>
        </w:rPr>
      </w:pPr>
      <w:r>
        <w:rPr>
          <w:rStyle w:val="a7"/>
          <w:rtl/>
        </w:rPr>
        <w:footnoteRef/>
      </w:r>
      <w:r>
        <w:rPr>
          <w:rtl/>
        </w:rPr>
        <w:t xml:space="preserve"> </w:t>
      </w:r>
      <w:r>
        <w:rPr>
          <w:b/>
          <w:bCs/>
          <w:rtl/>
        </w:rPr>
        <w:t>ומתרגמינן כו'.</w:t>
      </w:r>
      <w:r>
        <w:rPr>
          <w:rtl/>
        </w:rPr>
        <w:t xml:space="preserve"> וכאן קשר שבין זו"נ ושורק הנ"ל הוא על שכינתא שהיא קשר בין דרגין דאצילות לבי"ע והאדם שעל ידו בא השפע להם ועל ידו מעוררין למעלה, ואמר </w:t>
      </w:r>
      <w:r>
        <w:rPr>
          <w:b/>
          <w:bCs/>
          <w:rtl/>
        </w:rPr>
        <w:t>זרע אמת כו'.</w:t>
      </w:r>
      <w:r>
        <w:rPr>
          <w:rtl/>
        </w:rPr>
        <w:t xml:space="preserve"> דביה הזרע ג"ד גי"ד ועיין לעיל מ"ו א' ב', ואמר </w:t>
      </w:r>
      <w:r>
        <w:rPr>
          <w:b/>
          <w:bCs/>
          <w:rtl/>
        </w:rPr>
        <w:t>שכינתא עזר</w:t>
      </w:r>
      <w:r>
        <w:rPr>
          <w:rtl/>
        </w:rPr>
        <w:t xml:space="preserve"> דהיא עזר דזרע אתקיים בה, וע"י הצדיק היא עזר:</w:t>
      </w:r>
    </w:p>
  </w:footnote>
  <w:footnote w:id="5414">
    <w:p w:rsidR="00A13282" w:rsidRDefault="00A13282" w:rsidP="006D2826">
      <w:pPr>
        <w:pStyle w:val="a5"/>
        <w:rPr>
          <w:rtl/>
        </w:rPr>
      </w:pPr>
      <w:r>
        <w:rPr>
          <w:rStyle w:val="a7"/>
          <w:rtl/>
        </w:rPr>
        <w:footnoteRef/>
      </w:r>
      <w:r>
        <w:rPr>
          <w:rtl/>
        </w:rPr>
        <w:t xml:space="preserve"> </w:t>
      </w:r>
      <w:r>
        <w:rPr>
          <w:b/>
          <w:bCs/>
          <w:rtl/>
        </w:rPr>
        <w:t>אהבת כלולותיך.</w:t>
      </w:r>
      <w:r>
        <w:rPr>
          <w:rtl/>
        </w:rPr>
        <w:t xml:space="preserve"> דהיא נקראת כלה - כלולה מכולם:</w:t>
      </w:r>
    </w:p>
  </w:footnote>
  <w:footnote w:id="5415">
    <w:p w:rsidR="00A13282" w:rsidRDefault="00A13282" w:rsidP="006D2826">
      <w:pPr>
        <w:pStyle w:val="a5"/>
        <w:rPr>
          <w:rtl/>
        </w:rPr>
      </w:pPr>
      <w:r>
        <w:rPr>
          <w:rStyle w:val="a7"/>
          <w:rtl/>
        </w:rPr>
        <w:footnoteRef/>
      </w:r>
      <w:r>
        <w:rPr>
          <w:rtl/>
        </w:rPr>
        <w:t xml:space="preserve"> </w:t>
      </w:r>
      <w:r>
        <w:rPr>
          <w:b/>
          <w:bCs/>
          <w:rtl/>
        </w:rPr>
        <w:t>ואית אנפי כו'.</w:t>
      </w:r>
      <w:r>
        <w:rPr>
          <w:rtl/>
        </w:rPr>
        <w:t xml:space="preserve"> דהן א"א וז"א מסטרא דאת ו' ואת י', משקל ומדה כנ"ל, ואמר </w:t>
      </w:r>
      <w:r>
        <w:rPr>
          <w:b/>
          <w:bCs/>
          <w:rtl/>
        </w:rPr>
        <w:t>ומיד ויעבור</w:t>
      </w:r>
      <w:r>
        <w:rPr>
          <w:rtl/>
        </w:rPr>
        <w:t xml:space="preserve"> רוצה לומר שעבר פנים של זעם קרא י"ג מדות שהן מסטרא דוא"ו מלא דהוא י"ג תיקונין א"א ועיין לקמן קמ"ד א' ולעיל קכ"ב ב' ומה שבארנו שם ושם:</w:t>
      </w:r>
    </w:p>
  </w:footnote>
  <w:footnote w:id="5416">
    <w:p w:rsidR="00A13282" w:rsidRDefault="00A13282" w:rsidP="006D2826">
      <w:pPr>
        <w:pStyle w:val="a5"/>
        <w:rPr>
          <w:rtl/>
        </w:rPr>
      </w:pPr>
      <w:r>
        <w:rPr>
          <w:rStyle w:val="a7"/>
          <w:rtl/>
        </w:rPr>
        <w:footnoteRef/>
      </w:r>
      <w:r>
        <w:rPr>
          <w:rtl/>
        </w:rPr>
        <w:t xml:space="preserve"> </w:t>
      </w:r>
      <w:r>
        <w:rPr>
          <w:b/>
          <w:bCs/>
          <w:rtl/>
        </w:rPr>
        <w:t>דבהון מאריך כו'.</w:t>
      </w:r>
      <w:r>
        <w:rPr>
          <w:rtl/>
        </w:rPr>
        <w:t xml:space="preserve"> דו' הוא עלמא אריכא שבהן מאריך אף, ואלף דבאמצעית הוא חוטמא דביה אשתמודע פרצופא כמו שאומר באידרא רבה ולמטה חוטמא אריכא כו':</w:t>
      </w:r>
    </w:p>
  </w:footnote>
  <w:footnote w:id="5417">
    <w:p w:rsidR="00A13282" w:rsidRDefault="00A13282" w:rsidP="006D2826">
      <w:pPr>
        <w:pStyle w:val="a5"/>
        <w:rPr>
          <w:rtl/>
        </w:rPr>
      </w:pPr>
      <w:r>
        <w:rPr>
          <w:rStyle w:val="a7"/>
          <w:rtl/>
        </w:rPr>
        <w:footnoteRef/>
      </w:r>
      <w:r>
        <w:rPr>
          <w:rtl/>
        </w:rPr>
        <w:t xml:space="preserve"> </w:t>
      </w:r>
      <w:r>
        <w:rPr>
          <w:b/>
          <w:bCs/>
          <w:rtl/>
        </w:rPr>
        <w:t>ומרחם על עלמא ועלייהו אתמר יאר כו' ישא כו'.</w:t>
      </w:r>
      <w:r>
        <w:rPr>
          <w:rtl/>
        </w:rPr>
        <w:t xml:space="preserve"> שיאר פני א"א וישא פנים של זעם:</w:t>
      </w:r>
    </w:p>
  </w:footnote>
  <w:footnote w:id="5418">
    <w:p w:rsidR="00A13282" w:rsidRDefault="00A13282" w:rsidP="006D2826">
      <w:pPr>
        <w:pStyle w:val="a5"/>
        <w:rPr>
          <w:rtl/>
        </w:rPr>
      </w:pPr>
      <w:r>
        <w:rPr>
          <w:rStyle w:val="a7"/>
          <w:rtl/>
        </w:rPr>
        <w:footnoteRef/>
      </w:r>
      <w:r>
        <w:rPr>
          <w:rtl/>
        </w:rPr>
        <w:t xml:space="preserve"> </w:t>
      </w:r>
      <w:r>
        <w:rPr>
          <w:b/>
          <w:bCs/>
          <w:rtl/>
        </w:rPr>
        <w:t>פניו אליך ה"א ה"א אינון גוונין כו'.</w:t>
      </w:r>
      <w:r>
        <w:rPr>
          <w:rtl/>
        </w:rPr>
        <w:t xml:space="preserve"> כמו שכתוב (שה"ש ה י) דודי צח ואדום, (תהלים קכב ד) שבטי יה עדות לישראל סהדותא דאבא ואימא, (תהלים יח כז) עם נבר כו', והן ב' ההין מלאין בב' פנים, וה' הוא סומק על שם דכליל ה' גוונין, וא' הוא חוורא, אור דנהיר בגוונין, והוא גוון פשוט כמו שאומר בתוספתא פ' יתרו אלא דמתחלק בגוונין, והן חמשה ואלף, ה"א מלא, ואמר </w:t>
      </w:r>
      <w:r>
        <w:rPr>
          <w:b/>
          <w:bCs/>
          <w:rtl/>
        </w:rPr>
        <w:t>יו"ד פומא כו'.</w:t>
      </w:r>
      <w:r>
        <w:rPr>
          <w:rtl/>
        </w:rPr>
        <w:t xml:space="preserve"> כמו שמפרש והולך </w:t>
      </w:r>
      <w:r>
        <w:rPr>
          <w:b/>
          <w:bCs/>
          <w:rtl/>
        </w:rPr>
        <w:t>י'</w:t>
      </w:r>
      <w:r>
        <w:rPr>
          <w:rtl/>
        </w:rPr>
        <w:t xml:space="preserve"> </w:t>
      </w:r>
      <w:r>
        <w:rPr>
          <w:b/>
          <w:bCs/>
          <w:rtl/>
        </w:rPr>
        <w:t>חוט בעגולא</w:t>
      </w:r>
      <w:r>
        <w:rPr>
          <w:rtl/>
        </w:rPr>
        <w:t xml:space="preserve"> כלל הפומא:</w:t>
      </w:r>
    </w:p>
  </w:footnote>
  <w:footnote w:id="5419">
    <w:p w:rsidR="00A13282" w:rsidRDefault="00A13282" w:rsidP="006D2826">
      <w:pPr>
        <w:pStyle w:val="a5"/>
        <w:rPr>
          <w:rtl/>
        </w:rPr>
      </w:pPr>
      <w:r>
        <w:rPr>
          <w:rStyle w:val="a7"/>
          <w:rtl/>
        </w:rPr>
        <w:footnoteRef/>
      </w:r>
      <w:r>
        <w:rPr>
          <w:rtl/>
        </w:rPr>
        <w:t xml:space="preserve"> </w:t>
      </w:r>
      <w:r>
        <w:rPr>
          <w:b/>
          <w:bCs/>
          <w:rtl/>
        </w:rPr>
        <w:t>ו' לשון ד' כו'.</w:t>
      </w:r>
      <w:r>
        <w:rPr>
          <w:rtl/>
        </w:rPr>
        <w:t xml:space="preserve"> הוא קול בלשון ודיבור בד' דרגין לאשלמא וכידוע בסוד חול והן ד"ו פרצופין ו"ד, והוא שם מ"ה, יו"ד בפומא, ו' בחוטמא, ה"א ה"א באנפין ממטה למעלה בסוד המדה כנ"ל, וכן באנפין עצמן ה"ה גוונין דאנפין בב' אנפין, ו"י הוא אריכו וזעירא דאנפין, והוא הוי"ה פשוטה, ג' חיות ואדם, הוי"ה מליאה בעגולא דאנפין כנ"ל:</w:t>
      </w:r>
    </w:p>
  </w:footnote>
  <w:footnote w:id="5420">
    <w:p w:rsidR="00A13282" w:rsidRDefault="00A13282" w:rsidP="006D2826">
      <w:pPr>
        <w:pStyle w:val="a5"/>
        <w:rPr>
          <w:rtl/>
        </w:rPr>
      </w:pPr>
      <w:r>
        <w:rPr>
          <w:rStyle w:val="a7"/>
          <w:rtl/>
        </w:rPr>
        <w:footnoteRef/>
      </w:r>
      <w:r>
        <w:rPr>
          <w:rtl/>
        </w:rPr>
        <w:t xml:space="preserve"> </w:t>
      </w:r>
      <w:r>
        <w:rPr>
          <w:b/>
          <w:bCs/>
          <w:rtl/>
        </w:rPr>
        <w:t>ת"ח אתמר באדם.</w:t>
      </w:r>
      <w:r>
        <w:rPr>
          <w:rtl/>
        </w:rPr>
        <w:t xml:space="preserve"> קאי אלמעלה, דמשנה אותו מנקודה לנקודה כמו שהברת האות משתנה ע"י הנקודין כן האדם מצורת פניו, וקאמר </w:t>
      </w:r>
      <w:r>
        <w:rPr>
          <w:b/>
          <w:bCs/>
          <w:rtl/>
        </w:rPr>
        <w:t>דלא ישתמודעון כו'</w:t>
      </w:r>
      <w:r>
        <w:rPr>
          <w:rtl/>
        </w:rPr>
        <w:t xml:space="preserve"> דחובין הוא בנקודין בדפיקו כמו שאומר לעיל ולכן משנה כו' כמו שמפרש והולך, ועיין ברעיא מהימנא פ' פנחס רי"ז רי"ח בארוכה, ואמר </w:t>
      </w:r>
      <w:r>
        <w:rPr>
          <w:b/>
          <w:bCs/>
          <w:rtl/>
        </w:rPr>
        <w:t>שינוי מקום כו'.</w:t>
      </w:r>
      <w:r>
        <w:rPr>
          <w:rtl/>
        </w:rPr>
        <w:t xml:space="preserve"> הוא בג' גוונין בג' חיוון:</w:t>
      </w:r>
    </w:p>
  </w:footnote>
  <w:footnote w:id="5421">
    <w:p w:rsidR="00A13282" w:rsidRDefault="00A13282" w:rsidP="006D2826">
      <w:pPr>
        <w:pStyle w:val="a5"/>
        <w:rPr>
          <w:rtl/>
        </w:rPr>
      </w:pPr>
      <w:r>
        <w:rPr>
          <w:rStyle w:val="a7"/>
          <w:rtl/>
        </w:rPr>
        <w:footnoteRef/>
      </w:r>
      <w:r>
        <w:rPr>
          <w:rtl/>
        </w:rPr>
        <w:t xml:space="preserve"> </w:t>
      </w:r>
      <w:r>
        <w:rPr>
          <w:b/>
          <w:bCs/>
          <w:rtl/>
        </w:rPr>
        <w:t>ועוד נקודין אינון סגולין כו'.</w:t>
      </w:r>
      <w:r>
        <w:rPr>
          <w:rtl/>
        </w:rPr>
        <w:t xml:space="preserve"> נקודין הן חכמה כמו שאומר לקמן קכ"ו ב' ובזוהר חדש שה"ש בארוכה והן כ"ח מ"ה, מ"ה - עשר אתוון שהן עשר נקודין הנ"ל, כ"ח מ"ה שמפרש והולך והן באצבען שהן עשר אצבעין וכ"ח פרקים ובהם הוא חכמה כמו שאומר לעיל סוף תיקון כ”ב ועיין לעיל ל"ט א' ומה שבארנו שם, ואמר דכמו שהתנועין על ידם מתנועעין האותיות כן הוא הפרקים ועיקר התנועות הוא בידין וכאן הוא רזא דנש"ב ושם ע"ב כמו שכתבתי במקום אחר וכן י"ב מרגליטין כמו שאומר בריש פ’ ויצא, הראשון של קמץ ושל פתח למיכאל, והשלישי של קמץ ושל פתח לגבריאל, וכסדר ושל צירי וסגול, הראשונים לרפאל [האחרונים שלהם לנוריאל] אלא לפי שהראשון של צירי הוא השלישי לקמץ, השני של צירי בא במקום הראשון, והשלישי של צירי וסגול לנוריאל, ונראה שטעות סופר שם מה שאמר צדקיאל וצריך להיות צוריאל כמו שאומר כאן, והנה ד' נקודות הראשונות כל אחת מג' הן י"ב מרגליטין, ג' הויות, ד' פעמים ג', והן ד' החיות ולכל אחת ב' ממנין, חד לשמש בשוקא וחד באורחא, והן אחד מימינא ואחד משמאלא, והן ראשם וסופם של ד' נקודות האלו הראשונים, ובמקום האמצעים הן החיות בעצמן, אבל בסתרי תורה פ' וירא ק"ח א' כתוב בקמץ צדקיאל כמו שבארנו שם ובראשם הד' חיות הנ"ל אבל שם הוא מוטעה בסגול ושאר נקודות וכן בסדר הא' ב' כמו שכתבתי במקום אחר וכמו שאומר בסוף ח"א שם:</w:t>
      </w:r>
    </w:p>
  </w:footnote>
  <w:footnote w:id="5422">
    <w:p w:rsidR="00A13282" w:rsidRDefault="00A13282" w:rsidP="006D2826">
      <w:pPr>
        <w:pStyle w:val="a5"/>
        <w:rPr>
          <w:rtl/>
        </w:rPr>
      </w:pPr>
      <w:r>
        <w:rPr>
          <w:rStyle w:val="a7"/>
          <w:rtl/>
        </w:rPr>
        <w:footnoteRef/>
      </w:r>
      <w:r>
        <w:rPr>
          <w:rtl/>
        </w:rPr>
        <w:t xml:space="preserve"> </w:t>
      </w:r>
      <w:r>
        <w:rPr>
          <w:b/>
          <w:bCs/>
          <w:rtl/>
        </w:rPr>
        <w:t>עלייהו אתמר כו'.</w:t>
      </w:r>
      <w:r>
        <w:rPr>
          <w:rtl/>
        </w:rPr>
        <w:t xml:space="preserve"> כמו שאומר בפ' יתרו פ"ו א' על פני - לאפקא אפי מלכא, ורוצה לומר שלא תעשה לך אחרים על פני, פנים כ"ח שהן קדושים אפי מלכא, דכמא שבידים הן עשרה וכ"ח - כח מה, כן הוא בפנים בנקודין דנהרין בהון, שלכן בפנים ובידים נכרים כל מעשה האדם ותולדותיו - בנקודין, וכנגדן יד ליד לא כו' כמו שמפרש והולך שנענש בכף הקלע נגד כף זכות וכף חובה, מצוות עשה ומצוות לא תעשה, שכנגדן יש י"ד עתים דתליין במזלות, י"ד טובים וי"ד כו' כמו שאומר לעיל ק"ד ב' ומאן דמשתחוה ועושה אותן אלקות שהן צבא השמים דמנהון כל התולדות - הוא אלהים אחרים כמו שאמרו (ילקוט שמעוני שמות כ סימן רפו) אחרים לעובדיהון, דלאו בהון תליא אלא בכח נקודין דאנפין דבהון משנה פנים ותשלחהו, והן מזלא דאדם ולית צרוך בכלא אלא בשם יתברך לבדו, וזה שאומר ואם לאו - יד לי"ד כו' נגד י"ד עתים הנ"ל שעובד אותן ועושה אותן אלקות:</w:t>
      </w:r>
    </w:p>
  </w:footnote>
  <w:footnote w:id="5423">
    <w:p w:rsidR="00A13282" w:rsidRDefault="00A13282" w:rsidP="006D2826">
      <w:pPr>
        <w:pStyle w:val="a5"/>
        <w:rPr>
          <w:rtl/>
        </w:rPr>
      </w:pPr>
      <w:r>
        <w:rPr>
          <w:rStyle w:val="a7"/>
          <w:rtl/>
        </w:rPr>
        <w:footnoteRef/>
      </w:r>
      <w:r>
        <w:rPr>
          <w:rtl/>
        </w:rPr>
        <w:t xml:space="preserve"> </w:t>
      </w:r>
      <w:r>
        <w:rPr>
          <w:b/>
          <w:bCs/>
          <w:rtl/>
        </w:rPr>
        <w:t>חוטמא כו'.</w:t>
      </w:r>
      <w:r>
        <w:rPr>
          <w:rtl/>
        </w:rPr>
        <w:t xml:space="preserve"> כמו שאומר לעיל דבחוטמא אשתמודע כו':</w:t>
      </w:r>
    </w:p>
  </w:footnote>
  <w:footnote w:id="5424">
    <w:p w:rsidR="00A13282" w:rsidRDefault="00A13282" w:rsidP="006D2826">
      <w:pPr>
        <w:pStyle w:val="a5"/>
        <w:rPr>
          <w:rtl/>
        </w:rPr>
      </w:pPr>
      <w:r>
        <w:rPr>
          <w:rStyle w:val="a7"/>
          <w:rtl/>
        </w:rPr>
        <w:footnoteRef/>
      </w:r>
      <w:r>
        <w:rPr>
          <w:rtl/>
        </w:rPr>
        <w:t xml:space="preserve"> </w:t>
      </w:r>
      <w:r>
        <w:rPr>
          <w:b/>
          <w:bCs/>
          <w:rtl/>
        </w:rPr>
        <w:t>מעות לא כו'.</w:t>
      </w:r>
      <w:r>
        <w:rPr>
          <w:rtl/>
        </w:rPr>
        <w:t xml:space="preserve"> דנעשה בעל מום והוא מעות בגלגול ראשון לא יוכל לתקון כאן עד דמית ואהדר בתשובה כאן וכן חסרון אבר וכמו שכתוב וחסרון לא כו', וחסרון בא ע"י חיסור מצוה, ומעוות ע"י לא תעשה ונתעוות גיד דעל ידו נתעוות האבר:</w:t>
      </w:r>
    </w:p>
  </w:footnote>
  <w:footnote w:id="5425">
    <w:p w:rsidR="00A13282" w:rsidRDefault="00A13282" w:rsidP="006D2826">
      <w:pPr>
        <w:pStyle w:val="a5"/>
        <w:rPr>
          <w:rtl/>
        </w:rPr>
      </w:pPr>
      <w:r>
        <w:rPr>
          <w:rStyle w:val="a7"/>
          <w:rtl/>
        </w:rPr>
        <w:footnoteRef/>
      </w:r>
      <w:r>
        <w:rPr>
          <w:rtl/>
        </w:rPr>
        <w:t xml:space="preserve"> </w:t>
      </w:r>
      <w:r>
        <w:rPr>
          <w:b/>
          <w:bCs/>
          <w:rtl/>
        </w:rPr>
        <w:t>לא יפסיק ביחודא כו'.</w:t>
      </w:r>
      <w:r>
        <w:rPr>
          <w:rtl/>
        </w:rPr>
        <w:t xml:space="preserve"> רוצה לומר דאפילו כרוך בהרהורין דעבירה או עשה עבירות, אבל עקרב בהרהורא דעבודת גלולים דהן מצטרפין למעשה ופוסק אפילו בתפלה אם באין לו הרהורין אלו, דהרהורין אלו קטל ליה לבר נש לגמרי, לא כאלו הרהורין דנחש שהן רק באבר אחד, דעבודת גלולים שקולה ככל התורה, וכן כתיב (בראשית לט יב) ויעזוב בגדו בידה וינס כו', דהיא בת אל נכר וכמו שאומר לעיל ריש תיקון כ”א ועיין מה שאומר שם:</w:t>
      </w:r>
    </w:p>
  </w:footnote>
  <w:footnote w:id="5426">
    <w:p w:rsidR="00A13282" w:rsidRDefault="00A13282" w:rsidP="006D2826">
      <w:pPr>
        <w:pStyle w:val="a5"/>
        <w:rPr>
          <w:rtl/>
        </w:rPr>
      </w:pPr>
      <w:r>
        <w:rPr>
          <w:rStyle w:val="a7"/>
          <w:rtl/>
        </w:rPr>
        <w:footnoteRef/>
      </w:r>
      <w:r>
        <w:rPr>
          <w:rtl/>
        </w:rPr>
        <w:t xml:space="preserve"> </w:t>
      </w:r>
      <w:r>
        <w:rPr>
          <w:b/>
          <w:bCs/>
          <w:rtl/>
        </w:rPr>
        <w:t>הה"ד כי כו'.</w:t>
      </w:r>
      <w:r>
        <w:rPr>
          <w:rtl/>
        </w:rPr>
        <w:t xml:space="preserve"> דכתיב יעשן מאף ורוחא כמו שמפרש והולך דכתיב וברוח אפיך, ואמר </w:t>
      </w:r>
      <w:r>
        <w:rPr>
          <w:b/>
          <w:bCs/>
          <w:rtl/>
        </w:rPr>
        <w:t xml:space="preserve">ברוחא דקריר </w:t>
      </w:r>
      <w:r>
        <w:rPr>
          <w:rtl/>
        </w:rPr>
        <w:t>רוצה לומר דכתיב נערמו מים כמו מים הנקרשים בקרירות, ואח"כ ברוח השמאלי שהוא חמימו דאשא ותננא נמסו הנקרשים וכסמו ים, וזה שאומר</w:t>
      </w:r>
      <w:r>
        <w:rPr>
          <w:b/>
          <w:bCs/>
          <w:rtl/>
        </w:rPr>
        <w:t xml:space="preserve"> בתננא כו' כסמו ים.</w:t>
      </w:r>
      <w:r>
        <w:rPr>
          <w:rtl/>
        </w:rPr>
        <w:t xml:space="preserve"> ולכן כתיב נשפת דהוא ברוחא דחמימו כמו שכתוב (ישעיהו מ כד) גם נשף בהם וייבשו, והן ב' רוחין בחוטם, אחד ממוחא ואחד מלבא, דלבא אשא, ודמוחא מיא כמו שאומר ברעיא מהימנא</w:t>
      </w:r>
      <w:r>
        <w:rPr>
          <w:b/>
          <w:rtl/>
        </w:rPr>
        <w:t xml:space="preserve"> פ' פנחס ושאר מקומות והוא רוחא דריאה דהוא ממזג מוחא ולבא וביה מתייחדין כמו שאומר שם:</w:t>
      </w:r>
    </w:p>
  </w:footnote>
  <w:footnote w:id="5427">
    <w:p w:rsidR="00A13282" w:rsidRDefault="00A13282" w:rsidP="006D2826">
      <w:pPr>
        <w:pStyle w:val="a5"/>
        <w:rPr>
          <w:rtl/>
        </w:rPr>
      </w:pPr>
      <w:r>
        <w:rPr>
          <w:rStyle w:val="a7"/>
          <w:rtl/>
        </w:rPr>
        <w:footnoteRef/>
      </w:r>
      <w:r>
        <w:rPr>
          <w:rtl/>
        </w:rPr>
        <w:t xml:space="preserve"> </w:t>
      </w:r>
      <w:r>
        <w:rPr>
          <w:bCs/>
          <w:rtl/>
        </w:rPr>
        <w:t>אודנין כו' למעלות.</w:t>
      </w:r>
      <w:r>
        <w:rPr>
          <w:rtl/>
        </w:rPr>
        <w:t xml:space="preserve"> כמו שמפרש והולך כי גבוה כו', שהן ד' אדרין דאודנין (כמו שאומר לעיל ק"ל א') וג' מעלות ביניהם, כל אחד עשרה מעלות, הן ל' מעלות שהשיר סליק בקלא לאודנין, והן ג’ פעמים עשרה דמלכית וזכרונות ושופרות דר"ה דהוא דין והוא באודנין דהוא יראי אלקים כמו שמפרש והולך ולכן ביה השיר דלואי, וביה המעלות דכל עליה מצד הדין ועיין בזוהר חדש כ"ט ב' יראי אלקים בשמיעה דתליא באודנין דתמן יראה, הה"ד ה' שמעתי שמעך כו', וצלותא דראש השנה - כורסייא דדין, ותמן כו' כגוונא דשערא תלייא בתר אודנין מימינא ומשמאמא כו' עד דיתבערון דינין מתרעא, ויהון צווחין בה לגביה בעשרה זכרונות ובעשרה מלכיות ובעשרה שופרות כו', עיין שם דצלותא דפסח ראש השנה סוכות הן דחג"ת, דראיה שמיעה ריח, ושבת הוא דפה, ולכן בראש השנה שהן דאודנין - צריכין לשיר דשופר, דסליק בל' מעלות בד' אדרין דאודנין ועיין לעיל תיקון כ”ה ומה שבארנו שם, ועיין לעיל כ"ג ב', וזה שאומר </w:t>
      </w:r>
      <w:r>
        <w:rPr>
          <w:b/>
          <w:bCs/>
          <w:rtl/>
        </w:rPr>
        <w:t xml:space="preserve">כי גבוה מעל גבוה שומר וגבוהים </w:t>
      </w:r>
      <w:r>
        <w:rPr>
          <w:rtl/>
        </w:rPr>
        <w:t xml:space="preserve">שהן ד' זה על זה, ד' אדרין, ואמר </w:t>
      </w:r>
      <w:r>
        <w:rPr>
          <w:b/>
          <w:bCs/>
          <w:rtl/>
        </w:rPr>
        <w:t xml:space="preserve">ואי אינון אטימין כו' </w:t>
      </w:r>
      <w:r>
        <w:rPr>
          <w:rtl/>
        </w:rPr>
        <w:t xml:space="preserve">כמו שכתוב (משלי כא יג) אוטם אזנו מזעקת דל גם כו', ואמר </w:t>
      </w:r>
      <w:r>
        <w:rPr>
          <w:b/>
          <w:bCs/>
          <w:rtl/>
        </w:rPr>
        <w:t>מתמן צריך כו'</w:t>
      </w:r>
      <w:r>
        <w:rPr>
          <w:rtl/>
        </w:rPr>
        <w:t xml:space="preserve"> רוצה לומר מדרגא דתליא ביה שמיעה וזה ששאלו ר' אלעזר </w:t>
      </w:r>
      <w:r>
        <w:rPr>
          <w:b/>
          <w:bCs/>
          <w:rtl/>
        </w:rPr>
        <w:t>באן אתר כו'</w:t>
      </w:r>
      <w:r>
        <w:rPr>
          <w:rtl/>
        </w:rPr>
        <w:t xml:space="preserve"> ואמר לו דד' חושים דאנשי חיל כו' בד' נוקבין דרישא הן ד' סטרין דעלמא בד' דגלים כמו שמפרש והולך אמר ליה ברי כו':</w:t>
      </w:r>
    </w:p>
  </w:footnote>
  <w:footnote w:id="5428">
    <w:p w:rsidR="00A13282" w:rsidRDefault="00A13282" w:rsidP="006D2826">
      <w:pPr>
        <w:pStyle w:val="a5"/>
        <w:rPr>
          <w:rtl/>
        </w:rPr>
      </w:pPr>
      <w:r>
        <w:rPr>
          <w:rStyle w:val="a7"/>
          <w:rtl/>
        </w:rPr>
        <w:footnoteRef/>
      </w:r>
      <w:r>
        <w:rPr>
          <w:rtl/>
        </w:rPr>
        <w:t xml:space="preserve"> </w:t>
      </w:r>
      <w:r>
        <w:rPr>
          <w:b/>
          <w:bCs/>
          <w:rtl/>
        </w:rPr>
        <w:t>ראיה הוא כסא למזרח.</w:t>
      </w:r>
      <w:r>
        <w:rPr>
          <w:rtl/>
        </w:rPr>
        <w:t xml:space="preserve"> דד' חושים אלו בד' סטרין נגד ד' דגלים ונגד ד' תיקונין, כסא מטה ושולחן ומנורה דכתיב אצל אלישע כמו שאומר בפ' תרומה קל"ג א', וכסא הוא למזרח ושם הוא יהודה דהוא כסא המלוכה ושם הוא ראיה כמו שמפרש והולך דמשם יוצא האור והשמש וראיה הוא באור דראיה ואור העולם, ואמר </w:t>
      </w:r>
      <w:r>
        <w:rPr>
          <w:b/>
          <w:bCs/>
          <w:rtl/>
        </w:rPr>
        <w:t xml:space="preserve">ואתמר ביה גור אריה יהודה </w:t>
      </w:r>
      <w:r>
        <w:rPr>
          <w:rtl/>
        </w:rPr>
        <w:t>דאריה הוא אותיות ראיה, והוא חיה דראיה כמו שאומר לעיל קכ"א  א':</w:t>
      </w:r>
    </w:p>
  </w:footnote>
  <w:footnote w:id="5429">
    <w:p w:rsidR="00A13282" w:rsidRDefault="00A13282" w:rsidP="006D2826">
      <w:pPr>
        <w:pStyle w:val="a5"/>
        <w:rPr>
          <w:rtl/>
        </w:rPr>
      </w:pPr>
      <w:r>
        <w:rPr>
          <w:rStyle w:val="a7"/>
          <w:rtl/>
        </w:rPr>
        <w:footnoteRef/>
      </w:r>
      <w:r>
        <w:rPr>
          <w:rtl/>
        </w:rPr>
        <w:t xml:space="preserve"> </w:t>
      </w:r>
      <w:r>
        <w:rPr>
          <w:b/>
          <w:bCs/>
          <w:rtl/>
        </w:rPr>
        <w:t>מערב דא פומא דמתמן כו'.</w:t>
      </w:r>
      <w:r>
        <w:rPr>
          <w:rtl/>
        </w:rPr>
        <w:t xml:space="preserve"> דכל אורות דעינים ואודנין וחוטם באין ומתערבין אחר כך בפה (וכמו שאומר בזוהר חדש כ"ט ב' פה איהו שבת כלילא מכלהו) וכן בשכינה דאיהי פומא - כל האורות דלמעלה מתערבין בה, וכן חיילין דלתתא דהיא דיוקנא דכלא, וזה שאומר </w:t>
      </w:r>
      <w:r>
        <w:rPr>
          <w:b/>
          <w:bCs/>
          <w:rtl/>
        </w:rPr>
        <w:t>ותמן מתערבין כל כו'</w:t>
      </w:r>
      <w:r>
        <w:rPr>
          <w:rtl/>
        </w:rPr>
        <w:t xml:space="preserve"> ודוגמת הפה שהיא בחינה תחתונה שבראש, ונכלל מכל מה שבראש שלכן עשר ספירות בפומא כמו שאומר בתיקוני זוהר חדש, והיא בחינה עליונה שבגוף ולכן ב' חושים בה, חוש הדבור בחינה תחתונה שבד' חושים, וחוש הטעם בחינה עליונה שבחוש המשוש שבגוף, והיא בחינת עירוב חיילין דלתתא וכלילת שלמעלה, ורוצה לומר שלכן ג"כ נקרא מערב על שם העירוב. וכן הוא רוח מערב כלילת כל הג' רוחין, וכל הנהורין שבג' צדדין נכללין בה שלכן ג"כ נקראת מערב:</w:t>
      </w:r>
    </w:p>
  </w:footnote>
  <w:footnote w:id="5430">
    <w:p w:rsidR="00A13282" w:rsidRDefault="00A13282" w:rsidP="006D2826">
      <w:pPr>
        <w:pStyle w:val="a5"/>
        <w:rPr>
          <w:rtl/>
        </w:rPr>
      </w:pPr>
      <w:r>
        <w:rPr>
          <w:rStyle w:val="a7"/>
          <w:rtl/>
        </w:rPr>
        <w:footnoteRef/>
      </w:r>
      <w:r>
        <w:rPr>
          <w:rtl/>
        </w:rPr>
        <w:t xml:space="preserve"> </w:t>
      </w:r>
      <w:r>
        <w:rPr>
          <w:b/>
          <w:bCs/>
          <w:rtl/>
        </w:rPr>
        <w:t>ומחנה אפרים כו'.</w:t>
      </w:r>
      <w:r>
        <w:rPr>
          <w:rtl/>
        </w:rPr>
        <w:t xml:space="preserve"> רוצה לומר דאפרים נקרא על שם פריה ורביה כמו שכתוב (בראשית מא נב) כי הפרני כו' וזה שאומר </w:t>
      </w:r>
      <w:r>
        <w:rPr>
          <w:b/>
          <w:bCs/>
          <w:rtl/>
        </w:rPr>
        <w:t>ומטה למערב כו':</w:t>
      </w:r>
    </w:p>
  </w:footnote>
  <w:footnote w:id="5431">
    <w:p w:rsidR="00A13282" w:rsidRDefault="00A13282" w:rsidP="006D2826">
      <w:pPr>
        <w:pStyle w:val="a5"/>
        <w:rPr>
          <w:rtl/>
        </w:rPr>
      </w:pPr>
      <w:r>
        <w:rPr>
          <w:rStyle w:val="a7"/>
          <w:rtl/>
        </w:rPr>
        <w:footnoteRef/>
      </w:r>
      <w:r>
        <w:rPr>
          <w:rtl/>
        </w:rPr>
        <w:t xml:space="preserve"> </w:t>
      </w:r>
      <w:r>
        <w:rPr>
          <w:b/>
          <w:bCs/>
          <w:rtl/>
        </w:rPr>
        <w:t>שמיעה לקבל כו'.</w:t>
      </w:r>
      <w:r>
        <w:rPr>
          <w:rtl/>
        </w:rPr>
        <w:t xml:space="preserve"> רוצה לומר, ששמיעה שהוא בצפון, לראיה ממה שכתוב ה' שמעתי שמעך יראתי, ודחילו הוא בצפון, וזה שאומר </w:t>
      </w:r>
      <w:r>
        <w:rPr>
          <w:b/>
          <w:bCs/>
          <w:rtl/>
        </w:rPr>
        <w:t xml:space="preserve">ותמן דחילו הה"ד כו' </w:t>
      </w:r>
      <w:r>
        <w:rPr>
          <w:rtl/>
        </w:rPr>
        <w:t xml:space="preserve">וכמו שאומר בזוהר חדש בפ' יתרו כ"ט ב' יראי אלקים בשמיעה דתליא באודנין דתמן יראה הה"ד ה' שמעתי שמעך יראתי, ואמר </w:t>
      </w:r>
      <w:r>
        <w:rPr>
          <w:b/>
          <w:bCs/>
          <w:rtl/>
        </w:rPr>
        <w:t>לקבל שלחן בצפון ומחנה דן בצפון</w:t>
      </w:r>
      <w:r>
        <w:rPr>
          <w:rtl/>
        </w:rPr>
        <w:t xml:space="preserve"> רוצה לומר שהן הכל מסטרא דגבורה, שולחן כידוע שלכן אמרו (פסחים קיח ע"א) קשין מזונותיו כו', ודן כמו שכתוב (בראשית מט טז) דן ידין עמו כו', (שם ל ו) דנני אלקים כו', (שם מט יז) יהי דן נחש כו', וכן גבול דן שהוא לשם שנקרא דן - בצפון ארץ ישראל: </w:t>
      </w:r>
    </w:p>
  </w:footnote>
  <w:footnote w:id="5432">
    <w:p w:rsidR="00A13282" w:rsidRDefault="00A13282" w:rsidP="006D2826">
      <w:pPr>
        <w:pStyle w:val="a5"/>
        <w:rPr>
          <w:rtl/>
        </w:rPr>
      </w:pPr>
      <w:r>
        <w:rPr>
          <w:rStyle w:val="a7"/>
          <w:rtl/>
        </w:rPr>
        <w:footnoteRef/>
      </w:r>
      <w:r>
        <w:rPr>
          <w:rtl/>
        </w:rPr>
        <w:t xml:space="preserve"> </w:t>
      </w:r>
      <w:r>
        <w:rPr>
          <w:b/>
          <w:bCs/>
          <w:rtl/>
        </w:rPr>
        <w:t>ואזן דמות א' כו'.</w:t>
      </w:r>
      <w:r>
        <w:rPr>
          <w:rtl/>
        </w:rPr>
        <w:t xml:space="preserve"> </w:t>
      </w:r>
      <w:r>
        <w:rPr>
          <w:b/>
          <w:bCs/>
          <w:rtl/>
        </w:rPr>
        <w:t>בינה דאיהי אזן לצפון</w:t>
      </w:r>
      <w:r>
        <w:rPr>
          <w:rtl/>
        </w:rPr>
        <w:t>. ומביא ראיה דשמיעה דאוזן היא בצפון, דהוא אלף, ואלף בינה, ובינה הוא לצפון כמו שאומר בפ' במדבר דאו"א הן מזרח וצפון, וזו"נ הן דרום ומערב, וזה שאומר ואוזן הוא דמות אלף הוא מספר הבהיר ד' ב' דבר אחר מאי דכתיב שמעתי שמעך יראתי כו' משמעך יראתי, ומאי משמעך ממקום ששומעין בו, ומאי טעמא אמר שמעתי, הבנתי מבעי ליה כמה דאת אמר גוי אשר לא תשמע לשונו כו' (הגהה: ומאי טעמא יראתי משום) דאוזן דמות אלף כו', ומהאלף יצאו כל האותיות, הלא תראה שהוא בתחילתן, ואמר וה' בראשם וקיימא לן דכל שם הכתוב ביהו"ה מיוחד הקב"ה ומקודש בקודש, ומאי בקודש בהיכל הקודש, ואנה היכל הקודש הוי אומר במחשבה והיינו אלף הדא הוא דכתיב ה' שמעתי שמעך יראתי, רוצה לומר דהיכל הקודש בינה והוא המחשבה ולכן יראתי דשם דחילו כנ"ל, והיא היכלא הקודש נקודה בהיכליה, ועביד ליה היכל ליקריה כו' ואמר שמעתי הוא הבנתי, וזה שאומר ומהאלף יצאו כל האותיות דמבינה יוצאין כל האותיות כמו שאומר למעלה, ועיין בזוהר פ’ תצוה ופ' תרומה בארוכה ולכן היא אלף כללא דכל אתוון, וזהו וה' בראשם, דאלף הוא שם הוי"ה וכולל כל הכ"ו אתוון:</w:t>
      </w:r>
    </w:p>
  </w:footnote>
  <w:footnote w:id="5433">
    <w:p w:rsidR="00A13282" w:rsidRDefault="00A13282" w:rsidP="006D2826">
      <w:pPr>
        <w:pStyle w:val="a5"/>
        <w:rPr>
          <w:rtl/>
        </w:rPr>
      </w:pPr>
      <w:r>
        <w:rPr>
          <w:rStyle w:val="a7"/>
          <w:rtl/>
        </w:rPr>
        <w:footnoteRef/>
      </w:r>
      <w:r>
        <w:rPr>
          <w:rtl/>
        </w:rPr>
        <w:t xml:space="preserve"> </w:t>
      </w:r>
      <w:r>
        <w:rPr>
          <w:b/>
          <w:bCs/>
          <w:rtl/>
        </w:rPr>
        <w:t xml:space="preserve">ריחא לדרום </w:t>
      </w:r>
      <w:r>
        <w:rPr>
          <w:rtl/>
        </w:rPr>
        <w:t>[</w:t>
      </w:r>
      <w:r>
        <w:rPr>
          <w:b/>
          <w:bCs/>
          <w:rtl/>
        </w:rPr>
        <w:t>ריח ניחוח לה'.</w:t>
      </w:r>
      <w:r>
        <w:rPr>
          <w:rtl/>
        </w:rPr>
        <w:t xml:space="preserve"> רוצה לומר דכל נייחא דריחא הוא לדרום, בחסד, ושם הוא קריבו דכלא, דביה מתייחדין כולא]:</w:t>
      </w:r>
    </w:p>
  </w:footnote>
  <w:footnote w:id="5434">
    <w:p w:rsidR="00A13282" w:rsidRDefault="00A13282" w:rsidP="006D2826">
      <w:pPr>
        <w:pStyle w:val="a5"/>
        <w:rPr>
          <w:rtl/>
        </w:rPr>
      </w:pPr>
      <w:r>
        <w:rPr>
          <w:rStyle w:val="a7"/>
          <w:rtl/>
        </w:rPr>
        <w:footnoteRef/>
      </w:r>
      <w:r>
        <w:rPr>
          <w:rtl/>
        </w:rPr>
        <w:t xml:space="preserve"> </w:t>
      </w:r>
      <w:r>
        <w:rPr>
          <w:b/>
          <w:bCs/>
          <w:rtl/>
        </w:rPr>
        <w:t>אית לחוטמא תרין כו' חוטמא ו' באמצעיתא כו'.</w:t>
      </w:r>
      <w:r>
        <w:rPr>
          <w:rtl/>
        </w:rPr>
        <w:t xml:space="preserve"> דחוטמא הוא הוי"ה, כי ו' כולל ב' יודין דוייצר כמו שאומר לקמן ב' נוקבין דחוטמא שהן דינא ורחמי כמו שאומר לקמן קכ"ח ב', והוא עמודא דאמצעיתא כולל חסד וגבורה, וזה שאומר </w:t>
      </w:r>
      <w:r>
        <w:rPr>
          <w:b/>
          <w:bCs/>
          <w:rtl/>
        </w:rPr>
        <w:t xml:space="preserve">תרין צנורות אינון דיליה </w:t>
      </w:r>
      <w:r>
        <w:rPr>
          <w:rtl/>
        </w:rPr>
        <w:t xml:space="preserve">שביה חו"ג, ב' אחסנתין, ולכן כולל ג"כ חסד וגבורה שבצדדין, והוא בחוטמא ב' נקבים והכותל שהן ג' דחג"ת דכלילין בת"ת, וזה שאומר </w:t>
      </w:r>
      <w:r>
        <w:rPr>
          <w:b/>
          <w:bCs/>
          <w:rtl/>
        </w:rPr>
        <w:t xml:space="preserve">דאתמר לגבי מחנה ראובן ראו בן. </w:t>
      </w:r>
      <w:r>
        <w:rPr>
          <w:rtl/>
        </w:rPr>
        <w:t>רוצה לומר כמו שאומר בפ' ויצא קמ"ד ב' תא חזי בגיניה דיעקב אתקיים עלמא כו' תא חזי מה כתיב בני בכורי ישראל כו' ישראל אקרי בן לקב"ה כו' לאה כד אולידת לראובן מה כתיב ותקרא את שמו ראובן, ראובן סתם, בגין דאתכליל בתלת סטרין מתחברין בחדא כו', אריה מהכא דכתיב יתר שאת ויתר עז כתרגומו בכירותא כהונתא ומלכותא, ומלכות בסטרא דגבורה איהו, ועל דא ראובן סתם, ואמר ר' אבא ראובן סתם דאתכליל בשמעון ולוי כו', ורוצה לומר דכולל חג"ת לכן נקרא בן סתם, דעמודא דאמצעיתא בן י"ה דכולל ימינא ושמאלא כנ"ל, והוא ג' סטרין ראובן שמעון לוי כמו שאומר שם ובפ' משפטים ושאר מקומות, והן כהונה מסטרא דכהן איש חסד, ומלכו בסטרא דגבורה, ובכורה מסטרא דעמודא דאמצעיתא בני בכורי ישראל, והוא נטיל ב' חולקין דלכן הן ד' בתי דתפילין ולכן כתיב ב’ פעמים יתר נגד בכורה, ושאת - כהונה, וישא אהרן את ידיו, ועז - מלכות, ויתן עז למלכו, ולכן נקרא בן סתם בני בכורי ישראל, דכליל חג"ת ג' סטרין, והוא לראיה שהוא בחוטמא דכליל ב' נוקבין דחוטמא חו"ג, ו' באמצעיתא עמודא דאמצעיתא, והוא דרום עמודא דאמצעיתא כנ"ל, וזה שכתוב ריח ניחוח לה' שהוא יחודא דג' סטרין כמו שאומר בספר הבהיר ו' א' מאי דכתיב יברכך ה' וישמרך יאר ה' פניו אליך ויחונך ישא ה' פניו אליך וישם לך שלום, זה שמו של הקב"ה המפורש והוא שם של י"ב דכתיב יהו"ה יהו"ה יהו"ה מלמד ששמו של הקב"ה שלשה חיילין כו' כ"ד שמות עם כל שם כו' כ"ד שמותיו של הקב"ה ג’ פעמים</w:t>
      </w:r>
      <w:r>
        <w:rPr>
          <w:b/>
          <w:rtl/>
        </w:rPr>
        <w:t xml:space="preserve"> ויהיו ע"ב שמותיו של הקב"ה היוצאים מן ויסע ויבא ויט, ומי הם אלה השרים, מלמד ששלשה הם, שהגבורה שר כו' ומימינו כו' ובאמצע כו', בעת שישראל מקריבין קרבן לפני אביהם שבשמים מתייחדין והיינו יחידו של אלקינו, ואמאי אתקרי קרבן אלא מפני שמקרב הכחות הקדושות כדכתיב וקרב אותם אחד אל אחד, לך לעץ אחד וגו', ואמר לריח ניחוח ואין ריח אלא באף ואין נשימה שהיא הריח אלא באף ואין ניחוח אלא ירידה שנאמר וירד ומתרגמינן ונחת, יורד ומתייחד בצורת הקדושות ההם ומתקרב ע"י הקרבן כו', ואמר תרין נוקבין אינון לקבל לאה כו' הוא ג"כ לראיה שהוא בעמודא דאמצעיתא, דרום, שהוא בריח התיכון ג"כ מלמטה למעלה, מן העולם ועד העולם, לאה ורחל, והוא בחוטם, שכל נקב הוא בנקבה, ב' נוקבין דחוטמא, ו' חוטמא באמצעיתא וכמו שאומר בזוהר חדש עיין שם, והוא ביניהם:</w:t>
      </w:r>
    </w:p>
  </w:footnote>
  <w:footnote w:id="5435">
    <w:p w:rsidR="00A13282" w:rsidRDefault="00A13282" w:rsidP="006D2826">
      <w:pPr>
        <w:pStyle w:val="a5"/>
        <w:rPr>
          <w:rtl/>
        </w:rPr>
      </w:pPr>
      <w:r>
        <w:rPr>
          <w:rStyle w:val="a7"/>
          <w:rtl/>
        </w:rPr>
        <w:footnoteRef/>
      </w:r>
      <w:r>
        <w:rPr>
          <w:rtl/>
        </w:rPr>
        <w:t xml:space="preserve"> </w:t>
      </w:r>
      <w:r>
        <w:rPr>
          <w:bCs/>
          <w:rtl/>
        </w:rPr>
        <w:t>א"ל ר"א אבא מנ"ל דאימא דאיהי לצפון בה תליא שמיעה.</w:t>
      </w:r>
      <w:r>
        <w:rPr>
          <w:rtl/>
        </w:rPr>
        <w:t xml:space="preserve"> רוצה לומר, דרוצה לידע האיך מרומז השמיעה עצמה בה, אע"ג דאוזן כבר רמיז בה מכל מקום גם השמיעה האיך מרומז בה, דראיה באבא דהוא אור הראשון, וריח בחוטם שהוא ברוח חיים באפיו וכמו שאומר לעיל ס"א א' ובזוהר חדש שם בארוכה וכמו שאומר לעיל בבהיר ואין נשימה שהיא הריח אלא באף ורוח חיים הוא עמודא דאמצעיתא, ודבור מלכות ג"כ ידוע, אבל שמיעה באימא מנ"ל:</w:t>
      </w:r>
    </w:p>
  </w:footnote>
  <w:footnote w:id="5436">
    <w:p w:rsidR="00A13282" w:rsidRDefault="00A13282" w:rsidP="006D2826">
      <w:pPr>
        <w:pStyle w:val="a5"/>
        <w:rPr>
          <w:rtl/>
        </w:rPr>
      </w:pPr>
      <w:r>
        <w:rPr>
          <w:rStyle w:val="a7"/>
          <w:rtl/>
        </w:rPr>
        <w:footnoteRef/>
      </w:r>
      <w:r>
        <w:rPr>
          <w:rtl/>
        </w:rPr>
        <w:t xml:space="preserve"> </w:t>
      </w:r>
      <w:r>
        <w:rPr>
          <w:b/>
          <w:bCs/>
          <w:rtl/>
        </w:rPr>
        <w:t>א"ל ברי חמשין כו'.</w:t>
      </w:r>
      <w:r>
        <w:rPr>
          <w:rtl/>
        </w:rPr>
        <w:t xml:space="preserve"> רוצה לומר דפסוק שמע ישראל הוא נ' תרעין דיחודא דבוקר ודערב, ב’ פעמים כ"ה, כ"ה וכ"ה כמו שאומר לעיל בכמה מקומות בארוכה, והוא לראיה ששמע הוא בבינה, ואמר </w:t>
      </w:r>
      <w:r>
        <w:rPr>
          <w:b/>
          <w:bCs/>
          <w:rtl/>
        </w:rPr>
        <w:t>וישראל איהו כו'</w:t>
      </w:r>
      <w:r>
        <w:rPr>
          <w:rtl/>
        </w:rPr>
        <w:t xml:space="preserve"> רוצה לומר אע"ג שנאמר בישראל, הוא ג"כ בה, שהיא כללא דג' או"א וברא כמו שמפרש והולך, והוא בינה, בן י"ה, ג' הנ"ל, והוא יחודא דפסוק זה ה' אלקינו ה' אלו ג' אחד, והוא בה בינה בן י"ה אחד בה, וזה שאומר ובג"ד שמיעה בה תליא:</w:t>
      </w:r>
    </w:p>
  </w:footnote>
  <w:footnote w:id="5437">
    <w:p w:rsidR="00A13282" w:rsidRDefault="00A13282" w:rsidP="006D2826">
      <w:pPr>
        <w:pStyle w:val="a5"/>
        <w:rPr>
          <w:rtl/>
        </w:rPr>
      </w:pPr>
      <w:r>
        <w:rPr>
          <w:rStyle w:val="a7"/>
          <w:rtl/>
        </w:rPr>
        <w:footnoteRef/>
      </w:r>
      <w:r>
        <w:rPr>
          <w:rtl/>
        </w:rPr>
        <w:t xml:space="preserve"> </w:t>
      </w:r>
      <w:r>
        <w:rPr>
          <w:b/>
          <w:bCs/>
          <w:rtl/>
        </w:rPr>
        <w:t>לית תיקונא מאלין ארבע אתוון כו'.</w:t>
      </w:r>
      <w:r>
        <w:rPr>
          <w:rtl/>
        </w:rPr>
        <w:t xml:space="preserve"> רוצה לומר [אע"ג דארבע אתוון דהוי"ה בד' תיקונין דד' חושים אלו מכל מקום בכל אחד נכלל עשר ספירות] דארבע אתוון דהוי"ה שהיא בכל תיקון מעשר תיקונין הנ"ל כמו שאומר בכל תיקון בד' גוונין דשערא וכמו שאומר למעלה בכל אחד ואחד כמו שאומר לקמן ק"ל א' יהו"ה הוא כו' הוא אשתכח בד' גוונין דשערא ובד' גוונין דעינא ובד' אדרין דאודנא כו' עיין שם נכלל ג"כ כל תיקון מעשר שהוא עשר אתוון דשמא מפרש כמו שמפרש והולך דאינון כו' והוא אדם כמו שאומר לקמן ק"כ א' אינון רשימין בארבע אתוון דאינון יהו"ה מאי אדם כו' ועיין לעיל קכ"א א' עשר תיקונין אלין כל תיקונא אית לה ארבע שעורין דסלקין לעשר כגוונא דרשות היחיד דרחבו ארבעה וגבהו עשרה, ארבעה יהו"ה, עשרה יו"ד ה"א וא"ו ה"א, ואמר זה כאן והאריך בזה מאד משום שרוצה לפרש תיקונין דפומא דהוא אדם דכליל הכל, שמא מפרש, כמו שאומר בזוהר חדש בארוכה:</w:t>
      </w:r>
    </w:p>
  </w:footnote>
  <w:footnote w:id="5438">
    <w:p w:rsidR="00A13282" w:rsidRDefault="00A13282" w:rsidP="006D2826">
      <w:pPr>
        <w:pStyle w:val="a5"/>
        <w:rPr>
          <w:rtl/>
        </w:rPr>
      </w:pPr>
      <w:r>
        <w:rPr>
          <w:rStyle w:val="a7"/>
          <w:rtl/>
        </w:rPr>
        <w:footnoteRef/>
      </w:r>
      <w:r>
        <w:rPr>
          <w:rtl/>
        </w:rPr>
        <w:t xml:space="preserve"> </w:t>
      </w:r>
      <w:r>
        <w:rPr>
          <w:b/>
          <w:bCs/>
          <w:rtl/>
        </w:rPr>
        <w:t>איהו לא אשתני כו'.</w:t>
      </w:r>
      <w:r>
        <w:rPr>
          <w:rtl/>
        </w:rPr>
        <w:t xml:space="preserve"> רוצה לומר דהוי"ה הוא בכל התיקונין והוא לא אשתני, דהשתנות הוא באברי הגוף שזה רואה וזה שומע אבל בנשמתא לית שינויא דהיא רואה ושומע ומריח ומדבר הכל בכח אחד, וכן יהו"ה דהוא נשמתא כמו שאומר לעיל בתיקון ס”ב ושאר מקומות הרבה, ועיין לעיל סוף תיקון נ”ה ומה שבארנו שם בארוכה, וזה שאומר שינויין אינון במאני כו' הה"ד אני ה' כו' שם הוי"ה לא כו', ואמר </w:t>
      </w:r>
      <w:r>
        <w:rPr>
          <w:b/>
          <w:bCs/>
          <w:rtl/>
        </w:rPr>
        <w:t>הה"ד ורוח כו'</w:t>
      </w:r>
      <w:r>
        <w:rPr>
          <w:rtl/>
        </w:rPr>
        <w:t xml:space="preserve"> הוא לראיה שבדרום מרחף שנאמר ורוח שהוא רוחא דחוטמא ונאמר על פני המים שהם בדרום:</w:t>
      </w:r>
    </w:p>
  </w:footnote>
  <w:footnote w:id="5439">
    <w:p w:rsidR="00A13282" w:rsidRDefault="00A13282" w:rsidP="006D2826">
      <w:pPr>
        <w:pStyle w:val="a5"/>
        <w:rPr>
          <w:rtl/>
        </w:rPr>
      </w:pPr>
      <w:r>
        <w:rPr>
          <w:rStyle w:val="a7"/>
          <w:rtl/>
        </w:rPr>
        <w:footnoteRef/>
      </w:r>
      <w:r>
        <w:rPr>
          <w:rtl/>
        </w:rPr>
        <w:t xml:space="preserve"> </w:t>
      </w:r>
      <w:r>
        <w:rPr>
          <w:b/>
          <w:bCs/>
          <w:rtl/>
        </w:rPr>
        <w:t>ובכל אבר ואבר דאיהו כו'.</w:t>
      </w:r>
      <w:r>
        <w:rPr>
          <w:rtl/>
        </w:rPr>
        <w:t xml:space="preserve"> רוצה לומר כמו שמפרש והולך דאינון נר מצוה, רמ"ח פקודין ברמ"ח אברים, ומצוה הוא הוי"ה כמו שאומר לקמן ק"ל א' קל"ח א' ושאר מקומות לכן צריך לאמלכא ליה בכל אבר, וכן נר הוא הוי"ה כמו שכתוב נר ה' כו' כמו שמפרש והולך, והוא הנשמה דבכל אבר נר ה' נשמת אדם כמו שמפרש והולך, וזה שאומר ודא כו' ומפרש והולך </w:t>
      </w:r>
      <w:r>
        <w:rPr>
          <w:b/>
          <w:bCs/>
          <w:rtl/>
        </w:rPr>
        <w:t>וצריך לאוקדא לון בכל פקודין כו'</w:t>
      </w:r>
      <w:r>
        <w:rPr>
          <w:rtl/>
        </w:rPr>
        <w:t xml:space="preserve"> </w:t>
      </w:r>
      <w:r>
        <w:rPr>
          <w:b/>
          <w:bCs/>
          <w:rtl/>
        </w:rPr>
        <w:t>כל חדרי בטן.</w:t>
      </w:r>
      <w:r>
        <w:rPr>
          <w:rtl/>
        </w:rPr>
        <w:t xml:space="preserve"> שהן הרהורין מקירות לב:</w:t>
      </w:r>
    </w:p>
  </w:footnote>
  <w:footnote w:id="5440">
    <w:p w:rsidR="00A13282" w:rsidRDefault="00A13282" w:rsidP="006D2826">
      <w:pPr>
        <w:pStyle w:val="a5"/>
        <w:rPr>
          <w:rtl/>
        </w:rPr>
      </w:pPr>
      <w:r>
        <w:rPr>
          <w:rStyle w:val="a7"/>
          <w:rtl/>
        </w:rPr>
        <w:footnoteRef/>
      </w:r>
      <w:r>
        <w:rPr>
          <w:rtl/>
        </w:rPr>
        <w:t xml:space="preserve"> </w:t>
      </w:r>
      <w:r>
        <w:rPr>
          <w:b/>
          <w:bCs/>
          <w:rtl/>
        </w:rPr>
        <w:t>ולבערא מנייהו כו'.</w:t>
      </w:r>
      <w:r>
        <w:rPr>
          <w:rtl/>
        </w:rPr>
        <w:t xml:space="preserve"> דבכל מצוה ביה ב' דברים, מחשבה ועובדא שהן י"ה, וצריכין להיות שניהם נקיים, מחשבה דהוא טפה דמוחא עיסה - מן שאור וחמץ, ועובדא - מן מוץ ותבן, והן ב' יצרים תאווני וכעסני, וכן המחשבה משניהם שלא יהיה לשום פניה מאחת מאלו, ועיין לעיל תיקון ט”ז חטה אילנא כו' ואיהו לא עביד ליה מצה שמורה ולא אפיק מתמן חלה כו', טפה דא יו"ד עסה צריך לאפקא מיניה חלה ומיד חל ה"א על ההיא טפה ויהיב ליה זרע כליל מתרווייהו דאיהו וא"ו כו', רוצה לומר חלה הוא חל ה"א, והוא כמו באיש ואשה דאינון אבא ואמא של הולד שהן י"ה, באש ואש שהן נרות, וכן כאן במחשבה ועובדא דבר נש ושריא על האבר וא"ו, והאבר הוא ה"א, ונשלם השם, והוא"ו עצמו הוא הוי"ה דשריא על מצוה דאיהי שכינתא, ה' בתראה, ועיין לעיל תיקון ט”ז דהן ג' פקודין של האשה, נר וחלה ושאור ותבן כו' הוא דם נדה כו' עיין שם, ואמר </w:t>
      </w:r>
      <w:r>
        <w:rPr>
          <w:b/>
          <w:bCs/>
          <w:rtl/>
        </w:rPr>
        <w:t>סלת</w:t>
      </w:r>
      <w:r>
        <w:rPr>
          <w:rtl/>
        </w:rPr>
        <w:t xml:space="preserve"> </w:t>
      </w:r>
      <w:r>
        <w:rPr>
          <w:b/>
          <w:bCs/>
          <w:rtl/>
        </w:rPr>
        <w:t>נקיה</w:t>
      </w:r>
      <w:r>
        <w:rPr>
          <w:rtl/>
        </w:rPr>
        <w:t xml:space="preserve"> כנ"ל בלא יצר הרע. ואמר </w:t>
      </w:r>
      <w:r>
        <w:rPr>
          <w:b/>
          <w:bCs/>
          <w:rtl/>
        </w:rPr>
        <w:t>דכל פקודא דשריא.</w:t>
      </w:r>
      <w:r>
        <w:rPr>
          <w:rtl/>
        </w:rPr>
        <w:t xml:space="preserve"> חוזר לענין ראשון דפקודא דכל אבר הוא הגוף, ושם הוי"ה דשריא על כל פקודא הוא הנשמה, דבה לית שינויא, דבכל פקודא שריא שם הוי"ה, ואמר </w:t>
      </w:r>
      <w:r>
        <w:rPr>
          <w:b/>
          <w:bCs/>
          <w:rtl/>
        </w:rPr>
        <w:t xml:space="preserve">אית לה שם ידיעה כו' </w:t>
      </w:r>
      <w:r>
        <w:rPr>
          <w:rtl/>
        </w:rPr>
        <w:t xml:space="preserve">כמו שהשינויים הם באברין שזה רואה וזה שומע כו' כנ"ל, וכן הפקודין עצמן דכל פקודא הוא דבר אחר, זה להניח תפילין וזה לקרות קריאת שמע, אבל הוי"ה שוה הוא בכל פקודין, ועיין לעיל סוף תיקון נ”ה ומה שבארנו שם, וזה שאומר וכל חיילין ומשריין כו' ומאן דחליף לון כו' וכמו שאומר שם עיין שם בדבריו, ואמר </w:t>
      </w:r>
      <w:r>
        <w:rPr>
          <w:b/>
          <w:bCs/>
          <w:rtl/>
        </w:rPr>
        <w:t>חיילין ומשריין.</w:t>
      </w:r>
      <w:r>
        <w:rPr>
          <w:rtl/>
        </w:rPr>
        <w:t xml:space="preserve"> דיש שהן בקביעות יתדות המשכן, ויש שהן בהליכה ונסיעה אל אשר יהיה הרוח ללכת ילכו ובהנשא כו', כמו שאומר בפ' פנחס בארוכה ומשריין הן המחנות ועיין לעיל קל"א ב' ומה שבארנו שם, ואמר </w:t>
      </w:r>
      <w:r>
        <w:rPr>
          <w:b/>
          <w:bCs/>
          <w:rtl/>
        </w:rPr>
        <w:t>באתר ידיע</w:t>
      </w:r>
      <w:r>
        <w:rPr>
          <w:rtl/>
        </w:rPr>
        <w:t xml:space="preserve"> </w:t>
      </w:r>
      <w:r>
        <w:rPr>
          <w:b/>
          <w:bCs/>
          <w:rtl/>
        </w:rPr>
        <w:t>ובמלה ידיע.</w:t>
      </w:r>
      <w:r>
        <w:rPr>
          <w:rtl/>
        </w:rPr>
        <w:t xml:space="preserve"> אתר ידיע הוא האבר, ומלה ידיע הוא המצוה, וכן הוא בעולם דכל העולם הוא שיעור קומה אחת וכמו שמפרש והולך ואברין דבר נש כלהו כו':</w:t>
      </w:r>
    </w:p>
  </w:footnote>
  <w:footnote w:id="5441">
    <w:p w:rsidR="00A13282" w:rsidRDefault="00A13282" w:rsidP="006D2826">
      <w:pPr>
        <w:pStyle w:val="a5"/>
        <w:rPr>
          <w:rtl/>
        </w:rPr>
      </w:pPr>
      <w:r>
        <w:rPr>
          <w:rStyle w:val="a7"/>
          <w:rtl/>
        </w:rPr>
        <w:footnoteRef/>
      </w:r>
      <w:r>
        <w:rPr>
          <w:rtl/>
        </w:rPr>
        <w:t xml:space="preserve"> </w:t>
      </w:r>
      <w:r>
        <w:rPr>
          <w:b/>
          <w:bCs/>
          <w:rtl/>
        </w:rPr>
        <w:t xml:space="preserve">ולמכסה עתיק מלין כו'. </w:t>
      </w:r>
      <w:r>
        <w:rPr>
          <w:rtl/>
        </w:rPr>
        <w:t xml:space="preserve">כמו שאמרו (ילקוט שמעוני ישעיהו כג סימן תכה) ולמכסה עתיק דברים שכיסה עתיק יומין כו', וזה שאומר </w:t>
      </w:r>
      <w:r>
        <w:rPr>
          <w:b/>
          <w:bCs/>
          <w:rtl/>
        </w:rPr>
        <w:t xml:space="preserve">מלין עתיקין </w:t>
      </w:r>
      <w:r>
        <w:rPr>
          <w:rtl/>
        </w:rPr>
        <w:t>דע"י שהן רזין סתימין:</w:t>
      </w:r>
    </w:p>
  </w:footnote>
  <w:footnote w:id="5442">
    <w:p w:rsidR="00A13282" w:rsidRDefault="00A13282" w:rsidP="006D2826">
      <w:pPr>
        <w:pStyle w:val="a5"/>
        <w:rPr>
          <w:rtl/>
        </w:rPr>
      </w:pPr>
      <w:r>
        <w:rPr>
          <w:rStyle w:val="a7"/>
          <w:rtl/>
        </w:rPr>
        <w:footnoteRef/>
      </w:r>
      <w:r>
        <w:rPr>
          <w:rtl/>
        </w:rPr>
        <w:t xml:space="preserve"> </w:t>
      </w:r>
      <w:r>
        <w:rPr>
          <w:b/>
          <w:bCs/>
          <w:rtl/>
        </w:rPr>
        <w:t>והוכן בחסד כו'.</w:t>
      </w:r>
      <w:r>
        <w:rPr>
          <w:rtl/>
        </w:rPr>
        <w:t xml:space="preserve"> עיין לעיל בהקדמה וברעיא מהימנא פ' פנחס ומה שבארנו שם ושם:</w:t>
      </w:r>
    </w:p>
  </w:footnote>
  <w:footnote w:id="5443">
    <w:p w:rsidR="00A13282" w:rsidRDefault="00A13282" w:rsidP="006D2826">
      <w:pPr>
        <w:pStyle w:val="a5"/>
        <w:rPr>
          <w:rtl/>
        </w:rPr>
      </w:pPr>
      <w:r>
        <w:rPr>
          <w:rStyle w:val="a7"/>
          <w:rtl/>
        </w:rPr>
        <w:footnoteRef/>
      </w:r>
      <w:r>
        <w:rPr>
          <w:rtl/>
        </w:rPr>
        <w:t xml:space="preserve"> </w:t>
      </w:r>
      <w:r>
        <w:rPr>
          <w:b/>
          <w:bCs/>
          <w:rtl/>
        </w:rPr>
        <w:t>וקרא לי' דישרי על כורסייא דתקין ליה בשמע ישראל.</w:t>
      </w:r>
      <w:r>
        <w:rPr>
          <w:rtl/>
        </w:rPr>
        <w:t xml:space="preserve"> רוצה לומר, בשמע ישראל קרא ליה דישרי כו':</w:t>
      </w:r>
    </w:p>
  </w:footnote>
  <w:footnote w:id="5444">
    <w:p w:rsidR="00A13282" w:rsidRDefault="00A13282" w:rsidP="006D2826">
      <w:pPr>
        <w:pStyle w:val="a5"/>
        <w:rPr>
          <w:rtl/>
        </w:rPr>
      </w:pPr>
      <w:r>
        <w:rPr>
          <w:rStyle w:val="a7"/>
          <w:rtl/>
        </w:rPr>
        <w:footnoteRef/>
      </w:r>
      <w:r>
        <w:rPr>
          <w:rtl/>
        </w:rPr>
        <w:t xml:space="preserve"> </w:t>
      </w:r>
      <w:r>
        <w:rPr>
          <w:b/>
          <w:bCs/>
          <w:rtl/>
        </w:rPr>
        <w:t>וכמה דאיהו נחית ליה.</w:t>
      </w:r>
      <w:r>
        <w:rPr>
          <w:rtl/>
        </w:rPr>
        <w:t xml:space="preserve"> רוצה לומר בקריאת שמע. </w:t>
      </w:r>
      <w:r>
        <w:rPr>
          <w:b/>
          <w:bCs/>
          <w:rtl/>
        </w:rPr>
        <w:t>ויקום בגינה.</w:t>
      </w:r>
      <w:r>
        <w:rPr>
          <w:rtl/>
        </w:rPr>
        <w:t xml:space="preserve"> רוצה לומר בצלותא, וכנגדן קב"ה אמליך ליה על כל משריין, וכל משריין יקומו לקבלא ויעבדו אותו כמו שהוא קם בצלותא ועובד אותו בתפלה, כמו שאמרו (תענית ב ע"א) ולעבדו כו' איזה עבודה כו':</w:t>
      </w:r>
    </w:p>
  </w:footnote>
  <w:footnote w:id="5445">
    <w:p w:rsidR="00A13282" w:rsidRDefault="00A13282" w:rsidP="006D2826">
      <w:pPr>
        <w:pStyle w:val="a5"/>
        <w:rPr>
          <w:rtl/>
        </w:rPr>
      </w:pPr>
      <w:r>
        <w:rPr>
          <w:rStyle w:val="a7"/>
          <w:rtl/>
        </w:rPr>
        <w:footnoteRef/>
      </w:r>
      <w:r>
        <w:rPr>
          <w:rtl/>
        </w:rPr>
        <w:t xml:space="preserve"> </w:t>
      </w:r>
      <w:r>
        <w:rPr>
          <w:b/>
          <w:bCs/>
          <w:rtl/>
        </w:rPr>
        <w:t>דאיהי פקודא חדא.</w:t>
      </w:r>
      <w:r>
        <w:rPr>
          <w:rtl/>
        </w:rPr>
        <w:t xml:space="preserve"> חשיב לכל ד' פקודין פקודא חדא, שהן תיקונין דפקודא חדא שהיא צלותא, כמו שאמרו (ברכות יד ע"ב) הרוצה לקבל עול מלכות שמים שלמה כו', וציצית ג"כ כמו שאומר ברעיא מהימנא סוף פ' שלח והן תיקונין דשם הוי"ה כסדר ציצית וכמו שאומר לעיל בהקדמה ולכן הן תיקונא חדא וכן בפקודא דמילה דג"כ שם הוי"ה ביה כמו שמפרש והולך </w:t>
      </w:r>
      <w:r>
        <w:rPr>
          <w:b/>
          <w:bCs/>
          <w:rtl/>
        </w:rPr>
        <w:t>הה"ד מי יעלה כו'.</w:t>
      </w:r>
      <w:r>
        <w:rPr>
          <w:rtl/>
        </w:rPr>
        <w:t xml:space="preserve"> בסופי תיבות, והן בגזירו דערלה ופריעה כמו שמפרש והולך, וכמו שאומר לעיל תיקון ל”ז דערלה הן ג' ופריעה רביעית ואז שריא ביה הויה ועיין שם בדבריו, וזה שאומר בגין דשמא דה' שריא עליה דתשכח ליה כו':</w:t>
      </w:r>
    </w:p>
  </w:footnote>
  <w:footnote w:id="5446">
    <w:p w:rsidR="00A13282" w:rsidRDefault="00A13282" w:rsidP="006D2826">
      <w:pPr>
        <w:pStyle w:val="a5"/>
        <w:rPr>
          <w:rtl/>
        </w:rPr>
      </w:pPr>
      <w:r>
        <w:rPr>
          <w:rStyle w:val="a7"/>
          <w:rtl/>
        </w:rPr>
        <w:footnoteRef/>
      </w:r>
      <w:r>
        <w:rPr>
          <w:rtl/>
        </w:rPr>
        <w:t xml:space="preserve"> </w:t>
      </w:r>
      <w:r>
        <w:rPr>
          <w:b/>
          <w:bCs/>
          <w:rtl/>
        </w:rPr>
        <w:t>דתקין ליה קב"ה כו'.</w:t>
      </w:r>
      <w:r>
        <w:rPr>
          <w:rtl/>
        </w:rPr>
        <w:t xml:space="preserve"> הן שאמרו (משנה עוקצין ג יב) כל צדיק כו':</w:t>
      </w:r>
    </w:p>
  </w:footnote>
  <w:footnote w:id="5447">
    <w:p w:rsidR="00A13282" w:rsidRDefault="00A13282" w:rsidP="006D2826">
      <w:pPr>
        <w:pStyle w:val="a5"/>
        <w:rPr>
          <w:rtl/>
        </w:rPr>
      </w:pPr>
      <w:r>
        <w:rPr>
          <w:rStyle w:val="a7"/>
          <w:rtl/>
        </w:rPr>
        <w:footnoteRef/>
      </w:r>
      <w:r>
        <w:rPr>
          <w:rtl/>
        </w:rPr>
        <w:t xml:space="preserve"> </w:t>
      </w:r>
      <w:r>
        <w:rPr>
          <w:b/>
          <w:bCs/>
          <w:rtl/>
        </w:rPr>
        <w:t>הכי כג"ד כד אזיל כו'.</w:t>
      </w:r>
      <w:r>
        <w:rPr>
          <w:rtl/>
        </w:rPr>
        <w:t xml:space="preserve"> עיין זוהר חדש פ' אחרי מות בארוכה:</w:t>
      </w:r>
    </w:p>
  </w:footnote>
  <w:footnote w:id="5448">
    <w:p w:rsidR="00A13282" w:rsidRDefault="00A13282" w:rsidP="006D2826">
      <w:pPr>
        <w:pStyle w:val="a5"/>
        <w:rPr>
          <w:rtl/>
        </w:rPr>
      </w:pPr>
      <w:r>
        <w:rPr>
          <w:rStyle w:val="a7"/>
          <w:rtl/>
        </w:rPr>
        <w:footnoteRef/>
      </w:r>
      <w:r>
        <w:rPr>
          <w:rtl/>
        </w:rPr>
        <w:t xml:space="preserve"> </w:t>
      </w:r>
      <w:r>
        <w:rPr>
          <w:b/>
          <w:bCs/>
          <w:rtl/>
        </w:rPr>
        <w:t>למאן לנשמתא כו' דאינון כו'.</w:t>
      </w:r>
      <w:r>
        <w:rPr>
          <w:rtl/>
        </w:rPr>
        <w:t xml:space="preserve"> רוצה לומר דכתיב להם, והם לנר"ן, ואמר דאינון לקבל כו' כמו לפני ישראל שהיו בהן כהנים לוים וישראלים, וכלן בפסוק זה כמו שאומר בפ' בשלח מ"ו ב' א"ר יצחק היינו דתנן שכינתא באבהתא נטלא, הולך לפניהם יומם דא אברהם, בעמוד ענן דא יצחק, לנחותם הדרך דא יעקב דכתיב ביה ויעקב הלך לדרכו כו', א"ר חייא הכי אוקימנא וה' הולך לפניהם בעמוד ענן יומם דא אברהם, ולילה בעמוד אש דא יצחק, ואי הכי יעקב אן הוא, אלא במלה קדמאה אתמר ותמן שארי כמה דכתיב וה', ורוצה לומר דה' הוא כליל בתרין סטרין, וזה שכתוב וה' הולך כו' - בתרין סטרין אלין, דת"ת יעקב הוא כלילו דתרין סטרין חו"ג, וכן לילה שכינתא כלילו דכולא עיין שם, והן נגד כהנים לוים וישראלים, ונר"ן, ולכן זכה בתרין אלין תורה ומצוה - להאיר לג' נר"ן, דישראל הוא כלילו דתרין כנ"ל, וזה שאומר </w:t>
      </w:r>
      <w:r>
        <w:rPr>
          <w:b/>
          <w:bCs/>
          <w:rtl/>
        </w:rPr>
        <w:t xml:space="preserve">וכלא בזכו דאורייתא דאיהי אור ונר. </w:t>
      </w:r>
      <w:r>
        <w:rPr>
          <w:rtl/>
        </w:rPr>
        <w:t xml:space="preserve">ואמר </w:t>
      </w:r>
      <w:r>
        <w:rPr>
          <w:b/>
          <w:bCs/>
          <w:rtl/>
        </w:rPr>
        <w:t>וכל</w:t>
      </w:r>
      <w:r>
        <w:rPr>
          <w:rtl/>
        </w:rPr>
        <w:t xml:space="preserve"> </w:t>
      </w:r>
      <w:r>
        <w:rPr>
          <w:b/>
          <w:bCs/>
          <w:rtl/>
        </w:rPr>
        <w:t>מאן דנטיר כו'.</w:t>
      </w:r>
      <w:r>
        <w:rPr>
          <w:rtl/>
        </w:rPr>
        <w:t xml:space="preserve"> ג' דברים כמו שכתוב (ישעיהו נח יג) וקראת כו', (שם) ולקדוש ה' מכובד כו', (שם) מעשות דרכיך כו', וזכור ושמור אחד הן. והן שם הוי"ה, כבוד ועונג - י"ה, וזכור ושמור - ו"ה, וכן בכל פקודא ופקודא:</w:t>
      </w:r>
    </w:p>
  </w:footnote>
  <w:footnote w:id="5449">
    <w:p w:rsidR="00A13282" w:rsidRDefault="00A13282" w:rsidP="006D2826">
      <w:pPr>
        <w:pStyle w:val="a5"/>
        <w:rPr>
          <w:rtl/>
        </w:rPr>
      </w:pPr>
      <w:r>
        <w:rPr>
          <w:rStyle w:val="a7"/>
          <w:rtl/>
        </w:rPr>
        <w:footnoteRef/>
      </w:r>
      <w:r>
        <w:rPr>
          <w:rtl/>
        </w:rPr>
        <w:t xml:space="preserve"> </w:t>
      </w:r>
      <w:r>
        <w:rPr>
          <w:b/>
          <w:bCs/>
          <w:rtl/>
        </w:rPr>
        <w:t>דאינון עיני ה'.</w:t>
      </w:r>
      <w:r>
        <w:rPr>
          <w:rtl/>
        </w:rPr>
        <w:t xml:space="preserve"> כמו שכתוב (זכריה ד י) עיני ה' המה כו', וכן פני ה' כתוב בכמה מקומות, ולכן לא אמר בהון הה"ד כו':</w:t>
      </w:r>
    </w:p>
  </w:footnote>
  <w:footnote w:id="5450">
    <w:p w:rsidR="00A13282" w:rsidRDefault="00A13282" w:rsidP="006D2826">
      <w:pPr>
        <w:pStyle w:val="a5"/>
        <w:rPr>
          <w:rtl/>
        </w:rPr>
      </w:pPr>
      <w:r>
        <w:rPr>
          <w:rStyle w:val="a7"/>
          <w:rtl/>
        </w:rPr>
        <w:footnoteRef/>
      </w:r>
      <w:r>
        <w:rPr>
          <w:rtl/>
        </w:rPr>
        <w:t xml:space="preserve"> </w:t>
      </w:r>
      <w:r>
        <w:rPr>
          <w:b/>
          <w:bCs/>
          <w:rtl/>
        </w:rPr>
        <w:t>כענבין דאתכלא כו'.</w:t>
      </w:r>
      <w:r>
        <w:rPr>
          <w:rtl/>
        </w:rPr>
        <w:t xml:space="preserve"> רוצה לומר כי הגוף בעצמו הוא התורה, שכולל כל המצות, ואברים דתליין מגופא הן המצות דתליין באורייתא וכמו שאומר לעיל ב' א' ועוד אלין דעסקין באורייתא לשמה, ונטרין פקודהא דאינון תרי"ג מצות דתליין משם הוי"ה כענבין באתכלא כו', וזה שאומר למטה וגופא איהו אורייתא דמינה כו', והכל בשכינה תתאה דאיהי גוף לקב"ה כמו שאומר לעיל תיקון כ”ב, וזה שאומר אבל לתתא אית כו':</w:t>
      </w:r>
    </w:p>
  </w:footnote>
  <w:footnote w:id="5451">
    <w:p w:rsidR="00A13282" w:rsidRDefault="00A13282" w:rsidP="006D2826">
      <w:pPr>
        <w:pStyle w:val="a5"/>
        <w:rPr>
          <w:rtl/>
        </w:rPr>
      </w:pPr>
      <w:r>
        <w:rPr>
          <w:rStyle w:val="a7"/>
          <w:rtl/>
        </w:rPr>
        <w:footnoteRef/>
      </w:r>
      <w:r>
        <w:rPr>
          <w:rtl/>
        </w:rPr>
        <w:t xml:space="preserve"> </w:t>
      </w:r>
      <w:r>
        <w:rPr>
          <w:b/>
          <w:bCs/>
          <w:rtl/>
        </w:rPr>
        <w:t>ועלייהו אתמר למשה כו'.</w:t>
      </w:r>
      <w:r>
        <w:rPr>
          <w:rtl/>
        </w:rPr>
        <w:t xml:space="preserve"> דאיהו נקרא זה, דביה תליא י"ב מזלות כמו שאומר לעיל ל"ב א' דמסטרא דהאי אות אמר למשה וזה לך האות, ואיהו כליל תרי עשר מזלות כו' מתמן הוו ירתין תרין עשר שבטים נשמתין דלהון, וזה שאומר והאי איהו אות דכל צבא כו':</w:t>
      </w:r>
    </w:p>
  </w:footnote>
  <w:footnote w:id="5452">
    <w:p w:rsidR="00A13282" w:rsidRDefault="00A13282" w:rsidP="006D2826">
      <w:pPr>
        <w:pStyle w:val="a5"/>
        <w:rPr>
          <w:rtl/>
        </w:rPr>
      </w:pPr>
      <w:r>
        <w:rPr>
          <w:rStyle w:val="a7"/>
          <w:rtl/>
        </w:rPr>
        <w:footnoteRef/>
      </w:r>
      <w:r>
        <w:rPr>
          <w:rtl/>
        </w:rPr>
        <w:t xml:space="preserve"> </w:t>
      </w:r>
      <w:r>
        <w:rPr>
          <w:b/>
          <w:bCs/>
          <w:rtl/>
        </w:rPr>
        <w:t>וכל נימא ונימא כו'.</w:t>
      </w:r>
      <w:r>
        <w:rPr>
          <w:rtl/>
        </w:rPr>
        <w:t xml:space="preserve"> עיין לעיל ריש תיקון י”ח ומה שבארנו שם:</w:t>
      </w:r>
    </w:p>
  </w:footnote>
  <w:footnote w:id="5453">
    <w:p w:rsidR="00A13282" w:rsidRDefault="00A13282" w:rsidP="006D2826">
      <w:pPr>
        <w:pStyle w:val="a5"/>
        <w:rPr>
          <w:rtl/>
        </w:rPr>
      </w:pPr>
      <w:r>
        <w:rPr>
          <w:rStyle w:val="a7"/>
          <w:rtl/>
        </w:rPr>
        <w:footnoteRef/>
      </w:r>
      <w:r>
        <w:rPr>
          <w:rtl/>
        </w:rPr>
        <w:t xml:space="preserve"> </w:t>
      </w:r>
      <w:r>
        <w:rPr>
          <w:b/>
          <w:bCs/>
          <w:rtl/>
        </w:rPr>
        <w:t>בה ממש.</w:t>
      </w:r>
      <w:r>
        <w:rPr>
          <w:rtl/>
        </w:rPr>
        <w:t xml:space="preserve"> רוצה לומר בנשמתא דאיהי סולם כנ"ל:</w:t>
      </w:r>
    </w:p>
  </w:footnote>
  <w:footnote w:id="5454">
    <w:p w:rsidR="00A13282" w:rsidRDefault="00A13282" w:rsidP="006D2826">
      <w:pPr>
        <w:pStyle w:val="a5"/>
        <w:rPr>
          <w:rtl/>
        </w:rPr>
      </w:pPr>
      <w:r>
        <w:rPr>
          <w:rStyle w:val="a7"/>
          <w:rtl/>
        </w:rPr>
        <w:footnoteRef/>
      </w:r>
      <w:r>
        <w:rPr>
          <w:rtl/>
        </w:rPr>
        <w:t xml:space="preserve"> </w:t>
      </w:r>
      <w:r>
        <w:rPr>
          <w:b/>
          <w:bCs/>
          <w:rtl/>
        </w:rPr>
        <w:t>לדיוקנא דמלכא.</w:t>
      </w:r>
      <w:r>
        <w:rPr>
          <w:rtl/>
        </w:rPr>
        <w:t xml:space="preserve"> דאיהו שלם בכל פקודין דתליין בדיוקנא דמלכא בכל תיקונין הנ"ל:</w:t>
      </w:r>
    </w:p>
  </w:footnote>
  <w:footnote w:id="5455">
    <w:p w:rsidR="00A13282" w:rsidRDefault="00A13282" w:rsidP="006D2826">
      <w:pPr>
        <w:pStyle w:val="a5"/>
        <w:rPr>
          <w:rtl/>
        </w:rPr>
      </w:pPr>
      <w:r>
        <w:rPr>
          <w:rStyle w:val="a7"/>
          <w:rtl/>
        </w:rPr>
        <w:footnoteRef/>
      </w:r>
      <w:r>
        <w:rPr>
          <w:rtl/>
        </w:rPr>
        <w:t xml:space="preserve"> </w:t>
      </w:r>
      <w:r>
        <w:rPr>
          <w:b/>
          <w:bCs/>
          <w:rtl/>
        </w:rPr>
        <w:t>מצוה דכל פקודא ביה שריא הוי"ה.</w:t>
      </w:r>
      <w:r>
        <w:rPr>
          <w:rtl/>
        </w:rPr>
        <w:t xml:space="preserve"> כנ"ל דבכל פקודא שריא שם הוי"ה, ומפרש והולך הוא אשתכח בכל אבר ואבר הוא אשתכח כו' בד' גוונין בכל אחד ואחד כמו שמפרש והולך, וחוזר ומפרש בכלל, דבכל פקודא דכל אבר ביה הוי"ה, דמצוה אותיות הוי"ה כמו שמפרש והולך מצוה בא"ת ב"ש כו':</w:t>
      </w:r>
    </w:p>
  </w:footnote>
  <w:footnote w:id="5456">
    <w:p w:rsidR="00A13282" w:rsidRDefault="00A13282" w:rsidP="006D2826">
      <w:pPr>
        <w:pStyle w:val="a5"/>
        <w:rPr>
          <w:rtl/>
        </w:rPr>
      </w:pPr>
      <w:r>
        <w:rPr>
          <w:rStyle w:val="a7"/>
          <w:rtl/>
        </w:rPr>
        <w:footnoteRef/>
      </w:r>
      <w:r>
        <w:rPr>
          <w:rtl/>
        </w:rPr>
        <w:t xml:space="preserve"> </w:t>
      </w:r>
      <w:r>
        <w:rPr>
          <w:b/>
          <w:bCs/>
          <w:rtl/>
        </w:rPr>
        <w:t>רישא איהו כנויא דשם אהי"ה.</w:t>
      </w:r>
      <w:r>
        <w:rPr>
          <w:rtl/>
        </w:rPr>
        <w:t xml:space="preserve"> דרישא הוא כתר כמו שאומר לעיל סוף תיקון כ”ב עיין שם, וזה שאומר וביה כו' ותמן היה כו':</w:t>
      </w:r>
    </w:p>
  </w:footnote>
  <w:footnote w:id="5457">
    <w:p w:rsidR="00A13282" w:rsidRDefault="00A13282" w:rsidP="006D2826">
      <w:pPr>
        <w:pStyle w:val="a5"/>
        <w:rPr>
          <w:rtl/>
        </w:rPr>
      </w:pPr>
      <w:r>
        <w:rPr>
          <w:rStyle w:val="a7"/>
          <w:rtl/>
        </w:rPr>
        <w:footnoteRef/>
      </w:r>
      <w:r>
        <w:rPr>
          <w:rtl/>
        </w:rPr>
        <w:t xml:space="preserve"> </w:t>
      </w:r>
      <w:r>
        <w:rPr>
          <w:b/>
          <w:bCs/>
          <w:rtl/>
        </w:rPr>
        <w:t>וכל מלאכין וממנין דהויות כו'.</w:t>
      </w:r>
      <w:r>
        <w:rPr>
          <w:rtl/>
        </w:rPr>
        <w:t xml:space="preserve"> עיין לעיל קכ"א ב', אהי"ה על הוי"ה כו' אהיה אחזי כו':</w:t>
      </w:r>
    </w:p>
  </w:footnote>
  <w:footnote w:id="5458">
    <w:p w:rsidR="00A13282" w:rsidRDefault="00A13282" w:rsidP="006D2826">
      <w:pPr>
        <w:pStyle w:val="a5"/>
        <w:rPr>
          <w:rtl/>
        </w:rPr>
      </w:pPr>
      <w:r>
        <w:rPr>
          <w:rStyle w:val="a7"/>
          <w:rtl/>
        </w:rPr>
        <w:footnoteRef/>
      </w:r>
      <w:r>
        <w:rPr>
          <w:rtl/>
        </w:rPr>
        <w:t xml:space="preserve"> </w:t>
      </w:r>
      <w:r>
        <w:rPr>
          <w:b/>
          <w:bCs/>
          <w:rtl/>
        </w:rPr>
        <w:t>איה רשים כו'.</w:t>
      </w:r>
      <w:r>
        <w:rPr>
          <w:rtl/>
        </w:rPr>
        <w:t xml:space="preserve"> רוצה לומר, דביה אותיות אי"ה, וכד סליקת שכינתא לתמן שאלין אי"ה מקום כבודו, וכמו שאומר לעיל ריש תיקון ל’ עיין שם, דאי"ה הוא ג"ר, י"ה - חו"ב, א' - כתר, וה' הוא שכינתא תתאה דסלקת תמן ואיהי רביעאה לכל תלת:</w:t>
      </w:r>
    </w:p>
  </w:footnote>
  <w:footnote w:id="5459">
    <w:p w:rsidR="00A13282" w:rsidRDefault="00A13282" w:rsidP="006D2826">
      <w:pPr>
        <w:pStyle w:val="a5"/>
        <w:rPr>
          <w:rtl/>
        </w:rPr>
      </w:pPr>
      <w:r>
        <w:rPr>
          <w:rStyle w:val="a7"/>
          <w:rtl/>
        </w:rPr>
        <w:footnoteRef/>
      </w:r>
      <w:r>
        <w:rPr>
          <w:rtl/>
        </w:rPr>
        <w:t xml:space="preserve"> </w:t>
      </w:r>
      <w:r>
        <w:rPr>
          <w:b/>
          <w:bCs/>
          <w:rtl/>
        </w:rPr>
        <w:t>ותמן היה כו'.</w:t>
      </w:r>
      <w:r>
        <w:rPr>
          <w:rtl/>
        </w:rPr>
        <w:t xml:space="preserve"> ואלף דביה הוא אחזי על עלת העלות, דביה אחד מכל צד:</w:t>
      </w:r>
    </w:p>
  </w:footnote>
  <w:footnote w:id="5460">
    <w:p w:rsidR="00A13282" w:rsidRDefault="00A13282" w:rsidP="006D2826">
      <w:pPr>
        <w:pStyle w:val="a5"/>
        <w:rPr>
          <w:rtl/>
        </w:rPr>
      </w:pPr>
      <w:r>
        <w:rPr>
          <w:rStyle w:val="a7"/>
          <w:rtl/>
        </w:rPr>
        <w:footnoteRef/>
      </w:r>
      <w:r>
        <w:rPr>
          <w:rtl/>
        </w:rPr>
        <w:t xml:space="preserve"> </w:t>
      </w:r>
      <w:r>
        <w:rPr>
          <w:b/>
          <w:bCs/>
          <w:rtl/>
        </w:rPr>
        <w:t>איהו רשים כו'.</w:t>
      </w:r>
      <w:r>
        <w:rPr>
          <w:rtl/>
        </w:rPr>
        <w:t xml:space="preserve"> רוצה לומר עד אות וא"ו הוא חושבן אהי"ה, וד' אותיות אחרונות הוא חשבון חלופא דאהי"ה, והן קו המדה, דזו"נ דהן בכתר כמו שאומר בפ' בראשית ושאר מקומות, והן ד"ו, ו"ד, ו' אותיות בדכורא, וד' אותיות בנוק':</w:t>
      </w:r>
    </w:p>
  </w:footnote>
  <w:footnote w:id="5461">
    <w:p w:rsidR="00A13282" w:rsidRDefault="00A13282" w:rsidP="006D2826">
      <w:pPr>
        <w:pStyle w:val="a5"/>
        <w:rPr>
          <w:rtl/>
        </w:rPr>
      </w:pPr>
      <w:r>
        <w:rPr>
          <w:rStyle w:val="a7"/>
          <w:rtl/>
        </w:rPr>
        <w:footnoteRef/>
      </w:r>
      <w:r>
        <w:rPr>
          <w:rtl/>
        </w:rPr>
        <w:t xml:space="preserve"> </w:t>
      </w:r>
      <w:r>
        <w:rPr>
          <w:b/>
          <w:bCs/>
          <w:rtl/>
        </w:rPr>
        <w:t>אהי"ה אלף כו'.</w:t>
      </w:r>
      <w:r>
        <w:rPr>
          <w:rtl/>
        </w:rPr>
        <w:t xml:space="preserve"> רוצה לומר, אהיה הוא כתר בריש כל עשר ספירות, דבכל ספירה הוא כתר, דכל ספירה הוא כליל מעשר ספירות, ויקו"ק הוא מחכמה ולמטה והוא כתר בכלהו, ומפרש והולך האיך הוא בכלהו ואמר אלף כו' בעשר אתוון כסדר, וזה שאומר מעילא לתתא האי איהו כו': </w:t>
      </w:r>
    </w:p>
  </w:footnote>
  <w:footnote w:id="5462">
    <w:p w:rsidR="00A13282" w:rsidRDefault="00A13282" w:rsidP="006D2826">
      <w:pPr>
        <w:pStyle w:val="a5"/>
        <w:rPr>
          <w:rtl/>
        </w:rPr>
      </w:pPr>
      <w:r>
        <w:rPr>
          <w:rStyle w:val="a7"/>
          <w:rtl/>
        </w:rPr>
        <w:footnoteRef/>
      </w:r>
      <w:r>
        <w:rPr>
          <w:rtl/>
        </w:rPr>
        <w:t xml:space="preserve"> </w:t>
      </w:r>
      <w:r>
        <w:rPr>
          <w:b/>
          <w:bCs/>
          <w:rtl/>
        </w:rPr>
        <w:t>ולעילא מיניה כו'.</w:t>
      </w:r>
      <w:r>
        <w:rPr>
          <w:rtl/>
        </w:rPr>
        <w:t xml:space="preserve"> עיין מה שבארנו לעיל קי"ט א' עיין שם בדבריו:</w:t>
      </w:r>
    </w:p>
  </w:footnote>
  <w:footnote w:id="5463">
    <w:p w:rsidR="00A13282" w:rsidRDefault="00A13282" w:rsidP="006D2826">
      <w:pPr>
        <w:pStyle w:val="a5"/>
        <w:rPr>
          <w:rtl/>
        </w:rPr>
      </w:pPr>
      <w:r>
        <w:rPr>
          <w:rStyle w:val="a7"/>
          <w:rtl/>
        </w:rPr>
        <w:footnoteRef/>
      </w:r>
      <w:r>
        <w:rPr>
          <w:rtl/>
        </w:rPr>
        <w:t xml:space="preserve"> </w:t>
      </w:r>
      <w:r>
        <w:rPr>
          <w:b/>
          <w:bCs/>
          <w:rtl/>
        </w:rPr>
        <w:t>שמיא עלאין כו'.</w:t>
      </w:r>
      <w:r>
        <w:rPr>
          <w:rtl/>
        </w:rPr>
        <w:t xml:space="preserve"> רוצה לומר בעשר ספירות דאצילות ועיין מה שבארנו שם:</w:t>
      </w:r>
    </w:p>
  </w:footnote>
  <w:footnote w:id="5464">
    <w:p w:rsidR="00A13282" w:rsidRDefault="00A13282" w:rsidP="006D2826">
      <w:pPr>
        <w:pStyle w:val="a5"/>
        <w:rPr>
          <w:rtl/>
        </w:rPr>
      </w:pPr>
      <w:r>
        <w:rPr>
          <w:rStyle w:val="a7"/>
          <w:rtl/>
        </w:rPr>
        <w:footnoteRef/>
      </w:r>
      <w:r>
        <w:rPr>
          <w:rtl/>
        </w:rPr>
        <w:t xml:space="preserve"> </w:t>
      </w:r>
      <w:r>
        <w:rPr>
          <w:b/>
          <w:bCs/>
          <w:rtl/>
        </w:rPr>
        <w:t>דא אדנ"י.</w:t>
      </w:r>
      <w:r>
        <w:rPr>
          <w:rtl/>
        </w:rPr>
        <w:t xml:space="preserve"> כמו שמפרש והולך דכתיב צדק לפניו כו', ורגל נקרא כף הרגל שעליו מהלך, שלמעלה ממנו נקרא שוק, ועליו נאמר מיוסדים על אדני פז, והוא אדני והן האדנים לקרשים, וזה שאומר ואינון מאת אדנים כו', ואמר אדני פז - דפז הוא לבנה, אחורים דילה, וזהו על ארבעת רבעיהם - ד' אותיות אדני, ומפרש במעשה מרכבה דהן תריסר גלגלים דפ' פקודי, והן תריסר אתוון דשם אדני, ומאה אדנים הוא בד' של אדני שהוא קוף כמו שאומר לעיל ק"כ ב', והיא אות רביעית שבה שכלולה מכל ג' אתוון אנ"י - ג"ר, ובה ק' ברכות:</w:t>
      </w:r>
    </w:p>
  </w:footnote>
  <w:footnote w:id="5465">
    <w:p w:rsidR="00A13282" w:rsidRDefault="00A13282" w:rsidP="006D2826">
      <w:pPr>
        <w:pStyle w:val="a5"/>
        <w:rPr>
          <w:rtl/>
        </w:rPr>
      </w:pPr>
      <w:r>
        <w:rPr>
          <w:rStyle w:val="a7"/>
          <w:rtl/>
        </w:rPr>
        <w:footnoteRef/>
      </w:r>
      <w:r>
        <w:rPr>
          <w:rtl/>
        </w:rPr>
        <w:t xml:space="preserve"> </w:t>
      </w:r>
      <w:r>
        <w:rPr>
          <w:b/>
          <w:bCs/>
          <w:rtl/>
        </w:rPr>
        <w:t>דאיהי צלותא.</w:t>
      </w:r>
      <w:r>
        <w:rPr>
          <w:rtl/>
        </w:rPr>
        <w:t xml:space="preserve"> רוצה לומר צדקה, דצלותא הוא צדקה לעני דאיהו צדיק, ח"י ברכאין, וכמו שכתוב (דברים כד יג) ושכב בשלמתו וברכך, ולך תהיה צדקה כו', והוא בצלותא כי היא כסותה לבדה ציצית שמלתו לעורו תפילין במה כו'. ואמר </w:t>
      </w:r>
      <w:r>
        <w:rPr>
          <w:b/>
          <w:bCs/>
          <w:rtl/>
        </w:rPr>
        <w:t>ה' חמשה כו'.</w:t>
      </w:r>
      <w:r>
        <w:rPr>
          <w:rtl/>
        </w:rPr>
        <w:t>שהוא קריאת התורה דהוא בצלותא, ועיין מה שבארנו לעיל תיקון י”ח ובליקוטים שם:</w:t>
      </w:r>
    </w:p>
  </w:footnote>
  <w:footnote w:id="5466">
    <w:p w:rsidR="00A13282" w:rsidRDefault="00A13282" w:rsidP="006D2826">
      <w:pPr>
        <w:pStyle w:val="a5"/>
        <w:rPr>
          <w:rtl/>
        </w:rPr>
      </w:pPr>
      <w:r>
        <w:rPr>
          <w:rStyle w:val="a7"/>
          <w:rtl/>
        </w:rPr>
        <w:footnoteRef/>
      </w:r>
      <w:r>
        <w:rPr>
          <w:rtl/>
        </w:rPr>
        <w:t xml:space="preserve"> </w:t>
      </w:r>
      <w:r>
        <w:rPr>
          <w:b/>
          <w:bCs/>
          <w:rtl/>
        </w:rPr>
        <w:t>צדק אימא תתאה צדקה כו'.</w:t>
      </w:r>
      <w:r>
        <w:rPr>
          <w:rtl/>
        </w:rPr>
        <w:t xml:space="preserve"> דצדק הוא בדינא כמו שכתוב (ויקרא יט טו) בצדק תשפוט כו', (ויקרא יט לו) אבני צדק מאזני צדק כו', שלא תיפוק מדינא לבר, מה שאין כן צדקה דהוא רחמים, לא כמדת הדין, והוא בה"א שהיא פתוחה לקבל שבים, הא לכם זרע:</w:t>
      </w:r>
    </w:p>
  </w:footnote>
  <w:footnote w:id="5467">
    <w:p w:rsidR="00A13282" w:rsidRDefault="00A13282" w:rsidP="006D2826">
      <w:pPr>
        <w:pStyle w:val="a5"/>
        <w:rPr>
          <w:rtl/>
        </w:rPr>
      </w:pPr>
      <w:r>
        <w:rPr>
          <w:rStyle w:val="a7"/>
          <w:rtl/>
        </w:rPr>
        <w:footnoteRef/>
      </w:r>
      <w:r>
        <w:rPr>
          <w:rtl/>
        </w:rPr>
        <w:t xml:space="preserve"> </w:t>
      </w:r>
      <w:r>
        <w:rPr>
          <w:b/>
          <w:bCs/>
          <w:rtl/>
        </w:rPr>
        <w:t>ואעי בוסמין דאבדלתא.</w:t>
      </w:r>
      <w:r>
        <w:rPr>
          <w:rtl/>
        </w:rPr>
        <w:t xml:space="preserve"> רוצה לומר בחוטמא:</w:t>
      </w:r>
    </w:p>
  </w:footnote>
  <w:footnote w:id="5468">
    <w:p w:rsidR="00A13282" w:rsidRDefault="00A13282" w:rsidP="006D2826">
      <w:pPr>
        <w:pStyle w:val="a5"/>
        <w:rPr>
          <w:rtl/>
        </w:rPr>
      </w:pPr>
      <w:r>
        <w:rPr>
          <w:rStyle w:val="a7"/>
          <w:rtl/>
        </w:rPr>
        <w:footnoteRef/>
      </w:r>
      <w:r>
        <w:rPr>
          <w:rtl/>
        </w:rPr>
        <w:t xml:space="preserve"> </w:t>
      </w:r>
      <w:r>
        <w:rPr>
          <w:b/>
          <w:bCs/>
          <w:rtl/>
        </w:rPr>
        <w:t>אלא כל פקודא דיראה ואהבה כו'.</w:t>
      </w:r>
      <w:r>
        <w:rPr>
          <w:rtl/>
        </w:rPr>
        <w:t xml:space="preserve"> רוצה לומר אלו אינן תלויין באברים אלא באברים פנימים דהן הנסתרות ועיין ברעיא מהימנא פ' נשא קכ"ב ב' :</w:t>
      </w:r>
    </w:p>
  </w:footnote>
  <w:footnote w:id="5469">
    <w:p w:rsidR="00A13282" w:rsidRDefault="00A13282" w:rsidP="006D2826">
      <w:pPr>
        <w:pStyle w:val="a5"/>
        <w:rPr>
          <w:rtl/>
        </w:rPr>
      </w:pPr>
      <w:r>
        <w:rPr>
          <w:rStyle w:val="a7"/>
          <w:rtl/>
        </w:rPr>
        <w:footnoteRef/>
      </w:r>
      <w:r>
        <w:rPr>
          <w:rtl/>
        </w:rPr>
        <w:t xml:space="preserve"> </w:t>
      </w:r>
      <w:r>
        <w:rPr>
          <w:b/>
          <w:bCs/>
          <w:rtl/>
        </w:rPr>
        <w:t>*משרתיו אש לוהט.</w:t>
      </w:r>
      <w:r>
        <w:rPr>
          <w:rtl/>
        </w:rPr>
        <w:t xml:space="preserve"> לא גרסינן ועיין לעיל א', ולמעלה קכ"ז א' אוקים משרתיו אש לוהט בעיינין דאינון גוונין דאשא וכמו שאומר שם:</w:t>
      </w:r>
    </w:p>
  </w:footnote>
  <w:footnote w:id="5470">
    <w:p w:rsidR="00A13282" w:rsidRDefault="00A13282" w:rsidP="006D2826">
      <w:pPr>
        <w:pStyle w:val="a5"/>
        <w:rPr>
          <w:rtl/>
        </w:rPr>
      </w:pPr>
      <w:r>
        <w:rPr>
          <w:rStyle w:val="a7"/>
          <w:rtl/>
        </w:rPr>
        <w:footnoteRef/>
      </w:r>
      <w:r>
        <w:rPr>
          <w:rtl/>
        </w:rPr>
        <w:t xml:space="preserve"> </w:t>
      </w:r>
      <w:r>
        <w:rPr>
          <w:b/>
          <w:bCs/>
          <w:rtl/>
        </w:rPr>
        <w:t>ונענוע דכלהו יהו"ה.</w:t>
      </w:r>
      <w:r>
        <w:rPr>
          <w:rtl/>
        </w:rPr>
        <w:t xml:space="preserve"> בנשמתא דאיהי תנועה דאברים, ואברין אינון אתוון, נר מצוה, ונשמתא איהי נקודין, רוחא, אופנים וחיות:</w:t>
      </w:r>
    </w:p>
  </w:footnote>
  <w:footnote w:id="5471">
    <w:p w:rsidR="00A13282" w:rsidRDefault="00A13282" w:rsidP="006D2826">
      <w:pPr>
        <w:pStyle w:val="a5"/>
        <w:rPr>
          <w:rtl/>
        </w:rPr>
      </w:pPr>
      <w:r>
        <w:rPr>
          <w:rStyle w:val="a7"/>
          <w:rtl/>
        </w:rPr>
        <w:footnoteRef/>
      </w:r>
      <w:r>
        <w:rPr>
          <w:rtl/>
        </w:rPr>
        <w:t xml:space="preserve"> </w:t>
      </w:r>
      <w:r>
        <w:rPr>
          <w:b/>
          <w:bCs/>
          <w:rtl/>
        </w:rPr>
        <w:t>וצריך למנדע כו'.</w:t>
      </w:r>
      <w:r>
        <w:rPr>
          <w:rtl/>
        </w:rPr>
        <w:t xml:space="preserve"> עיין מה שבארנו לעיל סוף תיקון נ”ה:</w:t>
      </w:r>
    </w:p>
  </w:footnote>
  <w:footnote w:id="5472">
    <w:p w:rsidR="00A13282" w:rsidRDefault="00A13282" w:rsidP="006D2826">
      <w:pPr>
        <w:pStyle w:val="a5"/>
        <w:rPr>
          <w:rtl/>
        </w:rPr>
      </w:pPr>
      <w:r>
        <w:rPr>
          <w:rStyle w:val="a7"/>
          <w:rtl/>
        </w:rPr>
        <w:footnoteRef/>
      </w:r>
      <w:r>
        <w:rPr>
          <w:rtl/>
        </w:rPr>
        <w:t xml:space="preserve"> </w:t>
      </w:r>
      <w:r>
        <w:rPr>
          <w:b/>
          <w:bCs/>
          <w:rtl/>
        </w:rPr>
        <w:t>דכל נקודין אינון כו'.</w:t>
      </w:r>
      <w:r>
        <w:rPr>
          <w:rtl/>
        </w:rPr>
        <w:t xml:space="preserve"> שהן ג' אתוון יה"ו שהן בז"א, ומלכות - ה' אחרונה, נוק', דכלילא מכלהו ועיין לעיל קל"ח א' וכלהו פועלים בעפר ועיין ריש פ' וארא בארוכה:</w:t>
      </w:r>
    </w:p>
  </w:footnote>
  <w:footnote w:id="5473">
    <w:p w:rsidR="00A13282" w:rsidRDefault="00A13282" w:rsidP="006D2826">
      <w:pPr>
        <w:pStyle w:val="a5"/>
        <w:rPr>
          <w:rtl/>
        </w:rPr>
      </w:pPr>
      <w:r>
        <w:rPr>
          <w:rStyle w:val="a7"/>
          <w:rtl/>
        </w:rPr>
        <w:footnoteRef/>
      </w:r>
      <w:r>
        <w:rPr>
          <w:rtl/>
        </w:rPr>
        <w:t xml:space="preserve"> </w:t>
      </w:r>
      <w:r>
        <w:rPr>
          <w:b/>
          <w:bCs/>
          <w:rtl/>
        </w:rPr>
        <w:t>ולתתא ה"נ כו'.</w:t>
      </w:r>
      <w:r>
        <w:rPr>
          <w:rtl/>
        </w:rPr>
        <w:t xml:space="preserve"> דבי"ע הן נר"ן נגד ג' יסודות אלו יה"ו, וגוף מאנא דכלהו ה' אחרונה, וכן בי"ע עצמן מאנא דלהון הארץ הגשמית (האלו הנראית) שממנה גוף דבר נש, מאנא דנר"ן, ושתי בחינות יש בנוק', אחת ה' אחרונה של שם ואחת אדני וכמו שאומר לעיל בארוכה:</w:t>
      </w:r>
    </w:p>
  </w:footnote>
  <w:footnote w:id="5474">
    <w:p w:rsidR="00A13282" w:rsidRDefault="00A13282" w:rsidP="006D2826">
      <w:pPr>
        <w:pStyle w:val="a5"/>
        <w:rPr>
          <w:rtl/>
        </w:rPr>
      </w:pPr>
      <w:r>
        <w:rPr>
          <w:rStyle w:val="a7"/>
          <w:rtl/>
        </w:rPr>
        <w:footnoteRef/>
      </w:r>
      <w:r>
        <w:rPr>
          <w:rtl/>
        </w:rPr>
        <w:t xml:space="preserve"> </w:t>
      </w:r>
      <w:r>
        <w:rPr>
          <w:b/>
          <w:bCs/>
          <w:rtl/>
        </w:rPr>
        <w:t>הה"ד מי כמוכה כו'.</w:t>
      </w:r>
      <w:r>
        <w:rPr>
          <w:rtl/>
        </w:rPr>
        <w:t xml:space="preserve"> וזהו אותיות מיכאל - מי כאל באלים דהוא אל האלים ועיין לעיל קכ"א ב':</w:t>
      </w:r>
    </w:p>
  </w:footnote>
  <w:footnote w:id="5475">
    <w:p w:rsidR="00A13282" w:rsidRDefault="00A13282" w:rsidP="006D2826">
      <w:pPr>
        <w:pStyle w:val="a5"/>
        <w:rPr>
          <w:rtl/>
        </w:rPr>
      </w:pPr>
      <w:r>
        <w:rPr>
          <w:rStyle w:val="a7"/>
          <w:rtl/>
        </w:rPr>
        <w:footnoteRef/>
      </w:r>
      <w:r>
        <w:rPr>
          <w:rtl/>
        </w:rPr>
        <w:t xml:space="preserve"> </w:t>
      </w:r>
      <w:r>
        <w:rPr>
          <w:b/>
          <w:bCs/>
          <w:rtl/>
        </w:rPr>
        <w:t>בבת זוגי' כו'.</w:t>
      </w:r>
      <w:r>
        <w:rPr>
          <w:rtl/>
        </w:rPr>
        <w:t xml:space="preserve"> רוצה לומר בנפשא ועיין לעיל תיקון כ”ה ומה שבארנו שם, וכן בבת זוגיה ממש בחצות לילה, והן ב' בחינות נוקבין הנ"ל כנ"ל:</w:t>
      </w:r>
    </w:p>
  </w:footnote>
  <w:footnote w:id="5476">
    <w:p w:rsidR="00A13282" w:rsidRDefault="00A13282" w:rsidP="006D2826">
      <w:pPr>
        <w:pStyle w:val="a5"/>
        <w:rPr>
          <w:rtl/>
        </w:rPr>
      </w:pPr>
      <w:r>
        <w:rPr>
          <w:rStyle w:val="a7"/>
          <w:rtl/>
        </w:rPr>
        <w:footnoteRef/>
      </w:r>
      <w:r>
        <w:rPr>
          <w:rtl/>
        </w:rPr>
        <w:t xml:space="preserve"> </w:t>
      </w:r>
      <w:r>
        <w:rPr>
          <w:b/>
          <w:bCs/>
          <w:rtl/>
        </w:rPr>
        <w:t>דאיהי קודש קודשין.</w:t>
      </w:r>
      <w:r>
        <w:rPr>
          <w:rtl/>
        </w:rPr>
        <w:t xml:space="preserve"> רוצה לומר, דהאי עלמא הוא קדשים, בינה, העולם הבא, ובית דתמן הוא בית קדש קדשים, שכוללת ג"ר, והוא, הבית, והאדם דשרי בגוה, ועטרה על ראשו:</w:t>
      </w:r>
    </w:p>
  </w:footnote>
  <w:footnote w:id="5477">
    <w:p w:rsidR="00A13282" w:rsidRDefault="00A13282" w:rsidP="006D2826">
      <w:pPr>
        <w:pStyle w:val="a5"/>
        <w:rPr>
          <w:rtl/>
        </w:rPr>
      </w:pPr>
      <w:r>
        <w:rPr>
          <w:rStyle w:val="a7"/>
          <w:rtl/>
        </w:rPr>
        <w:footnoteRef/>
      </w:r>
      <w:r>
        <w:rPr>
          <w:rtl/>
        </w:rPr>
        <w:t xml:space="preserve"> </w:t>
      </w:r>
      <w:r>
        <w:rPr>
          <w:b/>
          <w:bCs/>
          <w:rtl/>
        </w:rPr>
        <w:t>ויחוד דיליה שמע ישראל.</w:t>
      </w:r>
      <w:r>
        <w:rPr>
          <w:rtl/>
        </w:rPr>
        <w:t xml:space="preserve"> דכולל ברכה וקדושה שהן עשרה, ז' ברכות וג' קדושין, והן יב"ק: </w:t>
      </w:r>
    </w:p>
  </w:footnote>
  <w:footnote w:id="5478">
    <w:p w:rsidR="00A13282" w:rsidRDefault="00A13282" w:rsidP="006D2826">
      <w:pPr>
        <w:pStyle w:val="a5"/>
        <w:rPr>
          <w:rtl/>
        </w:rPr>
      </w:pPr>
      <w:r>
        <w:rPr>
          <w:rStyle w:val="a7"/>
          <w:rtl/>
        </w:rPr>
        <w:footnoteRef/>
      </w:r>
      <w:r>
        <w:rPr>
          <w:rtl/>
        </w:rPr>
        <w:t xml:space="preserve"> </w:t>
      </w:r>
      <w:r>
        <w:rPr>
          <w:b/>
          <w:bCs/>
          <w:rtl/>
        </w:rPr>
        <w:t>זכאה מאן דשריא כו'.</w:t>
      </w:r>
      <w:r>
        <w:rPr>
          <w:rtl/>
        </w:rPr>
        <w:t xml:space="preserve"> דעביד כל פקודין כנ"ל וזה שאומר דאם חסר כו':</w:t>
      </w:r>
    </w:p>
  </w:footnote>
  <w:footnote w:id="5479">
    <w:p w:rsidR="00A13282" w:rsidRDefault="00A13282" w:rsidP="006D2826">
      <w:pPr>
        <w:pStyle w:val="a5"/>
        <w:rPr>
          <w:rtl/>
        </w:rPr>
      </w:pPr>
      <w:r>
        <w:rPr>
          <w:rStyle w:val="a7"/>
          <w:rtl/>
        </w:rPr>
        <w:footnoteRef/>
      </w:r>
      <w:r>
        <w:rPr>
          <w:rtl/>
        </w:rPr>
        <w:t xml:space="preserve"> </w:t>
      </w:r>
      <w:r>
        <w:rPr>
          <w:b/>
          <w:bCs/>
          <w:rtl/>
        </w:rPr>
        <w:t>דאיהו מום דמאן דדבורא דיליה עקים עליה כו'.</w:t>
      </w:r>
      <w:r>
        <w:rPr>
          <w:rtl/>
        </w:rPr>
        <w:t xml:space="preserve"> רוצה לומר כמו שאמרו (ערכין טו ע"ב) כבר כרתו דוד ברוח הקדש, ואמר רשב"י (חגיגה ט ע"א) איזהו מעות כו' זה ת"ח כו':</w:t>
      </w:r>
    </w:p>
  </w:footnote>
  <w:footnote w:id="5480">
    <w:p w:rsidR="00A13282" w:rsidRDefault="00A13282" w:rsidP="006D2826">
      <w:pPr>
        <w:pStyle w:val="a5"/>
        <w:rPr>
          <w:rtl/>
        </w:rPr>
      </w:pPr>
      <w:r>
        <w:rPr>
          <w:rStyle w:val="a7"/>
          <w:rtl/>
        </w:rPr>
        <w:footnoteRef/>
      </w:r>
      <w:r>
        <w:rPr>
          <w:rtl/>
        </w:rPr>
        <w:t xml:space="preserve"> </w:t>
      </w:r>
      <w:r>
        <w:rPr>
          <w:b/>
          <w:bCs/>
          <w:rtl/>
        </w:rPr>
        <w:t>פומא כו'.</w:t>
      </w:r>
      <w:r>
        <w:rPr>
          <w:rtl/>
        </w:rPr>
        <w:t xml:space="preserve"> מפרש והולך האיך כליל הוי"ה בדבורא:</w:t>
      </w:r>
    </w:p>
  </w:footnote>
  <w:footnote w:id="5481">
    <w:p w:rsidR="00A13282" w:rsidRDefault="00A13282" w:rsidP="006D2826">
      <w:pPr>
        <w:pStyle w:val="a5"/>
        <w:rPr>
          <w:rtl/>
        </w:rPr>
      </w:pPr>
      <w:r>
        <w:rPr>
          <w:rStyle w:val="a7"/>
          <w:rtl/>
        </w:rPr>
        <w:footnoteRef/>
      </w:r>
      <w:r>
        <w:rPr>
          <w:rtl/>
        </w:rPr>
        <w:t xml:space="preserve"> </w:t>
      </w:r>
      <w:r>
        <w:rPr>
          <w:b/>
          <w:bCs/>
          <w:rtl/>
        </w:rPr>
        <w:t>שפוון כו'.</w:t>
      </w:r>
      <w:r>
        <w:rPr>
          <w:rtl/>
        </w:rPr>
        <w:t xml:space="preserve"> עתה מפרש תיקונא דפומא, תיקון ז', ועיין לעיל קכ"ד א':</w:t>
      </w:r>
    </w:p>
  </w:footnote>
  <w:footnote w:id="5482">
    <w:p w:rsidR="00A13282" w:rsidRDefault="00A13282" w:rsidP="006D2826">
      <w:pPr>
        <w:pStyle w:val="a5"/>
        <w:rPr>
          <w:rtl/>
        </w:rPr>
      </w:pPr>
      <w:r>
        <w:rPr>
          <w:rStyle w:val="a7"/>
          <w:rtl/>
        </w:rPr>
        <w:footnoteRef/>
      </w:r>
      <w:r>
        <w:rPr>
          <w:rtl/>
        </w:rPr>
        <w:t xml:space="preserve"> </w:t>
      </w:r>
      <w:r>
        <w:rPr>
          <w:b/>
          <w:bCs/>
          <w:rtl/>
        </w:rPr>
        <w:t>כמה מלאכים כו'.</w:t>
      </w:r>
      <w:r>
        <w:rPr>
          <w:rtl/>
        </w:rPr>
        <w:t xml:space="preserve"> כנ"ל כי עוף השמים כו' ואינון ועוף יעופף כו':</w:t>
      </w:r>
    </w:p>
  </w:footnote>
  <w:footnote w:id="5483">
    <w:p w:rsidR="00A13282" w:rsidRDefault="00A13282" w:rsidP="006D2826">
      <w:pPr>
        <w:pStyle w:val="a5"/>
        <w:rPr>
          <w:rtl/>
        </w:rPr>
      </w:pPr>
      <w:r>
        <w:rPr>
          <w:rStyle w:val="a7"/>
          <w:rtl/>
        </w:rPr>
        <w:footnoteRef/>
      </w:r>
      <w:r>
        <w:rPr>
          <w:rtl/>
        </w:rPr>
        <w:t xml:space="preserve"> </w:t>
      </w:r>
      <w:r>
        <w:rPr>
          <w:b/>
          <w:bCs/>
          <w:rtl/>
        </w:rPr>
        <w:t>חמש תיקונין כו'.</w:t>
      </w:r>
      <w:r>
        <w:rPr>
          <w:rtl/>
        </w:rPr>
        <w:t xml:space="preserve"> דפומא הוא ה' כנ"ל, ואינון פתוחי חותם דבה:</w:t>
      </w:r>
    </w:p>
  </w:footnote>
  <w:footnote w:id="5484">
    <w:p w:rsidR="00A13282" w:rsidRDefault="00A13282" w:rsidP="006D2826">
      <w:pPr>
        <w:pStyle w:val="a5"/>
        <w:rPr>
          <w:rtl/>
        </w:rPr>
      </w:pPr>
      <w:r>
        <w:rPr>
          <w:rStyle w:val="a7"/>
          <w:rtl/>
        </w:rPr>
        <w:footnoteRef/>
      </w:r>
      <w:r>
        <w:rPr>
          <w:rtl/>
        </w:rPr>
        <w:t xml:space="preserve"> </w:t>
      </w:r>
      <w:r>
        <w:rPr>
          <w:b/>
          <w:bCs/>
          <w:rtl/>
        </w:rPr>
        <w:t>ובהון אבנים שלמות.</w:t>
      </w:r>
      <w:r>
        <w:rPr>
          <w:rtl/>
        </w:rPr>
        <w:t xml:space="preserve"> רוצה לומר לא פגומות, ולמחתך כמו שאמרו (ברכות לא ע"א) וצריך לחתוך בשפתיו, ואבנים הן האותיות, דבנין הוא התיבות כמו שאומר בספר יצירה, ב' אבנים בונות ב' בתים ג' כו' ועיין לעיל ז' ח':</w:t>
      </w:r>
    </w:p>
  </w:footnote>
  <w:footnote w:id="5485">
    <w:p w:rsidR="00A13282" w:rsidRDefault="00A13282" w:rsidP="006D2826">
      <w:pPr>
        <w:pStyle w:val="a5"/>
        <w:rPr>
          <w:rtl/>
        </w:rPr>
      </w:pPr>
      <w:r>
        <w:rPr>
          <w:rStyle w:val="a7"/>
          <w:rtl/>
        </w:rPr>
        <w:footnoteRef/>
      </w:r>
      <w:r>
        <w:rPr>
          <w:rtl/>
        </w:rPr>
        <w:t xml:space="preserve"> </w:t>
      </w:r>
      <w:r>
        <w:rPr>
          <w:b/>
          <w:bCs/>
          <w:rtl/>
        </w:rPr>
        <w:t>וישכב כו' יש להנחיל כו'.</w:t>
      </w:r>
      <w:r>
        <w:rPr>
          <w:rtl/>
        </w:rPr>
        <w:t xml:space="preserve"> יש הוא חכמה, וזהו אוהבי יש, ועיין לעיל קכ"ח א', י' אתלבש באנשי כו' ותמן כו', ויש הוא ל"ב נתיבות ומתמן נקודין כמו שאומר בזוהר חדש שה"ש, וב"ך אותיות הם בבינה, והכל הוא בפומא, שם הוא ב"ך אתוון בה' מוצאות הפה דהוא ה' דבינה, והנקודין עשר ביו"ד דחכמה, וזהו במקום ההוא, דהוא עלמא עילאה, ועבד הלוי הוא, ועיין בזוהר פ’ קרח והכל נטל יעקב בלשון דכליל מתרווייהו והוא שוכב שם, ואמר </w:t>
      </w:r>
      <w:r>
        <w:rPr>
          <w:b/>
          <w:bCs/>
          <w:rtl/>
        </w:rPr>
        <w:t>בך יברך כו' בך כו'.</w:t>
      </w:r>
      <w:r>
        <w:rPr>
          <w:rtl/>
        </w:rPr>
        <w:t xml:space="preserve"> הכל בכ"ב אתוון דאורייתא, ואמר </w:t>
      </w:r>
      <w:r>
        <w:rPr>
          <w:b/>
          <w:bCs/>
          <w:rtl/>
        </w:rPr>
        <w:t>בהון ברוך כו'.</w:t>
      </w:r>
      <w:r>
        <w:rPr>
          <w:rtl/>
        </w:rPr>
        <w:t xml:space="preserve"> שהוא ראשי תיבות ב"ך י"ם, וים הוא ג"כ בנקודין ואתוון דבינה י"ם נש"ב אלא דנקודין דשם הוא כח מעשיו דלמעלה קכ"ח ב':</w:t>
      </w:r>
    </w:p>
  </w:footnote>
  <w:footnote w:id="5486">
    <w:p w:rsidR="00A13282" w:rsidRDefault="00A13282" w:rsidP="006D2826">
      <w:pPr>
        <w:pStyle w:val="a5"/>
        <w:rPr>
          <w:rtl/>
        </w:rPr>
      </w:pPr>
      <w:r>
        <w:rPr>
          <w:rStyle w:val="a7"/>
          <w:rtl/>
        </w:rPr>
        <w:footnoteRef/>
      </w:r>
      <w:r>
        <w:rPr>
          <w:rtl/>
        </w:rPr>
        <w:t xml:space="preserve"> </w:t>
      </w:r>
      <w:r>
        <w:rPr>
          <w:b/>
          <w:bCs/>
          <w:rtl/>
        </w:rPr>
        <w:t>דיקנא כו'.</w:t>
      </w:r>
      <w:r>
        <w:rPr>
          <w:rtl/>
        </w:rPr>
        <w:t xml:space="preserve"> הוא כליל בתיקוני דפומא, וכמו שאומר באידרא רבה דפה הוא תיקון י"ב דכליל כולא בי"ב עיין שם, ועיין מה שבארנו בספרא דצניעותא דז' תיקונין וי"ב תיקונין - ז' דרישא וי"ג דמ"ס, ז' דגלגלתא כלילין בחוטמא וי"ג דמ"ס כלילין בפומא, והן זו"נ, חוטמא ופומא כידוע, וכנ"ל קכ"ט א':</w:t>
      </w:r>
    </w:p>
  </w:footnote>
  <w:footnote w:id="5487">
    <w:p w:rsidR="00A13282" w:rsidRDefault="00A13282" w:rsidP="006D2826">
      <w:pPr>
        <w:pStyle w:val="a5"/>
        <w:rPr>
          <w:rtl/>
        </w:rPr>
      </w:pPr>
      <w:r>
        <w:rPr>
          <w:rStyle w:val="a7"/>
          <w:rtl/>
        </w:rPr>
        <w:footnoteRef/>
      </w:r>
      <w:r>
        <w:rPr>
          <w:rtl/>
        </w:rPr>
        <w:t xml:space="preserve"> </w:t>
      </w:r>
      <w:r>
        <w:rPr>
          <w:b/>
          <w:bCs/>
          <w:rtl/>
        </w:rPr>
        <w:t>ותגל מרגלותיו.</w:t>
      </w:r>
      <w:r>
        <w:rPr>
          <w:rtl/>
        </w:rPr>
        <w:t xml:space="preserve"> רוצה לומר דגלת לרגלוהי כמו שאומר לעיל תיקון ל”א:</w:t>
      </w:r>
    </w:p>
  </w:footnote>
  <w:footnote w:id="5488">
    <w:p w:rsidR="00A13282" w:rsidRDefault="00A13282" w:rsidP="006D2826">
      <w:pPr>
        <w:pStyle w:val="a5"/>
        <w:rPr>
          <w:rtl/>
        </w:rPr>
      </w:pPr>
      <w:r>
        <w:rPr>
          <w:rStyle w:val="a7"/>
          <w:rtl/>
        </w:rPr>
        <w:footnoteRef/>
      </w:r>
      <w:r>
        <w:rPr>
          <w:rtl/>
        </w:rPr>
        <w:t xml:space="preserve"> </w:t>
      </w:r>
      <w:r>
        <w:rPr>
          <w:b/>
          <w:bCs/>
          <w:rtl/>
        </w:rPr>
        <w:t>ותיובתא שלימתא כו'.</w:t>
      </w:r>
      <w:r>
        <w:rPr>
          <w:rtl/>
        </w:rPr>
        <w:t xml:space="preserve"> בין לשכינה בין לנשמתא - דהכל אחד, כמו שכינה בישראל כן נשמתא בגופא, בלבא ושאר אברין הן גלותא דידה בין אומות בכבד מרה טחול, ועיין לעיל תיקון כ’, וזה שאומר דבזמנא דנשמתא כו' וכן כד שכינתא איהי בירושלים דאיהי לבא דכל עלמא אז כל אומין דעלמא משועבדין לה והיא מטרוניתא דכל עלמא ונראית מלכותו יתברך וכן נשמתו מושלת על כל האברים וכולן משועבדים לנשמתא:</w:t>
      </w:r>
    </w:p>
  </w:footnote>
  <w:footnote w:id="5489">
    <w:p w:rsidR="00A13282" w:rsidRDefault="00A13282" w:rsidP="006D2826">
      <w:pPr>
        <w:pStyle w:val="a5"/>
        <w:rPr>
          <w:rtl/>
        </w:rPr>
      </w:pPr>
      <w:r>
        <w:rPr>
          <w:rStyle w:val="a7"/>
          <w:rtl/>
        </w:rPr>
        <w:footnoteRef/>
      </w:r>
      <w:r>
        <w:rPr>
          <w:rtl/>
        </w:rPr>
        <w:t xml:space="preserve"> </w:t>
      </w:r>
      <w:r>
        <w:rPr>
          <w:b/>
          <w:bCs/>
          <w:rtl/>
        </w:rPr>
        <w:t>שרטוטין כו'.</w:t>
      </w:r>
      <w:r>
        <w:rPr>
          <w:rtl/>
        </w:rPr>
        <w:t xml:space="preserve"> תיקון ח':</w:t>
      </w:r>
    </w:p>
  </w:footnote>
  <w:footnote w:id="5490">
    <w:p w:rsidR="00A13282" w:rsidRDefault="00A13282" w:rsidP="006D2826">
      <w:pPr>
        <w:pStyle w:val="a5"/>
        <w:rPr>
          <w:rtl/>
        </w:rPr>
      </w:pPr>
      <w:r>
        <w:rPr>
          <w:rStyle w:val="a7"/>
          <w:rtl/>
        </w:rPr>
        <w:footnoteRef/>
      </w:r>
      <w:r>
        <w:rPr>
          <w:rtl/>
        </w:rPr>
        <w:t xml:space="preserve"> </w:t>
      </w:r>
      <w:r>
        <w:rPr>
          <w:b/>
          <w:bCs/>
          <w:rtl/>
        </w:rPr>
        <w:t>מנהון כו'.</w:t>
      </w:r>
      <w:r>
        <w:rPr>
          <w:rtl/>
        </w:rPr>
        <w:t xml:space="preserve"> בד' אנפין, אנשי חיל כו', ד' אותיות הוי"ה כסדר ועיין לעיל קכ"ד א':</w:t>
      </w:r>
    </w:p>
  </w:footnote>
  <w:footnote w:id="5491">
    <w:p w:rsidR="00A13282" w:rsidRDefault="00A13282" w:rsidP="006D2826">
      <w:pPr>
        <w:pStyle w:val="a5"/>
        <w:rPr>
          <w:rtl/>
        </w:rPr>
      </w:pPr>
      <w:r>
        <w:rPr>
          <w:rStyle w:val="a7"/>
          <w:rtl/>
        </w:rPr>
        <w:footnoteRef/>
      </w:r>
      <w:r>
        <w:rPr>
          <w:rtl/>
        </w:rPr>
        <w:t xml:space="preserve"> </w:t>
      </w:r>
      <w:r>
        <w:rPr>
          <w:b/>
          <w:bCs/>
          <w:rtl/>
        </w:rPr>
        <w:t>אשכחנא כו' רמאין.</w:t>
      </w:r>
      <w:r>
        <w:rPr>
          <w:rtl/>
        </w:rPr>
        <w:t xml:space="preserve"> הן דדכורא, ועמיקין דנוק' כמו שבארנו לעיל בסוד (תהלים לו ז) צדקתך כהררי כו', וחכמה נקרא מרום כמו שאומר לעיל ל"ט א', ובינה נקרא עומק, (תהלים קל א) ממעמקים קראתיך כו', והיא נקרא תהום רבה, וממנה מתערין משפטיך כו', והיא (קהלת ז כד) עמוק מי ימצאנו, אף שלמעלה נדרש ג"כ על החכמה היינו מצד כלילות החכמה בבינה ולכן כתיב מי שהוא בינה ויו"ד שבמ"י הוא חכמה שבבינה כמו שבארנו שם, והן מתניתין דרזין עילאין שהן חו"ב, ועיין בסבא מענין הרזין דאמר שם דשאט בגו ימא עמיקא, ואמר שם דאשכח שם טורין רמאין, והנה כאשר עסק שם ברזא דגלגולין דנשמתין אמר שם דשאט בימא עמיקא דהוא ברזא דנוק', דכל גלגולין בה כמו שאומר שם דירד מדרגא דדכורא לדרגא דנוק' עיין שם בדבריו, וכן אמר כאן למטה בס"א נוק' אית ליה כו' דכל גלגולין דנשמתין בה מתהפכין כו', וכאשר עסק שם ברזין דספירות דדכורא אמר הרים, שמעו הרים כו' עיין שם בדבריו:</w:t>
      </w:r>
    </w:p>
  </w:footnote>
  <w:footnote w:id="5492">
    <w:p w:rsidR="00A13282" w:rsidRDefault="00A13282" w:rsidP="006D2826">
      <w:pPr>
        <w:pStyle w:val="a5"/>
        <w:rPr>
          <w:rtl/>
        </w:rPr>
      </w:pPr>
      <w:r>
        <w:rPr>
          <w:rStyle w:val="a7"/>
          <w:rtl/>
        </w:rPr>
        <w:footnoteRef/>
      </w:r>
      <w:r>
        <w:rPr>
          <w:rtl/>
        </w:rPr>
        <w:t xml:space="preserve"> </w:t>
      </w:r>
      <w:r>
        <w:rPr>
          <w:b/>
          <w:bCs/>
          <w:rtl/>
        </w:rPr>
        <w:t>גו סוספיתא.</w:t>
      </w:r>
      <w:r>
        <w:rPr>
          <w:rtl/>
        </w:rPr>
        <w:t xml:space="preserve"> הוא סוספיתא דדהבא:</w:t>
      </w:r>
    </w:p>
  </w:footnote>
  <w:footnote w:id="5493">
    <w:p w:rsidR="00A13282" w:rsidRDefault="00A13282" w:rsidP="006D2826">
      <w:pPr>
        <w:pStyle w:val="a5"/>
        <w:rPr>
          <w:rtl/>
        </w:rPr>
      </w:pPr>
      <w:r>
        <w:rPr>
          <w:rStyle w:val="a7"/>
          <w:rtl/>
        </w:rPr>
        <w:footnoteRef/>
      </w:r>
      <w:r>
        <w:rPr>
          <w:rtl/>
        </w:rPr>
        <w:t xml:space="preserve"> </w:t>
      </w:r>
      <w:r>
        <w:rPr>
          <w:b/>
          <w:bCs/>
          <w:rtl/>
        </w:rPr>
        <w:t>קונטרא.</w:t>
      </w:r>
      <w:r>
        <w:rPr>
          <w:rtl/>
        </w:rPr>
        <w:t xml:space="preserve"> הוא מטה ושבט של ברזל, מדקר וסותר, וכמו שכתוב (ישעיהו י ה) שבט אפי ומטה בידם כו':</w:t>
      </w:r>
    </w:p>
  </w:footnote>
  <w:footnote w:id="5494">
    <w:p w:rsidR="00A13282" w:rsidRDefault="00A13282" w:rsidP="006D2826">
      <w:pPr>
        <w:pStyle w:val="a5"/>
        <w:rPr>
          <w:rtl/>
        </w:rPr>
      </w:pPr>
      <w:r>
        <w:rPr>
          <w:rStyle w:val="a7"/>
          <w:rtl/>
        </w:rPr>
        <w:footnoteRef/>
      </w:r>
      <w:r>
        <w:rPr>
          <w:rtl/>
        </w:rPr>
        <w:t xml:space="preserve"> </w:t>
      </w:r>
      <w:r>
        <w:rPr>
          <w:b/>
          <w:bCs/>
          <w:rtl/>
        </w:rPr>
        <w:t>קטרא דקטרין.</w:t>
      </w:r>
      <w:r>
        <w:rPr>
          <w:rtl/>
        </w:rPr>
        <w:t xml:space="preserve"> עיין בסוף פ' פקודי מענין הקשרים דלהון בארוכה:</w:t>
      </w:r>
    </w:p>
  </w:footnote>
  <w:footnote w:id="5495">
    <w:p w:rsidR="00A13282" w:rsidRDefault="00A13282" w:rsidP="006D2826">
      <w:pPr>
        <w:pStyle w:val="a5"/>
        <w:rPr>
          <w:rtl/>
        </w:rPr>
      </w:pPr>
      <w:r>
        <w:rPr>
          <w:rStyle w:val="a7"/>
          <w:rtl/>
        </w:rPr>
        <w:footnoteRef/>
      </w:r>
      <w:r>
        <w:rPr>
          <w:rtl/>
        </w:rPr>
        <w:t xml:space="preserve"> </w:t>
      </w:r>
      <w:r>
        <w:rPr>
          <w:b/>
          <w:bCs/>
          <w:rtl/>
        </w:rPr>
        <w:t>תמן הוה חד אוכמא.</w:t>
      </w:r>
      <w:r>
        <w:rPr>
          <w:rtl/>
        </w:rPr>
        <w:t xml:space="preserve"> הם השמרים שבתי אוכמי ועיין בזוהר פ’ תרומה:</w:t>
      </w:r>
    </w:p>
  </w:footnote>
  <w:footnote w:id="5496">
    <w:p w:rsidR="00A13282" w:rsidRDefault="00A13282" w:rsidP="006D2826">
      <w:pPr>
        <w:pStyle w:val="a5"/>
        <w:rPr>
          <w:rtl/>
        </w:rPr>
      </w:pPr>
      <w:r>
        <w:rPr>
          <w:rStyle w:val="a7"/>
          <w:rtl/>
        </w:rPr>
        <w:footnoteRef/>
      </w:r>
      <w:r>
        <w:rPr>
          <w:rtl/>
        </w:rPr>
        <w:t xml:space="preserve"> </w:t>
      </w:r>
      <w:r>
        <w:rPr>
          <w:b/>
          <w:bCs/>
          <w:rtl/>
        </w:rPr>
        <w:t>בלא רגלין.</w:t>
      </w:r>
      <w:r>
        <w:rPr>
          <w:rtl/>
        </w:rPr>
        <w:t xml:space="preserve"> כמו שכתוב על גחונך תלך כו', ועיין לעיל תיקון ס”ד דלית ליה על מה דאסתמיך:</w:t>
      </w:r>
    </w:p>
  </w:footnote>
  <w:footnote w:id="5497">
    <w:p w:rsidR="00A13282" w:rsidRDefault="00A13282" w:rsidP="006D2826">
      <w:pPr>
        <w:pStyle w:val="a5"/>
        <w:rPr>
          <w:rtl/>
        </w:rPr>
      </w:pPr>
      <w:r>
        <w:rPr>
          <w:rStyle w:val="a7"/>
          <w:rtl/>
        </w:rPr>
        <w:footnoteRef/>
      </w:r>
      <w:r>
        <w:rPr>
          <w:rtl/>
        </w:rPr>
        <w:t xml:space="preserve"> </w:t>
      </w:r>
      <w:r>
        <w:rPr>
          <w:b/>
          <w:bCs/>
          <w:rtl/>
        </w:rPr>
        <w:t>מתהפך הפוכין.</w:t>
      </w:r>
      <w:r>
        <w:rPr>
          <w:rtl/>
        </w:rPr>
        <w:t xml:space="preserve"> שהוא להט החרב המתהפכת אע"ג דהוא בנוק' מכל מקום ג"כ בדכורא, ועיין לעיל קל"ב א' וברי כו' דא רזא דגלגולא דיצר הרע אית למאן כו' דמתהפך מצורה לצורה, וכן כל עניני הס"א והשדים:</w:t>
      </w:r>
    </w:p>
  </w:footnote>
  <w:footnote w:id="5498">
    <w:p w:rsidR="00A13282" w:rsidRDefault="00A13282" w:rsidP="006D2826">
      <w:pPr>
        <w:pStyle w:val="a5"/>
        <w:rPr>
          <w:rtl/>
        </w:rPr>
      </w:pPr>
      <w:r>
        <w:rPr>
          <w:rStyle w:val="a7"/>
          <w:rtl/>
        </w:rPr>
        <w:footnoteRef/>
      </w:r>
      <w:r>
        <w:rPr>
          <w:rtl/>
        </w:rPr>
        <w:t xml:space="preserve"> </w:t>
      </w:r>
      <w:r>
        <w:rPr>
          <w:b/>
          <w:bCs/>
          <w:rtl/>
        </w:rPr>
        <w:t>גוף טריף.</w:t>
      </w:r>
      <w:r>
        <w:rPr>
          <w:rtl/>
        </w:rPr>
        <w:t xml:space="preserve"> כמו שאמרו (נדרים כה ע"א) דנחש גופו טריף, דיעקב איש חלק, אבל גבו שלו טריף דהוא משברי</w:t>
      </w:r>
      <w:r>
        <w:t xml:space="preserve"> </w:t>
      </w:r>
      <w:r>
        <w:rPr>
          <w:rtl/>
        </w:rPr>
        <w:t>כלים, אין בו שלימות כלל רק הכל משברים, דהן הכל בעלי מומין ופגומין:</w:t>
      </w:r>
    </w:p>
  </w:footnote>
  <w:footnote w:id="5499">
    <w:p w:rsidR="00A13282" w:rsidRDefault="00A13282" w:rsidP="006D2826">
      <w:pPr>
        <w:pStyle w:val="a5"/>
        <w:rPr>
          <w:rtl/>
        </w:rPr>
      </w:pPr>
      <w:r>
        <w:rPr>
          <w:rStyle w:val="a7"/>
          <w:rtl/>
        </w:rPr>
        <w:footnoteRef/>
      </w:r>
      <w:r>
        <w:rPr>
          <w:rtl/>
        </w:rPr>
        <w:t xml:space="preserve"> </w:t>
      </w:r>
      <w:r>
        <w:rPr>
          <w:b/>
          <w:bCs/>
          <w:rtl/>
        </w:rPr>
        <w:t>כד הוה יתיב כו'.</w:t>
      </w:r>
      <w:r>
        <w:rPr>
          <w:rtl/>
        </w:rPr>
        <w:t xml:space="preserve"> דבקדושה, דכורא - הולך אל דרום סובב כו', דור הולך כו', ונוק' - הארץ לעולם עומדת, כתפארת אדם לשבת בית, והכל בקיומא סגי, לעולם עומדת, וכן בדכורא, מה שאין כן בהם דאין להם קביעות כלל, לא בדכורא ולא בנוק', לכן כל השרצים מתנענעים תמיד כידוע, ועל כן נקראו שרצים, ואף בהלוכן אינן ניכרין הלוכן וכאלו הם במקומם, אזיל יתיב יתיב אזיל, וכן הוא בבני אדם הבאים מסטרא דלהון, שהן מהירין בתנועתן ובכל דבר:</w:t>
      </w:r>
    </w:p>
  </w:footnote>
  <w:footnote w:id="5500">
    <w:p w:rsidR="00A13282" w:rsidRDefault="00A13282" w:rsidP="006D2826">
      <w:pPr>
        <w:pStyle w:val="a5"/>
        <w:rPr>
          <w:rtl/>
        </w:rPr>
      </w:pPr>
      <w:r>
        <w:rPr>
          <w:rStyle w:val="a7"/>
          <w:rtl/>
        </w:rPr>
        <w:footnoteRef/>
      </w:r>
      <w:r>
        <w:rPr>
          <w:rtl/>
        </w:rPr>
        <w:t xml:space="preserve"> </w:t>
      </w:r>
      <w:r>
        <w:rPr>
          <w:b/>
          <w:bCs/>
          <w:rtl/>
        </w:rPr>
        <w:t>כד הוה אזיל מהפך כו' כד כו'.</w:t>
      </w:r>
      <w:r>
        <w:rPr>
          <w:rtl/>
        </w:rPr>
        <w:t xml:space="preserve"> דטורין הוא בדכורא, וסלעים - בנוק' כמו שאומר בתיקוני זוהר חדש ע"ה ב' עיין שם בדבריו, וזה שכתוב (מלכים א יט יא) רוח גדולה וחזק מפרק הרים ומשבר סלעים, ואמר גדולה לשון נקבה, וחזק לשון זכר:</w:t>
      </w:r>
    </w:p>
  </w:footnote>
  <w:footnote w:id="5501">
    <w:p w:rsidR="00A13282" w:rsidRDefault="00A13282" w:rsidP="006D2826">
      <w:pPr>
        <w:pStyle w:val="a5"/>
        <w:rPr>
          <w:rtl/>
        </w:rPr>
      </w:pPr>
      <w:r>
        <w:rPr>
          <w:rStyle w:val="a7"/>
          <w:rtl/>
        </w:rPr>
        <w:footnoteRef/>
      </w:r>
      <w:r>
        <w:rPr>
          <w:rtl/>
        </w:rPr>
        <w:t xml:space="preserve"> </w:t>
      </w:r>
      <w:r>
        <w:rPr>
          <w:b/>
          <w:bCs/>
          <w:rtl/>
        </w:rPr>
        <w:t>מאן דאערע כו'.</w:t>
      </w:r>
      <w:r>
        <w:rPr>
          <w:rtl/>
        </w:rPr>
        <w:t xml:space="preserve"> כמו שאומר זכאה מאן כו':</w:t>
      </w:r>
    </w:p>
  </w:footnote>
  <w:footnote w:id="5502">
    <w:p w:rsidR="00A13282" w:rsidRDefault="00A13282" w:rsidP="006D2826">
      <w:pPr>
        <w:pStyle w:val="a5"/>
        <w:rPr>
          <w:rtl/>
        </w:rPr>
      </w:pPr>
      <w:r>
        <w:rPr>
          <w:rStyle w:val="a7"/>
          <w:rtl/>
        </w:rPr>
        <w:footnoteRef/>
      </w:r>
      <w:r>
        <w:rPr>
          <w:rtl/>
        </w:rPr>
        <w:t xml:space="preserve"> </w:t>
      </w:r>
      <w:r>
        <w:rPr>
          <w:b/>
          <w:bCs/>
          <w:rtl/>
        </w:rPr>
        <w:t>טריף כו'.</w:t>
      </w:r>
      <w:r>
        <w:rPr>
          <w:rtl/>
        </w:rPr>
        <w:t xml:space="preserve"> בב' יצרין, בכעסני - טריף כמו שאומר בפ' תצוה טורף נפשו באפו כו', וקטיל בתאווני כמו שכתוב (משלי ה ג,ד,ה) נפת תטופנה כו' ואחריתה כו' כחרב, רגליה יורדות כו', דכורא כעסני ונוק' תאווני שהיא סם המות כמו שאומר להלן בכמה מקומות, ועיין מה שבארנו במקום אחר בארוכה:</w:t>
      </w:r>
    </w:p>
  </w:footnote>
  <w:footnote w:id="5503">
    <w:p w:rsidR="00A13282" w:rsidRDefault="00A13282" w:rsidP="006D2826">
      <w:pPr>
        <w:pStyle w:val="a5"/>
        <w:rPr>
          <w:rtl/>
        </w:rPr>
      </w:pPr>
      <w:r>
        <w:rPr>
          <w:rStyle w:val="a7"/>
          <w:rtl/>
        </w:rPr>
        <w:footnoteRef/>
      </w:r>
      <w:r>
        <w:rPr>
          <w:rtl/>
        </w:rPr>
        <w:t xml:space="preserve"> </w:t>
      </w:r>
      <w:r>
        <w:rPr>
          <w:b/>
          <w:bCs/>
          <w:rtl/>
        </w:rPr>
        <w:t>ולא אהני.</w:t>
      </w:r>
      <w:r>
        <w:rPr>
          <w:rtl/>
        </w:rPr>
        <w:t xml:space="preserve"> כמו שאמרו (תענית ח ע"א) אומרים לנחש ארי דורס ואוכל כו' אתה כו', וכן הוא (קהלת ד יג) מלך זקן וכסיל, (קהלת ד ה) הכסיל חובק את כו', ולא אהני ליה:</w:t>
      </w:r>
    </w:p>
  </w:footnote>
  <w:footnote w:id="5504">
    <w:p w:rsidR="00A13282" w:rsidRDefault="00A13282" w:rsidP="006D2826">
      <w:pPr>
        <w:pStyle w:val="a5"/>
        <w:rPr>
          <w:rtl/>
        </w:rPr>
      </w:pPr>
      <w:r>
        <w:rPr>
          <w:rStyle w:val="a7"/>
          <w:rtl/>
        </w:rPr>
        <w:footnoteRef/>
      </w:r>
      <w:r>
        <w:rPr>
          <w:rtl/>
        </w:rPr>
        <w:t xml:space="preserve"> </w:t>
      </w:r>
      <w:r>
        <w:rPr>
          <w:b/>
          <w:bCs/>
          <w:rtl/>
        </w:rPr>
        <w:t>כל דיוקנין כו' כל כו' כל כו'.</w:t>
      </w:r>
      <w:r>
        <w:rPr>
          <w:rtl/>
        </w:rPr>
        <w:t xml:space="preserve"> עיין לעיל קל"ב א' שהן ג' דרגין דבי"ע בנר"ן, וכנגדן הכל בס"א </w:t>
      </w:r>
      <w:r>
        <w:rPr>
          <w:b/>
          <w:bCs/>
          <w:rtl/>
        </w:rPr>
        <w:t>ביה מרקמן דס"א</w:t>
      </w:r>
      <w:r>
        <w:rPr>
          <w:rtl/>
        </w:rPr>
        <w:t xml:space="preserve"> ומה שאומר דס"א קאי על כל ג' אלו, שהן הכל דס"א:</w:t>
      </w:r>
    </w:p>
  </w:footnote>
  <w:footnote w:id="5505">
    <w:p w:rsidR="00A13282" w:rsidRDefault="00A13282" w:rsidP="006D2826">
      <w:pPr>
        <w:pStyle w:val="a5"/>
        <w:rPr>
          <w:rtl/>
        </w:rPr>
      </w:pPr>
      <w:r>
        <w:rPr>
          <w:rStyle w:val="a7"/>
          <w:rtl/>
        </w:rPr>
        <w:footnoteRef/>
      </w:r>
      <w:r>
        <w:rPr>
          <w:rtl/>
        </w:rPr>
        <w:t xml:space="preserve"> </w:t>
      </w:r>
      <w:r>
        <w:rPr>
          <w:b/>
          <w:bCs/>
          <w:rtl/>
        </w:rPr>
        <w:t>כמה ענפין כו'.</w:t>
      </w:r>
      <w:r>
        <w:rPr>
          <w:rtl/>
        </w:rPr>
        <w:t xml:space="preserve"> הן דרגין דיליה:</w:t>
      </w:r>
    </w:p>
  </w:footnote>
  <w:footnote w:id="5506">
    <w:p w:rsidR="00A13282" w:rsidRDefault="00A13282" w:rsidP="006D2826">
      <w:pPr>
        <w:pStyle w:val="a5"/>
        <w:rPr>
          <w:rtl/>
        </w:rPr>
      </w:pPr>
      <w:r>
        <w:rPr>
          <w:rStyle w:val="a7"/>
          <w:rtl/>
        </w:rPr>
        <w:footnoteRef/>
      </w:r>
      <w:r>
        <w:rPr>
          <w:rtl/>
        </w:rPr>
        <w:t xml:space="preserve"> </w:t>
      </w:r>
      <w:r>
        <w:rPr>
          <w:b/>
          <w:bCs/>
          <w:rtl/>
        </w:rPr>
        <w:t>דשרביטין כו' גלגלין כו'.</w:t>
      </w:r>
      <w:r>
        <w:rPr>
          <w:rtl/>
        </w:rPr>
        <w:t xml:space="preserve"> שהן הכל מסטרא דדינא כמו שאומר בסטרא דקדושה (דניאל ז ט) שביבין דנור גלגלוהי נור דליק:</w:t>
      </w:r>
    </w:p>
  </w:footnote>
  <w:footnote w:id="5507">
    <w:p w:rsidR="00A13282" w:rsidRDefault="00A13282" w:rsidP="006D2826">
      <w:pPr>
        <w:pStyle w:val="a5"/>
        <w:rPr>
          <w:rtl/>
        </w:rPr>
      </w:pPr>
      <w:r>
        <w:rPr>
          <w:rStyle w:val="a7"/>
          <w:rtl/>
        </w:rPr>
        <w:footnoteRef/>
      </w:r>
      <w:r>
        <w:rPr>
          <w:rtl/>
        </w:rPr>
        <w:t xml:space="preserve"> </w:t>
      </w:r>
      <w:r>
        <w:rPr>
          <w:b/>
          <w:bCs/>
          <w:rtl/>
        </w:rPr>
        <w:t>כלהו מליין עיינין כו'.</w:t>
      </w:r>
      <w:r>
        <w:rPr>
          <w:rtl/>
        </w:rPr>
        <w:t xml:space="preserve"> ידוע, וכמו שאמרו בחיה הרביעית, ועיינין הוא מסטרא דדינא כמו שאמרו בהיכל הרביעי בפ' פנחס והוא לאשגחא על כל עובדי, דבסטרא דרחמי לא יראה און כו':</w:t>
      </w:r>
    </w:p>
  </w:footnote>
  <w:footnote w:id="5508">
    <w:p w:rsidR="00A13282" w:rsidRDefault="00A13282" w:rsidP="006D2826">
      <w:pPr>
        <w:pStyle w:val="a5"/>
        <w:rPr>
          <w:rtl/>
        </w:rPr>
      </w:pPr>
      <w:r>
        <w:rPr>
          <w:rStyle w:val="a7"/>
          <w:rtl/>
        </w:rPr>
        <w:footnoteRef/>
      </w:r>
      <w:r>
        <w:rPr>
          <w:rtl/>
        </w:rPr>
        <w:t xml:space="preserve"> </w:t>
      </w:r>
      <w:r>
        <w:rPr>
          <w:b/>
          <w:bCs/>
          <w:rtl/>
        </w:rPr>
        <w:t>דגומרין כו'.</w:t>
      </w:r>
      <w:r>
        <w:rPr>
          <w:rtl/>
        </w:rPr>
        <w:t xml:space="preserve"> מסטרא דלהון:</w:t>
      </w:r>
    </w:p>
  </w:footnote>
  <w:footnote w:id="5509">
    <w:p w:rsidR="00A13282" w:rsidRDefault="00A13282" w:rsidP="006D2826">
      <w:pPr>
        <w:pStyle w:val="a5"/>
        <w:rPr>
          <w:rtl/>
        </w:rPr>
      </w:pPr>
      <w:r>
        <w:rPr>
          <w:rStyle w:val="a7"/>
          <w:rtl/>
        </w:rPr>
        <w:footnoteRef/>
      </w:r>
      <w:r>
        <w:rPr>
          <w:rtl/>
        </w:rPr>
        <w:t xml:space="preserve"> </w:t>
      </w:r>
      <w:r>
        <w:rPr>
          <w:b/>
          <w:bCs/>
          <w:rtl/>
        </w:rPr>
        <w:t>ביה רשימין ומצויירין.</w:t>
      </w:r>
      <w:r>
        <w:rPr>
          <w:rtl/>
        </w:rPr>
        <w:t xml:space="preserve"> עיין מה שבארנו לעיל קכ"ד ב' שהן ב' ענינים:</w:t>
      </w:r>
    </w:p>
  </w:footnote>
  <w:footnote w:id="5510">
    <w:p w:rsidR="00A13282" w:rsidRDefault="00A13282" w:rsidP="006D2826">
      <w:pPr>
        <w:pStyle w:val="a5"/>
        <w:rPr>
          <w:rtl/>
        </w:rPr>
      </w:pPr>
      <w:r>
        <w:rPr>
          <w:rStyle w:val="a7"/>
          <w:rtl/>
        </w:rPr>
        <w:footnoteRef/>
      </w:r>
      <w:r>
        <w:rPr>
          <w:rtl/>
        </w:rPr>
        <w:t xml:space="preserve"> </w:t>
      </w:r>
      <w:r>
        <w:rPr>
          <w:b/>
          <w:bCs/>
          <w:rtl/>
        </w:rPr>
        <w:t>דכלהו מועדין לקלקל.</w:t>
      </w:r>
      <w:r>
        <w:rPr>
          <w:rtl/>
        </w:rPr>
        <w:t xml:space="preserve"> כמו שאמרו בפרק קמא דבבא קמא:</w:t>
      </w:r>
    </w:p>
  </w:footnote>
  <w:footnote w:id="5511">
    <w:p w:rsidR="00A13282" w:rsidRDefault="00A13282" w:rsidP="006D2826">
      <w:pPr>
        <w:pStyle w:val="a5"/>
        <w:rPr>
          <w:rtl/>
        </w:rPr>
      </w:pPr>
      <w:r>
        <w:rPr>
          <w:rStyle w:val="a7"/>
          <w:rtl/>
        </w:rPr>
        <w:footnoteRef/>
      </w:r>
      <w:r>
        <w:rPr>
          <w:rtl/>
        </w:rPr>
        <w:t xml:space="preserve"> </w:t>
      </w:r>
      <w:r>
        <w:rPr>
          <w:b/>
          <w:bCs/>
          <w:rtl/>
        </w:rPr>
        <w:t>כמה שרביטין וניצוצין.</w:t>
      </w:r>
      <w:r>
        <w:rPr>
          <w:rtl/>
        </w:rPr>
        <w:t xml:space="preserve"> שהן דכורין שרביטין, ונוק' ניצוצין, בסוד (במדבר כד יז) דרך כו' וקם שבט כו', כמו בקדושה וא"ו דכורא ויו"ד נוק' כמו שאומר לעיל בארוכה, והן רוח ונפש:</w:t>
      </w:r>
    </w:p>
  </w:footnote>
  <w:footnote w:id="5512">
    <w:p w:rsidR="00A13282" w:rsidRDefault="00A13282" w:rsidP="006D2826">
      <w:pPr>
        <w:pStyle w:val="a5"/>
        <w:rPr>
          <w:rtl/>
        </w:rPr>
      </w:pPr>
      <w:r>
        <w:rPr>
          <w:rStyle w:val="a7"/>
          <w:rtl/>
        </w:rPr>
        <w:footnoteRef/>
      </w:r>
      <w:r>
        <w:rPr>
          <w:rtl/>
        </w:rPr>
        <w:t xml:space="preserve"> </w:t>
      </w:r>
      <w:r>
        <w:rPr>
          <w:b/>
          <w:bCs/>
          <w:rtl/>
        </w:rPr>
        <w:t>כד אזדריקו לא כו'.</w:t>
      </w:r>
      <w:r>
        <w:rPr>
          <w:rtl/>
        </w:rPr>
        <w:t xml:space="preserve"> דמיניה הוא כמו שאומר לעיל ק"ג א' ב' רוח דעולם לנפש דשנה במזלו:</w:t>
      </w:r>
    </w:p>
  </w:footnote>
  <w:footnote w:id="5513">
    <w:p w:rsidR="00A13282" w:rsidRDefault="00A13282" w:rsidP="006D2826">
      <w:pPr>
        <w:pStyle w:val="a5"/>
        <w:rPr>
          <w:rtl/>
        </w:rPr>
      </w:pPr>
      <w:r>
        <w:rPr>
          <w:rStyle w:val="a7"/>
          <w:rtl/>
        </w:rPr>
        <w:footnoteRef/>
      </w:r>
      <w:r>
        <w:rPr>
          <w:rtl/>
        </w:rPr>
        <w:t xml:space="preserve"> </w:t>
      </w:r>
      <w:r>
        <w:rPr>
          <w:b/>
          <w:bCs/>
          <w:rtl/>
        </w:rPr>
        <w:t>וי לון כו'.</w:t>
      </w:r>
      <w:r>
        <w:rPr>
          <w:rtl/>
        </w:rPr>
        <w:t xml:space="preserve"> רוצה לומר, לזווגא כמו שמפרש והולך אלין שטיין כו':</w:t>
      </w:r>
    </w:p>
  </w:footnote>
  <w:footnote w:id="5514">
    <w:p w:rsidR="00A13282" w:rsidRDefault="00A13282" w:rsidP="006D2826">
      <w:pPr>
        <w:pStyle w:val="a5"/>
        <w:rPr>
          <w:rtl/>
        </w:rPr>
      </w:pPr>
      <w:r>
        <w:rPr>
          <w:rStyle w:val="a7"/>
          <w:rtl/>
        </w:rPr>
        <w:footnoteRef/>
      </w:r>
      <w:r>
        <w:rPr>
          <w:rtl/>
        </w:rPr>
        <w:t xml:space="preserve"> </w:t>
      </w:r>
      <w:r>
        <w:rPr>
          <w:b/>
          <w:bCs/>
          <w:rtl/>
        </w:rPr>
        <w:t>ואתעביד אילנא כו'.</w:t>
      </w:r>
      <w:r>
        <w:rPr>
          <w:rtl/>
        </w:rPr>
        <w:t xml:space="preserve"> עיין לעיל סוף תיקון נ”ג:</w:t>
      </w:r>
    </w:p>
  </w:footnote>
  <w:footnote w:id="5515">
    <w:p w:rsidR="00A13282" w:rsidRDefault="00A13282" w:rsidP="006D2826">
      <w:pPr>
        <w:pStyle w:val="a5"/>
        <w:rPr>
          <w:rtl/>
        </w:rPr>
      </w:pPr>
      <w:r>
        <w:rPr>
          <w:rStyle w:val="a7"/>
          <w:rtl/>
        </w:rPr>
        <w:footnoteRef/>
      </w:r>
      <w:r>
        <w:rPr>
          <w:rtl/>
        </w:rPr>
        <w:t xml:space="preserve"> </w:t>
      </w:r>
      <w:r>
        <w:rPr>
          <w:b/>
          <w:bCs/>
          <w:rtl/>
        </w:rPr>
        <w:t>נוק' כו' דכל גלגולין כו'.</w:t>
      </w:r>
      <w:r>
        <w:rPr>
          <w:rtl/>
        </w:rPr>
        <w:t xml:space="preserve"> כמו שאומר למעלה דכל גלגולא הוא ברזא דנוק' ולכן היא נקראת להט כו' דבגלגולא האדם מתהפך מדיוקנא לדיוקנא כמו שאומר לקמן וכמו שאומר לעיל בתיקון ס”ח עיין שם באורך:</w:t>
      </w:r>
    </w:p>
  </w:footnote>
  <w:footnote w:id="5516">
    <w:p w:rsidR="00A13282" w:rsidRDefault="00A13282" w:rsidP="006D2826">
      <w:pPr>
        <w:pStyle w:val="a5"/>
        <w:rPr>
          <w:rtl/>
        </w:rPr>
      </w:pPr>
      <w:r>
        <w:rPr>
          <w:rStyle w:val="a7"/>
          <w:rtl/>
        </w:rPr>
        <w:footnoteRef/>
      </w:r>
      <w:r>
        <w:rPr>
          <w:rtl/>
        </w:rPr>
        <w:t xml:space="preserve"> </w:t>
      </w:r>
      <w:r>
        <w:rPr>
          <w:b/>
          <w:bCs/>
          <w:rtl/>
        </w:rPr>
        <w:t>ואלין אינון דהפכין כו'.</w:t>
      </w:r>
      <w:r>
        <w:rPr>
          <w:rtl/>
        </w:rPr>
        <w:t xml:space="preserve"> כמו שאמרו בנדרים:</w:t>
      </w:r>
    </w:p>
  </w:footnote>
  <w:footnote w:id="5517">
    <w:p w:rsidR="00A13282" w:rsidRDefault="00A13282" w:rsidP="006D2826">
      <w:pPr>
        <w:pStyle w:val="a5"/>
        <w:rPr>
          <w:rtl/>
        </w:rPr>
      </w:pPr>
      <w:r>
        <w:rPr>
          <w:rStyle w:val="a7"/>
          <w:rtl/>
        </w:rPr>
        <w:footnoteRef/>
      </w:r>
      <w:r>
        <w:rPr>
          <w:rtl/>
        </w:rPr>
        <w:t xml:space="preserve"> </w:t>
      </w:r>
      <w:r>
        <w:rPr>
          <w:b/>
          <w:bCs/>
          <w:rtl/>
        </w:rPr>
        <w:t>והכא רזא כו'.</w:t>
      </w:r>
      <w:r>
        <w:rPr>
          <w:rtl/>
        </w:rPr>
        <w:t xml:space="preserve"> שהן הכל מסטרא דגלגולא כמו שאומר לעיל בתיקון ס”ט ושאר מקומות הרבה בארוכה:</w:t>
      </w:r>
    </w:p>
  </w:footnote>
  <w:footnote w:id="5518">
    <w:p w:rsidR="00A13282" w:rsidRDefault="00A13282" w:rsidP="006D2826">
      <w:pPr>
        <w:pStyle w:val="a5"/>
        <w:rPr>
          <w:rtl/>
        </w:rPr>
      </w:pPr>
      <w:r>
        <w:rPr>
          <w:rStyle w:val="a7"/>
          <w:rtl/>
        </w:rPr>
        <w:footnoteRef/>
      </w:r>
      <w:r>
        <w:rPr>
          <w:rtl/>
        </w:rPr>
        <w:t xml:space="preserve"> </w:t>
      </w:r>
      <w:r>
        <w:rPr>
          <w:b/>
          <w:bCs/>
          <w:rtl/>
        </w:rPr>
        <w:t>גולל אור כו'.</w:t>
      </w:r>
      <w:r>
        <w:rPr>
          <w:rtl/>
        </w:rPr>
        <w:t xml:space="preserve"> (דברים ז י) שמשלם לשונאיו אל פניו כו', וכן בהפוכא צדיק ורע לו, חשך מפני אור, וכמו שאמרו (קדושין מ ע"ב) צדיקים בעולם הזה למה הן דומין לאילן שכולו עומד במקום טהרה וענף כו', וזהו חשך מפני אור, ורשעים בעולם הזה כו', והוא סוד אחר מפני שהוא עץ הדעת טוב ורע שמורכב מטוב ורע כנ"ל, וזה שאומר </w:t>
      </w:r>
      <w:r>
        <w:rPr>
          <w:b/>
          <w:bCs/>
          <w:rtl/>
        </w:rPr>
        <w:t>כל דאלים גבר</w:t>
      </w:r>
      <w:r>
        <w:rPr>
          <w:rtl/>
        </w:rPr>
        <w:t>, שסטרא דטוב גובר או להיפך:</w:t>
      </w:r>
    </w:p>
  </w:footnote>
  <w:footnote w:id="5519">
    <w:p w:rsidR="00A13282" w:rsidRDefault="00A13282" w:rsidP="006D2826">
      <w:pPr>
        <w:pStyle w:val="a5"/>
        <w:rPr>
          <w:rtl/>
        </w:rPr>
      </w:pPr>
      <w:r>
        <w:rPr>
          <w:rStyle w:val="a7"/>
          <w:rtl/>
        </w:rPr>
        <w:footnoteRef/>
      </w:r>
      <w:r>
        <w:rPr>
          <w:rtl/>
        </w:rPr>
        <w:t xml:space="preserve"> </w:t>
      </w:r>
      <w:r>
        <w:rPr>
          <w:b/>
          <w:bCs/>
          <w:rtl/>
        </w:rPr>
        <w:t>תועבה איהו.</w:t>
      </w:r>
      <w:r>
        <w:rPr>
          <w:rtl/>
        </w:rPr>
        <w:t xml:space="preserve"> כמו שכתוב (ויקרא יח כב) ואת זכר לא כו' תועבה הוא, דשמת זכר לנקבה, והוא מסטרא דאל אחר דאסתרס וביה נוק' דאתגברא כמו שכתוב (יקרא ג ד) יותרת על הכבד, (ירמיהו ג ג) ומצח אשה זונה כו', וכמו שמפרש והולך ואית שולטנותיה כו' כד שליט זונה עליה, ועיין בזוהר פ’ פנחס:</w:t>
      </w:r>
    </w:p>
  </w:footnote>
  <w:footnote w:id="5520">
    <w:p w:rsidR="00A13282" w:rsidRDefault="00A13282" w:rsidP="006D2826">
      <w:pPr>
        <w:pStyle w:val="a5"/>
        <w:rPr>
          <w:rtl/>
        </w:rPr>
      </w:pPr>
      <w:r>
        <w:rPr>
          <w:rStyle w:val="a7"/>
          <w:rtl/>
        </w:rPr>
        <w:footnoteRef/>
      </w:r>
      <w:r>
        <w:rPr>
          <w:rtl/>
        </w:rPr>
        <w:t xml:space="preserve"> </w:t>
      </w:r>
      <w:r>
        <w:rPr>
          <w:b/>
          <w:bCs/>
          <w:rtl/>
        </w:rPr>
        <w:t>אם אלים גבר.</w:t>
      </w:r>
      <w:r>
        <w:rPr>
          <w:rtl/>
        </w:rPr>
        <w:t xml:space="preserve"> רוצה לומר דכורא, דמסטרא דדכורא דהוא דקיק וקרוב לטהר, ועל זה נאמר (קהלת ז ג) טוב כעס משחוק, דשחוק הוא זוחלי עפר שאין להם רפואה, שאול תחתית, וזה שאומר אית שלטנותא ואית כו' ומפרש והולך </w:t>
      </w:r>
      <w:r>
        <w:rPr>
          <w:b/>
          <w:bCs/>
          <w:rtl/>
        </w:rPr>
        <w:t>אית שלטנותא דשליט דא כו'</w:t>
      </w:r>
      <w:r>
        <w:rPr>
          <w:rtl/>
        </w:rPr>
        <w:t xml:space="preserve"> רוצה לומר דכורא, ואמר </w:t>
      </w:r>
      <w:r>
        <w:rPr>
          <w:b/>
          <w:bCs/>
          <w:rtl/>
        </w:rPr>
        <w:t>ואית שלטנותא כו'</w:t>
      </w:r>
      <w:r>
        <w:rPr>
          <w:rtl/>
        </w:rPr>
        <w:t xml:space="preserve"> והוא דנוק', מעשה אשה זונה שלטת:</w:t>
      </w:r>
    </w:p>
  </w:footnote>
  <w:footnote w:id="5521">
    <w:p w:rsidR="00A13282" w:rsidRDefault="00A13282" w:rsidP="006D2826">
      <w:pPr>
        <w:pStyle w:val="a5"/>
        <w:rPr>
          <w:rtl/>
        </w:rPr>
      </w:pPr>
      <w:r>
        <w:rPr>
          <w:rStyle w:val="a7"/>
          <w:rtl/>
        </w:rPr>
        <w:footnoteRef/>
      </w:r>
      <w:r>
        <w:rPr>
          <w:rtl/>
        </w:rPr>
        <w:t xml:space="preserve"> </w:t>
      </w:r>
      <w:r>
        <w:rPr>
          <w:b/>
          <w:bCs/>
          <w:rtl/>
        </w:rPr>
        <w:t>כלהו בעירין כו'.</w:t>
      </w:r>
      <w:r>
        <w:rPr>
          <w:rtl/>
        </w:rPr>
        <w:t xml:space="preserve"> שהן מסטרא דמסאבו בסוד אדם ובהמה, וכל מעשיו הכל מעשה בהמה, בנפש הבהמיות, והכל מסטרא דתאוונית וכמו שאמרו (משנה סוטה ב א) היא עשתה מעשה בהמה לכן כו', ויש כמה מינים בבהמה וכן במעשיהם, (יחזקאל כג כ) בשר חמורים כו' וזרמת כו', וזה שאומר (דניאל ד כב) ועשבא כתורין כו', דהוא מאכל בהמה, (דברים יא טו) ונתתי עשב בשדך לבהמתך כו':</w:t>
      </w:r>
    </w:p>
  </w:footnote>
  <w:footnote w:id="5522">
    <w:p w:rsidR="00A13282" w:rsidRDefault="00A13282" w:rsidP="006D2826">
      <w:pPr>
        <w:pStyle w:val="a5"/>
        <w:rPr>
          <w:rtl/>
        </w:rPr>
      </w:pPr>
      <w:r>
        <w:rPr>
          <w:rStyle w:val="a7"/>
          <w:rtl/>
        </w:rPr>
        <w:footnoteRef/>
      </w:r>
      <w:r>
        <w:rPr>
          <w:rtl/>
        </w:rPr>
        <w:t xml:space="preserve"> </w:t>
      </w:r>
      <w:r>
        <w:rPr>
          <w:b/>
          <w:bCs/>
          <w:rtl/>
        </w:rPr>
        <w:t>עד</w:t>
      </w:r>
      <w:r>
        <w:rPr>
          <w:rFonts w:ascii="Arial" w:hAnsi="Arial"/>
          <w:b/>
          <w:bCs/>
        </w:rPr>
        <w:t xml:space="preserve"> </w:t>
      </w:r>
      <w:r>
        <w:rPr>
          <w:b/>
          <w:bCs/>
          <w:rtl/>
        </w:rPr>
        <w:t>דשבעה כו'.</w:t>
      </w:r>
      <w:r>
        <w:rPr>
          <w:rtl/>
        </w:rPr>
        <w:t xml:space="preserve"> כמו שמפרש והולך שבעה כוכבי כו', דכל ימות האדם הכל בסטרא דז' כוכבים, וכן גלגולא וכן הוא בשבעה סלעים, ומפרש והולך </w:t>
      </w:r>
      <w:r>
        <w:rPr>
          <w:b/>
          <w:bCs/>
          <w:rtl/>
        </w:rPr>
        <w:t>יחלפון</w:t>
      </w:r>
      <w:r>
        <w:rPr>
          <w:rtl/>
        </w:rPr>
        <w:t>, שמתחלף דכורא לנוק', והוא בז' דרגין דנוק' עד שעובר עליו כל הדרגין דילה וחוזר בגלגולא לדכורא:</w:t>
      </w:r>
    </w:p>
  </w:footnote>
  <w:footnote w:id="5523">
    <w:p w:rsidR="00A13282" w:rsidRDefault="00A13282" w:rsidP="006D2826">
      <w:pPr>
        <w:pStyle w:val="a5"/>
        <w:rPr>
          <w:rtl/>
        </w:rPr>
      </w:pPr>
      <w:r>
        <w:rPr>
          <w:rStyle w:val="a7"/>
          <w:rtl/>
        </w:rPr>
        <w:footnoteRef/>
      </w:r>
      <w:r>
        <w:rPr>
          <w:rtl/>
        </w:rPr>
        <w:t xml:space="preserve"> </w:t>
      </w:r>
      <w:r>
        <w:rPr>
          <w:b/>
          <w:bCs/>
          <w:rtl/>
        </w:rPr>
        <w:t>דגלגולא דנוק' כו'.</w:t>
      </w:r>
      <w:r>
        <w:rPr>
          <w:rtl/>
        </w:rPr>
        <w:t xml:space="preserve"> שכמו שיש נשמות זכרים ונקבות בסטרא דקדושה, כן הוא בסטרא דלהון, ויש זכר שבו נשמת נקבה וכמו שאומר למעלה מנהון דכורין מנהון כו', ויש שמרכיבין שניהם כמו שאומר שם לזמנין מרכיבין כו' וכל דאלים גבר, ואמר שם דמרכיבין על בר נש - דכל גלגולין הוא שמרכיבין נשמה אחרת על נשמתו כמו שאומר ברעיא מהימנא פ' פנחס מתלא לאילנא וכמו שאומר למעלה ולכן הכל בהרכבה, וזה שאומר כאן </w:t>
      </w:r>
      <w:r>
        <w:rPr>
          <w:b/>
          <w:bCs/>
          <w:rtl/>
        </w:rPr>
        <w:t>קא רכיבת עליה</w:t>
      </w:r>
      <w:r>
        <w:rPr>
          <w:rtl/>
        </w:rPr>
        <w:t xml:space="preserve"> על עיקר נשמתו ומכל מקום גלגולא דיליה הוא נוק' לבד ולכן הוא בגוף זכר אבל מעשיו כלן הן בנקבה</w:t>
      </w:r>
      <w:r>
        <w:t xml:space="preserve"> </w:t>
      </w:r>
      <w:r>
        <w:rPr>
          <w:rtl/>
        </w:rPr>
        <w:t>כמו שמפרש והולך עובדוי איהו כאתתא כו' והן אותן בני אדם דדעתן קלה והכל במהירות, ועיין בזוהר חדש סוף שה"ש מענין הנקודות שבא שורק (דאתתא כו'):</w:t>
      </w:r>
    </w:p>
  </w:footnote>
  <w:footnote w:id="5524">
    <w:p w:rsidR="00A13282" w:rsidRDefault="00A13282" w:rsidP="006D2826">
      <w:pPr>
        <w:pStyle w:val="a5"/>
        <w:rPr>
          <w:rtl/>
        </w:rPr>
      </w:pPr>
      <w:r>
        <w:rPr>
          <w:rStyle w:val="a7"/>
          <w:rtl/>
        </w:rPr>
        <w:footnoteRef/>
      </w:r>
      <w:r>
        <w:rPr>
          <w:rtl/>
        </w:rPr>
        <w:t xml:space="preserve"> </w:t>
      </w:r>
      <w:r>
        <w:rPr>
          <w:b/>
          <w:bCs/>
          <w:rtl/>
        </w:rPr>
        <w:t>כד מליל כו'.</w:t>
      </w:r>
      <w:r>
        <w:rPr>
          <w:rtl/>
        </w:rPr>
        <w:t xml:space="preserve"> דשני דרגין הן, דיבור ומעשה, דכורא ונוק', משה ואהרן, וכן בסטרא דלהון בלעם בלק, ובסוד נחש עלי כו', והן ספר וספר וסיפור, ויאמר אלקים ויעש, לכן בפתיחו דידין:</w:t>
      </w:r>
    </w:p>
  </w:footnote>
  <w:footnote w:id="5525">
    <w:p w:rsidR="00A13282" w:rsidRDefault="00A13282" w:rsidP="006D2826">
      <w:pPr>
        <w:pStyle w:val="a5"/>
        <w:rPr>
          <w:rtl/>
        </w:rPr>
      </w:pPr>
      <w:r>
        <w:rPr>
          <w:rStyle w:val="a7"/>
          <w:rtl/>
        </w:rPr>
        <w:footnoteRef/>
      </w:r>
      <w:r>
        <w:rPr>
          <w:rtl/>
        </w:rPr>
        <w:t xml:space="preserve"> </w:t>
      </w:r>
      <w:r>
        <w:rPr>
          <w:b/>
          <w:bCs/>
          <w:rtl/>
        </w:rPr>
        <w:t>תועבה איהו.</w:t>
      </w:r>
      <w:r>
        <w:rPr>
          <w:rtl/>
        </w:rPr>
        <w:t xml:space="preserve"> כנ"ל:</w:t>
      </w:r>
    </w:p>
  </w:footnote>
  <w:footnote w:id="5526">
    <w:p w:rsidR="00A13282" w:rsidRDefault="00A13282" w:rsidP="006D2826">
      <w:pPr>
        <w:pStyle w:val="a5"/>
        <w:rPr>
          <w:rtl/>
        </w:rPr>
      </w:pPr>
      <w:r>
        <w:rPr>
          <w:rStyle w:val="a7"/>
          <w:rtl/>
        </w:rPr>
        <w:footnoteRef/>
      </w:r>
      <w:r>
        <w:rPr>
          <w:rtl/>
        </w:rPr>
        <w:t xml:space="preserve"> </w:t>
      </w:r>
      <w:r>
        <w:rPr>
          <w:b/>
          <w:bCs/>
          <w:rtl/>
        </w:rPr>
        <w:t>ועם כל דא זכאה כו'.</w:t>
      </w:r>
      <w:r>
        <w:rPr>
          <w:rtl/>
        </w:rPr>
        <w:t xml:space="preserve"> כמו שכתוב (זכריה ט ט) עני ורוכב על החמור, והוא צדיק ורע לו שלכן עני כו':</w:t>
      </w:r>
    </w:p>
  </w:footnote>
  <w:footnote w:id="5527">
    <w:p w:rsidR="00A13282" w:rsidRDefault="00A13282" w:rsidP="006D2826">
      <w:pPr>
        <w:pStyle w:val="a5"/>
        <w:rPr>
          <w:rtl/>
        </w:rPr>
      </w:pPr>
      <w:r>
        <w:rPr>
          <w:rStyle w:val="a7"/>
          <w:rtl/>
        </w:rPr>
        <w:footnoteRef/>
      </w:r>
      <w:r>
        <w:rPr>
          <w:rtl/>
        </w:rPr>
        <w:t xml:space="preserve"> </w:t>
      </w:r>
      <w:r>
        <w:rPr>
          <w:b/>
          <w:bCs/>
          <w:rtl/>
        </w:rPr>
        <w:t>דכד ב"נ שליט על יצרי' כו'.</w:t>
      </w:r>
      <w:r>
        <w:rPr>
          <w:rtl/>
        </w:rPr>
        <w:t xml:space="preserve"> כמו שאמרו (אבות ב ד) בטל רצונך מפני רצונו כדי שיבטל רצון אחרים מפני רצונך, וזה שאמר למעלה כפום עובדיהון רוצה לומר בגלגולא קדמאה, וכפום שעתא כו' דכל שעתא אית ליה מזלא אחרא, וכל זה הוא לפי עובדיהון, כך אתברי בשעתא דמזלא גרים ליה כמו שאומר לעיל ק"ג ב' ויש שנברא במזלו שהוא מששת ימי בראשית ולכן אמר וכפום שעתא כו'. ומה שאמר למעלה ואית נשמתין אחרנין כו' הוא בסטרא דקדושה כמו שמפרש והולך כמה דאשכחנא בתרין עשר שבטין כו', והנה י"ב שבטים הם נגד י"ב מזלות כמו שאומר בספר יצירה, ועיין לעיל תיקון ס”ח דגלגולין הן בי"ב מזלות, והנה רזין דחיוון אלו הכל הם בסדר המזלות, והנה היצר הרע ג"כ לפי הגלגולא בסטרא דלהון שהן דיוקנין דחיוון בישין כמו שאמר למעלה והן גם כן י"ב מזלות, י"ב נשיאים לאומותם כמו שאומר לעיל ל"ב א' ואית כו' דאינון אתקריאו טלה כו' דא כגוונא דא כו' עיין שם בדבריו, וכאן הוא תשוקת היצר הרע, אם מסטרא דחמור - אשר בשר חמורים כו', וכן מכל מין הוא יצר הרע אחר, ועל הכל ניתן הבחירה לאדם - (בראשית ד ז) ואתה תמשול בו, (אבות ה כג) וכפום צערא אגרא, וזה שאמרו (שבת קיח ע"ב) במאי הוה זהיר טפי, (עירובין יג ע"ב) ועתה שנברא ימשמש במעשיו באיזה חושק ובזה יזהר להתגבר:</w:t>
      </w:r>
    </w:p>
  </w:footnote>
  <w:footnote w:id="5528">
    <w:p w:rsidR="00A13282" w:rsidRDefault="00A13282" w:rsidP="006D2826">
      <w:pPr>
        <w:pStyle w:val="a5"/>
        <w:rPr>
          <w:rtl/>
        </w:rPr>
      </w:pPr>
      <w:r>
        <w:rPr>
          <w:rStyle w:val="a7"/>
          <w:rtl/>
        </w:rPr>
        <w:footnoteRef/>
      </w:r>
      <w:r>
        <w:rPr>
          <w:rtl/>
        </w:rPr>
        <w:t xml:space="preserve"> </w:t>
      </w:r>
      <w:r>
        <w:rPr>
          <w:b/>
          <w:bCs/>
          <w:rtl/>
        </w:rPr>
        <w:t>וברי אשכחנא כו'.</w:t>
      </w:r>
      <w:r>
        <w:rPr>
          <w:rtl/>
        </w:rPr>
        <w:t xml:space="preserve"> כאן ג' הנ"ל, שרטוטין וציורין וגוונין בסטרא דקדושה כמו שמפרש והולך:</w:t>
      </w:r>
    </w:p>
  </w:footnote>
  <w:footnote w:id="5529">
    <w:p w:rsidR="00A13282" w:rsidRDefault="00A13282" w:rsidP="006D2826">
      <w:pPr>
        <w:pStyle w:val="a5"/>
        <w:rPr>
          <w:rtl/>
        </w:rPr>
      </w:pPr>
      <w:r>
        <w:rPr>
          <w:rStyle w:val="a7"/>
          <w:rtl/>
        </w:rPr>
        <w:footnoteRef/>
      </w:r>
      <w:r>
        <w:rPr>
          <w:rtl/>
        </w:rPr>
        <w:t xml:space="preserve"> </w:t>
      </w:r>
      <w:r>
        <w:rPr>
          <w:b/>
          <w:bCs/>
          <w:rtl/>
        </w:rPr>
        <w:t>דאדם דבריאה דאיהו קדמון כו'.</w:t>
      </w:r>
      <w:r>
        <w:rPr>
          <w:rtl/>
        </w:rPr>
        <w:t xml:space="preserve"> רוצה לומר כתר, דכח"ב הן ג' אדם דבי"ע כמו שמפרש והולך וכמו שאומר לעיל בתיקון ס”ט, וכתר הוא קדמון לכל קדומים כמו שאומר לעיל קי"ט א' דביה מתלבש עלת כל העלות, ואמר </w:t>
      </w:r>
      <w:r>
        <w:rPr>
          <w:b/>
          <w:bCs/>
          <w:rtl/>
        </w:rPr>
        <w:t>רכיב כאריה</w:t>
      </w:r>
      <w:r>
        <w:rPr>
          <w:rtl/>
        </w:rPr>
        <w:t xml:space="preserve"> רוצה לומר חסד, דג"ר רכיבו בג' אמצעיות חג"ת, ואמר </w:t>
      </w:r>
      <w:r>
        <w:rPr>
          <w:b/>
          <w:bCs/>
          <w:rtl/>
        </w:rPr>
        <w:t>סטא לימינא</w:t>
      </w:r>
      <w:r>
        <w:rPr>
          <w:rtl/>
        </w:rPr>
        <w:t xml:space="preserve"> רוצה לומר נצח, דג' נה"י אינון ג' רוחי עלמא, עם מלכות - ד' רוחות העולם, שהיא רביעית לכל תלת, וג' חג"ת עם מלכות הן ד' חיות, וג"ר הן ג' אדם שהן נר"ן, ומלכות - גופא לון, ואמר </w:t>
      </w:r>
      <w:r>
        <w:rPr>
          <w:b/>
          <w:bCs/>
          <w:rtl/>
        </w:rPr>
        <w:t>ועביד שרטוטין</w:t>
      </w:r>
      <w:r>
        <w:rPr>
          <w:rtl/>
        </w:rPr>
        <w:t xml:space="preserve"> במלכות דהיא גופא דאדם, ועיין למטה אמר ליה מאן אדם כו' אריה דביה עביד שרטוטין כו', נצח הוד יסוד כו'. רוצה לומר אינון דקאמר סטא לימינא כו' סטא כו' כל ציורין כו', ועיין בזוהר פ’ וארא אלא ששם מפרש בענין אחר ד' יסודות בכח"ב, שג' אמ"ש הן כח"ב כמו שאומר בפרק א' דספר יצירה, רוח מרוח שלש מים מרוח ארבע אש ממים, וד' סטרי עלמא הן חג"ת, וד' מתכות הן נה"י, ומלכות רביעית</w:t>
      </w:r>
      <w:r>
        <w:t xml:space="preserve"> </w:t>
      </w:r>
      <w:r>
        <w:rPr>
          <w:rtl/>
        </w:rPr>
        <w:t>לכל תלת, והוא סוד שם י"ב כמו שאומר בתיקוני זוהר חדש, ועיין לעיל קל"ג ב' וכן כאן דעבדו ג' דברים במלכות, דבה ג' דרגין, שרטוטין כו', הרי י"ב:</w:t>
      </w:r>
    </w:p>
  </w:footnote>
  <w:footnote w:id="5530">
    <w:p w:rsidR="00A13282" w:rsidRDefault="00A13282" w:rsidP="006D2826">
      <w:pPr>
        <w:pStyle w:val="a5"/>
        <w:rPr>
          <w:rtl/>
        </w:rPr>
      </w:pPr>
      <w:r>
        <w:rPr>
          <w:rStyle w:val="a7"/>
          <w:rtl/>
        </w:rPr>
        <w:footnoteRef/>
      </w:r>
      <w:r>
        <w:rPr>
          <w:rtl/>
        </w:rPr>
        <w:t xml:space="preserve"> </w:t>
      </w:r>
      <w:r>
        <w:rPr>
          <w:b/>
          <w:bCs/>
          <w:rtl/>
        </w:rPr>
        <w:t>הנותן בים דרך כו'.</w:t>
      </w:r>
      <w:r>
        <w:rPr>
          <w:rtl/>
        </w:rPr>
        <w:t xml:space="preserve"> עיין לעיל קכ"ב ב', ורוצה לומר כאן בים דהוא ימינא יסוד המים, וכן אריה הוא דימא כמו שאומר בזוהר חדש פ' יתרו כ"ח א' ות"ח תלת קטירין בב"נ מסטרא דדכיו ואינון נפשא ורוחא ונשמתא כו' סטא לימינא ונטיל מיא וכליל בפומא דאריה כו' ישרצו המים אלין מאריהון דחכמה דאיהי נפש חיה, דאינון כנונין דמתרבין בימא דאורייתא, ואינון מסטרא דאריה דימא דאיהו כשר בים, דאריה דסטרא אחרא איהו פסול ביבשתא, ואריה דימא איהו לימינא דאברהם כו', ובזה מתורץ מה שמקשין דהאיך חיה טמאה במרכבה ותירץ דכל אחד ביסודו, וכן נשר הוא דאוירא, וכמו שאמרו (ע"ז לט ע"א) חמרא דימא שרא, תורא דימא אסור וסימנך טהור כו', ואף שור אינו דיבשתא אלא דאשא, רק האדם לבדו והוא דמות אדם שהוא למטה מהג' חיוון וכוללן אבל אדם היושב על הכסא מתגאה על כולם, והענין כי ב' מיני אדם הן, א' מצד הגוף והן עמי הארצות שאינן אלא בגוף, והוא למטה מד' חיות כמו שאמרו (ילקוט שמעוני בראשית פרק א סימן יד) זכו רדו לא זכו וירדו, והב' מצד נשמתא הוא יושב על כולם - אדם על הכסא, כמו שמפרש והולך וירדו בדגת הים ובעוף השמים, ומושל על ג' חיוון בג' דרגין דאדם שהן נר"ן דבי"ע, שנאמר ויברא אלקים את האדם, וייצר כו', נעשה אדם, וד' חיוון עומדים בד' סטרי עלמא שהן נהי"ם, והחיוון - חג"ת, ואדם יושב על גביהן - בינה כליל תלת עילאין, והן ג' אדם שאמר כאן, אדם דבי"ע, והן אדם על גבי חיוון בד' סטרין כולל כל עשר ספירות, וכמו שמפרש והולך, ומלכות הוא אדם, דמות אדם בגופא דכליל כולא, והיא רביעית לכח"ב דנעשית גופא לנר"ן (והיא לבוש אדם, דמות אדם, לפי הנר"ן - הלבוש ברמ"ח אברים ושס"ה גידים, והיא אדם כולל ג' חיוון והיא רוח מערבית דבה  מתערב כולא כמו שאומר לעיל קכ"ט א', ובינה ומלכות - ב' אדם, ב' שכינתא, שכינה עילאה שכינה תתאה, ב' אדם - אדם עלאה אדם תתאה, ולכן היא איומה כנדגלות דהיא אדם כמותן, גופא להון, והוא</w:t>
      </w:r>
      <w:r>
        <w:t xml:space="preserve"> </w:t>
      </w:r>
      <w:r>
        <w:rPr>
          <w:rtl/>
        </w:rPr>
        <w:t xml:space="preserve">ד' אותיות אדני, אי"ן - ג"ר, ג' אדם כמו שמפרש והולך </w:t>
      </w:r>
      <w:r>
        <w:rPr>
          <w:b/>
          <w:bCs/>
          <w:rtl/>
        </w:rPr>
        <w:t xml:space="preserve">אמר ליה ברי האי איהו כו' </w:t>
      </w:r>
      <w:r>
        <w:rPr>
          <w:rtl/>
        </w:rPr>
        <w:t>אדם דיצירה כו' דאיהו יו"ד כו' אדם כו', והיא ד' רביעית לון ד' דמות אדם והיא דלה דלית לה מגרמה כלום דגוף אינה חיה כי אם מנשמתא ועלה כתיב את האדם עפר מן האדמה ויפח כו' והיא איומה כנדגלות שכתיב ומוראכם וחתכם כו' שמתייראים מפרצופא דגופא וכל זה בעוד נשמתו בקרבו, הנדגלות כמו שמפרש והולך וחתכם כל זמן שאדם חי כו':</w:t>
      </w:r>
    </w:p>
  </w:footnote>
  <w:footnote w:id="5531">
    <w:p w:rsidR="00A13282" w:rsidRDefault="00A13282" w:rsidP="006D2826">
      <w:pPr>
        <w:pStyle w:val="a5"/>
        <w:rPr>
          <w:rtl/>
        </w:rPr>
      </w:pPr>
      <w:r>
        <w:rPr>
          <w:rStyle w:val="a7"/>
          <w:rtl/>
        </w:rPr>
        <w:footnoteRef/>
      </w:r>
      <w:r>
        <w:rPr>
          <w:rtl/>
        </w:rPr>
        <w:t xml:space="preserve"> </w:t>
      </w:r>
      <w:r>
        <w:rPr>
          <w:b/>
          <w:bCs/>
          <w:rtl/>
        </w:rPr>
        <w:t>אדם דיצירה כו'.</w:t>
      </w:r>
      <w:r>
        <w:rPr>
          <w:rtl/>
        </w:rPr>
        <w:t xml:space="preserve"> כמו שמפרש והולך דכל ציורין הוא ביו"ד וכמו שאומר לעיל קכ"ד ב' שרטוטין אינון באתוון כו' ציורין אינון בנקודין כו' וציורין אינון בעיינין כו' באודנין כו' קמץ שרטוט וציור כו' ניצוץ איהי יו"ד כו', ועיין מה שבארנו שם, ולכן בחכמה דאיהי יו"ד של השם - ביה ציורין, דהן ציורא דעיינין ואודנין שהן יודין וכמו שמפרש והולך דאיהי יו"ד מאין דביה צייר כל ציורין דעלמא, ביה צייר עיינין כו', ובבינה - ה"א, ביה צייר גוונין, דה"א גוונין אינון דכלילין כל הגוונין כמו שאומר לעיל בריש תיקון ה' ובסוף תיקון י”ח ושאר מקומות, והן ה' גוונין דעין דעיינין כמו שאומר לעיל קכ"ה קכ"ו, וכן גוונין דאנפין כמו שאומר לעיל קכ"ז קכ"ח ואף שאמר שם ד' אינון ה' כמו שאומר לעיל סוף תיקון י”ח דד' אינון ה', דתכלת כוללן, ועיין מה שבארנו שם, וזה שאומר </w:t>
      </w:r>
      <w:r>
        <w:rPr>
          <w:b/>
          <w:bCs/>
          <w:rtl/>
        </w:rPr>
        <w:t>ועביד גוונין בעיינין באנפין</w:t>
      </w:r>
      <w:r>
        <w:rPr>
          <w:rtl/>
        </w:rPr>
        <w:t xml:space="preserve"> והם י"ה שבשם, ושרטוטין הוא מאות ו' שבשם, שהן שרטוטין וכמו שאומר לעיל</w:t>
      </w:r>
      <w:r>
        <w:t xml:space="preserve"> </w:t>
      </w:r>
      <w:r>
        <w:rPr>
          <w:rtl/>
        </w:rPr>
        <w:t>קכ"ד ב' דשרטוט הוא רקיע ווא"ו, והוא בכתר, קו האמצעי, ושם הוא וא"ו, אריך אנפין כמו שאומר לעיל קכ"ב ב' ושאר מקומות, ועיין לעיל קל"ד א' ואינון מסטרא דא"א דאיהו וא"ו כו' עיין שם בדבריו, וכאן אמר דאיהו אלף דאין, והכל ענין אחד דהוא אלף שבאמצע הוא"ו, דארך אפים בב' ווי"ן ב' פנים כמו שאומר שם ושם ברישא דא' דאיהו ארך אפים דאיהו וא"ו, א' איהו אורייתא דאתייהיבת בתרין לוחין דאינון ו"ו ועיין לעיל קכ"ב ב', והכלל דלהון הוא וא"ו, והן טעמים נקודות אותיות שהן בכח"ב והן בנר"ן, ג' אדם כידוע, טעמים מסטרא דוא"ו, נקודין מסטרא דיוד, אותיות מסטרא דה"א כמו שאומר לעיל ק"ז א' עיין שם בדבריו ומה שבארנו שם, וא"ו הוא באריכו התפשטות, יו"ד הוא בקמיטו צמצום, והוא חו"ג התפשטות המים וצמצום האש, בוצינא דקרדינותא, קו המדה, מי מדד כו', גבול לכל דבר, והוא הציור שאלמלא הגבול אין ציור לשום דבר, וזהו דמיא עביד שרטוטין ואשא ציורין, והן אוירא וניצוצא, (דניאל ז ט) כרסיה שביבין דנור שהן ניצוצין דאשא, (שם) גלגלוהי כו' יודין, ולכן עשרה גלגלים, ועיין לעיל תיקון י”ג וגוונין מרוחא שהוא מורכב משניהם כי הגוונין עצמן הם מסטרא דגבורה מבוצינא כמו שאומר ריש פ' בראשית ובקו המדה אבל הן מאירין מאור שבתוכן, ה' אור בה' גוונין כמו שאומר לעיל תיקון ה’ ושאר מקומות הרבה, ועיין מה שבארנו בקו המדה, ועיין בתוספתא דפ' יתרו ומה שבארנו שם בארוכה, וכן ה"א מורכב מיו"ד,</w:t>
      </w:r>
      <w:r>
        <w:t xml:space="preserve"> </w:t>
      </w:r>
      <w:r>
        <w:rPr>
          <w:rtl/>
        </w:rPr>
        <w:t xml:space="preserve">נקודה שממנה נבנית הה"א כמו שאומר בפ' ויקרא, וממנה נהר יוצא מעדן, מתפשטות בקוין לאורך ורוחב כמו שאומר שם דכל הגוונין כלילין, אף דהתפשטות שלהם בה' ספירות עד הוד, מכל מקום נ"ה הן ב' ערבות וכלילין בג' חג"ת, דאינן רק אפיקי מים, וכן גוונין דעינא כלילין בג' כמו שאומר לעיל קכ"ה ב', ג' ווין שבה"א ויו"ד הוא אחת אור המאיר כמו שאומר בתוספתא שם לגו בגו קיימא כו', וטעמים הן שרטוטין שרובן הן מקוין ולכן אמר לעיל ק"ז א' שהן מסטרא דוא"ו, והוא הנותן בים דרך כמו שאומר בריש פ’ בראשית ט"ו ב' והמשכילים יזהירו כו' ובנגונא דלהון אזלי אבתרייהו אתוון ונקודי עיין שם בדבריו ובמאמר הטעמים, ונקודין יו"ד, שרובן הן יודי"ן, ואתוון מורכבין משניהם כמו האל"ף והעי"ן והשי"ן וכיוצא, ואמר </w:t>
      </w:r>
      <w:r>
        <w:rPr>
          <w:b/>
          <w:bCs/>
          <w:rtl/>
        </w:rPr>
        <w:t>ונטיל לאשא בפומא רוחא בפומיה</w:t>
      </w:r>
      <w:r>
        <w:rPr>
          <w:rtl/>
        </w:rPr>
        <w:t xml:space="preserve"> וכן </w:t>
      </w:r>
      <w:r>
        <w:rPr>
          <w:b/>
          <w:bCs/>
          <w:rtl/>
        </w:rPr>
        <w:t>מיא</w:t>
      </w:r>
      <w:r>
        <w:rPr>
          <w:rtl/>
        </w:rPr>
        <w:t xml:space="preserve"> כנ"ל, הוא מה שבארנו למעלה דג' יסודות בג' חיוון בג' סטרין הן הט' ספירות כח"ב חג"ת נה"י אלא שכאן אע"ג דכתר רכיב על אריה מכל מקום אריה אזיל ליסודו לימינא מיא, וכן בכולם, והן כאן הכל כמו שאומר בריש פ’ וארא, וג' אדם הן נגד ג' יסודין וכמו שאומר בפ' יתרו בזוהר חדש שם עיין שם, ואדם הרביעי דגופא הוא עפר, (איוב לד טו) ואדם על עפר ישוב, (בראשית ב ז) עפר מן האדמה, (בראשית ג יט) כי עפר אתה, והוא דמות אדם כנ"ל, וזה שאומר למטה כל שרטוטין וציורין כו' בשכינתא תתאה דאיהי דמות אדם:</w:t>
      </w:r>
    </w:p>
  </w:footnote>
  <w:footnote w:id="5532">
    <w:p w:rsidR="00A13282" w:rsidRDefault="00A13282" w:rsidP="006D2826">
      <w:pPr>
        <w:pStyle w:val="a5"/>
        <w:rPr>
          <w:rtl/>
        </w:rPr>
      </w:pPr>
      <w:r>
        <w:rPr>
          <w:rStyle w:val="a7"/>
          <w:rtl/>
        </w:rPr>
        <w:footnoteRef/>
      </w:r>
      <w:r>
        <w:rPr>
          <w:rtl/>
        </w:rPr>
        <w:t xml:space="preserve"> </w:t>
      </w:r>
      <w:r>
        <w:rPr>
          <w:b/>
          <w:bCs/>
          <w:rtl/>
        </w:rPr>
        <w:t>א"ל מאן אדם כו'.</w:t>
      </w:r>
      <w:r>
        <w:rPr>
          <w:rtl/>
        </w:rPr>
        <w:t xml:space="preserve"> דסובר על</w:t>
      </w:r>
      <w:r>
        <w:t xml:space="preserve"> </w:t>
      </w:r>
      <w:r>
        <w:rPr>
          <w:rtl/>
        </w:rPr>
        <w:t>בי"ע ממש, והוקשה לו דאם כן האיך קאמר דרכיב בחיוון והא חיוון הן בכרסייא, והשיב לו דאדם דבי"ע בכח"ב, וחיוון אינון ג"כ כמשמעו, אלא חג"ת מסטרין נה"י כמו שמפרש והולך, ובריאה היא עצם הדבר, לכן כתיב בורא חושך שאין בו ציור רק בריאה מה שאין כן באור, וכן ברא נקבים כו', וכן שרטוטין, אבל ציורין דאנפין הוא יצירה בציור, וגוונין הוא תיקון הדבר עשיה, וכן בג' שותפין, דהשם יתברך בורא עצם הדבר שנותן הנשמה והוא אמון מופלא קדמון כו', ואבא - הזרע שממנו הצטיירות הכל טפה יו"ד, ובאימא אתעבידת הולד ונתתקן כולא, וזה שאומר למטה בינה איהי אם כל חי בה אתעבידו כל עובדין כו', וכן בעובדא דבראשית, בתחילה בראשית ברא אלקים את השמים ואת הארץ, את לרבות שכולם נבראו עמהן, ואח"כ נצטיירו באמירה ויאמר אלקים כו', ואח"כ בעשיה ויעש אלקים, והוא ספר וספר וספור, ספר - בבריאה, וספר - בעשיה אהי"ה אשר אהי"ה, וספור - ביצירה, שהן נגד מחשבה דבור מעשה, ספר הראשון במחשבה, והשני בכתיבת יד שהוא עובדא, כח מעשיו בכ"ח פרקין, כ"ח מ"ה דעובדא כמו שאומר לעיל ל"ט א' ושאר מקומות בכ"ח אתוון, ואמירה הוא ביו"ד נקודין, דהכתיבה הוא אותיות כמו שכותבין בספר תורה, עובדא, והאמירה אי אפשר כי אם על ידי תנועות והוא באמירה ולא בכתיבה, והטעמים הוא להבין פירוש דקרא במחשבה, ולכן בכתיבת ספר תורה צריך להיות ג' ספרים הנ"ל כמו שאמרו (מגילה יח ע"ב) צריך לכתוב מן הכתב, והוא ספר הראשון שאין שם לא אמירת הכותב עתה ולא מעשה ידיו, ואח"כ אומר וכותב, ספור וספר, אמירה ומעשה, ואף משה רבינו עליו השלום היה אמירת השם יתברך במקום ספר הראשון, וכן בכל דבר, כמו ביצירת האדם מאב ואם, התעוררות האדם לזיווג הוא במחשבה ונעקר הזרע ממוח והוא במחשבה נעלם מכל, ואח"כ הזיווג הוא נגד דיבור, שהוא בין אדם לחבירו, כן הזיווג, ברית הלשון וברית המעור, והן מכוונים בכל דבר, ולכן כינוי בדבור (משנה כתובות א ח) ראוה מדברת כו', ואח"כ העיבור והוא עובדא ניכר לכל, וכמו המעשה שנתקן מעט מעט במעשה כן בעיבור והוא אהי"ה אשר אהי"ה כמו שאומר בפ' ויקרא י"א א' ובפ' אחרי מות, וב' אהי"ה ספר וספר שניהן שוין, ספר שמעתיק ממנה וספר שכותב, וסיפור שמחבר שניהם - אשר, ואשר הוא לשון שאני עתיד להיות אהי"ה, והוא הכנה לו, והוא האמירה לכתיבה, וכן בוולד הטפה באב גנוז כמו העובר באם, והזיווג - סיפור שמחברין, כמו הדיבור בין ב' בני אדם שקודם היה במחשבתו של זה ואח"כ מצוה לחבירו לעשות ואח"כ נצטייר בשני לעשות:</w:t>
      </w:r>
    </w:p>
  </w:footnote>
  <w:footnote w:id="5533">
    <w:p w:rsidR="00A13282" w:rsidRDefault="00A13282" w:rsidP="006D2826">
      <w:pPr>
        <w:pStyle w:val="a5"/>
        <w:rPr>
          <w:rtl/>
        </w:rPr>
      </w:pPr>
      <w:r>
        <w:rPr>
          <w:rStyle w:val="a7"/>
          <w:rtl/>
        </w:rPr>
        <w:footnoteRef/>
      </w:r>
      <w:r>
        <w:rPr>
          <w:rtl/>
        </w:rPr>
        <w:t xml:space="preserve"> </w:t>
      </w:r>
      <w:r>
        <w:rPr>
          <w:bCs/>
          <w:rtl/>
        </w:rPr>
        <w:t>א"ל ברי האי איהו דאתמר כו'.</w:t>
      </w:r>
      <w:r>
        <w:rPr>
          <w:rtl/>
        </w:rPr>
        <w:t xml:space="preserve"> דמותר האדם על הבהמה הוא רק בנשמתא, והוא ג' אדם הנ"ל דנר"ן, והוא בינה, נשמתא דכליל ג"ר, וב' ענינים הם והכל אחד כנ"ל נר"ן, וב' רוח ונפש גם לבהמה, ורק בנשמתא בינה</w:t>
      </w:r>
      <w:r>
        <w:t xml:space="preserve"> </w:t>
      </w:r>
      <w:r>
        <w:rPr>
          <w:rtl/>
        </w:rPr>
        <w:t>דכליל ג"ר בחיה ויחידה וכל זה אחד, וכן ג' חיוון הן בחג"ת, ואדם בבינה כליל ג"ר, ג' אדם, שבהאי אדם הוא מותר על הבהמה, שלכן אדם שולט על המזל - מצד נשמה שבו, שהכל תלוי במזל - בז"ת [ז' כוכבים], אבל אדם מצד ג"ר שולט על המזל, אבל אדם התחתון עליו אמר קהלת כי מקרה האדם ומקרה הבהמה ומקרה אחד לכל, כמות כו' ומותר האדם כו', רק באין, ואין מפרש והולך דהוא בג"ר, א' - בכתר כידוע, ויו"ד - בחכמה, וה' - בבינה, אי"ה, ומצד כלילתה בחכמה דהיא ה' תרעין, נ' תרעין הוא נ', והוא אין, דהבנין מתחיל מחסד עולם חסד יבנה, ואף דחכמה נקראת יש, היינו נגד הכתר, אבל נגד ז"ת - ג"ר כלן נקראו</w:t>
      </w:r>
      <w:r>
        <w:t xml:space="preserve"> </w:t>
      </w:r>
      <w:r>
        <w:rPr>
          <w:rtl/>
        </w:rPr>
        <w:t xml:space="preserve">כתר, וכמו שאומר למעלה בהרבה מקומות שכמו שכתר נגד ט' ספירות כן ג"ר נגד ז"ת, שלכן כתר ובינה כל ענינם אחד וכנ"ל, והוא דעת במקום הכתר, וכן נכללין בכתר, דלכן נקרא כתר - אין, דכליל ג"ר, וזהו שאמר </w:t>
      </w:r>
      <w:r>
        <w:rPr>
          <w:b/>
          <w:bCs/>
          <w:rtl/>
        </w:rPr>
        <w:t>ואיהו אדם דבריאה</w:t>
      </w:r>
      <w:r>
        <w:rPr>
          <w:rtl/>
        </w:rPr>
        <w:t xml:space="preserve"> רוצה לומר האין, ואמר </w:t>
      </w:r>
      <w:r>
        <w:rPr>
          <w:b/>
          <w:bCs/>
          <w:rtl/>
        </w:rPr>
        <w:t>דבהאי ברא כו'.</w:t>
      </w:r>
      <w:r>
        <w:rPr>
          <w:rtl/>
        </w:rPr>
        <w:t xml:space="preserve"> רוצה לומר שלכן נקרא אדם דבריאה, שבו ברא כו', אבל ביה לא שייך בריאה ועיין לעיל קי"ד א', וכמו שג' עולמות בי"ע הן כלים לאצילות כן אלו ג' אדם לעלת העלות, וכל ענינם של בי"ע לאצילות, וזה שאומר דבהאי ברא עלת העלות כו', וכמו שאצילות מקנן בהם כן עילת העילות בהם, אלא כל שגבוה יותר הדביקות יותר אלא דוגמא שלהם:</w:t>
      </w:r>
    </w:p>
  </w:footnote>
  <w:footnote w:id="5534">
    <w:p w:rsidR="00A13282" w:rsidRDefault="00A13282" w:rsidP="006D2826">
      <w:pPr>
        <w:pStyle w:val="a5"/>
        <w:rPr>
          <w:rtl/>
        </w:rPr>
      </w:pPr>
      <w:r>
        <w:rPr>
          <w:rStyle w:val="a7"/>
          <w:rtl/>
        </w:rPr>
        <w:footnoteRef/>
      </w:r>
      <w:r>
        <w:rPr>
          <w:rtl/>
        </w:rPr>
        <w:t xml:space="preserve"> </w:t>
      </w:r>
      <w:r>
        <w:rPr>
          <w:b/>
          <w:bCs/>
          <w:rtl/>
        </w:rPr>
        <w:t>אדם דיצירה חכמה כו' תמצא.</w:t>
      </w:r>
      <w:r>
        <w:rPr>
          <w:rtl/>
        </w:rPr>
        <w:t xml:space="preserve"> שהיצירה הוא מציאות כמו שאומרים יוצר אור ובורא חושך, שהבריאה הוא נעלם, (תהלים יח יב) חשך סתרו, שאינו רק במחשבה, והדבור הוא יש מאין שהוא ממחשבה שנקראת אין, שהוא נעלם, והדבור הוא יש - בא ממנו, ולכן כמו שהמחשבה אינו מושג רק בדבור כן כתר רק בחכמה, וכן בזיווג נודע מה שבמוחו, וכן בכל דבר, והוא התחלת המציאות, יו"ד, נקודה הקודמות לכל דבר, שכל הכתב הוא בא מהנקודה ראשית לכל דבר ועיין מה שבארנו לעיל שהן יו"ד ציורים בראש, וב' אנפין וז' נקבים, ונגד יו"ד - יו"ד נקודות, ועיין מה שבארנו שם, ואמר </w:t>
      </w:r>
      <w:r>
        <w:rPr>
          <w:b/>
          <w:bCs/>
          <w:rtl/>
        </w:rPr>
        <w:t>כל נקודין וציורין כו'.</w:t>
      </w:r>
      <w:r>
        <w:rPr>
          <w:rtl/>
        </w:rPr>
        <w:t xml:space="preserve"> רוצה לומר כחותם בתוך הטבעת, והוא היקף העיגול והמרכז, והוא חו"ב, שבחכמה</w:t>
      </w:r>
      <w:r>
        <w:t xml:space="preserve"> </w:t>
      </w:r>
      <w:r>
        <w:rPr>
          <w:rtl/>
        </w:rPr>
        <w:t>קוטרא בגולמא נעיץ בעיזקא, והן הציורין בעגולא הכל, ונקודה האמצעית, כמו העין ובת עין שבתוכה, וכן בכולם והוא עגולא ורבוע, חו"ב כמו שאומר בפ' תצווה ושאר מקומות, וריבוע הוא בינה וג"כ נקודה בתוכה, מ"י י"ם כמו שאומר לעיל תיקון נ”ב, והן הגוונין שהן ה' גוונין, ד' מד' סטרין, וה' נקודה שבתוכה שכולל הד' גוונין, י"ם - יו"ד במ"ם, ולכן ציורין וגוונין בחו"ב כמו שמפרש והולך, וכן נ' מאין בה הגוונין שהוא ים חושבן נ', וזהו ג"כ סוד מ"ם וסמך, ס' בעיגולא בינה שהוא בינה שבחכמה, ומ' הוא תבונה בינה שבבינה, ונו"ן הוא על כלל תבונה שהיא בינה, אם כל חי, שבה הצטיירות הולד, שכלל חו"ב שבחכמה נקרא</w:t>
      </w:r>
      <w:r>
        <w:t xml:space="preserve"> </w:t>
      </w:r>
      <w:r>
        <w:rPr>
          <w:rtl/>
        </w:rPr>
        <w:t xml:space="preserve">חכמה, וחו"ב שבבינה נקרא בינה, היא אם כל חי שהיא כלל הבינה, והיא נ', וזה שאומר </w:t>
      </w:r>
      <w:r>
        <w:rPr>
          <w:b/>
          <w:bCs/>
          <w:rtl/>
        </w:rPr>
        <w:t>בינה איהי אם כל חי בה אתעבידו כו'.</w:t>
      </w:r>
      <w:r>
        <w:rPr>
          <w:rtl/>
        </w:rPr>
        <w:t xml:space="preserve"> רוצה לומר כמו שבאם יתעבד הולד, כן בה אתעבד כל עובדא דבראשית, וזהו אם כל חי, וכל הוא נו"ן שלכן מתחלק כל מעשה בראשית לנו"ן תרעין כמו שבארנו בסוף איוב וכמו שאומר לעיל ריש תיקון ס”ט, וכן שכינה תתאה דוגמתה שלכן נקראת כלה, אלא שהיא נו"ן כפופה, (שבת קד ע"א) נאמן כפוף, ובינה נו"ן פשוטה שלמעלה עלמא דחירו, והוא נו"ן מאין, וכן במ"ם שהיא נקראת י"ם, כל הנחלים הולכים אל הים בנ' תרעין, יו"ד דבגוה ומ"ם (בינה) וג"כ נקרא מי, (שבת שם) מ"ם פתוחה וסתומה, ועיין לעיל קל"ג ב', ואמר </w:t>
      </w:r>
      <w:r>
        <w:rPr>
          <w:b/>
          <w:bCs/>
          <w:rtl/>
        </w:rPr>
        <w:t>כל עובדין כו' וגוונין.</w:t>
      </w:r>
      <w:r>
        <w:rPr>
          <w:rtl/>
        </w:rPr>
        <w:t xml:space="preserve"> דעובדא תליא בגוונין כמו שאומר לעיל תיקון ה’ ושאר מקומות, (ישעיהו מ יב) מי מדד בשעלו מים, גוון חיוור, ושמים בזרת תכן, וכל כו' ושקל כו', וגבעות, שהן ה' גוונין בהן כלולין כל עובדא דבראשית, וזה שאומר שבה"א נברא, בה"א הזאת שכלולה ה' גוונין, ונכלל הכל בה"א, וזה שאומר למטה כל שרטוטין וציורין ועובדין כו':</w:t>
      </w:r>
    </w:p>
  </w:footnote>
  <w:footnote w:id="5535">
    <w:p w:rsidR="00A13282" w:rsidRDefault="00A13282" w:rsidP="006D2826">
      <w:pPr>
        <w:pStyle w:val="a5"/>
        <w:rPr>
          <w:rtl/>
        </w:rPr>
      </w:pPr>
      <w:r>
        <w:rPr>
          <w:rStyle w:val="a7"/>
          <w:rtl/>
        </w:rPr>
        <w:footnoteRef/>
      </w:r>
      <w:r>
        <w:rPr>
          <w:rtl/>
        </w:rPr>
        <w:t xml:space="preserve"> </w:t>
      </w:r>
      <w:r>
        <w:rPr>
          <w:b/>
          <w:bCs/>
          <w:rtl/>
        </w:rPr>
        <w:t>אריה דביה כו'.</w:t>
      </w:r>
      <w:r>
        <w:rPr>
          <w:rtl/>
        </w:rPr>
        <w:t xml:space="preserve"> עתה מפרש והולך הג' חיוון בחג"ת, ועיין מה שכתבתי למעלה דהשרטוטין הוא מצד החסד בהתפשטות וכן בכולם עיין שם:</w:t>
      </w:r>
    </w:p>
  </w:footnote>
  <w:footnote w:id="5536">
    <w:p w:rsidR="00A13282" w:rsidRDefault="00A13282" w:rsidP="006D2826">
      <w:pPr>
        <w:pStyle w:val="a5"/>
        <w:rPr>
          <w:rtl/>
        </w:rPr>
      </w:pPr>
      <w:r>
        <w:rPr>
          <w:rStyle w:val="a7"/>
          <w:rtl/>
        </w:rPr>
        <w:footnoteRef/>
      </w:r>
      <w:r>
        <w:rPr>
          <w:rtl/>
        </w:rPr>
        <w:t xml:space="preserve"> </w:t>
      </w:r>
      <w:r>
        <w:rPr>
          <w:b/>
          <w:bCs/>
          <w:rtl/>
        </w:rPr>
        <w:t>שפירו דכלא.</w:t>
      </w:r>
      <w:r>
        <w:rPr>
          <w:rtl/>
        </w:rPr>
        <w:t xml:space="preserve"> רוצה לומר לשון תפארת, שפירו:</w:t>
      </w:r>
    </w:p>
  </w:footnote>
  <w:footnote w:id="5537">
    <w:p w:rsidR="00A13282" w:rsidRDefault="00A13282" w:rsidP="006D2826">
      <w:pPr>
        <w:pStyle w:val="a5"/>
        <w:rPr>
          <w:rtl/>
        </w:rPr>
      </w:pPr>
      <w:r>
        <w:rPr>
          <w:rStyle w:val="a7"/>
          <w:rtl/>
        </w:rPr>
        <w:footnoteRef/>
      </w:r>
      <w:r>
        <w:rPr>
          <w:rtl/>
        </w:rPr>
        <w:t xml:space="preserve"> </w:t>
      </w:r>
      <w:r>
        <w:rPr>
          <w:b/>
          <w:bCs/>
          <w:rtl/>
        </w:rPr>
        <w:t>וכל גוונין נהירין ביה.</w:t>
      </w:r>
      <w:r>
        <w:rPr>
          <w:rtl/>
        </w:rPr>
        <w:t xml:space="preserve"> ידוע, וכן נשר בו כל הגוונין כמו שכתוב (יחזקאל יז ג) הנשר הגדול כו' מלא הנוצה אשר לו הרקמה (ועיין בזוהר פ' יתרו ע"ד ב' סטא לימינה ונטיל גוון מיא, כליל בפומא דאריה, חדא סטא כו' סטא כו', דחד נשר רברבא רב גדפין מאריה דנוצה כל גוונין ביה מתחמאן כו'):</w:t>
      </w:r>
    </w:p>
  </w:footnote>
  <w:footnote w:id="5538">
    <w:p w:rsidR="00A13282" w:rsidRDefault="00A13282" w:rsidP="006D2826">
      <w:pPr>
        <w:pStyle w:val="a5"/>
        <w:rPr>
          <w:rtl/>
        </w:rPr>
      </w:pPr>
      <w:r>
        <w:rPr>
          <w:rStyle w:val="a7"/>
          <w:rtl/>
        </w:rPr>
        <w:footnoteRef/>
      </w:r>
      <w:r>
        <w:rPr>
          <w:rtl/>
        </w:rPr>
        <w:t xml:space="preserve"> </w:t>
      </w:r>
      <w:r>
        <w:rPr>
          <w:b/>
          <w:bCs/>
          <w:rtl/>
        </w:rPr>
        <w:t>ונצח כו'.</w:t>
      </w:r>
      <w:r>
        <w:rPr>
          <w:rtl/>
        </w:rPr>
        <w:t xml:space="preserve"> הן הסטרין, וזה שאומר לקבל אבהן תלת, ואמר </w:t>
      </w:r>
      <w:r>
        <w:rPr>
          <w:b/>
          <w:bCs/>
          <w:rtl/>
        </w:rPr>
        <w:t>וכל שרטוטין כו'.</w:t>
      </w:r>
      <w:r>
        <w:rPr>
          <w:rtl/>
        </w:rPr>
        <w:t xml:space="preserve"> דהכל כלולין בשכינה, עשירית הכוללם, ועשירית, ורביעית, ועשירית האיפה ורביעית ההין, רביעית לכל תלת, והוא שם י"ב וכמו שאומר לעיל:</w:t>
      </w:r>
    </w:p>
  </w:footnote>
  <w:footnote w:id="5539">
    <w:p w:rsidR="00A13282" w:rsidRDefault="00A13282" w:rsidP="006D2826">
      <w:pPr>
        <w:pStyle w:val="a5"/>
        <w:rPr>
          <w:rtl/>
        </w:rPr>
      </w:pPr>
      <w:r>
        <w:rPr>
          <w:rStyle w:val="a7"/>
          <w:rtl/>
        </w:rPr>
        <w:footnoteRef/>
      </w:r>
      <w:r>
        <w:rPr>
          <w:rtl/>
        </w:rPr>
        <w:t xml:space="preserve"> </w:t>
      </w:r>
      <w:r>
        <w:rPr>
          <w:b/>
          <w:bCs/>
          <w:rtl/>
        </w:rPr>
        <w:t>ועליה אתמר וביד כו'.</w:t>
      </w:r>
      <w:r>
        <w:rPr>
          <w:rtl/>
        </w:rPr>
        <w:t xml:space="preserve"> עיין לעיל ק"כ א':</w:t>
      </w:r>
    </w:p>
  </w:footnote>
  <w:footnote w:id="5540">
    <w:p w:rsidR="00A13282" w:rsidRDefault="00A13282" w:rsidP="006D2826">
      <w:pPr>
        <w:pStyle w:val="a5"/>
        <w:rPr>
          <w:rtl/>
        </w:rPr>
      </w:pPr>
      <w:r>
        <w:rPr>
          <w:rStyle w:val="a7"/>
          <w:rtl/>
        </w:rPr>
        <w:footnoteRef/>
      </w:r>
      <w:r>
        <w:rPr>
          <w:rtl/>
        </w:rPr>
        <w:t xml:space="preserve"> </w:t>
      </w:r>
      <w:r>
        <w:rPr>
          <w:b/>
          <w:bCs/>
          <w:rtl/>
        </w:rPr>
        <w:t>ובגינה אתמר כו'.</w:t>
      </w:r>
      <w:r>
        <w:rPr>
          <w:rtl/>
        </w:rPr>
        <w:t xml:space="preserve"> דהוא נקרא אחור, בסוד חושן ואפוד, פנים ואחור, קשר של תפילין, (שמות לג כג) וראית כו', ד' של תפילין, ד' של אחד, והנה כל השרטוטין כו' - הכל בה, שהיא משכא דאדם כמו שאומר לקמן קל"ח א' ב', ובעור האדם נראין כל השרטוטין וציורין וגוונין, וכן למעלה הכל בה, ובה (ישעיהו ו א) וארא את ה', ועיין בזוהר פ’ בראשית י"ח א' ב' ובריש פ’ וארא, וזה שאומר </w:t>
      </w:r>
      <w:r>
        <w:rPr>
          <w:b/>
          <w:bCs/>
          <w:rtl/>
        </w:rPr>
        <w:t>אבל לעילא מינה כו' דלית כו'.</w:t>
      </w:r>
      <w:r>
        <w:rPr>
          <w:rtl/>
        </w:rPr>
        <w:t xml:space="preserve"> דאף משה רבינו עליו השלום כתיב (שמות ו ג) לא נודעתי, דלו רק בידיעה, לכן כתיב ביה (שמות לג כ) כי לא יראני האדם, משום דאתנבי באדני כמו שאמרו בגמרא (יבמות מט ע"ב), וכמו שבארנו שם, והן ד' דרגין, ג' דעמודא דאמצעיתא, דאספקלריא דנהרא, ורביעית - דידה דכליל לון, וזה שאומר </w:t>
      </w:r>
      <w:r>
        <w:rPr>
          <w:b/>
          <w:bCs/>
          <w:rtl/>
        </w:rPr>
        <w:t>ועלייהו אתמר כי כו'</w:t>
      </w:r>
      <w:r>
        <w:rPr>
          <w:rtl/>
        </w:rPr>
        <w:t xml:space="preserve"> ואמר </w:t>
      </w:r>
      <w:r>
        <w:rPr>
          <w:b/>
          <w:bCs/>
          <w:rtl/>
        </w:rPr>
        <w:t>וכי באנפוי דמשה כו'.</w:t>
      </w:r>
      <w:r>
        <w:rPr>
          <w:rtl/>
        </w:rPr>
        <w:t xml:space="preserve"> כמו שכתוב (שמות לד ל) וייראו מגשת כו', (שם לג) וישם על פניו, ורוצה לומר משום דהוא דרגא דעמודא דאמצעיתא, וזה שאומר כל שכן בעמודא דאמצעיתא כו', ואמר </w:t>
      </w:r>
      <w:r>
        <w:rPr>
          <w:b/>
          <w:bCs/>
          <w:rtl/>
        </w:rPr>
        <w:t>דאיהו כליל כו'</w:t>
      </w:r>
      <w:r>
        <w:rPr>
          <w:rtl/>
        </w:rPr>
        <w:t xml:space="preserve"> דהן ג' דרגין בג' קוין שהן ג' אלו שרטוטין כו' בכל ג' דביה כנ"ל, וזה שאומר </w:t>
      </w:r>
      <w:r>
        <w:rPr>
          <w:b/>
          <w:bCs/>
          <w:rtl/>
        </w:rPr>
        <w:t>ובג"ד אתקרי ש' כו'</w:t>
      </w:r>
      <w:r>
        <w:rPr>
          <w:rtl/>
        </w:rPr>
        <w:t xml:space="preserve"> ורוצה לומר ש' דשבת, ובת מלכות, בת יחידה כמו שמפרש והולך ובג"ד מלכות כו', ואמר </w:t>
      </w:r>
      <w:r>
        <w:rPr>
          <w:b/>
          <w:bCs/>
          <w:rtl/>
        </w:rPr>
        <w:t>ושכבתי כו'.</w:t>
      </w:r>
      <w:r>
        <w:rPr>
          <w:rtl/>
        </w:rPr>
        <w:t xml:space="preserve"> רוצה לומר לעשות מרכבה עמהון, ושכ"ב הוא ש' כ"ב, ש' כנ"ל וכן כ"ב שהוא בג' אבהן כמו שאומר בריש פ’ בראשית ט"ו ב' ט"ז ב', ואמר </w:t>
      </w:r>
      <w:r>
        <w:rPr>
          <w:b/>
          <w:bCs/>
          <w:rtl/>
        </w:rPr>
        <w:t>שבת דבה אתגליין כו'.</w:t>
      </w:r>
      <w:r>
        <w:rPr>
          <w:rtl/>
        </w:rPr>
        <w:t xml:space="preserve"> דהיא בת עין, פרצופא דכולה, דבה אתחזי, ועיין בזוהר חדש פ' יתרו בארוכה, ואמר </w:t>
      </w:r>
      <w:r>
        <w:rPr>
          <w:b/>
          <w:bCs/>
          <w:rtl/>
        </w:rPr>
        <w:t>דאיהי כגוונא דאספקלריא כו'</w:t>
      </w:r>
      <w:r>
        <w:rPr>
          <w:rtl/>
        </w:rPr>
        <w:t xml:space="preserve"> שהיא נקרא מראה, דמתחזיא בה כידוע, בסוד הלבנה שאין לה אור מעצמה, רק מראה, דמתחזיא בה כל נהורין, דלית לה מגרמה כו' אבל כלולה מכולם, ואמר </w:t>
      </w:r>
      <w:r>
        <w:rPr>
          <w:b/>
          <w:bCs/>
          <w:rtl/>
        </w:rPr>
        <w:t xml:space="preserve">ולא באתר אחרא </w:t>
      </w:r>
      <w:r>
        <w:rPr>
          <w:rtl/>
        </w:rPr>
        <w:t>כמו שאומר לעיל דלית רשו לשום נביא וחוזה רק בה שנאמר בזאת כו':</w:t>
      </w:r>
    </w:p>
  </w:footnote>
  <w:footnote w:id="5541">
    <w:p w:rsidR="00A13282" w:rsidRDefault="00A13282" w:rsidP="006D2826">
      <w:pPr>
        <w:pStyle w:val="a5"/>
        <w:rPr>
          <w:rtl/>
        </w:rPr>
      </w:pPr>
      <w:r>
        <w:rPr>
          <w:rStyle w:val="a7"/>
          <w:rtl/>
        </w:rPr>
        <w:footnoteRef/>
      </w:r>
      <w:r>
        <w:rPr>
          <w:rtl/>
        </w:rPr>
        <w:t xml:space="preserve"> </w:t>
      </w:r>
      <w:r>
        <w:rPr>
          <w:b/>
          <w:bCs/>
          <w:rtl/>
        </w:rPr>
        <w:t>שרטוטין דידין כו'.</w:t>
      </w:r>
      <w:r>
        <w:rPr>
          <w:rtl/>
        </w:rPr>
        <w:t xml:space="preserve"> רוצה לומר ענפין דעץ</w:t>
      </w:r>
      <w:r>
        <w:t xml:space="preserve"> </w:t>
      </w:r>
      <w:r>
        <w:rPr>
          <w:rtl/>
        </w:rPr>
        <w:t xml:space="preserve">החיים, דידין אינון עץ החיים כמו שכתוב (משלי ג יח) עץ חיים היא למחזיקים בה, נקרא אותן המחזיקין ידי התלמידי חכמים - עץ החיים, והן ידין של תלמידי חכמים, צדקה הנעשית בידים, וזה שאומר כד אינון פתיחין כו' ידין דעבדין טיבו כו'. ואמר </w:t>
      </w:r>
      <w:r>
        <w:rPr>
          <w:b/>
          <w:bCs/>
          <w:rtl/>
        </w:rPr>
        <w:t>כגון צדקה</w:t>
      </w:r>
      <w:r>
        <w:rPr>
          <w:rtl/>
        </w:rPr>
        <w:t xml:space="preserve"> </w:t>
      </w:r>
      <w:r>
        <w:rPr>
          <w:b/>
          <w:bCs/>
          <w:rtl/>
        </w:rPr>
        <w:t xml:space="preserve">כו' </w:t>
      </w:r>
      <w:r>
        <w:rPr>
          <w:rtl/>
        </w:rPr>
        <w:t xml:space="preserve">ואפילו אשה דאיהי מעץ חיים הוא בידין כמו שכתוב (משלי לא יב) גמלתהו טוב ולא רע, דלית שם רע, ומפרש והולך כל ימי חייה שהיא בסטרא דחיים, ומפרש והולך מעשיה, דרשה כו' היתה כו' ותקם כו' וכל הפרשה שם, ובשרטוטין ניכר אם מעץ החיים כו' כמו שמפרש והולך ואית שרטוטין וכו', ויש שהשרטוטין מורין על טוב אבל הוא לא עביד כפום השרטוטין שהנפש רע ואתתא טבא כנ"ל, וכן להיפך, וזה שאומר ובג"כ אמרו מארי מתניתין כו', וכמו שאומר דעובדא אינון איבא לאילנא, וזה שאומר ואית אילנא דלא כו', ואיהו עקר בלא פירות, ואמר </w:t>
      </w:r>
      <w:r>
        <w:rPr>
          <w:b/>
          <w:bCs/>
          <w:rtl/>
        </w:rPr>
        <w:t>ידין דלא אתחזיין בהון כו'.</w:t>
      </w:r>
      <w:r>
        <w:rPr>
          <w:rtl/>
        </w:rPr>
        <w:t xml:space="preserve"> עיין לעיל קכ"ד ב' מאן דלא אתחזיין כו', והוא מורה על אילן דלא עביד פירות ומכל מקום עיקר הולך אחר המעשה כנ"ל וכמו שאומר לעיל קכ"ד ב' אלא אם תב בתיובתא וכמו שמפרש והולך כאן, וזה שאומר ובג"ד עקרא דשרטוטין וציורין וגוונין איהו עובדא: </w:t>
      </w:r>
    </w:p>
  </w:footnote>
  <w:footnote w:id="5542">
    <w:p w:rsidR="00A13282" w:rsidRDefault="00A13282" w:rsidP="006D2826">
      <w:pPr>
        <w:pStyle w:val="a5"/>
        <w:rPr>
          <w:rtl/>
        </w:rPr>
      </w:pPr>
      <w:r>
        <w:rPr>
          <w:rStyle w:val="a7"/>
          <w:rtl/>
        </w:rPr>
        <w:footnoteRef/>
      </w:r>
      <w:r>
        <w:rPr>
          <w:rtl/>
        </w:rPr>
        <w:t xml:space="preserve"> </w:t>
      </w:r>
      <w:r>
        <w:rPr>
          <w:b/>
          <w:bCs/>
          <w:rtl/>
        </w:rPr>
        <w:t>בת עין איהי כו'.</w:t>
      </w:r>
      <w:r>
        <w:rPr>
          <w:rtl/>
        </w:rPr>
        <w:t xml:space="preserve"> חוזר לענין ראשון שאמר ובג"ד מלכות איהי בת יחידה שבת דבה כו' כגוונא דאספקלריא, והוא בת עין אוכמא, פרצופא, דמות אדם דכלילא כל ד' חיוון כל ד' גוונין, ועיין בזוהר חדש פ' יתרו כ"ט א' עיינין אוכמין שפירין כו' מסטרא דשבת דאיהי בת עין שפירא, עלה אתמר שחורה אני ונאוה, האי איהו בדיוקנא דשבת דאיהו שקול לאורייתא כולה, ובשבת צריך לאחזאה שובעא בהפוכא דשפחה לילית, וצריך באתר דשבתאי דעציבו לאחזאה חדוה, באתר דחשוכא - שרגא, באתר דעינוי - עונג, למעבד תמן שינוי בכלא, דלילית מרה אוכמא צמאון דלית בה מים דאיהי והבור רק אין כו', ורוצה לומר דשבתאי שולט בשבת מסטרא דמזלות וצריך לעשות בהיפוכא דילה דאיהו טחול, מרה אוכמא, עצבון צמאון כו' כנ"ל, ואמר שם עיינין אוכמין חשובין תמן לילית כו' תמן שבתאי כו' עיין שם בדבריו, וזה שאומר למטה שבתאי אוכמא פתיא כל גוונין כו' עיין שם היטב, ורוצה לומר דהוא הפוכא דבת עין דבה כל גוונין כלילין, וה' אור נהרין בה אבל שם כל גוונין אתחשכן, דיש ב' מיני שחרות, א' מראה שחור דמחשיך כל גוונין, דמראה שחור שבא על כל גוון אתהדר לשחרות ולא נודע כל גוון בה, ומראה דכל גוונין בשחרות אתערבו ולא נודע כלום, ויש מראה שחור שנודע בה כל גוון, והוא אספקלריא, שמשימין שחרות תחתיה והמראה בעצמה היא זהירה והיא אוכמא שפירתא דבה אתחזי כל גוונין, ועתה מפרש והולך הגוונין והנהורא דנהיר בגוונין ומפרש והולך שהוא שם הוי"ה דהוא בעיינין כמו שאומר לעיל ובתיקון כ’. ואמר דבסתימו דעיינין הוא הזכרים, י"ו, שלעולם הזכרים הן סתומין והנקבות מגלין מה שבהם, כמו או"א בולד, ותורה שבכתב ותורה שבעל פה, ולכן צחותא דאורייתא בלילה, ובפתיחו דעיינין מתגליין ה' גוונין, וה' נהורין דנהרין בגוונין, ועיין בריש פ’ וארא דהן גוונין דמתחזין, דמתגליין לאבהן באל שדי, נוק', אבל דכורא אינן אלא בסתימו דעיינין, ושמי ה' לא נודעתי כו' עיין שם בדבריו ולכן אינון י"ו בסתימו דעיינין כנ"ל, ויו"ד איהו יותר סתים מן וא"ו, שיו"ד הוא עיגול העין המכוסה, ווא"ו הוא הקו שבין העפעפים שמכל מקום נראה הקו אע"ג דסתים, ואמר </w:t>
      </w:r>
      <w:r>
        <w:rPr>
          <w:b/>
          <w:bCs/>
          <w:rtl/>
        </w:rPr>
        <w:t>כד סתים כו' קמץ כו'.</w:t>
      </w:r>
      <w:r>
        <w:rPr>
          <w:rtl/>
        </w:rPr>
        <w:t xml:space="preserve"> רוצה לומר דקמץ הוא לשון סתום, היד בקמיצו, והוא וקמץ הכהן, חכמה, מחשבה סתימא, והוא יו"ד כמו שמפרש והולך והנה אמר זה בכאן דהוא דומה ליד כד וקמץ הכהן בסתימו הוא בצורת יו"ד, ובפתיחו ה"א בה' אצבעות וכמו שאומר לעיל בהקדמה ובשאר מקומות עיין שם בדבריו:</w:t>
      </w:r>
    </w:p>
  </w:footnote>
  <w:footnote w:id="5543">
    <w:p w:rsidR="00A13282" w:rsidRDefault="00A13282" w:rsidP="006D2826">
      <w:pPr>
        <w:pStyle w:val="a5"/>
        <w:rPr>
          <w:rtl/>
        </w:rPr>
      </w:pPr>
      <w:r>
        <w:rPr>
          <w:rStyle w:val="a7"/>
          <w:rtl/>
        </w:rPr>
        <w:footnoteRef/>
      </w:r>
      <w:r>
        <w:rPr>
          <w:rtl/>
        </w:rPr>
        <w:t xml:space="preserve"> </w:t>
      </w:r>
      <w:r>
        <w:rPr>
          <w:b/>
          <w:bCs/>
          <w:rtl/>
        </w:rPr>
        <w:t>אתמר בעינא נפתחו השמים.</w:t>
      </w:r>
      <w:r>
        <w:rPr>
          <w:rtl/>
        </w:rPr>
        <w:t xml:space="preserve"> ה' שמים דיומא תניינא דתמן שכינתא תתאה כמו שאומר לעיל קכ"ה ב' והן ה' גוונין, ואראה מראות כו' הן ה' אור דהן מראות כמו שאומר לעיל בתיקון ל’ בארוכה והן ביומא קדמאה דתמן שכינתא עלאה כמו שאומר שם, ואמר </w:t>
      </w:r>
      <w:r>
        <w:rPr>
          <w:b/>
          <w:bCs/>
          <w:rtl/>
        </w:rPr>
        <w:t>דעובדא דבראשית</w:t>
      </w:r>
      <w:r>
        <w:rPr>
          <w:rtl/>
        </w:rPr>
        <w:t xml:space="preserve"> רוצה לומר דלכן נאמר מראות אלקים, דכל עובדא דבראשית הוא בשם אלקים ועיין לעיל בהקדמה ד' ב', והשמים עם הנהורין הן עין העולם דמהן רואה העולם, וכן נפתחו באדם ה' שמים ה' גוונין, והוא כד אתעבר המסך מעל העיינין לראות ברוח הקודש, ונהיר רוח הקדש בהן, וזה שאומר אתמר בעינא נפתחו השמים ואראה כו':</w:t>
      </w:r>
    </w:p>
  </w:footnote>
  <w:footnote w:id="5544">
    <w:p w:rsidR="00A13282" w:rsidRDefault="00A13282" w:rsidP="006D2826">
      <w:pPr>
        <w:pStyle w:val="a5"/>
        <w:rPr>
          <w:rtl/>
        </w:rPr>
      </w:pPr>
      <w:r>
        <w:rPr>
          <w:rStyle w:val="a7"/>
          <w:rtl/>
        </w:rPr>
        <w:footnoteRef/>
      </w:r>
      <w:r>
        <w:rPr>
          <w:rtl/>
        </w:rPr>
        <w:t xml:space="preserve"> </w:t>
      </w:r>
      <w:r>
        <w:rPr>
          <w:b/>
          <w:bCs/>
          <w:rtl/>
        </w:rPr>
        <w:t>איהו חון דחוויא כו'.</w:t>
      </w:r>
      <w:r>
        <w:rPr>
          <w:rtl/>
        </w:rPr>
        <w:t xml:space="preserve"> רוצה לומר הטחול, בטן התחתית דהוא שאול כמו שאומר לעיל בתיקון כ’, והוא גוון שחור כנ"ל, ומפרש והולך ועפר תאכל כו' והוא יסוד העפר קר ויבש, וידוע שכל יסוד ניזון ממינו, וד' מרות ניזון כל אחד מיסוד שבאוכל, ומד' יסודות ניזונות ד' מרות, ובחינה התחתונה עפר שאין בה אלא מעט חיות ולכן שאול (טחול) הוא בור רק, צמאון אשר אין בו מים, הבור רק כו', נחשים ועקרבים כו', גחון דחוויא, וזה שאומר </w:t>
      </w:r>
      <w:r>
        <w:rPr>
          <w:b/>
          <w:bCs/>
          <w:rtl/>
        </w:rPr>
        <w:t>ובג"ד ועפר כו'.</w:t>
      </w:r>
      <w:r>
        <w:rPr>
          <w:rtl/>
        </w:rPr>
        <w:t xml:space="preserve"> שקללו שלא יהיה לו מהמאכל רק מיסוד העפר:</w:t>
      </w:r>
    </w:p>
  </w:footnote>
  <w:footnote w:id="5545">
    <w:p w:rsidR="00A13282" w:rsidRDefault="00A13282" w:rsidP="006D2826">
      <w:pPr>
        <w:pStyle w:val="a5"/>
        <w:rPr>
          <w:rtl/>
        </w:rPr>
      </w:pPr>
      <w:r>
        <w:rPr>
          <w:rStyle w:val="a7"/>
          <w:rtl/>
        </w:rPr>
        <w:footnoteRef/>
      </w:r>
      <w:r>
        <w:rPr>
          <w:rtl/>
        </w:rPr>
        <w:t xml:space="preserve"> </w:t>
      </w:r>
      <w:r>
        <w:rPr>
          <w:b/>
          <w:bCs/>
          <w:rtl/>
        </w:rPr>
        <w:t>ת"ח לאו למגנא כו'.</w:t>
      </w:r>
      <w:r>
        <w:rPr>
          <w:rtl/>
        </w:rPr>
        <w:t xml:space="preserve"> עתה חוזר לענין ראשון שאמר</w:t>
      </w:r>
      <w:r>
        <w:t xml:space="preserve"> </w:t>
      </w:r>
      <w:r>
        <w:rPr>
          <w:rtl/>
        </w:rPr>
        <w:t xml:space="preserve">ואית אילנא דלא כו' ובג"כ אמרו מכל מקום כו', שהוא לפי הנפש ולא הגוף ועיין לעיל תיקון ס’ בארוכה, ואמר </w:t>
      </w:r>
      <w:r>
        <w:rPr>
          <w:b/>
          <w:bCs/>
          <w:rtl/>
        </w:rPr>
        <w:t>דסוס איהו נוקבא כו'.</w:t>
      </w:r>
      <w:r>
        <w:rPr>
          <w:rtl/>
        </w:rPr>
        <w:t xml:space="preserve"> רוצה לומר דגוף הוא סוס כמו שאומר לעיל בתיקון ל”ב ורכיב נפשא בסוסיא חיורא דאיהו גופא כו' (ולקמן קל"ג א'). ואמר </w:t>
      </w:r>
      <w:r>
        <w:rPr>
          <w:b/>
          <w:bCs/>
          <w:rtl/>
        </w:rPr>
        <w:t>אם זכה כו'.</w:t>
      </w:r>
      <w:r>
        <w:rPr>
          <w:rtl/>
        </w:rPr>
        <w:t xml:space="preserve"> דגופא איהו נוק' לנשמתא, סוסיא דיליה, ועלה עזר מסטרא דשכינתא דאיהי טוב, (בראשית ב יח) לא טוב היות האדם לבדו, דהיא (משלי לא טו) ותקם בעוד לילה כו', (משלי לא י) אשת חיל מי ימצא כו', והוא יצר טוב לאדם, וגוף כזה עוזר לנשמתא, דעל ידו עושה התורה ומצות, דמצות מעשיות אי אפשר כי אם על ידי הגוף, ואתתא איהי נר מצוה, וכן הוא שכינתא לקב"ה, שעל ידה מנהיג את התחתונים, ועל ידה יגלה לתחתונים אדון הכל, בזאת כו', ואמר </w:t>
      </w:r>
      <w:r>
        <w:rPr>
          <w:b/>
          <w:bCs/>
          <w:rtl/>
        </w:rPr>
        <w:t>עזר ואם לאו כנגדו</w:t>
      </w:r>
      <w:r>
        <w:rPr>
          <w:rtl/>
        </w:rPr>
        <w:t xml:space="preserve"> כמו שמפרש והולך והוא מס"א, יצר הרע, דהגוף מנגדת לנשמתא, וכן בס"א יותרת על הכבד דאתגברת על בעלה בעזות דילה, וזה שאומר למטה לזמנין תשכח סוסיא דאתגאה כו' הגוף שגובר לנשמה, אבל יש גופא בישא מכל מקום והוא ימשל בך, וזה שאומר </w:t>
      </w:r>
      <w:r>
        <w:rPr>
          <w:b/>
          <w:bCs/>
          <w:rtl/>
        </w:rPr>
        <w:t>לזמנין תשכח אדם רכיב על כו'</w:t>
      </w:r>
      <w:r>
        <w:rPr>
          <w:rtl/>
        </w:rPr>
        <w:t xml:space="preserve"> ואמר </w:t>
      </w:r>
      <w:r>
        <w:rPr>
          <w:b/>
          <w:bCs/>
          <w:rtl/>
        </w:rPr>
        <w:t>ובג"ד הוי אמרי קדמאי מצא כו'.</w:t>
      </w:r>
      <w:r>
        <w:rPr>
          <w:rtl/>
        </w:rPr>
        <w:t xml:space="preserve"> רוצה לומר על הגוף, וכל משלי הולך על קוטב זה, ואמר </w:t>
      </w:r>
      <w:r>
        <w:rPr>
          <w:b/>
          <w:bCs/>
          <w:rtl/>
        </w:rPr>
        <w:t>לזמנין אדם לזמנין איש לזמנין עבד</w:t>
      </w:r>
      <w:r>
        <w:rPr>
          <w:rtl/>
        </w:rPr>
        <w:t xml:space="preserve"> רוצה לומר כמו שמפרש והולך צדיק ורע לו - גופא בישא ונשמתא טבא, הוא אדם דרכיב, דאדם שליט בכולא, רשע וטוב לו הוא (קהלת י ז) עבדים רוכבים על סוסים, ואיש הוא שהוא שוה ליה, סוסיא טבא, וזה שאומר </w:t>
      </w:r>
      <w:r>
        <w:rPr>
          <w:b/>
          <w:bCs/>
          <w:rtl/>
        </w:rPr>
        <w:t>כגוונא דא</w:t>
      </w:r>
      <w:r>
        <w:rPr>
          <w:b/>
          <w:bCs/>
        </w:rPr>
        <w:t xml:space="preserve"> </w:t>
      </w:r>
      <w:r>
        <w:rPr>
          <w:b/>
          <w:bCs/>
          <w:rtl/>
        </w:rPr>
        <w:t>כו' ובג"ד אוקמוהו מ"מ כו'.</w:t>
      </w:r>
      <w:r>
        <w:rPr>
          <w:rtl/>
        </w:rPr>
        <w:t xml:space="preserve"> כנ"ל דהמעשה תלוי בנשמתא, והמדרש - בגופא, והענין כי הגוף הוא לפי נפשא קדמאה בגלגולא כמו שאומר לעיל דגלגולא גרים כו' דגלגולא מחייב ליה, ונראין אותיותיה בגוף בשרטוטין כנ"ל וכן בכל העשר תיקונין ולכן אמר ואתה תחזה ולא אחרא כמו שאומר לקמן קל"ו ב' דלזמנין גופא טבא ונשמתא בישא אבל אנת דאתה חזיא בנשמתא כמו שאומר ברעיא מהימנא פ' משפטים ומכל מקום תחזה בגופא, דגוף רע מטה פעמים לנשמתא ולכן תחזה אנשי חיל כו' ואמר </w:t>
      </w:r>
      <w:r>
        <w:rPr>
          <w:b/>
          <w:bCs/>
          <w:rtl/>
        </w:rPr>
        <w:t xml:space="preserve">הכא אשתמודע תלת גלגולין כו' </w:t>
      </w:r>
      <w:r>
        <w:rPr>
          <w:rtl/>
        </w:rPr>
        <w:t>דצדיק וטוב לו לא חשיב כאן משום שרוצה לומר דגלגולא גרים כו', וצדיק וטוב לו הוא אף בלא גלגולא, דגלגולא קדמאה ודאי הוא לפי בת זוגו ועיין לעיל ק"ג ב':</w:t>
      </w:r>
    </w:p>
  </w:footnote>
  <w:footnote w:id="5546">
    <w:p w:rsidR="00A13282" w:rsidRDefault="00A13282" w:rsidP="006D2826">
      <w:pPr>
        <w:pStyle w:val="a5"/>
        <w:rPr>
          <w:rtl/>
        </w:rPr>
      </w:pPr>
      <w:r>
        <w:rPr>
          <w:rStyle w:val="a7"/>
          <w:rtl/>
        </w:rPr>
        <w:footnoteRef/>
      </w:r>
      <w:r>
        <w:rPr>
          <w:rtl/>
        </w:rPr>
        <w:t xml:space="preserve"> </w:t>
      </w:r>
      <w:r>
        <w:rPr>
          <w:b/>
          <w:bCs/>
          <w:rtl/>
        </w:rPr>
        <w:t>יעביד לי' שינוי מקום כו'.</w:t>
      </w:r>
      <w:r>
        <w:rPr>
          <w:rtl/>
        </w:rPr>
        <w:t xml:space="preserve"> רוצה לומר שינוי מקום ממש כמו שאמרו (חגיגה טז ע"א) אם רואה אדם שיצרו מתגבר עליו ילך למקום שאין מכירין וילבש כו' וזהו שינוי מעשה, ומקום שאין מכירין הוא שינוי השם שאין שמו נודע שם, ופירש ר"ח מתוך כך יכנע יצרו, ואמרו (ר"ה טז ע"ב) שלשה דברים מקרעין גזר דינו של אדם כו' ויש אומרים כו', וקיימא לן כיש אומרים כמו שאמר להלן ואי לא אתתקנת והן כל אלה כו', רוצה לומר דג' גלגולין שהן שינוי מקום, שינוי כו' כמו שאומר לעיל תיקון ס”ט, ואמר </w:t>
      </w:r>
      <w:r>
        <w:rPr>
          <w:b/>
          <w:bCs/>
          <w:rtl/>
        </w:rPr>
        <w:t>בגט</w:t>
      </w:r>
      <w:r>
        <w:rPr>
          <w:rtl/>
        </w:rPr>
        <w:t xml:space="preserve"> רוצה לומר הגוף דאיהי אתתא, ורוצה לומר כמו שאמרו (יבמות סג ע"ב) אשה רעה צרעת לבעלה מאי תקנתיה יגרשנה וירפא מצרעתו, וזה שאומר ויתסי, ואמר </w:t>
      </w:r>
      <w:r>
        <w:rPr>
          <w:b/>
          <w:bCs/>
          <w:rtl/>
        </w:rPr>
        <w:t>ואתנטע' באתר</w:t>
      </w:r>
      <w:r>
        <w:rPr>
          <w:b/>
          <w:bCs/>
        </w:rPr>
        <w:t xml:space="preserve"> </w:t>
      </w:r>
      <w:r>
        <w:rPr>
          <w:b/>
          <w:bCs/>
          <w:rtl/>
        </w:rPr>
        <w:t>אחרא</w:t>
      </w:r>
      <w:r>
        <w:rPr>
          <w:rtl/>
        </w:rPr>
        <w:t xml:space="preserve"> רוצה לומר דהוא שינוי מקום ואח"כ שינוי השם כו' ועיין לעיל ק"ו א' אבל בר נש דטרח עליה כו' אם אצלח כו' והן כל אלה כו':</w:t>
      </w:r>
    </w:p>
  </w:footnote>
  <w:footnote w:id="5547">
    <w:p w:rsidR="00A13282" w:rsidRDefault="00A13282" w:rsidP="006D2826">
      <w:pPr>
        <w:pStyle w:val="a5"/>
        <w:rPr>
          <w:rtl/>
        </w:rPr>
      </w:pPr>
      <w:r>
        <w:rPr>
          <w:rStyle w:val="a7"/>
          <w:rtl/>
        </w:rPr>
        <w:footnoteRef/>
      </w:r>
      <w:r>
        <w:rPr>
          <w:rtl/>
        </w:rPr>
        <w:t xml:space="preserve"> תיקון ט'.</w:t>
      </w:r>
      <w:r>
        <w:rPr>
          <w:b/>
          <w:bCs/>
          <w:rtl/>
        </w:rPr>
        <w:t xml:space="preserve"> בקומה כו' דלעילא ותתא.</w:t>
      </w:r>
      <w:r>
        <w:rPr>
          <w:rtl/>
        </w:rPr>
        <w:t xml:space="preserve"> ב' מתיבתין ידוע שהן בו"ק דכלילין בקומה וכמו שאומר למטה דגופא איהו ו', קומה דכלהו, ואיהו שית בחושבן כו', והן ב' מתיבתין, שית סדרין, ועיין לעיל ריש תיקון כ”ב ובתיקוני זוהר חדש, ואמר </w:t>
      </w:r>
      <w:r>
        <w:rPr>
          <w:b/>
          <w:bCs/>
          <w:rtl/>
        </w:rPr>
        <w:t>כלא במדה כו'.</w:t>
      </w:r>
      <w:r>
        <w:rPr>
          <w:rtl/>
        </w:rPr>
        <w:t xml:space="preserve"> דבה הכל במדה, תמתי, כולך יפה רעיתי כו' (וכמו שאומר למטה וכל ענפא כו' צריכין במדה כו' דלא יהא כו'), ואמר </w:t>
      </w:r>
      <w:r>
        <w:rPr>
          <w:b/>
          <w:bCs/>
          <w:rtl/>
        </w:rPr>
        <w:t>בשעור קומה דשכינתך</w:t>
      </w:r>
      <w:r>
        <w:rPr>
          <w:rtl/>
        </w:rPr>
        <w:t xml:space="preserve"> דהיא תאומתו, לא היא גדולה כו' וכמו שמפרש והולך:</w:t>
      </w:r>
    </w:p>
  </w:footnote>
  <w:footnote w:id="5548">
    <w:p w:rsidR="00A13282" w:rsidRDefault="00A13282" w:rsidP="006D2826">
      <w:pPr>
        <w:pStyle w:val="a5"/>
        <w:rPr>
          <w:rtl/>
        </w:rPr>
      </w:pPr>
      <w:r>
        <w:rPr>
          <w:rStyle w:val="a7"/>
          <w:rtl/>
        </w:rPr>
        <w:footnoteRef/>
      </w:r>
      <w:r>
        <w:rPr>
          <w:rtl/>
        </w:rPr>
        <w:t xml:space="preserve"> </w:t>
      </w:r>
      <w:r>
        <w:rPr>
          <w:b/>
          <w:bCs/>
          <w:rtl/>
        </w:rPr>
        <w:t xml:space="preserve">מאי לתמר אלא לההוא דאתמר כו'. </w:t>
      </w:r>
      <w:r>
        <w:rPr>
          <w:rtl/>
        </w:rPr>
        <w:t xml:space="preserve">רוצה לומר, צדיק כמו שמפרש והולך, והוא איש, בעלה דשכינתא, ואמר </w:t>
      </w:r>
      <w:r>
        <w:rPr>
          <w:b/>
          <w:bCs/>
          <w:rtl/>
        </w:rPr>
        <w:t>כפת תמרים</w:t>
      </w:r>
      <w:r>
        <w:rPr>
          <w:rtl/>
        </w:rPr>
        <w:t xml:space="preserve"> רוצה לומר כמו שאומר בבהיר דשם זו"נ כאחד, כפת, דכורא צדיק ותמרים נוק', דשניהם זכרים ונקיבות, והוא גבוה בקומה יותר מכל אילנות, וכן הלולב מד' מינין, ואמר </w:t>
      </w:r>
      <w:r>
        <w:rPr>
          <w:b/>
          <w:bCs/>
          <w:rtl/>
        </w:rPr>
        <w:t>קומתך ודאי כו' דלית ביה קיצוץ ופירוד</w:t>
      </w:r>
      <w:r>
        <w:rPr>
          <w:rtl/>
        </w:rPr>
        <w:t xml:space="preserve"> רוצה לומר דבכל אילן הענפים מפורדים זה מזה מה שאין כן בלולב, וכן הקומה עמודא דאמצעיתא מה שאין כן בידים ורגלים הענפים, ולכן נקרא יעקב איש תם, וכן חוט השדרה וכן גוף וברית חד וכן הוא כאן עם עץ האמצעי של העבות ושאר ד' ענפין מתפרדין כמו שמפרש והולך וחמש ענפין כו' ועלייהו אתמר כו', ואמר </w:t>
      </w:r>
      <w:r>
        <w:rPr>
          <w:b/>
          <w:bCs/>
          <w:rtl/>
        </w:rPr>
        <w:t>דגופא דאיהו ו' קומה דכלא ואיהו כו'.</w:t>
      </w:r>
      <w:r>
        <w:rPr>
          <w:rtl/>
        </w:rPr>
        <w:t xml:space="preserve"> רוצה לומר שהוא בצורת ו', קומה זקופה, וכל קומה דאתוון הכל הוא על ו', וכן כל הקומה תלויה בגוף, ו' הוא חושבן שית וכן הגוף כולל ו"ק, ה' ענפין דמתפשטין ממנה כמו שמפרש והולך, וזה שאומר </w:t>
      </w:r>
      <w:r>
        <w:rPr>
          <w:b/>
          <w:bCs/>
          <w:rtl/>
        </w:rPr>
        <w:t>ואיהו כו' וחמש כו' ואיהו גופא כו'.</w:t>
      </w:r>
      <w:r>
        <w:rPr>
          <w:rtl/>
        </w:rPr>
        <w:t xml:space="preserve"> ועתה מפרש והולך ה' ענפין ואמר </w:t>
      </w:r>
      <w:r>
        <w:rPr>
          <w:b/>
          <w:bCs/>
          <w:rtl/>
        </w:rPr>
        <w:t>וה' ענפין אינון</w:t>
      </w:r>
      <w:r>
        <w:rPr>
          <w:rtl/>
        </w:rPr>
        <w:t xml:space="preserve"> </w:t>
      </w:r>
      <w:r>
        <w:rPr>
          <w:b/>
          <w:bCs/>
          <w:rtl/>
        </w:rPr>
        <w:t>תרין כו'</w:t>
      </w:r>
      <w:r>
        <w:rPr>
          <w:rtl/>
        </w:rPr>
        <w:t xml:space="preserve"> רוצה לומר, כמו בריאה שהוא כלל הגוף שבו הרוח, והוא עמודא דאמצעיתא, יעקב, כמו שאומר לעיל תיקון כ”ה, ובו תלת מימינא ותרי משמאלא, וכן כאן דאמצעיתא שהוא ברית - ג"כ נוטה לימינא שבו אברהם איש החסד, והוא שם הוי"ה באילנא, גוף האילן ו', ענפין ה' תתאה, איבא דאילנא יוד, עיקרא דאילנא ה' עילאה, וכמו שאומר לעיל ק"ט ב' אלא דשם אמר להיפך בשתי ההי"ן עיין שם בדבריו, ומוחא דאילנא הוא נביעו דביה כמו שאומר למטה והוא שמא מפרש, נביעו דביה כמו שאומר לעיל י"ג א', והכל הוא בלולב, לולב גופא ו', והתפשטותו לחוץ מהמינים הוא בסוד עיקרא דכולא כמו שמפרש והולך צואר על כלהו כו' ה' עלאה, הדס וערבה ה' ענפים ה' תתאה, אתרוג יו"ד איבא דכלהו, דכולם אינן רק עצים לבד האתרוג, ועיין לעיל ק"ט ב', דא עץ ו' ודא פרי י', אלא שאמר שם בבחינה אחרת, וזה שאומר וביה איהו עץ פרי כו', זה אילן הלולב הוא עץ וכן הברית הוא עץ כמו שאומר עץ באמצעיתא והוא פרי, ואמר </w:t>
      </w:r>
      <w:r>
        <w:rPr>
          <w:b/>
          <w:bCs/>
          <w:rtl/>
        </w:rPr>
        <w:t>ענף לשמאלא</w:t>
      </w:r>
      <w:r>
        <w:rPr>
          <w:rtl/>
        </w:rPr>
        <w:t xml:space="preserve"> </w:t>
      </w:r>
      <w:r>
        <w:rPr>
          <w:b/>
          <w:bCs/>
          <w:rtl/>
        </w:rPr>
        <w:t>כו'.</w:t>
      </w:r>
      <w:r>
        <w:rPr>
          <w:rtl/>
        </w:rPr>
        <w:t xml:space="preserve"> שמכאן דרשו (סוכה לד ע"ב) ענף עץ עבות שלשה, ומניח על הלולב אחד לימינו חסד ואחד לשמאלו גבורה ואחד באמצעיתא ברית שהן ברזא דג' אבהן, וגוף וברית אחד הוא, וערבי נחל מב' סטרין נו"ה, וזה שאומר וכלהו חמש אינון לקבל תרין כו', ואמר </w:t>
      </w:r>
      <w:r>
        <w:rPr>
          <w:b/>
          <w:bCs/>
          <w:rtl/>
        </w:rPr>
        <w:t>וכלהו חמש.</w:t>
      </w:r>
      <w:r>
        <w:rPr>
          <w:rtl/>
        </w:rPr>
        <w:t xml:space="preserve"> להורות על הנ"ל שהוא ה' של השם, ואמר </w:t>
      </w:r>
      <w:r>
        <w:rPr>
          <w:b/>
          <w:bCs/>
          <w:rtl/>
        </w:rPr>
        <w:t xml:space="preserve">אתרוג לב באמצעיתא ואיהו איבא כו': </w:t>
      </w:r>
    </w:p>
  </w:footnote>
  <w:footnote w:id="5549">
    <w:p w:rsidR="00A13282" w:rsidRDefault="00A13282" w:rsidP="006D2826">
      <w:pPr>
        <w:pStyle w:val="a5"/>
        <w:rPr>
          <w:rtl/>
        </w:rPr>
      </w:pPr>
      <w:r>
        <w:rPr>
          <w:rStyle w:val="a7"/>
          <w:rtl/>
        </w:rPr>
        <w:footnoteRef/>
      </w:r>
      <w:r>
        <w:rPr>
          <w:rtl/>
        </w:rPr>
        <w:t xml:space="preserve"> תיקון י’.</w:t>
      </w:r>
      <w:r>
        <w:rPr>
          <w:b/>
          <w:bCs/>
          <w:rtl/>
        </w:rPr>
        <w:t xml:space="preserve"> צואר על כלהו אימא עילאה עקרא דאילנא ושרשוי ומוחא כו'.</w:t>
      </w:r>
      <w:r>
        <w:rPr>
          <w:rtl/>
        </w:rPr>
        <w:t xml:space="preserve"> רוצה לומר אתרוג לבא לקבל יו"ד איבא, וצואר אימא עילאה כתר ע"ג ו"ק כידוע נגד עקרא דאילנא ה' עילאה, וכאן השם למפרע שהוא בנוק' ועיין לעיל ק"י א' ומה שבארנו שם, ואמר </w:t>
      </w:r>
      <w:r>
        <w:rPr>
          <w:b/>
          <w:bCs/>
          <w:rtl/>
        </w:rPr>
        <w:t>מוחא אבא</w:t>
      </w:r>
      <w:r>
        <w:rPr>
          <w:rtl/>
        </w:rPr>
        <w:t xml:space="preserve"> רוצה לומר מוחא דאילנא הוא נגד מוח האדם, חכמה, והוא נביעו דאילנא דמתפשט בכל הגוף בחוט השדרה ובכל העצמות בל"ב נתיבות הידועים, ואמר </w:t>
      </w:r>
      <w:r>
        <w:rPr>
          <w:b/>
          <w:bCs/>
          <w:rtl/>
        </w:rPr>
        <w:t>דמקורא דיליה</w:t>
      </w:r>
      <w:r>
        <w:rPr>
          <w:rtl/>
        </w:rPr>
        <w:t xml:space="preserve"> </w:t>
      </w:r>
      <w:r>
        <w:rPr>
          <w:b/>
          <w:bCs/>
          <w:rtl/>
        </w:rPr>
        <w:t>ל"ל סוף.</w:t>
      </w:r>
      <w:r>
        <w:rPr>
          <w:rtl/>
        </w:rPr>
        <w:t xml:space="preserve"> רוצה לומר, המקור של</w:t>
      </w:r>
      <w:r>
        <w:t xml:space="preserve"> </w:t>
      </w:r>
      <w:r>
        <w:rPr>
          <w:rtl/>
        </w:rPr>
        <w:t xml:space="preserve">המוח מקור של המעין דהוא כתר כמו שאומר בסוף פ' בא ושאר מקומות, ועיין לעיל תיקון נ”ב, והן עשר ספירות באברי האדם, ואילן, וד' המינין ולב דבאמצע הלולב הוא חכמה אב ובן וזהו לולב ל"ו ל"ב כמו שאומר בספר הבהיר דהוא ל"ו, ו' צינורות דשם מ"ב כל אחד כלול משית כמו שאומר לעיל ל"ח א' ס"ג א' ושאר מקומות, ועיין מה שבארנו שם בארוכה, והן השם כולו כנ"ל, ואמר </w:t>
      </w:r>
      <w:r>
        <w:rPr>
          <w:b/>
          <w:bCs/>
          <w:rtl/>
        </w:rPr>
        <w:t>עלין דאילנא אינון קווצותיו כו'.</w:t>
      </w:r>
      <w:r>
        <w:rPr>
          <w:rtl/>
        </w:rPr>
        <w:t xml:space="preserve"> רוצה לומר השערות, ואמר </w:t>
      </w:r>
      <w:r>
        <w:rPr>
          <w:b/>
          <w:bCs/>
          <w:rtl/>
        </w:rPr>
        <w:t>כלהו ירוקין</w:t>
      </w:r>
      <w:r>
        <w:rPr>
          <w:rtl/>
        </w:rPr>
        <w:t xml:space="preserve"> רוצה לומר ירוק כמראה הזהב כמו שמפרש והולך למהוי ירוק כשבעה כו'. וזה שאומר אסתר מתמן כו', וכן אתרוג איהו ירוקא וכן עלין דלולב שהן קווצותיהן - ירוקין כשנגמר ונתבשל וזהו ככרמל, וכאן נשלם כל שיעור קומה עם השערות דהן</w:t>
      </w:r>
      <w:r>
        <w:t xml:space="preserve"> </w:t>
      </w:r>
      <w:r>
        <w:rPr>
          <w:rtl/>
        </w:rPr>
        <w:t xml:space="preserve">סלקין למעלה וכן קווצותיו - עלין דלולב, ואמר </w:t>
      </w:r>
      <w:r>
        <w:rPr>
          <w:b/>
          <w:bCs/>
          <w:rtl/>
        </w:rPr>
        <w:t>כשבעה מיני דהבא</w:t>
      </w:r>
      <w:r>
        <w:rPr>
          <w:rtl/>
        </w:rPr>
        <w:t xml:space="preserve"> כמו שאומר לעיל קכ"ג ב' דוד שבעה מיני דהבא הוי כו' משום דהוא דרגא דבת שבע, בת מלך, ואמר בפ' יתרו ע"ג ב' דיוקנא דמשיחא קדמאה לסיהרא עין דיליה זהב ירקרק באנפוי גוון דיליה זהב אופיר בדיקניה גוון כו' שבעה כו', והנה הם כולם דוגמת הסיהרא, והנה אין לאשה שער כי אם על הראש כמו שאמרו (סנהדרין כא ע"א) אין לבנות ישראל לא שער בית השחי ולא בבית הערוה, ונראה שכל שכן בגבינים שהוא במקום נראה שכן אמרו שער באשה ערוה שלא תתגלה שערה כמו שאומר בריש פ’ נשא בארוכה, והנה צריכין כל ז' מיני דהבא הכל בראשה ואמר</w:t>
      </w:r>
    </w:p>
  </w:footnote>
  <w:footnote w:id="5550">
    <w:p w:rsidR="00A13282" w:rsidRDefault="00A13282" w:rsidP="006D2826">
      <w:pPr>
        <w:pStyle w:val="a5"/>
        <w:rPr>
          <w:rtl/>
        </w:rPr>
      </w:pPr>
      <w:r>
        <w:rPr>
          <w:rStyle w:val="a7"/>
          <w:rtl/>
        </w:rPr>
        <w:footnoteRef/>
      </w:r>
      <w:r>
        <w:rPr>
          <w:rtl/>
        </w:rPr>
        <w:t xml:space="preserve"> </w:t>
      </w:r>
      <w:r>
        <w:rPr>
          <w:b/>
          <w:bCs/>
          <w:rtl/>
        </w:rPr>
        <w:t>שעורא דרצועין</w:t>
      </w:r>
      <w:r>
        <w:rPr>
          <w:b/>
          <w:bCs/>
        </w:rPr>
        <w:t xml:space="preserve"> </w:t>
      </w:r>
      <w:r>
        <w:rPr>
          <w:b/>
          <w:bCs/>
          <w:rtl/>
        </w:rPr>
        <w:t>דתפלין כו'.</w:t>
      </w:r>
      <w:r>
        <w:rPr>
          <w:rtl/>
        </w:rPr>
        <w:t xml:space="preserve"> רוצה לומר שהן שיעור השערות דילה וכמו שמפרש והולך והכי שעורא כו', והענין שעור הרצועות עד הלב דמשם מתחיל בחינת נוק' דיליה, תפילין של יד, ועד כאן הוא בחינת תפילין של ראש, בחינת דכורא, קשר של ראש שהראה הקב"ה למשה, ד' רברבא, ומסתיים עד לבא, ומלבא נקרא לבר מגופא, בחינת פרצוף אחר בכל פרצוף והוא בחינת נוקבא של אותו פרצוף כידוע, ותפילין של ראש הן ג"ר עם הדעת, וב' רצועות שמקיפות את הראש הן חו"ג, והקשר הוא בחינת הגוף דיליה, ת"ת, וב' רצועות עד הלב הן נו"ה, וקשר של יד הוא יסוד דביק לה, מקורא דלא פריש מן בירא לעלמין, ועלמא עילאה דדכורא הוא עלמא דאתכסיא, שכל מעשה לאה באתכסיא, והוא</w:t>
      </w:r>
      <w:r>
        <w:t xml:space="preserve"> </w:t>
      </w:r>
      <w:r>
        <w:rPr>
          <w:rtl/>
        </w:rPr>
        <w:t>בבחינות התכסות בשערות אלא שגם השערות צריך להתכסות:</w:t>
      </w:r>
    </w:p>
  </w:footnote>
  <w:footnote w:id="5551">
    <w:p w:rsidR="00A13282" w:rsidRDefault="00A13282" w:rsidP="006D2826">
      <w:pPr>
        <w:pStyle w:val="a5"/>
        <w:rPr>
          <w:rtl/>
        </w:rPr>
      </w:pPr>
      <w:r>
        <w:rPr>
          <w:rStyle w:val="a7"/>
          <w:rtl/>
        </w:rPr>
        <w:footnoteRef/>
      </w:r>
      <w:r>
        <w:rPr>
          <w:rtl/>
        </w:rPr>
        <w:t xml:space="preserve"> </w:t>
      </w:r>
      <w:r>
        <w:rPr>
          <w:b/>
          <w:bCs/>
          <w:rtl/>
        </w:rPr>
        <w:t>וכל ענפא וענפא כו'.</w:t>
      </w:r>
      <w:r>
        <w:rPr>
          <w:rtl/>
        </w:rPr>
        <w:t xml:space="preserve"> רוצה לומר שית פרקין דדרועא הן שית קני המנורה כמו שאומר לעיל סוף תיקון נ”ו, וזה שאומר </w:t>
      </w:r>
      <w:r>
        <w:rPr>
          <w:b/>
          <w:bCs/>
          <w:rtl/>
        </w:rPr>
        <w:t>דלא יהא דרועא חדא כו'.</w:t>
      </w:r>
      <w:r>
        <w:rPr>
          <w:rtl/>
        </w:rPr>
        <w:t xml:space="preserve"> רוצה לומר, בכל הפרקין, וכן בשוקין דהוא מרכבתא תניינא דוגמת מנורה עילאה, כן בז' נוקבין דרישא ג"כ ז' קני המנורה, והן בג' דרגין רב"ג, ועיין ברעיא מהימנא פ' תרומה קנ"ח א', מסטרא דעלמא דאתי כו' באמצעיתא בסופא כו' או תגא או אמצעי או שמושא כו', וזה שאומר והכי עיינין כו' והכי כו', וכן במנורה - שהקנים למעלה כולן שוות, וכן בשאר כלי המשכן, וכן בשיעור קומה דילה:</w:t>
      </w:r>
    </w:p>
  </w:footnote>
  <w:footnote w:id="5552">
    <w:p w:rsidR="00A13282" w:rsidRDefault="00A13282" w:rsidP="006D2826">
      <w:pPr>
        <w:pStyle w:val="a5"/>
        <w:rPr>
          <w:rtl/>
        </w:rPr>
      </w:pPr>
      <w:r>
        <w:rPr>
          <w:rStyle w:val="a7"/>
          <w:rtl/>
        </w:rPr>
        <w:footnoteRef/>
      </w:r>
      <w:r>
        <w:rPr>
          <w:rtl/>
        </w:rPr>
        <w:t xml:space="preserve"> </w:t>
      </w:r>
      <w:r>
        <w:rPr>
          <w:b/>
          <w:bCs/>
          <w:rtl/>
        </w:rPr>
        <w:t>*מבועא דמיא הכי צריך לאשקאה לכל אבר כו'.</w:t>
      </w:r>
      <w:r>
        <w:rPr>
          <w:rtl/>
        </w:rPr>
        <w:t xml:space="preserve"> רוצה לומר כמו שהאברים הן במדה ובמשקל, כן הנביעו דבגווייהו, ומביא ראיה שנאמר מי מדד כו', וקרא אחר באיוב ומים תכן במדה, ושם נאמר על החכמה עיין שם, והוא נביעו דביה, ואמר מי ודאי שהן מ' סאה דמקוה, ויו"ד - נביעו דבגווה, ועיין לעיל תיקון נ”ב ומה שבארנו שם, ובאותה הנקודה דבגווה אשתלימו למ"ם סאה, ועיין מה שבארנו לעיל בתיקון י”ט ל"ז ב' בארוכה, והנה המ"ם מורה דהוא ראשי תיבות מים, והוא מ"י והוא מקוה והוא מ' סאה, ובצורתו מ' סאה דמקוה בט' נקודין כו', ובנקודה דבגוה מי, ועיין מה שבארנו שם, וזהו מי מדד, ואמר </w:t>
      </w:r>
      <w:r>
        <w:rPr>
          <w:b/>
          <w:bCs/>
          <w:rtl/>
        </w:rPr>
        <w:t>ואינון ם' עילאה כו'.</w:t>
      </w:r>
      <w:r>
        <w:rPr>
          <w:rtl/>
        </w:rPr>
        <w:t xml:space="preserve"> רוצה לומר זהו מי"ם, מ"ם עלאה סתומה, עלמא דסתימא, ושכינתא תתאה - מ"ם פתוחה, וכמו שאמרו (שבת קד ע"א) מאמר פתוח מאמר סתום, והן ב' ממין, שבא"ב ומנצפ"ך, וכן מ"ם בעצמה במילוי, ומים הוא בנביעו יו"ד, נקודה הפנימית המשמשת לשניהם, וזה שכתוב (זכריה יד ח) והיה ביום ההוא יצאו מים חיים מירושלים חצים אל הים הקדמוני וחצים כו', שהן אלו ב' ממי"ן, ואמר </w:t>
      </w:r>
      <w:r>
        <w:rPr>
          <w:b/>
          <w:bCs/>
          <w:rtl/>
        </w:rPr>
        <w:t>ורזא דא מים חיים</w:t>
      </w:r>
      <w:r>
        <w:rPr>
          <w:rtl/>
        </w:rPr>
        <w:t xml:space="preserve"> רוצה לומר שע"י היו"ד הם חיים כידוע ששם מקור החיים, (קהלת ז יב) והחכמה תחיה כו', והוא הנביעו, ועיין בזוהר פ’ תצוה ק"פ א' יו"ד נקודה קדמאה קיימא על תשע סמכין דסמכין ליה ואינון קיומין לד' סטרין עלמא, כמה דסופא דמחשבה נקודה בתראה קיימא לארבע סטרי עלמא, בר דהאי דכר והאי נוק' כו' ברזא דאת </w:t>
      </w:r>
      <w:r>
        <w:rPr>
          <w:b/>
          <w:bCs/>
          <w:rtl/>
        </w:rPr>
        <w:t>ם</w:t>
      </w:r>
      <w:r>
        <w:rPr>
          <w:rtl/>
        </w:rPr>
        <w:t xml:space="preserve"> בלא עגולא ואע"ג דאת ס' כו' לעילא אינון ברבועא לתתא איהי בעגולא כו' עיין שם בדבריו ורוצה לומר לתתא במלכות דהוא דיוקנא דנקודה עלאה כמו שאומר לעיל כמה דסופא דמחשבה נקודה בתראה כו' והוא מ"ם סתומה מ"ם פתוחה, דא ברבועא ודא בעיגולא כו' כמו שאומר כאן, ואמר שם ואע"ג דאת ס' כו' כמו שאומר בפ' תרומה מ"ם וסמ"ך דאפרסמון קאמר מכל מקום בגו נקודי טהירין כו' הכל הוא ברזא דמ"ם, ואמר שם רזא תניינא את ה' כו' היכלא קדישא אקרי לגו נקודה דקאמרן, וכלא איהו ברזא דקאמרן דאת </w:t>
      </w:r>
      <w:r>
        <w:rPr>
          <w:b/>
          <w:bCs/>
          <w:rtl/>
        </w:rPr>
        <w:t>ם</w:t>
      </w:r>
      <w:r>
        <w:rPr>
          <w:rtl/>
        </w:rPr>
        <w:t xml:space="preserve"> ברבועא כו', ובפ' אחרי מות ס"ו ב' ותאנא מ"ם לא כליל בגוה אות אחרא בגין מ"ם פתוחה מ"ם סתומה, מם פתוחה דהוא כד אתחבר עמה, מ"ם סתומה - יובלא, דהא סתימין ארחהא ואע"ג דמתפשטין לזמנין כו', והנה אמר בפ' תצוה שם ואע"ג דאת ס' איהו בעגולא וקיימא בעגולא אבל ברזא דאתוון חקיק גו נקודי טהירין לעילא אינון בריבועא כו', הענין כי היא עגולא בגו רבועא כמו שאומר בריש פ’ תרומה באפרסמון, וידוע שב' ההי"ן אלו הם נגד שמים וארץ כמו שאומר בספר יצירה, וזה שאומר בספר הבהיר עגולא בגו רבועא רהיט, והוא השמים גלגל המזלות בגו נדנם ריבועא, ריבועא בגו עגולא לא רהיט והוא יסוד הארץ שהיא רבועא כמו שכתוב (ישעיהו יא יב) מארבע כנפות הארץ, ואמר בספרי הכנף לאפוקי עגולה, והיא בגו עגולא, לכן לעולם עומדת, והענין כי מ"ם וסמ"ך</w:t>
      </w:r>
      <w:r>
        <w:t xml:space="preserve"> </w:t>
      </w:r>
      <w:r>
        <w:rPr>
          <w:rtl/>
        </w:rPr>
        <w:t>הן מילוי ו"ד של יו"ד שהוא אימא עילאה, הבן בחכמה, והן סמ"ך ומ"ם (בנס כו') כמו שאומר שם, מה שאין כן בחכמה תתאה, מלכות, שהיא ה' שהיא ד' על ו', והוא מ"ם וסמ"ך, והן רזא דנקודין שהן עגולין, ואותיות שהן החיות והאופנים למעלה נקודין גו אתוון אבל למטה האותיות בכתב, והיא תורה שבעל פה על גבי רתיכאה שהן הנקודין והן סמכין דילה שהן עגולין אלא שלמטה שניהם בסוד מ"ם, והוא מ"ם ריבועא שנעלם במילוי דילה כנ"ל פ' אחרי מות מ"ם כו':</w:t>
      </w:r>
    </w:p>
  </w:footnote>
  <w:footnote w:id="5553">
    <w:p w:rsidR="00A13282" w:rsidRDefault="00A13282" w:rsidP="006D2826">
      <w:pPr>
        <w:pStyle w:val="a5"/>
        <w:rPr>
          <w:rtl/>
        </w:rPr>
      </w:pPr>
      <w:r>
        <w:rPr>
          <w:rStyle w:val="a7"/>
          <w:rtl/>
        </w:rPr>
        <w:footnoteRef/>
      </w:r>
      <w:r>
        <w:rPr>
          <w:rtl/>
        </w:rPr>
        <w:t xml:space="preserve"> </w:t>
      </w:r>
      <w:r>
        <w:rPr>
          <w:b/>
          <w:bCs/>
          <w:rtl/>
        </w:rPr>
        <w:t>ואית ענפין כו'.</w:t>
      </w:r>
      <w:r>
        <w:rPr>
          <w:rtl/>
        </w:rPr>
        <w:t xml:space="preserve"> חוזר לענין ראשון בסוד האברים עצמן, ואמר דהן שלושה מינין שכנגדן שלושה א"ב, אתוון רברבין שהן אותיות גדולות שבתורה, ואתוון זעירין שהן אותיות קטנות שבתורה, ואתוון בינונים שהן אותיות התורה כי עיקר התורה בז"א גוף התורה שהוא בגוף, ומפרש והולך שהן ג' דרגין, ג' פעמים ג' דכלילין הכל, רב"ג וכן בעש"נ ובמשכן ובעשר ספירות ובכל דבר שבעולם, ושכינתא עשירית לון דכליל כולא, ואמר </w:t>
      </w:r>
      <w:r>
        <w:rPr>
          <w:b/>
          <w:bCs/>
          <w:rtl/>
        </w:rPr>
        <w:t>עילאין אינון אבהן</w:t>
      </w:r>
      <w:r>
        <w:rPr>
          <w:rtl/>
        </w:rPr>
        <w:t xml:space="preserve"> רוצה לומר ג' כח"ב שהן אמ"ש, ג' אמות שהולידו הכל כמו שאומר בספר יצירה ובפ' תרומה, וחג"ת - ממנן, ונה"י - שליחין, כי הרגלים הן (אסתר ג טו) הרצים יצאו כו', וכן הברית (קהלת א ו) סובב סובב הולך כו', (תהלים יט ו) כגבור לרוץ אורח, ואמר </w:t>
      </w:r>
      <w:r>
        <w:rPr>
          <w:b/>
          <w:bCs/>
          <w:rtl/>
        </w:rPr>
        <w:t>וכלהו אית לון שמהן כו'.</w:t>
      </w:r>
      <w:r>
        <w:rPr>
          <w:rtl/>
        </w:rPr>
        <w:t xml:space="preserve"> רוצה לומר, הראשין יש להן שמות אחרות, וכן ממנן וכן שליחין, וג' שבכל אחד יש להן נקודה אחרת, מה שאין כן בממנן ושליחן שהן הן הנקודות בעצמן כמו שמפרש והולך, אלא שחלוקין בשמהן, וזה שאומר </w:t>
      </w:r>
      <w:r>
        <w:rPr>
          <w:b/>
          <w:bCs/>
          <w:rtl/>
        </w:rPr>
        <w:t xml:space="preserve">לאשתמודע ראשין וממנן ושליחין דתחותייהו וכל חד כו' אבר דגופא: </w:t>
      </w:r>
    </w:p>
  </w:footnote>
  <w:footnote w:id="5554">
    <w:p w:rsidR="00A13282" w:rsidRDefault="00A13282" w:rsidP="006D2826">
      <w:pPr>
        <w:pStyle w:val="a5"/>
        <w:rPr>
          <w:rtl/>
        </w:rPr>
      </w:pPr>
      <w:r>
        <w:rPr>
          <w:rStyle w:val="a7"/>
          <w:rtl/>
        </w:rPr>
        <w:footnoteRef/>
      </w:r>
      <w:r>
        <w:rPr>
          <w:rtl/>
        </w:rPr>
        <w:t xml:space="preserve"> </w:t>
      </w:r>
      <w:r>
        <w:rPr>
          <w:b/>
          <w:bCs/>
          <w:rtl/>
        </w:rPr>
        <w:t>ממנן יהו"ה מלך והכי אינון לתתא כו'.</w:t>
      </w:r>
      <w:r>
        <w:rPr>
          <w:rtl/>
        </w:rPr>
        <w:t xml:space="preserve"> אבל נקודה של הראשין מפרש והולך למטה והיה ה' למלך על כל כו', והיה ה' - או"א, יהיה ה' אחד - כתר, ונקודה של השכינה מפרש והולך שהוא חש"ק, והנה חג"ת ונה"י נקודה דלהון חד ולא אתיידעו אלא בשמהן אבל האברים של כל אחד ידוע בנקודה, מלך כו', ואמר </w:t>
      </w:r>
      <w:r>
        <w:rPr>
          <w:b/>
          <w:bCs/>
          <w:rtl/>
        </w:rPr>
        <w:t>ובג"ד כפל לון כו'.</w:t>
      </w:r>
      <w:r>
        <w:rPr>
          <w:rtl/>
        </w:rPr>
        <w:t xml:space="preserve"> רוצה לומר בתפלה כמו שאומרים אצל הספרדים וכן עשה הפיוט כל ברואי כו' ואח"כ בסיום ג' חרוזין אמר לון ביחד: </w:t>
      </w:r>
    </w:p>
  </w:footnote>
  <w:footnote w:id="5555">
    <w:p w:rsidR="00A13282" w:rsidRDefault="00A13282" w:rsidP="006D2826">
      <w:pPr>
        <w:pStyle w:val="a5"/>
        <w:rPr>
          <w:rtl/>
        </w:rPr>
      </w:pPr>
      <w:r>
        <w:rPr>
          <w:rStyle w:val="a7"/>
          <w:rtl/>
        </w:rPr>
        <w:footnoteRef/>
      </w:r>
      <w:r>
        <w:rPr>
          <w:rtl/>
        </w:rPr>
        <w:t xml:space="preserve"> </w:t>
      </w:r>
      <w:r>
        <w:rPr>
          <w:b/>
          <w:bCs/>
          <w:rtl/>
        </w:rPr>
        <w:t>לעולם ועד שכינתא ונקודה דילה כו' ראשי תיבין כתר חכמה ובינה דאינון רישין והיה כו'.</w:t>
      </w:r>
      <w:r>
        <w:rPr>
          <w:rtl/>
        </w:rPr>
        <w:t xml:space="preserve"> רוצה לומר, משום דאיהי ד' דספירות כח"ב לאינון דילה, שזהו סוד ו"ד - ד"ו פרצופים, והוא סוד ד' אותיות אדני - אי"ן ד', אלא שבה הוא בסוד נ' כפופה כמו שאומר בפ' אחרי מות שם בסוד נו"ן לכן הנו"ן באמצע התיבה, אני, וד' היא כלולה מכולם דלית לה מגרמה כלום ולכן היא נקודה בראשי תיבות של כח"ב, דכתר הוא חולם כמו שאומר לעיל בהקדמה, ות"ת הוא בנקודתו, וחו"ב הן קמ"ץ שב"א, וכמו שאומר לעיל קכ"ה ב' בארוכה רק באבותיך חש"ק כו' שהן רזא דאבהן כנ"ל וכמו שאומר בפ' שמות עבד לאברהם ברזא דחכמה וליצחק ברזא כו', ואמר דאינון רישין דלמעלה פירוש ממנן ושליחן, ורוצה לומר דלכן הוא בראשי תיבות כי בי חש"ק, כי בי הוא רזא דמ"ב שהן ז"ת כמו שאומר למטה, וחשק הוא רזא דג"ר, ולמעלה שם פירש כי בי ברזא דחש"ק, ואמר </w:t>
      </w:r>
      <w:r>
        <w:rPr>
          <w:b/>
          <w:bCs/>
          <w:rtl/>
        </w:rPr>
        <w:t>לעולם ועד שכינתא</w:t>
      </w:r>
      <w:r>
        <w:rPr>
          <w:rtl/>
        </w:rPr>
        <w:t xml:space="preserve"> רוצה לומר, דסיום דשלושה ה' מלך, שהוא לעולם ועד - הוא שכינתא, ונקודה דילה כו', והיא רביעית לכל תלת לכן היא סיומא בכל אחד, ועיין בזוהר פ’ תרומה קל"ה ב' לעולם ועד דא עלמא תתאה דאצטרך לברכא ומשחא ורבו דברוך ה', והמבורך כלא איהו לעולם ועד, וכן הוא בבשכמל"ו, ואמר </w:t>
      </w:r>
      <w:r>
        <w:rPr>
          <w:b/>
          <w:bCs/>
          <w:rtl/>
        </w:rPr>
        <w:t>והי' ה' למלך כו'</w:t>
      </w:r>
      <w:r>
        <w:rPr>
          <w:rtl/>
        </w:rPr>
        <w:t xml:space="preserve"> רוצה לומר דג' חו"ב הן בקרא דא, וכתיב והיה כו' יהיה כו', וכתיב למלך כו', שהן ג"כ מלך מלך ימלוך והן כח"ב כמו שמפרש והולך והיה ה' - חו"ב, דוהי"ה הוא ג"כ הוי"ה והן ג' הויו"ת, וה' אחד ושמו אחד - בכתר כמו שאמרו קודם שברא העולם היה הוא ושמו אחד - בכתר, דשם אחד הכל, דשירותא דזו"נ הוא בחכמה כמו שאומר באידרא זוטא, ואחד הוא ברזא די"ג תיקונין, ה' אחד בי"ג נימין, ושמו אחד בי"ג תיקונין דהוא שמו, התחלת התיקון לאתגליא, ושם (זכריה יד ז) והיה כו' לא יום ולא לילה כו', וזהו ה' אחד ושמו אחד, דלית יום אלא כו' (הגהה: ועוד יש י"ג אחד ברזא דאוירא נעלם מאד כידוע והוא נרמז בי"ג [תיבות] דקרא זה, דהוא מייחד כלא, כללא דכולא) והנה בכל אחד הוא שם י"ב בנקודות, היה הוה יהיה, אלא שנעוץ סופן כו', ועיין מה שבארנו במקום אחר, והם סוד ל"ו ל"ב - לולב, כמו שאומר בספר הבהיר שהן י"ב - בתלי וגלגל ולב - ל"ו, ושכינתא ל"ב הרי לולב כמו שבארנו שם, ה' ישב ר' אמוראי כו' ישב ר' אמוראי כו' ישב ר' ברכיה כו' ישב ר' ברכיה כו', והן בראשי תיבות לעולם ועד, כלילא דכלהון, והכל הולכין ברזין דאלו ג' שמהן דהן סגולתא, ג' טיפין, ועיין באידרא זוטא בסוד ג' הויו"ת דמ"ס ואמר שם דהכל בתלת תלת ועיין מה שבארנו במ"א ב' והן ג' פעמים ג' הכל בנקודה הנ"ל לבד שכינתא, כי בי חש"ק, והוא סופא דג' שמות הנ"ל אלא שבמקום סגול הוא שבא והוא נקודה העצמית דילה שהוא בשם אדני ועיין מה שבארנו לעיל קכ"ה ב' והנה כל נקודות דכאן הן הכל בג' אותיות, ואחרונה בלא נקודה, והן ז' שמות בז"ת, חושבן</w:t>
      </w:r>
      <w:r>
        <w:t xml:space="preserve"> </w:t>
      </w:r>
      <w:r>
        <w:rPr>
          <w:rtl/>
        </w:rPr>
        <w:t xml:space="preserve">הנקוד ב"ת, דהיא בת קול, בת דז' קלין כמו שאומר לעיל ע"ז ב', ז' קלין דמזמור הבו כו' דאב"ג ית"ץ כמו שבארנו שם אבל דג"ר לא נראה להם כמו שכתוב קול דברים שהן דג"ר, ותמונה אינכם כו', והוא ש' דשבת דג"ר, ואמר </w:t>
      </w:r>
      <w:r>
        <w:rPr>
          <w:b/>
          <w:bCs/>
          <w:rtl/>
        </w:rPr>
        <w:t>לעולם שכינתא</w:t>
      </w:r>
      <w:r>
        <w:rPr>
          <w:rtl/>
        </w:rPr>
        <w:t xml:space="preserve"> שהיא עולם דכלם, ונקודות דלעולם הן חש"ק, נקודין דילה, ולעולם הוא כסדר נקודין דילה אדנ"י, וחש"ק הוא כסדר הראשי תיבות דקרא כ"י ב"י חש"ק, כתר - חולם כו', ומלך מלך ימלוך הן מלך מלך - בימינא ושמאלא, ימלוך - באמצעיתא, וכן הוא בפסוק זה והיה ה' למלך - או"א, יהיה ה' - בכתר, ושמו אחד הוא שכינתא, רביעית לכל תלת, והיא דבוקה תמיד בקו האמצעי - אחד עמו, ולכן הוא ב’ פעמים, ימלוך ה' לעולם ועד, וכאן ה' אחד ושמו אחד, והן בכללן ג"כ שם י"ב, ג' יודין כו' כידוע ג' שמות, והן היה הוה ויהיה, ג' הויות וכמו שכתבתי במ"א ב' ונקודה דכח"ב עצמן לא פירש כאן אבל נראה שהן נקודין דחש"ק, כתר כולו חולם וכן בכלם, וכלילין במלכות, ג’ פעמים כנ"ל:</w:t>
      </w:r>
    </w:p>
  </w:footnote>
  <w:footnote w:id="5556">
    <w:p w:rsidR="00A13282" w:rsidRDefault="00A13282" w:rsidP="006D2826">
      <w:pPr>
        <w:pStyle w:val="a5"/>
        <w:rPr>
          <w:rtl/>
        </w:rPr>
      </w:pPr>
      <w:r>
        <w:rPr>
          <w:rStyle w:val="a7"/>
          <w:rtl/>
        </w:rPr>
        <w:footnoteRef/>
      </w:r>
      <w:r>
        <w:rPr>
          <w:rtl/>
        </w:rPr>
        <w:t xml:space="preserve"> </w:t>
      </w:r>
      <w:r>
        <w:rPr>
          <w:b/>
          <w:bCs/>
          <w:rtl/>
        </w:rPr>
        <w:t>ידין אינון כו' עושה כו'.</w:t>
      </w:r>
      <w:r>
        <w:rPr>
          <w:rtl/>
        </w:rPr>
        <w:t xml:space="preserve"> מלאכיו הן שלוחין, משרתיו משמשין, ואמר שם המקרה במים עליותיו שהם ג"ר מים, ג' אמצעיות אש, ג' אחרונות רוח, יסד ארץ על מכוניה - מלכות, עפר, מאנא דכולא:</w:t>
      </w:r>
    </w:p>
  </w:footnote>
  <w:footnote w:id="5557">
    <w:p w:rsidR="00A13282" w:rsidRDefault="00A13282" w:rsidP="006D2826">
      <w:pPr>
        <w:pStyle w:val="a5"/>
        <w:rPr>
          <w:rtl/>
        </w:rPr>
      </w:pPr>
      <w:r>
        <w:rPr>
          <w:rStyle w:val="a7"/>
          <w:rtl/>
        </w:rPr>
        <w:footnoteRef/>
      </w:r>
      <w:r>
        <w:rPr>
          <w:rtl/>
        </w:rPr>
        <w:t xml:space="preserve"> </w:t>
      </w:r>
      <w:r>
        <w:rPr>
          <w:b/>
          <w:bCs/>
          <w:rtl/>
        </w:rPr>
        <w:t>שליחין עלאין לקבל כו'.</w:t>
      </w:r>
      <w:r>
        <w:rPr>
          <w:rtl/>
        </w:rPr>
        <w:t xml:space="preserve"> רוצה לומר עלאין, ע"ב עילאין דמשמשין</w:t>
      </w:r>
      <w:r>
        <w:t xml:space="preserve"> </w:t>
      </w:r>
      <w:r>
        <w:rPr>
          <w:rtl/>
        </w:rPr>
        <w:t xml:space="preserve">הן לקבל כו', ואמר </w:t>
      </w:r>
      <w:r>
        <w:rPr>
          <w:b/>
          <w:bCs/>
          <w:rtl/>
        </w:rPr>
        <w:t>רישא דאילנא משמשין כו'</w:t>
      </w:r>
      <w:r>
        <w:rPr>
          <w:rtl/>
        </w:rPr>
        <w:t xml:space="preserve"> רוצה לומר רישא דאדם דהוא רישא דאילנא, והן ד' פרשיות דקריאת שמע נגד ד' אותיות הוי"ה, ד', ב' שבאילן רישא דאילן למעלה ושרשיו למטה, וגופא דאילן וענפין דיליה, וכן באדם רישא וגופא ומשמשין ושליחן, וכן בעם רישא דעמא וגוף העם ומשמשין דלהון ושליחין דלהון, ומשמשין הן ממנין להנהיג את העם, ורישא הוא מלך וכן ראש באדם מלך על כל האברים, ואית למלך משמשין דיליה שהן שופטים לשפוט ושוטרים ליסר ולרדות, והן הכל ראשים, והן נגד כח"ב, כתר - מלך על הכל, ושופטים ושוטרים - חו"ב, דהוא חכמה ומוסר, דבינה היא אם המיסרת את האדם לסור מהרע כמו שכתוב (איוב כח כח) וסור מרע בינה, (משלי ח יד) אני בינה לי גבורה, והם המשגיחין על העם כמו הראש והמוחין שאינן אלא להשגיח על האדם, וידין הן הממנין להנהיג הגוף ליקח וליתן כמו ממנן דעמא, ורגלין הן שלוחין דעמא, וכלן בהנהגה שלכן ז"ת הן הנהגת העולם ונקראים גוף, וג"ר הן להשגיח והן ראשים, וזה שאומר </w:t>
      </w:r>
      <w:r>
        <w:rPr>
          <w:b/>
          <w:bCs/>
          <w:rtl/>
        </w:rPr>
        <w:t>דאינון שופטים ושוטרים</w:t>
      </w:r>
      <w:r>
        <w:rPr>
          <w:rtl/>
        </w:rPr>
        <w:t xml:space="preserve"> </w:t>
      </w:r>
      <w:r>
        <w:rPr>
          <w:b/>
          <w:bCs/>
          <w:rtl/>
        </w:rPr>
        <w:t>כו',</w:t>
      </w:r>
      <w:r>
        <w:rPr>
          <w:rtl/>
        </w:rPr>
        <w:t xml:space="preserve"> והנה, כמו שלכלל הגוף והראש, הן ידין ורגלין ממנן ושליחין, מכל מקום יש להראש ממנן דיליה וכן לגוף ג"כ ממנן ושליחין דיליה, והן אברים הפנימים ב' כנפי ריאה במקום ב' ידים, ב' כוליין במקום ב' רגלים כמו שאומר ברעיא מהימנא, וזה שאומר </w:t>
      </w:r>
      <w:r>
        <w:rPr>
          <w:b/>
          <w:bCs/>
          <w:rtl/>
        </w:rPr>
        <w:t>גופא דאילנא ממנן ושליחן כו',</w:t>
      </w:r>
      <w:r>
        <w:rPr>
          <w:rtl/>
        </w:rPr>
        <w:t xml:space="preserve"> והנה אף שמלך הוא בראש מכל מקום מתפשט בכולם, שהן ג' חלקי האדם, רב"ג, שהם מוח לב כבד, מל"ך, וברישא הוא מלך על כסאו לשפוט, ובלב הוא כמלך על חומה להנהיג הכל, ובכבד הוא ששולח דם ומזון לכל האברים כמלך במלחמה, והן רישין וממנן ושליחין, ועיין מה שבארנו בספר יצירה: </w:t>
      </w:r>
    </w:p>
  </w:footnote>
  <w:footnote w:id="5558">
    <w:p w:rsidR="00A13282" w:rsidRDefault="00A13282" w:rsidP="006D2826">
      <w:pPr>
        <w:pStyle w:val="a5"/>
        <w:rPr>
          <w:rtl/>
        </w:rPr>
      </w:pPr>
      <w:r>
        <w:rPr>
          <w:rStyle w:val="a7"/>
          <w:rtl/>
        </w:rPr>
        <w:footnoteRef/>
      </w:r>
      <w:r>
        <w:rPr>
          <w:rtl/>
        </w:rPr>
        <w:t xml:space="preserve"> </w:t>
      </w:r>
      <w:r>
        <w:rPr>
          <w:b/>
          <w:bCs/>
          <w:rtl/>
        </w:rPr>
        <w:t>רקיע קדמאה אב"ג ית"ץ ונקודין דילי' יקו"ק דנפקין כו'.</w:t>
      </w:r>
      <w:r>
        <w:rPr>
          <w:rtl/>
        </w:rPr>
        <w:t xml:space="preserve"> הנה כאן צריך להיות כל הוי"ה מנוקד בראשי הפסוקים, וכן כל הויו"ת שבעמוד זה הכל מנוקד בנקודין דיליה, אלא שהשמיטום המדפיסים, (בדפוסים האחרונים נקדו הנקודין בהויו"ת ובפסוקים בטעות. וכאן נדפס בפנים כפי הגהתו ז"ל) והנה כל הויו"ת שבכאן אינן רק ג' נקודות בג' אותיות הראשונות, וה' אחרונה בלא ניקוד, כמו שכתבתי למעלה, ויוצאין מג' תיבות הראשונות שבפסוק, וצריך להיות כאן רק בראשית ברא אלקים לבד, וטעות המדפיס הוא שראה שבכל פסוק מביא ד' תיבות, אבל אינן אלא לידע הפסוק לבד, שיש יהי מאורות ויהי רקיע, וזה שאומר </w:t>
      </w:r>
      <w:r>
        <w:rPr>
          <w:b/>
          <w:bCs/>
          <w:rtl/>
        </w:rPr>
        <w:t>ואית תמן תמניא מבועין דנפקין מצנורא חדא כו',</w:t>
      </w:r>
      <w:r>
        <w:rPr>
          <w:rtl/>
        </w:rPr>
        <w:t xml:space="preserve"> והנה כאן תמניא ניצוצין מבינה ולמטה, כי שם הראשון הוא באמא כמו שאומר לעיל ע"ז ב', ויהי אור הוא בחסד ונכלל כאן, וז"ת - פעמים שנכללין בששה פעמים שהן שבעה, והן בחו"ג כי נוק' נכללת בדכורא בחסד, ולכן בשאר נקודין הן בששה, ופעמים בשבעה - בשני</w:t>
      </w:r>
      <w:r>
        <w:t xml:space="preserve"> </w:t>
      </w:r>
      <w:r>
        <w:rPr>
          <w:rtl/>
        </w:rPr>
        <w:t>וברביעי, מזלות הקשים, ב"ד, ורקיע בכולן הדעת דמיניה נפקין כנ"ל:</w:t>
      </w:r>
    </w:p>
  </w:footnote>
  <w:footnote w:id="5559">
    <w:p w:rsidR="00A13282" w:rsidRDefault="00A13282" w:rsidP="006D2826">
      <w:pPr>
        <w:pStyle w:val="a5"/>
        <w:rPr>
          <w:rtl/>
        </w:rPr>
      </w:pPr>
      <w:r>
        <w:rPr>
          <w:rStyle w:val="a7"/>
          <w:rtl/>
        </w:rPr>
        <w:footnoteRef/>
      </w:r>
      <w:r>
        <w:rPr>
          <w:rtl/>
        </w:rPr>
        <w:t xml:space="preserve"> </w:t>
      </w:r>
      <w:r>
        <w:rPr>
          <w:b/>
          <w:bCs/>
          <w:rtl/>
        </w:rPr>
        <w:t>דא נקוד' שביעאה ודא נקודה כליל ביומא שתיתאה.</w:t>
      </w:r>
      <w:r>
        <w:rPr>
          <w:rtl/>
        </w:rPr>
        <w:t xml:space="preserve"> רוצה לומר דשביעי נכלל ביום הששי, דששי הוא לחם משנה על יום השביעי, אשר ברא אלקים לעשות ביום השביעי ברא בששי, שלכן מעשיו כפולים, והנה מאמר הנה נתתי הוא אחרון למאמרות כמו שכתבתי במקום אחר והוא כאן שביעי דהוא עשירי ועיין לעיל ק"ז א' ומה שבארנו שם:</w:t>
      </w:r>
    </w:p>
  </w:footnote>
  <w:footnote w:id="5560">
    <w:p w:rsidR="00A13282" w:rsidRDefault="00A13282" w:rsidP="006D2826">
      <w:pPr>
        <w:pStyle w:val="a5"/>
        <w:rPr>
          <w:rtl/>
        </w:rPr>
      </w:pPr>
      <w:r>
        <w:rPr>
          <w:rStyle w:val="a7"/>
          <w:rtl/>
        </w:rPr>
        <w:footnoteRef/>
      </w:r>
      <w:r>
        <w:rPr>
          <w:rtl/>
        </w:rPr>
        <w:t xml:space="preserve"> </w:t>
      </w:r>
      <w:r>
        <w:rPr>
          <w:b/>
          <w:bCs/>
          <w:snapToGrid w:val="0"/>
          <w:rtl/>
        </w:rPr>
        <w:t>ובה מעשרין.</w:t>
      </w:r>
      <w:r>
        <w:rPr>
          <w:snapToGrid w:val="0"/>
          <w:rtl/>
        </w:rPr>
        <w:t xml:space="preserve"> והענין, כי היא עשירית מכל ספירה וספירה וצריך ליתנה לכהן, איש החסד, ברתיה דאברהם כהנא וכן נמסרה לכהן כה תברכו כו' ועיין בזוהר סוף פרשת נשא</w:t>
      </w:r>
      <w:r>
        <w:rPr>
          <w:snapToGrid w:val="0"/>
        </w:rPr>
        <w:t>:</w:t>
      </w:r>
    </w:p>
  </w:footnote>
  <w:footnote w:id="5561">
    <w:p w:rsidR="00A13282" w:rsidRDefault="00A13282" w:rsidP="006D2826">
      <w:pPr>
        <w:pStyle w:val="a5"/>
        <w:rPr>
          <w:rtl/>
        </w:rPr>
      </w:pPr>
      <w:r>
        <w:rPr>
          <w:rStyle w:val="a7"/>
          <w:rtl/>
        </w:rPr>
        <w:footnoteRef/>
      </w:r>
      <w:r>
        <w:rPr>
          <w:rtl/>
        </w:rPr>
        <w:t xml:space="preserve"> </w:t>
      </w:r>
      <w:r>
        <w:rPr>
          <w:b/>
          <w:bCs/>
          <w:rtl/>
        </w:rPr>
        <w:t>ואית שמהן דנפקין מתרין כו'.</w:t>
      </w:r>
      <w:r>
        <w:rPr>
          <w:rtl/>
        </w:rPr>
        <w:t xml:space="preserve"> הוא למנין הספירות עד עשר כמו שמפרש והולך, ועיין בתיקוני זוהר חדש:</w:t>
      </w:r>
    </w:p>
  </w:footnote>
  <w:footnote w:id="5562">
    <w:p w:rsidR="00A13282" w:rsidRDefault="00A13282" w:rsidP="006D2826">
      <w:pPr>
        <w:pStyle w:val="a5"/>
        <w:rPr>
          <w:rtl/>
        </w:rPr>
      </w:pPr>
      <w:r>
        <w:rPr>
          <w:rStyle w:val="a7"/>
          <w:rtl/>
        </w:rPr>
        <w:footnoteRef/>
      </w:r>
      <w:r>
        <w:rPr>
          <w:rtl/>
        </w:rPr>
        <w:t xml:space="preserve"> </w:t>
      </w:r>
      <w:r>
        <w:rPr>
          <w:b/>
          <w:bCs/>
          <w:rtl/>
        </w:rPr>
        <w:t>מתרין עשר כו'.</w:t>
      </w:r>
      <w:r>
        <w:rPr>
          <w:rtl/>
        </w:rPr>
        <w:t xml:space="preserve"> דג' שמות במ"ס, סגולתא - יוד הי ואו הי, ג' יודין, ג' טיפין, ג' הויות, י"ב תיקונין, וא' דכליל כולא כמו שאומר באידרא רבה והוא כלל השם, ואמר </w:t>
      </w:r>
      <w:r>
        <w:rPr>
          <w:b/>
          <w:bCs/>
          <w:rtl/>
        </w:rPr>
        <w:t>בהאי שמא כו'</w:t>
      </w:r>
      <w:r>
        <w:rPr>
          <w:rtl/>
        </w:rPr>
        <w:t xml:space="preserve"> </w:t>
      </w:r>
      <w:r>
        <w:rPr>
          <w:b/>
          <w:bCs/>
          <w:rtl/>
        </w:rPr>
        <w:t>תמן רון כו'</w:t>
      </w:r>
      <w:r>
        <w:rPr>
          <w:rtl/>
        </w:rPr>
        <w:t xml:space="preserve"> רוצה לומר דד' שמהן כלילין בו והן ד' פרצופין דכלילין בשם הוי"ה דכלילין הכל בו דהוא שורש להם, </w:t>
      </w:r>
      <w:r>
        <w:rPr>
          <w:b/>
          <w:bCs/>
          <w:rtl/>
        </w:rPr>
        <w:t>אח</w:t>
      </w:r>
      <w:r>
        <w:rPr>
          <w:rtl/>
        </w:rPr>
        <w:t xml:space="preserve"> - עמודא דאמצעיתא, </w:t>
      </w:r>
      <w:r>
        <w:rPr>
          <w:b/>
          <w:bCs/>
          <w:rtl/>
        </w:rPr>
        <w:t>ציץ</w:t>
      </w:r>
      <w:r>
        <w:rPr>
          <w:rtl/>
        </w:rPr>
        <w:t xml:space="preserve"> - אבא, קודש לה' כידוע, </w:t>
      </w:r>
      <w:r>
        <w:rPr>
          <w:b/>
          <w:bCs/>
          <w:rtl/>
        </w:rPr>
        <w:t>אביר</w:t>
      </w:r>
      <w:r>
        <w:rPr>
          <w:rtl/>
        </w:rPr>
        <w:t xml:space="preserve"> - אימא, אביר יעקב, תוקפא דיליה, </w:t>
      </w:r>
      <w:r>
        <w:rPr>
          <w:b/>
          <w:bCs/>
          <w:rtl/>
        </w:rPr>
        <w:t>רון</w:t>
      </w:r>
      <w:r>
        <w:rPr>
          <w:rtl/>
        </w:rPr>
        <w:t xml:space="preserve"> - אימא תתאה, רנו ליעקב, כנפי החיות, ציצית כמו שאומר בספר הבהיר וברעיא מהימנא, ואמר </w:t>
      </w:r>
      <w:r>
        <w:rPr>
          <w:b/>
          <w:bCs/>
          <w:rtl/>
        </w:rPr>
        <w:t>כל שמא דאיהו כו' ברזא דאלף,</w:t>
      </w:r>
      <w:r>
        <w:rPr>
          <w:rtl/>
        </w:rPr>
        <w:t xml:space="preserve"> דאלף - עשורא דיליה י"ב, וב' דרגין הן י"ב ומ"ה, ג' חיוון ואדם כמו שאומר</w:t>
      </w:r>
      <w:r>
        <w:t xml:space="preserve"> </w:t>
      </w:r>
      <w:r>
        <w:rPr>
          <w:rtl/>
        </w:rPr>
        <w:t xml:space="preserve">למעלה וכמו שאומר בתיקון כ’, בסוד י"ב מ"ה והן עישורין דאלף ואמת והוא חותמו באחד, ואמר </w:t>
      </w:r>
      <w:r>
        <w:rPr>
          <w:b/>
          <w:bCs/>
          <w:rtl/>
        </w:rPr>
        <w:t>דאיהו פלא</w:t>
      </w:r>
      <w:r>
        <w:rPr>
          <w:rtl/>
        </w:rPr>
        <w:t xml:space="preserve"> רוצה לומר דאלף הוא בכתר דהוא פלא, במופלא ממך, וזה שאומר </w:t>
      </w:r>
      <w:r>
        <w:rPr>
          <w:b/>
          <w:bCs/>
          <w:rtl/>
        </w:rPr>
        <w:t>ועליה אתמר על כי נוראות כו',</w:t>
      </w:r>
      <w:r>
        <w:rPr>
          <w:rtl/>
        </w:rPr>
        <w:t xml:space="preserve"> רוצה לומר בכתר, ואמר</w:t>
      </w:r>
      <w:r>
        <w:rPr>
          <w:b/>
          <w:bCs/>
          <w:rtl/>
        </w:rPr>
        <w:t xml:space="preserve"> ותרין עשר שמהן אינון אא"חצצ"ביה"הרו"ן וגו' כל חד כו',</w:t>
      </w:r>
      <w:r>
        <w:rPr>
          <w:rtl/>
        </w:rPr>
        <w:t xml:space="preserve"> רוצה לומר י"ב שמות הן, כל אחד מי"ב אותיות, והן עשר אותיות אאח"צצבירו"ן, וב' אותיות משם הוי"ה בשם הראשון זכרים י"ו בראש השם, וכאן ב' נקבות ה"ה בסוף השם קודם רון שהוא סיום השם כידוע, והן י"ב אנפין, שפעם י"ה, ועוד י"ה יו"ד עם ה' עלאה, ויוד עם ה' תתאה, וכן בכולם, והן י"ב כידוע שכל צירופים מב' אותיות בשם</w:t>
      </w:r>
      <w:r>
        <w:t xml:space="preserve"> </w:t>
      </w:r>
      <w:r>
        <w:rPr>
          <w:rtl/>
        </w:rPr>
        <w:t xml:space="preserve">ד' אותיות הן י"ב צרופים, כל אות עם ג' וכמו שאומר בספר יצירה בסוד רל"א פנים ואחור, והנה עשר אותיות הם שורש לעשר ספירות, וב' אותיות משם הוי"ה - ב' ראשין דעל גבי כתר, שהן ג' ראשין, ואמר </w:t>
      </w:r>
      <w:r>
        <w:rPr>
          <w:b/>
          <w:bCs/>
          <w:rtl/>
        </w:rPr>
        <w:t>ואינון ממנן על תרין עשר צינורין כו'</w:t>
      </w:r>
      <w:r>
        <w:rPr>
          <w:rtl/>
        </w:rPr>
        <w:t xml:space="preserve"> רוצה לומר כל שם על צינור אחד, וידוע כי כל ענף הוא במנין השורש ולכן כל שם הוא צינור אחד גם כן י"ב, ועיין לעיל ל"ח א' וסוף תיקון כ’ ומה שבארנו שם ושם, ומה שאמר </w:t>
      </w:r>
      <w:r>
        <w:rPr>
          <w:b/>
          <w:bCs/>
          <w:rtl/>
        </w:rPr>
        <w:t>ואינון מסט' דא"א דאיהו וא"ו</w:t>
      </w:r>
      <w:r>
        <w:rPr>
          <w:rtl/>
        </w:rPr>
        <w:t xml:space="preserve"> רוצה לומר כמו שאומר לעיל קכ"ב ב' קכ"ח ב', דא' הוא ארך אפים, בב' ווין דאינון י"ב, והן י"ב השמות האלו, </w:t>
      </w:r>
      <w:r>
        <w:rPr>
          <w:b/>
          <w:bCs/>
          <w:rtl/>
        </w:rPr>
        <w:t>ואינון</w:t>
      </w:r>
      <w:r>
        <w:rPr>
          <w:rtl/>
        </w:rPr>
        <w:t xml:space="preserve"> רוצה לומר כל שם הוא ב' ה"א, וזה שאומר ואינון ה"א ה"א, ואמר </w:t>
      </w:r>
      <w:r>
        <w:rPr>
          <w:b/>
          <w:bCs/>
          <w:rtl/>
        </w:rPr>
        <w:t>יוד איהו כו'</w:t>
      </w:r>
      <w:r>
        <w:rPr>
          <w:rtl/>
        </w:rPr>
        <w:t xml:space="preserve"> רוצה לומר חושבן יו"ד מלא הוא כ' דהוא כתר על כולם דהוא מקור עלאה דלית ליה סוף, דנפקין מיניה כנ"ל, ואמר </w:t>
      </w:r>
      <w:r>
        <w:rPr>
          <w:b/>
          <w:bCs/>
          <w:rtl/>
        </w:rPr>
        <w:t>ברישא דאלף</w:t>
      </w:r>
      <w:r>
        <w:rPr>
          <w:rtl/>
        </w:rPr>
        <w:t xml:space="preserve"> רוצה לומר, שבתוך ב' ווין שהוא ארך אפים בהון בב' פנים, וכ' עם א' הוא אהי"ה שהוא הכתר. ואמר </w:t>
      </w:r>
      <w:r>
        <w:rPr>
          <w:b/>
          <w:bCs/>
          <w:rtl/>
        </w:rPr>
        <w:t>א' איהי אורייתא כו'</w:t>
      </w:r>
      <w:r>
        <w:rPr>
          <w:rtl/>
        </w:rPr>
        <w:t xml:space="preserve"> רוצה לומר והיו"ד הוא כתר תורה כמו שמפרש והולך וכמה כתרין אינון, כתר כו' ועיין מה שבארנו שם, וה"א ה"א ב’ פעמים - ה' דיברן בב' לוחין, וא' א' הוא ב' דבורין דכלילין עשר, ועיין לעיל ריש תיקון כ”ב, וכל זה דהוא כתר תורה כנ"ל, וזה שאומר </w:t>
      </w:r>
      <w:r>
        <w:rPr>
          <w:b/>
          <w:bCs/>
          <w:rtl/>
        </w:rPr>
        <w:t>ואית כתרא דז"א כו'</w:t>
      </w:r>
      <w:r>
        <w:rPr>
          <w:rtl/>
        </w:rPr>
        <w:t xml:space="preserve"> והוא כתר כהונה, דהוא בסוד כהן כידוע. ואמר </w:t>
      </w:r>
      <w:r>
        <w:rPr>
          <w:b/>
          <w:bCs/>
          <w:rtl/>
        </w:rPr>
        <w:t>דאתמר כתר לי זעיר כו'</w:t>
      </w:r>
      <w:r>
        <w:rPr>
          <w:rtl/>
        </w:rPr>
        <w:t xml:space="preserve"> רוצה לומר כתר דזעיר, ורוצה לומר דכל מה שאמרתי לך עד הנה הוא בתחתונים דז"א שאמר הן כל אלה יפעל אל פעמים כו' וכיוצא אבל אם תמלל עמי בכתר זעיר ואחוך עוד מלים וכמו שאומר שם אשא דעי למרחוק כו' שהוא בכתר כמו שאומר לעיל קכ"ו א'. ואמר </w:t>
      </w:r>
      <w:r>
        <w:rPr>
          <w:b/>
          <w:bCs/>
          <w:rtl/>
        </w:rPr>
        <w:t>וכמה כתרין כו'</w:t>
      </w:r>
      <w:r>
        <w:rPr>
          <w:rtl/>
        </w:rPr>
        <w:t xml:space="preserve"> שהן ג' דרגין אהי"ה כו', ג' דרגין כתר זו"נ, דכלילין כולא, כי או"א נכללין בכתר כידוע וכמו שאומר באידרא זוטא דאינון במזלא אתכלילן ועיין לעיל קכ"ב א':</w:t>
      </w:r>
    </w:p>
  </w:footnote>
  <w:footnote w:id="5563">
    <w:p w:rsidR="00A13282" w:rsidRDefault="00A13282" w:rsidP="006D2826">
      <w:pPr>
        <w:pStyle w:val="a5"/>
        <w:rPr>
          <w:rtl/>
        </w:rPr>
      </w:pPr>
      <w:r>
        <w:rPr>
          <w:rStyle w:val="a7"/>
          <w:rtl/>
        </w:rPr>
        <w:footnoteRef/>
      </w:r>
      <w:r>
        <w:rPr>
          <w:rtl/>
        </w:rPr>
        <w:t xml:space="preserve"> </w:t>
      </w:r>
      <w:r>
        <w:rPr>
          <w:b/>
          <w:bCs/>
          <w:rtl/>
        </w:rPr>
        <w:t xml:space="preserve">מאי אית כו' מסט' דאלף כו'. </w:t>
      </w:r>
      <w:r>
        <w:rPr>
          <w:rtl/>
        </w:rPr>
        <w:t xml:space="preserve">רוצה לומר דכתר ועטרה הוא ב' ענינים, כתר הוא א' דהוא יו"ד מלא, ועטרה הוא יו"ד פשוט, ולכן כתר הוא כ', וכן הוא אהי"ה - כ' עם האלף עצמו כנ"ל, וכל עטרה הוא בצורת יוד פשוט כמו עטרת הברית כמו שמפרש והולך. ואמר </w:t>
      </w:r>
      <w:r>
        <w:rPr>
          <w:b/>
          <w:bCs/>
          <w:rtl/>
        </w:rPr>
        <w:t>א' מן אדנ"י כתר דז"א</w:t>
      </w:r>
      <w:r>
        <w:rPr>
          <w:rtl/>
        </w:rPr>
        <w:t xml:space="preserve"> אע"ג דאדני הוא במלכות, יש אדני למעלה ועיין לעיל ק"ל א</w:t>
      </w:r>
      <w:r>
        <w:t>'</w:t>
      </w:r>
      <w:r>
        <w:rPr>
          <w:rtl/>
        </w:rPr>
        <w:t xml:space="preserve"> ומה שבארנו קי"ט א', והנה עטרת וכתר הן י"א שהן בימינא ושמאלא באו"א וכתר כליל לון כמו שאומר לעיל קכ"ב א' שכל שם דמתחיל ביו"ד - באבא, ובא' - באימא, וכתר כליל לון, וזה שאומר כאן א' מן אהי"ה, א' מן אדנ"י - כתר, י' מן הוי"ה - עטרה, ואדני כליל שניהם א' בראשה ויו"ד בסופה, ועיין ברעיא מהימנא פ' נשא, וכל זה הוא בכתר כנ"ל, והן ב' עטרין דכתר, ב' כתרים דנעשה ונשמע, שהן ד' בתים דתפילין, ב' אחסנתין דאו"א וב' עטרין דכתר כמו שאומר באידרא זוטא, וכן ב' אחסנתין דאו"א הם ג"כ יהו"ה אהי"ה שהן ג"כ י"א וזה שאומר למטה ה' אלקינו ה' אחד, ה' אלקינו באו"א כידוע, ה' אחד בכתר דתמן ה' ושמו עטרה וכתר, והוא שם הקדוש י' א' י' א' הידוע שהוא שם כ"ב נגד כ"ב אתוון, ושרשן אהו"י דבד' אותיות אהו"י נכלל כולם ואמר </w:t>
      </w:r>
    </w:p>
  </w:footnote>
  <w:footnote w:id="5564">
    <w:p w:rsidR="00A13282" w:rsidRDefault="00A13282" w:rsidP="006D2826">
      <w:pPr>
        <w:pStyle w:val="a5"/>
        <w:rPr>
          <w:rtl/>
        </w:rPr>
      </w:pPr>
      <w:r>
        <w:rPr>
          <w:rStyle w:val="a7"/>
          <w:rtl/>
        </w:rPr>
        <w:footnoteRef/>
      </w:r>
      <w:r>
        <w:rPr>
          <w:rtl/>
        </w:rPr>
        <w:t xml:space="preserve"> </w:t>
      </w:r>
      <w:r>
        <w:rPr>
          <w:b/>
          <w:bCs/>
          <w:rtl/>
        </w:rPr>
        <w:t>יוד מן יקו"ק כו'</w:t>
      </w:r>
      <w:r>
        <w:rPr>
          <w:rtl/>
        </w:rPr>
        <w:t xml:space="preserve"> מפרש והולך ב' יודין, יוד מן קוי"ק הוא עטרה בראש ספר תורה דהוא ו' ספר תורה הוי"ה, ויו"ד דאדני הוא עטרה בראש צדיק דהיא בחינה אחרונה דידה דשריא בראש צדיק, אבן מאסו הבונים כו', והן ב' יודין וב' אלפין דכלילין בג' שמות אלו הכוללים הכל, והוא שם י' א' י' א' דלקמן כנ"ל, והן ד' בתים דתפילין דכלילין בג', והנה הא' היא נוק' כנ"ל ואע"ג דהוא בכתר הוא דרגא דנוק' דשם, ועיין לעיל קי"ט א' שכתבתי שם דבמ"ס, דו"נ דשם אינון הוי"ה אדני מלא, וכל כתר הוא בסטרא דנוק', ונוק' דמ"ס הוא כתר דז"א, וזה שאומר א' מן אדנ"י הוא כתר דז"א, וכן באימא דגם כן כלילה מזו"נ. ואמר</w:t>
      </w:r>
    </w:p>
  </w:footnote>
  <w:footnote w:id="5565">
    <w:p w:rsidR="00A13282" w:rsidRDefault="00A13282" w:rsidP="006D2826">
      <w:pPr>
        <w:pStyle w:val="a5"/>
        <w:rPr>
          <w:rtl/>
        </w:rPr>
      </w:pPr>
      <w:r>
        <w:rPr>
          <w:rStyle w:val="a7"/>
          <w:rtl/>
        </w:rPr>
        <w:footnoteRef/>
      </w:r>
      <w:r>
        <w:rPr>
          <w:rtl/>
        </w:rPr>
        <w:t xml:space="preserve"> </w:t>
      </w:r>
      <w:r>
        <w:rPr>
          <w:b/>
          <w:bCs/>
          <w:rtl/>
        </w:rPr>
        <w:t>לית ספירה דלא אית ליה עטרה וכתר.</w:t>
      </w:r>
      <w:r>
        <w:rPr>
          <w:rtl/>
        </w:rPr>
        <w:t xml:space="preserve"> שהן ב' בחינות שבכתר, דו"נ, גלגלתא ומ"ס, עתיק יומין וא"א, והן ב' כתרים דנכתרו ישראל, ועיין לעיל קכ"ב א' דהוא מסטרא דאו"א, ולכן אמר עטרה קודם לכתר, דיו"ד הוא מסטרא דדכורא כנ"ל. ואמר </w:t>
      </w:r>
      <w:r>
        <w:rPr>
          <w:b/>
          <w:bCs/>
          <w:rtl/>
        </w:rPr>
        <w:t xml:space="preserve">ועטרה דאיהי יוד איהי עטרה כו' </w:t>
      </w:r>
      <w:r>
        <w:rPr>
          <w:rtl/>
        </w:rPr>
        <w:t>דמסטרא דא הוא מאה ברכות, יו"ד דאדני, בחינה אחרונה שבה שנקראת ברכה, יו"ד דאפריון, ועיין בריש פ’ תרומה ובאתר תרין אתוון ס"מ - קיימא י' אפריון, ברזא דברית דאיהו זמין לנטלא כלא, רזא דא דאינון מאה</w:t>
      </w:r>
      <w:r>
        <w:t xml:space="preserve"> </w:t>
      </w:r>
      <w:r>
        <w:rPr>
          <w:rtl/>
        </w:rPr>
        <w:t xml:space="preserve">ברכאין, שתין וארבעין כו', ואת יוד איהו אשלים לרזא דמאה כגוונא דלעילא, ועל דא - דא אפרסמון ודא אפריון, והנה ס"ם דאפרסמון הוא יוד מלא, דאתכליל ו"ד ביו"ד, וכמו שאומר שם שתין לקבל שית סטרין כו' ארבעין לקבל ד' סטרי עלמא, והן ו"ד, שמים וארץ, שמים - שית סטרין, וארץ - ד' סטרין, (ישעיהו יא יב) מארבע כנפות הארץ, והוא יו"ד פעמים יו"ד, והוא יו"ד מלא דהוא באת אלף כנ"ל, ולכן שם אפרסמון ואפריון הוא עטרה באת יוד פשוט ומכל מקום נכלל ג"כ למאה כנ"ל דאשלים לרזא דמאה כגוונא דלעילא שמקבל מהם וכמו שמפרש והולך כאן </w:t>
      </w:r>
      <w:r>
        <w:rPr>
          <w:b/>
          <w:bCs/>
          <w:rtl/>
        </w:rPr>
        <w:t>עשר זמנין עשר מאה</w:t>
      </w:r>
      <w:r>
        <w:rPr>
          <w:rtl/>
        </w:rPr>
        <w:t xml:space="preserve">: </w:t>
      </w:r>
    </w:p>
  </w:footnote>
  <w:footnote w:id="5566">
    <w:p w:rsidR="00A13282" w:rsidRDefault="00A13282" w:rsidP="006D2826">
      <w:pPr>
        <w:pStyle w:val="a5"/>
        <w:rPr>
          <w:rtl/>
        </w:rPr>
      </w:pPr>
      <w:r>
        <w:rPr>
          <w:rStyle w:val="a7"/>
          <w:rtl/>
        </w:rPr>
        <w:footnoteRef/>
      </w:r>
      <w:r>
        <w:rPr>
          <w:rtl/>
        </w:rPr>
        <w:t xml:space="preserve"> </w:t>
      </w:r>
      <w:r>
        <w:rPr>
          <w:b/>
          <w:bCs/>
          <w:rtl/>
        </w:rPr>
        <w:t>ואיהו על דכל פקודא ופקודא וכמה על אינון דסלקין כו'.</w:t>
      </w:r>
      <w:r>
        <w:rPr>
          <w:rtl/>
        </w:rPr>
        <w:t xml:space="preserve"> רוצה לומר, על דכל ברכה, אקב"ו על מצות ציצית, וכן בכל מצוה, וכן בכל ברכה, וזה שאומר וכמה על אינון כו', ועל הוא חושבן מאה, ועיין לעיל תיקון ל”ט וצונו על כו' דאינון מאה ברכאין בחושבן על, דאת יוד בק' אסתלק למאה כו'. ואמר </w:t>
      </w:r>
      <w:r>
        <w:rPr>
          <w:b/>
          <w:bCs/>
          <w:rtl/>
        </w:rPr>
        <w:t>וכל ספירין סלקין כו'</w:t>
      </w:r>
      <w:r>
        <w:rPr>
          <w:rtl/>
        </w:rPr>
        <w:t xml:space="preserve"> דספירין הן עשר וכאשר נכללין ביוד הן מאה וכאשר נכללין באלף שהוא אלף הן עשר אלפין, וזה שאומר בפרק ה' דספרא דצניעותא יו"ד שלים ולא שלים, י' בלחודוהי מאה כו', י' בלחודוי כד אתגליא בזעירא אתמשיך בעשר אלפין שנין, ועיין מה שבארנו שם. ואמר </w:t>
      </w:r>
      <w:r>
        <w:rPr>
          <w:b/>
          <w:bCs/>
          <w:rtl/>
        </w:rPr>
        <w:t>ואית לעילא כו'.</w:t>
      </w:r>
      <w:r>
        <w:rPr>
          <w:rtl/>
        </w:rPr>
        <w:t xml:space="preserve"> רוצה לומר אע"ג דאלף למעלה מן יוד, דלכן הוא במספר אלפים, ולמעלה אמר דאלף איהו נוק', א' דאהיה, א' דאדני, אמר ואית לעילא כו' - והוא נוק' לגביה, ולכן כל כתר הוא נוק', וכן זה שאמר למטה וכן באלף אתקרי אלקינו אהיה כו' ועוד כתר עלאה כו' רוצה לומר אע"ג דאלו שמות אלקינו אהיה המתחילים באלף הוא בנוק' כמו שאומר לעיל קכ"ב א' וזה שאומר והא אוקמוהו רוצה לומר שם כמו שאומר שם א' איהו כתר על כלהו שמהן ואיהו אתקרי אל אהי"ה אדנ"י אלקים, יו"ד ביה אתקרי כו' כלהו שמהן דפתחין כו' לכן אמר ועוד כתר עלאה אע"ג דאיהו אור כו' אוכם כו' והוא נקרא נהורא אוכמא, שחורה אני ונאוה וכמו שאומר לעיל בכמה מקומות, וזה שאומר באלף אתקרי אל עליון, ביו"ד יהו"ה, דאל עליון הוא בכתר גבוה והוי"ה בז"א מכל מקום הוא בנוק', וזה שאומר וכן בא' אתקרי כו' הכל בסטרא דנוק', ואמר </w:t>
      </w:r>
      <w:r>
        <w:rPr>
          <w:b/>
          <w:bCs/>
          <w:rtl/>
        </w:rPr>
        <w:t>וכמה אתוון אית כו'</w:t>
      </w:r>
      <w:r>
        <w:rPr>
          <w:rtl/>
        </w:rPr>
        <w:t xml:space="preserve"> והן הידועים לסופרים כמו שכתב הרמב"ם (הלכות תפילין פ"ז ה"ח), ותגין דשעטנ"ז ג"ץ הן כ"א כתרים, מנין אהי"ה, והן הכתרים דאכתרו לישראל כמו שאומר בריש ספרא דצניעותא וכמו שאומר בתרגום אונקלוס (שמות לג ה) עדיך זיונך, ועטרין הן היודין שעל האותיות כמו יודין שעל שינין ועיינין וכיוצא, ובשינין ועיינין וכן כל שעטנז גץ הן מעוטרין ומוכתרין, ואלף הוא מעוטר, וכן ו' וכיוצא, ויש תגין בלא עיטרין - שאר האותיות המתויגין כמו שאומר בשימושא רבא ושאר פוסקים, ואמר </w:t>
      </w:r>
      <w:r>
        <w:rPr>
          <w:b/>
          <w:bCs/>
          <w:rtl/>
        </w:rPr>
        <w:t>ומאלין עלאין כו'</w:t>
      </w:r>
      <w:r>
        <w:rPr>
          <w:rtl/>
        </w:rPr>
        <w:t xml:space="preserve"> רוצה לומר מהעטרות והכתרים שהן י"א כמו שמפרש והולך דאינון י"א כו', ואמר </w:t>
      </w:r>
      <w:r>
        <w:rPr>
          <w:b/>
          <w:bCs/>
          <w:rtl/>
        </w:rPr>
        <w:t>ואינון י' א' י' א' כו'</w:t>
      </w:r>
      <w:r>
        <w:rPr>
          <w:rtl/>
        </w:rPr>
        <w:t xml:space="preserve"> הכל כנ"ל, ואמר </w:t>
      </w:r>
      <w:r>
        <w:rPr>
          <w:b/>
          <w:bCs/>
          <w:rtl/>
        </w:rPr>
        <w:t>לית נהורא קיימא קמיה כו'</w:t>
      </w:r>
      <w:r>
        <w:rPr>
          <w:rtl/>
        </w:rPr>
        <w:t xml:space="preserve"> רוצה לומר לפני עלת העלות, וזהו על דכל ברכאין, שהן מאלין עלאין, וזה שאמר להלן </w:t>
      </w:r>
      <w:r>
        <w:rPr>
          <w:b/>
          <w:bCs/>
          <w:rtl/>
        </w:rPr>
        <w:t>ומאלין עלאין נחתין ברכאין כו'</w:t>
      </w:r>
      <w:r>
        <w:rPr>
          <w:rtl/>
        </w:rPr>
        <w:t xml:space="preserve"> ולכן צריך לומר בכל ברכה ה' אלקינו שהן י"א דמנהון נחתין ברכאין, ואמר </w:t>
      </w:r>
      <w:r>
        <w:rPr>
          <w:b/>
          <w:bCs/>
          <w:rtl/>
        </w:rPr>
        <w:t>וכל חיילין דתליין מיניה כו'</w:t>
      </w:r>
      <w:r>
        <w:rPr>
          <w:rtl/>
        </w:rPr>
        <w:t xml:space="preserve"> דכל נימא ונימא הוא מלאך כמו שאומר לעיל קכ"א ב' וריש תיקון י”ח, והן בגלגלת דהוא כתר, והוא הדין לכתר עליון נגד עלת העלות:</w:t>
      </w:r>
    </w:p>
  </w:footnote>
  <w:footnote w:id="5567">
    <w:p w:rsidR="00A13282" w:rsidRDefault="00A13282" w:rsidP="006D2826">
      <w:pPr>
        <w:pStyle w:val="a5"/>
        <w:rPr>
          <w:rtl/>
        </w:rPr>
      </w:pPr>
      <w:r>
        <w:rPr>
          <w:rStyle w:val="a7"/>
          <w:rtl/>
        </w:rPr>
        <w:footnoteRef/>
      </w:r>
      <w:r>
        <w:rPr>
          <w:rtl/>
        </w:rPr>
        <w:t xml:space="preserve"> </w:t>
      </w:r>
      <w:r>
        <w:rPr>
          <w:b/>
          <w:bCs/>
          <w:rtl/>
        </w:rPr>
        <w:t>ודא איהו כי גבוה מעל כו'.</w:t>
      </w:r>
      <w:r>
        <w:rPr>
          <w:rtl/>
        </w:rPr>
        <w:t xml:space="preserve"> רוצה לומר, אהי"ה מלא הוא גבוה מעל גבוה על עשר ספירות דאינון גבוה, וגבוהים עליהם - ב' הויות שמפרש והולך ואינון נגד ג' רישין, ואמר </w:t>
      </w:r>
      <w:r>
        <w:rPr>
          <w:b/>
          <w:bCs/>
          <w:rtl/>
        </w:rPr>
        <w:t>עשר נהורין בעשר,</w:t>
      </w:r>
      <w:r>
        <w:rPr>
          <w:rtl/>
        </w:rPr>
        <w:t xml:space="preserve"> דס"ג בגו מ"ה, וכן הכף, כ', עשרים שהוא כ', כתר, יו"ד מלא, ב’ פעמים עשר, דמילוי יוד ודפשוטו, עשר גו עשר, וכן אלו ב' הויות ועשר דאהי"ה הוא יו"ד פשוט, י' אותיות שהן עטרה וכתר, ואלו ג' שורש לכל עטרה וכתר ומתלבשין זה בגו זה, הוי"ה דאלפין בגו אהי"ה דאלפין, והן דומין ג' אלפין כו', ואח"כ הוי"ה גו הוי"ה דאלף דס"ג שורש לשם מ"ה וביה מתלבש בו, ועיין מה שבארנו לעיל קי"ט א' ומה שבארנו שם, </w:t>
      </w:r>
      <w:r>
        <w:rPr>
          <w:rFonts w:hAnsi="Courier New"/>
          <w:rtl/>
        </w:rPr>
        <w:t xml:space="preserve">ואמר </w:t>
      </w:r>
      <w:r>
        <w:rPr>
          <w:rFonts w:hAnsi="Courier New"/>
          <w:b/>
          <w:bCs/>
          <w:rtl/>
        </w:rPr>
        <w:t>ושמהן אלין אינון צנורין כו'</w:t>
      </w:r>
      <w:r>
        <w:rPr>
          <w:rFonts w:hAnsi="Courier New"/>
          <w:rtl/>
        </w:rPr>
        <w:t xml:space="preserve"> רוצה לומר התתאין הן צנורין שהן האברים, ושמהן דעלייהו נביעין כו', וזה שאומר וכל צנורין אינון כו':</w:t>
      </w:r>
    </w:p>
  </w:footnote>
  <w:footnote w:id="5568">
    <w:p w:rsidR="00A13282" w:rsidRDefault="00A13282" w:rsidP="006D2826">
      <w:pPr>
        <w:pStyle w:val="a5"/>
        <w:rPr>
          <w:rtl/>
        </w:rPr>
      </w:pPr>
      <w:r>
        <w:rPr>
          <w:rStyle w:val="a7"/>
          <w:rtl/>
        </w:rPr>
        <w:footnoteRef/>
      </w:r>
      <w:r>
        <w:rPr>
          <w:rtl/>
        </w:rPr>
        <w:t xml:space="preserve"> </w:t>
      </w:r>
      <w:r>
        <w:rPr>
          <w:b/>
          <w:bCs/>
          <w:rtl/>
        </w:rPr>
        <w:t>ובמדה ובתקלא הה"ד כו' כל חד כו'</w:t>
      </w:r>
      <w:r>
        <w:rPr>
          <w:rtl/>
        </w:rPr>
        <w:t xml:space="preserve"> רוצה לומר, דמפסוק זה מוכח דכל חד מקבל כו', וזה שאומר והא אוקמוהו כל חד כו', ומיניה מוכח דגם האברים שהם הצינורות ג"כ לפי מדה, ואמר </w:t>
      </w:r>
      <w:r>
        <w:rPr>
          <w:b/>
          <w:bCs/>
          <w:rtl/>
        </w:rPr>
        <w:t>ואית נביעו לעילא דל"ל כו'</w:t>
      </w:r>
      <w:r>
        <w:rPr>
          <w:rtl/>
        </w:rPr>
        <w:t xml:space="preserve"> הוא נביעו דכתרא עלאה מקור דלית ליה סוף, ואמר </w:t>
      </w:r>
      <w:r>
        <w:rPr>
          <w:b/>
          <w:bCs/>
          <w:rtl/>
        </w:rPr>
        <w:t>והא אוקמוה</w:t>
      </w:r>
      <w:r>
        <w:rPr>
          <w:rtl/>
        </w:rPr>
        <w:t xml:space="preserve"> למעלה בסוף תיקון כ”ב ועיין לעיל קכ"א א', ועיקרו במאמר קו המדה עיין שם, אבל הגירסה הנכונה </w:t>
      </w:r>
    </w:p>
  </w:footnote>
  <w:footnote w:id="5569">
    <w:p w:rsidR="00A13282" w:rsidRDefault="00A13282" w:rsidP="006D2826">
      <w:pPr>
        <w:pStyle w:val="a5"/>
        <w:rPr>
          <w:rtl/>
        </w:rPr>
      </w:pPr>
      <w:r>
        <w:rPr>
          <w:rStyle w:val="a7"/>
          <w:rtl/>
        </w:rPr>
        <w:footnoteRef/>
      </w:r>
      <w:r>
        <w:rPr>
          <w:rtl/>
        </w:rPr>
        <w:t xml:space="preserve"> </w:t>
      </w:r>
      <w:r>
        <w:rPr>
          <w:b/>
          <w:bCs/>
          <w:rtl/>
        </w:rPr>
        <w:t>דעלייהו נביעין דנחתין לצינורין הה"ד ומים תכן כו' דלית ליה מדה ושיעור ומשקל וכל צינורין אינון אברים דשיעור כו' ובתקלא הה"ד לא תעשו עול כו'. ובמשורה והא אוקמוה במדה בחמש כו'.</w:t>
      </w:r>
      <w:r>
        <w:rPr>
          <w:rtl/>
        </w:rPr>
        <w:t xml:space="preserve"> וחמש תיקונין דה' עילאה הוא ה' מדות דילה, מי מדד בשעלו מים, ושמים כו', כמו שאומר לעיל בריש תיקון ה’ וסוף תיקון י”ח וריש תיקון י”ט ושאר מקומות, והן ה' אור, ובמשורה - ה' גוונין דמקבלת מה' עילאה ונעשית היא מדה כמו שאומר לעיל בתיקון ה’, וענין במדה, שבמדה עצמה, במדדו, שלא יעשה עול, והוא בנביעו דצינורות, ובמשורה הוא בכלי, שלא יעשה הכלי שלא כהוגן והוא בצינורות עצמן, והקרא נקט הקטן שבמדות כמו שאמרו (בבא מציעא סא ע"ב) והלא משורה א' מל"ו בלוג הקפידה כו', והן ה' תיקונין דה' עילאה, אור ונביעו דממלא לגוונין, וה' תתאה הגוונין שהן הצינורין דמקבלין מהאורות, ובמשקל - ו', שהוא לשון חק מכריע בינתים, ועיין בזוהר פ’ בראשית ל"ג ב', ר' יוסי אומר טופסא דשקלא באמצעיתא קיימא, וסימנך במדה במשקל וגו', משקל לישן דקיימא באמצעיתא, ורזא דא שקל הקודש כתיב, ומאזנים ביה קיימין ואתקלו, מאן מאזנים כמה דאת אמר מאזני צדק כו', והוא הבריח התיכון, ב' צדק, (דברים טז כ) צדק צדק תרדוף, ב' שכינות, וזה שאומר </w:t>
      </w:r>
      <w:r>
        <w:rPr>
          <w:b/>
          <w:bCs/>
          <w:rtl/>
        </w:rPr>
        <w:t>וסי' במדה כו'</w:t>
      </w:r>
      <w:r>
        <w:rPr>
          <w:rtl/>
        </w:rPr>
        <w:t xml:space="preserve"> שהוא בין ב' מדות, ובמשקל ג"כ ב' ענינים הנ"ל אלא שהוא מבריח ומכריע בינייהו לכן ב' משקל כלילין ביה כחדא, ויכול לפרש במשפט על המשקל, שלא יטה לא לכף זכות ולא לכף חוב, ב' כפות המשקל, והוא כמו במדה, והן כסדר בקרא, בתחילה במדידו ובתקלא ואח"כ בהכלים דלהון אבל כאן מפרש במשפט - משפט דכלא כו', רוצה לומר שיהא הכל במשפט רוצה לומר כחק הצריך, והוא כלל לכל, ומלשון (דברים יח ג) וזה יהיה משפט הכהנים, ויוד הוא נביעו דכלא וכלל הכל, ומביא ראיה שהוא ביו"ד חכמה שנאמר ויגבה כו' וכתיב כי גבוה כו' (דהוא רום השמים, גבוה מהכל במציאות) ובספר הבהיר כתב דמשפט הוא חכמה כמו שכתוב כי חכמת אלקים בקרבו לעשות משפט אלמא כי אין משפט אלא בחכמה:</w:t>
      </w:r>
    </w:p>
  </w:footnote>
  <w:footnote w:id="5570">
    <w:p w:rsidR="00A13282" w:rsidRDefault="00A13282" w:rsidP="006D2826">
      <w:pPr>
        <w:pStyle w:val="a5"/>
        <w:rPr>
          <w:rtl/>
        </w:rPr>
      </w:pPr>
      <w:r>
        <w:rPr>
          <w:rStyle w:val="a7"/>
          <w:rtl/>
        </w:rPr>
        <w:footnoteRef/>
      </w:r>
      <w:r>
        <w:rPr>
          <w:rtl/>
        </w:rPr>
        <w:t xml:space="preserve"> </w:t>
      </w:r>
      <w:r>
        <w:rPr>
          <w:b/>
          <w:bCs/>
          <w:rtl/>
        </w:rPr>
        <w:t>במדה ה' חמש תיקונין כו'.</w:t>
      </w:r>
      <w:r>
        <w:rPr>
          <w:rtl/>
        </w:rPr>
        <w:t xml:space="preserve"> מפרש והולך ה' תיקונין דמדה שהן ה' נקודין, ה' תיקונין דילה כמו שאומר שם ושאר מקומות: </w:t>
      </w:r>
    </w:p>
  </w:footnote>
  <w:footnote w:id="5571">
    <w:p w:rsidR="00A13282" w:rsidRDefault="00A13282" w:rsidP="006D2826">
      <w:pPr>
        <w:pStyle w:val="a5"/>
        <w:rPr>
          <w:rtl/>
        </w:rPr>
      </w:pPr>
      <w:r>
        <w:rPr>
          <w:rStyle w:val="a7"/>
          <w:rtl/>
        </w:rPr>
        <w:footnoteRef/>
      </w:r>
      <w:r>
        <w:rPr>
          <w:rtl/>
        </w:rPr>
        <w:t xml:space="preserve"> </w:t>
      </w:r>
      <w:r>
        <w:rPr>
          <w:b/>
          <w:bCs/>
          <w:rtl/>
        </w:rPr>
        <w:t>א"ל ר"א והא הכא כו'.</w:t>
      </w:r>
      <w:r>
        <w:rPr>
          <w:rtl/>
        </w:rPr>
        <w:t xml:space="preserve"> הוא בקבוץ, בג' נקודין, ואלקים הוא אלקים עלאה, אלקים חיים, ה' תיקונין, ה' אותיות אלקים, ה' ה' נקודין וזהו אלקים חיים, דהנקודין הן רוח הגוף, חיים דיליה, ואמר </w:t>
      </w:r>
      <w:r>
        <w:rPr>
          <w:b/>
          <w:bCs/>
          <w:rtl/>
        </w:rPr>
        <w:t>באתרי'</w:t>
      </w:r>
      <w:r>
        <w:rPr>
          <w:rtl/>
        </w:rPr>
        <w:t xml:space="preserve"> רוצה לומר במקומו, ואמר </w:t>
      </w:r>
      <w:r>
        <w:rPr>
          <w:b/>
          <w:bCs/>
          <w:rtl/>
        </w:rPr>
        <w:t>עלאה ואמצעיתא ותתאה</w:t>
      </w:r>
      <w:r>
        <w:rPr>
          <w:rtl/>
        </w:rPr>
        <w:t xml:space="preserve"> רוצה לומר דוא"ו הוא כולל ג' נקודין, חולם שורק חיריק כמו שאומר לעיל ל"ח א', ובמקום הוא"ו בא שורק בג' נקודין, ואמצע כולל שלשתן ולכן בא במקום השורק, ואמר </w:t>
      </w:r>
      <w:r>
        <w:rPr>
          <w:b/>
          <w:bCs/>
          <w:rtl/>
        </w:rPr>
        <w:t>עלייהו אתמר פתוחי כו'</w:t>
      </w:r>
      <w:r>
        <w:rPr>
          <w:rtl/>
        </w:rPr>
        <w:t xml:space="preserve"> רוצה לומר דאימא עילאה איהי חותם, דכלהון פתוחין בה כמו האותיות וצורות בחותם כן הכל פתוחין בה והיא כללא דלהון ומפרש והולך שהן ט' נקודין אע"ג דאינון חמש כמו שמפרש והולך והיא חותם דכלהון, עשירית לון, כללא דכולהו, ואמר </w:t>
      </w:r>
      <w:r>
        <w:rPr>
          <w:b/>
          <w:bCs/>
          <w:rtl/>
        </w:rPr>
        <w:t>תשע נקודין עד צדיק ואיהי חותם כו'</w:t>
      </w:r>
      <w:r>
        <w:rPr>
          <w:rtl/>
        </w:rPr>
        <w:t xml:space="preserve"> רוצה לומר מלכות, עטרת הברית כמו שמפרש והולך באות ברית קודש, וכתיב חתם - דאיהי חותם דכלהו, והוא מלכות דהוא כללא דכל עשר ספירות כידוע, וכן מלמטה למעלה בכל מקום הוא כתר כללא דכלהו, ואימא היא כתר על עשר ספירות דז"א כידוע לכן היא ג"כ חותם דכלהו כמו שמפרש והולך:</w:t>
      </w:r>
    </w:p>
  </w:footnote>
  <w:footnote w:id="5572">
    <w:p w:rsidR="00A13282" w:rsidRDefault="00A13282" w:rsidP="006D2826">
      <w:pPr>
        <w:pStyle w:val="a5"/>
        <w:rPr>
          <w:rtl/>
        </w:rPr>
      </w:pPr>
      <w:r>
        <w:rPr>
          <w:rStyle w:val="a7"/>
          <w:rtl/>
        </w:rPr>
        <w:footnoteRef/>
      </w:r>
      <w:r>
        <w:rPr>
          <w:rtl/>
        </w:rPr>
        <w:t xml:space="preserve"> </w:t>
      </w:r>
      <w:r>
        <w:rPr>
          <w:b/>
          <w:bCs/>
          <w:rtl/>
        </w:rPr>
        <w:t>ואימא עילאה חותם כו' עד צדיק ומלכות איהי חותם כו' ברית קודש והכי אינון כו'.</w:t>
      </w:r>
      <w:r>
        <w:rPr>
          <w:rtl/>
        </w:rPr>
        <w:t xml:space="preserve"> ואמר ובה נהירין כו' דמרגלאין הן נקודות, והוא ראיה דכלולין בכתר ועיין מה שבארנו למעלה, ואמר </w:t>
      </w:r>
      <w:r>
        <w:rPr>
          <w:b/>
          <w:bCs/>
          <w:rtl/>
        </w:rPr>
        <w:t>ומסטרא דאלין נקודות כו'</w:t>
      </w:r>
      <w:r>
        <w:rPr>
          <w:rtl/>
        </w:rPr>
        <w:t xml:space="preserve"> דהדבור אי אפשר בלא נקודות, והדבור הכל ע"י הנקודות, דכתב אינו צריך לנקודות לכן אינן בכתב כי אם בקריאה, ומפרש והולך ה' מיני שיחה שהן מסטרא דה' נקודות הנ"ל אע"ג שיש עוד נקודות, הן תולדות דלהון, ואמר </w:t>
      </w:r>
      <w:r>
        <w:rPr>
          <w:b/>
          <w:bCs/>
          <w:rtl/>
        </w:rPr>
        <w:t>מי ודאי אימא עילאה</w:t>
      </w:r>
      <w:r>
        <w:rPr>
          <w:rtl/>
        </w:rPr>
        <w:t xml:space="preserve"> רוצה לומר, דהיא שם אלם כד היא מסלקא נקודין דילה נשאר בלא דיבור כנ"ל, ואמר </w:t>
      </w:r>
      <w:r>
        <w:rPr>
          <w:b/>
          <w:bCs/>
          <w:rtl/>
        </w:rPr>
        <w:t>מאן שוי אלם כו'</w:t>
      </w:r>
      <w:r>
        <w:rPr>
          <w:rtl/>
        </w:rPr>
        <w:t xml:space="preserve"> דריש לקרא ג"כ על התפעלות דילה, מאן שוי אלם למי, ואמר אלקים בלא נקודין כו'. דהנקודין מן חו"ב כמו שאומר בזוהר חדש שה"ש בארוכה, ובהסתלקות י"ה נשאר אלם מאלקים וכמו שכתוב (תהלים לט ג) נאלמתי דומיה - דום י"ה, ועם הנקודות אלקים - מלא י"ה, מהנקודות, ומלא הוא וא"ו דמקבל הנקודות, ויוד מורה על האיכות של הנקודין שהן יודין, וה"א על הכמות שהן ה' נקודין, והן במשפט במדה כנ"ל, וכן הוא אב ואם, כי איכות הזרע לפי האב וכמותו לפי האם שבה נצטייר, וכן באדמה איכות הזרע אם חיטין אם שעורים לפי הזרע שנזרע, וכמותו וגדלו לפי האדמה שנזרע, ואמר </w:t>
      </w:r>
      <w:r>
        <w:rPr>
          <w:b/>
          <w:bCs/>
          <w:rtl/>
        </w:rPr>
        <w:t>דחילא דכולא בידי'</w:t>
      </w:r>
      <w:r>
        <w:rPr>
          <w:rtl/>
        </w:rPr>
        <w:t xml:space="preserve"> כמו שאומר לעיל תיקון נ”ב ה' אלקים חילי - חיל י', תוקפא כו':</w:t>
      </w:r>
    </w:p>
  </w:footnote>
  <w:footnote w:id="5573">
    <w:p w:rsidR="00A13282" w:rsidRDefault="00A13282" w:rsidP="006D2826">
      <w:pPr>
        <w:pStyle w:val="a5"/>
        <w:rPr>
          <w:rtl/>
        </w:rPr>
      </w:pPr>
      <w:r>
        <w:rPr>
          <w:rStyle w:val="a7"/>
          <w:rtl/>
        </w:rPr>
        <w:footnoteRef/>
      </w:r>
      <w:r>
        <w:rPr>
          <w:rtl/>
        </w:rPr>
        <w:t xml:space="preserve"> </w:t>
      </w:r>
      <w:r>
        <w:rPr>
          <w:b/>
          <w:bCs/>
          <w:rtl/>
        </w:rPr>
        <w:t>ד"א זה ספר כו'</w:t>
      </w:r>
      <w:r>
        <w:rPr>
          <w:rtl/>
        </w:rPr>
        <w:t xml:space="preserve"> (הגהה: לארבעתם כו', ג’ פעמים כתיב לארבעתם, י"ב אנפין, אדם - י"ג, כולל כל י"ב כידוע, ואינון י"ג תיקונין דכלילין בעשר ספירות, די"ב הן עשר כמו שאומר למעלה, וי"ג בחינה רביעית שבה, וראשי תיבות דאנשי, יראי כו' - י"ב, וראשי תיבות דחיל אלקים כו', שי"ב - מנין י"ב הויו"ת די"ב אנפין) </w:t>
      </w:r>
      <w:r>
        <w:rPr>
          <w:b/>
          <w:bCs/>
          <w:rtl/>
        </w:rPr>
        <w:t>וצריך לאסתכלא בהון כו'.</w:t>
      </w:r>
      <w:r>
        <w:rPr>
          <w:rtl/>
        </w:rPr>
        <w:t xml:space="preserve"> רוצה לומר דכתיב ואתה תחזה כו' וכמו שאומר לעיל ק"כ א' פתח ואמר זה ספר תולדות, זה ודאי כליל תרין עשר כו', זה וודאי ארבע אנפין דאריה כו' ארבע כו', פתח ואמר ואתה תחזה כו' ד' תיקונין דאינון פרצופין דבר נש, ועיין לעיל קכ"ח א' וזה שאומר דנהרין בהון כו'. ואמר </w:t>
      </w:r>
      <w:r>
        <w:rPr>
          <w:b/>
          <w:bCs/>
          <w:rtl/>
        </w:rPr>
        <w:t>דאתמר בהון פנים בפנים כו'.</w:t>
      </w:r>
      <w:r>
        <w:rPr>
          <w:rtl/>
        </w:rPr>
        <w:t xml:space="preserve"> רוצה לומר דהשם יתברך נחית עלייהו בד' חיוון דיליה דאינון ד' אותיות הוי"ה כמו שאומר שם ודבר בהון בפנים דלהון, בד' גוונין דלהון, דשריא ד' חיוון בהו, וע"י דבר עמהון באנפין דיליה, ד' אותיות הוי"ה, והיה הקב"ה עם שכינתא דשריא בהו פנים בפנים וכן במשה. ואמר </w:t>
      </w:r>
      <w:r>
        <w:rPr>
          <w:b/>
          <w:bCs/>
          <w:rtl/>
        </w:rPr>
        <w:t>בתר דאהדרו לאחורא</w:t>
      </w:r>
      <w:r>
        <w:rPr>
          <w:rtl/>
        </w:rPr>
        <w:t xml:space="preserve"> כמו שכתוב נזורו אחור, </w:t>
      </w:r>
      <w:r>
        <w:rPr>
          <w:b/>
          <w:bCs/>
          <w:rtl/>
        </w:rPr>
        <w:t>קב"ה הדר כו'</w:t>
      </w:r>
      <w:r>
        <w:rPr>
          <w:rtl/>
        </w:rPr>
        <w:t xml:space="preserve"> כמו שאומר שם כמים הפנים לפנים כן כו', ועיין בספרא דצניעותא פ"ג דהאדם בה"א הוא אדם דלעילא, ואדם בלא ה"א הוא אדם סתם, שכינתא, ואמר </w:t>
      </w:r>
      <w:r>
        <w:rPr>
          <w:b/>
          <w:bCs/>
          <w:rtl/>
        </w:rPr>
        <w:t>ואלין אינון פנים דנראים כו'</w:t>
      </w:r>
      <w:r>
        <w:rPr>
          <w:rtl/>
        </w:rPr>
        <w:t xml:space="preserve"> כמו שאומר בפ' בראשית י"ח א' ב' וריש פ' וארא דאית גוונין דמתחזיין כו' וראית את אחורי הן גוונין דמתחזיין, ופני כו', ואלמלא שחטאו ישראל היו זוכין לראות גוונין דאינן מתחזיין, והן ושמי ה' לא כו', גוונין סתימין דעינא שהן הוי"ה כמו שאומר שם ועיין בזוהר חדש רות בארוכה:</w:t>
      </w:r>
    </w:p>
  </w:footnote>
  <w:footnote w:id="5574">
    <w:p w:rsidR="00A13282" w:rsidRDefault="00A13282" w:rsidP="006D2826">
      <w:pPr>
        <w:pStyle w:val="a5"/>
        <w:rPr>
          <w:rtl/>
        </w:rPr>
      </w:pPr>
      <w:r>
        <w:rPr>
          <w:rStyle w:val="a7"/>
          <w:rtl/>
        </w:rPr>
        <w:footnoteRef/>
      </w:r>
      <w:r>
        <w:rPr>
          <w:rtl/>
        </w:rPr>
        <w:t xml:space="preserve"> </w:t>
      </w:r>
      <w:r>
        <w:rPr>
          <w:b/>
          <w:bCs/>
          <w:rtl/>
        </w:rPr>
        <w:t>אנפין חוורין בענוה.</w:t>
      </w:r>
      <w:r>
        <w:rPr>
          <w:rtl/>
        </w:rPr>
        <w:t xml:space="preserve"> דהוא חיוור מסטרא דאהבה, (ע"ז כ ע"ב) ענוה מביאה כו' לידי חסידות, וענוה ממדה של אברהם אבינו עליו השלום, (אבות ה יט) נפש שפלה כו', והוא תמיד בחוורא דאנפין, והוא מדת החסד שכולל כלם, יומא דכלהו יומין ולכן נאמר (שמות יח כה) ויבחר משה אנשי חיל לבד - דכליל כולא. ואמר </w:t>
      </w:r>
      <w:r>
        <w:rPr>
          <w:b/>
          <w:bCs/>
          <w:rtl/>
        </w:rPr>
        <w:t>סומקין</w:t>
      </w:r>
      <w:r>
        <w:rPr>
          <w:rtl/>
        </w:rPr>
        <w:t>:</w:t>
      </w:r>
    </w:p>
  </w:footnote>
  <w:footnote w:id="5575">
    <w:p w:rsidR="00A13282" w:rsidRDefault="00A13282" w:rsidP="006D2826">
      <w:pPr>
        <w:pStyle w:val="a5"/>
        <w:rPr>
          <w:rtl/>
        </w:rPr>
      </w:pPr>
      <w:r>
        <w:rPr>
          <w:rStyle w:val="a7"/>
          <w:rtl/>
        </w:rPr>
        <w:footnoteRef/>
      </w:r>
      <w:r>
        <w:rPr>
          <w:rtl/>
        </w:rPr>
        <w:t xml:space="preserve"> </w:t>
      </w:r>
      <w:r>
        <w:rPr>
          <w:b/>
          <w:bCs/>
          <w:rtl/>
        </w:rPr>
        <w:t xml:space="preserve">בבושת </w:t>
      </w:r>
      <w:r>
        <w:rPr>
          <w:rtl/>
        </w:rPr>
        <w:t xml:space="preserve">דבושה זו יראה כמו שאמרו בנדרים (כ ע"א). ואמר </w:t>
      </w:r>
      <w:r>
        <w:rPr>
          <w:b/>
          <w:bCs/>
          <w:rtl/>
        </w:rPr>
        <w:t>ירוקין באורייתא</w:t>
      </w:r>
      <w:r>
        <w:rPr>
          <w:rtl/>
        </w:rPr>
        <w:t xml:space="preserve"> כמו שאומר שם שהוריקן בתורה מכח רוב הלימוד. ואמר </w:t>
      </w:r>
      <w:r>
        <w:rPr>
          <w:b/>
          <w:bCs/>
          <w:rtl/>
        </w:rPr>
        <w:t>אוכמין במצוה</w:t>
      </w:r>
      <w:r>
        <w:rPr>
          <w:rtl/>
        </w:rPr>
        <w:t xml:space="preserve"> כמו שמפרש והולך דאיהי תפלה כו' וכמו שכתוב שחורה אני ונאוה כו', וכן כל גוון בדרגא דיליה הוא. ואמר </w:t>
      </w:r>
      <w:r>
        <w:rPr>
          <w:b/>
          <w:bCs/>
          <w:rtl/>
        </w:rPr>
        <w:t>אבל אנפין כו'</w:t>
      </w:r>
      <w:r>
        <w:rPr>
          <w:rtl/>
        </w:rPr>
        <w:t xml:space="preserve"> </w:t>
      </w:r>
      <w:r>
        <w:rPr>
          <w:b/>
          <w:bCs/>
          <w:rtl/>
        </w:rPr>
        <w:t>וחושך ותהום דאתמר כו'</w:t>
      </w:r>
      <w:r>
        <w:rPr>
          <w:rtl/>
        </w:rPr>
        <w:t xml:space="preserve"> ועיין לעיל קכ"ז ב' ובזוהר חדש פ' יתרו:</w:t>
      </w:r>
    </w:p>
  </w:footnote>
  <w:footnote w:id="5576">
    <w:p w:rsidR="00A13282" w:rsidRDefault="00A13282" w:rsidP="006D2826">
      <w:pPr>
        <w:pStyle w:val="a5"/>
        <w:rPr>
          <w:rtl/>
        </w:rPr>
      </w:pPr>
      <w:r>
        <w:rPr>
          <w:rStyle w:val="a7"/>
          <w:rtl/>
        </w:rPr>
        <w:footnoteRef/>
      </w:r>
      <w:r>
        <w:rPr>
          <w:rtl/>
        </w:rPr>
        <w:t xml:space="preserve"> </w:t>
      </w:r>
      <w:r>
        <w:rPr>
          <w:b/>
          <w:bCs/>
          <w:rtl/>
        </w:rPr>
        <w:t>אנשי חיל מזרעא דאברהם כו'.</w:t>
      </w:r>
      <w:r>
        <w:rPr>
          <w:rtl/>
        </w:rPr>
        <w:t xml:space="preserve"> דהוא האדם הגדול בענקים (יהושע יד טו), והוא חסד, שם ע"ב, דהוא בארבעין ותמניא כמו שאומר בפ' בשלח וכמו שבארנו שם, והוא חושבן חיל. ואמר</w:t>
      </w:r>
    </w:p>
  </w:footnote>
  <w:footnote w:id="5577">
    <w:p w:rsidR="00A13282" w:rsidRDefault="00A13282" w:rsidP="006D2826">
      <w:pPr>
        <w:pStyle w:val="a5"/>
        <w:rPr>
          <w:rtl/>
        </w:rPr>
      </w:pPr>
      <w:r>
        <w:rPr>
          <w:rStyle w:val="a7"/>
          <w:rtl/>
        </w:rPr>
        <w:footnoteRef/>
      </w:r>
      <w:r>
        <w:rPr>
          <w:rtl/>
        </w:rPr>
        <w:t xml:space="preserve"> </w:t>
      </w:r>
      <w:r>
        <w:rPr>
          <w:b/>
          <w:bCs/>
          <w:rtl/>
        </w:rPr>
        <w:t>דביה שכינתא תתאה</w:t>
      </w:r>
      <w:r>
        <w:rPr>
          <w:rtl/>
        </w:rPr>
        <w:t xml:space="preserve"> כמו שאמרו (ב"ב טז ע"ב) בת היתה לאברהם, ברתיה דאברהם חסידא, ועיין ברעיא מהימנא פ' תצא ורוצה לומר דה' דשם הוי"ה הוא באנשי חיל, אברהם, וה' אחרא ביצחק, יראי אלקים, כמו שמפרש והולך יראי כו', ו' ביעקב, יו"ד בדוד דהוא בשכינתא דבה הוי"ה למפרע באור חוזר ועיין לעיל ק"ט ב' נחית באברהם ונטע ביה ה' כו', ושם קי"א ובגין האי יו"ד אתמר אבן כו', רוצה לומר דדוד ירתה, והקשה שם א"ל חבריא והא אר"פ כו' אמר ודאי י' כו' ואיהו יו"ד מן כו', ואמר דאיהי אוצרא לחכמה רוצה לומר דודאי בינה הוא אוצרא דחכמה, נקודה בהיכליה, וכתיב חכמה ודעת יראת ה' היא אוצרו אלמא דהיא יראת ה' ועיין לעיל תיקון כ”ט, וכאן הוא ה' אחרא, שכינתא עילאה, וכן הוא ד' דרגין כמו שמפרש והולך ובה חכמה בסוף, יו"ד זעירא, חכמת שלמה, תעלומות חכמה, חכמה בראש חכמה בסוף, תחלת המחשבה בהוי"ה דדכורא וסוף המעשה בנוק' עולם המעשה, וזה שאומר</w:t>
      </w:r>
    </w:p>
  </w:footnote>
  <w:footnote w:id="5578">
    <w:p w:rsidR="00A13282" w:rsidRDefault="00A13282" w:rsidP="006D2826">
      <w:pPr>
        <w:pStyle w:val="a5"/>
        <w:rPr>
          <w:rtl/>
        </w:rPr>
      </w:pPr>
      <w:r>
        <w:rPr>
          <w:rStyle w:val="a7"/>
          <w:rtl/>
        </w:rPr>
        <w:footnoteRef/>
      </w:r>
      <w:r>
        <w:rPr>
          <w:rtl/>
        </w:rPr>
        <w:t xml:space="preserve"> </w:t>
      </w:r>
      <w:r>
        <w:rPr>
          <w:b/>
          <w:bCs/>
          <w:rtl/>
        </w:rPr>
        <w:t>וכגוונא אחרא וקי"ק מסט' דמשה ובגוונא אחרא יהו"ה מסט' דדוד, גוונין מתהפכין כו'</w:t>
      </w:r>
      <w:r>
        <w:rPr>
          <w:rtl/>
        </w:rPr>
        <w:t xml:space="preserve"> רוצה לומר ד' רשימין בד' גוונין כמו שאומר לעיל קכ"ד ב', והן ט"ז, בכל אחד ד' אותיות הוי"ה, מסטרא דאברהם הויה מתחלת בה' תתאה כסדר הנ"ל ההו"י, ומסטרא דיצחק מתחלת בה' עלאה שכינתא עילאה כסדר ואח"כ עמודא דאמצעיתא ואח"כ שכינתא תתאה, וחכמה לעולם בסוף, האי אבנא דכליל כל גוונין נגד יו"ד עילאה דלית לה גוון כלל, ובמשה מתחיל בוא"ו בסטרא דיליה, וה"ה ביעקב אבל הנכון דכך צריך לומר</w:t>
      </w:r>
    </w:p>
  </w:footnote>
  <w:footnote w:id="5579">
    <w:p w:rsidR="00A13282" w:rsidRDefault="00A13282" w:rsidP="006D2826">
      <w:pPr>
        <w:pStyle w:val="a5"/>
        <w:rPr>
          <w:rtl/>
        </w:rPr>
      </w:pPr>
      <w:r>
        <w:rPr>
          <w:rStyle w:val="a7"/>
          <w:rtl/>
        </w:rPr>
        <w:footnoteRef/>
      </w:r>
      <w:r>
        <w:rPr>
          <w:rtl/>
        </w:rPr>
        <w:t xml:space="preserve"> </w:t>
      </w:r>
      <w:r>
        <w:rPr>
          <w:b/>
          <w:bCs/>
          <w:rtl/>
        </w:rPr>
        <w:t>ובגוונא אחרא והה"י, ובגוונא אחרא יהו"ה, מסט' דבני נשא גוונין מתהפכין</w:t>
      </w:r>
      <w:r>
        <w:rPr>
          <w:rtl/>
        </w:rPr>
        <w:t xml:space="preserve"> והוא הנכון (וכן מצאנו נכתב בצדו בגוף כתב יד קדשו בתיקוני זהר) ועיקר, וגוון הרביעי מסטרא דדוד דאתמר ביה אבן מאסו הבונים היתה לראש פנה, דסלקת לאתר דאתגזרת מיניה למעלה, ובגוונא דיצחק היתה הוה"י דמינה נהיר דוד דהוה בסטרא דחשך כמו שאומר בפ' בראשית ט"ז א' ולחושך קרא לילה מסטרא דחושך כו' וכד סלקא היו"ד למעלה נעשה יהו"ה ועיין בזוהר חדש ע"ו ג' וברעיא מהימנא פ' תרומה בפ' המנורה ועיין לעיל סוף תיקון ס”ג אר"א אבא והא יו"ד לעילא כו' א"ל ברי רזא עילאה כו' אלא דשם בענין אחר. ואמר </w:t>
      </w:r>
      <w:r>
        <w:rPr>
          <w:b/>
          <w:bCs/>
          <w:rtl/>
        </w:rPr>
        <w:t>ודא איהו דאמרו כו'.</w:t>
      </w:r>
      <w:r>
        <w:rPr>
          <w:rtl/>
        </w:rPr>
        <w:t xml:space="preserve"> כנ"ל דאיהי מסטרא דב"נ כו' כד כו', ואמרו (ברכות ו ע"ב) דכרום - יש לו ט"ז גוונין, וכן חרבו של הקב"ה יש לה כו', החרב המתהפכת, והם בקשו חשבונות רבים דמתהפך מגוונא לגוונא באילנא כו' לכן פניהם מתהפכים כו' והיא צריכה כו' דלית לה מגרמה כו' לעבדה ולשמרה. ואמר </w:t>
      </w:r>
      <w:r>
        <w:rPr>
          <w:b/>
          <w:bCs/>
          <w:rtl/>
        </w:rPr>
        <w:t>ואית הפוכא כו'</w:t>
      </w:r>
      <w:r>
        <w:rPr>
          <w:rtl/>
        </w:rPr>
        <w:t xml:space="preserve"> דאמרו (ברכות ו ע"ב) הצריך לבריות משתנות כו', הוא מחמת חסרון ועוני דהוא ארבע אנפין דחשוכין, וכל אחד ד' אנפין כמו שאומר לעיל קכ"ג ב' קכ"ז ב', והוא להט החרב המתהפכת כנ"ל, אבל בשכינתא ט"ז אנפין דמתהפכין לטב נהרין בנהורא, דהנהורין לפי הגוונין כידוע ואנפין הן מסטרא דנקודות כמו שאומר לעיל קכ"ח א' והן ט"ז נקודין הידועין:</w:t>
      </w:r>
    </w:p>
  </w:footnote>
  <w:footnote w:id="5580">
    <w:p w:rsidR="00A13282" w:rsidRDefault="00A13282" w:rsidP="006D2826">
      <w:pPr>
        <w:pStyle w:val="a5"/>
        <w:rPr>
          <w:rtl/>
        </w:rPr>
      </w:pPr>
      <w:r>
        <w:rPr>
          <w:rStyle w:val="a7"/>
          <w:rtl/>
        </w:rPr>
        <w:footnoteRef/>
      </w:r>
      <w:r>
        <w:rPr>
          <w:rtl/>
        </w:rPr>
        <w:t xml:space="preserve"> </w:t>
      </w:r>
      <w:r>
        <w:rPr>
          <w:b/>
          <w:bCs/>
          <w:rtl/>
        </w:rPr>
        <w:t>וכל האי בגופא כגוונא דחיוון דאתבריאו כו'.</w:t>
      </w:r>
      <w:r>
        <w:rPr>
          <w:rtl/>
        </w:rPr>
        <w:t xml:space="preserve"> רוצה לומר דאנפין הן בגוונא דחיוון כנ"ל והן ד' אתוון דהויה כנ"ל, וכל אחד כולל ד' כנ"ל, וזה שאומר כפני לבנה, ולכל דיוקנא אית ליה כו'. ואמר </w:t>
      </w:r>
      <w:r>
        <w:rPr>
          <w:b/>
          <w:bCs/>
          <w:rtl/>
        </w:rPr>
        <w:t>כל גוונין וציורין דאלין גופין אינון כגוונא כו'.</w:t>
      </w:r>
      <w:r>
        <w:rPr>
          <w:rtl/>
        </w:rPr>
        <w:t xml:space="preserve"> רוצה לומר, כמו החמה היא נובלת כו' כן אנפין דבר נש נובלת החיוון דלמעלה, ורוצה לומר שזה שאמרו (ב"ב עה ע"א) פני משה כפני חמה, דתרווייהו אינון נובלת, וכן פני יהושע כו', ואמר גוונין וציורין כו' שד' ציורין אינון, באנפין אריכין וקצרין כו', וכל אחד ד' גוונין, שהן ט"ז אנפין כנ"ל, וזה שאומר וכל דיוקנא כו':</w:t>
      </w:r>
    </w:p>
  </w:footnote>
  <w:footnote w:id="5581">
    <w:p w:rsidR="00A13282" w:rsidRDefault="00A13282" w:rsidP="006D2826">
      <w:pPr>
        <w:pStyle w:val="a5"/>
        <w:rPr>
          <w:rtl/>
        </w:rPr>
      </w:pPr>
      <w:r>
        <w:rPr>
          <w:rStyle w:val="a7"/>
          <w:rtl/>
        </w:rPr>
        <w:footnoteRef/>
      </w:r>
      <w:r>
        <w:rPr>
          <w:rtl/>
        </w:rPr>
        <w:t xml:space="preserve"> </w:t>
      </w:r>
      <w:r>
        <w:rPr>
          <w:b/>
          <w:bCs/>
          <w:rtl/>
        </w:rPr>
        <w:t>נימין אינון כו'.</w:t>
      </w:r>
      <w:r>
        <w:rPr>
          <w:rtl/>
        </w:rPr>
        <w:t xml:space="preserve"> מפרש והולך מה דתליא באנפין וברישא, והן (עירובין כא ע"ב) על כל קוץ וקוץ תלי הלכות, דתליין באנפין שהן מ"ט אנפין, אנפין דמטרוניתא:</w:t>
      </w:r>
    </w:p>
  </w:footnote>
  <w:footnote w:id="5582">
    <w:p w:rsidR="00A13282" w:rsidRDefault="00A13282" w:rsidP="006D2826">
      <w:pPr>
        <w:pStyle w:val="a5"/>
        <w:rPr>
          <w:rtl/>
        </w:rPr>
      </w:pPr>
      <w:r>
        <w:rPr>
          <w:rStyle w:val="a7"/>
          <w:rtl/>
        </w:rPr>
        <w:footnoteRef/>
      </w:r>
      <w:r>
        <w:rPr>
          <w:rtl/>
        </w:rPr>
        <w:t xml:space="preserve"> </w:t>
      </w:r>
      <w:r>
        <w:rPr>
          <w:b/>
          <w:bCs/>
          <w:rtl/>
        </w:rPr>
        <w:t>פומא פה כו'.</w:t>
      </w:r>
      <w:r>
        <w:rPr>
          <w:rtl/>
        </w:rPr>
        <w:t xml:space="preserve"> דפה הוא סיומא דד' תיקונין דאנפין כמו שאומר לעיל קל"ו א' ולמעלה ובזוהר חדש פ' יתרו, והיא כללא דלהון כמו שאומר שם ושאר מקומות ולכן היא כללא דאנפין, ונאמר במשה ודבר ה' אל משה פנים אל פנים, והוא פה אל פה אדבר בו, דזכה לפנים כו', ואמר </w:t>
      </w:r>
      <w:r>
        <w:rPr>
          <w:b/>
          <w:bCs/>
          <w:rtl/>
        </w:rPr>
        <w:t>ומראה ולא בחידות</w:t>
      </w:r>
      <w:r>
        <w:rPr>
          <w:rtl/>
        </w:rPr>
        <w:t xml:space="preserve"> דד' אנפין הנ"ל ד' אותיות הוי"ה הן מראה כמו שאומר לעיל ק"כ ב' ואמר שם ואית ארבע דמתלבשין בהון ואינון דמיון, והוא ביד נביאים אדמה כמו שאומר שם א', וזה שכתוב אם יהיה נביאכם כו' לא כן עבדי משה כו', ומפרש והולך </w:t>
      </w:r>
      <w:r>
        <w:rPr>
          <w:b/>
          <w:bCs/>
          <w:rtl/>
        </w:rPr>
        <w:t>פה איהו ברזא דכרובים</w:t>
      </w:r>
      <w:r>
        <w:rPr>
          <w:rtl/>
        </w:rPr>
        <w:t xml:space="preserve"> רוצה לומר, שכתוב (שמות כה כב) ודברתי אתך מעל הכפורת מבין שני הכרובים אשר כו', וכתיב (במדבר ז פט) ובבוא משה מבין שני הכרובים וידבר אליו, ומפרש דכנפי הכרובים הסוככים על הכפורת הן שפתים דפומא דמביניהם יוצא הקול והדיבור וכמו שאומר לעיל ב' וכרובים תרין שפוון כו' ועיין מה שבארנו שם, וזה שאומר דאתמר בהון כו', ואמר </w:t>
      </w:r>
      <w:r>
        <w:rPr>
          <w:b/>
          <w:bCs/>
          <w:rtl/>
        </w:rPr>
        <w:t>כד אתפתחו כו'</w:t>
      </w:r>
      <w:r>
        <w:rPr>
          <w:rtl/>
        </w:rPr>
        <w:t xml:space="preserve"> </w:t>
      </w:r>
      <w:r>
        <w:rPr>
          <w:b/>
          <w:bCs/>
          <w:rtl/>
        </w:rPr>
        <w:t>כד"א כו'</w:t>
      </w:r>
      <w:r>
        <w:rPr>
          <w:rtl/>
        </w:rPr>
        <w:t xml:space="preserve"> כמו שאומר לעיל כ"ח א' אדני איהו בחושבן היכל ובג"ד אתמר אדני שפתי תפתח הוי"ה אינו כו', ושם כ"ט ל' אדהכי הא מארי דרגלין כו' אדני שפתי תפתח, אדני סליק לחושבן היכל, זכאה פומא דאיהי היכל הוי"ה דשריא ביה צלותא דאיהי אדני דאמרין לה אדני שפתי תפתח, וזכאין שפוון דאינון תרעין דהיכלא כו' כו', אז תקרא וה' יענה, אז - תמניא אתוון יהו"ה אהי"ה, וה' יענה - הוא ובית דינו, הוי"ה אדני כו', ושם בהגהה אדהכי הא מארי דרגלין כו' וזכאה פומא כו' זכאין שפוון דאינון תרעין דהיכלא לקבלא בהון צלותין אלין ובג"ד אדנ"י שפתי תפתח, פתחו לי שערי צדק, דכד בר נש אפתח כו', תמניא אתוון דאינון יהו"ה אהי"ה, או"א, וה' יענה מיד - הוא ובית דינו, הוי"ה אדני, כד אינון באו"א לימינא ולשמאלא כל חד איהו שם בפני עצמו, וכד אינון כו' בחסד וגבורה כו' מתתא לעילא כגוונא דא כו' אינון בתרין ירכין כו', כל הכורע כורע בברוך דאינון יאקדונק"י, וכל הזוקף זוקף בשם בתרין שמהן יהו"ה אהי"ה כו', וכן בפנים שם תא חזי יהו"ה אדנ"י איהו קב"ה ושכינתיה בתרין שוקין כו', וזה שאומר כאן </w:t>
      </w:r>
      <w:r>
        <w:rPr>
          <w:b/>
          <w:bCs/>
          <w:rtl/>
        </w:rPr>
        <w:t>ואמרו מ"מ כל הכורע כו' וכל הזוקף כו'</w:t>
      </w:r>
      <w:r>
        <w:rPr>
          <w:rtl/>
        </w:rPr>
        <w:t xml:space="preserve"> דתרין שפוון דאינון נו"ה הן מלמעלה למטה ב' שמהן הוי"ה אהי"ה, ומתתא לעילא יאקדונק"י, שהוא כורע בברוך מתתא לעילא, דכריעה בצדיק, דשם הוא מתתא לעילא, וזקיפו הוא בעמודא דאמצעיתא דשם הוא מעילא לתתא, ועיין לעיל ג' ב' ל"ב א' ושאר מקומות. ואמר </w:t>
      </w:r>
      <w:r>
        <w:rPr>
          <w:b/>
          <w:bCs/>
          <w:rtl/>
        </w:rPr>
        <w:t xml:space="preserve">כד איהו כורע כרובים כו'. </w:t>
      </w:r>
      <w:r>
        <w:rPr>
          <w:rtl/>
        </w:rPr>
        <w:t xml:space="preserve">שכאשר כורע אז נו"ה סוככים על הכפורת, צדיק, מכסין את הברית, וכאשר זוקף אז הם פורשי כנפים גביהון השוקים עצמן למעלה לגופא עמודא דאמצעיתא, וזהו שאמר למעלה תיקון י”ח דכריעה היא לגבי צדיק וזקיפו לגבי עמודא דאמצעיתא, דצדיק איהו ברוך, והמלך שלמה ברוך, והשם הוא עמודא דאמצעיתא. ואמר </w:t>
      </w:r>
      <w:r>
        <w:rPr>
          <w:b/>
          <w:bCs/>
          <w:rtl/>
        </w:rPr>
        <w:t xml:space="preserve">ודא איהו כו' כ"ו ה"ס חושבנא כו'. </w:t>
      </w:r>
      <w:r>
        <w:rPr>
          <w:rtl/>
        </w:rPr>
        <w:t xml:space="preserve">והן ב' שמהן דכריעה, וזהו סוככים. ואמר </w:t>
      </w:r>
      <w:r>
        <w:rPr>
          <w:b/>
          <w:bCs/>
          <w:rtl/>
        </w:rPr>
        <w:t xml:space="preserve">פורשי כנפים למעלה דא איהו וכל הזוקף כו'. </w:t>
      </w:r>
      <w:r>
        <w:rPr>
          <w:rtl/>
        </w:rPr>
        <w:t>דזקיפו בב' שמהן אלו, וזהו בשם - ב' שם, דאע"ג דאינון מתייחדין בקו האמצעי אינן אלא בצדיק כמו שאומר לעיל תיקון נ”ו עיין שם בדבריו:</w:t>
      </w:r>
    </w:p>
  </w:footnote>
  <w:footnote w:id="5583">
    <w:p w:rsidR="00A13282" w:rsidRDefault="00A13282" w:rsidP="006D2826">
      <w:pPr>
        <w:pStyle w:val="a5"/>
        <w:rPr>
          <w:rtl/>
        </w:rPr>
      </w:pPr>
      <w:r>
        <w:rPr>
          <w:rStyle w:val="a7"/>
          <w:rtl/>
        </w:rPr>
        <w:footnoteRef/>
      </w:r>
      <w:r>
        <w:rPr>
          <w:rtl/>
        </w:rPr>
        <w:t xml:space="preserve"> </w:t>
      </w:r>
      <w:r>
        <w:rPr>
          <w:b/>
          <w:bCs/>
          <w:rtl/>
        </w:rPr>
        <w:t>וסימנא י"א י"א אחד ה' אלהינו עלייהו אתמר והיו הכרובים כו' על הכפורת ד"א והיו הכרובים כו'.</w:t>
      </w:r>
      <w:r>
        <w:rPr>
          <w:rtl/>
        </w:rPr>
        <w:t xml:space="preserve"> רוצה לומר י"א הוא ראשי תיבות ב' שמהן דזקיפו, וכן דכריעו, ד' שמהן הנ"ל, והן ג"כ ראשי תיבות דד' תיבין דשמע ישראל ומפרש והולך דהן הן בעצמן ד' שמות הנ"ל, ה' אלקינו הן דזקיפו, הוי"ה אהיה, שהן או"א שהן ה' אלקינו כידוע, וה' אחד הוא זו"נ כידוע, שהן יחודא דשמע ישראל בד' שמהן, דהן דד' אותיות הוי"ה, וזה שאומר דבר אחר כו', מפרש הכרובים שמא מפרש, דכרובים הן צורת אדם, ואדם ידוע פורשי כו' ד' אותיות הוי"ה, והוא פירוש אחד עם הנ"ל אלא דשם מפרש במקום אחד מעילא לתתא ומתתא לעילא וכאן מפרש על שם הוי"ה הכל. ואמר </w:t>
      </w:r>
      <w:r>
        <w:rPr>
          <w:b/>
          <w:bCs/>
          <w:rtl/>
        </w:rPr>
        <w:t xml:space="preserve">ועלייהו אתמר ואשא כו'. </w:t>
      </w:r>
      <w:r>
        <w:rPr>
          <w:rtl/>
        </w:rPr>
        <w:t>דנשר הוא חיה דיעקב, הוי"ה, ולכן אית ליה כנפים בארץ:</w:t>
      </w:r>
    </w:p>
  </w:footnote>
  <w:footnote w:id="5584">
    <w:p w:rsidR="00A13282" w:rsidRDefault="00A13282" w:rsidP="006D2826">
      <w:pPr>
        <w:pStyle w:val="a5"/>
        <w:rPr>
          <w:rtl/>
        </w:rPr>
      </w:pPr>
      <w:r>
        <w:rPr>
          <w:rStyle w:val="a7"/>
          <w:rtl/>
        </w:rPr>
        <w:footnoteRef/>
      </w:r>
      <w:r>
        <w:rPr>
          <w:rtl/>
        </w:rPr>
        <w:t xml:space="preserve"> </w:t>
      </w:r>
      <w:r>
        <w:rPr>
          <w:b/>
          <w:bCs/>
          <w:rtl/>
        </w:rPr>
        <w:t>וכרובים תרין שפוון אשר על הכפורת דא לישנא כו' ודבור תפארת ומלכות ועלייהו אתמר תורת אמת כו'.</w:t>
      </w:r>
      <w:r>
        <w:rPr>
          <w:rtl/>
        </w:rPr>
        <w:t xml:space="preserve"> כפורת הוא צדיק, לשון למודים, ומעליו נפיק הקול והדבור, וחשיב והולך כל מוצאות, וחיך נכלל בגרון כידוע, והכל בקרא זה ובבא משה כו' כמו שמפרש והולך, ואמר ועלייהו אתמר תורת אמת, דאמת - יעקב, הקול, ותורת אמת הוא הדיבור, שכינתא כמו שאומר לעיל ד' ב' ושם ה' איהו עמודא דאמצעיתא אמת ושכינתא תורת אמת, ורוצה לומר דכתיב בפיהו [כמו שמפרש והולך דא פומא היכל כו'] אלמא דעמודא דאמצעיתא ושכינתא שריין בפומא, קול ודבור. ואמר </w:t>
      </w:r>
      <w:r>
        <w:rPr>
          <w:b/>
          <w:bCs/>
          <w:rtl/>
        </w:rPr>
        <w:t>דא פומא היכל ועלי' כו'.</w:t>
      </w:r>
      <w:r>
        <w:rPr>
          <w:rtl/>
        </w:rPr>
        <w:t xml:space="preserve"> חוזר לענין ראשון לסיים דהן פומא דאיהו היכל, אדני דהוא חושבן היכל כנ"ל, ועתה מפרש והולך קדש קדשים דהוא לבא, ושם מעמד הכרובים, ואמר מלגאו מיניה קדש הקדשים ומפרש הכרובים כו' אלא שלפי שהיכל קדש קדשים כולל כל הבית, מפרש למעלה הכרובים בפומא דהוא היכל, וכרובים דצורתא היו שם כמו שאמרו בגמ' (יומא נד ע"א) ובפסוק תמורות וכרובים, והיו ג"כ על הכפורת, דכל שאין תוכו כברו, פומא ולבא שוין, ועיין לעיל ריש תיקון כ”ב. ואמר </w:t>
      </w:r>
      <w:r>
        <w:rPr>
          <w:b/>
          <w:bCs/>
          <w:rtl/>
        </w:rPr>
        <w:t>דתמן נר ה' כו'</w:t>
      </w:r>
      <w:r>
        <w:rPr>
          <w:rtl/>
        </w:rPr>
        <w:t xml:space="preserve"> דוגמת השכינה דשריא על הכפורת, ה' צבאות יושב הכרובים. ואמר </w:t>
      </w:r>
      <w:r>
        <w:rPr>
          <w:b/>
          <w:bCs/>
          <w:rtl/>
        </w:rPr>
        <w:t>ופניהם איש כו'.</w:t>
      </w:r>
      <w:r>
        <w:rPr>
          <w:rtl/>
        </w:rPr>
        <w:t xml:space="preserve"> דעיקר הכרובים הוא בכליין, ופניהם איש אל אחיו הן בצדיקים, דשניהם הוא ביצר טוב אבל בשאר אדם (ברכות סא ע"א) יועצתו לטובה כו', ואפילו הרשעים מלאין חרטות מה שאין כן בצדיק, והן גורמין שהכרובים ג"כ ופניהם כו'. ואמר </w:t>
      </w:r>
      <w:r>
        <w:rPr>
          <w:b/>
          <w:bCs/>
          <w:rtl/>
        </w:rPr>
        <w:t>ובלבא כו' בחד כו'.</w:t>
      </w:r>
      <w:r>
        <w:rPr>
          <w:rtl/>
        </w:rPr>
        <w:t xml:space="preserve"> עיין לעיל מ"ג א' ב' ורוצה לומר דארון הוה מחיה וממית כמו שאמרו בעוז' ובעובד אדום, וכן קדש קדשים אם זכי כהן גדול כמו שמפרש והולך, והן ב' בתי לבא כמו שאומר שם לב חכם לימינו, והחכמה תחיה בעליה, ולב כו', וכסיל אדם יבלענו, הוא ימות באין כו', ושכינתא איהי לב חכם לימינו, מצא אשה מצא טוב, היא סם חיים, ולב כסיל הוא נוק' דס"ם, סם המות כמו שמפרש והולך. ואמר </w:t>
      </w:r>
      <w:r>
        <w:rPr>
          <w:b/>
          <w:bCs/>
          <w:rtl/>
        </w:rPr>
        <w:t>דאיהי אש</w:t>
      </w:r>
      <w:r>
        <w:rPr>
          <w:rtl/>
        </w:rPr>
        <w:t xml:space="preserve"> רוצה לומר לשמאלא ורוצה לומר דזהו (ויקרא י ב) ותצא אש כו' בבני אהרן כמו שאומר למטה והיא אש זרה כמו שאומר בפ' שמיני עיין שם בדבריו וברעיא מהימנא שם [הוא טחול לשמאלא דלבא כמו שאומר למטה וכמו שאומר לעיל מ"ג א' ושאר מקומות] והוא יראת ה' דשריא בארון, (דברים ד כד) ה' אלקיך אש אוכלה, דהוא נהורא דלא שורף אלא דליק על רישא דצדיקיא, (דברים ד ד) ואתם הדבקים בה' אלקיכם כו', ודליק ואכיל שמן שעל הראש, תורה ומצות דלהון, והוא נהורא, וזה שאומר </w:t>
      </w:r>
      <w:r>
        <w:rPr>
          <w:b/>
          <w:bCs/>
          <w:rtl/>
        </w:rPr>
        <w:t>אם זכה סם כו'</w:t>
      </w:r>
      <w:r>
        <w:rPr>
          <w:rtl/>
        </w:rPr>
        <w:t xml:space="preserve"> ונהירא באנפוי כו'. ותחתיה אש דיראה רעה, והארץ היתה כו', ולכן </w:t>
      </w:r>
      <w:r>
        <w:rPr>
          <w:b/>
          <w:bCs/>
          <w:rtl/>
        </w:rPr>
        <w:t>אם לא זכה כו'</w:t>
      </w:r>
      <w:r>
        <w:rPr>
          <w:rtl/>
        </w:rPr>
        <w:t xml:space="preserve"> והוא אש דנהורא ואש השורף שהוא אש זרה היוצא שלא לצורך, למכה, ואמר </w:t>
      </w:r>
      <w:r>
        <w:rPr>
          <w:b/>
          <w:bCs/>
          <w:rtl/>
        </w:rPr>
        <w:t>כהנא רבא כו'.</w:t>
      </w:r>
      <w:r>
        <w:rPr>
          <w:rtl/>
        </w:rPr>
        <w:t xml:space="preserve"> כמו שמפרש והולך דהוא נשמה דבר נש כו', ואמר </w:t>
      </w:r>
      <w:r>
        <w:rPr>
          <w:b/>
          <w:bCs/>
          <w:rtl/>
        </w:rPr>
        <w:t>אם הוה עאל בשכינתא כו'.</w:t>
      </w:r>
      <w:r>
        <w:rPr>
          <w:rtl/>
        </w:rPr>
        <w:t xml:space="preserve"> רוצה לומר אם התפלה דב"נ עולה בשכינתא, בג' צלותין כמו שאומר לעיל בתיקון י”ח ותיקון כ’ ותיקון כ”א בארוכה, והכל דוגמת הכהן הגדול בקדש קדשים, כן עתה התפלה שהיא עבודה שהיא בלב, קדש קדשים, כמו שאמרו (תענית ב ע"א) איזה עבודה כו', ואמר </w:t>
      </w:r>
      <w:r>
        <w:rPr>
          <w:b/>
          <w:bCs/>
          <w:rtl/>
        </w:rPr>
        <w:t>דאיהי מרה אוכמא</w:t>
      </w:r>
      <w:r>
        <w:rPr>
          <w:rtl/>
        </w:rPr>
        <w:t xml:space="preserve"> נגד סם חיים דאיהי שכינתא, שחורה אני ונאוה בשפירתא, ואמר </w:t>
      </w:r>
      <w:r>
        <w:rPr>
          <w:b/>
          <w:bCs/>
          <w:rtl/>
        </w:rPr>
        <w:t>ומינה ימות ב"נ בעניות</w:t>
      </w:r>
      <w:r>
        <w:rPr>
          <w:rtl/>
        </w:rPr>
        <w:t xml:space="preserve"> עיין לעיל בתיקון כ”ב ס"ה א' בארוכה, וכל עניות הוא מטחול ועיין בזוהר חדש פ' יתרו בארוכה הרבה:</w:t>
      </w:r>
    </w:p>
  </w:footnote>
  <w:footnote w:id="5585">
    <w:p w:rsidR="00A13282" w:rsidRDefault="00A13282" w:rsidP="006D2826">
      <w:pPr>
        <w:pStyle w:val="aff7"/>
        <w:jc w:val="both"/>
        <w:rPr>
          <w:rFonts w:cs="Arial"/>
          <w:szCs w:val="24"/>
          <w:rtl/>
        </w:rPr>
      </w:pPr>
      <w:r>
        <w:rPr>
          <w:rStyle w:val="a7"/>
          <w:rFonts w:cs="Arial"/>
          <w:szCs w:val="24"/>
          <w:rtl/>
        </w:rPr>
        <w:footnoteRef/>
      </w:r>
      <w:r>
        <w:rPr>
          <w:rFonts w:cs="Arial"/>
          <w:szCs w:val="24"/>
          <w:rtl/>
        </w:rPr>
        <w:t xml:space="preserve"> </w:t>
      </w:r>
      <w:r>
        <w:rPr>
          <w:rFonts w:cs="Arial"/>
          <w:b/>
          <w:bCs/>
          <w:szCs w:val="24"/>
          <w:rtl/>
          <w:lang w:eastAsia="en-US"/>
        </w:rPr>
        <w:t>דאהרן איהו נשמה תרין בנוי אם יעלו כו'.</w:t>
      </w:r>
      <w:r>
        <w:rPr>
          <w:rFonts w:cs="Arial"/>
          <w:szCs w:val="24"/>
          <w:rtl/>
          <w:lang w:eastAsia="en-US"/>
        </w:rPr>
        <w:t xml:space="preserve"> רוצה לומר תרין בנוי הן רוח ונפש שהן בנין דנשמה, אמא עלאה וכמו שאומר תרין בנין אית לקב"ה חד כו', ואמר </w:t>
      </w:r>
      <w:r>
        <w:rPr>
          <w:rFonts w:cs="Arial"/>
          <w:b/>
          <w:bCs/>
          <w:szCs w:val="24"/>
          <w:rtl/>
          <w:lang w:eastAsia="en-US"/>
        </w:rPr>
        <w:t>דאיהי מרה אש זרה</w:t>
      </w:r>
      <w:r>
        <w:rPr>
          <w:rFonts w:cs="Arial"/>
          <w:szCs w:val="24"/>
          <w:rtl/>
          <w:lang w:eastAsia="en-US"/>
        </w:rPr>
        <w:t xml:space="preserve"> רוצה לומר מרה ממש דהיא אש כמו שאומר לעיל קכ"ז ב' אנפין ירוקין כו' בגין דגיהנם איהי כו' ולמעלה תיקון כ’ ושאר מקומות, וכאן אמר מרה ירוקא אש כמו שכתוב ותצא אש, ולמעלה מרה אוכמא עפר דהוא מיתה ועניותא, דב' נוקבין אלו דס"ם, חד מיתה וחד גיהנם אש, ולמעלה כתיב ולא ימות בכהן גדול והוא נשמה, סם חיים, לקבל האלקים חיים, וכאן לתתא שלטו שניהם, ואמר </w:t>
      </w:r>
      <w:r>
        <w:rPr>
          <w:rFonts w:cs="Arial"/>
          <w:b/>
          <w:bCs/>
          <w:szCs w:val="24"/>
          <w:rtl/>
          <w:lang w:eastAsia="en-US"/>
        </w:rPr>
        <w:t>אינון סליקו לה מאתרהא</w:t>
      </w:r>
      <w:r>
        <w:rPr>
          <w:rFonts w:cs="Arial"/>
          <w:szCs w:val="24"/>
          <w:rtl/>
          <w:lang w:eastAsia="en-US"/>
        </w:rPr>
        <w:t xml:space="preserve"> רוצה לומר למרה ירוקא, אש זרה, ולכן נידונו בה, ונתן טעם למה מתו הן בה דוקא מה שאין כן בכהן גדול, דשם בכהן גדול לא הזהיר אלא על הביאה ולא ימות, וכאן מתו על הקריבה ועל הקרבה ולכן ותצא אש כו' וימותו, ואמר </w:t>
      </w:r>
      <w:r>
        <w:rPr>
          <w:rFonts w:cs="Arial"/>
          <w:b/>
          <w:bCs/>
          <w:szCs w:val="24"/>
          <w:rtl/>
          <w:lang w:eastAsia="en-US"/>
        </w:rPr>
        <w:t>ולא הוה לה רשו למיעל</w:t>
      </w:r>
      <w:r>
        <w:rPr>
          <w:rFonts w:cs="Arial"/>
          <w:szCs w:val="24"/>
          <w:rtl/>
          <w:lang w:eastAsia="en-US"/>
        </w:rPr>
        <w:t xml:space="preserve"> רוצה לומר למרה דאיהי אש זרה כמו שכתוב (ויקרא טז ע"ב) ואל יבא בכל עת, דאיהי (קהלת ג ח) עת לשנוא כו' כמו שאומר בפ' אחרי מות, ואמר </w:t>
      </w:r>
      <w:r>
        <w:rPr>
          <w:rFonts w:cs="Arial"/>
          <w:b/>
          <w:bCs/>
          <w:szCs w:val="24"/>
          <w:rtl/>
          <w:lang w:eastAsia="en-US"/>
        </w:rPr>
        <w:t>שפוון עקימין לית כו'.</w:t>
      </w:r>
      <w:r>
        <w:rPr>
          <w:rFonts w:cs="Arial"/>
          <w:szCs w:val="24"/>
          <w:rtl/>
          <w:lang w:eastAsia="en-US"/>
        </w:rPr>
        <w:t xml:space="preserve"> רוצה לומר דזה שכתוב והיו הכרובים פורשי כו', ופניהם איש אל אחיו, שהן השפתים כנ"ל, ועיין לעיל תיקון ד’ בראשית כתיב פתחו לי כו' בזמנא דאינון מסתכלין באורח מישור כו' והוא הדין כאן בשפתים, והטעם כמו שמפרש והולך דכל מקום דאית ביה מום תמן שריא נחש דאיהו נחש עקלתון, במקום עקלתון, מקום פגימא, ואיהו עקים ליה [כחויא] בחובא דיליה, ואמר </w:t>
      </w:r>
      <w:r>
        <w:rPr>
          <w:rFonts w:cs="Arial"/>
          <w:b/>
          <w:bCs/>
          <w:szCs w:val="24"/>
          <w:rtl/>
          <w:lang w:eastAsia="en-US"/>
        </w:rPr>
        <w:t>מעות לא יוכל כו'.</w:t>
      </w:r>
      <w:r>
        <w:rPr>
          <w:rFonts w:cs="Arial"/>
          <w:szCs w:val="24"/>
          <w:rtl/>
          <w:lang w:eastAsia="en-US"/>
        </w:rPr>
        <w:t xml:space="preserve"> רוצה לומר דאתחייב בגלגולא קדמאה ונולד כאן מעוות ולא יוכל לתקן שיהא שלים באבריו בגלגול זה עד שימות ויחזיר בגלגולא אם תב בתיובתא כאן, ואמר </w:t>
      </w:r>
      <w:r>
        <w:rPr>
          <w:rFonts w:cs="Arial"/>
          <w:b/>
          <w:bCs/>
          <w:szCs w:val="24"/>
          <w:rtl/>
          <w:lang w:eastAsia="en-US"/>
        </w:rPr>
        <w:t>וכן עיינין עקימין כו'.</w:t>
      </w:r>
      <w:r>
        <w:rPr>
          <w:rFonts w:cs="Arial"/>
          <w:szCs w:val="24"/>
          <w:rtl/>
          <w:lang w:eastAsia="en-US"/>
        </w:rPr>
        <w:t xml:space="preserve"> דהן נקראים ג"כ כרובים כנ"ל וכמו שאומר לעיל בתיקון ד’ עיין שם בדבריו, ואמר </w:t>
      </w:r>
      <w:r>
        <w:rPr>
          <w:rFonts w:cs="Arial"/>
          <w:b/>
          <w:bCs/>
          <w:szCs w:val="24"/>
          <w:rtl/>
          <w:lang w:eastAsia="en-US"/>
        </w:rPr>
        <w:t>פומא אטימא כו'.</w:t>
      </w:r>
      <w:r>
        <w:rPr>
          <w:rFonts w:cs="Arial"/>
          <w:szCs w:val="24"/>
          <w:rtl/>
          <w:lang w:eastAsia="en-US"/>
        </w:rPr>
        <w:t xml:space="preserve"> חוזר לפרש תיקונא דפומא ולפרש מתניתין דטומטום ואנדרוגינוס וחציו עבד דפטורין מן הראיה לראות בשכינתא, כמו שאמרו (סוטה מב ע"א) ד' כתות אינן רואין כו', וסימנך דאתחיייב בגלגולא קדמאה בזה דהוא אנדרוגינוס קליה כנוק' והוא זכר דתועבה הוא כמו שאומר לעיל קל"ב א' [וכן הוא טומטום, לא זכר ולא נקבה, נראין בו דקליה דיליה לא מזכר דהוא קול ולא מנקבה דהיא קלה, ונשאר קל, דוא"ו הוא בזכר וה' בנקבה, לכן קול וקלה כידוע, וחציו עבד שהוא בינוני, אח דיצר טוב ויצר הרע כמו שאומר ברעיא מהימנא בסוף פ' בא עיין שם בדבריו דצריך פדיה עד דיתקן, ואמר פומא אטימא בדבור רוצה לומר דזהו טומטום, דלמעלה דאמר דיוקנא דזו"נ זהו פירוש על אנדרוגינוס לבד, והתחיל בשניהם לבאר על פומא אטימא, ואנדרוגינוס בקול וטומטום בדבור, וחציו עבד הוא בלב, בב' כליות דאינון ופניהם איש אל אחיו כנ"ל, והן הכרובים, דבלבא נגד אהרן כהן גדול נשמתא, וטומטום ואנדרוגינוס בכרובים דאינון פומא והן בקול ודבור נגד רוח ונפש בני אהרן (הגהה בנוי דלבא דמינה נפקין קול ודבור) ולכן נקט כאן אלו השלשה דפטורין מן הראיה דלא למיעל בהיכלא, ואמר ובג"ד פטור מן הראיה דנשמתא ורוחא ונפשא בג"ד כו', ואמר </w:t>
      </w:r>
      <w:r>
        <w:rPr>
          <w:rFonts w:cs="Arial"/>
          <w:b/>
          <w:bCs/>
          <w:szCs w:val="24"/>
          <w:rtl/>
          <w:lang w:eastAsia="en-US"/>
        </w:rPr>
        <w:t>אבן דאיהו יצר הרע כו'.</w:t>
      </w:r>
      <w:r>
        <w:rPr>
          <w:rFonts w:cs="Arial"/>
          <w:szCs w:val="24"/>
          <w:rtl/>
          <w:lang w:eastAsia="en-US"/>
        </w:rPr>
        <w:t xml:space="preserve"> רוצה לומר כמו שכתוב (בראשית כט ע"ב) והאבן גדולה על פי הבאר, ודרשו שהוא אבן נגף, יצר הרע, ובאר - פומא בית הכנסת שקורין בתורה כו', והאבן סותמת את הבאר דאינו יכול לדבר, דפומא וברית אינון אחד, ברית הלשון וברית המעור, ברית דתורה וברית המילה, וכמו שכיסו הוא על אבר המעור שלא להוציא פרי מעשהו, כן הוא על הלשון מלדבר, והוא אבן דיצר הרע דעוות אותו מגלגולא קדמאה כנ"ל, וזה שאומר דנשמתא ורוחא ונפשא בגין דא כו'. ואמר </w:t>
      </w:r>
      <w:r>
        <w:rPr>
          <w:rFonts w:cs="Arial"/>
          <w:b/>
          <w:bCs/>
          <w:szCs w:val="24"/>
          <w:rtl/>
          <w:lang w:eastAsia="en-US"/>
        </w:rPr>
        <w:t>ולא עוד אלא כו'.</w:t>
      </w:r>
      <w:r>
        <w:rPr>
          <w:rFonts w:cs="Arial"/>
          <w:szCs w:val="24"/>
          <w:rtl/>
          <w:lang w:eastAsia="en-US"/>
        </w:rPr>
        <w:t xml:space="preserve"> רוצה לומר שאין צריך קל וחומר, שהוא מפורש בקרא בהדיא:</w:t>
      </w:r>
    </w:p>
  </w:footnote>
  <w:footnote w:id="5586">
    <w:p w:rsidR="00A13282" w:rsidRDefault="00A13282" w:rsidP="006D2826">
      <w:pPr>
        <w:pStyle w:val="a5"/>
        <w:rPr>
          <w:rtl/>
        </w:rPr>
      </w:pPr>
      <w:r>
        <w:rPr>
          <w:rStyle w:val="a7"/>
          <w:rtl/>
        </w:rPr>
        <w:footnoteRef/>
      </w:r>
      <w:r>
        <w:rPr>
          <w:rtl/>
        </w:rPr>
        <w:t xml:space="preserve"> </w:t>
      </w:r>
      <w:r>
        <w:rPr>
          <w:b/>
          <w:bCs/>
          <w:rtl/>
        </w:rPr>
        <w:t>ומאן דייתי בגלגולא קדמאה כו' אם ייתי חוור כו'.</w:t>
      </w:r>
      <w:r>
        <w:rPr>
          <w:rtl/>
        </w:rPr>
        <w:t xml:space="preserve"> רוצה לומר בכל תיקונין דיליה, באנפוי ובגופא חיוורין, וקליה כתקיעה כמו שאומר למטה ועיין לעיל תיקון ל”ב:</w:t>
      </w:r>
    </w:p>
  </w:footnote>
  <w:footnote w:id="5587">
    <w:p w:rsidR="00A13282" w:rsidRDefault="00A13282" w:rsidP="006D2826">
      <w:pPr>
        <w:pStyle w:val="a5"/>
        <w:rPr>
          <w:rtl/>
        </w:rPr>
      </w:pPr>
      <w:r>
        <w:rPr>
          <w:rStyle w:val="a7"/>
          <w:rtl/>
        </w:rPr>
        <w:footnoteRef/>
      </w:r>
      <w:r>
        <w:rPr>
          <w:rtl/>
        </w:rPr>
        <w:t xml:space="preserve"> </w:t>
      </w:r>
      <w:r>
        <w:rPr>
          <w:b/>
          <w:bCs/>
          <w:rtl/>
        </w:rPr>
        <w:t>ובדא יתידע כו'.</w:t>
      </w:r>
      <w:r>
        <w:rPr>
          <w:rtl/>
        </w:rPr>
        <w:t xml:space="preserve"> רוצה לומר בגלגולא קדמאה זמנא קדמאה דיש דבה ג’ פעמים בגלגולא קדמאה דהיינו גלגולא דנפש דהוא גלגול קדמאה כמו שאומר למטה, ולמעלה סוף תיקון כ”ו, והוא בא עד דיתקין, ואח"כ בא הרוח וכל גלגולא דיליה הוא גלגולא תניינא, ואע"ג דלמטה קאמר דבגלגול הרביעי לא אשיבנו עוד, וכן אמר למעלה בתיקון ל”ב, הוא דווקא לרשעים גמורים דלא תיקן כלום בגלגול הנפש, אז הנפש אינו חוזר בגלגולא, ובא הרוח אח"כ בגלגול וגם הוא לא תיקן כלום, וכן בנשמה, אבל כשמתחיל להתתקן אע"ג שלא תיקן כל צרכו, מתגלגל ג’ פעמים בכל חלק, ועיין לעיל קכ"ה א' ומה שבארנו שם בענין הנקודין דשם בארוכה, וזה שאומר </w:t>
      </w:r>
      <w:r>
        <w:rPr>
          <w:b/>
          <w:bCs/>
          <w:rtl/>
        </w:rPr>
        <w:t>אם הוא קליה כו' אם הוא קליה כשברים איהו מזמנא תניינא ואם קלי' כתרועה איהו מזמנא תליתאה ואם גופיה כו' וקליה כתקיעה איהו מזמנא קדמאה ואם הדר כו'</w:t>
      </w:r>
      <w:r>
        <w:rPr>
          <w:rtl/>
        </w:rPr>
        <w:t xml:space="preserve"> רוצה לומר אם גופוי ואנפוי חיוורין - יורה דהוא מגלגולא קדמאה דנפש, אבל כיון דקליה כשברים - יורה דהוא בזמנא תניינא, דאתגלגל לתקן הנפש פעם שנית, ואם כתרועה - פעם שלישית, ואם גופו ואנפוי סומקין - יורה דהוא בגלגולא תניינא דרוח, ואם ירוקין - על תליתאה דנשמה כמו שאומר לעיל בתיקון ל”ב, אבל אם קליה כתקיעה - יורה דהוא פעם ראשון מזה הגלגול דנשמה, וכן הוא בסומקין - ברוח, אלא שנקט קצה האחרון וממילא ג"כ ברוח, ואמר </w:t>
      </w:r>
      <w:r>
        <w:rPr>
          <w:b/>
          <w:bCs/>
          <w:rtl/>
        </w:rPr>
        <w:t>ואם הדר לגווניה כו'</w:t>
      </w:r>
      <w:r>
        <w:rPr>
          <w:rtl/>
        </w:rPr>
        <w:t xml:space="preserve"> מורה שנתקן גלגול הראשון דיליה וכן בסומק וירוק בגלגולא דרוח ונפש כמו שמפרש והולך וכן אנפוי כו', ואמר </w:t>
      </w:r>
      <w:r>
        <w:rPr>
          <w:b/>
          <w:bCs/>
          <w:rtl/>
        </w:rPr>
        <w:t>ועוד אשכחנא כו'</w:t>
      </w:r>
      <w:r>
        <w:rPr>
          <w:rtl/>
        </w:rPr>
        <w:t xml:space="preserve"> רוצה לומר, בענין אחר לידע באיזה גלגול אם גלגול הראשון בנפש ואמר </w:t>
      </w:r>
      <w:r>
        <w:rPr>
          <w:b/>
          <w:bCs/>
          <w:rtl/>
        </w:rPr>
        <w:t>ב"נ דכל ציורין דיליה באורח מישור שקילין בתקלא ולזמנין כו'</w:t>
      </w:r>
      <w:r>
        <w:rPr>
          <w:rtl/>
        </w:rPr>
        <w:t xml:space="preserve"> רוצה לומר, דבר נש דאבריו אינן במדה ומשקל, מזה אין ללמוד, דעולה ושקר הוא, ס"א שריא ביה, ועיין לעיל קכ"ז א' אבל אם כולם ישרים לבד מאבר אחד, ולאו דאינון שוין בעצמן רק שהם יוצאים מתיקון שאר איברים, מורה על גלגול בחינה דיליה כמו שמפרש והולך, ואם אותו האבר אינו שוה - מורה שנתעוות שם כנ"ל, אבל כאן אמר ונפקין מתיקונא דציורין ודיוקנין אחרנין כו' דלאו אינון לפי הערך שאר האברים, ודלא [בהע"א וכלא] כמו שאומר קכ"ז א' למטה בהגהה, ואמר </w:t>
      </w:r>
      <w:r>
        <w:rPr>
          <w:b/>
          <w:bCs/>
          <w:rtl/>
        </w:rPr>
        <w:t>ת"ח ואתה כו'</w:t>
      </w:r>
      <w:r>
        <w:rPr>
          <w:rtl/>
        </w:rPr>
        <w:t xml:space="preserve"> שהן ד' תיקונין דאנפין, ד' אותיות הוי"ה, ד' דקרא (שמות יח כא) אנשי חיל כו', ועיין לעיל קכ"א א', קכ"ט א', ובזוהר חדש פ' יתרו בארוכה, ואמר דעיינין אודנין וחוטמא הן נשמתא ורוחא ונפשא, ג' חיוון, ופומא איהו כללא דכלהו, חיוא רביעאה, אדם - כללא דכולהו, ועיין שם ושאר מקומות ובזוהר חדש שם בארוכה הרבה, וזה שאומר למעלה דכל גלגולא הוא עד ד' פעמים, דכל חיוון יש להן ד' אנפין, זה ספר, י"ב אנפין כנ"ל, וזה שאומר אם חוטמא לאו כו', ואמר מלמטה למעלה - דתחילה נתגלגל הנפש כמו שאומר לעיל סוף תיקון כ”ו כסדר נפש רוח ונשמה, ואמר </w:t>
      </w:r>
      <w:r>
        <w:rPr>
          <w:b/>
          <w:bCs/>
          <w:rtl/>
        </w:rPr>
        <w:t>ה' שמעתי כו'</w:t>
      </w:r>
      <w:r>
        <w:rPr>
          <w:rtl/>
        </w:rPr>
        <w:t xml:space="preserve"> לראיה דשמיעה תליא ביראי אלקים, ועיין בזוהר חדש שם, ועיין מה שבארנו לעיל קכ"ח א', ואמר </w:t>
      </w:r>
      <w:r>
        <w:rPr>
          <w:b/>
          <w:bCs/>
          <w:rtl/>
        </w:rPr>
        <w:t>פוקד עון כו'</w:t>
      </w:r>
      <w:r>
        <w:rPr>
          <w:rtl/>
        </w:rPr>
        <w:t xml:space="preserve"> להורות דיש רבעים בגלגלולא וכמו שאומר בפ' יתרו צ"א ב' פוקד עון אבות על בנים על שלשים ועל רבעים אילנא חדא דאנציב חדא ותרין זמנין ותלתא וארבע זמנין ואתפקד כו' עיין שם, ואמר </w:t>
      </w:r>
      <w:r>
        <w:rPr>
          <w:b/>
          <w:bCs/>
          <w:rtl/>
        </w:rPr>
        <w:t>וכל נשמתין דאתיין תלת זמנין ולא כו'</w:t>
      </w:r>
      <w:r>
        <w:rPr>
          <w:rtl/>
        </w:rPr>
        <w:t xml:space="preserve"> רוצה לומר, תלת זמנין לבד מזמנא קדמאה שלא בא בגלגולא, והוה ליה כל ג' נר"ן יחד, ועיין מה שבארנו לעיל בתיקון ל”ב ובלקוטים שם:</w:t>
      </w:r>
    </w:p>
  </w:footnote>
  <w:footnote w:id="5588">
    <w:p w:rsidR="00A13282" w:rsidRDefault="00A13282" w:rsidP="006D2826">
      <w:pPr>
        <w:pStyle w:val="a5"/>
        <w:rPr>
          <w:rtl/>
        </w:rPr>
      </w:pPr>
      <w:r>
        <w:rPr>
          <w:rStyle w:val="a7"/>
          <w:rtl/>
        </w:rPr>
        <w:footnoteRef/>
      </w:r>
      <w:r>
        <w:rPr>
          <w:rtl/>
        </w:rPr>
        <w:t xml:space="preserve"> </w:t>
      </w:r>
      <w:r>
        <w:rPr>
          <w:b/>
          <w:bCs/>
          <w:rtl/>
        </w:rPr>
        <w:t>ודא איהו דור כו' רבינו כלילא משיתין רבוא.</w:t>
      </w:r>
      <w:r>
        <w:rPr>
          <w:rtl/>
        </w:rPr>
        <w:t xml:space="preserve"> וכן הוא למעלה בתיקון ס”ט, ורוצה לומר דדור הוא שיתין רבוא כמו שאומר שם וזהו דור הולך כו'. ואמר למעלה תיקון ס”ט דור הולך הוא דור שבא, לקיים מ'ה ש'היה ה'וא שיהיה שהוא משה דאתי בכל דרא, ואמר </w:t>
      </w:r>
      <w:r>
        <w:rPr>
          <w:b/>
          <w:bCs/>
          <w:rtl/>
        </w:rPr>
        <w:t>ושכינתא כד אתי' במשה בי' כו'.</w:t>
      </w:r>
      <w:r>
        <w:rPr>
          <w:rtl/>
        </w:rPr>
        <w:t xml:space="preserve"> רוצה לומר לפרש מה שאמרו אשה אחת ילדה כו' כמו שמפרש והולך, ורוצה לומר, אשה אחת הוא שכינתא דהיא אחת היא יונתי כו' אחת היא לאמה כו', והוא בכרס אחד כולל בנשמתא אחת, והוא מתפשט עד ס’ ריבוא ולאו דווקא בס’ ריבוא אלא עד ס’ ריבוא כפי זכיות הדור וכמו שאומר לעיל בתיקון ס”ט עיין מה שאומר שם, ואמר </w:t>
      </w:r>
      <w:r>
        <w:rPr>
          <w:b/>
          <w:bCs/>
          <w:rtl/>
        </w:rPr>
        <w:t>ואינון מרעין כו'</w:t>
      </w:r>
      <w:r>
        <w:rPr>
          <w:rtl/>
        </w:rPr>
        <w:t xml:space="preserve"> רוצה לומר, מה שאמר למעלה א' דכל חלאים ועוות הכל הוא מסטרא דלהון דההוא נחש עקלתון, ואמר למעלה בתיקון כ”ב דכל חלאין הוא מסטרא דחוויא דנשיך בכמה יסורין אבל בצדיקים הוא יסורים של אהבה מסטרא דשכינתא, בחביבו, ותורה מרפאתו אח"כ, וזה שאומר </w:t>
      </w:r>
      <w:r>
        <w:rPr>
          <w:b/>
          <w:bCs/>
          <w:rtl/>
        </w:rPr>
        <w:t>רפאות תהי לשרך,</w:t>
      </w:r>
      <w:r>
        <w:rPr>
          <w:rtl/>
        </w:rPr>
        <w:t xml:space="preserve"> והחלאין עצמן הן רפאות לו כמו שכתוב (ישעיהו נג י) וה' חפץ דכאו החלי, כמו שאמרו דמחי לגופא - לאנהרא לנשמתא, אבל ס"א הוא כקוף בפני אדם, ומחי ואינון מקטפין כמו נהורא בעץ רע דהוא קטיף ואינו מאיר, וזה שאומר </w:t>
      </w:r>
      <w:r>
        <w:rPr>
          <w:b/>
          <w:bCs/>
          <w:rtl/>
        </w:rPr>
        <w:t>אבל כד אינון כו'</w:t>
      </w:r>
      <w:r>
        <w:rPr>
          <w:rtl/>
        </w:rPr>
        <w:t xml:space="preserve"> </w:t>
      </w:r>
      <w:r>
        <w:rPr>
          <w:b/>
          <w:bCs/>
          <w:rtl/>
        </w:rPr>
        <w:t>שחרחורת</w:t>
      </w:r>
      <w:r>
        <w:rPr>
          <w:rtl/>
        </w:rPr>
        <w:t xml:space="preserve"> דלא נהיר כמו בצדיקיא, כד מבטשין לאעא אדליק הנהורא, וכמו שאמרו משל לקנקנים כו', ואמר </w:t>
      </w:r>
      <w:r>
        <w:rPr>
          <w:b/>
          <w:bCs/>
          <w:rtl/>
        </w:rPr>
        <w:t>דאלין שריין כו'</w:t>
      </w:r>
      <w:r>
        <w:rPr>
          <w:rtl/>
        </w:rPr>
        <w:t xml:space="preserve"> רוצה לומר העוות דשריא בחלאין דרשיעיא אינון מפתין לון לרשיעיא יותר, דבחשוכא דבהון דהוא המום שלהן - שם שריא ס"ם וסייעתו ומפתין ליה לילך בחשוכא יותר ולכן כל אשר בו מום לא יקרב, דווקא בחולי יש לומר רפאות תהי לשרך, מה שאין כן מום - מעוות אשר לא יוכל לתקון, והוא רשיעיא דקלקלו כנ"ל, ואמר </w:t>
      </w:r>
      <w:r>
        <w:rPr>
          <w:b/>
          <w:bCs/>
          <w:rtl/>
        </w:rPr>
        <w:t>כמה דהוו מפתין כו'</w:t>
      </w:r>
      <w:r>
        <w:rPr>
          <w:rtl/>
        </w:rPr>
        <w:t xml:space="preserve"> רוצה לומר, לפרש סיפא דקרא שאני שחרחורת ששזפתני השמש, ומפרש והולך, שש - בשית שעות אסתלק שמש, בעלה, בשית תיבין דיחודא, ישראל בעלה בו"ק, לפי שהשתחוו לאל אחר ופגמו באחד, ואסתלק קוצו של ד', יחודא, כמו שאומר לעיל בתיקון ב’, ואמרו (ברכות לג ע"א) אבל עקרב פוסק, ולכן (שה"ש א ו) בני אמי נחרו בי, דאמי מסטרא דאש, ארבע אש ממים כו', וכידוע, ועקרב הוא מאש, ולכן (ברכות נח ע"ב) מנח עוקציה בנהר דינור, (ע"ז כח ע"ב) חמימא לעקרבא, (פסחים צד ע"א) ועקרב בדרום, ועיין מה שבארנו לעיל קכ"ג ב' ובליקוטים, ולכן עשו באש, ואמר </w:t>
      </w:r>
      <w:r>
        <w:rPr>
          <w:b/>
          <w:bCs/>
          <w:rtl/>
        </w:rPr>
        <w:t>ובג"ד מני כו'</w:t>
      </w:r>
      <w:r>
        <w:rPr>
          <w:rtl/>
        </w:rPr>
        <w:t xml:space="preserve"> רוצה לומר לבער חמץ בין שש לשבע, דערב רב אינון חמץ ושאור, ואומין פלחי כוכביא - מוץ ותבן, ואינון קשין מאומין כמו שאומר לעיל, ולעתיד לבוא (דברים לג כח) ישראל בטח בדד עין יעקב ממומין תבלול חלזון נחש דאינון ערב רב דמכסין על עינא, ואיהי שחרחורת, ולעתיד לבא (ישעיהו ס א) קומי אורי כו', (ישעיהו לג כ) עיניך תראינה כו', (ישעיהו ל כ) והיו עיניך רואות את מוריך כו':</w:t>
      </w:r>
    </w:p>
  </w:footnote>
  <w:footnote w:id="5589">
    <w:p w:rsidR="00A13282" w:rsidRDefault="00A13282" w:rsidP="006D2826">
      <w:pPr>
        <w:pStyle w:val="aff7"/>
        <w:jc w:val="both"/>
        <w:rPr>
          <w:rFonts w:cs="Arial"/>
          <w:szCs w:val="24"/>
          <w:rtl/>
        </w:rPr>
      </w:pPr>
      <w:r>
        <w:rPr>
          <w:rStyle w:val="a7"/>
          <w:rFonts w:cs="Arial"/>
          <w:szCs w:val="24"/>
          <w:rtl/>
        </w:rPr>
        <w:footnoteRef/>
      </w:r>
      <w:r>
        <w:rPr>
          <w:rFonts w:cs="Arial"/>
          <w:szCs w:val="24"/>
          <w:rtl/>
        </w:rPr>
        <w:t xml:space="preserve"> </w:t>
      </w:r>
      <w:r>
        <w:rPr>
          <w:rFonts w:cs="Arial"/>
          <w:b/>
          <w:bCs/>
          <w:szCs w:val="24"/>
          <w:rtl/>
        </w:rPr>
        <w:t>ד"א זה ספר אר"ש כו'.</w:t>
      </w:r>
      <w:r>
        <w:rPr>
          <w:rFonts w:cs="Arial"/>
          <w:szCs w:val="24"/>
          <w:rtl/>
        </w:rPr>
        <w:t xml:space="preserve"> דזה - הוא צדיק, דביה אתחם י"ב תחומין כמו שאומר בסתרי תורה ריש פ' לך לך ובריש פ’ שמות, וזה שאומר לעיל ל"ב א' דמסטרא דהאי אות אמר למשה וזה לך האות, ואיהו כליל תרי עשר מזלות כו', והן י"ב אנפין הנ"ל דג' חיוון, וכלילין הכל בצדיק, ובפ' יתרו ע' א' ורזא אוליפנא זה ספר, אית ספר כו' ספר לתתא אקרי ספר הזכרון, ספר דההוא זכרון, ודא חד צדיק ואקרי זה, ובגין דלא לאפרשא, דאינון תדיר כחדא, יחודא חדא, דכתיב זה ספר, תרין דרגין דאינון חד, כללא דו"נ, ודא איהו כללא חדא דכל רוחין ונשמתין דפרחין בבני נשא, כללא דכל תולדות, אינון תולדות אדם ודאי, דהא מההוא צדיק דקאמרינן פרחין אינון נשמתין בתאובתא כו', וזה שאומר </w:t>
      </w:r>
      <w:r>
        <w:rPr>
          <w:rFonts w:cs="Arial"/>
          <w:b/>
          <w:bCs/>
          <w:szCs w:val="24"/>
          <w:rtl/>
        </w:rPr>
        <w:t>זה ספר ודאי</w:t>
      </w:r>
      <w:r>
        <w:rPr>
          <w:rFonts w:cs="Arial"/>
          <w:szCs w:val="24"/>
          <w:rtl/>
        </w:rPr>
        <w:t xml:space="preserve">, רוצה לומר דהוא כללא דו"נ כנ"ל, ועיין בזוהר פ’ ויקהל ר' א' ובפ' פקודי רמ"ו א' והאי אקרי ספר הזכרון דכתיב ויכתב ספר זכרון לפניו, בגין דספר וזכרון כתיב, בקשורא חדא, וזה שאמרו (ברכות ו ע"א) תרי מכתבי מילייהו בספר הזכרונות, חד כו', דשנים שלומדים כאחד הן ברזא דתרין דרגין אלין, דו"נ בזיווג הלשון כמו שאומר למעלה. ואמר </w:t>
      </w:r>
      <w:r>
        <w:rPr>
          <w:rFonts w:cs="Arial"/>
          <w:b/>
          <w:bCs/>
          <w:szCs w:val="24"/>
          <w:rtl/>
        </w:rPr>
        <w:t>זה ספר ודאי ולא אחרא</w:t>
      </w:r>
      <w:r>
        <w:rPr>
          <w:rFonts w:cs="Arial"/>
          <w:szCs w:val="24"/>
          <w:rtl/>
        </w:rPr>
        <w:t xml:space="preserve"> דאין מפיק תולדין רק איהו. ואמר </w:t>
      </w:r>
      <w:r>
        <w:rPr>
          <w:rFonts w:cs="Arial"/>
          <w:b/>
          <w:bCs/>
          <w:szCs w:val="24"/>
          <w:rtl/>
        </w:rPr>
        <w:t>ואינון תולדות אדם</w:t>
      </w:r>
      <w:r>
        <w:rPr>
          <w:rFonts w:cs="Arial"/>
          <w:szCs w:val="24"/>
          <w:rtl/>
        </w:rPr>
        <w:t xml:space="preserve"> רוצה לומר כל הנשמתין בכל י"ב ציורין הנ"ל - הכל תולדות אדם, עמודא דאמצעיתא, כתפארת אדם בי"ב הויות דביה הידועים, והצדיק - ביה כתובין, דהוא מפיק התולדין, וביה כל הציורין דאיהו אדם דיצירה, דביה וייצר ה' אלקים את האדם כו' כמו שאומר לעיל קי"ד א' ב', מפרש והולך הקרא </w:t>
      </w:r>
      <w:r>
        <w:rPr>
          <w:rFonts w:cs="Arial"/>
          <w:b/>
          <w:bCs/>
          <w:szCs w:val="24"/>
          <w:rtl/>
        </w:rPr>
        <w:t>לשבת בית מאן כו'</w:t>
      </w:r>
      <w:r>
        <w:rPr>
          <w:rFonts w:cs="Arial"/>
          <w:szCs w:val="24"/>
          <w:rtl/>
        </w:rPr>
        <w:t xml:space="preserve"> וכמו שאומר לא תהו בראה לשבת יצרה, לשבת הוא נייחא, דבה אשתכח נייח, ואמר </w:t>
      </w:r>
      <w:r>
        <w:rPr>
          <w:rFonts w:cs="Arial"/>
          <w:b/>
          <w:bCs/>
          <w:szCs w:val="24"/>
          <w:rtl/>
        </w:rPr>
        <w:t>ור"מ כו' ולך כו'</w:t>
      </w:r>
      <w:r>
        <w:rPr>
          <w:rFonts w:cs="Arial"/>
          <w:szCs w:val="24"/>
          <w:rtl/>
        </w:rPr>
        <w:t xml:space="preserve"> רוצה לומר שלכן כתיב ואתה תחזה כו' אתה ולא אחרא, שהוא בדרגא דעמודא דאמצעיתא דכליל כל דיוקנין כנ"ל. ואמר </w:t>
      </w:r>
      <w:r>
        <w:rPr>
          <w:rFonts w:cs="Arial"/>
          <w:b/>
          <w:bCs/>
          <w:szCs w:val="24"/>
          <w:rtl/>
        </w:rPr>
        <w:t>בציורין דההוא דאתמר ביה בדמות כו'.</w:t>
      </w:r>
      <w:r>
        <w:rPr>
          <w:rFonts w:cs="Arial"/>
          <w:szCs w:val="24"/>
          <w:rtl/>
        </w:rPr>
        <w:t xml:space="preserve"> רוצה לומר בנוק' דהיא דמות אלקים, ועיין שם [פ' יתרו] ע"ב בדמות דא איהו כהאי חיזו כו' וכמו שאומר לעיל ק"כ א' מאן בית דיליה, דא שכינתא דאתקריאת דמות כו', דכל דמיונין ופרצופין דבר נש - בה אשתמודען וכל ציורין כו' ועיין לעיל קל"ב א' כל שרטוטין וציורין ועובדין אינון אתחזיין בשכינתא תתאה דאיהי דמות כו' עיין שם בדבריו, וזה שאומר </w:t>
      </w:r>
      <w:r>
        <w:rPr>
          <w:rFonts w:cs="Arial"/>
          <w:b/>
          <w:bCs/>
          <w:szCs w:val="24"/>
          <w:rtl/>
        </w:rPr>
        <w:t>דכל ציורין דב"נ כו'</w:t>
      </w:r>
      <w:r>
        <w:rPr>
          <w:rFonts w:cs="Arial"/>
          <w:szCs w:val="24"/>
          <w:rtl/>
        </w:rPr>
        <w:t xml:space="preserve"> </w:t>
      </w:r>
      <w:r>
        <w:rPr>
          <w:rFonts w:cs="Arial"/>
          <w:b/>
          <w:bCs/>
          <w:szCs w:val="24"/>
          <w:rtl/>
        </w:rPr>
        <w:t>כרסיא ומרכבתא בך חקיקא אנת כו'</w:t>
      </w:r>
      <w:r>
        <w:rPr>
          <w:rFonts w:cs="Arial"/>
          <w:szCs w:val="24"/>
          <w:rtl/>
        </w:rPr>
        <w:t xml:space="preserve"> דהוא בעלה כו', איש האלקים, שהיא בדמות אלקים, ואין האשה מגלה בשרה אלא לחתן דילה, וכל ציורין דיליה - בה חקיקא כנ"ל קל"ב א', וזה שאומר </w:t>
      </w:r>
      <w:r>
        <w:rPr>
          <w:rFonts w:cs="Arial"/>
          <w:b/>
          <w:bCs/>
          <w:szCs w:val="24"/>
          <w:rtl/>
        </w:rPr>
        <w:t>ובג"כ ואתה תחזה מכל העם,</w:t>
      </w:r>
      <w:r>
        <w:rPr>
          <w:rFonts w:cs="Arial"/>
          <w:szCs w:val="24"/>
          <w:rtl/>
        </w:rPr>
        <w:t xml:space="preserve"> דהעם אינון ברזא דכנסת ישראל, רזא דגוונין, לכן הם רבים, והוא רזא דאור, בעלה דנהיר, והאור הוא אחד ואינו משתנה אלא לפי הגוונין, הוי"ה דנהיר, ועיין מה שבארנו לעיל סוף תיקון כ”ה, לכן רעיא מהימנא הוא אחד, והוא נהיר בכל ישראל, ובכל דור, ומשתנה נהורא בכל תלמיד חכם לפי המקבל שהוא הגוון, ושמשא לא נהיר לסיהרא אלא בראיה כמו שכתוב (בראשית ט טז) וראיתיה כו', ולכן ואתה תחזה, ושמת שרי אלפים שהן ד' אותיות אדני כמו שאומר לעיל ק"כ ב':</w:t>
      </w:r>
    </w:p>
  </w:footnote>
  <w:footnote w:id="5590">
    <w:p w:rsidR="00A13282" w:rsidRDefault="00A13282" w:rsidP="006D2826">
      <w:pPr>
        <w:pStyle w:val="a5"/>
        <w:rPr>
          <w:rtl/>
        </w:rPr>
      </w:pPr>
      <w:r>
        <w:rPr>
          <w:rStyle w:val="a7"/>
          <w:rtl/>
        </w:rPr>
        <w:footnoteRef/>
      </w:r>
      <w:r>
        <w:rPr>
          <w:rtl/>
        </w:rPr>
        <w:t xml:space="preserve"> </w:t>
      </w:r>
      <w:r>
        <w:rPr>
          <w:b/>
          <w:bCs/>
          <w:rtl/>
        </w:rPr>
        <w:t>ד"א זה ספר כו' כמה ספרין אינון ספרא כו'.</w:t>
      </w:r>
      <w:r>
        <w:rPr>
          <w:rtl/>
        </w:rPr>
        <w:t xml:space="preserve"> רוצה לומר, דזה ספר של תולדות, דכל הספרים של תולדות אדם הכל כלילין בזה הספר התורה, דכאן התחלת התורה, ועיין מה שבארנו לעיל תיקון ל”ב: </w:t>
      </w:r>
    </w:p>
  </w:footnote>
  <w:footnote w:id="5591">
    <w:p w:rsidR="00A13282" w:rsidRDefault="00A13282" w:rsidP="006D2826">
      <w:pPr>
        <w:pStyle w:val="a5"/>
        <w:rPr>
          <w:rtl/>
        </w:rPr>
      </w:pPr>
      <w:r>
        <w:rPr>
          <w:rStyle w:val="a7"/>
          <w:rtl/>
        </w:rPr>
        <w:footnoteRef/>
      </w:r>
      <w:r>
        <w:rPr>
          <w:rtl/>
        </w:rPr>
        <w:t xml:space="preserve"> </w:t>
      </w:r>
      <w:r>
        <w:rPr>
          <w:b/>
          <w:bCs/>
          <w:rtl/>
        </w:rPr>
        <w:t>והוה ר' כרוספדאי אתכניש כו'.</w:t>
      </w:r>
      <w:r>
        <w:rPr>
          <w:rtl/>
        </w:rPr>
        <w:t xml:space="preserve"> רוצה לומר, בההוא זמנא מת לכן ישבו שם בלא תורה, שאין אומרים שמועה והגדה בבית האבל אע"ג דהיא לא ידעה מכל מקום מפני כבודו של ר' כרוספדאי המת, וזה שאומר </w:t>
      </w:r>
      <w:r>
        <w:rPr>
          <w:b/>
          <w:bCs/>
          <w:rtl/>
        </w:rPr>
        <w:t>נפתח במילוי דאורייתא דלא ייתי כו'.</w:t>
      </w:r>
      <w:r>
        <w:rPr>
          <w:rtl/>
        </w:rPr>
        <w:t xml:space="preserve"> נדחקו עצמן ללמוד משום דלא ייתי תקלה דווקא, ודרשו בענין המת אף שרצו שלא תרגיש משום (ברכות ג ע"ב) שאין אומרים אלא מענינו כו':</w:t>
      </w:r>
    </w:p>
  </w:footnote>
  <w:footnote w:id="5592">
    <w:p w:rsidR="00A13282" w:rsidRDefault="00A13282" w:rsidP="006D2826">
      <w:pPr>
        <w:pStyle w:val="a5"/>
        <w:rPr>
          <w:rtl/>
        </w:rPr>
      </w:pPr>
      <w:r>
        <w:rPr>
          <w:rStyle w:val="a7"/>
          <w:rtl/>
        </w:rPr>
        <w:footnoteRef/>
      </w:r>
      <w:r>
        <w:rPr>
          <w:rtl/>
        </w:rPr>
        <w:t xml:space="preserve"> </w:t>
      </w:r>
      <w:r>
        <w:rPr>
          <w:b/>
          <w:bCs/>
          <w:rtl/>
        </w:rPr>
        <w:t>בההיא יונה קדישא.</w:t>
      </w:r>
      <w:r>
        <w:rPr>
          <w:rtl/>
        </w:rPr>
        <w:t xml:space="preserve"> רוצה לומר שכינתא כמו שאומר בתיקוני זוהר חדש ושאר מקומות:</w:t>
      </w:r>
    </w:p>
  </w:footnote>
  <w:footnote w:id="5593">
    <w:p w:rsidR="00A13282" w:rsidRDefault="00A13282" w:rsidP="006D2826">
      <w:pPr>
        <w:pStyle w:val="a5"/>
        <w:rPr>
          <w:rtl/>
        </w:rPr>
      </w:pPr>
      <w:r>
        <w:rPr>
          <w:rStyle w:val="a7"/>
          <w:rtl/>
        </w:rPr>
        <w:footnoteRef/>
      </w:r>
      <w:r>
        <w:rPr>
          <w:rtl/>
        </w:rPr>
        <w:t xml:space="preserve"> </w:t>
      </w:r>
      <w:r>
        <w:rPr>
          <w:b/>
          <w:bCs/>
          <w:rtl/>
        </w:rPr>
        <w:t>לבתר דהוי אזלי בארחא כו' מכל אינון נהורין כו' ותכהין כו'.</w:t>
      </w:r>
      <w:r>
        <w:rPr>
          <w:rtl/>
        </w:rPr>
        <w:t xml:space="preserve"> רוצה לומר (כמו ביצחק ממה שחזא בעקידה כן בוולד) מאלין מראות שחזא ולמד נשכח הכל ממנו ונשאר בחושך מן התורה לכן עינוי סתים על רמז דא, דהגוף לפי הנפש ואח"כ פותח עיני הגוף ואח"כ עיני הנפש להבין מהעולם הזה מעט מעט ואח"כ בתורה:</w:t>
      </w:r>
    </w:p>
  </w:footnote>
  <w:footnote w:id="5594">
    <w:p w:rsidR="00A13282" w:rsidRDefault="00A13282" w:rsidP="006D2826">
      <w:pPr>
        <w:pStyle w:val="a5"/>
        <w:rPr>
          <w:rtl/>
        </w:rPr>
      </w:pPr>
      <w:r>
        <w:rPr>
          <w:rStyle w:val="a7"/>
          <w:rtl/>
        </w:rPr>
        <w:footnoteRef/>
      </w:r>
      <w:r>
        <w:rPr>
          <w:rtl/>
        </w:rPr>
        <w:t xml:space="preserve"> </w:t>
      </w:r>
      <w:r>
        <w:rPr>
          <w:b/>
          <w:bCs/>
          <w:rtl/>
        </w:rPr>
        <w:t>ד"א זה ספר כו' דחנוך נער כו'.</w:t>
      </w:r>
      <w:r>
        <w:rPr>
          <w:rtl/>
        </w:rPr>
        <w:t xml:space="preserve"> דהוא תולדות אדם, והוא כדמותו בצלמו, ואשתאר בלבושא דיליה דהיא זיהרא עילאה דיליה כמו שאומר בזוהר חדש רות וזה שאומר ואמאי קרי ליה תולדות פירוש דמיניה נפקין והוא בגלגולא דנשמתא דיליה וכן הוא ברזא דגלגולין דכל גלגולין הכל הוא ברזא דההוא נער כמו שכתוב (תהלים קג טו) אנוש כחציר ימיו כי רוח כו' כמו שאומר שם בפ' פנחס וכמו שאומר בסוף תיקוני זוהר חדש, וזהו תולדות אדם, דבגלגול קדמאה הוא ברזא דאדם, בחיה דאדם ואח"כ הולך בגלגולא דג' חיוון, מרכבה דיליה, תולדין דאדם, וזה שאומר ואמאי אתקרי נער כו' לימי עלומיו כו' ברזא דגלגול, ואמר </w:t>
      </w:r>
      <w:r>
        <w:rPr>
          <w:b/>
          <w:bCs/>
          <w:rtl/>
        </w:rPr>
        <w:t>ולבתר נחית בההוא כו'.</w:t>
      </w:r>
      <w:r>
        <w:rPr>
          <w:rtl/>
        </w:rPr>
        <w:t xml:space="preserve"> דיוסף הוא בסוד מט"ט כמו שהוא ישראל זוטא נגד ישראל דלעילא, עמודא דאמצעיתא, ועיין ברעיא מהימנא סוף פ' בא, ואמר </w:t>
      </w:r>
      <w:r>
        <w:rPr>
          <w:b/>
          <w:bCs/>
          <w:rtl/>
        </w:rPr>
        <w:t xml:space="preserve">מאי דבתם רעה אלא דהוה מגזעא כו'. </w:t>
      </w:r>
      <w:r>
        <w:rPr>
          <w:rtl/>
        </w:rPr>
        <w:t xml:space="preserve">דמט"ט הוא האדם שבראו הקב"ה לשלוט על כל צבא השמים, עוף יעופף כו' כמו שאומר למעלה, וכיון שחטא לקח חנוך מעלתו, ואותן שקטרגו על האדם בשעת בריאה, מגזעא דלהון ג"כ קטרגו על חנוך בשעה שנתעלה לשמים והשליטו על כל צבא השמים במחשבה ואח"כ במעשה, וכמו שחנוך הוא מגזעא דאדם כן אותן שמגזעא דלהון קטרגו עליו, וזהו ויבא יוסף את דבתם שעל ידו הובא דבתם רעה אל אביהם ונטרדו על ידו וישנאו אותו כו' וכמו שכתוב ואיבה אשית בין זרעך כו'. ואמר </w:t>
      </w:r>
      <w:r>
        <w:rPr>
          <w:b/>
          <w:bCs/>
          <w:rtl/>
        </w:rPr>
        <w:t>כגוונא דמלכא כו'.</w:t>
      </w:r>
      <w:r>
        <w:rPr>
          <w:rtl/>
        </w:rPr>
        <w:t xml:space="preserve"> שהכל הוא רמז על נער דלעילא ויסר טבעתו כו' (הגהה: דהוא חתים למעלה כידוע) במרכבת המשנה, בד' חיות הקודש, וכל הפרשה כידוע, וזהו מה אנוש - חנוך דאנוש, ועיין בתיקוני זוהר חדש פ"ו ב' אנוש כחציר כו' כנ"ל ובן אדם דהוא תולדות אדם כנ"ל ואת בני בלהה כו' דד' נשין דיעקב אינון ד' רישי נהרין כמו שאומר בפ' פקודי ואינון שנים מסטרא דשמאלא דקטרגו כמו שאמרו קרא לכת הראשונה לשניה כו' וכמו שאמרו (בראשית רבה פרשה ח) אמת אמר אל יברא וכן שלום, והן השפחות מסטרא דשמאלא כידוע לכן מחנה דן לשמאלא ואינון נשרפו כו' ואינון הן מגזעא דלהון, וזה שאומר </w:t>
      </w:r>
      <w:r>
        <w:rPr>
          <w:b/>
          <w:bCs/>
          <w:rtl/>
        </w:rPr>
        <w:t>א"ל והא עז"א כו'</w:t>
      </w:r>
      <w:r>
        <w:rPr>
          <w:rtl/>
        </w:rPr>
        <w:t xml:space="preserve"> </w:t>
      </w:r>
      <w:r>
        <w:rPr>
          <w:b/>
          <w:bCs/>
          <w:rtl/>
        </w:rPr>
        <w:t>א"ל אחרנין הוו.</w:t>
      </w:r>
      <w:r>
        <w:rPr>
          <w:rtl/>
        </w:rPr>
        <w:t xml:space="preserve"> והן הנ"ל דאתכנשו עמהון דעזא ועזאל, ואלו עזא ועזאל הן הקשין שבב' כתות, והן כל אחת מכת אחת, והן ב' דפסוק מה אנוש כו' ובן אדם כו', ב' קטרוגין:</w:t>
      </w:r>
    </w:p>
  </w:footnote>
  <w:footnote w:id="5595">
    <w:p w:rsidR="00A13282" w:rsidRDefault="00A13282" w:rsidP="006D2826">
      <w:pPr>
        <w:pStyle w:val="a5"/>
        <w:rPr>
          <w:rtl/>
        </w:rPr>
      </w:pPr>
      <w:r>
        <w:rPr>
          <w:rStyle w:val="a7"/>
          <w:rtl/>
        </w:rPr>
        <w:footnoteRef/>
      </w:r>
      <w:r>
        <w:rPr>
          <w:rtl/>
        </w:rPr>
        <w:t xml:space="preserve"> </w:t>
      </w:r>
      <w:r>
        <w:rPr>
          <w:bCs/>
          <w:rtl/>
        </w:rPr>
        <w:t>וחותמא דילי בידיה דאיהו חותם בברית.</w:t>
      </w:r>
      <w:r>
        <w:rPr>
          <w:rtl/>
        </w:rPr>
        <w:t xml:space="preserve"> רוצה לומר וזהו ויסר את טבעתו ויתנה כו', חותם המלך, טבעת המלך דהוא טבעת הברית כמו שאומר לעיל תיקון מ”ז ואשלטיה בזה על הכל כמו יוסף בשביל שמירת הברית כן האדם זוכה בשבילו לשלטאה בעולם הבא על המלאכים, וכן חנוך בשביל שמירת הברית בדור המבול זכה לזה כידוע במדרש רבה ותקן חובא דאדם ונעשה דוגמתו כנ"ל, ואמר </w:t>
      </w:r>
      <w:r>
        <w:rPr>
          <w:b/>
          <w:bCs/>
          <w:rtl/>
        </w:rPr>
        <w:t>גבורי כח.</w:t>
      </w:r>
      <w:r>
        <w:rPr>
          <w:rtl/>
        </w:rPr>
        <w:t xml:space="preserve"> שכח הוא ימין כמו שכתוב (שמות טו ו) ימינך ה' נאדרי בכח כמו שאומר לעיל ס"א א' ואיהי התקפתא כו':</w:t>
      </w:r>
    </w:p>
  </w:footnote>
  <w:footnote w:id="5596">
    <w:p w:rsidR="00A13282" w:rsidRDefault="00A13282" w:rsidP="006D2826">
      <w:pPr>
        <w:pStyle w:val="a5"/>
        <w:rPr>
          <w:rtl/>
        </w:rPr>
      </w:pPr>
      <w:r>
        <w:rPr>
          <w:rStyle w:val="a7"/>
          <w:rtl/>
        </w:rPr>
        <w:footnoteRef/>
      </w:r>
      <w:r>
        <w:rPr>
          <w:rtl/>
        </w:rPr>
        <w:t xml:space="preserve"> </w:t>
      </w:r>
      <w:r>
        <w:rPr>
          <w:b/>
          <w:bCs/>
          <w:rtl/>
        </w:rPr>
        <w:t>ועושי דברו.</w:t>
      </w:r>
      <w:r>
        <w:rPr>
          <w:rtl/>
        </w:rPr>
        <w:t xml:space="preserve"> רוצה לומר כי מט"ט הוא דברו, שעל ידו נשמע פתגם המלך לכל חיילי רקיע, והן עשו לשמוע בקול דברו, כמו שכתוב (ישעיהו נ י) שומע בקול עבדו, (בראשית כד ב) עבדו זקן ביתו כמו שאומר בפ' בלק, וזה שאומר ודא מט"ט, ואמר </w:t>
      </w:r>
      <w:r>
        <w:rPr>
          <w:b/>
          <w:bCs/>
          <w:rtl/>
        </w:rPr>
        <w:t>לקבליה יוסף לתתא</w:t>
      </w:r>
      <w:r>
        <w:rPr>
          <w:rtl/>
        </w:rPr>
        <w:t xml:space="preserve"> כמו שכתוב (בראשית מא מד) ומבלעדיך לא ירים איש כו', ואמר </w:t>
      </w:r>
      <w:r>
        <w:rPr>
          <w:b/>
          <w:bCs/>
          <w:rtl/>
        </w:rPr>
        <w:t>והוו אחרנין דהוו כו'.</w:t>
      </w:r>
      <w:r>
        <w:rPr>
          <w:rtl/>
        </w:rPr>
        <w:t xml:space="preserve"> כנ"ל, ואמר </w:t>
      </w:r>
      <w:r>
        <w:rPr>
          <w:b/>
          <w:bCs/>
          <w:rtl/>
        </w:rPr>
        <w:t>ולאו דאינון כו'</w:t>
      </w:r>
      <w:r>
        <w:rPr>
          <w:rtl/>
        </w:rPr>
        <w:t xml:space="preserve"> </w:t>
      </w:r>
      <w:r>
        <w:rPr>
          <w:b/>
          <w:bCs/>
          <w:rtl/>
        </w:rPr>
        <w:t xml:space="preserve">דאתכנשו עמהון </w:t>
      </w:r>
      <w:r>
        <w:rPr>
          <w:rtl/>
        </w:rPr>
        <w:t>אמת שהן מסטרא דדינא כמו שמעון ולוי אבל לא מסטרא דעזא ועזאל אלא מסטרא דקדושה ואח"כ קבלו עליהם למלך, ויבואו אחיו וישתחוו לפניו, וכלכל אותם, ולא עזא ועזאל דעליהן נאמר (בראשית מט ז) ארור אפם כי עז ועברתם, אפם ועברתם הם מסטרא דאלו ב' עזא ועזאל אבל הן עצמן הן מסטרא דהנ"ל דאח"כ נשתוו עמיה, וכן באחיו אין כולם היו שונאים אותו במדרש רבה כמו שאמרו מי הוו אם תאמר ראובן כו':</w:t>
      </w:r>
    </w:p>
  </w:footnote>
  <w:footnote w:id="5597">
    <w:p w:rsidR="00A13282" w:rsidRDefault="00A13282" w:rsidP="006D2826">
      <w:pPr>
        <w:pStyle w:val="a5"/>
        <w:rPr>
          <w:rtl/>
        </w:rPr>
      </w:pPr>
      <w:r>
        <w:rPr>
          <w:rStyle w:val="a7"/>
          <w:rtl/>
        </w:rPr>
        <w:footnoteRef/>
      </w:r>
      <w:r>
        <w:rPr>
          <w:rtl/>
        </w:rPr>
        <w:t xml:space="preserve"> </w:t>
      </w:r>
      <w:r>
        <w:rPr>
          <w:b/>
          <w:bCs/>
          <w:rtl/>
        </w:rPr>
        <w:t>ויחי אדם כו'.</w:t>
      </w:r>
      <w:r>
        <w:rPr>
          <w:rtl/>
        </w:rPr>
        <w:t xml:space="preserve"> רוצה לומר, דתולדין דיליה אינון ברזא דד' חיוון וזהו שת כמו שמפרש והולך ש' בתלת ענפין ג' חיוון כמו שאומר לעיל ק"ט ק"י ושאר מקומות. ואמר </w:t>
      </w:r>
      <w:r>
        <w:rPr>
          <w:b/>
          <w:bCs/>
          <w:rtl/>
        </w:rPr>
        <w:t>ת' איהי נר ה' כו'.</w:t>
      </w:r>
      <w:r>
        <w:rPr>
          <w:rtl/>
        </w:rPr>
        <w:t xml:space="preserve"> רוצה לומר דג' הוא חג"ת, ורביעית - מלכות, והיא נקרא ת', ועיין בריש פ’ חוקת ק"פ ב', ות' לעולם סיום הפרצוף, מלכות דהיא חיה הרביעית, אדם דכליל כולא, ואמר איהי נר ה' כו' להורות דאדם הוא בה דהיא נקרא נר ה', נר מצוה, כמו שאומר לעיל תיקון כ’ ושאר מקומות, וכתיב נשמת אדם. ואמר </w:t>
      </w:r>
      <w:r>
        <w:rPr>
          <w:b/>
          <w:bCs/>
          <w:rtl/>
        </w:rPr>
        <w:t>דאתמר בה ודמות כו'.</w:t>
      </w:r>
      <w:r>
        <w:rPr>
          <w:rtl/>
        </w:rPr>
        <w:t xml:space="preserve"> הוא עוד לראיה דהוא בה, דכתיב ודמות פניהם דקאי על כלהו, דכלם דמות אדם כידוע, אלמא אדם הוא דכליל כל דיוקנין, והוא בעמודא דאמצעיתא דכליל כלא. ואמר </w:t>
      </w:r>
      <w:r>
        <w:rPr>
          <w:b/>
          <w:bCs/>
          <w:rtl/>
        </w:rPr>
        <w:t>ודא איהו ויולד בדמותו כצלמו</w:t>
      </w:r>
      <w:r>
        <w:rPr>
          <w:rtl/>
        </w:rPr>
        <w:t xml:space="preserve"> דהוא אדם בדיוקניה והוא אדם באלף והוא בתי"ו דיוקניה, דנוק' היא בא"ת ב"ש עם דכורא כמו שאומר בזוהר חדש שה"ש ולכן היא חותם דיליה כמו שבא האותיות בחותם בהפוכא ולכן ש"ת הוא א"ב, דמות האב, והוא בדמותו בנוק', אדם בצלמו בג' חיוון בדכורא כמו שאומר בריש פ’ שמיני צלם בדכורא ודמות בנוקבא וע"ד כו':</w:t>
      </w:r>
    </w:p>
  </w:footnote>
  <w:footnote w:id="5598">
    <w:p w:rsidR="00A13282" w:rsidRDefault="00A13282" w:rsidP="006D2826">
      <w:pPr>
        <w:pStyle w:val="a5"/>
        <w:rPr>
          <w:rtl/>
        </w:rPr>
      </w:pPr>
      <w:r>
        <w:rPr>
          <w:rStyle w:val="a7"/>
          <w:rtl/>
        </w:rPr>
        <w:footnoteRef/>
      </w:r>
      <w:r>
        <w:rPr>
          <w:rtl/>
        </w:rPr>
        <w:t xml:space="preserve"> </w:t>
      </w:r>
      <w:r>
        <w:rPr>
          <w:b/>
          <w:bCs/>
          <w:rtl/>
        </w:rPr>
        <w:t>ויהיו כל כו'.</w:t>
      </w:r>
      <w:r>
        <w:rPr>
          <w:rtl/>
        </w:rPr>
        <w:t xml:space="preserve"> על ימות המשיח דאז יהיה כלל האדם חי, וכן סיהרא קדישא דמות אדם, דוד חי וקיים, עטרת הברית דאתפשט מעור של נחש, כי אמילם בג' ערלה ופריעה ועיין לעיל בהקדמה ובתיקוני זוהר חדש כי בע' לאלף הו', וע' שנין הוא חבלים דיליה שביה אולידת ליה ודוד מלכא אשלים אותם השנים, (שמואל ב כג א) משיח אלקי יעקב, לכן אלף שנים הוא דיליה, והוא סוד ה"א שבה נברא העולם, (מלכים א ה יב) ה' ואל"ף, אלף דאדם שהוא דמשיח, וה' שנים הנותרות והוא סוד שירו חמשה ואלף, ועל שאר השנים אמר </w:t>
      </w:r>
      <w:r>
        <w:rPr>
          <w:b/>
          <w:bCs/>
          <w:rtl/>
        </w:rPr>
        <w:t>ושאר שנים בתוספ' כו'</w:t>
      </w:r>
      <w:r>
        <w:rPr>
          <w:rtl/>
        </w:rPr>
        <w:t xml:space="preserve"> דהוא ה' דהאדם דאלף חיותה דהוא נשמת אדם, כי תמלא הארץ דעה, אלף אכסדרין. ואמר </w:t>
      </w:r>
      <w:r>
        <w:rPr>
          <w:b/>
          <w:bCs/>
          <w:rtl/>
        </w:rPr>
        <w:t>בגין דהוה עתיד כו'.</w:t>
      </w:r>
      <w:r>
        <w:rPr>
          <w:rtl/>
        </w:rPr>
        <w:t xml:space="preserve"> רוצה לומר אותן ע' דסיהרא הוא בחבלים וצירין שעליהם התפלל דוד יענך ה' בע' קלין, והוא אשלים בשנוי טוב יום בחצריך מאלף, וזה שאומר </w:t>
      </w:r>
      <w:r>
        <w:rPr>
          <w:b/>
          <w:bCs/>
          <w:rtl/>
        </w:rPr>
        <w:t>והכא רזא דפורקנא</w:t>
      </w:r>
      <w:r>
        <w:rPr>
          <w:rtl/>
        </w:rPr>
        <w:t xml:space="preserve"> וששת אלפים הן ו"ק, ואלף הו' ח"י עלמין לכן הוא ח"י, ואין בכל האברים נקראין ח"י רק הוא, וכן מוחין - חו"ב, אלפים שנה קדומה, ולכן בן איש חי כו' אבל מכל מקום הוא לפי שהוא בדרגא דצדיק כמו שאומר לעיל ריש תיקון כ"א ובריש פ’ בראשית:</w:t>
      </w:r>
    </w:p>
  </w:footnote>
  <w:footnote w:id="5599">
    <w:p w:rsidR="00A13282" w:rsidRDefault="00A13282" w:rsidP="006D2826">
      <w:pPr>
        <w:pStyle w:val="a5"/>
        <w:rPr>
          <w:rtl/>
        </w:rPr>
      </w:pPr>
      <w:r>
        <w:rPr>
          <w:rStyle w:val="a7"/>
          <w:rtl/>
        </w:rPr>
        <w:footnoteRef/>
      </w:r>
      <w:r>
        <w:rPr>
          <w:rtl/>
        </w:rPr>
        <w:t xml:space="preserve"> </w:t>
      </w:r>
      <w:r>
        <w:rPr>
          <w:b/>
          <w:bCs/>
          <w:rtl/>
        </w:rPr>
        <w:t>ובליקוטיו ז"ל.</w:t>
      </w:r>
      <w:r>
        <w:rPr>
          <w:rtl/>
        </w:rPr>
        <w:t xml:space="preserve"> אלא כל יומין דהוה חי כו'. רוצה לומר, דכל תולדות ג"כ אדם הוא, והוא בכולם אלא דחייו ממש הוא תתק"ל דאז חי דהוא דרגא דחכמה ואח"כ כיון שנסתלק אדם החכמה, נשאר הוא מת, וזה שאומר וע' דחסרו מאלף, דאלף קדמאה הוא ברזא דחכמה דהוא חיים, החכמה תחיה בעליה, והשלימן דוד דהוא נמי חי, ונקרא חי וקיים, והוא סופו של אדם וזה שאומר לעיל אריכו דיומין כו', וכמו שאומר שם דו' אלפי שנה נחלק לג' חלקים נגד ג' דרגין, ב' הראשונות נגד ג"ר דשם אריכו דיומין, אדם, חכמה, ונח - שבת, בינה, ב' אלפים הראשונות, אברהם חסד התחלת אלף השלישי, ועיין מה שבארנו שם. ואמר בהבראם בה' זעירא. רוצה לומר דעולם נברא בה"א ולכן ששת אלפים שנה עלמא, ה"א, ואלף הששי הוא עלמא גניזו, עלמא דחירו, לכן הוא נעלם, ויש אותיות גדולות בבינה ויש קטנות ולכן כאן ה' זעירא, ה' דאברהם, ברתיה דאברהם, וענין ה"א - ו"ק כנ"ל, דחסד הוא כללם, וידוע באידרא רבה, וכמו שאומר בספרא דצניעותא בארוכה שכל החיים הוא מה"א, רוחא דנשיב מפרדשקא, ה' רוחא דחיי ולכן יומין אריכין - ה' רבתא כו', וכן הבל דבר נש דהוא רוח החיים שבאדם:</w:t>
      </w:r>
    </w:p>
  </w:footnote>
  <w:footnote w:id="5600">
    <w:p w:rsidR="00A13282" w:rsidRDefault="00A13282" w:rsidP="006D2826">
      <w:pPr>
        <w:pStyle w:val="a5"/>
        <w:rPr>
          <w:rtl/>
        </w:rPr>
      </w:pPr>
      <w:r>
        <w:rPr>
          <w:rStyle w:val="a7"/>
          <w:rtl/>
        </w:rPr>
        <w:footnoteRef/>
      </w:r>
      <w:r>
        <w:rPr>
          <w:rtl/>
        </w:rPr>
        <w:t xml:space="preserve"> </w:t>
      </w:r>
      <w:r>
        <w:rPr>
          <w:b/>
          <w:bCs/>
          <w:rtl/>
        </w:rPr>
        <w:t>עשר דרין כו'.</w:t>
      </w:r>
      <w:r>
        <w:rPr>
          <w:rtl/>
        </w:rPr>
        <w:t xml:space="preserve"> לרמוז לפורקנא בעשר דרין, (ישעיהו סה כ) כי הנער בן מאה כו', ונח מפרש והולך </w:t>
      </w:r>
      <w:r>
        <w:rPr>
          <w:b/>
          <w:bCs/>
          <w:rtl/>
        </w:rPr>
        <w:t>ויולד בן ויקרא כו'</w:t>
      </w:r>
      <w:r>
        <w:rPr>
          <w:rtl/>
        </w:rPr>
        <w:t xml:space="preserve">, יום השביעי שבת דבה נייחא מכל הגלגולין, שאף לעתיד לבא יתגלגלו הכל לאשלמא כידוע עד יום השביעי כי בו שבת מכל מלאכתו בגלגולין אשר ברא אלקים לעשות זהו לעשות, וזה שאומר </w:t>
      </w:r>
      <w:r>
        <w:rPr>
          <w:b/>
          <w:bCs/>
          <w:rtl/>
        </w:rPr>
        <w:t>דאיהו שבת</w:t>
      </w:r>
      <w:r>
        <w:rPr>
          <w:rtl/>
        </w:rPr>
        <w:t xml:space="preserve"> דעל שמו נח, וינח ביום השביעי, ועיין בריש פ’ נח נ"ט ב' ר' אליעזר אמר אלה כו' ודא עביד נייחא כד"א כי בו שבת כו' תא חזי כו', ולא הביא הקרא ויחי למך אלא לסיים ויולד בן ויקרא כו', והוא דור עשירי, גלגול האחרון שבו נחו ואתיישבו, ואמר </w:t>
      </w:r>
      <w:r>
        <w:rPr>
          <w:b/>
          <w:bCs/>
          <w:rtl/>
        </w:rPr>
        <w:t>ואפיק לון לעלם</w:t>
      </w:r>
      <w:r>
        <w:rPr>
          <w:rtl/>
        </w:rPr>
        <w:t xml:space="preserve"> רוצה לומר שיהיו חיים וקיימים לעולם, והוציא אותן כולם לעולם, שבגלגול זה האחרון נתיישבו, דוגמת תולדות האדם דכולם נמחו ואח"כ נתיישבו כולן בתולדות נח ונתברך ג"כ פרו כו' ומאלה נפצה כו':</w:t>
      </w:r>
    </w:p>
  </w:footnote>
  <w:footnote w:id="5601">
    <w:p w:rsidR="00A13282" w:rsidRDefault="00A13282" w:rsidP="006D2826">
      <w:pPr>
        <w:pStyle w:val="a5"/>
        <w:rPr>
          <w:rtl/>
        </w:rPr>
      </w:pPr>
      <w:r>
        <w:rPr>
          <w:rStyle w:val="a7"/>
          <w:rtl/>
        </w:rPr>
        <w:footnoteRef/>
      </w:r>
      <w:r>
        <w:rPr>
          <w:rtl/>
        </w:rPr>
        <w:t xml:space="preserve"> </w:t>
      </w:r>
      <w:r>
        <w:rPr>
          <w:b/>
          <w:bCs/>
          <w:rtl/>
        </w:rPr>
        <w:t>אר"א כו' א"ל ברי כו'.</w:t>
      </w:r>
      <w:r>
        <w:rPr>
          <w:rtl/>
        </w:rPr>
        <w:t xml:space="preserve"> דששת אלפים הוא ו"ק רוצה לומר קצוות ימינא ושמאלא שהן כוללין האמצעי שאינו אלא כללא דלהון כידוע ולכן נתחלקה לג' חלקים, ב' אלפים תהו נגד חו"ב שהן תהו בלא השגה, ב' תורה - מזה ומזה הם כתובים, ב' נגד ב' משיחין, ימות המשיח [יבבי"א]:</w:t>
      </w:r>
    </w:p>
    <w:p w:rsidR="00A13282" w:rsidRDefault="00A13282" w:rsidP="006D2826">
      <w:pPr>
        <w:pStyle w:val="a5"/>
        <w:rPr>
          <w:rtl/>
        </w:rPr>
      </w:pPr>
    </w:p>
  </w:footnote>
  <w:footnote w:id="5602">
    <w:p w:rsidR="00A13282" w:rsidRDefault="00A13282" w:rsidP="006F705A">
      <w:pPr>
        <w:pStyle w:val="a5"/>
        <w:rPr>
          <w:rtl/>
        </w:rPr>
      </w:pPr>
      <w:r>
        <w:rPr>
          <w:rStyle w:val="a7"/>
          <w:rtl/>
        </w:rPr>
        <w:footnoteRef/>
      </w:r>
      <w:r>
        <w:rPr>
          <w:rtl/>
        </w:rPr>
        <w:t xml:space="preserve"> </w:t>
      </w:r>
      <w:r>
        <w:rPr>
          <w:rFonts w:hAnsi="Courier New"/>
          <w:b/>
          <w:bCs/>
          <w:rtl/>
        </w:rPr>
        <w:t>תיקון ב' בראשית ברא כו' תיש כו'.</w:t>
      </w:r>
      <w:r>
        <w:rPr>
          <w:rFonts w:hAnsi="Courier New"/>
          <w:rtl/>
        </w:rPr>
        <w:t xml:space="preserve"> רוצה לומר גבורה, יום שני:</w:t>
      </w:r>
    </w:p>
  </w:footnote>
  <w:footnote w:id="5603">
    <w:p w:rsidR="00A13282" w:rsidRDefault="00A13282" w:rsidP="006F705A">
      <w:pPr>
        <w:pStyle w:val="a5"/>
        <w:rPr>
          <w:rtl/>
        </w:rPr>
      </w:pPr>
      <w:r>
        <w:rPr>
          <w:rStyle w:val="a7"/>
          <w:rtl/>
        </w:rPr>
        <w:footnoteRef/>
      </w:r>
      <w:r>
        <w:rPr>
          <w:rtl/>
        </w:rPr>
        <w:t xml:space="preserve"> </w:t>
      </w:r>
      <w:r>
        <w:rPr>
          <w:rFonts w:hAnsi="Courier New"/>
          <w:b/>
          <w:bCs/>
          <w:rtl/>
        </w:rPr>
        <w:t>לעולה דיצחק.</w:t>
      </w:r>
      <w:r>
        <w:rPr>
          <w:rFonts w:hAnsi="Courier New"/>
          <w:rtl/>
        </w:rPr>
        <w:t xml:space="preserve"> רוצה לומר שנאמר הנה האש כו' לעולה, וזה שאומר ורזא דמלה הנה האש כו':</w:t>
      </w:r>
    </w:p>
  </w:footnote>
  <w:footnote w:id="5604">
    <w:p w:rsidR="00A13282" w:rsidRDefault="00A13282" w:rsidP="006F705A">
      <w:pPr>
        <w:pStyle w:val="a5"/>
        <w:rPr>
          <w:rtl/>
        </w:rPr>
      </w:pPr>
      <w:r>
        <w:rPr>
          <w:rStyle w:val="a7"/>
          <w:rtl/>
        </w:rPr>
        <w:footnoteRef/>
      </w:r>
      <w:r>
        <w:rPr>
          <w:rtl/>
        </w:rPr>
        <w:t xml:space="preserve"> </w:t>
      </w:r>
      <w:r>
        <w:rPr>
          <w:b/>
          <w:bCs/>
          <w:rtl/>
        </w:rPr>
        <w:t>נ</w:t>
      </w:r>
      <w:r>
        <w:rPr>
          <w:rFonts w:hAnsi="Courier New"/>
          <w:b/>
          <w:bCs/>
          <w:rtl/>
        </w:rPr>
        <w:t>פק קלא ואמר משית כו'.</w:t>
      </w:r>
      <w:r>
        <w:rPr>
          <w:rFonts w:hAnsi="Courier New"/>
          <w:rtl/>
        </w:rPr>
        <w:t xml:space="preserve"> רוצה לומר מה שכתוב ויאמר אברהם אלקים יראה כו' הוא קלא דלעילא, ואמר אלקים יראה כו' אלקים דבראשית כבר ראה לו שנאמר בראשית כו':</w:t>
      </w:r>
    </w:p>
  </w:footnote>
  <w:footnote w:id="5605">
    <w:p w:rsidR="00A13282" w:rsidRDefault="00A13282" w:rsidP="006F705A">
      <w:pPr>
        <w:pStyle w:val="a5"/>
        <w:rPr>
          <w:rtl/>
        </w:rPr>
      </w:pPr>
      <w:r>
        <w:rPr>
          <w:rStyle w:val="a7"/>
          <w:rtl/>
        </w:rPr>
        <w:footnoteRef/>
      </w:r>
      <w:r>
        <w:rPr>
          <w:rtl/>
        </w:rPr>
        <w:t xml:space="preserve"> </w:t>
      </w:r>
      <w:r>
        <w:rPr>
          <w:rFonts w:hAnsi="Courier New"/>
          <w:b/>
          <w:bCs/>
          <w:rtl/>
        </w:rPr>
        <w:t>בגין דלא כו'.</w:t>
      </w:r>
      <w:r>
        <w:rPr>
          <w:rFonts w:hAnsi="Courier New"/>
          <w:rtl/>
        </w:rPr>
        <w:t xml:space="preserve"> רוצה לומר לכך נברא בשית יומי בראשית, וכמו שאמרו (אבות ה ו) וי"א אף כו' ואילו של אברהם אבינו:</w:t>
      </w:r>
    </w:p>
  </w:footnote>
  <w:footnote w:id="5606">
    <w:p w:rsidR="00A13282" w:rsidRDefault="00A13282" w:rsidP="006F705A">
      <w:pPr>
        <w:pStyle w:val="a5"/>
        <w:rPr>
          <w:rtl/>
        </w:rPr>
      </w:pPr>
      <w:r>
        <w:rPr>
          <w:rStyle w:val="a7"/>
          <w:rtl/>
        </w:rPr>
        <w:footnoteRef/>
      </w:r>
      <w:r>
        <w:rPr>
          <w:rtl/>
        </w:rPr>
        <w:t xml:space="preserve"> </w:t>
      </w:r>
      <w:r>
        <w:rPr>
          <w:rFonts w:hAnsi="Courier New"/>
          <w:b/>
          <w:bCs/>
          <w:rtl/>
        </w:rPr>
        <w:t>דבטיל מותנא כו'.</w:t>
      </w:r>
      <w:r>
        <w:rPr>
          <w:rFonts w:hAnsi="Courier New"/>
          <w:rtl/>
        </w:rPr>
        <w:t xml:space="preserve"> דמות - מסטרא דשמאל, ומפרש והולך </w:t>
      </w:r>
      <w:r>
        <w:rPr>
          <w:rFonts w:hAnsi="Courier New"/>
          <w:b/>
          <w:bCs/>
          <w:rtl/>
        </w:rPr>
        <w:t>דאתמר ביה ויעקוד כו' אתקשר מדה"ד כו' לב"ד רברבא כו'</w:t>
      </w:r>
      <w:r>
        <w:rPr>
          <w:rFonts w:hAnsi="Courier New"/>
          <w:rtl/>
        </w:rPr>
        <w:t xml:space="preserve"> מדת יצחק, ואברהם עקדו, דמדת החסד עקדו למדת הדין:</w:t>
      </w:r>
    </w:p>
  </w:footnote>
  <w:footnote w:id="5607">
    <w:p w:rsidR="00A13282" w:rsidRDefault="00A13282" w:rsidP="006F705A">
      <w:pPr>
        <w:pStyle w:val="a5"/>
        <w:rPr>
          <w:rtl/>
        </w:rPr>
      </w:pPr>
      <w:r>
        <w:rPr>
          <w:rStyle w:val="a7"/>
          <w:rtl/>
        </w:rPr>
        <w:footnoteRef/>
      </w:r>
      <w:r>
        <w:rPr>
          <w:rtl/>
        </w:rPr>
        <w:t xml:space="preserve"> </w:t>
      </w:r>
      <w:r>
        <w:rPr>
          <w:rFonts w:hAnsi="Courier New"/>
          <w:b/>
          <w:bCs/>
          <w:rtl/>
        </w:rPr>
        <w:t>ורזא דמלה כו' איהו בן.</w:t>
      </w:r>
      <w:r>
        <w:rPr>
          <w:rFonts w:hAnsi="Courier New"/>
          <w:rtl/>
        </w:rPr>
        <w:t xml:space="preserve"> רוצה לומר, דבעקדה נכלל מדת הדין שהיא נוק' במדת הרחמים שהוא דכורא, כי בין דכורא בין נוק' - שניהם כלולים מחו"ג, אלא שבדכורא רחמים גוברים, ולכן ביולדת זכר אינה טמאה אלא שבעה, ועיין לעיל תיקון נ”ב, וזה שאומר איהו בן, ואמר רחמי כו' וזה שאומר למטה ורזא דמלה בטרם כו' והמליטה זכר, לפי שיצאו ברחמים גדולים כמו שאומר לעיל תיקון כ”ב בארוכה. וכמו שאומר לקמן ויפקון ישראל ברחמים כו':</w:t>
      </w:r>
    </w:p>
  </w:footnote>
  <w:footnote w:id="5608">
    <w:p w:rsidR="00A13282" w:rsidRDefault="00A13282" w:rsidP="006F705A">
      <w:pPr>
        <w:pStyle w:val="a5"/>
        <w:rPr>
          <w:rtl/>
        </w:rPr>
      </w:pPr>
      <w:r>
        <w:rPr>
          <w:rStyle w:val="a7"/>
          <w:rtl/>
        </w:rPr>
        <w:footnoteRef/>
      </w:r>
      <w:r>
        <w:rPr>
          <w:rtl/>
        </w:rPr>
        <w:t xml:space="preserve"> </w:t>
      </w:r>
      <w:r>
        <w:rPr>
          <w:rFonts w:hAnsi="Courier New"/>
          <w:b/>
          <w:bCs/>
          <w:rtl/>
        </w:rPr>
        <w:t>כי גבר כו'.</w:t>
      </w:r>
      <w:r>
        <w:rPr>
          <w:rFonts w:hAnsi="Courier New"/>
          <w:rtl/>
        </w:rPr>
        <w:t xml:space="preserve"> רוצה לומר דאתגבר רחמי על דינא, והכל בשביל העקידה שאברהם גבר על יצחק ועקדו, וכמו שאמרו במדרש רבא שעקד הקב"ה מדת הדין דלעילא:</w:t>
      </w:r>
    </w:p>
  </w:footnote>
  <w:footnote w:id="5609">
    <w:p w:rsidR="00A13282" w:rsidRDefault="00A13282" w:rsidP="006F705A">
      <w:pPr>
        <w:pStyle w:val="a5"/>
        <w:rPr>
          <w:rtl/>
        </w:rPr>
      </w:pPr>
      <w:r>
        <w:rPr>
          <w:rStyle w:val="a7"/>
          <w:rtl/>
        </w:rPr>
        <w:footnoteRef/>
      </w:r>
      <w:r>
        <w:rPr>
          <w:rtl/>
        </w:rPr>
        <w:t xml:space="preserve"> </w:t>
      </w:r>
      <w:r>
        <w:rPr>
          <w:rFonts w:hAnsi="Courier New"/>
          <w:b/>
          <w:bCs/>
          <w:rtl/>
        </w:rPr>
        <w:t>ורזא דמלה ה"א בחזק כו'.</w:t>
      </w:r>
      <w:r>
        <w:rPr>
          <w:rFonts w:hAnsi="Courier New"/>
          <w:rtl/>
        </w:rPr>
        <w:t xml:space="preserve"> נאמר בחזק - במדת הדין, וכן זרועו כו', ונאמר אדנ"י קודם:</w:t>
      </w:r>
    </w:p>
  </w:footnote>
  <w:footnote w:id="5610">
    <w:p w:rsidR="00A13282" w:rsidRDefault="00A13282" w:rsidP="006F705A">
      <w:pPr>
        <w:pStyle w:val="a5"/>
        <w:rPr>
          <w:rtl/>
        </w:rPr>
      </w:pPr>
      <w:r>
        <w:rPr>
          <w:rStyle w:val="a7"/>
          <w:rtl/>
        </w:rPr>
        <w:footnoteRef/>
      </w:r>
      <w:r>
        <w:rPr>
          <w:rtl/>
        </w:rPr>
        <w:t xml:space="preserve"> </w:t>
      </w:r>
      <w:r>
        <w:rPr>
          <w:rFonts w:hAnsi="Courier New"/>
          <w:b/>
          <w:bCs/>
          <w:rtl/>
        </w:rPr>
        <w:t>ישזיב משיח וישראל כו'.</w:t>
      </w:r>
      <w:r>
        <w:rPr>
          <w:rFonts w:hAnsi="Courier New"/>
          <w:rtl/>
        </w:rPr>
        <w:t xml:space="preserve"> עיין ברעיא מהימנא פ' משפטים, ולמעלה מ"ג ב':</w:t>
      </w:r>
    </w:p>
  </w:footnote>
  <w:footnote w:id="5611">
    <w:p w:rsidR="00A13282" w:rsidRDefault="00A13282" w:rsidP="006F705A">
      <w:pPr>
        <w:pStyle w:val="a5"/>
        <w:rPr>
          <w:rtl/>
        </w:rPr>
      </w:pPr>
      <w:r>
        <w:rPr>
          <w:rStyle w:val="a7"/>
          <w:rtl/>
        </w:rPr>
        <w:footnoteRef/>
      </w:r>
      <w:r>
        <w:rPr>
          <w:rtl/>
        </w:rPr>
        <w:t xml:space="preserve"> </w:t>
      </w:r>
      <w:r>
        <w:rPr>
          <w:rFonts w:hAnsi="Courier New"/>
          <w:b/>
          <w:bCs/>
          <w:rtl/>
        </w:rPr>
        <w:t>זכות אבהן יגין עליהון כו'.</w:t>
      </w:r>
      <w:r>
        <w:rPr>
          <w:rFonts w:hAnsi="Courier New"/>
          <w:rtl/>
        </w:rPr>
        <w:t xml:space="preserve"> דאבהן הן נר"ן, בלב וריאה ומוח, וקטרוגא דלהון - מרה טחול לבד, והן מגינין כו', והן נגד ג' מיתות אלו, ונגד הד' - סקילה, הוא נגד משה, שהוא חיה הרביעית, אדם, ובו נאמר (שמות יז ד) עוד מעט וסקלוני, דמסר עצמו למיתה עלייהו, והן נגד ד' גליות, כמו שאמרו דג' גליות נגאלו ע"י זכות [אבות], וגלות הזה נגד משה, ולכן יגאלו בזכות התורה, ונאמר (שמות יט כד, לב ז) לך רד - בגלות ד' הזה, כמו שאומר ברעיא מהימנא פ' משפטים, ונגדו קטרוג יותרת, גוון תכלת, וכמו שאומר למטה ורביעאה תכלת:</w:t>
      </w:r>
    </w:p>
  </w:footnote>
  <w:footnote w:id="5612">
    <w:p w:rsidR="00A13282" w:rsidRDefault="00A13282" w:rsidP="006F705A">
      <w:pPr>
        <w:pStyle w:val="a5"/>
        <w:rPr>
          <w:rtl/>
        </w:rPr>
      </w:pPr>
      <w:r>
        <w:rPr>
          <w:rStyle w:val="a7"/>
          <w:rtl/>
        </w:rPr>
        <w:footnoteRef/>
      </w:r>
      <w:r>
        <w:rPr>
          <w:rtl/>
        </w:rPr>
        <w:t xml:space="preserve"> </w:t>
      </w:r>
      <w:r>
        <w:rPr>
          <w:rFonts w:hAnsi="Courier New"/>
          <w:b/>
          <w:bCs/>
          <w:rtl/>
        </w:rPr>
        <w:t>בגין דאברהם כו'.</w:t>
      </w:r>
      <w:r>
        <w:rPr>
          <w:rFonts w:hAnsi="Courier New"/>
          <w:rtl/>
        </w:rPr>
        <w:t xml:space="preserve"> והוא כפרה על פסילי אלהיהם כו' ועיין למטה:</w:t>
      </w:r>
    </w:p>
  </w:footnote>
  <w:footnote w:id="5613">
    <w:p w:rsidR="00A13282" w:rsidRDefault="00A13282" w:rsidP="006F705A">
      <w:pPr>
        <w:pStyle w:val="a5"/>
        <w:rPr>
          <w:rtl/>
        </w:rPr>
      </w:pPr>
      <w:r>
        <w:rPr>
          <w:rStyle w:val="a7"/>
          <w:rtl/>
        </w:rPr>
        <w:footnoteRef/>
      </w:r>
      <w:r>
        <w:rPr>
          <w:rtl/>
        </w:rPr>
        <w:t xml:space="preserve"> </w:t>
      </w:r>
      <w:r>
        <w:rPr>
          <w:rFonts w:hAnsi="Courier New"/>
          <w:b/>
          <w:bCs/>
          <w:rtl/>
        </w:rPr>
        <w:t>דלא עבר אדם.</w:t>
      </w:r>
      <w:r>
        <w:rPr>
          <w:rFonts w:hAnsi="Courier New"/>
          <w:rtl/>
        </w:rPr>
        <w:t xml:space="preserve"> דאדם בא בגלגולא דג' אבהן, כמו שאומר לעיל תיקון י”ט, והוא לא עבר אלא הנהו דתליין מיניה, הערב רב דאינון מגזעא דאבהן ואדם, וזה שאומר דאיהו ישראל, דכל הפרשה הנאמרת באדם - קאי על ישראל, וכמו שאומר לעיל בפ' בראשית בארוכה:</w:t>
      </w:r>
    </w:p>
  </w:footnote>
  <w:footnote w:id="5614">
    <w:p w:rsidR="00A13282" w:rsidRDefault="00A13282" w:rsidP="006F705A">
      <w:pPr>
        <w:pStyle w:val="a5"/>
        <w:rPr>
          <w:rtl/>
        </w:rPr>
      </w:pPr>
      <w:r>
        <w:rPr>
          <w:rStyle w:val="a7"/>
          <w:rtl/>
        </w:rPr>
        <w:footnoteRef/>
      </w:r>
      <w:r>
        <w:rPr>
          <w:rtl/>
        </w:rPr>
        <w:t xml:space="preserve"> </w:t>
      </w:r>
      <w:r>
        <w:rPr>
          <w:rFonts w:hAnsi="Courier New"/>
          <w:b/>
          <w:bCs/>
          <w:rtl/>
        </w:rPr>
        <w:t>א"ל תלת גוונין כו'.</w:t>
      </w:r>
      <w:r>
        <w:rPr>
          <w:rFonts w:hAnsi="Courier New"/>
          <w:rtl/>
        </w:rPr>
        <w:t xml:space="preserve"> דאברהם כליל תלת אבהן, דהכל מיניה, יומא דכליל כולא יומין, ואמר למטה דשם הוי"ה הצילו מנורא, ולכן פירש כאן ד' גוונין בשם הוי"ה:</w:t>
      </w:r>
    </w:p>
  </w:footnote>
  <w:footnote w:id="5615">
    <w:p w:rsidR="00A13282" w:rsidRDefault="00A13282" w:rsidP="006F705A">
      <w:pPr>
        <w:pStyle w:val="a5"/>
        <w:rPr>
          <w:rtl/>
        </w:rPr>
      </w:pPr>
      <w:r>
        <w:rPr>
          <w:rStyle w:val="a7"/>
          <w:rtl/>
        </w:rPr>
        <w:footnoteRef/>
      </w:r>
      <w:r>
        <w:rPr>
          <w:rtl/>
        </w:rPr>
        <w:t xml:space="preserve"> </w:t>
      </w:r>
      <w:r>
        <w:rPr>
          <w:rFonts w:hAnsi="Courier New"/>
          <w:b/>
          <w:bCs/>
          <w:rtl/>
        </w:rPr>
        <w:t>ורביעאה כו' דאיהו סומקא.</w:t>
      </w:r>
      <w:r>
        <w:rPr>
          <w:rFonts w:hAnsi="Courier New"/>
          <w:rtl/>
        </w:rPr>
        <w:t xml:space="preserve"> בזה מתורץ דפעם אמר ג' גוונין ופעם ד' ופעם ה', כמו שאומר לעיל תיקון כ’, וזה שאומר בחושבן כו', ורוצה לומר זהו אות ה' אחרונה, והאור - ו', תורה אור, והאש שורף למעלה - ה' ראשונה, והזוהר - יו"ד, דאינון תרין דנחתין:</w:t>
      </w:r>
    </w:p>
  </w:footnote>
  <w:footnote w:id="5616">
    <w:p w:rsidR="00A13282" w:rsidRDefault="00A13282" w:rsidP="006F705A">
      <w:pPr>
        <w:pStyle w:val="a5"/>
        <w:rPr>
          <w:rtl/>
        </w:rPr>
      </w:pPr>
      <w:r>
        <w:rPr>
          <w:rStyle w:val="a7"/>
          <w:rtl/>
        </w:rPr>
        <w:footnoteRef/>
      </w:r>
      <w:r>
        <w:rPr>
          <w:rtl/>
        </w:rPr>
        <w:t xml:space="preserve"> </w:t>
      </w:r>
      <w:r>
        <w:rPr>
          <w:rFonts w:hAnsi="Courier New"/>
          <w:b/>
          <w:bCs/>
          <w:rtl/>
        </w:rPr>
        <w:t>וכד סלקין כו'.</w:t>
      </w:r>
      <w:r>
        <w:rPr>
          <w:rFonts w:hAnsi="Courier New"/>
          <w:rtl/>
        </w:rPr>
        <w:t xml:space="preserve"> רוצה לומר כמו שאומר למטה עולים כו' משמע תרין, וכן יורדין, ונאמר מלאכי אלקים שהן דאש גבורה:</w:t>
      </w:r>
    </w:p>
  </w:footnote>
  <w:footnote w:id="5617">
    <w:p w:rsidR="00A13282" w:rsidRDefault="00A13282" w:rsidP="006F705A">
      <w:pPr>
        <w:pStyle w:val="a5"/>
        <w:rPr>
          <w:rFonts w:hAnsi="Courier New"/>
          <w:rtl/>
        </w:rPr>
      </w:pPr>
      <w:r>
        <w:rPr>
          <w:rStyle w:val="a7"/>
          <w:rtl/>
        </w:rPr>
        <w:footnoteRef/>
      </w:r>
      <w:r>
        <w:rPr>
          <w:rtl/>
        </w:rPr>
        <w:t xml:space="preserve"> </w:t>
      </w:r>
      <w:r>
        <w:rPr>
          <w:rFonts w:hAnsi="Courier New"/>
          <w:b/>
          <w:bCs/>
          <w:rtl/>
        </w:rPr>
        <w:t>דאית ארבעה כו'.</w:t>
      </w:r>
      <w:r>
        <w:rPr>
          <w:rFonts w:hAnsi="Courier New"/>
          <w:rtl/>
        </w:rPr>
        <w:t xml:space="preserve"> והן מאורי האש ועיין בזהר פ’ ויקהל בסוד הבדלה בארוכה בענין הד' ממנן:</w:t>
      </w:r>
    </w:p>
    <w:p w:rsidR="00A13282" w:rsidRDefault="00A13282" w:rsidP="006F705A">
      <w:pPr>
        <w:pStyle w:val="a5"/>
        <w:rPr>
          <w:rtl/>
        </w:rPr>
      </w:pPr>
    </w:p>
  </w:footnote>
  <w:footnote w:id="5618">
    <w:p w:rsidR="00A13282" w:rsidRDefault="00A13282" w:rsidP="006F705A">
      <w:pPr>
        <w:pStyle w:val="a5"/>
        <w:rPr>
          <w:rtl/>
        </w:rPr>
      </w:pPr>
      <w:r>
        <w:rPr>
          <w:rStyle w:val="a7"/>
          <w:rtl/>
        </w:rPr>
        <w:footnoteRef/>
      </w:r>
      <w:r>
        <w:rPr>
          <w:rtl/>
        </w:rPr>
        <w:t xml:space="preserve"> </w:t>
      </w:r>
      <w:r>
        <w:rPr>
          <w:rFonts w:hAnsi="Courier New"/>
          <w:b/>
          <w:bCs/>
          <w:rtl/>
        </w:rPr>
        <w:t>תיקון ג' בראשית כו' קדמאה לחיוון.</w:t>
      </w:r>
      <w:r>
        <w:rPr>
          <w:rFonts w:hAnsi="Courier New"/>
          <w:rtl/>
        </w:rPr>
        <w:t xml:space="preserve"> לד' חיות, ואמר דהוי אכל קרבנין - הארי אכל הקרבן, כמו שאומר בפ' בראשית ושאר מקומות, ואמר </w:t>
      </w:r>
      <w:r>
        <w:rPr>
          <w:rFonts w:hAnsi="Courier New"/>
          <w:b/>
          <w:bCs/>
          <w:rtl/>
        </w:rPr>
        <w:t>לחיוון דהוא אכלי קרבנין.</w:t>
      </w:r>
      <w:r>
        <w:rPr>
          <w:rFonts w:hAnsi="Courier New"/>
          <w:rtl/>
        </w:rPr>
        <w:t xml:space="preserve"> רוצה לומר כל הד' חיות נהנין מן הקרבן, כמו שאומר בפ' פנחס ר"מ רמ"א עיין שם היטב, וכמו שמפרש והולך א"ל ברי ארבע חיוון כו', ולזה נתכוין כאן, ולכן אמר ודא איהו קדמאה כו' רוצה לומר דלכן נזכר הארי יותר מכולם לפי שהוא קדמאה ודרך להזכיר הראשון:</w:t>
      </w:r>
    </w:p>
  </w:footnote>
  <w:footnote w:id="5619">
    <w:p w:rsidR="00A13282" w:rsidRDefault="00A13282" w:rsidP="006F705A">
      <w:pPr>
        <w:pStyle w:val="a5"/>
        <w:rPr>
          <w:rtl/>
        </w:rPr>
      </w:pPr>
      <w:r>
        <w:rPr>
          <w:rStyle w:val="a7"/>
          <w:rtl/>
        </w:rPr>
        <w:footnoteRef/>
      </w:r>
      <w:r>
        <w:rPr>
          <w:rtl/>
        </w:rPr>
        <w:t xml:space="preserve"> </w:t>
      </w:r>
      <w:r>
        <w:rPr>
          <w:rFonts w:hAnsi="Courier New"/>
          <w:b/>
          <w:bCs/>
          <w:rtl/>
        </w:rPr>
        <w:t>דנפש כלילא בהון.</w:t>
      </w:r>
      <w:r>
        <w:rPr>
          <w:rFonts w:hAnsi="Courier New"/>
          <w:rtl/>
        </w:rPr>
        <w:t xml:space="preserve"> רוצה לומר מארבע חיוון, דנפש הוא חיה, רוח החיונית, וכלילא מכל מיני חי שהן ד' אלו:</w:t>
      </w:r>
    </w:p>
  </w:footnote>
  <w:footnote w:id="5620">
    <w:p w:rsidR="00A13282" w:rsidRDefault="00A13282" w:rsidP="006F705A">
      <w:pPr>
        <w:pStyle w:val="a5"/>
        <w:rPr>
          <w:rtl/>
        </w:rPr>
      </w:pPr>
      <w:r>
        <w:rPr>
          <w:rStyle w:val="a7"/>
          <w:rtl/>
        </w:rPr>
        <w:footnoteRef/>
      </w:r>
      <w:r>
        <w:rPr>
          <w:rtl/>
        </w:rPr>
        <w:t xml:space="preserve"> </w:t>
      </w:r>
      <w:r>
        <w:rPr>
          <w:rFonts w:hAnsi="Courier New"/>
          <w:b/>
          <w:bCs/>
          <w:rtl/>
        </w:rPr>
        <w:t>ובג"ד כו' מאלין ארבע.</w:t>
      </w:r>
      <w:r>
        <w:rPr>
          <w:rFonts w:hAnsi="Courier New"/>
          <w:rtl/>
        </w:rPr>
        <w:t xml:space="preserve"> רוצה לומר מאלין ארבע יסודות, כיון שהד' חיוון ממונין על ד' יסודות - כל חיה מתפרנסת מיסוד שלו, וכמו שמפרש והולך:</w:t>
      </w:r>
    </w:p>
  </w:footnote>
  <w:footnote w:id="5621">
    <w:p w:rsidR="00A13282" w:rsidRDefault="00A13282" w:rsidP="006F705A">
      <w:pPr>
        <w:pStyle w:val="a5"/>
        <w:rPr>
          <w:rtl/>
        </w:rPr>
      </w:pPr>
      <w:r>
        <w:rPr>
          <w:rStyle w:val="a7"/>
          <w:rtl/>
        </w:rPr>
        <w:footnoteRef/>
      </w:r>
      <w:r>
        <w:rPr>
          <w:rtl/>
        </w:rPr>
        <w:t xml:space="preserve"> </w:t>
      </w:r>
      <w:r>
        <w:rPr>
          <w:rFonts w:hAnsi="Courier New"/>
          <w:b/>
          <w:bCs/>
          <w:rtl/>
        </w:rPr>
        <w:t xml:space="preserve">דמעפרא נפקין זרעין כו' ומארי כו' פרנסה ממיא כו' ומנשר עופין כו' פרנסה מרוחא </w:t>
      </w:r>
      <w:r>
        <w:rPr>
          <w:rFonts w:hAnsi="Courier New"/>
          <w:rtl/>
        </w:rPr>
        <w:t xml:space="preserve">כמו שאמרו במקום אחר דאלו ד' חיוון - כל אחד ביסוד דיליה, וכולן הן טהורין. ואמר </w:t>
      </w:r>
      <w:r>
        <w:rPr>
          <w:rFonts w:hAnsi="Courier New"/>
          <w:b/>
          <w:bCs/>
          <w:rtl/>
        </w:rPr>
        <w:t>כד חאב ב"נ בד' יסודי כו'.</w:t>
      </w:r>
      <w:r>
        <w:rPr>
          <w:rFonts w:hAnsi="Courier New"/>
          <w:rtl/>
        </w:rPr>
        <w:t xml:space="preserve"> רוצה לומר שכל החטאין מושרשין במדות, והמדות מושרשין בד' יסודות, כמו שאמרו שהתאוה ביסוד המים, והדיבור - ברוח, והכעס - באש, והעצלות - בעפר:</w:t>
      </w:r>
    </w:p>
  </w:footnote>
  <w:footnote w:id="5622">
    <w:p w:rsidR="00A13282" w:rsidRDefault="00A13282" w:rsidP="006F705A">
      <w:pPr>
        <w:pStyle w:val="a5"/>
        <w:rPr>
          <w:rtl/>
        </w:rPr>
      </w:pPr>
      <w:r>
        <w:rPr>
          <w:rStyle w:val="a7"/>
          <w:rtl/>
        </w:rPr>
        <w:footnoteRef/>
      </w:r>
      <w:r>
        <w:rPr>
          <w:rtl/>
        </w:rPr>
        <w:t xml:space="preserve"> </w:t>
      </w:r>
      <w:r>
        <w:rPr>
          <w:rFonts w:hAnsi="Courier New"/>
          <w:b/>
          <w:bCs/>
          <w:rtl/>
        </w:rPr>
        <w:t>שם ה' כו'.</w:t>
      </w:r>
      <w:r>
        <w:rPr>
          <w:rFonts w:hAnsi="Courier New"/>
          <w:rtl/>
        </w:rPr>
        <w:t xml:space="preserve"> דהוי"ה בד' חיוון כמו שאומר לעיל בתיקון כ”ח ושאר מקומות:</w:t>
      </w:r>
    </w:p>
  </w:footnote>
  <w:footnote w:id="5623">
    <w:p w:rsidR="00A13282" w:rsidRDefault="00A13282" w:rsidP="006F705A">
      <w:pPr>
        <w:pStyle w:val="a5"/>
        <w:rPr>
          <w:rtl/>
        </w:rPr>
      </w:pPr>
      <w:r>
        <w:rPr>
          <w:rStyle w:val="a7"/>
          <w:rtl/>
        </w:rPr>
        <w:footnoteRef/>
      </w:r>
      <w:r>
        <w:rPr>
          <w:rtl/>
        </w:rPr>
        <w:t xml:space="preserve"> </w:t>
      </w:r>
      <w:r>
        <w:rPr>
          <w:rFonts w:hAnsi="Courier New"/>
          <w:b/>
          <w:bCs/>
          <w:rtl/>
        </w:rPr>
        <w:t>ה' לא שריא בפרודא.</w:t>
      </w:r>
      <w:r>
        <w:rPr>
          <w:rFonts w:hAnsi="Courier New"/>
          <w:rtl/>
        </w:rPr>
        <w:t xml:space="preserve"> ובהיפך ס"א וכמו שמפרש והולך ורזא דמלה חלק כו':</w:t>
      </w:r>
    </w:p>
  </w:footnote>
  <w:footnote w:id="5624">
    <w:p w:rsidR="00A13282" w:rsidRDefault="00A13282" w:rsidP="006F705A">
      <w:pPr>
        <w:pStyle w:val="a5"/>
        <w:rPr>
          <w:rtl/>
        </w:rPr>
      </w:pPr>
      <w:r>
        <w:rPr>
          <w:rStyle w:val="a7"/>
          <w:rtl/>
        </w:rPr>
        <w:footnoteRef/>
      </w:r>
      <w:r>
        <w:rPr>
          <w:rtl/>
        </w:rPr>
        <w:t xml:space="preserve"> </w:t>
      </w:r>
      <w:r>
        <w:rPr>
          <w:rFonts w:hAnsi="Courier New"/>
          <w:b/>
          <w:bCs/>
          <w:rtl/>
        </w:rPr>
        <w:t>ובג"ד צריך כו'.</w:t>
      </w:r>
      <w:r>
        <w:rPr>
          <w:rFonts w:hAnsi="Courier New"/>
          <w:rtl/>
        </w:rPr>
        <w:t xml:space="preserve"> עיין בזהר פ’ פנחס ר"מ רמ"א היאך הקרבן בא מאלו הד':</w:t>
      </w:r>
    </w:p>
  </w:footnote>
  <w:footnote w:id="5625">
    <w:p w:rsidR="00A13282" w:rsidRDefault="00A13282" w:rsidP="006F705A">
      <w:pPr>
        <w:pStyle w:val="a5"/>
        <w:rPr>
          <w:rtl/>
        </w:rPr>
      </w:pPr>
      <w:r>
        <w:rPr>
          <w:rStyle w:val="a7"/>
          <w:rtl/>
        </w:rPr>
        <w:footnoteRef/>
      </w:r>
      <w:r>
        <w:rPr>
          <w:rtl/>
        </w:rPr>
        <w:t xml:space="preserve"> </w:t>
      </w:r>
      <w:r>
        <w:rPr>
          <w:rFonts w:hAnsi="Courier New"/>
          <w:b/>
          <w:bCs/>
          <w:rtl/>
        </w:rPr>
        <w:t>נחית קוב"ה וברח כו'.</w:t>
      </w:r>
      <w:r>
        <w:rPr>
          <w:rFonts w:hAnsi="Courier New"/>
          <w:rtl/>
        </w:rPr>
        <w:t xml:space="preserve"> דבמקום הקדושה ושלום אי אפשר לעמוד שם, וכמו שמפרש והולך הה"ד כו' תוקד בו בשטן דלעילא כו' היא העולה כו'. דקאי על ס"א כמו שאומר בפ' צו כ"ז א' ב' צו את אהרן ואת בנין לאמר רזא הכא דהא אוקימנא לית צו אלא ע"ג כו' העולה דא מחשבה רעה כו' ר' אחא פתח ואמר והאש על המזבח כו' אלא הכא אוליפנא כו' אלא באשא דמדבחא דההוא אשא מבערה רוח מסאבא כו' עיין שם:</w:t>
      </w:r>
    </w:p>
  </w:footnote>
  <w:footnote w:id="5626">
    <w:p w:rsidR="00A13282" w:rsidRDefault="00A13282" w:rsidP="006F705A">
      <w:pPr>
        <w:pStyle w:val="a5"/>
        <w:rPr>
          <w:rtl/>
        </w:rPr>
      </w:pPr>
      <w:r>
        <w:rPr>
          <w:rStyle w:val="a7"/>
          <w:rtl/>
        </w:rPr>
        <w:footnoteRef/>
      </w:r>
      <w:r>
        <w:rPr>
          <w:rtl/>
        </w:rPr>
        <w:t xml:space="preserve"> </w:t>
      </w:r>
      <w:r>
        <w:rPr>
          <w:rFonts w:hAnsi="Courier New"/>
          <w:b/>
          <w:bCs/>
          <w:rtl/>
        </w:rPr>
        <w:t>ורזא דקרבנין עור כו'.</w:t>
      </w:r>
      <w:r>
        <w:rPr>
          <w:rFonts w:hAnsi="Courier New"/>
          <w:rtl/>
        </w:rPr>
        <w:t xml:space="preserve"> שהן נגד ד' חיוון כמו שמפרש והולך:</w:t>
      </w:r>
    </w:p>
  </w:footnote>
  <w:footnote w:id="5627">
    <w:p w:rsidR="00A13282" w:rsidRDefault="00A13282" w:rsidP="006F705A">
      <w:pPr>
        <w:pStyle w:val="a5"/>
        <w:rPr>
          <w:rtl/>
        </w:rPr>
      </w:pPr>
      <w:r>
        <w:rPr>
          <w:rStyle w:val="a7"/>
          <w:rtl/>
        </w:rPr>
        <w:footnoteRef/>
      </w:r>
      <w:r>
        <w:rPr>
          <w:rtl/>
        </w:rPr>
        <w:t xml:space="preserve"> </w:t>
      </w:r>
      <w:r>
        <w:rPr>
          <w:rFonts w:hAnsi="Courier New"/>
          <w:b/>
          <w:bCs/>
          <w:rtl/>
        </w:rPr>
        <w:t>דאיהו אור הגנוז.</w:t>
      </w:r>
      <w:r>
        <w:rPr>
          <w:rFonts w:hAnsi="Courier New"/>
          <w:rtl/>
        </w:rPr>
        <w:t xml:space="preserve"> שהוא כתנות אור:</w:t>
      </w:r>
    </w:p>
  </w:footnote>
  <w:footnote w:id="5628">
    <w:p w:rsidR="00A13282" w:rsidRDefault="00A13282" w:rsidP="006F705A">
      <w:pPr>
        <w:pStyle w:val="a5"/>
        <w:rPr>
          <w:rtl/>
        </w:rPr>
      </w:pPr>
      <w:r>
        <w:rPr>
          <w:rStyle w:val="a7"/>
          <w:rtl/>
        </w:rPr>
        <w:footnoteRef/>
      </w:r>
      <w:r>
        <w:rPr>
          <w:rtl/>
        </w:rPr>
        <w:t xml:space="preserve"> </w:t>
      </w:r>
      <w:r>
        <w:rPr>
          <w:rFonts w:hAnsi="Courier New"/>
          <w:b/>
          <w:bCs/>
          <w:rtl/>
        </w:rPr>
        <w:t>חקוקים לו על עצמותיו.</w:t>
      </w:r>
      <w:r>
        <w:rPr>
          <w:rFonts w:hAnsi="Courier New"/>
          <w:rtl/>
        </w:rPr>
        <w:t xml:space="preserve"> רוצה לומר, דעל עצמותיו היינו עצמותו של אדם, ולא דבר חוצה לו:</w:t>
      </w:r>
    </w:p>
  </w:footnote>
  <w:footnote w:id="5629">
    <w:p w:rsidR="00A13282" w:rsidRDefault="00A13282" w:rsidP="006F705A">
      <w:pPr>
        <w:pStyle w:val="a5"/>
        <w:rPr>
          <w:rtl/>
        </w:rPr>
      </w:pPr>
      <w:r>
        <w:rPr>
          <w:rStyle w:val="a7"/>
          <w:rtl/>
        </w:rPr>
        <w:footnoteRef/>
      </w:r>
      <w:r>
        <w:rPr>
          <w:rtl/>
        </w:rPr>
        <w:t xml:space="preserve"> </w:t>
      </w:r>
      <w:r>
        <w:rPr>
          <w:rFonts w:hAnsi="Courier New"/>
          <w:b/>
          <w:bCs/>
          <w:rtl/>
        </w:rPr>
        <w:t>וקריבו כו' פקודין דעשה כו'.</w:t>
      </w:r>
      <w:r>
        <w:rPr>
          <w:rFonts w:hAnsi="Courier New"/>
          <w:rtl/>
        </w:rPr>
        <w:t xml:space="preserve"> מפקודין דעשה דחקוקין תמן וכן פקודין דלא תעשה וזה שאומר </w:t>
      </w:r>
      <w:r>
        <w:rPr>
          <w:rFonts w:hAnsi="Courier New"/>
          <w:b/>
          <w:bCs/>
          <w:rtl/>
        </w:rPr>
        <w:t>מכם וודאי לאפקא משכא כו'.</w:t>
      </w:r>
      <w:r>
        <w:rPr>
          <w:rFonts w:hAnsi="Courier New"/>
          <w:rtl/>
        </w:rPr>
        <w:t xml:space="preserve"> רוצה לומר כמו שאמרו (חולין ה ע"א) מכם להוציא את המומר לעבודת כוכבים, </w:t>
      </w:r>
      <w:r>
        <w:rPr>
          <w:rFonts w:hAnsi="Courier New"/>
          <w:b/>
          <w:bCs/>
          <w:rtl/>
        </w:rPr>
        <w:t>דבי' פקודין דל"ת.</w:t>
      </w:r>
      <w:r>
        <w:rPr>
          <w:rFonts w:hAnsi="Courier New"/>
          <w:rtl/>
        </w:rPr>
        <w:t xml:space="preserve"> ורוצה לומר מכם, שהוא אדם קדמאה בדיוקנא דקב"ה מסטרא דישראל דנשמתא, לאפוקי אדם להבל דמה גם כן מסטר ס"א שנאמר עליו אדם כי ימות כו' כמו שאומר לעיל ק"א ב' ק"ב א' עיין שם. וזה שאומר דאתמר ביה אדם כו':</w:t>
      </w:r>
    </w:p>
  </w:footnote>
  <w:footnote w:id="5630">
    <w:p w:rsidR="00A13282" w:rsidRDefault="00A13282" w:rsidP="006F705A">
      <w:pPr>
        <w:pStyle w:val="a5"/>
        <w:rPr>
          <w:rtl/>
        </w:rPr>
      </w:pPr>
      <w:r>
        <w:rPr>
          <w:rStyle w:val="a7"/>
          <w:rtl/>
        </w:rPr>
        <w:footnoteRef/>
      </w:r>
      <w:r>
        <w:rPr>
          <w:rtl/>
        </w:rPr>
        <w:t xml:space="preserve"> </w:t>
      </w:r>
      <w:r>
        <w:rPr>
          <w:rFonts w:hAnsi="Courier New"/>
          <w:b/>
          <w:bCs/>
          <w:rtl/>
        </w:rPr>
        <w:t>בשר איהו כו'.</w:t>
      </w:r>
      <w:r>
        <w:rPr>
          <w:rFonts w:hAnsi="Courier New"/>
          <w:rtl/>
        </w:rPr>
        <w:t xml:space="preserve"> מפרש והולך הבשר מסטרא דגבורה דהוא שבר. ורוצה לומר דהוא אותיות שבר משברים דהן מסטרא דגבורה, ולכן הוא אדום מסטרא דגבורה, וזה שאומר ואיהו כו':</w:t>
      </w:r>
    </w:p>
  </w:footnote>
  <w:footnote w:id="5631">
    <w:p w:rsidR="00A13282" w:rsidRDefault="00A13282" w:rsidP="006F705A">
      <w:pPr>
        <w:pStyle w:val="a5"/>
        <w:rPr>
          <w:rtl/>
        </w:rPr>
      </w:pPr>
      <w:r>
        <w:rPr>
          <w:rStyle w:val="a7"/>
          <w:rtl/>
        </w:rPr>
        <w:footnoteRef/>
      </w:r>
      <w:r>
        <w:rPr>
          <w:rtl/>
        </w:rPr>
        <w:t xml:space="preserve"> </w:t>
      </w:r>
      <w:r>
        <w:rPr>
          <w:rFonts w:hAnsi="Courier New"/>
          <w:b/>
          <w:bCs/>
          <w:rtl/>
        </w:rPr>
        <w:t>דרכיב על כו'.</w:t>
      </w:r>
      <w:r>
        <w:rPr>
          <w:rFonts w:hAnsi="Courier New"/>
          <w:rtl/>
        </w:rPr>
        <w:t xml:space="preserve"> לאפוקי שור הנ"ל הוא שור תם ועיין בזהר פ’ שלח לך:</w:t>
      </w:r>
    </w:p>
  </w:footnote>
  <w:footnote w:id="5632">
    <w:p w:rsidR="00A13282" w:rsidRDefault="00A13282" w:rsidP="006F705A">
      <w:pPr>
        <w:pStyle w:val="a5"/>
        <w:rPr>
          <w:rtl/>
        </w:rPr>
      </w:pPr>
      <w:r>
        <w:rPr>
          <w:rStyle w:val="a7"/>
          <w:rtl/>
        </w:rPr>
        <w:footnoteRef/>
      </w:r>
      <w:r>
        <w:rPr>
          <w:rtl/>
        </w:rPr>
        <w:t xml:space="preserve"> </w:t>
      </w:r>
      <w:r>
        <w:rPr>
          <w:rFonts w:hAnsi="Courier New"/>
          <w:b/>
          <w:bCs/>
          <w:rtl/>
        </w:rPr>
        <w:t>גידים איהו נשר.</w:t>
      </w:r>
      <w:r>
        <w:rPr>
          <w:rFonts w:hAnsi="Courier New"/>
          <w:rtl/>
        </w:rPr>
        <w:t xml:space="preserve"> דבהון סליק רוחא דריאה, ודופק בהן, וכמו הנשר דפרח ברוח, ופרנסה של הגידין מרוח, כמו הנשר:</w:t>
      </w:r>
    </w:p>
  </w:footnote>
  <w:footnote w:id="5633">
    <w:p w:rsidR="00A13282" w:rsidRDefault="00A13282" w:rsidP="006F705A">
      <w:pPr>
        <w:pStyle w:val="a5"/>
        <w:rPr>
          <w:rtl/>
        </w:rPr>
      </w:pPr>
      <w:r>
        <w:rPr>
          <w:rStyle w:val="a7"/>
          <w:rtl/>
        </w:rPr>
        <w:footnoteRef/>
      </w:r>
      <w:r>
        <w:rPr>
          <w:rtl/>
        </w:rPr>
        <w:t xml:space="preserve"> </w:t>
      </w:r>
      <w:r>
        <w:rPr>
          <w:rFonts w:hAnsi="Courier New"/>
          <w:b/>
          <w:bCs/>
          <w:rtl/>
        </w:rPr>
        <w:t>נשר דדכיו ונשר דמסאבו.</w:t>
      </w:r>
      <w:r>
        <w:rPr>
          <w:rFonts w:hAnsi="Courier New"/>
          <w:rtl/>
        </w:rPr>
        <w:t xml:space="preserve"> רוצה לומר דאית נשר דדכיו כו', ולא הוצרך להאריך בזה כי ידוע שנשר שלנו הוא טמא, ושל הכסא הוא טהור, דאין טמא בשמים! והוא של רוח כמו שפרשנו במקום אחר:</w:t>
      </w:r>
    </w:p>
  </w:footnote>
  <w:footnote w:id="5634">
    <w:p w:rsidR="00A13282" w:rsidRDefault="00A13282" w:rsidP="006F705A">
      <w:pPr>
        <w:pStyle w:val="a5"/>
        <w:rPr>
          <w:rtl/>
        </w:rPr>
      </w:pPr>
      <w:r>
        <w:rPr>
          <w:rStyle w:val="a7"/>
          <w:rtl/>
        </w:rPr>
        <w:footnoteRef/>
      </w:r>
      <w:r>
        <w:rPr>
          <w:rtl/>
        </w:rPr>
        <w:t xml:space="preserve"> </w:t>
      </w:r>
      <w:r>
        <w:rPr>
          <w:rFonts w:hAnsi="Courier New"/>
          <w:b/>
          <w:bCs/>
          <w:rtl/>
        </w:rPr>
        <w:t>עצם ובשר וגידים.</w:t>
      </w:r>
      <w:r>
        <w:rPr>
          <w:rFonts w:hAnsi="Courier New"/>
          <w:rtl/>
        </w:rPr>
        <w:t xml:space="preserve"> דאינון יק"ו שבשם. והם כהנים ולוים וישראלים, יב"ק, כמו שאומר לקמן:</w:t>
      </w:r>
    </w:p>
  </w:footnote>
  <w:footnote w:id="5635">
    <w:p w:rsidR="00A13282" w:rsidRDefault="00A13282" w:rsidP="006F705A">
      <w:pPr>
        <w:pStyle w:val="a5"/>
        <w:rPr>
          <w:rtl/>
        </w:rPr>
      </w:pPr>
      <w:r>
        <w:rPr>
          <w:rStyle w:val="a7"/>
          <w:rtl/>
        </w:rPr>
        <w:footnoteRef/>
      </w:r>
      <w:r>
        <w:rPr>
          <w:rtl/>
        </w:rPr>
        <w:t xml:space="preserve"> </w:t>
      </w:r>
      <w:r>
        <w:rPr>
          <w:rFonts w:hAnsi="Courier New"/>
          <w:b/>
          <w:bCs/>
          <w:rtl/>
        </w:rPr>
        <w:t>נחית עלייהו משחא.</w:t>
      </w:r>
      <w:r>
        <w:rPr>
          <w:rFonts w:hAnsi="Courier New"/>
          <w:rtl/>
        </w:rPr>
        <w:t xml:space="preserve"> דהוא מסטרא דימינא כידוע בסוד שמן ויין, והוא מוחא דעצמות, דנחית ממוחא. ודם הבשר - מלבא. ורוח דגידין - מריאה. והן ג' דרגין דיק"ו כמו שאומר לקמן. וזה שאומר </w:t>
      </w:r>
      <w:r>
        <w:rPr>
          <w:rFonts w:hAnsi="Courier New"/>
          <w:b/>
          <w:bCs/>
          <w:rtl/>
        </w:rPr>
        <w:t>מיד מתקרבין ערקין דדמא לגבי לבא.</w:t>
      </w:r>
      <w:r>
        <w:rPr>
          <w:rFonts w:hAnsi="Courier New"/>
          <w:rtl/>
        </w:rPr>
        <w:t xml:space="preserve"> והוא נגד היין כמו שכתוב (בראשית מט יא) ובדם ענבים כו', ואל תרא יין כי יתאדם (משלי כג לא), כמו הדם, ודרשו (תנחומא פ' שמיני ה') אחריתו דם, והכל בסטרא דגבורה, והוא קדושה דלוים, וכל קדושה הוא בבשר ודם:</w:t>
      </w:r>
    </w:p>
  </w:footnote>
  <w:footnote w:id="5636">
    <w:p w:rsidR="00A13282" w:rsidRDefault="00A13282" w:rsidP="006F705A">
      <w:pPr>
        <w:pStyle w:val="a5"/>
        <w:rPr>
          <w:rtl/>
        </w:rPr>
      </w:pPr>
      <w:r>
        <w:rPr>
          <w:rStyle w:val="a7"/>
          <w:rtl/>
        </w:rPr>
        <w:footnoteRef/>
      </w:r>
      <w:r>
        <w:rPr>
          <w:rtl/>
        </w:rPr>
        <w:t xml:space="preserve"> </w:t>
      </w:r>
      <w:r>
        <w:rPr>
          <w:rFonts w:hAnsi="Courier New"/>
          <w:b/>
          <w:bCs/>
          <w:rtl/>
        </w:rPr>
        <w:t>ואינון יחודא כו'.</w:t>
      </w:r>
      <w:r>
        <w:rPr>
          <w:rFonts w:hAnsi="Courier New"/>
          <w:rtl/>
        </w:rPr>
        <w:t xml:space="preserve"> שהן מקשרין יחד עצמות עם הבשר, כמו דעמודא דאמצעיתא מיחד בין חו"ג, ורוחא בין מים ואש:</w:t>
      </w:r>
    </w:p>
  </w:footnote>
  <w:footnote w:id="5637">
    <w:p w:rsidR="00A13282" w:rsidRDefault="00A13282" w:rsidP="006F705A">
      <w:pPr>
        <w:pStyle w:val="a5"/>
        <w:rPr>
          <w:rtl/>
        </w:rPr>
      </w:pPr>
      <w:r>
        <w:rPr>
          <w:rStyle w:val="a7"/>
          <w:rtl/>
        </w:rPr>
        <w:footnoteRef/>
      </w:r>
      <w:r>
        <w:rPr>
          <w:rtl/>
        </w:rPr>
        <w:t xml:space="preserve"> </w:t>
      </w:r>
      <w:r>
        <w:rPr>
          <w:rFonts w:hAnsi="Courier New"/>
          <w:b/>
          <w:bCs/>
          <w:rtl/>
        </w:rPr>
        <w:t>מים דדכיו.</w:t>
      </w:r>
      <w:r>
        <w:rPr>
          <w:rFonts w:hAnsi="Courier New"/>
          <w:rtl/>
        </w:rPr>
        <w:t xml:space="preserve"> הוא המוחא דלהון דהוא משחא, וכן מיא, כי הן בדרגא חד בסטרא דכהנא, אלא משחא הוא מסטרא דכהן גדול, ולכן נמשח בשמן, ומים הוא מסטרא דסגן והדיוט ולכן ורחצו ידיהם ורגליהם, לכוללן בסטרא דימינא. וכהן גדול נמשח בראש, ויין - רפואות הדם, בריש כל מרעין הא אנא דם, בריש אסוין אנא חמר (ב"ב נח ע"ב), והוא לארמא קלא דלוים, אבל דכהנים - בחשאי, והן דרגא דמיא ואשא, מים - דוממת, ואש - שורקת. ודרגא דישראל - ברוחא, דעלמא קאי ארוח וכמו שאמרו (תענית ג ע"ב) כשם שאי אפשר לעולם כו':</w:t>
      </w:r>
    </w:p>
  </w:footnote>
  <w:footnote w:id="5638">
    <w:p w:rsidR="00A13282" w:rsidRDefault="00A13282" w:rsidP="006F705A">
      <w:pPr>
        <w:pStyle w:val="a5"/>
        <w:rPr>
          <w:rtl/>
        </w:rPr>
      </w:pPr>
      <w:r>
        <w:rPr>
          <w:rStyle w:val="a7"/>
          <w:rtl/>
        </w:rPr>
        <w:footnoteRef/>
      </w:r>
      <w:r>
        <w:rPr>
          <w:rtl/>
        </w:rPr>
        <w:t xml:space="preserve"> </w:t>
      </w:r>
      <w:r>
        <w:rPr>
          <w:rFonts w:hAnsi="Courier New"/>
          <w:b/>
          <w:bCs/>
          <w:rtl/>
        </w:rPr>
        <w:t>אר"ש ברי כו' דם דקרבנין.</w:t>
      </w:r>
      <w:r>
        <w:rPr>
          <w:rFonts w:hAnsi="Courier New"/>
          <w:rtl/>
        </w:rPr>
        <w:t xml:space="preserve"> דלבא - פתורא, כמו שאומר לקמן בכמה מקומות, ואמרו (ברכות נה ע"א) ואלה מדות המזבח כו' זה השולחן כו' שולחנו של אדם מכפר עליו, דהאכילה היא במקום קרבן, דראשית האכילה נוטל הלב, וסללא דדמא לצפון ואח"כ משלח למוח בסוד אשה ריח ניחוח - בלב וריאה ומוח, אם זכה שאכילתו כהוגן, ונשמתו סלקא בדרגא דיליה. וזה שאומר </w:t>
      </w:r>
      <w:r>
        <w:rPr>
          <w:rFonts w:hAnsi="Courier New"/>
          <w:b/>
          <w:bCs/>
          <w:rtl/>
        </w:rPr>
        <w:t>אם זכו אריה כו'</w:t>
      </w:r>
      <w:r>
        <w:rPr>
          <w:rFonts w:hAnsi="Courier New"/>
          <w:rtl/>
        </w:rPr>
        <w:t xml:space="preserve"> שהוא מוחא, </w:t>
      </w:r>
      <w:r>
        <w:rPr>
          <w:rFonts w:hAnsi="Courier New"/>
          <w:b/>
          <w:bCs/>
          <w:rtl/>
        </w:rPr>
        <w:t>וא"ל כו'</w:t>
      </w:r>
      <w:r>
        <w:rPr>
          <w:rFonts w:hAnsi="Courier New"/>
          <w:rtl/>
        </w:rPr>
        <w:t xml:space="preserve"> שהוא כבד, כמו שאומר לעיל בסוף תיקון כ”א ס' א' קרבנא קדמאה כו', ושם ב' וכל קרבנין אלין רמיזין בגופא דבר נש, מוחא ולבא וריאה אינון אריה כו' קטרוגא כו' עיין שם. וזה שאומר </w:t>
      </w:r>
      <w:r>
        <w:rPr>
          <w:rFonts w:hAnsi="Courier New"/>
          <w:b/>
          <w:bCs/>
          <w:rtl/>
        </w:rPr>
        <w:t>ובאן אתר כו'</w:t>
      </w:r>
      <w:r>
        <w:rPr>
          <w:rFonts w:hAnsi="Courier New"/>
          <w:rtl/>
        </w:rPr>
        <w:t xml:space="preserve"> דמרה קטרוגא במוחא, וכמו שאומר לקמן, והוא כד נשמתא נחית תמן כמו שאומר לעיל תיקון כ’, וכן אכילתו בתאוה, ואמר </w:t>
      </w:r>
      <w:r>
        <w:rPr>
          <w:rFonts w:hAnsi="Courier New"/>
          <w:b/>
          <w:bCs/>
          <w:rtl/>
        </w:rPr>
        <w:t>גיהנם</w:t>
      </w:r>
      <w:r>
        <w:rPr>
          <w:rFonts w:hAnsi="Courier New"/>
          <w:rtl/>
        </w:rPr>
        <w:t xml:space="preserve"> דהוא אש דאכיל הקרבן, אש זרה. ואמר </w:t>
      </w:r>
      <w:r>
        <w:rPr>
          <w:rFonts w:hAnsi="Courier New"/>
          <w:b/>
          <w:bCs/>
          <w:rtl/>
        </w:rPr>
        <w:t>דאיהו עלוקה כו'</w:t>
      </w:r>
      <w:r>
        <w:rPr>
          <w:rFonts w:hAnsi="Courier New"/>
          <w:rtl/>
        </w:rPr>
        <w:t xml:space="preserve"> כמו שמפרש והולך וכלבא בהון כו', וכן מרה אית לה שני פיות, וכן חרבא דמלאך המות כמו שמפרש והולך חדה כו', וכל זה - כן הוא למעלה, וכן הוא בישראל, וכמו שאומר לעיל בתיקון כ’ בארוכה:</w:t>
      </w:r>
    </w:p>
  </w:footnote>
  <w:footnote w:id="5639">
    <w:p w:rsidR="00A13282" w:rsidRDefault="00A13282" w:rsidP="006F705A">
      <w:pPr>
        <w:pStyle w:val="a5"/>
        <w:rPr>
          <w:rtl/>
        </w:rPr>
      </w:pPr>
      <w:r>
        <w:rPr>
          <w:rStyle w:val="a7"/>
          <w:rtl/>
        </w:rPr>
        <w:footnoteRef/>
      </w:r>
      <w:r>
        <w:rPr>
          <w:rtl/>
        </w:rPr>
        <w:t xml:space="preserve"> </w:t>
      </w:r>
      <w:r>
        <w:rPr>
          <w:rFonts w:hAnsi="Courier New"/>
          <w:b/>
          <w:bCs/>
          <w:rtl/>
        </w:rPr>
        <w:t>וכבד איהו כו'.</w:t>
      </w:r>
      <w:r>
        <w:rPr>
          <w:rFonts w:hAnsi="Courier New"/>
          <w:rtl/>
        </w:rPr>
        <w:t xml:space="preserve"> כל הענין הזה עיין מה שכתבתי לעיל בתיקון כ’ שם:</w:t>
      </w:r>
    </w:p>
  </w:footnote>
  <w:footnote w:id="5640">
    <w:p w:rsidR="00A13282" w:rsidRDefault="00A13282" w:rsidP="006F705A">
      <w:pPr>
        <w:pStyle w:val="a5"/>
        <w:rPr>
          <w:rtl/>
        </w:rPr>
      </w:pPr>
      <w:r>
        <w:rPr>
          <w:rStyle w:val="a7"/>
          <w:rtl/>
        </w:rPr>
        <w:footnoteRef/>
      </w:r>
      <w:r>
        <w:rPr>
          <w:rtl/>
        </w:rPr>
        <w:t xml:space="preserve"> </w:t>
      </w:r>
      <w:r>
        <w:rPr>
          <w:rFonts w:hAnsi="Courier New"/>
          <w:b/>
          <w:bCs/>
          <w:rtl/>
        </w:rPr>
        <w:t>כד שלטא מרה כו' בההוא זמנא כו'.</w:t>
      </w:r>
      <w:r>
        <w:rPr>
          <w:rFonts w:hAnsi="Courier New"/>
          <w:rtl/>
        </w:rPr>
        <w:t xml:space="preserve"> רוצה לומר גלות השכינה וישראל:</w:t>
      </w:r>
    </w:p>
  </w:footnote>
  <w:footnote w:id="5641">
    <w:p w:rsidR="00A13282" w:rsidRDefault="00A13282" w:rsidP="006F705A">
      <w:pPr>
        <w:pStyle w:val="a5"/>
        <w:rPr>
          <w:rtl/>
        </w:rPr>
      </w:pPr>
      <w:r>
        <w:rPr>
          <w:rStyle w:val="a7"/>
          <w:rtl/>
        </w:rPr>
        <w:footnoteRef/>
      </w:r>
      <w:r>
        <w:rPr>
          <w:rtl/>
        </w:rPr>
        <w:t xml:space="preserve"> </w:t>
      </w:r>
      <w:r>
        <w:rPr>
          <w:rFonts w:hAnsi="Courier New"/>
          <w:b/>
          <w:bCs/>
          <w:rtl/>
        </w:rPr>
        <w:t>אימא דע"ר.</w:t>
      </w:r>
      <w:r>
        <w:rPr>
          <w:rFonts w:hAnsi="Courier New"/>
          <w:rtl/>
        </w:rPr>
        <w:t xml:space="preserve"> שהן מעורבין בישראל, ואינון זוחלי עפר (דברים לב כד), שהן קשין מאומות פלחי כוכביא, כמו שאומר ברעיא מהימנא דכבד הוא ע' אומין פלחי כוכביא, עם ב' פיות דמרה הוא ע"ב, אבל שחוק הטחול הוא רשעים דישראל שהשעה משחקת להם, והאומין פלחי כוכביא הן כעס דמרה וכבד, שעליהן נאמר (קהלת ז ג) טוב כעס משחוק. ואמר </w:t>
      </w:r>
      <w:r>
        <w:rPr>
          <w:rFonts w:hAnsi="Courier New"/>
          <w:b/>
          <w:bCs/>
          <w:rtl/>
        </w:rPr>
        <w:t>מאן כסיל כו'</w:t>
      </w:r>
      <w:r>
        <w:rPr>
          <w:rFonts w:hAnsi="Courier New"/>
          <w:rtl/>
        </w:rPr>
        <w:t xml:space="preserve"> כמו שכתוב (קהלת ד יג) מלך זקן וכסיל, והוא שוחק עליהן בטחול, כי נופת תטופנה כו' (משלי ה ג):</w:t>
      </w:r>
    </w:p>
  </w:footnote>
  <w:footnote w:id="5642">
    <w:p w:rsidR="00A13282" w:rsidRDefault="00A13282" w:rsidP="006F705A">
      <w:pPr>
        <w:pStyle w:val="a5"/>
        <w:rPr>
          <w:rtl/>
        </w:rPr>
      </w:pPr>
      <w:r>
        <w:rPr>
          <w:rStyle w:val="a7"/>
          <w:rtl/>
        </w:rPr>
        <w:footnoteRef/>
      </w:r>
      <w:r>
        <w:rPr>
          <w:rtl/>
        </w:rPr>
        <w:t xml:space="preserve"> </w:t>
      </w:r>
      <w:r>
        <w:rPr>
          <w:rFonts w:hAnsi="Courier New"/>
          <w:b/>
          <w:bCs/>
          <w:rtl/>
        </w:rPr>
        <w:t>ומאן גרם דבלע כו'.</w:t>
      </w:r>
      <w:r>
        <w:rPr>
          <w:rFonts w:hAnsi="Courier New"/>
          <w:rtl/>
        </w:rPr>
        <w:t xml:space="preserve"> רוצה לומר, שנמשכים אחריהם ממה שרואין בהצלחתן, וכמו שאומר לקמן רביי כו' בגין דלית בהון דעת כו'. ועיין ברעיא מהימנא פ' פנחס רל"ב ב' אר"מ והא אוקמוה כו' ושם רל"ד א':</w:t>
      </w:r>
    </w:p>
  </w:footnote>
  <w:footnote w:id="5643">
    <w:p w:rsidR="00A13282" w:rsidRDefault="00A13282" w:rsidP="006F705A">
      <w:pPr>
        <w:pStyle w:val="a5"/>
        <w:rPr>
          <w:rtl/>
        </w:rPr>
      </w:pPr>
      <w:r>
        <w:rPr>
          <w:rStyle w:val="a7"/>
          <w:rtl/>
        </w:rPr>
        <w:footnoteRef/>
      </w:r>
      <w:r>
        <w:rPr>
          <w:rtl/>
        </w:rPr>
        <w:t xml:space="preserve"> </w:t>
      </w:r>
      <w:r>
        <w:rPr>
          <w:rFonts w:hAnsi="Courier New"/>
          <w:b/>
          <w:bCs/>
          <w:rtl/>
        </w:rPr>
        <w:t>כליות כו' נבואה.</w:t>
      </w:r>
      <w:r>
        <w:rPr>
          <w:rFonts w:hAnsi="Courier New"/>
          <w:rtl/>
        </w:rPr>
        <w:t xml:space="preserve"> דנו"ה הן דרגין דנבואה. ואמר </w:t>
      </w:r>
      <w:r>
        <w:rPr>
          <w:rFonts w:hAnsi="Courier New"/>
          <w:b/>
          <w:bCs/>
          <w:rtl/>
        </w:rPr>
        <w:t>דאיהו נר</w:t>
      </w:r>
      <w:r>
        <w:rPr>
          <w:rFonts w:hAnsi="Courier New"/>
          <w:rtl/>
        </w:rPr>
        <w:t xml:space="preserve"> רוצה לומר נר ה' דשריא בלבא, שהוא נפשא דנקרא נר ה', כמו שכתוב (משלי כ כז) נשמת אדם, והוא נפשא דבלבא, ומנייהו נפיק לכליות, וכן (ברכות סא ע"א) כליות יועצות ללב, ולב מבין, ונר הוא נבואה כמו שכתוב (ירמיהו כג כט) הלא כה דברי כאש כו'. ואמר </w:t>
      </w:r>
      <w:r>
        <w:rPr>
          <w:rFonts w:hAnsi="Courier New"/>
          <w:b/>
          <w:bCs/>
          <w:rtl/>
        </w:rPr>
        <w:t>ואינון יועצים לטב</w:t>
      </w:r>
      <w:r>
        <w:rPr>
          <w:rFonts w:hAnsi="Courier New"/>
          <w:rtl/>
        </w:rPr>
        <w:t xml:space="preserve"> אחת יועצתו לטובה כו', והיא בבינונים, אבל בצדיקים - היצר טוב שופטן:</w:t>
      </w:r>
    </w:p>
  </w:footnote>
  <w:footnote w:id="5644">
    <w:p w:rsidR="00A13282" w:rsidRDefault="00A13282" w:rsidP="006F705A">
      <w:pPr>
        <w:pStyle w:val="a5"/>
        <w:rPr>
          <w:rtl/>
        </w:rPr>
      </w:pPr>
      <w:r>
        <w:rPr>
          <w:rStyle w:val="a7"/>
          <w:rtl/>
        </w:rPr>
        <w:footnoteRef/>
      </w:r>
      <w:r>
        <w:rPr>
          <w:rtl/>
        </w:rPr>
        <w:t xml:space="preserve"> </w:t>
      </w:r>
      <w:r>
        <w:rPr>
          <w:rFonts w:hAnsi="Courier New"/>
          <w:b/>
          <w:bCs/>
          <w:rtl/>
        </w:rPr>
        <w:t>רוח חכמה כו'.</w:t>
      </w:r>
      <w:r>
        <w:rPr>
          <w:rFonts w:hAnsi="Courier New"/>
          <w:rtl/>
        </w:rPr>
        <w:t xml:space="preserve"> דהן שית רוחין כמו שאומר באידרא רבא, והן בריאה דהוא וא"ו, ו"ק, שית גדפין וכמו שאומר לעיל תיקון כ”ה, ובכליות - נר ה', נפשא; וכאן - רוח ה', רוחא:</w:t>
      </w:r>
    </w:p>
  </w:footnote>
  <w:footnote w:id="5645">
    <w:p w:rsidR="00A13282" w:rsidRDefault="00A13282" w:rsidP="006F705A">
      <w:pPr>
        <w:pStyle w:val="a5"/>
        <w:rPr>
          <w:rtl/>
        </w:rPr>
      </w:pPr>
      <w:r>
        <w:rPr>
          <w:rStyle w:val="a7"/>
          <w:rtl/>
        </w:rPr>
        <w:footnoteRef/>
      </w:r>
      <w:r>
        <w:rPr>
          <w:rtl/>
        </w:rPr>
        <w:t xml:space="preserve"> </w:t>
      </w:r>
      <w:r>
        <w:rPr>
          <w:rFonts w:hAnsi="Courier New"/>
          <w:b/>
          <w:bCs/>
          <w:rtl/>
        </w:rPr>
        <w:t>הכרובים.</w:t>
      </w:r>
      <w:r>
        <w:rPr>
          <w:rFonts w:hAnsi="Courier New"/>
          <w:rtl/>
        </w:rPr>
        <w:t xml:space="preserve"> שהן כנפי ריאה, ועיין ברעיא מהימנא שם רל"ד א' רל"ה א'. ואמר </w:t>
      </w:r>
      <w:r>
        <w:rPr>
          <w:rFonts w:hAnsi="Courier New"/>
          <w:b/>
          <w:bCs/>
          <w:rtl/>
        </w:rPr>
        <w:t>כגון צורת אדם</w:t>
      </w:r>
      <w:r>
        <w:rPr>
          <w:rFonts w:hAnsi="Courier New"/>
          <w:rtl/>
        </w:rPr>
        <w:t xml:space="preserve"> רוצה לומר דהן בעצמן נקראות אדם, כרובין וגדפין שית, ונאמר פורשי כנפים - תרין, היינו תרין לכל חיה, והן פורשין לקבלא אדם דאיהו מלכא עלייהו. ועיין ברעיא מהימנא שם. והתרין גדפין הן דימינא נכלל בחד דשמאלא:</w:t>
      </w:r>
    </w:p>
  </w:footnote>
  <w:footnote w:id="5646">
    <w:p w:rsidR="00A13282" w:rsidRDefault="00A13282" w:rsidP="006F705A">
      <w:pPr>
        <w:pStyle w:val="a5"/>
        <w:rPr>
          <w:rtl/>
        </w:rPr>
      </w:pPr>
      <w:r>
        <w:rPr>
          <w:rStyle w:val="a7"/>
          <w:rtl/>
        </w:rPr>
        <w:footnoteRef/>
      </w:r>
      <w:r>
        <w:rPr>
          <w:rtl/>
        </w:rPr>
        <w:t xml:space="preserve"> </w:t>
      </w:r>
      <w:r>
        <w:rPr>
          <w:rFonts w:hAnsi="Courier New"/>
          <w:b/>
          <w:bCs/>
          <w:rtl/>
        </w:rPr>
        <w:t>מסט' דשכינתא כו'.</w:t>
      </w:r>
      <w:r>
        <w:rPr>
          <w:rFonts w:hAnsi="Courier New"/>
          <w:rtl/>
        </w:rPr>
        <w:t xml:space="preserve"> דהיא ד', מרובעת בד' סטרין, וז"א - לשית סטרין. ורוצה לומר דלכן חיות בד' גדפין אבל שרפים הן שית גדפין. ושרפים הן כנפי ריאה כמו שאומר שם ברעיא מהימנא, וד' גדפין הן: ב' אומות דריאה - ב' גדפין, וב' כוליין - ב' גדפין, כמו שאומר ברעיא מהימנא רל"ד א', וזה שאומר </w:t>
      </w:r>
      <w:r>
        <w:rPr>
          <w:rFonts w:hAnsi="Courier New"/>
          <w:b/>
          <w:bCs/>
          <w:rtl/>
        </w:rPr>
        <w:t xml:space="preserve">שית גדפין כו' ארבע כו' </w:t>
      </w:r>
      <w:r>
        <w:rPr>
          <w:rFonts w:hAnsi="Courier New"/>
          <w:rtl/>
        </w:rPr>
        <w:t>והן ו' דרגין, ד' רגלין - שהן עשר דכורסייא, כמו שאומר ברעיא מהימנא פ' בא:</w:t>
      </w:r>
    </w:p>
  </w:footnote>
  <w:footnote w:id="5647">
    <w:p w:rsidR="00A13282" w:rsidRDefault="00A13282" w:rsidP="006F705A">
      <w:pPr>
        <w:pStyle w:val="a5"/>
        <w:rPr>
          <w:rtl/>
        </w:rPr>
      </w:pPr>
      <w:r>
        <w:rPr>
          <w:rStyle w:val="a7"/>
          <w:rtl/>
        </w:rPr>
        <w:footnoteRef/>
      </w:r>
      <w:r>
        <w:rPr>
          <w:rtl/>
        </w:rPr>
        <w:t xml:space="preserve"> </w:t>
      </w:r>
      <w:r>
        <w:rPr>
          <w:rFonts w:hAnsi="Courier New"/>
          <w:b/>
          <w:bCs/>
          <w:rtl/>
        </w:rPr>
        <w:t>פורשי כנפים כו'.</w:t>
      </w:r>
      <w:r>
        <w:rPr>
          <w:rFonts w:hAnsi="Courier New"/>
          <w:rtl/>
        </w:rPr>
        <w:t xml:space="preserve"> רוצה לומר, למעלה - לקבלא אדם עלייהו, שהוא במוחא, נשמת אדם, וסוככים בכנפיהם - הוא על לבא. ואמר </w:t>
      </w:r>
      <w:r>
        <w:rPr>
          <w:rFonts w:hAnsi="Courier New"/>
          <w:b/>
          <w:bCs/>
          <w:rtl/>
        </w:rPr>
        <w:t>ק"ק ודא לבא.</w:t>
      </w:r>
      <w:r>
        <w:rPr>
          <w:rFonts w:hAnsi="Courier New"/>
          <w:rtl/>
        </w:rPr>
        <w:t xml:space="preserve"> רוצה לומר דתמן כפרת וארון, כיסתא דלבא, וכמו שאומר לעיל תיקון כ”ה:</w:t>
      </w:r>
    </w:p>
  </w:footnote>
  <w:footnote w:id="5648">
    <w:p w:rsidR="00A13282" w:rsidRDefault="00A13282" w:rsidP="006F705A">
      <w:pPr>
        <w:pStyle w:val="a5"/>
        <w:rPr>
          <w:rtl/>
        </w:rPr>
      </w:pPr>
      <w:r>
        <w:rPr>
          <w:rStyle w:val="a7"/>
          <w:rtl/>
        </w:rPr>
        <w:footnoteRef/>
      </w:r>
      <w:r>
        <w:rPr>
          <w:rtl/>
        </w:rPr>
        <w:t xml:space="preserve"> </w:t>
      </w:r>
      <w:r>
        <w:rPr>
          <w:rFonts w:hAnsi="Courier New"/>
          <w:b/>
          <w:bCs/>
          <w:rtl/>
        </w:rPr>
        <w:t>נר"נ כו'.</w:t>
      </w:r>
      <w:r>
        <w:rPr>
          <w:rFonts w:hAnsi="Courier New"/>
          <w:rtl/>
        </w:rPr>
        <w:t xml:space="preserve"> רוצה לומר במוחא וריאה ולבא:</w:t>
      </w:r>
    </w:p>
  </w:footnote>
  <w:footnote w:id="5649">
    <w:p w:rsidR="00A13282" w:rsidRDefault="00A13282" w:rsidP="006F705A">
      <w:pPr>
        <w:pStyle w:val="a5"/>
        <w:rPr>
          <w:rtl/>
        </w:rPr>
      </w:pPr>
      <w:r>
        <w:rPr>
          <w:rStyle w:val="a7"/>
          <w:rtl/>
        </w:rPr>
        <w:footnoteRef/>
      </w:r>
      <w:r>
        <w:rPr>
          <w:rtl/>
        </w:rPr>
        <w:t xml:space="preserve"> </w:t>
      </w:r>
      <w:r>
        <w:rPr>
          <w:rFonts w:hAnsi="Courier New"/>
          <w:b/>
          <w:bCs/>
          <w:rtl/>
        </w:rPr>
        <w:t>נהיר ביה מלכא.</w:t>
      </w:r>
      <w:r>
        <w:rPr>
          <w:rFonts w:hAnsi="Courier New"/>
          <w:rtl/>
        </w:rPr>
        <w:t xml:space="preserve"> רוצה לומר, ביה - באדם, בב' כליות, ואמר </w:t>
      </w:r>
      <w:r>
        <w:rPr>
          <w:rFonts w:hAnsi="Courier New"/>
          <w:b/>
          <w:bCs/>
          <w:rtl/>
        </w:rPr>
        <w:t>וא"ל נורא כו'</w:t>
      </w:r>
      <w:r>
        <w:rPr>
          <w:rFonts w:hAnsi="Courier New"/>
          <w:rtl/>
        </w:rPr>
        <w:t xml:space="preserve"> והוא כד רוחא דקודשא לא נשיב ביה, וכמו שאמרו ברעיא מהימנא שם וכד חובין מתרבין כו', ובזמנא דכנפי ריאה נשבין על לבא כו' דא קול תורה כו', ובזוהר שם ת"ח לבא כו' כנפי ריאה דאייתין לקמיה רוחא כו', והן ב' דרגין בנר - לשרוף או להאיר, וכמו שאומר לקמן נר הוה נהיר ביה כו', והיא אשא ורוחא ומיא, אמ"ש, דכהן ולוי וישראל, אשא בלבא רוחא בריאה - לוי ישראל, מיא במוחא כהן, וכמו שאמרו ברעיא מהימנא שם אר"מ כו' אבל מוחא איהו מים, לב איהו אש, ותרווייהו כו' רוחא דנשיב בכנפי ריאה כו':</w:t>
      </w:r>
    </w:p>
  </w:footnote>
  <w:footnote w:id="5650">
    <w:p w:rsidR="00A13282" w:rsidRDefault="00A13282" w:rsidP="006F705A">
      <w:pPr>
        <w:pStyle w:val="a5"/>
        <w:rPr>
          <w:rtl/>
        </w:rPr>
      </w:pPr>
      <w:r>
        <w:rPr>
          <w:rStyle w:val="a7"/>
          <w:rtl/>
        </w:rPr>
        <w:footnoteRef/>
      </w:r>
      <w:r>
        <w:rPr>
          <w:rtl/>
        </w:rPr>
        <w:t xml:space="preserve"> </w:t>
      </w:r>
      <w:r>
        <w:rPr>
          <w:rFonts w:hAnsi="Courier New"/>
          <w:b/>
          <w:bCs/>
          <w:rtl/>
        </w:rPr>
        <w:t>דאיהו סלם דחזא יעקב ושית עזקין כו'.</w:t>
      </w:r>
      <w:r>
        <w:rPr>
          <w:rFonts w:hAnsi="Courier New"/>
          <w:rtl/>
        </w:rPr>
        <w:t xml:space="preserve"> ועיין ברעיא מהימנא שם רל"ה א' ובקנה שית עזקאן כו' וקנה ואיהו סלם דביה כו' עיין שם היטב:</w:t>
      </w:r>
    </w:p>
  </w:footnote>
  <w:footnote w:id="5651">
    <w:p w:rsidR="00A13282" w:rsidRDefault="00A13282" w:rsidP="006F705A">
      <w:pPr>
        <w:pStyle w:val="a5"/>
        <w:rPr>
          <w:rtl/>
        </w:rPr>
      </w:pPr>
      <w:r>
        <w:rPr>
          <w:rStyle w:val="a7"/>
          <w:rtl/>
        </w:rPr>
        <w:footnoteRef/>
      </w:r>
      <w:r>
        <w:rPr>
          <w:rtl/>
        </w:rPr>
        <w:t xml:space="preserve"> </w:t>
      </w:r>
      <w:r>
        <w:rPr>
          <w:rFonts w:hAnsi="Courier New"/>
          <w:b/>
          <w:bCs/>
          <w:rtl/>
        </w:rPr>
        <w:t>וסלקין לשתין כו'.</w:t>
      </w:r>
      <w:r>
        <w:rPr>
          <w:rFonts w:hAnsi="Courier New"/>
          <w:rtl/>
        </w:rPr>
        <w:t xml:space="preserve"> דהנשמין הוא ע"י הקנה, ברוחא דשם:</w:t>
      </w:r>
    </w:p>
  </w:footnote>
  <w:footnote w:id="5652">
    <w:p w:rsidR="00A13282" w:rsidRDefault="00A13282" w:rsidP="006F705A">
      <w:pPr>
        <w:pStyle w:val="a5"/>
        <w:rPr>
          <w:rtl/>
        </w:rPr>
      </w:pPr>
      <w:r>
        <w:rPr>
          <w:rStyle w:val="a7"/>
          <w:rtl/>
        </w:rPr>
        <w:footnoteRef/>
      </w:r>
      <w:r>
        <w:rPr>
          <w:rtl/>
        </w:rPr>
        <w:t xml:space="preserve"> </w:t>
      </w:r>
      <w:r>
        <w:rPr>
          <w:rFonts w:hAnsi="Courier New"/>
          <w:b/>
          <w:bCs/>
          <w:rtl/>
        </w:rPr>
        <w:t>ואיהו לא נאים.</w:t>
      </w:r>
      <w:r>
        <w:rPr>
          <w:rFonts w:hAnsi="Courier New"/>
          <w:rtl/>
        </w:rPr>
        <w:t xml:space="preserve"> דהוא אחד מששים במיתה, כדי שלא יטעם כו' (זהר בראשית רז ע"א):</w:t>
      </w:r>
    </w:p>
  </w:footnote>
  <w:footnote w:id="5653">
    <w:p w:rsidR="00A13282" w:rsidRDefault="00A13282" w:rsidP="006F705A">
      <w:pPr>
        <w:pStyle w:val="a5"/>
        <w:rPr>
          <w:rtl/>
        </w:rPr>
      </w:pPr>
      <w:r>
        <w:rPr>
          <w:rStyle w:val="a7"/>
          <w:rtl/>
        </w:rPr>
        <w:footnoteRef/>
      </w:r>
      <w:r>
        <w:rPr>
          <w:rtl/>
        </w:rPr>
        <w:t xml:space="preserve"> </w:t>
      </w:r>
      <w:r>
        <w:rPr>
          <w:rFonts w:hAnsi="Courier New"/>
          <w:b/>
          <w:bCs/>
          <w:rtl/>
        </w:rPr>
        <w:t>ובגין דחלום כו' בגין כו'.</w:t>
      </w:r>
      <w:r>
        <w:rPr>
          <w:rFonts w:hAnsi="Courier New"/>
          <w:rtl/>
        </w:rPr>
        <w:t xml:space="preserve"> עיין ברעיא מהימנא רל"ד א' ב' אר"מ בתר דגופא איהו מאילנא כו' ובג"ד מסטרא דאילנא כו', וזה שאומר </w:t>
      </w:r>
      <w:r>
        <w:rPr>
          <w:rFonts w:hAnsi="Courier New"/>
          <w:b/>
          <w:bCs/>
          <w:rtl/>
        </w:rPr>
        <w:t>אבל מסט' דאילנא דחיי כו'</w:t>
      </w:r>
      <w:r>
        <w:rPr>
          <w:rFonts w:hAnsi="Courier New"/>
          <w:rtl/>
        </w:rPr>
        <w:t xml:space="preserve"> רוצה לומר גוף שהוא מסטרא דעץ החיים, שאין בהן יצר הרע, כמו שאמרו (ברכות סא ע"ב) צדיקים יצר טוב שופטן, וכמו שאמרו בסוד ח"ק ט"ר י"ש (שבת קד ע"א):</w:t>
      </w:r>
    </w:p>
  </w:footnote>
  <w:footnote w:id="5654">
    <w:p w:rsidR="00A13282" w:rsidRDefault="00A13282" w:rsidP="006F705A">
      <w:pPr>
        <w:pStyle w:val="a5"/>
        <w:rPr>
          <w:rtl/>
        </w:rPr>
      </w:pPr>
      <w:r>
        <w:rPr>
          <w:rStyle w:val="a7"/>
          <w:rtl/>
        </w:rPr>
        <w:footnoteRef/>
      </w:r>
      <w:r>
        <w:rPr>
          <w:rtl/>
        </w:rPr>
        <w:t xml:space="preserve"> </w:t>
      </w:r>
      <w:r>
        <w:rPr>
          <w:rFonts w:hAnsi="Courier New"/>
          <w:b/>
          <w:bCs/>
          <w:rtl/>
        </w:rPr>
        <w:t>קורקבן טוחן כו' דאינון אברין קדישין בפקודין דעשה.</w:t>
      </w:r>
      <w:r>
        <w:rPr>
          <w:rFonts w:hAnsi="Courier New"/>
          <w:rtl/>
        </w:rPr>
        <w:t xml:space="preserve"> רוצה לומר דהאברים נקראים צדיקים, בפקודין דעשה שהן מקיימין, רמ"ח מצוות עשה נגד האברים, ואיהי טוחנת האכילה להם בסטרא דקדושה, ובאכילת מצוה לשם שמים שהיא מעין אכילת מן:</w:t>
      </w:r>
    </w:p>
  </w:footnote>
  <w:footnote w:id="5655">
    <w:p w:rsidR="00A13282" w:rsidRDefault="00A13282" w:rsidP="006F705A">
      <w:pPr>
        <w:pStyle w:val="a5"/>
        <w:rPr>
          <w:rtl/>
        </w:rPr>
      </w:pPr>
      <w:r>
        <w:rPr>
          <w:rStyle w:val="a7"/>
          <w:rtl/>
        </w:rPr>
        <w:footnoteRef/>
      </w:r>
      <w:r>
        <w:rPr>
          <w:rtl/>
        </w:rPr>
        <w:t xml:space="preserve"> </w:t>
      </w:r>
      <w:r>
        <w:rPr>
          <w:rFonts w:hAnsi="Courier New"/>
          <w:b/>
          <w:bCs/>
          <w:rtl/>
        </w:rPr>
        <w:t>קלא בקלון.</w:t>
      </w:r>
      <w:r>
        <w:rPr>
          <w:rFonts w:hAnsi="Courier New"/>
          <w:rtl/>
        </w:rPr>
        <w:t xml:space="preserve"> דרש כפל דקלוקל, קלא בקלון. ורוצה לומר קלא - מזונא קלא, דבר מועט, והוא בקלון גם כן - שמתנתם מועטת וחרפתם מרובה, והן הערב רב, דאהדר להם המן בלחם הקלוקל:</w:t>
      </w:r>
    </w:p>
  </w:footnote>
  <w:footnote w:id="5656">
    <w:p w:rsidR="00A13282" w:rsidRDefault="00A13282" w:rsidP="006F705A">
      <w:pPr>
        <w:pStyle w:val="a5"/>
        <w:rPr>
          <w:rtl/>
        </w:rPr>
      </w:pPr>
      <w:r>
        <w:rPr>
          <w:rStyle w:val="a7"/>
          <w:rtl/>
        </w:rPr>
        <w:footnoteRef/>
      </w:r>
      <w:r>
        <w:rPr>
          <w:rtl/>
        </w:rPr>
        <w:t xml:space="preserve"> </w:t>
      </w:r>
      <w:r>
        <w:rPr>
          <w:rFonts w:hAnsi="Courier New"/>
          <w:b/>
          <w:bCs/>
          <w:rtl/>
        </w:rPr>
        <w:t>ושט שטו.</w:t>
      </w:r>
      <w:r>
        <w:rPr>
          <w:rFonts w:hAnsi="Courier New"/>
          <w:rtl/>
        </w:rPr>
        <w:t xml:space="preserve"> דהוא אותיות שוות:</w:t>
      </w:r>
    </w:p>
  </w:footnote>
  <w:footnote w:id="5657">
    <w:p w:rsidR="00A13282" w:rsidRDefault="00A13282" w:rsidP="006F705A">
      <w:pPr>
        <w:pStyle w:val="a5"/>
        <w:rPr>
          <w:rtl/>
        </w:rPr>
      </w:pPr>
      <w:r>
        <w:rPr>
          <w:rStyle w:val="a7"/>
          <w:rtl/>
        </w:rPr>
        <w:footnoteRef/>
      </w:r>
      <w:r>
        <w:rPr>
          <w:rtl/>
        </w:rPr>
        <w:t xml:space="preserve"> </w:t>
      </w:r>
      <w:r>
        <w:rPr>
          <w:rFonts w:hAnsi="Courier New"/>
          <w:b/>
          <w:bCs/>
          <w:rtl/>
        </w:rPr>
        <w:t>לקטין בשטותא.</w:t>
      </w:r>
      <w:r>
        <w:rPr>
          <w:rFonts w:hAnsi="Courier New"/>
          <w:rtl/>
        </w:rPr>
        <w:t xml:space="preserve"> רוצה לומר המזון בא להם בהבלים ושטותא ורדיפה הרבה, וזהו שטו - שהלכו בדרכים רחוקים ולא בטחו בקונם:</w:t>
      </w:r>
    </w:p>
  </w:footnote>
  <w:footnote w:id="5658">
    <w:p w:rsidR="00A13282" w:rsidRDefault="00A13282" w:rsidP="006F705A">
      <w:pPr>
        <w:pStyle w:val="a5"/>
        <w:rPr>
          <w:rtl/>
        </w:rPr>
      </w:pPr>
      <w:r>
        <w:rPr>
          <w:rStyle w:val="a7"/>
          <w:rtl/>
        </w:rPr>
        <w:footnoteRef/>
      </w:r>
      <w:r>
        <w:rPr>
          <w:rtl/>
        </w:rPr>
        <w:t xml:space="preserve"> </w:t>
      </w:r>
      <w:r>
        <w:rPr>
          <w:rFonts w:hAnsi="Courier New"/>
          <w:b/>
          <w:bCs/>
          <w:rtl/>
        </w:rPr>
        <w:t>וטחנו ברחים כו'.</w:t>
      </w:r>
      <w:r>
        <w:rPr>
          <w:rFonts w:hAnsi="Courier New"/>
          <w:rtl/>
        </w:rPr>
        <w:t xml:space="preserve"> שאכלו לחם קשה - ממעוט בטחונם. וצריכים לטחנות שהן השיניים והחיך - ללעוס אותם בקושי רב, ולהתבשל באצטומכא. ומפרש והולך שהוא הכל באורייתא כמו שאומר ברי רזא כו':</w:t>
      </w:r>
    </w:p>
  </w:footnote>
  <w:footnote w:id="5659">
    <w:p w:rsidR="00A13282" w:rsidRDefault="00A13282" w:rsidP="006F705A">
      <w:pPr>
        <w:pStyle w:val="a5"/>
        <w:rPr>
          <w:rtl/>
        </w:rPr>
      </w:pPr>
      <w:r>
        <w:rPr>
          <w:rStyle w:val="a7"/>
          <w:rtl/>
        </w:rPr>
        <w:footnoteRef/>
      </w:r>
      <w:r>
        <w:rPr>
          <w:rtl/>
        </w:rPr>
        <w:t xml:space="preserve"> </w:t>
      </w:r>
      <w:r>
        <w:rPr>
          <w:rFonts w:hAnsi="Courier New"/>
          <w:b/>
          <w:bCs/>
          <w:rtl/>
        </w:rPr>
        <w:t>לאולפא דא לדא כל חד בדוחקא.</w:t>
      </w:r>
      <w:r>
        <w:rPr>
          <w:rFonts w:hAnsi="Courier New"/>
          <w:rtl/>
        </w:rPr>
        <w:t xml:space="preserve"> וזהו טחנו או דכו כו':</w:t>
      </w:r>
    </w:p>
  </w:footnote>
  <w:footnote w:id="5660">
    <w:p w:rsidR="00A13282" w:rsidRDefault="00A13282" w:rsidP="006F705A">
      <w:pPr>
        <w:pStyle w:val="a5"/>
        <w:rPr>
          <w:rtl/>
        </w:rPr>
      </w:pPr>
      <w:r>
        <w:rPr>
          <w:rStyle w:val="a7"/>
          <w:rtl/>
        </w:rPr>
        <w:footnoteRef/>
      </w:r>
      <w:r>
        <w:rPr>
          <w:rtl/>
        </w:rPr>
        <w:t xml:space="preserve"> </w:t>
      </w:r>
      <w:r>
        <w:rPr>
          <w:rFonts w:hAnsi="Courier New"/>
          <w:b/>
          <w:bCs/>
          <w:rtl/>
        </w:rPr>
        <w:t>חוור וסומק.</w:t>
      </w:r>
      <w:r>
        <w:rPr>
          <w:rFonts w:hAnsi="Courier New"/>
          <w:rtl/>
        </w:rPr>
        <w:t xml:space="preserve"> רוצה לומר סומק בחוץ וחוור מבפנים:</w:t>
      </w:r>
    </w:p>
  </w:footnote>
  <w:footnote w:id="5661">
    <w:p w:rsidR="00A13282" w:rsidRDefault="00A13282" w:rsidP="006F705A">
      <w:pPr>
        <w:pStyle w:val="a5"/>
        <w:rPr>
          <w:rFonts w:hAnsi="Courier New"/>
          <w:rtl/>
        </w:rPr>
      </w:pPr>
      <w:r>
        <w:rPr>
          <w:rStyle w:val="a7"/>
          <w:rtl/>
        </w:rPr>
        <w:footnoteRef/>
      </w:r>
      <w:r>
        <w:rPr>
          <w:rtl/>
        </w:rPr>
        <w:t xml:space="preserve"> </w:t>
      </w:r>
      <w:r>
        <w:rPr>
          <w:rFonts w:hAnsi="Courier New"/>
          <w:b/>
          <w:bCs/>
          <w:rtl/>
        </w:rPr>
        <w:t>נחש בריח כו'.</w:t>
      </w:r>
      <w:r>
        <w:rPr>
          <w:rFonts w:hAnsi="Courier New"/>
          <w:rtl/>
        </w:rPr>
        <w:t xml:space="preserve"> דהמעים הולכין ביושר מקורקבן, ואח"כ בעיגול, ובהן הולכת האכילה, ונגדן הלויתן שעתידין לאכול. ועיין ברעיא מהימנא שם אצטומכא כו' ושם רל"ב א' וושט דומה כו' ושם רל"ה ב':</w:t>
      </w:r>
    </w:p>
    <w:p w:rsidR="00A13282" w:rsidRDefault="00A13282" w:rsidP="006F705A">
      <w:pPr>
        <w:pStyle w:val="a5"/>
        <w:rPr>
          <w:rtl/>
        </w:rPr>
      </w:pPr>
    </w:p>
  </w:footnote>
  <w:footnote w:id="5662">
    <w:p w:rsidR="00A13282" w:rsidRDefault="00A13282" w:rsidP="006F705A">
      <w:pPr>
        <w:pStyle w:val="a5"/>
        <w:rPr>
          <w:rtl/>
        </w:rPr>
      </w:pPr>
      <w:r>
        <w:rPr>
          <w:rStyle w:val="a7"/>
          <w:rtl/>
        </w:rPr>
        <w:footnoteRef/>
      </w:r>
      <w:r>
        <w:rPr>
          <w:rtl/>
        </w:rPr>
        <w:t xml:space="preserve"> </w:t>
      </w:r>
      <w:r>
        <w:rPr>
          <w:rFonts w:hAnsi="Courier New"/>
          <w:b/>
          <w:bCs/>
          <w:rtl/>
        </w:rPr>
        <w:t>תיקון ד' בראשית תמן יש כו' לצדיקיא דאינון דחלין לקב"ה וירתין כו' בגין עותרא והוו מנסין כו'.</w:t>
      </w:r>
      <w:r>
        <w:rPr>
          <w:rFonts w:hAnsi="Courier New"/>
          <w:rtl/>
        </w:rPr>
        <w:t xml:space="preserve"> רוצה לומר (במלת בראשית) ואוצרותיהם - שהוא יראת ה', כמו שכתוב (ישעיהו לג ו) יראת ה' היא אוצרו, ואותו אוצר - אמלא, וירתין האי יש, ומרומז במלת בראשית - דתמן יראת, לכן תמן יש, ומרומז להיפך - יראת יש - דלא דחלין רק בגין יש, כמו שמפרש והולך והוא יראה רעה, וזה שאומר וערבוביא כו', הן שאמרו במדבר היש כו', והן כמו שמפרש והולך וכל אינון כו'. ועיין לעיל ריש תיקון ל”ג ותיקון ל’:</w:t>
      </w:r>
    </w:p>
  </w:footnote>
  <w:footnote w:id="5663">
    <w:p w:rsidR="00A13282" w:rsidRDefault="00A13282" w:rsidP="006F705A">
      <w:pPr>
        <w:pStyle w:val="a5"/>
        <w:rPr>
          <w:rtl/>
        </w:rPr>
      </w:pPr>
      <w:r>
        <w:rPr>
          <w:rStyle w:val="a7"/>
          <w:rtl/>
        </w:rPr>
        <w:footnoteRef/>
      </w:r>
      <w:r>
        <w:rPr>
          <w:rtl/>
        </w:rPr>
        <w:t xml:space="preserve"> </w:t>
      </w:r>
      <w:r>
        <w:rPr>
          <w:rFonts w:hAnsi="Courier New"/>
          <w:b/>
          <w:bCs/>
          <w:rtl/>
        </w:rPr>
        <w:t>דוודאי סגיאין כו'.</w:t>
      </w:r>
      <w:r>
        <w:rPr>
          <w:rFonts w:hAnsi="Courier New"/>
          <w:rtl/>
        </w:rPr>
        <w:t xml:space="preserve"> מפרש והולך, דלא תימא האיך אפשר שיהא חביב ממונא מנפשא, לכך התחיל ואמר דאית בר נש דאזיל בכל פקודין כו' דעותרא דנפשא איהו פקודין כו' ועותרא כו' ואינון דמחבבין ממונא מנפשא כו':</w:t>
      </w:r>
    </w:p>
  </w:footnote>
  <w:footnote w:id="5664">
    <w:p w:rsidR="00A13282" w:rsidRDefault="00A13282" w:rsidP="006F705A">
      <w:pPr>
        <w:pStyle w:val="a5"/>
        <w:rPr>
          <w:rFonts w:hAnsi="Courier New"/>
          <w:rtl/>
        </w:rPr>
      </w:pPr>
      <w:r>
        <w:rPr>
          <w:rStyle w:val="a7"/>
          <w:rtl/>
        </w:rPr>
        <w:footnoteRef/>
      </w:r>
      <w:r>
        <w:rPr>
          <w:rtl/>
        </w:rPr>
        <w:t xml:space="preserve"> </w:t>
      </w:r>
      <w:r>
        <w:rPr>
          <w:rFonts w:hAnsi="Courier New"/>
          <w:b/>
          <w:bCs/>
          <w:rtl/>
        </w:rPr>
        <w:t>וכן אית מאן דחשיב נפשא מממונא והוה כו'.</w:t>
      </w:r>
      <w:r>
        <w:rPr>
          <w:rFonts w:hAnsi="Courier New"/>
          <w:rtl/>
        </w:rPr>
        <w:t xml:space="preserve"> ומפרש נפשך כאן - לגוף, וכן יש להיפך, דאית דחביב ליה ממונא מגופא, וכן בנפשך הנשמה יש לפרש גם כן בהיפך, דחביב ליה נפשא מממונא, שעושה הכל בשביל שכר עולם הבא, אלא שלא פירש רק ראשי דברים שאין מצויין, אבל אינון תרין, נפשא יותר מממונא הוא מצוי, וכן ממונא מגופא הוא ברוב העולם, וכמעט בכולו, וזה שאומר וכן אית מאן כו':</w:t>
      </w:r>
    </w:p>
    <w:p w:rsidR="00A13282" w:rsidRDefault="00A13282" w:rsidP="006F705A">
      <w:pPr>
        <w:pStyle w:val="a5"/>
        <w:rPr>
          <w:rtl/>
        </w:rPr>
      </w:pPr>
    </w:p>
  </w:footnote>
  <w:footnote w:id="5665">
    <w:p w:rsidR="00A13282" w:rsidRDefault="00A13282" w:rsidP="006F705A">
      <w:pPr>
        <w:pStyle w:val="a5"/>
        <w:rPr>
          <w:rtl/>
        </w:rPr>
      </w:pPr>
      <w:r>
        <w:rPr>
          <w:rStyle w:val="a7"/>
          <w:rtl/>
        </w:rPr>
        <w:footnoteRef/>
      </w:r>
      <w:r>
        <w:rPr>
          <w:rtl/>
        </w:rPr>
        <w:t xml:space="preserve"> </w:t>
      </w:r>
      <w:r>
        <w:rPr>
          <w:rFonts w:hAnsi="Courier New"/>
          <w:b/>
          <w:bCs/>
          <w:rtl/>
        </w:rPr>
        <w:t>תיקון ה' בראשית כי כו'.</w:t>
      </w:r>
      <w:r>
        <w:rPr>
          <w:rFonts w:hAnsi="Courier New"/>
          <w:rtl/>
        </w:rPr>
        <w:t xml:space="preserve"> רוצה לומר, דתמן באש שהוא גבורה, שהוא המשפט, ואלקים דבראשית הוא הדיין, וזה שאומר </w:t>
      </w:r>
      <w:r>
        <w:rPr>
          <w:rFonts w:hAnsi="Courier New"/>
          <w:b/>
          <w:bCs/>
          <w:rtl/>
        </w:rPr>
        <w:t>מארי דדינא.</w:t>
      </w:r>
      <w:r>
        <w:rPr>
          <w:rFonts w:hAnsi="Courier New"/>
          <w:rtl/>
        </w:rPr>
        <w:t xml:space="preserve"> ורוצה לומר דהדין מרומז בו, ובראשית - הדין, ואלקים - הדיין. ואמר כי באש ה' נשפט לראיה שבו מרומז המשפט. ואמר </w:t>
      </w:r>
      <w:r>
        <w:rPr>
          <w:rFonts w:hAnsi="Courier New"/>
          <w:b/>
          <w:bCs/>
          <w:rtl/>
        </w:rPr>
        <w:t>בוודאי כו'.</w:t>
      </w:r>
      <w:r>
        <w:rPr>
          <w:rFonts w:hAnsi="Courier New"/>
          <w:rtl/>
        </w:rPr>
        <w:t xml:space="preserve"> מפרש והולך האיך צריך להיות המשפט:</w:t>
      </w:r>
    </w:p>
  </w:footnote>
  <w:footnote w:id="5666">
    <w:p w:rsidR="00A13282" w:rsidRDefault="00A13282" w:rsidP="006F705A">
      <w:pPr>
        <w:pStyle w:val="a5"/>
        <w:rPr>
          <w:rtl/>
        </w:rPr>
      </w:pPr>
      <w:r>
        <w:rPr>
          <w:rStyle w:val="a7"/>
          <w:rtl/>
        </w:rPr>
        <w:footnoteRef/>
      </w:r>
      <w:r>
        <w:rPr>
          <w:rtl/>
        </w:rPr>
        <w:t xml:space="preserve"> </w:t>
      </w:r>
      <w:r>
        <w:rPr>
          <w:rFonts w:hAnsi="Courier New"/>
          <w:b/>
          <w:bCs/>
          <w:rtl/>
        </w:rPr>
        <w:t>לדא מטה כו'.</w:t>
      </w:r>
      <w:r>
        <w:rPr>
          <w:rFonts w:hAnsi="Courier New"/>
          <w:rtl/>
        </w:rPr>
        <w:t xml:space="preserve"> מפרש דכליל מג', חג"ת, לכן הדיינים צריכין להיות שלשה:</w:t>
      </w:r>
    </w:p>
  </w:footnote>
  <w:footnote w:id="5667">
    <w:p w:rsidR="00A13282" w:rsidRDefault="00A13282" w:rsidP="006F705A">
      <w:pPr>
        <w:pStyle w:val="a5"/>
        <w:rPr>
          <w:rtl/>
        </w:rPr>
      </w:pPr>
      <w:r>
        <w:rPr>
          <w:rStyle w:val="a7"/>
          <w:rtl/>
        </w:rPr>
        <w:footnoteRef/>
      </w:r>
      <w:r>
        <w:rPr>
          <w:rtl/>
        </w:rPr>
        <w:t xml:space="preserve"> </w:t>
      </w:r>
      <w:r>
        <w:rPr>
          <w:rFonts w:hAnsi="Courier New"/>
          <w:b/>
          <w:bCs/>
          <w:rtl/>
        </w:rPr>
        <w:t>אלקים הכסא כו'.</w:t>
      </w:r>
      <w:r>
        <w:rPr>
          <w:rFonts w:hAnsi="Courier New"/>
          <w:rtl/>
        </w:rPr>
        <w:t xml:space="preserve"> רוצה לומר דהוא כסא המשפט, ואמר </w:t>
      </w:r>
      <w:r>
        <w:rPr>
          <w:rFonts w:hAnsi="Courier New"/>
          <w:b/>
          <w:bCs/>
          <w:rtl/>
        </w:rPr>
        <w:t>דתמן י"ק כו'.</w:t>
      </w:r>
      <w:r>
        <w:rPr>
          <w:rFonts w:hAnsi="Courier New"/>
          <w:rtl/>
        </w:rPr>
        <w:t xml:space="preserve"> גם כן לראיה שהוא הכסא, דבכורסייא מקננן חו"ב, ואמר </w:t>
      </w:r>
      <w:r>
        <w:rPr>
          <w:rFonts w:hAnsi="Courier New"/>
          <w:b/>
          <w:bCs/>
          <w:rtl/>
        </w:rPr>
        <w:t>זה שמי כו'</w:t>
      </w:r>
      <w:r>
        <w:rPr>
          <w:rFonts w:hAnsi="Courier New"/>
          <w:rtl/>
        </w:rPr>
        <w:t xml:space="preserve"> הכל הוא לראיה שהוא מסטרא דשמאלא, דשס"ה לא תעשה הוא מסטרא דשמאלא, ועוד ראיה, דה"א קדים ליו"ד, וזה שאומר ודא ק"י מן אלקים כו':</w:t>
      </w:r>
    </w:p>
  </w:footnote>
  <w:footnote w:id="5668">
    <w:p w:rsidR="00A13282" w:rsidRDefault="00A13282" w:rsidP="006F705A">
      <w:pPr>
        <w:pStyle w:val="a5"/>
        <w:rPr>
          <w:rtl/>
        </w:rPr>
      </w:pPr>
      <w:r>
        <w:rPr>
          <w:rStyle w:val="a7"/>
          <w:rtl/>
        </w:rPr>
        <w:footnoteRef/>
      </w:r>
      <w:r>
        <w:rPr>
          <w:rtl/>
        </w:rPr>
        <w:t xml:space="preserve"> </w:t>
      </w:r>
      <w:r>
        <w:rPr>
          <w:rFonts w:hAnsi="Courier New"/>
          <w:b/>
          <w:bCs/>
          <w:rtl/>
        </w:rPr>
        <w:t>וכד דיין איהו דן כו'.</w:t>
      </w:r>
      <w:r>
        <w:rPr>
          <w:rFonts w:hAnsi="Courier New"/>
          <w:rtl/>
        </w:rPr>
        <w:t xml:space="preserve"> מפרש והולך, שכל ענין הדיין, הכל כעין דלעילא, ואח"כ מפרש הפסוק להתיצב על ה', בתחלה - כפשוטיה, איהו יתיב ואינון כו', ואח"כ דהוא מטולא עליה כו', ואח"כ מפרש להתיצב רוצה לומר נגדו, דה' הוא מדת הרחמים, ואח"כ מפרש שמבקשין מגבורה דהיא על ה' ת"ת:</w:t>
      </w:r>
    </w:p>
  </w:footnote>
  <w:footnote w:id="5669">
    <w:p w:rsidR="00A13282" w:rsidRDefault="00A13282" w:rsidP="006F705A">
      <w:pPr>
        <w:pStyle w:val="a5"/>
        <w:rPr>
          <w:rtl/>
        </w:rPr>
      </w:pPr>
      <w:r>
        <w:rPr>
          <w:rStyle w:val="a7"/>
          <w:rtl/>
        </w:rPr>
        <w:footnoteRef/>
      </w:r>
      <w:r>
        <w:rPr>
          <w:rtl/>
        </w:rPr>
        <w:t xml:space="preserve"> </w:t>
      </w:r>
      <w:r>
        <w:rPr>
          <w:rFonts w:hAnsi="Courier New"/>
          <w:b/>
          <w:bCs/>
          <w:rtl/>
        </w:rPr>
        <w:t>להתיצב על ה' דאע"ג דבנוי אינון ישראל לית לן כו'.</w:t>
      </w:r>
      <w:r>
        <w:rPr>
          <w:rFonts w:hAnsi="Courier New"/>
          <w:rtl/>
        </w:rPr>
        <w:t xml:space="preserve"> רוצה לומר בית דין שלמעלה אינן יכולין לוותר אע"ג דישראל אינון בנוי דקב"ה, דאורייתא כו', ואמר </w:t>
      </w:r>
      <w:r>
        <w:rPr>
          <w:rFonts w:hAnsi="Courier New"/>
          <w:b/>
          <w:bCs/>
          <w:rtl/>
        </w:rPr>
        <w:t>ולגבי דינא כו'</w:t>
      </w:r>
      <w:r>
        <w:rPr>
          <w:rFonts w:hAnsi="Courier New"/>
          <w:rtl/>
        </w:rPr>
        <w:t xml:space="preserve"> רוצה לומר זהו על השם, שהוא למעלה, דאמצעיתא הוא למעלה, וכן הוא בתש"ת - גבורה באמצעיתא, ועיין בזהר פ’ אמור:</w:t>
      </w:r>
    </w:p>
  </w:footnote>
  <w:footnote w:id="5670">
    <w:p w:rsidR="00A13282" w:rsidRDefault="00A13282" w:rsidP="006F705A">
      <w:pPr>
        <w:pStyle w:val="a5"/>
        <w:rPr>
          <w:rtl/>
        </w:rPr>
      </w:pPr>
      <w:r>
        <w:rPr>
          <w:rStyle w:val="a7"/>
          <w:rtl/>
        </w:rPr>
        <w:footnoteRef/>
      </w:r>
      <w:r>
        <w:rPr>
          <w:rtl/>
        </w:rPr>
        <w:t xml:space="preserve"> </w:t>
      </w:r>
      <w:r>
        <w:rPr>
          <w:rFonts w:hAnsi="Courier New"/>
          <w:b/>
          <w:bCs/>
          <w:rtl/>
        </w:rPr>
        <w:t>וחובא דאדם קדמאה איהו נבלתו דאיהי עץ הדעת טוב ורע כו'.</w:t>
      </w:r>
      <w:r>
        <w:rPr>
          <w:rFonts w:hAnsi="Courier New"/>
          <w:rtl/>
        </w:rPr>
        <w:t xml:space="preserve"> רוצה לומר דעץ הדעת דגרים מיתה הוא נבלתו:</w:t>
      </w:r>
    </w:p>
  </w:footnote>
  <w:footnote w:id="5671">
    <w:p w:rsidR="00A13282" w:rsidRDefault="00A13282" w:rsidP="006F705A">
      <w:pPr>
        <w:pStyle w:val="a5"/>
        <w:rPr>
          <w:rtl/>
        </w:rPr>
      </w:pPr>
      <w:r>
        <w:rPr>
          <w:rStyle w:val="a7"/>
          <w:rtl/>
        </w:rPr>
        <w:footnoteRef/>
      </w:r>
      <w:r>
        <w:rPr>
          <w:rtl/>
        </w:rPr>
        <w:t xml:space="preserve"> </w:t>
      </w:r>
      <w:r>
        <w:rPr>
          <w:rFonts w:hAnsi="Courier New"/>
          <w:b/>
          <w:bCs/>
          <w:rtl/>
        </w:rPr>
        <w:t>דאיהי ריחשא.</w:t>
      </w:r>
      <w:r>
        <w:rPr>
          <w:rFonts w:hAnsi="Courier New"/>
          <w:rtl/>
        </w:rPr>
        <w:t xml:space="preserve"> כמו שאמרו (פסחים מט ע"ב) ובנותיהם שקץ כו', ואמר </w:t>
      </w:r>
      <w:r>
        <w:rPr>
          <w:rFonts w:hAnsi="Courier New"/>
          <w:b/>
          <w:bCs/>
          <w:rtl/>
        </w:rPr>
        <w:t xml:space="preserve">דאם אנת תליא לה ביה כו'.  </w:t>
      </w:r>
      <w:r>
        <w:rPr>
          <w:rFonts w:hAnsi="Courier New"/>
          <w:rtl/>
        </w:rPr>
        <w:t>כמו שמפרש והולך כמטולא תליא עליה, ואמרה</w:t>
      </w:r>
      <w:r>
        <w:rPr>
          <w:rFonts w:hAnsi="Courier New"/>
          <w:b/>
          <w:bCs/>
          <w:rtl/>
        </w:rPr>
        <w:t xml:space="preserve"> </w:t>
      </w:r>
      <w:r>
        <w:rPr>
          <w:rFonts w:hAnsi="Courier New"/>
          <w:rtl/>
        </w:rPr>
        <w:t>התורה לא תלין, רוצה לומר למשכב עמה:</w:t>
      </w:r>
    </w:p>
  </w:footnote>
  <w:footnote w:id="5672">
    <w:p w:rsidR="00A13282" w:rsidRDefault="00A13282" w:rsidP="006F705A">
      <w:pPr>
        <w:pStyle w:val="a5"/>
        <w:rPr>
          <w:rtl/>
        </w:rPr>
      </w:pPr>
      <w:r>
        <w:rPr>
          <w:rStyle w:val="a7"/>
          <w:rtl/>
        </w:rPr>
        <w:footnoteRef/>
      </w:r>
      <w:r>
        <w:rPr>
          <w:rtl/>
        </w:rPr>
        <w:t xml:space="preserve"> </w:t>
      </w:r>
      <w:r>
        <w:rPr>
          <w:rFonts w:hAnsi="Courier New"/>
          <w:b/>
          <w:bCs/>
          <w:rtl/>
        </w:rPr>
        <w:t>או קוברה כו'.</w:t>
      </w:r>
      <w:r>
        <w:rPr>
          <w:rFonts w:hAnsi="Courier New"/>
          <w:rtl/>
        </w:rPr>
        <w:t xml:space="preserve"> כמו שאמרו בסוף פרק ג' דפסחים כל סעודה שאינה של מצוה כו' כגון בת כהן לישראל, ובת תלמיד חכם לעם הארץ כו', דאמר ר' יוחנן בת כהן לישראל אין זווגן עולה יפה, במתניתא או קוברה או קוברתו או מביאתו לידי עניות, ונראה שכל זה הוא כל שכן בבת תלמיד חכם לעם הארץ ובת עם הארץ לתלמיד חכם, וכמו שאומר כאן או קוברה כו' או אייתי ליה כו', ואמר לאו איקרי זווגא דיליה:</w:t>
      </w:r>
    </w:p>
  </w:footnote>
  <w:footnote w:id="5673">
    <w:p w:rsidR="00A13282" w:rsidRDefault="00A13282" w:rsidP="006F705A">
      <w:pPr>
        <w:pStyle w:val="a5"/>
        <w:rPr>
          <w:rtl/>
        </w:rPr>
      </w:pPr>
      <w:r>
        <w:rPr>
          <w:rStyle w:val="a7"/>
          <w:rtl/>
        </w:rPr>
        <w:footnoteRef/>
      </w:r>
      <w:r>
        <w:rPr>
          <w:rtl/>
        </w:rPr>
        <w:t xml:space="preserve"> </w:t>
      </w:r>
      <w:r>
        <w:rPr>
          <w:rFonts w:hAnsi="Courier New"/>
          <w:b/>
          <w:bCs/>
          <w:rtl/>
        </w:rPr>
        <w:t>של נעליך.</w:t>
      </w:r>
      <w:r>
        <w:rPr>
          <w:rFonts w:hAnsi="Courier New"/>
          <w:rtl/>
        </w:rPr>
        <w:t xml:space="preserve"> הוא נפשא, דהוא נעל דרוחא, אתתא דילה:</w:t>
      </w:r>
    </w:p>
  </w:footnote>
  <w:footnote w:id="5674">
    <w:p w:rsidR="00A13282" w:rsidRDefault="00A13282" w:rsidP="006F705A">
      <w:pPr>
        <w:pStyle w:val="a5"/>
        <w:rPr>
          <w:rtl/>
        </w:rPr>
      </w:pPr>
      <w:r>
        <w:rPr>
          <w:rStyle w:val="a7"/>
          <w:rtl/>
        </w:rPr>
        <w:footnoteRef/>
      </w:r>
      <w:r>
        <w:rPr>
          <w:rtl/>
        </w:rPr>
        <w:t xml:space="preserve"> </w:t>
      </w:r>
      <w:r>
        <w:rPr>
          <w:rFonts w:hAnsi="Courier New"/>
          <w:b/>
          <w:bCs/>
          <w:rtl/>
        </w:rPr>
        <w:t>דנשמתא יתירה איהי ארץ ישראל אדמת כו'.</w:t>
      </w:r>
      <w:r>
        <w:rPr>
          <w:rFonts w:hAnsi="Courier New"/>
          <w:rtl/>
        </w:rPr>
        <w:t xml:space="preserve"> רוצה לומר, זה שאומר את אדמתך - אדמת דילך, דאינון ישראלים, ונאמר בם אדמת קודש, רוצה לומר אדמת ישראל דאינון קודש, כמו שמפרש והולך דאתמר בהו קודש כו', ושבת הוא עץ החיים:</w:t>
      </w:r>
    </w:p>
  </w:footnote>
  <w:footnote w:id="5675">
    <w:p w:rsidR="00A13282" w:rsidRDefault="00A13282" w:rsidP="006F705A">
      <w:pPr>
        <w:pStyle w:val="a5"/>
        <w:rPr>
          <w:rtl/>
        </w:rPr>
      </w:pPr>
      <w:r>
        <w:rPr>
          <w:rStyle w:val="a7"/>
          <w:rtl/>
        </w:rPr>
        <w:footnoteRef/>
      </w:r>
      <w:r>
        <w:rPr>
          <w:rtl/>
        </w:rPr>
        <w:t xml:space="preserve"> </w:t>
      </w:r>
      <w:r>
        <w:rPr>
          <w:rFonts w:hAnsi="Courier New"/>
          <w:b/>
          <w:bCs/>
          <w:rtl/>
        </w:rPr>
        <w:t>עמי לא ידע כו'.</w:t>
      </w:r>
      <w:r>
        <w:rPr>
          <w:rFonts w:hAnsi="Courier New"/>
          <w:rtl/>
        </w:rPr>
        <w:t xml:space="preserve"> רוצה לומר שישראל לא ידעו בההוא חובא כלל, וכנ"ל. ואמר ידע שור כו' שהשור ידע מי שעשהו וכן החמור אבל ישראל לית להו חלק בו, שהכל עשו הערב רב, ומפני קנאה:</w:t>
      </w:r>
    </w:p>
  </w:footnote>
  <w:footnote w:id="5676">
    <w:p w:rsidR="00A13282" w:rsidRDefault="00A13282" w:rsidP="006F705A">
      <w:pPr>
        <w:pStyle w:val="a5"/>
        <w:rPr>
          <w:rtl/>
        </w:rPr>
      </w:pPr>
      <w:r>
        <w:rPr>
          <w:rStyle w:val="a7"/>
          <w:rtl/>
        </w:rPr>
        <w:footnoteRef/>
      </w:r>
      <w:r>
        <w:rPr>
          <w:rtl/>
        </w:rPr>
        <w:t xml:space="preserve"> </w:t>
      </w:r>
      <w:r>
        <w:rPr>
          <w:rFonts w:hAnsi="Courier New"/>
          <w:b/>
          <w:bCs/>
          <w:rtl/>
        </w:rPr>
        <w:t>ועמי כו'.</w:t>
      </w:r>
      <w:r>
        <w:rPr>
          <w:rFonts w:hAnsi="Courier New"/>
          <w:rtl/>
        </w:rPr>
        <w:t xml:space="preserve"> מפרש לקמן עמי, דהוא בן עמרם, לא התבונן בחרשין דלהון, וזה שאומר </w:t>
      </w:r>
      <w:r>
        <w:rPr>
          <w:rFonts w:hAnsi="Courier New"/>
          <w:b/>
          <w:bCs/>
          <w:rtl/>
        </w:rPr>
        <w:t>אלא וודאי אינון הוו מכשפין כו':</w:t>
      </w:r>
    </w:p>
  </w:footnote>
  <w:footnote w:id="5677">
    <w:p w:rsidR="00A13282" w:rsidRDefault="00A13282" w:rsidP="006F705A">
      <w:pPr>
        <w:pStyle w:val="a5"/>
        <w:rPr>
          <w:rtl/>
        </w:rPr>
      </w:pPr>
      <w:r>
        <w:rPr>
          <w:rStyle w:val="a7"/>
          <w:rtl/>
        </w:rPr>
        <w:footnoteRef/>
      </w:r>
      <w:r>
        <w:rPr>
          <w:rtl/>
        </w:rPr>
        <w:t xml:space="preserve"> </w:t>
      </w:r>
      <w:r>
        <w:rPr>
          <w:rFonts w:hAnsi="Courier New"/>
          <w:b/>
          <w:bCs/>
          <w:rtl/>
        </w:rPr>
        <w:t>ד"א לא כו' דלא אתגייר כו'.</w:t>
      </w:r>
      <w:r>
        <w:rPr>
          <w:rFonts w:hAnsi="Courier New"/>
          <w:rtl/>
        </w:rPr>
        <w:t xml:space="preserve"> ועל אלין אמרו קשים גרים כו': </w:t>
      </w:r>
    </w:p>
  </w:footnote>
  <w:footnote w:id="5678">
    <w:p w:rsidR="00A13282" w:rsidRDefault="00A13282" w:rsidP="006F705A">
      <w:pPr>
        <w:pStyle w:val="a5"/>
        <w:rPr>
          <w:rtl/>
        </w:rPr>
      </w:pPr>
      <w:r>
        <w:rPr>
          <w:rStyle w:val="a7"/>
          <w:rtl/>
        </w:rPr>
        <w:footnoteRef/>
      </w:r>
      <w:r>
        <w:rPr>
          <w:rtl/>
        </w:rPr>
        <w:t xml:space="preserve"> </w:t>
      </w:r>
      <w:r>
        <w:rPr>
          <w:rFonts w:hAnsi="Courier New"/>
          <w:b/>
          <w:bCs/>
          <w:rtl/>
        </w:rPr>
        <w:t>על העץ דא לישנא דחובא כו'.</w:t>
      </w:r>
      <w:r>
        <w:rPr>
          <w:rFonts w:hAnsi="Courier New"/>
          <w:rtl/>
        </w:rPr>
        <w:t xml:space="preserve"> ועיין לעיל תיקון ס”ו דאינון מות וחיים ביד לשון, ואמר דחובא דא גרים כו' כמו שאמרו (שבת לג ע"א) על כן על בחוריו כו':</w:t>
      </w:r>
    </w:p>
  </w:footnote>
  <w:footnote w:id="5679">
    <w:p w:rsidR="00A13282" w:rsidRDefault="00A13282" w:rsidP="006F705A">
      <w:pPr>
        <w:pStyle w:val="a5"/>
        <w:rPr>
          <w:rtl/>
        </w:rPr>
      </w:pPr>
      <w:r>
        <w:rPr>
          <w:rStyle w:val="a7"/>
          <w:rtl/>
        </w:rPr>
        <w:footnoteRef/>
      </w:r>
      <w:r>
        <w:rPr>
          <w:rtl/>
        </w:rPr>
        <w:t xml:space="preserve"> </w:t>
      </w:r>
      <w:r>
        <w:rPr>
          <w:rFonts w:hAnsi="Courier New"/>
          <w:b/>
          <w:bCs/>
          <w:rtl/>
        </w:rPr>
        <w:t>דא איהו דיני' בחנק מאן דעבר ע"ד. תניינא הרג למאן דמעני לאלמנה ויתום הה"ד אם ענה תענה כו' וכן מאן דממשכן לחבריה.</w:t>
      </w:r>
      <w:r>
        <w:rPr>
          <w:rFonts w:hAnsi="Courier New"/>
          <w:rtl/>
        </w:rPr>
        <w:t xml:space="preserve"> רוצה לומר, קדמייתא - נבלות הפה וכיוצא - דיניה בחנק בבית דין שלמעלה, העץ דהוא חנק. ותנינא - בעינוי, הוא הרג כמו שאומר שם, ואמר וכן מאן דממשכן כו', דביה נאמר גם כן (שמות כב כו) והיה כי יצעק אלי ושמעתי כו', ואח"כ מפרש והולך בנשמתא כו':</w:t>
      </w:r>
    </w:p>
  </w:footnote>
  <w:footnote w:id="5680">
    <w:p w:rsidR="00A13282" w:rsidRDefault="00A13282" w:rsidP="006F705A">
      <w:pPr>
        <w:pStyle w:val="a5"/>
        <w:rPr>
          <w:rtl/>
        </w:rPr>
      </w:pPr>
      <w:r>
        <w:rPr>
          <w:rStyle w:val="a7"/>
          <w:rtl/>
        </w:rPr>
        <w:footnoteRef/>
      </w:r>
      <w:r>
        <w:rPr>
          <w:rtl/>
        </w:rPr>
        <w:t xml:space="preserve"> </w:t>
      </w:r>
      <w:r>
        <w:rPr>
          <w:rFonts w:hAnsi="Courier New"/>
          <w:b/>
          <w:bCs/>
          <w:rtl/>
        </w:rPr>
        <w:t>האי בנשמתא כו' שלמת רעך דא נשמתא.</w:t>
      </w:r>
      <w:r>
        <w:rPr>
          <w:rFonts w:hAnsi="Courier New"/>
          <w:rtl/>
        </w:rPr>
        <w:t xml:space="preserve"> דאיהי מכורסייא, לבושא דקב"ה, ואמר </w:t>
      </w:r>
      <w:r>
        <w:rPr>
          <w:rFonts w:hAnsi="Courier New"/>
          <w:b/>
          <w:bCs/>
          <w:rtl/>
        </w:rPr>
        <w:t>ואם חבול תחבול תפילין דיד כו'.</w:t>
      </w:r>
      <w:r>
        <w:rPr>
          <w:rFonts w:hAnsi="Courier New"/>
          <w:rtl/>
        </w:rPr>
        <w:t xml:space="preserve"> והכל אחד, כי אלו ג' הן נר"ן כמו שאומר למטה, ובזכות פקודין אלין ירתין בני נשא תלת קטרין דאינון כו', שלמת רעך הוא רעך ורע אביך כו' כמו שאומר למטה, בבתי דתפילין למשכב בהו בגלותא כו', ולקמן, ובג"ד נשמתא ורוחא ונפשא אינון משכבא דשכינתא בגלותא כו', ואם חבול כו' מפרש לקמן, דבגין חובין נטלין לחייביא משכונא דאיהו נשמתא ודא איהו ואם חבול כו':</w:t>
      </w:r>
    </w:p>
  </w:footnote>
  <w:footnote w:id="5681">
    <w:p w:rsidR="00A13282" w:rsidRDefault="00A13282" w:rsidP="006F705A">
      <w:pPr>
        <w:pStyle w:val="a5"/>
        <w:rPr>
          <w:rtl/>
        </w:rPr>
      </w:pPr>
      <w:r>
        <w:rPr>
          <w:rStyle w:val="a7"/>
          <w:rtl/>
        </w:rPr>
        <w:footnoteRef/>
      </w:r>
      <w:r>
        <w:rPr>
          <w:rtl/>
        </w:rPr>
        <w:t xml:space="preserve"> </w:t>
      </w:r>
      <w:r>
        <w:rPr>
          <w:rFonts w:hAnsi="Courier New"/>
          <w:b/>
          <w:bCs/>
          <w:rtl/>
        </w:rPr>
        <w:t>קדם דיתכניש מיני' דעליה כו'.</w:t>
      </w:r>
      <w:r>
        <w:rPr>
          <w:rFonts w:hAnsi="Courier New"/>
          <w:rtl/>
        </w:rPr>
        <w:t xml:space="preserve"> רוצה לומר מיניה דצדיק וכן שכינתא כמו שאומר למטה ובג"ד עד כו' לעני דאיהו צדיק ולשכינתא כו', וכנ"ל דקרא מיירי בעני כמו שאומר כיון דלית ליה אחרא, וכמו שאומר הא בעשיר שכב. ואמר </w:t>
      </w:r>
      <w:r>
        <w:rPr>
          <w:rFonts w:hAnsi="Courier New"/>
          <w:b/>
          <w:bCs/>
          <w:rtl/>
        </w:rPr>
        <w:t>מאי צדקה צלותא.</w:t>
      </w:r>
      <w:r>
        <w:rPr>
          <w:rFonts w:hAnsi="Courier New"/>
          <w:rtl/>
        </w:rPr>
        <w:t xml:space="preserve"> דבצלותא זרח השמש לעני, וכמו שאומר למטה, ובהו צריך למקרי לישראל עילאה דנחית לאנהרא בשכינתא, רוצה לומר דשמע ישראל - קוראין לישראל דיחות לאנהרא לעני, ואמר בשכינתא, רוצה לומר בשכינתא עילאה דאיהי צדקה, ואיהי כ"ה אתוון דקריאת שמע, ואיהי נהורא דפורקנא - אבל הכל ע"י ישראל, וכמו שמפרש והולך, ובנהורא דפורקנא דאיהי שמש צדקה ומרפא בכנפיה לישראל כו' דצדקה איהי שכינתא עלאה, עלה אתמר מי ירפא לך, ואיהי כ"ה אתוון דקריאת שמע כו', והכל בזכות הצלותא, דהיא הצדקה שעושה לעני, שמחזיר לו משכונא דילה, ושכב בשלמתו, דהן תפילין וציצית דהן ומרפא בכנפיה, וכמו שמפרש והולך דהן כנפי מצוה:</w:t>
      </w:r>
    </w:p>
  </w:footnote>
  <w:footnote w:id="5682">
    <w:p w:rsidR="00A13282" w:rsidRDefault="00A13282" w:rsidP="006F705A">
      <w:pPr>
        <w:pStyle w:val="a5"/>
        <w:rPr>
          <w:rtl/>
        </w:rPr>
      </w:pPr>
      <w:r>
        <w:rPr>
          <w:rStyle w:val="a7"/>
          <w:rtl/>
        </w:rPr>
        <w:footnoteRef/>
      </w:r>
      <w:r>
        <w:rPr>
          <w:rtl/>
        </w:rPr>
        <w:t xml:space="preserve"> </w:t>
      </w:r>
      <w:r>
        <w:rPr>
          <w:rFonts w:hAnsi="Courier New"/>
          <w:b/>
          <w:bCs/>
          <w:rtl/>
        </w:rPr>
        <w:t>דאתמר ביה כסאו כשמש נגדי.</w:t>
      </w:r>
      <w:r>
        <w:rPr>
          <w:rFonts w:hAnsi="Courier New"/>
          <w:rtl/>
        </w:rPr>
        <w:t xml:space="preserve"> דנשמתא איהי מכרסייא ועל נשמתא נאמ' כסאו כו': </w:t>
      </w:r>
    </w:p>
  </w:footnote>
  <w:footnote w:id="5683">
    <w:p w:rsidR="00A13282" w:rsidRDefault="00A13282" w:rsidP="006F705A">
      <w:pPr>
        <w:pStyle w:val="a5"/>
        <w:rPr>
          <w:rtl/>
        </w:rPr>
      </w:pPr>
      <w:r>
        <w:rPr>
          <w:rStyle w:val="a7"/>
          <w:rtl/>
        </w:rPr>
        <w:footnoteRef/>
      </w:r>
      <w:r>
        <w:rPr>
          <w:rtl/>
        </w:rPr>
        <w:t xml:space="preserve"> </w:t>
      </w:r>
      <w:r>
        <w:rPr>
          <w:rFonts w:hAnsi="Courier New"/>
          <w:b/>
          <w:bCs/>
          <w:rtl/>
        </w:rPr>
        <w:t>בגלותא.</w:t>
      </w:r>
      <w:r>
        <w:rPr>
          <w:rFonts w:hAnsi="Courier New"/>
          <w:rtl/>
        </w:rPr>
        <w:t xml:space="preserve"> דאיהי לילה, והיא אזהרה גם כן לישראל דלא יחטאו ויגרום לשכינתא גלותא, דלא אנהר לקב"ה, וכמו שהוכיחו הנביאים לישראל (ירמיהו יג טז) תנו לה' אלהיכם כבוד בטרם כו':</w:t>
      </w:r>
    </w:p>
  </w:footnote>
  <w:footnote w:id="5684">
    <w:p w:rsidR="00A13282" w:rsidRDefault="00A13282" w:rsidP="006F705A">
      <w:pPr>
        <w:pStyle w:val="a5"/>
        <w:rPr>
          <w:rtl/>
        </w:rPr>
      </w:pPr>
      <w:r>
        <w:rPr>
          <w:rStyle w:val="a7"/>
          <w:rtl/>
        </w:rPr>
        <w:footnoteRef/>
      </w:r>
      <w:r>
        <w:rPr>
          <w:rtl/>
        </w:rPr>
        <w:t xml:space="preserve"> </w:t>
      </w:r>
      <w:r>
        <w:rPr>
          <w:rFonts w:hAnsi="Courier New"/>
          <w:b/>
          <w:bCs/>
          <w:rtl/>
        </w:rPr>
        <w:t>לאנהרא לה בגלותא.</w:t>
      </w:r>
      <w:r>
        <w:rPr>
          <w:rFonts w:hAnsi="Courier New"/>
          <w:rtl/>
        </w:rPr>
        <w:t xml:space="preserve"> דהוא לילה, דלא אשתארת בחשוכא, והוא תורה אור - שהוא כעין יום, ונר - מצוה, וכמו שאמרו בסוטה (כא ע"א) נמשלה התורה לאור ומצוה לנר כו':</w:t>
      </w:r>
    </w:p>
  </w:footnote>
  <w:footnote w:id="5685">
    <w:p w:rsidR="00A13282" w:rsidRDefault="00A13282" w:rsidP="006F705A">
      <w:pPr>
        <w:pStyle w:val="a5"/>
        <w:rPr>
          <w:rtl/>
        </w:rPr>
      </w:pPr>
      <w:r>
        <w:rPr>
          <w:rStyle w:val="a7"/>
          <w:rtl/>
        </w:rPr>
        <w:footnoteRef/>
      </w:r>
      <w:r>
        <w:rPr>
          <w:rtl/>
        </w:rPr>
        <w:t xml:space="preserve"> </w:t>
      </w:r>
      <w:r>
        <w:rPr>
          <w:rFonts w:hAnsi="Courier New"/>
          <w:b/>
          <w:bCs/>
          <w:rtl/>
        </w:rPr>
        <w:t>אור נשמתא ג"ר נפשא רוחא בבתי דתפילין כו'.</w:t>
      </w:r>
      <w:r>
        <w:rPr>
          <w:rFonts w:hAnsi="Courier New"/>
          <w:rtl/>
        </w:rPr>
        <w:t xml:space="preserve"> מפרש ב' גווני דחבול תחבול הנ"ל, ואמר </w:t>
      </w:r>
      <w:r>
        <w:rPr>
          <w:rFonts w:hAnsi="Courier New"/>
          <w:b/>
          <w:bCs/>
          <w:rtl/>
        </w:rPr>
        <w:t>וכסויא דציצית כו'.</w:t>
      </w:r>
      <w:r>
        <w:rPr>
          <w:rFonts w:hAnsi="Courier New"/>
          <w:rtl/>
        </w:rPr>
        <w:t xml:space="preserve"> כמו שכתוב היא שמלתו לעורו, כסותה לבדו, תפילין וציצית כנ"ל, ופשטא דקרא עד בא השמש תשיבנו לו - כל היום זמנו, דבמה ישכב - בלילה, דכל לילה מפקידין בידה נשמתין, והיא מתהניא מצלותין ופקודין דיממא, והיא כסותה לבדה, דאין לה מגרמה כלום רק מנשמתין ופקודין דישראל, ונכתב בה"א - על שכינתא, והקרי - על צדיק, וכן בגלותא - לית לה קרבנין, ובגדי כהן גדול וכהן הדיוט, ולית לה אלא צלותא במקום קרבנין, וד' בתי תפילין במקום בגדי כהן גדול, וציצית במקום בגדי כהן הדיוט כמו שאומר לעיל ריש תיקון ל"ח, וזה שאומר היא כסותה לבדה:</w:t>
      </w:r>
    </w:p>
  </w:footnote>
  <w:footnote w:id="5686">
    <w:p w:rsidR="00A13282" w:rsidRDefault="00A13282" w:rsidP="006F705A">
      <w:pPr>
        <w:pStyle w:val="a5"/>
        <w:rPr>
          <w:rtl/>
        </w:rPr>
      </w:pPr>
      <w:r>
        <w:rPr>
          <w:rStyle w:val="a7"/>
          <w:rtl/>
        </w:rPr>
        <w:footnoteRef/>
      </w:r>
      <w:r>
        <w:rPr>
          <w:rtl/>
        </w:rPr>
        <w:t xml:space="preserve"> </w:t>
      </w:r>
      <w:r>
        <w:rPr>
          <w:rFonts w:hAnsi="Courier New"/>
          <w:b/>
          <w:bCs/>
          <w:rtl/>
        </w:rPr>
        <w:t>אשרי משכיל אל דל.</w:t>
      </w:r>
      <w:r>
        <w:rPr>
          <w:rFonts w:hAnsi="Courier New"/>
          <w:rtl/>
        </w:rPr>
        <w:t xml:space="preserve"> עני ועניה הנ"ל: </w:t>
      </w:r>
      <w:r>
        <w:rPr>
          <w:rFonts w:hAnsi="Courier New"/>
          <w:b/>
          <w:bCs/>
          <w:rtl/>
        </w:rPr>
        <w:t>ביום רעה.</w:t>
      </w:r>
      <w:r>
        <w:rPr>
          <w:rFonts w:hAnsi="Courier New"/>
          <w:rtl/>
        </w:rPr>
        <w:t xml:space="preserve"> חבלי משיח, כמו שכתוב (קהלת יב א) וזכור את בוראיך עד אשר לא כו', וכן אזהרה לבר נש בכל יומא, אשרי כו' עד אשר לא כו', כמו שאמרו בפרק כ"ג דשבת עד אשר לא תחשך השמש כו', וזהו גם כן עד בא השמש תשיבנו לו, שיחזור בתשובה קודם בא השמש, וכמו שאמרו (ילקוט שמעוני קהלת ח סימן תתקפט, ותהלים יז סימן תרע) עד שאתה בכחך ומצוי לך בעוה"ז כו':</w:t>
      </w:r>
    </w:p>
  </w:footnote>
  <w:footnote w:id="5687">
    <w:p w:rsidR="00A13282" w:rsidRDefault="00A13282" w:rsidP="006F705A">
      <w:pPr>
        <w:pStyle w:val="a5"/>
        <w:rPr>
          <w:rtl/>
        </w:rPr>
      </w:pPr>
      <w:r>
        <w:rPr>
          <w:rStyle w:val="a7"/>
          <w:rtl/>
        </w:rPr>
        <w:footnoteRef/>
      </w:r>
      <w:r>
        <w:rPr>
          <w:rtl/>
        </w:rPr>
        <w:t xml:space="preserve"> </w:t>
      </w:r>
      <w:r>
        <w:rPr>
          <w:rFonts w:hAnsi="Courier New"/>
          <w:b/>
          <w:bCs/>
          <w:rtl/>
        </w:rPr>
        <w:t>ובהו צריך למרי לישראל כו'.</w:t>
      </w:r>
      <w:r>
        <w:rPr>
          <w:rFonts w:hAnsi="Courier New"/>
          <w:rtl/>
        </w:rPr>
        <w:t xml:space="preserve"> רוצה לומר, קריאת שמע דקראן לישראל כמו שאומר לעיל ג' א', ודווקא בהו, כמו שאמרו כל הקורא קריאת שמע כו' וכן בציצית כמו שאומר בסוף פ' שלח, והוא שמש צדקה דהוא צלותא, ומרפא בכנפיה שהן כנפי מצות הנ"ל, וזהו בכנפיה - כנפים של קריאת שמע וצלותא, וזהו וזרחה לכם יראי שמי, כמו שכתוב (תהלים עב ה) ייראוך עם שמש, דהוא בקריאת שמע ותפלה כוותיקין, וכן הוא בפורקנא דגלותא כמו שמפרש והולך בנהורא דפורקנא דהוא שמשא, דגלותא - לילה, והוא שמש צדקה כמו שכתוב (ישעיהו סא יא) כן אדנ"י הוי"ה יצמיח צדקה ותהלה, וכמו שכתוב (יחזקאל כ יד) ואעשה למען שמי:</w:t>
      </w:r>
    </w:p>
  </w:footnote>
  <w:footnote w:id="5688">
    <w:p w:rsidR="00A13282" w:rsidRDefault="00A13282" w:rsidP="006F705A">
      <w:pPr>
        <w:pStyle w:val="a5"/>
        <w:rPr>
          <w:rtl/>
        </w:rPr>
      </w:pPr>
      <w:r>
        <w:rPr>
          <w:rStyle w:val="a7"/>
          <w:rtl/>
        </w:rPr>
        <w:footnoteRef/>
      </w:r>
      <w:r>
        <w:rPr>
          <w:rtl/>
        </w:rPr>
        <w:t xml:space="preserve"> </w:t>
      </w:r>
      <w:r>
        <w:rPr>
          <w:rFonts w:hAnsi="Courier New"/>
          <w:b/>
          <w:bCs/>
          <w:rtl/>
        </w:rPr>
        <w:t>עלה אתמר מי ירפא לך.</w:t>
      </w:r>
      <w:r>
        <w:rPr>
          <w:rFonts w:hAnsi="Courier New"/>
          <w:rtl/>
        </w:rPr>
        <w:t xml:space="preserve"> דהוא מרפא כו', ומ"י - נ' אתוון דקריאת שמע שחרית וערבית, וזה שאומר ואיהי כ"ה אתוון כו':</w:t>
      </w:r>
    </w:p>
  </w:footnote>
  <w:footnote w:id="5689">
    <w:p w:rsidR="00A13282" w:rsidRDefault="00A13282" w:rsidP="006F705A">
      <w:pPr>
        <w:pStyle w:val="a5"/>
        <w:rPr>
          <w:rtl/>
        </w:rPr>
      </w:pPr>
      <w:r>
        <w:rPr>
          <w:rStyle w:val="a7"/>
          <w:rtl/>
        </w:rPr>
        <w:footnoteRef/>
      </w:r>
      <w:r>
        <w:rPr>
          <w:rtl/>
        </w:rPr>
        <w:t xml:space="preserve"> </w:t>
      </w:r>
      <w:r>
        <w:rPr>
          <w:rFonts w:hAnsi="Courier New"/>
          <w:b/>
          <w:bCs/>
          <w:rtl/>
        </w:rPr>
        <w:t>ובה נחתא כו'.</w:t>
      </w:r>
      <w:r>
        <w:rPr>
          <w:rFonts w:hAnsi="Courier New"/>
          <w:rtl/>
        </w:rPr>
        <w:t xml:space="preserve"> רוצה לומר בקריאת שמע, נ' תרעין דביה נחית ישראל דלעילא לאנהרא לשכינתא תתאה, ונחית בשכינתא עילאה דהוא קריאת שמע:</w:t>
      </w:r>
    </w:p>
  </w:footnote>
  <w:footnote w:id="5690">
    <w:p w:rsidR="00A13282" w:rsidRDefault="00A13282" w:rsidP="006F705A">
      <w:pPr>
        <w:pStyle w:val="a5"/>
        <w:rPr>
          <w:rtl/>
        </w:rPr>
      </w:pPr>
      <w:r>
        <w:rPr>
          <w:rStyle w:val="a7"/>
          <w:rtl/>
        </w:rPr>
        <w:footnoteRef/>
      </w:r>
      <w:r>
        <w:rPr>
          <w:rtl/>
        </w:rPr>
        <w:t xml:space="preserve"> </w:t>
      </w:r>
      <w:r>
        <w:rPr>
          <w:rFonts w:hAnsi="Courier New"/>
          <w:b/>
          <w:bCs/>
          <w:rtl/>
        </w:rPr>
        <w:t>ובג"ד נשמתא כו' אינון משכבא דשכינתא כו'.</w:t>
      </w:r>
      <w:r>
        <w:rPr>
          <w:rFonts w:hAnsi="Courier New"/>
          <w:rtl/>
        </w:rPr>
        <w:t xml:space="preserve"> וזה שאומר </w:t>
      </w:r>
      <w:r>
        <w:rPr>
          <w:rFonts w:hAnsi="Courier New"/>
          <w:b/>
          <w:bCs/>
          <w:rtl/>
        </w:rPr>
        <w:t>ושכב בשלמתו וברכך</w:t>
      </w:r>
      <w:r>
        <w:rPr>
          <w:rFonts w:hAnsi="Courier New"/>
          <w:rtl/>
        </w:rPr>
        <w:t xml:space="preserve"> כיון דשכינתא שריא בנשמתא - וברכך, כמו שכתוב (שמות כ כא) בכל המקום אשר אזכיר את שמי אבוא אליך וברכתיך:</w:t>
      </w:r>
    </w:p>
  </w:footnote>
  <w:footnote w:id="5691">
    <w:p w:rsidR="00A13282" w:rsidRDefault="00A13282" w:rsidP="006F705A">
      <w:pPr>
        <w:pStyle w:val="a5"/>
        <w:rPr>
          <w:rtl/>
        </w:rPr>
      </w:pPr>
      <w:r>
        <w:rPr>
          <w:rStyle w:val="a7"/>
          <w:rtl/>
        </w:rPr>
        <w:footnoteRef/>
      </w:r>
      <w:r>
        <w:rPr>
          <w:rtl/>
        </w:rPr>
        <w:t xml:space="preserve"> </w:t>
      </w:r>
      <w:r>
        <w:rPr>
          <w:rFonts w:hAnsi="Courier New"/>
          <w:b/>
          <w:bCs/>
          <w:rtl/>
        </w:rPr>
        <w:t>משוכבת חיקך.</w:t>
      </w:r>
      <w:r>
        <w:rPr>
          <w:rFonts w:hAnsi="Courier New"/>
          <w:rtl/>
        </w:rPr>
        <w:t xml:space="preserve"> רוצה לומר, דקרי לה שוכבת, דבה שכיב שכינתא בגלותא, דבזמן בית המקדש היתה שוכנת בבית המקדש, ועתה בגלותא היא מחזרת על גופא דצדיקייא בגלותא דאינון מנדדין עמה בפיקודין, בנר"ן דלהון, דהן אפרוחים וביצים ובנים כנ"ל בהקדמה:</w:t>
      </w:r>
    </w:p>
  </w:footnote>
  <w:footnote w:id="5692">
    <w:p w:rsidR="00A13282" w:rsidRDefault="00A13282" w:rsidP="006F705A">
      <w:pPr>
        <w:pStyle w:val="a5"/>
        <w:rPr>
          <w:rtl/>
        </w:rPr>
      </w:pPr>
      <w:r>
        <w:rPr>
          <w:rStyle w:val="a7"/>
          <w:rtl/>
        </w:rPr>
        <w:footnoteRef/>
      </w:r>
      <w:r>
        <w:rPr>
          <w:rtl/>
        </w:rPr>
        <w:t xml:space="preserve"> </w:t>
      </w:r>
      <w:r>
        <w:rPr>
          <w:rFonts w:hAnsi="Courier New"/>
          <w:b/>
          <w:bCs/>
          <w:rtl/>
        </w:rPr>
        <w:t>שמור פתחי פיך.</w:t>
      </w:r>
      <w:r>
        <w:rPr>
          <w:rFonts w:hAnsi="Courier New"/>
          <w:rtl/>
        </w:rPr>
        <w:t xml:space="preserve"> כמו שמפרש והולך, אם לא תדור כו', וכמו שאמרו (שבת לב ע"ב) בעון נדרים אשתו של אדם כו' שנאמר אם אין כו', והוא נשמתא, אשה נאה כו' (ברכות נז ע"ב), ואמר </w:t>
      </w:r>
      <w:r>
        <w:rPr>
          <w:rFonts w:hAnsi="Courier New"/>
          <w:b/>
          <w:bCs/>
          <w:rtl/>
        </w:rPr>
        <w:t>מתחתיך.</w:t>
      </w:r>
      <w:r>
        <w:rPr>
          <w:rFonts w:hAnsi="Courier New"/>
          <w:rtl/>
        </w:rPr>
        <w:t xml:space="preserve"> רוצה לומר דשכינתא היא על ראשו של אדם, ושמן על ראשך אל יחסר (קהלת ט ח), ונשמתא - מתחתיך, ורוצה לומר תחת שלך, ונאמר (דברים ד לט) וידעת כי ה' הוא האלקים בשמים ממעל ועל הארץ מתחת, ומתרגמינן דשכינתיה כו' [שריא בשמיא מלעילא ושליט על ארעא מלרע]:</w:t>
      </w:r>
    </w:p>
  </w:footnote>
  <w:footnote w:id="5693">
    <w:p w:rsidR="00A13282" w:rsidRDefault="00A13282" w:rsidP="006F705A">
      <w:pPr>
        <w:pStyle w:val="a5"/>
        <w:rPr>
          <w:rtl/>
        </w:rPr>
      </w:pPr>
      <w:r>
        <w:rPr>
          <w:rStyle w:val="a7"/>
          <w:rtl/>
        </w:rPr>
        <w:footnoteRef/>
      </w:r>
      <w:r>
        <w:rPr>
          <w:rtl/>
        </w:rPr>
        <w:t xml:space="preserve"> </w:t>
      </w:r>
      <w:r>
        <w:rPr>
          <w:rFonts w:hAnsi="Courier New"/>
          <w:b/>
          <w:bCs/>
          <w:rtl/>
        </w:rPr>
        <w:t>ואשתאר רוח כו'.</w:t>
      </w:r>
      <w:r>
        <w:rPr>
          <w:rFonts w:hAnsi="Courier New"/>
          <w:rtl/>
        </w:rPr>
        <w:t xml:space="preserve"> שרוצה לומר דין למפרע מנכסי יתומים כמו שמפרש והולך ואם נשמתא כו', דנשמתא דרגא דבינה, אם לרוחא ונפשא, וקאמר שנטלו לנשמתא, והיא הניחה חובין בגופא, נפרעין ממצוות עשה שהניחה ליתומים, ואח"כ חוזרין את המשכון. וזה שאומר ואנחת חובין כו' אתפרעו חובין כו', וקאמר </w:t>
      </w:r>
      <w:r>
        <w:rPr>
          <w:rFonts w:hAnsi="Courier New"/>
          <w:b/>
          <w:bCs/>
          <w:rtl/>
        </w:rPr>
        <w:t>בפקודין דעשה דאשתאר כו'</w:t>
      </w:r>
      <w:r>
        <w:rPr>
          <w:rFonts w:hAnsi="Courier New"/>
          <w:rtl/>
        </w:rPr>
        <w:t xml:space="preserve"> דקיימא לן דאין נפרעין מיתומים אלא אם כן הניח להם נכסים, ואמר </w:t>
      </w:r>
      <w:r>
        <w:rPr>
          <w:rFonts w:hAnsi="Courier New"/>
          <w:b/>
          <w:bCs/>
          <w:rtl/>
        </w:rPr>
        <w:t>ודא איהו עד כו'</w:t>
      </w:r>
      <w:r>
        <w:rPr>
          <w:rFonts w:hAnsi="Courier New"/>
          <w:rtl/>
        </w:rPr>
        <w:t xml:space="preserve"> רוצה לומר שתראה קודם ביאת השמש וכמו שמפרש והולך דכד נאים כו':</w:t>
      </w:r>
    </w:p>
  </w:footnote>
  <w:footnote w:id="5694">
    <w:p w:rsidR="00A13282" w:rsidRDefault="00A13282" w:rsidP="006F705A">
      <w:pPr>
        <w:pStyle w:val="a5"/>
        <w:rPr>
          <w:rtl/>
        </w:rPr>
      </w:pPr>
      <w:r>
        <w:rPr>
          <w:rStyle w:val="a7"/>
          <w:rtl/>
        </w:rPr>
        <w:footnoteRef/>
      </w:r>
      <w:r>
        <w:rPr>
          <w:rtl/>
        </w:rPr>
        <w:t xml:space="preserve"> </w:t>
      </w:r>
      <w:r>
        <w:rPr>
          <w:rFonts w:hAnsi="Courier New"/>
          <w:b/>
          <w:bCs/>
          <w:rtl/>
        </w:rPr>
        <w:t>ותרין דאינון שריין כו'.</w:t>
      </w:r>
      <w:r>
        <w:rPr>
          <w:rFonts w:hAnsi="Courier New"/>
          <w:rtl/>
        </w:rPr>
        <w:t xml:space="preserve"> סקילה - בנערה המאורסה, ושריפה - באמה ובתה, והן בכף הקלע גיהנם [דמשליכין אותו לגיהנם, סקילה, ונשרף שם], והכל על עריות, כמו שאמרו (ערובין יט ע"א) שהכל יורדין לתוכו על עסקי הנם:</w:t>
      </w:r>
    </w:p>
  </w:footnote>
  <w:footnote w:id="5695">
    <w:p w:rsidR="00A13282" w:rsidRDefault="00A13282" w:rsidP="006F705A">
      <w:pPr>
        <w:pStyle w:val="a5"/>
        <w:rPr>
          <w:rtl/>
        </w:rPr>
      </w:pPr>
      <w:r>
        <w:rPr>
          <w:rStyle w:val="a7"/>
          <w:rtl/>
        </w:rPr>
        <w:footnoteRef/>
      </w:r>
      <w:r>
        <w:rPr>
          <w:rtl/>
        </w:rPr>
        <w:t xml:space="preserve"> </w:t>
      </w:r>
      <w:r>
        <w:rPr>
          <w:rFonts w:hAnsi="Courier New"/>
          <w:b/>
          <w:bCs/>
          <w:rtl/>
        </w:rPr>
        <w:t>זכאה איהו מאן דנטר כו'.</w:t>
      </w:r>
      <w:r>
        <w:rPr>
          <w:rFonts w:hAnsi="Courier New"/>
          <w:rtl/>
        </w:rPr>
        <w:t xml:space="preserve"> רוצה לומר, לנשמתא, דלא תתמשכן בחובין כנ"ל:</w:t>
      </w:r>
    </w:p>
  </w:footnote>
  <w:footnote w:id="5696">
    <w:p w:rsidR="00A13282" w:rsidRDefault="00A13282" w:rsidP="006F705A">
      <w:pPr>
        <w:pStyle w:val="a5"/>
        <w:rPr>
          <w:rtl/>
        </w:rPr>
      </w:pPr>
      <w:r>
        <w:rPr>
          <w:rStyle w:val="a7"/>
          <w:rtl/>
        </w:rPr>
        <w:footnoteRef/>
      </w:r>
      <w:r>
        <w:rPr>
          <w:rtl/>
        </w:rPr>
        <w:t xml:space="preserve"> </w:t>
      </w:r>
      <w:r>
        <w:rPr>
          <w:rFonts w:hAnsi="Courier New"/>
          <w:b/>
          <w:bCs/>
          <w:rtl/>
        </w:rPr>
        <w:t>ובשבעין ותרין רגעין.</w:t>
      </w:r>
      <w:r>
        <w:rPr>
          <w:rFonts w:hAnsi="Courier New"/>
          <w:rtl/>
        </w:rPr>
        <w:t xml:space="preserve"> דכל שעה נחלק לששה, והוא שם ע"ב, דהוא י"ב גוונין דכליל ע"ב גוונין - כל אחד לששה וכמו שאמרו בפ' תצוה:</w:t>
      </w:r>
    </w:p>
  </w:footnote>
  <w:footnote w:id="5697">
    <w:p w:rsidR="00A13282" w:rsidRDefault="00A13282" w:rsidP="006F705A">
      <w:pPr>
        <w:pStyle w:val="a5"/>
        <w:rPr>
          <w:rtl/>
        </w:rPr>
      </w:pPr>
      <w:r>
        <w:rPr>
          <w:rStyle w:val="a7"/>
          <w:rtl/>
        </w:rPr>
        <w:footnoteRef/>
      </w:r>
      <w:r>
        <w:rPr>
          <w:rtl/>
        </w:rPr>
        <w:t xml:space="preserve"> </w:t>
      </w:r>
      <w:r>
        <w:rPr>
          <w:rFonts w:hAnsi="Courier New"/>
          <w:b/>
          <w:bCs/>
          <w:rtl/>
        </w:rPr>
        <w:t>והוכן בחסד כסא.</w:t>
      </w:r>
      <w:r>
        <w:rPr>
          <w:rFonts w:hAnsi="Courier New"/>
          <w:rtl/>
        </w:rPr>
        <w:t xml:space="preserve"> הוא כסא המשפט, דבכורסייא דנין, והוא בחושבן חסד, וכל הדינין - הכל בחסד, וכן מה שדנין בכל רגע - הכל הוא בחסד, דלא שבקין ליה למתגא' בחובין, ועיין בזהר פ’ פנחס, וכמו שאמרו (ע"ז ד ע"א) על פסוק רק אתכם ידעתי כו' משל לשני בני אדם שנושין להם מנה כו', וזה שאומר ורזא דמלה כו':</w:t>
      </w:r>
    </w:p>
  </w:footnote>
  <w:footnote w:id="5698">
    <w:p w:rsidR="00A13282" w:rsidRDefault="00A13282" w:rsidP="006F705A">
      <w:pPr>
        <w:pStyle w:val="a5"/>
        <w:rPr>
          <w:rtl/>
        </w:rPr>
      </w:pPr>
      <w:r>
        <w:rPr>
          <w:rStyle w:val="a7"/>
          <w:rtl/>
        </w:rPr>
        <w:footnoteRef/>
      </w:r>
      <w:r>
        <w:rPr>
          <w:rtl/>
        </w:rPr>
        <w:t xml:space="preserve"> </w:t>
      </w:r>
      <w:r>
        <w:rPr>
          <w:rFonts w:hAnsi="Courier New"/>
          <w:b/>
          <w:bCs/>
          <w:rtl/>
        </w:rPr>
        <w:t>ואית חובין כו' ואית כו'.</w:t>
      </w:r>
      <w:r>
        <w:rPr>
          <w:rFonts w:hAnsi="Courier New"/>
          <w:rtl/>
        </w:rPr>
        <w:t xml:space="preserve"> מפרש והולך כל דיני ממונות, בפרעון חובות - הכל בנשמתא. ואמר </w:t>
      </w:r>
      <w:r>
        <w:rPr>
          <w:rFonts w:hAnsi="Courier New"/>
          <w:b/>
          <w:bCs/>
          <w:rtl/>
        </w:rPr>
        <w:t>הא שכינתא אסהידת כו'.</w:t>
      </w:r>
      <w:r>
        <w:rPr>
          <w:rFonts w:hAnsi="Courier New"/>
          <w:rtl/>
        </w:rPr>
        <w:t xml:space="preserve"> והוא דינין כעין שדן משה רבינו עליו השלום ושלמה ברוח הקודש, וכן כמו שאמרו (כתובות פה ע"א) קים לי בבת רב חסדא, וכיוצא:</w:t>
      </w:r>
    </w:p>
  </w:footnote>
  <w:footnote w:id="5699">
    <w:p w:rsidR="00A13282" w:rsidRDefault="00A13282" w:rsidP="006F705A">
      <w:pPr>
        <w:pStyle w:val="a5"/>
        <w:rPr>
          <w:rtl/>
        </w:rPr>
      </w:pPr>
      <w:r>
        <w:rPr>
          <w:rStyle w:val="a7"/>
          <w:rtl/>
        </w:rPr>
        <w:footnoteRef/>
      </w:r>
      <w:r>
        <w:rPr>
          <w:rtl/>
        </w:rPr>
        <w:t xml:space="preserve"> </w:t>
      </w:r>
      <w:r>
        <w:rPr>
          <w:rFonts w:hAnsi="Courier New"/>
          <w:b/>
          <w:bCs/>
          <w:rtl/>
        </w:rPr>
        <w:t>הה"ד אם כו'.</w:t>
      </w:r>
      <w:r>
        <w:rPr>
          <w:rFonts w:hAnsi="Courier New"/>
          <w:rtl/>
        </w:rPr>
        <w:t xml:space="preserve"> סיפיה, ואני לא אראנו, אני דייקא:</w:t>
      </w:r>
    </w:p>
  </w:footnote>
  <w:footnote w:id="5700">
    <w:p w:rsidR="00A13282" w:rsidRDefault="00A13282" w:rsidP="006F705A">
      <w:pPr>
        <w:pStyle w:val="a5"/>
        <w:rPr>
          <w:rtl/>
        </w:rPr>
      </w:pPr>
      <w:r>
        <w:rPr>
          <w:rStyle w:val="a7"/>
          <w:rtl/>
        </w:rPr>
        <w:footnoteRef/>
      </w:r>
      <w:r>
        <w:rPr>
          <w:rtl/>
        </w:rPr>
        <w:t xml:space="preserve"> </w:t>
      </w:r>
      <w:r>
        <w:rPr>
          <w:rFonts w:hAnsi="Courier New"/>
          <w:b/>
          <w:bCs/>
          <w:rtl/>
        </w:rPr>
        <w:t>מה למעלה ממך.</w:t>
      </w:r>
      <w:r>
        <w:rPr>
          <w:rFonts w:hAnsi="Courier New"/>
          <w:rtl/>
        </w:rPr>
        <w:t xml:space="preserve"> למעלה דייקא, כמו שאמרו (קדושין לא ע"א) שכינה למעלה מראשו, דלכך אסור לילך בקומה זקופה, ולילך ד' אמות בגילוי ראש, ועיין בזהר פ’ נשא ברעיא מהימנא קכ"ב ב':</w:t>
      </w:r>
    </w:p>
  </w:footnote>
  <w:footnote w:id="5701">
    <w:p w:rsidR="00A13282" w:rsidRDefault="00A13282" w:rsidP="006F705A">
      <w:pPr>
        <w:pStyle w:val="a5"/>
        <w:rPr>
          <w:rtl/>
        </w:rPr>
      </w:pPr>
      <w:r>
        <w:rPr>
          <w:rStyle w:val="a7"/>
          <w:rtl/>
        </w:rPr>
        <w:footnoteRef/>
      </w:r>
      <w:r>
        <w:rPr>
          <w:rtl/>
        </w:rPr>
        <w:t xml:space="preserve"> </w:t>
      </w:r>
      <w:r>
        <w:rPr>
          <w:rFonts w:hAnsi="Courier New"/>
          <w:b/>
          <w:bCs/>
          <w:rtl/>
        </w:rPr>
        <w:t>ולזמנין נשמתא כו'.</w:t>
      </w:r>
      <w:r>
        <w:rPr>
          <w:rFonts w:hAnsi="Courier New"/>
          <w:rtl/>
        </w:rPr>
        <w:t xml:space="preserve"> הוא דין שבועה:</w:t>
      </w:r>
    </w:p>
  </w:footnote>
  <w:footnote w:id="5702">
    <w:p w:rsidR="00A13282" w:rsidRDefault="00A13282" w:rsidP="006F705A">
      <w:pPr>
        <w:pStyle w:val="a5"/>
        <w:rPr>
          <w:rtl/>
        </w:rPr>
      </w:pPr>
      <w:r>
        <w:rPr>
          <w:rStyle w:val="a7"/>
          <w:rtl/>
        </w:rPr>
        <w:footnoteRef/>
      </w:r>
      <w:r>
        <w:rPr>
          <w:rtl/>
        </w:rPr>
        <w:t xml:space="preserve"> </w:t>
      </w:r>
      <w:r>
        <w:rPr>
          <w:rFonts w:hAnsi="Courier New"/>
          <w:b/>
          <w:bCs/>
          <w:rtl/>
        </w:rPr>
        <w:t>ואית חובין כו'.</w:t>
      </w:r>
      <w:r>
        <w:rPr>
          <w:rFonts w:hAnsi="Courier New"/>
          <w:rtl/>
        </w:rPr>
        <w:t xml:space="preserve"> הוא דין שטר חוב בחתימת ידו - שצריך לפרעו:</w:t>
      </w:r>
    </w:p>
  </w:footnote>
  <w:footnote w:id="5703">
    <w:p w:rsidR="00A13282" w:rsidRDefault="00A13282" w:rsidP="006F705A">
      <w:pPr>
        <w:pStyle w:val="a5"/>
        <w:rPr>
          <w:rtl/>
        </w:rPr>
      </w:pPr>
      <w:r>
        <w:rPr>
          <w:rStyle w:val="a7"/>
          <w:rtl/>
        </w:rPr>
        <w:footnoteRef/>
      </w:r>
      <w:r>
        <w:rPr>
          <w:rtl/>
        </w:rPr>
        <w:t xml:space="preserve"> </w:t>
      </w:r>
      <w:r>
        <w:rPr>
          <w:rFonts w:hAnsi="Courier New"/>
          <w:b/>
          <w:bCs/>
          <w:rtl/>
        </w:rPr>
        <w:t>ואית כו'.</w:t>
      </w:r>
      <w:r>
        <w:rPr>
          <w:rFonts w:hAnsi="Courier New"/>
          <w:rtl/>
        </w:rPr>
        <w:t xml:space="preserve"> הוא חוב על תנאי:</w:t>
      </w:r>
    </w:p>
  </w:footnote>
  <w:footnote w:id="5704">
    <w:p w:rsidR="00A13282" w:rsidRDefault="00A13282" w:rsidP="006F705A">
      <w:pPr>
        <w:pStyle w:val="a5"/>
        <w:rPr>
          <w:rtl/>
        </w:rPr>
      </w:pPr>
      <w:r>
        <w:rPr>
          <w:rStyle w:val="a7"/>
          <w:rtl/>
        </w:rPr>
        <w:footnoteRef/>
      </w:r>
      <w:r>
        <w:rPr>
          <w:rtl/>
        </w:rPr>
        <w:t xml:space="preserve"> </w:t>
      </w:r>
      <w:r>
        <w:rPr>
          <w:rFonts w:hAnsi="Courier New"/>
          <w:b/>
          <w:bCs/>
          <w:rtl/>
        </w:rPr>
        <w:t>ואית כו' ואית כו'.</w:t>
      </w:r>
      <w:r>
        <w:rPr>
          <w:rFonts w:hAnsi="Courier New"/>
          <w:rtl/>
        </w:rPr>
        <w:t xml:space="preserve"> הוא דין מקום הפרעון, ואמר דאינון על תנאי כו', רוצה לומר מתניתין (בבא קמא י ו) המלוה את חבירו בישוב לא יפרענו במדבר ואם אמר על מנת כו', ואמר </w:t>
      </w:r>
      <w:r>
        <w:rPr>
          <w:rFonts w:hAnsi="Courier New"/>
          <w:b/>
          <w:bCs/>
          <w:rtl/>
        </w:rPr>
        <w:t>ואית חובין דמענישין לעילא ותבעין כו'.</w:t>
      </w:r>
      <w:r>
        <w:rPr>
          <w:rFonts w:hAnsi="Courier New"/>
          <w:rtl/>
        </w:rPr>
        <w:t xml:space="preserve"> רוצה לומר חובין דמעקלין וממשכנין אותו, וזה שאומר ובגינייהו ממשכנין כו':</w:t>
      </w:r>
    </w:p>
  </w:footnote>
  <w:footnote w:id="5705">
    <w:p w:rsidR="00A13282" w:rsidRDefault="00A13282" w:rsidP="006F705A">
      <w:pPr>
        <w:pStyle w:val="a5"/>
        <w:rPr>
          <w:rtl/>
        </w:rPr>
      </w:pPr>
      <w:r>
        <w:rPr>
          <w:rStyle w:val="a7"/>
          <w:rtl/>
        </w:rPr>
        <w:footnoteRef/>
      </w:r>
      <w:r>
        <w:rPr>
          <w:rtl/>
        </w:rPr>
        <w:t xml:space="preserve"> </w:t>
      </w:r>
      <w:r>
        <w:rPr>
          <w:rFonts w:hAnsi="Courier New"/>
          <w:b/>
          <w:bCs/>
          <w:rtl/>
        </w:rPr>
        <w:t>אבל בחובין דמענישין כו'.</w:t>
      </w:r>
      <w:r>
        <w:rPr>
          <w:rFonts w:hAnsi="Courier New"/>
          <w:rtl/>
        </w:rPr>
        <w:t xml:space="preserve"> רוצה לומר, כמו שאמרו שחוב שיכול לגבות ממנו במקומו - אין ממשכנין אותו במקום שימצא:</w:t>
      </w:r>
    </w:p>
  </w:footnote>
  <w:footnote w:id="5706">
    <w:p w:rsidR="00A13282" w:rsidRDefault="00A13282" w:rsidP="006F705A">
      <w:pPr>
        <w:pStyle w:val="a5"/>
        <w:rPr>
          <w:rtl/>
        </w:rPr>
      </w:pPr>
      <w:r>
        <w:rPr>
          <w:rStyle w:val="a7"/>
          <w:rtl/>
        </w:rPr>
        <w:footnoteRef/>
      </w:r>
      <w:r>
        <w:rPr>
          <w:rtl/>
        </w:rPr>
        <w:t xml:space="preserve"> </w:t>
      </w:r>
      <w:r>
        <w:rPr>
          <w:rFonts w:hAnsi="Courier New"/>
          <w:b/>
          <w:bCs/>
          <w:rtl/>
        </w:rPr>
        <w:t>מות יומת.</w:t>
      </w:r>
      <w:r>
        <w:rPr>
          <w:rFonts w:hAnsi="Courier New"/>
          <w:rtl/>
        </w:rPr>
        <w:t xml:space="preserve"> רוצה לומר, שתי מיתות, בעולם הזה ולמעלה, והוא חוב שגובין אותו בכל מקום:</w:t>
      </w:r>
    </w:p>
  </w:footnote>
  <w:footnote w:id="5707">
    <w:p w:rsidR="00A13282" w:rsidRDefault="00A13282" w:rsidP="006F705A">
      <w:pPr>
        <w:pStyle w:val="a5"/>
        <w:rPr>
          <w:rtl/>
        </w:rPr>
      </w:pPr>
      <w:r>
        <w:rPr>
          <w:rStyle w:val="a7"/>
          <w:rtl/>
        </w:rPr>
        <w:footnoteRef/>
      </w:r>
      <w:r>
        <w:rPr>
          <w:rtl/>
        </w:rPr>
        <w:t xml:space="preserve"> </w:t>
      </w:r>
      <w:r>
        <w:rPr>
          <w:rFonts w:hAnsi="Courier New"/>
          <w:b/>
          <w:bCs/>
          <w:rtl/>
        </w:rPr>
        <w:t>ולית פקודא כו'.</w:t>
      </w:r>
      <w:r>
        <w:rPr>
          <w:rFonts w:hAnsi="Courier New"/>
          <w:rtl/>
        </w:rPr>
        <w:t xml:space="preserve"> כמו שאמרו (סוטה כא ע"א) מצוה אגוני מגני כו', ורוצה לומר שיש שהמזבח קולטו וכמו שאמרו בפ' משפטים עיין שם, כמו שכתוב ברוצח מעם מזבחי תקחנו למות שמע מינה דבדברים אחרים מזבח קולטו, וודאי לא יטעה יואב בזיל קרי בי רב (מכות יב ע"א), וזה שאומר </w:t>
      </w:r>
      <w:r>
        <w:rPr>
          <w:rFonts w:hAnsi="Courier New"/>
          <w:b/>
          <w:bCs/>
          <w:rtl/>
        </w:rPr>
        <w:t>ואית חובין דמטרוניתא ל"ל כו'.</w:t>
      </w:r>
      <w:r>
        <w:rPr>
          <w:rFonts w:hAnsi="Courier New"/>
          <w:rtl/>
        </w:rPr>
        <w:t xml:space="preserve"> והן ערי מקלט, דאינן מצילין אלא לשוגג דווקא:</w:t>
      </w:r>
    </w:p>
  </w:footnote>
  <w:footnote w:id="5708">
    <w:p w:rsidR="00A13282" w:rsidRDefault="00A13282" w:rsidP="006F705A">
      <w:pPr>
        <w:pStyle w:val="a5"/>
        <w:rPr>
          <w:rtl/>
        </w:rPr>
      </w:pPr>
      <w:r>
        <w:rPr>
          <w:rStyle w:val="a7"/>
          <w:rtl/>
        </w:rPr>
        <w:footnoteRef/>
      </w:r>
      <w:r>
        <w:rPr>
          <w:rtl/>
        </w:rPr>
        <w:t xml:space="preserve"> </w:t>
      </w:r>
      <w:r>
        <w:rPr>
          <w:rFonts w:hAnsi="Courier New"/>
          <w:b/>
          <w:bCs/>
          <w:rtl/>
        </w:rPr>
        <w:t>דהן שפחות.</w:t>
      </w:r>
      <w:r>
        <w:rPr>
          <w:rFonts w:hAnsi="Courier New"/>
          <w:rtl/>
        </w:rPr>
        <w:t xml:space="preserve"> דירושלים ובית המקדש:</w:t>
      </w:r>
    </w:p>
  </w:footnote>
  <w:footnote w:id="5709">
    <w:p w:rsidR="00A13282" w:rsidRDefault="00A13282" w:rsidP="006F705A">
      <w:pPr>
        <w:pStyle w:val="a5"/>
        <w:rPr>
          <w:rtl/>
        </w:rPr>
      </w:pPr>
      <w:r>
        <w:rPr>
          <w:rStyle w:val="a7"/>
          <w:rtl/>
        </w:rPr>
        <w:footnoteRef/>
      </w:r>
      <w:r>
        <w:rPr>
          <w:rtl/>
        </w:rPr>
        <w:t xml:space="preserve"> </w:t>
      </w:r>
      <w:r>
        <w:rPr>
          <w:rFonts w:hAnsi="Courier New"/>
          <w:b/>
          <w:bCs/>
          <w:rtl/>
        </w:rPr>
        <w:t>ובוודאי דיין כו' אפיק לשכינתא כו'.</w:t>
      </w:r>
      <w:r>
        <w:rPr>
          <w:rFonts w:hAnsi="Courier New"/>
          <w:rtl/>
        </w:rPr>
        <w:t xml:space="preserve"> כמו שכתוב (תהלים פה יב) אמת מארץ תצמח כו', כנ"ל, וכמו שאמרו (סנהדרין ז ע"א) כל דיין שדן דין אמת גורם לשכינה שתשרה בישראל, ונאמר (ישעיהו א כז) ציון במשפט תפדה כו':</w:t>
      </w:r>
    </w:p>
  </w:footnote>
  <w:footnote w:id="5710">
    <w:p w:rsidR="00A13282" w:rsidRDefault="00A13282" w:rsidP="006F705A">
      <w:pPr>
        <w:pStyle w:val="a5"/>
        <w:rPr>
          <w:rtl/>
        </w:rPr>
      </w:pPr>
      <w:r>
        <w:rPr>
          <w:rStyle w:val="a7"/>
          <w:rtl/>
        </w:rPr>
        <w:footnoteRef/>
      </w:r>
      <w:r>
        <w:rPr>
          <w:rtl/>
        </w:rPr>
        <w:t xml:space="preserve"> </w:t>
      </w:r>
      <w:r>
        <w:rPr>
          <w:rFonts w:hAnsi="Courier New"/>
          <w:rtl/>
        </w:rPr>
        <w:t>*</w:t>
      </w:r>
      <w:r>
        <w:rPr>
          <w:rFonts w:hAnsi="Courier New"/>
          <w:b/>
          <w:bCs/>
          <w:rtl/>
        </w:rPr>
        <w:t>[עביד בגין שכינתא דאיהי בגלותא, אם איהי באומאה - הא בעלה יכיל למעבד התרה, ואם איהו נדר או נשבע דתהא בגלותא עד זמנא ידיעא, ואיהו כו' אתחרט - הא ג' ב"נ יכלין למפתח ליה, ואינון תלת אבהן לעילא לקבלייהו, ואם נדר או נשבע ו' דאיהו בן י"ק, ואתחרט - הא או"א דאינון חו"ב יכלין למעבד התרה, הה"ד ה' צבאות יעץ ומי יפר, ואם לא תתחרט אנא בעינא כו'.</w:t>
      </w:r>
      <w:r>
        <w:rPr>
          <w:rFonts w:hAnsi="Courier New"/>
          <w:rtl/>
        </w:rPr>
        <w:t xml:space="preserve"> כל זה נכתב בצדו]:</w:t>
      </w:r>
    </w:p>
  </w:footnote>
  <w:footnote w:id="5711">
    <w:p w:rsidR="00A13282" w:rsidRDefault="00A13282" w:rsidP="006F705A">
      <w:pPr>
        <w:pStyle w:val="a5"/>
        <w:rPr>
          <w:rtl/>
        </w:rPr>
      </w:pPr>
      <w:r>
        <w:rPr>
          <w:rStyle w:val="a7"/>
          <w:rtl/>
        </w:rPr>
        <w:footnoteRef/>
      </w:r>
      <w:r>
        <w:rPr>
          <w:rtl/>
        </w:rPr>
        <w:t xml:space="preserve"> </w:t>
      </w:r>
      <w:r>
        <w:rPr>
          <w:rFonts w:hAnsi="Courier New"/>
          <w:b/>
          <w:bCs/>
          <w:rtl/>
        </w:rPr>
        <w:t>הא או"א דאינון חו"ב כו'.</w:t>
      </w:r>
      <w:r>
        <w:rPr>
          <w:rFonts w:hAnsi="Courier New"/>
          <w:rtl/>
        </w:rPr>
        <w:t xml:space="preserve"> רוצה לומר כמו שאמרו החכם מתיר בנדר וכ"ש מאן דגמיר וסביר שהוא נבון וזהו חו"ב:</w:t>
      </w:r>
    </w:p>
  </w:footnote>
  <w:footnote w:id="5712">
    <w:p w:rsidR="00A13282" w:rsidRDefault="00A13282" w:rsidP="006F705A">
      <w:pPr>
        <w:pStyle w:val="a5"/>
        <w:rPr>
          <w:rtl/>
        </w:rPr>
      </w:pPr>
      <w:r>
        <w:rPr>
          <w:rStyle w:val="a7"/>
          <w:rtl/>
        </w:rPr>
        <w:footnoteRef/>
      </w:r>
      <w:r>
        <w:rPr>
          <w:rtl/>
        </w:rPr>
        <w:t xml:space="preserve"> </w:t>
      </w:r>
      <w:r>
        <w:rPr>
          <w:rFonts w:hAnsi="Courier New"/>
          <w:b/>
          <w:bCs/>
          <w:rtl/>
        </w:rPr>
        <w:t>ומי יפר.</w:t>
      </w:r>
      <w:r>
        <w:rPr>
          <w:rFonts w:hAnsi="Courier New"/>
          <w:rtl/>
        </w:rPr>
        <w:t xml:space="preserve"> ומי ידוע:</w:t>
      </w:r>
    </w:p>
  </w:footnote>
  <w:footnote w:id="5713">
    <w:p w:rsidR="00A13282" w:rsidRDefault="00A13282" w:rsidP="006F705A">
      <w:pPr>
        <w:pStyle w:val="a5"/>
        <w:rPr>
          <w:rtl/>
        </w:rPr>
      </w:pPr>
      <w:r>
        <w:rPr>
          <w:rStyle w:val="a7"/>
          <w:rtl/>
        </w:rPr>
        <w:footnoteRef/>
      </w:r>
      <w:r>
        <w:rPr>
          <w:rtl/>
        </w:rPr>
        <w:t xml:space="preserve"> </w:t>
      </w:r>
      <w:r>
        <w:rPr>
          <w:rFonts w:hAnsi="Courier New"/>
          <w:b/>
          <w:bCs/>
          <w:rtl/>
        </w:rPr>
        <w:t>ומי יפר, ואם הבת אומי - הבעל יכיל למעבד התרה, ואם נדר או נשבע בן כו'.</w:t>
      </w:r>
      <w:r>
        <w:rPr>
          <w:rFonts w:hAnsi="Courier New"/>
          <w:rtl/>
        </w:rPr>
        <w:t xml:space="preserve"> רוצה לומר, דלבת - מיפר בעלה, אבל לבן - צריך שלשה, והוא ג' אבהן כמו שמפרש והולך:</w:t>
      </w:r>
    </w:p>
  </w:footnote>
  <w:footnote w:id="5714">
    <w:p w:rsidR="00A13282" w:rsidRDefault="00A13282" w:rsidP="006F705A">
      <w:pPr>
        <w:pStyle w:val="a5"/>
        <w:rPr>
          <w:rtl/>
        </w:rPr>
      </w:pPr>
      <w:r>
        <w:rPr>
          <w:rStyle w:val="a7"/>
          <w:rtl/>
        </w:rPr>
        <w:footnoteRef/>
      </w:r>
      <w:r>
        <w:rPr>
          <w:rtl/>
        </w:rPr>
        <w:t xml:space="preserve"> </w:t>
      </w:r>
      <w:r>
        <w:rPr>
          <w:rFonts w:hAnsi="Courier New"/>
          <w:b/>
          <w:bCs/>
          <w:rtl/>
        </w:rPr>
        <w:t>זמנא ידיעא ונדר או נשבע איה בי"ה דאינון חו"ב.</w:t>
      </w:r>
      <w:r>
        <w:rPr>
          <w:rFonts w:hAnsi="Courier New"/>
          <w:rtl/>
        </w:rPr>
        <w:t xml:space="preserve"> רוצה לומר דלכן או"א אינן יכולין להתיר, וצריך ג' אבהן - שהן הדיוטות לגבי או"א, וכמו כהן הדיוט לגבי כהן גדול, כידוע, בסוד חכמה וחסד. והבן הוא בן י"ה, סוד הדעת דאזיל בין י"ה, וזה שאומר </w:t>
      </w:r>
      <w:r>
        <w:rPr>
          <w:rFonts w:hAnsi="Courier New"/>
          <w:b/>
          <w:bCs/>
          <w:rtl/>
        </w:rPr>
        <w:t xml:space="preserve">ואם לא תתחרט כו' בגין רעיא מהימנא כו'. </w:t>
      </w:r>
      <w:r>
        <w:rPr>
          <w:rFonts w:hAnsi="Courier New"/>
          <w:rtl/>
        </w:rPr>
        <w:t>דהוא דרגא דדעת, ואמר ומכל מתיבתא דלעילא ותתא, שהוא סוד וא"ו, ג' מתיבתא דלעילא - סגולתא, וג' מתיבתא דלתתא - סגו"ל:</w:t>
      </w:r>
    </w:p>
  </w:footnote>
  <w:footnote w:id="5715">
    <w:p w:rsidR="00A13282" w:rsidRDefault="00A13282" w:rsidP="006F705A">
      <w:pPr>
        <w:pStyle w:val="a5"/>
        <w:rPr>
          <w:rtl/>
        </w:rPr>
      </w:pPr>
      <w:r>
        <w:rPr>
          <w:rStyle w:val="a7"/>
          <w:rtl/>
        </w:rPr>
        <w:footnoteRef/>
      </w:r>
      <w:r>
        <w:rPr>
          <w:rtl/>
        </w:rPr>
        <w:t xml:space="preserve"> </w:t>
      </w:r>
      <w:r>
        <w:rPr>
          <w:rFonts w:hAnsi="Courier New"/>
          <w:b/>
          <w:bCs/>
          <w:rtl/>
        </w:rPr>
        <w:t>ואם הוא נדר מסט' דאו"א.</w:t>
      </w:r>
      <w:r>
        <w:rPr>
          <w:rFonts w:hAnsi="Courier New"/>
          <w:rtl/>
        </w:rPr>
        <w:t xml:space="preserve"> רוצה לומר, דאו"א נשבעו, דודאי שלמטה להן אינם יכולים להתיר, לכן מבקש מהכתר, כמו שמפרש והולך אנא סליק כו', ואמר </w:t>
      </w:r>
      <w:r>
        <w:rPr>
          <w:rFonts w:hAnsi="Courier New"/>
          <w:b/>
          <w:bCs/>
          <w:rtl/>
        </w:rPr>
        <w:t>ואע"ג כו' דאיהי יפרט כו'</w:t>
      </w:r>
      <w:r>
        <w:rPr>
          <w:rFonts w:hAnsi="Courier New"/>
          <w:rtl/>
        </w:rPr>
        <w:t xml:space="preserve"> דמשם נטהר כל טומאה, ונשבת כל טומאה, ורוצה לומר דזהו כי יפלא ממך דבר - שהוא יפריש בין דם לדם, כמו שמפרש והולך ואתפתח כו', וכמו שכתוב (יחזקאל לו כה) וזרקתי עליכם כו' מכל טומאותיכם כו'. ואמר </w:t>
      </w:r>
      <w:r>
        <w:rPr>
          <w:rFonts w:hAnsi="Courier New"/>
          <w:b/>
          <w:bCs/>
          <w:rtl/>
        </w:rPr>
        <w:t>דאיהו חובא דנשמתא כו'</w:t>
      </w:r>
      <w:r>
        <w:rPr>
          <w:rFonts w:hAnsi="Courier New"/>
          <w:rtl/>
        </w:rPr>
        <w:t xml:space="preserve"> רוצה לומר זה שכתוב בין דין לדין, כמו שאומר שמפריש בין דין לדין - בין דיני ממונות לדיני נפשות, וכמו שמפרש והולך, ועוד מפרש בין דם לדם - כיון דנשמתא מקבל עונשא היא נטהרת:</w:t>
      </w:r>
    </w:p>
  </w:footnote>
  <w:footnote w:id="5716">
    <w:p w:rsidR="00A13282" w:rsidRDefault="00A13282" w:rsidP="006F705A">
      <w:pPr>
        <w:pStyle w:val="a5"/>
        <w:rPr>
          <w:rFonts w:hAnsi="Courier New"/>
          <w:rtl/>
        </w:rPr>
      </w:pPr>
      <w:r>
        <w:rPr>
          <w:rStyle w:val="a7"/>
          <w:rtl/>
        </w:rPr>
        <w:footnoteRef/>
      </w:r>
      <w:r>
        <w:rPr>
          <w:rtl/>
        </w:rPr>
        <w:t xml:space="preserve"> </w:t>
      </w:r>
      <w:r>
        <w:rPr>
          <w:rFonts w:hAnsi="Courier New"/>
          <w:b/>
          <w:bCs/>
          <w:rtl/>
        </w:rPr>
        <w:t>ואי מקורא כו'.</w:t>
      </w:r>
      <w:r>
        <w:rPr>
          <w:rFonts w:hAnsi="Courier New"/>
          <w:rtl/>
        </w:rPr>
        <w:t xml:space="preserve"> רוצה לומר שכל כך הגיע עד שאף הכתר לא יכיל עד דאין סוף עצמו יתברך שמו צריך לפתוח, אנא מפייסנא ליה בגין כו' דהוא שקיו דאילנא, דע"י שם זה מתייחד א"ס וספירות כמו שאומר לעיל י"ג א', וזה שאומר </w:t>
      </w:r>
      <w:r>
        <w:rPr>
          <w:rFonts w:hAnsi="Courier New"/>
          <w:b/>
          <w:bCs/>
          <w:rtl/>
        </w:rPr>
        <w:t xml:space="preserve">בגין לבושין דאתלבש כו' </w:t>
      </w:r>
      <w:r>
        <w:rPr>
          <w:rFonts w:hAnsi="Courier New"/>
          <w:rtl/>
        </w:rPr>
        <w:t xml:space="preserve">שהן מדותיו, ועיין בזהר פ’ ויקרא. ואמר </w:t>
      </w:r>
      <w:r>
        <w:rPr>
          <w:rFonts w:hAnsi="Courier New"/>
          <w:b/>
          <w:bCs/>
          <w:rtl/>
        </w:rPr>
        <w:t>ההוא דמקורא כו'</w:t>
      </w:r>
      <w:r>
        <w:rPr>
          <w:rFonts w:hAnsi="Courier New"/>
          <w:rtl/>
        </w:rPr>
        <w:t xml:space="preserve"> והוא א"ס יתברך שמו:</w:t>
      </w:r>
    </w:p>
    <w:p w:rsidR="00A13282" w:rsidRDefault="00A13282" w:rsidP="006F705A">
      <w:pPr>
        <w:pStyle w:val="a5"/>
        <w:rPr>
          <w:rtl/>
        </w:rPr>
      </w:pPr>
    </w:p>
  </w:footnote>
  <w:footnote w:id="5717">
    <w:p w:rsidR="00A13282" w:rsidRDefault="00A13282" w:rsidP="006F705A">
      <w:pPr>
        <w:pStyle w:val="a5"/>
        <w:rPr>
          <w:rtl/>
        </w:rPr>
      </w:pPr>
      <w:r>
        <w:rPr>
          <w:rStyle w:val="a7"/>
          <w:rtl/>
        </w:rPr>
        <w:footnoteRef/>
      </w:r>
      <w:r>
        <w:rPr>
          <w:rtl/>
        </w:rPr>
        <w:t xml:space="preserve"> </w:t>
      </w:r>
      <w:r>
        <w:rPr>
          <w:rFonts w:hAnsi="Courier New"/>
          <w:b/>
          <w:bCs/>
          <w:rtl/>
        </w:rPr>
        <w:t>תיקון ו' בראשית תמן תרי אש ואלין כו'.</w:t>
      </w:r>
      <w:r>
        <w:rPr>
          <w:rFonts w:hAnsi="Courier New"/>
          <w:rtl/>
        </w:rPr>
        <w:t xml:space="preserve"> רוצה לומר, דכר ונוקבא, כמו שאומר לעיל יו"ד א' והמשכילים כו' בראשית דאיהי ברית אש, וברית איהו יוד, ועם אש אתעביד איש, ואוף הכי את ה' עם אש איהי נוק', ועל תרין אשות אתמר בקדמיתא כתנות אור, דבהון עקבו מכהה גלגל חמה, והיינו בורא מאורי האש, בתר דחאבו כו' וידעו כי עירומים הם כו' ובגין דבשבת אתחזי לן, באדלקת שרגא דשבת בתרין פתילות דאש, ובמוצאי שבת יתעברון מינייהו, תקינו למימר במוצאי שבת הבדלה באש, ובגין דבשבת ויום טוב מתלבשין נשמתין בכתנות אור אמר הנביא על כן באורים כבדו ה' כו', כנ"ל, וזה שאומר ואלין אינון כו':</w:t>
      </w:r>
    </w:p>
  </w:footnote>
  <w:footnote w:id="5718">
    <w:p w:rsidR="00A13282" w:rsidRDefault="00A13282" w:rsidP="006F705A">
      <w:pPr>
        <w:pStyle w:val="a5"/>
        <w:rPr>
          <w:rFonts w:hAnsi="Courier New"/>
          <w:rtl/>
        </w:rPr>
      </w:pPr>
      <w:r>
        <w:rPr>
          <w:rStyle w:val="a7"/>
          <w:rtl/>
        </w:rPr>
        <w:footnoteRef/>
      </w:r>
      <w:r>
        <w:rPr>
          <w:rFonts w:hAnsi="Courier New"/>
          <w:rtl/>
        </w:rPr>
        <w:t xml:space="preserve"> </w:t>
      </w:r>
      <w:r>
        <w:rPr>
          <w:rFonts w:hAnsi="Courier New"/>
          <w:b/>
          <w:bCs/>
          <w:rtl/>
        </w:rPr>
        <w:t>אלא בלילי שבת כו' בההוא זמנא כו'.</w:t>
      </w:r>
      <w:r>
        <w:rPr>
          <w:rFonts w:hAnsi="Courier New"/>
          <w:rtl/>
        </w:rPr>
        <w:t xml:space="preserve"> וכבר כתבתי שהישראל הן ענפין דשכינתא, כפי שהישראל מאירין - כן השכינה, וכמו שבמוצאי שבת מסתלקין הכתנות אור, והן רוח ונפש יתירה דבאדם, שהן דו"נ דכתנות אור, באורים כבדו כו', תרי אשות שהן דו"נ כנ"ל, על כן צריך סמיכה בהבדלה - שיהיו מאירין כל השבוע הארה מינייהו; והענין, שדו"נ הן ב' אש, כי ראשית שרש דו"ן הוא במ"ס, שרש האש, כרסייה שביבין דנור, וכמו שאמרו באידרא רבא, וזה שאומר ומאי ניהו - תרין תורות, שהן משם, ולכן הן מאש חצובות, והן דו"ן - תורה שבכתב ושבעל פה, והן שורש לכל הנבראים - שבתורה נברא העולם, כמו שכתוב (משלי ח ל) ואהיה אצלו אמון, ה' בחכמה יסד כו' (משלי ג יט), וזהו בראשית - בתרין אשין אלו - ברא אלוקים את כו'. וכמו שב' אשין הן דו"נ כן הנבראים - שמים וארץ, וכן כל הנבראים כמו שאמרו (ב"ב ע' [א.ה. כך הוא בדפוס וילנא, אמנם כנראה שצ"ל ע"ד ע"ב]) כל מה כו' הכל דו"נ:</w:t>
      </w:r>
    </w:p>
  </w:footnote>
  <w:footnote w:id="5719">
    <w:p w:rsidR="00A13282" w:rsidRDefault="00A13282" w:rsidP="006F705A">
      <w:pPr>
        <w:pStyle w:val="a5"/>
        <w:rPr>
          <w:rtl/>
        </w:rPr>
      </w:pPr>
      <w:r>
        <w:rPr>
          <w:rStyle w:val="a7"/>
          <w:rtl/>
        </w:rPr>
        <w:footnoteRef/>
      </w:r>
      <w:r>
        <w:rPr>
          <w:rtl/>
        </w:rPr>
        <w:t xml:space="preserve"> </w:t>
      </w:r>
      <w:r>
        <w:rPr>
          <w:rFonts w:hAnsi="Courier New"/>
          <w:bCs/>
          <w:rtl/>
        </w:rPr>
        <w:t>דביה וינפש.</w:t>
      </w:r>
      <w:r>
        <w:rPr>
          <w:rFonts w:hAnsi="Courier New"/>
          <w:rtl/>
        </w:rPr>
        <w:t xml:space="preserve"> רוצה לומר לשון מנוחה, כי הנשמה יתירה - היא המנוחה, כמו שאמרו ברעיא מהימנא קכ"ב ב', ובה נפש עמלה ויגיעה, שבת וינפש (שמות לא יז), וכמו שאמרו בפ' ויקהל בארוכה, והן ד"ו פרצופין - נגד יום השבת ולילה, ולכן נאמר בשבת זכר ונקבה: כל העושה בו מלאכה, מחלליה כו'; וכנגד שניהם אמר שבת וינפש, ומ"ש </w:t>
      </w:r>
      <w:r>
        <w:rPr>
          <w:rFonts w:hAnsi="Courier New"/>
          <w:b/>
          <w:bCs/>
          <w:rtl/>
        </w:rPr>
        <w:t>וי נפש</w:t>
      </w:r>
      <w:r>
        <w:rPr>
          <w:rFonts w:hAnsi="Courier New"/>
          <w:rtl/>
        </w:rPr>
        <w:t xml:space="preserve"> דנפש צריכה סמיכה יתירה, דהיא נופלת בגלותא בחול כנ"ל שנאמר נפלה כו':</w:t>
      </w:r>
    </w:p>
  </w:footnote>
  <w:footnote w:id="5720">
    <w:p w:rsidR="00A13282" w:rsidRDefault="00A13282" w:rsidP="006F705A">
      <w:pPr>
        <w:pStyle w:val="a5"/>
        <w:rPr>
          <w:rtl/>
        </w:rPr>
      </w:pPr>
      <w:r>
        <w:rPr>
          <w:rStyle w:val="a7"/>
          <w:rtl/>
        </w:rPr>
        <w:footnoteRef/>
      </w:r>
      <w:r>
        <w:rPr>
          <w:rtl/>
        </w:rPr>
        <w:t xml:space="preserve"> </w:t>
      </w:r>
      <w:r>
        <w:rPr>
          <w:rFonts w:hAnsi="Courier New"/>
          <w:b/>
          <w:bCs/>
          <w:rtl/>
        </w:rPr>
        <w:t>מאש חצובות דאיהו אלקים כו'.</w:t>
      </w:r>
      <w:r>
        <w:rPr>
          <w:rFonts w:hAnsi="Courier New"/>
          <w:rtl/>
        </w:rPr>
        <w:t xml:space="preserve"> י"ק דאלקים, ומשרשו כנ"ל כורסייה כו', וכן בתורה דלמטה דהיא תורת הבריאה - הוא מכסא דנקרא אלקים, כמו שאומר לעיל בהקדמה. ובאצילות שתי תורות מבינה דנקראת גם כן אלקים, דבה שארי התורה אנכי כו', ולמעלה בשורש השרשים כורסייה שביבין כו' כנ"ל, ולמטה בנו"ה דתמן דו"נ שהן שניהם מסטרא דגבורה, כרובים זהב, ירכתי צפון, וזה שאומר </w:t>
      </w:r>
      <w:r>
        <w:rPr>
          <w:rFonts w:hAnsi="Courier New"/>
          <w:b/>
          <w:bCs/>
          <w:rtl/>
        </w:rPr>
        <w:t>ומאן נינהו למודי ה' תרין שפוון דאקרון להבות אש</w:t>
      </w:r>
      <w:r>
        <w:rPr>
          <w:rFonts w:hAnsi="Courier New"/>
          <w:rtl/>
        </w:rPr>
        <w:t xml:space="preserve"> [ונראה לעניות דעתי שזה שאמרו (שבת ל ע"ב) כל תלמיד כו' ואין שפתותיו נוטפות כו' תכוינה] שבשפוון לומד התורה, ומהן התורה יוצאה לעולם, שהן שני הלוחות, ולכן התורה ניתנה באש, והיא אש שחורה על גבי אש לבנה, חצובות מאש, וכמו שאמרו קול ה' חוצב להבות אש ואלין הבלים דנפקין מפומא שהן להבים כמו שאומר לעיל ק"ו ב' הבל איהו להב, הבלים אינון להבים, ועלייהו אתמר קול ה' חוצב להבות אש, ואמר שם בהגהה דאינון שבעה ושבעה מוצקות שהן כפולות והן ב' תורות מב' שפוון דאינון אשים, כמו שאומר לעיל קט"ז א' אשה לה' דא נו"ה, עלייהו אתמר את קרבני לחמי לאשי, אשי ה' אתקריאו, עלייהו אתמר סמכוני באשישות, על כן באורים כבדו ה', וריח אפך כתפוחים תפוחי זהב כו', וזה שאומר </w:t>
      </w:r>
      <w:r>
        <w:rPr>
          <w:rFonts w:hAnsi="Courier New"/>
          <w:b/>
          <w:bCs/>
          <w:rtl/>
        </w:rPr>
        <w:t>ואינון תרין תפוחים</w:t>
      </w:r>
      <w:r>
        <w:rPr>
          <w:rFonts w:hAnsi="Courier New"/>
          <w:rtl/>
        </w:rPr>
        <w:t xml:space="preserve"> ורוצה לומר דזה שאומר רפדוני בתפוחים, שכנגדן מבדילין בעצי בשמים, כמו שאומר למטה רפדוני במאי בתפוחים דמתרבין בעצי היער ואלין אינון עצי בשמים, ואמר </w:t>
      </w:r>
      <w:r>
        <w:rPr>
          <w:rFonts w:hAnsi="Courier New"/>
          <w:b/>
          <w:bCs/>
          <w:rtl/>
        </w:rPr>
        <w:t>דמנהון רוחא דמשיחא נפיק</w:t>
      </w:r>
      <w:r>
        <w:rPr>
          <w:rFonts w:hAnsi="Courier New"/>
          <w:rtl/>
        </w:rPr>
        <w:t xml:space="preserve"> ורוצה לומר זהו ריח כמו שכתוב (ישעיהו יא ג) והריחו ביראת ה', וכמו שאומר שם והריחו ביראת ה' דא ריח ניחוח, ומנהון נפקין ב' משיחין כמו שאמרו ברעיא מהימנא בפ' אחרי מות ס"ח א' תרין שוקהא נו"ה, תרין נביאים, מתמן אולידת תרין משיחין, ושאר מקומות הרבה. וכל הריח הוא ברוחא, ולכן נאמר ונחה עליו רוח ה' רוח כו' והריחו כו', והיא בהאי רוחא נפשא חזרת לגבה כמו שאומר לעיל תיקון כ”ה, ועוד ההוא חולה דאיהו לבא, כד רוחא לא נשיב לגבה דאתמר ביה ורוח אלקים מרחפת על פני המים, ואיהי לא דפיקת בערקין דילה, וכלהו חשיבין בגלותא כמתים, ואתמר בהו במחשכים הושיבני כמתי עולם, ובג"ד בגלותא אני ישנה ואיהו חולה בגלותא, וכמה אסיין תלמידי חכמים קמשתדלן לגבה בכמה בוסמין וריחין כו' ולא אתחזרת רוחא לגבה, עד דייתי רעיא מהימנא, רחימו דילה כו', ואייתי לה תפוח ושוי לחוטמא וארח ליה ואשתמודעת לגביה מיד חזרת רוחא ודפיקו לגבה, בההוא זמנא שבחת ליה בתפוח הה"ד כתפוח כו', וב' משיחין הן נו"ה, והוא השלישי, כי יבא שילה, צדיק, ריח ניחוח, ומכל מקום כל הריח דצדיק הוא מנו"ה, וצדיק לית ליה דיליה אלא מה דקביל מינייהו, וכל הריח הוא בהון, וזה שאומר למטה לקבל תרין תפוחין דאינון תרי נביאי קשוט די בהון עתיד לאפקא רוחא דקודשא דאיהו רעיא מהימנא דלעילא דביה אתיישבת נפשא דילה כו', ומסטרא דאש הן אשישות, ומסטרא דרוח תפוחים, ומסטרא דמים היא הבדלה, כמו שאמרו בפ' בראשית י"ז א' ויאמר אלקים יהי רקיע בתוך המים ויהי מבדיל בין מים למים, הכא בפרט רזא לאפרשא בין מיין עילאין לתתאין ברזא דשמאלא, ואתברי הכא מחלוקת ברזא דשמאלא, דעד הכא רזא דימינא הוא, רוצה לומר דיום ראשון הוא ימינא וביה שלמא, אבל יום שני הוא שמאלא וביה מחלוקת והבדלה, וכמו שמפרש והולך ימינא איהו שלימא דכולא כו' כד אתער שמאלא כו' וכדין ויעש אלקים את הרקיע וגו' אתער מחלוקת דרחימו וחביבו וקיומא דעלמא, וברזא דמחלוקת שמאי והלל, דתורה שבעל פה עאלת ברחימו גבי תורה שבכתב, והוו בקיומא שלום הבדלה איהי וודאי בשמאלא, כתיב הכא הבדלה ויהי מבדיל וכתיב ויבדל, וכתיב התם המעט מכם כי הבדיל וגו' וכתיב בעת ההיא הבדיל ה' את שבט הלוי, דהא וודאי לית הבדלה אלא בשני באתר שמאלא ואי תימא כו' הבדלה במוצאי שבת בין אינון כו' מיין עלאין דכורין ומיין תתאין ינקי כו', עיין שם בדבריו, וענין תרין המחלוקת: חד, דאתפלג ימינא משמאלא, והיא שירותא דקשיו וכמו שאומר שם א', בעובדא דבראשית הוה מחלוקת שמאלא בימינא, ובההוא מחלוקת כו'; ומחלוקת השני, כד אתפלגו לקבל נוקבא בינייהו כמו שאמרו בפ' פנחס רמ"ד א' עשירית האיפה לקבל כנסת ישראל דאיהי עשיראה דדרגין, ואצטריכא לאתיהבא בין תרין דרועין, ואיהי סולת נהמא כו', וכן שם רמ"ז א' סלת למנחה לאעלא להאי סלת כו', ורוצה לומר שנאמר את הכבש אחד תעשה בבוקר ואת הכבש השני תעשה בין הערבים, דאינון ב' דרועין, ונאמר ועשירית האיפה סולת למנחה כו', ועיין לעיל ע"ח א', והן בג' חושים: מאורי האש - בראיה, והוא באור. הבדלה - בשמיעה דהיא ברכת הבינה, כמו שאמרו (ברכות לג ע"א) מתוך שהיא בינה, ושמיעה היא בבינה בשמאלא כמו שאמרו בתיקון ע’, וכמו שאמרו בבהיר, וזה שאומר (דברים כח מט) אשר לא תשמע לשונו, וכן נאמר (בראשית מא טו) תשמע חלום לפתור כו', ונאמר (מלכים א ג ט) ונתת לעבדך לב שומע לשפוט כו', ובאידרא זוטא רצ"ד ב' וקלא עייל בההוא עקימא כו' וכדין אתעכבת תמן, ואתבחין בין טב לביש, הה"ד כי אזן מלין תבחן כו' ובג"כ אתבחן בין טב לביש כו' - והוא הבדלה. ריח - ברוח, כמו שכתוב (ישעיהו יא ב,ג) ונחה עליו רוח ה' כו' והריחו כו', וכנ"ל, וודאי שהוא ברוח, ועיין לעיל ס"א א' בהגהה. וברכת היין היא רביעית, שהיא בפה, חוש הטעם, וזהו סוד הפסוק הביאני אל בית היין ואח"כ סמכוני כו' ואח"כ רפדוני כו' ואח"כ שמאלו תחת לראשי וימינו תחבקני, והן ד' אותיות השם - בד' חושים, כמו שאומר בתיקון ע’:</w:t>
      </w:r>
    </w:p>
  </w:footnote>
  <w:footnote w:id="5721">
    <w:p w:rsidR="00A13282" w:rsidRDefault="00A13282" w:rsidP="006F705A">
      <w:pPr>
        <w:pStyle w:val="a5"/>
        <w:rPr>
          <w:rtl/>
        </w:rPr>
      </w:pPr>
      <w:r>
        <w:rPr>
          <w:rStyle w:val="a7"/>
          <w:rtl/>
        </w:rPr>
        <w:footnoteRef/>
      </w:r>
      <w:r>
        <w:rPr>
          <w:rtl/>
        </w:rPr>
        <w:t xml:space="preserve"> </w:t>
      </w:r>
      <w:r>
        <w:rPr>
          <w:rFonts w:hAnsi="Courier New"/>
          <w:b/>
          <w:bCs/>
          <w:rtl/>
        </w:rPr>
        <w:t>לבת מלך דהות בבי מרעא מרחימו דבעלה צווחת ואמרת סמכוני באשישות (הא איהי בבי מרעא) אזל בעלה איהי נפלת למשכבא היא אומרת רפדוני כו'.</w:t>
      </w:r>
      <w:r>
        <w:rPr>
          <w:rFonts w:hAnsi="Courier New"/>
          <w:rtl/>
        </w:rPr>
        <w:t xml:space="preserve"> רוצה לומר, בבי מרעא אינה חולה לגמרי, כמו שאמרו (נדרים מט ע"ב) קצירי ומריעי, אלא חולה שהוא יכול להלוך, ולכן אמרו (תרגום אונקלוס בראשית מח א) שכיב מרע - ששוכב מחלי, וכד אזל בעלה - אז נפלת כו' מרחימו דבעלה, מבקשת באשישות שהן רחימו דאיש ואשה כנ"ל, ב' אשות שבהן הרחימו כמו שכתוב (שה"ש ח ו) רשפיה רשפי אש - ב' אשות, שלהבת יה - י"ק, דב' אשות - איש ואשה, מים רבים לא יוכלו לכבות את האהבה, וכד אזל בעלה ונסתלק ממנה רוחא ודפיקו ומבקשת לאחזרא רוחא לגביה בריחין כנ"ל ולכן אומרת רפדוני כו' והוא במוצאי שבת, דאסתלק רוחא דקודשא, נשמה יתירה דשבת, מנפשא שהוא בעלה, רחימו דילה, וכנ"ל בתיקון כ”ה. ותחלה כשרוצה להתפרש והיא ברחימו דיליה צריך לאסתמכא באשישות מאורי האש, ואח"כ כשמסתלק בתפוח עצי בשמים. והיא כדעת (פסחים קג ע"א) בית שמאי ואליבא דר' יהודה, או כר' מאיר לדברי הכל, אלא ממה שכתוב יין תחילה בפסוק הוא כדברי ב"ש אליבא דר"י. וזהו כי חולת אהבה אני, שני דברים: רחימו וחולה; ולכן סמכוני ורפדוני - זה כנגד זה, במה שכתוב (תהלים קמה יד) סומך ה' לכל הנופלים וזוקף לכל הכפופים, דבכפופים צריך זקיפה, והוא כד שוכב, כמו שאומר כאן כד איהי במשכבא, דכאן צריך קימה כמו שכתוב (תהלים מא ט,יא) ואשר שכב לא יוסיף לקום ואתה ה' חנני והקימני כו':</w:t>
      </w:r>
    </w:p>
  </w:footnote>
  <w:footnote w:id="5722">
    <w:p w:rsidR="00A13282" w:rsidRDefault="00A13282" w:rsidP="006F705A">
      <w:pPr>
        <w:pStyle w:val="a5"/>
        <w:rPr>
          <w:rtl/>
        </w:rPr>
      </w:pPr>
      <w:r>
        <w:rPr>
          <w:rStyle w:val="a7"/>
          <w:rtl/>
        </w:rPr>
        <w:footnoteRef/>
      </w:r>
      <w:r>
        <w:rPr>
          <w:rtl/>
        </w:rPr>
        <w:t xml:space="preserve"> </w:t>
      </w:r>
      <w:r>
        <w:rPr>
          <w:rFonts w:hAnsi="Courier New"/>
          <w:b/>
          <w:bCs/>
          <w:rtl/>
        </w:rPr>
        <w:t xml:space="preserve">קם סבא ואמר ר' כו' אפך כתפוחים וכל מיני בשמים אינון כו' </w:t>
      </w:r>
      <w:r>
        <w:rPr>
          <w:rFonts w:hAnsi="Courier New"/>
          <w:rtl/>
        </w:rPr>
        <w:t>רוצה לומר לא כמו שאומר ר' שמעון דתפוחים היינו עצי בשמים, אלא תפוחים קאי על ב' נקבי דחוטמא דמשם הריח, ולכן כל מיני בשמים אינון טבאין לברכא, דלדברי ר"ש דווקא עצי בשמים והוא ההדס שמברכין עליו במוצאי שבת, אבל הוא לאו דוקא, וזה שמברכין אהדס לאו משום דרמיזי לתפוחים שהן נו"ה אלא משום דרמיזי לתלת אבהן, שמהן מקבלין נו"ה, שהן ב' נוקבי דחוטמא, כמו שמפרש והולך, ומהן מקבלין הריח, וזה שאומר</w:t>
      </w:r>
      <w:r>
        <w:rPr>
          <w:rFonts w:hAnsi="Courier New"/>
          <w:b/>
          <w:bCs/>
          <w:rtl/>
        </w:rPr>
        <w:t xml:space="preserve"> </w:t>
      </w:r>
      <w:r>
        <w:rPr>
          <w:rFonts w:hAnsi="Courier New"/>
          <w:rtl/>
        </w:rPr>
        <w:t>אבל תרין כו':</w:t>
      </w:r>
    </w:p>
  </w:footnote>
  <w:footnote w:id="5723">
    <w:p w:rsidR="00A13282" w:rsidRDefault="00A13282" w:rsidP="006F705A">
      <w:pPr>
        <w:pStyle w:val="a5"/>
        <w:rPr>
          <w:rtl/>
        </w:rPr>
      </w:pPr>
      <w:r>
        <w:rPr>
          <w:rStyle w:val="a7"/>
          <w:rtl/>
        </w:rPr>
        <w:footnoteRef/>
      </w:r>
      <w:r>
        <w:rPr>
          <w:rtl/>
        </w:rPr>
        <w:t xml:space="preserve"> </w:t>
      </w:r>
      <w:r>
        <w:rPr>
          <w:rFonts w:hAnsi="Courier New"/>
          <w:b/>
          <w:bCs/>
          <w:rtl/>
        </w:rPr>
        <w:t>בליליא דשבת כו'.</w:t>
      </w:r>
      <w:r>
        <w:rPr>
          <w:rFonts w:hAnsi="Courier New"/>
          <w:rtl/>
        </w:rPr>
        <w:t xml:space="preserve"> רוצה לומר וזהו ענין הבדלה במוצאי שבת כנ"ל, וכן רמיז לגלותא דנפיק שבת ותפלה, וזה שאומר ובההוא זמנא בקשתיהו כו':</w:t>
      </w:r>
    </w:p>
  </w:footnote>
  <w:footnote w:id="5724">
    <w:p w:rsidR="00A13282" w:rsidRDefault="00A13282" w:rsidP="006F705A">
      <w:pPr>
        <w:pStyle w:val="a5"/>
        <w:rPr>
          <w:rtl/>
        </w:rPr>
      </w:pPr>
      <w:r>
        <w:rPr>
          <w:rStyle w:val="a7"/>
          <w:rtl/>
        </w:rPr>
        <w:footnoteRef/>
      </w:r>
      <w:r>
        <w:rPr>
          <w:rtl/>
        </w:rPr>
        <w:t xml:space="preserve"> </w:t>
      </w:r>
      <w:r>
        <w:rPr>
          <w:rFonts w:hAnsi="Courier New"/>
          <w:rtl/>
        </w:rPr>
        <w:t>*</w:t>
      </w:r>
      <w:r>
        <w:rPr>
          <w:rFonts w:hAnsi="Courier New"/>
          <w:b/>
          <w:bCs/>
          <w:rtl/>
        </w:rPr>
        <w:t>עד דבזמנא דייתי זמנא אחרא אוחיד בידיה ולא אשבקיניה למיזל כו'</w:t>
      </w:r>
      <w:r>
        <w:rPr>
          <w:rFonts w:hAnsi="Courier New"/>
          <w:b/>
          <w:rtl/>
        </w:rPr>
        <w:t xml:space="preserve"> קאי על הגאולה, וכן הוא בשבתות, (שבת קיח ע"ב) אלמלי שמרו ישראל ב' שבתות מיד היו נגאלין, דשבת ראשונה היא נגד בית המקדש ראשון ושני שנתבנה ע"י אדם, והן נגד יום השבת ולילה, ואח"כ הגלות לקבל ימי החול, אסתמכא בגלות בימי החול משיורין וריחא דנשמתא משבת שעברה, שעל ידי זה תוכל לקבל הנשמה בשבת הבאה לגמרי ע"י הקב"ה, שלא תפול עוד. וכן אנחנו בגלות, (יומא פו ע"ב) ונשלמה פרים שפתינו, (ערובין נד ע"ב) הציבי לך ציונים, וחיים מעט - בשיורין דבית המקדש והתורה שניתנה לנו בשבת בסיני, שעל ידי זה נצא לחירות ולא נפול עוד. ועיין לקמן קמ"ד א' בגין דבגלותא קדמאה לא כו' אבל בפוקנא בתרייתא כו' דלא ישתעבדון בה ובבנהא לעולם ויתבנו ב' בתי המקדש בנין קיים לעלמין, כמו שאומר בפ' פנחס, וזה שאומר לא אשבקיניה למיזל כו' דא בי מקדשא דלעילא, ואל חדר כו' ואל חדר הורתי (שה"ש ג ד), שהיא 'שם הורה גבר' (איוב ג ג), חדר המטות (מלכים ב יא ב); דב' שבתות הוא שבת תחתון ועליון, וביניהן הן ו' ימים, ולכן היה</w:t>
      </w:r>
      <w:r>
        <w:rPr>
          <w:rFonts w:hAnsi="Courier New"/>
          <w:rtl/>
        </w:rPr>
        <w:t xml:space="preserve"> זוכה לשבת עליון, עלמא דחירו. וכן בפורקנא בתרייתא ע"י התורה שהוא ו' ימים, שהתורה הוא וא"ו כמו שאומר לעיל ריש תיקון כ”ה עיין שם - זוכה לחירו. ולכן כששומר ב' שבתות, וו' ימים בתורה - זוכה לנשמת חיים:</w:t>
      </w:r>
    </w:p>
  </w:footnote>
  <w:footnote w:id="5725">
    <w:p w:rsidR="00A13282" w:rsidRDefault="00A13282" w:rsidP="006F705A">
      <w:pPr>
        <w:pStyle w:val="a5"/>
        <w:rPr>
          <w:rtl/>
        </w:rPr>
      </w:pPr>
      <w:r>
        <w:rPr>
          <w:rStyle w:val="a7"/>
          <w:rtl/>
        </w:rPr>
        <w:footnoteRef/>
      </w:r>
      <w:r>
        <w:rPr>
          <w:rtl/>
        </w:rPr>
        <w:t xml:space="preserve"> </w:t>
      </w:r>
      <w:r>
        <w:rPr>
          <w:rFonts w:hAnsi="Courier New"/>
          <w:b/>
          <w:bCs/>
          <w:rtl/>
        </w:rPr>
        <w:t>בכמה קשורין דרחימו.</w:t>
      </w:r>
      <w:r>
        <w:rPr>
          <w:rFonts w:hAnsi="Courier New"/>
          <w:rtl/>
        </w:rPr>
        <w:t xml:space="preserve"> כמו שאומר למטה אחזתיו בקשורא דתפילין כו':</w:t>
      </w:r>
    </w:p>
  </w:footnote>
  <w:footnote w:id="5726">
    <w:p w:rsidR="00A13282" w:rsidRDefault="00A13282" w:rsidP="006F705A">
      <w:pPr>
        <w:pStyle w:val="a5"/>
        <w:rPr>
          <w:rtl/>
        </w:rPr>
      </w:pPr>
      <w:r>
        <w:rPr>
          <w:rStyle w:val="a7"/>
          <w:rtl/>
        </w:rPr>
        <w:footnoteRef/>
      </w:r>
      <w:r>
        <w:rPr>
          <w:rtl/>
        </w:rPr>
        <w:t xml:space="preserve"> </w:t>
      </w:r>
      <w:r>
        <w:rPr>
          <w:rFonts w:hAnsi="Courier New"/>
          <w:b/>
          <w:bCs/>
          <w:rtl/>
        </w:rPr>
        <w:t>והוינא שאיל ביה לכל עובר ושב עד דהוה אתי לגבאי הה"ד כמעט כו'</w:t>
      </w:r>
      <w:r>
        <w:rPr>
          <w:rFonts w:hAnsi="Courier New"/>
          <w:b/>
          <w:rtl/>
        </w:rPr>
        <w:t xml:space="preserve"> </w:t>
      </w:r>
      <w:r>
        <w:rPr>
          <w:rFonts w:hAnsi="Courier New"/>
          <w:b/>
          <w:bCs/>
          <w:rtl/>
        </w:rPr>
        <w:t>וכמה זמנין על משכבי כו' עד דאיהו הוה ייתי וכען בגלותא בתראה ברח בכעסא סגיא ושאילנא כו'</w:t>
      </w:r>
      <w:r>
        <w:rPr>
          <w:rFonts w:hAnsi="Courier New"/>
          <w:b/>
          <w:rtl/>
        </w:rPr>
        <w:t xml:space="preserve"> כמו שכתוב על משכבי בלילות כו' - שהוא גלות בבל, כמעט שעברתי מהם כו' - שנבנה מהרה, אבל בגלות הזה - ודודי חמק עבר כו' הכוני פצעוני כו' השבעתי אתכם אם תמצאו כו', והם אומרים: אנה הלך דודך כו', וזה שאומר ושאילנא בגיניה כו' ואמר </w:t>
      </w:r>
      <w:r>
        <w:rPr>
          <w:rFonts w:hAnsi="Courier New"/>
          <w:b/>
          <w:bCs/>
          <w:rtl/>
        </w:rPr>
        <w:t>ואנא אחזתיו ולא ארפנו כו'</w:t>
      </w:r>
      <w:r>
        <w:rPr>
          <w:rFonts w:hAnsi="Courier New"/>
          <w:b/>
          <w:rtl/>
        </w:rPr>
        <w:t xml:space="preserve"> אע"ג דהוא כתיב אצל על משכבי כו', משום דשם כתיב עד שהביאותיו כו', וכאשר בא לבית המקדש חזרתי לחטוא, ואזיל מיני, אבל עתה - כי עזה כמות אהבה כו', מים רבים לא יוכלו לכבות את האהבה. והענין, כמו שאומר בסוף תיקון ס”ב שהתעוררות הזיווג הוא מהגבורות ושלהבת הרחימו, ואח"כ מ"ד מתגברין ונפסק האהבה, וכן בבית המקדש, מחמת רוב החסד והשלוה - מרדו, כמו שכתוב (דברים לב יג) ירכיבהו על במתי ארץ ויאכל כו', כל הפרשה שם, וישמן ישורון ויבעט כו', אבל בפורקנא בתרייתא תהיה האהבה גדולה כל כך, עד שמים רבים לא יוכלו לכבות את האהבה, ולכן יהיה זיווגא תדיר דלא פסיק, ובשפע תמיד, והאהבה לא יפסוק! וזהו הטעם שאינם יכולים לקבל רוב טובה, אבל באשר האהבה גדולה - אינו מזיק רוב טובה:</w:t>
      </w:r>
    </w:p>
  </w:footnote>
  <w:footnote w:id="5727">
    <w:p w:rsidR="00A13282" w:rsidRDefault="00A13282" w:rsidP="006F705A">
      <w:pPr>
        <w:pStyle w:val="a5"/>
        <w:rPr>
          <w:rtl/>
        </w:rPr>
      </w:pPr>
      <w:r>
        <w:rPr>
          <w:rStyle w:val="a7"/>
          <w:rtl/>
        </w:rPr>
        <w:footnoteRef/>
      </w:r>
      <w:r>
        <w:rPr>
          <w:rtl/>
        </w:rPr>
        <w:t xml:space="preserve"> </w:t>
      </w:r>
      <w:r>
        <w:rPr>
          <w:rFonts w:hAnsi="Courier New"/>
          <w:bCs/>
          <w:rtl/>
        </w:rPr>
        <w:t>קם ר"ש ואמר כו' ובג"ד כד ייתי כו'.</w:t>
      </w:r>
      <w:r>
        <w:rPr>
          <w:rFonts w:hAnsi="Courier New"/>
          <w:rtl/>
        </w:rPr>
        <w:t xml:space="preserve"> רוצה לומר, אם נשכימה לכרמים קאי על ישראל - על כרחך פרחה הגפן לא קאי על ישראל, ולכן פירש על שכינתא, אבל אין ענין הקרא מכוון, שהכל קאי על ישראל כמו שכתוב הנצו הרמונים, לכן פירש 'לכרמים' - על כלל בערב רב, 'אם פרחה הגפן' דאינון ישראל ביניהן:</w:t>
      </w:r>
    </w:p>
  </w:footnote>
  <w:footnote w:id="5728">
    <w:p w:rsidR="00A13282" w:rsidRDefault="00A13282" w:rsidP="006F705A">
      <w:pPr>
        <w:pStyle w:val="a5"/>
        <w:rPr>
          <w:rtl/>
        </w:rPr>
      </w:pPr>
      <w:r>
        <w:rPr>
          <w:rStyle w:val="a7"/>
          <w:rtl/>
        </w:rPr>
        <w:footnoteRef/>
      </w:r>
      <w:r>
        <w:rPr>
          <w:rtl/>
        </w:rPr>
        <w:t xml:space="preserve"> </w:t>
      </w:r>
      <w:r>
        <w:rPr>
          <w:rFonts w:hAnsi="Courier New"/>
          <w:b/>
          <w:bCs/>
          <w:rtl/>
        </w:rPr>
        <w:t>הגשם חלף הלך לו כו'.</w:t>
      </w:r>
      <w:r>
        <w:rPr>
          <w:rFonts w:hAnsi="Courier New"/>
          <w:rtl/>
        </w:rPr>
        <w:t xml:space="preserve"> דערב רב קשין יותר מאומות העולם, שהם (משלי כז טו) גשם טורד לישראל, והן אשת מדינים, שהן (משלי כט כב) יגרו מדון תמיד בין ישראל לאבהים שבשמים:</w:t>
      </w:r>
    </w:p>
  </w:footnote>
  <w:footnote w:id="5729">
    <w:p w:rsidR="00A13282" w:rsidRDefault="00A13282" w:rsidP="006F705A">
      <w:pPr>
        <w:pStyle w:val="a5"/>
        <w:rPr>
          <w:rtl/>
        </w:rPr>
      </w:pPr>
      <w:r>
        <w:rPr>
          <w:rStyle w:val="a7"/>
          <w:rtl/>
        </w:rPr>
        <w:footnoteRef/>
      </w:r>
      <w:r>
        <w:rPr>
          <w:rtl/>
        </w:rPr>
        <w:t xml:space="preserve"> </w:t>
      </w:r>
      <w:r>
        <w:rPr>
          <w:rFonts w:hAnsi="Courier New"/>
          <w:b/>
          <w:bCs/>
          <w:rtl/>
        </w:rPr>
        <w:t xml:space="preserve">בההוא זמנא הנצנים נראו כו' </w:t>
      </w:r>
      <w:r>
        <w:rPr>
          <w:rFonts w:hAnsi="Courier New"/>
          <w:rtl/>
        </w:rPr>
        <w:t>עד</w:t>
      </w:r>
      <w:r>
        <w:rPr>
          <w:rFonts w:hAnsi="Courier New"/>
          <w:b/>
          <w:bCs/>
          <w:rtl/>
        </w:rPr>
        <w:t xml:space="preserve"> יראו בשוב ה' ציון</w:t>
      </w:r>
      <w:r>
        <w:rPr>
          <w:rFonts w:hAnsi="Courier New"/>
          <w:rtl/>
        </w:rPr>
        <w:t xml:space="preserve"> ואח"כ </w:t>
      </w:r>
      <w:r>
        <w:rPr>
          <w:rFonts w:hAnsi="Courier New"/>
          <w:b/>
          <w:bCs/>
          <w:rtl/>
        </w:rPr>
        <w:t xml:space="preserve">בההוא זמנא יימא לגבה שובי שובי השולמית כו' </w:t>
      </w:r>
      <w:r>
        <w:rPr>
          <w:rFonts w:hAnsi="Courier New"/>
          <w:rtl/>
        </w:rPr>
        <w:t>עד</w:t>
      </w:r>
      <w:r>
        <w:rPr>
          <w:rFonts w:hAnsi="Courier New"/>
          <w:b/>
          <w:bCs/>
          <w:rtl/>
        </w:rPr>
        <w:t xml:space="preserve"> ויאמרו בגוים ה' מלך</w:t>
      </w:r>
      <w:r>
        <w:rPr>
          <w:rFonts w:hAnsi="Courier New"/>
          <w:rtl/>
        </w:rPr>
        <w:t xml:space="preserve"> ואח"כ </w:t>
      </w:r>
      <w:r>
        <w:rPr>
          <w:rFonts w:hAnsi="Courier New"/>
          <w:b/>
          <w:bCs/>
          <w:rtl/>
        </w:rPr>
        <w:t>בההוא זמנא קב"ה משבח לה ראשך עליך ככרמל כו'</w:t>
      </w:r>
      <w:r>
        <w:rPr>
          <w:rFonts w:hAnsi="Courier New"/>
          <w:rtl/>
        </w:rPr>
        <w:t xml:space="preserve"> וכן הם הכתובים, כסדר, וכן הענין הזה כסדר שאמר בד' אתוון דילה דאינון אדנ"י ונחזה בך ארבע כו', שהן תפילין של יד ותפילין של ראש כמו שאומר לקמן, וזה שאומר ראשך עליך כו' ודלת ראשך כו' כמו שמפרש והולך:</w:t>
      </w:r>
    </w:p>
  </w:footnote>
  <w:footnote w:id="5730">
    <w:p w:rsidR="00A13282" w:rsidRDefault="00A13282" w:rsidP="006F705A">
      <w:pPr>
        <w:pStyle w:val="a5"/>
        <w:rPr>
          <w:rtl/>
        </w:rPr>
      </w:pPr>
      <w:r>
        <w:rPr>
          <w:rStyle w:val="a7"/>
          <w:rtl/>
        </w:rPr>
        <w:footnoteRef/>
      </w:r>
      <w:r>
        <w:rPr>
          <w:rtl/>
        </w:rPr>
        <w:t xml:space="preserve"> </w:t>
      </w:r>
      <w:r>
        <w:rPr>
          <w:rFonts w:hAnsi="Courier New"/>
          <w:b/>
          <w:bCs/>
          <w:rtl/>
        </w:rPr>
        <w:t>שובי שובי כו' לעילא ונחזה בך.</w:t>
      </w:r>
      <w:r>
        <w:rPr>
          <w:rFonts w:hAnsi="Courier New"/>
          <w:rtl/>
        </w:rPr>
        <w:t xml:space="preserve"> שבית ראשון ושני דלתתא - כבר ראו, אבל דלעילא - ונחזה בך, כמו שכתוב (זכריה ב ט) ולכבוד אהיה בתוכה, (ישעיהו ס ב) ועליך יזרח ה' וכבודו עליך יראה, שהן ב' בתי המקדש דלעילא, (ישעיהו ס ג) והלכו גוים לאורך ומלכים לנוגה זרחך:</w:t>
      </w:r>
    </w:p>
  </w:footnote>
  <w:footnote w:id="5731">
    <w:p w:rsidR="00A13282" w:rsidRDefault="00A13282" w:rsidP="006F705A">
      <w:pPr>
        <w:pStyle w:val="a5"/>
        <w:rPr>
          <w:rtl/>
        </w:rPr>
      </w:pPr>
      <w:r>
        <w:rPr>
          <w:rStyle w:val="a7"/>
          <w:rtl/>
        </w:rPr>
        <w:footnoteRef/>
      </w:r>
      <w:r>
        <w:rPr>
          <w:rtl/>
        </w:rPr>
        <w:t xml:space="preserve"> </w:t>
      </w:r>
      <w:r>
        <w:rPr>
          <w:rFonts w:hAnsi="Courier New"/>
          <w:b/>
          <w:bCs/>
          <w:rtl/>
        </w:rPr>
        <w:t>ד"א כו' ונחזה בך כו'.</w:t>
      </w:r>
      <w:r>
        <w:rPr>
          <w:rFonts w:hAnsi="Courier New"/>
          <w:rtl/>
        </w:rPr>
        <w:t xml:space="preserve"> כנ"ל ונחזה בך הוא דבר מלמעלה שיהיה בה, וכמו שכתוב (דברים כח י) וראו כל עמי הארץ כי שם ה' כו', וזהו ונחזה בך דכאן בארבע כו', וזה שאומר זהו תפילין של ראש, דתפילין של יד הוא ד' אתוון דאדנ"י, ותפילין של ראש דהוי"ה, כמו שאומר לעיל בהקדמה ושאר מקומות:</w:t>
      </w:r>
    </w:p>
  </w:footnote>
  <w:footnote w:id="5732">
    <w:p w:rsidR="00A13282" w:rsidRDefault="00A13282" w:rsidP="006F705A">
      <w:pPr>
        <w:pStyle w:val="a5"/>
        <w:rPr>
          <w:rtl/>
        </w:rPr>
      </w:pPr>
      <w:r>
        <w:rPr>
          <w:rStyle w:val="a7"/>
          <w:rtl/>
        </w:rPr>
        <w:footnoteRef/>
      </w:r>
      <w:r>
        <w:rPr>
          <w:rtl/>
        </w:rPr>
        <w:t xml:space="preserve"> </w:t>
      </w:r>
      <w:r>
        <w:rPr>
          <w:rFonts w:hAnsi="Courier New"/>
          <w:b/>
          <w:bCs/>
          <w:rtl/>
        </w:rPr>
        <w:t>בארבע יסודין דילך ונחזה בך בשמיא וארעא כו'.</w:t>
      </w:r>
      <w:r>
        <w:rPr>
          <w:rFonts w:hAnsi="Courier New"/>
          <w:rtl/>
        </w:rPr>
        <w:t xml:space="preserve"> רוצה לומר, דד' יסודות דארץ הוא ד' אתוון דאדנ"י, דהיא ארץ, ושמיא וארעא שהוא ארץ הכללית שהיא ה' אחרונה שבשם - הן הוי"ה, וכמו שמפרש והולך, ומיד ישמחו השמים ותגל הארץ - בראשי תיבות, וכידוע בסוד ה' אחרונה ואדנ"י, והוא סוד רוח אלקים מרחפת שהיא כלל הארץ, כתר דילה, והוא הארץ בקמץ, דכורא דנוק':</w:t>
      </w:r>
    </w:p>
  </w:footnote>
  <w:footnote w:id="5733">
    <w:p w:rsidR="00A13282" w:rsidRDefault="00A13282" w:rsidP="006F705A">
      <w:pPr>
        <w:pStyle w:val="a5"/>
        <w:rPr>
          <w:rtl/>
        </w:rPr>
      </w:pPr>
      <w:r>
        <w:rPr>
          <w:rStyle w:val="a7"/>
          <w:rtl/>
        </w:rPr>
        <w:footnoteRef/>
      </w:r>
      <w:r>
        <w:rPr>
          <w:rtl/>
        </w:rPr>
        <w:t xml:space="preserve"> </w:t>
      </w:r>
      <w:r>
        <w:rPr>
          <w:rFonts w:hAnsi="Courier New"/>
          <w:b/>
          <w:bCs/>
          <w:rtl/>
        </w:rPr>
        <w:t>דא תפילין דיד.</w:t>
      </w:r>
      <w:r>
        <w:rPr>
          <w:rFonts w:hAnsi="Courier New"/>
          <w:rtl/>
        </w:rPr>
        <w:t xml:space="preserve"> שהיא דלה, דלית לה מגרמה, יד כהה, ואמר ודלת ראשך - שתפילין של ראש שריא בגווה, וקשר של ראש הוא התחלה דילה, שהוא דלת, דו"נ דבה כידוע:</w:t>
      </w:r>
    </w:p>
  </w:footnote>
  <w:footnote w:id="5734">
    <w:p w:rsidR="00A13282" w:rsidRDefault="00A13282" w:rsidP="006F705A">
      <w:pPr>
        <w:pStyle w:val="a5"/>
        <w:rPr>
          <w:rtl/>
        </w:rPr>
      </w:pPr>
      <w:r>
        <w:rPr>
          <w:rStyle w:val="a7"/>
          <w:rtl/>
        </w:rPr>
        <w:footnoteRef/>
      </w:r>
      <w:r>
        <w:rPr>
          <w:rtl/>
        </w:rPr>
        <w:t xml:space="preserve"> </w:t>
      </w:r>
      <w:r>
        <w:rPr>
          <w:rFonts w:hAnsi="Courier New"/>
          <w:b/>
          <w:bCs/>
          <w:rtl/>
        </w:rPr>
        <w:t>מה דהות דלת כו' בארגמן דאיהו סוד כו'.</w:t>
      </w:r>
      <w:r>
        <w:rPr>
          <w:rFonts w:hAnsi="Courier New"/>
          <w:rtl/>
        </w:rPr>
        <w:t xml:space="preserve"> הענין, כי כאשר היא ד' - בלא נקודה דבגווה, וכאשר היא ה' אז היא עשירה, והוא סוד ארגמן שהוא ה'. ועיין בסוף תיקון א' פ' בראשית ה' ג' רזא דה"א אינון ד' כו' רתיכא דא מיכאל גבריאל רפאל אוריאל, אלין אינון ארבע, וחדא נקודה דקיימא עלייהו ואינון ה"א, ולא אקרי ה"א אלא ברזא דאלין ארבע, ונקודה בתראה דשריא עלייהו, ורזא ה"א - דא דל"ת וההוא נקודה דשריא עליה באמצעיתא אתעבד ה"א, והוא נוריאל דהוא מטטרון דהוא צדיק; ועיין בזהר פ’ משפטים ק"ד א' ובזהר חדש שה”ש בענין רזא דא"ת ב"ש, ואמר </w:t>
      </w:r>
      <w:r>
        <w:rPr>
          <w:rFonts w:hAnsi="Courier New"/>
          <w:b/>
          <w:bCs/>
          <w:rtl/>
        </w:rPr>
        <w:t>הה"ד תפלה לעני כו'</w:t>
      </w:r>
      <w:r>
        <w:rPr>
          <w:rFonts w:hAnsi="Courier New"/>
          <w:rtl/>
        </w:rPr>
        <w:t xml:space="preserve"> דהוא תפלה של יד, תפלה לעני דלת כו', ועיין לקמן קמ"ג א' ומה דהות בגלותא דלת, תפלה לעני, ודא תפלה דיד דבה הוה מתעטף עני בצלותא, הה"ד תפלה כו', רוצה לומר צדיק דהוא עני מתעטף בח"י ברכאין דצלותא דהוא ביה, וצריך שיהיה בתפלין כדי שיתעטף בה שיהיה מדוריה בה:</w:t>
      </w:r>
    </w:p>
  </w:footnote>
  <w:footnote w:id="5735">
    <w:p w:rsidR="00A13282" w:rsidRDefault="00A13282" w:rsidP="006F705A">
      <w:pPr>
        <w:pStyle w:val="a5"/>
        <w:rPr>
          <w:rtl/>
        </w:rPr>
      </w:pPr>
      <w:r>
        <w:rPr>
          <w:rStyle w:val="a7"/>
          <w:rtl/>
        </w:rPr>
        <w:footnoteRef/>
      </w:r>
      <w:r>
        <w:rPr>
          <w:rtl/>
        </w:rPr>
        <w:t xml:space="preserve"> </w:t>
      </w:r>
      <w:r>
        <w:rPr>
          <w:rFonts w:hAnsi="Courier New"/>
          <w:b/>
          <w:bCs/>
          <w:rtl/>
        </w:rPr>
        <w:t>מלך אסור כו'.</w:t>
      </w:r>
      <w:r>
        <w:rPr>
          <w:rFonts w:hAnsi="Courier New"/>
          <w:rtl/>
        </w:rPr>
        <w:t xml:space="preserve"> דהוא ד' פרשיין, דהן ד' אתוון דהוי"ה, כמו שאומר בכמה מקומות, ואסור ברהטים - בד' בתים דאינון ד' אתוון דאדנ"י, ועיין לעיל ח' ב', ט' א', הה"ד אז תקרא וה' יענה כו' בד' בתי דתפלין דיד, ואינון אדנ"י כו', יקו"ק - ד' פרשיין כו', ולפי זה מלך כו' קאי על תפילין של יד. ואמר </w:t>
      </w:r>
      <w:r>
        <w:rPr>
          <w:rFonts w:hAnsi="Courier New"/>
          <w:b/>
          <w:bCs/>
          <w:rtl/>
        </w:rPr>
        <w:t>ד"א ראשך כו' מלך כו'</w:t>
      </w:r>
      <w:r>
        <w:rPr>
          <w:rFonts w:hAnsi="Courier New"/>
          <w:rtl/>
        </w:rPr>
        <w:t xml:space="preserve"> על תפילין של ראש:</w:t>
      </w:r>
    </w:p>
  </w:footnote>
  <w:footnote w:id="5736">
    <w:p w:rsidR="00A13282" w:rsidRDefault="00A13282" w:rsidP="006F705A">
      <w:pPr>
        <w:pStyle w:val="a5"/>
        <w:rPr>
          <w:rtl/>
        </w:rPr>
      </w:pPr>
      <w:r>
        <w:rPr>
          <w:rStyle w:val="a7"/>
          <w:rtl/>
        </w:rPr>
        <w:footnoteRef/>
      </w:r>
      <w:r>
        <w:rPr>
          <w:rtl/>
        </w:rPr>
        <w:t xml:space="preserve"> </w:t>
      </w:r>
      <w:r>
        <w:rPr>
          <w:rFonts w:hAnsi="Courier New"/>
          <w:b/>
          <w:bCs/>
          <w:rtl/>
        </w:rPr>
        <w:t>סוד אמן של ארגמן.</w:t>
      </w:r>
      <w:r>
        <w:rPr>
          <w:rFonts w:hAnsi="Courier New"/>
          <w:rtl/>
        </w:rPr>
        <w:t xml:space="preserve"> דהן כוללין כל ארגמן, דצפון נכלל בדרום, ומערב - במזרח, דלכן לא היו תקיעות באלו ב' סטרין, ובקרבנות לא היו אלא מהנך ב' סטרין, ונכללין בסטרא דדרום ומזרח. אריה אכיל קרבנין, ואדם מקבל כו', וזהו סוד אמן - דנכללין דו"נ שמאלא בימינא:</w:t>
      </w:r>
    </w:p>
  </w:footnote>
  <w:footnote w:id="5737">
    <w:p w:rsidR="00A13282" w:rsidRDefault="00A13282" w:rsidP="006F705A">
      <w:pPr>
        <w:pStyle w:val="a5"/>
        <w:rPr>
          <w:rtl/>
        </w:rPr>
      </w:pPr>
      <w:r>
        <w:rPr>
          <w:rStyle w:val="a7"/>
          <w:rtl/>
        </w:rPr>
        <w:footnoteRef/>
      </w:r>
      <w:r>
        <w:rPr>
          <w:rtl/>
        </w:rPr>
        <w:t xml:space="preserve"> </w:t>
      </w:r>
      <w:r>
        <w:rPr>
          <w:rFonts w:hAnsi="Courier New"/>
          <w:b/>
          <w:bCs/>
          <w:rtl/>
        </w:rPr>
        <w:t>ד"א כו' ראש דברך אמת.</w:t>
      </w:r>
      <w:r>
        <w:rPr>
          <w:rFonts w:hAnsi="Courier New"/>
          <w:rtl/>
        </w:rPr>
        <w:t xml:space="preserve"> שהוא עמודא דאמצעיתא שנקרא אמת, וזה שאומר </w:t>
      </w:r>
      <w:r>
        <w:rPr>
          <w:rFonts w:hAnsi="Courier New"/>
          <w:b/>
          <w:bCs/>
          <w:rtl/>
        </w:rPr>
        <w:t>ודלת כו'</w:t>
      </w:r>
      <w:r>
        <w:rPr>
          <w:rFonts w:hAnsi="Courier New"/>
          <w:rtl/>
        </w:rPr>
        <w:t xml:space="preserve"> והוא בקריאת שמע, שמע ישראל ובשכמל"ו, דשם א'ל י'שוב ד'ך נ'כלם (תהלים עד כא), מלך אסור ברהטים, ציצת ותפלין, וכמו שמפרש והולך </w:t>
      </w:r>
      <w:r>
        <w:rPr>
          <w:rFonts w:hAnsi="Courier New"/>
          <w:b/>
          <w:bCs/>
          <w:rtl/>
        </w:rPr>
        <w:t>מלך דא אברהם</w:t>
      </w:r>
      <w:r>
        <w:rPr>
          <w:rFonts w:hAnsi="Courier New"/>
          <w:rtl/>
        </w:rPr>
        <w:t xml:space="preserve"> כמו שכתוב (בראשית כג ו) נשיא אלקים כו', (בראשית יד יז) עמק שוה - שהושוו כל האומות ועשאוהו למלך (ילקוט שמעוני), והוא בציצית, והוכן בחסד כסא (ישעיהו טז ה):</w:t>
      </w:r>
    </w:p>
  </w:footnote>
  <w:footnote w:id="5738">
    <w:p w:rsidR="00A13282" w:rsidRDefault="00A13282" w:rsidP="006F705A">
      <w:pPr>
        <w:pStyle w:val="a5"/>
        <w:rPr>
          <w:rtl/>
        </w:rPr>
      </w:pPr>
      <w:r>
        <w:rPr>
          <w:rStyle w:val="a7"/>
          <w:rtl/>
        </w:rPr>
        <w:footnoteRef/>
      </w:r>
      <w:r>
        <w:rPr>
          <w:rtl/>
        </w:rPr>
        <w:t xml:space="preserve"> </w:t>
      </w:r>
      <w:r>
        <w:rPr>
          <w:rFonts w:hAnsi="Courier New"/>
          <w:b/>
          <w:bCs/>
          <w:rtl/>
        </w:rPr>
        <w:t>קם ר"ש כו' דהא חופה כו' אמא עלאה וחתן קא נטיל כו'.</w:t>
      </w:r>
      <w:r>
        <w:rPr>
          <w:rFonts w:hAnsi="Courier New"/>
          <w:rtl/>
        </w:rPr>
        <w:t xml:space="preserve"> כמו שכתוב (שה"ש ג יא) צאינה וראינה בנות ציון בעטרה שעטרה לו אמו ביום חתונתו כו', וזהו דנטיל לה לחופה, דהוא עטרה שעטרה כו', שהיא החופה כידוע. ונאמר אח"כ קישוטין דילה, הנך יפה רעיתי הנך יפה, שערך כו', אלא לפי שאינן מפורשין שם כולם מתחיל מפסוק שובי שובי כו', דשם נאמר מה יפו פעמיך כו' ראשך כו', וגם שכבר פירש פסוק שובי שובי כו', ופירש ראשך כו', התחיל אליהו ז"ל גם כן משם, והוא גם כן כסדר מלמעלה למטה:</w:t>
      </w:r>
    </w:p>
  </w:footnote>
  <w:footnote w:id="5739">
    <w:p w:rsidR="00A13282" w:rsidRDefault="00A13282" w:rsidP="006F705A">
      <w:pPr>
        <w:pStyle w:val="a5"/>
        <w:rPr>
          <w:rtl/>
        </w:rPr>
      </w:pPr>
      <w:r>
        <w:rPr>
          <w:rStyle w:val="a7"/>
          <w:rtl/>
        </w:rPr>
        <w:footnoteRef/>
      </w:r>
      <w:r>
        <w:rPr>
          <w:rtl/>
        </w:rPr>
        <w:t xml:space="preserve"> </w:t>
      </w:r>
      <w:r>
        <w:rPr>
          <w:rFonts w:hAnsi="Courier New"/>
          <w:b/>
          <w:bCs/>
          <w:rtl/>
        </w:rPr>
        <w:t>הא אינון ירוקין כו'.</w:t>
      </w:r>
      <w:r>
        <w:rPr>
          <w:rFonts w:hAnsi="Courier New"/>
          <w:rtl/>
        </w:rPr>
        <w:t xml:space="preserve"> דאתהדר הרצועות שחורות, דאינון תיקונין דילה, דנאמר עלה שחורה אני בגלותא, אתהדר לעתיד לבא ירוק, שהוא מראה דיליה:</w:t>
      </w:r>
    </w:p>
  </w:footnote>
  <w:footnote w:id="5740">
    <w:p w:rsidR="00A13282" w:rsidRDefault="00A13282" w:rsidP="006F705A">
      <w:pPr>
        <w:pStyle w:val="a5"/>
        <w:rPr>
          <w:rtl/>
        </w:rPr>
      </w:pPr>
      <w:r>
        <w:rPr>
          <w:rStyle w:val="a7"/>
          <w:rtl/>
        </w:rPr>
        <w:footnoteRef/>
      </w:r>
      <w:r>
        <w:rPr>
          <w:rtl/>
        </w:rPr>
        <w:t xml:space="preserve"> </w:t>
      </w:r>
      <w:r>
        <w:rPr>
          <w:rFonts w:hAnsi="Courier New"/>
          <w:b/>
          <w:bCs/>
          <w:rtl/>
        </w:rPr>
        <w:t>מלך כו'.</w:t>
      </w:r>
      <w:r>
        <w:rPr>
          <w:rFonts w:hAnsi="Courier New"/>
          <w:rtl/>
        </w:rPr>
        <w:t xml:space="preserve"> פירוש ד' בתים דאינון אקי"ק, והוא בשל ראש, וכמו שאומר לעיל ח' ב', אבל בשל יד פירש בענין אחר, דאקי"ק הוא כ"א אזכריות דהויה; שהן, האזכרות - אסור בכ"א שהוא אקי"ק, וכמו שמפרש והולך </w:t>
      </w:r>
      <w:r>
        <w:rPr>
          <w:rFonts w:hAnsi="Courier New"/>
          <w:b/>
          <w:bCs/>
          <w:rtl/>
        </w:rPr>
        <w:t xml:space="preserve">אסור בכלהו אזכרות. </w:t>
      </w:r>
      <w:r>
        <w:rPr>
          <w:rFonts w:hAnsi="Courier New"/>
          <w:rtl/>
        </w:rPr>
        <w:t xml:space="preserve">רוצה לומר שהן כ"א, אקי"ק, וזה שאומר </w:t>
      </w:r>
      <w:r>
        <w:rPr>
          <w:rFonts w:hAnsi="Courier New"/>
          <w:b/>
          <w:bCs/>
          <w:rtl/>
        </w:rPr>
        <w:t>וכן ביד אקי"ק כחושבן חד ועשרין אזכרות דתפלין דיד וסליקו כו'.</w:t>
      </w:r>
      <w:r>
        <w:rPr>
          <w:rFonts w:hAnsi="Courier New"/>
          <w:rtl/>
        </w:rPr>
        <w:t xml:space="preserve"> כמו שאומר בפנים, ואמר אקי"ק הוא מלך כו', רוצה לומר, דאקיק אשר אקיק הוא מלך אסור ברהטים, דמלך הוא אקי"ק, כ"א אזכרות; אסור - הויו"ת עצמן, והוא אשר, דהוא ראש, ראש דברך אמת כנ"ל; ברהטים הוא אקיק השני, ד' בתים רהיטי מוחא כנ"ל. ואשר הוא בין שני אקי"ק, ואסור בשניהם. והוא בהויות וד' פרשיות, דהוא אסור בכ"א המספר והבתים. אבל כפי פירוש של אליהו ז"ל קאי מלך אשל יד, ברהטים אשל ראש, וכולל שניהם, ראשך ודלת ראשך הנ"ל:</w:t>
      </w:r>
    </w:p>
  </w:footnote>
  <w:footnote w:id="5741">
    <w:p w:rsidR="00A13282" w:rsidRDefault="00A13282" w:rsidP="006F705A">
      <w:pPr>
        <w:pStyle w:val="a5"/>
        <w:rPr>
          <w:rtl/>
        </w:rPr>
      </w:pPr>
      <w:r>
        <w:rPr>
          <w:rStyle w:val="a7"/>
          <w:rtl/>
        </w:rPr>
        <w:footnoteRef/>
      </w:r>
      <w:r>
        <w:rPr>
          <w:rtl/>
        </w:rPr>
        <w:t xml:space="preserve"> </w:t>
      </w:r>
      <w:r>
        <w:rPr>
          <w:rFonts w:hAnsi="Courier New"/>
          <w:b/>
          <w:bCs/>
          <w:rtl/>
        </w:rPr>
        <w:t>ד"א כו' רישא דילך כלה כו'.</w:t>
      </w:r>
      <w:r>
        <w:rPr>
          <w:rFonts w:hAnsi="Courier New"/>
          <w:rtl/>
        </w:rPr>
        <w:t xml:space="preserve"> כמו שמפרש והולך ואת עלית על כלנה, רישא על הכל:</w:t>
      </w:r>
    </w:p>
  </w:footnote>
  <w:footnote w:id="5742">
    <w:p w:rsidR="00A13282" w:rsidRDefault="00A13282" w:rsidP="006F705A">
      <w:pPr>
        <w:pStyle w:val="a5"/>
        <w:rPr>
          <w:rtl/>
        </w:rPr>
      </w:pPr>
      <w:r>
        <w:rPr>
          <w:rStyle w:val="a7"/>
          <w:rtl/>
        </w:rPr>
        <w:footnoteRef/>
      </w:r>
      <w:r>
        <w:rPr>
          <w:rtl/>
        </w:rPr>
        <w:t xml:space="preserve"> </w:t>
      </w:r>
      <w:r>
        <w:rPr>
          <w:rFonts w:hAnsi="Courier New"/>
          <w:b/>
          <w:bCs/>
          <w:rtl/>
        </w:rPr>
        <w:t>ד"א כו' כמה איהי מתתקנא בתלת עשר תיקונין כו'.</w:t>
      </w:r>
      <w:r>
        <w:rPr>
          <w:rFonts w:hAnsi="Courier New"/>
          <w:rtl/>
        </w:rPr>
        <w:t xml:space="preserve"> דשערא הן הכוכבים והמזלות כמו שאומר לעיל בריש תיקון י”ח, ושם י"ג תיקונין בי"ג נימין, והן י"ג תיקונין דסיהרא שניתן לה הכוכבים שהן י"ב מזלות והיא י"ג, כמו בשנים עשר בקר שהיא המשלמת לעולם לי"ג, כל אלה שבטי ישראל שנים עשר וזאת (בראשית מט כח), וכל שער הוא ככב, וזה שאומר </w:t>
      </w:r>
      <w:r>
        <w:rPr>
          <w:rFonts w:hAnsi="Courier New"/>
          <w:b/>
          <w:bCs/>
          <w:rtl/>
        </w:rPr>
        <w:t>ונימין</w:t>
      </w:r>
      <w:r>
        <w:rPr>
          <w:rFonts w:hAnsi="Courier New"/>
          <w:rtl/>
        </w:rPr>
        <w:t xml:space="preserve"> </w:t>
      </w:r>
      <w:r>
        <w:rPr>
          <w:rFonts w:hAnsi="Courier New"/>
          <w:b/>
          <w:bCs/>
          <w:rtl/>
        </w:rPr>
        <w:t>דילך כו'.</w:t>
      </w:r>
      <w:r>
        <w:rPr>
          <w:rFonts w:hAnsi="Courier New"/>
          <w:rtl/>
        </w:rPr>
        <w:t xml:space="preserve"> ואף שאמר י"ג תיקונין, לא קאמר אלא שהן י"ג תיקונין עם סיהרא, אבל הקרא לא קאי אלא על הכוכבים לבד, שהן הנימין, ככרמל, ועל הסיהרא אמר ודלת ראשך, שהיא עניה, דלית לה מגרמה אלא משמשא, והיא עניא בגלותא כמו שמפרש והולך. והענין, כי כל האומות פלחי כוכביא יש להם מזל כפי הכוכבים, אבל ישראל כשהן מונין ללבנה אין להם מזל ולכן כשהם יורדין יורדין עד עפר וכשעולין עולין כו' (מגילה טז ע"א) בהשגחה פרטית שהוא למעלה מן המזל, ולכן בגלותא, סיהרא כנסת ישראל עניה, ומהדקא בין רגלי האומות, וכן הסיהרא היא בגלגל התחתון תחת כולם, ואין לה אלא מה שמקבלת מהן, וכמו אנחנו התמצית מאומות, אבל לעתיד לבא (תהלים קיח כב) אבן מאסו הבונים היתה לראש פינה, שתעלה למעלה מכולן. ואמר </w:t>
      </w:r>
      <w:r>
        <w:rPr>
          <w:rFonts w:hAnsi="Courier New"/>
          <w:b/>
          <w:bCs/>
          <w:rtl/>
        </w:rPr>
        <w:t>כארגמן דאיהו אמן מלך כו'.</w:t>
      </w:r>
      <w:r>
        <w:rPr>
          <w:rFonts w:hAnsi="Courier New"/>
          <w:rtl/>
        </w:rPr>
        <w:t xml:space="preserve"> רוצה לומר דמלך אסור ברהטים הוא כארגמן בסוד אמן כנ"ל, דשמשא יהא נהיר בה תמיד, ולא תחסר לעולם:</w:t>
      </w:r>
    </w:p>
  </w:footnote>
  <w:footnote w:id="5743">
    <w:p w:rsidR="00A13282" w:rsidRDefault="00A13282" w:rsidP="006F705A">
      <w:pPr>
        <w:pStyle w:val="a5"/>
        <w:rPr>
          <w:rtl/>
        </w:rPr>
      </w:pPr>
      <w:r>
        <w:rPr>
          <w:rStyle w:val="a7"/>
          <w:rtl/>
        </w:rPr>
        <w:footnoteRef/>
      </w:r>
      <w:r>
        <w:rPr>
          <w:rtl/>
        </w:rPr>
        <w:t xml:space="preserve"> </w:t>
      </w:r>
      <w:r>
        <w:rPr>
          <w:rFonts w:hAnsi="Courier New"/>
          <w:b/>
          <w:bCs/>
          <w:rtl/>
        </w:rPr>
        <w:t>כד חתן דאיהו כו'.</w:t>
      </w:r>
      <w:r>
        <w:rPr>
          <w:rFonts w:hAnsi="Courier New"/>
          <w:rtl/>
        </w:rPr>
        <w:t xml:space="preserve"> הוא מתחיל ענין אחר. ולמעלה פירש דארגמן הוא חיילין קדישין דילה:</w:t>
      </w:r>
    </w:p>
  </w:footnote>
  <w:footnote w:id="5744">
    <w:p w:rsidR="00A13282" w:rsidRDefault="00A13282" w:rsidP="006F705A">
      <w:pPr>
        <w:pStyle w:val="a5"/>
        <w:rPr>
          <w:rtl/>
        </w:rPr>
      </w:pPr>
      <w:r>
        <w:rPr>
          <w:rStyle w:val="a7"/>
          <w:rtl/>
        </w:rPr>
        <w:footnoteRef/>
      </w:r>
      <w:r>
        <w:rPr>
          <w:rtl/>
        </w:rPr>
        <w:t xml:space="preserve"> </w:t>
      </w:r>
      <w:r>
        <w:rPr>
          <w:rFonts w:hAnsi="Courier New"/>
          <w:b/>
          <w:bCs/>
          <w:rtl/>
        </w:rPr>
        <w:t>יציץ לגבה</w:t>
      </w:r>
      <w:r>
        <w:rPr>
          <w:rFonts w:hAnsi="Courier New"/>
          <w:rtl/>
        </w:rPr>
        <w:t xml:space="preserve"> דש' וצ' מתחלפין, והיא מתנהרא מנציצו דיליה, באסתכלותיה דילה איהי מנהרא כידוע, וראיתיה כו' (בראשית ט טז), וזה שאומרים (שחרית של שבת) ראה והתקין כו':</w:t>
      </w:r>
    </w:p>
  </w:footnote>
  <w:footnote w:id="5745">
    <w:p w:rsidR="00A13282" w:rsidRDefault="00A13282" w:rsidP="006F705A">
      <w:pPr>
        <w:pStyle w:val="a5"/>
        <w:rPr>
          <w:rtl/>
        </w:rPr>
      </w:pPr>
      <w:r>
        <w:rPr>
          <w:rStyle w:val="a7"/>
          <w:rtl/>
        </w:rPr>
        <w:footnoteRef/>
      </w:r>
      <w:r>
        <w:rPr>
          <w:rtl/>
        </w:rPr>
        <w:t xml:space="preserve"> </w:t>
      </w:r>
      <w:r>
        <w:rPr>
          <w:rFonts w:hAnsi="Courier New"/>
          <w:b/>
          <w:bCs/>
          <w:rtl/>
        </w:rPr>
        <w:t>וכלהו חיילין כו'.</w:t>
      </w:r>
      <w:r>
        <w:rPr>
          <w:rFonts w:hAnsi="Courier New"/>
          <w:rtl/>
        </w:rPr>
        <w:t xml:space="preserve"> דאיהי חולקא דישראל, וכלהו מקטרגין עלה ועל בנהא תמיד כידוע:</w:t>
      </w:r>
    </w:p>
  </w:footnote>
  <w:footnote w:id="5746">
    <w:p w:rsidR="00A13282" w:rsidRDefault="00A13282" w:rsidP="006F705A">
      <w:pPr>
        <w:pStyle w:val="a5"/>
        <w:rPr>
          <w:rtl/>
        </w:rPr>
      </w:pPr>
      <w:r>
        <w:rPr>
          <w:rStyle w:val="a7"/>
          <w:rtl/>
        </w:rPr>
        <w:footnoteRef/>
      </w:r>
      <w:r>
        <w:rPr>
          <w:rtl/>
        </w:rPr>
        <w:t xml:space="preserve"> </w:t>
      </w:r>
      <w:r>
        <w:rPr>
          <w:rFonts w:hAnsi="Courier New"/>
          <w:b/>
          <w:bCs/>
          <w:rtl/>
        </w:rPr>
        <w:t>ועביד תרין עשר כו'.</w:t>
      </w:r>
      <w:r>
        <w:rPr>
          <w:rFonts w:hAnsi="Courier New"/>
          <w:rtl/>
        </w:rPr>
        <w:t xml:space="preserve"> נגד תיקונין דידה:</w:t>
      </w:r>
    </w:p>
  </w:footnote>
  <w:footnote w:id="5747">
    <w:p w:rsidR="00A13282" w:rsidRDefault="00A13282" w:rsidP="006F705A">
      <w:pPr>
        <w:pStyle w:val="a5"/>
        <w:rPr>
          <w:rtl/>
        </w:rPr>
      </w:pPr>
      <w:r>
        <w:rPr>
          <w:rStyle w:val="a7"/>
          <w:rtl/>
        </w:rPr>
        <w:footnoteRef/>
      </w:r>
      <w:r>
        <w:rPr>
          <w:rtl/>
        </w:rPr>
        <w:t xml:space="preserve"> </w:t>
      </w:r>
      <w:r>
        <w:rPr>
          <w:rFonts w:hAnsi="Courier New"/>
          <w:b/>
          <w:bCs/>
          <w:rtl/>
        </w:rPr>
        <w:t>כמה דעביד משה.</w:t>
      </w:r>
      <w:r>
        <w:rPr>
          <w:rFonts w:hAnsi="Courier New"/>
          <w:rtl/>
        </w:rPr>
        <w:t xml:space="preserve"> שהוא שמשא כידוע:</w:t>
      </w:r>
    </w:p>
  </w:footnote>
  <w:footnote w:id="5748">
    <w:p w:rsidR="00A13282" w:rsidRDefault="00A13282" w:rsidP="006F705A">
      <w:pPr>
        <w:pStyle w:val="a5"/>
        <w:rPr>
          <w:rtl/>
        </w:rPr>
      </w:pPr>
      <w:r>
        <w:rPr>
          <w:rStyle w:val="a7"/>
          <w:rtl/>
        </w:rPr>
        <w:footnoteRef/>
      </w:r>
      <w:r>
        <w:rPr>
          <w:rtl/>
        </w:rPr>
        <w:t xml:space="preserve"> </w:t>
      </w:r>
      <w:r>
        <w:rPr>
          <w:rFonts w:hAnsi="Courier New"/>
          <w:b/>
          <w:bCs/>
          <w:rtl/>
        </w:rPr>
        <w:t>וכד אתלבש בחסד כו'.</w:t>
      </w:r>
      <w:r>
        <w:rPr>
          <w:rFonts w:hAnsi="Courier New"/>
          <w:rtl/>
        </w:rPr>
        <w:t xml:space="preserve"> דסיהרא היא חוורא, והוא כד מנהרא, אבל היא באמת כלולה גם כן מג' גוונים שלו הנ"ל, וכמו שאומר למטה ובההוא זמנא נטלת היא מתלת גוונין כו' ומראה רביעית שלה כו' והוא מי זאת הנשקפה כו' שהוא מראה דילה בשחר, כד לא נהיר שמשא, ויפה כלבנה - חוורא, ברה כחמה - ירוקה, שהיא מראה דיליה כל היום, איומה כנדגלות הוא כד עביד תרין עשר ארחין בגבורה כו', והן תרין עשר דגלים, זהו כנדגלות. ואמר כל זה כאן, לפרש, מלך - שהוא שמשא, אסור - בעבותות אהבה, כרהטים - במרוצתו, לרוץ אורח - לאנהרא לה כנ"ל:</w:t>
      </w:r>
    </w:p>
  </w:footnote>
  <w:footnote w:id="5749">
    <w:p w:rsidR="00A13282" w:rsidRDefault="00A13282" w:rsidP="006F705A">
      <w:pPr>
        <w:pStyle w:val="a5"/>
        <w:rPr>
          <w:rtl/>
        </w:rPr>
      </w:pPr>
      <w:r>
        <w:rPr>
          <w:rStyle w:val="a7"/>
          <w:rtl/>
        </w:rPr>
        <w:footnoteRef/>
      </w:r>
      <w:r>
        <w:rPr>
          <w:rtl/>
        </w:rPr>
        <w:t xml:space="preserve"> </w:t>
      </w:r>
      <w:r>
        <w:rPr>
          <w:rFonts w:hAnsi="Courier New"/>
          <w:b/>
          <w:bCs/>
          <w:rtl/>
        </w:rPr>
        <w:t>מקצה השמים כו'.</w:t>
      </w:r>
      <w:r>
        <w:rPr>
          <w:rFonts w:hAnsi="Courier New"/>
          <w:rtl/>
        </w:rPr>
        <w:t xml:space="preserve"> רוצה לומר שהוא יוצא מדרגא דצדיק - לאנהרא לה, שמשם מאיר לה, ושם הוא שמשא, והוא קצה השמים כמו שמפרש והולך:</w:t>
      </w:r>
    </w:p>
  </w:footnote>
  <w:footnote w:id="5750">
    <w:p w:rsidR="00A13282" w:rsidRDefault="00A13282" w:rsidP="006F705A">
      <w:pPr>
        <w:pStyle w:val="a5"/>
        <w:rPr>
          <w:rtl/>
        </w:rPr>
      </w:pPr>
      <w:r>
        <w:rPr>
          <w:rStyle w:val="a7"/>
          <w:rtl/>
        </w:rPr>
        <w:footnoteRef/>
      </w:r>
      <w:r>
        <w:rPr>
          <w:rtl/>
        </w:rPr>
        <w:t xml:space="preserve"> </w:t>
      </w:r>
      <w:r>
        <w:rPr>
          <w:rFonts w:hAnsi="Courier New"/>
          <w:b/>
          <w:bCs/>
          <w:rtl/>
        </w:rPr>
        <w:t xml:space="preserve">ותקופתו על קצותיו </w:t>
      </w:r>
      <w:r>
        <w:rPr>
          <w:rFonts w:hAnsi="Courier New"/>
          <w:rtl/>
        </w:rPr>
        <w:t>הן נו"ה, דהצדיק במרוצתו בנוק' הוא מנו"ה, ביעין וכליות, והתחממו הוא מאימא עלאה, דלכן נקראת מלכא דשלמא דילה, שהיא נותנת הגבורות להתחמם, והן גבורות ממותקות:</w:t>
      </w:r>
    </w:p>
  </w:footnote>
  <w:footnote w:id="5751">
    <w:p w:rsidR="00A13282" w:rsidRDefault="00A13282" w:rsidP="006F705A">
      <w:pPr>
        <w:pStyle w:val="a5"/>
        <w:rPr>
          <w:rtl/>
        </w:rPr>
      </w:pPr>
      <w:r>
        <w:rPr>
          <w:rStyle w:val="a7"/>
          <w:rtl/>
        </w:rPr>
        <w:footnoteRef/>
      </w:r>
      <w:r>
        <w:rPr>
          <w:rtl/>
        </w:rPr>
        <w:t xml:space="preserve"> </w:t>
      </w:r>
      <w:r>
        <w:rPr>
          <w:rFonts w:hAnsi="Courier New"/>
          <w:b/>
          <w:bCs/>
          <w:rtl/>
        </w:rPr>
        <w:t>דאיהי חמה מן תמן נצבע בגוון ירוק כו'.</w:t>
      </w:r>
      <w:r>
        <w:rPr>
          <w:rFonts w:hAnsi="Courier New"/>
          <w:rtl/>
        </w:rPr>
        <w:t xml:space="preserve"> ואף שאמר למעלה ירוק הוא מסטרא דעמודא דאמצעיתא - הוא דנטל מן בינה, דביה איהי מתלבשת, וכמו שאומר לקמן קמ"ד א' כד אתחזרו ירוקין הא חתן דילה אסתלק לגבי חמה דאיהי אמא עלאה:</w:t>
      </w:r>
    </w:p>
  </w:footnote>
  <w:footnote w:id="5752">
    <w:p w:rsidR="00A13282" w:rsidRDefault="00A13282" w:rsidP="006F705A">
      <w:pPr>
        <w:pStyle w:val="a5"/>
        <w:rPr>
          <w:rtl/>
        </w:rPr>
      </w:pPr>
      <w:r>
        <w:rPr>
          <w:rStyle w:val="a7"/>
          <w:rtl/>
        </w:rPr>
        <w:footnoteRef/>
      </w:r>
      <w:r>
        <w:rPr>
          <w:rtl/>
        </w:rPr>
        <w:t xml:space="preserve"> </w:t>
      </w:r>
      <w:r>
        <w:rPr>
          <w:rFonts w:hAnsi="Courier New"/>
          <w:b/>
          <w:bCs/>
          <w:rtl/>
        </w:rPr>
        <w:t>ובההוא זמנא כו' דאיהי חופה דילה.</w:t>
      </w:r>
      <w:r>
        <w:rPr>
          <w:rFonts w:hAnsi="Courier New"/>
          <w:rtl/>
        </w:rPr>
        <w:t xml:space="preserve"> שאמא עלאה מנהרת לשניהם, והוא החופה דילה:</w:t>
      </w:r>
    </w:p>
  </w:footnote>
  <w:footnote w:id="5753">
    <w:p w:rsidR="00A13282" w:rsidRDefault="00A13282" w:rsidP="006F705A">
      <w:pPr>
        <w:pStyle w:val="a5"/>
        <w:rPr>
          <w:rtl/>
        </w:rPr>
      </w:pPr>
      <w:r>
        <w:rPr>
          <w:rStyle w:val="a7"/>
          <w:rtl/>
        </w:rPr>
        <w:footnoteRef/>
      </w:r>
      <w:r>
        <w:rPr>
          <w:rtl/>
        </w:rPr>
        <w:t xml:space="preserve"> </w:t>
      </w:r>
      <w:r>
        <w:rPr>
          <w:rFonts w:hAnsi="Courier New"/>
          <w:b/>
          <w:bCs/>
          <w:rtl/>
        </w:rPr>
        <w:t>ובההוא זמנא נטלת.</w:t>
      </w:r>
      <w:r>
        <w:rPr>
          <w:rFonts w:hAnsi="Courier New"/>
          <w:rtl/>
        </w:rPr>
        <w:t xml:space="preserve"> כמו שאומר למעלה.</w:t>
      </w:r>
    </w:p>
  </w:footnote>
  <w:footnote w:id="5754">
    <w:p w:rsidR="00A13282" w:rsidRDefault="00A13282" w:rsidP="006F705A">
      <w:pPr>
        <w:pStyle w:val="a5"/>
        <w:rPr>
          <w:rtl/>
        </w:rPr>
      </w:pPr>
      <w:r>
        <w:rPr>
          <w:rStyle w:val="a7"/>
          <w:rtl/>
        </w:rPr>
        <w:footnoteRef/>
      </w:r>
      <w:r>
        <w:rPr>
          <w:rtl/>
        </w:rPr>
        <w:t xml:space="preserve"> </w:t>
      </w:r>
      <w:r>
        <w:rPr>
          <w:rFonts w:hAnsi="Courier New"/>
          <w:b/>
          <w:bCs/>
          <w:rtl/>
        </w:rPr>
        <w:t>בשלהובין דרחימו דילך.</w:t>
      </w:r>
      <w:r>
        <w:rPr>
          <w:rFonts w:hAnsi="Courier New"/>
          <w:rtl/>
        </w:rPr>
        <w:t xml:space="preserve"> שהיא ובנהא תולין תמיד עיניהם למרום, וזהו עיניך יונים, בבן זוגא דילה:</w:t>
      </w:r>
    </w:p>
  </w:footnote>
  <w:footnote w:id="5755">
    <w:p w:rsidR="00A13282" w:rsidRDefault="00A13282" w:rsidP="006F705A">
      <w:pPr>
        <w:pStyle w:val="a5"/>
        <w:rPr>
          <w:rtl/>
        </w:rPr>
      </w:pPr>
      <w:r>
        <w:rPr>
          <w:rStyle w:val="a7"/>
          <w:rtl/>
        </w:rPr>
        <w:footnoteRef/>
      </w:r>
      <w:r>
        <w:rPr>
          <w:rtl/>
        </w:rPr>
        <w:t xml:space="preserve"> </w:t>
      </w:r>
      <w:r>
        <w:rPr>
          <w:rFonts w:hAnsi="Courier New"/>
          <w:b/>
          <w:bCs/>
          <w:rtl/>
        </w:rPr>
        <w:t>ובוצינא קדישא כו' ומרקמא מתרין עשר גוונין כו'.</w:t>
      </w:r>
      <w:r>
        <w:rPr>
          <w:rFonts w:hAnsi="Courier New"/>
          <w:rtl/>
        </w:rPr>
        <w:t xml:space="preserve"> רוצה לומר, כמו שמפרש והולך, דבלוחות כתיב מזה ומזה הם כתובים, וז"ה - הוא תרין עשר גוונין, והוא אבן ספיר שכלולה מכל תרין עשר גוונין די"ב אבנין, וכתיב מזה ומזה - והוא נגד י"ב אנפין דחיות וי"ב גדפין; וכן בעיינין - י"ב גוונין הנ"ל נגד ג' חיות בכל אחד ד' אנפין, שבת עין היא אדם דכליל כולן נגד הי"ג, שכ"ה בחיות ואופנים, כמו שבארנו במקום אחר בארוכה, וכרוב ועפעפי עינא הן גם כן שלשה ובכל אחד נכלל גם כן ד' - הן י"ב גדפין, ועיין ברעיא מהימנא פ' עקב, והם י"ב אנפין נגד שם י"ב דהוי"ה, וגדפין נגד שם אדנ"י מלא שהוא גם כן ג' פעמים ד'. ועיין לעיל נ"ו ג'. ואמר </w:t>
      </w:r>
      <w:r>
        <w:rPr>
          <w:rFonts w:hAnsi="Courier New"/>
          <w:b/>
          <w:bCs/>
          <w:rtl/>
        </w:rPr>
        <w:t>וחיוון בהון וקרא זה כו'</w:t>
      </w:r>
      <w:r>
        <w:rPr>
          <w:rFonts w:hAnsi="Courier New"/>
          <w:rtl/>
        </w:rPr>
        <w:t xml:space="preserve"> רוצה לומר האנפין וגדפין, והוא התכללותן זה בזה, שנכללין ונשלבין זה בזה בקדושה ותפלה, כמו שאמרו בפ' בראשית ופ' פנחס בהיכלות, ואמר ג' פעמים קדוש - נגד ג' הנ"ל, וכל זה הוא בכל עין, כמו בלוחות בכל אבן, והן שני כרובים - שני לוחות:</w:t>
      </w:r>
    </w:p>
  </w:footnote>
  <w:footnote w:id="5756">
    <w:p w:rsidR="00A13282" w:rsidRDefault="00A13282" w:rsidP="006F705A">
      <w:pPr>
        <w:pStyle w:val="a5"/>
        <w:rPr>
          <w:rtl/>
        </w:rPr>
      </w:pPr>
      <w:r>
        <w:rPr>
          <w:rStyle w:val="a7"/>
          <w:rtl/>
        </w:rPr>
        <w:footnoteRef/>
      </w:r>
      <w:r>
        <w:rPr>
          <w:rtl/>
        </w:rPr>
        <w:t xml:space="preserve"> </w:t>
      </w:r>
      <w:r>
        <w:rPr>
          <w:rFonts w:hAnsi="Courier New"/>
          <w:b/>
          <w:bCs/>
          <w:rtl/>
        </w:rPr>
        <w:t>ופסקי הלכות דמאסו בה בגלותא אתמר כו'.</w:t>
      </w:r>
      <w:r>
        <w:rPr>
          <w:rFonts w:hAnsi="Courier New"/>
          <w:rtl/>
        </w:rPr>
        <w:t xml:space="preserve"> דעתה אין אנו סומכין על פסק אלא בראיות ופלפולא כמו שהוא בכל הש"ס ופוסקים, אבל פסקי הלכות אינן אלא לעם הארץ, אבל לעתיד לבא שילמדו מפי משה - הלכה למשה מסיני, ושם אין קושיא ופלפול כלל, וזהו לראש פינה, ומפרש הכל בעין כי העין הוא התורה כנ"ל, והיא בת עין שהיא אבן מאסו הבונים, חיה רביעית שהיא אדם שאינה בכלל י"ב הנ"ל, והיא מאסו הבונים שהיא שחורה בגלותא, אבל לעתיד לבא משה, שהוא אדם כמו שאומר לעיל תיקון ס”ט, אזי הוא מנהר לה, והיא תהיה עקרית כנ"ל, וזה שאומר ומה דהוית בת עינא אוכמא כו':</w:t>
      </w:r>
    </w:p>
  </w:footnote>
  <w:footnote w:id="5757">
    <w:p w:rsidR="00A13282" w:rsidRDefault="00A13282" w:rsidP="006F705A">
      <w:pPr>
        <w:pStyle w:val="a5"/>
        <w:rPr>
          <w:rtl/>
        </w:rPr>
      </w:pPr>
      <w:r>
        <w:rPr>
          <w:rStyle w:val="a7"/>
          <w:rtl/>
        </w:rPr>
        <w:footnoteRef/>
      </w:r>
      <w:r>
        <w:rPr>
          <w:rtl/>
        </w:rPr>
        <w:t xml:space="preserve"> </w:t>
      </w:r>
      <w:r>
        <w:rPr>
          <w:rFonts w:hAnsi="Courier New"/>
          <w:b/>
          <w:bCs/>
          <w:rtl/>
        </w:rPr>
        <w:t>ועיינין דנהרין כו' ואתה נותן כו'.</w:t>
      </w:r>
      <w:r>
        <w:rPr>
          <w:rFonts w:hAnsi="Courier New"/>
          <w:rtl/>
        </w:rPr>
        <w:t xml:space="preserve"> כמו שכתוב (משלי ט ה) לכו לחמי בלחמו כו', בעתו - על ידי דשכינתא, כמו שאומר בפ' אחרי מות:</w:t>
      </w:r>
    </w:p>
  </w:footnote>
  <w:footnote w:id="5758">
    <w:p w:rsidR="00A13282" w:rsidRDefault="00A13282" w:rsidP="006F705A">
      <w:pPr>
        <w:pStyle w:val="a5"/>
        <w:rPr>
          <w:rtl/>
        </w:rPr>
      </w:pPr>
      <w:r>
        <w:rPr>
          <w:rStyle w:val="a7"/>
          <w:rtl/>
        </w:rPr>
        <w:footnoteRef/>
      </w:r>
      <w:r>
        <w:rPr>
          <w:rtl/>
        </w:rPr>
        <w:t xml:space="preserve"> </w:t>
      </w:r>
      <w:r>
        <w:rPr>
          <w:rFonts w:hAnsi="Courier New"/>
          <w:b/>
          <w:bCs/>
          <w:rtl/>
        </w:rPr>
        <w:t>תלת גוונא עינא כו'.</w:t>
      </w:r>
      <w:r>
        <w:rPr>
          <w:rFonts w:hAnsi="Courier New"/>
          <w:rtl/>
        </w:rPr>
        <w:t xml:space="preserve"> הכל נדרש על התורה, ואמר </w:t>
      </w:r>
      <w:r>
        <w:rPr>
          <w:rFonts w:hAnsi="Courier New"/>
          <w:b/>
          <w:bCs/>
          <w:rtl/>
        </w:rPr>
        <w:t>כלל ופרט וכלל.</w:t>
      </w:r>
      <w:r>
        <w:rPr>
          <w:rFonts w:hAnsi="Courier New"/>
          <w:rtl/>
        </w:rPr>
        <w:t xml:space="preserve"> כמו שאומר בתיקוני זהר חדש ע"ג ג' ויסע ויבא ויט דאינון כלל ופרט וכלל, דאתכלילן במיא ואשא ורוחא כו', והן ג' גוונין הנ"ל שהן מחג"ת, וכד נטיל בקדמיתא כו', ואמר </w:t>
      </w:r>
      <w:r>
        <w:rPr>
          <w:rFonts w:hAnsi="Courier New"/>
          <w:b/>
          <w:bCs/>
          <w:rtl/>
        </w:rPr>
        <w:t>אקי"ק אשר אקי"ק</w:t>
      </w:r>
      <w:r>
        <w:rPr>
          <w:rFonts w:hAnsi="Courier New"/>
          <w:rtl/>
        </w:rPr>
        <w:t xml:space="preserve"> דהן בכח"ב כידוע, והן נחתין ונהרין בחג"ת כמו שאומר להלן בכמה מקומות:</w:t>
      </w:r>
    </w:p>
  </w:footnote>
  <w:footnote w:id="5759">
    <w:p w:rsidR="00A13282" w:rsidRDefault="00A13282" w:rsidP="006F705A">
      <w:pPr>
        <w:pStyle w:val="a5"/>
        <w:rPr>
          <w:rtl/>
        </w:rPr>
      </w:pPr>
      <w:r>
        <w:rPr>
          <w:rStyle w:val="a7"/>
          <w:rtl/>
        </w:rPr>
        <w:footnoteRef/>
      </w:r>
      <w:r>
        <w:rPr>
          <w:rtl/>
        </w:rPr>
        <w:t xml:space="preserve"> </w:t>
      </w:r>
      <w:r>
        <w:rPr>
          <w:rFonts w:hAnsi="Courier New"/>
          <w:b/>
          <w:bCs/>
          <w:rtl/>
        </w:rPr>
        <w:t>קריצין כו' ואינון תלי כו'.</w:t>
      </w:r>
      <w:r>
        <w:rPr>
          <w:rFonts w:hAnsi="Courier New"/>
          <w:rtl/>
        </w:rPr>
        <w:t xml:space="preserve"> רוצה לומר, שאמר על כל קוץ וקוץ תלי תלים של הלכות (ילקוט שמעוני שה"ש פרק ה סימן תתקפט):</w:t>
      </w:r>
    </w:p>
  </w:footnote>
  <w:footnote w:id="5760">
    <w:p w:rsidR="00A13282" w:rsidRDefault="00A13282" w:rsidP="006F705A">
      <w:pPr>
        <w:pStyle w:val="a5"/>
        <w:rPr>
          <w:rtl/>
        </w:rPr>
      </w:pPr>
      <w:r>
        <w:rPr>
          <w:rStyle w:val="a7"/>
          <w:rtl/>
        </w:rPr>
        <w:footnoteRef/>
      </w:r>
      <w:r>
        <w:rPr>
          <w:rtl/>
        </w:rPr>
        <w:t xml:space="preserve"> </w:t>
      </w:r>
      <w:r>
        <w:rPr>
          <w:rFonts w:hAnsi="Courier New"/>
          <w:b/>
          <w:bCs/>
          <w:rtl/>
        </w:rPr>
        <w:t>מצחא דעל עיינין כו'.</w:t>
      </w:r>
      <w:r>
        <w:rPr>
          <w:rFonts w:hAnsi="Courier New"/>
          <w:rtl/>
        </w:rPr>
        <w:t xml:space="preserve"> רוצה לומר הוא תפלה, כמו שכתוב (תהלים סט יד) ואני תפלתי עת רצון, שהוא מצחא דרעותא, וכמו שכתוב בציץ (שמות כח לח) על מצחו לרצון כו'. וזה שאומר </w:t>
      </w:r>
      <w:r>
        <w:rPr>
          <w:rFonts w:hAnsi="Courier New"/>
          <w:b/>
          <w:bCs/>
          <w:rtl/>
        </w:rPr>
        <w:t>ועלייהו אתמר במקום שאמרו להאריך כו'.</w:t>
      </w:r>
      <w:r>
        <w:rPr>
          <w:rFonts w:hAnsi="Courier New"/>
          <w:rtl/>
        </w:rPr>
        <w:t xml:space="preserve"> שכל התקונין לפי השרטוטין, הכל בתיקונא דלעילא, ובפותיא ואורכא הן מסטרא דב' ההין, מנהון דקיקין ומנהון רברבין - הוא דוא"ו יו"ד, וזה שאומר </w:t>
      </w:r>
      <w:r>
        <w:rPr>
          <w:rFonts w:hAnsi="Courier New"/>
          <w:b/>
          <w:bCs/>
          <w:rtl/>
        </w:rPr>
        <w:t>להאריך מסט' כו' לקצר כו'</w:t>
      </w:r>
      <w:r>
        <w:rPr>
          <w:rFonts w:hAnsi="Courier New"/>
          <w:rtl/>
        </w:rPr>
        <w:t xml:space="preserve"> ולכן הציץ מרצה על הקרבנות, שהן התפלות ובתפלות נאמר מציץ מן החרכים, כמו שאומר בפ' פקודי בהיכלות, וזהו ציץ, והוא נזר הקודש דקדושה וקדיש, וזה שאומר </w:t>
      </w:r>
      <w:r>
        <w:rPr>
          <w:rFonts w:hAnsi="Courier New"/>
          <w:b/>
          <w:bCs/>
          <w:rtl/>
        </w:rPr>
        <w:t>בגוונין וציורין דבי מקדשא כו'.</w:t>
      </w:r>
      <w:r>
        <w:rPr>
          <w:rFonts w:hAnsi="Courier New"/>
          <w:rtl/>
        </w:rPr>
        <w:t xml:space="preserve"> שהוא בית הכנסת; ודקיקין ורברבין כנ"ל ארוכה וקצרה, ובפותיא ואורכא הוא לחתום ושלא לחתום, שהיא גם כן מענין ארוכה וקצרה כמו שאמרו בירושלמי (ברכות יא ע"א) מטבע ארוך פותח כו' מטבע קצר פותח ואינו חותם כו', וזה שאמרו במתניתין (ברכות א ד) מקום שאמרו להאריך כו' לחתום כו', וזהו ציור הברכות, וזה שאומר </w:t>
      </w:r>
      <w:r>
        <w:rPr>
          <w:rFonts w:hAnsi="Courier New"/>
          <w:b/>
          <w:bCs/>
          <w:rtl/>
        </w:rPr>
        <w:t>ועלייהו אתמר במקום שאמרו כו'.</w:t>
      </w:r>
      <w:r>
        <w:rPr>
          <w:rFonts w:hAnsi="Courier New"/>
          <w:rtl/>
        </w:rPr>
        <w:t xml:space="preserve"> ועיין לעיל תיקון ע’ קכ"ד ב' ולאו למגנא אמרו קדמאין במקום כו', ועיין בזהר פ’ בראשית כ"ד ב' ועל דא אוקמוה כו', ועוד יש שאינו רשאי לשנות נוסח וענין הברכות, כמו שאמרו כל שלא אמר ברית ותורה כו' ומלכות בית דוד כו', וזה שאומר מרוקם בגוונין. וציורין. גוון הוא ענין, וציורין הוא הציור כנ"ל. ואף שבתוספתא חשיב עוד אחד, מקום שאמרו לפתוח כו', וכן כתב הרמב"ם, מכל מקום אינו בכלל אלו, שהרי גם במתניתין לא חשיב לה כנ"ל, והיא אינה אלא משום שסמוכה לחברתה וסמיך על חברתה, וכאלו היא פותחת גם כן, אבל כולן צריכין לפתוח:</w:t>
      </w:r>
    </w:p>
  </w:footnote>
  <w:footnote w:id="5761">
    <w:p w:rsidR="00A13282" w:rsidRDefault="00A13282" w:rsidP="006F705A">
      <w:pPr>
        <w:pStyle w:val="a5"/>
        <w:rPr>
          <w:rtl/>
        </w:rPr>
      </w:pPr>
      <w:r>
        <w:rPr>
          <w:rStyle w:val="a7"/>
          <w:rtl/>
        </w:rPr>
        <w:footnoteRef/>
      </w:r>
      <w:r>
        <w:rPr>
          <w:rtl/>
        </w:rPr>
        <w:t xml:space="preserve"> </w:t>
      </w:r>
      <w:r>
        <w:rPr>
          <w:rFonts w:hAnsi="Courier New"/>
          <w:b/>
          <w:bCs/>
          <w:rtl/>
        </w:rPr>
        <w:t>אנפוי דמטרוניתא אינון מ"ט כו'.</w:t>
      </w:r>
      <w:r>
        <w:rPr>
          <w:rFonts w:hAnsi="Courier New"/>
          <w:rtl/>
        </w:rPr>
        <w:t xml:space="preserve"> דמ"ט פנים לתורה, וע' פנים, וד' פנים שהן פרד"ס. והענין, כי שני כללי שמות הן, שמהן משתרגין הכל, א' שם מ"ב למעלה, וב' שם ע"ב למטה מהן כמו שאומר פ' תרומה, והוא ד' פנים בד' חיוון, וג' חיוון שהן ג' גוונין דאבהן - הוא שם ע"ב דויסע ויבא ויט שיוצא מהן, שהן ע"ב דנפיק מהן ע' שמהן ע' אנפין, כי ב' הם כללא דלהון כמו שפרשנו במקום אחר בארוכה, וחיה הרביעית, אדם דשליט עליהן - הוא שם מ"ב דממנו מ"ט אנפין כמו שאומר לעיל ל"ז ב' דאינון ז' שבתות, דאית בהו מ"ב יומין דשתא דכל שבוע, ושבע שבתות הא מ"ט דאינון מ"ט אנפין טהור כו' עיין שם בדבריו. ועיין לעיל ס"ג א' ואינון תרי עשר אנפין, לכל חד שית, סלקין לע"ב כו', ואדם רכיב על גביהן דא מטטרון דאיהו כליל שמא דמ"ב אתוון כו', דכמה דאיהו שמא דקב"ה מ"ב וע"ב לעילא, כך איהו שמא דמ"ב וע"ב לתתא כו', ואמר תרי עשר אנפין כמו שאומר שם ג' הויות בי"ב אנפין דלהון, וכל פנים הוא שית - דכליל משית תיקונין, ואמר מט"ט כליל שמא דמ"ב, והוא במ"ט דמט"ט כמו שאומר בפ' משפטים ושאר מקומות, וזה שאומר כאן מ"ט אנפין כו' ומאלין ג' גוונין כו' בד' אנפין כו'. וארבע הוא כלל מ"ט וע', ובאלין פנים ניתנו למשה שנאמר (תהלים ח ו) ותחסרהו מעט מאלקים, שער הנו"ן, וזהו מעט - ע' מ"ט:</w:t>
      </w:r>
    </w:p>
  </w:footnote>
  <w:footnote w:id="5762">
    <w:p w:rsidR="00A13282" w:rsidRDefault="00A13282" w:rsidP="006F705A">
      <w:pPr>
        <w:pStyle w:val="a5"/>
        <w:rPr>
          <w:rtl/>
        </w:rPr>
      </w:pPr>
      <w:r>
        <w:rPr>
          <w:rStyle w:val="a7"/>
          <w:rtl/>
        </w:rPr>
        <w:footnoteRef/>
      </w:r>
      <w:r>
        <w:rPr>
          <w:rtl/>
        </w:rPr>
        <w:t xml:space="preserve"> </w:t>
      </w:r>
      <w:r>
        <w:rPr>
          <w:rFonts w:hAnsi="Courier New"/>
          <w:b/>
          <w:bCs/>
          <w:rtl/>
        </w:rPr>
        <w:t>כשושנה חוור וסומק נטלין מימינא ומשמאלא, גוון חוור בלבון דענוה, גוון סומק בבשת דדחילו ירא בשת.</w:t>
      </w:r>
      <w:r>
        <w:rPr>
          <w:rFonts w:hAnsi="Courier New"/>
          <w:rtl/>
        </w:rPr>
        <w:t xml:space="preserve"> רוצה לומר דכתיב (שה"ש ב ב) כשושנה בין החוחים כן רעיתי בין הבנות, מה שושנה דאיהי בין החוחים אית בה סומק וחיוור אוף כנסת ישראל כו', ולכן אמר נטלין מימינא ומשמאלא, ואמר זה לפרש ע"ב אנפין דילה כמו שמפרש והולך </w:t>
      </w:r>
      <w:r>
        <w:rPr>
          <w:rFonts w:hAnsi="Courier New"/>
          <w:b/>
          <w:bCs/>
          <w:rtl/>
        </w:rPr>
        <w:t>ומאלין תלת כו'.</w:t>
      </w:r>
      <w:r>
        <w:rPr>
          <w:rFonts w:hAnsi="Courier New"/>
          <w:rtl/>
        </w:rPr>
        <w:t xml:space="preserve"> ואלו ב' גוונין היא נטלא מימינא ומשמאלא, דהיא אתבנית מנהון, וכד נטלא מבעלה נטלא גוון ירוק כמו שכתוב (ישעיהו כט כב) לא עתה יבוש יעקב - בבשת דדחילו, ולא עתה פניו יחורו - בגוון חוור, וכמו שאמרו בפ' פנחס רט"ו א', וזה שאומר </w:t>
      </w:r>
      <w:r>
        <w:rPr>
          <w:rFonts w:hAnsi="Courier New"/>
          <w:b/>
          <w:bCs/>
          <w:rtl/>
        </w:rPr>
        <w:t>כד יתחזרו ירוקין הא חתן דילה אסתלק לגבי חמה דאיהי אימא עלאה</w:t>
      </w:r>
      <w:r>
        <w:rPr>
          <w:rFonts w:hAnsi="Courier New"/>
          <w:rtl/>
        </w:rPr>
        <w:t xml:space="preserve"> דמשם אצטבע בגוון ירוק כמו שאומר לעיל קמ"ג ב' אין נסתר מחמתו דא כו', ואלין תלת גוונין הן גוונין דאבהן כמו שאומר בפ' פנחס שם ומהן ע"ב גוונין, ושם ע"ב, כמו שאומר בפ' בשלח ופ' בהעלותך בארוכה, וזה שאומר </w:t>
      </w:r>
      <w:r>
        <w:rPr>
          <w:rFonts w:hAnsi="Courier New"/>
          <w:b/>
          <w:bCs/>
          <w:rtl/>
        </w:rPr>
        <w:t>ומאלין תלת כו'</w:t>
      </w:r>
      <w:r>
        <w:rPr>
          <w:rFonts w:hAnsi="Courier New"/>
          <w:rtl/>
        </w:rPr>
        <w:t xml:space="preserve"> ואמר </w:t>
      </w:r>
      <w:r>
        <w:rPr>
          <w:rFonts w:hAnsi="Courier New"/>
          <w:b/>
          <w:bCs/>
          <w:rtl/>
        </w:rPr>
        <w:t xml:space="preserve">בחושבן חסד כו'. </w:t>
      </w:r>
      <w:r>
        <w:rPr>
          <w:rFonts w:hAnsi="Courier New"/>
          <w:rtl/>
        </w:rPr>
        <w:t xml:space="preserve">מורה שהם כוללין שם ע"ב, דחסד מורה על התיבין, וגבורה - על האתוון, שהם כלל ופרט וכלל, דמים דרכן להתדבק, וכל דבוק כגון קמח לעשות עיסה - מתדבק במים, ואש דרכו להתפרד, שכל דבר שנשרף - מתפרד, וכן כל דבר לח מתדבק, ויבש - מתפרד, וידוע בסוד המרור - ללעסו, וסוד הקטורת - הדק היטב, שוחקין מן לצדיקים, וכן תורה שבכתב ובעל פה הן כלל ופרט שהן חו"ג, ותורה שבעל פה צריך להחזירה לכלל, לתורה שבכתב, והוא עמודא דאמצעיתא, חבורא דחו"ג, והוא - וכלל, וזהו דכללין שניהם ע"ב. ואמר </w:t>
      </w:r>
      <w:r>
        <w:rPr>
          <w:rFonts w:hAnsi="Courier New"/>
          <w:b/>
          <w:bCs/>
          <w:rtl/>
        </w:rPr>
        <w:t>ודא איהו רזא דויעבר</w:t>
      </w:r>
      <w:r>
        <w:rPr>
          <w:rFonts w:hAnsi="Courier New"/>
          <w:rtl/>
        </w:rPr>
        <w:t xml:space="preserve"> שהוא ע"ב רי"ו, ב' גוונין דחו"ב שבהן נהרין פניו, סהדותא דאו"א, י"ה עדות לישראל (תהלים קכב ד), וזהו על פניו, וה' גם כן על פניו שהן אלו ג' גוונין, וזה שאומר </w:t>
      </w:r>
      <w:r>
        <w:rPr>
          <w:rFonts w:hAnsi="Courier New"/>
          <w:b/>
          <w:bCs/>
          <w:rtl/>
        </w:rPr>
        <w:t xml:space="preserve">ה' נהיר כו' הה"ד וארבעה כו'. </w:t>
      </w:r>
      <w:r>
        <w:rPr>
          <w:rFonts w:hAnsi="Courier New"/>
          <w:rtl/>
        </w:rPr>
        <w:t xml:space="preserve">והן י"ב פנים דג' חיוון, וכלילין בוא"ו, וזה שאומר </w:t>
      </w:r>
      <w:r>
        <w:rPr>
          <w:rFonts w:hAnsi="Courier New"/>
          <w:b/>
          <w:bCs/>
          <w:rtl/>
        </w:rPr>
        <w:t>ועמודא דאמצעיתא איהו וא"ו עיבור כו'.</w:t>
      </w:r>
      <w:r>
        <w:rPr>
          <w:rFonts w:hAnsi="Courier New"/>
          <w:rtl/>
        </w:rPr>
        <w:t xml:space="preserve"> רוצה לומר, אלף דבגוויה הוא חודש הי"ג, דהוא עבור, וזהו ויעבר ה', ויעבר הוא אותיות עיבור, שהן שם ע"ב, ושם ע"ב הוא נכלל בי"ג כמו שאומר בתיקוני זהר חדש ע"ה ב' אבל לי"ג מכילן דרחמי דאינון וא"ו ויעבר ה' על פניו ויעבר ע"ב רי"ו כו' לי"ג מכילן דכלילין בחסד דכליל ע"ב שמהן דאינון כללא דלהון ו'הו א'ני ו'הו, ועיין לעיל ס"ו א' תלת אבהן דאינון ברזא דשמא דע"ב בגוונא דא, חסד אתקרי גדולה בגין דאיהו כללא דע"ב תיבין, גבורה כללא דרי"ו אתוון דאית בשמא דע"ב, עמודא דאמצעיתא דאיהו וא"ו כליל כולא, ודא איהו רזא ויעבר ה' על פניו, ע"ב רי"ו יקו"ק על פניו, מאי פניו אנפוי דא וא"ו י"ג מכילן דרחמי כו', וזה שאומר תלת עשר ירחין ואינון ו'הו א'ני ו'הו. וכיצד הן כוללין כל שם ע"ב כתבתי במקום אחר בארוכה, והכלל, כי ויעבר הוא ע"ב רי"ו דב' חו"ג, ה' הוא י"ג אנפין דכללין ע"ב כנ"ל והוא כולל שניהן בסוד עיבור דהוא ע"ב רי"ו ועיבור הוא בי"ג חודש:</w:t>
      </w:r>
    </w:p>
  </w:footnote>
  <w:footnote w:id="5763">
    <w:p w:rsidR="00A13282" w:rsidRDefault="00A13282" w:rsidP="006F705A">
      <w:pPr>
        <w:pStyle w:val="a5"/>
        <w:rPr>
          <w:rtl/>
        </w:rPr>
      </w:pPr>
      <w:r>
        <w:rPr>
          <w:rStyle w:val="a7"/>
          <w:rtl/>
        </w:rPr>
        <w:footnoteRef/>
      </w:r>
      <w:r>
        <w:rPr>
          <w:rtl/>
        </w:rPr>
        <w:t xml:space="preserve"> </w:t>
      </w:r>
      <w:r>
        <w:rPr>
          <w:rFonts w:hAnsi="Courier New"/>
          <w:b/>
          <w:bCs/>
          <w:rtl/>
        </w:rPr>
        <w:t>וביה איהו אשה עוברה.</w:t>
      </w:r>
      <w:r>
        <w:rPr>
          <w:rFonts w:hAnsi="Courier New"/>
          <w:rtl/>
        </w:rPr>
        <w:t xml:space="preserve"> רוצה לומר בוא"ו, כמו שאומר בפ' אחרי מות ובספרא דצניעותא ה' - ד' הות, ומדאתעברת אתעבידת ה', שהוא ו' שבתוך ה"א, והכל ע"י האלף שבתוך הוא"ו שהוא חודש הי"ג שנעשה עיבור על ידו, והוא סוד הדעת, משך הזרע, והוא ביסוד כמו שאומר לעיל קי"ד א' וייצר ה' אלקים את האדם דא צדיק ח"י עלמין כו' דאינון י"י מן אלף, ו' וייצר ו' כו', ועיין מה שבארנו שם, וזה שאומר </w:t>
      </w:r>
      <w:r>
        <w:rPr>
          <w:rFonts w:hAnsi="Courier New"/>
          <w:b/>
          <w:bCs/>
          <w:rtl/>
        </w:rPr>
        <w:t>סוד העיבור,</w:t>
      </w:r>
      <w:r>
        <w:rPr>
          <w:rFonts w:hAnsi="Courier New"/>
          <w:rtl/>
        </w:rPr>
        <w:t xml:space="preserve"> דסוד העיבור נקרא סוד, והוא יסוד, סוד שבו - ע' לשון, ע' אנפין, סוד ה' ליראיו, עיבור הוא הטיפה שבתוכו שהוא יוד, שבו מתעברת האשה, והוא ע"ב רי"ו שהטיפה כלולה מחו"ג, והוא יו"ד שבו נעשה יסו"ד, וכן גי"ד, ג"ד - ז' שהוא ע', סוד, וטיפה הוא גיד, כמו שאומר לעיל בתיקון כ' מ"ו א', וזה שאומר </w:t>
      </w:r>
      <w:r>
        <w:rPr>
          <w:rFonts w:hAnsi="Courier New"/>
          <w:b/>
          <w:bCs/>
          <w:rtl/>
        </w:rPr>
        <w:t>סוד העיבור יסוד דאיהו י' טיפה דמינה אתעברת עיבור דהא בלא טיפה ל"ל עיבור</w:t>
      </w:r>
      <w:r>
        <w:rPr>
          <w:rFonts w:hAnsi="Courier New"/>
          <w:rtl/>
        </w:rPr>
        <w:t xml:space="preserve"> רוצה לומר דאלף שבתוך הוא"ו הוא צורת יו"ד כמו שאומר לעיל בתיקון ע’ בסוד כתרין ועטרין. וזה שאומר וא"ו שהוא ל"ב נתיבות. ואמר </w:t>
      </w:r>
      <w:r>
        <w:rPr>
          <w:rFonts w:hAnsi="Courier New"/>
          <w:b/>
          <w:bCs/>
          <w:rtl/>
        </w:rPr>
        <w:t>ודא איהו מוחא</w:t>
      </w:r>
      <w:r>
        <w:rPr>
          <w:rFonts w:hAnsi="Courier New"/>
          <w:rtl/>
        </w:rPr>
        <w:t xml:space="preserve"> דתמן חכמה, דהטפה נמשכת ממוחא והוא חכמה יו"ד, ורוצה לומר דסוד העיבור הוא חכמה, שהוא חכמה נפלאה, וענין וא"ו מלא שהוא בפנים ב' ווין בב' אנפין, שכל הפנים הוא ו' כנ"ל וחוטמא ביניהון שהוא א', ב' יודין בב' נוקבין דחוטמא והכותל שביניהון א', והוא א', והוא כללא דכל הפנים דביה אשתמודע ציורא דאנפין ז"א או א"א, וכמו שאמרו לענין הכרת פנים (בכורות מו ע"ב). ועיין מה שפרשנו באידרא רבא, ועיין מה שפרשנו בספרא דצניעותא בארוכה. והוא סוד הדעת, רוחא דקודשא, דביה ונחה עליו רוח ה' כמו שאומר באידרא רבא. והוא סוד העיבור דביה עתידא לאפקא רוחא דמשיחא. והוא בז' תיקונין, יסוד, כמו שאומר בריש ספרא דצניעותא, ובד' תיקונים דד' חושים הוא עמודא דאמצעיתא, כמו שאומר בתיקון ע’ ובזהר חדש בפ' יתרו כ"ז ב' אנשי אמת בדיוקנא דחוטמא דאיהו רוחא דקודשא, ודא תפארת, איהו חוטמא, חותם אמת, יעקב שלימא, תרין אנפין אית לה כו' ואלין אינון אנפוי דרחמי כלילין חוור וסומק מסטרא דחו"ג כו' וחוטמא דאיהו יעקב אתמר ביה ויפח באפיו נשמת חיים, ודא בינה, בן י"ה, משה רבינו, ואיהו ליה כנשמתא דחיי כו', ורוצה לומר הדעת, והוא בב' ציורין: אחד, וא"ו - בב' אנפין וחוטם, והשני, א', בהון ב' יודין בב' אנפין, וחוטמא הוא וא"ו, והוא וייצר, צורתו צר בב' יודין ווא"ו דוייצר, וכמו שאומר שם כ"ט ד' והכרת אנפין בעמודא דאמצעיתא צייר תרי אפין בתרין יודין מן וייצר, חוטמא באות ו' מן וייצר וסליק בהון חושבן הוי"ה, צר לון בהאי שמא לאשתמודעא מיניה ליוצר עלמין הוי"ה, איהו תפארת, איהו נהיר באנפין, תרין גוונין דאנפין עבד ליה, דאינון חיוור וסומק, דאינון חו"ג, דאינון רזא דויעבר כו', ורוצה לומר דהפנים צורתו הוא ה', וגוונין הן ויעבר, וזהו ויעבר ה' על פניו וכנ"ל. וזה שאומר כאן </w:t>
      </w:r>
      <w:r>
        <w:rPr>
          <w:rFonts w:hAnsi="Courier New"/>
          <w:b/>
          <w:bCs/>
          <w:rtl/>
        </w:rPr>
        <w:t>ו' איהו חוטמא אתתקנא באנפין, עלייהו אתמר וייצר ה' אלקים, ונהרין בחיוור וסומק.</w:t>
      </w:r>
      <w:r>
        <w:rPr>
          <w:rFonts w:hAnsi="Courier New"/>
          <w:rtl/>
        </w:rPr>
        <w:t xml:space="preserve"> ורוצה לומר וייצר כנ"ל, והוא צורת הפנים, והוא חוטמא עם אנפין ב' יודין כנ"ל. וזה שאמר חוטמא ו' - רוצה לומר ו' פשוט. ואמר ונהרין בחוור וסומק - שהן ב' דויעבר, והוא ה' אלקים, חו"ג, גוונין דאו"א, סהדותא דאנפוי. ואלו וייצר ה' אלקים - הוא ויעבר ה' שהוא על פניו. ואמר </w:t>
      </w:r>
      <w:r>
        <w:rPr>
          <w:rFonts w:hAnsi="Courier New"/>
          <w:b/>
          <w:bCs/>
          <w:rtl/>
        </w:rPr>
        <w:t xml:space="preserve">וחוטמא כו' חותם אמת כו' </w:t>
      </w:r>
      <w:r>
        <w:rPr>
          <w:rFonts w:hAnsi="Courier New"/>
          <w:rtl/>
        </w:rPr>
        <w:t xml:space="preserve">דהוא אמת ליעקב, אנשי אמת וכנ"ל, וכמו שאומר לעיל קכ"א א' ריחא תמן אנשי אמת כו'. וזהו שכל הפנים מתתקנא בחוטמא, דהוא ת"ת, כלל הפנים. ואמר </w:t>
      </w:r>
      <w:r>
        <w:rPr>
          <w:rFonts w:hAnsi="Courier New"/>
          <w:b/>
          <w:bCs/>
          <w:rtl/>
        </w:rPr>
        <w:t>באורח מישור</w:t>
      </w:r>
      <w:r>
        <w:rPr>
          <w:rFonts w:hAnsi="Courier New"/>
          <w:rtl/>
        </w:rPr>
        <w:t xml:space="preserve"> - לאפוקי מעוות. ועיין לעיל קכ"ד א' מזה בארוכה שיהא גם כן לפי הפנים והאברים:</w:t>
      </w:r>
    </w:p>
  </w:footnote>
  <w:footnote w:id="5764">
    <w:p w:rsidR="00A13282" w:rsidRDefault="00A13282" w:rsidP="006F705A">
      <w:pPr>
        <w:pStyle w:val="a5"/>
        <w:rPr>
          <w:rtl/>
        </w:rPr>
      </w:pPr>
      <w:r>
        <w:rPr>
          <w:rStyle w:val="a7"/>
          <w:rtl/>
        </w:rPr>
        <w:footnoteRef/>
      </w:r>
      <w:r>
        <w:rPr>
          <w:rtl/>
        </w:rPr>
        <w:t xml:space="preserve"> </w:t>
      </w:r>
      <w:r>
        <w:rPr>
          <w:rFonts w:hAnsi="Courier New"/>
          <w:b/>
          <w:bCs/>
          <w:rtl/>
        </w:rPr>
        <w:t>ותרין נוקבין כו' פומא כו'.</w:t>
      </w:r>
      <w:r>
        <w:rPr>
          <w:rFonts w:hAnsi="Courier New"/>
          <w:rtl/>
        </w:rPr>
        <w:t xml:space="preserve"> ואינון ז"ת, חוטמא וב' פנים בב' גוונין הן חג"ת כנ"ל, וב' נוקבין ופומא - נהי"ם, וג"ר אינון הנסתרות בג' מוחין:</w:t>
      </w:r>
    </w:p>
  </w:footnote>
  <w:footnote w:id="5765">
    <w:p w:rsidR="00A13282" w:rsidRDefault="00A13282" w:rsidP="006F705A">
      <w:pPr>
        <w:pStyle w:val="a5"/>
        <w:rPr>
          <w:rtl/>
        </w:rPr>
      </w:pPr>
      <w:r>
        <w:rPr>
          <w:rStyle w:val="a7"/>
          <w:rtl/>
        </w:rPr>
        <w:footnoteRef/>
      </w:r>
      <w:r>
        <w:rPr>
          <w:rtl/>
        </w:rPr>
        <w:t xml:space="preserve"> </w:t>
      </w:r>
      <w:r>
        <w:rPr>
          <w:rFonts w:hAnsi="Courier New"/>
          <w:b/>
          <w:bCs/>
          <w:rtl/>
        </w:rPr>
        <w:t>ועלה אתמר כחוט כו'.</w:t>
      </w:r>
      <w:r>
        <w:rPr>
          <w:rFonts w:hAnsi="Courier New"/>
          <w:rtl/>
        </w:rPr>
        <w:t xml:space="preserve"> רוצה לומר, כחוט כו' זהו פומא, </w:t>
      </w:r>
      <w:r>
        <w:rPr>
          <w:rFonts w:hAnsi="Courier New"/>
          <w:b/>
          <w:bCs/>
          <w:rtl/>
        </w:rPr>
        <w:t>ומדברך</w:t>
      </w:r>
      <w:r>
        <w:rPr>
          <w:rFonts w:hAnsi="Courier New"/>
          <w:rtl/>
        </w:rPr>
        <w:t xml:space="preserve"> הוא הלשון, ומה שאומר </w:t>
      </w:r>
      <w:r>
        <w:rPr>
          <w:rFonts w:hAnsi="Courier New"/>
          <w:b/>
          <w:bCs/>
          <w:rtl/>
        </w:rPr>
        <w:t>באורייתא</w:t>
      </w:r>
      <w:r>
        <w:rPr>
          <w:rFonts w:hAnsi="Courier New"/>
          <w:rtl/>
        </w:rPr>
        <w:t xml:space="preserve"> - דהוא לשון למודים, דאיהו צדיק שהוא ספר תורה:</w:t>
      </w:r>
    </w:p>
  </w:footnote>
  <w:footnote w:id="5766">
    <w:p w:rsidR="00A13282" w:rsidRDefault="00A13282" w:rsidP="006F705A">
      <w:pPr>
        <w:pStyle w:val="a5"/>
        <w:rPr>
          <w:rtl/>
        </w:rPr>
      </w:pPr>
      <w:r>
        <w:rPr>
          <w:rStyle w:val="a7"/>
          <w:rtl/>
        </w:rPr>
        <w:footnoteRef/>
      </w:r>
      <w:r>
        <w:rPr>
          <w:rtl/>
        </w:rPr>
        <w:t xml:space="preserve"> </w:t>
      </w:r>
      <w:r>
        <w:rPr>
          <w:rFonts w:hAnsi="Courier New"/>
          <w:b/>
          <w:bCs/>
          <w:rtl/>
        </w:rPr>
        <w:t>פומא כללא כו'.</w:t>
      </w:r>
      <w:r>
        <w:rPr>
          <w:rFonts w:hAnsi="Courier New"/>
          <w:rtl/>
        </w:rPr>
        <w:t xml:space="preserve"> כמו שאומר לקמן שהן עשר ספירות בתיקונין באנפין, ואמר דפומא כוללת כולן - דמלכות לעולם כוללת כולן, ומפרש והולך, קול ודבור - ו"ה, הבל - ה', והפה הוא צורת יו"ד, כשהיא סתומה היא יו"ד וכשהיא נפתחת מוציאה הבל כלילא בה' מוצאות ומולידה קול ודבור, ובאבא הוא סתום, וכשהיא באימא אז פטר רחם נפתחת:</w:t>
      </w:r>
    </w:p>
  </w:footnote>
  <w:footnote w:id="5767">
    <w:p w:rsidR="00A13282" w:rsidRDefault="00A13282" w:rsidP="006F705A">
      <w:pPr>
        <w:pStyle w:val="a5"/>
        <w:rPr>
          <w:rtl/>
        </w:rPr>
      </w:pPr>
      <w:r>
        <w:rPr>
          <w:rStyle w:val="a7"/>
          <w:rtl/>
        </w:rPr>
        <w:footnoteRef/>
      </w:r>
      <w:r>
        <w:rPr>
          <w:rtl/>
        </w:rPr>
        <w:t xml:space="preserve"> </w:t>
      </w:r>
      <w:r>
        <w:rPr>
          <w:rFonts w:hAnsi="Courier New"/>
          <w:b/>
          <w:bCs/>
          <w:rtl/>
        </w:rPr>
        <w:t>ובג"ד כחוט כו'.</w:t>
      </w:r>
      <w:r>
        <w:rPr>
          <w:rFonts w:hAnsi="Courier New"/>
          <w:rtl/>
        </w:rPr>
        <w:t xml:space="preserve"> חוזר הפסוק, דעתה מפרש ומדברך עם החוט, כללא דשם, דחוט הוא בעגולא צורת יו"ד:</w:t>
      </w:r>
    </w:p>
  </w:footnote>
  <w:footnote w:id="5768">
    <w:p w:rsidR="00A13282" w:rsidRDefault="00A13282" w:rsidP="006F705A">
      <w:pPr>
        <w:pStyle w:val="a5"/>
        <w:rPr>
          <w:rtl/>
        </w:rPr>
      </w:pPr>
      <w:r>
        <w:rPr>
          <w:rStyle w:val="a7"/>
          <w:rtl/>
        </w:rPr>
        <w:footnoteRef/>
      </w:r>
      <w:r>
        <w:rPr>
          <w:rtl/>
        </w:rPr>
        <w:t xml:space="preserve"> </w:t>
      </w:r>
      <w:r>
        <w:rPr>
          <w:rFonts w:hAnsi="Courier New"/>
          <w:b/>
          <w:bCs/>
          <w:rtl/>
        </w:rPr>
        <w:t>צוארך כו'.</w:t>
      </w:r>
      <w:r>
        <w:rPr>
          <w:rFonts w:hAnsi="Courier New"/>
          <w:rtl/>
        </w:rPr>
        <w:t xml:space="preserve"> מפרש כל הפרשה דשובי שובי השולמית למפרע כסדר השעור קומה, פתח בראשך ואח"כ עיניך ברכות בחשבון על שער בת רבים דאינון אבהן, הלכה כרבים דאינון תלת גוונין דעינא כמו שאומר למעלה, ואח"כ הפנים שהוא מתתקנא בחוטמא והוא אפך כמגדל הלבנון שהוא באורח מישור כמו מגדל הלבנון, ואח"כ צוארך כו' ואח"כ שני שדיך דמתתקנא עם הידין כמו שאומר למטה וכולל בהן חמוקי ירכיך כו' שהן תרין בתולין כו' כמו שאומר שם ואח"כ בטנך, שררך שהוא שבחא דגופא כולל בפסוק זאת קומתך כו' ואח"כ מה יפו פעמיך כו':</w:t>
      </w:r>
    </w:p>
  </w:footnote>
  <w:footnote w:id="5769">
    <w:p w:rsidR="00A13282" w:rsidRDefault="00A13282" w:rsidP="006F705A">
      <w:pPr>
        <w:pStyle w:val="a5"/>
        <w:rPr>
          <w:rtl/>
        </w:rPr>
      </w:pPr>
      <w:r>
        <w:rPr>
          <w:rStyle w:val="a7"/>
          <w:rtl/>
        </w:rPr>
        <w:footnoteRef/>
      </w:r>
      <w:r>
        <w:rPr>
          <w:rtl/>
        </w:rPr>
        <w:t xml:space="preserve"> </w:t>
      </w:r>
      <w:r>
        <w:rPr>
          <w:rFonts w:hAnsi="Courier New"/>
          <w:b/>
          <w:bCs/>
          <w:rtl/>
        </w:rPr>
        <w:t>תכשיטין דילה.</w:t>
      </w:r>
      <w:r>
        <w:rPr>
          <w:rFonts w:hAnsi="Courier New"/>
          <w:rtl/>
        </w:rPr>
        <w:t xml:space="preserve"> רוצה לומר, תכשיטין שעל הפנים, וחרוזין על הצואר, וכמו שכתוב תורי זהב נעשה לך כו' והוא על הפנים כמו שכתוב נאוו לחייך בתורים, צוארך בחרוזים, והם (משלי א ט) כי לוית חן הם לראשך וענקים לגרגרותיך, ולוית היא תכשיטים כמו שבארנו שם (א.ה. עיין ביאורו על משלי שם), וזה שאומר בנוי לתלפיות שהן נה"י, ת"ל - צדיק, שכל פנות שהאשה פונה - הכל לצדיק, וכן כל תיקונין של ישראל ושכינתא:</w:t>
      </w:r>
    </w:p>
  </w:footnote>
  <w:footnote w:id="5770">
    <w:p w:rsidR="00A13282" w:rsidRDefault="00A13282" w:rsidP="006F705A">
      <w:pPr>
        <w:pStyle w:val="a5"/>
        <w:rPr>
          <w:rtl/>
        </w:rPr>
      </w:pPr>
      <w:r>
        <w:rPr>
          <w:rStyle w:val="a7"/>
          <w:rtl/>
        </w:rPr>
        <w:footnoteRef/>
      </w:r>
      <w:r>
        <w:rPr>
          <w:rtl/>
        </w:rPr>
        <w:t xml:space="preserve"> </w:t>
      </w:r>
      <w:r>
        <w:rPr>
          <w:rFonts w:hAnsi="Courier New"/>
          <w:b/>
          <w:bCs/>
          <w:rtl/>
        </w:rPr>
        <w:t>פיות תרי כו'.</w:t>
      </w:r>
      <w:r>
        <w:rPr>
          <w:rFonts w:hAnsi="Courier New"/>
          <w:rtl/>
        </w:rPr>
        <w:t xml:space="preserve"> והוא הכל בצואר, ואמר </w:t>
      </w:r>
      <w:r>
        <w:rPr>
          <w:rFonts w:hAnsi="Courier New"/>
          <w:b/>
          <w:bCs/>
          <w:rtl/>
        </w:rPr>
        <w:t>חרוזין דילה תרי סמכי קשוט וצדיק</w:t>
      </w:r>
      <w:r>
        <w:rPr>
          <w:rFonts w:hAnsi="Courier New"/>
          <w:rtl/>
        </w:rPr>
        <w:t xml:space="preserve"> כמו שאומר לעיל לתלפיות שהן נו"ה וצדיק, והן חרוזים ג', כמו תכשיטין ג' אבהן, וכלל הצואר הוא מלכות, מגדל דוד כולל נו"ה בחרוזים, וכלל הפנים הוא חג"ת כנ"ל, וכן ב' מגדלים אפך כמגדל הלבנון וצארך כמגדל השן, דאפך ת"ת כולל חו"ג כנ"ל, כמגדל השן דא ירושלים שהוא מלכות כמו שאומר דשכינתא ודאי איהי ירושלים ונה"י כוללין בה והוא לשון למודים שיוצא מצואר והדבור, ומכל מקום כל התכשיטים והחרוזים תולה הכל על הצואר (כמו שאומר למטה וכד אסתלק צואר כו') והיא כללא דכולהו, וזה שאומר אלף המגן תלוי עליו שהן נו"ה כמו שאומר בפ' פקודי רמ"ט ר"נ לההוא אתר דאקרי תא הרצים כו' כל אינון מגינין די דהבא כו' ורזא דא הרצים יצאו כו' עיין שם בדבריו, וכמו שכתוב ויהי מדי בא המלך בית ה' ישאום הרצים והשיבום אל תא הרצים כל שלטי הגבורים אינון דאבהן גבורי כח כו':</w:t>
      </w:r>
    </w:p>
  </w:footnote>
  <w:footnote w:id="5771">
    <w:p w:rsidR="00A13282" w:rsidRDefault="00A13282" w:rsidP="006F705A">
      <w:pPr>
        <w:pStyle w:val="a5"/>
        <w:rPr>
          <w:rtl/>
        </w:rPr>
      </w:pPr>
      <w:r>
        <w:rPr>
          <w:rStyle w:val="a7"/>
          <w:rtl/>
        </w:rPr>
        <w:footnoteRef/>
      </w:r>
      <w:r>
        <w:rPr>
          <w:rtl/>
        </w:rPr>
        <w:t xml:space="preserve"> </w:t>
      </w:r>
      <w:r>
        <w:rPr>
          <w:rFonts w:hAnsi="Courier New"/>
          <w:b/>
          <w:bCs/>
          <w:rtl/>
        </w:rPr>
        <w:t>ד"א צוארך דא אורייתא.</w:t>
      </w:r>
      <w:r>
        <w:rPr>
          <w:rFonts w:hAnsi="Courier New"/>
          <w:rtl/>
        </w:rPr>
        <w:t xml:space="preserve"> שהוא מחבר הראש שהוא שמים עם הגוף שהוא הארץ, כמו שכתוב (ירמיהו לג כה) אם לא בריתי יומם ולילה חקות כו', וזה שאומר למטה דא טורא דסיני כו' שבו הטה הקב"ה שמים על הארץ:</w:t>
      </w:r>
    </w:p>
  </w:footnote>
  <w:footnote w:id="5772">
    <w:p w:rsidR="00A13282" w:rsidRDefault="00A13282" w:rsidP="006F705A">
      <w:pPr>
        <w:pStyle w:val="a5"/>
        <w:rPr>
          <w:rtl/>
        </w:rPr>
      </w:pPr>
      <w:r>
        <w:rPr>
          <w:rStyle w:val="a7"/>
          <w:rtl/>
        </w:rPr>
        <w:footnoteRef/>
      </w:r>
      <w:r>
        <w:rPr>
          <w:rtl/>
        </w:rPr>
        <w:t xml:space="preserve"> </w:t>
      </w:r>
      <w:r>
        <w:rPr>
          <w:rFonts w:hAnsi="Courier New"/>
          <w:b/>
          <w:bCs/>
          <w:rtl/>
        </w:rPr>
        <w:t>ולבונה כו'.</w:t>
      </w:r>
      <w:r>
        <w:rPr>
          <w:rFonts w:hAnsi="Courier New"/>
          <w:rtl/>
        </w:rPr>
        <w:t xml:space="preserve"> דמור - דכורא, ולבונה - נוק', כמו שכתוב מדלג על ההרים מקפץ כו', וכבר כתבתי החילוק בין הרים לגבעות שהן זכרות ונקבות:</w:t>
      </w:r>
    </w:p>
  </w:footnote>
  <w:footnote w:id="5773">
    <w:p w:rsidR="00A13282" w:rsidRDefault="00A13282" w:rsidP="006F705A">
      <w:pPr>
        <w:pStyle w:val="a5"/>
        <w:rPr>
          <w:rtl/>
        </w:rPr>
      </w:pPr>
      <w:r>
        <w:rPr>
          <w:rStyle w:val="a7"/>
          <w:rtl/>
        </w:rPr>
        <w:footnoteRef/>
      </w:r>
      <w:r>
        <w:rPr>
          <w:rtl/>
        </w:rPr>
        <w:t xml:space="preserve"> </w:t>
      </w:r>
      <w:r>
        <w:rPr>
          <w:rFonts w:hAnsi="Courier New"/>
          <w:b/>
          <w:bCs/>
          <w:rtl/>
        </w:rPr>
        <w:t>מכל כו'.</w:t>
      </w:r>
      <w:r>
        <w:rPr>
          <w:rFonts w:hAnsi="Courier New"/>
          <w:rtl/>
        </w:rPr>
        <w:t xml:space="preserve"> דכליל זו"נ, וזה שאומר דאיהו כל כו', ועיין לעיל תיקון כ’:</w:t>
      </w:r>
    </w:p>
  </w:footnote>
  <w:footnote w:id="5774">
    <w:p w:rsidR="00A13282" w:rsidRDefault="00A13282" w:rsidP="006F705A">
      <w:pPr>
        <w:pStyle w:val="a5"/>
        <w:rPr>
          <w:rtl/>
        </w:rPr>
      </w:pPr>
      <w:r>
        <w:rPr>
          <w:rStyle w:val="a7"/>
          <w:rtl/>
        </w:rPr>
        <w:footnoteRef/>
      </w:r>
      <w:r>
        <w:rPr>
          <w:rtl/>
        </w:rPr>
        <w:t xml:space="preserve"> </w:t>
      </w:r>
      <w:r>
        <w:rPr>
          <w:rFonts w:hAnsi="Courier New"/>
          <w:b/>
          <w:bCs/>
          <w:rtl/>
        </w:rPr>
        <w:t>ד"א צארך כו' למשה מסיני.</w:t>
      </w:r>
      <w:r>
        <w:rPr>
          <w:rFonts w:hAnsi="Courier New"/>
          <w:rtl/>
        </w:rPr>
        <w:t xml:space="preserve"> רוצה לומר דהוא הצואר, סיני כנ"ל:</w:t>
      </w:r>
    </w:p>
  </w:footnote>
  <w:footnote w:id="5775">
    <w:p w:rsidR="00A13282" w:rsidRDefault="00A13282" w:rsidP="006F705A">
      <w:pPr>
        <w:pStyle w:val="a5"/>
        <w:rPr>
          <w:rtl/>
        </w:rPr>
      </w:pPr>
      <w:r>
        <w:rPr>
          <w:rStyle w:val="a7"/>
          <w:rtl/>
        </w:rPr>
        <w:footnoteRef/>
      </w:r>
      <w:r>
        <w:rPr>
          <w:rtl/>
        </w:rPr>
        <w:t xml:space="preserve"> </w:t>
      </w:r>
      <w:r>
        <w:rPr>
          <w:rFonts w:hAnsi="Courier New"/>
          <w:b/>
          <w:bCs/>
          <w:rtl/>
        </w:rPr>
        <w:t>אמר מר.</w:t>
      </w:r>
      <w:r>
        <w:rPr>
          <w:rFonts w:hAnsi="Courier New"/>
          <w:rtl/>
        </w:rPr>
        <w:t xml:space="preserve"> דהוא מימרא דגמרא:</w:t>
      </w:r>
    </w:p>
  </w:footnote>
  <w:footnote w:id="5776">
    <w:p w:rsidR="00A13282" w:rsidRDefault="00A13282" w:rsidP="006F705A">
      <w:pPr>
        <w:pStyle w:val="a5"/>
        <w:rPr>
          <w:rtl/>
        </w:rPr>
      </w:pPr>
      <w:r>
        <w:rPr>
          <w:rStyle w:val="a7"/>
          <w:rtl/>
        </w:rPr>
        <w:footnoteRef/>
      </w:r>
      <w:r>
        <w:rPr>
          <w:rtl/>
        </w:rPr>
        <w:t xml:space="preserve"> </w:t>
      </w:r>
      <w:r>
        <w:rPr>
          <w:rFonts w:hAnsi="Courier New"/>
          <w:b/>
          <w:bCs/>
          <w:rtl/>
        </w:rPr>
        <w:t>מכל אבקת רוכל כו'.</w:t>
      </w:r>
      <w:r>
        <w:rPr>
          <w:rFonts w:hAnsi="Courier New"/>
          <w:rtl/>
        </w:rPr>
        <w:t xml:space="preserve"> רוצה לומר, כלל הגמרא דאית בה כלא, והוא נהורא דאורייתא דבעל פה, וזה שאומר ודא נהיר כו':</w:t>
      </w:r>
    </w:p>
  </w:footnote>
  <w:footnote w:id="5777">
    <w:p w:rsidR="00A13282" w:rsidRDefault="00A13282" w:rsidP="006F705A">
      <w:pPr>
        <w:pStyle w:val="a5"/>
        <w:rPr>
          <w:rtl/>
        </w:rPr>
      </w:pPr>
      <w:r>
        <w:rPr>
          <w:rStyle w:val="a7"/>
          <w:rtl/>
        </w:rPr>
        <w:footnoteRef/>
      </w:r>
      <w:r>
        <w:rPr>
          <w:rtl/>
        </w:rPr>
        <w:t xml:space="preserve"> </w:t>
      </w:r>
      <w:r>
        <w:rPr>
          <w:rFonts w:hAnsi="Courier New"/>
          <w:b/>
          <w:bCs/>
          <w:rtl/>
        </w:rPr>
        <w:t>ומיד דאיהי כו'.</w:t>
      </w:r>
      <w:r>
        <w:rPr>
          <w:rFonts w:hAnsi="Courier New"/>
          <w:rtl/>
        </w:rPr>
        <w:t xml:space="preserve"> חוזר לענין הראשון, דקאי על ירושלים, והוא הדין לכל הנך דהכל הוא בשכינה, והוא יחבק לה כו' כמו שמפרש והולך, ומקום החיבוק הוא בצואר והוא דאסחר לה, (זכריה ב ט) ואני אהיה כו', ועתה מפרש ידין דידה שכולל הפסוק בשני שדיך:</w:t>
      </w:r>
    </w:p>
  </w:footnote>
  <w:footnote w:id="5778">
    <w:p w:rsidR="00A13282" w:rsidRDefault="00A13282" w:rsidP="006F705A">
      <w:pPr>
        <w:pStyle w:val="a5"/>
        <w:rPr>
          <w:rtl/>
        </w:rPr>
      </w:pPr>
      <w:r>
        <w:rPr>
          <w:rStyle w:val="a7"/>
          <w:rtl/>
        </w:rPr>
        <w:footnoteRef/>
      </w:r>
      <w:r>
        <w:rPr>
          <w:rtl/>
        </w:rPr>
        <w:t xml:space="preserve"> </w:t>
      </w:r>
      <w:r>
        <w:rPr>
          <w:rFonts w:hAnsi="Courier New"/>
          <w:b/>
          <w:bCs/>
          <w:rtl/>
        </w:rPr>
        <w:t>כענפין דאילנא דחיי.</w:t>
      </w:r>
      <w:r>
        <w:rPr>
          <w:rFonts w:hAnsi="Courier New"/>
          <w:rtl/>
        </w:rPr>
        <w:t xml:space="preserve"> שהשרטוטין הן ענפין, ויש ענפין דעץ הדעת, וכמו שאומר תיקון ע’ ושאר מקומות, אבל בה - ענפין דעץ חיים. ואמר </w:t>
      </w:r>
      <w:r>
        <w:rPr>
          <w:rFonts w:hAnsi="Courier New"/>
          <w:b/>
          <w:bCs/>
          <w:rtl/>
        </w:rPr>
        <w:t>הה"ד עץ חיים היא למחזיקים בה</w:t>
      </w:r>
      <w:r>
        <w:rPr>
          <w:rFonts w:hAnsi="Courier New"/>
          <w:rtl/>
        </w:rPr>
        <w:t xml:space="preserve"> שהן הידים, דמחזיקים התורה בידים, ומפרש והולך דב' הידים הן תורה שבכתב ושבעל פה, כמו שכתוב (דברים לג ב) מימינו אש, ואש הוא תורה שבעל פה, אלא דנכללת בימין כמו שאומר בפ' יתרו:</w:t>
      </w:r>
    </w:p>
  </w:footnote>
  <w:footnote w:id="5779">
    <w:p w:rsidR="00A13282" w:rsidRDefault="00A13282" w:rsidP="006F705A">
      <w:pPr>
        <w:pStyle w:val="a5"/>
        <w:rPr>
          <w:rtl/>
        </w:rPr>
      </w:pPr>
      <w:r>
        <w:rPr>
          <w:rStyle w:val="a7"/>
          <w:rtl/>
        </w:rPr>
        <w:footnoteRef/>
      </w:r>
      <w:r>
        <w:rPr>
          <w:rtl/>
        </w:rPr>
        <w:t xml:space="preserve"> </w:t>
      </w:r>
      <w:r>
        <w:rPr>
          <w:rFonts w:hAnsi="Courier New"/>
          <w:b/>
          <w:bCs/>
          <w:rtl/>
        </w:rPr>
        <w:t>תאמי צביה.</w:t>
      </w:r>
      <w:r>
        <w:rPr>
          <w:rFonts w:hAnsi="Courier New"/>
          <w:rtl/>
        </w:rPr>
        <w:t xml:space="preserve"> שב' הלוחות היו שוות תאמי צביה:</w:t>
      </w:r>
    </w:p>
  </w:footnote>
  <w:footnote w:id="5780">
    <w:p w:rsidR="00A13282" w:rsidRDefault="00A13282" w:rsidP="006F705A">
      <w:pPr>
        <w:pStyle w:val="a5"/>
        <w:rPr>
          <w:rtl/>
        </w:rPr>
      </w:pPr>
      <w:r>
        <w:rPr>
          <w:rStyle w:val="a7"/>
          <w:rtl/>
        </w:rPr>
        <w:footnoteRef/>
      </w:r>
      <w:r>
        <w:rPr>
          <w:rtl/>
        </w:rPr>
        <w:t xml:space="preserve"> </w:t>
      </w:r>
      <w:r>
        <w:rPr>
          <w:rFonts w:hAnsi="Courier New"/>
          <w:b/>
          <w:bCs/>
          <w:rtl/>
        </w:rPr>
        <w:t>ועוד ו' כו'.</w:t>
      </w:r>
      <w:r>
        <w:rPr>
          <w:rFonts w:hAnsi="Courier New"/>
          <w:rtl/>
        </w:rPr>
        <w:t xml:space="preserve"> מפרש והולך האיך התורה נכללת בהן, דו' הוא התורה, ועיין לעיל תיקון כ”ה והוא בשית פרקין דידין, והוא הוי"ה שלימה שהוא התורה והוא עם ב' שדים שהם ד' והם וייצר, שנצטיירה התורה כמו צורת הולד במ' יום, ואמר </w:t>
      </w:r>
      <w:r>
        <w:rPr>
          <w:rFonts w:hAnsi="Courier New"/>
          <w:b/>
          <w:bCs/>
          <w:rtl/>
        </w:rPr>
        <w:t>ואינון תרין בתולין כו'.</w:t>
      </w:r>
      <w:r>
        <w:rPr>
          <w:rFonts w:hAnsi="Courier New"/>
          <w:rtl/>
        </w:rPr>
        <w:t xml:space="preserve"> רוצה לומר ב' הלוחות שהן ב' בתולין גם כן, שהן חמוקי ירכיך, ובתולים הם שני מכסאות זה על זה, שלכן נאמר בתולים לשון רבים, וכן בבתוליה (יבמות נט ע"א), שבהן בערב היא באה בתולה ובבקר היא שבה בתולה ב' פעמים המייחדים, והיא בתולה ואיש לא ידעה כמו שאומר לעיל תיקון כ’, ואמר </w:t>
      </w:r>
      <w:r>
        <w:rPr>
          <w:rFonts w:hAnsi="Courier New"/>
          <w:b/>
          <w:bCs/>
          <w:rtl/>
        </w:rPr>
        <w:t>חתן דילה ההוא דאמר כו' לשלחה כל ימיו בגלותא</w:t>
      </w:r>
      <w:r>
        <w:rPr>
          <w:rFonts w:hAnsi="Courier New"/>
          <w:rtl/>
        </w:rPr>
        <w:t xml:space="preserve"> דבשביל ששיבר הלוחות - נגזר הגלותא, ומשה עמה לא יוכל, ויפסול שני לוחות, והוא הוציא שם רע שאמר (שמות לב יא) למה ה' יחרה אפך בעמך, ואינון לא עבדו, אלא הערב רב שקבל, ולכן בשביל זה נגזר עליו גלותא עד דיתמחון הערב רב שקבל, דבשבילם יצא שם רע על ישראל לשמצה בקמיהם (שמות לב כה). ועיין בזהר פ’ תצא רע"ו א' ב' ואורייתא דאתבריאת אתברי לוחין דילה דאינון משולים לבתולים כו' ובגין דאתמר בך כי הוציא שם רע על בתולת ישראל כו' עיין שם בדבריו, ואינון תרין בתולים וכנ"ל, ובגמרא דרשו בתולים תרין כדרכה ושלא כדרכה (כתובות צח ע"א), ובתרווייהו אינון ישראל בבתולים שלמים דלא עבדו כדרכה ושלא כדרכה, דהן שני מיני עבודות שחייבין עליהם, והן נמצאו שלמים בשניהם:</w:t>
      </w:r>
    </w:p>
  </w:footnote>
  <w:footnote w:id="5781">
    <w:p w:rsidR="00A13282" w:rsidRDefault="00A13282" w:rsidP="006F705A">
      <w:pPr>
        <w:pStyle w:val="a5"/>
        <w:rPr>
          <w:rtl/>
        </w:rPr>
      </w:pPr>
      <w:r>
        <w:rPr>
          <w:rStyle w:val="a7"/>
          <w:rtl/>
        </w:rPr>
        <w:footnoteRef/>
      </w:r>
      <w:r>
        <w:rPr>
          <w:rtl/>
        </w:rPr>
        <w:t xml:space="preserve"> </w:t>
      </w:r>
      <w:r>
        <w:rPr>
          <w:rFonts w:hAnsi="Courier New"/>
          <w:b/>
          <w:bCs/>
          <w:rtl/>
        </w:rPr>
        <w:t>שבחא דגופא זאת קומתך כו'.</w:t>
      </w:r>
      <w:r>
        <w:rPr>
          <w:rFonts w:hAnsi="Courier New"/>
          <w:rtl/>
        </w:rPr>
        <w:t xml:space="preserve"> כולל בטן ושרר כנ"ל:</w:t>
      </w:r>
    </w:p>
  </w:footnote>
  <w:footnote w:id="5782">
    <w:p w:rsidR="00A13282" w:rsidRDefault="00A13282" w:rsidP="006F705A">
      <w:pPr>
        <w:pStyle w:val="a5"/>
        <w:rPr>
          <w:rtl/>
        </w:rPr>
      </w:pPr>
      <w:r>
        <w:rPr>
          <w:rStyle w:val="a7"/>
          <w:rtl/>
        </w:rPr>
        <w:footnoteRef/>
      </w:r>
      <w:r>
        <w:rPr>
          <w:rtl/>
        </w:rPr>
        <w:t xml:space="preserve"> </w:t>
      </w:r>
      <w:r>
        <w:rPr>
          <w:rFonts w:hAnsi="Courier New"/>
          <w:b/>
          <w:bCs/>
          <w:rtl/>
        </w:rPr>
        <w:t>דאיהו ו'.</w:t>
      </w:r>
      <w:r>
        <w:rPr>
          <w:rFonts w:hAnsi="Courier New"/>
          <w:rtl/>
        </w:rPr>
        <w:t xml:space="preserve"> רוצה לומר, ו' הוא עלמא דאתי, ה' הוא עלמא דין, כמו שאומר ברעיא מהימנא פ' ויקרא ושאר מקומות, וקומה הוא ו' דביה שיעור קומה כמו שאומר לעיל ריש תיקון י”ט, וצורת הקומה הוא ו', והוא תפארת ו', ועיין ריש פ’ בראשית וריש פ’ תצוה בארוכה. ואמר </w:t>
      </w:r>
      <w:r>
        <w:rPr>
          <w:rFonts w:hAnsi="Courier New"/>
          <w:b/>
          <w:bCs/>
          <w:rtl/>
        </w:rPr>
        <w:t xml:space="preserve">דאתמר ביה מקוה כו'. </w:t>
      </w:r>
      <w:r>
        <w:rPr>
          <w:rFonts w:hAnsi="Courier New"/>
          <w:rtl/>
        </w:rPr>
        <w:t xml:space="preserve">רוצה לומר דמקוה הוא אותיות קומה, ונאמר ה' דהוא ו' בעלה. ואמר </w:t>
      </w:r>
      <w:r>
        <w:rPr>
          <w:rFonts w:hAnsi="Courier New"/>
          <w:b/>
          <w:bCs/>
          <w:rtl/>
        </w:rPr>
        <w:t>שיעור דילה</w:t>
      </w:r>
      <w:r>
        <w:rPr>
          <w:rFonts w:hAnsi="Courier New"/>
          <w:rtl/>
        </w:rPr>
        <w:t xml:space="preserve"> כמו שאומר שם איהי שיעורא כו' ואיהי שיעורא כו', ושיעור הוא עשר ו', ו' דאתכללא בעשר שהם ששים בעמודא דאמצעיתא כמו שאומר לעיל ק"ג ב', והתכללות הזה הוא בצדיק דביה יוד, וכמו שאומר שם וביה אתכללא כו' השיעור וקומה, וזה שאומר </w:t>
      </w:r>
      <w:r>
        <w:rPr>
          <w:rFonts w:hAnsi="Courier New"/>
          <w:b/>
          <w:bCs/>
          <w:rtl/>
        </w:rPr>
        <w:t>שיעור</w:t>
      </w:r>
      <w:r>
        <w:rPr>
          <w:rFonts w:hAnsi="Courier New"/>
          <w:rtl/>
        </w:rPr>
        <w:t xml:space="preserve"> </w:t>
      </w:r>
      <w:r>
        <w:rPr>
          <w:rFonts w:hAnsi="Courier New"/>
          <w:b/>
          <w:bCs/>
          <w:rtl/>
        </w:rPr>
        <w:t>קומה דא כו'.</w:t>
      </w:r>
      <w:r>
        <w:rPr>
          <w:rFonts w:hAnsi="Courier New"/>
          <w:rtl/>
        </w:rPr>
        <w:t xml:space="preserve"> רוצה לומר כמו שמפרש והולך דכתיב דמתה לתמר:</w:t>
      </w:r>
    </w:p>
  </w:footnote>
  <w:footnote w:id="5783">
    <w:p w:rsidR="00A13282" w:rsidRDefault="00A13282" w:rsidP="006F705A">
      <w:pPr>
        <w:pStyle w:val="a5"/>
        <w:rPr>
          <w:rtl/>
        </w:rPr>
      </w:pPr>
      <w:r>
        <w:rPr>
          <w:rStyle w:val="a7"/>
          <w:rtl/>
        </w:rPr>
        <w:footnoteRef/>
      </w:r>
      <w:r>
        <w:rPr>
          <w:rtl/>
        </w:rPr>
        <w:t xml:space="preserve"> </w:t>
      </w:r>
      <w:r>
        <w:rPr>
          <w:rFonts w:hAnsi="Courier New"/>
          <w:b/>
          <w:bCs/>
          <w:rtl/>
        </w:rPr>
        <w:t>ושם כו'.</w:t>
      </w:r>
      <w:r>
        <w:rPr>
          <w:rFonts w:hAnsi="Courier New"/>
          <w:rtl/>
        </w:rPr>
        <w:t xml:space="preserve"> רוצה לומר דהכל ע"ב, הידים והרגלים דכלילין בגופא - י"ב הן, פרקין דלהון בכל אחד ג' - י"ב שבטין דמתחמן בצדיק, וע"ב - בי"ג פרקין וה' אצבעין, ד' פעמים ח"י, שהן נגד י"ג חוליין וה' קשרים כמו שאומר ברעיא מהימנא פ' פנחס, ופרק התחתון דגודל לא חשיב - שאינו בסדרן, כמו שכתבתי למעלה מזה בארוכה:</w:t>
      </w:r>
    </w:p>
  </w:footnote>
  <w:footnote w:id="5784">
    <w:p w:rsidR="00A13282" w:rsidRDefault="00A13282" w:rsidP="006F705A">
      <w:pPr>
        <w:pStyle w:val="a5"/>
        <w:rPr>
          <w:rtl/>
        </w:rPr>
      </w:pPr>
      <w:r>
        <w:rPr>
          <w:rStyle w:val="a7"/>
          <w:rtl/>
        </w:rPr>
        <w:footnoteRef/>
      </w:r>
      <w:r>
        <w:rPr>
          <w:rtl/>
        </w:rPr>
        <w:t xml:space="preserve"> </w:t>
      </w:r>
      <w:r>
        <w:rPr>
          <w:rFonts w:hAnsi="Courier New"/>
          <w:b/>
          <w:bCs/>
          <w:rtl/>
        </w:rPr>
        <w:t>וכלולהון אתכלילו בצדיק.</w:t>
      </w:r>
      <w:r>
        <w:rPr>
          <w:rFonts w:hAnsi="Courier New"/>
          <w:rtl/>
        </w:rPr>
        <w:t xml:space="preserve"> שנקרא ח"י עלמין, ד' פעמים הן ע"ב, ויכולו - דכלילן בצדיק כמו שאומר לעיל תיקון כ”ב, והן ע' תמרים - צדיק כתמר יפרח, והן ח"י הויו"ת שע"י הצדיק חי ואזיל בתוקפא לימא:</w:t>
      </w:r>
    </w:p>
  </w:footnote>
  <w:footnote w:id="5785">
    <w:p w:rsidR="00A13282" w:rsidRDefault="00A13282" w:rsidP="006F705A">
      <w:pPr>
        <w:pStyle w:val="a5"/>
        <w:rPr>
          <w:rtl/>
        </w:rPr>
      </w:pPr>
      <w:r>
        <w:rPr>
          <w:rStyle w:val="a7"/>
          <w:rtl/>
        </w:rPr>
        <w:footnoteRef/>
      </w:r>
      <w:r>
        <w:rPr>
          <w:rtl/>
        </w:rPr>
        <w:t xml:space="preserve"> </w:t>
      </w:r>
      <w:r>
        <w:rPr>
          <w:rFonts w:hAnsi="Courier New"/>
          <w:b/>
          <w:bCs/>
          <w:rtl/>
        </w:rPr>
        <w:t>יפרח בהו מה יפו כו'.</w:t>
      </w:r>
      <w:r>
        <w:rPr>
          <w:rFonts w:hAnsi="Courier New"/>
          <w:rtl/>
        </w:rPr>
        <w:t xml:space="preserve"> מפרש והולך הפרשה:</w:t>
      </w:r>
    </w:p>
  </w:footnote>
  <w:footnote w:id="5786">
    <w:p w:rsidR="00A13282" w:rsidRDefault="00A13282" w:rsidP="006F705A">
      <w:pPr>
        <w:pStyle w:val="a5"/>
        <w:rPr>
          <w:rtl/>
        </w:rPr>
      </w:pPr>
      <w:r>
        <w:rPr>
          <w:rStyle w:val="a7"/>
          <w:rtl/>
        </w:rPr>
        <w:footnoteRef/>
      </w:r>
      <w:r>
        <w:rPr>
          <w:rtl/>
        </w:rPr>
        <w:t xml:space="preserve"> </w:t>
      </w:r>
      <w:r>
        <w:rPr>
          <w:rFonts w:hAnsi="Courier New"/>
          <w:b/>
          <w:bCs/>
          <w:rtl/>
        </w:rPr>
        <w:t>בת נדיב נעילה דילה נעילת החג כו'.</w:t>
      </w:r>
      <w:r>
        <w:rPr>
          <w:rFonts w:hAnsi="Courier New"/>
          <w:rtl/>
        </w:rPr>
        <w:t xml:space="preserve"> ול"ג נעילת הסנדל, ורוצה לומר כמו שאמרו (סוכה מט ע"ב) מה יפו פעמיך כו' בשעה שעולין לרגל, ונעלים הוא נעילת החג שננעלין בעזרה, והוא נעלים דילה שישראל מתלבשין בהן, ואסור שם בנעילת הסנדל כמו שמפרש והולך </w:t>
      </w:r>
      <w:r>
        <w:rPr>
          <w:rFonts w:hAnsi="Courier New"/>
          <w:b/>
          <w:bCs/>
          <w:rtl/>
        </w:rPr>
        <w:t>ולא</w:t>
      </w:r>
      <w:r>
        <w:rPr>
          <w:rFonts w:hAnsi="Courier New"/>
          <w:rtl/>
        </w:rPr>
        <w:t xml:space="preserve"> </w:t>
      </w:r>
      <w:r>
        <w:rPr>
          <w:rFonts w:hAnsi="Courier New"/>
          <w:b/>
          <w:bCs/>
          <w:rtl/>
        </w:rPr>
        <w:t>צריך לאתחזאה קדמ' נעלי' דחול כו'.</w:t>
      </w:r>
      <w:r>
        <w:rPr>
          <w:rFonts w:hAnsi="Courier New"/>
          <w:rtl/>
        </w:rPr>
        <w:t xml:space="preserve"> דשני הנעלים הן שאור וחמץ כמו שמפרש והולך, דחמץ הוא נועל הה"א דמצה, והנעלים הן נעל וסנדל, ב' נעלים שהן במט"ט וסנד"ל, שמט"ט תופר נעלים, ובהון סביב דילה:</w:t>
      </w:r>
    </w:p>
  </w:footnote>
  <w:footnote w:id="5787">
    <w:p w:rsidR="00A13282" w:rsidRDefault="00A13282" w:rsidP="006F705A">
      <w:pPr>
        <w:pStyle w:val="a5"/>
        <w:rPr>
          <w:rtl/>
        </w:rPr>
      </w:pPr>
      <w:r>
        <w:rPr>
          <w:rStyle w:val="a7"/>
          <w:rtl/>
        </w:rPr>
        <w:footnoteRef/>
      </w:r>
      <w:r>
        <w:rPr>
          <w:rtl/>
        </w:rPr>
        <w:t xml:space="preserve"> </w:t>
      </w:r>
      <w:r>
        <w:rPr>
          <w:rFonts w:hAnsi="Courier New"/>
          <w:b/>
          <w:bCs/>
          <w:rtl/>
        </w:rPr>
        <w:t>שאור ודבש.</w:t>
      </w:r>
      <w:r>
        <w:rPr>
          <w:rFonts w:hAnsi="Courier New"/>
          <w:rtl/>
        </w:rPr>
        <w:t xml:space="preserve"> דו"נ, אבל נעלים דידה, דבריאה - קדש, אדמת קדש הוא:</w:t>
      </w:r>
    </w:p>
  </w:footnote>
  <w:footnote w:id="5788">
    <w:p w:rsidR="00A13282" w:rsidRDefault="00A13282" w:rsidP="006F705A">
      <w:pPr>
        <w:pStyle w:val="a5"/>
        <w:rPr>
          <w:rtl/>
        </w:rPr>
      </w:pPr>
      <w:r>
        <w:rPr>
          <w:rStyle w:val="a7"/>
          <w:rtl/>
        </w:rPr>
        <w:footnoteRef/>
      </w:r>
      <w:r>
        <w:rPr>
          <w:rtl/>
        </w:rPr>
        <w:t xml:space="preserve"> </w:t>
      </w:r>
      <w:r>
        <w:rPr>
          <w:rFonts w:hAnsi="Courier New"/>
          <w:b/>
          <w:bCs/>
          <w:rtl/>
        </w:rPr>
        <w:t>הא ציון כו'.</w:t>
      </w:r>
      <w:r>
        <w:rPr>
          <w:rFonts w:hAnsi="Courier New"/>
          <w:rtl/>
        </w:rPr>
        <w:t xml:space="preserve"> דסיים כל קישוטין דילה, ואמר ציון כו' כמו שמפרש והולך חזה ציון קרית כו' כמו שכתוב ונחזה בך:</w:t>
      </w:r>
    </w:p>
  </w:footnote>
  <w:footnote w:id="5789">
    <w:p w:rsidR="00A13282" w:rsidRDefault="00A13282" w:rsidP="006F705A">
      <w:pPr>
        <w:pStyle w:val="a5"/>
        <w:rPr>
          <w:rtl/>
        </w:rPr>
      </w:pPr>
      <w:r>
        <w:rPr>
          <w:rStyle w:val="a7"/>
          <w:rtl/>
        </w:rPr>
        <w:footnoteRef/>
      </w:r>
      <w:r>
        <w:rPr>
          <w:rtl/>
        </w:rPr>
        <w:t xml:space="preserve"> </w:t>
      </w:r>
      <w:r>
        <w:rPr>
          <w:rFonts w:hAnsi="Courier New"/>
          <w:b/>
          <w:bCs/>
          <w:rtl/>
        </w:rPr>
        <w:t>חתונתו שכינתא עלאה.</w:t>
      </w:r>
      <w:r>
        <w:rPr>
          <w:rFonts w:hAnsi="Courier New"/>
          <w:rtl/>
        </w:rPr>
        <w:t xml:space="preserve"> חופה דיליה כנ"ל:</w:t>
      </w:r>
    </w:p>
  </w:footnote>
  <w:footnote w:id="5790">
    <w:p w:rsidR="00A13282" w:rsidRDefault="00A13282" w:rsidP="006F705A">
      <w:pPr>
        <w:pStyle w:val="a5"/>
        <w:rPr>
          <w:rtl/>
        </w:rPr>
      </w:pPr>
      <w:r>
        <w:rPr>
          <w:rStyle w:val="a7"/>
          <w:rtl/>
        </w:rPr>
        <w:footnoteRef/>
      </w:r>
      <w:r>
        <w:rPr>
          <w:rtl/>
        </w:rPr>
        <w:t xml:space="preserve"> </w:t>
      </w:r>
      <w:r>
        <w:rPr>
          <w:rFonts w:hAnsi="Courier New"/>
          <w:b/>
          <w:bCs/>
          <w:rtl/>
        </w:rPr>
        <w:t>ביום כו'.</w:t>
      </w:r>
      <w:r>
        <w:rPr>
          <w:rFonts w:hAnsi="Courier New"/>
          <w:rtl/>
        </w:rPr>
        <w:t xml:space="preserve"> שהוא נקרא יום, ונאמר בשניהם יום - שמתייחד עם שניהן כידוע:</w:t>
      </w:r>
    </w:p>
  </w:footnote>
  <w:footnote w:id="5791">
    <w:p w:rsidR="00A13282" w:rsidRDefault="00A13282" w:rsidP="006F705A">
      <w:pPr>
        <w:pStyle w:val="a5"/>
        <w:rPr>
          <w:rFonts w:hAnsi="Courier New"/>
          <w:rtl/>
        </w:rPr>
      </w:pPr>
      <w:r>
        <w:rPr>
          <w:rStyle w:val="a7"/>
          <w:rtl/>
        </w:rPr>
        <w:footnoteRef/>
      </w:r>
      <w:r>
        <w:rPr>
          <w:rtl/>
        </w:rPr>
        <w:t xml:space="preserve"> </w:t>
      </w:r>
      <w:r>
        <w:rPr>
          <w:rFonts w:hAnsi="Courier New"/>
          <w:b/>
          <w:bCs/>
          <w:rtl/>
        </w:rPr>
        <w:t>ברא דמלכא.</w:t>
      </w:r>
      <w:r>
        <w:rPr>
          <w:rFonts w:hAnsi="Courier New"/>
          <w:rtl/>
        </w:rPr>
        <w:t xml:space="preserve"> לקשר תיקון ז' (דלהלן) כמו שאומר שם:</w:t>
      </w:r>
    </w:p>
    <w:p w:rsidR="00A13282" w:rsidRDefault="00A13282" w:rsidP="006F705A">
      <w:pPr>
        <w:pStyle w:val="a5"/>
        <w:rPr>
          <w:rtl/>
        </w:rPr>
      </w:pPr>
    </w:p>
  </w:footnote>
  <w:footnote w:id="5792">
    <w:p w:rsidR="00A13282" w:rsidRDefault="00A13282" w:rsidP="006F705A">
      <w:pPr>
        <w:pStyle w:val="a5"/>
        <w:rPr>
          <w:rtl/>
        </w:rPr>
      </w:pPr>
      <w:r>
        <w:rPr>
          <w:rStyle w:val="a7"/>
          <w:rtl/>
        </w:rPr>
        <w:footnoteRef/>
      </w:r>
      <w:r>
        <w:rPr>
          <w:rtl/>
        </w:rPr>
        <w:t xml:space="preserve"> </w:t>
      </w:r>
      <w:r>
        <w:rPr>
          <w:rFonts w:hAnsi="Courier New"/>
          <w:b/>
          <w:bCs/>
          <w:rtl/>
        </w:rPr>
        <w:t>תיקון ז, בראשית כו' או"א ברא ברא דאו"א כו'.</w:t>
      </w:r>
      <w:r>
        <w:rPr>
          <w:rFonts w:hAnsi="Courier New"/>
          <w:rtl/>
        </w:rPr>
        <w:t xml:space="preserve"> רוצה לומר, בראשית הוא או"א כמו שאומר בריש פ’ בראשית ט"ו א' ב', ולמעלה ריש תיקון ה’, ב' ראשית נקודה בהיכליה, וברא הוא ברא דלהון, ואלקים - ברתא, והוא הוי"ה שלימה, וזה שאומר למעלה ברא דמלכא ודא איהו כו', לרמוז במלת בראשית:</w:t>
      </w:r>
    </w:p>
  </w:footnote>
  <w:footnote w:id="5793">
    <w:p w:rsidR="00A13282" w:rsidRDefault="00A13282" w:rsidP="006F705A">
      <w:pPr>
        <w:pStyle w:val="a5"/>
        <w:rPr>
          <w:rtl/>
        </w:rPr>
      </w:pPr>
      <w:r>
        <w:rPr>
          <w:rStyle w:val="a7"/>
          <w:rtl/>
        </w:rPr>
        <w:footnoteRef/>
      </w:r>
      <w:r>
        <w:rPr>
          <w:rtl/>
        </w:rPr>
        <w:t xml:space="preserve"> </w:t>
      </w:r>
      <w:r>
        <w:rPr>
          <w:rFonts w:hAnsi="Courier New"/>
          <w:b/>
          <w:bCs/>
          <w:rtl/>
        </w:rPr>
        <w:t>אלקים ברתא ואינון או"א דילן ועלייהו אתמר כו'.</w:t>
      </w:r>
      <w:r>
        <w:rPr>
          <w:rFonts w:hAnsi="Courier New"/>
          <w:rtl/>
        </w:rPr>
        <w:t xml:space="preserve"> כמו שאומר לעיל ע"ז ב' פקודא קדמאה כו' ורחימו, איש אמו ואביו תיראו מסטרא דדחילו, כבד את אביך ואת אמך מסטרא דרחימו, ותרווייהו אינון זכור ושמור, תפילין דראש ותפילין דיד כו', או"א תפילין דמארי עלמא, קב"ה ושכינתא דאינון ברא וברתא אינון תפילין דילן, וזה שאומר דחילו דילה כו' אוקירו כו', ועיין לעיל סוף תיקון ל”ו ומרחימו ודחילו אתייהיבו פקודין דעשה ולא תעשה כו' דחילו כו' רחימו כו' עיין שם:</w:t>
      </w:r>
    </w:p>
  </w:footnote>
  <w:footnote w:id="5794">
    <w:p w:rsidR="00A13282" w:rsidRDefault="00A13282" w:rsidP="006F705A">
      <w:pPr>
        <w:pStyle w:val="a5"/>
        <w:rPr>
          <w:rtl/>
        </w:rPr>
      </w:pPr>
      <w:r>
        <w:rPr>
          <w:rStyle w:val="a7"/>
          <w:rtl/>
        </w:rPr>
        <w:footnoteRef/>
      </w:r>
      <w:r>
        <w:rPr>
          <w:rtl/>
        </w:rPr>
        <w:t xml:space="preserve"> </w:t>
      </w:r>
      <w:r>
        <w:rPr>
          <w:rFonts w:hAnsi="Courier New"/>
          <w:b/>
          <w:bCs/>
          <w:rtl/>
        </w:rPr>
        <w:t>מרעין בישין דאינון ע"ר.</w:t>
      </w:r>
      <w:r>
        <w:rPr>
          <w:rFonts w:hAnsi="Courier New"/>
          <w:rtl/>
        </w:rPr>
        <w:t xml:space="preserve"> רוצה לומר כמו שאמרו (יבמות קט ע"ב) שקשין לישראל כספחת נגע צרעת:</w:t>
      </w:r>
    </w:p>
  </w:footnote>
  <w:footnote w:id="5795">
    <w:p w:rsidR="00A13282" w:rsidRDefault="00A13282" w:rsidP="006F705A">
      <w:pPr>
        <w:pStyle w:val="a5"/>
        <w:rPr>
          <w:rtl/>
        </w:rPr>
      </w:pPr>
      <w:r>
        <w:rPr>
          <w:rStyle w:val="a7"/>
          <w:rtl/>
        </w:rPr>
        <w:footnoteRef/>
      </w:r>
      <w:r>
        <w:rPr>
          <w:rtl/>
        </w:rPr>
        <w:t xml:space="preserve"> </w:t>
      </w:r>
      <w:r>
        <w:rPr>
          <w:rFonts w:hAnsi="Courier New"/>
          <w:b/>
          <w:bCs/>
          <w:rtl/>
        </w:rPr>
        <w:t>ישראל מסט' דההוא נער כו'.</w:t>
      </w:r>
      <w:r>
        <w:rPr>
          <w:rFonts w:hAnsi="Courier New"/>
          <w:rtl/>
        </w:rPr>
        <w:t xml:space="preserve"> ורוצה לומר, וכי ימכור כו' הוא ישראל מסטרא דבת מלך דאיהי ברתא וזכה לא תצא כו', ועיין בריש פ’ משפטים ואם רעה כו' קאי אאינון דמסטרא דעבד ואמה נער וכורסייא אעפ"כ והפדה, משום דבגדו בה דהוא אורייתא, ופרשו השמלה, כמו שאומר בריש פ’ תצא:</w:t>
      </w:r>
    </w:p>
  </w:footnote>
  <w:footnote w:id="5796">
    <w:p w:rsidR="00A13282" w:rsidRDefault="00A13282" w:rsidP="006F705A">
      <w:pPr>
        <w:pStyle w:val="a5"/>
        <w:rPr>
          <w:rtl/>
        </w:rPr>
      </w:pPr>
      <w:r>
        <w:rPr>
          <w:rStyle w:val="a7"/>
          <w:rtl/>
        </w:rPr>
        <w:footnoteRef/>
      </w:r>
      <w:r>
        <w:rPr>
          <w:rtl/>
        </w:rPr>
        <w:t xml:space="preserve"> </w:t>
      </w:r>
      <w:r>
        <w:rPr>
          <w:rFonts w:hAnsi="Courier New"/>
          <w:b/>
          <w:bCs/>
          <w:rtl/>
        </w:rPr>
        <w:t>ועוד כו' ושפחה כו'.</w:t>
      </w:r>
      <w:r>
        <w:rPr>
          <w:rFonts w:hAnsi="Courier New"/>
          <w:rtl/>
        </w:rPr>
        <w:t xml:space="preserve"> באשה הגוף מושל על הנשמה:</w:t>
      </w:r>
    </w:p>
  </w:footnote>
  <w:footnote w:id="5797">
    <w:p w:rsidR="00A13282" w:rsidRDefault="00A13282" w:rsidP="006F705A">
      <w:pPr>
        <w:pStyle w:val="a5"/>
        <w:rPr>
          <w:rFonts w:hAnsi="Courier New"/>
          <w:rtl/>
        </w:rPr>
      </w:pPr>
      <w:r>
        <w:rPr>
          <w:rStyle w:val="a7"/>
          <w:rtl/>
        </w:rPr>
        <w:footnoteRef/>
      </w:r>
      <w:r>
        <w:rPr>
          <w:rtl/>
        </w:rPr>
        <w:t xml:space="preserve"> </w:t>
      </w:r>
      <w:r>
        <w:rPr>
          <w:rFonts w:hAnsi="Courier New"/>
          <w:b/>
          <w:bCs/>
          <w:rtl/>
        </w:rPr>
        <w:t>דאינון משותפין עם גופא.</w:t>
      </w:r>
      <w:r>
        <w:rPr>
          <w:rFonts w:hAnsi="Courier New"/>
          <w:rtl/>
        </w:rPr>
        <w:t xml:space="preserve"> דנקראים עבד ושפחה כנ"ל:</w:t>
      </w:r>
    </w:p>
    <w:p w:rsidR="00A13282" w:rsidRDefault="00A13282" w:rsidP="006F705A">
      <w:pPr>
        <w:pStyle w:val="a5"/>
        <w:rPr>
          <w:rtl/>
        </w:rPr>
      </w:pPr>
    </w:p>
  </w:footnote>
  <w:footnote w:id="5798">
    <w:p w:rsidR="00A13282" w:rsidRDefault="00A13282" w:rsidP="006F705A">
      <w:pPr>
        <w:pStyle w:val="a5"/>
        <w:rPr>
          <w:rtl/>
        </w:rPr>
      </w:pPr>
      <w:r>
        <w:rPr>
          <w:rStyle w:val="a7"/>
          <w:rtl/>
        </w:rPr>
        <w:footnoteRef/>
      </w:r>
      <w:r>
        <w:rPr>
          <w:rtl/>
        </w:rPr>
        <w:t xml:space="preserve"> </w:t>
      </w:r>
      <w:r>
        <w:rPr>
          <w:rFonts w:hAnsi="Courier New"/>
          <w:b/>
          <w:bCs/>
          <w:rtl/>
        </w:rPr>
        <w:t>תיקון ח, בראשית וכו' ואינון תרין כו'.</w:t>
      </w:r>
      <w:r>
        <w:rPr>
          <w:rFonts w:hAnsi="Courier New"/>
          <w:rtl/>
        </w:rPr>
        <w:t xml:space="preserve"> רוצה לומר, דבראשית אותיות באר, וברא הוא אותיות באר, ואינון תרין: הראשון הוא דרבו עליה, שהוא באר שית, דשית סטרין שהן ששה דחשיב: אלו מטהרין כו' ג' דימינא כשר טהור מותר, ודשמאלא - פסול כו', שהוא דעץ הדעת טוב ורע, וכמו שאומר למעלה; והשביעית היא יו"ד מסתתרת בתוך הוא"ו כמו שאומר לעיל תיקון ל”ו, והיא בת מלך פנימה, כלת משה, הלכה למשה מסיני, דעלה אין מחלוקת, והוא באר דמשה, וישב עליה (שמות ב טו), כמו שכתוב (דברים ט ט) ואשב בהר, עליה - בשבילה, ושם (שמות ב כ) קראן לו ויאכל לחם, והוא ברא אלקים. ואמר באר חפרוה שרים כו' שהן דכרוה אבהן, וכל החפירות הוא בשביל התורה שבעל פה, ואברהם חפרה והוציא המעין, וסתמוה, ונשאר המעין רק הבאר נסתם, וחפרה יצחק אבל לא היו נוזלים הרבה, עד שבא יעקב (בראשית כט י) ויגל את האבן מעל פי הבאר ולא הוצרך לאבן שנתרבו המים, וזה שכתוב (שה"ש ד טו) מעין גנים באר מים חיים ונוזלים מן לבנון:</w:t>
      </w:r>
    </w:p>
  </w:footnote>
  <w:footnote w:id="5799">
    <w:p w:rsidR="00A13282" w:rsidRDefault="00A13282" w:rsidP="006F705A">
      <w:pPr>
        <w:pStyle w:val="a5"/>
        <w:rPr>
          <w:rtl/>
        </w:rPr>
      </w:pPr>
      <w:r>
        <w:rPr>
          <w:rStyle w:val="a7"/>
          <w:rtl/>
        </w:rPr>
        <w:footnoteRef/>
      </w:r>
      <w:r>
        <w:rPr>
          <w:rtl/>
        </w:rPr>
        <w:t xml:space="preserve"> </w:t>
      </w:r>
      <w:r>
        <w:rPr>
          <w:rFonts w:hAnsi="Courier New"/>
          <w:b/>
          <w:bCs/>
          <w:rtl/>
        </w:rPr>
        <w:t>תיקון ט, בראשית באר דשית סטרין כו'.</w:t>
      </w:r>
      <w:r>
        <w:rPr>
          <w:rFonts w:hAnsi="Courier New"/>
          <w:rtl/>
        </w:rPr>
        <w:t xml:space="preserve"> הוא תיקון אחד עם הקודם:</w:t>
      </w:r>
    </w:p>
  </w:footnote>
  <w:footnote w:id="5800">
    <w:p w:rsidR="00A13282" w:rsidRDefault="00A13282" w:rsidP="006F705A">
      <w:pPr>
        <w:pStyle w:val="a5"/>
        <w:rPr>
          <w:rtl/>
        </w:rPr>
      </w:pPr>
      <w:r>
        <w:rPr>
          <w:rStyle w:val="a7"/>
          <w:rtl/>
        </w:rPr>
        <w:footnoteRef/>
      </w:r>
      <w:r>
        <w:rPr>
          <w:rtl/>
        </w:rPr>
        <w:t xml:space="preserve"> </w:t>
      </w:r>
      <w:r>
        <w:rPr>
          <w:rFonts w:hAnsi="Courier New"/>
          <w:b/>
          <w:bCs/>
          <w:rtl/>
        </w:rPr>
        <w:t>או"א חכמה כ"ח מ"ה ועלה אתמר ועתה יגדל כו'.</w:t>
      </w:r>
      <w:r>
        <w:rPr>
          <w:rFonts w:hAnsi="Courier New"/>
          <w:rtl/>
        </w:rPr>
        <w:t xml:space="preserve"> עיין לעיל סוף תיקון כ”ב דאו"א נחתין בב' ידין דבהון כ"ח פרקין ובהון חפרוה שרים דאינון או"א בב' ידים, והוא כ"ח אתוון דפסוק ראשון דבראשית, כח מעשיו כו' (תהלים קיא ו):</w:t>
      </w:r>
    </w:p>
  </w:footnote>
  <w:footnote w:id="5801">
    <w:p w:rsidR="00A13282" w:rsidRDefault="00A13282" w:rsidP="006F705A">
      <w:pPr>
        <w:pStyle w:val="a5"/>
        <w:rPr>
          <w:rFonts w:hAnsi="Courier New"/>
          <w:rtl/>
        </w:rPr>
      </w:pPr>
      <w:r>
        <w:rPr>
          <w:rStyle w:val="a7"/>
          <w:rtl/>
        </w:rPr>
        <w:footnoteRef/>
      </w:r>
      <w:r>
        <w:rPr>
          <w:rtl/>
        </w:rPr>
        <w:t xml:space="preserve"> </w:t>
      </w:r>
      <w:r>
        <w:rPr>
          <w:rFonts w:hAnsi="Courier New"/>
          <w:b/>
          <w:bCs/>
          <w:rtl/>
        </w:rPr>
        <w:t>ומשנה כו' וברייתא כו'.</w:t>
      </w:r>
      <w:r>
        <w:rPr>
          <w:rFonts w:hAnsi="Courier New"/>
          <w:rtl/>
        </w:rPr>
        <w:t xml:space="preserve"> דבת מלך, הלכה למשה מסיני, הוא באצילות. ומשנה הוא אמה דילה - בבריאה, דשלטא בימי יהושע. וברייתא - במט"ט, ושפחה - שטנה הוא בעשיה. ואע"ג דבתיקון כ”ח אמרו דמשנה הוא שפחה דנער - כל זה בבריאה דו"ק מט"ט, ושם גם כן מט"ט ונוק' דיליה וכמה בחינות יש, וזה שאומר </w:t>
      </w:r>
      <w:r>
        <w:rPr>
          <w:rFonts w:hAnsi="Courier New"/>
          <w:b/>
          <w:bCs/>
          <w:rtl/>
        </w:rPr>
        <w:t>ואית שפחה שטנה כו' בעבודה קשה, דודאי דא איהו קושיא, ודא נחש עקלתון, בחמר דא ק"ו, זמנא איהו קל כו' כגוונא דגלי ימא כג"ד ב"נ אזיל בקושיא ברישא דמתניתין לסיפא ומסיפא לרישא.</w:t>
      </w:r>
      <w:r>
        <w:rPr>
          <w:rFonts w:hAnsi="Courier New"/>
          <w:rtl/>
        </w:rPr>
        <w:t xml:space="preserve"> </w:t>
      </w:r>
      <w:r>
        <w:rPr>
          <w:rFonts w:hAnsi="Courier New"/>
          <w:b/>
          <w:bCs/>
          <w:rtl/>
        </w:rPr>
        <w:t>ויחפרו באר אחרת כו' זו משנה, שפחה קדמאה, וברייתא - שפחה תנינא, אשר עבדו בהם בפרך דא פירכא, שפחה תליתאה, והכל תלוי עד שיבא אליהו. קם ינוקא כו'.</w:t>
      </w:r>
      <w:r>
        <w:rPr>
          <w:rFonts w:hAnsi="Courier New"/>
          <w:rtl/>
        </w:rPr>
        <w:t xml:space="preserve"> ואמר, אתרא דנחש דאיהו שטן, דרוצה לומר דלכן נאמר שטנה, נוק'. ובאר הראשון הוא עשק, והוא מחלוקת, והוא נחש בריח, כמו שכתוב (משלי יח יט) ומדינים כבריח ארמון, והוא זכר. והשני - שטנה, קושיא, נחש עקלתון, כמו שמפרש והולך דאתי ואזיל מרישא לסיפא, כמו זרקא מרישא לסיפא ומסיפא [לרישא], והוא נוק' קשה מאד, והוא עבודה קשה, וזה שאמרו (בבא בתרא עד ע"ב) ואף נחש בריח ונחש עקלתון זו"נ נבראו, והן גורמין קושיא ומחלוקת, ועיין לעיל ריש תיקון כ”א בחומר - ק"ו, בלבנים - ליבון הלכה, ובכל עבודה - ברייתא, את כל כו' - מתניתין, ובשניהן נאמר כל, שבהן נכללין הכל, ועליהן סובב הכל. בפרך הוא תיקו, וזה שאומר הכל תלוי כו'. ועקרם הן שלשה: מחלוקת וקושיא ותיקו. והן ג' אבות של שור, והן ג' עבודות: ובכל עבודה, את כל כו', אשר כו'. שהן ג' שפחות, אבל עבודה קשה הוא כלל. וכאן מפרש רחובות - על פסיקתא ותירוץ, והוא ענין אחד דהלכה למשה מסיני דאין קושיא, אבל הלכה למשה מסיני אין בהם בגלותא, דביה וימתקו המים, כמו שאומר לעיל תיקון כ”א. ואמר והכל תלוי כו', וזה שאומר ויאמר כו' אם בן כו' ואם בת כו' ועיין בתיקוני זהר חדש ע"ה ב':</w:t>
      </w:r>
    </w:p>
    <w:p w:rsidR="00A13282" w:rsidRDefault="00A13282" w:rsidP="006F705A">
      <w:pPr>
        <w:pStyle w:val="a5"/>
        <w:rPr>
          <w:rtl/>
        </w:rPr>
      </w:pPr>
    </w:p>
  </w:footnote>
  <w:footnote w:id="5802">
    <w:p w:rsidR="00A13282" w:rsidRDefault="00A13282" w:rsidP="006F705A">
      <w:pPr>
        <w:pStyle w:val="a5"/>
        <w:rPr>
          <w:rtl/>
        </w:rPr>
      </w:pPr>
      <w:r>
        <w:rPr>
          <w:rStyle w:val="a7"/>
          <w:rtl/>
        </w:rPr>
        <w:footnoteRef/>
      </w:r>
      <w:r>
        <w:rPr>
          <w:rtl/>
        </w:rPr>
        <w:t xml:space="preserve"> </w:t>
      </w:r>
      <w:r>
        <w:rPr>
          <w:rFonts w:hAnsi="Courier New"/>
          <w:b/>
          <w:bCs/>
          <w:rtl/>
        </w:rPr>
        <w:t>תיקון י בראשית כו'.</w:t>
      </w:r>
      <w:r>
        <w:rPr>
          <w:rFonts w:hAnsi="Courier New"/>
          <w:rtl/>
        </w:rPr>
        <w:t xml:space="preserve"> רוצה לומר, על כל דבר פשע - הוא הכולל כל הבבי, שכולן מדברין בזה:</w:t>
      </w:r>
    </w:p>
  </w:footnote>
  <w:footnote w:id="5803">
    <w:p w:rsidR="00A13282" w:rsidRDefault="00A13282" w:rsidP="006F705A">
      <w:pPr>
        <w:pStyle w:val="a5"/>
        <w:rPr>
          <w:rtl/>
        </w:rPr>
      </w:pPr>
      <w:r>
        <w:rPr>
          <w:rStyle w:val="a7"/>
          <w:rtl/>
        </w:rPr>
        <w:footnoteRef/>
      </w:r>
      <w:r>
        <w:rPr>
          <w:rtl/>
        </w:rPr>
        <w:t xml:space="preserve"> </w:t>
      </w:r>
      <w:r>
        <w:rPr>
          <w:rFonts w:hAnsi="Courier New"/>
          <w:b/>
          <w:bCs/>
          <w:rtl/>
        </w:rPr>
        <w:t>על שור על חמור על שה דא ב"ק על שלמה ע"כ אבדה אשר יאמר כי הוא זה דא ב"מ עד האלקים יבא דבר שניהם דא ב"ב.</w:t>
      </w:r>
      <w:r>
        <w:rPr>
          <w:rFonts w:hAnsi="Courier New"/>
          <w:rtl/>
        </w:rPr>
        <w:t xml:space="preserve"> כצ"ל ועיין בפ' בלק קצ"ח. וגם שם הוא בשבוש וצ"ל תניינא טלית דאשתכח ורזא דאבדה. תליתאה שותפין כו' על שלמה על כל אבדה כו' דא בבא מציעא כו'. ושור הוא ראשית בבא קמא, ואח"כ בור שנפל לתוכו שור וחמור, ואח"כ הכונס צאן כו', ולכן אמר צאן לישנא דקרא שה, ושלמה הוא פרק ראשון שנים אוחזין בטלית, וכל  אבדה הוא אלו מציאות, ועד האלקים יבא דבר שניהם הוא השותפין:</w:t>
      </w:r>
    </w:p>
  </w:footnote>
  <w:footnote w:id="5804">
    <w:p w:rsidR="00A13282" w:rsidRDefault="00A13282" w:rsidP="006F705A">
      <w:pPr>
        <w:pStyle w:val="a5"/>
        <w:rPr>
          <w:rtl/>
        </w:rPr>
      </w:pPr>
      <w:r>
        <w:rPr>
          <w:rStyle w:val="a7"/>
          <w:rtl/>
        </w:rPr>
        <w:footnoteRef/>
      </w:r>
      <w:r>
        <w:rPr>
          <w:rtl/>
        </w:rPr>
        <w:t xml:space="preserve"> </w:t>
      </w:r>
      <w:r>
        <w:rPr>
          <w:rFonts w:hAnsi="Courier New"/>
          <w:b/>
          <w:bCs/>
          <w:rtl/>
        </w:rPr>
        <w:t>על שור ביה מתוכחין כו'.</w:t>
      </w:r>
      <w:r>
        <w:rPr>
          <w:rFonts w:hAnsi="Courier New"/>
          <w:rtl/>
        </w:rPr>
        <w:t xml:space="preserve"> מפרש על תלמיד חכם, וכן אמר למטה בחמור, חמור איהו  בחומרי דמתניתין, ותלמיד חכם דשליט כו', דאית כנגדן בס"א קטרוגא דתלמיד חכם כמו שאומר בפ' משפטים, ואמר למטה רבצא בגופא על מאני כו' אלא תלמידי חכמים, וגורמין להן מחלוקת וקושיא כנ"ל בתיקון ט’, וכמו שאומר למטה חומרי דמתניתין כו' מחמר מתניתין, וכן שור נגח לון בקושיא כו', וזה שאומר </w:t>
      </w:r>
      <w:r>
        <w:rPr>
          <w:rFonts w:hAnsi="Courier New"/>
          <w:b/>
          <w:bCs/>
          <w:rtl/>
        </w:rPr>
        <w:t>ואית שור ואית כו'</w:t>
      </w:r>
      <w:r>
        <w:rPr>
          <w:rFonts w:hAnsi="Courier New"/>
          <w:rtl/>
        </w:rPr>
        <w:t xml:space="preserve"> רוצה לומר דקדושה, וכנגדן בס"א, וכן בחמור:</w:t>
      </w:r>
    </w:p>
  </w:footnote>
  <w:footnote w:id="5805">
    <w:p w:rsidR="00A13282" w:rsidRDefault="00A13282" w:rsidP="006F705A">
      <w:pPr>
        <w:pStyle w:val="a5"/>
        <w:rPr>
          <w:rtl/>
        </w:rPr>
      </w:pPr>
      <w:r>
        <w:rPr>
          <w:rStyle w:val="a7"/>
          <w:rtl/>
        </w:rPr>
        <w:footnoteRef/>
      </w:r>
      <w:r>
        <w:rPr>
          <w:rtl/>
        </w:rPr>
        <w:t xml:space="preserve"> </w:t>
      </w:r>
      <w:r>
        <w:rPr>
          <w:rFonts w:hAnsi="Courier New"/>
          <w:b/>
          <w:bCs/>
          <w:rtl/>
        </w:rPr>
        <w:t>ושור מועד ארבעה כו'.</w:t>
      </w:r>
      <w:r>
        <w:rPr>
          <w:rFonts w:hAnsi="Courier New"/>
          <w:rtl/>
        </w:rPr>
        <w:t xml:space="preserve"> אע"ג דאינון כללין משור מכל מקום הוא ראש לכולם, כמו שאמרו במתניתין השור, וכמו בקדושה שנא"ן, כן הוא בס"א ש'ב'מ'ה'. וזה שאומר וכולהו תליין מארבע כו' דאינון תולדות הקרן שהוא שור בקרן, ובמתניתין (ב"ק א ד) ובגמרא (ב"ק ב ע"ב) חשיב גם כן נגיפה אבל הוא כולל אותו ברביצה שהוא בגוף וכן נגיפה, וזה שאומר וגופא, והן ב' בראש וב' בגוף חוץ לראש, והוא קרן וחוץ לגוף רגל, ד' שכוללין כל השור, ועיין לעיל ס"ב ב' ולבתר נחית בחיה דשמ' שור כו' ה' ברישיה והוא בקרנוי, ו' בפומוי, ה' בגופיה, י' בזנביה והוא ברגל:</w:t>
      </w:r>
    </w:p>
  </w:footnote>
  <w:footnote w:id="5806">
    <w:p w:rsidR="00A13282" w:rsidRDefault="00A13282" w:rsidP="006F705A">
      <w:pPr>
        <w:pStyle w:val="a5"/>
        <w:rPr>
          <w:rtl/>
        </w:rPr>
      </w:pPr>
      <w:r>
        <w:rPr>
          <w:rStyle w:val="a7"/>
          <w:rtl/>
        </w:rPr>
        <w:footnoteRef/>
      </w:r>
      <w:r>
        <w:rPr>
          <w:rtl/>
        </w:rPr>
        <w:t xml:space="preserve"> </w:t>
      </w:r>
      <w:r>
        <w:rPr>
          <w:rFonts w:hAnsi="Courier New"/>
          <w:b/>
          <w:bCs/>
          <w:rtl/>
        </w:rPr>
        <w:t>חמור איהו חמור בחומרא דמתני'.</w:t>
      </w:r>
      <w:r>
        <w:rPr>
          <w:rFonts w:hAnsi="Courier New"/>
          <w:rtl/>
        </w:rPr>
        <w:t xml:space="preserve"> אותו שיגע בחומרא דמתניתין חמור ליה וזה שאומר </w:t>
      </w:r>
      <w:r>
        <w:rPr>
          <w:rFonts w:hAnsi="Courier New"/>
          <w:b/>
          <w:bCs/>
          <w:rtl/>
        </w:rPr>
        <w:t>ותלמיד חכם דשליט כו'</w:t>
      </w:r>
      <w:r>
        <w:rPr>
          <w:rFonts w:hAnsi="Courier New"/>
          <w:rtl/>
        </w:rPr>
        <w:t xml:space="preserve"> דאין חומר לפניו, ושליט על קליפה דחמור שהוא סותם מוחו שיהא חמור ליה, וזה שאומר </w:t>
      </w:r>
      <w:r>
        <w:rPr>
          <w:rFonts w:hAnsi="Courier New"/>
          <w:b/>
          <w:bCs/>
          <w:rtl/>
        </w:rPr>
        <w:t>אבל אחרא איהו כו'</w:t>
      </w:r>
      <w:r>
        <w:rPr>
          <w:rFonts w:hAnsi="Courier New"/>
          <w:rtl/>
        </w:rPr>
        <w:t xml:space="preserve"> אבל חכם מופלא - אין חומרא לפניו, וזהו חמור. ושור הוא קושיא ומחלוקת, שחמור הוא מצד עצמו חמור, אבל זה בקושיא [ומחלוקת בקרן הוא מחלוקת; וכן ברגל כו' דא רביצה - הוא תיקו, ורגל תיובתא, ורגל הוא בחומר כמו שכתוב (נחום ג יד) רמסי בחומר כו', ושן - נשיכה, אכיל ומהדק זו פירכא תיובתא:</w:t>
      </w:r>
    </w:p>
  </w:footnote>
  <w:footnote w:id="5807">
    <w:p w:rsidR="00A13282" w:rsidRDefault="00A13282" w:rsidP="006F705A">
      <w:pPr>
        <w:pStyle w:val="a5"/>
        <w:rPr>
          <w:rFonts w:hAnsi="Courier New"/>
          <w:rtl/>
        </w:rPr>
      </w:pPr>
      <w:r>
        <w:rPr>
          <w:rStyle w:val="a7"/>
          <w:rtl/>
        </w:rPr>
        <w:footnoteRef/>
      </w:r>
      <w:r>
        <w:rPr>
          <w:rtl/>
        </w:rPr>
        <w:t xml:space="preserve"> </w:t>
      </w:r>
      <w:r>
        <w:rPr>
          <w:rFonts w:hAnsi="Courier New"/>
          <w:b/>
          <w:bCs/>
          <w:rtl/>
        </w:rPr>
        <w:t xml:space="preserve">וכן ברגל תבר מאנין דאינון מועדים לקלקל כו' </w:t>
      </w:r>
      <w:r>
        <w:rPr>
          <w:rFonts w:hAnsi="Courier New"/>
          <w:rtl/>
        </w:rPr>
        <w:t>עד</w:t>
      </w:r>
      <w:r>
        <w:rPr>
          <w:rFonts w:hAnsi="Courier New"/>
          <w:b/>
          <w:bCs/>
          <w:rtl/>
        </w:rPr>
        <w:t xml:space="preserve"> ובלבנים </w:t>
      </w:r>
      <w:r>
        <w:rPr>
          <w:rFonts w:hAnsi="Courier New"/>
          <w:rtl/>
        </w:rPr>
        <w:t>ואח"כ</w:t>
      </w:r>
      <w:r>
        <w:rPr>
          <w:rFonts w:hAnsi="Courier New"/>
          <w:b/>
          <w:bCs/>
          <w:rtl/>
        </w:rPr>
        <w:t xml:space="preserve"> ובג"ד בשור כו' </w:t>
      </w:r>
      <w:r>
        <w:rPr>
          <w:rFonts w:hAnsi="Courier New"/>
          <w:rtl/>
        </w:rPr>
        <w:t>עד</w:t>
      </w:r>
      <w:r>
        <w:rPr>
          <w:rFonts w:hAnsi="Courier New"/>
          <w:b/>
          <w:bCs/>
          <w:rtl/>
        </w:rPr>
        <w:t xml:space="preserve"> משיחין ושלטין עלייהו.</w:t>
      </w:r>
      <w:r>
        <w:rPr>
          <w:rFonts w:hAnsi="Courier New"/>
          <w:rtl/>
        </w:rPr>
        <w:t xml:space="preserve"> וכן (דברים לג יז) בכור שורו כו', (זכריה ט ט) עני ורוכב כו' - נגד עשו (פירוש עמלק) וישמעאל, ועיין בזהר פ’ [תצא]:</w:t>
      </w:r>
    </w:p>
    <w:p w:rsidR="00A13282" w:rsidRDefault="00A13282" w:rsidP="006F705A">
      <w:pPr>
        <w:pStyle w:val="a5"/>
        <w:rPr>
          <w:rtl/>
        </w:rPr>
      </w:pPr>
    </w:p>
  </w:footnote>
  <w:footnote w:id="5808">
    <w:p w:rsidR="00A13282" w:rsidRDefault="00A13282" w:rsidP="006F705A">
      <w:pPr>
        <w:pStyle w:val="a5"/>
        <w:rPr>
          <w:rtl/>
        </w:rPr>
      </w:pPr>
      <w:r>
        <w:rPr>
          <w:rStyle w:val="a7"/>
          <w:rtl/>
        </w:rPr>
        <w:footnoteRef/>
      </w:r>
      <w:r>
        <w:rPr>
          <w:rtl/>
        </w:rPr>
        <w:t xml:space="preserve"> </w:t>
      </w:r>
      <w:r>
        <w:rPr>
          <w:rFonts w:hAnsi="Courier New"/>
          <w:b/>
          <w:bCs/>
          <w:rtl/>
        </w:rPr>
        <w:t>תיקון יא, בראשית, ואינון שית ימים ברא כו'.</w:t>
      </w:r>
      <w:r>
        <w:rPr>
          <w:rFonts w:hAnsi="Courier New"/>
          <w:rtl/>
        </w:rPr>
        <w:t xml:space="preserve"> כמו שאומר לעיל תיקון ע’ על שית היכלין - כן דריש כאן על שבעה ימים. כל הנחלים אינון שית נחלין. אל הים. הא שבע:</w:t>
      </w:r>
    </w:p>
  </w:footnote>
  <w:footnote w:id="5809">
    <w:p w:rsidR="00A13282" w:rsidRDefault="00A13282" w:rsidP="006F705A">
      <w:pPr>
        <w:pStyle w:val="a5"/>
        <w:rPr>
          <w:rtl/>
        </w:rPr>
      </w:pPr>
      <w:r>
        <w:rPr>
          <w:rStyle w:val="a7"/>
          <w:rtl/>
        </w:rPr>
        <w:footnoteRef/>
      </w:r>
      <w:r>
        <w:rPr>
          <w:rtl/>
        </w:rPr>
        <w:t xml:space="preserve"> </w:t>
      </w:r>
      <w:r>
        <w:rPr>
          <w:rFonts w:hAnsi="Courier New"/>
          <w:b/>
          <w:bCs/>
          <w:rtl/>
        </w:rPr>
        <w:t>וכלהו שאגין כו'.</w:t>
      </w:r>
      <w:r>
        <w:rPr>
          <w:rFonts w:hAnsi="Courier New"/>
          <w:rtl/>
        </w:rPr>
        <w:t xml:space="preserve"> כמו שכתוב (תהלים קד כא) הכפירים שואגים לטרף כו', ורוצה לומר מהשכינה דכתיב בה ותתן טרף כו' כמו שמפרש והולך, והן ז' נערות דילה, ז' נחלים דאזלין לימא כמו שמפרש והולך, והוא ים אוקיינוס כולל ז' ימין, דז' ימין בעולם לבד אוקיינוס, והוא ים אוקיינוס דכלילא מז' ימים שהן ז' היכלות דבריאה, ואינון הן שבעה נחלים ההולכים אל הים, ומסטרא דידה נקראו ימים ומסטרא דדכורא נקראו נחלים, והן היכלות כפולות ז' וז' מוצקות (זכריה ד ב) כמו שאומר לעיל תיקון כ”א ותיקון ע’ ועיין בפ' אחרי מות נ"ח א' דנחלין הן ו"ק דדכורא שהולכין אל הים נוק', וכן בפ' בראשית עיין שם ושם. והנחל הוא ו' משוך כנחל, וה' הוא ים, וכמו שאמרו (מנחות כט ע"ב) ה' פתוחה לקבל שבים וכמו שהים לעולם פתוחה כך תשובה (דברים רבה פ' ב), והוא ה' דאי הדר כו', וזה שאומר למטה </w:t>
      </w:r>
      <w:r>
        <w:rPr>
          <w:rFonts w:hAnsi="Courier New"/>
          <w:b/>
          <w:bCs/>
          <w:rtl/>
        </w:rPr>
        <w:t>דודאי ימא איהי ה"א, וא"ו איהו נחל דידה, וכל אינון דירתין נשמתין מן ימא ונחל דילה</w:t>
      </w:r>
      <w:r>
        <w:rPr>
          <w:rFonts w:hAnsi="Courier New"/>
          <w:rtl/>
        </w:rPr>
        <w:t xml:space="preserve"> שכל נשמתין הן מזו"נ, והן ו"ה, בדחילו ורחימו די"ק, ונשלם בהון הוי"ה:</w:t>
      </w:r>
    </w:p>
  </w:footnote>
  <w:footnote w:id="5810">
    <w:p w:rsidR="00A13282" w:rsidRDefault="00A13282" w:rsidP="006F705A">
      <w:pPr>
        <w:pStyle w:val="a5"/>
        <w:rPr>
          <w:rFonts w:hAnsi="Courier New"/>
          <w:rtl/>
        </w:rPr>
      </w:pPr>
      <w:r>
        <w:rPr>
          <w:rStyle w:val="a7"/>
          <w:rtl/>
        </w:rPr>
        <w:footnoteRef/>
      </w:r>
      <w:r>
        <w:rPr>
          <w:rtl/>
        </w:rPr>
        <w:t xml:space="preserve"> </w:t>
      </w:r>
      <w:r>
        <w:rPr>
          <w:rFonts w:hAnsi="Courier New"/>
          <w:bCs/>
          <w:rtl/>
        </w:rPr>
        <w:t>איהי קבילת לון.</w:t>
      </w:r>
      <w:r>
        <w:rPr>
          <w:rFonts w:hAnsi="Courier New"/>
          <w:rtl/>
        </w:rPr>
        <w:t xml:space="preserve"> והן שעוסקין בתורה ומצות בדחילו ורחימו:</w:t>
      </w:r>
    </w:p>
    <w:p w:rsidR="00A13282" w:rsidRDefault="00A13282" w:rsidP="006F705A">
      <w:pPr>
        <w:pStyle w:val="aff7"/>
        <w:jc w:val="center"/>
        <w:rPr>
          <w:rFonts w:hAnsi="Courier New" w:cs="Arial"/>
          <w:b/>
          <w:bCs/>
          <w:szCs w:val="24"/>
          <w:rtl/>
        </w:rPr>
      </w:pPr>
      <w:r>
        <w:rPr>
          <w:rFonts w:hAnsi="Courier New" w:cs="Arial"/>
          <w:b/>
          <w:bCs/>
          <w:szCs w:val="24"/>
          <w:rtl/>
        </w:rPr>
        <w:t>סליק בס"ד ביאור הגר"א ז"ל</w:t>
      </w:r>
    </w:p>
    <w:p w:rsidR="00A13282" w:rsidRDefault="00A13282" w:rsidP="006F705A">
      <w:pPr>
        <w:pStyle w:val="a5"/>
        <w:jc w:val="center"/>
        <w:rPr>
          <w:rtl/>
        </w:rPr>
      </w:pPr>
      <w:r>
        <w:rPr>
          <w:rFonts w:hAnsi="Courier New"/>
          <w:rtl/>
        </w:rPr>
        <w:t>בריך רחמנא דסייען:</w:t>
      </w:r>
    </w:p>
  </w:footnote>
  <w:footnote w:id="5811">
    <w:p w:rsidR="00007309" w:rsidRPr="00BD5E91" w:rsidRDefault="00007309" w:rsidP="00007309">
      <w:pPr>
        <w:pStyle w:val="a5"/>
        <w:rPr>
          <w:sz w:val="22"/>
          <w:szCs w:val="22"/>
        </w:rPr>
      </w:pPr>
      <w:r w:rsidRPr="00BD5E91">
        <w:rPr>
          <w:rStyle w:val="a7"/>
          <w:sz w:val="22"/>
          <w:szCs w:val="22"/>
        </w:rPr>
        <w:footnoteRef/>
      </w:r>
      <w:r w:rsidRPr="00BD5E91">
        <w:rPr>
          <w:sz w:val="22"/>
          <w:szCs w:val="22"/>
        </w:rPr>
        <w:t xml:space="preserve"> </w:t>
      </w:r>
      <w:r w:rsidRPr="00BD5E91">
        <w:rPr>
          <w:sz w:val="22"/>
          <w:szCs w:val="22"/>
          <w:rtl/>
        </w:rPr>
        <w:t xml:space="preserve"> </w:t>
      </w:r>
      <w:r w:rsidRPr="00BD5E91">
        <w:rPr>
          <w:b/>
          <w:bCs/>
          <w:sz w:val="22"/>
          <w:szCs w:val="22"/>
          <w:rtl/>
        </w:rPr>
        <w:t>ת"ח תרין תיבין כו'.</w:t>
      </w:r>
      <w:r w:rsidRPr="00BD5E91">
        <w:rPr>
          <w:sz w:val="22"/>
          <w:szCs w:val="22"/>
          <w:rtl/>
        </w:rPr>
        <w:t xml:space="preserve"> רוצה לומר שכל אחד מאלה שני התיבות שמפרש, דורשין לשני תיבות:</w:t>
      </w:r>
    </w:p>
  </w:footnote>
  <w:footnote w:id="5812">
    <w:p w:rsidR="00007309" w:rsidRPr="00BD5E91" w:rsidRDefault="00007309" w:rsidP="00007309">
      <w:pPr>
        <w:pStyle w:val="a5"/>
        <w:rPr>
          <w:sz w:val="22"/>
          <w:szCs w:val="22"/>
          <w:rtl/>
        </w:rPr>
      </w:pPr>
      <w:r w:rsidRPr="00BD5E91">
        <w:rPr>
          <w:rStyle w:val="a7"/>
          <w:sz w:val="22"/>
          <w:szCs w:val="22"/>
        </w:rPr>
        <w:footnoteRef/>
      </w:r>
      <w:r w:rsidRPr="00BD5E91">
        <w:rPr>
          <w:sz w:val="22"/>
          <w:szCs w:val="22"/>
        </w:rPr>
        <w:t xml:space="preserve"> </w:t>
      </w:r>
      <w:r w:rsidRPr="00BD5E91">
        <w:rPr>
          <w:sz w:val="22"/>
          <w:szCs w:val="22"/>
          <w:rtl/>
        </w:rPr>
        <w:t xml:space="preserve"> </w:t>
      </w:r>
      <w:r w:rsidRPr="00BD5E91">
        <w:rPr>
          <w:b/>
          <w:bCs/>
          <w:sz w:val="22"/>
          <w:szCs w:val="22"/>
          <w:rtl/>
        </w:rPr>
        <w:t>בראשית מאי שית.</w:t>
      </w:r>
      <w:r w:rsidRPr="00BD5E91">
        <w:rPr>
          <w:sz w:val="22"/>
          <w:szCs w:val="22"/>
          <w:rtl/>
        </w:rPr>
        <w:t xml:space="preserve"> רוצה לומר, מי הן:</w:t>
      </w:r>
    </w:p>
  </w:footnote>
  <w:footnote w:id="581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שית סטרין דמשכנא.</w:t>
      </w:r>
      <w:r w:rsidRPr="00BD5E91">
        <w:rPr>
          <w:sz w:val="22"/>
          <w:szCs w:val="22"/>
          <w:rtl/>
        </w:rPr>
        <w:t xml:space="preserve"> רוצה לומר, מעלה ומטה וד' רוחות של המשכן, והן ת"ת</w:t>
      </w:r>
      <w:r w:rsidRPr="00BD5E91">
        <w:rPr>
          <w:rFonts w:hint="cs"/>
          <w:sz w:val="22"/>
          <w:szCs w:val="22"/>
          <w:rtl/>
        </w:rPr>
        <w:t>,</w:t>
      </w:r>
      <w:r w:rsidRPr="00BD5E91">
        <w:rPr>
          <w:sz w:val="22"/>
          <w:szCs w:val="22"/>
          <w:rtl/>
        </w:rPr>
        <w:t xml:space="preserve"> ו"ק, והמשכן חופף עליהם, היריעות שנקרא משכן, והוא בינה:</w:t>
      </w:r>
    </w:p>
  </w:footnote>
  <w:footnote w:id="581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דאיהו כגוונא כו'.</w:t>
      </w:r>
      <w:r w:rsidRPr="00BD5E91">
        <w:rPr>
          <w:sz w:val="22"/>
          <w:szCs w:val="22"/>
          <w:rtl/>
        </w:rPr>
        <w:t xml:space="preserve"> רוצה לומר, מה ענין המשכן לכאן, ואמר דאיהו כו'. דעובדא דמשכנא הוא כעובדא דמעשה בראשית, כמו שאמרו בתיקוני זוהר. ובשביל שרוצה לבאר מי אלה מפסוק אלה פקודי המשכן כו', קאמר שית סטרין דמשכנא. ואמר כגוונא דשמים וארץ דהן כלולים גם כן ו"ק, כמו שאומר לקמן, והן כתובים בפסוק הזה:</w:t>
      </w:r>
    </w:p>
  </w:footnote>
  <w:footnote w:id="581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ובגינייהו אתמר כו'.</w:t>
      </w:r>
      <w:r w:rsidRPr="00BD5E91">
        <w:rPr>
          <w:sz w:val="22"/>
          <w:szCs w:val="22"/>
          <w:rtl/>
        </w:rPr>
        <w:t xml:space="preserve"> רוצה לומר על ו"ק:</w:t>
      </w:r>
    </w:p>
  </w:footnote>
  <w:footnote w:id="581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אלה פקודי המשכן.</w:t>
      </w:r>
      <w:r w:rsidRPr="00BD5E91">
        <w:rPr>
          <w:sz w:val="22"/>
          <w:szCs w:val="22"/>
          <w:rtl/>
        </w:rPr>
        <w:t xml:space="preserve"> רוצה לומר, אלה, שהן ו"ק, כמו שאומר לקמן ופ"ו גימטריא אלה הן פקודי דנפקי מן המשכן, בינה, שהן נקראין (תהלים יט ט) פקודי ה' ישרים כו', תורה ו"ק דנפיק מבינה - ימא דאורייתא, ולכך כתובים שם (בתהלים) ו' פסוקים, כל אחד מה' תיבות:</w:t>
      </w:r>
    </w:p>
  </w:footnote>
  <w:footnote w:id="581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ודא הוא מי אלה כו'.</w:t>
      </w:r>
      <w:r w:rsidRPr="00BD5E91">
        <w:rPr>
          <w:sz w:val="22"/>
          <w:szCs w:val="22"/>
          <w:rtl/>
        </w:rPr>
        <w:t xml:space="preserve"> כמו שמפרש והולך שאמר ברא שית ולא אמר מי ברא ומי הן השית, ופירש, ברא אלקים, רוצה לומר מי, בינה - ברא אלה, ו"ק. והענין, שמתחלה ו"ק כלולין בחכמה בהעלם, בסוד ג' טפין דנפקין ממוחא, ג' כלולין בג', ואח"כ מצטיירין בבינה בגלוי יותר. וזה, בראשית שהוא חכמה - נאמר בהעלם, ואח"כ אלקים בינה - נאמר בגלוי יותר. וזה שאומר לקמן הן כל אלה כו' שלש כו', כי ב' פעמים אלה, תלת כלילין בתלת בתחלה:</w:t>
      </w:r>
    </w:p>
  </w:footnote>
  <w:footnote w:id="581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ותרין משכנות כו'.</w:t>
      </w:r>
      <w:r w:rsidRPr="00BD5E91">
        <w:rPr>
          <w:sz w:val="22"/>
          <w:szCs w:val="22"/>
          <w:rtl/>
        </w:rPr>
        <w:t xml:space="preserve"> דהמשכן הוא בתרי גוונין, כמו שאמרו בתיקוני זוהר</w:t>
      </w:r>
      <w:r w:rsidRPr="00BD5E91">
        <w:rPr>
          <w:rFonts w:hint="cs"/>
          <w:sz w:val="22"/>
          <w:szCs w:val="22"/>
          <w:rtl/>
        </w:rPr>
        <w:t xml:space="preserve"> (דף עב ע"א)</w:t>
      </w:r>
      <w:r w:rsidRPr="00BD5E91">
        <w:rPr>
          <w:sz w:val="22"/>
          <w:szCs w:val="22"/>
          <w:rtl/>
        </w:rPr>
        <w:t>, אחד בו"ק ואחד במט"ט שהוא גם כן ו"ק, וכן המשכנות שעליהם - הם גם כן באותן גוונין, אימא דילהון דברא יתהון:</w:t>
      </w:r>
    </w:p>
  </w:footnote>
  <w:footnote w:id="581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משכן עילאה מי.</w:t>
      </w:r>
      <w:r w:rsidRPr="00BD5E91">
        <w:rPr>
          <w:sz w:val="22"/>
          <w:szCs w:val="22"/>
          <w:rtl/>
        </w:rPr>
        <w:t xml:space="preserve"> שראשי תיבות 'אלה פקודי המשכן' הוא גימטריא אלקים, ותסיר ממנו אלה - נשאר מי:</w:t>
      </w:r>
    </w:p>
  </w:footnote>
  <w:footnote w:id="582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משכן תתאה מ"ה.</w:t>
      </w:r>
      <w:r w:rsidRPr="00BD5E91">
        <w:rPr>
          <w:sz w:val="22"/>
          <w:szCs w:val="22"/>
          <w:rtl/>
        </w:rPr>
        <w:t xml:space="preserve"> בראשי תיבות, מ"שכן ה"עדות - מ"ה, והוא שכינה תתאה שנקראת מ"ה, דמות אדם, כמו שאמרו בהתיקוני זוהר</w:t>
      </w:r>
      <w:r w:rsidRPr="00BD5E91">
        <w:rPr>
          <w:rFonts w:hint="cs"/>
          <w:sz w:val="22"/>
          <w:szCs w:val="22"/>
          <w:rtl/>
        </w:rPr>
        <w:t xml:space="preserve"> (דף קיד ע"ב)</w:t>
      </w:r>
      <w:r w:rsidRPr="00BD5E91">
        <w:rPr>
          <w:sz w:val="22"/>
          <w:szCs w:val="22"/>
          <w:rtl/>
        </w:rPr>
        <w:t>:</w:t>
      </w:r>
    </w:p>
  </w:footnote>
  <w:footnote w:id="582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מאי אלה.</w:t>
      </w:r>
      <w:r w:rsidRPr="00BD5E91">
        <w:rPr>
          <w:sz w:val="22"/>
          <w:szCs w:val="22"/>
          <w:rtl/>
        </w:rPr>
        <w:t xml:space="preserve"> רוצה לומר, מנא לן שנקראו אלה:</w:t>
      </w:r>
    </w:p>
  </w:footnote>
  <w:footnote w:id="582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ואינון מקראי קדש.</w:t>
      </w:r>
      <w:r w:rsidRPr="00BD5E91">
        <w:rPr>
          <w:sz w:val="22"/>
          <w:szCs w:val="22"/>
          <w:rtl/>
        </w:rPr>
        <w:t xml:space="preserve"> דנפקי מקדש - חכמה, ונקראים מועדים בסוד (כאן נמחק בכתב יד קדשו ג' תיבות):</w:t>
      </w:r>
    </w:p>
  </w:footnote>
  <w:footnote w:id="582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ולקבליהון כו'.</w:t>
      </w:r>
      <w:r w:rsidRPr="00BD5E91">
        <w:rPr>
          <w:sz w:val="22"/>
          <w:szCs w:val="22"/>
          <w:rtl/>
        </w:rPr>
        <w:t xml:space="preserve"> ש'כל אלה' הוא שלשה, וזה שכתוב 'כל אלה' - מס' ד'כל אלה' - יפעל פעמים שלש, והן בסוד ג' טפין הנ"ל כמו שאמרו בתיקוני זוהר </w:t>
      </w:r>
      <w:r w:rsidRPr="00BD5E91">
        <w:rPr>
          <w:rFonts w:hint="cs"/>
          <w:sz w:val="22"/>
          <w:szCs w:val="22"/>
          <w:rtl/>
        </w:rPr>
        <w:t xml:space="preserve">(דף עט ע"ב) </w:t>
      </w:r>
      <w:r w:rsidRPr="00BD5E91">
        <w:rPr>
          <w:sz w:val="22"/>
          <w:szCs w:val="22"/>
          <w:rtl/>
        </w:rPr>
        <w:t>שצריך לגלגל בג' גוונין חג"ת או נה"י:</w:t>
      </w:r>
    </w:p>
  </w:footnote>
  <w:footnote w:id="5824">
    <w:p w:rsidR="00007309" w:rsidRPr="00BD5E91" w:rsidRDefault="00007309" w:rsidP="00007309">
      <w:pPr>
        <w:pStyle w:val="a5"/>
        <w:rPr>
          <w:sz w:val="22"/>
          <w:szCs w:val="22"/>
          <w:rtl/>
        </w:rPr>
      </w:pPr>
      <w:r w:rsidRPr="00BD5E91">
        <w:rPr>
          <w:rStyle w:val="a7"/>
          <w:sz w:val="22"/>
          <w:szCs w:val="22"/>
        </w:rPr>
        <w:footnoteRef/>
      </w:r>
      <w:r w:rsidRPr="00BD5E91">
        <w:rPr>
          <w:sz w:val="22"/>
          <w:szCs w:val="22"/>
          <w:rtl/>
        </w:rPr>
        <w:t xml:space="preserve"> </w:t>
      </w:r>
      <w:r w:rsidRPr="00BD5E91">
        <w:rPr>
          <w:rFonts w:hint="cs"/>
          <w:b/>
          <w:bCs/>
          <w:sz w:val="22"/>
          <w:szCs w:val="22"/>
          <w:rtl/>
        </w:rPr>
        <w:t>הן כל אלה כו'.</w:t>
      </w:r>
      <w:r w:rsidRPr="00BD5E91">
        <w:rPr>
          <w:rFonts w:hint="cs"/>
          <w:sz w:val="22"/>
          <w:szCs w:val="22"/>
          <w:rtl/>
        </w:rPr>
        <w:t xml:space="preserve"> ר"ל מ'כל' דאתכליל מ'אלה' דהן ו"ק ומכל פרחין נשמתין:</w:t>
      </w:r>
    </w:p>
  </w:footnote>
  <w:footnote w:id="5825">
    <w:p w:rsidR="00007309" w:rsidRPr="00BD5E91" w:rsidRDefault="00007309" w:rsidP="00007309">
      <w:pPr>
        <w:pStyle w:val="a5"/>
        <w:rPr>
          <w:sz w:val="22"/>
          <w:szCs w:val="22"/>
          <w:rtl/>
        </w:rPr>
      </w:pPr>
      <w:r w:rsidRPr="00BD5E91">
        <w:rPr>
          <w:rStyle w:val="a7"/>
          <w:sz w:val="22"/>
          <w:szCs w:val="22"/>
        </w:rPr>
        <w:footnoteRef/>
      </w:r>
      <w:r w:rsidRPr="00BD5E91">
        <w:rPr>
          <w:sz w:val="22"/>
          <w:szCs w:val="22"/>
          <w:rtl/>
        </w:rPr>
        <w:t xml:space="preserve"> </w:t>
      </w:r>
      <w:r w:rsidRPr="00BD5E91">
        <w:rPr>
          <w:rFonts w:hint="cs"/>
          <w:b/>
          <w:bCs/>
          <w:sz w:val="22"/>
          <w:szCs w:val="22"/>
          <w:rtl/>
        </w:rPr>
        <w:t xml:space="preserve">פעמים שלש. </w:t>
      </w:r>
      <w:r w:rsidRPr="00BD5E91">
        <w:rPr>
          <w:rFonts w:hint="cs"/>
          <w:sz w:val="22"/>
          <w:szCs w:val="22"/>
          <w:rtl/>
        </w:rPr>
        <w:t>ר"ל ב"פ שלש, כמו שאומר בתיקון כ"ח, ומשם והלאה ב"פ משה. ג' טיפין עילאין וג' תתאין והן ב"פ ג' דאלה</w:t>
      </w:r>
      <w:r w:rsidRPr="00BD5E91">
        <w:rPr>
          <w:sz w:val="22"/>
          <w:szCs w:val="22"/>
        </w:rPr>
        <w:t>:</w:t>
      </w:r>
    </w:p>
  </w:footnote>
  <w:footnote w:id="582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והאי משכן כו'.</w:t>
      </w:r>
      <w:r w:rsidRPr="00BD5E91">
        <w:rPr>
          <w:sz w:val="22"/>
          <w:szCs w:val="22"/>
          <w:rtl/>
        </w:rPr>
        <w:t xml:space="preserve"> לפי שרוצה לפרש מועד שכנגדה - חוזר ומפרש:</w:t>
      </w:r>
    </w:p>
  </w:footnote>
  <w:footnote w:id="582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ודא שמה.</w:t>
      </w:r>
      <w:r w:rsidRPr="00BD5E91">
        <w:rPr>
          <w:sz w:val="22"/>
          <w:szCs w:val="22"/>
          <w:rtl/>
        </w:rPr>
        <w:t xml:space="preserve"> רוצה לומר, 'מי' הוא שמה בפסוק, ומועד שכנגדה מה הוא, וזה שאומר ודרגא כו':</w:t>
      </w:r>
    </w:p>
  </w:footnote>
  <w:footnote w:id="582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ובגין דבה כו'. </w:t>
      </w:r>
      <w:r w:rsidRPr="00BD5E91">
        <w:rPr>
          <w:sz w:val="22"/>
          <w:szCs w:val="22"/>
          <w:rtl/>
        </w:rPr>
        <w:t>רוצה לומר שנאמר העדות, וכן הוא אומר ביהושע (כד כז) הנה האבן הזאת, רוצה לומר מלכות, תהיה בנו לעדה:</w:t>
      </w:r>
    </w:p>
  </w:footnote>
  <w:footnote w:id="582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מה אעידך.</w:t>
      </w:r>
      <w:r w:rsidRPr="00BD5E91">
        <w:rPr>
          <w:sz w:val="22"/>
          <w:szCs w:val="22"/>
          <w:rtl/>
        </w:rPr>
        <w:t xml:space="preserve"> רוצה לומר, מה - מלכות:</w:t>
      </w:r>
    </w:p>
  </w:footnote>
  <w:footnote w:id="583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ואינון את השמים כו'.</w:t>
      </w:r>
      <w:r w:rsidRPr="00BD5E91">
        <w:rPr>
          <w:sz w:val="22"/>
          <w:szCs w:val="22"/>
          <w:rtl/>
        </w:rPr>
        <w:t xml:space="preserve"> שבהן כלול גם כן ו"ק, וכן קאי על מט"ט דהוא ו"ק:</w:t>
      </w:r>
    </w:p>
  </w:footnote>
  <w:footnote w:id="583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לאביר יעקב.</w:t>
      </w:r>
      <w:r w:rsidRPr="00BD5E91">
        <w:rPr>
          <w:sz w:val="22"/>
          <w:szCs w:val="22"/>
          <w:rtl/>
        </w:rPr>
        <w:t xml:space="preserve"> שהוא מבריח מקצה אל הקצה:</w:t>
      </w:r>
    </w:p>
  </w:footnote>
  <w:footnote w:id="583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דאינון שית.</w:t>
      </w:r>
      <w:r w:rsidRPr="00BD5E91">
        <w:rPr>
          <w:sz w:val="22"/>
          <w:szCs w:val="22"/>
          <w:rtl/>
        </w:rPr>
        <w:t xml:space="preserve"> רוצה לומר עם הפסוק השני:</w:t>
      </w:r>
    </w:p>
  </w:footnote>
  <w:footnote w:id="583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במועדם דאיהי מלכות. </w:t>
      </w:r>
      <w:r w:rsidRPr="00BD5E91">
        <w:rPr>
          <w:sz w:val="22"/>
          <w:szCs w:val="22"/>
          <w:rtl/>
        </w:rPr>
        <w:t>שהיא כלולה מכולם</w:t>
      </w:r>
      <w:r w:rsidRPr="00BD5E91">
        <w:rPr>
          <w:b/>
          <w:bCs/>
          <w:sz w:val="22"/>
          <w:szCs w:val="22"/>
          <w:rtl/>
        </w:rPr>
        <w:t>:</w:t>
      </w:r>
    </w:p>
  </w:footnote>
  <w:footnote w:id="583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דאיהי חג בפ"ע.</w:t>
      </w:r>
      <w:r w:rsidRPr="00BD5E91">
        <w:rPr>
          <w:sz w:val="22"/>
          <w:szCs w:val="22"/>
          <w:rtl/>
        </w:rPr>
        <w:t xml:space="preserve"> רוצה לומר, דו' מועדים כלולים בו"ק, בוא"ו של השם. ומלכות הוא פרצוף בפני עצמו - בה' של השם:</w:t>
      </w:r>
    </w:p>
  </w:footnote>
  <w:footnote w:id="583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ובאתר אחרא כו'.</w:t>
      </w:r>
      <w:r w:rsidRPr="00BD5E91">
        <w:rPr>
          <w:sz w:val="22"/>
          <w:szCs w:val="22"/>
          <w:rtl/>
        </w:rPr>
        <w:t xml:space="preserve"> לפי שבפסוק הראשון אין מרומז רק תלתא דכלילן בה. ואמר אלה מה מועדי שכלילן גם אלו הג' במה:</w:t>
      </w:r>
    </w:p>
  </w:footnote>
  <w:footnote w:id="5836">
    <w:p w:rsidR="00007309" w:rsidRPr="00BD5E91" w:rsidRDefault="00007309" w:rsidP="00007309">
      <w:pPr>
        <w:pStyle w:val="a5"/>
        <w:rPr>
          <w:sz w:val="22"/>
          <w:szCs w:val="22"/>
          <w:rtl/>
        </w:rPr>
      </w:pPr>
      <w:r w:rsidRPr="00BD5E91">
        <w:rPr>
          <w:rStyle w:val="a7"/>
          <w:sz w:val="22"/>
          <w:szCs w:val="22"/>
        </w:rPr>
        <w:footnoteRef/>
      </w:r>
      <w:r w:rsidRPr="00BD5E91">
        <w:rPr>
          <w:sz w:val="22"/>
          <w:szCs w:val="22"/>
          <w:rtl/>
        </w:rPr>
        <w:t xml:space="preserve"> </w:t>
      </w:r>
      <w:r w:rsidRPr="00BD5E91">
        <w:rPr>
          <w:rFonts w:hint="cs"/>
          <w:b/>
          <w:bCs/>
          <w:sz w:val="22"/>
          <w:szCs w:val="22"/>
          <w:rtl/>
        </w:rPr>
        <w:t xml:space="preserve">אחרא כו'. </w:t>
      </w:r>
      <w:r w:rsidRPr="00BD5E91">
        <w:rPr>
          <w:rFonts w:hint="cs"/>
          <w:sz w:val="22"/>
          <w:szCs w:val="22"/>
          <w:rtl/>
        </w:rPr>
        <w:t>ור"ל ג' הראשונות אמר במועדם מלכות, וכן בג' אחרונות הם כו', בזאת יבוא כו', והוא שמיני עצרת דכליל כולן, ובאלו ג' אמר הם דהן דנוק', ובג"ר אמר מועדי ה' דדכורא דאבהן, ומ"מ כולן אף ג"ר לא אתחזיין אלא מגו נוקבא. ואמר ת"ח כו' לפרש האיך הן סדורין כו' אבל למעלה בפ' תולדות סידר באופן אחר ולא חשיב בינה בהדייהו ולא חשיב חנוכה ופורים ולא ש"ע וחשיב שבת ור"ח וחשיב שם הכל דאקרון מקראי קודש כמ"ש בפסוק ומתקרב בהון קרבן מוסף. אבל במקום אחר משמע דג' רגלים הן דאבהן, ולפי זה ר"ה ויוה"כ הן נו"ה, וש"ע יסוד, גוף וברית כחדא אינון לכן אין ביניהם הפסק, ושבת בינה מ"י נ' שבתות בשנה נש"ב, ומלכות ר"ח י"ב ר"ח בשנה דבה י"ב. והן ז' יו"ט דדכורא וי"ב דנוק' ז' וי"ב וג' טמירין דז' היכלין וג' טמירין בהון וחנוכה ופורים לאשלמא הלל ושמחה אתיין כמו שאומר בתקוני זהר (דף מו ע"ב). וכמו דאלין ג' רגלים באבהן בג' קוים כן אינון בג' אתוון דשם הוי'ה ממטה למעלה דב' חו"ב בא' כלילין והוא ש"ע עם סוכות כמ"ש בפ' אמור וידוע די"ב אע"ג שהוא בנוק' מ"מ כלולין ג"כ בדכורא והן חה"מ דהן בדרגא דר"ח כמ"ש (מגילה כב ע"ב) זה הכלל כו' כגון ר"ח וחש"מ כו' ואף שביעי מ"מ אינו חג בפ"ע ונכלל בששת ימים כו':</w:t>
      </w:r>
    </w:p>
  </w:footnote>
  <w:footnote w:id="583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ימין מקרבת.</w:t>
      </w:r>
      <w:r w:rsidRPr="00BD5E91">
        <w:rPr>
          <w:sz w:val="22"/>
          <w:szCs w:val="22"/>
          <w:rtl/>
        </w:rPr>
        <w:t xml:space="preserve"> שבה יצאו ישראל ממצרים, ונתקרבו לקב"ה:</w:t>
      </w:r>
    </w:p>
  </w:footnote>
  <w:footnote w:id="583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שמאל דוחה.</w:t>
      </w:r>
      <w:r w:rsidRPr="00BD5E91">
        <w:rPr>
          <w:sz w:val="22"/>
          <w:szCs w:val="22"/>
          <w:rtl/>
        </w:rPr>
        <w:t xml:space="preserve"> שבו נדחה אדם הראשון מגן עדן, ובו דנין את העולם:</w:t>
      </w:r>
    </w:p>
  </w:footnote>
  <w:footnote w:id="583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גופא דמלכא.</w:t>
      </w:r>
      <w:r w:rsidRPr="00BD5E91">
        <w:rPr>
          <w:sz w:val="22"/>
          <w:szCs w:val="22"/>
          <w:rtl/>
        </w:rPr>
        <w:t xml:space="preserve"> שבו ניתן התורה - ת"ת:</w:t>
      </w:r>
    </w:p>
  </w:footnote>
  <w:footnote w:id="5840">
    <w:p w:rsidR="00007309" w:rsidRPr="00BD5E91" w:rsidRDefault="00007309" w:rsidP="00007309">
      <w:pPr>
        <w:jc w:val="both"/>
        <w:rPr>
          <w:rFonts w:cs="Arial"/>
          <w:b/>
          <w:bCs/>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w:t>
      </w:r>
      <w:r w:rsidRPr="00BD5E91">
        <w:rPr>
          <w:rFonts w:cs="Arial"/>
          <w:b/>
          <w:bCs/>
          <w:sz w:val="22"/>
          <w:szCs w:val="22"/>
          <w:rtl/>
        </w:rPr>
        <w:t xml:space="preserve">דעלייהו שריא נס. </w:t>
      </w:r>
      <w:r w:rsidRPr="00BD5E91">
        <w:rPr>
          <w:rFonts w:cs="Arial"/>
          <w:sz w:val="22"/>
          <w:szCs w:val="22"/>
          <w:rtl/>
        </w:rPr>
        <w:t>רוצה לומר, שאמרו (שבת קד ע"א) מ' וס' שבלוחות - הן נו"ה, ולפיכך חנוכה ופורים שבהן נעשו נסים הן נו"ה כו':</w:t>
      </w:r>
    </w:p>
  </w:footnote>
  <w:footnote w:id="584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ובגינייהו כו'.</w:t>
      </w:r>
      <w:r w:rsidRPr="00BD5E91">
        <w:rPr>
          <w:sz w:val="22"/>
          <w:szCs w:val="22"/>
          <w:rtl/>
        </w:rPr>
        <w:t xml:space="preserve"> כמו שאמרו בזהר חדש פ' תשא דף ל"ז פקודי ה' אינון נו"ה כו':</w:t>
      </w:r>
    </w:p>
  </w:footnote>
  <w:footnote w:id="584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תרין פקודין.</w:t>
      </w:r>
      <w:r w:rsidRPr="00BD5E91">
        <w:rPr>
          <w:sz w:val="22"/>
          <w:szCs w:val="22"/>
          <w:rtl/>
        </w:rPr>
        <w:t xml:space="preserve"> רוצה לומר לכך נאמר לשון רבים:</w:t>
      </w:r>
    </w:p>
  </w:footnote>
  <w:footnote w:id="584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פקד פקדתי.</w:t>
      </w:r>
      <w:r w:rsidRPr="00BD5E91">
        <w:rPr>
          <w:sz w:val="22"/>
          <w:szCs w:val="22"/>
          <w:rtl/>
        </w:rPr>
        <w:t xml:space="preserve"> ב’ פעמים פקד:</w:t>
      </w:r>
    </w:p>
  </w:footnote>
  <w:footnote w:id="584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תרין נביאים.</w:t>
      </w:r>
      <w:r w:rsidRPr="00BD5E91">
        <w:rPr>
          <w:sz w:val="22"/>
          <w:szCs w:val="22"/>
          <w:rtl/>
        </w:rPr>
        <w:t xml:space="preserve"> רוצה לומר, שהן נקראו נביאים, וגאולת מצרים היתה ע"י ב' נביאים: משה ואהרן, שהן בדרגא דנו"ה כידוע:</w:t>
      </w:r>
    </w:p>
  </w:footnote>
  <w:footnote w:id="584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תרין משיחין.</w:t>
      </w:r>
      <w:r w:rsidRPr="00BD5E91">
        <w:rPr>
          <w:sz w:val="22"/>
          <w:szCs w:val="22"/>
          <w:rtl/>
        </w:rPr>
        <w:t xml:space="preserve"> רוצה לומר וכן בגאולה אחרונה - יהיה ע"י ב' משיחין שהן בדרגא דנו"ה, לכן נעשו נסים אז, וכן בגאולה אחרונה:</w:t>
      </w:r>
    </w:p>
  </w:footnote>
  <w:footnote w:id="584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כליל מכולהו.</w:t>
      </w:r>
      <w:r w:rsidRPr="00BD5E91">
        <w:rPr>
          <w:sz w:val="22"/>
          <w:szCs w:val="22"/>
          <w:rtl/>
        </w:rPr>
        <w:t xml:space="preserve"> רוצה לומר דלכך כתיב כל:</w:t>
      </w:r>
    </w:p>
  </w:footnote>
  <w:footnote w:id="584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בצבא שלו.</w:t>
      </w:r>
      <w:r w:rsidRPr="00BD5E91">
        <w:rPr>
          <w:sz w:val="22"/>
          <w:szCs w:val="22"/>
          <w:rtl/>
        </w:rPr>
        <w:t xml:space="preserve"> הן נו"ה שנקראו צבאות, והוא נקרא אות:</w:t>
      </w:r>
    </w:p>
  </w:footnote>
  <w:footnote w:id="584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ולמה איתקרי כל.</w:t>
      </w:r>
      <w:r w:rsidRPr="00BD5E91">
        <w:rPr>
          <w:sz w:val="22"/>
          <w:szCs w:val="22"/>
          <w:rtl/>
        </w:rPr>
        <w:t xml:space="preserve"> הוא עוד טעם על שכתב כל העובר:</w:t>
      </w:r>
    </w:p>
  </w:footnote>
  <w:footnote w:id="584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בגין דעליה שריא בינה.</w:t>
      </w:r>
      <w:r w:rsidRPr="00BD5E91">
        <w:rPr>
          <w:sz w:val="22"/>
          <w:szCs w:val="22"/>
          <w:rtl/>
        </w:rPr>
        <w:t xml:space="preserve"> כמו שאמרו בירושלמי (שקלים ד ע"ב) כל העובר כו' כל דעבר על ימא, וזה שאומר ים דא יום הכפורים כו':</w:t>
      </w:r>
    </w:p>
  </w:footnote>
  <w:footnote w:id="585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דאיהי שביעאה.</w:t>
      </w:r>
      <w:r w:rsidRPr="00BD5E91">
        <w:rPr>
          <w:sz w:val="22"/>
          <w:szCs w:val="22"/>
          <w:rtl/>
        </w:rPr>
        <w:t xml:space="preserve"> בשביל שרוצה לומר דאזיל ה’ ספירות מבינה עד יסוד כמו שמפרש והולך:</w:t>
      </w:r>
    </w:p>
  </w:footnote>
  <w:footnote w:id="585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ים דא כו'.</w:t>
      </w:r>
      <w:r w:rsidRPr="00BD5E91">
        <w:rPr>
          <w:sz w:val="22"/>
          <w:szCs w:val="22"/>
          <w:rtl/>
        </w:rPr>
        <w:t xml:space="preserve"> שהיא ימא דאוריייתא, וים בגימטריא חמשים, וזה שאומר ועמיה חמשין תרעין כו' בחושבן כל. רוצה לומר לכך נקרא יסוד כל, כמו שמפרש והולך:</w:t>
      </w:r>
    </w:p>
  </w:footnote>
  <w:footnote w:id="585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בינה כו'.</w:t>
      </w:r>
      <w:r w:rsidRPr="00BD5E91">
        <w:rPr>
          <w:sz w:val="22"/>
          <w:szCs w:val="22"/>
          <w:rtl/>
        </w:rPr>
        <w:t xml:space="preserve"> שהוא אותיות בן י"ה, ורוצה לומר דת"ת שהוא בן או"א שהן י"ה, ה' עילאה אתפשטת בנ' תרעין שלה עד הוד כמו שאמרו בתיקוני זהר חדש</w:t>
      </w:r>
      <w:r w:rsidRPr="00BD5E91">
        <w:rPr>
          <w:rFonts w:hint="cs"/>
          <w:sz w:val="22"/>
          <w:szCs w:val="22"/>
          <w:rtl/>
        </w:rPr>
        <w:t>,</w:t>
      </w:r>
      <w:r w:rsidRPr="00BD5E91">
        <w:rPr>
          <w:sz w:val="22"/>
          <w:szCs w:val="22"/>
          <w:rtl/>
        </w:rPr>
        <w:t xml:space="preserve"> ונכללין ביסוד, לפיכך נקרא כל, וזהו בינ"ה</w:t>
      </w:r>
      <w:r w:rsidRPr="00BD5E91">
        <w:rPr>
          <w:rFonts w:hint="cs"/>
          <w:sz w:val="22"/>
          <w:szCs w:val="22"/>
          <w:rtl/>
        </w:rPr>
        <w:t>,</w:t>
      </w:r>
      <w:r w:rsidRPr="00BD5E91">
        <w:rPr>
          <w:sz w:val="22"/>
          <w:szCs w:val="22"/>
          <w:rtl/>
        </w:rPr>
        <w:t xml:space="preserve"> שהיא תופסת ומתפשטת כל הבן י"ה:</w:t>
      </w:r>
    </w:p>
  </w:footnote>
  <w:footnote w:id="585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דאיהו אזיל כו'.</w:t>
      </w:r>
      <w:r w:rsidRPr="00BD5E91">
        <w:rPr>
          <w:sz w:val="22"/>
          <w:szCs w:val="22"/>
          <w:rtl/>
        </w:rPr>
        <w:t xml:space="preserve"> הן נ' תרעין שכל אחד כלול מעשר, בה' ספירות עד הוד. וזהו שאמרו חגיגה (יג ע"א) עוביו של רקיע מהלך ה' מאות שנים. וכן, בין רקיע לארץ מהלך ה' מאות שנים - שהוא יסוד, מן רקיע לארץ, בין ת"ת ומלכות, כמו שכתוב כי כל בשמים ובארץ, כל - שבו נכללין כל הת"ק שנים, וזה שאומר ומטי ליסוד:</w:t>
      </w:r>
    </w:p>
  </w:footnote>
  <w:footnote w:id="585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כלה.</w:t>
      </w:r>
      <w:r w:rsidRPr="00BD5E91">
        <w:rPr>
          <w:sz w:val="22"/>
          <w:szCs w:val="22"/>
          <w:rtl/>
        </w:rPr>
        <w:t xml:space="preserve"> כל עם ה' תתאה, שגם היא נכללת מכל הנ' תרעין כידוע:</w:t>
      </w:r>
    </w:p>
    <w:p w:rsidR="00007309" w:rsidRPr="00BD5E91" w:rsidRDefault="00007309" w:rsidP="00007309">
      <w:pPr>
        <w:pStyle w:val="a5"/>
        <w:rPr>
          <w:sz w:val="22"/>
          <w:szCs w:val="22"/>
          <w:rtl/>
        </w:rPr>
      </w:pPr>
    </w:p>
  </w:footnote>
  <w:footnote w:id="585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w:t>
      </w:r>
      <w:r w:rsidRPr="00BD5E91">
        <w:rPr>
          <w:rFonts w:hint="cs"/>
          <w:b/>
          <w:bCs/>
          <w:sz w:val="22"/>
          <w:szCs w:val="22"/>
          <w:rtl/>
        </w:rPr>
        <w:t xml:space="preserve">[ספרא תניינא] </w:t>
      </w:r>
      <w:r w:rsidRPr="00BD5E91">
        <w:rPr>
          <w:b/>
          <w:bCs/>
          <w:sz w:val="22"/>
          <w:szCs w:val="22"/>
          <w:rtl/>
        </w:rPr>
        <w:t>מזיהרא עילאה דלעילא.</w:t>
      </w:r>
      <w:r w:rsidRPr="00BD5E91">
        <w:rPr>
          <w:sz w:val="22"/>
          <w:szCs w:val="22"/>
          <w:rtl/>
        </w:rPr>
        <w:t xml:space="preserve"> בינה:</w:t>
      </w:r>
    </w:p>
  </w:footnote>
  <w:footnote w:id="585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רעותא עלאה כו'.</w:t>
      </w:r>
      <w:r w:rsidRPr="00BD5E91">
        <w:rPr>
          <w:sz w:val="22"/>
          <w:szCs w:val="22"/>
          <w:rtl/>
        </w:rPr>
        <w:t xml:space="preserve"> ר"ל רעוא דרעוין אתגליא:</w:t>
      </w:r>
    </w:p>
  </w:footnote>
  <w:footnote w:id="5857">
    <w:p w:rsidR="00007309" w:rsidRPr="00BD5E91" w:rsidRDefault="00007309" w:rsidP="00007309">
      <w:pPr>
        <w:pStyle w:val="a5"/>
        <w:rPr>
          <w:sz w:val="22"/>
          <w:szCs w:val="22"/>
          <w:rtl/>
        </w:rPr>
      </w:pPr>
      <w:r w:rsidRPr="00BD5E91">
        <w:rPr>
          <w:rStyle w:val="a7"/>
          <w:sz w:val="22"/>
          <w:szCs w:val="22"/>
        </w:rPr>
        <w:footnoteRef/>
      </w:r>
      <w:r w:rsidRPr="00BD5E91">
        <w:rPr>
          <w:sz w:val="22"/>
          <w:szCs w:val="22"/>
          <w:rtl/>
        </w:rPr>
        <w:t xml:space="preserve"> </w:t>
      </w:r>
      <w:r w:rsidRPr="00BD5E91">
        <w:rPr>
          <w:rFonts w:hint="cs"/>
          <w:b/>
          <w:bCs/>
          <w:sz w:val="22"/>
          <w:szCs w:val="22"/>
          <w:rtl/>
        </w:rPr>
        <w:t>דמתיבתא כו'.</w:t>
      </w:r>
      <w:r w:rsidRPr="00BD5E91">
        <w:rPr>
          <w:rFonts w:hint="cs"/>
          <w:sz w:val="22"/>
          <w:szCs w:val="22"/>
          <w:rtl/>
        </w:rPr>
        <w:t xml:space="preserve"> ב' מתיבתין ב"פ ג' דאלה כמש"ל ע"ד ד':</w:t>
      </w:r>
    </w:p>
  </w:footnote>
  <w:footnote w:id="585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ולשבע טורין כו'.</w:t>
      </w:r>
      <w:r w:rsidRPr="00BD5E91">
        <w:rPr>
          <w:sz w:val="22"/>
          <w:szCs w:val="22"/>
          <w:rtl/>
        </w:rPr>
        <w:t xml:space="preserve"> שהן נגד ז"ס התחתונות ושלמה הוא ביסוד כמ"ש (מלכים א' ב מה) והמלך שלמה ברוך כמ"ש בהת"ז</w:t>
      </w:r>
      <w:r w:rsidRPr="00BD5E91">
        <w:rPr>
          <w:rFonts w:hint="cs"/>
          <w:sz w:val="22"/>
          <w:szCs w:val="22"/>
          <w:rtl/>
        </w:rPr>
        <w:t xml:space="preserve"> (עג ע"א בהקדמה, כט ע"א, קכב ע"א)</w:t>
      </w:r>
      <w:r w:rsidRPr="00BD5E91">
        <w:rPr>
          <w:sz w:val="22"/>
          <w:szCs w:val="22"/>
          <w:rtl/>
        </w:rPr>
        <w:t>:</w:t>
      </w:r>
    </w:p>
  </w:footnote>
  <w:footnote w:id="585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דאינון בתולות כו'.</w:t>
      </w:r>
      <w:r w:rsidRPr="00BD5E91">
        <w:rPr>
          <w:sz w:val="22"/>
          <w:szCs w:val="22"/>
          <w:rtl/>
        </w:rPr>
        <w:t xml:space="preserve"> שהן עולימין דשכינה כמ"ש (אסתר ב ט) הנערות הראויות כו':</w:t>
      </w:r>
    </w:p>
  </w:footnote>
  <w:footnote w:id="586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מלאכי שלום.</w:t>
      </w:r>
      <w:r w:rsidRPr="00BD5E91">
        <w:rPr>
          <w:sz w:val="22"/>
          <w:szCs w:val="22"/>
          <w:rtl/>
        </w:rPr>
        <w:t xml:space="preserve">  של הקב"ה:</w:t>
      </w:r>
    </w:p>
  </w:footnote>
  <w:footnote w:id="586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ואנשי מדות דילה.</w:t>
      </w:r>
      <w:r w:rsidRPr="00BD5E91">
        <w:rPr>
          <w:sz w:val="22"/>
          <w:szCs w:val="22"/>
          <w:rtl/>
        </w:rPr>
        <w:t xml:space="preserve"> ר"ל בעלי מדות טובות כמ"ש לקמן צדיקים נביאים כו' וכולם הם מסטרא דמלכות מע"ס הכלולים בה כמ"ש בהת"ז</w:t>
      </w:r>
      <w:r w:rsidRPr="00BD5E91">
        <w:rPr>
          <w:rFonts w:hint="cs"/>
          <w:sz w:val="22"/>
          <w:szCs w:val="22"/>
          <w:rtl/>
        </w:rPr>
        <w:t xml:space="preserve"> (א ע"ב)</w:t>
      </w:r>
      <w:r w:rsidRPr="00BD5E91">
        <w:rPr>
          <w:sz w:val="22"/>
          <w:szCs w:val="22"/>
          <w:rtl/>
        </w:rPr>
        <w:t xml:space="preserve"> וז"ש בעלי מדות דילה:</w:t>
      </w:r>
    </w:p>
  </w:footnote>
  <w:footnote w:id="586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ע"י ההוא דאתגליא.</w:t>
      </w:r>
      <w:r w:rsidRPr="00BD5E91">
        <w:rPr>
          <w:sz w:val="22"/>
          <w:szCs w:val="22"/>
          <w:rtl/>
        </w:rPr>
        <w:t xml:space="preserve"> ר"ל רעיא מהימנא:</w:t>
      </w:r>
    </w:p>
  </w:footnote>
  <w:footnote w:id="586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וכניס בי' כו'.</w:t>
      </w:r>
      <w:r w:rsidRPr="00BD5E91">
        <w:rPr>
          <w:sz w:val="22"/>
          <w:szCs w:val="22"/>
          <w:rtl/>
        </w:rPr>
        <w:t xml:space="preserve"> כמ"ש לקמן ובמאריה דהאי חיבורא דביה הטה הקב"ה כו' ע"ש:</w:t>
      </w:r>
    </w:p>
  </w:footnote>
  <w:footnote w:id="586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ההיא דאתמר בה כו'.</w:t>
      </w:r>
      <w:r w:rsidRPr="00BD5E91">
        <w:rPr>
          <w:sz w:val="22"/>
          <w:szCs w:val="22"/>
          <w:rtl/>
        </w:rPr>
        <w:t xml:space="preserve"> ר"ל אימא עילאה, עלמא דחירו:</w:t>
      </w:r>
    </w:p>
  </w:footnote>
  <w:footnote w:id="586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ואינון מארי דגדפין כו'.</w:t>
      </w:r>
      <w:r w:rsidRPr="00BD5E91">
        <w:rPr>
          <w:sz w:val="22"/>
          <w:szCs w:val="22"/>
          <w:rtl/>
        </w:rPr>
        <w:t xml:space="preserve"> ר"ל ביצירה:</w:t>
      </w:r>
    </w:p>
  </w:footnote>
  <w:footnote w:id="586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אלין אופנים כו'.</w:t>
      </w:r>
      <w:r w:rsidRPr="00BD5E91">
        <w:rPr>
          <w:sz w:val="22"/>
          <w:szCs w:val="22"/>
          <w:rtl/>
        </w:rPr>
        <w:t xml:space="preserve"> בעשיה:</w:t>
      </w:r>
    </w:p>
  </w:footnote>
  <w:footnote w:id="586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דבגין האי חיבורא כו'.</w:t>
      </w:r>
      <w:r w:rsidRPr="00BD5E91">
        <w:rPr>
          <w:sz w:val="22"/>
          <w:szCs w:val="22"/>
          <w:rtl/>
        </w:rPr>
        <w:t xml:space="preserve"> ר"ל בשביל הזוהר דהוא חירו לה ולבנהא היא רובצת על כולם:</w:t>
      </w:r>
    </w:p>
  </w:footnote>
  <w:footnote w:id="586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לא תקח כו' אלין כו'.</w:t>
      </w:r>
      <w:r w:rsidRPr="00BD5E91">
        <w:rPr>
          <w:sz w:val="22"/>
          <w:szCs w:val="22"/>
          <w:rtl/>
        </w:rPr>
        <w:t xml:space="preserve"> ר"ל נשמתין דבריאה, דלעיל קאמר דרוחיהון כו':</w:t>
      </w:r>
    </w:p>
  </w:footnote>
  <w:footnote w:id="586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כל מין ומין הכי כו'.</w:t>
      </w:r>
      <w:r w:rsidRPr="00BD5E91">
        <w:rPr>
          <w:sz w:val="22"/>
          <w:szCs w:val="22"/>
          <w:rtl/>
        </w:rPr>
        <w:t xml:space="preserve"> ר"ל כל בעל מדה מכל מדות הנ"ל:</w:t>
      </w:r>
    </w:p>
  </w:footnote>
  <w:footnote w:id="587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ואחרנין דלאו כו'.</w:t>
      </w:r>
      <w:r w:rsidRPr="00BD5E91">
        <w:rPr>
          <w:sz w:val="22"/>
          <w:szCs w:val="22"/>
          <w:rtl/>
        </w:rPr>
        <w:t xml:space="preserve"> כמו בתיבה, אותן שקלקלו לא קיבלה התיבה כמ"ש (סנהדרין קח ע"ב) העבירן לפני התיבה כו':</w:t>
      </w:r>
    </w:p>
  </w:footnote>
  <w:footnote w:id="587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ואת אשר איננו כו'.</w:t>
      </w:r>
      <w:r w:rsidRPr="00BD5E91">
        <w:rPr>
          <w:sz w:val="22"/>
          <w:szCs w:val="22"/>
          <w:rtl/>
        </w:rPr>
        <w:t xml:space="preserve"> ר"ל אף הדורות הבאין אחריו, כולם מקננין ביה ולומדים ממנו:</w:t>
      </w:r>
    </w:p>
  </w:footnote>
  <w:footnote w:id="587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ומצדיקי.</w:t>
      </w:r>
      <w:r w:rsidRPr="00BD5E91">
        <w:rPr>
          <w:sz w:val="22"/>
          <w:szCs w:val="22"/>
          <w:rtl/>
        </w:rPr>
        <w:t xml:space="preserve"> כנ"ל צדיקים יבאו בו כו':</w:t>
      </w:r>
    </w:p>
  </w:footnote>
  <w:footnote w:id="587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ככוכבים.</w:t>
      </w:r>
      <w:r w:rsidRPr="00BD5E91">
        <w:rPr>
          <w:sz w:val="22"/>
          <w:szCs w:val="22"/>
          <w:rtl/>
        </w:rPr>
        <w:t xml:space="preserve"> ר"ל כמ"ש בזוהר כשמשא אע"ג דאיתכניש נהיר בככביא כו':</w:t>
      </w:r>
    </w:p>
  </w:footnote>
  <w:footnote w:id="587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לעולם ועד.</w:t>
      </w:r>
      <w:r w:rsidRPr="00BD5E91">
        <w:rPr>
          <w:sz w:val="22"/>
          <w:szCs w:val="22"/>
          <w:rtl/>
        </w:rPr>
        <w:t xml:space="preserve"> כמו שמפרש והולך כאותן כוכבים שקיימים לעולם ועד, שהן מסט' דקדושה, ולא כאותן מסט' דס"א והן נשמות הרשעים:</w:t>
      </w:r>
    </w:p>
  </w:footnote>
  <w:footnote w:id="587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ככוכבי השמים כו'.</w:t>
      </w:r>
      <w:r w:rsidRPr="00BD5E91">
        <w:rPr>
          <w:sz w:val="22"/>
          <w:szCs w:val="22"/>
          <w:rtl/>
        </w:rPr>
        <w:t xml:space="preserve"> ר"ל בה' ידיעא דאיהו כו' תשמע השמים שהוא עד"א:</w:t>
      </w:r>
    </w:p>
  </w:footnote>
  <w:footnote w:id="587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מן שמיא.</w:t>
      </w:r>
      <w:r w:rsidRPr="00BD5E91">
        <w:rPr>
          <w:sz w:val="22"/>
          <w:szCs w:val="22"/>
          <w:rtl/>
        </w:rPr>
        <w:t xml:space="preserve"> שהוא ס"מ, זה לעומת זה. דאתמר כו', וכן כוכבים שלו כנ"ל:</w:t>
      </w:r>
    </w:p>
  </w:footnote>
  <w:footnote w:id="587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ואתה תעמוד.</w:t>
      </w:r>
      <w:r w:rsidRPr="00BD5E91">
        <w:rPr>
          <w:sz w:val="22"/>
          <w:szCs w:val="22"/>
          <w:rtl/>
        </w:rPr>
        <w:t xml:space="preserve"> ר"ל אתה תשמע השמים כנ"ל. וכלל הענין: והמשכילים כו'. הן ר"ש וחביריו; ומצדיקי הרבים כו'. הן דמתכנשין לגביה, את אשר כו', כנ"ל:</w:t>
      </w:r>
    </w:p>
  </w:footnote>
  <w:footnote w:id="587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דאינון מילין כו'.</w:t>
      </w:r>
      <w:r w:rsidRPr="00BD5E91">
        <w:rPr>
          <w:sz w:val="22"/>
          <w:szCs w:val="22"/>
          <w:rtl/>
        </w:rPr>
        <w:t xml:space="preserve"> ר"ל אותן הדברים שבספר הזוהר:</w:t>
      </w:r>
    </w:p>
  </w:footnote>
  <w:footnote w:id="587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דעליייהו כו' מספרים כו.</w:t>
      </w:r>
      <w:r w:rsidRPr="00BD5E91">
        <w:rPr>
          <w:sz w:val="22"/>
          <w:szCs w:val="22"/>
          <w:rtl/>
        </w:rPr>
        <w:t xml:space="preserve"> ר"ל ל</w:t>
      </w:r>
      <w:r w:rsidRPr="00BD5E91">
        <w:rPr>
          <w:rFonts w:hint="cs"/>
          <w:sz w:val="22"/>
          <w:szCs w:val="22"/>
          <w:rtl/>
        </w:rPr>
        <w:t>שון</w:t>
      </w:r>
      <w:r w:rsidRPr="00BD5E91">
        <w:rPr>
          <w:sz w:val="22"/>
          <w:szCs w:val="22"/>
          <w:rtl/>
        </w:rPr>
        <w:t xml:space="preserve"> דברים</w:t>
      </w:r>
      <w:r w:rsidRPr="00BD5E91">
        <w:rPr>
          <w:rFonts w:hint="cs"/>
          <w:sz w:val="22"/>
          <w:szCs w:val="22"/>
          <w:rtl/>
        </w:rPr>
        <w:t>.</w:t>
      </w:r>
      <w:r w:rsidRPr="00BD5E91">
        <w:rPr>
          <w:sz w:val="22"/>
          <w:szCs w:val="22"/>
          <w:rtl/>
        </w:rPr>
        <w:t xml:space="preserve"> כבוד אל. הן עשר ספירות שנקראו עשר חכמות מסט' דחכמה כמ"ש לקמן, לכך נק' כבוד קל, וכך אותן שידעו גזירו דנשמתין מהן - הן משכילים, וכן קראן לעיל המשכילים - אותן שחיברו הזוהר, שהשכילו בע"ס:</w:t>
      </w:r>
    </w:p>
  </w:footnote>
  <w:footnote w:id="588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דכלהו מליין סגולות.</w:t>
      </w:r>
      <w:r w:rsidRPr="00BD5E91">
        <w:rPr>
          <w:sz w:val="22"/>
          <w:szCs w:val="22"/>
          <w:rtl/>
        </w:rPr>
        <w:t xml:space="preserve"> ר"ל כל הספירות שזה באין ממנו צדיקים כמ"ש והולך:</w:t>
      </w:r>
    </w:p>
  </w:footnote>
  <w:footnote w:id="588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ואינון אנשי כו'.</w:t>
      </w:r>
      <w:r w:rsidRPr="00BD5E91">
        <w:rPr>
          <w:sz w:val="22"/>
          <w:szCs w:val="22"/>
          <w:rtl/>
        </w:rPr>
        <w:t xml:space="preserve"> ר"ל שנשמתן מהן באים, ושם חקוקים מצד השגתם:</w:t>
      </w:r>
    </w:p>
  </w:footnote>
  <w:footnote w:id="588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עומדים בפרץ כו'.</w:t>
      </w:r>
      <w:r w:rsidRPr="00BD5E91">
        <w:rPr>
          <w:sz w:val="22"/>
          <w:szCs w:val="22"/>
          <w:rtl/>
        </w:rPr>
        <w:t xml:space="preserve"> שמסט' דגבורה הוא הפרץ כו'. והן עומדים כו':</w:t>
      </w:r>
    </w:p>
  </w:footnote>
  <w:footnote w:id="588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ערבוביא בישא.</w:t>
      </w:r>
      <w:r w:rsidRPr="00BD5E91">
        <w:rPr>
          <w:sz w:val="22"/>
          <w:szCs w:val="22"/>
          <w:rtl/>
        </w:rPr>
        <w:t xml:space="preserve"> שבאין מערב רב, שהן בעלי מדות רעים כמ"ש בזוהר:</w:t>
      </w:r>
    </w:p>
  </w:footnote>
  <w:footnote w:id="588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סוד ה' ליראיו.</w:t>
      </w:r>
      <w:r w:rsidRPr="00BD5E91">
        <w:rPr>
          <w:sz w:val="22"/>
          <w:szCs w:val="22"/>
          <w:rtl/>
        </w:rPr>
        <w:t xml:space="preserve"> ר"ל, יראיו הוא י', ועם סוד הוא יסוד, ונאמר ליראיו דוקא, ואם לאו - אסתלק מיניה:</w:t>
      </w:r>
    </w:p>
  </w:footnote>
  <w:footnote w:id="588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אזלו.</w:t>
      </w:r>
      <w:r w:rsidRPr="00BD5E91">
        <w:rPr>
          <w:sz w:val="22"/>
          <w:szCs w:val="22"/>
          <w:rtl/>
        </w:rPr>
        <w:t xml:space="preserve"> ים הוא מלכות, ונהר הוא יסוד, כמ"ש בת"ז</w:t>
      </w:r>
      <w:r w:rsidRPr="00BD5E91">
        <w:rPr>
          <w:rFonts w:hint="cs"/>
          <w:sz w:val="22"/>
          <w:szCs w:val="22"/>
          <w:rtl/>
        </w:rPr>
        <w:t xml:space="preserve"> (בהקדמה עג ע"א)</w:t>
      </w:r>
      <w:r w:rsidRPr="00BD5E91">
        <w:rPr>
          <w:sz w:val="22"/>
          <w:szCs w:val="22"/>
          <w:rtl/>
        </w:rPr>
        <w:t>:</w:t>
      </w:r>
    </w:p>
  </w:footnote>
  <w:footnote w:id="588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אינון צדיקייא כו'.</w:t>
      </w:r>
      <w:r w:rsidRPr="00BD5E91">
        <w:rPr>
          <w:sz w:val="22"/>
          <w:szCs w:val="22"/>
          <w:rtl/>
        </w:rPr>
        <w:t xml:space="preserve"> שהם בדרגא דצדיק:</w:t>
      </w:r>
    </w:p>
  </w:footnote>
  <w:footnote w:id="588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דאור רז אתקרי.</w:t>
      </w:r>
      <w:r w:rsidRPr="00BD5E91">
        <w:rPr>
          <w:sz w:val="22"/>
          <w:szCs w:val="22"/>
          <w:rtl/>
        </w:rPr>
        <w:t xml:space="preserve"> ר"ל אור גי' רז, ולכך גרם לאנהרא כו':</w:t>
      </w:r>
    </w:p>
  </w:footnote>
  <w:footnote w:id="588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דעל שמיה כו'.</w:t>
      </w:r>
      <w:r w:rsidRPr="00BD5E91">
        <w:rPr>
          <w:sz w:val="22"/>
          <w:szCs w:val="22"/>
          <w:rtl/>
        </w:rPr>
        <w:t xml:space="preserve"> כנ"ל ע"י ההוא דאתגלייא:</w:t>
      </w:r>
    </w:p>
  </w:footnote>
  <w:footnote w:id="588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נשמת כל חי דאצילות כו'.</w:t>
      </w:r>
      <w:r w:rsidRPr="00BD5E91">
        <w:rPr>
          <w:sz w:val="22"/>
          <w:szCs w:val="22"/>
          <w:rtl/>
        </w:rPr>
        <w:t xml:space="preserve"> ר"ל דאימא עילאה נקרא חיים, עץ חיים כמ"ש בהת"ז</w:t>
      </w:r>
      <w:r w:rsidRPr="00BD5E91">
        <w:rPr>
          <w:rFonts w:hint="cs"/>
          <w:sz w:val="22"/>
          <w:szCs w:val="22"/>
          <w:rtl/>
        </w:rPr>
        <w:t xml:space="preserve"> (בהקדמה עד ע"ב)</w:t>
      </w:r>
      <w:r w:rsidRPr="00BD5E91">
        <w:rPr>
          <w:sz w:val="22"/>
          <w:szCs w:val="22"/>
          <w:rtl/>
        </w:rPr>
        <w:t xml:space="preserve"> ע"ש, ור"ל שלכך פרחת בהון שהיא מאימא עילאה שנקרא בעל כנפים כמ"של ולכך הם ז' שמות - דאתפשטותה בז' כמש"ל, ולכך שש כנפים לאחד כלומר ששה אותיות בכל אחד, דנשמתא אתקרייא שרפים מס' דבינה, וז"ש ואימא עילאה איהי הנשר כו':</w:t>
      </w:r>
    </w:p>
  </w:footnote>
  <w:footnote w:id="589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אדם הגדול כו'.</w:t>
      </w:r>
      <w:r w:rsidRPr="00BD5E91">
        <w:rPr>
          <w:sz w:val="22"/>
          <w:szCs w:val="22"/>
          <w:rtl/>
        </w:rPr>
        <w:t xml:space="preserve"> הולך ומפרש כל ד' חיות המרכבה, ונקרא הגדול, וכן בינה נשר הגדול, לפי שיש אדם ונשר בז' תחתונות [במרכבה]:</w:t>
      </w:r>
    </w:p>
  </w:footnote>
  <w:footnote w:id="589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ועשר חכמות כו'.</w:t>
      </w:r>
      <w:r w:rsidRPr="00BD5E91">
        <w:rPr>
          <w:sz w:val="22"/>
          <w:szCs w:val="22"/>
          <w:rtl/>
        </w:rPr>
        <w:t xml:space="preserve"> ר"ל שע"ס נקראו חכמות מסטריה, ואפי' כתר עליון שהוא למעלה ממנו, וז"ש וכתר כו' וכל עניינו לפרש אימא כו' איתפשטותה בשבע:</w:t>
      </w:r>
    </w:p>
  </w:footnote>
  <w:footnote w:id="589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אז.</w:t>
      </w:r>
      <w:r w:rsidRPr="00BD5E91">
        <w:rPr>
          <w:sz w:val="22"/>
          <w:szCs w:val="22"/>
          <w:rtl/>
        </w:rPr>
        <w:t xml:space="preserve"> ר"ל א' ז':</w:t>
      </w:r>
    </w:p>
  </w:footnote>
  <w:footnote w:id="589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את האם דאצילות.</w:t>
      </w:r>
      <w:r w:rsidRPr="00BD5E91">
        <w:rPr>
          <w:sz w:val="22"/>
          <w:szCs w:val="22"/>
          <w:rtl/>
        </w:rPr>
        <w:t xml:space="preserve"> ר"ל אימא עילאה על ז"ס ור"ל שהיא נקראת צפור שהיא נשר בעל כנפים (יחזקאל יז ג) ולזה אמר אתפשטותה בשבע ר"ל שהיא מרחפת על ז' הבנים כנשר על גוזליו ירחף (דברים לב יא), וכן אמר לעיל ועשר חכמות כו' ואיהו יו"ד כו' ר"ל שלכך נקרא אדם גי' מ"ה:</w:t>
      </w:r>
    </w:p>
  </w:footnote>
  <w:footnote w:id="589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דאתמר ביה ודמות. </w:t>
      </w:r>
      <w:r w:rsidRPr="00BD5E91">
        <w:rPr>
          <w:sz w:val="22"/>
          <w:szCs w:val="22"/>
          <w:rtl/>
        </w:rPr>
        <w:t>ר"ל שלכולם פני אדם, שכולן הן נכללין בת"ת, עד"א:</w:t>
      </w:r>
    </w:p>
  </w:footnote>
  <w:footnote w:id="589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האי איהו רזא כו'.</w:t>
      </w:r>
      <w:r w:rsidRPr="00BD5E91">
        <w:rPr>
          <w:sz w:val="22"/>
          <w:szCs w:val="22"/>
          <w:rtl/>
        </w:rPr>
        <w:t xml:space="preserve"> ר"ל שכאן קרא לכל הספירות ד' חיות המרכבה:</w:t>
      </w:r>
    </w:p>
  </w:footnote>
  <w:footnote w:id="589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אבל מסטרא כו'.</w:t>
      </w:r>
      <w:r w:rsidRPr="00BD5E91">
        <w:rPr>
          <w:sz w:val="22"/>
          <w:szCs w:val="22"/>
          <w:rtl/>
        </w:rPr>
        <w:t xml:space="preserve"> ר"ל שלמעלה חשיב ג' מרכבות: מחכמה ולמטה א', מת"ת ולמטה א', ומלכות כלילא בה א' וכולן חיות, אבל מסטרא כו'. ר"ל מסטרא דנשמתא שהיא מאימא נקראו שרפים והם בעלי שש כנפים של ישעיה (ו ב) עומדים ממעל לו ר"ל לו' שהוא ת"ת. מסט' דרוח שהוא מת"ת נקראו חיות, ומסט' דנפש שהוא ממלכות נקראו אופנים, וכולן הן בדוגמא אחת שלכולם ד' פנים שהן ד' ספירות:</w:t>
      </w:r>
    </w:p>
  </w:footnote>
  <w:footnote w:id="589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מראיהן כגחלי אש.</w:t>
      </w:r>
      <w:r w:rsidRPr="00BD5E91">
        <w:rPr>
          <w:sz w:val="22"/>
          <w:szCs w:val="22"/>
          <w:rtl/>
        </w:rPr>
        <w:t xml:space="preserve"> ר"ל שהן אש בוערות כשרפים:</w:t>
      </w:r>
    </w:p>
  </w:footnote>
  <w:footnote w:id="589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דא ואתמר כו' דמות אדם.</w:t>
      </w:r>
      <w:r w:rsidRPr="00BD5E91">
        <w:rPr>
          <w:sz w:val="22"/>
          <w:szCs w:val="22"/>
          <w:rtl/>
        </w:rPr>
        <w:t xml:space="preserve"> ר"ל שהוא ת"ת:</w:t>
      </w:r>
    </w:p>
  </w:footnote>
  <w:footnote w:id="589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ואית לה כו'.</w:t>
      </w:r>
      <w:r w:rsidRPr="00BD5E91">
        <w:rPr>
          <w:sz w:val="22"/>
          <w:szCs w:val="22"/>
          <w:rtl/>
        </w:rPr>
        <w:t xml:space="preserve"> ר"ל שהן בדוגמא א' כנ"ל:</w:t>
      </w:r>
    </w:p>
  </w:footnote>
  <w:footnote w:id="590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המרכבה דאינון .</w:t>
      </w:r>
      <w:r w:rsidRPr="00BD5E91">
        <w:rPr>
          <w:sz w:val="22"/>
          <w:szCs w:val="22"/>
          <w:rtl/>
        </w:rPr>
        <w:t xml:space="preserve"> נ"ל דצ"ל האופנים אינון. ר"ל האופנים ל' רבים הן נו"ה:</w:t>
      </w:r>
    </w:p>
  </w:footnote>
  <w:footnote w:id="590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והנה כו'.</w:t>
      </w:r>
      <w:r w:rsidRPr="00BD5E91">
        <w:rPr>
          <w:sz w:val="22"/>
          <w:szCs w:val="22"/>
          <w:rtl/>
        </w:rPr>
        <w:t xml:space="preserve"> עם מלכות הן ד' אנפין:</w:t>
      </w:r>
    </w:p>
  </w:footnote>
  <w:footnote w:id="590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וכלהו לעילא.</w:t>
      </w:r>
      <w:r w:rsidRPr="00BD5E91">
        <w:rPr>
          <w:sz w:val="22"/>
          <w:szCs w:val="22"/>
          <w:rtl/>
        </w:rPr>
        <w:t xml:space="preserve"> ר"ל שכולן למעלה בספירות. מלכות ת"ת בינה:</w:t>
      </w:r>
    </w:p>
  </w:footnote>
  <w:footnote w:id="590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אדון יחיד כו'.</w:t>
      </w:r>
      <w:r w:rsidRPr="00BD5E91">
        <w:rPr>
          <w:sz w:val="22"/>
          <w:szCs w:val="22"/>
          <w:rtl/>
        </w:rPr>
        <w:t xml:space="preserve"> ר"ל א"ס:</w:t>
      </w:r>
    </w:p>
  </w:footnote>
  <w:footnote w:id="590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כגוונא דא בינה כו'.</w:t>
      </w:r>
      <w:r w:rsidRPr="00BD5E91">
        <w:rPr>
          <w:sz w:val="22"/>
          <w:szCs w:val="22"/>
          <w:rtl/>
        </w:rPr>
        <w:t xml:space="preserve"> ר"ל שלכך נקראת בינה שכולל גם בן שהוא ו', וה' בתראה אינה אות בפ"ע אלא שלימו דג' אתוון כמ"ש בהת"ז ולכך אינה אות אחר, וגם היא נכללת בה. וכן בס' שלמטה בת"ת, ו"ק הן יה"ו, וה' בתראה שלימו דילהון, וכ"ש במלכות ששם הויה שלימה כמ"ש בהת"ז. ולכן בכל הג' חיות שמתחלת מבינה - ד' פנים, אבל אדם הוא בחכמה הוא דמות אדם לארבעתן, ועיין בתיקונים. וכן הוא במרכבה תניינא שמנצח ולמטה הוא ד' פנים לכל חיה, שמשם מתחלת מלכות כידוע, ולכן קאמר לעיל באופנים מסטרא דשכינה דמתחילין ד' פנים מנצח, ובמלכות היא הויה שלימה כנ"ל, ות"ת הוא דמות אדם לארבעתן שהוא דמות אדם שבמרכבה תניינא, ובכל דמות אדם אין בה רק כלילו דארבעה פנים של ג' חיות [האחרות]:</w:t>
      </w:r>
    </w:p>
  </w:footnote>
  <w:footnote w:id="590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ולקביל תשעה כו'.</w:t>
      </w:r>
      <w:r w:rsidRPr="00BD5E91">
        <w:rPr>
          <w:sz w:val="22"/>
          <w:szCs w:val="22"/>
          <w:rtl/>
        </w:rPr>
        <w:t xml:space="preserve"> ר"ל מחכמה ולמטה:</w:t>
      </w:r>
    </w:p>
  </w:footnote>
  <w:footnote w:id="590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ט' מראות.</w:t>
      </w:r>
      <w:r w:rsidRPr="00BD5E91">
        <w:rPr>
          <w:sz w:val="22"/>
          <w:szCs w:val="22"/>
          <w:rtl/>
        </w:rPr>
        <w:t xml:space="preserve"> מן הפסוק וממעל לרקיע עד סוף הפרשה נאמר ט' פעמים מראה כמ"ש והולך, ועל העשירית קאמר ואראה ול"ק מראה כמ"ש לקמן:</w:t>
      </w:r>
    </w:p>
  </w:footnote>
  <w:footnote w:id="590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דאיתמר בהון כו'.</w:t>
      </w:r>
      <w:r w:rsidRPr="00BD5E91">
        <w:rPr>
          <w:sz w:val="22"/>
          <w:szCs w:val="22"/>
          <w:rtl/>
        </w:rPr>
        <w:t xml:space="preserve"> ר"ל שנאמר מראות ל' רבים, משמע הרבה מראות, ונא' אלקים משמע שכל המראות הן בספירות:</w:t>
      </w:r>
    </w:p>
  </w:footnote>
  <w:footnote w:id="590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האי אבן איהו שכינתא.</w:t>
      </w:r>
      <w:r w:rsidRPr="00BD5E91">
        <w:rPr>
          <w:sz w:val="22"/>
          <w:szCs w:val="22"/>
          <w:rtl/>
        </w:rPr>
        <w:t xml:space="preserve"> כנ"ל האבן הזאת כו'. וכן אמר יעקב (בראשית כח כב) והאבן הזאת כו' יהיה בית אלקים:</w:t>
      </w:r>
    </w:p>
  </w:footnote>
  <w:footnote w:id="590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אבן ספיר.</w:t>
      </w:r>
      <w:r w:rsidRPr="00BD5E91">
        <w:rPr>
          <w:sz w:val="22"/>
          <w:szCs w:val="22"/>
          <w:rtl/>
        </w:rPr>
        <w:t xml:space="preserve"> ר"ל שהיא נקראת ספיר כמ"ש בהת"ז דאיהו ספיר גזרתם:</w:t>
      </w:r>
    </w:p>
  </w:footnote>
  <w:footnote w:id="591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מתתא לעילא.</w:t>
      </w:r>
      <w:r w:rsidRPr="00BD5E91">
        <w:rPr>
          <w:sz w:val="22"/>
          <w:szCs w:val="22"/>
          <w:rtl/>
        </w:rPr>
        <w:t xml:space="preserve"> כמ"ש והולך, חוץ עד"א שראה קודם צדיק כמ"ש לקמן:</w:t>
      </w:r>
    </w:p>
  </w:footnote>
  <w:footnote w:id="591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כמאן דחזא.</w:t>
      </w:r>
      <w:r w:rsidRPr="00BD5E91">
        <w:rPr>
          <w:sz w:val="22"/>
          <w:szCs w:val="22"/>
          <w:rtl/>
        </w:rPr>
        <w:t xml:space="preserve"> ר"ל מגו מטטרון כמ"ש בהת"ז שכל המראות חזא מגו מטטרון:</w:t>
      </w:r>
    </w:p>
  </w:footnote>
  <w:footnote w:id="591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עד"א.</w:t>
      </w:r>
      <w:r w:rsidRPr="00BD5E91">
        <w:rPr>
          <w:sz w:val="22"/>
          <w:szCs w:val="22"/>
          <w:rtl/>
        </w:rPr>
        <w:t xml:space="preserve"> שהוא נקרא אדם כידוע:</w:t>
      </w:r>
    </w:p>
  </w:footnote>
  <w:footnote w:id="591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וחזא ליה מגו מטטרון כו'.</w:t>
      </w:r>
      <w:r w:rsidRPr="00BD5E91">
        <w:rPr>
          <w:sz w:val="22"/>
          <w:szCs w:val="22"/>
          <w:rtl/>
        </w:rPr>
        <w:t xml:space="preserve"> נ"ל דחילוף גי' יש כאן דכאן צ"ל מגו שר הפנים ואצל צדיק צ"ל מגו מט"ט דאיהו שד"י. דת"ת נקרא פנים כידוע בסוד ופני לא יראו, וכן אמר בהת"ז דהוי' איהו מפתחות הפנימים ע"ש, וצדיק שמו שד"י כידוע וז"ש מגו מט"ט ר"ל שהוא גי' שד"י וז"ש דאיהו שד"י. ואמר אצל מלכות עששית שהיא אספקלריא דלא נהרא. ומה שפרט באלו השלשה מגו מט"ט לפי שאמר בהת"ז ואיהו רכב לת</w:t>
      </w:r>
      <w:r w:rsidRPr="00BD5E91">
        <w:rPr>
          <w:rFonts w:hint="cs"/>
          <w:sz w:val="22"/>
          <w:szCs w:val="22"/>
          <w:rtl/>
        </w:rPr>
        <w:t>ל</w:t>
      </w:r>
      <w:r w:rsidRPr="00BD5E91">
        <w:rPr>
          <w:sz w:val="22"/>
          <w:szCs w:val="22"/>
          <w:rtl/>
        </w:rPr>
        <w:t>ת סטרין אלין ע"ש:</w:t>
      </w:r>
    </w:p>
  </w:footnote>
  <w:footnote w:id="591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ודא צדיק כו'.</w:t>
      </w:r>
      <w:r w:rsidRPr="00BD5E91">
        <w:rPr>
          <w:sz w:val="22"/>
          <w:szCs w:val="22"/>
          <w:rtl/>
        </w:rPr>
        <w:t xml:space="preserve"> ואמר כמראה אש - דיצחק הוא קץ חי, ואמר בית לה סביב - דשכינה איקרי בית כמ"ש בת"ז </w:t>
      </w:r>
      <w:r w:rsidRPr="00BD5E91">
        <w:rPr>
          <w:rFonts w:hint="cs"/>
          <w:sz w:val="22"/>
          <w:szCs w:val="22"/>
          <w:rtl/>
        </w:rPr>
        <w:t xml:space="preserve">(דף א ע"ב) </w:t>
      </w:r>
      <w:r w:rsidRPr="00BD5E91">
        <w:rPr>
          <w:sz w:val="22"/>
          <w:szCs w:val="22"/>
          <w:rtl/>
        </w:rPr>
        <w:t>ואיהו סביב ליה כמ"ש (ירמיהו לא כא)</w:t>
      </w:r>
      <w:r w:rsidRPr="00BD5E91">
        <w:rPr>
          <w:rFonts w:hint="cs"/>
          <w:sz w:val="22"/>
          <w:szCs w:val="22"/>
          <w:rtl/>
        </w:rPr>
        <w:t xml:space="preserve"> </w:t>
      </w:r>
      <w:r w:rsidRPr="00BD5E91">
        <w:rPr>
          <w:sz w:val="22"/>
          <w:szCs w:val="22"/>
          <w:rtl/>
        </w:rPr>
        <w:t>נקבה תסובב גבר ועבהת"ז</w:t>
      </w:r>
      <w:r w:rsidRPr="00BD5E91">
        <w:rPr>
          <w:rFonts w:hint="cs"/>
          <w:sz w:val="22"/>
          <w:szCs w:val="22"/>
          <w:rtl/>
        </w:rPr>
        <w:t xml:space="preserve"> (דף ו ע"א)</w:t>
      </w:r>
      <w:r w:rsidRPr="00BD5E91">
        <w:rPr>
          <w:sz w:val="22"/>
          <w:szCs w:val="22"/>
          <w:rtl/>
        </w:rPr>
        <w:t>:</w:t>
      </w:r>
    </w:p>
  </w:footnote>
  <w:footnote w:id="591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איהו חשמל כללא כו'.</w:t>
      </w:r>
      <w:r w:rsidRPr="00BD5E91">
        <w:rPr>
          <w:sz w:val="22"/>
          <w:szCs w:val="22"/>
          <w:rtl/>
        </w:rPr>
        <w:t xml:space="preserve"> כמ"ש לקמן כד סלקין משריין כו' בחשאי וכד נחתו כו' ממללן עלייהו כו' כחדא יאקדונק"י:</w:t>
      </w:r>
    </w:p>
  </w:footnote>
  <w:footnote w:id="591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וד' אנפין כו'.</w:t>
      </w:r>
      <w:r w:rsidRPr="00BD5E91">
        <w:rPr>
          <w:sz w:val="22"/>
          <w:szCs w:val="22"/>
          <w:rtl/>
        </w:rPr>
        <w:t xml:space="preserve"> דמט"ט הוא חיה על גבי ד' חיות כידוע בסוד ארגמ"ן:</w:t>
      </w:r>
    </w:p>
  </w:footnote>
  <w:footnote w:id="591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כל חיה כו'.</w:t>
      </w:r>
      <w:r w:rsidRPr="00BD5E91">
        <w:rPr>
          <w:sz w:val="22"/>
          <w:szCs w:val="22"/>
          <w:rtl/>
        </w:rPr>
        <w:t xml:space="preserve"> מפרש והולך אנפין וגדפין של כל הד' חיות:</w:t>
      </w:r>
    </w:p>
  </w:footnote>
  <w:footnote w:id="591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וכולא קשוט.</w:t>
      </w:r>
      <w:r w:rsidRPr="00BD5E91">
        <w:rPr>
          <w:sz w:val="22"/>
          <w:szCs w:val="22"/>
          <w:rtl/>
        </w:rPr>
        <w:t xml:space="preserve"> ר"ל דאיהו לא חשיב אלא כללא דאנפין וגדפין:</w:t>
      </w:r>
    </w:p>
  </w:footnote>
  <w:footnote w:id="591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ודמות פניהם כו'.</w:t>
      </w:r>
      <w:r w:rsidRPr="00BD5E91">
        <w:rPr>
          <w:sz w:val="22"/>
          <w:szCs w:val="22"/>
          <w:rtl/>
        </w:rPr>
        <w:t xml:space="preserve"> דפני אדם כולל כל הפנים של כל ד' חיות כמ"ש בת"ז:</w:t>
      </w:r>
    </w:p>
  </w:footnote>
  <w:footnote w:id="592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[אנפין כו'.</w:t>
      </w:r>
      <w:r w:rsidRPr="00BD5E91">
        <w:rPr>
          <w:sz w:val="22"/>
          <w:szCs w:val="22"/>
          <w:rtl/>
        </w:rPr>
        <w:t xml:space="preserve"> מוסב למעלה ומ"ב דלעיל הוא נהורא דע"ב כמ"ש לקמן*</w:t>
      </w:r>
      <w:r w:rsidRPr="00BD5E91">
        <w:rPr>
          <w:rFonts w:hint="cs"/>
          <w:sz w:val="22"/>
          <w:szCs w:val="22"/>
          <w:rtl/>
        </w:rPr>
        <w:t xml:space="preserve"> </w:t>
      </w:r>
      <w:r w:rsidRPr="00BD5E91">
        <w:rPr>
          <w:sz w:val="22"/>
          <w:szCs w:val="22"/>
          <w:rtl/>
        </w:rPr>
        <w:t>(*בהע"א מצאתי שהמוסגר הזה צ"ל להלן על ואתמר בגדפין כו')]:</w:t>
      </w:r>
    </w:p>
  </w:footnote>
  <w:footnote w:id="592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עם תמניא אתוון כו'.</w:t>
      </w:r>
      <w:r w:rsidRPr="00BD5E91">
        <w:rPr>
          <w:sz w:val="22"/>
          <w:szCs w:val="22"/>
          <w:rtl/>
        </w:rPr>
        <w:t xml:space="preserve"> אע"ג דתמניא אתוון - ד' באנפין וד' בגדפין כנ"ל, מ"מ הן נכללין זה בזה כי הן משולבין כנ"ל וכן מט"ט יש לו ב' שמות מט"ט ונוריאל כמו שאומר והחיות רצוא בנוריאל כו':</w:t>
      </w:r>
    </w:p>
  </w:footnote>
  <w:footnote w:id="592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דאינון כאתוון כו'.</w:t>
      </w:r>
      <w:r w:rsidRPr="00BD5E91">
        <w:rPr>
          <w:sz w:val="22"/>
          <w:szCs w:val="22"/>
          <w:rtl/>
        </w:rPr>
        <w:t xml:space="preserve"> ר"ל הגדפין לאנפין, דאותיות הן במלכות ונקודות בת"ת, ואמר לעיל וד' אנפין יקו"ק כו':</w:t>
      </w:r>
    </w:p>
  </w:footnote>
  <w:footnote w:id="592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ואינון נקודין כגוונא כו'.</w:t>
      </w:r>
      <w:r w:rsidRPr="00BD5E91">
        <w:rPr>
          <w:sz w:val="22"/>
          <w:szCs w:val="22"/>
          <w:rtl/>
        </w:rPr>
        <w:t xml:space="preserve"> ר"ל למה אמר על הטעמים מלאות עינים ומפ' והולך:</w:t>
      </w:r>
    </w:p>
  </w:footnote>
  <w:footnote w:id="592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ואינון אתוון כו'.</w:t>
      </w:r>
      <w:r w:rsidRPr="00BD5E91">
        <w:rPr>
          <w:sz w:val="22"/>
          <w:szCs w:val="22"/>
          <w:rtl/>
        </w:rPr>
        <w:t xml:space="preserve"> לכך נאמר וידי אדם מתחת כנפיהם:</w:t>
      </w:r>
    </w:p>
  </w:footnote>
  <w:footnote w:id="592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ואינון רמיזין בהאי כו'.</w:t>
      </w:r>
      <w:r w:rsidRPr="00BD5E91">
        <w:rPr>
          <w:sz w:val="22"/>
          <w:szCs w:val="22"/>
          <w:rtl/>
        </w:rPr>
        <w:t xml:space="preserve"> לא יכולתי להולמו, ונראה לי דהנקודות צ"ל בניקוד </w:t>
      </w:r>
      <w:r w:rsidRPr="00BD5E91">
        <w:rPr>
          <w:b/>
          <w:bCs/>
          <w:sz w:val="22"/>
          <w:szCs w:val="22"/>
          <w:rtl/>
        </w:rPr>
        <w:t>יְהָבְךָ</w:t>
      </w:r>
      <w:r w:rsidRPr="00BD5E91">
        <w:rPr>
          <w:sz w:val="22"/>
          <w:szCs w:val="22"/>
          <w:rtl/>
        </w:rPr>
        <w:t xml:space="preserve"> גי' ע"ב. ואמר דאינון על נקודין. ואותיות אין צריך לפרש כידוע מילוי דיודין, וטעמים הולך ומפרש:</w:t>
      </w:r>
    </w:p>
  </w:footnote>
  <w:footnote w:id="592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ועוד וגבותם כו'.</w:t>
      </w:r>
      <w:r w:rsidRPr="00BD5E91">
        <w:rPr>
          <w:sz w:val="22"/>
          <w:szCs w:val="22"/>
          <w:rtl/>
        </w:rPr>
        <w:t xml:space="preserve"> שהן כ"ד עיינין, וכל אחד כלול מג' תיבין כידוע:</w:t>
      </w:r>
    </w:p>
  </w:footnote>
  <w:footnote w:id="592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ואתמר בגדפין כו'.</w:t>
      </w:r>
      <w:r w:rsidRPr="00BD5E91">
        <w:rPr>
          <w:sz w:val="22"/>
          <w:szCs w:val="22"/>
          <w:rtl/>
        </w:rPr>
        <w:t xml:space="preserve"> הולך ומפרש מאי ניהו הד' גדפין:</w:t>
      </w:r>
    </w:p>
  </w:footnote>
  <w:footnote w:id="592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כגון שתי כו'.</w:t>
      </w:r>
      <w:r w:rsidRPr="00BD5E91">
        <w:rPr>
          <w:sz w:val="22"/>
          <w:szCs w:val="22"/>
          <w:rtl/>
        </w:rPr>
        <w:t xml:space="preserve"> שהן ג"ג כמ"ש והולך:</w:t>
      </w:r>
    </w:p>
  </w:footnote>
  <w:footnote w:id="592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כגון על שתי כו'.</w:t>
      </w:r>
      <w:r w:rsidRPr="00BD5E91">
        <w:rPr>
          <w:sz w:val="22"/>
          <w:szCs w:val="22"/>
          <w:rtl/>
        </w:rPr>
        <w:t xml:space="preserve"> שהן נו"ה קצות הגוף:</w:t>
      </w:r>
    </w:p>
  </w:footnote>
  <w:footnote w:id="593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איש ה' כו'.</w:t>
      </w:r>
      <w:r w:rsidRPr="00BD5E91">
        <w:rPr>
          <w:sz w:val="22"/>
          <w:szCs w:val="22"/>
          <w:rtl/>
        </w:rPr>
        <w:t xml:space="preserve"> מפ' שהוא ית' נקרא איש, והולך ומפרש באיזה ספירה קמיירי. וז"ש </w:t>
      </w:r>
      <w:r w:rsidRPr="00BD5E91">
        <w:rPr>
          <w:b/>
          <w:bCs/>
          <w:sz w:val="22"/>
          <w:szCs w:val="22"/>
          <w:rtl/>
        </w:rPr>
        <w:t>מאן איש</w:t>
      </w:r>
      <w:r w:rsidRPr="00BD5E91">
        <w:rPr>
          <w:sz w:val="22"/>
          <w:szCs w:val="22"/>
          <w:rtl/>
        </w:rPr>
        <w:t xml:space="preserve"> </w:t>
      </w:r>
      <w:r w:rsidRPr="00BD5E91">
        <w:rPr>
          <w:b/>
          <w:bCs/>
          <w:sz w:val="22"/>
          <w:szCs w:val="22"/>
          <w:rtl/>
        </w:rPr>
        <w:t>כו'</w:t>
      </w:r>
      <w:r w:rsidRPr="00BD5E91">
        <w:rPr>
          <w:sz w:val="22"/>
          <w:szCs w:val="22"/>
          <w:rtl/>
        </w:rPr>
        <w:t>:</w:t>
      </w:r>
    </w:p>
  </w:footnote>
  <w:footnote w:id="593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מעילא לתתא.</w:t>
      </w:r>
      <w:r w:rsidRPr="00BD5E91">
        <w:rPr>
          <w:sz w:val="22"/>
          <w:szCs w:val="22"/>
          <w:rtl/>
        </w:rPr>
        <w:t xml:space="preserve"> ר"ל שרוב פעמים מפ' אדם אחר ד' חיות לתתא לכך קאמר כאן מעילא כו':</w:t>
      </w:r>
    </w:p>
  </w:footnote>
  <w:footnote w:id="593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אתקריאת חכמה כו'.</w:t>
      </w:r>
      <w:r w:rsidRPr="00BD5E91">
        <w:rPr>
          <w:sz w:val="22"/>
          <w:szCs w:val="22"/>
          <w:rtl/>
        </w:rPr>
        <w:t xml:space="preserve"> ר"ל כמו שנקרא אדם של ד' חיות כן נקרא איש ולקמן מפ' למה נקרא איש ולא תיקשי לך שאמר לעיל כמראה אדם קאי על עד"א לכך אמר לזמנין כו':</w:t>
      </w:r>
    </w:p>
  </w:footnote>
  <w:footnote w:id="593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האדם בתוספת ה'.</w:t>
      </w:r>
      <w:r w:rsidRPr="00BD5E91">
        <w:rPr>
          <w:sz w:val="22"/>
          <w:szCs w:val="22"/>
          <w:rtl/>
        </w:rPr>
        <w:t xml:space="preserve"> שהיא ה' עילאה והאד"ם גי' נ' תרעין דילה, וחכמה נקראת אדם כנ"ל גי' מ"ה:</w:t>
      </w:r>
    </w:p>
  </w:footnote>
  <w:footnote w:id="593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איש א' כתר.</w:t>
      </w:r>
      <w:r w:rsidRPr="00BD5E91">
        <w:rPr>
          <w:sz w:val="22"/>
          <w:szCs w:val="22"/>
          <w:rtl/>
        </w:rPr>
        <w:t xml:space="preserve"> כידוע בסוד פלא:</w:t>
      </w:r>
    </w:p>
  </w:footnote>
  <w:footnote w:id="593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י' חכמה.</w:t>
      </w:r>
      <w:r w:rsidRPr="00BD5E91">
        <w:rPr>
          <w:sz w:val="22"/>
          <w:szCs w:val="22"/>
          <w:rtl/>
        </w:rPr>
        <w:t xml:space="preserve"> יוד של השם:</w:t>
      </w:r>
    </w:p>
  </w:footnote>
  <w:footnote w:id="593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ש' כו'.</w:t>
      </w:r>
      <w:r w:rsidRPr="00BD5E91">
        <w:rPr>
          <w:sz w:val="22"/>
          <w:szCs w:val="22"/>
          <w:rtl/>
        </w:rPr>
        <w:t xml:space="preserve"> לשון שובה, שהת' נוסף. ור"ל שאיש כולל ג' ראשונות מסט' דחכמה והולך ומפרש ז' תחתונות:</w:t>
      </w:r>
    </w:p>
  </w:footnote>
  <w:footnote w:id="593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שתים חוברות כו'.</w:t>
      </w:r>
      <w:r w:rsidRPr="00BD5E91">
        <w:rPr>
          <w:sz w:val="22"/>
          <w:szCs w:val="22"/>
          <w:rtl/>
        </w:rPr>
        <w:t xml:space="preserve"> כנ"ל והן חוברות לג' ראשונות וז"ש חוברות איש:</w:t>
      </w:r>
    </w:p>
  </w:footnote>
  <w:footnote w:id="593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ועד"א ושכינתי' עלייהו אתמר והיו הכרובים.</w:t>
      </w:r>
      <w:r w:rsidRPr="00BD5E91">
        <w:rPr>
          <w:sz w:val="22"/>
          <w:szCs w:val="22"/>
          <w:rtl/>
        </w:rPr>
        <w:t xml:space="preserve"> שהן נקראו כרובים, ומחוברים למטה בכפורת שהוא יסוד, ור"ל לפרש בכאן כמו סיוע למעלה שהד' גדפין הן ג"ג ונו"ה:</w:t>
      </w:r>
    </w:p>
  </w:footnote>
  <w:footnote w:id="593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דאינון אנפין דכרובי.</w:t>
      </w:r>
      <w:r w:rsidRPr="00BD5E91">
        <w:rPr>
          <w:sz w:val="22"/>
          <w:szCs w:val="22"/>
          <w:rtl/>
        </w:rPr>
        <w:t xml:space="preserve"> שחו"ב הן בראש ופנים, וחכמה הוא פני ת"ת, ובינה פני מלכות. איש שהוא חכמה כנ"ל אל אחיו בינה:</w:t>
      </w:r>
    </w:p>
  </w:footnote>
  <w:footnote w:id="594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ולמאן הוו כו'.</w:t>
      </w:r>
      <w:r w:rsidRPr="00BD5E91">
        <w:rPr>
          <w:sz w:val="22"/>
          <w:szCs w:val="22"/>
          <w:rtl/>
        </w:rPr>
        <w:t xml:space="preserve"> ר"ל שנאמר אצל הכנפים פרשי כנפים למעלה, אע"פ שאמר לעילא ימינא ושמאלא מ"מ למעלה מיותר וכאן עיקר הפירוש של למעלה, ואצל אנפין ופניהם כו' אל הכפורת ומפ' מאן הוא הכפורת וז"ש ולמאן הוו פרשי גדפייהו ומסתכלין כו':</w:t>
      </w:r>
    </w:p>
  </w:footnote>
  <w:footnote w:id="594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לההוא דעאל הו'.</w:t>
      </w:r>
      <w:r w:rsidRPr="00BD5E91">
        <w:rPr>
          <w:sz w:val="22"/>
          <w:szCs w:val="22"/>
          <w:rtl/>
        </w:rPr>
        <w:t xml:space="preserve"> ר"ל א"ס:</w:t>
      </w:r>
    </w:p>
  </w:footnote>
  <w:footnote w:id="594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דאיהו מכוסה.</w:t>
      </w:r>
      <w:r w:rsidRPr="00BD5E91">
        <w:rPr>
          <w:sz w:val="22"/>
          <w:szCs w:val="22"/>
          <w:rtl/>
        </w:rPr>
        <w:t xml:space="preserve"> שלכך נקרא כפורת כמ"ש לעיל אצל צדיק:</w:t>
      </w:r>
    </w:p>
  </w:footnote>
  <w:footnote w:id="594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דעליה כו'.</w:t>
      </w:r>
      <w:r w:rsidRPr="00BD5E91">
        <w:rPr>
          <w:sz w:val="22"/>
          <w:szCs w:val="22"/>
          <w:rtl/>
        </w:rPr>
        <w:t xml:space="preserve"> ר"ל במופלא הוא כתר כנ"ל פלא, ובמכוסה הוא א"ס מכוסה בכתר, ולזה אמר אל תחקור שאפי' החקירה אסור בו:</w:t>
      </w:r>
    </w:p>
  </w:footnote>
  <w:footnote w:id="594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וכרובים לגביה כו'.</w:t>
      </w:r>
      <w:r w:rsidRPr="00BD5E91">
        <w:rPr>
          <w:sz w:val="22"/>
          <w:szCs w:val="22"/>
          <w:rtl/>
        </w:rPr>
        <w:t xml:space="preserve"> ר"ל לכך נאמר פורשי כנפים למעלה:</w:t>
      </w:r>
    </w:p>
  </w:footnote>
  <w:footnote w:id="594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וישמע את כו'.</w:t>
      </w:r>
      <w:r w:rsidRPr="00BD5E91">
        <w:rPr>
          <w:sz w:val="22"/>
          <w:szCs w:val="22"/>
          <w:rtl/>
        </w:rPr>
        <w:t xml:space="preserve"> ג"כ מפרש הענין ראשון כרובים וכפרת:</w:t>
      </w:r>
    </w:p>
  </w:footnote>
  <w:footnote w:id="594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את הקול כו'.</w:t>
      </w:r>
      <w:r w:rsidRPr="00BD5E91">
        <w:rPr>
          <w:sz w:val="22"/>
          <w:szCs w:val="22"/>
          <w:rtl/>
        </w:rPr>
        <w:t xml:space="preserve"> כידוע קול ודיבור:</w:t>
      </w:r>
    </w:p>
  </w:footnote>
  <w:footnote w:id="594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לעילא מגו אבא.</w:t>
      </w:r>
      <w:r w:rsidRPr="00BD5E91">
        <w:rPr>
          <w:sz w:val="22"/>
          <w:szCs w:val="22"/>
          <w:rtl/>
        </w:rPr>
        <w:t xml:space="preserve"> ר"ל שנאמר מעל הכפרת שמשם יצא הקול, וכפרת הוא יסוד, ועל הכפרת הוא ת"ת, ומעל הוא אבא:</w:t>
      </w:r>
    </w:p>
  </w:footnote>
  <w:footnote w:id="594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ומילולא כו'.</w:t>
      </w:r>
      <w:r w:rsidRPr="00BD5E91">
        <w:rPr>
          <w:sz w:val="22"/>
          <w:szCs w:val="22"/>
          <w:rtl/>
        </w:rPr>
        <w:t xml:space="preserve"> ר"ל דיבור של אימא, וכאן כל ד' אותיות הויה בפסוק, וכן בפסוקים דלעיל כל הע"ס כתובין שם:</w:t>
      </w:r>
    </w:p>
  </w:footnote>
  <w:footnote w:id="594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ולמעלה נצח כו'.</w:t>
      </w:r>
      <w:r w:rsidRPr="00BD5E91">
        <w:rPr>
          <w:sz w:val="22"/>
          <w:szCs w:val="22"/>
          <w:rtl/>
        </w:rPr>
        <w:t xml:space="preserve"> דנצח הוא מעלה, והוד מטה, של ו"ק, כמ"ש בהת"ז</w:t>
      </w:r>
      <w:r w:rsidRPr="00BD5E91">
        <w:rPr>
          <w:rFonts w:hint="cs"/>
          <w:sz w:val="22"/>
          <w:szCs w:val="22"/>
          <w:rtl/>
        </w:rPr>
        <w:t xml:space="preserve"> (אולי הכוונה בהקדה שניה. ג.פ)</w:t>
      </w:r>
      <w:r w:rsidRPr="00BD5E91">
        <w:rPr>
          <w:sz w:val="22"/>
          <w:szCs w:val="22"/>
          <w:rtl/>
        </w:rPr>
        <w:t>:</w:t>
      </w:r>
    </w:p>
  </w:footnote>
  <w:footnote w:id="595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דאנון תרין שוקין.</w:t>
      </w:r>
      <w:r w:rsidRPr="00BD5E91">
        <w:rPr>
          <w:sz w:val="22"/>
          <w:szCs w:val="22"/>
          <w:rtl/>
        </w:rPr>
        <w:t xml:space="preserve"> ר"ל לכך נאמר בשניהם מתניו:</w:t>
      </w:r>
    </w:p>
  </w:footnote>
  <w:footnote w:id="595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דמתמן אינון שנים כו'.</w:t>
      </w:r>
      <w:r w:rsidRPr="00BD5E91">
        <w:rPr>
          <w:sz w:val="22"/>
          <w:szCs w:val="22"/>
          <w:rtl/>
        </w:rPr>
        <w:t xml:space="preserve"> ר"ל דהכרובים הן אש כמ"ש (יחזקאל י ב) ומלא חפניך גחלי אש מבינות לכרובים, ונאמר (שמות כה יח) כרובים זהב, וזהב הוא מגבורה כמ"ש והולך וע"כ אש הוא בגבורה:</w:t>
      </w:r>
    </w:p>
  </w:footnote>
  <w:footnote w:id="595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זהב לשמאלא.</w:t>
      </w:r>
      <w:r w:rsidRPr="00BD5E91">
        <w:rPr>
          <w:sz w:val="22"/>
          <w:szCs w:val="22"/>
          <w:rtl/>
        </w:rPr>
        <w:t xml:space="preserve"> שנא' (איוב לז כב) מצפון זהב יאתה:</w:t>
      </w:r>
    </w:p>
  </w:footnote>
  <w:footnote w:id="595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ושבע מיני דהבא כו'.</w:t>
      </w:r>
      <w:r w:rsidRPr="00BD5E91">
        <w:rPr>
          <w:sz w:val="22"/>
          <w:szCs w:val="22"/>
          <w:rtl/>
        </w:rPr>
        <w:t xml:space="preserve"> ר"ל שאמר כי תו"מ הן כולן זהב, והן ז' ספירות, לכך אמר ושבע, והענין כי תו"מ הן מבינה סט' דשמאלא:</w:t>
      </w:r>
    </w:p>
  </w:footnote>
  <w:footnote w:id="595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דסליק ע"ב.</w:t>
      </w:r>
      <w:r w:rsidRPr="00BD5E91">
        <w:rPr>
          <w:sz w:val="22"/>
          <w:szCs w:val="22"/>
          <w:rtl/>
        </w:rPr>
        <w:t xml:space="preserve"> והוא ענן כמ"ש והולך, בעב הענן:</w:t>
      </w:r>
    </w:p>
  </w:footnote>
  <w:footnote w:id="595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למללא עם משה.</w:t>
      </w:r>
      <w:r w:rsidRPr="00BD5E91">
        <w:rPr>
          <w:sz w:val="22"/>
          <w:szCs w:val="22"/>
          <w:rtl/>
        </w:rPr>
        <w:t xml:space="preserve"> שעליו נאמר כי מן המים משיתיהו:</w:t>
      </w:r>
    </w:p>
  </w:footnote>
  <w:footnote w:id="595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ובהאי עב כו'.</w:t>
      </w:r>
      <w:r w:rsidRPr="00BD5E91">
        <w:rPr>
          <w:sz w:val="22"/>
          <w:szCs w:val="22"/>
          <w:rtl/>
        </w:rPr>
        <w:t xml:space="preserve"> כאן מפרש שאמר כמראה הקשת:</w:t>
      </w:r>
    </w:p>
  </w:footnote>
  <w:footnote w:id="5957">
    <w:p w:rsidR="00007309" w:rsidRPr="00BD5E91" w:rsidRDefault="00007309" w:rsidP="00007309">
      <w:pPr>
        <w:jc w:val="both"/>
        <w:rPr>
          <w:rFonts w:cs="Arial"/>
          <w:sz w:val="22"/>
          <w:szCs w:val="22"/>
          <w:rtl/>
        </w:rPr>
      </w:pPr>
      <w:r w:rsidRPr="00BD5E91">
        <w:rPr>
          <w:rStyle w:val="a7"/>
          <w:rFonts w:cs="Arial"/>
          <w:sz w:val="22"/>
          <w:szCs w:val="22"/>
          <w:rtl/>
        </w:rPr>
        <w:footnoteRef/>
      </w:r>
      <w:r w:rsidRPr="00BD5E91">
        <w:rPr>
          <w:sz w:val="22"/>
          <w:szCs w:val="22"/>
          <w:rtl/>
        </w:rPr>
        <w:t xml:space="preserve"> </w:t>
      </w:r>
      <w:r w:rsidRPr="00BD5E91">
        <w:rPr>
          <w:b/>
          <w:bCs/>
          <w:sz w:val="22"/>
          <w:szCs w:val="22"/>
          <w:rtl/>
        </w:rPr>
        <w:t xml:space="preserve"> </w:t>
      </w:r>
      <w:r w:rsidRPr="00BD5E91">
        <w:rPr>
          <w:rFonts w:cs="Arial"/>
          <w:b/>
          <w:bCs/>
          <w:sz w:val="22"/>
          <w:szCs w:val="22"/>
          <w:rtl/>
        </w:rPr>
        <w:t>וביה אתכלילן.</w:t>
      </w:r>
      <w:r w:rsidRPr="00BD5E91">
        <w:rPr>
          <w:sz w:val="22"/>
          <w:szCs w:val="22"/>
          <w:rtl/>
        </w:rPr>
        <w:t xml:space="preserve"> </w:t>
      </w:r>
      <w:r w:rsidRPr="00BD5E91">
        <w:rPr>
          <w:rFonts w:cs="Arial"/>
          <w:sz w:val="22"/>
          <w:szCs w:val="22"/>
          <w:rtl/>
        </w:rPr>
        <w:t>ר"ל אע"ג דתלת אבהן שם, מ"מ כל התלת אבהן אתכלילן בחסד, ולכך כל הג' פסוקים של ויסע ויבא ויט כולן של ע"ב אותיות:</w:t>
      </w:r>
    </w:p>
  </w:footnote>
  <w:footnote w:id="595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בצדיק ויכלו.</w:t>
      </w:r>
      <w:r w:rsidRPr="00BD5E91">
        <w:rPr>
          <w:sz w:val="22"/>
          <w:szCs w:val="22"/>
          <w:rtl/>
        </w:rPr>
        <w:t xml:space="preserve"> שנא' יום הששי ויכלו, וצדיק הוא יום הששי כידוע:</w:t>
      </w:r>
    </w:p>
  </w:footnote>
  <w:footnote w:id="595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דביה איתכלילן כו'.</w:t>
      </w:r>
      <w:r w:rsidRPr="00BD5E91">
        <w:rPr>
          <w:sz w:val="22"/>
          <w:szCs w:val="22"/>
          <w:rtl/>
        </w:rPr>
        <w:t xml:space="preserve"> ר"ל לשון ויכלו שכולל ג' אבהן שכולן הן לשון כל, וז"ש בכל כו' </w:t>
      </w:r>
      <w:r w:rsidRPr="00BD5E91">
        <w:rPr>
          <w:b/>
          <w:bCs/>
          <w:sz w:val="22"/>
          <w:szCs w:val="22"/>
          <w:rtl/>
        </w:rPr>
        <w:t>ובאלין תלת כו'.</w:t>
      </w:r>
      <w:r w:rsidRPr="00BD5E91">
        <w:rPr>
          <w:sz w:val="22"/>
          <w:szCs w:val="22"/>
          <w:rtl/>
        </w:rPr>
        <w:t xml:space="preserve"> ר"ל דגוונין נהירין אז הוא הגאולה כמ"ש בזוהר:</w:t>
      </w:r>
    </w:p>
  </w:footnote>
  <w:footnote w:id="596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לזכור ברית עולם.</w:t>
      </w:r>
      <w:r w:rsidRPr="00BD5E91">
        <w:rPr>
          <w:sz w:val="22"/>
          <w:szCs w:val="22"/>
          <w:rtl/>
        </w:rPr>
        <w:t xml:space="preserve"> ר"ל צדיק להתחבר עמה כמ"ש בתקון ה' כד איהי נהירא כו' וראיתיה כו' ע"ש, והוא כאדם שרואה באשתו וד"ל:</w:t>
      </w:r>
    </w:p>
  </w:footnote>
  <w:footnote w:id="596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דצדיק איהו אלף כו'.</w:t>
      </w:r>
      <w:r w:rsidRPr="00BD5E91">
        <w:rPr>
          <w:sz w:val="22"/>
          <w:szCs w:val="22"/>
          <w:rtl/>
        </w:rPr>
        <w:t xml:space="preserve"> עכשו מפ' כל הפסוקים שהביא לעיל. ור"ל שבאלף הששי יהיה הגאולה וכל הקיצין הוא אחר ע"ב באלף הששי כמ"ש לקמן, וזה ונראתה הקשת בענן ר"ל ע"ב שהוא ענן כנ"ל, הקשת שהוא אלף הששי, אז וראיתיה כו', וזה יום הששי אלף הששי ויכלו ע"ב אז וישבות שהוא הגאולה וז"ש אלף שתיתאה יום כו':</w:t>
      </w:r>
    </w:p>
  </w:footnote>
  <w:footnote w:id="596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ותנוח בצדיק.</w:t>
      </w:r>
      <w:r w:rsidRPr="00BD5E91">
        <w:rPr>
          <w:sz w:val="22"/>
          <w:szCs w:val="22"/>
          <w:rtl/>
        </w:rPr>
        <w:t xml:space="preserve"> כנ"ל וישבות:</w:t>
      </w:r>
      <w:r w:rsidRPr="00BD5E91">
        <w:rPr>
          <w:b/>
          <w:bCs/>
          <w:sz w:val="22"/>
          <w:szCs w:val="22"/>
          <w:rtl/>
        </w:rPr>
        <w:t xml:space="preserve"> </w:t>
      </w:r>
    </w:p>
  </w:footnote>
  <w:footnote w:id="596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דביה כי עין בעין. </w:t>
      </w:r>
      <w:r w:rsidRPr="00BD5E91">
        <w:rPr>
          <w:sz w:val="22"/>
          <w:szCs w:val="22"/>
          <w:rtl/>
        </w:rPr>
        <w:t>ר"ת ע"ב:</w:t>
      </w:r>
    </w:p>
  </w:footnote>
  <w:footnote w:id="596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יראו.</w:t>
      </w:r>
      <w:r w:rsidRPr="00BD5E91">
        <w:rPr>
          <w:sz w:val="22"/>
          <w:szCs w:val="22"/>
          <w:rtl/>
        </w:rPr>
        <w:t xml:space="preserve"> דראיה הוא בימין כמ"ש בתקונים:</w:t>
      </w:r>
    </w:p>
  </w:footnote>
  <w:footnote w:id="596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בשוב ה' ציון.</w:t>
      </w:r>
      <w:r w:rsidRPr="00BD5E91">
        <w:rPr>
          <w:sz w:val="22"/>
          <w:szCs w:val="22"/>
          <w:rtl/>
        </w:rPr>
        <w:t xml:space="preserve"> ציון הוא צדיק כידוע:</w:t>
      </w:r>
    </w:p>
  </w:footnote>
  <w:footnote w:id="596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ונטיל בעב דעד"א.</w:t>
      </w:r>
      <w:r w:rsidRPr="00BD5E91">
        <w:rPr>
          <w:sz w:val="22"/>
          <w:szCs w:val="22"/>
          <w:rtl/>
        </w:rPr>
        <w:t xml:space="preserve"> ר"ל שאמר בשוב ה' ציון. ת"ת ביסוד וז"ש לעיל בעב הענן כו' למללא עם משה שהוא דרגא דעד"א:</w:t>
      </w:r>
    </w:p>
  </w:footnote>
  <w:footnote w:id="596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דבי' ויהי כו'.</w:t>
      </w:r>
      <w:r w:rsidRPr="00BD5E91">
        <w:rPr>
          <w:sz w:val="22"/>
          <w:szCs w:val="22"/>
          <w:rtl/>
        </w:rPr>
        <w:t xml:space="preserve"> כמ"ש בזוהר בראשית ע"ש:</w:t>
      </w:r>
    </w:p>
  </w:footnote>
  <w:footnote w:id="596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בין מים למים.</w:t>
      </w:r>
      <w:r w:rsidRPr="00BD5E91">
        <w:rPr>
          <w:sz w:val="22"/>
          <w:szCs w:val="22"/>
          <w:rtl/>
        </w:rPr>
        <w:t xml:space="preserve"> ר"ל שהוא ר"ת ע"ב:</w:t>
      </w:r>
    </w:p>
  </w:footnote>
  <w:footnote w:id="5969">
    <w:p w:rsidR="00007309" w:rsidRPr="00BD5E91" w:rsidRDefault="00007309" w:rsidP="00007309">
      <w:pPr>
        <w:pStyle w:val="a5"/>
        <w:rPr>
          <w:b/>
          <w:bCs/>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ללבי גליתי ולמ"ה כו'.</w:t>
      </w:r>
      <w:r w:rsidRPr="00BD5E91">
        <w:rPr>
          <w:sz w:val="22"/>
          <w:szCs w:val="22"/>
          <w:rtl/>
        </w:rPr>
        <w:t xml:space="preserve"> ר"ל ללבי גי' ע"ב שהוא ע"ב כנ"ל: </w:t>
      </w:r>
      <w:r w:rsidRPr="00BD5E91">
        <w:rPr>
          <w:b/>
          <w:bCs/>
          <w:sz w:val="22"/>
          <w:szCs w:val="22"/>
          <w:rtl/>
        </w:rPr>
        <w:t>ללבי גליתי.</w:t>
      </w:r>
      <w:r w:rsidRPr="00BD5E91">
        <w:rPr>
          <w:sz w:val="22"/>
          <w:szCs w:val="22"/>
          <w:rtl/>
        </w:rPr>
        <w:t xml:space="preserve"> ר"ל עד"א כנ"ל גי' ע"ב שבוא יתגלה הקץ כמ"ש והולך דכל הקיצין שתולין בכל המדות תליא בתשובה, ואם אינן עושין תשובה כו' אבל קיצא דעד"א אין תליא בתשובה וז"ש. </w:t>
      </w:r>
    </w:p>
  </w:footnote>
  <w:footnote w:id="597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ולאברי לא גליתי.</w:t>
      </w:r>
      <w:r w:rsidRPr="00BD5E91">
        <w:rPr>
          <w:sz w:val="22"/>
          <w:szCs w:val="22"/>
          <w:rtl/>
        </w:rPr>
        <w:t xml:space="preserve"> שהן שאר הספירות, דתליא בתשובה כנ"ל וז"ש. </w:t>
      </w:r>
    </w:p>
  </w:footnote>
  <w:footnote w:id="597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דקץ אית בכל כו'.</w:t>
      </w:r>
      <w:r w:rsidRPr="00BD5E91">
        <w:rPr>
          <w:sz w:val="22"/>
          <w:szCs w:val="22"/>
          <w:rtl/>
        </w:rPr>
        <w:t xml:space="preserve"> ר"ל שבכל דור יש קץ לפי הספירה השולטת אז:</w:t>
      </w:r>
    </w:p>
  </w:footnote>
  <w:footnote w:id="597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כפום זכוון כו'.</w:t>
      </w:r>
      <w:r w:rsidRPr="00BD5E91">
        <w:rPr>
          <w:sz w:val="22"/>
          <w:szCs w:val="22"/>
          <w:rtl/>
        </w:rPr>
        <w:t xml:space="preserve"> כמ"ש בזוהר שהראה לאדה"ר דור דור ומנהיגיו ופירש שם שהראה לו כל מדה השולטת בדור ההוא, ואם יהיו זכאין יזכו למדה ההיא, בדור מדת החסד יהיו גומלי חסדים וכן בכלם:</w:t>
      </w:r>
    </w:p>
  </w:footnote>
  <w:footnote w:id="597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בכל מארי' דדרא וכפום דרוב כו'.</w:t>
      </w:r>
      <w:r w:rsidRPr="00BD5E91">
        <w:rPr>
          <w:sz w:val="22"/>
          <w:szCs w:val="22"/>
          <w:rtl/>
        </w:rPr>
        <w:t xml:space="preserve"> כנ"ל דור דור ומנהיגיו. ובזכוון דמדות. כנ"ל שהראה לו כו':</w:t>
      </w:r>
    </w:p>
  </w:footnote>
  <w:footnote w:id="597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אבל קץ כו'.</w:t>
      </w:r>
      <w:r w:rsidRPr="00BD5E91">
        <w:rPr>
          <w:sz w:val="22"/>
          <w:szCs w:val="22"/>
          <w:rtl/>
        </w:rPr>
        <w:t xml:space="preserve"> כמ"ש (סנהדרין צח ע"א) זכו אחישנה לא זכו בעתה:</w:t>
      </w:r>
    </w:p>
  </w:footnote>
  <w:footnote w:id="597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ביה תליא.</w:t>
      </w:r>
      <w:r w:rsidRPr="00BD5E91">
        <w:rPr>
          <w:sz w:val="22"/>
          <w:szCs w:val="22"/>
          <w:rtl/>
        </w:rPr>
        <w:t xml:space="preserve"> ר"ל בעד"א:</w:t>
      </w:r>
    </w:p>
  </w:footnote>
  <w:footnote w:id="597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וקץ דקוב"ה.</w:t>
      </w:r>
      <w:r w:rsidRPr="00BD5E91">
        <w:rPr>
          <w:sz w:val="22"/>
          <w:szCs w:val="22"/>
          <w:rtl/>
        </w:rPr>
        <w:t xml:space="preserve"> ר"ל דעד"א:</w:t>
      </w:r>
    </w:p>
  </w:footnote>
  <w:footnote w:id="597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ואית ע"ב.</w:t>
      </w:r>
      <w:r w:rsidRPr="00BD5E91">
        <w:rPr>
          <w:sz w:val="22"/>
          <w:szCs w:val="22"/>
          <w:rtl/>
        </w:rPr>
        <w:t xml:space="preserve"> שלאחר כל הקיצין צריכין להיות ע' שנין חבלי משיח כמ"ש בהת"ז גזר דין של ע' שנה דאינון ע' שנין כו' ואית דמוסיף ב' כו' והוא כמ"ש בר"מ פ' פנחס דרמ"ט דלע' תחיל ולב' שנין אולידת כו':</w:t>
      </w:r>
    </w:p>
  </w:footnote>
  <w:footnote w:id="597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בתר אלף חמישאה כו'.</w:t>
      </w:r>
      <w:r w:rsidRPr="00BD5E91">
        <w:rPr>
          <w:sz w:val="22"/>
          <w:szCs w:val="22"/>
          <w:rtl/>
        </w:rPr>
        <w:t xml:space="preserve"> הוא קץ של חכמה, דאלף הוא כתר ששם אלפים, ובחו"ב מאות, ובז"ס תחתונות עשיריות כידוע:</w:t>
      </w:r>
    </w:p>
  </w:footnote>
  <w:footnote w:id="597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בתר אלף ומאתן כו'.</w:t>
      </w:r>
      <w:r w:rsidRPr="00BD5E91">
        <w:rPr>
          <w:sz w:val="22"/>
          <w:szCs w:val="22"/>
          <w:rtl/>
        </w:rPr>
        <w:t xml:space="preserve"> בחסד כנ"ל, ובאותו הקץ בוחר הזוהר בכל מקום יותר, בהת"ו הנ"ל ובר"מ הנ"ל, לפי שהקץ נטיל בע"ב דחסד כנ"ל:</w:t>
      </w:r>
    </w:p>
  </w:footnote>
  <w:footnote w:id="598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ומאתן וחמשין ושית.</w:t>
      </w:r>
      <w:r w:rsidRPr="00BD5E91">
        <w:rPr>
          <w:sz w:val="22"/>
          <w:szCs w:val="22"/>
          <w:rtl/>
        </w:rPr>
        <w:t xml:space="preserve"> ר"ל ע"ב אחרי כן, וסמך על הנ"ל, והוא קץ של מלכות, שיסוד נקרא רנ"ו כמ"ש בהת"ז אלף לכתר, ומאתן לחו"ב, וחמשין לחג"ת נו"ה, שעד שם מתפשט נ' תרעין דבינה, ושית ביסוד ו' זעירא שהוא יום הששי שעליו נאמר ויכלו גי' ע"ב כנ"ל, אז וישבות ביום השביעי מלכות וז"ש </w:t>
      </w:r>
    </w:p>
  </w:footnote>
  <w:footnote w:id="598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דנח דיליה.</w:t>
      </w:r>
      <w:r w:rsidRPr="00BD5E91">
        <w:rPr>
          <w:sz w:val="22"/>
          <w:szCs w:val="22"/>
          <w:rtl/>
        </w:rPr>
        <w:t xml:space="preserve"> ר"ל המנוחה שהוא ע"ב כנ"ל:</w:t>
      </w:r>
    </w:p>
  </w:footnote>
  <w:footnote w:id="598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כי עין בעין.</w:t>
      </w:r>
      <w:r w:rsidRPr="00BD5E91">
        <w:rPr>
          <w:sz w:val="22"/>
          <w:szCs w:val="22"/>
          <w:rtl/>
        </w:rPr>
        <w:t xml:space="preserve"> ר"ת ע"ב כנ"ל:</w:t>
      </w:r>
    </w:p>
  </w:footnote>
  <w:footnote w:id="598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אית רמ"ה.</w:t>
      </w:r>
      <w:r w:rsidRPr="00BD5E91">
        <w:rPr>
          <w:sz w:val="22"/>
          <w:szCs w:val="22"/>
          <w:rtl/>
        </w:rPr>
        <w:t xml:space="preserve"> ביסוד, ר"מ עד נצח, והוד - ה', שעד שם אתפשטותה דה' עילאה ספירה חמישית יום ה', וע"ב אחרי כן ביסוד, וה"ה לשאר מדות ולא קחשיב אלא שבם יש לתלות יותר, חכמה - ראשית דכל קיצין, ומלכות - סופא דכל קיצין כמ"ש והולך וחסד ויסוד כנ"ל ואתה לך לקץ כו':</w:t>
      </w:r>
    </w:p>
  </w:footnote>
  <w:footnote w:id="598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והאי דרגא דרעוא.</w:t>
      </w:r>
      <w:r w:rsidRPr="00BD5E91">
        <w:rPr>
          <w:sz w:val="22"/>
          <w:szCs w:val="22"/>
          <w:rtl/>
        </w:rPr>
        <w:t xml:space="preserve"> ר"ל שברצונו תלוי ולא בזכיות:</w:t>
      </w:r>
    </w:p>
  </w:footnote>
  <w:footnote w:id="598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דאיהו קב"ה. </w:t>
      </w:r>
      <w:r w:rsidRPr="00BD5E91">
        <w:rPr>
          <w:sz w:val="22"/>
          <w:szCs w:val="22"/>
          <w:rtl/>
        </w:rPr>
        <w:t>דרגא דעד"א:</w:t>
      </w:r>
    </w:p>
  </w:footnote>
  <w:footnote w:id="598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תרין קצין אאריך.</w:t>
      </w:r>
      <w:r w:rsidRPr="00BD5E91">
        <w:rPr>
          <w:sz w:val="22"/>
          <w:szCs w:val="22"/>
          <w:rtl/>
        </w:rPr>
        <w:t xml:space="preserve"> ר"ל קץ של מידות הנ"ל וקץ של ע"ב שאחרי כן ועליהן אמרו (סנהדרין צז ע"ב) מקרא זה נוקב כו' כי עוד חזון כו' ויפח לקץ כו' אם יתמהמה אף באותן ב' קצין חכה לו כי בא יבוא:</w:t>
      </w:r>
    </w:p>
  </w:footnote>
  <w:footnote w:id="598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ודא וכל כו'. </w:t>
      </w:r>
      <w:r w:rsidRPr="00BD5E91">
        <w:rPr>
          <w:sz w:val="22"/>
          <w:szCs w:val="22"/>
          <w:rtl/>
        </w:rPr>
        <w:t>ר"ל מ"ש לעיל דקץ הראשון הוא בחכמה ועליו נאמר שרק אלף שנים יהיו בגלות ואלף שנים לא תליא בתשובה ואח"כ תולה בתשובה שהוא קץ הראשון כמ"ש והולך:</w:t>
      </w:r>
    </w:p>
  </w:footnote>
  <w:footnote w:id="598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מכתרא ולעילא. </w:t>
      </w:r>
      <w:r w:rsidRPr="00BD5E91">
        <w:rPr>
          <w:sz w:val="22"/>
          <w:szCs w:val="22"/>
          <w:rtl/>
        </w:rPr>
        <w:t>ר"ל קודם הכתר אבל קץ הראשון הוא מצד הכתר בחכמה קץ לכתר:</w:t>
      </w:r>
    </w:p>
  </w:footnote>
  <w:footnote w:id="598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צדיק איהו דאיהי שכינתא עשיראה. </w:t>
      </w:r>
      <w:r w:rsidRPr="00BD5E91">
        <w:rPr>
          <w:sz w:val="22"/>
          <w:szCs w:val="22"/>
          <w:rtl/>
        </w:rPr>
        <w:t>ר"ל דעשירי הוא מספר האחרון כידוע וכן בספירות היא קץ אחרון לצדיק וכן הוא במספר אעפ"י שהמספר מתחיל בא' ומסיים בעשר מ"מ א' הוא שורש המספר וכן עשר כללות המספר אבל עיקר המספר הוא מב' עד ט' וכן כאן מחכמה עד צדיק וצדיק הוא קץ אחרון של הקצים הנ"ל רנ"ו שבו נאמר רנ"ו ליעקב שמחה כמ"ש בהת"ז ע"ש:</w:t>
      </w:r>
    </w:p>
  </w:footnote>
  <w:footnote w:id="599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וכל סוף כו'. </w:t>
      </w:r>
      <w:r w:rsidRPr="00BD5E91">
        <w:rPr>
          <w:sz w:val="22"/>
          <w:szCs w:val="22"/>
          <w:rtl/>
        </w:rPr>
        <w:t xml:space="preserve">הוא כמו סיוע שכל סוף בו, שהוא סיומא דגופא ולפיכך הקץ בו כנ"ל לך לקץ כו' והוא ע"ב של הקיצין כנ"ל וז"ש וכל סוף כו': </w:t>
      </w:r>
    </w:p>
  </w:footnote>
  <w:footnote w:id="599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עד"א כליל כו'.</w:t>
      </w:r>
      <w:r w:rsidRPr="00BD5E91">
        <w:rPr>
          <w:sz w:val="22"/>
          <w:szCs w:val="22"/>
          <w:rtl/>
        </w:rPr>
        <w:t xml:space="preserve"> שהוא כולל כל הספי' כמ"ש לקמן:</w:t>
      </w:r>
    </w:p>
  </w:footnote>
  <w:footnote w:id="599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וכלא איתכליל בצדיק.</w:t>
      </w:r>
      <w:r w:rsidRPr="00BD5E91">
        <w:rPr>
          <w:sz w:val="22"/>
          <w:szCs w:val="22"/>
          <w:rtl/>
        </w:rPr>
        <w:t xml:space="preserve"> ר"ל ולפיכך כל הקיצין בצדיק כנ"ל ולכך אמר לעיל ונטיל בע"ב דעד"א:</w:t>
      </w:r>
    </w:p>
  </w:footnote>
  <w:footnote w:id="599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דכליל תלת אבהן.</w:t>
      </w:r>
      <w:r w:rsidRPr="00BD5E91">
        <w:rPr>
          <w:sz w:val="22"/>
          <w:szCs w:val="22"/>
          <w:rtl/>
        </w:rPr>
        <w:t xml:space="preserve"> ר"ל אע"ג שאמר נטיל בימינא כו' והיאך אמר בעד"א לכן אמר דכליל כו':</w:t>
      </w:r>
    </w:p>
  </w:footnote>
  <w:footnote w:id="599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איתקרי שביעי. </w:t>
      </w:r>
      <w:r w:rsidRPr="00BD5E91">
        <w:rPr>
          <w:sz w:val="22"/>
          <w:szCs w:val="22"/>
          <w:rtl/>
        </w:rPr>
        <w:t>לבינה כמ"ש לקמן מסט' דאימא איהי תמינאה, ויסוד הוא שבת כמ"ש בזוהר ובז"ח:</w:t>
      </w:r>
    </w:p>
  </w:footnote>
  <w:footnote w:id="599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והאי איהו בעב הענן. </w:t>
      </w:r>
      <w:r w:rsidRPr="00BD5E91">
        <w:rPr>
          <w:sz w:val="22"/>
          <w:szCs w:val="22"/>
          <w:rtl/>
        </w:rPr>
        <w:t>ר"ל ע"ב דשם ע"ב דג' פסוקים שהן בתלת אבהן כמ"ש והולך:</w:t>
      </w:r>
    </w:p>
  </w:footnote>
  <w:footnote w:id="599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דאינון כלל ופרט וכלל. </w:t>
      </w:r>
      <w:r w:rsidRPr="00BD5E91">
        <w:rPr>
          <w:sz w:val="22"/>
          <w:szCs w:val="22"/>
          <w:rtl/>
        </w:rPr>
        <w:t>דחסד כולל חג"ת שהוא יום דכולא יומין ולכן בו שם ע"ב כנ"ל בימינא כו' כליל ע"ב, ופרט בגבורה, וכלל בת"ת שבו נכללין חג"ת כנ"ל וזהו שאמר לעיל בע"ב דעד"א:</w:t>
      </w:r>
    </w:p>
  </w:footnote>
  <w:footnote w:id="599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ימא ותוקפא וגלידא</w:t>
      </w:r>
      <w:r w:rsidRPr="00BD5E91">
        <w:rPr>
          <w:sz w:val="22"/>
          <w:szCs w:val="22"/>
          <w:rtl/>
        </w:rPr>
        <w:t xml:space="preserve"> כצ"ל שגלידא הוא קו האמצעי כמו שכתוב (יחזקאל א כב) הקרח הנורא, בסוד הגדול הגבור והנורא. ואמר כאן ד' מדרגות כי ד"פ הן משולשין; כח"ב - חכמה כלל, שבה נכלל בסוד יו"ד, בינה פרט, שבה נפתח בסוד ה' אצבען ה' אורות כמ"ש בהת"ז ע"ש, כתר הוא כלל שכולל שניהם בסוד יהי. ועיין בזוהר בראשית וכמ"ש לקמן שנקרא אויר הקדמון - י' אור, חו"ב, כמ"ש בתיקון ה' ע"ש. </w:t>
      </w:r>
      <w:r w:rsidRPr="00BD5E91">
        <w:rPr>
          <w:b/>
          <w:bCs/>
          <w:sz w:val="22"/>
          <w:szCs w:val="22"/>
          <w:rtl/>
        </w:rPr>
        <w:t>ואיתכלילן כו'</w:t>
      </w:r>
      <w:r w:rsidRPr="00BD5E91">
        <w:rPr>
          <w:sz w:val="22"/>
          <w:szCs w:val="22"/>
          <w:rtl/>
        </w:rPr>
        <w:t xml:space="preserve"> הן חג"ת כידוע, </w:t>
      </w:r>
      <w:r w:rsidRPr="00BD5E91">
        <w:rPr>
          <w:b/>
          <w:bCs/>
          <w:sz w:val="22"/>
          <w:szCs w:val="22"/>
          <w:rtl/>
        </w:rPr>
        <w:t>ואינון ימא כו'</w:t>
      </w:r>
      <w:r w:rsidRPr="00BD5E91">
        <w:rPr>
          <w:sz w:val="22"/>
          <w:szCs w:val="22"/>
          <w:rtl/>
        </w:rPr>
        <w:t xml:space="preserve"> הן נה"י, ימא נצח לימינא מים, אוירא הוד כמ"ש בהת"ז דף א' כליל חיור וסומק דא הוד, רקיע הוא יסוד כמ"ש שם ובתיקונים:</w:t>
      </w:r>
    </w:p>
  </w:footnote>
  <w:footnote w:id="599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ואינון ימא ותוקפא כו'.</w:t>
      </w:r>
      <w:r w:rsidRPr="00BD5E91">
        <w:rPr>
          <w:sz w:val="22"/>
          <w:szCs w:val="22"/>
          <w:rtl/>
        </w:rPr>
        <w:t xml:space="preserve"> ביו"מ (א.ה. יסוד ומלכות) שבהן נכללין: </w:t>
      </w:r>
    </w:p>
  </w:footnote>
  <w:footnote w:id="599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ודא מיכאל.</w:t>
      </w:r>
      <w:r w:rsidRPr="00BD5E91">
        <w:rPr>
          <w:sz w:val="22"/>
          <w:szCs w:val="22"/>
          <w:rtl/>
        </w:rPr>
        <w:t xml:space="preserve"> שבו אותיות מלא"ך י' שהוא ימינא בחכמה י':</w:t>
      </w:r>
      <w:r w:rsidRPr="00BD5E91">
        <w:rPr>
          <w:b/>
          <w:bCs/>
          <w:sz w:val="22"/>
          <w:szCs w:val="22"/>
          <w:rtl/>
        </w:rPr>
        <w:t xml:space="preserve"> </w:t>
      </w:r>
    </w:p>
  </w:footnote>
  <w:footnote w:id="600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ע"ש מי כמוכה באלים. </w:t>
      </w:r>
      <w:r w:rsidRPr="00BD5E91">
        <w:rPr>
          <w:sz w:val="22"/>
          <w:szCs w:val="22"/>
          <w:rtl/>
        </w:rPr>
        <w:t>מ"י של מי, כ' דכמוכה, א"ל דבאלים. ור"ל באלים הן המלאכים מסטרא דחסד שנקרא אל, ואין בהם גדל חסד כמוהו ית' וכן מיכאל ששמו כשם רבו מסט' דחסד אין כמוהו במלאכים:</w:t>
      </w:r>
    </w:p>
  </w:footnote>
  <w:footnote w:id="600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די שמיה מכב"י.</w:t>
      </w:r>
      <w:r w:rsidRPr="00BD5E91">
        <w:rPr>
          <w:sz w:val="22"/>
          <w:szCs w:val="22"/>
          <w:rtl/>
        </w:rPr>
        <w:t xml:space="preserve"> הן ר"ת של מי כו':</w:t>
      </w:r>
    </w:p>
  </w:footnote>
  <w:footnote w:id="600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דסליק ע"ב.</w:t>
      </w:r>
      <w:r w:rsidRPr="00BD5E91">
        <w:rPr>
          <w:sz w:val="22"/>
          <w:szCs w:val="22"/>
          <w:rtl/>
        </w:rPr>
        <w:t xml:space="preserve"> כנ"ל ע"ב דחסד עב הענן:</w:t>
      </w:r>
    </w:p>
  </w:footnote>
  <w:footnote w:id="600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ונהורא דיליה.</w:t>
      </w:r>
      <w:r w:rsidRPr="00BD5E91">
        <w:rPr>
          <w:sz w:val="22"/>
          <w:szCs w:val="22"/>
          <w:rtl/>
        </w:rPr>
        <w:t xml:space="preserve"> ר"ל הנקודות של ר"ת והן נהורין לאתוון כמ"ש בהת"ז:</w:t>
      </w:r>
    </w:p>
  </w:footnote>
  <w:footnote w:id="600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מ"ב.</w:t>
      </w:r>
      <w:r w:rsidRPr="00BD5E91">
        <w:rPr>
          <w:sz w:val="22"/>
          <w:szCs w:val="22"/>
          <w:rtl/>
        </w:rPr>
        <w:t xml:space="preserve"> שהוא מאימא עילאה כמ"ש לקמן והוא מסט' דגבורה שכולל גבורה ובו נמתקין וז"ש וחיליה דיליה כו':</w:t>
      </w:r>
    </w:p>
  </w:footnote>
  <w:footnote w:id="600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במו אש.</w:t>
      </w:r>
      <w:r w:rsidRPr="00BD5E91">
        <w:rPr>
          <w:sz w:val="22"/>
          <w:szCs w:val="22"/>
          <w:rtl/>
        </w:rPr>
        <w:t xml:space="preserve"> במ"ו הוא מ"ב שכל אחד כלול מן ו' אותיות כמ"ש לקמן. ואע"ג שהכ' וב' בפסוק נקודין בקמץ, כמה פעמים בזוהר קורא אותו בפתח:</w:t>
      </w:r>
    </w:p>
  </w:footnote>
  <w:footnote w:id="600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דמות אריה.</w:t>
      </w:r>
      <w:r w:rsidRPr="00BD5E91">
        <w:rPr>
          <w:sz w:val="22"/>
          <w:szCs w:val="22"/>
          <w:rtl/>
        </w:rPr>
        <w:t xml:space="preserve"> כידוע ור"ל שאריה גי' גבורה והן רי"ו אותיות של שם ע"ב דחסד, כי חסד כולל גבורה. וז"ש </w:t>
      </w:r>
      <w:r w:rsidRPr="00BD5E91">
        <w:rPr>
          <w:b/>
          <w:bCs/>
          <w:sz w:val="22"/>
          <w:szCs w:val="22"/>
          <w:rtl/>
        </w:rPr>
        <w:t>דאיהי אריה ממים</w:t>
      </w:r>
      <w:r w:rsidRPr="00BD5E91">
        <w:rPr>
          <w:sz w:val="22"/>
          <w:szCs w:val="22"/>
          <w:rtl/>
        </w:rPr>
        <w:t xml:space="preserve"> ור"ל שיש אריה של אש שהיה יורד ע"ג המזבח, וכאן פירש פסוק ויסע, שהוא בימינא, וזה מלאך - מיכאל כנ"ל, האלקים - שכולל גבורה, ויסע עמוד הענן שהוא חסד כנ"ל; ויבא - מפרש בת"ת שהוא באמצע; ויט - בגבורה כמ"ש והולך:</w:t>
      </w:r>
    </w:p>
  </w:footnote>
  <w:footnote w:id="600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דגבריאל.</w:t>
      </w:r>
      <w:r w:rsidRPr="00BD5E91">
        <w:rPr>
          <w:sz w:val="22"/>
          <w:szCs w:val="22"/>
          <w:rtl/>
        </w:rPr>
        <w:t xml:space="preserve"> גי' לחרבה עם הכולל, אשא והוא א' דגבריאל:</w:t>
      </w:r>
    </w:p>
  </w:footnote>
  <w:footnote w:id="600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דאיהי אשא כו'.</w:t>
      </w:r>
      <w:r w:rsidRPr="00BD5E91">
        <w:rPr>
          <w:sz w:val="22"/>
          <w:szCs w:val="22"/>
          <w:rtl/>
        </w:rPr>
        <w:t xml:space="preserve"> שהס"א משמאל, וישראל מימין כידוע:</w:t>
      </w:r>
    </w:p>
  </w:footnote>
  <w:footnote w:id="600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דביה שמהן.</w:t>
      </w:r>
      <w:r w:rsidRPr="00BD5E91">
        <w:rPr>
          <w:sz w:val="22"/>
          <w:szCs w:val="22"/>
          <w:rtl/>
        </w:rPr>
        <w:t xml:space="preserve"> כמ"ש והולך וה"ו כו'. </w:t>
      </w:r>
      <w:r w:rsidRPr="00BD5E91">
        <w:rPr>
          <w:b/>
          <w:bCs/>
          <w:sz w:val="22"/>
          <w:szCs w:val="22"/>
          <w:rtl/>
        </w:rPr>
        <w:t>וספירן</w:t>
      </w:r>
      <w:r w:rsidRPr="00BD5E91">
        <w:rPr>
          <w:sz w:val="22"/>
          <w:szCs w:val="22"/>
          <w:rtl/>
        </w:rPr>
        <w:t xml:space="preserve"> כמ"ש והולך וט"ס אינון משולשין בעד"א כו', </w:t>
      </w:r>
      <w:r w:rsidRPr="00BD5E91">
        <w:rPr>
          <w:b/>
          <w:bCs/>
          <w:sz w:val="22"/>
          <w:szCs w:val="22"/>
          <w:rtl/>
        </w:rPr>
        <w:t>ואתוון</w:t>
      </w:r>
      <w:r w:rsidRPr="00BD5E91">
        <w:rPr>
          <w:sz w:val="22"/>
          <w:szCs w:val="22"/>
          <w:rtl/>
        </w:rPr>
        <w:t xml:space="preserve"> ר"ל כל תיבה של שלש אותיות הוא בת"ת. והוויין ר"ל יה"ו שבהון חתים שית סטרין כמ"ש בהת"ז ובס"י:</w:t>
      </w:r>
    </w:p>
  </w:footnote>
  <w:footnote w:id="601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ובג"ד וה"ו כו'.</w:t>
      </w:r>
      <w:r w:rsidRPr="00BD5E91">
        <w:rPr>
          <w:sz w:val="22"/>
          <w:szCs w:val="22"/>
          <w:rtl/>
        </w:rPr>
        <w:t xml:space="preserve"> שכלול בעד"א כנ"ל:</w:t>
      </w:r>
    </w:p>
  </w:footnote>
  <w:footnote w:id="601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ותשע כו'. </w:t>
      </w:r>
      <w:r w:rsidRPr="00BD5E91">
        <w:rPr>
          <w:sz w:val="22"/>
          <w:szCs w:val="22"/>
          <w:rtl/>
        </w:rPr>
        <w:t>בא לפרש ספירן משולשין דלעיל:</w:t>
      </w:r>
    </w:p>
  </w:footnote>
  <w:footnote w:id="601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ומלכות עשירי כו'.</w:t>
      </w:r>
      <w:r w:rsidRPr="00BD5E91">
        <w:rPr>
          <w:sz w:val="22"/>
          <w:szCs w:val="22"/>
          <w:rtl/>
        </w:rPr>
        <w:t xml:space="preserve"> ר"ל לכל הספירות, ורביעית קו מג' קוין הנ"ל ולכך בה ד' אותיות הויה וי' אתוון דשמא מפרש:</w:t>
      </w:r>
    </w:p>
  </w:footnote>
  <w:footnote w:id="601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מסטרא דאימא כו'. </w:t>
      </w:r>
      <w:r w:rsidRPr="00BD5E91">
        <w:rPr>
          <w:sz w:val="22"/>
          <w:szCs w:val="22"/>
          <w:rtl/>
        </w:rPr>
        <w:t>ר"ל ולכך בה ח' אתוון של הוי"ה אדנ"י כמ"ש לעיל אימא עילאה כו' אתפשטותה בשבע כו'. והן ב' מרכבות: אחת של הוי"ה ואחת של אדנ"י, ולכך בשבת רה"י גבהו עשר ורחבו ד' כמ"ש בהת"ז ותחום ח' אלפים פרסה נגד ח' אותיות:</w:t>
      </w:r>
    </w:p>
  </w:footnote>
  <w:footnote w:id="601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ותלת ספירן כו'.</w:t>
      </w:r>
      <w:r w:rsidRPr="00BD5E91">
        <w:rPr>
          <w:sz w:val="22"/>
          <w:szCs w:val="22"/>
          <w:rtl/>
        </w:rPr>
        <w:t xml:space="preserve"> מפרש מ"ש לעיל הענן מימינא והחשך משמלא, ענן לימינא כמ"ש לעיל דסליק ע"ב. חשך לשמלא מפרש לקמן בסמוך. וערפל כו' מפרש והולך וז"ש </w:t>
      </w:r>
      <w:r w:rsidRPr="00BD5E91">
        <w:rPr>
          <w:b/>
          <w:bCs/>
          <w:sz w:val="22"/>
          <w:szCs w:val="22"/>
          <w:rtl/>
        </w:rPr>
        <w:t>הה"ד כו':</w:t>
      </w:r>
    </w:p>
  </w:footnote>
  <w:footnote w:id="601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בענן דפיק קלא.</w:t>
      </w:r>
      <w:r w:rsidRPr="00BD5E91">
        <w:rPr>
          <w:sz w:val="22"/>
          <w:szCs w:val="22"/>
          <w:rtl/>
        </w:rPr>
        <w:t xml:space="preserve"> שנאמר קול דודי דופק, והוא ו"ק, לכך מפרש שית קלין ודפיקו דיליה מצד המטר שנא' קווצותי רסיסי לילה וז"ש בענן כו' וכן חשך וערפל כמ"ש חשכת מים כו', והדפיקו הוא מסט' דתלת אבהן, ג' אותיות יק"ו, שהן עולין ט"ל וז"ש שראשי נמלא טל כמ"ש בהקדמה שנייה של ת"ז וז"ש בענן כו' תלת קלין אחרנין כו' דאינון כו':</w:t>
      </w:r>
    </w:p>
  </w:footnote>
  <w:footnote w:id="601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על המים.</w:t>
      </w:r>
      <w:r w:rsidRPr="00BD5E91">
        <w:rPr>
          <w:sz w:val="22"/>
          <w:szCs w:val="22"/>
          <w:rtl/>
        </w:rPr>
        <w:t xml:space="preserve"> והוא בענן כמ"ש הרעים ה' כו':</w:t>
      </w:r>
    </w:p>
  </w:footnote>
  <w:footnote w:id="601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וכמה קלין כו'.</w:t>
      </w:r>
      <w:r w:rsidRPr="00BD5E91">
        <w:rPr>
          <w:sz w:val="22"/>
          <w:szCs w:val="22"/>
          <w:rtl/>
        </w:rPr>
        <w:t xml:space="preserve"> ר"ל לכך נאמר הרעים ה' על מים רבים:</w:t>
      </w:r>
    </w:p>
  </w:footnote>
  <w:footnote w:id="601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דתמן חשך דביה כו'. </w:t>
      </w:r>
      <w:r w:rsidRPr="00BD5E91">
        <w:rPr>
          <w:sz w:val="22"/>
          <w:szCs w:val="22"/>
          <w:rtl/>
        </w:rPr>
        <w:t>כאן מביא ראיה דחשך לשמאלא:</w:t>
      </w:r>
    </w:p>
  </w:footnote>
  <w:footnote w:id="601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להבות אש.</w:t>
      </w:r>
      <w:r w:rsidRPr="00BD5E91">
        <w:rPr>
          <w:sz w:val="22"/>
          <w:szCs w:val="22"/>
          <w:rtl/>
        </w:rPr>
        <w:t xml:space="preserve"> דהוא גבורה (ואח"כ הגיה בגוף הספר ונ"ב שצ"ל </w:t>
      </w:r>
      <w:r w:rsidRPr="00BD5E91">
        <w:rPr>
          <w:b/>
          <w:bCs/>
          <w:sz w:val="22"/>
          <w:szCs w:val="22"/>
          <w:rtl/>
        </w:rPr>
        <w:t>קול ה' בכח.</w:t>
      </w:r>
      <w:r w:rsidRPr="00BD5E91">
        <w:rPr>
          <w:sz w:val="22"/>
          <w:szCs w:val="22"/>
          <w:rtl/>
        </w:rPr>
        <w:t xml:space="preserve"> כ"מ בהעתקה א'):</w:t>
      </w:r>
    </w:p>
  </w:footnote>
  <w:footnote w:id="602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בהדר הידוע. </w:t>
      </w:r>
      <w:r w:rsidRPr="00BD5E91">
        <w:rPr>
          <w:sz w:val="22"/>
          <w:szCs w:val="22"/>
          <w:rtl/>
        </w:rPr>
        <w:t>ר"ל שב' בסגול הוא ב' הידוע:</w:t>
      </w:r>
    </w:p>
  </w:footnote>
  <w:footnote w:id="602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לישראל סבא.</w:t>
      </w:r>
      <w:r w:rsidRPr="00BD5E91">
        <w:rPr>
          <w:sz w:val="22"/>
          <w:szCs w:val="22"/>
          <w:rtl/>
        </w:rPr>
        <w:t xml:space="preserve"> יעקב כמ"ש (בראשית מד כ) אב זקן:</w:t>
      </w:r>
    </w:p>
  </w:footnote>
  <w:footnote w:id="602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מאימא עילאה.</w:t>
      </w:r>
      <w:r w:rsidRPr="00BD5E91">
        <w:rPr>
          <w:sz w:val="22"/>
          <w:szCs w:val="22"/>
          <w:rtl/>
        </w:rPr>
        <w:t xml:space="preserve"> דכלילת אותם כמ"ש לקמן:</w:t>
      </w:r>
    </w:p>
  </w:footnote>
  <w:footnote w:id="602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ולקבל תלת אבהן אינון כו'.</w:t>
      </w:r>
      <w:r w:rsidRPr="00BD5E91">
        <w:rPr>
          <w:sz w:val="22"/>
          <w:szCs w:val="22"/>
          <w:rtl/>
        </w:rPr>
        <w:t xml:space="preserve"> הולך ומפרש דאש לשמאלא, ועד"א מייחד בין ימינא לשמאלא, וז"ש פתילה כו':</w:t>
      </w:r>
    </w:p>
  </w:footnote>
  <w:footnote w:id="602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זית לימינא. </w:t>
      </w:r>
      <w:r w:rsidRPr="00BD5E91">
        <w:rPr>
          <w:sz w:val="22"/>
          <w:szCs w:val="22"/>
          <w:rtl/>
        </w:rPr>
        <w:t>דשמן הוא בחכמה כידוע:</w:t>
      </w:r>
      <w:r w:rsidRPr="00BD5E91">
        <w:rPr>
          <w:b/>
          <w:bCs/>
          <w:sz w:val="22"/>
          <w:szCs w:val="22"/>
          <w:rtl/>
        </w:rPr>
        <w:t xml:space="preserve"> </w:t>
      </w:r>
    </w:p>
  </w:footnote>
  <w:footnote w:id="602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דאיהי כו'.</w:t>
      </w:r>
      <w:r w:rsidRPr="00BD5E91">
        <w:rPr>
          <w:sz w:val="22"/>
          <w:szCs w:val="22"/>
          <w:rtl/>
        </w:rPr>
        <w:t xml:space="preserve"> קאי על כל הדברים של הנר. עץ פרי. לימינא זית כנ"ל. עשה פרי למינו. לשמאלא שבינה עשה פרי. אשר זרעו בו. עד"א פתילה שהוא מזרעים כידוע. על הארץ. הוא מלכות והוא כלי שמקבלת הכל כל ג' דברים הנ"ל וז"ש. מאנא דשרגא. וכאן כל ד' אותיות הוי"ה:</w:t>
      </w:r>
    </w:p>
  </w:footnote>
  <w:footnote w:id="602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מסט'.</w:t>
      </w:r>
      <w:r w:rsidRPr="00BD5E91">
        <w:rPr>
          <w:sz w:val="22"/>
          <w:szCs w:val="22"/>
          <w:rtl/>
        </w:rPr>
        <w:t xml:space="preserve"> כצ"ל מסט' דגבורה איתנהרת ואתוקדת למאן כו':</w:t>
      </w:r>
    </w:p>
  </w:footnote>
  <w:footnote w:id="602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דתמן זית כו'.</w:t>
      </w:r>
      <w:r w:rsidRPr="00BD5E91">
        <w:rPr>
          <w:sz w:val="22"/>
          <w:szCs w:val="22"/>
          <w:rtl/>
        </w:rPr>
        <w:t xml:space="preserve"> ר"ל וכתיב (שמות כה ו) שמן למאור וז"ש. ואיהי שמן למאור:</w:t>
      </w:r>
    </w:p>
  </w:footnote>
  <w:footnote w:id="602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דאיהי כי כו'.</w:t>
      </w:r>
      <w:r w:rsidRPr="00BD5E91">
        <w:rPr>
          <w:sz w:val="22"/>
          <w:szCs w:val="22"/>
          <w:rtl/>
        </w:rPr>
        <w:t xml:space="preserve"> דמצוה הוא משמאל ותורה מימין כידוע. ואיהי מאנא מצד עצמה:</w:t>
      </w:r>
    </w:p>
  </w:footnote>
  <w:footnote w:id="602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וכגוונא דא זרע כו'.</w:t>
      </w:r>
      <w:r w:rsidRPr="00BD5E91">
        <w:rPr>
          <w:sz w:val="22"/>
          <w:szCs w:val="22"/>
          <w:rtl/>
        </w:rPr>
        <w:t xml:space="preserve"> ואשה היא המאנא:</w:t>
      </w:r>
    </w:p>
  </w:footnote>
  <w:footnote w:id="603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מטה האלקים הנוגה.</w:t>
      </w:r>
      <w:r w:rsidRPr="00BD5E91">
        <w:rPr>
          <w:sz w:val="22"/>
          <w:szCs w:val="22"/>
          <w:rtl/>
        </w:rPr>
        <w:t xml:space="preserve"> הוא אינו פסוק בשום מקום וע' תוס' דעירובין דף ס"ה ד"ה בצר אל כו'. ומביא מפסוק זה ראיה שנוגה הוא מטה ובינה נקראת מטה כמ"ש והולך:</w:t>
      </w:r>
    </w:p>
  </w:footnote>
  <w:footnote w:id="603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מסט' כו'.</w:t>
      </w:r>
      <w:r w:rsidRPr="00BD5E91">
        <w:rPr>
          <w:sz w:val="22"/>
          <w:szCs w:val="22"/>
          <w:rtl/>
        </w:rPr>
        <w:t xml:space="preserve"> דמ"ט פנים אינון ב' פעמים דשחרית ודערבית כמ"ש בהת"ז, ובשביל זה נקראת מטה כמ"ש והולך, לכך היא מטה בשני סטרין:</w:t>
      </w:r>
    </w:p>
  </w:footnote>
  <w:footnote w:id="603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על מארי תיובתא.</w:t>
      </w:r>
      <w:r w:rsidRPr="00BD5E91">
        <w:rPr>
          <w:sz w:val="22"/>
          <w:szCs w:val="22"/>
          <w:rtl/>
        </w:rPr>
        <w:t xml:space="preserve"> דתשובה היא בבינה:</w:t>
      </w:r>
    </w:p>
  </w:footnote>
  <w:footnote w:id="603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כי ימינך.</w:t>
      </w:r>
      <w:r w:rsidRPr="00BD5E91">
        <w:rPr>
          <w:sz w:val="22"/>
          <w:szCs w:val="22"/>
          <w:rtl/>
        </w:rPr>
        <w:t xml:space="preserve"> ימין הבינה:</w:t>
      </w:r>
    </w:p>
  </w:footnote>
  <w:footnote w:id="603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מטה האלקים.</w:t>
      </w:r>
      <w:r w:rsidRPr="00BD5E91">
        <w:rPr>
          <w:sz w:val="22"/>
          <w:szCs w:val="22"/>
          <w:rtl/>
        </w:rPr>
        <w:t xml:space="preserve"> ר"ל דין שממנה מתערין, לפיכך נקראת מטה, וכתיב מטה האלקים בה' שהיא ה' עילאה:</w:t>
      </w:r>
    </w:p>
  </w:footnote>
  <w:footnote w:id="603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ושבע כו'. </w:t>
      </w:r>
      <w:r w:rsidRPr="00BD5E91">
        <w:rPr>
          <w:sz w:val="22"/>
          <w:szCs w:val="22"/>
          <w:rtl/>
        </w:rPr>
        <w:t>מפרש למה נקראת מטה. ור"ל שז' ספירות התחתונות כ"א כלול מז', ומלכות של כ"א הוא כלול מכל הששה של כ"א, דלכך שית אתוון הן בו"ס של כ"א, וכללות השמות הן במלכות של כ"א, הכל מסט' דאימא עילאה, וז"ש ואלין אינון דאיתמר שרפים כו'. ששרפים הוא בבינה כמ"ש והולך והיא כוללת אותם, ומצד עצמה היא יום החמשים וזהו נ' שערים שלה:</w:t>
      </w:r>
    </w:p>
  </w:footnote>
  <w:footnote w:id="603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ה' עילאה .</w:t>
      </w:r>
      <w:r w:rsidRPr="00BD5E91">
        <w:rPr>
          <w:sz w:val="22"/>
          <w:szCs w:val="22"/>
          <w:rtl/>
        </w:rPr>
        <w:t xml:space="preserve"> ר"ל דה' כלול מי' כמ"ש בתקונים, והוא שער החמשים שכולל כל הנ' שערים כידוע:</w:t>
      </w:r>
    </w:p>
  </w:footnote>
  <w:footnote w:id="603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ותלת דרגין כו'.</w:t>
      </w:r>
      <w:r w:rsidRPr="00BD5E91">
        <w:rPr>
          <w:sz w:val="22"/>
          <w:szCs w:val="22"/>
          <w:rtl/>
        </w:rPr>
        <w:t xml:space="preserve"> מפרש מה שאמר לעיל דשרפים באימא עילאה:</w:t>
      </w:r>
    </w:p>
  </w:footnote>
  <w:footnote w:id="603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כל חי.</w:t>
      </w:r>
      <w:r w:rsidRPr="00BD5E91">
        <w:rPr>
          <w:sz w:val="22"/>
          <w:szCs w:val="22"/>
          <w:rtl/>
        </w:rPr>
        <w:t xml:space="preserve"> כל - גי' חמשים, והיא נקראת חיים כמו שאומר ומינה נשמת כו'. דחיים גי' אקי"ק הוי"ה אקי"ק, והוא בכח"ב, ונכללת בבינה כמ"ש (שמות ג יד) אקי"ק אשר אקי"ק. אקי"ק בכתר, אשר בחכמה ושם הוי"ה כידוע, אקי"ק בבינה:</w:t>
      </w:r>
    </w:p>
  </w:footnote>
  <w:footnote w:id="603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ובכל שעתא כו'.</w:t>
      </w:r>
      <w:r w:rsidRPr="00BD5E91">
        <w:rPr>
          <w:sz w:val="22"/>
          <w:szCs w:val="22"/>
          <w:rtl/>
        </w:rPr>
        <w:t xml:space="preserve"> ר"ל שמגיע למדרגתה:</w:t>
      </w:r>
    </w:p>
  </w:footnote>
  <w:footnote w:id="604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דאיהו כליל כו'.</w:t>
      </w:r>
      <w:r w:rsidRPr="00BD5E91">
        <w:rPr>
          <w:sz w:val="22"/>
          <w:szCs w:val="22"/>
          <w:rtl/>
        </w:rPr>
        <w:t xml:space="preserve"> ר"ל וכנגד זה ד' חיון הוי"ה ולכ"א ד' גדפין אדנ"י:</w:t>
      </w:r>
    </w:p>
  </w:footnote>
  <w:footnote w:id="604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יקו"ק מימינא כו'.</w:t>
      </w:r>
      <w:r w:rsidRPr="00BD5E91">
        <w:rPr>
          <w:sz w:val="22"/>
          <w:szCs w:val="22"/>
          <w:rtl/>
        </w:rPr>
        <w:t xml:space="preserve"> בח"ג. ועד"א כולל שניהם כמ"ש בתקונים:</w:t>
      </w:r>
    </w:p>
  </w:footnote>
  <w:footnote w:id="604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ואיתמר בש"ה ידיו גלילי.</w:t>
      </w:r>
      <w:r w:rsidRPr="00BD5E91">
        <w:rPr>
          <w:sz w:val="22"/>
          <w:szCs w:val="22"/>
          <w:rtl/>
        </w:rPr>
        <w:t xml:space="preserve"> כמ"ש (תהלים קיט עג) ידיך עשוני שהן עשו את הגוף:</w:t>
      </w:r>
    </w:p>
  </w:footnote>
  <w:footnote w:id="604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ממולאים בתרשיש.</w:t>
      </w:r>
      <w:r w:rsidRPr="00BD5E91">
        <w:rPr>
          <w:sz w:val="22"/>
          <w:szCs w:val="22"/>
          <w:rtl/>
        </w:rPr>
        <w:t xml:space="preserve"> ר"ל בנפש שבא מאופנים מסטרא דמלכות, ומביא ראיה שתרשיש הוא הנפש מהם:</w:t>
      </w:r>
    </w:p>
  </w:footnote>
  <w:footnote w:id="604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ואע"ג דהא אוקימנא ו'.</w:t>
      </w:r>
      <w:r w:rsidRPr="00BD5E91">
        <w:rPr>
          <w:sz w:val="22"/>
          <w:szCs w:val="22"/>
          <w:rtl/>
        </w:rPr>
        <w:t xml:space="preserve"> לעיל ע"א:</w:t>
      </w:r>
    </w:p>
  </w:footnote>
  <w:footnote w:id="604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לקבל גדפין.</w:t>
      </w:r>
      <w:r w:rsidRPr="00BD5E91">
        <w:rPr>
          <w:sz w:val="22"/>
          <w:szCs w:val="22"/>
          <w:rtl/>
        </w:rPr>
        <w:t xml:space="preserve"> דאמר לעיל שהן ב' דרועין חו"ג ובהן שית פרקין נגד ו' כנפים של השרפים:</w:t>
      </w:r>
    </w:p>
  </w:footnote>
  <w:footnote w:id="604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דכרובים.</w:t>
      </w:r>
      <w:r w:rsidRPr="00BD5E91">
        <w:rPr>
          <w:sz w:val="22"/>
          <w:szCs w:val="22"/>
          <w:rtl/>
        </w:rPr>
        <w:t xml:space="preserve"> ר"ל זו"נ כנ"ל:</w:t>
      </w:r>
    </w:p>
  </w:footnote>
  <w:footnote w:id="604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לקבל גופא.</w:t>
      </w:r>
      <w:r w:rsidRPr="00BD5E91">
        <w:rPr>
          <w:sz w:val="22"/>
          <w:szCs w:val="22"/>
          <w:rtl/>
        </w:rPr>
        <w:t xml:space="preserve"> ר"ל עם השוקיים עד הרגל, שבשוקיים ד' פרקין ובגופא ב' פרקין. גוף וברית כמ"ש בהת"ז, וז"ש לקמן דברגלוהי מטלל חיות כו':</w:t>
      </w:r>
    </w:p>
  </w:footnote>
  <w:footnote w:id="604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אופנין לקבל רגלין.</w:t>
      </w:r>
      <w:r w:rsidRPr="00BD5E91">
        <w:rPr>
          <w:sz w:val="22"/>
          <w:szCs w:val="22"/>
          <w:rtl/>
        </w:rPr>
        <w:t xml:space="preserve"> הן כף הרגל ב' פרקין, וכן האופנים כ"א אופן בתוך אופן, שנים כמ"ש בת"ז תקון ה' שבא אופן בתוך אופן:</w:t>
      </w:r>
    </w:p>
  </w:footnote>
  <w:footnote w:id="604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דאינן עגולין.</w:t>
      </w:r>
      <w:r w:rsidRPr="00BD5E91">
        <w:rPr>
          <w:sz w:val="22"/>
          <w:szCs w:val="22"/>
          <w:rtl/>
        </w:rPr>
        <w:t xml:space="preserve"> כמ"ש ככף רגל עגל ות"י סגלגלין:</w:t>
      </w:r>
    </w:p>
  </w:footnote>
  <w:footnote w:id="605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הוו מתמעטין כו'.</w:t>
      </w:r>
      <w:r w:rsidRPr="00BD5E91">
        <w:rPr>
          <w:sz w:val="22"/>
          <w:szCs w:val="22"/>
          <w:rtl/>
        </w:rPr>
        <w:t xml:space="preserve"> ר"ל שהקשו בגמ' (חגיגה יג ע"ב) כתיב שש כנפים וכתיב ארבע כו' וז"ש. וכרוב חד כו' שבו ב' פרקין כנ"ל אשתארו ד' פרקין:</w:t>
      </w:r>
    </w:p>
  </w:footnote>
  <w:footnote w:id="605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בשפווי.</w:t>
      </w:r>
      <w:r w:rsidRPr="00BD5E91">
        <w:rPr>
          <w:sz w:val="22"/>
          <w:szCs w:val="22"/>
          <w:rtl/>
        </w:rPr>
        <w:t xml:space="preserve"> שהן תו"מ ע"י הלשון שהוא יסוד כמ"ש והולך ועל ידו מתחברין השפתים בדיבור:</w:t>
      </w:r>
    </w:p>
  </w:footnote>
  <w:footnote w:id="605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דאיהו לשון למודים.</w:t>
      </w:r>
      <w:r w:rsidRPr="00BD5E91">
        <w:rPr>
          <w:sz w:val="22"/>
          <w:szCs w:val="22"/>
          <w:rtl/>
        </w:rPr>
        <w:t xml:space="preserve"> ר"ל היסוד שמקבל מנ"ה שהן למודי ה':</w:t>
      </w:r>
    </w:p>
  </w:footnote>
  <w:footnote w:id="605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כליל כו'.</w:t>
      </w:r>
      <w:r w:rsidRPr="00BD5E91">
        <w:rPr>
          <w:sz w:val="22"/>
          <w:szCs w:val="22"/>
          <w:rtl/>
        </w:rPr>
        <w:t xml:space="preserve"> ר"ל שע"י מתחברין בתפלה שהוא כולל ח"י ברכאין:</w:t>
      </w:r>
    </w:p>
  </w:footnote>
  <w:footnote w:id="605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דביה.</w:t>
      </w:r>
      <w:r w:rsidRPr="00BD5E91">
        <w:rPr>
          <w:sz w:val="22"/>
          <w:szCs w:val="22"/>
          <w:rtl/>
        </w:rPr>
        <w:t xml:space="preserve"> ר"ל בתפלה:</w:t>
      </w:r>
    </w:p>
  </w:footnote>
  <w:footnote w:id="605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מתכנשין כו'.</w:t>
      </w:r>
      <w:r w:rsidRPr="00BD5E91">
        <w:rPr>
          <w:sz w:val="22"/>
          <w:szCs w:val="22"/>
          <w:rtl/>
        </w:rPr>
        <w:t xml:space="preserve"> שהן גדפין ורגלין מתכנשין לקבל הגוף עליהם:</w:t>
      </w:r>
    </w:p>
  </w:footnote>
  <w:footnote w:id="605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וקלא דיליה כו'.</w:t>
      </w:r>
      <w:r w:rsidRPr="00BD5E91">
        <w:rPr>
          <w:sz w:val="22"/>
          <w:szCs w:val="22"/>
          <w:rtl/>
        </w:rPr>
        <w:t xml:space="preserve"> ר"ל שנא' (יחזקאל א כד) ואשמע את קול כנפיהם, והוא בק"ש ששם קול עד"א, ובתפלה בעמדם תרפינה כנפיהם שהוא דיבור בלחישו מלכות, ושם כנפיהם פרודות ר"ל פתוחות כמ"ש והולך וז"ש גדפייהו פתיחן כו': </w:t>
      </w:r>
      <w:r w:rsidRPr="00BD5E91">
        <w:rPr>
          <w:b/>
          <w:bCs/>
          <w:sz w:val="22"/>
          <w:szCs w:val="22"/>
          <w:rtl/>
        </w:rPr>
        <w:t>וקלא דיליה.</w:t>
      </w:r>
      <w:r w:rsidRPr="00BD5E91">
        <w:rPr>
          <w:sz w:val="22"/>
          <w:szCs w:val="22"/>
          <w:rtl/>
        </w:rPr>
        <w:t xml:space="preserve"> ר"ל של האדם:</w:t>
      </w:r>
      <w:r w:rsidRPr="00BD5E91">
        <w:rPr>
          <w:b/>
          <w:bCs/>
          <w:sz w:val="22"/>
          <w:szCs w:val="22"/>
          <w:rtl/>
        </w:rPr>
        <w:t xml:space="preserve"> </w:t>
      </w:r>
    </w:p>
  </w:footnote>
  <w:footnote w:id="605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שפתי תפתח.</w:t>
      </w:r>
      <w:r w:rsidRPr="00BD5E91">
        <w:rPr>
          <w:sz w:val="22"/>
          <w:szCs w:val="22"/>
          <w:rtl/>
        </w:rPr>
        <w:t xml:space="preserve"> שפה התחתונה לקבל העליונה:</w:t>
      </w:r>
    </w:p>
  </w:footnote>
  <w:footnote w:id="605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כד איהי כו' מתפתחין כו'.</w:t>
      </w:r>
      <w:r w:rsidRPr="00BD5E91">
        <w:rPr>
          <w:sz w:val="22"/>
          <w:szCs w:val="22"/>
          <w:rtl/>
        </w:rPr>
        <w:t xml:space="preserve"> שהן עולימות דילה דכתיב בתולות אחריה כו':</w:t>
      </w:r>
    </w:p>
  </w:footnote>
  <w:footnote w:id="605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הא אינון כרובים כו' תרפינה כו'.</w:t>
      </w:r>
      <w:r w:rsidRPr="00BD5E91">
        <w:rPr>
          <w:sz w:val="22"/>
          <w:szCs w:val="22"/>
          <w:rtl/>
        </w:rPr>
        <w:t xml:space="preserve"> שכבר קיבלו עליהם:</w:t>
      </w:r>
    </w:p>
  </w:footnote>
  <w:footnote w:id="606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בההוא זימנא אינון כו'.</w:t>
      </w:r>
      <w:r w:rsidRPr="00BD5E91">
        <w:rPr>
          <w:sz w:val="22"/>
          <w:szCs w:val="22"/>
          <w:rtl/>
        </w:rPr>
        <w:t xml:space="preserve"> ר"ל בתפלה:</w:t>
      </w:r>
    </w:p>
  </w:footnote>
  <w:footnote w:id="606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דאיתמר עלייהו תפלות כו'.</w:t>
      </w:r>
      <w:r w:rsidRPr="00BD5E91">
        <w:rPr>
          <w:sz w:val="22"/>
          <w:szCs w:val="22"/>
          <w:rtl/>
        </w:rPr>
        <w:t xml:space="preserve"> בשביל שרוצה לומר דבזמנא דכרובים דאינון כו':</w:t>
      </w:r>
    </w:p>
  </w:footnote>
  <w:footnote w:id="606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מלפני ה'.</w:t>
      </w:r>
      <w:r w:rsidRPr="00BD5E91">
        <w:rPr>
          <w:sz w:val="22"/>
          <w:szCs w:val="22"/>
          <w:rtl/>
        </w:rPr>
        <w:t xml:space="preserve"> ר"ל מס"א שהן מלפני, שלפני הוא מלכות שנא' בה ומלכותו בכל משלה כידוע:</w:t>
      </w:r>
    </w:p>
  </w:footnote>
  <w:footnote w:id="606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ותאכל אותם.</w:t>
      </w:r>
      <w:r w:rsidRPr="00BD5E91">
        <w:rPr>
          <w:sz w:val="22"/>
          <w:szCs w:val="22"/>
          <w:rtl/>
        </w:rPr>
        <w:t xml:space="preserve"> ר"ל הקרבנות כמ"ש (יומא כא ע"ב) שהיה יורד כלב על המזבח כו':</w:t>
      </w:r>
    </w:p>
  </w:footnote>
  <w:footnote w:id="606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וימותו.</w:t>
      </w:r>
      <w:r w:rsidRPr="00BD5E91">
        <w:rPr>
          <w:sz w:val="22"/>
          <w:szCs w:val="22"/>
          <w:rtl/>
        </w:rPr>
        <w:t xml:space="preserve"> ר"ל (המקריב) הקרבנות:</w:t>
      </w:r>
    </w:p>
  </w:footnote>
  <w:footnote w:id="606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כגוונא דבני אהרן.</w:t>
      </w:r>
      <w:r w:rsidRPr="00BD5E91">
        <w:rPr>
          <w:sz w:val="22"/>
          <w:szCs w:val="22"/>
          <w:rtl/>
        </w:rPr>
        <w:t xml:space="preserve"> ר"ל ותאכל אותם דבני אהרן קאי ג"כ אקרבנם, וימותו הם עצמם </w:t>
      </w:r>
    </w:p>
  </w:footnote>
  <w:footnote w:id="606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ודבר ה' כו'.</w:t>
      </w:r>
      <w:r w:rsidRPr="00BD5E91">
        <w:rPr>
          <w:sz w:val="22"/>
          <w:szCs w:val="22"/>
          <w:rtl/>
        </w:rPr>
        <w:t xml:space="preserve"> ר"ל שבחיבורם היה מדבר עמו כמ"ש (במדבר ז פט) מבין שני הכרובים וידבר אליו:</w:t>
      </w:r>
    </w:p>
  </w:footnote>
  <w:footnote w:id="606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דא הוא דאתקרי כו'.</w:t>
      </w:r>
      <w:r w:rsidRPr="00BD5E91">
        <w:rPr>
          <w:sz w:val="22"/>
          <w:szCs w:val="22"/>
          <w:rtl/>
        </w:rPr>
        <w:t xml:space="preserve"> ר"ל ר"מ:</w:t>
      </w:r>
    </w:p>
  </w:footnote>
  <w:footnote w:id="606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ספר הזוהר בדרגא דיליה.</w:t>
      </w:r>
      <w:r w:rsidRPr="00BD5E91">
        <w:rPr>
          <w:sz w:val="22"/>
          <w:szCs w:val="22"/>
          <w:rtl/>
        </w:rPr>
        <w:t xml:space="preserve"> ר"ל שהזוהר נקרא ע"ש עד"א:</w:t>
      </w:r>
    </w:p>
  </w:footnote>
  <w:footnote w:id="606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דמאריה.</w:t>
      </w:r>
      <w:r w:rsidRPr="00BD5E91">
        <w:rPr>
          <w:sz w:val="22"/>
          <w:szCs w:val="22"/>
          <w:rtl/>
        </w:rPr>
        <w:t xml:space="preserve"> עד"א:</w:t>
      </w:r>
    </w:p>
  </w:footnote>
  <w:footnote w:id="607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דאתמר ביה רבה כו'.</w:t>
      </w:r>
      <w:r w:rsidRPr="00BD5E91">
        <w:rPr>
          <w:sz w:val="22"/>
          <w:szCs w:val="22"/>
          <w:rtl/>
        </w:rPr>
        <w:t xml:space="preserve"> ר"ל על מרע"ה:</w:t>
      </w:r>
    </w:p>
  </w:footnote>
  <w:footnote w:id="607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דברגלוהי מטלל כו'.</w:t>
      </w:r>
      <w:r w:rsidRPr="00BD5E91">
        <w:rPr>
          <w:sz w:val="22"/>
          <w:szCs w:val="22"/>
          <w:rtl/>
        </w:rPr>
        <w:t xml:space="preserve"> כנ"ל שנא' תחותוהי תטלל כו'. ור"ל תחות הגוף עד"א והן הרגלים:</w:t>
      </w:r>
    </w:p>
  </w:footnote>
  <w:footnote w:id="607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ובדרועוי כו'.</w:t>
      </w:r>
      <w:r w:rsidRPr="00BD5E91">
        <w:rPr>
          <w:sz w:val="22"/>
          <w:szCs w:val="22"/>
          <w:rtl/>
        </w:rPr>
        <w:t xml:space="preserve"> הן גדפין הנ"ל והוא שנא' ובענפוהי ידורון כו':</w:t>
      </w:r>
    </w:p>
  </w:footnote>
  <w:footnote w:id="607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דאינון נשמתין עילאין.</w:t>
      </w:r>
      <w:r w:rsidRPr="00BD5E91">
        <w:rPr>
          <w:sz w:val="22"/>
          <w:szCs w:val="22"/>
          <w:rtl/>
        </w:rPr>
        <w:t xml:space="preserve"> ר"ל של שני המתיבתות בג"ע ונשמתין באין משרפים דאינון בגדפין כנ"ל:</w:t>
      </w:r>
    </w:p>
  </w:footnote>
  <w:footnote w:id="607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דא ישראל לתתא.</w:t>
      </w:r>
      <w:r w:rsidRPr="00BD5E91">
        <w:rPr>
          <w:sz w:val="22"/>
          <w:szCs w:val="22"/>
          <w:rtl/>
        </w:rPr>
        <w:t xml:space="preserve"> בעודן בבשר הגוף והן בדוגמת ישראל דלעילא עד"א לכן אמר ומניה כו':</w:t>
      </w:r>
    </w:p>
  </w:footnote>
  <w:footnote w:id="607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מלאך ה'.</w:t>
      </w:r>
      <w:r w:rsidRPr="00BD5E91">
        <w:rPr>
          <w:sz w:val="22"/>
          <w:szCs w:val="22"/>
          <w:rtl/>
        </w:rPr>
        <w:t xml:space="preserve"> הוא שכינה כידוע בסוד המלאך הגואל:</w:t>
      </w:r>
    </w:p>
  </w:footnote>
  <w:footnote w:id="607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ודא בת לב.</w:t>
      </w:r>
      <w:r w:rsidRPr="00BD5E91">
        <w:rPr>
          <w:sz w:val="22"/>
          <w:szCs w:val="22"/>
          <w:rtl/>
        </w:rPr>
        <w:t xml:space="preserve"> ר"ל אותיות בלבת:</w:t>
      </w:r>
    </w:p>
  </w:footnote>
  <w:footnote w:id="607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בת כלילא כו'.</w:t>
      </w:r>
      <w:r w:rsidRPr="00BD5E91">
        <w:rPr>
          <w:sz w:val="22"/>
          <w:szCs w:val="22"/>
          <w:rtl/>
        </w:rPr>
        <w:t xml:space="preserve"> כידוע ולכך נקרא בית, בת י', וז"ש בבהיר ובהת"ז נגע בבת וכלל בה כל הי':</w:t>
      </w:r>
    </w:p>
  </w:footnote>
  <w:footnote w:id="607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ול"ב נתיבות כו'.</w:t>
      </w:r>
      <w:r w:rsidRPr="00BD5E91">
        <w:rPr>
          <w:sz w:val="22"/>
          <w:szCs w:val="22"/>
          <w:rtl/>
        </w:rPr>
        <w:t xml:space="preserve"> מחכמה דאתמר בה (משלי כד ג) בחכמה יבנה בית:</w:t>
      </w:r>
    </w:p>
  </w:footnote>
  <w:footnote w:id="607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דאינון ל"ב אלקים.</w:t>
      </w:r>
      <w:r w:rsidRPr="00BD5E91">
        <w:rPr>
          <w:sz w:val="22"/>
          <w:szCs w:val="22"/>
          <w:rtl/>
        </w:rPr>
        <w:t xml:space="preserve"> ר"ל דלכך כתיב בהו אלקים, מלכות:</w:t>
      </w:r>
    </w:p>
  </w:footnote>
  <w:footnote w:id="608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דבראשית.</w:t>
      </w:r>
      <w:r w:rsidRPr="00BD5E91">
        <w:rPr>
          <w:sz w:val="22"/>
          <w:szCs w:val="22"/>
          <w:rtl/>
        </w:rPr>
        <w:t xml:space="preserve"> כמ"ש בת"ז ב' ראשית, ב' הוא בת, ראשית הוא ל"ב נתיבות חכמה:</w:t>
      </w:r>
    </w:p>
  </w:footnote>
  <w:footnote w:id="608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הלב רואה.</w:t>
      </w:r>
      <w:r w:rsidRPr="00BD5E91">
        <w:rPr>
          <w:sz w:val="22"/>
          <w:szCs w:val="22"/>
          <w:rtl/>
        </w:rPr>
        <w:t xml:space="preserve"> בחכמה, כמ"ש ראיה בחכמה שמיעה בבינה, והוא כאן לב רואה בעינים שבה לב כנ"ל, ולב שומע בלב עצמו שהוא בינה כמ"ש בהקדמה שנייה של ת"ז, כי בינה ג"כ כלולה מל"ב נתיבות כידוע:</w:t>
      </w:r>
    </w:p>
  </w:footnote>
  <w:footnote w:id="608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בעין דילה.</w:t>
      </w:r>
      <w:r w:rsidRPr="00BD5E91">
        <w:rPr>
          <w:sz w:val="22"/>
          <w:szCs w:val="22"/>
          <w:rtl/>
        </w:rPr>
        <w:t xml:space="preserve"> ר"ל בכלל העין:</w:t>
      </w:r>
    </w:p>
  </w:footnote>
  <w:footnote w:id="608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לב אימא.</w:t>
      </w:r>
      <w:r w:rsidRPr="00BD5E91">
        <w:rPr>
          <w:sz w:val="22"/>
          <w:szCs w:val="22"/>
          <w:rtl/>
        </w:rPr>
        <w:t xml:space="preserve"> ר"ל דבבת עינא איכא בת לב כנ"ל והיא נקראת לב כנ"ל:</w:t>
      </w:r>
    </w:p>
  </w:footnote>
  <w:footnote w:id="608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אור דנהיר כו' דאיהי י' כו'.</w:t>
      </w:r>
      <w:r w:rsidRPr="00BD5E91">
        <w:rPr>
          <w:sz w:val="22"/>
          <w:szCs w:val="22"/>
          <w:rtl/>
        </w:rPr>
        <w:t xml:space="preserve"> ר"ל דבת עינא עילאה הוא י' חכמה, ואור שלה כתר, ומביא ראיה שאור הוא כתר שנקרא אויר עם חכמה כמ"ש בזוהר בראשית:</w:t>
      </w:r>
    </w:p>
  </w:footnote>
  <w:footnote w:id="608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ועוד בשבעה גלדי כו'.</w:t>
      </w:r>
      <w:r w:rsidRPr="00BD5E91">
        <w:rPr>
          <w:sz w:val="22"/>
          <w:szCs w:val="22"/>
          <w:rtl/>
        </w:rPr>
        <w:t xml:space="preserve"> ר"ל ז' תחתונות דבריאה לבושין לז' תחתונות הנ"ל שהן דאצילות וז"ש נהרין נשמתין שהן מבריאה ואע"ג שמנה לעיל באצילות כל העשר מ"מ בת עינא עילאה שבה כח"ב נכלל בבת עינא תתאה והכל אחד. וכן בכל מקום ג' ראשונות נכללין בה, ולפיכך נקראת אדנ"י, אי"נ - ג' ראשונות כמ"ש בת"ז, ד' - מצד עצמה כמ"ש בהת"ז. וז"ש שבעה ושבעה מוצקות:</w:t>
      </w:r>
    </w:p>
  </w:footnote>
  <w:footnote w:id="608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ואית דפריש כו'.</w:t>
      </w:r>
      <w:r w:rsidRPr="00BD5E91">
        <w:rPr>
          <w:sz w:val="22"/>
          <w:szCs w:val="22"/>
          <w:rtl/>
        </w:rPr>
        <w:t xml:space="preserve"> ר"ל השבעה ושבעה - הכל באצילות. ומונה ג"כ כמו למעלה רק כרובי עינא חשיב לשנים, ובת עין לא חשיב כלל כי היא כלולה מכולם:</w:t>
      </w:r>
    </w:p>
  </w:footnote>
  <w:footnote w:id="608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בשבעה כו' ותלת כו'.</w:t>
      </w:r>
      <w:r w:rsidRPr="00BD5E91">
        <w:rPr>
          <w:sz w:val="22"/>
          <w:szCs w:val="22"/>
          <w:rtl/>
        </w:rPr>
        <w:t xml:space="preserve"> הן ע"ס, ז"ת וג' עליונות:</w:t>
      </w:r>
    </w:p>
  </w:footnote>
  <w:footnote w:id="608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והאי איהו כו'.</w:t>
      </w:r>
      <w:r w:rsidRPr="00BD5E91">
        <w:rPr>
          <w:sz w:val="22"/>
          <w:szCs w:val="22"/>
          <w:rtl/>
        </w:rPr>
        <w:t xml:space="preserve"> ר"ל כמ"ש בתיקונים דג' חיון ד' פנים שלהן ד' אותיות הוי"ה שהן ע"ס דגוף דאצילות, וחיה הרביעית פני אדם הוא שמא מפרש גי' אדם שהן ע"ס דפנימיות האצילות. וכן בעינים הוא שמא מפרש ובכרובי ועפעפי שהן לבושי העינים ד' אותיות הוי"ה:</w:t>
      </w:r>
    </w:p>
  </w:footnote>
  <w:footnote w:id="608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בתרי כו' פני אדם.</w:t>
      </w:r>
      <w:r w:rsidRPr="00BD5E91">
        <w:rPr>
          <w:sz w:val="22"/>
          <w:szCs w:val="22"/>
          <w:rtl/>
        </w:rPr>
        <w:t xml:space="preserve"> ר"ל הפנים של שמא מפרש בלא המילוי והן ד' אותיות הוי"ה:</w:t>
      </w:r>
    </w:p>
  </w:footnote>
  <w:footnote w:id="609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ועלייהו אתמר כו.</w:t>
      </w:r>
      <w:r w:rsidRPr="00BD5E91">
        <w:rPr>
          <w:sz w:val="22"/>
          <w:szCs w:val="22"/>
          <w:rtl/>
        </w:rPr>
        <w:t xml:space="preserve"> ר"ל שדמותן הוי"ה הוא דמות פנים של שמא מפרש כנ"ל. וז"ש דמות תלת כו' אנפי כו' כל אבר כו' בפנימיות וחיצוניות. כנ"ל:</w:t>
      </w:r>
    </w:p>
  </w:footnote>
  <w:footnote w:id="609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דס' רבוא.</w:t>
      </w:r>
      <w:r w:rsidRPr="00BD5E91">
        <w:rPr>
          <w:sz w:val="22"/>
          <w:szCs w:val="22"/>
          <w:rtl/>
        </w:rPr>
        <w:t xml:space="preserve"> דכליל ו"ק בדרגא דעד"א:</w:t>
      </w:r>
    </w:p>
  </w:footnote>
  <w:footnote w:id="609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דישראל כו' דמלאכים.</w:t>
      </w:r>
      <w:r w:rsidRPr="00BD5E91">
        <w:rPr>
          <w:sz w:val="22"/>
          <w:szCs w:val="22"/>
          <w:rtl/>
        </w:rPr>
        <w:t xml:space="preserve"> מבריאה ויצירה שהוא כולל הכל כנ"ל:</w:t>
      </w:r>
    </w:p>
  </w:footnote>
  <w:footnote w:id="609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מ"ה ש"היה ה"וא כו'.</w:t>
      </w:r>
      <w:r w:rsidRPr="00BD5E91">
        <w:rPr>
          <w:sz w:val="22"/>
          <w:szCs w:val="22"/>
          <w:rtl/>
        </w:rPr>
        <w:t xml:space="preserve"> ר"ת משה ור"ל שהוא היה גואל ראשון הוא יהיה גואל אחרון שע"י יגאלו כמ"ש בהקדמה שניה של ת"ז מיד יהיבת כו' דהא עלך אתמר קול כו': </w:t>
      </w:r>
    </w:p>
  </w:footnote>
  <w:footnote w:id="609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וביה ממכון כו'.</w:t>
      </w:r>
      <w:r w:rsidRPr="00BD5E91">
        <w:rPr>
          <w:sz w:val="22"/>
          <w:szCs w:val="22"/>
          <w:rtl/>
        </w:rPr>
        <w:t xml:space="preserve"> ג"כ ר"ת משה ור"ל שע"י ישגיח ה' כו' כמ"ש (ישעיהו כד כא, כז א) ביום ההוא יפקוד כו':</w:t>
      </w:r>
    </w:p>
  </w:footnote>
  <w:footnote w:id="609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לאתערא לההוא כו'.</w:t>
      </w:r>
      <w:r w:rsidRPr="00BD5E91">
        <w:rPr>
          <w:sz w:val="22"/>
          <w:szCs w:val="22"/>
          <w:rtl/>
        </w:rPr>
        <w:t xml:space="preserve"> ר"ל לשכינה:</w:t>
      </w:r>
      <w:r w:rsidRPr="00BD5E91">
        <w:rPr>
          <w:b/>
          <w:bCs/>
          <w:sz w:val="22"/>
          <w:szCs w:val="22"/>
          <w:rtl/>
        </w:rPr>
        <w:t xml:space="preserve">  </w:t>
      </w:r>
    </w:p>
  </w:footnote>
  <w:footnote w:id="609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אני ישנה.</w:t>
      </w:r>
      <w:r w:rsidRPr="00BD5E91">
        <w:rPr>
          <w:sz w:val="22"/>
          <w:szCs w:val="22"/>
          <w:rtl/>
        </w:rPr>
        <w:t xml:space="preserve"> שכינה שנקראת אני:</w:t>
      </w:r>
    </w:p>
  </w:footnote>
  <w:footnote w:id="609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ולבי ער.</w:t>
      </w:r>
      <w:r w:rsidRPr="00BD5E91">
        <w:rPr>
          <w:sz w:val="22"/>
          <w:szCs w:val="22"/>
          <w:rtl/>
        </w:rPr>
        <w:t xml:space="preserve"> ר"מ שהוא לב"י כנ"ל ע"כ קום לאתערא לה ור"ל שבת עין הוא שכינה, ואור עד"א, וברז גי' אור בא אור עד"א לגבי בת עין, ואם לאו, היא ישנה והעין סתום ואז אין האור בא אל העין וז"ש דמיכין כו' דלא פתחין לון ר"ל העינים. לאיתעראי להיות ניעורין שלא יישנו:</w:t>
      </w:r>
    </w:p>
  </w:footnote>
  <w:footnote w:id="609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בין אינון כו'.</w:t>
      </w:r>
      <w:r w:rsidRPr="00BD5E91">
        <w:rPr>
          <w:sz w:val="22"/>
          <w:szCs w:val="22"/>
          <w:rtl/>
        </w:rPr>
        <w:t xml:space="preserve"> ר"ל שעוסקין בפשוטה של הלכות:</w:t>
      </w:r>
    </w:p>
  </w:footnote>
  <w:footnote w:id="609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דהא אנת כו'.</w:t>
      </w:r>
      <w:r w:rsidRPr="00BD5E91">
        <w:rPr>
          <w:sz w:val="22"/>
          <w:szCs w:val="22"/>
          <w:rtl/>
        </w:rPr>
        <w:t xml:space="preserve"> ר"ל שע"י יאירו כולם ולכך קום אנת לאיתערא כנ"ל:</w:t>
      </w:r>
    </w:p>
  </w:footnote>
  <w:footnote w:id="610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משה קבל כו'.</w:t>
      </w:r>
      <w:r w:rsidRPr="00BD5E91">
        <w:rPr>
          <w:sz w:val="22"/>
          <w:szCs w:val="22"/>
          <w:rtl/>
        </w:rPr>
        <w:t xml:space="preserve"> ר"ל ומסרה ליהושע ויהושע כו' (אבות א א):</w:t>
      </w:r>
    </w:p>
  </w:footnote>
  <w:footnote w:id="610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דבאתר דאנת כו'.</w:t>
      </w:r>
      <w:r w:rsidRPr="00BD5E91">
        <w:rPr>
          <w:sz w:val="22"/>
          <w:szCs w:val="22"/>
          <w:rtl/>
        </w:rPr>
        <w:t xml:space="preserve"> ועד"א הוא אור כנ"ל:</w:t>
      </w:r>
    </w:p>
  </w:footnote>
  <w:footnote w:id="610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דאיהו כליל כו'.</w:t>
      </w:r>
      <w:r w:rsidRPr="00BD5E91">
        <w:rPr>
          <w:sz w:val="22"/>
          <w:szCs w:val="22"/>
          <w:rtl/>
        </w:rPr>
        <w:t xml:space="preserve"> וכן אנת כולל כולם כנ"ל:</w:t>
      </w:r>
    </w:p>
  </w:footnote>
  <w:footnote w:id="610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דאיתמר בהון ואראה כו'.</w:t>
      </w:r>
      <w:r w:rsidRPr="00BD5E91">
        <w:rPr>
          <w:sz w:val="22"/>
          <w:szCs w:val="22"/>
          <w:rtl/>
        </w:rPr>
        <w:t xml:space="preserve"> ר"ל שראה בפעם אחת כל המראות שנאמר ואראה, בראיה אחת, והוא מראה שכולל כל מראות כמ"ש בהת"ז צורת דיוקנא דכלילא כו' והוא מט"ט בדרגא דמשה ר"ת מ"ט"ט ש"ר ה"פנים:</w:t>
      </w:r>
    </w:p>
  </w:footnote>
  <w:footnote w:id="610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דאית בה כ"ח מ"ה.</w:t>
      </w:r>
      <w:r w:rsidRPr="00BD5E91">
        <w:rPr>
          <w:sz w:val="22"/>
          <w:szCs w:val="22"/>
          <w:rtl/>
        </w:rPr>
        <w:t xml:space="preserve"> ר"ל ע"ש הגי' כ"ח מ"ה כמ"ש לקמן נקראת חכמה אותיות הנ"ל:</w:t>
      </w:r>
    </w:p>
  </w:footnote>
  <w:footnote w:id="610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וכמה כו'.</w:t>
      </w:r>
      <w:r w:rsidRPr="00BD5E91">
        <w:rPr>
          <w:sz w:val="22"/>
          <w:szCs w:val="22"/>
          <w:rtl/>
        </w:rPr>
        <w:t xml:space="preserve"> ר"ל לכך נקראת היא ע"ש הגי' - שהגי' וחשבונות הן בחכמה:</w:t>
      </w:r>
    </w:p>
  </w:footnote>
  <w:footnote w:id="610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וגי' פרפראות לחכמה.</w:t>
      </w:r>
      <w:r w:rsidRPr="00BD5E91">
        <w:rPr>
          <w:sz w:val="22"/>
          <w:szCs w:val="22"/>
          <w:rtl/>
        </w:rPr>
        <w:t xml:space="preserve"> ר"ל שכל הגי' הן פרפאות לגי' של כ"ח מ"ה וז"ש וכמה חשבונות כו':</w:t>
      </w:r>
    </w:p>
  </w:footnote>
  <w:footnote w:id="610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איהו ע"ס.</w:t>
      </w:r>
      <w:r w:rsidRPr="00BD5E91">
        <w:rPr>
          <w:sz w:val="22"/>
          <w:szCs w:val="22"/>
          <w:rtl/>
        </w:rPr>
        <w:t xml:space="preserve"> שהן עצמיות של הע"ס כמ"ש בהקדמה שניה מת"ז:</w:t>
      </w:r>
    </w:p>
  </w:footnote>
  <w:footnote w:id="610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דאמר בעל ס"י כו'.</w:t>
      </w:r>
      <w:r w:rsidRPr="00BD5E91">
        <w:rPr>
          <w:sz w:val="22"/>
          <w:szCs w:val="22"/>
          <w:rtl/>
        </w:rPr>
        <w:t xml:space="preserve"> ר"ל משום דהן מחכמה סלקא דעתין דלא תחשוב אלא מחכמה ולמטה, ולכך אמר ולא ט' כמ"ש לעיל ועשר חכמות כו' וכ"ע כו' והואיל שמחשבין למעלה ממנו בכלל, יכול תחשוב ג"כ ההוא מכוסה לכן אמר ולא י"א כגוונא כו':</w:t>
      </w:r>
    </w:p>
  </w:footnote>
  <w:footnote w:id="610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דאינון תולדין כו'.</w:t>
      </w:r>
      <w:r w:rsidRPr="00BD5E91">
        <w:rPr>
          <w:sz w:val="22"/>
          <w:szCs w:val="22"/>
          <w:rtl/>
        </w:rPr>
        <w:t xml:space="preserve"> ר"ל לכך אמר כ"ח מ"ה שהן כ"ח של מ"ה:</w:t>
      </w:r>
    </w:p>
  </w:footnote>
  <w:footnote w:id="611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ע"ס לקבל עשר כו'.</w:t>
      </w:r>
      <w:r w:rsidRPr="00BD5E91">
        <w:rPr>
          <w:sz w:val="22"/>
          <w:szCs w:val="22"/>
          <w:rtl/>
        </w:rPr>
        <w:t xml:space="preserve"> דאמר בס"י שהע"ס הן כנגד עשר אצבעות ולכך כ"א הוא שלשה פרקין חוץ משנים של ב' פרקין כנגד המילויים:</w:t>
      </w:r>
    </w:p>
  </w:footnote>
  <w:footnote w:id="611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ועתה יגדל כו'.</w:t>
      </w:r>
      <w:r w:rsidRPr="00BD5E91">
        <w:rPr>
          <w:sz w:val="22"/>
          <w:szCs w:val="22"/>
          <w:rtl/>
        </w:rPr>
        <w:t xml:space="preserve"> ר"ל שיתוסף המילויים. כ"ח אדני שהיא ח"כמ"ה תתאה דמחכמה איתבניאת ולכן נקראת מה:</w:t>
      </w:r>
    </w:p>
  </w:footnote>
  <w:footnote w:id="611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ובגין כו' וחשבונות דיליה.</w:t>
      </w:r>
      <w:r w:rsidRPr="00BD5E91">
        <w:rPr>
          <w:sz w:val="22"/>
          <w:szCs w:val="22"/>
          <w:rtl/>
        </w:rPr>
        <w:t xml:space="preserve"> ר"ל כי כל חשבונות הן תלויין בהאי כח וכל א' מישראל יש לו שרש למעלה באותן החשבונות בשמו וזה ששואלין את הרשע את שמו:</w:t>
      </w:r>
    </w:p>
  </w:footnote>
  <w:footnote w:id="611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עתיד כו'.</w:t>
      </w:r>
      <w:r w:rsidRPr="00BD5E91">
        <w:rPr>
          <w:sz w:val="22"/>
          <w:szCs w:val="22"/>
          <w:rtl/>
        </w:rPr>
        <w:t xml:space="preserve"> ר"ל שאמר בקהלת (ט י) כל אשר תמצא ידך לעשות בכחך עשה, ר"ל שישיג החשבון שלו בכל התלויין ביד כנ"ל וזה ידך לעשות בכחך עשה כי אין מעשה כו', וז"ש כי אין כו' ור"ל שאמרו בשאול שם אין שם אותן ב"א שהיה להם בעה"ז מעשה כו' כמ"ש בזוהר:</w:t>
      </w:r>
    </w:p>
  </w:footnote>
  <w:footnote w:id="611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מה איהו.</w:t>
      </w:r>
      <w:r w:rsidRPr="00BD5E91">
        <w:rPr>
          <w:sz w:val="22"/>
          <w:szCs w:val="22"/>
          <w:rtl/>
        </w:rPr>
        <w:t xml:space="preserve"> עכשיו מפרש כבוד דקאי על חכמה:</w:t>
      </w:r>
    </w:p>
  </w:footnote>
  <w:footnote w:id="611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כבוד אחד כו'.</w:t>
      </w:r>
      <w:r w:rsidRPr="00BD5E91">
        <w:rPr>
          <w:sz w:val="22"/>
          <w:szCs w:val="22"/>
          <w:rtl/>
        </w:rPr>
        <w:t xml:space="preserve"> ר"ל שכל הל"ב מתייחדין בוא"ו עד"א שהוא א' כידוע:</w:t>
      </w:r>
    </w:p>
  </w:footnote>
  <w:footnote w:id="611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ואיהו לב אחד.</w:t>
      </w:r>
      <w:r w:rsidRPr="00BD5E91">
        <w:rPr>
          <w:sz w:val="22"/>
          <w:szCs w:val="22"/>
          <w:rtl/>
        </w:rPr>
        <w:t xml:space="preserve"> ר"ל שאמרו בגמ' (סוכה מה ע"ב) מה התמר אין לו אלא לב אחד אף ישראל כו'. ורצו לומר בזה שכלל המ"ה הוא ל"ב גי' כבוד וז"ש ובגיניה כו':</w:t>
      </w:r>
    </w:p>
  </w:footnote>
  <w:footnote w:id="611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ועוד מה כו'.</w:t>
      </w:r>
      <w:r w:rsidRPr="00BD5E91">
        <w:rPr>
          <w:sz w:val="22"/>
          <w:szCs w:val="22"/>
          <w:rtl/>
        </w:rPr>
        <w:t xml:space="preserve"> עכשיו מפ' הגי' שהם פרפראות למ"ה כנ"ל:</w:t>
      </w:r>
    </w:p>
  </w:footnote>
  <w:footnote w:id="611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בגי' אקי"ק אדנ"י וחושבניה כו'.</w:t>
      </w:r>
      <w:r w:rsidRPr="00BD5E91">
        <w:rPr>
          <w:sz w:val="22"/>
          <w:szCs w:val="22"/>
          <w:rtl/>
        </w:rPr>
        <w:t xml:space="preserve"> כמ"ש בהת"ז שב' שמות אלו הן מרכבה ליקו"ק, ואלקים כנוי. ור"ל שב' שמות הנ"ל באצילות ואלקים בבריאה הכס"א ושם הוא כינויים וב' שמות הנ"ל הן בבינה ומלכות מרכבה לחכמה ות"ת ששם הויה:</w:t>
      </w:r>
    </w:p>
  </w:footnote>
  <w:footnote w:id="611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דשמיה וכנוייה כו'.</w:t>
      </w:r>
      <w:r w:rsidRPr="00BD5E91">
        <w:rPr>
          <w:sz w:val="22"/>
          <w:szCs w:val="22"/>
          <w:rtl/>
        </w:rPr>
        <w:t xml:space="preserve"> דבריאה עמהם באחדות כידוע:</w:t>
      </w:r>
    </w:p>
  </w:footnote>
  <w:footnote w:id="612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אלין תשע כו'.</w:t>
      </w:r>
      <w:r w:rsidRPr="00BD5E91">
        <w:rPr>
          <w:sz w:val="22"/>
          <w:szCs w:val="22"/>
          <w:rtl/>
        </w:rPr>
        <w:t xml:space="preserve"> ר"ל ביצירה מגו מט"ט:</w:t>
      </w:r>
    </w:p>
  </w:footnote>
  <w:footnote w:id="612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ואינון עלמין גניזין. </w:t>
      </w:r>
      <w:r w:rsidRPr="00BD5E91">
        <w:rPr>
          <w:sz w:val="22"/>
          <w:szCs w:val="22"/>
          <w:rtl/>
        </w:rPr>
        <w:t>ר"ל עולמות שלמעלה מההוא מופלא, והם בההוא שנקרא מכוסה, וז"ש גניזין,</w:t>
      </w:r>
      <w:r w:rsidRPr="00BD5E91">
        <w:rPr>
          <w:b/>
          <w:bCs/>
          <w:sz w:val="22"/>
          <w:szCs w:val="22"/>
          <w:rtl/>
        </w:rPr>
        <w:t xml:space="preserve"> </w:t>
      </w:r>
      <w:r w:rsidRPr="00BD5E91">
        <w:rPr>
          <w:sz w:val="22"/>
          <w:szCs w:val="22"/>
          <w:rtl/>
        </w:rPr>
        <w:t>ואינון גניזין רק למופלא בלבד אבל ממנו ולמטה אף באצילות אין יכול להשיגם וז"ש דאיהו עילת על כו':</w:t>
      </w:r>
    </w:p>
  </w:footnote>
  <w:footnote w:id="612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מן עילת כו'.</w:t>
      </w:r>
      <w:r w:rsidRPr="00BD5E91">
        <w:rPr>
          <w:sz w:val="22"/>
          <w:szCs w:val="22"/>
          <w:rtl/>
        </w:rPr>
        <w:t xml:space="preserve"> דהוא חשך אפיסת השגה כמ"ש (תהלים יח יב) ישת חשך סתרו, ועל ג' ראשונות אמר (דברים ד יא) חשך ענן וערפל שהן מחוסרי השגה, וכתר יותר מכולם וזהו חשך אבל בז' תחתונות דהן מושגין כמ"ש שאל נא לימים ראשונים אמר ענני כבוד שהן נהירין:</w:t>
      </w:r>
    </w:p>
  </w:footnote>
  <w:footnote w:id="612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ושבעה ענני כבוד.</w:t>
      </w:r>
      <w:r w:rsidRPr="00BD5E91">
        <w:rPr>
          <w:sz w:val="22"/>
          <w:szCs w:val="22"/>
          <w:rtl/>
        </w:rPr>
        <w:t xml:space="preserve"> כמ"ש (במדבר רבה פרשה א) ששה היו לישראל בששה קצוות, למעלה ולמטה ומד' רוחות שהן נגד ו"ק, ושביעית הולך לפניהן שהיא נגד מלכות שהולכת לפניהם כידוע:</w:t>
      </w:r>
    </w:p>
  </w:footnote>
  <w:footnote w:id="612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דסליק לחושבן ע"ב.</w:t>
      </w:r>
      <w:r w:rsidRPr="00BD5E91">
        <w:rPr>
          <w:sz w:val="22"/>
          <w:szCs w:val="22"/>
          <w:rtl/>
        </w:rPr>
        <w:t xml:space="preserve"> כמ"ש והולך ע"ס מסט' דחסד שנקרא ע"ב כמ"ש לעיל, וחסד הוא מים כמ"ש לעיל, וזהו שקיו דעננין מים שבתוך העננים ואף ספירת כתר שהוא חשך שקיו ג"כ ע"ב הזה שהוא מים כמ"ש ישת חשך כו' חשכת מים עבי כו'. וזהו בע"ב הענן שנאמר אצל משה כמ"ש לעיל שהן ע"ס שבא הקב"ה עם כולם, שמינייהו ניתן עשרה דברות כידוע, וזהו בע"ב הענן ע"ב של הענן, ושקיו דעננים הן אורייתא כמ"ש לקמן וזה שניתן התורה מהם וכולם נכללו במלכות כמ"ש נגע בבת וכליל כל העשר ומליל עמהון כמ"ש וידבר אלקים את כל הדברים - של כולם, וז"ש הנה ה' רוכב על ע"ב קל ר"ל שהפסוק הזה מיירי בצלותא דבר נש כמ"ש והולך שמשריין דשכינתא מרכבה למשריין דקב"ה, וזה ה' רוכב על ע"ב, שבה כלול כל ע"ב כנ"ל. קל כמ"ש דבאת קלילא נברא העולם, והוא ה' שאין בה אלא הבל דפומא, ובהבל נברא העולם כמ"ש הכל הבל כמ"ש בתיקונים והיא סלקא בצלותא בהבלים כמ"ש והולך, לכן נקראת קל, והוא נחית בקולות לכן נקרא ענן כבד וז"ש וכד נחתין כו' בקלין כו' הה"ד כו' וענן כבד כו':</w:t>
      </w:r>
    </w:p>
  </w:footnote>
  <w:footnote w:id="612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וע"ס כו' מסטרא דחסד.</w:t>
      </w:r>
      <w:r w:rsidRPr="00BD5E91">
        <w:rPr>
          <w:sz w:val="22"/>
          <w:szCs w:val="22"/>
          <w:rtl/>
        </w:rPr>
        <w:t xml:space="preserve"> ר"ל דבשמא מפרש, שם מ"ה, אמר דהוא שקיו דע"ס לכן אמר מסט' דחסד, ושם הוא מסט' דחכמה:</w:t>
      </w:r>
    </w:p>
  </w:footnote>
  <w:footnote w:id="612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ומיניה שם כו'.</w:t>
      </w:r>
      <w:r w:rsidRPr="00BD5E91">
        <w:rPr>
          <w:sz w:val="22"/>
          <w:szCs w:val="22"/>
          <w:rtl/>
        </w:rPr>
        <w:t xml:space="preserve"> ר"ל שם ע"ב של ויסע ויבא ויט - כתיב בדרועא ימינא שהוא חסד דנפיק מן שם ע"ב הזה, דכל השמות יוצאין כולם משם הוי"ה:</w:t>
      </w:r>
    </w:p>
  </w:footnote>
  <w:footnote w:id="612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וכד סליקת כו'.</w:t>
      </w:r>
      <w:r w:rsidRPr="00BD5E91">
        <w:rPr>
          <w:sz w:val="22"/>
          <w:szCs w:val="22"/>
          <w:rtl/>
        </w:rPr>
        <w:t xml:space="preserve"> ר"ל הפסוק הנ"ל הנה ה' כו' שהוא בתפלה, וזה ובא מצרים, דצלותא הוא כגוונא דנפיקו ישראל ממצרים כמ"ש לקמן:</w:t>
      </w:r>
    </w:p>
  </w:footnote>
  <w:footnote w:id="612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בצלותא בחשאי.</w:t>
      </w:r>
      <w:r w:rsidRPr="00BD5E91">
        <w:rPr>
          <w:sz w:val="22"/>
          <w:szCs w:val="22"/>
          <w:rtl/>
        </w:rPr>
        <w:t xml:space="preserve"> ר"ל בתפלת הקהל בלחש:</w:t>
      </w:r>
    </w:p>
  </w:footnote>
  <w:footnote w:id="612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דאזלין באוירא.</w:t>
      </w:r>
      <w:r w:rsidRPr="00BD5E91">
        <w:rPr>
          <w:sz w:val="22"/>
          <w:szCs w:val="22"/>
          <w:rtl/>
        </w:rPr>
        <w:t xml:space="preserve"> לקבל התפלות כמ"ש בזוהר שהן עומדין באויר לד' רוחות:</w:t>
      </w:r>
    </w:p>
  </w:footnote>
  <w:footnote w:id="613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סליקת בכולהון.</w:t>
      </w:r>
      <w:r w:rsidRPr="00BD5E91">
        <w:rPr>
          <w:sz w:val="22"/>
          <w:szCs w:val="22"/>
          <w:rtl/>
        </w:rPr>
        <w:t xml:space="preserve"> ר"ל בכל העננים שהן כל הע"ס כמ"ש (תהלים קיח כב) אבן מאסו הבונים כו':</w:t>
      </w:r>
    </w:p>
  </w:footnote>
  <w:footnote w:id="613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באלין הבלים.</w:t>
      </w:r>
      <w:r w:rsidRPr="00BD5E91">
        <w:rPr>
          <w:sz w:val="22"/>
          <w:szCs w:val="22"/>
          <w:rtl/>
        </w:rPr>
        <w:t xml:space="preserve"> שבלחש אין שם רק הבלים, והן מסט' דשכינתא כנ"ל את ה', דאינון שבעה כו' ז"ת, וז"ש הבל הבלים בחג"ת, ח"ג הבלים, ת"ת הבל כלול מהם, וכן הבל הבלים בנה"י, הכל הבל - במלכות דאיהו כלה כלולה מכולם:</w:t>
      </w:r>
    </w:p>
  </w:footnote>
  <w:footnote w:id="613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תלת גניזין.</w:t>
      </w:r>
      <w:r w:rsidRPr="00BD5E91">
        <w:rPr>
          <w:sz w:val="22"/>
          <w:szCs w:val="22"/>
          <w:rtl/>
        </w:rPr>
        <w:t xml:space="preserve"> ג"ר כמו העננים דלעיל והן רמוזים בג' תיבות: 'אמר קהלת הכל' (א.ה. לא נמצא בדיוק כך אלא בפרק יב פסוק ח כתוב 'אמר הקהלת הכל'), אמר - בבינה, שבה אמירה כידוע; קהלת נקרא ע"ש החכמה כמ"ש חז"ל, הכל - כתר שהוא שורש הכל כידוע. ואינן מפורשין בפסוק - דהן גניזין. וזהו עב קל דסלקת בכל  עננים בהבלים כנ"ל:</w:t>
      </w:r>
    </w:p>
  </w:footnote>
  <w:footnote w:id="613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ואינון מרכבה כו'.</w:t>
      </w:r>
      <w:r w:rsidRPr="00BD5E91">
        <w:rPr>
          <w:sz w:val="22"/>
          <w:szCs w:val="22"/>
          <w:rtl/>
        </w:rPr>
        <w:t xml:space="preserve"> וזהו, ה' - דהוא מלכא, רוכב כו':</w:t>
      </w:r>
    </w:p>
  </w:footnote>
  <w:footnote w:id="613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והנה מלאכי כו' בו.</w:t>
      </w:r>
      <w:r w:rsidRPr="00BD5E91">
        <w:rPr>
          <w:sz w:val="22"/>
          <w:szCs w:val="22"/>
          <w:rtl/>
        </w:rPr>
        <w:t xml:space="preserve"> ר"ל בו בצלותא דאיהו סלם כמ"ש והולך:</w:t>
      </w:r>
    </w:p>
  </w:footnote>
  <w:footnote w:id="613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ובג"ד כד כו' בחשאי וכד כו' ממללן.</w:t>
      </w:r>
      <w:r w:rsidRPr="00BD5E91">
        <w:rPr>
          <w:sz w:val="22"/>
          <w:szCs w:val="22"/>
          <w:rtl/>
        </w:rPr>
        <w:t xml:space="preserve"> ר"ל בתפלת הלחש סלקא, ובתפלת דקול רם נחתי משריין כו', וזהו חשמ"ל שהן אדנ"י הוי"ה כמ"ש לעיל:</w:t>
      </w:r>
    </w:p>
  </w:footnote>
  <w:footnote w:id="613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בההוא זמנא.</w:t>
      </w:r>
      <w:r w:rsidRPr="00BD5E91">
        <w:rPr>
          <w:sz w:val="22"/>
          <w:szCs w:val="22"/>
          <w:rtl/>
        </w:rPr>
        <w:t xml:space="preserve"> ר"ל בתפלת קול רם דנחתא מלכא לגבי מטרוניתא:</w:t>
      </w:r>
    </w:p>
  </w:footnote>
  <w:footnote w:id="613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יחודא דקול ודבור כחדא.</w:t>
      </w:r>
      <w:r w:rsidRPr="00BD5E91">
        <w:rPr>
          <w:sz w:val="22"/>
          <w:szCs w:val="22"/>
          <w:rtl/>
        </w:rPr>
        <w:t xml:space="preserve"> ר"ל זו"נ והייחוד שהן ב' שמות בשילוב וז"ש יאקדונק"י והוא באמן שעולה ב' שמות ביחד וז"ש דבגיניה איתמר כו'. וכד כו'. ור"ל לכך הוא בקול רם:</w:t>
      </w:r>
    </w:p>
  </w:footnote>
  <w:footnote w:id="613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הה"ד ויהי כו'.</w:t>
      </w:r>
      <w:r w:rsidRPr="00BD5E91">
        <w:rPr>
          <w:sz w:val="22"/>
          <w:szCs w:val="22"/>
          <w:rtl/>
        </w:rPr>
        <w:t xml:space="preserve"> וזה וענן כבד - ת"ת כנ"ל על ההר - מלכות:</w:t>
      </w:r>
    </w:p>
  </w:footnote>
  <w:footnote w:id="613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דהכי אורח דמטרא כו'.</w:t>
      </w:r>
      <w:r w:rsidRPr="00BD5E91">
        <w:rPr>
          <w:sz w:val="22"/>
          <w:szCs w:val="22"/>
          <w:rtl/>
        </w:rPr>
        <w:t xml:space="preserve"> לכך סמיך קרא (משלי ל טז) ועוצר רחם ארץ כו', שאמרו (ברכות טו ע"ב) רחם מכניסין לה בחשאי כו':</w:t>
      </w:r>
    </w:p>
  </w:footnote>
  <w:footnote w:id="614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ולית מטרא כו'.</w:t>
      </w:r>
      <w:r w:rsidRPr="00BD5E91">
        <w:rPr>
          <w:sz w:val="22"/>
          <w:szCs w:val="22"/>
          <w:rtl/>
        </w:rPr>
        <w:t xml:space="preserve"> ר"ל הקב"ה דנחית לגבה כנ"ל והוא נקרא תורה ולכך כתיב ויהי קולות וברקים כו':</w:t>
      </w:r>
    </w:p>
  </w:footnote>
  <w:footnote w:id="614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ואיהי שרגא כו'.</w:t>
      </w:r>
      <w:r w:rsidRPr="00BD5E91">
        <w:rPr>
          <w:sz w:val="22"/>
          <w:szCs w:val="22"/>
          <w:rtl/>
        </w:rPr>
        <w:t xml:space="preserve"> לכן סמיך קרא הנ"ל ארץ לא שבעה מים ואש כו'. שלא שבעה משחא:</w:t>
      </w:r>
    </w:p>
  </w:footnote>
  <w:footnote w:id="614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היא העולה.</w:t>
      </w:r>
      <w:r w:rsidRPr="00BD5E91">
        <w:rPr>
          <w:sz w:val="22"/>
          <w:szCs w:val="22"/>
          <w:rtl/>
        </w:rPr>
        <w:t xml:space="preserve"> ר"ל היא השכינה העולה שנאמר (שמות כז כ) להעלות נר:</w:t>
      </w:r>
    </w:p>
  </w:footnote>
  <w:footnote w:id="614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ישראל פתילה.</w:t>
      </w:r>
      <w:r w:rsidRPr="00BD5E91">
        <w:rPr>
          <w:sz w:val="22"/>
          <w:szCs w:val="22"/>
          <w:rtl/>
        </w:rPr>
        <w:t xml:space="preserve"> כמ"ש לעיל פתילה דאחיד בתרווייהו, וצלותא דישראל סולם כנ"ל:</w:t>
      </w:r>
    </w:p>
  </w:footnote>
  <w:footnote w:id="614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להעלות נר תמיד.</w:t>
      </w:r>
      <w:r w:rsidRPr="00BD5E91">
        <w:rPr>
          <w:sz w:val="22"/>
          <w:szCs w:val="22"/>
          <w:rtl/>
        </w:rPr>
        <w:t xml:space="preserve"> ר"ל שנאמר שמן זית זך להעלות כו' והוא תורה שנאמר והגית כו' וז"ש בקהלת (קהלת ט ח) ושמן על ראשך כו', וכל זה ר"ל דבצלותא איהי שרגא סלקת כמ"ש היא העולה כנ"ל, ומשחא נחית קב"ה, וצלותא פתילה וז"ש ובזמנא דצלותא כו':</w:t>
      </w:r>
    </w:p>
  </w:footnote>
  <w:footnote w:id="614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דאיהי מצוה כו'.</w:t>
      </w:r>
      <w:r w:rsidRPr="00BD5E91">
        <w:rPr>
          <w:sz w:val="22"/>
          <w:szCs w:val="22"/>
          <w:rtl/>
        </w:rPr>
        <w:t xml:space="preserve"> ר"ל כמ"ש (סוטה כא ע"א) עבירה מכבה מצוה ואין כו' שהתורה היא שמן ובלתי שמן נכלה הנר:</w:t>
      </w:r>
    </w:p>
  </w:footnote>
  <w:footnote w:id="614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ל"ל כבייה עולמית.</w:t>
      </w:r>
      <w:r w:rsidRPr="00BD5E91">
        <w:rPr>
          <w:sz w:val="22"/>
          <w:szCs w:val="22"/>
          <w:rtl/>
        </w:rPr>
        <w:t xml:space="preserve"> וז"ש אש תמיד ר"ל עם תורה שנקרא תמיד כנ"ל לא תכבה:</w:t>
      </w:r>
    </w:p>
  </w:footnote>
  <w:footnote w:id="614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וכד כו'.</w:t>
      </w:r>
      <w:r w:rsidRPr="00BD5E91">
        <w:rPr>
          <w:sz w:val="22"/>
          <w:szCs w:val="22"/>
          <w:rtl/>
        </w:rPr>
        <w:t xml:space="preserve"> ר"ל שנאמר (תהלים סט יד) ואני תפלתי כו'. אלקים. חסדך. באמת. הן ג' גוונין. כידוע והן: נר. שמן. ופתילה. כנ"ל דהן לקבל תלת אבהן:</w:t>
      </w:r>
    </w:p>
  </w:footnote>
  <w:footnote w:id="614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בעננא.</w:t>
      </w:r>
      <w:r w:rsidRPr="00BD5E91">
        <w:rPr>
          <w:sz w:val="22"/>
          <w:szCs w:val="22"/>
          <w:rtl/>
        </w:rPr>
        <w:t xml:space="preserve"> היא לבושי השכינה כד סלקא כנ"ל:</w:t>
      </w:r>
    </w:p>
  </w:footnote>
  <w:footnote w:id="614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אני בעננא אוכמא.</w:t>
      </w:r>
      <w:r w:rsidRPr="00BD5E91">
        <w:rPr>
          <w:sz w:val="22"/>
          <w:szCs w:val="22"/>
          <w:rtl/>
        </w:rPr>
        <w:t xml:space="preserve"> דל"ל מגרמה כלום והיא גוון אוכם:</w:t>
      </w:r>
    </w:p>
  </w:footnote>
  <w:footnote w:id="615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נהירין.</w:t>
      </w:r>
      <w:r w:rsidRPr="00BD5E91">
        <w:rPr>
          <w:sz w:val="22"/>
          <w:szCs w:val="22"/>
          <w:rtl/>
        </w:rPr>
        <w:t xml:space="preserve"> בנר. שמן. ופתילה:</w:t>
      </w:r>
    </w:p>
  </w:footnote>
  <w:footnote w:id="615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בשירין.</w:t>
      </w:r>
      <w:r w:rsidRPr="00BD5E91">
        <w:rPr>
          <w:sz w:val="22"/>
          <w:szCs w:val="22"/>
          <w:rtl/>
        </w:rPr>
        <w:t xml:space="preserve"> שירת הים. וזמירות. פסוקי דזמרה. ותשבחות. ג' ברכות הראשונות. והודאות. ג' אחרונות:</w:t>
      </w:r>
    </w:p>
  </w:footnote>
  <w:footnote w:id="615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ותקן ליה דירה עמיה.</w:t>
      </w:r>
      <w:r w:rsidRPr="00BD5E91">
        <w:rPr>
          <w:sz w:val="22"/>
          <w:szCs w:val="22"/>
          <w:rtl/>
        </w:rPr>
        <w:t xml:space="preserve"> הן ג' דברים: בגופו ובלבושו ובדירתו, שאמרו חז"ל (מנחות מג ע"ב) חביבין ישראל שסיבבן כו':</w:t>
      </w:r>
    </w:p>
  </w:footnote>
  <w:footnote w:id="615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עם בעלה.</w:t>
      </w:r>
      <w:r w:rsidRPr="00BD5E91">
        <w:rPr>
          <w:sz w:val="22"/>
          <w:szCs w:val="22"/>
          <w:rtl/>
        </w:rPr>
        <w:t xml:space="preserve"> ר"ל נשמה לנשמה שאמר בזוהר רות שהוא אלימלך איש נעמי:</w:t>
      </w:r>
    </w:p>
  </w:footnote>
  <w:footnote w:id="615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דאיהו אדם וסימנא כו'.</w:t>
      </w:r>
      <w:r w:rsidRPr="00BD5E91">
        <w:rPr>
          <w:sz w:val="22"/>
          <w:szCs w:val="22"/>
          <w:rtl/>
        </w:rPr>
        <w:t xml:space="preserve"> ר"ל אדם שנאמר בפסוק הזה:</w:t>
      </w:r>
    </w:p>
  </w:footnote>
  <w:footnote w:id="615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דתמן מה.</w:t>
      </w:r>
      <w:r w:rsidRPr="00BD5E91">
        <w:rPr>
          <w:sz w:val="22"/>
          <w:szCs w:val="22"/>
          <w:rtl/>
        </w:rPr>
        <w:t xml:space="preserve"> ר"ל בתיבת חכמ"ה גי' אדם כמ"ש לעיל:</w:t>
      </w:r>
    </w:p>
  </w:footnote>
  <w:footnote w:id="615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דאיהו אדם קדמאה.</w:t>
      </w:r>
      <w:r w:rsidRPr="00BD5E91">
        <w:rPr>
          <w:sz w:val="22"/>
          <w:szCs w:val="22"/>
          <w:rtl/>
        </w:rPr>
        <w:t xml:space="preserve"> קודם לעד"א שנקרא ג"כ אדם, וישראל בדרגא דעד"א שנאמר עליהן (יחזקאל לד לא) אדם אתם, וחכמה - אדם הראשון, בדרגיה כידוע. וזהו: נר - שכינה, ה' - עד"א, נשמת אדם - או"א. והן בתפילין של יד עם הקשר ש"י - זו"נ, ותפילין ש"ר עם הקשר ש"ר - או"א כמ"ש בהת"ז:</w:t>
      </w:r>
    </w:p>
  </w:footnote>
  <w:footnote w:id="615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מחשבה.</w:t>
      </w:r>
      <w:r w:rsidRPr="00BD5E91">
        <w:rPr>
          <w:sz w:val="22"/>
          <w:szCs w:val="22"/>
          <w:rtl/>
        </w:rPr>
        <w:t xml:space="preserve"> ר"ל כוונת התפילין, והוא רמוז בפסוק הנ"ל חופש כל. וכן התפשטות הכתר בכל הספירות:</w:t>
      </w:r>
    </w:p>
  </w:footnote>
  <w:footnote w:id="615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ולא עוד אלא כו'.</w:t>
      </w:r>
      <w:r w:rsidRPr="00BD5E91">
        <w:rPr>
          <w:sz w:val="22"/>
          <w:szCs w:val="22"/>
          <w:rtl/>
        </w:rPr>
        <w:t xml:space="preserve"> קאי לעיל דאמר ובזמנא דצלותא כו' והולך ומפרש כל הענין, ועכשיו חוזר לענין הראשון במעלת התורה:</w:t>
      </w:r>
    </w:p>
  </w:footnote>
  <w:footnote w:id="615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וכען צריך כו'.</w:t>
      </w:r>
      <w:r w:rsidRPr="00BD5E91">
        <w:rPr>
          <w:sz w:val="22"/>
          <w:szCs w:val="22"/>
          <w:rtl/>
        </w:rPr>
        <w:t xml:space="preserve"> שעד כאן פירש התפלה עצמה ועכשיו מפרש פה המתפלל, ויתפרש הפסוק ובא מצרים כו'. וז"ש כד נפקו ממצרים כו' מה עבד טבע רישיה בטיט כו', וכן בתפלה, להמעכב התפלה דומה לשר מצרים, וזה (ישעיהו יט א) ובא מצרים ונעו כו':</w:t>
      </w:r>
    </w:p>
  </w:footnote>
  <w:footnote w:id="616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בגבורה.</w:t>
      </w:r>
      <w:r w:rsidRPr="00BD5E91">
        <w:rPr>
          <w:sz w:val="22"/>
          <w:szCs w:val="22"/>
          <w:rtl/>
        </w:rPr>
        <w:t xml:space="preserve"> ר"ל דשם קיטרג ושם עליית השכינה כמ"ש לעיל שהיא נר מסט' דשמאלא:</w:t>
      </w:r>
    </w:p>
  </w:footnote>
  <w:footnote w:id="616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בלא זכו דאורייתא ועובדין טבין.</w:t>
      </w:r>
      <w:r w:rsidRPr="00BD5E91">
        <w:rPr>
          <w:sz w:val="22"/>
          <w:szCs w:val="22"/>
          <w:rtl/>
        </w:rPr>
        <w:t xml:space="preserve"> דמצוה ותורה הן מסטרא דשמאלא וימינא כנ"ל וז"ש (שמות יד כב) והמים כו' מימינם ומשמאלם ור"ל המים חומה כנ"ל ולית מטרא אלא כו' וסליקו דילה בעובדין וז"ש דאורייתא ועובדין כו':</w:t>
      </w:r>
    </w:p>
  </w:footnote>
  <w:footnote w:id="616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מארי' דצלותין.</w:t>
      </w:r>
      <w:r w:rsidRPr="00BD5E91">
        <w:rPr>
          <w:sz w:val="22"/>
          <w:szCs w:val="22"/>
          <w:rtl/>
        </w:rPr>
        <w:t xml:space="preserve"> הקב"ה:</w:t>
      </w:r>
    </w:p>
  </w:footnote>
  <w:footnote w:id="616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איהו צוח למאן דאפיק ליה.</w:t>
      </w:r>
      <w:r w:rsidRPr="00BD5E91">
        <w:rPr>
          <w:sz w:val="22"/>
          <w:szCs w:val="22"/>
          <w:rtl/>
        </w:rPr>
        <w:t xml:space="preserve"> ר"ל למרע"ה במצרים, ובתפלה למטטרון:</w:t>
      </w:r>
    </w:p>
  </w:footnote>
  <w:footnote w:id="616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ייתי מאריה ויימא.</w:t>
      </w:r>
      <w:r w:rsidRPr="00BD5E91">
        <w:rPr>
          <w:sz w:val="22"/>
          <w:szCs w:val="22"/>
          <w:rtl/>
        </w:rPr>
        <w:t xml:space="preserve"> ר"ל הקב"ה, ור"ל שיאמר הקב"ה למט"ט, שמט"ט יאמר להמעכב, שהקב"ה שילם בעבורו. וז"ש אימא ליה ר"ל שהקב"ה יאמר למט"ט אמור לו כו':</w:t>
      </w:r>
    </w:p>
  </w:footnote>
  <w:footnote w:id="616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אתא.</w:t>
      </w:r>
      <w:r w:rsidRPr="00BD5E91">
        <w:rPr>
          <w:sz w:val="22"/>
          <w:szCs w:val="22"/>
          <w:rtl/>
        </w:rPr>
        <w:t xml:space="preserve"> הקב"ה:</w:t>
      </w:r>
    </w:p>
  </w:footnote>
  <w:footnote w:id="616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מה עבד כו'.</w:t>
      </w:r>
      <w:r w:rsidRPr="00BD5E91">
        <w:rPr>
          <w:sz w:val="22"/>
          <w:szCs w:val="22"/>
          <w:rtl/>
        </w:rPr>
        <w:t xml:space="preserve"> וכן בתפלה, וז"ש ונעו אלילי מצרים כו'. וכל זה פירש כיונה וכצפור היא הנופלת בידו כמ"ש (משלי ז כג) צפור אל פח, וכד חזרין בתיובתא (תהלים קכד ז) הפח נשבר כמו שכתוב נפשנו והוא התפלה כמ"ש (שמואל א' א טו) אשפוך נפשי, כצפור נמלטה כו':</w:t>
      </w:r>
    </w:p>
  </w:footnote>
  <w:footnote w:id="616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שנת החמשים.</w:t>
      </w:r>
      <w:r w:rsidRPr="00BD5E91">
        <w:rPr>
          <w:sz w:val="22"/>
          <w:szCs w:val="22"/>
          <w:rtl/>
        </w:rPr>
        <w:t xml:space="preserve"> דביה דרור:</w:t>
      </w:r>
    </w:p>
  </w:footnote>
  <w:footnote w:id="616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כי לא בחפזון כו'.</w:t>
      </w:r>
      <w:r w:rsidRPr="00BD5E91">
        <w:rPr>
          <w:sz w:val="22"/>
          <w:szCs w:val="22"/>
          <w:rtl/>
        </w:rPr>
        <w:t xml:space="preserve"> דגאולה אחרונה יהיה באורייתא לכך לא יהיה במנוסה כמ"ש בהת"ז:</w:t>
      </w:r>
    </w:p>
  </w:footnote>
  <w:footnote w:id="616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כנשרא.</w:t>
      </w:r>
      <w:r w:rsidRPr="00BD5E91">
        <w:rPr>
          <w:sz w:val="22"/>
          <w:szCs w:val="22"/>
          <w:rtl/>
        </w:rPr>
        <w:t xml:space="preserve"> שהוא מסט' דאימא עילאה כמ"ש לעיל:</w:t>
      </w:r>
    </w:p>
  </w:footnote>
  <w:footnote w:id="617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בשמים.</w:t>
      </w:r>
      <w:r w:rsidRPr="00BD5E91">
        <w:rPr>
          <w:sz w:val="22"/>
          <w:szCs w:val="22"/>
          <w:rtl/>
        </w:rPr>
        <w:t xml:space="preserve"> ר"ל שהיא סלקת לשמים:</w:t>
      </w:r>
    </w:p>
  </w:footnote>
  <w:footnote w:id="617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וכולא קשוט.</w:t>
      </w:r>
      <w:r w:rsidRPr="00BD5E91">
        <w:rPr>
          <w:sz w:val="22"/>
          <w:szCs w:val="22"/>
          <w:rtl/>
        </w:rPr>
        <w:t xml:space="preserve"> ר"ל כי שני הפירושים הם אחד:</w:t>
      </w:r>
    </w:p>
  </w:footnote>
  <w:footnote w:id="617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מסטרא כו'.</w:t>
      </w:r>
      <w:r w:rsidRPr="00BD5E91">
        <w:rPr>
          <w:sz w:val="22"/>
          <w:szCs w:val="22"/>
          <w:rtl/>
        </w:rPr>
        <w:t xml:space="preserve"> דצפור יונה נשר - הוא שכינה מסט' דעשיה יצירה בריאה כמ"ש בתיקון י':</w:t>
      </w:r>
    </w:p>
  </w:footnote>
  <w:footnote w:id="617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רוח.</w:t>
      </w:r>
      <w:r w:rsidRPr="00BD5E91">
        <w:rPr>
          <w:sz w:val="22"/>
          <w:szCs w:val="22"/>
          <w:rtl/>
        </w:rPr>
        <w:t xml:space="preserve"> הוא רוחא דקודשא, שכינתא, כמ"ש בסמוך לקמן:</w:t>
      </w:r>
    </w:p>
  </w:footnote>
  <w:footnote w:id="617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ולזמנין כו'.</w:t>
      </w:r>
      <w:r w:rsidRPr="00BD5E91">
        <w:rPr>
          <w:sz w:val="22"/>
          <w:szCs w:val="22"/>
          <w:rtl/>
        </w:rPr>
        <w:t xml:space="preserve"> וז"ש בקהלת (ג כא,כב) מי יודע כו' וראיתי כי אין טוב כו'. ור"ל אע"ג דלזמנין נפקי מיניה זרעא כו' מ"מ טוב לשמוח במעשיו כי מי יביאנו כו':</w:t>
      </w:r>
    </w:p>
  </w:footnote>
  <w:footnote w:id="617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כל אלין הבלים כו' וקלין כו'.</w:t>
      </w:r>
      <w:r w:rsidRPr="00BD5E91">
        <w:rPr>
          <w:sz w:val="22"/>
          <w:szCs w:val="22"/>
          <w:rtl/>
        </w:rPr>
        <w:t xml:space="preserve"> ר"ל שהבל נעשה להם גוף, ודבור - נפש, וקול - רוח, והנשמה רוכבת עליהם כידוע והן נגד הכסא ומלכות ות"ת, והנשמה נגד בינה:</w:t>
      </w:r>
    </w:p>
  </w:footnote>
  <w:footnote w:id="617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ואפילו מלאכין.</w:t>
      </w:r>
      <w:r w:rsidRPr="00BD5E91">
        <w:rPr>
          <w:sz w:val="22"/>
          <w:szCs w:val="22"/>
          <w:rtl/>
        </w:rPr>
        <w:t xml:space="preserve"> הן לא היו בגוף מ"מ מתלבשין ובאין:</w:t>
      </w:r>
    </w:p>
  </w:footnote>
  <w:footnote w:id="617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ובמאריה כו'.</w:t>
      </w:r>
      <w:r w:rsidRPr="00BD5E91">
        <w:rPr>
          <w:sz w:val="22"/>
          <w:szCs w:val="22"/>
          <w:rtl/>
        </w:rPr>
        <w:t xml:space="preserve"> ר"ל רעיא מהימנא:</w:t>
      </w:r>
    </w:p>
  </w:footnote>
  <w:footnote w:id="617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דביה.</w:t>
      </w:r>
      <w:r w:rsidRPr="00BD5E91">
        <w:rPr>
          <w:sz w:val="22"/>
          <w:szCs w:val="22"/>
          <w:rtl/>
        </w:rPr>
        <w:t xml:space="preserve"> ר"ל ר"מ:</w:t>
      </w:r>
    </w:p>
  </w:footnote>
  <w:footnote w:id="617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השמים ושמי השמים.</w:t>
      </w:r>
      <w:r w:rsidRPr="00BD5E91">
        <w:rPr>
          <w:sz w:val="22"/>
          <w:szCs w:val="22"/>
          <w:rtl/>
        </w:rPr>
        <w:t xml:space="preserve"> יסוד ות"ת, ובהן מקימין השכינה:</w:t>
      </w:r>
    </w:p>
  </w:footnote>
  <w:footnote w:id="618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כגוונא דסיני.</w:t>
      </w:r>
      <w:r w:rsidRPr="00BD5E91">
        <w:rPr>
          <w:sz w:val="22"/>
          <w:szCs w:val="22"/>
          <w:rtl/>
        </w:rPr>
        <w:t xml:space="preserve"> כמ"ש והולך דפומיה סיני:</w:t>
      </w:r>
    </w:p>
  </w:footnote>
  <w:footnote w:id="618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בשתין רבוא כו'.</w:t>
      </w:r>
      <w:r w:rsidRPr="00BD5E91">
        <w:rPr>
          <w:sz w:val="22"/>
          <w:szCs w:val="22"/>
          <w:rtl/>
        </w:rPr>
        <w:t xml:space="preserve"> כידוע שס' רבוא מרכבות ירדו בהר סיני והוא מסט' דעד"א. שמט"ט הוא ס"ר מרכבות כמ"ש בהת"ז:</w:t>
      </w:r>
    </w:p>
  </w:footnote>
  <w:footnote w:id="618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ובנשמתין דאצילות.</w:t>
      </w:r>
      <w:r w:rsidRPr="00BD5E91">
        <w:rPr>
          <w:sz w:val="22"/>
          <w:szCs w:val="22"/>
          <w:rtl/>
        </w:rPr>
        <w:t xml:space="preserve"> לפי שאמר דאיתבריאו, אמר כאן ה"ה דאצילותא:</w:t>
      </w:r>
    </w:p>
  </w:footnote>
  <w:footnote w:id="618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קול דברים.</w:t>
      </w:r>
      <w:r w:rsidRPr="00BD5E91">
        <w:rPr>
          <w:sz w:val="22"/>
          <w:szCs w:val="22"/>
          <w:rtl/>
        </w:rPr>
        <w:t xml:space="preserve"> ר"ל שהקול ת"ת, נשמע מגו דברים מלכות, כן קולו נשמע מפיו שפיו הוא סיני מלכות כמ"ש (אבות א א) משה קבל תורה מסיני ר"ל ממלכות:</w:t>
      </w:r>
    </w:p>
  </w:footnote>
  <w:footnote w:id="618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וכל דבור כו'.</w:t>
      </w:r>
      <w:r w:rsidRPr="00BD5E91">
        <w:rPr>
          <w:sz w:val="22"/>
          <w:szCs w:val="22"/>
          <w:rtl/>
        </w:rPr>
        <w:t xml:space="preserve"> כגוונא דהאריה כמ"ש כל דבור כו':</w:t>
      </w:r>
    </w:p>
  </w:footnote>
  <w:footnote w:id="618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ונשמתא כו'.</w:t>
      </w:r>
      <w:r w:rsidRPr="00BD5E91">
        <w:rPr>
          <w:sz w:val="22"/>
          <w:szCs w:val="22"/>
          <w:rtl/>
        </w:rPr>
        <w:t xml:space="preserve"> שעד כאן פירש קול ודבור שהן נ"ר עכשיו מפ' שנשמתא בדיוקנא דמלכא:</w:t>
      </w:r>
    </w:p>
  </w:footnote>
  <w:footnote w:id="618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קרטא.</w:t>
      </w:r>
      <w:r w:rsidRPr="00BD5E91">
        <w:rPr>
          <w:sz w:val="22"/>
          <w:szCs w:val="22"/>
          <w:rtl/>
        </w:rPr>
        <w:t xml:space="preserve"> ר"ל קלע להלחם עם הס"א, לסלקא השכינה, והן בטעמים כמ"ש בתיקון ה' דטעמים הן מאני קרבא:</w:t>
      </w:r>
    </w:p>
  </w:footnote>
  <w:footnote w:id="618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מקף שופר הולך.</w:t>
      </w:r>
      <w:r w:rsidRPr="00BD5E91">
        <w:rPr>
          <w:sz w:val="22"/>
          <w:szCs w:val="22"/>
          <w:rtl/>
        </w:rPr>
        <w:t xml:space="preserve"> ר"ל מונח שלפני סגולתא:</w:t>
      </w:r>
    </w:p>
  </w:footnote>
  <w:footnote w:id="618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נטיל תלת אבנין.</w:t>
      </w:r>
      <w:r w:rsidRPr="00BD5E91">
        <w:rPr>
          <w:sz w:val="22"/>
          <w:szCs w:val="22"/>
          <w:rtl/>
        </w:rPr>
        <w:t xml:space="preserve"> שכינתא מסט' דחג"ת היא סגולתא כמ"ש בהת"ז שצריך לאיתערא לשכינתא מסטרא דחג"ת לגבי בעלה כמ"ש בסמוך לקמן שכינתא מסט' דחסד כו':</w:t>
      </w:r>
    </w:p>
  </w:footnote>
  <w:footnote w:id="618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וזריק לון כו'.</w:t>
      </w:r>
      <w:r w:rsidRPr="00BD5E91">
        <w:rPr>
          <w:sz w:val="22"/>
          <w:szCs w:val="22"/>
          <w:rtl/>
        </w:rPr>
        <w:t xml:space="preserve"> ר"ל לכתר עליון ששם כל הספירות נכללין בא' וז"ש וכד זריק כו'. ושם מחת לצלמא כמ"ש בתיקון ו' והיא נקראת שופר הולך, שהולכת בגלותא, והיא סגולתא כנ"ל וצריך לזרקא לעיל כנ"ל, וזה זרקא כו' וז"ש דהא שכינתא כו':</w:t>
      </w:r>
    </w:p>
  </w:footnote>
  <w:footnote w:id="619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קבילו האי כו'.</w:t>
      </w:r>
      <w:r w:rsidRPr="00BD5E91">
        <w:rPr>
          <w:sz w:val="22"/>
          <w:szCs w:val="22"/>
          <w:rtl/>
        </w:rPr>
        <w:t xml:space="preserve"> לתקנא לגבי בעלה:</w:t>
      </w:r>
    </w:p>
  </w:footnote>
  <w:footnote w:id="619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דאינון חברין כו'.</w:t>
      </w:r>
      <w:r w:rsidRPr="00BD5E91">
        <w:rPr>
          <w:sz w:val="22"/>
          <w:szCs w:val="22"/>
          <w:rtl/>
        </w:rPr>
        <w:t xml:space="preserve"> כמ"ש (שה"ש ח יג) היושבת בגנים חברים כו'. שאומרים לאדם בעוה"ז אותם צדיקים היושבים בג"ע שהן חברים שלך מקשיבים כו':</w:t>
      </w:r>
    </w:p>
  </w:footnote>
  <w:footnote w:id="619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הב לן עותרא כו' הב כו'.</w:t>
      </w:r>
      <w:r w:rsidRPr="00BD5E91">
        <w:rPr>
          <w:sz w:val="22"/>
          <w:szCs w:val="22"/>
          <w:rtl/>
        </w:rPr>
        <w:t xml:space="preserve"> ושניהן יורדין לגיהנם כמ"ש לקמן ואלין דלא משתדלין כו' לדראון עולם, וז"ש לעיל בסמוך כגוונא דגיהנם דצוח הב הב כו' ב' הכתות האלו, וזה שאומר ככלבין כגוונא דגיהנם, שהן בעה"ז ובעה"ב נגד ב' כתות האלו:</w:t>
      </w:r>
    </w:p>
  </w:footnote>
  <w:footnote w:id="619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אטימין כו'. </w:t>
      </w:r>
      <w:r w:rsidRPr="00BD5E91">
        <w:rPr>
          <w:sz w:val="22"/>
          <w:szCs w:val="22"/>
          <w:rtl/>
        </w:rPr>
        <w:t>כמ"ש (משלי כג כו) תנה עינך ולבך לי כו', ועין - להבין העה"ז, ולב - העה"ב, והן נגד ב' כתות הנ"ל:</w:t>
      </w:r>
    </w:p>
  </w:footnote>
  <w:footnote w:id="619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מקום.</w:t>
      </w:r>
      <w:r w:rsidRPr="00BD5E91">
        <w:rPr>
          <w:sz w:val="22"/>
          <w:szCs w:val="22"/>
          <w:rtl/>
        </w:rPr>
        <w:t xml:space="preserve"> השכינה. לה'. בעלה:</w:t>
      </w:r>
    </w:p>
  </w:footnote>
  <w:footnote w:id="619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תורת אמך כו'.</w:t>
      </w:r>
      <w:r w:rsidRPr="00BD5E91">
        <w:rPr>
          <w:sz w:val="22"/>
          <w:szCs w:val="22"/>
          <w:rtl/>
        </w:rPr>
        <w:t xml:space="preserve"> כמ"ש והולך מסטרא דת"ת וז"ש דהא כו':</w:t>
      </w:r>
    </w:p>
  </w:footnote>
  <w:footnote w:id="619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עקידה וקורבנא.</w:t>
      </w:r>
      <w:r w:rsidRPr="00BD5E91">
        <w:rPr>
          <w:sz w:val="22"/>
          <w:szCs w:val="22"/>
          <w:rtl/>
        </w:rPr>
        <w:t xml:space="preserve"> ר"ל שימסור נפש בשבילה ויעקוד יצ</w:t>
      </w:r>
      <w:r w:rsidRPr="00BD5E91">
        <w:rPr>
          <w:rFonts w:hint="cs"/>
          <w:sz w:val="22"/>
          <w:szCs w:val="22"/>
          <w:rtl/>
        </w:rPr>
        <w:t xml:space="preserve">ר </w:t>
      </w:r>
      <w:r w:rsidRPr="00BD5E91">
        <w:rPr>
          <w:sz w:val="22"/>
          <w:szCs w:val="22"/>
          <w:rtl/>
        </w:rPr>
        <w:t>ה</w:t>
      </w:r>
      <w:r w:rsidRPr="00BD5E91">
        <w:rPr>
          <w:rFonts w:hint="cs"/>
          <w:sz w:val="22"/>
          <w:szCs w:val="22"/>
          <w:rtl/>
        </w:rPr>
        <w:t>רע</w:t>
      </w:r>
      <w:r w:rsidRPr="00BD5E91">
        <w:rPr>
          <w:sz w:val="22"/>
          <w:szCs w:val="22"/>
          <w:rtl/>
        </w:rPr>
        <w:t xml:space="preserve"> שהוא קץ כל בשר:</w:t>
      </w:r>
    </w:p>
  </w:footnote>
  <w:footnote w:id="619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הה"ד כו'.</w:t>
      </w:r>
      <w:r w:rsidRPr="00BD5E91">
        <w:rPr>
          <w:sz w:val="22"/>
          <w:szCs w:val="22"/>
          <w:rtl/>
        </w:rPr>
        <w:t xml:space="preserve"> מכל בנים ילדה שהן ישראל:</w:t>
      </w:r>
    </w:p>
  </w:footnote>
  <w:footnote w:id="619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אלא לדבחא בשרא. </w:t>
      </w:r>
      <w:r w:rsidRPr="00BD5E91">
        <w:rPr>
          <w:sz w:val="22"/>
          <w:szCs w:val="22"/>
          <w:rtl/>
        </w:rPr>
        <w:t>היפוך עקידה וקורבנא דלעיל:</w:t>
      </w:r>
      <w:r w:rsidRPr="00BD5E91">
        <w:rPr>
          <w:b/>
          <w:bCs/>
          <w:sz w:val="22"/>
          <w:szCs w:val="22"/>
          <w:rtl/>
        </w:rPr>
        <w:t xml:space="preserve"> </w:t>
      </w:r>
    </w:p>
  </w:footnote>
  <w:footnote w:id="619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ואלין דמשתדלין כו'.</w:t>
      </w:r>
      <w:r w:rsidRPr="00BD5E91">
        <w:rPr>
          <w:sz w:val="22"/>
          <w:szCs w:val="22"/>
          <w:rtl/>
        </w:rPr>
        <w:t xml:space="preserve"> הכל היפוך ג' מדות של חג"ת סגולתא:</w:t>
      </w:r>
    </w:p>
  </w:footnote>
  <w:footnote w:id="620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כציץ השדה.</w:t>
      </w:r>
      <w:r w:rsidRPr="00BD5E91">
        <w:rPr>
          <w:sz w:val="22"/>
          <w:szCs w:val="22"/>
          <w:rtl/>
        </w:rPr>
        <w:t xml:space="preserve"> שהן יכלו כנ"ל: </w:t>
      </w:r>
    </w:p>
  </w:footnote>
  <w:footnote w:id="620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וכל אלין כו'.</w:t>
      </w:r>
      <w:r w:rsidRPr="00BD5E91">
        <w:rPr>
          <w:sz w:val="22"/>
          <w:szCs w:val="22"/>
          <w:rtl/>
        </w:rPr>
        <w:t xml:space="preserve"> שעל כולם נאמר כל הבשר, וכל חסדו של הבשר, שהן ת"ח וגומלי חסדים, שתורה מימין, כציץ כו', וכולם נקראין בשר וז"ש. כי בשר כו':</w:t>
      </w:r>
    </w:p>
  </w:footnote>
  <w:footnote w:id="620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דא ברייתא.</w:t>
      </w:r>
      <w:r w:rsidRPr="00BD5E91">
        <w:rPr>
          <w:sz w:val="22"/>
          <w:szCs w:val="22"/>
          <w:rtl/>
        </w:rPr>
        <w:t xml:space="preserve"> מלשון בשדה חוץ:</w:t>
      </w:r>
    </w:p>
  </w:footnote>
  <w:footnote w:id="620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פיסקא.</w:t>
      </w:r>
      <w:r w:rsidRPr="00BD5E91">
        <w:rPr>
          <w:sz w:val="22"/>
          <w:szCs w:val="22"/>
          <w:rtl/>
        </w:rPr>
        <w:t xml:space="preserve"> שכל עבודתם הוא בשבילה, ובשבילה הקשו כמה קושיות, וז"ש. אשר עבדו כו':</w:t>
      </w:r>
    </w:p>
  </w:footnote>
  <w:footnote w:id="620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לית הלכה כו'.</w:t>
      </w:r>
      <w:r w:rsidRPr="00BD5E91">
        <w:rPr>
          <w:sz w:val="22"/>
          <w:szCs w:val="22"/>
          <w:rtl/>
        </w:rPr>
        <w:t xml:space="preserve"> וזה וימררו את חייהם:</w:t>
      </w:r>
    </w:p>
  </w:footnote>
  <w:footnote w:id="620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באהל.</w:t>
      </w:r>
      <w:r w:rsidRPr="00BD5E91">
        <w:rPr>
          <w:sz w:val="22"/>
          <w:szCs w:val="22"/>
          <w:rtl/>
        </w:rPr>
        <w:t xml:space="preserve"> הוא בית המדרש:</w:t>
      </w:r>
    </w:p>
  </w:footnote>
  <w:footnote w:id="620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פת במלח כו'.</w:t>
      </w:r>
      <w:r w:rsidRPr="00BD5E91">
        <w:rPr>
          <w:sz w:val="22"/>
          <w:szCs w:val="22"/>
          <w:rtl/>
        </w:rPr>
        <w:t xml:space="preserve"> שאין לו, וכן מים במשורה תשתה:</w:t>
      </w:r>
    </w:p>
  </w:footnote>
  <w:footnote w:id="620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סופו לקיימה כו'.</w:t>
      </w:r>
      <w:r w:rsidRPr="00BD5E91">
        <w:rPr>
          <w:sz w:val="22"/>
          <w:szCs w:val="22"/>
          <w:rtl/>
        </w:rPr>
        <w:t xml:space="preserve"> בע</w:t>
      </w:r>
      <w:r w:rsidRPr="00BD5E91">
        <w:rPr>
          <w:rFonts w:hint="cs"/>
          <w:sz w:val="22"/>
          <w:szCs w:val="22"/>
          <w:rtl/>
        </w:rPr>
        <w:t xml:space="preserve">ולם </w:t>
      </w:r>
      <w:r w:rsidRPr="00BD5E91">
        <w:rPr>
          <w:sz w:val="22"/>
          <w:szCs w:val="22"/>
          <w:rtl/>
        </w:rPr>
        <w:t>הב</w:t>
      </w:r>
      <w:r w:rsidRPr="00BD5E91">
        <w:rPr>
          <w:rFonts w:hint="cs"/>
          <w:sz w:val="22"/>
          <w:szCs w:val="22"/>
          <w:rtl/>
        </w:rPr>
        <w:t>א</w:t>
      </w:r>
      <w:r w:rsidRPr="00BD5E91">
        <w:rPr>
          <w:sz w:val="22"/>
          <w:szCs w:val="22"/>
          <w:rtl/>
        </w:rPr>
        <w:t xml:space="preserve"> כמ"ש לעיל עותרא בעלמא דאתי:</w:t>
      </w:r>
    </w:p>
  </w:footnote>
  <w:footnote w:id="620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כל המנבל כו'.</w:t>
      </w:r>
      <w:r w:rsidRPr="00BD5E91">
        <w:rPr>
          <w:sz w:val="22"/>
          <w:szCs w:val="22"/>
          <w:rtl/>
        </w:rPr>
        <w:t xml:space="preserve"> וזהו וחיי צער תחיה:</w:t>
      </w:r>
    </w:p>
  </w:footnote>
  <w:footnote w:id="620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בגין כו'.</w:t>
      </w:r>
      <w:r w:rsidRPr="00BD5E91">
        <w:rPr>
          <w:sz w:val="22"/>
          <w:szCs w:val="22"/>
          <w:rtl/>
        </w:rPr>
        <w:t xml:space="preserve"> ר"ל בשביל השכינה שנקראת עפר:</w:t>
      </w:r>
    </w:p>
  </w:footnote>
  <w:footnote w:id="621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ואפילו גלגל חמה.</w:t>
      </w:r>
      <w:r w:rsidRPr="00BD5E91">
        <w:rPr>
          <w:sz w:val="22"/>
          <w:szCs w:val="22"/>
          <w:rtl/>
        </w:rPr>
        <w:t xml:space="preserve"> ר"ל מרע"ה וכן מט"ט:</w:t>
      </w:r>
    </w:p>
  </w:footnote>
  <w:footnote w:id="621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כה כו'.</w:t>
      </w:r>
      <w:r w:rsidRPr="00BD5E91">
        <w:rPr>
          <w:sz w:val="22"/>
          <w:szCs w:val="22"/>
          <w:rtl/>
        </w:rPr>
        <w:t xml:space="preserve"> דכה היא שכינה:</w:t>
      </w:r>
    </w:p>
  </w:footnote>
  <w:footnote w:id="621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מישני אדמת עפר.</w:t>
      </w:r>
      <w:r w:rsidRPr="00BD5E91">
        <w:rPr>
          <w:sz w:val="22"/>
          <w:szCs w:val="22"/>
          <w:rtl/>
        </w:rPr>
        <w:t xml:space="preserve"> ר"ל שעסקו בתורה שהיא משכינה - הכל יקומו, אלה כו' - אלה שעסקו לשמה, כאלה כו' - אותן שלא עסקו לשמה, כמו שאמרו (יומא עב ע"ב) זכה נעשית לו סם חיים לא זכה כו'. וחשיב ג' מדות כאן: יחיו מתיך, והן מסט' דגבורה שבה ממית ומחיה; ובלתי יקומון</w:t>
      </w:r>
      <w:r w:rsidRPr="00BD5E91">
        <w:rPr>
          <w:rFonts w:hint="cs"/>
          <w:sz w:val="22"/>
          <w:szCs w:val="22"/>
          <w:rtl/>
        </w:rPr>
        <w:t xml:space="preserve"> (א.ה. כנראה צ"ל נבלתי יקומון)</w:t>
      </w:r>
      <w:r w:rsidRPr="00BD5E91">
        <w:rPr>
          <w:sz w:val="22"/>
          <w:szCs w:val="22"/>
          <w:rtl/>
        </w:rPr>
        <w:t xml:space="preserve"> - מסט' דגדולה שנאמר אם נבלת בהתנשא. הקיצו ורננו שוכני עפר - מסט' דת"ת כמ"ש בתיקון ה' וכל בשליש עפר הארץ ת"ת. שבאלין ג' מדות צריך לאתערא לה כנ"ל וכן חשיב במתני' ג' כנ"ל: פת במלח, וחיי צער, ועל הארץ כו':</w:t>
      </w:r>
    </w:p>
  </w:footnote>
  <w:footnote w:id="621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כי טל כו'.</w:t>
      </w:r>
      <w:r w:rsidRPr="00BD5E91">
        <w:rPr>
          <w:sz w:val="22"/>
          <w:szCs w:val="22"/>
          <w:rtl/>
        </w:rPr>
        <w:t xml:space="preserve"> הוא סיפא דקרא הנ"ל:</w:t>
      </w:r>
    </w:p>
  </w:footnote>
  <w:footnote w:id="621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חושבן טל כו'.</w:t>
      </w:r>
      <w:r w:rsidRPr="00BD5E91">
        <w:rPr>
          <w:sz w:val="22"/>
          <w:szCs w:val="22"/>
          <w:rtl/>
        </w:rPr>
        <w:t xml:space="preserve"> ר"ל בהתעסקו בתורה שבע"פ, שכינה, צריך לאתערא בג' מדות הנ"ל שהן ג' אותיות יק"ו במילואם טל:</w:t>
      </w:r>
    </w:p>
  </w:footnote>
  <w:footnote w:id="621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מוריד הטל.</w:t>
      </w:r>
      <w:r w:rsidRPr="00BD5E91">
        <w:rPr>
          <w:sz w:val="22"/>
          <w:szCs w:val="22"/>
          <w:rtl/>
        </w:rPr>
        <w:t xml:space="preserve"> לגבי שכינה ה"א, וראשי תיבות מוריד הטל - מ"ה, כלל השם:</w:t>
      </w:r>
    </w:p>
  </w:footnote>
  <w:footnote w:id="621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מישובא.</w:t>
      </w:r>
      <w:r w:rsidRPr="00BD5E91">
        <w:rPr>
          <w:sz w:val="22"/>
          <w:szCs w:val="22"/>
          <w:rtl/>
        </w:rPr>
        <w:t xml:space="preserve"> בהיכלות:</w:t>
      </w:r>
    </w:p>
  </w:footnote>
  <w:footnote w:id="621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הרי לך סימנא כו'.</w:t>
      </w:r>
      <w:r w:rsidRPr="00BD5E91">
        <w:rPr>
          <w:sz w:val="22"/>
          <w:szCs w:val="22"/>
          <w:rtl/>
        </w:rPr>
        <w:t xml:space="preserve"> דלא אוריד אלא בה:</w:t>
      </w:r>
    </w:p>
  </w:footnote>
  <w:footnote w:id="621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ארץ רפאים כו'.</w:t>
      </w:r>
      <w:r w:rsidRPr="00BD5E91">
        <w:rPr>
          <w:sz w:val="22"/>
          <w:szCs w:val="22"/>
          <w:rtl/>
        </w:rPr>
        <w:t xml:space="preserve"> סיפא דקרא הנ"ל. וארץ - השכינה כנ"ל: </w:t>
      </w:r>
    </w:p>
  </w:footnote>
  <w:footnote w:id="621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תפיל אוקמו' כו'.</w:t>
      </w:r>
      <w:r w:rsidRPr="00BD5E91">
        <w:rPr>
          <w:sz w:val="22"/>
          <w:szCs w:val="22"/>
          <w:rtl/>
        </w:rPr>
        <w:t xml:space="preserve"> ר"ל שתפיל האמור כאן הוא שלא יקומו וז"ש. ואפילת לון כו':</w:t>
      </w:r>
    </w:p>
  </w:footnote>
  <w:footnote w:id="622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דעוברא.</w:t>
      </w:r>
      <w:r w:rsidRPr="00BD5E91">
        <w:rPr>
          <w:sz w:val="22"/>
          <w:szCs w:val="22"/>
          <w:rtl/>
        </w:rPr>
        <w:t xml:space="preserve"> ר"ל אשה מעוברת:</w:t>
      </w:r>
    </w:p>
  </w:footnote>
  <w:footnote w:id="622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מאן עוברא.</w:t>
      </w:r>
      <w:r w:rsidRPr="00BD5E91">
        <w:rPr>
          <w:sz w:val="22"/>
          <w:szCs w:val="22"/>
          <w:rtl/>
        </w:rPr>
        <w:t xml:space="preserve"> מי היא המעוברת:</w:t>
      </w:r>
    </w:p>
  </w:footnote>
  <w:footnote w:id="622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דא אורייתא.</w:t>
      </w:r>
      <w:r w:rsidRPr="00BD5E91">
        <w:rPr>
          <w:sz w:val="22"/>
          <w:szCs w:val="22"/>
          <w:rtl/>
        </w:rPr>
        <w:t xml:space="preserve"> ואותן המשתדלין בה הם העוברים שכלו חדשיהם:</w:t>
      </w:r>
    </w:p>
  </w:footnote>
  <w:footnote w:id="622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באורייתא מאלין כו'.</w:t>
      </w:r>
      <w:r w:rsidRPr="00BD5E91">
        <w:rPr>
          <w:sz w:val="22"/>
          <w:szCs w:val="22"/>
          <w:rtl/>
        </w:rPr>
        <w:t xml:space="preserve"> ור"ל כי ע"י גודל הגלות ימהר הגאולה כמ"ש (ברכות ו ע"ב) אגרא דכלה דוחקא כידוע. ולכן אמרו (סנהדרין צח ע"ב) עד שתתפשט כו', ואז יתעבר משיח במלכות הקדושה ט' חדשים, ואז יהיו חבלי משיח עד שיתיילד. וכן העוסקין בתורה יהיו ט' חדשים בצרה וחבלים עד שיהיו כלו חדשיו:</w:t>
      </w:r>
    </w:p>
  </w:footnote>
  <w:footnote w:id="622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בירחא כו' אין.</w:t>
      </w:r>
      <w:r w:rsidRPr="00BD5E91">
        <w:rPr>
          <w:sz w:val="22"/>
          <w:szCs w:val="22"/>
          <w:rtl/>
        </w:rPr>
        <w:t xml:space="preserve"> שעד ארבעים יום אין נוצר הולד, וזהו אין, והוא מסט' דכתר שנקרא אין לאפיסת השגתו:</w:t>
      </w:r>
    </w:p>
  </w:footnote>
  <w:footnote w:id="622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בירחא כו' יש כו'.</w:t>
      </w:r>
      <w:r w:rsidRPr="00BD5E91">
        <w:rPr>
          <w:sz w:val="22"/>
          <w:szCs w:val="22"/>
          <w:rtl/>
        </w:rPr>
        <w:t xml:space="preserve"> שלאחר מ' יום נוצר הולד, וחכמה נקרא יש, ששם מתחיל להתגלות המציאות, וז"ש שהקב"ה ברא את העולם יש מאין (רעיא מהימנא רנז ע"ב), שהתחלת העולם מחכמה שנקרא ראשית וז"ש דאתמר כו' תמצא שהוא יש:</w:t>
      </w:r>
    </w:p>
  </w:footnote>
  <w:footnote w:id="622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בירחא כו'. </w:t>
      </w:r>
      <w:r w:rsidRPr="00BD5E91">
        <w:rPr>
          <w:sz w:val="22"/>
          <w:szCs w:val="22"/>
          <w:rtl/>
        </w:rPr>
        <w:t>מוסיף,</w:t>
      </w:r>
      <w:r w:rsidRPr="00BD5E91">
        <w:rPr>
          <w:b/>
          <w:bCs/>
          <w:sz w:val="22"/>
          <w:szCs w:val="22"/>
          <w:rtl/>
        </w:rPr>
        <w:t xml:space="preserve"> </w:t>
      </w:r>
      <w:r w:rsidRPr="00BD5E91">
        <w:rPr>
          <w:sz w:val="22"/>
          <w:szCs w:val="22"/>
          <w:rtl/>
        </w:rPr>
        <w:t>שבינה הוא תוס' על חכמה של חדש השני:</w:t>
      </w:r>
    </w:p>
  </w:footnote>
  <w:footnote w:id="622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רוח ה'.</w:t>
      </w:r>
      <w:r w:rsidRPr="00BD5E91">
        <w:rPr>
          <w:sz w:val="22"/>
          <w:szCs w:val="22"/>
          <w:rtl/>
        </w:rPr>
        <w:t xml:space="preserve"> כתר שנק' רוח כידוע. חכמה ובינה בג' חדשים:</w:t>
      </w:r>
    </w:p>
  </w:footnote>
  <w:footnote w:id="622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ובג"ד אוקמוה כו'.</w:t>
      </w:r>
      <w:r w:rsidRPr="00BD5E91">
        <w:rPr>
          <w:sz w:val="22"/>
          <w:szCs w:val="22"/>
          <w:rtl/>
        </w:rPr>
        <w:t xml:space="preserve"> ר"ל שבינה היא תוספת על חכמה:</w:t>
      </w:r>
    </w:p>
  </w:footnote>
  <w:footnote w:id="622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דקודם דאתא כו'.</w:t>
      </w:r>
      <w:r w:rsidRPr="00BD5E91">
        <w:rPr>
          <w:sz w:val="22"/>
          <w:szCs w:val="22"/>
          <w:rtl/>
        </w:rPr>
        <w:t xml:space="preserve"> מביא ראיה שבבטן אמו בו חכמה ובינה:</w:t>
      </w:r>
    </w:p>
  </w:footnote>
  <w:footnote w:id="623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דעאיל פרנסה כו'.</w:t>
      </w:r>
      <w:r w:rsidRPr="00BD5E91">
        <w:rPr>
          <w:sz w:val="22"/>
          <w:szCs w:val="22"/>
          <w:rtl/>
        </w:rPr>
        <w:t xml:space="preserve"> שאז מתחיל לאכול וזה שמנענע הולד בבטן:</w:t>
      </w:r>
    </w:p>
  </w:footnote>
  <w:footnote w:id="623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למעבד נפל כו'.</w:t>
      </w:r>
      <w:r w:rsidRPr="00BD5E91">
        <w:rPr>
          <w:sz w:val="22"/>
          <w:szCs w:val="22"/>
          <w:rtl/>
        </w:rPr>
        <w:t xml:space="preserve"> שרוב המפילים בחדש החמישי מסט' דגבורה, וכן חרב בית המקדש בחדש החמישי, וכן כשהעונות גורמים אף שמתחיל חבלי משיח ומתעבר משיח אפילת ליה כמ"ש (ישעיהו כו יח) הרינו חלנו כמו כו', וזה שקראו בגמ' (סנהדרין צו ע"ב) למשיח בר נפלי, כי כל אלו המעלות של אלו החדשים - הכל מצד התעוררות התחתונים בחבלי משיח:</w:t>
      </w:r>
    </w:p>
  </w:footnote>
  <w:footnote w:id="623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לקטלא משיח.</w:t>
      </w:r>
      <w:r w:rsidRPr="00BD5E91">
        <w:rPr>
          <w:sz w:val="22"/>
          <w:szCs w:val="22"/>
          <w:rtl/>
        </w:rPr>
        <w:t xml:space="preserve"> בן יוסף:</w:t>
      </w:r>
    </w:p>
  </w:footnote>
  <w:footnote w:id="623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ושפירא באנפוי.</w:t>
      </w:r>
      <w:r w:rsidRPr="00BD5E91">
        <w:rPr>
          <w:sz w:val="22"/>
          <w:szCs w:val="22"/>
          <w:rtl/>
        </w:rPr>
        <w:t xml:space="preserve"> הוא מסט' דת"ת, וחשיב שלשה דברים שכלול שלשה אבהן:</w:t>
      </w:r>
    </w:p>
  </w:footnote>
  <w:footnote w:id="623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בטרם אצרך.</w:t>
      </w:r>
      <w:r w:rsidRPr="00BD5E91">
        <w:rPr>
          <w:sz w:val="22"/>
          <w:szCs w:val="22"/>
          <w:rtl/>
        </w:rPr>
        <w:t xml:space="preserve"> בירחא דקמאה שלא נוצר עדיין כנ"ל - ידעתיך, כמ"ש (ישעיהו יא ב) ונחה עליו רוח ה' כנ"ל. ובטרם תצא, בירחא תשיעאה שאז יוצא, וקודם לירחא תשיעאה הן חדש ז' וח', שמאז מתחיל זמן יציאתו:</w:t>
      </w:r>
    </w:p>
  </w:footnote>
  <w:footnote w:id="623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מסטרא דצדיק כו'.</w:t>
      </w:r>
      <w:r w:rsidRPr="00BD5E91">
        <w:rPr>
          <w:sz w:val="22"/>
          <w:szCs w:val="22"/>
          <w:rtl/>
        </w:rPr>
        <w:t xml:space="preserve"> עד מהול. הכל ענין אחד, ור"ל מסטרא דצדיק נולד מהול:</w:t>
      </w:r>
    </w:p>
  </w:footnote>
  <w:footnote w:id="623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וההוא ינוקא כו'.</w:t>
      </w:r>
      <w:r w:rsidRPr="00BD5E91">
        <w:rPr>
          <w:sz w:val="22"/>
          <w:szCs w:val="22"/>
          <w:rtl/>
        </w:rPr>
        <w:t xml:space="preserve"> ר"ל שכל אלו מתוספין בטפת הולד, וטיפה בעצמה מסט' דמלכות שכלולה מכולם ובתשעה חדשים כל אחד נותן בה כחו:</w:t>
      </w:r>
    </w:p>
  </w:footnote>
  <w:footnote w:id="623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טול אבנא דא כו'.</w:t>
      </w:r>
      <w:r w:rsidRPr="00BD5E91">
        <w:rPr>
          <w:sz w:val="22"/>
          <w:szCs w:val="22"/>
          <w:rtl/>
        </w:rPr>
        <w:t xml:space="preserve"> ר"ל שהוא יתקנא לה:</w:t>
      </w:r>
    </w:p>
  </w:footnote>
  <w:footnote w:id="623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מאי כי טוב כו'.</w:t>
      </w:r>
      <w:r w:rsidRPr="00BD5E91">
        <w:rPr>
          <w:sz w:val="22"/>
          <w:szCs w:val="22"/>
          <w:rtl/>
        </w:rPr>
        <w:t xml:space="preserve"> ר"ל כמ"ש (יומא לח ע"ב) אין טוב אלא צדיק שנאמר אמרו כו':</w:t>
      </w:r>
    </w:p>
  </w:footnote>
  <w:footnote w:id="623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ומסט' דעיבורא כו'.</w:t>
      </w:r>
      <w:r w:rsidRPr="00BD5E91">
        <w:rPr>
          <w:sz w:val="22"/>
          <w:szCs w:val="22"/>
          <w:rtl/>
        </w:rPr>
        <w:t xml:space="preserve"> ר"ל שמסטרא דיליה נקראת מלכות, שעליו קאי ויהי בישורון מלך, והיא היתה מלך על ישראל כמ"ש (שמות לג טו) אם אין פניך הולכים כו':</w:t>
      </w:r>
    </w:p>
  </w:footnote>
  <w:footnote w:id="624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אנא זריק לכון שית.</w:t>
      </w:r>
      <w:r w:rsidRPr="00BD5E91">
        <w:rPr>
          <w:sz w:val="22"/>
          <w:szCs w:val="22"/>
          <w:rtl/>
        </w:rPr>
        <w:t xml:space="preserve"> שתתקנו באורייתא ששה סדרים כמ"ש והולך, והן ו"ק לקרבא להון שכינתא:</w:t>
      </w:r>
    </w:p>
  </w:footnote>
  <w:footnote w:id="624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תלת אבנין עילאין.</w:t>
      </w:r>
      <w:r w:rsidRPr="00BD5E91">
        <w:rPr>
          <w:sz w:val="22"/>
          <w:szCs w:val="22"/>
          <w:rtl/>
        </w:rPr>
        <w:t xml:space="preserve"> חג"ת:</w:t>
      </w:r>
    </w:p>
  </w:footnote>
  <w:footnote w:id="624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תלת טיפין כו'.</w:t>
      </w:r>
      <w:r w:rsidRPr="00BD5E91">
        <w:rPr>
          <w:sz w:val="22"/>
          <w:szCs w:val="22"/>
          <w:rtl/>
        </w:rPr>
        <w:t xml:space="preserve"> שיורד ממוח אל מלכות והן נקראין אלה כמ"ש לעיל וז"ש הן כל כו'. פעמים שלש כו'. שמסט' דג' טפין הנ"ל מתגלגל האדם ג"פ כמ"ש בת"ז:</w:t>
      </w:r>
    </w:p>
  </w:footnote>
  <w:footnote w:id="624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ותלת טפין תתאין כו'.</w:t>
      </w:r>
      <w:r w:rsidRPr="00BD5E91">
        <w:rPr>
          <w:sz w:val="22"/>
          <w:szCs w:val="22"/>
          <w:rtl/>
        </w:rPr>
        <w:t xml:space="preserve"> נה"י והאות באמצעם מלכות כמ"ש בהקדמת ת"ז </w:t>
      </w:r>
      <w:r>
        <w:rPr>
          <w:rFonts w:hint="cs"/>
          <w:sz w:val="22"/>
          <w:szCs w:val="22"/>
          <w:rtl/>
        </w:rPr>
        <w:t xml:space="preserve">(א.ה. דף ד' ע"א) </w:t>
      </w:r>
      <w:r w:rsidRPr="00BD5E91">
        <w:rPr>
          <w:sz w:val="22"/>
          <w:szCs w:val="22"/>
          <w:rtl/>
        </w:rPr>
        <w:t>היא מתהלכת בין החיות כו' ע"ש ולקבלייהו מרכבתא עילאה ומרכבתא תתאה וכן מתיבתא עילאה ומתיבתא תתאה כמ"ש בר"מ</w:t>
      </w:r>
      <w:r>
        <w:rPr>
          <w:rFonts w:hint="cs"/>
          <w:sz w:val="22"/>
          <w:szCs w:val="22"/>
          <w:rtl/>
        </w:rPr>
        <w:t xml:space="preserve"> (א.ה. בראשית דף קנ ע"א)</w:t>
      </w:r>
      <w:r w:rsidRPr="00BD5E91">
        <w:rPr>
          <w:sz w:val="22"/>
          <w:szCs w:val="22"/>
          <w:rtl/>
        </w:rPr>
        <w:t>:</w:t>
      </w:r>
    </w:p>
  </w:footnote>
  <w:footnote w:id="624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עלייהו כו'.</w:t>
      </w:r>
      <w:r w:rsidRPr="00BD5E91">
        <w:rPr>
          <w:sz w:val="22"/>
          <w:szCs w:val="22"/>
          <w:rtl/>
        </w:rPr>
        <w:t xml:space="preserve"> ר"ל על תלת עלאין:</w:t>
      </w:r>
    </w:p>
  </w:footnote>
  <w:footnote w:id="624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לרבי כו'.</w:t>
      </w:r>
      <w:r w:rsidRPr="00BD5E91">
        <w:rPr>
          <w:sz w:val="22"/>
          <w:szCs w:val="22"/>
          <w:rtl/>
        </w:rPr>
        <w:t xml:space="preserve"> כולם נקראין רב כמ"ש בר"מ </w:t>
      </w:r>
      <w:r>
        <w:rPr>
          <w:rFonts w:hint="cs"/>
          <w:sz w:val="22"/>
          <w:szCs w:val="22"/>
          <w:rtl/>
        </w:rPr>
        <w:t xml:space="preserve">(שם) </w:t>
      </w:r>
      <w:r w:rsidRPr="00BD5E91">
        <w:rPr>
          <w:sz w:val="22"/>
          <w:szCs w:val="22"/>
          <w:rtl/>
        </w:rPr>
        <w:t>גי' ע"ב ק"ל והכל מסט' דעד"א כמ"ש שם אנת הוא רב כו' ובת"ת איתוסף יו"ד שהוא שם יקו"ק ומשמאל איתוסף א' שמשם השם אדנ"י, כל רב כו', שא"י הוא מסט' דת"ת, ובבל מחסד שמשם התורה כמ"ש (ישעיהו סב ח) נשבע ה' בימינו, מימינו אש דת כו' (דברים לג ב), ושאר ארצות הן חשך משמאלא:</w:t>
      </w:r>
    </w:p>
  </w:footnote>
  <w:footnote w:id="624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דאתון ריב כו'.</w:t>
      </w:r>
      <w:r w:rsidRPr="00BD5E91">
        <w:rPr>
          <w:sz w:val="22"/>
          <w:szCs w:val="22"/>
          <w:rtl/>
        </w:rPr>
        <w:t xml:space="preserve"> ג' מדרגות נגד ג' הנ"ל: ריב ומחלוקת וקטטה. וזהו מחלוקת לשם שמים כמ"ש והולך:</w:t>
      </w:r>
    </w:p>
  </w:footnote>
  <w:footnote w:id="624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בכמה</w:t>
      </w:r>
      <w:r w:rsidRPr="00BD5E91">
        <w:rPr>
          <w:sz w:val="22"/>
          <w:szCs w:val="22"/>
          <w:rtl/>
        </w:rPr>
        <w:t xml:space="preserve"> </w:t>
      </w:r>
      <w:r w:rsidRPr="00BD5E91">
        <w:rPr>
          <w:b/>
          <w:bCs/>
          <w:sz w:val="22"/>
          <w:szCs w:val="22"/>
          <w:rtl/>
        </w:rPr>
        <w:t>קושיין.</w:t>
      </w:r>
      <w:r w:rsidRPr="00BD5E91">
        <w:rPr>
          <w:sz w:val="22"/>
          <w:szCs w:val="22"/>
          <w:rtl/>
        </w:rPr>
        <w:t xml:space="preserve"> מסטרא דמלכות:</w:t>
      </w:r>
    </w:p>
  </w:footnote>
  <w:footnote w:id="624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אלין תנאים.</w:t>
      </w:r>
      <w:r w:rsidRPr="00BD5E91">
        <w:rPr>
          <w:sz w:val="22"/>
          <w:szCs w:val="22"/>
          <w:rtl/>
        </w:rPr>
        <w:t xml:space="preserve"> אותיות איתנים. ונו"ה ויסוד נקראו איתנים. וכן תנאים דמתני' שהן מרכבתא תתאה במלכות כמ"ש בר"מ:</w:t>
      </w:r>
    </w:p>
  </w:footnote>
  <w:footnote w:id="624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דהלכות פסוקות.</w:t>
      </w:r>
      <w:r w:rsidRPr="00BD5E91">
        <w:rPr>
          <w:sz w:val="22"/>
          <w:szCs w:val="22"/>
          <w:rtl/>
        </w:rPr>
        <w:t xml:space="preserve"> הן בבריאה כמ"ש בת"ז</w:t>
      </w:r>
      <w:r>
        <w:rPr>
          <w:rFonts w:hint="cs"/>
          <w:sz w:val="22"/>
          <w:szCs w:val="22"/>
          <w:rtl/>
        </w:rPr>
        <w:t xml:space="preserve"> (א.ה. הקדמה עג ע"א, ותקונא חד ועשרין נב ע"ב)</w:t>
      </w:r>
      <w:r w:rsidRPr="00BD5E91">
        <w:rPr>
          <w:sz w:val="22"/>
          <w:szCs w:val="22"/>
          <w:rtl/>
        </w:rPr>
        <w:t>:</w:t>
      </w:r>
    </w:p>
  </w:footnote>
  <w:footnote w:id="625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ושכינתא כו'.</w:t>
      </w:r>
      <w:r w:rsidRPr="00BD5E91">
        <w:rPr>
          <w:sz w:val="22"/>
          <w:szCs w:val="22"/>
          <w:rtl/>
        </w:rPr>
        <w:t xml:space="preserve"> ר"ל דאצילות שהיא הלכה על עלמות שבבריאה:</w:t>
      </w:r>
    </w:p>
  </w:footnote>
  <w:footnote w:id="625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תגא דזרקא.</w:t>
      </w:r>
      <w:r w:rsidRPr="00BD5E91">
        <w:rPr>
          <w:sz w:val="22"/>
          <w:szCs w:val="22"/>
          <w:rtl/>
        </w:rPr>
        <w:t xml:space="preserve"> ור"ל זהו זרקא סגולתא:</w:t>
      </w:r>
    </w:p>
  </w:footnote>
  <w:footnote w:id="625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רבות כו'.</w:t>
      </w:r>
      <w:r w:rsidRPr="00BD5E91">
        <w:rPr>
          <w:sz w:val="22"/>
          <w:szCs w:val="22"/>
          <w:rtl/>
        </w:rPr>
        <w:t xml:space="preserve"> הן העלמות אין מספר:</w:t>
      </w:r>
    </w:p>
  </w:footnote>
  <w:footnote w:id="625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ריב כו'.</w:t>
      </w:r>
      <w:r w:rsidRPr="00BD5E91">
        <w:rPr>
          <w:sz w:val="22"/>
          <w:szCs w:val="22"/>
          <w:rtl/>
        </w:rPr>
        <w:t xml:space="preserve"> ד' מדרגות נגד ד' ספירות חגת"ם כנ"ל:</w:t>
      </w:r>
    </w:p>
  </w:footnote>
  <w:footnote w:id="625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כמה תקיפין כו'.</w:t>
      </w:r>
      <w:r w:rsidRPr="00BD5E91">
        <w:rPr>
          <w:sz w:val="22"/>
          <w:szCs w:val="22"/>
          <w:rtl/>
        </w:rPr>
        <w:t xml:space="preserve"> שכולן בריב ומחלוקת כנ"ל:</w:t>
      </w:r>
    </w:p>
  </w:footnote>
  <w:footnote w:id="625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מארי מתיבתא כו'.</w:t>
      </w:r>
      <w:r w:rsidRPr="00BD5E91">
        <w:rPr>
          <w:sz w:val="22"/>
          <w:szCs w:val="22"/>
          <w:rtl/>
        </w:rPr>
        <w:t xml:space="preserve"> כנ"ל בסגולתא וסגול: </w:t>
      </w:r>
    </w:p>
  </w:footnote>
  <w:footnote w:id="625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שית דרגין כו'.</w:t>
      </w:r>
      <w:r w:rsidRPr="00BD5E91">
        <w:rPr>
          <w:sz w:val="22"/>
          <w:szCs w:val="22"/>
          <w:rtl/>
        </w:rPr>
        <w:t xml:space="preserve"> כמ"ש לעיל דשית נקודין אלין כו':</w:t>
      </w:r>
    </w:p>
  </w:footnote>
  <w:footnote w:id="625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איתן מושבך.</w:t>
      </w:r>
      <w:r w:rsidRPr="00BD5E91">
        <w:rPr>
          <w:sz w:val="22"/>
          <w:szCs w:val="22"/>
          <w:rtl/>
        </w:rPr>
        <w:t xml:space="preserve"> ר"ל השכינה נקראת איתן כמ"ש בר"מ </w:t>
      </w:r>
      <w:r>
        <w:rPr>
          <w:rFonts w:hint="cs"/>
          <w:sz w:val="22"/>
          <w:szCs w:val="22"/>
          <w:rtl/>
        </w:rPr>
        <w:t xml:space="preserve">(א.ה. פנחס רלח ע"א) </w:t>
      </w:r>
      <w:r w:rsidRPr="00BD5E91">
        <w:rPr>
          <w:sz w:val="22"/>
          <w:szCs w:val="22"/>
          <w:rtl/>
        </w:rPr>
        <w:t>תניא דמסייע לך ע"ש, והיא מושבך כמ"ש לעיל טול אבנא דא לגבך כו' ועלך עתיד כו':</w:t>
      </w:r>
    </w:p>
  </w:footnote>
  <w:footnote w:id="625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ושים בסלע קנך.</w:t>
      </w:r>
      <w:r w:rsidRPr="00BD5E91">
        <w:rPr>
          <w:sz w:val="22"/>
          <w:szCs w:val="22"/>
          <w:rtl/>
        </w:rPr>
        <w:t xml:space="preserve"> סיפא דקרא הנ"ל. והיא נקראת ג"כ סלע כמ"ש בר"מ אית סלע כו' ע"ש, והיא נקראת אבן כנ"ל, וזהו סלע. וכן ו"ק נקראו אבנין מסט' דידה כמ"ש לעיל אנא זריק לכון שית כו' וז"ש. ושית אחרנין לגבך. ר"ל ו' דושים בסלע:</w:t>
      </w:r>
    </w:p>
  </w:footnote>
  <w:footnote w:id="625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בגין.</w:t>
      </w:r>
      <w:r w:rsidRPr="00BD5E91">
        <w:rPr>
          <w:sz w:val="22"/>
          <w:szCs w:val="22"/>
          <w:rtl/>
        </w:rPr>
        <w:t xml:space="preserve"> ר"ל דאנת צריך ליטול כל השבעה אבנים לגבך כמ"ש לעיל טול אבנא דילך לגבך, דאין יכולת בכלם לתקנה - כי אם הוא, כמ"ש לעיל ולית בכו מאן דיתער כו'. וכן בשית אבנין אמר ולית בכו דיהא ריב כו' לכך אמרו הא איהי לגבך כו' ושית אחרנין כו' וז"ש. דאיהו ר"ל הקב"ה. לא למענכם אני עושה. הן מסט' דב' מתיבתות דלעיל, שלא בשבילם עושה כנ"ל ולית בכו כו' וז"ש. הא שית לגבך:</w:t>
      </w:r>
    </w:p>
  </w:footnote>
  <w:footnote w:id="626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כי אם לשם קדשי.</w:t>
      </w:r>
      <w:r w:rsidRPr="00BD5E91">
        <w:rPr>
          <w:sz w:val="22"/>
          <w:szCs w:val="22"/>
          <w:rtl/>
        </w:rPr>
        <w:t xml:space="preserve"> היא השכינה וגם היא ע"י ר"מ וז"ש. הא שביעאה לגבך:</w:t>
      </w:r>
    </w:p>
  </w:footnote>
  <w:footnote w:id="626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ולא עוד כו'.</w:t>
      </w:r>
      <w:r w:rsidRPr="00BD5E91">
        <w:rPr>
          <w:sz w:val="22"/>
          <w:szCs w:val="22"/>
          <w:rtl/>
        </w:rPr>
        <w:t xml:space="preserve"> ר"ל גם בשביל זה שאומר למטה תליא בך, דאנת גרמת כמ"ש והולך, וצריך אתה לתקן כמ"ש למטה ובג"ד בך תליא כו' בגין דיתקן בך כו':</w:t>
      </w:r>
    </w:p>
  </w:footnote>
  <w:footnote w:id="626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ושים בסלע דחויא.</w:t>
      </w:r>
      <w:r w:rsidRPr="00BD5E91">
        <w:rPr>
          <w:sz w:val="22"/>
          <w:szCs w:val="22"/>
          <w:rtl/>
        </w:rPr>
        <w:t xml:space="preserve"> כמ"ש בר"מ אית סלע דנוקבא דס"א נקראת ג"כ סלע והיא שפחה בישא דשם מסתתר השכינה בגלות כמ"ש בת"ז והיא חו"ל שלכן נקבר מרע"ה בחו"ל וז"ש בסלע כו' ששם נקבר וזה קנך קבורתו:</w:t>
      </w:r>
    </w:p>
  </w:footnote>
  <w:footnote w:id="626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בלא ספק.</w:t>
      </w:r>
      <w:r w:rsidRPr="00BD5E91">
        <w:rPr>
          <w:sz w:val="22"/>
          <w:szCs w:val="22"/>
          <w:rtl/>
        </w:rPr>
        <w:t xml:space="preserve"> האיבעיות דגמ':</w:t>
      </w:r>
    </w:p>
  </w:footnote>
  <w:footnote w:id="626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אלא טפין טפין.</w:t>
      </w:r>
      <w:r w:rsidRPr="00BD5E91">
        <w:rPr>
          <w:sz w:val="22"/>
          <w:szCs w:val="22"/>
          <w:rtl/>
        </w:rPr>
        <w:t xml:space="preserve"> בשני פעמים שהכהו. ומ"ש (במדבר כ יא) ויצאו מים רבים כו' כתבתי לקמן שזה יהיה בפורקנא בתרייתא ובההיא זמנא ותשת העדה כו' שאז יתוקן וכן כתבתי לקמן בההוא זמנא אלין טפין כו' ואתעבדי נהרות:</w:t>
      </w:r>
    </w:p>
  </w:footnote>
  <w:footnote w:id="626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הכי מארי מתני' כו'.</w:t>
      </w:r>
      <w:r w:rsidRPr="00BD5E91">
        <w:rPr>
          <w:sz w:val="22"/>
          <w:szCs w:val="22"/>
          <w:rtl/>
        </w:rPr>
        <w:t xml:space="preserve"> שבשביל זה סלע דחויא, שפחה בישא, קיימא קדמיהון ולא מניח אותם אלא ללקוט טפין. וסלע הזה הוא מיט"ט נוקבא דמשנה, שמשניות הן לבושי הגלות כמ"ש בת"ז ולקטין מהמשניות לקוטי הלכות:</w:t>
      </w:r>
    </w:p>
  </w:footnote>
  <w:footnote w:id="6266">
    <w:p w:rsidR="00007309" w:rsidRPr="00BD5E91" w:rsidRDefault="00007309" w:rsidP="00007309">
      <w:pPr>
        <w:jc w:val="both"/>
        <w:rPr>
          <w:sz w:val="22"/>
          <w:szCs w:val="22"/>
          <w:rtl/>
        </w:rPr>
      </w:pPr>
      <w:r w:rsidRPr="00BD5E91">
        <w:rPr>
          <w:rStyle w:val="a7"/>
          <w:sz w:val="22"/>
          <w:szCs w:val="22"/>
          <w:rtl/>
        </w:rPr>
        <w:footnoteRef/>
      </w:r>
      <w:r w:rsidRPr="00BD5E91">
        <w:rPr>
          <w:sz w:val="22"/>
          <w:szCs w:val="22"/>
          <w:rtl/>
        </w:rPr>
        <w:t xml:space="preserve"> </w:t>
      </w:r>
      <w:r w:rsidRPr="00BD5E91">
        <w:rPr>
          <w:rFonts w:cs="Arial"/>
          <w:b/>
          <w:bCs/>
          <w:sz w:val="22"/>
          <w:szCs w:val="22"/>
          <w:rtl/>
        </w:rPr>
        <w:t xml:space="preserve"> יפוצץ סלע.</w:t>
      </w:r>
      <w:r w:rsidRPr="00BD5E91">
        <w:rPr>
          <w:rFonts w:cs="Arial"/>
          <w:sz w:val="22"/>
          <w:szCs w:val="22"/>
          <w:rtl/>
        </w:rPr>
        <w:t xml:space="preserve"> כלומר, שמכין את הסלע ויוצא ממנה טפין. והכאתם בקושיות, שמשברין את הסלע הנ"ל דשפחה בישא, דבה (משלי כט יט) בדברים לא יוסר עבד, וכשמשברין אותה נפקי טפין טפין מפנימיות האגוז שהיא קליפה הקשה, דאגוז קשה כמו סלע, שג' קליפין לאגוז: תהו, קו ירוק והוא קליפה ירוקה דאגוז שאינה על האגוז אלא בעוד האגוז קטן, וזה מקרא, בעשייה, שלומדין תינוקות של בית רבן; קליפה השני - בהו, אבנים מפולמות, הוא קליפה השנייה שעל האגוז כמו אבן והיא תמיד על האגוז, משנה, ביצירה, שבה עוסקין כל ימיהם לשברה בקושיות ואינן יכולין כמ"ש: תיקו, קשיא, תיובתא. והוא מונח עד שיבוא אליהו עם ר"מ ואינן משיגין ממנה בקושיותיהן אלא טפין טפין וזהו אבנים מפולמות ר"ל לחות בקצת; וחשך - קליפה תליתאה שהוא בפנים האגוז, שהוא חשך שאין האור נכנס שם ואין רואין אותה מפני קליפת הקשה, והיא רכה בדבור בעלמא נפתחת וז"ש ודברתם כו'; מוחא מלגאו - תהום, חללא דאגוזא והיא חלל קדש הקדשים כמ"ש בת"ז מחלליה מאן דאכניס בחלל דילה כו' חלל דילה קדש הקדשים כו', ובמוחא מלגאו ורוח אלקים מרחפת על פני המים:</w:t>
      </w:r>
    </w:p>
  </w:footnote>
  <w:footnote w:id="626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ובנהא.</w:t>
      </w:r>
      <w:r w:rsidRPr="00BD5E91">
        <w:rPr>
          <w:sz w:val="22"/>
          <w:szCs w:val="22"/>
          <w:rtl/>
        </w:rPr>
        <w:t xml:space="preserve"> דאינון מן ו"ק שית אבנין הנ"ל דתרין מתיבתות:</w:t>
      </w:r>
    </w:p>
  </w:footnote>
  <w:footnote w:id="626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שית טפין.</w:t>
      </w:r>
      <w:r w:rsidRPr="00BD5E91">
        <w:rPr>
          <w:sz w:val="22"/>
          <w:szCs w:val="22"/>
          <w:rtl/>
        </w:rPr>
        <w:t xml:space="preserve"> תלת עילאין ותלת תתאין הנ"ל: </w:t>
      </w:r>
    </w:p>
  </w:footnote>
  <w:footnote w:id="626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דגלגולא. </w:t>
      </w:r>
      <w:r w:rsidRPr="00BD5E91">
        <w:rPr>
          <w:sz w:val="22"/>
          <w:szCs w:val="22"/>
          <w:rtl/>
        </w:rPr>
        <w:t>כמ"ש לעיל הן כל אלה כו' מסט' דתלת עילאין וכן בתלת תתאין:</w:t>
      </w:r>
    </w:p>
  </w:footnote>
  <w:footnote w:id="627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אתחזרין לגבך.</w:t>
      </w:r>
      <w:r w:rsidRPr="00BD5E91">
        <w:rPr>
          <w:sz w:val="22"/>
          <w:szCs w:val="22"/>
          <w:rtl/>
        </w:rPr>
        <w:t xml:space="preserve"> באדם הבל שת, אברהם יצחק יעקב, שכולם גלגולא דאדם כמ"ש בת"ז והן בשין דמשה כמ"ש והולך, והוא גלגול הז', אבנא שביעאה, וכל הגלגולין נכללו בו, כמו שו"ק נכללו במלכות. והוא מ"ה דמשה, מלכות, גי' אדם, כללא דגלגולין דאדם:</w:t>
      </w:r>
    </w:p>
  </w:footnote>
  <w:footnote w:id="627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אינון ש' ש' כו'.</w:t>
      </w:r>
      <w:r w:rsidRPr="00BD5E91">
        <w:rPr>
          <w:sz w:val="22"/>
          <w:szCs w:val="22"/>
          <w:rtl/>
        </w:rPr>
        <w:t xml:space="preserve"> שין הוא ג' אבהן, ש' דשבת. והיא אבנא שביעאה, בת דשבת, מ"ה דמשה. וז"ש אבנא שביעאה מה כו' ואיתמר בה הבת כו', והן גלגולים דאדם הבל שת לכך יצחק נתעקד לשחיטה דוגמת הבל לל"ז שנה גי' הבל, ואברהם נקרא האדם הגדול בענקים, ויעקב דוגמת שת שהכל יצאו משת וכן מיעקב מטה שלימה:</w:t>
      </w:r>
    </w:p>
  </w:footnote>
  <w:footnote w:id="627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אבנא שביעאה מה.</w:t>
      </w:r>
      <w:r w:rsidRPr="00BD5E91">
        <w:rPr>
          <w:sz w:val="22"/>
          <w:szCs w:val="22"/>
          <w:rtl/>
        </w:rPr>
        <w:t xml:space="preserve"> מלכות וז"ש. מה אדמה לך. שמה הוא דוגמתו, שמא מפרש, דמות אדם מלכא על כולא כמ"ש בת"ז ור"מ, ובה ויהי בישורון מלך כנ"ל:</w:t>
      </w:r>
    </w:p>
  </w:footnote>
  <w:footnote w:id="627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ואיתמר בה הבת ירושלים.</w:t>
      </w:r>
      <w:r w:rsidRPr="00BD5E91">
        <w:rPr>
          <w:sz w:val="22"/>
          <w:szCs w:val="22"/>
          <w:rtl/>
        </w:rPr>
        <w:t xml:space="preserve"> ר"ל דכאן נאמר הבת ירושלים, משמע דמה הוא הבת, שכינה:</w:t>
      </w:r>
    </w:p>
  </w:footnote>
  <w:footnote w:id="627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כימא.</w:t>
      </w:r>
      <w:r w:rsidRPr="00BD5E91">
        <w:rPr>
          <w:sz w:val="22"/>
          <w:szCs w:val="22"/>
          <w:rtl/>
        </w:rPr>
        <w:t xml:space="preserve"> ר"ל מלכות:</w:t>
      </w:r>
    </w:p>
  </w:footnote>
  <w:footnote w:id="627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בירא דילך אתבקעת.</w:t>
      </w:r>
      <w:r w:rsidRPr="00BD5E91">
        <w:rPr>
          <w:sz w:val="22"/>
          <w:szCs w:val="22"/>
          <w:rtl/>
        </w:rPr>
        <w:t xml:space="preserve"> ר"ל דתבירו דיליה מה דאתלבש במשנה ובקושיין דטפין אבל בפורקנא יתבקע הסלע של הבור הנ"ל ששם מקנן אימא ימא דאורייתא והיא אתבקע לעיל:</w:t>
      </w:r>
    </w:p>
  </w:footnote>
  <w:footnote w:id="627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הה"ד ויט כו' לחרבה עד כען.</w:t>
      </w:r>
      <w:r w:rsidRPr="00BD5E91">
        <w:rPr>
          <w:sz w:val="22"/>
          <w:szCs w:val="22"/>
          <w:rtl/>
        </w:rPr>
        <w:t xml:space="preserve"> ר"ל שנטה ידו על הים שהוא הסלע הנ"ל ולכך וישם את הים לחרבה. עד כען. ר"ל עד פורקנא בתרייתא:</w:t>
      </w:r>
    </w:p>
  </w:footnote>
  <w:footnote w:id="627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מכאן ואילך.</w:t>
      </w:r>
      <w:r w:rsidRPr="00BD5E91">
        <w:rPr>
          <w:sz w:val="22"/>
          <w:szCs w:val="22"/>
          <w:rtl/>
        </w:rPr>
        <w:t xml:space="preserve"> ר"ל בפורקנא בתרייתא:</w:t>
      </w:r>
    </w:p>
  </w:footnote>
  <w:footnote w:id="627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ויבקעו המים דיליה.</w:t>
      </w:r>
      <w:r w:rsidRPr="00BD5E91">
        <w:rPr>
          <w:sz w:val="22"/>
          <w:szCs w:val="22"/>
          <w:rtl/>
        </w:rPr>
        <w:t xml:space="preserve"> של עד"א שהוא דרגא דמרע"ה:</w:t>
      </w:r>
    </w:p>
  </w:footnote>
  <w:footnote w:id="627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לגבה.</w:t>
      </w:r>
      <w:r w:rsidRPr="00BD5E91">
        <w:rPr>
          <w:sz w:val="22"/>
          <w:szCs w:val="22"/>
          <w:rtl/>
        </w:rPr>
        <w:t xml:space="preserve"> אל השכינה:</w:t>
      </w:r>
    </w:p>
  </w:footnote>
  <w:footnote w:id="628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ואיהו עץ החיים.</w:t>
      </w:r>
      <w:r w:rsidRPr="00BD5E91">
        <w:rPr>
          <w:sz w:val="22"/>
          <w:szCs w:val="22"/>
          <w:rtl/>
        </w:rPr>
        <w:t xml:space="preserve"> ר"ל עד"א, עץ של החיים בינה שנקראת חיים כמ"ש לעיל דמתמן אורייתא דאיהו עד"א כו':</w:t>
      </w:r>
    </w:p>
  </w:footnote>
  <w:footnote w:id="628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וישלך אל המים.</w:t>
      </w:r>
      <w:r w:rsidRPr="00BD5E91">
        <w:rPr>
          <w:sz w:val="22"/>
          <w:szCs w:val="22"/>
          <w:rtl/>
        </w:rPr>
        <w:t xml:space="preserve"> שכינתא אורייתא דבע"פ כמ"ש והולך:</w:t>
      </w:r>
    </w:p>
  </w:footnote>
  <w:footnote w:id="628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וכד אתגלי לך.</w:t>
      </w:r>
      <w:r w:rsidRPr="00BD5E91">
        <w:rPr>
          <w:sz w:val="22"/>
          <w:szCs w:val="22"/>
          <w:rtl/>
        </w:rPr>
        <w:t xml:space="preserve"> ר"ל שעץ החיים שהוא קבלה, סתים מבועיה לעילא עד דרא בתראה, וכן ספר הזוהר לתתא, וכד אתגלי ספר הזוהר לבעלי התורה לתתא - הוא התגלות לו, שהוא מתלבש בכל דור ודור בבעלי התורה, ושם גלותא וחירו דיליה לפי הלומדים ועניינם כמ"ש בר"מ:</w:t>
      </w:r>
    </w:p>
  </w:footnote>
  <w:footnote w:id="628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דאת עתיד כו'.</w:t>
      </w:r>
      <w:r w:rsidRPr="00BD5E91">
        <w:rPr>
          <w:sz w:val="22"/>
          <w:szCs w:val="22"/>
          <w:rtl/>
        </w:rPr>
        <w:t xml:space="preserve"> ר"ל ספר הזוהר בדרגא דיליה והוא עץ החיים הנ"ל:</w:t>
      </w:r>
    </w:p>
  </w:footnote>
  <w:footnote w:id="628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נסיונות עתיד לאיתנסאה כו' ושם נסהו למשה.</w:t>
      </w:r>
      <w:r w:rsidRPr="00BD5E91">
        <w:rPr>
          <w:sz w:val="22"/>
          <w:szCs w:val="22"/>
          <w:rtl/>
        </w:rPr>
        <w:t xml:space="preserve"> ר"ל לאותן הלומדים עץ החיים, משה, אותן עתידים לאיתנסאה, וזה ושם נסהו, שם - בויורהו ה' עץ וז"ש כד אתגלי כו' וז"ש לאינון דמשתדלין בה. ר"ל בעץ החיים:</w:t>
      </w:r>
    </w:p>
  </w:footnote>
  <w:footnote w:id="628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ודא אורייתא דבכתב.</w:t>
      </w:r>
      <w:r w:rsidRPr="00BD5E91">
        <w:rPr>
          <w:sz w:val="22"/>
          <w:szCs w:val="22"/>
          <w:rtl/>
        </w:rPr>
        <w:t xml:space="preserve"> דרגא דמשה עץ החיים, ולהם מיתה עניותא כמ"ש והולך, והם מתים ביאור שהוא נהורא דאורייתא, עד"א כמ"ש לקמן:</w:t>
      </w:r>
    </w:p>
  </w:footnote>
  <w:footnote w:id="628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אורייתא דבע"פ.</w:t>
      </w:r>
      <w:r w:rsidRPr="00BD5E91">
        <w:rPr>
          <w:sz w:val="22"/>
          <w:szCs w:val="22"/>
          <w:rtl/>
        </w:rPr>
        <w:t xml:space="preserve"> הן אינן בנסיון:</w:t>
      </w:r>
    </w:p>
  </w:footnote>
  <w:footnote w:id="628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דתרווייהו כו'.</w:t>
      </w:r>
      <w:r w:rsidRPr="00BD5E91">
        <w:rPr>
          <w:sz w:val="22"/>
          <w:szCs w:val="22"/>
          <w:rtl/>
        </w:rPr>
        <w:t xml:space="preserve"> ר"ל שתי התורות, תורה שבע"פ נקראת פה, שכינה כמ"ש בהקדמה שנייה של ת"ז; ותורה שבכתב עד"א נקראת לשון. ובגלות הזה הוא בבעלי התורה בשניהן בכבדות, בתורה שבע"פ בקושיות כנ"ל ובתורה שבכתב ספר הזוהר. הכל ברמז קשה להבין וז"ש. וחכימא ברמיזא:</w:t>
      </w:r>
    </w:p>
  </w:footnote>
  <w:footnote w:id="628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ולית מיתה כו'.</w:t>
      </w:r>
      <w:r w:rsidRPr="00BD5E91">
        <w:rPr>
          <w:sz w:val="22"/>
          <w:szCs w:val="22"/>
          <w:rtl/>
        </w:rPr>
        <w:t xml:space="preserve"> קאי למעלה, היאורה שהוא נהורא דאורייתא תשליכהו ר"ל מיתה והוא עניות:</w:t>
      </w:r>
    </w:p>
  </w:footnote>
  <w:footnote w:id="628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ובפורקנא כו' כגוונא דימא כו'.</w:t>
      </w:r>
      <w:r w:rsidRPr="00BD5E91">
        <w:rPr>
          <w:sz w:val="22"/>
          <w:szCs w:val="22"/>
          <w:rtl/>
        </w:rPr>
        <w:t xml:space="preserve"> ר"ל כמו הים שבתחלה לחרבה ואח"כ ויבקעו המים, כן יהיה לבני ישראל כמ"ש (ישעיהו מא יח) אפתח על שפיים נהרות כו':</w:t>
      </w:r>
    </w:p>
  </w:footnote>
  <w:footnote w:id="629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דאתמר בך ר"מ ותשם כו'.</w:t>
      </w:r>
      <w:r w:rsidRPr="00BD5E91">
        <w:rPr>
          <w:sz w:val="22"/>
          <w:szCs w:val="22"/>
          <w:rtl/>
        </w:rPr>
        <w:t xml:space="preserve"> ר"ל כמו במצרים, שהיו משליכין את הכל ליאור ואח"כ שמו למרע"ה על שפת היאור. כן בפורקנא בתרייתא, אחר כל הנסיונות של מארי דנהורא דאורייתא - ותשם למרע"ה בסוף, סוף שהוא הקץ. ואותיות אחרונות של בסוף הוא ו"ף פ"ו יומין כו'. הוא פ"ו יום של הכרת העובר כידוע, משיח בירחא תליתאה, והוא דרגא דפורקנא, בינה, עלמא דחירו, ואם לאו יגאלך אנכי כמ"ש בת"ז, והוא אלקים חיים, שגי' אלקים פ"ו, ואז ינוחו עליו רוח חכמה ובינה כמ"ש לעיל, והוא ר"מ כמ"ש לעיל ואנת הוא כלול מט' ירחין אלין כו', ואז יהיה על שפת היאור, שיאור הוא נהורא דאורייתא, ושפת הוא שכינה, פה של הלשון שהן השפתים, ושפה גי' שכינה, שאז יתבקעו היאור אל השפה כמ"ש אפתח על שפיים נהרות כמ"ש לעיל ויבקעו המים דיליה לגבה:</w:t>
      </w:r>
    </w:p>
  </w:footnote>
  <w:footnote w:id="629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נשאו נהרות.</w:t>
      </w:r>
      <w:r w:rsidRPr="00BD5E91">
        <w:rPr>
          <w:sz w:val="22"/>
          <w:szCs w:val="22"/>
          <w:rtl/>
        </w:rPr>
        <w:t xml:space="preserve"> שיתבקעו ויפתחו שערי חכמה ובינה:</w:t>
      </w:r>
    </w:p>
  </w:footnote>
  <w:footnote w:id="629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תרין טפין כו'.</w:t>
      </w:r>
      <w:r w:rsidRPr="00BD5E91">
        <w:rPr>
          <w:sz w:val="22"/>
          <w:szCs w:val="22"/>
          <w:rtl/>
        </w:rPr>
        <w:t xml:space="preserve"> שיצאו בשני הכאות כמ"ש ויך כו' פעמים והן חו"ב שהן נהרות החכמה שלא יצאו מהן עדיין אלא טפין - יתפתחו כמ"ש (ישעיהו יא ט) ומלאה הארץ דעה את ה' כמים כו':</w:t>
      </w:r>
    </w:p>
  </w:footnote>
  <w:footnote w:id="629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דאינון צרי.</w:t>
      </w:r>
      <w:r w:rsidRPr="00BD5E91">
        <w:rPr>
          <w:sz w:val="22"/>
          <w:szCs w:val="22"/>
          <w:rtl/>
        </w:rPr>
        <w:t xml:space="preserve"> שצרי היא בבינה כידוע והוא בכלילות החכמה כמ"ש לעיל בירחא תליתאה כו' חכמה ובינה, וכן כתבתי בסמוך למטה: כי ביה שהוא חו"ב צור ל' צרי צייר בינה עולמים:</w:t>
      </w:r>
    </w:p>
  </w:footnote>
  <w:footnote w:id="629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סלקין בתרין ווין כו'.</w:t>
      </w:r>
      <w:r w:rsidRPr="00BD5E91">
        <w:rPr>
          <w:sz w:val="22"/>
          <w:szCs w:val="22"/>
          <w:rtl/>
        </w:rPr>
        <w:t xml:space="preserve"> כמ"ש והולך מסט' דשכינה, אורייתא דבע"פ, הן טפין ולעתיד שיתגלה נהורא דאורייתא - תורה שבכתב, עד"א, מסטריה הן ווין, נהרות:</w:t>
      </w:r>
    </w:p>
  </w:footnote>
  <w:footnote w:id="629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וההיא נקודה עילאה כו'.</w:t>
      </w:r>
      <w:r w:rsidRPr="00BD5E91">
        <w:rPr>
          <w:sz w:val="22"/>
          <w:szCs w:val="22"/>
          <w:rtl/>
        </w:rPr>
        <w:t xml:space="preserve"> ר"ל בטעם סגולתא, נקודה עילאה - נקודה ע"ג צרי, והוא כתר ע"ג חו"ב כמ"ש והולך וזהו נשאו נהרות, שהנהרות נושאין את נקודה עילאה על גבם:</w:t>
      </w:r>
    </w:p>
  </w:footnote>
  <w:footnote w:id="629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וסליקו דילה באן כו'.</w:t>
      </w:r>
      <w:r w:rsidRPr="00BD5E91">
        <w:rPr>
          <w:sz w:val="22"/>
          <w:szCs w:val="22"/>
          <w:rtl/>
        </w:rPr>
        <w:t xml:space="preserve"> עכשיו מפרש באיזה ספירה מדבר הפסוק כאן:</w:t>
      </w:r>
    </w:p>
  </w:footnote>
  <w:footnote w:id="629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דאתמר בהן וייצר.</w:t>
      </w:r>
      <w:r w:rsidRPr="00BD5E91">
        <w:rPr>
          <w:sz w:val="22"/>
          <w:szCs w:val="22"/>
          <w:rtl/>
        </w:rPr>
        <w:t xml:space="preserve"> ל' צרי, שבה צייר את האדם כמ"ש בהת"ז וכן צור עולמים:</w:t>
      </w:r>
    </w:p>
  </w:footnote>
  <w:footnote w:id="629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תרין עלמין דקיקין.</w:t>
      </w:r>
      <w:r w:rsidRPr="00BD5E91">
        <w:rPr>
          <w:sz w:val="22"/>
          <w:szCs w:val="22"/>
          <w:rtl/>
        </w:rPr>
        <w:t xml:space="preserve"> ר"ל חו"ב דשכינה שהן טפין וז"ש דקיקין:</w:t>
      </w:r>
    </w:p>
  </w:footnote>
  <w:footnote w:id="629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מתתא לעילא.</w:t>
      </w:r>
      <w:r w:rsidRPr="00BD5E91">
        <w:rPr>
          <w:sz w:val="22"/>
          <w:szCs w:val="22"/>
          <w:rtl/>
        </w:rPr>
        <w:t xml:space="preserve"> שמלכות כלילא מע"ס מתתא לעילא כמ"ש בת"ז:</w:t>
      </w:r>
    </w:p>
  </w:footnote>
  <w:footnote w:id="630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מסט' דעד"א כו'.</w:t>
      </w:r>
      <w:r w:rsidRPr="00BD5E91">
        <w:rPr>
          <w:sz w:val="22"/>
          <w:szCs w:val="22"/>
          <w:rtl/>
        </w:rPr>
        <w:t xml:space="preserve"> שעד"א הוא ו' נהרות, ומלכות היא יוד זעירא כידוע וזה טפין:</w:t>
      </w:r>
    </w:p>
  </w:footnote>
  <w:footnote w:id="630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לההיא סגולתא.</w:t>
      </w:r>
      <w:r w:rsidRPr="00BD5E91">
        <w:rPr>
          <w:sz w:val="22"/>
          <w:szCs w:val="22"/>
          <w:rtl/>
        </w:rPr>
        <w:t xml:space="preserve"> ר"ל לנקודה עילאה שהיא כולל כל הג' נקודות ובשבילה נקראין כל הג' נקודות סגולתא שעד עכשיו קראום צרי וז"ש למהוי כו':</w:t>
      </w:r>
    </w:p>
  </w:footnote>
  <w:footnote w:id="630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בתלת כתרין.</w:t>
      </w:r>
      <w:r w:rsidRPr="00BD5E91">
        <w:rPr>
          <w:sz w:val="22"/>
          <w:szCs w:val="22"/>
          <w:rtl/>
        </w:rPr>
        <w:t xml:space="preserve"> שהוא כולל כל הג' נקודות כנ"ל והן ג' כתרים כמ"ש והולך כתר כהונה מסט' דחכמה כמ"ש בת"ז, כתר מלכות מסט' דבינה מלך שהשלום שלו ובה אתאחדת מלכות, וכתר תורה מצד עצמה ועד"א אחיד ביה שהוא תורה, ובכתר כליל כל השם הויה כידוע וכן הג' נקודין כלל הויה, וזהו נשאו נהרות ה' שנושאין ה' ע"ג:</w:t>
      </w:r>
    </w:p>
  </w:footnote>
  <w:footnote w:id="630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וכתר תורה ע"ג.</w:t>
      </w:r>
      <w:r w:rsidRPr="00BD5E91">
        <w:rPr>
          <w:sz w:val="22"/>
          <w:szCs w:val="22"/>
          <w:rtl/>
        </w:rPr>
        <w:t xml:space="preserve"> כמ"ש (אבות ו ה) גדולה תורה מן הכהונה והן המלכות כו', וכתר שם טוב (שם) היא השכינה דסלקת לכתר כמ"ש בת"ז, והיא כלל כולם, והיא עולה על כולם, ושם נקראת סגולתא כמ"ש לקמן ד' ע"ו דלאתר עילאה אנת סליק כו' ע"ש. והוא ד' אותיות אדנ"י, אי"ן עם ד', וכן ד' אותיות הויה, וזהו נשאו נהרות ה' כנ"ל וז"ש במתני' (שם) וכתר שם טוב ע"ג:</w:t>
      </w:r>
      <w:r w:rsidRPr="00BD5E91">
        <w:rPr>
          <w:b/>
          <w:bCs/>
          <w:sz w:val="22"/>
          <w:szCs w:val="22"/>
          <w:rtl/>
        </w:rPr>
        <w:t xml:space="preserve"> </w:t>
      </w:r>
    </w:p>
  </w:footnote>
  <w:footnote w:id="630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דאינון ויסע כו'.</w:t>
      </w:r>
      <w:r w:rsidRPr="00BD5E91">
        <w:rPr>
          <w:sz w:val="22"/>
          <w:szCs w:val="22"/>
          <w:rtl/>
        </w:rPr>
        <w:t xml:space="preserve"> בג' אבהן כלילן בכח"ב כמ"ש לעיל:</w:t>
      </w:r>
    </w:p>
  </w:footnote>
  <w:footnote w:id="630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נשאו נהרות קולם אינון כו'.</w:t>
      </w:r>
      <w:r w:rsidRPr="00BD5E91">
        <w:rPr>
          <w:sz w:val="22"/>
          <w:szCs w:val="22"/>
          <w:rtl/>
        </w:rPr>
        <w:t xml:space="preserve"> מפרש סיפא דקרא הנ"ל:</w:t>
      </w:r>
    </w:p>
  </w:footnote>
  <w:footnote w:id="630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עלייהו איתמר נשאו נהרות.</w:t>
      </w:r>
      <w:r w:rsidRPr="00BD5E91">
        <w:rPr>
          <w:sz w:val="22"/>
          <w:szCs w:val="22"/>
          <w:rtl/>
        </w:rPr>
        <w:t xml:space="preserve"> ר"ל שהן נהרות והן נשאו קולם, עד"א כמ"ש והולך ואמר קולם דקול כליל מחג"ת מיא ואשא ורוחא כמ"ש בזוהר:</w:t>
      </w:r>
    </w:p>
  </w:footnote>
  <w:footnote w:id="630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ודא רזא דשורק.</w:t>
      </w:r>
      <w:r w:rsidRPr="00BD5E91">
        <w:rPr>
          <w:sz w:val="22"/>
          <w:szCs w:val="22"/>
          <w:rtl/>
        </w:rPr>
        <w:t xml:space="preserve"> ר"ל שת"ת הוא למטה מחו"ג כידוע וכאן אמר שהוא למעלה וכן אמר לעיל ובהת"ז דחג"ת אינון סגולתא. והענין כי עד"א הוא מבריח מן הקצה אל הקצה שהוא באדם הגוף מן הראש עד הברית לפיכך הוא למעלה מחו"ג ולמטה מהן, וכולל ג"כ את הברית כמ"ש גוף וברית חד הוא וזהו שורק, ג' נקודות: אחת על גבי חו"ג ואחת למטה מחו"ג ואחת למטה מנו"ה. וזהו בסוד נקודות למטה מאותיות מסט' דמלכות אבל מסט' דעד"א - נהרות, ווין, הוא שלשלת, ג' ווין על האותיות וז"ש שלשלת לעילא:</w:t>
      </w:r>
    </w:p>
  </w:footnote>
  <w:footnote w:id="630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נטעתיך שורק.</w:t>
      </w:r>
      <w:r w:rsidRPr="00BD5E91">
        <w:rPr>
          <w:sz w:val="22"/>
          <w:szCs w:val="22"/>
          <w:rtl/>
        </w:rPr>
        <w:t xml:space="preserve"> ל' שורק, זרע אמת שעד"א נקרא אמת דרגא דיעקב (מיכה ז כ) תתן אמת ליעקב, וישראל בני יעקב, זרע אמת - נטע בשורק:</w:t>
      </w:r>
    </w:p>
  </w:footnote>
  <w:footnote w:id="630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אינון נצח והוד.</w:t>
      </w:r>
      <w:r w:rsidRPr="00BD5E91">
        <w:rPr>
          <w:sz w:val="22"/>
          <w:szCs w:val="22"/>
          <w:rtl/>
        </w:rPr>
        <w:t xml:space="preserve"> ר"ל הנהרות, והן נושאין לשכינה על גביהם שנקראת דכים כמ"ש והולך, וצדיק נכלל למעלה בעד"א כנ"ל:</w:t>
      </w:r>
    </w:p>
  </w:footnote>
  <w:footnote w:id="631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נשאו לא כתיב כו'.</w:t>
      </w:r>
      <w:r w:rsidRPr="00BD5E91">
        <w:rPr>
          <w:sz w:val="22"/>
          <w:szCs w:val="22"/>
          <w:rtl/>
        </w:rPr>
        <w:t xml:space="preserve"> דבכולם כתיב נשאו, שגם עכשיו הנקודה על גביהם, משא"כ כאן שהיא עכשיו תחתם כמש"ו:</w:t>
      </w:r>
    </w:p>
  </w:footnote>
  <w:footnote w:id="631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ואינון סגון.</w:t>
      </w:r>
      <w:r w:rsidRPr="00BD5E91">
        <w:rPr>
          <w:sz w:val="22"/>
          <w:szCs w:val="22"/>
          <w:rtl/>
        </w:rPr>
        <w:t xml:space="preserve"> ר"ל נו"ה עם מלכות:</w:t>
      </w:r>
    </w:p>
  </w:footnote>
  <w:footnote w:id="631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דהיא נקודה דשכינתא כו'.</w:t>
      </w:r>
      <w:r w:rsidRPr="00BD5E91">
        <w:rPr>
          <w:sz w:val="22"/>
          <w:szCs w:val="22"/>
          <w:rtl/>
        </w:rPr>
        <w:t xml:space="preserve"> ר"ל הנקודה תחתונה של הסגול:</w:t>
      </w:r>
    </w:p>
  </w:footnote>
  <w:footnote w:id="631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דאינון ירכתי צפון.</w:t>
      </w:r>
      <w:r w:rsidRPr="00BD5E91">
        <w:rPr>
          <w:sz w:val="22"/>
          <w:szCs w:val="22"/>
          <w:rtl/>
        </w:rPr>
        <w:t xml:space="preserve"> ר"ל דאימא עילאה נקראת צפון כידוע והיא אתפשטת בנ' תרעין דילה עד נו"ה כמ"ש בת"ז, וז"ש (שמות כו כז) וחמשה כו' לירכתים ימה, שהן ה"ס שלה כל אחד מעשר כמ"ש עד הירכתים, וזה ימה - ים ה', בינה, כמ"ש לקמן בסמוך:</w:t>
      </w:r>
    </w:p>
  </w:footnote>
  <w:footnote w:id="631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הה"ד יפה כו'.</w:t>
      </w:r>
      <w:r w:rsidRPr="00BD5E91">
        <w:rPr>
          <w:sz w:val="22"/>
          <w:szCs w:val="22"/>
          <w:rtl/>
        </w:rPr>
        <w:t xml:space="preserve"> שהיא מלכות כמ"ש (שה"ש ד ז) כלך יפה כו', וסיפיה דקרא ירכתי צפון כו':</w:t>
      </w:r>
    </w:p>
  </w:footnote>
  <w:footnote w:id="631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כד איהי כו' הר ציון.</w:t>
      </w:r>
      <w:r w:rsidRPr="00BD5E91">
        <w:rPr>
          <w:sz w:val="22"/>
          <w:szCs w:val="22"/>
          <w:rtl/>
        </w:rPr>
        <w:t xml:space="preserve"> וז"ש הר ציון ירכתי צפון:</w:t>
      </w:r>
    </w:p>
  </w:footnote>
  <w:footnote w:id="631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טורא מאיך.</w:t>
      </w:r>
      <w:r w:rsidRPr="00BD5E91">
        <w:rPr>
          <w:sz w:val="22"/>
          <w:szCs w:val="22"/>
          <w:rtl/>
        </w:rPr>
        <w:t xml:space="preserve"> ר"ל שציון הוא יסוד, והיא הר ציון, וציון למעלה ממנה משא"כ בהיותה על גבם בסוד עיר ירושלים כמש"ו שאז היא גבוה:</w:t>
      </w:r>
    </w:p>
  </w:footnote>
  <w:footnote w:id="631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ואתקריא' כו' דכים.</w:t>
      </w:r>
      <w:r w:rsidRPr="00BD5E91">
        <w:rPr>
          <w:sz w:val="22"/>
          <w:szCs w:val="22"/>
          <w:rtl/>
        </w:rPr>
        <w:t xml:space="preserve"> ר"ל ז"ש ישאו נהרות דכים:</w:t>
      </w:r>
    </w:p>
  </w:footnote>
  <w:footnote w:id="631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דאינון בשכמל"ו.</w:t>
      </w:r>
      <w:r w:rsidRPr="00BD5E91">
        <w:rPr>
          <w:sz w:val="22"/>
          <w:szCs w:val="22"/>
          <w:rtl/>
        </w:rPr>
        <w:t xml:space="preserve"> מסט' דצדיק שנק' ברוך, והמלך שלמה ברוך:</w:t>
      </w:r>
    </w:p>
  </w:footnote>
  <w:footnote w:id="631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ובהון אל ישוב דך.</w:t>
      </w:r>
      <w:r w:rsidRPr="00BD5E91">
        <w:rPr>
          <w:sz w:val="22"/>
          <w:szCs w:val="22"/>
          <w:rtl/>
        </w:rPr>
        <w:t xml:space="preserve"> ר"ל כ"ד אתוון, מאן דמכוין בהון נכלם כמ"ש בזוהר, ור"ת אלו התיבות אותיות אדנ"י וז"ש בתיקו' סגול גי' מ"ח שהן ב"פ כ"ד אתוון, דתרין זמנין מסט' דסגול:</w:t>
      </w:r>
    </w:p>
  </w:footnote>
  <w:footnote w:id="632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ובהון ויפן כה כו'. </w:t>
      </w:r>
      <w:r w:rsidRPr="00BD5E91">
        <w:rPr>
          <w:sz w:val="22"/>
          <w:szCs w:val="22"/>
          <w:rtl/>
        </w:rPr>
        <w:t>ר"ל דכה ב"פ גי' חמשים, נש"ב:</w:t>
      </w:r>
    </w:p>
  </w:footnote>
  <w:footnote w:id="632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ויך את המצרי.</w:t>
      </w:r>
      <w:r w:rsidRPr="00BD5E91">
        <w:rPr>
          <w:sz w:val="22"/>
          <w:szCs w:val="22"/>
          <w:rtl/>
        </w:rPr>
        <w:t xml:space="preserve"> ס"מ כמש"ו:</w:t>
      </w:r>
    </w:p>
  </w:footnote>
  <w:footnote w:id="632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ומסטרא כו'.</w:t>
      </w:r>
      <w:r w:rsidRPr="00BD5E91">
        <w:rPr>
          <w:sz w:val="22"/>
          <w:szCs w:val="22"/>
          <w:rtl/>
        </w:rPr>
        <w:t xml:space="preserve"> ר"ל וזהו ישאו כו':</w:t>
      </w:r>
    </w:p>
  </w:footnote>
  <w:footnote w:id="632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קרית.</w:t>
      </w:r>
      <w:r w:rsidRPr="00BD5E91">
        <w:rPr>
          <w:sz w:val="22"/>
          <w:szCs w:val="22"/>
          <w:rtl/>
        </w:rPr>
        <w:t xml:space="preserve"> שאז נקראת עיר ביישובא שאז היא אצל עד"א על נו"ה. מלך של בינה שנקראת מלך כנ"ל:</w:t>
      </w:r>
    </w:p>
  </w:footnote>
  <w:footnote w:id="632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וכען.</w:t>
      </w:r>
      <w:r w:rsidRPr="00BD5E91">
        <w:rPr>
          <w:sz w:val="22"/>
          <w:szCs w:val="22"/>
          <w:rtl/>
        </w:rPr>
        <w:t xml:space="preserve"> שהיא תחתם:</w:t>
      </w:r>
    </w:p>
  </w:footnote>
  <w:footnote w:id="632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העיר רבתי.</w:t>
      </w:r>
      <w:r w:rsidRPr="00BD5E91">
        <w:rPr>
          <w:sz w:val="22"/>
          <w:szCs w:val="22"/>
          <w:rtl/>
        </w:rPr>
        <w:t xml:space="preserve"> שהיתה קרית כו' רב, אצל בעלה עד"א היתה כו' תחות רגלין:</w:t>
      </w:r>
    </w:p>
  </w:footnote>
  <w:footnote w:id="632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דאנת הוא ו' כו'.</w:t>
      </w:r>
      <w:r w:rsidRPr="00BD5E91">
        <w:rPr>
          <w:sz w:val="22"/>
          <w:szCs w:val="22"/>
          <w:rtl/>
        </w:rPr>
        <w:t xml:space="preserve"> ר"ל ו' של כה ו"כה, בין שני כה וז"ש ואנת אחיד כו':</w:t>
      </w:r>
    </w:p>
  </w:footnote>
  <w:footnote w:id="632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בין כה כו'.</w:t>
      </w:r>
      <w:r w:rsidRPr="00BD5E91">
        <w:rPr>
          <w:sz w:val="22"/>
          <w:szCs w:val="22"/>
          <w:rtl/>
        </w:rPr>
        <w:t xml:space="preserve"> ששניהן נקראין כ"ה, כ"ה אתוון דשמע שחרית וערבית, והוא אחיד בשניהן שהן ו' תיבות דשמע ישראל שהוא עד"א שנקרא ישראל כמ"ש בהת"ז:</w:t>
      </w:r>
    </w:p>
  </w:footnote>
  <w:footnote w:id="632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דאינון כו'.</w:t>
      </w:r>
      <w:r w:rsidRPr="00BD5E91">
        <w:rPr>
          <w:sz w:val="22"/>
          <w:szCs w:val="22"/>
          <w:rtl/>
        </w:rPr>
        <w:t xml:space="preserve"> והוא ה' אבנים של הקלע, ה' תיבות של שמע כו', שכל ה' אבנים נעשין אבן אחת - והוא אח"ד דשמע ישראל. וכן ה"ס שלו נכללין ביסוד - כל כידוע, בסוד נ' תרעין בה"ס ונכללין ביסוד והן נ' אתוון הנ"ל:</w:t>
      </w:r>
    </w:p>
  </w:footnote>
  <w:footnote w:id="632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מאן נפש כו'.</w:t>
      </w:r>
      <w:r w:rsidRPr="00BD5E91">
        <w:rPr>
          <w:sz w:val="22"/>
          <w:szCs w:val="22"/>
          <w:rtl/>
        </w:rPr>
        <w:t xml:space="preserve"> שסם מות ונחש הן ב' נוקבין דס"א נגד ב' כה הנ"ל וזהו אויביך ל' רבים:</w:t>
      </w:r>
    </w:p>
  </w:footnote>
  <w:footnote w:id="633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דמקננא.</w:t>
      </w:r>
      <w:r w:rsidRPr="00BD5E91">
        <w:rPr>
          <w:sz w:val="22"/>
          <w:szCs w:val="22"/>
          <w:rtl/>
        </w:rPr>
        <w:t xml:space="preserve"> ר"ל הנחש כמ"ש דרך נחש עלי צור והיא נגד נוק' דקדושה, בת שבע כלילא מז' ארעין ונקראת סלע כמ"ש לעיל, כן היא נקראת סלע דחויא כנ"ל:</w:t>
      </w:r>
    </w:p>
  </w:footnote>
  <w:footnote w:id="633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ובעלה.</w:t>
      </w:r>
      <w:r w:rsidRPr="00BD5E91">
        <w:rPr>
          <w:sz w:val="22"/>
          <w:szCs w:val="22"/>
          <w:rtl/>
        </w:rPr>
        <w:t xml:space="preserve"> ס"מ:</w:t>
      </w:r>
    </w:p>
  </w:footnote>
  <w:footnote w:id="633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בשבע טורין.</w:t>
      </w:r>
      <w:r w:rsidRPr="00BD5E91">
        <w:rPr>
          <w:sz w:val="22"/>
          <w:szCs w:val="22"/>
          <w:rtl/>
        </w:rPr>
        <w:t xml:space="preserve"> נגד עד"א שכלול ו"ק, עם מלכות שכלולה בו, ז' רקיעין ונקראין הרים כמ"ש לעיל שמעו הרים כו' כן נקרא הרי נשף (ירמיהו יג טז):</w:t>
      </w:r>
    </w:p>
  </w:footnote>
  <w:footnote w:id="633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קום באבניר דילך.</w:t>
      </w:r>
      <w:r w:rsidRPr="00BD5E91">
        <w:rPr>
          <w:sz w:val="22"/>
          <w:szCs w:val="22"/>
          <w:rtl/>
        </w:rPr>
        <w:t xml:space="preserve"> הן ה' אבנים כמ"ש לעיל אנא זריק לכון שית, ואמר קום כמ"ש (במדבר י לה) קומה ה' ויפוצו אויביך כו':</w:t>
      </w:r>
    </w:p>
  </w:footnote>
  <w:footnote w:id="633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דאסתלקו בטורין.</w:t>
      </w:r>
      <w:r w:rsidRPr="00BD5E91">
        <w:rPr>
          <w:sz w:val="22"/>
          <w:szCs w:val="22"/>
          <w:rtl/>
        </w:rPr>
        <w:t xml:space="preserve"> כמ"ש לעיל שמעו הרים, דמצד המלכות נקראו אבנין - טפין, ומצד עד"א נקראו הרים כמ"ש נשאו נהרות שמתנשאין כהרים וז"ש קום וז"ש ובגין טורין כו':</w:t>
      </w:r>
    </w:p>
  </w:footnote>
  <w:footnote w:id="633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לתברא טורין וסלעין כו'.</w:t>
      </w:r>
      <w:r w:rsidRPr="00BD5E91">
        <w:rPr>
          <w:sz w:val="22"/>
          <w:szCs w:val="22"/>
          <w:rtl/>
        </w:rPr>
        <w:t xml:space="preserve"> בהרים ואבנים שלו:</w:t>
      </w:r>
    </w:p>
  </w:footnote>
  <w:footnote w:id="633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ובהון כל גיא ינשא.</w:t>
      </w:r>
      <w:r w:rsidRPr="00BD5E91">
        <w:rPr>
          <w:sz w:val="22"/>
          <w:szCs w:val="22"/>
          <w:rtl/>
        </w:rPr>
        <w:t xml:space="preserve"> שעכשיו הן גיא - ינשאו לעתיד להיות הרים:</w:t>
      </w:r>
    </w:p>
  </w:footnote>
  <w:footnote w:id="633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ההוא דכולא כליל כו'.</w:t>
      </w:r>
      <w:r w:rsidRPr="00BD5E91">
        <w:rPr>
          <w:sz w:val="22"/>
          <w:szCs w:val="22"/>
          <w:rtl/>
        </w:rPr>
        <w:t xml:space="preserve"> ר"ל עד"א נק' גיא כמש"ו והוא כליל כלא כמ"ש לעיל דרגא דמרע"ה וזה כל גיא וז"ש ודא ר"מ כו' ר"ל שנשמתו עלתה לדרגא דיליה כמ"ש (סוטה יג ע"ב) משה לא מת אלא עומד ומשמש במרום:</w:t>
      </w:r>
    </w:p>
  </w:footnote>
  <w:footnote w:id="633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ויך כו' בגיא מלח.</w:t>
      </w:r>
      <w:r w:rsidRPr="00BD5E91">
        <w:rPr>
          <w:sz w:val="22"/>
          <w:szCs w:val="22"/>
          <w:rtl/>
        </w:rPr>
        <w:t xml:space="preserve"> ר"ל אדום הוא ס"מ, ודרגא דמשה הכהו כמ"ש לעיל קום עד"א כמ"ש לעיל קום עד"א כמ"ש ויך את המצרי. ונוק' דס"א - הכה בקירטא דיליה שהוא שכינה שנקרא מלח כידוע:</w:t>
      </w:r>
    </w:p>
  </w:footnote>
  <w:footnote w:id="633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ונשמתיה.</w:t>
      </w:r>
      <w:r w:rsidRPr="00BD5E91">
        <w:rPr>
          <w:sz w:val="22"/>
          <w:szCs w:val="22"/>
          <w:rtl/>
        </w:rPr>
        <w:t xml:space="preserve"> דר"מ:</w:t>
      </w:r>
    </w:p>
  </w:footnote>
  <w:footnote w:id="634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בגיא מן כו'.</w:t>
      </w:r>
      <w:r w:rsidRPr="00BD5E91">
        <w:rPr>
          <w:sz w:val="22"/>
          <w:szCs w:val="22"/>
          <w:rtl/>
        </w:rPr>
        <w:t xml:space="preserve"> ר"ל דעד"א כליל ג' שמות מן שם מ"ב שהן בחג"ת והן ג' שמות הראשונות: אבגית"ץ מסט' דחסד, וקר"ע שט"ן מסט' דגבורה, וכלא נכלל בת"ת כידוע ור"מ דרגא דיליה בעד"א מסט' דימינא דמשם כליל כלא דהוא יום דכלהו יומין ומשם נתן את התורה כמ"ש מימינו אש דת כו' וכן נשמתו גניזא תמן מסט' דימינא וזה בגיא ד' אותיות מן השם הנ"ל ונשאר ת"ץ ר"ת ת"ורה צ"פונה וז"ש תורת משה כו'. ר"ל שעד"א נקרא אור הגנוז ביסוד כידוע וז"ש (חגיגה יב ע"א) וירא אלקים את האור כי טוב גנזו לצדיקים לעתיד לבא ואין טוב אלא צדיק שנא' אמרו צדיק כו'. ר"ל דגנזו בצדיק לע"ל, והוא אור השלישי של מעשה בראשית שהוא ת"ת שנא' בו וירא כו'. וז"ש צפונה בצדי. ר"ל גנוזה ביסוד ושני התיבות הם מתחילין בצ':</w:t>
      </w:r>
    </w:p>
  </w:footnote>
  <w:footnote w:id="634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דאיהו ץ' כו'.</w:t>
      </w:r>
      <w:r w:rsidRPr="00BD5E91">
        <w:rPr>
          <w:sz w:val="22"/>
          <w:szCs w:val="22"/>
          <w:rtl/>
        </w:rPr>
        <w:t xml:space="preserve"> ר"ל לכך הוא ץ' פשוטה לפי שאור הגנוז שם לצדיקים לע"ל ומסט' דעלמא דאתי הוא ץ' ארוך, עולם שכולו ארוך, וכן לכך נקרא טוב מסט' דעלמא דאתי, עולם שכולו טוב, וז"ש מתמן הוא כו'. לצדיקים. וזה ג"כ ץ' הנ"ל בעלמא דאתי אריכא וז"ש דעלמא ואור הגנוז הוא תורת משה שעתידה להתגלות כמ"ש לעיל ובפורקנא כו' וזהו השם אבגית"ץ, אבג"י הוא משה כנ"ל ת' תורתו ץ' צפונה ור"ל תורת אבג"י צפונה כו':</w:t>
      </w:r>
    </w:p>
  </w:footnote>
  <w:footnote w:id="634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בגיא כו'.</w:t>
      </w:r>
      <w:r w:rsidRPr="00BD5E91">
        <w:rPr>
          <w:sz w:val="22"/>
          <w:szCs w:val="22"/>
          <w:rtl/>
        </w:rPr>
        <w:t xml:space="preserve"> עכשיו מפ' היאך בגיא הוא משה:</w:t>
      </w:r>
    </w:p>
  </w:footnote>
  <w:footnote w:id="634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אב לי"ג מכילין.</w:t>
      </w:r>
      <w:r w:rsidRPr="00BD5E91">
        <w:rPr>
          <w:sz w:val="22"/>
          <w:szCs w:val="22"/>
          <w:rtl/>
        </w:rPr>
        <w:t xml:space="preserve"> ר"ל אב שבו נכלל כל הי"ג מדות, וכן הוא כל אב שבו נכלל הבן בסוד טפה במוחו וכ"ה בכ"מ:</w:t>
      </w:r>
    </w:p>
  </w:footnote>
  <w:footnote w:id="634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דאינון וא"ו.</w:t>
      </w:r>
      <w:r w:rsidRPr="00BD5E91">
        <w:rPr>
          <w:sz w:val="22"/>
          <w:szCs w:val="22"/>
          <w:rtl/>
        </w:rPr>
        <w:t xml:space="preserve"> ר"ל דעד"א הוא וא"ו כידוע והוא וא"ו דשמא מפ' גי' י"ג וזה אב שבו נכלל באות א':</w:t>
      </w:r>
    </w:p>
  </w:footnote>
  <w:footnote w:id="634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ויעבור ה' כו'.</w:t>
      </w:r>
      <w:r w:rsidRPr="00BD5E91">
        <w:rPr>
          <w:sz w:val="22"/>
          <w:szCs w:val="22"/>
          <w:rtl/>
        </w:rPr>
        <w:t xml:space="preserve"> עכשיו מפ' היאך כל הג' שמות הראשונים של שם מ"ב שהן בחג"ת - כלילן ביה כמ"ש למטה כלהו כליל עד"א שמים כו':</w:t>
      </w:r>
    </w:p>
  </w:footnote>
  <w:footnote w:id="634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ויעבור עב כו'.</w:t>
      </w:r>
      <w:r w:rsidRPr="00BD5E91">
        <w:rPr>
          <w:sz w:val="22"/>
          <w:szCs w:val="22"/>
          <w:rtl/>
        </w:rPr>
        <w:t xml:space="preserve"> ר"ל ע"ב גי' חסד. רי"ו גי' גבורה ושניהן הן שם ע"ב רק שזה כלל בתיבות וזה פרט באותיות כמ"ש למעלה כלל ופרט וכלל, נשאר ו' דו"יעבור והוא ת"ת שכליל שניהן וזהו ויעבור - חג"ת, ה' - הכל כליל ה', עד"א:</w:t>
      </w:r>
    </w:p>
  </w:footnote>
  <w:footnote w:id="634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דבה כו'.</w:t>
      </w:r>
      <w:r w:rsidRPr="00BD5E91">
        <w:rPr>
          <w:sz w:val="22"/>
          <w:szCs w:val="22"/>
          <w:rtl/>
        </w:rPr>
        <w:t xml:space="preserve"> עכשיו מפרש היאך ב' השמות הן בחו"ג ואמר. דבה קרע שטן כו' כמ"ש לעיל דהעביר הסלע דחויא מן אורייתא ור"ל דברי"ו אותיות דשם ע"ב קרע, הרי דקרע שטן בגבורה ועכשיו מפ' דבגיא משם הראשון מסט' דחסד וז"ש ומסט' דחסד כו':</w:t>
      </w:r>
    </w:p>
  </w:footnote>
  <w:footnote w:id="634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דביה.</w:t>
      </w:r>
      <w:r w:rsidRPr="00BD5E91">
        <w:rPr>
          <w:sz w:val="22"/>
          <w:szCs w:val="22"/>
          <w:rtl/>
        </w:rPr>
        <w:t xml:space="preserve"> ר"ל בחסד:</w:t>
      </w:r>
    </w:p>
  </w:footnote>
  <w:footnote w:id="634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איהו יקו"ק.</w:t>
      </w:r>
      <w:r w:rsidRPr="00BD5E91">
        <w:rPr>
          <w:sz w:val="22"/>
          <w:szCs w:val="22"/>
          <w:rtl/>
        </w:rPr>
        <w:t xml:space="preserve"> ר"ל יקו"ק שנכתב קודם י"ג מדות שמתחילין אל מסט' דחסד נכללין כולם בהויה שקודם להם כידוע בסוד י"ג תיקונים שהויה שלפניהם כולל כל הי"ג תיקונים בסוד מצפ"ץ:</w:t>
      </w:r>
    </w:p>
  </w:footnote>
  <w:footnote w:id="635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ארך אפים ומאריך כו'.</w:t>
      </w:r>
      <w:r w:rsidRPr="00BD5E91">
        <w:rPr>
          <w:sz w:val="22"/>
          <w:szCs w:val="22"/>
          <w:rtl/>
        </w:rPr>
        <w:t xml:space="preserve"> ור"ל שזה מדת הת"ת שמאריך על בינונים, ומטה כלפי חסד כמ"ש (ר"ה טז ע"ב) ג' ספרים נפתחים בר"ה כו'. והן חג"ת כידוע. של צדיקים כו' הוא בחסד ושל רשעים כו' הוא בגבורה, ושל בינונים תלוין כו' בה"א מטה כלפי חסד כו' הוא בת"ת וזה ראיה מארך אפים שי"ג מכילן מסט' דחסד הוא בת"ת שהוא נוטה לחסד כידוע ולכן נקרא רחמים:</w:t>
      </w:r>
    </w:p>
  </w:footnote>
  <w:footnote w:id="635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ובאתוון א"ת ב"ש כו'.</w:t>
      </w:r>
      <w:r w:rsidRPr="00BD5E91">
        <w:rPr>
          <w:sz w:val="22"/>
          <w:szCs w:val="22"/>
          <w:rtl/>
        </w:rPr>
        <w:t xml:space="preserve"> ר"ל כי אלו הי"ג מדות הן בא"א כולו חסד, ויורדין לעד"א בא"ת ב"ש, שא"ת ב"ש הוא עולה ויורד, עולה עד חציו ויורד מחציו, והוא חו"ג, ומשם הוא כליל מחו"ג והוא מדת הבינונים שבו נפתחין והוא מאריך עמם שיחזרו בתשובה ויהיו בחסד כנ"ל:</w:t>
      </w:r>
    </w:p>
  </w:footnote>
  <w:footnote w:id="635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אבל בקרע כו'.</w:t>
      </w:r>
      <w:r w:rsidRPr="00BD5E91">
        <w:rPr>
          <w:sz w:val="22"/>
          <w:szCs w:val="22"/>
          <w:rtl/>
        </w:rPr>
        <w:t xml:space="preserve"> ר"ל בחסד שבו מאריך כנ"ל ובגבורה שבו ידין שהוא דין גבורה וזהו קרע בגוים כו' וזהו שטן והכל בגבורה שבו לכותים אבל לישראל בחסד כנ"ל וזהו מחלוקת שבו דאפריש בין שמאלא דס"א לימינא דקודשא וכמה כו' כמ"ש לעיל דע"ג ע"ש:</w:t>
      </w:r>
    </w:p>
  </w:footnote>
  <w:footnote w:id="635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ובגין דא כו'.</w:t>
      </w:r>
      <w:r w:rsidRPr="00BD5E91">
        <w:rPr>
          <w:sz w:val="22"/>
          <w:szCs w:val="22"/>
          <w:rtl/>
        </w:rPr>
        <w:t xml:space="preserve"> ר"ל מה שאמר למעלה ששם הראשון הוא בחסד והשני בגבורה - עכשיו מפרש כל הז' שמות בע"ס. ג' הראשונות בכח"ב, כליל בחג"ת וכולא כליל בת"ת כמש"ו וד' האחרים בנהי"ם:</w:t>
      </w:r>
    </w:p>
  </w:footnote>
  <w:footnote w:id="635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אתקרי חכמה א"ב.</w:t>
      </w:r>
      <w:r w:rsidRPr="00BD5E91">
        <w:rPr>
          <w:sz w:val="22"/>
          <w:szCs w:val="22"/>
          <w:rtl/>
        </w:rPr>
        <w:t xml:space="preserve"> שהוא אב כידוע:</w:t>
      </w:r>
    </w:p>
  </w:footnote>
  <w:footnote w:id="635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כללא דילהון כו'.</w:t>
      </w:r>
      <w:r w:rsidRPr="00BD5E91">
        <w:rPr>
          <w:sz w:val="22"/>
          <w:szCs w:val="22"/>
          <w:rtl/>
        </w:rPr>
        <w:t xml:space="preserve"> ר"ל ור"ת שלהן וא"ו גי' י"ג שהן י"ג מדות הנ"ל מסט' דחסד כנ"ל והוא ראיה די"ג הוא בחסד גי' ע"ב שהוא שם ע"ב ת"ץ כנ"ל שנאמר מימינו כו' כנ"ל:</w:t>
      </w:r>
    </w:p>
  </w:footnote>
  <w:footnote w:id="635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בה קרע כו' ובה כו'.</w:t>
      </w:r>
      <w:r w:rsidRPr="00BD5E91">
        <w:rPr>
          <w:sz w:val="22"/>
          <w:szCs w:val="22"/>
          <w:rtl/>
        </w:rPr>
        <w:t xml:space="preserve"> כמ"ש לעיל לחרבה בתוקפא כו' דגבורה כו' ויבקעו המים ימא דאורייתא:</w:t>
      </w:r>
    </w:p>
  </w:footnote>
  <w:footnote w:id="635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ובה קרע כו' רוקע כו' עקר כו' עוקר כו'.</w:t>
      </w:r>
      <w:r w:rsidRPr="00BD5E91">
        <w:rPr>
          <w:sz w:val="22"/>
          <w:szCs w:val="22"/>
          <w:rtl/>
        </w:rPr>
        <w:t xml:space="preserve"> הכל ל' קרע של השם והן הכל בגבורה כמש"ו. </w:t>
      </w:r>
      <w:r w:rsidRPr="00BD5E91">
        <w:rPr>
          <w:b/>
          <w:bCs/>
          <w:sz w:val="22"/>
          <w:szCs w:val="22"/>
          <w:rtl/>
        </w:rPr>
        <w:t>לי"ב קרעים.</w:t>
      </w:r>
      <w:r w:rsidRPr="00BD5E91">
        <w:rPr>
          <w:sz w:val="22"/>
          <w:szCs w:val="22"/>
          <w:rtl/>
        </w:rPr>
        <w:t xml:space="preserve"> שכל שם כולל את השם שלפניו וכן היתה קריעת ים סוף דינא ורחמי כידוע ולכן הוא י"ב נגד ב' שמות הנ"ל י"ב אותיות וכן במלכות שם השביעי כלול כל השם מ"ב:</w:t>
      </w:r>
    </w:p>
  </w:footnote>
  <w:footnote w:id="635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ובה רוקע הארץ כו'.</w:t>
      </w:r>
      <w:r w:rsidRPr="00BD5E91">
        <w:rPr>
          <w:sz w:val="22"/>
          <w:szCs w:val="22"/>
          <w:rtl/>
        </w:rPr>
        <w:t xml:space="preserve"> דאיהי לשמאלא כידוע ובה חרבה:</w:t>
      </w:r>
    </w:p>
  </w:footnote>
  <w:footnote w:id="635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ובה עקר טורין כו'.</w:t>
      </w:r>
      <w:r w:rsidRPr="00BD5E91">
        <w:rPr>
          <w:sz w:val="22"/>
          <w:szCs w:val="22"/>
          <w:rtl/>
        </w:rPr>
        <w:t xml:space="preserve"> וזה קרע שטן:</w:t>
      </w:r>
    </w:p>
  </w:footnote>
  <w:footnote w:id="636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רוח חזק.</w:t>
      </w:r>
      <w:r w:rsidRPr="00BD5E91">
        <w:rPr>
          <w:sz w:val="22"/>
          <w:szCs w:val="22"/>
          <w:rtl/>
        </w:rPr>
        <w:t xml:space="preserve"> שהוא גבורה, יד החזקה כידוע:</w:t>
      </w:r>
    </w:p>
  </w:footnote>
  <w:footnote w:id="636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דאינון כו'.</w:t>
      </w:r>
      <w:r w:rsidRPr="00BD5E91">
        <w:rPr>
          <w:sz w:val="22"/>
          <w:szCs w:val="22"/>
          <w:rtl/>
        </w:rPr>
        <w:t xml:space="preserve"> כנ"ל:</w:t>
      </w:r>
    </w:p>
  </w:footnote>
  <w:footnote w:id="636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עלי צור.</w:t>
      </w:r>
      <w:r w:rsidRPr="00BD5E91">
        <w:rPr>
          <w:sz w:val="22"/>
          <w:szCs w:val="22"/>
          <w:rtl/>
        </w:rPr>
        <w:t xml:space="preserve"> הוא סלע:</w:t>
      </w:r>
    </w:p>
  </w:footnote>
  <w:footnote w:id="636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עוקר הרים.</w:t>
      </w:r>
      <w:r w:rsidRPr="00BD5E91">
        <w:rPr>
          <w:sz w:val="22"/>
          <w:szCs w:val="22"/>
          <w:rtl/>
        </w:rPr>
        <w:t xml:space="preserve"> המכסין את ההלכה כנ"ל:</w:t>
      </w:r>
    </w:p>
  </w:footnote>
  <w:footnote w:id="636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באורייתא דבע"פ.</w:t>
      </w:r>
      <w:r w:rsidRPr="00BD5E91">
        <w:rPr>
          <w:sz w:val="22"/>
          <w:szCs w:val="22"/>
          <w:rtl/>
        </w:rPr>
        <w:t xml:space="preserve"> מסט' דגבורה. ששם גבורים במלחמתה של תורה:</w:t>
      </w:r>
    </w:p>
  </w:footnote>
  <w:footnote w:id="636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אמר למשה נגד כו'.</w:t>
      </w:r>
      <w:r w:rsidRPr="00BD5E91">
        <w:rPr>
          <w:sz w:val="22"/>
          <w:szCs w:val="22"/>
          <w:rtl/>
        </w:rPr>
        <w:t xml:space="preserve"> ר"ל בשם נג"ד שהוא ת"ת מסט' דכתר אעשה נפלאות:</w:t>
      </w:r>
    </w:p>
  </w:footnote>
  <w:footnote w:id="636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כלהו כליל כו'.</w:t>
      </w:r>
      <w:r w:rsidRPr="00BD5E91">
        <w:rPr>
          <w:sz w:val="22"/>
          <w:szCs w:val="22"/>
          <w:rtl/>
        </w:rPr>
        <w:t xml:space="preserve">  כנ"ל כלל הג' שמות:</w:t>
      </w:r>
    </w:p>
  </w:footnote>
  <w:footnote w:id="636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שמים.</w:t>
      </w:r>
      <w:r w:rsidRPr="00BD5E91">
        <w:rPr>
          <w:sz w:val="22"/>
          <w:szCs w:val="22"/>
          <w:rtl/>
        </w:rPr>
        <w:t xml:space="preserve"> ר"ל נגד יכש עם ג"ס הנ"ל גי' שמים:</w:t>
      </w:r>
    </w:p>
  </w:footnote>
  <w:footnote w:id="636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דאיתמר ביה כו'.</w:t>
      </w:r>
      <w:r w:rsidRPr="00BD5E91">
        <w:rPr>
          <w:sz w:val="22"/>
          <w:szCs w:val="22"/>
          <w:rtl/>
        </w:rPr>
        <w:t xml:space="preserve"> מביא ראיה שעד"א נקרא שמים כמ"ש בספר הבהיר ד"ה מן השמים:</w:t>
      </w:r>
    </w:p>
  </w:footnote>
  <w:footnote w:id="636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שמע ישראל.</w:t>
      </w:r>
      <w:r w:rsidRPr="00BD5E91">
        <w:rPr>
          <w:sz w:val="22"/>
          <w:szCs w:val="22"/>
          <w:rtl/>
        </w:rPr>
        <w:t xml:space="preserve"> ראיה. ששמיעה תליא ביה שהוא נקרא ישראל כידוע:</w:t>
      </w:r>
    </w:p>
  </w:footnote>
  <w:footnote w:id="637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ואית כו'. </w:t>
      </w:r>
      <w:r w:rsidRPr="00BD5E91">
        <w:rPr>
          <w:sz w:val="22"/>
          <w:szCs w:val="22"/>
          <w:rtl/>
        </w:rPr>
        <w:t>ר"ל דדרשי ביה הפוך:</w:t>
      </w:r>
    </w:p>
  </w:footnote>
  <w:footnote w:id="637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ביה והיית כו'.</w:t>
      </w:r>
      <w:r w:rsidRPr="00BD5E91">
        <w:rPr>
          <w:sz w:val="22"/>
          <w:szCs w:val="22"/>
          <w:rtl/>
        </w:rPr>
        <w:t xml:space="preserve"> ר"ל דג' הוא ג"ן רוה דכתב הוא רטוב רט"ב של השם:</w:t>
      </w:r>
    </w:p>
  </w:footnote>
  <w:footnote w:id="637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ויתקיים בישראל כו' דאיהו צח.</w:t>
      </w:r>
      <w:r w:rsidRPr="00BD5E91">
        <w:rPr>
          <w:sz w:val="22"/>
          <w:szCs w:val="22"/>
          <w:rtl/>
        </w:rPr>
        <w:t xml:space="preserve"> מביא ראיה כגן רטוב דקרא הוא בנצח דכתיב אצלו והשביע בצחצחות כו' והיית, ובצחצחות הוא נצח שבו אותיות צח וכן ועצמותיך יחליץ דקרא הנ"ל בו אותיות צח והכל שהוא בחסד כמש"ו נצח בחסד ושם מים כידוע:</w:t>
      </w:r>
    </w:p>
  </w:footnote>
  <w:footnote w:id="637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ואיתמר בג' כו'.</w:t>
      </w:r>
      <w:r w:rsidRPr="00BD5E91">
        <w:rPr>
          <w:sz w:val="22"/>
          <w:szCs w:val="22"/>
          <w:rtl/>
        </w:rPr>
        <w:t xml:space="preserve"> ר"ל דג' הוא ג"ן. רטוב הוא ר' רחמים והוא תפארת רחמים והוא ת' של גת"ץ דהשפעתו של ת"ת ברחמים הוא ע"י נצח וז"ש וביה תוצא ר"ל ביום השלישי, ותוצא בצדיק כמ"ש בזוהר סוף חלק ראשון דף א' והוא ע"י נצח וזה ת"צ של השם:</w:t>
      </w:r>
    </w:p>
  </w:footnote>
  <w:footnote w:id="637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במדברא.</w:t>
      </w:r>
      <w:r w:rsidRPr="00BD5E91">
        <w:rPr>
          <w:sz w:val="22"/>
          <w:szCs w:val="22"/>
          <w:rtl/>
        </w:rPr>
        <w:t xml:space="preserve"> כמ"ש (יואל ב כב) כי דשאו נאות מדבר כי עץ כו':</w:t>
      </w:r>
    </w:p>
  </w:footnote>
  <w:footnote w:id="637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וכמה כו'.</w:t>
      </w:r>
      <w:r w:rsidRPr="00BD5E91">
        <w:rPr>
          <w:sz w:val="22"/>
          <w:szCs w:val="22"/>
          <w:rtl/>
        </w:rPr>
        <w:t xml:space="preserve"> כמ"ש אפתח כו'. אשים מדבר כו':</w:t>
      </w:r>
    </w:p>
  </w:footnote>
  <w:footnote w:id="637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חק'.</w:t>
      </w:r>
      <w:r w:rsidRPr="00BD5E91">
        <w:rPr>
          <w:sz w:val="22"/>
          <w:szCs w:val="22"/>
          <w:rtl/>
        </w:rPr>
        <w:t xml:space="preserve"> תרגום גזירות. ומשפט. דין. ושם נסהו כמ"ש לעיל כמה נסיונות כו' והכל מסט' דהוד כמש"ו דהוד אתקשר כו' וח"ק הוא אותיות ח"ק של השם:</w:t>
      </w:r>
    </w:p>
  </w:footnote>
  <w:footnote w:id="637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ואתמר בהוד כו'.</w:t>
      </w:r>
      <w:r w:rsidRPr="00BD5E91">
        <w:rPr>
          <w:sz w:val="22"/>
          <w:szCs w:val="22"/>
          <w:rtl/>
        </w:rPr>
        <w:t xml:space="preserve"> מביא ראיה שכל זה יהיה בסט' דהוד:</w:t>
      </w:r>
    </w:p>
  </w:footnote>
  <w:footnote w:id="637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כל היום.</w:t>
      </w:r>
      <w:r w:rsidRPr="00BD5E91">
        <w:rPr>
          <w:sz w:val="22"/>
          <w:szCs w:val="22"/>
          <w:rtl/>
        </w:rPr>
        <w:t xml:space="preserve"> יומו של הקב"ה אלף שנים והוא אלף החמישי דאתגזר להיות כל האלף שנים בגלות כידוע והוא הוד אלף החמישי:</w:t>
      </w:r>
    </w:p>
  </w:footnote>
  <w:footnote w:id="637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דוה.</w:t>
      </w:r>
      <w:r w:rsidRPr="00BD5E91">
        <w:rPr>
          <w:sz w:val="22"/>
          <w:szCs w:val="22"/>
          <w:rtl/>
        </w:rPr>
        <w:t xml:space="preserve"> אותיות הוד:</w:t>
      </w:r>
    </w:p>
  </w:footnote>
  <w:footnote w:id="638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והוא צולע כו'.</w:t>
      </w:r>
      <w:r w:rsidRPr="00BD5E91">
        <w:rPr>
          <w:sz w:val="22"/>
          <w:szCs w:val="22"/>
          <w:rtl/>
        </w:rPr>
        <w:t xml:space="preserve"> ר"ל דנגע בו ס"מ שחרב בה"מ שהוא ירך כידוע:</w:t>
      </w:r>
    </w:p>
  </w:footnote>
  <w:footnote w:id="638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בההוא זמנא כו'.</w:t>
      </w:r>
      <w:r w:rsidRPr="00BD5E91">
        <w:rPr>
          <w:sz w:val="22"/>
          <w:szCs w:val="22"/>
          <w:rtl/>
        </w:rPr>
        <w:t xml:space="preserve"> שיתוקן הירך מההוא פגימו:</w:t>
      </w:r>
    </w:p>
  </w:footnote>
  <w:footnote w:id="638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ועוד טנ"ע.</w:t>
      </w:r>
      <w:r w:rsidRPr="00BD5E91">
        <w:rPr>
          <w:sz w:val="22"/>
          <w:szCs w:val="22"/>
          <w:rtl/>
        </w:rPr>
        <w:t xml:space="preserve"> ר"ל ועוד אותיות הנשארים ולמטה דריש גם לב' דשם:</w:t>
      </w:r>
    </w:p>
  </w:footnote>
  <w:footnote w:id="638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ביה חב אדם הה"ד ביום כו'.</w:t>
      </w:r>
      <w:r w:rsidRPr="00BD5E91">
        <w:rPr>
          <w:sz w:val="22"/>
          <w:szCs w:val="22"/>
          <w:rtl/>
        </w:rPr>
        <w:t xml:space="preserve"> כמ"ש בזוהר הנ"ל שיום ששי היה הוד ע"ש וזה ביום כו' וביה כו' שנברא ביום ששי ובו ביום חטא לפיכך נגע ס"מ באותו ירך, שיעקב הוא גלגול אדה"ר ולפיכך בו הגלות ביום ה' לפי שאז במעשה בראשית היתה מלכות יום הרביעי אצל ת"ת אבל עכשיו היא למטה כמ"ש לעיל והיא יום השביעי והוד יום ה':</w:t>
      </w:r>
    </w:p>
  </w:footnote>
  <w:footnote w:id="638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נצר מטעי כו'.</w:t>
      </w:r>
      <w:r w:rsidRPr="00BD5E91">
        <w:rPr>
          <w:sz w:val="22"/>
          <w:szCs w:val="22"/>
          <w:rtl/>
        </w:rPr>
        <w:t xml:space="preserve"> ר"ל ל' נטע וכן לעיל ביום נטעך:</w:t>
      </w:r>
    </w:p>
  </w:footnote>
  <w:footnote w:id="638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ביה אתקריאת בטנך.</w:t>
      </w:r>
      <w:r w:rsidRPr="00BD5E91">
        <w:rPr>
          <w:sz w:val="22"/>
          <w:szCs w:val="22"/>
          <w:rtl/>
        </w:rPr>
        <w:t xml:space="preserve"> וזהו בטן וירך שיש לס"מ אחיזה כמ"ש בסבא שנתנו לו בטן וירך דסוטה, וכל זה לפי שהס"א הוא לשמאלא ובגופא אין אחיזה ולכן אחז לבר מגופא בשמאלא ואע"ג דבטן הוא מסט' דת"ת לכן אמר. דהא כל שמא כליל כו'. ר"ל בת"ת מסט' דהוד:</w:t>
      </w:r>
    </w:p>
  </w:footnote>
  <w:footnote w:id="638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הה"ד וענף עץ עבות.</w:t>
      </w:r>
      <w:r w:rsidRPr="00BD5E91">
        <w:rPr>
          <w:sz w:val="22"/>
          <w:szCs w:val="22"/>
          <w:rtl/>
        </w:rPr>
        <w:t xml:space="preserve"> ר"ל דענף עץ עבות וערבי נחל שניהן הן בנו"ה שהן תרי פלגי דגופא וכ"א כלול מחבירו. עבות בנ"ה כמש"ו שכל א' הוא ע"ב וזהו עבות ומביא ראיה דנו"ה נקראין עבות:</w:t>
      </w:r>
    </w:p>
  </w:footnote>
  <w:footnote w:id="638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דנו"ה אינון כו'.</w:t>
      </w:r>
      <w:r w:rsidRPr="00BD5E91">
        <w:rPr>
          <w:sz w:val="22"/>
          <w:szCs w:val="22"/>
          <w:rtl/>
        </w:rPr>
        <w:t xml:space="preserve"> דהן רקיע שנקראין שחקים, רקיע השלישי ממטה למעלה והן טוחנות. בסוד תרין ביעין שבהן מתבשלת הזרע לצדיק וצדק, וזהו מן לצדיקים, ונקרא' מן שאימא עילאה אתפשטת בנ' תרעין דילה עד הוד, עשר בכ"א, ובנצח הוי מ' ובהוד נ' שהן ספירה ד' וה' שכ"א כלול מעשר:</w:t>
      </w:r>
    </w:p>
  </w:footnote>
  <w:footnote w:id="638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עלייהו אתמר ערבי נחל.</w:t>
      </w:r>
      <w:r w:rsidRPr="00BD5E91">
        <w:rPr>
          <w:sz w:val="22"/>
          <w:szCs w:val="22"/>
          <w:rtl/>
        </w:rPr>
        <w:t xml:space="preserve"> ר"ל שבו אותיות ע"ב, וכן בעבות דלעיל. ונחל הוא יסוד:</w:t>
      </w:r>
    </w:p>
  </w:footnote>
  <w:footnote w:id="638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דומיא דתרין שפוון.</w:t>
      </w:r>
      <w:r w:rsidRPr="00BD5E91">
        <w:rPr>
          <w:sz w:val="22"/>
          <w:szCs w:val="22"/>
          <w:rtl/>
        </w:rPr>
        <w:t xml:space="preserve"> מביא ראיה דערבי נחל בנו"ה, דשפתים הן נו"ה דבהן לשון למודים יסוד בתוך למודי ה' נו"ה:</w:t>
      </w:r>
    </w:p>
  </w:footnote>
  <w:footnote w:id="639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ותלת כו'.</w:t>
      </w:r>
      <w:r w:rsidRPr="00BD5E91">
        <w:rPr>
          <w:sz w:val="22"/>
          <w:szCs w:val="22"/>
          <w:rtl/>
        </w:rPr>
        <w:t xml:space="preserve"> ר"ל דזה עבות דג' הדסים שהן נה"י וזהו ע"ב דשם. ומפרש כאן הד' מינין בנהי"ם: ענף עץ עבות וערבי נחל בנו"ה כנ"ל ולולב ואתרוג ביסוד ומלכות כידוע. ואמר ע"ב בהוד לפי שבו אשתלם תרי פלגי דגופא:</w:t>
      </w:r>
    </w:p>
  </w:footnote>
  <w:footnote w:id="639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וכלהו כו'.</w:t>
      </w:r>
      <w:r w:rsidRPr="00BD5E91">
        <w:rPr>
          <w:sz w:val="22"/>
          <w:szCs w:val="22"/>
          <w:rtl/>
        </w:rPr>
        <w:t xml:space="preserve"> ר"ל כ"א מהן:</w:t>
      </w:r>
    </w:p>
  </w:footnote>
  <w:footnote w:id="639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דביה כו'.</w:t>
      </w:r>
      <w:r w:rsidRPr="00BD5E91">
        <w:rPr>
          <w:sz w:val="22"/>
          <w:szCs w:val="22"/>
          <w:rtl/>
        </w:rPr>
        <w:t xml:space="preserve"> ר"ל שבו זמן הגאולה כנ"ל:</w:t>
      </w:r>
    </w:p>
  </w:footnote>
  <w:footnote w:id="639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דאיהו יסוד עלמין.</w:t>
      </w:r>
      <w:r w:rsidRPr="00BD5E91">
        <w:rPr>
          <w:sz w:val="22"/>
          <w:szCs w:val="22"/>
          <w:rtl/>
        </w:rPr>
        <w:t xml:space="preserve"> וכן הגאולה הוא יסוד כל העולם שיבנה בה"מ:</w:t>
      </w:r>
    </w:p>
  </w:footnote>
  <w:footnote w:id="639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איהו סוד דקץ כו'.</w:t>
      </w:r>
      <w:r w:rsidRPr="00BD5E91">
        <w:rPr>
          <w:sz w:val="22"/>
          <w:szCs w:val="22"/>
          <w:rtl/>
        </w:rPr>
        <w:t xml:space="preserve"> ר"ל שבו גנוז סוד הקץ, ור"ל סוד מן יסוד שבו אור הגנוז, וקץ הוא מסט' דשכינה כמש"ו וחשבון קיצה גנוז בו, ובאלף הששי שהוא יומו - יגלה:</w:t>
      </w:r>
    </w:p>
  </w:footnote>
  <w:footnote w:id="639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קץ דכלהו.</w:t>
      </w:r>
      <w:r w:rsidRPr="00BD5E91">
        <w:rPr>
          <w:sz w:val="22"/>
          <w:szCs w:val="22"/>
          <w:rtl/>
        </w:rPr>
        <w:t xml:space="preserve"> שהיא משלמת כל הספירות לעשר, שכ"א הוא מט' כידוע:</w:t>
      </w:r>
    </w:p>
  </w:footnote>
  <w:footnote w:id="639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ואיהי קץ דדליג כו'.</w:t>
      </w:r>
      <w:r w:rsidRPr="00BD5E91">
        <w:rPr>
          <w:sz w:val="22"/>
          <w:szCs w:val="22"/>
          <w:rtl/>
        </w:rPr>
        <w:t xml:space="preserve"> שהיו רד"ו שנה - עשר פעמים אקיק, והיו ראוין להיות עוד קץ שנה מסט' דידה - עשר פעמים מילוי מ"ה גי' חוה, והשלים הקב"ה עם קושי השיעבוד שהיא נקראת עבודה:</w:t>
      </w:r>
    </w:p>
  </w:footnote>
  <w:footnote w:id="639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סוף פסק כו'.</w:t>
      </w:r>
      <w:r w:rsidRPr="00BD5E91">
        <w:rPr>
          <w:sz w:val="22"/>
          <w:szCs w:val="22"/>
          <w:rtl/>
        </w:rPr>
        <w:t xml:space="preserve"> ר"ל מה שפוסקין הלכה כפלוני סוף כל השקלא וטריא:</w:t>
      </w:r>
    </w:p>
  </w:footnote>
  <w:footnote w:id="639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ובחיבורא דאת כו'.</w:t>
      </w:r>
      <w:r w:rsidRPr="00BD5E91">
        <w:rPr>
          <w:sz w:val="22"/>
          <w:szCs w:val="22"/>
          <w:rtl/>
        </w:rPr>
        <w:t xml:space="preserve"> לכך במקרא מסטרא דו' נקראת סוף פסוק והכל לפי שנקראת קץ כנ"ל:</w:t>
      </w:r>
    </w:p>
  </w:footnote>
  <w:footnote w:id="639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איהי פסק כליל כו'.</w:t>
      </w:r>
      <w:r w:rsidRPr="00BD5E91">
        <w:rPr>
          <w:sz w:val="22"/>
          <w:szCs w:val="22"/>
          <w:rtl/>
        </w:rPr>
        <w:t xml:space="preserve"> ר"ל שהיא נקראת פסק ג"כ כמש"ו דשאלה כו' הכל מסטרהא:</w:t>
      </w:r>
    </w:p>
  </w:footnote>
  <w:footnote w:id="640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אורייתא דבע"פ כו'. </w:t>
      </w:r>
      <w:r w:rsidRPr="00BD5E91">
        <w:rPr>
          <w:sz w:val="22"/>
          <w:szCs w:val="22"/>
          <w:rtl/>
        </w:rPr>
        <w:t>ר"ל ולפיכך כל הענינים הכל מסטרהא והוא ראיה שנקראת פסק, וסוף פסוק, והיא הקץ:</w:t>
      </w:r>
    </w:p>
  </w:footnote>
  <w:footnote w:id="640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ואיהי משמעתא כו'.</w:t>
      </w:r>
      <w:r w:rsidRPr="00BD5E91">
        <w:rPr>
          <w:sz w:val="22"/>
          <w:szCs w:val="22"/>
          <w:rtl/>
        </w:rPr>
        <w:t xml:space="preserve"> חסר כאן עוד ב' דברים שחשיב לקמן: סייעתא ג"ש:</w:t>
      </w:r>
    </w:p>
  </w:footnote>
  <w:footnote w:id="640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*ברכה.</w:t>
      </w:r>
      <w:r w:rsidRPr="00BD5E91">
        <w:rPr>
          <w:sz w:val="22"/>
          <w:szCs w:val="22"/>
          <w:rtl/>
        </w:rPr>
        <w:t xml:space="preserve"> צ"ל צריכה וכן הוא בת"ז:</w:t>
      </w:r>
    </w:p>
  </w:footnote>
  <w:footnote w:id="640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דבה חכם.</w:t>
      </w:r>
      <w:r w:rsidRPr="00BD5E91">
        <w:rPr>
          <w:sz w:val="22"/>
          <w:szCs w:val="22"/>
          <w:rtl/>
        </w:rPr>
        <w:t xml:space="preserve"> ר"ל מסטרא דחכמה תתאה:</w:t>
      </w:r>
    </w:p>
  </w:footnote>
  <w:footnote w:id="640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כהלכה.</w:t>
      </w:r>
      <w:r w:rsidRPr="00BD5E91">
        <w:rPr>
          <w:sz w:val="22"/>
          <w:szCs w:val="22"/>
          <w:rtl/>
        </w:rPr>
        <w:t xml:space="preserve"> והיא שכינה כידוע:</w:t>
      </w:r>
    </w:p>
  </w:footnote>
  <w:footnote w:id="640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ושאלה אשה.</w:t>
      </w:r>
      <w:r w:rsidRPr="00BD5E91">
        <w:rPr>
          <w:sz w:val="22"/>
          <w:szCs w:val="22"/>
          <w:rtl/>
        </w:rPr>
        <w:t xml:space="preserve"> מסטרא דשכינה שנקראת אשה:</w:t>
      </w:r>
    </w:p>
  </w:footnote>
  <w:footnote w:id="640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ובה שאל כו'.</w:t>
      </w:r>
      <w:r w:rsidRPr="00BD5E91">
        <w:rPr>
          <w:sz w:val="22"/>
          <w:szCs w:val="22"/>
          <w:rtl/>
        </w:rPr>
        <w:t xml:space="preserve"> ר"ל שעל ידה ישאל, וראיה - שנאמר ויגדך, והיא הגדה, שעל ידה יגיד לך כמש"ו:</w:t>
      </w:r>
    </w:p>
  </w:footnote>
  <w:footnote w:id="640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דבה הגדתי כו'.</w:t>
      </w:r>
      <w:r w:rsidRPr="00BD5E91">
        <w:rPr>
          <w:sz w:val="22"/>
          <w:szCs w:val="22"/>
          <w:rtl/>
        </w:rPr>
        <w:t xml:space="preserve"> ר"ל שה' אלקיך הוא השכינה:</w:t>
      </w:r>
    </w:p>
  </w:footnote>
  <w:footnote w:id="640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שאל כו'.</w:t>
      </w:r>
      <w:r w:rsidRPr="00BD5E91">
        <w:rPr>
          <w:sz w:val="22"/>
          <w:szCs w:val="22"/>
          <w:rtl/>
        </w:rPr>
        <w:t xml:space="preserve"> ר"ל ואתנה בה' ומצדה נחלה:</w:t>
      </w:r>
    </w:p>
  </w:footnote>
  <w:footnote w:id="640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ובה תקינו כו'.</w:t>
      </w:r>
      <w:r w:rsidRPr="00BD5E91">
        <w:rPr>
          <w:sz w:val="22"/>
          <w:szCs w:val="22"/>
          <w:rtl/>
        </w:rPr>
        <w:t xml:space="preserve"> כידוע:</w:t>
      </w:r>
    </w:p>
  </w:footnote>
  <w:footnote w:id="641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קבלה דבה עבדא כו'.</w:t>
      </w:r>
      <w:r w:rsidRPr="00BD5E91">
        <w:rPr>
          <w:sz w:val="22"/>
          <w:szCs w:val="22"/>
          <w:rtl/>
        </w:rPr>
        <w:t xml:space="preserve"> דנקראת קבלה מסט' דצדיק כמש"ו ועבדא כו' הוא בדרגא דצדיק וע"י התפלה בחול כידוע, ובשבת ע"י יסוד, ואותן דמצלין ע"מ לקבל פרס הם בדרגא דעבד ונקראין חול אבל מתוך דחילו ורחימו נקראו בנים לזו"נ ע"י יסוד ונקראין שבת שהוא יסוד באצילות וז"ש וביה כו' אבל כו':</w:t>
      </w:r>
    </w:p>
  </w:footnote>
  <w:footnote w:id="641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דאיהו חכמה.</w:t>
      </w:r>
      <w:r w:rsidRPr="00BD5E91">
        <w:rPr>
          <w:sz w:val="22"/>
          <w:szCs w:val="22"/>
          <w:rtl/>
        </w:rPr>
        <w:t xml:space="preserve"> כמ"ש לעיל דע"ג דבמרכבתא עילאה אדם חכמה כו' שור גבורה:</w:t>
      </w:r>
    </w:p>
  </w:footnote>
  <w:footnote w:id="641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ובג"ד כו' משור פר.</w:t>
      </w:r>
      <w:r w:rsidRPr="00BD5E91">
        <w:rPr>
          <w:sz w:val="22"/>
          <w:szCs w:val="22"/>
          <w:rtl/>
        </w:rPr>
        <w:t xml:space="preserve"> ר"ל דפר הוא גבורה כידוע פ"ר גבורות מנצפ"ך:</w:t>
      </w:r>
    </w:p>
  </w:footnote>
  <w:footnote w:id="641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ואיהו ממנא כו'.</w:t>
      </w:r>
      <w:r w:rsidRPr="00BD5E91">
        <w:rPr>
          <w:sz w:val="22"/>
          <w:szCs w:val="22"/>
          <w:rtl/>
        </w:rPr>
        <w:t xml:space="preserve"> ר"ל שאמרו (משנה ב"ק ד ז) שור המדבר שמסט' חורבה כמ"ש לעיל:</w:t>
      </w:r>
    </w:p>
  </w:footnote>
  <w:footnote w:id="641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וביה ספק כו'.</w:t>
      </w:r>
      <w:r w:rsidRPr="00BD5E91">
        <w:rPr>
          <w:sz w:val="22"/>
          <w:szCs w:val="22"/>
          <w:rtl/>
        </w:rPr>
        <w:t xml:space="preserve"> דשם מזוני כידוע וכה"א (משלי יד ד) ורב תבואת כו':</w:t>
      </w:r>
    </w:p>
  </w:footnote>
  <w:footnote w:id="641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ומתמן כו' הצרכה.</w:t>
      </w:r>
      <w:r w:rsidRPr="00BD5E91">
        <w:rPr>
          <w:sz w:val="22"/>
          <w:szCs w:val="22"/>
          <w:rtl/>
        </w:rPr>
        <w:t xml:space="preserve"> שספק צרכיהון כנ"ל:</w:t>
      </w:r>
    </w:p>
  </w:footnote>
  <w:footnote w:id="641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ומניה.</w:t>
      </w:r>
      <w:r w:rsidRPr="00BD5E91">
        <w:rPr>
          <w:sz w:val="22"/>
          <w:szCs w:val="22"/>
          <w:rtl/>
        </w:rPr>
        <w:t xml:space="preserve"> ר"ל מגבורה:</w:t>
      </w:r>
    </w:p>
  </w:footnote>
  <w:footnote w:id="641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אתקריאת פסק.</w:t>
      </w:r>
      <w:r w:rsidRPr="00BD5E91">
        <w:rPr>
          <w:sz w:val="22"/>
          <w:szCs w:val="22"/>
          <w:rtl/>
        </w:rPr>
        <w:t xml:space="preserve"> כמש"ו ומתמן כו':</w:t>
      </w:r>
    </w:p>
  </w:footnote>
  <w:footnote w:id="641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ומתמן לאוי דינין.</w:t>
      </w:r>
      <w:r w:rsidRPr="00BD5E91">
        <w:rPr>
          <w:sz w:val="22"/>
          <w:szCs w:val="22"/>
          <w:rtl/>
        </w:rPr>
        <w:t xml:space="preserve"> ר"ל שאמרו לא כמ"ש והולך של"ת מסטריה כידוע וז"ש. לא צריכא. והוא ראיה שצריכא משם:</w:t>
      </w:r>
    </w:p>
  </w:footnote>
  <w:footnote w:id="641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ובג"ד כו'.</w:t>
      </w:r>
      <w:r w:rsidRPr="00BD5E91">
        <w:rPr>
          <w:sz w:val="22"/>
          <w:szCs w:val="22"/>
          <w:rtl/>
        </w:rPr>
        <w:t xml:space="preserve"> ר"ל שצריך לכל אדם שיכיר כל מדה שבה וידע כל ענין היאך הוא בה כמש"ו:</w:t>
      </w:r>
    </w:p>
  </w:footnote>
  <w:footnote w:id="642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דיהא בה שואל כו'.</w:t>
      </w:r>
      <w:r w:rsidRPr="00BD5E91">
        <w:rPr>
          <w:sz w:val="22"/>
          <w:szCs w:val="22"/>
          <w:rtl/>
        </w:rPr>
        <w:t xml:space="preserve"> ר"ל שיהא הכל על ידה ואז כל רז כו' כמ"ש כל העוסק בתורה לשמה זוכה כו' לשמה לשם ה':</w:t>
      </w:r>
    </w:p>
  </w:footnote>
  <w:footnote w:id="642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וצריך לאחזרא כו'.</w:t>
      </w:r>
      <w:r w:rsidRPr="00BD5E91">
        <w:rPr>
          <w:sz w:val="22"/>
          <w:szCs w:val="22"/>
          <w:rtl/>
        </w:rPr>
        <w:t xml:space="preserve"> ר"ל כמ"ש (אבות ה כב) הפוך בה והפוך בה דכולא בה כו'. והוא כמ"ש לעיל שהיא כלולה מכל המדות:</w:t>
      </w:r>
    </w:p>
  </w:footnote>
  <w:footnote w:id="642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דאיהו אל.</w:t>
      </w:r>
      <w:r w:rsidRPr="00BD5E91">
        <w:rPr>
          <w:sz w:val="22"/>
          <w:szCs w:val="22"/>
          <w:rtl/>
        </w:rPr>
        <w:t xml:space="preserve"> ר"ל שבתיבת שאלה אותיות אל, ואל הוא מימינא כמש"ו. הקל הגדול:</w:t>
      </w:r>
    </w:p>
  </w:footnote>
  <w:footnote w:id="642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דתמן חכמה ומתמן כו'.</w:t>
      </w:r>
      <w:r w:rsidRPr="00BD5E91">
        <w:rPr>
          <w:sz w:val="22"/>
          <w:szCs w:val="22"/>
          <w:rtl/>
        </w:rPr>
        <w:t xml:space="preserve"> ראיה הוא דשאלא מימינא, דשם בחסד שורה חכמה כמ"ש לעיל הרוצה כו' ומתמן שאיל כו':</w:t>
      </w:r>
    </w:p>
  </w:footnote>
  <w:footnote w:id="642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ומתמן תניא כו'.</w:t>
      </w:r>
      <w:r w:rsidRPr="00BD5E91">
        <w:rPr>
          <w:sz w:val="22"/>
          <w:szCs w:val="22"/>
          <w:rtl/>
        </w:rPr>
        <w:t xml:space="preserve"> ר"ל דתניא ל' נתן וז"ש וה' נתן כו':</w:t>
      </w:r>
    </w:p>
  </w:footnote>
  <w:footnote w:id="642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מאי תניא כו'.</w:t>
      </w:r>
      <w:r w:rsidRPr="00BD5E91">
        <w:rPr>
          <w:sz w:val="22"/>
          <w:szCs w:val="22"/>
          <w:rtl/>
        </w:rPr>
        <w:t xml:space="preserve"> שנא' וה' - עד"א, נתן - מסט' דחסד:</w:t>
      </w:r>
    </w:p>
  </w:footnote>
  <w:footnote w:id="642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ומתמן אתקריאת כו'.</w:t>
      </w:r>
      <w:r w:rsidRPr="00BD5E91">
        <w:rPr>
          <w:sz w:val="22"/>
          <w:szCs w:val="22"/>
          <w:rtl/>
        </w:rPr>
        <w:t xml:space="preserve"> ר"ל מעד"א:</w:t>
      </w:r>
    </w:p>
  </w:footnote>
  <w:footnote w:id="642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משמעתא כו'.</w:t>
      </w:r>
      <w:r w:rsidRPr="00BD5E91">
        <w:rPr>
          <w:sz w:val="22"/>
          <w:szCs w:val="22"/>
          <w:rtl/>
        </w:rPr>
        <w:t xml:space="preserve"> ר"ל מעד"א כד נטיל משמאלא כמש"ו:</w:t>
      </w:r>
    </w:p>
  </w:footnote>
  <w:footnote w:id="642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דארבע אינון תקינין דהלכה כו'.</w:t>
      </w:r>
      <w:r w:rsidRPr="00BD5E91">
        <w:rPr>
          <w:sz w:val="22"/>
          <w:szCs w:val="22"/>
          <w:rtl/>
        </w:rPr>
        <w:t xml:space="preserve"> ר"ל ד' תקונין הן עיקר, ושאר - כלולין בהם, שהן ד' אותיות הוי"ה כמש"ו והן רמיזין באדם בראש, וכנגדן ד' דברים בגוף - ד' אותיות אדנ"י. ותקוני הראש שהן בפנים הן ד' אנפין שהם ד' אותות הויה כמ"ש לעיל דף ע"ג, ובגוף הן ד' גדפין שזרועו' ורגלים וכן הגוף כולם הם גדפין כמ"ש לעיל שם ד' אותות אדנ"י כמ"ש שם והן כסדר כמש"ו עינים ואזנים וחוטם ופה בראש. ובגוף ידים וגוף וברית ורגלים, והן בפרטות שבעה ושבעה, ועלייהו נאמר (זכריה ד ב) שבעה ושבעה כו', ששבעה נקבים שבראש הן ז' נרות כמ"ש בהת"ז והן י"ד אתוון דשמא מפרש עם הוי"ה פשוטה כמ"ש לעיל. וכן, הן עשר בראש ועשר בגוף כמש"ו מצד התכללותם באחוריים י' י"ה כו' והן עשרים אותיות נגד עשרים תקונים הלכה הנ"ל שאלה כו':</w:t>
      </w:r>
    </w:p>
  </w:footnote>
  <w:footnote w:id="642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אית דאמרי כו'.</w:t>
      </w:r>
      <w:r w:rsidRPr="00BD5E91">
        <w:rPr>
          <w:sz w:val="22"/>
          <w:szCs w:val="22"/>
          <w:rtl/>
        </w:rPr>
        <w:t xml:space="preserve"> ולפ"ז הסדר: משוש תנועה שמוש הילוך:</w:t>
      </w:r>
    </w:p>
  </w:footnote>
  <w:footnote w:id="643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ראיה כו'.</w:t>
      </w:r>
      <w:r w:rsidRPr="00BD5E91">
        <w:rPr>
          <w:sz w:val="22"/>
          <w:szCs w:val="22"/>
          <w:rtl/>
        </w:rPr>
        <w:t xml:space="preserve"> שראיה אותיות ארי"ה כמש"ו:</w:t>
      </w:r>
    </w:p>
  </w:footnote>
  <w:footnote w:id="643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תוספת י' תניינא.</w:t>
      </w:r>
      <w:r w:rsidRPr="00BD5E91">
        <w:rPr>
          <w:sz w:val="22"/>
          <w:szCs w:val="22"/>
          <w:rtl/>
        </w:rPr>
        <w:t xml:space="preserve"> ר"ל שראייה הוא בשני יודין, שהשורש הוא ראה, י"ה באין לשימוש, כמו שמיעה שהשורש שמע. וה' של ראה נתחלף ביו"ד לכך צריך ב' יודין. והוא ראיה של הלכה שאמרו וראיה לדבר:</w:t>
      </w:r>
    </w:p>
  </w:footnote>
  <w:footnote w:id="643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ומתמן ראובן.</w:t>
      </w:r>
      <w:r w:rsidRPr="00BD5E91">
        <w:rPr>
          <w:sz w:val="22"/>
          <w:szCs w:val="22"/>
          <w:rtl/>
        </w:rPr>
        <w:t xml:space="preserve"> כידוע שששה בניה של לאה הן בז"ס התחתונות של מלכות, ראובן שמעון לוי יהודה - חגת"ם שהן ד' תקונין דהלכה והן ד' אותות הנ"ל. יששכר זבולון - נו"ה. ובניה של רחל: יוסף - יסוד דדכורא, בנימין - יסוד דנוקבא. ולכן יוסף לא נמנה בין השבטים כמ"ש בזוהר שהוא מן השבעה רועים ולכן נקראין שניהם צדיקים יוסף הצדיק בנימין הצדיק ולכן בחלק יהודה ובנימין בה"מ יסוד ומלכות ציון וירושלים. ד' בני השפחות הן בד' פרקים התחתונים של הרגלים (שמנשה ואפרים הן בשני פרקים העליונים סמוך ליהודה בנימין) ועל יהודה נאמר אבן מאסו כו' שהוא מלכות דידה כידוע לראש פנה שמלך על אחיו וממנו יצאה המלוכה מסט' דמלכות דוד:</w:t>
      </w:r>
    </w:p>
  </w:footnote>
  <w:footnote w:id="643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אור בן כו'.</w:t>
      </w:r>
      <w:r w:rsidRPr="00BD5E91">
        <w:rPr>
          <w:sz w:val="22"/>
          <w:szCs w:val="22"/>
          <w:rtl/>
        </w:rPr>
        <w:t xml:space="preserve"> ר"ל אור חסד של ו"ק שנקרא בן ומשם מתחילין ו"ק:</w:t>
      </w:r>
    </w:p>
  </w:footnote>
  <w:footnote w:id="643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אור כו'.</w:t>
      </w:r>
      <w:r w:rsidRPr="00BD5E91">
        <w:rPr>
          <w:sz w:val="22"/>
          <w:szCs w:val="22"/>
          <w:rtl/>
        </w:rPr>
        <w:t xml:space="preserve"> וממנו בא הראיה: </w:t>
      </w:r>
    </w:p>
  </w:footnote>
  <w:footnote w:id="643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דאיהו שמיעה.</w:t>
      </w:r>
      <w:r w:rsidRPr="00BD5E91">
        <w:rPr>
          <w:sz w:val="22"/>
          <w:szCs w:val="22"/>
          <w:rtl/>
        </w:rPr>
        <w:t xml:space="preserve"> כמש"ו:</w:t>
      </w:r>
      <w:r w:rsidRPr="00BD5E91">
        <w:rPr>
          <w:b/>
          <w:bCs/>
          <w:sz w:val="22"/>
          <w:szCs w:val="22"/>
          <w:rtl/>
        </w:rPr>
        <w:t xml:space="preserve"> </w:t>
      </w:r>
    </w:p>
  </w:footnote>
  <w:footnote w:id="643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בלילה.</w:t>
      </w:r>
      <w:r w:rsidRPr="00BD5E91">
        <w:rPr>
          <w:sz w:val="22"/>
          <w:szCs w:val="22"/>
          <w:rtl/>
        </w:rPr>
        <w:t xml:space="preserve"> ר"ל דראיה הוא באור ביום אבל שמיעה בלילה שולט יותר כידוע כמ"ש (יומא כ ע"ב) מפני קול גלגל חמה כו' וחו"ג הן יום ולילה אור וחשך ולכן ראיה בחסד ושמיעה בגבורה:</w:t>
      </w:r>
    </w:p>
  </w:footnote>
  <w:footnote w:id="643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חמשין כו'.</w:t>
      </w:r>
      <w:r w:rsidRPr="00BD5E91">
        <w:rPr>
          <w:sz w:val="22"/>
          <w:szCs w:val="22"/>
          <w:rtl/>
        </w:rPr>
        <w:t xml:space="preserve"> שהן בבינה כידוע ונאמר שמע כו':</w:t>
      </w:r>
    </w:p>
  </w:footnote>
  <w:footnote w:id="643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ובג"ד תקינו כו'.</w:t>
      </w:r>
      <w:r w:rsidRPr="00BD5E91">
        <w:rPr>
          <w:sz w:val="22"/>
          <w:szCs w:val="22"/>
          <w:rtl/>
        </w:rPr>
        <w:t xml:space="preserve"> כמ"ש לעיל כ"ה עילאה כ"ה תתאה:</w:t>
      </w:r>
    </w:p>
  </w:footnote>
  <w:footnote w:id="643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ובגינה כו'.</w:t>
      </w:r>
      <w:r w:rsidRPr="00BD5E91">
        <w:rPr>
          <w:sz w:val="22"/>
          <w:szCs w:val="22"/>
          <w:rtl/>
        </w:rPr>
        <w:t xml:space="preserve"> יראתי ואמרו כו'. ר"ל בינה:</w:t>
      </w:r>
    </w:p>
  </w:footnote>
  <w:footnote w:id="644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ובגינה אמר הטה כו'.</w:t>
      </w:r>
      <w:r w:rsidRPr="00BD5E91">
        <w:rPr>
          <w:sz w:val="22"/>
          <w:szCs w:val="22"/>
          <w:rtl/>
        </w:rPr>
        <w:t xml:space="preserve"> ר"ל הטה האם להיות רובצת על הבנים ואז ושמע:</w:t>
      </w:r>
    </w:p>
  </w:footnote>
  <w:footnote w:id="644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דתמן.</w:t>
      </w:r>
      <w:r w:rsidRPr="00BD5E91">
        <w:rPr>
          <w:sz w:val="22"/>
          <w:szCs w:val="22"/>
          <w:rtl/>
        </w:rPr>
        <w:t xml:space="preserve"> יראה בגבורה כידוע והוא גי' רי"ו גבורה וזהו ע"ב רי"ו כמ"ש לעיל חו"ג:</w:t>
      </w:r>
    </w:p>
  </w:footnote>
  <w:footnote w:id="644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וביה איהי כו'.</w:t>
      </w:r>
      <w:r w:rsidRPr="00BD5E91">
        <w:rPr>
          <w:sz w:val="22"/>
          <w:szCs w:val="22"/>
          <w:rtl/>
        </w:rPr>
        <w:t xml:space="preserve"> ר"ל כי ריח הוא ברוח חיים באפיו אוירא דנשיב באפא שבו באויר פרחא נשרא וכן הד' תיקונין הן ד' יסודות מים אש רוח עפר שהן בד' אותיות השם כידוע עינים מוחא מים וז"ש מי יתן ראשי כו' ואזנים מלבא כמ"ש לעיל הבינותי מיבעי ליה הלב מבין ששם בלבא אשא. בחוטם אוירא ידוע. פה מאנא דכלהו כלילן בה וע"ז נאמר יתן בעפר פיהו כמ"ש לעיל ורננו שכני עפר:</w:t>
      </w:r>
    </w:p>
  </w:footnote>
  <w:footnote w:id="644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פרחא נשרא.</w:t>
      </w:r>
      <w:r w:rsidRPr="00BD5E91">
        <w:rPr>
          <w:sz w:val="22"/>
          <w:szCs w:val="22"/>
          <w:rtl/>
        </w:rPr>
        <w:t xml:space="preserve"> וכן נשמת רוח חיים באפיו פרחה בכל לילא כמ"ש לעיל מסט' דנשר:</w:t>
      </w:r>
    </w:p>
  </w:footnote>
  <w:footnote w:id="644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בשמים.</w:t>
      </w:r>
      <w:r w:rsidRPr="00BD5E91">
        <w:rPr>
          <w:sz w:val="22"/>
          <w:szCs w:val="22"/>
          <w:rtl/>
        </w:rPr>
        <w:t xml:space="preserve"> שהוא ו' של השם עד"א וז"ש ומתמן כו' ותקון דהלכה הוא סייעתא שהוא ג"כ חיבורא והוא מסט' דעד"א כנ"ל סייעתא דשמיא דרך הנשר בשמים:</w:t>
      </w:r>
    </w:p>
  </w:footnote>
  <w:footnote w:id="644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דבור ודמות כו'.</w:t>
      </w:r>
      <w:r w:rsidRPr="00BD5E91">
        <w:rPr>
          <w:sz w:val="22"/>
          <w:szCs w:val="22"/>
          <w:rtl/>
        </w:rPr>
        <w:t xml:space="preserve"> שהן חיון והיא דמות אדם כידוע והשלמת גדר האדם שהוא מדבר:</w:t>
      </w:r>
    </w:p>
  </w:footnote>
  <w:footnote w:id="644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בה אודה כו'.</w:t>
      </w:r>
      <w:r w:rsidRPr="00BD5E91">
        <w:rPr>
          <w:sz w:val="22"/>
          <w:szCs w:val="22"/>
          <w:rtl/>
        </w:rPr>
        <w:t xml:space="preserve"> מביא ראיה שיהודה שנקרא ע"ש אודה כו' והיא אתקריאת תושבחתא כנ"ל:</w:t>
      </w:r>
    </w:p>
  </w:footnote>
  <w:footnote w:id="644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ומתמן כו'.</w:t>
      </w:r>
      <w:r w:rsidRPr="00BD5E91">
        <w:rPr>
          <w:sz w:val="22"/>
          <w:szCs w:val="22"/>
          <w:rtl/>
        </w:rPr>
        <w:t xml:space="preserve"> דאגדה לדבור:</w:t>
      </w:r>
    </w:p>
  </w:footnote>
  <w:footnote w:id="644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ויגד יעקב לרחל.</w:t>
      </w:r>
      <w:r w:rsidRPr="00BD5E91">
        <w:rPr>
          <w:sz w:val="22"/>
          <w:szCs w:val="22"/>
          <w:rtl/>
        </w:rPr>
        <w:t xml:space="preserve"> כמ"ש לעיל שאל אביך ויגדך על ידה:</w:t>
      </w:r>
    </w:p>
  </w:footnote>
  <w:footnote w:id="644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ואינון תרין כו'.</w:t>
      </w:r>
      <w:r w:rsidRPr="00BD5E91">
        <w:rPr>
          <w:sz w:val="22"/>
          <w:szCs w:val="22"/>
          <w:rtl/>
        </w:rPr>
        <w:t xml:space="preserve"> ר"ל לכך יעקב לרחל, א' מסט' דחכמה עילאה ביעקב וא' לרחל חכמה תתאה כי כל הגדה הוא לשון חכמה כמ"ש בזוהר:</w:t>
      </w:r>
    </w:p>
  </w:footnote>
  <w:footnote w:id="645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ויגד לך כו'.</w:t>
      </w:r>
      <w:r w:rsidRPr="00BD5E91">
        <w:rPr>
          <w:sz w:val="22"/>
          <w:szCs w:val="22"/>
          <w:rtl/>
        </w:rPr>
        <w:t xml:space="preserve"> מביא ראיה שהגדה הוא בשני חכמות הנ"ל ושניהן נקראו אדם כמש"ו דמתתא כו' וחכמה עילאה כו' וזהו ראיה שהגדה הוא דמות אדם:</w:t>
      </w:r>
    </w:p>
  </w:footnote>
  <w:footnote w:id="645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פיה פתחה בחכמה.</w:t>
      </w:r>
      <w:r w:rsidRPr="00BD5E91">
        <w:rPr>
          <w:sz w:val="22"/>
          <w:szCs w:val="22"/>
          <w:rtl/>
        </w:rPr>
        <w:t xml:space="preserve"> הוא ראיה שחכמה דמות אדם הוא בפיה דבור:</w:t>
      </w:r>
    </w:p>
  </w:footnote>
  <w:footnote w:id="645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אדם כליל בין תרווייהו.</w:t>
      </w:r>
      <w:r w:rsidRPr="00BD5E91">
        <w:rPr>
          <w:sz w:val="22"/>
          <w:szCs w:val="22"/>
          <w:rtl/>
        </w:rPr>
        <w:t xml:space="preserve"> וזהו ויגד חכמה עילאה לרחל חכמה תתאה יעקב בין תרווייהו:</w:t>
      </w:r>
    </w:p>
  </w:footnote>
  <w:footnote w:id="645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שיטה כו'.</w:t>
      </w:r>
      <w:r w:rsidRPr="00BD5E91">
        <w:rPr>
          <w:sz w:val="22"/>
          <w:szCs w:val="22"/>
          <w:rtl/>
        </w:rPr>
        <w:t xml:space="preserve"> ר"ל מל' פשוטה:</w:t>
      </w:r>
    </w:p>
  </w:footnote>
  <w:footnote w:id="645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תקיעה כו'.</w:t>
      </w:r>
      <w:r w:rsidRPr="00BD5E91">
        <w:rPr>
          <w:sz w:val="22"/>
          <w:szCs w:val="22"/>
          <w:rtl/>
        </w:rPr>
        <w:t>שתש"ר הן בחג"ת:</w:t>
      </w:r>
    </w:p>
  </w:footnote>
  <w:footnote w:id="645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דלית תמן קושיא.</w:t>
      </w:r>
      <w:r w:rsidRPr="00BD5E91">
        <w:rPr>
          <w:sz w:val="22"/>
          <w:szCs w:val="22"/>
          <w:rtl/>
        </w:rPr>
        <w:t xml:space="preserve"> ר"ל בשיטה שאמר בשיטת פלוני:</w:t>
      </w:r>
    </w:p>
  </w:footnote>
  <w:footnote w:id="645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וכד חזו כו'.</w:t>
      </w:r>
      <w:r w:rsidRPr="00BD5E91">
        <w:rPr>
          <w:sz w:val="22"/>
          <w:szCs w:val="22"/>
          <w:rtl/>
        </w:rPr>
        <w:t xml:space="preserve"> ר"ל לכך תקיעה פשוטה לפניה ולאחריה מימין ושמאל:</w:t>
      </w:r>
    </w:p>
  </w:footnote>
  <w:footnote w:id="645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דאיהו ו"ה כו'.</w:t>
      </w:r>
      <w:r w:rsidRPr="00BD5E91">
        <w:rPr>
          <w:sz w:val="22"/>
          <w:szCs w:val="22"/>
          <w:rtl/>
        </w:rPr>
        <w:t xml:space="preserve"> כמ"ש בהת"ז די"ה הוא משמאלא ו"ה מימינא ע"ש:</w:t>
      </w:r>
    </w:p>
  </w:footnote>
  <w:footnote w:id="645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ו"ה עם זכרי.</w:t>
      </w:r>
      <w:r w:rsidRPr="00BD5E91">
        <w:rPr>
          <w:sz w:val="22"/>
          <w:szCs w:val="22"/>
          <w:rtl/>
        </w:rPr>
        <w:t xml:space="preserve"> ו"ה הוא ר"ת וס"ת של וזה ז' באמצע ז"ס של ו"ה זו"ן:</w:t>
      </w:r>
    </w:p>
  </w:footnote>
  <w:footnote w:id="645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רמ"ח מסט' כו'.</w:t>
      </w:r>
      <w:r w:rsidRPr="00BD5E91">
        <w:rPr>
          <w:sz w:val="22"/>
          <w:szCs w:val="22"/>
          <w:rtl/>
        </w:rPr>
        <w:t xml:space="preserve"> ר"ל אברהם גי' רמ"ח:</w:t>
      </w:r>
    </w:p>
  </w:footnote>
  <w:footnote w:id="646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כמה דאוקמוה ואהבת כו'.</w:t>
      </w:r>
      <w:r w:rsidRPr="00BD5E91">
        <w:rPr>
          <w:sz w:val="22"/>
          <w:szCs w:val="22"/>
          <w:rtl/>
        </w:rPr>
        <w:t xml:space="preserve"> הוא אברהם אוהבי:</w:t>
      </w:r>
    </w:p>
  </w:footnote>
  <w:footnote w:id="646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עם י"ה.</w:t>
      </w:r>
      <w:r w:rsidRPr="00BD5E91">
        <w:rPr>
          <w:sz w:val="22"/>
          <w:szCs w:val="22"/>
          <w:rtl/>
        </w:rPr>
        <w:t xml:space="preserve"> ס"ת זה שמי:</w:t>
      </w:r>
    </w:p>
  </w:footnote>
  <w:footnote w:id="646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והאי איהו כו'.</w:t>
      </w:r>
      <w:r w:rsidRPr="00BD5E91">
        <w:rPr>
          <w:sz w:val="22"/>
          <w:szCs w:val="22"/>
          <w:rtl/>
        </w:rPr>
        <w:t xml:space="preserve"> ר"ל בעבודה קשה בחומר משמאלא שהוא חומר וקשיא:</w:t>
      </w:r>
    </w:p>
  </w:footnote>
  <w:footnote w:id="646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בלבנים.</w:t>
      </w:r>
      <w:r w:rsidRPr="00BD5E91">
        <w:rPr>
          <w:sz w:val="22"/>
          <w:szCs w:val="22"/>
          <w:rtl/>
        </w:rPr>
        <w:t xml:space="preserve"> מימינא כמש"ו בליבון הלכה שהוא קל ולבן מסט' דחסד:</w:t>
      </w:r>
    </w:p>
  </w:footnote>
  <w:footnote w:id="646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ובכל כו'.</w:t>
      </w:r>
      <w:r w:rsidRPr="00BD5E91">
        <w:rPr>
          <w:sz w:val="22"/>
          <w:szCs w:val="22"/>
          <w:rtl/>
        </w:rPr>
        <w:t xml:space="preserve"> ג"ש שהוא כל כו' שכולל שניהם כנ"ל:</w:t>
      </w:r>
    </w:p>
  </w:footnote>
  <w:footnote w:id="646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חומרא משמאלא דתמן כו'.</w:t>
      </w:r>
      <w:r w:rsidRPr="00BD5E91">
        <w:rPr>
          <w:sz w:val="22"/>
          <w:szCs w:val="22"/>
          <w:rtl/>
        </w:rPr>
        <w:t xml:space="preserve"> ר"ל שכל ל"ת הכל בשבילו שלא יכנס לקדש כידוע והוא נקרא חומרא כמש"ו:</w:t>
      </w:r>
    </w:p>
  </w:footnote>
  <w:footnote w:id="646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חומר מים.</w:t>
      </w:r>
      <w:r w:rsidRPr="00BD5E91">
        <w:rPr>
          <w:sz w:val="22"/>
          <w:szCs w:val="22"/>
          <w:rtl/>
        </w:rPr>
        <w:t xml:space="preserve"> ר"ל דסט' דימינא נקרא מים וס"א מסט' דימינא נקרא מים הזידונים:</w:t>
      </w:r>
    </w:p>
  </w:footnote>
  <w:footnote w:id="646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דתמן שור כו'.</w:t>
      </w:r>
      <w:r w:rsidRPr="00BD5E91">
        <w:rPr>
          <w:sz w:val="22"/>
          <w:szCs w:val="22"/>
          <w:rtl/>
        </w:rPr>
        <w:t xml:space="preserve"> מסט' דשור בשמאלא כנ"ל ושור דקדושה נקרא שור תם:</w:t>
      </w:r>
    </w:p>
  </w:footnote>
  <w:footnote w:id="646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דאיהו אבי אבות.</w:t>
      </w:r>
      <w:r w:rsidRPr="00BD5E91">
        <w:rPr>
          <w:sz w:val="22"/>
          <w:szCs w:val="22"/>
          <w:rtl/>
        </w:rPr>
        <w:t xml:space="preserve"> דארבע אבות נזיקין והוא ראש לכולם כמ"ש השור והבור כו':</w:t>
      </w:r>
    </w:p>
  </w:footnote>
  <w:footnote w:id="646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איהו אש כו'.</w:t>
      </w:r>
      <w:r w:rsidRPr="00BD5E91">
        <w:rPr>
          <w:sz w:val="22"/>
          <w:szCs w:val="22"/>
          <w:rtl/>
        </w:rPr>
        <w:t xml:space="preserve"> ר"ל דנזיקין הוא גיהנם וכל ארבע אבות שם. הבור בור שחת כמ"ש (שבת כב ע"א) מים אין שם אבל כו'. אש ידוע. מבעה אדם בליעל, ושור ראש לכולם כמ"ש בזוהר בלק כלחוך השור שהוא ממונה דגיהנם את כו' הנשמות ע"ש. ור"ל אש דגיהנם אש משמאלא. וז"ש (ברכות ג ע"א) משמרה ראשונה כו'. דג' משמרות הן נגד חג"ת מימינא משמורה ראשונה חמור נוער כנ"ל. משמרה שנייה כלבים צועקים הב הב שהוא גיהנם שצועק כנ"ל, שלישית נגד ת"ת שם אין אחיזה להם. תינוק מט"ט יונק כו' שהוא נער, ואשה שכינה מספרת ייחוד כו':</w:t>
      </w:r>
    </w:p>
  </w:footnote>
  <w:footnote w:id="647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אבל חמור כו'.</w:t>
      </w:r>
      <w:r w:rsidRPr="00BD5E91">
        <w:rPr>
          <w:sz w:val="22"/>
          <w:szCs w:val="22"/>
          <w:rtl/>
        </w:rPr>
        <w:t xml:space="preserve"> ר"ל א"א הטומאה הוא למעלה בכתרין עילאין שלהם דמפתן לבני נשא ומטמאין אותן וגיהנם למטה שדנין שם וז"ש ובג"ד צריך כו'. וכן מ"ע מימינא חמור, מל"ת משמאלא כידוע:</w:t>
      </w:r>
    </w:p>
  </w:footnote>
  <w:footnote w:id="647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ואיתמר בהון כו'.</w:t>
      </w:r>
      <w:r w:rsidRPr="00BD5E91">
        <w:rPr>
          <w:sz w:val="22"/>
          <w:szCs w:val="22"/>
          <w:rtl/>
        </w:rPr>
        <w:t xml:space="preserve"> שלא תחבר שיהון בפירודא כמש"ו מחלוקת כו':</w:t>
      </w:r>
    </w:p>
  </w:footnote>
  <w:footnote w:id="647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ואיהו שוה כו'.</w:t>
      </w:r>
      <w:r w:rsidRPr="00BD5E91">
        <w:rPr>
          <w:sz w:val="22"/>
          <w:szCs w:val="22"/>
          <w:rtl/>
        </w:rPr>
        <w:t xml:space="preserve"> כמש"ו שהוא יחודא דילהון ושם משוה המחלוקת ור"ל לכך נקרא ג"ש:</w:t>
      </w:r>
    </w:p>
  </w:footnote>
  <w:footnote w:id="647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הה"ד כי בשדה.</w:t>
      </w:r>
      <w:r w:rsidRPr="00BD5E91">
        <w:rPr>
          <w:sz w:val="22"/>
          <w:szCs w:val="22"/>
          <w:rtl/>
        </w:rPr>
        <w:t xml:space="preserve"> ר"ל לשון ברייתא ושדה היא מסט' דשמאלא כמ"ש יצחק קראה שדה שנאמר ויצא יצחק לשוח בשדה:</w:t>
      </w:r>
    </w:p>
  </w:footnote>
  <w:footnote w:id="647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ומשנה מסט' כו'.</w:t>
      </w:r>
      <w:r w:rsidRPr="00BD5E91">
        <w:rPr>
          <w:sz w:val="22"/>
          <w:szCs w:val="22"/>
          <w:rtl/>
        </w:rPr>
        <w:t xml:space="preserve"> ר"ל שמשנה הוא עד"א, משנה למלך עילאה. וייחודא דיליה ר"ל של ימינא כו'. לכך משנה מימינא:</w:t>
      </w:r>
    </w:p>
  </w:footnote>
  <w:footnote w:id="647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בגין כו'.</w:t>
      </w:r>
      <w:r w:rsidRPr="00BD5E91">
        <w:rPr>
          <w:sz w:val="22"/>
          <w:szCs w:val="22"/>
          <w:rtl/>
        </w:rPr>
        <w:t xml:space="preserve"> ר"ל לכך הן הש"ס שהוא מסט' דע"ה טו"ר להשמר מרע ולהדבק בטוב שהוא מ"ע ומל"ת ולכך הן במשנה וברייתא מימינא ומשמאלא שהן בימינא ושמאלא וז"ש בגין חמור כו' וחמור הוא בש"ס כל איסורים, ושור כל הדינים שהן סדר נזיקין שלכך פתח בשור, ולכך רב שהוא מימינא כמ"ש לעיל הלכה כמותו באיסורי, ושמואל משמאל לכך לא נסמך לא בשם רבי ולא רב ולכך הלכה כמותו בדיני, ור' יוחנן שנק' רבי בעד"א שהוא שוה בין ימינא ושמאלא הלכה כמותו בכל מקום שהוא המכריע:</w:t>
      </w:r>
    </w:p>
  </w:footnote>
  <w:footnote w:id="647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ובגיניה אתמר יש כו'.</w:t>
      </w:r>
      <w:r w:rsidRPr="00BD5E91">
        <w:rPr>
          <w:sz w:val="22"/>
          <w:szCs w:val="22"/>
          <w:rtl/>
        </w:rPr>
        <w:t xml:space="preserve"> כידוע כשהוא משפיע לשכינה משפיעין לו מלמעלה יותר ויותר:</w:t>
      </w:r>
    </w:p>
  </w:footnote>
  <w:footnote w:id="647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ומניה תוספת כו'.</w:t>
      </w:r>
      <w:r w:rsidRPr="00BD5E91">
        <w:rPr>
          <w:sz w:val="22"/>
          <w:szCs w:val="22"/>
          <w:rtl/>
        </w:rPr>
        <w:t xml:space="preserve"> שמניה פרחין נשמתין כמ"ש בת"ז:</w:t>
      </w:r>
      <w:r w:rsidRPr="00BD5E91">
        <w:rPr>
          <w:b/>
          <w:bCs/>
          <w:sz w:val="22"/>
          <w:szCs w:val="22"/>
          <w:rtl/>
        </w:rPr>
        <w:t xml:space="preserve"> </w:t>
      </w:r>
    </w:p>
  </w:footnote>
  <w:footnote w:id="647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ואיהו השבת כו'.</w:t>
      </w:r>
      <w:r w:rsidRPr="00BD5E91">
        <w:rPr>
          <w:sz w:val="22"/>
          <w:szCs w:val="22"/>
          <w:rtl/>
        </w:rPr>
        <w:t xml:space="preserve"> שביעי לבינה והן שבת עילאה שבת תתאה, מלמעלה למטה וממטה למעלה כידוע:</w:t>
      </w:r>
    </w:p>
  </w:footnote>
  <w:footnote w:id="647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תוספת קדושה דקידוש.</w:t>
      </w:r>
      <w:r w:rsidRPr="00BD5E91">
        <w:rPr>
          <w:sz w:val="22"/>
          <w:szCs w:val="22"/>
          <w:rtl/>
        </w:rPr>
        <w:t xml:space="preserve"> קאי למעלה שהוא ג"כ מאכלות של יסוד:</w:t>
      </w:r>
    </w:p>
  </w:footnote>
  <w:footnote w:id="648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עינוג כו'.</w:t>
      </w:r>
      <w:r w:rsidRPr="00BD5E91">
        <w:rPr>
          <w:sz w:val="22"/>
          <w:szCs w:val="22"/>
          <w:rtl/>
        </w:rPr>
        <w:t xml:space="preserve"> קא מפרש עכשיו בעינוגין דלעיל ג' סעודות הוא עונג של יסוד:</w:t>
      </w:r>
    </w:p>
  </w:footnote>
  <w:footnote w:id="648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עלה במחשבה.</w:t>
      </w:r>
      <w:r w:rsidRPr="00BD5E91">
        <w:rPr>
          <w:sz w:val="22"/>
          <w:szCs w:val="22"/>
          <w:rtl/>
        </w:rPr>
        <w:t xml:space="preserve"> עילאה שהוא כ"ע ולפיכך שתוק וזהו תיקו:</w:t>
      </w:r>
    </w:p>
  </w:footnote>
  <w:footnote w:id="648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סבא כו'.</w:t>
      </w:r>
      <w:r w:rsidRPr="00BD5E91">
        <w:rPr>
          <w:sz w:val="22"/>
          <w:szCs w:val="22"/>
          <w:rtl/>
        </w:rPr>
        <w:t xml:space="preserve"> ר"ל אדה"ר שהוא דרגא דחכמה, ישראל סבא וז"ש. מפני שיבה כו'. שהוא קודם לכולם סבא דכולם וז"ש בישראל כו' כידוע בסוד מה שמו חכמה ומה שם בנו עד"א:</w:t>
      </w:r>
    </w:p>
  </w:footnote>
  <w:footnote w:id="648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עד דלית סוף כו'.</w:t>
      </w:r>
      <w:r w:rsidRPr="00BD5E91">
        <w:rPr>
          <w:sz w:val="22"/>
          <w:szCs w:val="22"/>
          <w:rtl/>
        </w:rPr>
        <w:t xml:space="preserve"> כמש"ו שכולל כל הספירות וסליק עד א"ס:</w:t>
      </w:r>
    </w:p>
  </w:footnote>
  <w:footnote w:id="648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עילאין כו'.</w:t>
      </w:r>
      <w:r w:rsidRPr="00BD5E91">
        <w:rPr>
          <w:sz w:val="22"/>
          <w:szCs w:val="22"/>
          <w:rtl/>
        </w:rPr>
        <w:t xml:space="preserve"> כמ"ש (תהלים קד כד) כולם בחכמה עשית וז"ש דאתכלילו וכן אדה"ר כולל כל הנשמות וכל העולמות כידוע:</w:t>
      </w:r>
    </w:p>
  </w:footnote>
  <w:footnote w:id="648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קירטא.</w:t>
      </w:r>
      <w:r w:rsidRPr="00BD5E91">
        <w:rPr>
          <w:sz w:val="22"/>
          <w:szCs w:val="22"/>
          <w:rtl/>
        </w:rPr>
        <w:t xml:space="preserve"> מלכות. אבנין דקירטא ו"ק כמ"ש לקמן. לגבאי כמ"ש לעיל דהא אבנא כו' לגבך כו' ושית אחרנין לגבך כו':</w:t>
      </w:r>
    </w:p>
  </w:footnote>
  <w:footnote w:id="648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לאינון דאזלין באוירא.</w:t>
      </w:r>
      <w:r w:rsidRPr="00BD5E91">
        <w:rPr>
          <w:sz w:val="22"/>
          <w:szCs w:val="22"/>
          <w:rtl/>
        </w:rPr>
        <w:t xml:space="preserve"> הן מלאכים המקבלים התפלות כידוע:</w:t>
      </w:r>
    </w:p>
  </w:footnote>
  <w:footnote w:id="648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מלאכין דאתוון. </w:t>
      </w:r>
      <w:r w:rsidRPr="00BD5E91">
        <w:rPr>
          <w:sz w:val="22"/>
          <w:szCs w:val="22"/>
          <w:rtl/>
        </w:rPr>
        <w:t xml:space="preserve"> שהן מסט' דשכינה כמ"ש בהת"ז:</w:t>
      </w:r>
    </w:p>
  </w:footnote>
  <w:footnote w:id="648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דעלייכו איתמר כו'.</w:t>
      </w:r>
      <w:r w:rsidRPr="00BD5E91">
        <w:rPr>
          <w:sz w:val="22"/>
          <w:szCs w:val="22"/>
          <w:rtl/>
        </w:rPr>
        <w:t xml:space="preserve"> כמ"ש שם דאתוון הן ד' יסודות:</w:t>
      </w:r>
    </w:p>
  </w:footnote>
  <w:footnote w:id="648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קבילו אבנין כו'.</w:t>
      </w:r>
      <w:r w:rsidRPr="00BD5E91">
        <w:rPr>
          <w:sz w:val="22"/>
          <w:szCs w:val="22"/>
          <w:rtl/>
        </w:rPr>
        <w:t xml:space="preserve"> ר"ל שהן מסט' דשכינה קירטא ויקבלו עליהם מלאכין דנקודין שהן מסט' דקב"ה כמ"ש שם, והם אבנין דקירטא בגו קירטא והוא כמ"ש לעיל דבצלותא מקבלין אלין לאלין:</w:t>
      </w:r>
    </w:p>
  </w:footnote>
  <w:footnote w:id="649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על שמכם.</w:t>
      </w:r>
      <w:r w:rsidRPr="00BD5E91">
        <w:rPr>
          <w:sz w:val="22"/>
          <w:szCs w:val="22"/>
          <w:rtl/>
        </w:rPr>
        <w:t xml:space="preserve"> ר"ל על שם של המלאכים: </w:t>
      </w:r>
    </w:p>
  </w:footnote>
  <w:footnote w:id="649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דאיתמר בהון אבנים כו'.</w:t>
      </w:r>
      <w:r w:rsidRPr="00BD5E91">
        <w:rPr>
          <w:sz w:val="22"/>
          <w:szCs w:val="22"/>
          <w:rtl/>
        </w:rPr>
        <w:t xml:space="preserve"> שכל אבן הוא י' כמ"ש לעיל והוא נקודה:</w:t>
      </w:r>
    </w:p>
  </w:footnote>
  <w:footnote w:id="649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קמץ כו'.</w:t>
      </w:r>
      <w:r w:rsidRPr="00BD5E91">
        <w:rPr>
          <w:sz w:val="22"/>
          <w:szCs w:val="22"/>
          <w:rtl/>
        </w:rPr>
        <w:t xml:space="preserve"> והן כ"ח דכ"ח מ"ה דחכמה שמשם נקודות כמ"ש בת"ז:</w:t>
      </w:r>
    </w:p>
  </w:footnote>
  <w:footnote w:id="649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באתוון כו'.</w:t>
      </w:r>
      <w:r w:rsidRPr="00BD5E91">
        <w:rPr>
          <w:sz w:val="22"/>
          <w:szCs w:val="22"/>
          <w:rtl/>
        </w:rPr>
        <w:t xml:space="preserve"> של התפלה:</w:t>
      </w:r>
    </w:p>
  </w:footnote>
  <w:footnote w:id="649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בחתן דילה לאעלא רחימו כו'.</w:t>
      </w:r>
      <w:r w:rsidRPr="00BD5E91">
        <w:rPr>
          <w:sz w:val="22"/>
          <w:szCs w:val="22"/>
          <w:rtl/>
        </w:rPr>
        <w:t xml:space="preserve"> ד' מדרגות, ד' תיקונין דילה, וד' תיקונין דיליה דלעיל וז"ש בכל מדות כו':</w:t>
      </w:r>
    </w:p>
  </w:footnote>
  <w:footnote w:id="649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קרבא כו'.</w:t>
      </w:r>
      <w:r w:rsidRPr="00BD5E91">
        <w:rPr>
          <w:sz w:val="22"/>
          <w:szCs w:val="22"/>
          <w:rtl/>
        </w:rPr>
        <w:t xml:space="preserve"> שהן ע"ב אומין כמ"ש בת"ז ע"ש בתיקון ו':</w:t>
      </w:r>
    </w:p>
  </w:footnote>
  <w:footnote w:id="649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למיהב לן תוקפא.</w:t>
      </w:r>
      <w:r w:rsidRPr="00BD5E91">
        <w:rPr>
          <w:sz w:val="22"/>
          <w:szCs w:val="22"/>
          <w:rtl/>
        </w:rPr>
        <w:t xml:space="preserve"> מסט' דגבורה להלחם עמם:</w:t>
      </w:r>
    </w:p>
  </w:footnote>
  <w:footnote w:id="649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דאינון מסטרא דילך.</w:t>
      </w:r>
      <w:r w:rsidRPr="00BD5E91">
        <w:rPr>
          <w:sz w:val="22"/>
          <w:szCs w:val="22"/>
          <w:rtl/>
        </w:rPr>
        <w:t xml:space="preserve"> הן ב' מתיבתות דלעיל מסט' דו"ק והם אבנין דקירטא כנ"ל ומסט' דו"ק הוא הקרבא כמ"ש לעיל קום עד"א דאנת הוא ו' כו':</w:t>
      </w:r>
    </w:p>
  </w:footnote>
  <w:footnote w:id="649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מטרוניתא עילאה.</w:t>
      </w:r>
      <w:r w:rsidRPr="00BD5E91">
        <w:rPr>
          <w:sz w:val="22"/>
          <w:szCs w:val="22"/>
          <w:rtl/>
        </w:rPr>
        <w:t xml:space="preserve"> שכינה עילאה שהיא אם הבנים וכן בבנים למטה ב' מתיבתות הנ"ל מסט' דו"ק נקראין בנהא:</w:t>
      </w:r>
    </w:p>
  </w:footnote>
  <w:footnote w:id="649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דאיתמר בה כו' דהא כו'.</w:t>
      </w:r>
      <w:r w:rsidRPr="00BD5E91">
        <w:rPr>
          <w:sz w:val="22"/>
          <w:szCs w:val="22"/>
          <w:rtl/>
        </w:rPr>
        <w:t xml:space="preserve"> כמ"ש (שה"ש ב יד,טו) יונתי בחגוי כו' אחזו לנו כו':</w:t>
      </w:r>
    </w:p>
  </w:footnote>
  <w:footnote w:id="650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אמריה.</w:t>
      </w:r>
      <w:r w:rsidRPr="00BD5E91">
        <w:rPr>
          <w:sz w:val="22"/>
          <w:szCs w:val="22"/>
          <w:rtl/>
        </w:rPr>
        <w:t xml:space="preserve"> ר"ל בשבילה תאמר ע"י שלוחין דילה כמ"ש (ישעיהו נ י) מי בכם ירא ה' שומע בקול עבדו:</w:t>
      </w:r>
    </w:p>
  </w:footnote>
  <w:footnote w:id="650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בני אדם.</w:t>
      </w:r>
      <w:r w:rsidRPr="00BD5E91">
        <w:rPr>
          <w:sz w:val="22"/>
          <w:szCs w:val="22"/>
          <w:rtl/>
        </w:rPr>
        <w:t xml:space="preserve"> קדמאה כמש"ו דקטיל ליה ולבניו וז"ש דהא כמה כו':</w:t>
      </w:r>
    </w:p>
  </w:footnote>
  <w:footnote w:id="650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וכמה מארי תריסין כו'.</w:t>
      </w:r>
      <w:r w:rsidRPr="00BD5E91">
        <w:rPr>
          <w:sz w:val="22"/>
          <w:szCs w:val="22"/>
          <w:rtl/>
        </w:rPr>
        <w:t xml:space="preserve"> כמ"ש לעיל בפתחי שערים בראש הומיות שהן בתי כנסיות ובתי מדרשות וז"ש מי בכם כו' כנ"ל אשר הלך כו' שאמרו (ברכות ו ע"ב) מי שרגיל כו': </w:t>
      </w:r>
    </w:p>
  </w:footnote>
  <w:footnote w:id="650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ופסקין עליה כו'.</w:t>
      </w:r>
      <w:r w:rsidRPr="00BD5E91">
        <w:rPr>
          <w:sz w:val="22"/>
          <w:szCs w:val="22"/>
          <w:rtl/>
        </w:rPr>
        <w:t xml:space="preserve"> שהן מלחמה בתוקפא דגבורה כמ"ש לעיל פסק דין כו' להלחם עם שור וחמור וז"ש בקלין וחמורין דיליה. ר"ל דס"א:</w:t>
      </w:r>
    </w:p>
  </w:footnote>
  <w:footnote w:id="650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ויפן כו'.</w:t>
      </w:r>
      <w:r w:rsidRPr="00BD5E91">
        <w:rPr>
          <w:sz w:val="22"/>
          <w:szCs w:val="22"/>
          <w:rtl/>
        </w:rPr>
        <w:t xml:space="preserve"> שהן קירטין כמ"ש לעיל:</w:t>
      </w:r>
    </w:p>
  </w:footnote>
  <w:footnote w:id="650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וירא כו'.</w:t>
      </w:r>
      <w:r w:rsidRPr="00BD5E91">
        <w:rPr>
          <w:sz w:val="22"/>
          <w:szCs w:val="22"/>
          <w:rtl/>
        </w:rPr>
        <w:t xml:space="preserve"> וז"ש (ישעיהו נ ב) מדוע באתי. ר"ל לבה"כ כמ"ש חז"ל (ברכות ו ע"ב), ואין איש במארי תריסין דשם קראתי בכרוזין הנ"ל ואין כו':</w:t>
      </w:r>
    </w:p>
  </w:footnote>
  <w:footnote w:id="650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וכמה הלכות פסוקות כו'.</w:t>
      </w:r>
      <w:r w:rsidRPr="00BD5E91">
        <w:rPr>
          <w:sz w:val="22"/>
          <w:szCs w:val="22"/>
          <w:rtl/>
        </w:rPr>
        <w:t xml:space="preserve"> ר"ל הבעלי תריסין אע"ג דפסקין כו' לא זכיין אלא לבתולות אחריה כו' (תהלים מה טו), אבל להלכה שהיא ברתא דמלכא לא זכי אלא מאן דקטיל כנ"ל וז"ש אינון דאתמר כו' אבל כו':</w:t>
      </w:r>
    </w:p>
  </w:footnote>
  <w:footnote w:id="650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רבות כו'.</w:t>
      </w:r>
      <w:r w:rsidRPr="00BD5E91">
        <w:rPr>
          <w:sz w:val="22"/>
          <w:szCs w:val="22"/>
          <w:rtl/>
        </w:rPr>
        <w:t xml:space="preserve"> כמ"ש לעיל שהן עלמות כו':</w:t>
      </w:r>
    </w:p>
  </w:footnote>
  <w:footnote w:id="650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ואיהי ארוסה.</w:t>
      </w:r>
      <w:r w:rsidRPr="00BD5E91">
        <w:rPr>
          <w:sz w:val="22"/>
          <w:szCs w:val="22"/>
          <w:rtl/>
        </w:rPr>
        <w:t xml:space="preserve"> כמ"ש כלת משה. וכן אמרו (פסחים מט ע"ב) תורה צוה לנו משה מורשה א"ת מורשה אלא מאורסה:</w:t>
      </w:r>
    </w:p>
  </w:footnote>
  <w:footnote w:id="650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עד דיקטול כו'.</w:t>
      </w:r>
      <w:r w:rsidRPr="00BD5E91">
        <w:rPr>
          <w:sz w:val="22"/>
          <w:szCs w:val="22"/>
          <w:rtl/>
        </w:rPr>
        <w:t xml:space="preserve"> כמ"ש לעיל קום לגבי ס"מ דאיהו מצרי כו' וז"ש קום אנת כו':</w:t>
      </w:r>
    </w:p>
  </w:footnote>
  <w:footnote w:id="651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באלין חמשין כו'.</w:t>
      </w:r>
      <w:r w:rsidRPr="00BD5E91">
        <w:rPr>
          <w:sz w:val="22"/>
          <w:szCs w:val="22"/>
          <w:rtl/>
        </w:rPr>
        <w:t xml:space="preserve"> דנ' תרעין הן י"ה, ה' כליל מי' כמ"ש בהקדמת ת"ז. וכן היו בים, ביד, בה' אצבעות בכ"א עשר מסט' דימא עילאה, ים גי' חמשים כמ"ש בהגדת פסח בים כמה כו':</w:t>
      </w:r>
    </w:p>
  </w:footnote>
  <w:footnote w:id="651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בחוטרא כו'.</w:t>
      </w:r>
      <w:r w:rsidRPr="00BD5E91">
        <w:rPr>
          <w:sz w:val="22"/>
          <w:szCs w:val="22"/>
          <w:rtl/>
        </w:rPr>
        <w:t xml:space="preserve"> שבו הכה לפרעה במצרים ועל הים:</w:t>
      </w:r>
    </w:p>
  </w:footnote>
  <w:footnote w:id="651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דעליה אתמר בדברים.</w:t>
      </w:r>
      <w:r w:rsidRPr="00BD5E91">
        <w:rPr>
          <w:sz w:val="22"/>
          <w:szCs w:val="22"/>
          <w:rtl/>
        </w:rPr>
        <w:t xml:space="preserve"> והוא הסלע של הכאה:</w:t>
      </w:r>
    </w:p>
  </w:footnote>
  <w:footnote w:id="651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בקולמוס כו'.</w:t>
      </w:r>
      <w:r w:rsidRPr="00BD5E91">
        <w:rPr>
          <w:sz w:val="22"/>
          <w:szCs w:val="22"/>
          <w:rtl/>
        </w:rPr>
        <w:t xml:space="preserve"> הן חג"ת. קולמוס הוא ת"ת, דרועא ויד הן חו"ג. וז"ש דהא בימינא כו' בשמאלא כו' בעד"א כו'. </w:t>
      </w:r>
    </w:p>
  </w:footnote>
  <w:footnote w:id="651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בימינא אתבקעא ימא.</w:t>
      </w:r>
      <w:r w:rsidRPr="00BD5E91">
        <w:rPr>
          <w:sz w:val="22"/>
          <w:szCs w:val="22"/>
          <w:rtl/>
        </w:rPr>
        <w:t xml:space="preserve"> כמ"ש לעיל שמשם ותשת כו' דמים מימינא:</w:t>
      </w:r>
      <w:r w:rsidRPr="00BD5E91">
        <w:rPr>
          <w:b/>
          <w:bCs/>
          <w:sz w:val="22"/>
          <w:szCs w:val="22"/>
          <w:rtl/>
        </w:rPr>
        <w:t xml:space="preserve"> </w:t>
      </w:r>
    </w:p>
  </w:footnote>
  <w:footnote w:id="651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בשמאלא כו'.</w:t>
      </w:r>
      <w:r w:rsidRPr="00BD5E91">
        <w:rPr>
          <w:sz w:val="22"/>
          <w:szCs w:val="22"/>
          <w:rtl/>
        </w:rPr>
        <w:t xml:space="preserve"> כמ"ש לעיל דע"ג ויט כו' לחרבה בתוקפא כו':</w:t>
      </w:r>
    </w:p>
  </w:footnote>
  <w:footnote w:id="651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בעד"א כו'.</w:t>
      </w:r>
      <w:r w:rsidRPr="00BD5E91">
        <w:rPr>
          <w:sz w:val="22"/>
          <w:szCs w:val="22"/>
          <w:rtl/>
        </w:rPr>
        <w:t xml:space="preserve"> שנאמר ברוחך, רוחא עד"א ושם כסמו ים דקטלת ליה:</w:t>
      </w:r>
    </w:p>
  </w:footnote>
  <w:footnote w:id="651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ולך אתחזר'.</w:t>
      </w:r>
      <w:r w:rsidRPr="00BD5E91">
        <w:rPr>
          <w:sz w:val="22"/>
          <w:szCs w:val="22"/>
          <w:rtl/>
        </w:rPr>
        <w:t xml:space="preserve"> ר"ל בפורקנא בתרייתא:</w:t>
      </w:r>
    </w:p>
  </w:footnote>
  <w:footnote w:id="651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ולא עוד כו'.</w:t>
      </w:r>
      <w:r w:rsidRPr="00BD5E91">
        <w:rPr>
          <w:sz w:val="22"/>
          <w:szCs w:val="22"/>
          <w:rtl/>
        </w:rPr>
        <w:t xml:space="preserve"> ר"ל שאף גם בשביל זה לך אתחזיא קרבא:</w:t>
      </w:r>
    </w:p>
  </w:footnote>
  <w:footnote w:id="651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עאנא דילך.</w:t>
      </w:r>
      <w:r w:rsidRPr="00BD5E91">
        <w:rPr>
          <w:sz w:val="22"/>
          <w:szCs w:val="22"/>
          <w:rtl/>
        </w:rPr>
        <w:t xml:space="preserve"> שהוא רעיא דלהון לכך נקרא רעיא מהימנא דמסר את עצמו עליהן כמה פעמים:</w:t>
      </w:r>
    </w:p>
  </w:footnote>
  <w:footnote w:id="652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דאיתמר בהון כו'.</w:t>
      </w:r>
      <w:r w:rsidRPr="00BD5E91">
        <w:rPr>
          <w:sz w:val="22"/>
          <w:szCs w:val="22"/>
          <w:rtl/>
        </w:rPr>
        <w:t xml:space="preserve"> ראיה שהן נקראין צאן מרעיתי אדם דרגא דר"מ:</w:t>
      </w:r>
    </w:p>
  </w:footnote>
  <w:footnote w:id="652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קירטא.</w:t>
      </w:r>
      <w:r w:rsidRPr="00BD5E91">
        <w:rPr>
          <w:sz w:val="22"/>
          <w:szCs w:val="22"/>
          <w:rtl/>
        </w:rPr>
        <w:t xml:space="preserve"> השכינה:</w:t>
      </w:r>
    </w:p>
  </w:footnote>
  <w:footnote w:id="652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המשה כו'.</w:t>
      </w:r>
      <w:r w:rsidRPr="00BD5E91">
        <w:rPr>
          <w:sz w:val="22"/>
          <w:szCs w:val="22"/>
          <w:rtl/>
        </w:rPr>
        <w:t xml:space="preserve"> שהן ה"ס חג"ת נ"ה שמתפשטין בהן נ' תרעין דשמע ישראל כמ"ש בת"ז:</w:t>
      </w:r>
    </w:p>
  </w:footnote>
  <w:footnote w:id="652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וכד שוי לון בקירטא כו'.</w:t>
      </w:r>
      <w:r w:rsidRPr="00BD5E91">
        <w:rPr>
          <w:sz w:val="22"/>
          <w:szCs w:val="22"/>
          <w:rtl/>
        </w:rPr>
        <w:t xml:space="preserve"> ר"ל במלכות שם נעשין אחד מסט' דצדיק שהן נכללין ביסוד ומלכות כמ"ש שם, וזהו אחד שבק"ש שמתייחדין יסוד ומלכות, א"ח יסוד ספירה ט', ד' מלכות, וסלקת לא' דאחד כ"ע ששם צריך לחטוף, במופלא ממך כו' (חגיגה יג ע"א), וז"ש והאי אבנא כו':</w:t>
      </w:r>
    </w:p>
  </w:footnote>
  <w:footnote w:id="652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לצלמא.</w:t>
      </w:r>
      <w:r w:rsidRPr="00BD5E91">
        <w:rPr>
          <w:sz w:val="22"/>
          <w:szCs w:val="22"/>
          <w:rtl/>
        </w:rPr>
        <w:t xml:space="preserve"> הוא דיוקנא בישא דס"א והוא פלשתאה הנ"ל:</w:t>
      </w:r>
    </w:p>
  </w:footnote>
  <w:footnote w:id="652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הה"ד ברוך כו'.</w:t>
      </w:r>
      <w:r w:rsidRPr="00BD5E91">
        <w:rPr>
          <w:sz w:val="22"/>
          <w:szCs w:val="22"/>
          <w:rtl/>
        </w:rPr>
        <w:t xml:space="preserve"> דשם כלהו שאלין עליה איה כו' עד דאמרין ברוך כו' וזהו שאומרין בשכמל"ו אח"כ:</w:t>
      </w:r>
    </w:p>
  </w:footnote>
  <w:footnote w:id="652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ובגינה כו'.</w:t>
      </w:r>
      <w:r w:rsidRPr="00BD5E91">
        <w:rPr>
          <w:sz w:val="22"/>
          <w:szCs w:val="22"/>
          <w:rtl/>
        </w:rPr>
        <w:t xml:space="preserve"> ר"ל שנאמר לראש פנה וכתיב מאת ה' היתה זאת דמ' דאבן הזה הוא זאת שכינה כמש"ו ובגינה אמר כו':</w:t>
      </w:r>
    </w:p>
  </w:footnote>
  <w:footnote w:id="652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ובגינה כו' אבן ישראל על כו'.</w:t>
      </w:r>
      <w:r w:rsidRPr="00BD5E91">
        <w:rPr>
          <w:sz w:val="22"/>
          <w:szCs w:val="22"/>
          <w:rtl/>
        </w:rPr>
        <w:t xml:space="preserve"> ר"ל בגין האי אבנא והיא כלולה משבעה כו':</w:t>
      </w:r>
    </w:p>
  </w:footnote>
  <w:footnote w:id="652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דאיהו פומוי.</w:t>
      </w:r>
      <w:r w:rsidRPr="00BD5E91">
        <w:rPr>
          <w:sz w:val="22"/>
          <w:szCs w:val="22"/>
          <w:rtl/>
        </w:rPr>
        <w:t xml:space="preserve"> שפה גי' שכינה ולשון הוא יסוד:</w:t>
      </w:r>
    </w:p>
  </w:footnote>
  <w:footnote w:id="652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שומו שמים.</w:t>
      </w:r>
      <w:r w:rsidRPr="00BD5E91">
        <w:rPr>
          <w:sz w:val="22"/>
          <w:szCs w:val="22"/>
          <w:rtl/>
        </w:rPr>
        <w:t xml:space="preserve"> דס"א:</w:t>
      </w:r>
    </w:p>
  </w:footnote>
  <w:footnote w:id="653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על זאת.</w:t>
      </w:r>
      <w:r w:rsidRPr="00BD5E91">
        <w:rPr>
          <w:sz w:val="22"/>
          <w:szCs w:val="22"/>
          <w:rtl/>
        </w:rPr>
        <w:t xml:space="preserve"> בשבילה: </w:t>
      </w:r>
    </w:p>
  </w:footnote>
  <w:footnote w:id="653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ואנת ר"מ.</w:t>
      </w:r>
      <w:r w:rsidRPr="00BD5E91">
        <w:rPr>
          <w:sz w:val="22"/>
          <w:szCs w:val="22"/>
          <w:rtl/>
        </w:rPr>
        <w:t xml:space="preserve"> שחשיב לעיל כל ד' רגלי המרכבה: כהנים ולוים ויעקב ודוד, דכלהו סליקו לאתרייהו אבל אנת כו':</w:t>
      </w:r>
    </w:p>
  </w:footnote>
  <w:footnote w:id="653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ומכל נביאי'.</w:t>
      </w:r>
      <w:r w:rsidRPr="00BD5E91">
        <w:rPr>
          <w:sz w:val="22"/>
          <w:szCs w:val="22"/>
          <w:rtl/>
        </w:rPr>
        <w:t xml:space="preserve"> שאמר לעיל זאת אשיב כו':</w:t>
      </w:r>
    </w:p>
  </w:footnote>
  <w:footnote w:id="653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וחכימיא.</w:t>
      </w:r>
      <w:r w:rsidRPr="00BD5E91">
        <w:rPr>
          <w:sz w:val="22"/>
          <w:szCs w:val="22"/>
          <w:rtl/>
        </w:rPr>
        <w:t xml:space="preserve"> שאמר לעיל ואל יתהלל כו': </w:t>
      </w:r>
    </w:p>
  </w:footnote>
  <w:footnote w:id="653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והאי כו'.</w:t>
      </w:r>
      <w:r w:rsidRPr="00BD5E91">
        <w:rPr>
          <w:sz w:val="22"/>
          <w:szCs w:val="22"/>
          <w:rtl/>
        </w:rPr>
        <w:t xml:space="preserve"> ר"ל דזריק לה בזרקא לגבי סגולתא שהוא כתר כמ"ש לעיל וז"ש לאתר דאיתמר כו':</w:t>
      </w:r>
    </w:p>
  </w:footnote>
  <w:footnote w:id="653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דאיהו חכמה קדומה.</w:t>
      </w:r>
      <w:r w:rsidRPr="00BD5E91">
        <w:rPr>
          <w:sz w:val="22"/>
          <w:szCs w:val="22"/>
          <w:rtl/>
        </w:rPr>
        <w:t xml:space="preserve"> כמ"ש לעיל דע"ג ור"ל לכך סלקא להתם דאיהי חכמה זעירא כמש"ו:</w:t>
      </w:r>
    </w:p>
  </w:footnote>
  <w:footnote w:id="653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דהכי סליק כו'.</w:t>
      </w:r>
      <w:r w:rsidRPr="00BD5E91">
        <w:rPr>
          <w:sz w:val="22"/>
          <w:szCs w:val="22"/>
          <w:rtl/>
        </w:rPr>
        <w:t xml:space="preserve"> מביא ראיה שהיא חכמה ששם ס"ג הוא בה כמש"ו:</w:t>
      </w:r>
    </w:p>
  </w:footnote>
  <w:footnote w:id="653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דתמן תלתא יודין.</w:t>
      </w:r>
      <w:r w:rsidRPr="00BD5E91">
        <w:rPr>
          <w:sz w:val="22"/>
          <w:szCs w:val="22"/>
          <w:rtl/>
        </w:rPr>
        <w:t xml:space="preserve"> ר"ל והיא סגולתא דתלת נקודין תלת כתרים כמ"ש לעיל:</w:t>
      </w:r>
    </w:p>
  </w:footnote>
  <w:footnote w:id="653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דאינון שמא כו'.</w:t>
      </w:r>
      <w:r w:rsidRPr="00BD5E91">
        <w:rPr>
          <w:sz w:val="22"/>
          <w:szCs w:val="22"/>
          <w:rtl/>
        </w:rPr>
        <w:t xml:space="preserve"> כמש"ו דמתמן נק' שכינה סגולת מלכים ומן השם עשר אותיות כלילא מעשר וז"ש דא כליל כו'. ור"ל שכתר כולל כל הע"ס כידוע שהוא כללא דכולהו ומתפשט בכולם וכן מלכות נכללת מכל הע"ס לכן בשניהן שם של עשר אותיות: </w:t>
      </w:r>
    </w:p>
  </w:footnote>
  <w:footnote w:id="653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עשר בגבורה מעילא.</w:t>
      </w:r>
      <w:r w:rsidRPr="00BD5E91">
        <w:rPr>
          <w:sz w:val="22"/>
          <w:szCs w:val="22"/>
          <w:rtl/>
        </w:rPr>
        <w:t xml:space="preserve"> כמ"ש לקמן דשם לית ממנא ושולטן דקיימא כו' ואמר לקמן דבהאי שמא דע"ג שלח נא ידך וגע כו' והוא כידוע דשם בוצינא דקרדוניצא מ"ס שם גנוז גבורה גבורה:</w:t>
      </w:r>
    </w:p>
  </w:footnote>
  <w:footnote w:id="654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סגולתא כו'.</w:t>
      </w:r>
      <w:r w:rsidRPr="00BD5E91">
        <w:rPr>
          <w:sz w:val="22"/>
          <w:szCs w:val="22"/>
          <w:rtl/>
        </w:rPr>
        <w:t xml:space="preserve"> עכשיו מפרש סגולתא דזרקא:</w:t>
      </w:r>
    </w:p>
  </w:footnote>
  <w:footnote w:id="654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דמתמן.</w:t>
      </w:r>
      <w:r w:rsidRPr="00BD5E91">
        <w:rPr>
          <w:sz w:val="22"/>
          <w:szCs w:val="22"/>
          <w:rtl/>
        </w:rPr>
        <w:t xml:space="preserve"> ר"ל מכתר בג' יודין דשם כנ"ל:</w:t>
      </w:r>
    </w:p>
  </w:footnote>
  <w:footnote w:id="654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סגוךת מלכים.</w:t>
      </w:r>
      <w:r w:rsidRPr="00BD5E91">
        <w:rPr>
          <w:sz w:val="22"/>
          <w:szCs w:val="22"/>
          <w:rtl/>
        </w:rPr>
        <w:t xml:space="preserve"> דמלכים מסט' דידה הן, ואיהי סגולה דילכון במלחמה לשיצאה כמש"ו ואיהי שיצאה כו' דהיא גוון תכלת מסט' דכתר והוא כתר מלכים:</w:t>
      </w:r>
    </w:p>
  </w:footnote>
  <w:footnote w:id="654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איהי אבנא הדא.</w:t>
      </w:r>
      <w:r w:rsidRPr="00BD5E91">
        <w:rPr>
          <w:sz w:val="22"/>
          <w:szCs w:val="22"/>
          <w:rtl/>
        </w:rPr>
        <w:t xml:space="preserve"> כנ"ל דכולהו אתעבידו בה אחד:</w:t>
      </w:r>
    </w:p>
  </w:footnote>
  <w:footnote w:id="654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תלת אלפין כו'.</w:t>
      </w:r>
      <w:r w:rsidRPr="00BD5E91">
        <w:rPr>
          <w:sz w:val="22"/>
          <w:szCs w:val="22"/>
          <w:rtl/>
        </w:rPr>
        <w:t xml:space="preserve"> נגד ג' כתרים הנ"ל דסגולתא:</w:t>
      </w:r>
    </w:p>
  </w:footnote>
  <w:footnote w:id="654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דתמן כ"ח מ"ה כו'.</w:t>
      </w:r>
      <w:r w:rsidRPr="00BD5E91">
        <w:rPr>
          <w:sz w:val="22"/>
          <w:szCs w:val="22"/>
          <w:rtl/>
        </w:rPr>
        <w:t xml:space="preserve"> ראיה דשם מה שם, דהיא חכמה זעירא:</w:t>
      </w:r>
    </w:p>
  </w:footnote>
  <w:footnote w:id="654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דסלקין אקי"ק.</w:t>
      </w:r>
      <w:r w:rsidRPr="00BD5E91">
        <w:rPr>
          <w:sz w:val="22"/>
          <w:szCs w:val="22"/>
          <w:rtl/>
        </w:rPr>
        <w:t xml:space="preserve"> ר"ל ר"ת אקי"ק שבג' כתרים:</w:t>
      </w:r>
    </w:p>
  </w:footnote>
  <w:footnote w:id="654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וביה אשתמודע דהוא כו'.</w:t>
      </w:r>
      <w:r w:rsidRPr="00BD5E91">
        <w:rPr>
          <w:sz w:val="22"/>
          <w:szCs w:val="22"/>
          <w:rtl/>
        </w:rPr>
        <w:t xml:space="preserve"> דאהי"ה פירושו דזמין לאתגליא בשאר ספירן אבל כאן הוא מופלא אהי"ה הויותי לא גלוי אלא לעצמי, וזהו ב' אהי"ה, ואהי"ה הג' הוא זמין כו' כנ"ל וזה הוא עילת כל עילאין:</w:t>
      </w:r>
    </w:p>
  </w:footnote>
  <w:footnote w:id="654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דהוא מופלא כו'.</w:t>
      </w:r>
      <w:r w:rsidRPr="00BD5E91">
        <w:rPr>
          <w:sz w:val="22"/>
          <w:szCs w:val="22"/>
          <w:rtl/>
        </w:rPr>
        <w:t xml:space="preserve"> כמש"ו בג' יודין כו' דהן שלשה כתרים הנ"ל כח"ב שבכתר שהן כוללין כח"ב והן שלשה רישין באדרא זוטא ע"ש. מופלא מכוסה ב' רישין, עילת כל עילאין הוא ראש השלישי למעלה, רישא דל"א, והוא עילת של ב' רישין שהן עילאין לכל הספירות:</w:t>
      </w:r>
    </w:p>
  </w:footnote>
  <w:footnote w:id="654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אני ראשון כו'.</w:t>
      </w:r>
      <w:r w:rsidRPr="00BD5E91">
        <w:rPr>
          <w:sz w:val="22"/>
          <w:szCs w:val="22"/>
          <w:rtl/>
        </w:rPr>
        <w:t xml:space="preserve"> בג' רישין הנ"ל רישא עילאה ותליתאה הן ראשון ואחרון ושניהן נקראין אני מסט' דמלכות ושם מגיד מראשית אחרית, דרישא דל"א הוא מלכות דא"ק וראשית לג' רישין, ורישא תליתאה אחרית לג' רישין וראשית לע"ס. ורישא תניינא נקרא אין כמ"ש באדרא זוטא ועליו נאמר ומבלעדי אין כו', והן מורים על היה והוה ויהיה, ראשון ואחרון. ומבלעדי ר"ל עכשיו, והן רמיזין בג' הויות דתליין בג' יודין משמא הנ"ל כמ"ש לקמן וכמ"ש בהת"ז דג' הויות הן דתליין בשם הנ"ל והן ג' הויות דמלך מלך ימלוך שהוא היה והוה ויהיה, והן אותות של שלשה הויות בהצטרף השלשה תיבות היה כו' ביחד:</w:t>
      </w:r>
    </w:p>
  </w:footnote>
  <w:footnote w:id="655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ומסט' תעלת כו'.</w:t>
      </w:r>
      <w:r w:rsidRPr="00BD5E91">
        <w:rPr>
          <w:sz w:val="22"/>
          <w:szCs w:val="22"/>
          <w:rtl/>
        </w:rPr>
        <w:t xml:space="preserve"> כמ"ש (משלי ח ל) ואהיה אצלו אמון, שג' אהיה הן, ואהיה שאצלו שהוא רישא עילאה שהוא עילת כל עילאין הוא אמון ומשם נקראת אמונה:</w:t>
      </w:r>
    </w:p>
  </w:footnote>
  <w:footnote w:id="655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והאי אבנא חדא י'.</w:t>
      </w:r>
      <w:r w:rsidRPr="00BD5E91">
        <w:rPr>
          <w:sz w:val="22"/>
          <w:szCs w:val="22"/>
          <w:rtl/>
        </w:rPr>
        <w:t xml:space="preserve"> שאבן הוא י' כמ"ש לעיל והוא מסט' דכתר כמש"ו:</w:t>
      </w:r>
    </w:p>
  </w:footnote>
  <w:footnote w:id="655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בחושבנא עשר.</w:t>
      </w:r>
      <w:r w:rsidRPr="00BD5E91">
        <w:rPr>
          <w:sz w:val="22"/>
          <w:szCs w:val="22"/>
          <w:rtl/>
        </w:rPr>
        <w:t xml:space="preserve"> הוא עשר אותיות דס"ג. </w:t>
      </w:r>
      <w:r w:rsidRPr="00BD5E91">
        <w:rPr>
          <w:b/>
          <w:bCs/>
          <w:sz w:val="22"/>
          <w:szCs w:val="22"/>
          <w:rtl/>
        </w:rPr>
        <w:t>ואית לה.</w:t>
      </w:r>
      <w:r w:rsidRPr="00BD5E91">
        <w:rPr>
          <w:sz w:val="22"/>
          <w:szCs w:val="22"/>
          <w:rtl/>
        </w:rPr>
        <w:t xml:space="preserve"> כו' הן ג' רישין הנ"ל דג' יודין דס"ג דסגולתא שהן ראשון ואחרון כו':</w:t>
      </w:r>
    </w:p>
  </w:footnote>
  <w:footnote w:id="655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וכלא אחד.</w:t>
      </w:r>
      <w:r w:rsidRPr="00BD5E91">
        <w:rPr>
          <w:sz w:val="22"/>
          <w:szCs w:val="22"/>
          <w:rtl/>
        </w:rPr>
        <w:t xml:space="preserve"> דכל הג' הן חד רישא כמ"ש בא"ז דכולא הוא חד והוא חד כו' ע"ש והוא גי' אח"ד, י"ג. וזהו אחד שבק"ש כמ"ש לעיל:</w:t>
      </w:r>
    </w:p>
  </w:footnote>
  <w:footnote w:id="655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ומתמן.</w:t>
      </w:r>
      <w:r w:rsidRPr="00BD5E91">
        <w:rPr>
          <w:sz w:val="22"/>
          <w:szCs w:val="22"/>
          <w:rtl/>
        </w:rPr>
        <w:t xml:space="preserve"> ר"ל מכתר:</w:t>
      </w:r>
    </w:p>
  </w:footnote>
  <w:footnote w:id="655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קרא למשה לעד"א.</w:t>
      </w:r>
      <w:r w:rsidRPr="00BD5E91">
        <w:rPr>
          <w:sz w:val="22"/>
          <w:szCs w:val="22"/>
          <w:rtl/>
        </w:rPr>
        <w:t xml:space="preserve"> ר"ל שנאמר ויקרא אל משה, והוא שעלת העלות קרא לעד"א דרגיה דמשה בי"ג מכילן</w:t>
      </w:r>
      <w:r>
        <w:rPr>
          <w:rFonts w:hint="cs"/>
          <w:sz w:val="22"/>
          <w:szCs w:val="22"/>
          <w:rtl/>
        </w:rPr>
        <w:t>,</w:t>
      </w:r>
      <w:r w:rsidRPr="00BD5E91">
        <w:rPr>
          <w:sz w:val="22"/>
          <w:szCs w:val="22"/>
          <w:rtl/>
        </w:rPr>
        <w:t xml:space="preserve"> דמש</w:t>
      </w:r>
      <w:r>
        <w:rPr>
          <w:rFonts w:hint="cs"/>
          <w:sz w:val="22"/>
          <w:szCs w:val="22"/>
          <w:rtl/>
        </w:rPr>
        <w:t>ם</w:t>
      </w:r>
      <w:r w:rsidRPr="00BD5E91">
        <w:rPr>
          <w:sz w:val="22"/>
          <w:szCs w:val="22"/>
          <w:rtl/>
        </w:rPr>
        <w:t xml:space="preserve"> אית ליה לעד"א י"ג מכילן כמ"ש באדרא והן י"ג הנ"ל באות י' ומצד ג' יודין ואלפין נקרא כתר אין, שכולל כח"ב אי"ן כידוע</w:t>
      </w:r>
      <w:r>
        <w:rPr>
          <w:rFonts w:hint="cs"/>
          <w:sz w:val="22"/>
          <w:szCs w:val="22"/>
          <w:rtl/>
        </w:rPr>
        <w:t>,</w:t>
      </w:r>
      <w:r w:rsidRPr="00BD5E91">
        <w:rPr>
          <w:sz w:val="22"/>
          <w:szCs w:val="22"/>
          <w:rtl/>
        </w:rPr>
        <w:t xml:space="preserve"> והן אלפין הנ"ל ויודין וכשתקח י"ג הנ"ל משם ס"ג נשאר נ' וזהו אין, דהג' קוצין הן ג' אלפין שאמר לעיל אני ראשון כו'</w:t>
      </w:r>
      <w:r>
        <w:rPr>
          <w:rFonts w:hint="cs"/>
          <w:sz w:val="22"/>
          <w:szCs w:val="22"/>
          <w:rtl/>
        </w:rPr>
        <w:t>,</w:t>
      </w:r>
      <w:r w:rsidRPr="00BD5E91">
        <w:rPr>
          <w:sz w:val="22"/>
          <w:szCs w:val="22"/>
          <w:rtl/>
        </w:rPr>
        <w:t xml:space="preserve"> אנ"י אנ"י אי"ן ויוד ונ' הוא שם ס"ג:</w:t>
      </w:r>
    </w:p>
  </w:footnote>
  <w:footnote w:id="655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דמאן דקרא כו' בצלותיה.</w:t>
      </w:r>
      <w:r w:rsidRPr="00BD5E91">
        <w:rPr>
          <w:sz w:val="22"/>
          <w:szCs w:val="22"/>
          <w:rtl/>
        </w:rPr>
        <w:t xml:space="preserve"> דסליק צלותיה מלכות עד שם:</w:t>
      </w:r>
    </w:p>
  </w:footnote>
  <w:footnote w:id="655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וכד איהו כו'.</w:t>
      </w:r>
      <w:r w:rsidRPr="00BD5E91">
        <w:rPr>
          <w:sz w:val="22"/>
          <w:szCs w:val="22"/>
          <w:rtl/>
        </w:rPr>
        <w:t xml:space="preserve"> ר"ל עילת העילות ע"ג מלכות:</w:t>
      </w:r>
    </w:p>
  </w:footnote>
  <w:footnote w:id="655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לית ממנא כו'.</w:t>
      </w:r>
      <w:r w:rsidRPr="00BD5E91">
        <w:rPr>
          <w:sz w:val="22"/>
          <w:szCs w:val="22"/>
          <w:rtl/>
        </w:rPr>
        <w:t xml:space="preserve"> כמ"ש לעיל ואבנא די מחת לצלמא כו':</w:t>
      </w:r>
    </w:p>
  </w:footnote>
  <w:footnote w:id="655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אם תגביה כו'.</w:t>
      </w:r>
      <w:r w:rsidRPr="00BD5E91">
        <w:rPr>
          <w:sz w:val="22"/>
          <w:szCs w:val="22"/>
          <w:rtl/>
        </w:rPr>
        <w:t xml:space="preserve"> שרוצה להגביה א"ע אליה:</w:t>
      </w:r>
    </w:p>
  </w:footnote>
  <w:footnote w:id="656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ורמיזן באת א'.</w:t>
      </w:r>
      <w:r w:rsidRPr="00BD5E91">
        <w:rPr>
          <w:sz w:val="22"/>
          <w:szCs w:val="22"/>
          <w:rtl/>
        </w:rPr>
        <w:t xml:space="preserve"> ר"ל אלו הב' יודין כמש"ו:</w:t>
      </w:r>
    </w:p>
  </w:footnote>
  <w:footnote w:id="656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ו' כו'. </w:t>
      </w:r>
      <w:r w:rsidRPr="00BD5E91">
        <w:rPr>
          <w:sz w:val="22"/>
          <w:szCs w:val="22"/>
          <w:rtl/>
        </w:rPr>
        <w:t>ר"ל וא"ו דאלף והוא ג"כ גי' י"ג והוא רישא תניינא באמצע, שכולם כלילן מי"ג כידוע:</w:t>
      </w:r>
    </w:p>
  </w:footnote>
  <w:footnote w:id="656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כריכא דתרווייהו</w:t>
      </w:r>
      <w:r w:rsidRPr="00BD5E91">
        <w:rPr>
          <w:sz w:val="22"/>
          <w:szCs w:val="22"/>
          <w:rtl/>
        </w:rPr>
        <w:t xml:space="preserve">. ר"ל דרמיזין בזרקא </w:t>
      </w:r>
      <w:r w:rsidRPr="00BD5E91">
        <w:rPr>
          <w:rFonts w:cs="Times New Roman"/>
          <w:sz w:val="22"/>
          <w:szCs w:val="22"/>
        </w:rPr>
        <w:t>∞</w:t>
      </w:r>
      <w:r w:rsidRPr="00BD5E91">
        <w:rPr>
          <w:sz w:val="22"/>
          <w:szCs w:val="22"/>
          <w:rtl/>
        </w:rPr>
        <w:t xml:space="preserve"> י' למעלה י' למטה ו' כורך שניהן ברוחב וזהו זרקא סגולתא והוא גי' הויה וזהו הויה שקודם י"ג מדות:</w:t>
      </w:r>
    </w:p>
  </w:footnote>
  <w:footnote w:id="656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קום נטיל כו'.</w:t>
      </w:r>
      <w:r w:rsidRPr="00BD5E91">
        <w:rPr>
          <w:sz w:val="22"/>
          <w:szCs w:val="22"/>
          <w:rtl/>
        </w:rPr>
        <w:t xml:space="preserve"> דקירטא דיליה הוא זרקא והוא דסליק לה לשם כמ"ש לעיל:</w:t>
      </w:r>
    </w:p>
  </w:footnote>
  <w:footnote w:id="656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בההוא חוט.</w:t>
      </w:r>
      <w:r w:rsidRPr="00BD5E91">
        <w:rPr>
          <w:sz w:val="22"/>
          <w:szCs w:val="22"/>
          <w:rtl/>
        </w:rPr>
        <w:t xml:space="preserve"> הוא ו' הנ"ל והאבן הוא י':</w:t>
      </w:r>
    </w:p>
  </w:footnote>
  <w:footnote w:id="656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דאיהו אריך כו'.</w:t>
      </w:r>
      <w:r w:rsidRPr="00BD5E91">
        <w:rPr>
          <w:sz w:val="22"/>
          <w:szCs w:val="22"/>
          <w:rtl/>
        </w:rPr>
        <w:t xml:space="preserve"> ר"ל לכך הוא ו' אריכא כמש"ו:</w:t>
      </w:r>
    </w:p>
  </w:footnote>
  <w:footnote w:id="656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כריך לה ביה י' כו'.</w:t>
      </w:r>
      <w:r w:rsidRPr="00BD5E91">
        <w:rPr>
          <w:sz w:val="22"/>
          <w:szCs w:val="22"/>
          <w:rtl/>
        </w:rPr>
        <w:t xml:space="preserve"> ר"ל שיהא כורך אותה שהיא י' בו בוא"ו כמש"ו:</w:t>
      </w:r>
    </w:p>
  </w:footnote>
  <w:footnote w:id="656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באבני'.</w:t>
      </w:r>
      <w:r w:rsidRPr="00BD5E91">
        <w:rPr>
          <w:sz w:val="22"/>
          <w:szCs w:val="22"/>
          <w:rtl/>
        </w:rPr>
        <w:t xml:space="preserve"> ר"ל י' אבן שלה:</w:t>
      </w:r>
    </w:p>
  </w:footnote>
  <w:footnote w:id="656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טבעתא.</w:t>
      </w:r>
      <w:r w:rsidRPr="00BD5E91">
        <w:rPr>
          <w:sz w:val="22"/>
          <w:szCs w:val="22"/>
          <w:rtl/>
        </w:rPr>
        <w:t xml:space="preserve"> ר"ל טבעת היא י' ואצבע הוא ו', וכן קשר תפלין ש"י - יו"ד, ורצועה הוא ו':</w:t>
      </w:r>
    </w:p>
  </w:footnote>
  <w:footnote w:id="656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וכד כו'.</w:t>
      </w:r>
      <w:r w:rsidRPr="00BD5E91">
        <w:rPr>
          <w:sz w:val="22"/>
          <w:szCs w:val="22"/>
          <w:rtl/>
        </w:rPr>
        <w:t xml:space="preserve"> שוא"ו הוא ס"ת כידוע:</w:t>
      </w:r>
    </w:p>
  </w:footnote>
  <w:footnote w:id="657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ואיהו כתר כו'. </w:t>
      </w:r>
      <w:r w:rsidRPr="00BD5E91">
        <w:rPr>
          <w:sz w:val="22"/>
          <w:szCs w:val="22"/>
          <w:rtl/>
        </w:rPr>
        <w:t>כנ"ל מסט' דג' יודין דסגולתא דהוא שורש לחג"ת, כהנים לוים וישראל, והן ג' ווין דויסע ויבא ויט כידוע וג' יודין הן כתרים שלהם וזהו י' כריכא ברישא דוא"ו זהו ג' קוין דשי"ן ועלהם ג' יודין וז"ש. בתלת ענפין כו' בשמך כו':</w:t>
      </w:r>
    </w:p>
  </w:footnote>
  <w:footnote w:id="657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ובתלת אתוון כו'.</w:t>
      </w:r>
      <w:r w:rsidRPr="00BD5E91">
        <w:rPr>
          <w:sz w:val="22"/>
          <w:szCs w:val="22"/>
          <w:rtl/>
        </w:rPr>
        <w:t xml:space="preserve"> ר"ל ש' דמשה הן ג' יודין הנ"ל דס"ג ג' כתרים, מ"ה דמשה הוא שמא דמ"ה הנ"ל ג' אלפין הנ"ל דמסטריה דמשה סלקת למיהוי כתר ברישא דכלהו:</w:t>
      </w:r>
    </w:p>
  </w:footnote>
  <w:footnote w:id="657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וכד כו'.</w:t>
      </w:r>
      <w:r w:rsidRPr="00BD5E91">
        <w:rPr>
          <w:sz w:val="22"/>
          <w:szCs w:val="22"/>
          <w:rtl/>
        </w:rPr>
        <w:t xml:space="preserve"> עכשיו מפ' דבחכמה נקרא מ"ה ובכתר תגא כו' שהוא שי"ן ותגא דשין:</w:t>
      </w:r>
    </w:p>
  </w:footnote>
  <w:footnote w:id="657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כלילא מע"ס.</w:t>
      </w:r>
      <w:r w:rsidRPr="00BD5E91">
        <w:rPr>
          <w:sz w:val="22"/>
          <w:szCs w:val="22"/>
          <w:rtl/>
        </w:rPr>
        <w:t xml:space="preserve"> כמ"ש לעיל דף ע"ג ועשר חכמות כו' והן יוד אותות דמ"ה כמש"ו:</w:t>
      </w:r>
    </w:p>
  </w:footnote>
  <w:footnote w:id="657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מחשבה ודאי כו'.</w:t>
      </w:r>
      <w:r w:rsidRPr="00BD5E91">
        <w:rPr>
          <w:sz w:val="22"/>
          <w:szCs w:val="22"/>
          <w:rtl/>
        </w:rPr>
        <w:t xml:space="preserve"> ר"ל דחכמה הוא כ"ח מ"ה כמש"ל וכן מחשבה הוא מ"ה כמש"ו וז"ש ודאי איהו חכמה שהמחשבה הוא ידוע שהוא בחכמה והוא מ"ה חש"ב אותות חכמה ור"ל שחשבונא הוא בחכמה כמ"ש לעיל דף ע"ד וחשב גי' דשם החכמה והוא גי' מ"ה וז"ש חשב ותשכח לה ר"ל לשם מ"ה תמן בחכמה:</w:t>
      </w:r>
    </w:p>
  </w:footnote>
  <w:footnote w:id="657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w:t>
      </w:r>
      <w:r>
        <w:rPr>
          <w:rFonts w:hint="cs"/>
          <w:b/>
          <w:bCs/>
          <w:sz w:val="22"/>
          <w:szCs w:val="22"/>
          <w:rtl/>
        </w:rPr>
        <w:t>כ</w:t>
      </w:r>
      <w:r w:rsidRPr="00BD5E91">
        <w:rPr>
          <w:b/>
          <w:bCs/>
          <w:sz w:val="22"/>
          <w:szCs w:val="22"/>
          <w:rtl/>
        </w:rPr>
        <w:t>ה עלו כו'.</w:t>
      </w:r>
      <w:r w:rsidRPr="00BD5E91">
        <w:rPr>
          <w:sz w:val="22"/>
          <w:szCs w:val="22"/>
          <w:rtl/>
        </w:rPr>
        <w:t xml:space="preserve"> ר"ל שישראל הן במלכות, וכשהיא בכתר עולין לה על ידי המחשבה שהיא נעשית סולם למלכות וז"ש. דמחשבה אתעבידת כו':</w:t>
      </w:r>
    </w:p>
  </w:footnote>
  <w:footnote w:id="657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דאתכליל כו'.</w:t>
      </w:r>
      <w:r w:rsidRPr="00BD5E91">
        <w:rPr>
          <w:sz w:val="22"/>
          <w:szCs w:val="22"/>
          <w:rtl/>
        </w:rPr>
        <w:t xml:space="preserve"> ר"ל שנכללת בעלת העלות מרכבה לא"ס:</w:t>
      </w:r>
    </w:p>
  </w:footnote>
  <w:footnote w:id="657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לההוא דל"ל כו'.</w:t>
      </w:r>
      <w:r w:rsidRPr="00BD5E91">
        <w:rPr>
          <w:sz w:val="22"/>
          <w:szCs w:val="22"/>
          <w:rtl/>
        </w:rPr>
        <w:t xml:space="preserve"> ר"ל לא"ס כמש"ו:</w:t>
      </w:r>
    </w:p>
  </w:footnote>
  <w:footnote w:id="657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עד ההוא מופלא.</w:t>
      </w:r>
      <w:r w:rsidRPr="00BD5E91">
        <w:rPr>
          <w:sz w:val="22"/>
          <w:szCs w:val="22"/>
          <w:rtl/>
        </w:rPr>
        <w:t xml:space="preserve"> ר"ל לעלת העלות והוא י' עילאה דזרקא כמש"ו:</w:t>
      </w:r>
    </w:p>
  </w:footnote>
  <w:footnote w:id="657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בההוא כו' דביה צריך לארכא לה כו'.</w:t>
      </w:r>
      <w:r w:rsidRPr="00BD5E91">
        <w:rPr>
          <w:sz w:val="22"/>
          <w:szCs w:val="22"/>
          <w:rtl/>
        </w:rPr>
        <w:t xml:space="preserve"> ר"ל דבחוט צריך להאריך לסלקא ליוד עילאה ואח"כ לאנחית ליוד תתאה וכן הוא ניגון הזרקא:</w:t>
      </w:r>
    </w:p>
  </w:footnote>
  <w:footnote w:id="658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דתלת מוחין.</w:t>
      </w:r>
      <w:r w:rsidRPr="00BD5E91">
        <w:rPr>
          <w:sz w:val="22"/>
          <w:szCs w:val="22"/>
          <w:rtl/>
        </w:rPr>
        <w:t xml:space="preserve"> חב"ד ודעת הוא נגד הכתר כידוע והוא נגד ג' יודין דסגולתא כח"ב דכתר:</w:t>
      </w:r>
    </w:p>
  </w:footnote>
  <w:footnote w:id="658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תלת קטורין כו'.</w:t>
      </w:r>
      <w:r w:rsidRPr="00BD5E91">
        <w:rPr>
          <w:sz w:val="22"/>
          <w:szCs w:val="22"/>
          <w:rtl/>
        </w:rPr>
        <w:t xml:space="preserve"> כמ"ש בת"ז דנשמתא מטעמים ורוחא מנקודין ונפשא מאותיות וכ' שם דטעמים ונקודות ואותיות הן מכח"ב וז"ש דאינון כו':</w:t>
      </w:r>
    </w:p>
  </w:footnote>
  <w:footnote w:id="658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דאינון מתלת כו'.</w:t>
      </w:r>
      <w:r w:rsidRPr="00BD5E91">
        <w:rPr>
          <w:sz w:val="22"/>
          <w:szCs w:val="22"/>
          <w:rtl/>
        </w:rPr>
        <w:t xml:space="preserve"> ולפיכך שכינה מסטרא דילהון סלקא עד שם:</w:t>
      </w:r>
    </w:p>
  </w:footnote>
  <w:footnote w:id="658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שכינה ונשיקת כו'.</w:t>
      </w:r>
      <w:r w:rsidRPr="00BD5E91">
        <w:rPr>
          <w:sz w:val="22"/>
          <w:szCs w:val="22"/>
          <w:rtl/>
        </w:rPr>
        <w:t xml:space="preserve"> דנשיקה משפה</w:t>
      </w:r>
      <w:r>
        <w:rPr>
          <w:rFonts w:hint="cs"/>
          <w:sz w:val="22"/>
          <w:szCs w:val="22"/>
          <w:rtl/>
        </w:rPr>
        <w:t>,</w:t>
      </w:r>
      <w:r w:rsidRPr="00BD5E91">
        <w:rPr>
          <w:sz w:val="22"/>
          <w:szCs w:val="22"/>
          <w:rtl/>
        </w:rPr>
        <w:t xml:space="preserve"> והוא שכינה כמ"ש לקמן</w:t>
      </w:r>
      <w:r>
        <w:rPr>
          <w:rFonts w:hint="cs"/>
          <w:sz w:val="22"/>
          <w:szCs w:val="22"/>
          <w:rtl/>
        </w:rPr>
        <w:t>.</w:t>
      </w:r>
      <w:r w:rsidRPr="00BD5E91">
        <w:rPr>
          <w:sz w:val="22"/>
          <w:szCs w:val="22"/>
          <w:rtl/>
        </w:rPr>
        <w:t xml:space="preserve"> והמתיבתות הן מסט' דו"ק כלול בצדיק ששם ברוך ושם לשון. ור"מ הוא מסט' דתרווייהו:</w:t>
      </w:r>
    </w:p>
  </w:footnote>
  <w:footnote w:id="658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נשקו בר.</w:t>
      </w:r>
      <w:r w:rsidRPr="00BD5E91">
        <w:rPr>
          <w:sz w:val="22"/>
          <w:szCs w:val="22"/>
          <w:rtl/>
        </w:rPr>
        <w:t xml:space="preserve"> נשקו ל' נשיקה ולשון שקיו כמש"ו ובר לשון תבואה ול' בן:</w:t>
      </w:r>
    </w:p>
  </w:footnote>
  <w:footnote w:id="658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 אורייתא כו'.</w:t>
      </w:r>
      <w:r w:rsidRPr="00BD5E91">
        <w:rPr>
          <w:sz w:val="22"/>
          <w:szCs w:val="22"/>
          <w:rtl/>
        </w:rPr>
        <w:t xml:space="preserve"> ר"ל אורייתא ל' תבואה</w:t>
      </w:r>
      <w:r>
        <w:rPr>
          <w:rFonts w:hint="cs"/>
          <w:sz w:val="22"/>
          <w:szCs w:val="22"/>
          <w:rtl/>
        </w:rPr>
        <w:t>,</w:t>
      </w:r>
      <w:r w:rsidRPr="00BD5E91">
        <w:rPr>
          <w:sz w:val="22"/>
          <w:szCs w:val="22"/>
          <w:rtl/>
        </w:rPr>
        <w:t xml:space="preserve"> ור"מ ל' בן כמש"ו:</w:t>
      </w:r>
    </w:p>
  </w:footnote>
  <w:footnote w:id="658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מההוא חטה כו'.</w:t>
      </w:r>
      <w:r w:rsidRPr="00BD5E91">
        <w:rPr>
          <w:sz w:val="22"/>
          <w:szCs w:val="22"/>
          <w:rtl/>
        </w:rPr>
        <w:t xml:space="preserve"> ר"ל מע"ה טו"ר:</w:t>
      </w:r>
    </w:p>
  </w:footnote>
  <w:footnote w:id="658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בכיסויא דרדפין כו'.</w:t>
      </w:r>
      <w:r w:rsidRPr="00BD5E91">
        <w:rPr>
          <w:sz w:val="22"/>
          <w:szCs w:val="22"/>
          <w:rtl/>
        </w:rPr>
        <w:t xml:space="preserve"> ר"ל שישראל שנמשלו לה' מיני תבואה בין ערב רב כמ"ש בר"מ משפטים ד' ק"כ</w:t>
      </w:r>
      <w:r>
        <w:rPr>
          <w:rFonts w:hint="cs"/>
          <w:sz w:val="22"/>
          <w:szCs w:val="22"/>
          <w:rtl/>
        </w:rPr>
        <w:t>.</w:t>
      </w:r>
      <w:r w:rsidRPr="00BD5E91">
        <w:rPr>
          <w:sz w:val="22"/>
          <w:szCs w:val="22"/>
          <w:rtl/>
        </w:rPr>
        <w:t xml:space="preserve"> וזה חטה</w:t>
      </w:r>
      <w:r>
        <w:rPr>
          <w:rFonts w:hint="cs"/>
          <w:sz w:val="22"/>
          <w:szCs w:val="22"/>
          <w:rtl/>
        </w:rPr>
        <w:t>,</w:t>
      </w:r>
      <w:r w:rsidRPr="00BD5E91">
        <w:rPr>
          <w:sz w:val="22"/>
          <w:szCs w:val="22"/>
          <w:rtl/>
        </w:rPr>
        <w:t xml:space="preserve"> ח"ט מכסין לה'</w:t>
      </w:r>
      <w:r>
        <w:rPr>
          <w:rFonts w:hint="cs"/>
          <w:sz w:val="22"/>
          <w:szCs w:val="22"/>
          <w:rtl/>
        </w:rPr>
        <w:t>,</w:t>
      </w:r>
      <w:r w:rsidRPr="00BD5E91">
        <w:rPr>
          <w:sz w:val="22"/>
          <w:szCs w:val="22"/>
          <w:rtl/>
        </w:rPr>
        <w:t xml:space="preserve"> כמ"ש (חבקוק א ד) הרשע מכתיר כו':</w:t>
      </w:r>
    </w:p>
  </w:footnote>
  <w:footnote w:id="658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מעשר דילה כו'.</w:t>
      </w:r>
      <w:r w:rsidRPr="00BD5E91">
        <w:rPr>
          <w:sz w:val="22"/>
          <w:szCs w:val="22"/>
          <w:rtl/>
        </w:rPr>
        <w:t xml:space="preserve"> עבר"מ הנ"ל:</w:t>
      </w:r>
    </w:p>
  </w:footnote>
  <w:footnote w:id="658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נשקו דשפוון כו'.</w:t>
      </w:r>
      <w:r w:rsidRPr="00BD5E91">
        <w:rPr>
          <w:sz w:val="22"/>
          <w:szCs w:val="22"/>
          <w:rtl/>
        </w:rPr>
        <w:t xml:space="preserve"> ר"ל שתלמדו אילנא דחיי</w:t>
      </w:r>
      <w:r>
        <w:rPr>
          <w:rFonts w:hint="cs"/>
          <w:sz w:val="22"/>
          <w:szCs w:val="22"/>
          <w:rtl/>
        </w:rPr>
        <w:t>,</w:t>
      </w:r>
      <w:r w:rsidRPr="00BD5E91">
        <w:rPr>
          <w:sz w:val="22"/>
          <w:szCs w:val="22"/>
          <w:rtl/>
        </w:rPr>
        <w:t xml:space="preserve"> שהוא סולת נקייה כנ"ל</w:t>
      </w:r>
      <w:r>
        <w:rPr>
          <w:rFonts w:hint="cs"/>
          <w:sz w:val="22"/>
          <w:szCs w:val="22"/>
          <w:rtl/>
        </w:rPr>
        <w:t>,</w:t>
      </w:r>
      <w:r w:rsidRPr="00BD5E91">
        <w:rPr>
          <w:sz w:val="22"/>
          <w:szCs w:val="22"/>
          <w:rtl/>
        </w:rPr>
        <w:t xml:space="preserve"> והוא אורייתא דמשה כנ"ל</w:t>
      </w:r>
      <w:r>
        <w:rPr>
          <w:rFonts w:hint="cs"/>
          <w:sz w:val="22"/>
          <w:szCs w:val="22"/>
          <w:rtl/>
        </w:rPr>
        <w:t>,</w:t>
      </w:r>
      <w:r w:rsidRPr="00BD5E91">
        <w:rPr>
          <w:sz w:val="22"/>
          <w:szCs w:val="22"/>
          <w:rtl/>
        </w:rPr>
        <w:t xml:space="preserve"> רזין דאורייתא כמש"ו</w:t>
      </w:r>
      <w:r>
        <w:rPr>
          <w:rFonts w:hint="cs"/>
          <w:sz w:val="22"/>
          <w:szCs w:val="22"/>
          <w:rtl/>
        </w:rPr>
        <w:t>.</w:t>
      </w:r>
      <w:r w:rsidRPr="00BD5E91">
        <w:rPr>
          <w:sz w:val="22"/>
          <w:szCs w:val="22"/>
          <w:rtl/>
        </w:rPr>
        <w:t xml:space="preserve"> ותמשיכו שקיו דשפוון שהן נו"ה כמ"ש לעיל בדף הקודם</w:t>
      </w:r>
      <w:r>
        <w:rPr>
          <w:rFonts w:hint="cs"/>
          <w:sz w:val="22"/>
          <w:szCs w:val="22"/>
          <w:rtl/>
        </w:rPr>
        <w:t>,</w:t>
      </w:r>
      <w:r w:rsidRPr="00BD5E91">
        <w:rPr>
          <w:sz w:val="22"/>
          <w:szCs w:val="22"/>
          <w:rtl/>
        </w:rPr>
        <w:t xml:space="preserve"> ערבי נחל</w:t>
      </w:r>
      <w:r>
        <w:rPr>
          <w:rFonts w:hint="cs"/>
          <w:sz w:val="22"/>
          <w:szCs w:val="22"/>
          <w:rtl/>
        </w:rPr>
        <w:t>,</w:t>
      </w:r>
      <w:r w:rsidRPr="00BD5E91">
        <w:rPr>
          <w:sz w:val="22"/>
          <w:szCs w:val="22"/>
          <w:rtl/>
        </w:rPr>
        <w:t xml:space="preserve"> והן נו"ה דגולגלתא</w:t>
      </w:r>
      <w:r>
        <w:rPr>
          <w:rFonts w:hint="cs"/>
          <w:sz w:val="22"/>
          <w:szCs w:val="22"/>
          <w:rtl/>
        </w:rPr>
        <w:t>,</w:t>
      </w:r>
      <w:r w:rsidRPr="00BD5E91">
        <w:rPr>
          <w:sz w:val="22"/>
          <w:szCs w:val="22"/>
          <w:rtl/>
        </w:rPr>
        <w:t xml:space="preserve"> כ"ע כידוע</w:t>
      </w:r>
      <w:r>
        <w:rPr>
          <w:rFonts w:hint="cs"/>
          <w:sz w:val="22"/>
          <w:szCs w:val="22"/>
          <w:rtl/>
        </w:rPr>
        <w:t>.</w:t>
      </w:r>
      <w:r w:rsidRPr="00BD5E91">
        <w:rPr>
          <w:sz w:val="22"/>
          <w:szCs w:val="22"/>
          <w:rtl/>
        </w:rPr>
        <w:t xml:space="preserve"> והוא התורה שנותן ע"י שפתו בנו"ה שנק' למודי ה'</w:t>
      </w:r>
      <w:r>
        <w:rPr>
          <w:rFonts w:hint="cs"/>
          <w:sz w:val="22"/>
          <w:szCs w:val="22"/>
          <w:rtl/>
        </w:rPr>
        <w:t>,</w:t>
      </w:r>
      <w:r w:rsidRPr="00BD5E91">
        <w:rPr>
          <w:sz w:val="22"/>
          <w:szCs w:val="22"/>
          <w:rtl/>
        </w:rPr>
        <w:t xml:space="preserve"> ששם נמשך תורת אמת מת"ת</w:t>
      </w:r>
      <w:r>
        <w:rPr>
          <w:rFonts w:hint="cs"/>
          <w:sz w:val="22"/>
          <w:szCs w:val="22"/>
          <w:rtl/>
        </w:rPr>
        <w:t>,</w:t>
      </w:r>
      <w:r w:rsidRPr="00BD5E91">
        <w:rPr>
          <w:sz w:val="22"/>
          <w:szCs w:val="22"/>
          <w:rtl/>
        </w:rPr>
        <w:t xml:space="preserve"> ותורד מלשון לברית</w:t>
      </w:r>
      <w:r>
        <w:rPr>
          <w:rFonts w:hint="cs"/>
          <w:sz w:val="22"/>
          <w:szCs w:val="22"/>
          <w:rtl/>
        </w:rPr>
        <w:t>.</w:t>
      </w:r>
      <w:r w:rsidRPr="00BD5E91">
        <w:rPr>
          <w:sz w:val="22"/>
          <w:szCs w:val="22"/>
          <w:rtl/>
        </w:rPr>
        <w:t xml:space="preserve"> כמ"ש בס"י ברית הלשון וברית המעור</w:t>
      </w:r>
      <w:r>
        <w:rPr>
          <w:rFonts w:hint="cs"/>
          <w:sz w:val="22"/>
          <w:szCs w:val="22"/>
          <w:rtl/>
        </w:rPr>
        <w:t>.</w:t>
      </w:r>
      <w:r w:rsidRPr="00BD5E91">
        <w:rPr>
          <w:sz w:val="22"/>
          <w:szCs w:val="22"/>
          <w:rtl/>
        </w:rPr>
        <w:t xml:space="preserve"> והוא לשון למודים שנמשך מלמודים אליו:</w:t>
      </w:r>
    </w:p>
  </w:footnote>
  <w:footnote w:id="659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שכינתא עילאה. </w:t>
      </w:r>
      <w:r w:rsidRPr="00BD5E91">
        <w:rPr>
          <w:sz w:val="22"/>
          <w:szCs w:val="22"/>
          <w:rtl/>
        </w:rPr>
        <w:t>ר"ל משם תמשיכו נהורא דאורייתא שמשם הן רזין סתימין כמש"ו:</w:t>
      </w:r>
    </w:p>
  </w:footnote>
  <w:footnote w:id="659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דזרקא דאסחר שפה.</w:t>
      </w:r>
      <w:r w:rsidRPr="00BD5E91">
        <w:rPr>
          <w:sz w:val="22"/>
          <w:szCs w:val="22"/>
          <w:rtl/>
        </w:rPr>
        <w:t xml:space="preserve"> בניגונא דיליה:</w:t>
      </w:r>
    </w:p>
  </w:footnote>
  <w:footnote w:id="659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איהו חוט כו'.</w:t>
      </w:r>
      <w:r w:rsidRPr="00BD5E91">
        <w:rPr>
          <w:sz w:val="22"/>
          <w:szCs w:val="22"/>
          <w:rtl/>
        </w:rPr>
        <w:t xml:space="preserve"> ר"ל בכולם נאמר בהם חוט והן ג' אבהן והן ג' חוטים שמקיפים את השפה שני חוטים בפנים השפה א' בשפה עליונה וא' בשפה תחתנונה וחוט א' בחיצונית השפה מקיף שני השפתים יחד והוא קו ירוק כו' ר"ל ת"ת מסט' דתשובה שאמרו בגמ' (חגיגה יב ע"א) קו ירוק שמקיף ר"ל מסט' דבינה שתשובה מקיף כו'. כי אין צדיק בארץ כו' (קהלת ז כ):</w:t>
      </w:r>
    </w:p>
  </w:footnote>
  <w:footnote w:id="659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תלת חוטין אינון כו'.</w:t>
      </w:r>
      <w:r w:rsidRPr="00BD5E91">
        <w:rPr>
          <w:sz w:val="22"/>
          <w:szCs w:val="22"/>
          <w:rtl/>
        </w:rPr>
        <w:t xml:space="preserve"> ר"ל וכן בעין ג"כ שלשה חוטין שמקיפין את בת עין</w:t>
      </w:r>
      <w:r>
        <w:rPr>
          <w:rFonts w:hint="cs"/>
          <w:sz w:val="22"/>
          <w:szCs w:val="22"/>
          <w:rtl/>
        </w:rPr>
        <w:t>,</w:t>
      </w:r>
      <w:r w:rsidRPr="00BD5E91">
        <w:rPr>
          <w:sz w:val="22"/>
          <w:szCs w:val="22"/>
          <w:rtl/>
        </w:rPr>
        <w:t xml:space="preserve"> מלכות</w:t>
      </w:r>
      <w:r>
        <w:rPr>
          <w:rFonts w:hint="cs"/>
          <w:sz w:val="22"/>
          <w:szCs w:val="22"/>
          <w:rtl/>
        </w:rPr>
        <w:t>.</w:t>
      </w:r>
      <w:r w:rsidRPr="00BD5E91">
        <w:rPr>
          <w:sz w:val="22"/>
          <w:szCs w:val="22"/>
          <w:rtl/>
        </w:rPr>
        <w:t xml:space="preserve"> ועין עצמו היא שכינה עילאה כמש"ו דל"ל הפסק שהיא נהר יוצא מעדן:</w:t>
      </w:r>
    </w:p>
  </w:footnote>
  <w:footnote w:id="659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תלת אבהן.</w:t>
      </w:r>
      <w:r w:rsidRPr="00BD5E91">
        <w:rPr>
          <w:sz w:val="22"/>
          <w:szCs w:val="22"/>
          <w:rtl/>
        </w:rPr>
        <w:t xml:space="preserve"> שנקראו רבים. כמ"ש בהת"ז הלכה כרבים:</w:t>
      </w:r>
    </w:p>
  </w:footnote>
  <w:footnote w:id="659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עינא דמיא כו'.</w:t>
      </w:r>
      <w:r w:rsidRPr="00BD5E91">
        <w:rPr>
          <w:sz w:val="22"/>
          <w:szCs w:val="22"/>
          <w:rtl/>
        </w:rPr>
        <w:t xml:space="preserve"> ר"ל בינה והוא לשון עין המים וז"ש עיניך שהוא בינה ברכות כו' ר"ל עין המים דל"ל הפסק, על שער כו' ר"ל על מלכות דהיא שקיא לה ע"י ג' אבהן:</w:t>
      </w:r>
    </w:p>
  </w:footnote>
  <w:footnote w:id="659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ומתמן כו'.</w:t>
      </w:r>
      <w:r w:rsidRPr="00BD5E91">
        <w:rPr>
          <w:sz w:val="22"/>
          <w:szCs w:val="22"/>
          <w:rtl/>
        </w:rPr>
        <w:t xml:space="preserve"> ר"ל מבינה תשקיון את הבר</w:t>
      </w:r>
      <w:r>
        <w:rPr>
          <w:rFonts w:hint="cs"/>
          <w:sz w:val="22"/>
          <w:szCs w:val="22"/>
          <w:rtl/>
        </w:rPr>
        <w:t>,</w:t>
      </w:r>
      <w:r w:rsidRPr="00BD5E91">
        <w:rPr>
          <w:sz w:val="22"/>
          <w:szCs w:val="22"/>
          <w:rtl/>
        </w:rPr>
        <w:t xml:space="preserve"> ג' אבהן כלול בעד"א</w:t>
      </w:r>
      <w:r>
        <w:rPr>
          <w:rFonts w:hint="cs"/>
          <w:sz w:val="22"/>
          <w:szCs w:val="22"/>
          <w:rtl/>
        </w:rPr>
        <w:t>,</w:t>
      </w:r>
      <w:r w:rsidRPr="00BD5E91">
        <w:rPr>
          <w:sz w:val="22"/>
          <w:szCs w:val="22"/>
          <w:rtl/>
        </w:rPr>
        <w:t xml:space="preserve"> והוא אורייתא שנק' בר כמש"ו לאנהרא כו' וכן מלכות</w:t>
      </w:r>
      <w:r>
        <w:rPr>
          <w:rFonts w:hint="cs"/>
          <w:sz w:val="22"/>
          <w:szCs w:val="22"/>
          <w:rtl/>
        </w:rPr>
        <w:t>,</w:t>
      </w:r>
      <w:r w:rsidRPr="00BD5E91">
        <w:rPr>
          <w:sz w:val="22"/>
          <w:szCs w:val="22"/>
          <w:rtl/>
        </w:rPr>
        <w:t xml:space="preserve"> ב"ת ר"בים</w:t>
      </w:r>
      <w:r>
        <w:rPr>
          <w:rFonts w:hint="cs"/>
          <w:sz w:val="22"/>
          <w:szCs w:val="22"/>
          <w:rtl/>
        </w:rPr>
        <w:t>,</w:t>
      </w:r>
      <w:r w:rsidRPr="00BD5E91">
        <w:rPr>
          <w:sz w:val="22"/>
          <w:szCs w:val="22"/>
          <w:rtl/>
        </w:rPr>
        <w:t xml:space="preserve"> ר"ת בר</w:t>
      </w:r>
      <w:r>
        <w:rPr>
          <w:rFonts w:hint="cs"/>
          <w:sz w:val="22"/>
          <w:szCs w:val="22"/>
          <w:rtl/>
        </w:rPr>
        <w:t>.</w:t>
      </w:r>
      <w:r w:rsidRPr="00BD5E91">
        <w:rPr>
          <w:sz w:val="22"/>
          <w:szCs w:val="22"/>
          <w:rtl/>
        </w:rPr>
        <w:t xml:space="preserve"> ונשקו ל' נשיקה בשפה ולשון שקיו בעיניך ברכות</w:t>
      </w:r>
      <w:r>
        <w:rPr>
          <w:rFonts w:hint="cs"/>
          <w:sz w:val="22"/>
          <w:szCs w:val="22"/>
          <w:rtl/>
        </w:rPr>
        <w:t>,</w:t>
      </w:r>
      <w:r w:rsidRPr="00BD5E91">
        <w:rPr>
          <w:sz w:val="22"/>
          <w:szCs w:val="22"/>
          <w:rtl/>
        </w:rPr>
        <w:t xml:space="preserve"> עינא דמיא כו':</w:t>
      </w:r>
    </w:p>
  </w:footnote>
  <w:footnote w:id="659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מכאן ואילך כו' נטור כו'.</w:t>
      </w:r>
      <w:r w:rsidRPr="00BD5E91">
        <w:rPr>
          <w:sz w:val="22"/>
          <w:szCs w:val="22"/>
          <w:rtl/>
        </w:rPr>
        <w:t xml:space="preserve"> ר"ל שהקירטא כד איהי למטה זרקת אבנין למעלה וכד איהי למעלה זורקת למטה:</w:t>
      </w:r>
      <w:r w:rsidRPr="00BD5E91">
        <w:rPr>
          <w:b/>
          <w:bCs/>
          <w:sz w:val="22"/>
          <w:szCs w:val="22"/>
          <w:rtl/>
        </w:rPr>
        <w:t xml:space="preserve"> </w:t>
      </w:r>
    </w:p>
  </w:footnote>
  <w:footnote w:id="659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מאבנין כו'.</w:t>
      </w:r>
      <w:r w:rsidRPr="00BD5E91">
        <w:rPr>
          <w:sz w:val="22"/>
          <w:szCs w:val="22"/>
          <w:rtl/>
        </w:rPr>
        <w:t xml:space="preserve"> ר"ל מנסיונות שלה:</w:t>
      </w:r>
    </w:p>
  </w:footnote>
  <w:footnote w:id="659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דהא בפומא כו' ובעובדין דלהון.</w:t>
      </w:r>
      <w:r w:rsidRPr="00BD5E91">
        <w:rPr>
          <w:sz w:val="22"/>
          <w:szCs w:val="22"/>
          <w:rtl/>
        </w:rPr>
        <w:t xml:space="preserve"> ר"ל באלו סלקת ובוחנת כמש"ו:</w:t>
      </w:r>
    </w:p>
  </w:footnote>
  <w:footnote w:id="660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דהאי אבנא.</w:t>
      </w:r>
      <w:r w:rsidRPr="00BD5E91">
        <w:rPr>
          <w:sz w:val="22"/>
          <w:szCs w:val="22"/>
          <w:rtl/>
        </w:rPr>
        <w:t xml:space="preserve"> ר"ל מלכות דמלכות</w:t>
      </w:r>
      <w:r>
        <w:rPr>
          <w:rFonts w:hint="cs"/>
          <w:sz w:val="22"/>
          <w:szCs w:val="22"/>
          <w:rtl/>
        </w:rPr>
        <w:t>,</w:t>
      </w:r>
      <w:r w:rsidRPr="00BD5E91">
        <w:rPr>
          <w:sz w:val="22"/>
          <w:szCs w:val="22"/>
          <w:rtl/>
        </w:rPr>
        <w:t xml:space="preserve"> והיא אבן בחן ואבן מאסו הבונים כו' והיא י' של אדנ"י וכן י' של הויה דשם הויה בה להיפך נוקבא כידוע:</w:t>
      </w:r>
    </w:p>
  </w:footnote>
  <w:footnote w:id="660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דאינון אבהן.</w:t>
      </w:r>
      <w:r w:rsidRPr="00BD5E91">
        <w:rPr>
          <w:sz w:val="22"/>
          <w:szCs w:val="22"/>
          <w:rtl/>
        </w:rPr>
        <w:t xml:space="preserve"> דאבהן בה </w:t>
      </w:r>
      <w:r>
        <w:rPr>
          <w:rFonts w:hint="cs"/>
          <w:sz w:val="22"/>
          <w:szCs w:val="22"/>
          <w:rtl/>
        </w:rPr>
        <w:t xml:space="preserve">- </w:t>
      </w:r>
      <w:r w:rsidRPr="00BD5E91">
        <w:rPr>
          <w:sz w:val="22"/>
          <w:szCs w:val="22"/>
          <w:rtl/>
        </w:rPr>
        <w:t>הו"ה של השם</w:t>
      </w:r>
      <w:r>
        <w:rPr>
          <w:rFonts w:hint="cs"/>
          <w:sz w:val="22"/>
          <w:szCs w:val="22"/>
          <w:rtl/>
        </w:rPr>
        <w:t>,</w:t>
      </w:r>
      <w:r w:rsidRPr="00BD5E91">
        <w:rPr>
          <w:sz w:val="22"/>
          <w:szCs w:val="22"/>
          <w:rtl/>
        </w:rPr>
        <w:t xml:space="preserve"> והן מאסו באבנא ו' מלכות דילה</w:t>
      </w:r>
      <w:r>
        <w:rPr>
          <w:rFonts w:hint="cs"/>
          <w:sz w:val="22"/>
          <w:szCs w:val="22"/>
          <w:rtl/>
        </w:rPr>
        <w:t>,</w:t>
      </w:r>
      <w:r w:rsidRPr="00BD5E91">
        <w:rPr>
          <w:sz w:val="22"/>
          <w:szCs w:val="22"/>
          <w:rtl/>
        </w:rPr>
        <w:t xml:space="preserve"> דאסתלקו לעילא בחג"ת דילה שהן ג' אותיות ראשונות של השם כידוע:</w:t>
      </w:r>
    </w:p>
  </w:footnote>
  <w:footnote w:id="660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וכד נחתת כו'.</w:t>
      </w:r>
      <w:r w:rsidRPr="00BD5E91">
        <w:rPr>
          <w:sz w:val="22"/>
          <w:szCs w:val="22"/>
          <w:rtl/>
        </w:rPr>
        <w:t xml:space="preserve"> ר"ל אז מאסו שהיא למטה מהן:</w:t>
      </w:r>
    </w:p>
  </w:footnote>
  <w:footnote w:id="660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וכד אסתלקת.</w:t>
      </w:r>
      <w:r w:rsidRPr="00BD5E91">
        <w:rPr>
          <w:sz w:val="22"/>
          <w:szCs w:val="22"/>
          <w:rtl/>
        </w:rPr>
        <w:t xml:space="preserve"> בסוד עטרת בעלה דסלקת לכתרא דילה שהיא ע"ג ג' אותיות הראשונות של השם ואז היוד ע"ג ג' אותיות "ה"ו"ה שהן חו"ב ו"ק דילה וזה לראש פנה והוא בתר דקאים ב"נ בנסיונא כמש"ו:</w:t>
      </w:r>
    </w:p>
  </w:footnote>
  <w:footnote w:id="660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בה נתנסה כו'.</w:t>
      </w:r>
      <w:r w:rsidRPr="00BD5E91">
        <w:rPr>
          <w:sz w:val="22"/>
          <w:szCs w:val="22"/>
          <w:rtl/>
        </w:rPr>
        <w:t xml:space="preserve"> ר"ל ביוד עשר נסיונות:</w:t>
      </w:r>
    </w:p>
  </w:footnote>
  <w:footnote w:id="660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איהי מאיך.</w:t>
      </w:r>
      <w:r w:rsidRPr="00BD5E91">
        <w:rPr>
          <w:sz w:val="22"/>
          <w:szCs w:val="22"/>
          <w:rtl/>
        </w:rPr>
        <w:t xml:space="preserve"> כגוונא דבר נש דהוא מאיך אז ור"ל יו"ד בסוף השם:</w:t>
      </w:r>
    </w:p>
  </w:footnote>
  <w:footnote w:id="660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לגבה בעלה כו'.</w:t>
      </w:r>
      <w:r w:rsidRPr="00BD5E91">
        <w:rPr>
          <w:sz w:val="22"/>
          <w:szCs w:val="22"/>
          <w:rtl/>
        </w:rPr>
        <w:t xml:space="preserve"> ר"ל דסליק יוד על הג' אותיות ואז השם כסדר ואז איהי אצל בעלה בשוה בסוד שני המאורות הגדולים וכן האדם אסתלק אז כגוונא דידה שכל ישראל הן מסט' דמלכות שלה דמשם היו נקראים בני מלכים וכגוונא דאיהי כן הוא בר נש:</w:t>
      </w:r>
    </w:p>
  </w:footnote>
  <w:footnote w:id="660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וכל זה כו'.</w:t>
      </w:r>
      <w:r w:rsidRPr="00BD5E91">
        <w:rPr>
          <w:sz w:val="22"/>
          <w:szCs w:val="22"/>
          <w:rtl/>
        </w:rPr>
        <w:t xml:space="preserve"> ר"ל בס"ת השם בהיפוך שהוא דינא לנסאה לבר נש</w:t>
      </w:r>
      <w:r>
        <w:rPr>
          <w:rFonts w:hint="cs"/>
          <w:sz w:val="22"/>
          <w:szCs w:val="22"/>
          <w:rtl/>
        </w:rPr>
        <w:t>,</w:t>
      </w:r>
      <w:r w:rsidRPr="00BD5E91">
        <w:rPr>
          <w:sz w:val="22"/>
          <w:szCs w:val="22"/>
          <w:rtl/>
        </w:rPr>
        <w:t xml:space="preserve"> אומר שכל זה התהפכות בדינא שזה מגמתו כידוע</w:t>
      </w:r>
      <w:r>
        <w:rPr>
          <w:rFonts w:hint="cs"/>
          <w:sz w:val="22"/>
          <w:szCs w:val="22"/>
          <w:rtl/>
        </w:rPr>
        <w:t>,</w:t>
      </w:r>
      <w:r w:rsidRPr="00BD5E91">
        <w:rPr>
          <w:sz w:val="22"/>
          <w:szCs w:val="22"/>
          <w:rtl/>
        </w:rPr>
        <w:t xml:space="preserve"> מ"מ אינו שוה לו לקיומא דקאים בר נש שאז יסתלק לגדולה:</w:t>
      </w:r>
    </w:p>
  </w:footnote>
  <w:footnote w:id="660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דשמא כו'.</w:t>
      </w:r>
      <w:r w:rsidRPr="00BD5E91">
        <w:rPr>
          <w:sz w:val="22"/>
          <w:szCs w:val="22"/>
          <w:rtl/>
        </w:rPr>
        <w:t xml:space="preserve"> ר"ל דכתר עליון ומשם סחרין לכתר דזו"ן:</w:t>
      </w:r>
    </w:p>
  </w:footnote>
  <w:footnote w:id="660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ביה מכתירין כו'.</w:t>
      </w:r>
      <w:r w:rsidRPr="00BD5E91">
        <w:rPr>
          <w:sz w:val="22"/>
          <w:szCs w:val="22"/>
          <w:rtl/>
        </w:rPr>
        <w:t xml:space="preserve"> ר"ל שה' אלקינו או"א נותנין כתר לך עד"א וכן לשכינה שג"כ נקראת לך כמ"ש לך ה' הגדולה כו' שהוא ו"ק עד"א</w:t>
      </w:r>
      <w:r>
        <w:rPr>
          <w:rFonts w:hint="cs"/>
          <w:sz w:val="22"/>
          <w:szCs w:val="22"/>
          <w:rtl/>
        </w:rPr>
        <w:t>,</w:t>
      </w:r>
      <w:r w:rsidRPr="00BD5E91">
        <w:rPr>
          <w:sz w:val="22"/>
          <w:szCs w:val="22"/>
          <w:rtl/>
        </w:rPr>
        <w:t xml:space="preserve"> לך ה' הממלכה כו' מלכות</w:t>
      </w:r>
      <w:r>
        <w:rPr>
          <w:rFonts w:hint="cs"/>
          <w:sz w:val="22"/>
          <w:szCs w:val="22"/>
          <w:rtl/>
        </w:rPr>
        <w:t>,</w:t>
      </w:r>
      <w:r w:rsidRPr="00BD5E91">
        <w:rPr>
          <w:sz w:val="22"/>
          <w:szCs w:val="22"/>
          <w:rtl/>
        </w:rPr>
        <w:t xml:space="preserve"> וז"ש ביה בכתר מכתירין או"א כו':</w:t>
      </w:r>
    </w:p>
  </w:footnote>
  <w:footnote w:id="661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דאיהי קדושה ואיתמר כו'.</w:t>
      </w:r>
      <w:r w:rsidRPr="00BD5E91">
        <w:rPr>
          <w:sz w:val="22"/>
          <w:szCs w:val="22"/>
          <w:rtl/>
        </w:rPr>
        <w:t xml:space="preserve"> ר"ל קדושה שהוא השכינה לך ישלשו בתלת אבהן</w:t>
      </w:r>
      <w:r>
        <w:rPr>
          <w:rFonts w:hint="cs"/>
          <w:sz w:val="22"/>
          <w:szCs w:val="22"/>
          <w:rtl/>
        </w:rPr>
        <w:t>,</w:t>
      </w:r>
      <w:r w:rsidRPr="00BD5E91">
        <w:rPr>
          <w:sz w:val="22"/>
          <w:szCs w:val="22"/>
          <w:rtl/>
        </w:rPr>
        <w:t xml:space="preserve"> וכל הו"ק כלולין בהם כידוע ומכתירין אותה בבעלה ו"ק</w:t>
      </w:r>
      <w:r>
        <w:rPr>
          <w:rFonts w:hint="cs"/>
          <w:sz w:val="22"/>
          <w:szCs w:val="22"/>
          <w:rtl/>
        </w:rPr>
        <w:t>,</w:t>
      </w:r>
      <w:r w:rsidRPr="00BD5E91">
        <w:rPr>
          <w:sz w:val="22"/>
          <w:szCs w:val="22"/>
          <w:rtl/>
        </w:rPr>
        <w:t xml:space="preserve"> וזהו בכללות ואח"כ בפרט קדוש כו':</w:t>
      </w:r>
    </w:p>
  </w:footnote>
  <w:footnote w:id="661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ומאן דאיהו כו'.</w:t>
      </w:r>
      <w:r w:rsidRPr="00BD5E91">
        <w:rPr>
          <w:sz w:val="22"/>
          <w:szCs w:val="22"/>
          <w:rtl/>
        </w:rPr>
        <w:t xml:space="preserve"> ר"ל שנשמתו משרשם דאינהו כבר נתנסו:</w:t>
      </w:r>
    </w:p>
  </w:footnote>
  <w:footnote w:id="661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ואי תימא דאברהם כו'.</w:t>
      </w:r>
      <w:r w:rsidRPr="00BD5E91">
        <w:rPr>
          <w:sz w:val="22"/>
          <w:szCs w:val="22"/>
          <w:rtl/>
        </w:rPr>
        <w:t xml:space="preserve"> ר"ל דאמר לעיל דנחתין עלה עשר סגולות כו' דיוד שלה לשם דמשם נתנסו:</w:t>
      </w:r>
    </w:p>
  </w:footnote>
  <w:footnote w:id="661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בא"ם.</w:t>
      </w:r>
      <w:r w:rsidRPr="00BD5E91">
        <w:rPr>
          <w:sz w:val="22"/>
          <w:szCs w:val="22"/>
          <w:rtl/>
        </w:rPr>
        <w:t xml:space="preserve"> ר"ל בכ"ע שם נקרא המאציל א"ס כמ"ש בר"מ פ' בא: </w:t>
      </w:r>
    </w:p>
  </w:footnote>
  <w:footnote w:id="661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דאית ליה תרי פרצופין כו'.</w:t>
      </w:r>
      <w:r w:rsidRPr="00BD5E91">
        <w:rPr>
          <w:sz w:val="22"/>
          <w:szCs w:val="22"/>
          <w:rtl/>
        </w:rPr>
        <w:t xml:space="preserve"> ר"ל כמ"ש לעיל ד</w:t>
      </w:r>
      <w:r>
        <w:rPr>
          <w:rFonts w:hint="cs"/>
          <w:sz w:val="22"/>
          <w:szCs w:val="22"/>
          <w:rtl/>
        </w:rPr>
        <w:t xml:space="preserve">ף </w:t>
      </w:r>
      <w:r w:rsidRPr="00BD5E91">
        <w:rPr>
          <w:sz w:val="22"/>
          <w:szCs w:val="22"/>
          <w:rtl/>
        </w:rPr>
        <w:t>ע"ג שמרכבה עילאה הוא חבג"ג וכתר כליל לון, ומרכבה תתאה תנה"י ומלכות כליל לון, והן תרין פרצופין של ד' פנים</w:t>
      </w:r>
      <w:r>
        <w:rPr>
          <w:rFonts w:hint="cs"/>
          <w:sz w:val="22"/>
          <w:szCs w:val="22"/>
          <w:rtl/>
        </w:rPr>
        <w:t>.</w:t>
      </w:r>
      <w:r w:rsidRPr="00BD5E91">
        <w:rPr>
          <w:sz w:val="22"/>
          <w:szCs w:val="22"/>
          <w:rtl/>
        </w:rPr>
        <w:t xml:space="preserve"> והכללות הוא מצד אבנא הנ"ל שהוא זמנין לתתא במלכות ולזמנין בכתר</w:t>
      </w:r>
      <w:r>
        <w:rPr>
          <w:rFonts w:hint="cs"/>
          <w:sz w:val="22"/>
          <w:szCs w:val="22"/>
          <w:rtl/>
        </w:rPr>
        <w:t>.</w:t>
      </w:r>
      <w:r w:rsidRPr="00BD5E91">
        <w:rPr>
          <w:sz w:val="22"/>
          <w:szCs w:val="22"/>
          <w:rtl/>
        </w:rPr>
        <w:t xml:space="preserve"> ור"מ כליל בתרין גוונין כמש"ו ומרכבתא דלעילא כללא דילהון ת"ת</w:t>
      </w:r>
      <w:r>
        <w:rPr>
          <w:rFonts w:hint="cs"/>
          <w:sz w:val="22"/>
          <w:szCs w:val="22"/>
          <w:rtl/>
        </w:rPr>
        <w:t>,</w:t>
      </w:r>
      <w:r w:rsidRPr="00BD5E91">
        <w:rPr>
          <w:sz w:val="22"/>
          <w:szCs w:val="22"/>
          <w:rtl/>
        </w:rPr>
        <w:t xml:space="preserve"> אדם</w:t>
      </w:r>
      <w:r>
        <w:rPr>
          <w:rFonts w:hint="cs"/>
          <w:sz w:val="22"/>
          <w:szCs w:val="22"/>
          <w:rtl/>
        </w:rPr>
        <w:t>.</w:t>
      </w:r>
      <w:r w:rsidRPr="00BD5E91">
        <w:rPr>
          <w:sz w:val="22"/>
          <w:szCs w:val="22"/>
          <w:rtl/>
        </w:rPr>
        <w:t xml:space="preserve"> ודלתתא כללא דילהון מלכות</w:t>
      </w:r>
      <w:r>
        <w:rPr>
          <w:rFonts w:hint="cs"/>
          <w:sz w:val="22"/>
          <w:szCs w:val="22"/>
          <w:rtl/>
        </w:rPr>
        <w:t>,</w:t>
      </w:r>
      <w:r w:rsidRPr="00BD5E91">
        <w:rPr>
          <w:sz w:val="22"/>
          <w:szCs w:val="22"/>
          <w:rtl/>
        </w:rPr>
        <w:t xml:space="preserve"> נוקבא דאדם</w:t>
      </w:r>
      <w:r>
        <w:rPr>
          <w:rFonts w:hint="cs"/>
          <w:sz w:val="22"/>
          <w:szCs w:val="22"/>
          <w:rtl/>
        </w:rPr>
        <w:t>.</w:t>
      </w:r>
      <w:r w:rsidRPr="00BD5E91">
        <w:rPr>
          <w:sz w:val="22"/>
          <w:szCs w:val="22"/>
          <w:rtl/>
        </w:rPr>
        <w:t xml:space="preserve"> ששניהן נקראין אדם והן שני פרצופין נבראו וזהו בצלמו, בצלם ו', בצלם אלקים כו':</w:t>
      </w:r>
    </w:p>
  </w:footnote>
  <w:footnote w:id="661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סבא.</w:t>
      </w:r>
      <w:r w:rsidRPr="00BD5E91">
        <w:rPr>
          <w:sz w:val="22"/>
          <w:szCs w:val="22"/>
          <w:rtl/>
        </w:rPr>
        <w:t xml:space="preserve"> הוא אדה"ר כנ"ל:</w:t>
      </w:r>
    </w:p>
  </w:footnote>
  <w:footnote w:id="661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דסבא עילאה.</w:t>
      </w:r>
      <w:r w:rsidRPr="00BD5E91">
        <w:rPr>
          <w:sz w:val="22"/>
          <w:szCs w:val="22"/>
          <w:rtl/>
        </w:rPr>
        <w:t xml:space="preserve"> חכמה עילאה:</w:t>
      </w:r>
    </w:p>
  </w:footnote>
  <w:footnote w:id="661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אבנא דילך.</w:t>
      </w:r>
      <w:r w:rsidRPr="00BD5E91">
        <w:rPr>
          <w:sz w:val="22"/>
          <w:szCs w:val="22"/>
          <w:rtl/>
        </w:rPr>
        <w:t xml:space="preserve"> דבחכמה יבנה בית (משלי כד ג) דביה אתבניאת לכך נקראת חכמה זעירא, והוא יוד עילאה והיא יו"ד תתאה ג"כ יוד של הויה בהיפוך כנ"ל י' של אדנ"י:</w:t>
      </w:r>
    </w:p>
  </w:footnote>
  <w:footnote w:id="661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ברעוא.</w:t>
      </w:r>
      <w:r w:rsidRPr="00BD5E91">
        <w:rPr>
          <w:sz w:val="22"/>
          <w:szCs w:val="22"/>
          <w:rtl/>
        </w:rPr>
        <w:t xml:space="preserve"> לסלקא לה עד כתר שהוא רעוא דרעוין וז"ש עד דלית סוף מסט' דא"ס כנ"ל. ותכלית. שהוא נקרא למעלה עד א"ס ולמטה עד אין תכלית, והוא מגיד מראשית אחרית (ישעיהו מו י), (ישעיהו מד ו) אני ראשון עד א"ס ואני אחרון עד אין תכלית כידוע:</w:t>
      </w:r>
    </w:p>
  </w:footnote>
  <w:footnote w:id="661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אבן ישראל.</w:t>
      </w:r>
      <w:r w:rsidRPr="00BD5E91">
        <w:rPr>
          <w:sz w:val="22"/>
          <w:szCs w:val="22"/>
          <w:rtl/>
        </w:rPr>
        <w:t xml:space="preserve"> ר"ל שהיא אבן ישראל סבא חכמה כנ"ל:</w:t>
      </w:r>
    </w:p>
  </w:footnote>
  <w:footnote w:id="662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בגין לאחורא לה סגולתא.</w:t>
      </w:r>
      <w:r w:rsidRPr="00BD5E91">
        <w:rPr>
          <w:sz w:val="22"/>
          <w:szCs w:val="22"/>
          <w:rtl/>
        </w:rPr>
        <w:t xml:space="preserve"> ר"ל לסלקא לה לכתר דשם נקראת סגולתא כמ"ש לעיל וכל זה מחמת קיומא בנסיונות דילה כמ"ש לעיל דאיהי אסתלקא כו'. ונחתין עלה עשר סגולות כו' וז"ש אנן מקבלין כו' בגין כו':</w:t>
      </w:r>
    </w:p>
  </w:footnote>
  <w:footnote w:id="662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לשריא עלך.</w:t>
      </w:r>
      <w:r w:rsidRPr="00BD5E91">
        <w:rPr>
          <w:sz w:val="22"/>
          <w:szCs w:val="22"/>
          <w:rtl/>
        </w:rPr>
        <w:t xml:space="preserve"> ר"ל על חכמה בכתר כמ"ש לעיל שבה עלו במחשבה וז"ש ובגין כו':</w:t>
      </w:r>
    </w:p>
  </w:footnote>
  <w:footnote w:id="662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יוד כו'.</w:t>
      </w:r>
      <w:r w:rsidRPr="00BD5E91">
        <w:rPr>
          <w:sz w:val="22"/>
          <w:szCs w:val="22"/>
          <w:rtl/>
        </w:rPr>
        <w:t xml:space="preserve"> ר"ל שמא דכתרא כו' שהוא גבוה על כלם ולכן בו נוטל נקמה ממי שמגביה עצמו:</w:t>
      </w:r>
    </w:p>
  </w:footnote>
  <w:footnote w:id="662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וחושבניה ס"ג.</w:t>
      </w:r>
      <w:r w:rsidRPr="00BD5E91">
        <w:rPr>
          <w:sz w:val="22"/>
          <w:szCs w:val="22"/>
          <w:rtl/>
        </w:rPr>
        <w:t xml:space="preserve"> גי' סבא שעלייתה לשם ע"י סבא כנ"ל ישראל עלה במחשבה:</w:t>
      </w:r>
    </w:p>
  </w:footnote>
  <w:footnote w:id="662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מן ג"ס.</w:t>
      </w:r>
      <w:r w:rsidRPr="00BD5E91">
        <w:rPr>
          <w:sz w:val="22"/>
          <w:szCs w:val="22"/>
          <w:rtl/>
        </w:rPr>
        <w:t xml:space="preserve"> ר"ל גי' ס"ג שמגביה עצמו עד שם דבר נש צריך להיות מאיך למריה:</w:t>
      </w:r>
    </w:p>
  </w:footnote>
  <w:footnote w:id="662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כי גאה גאה.</w:t>
      </w:r>
      <w:r w:rsidRPr="00BD5E91">
        <w:rPr>
          <w:sz w:val="22"/>
          <w:szCs w:val="22"/>
          <w:rtl/>
        </w:rPr>
        <w:t xml:space="preserve"> ר"ל כמ"ש (חגיגה יג ע"ב) שמתגאה על גאים:</w:t>
      </w:r>
    </w:p>
  </w:footnote>
  <w:footnote w:id="662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בגין דמניה.</w:t>
      </w:r>
      <w:r w:rsidRPr="00BD5E91">
        <w:rPr>
          <w:sz w:val="22"/>
          <w:szCs w:val="22"/>
          <w:rtl/>
        </w:rPr>
        <w:t xml:space="preserve"> ר"ל מגאוה שנאמר בהם ס"ג כמש"ו ופגימתו מגיע לשם שהיא נקראת ענוה כידוע:</w:t>
      </w:r>
    </w:p>
  </w:footnote>
  <w:footnote w:id="662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בכל אשר לו.</w:t>
      </w:r>
      <w:r w:rsidRPr="00BD5E91">
        <w:rPr>
          <w:sz w:val="22"/>
          <w:szCs w:val="22"/>
          <w:rtl/>
        </w:rPr>
        <w:t xml:space="preserve"> ר"ל מדה נגד מדה שנאמר בהם אין גם אחד:</w:t>
      </w:r>
    </w:p>
  </w:footnote>
  <w:footnote w:id="662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דלא תזוז כו'.</w:t>
      </w:r>
      <w:r w:rsidRPr="00BD5E91">
        <w:rPr>
          <w:sz w:val="22"/>
          <w:szCs w:val="22"/>
          <w:rtl/>
        </w:rPr>
        <w:t xml:space="preserve"> ר"ל ליחדא לה תמיד:</w:t>
      </w:r>
    </w:p>
  </w:footnote>
  <w:footnote w:id="662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ותרין אינון כו'.</w:t>
      </w:r>
      <w:r w:rsidRPr="00BD5E91">
        <w:rPr>
          <w:sz w:val="22"/>
          <w:szCs w:val="22"/>
          <w:rtl/>
        </w:rPr>
        <w:t xml:space="preserve"> ר"ל נגד תרין שפוון כמ"ש לעיל בשפה עילאה שכינתא עילאה:</w:t>
      </w:r>
    </w:p>
  </w:footnote>
  <w:footnote w:id="663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לקבלייהו.</w:t>
      </w:r>
      <w:r w:rsidRPr="00BD5E91">
        <w:rPr>
          <w:sz w:val="22"/>
          <w:szCs w:val="22"/>
          <w:rtl/>
        </w:rPr>
        <w:t xml:space="preserve"> ר"ל שתיהן נשתלחו וזהו חורבן בית ראשון ושני:</w:t>
      </w:r>
      <w:r w:rsidRPr="00BD5E91">
        <w:rPr>
          <w:b/>
          <w:bCs/>
          <w:sz w:val="22"/>
          <w:szCs w:val="22"/>
          <w:rtl/>
        </w:rPr>
        <w:t xml:space="preserve"> </w:t>
      </w:r>
    </w:p>
  </w:footnote>
  <w:footnote w:id="663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ותלכנה שתיהן.</w:t>
      </w:r>
      <w:r w:rsidRPr="00BD5E91">
        <w:rPr>
          <w:sz w:val="22"/>
          <w:szCs w:val="22"/>
          <w:rtl/>
        </w:rPr>
        <w:t xml:space="preserve"> נעמי ורות בינה ומלכות כידוע ותלכנה שתיהן בלא בעליהן בגלותא:</w:t>
      </w:r>
    </w:p>
  </w:footnote>
  <w:footnote w:id="663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בשפוון.</w:t>
      </w:r>
      <w:r w:rsidRPr="00BD5E91">
        <w:rPr>
          <w:sz w:val="22"/>
          <w:szCs w:val="22"/>
          <w:rtl/>
        </w:rPr>
        <w:t xml:space="preserve"> כנ"ל ב' שפוון:</w:t>
      </w:r>
    </w:p>
  </w:footnote>
  <w:footnote w:id="663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דתמן קב"ה.</w:t>
      </w:r>
      <w:r w:rsidRPr="00BD5E91">
        <w:rPr>
          <w:sz w:val="22"/>
          <w:szCs w:val="22"/>
          <w:rtl/>
        </w:rPr>
        <w:t xml:space="preserve"> ר"ל כמ"ש (בראשית כח יא) וישכב במקום ההוא יחודא עם בעלה:</w:t>
      </w:r>
    </w:p>
  </w:footnote>
  <w:footnote w:id="663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ועל שכינתא.</w:t>
      </w:r>
      <w:r w:rsidRPr="00BD5E91">
        <w:rPr>
          <w:sz w:val="22"/>
          <w:szCs w:val="22"/>
          <w:rtl/>
        </w:rPr>
        <w:t xml:space="preserve"> ר"ל על שתיהן שהן סוכות של שלום:</w:t>
      </w:r>
    </w:p>
  </w:footnote>
  <w:footnote w:id="663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תרין שלומי כו'.</w:t>
      </w:r>
      <w:r w:rsidRPr="00BD5E91">
        <w:rPr>
          <w:sz w:val="22"/>
          <w:szCs w:val="22"/>
          <w:rtl/>
        </w:rPr>
        <w:t xml:space="preserve"> ר"ל ששלום הוא חד בעד"א בין ימינא ושמאלא בין או"א שיחודא דילהון בימינא ושמאלא ע"י עד"א, ושלום השני הוא יסוד בין עד"א ומלכות ושכינתא עילאה ותתאה הן סוכת שלום עילאה של שלום ת"ת, ותתאה של שלום יסוד:</w:t>
      </w:r>
    </w:p>
  </w:footnote>
  <w:footnote w:id="663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בעל הבית בוצע כו'.</w:t>
      </w:r>
      <w:r w:rsidRPr="00BD5E91">
        <w:rPr>
          <w:sz w:val="22"/>
          <w:szCs w:val="22"/>
          <w:rtl/>
        </w:rPr>
        <w:t xml:space="preserve"> ר"ל ת"ת בוצע שמחלק לחם, ואורח יסוד מברך שבו ברוך כידוע ות"ת נקרא בעל שהוא בעלה של בית מלכות ויסוד אורח בשעת הזיוג:</w:t>
      </w:r>
    </w:p>
  </w:footnote>
  <w:footnote w:id="663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מלון אורחים.</w:t>
      </w:r>
      <w:r w:rsidRPr="00BD5E91">
        <w:rPr>
          <w:sz w:val="22"/>
          <w:szCs w:val="22"/>
          <w:rtl/>
        </w:rPr>
        <w:t xml:space="preserve"> ר"ל בגלות שהוא לילה היא תחת היסוד:</w:t>
      </w:r>
    </w:p>
  </w:footnote>
  <w:footnote w:id="663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כי שמש כו'.</w:t>
      </w:r>
      <w:r w:rsidRPr="00BD5E91">
        <w:rPr>
          <w:sz w:val="22"/>
          <w:szCs w:val="22"/>
          <w:rtl/>
        </w:rPr>
        <w:t xml:space="preserve"> ר"ל שמש הוא ה' ת"ת ומגן הוא אלקים מלכות דאגינת על ישראל:</w:t>
      </w:r>
    </w:p>
  </w:footnote>
  <w:footnote w:id="663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ומסט' דנו"ה כו'.</w:t>
      </w:r>
      <w:r w:rsidRPr="00BD5E91">
        <w:rPr>
          <w:sz w:val="22"/>
          <w:szCs w:val="22"/>
          <w:rtl/>
        </w:rPr>
        <w:t xml:space="preserve"> הואיל ואמר מסט' דאורח ר"ל צדיק, פירש מכל ע"ס מתתא לעילא:</w:t>
      </w:r>
    </w:p>
  </w:footnote>
  <w:footnote w:id="664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אתקריאת נביאה.</w:t>
      </w:r>
      <w:r w:rsidRPr="00BD5E91">
        <w:rPr>
          <w:sz w:val="22"/>
          <w:szCs w:val="22"/>
          <w:rtl/>
        </w:rPr>
        <w:t xml:space="preserve"> ל' נקבה וכן בכולם:</w:t>
      </w:r>
    </w:p>
  </w:footnote>
  <w:footnote w:id="664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על הוויתיה.</w:t>
      </w:r>
      <w:r w:rsidRPr="00BD5E91">
        <w:rPr>
          <w:sz w:val="22"/>
          <w:szCs w:val="22"/>
          <w:rtl/>
        </w:rPr>
        <w:t xml:space="preserve"> מסט' דהויה. </w:t>
      </w:r>
      <w:r w:rsidRPr="00BD5E91">
        <w:rPr>
          <w:b/>
          <w:bCs/>
          <w:sz w:val="22"/>
          <w:szCs w:val="22"/>
          <w:rtl/>
        </w:rPr>
        <w:t>ואלהותי"ה.</w:t>
      </w:r>
      <w:r w:rsidRPr="00BD5E91">
        <w:rPr>
          <w:sz w:val="22"/>
          <w:szCs w:val="22"/>
          <w:rtl/>
        </w:rPr>
        <w:t xml:space="preserve"> מסט' דאלקים:</w:t>
      </w:r>
    </w:p>
  </w:footnote>
  <w:footnote w:id="664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ויכולתיה מס' דא"ל.</w:t>
      </w:r>
      <w:r w:rsidRPr="00BD5E91">
        <w:rPr>
          <w:sz w:val="22"/>
          <w:szCs w:val="22"/>
          <w:rtl/>
        </w:rPr>
        <w:t xml:space="preserve"> והוא מציאותו והנהגתו וכחו:</w:t>
      </w:r>
    </w:p>
  </w:footnote>
  <w:footnote w:id="664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אם תשובה יהו"ה.</w:t>
      </w:r>
      <w:r w:rsidRPr="00BD5E91">
        <w:rPr>
          <w:sz w:val="22"/>
          <w:szCs w:val="22"/>
          <w:rtl/>
        </w:rPr>
        <w:t xml:space="preserve"> ר"ל באלו ג' שמות:</w:t>
      </w:r>
    </w:p>
  </w:footnote>
  <w:footnote w:id="664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יקוק.</w:t>
      </w:r>
      <w:r w:rsidRPr="00BD5E91">
        <w:rPr>
          <w:sz w:val="22"/>
          <w:szCs w:val="22"/>
          <w:rtl/>
        </w:rPr>
        <w:t xml:space="preserve"> ר"ל בנקודת אלקים וכצ"ל יֱקֹוִק:</w:t>
      </w:r>
    </w:p>
  </w:footnote>
  <w:footnote w:id="664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דאחזי על כנוי והויה.</w:t>
      </w:r>
      <w:r w:rsidRPr="00BD5E91">
        <w:rPr>
          <w:sz w:val="22"/>
          <w:szCs w:val="22"/>
          <w:rtl/>
        </w:rPr>
        <w:t xml:space="preserve"> ר"ל כינוי מסט' דנקודת אלקים גי' כנוי. והויה משם עצמו:</w:t>
      </w:r>
    </w:p>
  </w:footnote>
  <w:footnote w:id="664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דמארי עלמין.</w:t>
      </w:r>
      <w:r w:rsidRPr="00BD5E91">
        <w:rPr>
          <w:sz w:val="22"/>
          <w:szCs w:val="22"/>
          <w:rtl/>
        </w:rPr>
        <w:t xml:space="preserve"> ר"ל א"ס וז"ס מארי כו'. וכן בכל הספירן איהי מעיד על א"ס כמו לעיל הווייתיה ואלקותיה כו'. וכן לקמן מעיד על עילת כו' הכל על א"ס מצד אתפשטותיה בהם:</w:t>
      </w:r>
    </w:p>
  </w:footnote>
  <w:footnote w:id="664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מה מסט' דחכמה.</w:t>
      </w:r>
      <w:r w:rsidRPr="00BD5E91">
        <w:rPr>
          <w:sz w:val="22"/>
          <w:szCs w:val="22"/>
          <w:rtl/>
        </w:rPr>
        <w:t xml:space="preserve"> שנק' כח מה מילוי דאלפין כמ"ש לעיל:</w:t>
      </w:r>
    </w:p>
  </w:footnote>
  <w:footnote w:id="664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דאיתמר כו'.</w:t>
      </w:r>
      <w:r w:rsidRPr="00BD5E91">
        <w:rPr>
          <w:sz w:val="22"/>
          <w:szCs w:val="22"/>
          <w:rtl/>
        </w:rPr>
        <w:t xml:space="preserve"> ראיה דמה מסט' דחכמה דשם יראה כמש"ו דאם לית כו' והוא מאמר התנא באבות (ג יז):</w:t>
      </w:r>
    </w:p>
  </w:footnote>
  <w:footnote w:id="664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מעיד כו'.</w:t>
      </w:r>
      <w:r w:rsidRPr="00BD5E91">
        <w:rPr>
          <w:sz w:val="22"/>
          <w:szCs w:val="22"/>
          <w:rtl/>
        </w:rPr>
        <w:t xml:space="preserve"> ר"ל על א"ס מסט' דחכמה, שמסט' דכתר נקרא אין שאין מוש"ג אפי' מציאותו ומסט' דחכמה נקרא יש, ידוע שיש מציאות אבל אין ידוע מהותו:</w:t>
      </w:r>
    </w:p>
  </w:footnote>
  <w:footnote w:id="665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וכל את אחזי כו'.</w:t>
      </w:r>
      <w:r w:rsidRPr="00BD5E91">
        <w:rPr>
          <w:sz w:val="22"/>
          <w:szCs w:val="22"/>
          <w:rtl/>
        </w:rPr>
        <w:t xml:space="preserve"> ר"ל דכל יוד הוא הויה:</w:t>
      </w:r>
    </w:p>
  </w:footnote>
  <w:footnote w:id="665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דתליין מן י' וביה.</w:t>
      </w:r>
      <w:r w:rsidRPr="00BD5E91">
        <w:rPr>
          <w:sz w:val="22"/>
          <w:szCs w:val="22"/>
          <w:rtl/>
        </w:rPr>
        <w:t xml:space="preserve"> ר"ל היוד עצמו משלים לשלשה עשר, וביה כולהו מתייחדין ונעשין אחד ואחד גי' י"ג:</w:t>
      </w:r>
    </w:p>
  </w:footnote>
  <w:footnote w:id="665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כגוונא דא כו'.</w:t>
      </w:r>
      <w:r w:rsidRPr="00BD5E91">
        <w:rPr>
          <w:sz w:val="22"/>
          <w:szCs w:val="22"/>
          <w:rtl/>
        </w:rPr>
        <w:t xml:space="preserve"> ר"ל בצורת היוד עצמו י"ג כמש"ו:</w:t>
      </w:r>
    </w:p>
  </w:footnote>
  <w:footnote w:id="665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הא י"ג כו'.</w:t>
      </w:r>
      <w:r w:rsidRPr="00BD5E91">
        <w:rPr>
          <w:sz w:val="22"/>
          <w:szCs w:val="22"/>
          <w:rtl/>
        </w:rPr>
        <w:t xml:space="preserve"> והן בכתר כידוע:</w:t>
      </w:r>
    </w:p>
  </w:footnote>
  <w:footnote w:id="665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דאיתמר בהון כו'.</w:t>
      </w:r>
      <w:r w:rsidRPr="00BD5E91">
        <w:rPr>
          <w:sz w:val="22"/>
          <w:szCs w:val="22"/>
          <w:rtl/>
        </w:rPr>
        <w:t xml:space="preserve"> ר"ל מ"ש התנא (אבות ה א) והלא כו' קאי על י"ג הנ"ל בעשרה מאמרות ע"ס מסט' דאות יוד ואמר והלא במאמר אחד ר"ל בכתר לבד שהוא מאמר ראשון ושם הכל אחד בלא שותפות והוא אחד בי"ג מכילן כנ"ל:</w:t>
      </w:r>
    </w:p>
  </w:footnote>
  <w:footnote w:id="665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בת קול.</w:t>
      </w:r>
      <w:r w:rsidRPr="00BD5E91">
        <w:rPr>
          <w:sz w:val="22"/>
          <w:szCs w:val="22"/>
          <w:rtl/>
        </w:rPr>
        <w:t xml:space="preserve"> כמש"ו נקודה תחת ו' של האלף והוא"ו הוא קול והיא תחתיו בת של הקול:</w:t>
      </w:r>
    </w:p>
  </w:footnote>
  <w:footnote w:id="665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ומסט' דטעמי כו'.</w:t>
      </w:r>
      <w:r w:rsidRPr="00BD5E91">
        <w:rPr>
          <w:sz w:val="22"/>
          <w:szCs w:val="22"/>
          <w:rtl/>
        </w:rPr>
        <w:t xml:space="preserve"> ר"ל נקודה ע"ג וא"ו של האלף מסט' דכתר ע"ג ת"ת:</w:t>
      </w:r>
    </w:p>
  </w:footnote>
  <w:footnote w:id="665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וכולא כו'.</w:t>
      </w:r>
      <w:r w:rsidRPr="00BD5E91">
        <w:rPr>
          <w:sz w:val="22"/>
          <w:szCs w:val="22"/>
          <w:rtl/>
        </w:rPr>
        <w:t xml:space="preserve"> ר"ל יו"י של האלף:</w:t>
      </w:r>
    </w:p>
  </w:footnote>
  <w:footnote w:id="665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יהי רקיע.</w:t>
      </w:r>
      <w:r w:rsidRPr="00BD5E91">
        <w:rPr>
          <w:sz w:val="22"/>
          <w:szCs w:val="22"/>
          <w:rtl/>
        </w:rPr>
        <w:t xml:space="preserve"> כצורת וא"ו והוא רקיע בסט' דוא"ו:</w:t>
      </w:r>
    </w:p>
  </w:footnote>
  <w:footnote w:id="665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ויהי מבדיל כו'.</w:t>
      </w:r>
      <w:r w:rsidRPr="00BD5E91">
        <w:rPr>
          <w:sz w:val="22"/>
          <w:szCs w:val="22"/>
          <w:rtl/>
        </w:rPr>
        <w:t xml:space="preserve"> בין מ"נ למ"ד והוא בין טעמים לנקודות באמצע:</w:t>
      </w:r>
    </w:p>
  </w:footnote>
  <w:footnote w:id="666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עיקר האמונה.</w:t>
      </w:r>
      <w:r w:rsidRPr="00BD5E91">
        <w:rPr>
          <w:sz w:val="22"/>
          <w:szCs w:val="22"/>
          <w:rtl/>
        </w:rPr>
        <w:t xml:space="preserve"> שכולא כליל בוא"ו ת"ת ולכן שם יקו"ק:</w:t>
      </w:r>
    </w:p>
  </w:footnote>
  <w:footnote w:id="666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כדמות כו'.</w:t>
      </w:r>
      <w:r w:rsidRPr="00BD5E91">
        <w:rPr>
          <w:sz w:val="22"/>
          <w:szCs w:val="22"/>
          <w:rtl/>
        </w:rPr>
        <w:t xml:space="preserve"> ר"ל על הנקודות כמ"ש בת"ז:</w:t>
      </w:r>
    </w:p>
  </w:footnote>
  <w:footnote w:id="666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דאויהו רקיעא כו'.</w:t>
      </w:r>
      <w:r w:rsidRPr="00BD5E91">
        <w:rPr>
          <w:sz w:val="22"/>
          <w:szCs w:val="22"/>
          <w:rtl/>
        </w:rPr>
        <w:t xml:space="preserve"> ר"ל רישא תניינא מרכבה לרישא עילאה שנקרא עילת כו':</w:t>
      </w:r>
    </w:p>
  </w:footnote>
  <w:footnote w:id="666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דאיתקרי עיקר האמונה.</w:t>
      </w:r>
      <w:r w:rsidRPr="00BD5E91">
        <w:rPr>
          <w:sz w:val="22"/>
          <w:szCs w:val="22"/>
          <w:rtl/>
        </w:rPr>
        <w:t xml:space="preserve"> ר"ל שהוא עיקר ושורש של מלכות שנקראת אמונה מסט' דיליה אמונה כמ"ש לעיל ומס' דעלת כו' אתקריאת שכינתא אמונה כו':</w:t>
      </w:r>
    </w:p>
  </w:footnote>
  <w:footnote w:id="666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טמיר.</w:t>
      </w:r>
      <w:r w:rsidRPr="00BD5E91">
        <w:rPr>
          <w:sz w:val="22"/>
          <w:szCs w:val="22"/>
          <w:rtl/>
        </w:rPr>
        <w:t xml:space="preserve"> ברישא ב':</w:t>
      </w:r>
    </w:p>
  </w:footnote>
  <w:footnote w:id="666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וגניז.</w:t>
      </w:r>
      <w:r w:rsidRPr="00BD5E91">
        <w:rPr>
          <w:sz w:val="22"/>
          <w:szCs w:val="22"/>
          <w:rtl/>
        </w:rPr>
        <w:t xml:space="preserve"> ברישא תליתאה:</w:t>
      </w:r>
    </w:p>
  </w:footnote>
  <w:footnote w:id="666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כהן.</w:t>
      </w:r>
      <w:r w:rsidRPr="00BD5E91">
        <w:rPr>
          <w:sz w:val="22"/>
          <w:szCs w:val="22"/>
          <w:rtl/>
        </w:rPr>
        <w:t xml:space="preserve"> רישא עילאה מופלא ומכוסה. וכל הענין כאן. ברישא עילאה טעמי וברישא תניינא אותיות וברישא תליתאה נקודות ואע"ג דבכח"ב של ע"ס נקודות בחכמה ואותיות בבינה לפי שרישא תניינא כאן בסוד הבינה בין אם תחשוב רישא דלא אתיידע בכלל הג' רישין הרי גלגלתא רישא תניינא והוא נקרא א"א בסוד הבינה כידוע ולכן בינה נקראת אקי"ק, בין אם תחשוב קרומא דאוירא בכלל הג' רישין הרי גולגלתא ומ"ס וקד"א בסוד חג"ת דעתיק וקד"א בסוד ת"ת - ה"ה בסוד בינה ולכן נקראת בינה אוירא בתיקון ה' וכן בכל ענין נחשב בינה לכתר דז"א ועלה אמרו היתר נדרים פורחין באוי"ר. והג' רישין הן שורש כל הספירות הא' בסוד כתר כולל ג' ראשונות או בינה כולל ג' ראשונות והוא שם אקי"ק, והב' עד"א כולל ו"ק והוא שם יקו"ק, והג' מלכות שם אדנ"י. שג' שמות אלו כוללין כל הע"ס כידוע והן גי' יב"ק יחוד ברכה קדושה ג' קוין כוללין הע"ס וז"ש לעיל ומסט' דנקודין שהיא תחת הוא"ו אתקריאת בת קול כנ"ל וכן אמר לעיל בההוא חוט דאיהו א"א בעלה ת"ת ואמר לעיל שמג' יודין דסגולתא ג' רישין באין נר"ן לאדם והוא כי מא' שכולל ג' ראשונות נשמה וב' שכולל ו"ק רוח וג' מלכות נפש וכולם נכללין באלף כנ"ל שכולם אחד וכן כולם נכללין בתיבת אחד, א' כתר שהוא שורשם ואחדותם ח' מחכמה שממנו מתחיל עד יסוד ח"ס ולכן מילה בשמיני כידוע ונקרא בחיבור חכמה חי בסוד טפין דנפקין ממוחא, ד' מלכות כידוע שהיא אות ד' וכן בה נכללין ד"ס ג' ראשונות בסוד עטרת בעלה ושלה ולכן בה ד' אותיות אדנ"י אי"נ ד' כמ"ש לעיל, וזה ספירות שרשית שלה וכשנכלל בה ו"ק דבעלה אז נעשית ה', ו' בתוך ד', ע"ס וז"ש לעיל וכולא איהו עשר אמירן כו' עשר אמירן בבינה מסט' דג' ראשונות כמו שאמרו (בראשית טו ע"א) בראשית - חכמה, ברא - ההוא סתימאה, אלקים - בינה. וכן בכל המאמרים הכל אלקים בינה, ל"ב אלקים בסוד לב בינה, עשר הדברות מלכות כמו שאמרו כלל כל הדברות בבת ומליל עמהון, ושית יומי בראשית ידוע שהן ו"ק. ואמר ואינון כ"ו כחושבן הויה שידוע שהויה כולל כל הע"ס וכן כל הג' שמות הנ"ל כמ"ש לעיל כ"ף ו"ו, כ"ו - הויה, פ"ו - אקי"ק אדנ"י, ומסט' דשם האותיות גבוהין מן הנקודות ולכן הנקודות למטה מן האותיות ואף שחולם למעלה מ"מ רובם הם למטה וכן בטעמים רובם ועיקרי הטעמים למעלה על האותיות ולכן י"ג טעמין י"ג מכילן של הכתר וט' נקודין ט"ס דכלילן במלכות, וכולהו כלילן בעד"א כ"ב אותות י"ג וט' כנ"ל שהויה כולל הג' שמות:</w:t>
      </w:r>
    </w:p>
  </w:footnote>
  <w:footnote w:id="666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איהי ברתא כו'.</w:t>
      </w:r>
      <w:r w:rsidRPr="00BD5E91">
        <w:rPr>
          <w:sz w:val="22"/>
          <w:szCs w:val="22"/>
          <w:rtl/>
        </w:rPr>
        <w:t xml:space="preserve"> כנ"ל נקודה למטה מן האות נקודה שתחת האלף וכל זה הוא הכל בשכינה בין נקודין או טעמים או אותיות, רק זה בחכמה שלה וזה בת"ת שלה וזה במלכות שלה וז"ש. ובצירופין והוויין כו'. ר"ל היוד של הויה הוא מלכות שלה ושם כלילא דכל גוונין כמ"ש בהקדמת תיקוני זוהר:</w:t>
      </w:r>
      <w:r w:rsidRPr="00BD5E91">
        <w:rPr>
          <w:b/>
          <w:bCs/>
          <w:sz w:val="22"/>
          <w:szCs w:val="22"/>
          <w:rtl/>
        </w:rPr>
        <w:t xml:space="preserve"> </w:t>
      </w:r>
    </w:p>
  </w:footnote>
  <w:footnote w:id="666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הדום רגליו ומסטרא כו' פרצוף.</w:t>
      </w:r>
      <w:r w:rsidRPr="00BD5E91">
        <w:rPr>
          <w:sz w:val="22"/>
          <w:szCs w:val="22"/>
          <w:rtl/>
        </w:rPr>
        <w:t xml:space="preserve"> וזהו שאמרו (ברכות סא ע"א) חד אמר פרצוף וחד אמר זנב - הדום רגליו, וכלם אמת מסט' דצירופין אלו כמש"ו:</w:t>
      </w:r>
    </w:p>
  </w:footnote>
  <w:footnote w:id="666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ואתקריאת אנפוי.</w:t>
      </w:r>
      <w:r w:rsidRPr="00BD5E91">
        <w:rPr>
          <w:sz w:val="22"/>
          <w:szCs w:val="22"/>
          <w:rtl/>
        </w:rPr>
        <w:t xml:space="preserve"> ר"ל שבקש משה ואמר (שמות לג יח) הראני נא את כבודך והוא נקודה עילאה י' ברישא חכמה שנקרא כבו"ד, ל"ב נתיבות ואמר (שם) וראית את אחורי מסט' דנקודה למטה, ופני לא יראו נקודה למעלה שנקרא אנפוי:</w:t>
      </w:r>
    </w:p>
  </w:footnote>
  <w:footnote w:id="667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חכמה בראש כו'.</w:t>
      </w:r>
      <w:r w:rsidRPr="00BD5E91">
        <w:rPr>
          <w:sz w:val="22"/>
          <w:szCs w:val="22"/>
          <w:rtl/>
        </w:rPr>
        <w:t xml:space="preserve"> חכמה עילאה וחכמה זעירא:</w:t>
      </w:r>
    </w:p>
  </w:footnote>
  <w:footnote w:id="667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אחזי על עלת כו'.</w:t>
      </w:r>
      <w:r w:rsidRPr="00BD5E91">
        <w:rPr>
          <w:sz w:val="22"/>
          <w:szCs w:val="22"/>
          <w:rtl/>
        </w:rPr>
        <w:t xml:space="preserve"> ר"ל על א"ס:</w:t>
      </w:r>
    </w:p>
  </w:footnote>
  <w:footnote w:id="667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בשכינתא אתקריאו.</w:t>
      </w:r>
      <w:r w:rsidRPr="00BD5E91">
        <w:rPr>
          <w:sz w:val="22"/>
          <w:szCs w:val="22"/>
          <w:rtl/>
        </w:rPr>
        <w:t xml:space="preserve"> ר"ל כלם שמם בשכינה:</w:t>
      </w:r>
    </w:p>
  </w:footnote>
  <w:footnote w:id="667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בהויתה בנקודתה.</w:t>
      </w:r>
      <w:r w:rsidRPr="00BD5E91">
        <w:rPr>
          <w:sz w:val="22"/>
          <w:szCs w:val="22"/>
          <w:rtl/>
        </w:rPr>
        <w:t xml:space="preserve"> ר"ל של כל ספירה וספירה:</w:t>
      </w:r>
    </w:p>
  </w:footnote>
  <w:footnote w:id="667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שרף מלאך אופן.</w:t>
      </w:r>
      <w:r w:rsidRPr="00BD5E91">
        <w:rPr>
          <w:sz w:val="22"/>
          <w:szCs w:val="22"/>
          <w:rtl/>
        </w:rPr>
        <w:t xml:space="preserve"> בג' עולמות בי"ע כמש"ו:</w:t>
      </w:r>
    </w:p>
  </w:footnote>
  <w:footnote w:id="667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בשמים הכין.</w:t>
      </w:r>
      <w:r w:rsidRPr="00BD5E91">
        <w:rPr>
          <w:sz w:val="22"/>
          <w:szCs w:val="22"/>
          <w:rtl/>
        </w:rPr>
        <w:t xml:space="preserve"> ר"ל עם שמים:</w:t>
      </w:r>
    </w:p>
  </w:footnote>
  <w:footnote w:id="667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הבט נא השמימה.</w:t>
      </w:r>
      <w:r w:rsidRPr="00BD5E91">
        <w:rPr>
          <w:sz w:val="22"/>
          <w:szCs w:val="22"/>
          <w:rtl/>
        </w:rPr>
        <w:t xml:space="preserve"> שנבואה של אברהם היתה במראה דאתחזי כמ"ש בזוהר וארא וזהו הבט ואמר בסיפיה דקרא כה יהיה זרעך מסט' דכה כאן יהיה זרעך ולכן שמימה בה' נקבה וז"ש אתקריאת שמימה:</w:t>
      </w:r>
    </w:p>
  </w:footnote>
  <w:footnote w:id="667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דאיהי בכלא מדתיה.</w:t>
      </w:r>
      <w:r w:rsidRPr="00BD5E91">
        <w:rPr>
          <w:sz w:val="22"/>
          <w:szCs w:val="22"/>
          <w:rtl/>
        </w:rPr>
        <w:t xml:space="preserve"> ר"ל בכל העולמות שמתפשטת בהן הכל מדתיה והיא בכללה. ואיהי שיעור קומתיה. ר"ל בכולם:</w:t>
      </w:r>
    </w:p>
  </w:footnote>
  <w:footnote w:id="667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המלאך הגואל.</w:t>
      </w:r>
      <w:r w:rsidRPr="00BD5E91">
        <w:rPr>
          <w:sz w:val="22"/>
          <w:szCs w:val="22"/>
          <w:rtl/>
        </w:rPr>
        <w:t xml:space="preserve"> שבידה הגאולה ובידה הברכה:</w:t>
      </w:r>
    </w:p>
  </w:footnote>
  <w:footnote w:id="667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ויסע מלאך כו'.</w:t>
      </w:r>
      <w:r w:rsidRPr="00BD5E91">
        <w:rPr>
          <w:sz w:val="22"/>
          <w:szCs w:val="22"/>
          <w:rtl/>
        </w:rPr>
        <w:t xml:space="preserve"> שנאמר וה' הולך לפניהם כו' שהיא שכינה כידוע:</w:t>
      </w:r>
    </w:p>
  </w:footnote>
  <w:footnote w:id="668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ומלאך פניו.</w:t>
      </w:r>
      <w:r w:rsidRPr="00BD5E91">
        <w:rPr>
          <w:sz w:val="22"/>
          <w:szCs w:val="22"/>
          <w:rtl/>
        </w:rPr>
        <w:t xml:space="preserve"> שנקראת פניו כנ"ל והוא הושיעם שבידה תשועה:</w:t>
      </w:r>
    </w:p>
  </w:footnote>
  <w:footnote w:id="668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כד איהי עבידא ביה.</w:t>
      </w:r>
      <w:r w:rsidRPr="00BD5E91">
        <w:rPr>
          <w:sz w:val="22"/>
          <w:szCs w:val="22"/>
          <w:rtl/>
        </w:rPr>
        <w:t xml:space="preserve"> ר"ל שהיא מושלת על ידו:</w:t>
      </w:r>
    </w:p>
  </w:footnote>
  <w:footnote w:id="668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מרכבה.</w:t>
      </w:r>
      <w:r w:rsidRPr="00BD5E91">
        <w:rPr>
          <w:sz w:val="22"/>
          <w:szCs w:val="22"/>
          <w:rtl/>
        </w:rPr>
        <w:t xml:space="preserve"> ר"ל כלל ד' חיות בהדדי:</w:t>
      </w:r>
    </w:p>
  </w:footnote>
  <w:footnote w:id="668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דמרכבתא דלתתא.</w:t>
      </w:r>
      <w:r w:rsidRPr="00BD5E91">
        <w:rPr>
          <w:sz w:val="22"/>
          <w:szCs w:val="22"/>
          <w:rtl/>
        </w:rPr>
        <w:t xml:space="preserve"> ר"ל בחיות ביצירה ולפי שרוצה לומר לקמן ממרכבה עילאה באצילות אמר כאן דלתתא:</w:t>
      </w:r>
    </w:p>
  </w:footnote>
  <w:footnote w:id="668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כמה דאוקימנה ומלכותו כו'.</w:t>
      </w:r>
      <w:r w:rsidRPr="00BD5E91">
        <w:rPr>
          <w:sz w:val="22"/>
          <w:szCs w:val="22"/>
          <w:rtl/>
        </w:rPr>
        <w:t xml:space="preserve"> קאי אכלהו שרף ומלאך ואופן:</w:t>
      </w:r>
    </w:p>
  </w:footnote>
  <w:footnote w:id="668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אתקריאת דמות כו'.</w:t>
      </w:r>
      <w:r w:rsidRPr="00BD5E91">
        <w:rPr>
          <w:sz w:val="22"/>
          <w:szCs w:val="22"/>
          <w:rtl/>
        </w:rPr>
        <w:t xml:space="preserve"> ר"ל ד' חיות בפרטות: </w:t>
      </w:r>
    </w:p>
  </w:footnote>
  <w:footnote w:id="668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בהון.</w:t>
      </w:r>
      <w:r w:rsidRPr="00BD5E91">
        <w:rPr>
          <w:sz w:val="22"/>
          <w:szCs w:val="22"/>
          <w:rtl/>
        </w:rPr>
        <w:t xml:space="preserve"> ר"ל בחיות הנ"ל:</w:t>
      </w:r>
    </w:p>
  </w:footnote>
  <w:footnote w:id="668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ובאלין דמיונות כו'.</w:t>
      </w:r>
      <w:r w:rsidRPr="00BD5E91">
        <w:rPr>
          <w:sz w:val="22"/>
          <w:szCs w:val="22"/>
          <w:rtl/>
        </w:rPr>
        <w:t xml:space="preserve"> ר"ל מה שראו הנביאים דמות אדם על הכסא וכן שאר דמיונות הכל בשכינתא מסט' דתתאין:</w:t>
      </w:r>
    </w:p>
  </w:footnote>
  <w:footnote w:id="668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דאינון עבדיו הנביאים.</w:t>
      </w:r>
      <w:r w:rsidRPr="00BD5E91">
        <w:rPr>
          <w:sz w:val="22"/>
          <w:szCs w:val="22"/>
          <w:rtl/>
        </w:rPr>
        <w:t xml:space="preserve"> ר"ל שנאמר במקרא כמה פעמים עבדיו הנביאים והוא בסט' דעבד מט"ט דשם הד' חיות לכך אתחזי להון בדמיונות דחיות:</w:t>
      </w:r>
    </w:p>
  </w:footnote>
  <w:footnote w:id="668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דאינון ממרכבה עילאה.</w:t>
      </w:r>
      <w:r w:rsidRPr="00BD5E91">
        <w:rPr>
          <w:sz w:val="22"/>
          <w:szCs w:val="22"/>
          <w:rtl/>
        </w:rPr>
        <w:t xml:space="preserve"> ר"ל מאצילות דמשם נקראו בנים ומרכבה דשם הוא ד' אותיות יקו"ק כידוע וז"ש כגוונא דא מאן כו':</w:t>
      </w:r>
    </w:p>
  </w:footnote>
  <w:footnote w:id="669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ועל אלין תרין כו'.</w:t>
      </w:r>
      <w:r w:rsidRPr="00BD5E91">
        <w:rPr>
          <w:sz w:val="22"/>
          <w:szCs w:val="22"/>
          <w:rtl/>
        </w:rPr>
        <w:t xml:space="preserve"> שמוחא ולבא נסתרין בגופא וכן חו"ב נסתרין נקרא, דשם אין השגה כידוע (חגיגה יא ע"ב) מקצה השמים אתה שואל כו'. וכן יראה ואהבה נסתרין בבן אדם כמש"ו דמאן דדחיל כו':</w:t>
      </w:r>
    </w:p>
  </w:footnote>
  <w:footnote w:id="669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והנגלות כו'.</w:t>
      </w:r>
      <w:r w:rsidRPr="00BD5E91">
        <w:rPr>
          <w:sz w:val="22"/>
          <w:szCs w:val="22"/>
          <w:rtl/>
        </w:rPr>
        <w:t xml:space="preserve"> שבהן מותר השגה והן באיברים החיצונים והן נגלין בבן אדם כשעוסק בתורה ובמצות נגלה לכל:</w:t>
      </w:r>
    </w:p>
  </w:footnote>
  <w:footnote w:id="669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 בפומיה.</w:t>
      </w:r>
      <w:r w:rsidRPr="00BD5E91">
        <w:rPr>
          <w:sz w:val="22"/>
          <w:szCs w:val="22"/>
          <w:rtl/>
        </w:rPr>
        <w:t xml:space="preserve"> בתורה שנקרא ו', בשית עזקין דקנה שמשם יוצא הקול ו' בשית כנפי ריאה כידוע:</w:t>
      </w:r>
    </w:p>
  </w:footnote>
  <w:footnote w:id="669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ה' ברמ"ח איברין כו'.</w:t>
      </w:r>
      <w:r w:rsidRPr="00BD5E91">
        <w:rPr>
          <w:sz w:val="22"/>
          <w:szCs w:val="22"/>
          <w:rtl/>
        </w:rPr>
        <w:t xml:space="preserve"> שהיא ה' דאברהם משלים למנין רמ"ח דאברהם:</w:t>
      </w:r>
    </w:p>
  </w:footnote>
  <w:footnote w:id="669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ומצוה כלילא כו'.</w:t>
      </w:r>
      <w:r w:rsidRPr="00BD5E91">
        <w:rPr>
          <w:sz w:val="22"/>
          <w:szCs w:val="22"/>
          <w:rtl/>
        </w:rPr>
        <w:t xml:space="preserve"> ר"ל שהשכינה שהיא מצוה כלולה מכל הד' אותיות הויה והוא כלילא דמרכבתא עילאה וכלילתה בתיבת מצוה בחילוף ב' אותיות הראשונות בא"ת ב"ש י"ה ונתחלפו ב' אותיות הראשונות לפי שהן נסתרות כנ"ל לפיכך נתכסו בה בסוד כנפים דא"ת ב"ש:</w:t>
      </w:r>
    </w:p>
  </w:footnote>
  <w:footnote w:id="669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כגוונא דציצית כו'.</w:t>
      </w:r>
      <w:r w:rsidRPr="00BD5E91">
        <w:rPr>
          <w:sz w:val="22"/>
          <w:szCs w:val="22"/>
          <w:rtl/>
        </w:rPr>
        <w:t xml:space="preserve"> ר"ל שציצית גי' ת"ר עם י"ג קשרים תרי"ג ותרי"ג תליא מן שמיה שמי וזכרי כידוע וז"ש דאיתמר כו' ציצית. ר"ל גי' ת"ר ואוקמוה כו' על י"ג וזהו תרי"ג כמש"ו לקמן ובוצינא כו':</w:t>
      </w:r>
    </w:p>
  </w:footnote>
  <w:footnote w:id="669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ואינון ח"י כו'.</w:t>
      </w:r>
      <w:r w:rsidRPr="00BD5E91">
        <w:rPr>
          <w:sz w:val="22"/>
          <w:szCs w:val="22"/>
          <w:rtl/>
        </w:rPr>
        <w:t xml:space="preserve"> מפ' שציצית הוא כסא לשם הויה דתליא מיניה ובסוף מפ' ובוצינא על הראשון ראשון שהוא גי' תרי"ג ועל זה שאמר בכאן שהציצית הוא כסא אמר ולא עוד כו':</w:t>
      </w:r>
    </w:p>
  </w:footnote>
  <w:footnote w:id="669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כסא.</w:t>
      </w:r>
      <w:r w:rsidRPr="00BD5E91">
        <w:rPr>
          <w:sz w:val="22"/>
          <w:szCs w:val="22"/>
          <w:rtl/>
        </w:rPr>
        <w:t xml:space="preserve"> ציצית שהוא בכסא כידוע בסוד תכלת כרסיא וכן אמרו (סוטה יז ע"א) תכלת דומה כו' לכסא:</w:t>
      </w:r>
    </w:p>
  </w:footnote>
  <w:footnote w:id="669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חסד.</w:t>
      </w:r>
      <w:r w:rsidRPr="00BD5E91">
        <w:rPr>
          <w:sz w:val="22"/>
          <w:szCs w:val="22"/>
          <w:rtl/>
        </w:rPr>
        <w:t xml:space="preserve"> גי' ע"ב שבחסד ושם הוא שם ע"ב:</w:t>
      </w:r>
    </w:p>
  </w:footnote>
  <w:footnote w:id="669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כל מאן דמנח כו'.</w:t>
      </w:r>
      <w:r w:rsidRPr="00BD5E91">
        <w:rPr>
          <w:sz w:val="22"/>
          <w:szCs w:val="22"/>
          <w:rtl/>
        </w:rPr>
        <w:t xml:space="preserve"> ציצית כנ"ל ותפלין הוא שם הויה כמ"ש לקמן בד' פרשיות ובהן תלי' תרי"ג כנ"ל:</w:t>
      </w:r>
    </w:p>
  </w:footnote>
  <w:footnote w:id="670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כאלו נחית כו'.</w:t>
      </w:r>
      <w:r w:rsidRPr="00BD5E91">
        <w:rPr>
          <w:sz w:val="22"/>
          <w:szCs w:val="22"/>
          <w:rtl/>
        </w:rPr>
        <w:t xml:space="preserve"> והוא יחוד אצילות עם הבריאה, שבריאה הוא אלקים, כינוייה, והוא וכנוייה יחד לפיכך ה' אלקים הוא שם מלא, וממנו ולמטה מתחיל עולם הפירוד בד' חיות כמ"ש ומשם יפרד והיה לארבעה כו' והוא אלקים דעובדא דבראשית בעולמות שלמטה ביצירה ועשייה. בראשית אצילות ברא אלקים בריאה את השמים יצירה ואת הארץ עשייה. וכן הוא למעלה באצילות דאצילות הוא י' של השם, חכמה; ובריאה - ה', בינה, דאימא מקננת בכרסיא; ועד"א במט"ט; ומלכות באופן:</w:t>
      </w:r>
    </w:p>
  </w:footnote>
  <w:footnote w:id="670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אי הכי אמאי כו'.</w:t>
      </w:r>
      <w:r w:rsidRPr="00BD5E91">
        <w:rPr>
          <w:sz w:val="22"/>
          <w:szCs w:val="22"/>
          <w:rtl/>
        </w:rPr>
        <w:t xml:space="preserve"> ר"ל ב' קושיות: אחד אמאי איהו חבוש בתפלין עמהם כמ"ש בהת"ז והלא כל השם הוי"ה הוא בתפילין והן או"א וזו"נ, ואו"א יפרוק מגלותא. ב' אמאי קריא בבית האסורים הואיל שם כל ד' אותיות כל ד' פרצופים וכסא שם ולכך תירץ ב' תירוצים:</w:t>
      </w:r>
    </w:p>
  </w:footnote>
  <w:footnote w:id="670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דמסטרא דצדיקים כו'.</w:t>
      </w:r>
      <w:r w:rsidRPr="00BD5E91">
        <w:rPr>
          <w:sz w:val="22"/>
          <w:szCs w:val="22"/>
          <w:rtl/>
        </w:rPr>
        <w:t xml:space="preserve"> אלא בבינונים כמש"ו:</w:t>
      </w:r>
    </w:p>
  </w:footnote>
  <w:footnote w:id="670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ובמרכבה דילה.</w:t>
      </w:r>
      <w:r w:rsidRPr="00BD5E91">
        <w:rPr>
          <w:sz w:val="22"/>
          <w:szCs w:val="22"/>
          <w:rtl/>
        </w:rPr>
        <w:t xml:space="preserve"> בחיות דיצירה:</w:t>
      </w:r>
    </w:p>
  </w:footnote>
  <w:footnote w:id="670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בכמה שירין ותושבחן.</w:t>
      </w:r>
      <w:r w:rsidRPr="00BD5E91">
        <w:rPr>
          <w:sz w:val="22"/>
          <w:szCs w:val="22"/>
          <w:rtl/>
        </w:rPr>
        <w:t xml:space="preserve"> הן שירת הים ופסוקי דזמרה:</w:t>
      </w:r>
    </w:p>
  </w:footnote>
  <w:footnote w:id="670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את קול כו'.</w:t>
      </w:r>
      <w:r w:rsidRPr="00BD5E91">
        <w:rPr>
          <w:sz w:val="22"/>
          <w:szCs w:val="22"/>
          <w:rtl/>
        </w:rPr>
        <w:t xml:space="preserve"> בקלין דשירין ותושבחן דישראל:</w:t>
      </w:r>
    </w:p>
  </w:footnote>
  <w:footnote w:id="670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ובישתבח כו'.</w:t>
      </w:r>
      <w:r w:rsidRPr="00BD5E91">
        <w:rPr>
          <w:sz w:val="22"/>
          <w:szCs w:val="22"/>
          <w:rtl/>
        </w:rPr>
        <w:t xml:space="preserve"> שמשם מתחיל עולם הבריאה כידוע:</w:t>
      </w:r>
    </w:p>
  </w:footnote>
  <w:footnote w:id="670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דאינון שרפים כו'.</w:t>
      </w:r>
      <w:r w:rsidRPr="00BD5E91">
        <w:rPr>
          <w:sz w:val="22"/>
          <w:szCs w:val="22"/>
          <w:rtl/>
        </w:rPr>
        <w:t xml:space="preserve"> דחיות ואופנים נמשכין אחר השרפים ור"ל שזה שאומרים ביוצר אור שרפים וחיות ואופנים:</w:t>
      </w:r>
    </w:p>
  </w:footnote>
  <w:footnote w:id="670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ובצלותא קול כו'.</w:t>
      </w:r>
      <w:r w:rsidRPr="00BD5E91">
        <w:rPr>
          <w:sz w:val="22"/>
          <w:szCs w:val="22"/>
          <w:rtl/>
        </w:rPr>
        <w:t xml:space="preserve"> ר"ל השכינה ולכן התפלה בחשאי כמש"ו:</w:t>
      </w:r>
    </w:p>
  </w:footnote>
  <w:footnote w:id="670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והנה רוח גדולה.</w:t>
      </w:r>
      <w:r w:rsidRPr="00BD5E91">
        <w:rPr>
          <w:sz w:val="22"/>
          <w:szCs w:val="22"/>
          <w:rtl/>
        </w:rPr>
        <w:t xml:space="preserve"> אופנים כמ"ש (יחזקאל א כ) כי רוח החיה באופנים, (יחזקאל א יב) אל אשר הרוח כו' והוא עשיה. ואחר הרוח רעש. חיות כמ"ש (יחזקאל א כד) את קול כנפיהם כקול מים כו' יצירה. ואחר הרעש אש. שרפים שהן אש שורף בריאה ובכולם לא קאתי מלכא, והנה קול דממה דקה שכינתא דאצילות, והנה ה' תמן קאתי מלכא:</w:t>
      </w:r>
      <w:r w:rsidRPr="00BD5E91">
        <w:rPr>
          <w:b/>
          <w:bCs/>
          <w:sz w:val="22"/>
          <w:szCs w:val="22"/>
          <w:rtl/>
        </w:rPr>
        <w:t xml:space="preserve"> </w:t>
      </w:r>
    </w:p>
  </w:footnote>
  <w:footnote w:id="671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ובג"ד ח"י עלמין כו'.</w:t>
      </w:r>
      <w:r w:rsidRPr="00BD5E91">
        <w:rPr>
          <w:sz w:val="22"/>
          <w:szCs w:val="22"/>
          <w:rtl/>
        </w:rPr>
        <w:t xml:space="preserve"> ר"ל דמשום דבתפלה הוא קב"ה ושכינתיה כנ"ל ויחודם הוא ע"י ח"י עלמין כידוע לכך בתפלה ח"י ברכות:</w:t>
      </w:r>
    </w:p>
  </w:footnote>
  <w:footnote w:id="671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בחושבן אמן.</w:t>
      </w:r>
      <w:r w:rsidRPr="00BD5E91">
        <w:rPr>
          <w:sz w:val="22"/>
          <w:szCs w:val="22"/>
          <w:rtl/>
        </w:rPr>
        <w:t xml:space="preserve"> דקול רם, דשם הוא עיקר היחוד כמ"ש למעלה:</w:t>
      </w:r>
    </w:p>
  </w:footnote>
  <w:footnote w:id="671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וביה צריך למכריע כו'.</w:t>
      </w:r>
      <w:r w:rsidRPr="00BD5E91">
        <w:rPr>
          <w:sz w:val="22"/>
          <w:szCs w:val="22"/>
          <w:rtl/>
        </w:rPr>
        <w:t xml:space="preserve"> כמ"ש (ברכות יב ע"א) הכורע כורע בברוך שהוא יסוד כמ"ש לעיל:</w:t>
      </w:r>
    </w:p>
  </w:footnote>
  <w:footnote w:id="671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ח"י חוליות.</w:t>
      </w:r>
      <w:r w:rsidRPr="00BD5E91">
        <w:rPr>
          <w:sz w:val="22"/>
          <w:szCs w:val="22"/>
          <w:rtl/>
        </w:rPr>
        <w:t xml:space="preserve"> ר"ל בסוד ח"י עלמין, והשדרה הוא בסט' דצדיק כמ"ש (ויקרא רבה פרשה ל) לולב דומה לשדרה, צדיק כתמר כו' כפת תמרים:</w:t>
      </w:r>
    </w:p>
  </w:footnote>
  <w:footnote w:id="671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והכי אוקמוה כו'.</w:t>
      </w:r>
      <w:r w:rsidRPr="00BD5E91">
        <w:rPr>
          <w:sz w:val="22"/>
          <w:szCs w:val="22"/>
          <w:rtl/>
        </w:rPr>
        <w:t xml:space="preserve"> ר"ל שכ"כ צריך למכרע:</w:t>
      </w:r>
    </w:p>
  </w:footnote>
  <w:footnote w:id="671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ובתלת קדמאין כו'.</w:t>
      </w:r>
      <w:r w:rsidRPr="00BD5E91">
        <w:rPr>
          <w:sz w:val="22"/>
          <w:szCs w:val="22"/>
          <w:rtl/>
        </w:rPr>
        <w:t xml:space="preserve"> מסט' דחג"ת שהיא שער שלהם כמ"ש לעיל שער בת רבים כו' תלת אבהן:</w:t>
      </w:r>
    </w:p>
  </w:footnote>
  <w:footnote w:id="671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דאינון ו"ו.</w:t>
      </w:r>
      <w:r w:rsidRPr="00BD5E91">
        <w:rPr>
          <w:sz w:val="22"/>
          <w:szCs w:val="22"/>
          <w:rtl/>
        </w:rPr>
        <w:t xml:space="preserve"> ו' ת"ת, ו' יסוד, כידוע, ששניהן כלולין מו"ק ונקראין ברכות אמצעים קו האמצעי:</w:t>
      </w:r>
    </w:p>
  </w:footnote>
  <w:footnote w:id="671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וביה שכינתא כו'.</w:t>
      </w:r>
      <w:r w:rsidRPr="00BD5E91">
        <w:rPr>
          <w:sz w:val="22"/>
          <w:szCs w:val="22"/>
          <w:rtl/>
        </w:rPr>
        <w:t xml:space="preserve"> כמ"ש לעיל ולכן מקבל שם:</w:t>
      </w:r>
    </w:p>
  </w:footnote>
  <w:footnote w:id="671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מסטרא דאלין כו'.</w:t>
      </w:r>
      <w:r w:rsidRPr="00BD5E91">
        <w:rPr>
          <w:sz w:val="22"/>
          <w:szCs w:val="22"/>
          <w:rtl/>
        </w:rPr>
        <w:t xml:space="preserve"> ר"ל שכל זה הוא מסט' דצדיקים גמורים כו' מסטרא דעץ החיים. שאין בהם יצר הרע כלל והן בנים לקב"ה ושכינתיה:</w:t>
      </w:r>
    </w:p>
  </w:footnote>
  <w:footnote w:id="671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דמתקנין ליה.</w:t>
      </w:r>
      <w:r w:rsidRPr="00BD5E91">
        <w:rPr>
          <w:sz w:val="22"/>
          <w:szCs w:val="22"/>
          <w:rtl/>
        </w:rPr>
        <w:t xml:space="preserve"> לשם הויה באצילות:</w:t>
      </w:r>
    </w:p>
  </w:footnote>
  <w:footnote w:id="672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כורסייה.</w:t>
      </w:r>
      <w:r w:rsidRPr="00BD5E91">
        <w:rPr>
          <w:sz w:val="22"/>
          <w:szCs w:val="22"/>
          <w:rtl/>
        </w:rPr>
        <w:t xml:space="preserve"> בריאה:</w:t>
      </w:r>
    </w:p>
  </w:footnote>
  <w:footnote w:id="672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עם מרכבתיה.</w:t>
      </w:r>
      <w:r w:rsidRPr="00BD5E91">
        <w:rPr>
          <w:sz w:val="22"/>
          <w:szCs w:val="22"/>
          <w:rtl/>
        </w:rPr>
        <w:t xml:space="preserve"> חיות דיצירה:</w:t>
      </w:r>
    </w:p>
  </w:footnote>
  <w:footnote w:id="672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ומשרייתיה.</w:t>
      </w:r>
      <w:r w:rsidRPr="00BD5E91">
        <w:rPr>
          <w:sz w:val="22"/>
          <w:szCs w:val="22"/>
          <w:rtl/>
        </w:rPr>
        <w:t xml:space="preserve"> בעשייה:</w:t>
      </w:r>
    </w:p>
  </w:footnote>
  <w:footnote w:id="672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אבל מסט' דע"ה כו'.</w:t>
      </w:r>
      <w:r w:rsidRPr="00BD5E91">
        <w:rPr>
          <w:sz w:val="22"/>
          <w:szCs w:val="22"/>
          <w:rtl/>
        </w:rPr>
        <w:t xml:space="preserve"> ר"ל מסט' דעבד מט"ט והן הבינונים ביצ"ט וביצ"ה דשם מטה הנהפך כו' כידוע:</w:t>
      </w:r>
    </w:p>
  </w:footnote>
  <w:footnote w:id="672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דקשיר לון.</w:t>
      </w:r>
      <w:r w:rsidRPr="00BD5E91">
        <w:rPr>
          <w:sz w:val="22"/>
          <w:szCs w:val="22"/>
          <w:rtl/>
        </w:rPr>
        <w:t xml:space="preserve"> ר"ל לקב"ה ושכינה:</w:t>
      </w:r>
    </w:p>
  </w:footnote>
  <w:footnote w:id="672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למיהוי עזר בהדייהו.</w:t>
      </w:r>
      <w:r w:rsidRPr="00BD5E91">
        <w:rPr>
          <w:sz w:val="22"/>
          <w:szCs w:val="22"/>
          <w:rtl/>
        </w:rPr>
        <w:t xml:space="preserve"> ר"ל בהדי הבינונים עזר ליצר הטוב כמ"ש (סוכה נב רע"ב) יצרו של אדם מתגבר עליו בכל יום ואלמלא הקב"ה עוזרו כו':</w:t>
      </w:r>
    </w:p>
  </w:footnote>
  <w:footnote w:id="672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וקשיר ליה ליצ"ה כו'.</w:t>
      </w:r>
      <w:r w:rsidRPr="00BD5E91">
        <w:rPr>
          <w:sz w:val="22"/>
          <w:szCs w:val="22"/>
          <w:rtl/>
        </w:rPr>
        <w:t xml:space="preserve"> ר"ל בתפלין קושר את היצ"ה בידו לעשות כרצון יצה"ט, וקשיר לקב"ה ושכינתיה בהאי קשר שעל ידם יהיה קשור היצ"ה וזהו גלות הקב"ה ושכינה דמתלבשין בקליפין:</w:t>
      </w:r>
    </w:p>
  </w:footnote>
  <w:footnote w:id="672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למשאוי תחותיי</w:t>
      </w:r>
      <w:r>
        <w:rPr>
          <w:rFonts w:hint="cs"/>
          <w:b/>
          <w:bCs/>
          <w:sz w:val="22"/>
          <w:szCs w:val="22"/>
          <w:rtl/>
        </w:rPr>
        <w:t>ה</w:t>
      </w:r>
      <w:r w:rsidRPr="00BD5E91">
        <w:rPr>
          <w:b/>
          <w:bCs/>
          <w:sz w:val="22"/>
          <w:szCs w:val="22"/>
          <w:rtl/>
        </w:rPr>
        <w:t>ו.</w:t>
      </w:r>
      <w:r w:rsidRPr="00BD5E91">
        <w:rPr>
          <w:sz w:val="22"/>
          <w:szCs w:val="22"/>
          <w:rtl/>
        </w:rPr>
        <w:t xml:space="preserve"> ר"ל תחת הבינונים:</w:t>
      </w:r>
    </w:p>
  </w:footnote>
  <w:footnote w:id="672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נושא ספרים.</w:t>
      </w:r>
      <w:r w:rsidRPr="00BD5E91">
        <w:rPr>
          <w:sz w:val="22"/>
          <w:szCs w:val="22"/>
          <w:rtl/>
        </w:rPr>
        <w:t xml:space="preserve"> תורה שבכתב ובע"פ, קב"ה ושכינתיה, מרכבה דסוסוון כידוע וכן אלו הבינונים הן עבדים  אינן רק כחמור לעול נושא ספרים משא"כ בבנים:</w:t>
      </w:r>
    </w:p>
  </w:footnote>
  <w:footnote w:id="672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מסטרא דבינונים כו'.</w:t>
      </w:r>
      <w:r w:rsidRPr="00BD5E91">
        <w:rPr>
          <w:sz w:val="22"/>
          <w:szCs w:val="22"/>
          <w:rtl/>
        </w:rPr>
        <w:t xml:space="preserve"> ר"ל מאלו אמרו (ברכות ה ע"ב) אין חבוש מתיר כו':</w:t>
      </w:r>
    </w:p>
  </w:footnote>
  <w:footnote w:id="673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דעלייהו איתמר כו'.</w:t>
      </w:r>
      <w:r w:rsidRPr="00BD5E91">
        <w:rPr>
          <w:sz w:val="22"/>
          <w:szCs w:val="22"/>
          <w:rtl/>
        </w:rPr>
        <w:t xml:space="preserve"> כמ"ש בגמ' (ע"ז ה ע"ב) תד"א לעולם יהא כשור לעול וכחמור כו':</w:t>
      </w:r>
    </w:p>
  </w:footnote>
  <w:footnote w:id="673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ביומין דחול כו'.</w:t>
      </w:r>
      <w:r w:rsidRPr="00BD5E91">
        <w:rPr>
          <w:sz w:val="22"/>
          <w:szCs w:val="22"/>
          <w:rtl/>
        </w:rPr>
        <w:t xml:space="preserve"> מסט' דתפלין שקושרין את השור וחמור כמש"ו ובשבת נאמר בהם למען ינוח שורך וחמורך שאין מניחין תפלין דס"א לא שלטא ביום השבת:</w:t>
      </w:r>
    </w:p>
  </w:footnote>
  <w:footnote w:id="673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נתנני ה' כו'.</w:t>
      </w:r>
      <w:r w:rsidRPr="00BD5E91">
        <w:rPr>
          <w:sz w:val="22"/>
          <w:szCs w:val="22"/>
          <w:rtl/>
        </w:rPr>
        <w:t xml:space="preserve"> ר"ל שקושרין לתפילין לשומרם מן השור דלא שיצי לון כמש"ו וצריך להתלבש השכינה בקליפין לשומרם וזהו ה' שהוא התפילין בידי כו' שאין בהם קימה כלל שאין בהם טוב:</w:t>
      </w:r>
    </w:p>
  </w:footnote>
  <w:footnote w:id="673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דרצועין דתפלין.</w:t>
      </w:r>
      <w:r w:rsidRPr="00BD5E91">
        <w:rPr>
          <w:sz w:val="22"/>
          <w:szCs w:val="22"/>
          <w:rtl/>
        </w:rPr>
        <w:t xml:space="preserve"> של ראש שני הרצועות לשתי קרניו כמש"ו:</w:t>
      </w:r>
    </w:p>
  </w:footnote>
  <w:footnote w:id="673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ותפלה כו'.</w:t>
      </w:r>
      <w:r w:rsidRPr="00BD5E91">
        <w:rPr>
          <w:sz w:val="22"/>
          <w:szCs w:val="22"/>
          <w:rtl/>
        </w:rPr>
        <w:t xml:space="preserve"> ר"ל רצועה דתפלין ש"י:</w:t>
      </w:r>
    </w:p>
  </w:footnote>
  <w:footnote w:id="673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לרגלוי.</w:t>
      </w:r>
      <w:r w:rsidRPr="00BD5E91">
        <w:rPr>
          <w:sz w:val="22"/>
          <w:szCs w:val="22"/>
          <w:rtl/>
        </w:rPr>
        <w:t xml:space="preserve"> שהיא נוקבא בסוד עקב, ואתה תשופנו עקב (בראשית ג טו), ותפלין דיד בשכינה:</w:t>
      </w:r>
    </w:p>
  </w:footnote>
  <w:footnote w:id="673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כמלא עיניו.</w:t>
      </w:r>
      <w:r w:rsidRPr="00BD5E91">
        <w:rPr>
          <w:sz w:val="22"/>
          <w:szCs w:val="22"/>
          <w:rtl/>
        </w:rPr>
        <w:t xml:space="preserve"> דל"ל שמירה ואין מניח תפלין שנא' לטוטפות בין עיניך:</w:t>
      </w:r>
    </w:p>
  </w:footnote>
  <w:footnote w:id="673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דמיניה תליין כו'.</w:t>
      </w:r>
      <w:r w:rsidRPr="00BD5E91">
        <w:rPr>
          <w:sz w:val="22"/>
          <w:szCs w:val="22"/>
          <w:rtl/>
        </w:rPr>
        <w:t xml:space="preserve"> והוא שור משמאל כמ"ש לעיל עשו מסט' דיצחק, ועל חרבך כו' (בראשית כז מ), שעליו נאמר לא תרצח:</w:t>
      </w:r>
    </w:p>
  </w:footnote>
  <w:footnote w:id="673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על חמור.</w:t>
      </w:r>
      <w:r w:rsidRPr="00BD5E91">
        <w:rPr>
          <w:sz w:val="22"/>
          <w:szCs w:val="22"/>
          <w:rtl/>
        </w:rPr>
        <w:t xml:space="preserve"> והוא חמור מימינא, ישמעאל מסט' דאברהם שעליו נאמר לא תנאף כידוע וז"ש נואף כו' כמ"ש (יחזקאל כג כ) אשר בשר חמורים בשרם ור"ל שבפ' ציצית כ' ולא תתורו כו' ואמרו זה הרהור עבירה וציצית שמירה ממנו. נחש. ר"ל שהוא נקרא נחש אשת זנונים ותפלין וציצית הן שמיר' מהם שתפלין וציצית הן זו"נ דקדושה:</w:t>
      </w:r>
    </w:p>
  </w:footnote>
  <w:footnote w:id="673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כרוך על עקבו.</w:t>
      </w:r>
      <w:r w:rsidRPr="00BD5E91">
        <w:rPr>
          <w:sz w:val="22"/>
          <w:szCs w:val="22"/>
          <w:rtl/>
        </w:rPr>
        <w:t xml:space="preserve"> ר"ל הרהורים שהן נחש כרוך כידוע ועקבו כנ"ל ואתה כו' שמ"מ לא יפסיק:</w:t>
      </w:r>
    </w:p>
  </w:footnote>
  <w:footnote w:id="674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וארבע בתי כו'.</w:t>
      </w:r>
      <w:r w:rsidRPr="00BD5E91">
        <w:rPr>
          <w:sz w:val="22"/>
          <w:szCs w:val="22"/>
          <w:rtl/>
        </w:rPr>
        <w:t xml:space="preserve"> חוזר למעלה מסט' דצדיקים גמורין:</w:t>
      </w:r>
    </w:p>
  </w:footnote>
  <w:footnote w:id="674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אינון היכלא כו'.</w:t>
      </w:r>
      <w:r w:rsidRPr="00BD5E91">
        <w:rPr>
          <w:sz w:val="22"/>
          <w:szCs w:val="22"/>
          <w:rtl/>
        </w:rPr>
        <w:t xml:space="preserve"> ר"ל כמו התפלה וכל התפלין בין של יד ובין של ראש הן כנפים של השכינה לכסות האדם מכל המקטרגים כמ"ש לקמן כנפי יונה נחפה כו' מכסיאת עליה בגדפהא ואגינת כו' ורצועה של יד לקשרא שכינתא עם האדם ואף שבפרטות קאמר לקמן דשל ראש הן דקב"ה מ"מ בכללות כלם מסט' דשכינתא כמש"ו והכי צריכין כו' מצוה שכינתא כו':</w:t>
      </w:r>
    </w:p>
  </w:footnote>
  <w:footnote w:id="674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לקשרא לה.</w:t>
      </w:r>
      <w:r w:rsidRPr="00BD5E91">
        <w:rPr>
          <w:sz w:val="22"/>
          <w:szCs w:val="22"/>
          <w:rtl/>
        </w:rPr>
        <w:t xml:space="preserve"> ר"ל להיונה וקאמר מי הוא היונה וקאמר דא שכינתא:</w:t>
      </w:r>
    </w:p>
  </w:footnote>
  <w:footnote w:id="674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ותרין אינון כו'.</w:t>
      </w:r>
      <w:r w:rsidRPr="00BD5E91">
        <w:rPr>
          <w:sz w:val="22"/>
          <w:szCs w:val="22"/>
          <w:rtl/>
        </w:rPr>
        <w:t xml:space="preserve"> ר"ל דיונה השנייה דכורא</w:t>
      </w:r>
      <w:r>
        <w:rPr>
          <w:rFonts w:hint="cs"/>
          <w:sz w:val="22"/>
          <w:szCs w:val="22"/>
          <w:rtl/>
        </w:rPr>
        <w:t>,</w:t>
      </w:r>
      <w:r w:rsidRPr="00BD5E91">
        <w:rPr>
          <w:sz w:val="22"/>
          <w:szCs w:val="22"/>
          <w:rtl/>
        </w:rPr>
        <w:t xml:space="preserve"> ציידין ליה בק"ש כמש"ו דקראין ליה שמע ישראל כו' וז"ש ומיד יקרי לדכורא כו':</w:t>
      </w:r>
    </w:p>
  </w:footnote>
  <w:footnote w:id="674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לנטלא יונה קדישא מצוה.</w:t>
      </w:r>
      <w:r w:rsidRPr="00BD5E91">
        <w:rPr>
          <w:sz w:val="22"/>
          <w:szCs w:val="22"/>
          <w:rtl/>
        </w:rPr>
        <w:t xml:space="preserve"> ר"ל ששני התפלין כולם בשכינתא שהן מצוה, ומצוה הוא בשכינה כמ"ש לעיל ומאן דעסיק במצוה שרייא ה' כו'</w:t>
      </w:r>
      <w:r>
        <w:rPr>
          <w:rFonts w:hint="cs"/>
          <w:sz w:val="22"/>
          <w:szCs w:val="22"/>
          <w:rtl/>
        </w:rPr>
        <w:t>,</w:t>
      </w:r>
      <w:r w:rsidRPr="00BD5E91">
        <w:rPr>
          <w:sz w:val="22"/>
          <w:szCs w:val="22"/>
          <w:rtl/>
        </w:rPr>
        <w:t xml:space="preserve"> ולכן רצועין של ראש נקראין כנפי יונה כמ"ש בגמ' (שבת מט ע"א) מה יונה כנפיה מגינות עליה אף ישראל מצות כו'</w:t>
      </w:r>
      <w:r>
        <w:rPr>
          <w:rFonts w:hint="cs"/>
          <w:sz w:val="22"/>
          <w:szCs w:val="22"/>
          <w:rtl/>
        </w:rPr>
        <w:t>,</w:t>
      </w:r>
      <w:r w:rsidRPr="00BD5E91">
        <w:rPr>
          <w:sz w:val="22"/>
          <w:szCs w:val="22"/>
          <w:rtl/>
        </w:rPr>
        <w:t xml:space="preserve"> וז"ש מצוה</w:t>
      </w:r>
      <w:r>
        <w:rPr>
          <w:rFonts w:hint="cs"/>
          <w:sz w:val="22"/>
          <w:szCs w:val="22"/>
          <w:rtl/>
        </w:rPr>
        <w:t>.</w:t>
      </w:r>
      <w:r w:rsidRPr="00BD5E91">
        <w:rPr>
          <w:sz w:val="22"/>
          <w:szCs w:val="22"/>
          <w:rtl/>
        </w:rPr>
        <w:t xml:space="preserve"> וק"ש הוא בעד"א כמש"ו ולכך אסור לקרות ק"ש בלא תפלין כמש"ו:</w:t>
      </w:r>
    </w:p>
  </w:footnote>
  <w:footnote w:id="674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ומיד יקרי לבעלה כו'.</w:t>
      </w:r>
      <w:r w:rsidRPr="00BD5E91">
        <w:rPr>
          <w:sz w:val="22"/>
          <w:szCs w:val="22"/>
          <w:rtl/>
        </w:rPr>
        <w:t xml:space="preserve"> ר"ל שמע ישראל</w:t>
      </w:r>
      <w:r>
        <w:rPr>
          <w:rFonts w:hint="cs"/>
          <w:sz w:val="22"/>
          <w:szCs w:val="22"/>
          <w:rtl/>
        </w:rPr>
        <w:t>,</w:t>
      </w:r>
      <w:r w:rsidRPr="00BD5E91">
        <w:rPr>
          <w:sz w:val="22"/>
          <w:szCs w:val="22"/>
          <w:rtl/>
        </w:rPr>
        <w:t xml:space="preserve"> ר"ל שמע קולנו ובא אצלנו:</w:t>
      </w:r>
    </w:p>
  </w:footnote>
  <w:footnote w:id="674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ובג"ד כו' בקלא.</w:t>
      </w:r>
      <w:r w:rsidRPr="00BD5E91">
        <w:rPr>
          <w:sz w:val="22"/>
          <w:szCs w:val="22"/>
          <w:rtl/>
        </w:rPr>
        <w:t xml:space="preserve"> דעד"א שרייא בקלא כידוע קול ו':</w:t>
      </w:r>
    </w:p>
  </w:footnote>
  <w:footnote w:id="674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עם מצות כו'.</w:t>
      </w:r>
      <w:r w:rsidRPr="00BD5E91">
        <w:rPr>
          <w:sz w:val="22"/>
          <w:szCs w:val="22"/>
          <w:rtl/>
        </w:rPr>
        <w:t xml:space="preserve"> כנ"ל:</w:t>
      </w:r>
    </w:p>
  </w:footnote>
  <w:footnote w:id="674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צריך לקשרא ליה כ'ו.</w:t>
      </w:r>
      <w:r w:rsidRPr="00BD5E91">
        <w:rPr>
          <w:sz w:val="22"/>
          <w:szCs w:val="22"/>
          <w:rtl/>
        </w:rPr>
        <w:t xml:space="preserve"> ר"ל שהרצועה של יד הוא עד"א כמ"ש בהת"ז והקשר של יד הוא צדיק דקשיר ביניהן וז"ש ברצועה כו'. ואמר לקשרא לה</w:t>
      </w:r>
      <w:r>
        <w:rPr>
          <w:rFonts w:hint="cs"/>
          <w:sz w:val="22"/>
          <w:szCs w:val="22"/>
          <w:rtl/>
        </w:rPr>
        <w:t>,</w:t>
      </w:r>
      <w:r w:rsidRPr="00BD5E91">
        <w:rPr>
          <w:sz w:val="22"/>
          <w:szCs w:val="22"/>
          <w:rtl/>
        </w:rPr>
        <w:t xml:space="preserve"> לא שעכשיו יקשר</w:t>
      </w:r>
      <w:r>
        <w:rPr>
          <w:rFonts w:hint="cs"/>
          <w:sz w:val="22"/>
          <w:szCs w:val="22"/>
          <w:rtl/>
        </w:rPr>
        <w:t>,</w:t>
      </w:r>
      <w:r w:rsidRPr="00BD5E91">
        <w:rPr>
          <w:sz w:val="22"/>
          <w:szCs w:val="22"/>
          <w:rtl/>
        </w:rPr>
        <w:t xml:space="preserve"> רק שיהא קשור בתפלין עמה:</w:t>
      </w:r>
    </w:p>
  </w:footnote>
  <w:footnote w:id="674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פארך חבוש.</w:t>
      </w:r>
      <w:r w:rsidRPr="00BD5E91">
        <w:rPr>
          <w:sz w:val="22"/>
          <w:szCs w:val="22"/>
          <w:rtl/>
        </w:rPr>
        <w:t xml:space="preserve"> ר"ל פאר הוא עד"א</w:t>
      </w:r>
      <w:r>
        <w:rPr>
          <w:rFonts w:hint="cs"/>
          <w:sz w:val="22"/>
          <w:szCs w:val="22"/>
          <w:rtl/>
        </w:rPr>
        <w:t>,</w:t>
      </w:r>
      <w:r w:rsidRPr="00BD5E91">
        <w:rPr>
          <w:sz w:val="22"/>
          <w:szCs w:val="22"/>
          <w:rtl/>
        </w:rPr>
        <w:t xml:space="preserve"> תפארת, חבוש בשכינתא כנ"ל:</w:t>
      </w:r>
    </w:p>
  </w:footnote>
  <w:footnote w:id="675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א"ח עם ד'.</w:t>
      </w:r>
      <w:r w:rsidRPr="00BD5E91">
        <w:rPr>
          <w:sz w:val="22"/>
          <w:szCs w:val="22"/>
          <w:rtl/>
        </w:rPr>
        <w:t xml:space="preserve"> אותיות אחד, ואח הוא ט"ס כמש"ו:</w:t>
      </w:r>
    </w:p>
  </w:footnote>
  <w:footnote w:id="675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דאיהי כלילא מד' כו'.</w:t>
      </w:r>
      <w:r w:rsidRPr="00BD5E91">
        <w:rPr>
          <w:sz w:val="22"/>
          <w:szCs w:val="22"/>
          <w:rtl/>
        </w:rPr>
        <w:t xml:space="preserve"> אע"ג דקאמר לעיל דבתים הן בה, וד' פרשיות הן הויה</w:t>
      </w:r>
      <w:r>
        <w:rPr>
          <w:rFonts w:hint="cs"/>
          <w:sz w:val="22"/>
          <w:szCs w:val="22"/>
          <w:rtl/>
        </w:rPr>
        <w:t>,</w:t>
      </w:r>
      <w:r w:rsidRPr="00BD5E91">
        <w:rPr>
          <w:sz w:val="22"/>
          <w:szCs w:val="22"/>
          <w:rtl/>
        </w:rPr>
        <w:t xml:space="preserve"> הכל בשכינה</w:t>
      </w:r>
      <w:r>
        <w:rPr>
          <w:rFonts w:hint="cs"/>
          <w:sz w:val="22"/>
          <w:szCs w:val="22"/>
          <w:rtl/>
        </w:rPr>
        <w:t>,</w:t>
      </w:r>
      <w:r w:rsidRPr="00BD5E91">
        <w:rPr>
          <w:sz w:val="22"/>
          <w:szCs w:val="22"/>
          <w:rtl/>
        </w:rPr>
        <w:t xml:space="preserve"> אלא דזה מסטרהא וזה מסט' דהויה</w:t>
      </w:r>
      <w:r>
        <w:rPr>
          <w:rFonts w:hint="cs"/>
          <w:sz w:val="22"/>
          <w:szCs w:val="22"/>
          <w:rtl/>
        </w:rPr>
        <w:t>.</w:t>
      </w:r>
      <w:r w:rsidRPr="00BD5E91">
        <w:rPr>
          <w:sz w:val="22"/>
          <w:szCs w:val="22"/>
          <w:rtl/>
        </w:rPr>
        <w:t xml:space="preserve"> וז"ש דאיהי כלילא כו' כי היא מצוה כנ"ל:</w:t>
      </w:r>
    </w:p>
  </w:footnote>
  <w:footnote w:id="675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לארבע אתוון דקב"ה.</w:t>
      </w:r>
      <w:r w:rsidRPr="00BD5E91">
        <w:rPr>
          <w:sz w:val="22"/>
          <w:szCs w:val="22"/>
          <w:rtl/>
        </w:rPr>
        <w:t xml:space="preserve"> לפי שעד"א נקרא יק"ו בסוד בן י"ה כידוע:</w:t>
      </w:r>
    </w:p>
  </w:footnote>
  <w:footnote w:id="675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ואיהי קוצא דאת ד'.</w:t>
      </w:r>
      <w:r w:rsidRPr="00BD5E91">
        <w:rPr>
          <w:sz w:val="22"/>
          <w:szCs w:val="22"/>
          <w:rtl/>
        </w:rPr>
        <w:t xml:space="preserve"> ר"ל שמצד אחר היא על כל הד', שהן ד' אתוון יקו"ק</w:t>
      </w:r>
      <w:r>
        <w:rPr>
          <w:rFonts w:hint="cs"/>
          <w:sz w:val="22"/>
          <w:szCs w:val="22"/>
          <w:rtl/>
        </w:rPr>
        <w:t>,</w:t>
      </w:r>
      <w:r w:rsidRPr="00BD5E91">
        <w:rPr>
          <w:sz w:val="22"/>
          <w:szCs w:val="22"/>
          <w:rtl/>
        </w:rPr>
        <w:t xml:space="preserve"> בקוצא דאת יוד דסלקת לכתר שהוא קוצו של יוד וזהו קוצו דאת ד':</w:t>
      </w:r>
    </w:p>
  </w:footnote>
  <w:footnote w:id="675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עשירית כו'.</w:t>
      </w:r>
      <w:r w:rsidRPr="00BD5E91">
        <w:rPr>
          <w:sz w:val="22"/>
          <w:szCs w:val="22"/>
          <w:rtl/>
        </w:rPr>
        <w:t xml:space="preserve"> והיא רה"י כמ"ש לעיל:</w:t>
      </w:r>
    </w:p>
  </w:footnote>
  <w:footnote w:id="675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ובג"ד תקינו כו'.</w:t>
      </w:r>
      <w:r w:rsidRPr="00BD5E91">
        <w:rPr>
          <w:sz w:val="22"/>
          <w:szCs w:val="22"/>
          <w:rtl/>
        </w:rPr>
        <w:t xml:space="preserve"> ר"ל דתחלה צריך למיקשר ולקרב ואח"כ לייחד כמ"ש (שה"ש ב ו) שמאלו תחת לראשי כו':</w:t>
      </w:r>
    </w:p>
  </w:footnote>
  <w:footnote w:id="675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סהיד סהדותא כו'.</w:t>
      </w:r>
      <w:r w:rsidRPr="00BD5E91">
        <w:rPr>
          <w:sz w:val="22"/>
          <w:szCs w:val="22"/>
          <w:rtl/>
        </w:rPr>
        <w:t xml:space="preserve"> שאמר אחד</w:t>
      </w:r>
      <w:r>
        <w:rPr>
          <w:rFonts w:hint="cs"/>
          <w:sz w:val="22"/>
          <w:szCs w:val="22"/>
          <w:rtl/>
        </w:rPr>
        <w:t>,</w:t>
      </w:r>
      <w:r w:rsidRPr="00BD5E91">
        <w:rPr>
          <w:sz w:val="22"/>
          <w:szCs w:val="22"/>
          <w:rtl/>
        </w:rPr>
        <w:t xml:space="preserve"> ואין מתייחדין בו:</w:t>
      </w:r>
    </w:p>
  </w:footnote>
  <w:footnote w:id="675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אות דתפלין.</w:t>
      </w:r>
      <w:r w:rsidRPr="00BD5E91">
        <w:rPr>
          <w:sz w:val="22"/>
          <w:szCs w:val="22"/>
          <w:rtl/>
        </w:rPr>
        <w:t xml:space="preserve"> ר"ל קשר של יד:</w:t>
      </w:r>
    </w:p>
  </w:footnote>
  <w:footnote w:id="675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מאן דשח בינתים כו'.</w:t>
      </w:r>
      <w:r w:rsidRPr="00BD5E91">
        <w:rPr>
          <w:sz w:val="22"/>
          <w:szCs w:val="22"/>
          <w:rtl/>
        </w:rPr>
        <w:t xml:space="preserve"> שקישורא דקב"ה נגמר בתפלין ש"ר:</w:t>
      </w:r>
    </w:p>
  </w:footnote>
  <w:footnote w:id="675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עלה איתמר כו'.</w:t>
      </w:r>
      <w:r w:rsidRPr="00BD5E91">
        <w:rPr>
          <w:sz w:val="22"/>
          <w:szCs w:val="22"/>
          <w:rtl/>
        </w:rPr>
        <w:t xml:space="preserve"> ר"ל עוזו של זרוע כמש"ו:</w:t>
      </w:r>
    </w:p>
  </w:footnote>
  <w:footnote w:id="6760">
    <w:p w:rsidR="00007309" w:rsidRPr="00BD5E91" w:rsidRDefault="00007309" w:rsidP="00007309">
      <w:pPr>
        <w:jc w:val="both"/>
        <w:rPr>
          <w:rFonts w:cs="Arial"/>
          <w:sz w:val="22"/>
          <w:szCs w:val="22"/>
          <w:rtl/>
        </w:rPr>
      </w:pPr>
      <w:r w:rsidRPr="00BD5E91">
        <w:rPr>
          <w:rStyle w:val="a7"/>
          <w:rFonts w:cs="Arial"/>
          <w:sz w:val="22"/>
          <w:szCs w:val="22"/>
          <w:rtl/>
        </w:rPr>
        <w:footnoteRef/>
      </w:r>
      <w:r w:rsidRPr="00BD5E91">
        <w:rPr>
          <w:rFonts w:cs="Arial"/>
          <w:sz w:val="22"/>
          <w:szCs w:val="22"/>
          <w:rtl/>
        </w:rPr>
        <w:t xml:space="preserve"> </w:t>
      </w:r>
      <w:r w:rsidRPr="00BD5E91">
        <w:rPr>
          <w:rFonts w:cs="Arial"/>
          <w:b/>
          <w:bCs/>
          <w:sz w:val="22"/>
          <w:szCs w:val="22"/>
          <w:rtl/>
        </w:rPr>
        <w:t>איהו זרוע דילה ואיהי עזו.</w:t>
      </w:r>
      <w:r w:rsidRPr="00BD5E91">
        <w:rPr>
          <w:rFonts w:cs="Arial"/>
          <w:sz w:val="22"/>
          <w:szCs w:val="22"/>
          <w:rtl/>
        </w:rPr>
        <w:t xml:space="preserve"> שמינה דינין מתערין וזהו עזו שהיא כחו בגבורה:</w:t>
      </w:r>
    </w:p>
  </w:footnote>
  <w:footnote w:id="676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ושכינת כו'.</w:t>
      </w:r>
      <w:r w:rsidRPr="00BD5E91">
        <w:rPr>
          <w:sz w:val="22"/>
          <w:szCs w:val="22"/>
          <w:rtl/>
        </w:rPr>
        <w:t xml:space="preserve"> ר"ל שכינתא עילאה:</w:t>
      </w:r>
    </w:p>
  </w:footnote>
  <w:footnote w:id="676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בגבהי מרומים.</w:t>
      </w:r>
      <w:r w:rsidRPr="00BD5E91">
        <w:rPr>
          <w:sz w:val="22"/>
          <w:szCs w:val="22"/>
          <w:rtl/>
        </w:rPr>
        <w:t xml:space="preserve"> כמ"ש (ירמיהו יז יב) מרום מראשון, שהיא מרום מראשון חכמה</w:t>
      </w:r>
      <w:r>
        <w:rPr>
          <w:rFonts w:hint="cs"/>
          <w:sz w:val="22"/>
          <w:szCs w:val="22"/>
          <w:rtl/>
        </w:rPr>
        <w:t>,</w:t>
      </w:r>
      <w:r w:rsidRPr="00BD5E91">
        <w:rPr>
          <w:sz w:val="22"/>
          <w:szCs w:val="22"/>
          <w:rtl/>
        </w:rPr>
        <w:t xml:space="preserve"> והיא ממנו:</w:t>
      </w:r>
    </w:p>
  </w:footnote>
  <w:footnote w:id="676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הוא אלקינו.</w:t>
      </w:r>
      <w:r w:rsidRPr="00BD5E91">
        <w:rPr>
          <w:sz w:val="22"/>
          <w:szCs w:val="22"/>
          <w:rtl/>
        </w:rPr>
        <w:t xml:space="preserve"> אלקים חיים:</w:t>
      </w:r>
    </w:p>
  </w:footnote>
  <w:footnote w:id="676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מסט' דיליה תפלה כו'.</w:t>
      </w:r>
      <w:r w:rsidRPr="00BD5E91">
        <w:rPr>
          <w:sz w:val="22"/>
          <w:szCs w:val="22"/>
          <w:rtl/>
        </w:rPr>
        <w:t xml:space="preserve"> ר"ל שכל תפלין בין של יד בין ש"ר כליל ד' אותיות דהוי"ה ואדנ"י</w:t>
      </w:r>
      <w:r>
        <w:rPr>
          <w:rFonts w:hint="cs"/>
          <w:sz w:val="22"/>
          <w:szCs w:val="22"/>
          <w:rtl/>
        </w:rPr>
        <w:t>,</w:t>
      </w:r>
      <w:r w:rsidRPr="00BD5E91">
        <w:rPr>
          <w:sz w:val="22"/>
          <w:szCs w:val="22"/>
          <w:rtl/>
        </w:rPr>
        <w:t xml:space="preserve"> והן שניהן בשמאלא, ש"י בזרוע</w:t>
      </w:r>
      <w:r>
        <w:rPr>
          <w:rFonts w:hint="cs"/>
          <w:sz w:val="22"/>
          <w:szCs w:val="22"/>
          <w:rtl/>
        </w:rPr>
        <w:t>,</w:t>
      </w:r>
      <w:r w:rsidRPr="00BD5E91">
        <w:rPr>
          <w:sz w:val="22"/>
          <w:szCs w:val="22"/>
          <w:rtl/>
        </w:rPr>
        <w:t xml:space="preserve"> ושל ראש עוזו של הזרוע</w:t>
      </w:r>
      <w:r>
        <w:rPr>
          <w:rFonts w:hint="cs"/>
          <w:sz w:val="22"/>
          <w:szCs w:val="22"/>
          <w:rtl/>
        </w:rPr>
        <w:t>.</w:t>
      </w:r>
      <w:r w:rsidRPr="00BD5E91">
        <w:rPr>
          <w:sz w:val="22"/>
          <w:szCs w:val="22"/>
          <w:rtl/>
        </w:rPr>
        <w:t xml:space="preserve"> לכך כ</w:t>
      </w:r>
      <w:r>
        <w:rPr>
          <w:rFonts w:hint="cs"/>
          <w:sz w:val="22"/>
          <w:szCs w:val="22"/>
          <w:rtl/>
        </w:rPr>
        <w:t>ל אחד</w:t>
      </w:r>
      <w:r w:rsidRPr="00BD5E91">
        <w:rPr>
          <w:sz w:val="22"/>
          <w:szCs w:val="22"/>
          <w:rtl/>
        </w:rPr>
        <w:t xml:space="preserve"> בפ</w:t>
      </w:r>
      <w:r>
        <w:rPr>
          <w:rFonts w:hint="cs"/>
          <w:sz w:val="22"/>
          <w:szCs w:val="22"/>
          <w:rtl/>
        </w:rPr>
        <w:t>ני עצמו.</w:t>
      </w:r>
      <w:r w:rsidRPr="00BD5E91">
        <w:rPr>
          <w:sz w:val="22"/>
          <w:szCs w:val="22"/>
          <w:rtl/>
        </w:rPr>
        <w:t xml:space="preserve"> אבל מסט' דאימא עילאה שני התפלין בכללא הן הויה אחת כמש"ו. מסט' דאימא כו' כמה דאוקמוה</w:t>
      </w:r>
      <w:r>
        <w:rPr>
          <w:rFonts w:hint="cs"/>
          <w:sz w:val="22"/>
          <w:szCs w:val="22"/>
          <w:rtl/>
        </w:rPr>
        <w:t>.</w:t>
      </w:r>
      <w:r w:rsidRPr="00BD5E91">
        <w:rPr>
          <w:sz w:val="22"/>
          <w:szCs w:val="22"/>
          <w:rtl/>
        </w:rPr>
        <w:t xml:space="preserve"> בהת"ז שאמר שם שאימא עילאה בתפלין ש"ר ה' על </w:t>
      </w:r>
      <w:r>
        <w:rPr>
          <w:rFonts w:hint="cs"/>
          <w:sz w:val="22"/>
          <w:szCs w:val="22"/>
          <w:rtl/>
        </w:rPr>
        <w:t>ו</w:t>
      </w:r>
      <w:r w:rsidRPr="00BD5E91">
        <w:rPr>
          <w:sz w:val="22"/>
          <w:szCs w:val="22"/>
          <w:rtl/>
        </w:rPr>
        <w:t>'</w:t>
      </w:r>
      <w:r>
        <w:rPr>
          <w:rFonts w:hint="cs"/>
          <w:sz w:val="22"/>
          <w:szCs w:val="22"/>
          <w:rtl/>
        </w:rPr>
        <w:t>,</w:t>
      </w:r>
      <w:r w:rsidRPr="00BD5E91">
        <w:rPr>
          <w:sz w:val="22"/>
          <w:szCs w:val="22"/>
          <w:rtl/>
        </w:rPr>
        <w:t xml:space="preserve"> ובתפלין ש"י רצועה של יד ו'</w:t>
      </w:r>
      <w:r>
        <w:rPr>
          <w:rFonts w:hint="cs"/>
          <w:sz w:val="22"/>
          <w:szCs w:val="22"/>
          <w:rtl/>
        </w:rPr>
        <w:t>,</w:t>
      </w:r>
      <w:r w:rsidRPr="00BD5E91">
        <w:rPr>
          <w:sz w:val="22"/>
          <w:szCs w:val="22"/>
          <w:rtl/>
        </w:rPr>
        <w:t xml:space="preserve"> על הקשר ש"י</w:t>
      </w:r>
      <w:r>
        <w:rPr>
          <w:rFonts w:hint="cs"/>
          <w:sz w:val="22"/>
          <w:szCs w:val="22"/>
          <w:rtl/>
        </w:rPr>
        <w:t>,</w:t>
      </w:r>
      <w:r w:rsidRPr="00BD5E91">
        <w:rPr>
          <w:sz w:val="22"/>
          <w:szCs w:val="22"/>
          <w:rtl/>
        </w:rPr>
        <w:t xml:space="preserve"> י' על התפלין ש"י  ה'</w:t>
      </w:r>
      <w:r>
        <w:rPr>
          <w:rFonts w:hint="cs"/>
          <w:sz w:val="22"/>
          <w:szCs w:val="22"/>
          <w:rtl/>
        </w:rPr>
        <w:t>.</w:t>
      </w:r>
      <w:r w:rsidRPr="00BD5E91">
        <w:rPr>
          <w:sz w:val="22"/>
          <w:szCs w:val="22"/>
          <w:rtl/>
        </w:rPr>
        <w:t xml:space="preserve"> וסדרן הוי"ה וזהו שאמר הויות כו'</w:t>
      </w:r>
      <w:r>
        <w:rPr>
          <w:rFonts w:hint="cs"/>
          <w:sz w:val="22"/>
          <w:szCs w:val="22"/>
          <w:rtl/>
        </w:rPr>
        <w:t>.</w:t>
      </w:r>
      <w:r w:rsidRPr="00BD5E91">
        <w:rPr>
          <w:sz w:val="22"/>
          <w:szCs w:val="22"/>
          <w:rtl/>
        </w:rPr>
        <w:t xml:space="preserve"> ואמר באמצע מפרש שם לפי שהתפלין הן משמאלא כנ"ל ולכן סדרן הוי"ה</w:t>
      </w:r>
      <w:r>
        <w:rPr>
          <w:rFonts w:hint="cs"/>
          <w:sz w:val="22"/>
          <w:szCs w:val="22"/>
          <w:rtl/>
        </w:rPr>
        <w:t>,</w:t>
      </w:r>
      <w:r w:rsidRPr="00BD5E91">
        <w:rPr>
          <w:sz w:val="22"/>
          <w:szCs w:val="22"/>
          <w:rtl/>
        </w:rPr>
        <w:t xml:space="preserve"> שהשם של ימינא הוא יקו"ק כסדר</w:t>
      </w:r>
      <w:r>
        <w:rPr>
          <w:rFonts w:hint="cs"/>
          <w:sz w:val="22"/>
          <w:szCs w:val="22"/>
          <w:rtl/>
        </w:rPr>
        <w:t>,</w:t>
      </w:r>
      <w:r w:rsidRPr="00BD5E91">
        <w:rPr>
          <w:sz w:val="22"/>
          <w:szCs w:val="22"/>
          <w:rtl/>
        </w:rPr>
        <w:t xml:space="preserve"> ושל שמאלא הוי"ה</w:t>
      </w:r>
      <w:r>
        <w:rPr>
          <w:rFonts w:hint="cs"/>
          <w:sz w:val="22"/>
          <w:szCs w:val="22"/>
          <w:rtl/>
        </w:rPr>
        <w:t>,</w:t>
      </w:r>
      <w:r w:rsidRPr="00BD5E91">
        <w:rPr>
          <w:sz w:val="22"/>
          <w:szCs w:val="22"/>
          <w:rtl/>
        </w:rPr>
        <w:t xml:space="preserve"> ושל עד"א והי"ה</w:t>
      </w:r>
      <w:r>
        <w:rPr>
          <w:rFonts w:hint="cs"/>
          <w:sz w:val="22"/>
          <w:szCs w:val="22"/>
          <w:rtl/>
        </w:rPr>
        <w:t>.</w:t>
      </w:r>
      <w:r w:rsidRPr="00BD5E91">
        <w:rPr>
          <w:sz w:val="22"/>
          <w:szCs w:val="22"/>
          <w:rtl/>
        </w:rPr>
        <w:t xml:space="preserve"> וצריך להיות דינא באמצע כבוש</w:t>
      </w:r>
      <w:r>
        <w:rPr>
          <w:rFonts w:hint="cs"/>
          <w:sz w:val="22"/>
          <w:szCs w:val="22"/>
          <w:rtl/>
        </w:rPr>
        <w:t>,</w:t>
      </w:r>
      <w:r w:rsidRPr="00BD5E91">
        <w:rPr>
          <w:sz w:val="22"/>
          <w:szCs w:val="22"/>
          <w:rtl/>
        </w:rPr>
        <w:t xml:space="preserve"> ורחמי מכל סטרא</w:t>
      </w:r>
      <w:r>
        <w:rPr>
          <w:rFonts w:hint="cs"/>
          <w:sz w:val="22"/>
          <w:szCs w:val="22"/>
          <w:rtl/>
        </w:rPr>
        <w:t>.</w:t>
      </w:r>
      <w:r w:rsidRPr="00BD5E91">
        <w:rPr>
          <w:sz w:val="22"/>
          <w:szCs w:val="22"/>
          <w:rtl/>
        </w:rPr>
        <w:t xml:space="preserve"> ואמר הויות</w:t>
      </w:r>
      <w:r>
        <w:rPr>
          <w:rFonts w:hint="cs"/>
          <w:sz w:val="22"/>
          <w:szCs w:val="22"/>
          <w:rtl/>
        </w:rPr>
        <w:t>,</w:t>
      </w:r>
      <w:r w:rsidRPr="00BD5E91">
        <w:rPr>
          <w:sz w:val="22"/>
          <w:szCs w:val="22"/>
          <w:rtl/>
        </w:rPr>
        <w:t xml:space="preserve"> בשני התפלין</w:t>
      </w:r>
      <w:r>
        <w:rPr>
          <w:rFonts w:hint="cs"/>
          <w:sz w:val="22"/>
          <w:szCs w:val="22"/>
          <w:rtl/>
        </w:rPr>
        <w:t>.</w:t>
      </w:r>
      <w:r w:rsidRPr="00BD5E91">
        <w:rPr>
          <w:sz w:val="22"/>
          <w:szCs w:val="22"/>
          <w:rtl/>
        </w:rPr>
        <w:t xml:space="preserve"> והן כאן באמצע דתחלה מתעטפין בציצית מסט' דימינא כמ"ש לעיל והוכן בחסד כו' ואח"כ תפלין מסט' דשמאלא ואח"כ ק"ש מסט' דישראל עד"א כנ"ל וזהו באמצע</w:t>
      </w:r>
      <w:r>
        <w:rPr>
          <w:rFonts w:hint="cs"/>
          <w:sz w:val="22"/>
          <w:szCs w:val="22"/>
          <w:rtl/>
        </w:rPr>
        <w:t>.</w:t>
      </w:r>
      <w:r w:rsidRPr="00BD5E91">
        <w:rPr>
          <w:sz w:val="22"/>
          <w:szCs w:val="22"/>
          <w:rtl/>
        </w:rPr>
        <w:t xml:space="preserve"> ובתפלה שהיא מלכות כנ"ל נשלם השם</w:t>
      </w:r>
      <w:r>
        <w:rPr>
          <w:rFonts w:hint="cs"/>
          <w:sz w:val="22"/>
          <w:szCs w:val="22"/>
          <w:rtl/>
        </w:rPr>
        <w:t>.</w:t>
      </w:r>
      <w:r w:rsidRPr="00BD5E91">
        <w:rPr>
          <w:sz w:val="22"/>
          <w:szCs w:val="22"/>
          <w:rtl/>
        </w:rPr>
        <w:t xml:space="preserve"> וגאולה שבין ק"ש ותפלה הוא קשר של ק"ש ותפלה:</w:t>
      </w:r>
    </w:p>
  </w:footnote>
  <w:footnote w:id="676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ובגין דלא בקיאין כו'.</w:t>
      </w:r>
      <w:r w:rsidRPr="00BD5E91">
        <w:rPr>
          <w:sz w:val="22"/>
          <w:szCs w:val="22"/>
          <w:rtl/>
        </w:rPr>
        <w:t xml:space="preserve"> ר"ל שאמרו בירושלמי הויות באמצע והן אין מבינים על מה רמזו וסוברין שב' הפרשיות והיה כי יביאך והיה אם שמוע באמצע כמ"ש בתוספת והכל בגין דלא ידעין ברזא דא:</w:t>
      </w:r>
    </w:p>
  </w:footnote>
  <w:footnote w:id="676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ועוד מאן כו' מצוה כמאמרה.</w:t>
      </w:r>
      <w:r w:rsidRPr="00BD5E91">
        <w:rPr>
          <w:sz w:val="22"/>
          <w:szCs w:val="22"/>
          <w:rtl/>
        </w:rPr>
        <w:t xml:space="preserve"> ר"ל שאמרו </w:t>
      </w:r>
      <w:r>
        <w:rPr>
          <w:rFonts w:hint="cs"/>
          <w:sz w:val="22"/>
          <w:szCs w:val="22"/>
          <w:rtl/>
        </w:rPr>
        <w:t>(שבת סג ע"א)</w:t>
      </w:r>
      <w:r>
        <w:rPr>
          <w:sz w:val="22"/>
          <w:szCs w:val="22"/>
        </w:rPr>
        <w:t xml:space="preserve"> </w:t>
      </w:r>
      <w:r w:rsidRPr="00BD5E91">
        <w:rPr>
          <w:sz w:val="22"/>
          <w:szCs w:val="22"/>
          <w:rtl/>
        </w:rPr>
        <w:t>כל המקיים מצוה כמאמרה</w:t>
      </w:r>
      <w:r>
        <w:rPr>
          <w:rFonts w:hint="cs"/>
          <w:sz w:val="22"/>
          <w:szCs w:val="22"/>
          <w:rtl/>
        </w:rPr>
        <w:t>,</w:t>
      </w:r>
      <w:r w:rsidRPr="00BD5E91">
        <w:rPr>
          <w:sz w:val="22"/>
          <w:szCs w:val="22"/>
          <w:rtl/>
        </w:rPr>
        <w:t xml:space="preserve"> וכאן הוא מצוה כמאמרה כמ"ש לעיל ד' בתים כו' וד' פרשיין כו' שהן ד' אותיות דמצוה:</w:t>
      </w:r>
    </w:p>
  </w:footnote>
  <w:footnote w:id="676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וכגוונא כו' בחי ברכאן כו'.</w:t>
      </w:r>
      <w:r w:rsidRPr="00BD5E91">
        <w:rPr>
          <w:sz w:val="22"/>
          <w:szCs w:val="22"/>
          <w:rtl/>
        </w:rPr>
        <w:t xml:space="preserve"> ר"ל שהתפלין ותפלה הן בגוונא חד:</w:t>
      </w:r>
    </w:p>
  </w:footnote>
  <w:footnote w:id="676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לשכינתא.</w:t>
      </w:r>
      <w:r w:rsidRPr="00BD5E91">
        <w:rPr>
          <w:sz w:val="22"/>
          <w:szCs w:val="22"/>
          <w:rtl/>
        </w:rPr>
        <w:t xml:space="preserve"> ר"ל לשכינתא תתאה ובה לעילאה כמש"ו:</w:t>
      </w:r>
    </w:p>
  </w:footnote>
  <w:footnote w:id="676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דבהון כו' למשכבא בהון כו'.</w:t>
      </w:r>
      <w:r w:rsidRPr="00BD5E91">
        <w:rPr>
          <w:sz w:val="22"/>
          <w:szCs w:val="22"/>
          <w:rtl/>
        </w:rPr>
        <w:t xml:space="preserve"> ר"ל שהשפתים הן אדנ"י ובהן שוכבת אימא עילאה כו':</w:t>
      </w:r>
    </w:p>
  </w:footnote>
  <w:footnote w:id="677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אשתכחו בחירו.</w:t>
      </w:r>
      <w:r w:rsidRPr="00BD5E91">
        <w:rPr>
          <w:sz w:val="22"/>
          <w:szCs w:val="22"/>
          <w:rtl/>
        </w:rPr>
        <w:t xml:space="preserve"> דהחירו הוא מסט' דילה:</w:t>
      </w:r>
    </w:p>
  </w:footnote>
  <w:footnote w:id="677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ומאי אית בין כו'.</w:t>
      </w:r>
      <w:r w:rsidRPr="00BD5E91">
        <w:rPr>
          <w:sz w:val="22"/>
          <w:szCs w:val="22"/>
          <w:rtl/>
        </w:rPr>
        <w:t xml:space="preserve"> ר"ל מאחר ששניהן צריכין לתקונא דישראל:</w:t>
      </w:r>
    </w:p>
  </w:footnote>
  <w:footnote w:id="677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בתורה בלילה.</w:t>
      </w:r>
      <w:r w:rsidRPr="00BD5E91">
        <w:rPr>
          <w:sz w:val="22"/>
          <w:szCs w:val="22"/>
          <w:rtl/>
        </w:rPr>
        <w:t xml:space="preserve"> מסט' דידה:</w:t>
      </w:r>
    </w:p>
  </w:footnote>
  <w:footnote w:id="677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וגדפין דילה אינון כו'.</w:t>
      </w:r>
      <w:r w:rsidRPr="00BD5E91">
        <w:rPr>
          <w:sz w:val="22"/>
          <w:szCs w:val="22"/>
          <w:rtl/>
        </w:rPr>
        <w:t xml:space="preserve"> ר"ל דאתפשטת עד הוד, סיומא דגופא, והוא מן העולם מחסד עד יסוד:</w:t>
      </w:r>
    </w:p>
  </w:footnote>
  <w:footnote w:id="677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אתקריאת נשמת כל חי.</w:t>
      </w:r>
      <w:r w:rsidRPr="00BD5E91">
        <w:rPr>
          <w:sz w:val="22"/>
          <w:szCs w:val="22"/>
          <w:rtl/>
        </w:rPr>
        <w:t xml:space="preserve"> ר"ל הנשמה כמ"ש לעיל:</w:t>
      </w:r>
    </w:p>
  </w:footnote>
  <w:footnote w:id="677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איהי מקננת בצלותא דשבת.</w:t>
      </w:r>
      <w:r w:rsidRPr="00BD5E91">
        <w:rPr>
          <w:sz w:val="22"/>
          <w:szCs w:val="22"/>
          <w:rtl/>
        </w:rPr>
        <w:t xml:space="preserve"> ולכן אומרים קודם ישתבח דאתיין שרפים כנ"ל</w:t>
      </w:r>
      <w:r>
        <w:rPr>
          <w:rFonts w:hint="cs"/>
          <w:sz w:val="22"/>
          <w:szCs w:val="22"/>
          <w:rtl/>
        </w:rPr>
        <w:t>,</w:t>
      </w:r>
      <w:r w:rsidRPr="00BD5E91">
        <w:rPr>
          <w:sz w:val="22"/>
          <w:szCs w:val="22"/>
          <w:rtl/>
        </w:rPr>
        <w:t xml:space="preserve"> נשמת כל חי מסט' דילהון כמ"ש לעיל</w:t>
      </w:r>
      <w:r>
        <w:rPr>
          <w:rFonts w:hint="cs"/>
          <w:sz w:val="22"/>
          <w:szCs w:val="22"/>
          <w:rtl/>
        </w:rPr>
        <w:t>,</w:t>
      </w:r>
      <w:r w:rsidRPr="00BD5E91">
        <w:rPr>
          <w:sz w:val="22"/>
          <w:szCs w:val="22"/>
          <w:rtl/>
        </w:rPr>
        <w:t xml:space="preserve"> ובלילה אומרים הפורס סכת שלום כנ"ל:</w:t>
      </w:r>
    </w:p>
  </w:footnote>
  <w:footnote w:id="677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ואיהי יומא קדמאה כו</w:t>
      </w:r>
      <w:r>
        <w:rPr>
          <w:rFonts w:hint="cs"/>
          <w:b/>
          <w:bCs/>
          <w:sz w:val="22"/>
          <w:szCs w:val="22"/>
          <w:rtl/>
        </w:rPr>
        <w:t>'</w:t>
      </w:r>
      <w:r w:rsidRPr="00BD5E91">
        <w:rPr>
          <w:b/>
          <w:bCs/>
          <w:sz w:val="22"/>
          <w:szCs w:val="22"/>
          <w:rtl/>
        </w:rPr>
        <w:t>.</w:t>
      </w:r>
      <w:r w:rsidRPr="00BD5E91">
        <w:rPr>
          <w:sz w:val="22"/>
          <w:szCs w:val="22"/>
          <w:rtl/>
        </w:rPr>
        <w:t xml:space="preserve"> ששבעה ימים הן מתחילין ממנה כנ"ל:</w:t>
      </w:r>
    </w:p>
  </w:footnote>
  <w:footnote w:id="677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ושכינתא כו'.</w:t>
      </w:r>
      <w:r w:rsidRPr="00BD5E91">
        <w:rPr>
          <w:sz w:val="22"/>
          <w:szCs w:val="22"/>
          <w:rtl/>
        </w:rPr>
        <w:t xml:space="preserve"> שהיא יום שמיני לה:</w:t>
      </w:r>
    </w:p>
  </w:footnote>
  <w:footnote w:id="677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ואיהי</w:t>
      </w:r>
      <w:r w:rsidRPr="00BD5E91">
        <w:rPr>
          <w:sz w:val="22"/>
          <w:szCs w:val="22"/>
          <w:rtl/>
        </w:rPr>
        <w:t>. ר"ל אימא עילאה:</w:t>
      </w:r>
    </w:p>
  </w:footnote>
  <w:footnote w:id="677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יום כו'.</w:t>
      </w:r>
      <w:r w:rsidRPr="00BD5E91">
        <w:rPr>
          <w:sz w:val="22"/>
          <w:szCs w:val="22"/>
          <w:rtl/>
        </w:rPr>
        <w:t xml:space="preserve"> שממנה התורה</w:t>
      </w:r>
      <w:r>
        <w:rPr>
          <w:rFonts w:hint="cs"/>
          <w:sz w:val="22"/>
          <w:szCs w:val="22"/>
          <w:rtl/>
        </w:rPr>
        <w:t>,</w:t>
      </w:r>
      <w:r w:rsidRPr="00BD5E91">
        <w:rPr>
          <w:sz w:val="22"/>
          <w:szCs w:val="22"/>
          <w:rtl/>
        </w:rPr>
        <w:t xml:space="preserve"> ימא דאורייתא</w:t>
      </w:r>
      <w:r>
        <w:rPr>
          <w:rFonts w:hint="cs"/>
          <w:sz w:val="22"/>
          <w:szCs w:val="22"/>
          <w:rtl/>
        </w:rPr>
        <w:t>,</w:t>
      </w:r>
      <w:r w:rsidRPr="00BD5E91">
        <w:rPr>
          <w:sz w:val="22"/>
          <w:szCs w:val="22"/>
          <w:rtl/>
        </w:rPr>
        <w:t xml:space="preserve"> ולכן התחיל באנכי חושבן כסא כידוע:</w:t>
      </w:r>
    </w:p>
  </w:footnote>
  <w:footnote w:id="678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ואיהי יה"כ.</w:t>
      </w:r>
      <w:r w:rsidRPr="00BD5E91">
        <w:rPr>
          <w:sz w:val="22"/>
          <w:szCs w:val="22"/>
          <w:rtl/>
        </w:rPr>
        <w:t xml:space="preserve"> ידוע:</w:t>
      </w:r>
    </w:p>
  </w:footnote>
  <w:footnote w:id="678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מאי מועדם כו'.</w:t>
      </w:r>
      <w:r w:rsidRPr="00BD5E91">
        <w:rPr>
          <w:sz w:val="22"/>
          <w:szCs w:val="22"/>
          <w:rtl/>
        </w:rPr>
        <w:t xml:space="preserve"> כמ"ש לעיל שהמועדים הן בו"ק והיא מועדם הכל מסט' דילה וזהו (ויקרא כג ד) תקראו אותם במועדם, וכולם תכללו בה וז"ש וצריך לאכללא כו':</w:t>
      </w:r>
    </w:p>
  </w:footnote>
  <w:footnote w:id="678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עבידת אורחא תמן.</w:t>
      </w:r>
      <w:r w:rsidRPr="00BD5E91">
        <w:rPr>
          <w:sz w:val="22"/>
          <w:szCs w:val="22"/>
          <w:rtl/>
        </w:rPr>
        <w:t xml:space="preserve"> ר"ל שהיא רק עוברת בו וזהו דרך הנשר בשמים:</w:t>
      </w:r>
    </w:p>
  </w:footnote>
  <w:footnote w:id="678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ולא אשתמודעת ביה כו'.</w:t>
      </w:r>
      <w:r w:rsidRPr="00BD5E91">
        <w:rPr>
          <w:sz w:val="22"/>
          <w:szCs w:val="22"/>
          <w:rtl/>
        </w:rPr>
        <w:t xml:space="preserve"> ר"ל יחודא דיליה היא בחכמה כמש"ו:</w:t>
      </w:r>
    </w:p>
  </w:footnote>
  <w:footnote w:id="678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וידע אדם כו'.</w:t>
      </w:r>
      <w:r w:rsidRPr="00BD5E91">
        <w:rPr>
          <w:sz w:val="22"/>
          <w:szCs w:val="22"/>
          <w:rtl/>
        </w:rPr>
        <w:t xml:space="preserve"> שהוא חכמה כידוע אדם קדמאה:</w:t>
      </w:r>
    </w:p>
  </w:footnote>
  <w:footnote w:id="678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ובהון אית כו'.</w:t>
      </w:r>
      <w:r w:rsidRPr="00BD5E91">
        <w:rPr>
          <w:sz w:val="22"/>
          <w:szCs w:val="22"/>
          <w:rtl/>
        </w:rPr>
        <w:t xml:space="preserve"> ר"ל ע"י נשמות היתירות שהן מסט' דאימא עילאה:</w:t>
      </w:r>
    </w:p>
  </w:footnote>
  <w:footnote w:id="678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ויונה קדישא.</w:t>
      </w:r>
      <w:r w:rsidRPr="00BD5E91">
        <w:rPr>
          <w:sz w:val="22"/>
          <w:szCs w:val="22"/>
          <w:rtl/>
        </w:rPr>
        <w:t xml:space="preserve"> ר"ל שכינתא תתאה ור"ל שגם היא אין לה נייחא אלא בשבת כמש"ו:</w:t>
      </w:r>
    </w:p>
  </w:footnote>
  <w:footnote w:id="678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מטטרון כו'.</w:t>
      </w:r>
      <w:r w:rsidRPr="00BD5E91">
        <w:rPr>
          <w:sz w:val="22"/>
          <w:szCs w:val="22"/>
          <w:rtl/>
        </w:rPr>
        <w:t xml:space="preserve"> שהוא קן לצפור יונה קדישא:</w:t>
      </w:r>
    </w:p>
  </w:footnote>
  <w:footnote w:id="678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די שמי' שד"י דאיהו נטיר תרעא.</w:t>
      </w:r>
      <w:r w:rsidRPr="00BD5E91">
        <w:rPr>
          <w:sz w:val="22"/>
          <w:szCs w:val="22"/>
          <w:rtl/>
        </w:rPr>
        <w:t xml:space="preserve"> ר"ל שהוא כתוב על המזוזה לשמור התרעא</w:t>
      </w:r>
      <w:r>
        <w:rPr>
          <w:rFonts w:hint="cs"/>
          <w:sz w:val="22"/>
          <w:szCs w:val="22"/>
          <w:rtl/>
        </w:rPr>
        <w:t>,</w:t>
      </w:r>
      <w:r w:rsidRPr="00BD5E91">
        <w:rPr>
          <w:sz w:val="22"/>
          <w:szCs w:val="22"/>
          <w:rtl/>
        </w:rPr>
        <w:t xml:space="preserve"> ותרעא היא שכינה כמש"ו דאיתמר בה ר"ל בשכינה זה השער לה'</w:t>
      </w:r>
      <w:r>
        <w:rPr>
          <w:rFonts w:hint="cs"/>
          <w:sz w:val="22"/>
          <w:szCs w:val="22"/>
          <w:rtl/>
        </w:rPr>
        <w:t>,</w:t>
      </w:r>
      <w:r w:rsidRPr="00BD5E91">
        <w:rPr>
          <w:sz w:val="22"/>
          <w:szCs w:val="22"/>
          <w:rtl/>
        </w:rPr>
        <w:t xml:space="preserve"> ומט"ט גי' שד"י נטיר לה כמ"ש שד"י ר"ת שומר דלתות ישראל</w:t>
      </w:r>
      <w:r>
        <w:rPr>
          <w:rFonts w:hint="cs"/>
          <w:sz w:val="22"/>
          <w:szCs w:val="22"/>
          <w:rtl/>
        </w:rPr>
        <w:t>,</w:t>
      </w:r>
      <w:r w:rsidRPr="00BD5E91">
        <w:rPr>
          <w:sz w:val="22"/>
          <w:szCs w:val="22"/>
          <w:rtl/>
        </w:rPr>
        <w:t xml:space="preserve"> והיא שער לה'</w:t>
      </w:r>
      <w:r>
        <w:rPr>
          <w:rFonts w:hint="cs"/>
          <w:sz w:val="22"/>
          <w:szCs w:val="22"/>
          <w:rtl/>
        </w:rPr>
        <w:t>,</w:t>
      </w:r>
      <w:r w:rsidRPr="00BD5E91">
        <w:rPr>
          <w:sz w:val="22"/>
          <w:szCs w:val="22"/>
          <w:rtl/>
        </w:rPr>
        <w:t xml:space="preserve"> שהויה בפנים לה</w:t>
      </w:r>
      <w:r>
        <w:rPr>
          <w:rFonts w:hint="cs"/>
          <w:sz w:val="22"/>
          <w:szCs w:val="22"/>
          <w:rtl/>
        </w:rPr>
        <w:t>.</w:t>
      </w:r>
      <w:r w:rsidRPr="00BD5E91">
        <w:rPr>
          <w:sz w:val="22"/>
          <w:szCs w:val="22"/>
          <w:rtl/>
        </w:rPr>
        <w:t xml:space="preserve"> וז"ש ובג"ד במזוזה כו' כמ"ש לקמן דמארי דיונה הויה הוא במט"ט ושם הוא לה שמירה מבפנים ושד"י מט"ט מבחוץ ולכן במזוזה כו' והיא הדלת:</w:t>
      </w:r>
    </w:p>
  </w:footnote>
  <w:footnote w:id="678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דשס"ה כו'.</w:t>
      </w:r>
      <w:r w:rsidRPr="00BD5E91">
        <w:rPr>
          <w:sz w:val="22"/>
          <w:szCs w:val="22"/>
          <w:rtl/>
        </w:rPr>
        <w:t xml:space="preserve"> ר"ל כולם עומדים אצל הפתח כמ"ש (ברשית ד ז) לפתח חטאת רובץ, והן כל אחד ביומו כמש"ו:</w:t>
      </w:r>
    </w:p>
  </w:footnote>
  <w:footnote w:id="679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מזוזת.</w:t>
      </w:r>
      <w:r w:rsidRPr="00BD5E91">
        <w:rPr>
          <w:sz w:val="22"/>
          <w:szCs w:val="22"/>
          <w:rtl/>
        </w:rPr>
        <w:t xml:space="preserve"> חסר ו' תניינא:</w:t>
      </w:r>
    </w:p>
  </w:footnote>
  <w:footnote w:id="679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לעת ערב.</w:t>
      </w:r>
      <w:r w:rsidRPr="00BD5E91">
        <w:rPr>
          <w:sz w:val="22"/>
          <w:szCs w:val="22"/>
          <w:rtl/>
        </w:rPr>
        <w:t xml:space="preserve"> דע"ש:</w:t>
      </w:r>
    </w:p>
  </w:footnote>
  <w:footnote w:id="679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וכד אית צדיק כו'.</w:t>
      </w:r>
      <w:r w:rsidRPr="00BD5E91">
        <w:rPr>
          <w:sz w:val="22"/>
          <w:szCs w:val="22"/>
          <w:rtl/>
        </w:rPr>
        <w:t xml:space="preserve"> מסט' דעץ החיים באצילות:</w:t>
      </w:r>
    </w:p>
  </w:footnote>
  <w:footnote w:id="679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שד"י שלעילא.</w:t>
      </w:r>
      <w:r w:rsidRPr="00BD5E91">
        <w:rPr>
          <w:sz w:val="22"/>
          <w:szCs w:val="22"/>
          <w:rtl/>
        </w:rPr>
        <w:t xml:space="preserve"> ר"ל צדיק חי עלמין דאצילות</w:t>
      </w:r>
      <w:r>
        <w:rPr>
          <w:rFonts w:hint="cs"/>
          <w:sz w:val="22"/>
          <w:szCs w:val="22"/>
          <w:rtl/>
        </w:rPr>
        <w:t>,</w:t>
      </w:r>
      <w:r w:rsidRPr="00BD5E91">
        <w:rPr>
          <w:sz w:val="22"/>
          <w:szCs w:val="22"/>
          <w:rtl/>
        </w:rPr>
        <w:t xml:space="preserve"> וצדיק דלתתא הוא בדיוקניה:</w:t>
      </w:r>
    </w:p>
  </w:footnote>
  <w:footnote w:id="679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וביה אתייחדת.</w:t>
      </w:r>
      <w:r w:rsidRPr="00BD5E91">
        <w:rPr>
          <w:sz w:val="22"/>
          <w:szCs w:val="22"/>
          <w:rtl/>
        </w:rPr>
        <w:t xml:space="preserve"> ר"ל בצדיק דלתתא מתייחדת ע"י בחול וא"צ להיות יחודה ע"י דעבד מט"ט:</w:t>
      </w:r>
    </w:p>
  </w:footnote>
  <w:footnote w:id="679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ותמן א</w:t>
      </w:r>
      <w:r>
        <w:rPr>
          <w:rFonts w:hint="cs"/>
          <w:b/>
          <w:bCs/>
          <w:sz w:val="22"/>
          <w:szCs w:val="22"/>
          <w:rtl/>
        </w:rPr>
        <w:t>ש</w:t>
      </w:r>
      <w:r w:rsidRPr="00BD5E91">
        <w:rPr>
          <w:b/>
          <w:bCs/>
          <w:sz w:val="22"/>
          <w:szCs w:val="22"/>
          <w:rtl/>
        </w:rPr>
        <w:t xml:space="preserve">כחת נייחא. </w:t>
      </w:r>
      <w:r w:rsidRPr="00BD5E91">
        <w:rPr>
          <w:sz w:val="22"/>
          <w:szCs w:val="22"/>
          <w:rtl/>
        </w:rPr>
        <w:t>שהוא במקום שבת:</w:t>
      </w:r>
    </w:p>
  </w:footnote>
  <w:footnote w:id="6796">
    <w:p w:rsidR="00007309" w:rsidRPr="00BD5E91" w:rsidRDefault="00007309" w:rsidP="00007309">
      <w:pPr>
        <w:jc w:val="both"/>
        <w:rPr>
          <w:sz w:val="22"/>
          <w:szCs w:val="22"/>
          <w:rtl/>
        </w:rPr>
      </w:pPr>
      <w:r w:rsidRPr="00BD5E91">
        <w:rPr>
          <w:rStyle w:val="a7"/>
          <w:sz w:val="22"/>
          <w:szCs w:val="22"/>
          <w:rtl/>
        </w:rPr>
        <w:footnoteRef/>
      </w:r>
      <w:r w:rsidRPr="00BD5E91">
        <w:rPr>
          <w:sz w:val="22"/>
          <w:szCs w:val="22"/>
          <w:rtl/>
        </w:rPr>
        <w:t xml:space="preserve"> </w:t>
      </w:r>
      <w:r w:rsidRPr="00BD5E91">
        <w:rPr>
          <w:rFonts w:cs="Arial"/>
          <w:b/>
          <w:bCs/>
          <w:sz w:val="22"/>
          <w:szCs w:val="22"/>
          <w:rtl/>
        </w:rPr>
        <w:t>ההוא כו'.</w:t>
      </w:r>
      <w:r w:rsidRPr="00BD5E91">
        <w:rPr>
          <w:sz w:val="22"/>
          <w:szCs w:val="22"/>
          <w:rtl/>
        </w:rPr>
        <w:t xml:space="preserve"> </w:t>
      </w:r>
      <w:r w:rsidRPr="00BD5E91">
        <w:rPr>
          <w:rFonts w:cs="Arial"/>
          <w:sz w:val="22"/>
          <w:szCs w:val="22"/>
          <w:rtl/>
        </w:rPr>
        <w:t>ר"ל שיהיו בו כל מדות טובות:</w:t>
      </w:r>
    </w:p>
  </w:footnote>
  <w:footnote w:id="679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דאיתמר ביה ויכלו.</w:t>
      </w:r>
      <w:r w:rsidRPr="00BD5E91">
        <w:rPr>
          <w:sz w:val="22"/>
          <w:szCs w:val="22"/>
          <w:rtl/>
        </w:rPr>
        <w:t xml:space="preserve"> ר"ל בצדיק דלעילא לכן צריך ג"כ בצדיק דלתתא להיות בדיוקניה:</w:t>
      </w:r>
    </w:p>
  </w:footnote>
  <w:footnote w:id="679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דכל ספירן כו' דאיהו כו' ביה כו'.</w:t>
      </w:r>
      <w:r w:rsidRPr="00BD5E91">
        <w:rPr>
          <w:sz w:val="22"/>
          <w:szCs w:val="22"/>
          <w:rtl/>
        </w:rPr>
        <w:t xml:space="preserve"> ר"ל צדיק דלתתא:</w:t>
      </w:r>
    </w:p>
  </w:footnote>
  <w:footnote w:id="679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בכל שית כו'.</w:t>
      </w:r>
      <w:r w:rsidRPr="00BD5E91">
        <w:rPr>
          <w:sz w:val="22"/>
          <w:szCs w:val="22"/>
          <w:rtl/>
        </w:rPr>
        <w:t xml:space="preserve"> דבשבת איתדבקת בצדיק דלעילא וא"צ לצדיק לתתא:</w:t>
      </w:r>
    </w:p>
  </w:footnote>
  <w:footnote w:id="680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איהו עמוד כו'.</w:t>
      </w:r>
      <w:r w:rsidRPr="00BD5E91">
        <w:rPr>
          <w:sz w:val="22"/>
          <w:szCs w:val="22"/>
          <w:rtl/>
        </w:rPr>
        <w:t xml:space="preserve"> ר"ל צדיק דלתתא וכן צדיק דלעילא:</w:t>
      </w:r>
    </w:p>
  </w:footnote>
  <w:footnote w:id="680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וביה כו'.</w:t>
      </w:r>
      <w:r w:rsidRPr="00BD5E91">
        <w:rPr>
          <w:sz w:val="22"/>
          <w:szCs w:val="22"/>
          <w:rtl/>
        </w:rPr>
        <w:t xml:space="preserve"> צדיק דלתתא:</w:t>
      </w:r>
    </w:p>
  </w:footnote>
  <w:footnote w:id="680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ובגיניה אתמר לא כו'.</w:t>
      </w:r>
      <w:r w:rsidRPr="00BD5E91">
        <w:rPr>
          <w:sz w:val="22"/>
          <w:szCs w:val="22"/>
          <w:rtl/>
        </w:rPr>
        <w:t xml:space="preserve"> הכל בצדיק דלעילא ובצדיק דלתתא שהוא בדיוקניה:</w:t>
      </w:r>
    </w:p>
  </w:footnote>
  <w:footnote w:id="680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וביה אתחזי כו'.</w:t>
      </w:r>
      <w:r w:rsidRPr="00BD5E91">
        <w:rPr>
          <w:sz w:val="22"/>
          <w:szCs w:val="22"/>
          <w:rtl/>
        </w:rPr>
        <w:t xml:space="preserve"> ר"ל ע"י הצדיק דלתתא אתחזי קשת צדיק דלעילא שבו גוונין נהירין וזה יהיה בפורקנא כידוע:</w:t>
      </w:r>
    </w:p>
  </w:footnote>
  <w:footnote w:id="680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ולא תצא כו'.</w:t>
      </w:r>
      <w:r w:rsidRPr="00BD5E91">
        <w:rPr>
          <w:sz w:val="22"/>
          <w:szCs w:val="22"/>
          <w:rtl/>
        </w:rPr>
        <w:t xml:space="preserve"> כמ"ש בהת"ז שלא יצאו כמו שיצאו ביציאת מצרים מסט' דעבד שברחו כו' כמ"ש (ישעיהו נב יב) כי לא כו':</w:t>
      </w:r>
    </w:p>
  </w:footnote>
  <w:footnote w:id="680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אימא לרעיא כו'.</w:t>
      </w:r>
      <w:r w:rsidRPr="00BD5E91">
        <w:rPr>
          <w:sz w:val="22"/>
          <w:szCs w:val="22"/>
          <w:rtl/>
        </w:rPr>
        <w:t xml:space="preserve"> שעל הרועה להציל הצאן מן הזאבים, ועוד דקירטא דיליה היא כמ"ש לעיל</w:t>
      </w:r>
      <w:r>
        <w:rPr>
          <w:rFonts w:hint="cs"/>
          <w:sz w:val="22"/>
          <w:szCs w:val="22"/>
          <w:rtl/>
        </w:rPr>
        <w:t>,</w:t>
      </w:r>
      <w:r w:rsidRPr="00BD5E91">
        <w:rPr>
          <w:sz w:val="22"/>
          <w:szCs w:val="22"/>
          <w:rtl/>
        </w:rPr>
        <w:t xml:space="preserve"> וקירטא הוא כלי הרועים שנא' אצל דוד:</w:t>
      </w:r>
    </w:p>
  </w:footnote>
  <w:footnote w:id="680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אתרמיז בכ"ע.</w:t>
      </w:r>
      <w:r w:rsidRPr="00BD5E91">
        <w:rPr>
          <w:sz w:val="22"/>
          <w:szCs w:val="22"/>
          <w:rtl/>
        </w:rPr>
        <w:t xml:space="preserve"> כאן מפרש סגולתא שהוא ג' נקודות דכ"ע כולל כח"ב כנ"ל ואומר כאן שכח"ב הוא אהי"ה אשר אהי"ה כידוע וכולן כלולין בכ"ע כמש"ו:</w:t>
      </w:r>
    </w:p>
  </w:footnote>
  <w:footnote w:id="680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כגוונא דא יוד כו'.</w:t>
      </w:r>
      <w:r w:rsidRPr="00BD5E91">
        <w:rPr>
          <w:sz w:val="22"/>
          <w:szCs w:val="22"/>
          <w:rtl/>
        </w:rPr>
        <w:t xml:space="preserve"> שהוא בכתר כמ"ש לעיל:</w:t>
      </w:r>
    </w:p>
  </w:footnote>
  <w:footnote w:id="680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ואיהו אשר כו'.</w:t>
      </w:r>
      <w:r w:rsidRPr="00BD5E91">
        <w:rPr>
          <w:sz w:val="22"/>
          <w:szCs w:val="22"/>
          <w:rtl/>
        </w:rPr>
        <w:t xml:space="preserve"> ר"ל אע"ג דאין בפסוק רק ב"פ אהי"ה אמר שאשר הוא ג"כ אהיה שהוא ראש לשני אהיה אותיות אשר:</w:t>
      </w:r>
      <w:r>
        <w:rPr>
          <w:rFonts w:hint="cs"/>
          <w:sz w:val="22"/>
          <w:szCs w:val="22"/>
          <w:rtl/>
        </w:rPr>
        <w:t xml:space="preserve"> (ג.פ.: בס' לשכת הסופר כ' וז"ל: בס' מלאכת שמים מביא בשם הס' תשובה מאהבה ח"ב סי' יי"ט ששמע מהגאון בעל נב"י זצ"ל לקדש גם מלת אשר שבין ב' שמות אהיה, בעבור שאונקלס בתרגומו הניח תיבת אשר כמו שהוא במקרא וכתב אהיה אשר אהיה. ונפלאת היא בעיני, כי לא מצאנו לו חבר, ומן התרגום לפע"ד ליכא הוכחה, כי לא היה אפשר לו לתרגם כאן תיבת אשר. שאם היה מתרגמו 'די', לא הוי שייך לבתריה רק שם פעולה ולא שם קודש. ואף שהיה מניח שם אהיה כמו שהוא, הוי משמע שהוא שם פעולה בעלמא ולא שם קודש. ולכן הניח גם תיבת אשר כמו שהוא וק"ל. שוב ראיתי דגברא רבה פליג להדיא וכתב בפשיטות דתיבת אשר נמחק. והוא בעל פלפלא חריפתא ז"ל פ' שבועות העדות אות כ' שכתב שם וז"ל: כ"ש דאהיה אשא אהיה שכתב בספר רבינו הרא"ש, ובגמ' נמי הכי איתא, דודאי לאו למימרא דאש"ר נמי אינו נמחק, אלא נקט לקרא כדאיתיה, עכ"ל. וכן עיקר (גדוה"ק טז כ). עכ"ל).</w:t>
      </w:r>
    </w:p>
  </w:footnote>
  <w:footnote w:id="680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כללא דמ"ב.</w:t>
      </w:r>
      <w:r w:rsidRPr="00BD5E91">
        <w:rPr>
          <w:sz w:val="22"/>
          <w:szCs w:val="22"/>
          <w:rtl/>
        </w:rPr>
        <w:t xml:space="preserve"> ר"ל שב"פ אהיה הוא מ"ב שהן ל"ב נתי</w:t>
      </w:r>
      <w:r>
        <w:rPr>
          <w:rFonts w:hint="cs"/>
          <w:sz w:val="22"/>
          <w:szCs w:val="22"/>
          <w:rtl/>
        </w:rPr>
        <w:t>בות</w:t>
      </w:r>
      <w:r w:rsidRPr="00BD5E91">
        <w:rPr>
          <w:sz w:val="22"/>
          <w:szCs w:val="22"/>
          <w:rtl/>
        </w:rPr>
        <w:t xml:space="preserve"> ועשר אמירן</w:t>
      </w:r>
      <w:r>
        <w:rPr>
          <w:rFonts w:hint="cs"/>
          <w:sz w:val="22"/>
          <w:szCs w:val="22"/>
          <w:rtl/>
        </w:rPr>
        <w:t>,</w:t>
      </w:r>
      <w:r w:rsidRPr="00BD5E91">
        <w:rPr>
          <w:sz w:val="22"/>
          <w:szCs w:val="22"/>
          <w:rtl/>
        </w:rPr>
        <w:t xml:space="preserve"> וכולן כלילן ביה כידוע</w:t>
      </w:r>
      <w:r>
        <w:rPr>
          <w:rFonts w:hint="cs"/>
          <w:sz w:val="22"/>
          <w:szCs w:val="22"/>
          <w:rtl/>
        </w:rPr>
        <w:t>,</w:t>
      </w:r>
      <w:r w:rsidRPr="00BD5E91">
        <w:rPr>
          <w:sz w:val="22"/>
          <w:szCs w:val="22"/>
          <w:rtl/>
        </w:rPr>
        <w:t xml:space="preserve"> ל"ב נתיבות שהם בחכמה וכן ע"ס הן מצדו כמ"ש לעיל דף ע"ג</w:t>
      </w:r>
      <w:r>
        <w:rPr>
          <w:rFonts w:hint="cs"/>
          <w:sz w:val="22"/>
          <w:szCs w:val="22"/>
          <w:rtl/>
        </w:rPr>
        <w:t>,</w:t>
      </w:r>
      <w:r w:rsidRPr="00BD5E91">
        <w:rPr>
          <w:sz w:val="22"/>
          <w:szCs w:val="22"/>
          <w:rtl/>
        </w:rPr>
        <w:t xml:space="preserve"> וא"כ הוא כללא דלהון</w:t>
      </w:r>
      <w:r>
        <w:rPr>
          <w:rFonts w:hint="cs"/>
          <w:sz w:val="22"/>
          <w:szCs w:val="22"/>
          <w:rtl/>
        </w:rPr>
        <w:t>.</w:t>
      </w:r>
      <w:r w:rsidRPr="00BD5E91">
        <w:rPr>
          <w:sz w:val="22"/>
          <w:szCs w:val="22"/>
          <w:rtl/>
        </w:rPr>
        <w:t xml:space="preserve"> ועוד שעשר אמירן שבו הן אהיה במלואו כמש"ו</w:t>
      </w:r>
      <w:r>
        <w:rPr>
          <w:rFonts w:hint="cs"/>
          <w:sz w:val="22"/>
          <w:szCs w:val="22"/>
          <w:rtl/>
        </w:rPr>
        <w:t>,</w:t>
      </w:r>
      <w:r w:rsidRPr="00BD5E91">
        <w:rPr>
          <w:sz w:val="22"/>
          <w:szCs w:val="22"/>
          <w:rtl/>
        </w:rPr>
        <w:t xml:space="preserve"> וא"כ ע</w:t>
      </w:r>
      <w:r>
        <w:rPr>
          <w:rFonts w:hint="cs"/>
          <w:sz w:val="22"/>
          <w:szCs w:val="22"/>
          <w:rtl/>
        </w:rPr>
        <w:t>ל כרחך</w:t>
      </w:r>
      <w:r w:rsidRPr="00BD5E91">
        <w:rPr>
          <w:sz w:val="22"/>
          <w:szCs w:val="22"/>
          <w:rtl/>
        </w:rPr>
        <w:t xml:space="preserve"> בו אהיה</w:t>
      </w:r>
      <w:r>
        <w:rPr>
          <w:rFonts w:hint="cs"/>
          <w:sz w:val="22"/>
          <w:szCs w:val="22"/>
          <w:rtl/>
        </w:rPr>
        <w:t>,</w:t>
      </w:r>
      <w:r w:rsidRPr="00BD5E91">
        <w:rPr>
          <w:sz w:val="22"/>
          <w:szCs w:val="22"/>
          <w:rtl/>
        </w:rPr>
        <w:t xml:space="preserve"> והכל מצד אשר ראש</w:t>
      </w:r>
      <w:r>
        <w:rPr>
          <w:rFonts w:hint="cs"/>
          <w:sz w:val="22"/>
          <w:szCs w:val="22"/>
          <w:rtl/>
        </w:rPr>
        <w:t>,</w:t>
      </w:r>
      <w:r w:rsidRPr="00BD5E91">
        <w:rPr>
          <w:sz w:val="22"/>
          <w:szCs w:val="22"/>
          <w:rtl/>
        </w:rPr>
        <w:t xml:space="preserve"> כללא דמ"ב וז"ש ואיהו כליל כו':</w:t>
      </w:r>
    </w:p>
  </w:footnote>
  <w:footnote w:id="681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וכמה אינון כו'.</w:t>
      </w:r>
      <w:r w:rsidRPr="00BD5E91">
        <w:rPr>
          <w:sz w:val="22"/>
          <w:szCs w:val="22"/>
          <w:rtl/>
        </w:rPr>
        <w:t xml:space="preserve"> לפי שכאן אומר שהספירות הן אהיה</w:t>
      </w:r>
      <w:r>
        <w:rPr>
          <w:rFonts w:hint="cs"/>
          <w:sz w:val="22"/>
          <w:szCs w:val="22"/>
          <w:rtl/>
        </w:rPr>
        <w:t>,</w:t>
      </w:r>
      <w:r w:rsidRPr="00BD5E91">
        <w:rPr>
          <w:sz w:val="22"/>
          <w:szCs w:val="22"/>
          <w:rtl/>
        </w:rPr>
        <w:t xml:space="preserve"> ובמקום אחר אומר הויה</w:t>
      </w:r>
      <w:r>
        <w:rPr>
          <w:rFonts w:hint="cs"/>
          <w:sz w:val="22"/>
          <w:szCs w:val="22"/>
          <w:rtl/>
        </w:rPr>
        <w:t>,</w:t>
      </w:r>
      <w:r w:rsidRPr="00BD5E91">
        <w:rPr>
          <w:sz w:val="22"/>
          <w:szCs w:val="22"/>
          <w:rtl/>
        </w:rPr>
        <w:t xml:space="preserve"> אומר שזה בפנימיות וזה באחוריים כמ"ש למטה:</w:t>
      </w:r>
    </w:p>
  </w:footnote>
  <w:footnote w:id="681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כי גבוה כו'.</w:t>
      </w:r>
      <w:r w:rsidRPr="00BD5E91">
        <w:rPr>
          <w:sz w:val="22"/>
          <w:szCs w:val="22"/>
          <w:rtl/>
        </w:rPr>
        <w:t xml:space="preserve"> ג' מדרגות כנגד ג' פנימיים וכן ג' אחוריים דחשיב לקמן ואינון פנימיים כו':</w:t>
      </w:r>
    </w:p>
  </w:footnote>
  <w:footnote w:id="681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דלאו הנראים.</w:t>
      </w:r>
      <w:r w:rsidRPr="00BD5E91">
        <w:rPr>
          <w:sz w:val="22"/>
          <w:szCs w:val="22"/>
          <w:rtl/>
        </w:rPr>
        <w:t xml:space="preserve"> ר"ל שהאחוריים מתפשטים עד למטה כידוע:</w:t>
      </w:r>
    </w:p>
  </w:footnote>
  <w:footnote w:id="681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ואינון פנימיים אלין.</w:t>
      </w:r>
      <w:r w:rsidRPr="00BD5E91">
        <w:rPr>
          <w:sz w:val="22"/>
          <w:szCs w:val="22"/>
          <w:rtl/>
        </w:rPr>
        <w:t xml:space="preserve"> וכולן א' בתוך חבירו</w:t>
      </w:r>
      <w:r>
        <w:rPr>
          <w:rFonts w:hint="cs"/>
          <w:sz w:val="22"/>
          <w:szCs w:val="22"/>
          <w:rtl/>
        </w:rPr>
        <w:t>,</w:t>
      </w:r>
      <w:r w:rsidRPr="00BD5E91">
        <w:rPr>
          <w:sz w:val="22"/>
          <w:szCs w:val="22"/>
          <w:rtl/>
        </w:rPr>
        <w:t xml:space="preserve"> וכן באחוריים. מילוי ס"ג הוא מסט' דכתר כליל כח"ב. ע"ב מסט' דחסד כליל ו"ק יומא דכלהו. מ"ה מסט' דמלכות</w:t>
      </w:r>
      <w:r>
        <w:rPr>
          <w:rFonts w:hint="cs"/>
          <w:sz w:val="22"/>
          <w:szCs w:val="22"/>
          <w:rtl/>
        </w:rPr>
        <w:t>.</w:t>
      </w:r>
      <w:r w:rsidRPr="00BD5E91">
        <w:rPr>
          <w:sz w:val="22"/>
          <w:szCs w:val="22"/>
          <w:rtl/>
        </w:rPr>
        <w:t xml:space="preserve"> וכן באחוריים אחוריים דיקוק הוא דכורא</w:t>
      </w:r>
      <w:r>
        <w:rPr>
          <w:rFonts w:hint="cs"/>
          <w:sz w:val="22"/>
          <w:szCs w:val="22"/>
          <w:rtl/>
        </w:rPr>
        <w:t>,</w:t>
      </w:r>
      <w:r w:rsidRPr="00BD5E91">
        <w:rPr>
          <w:sz w:val="22"/>
          <w:szCs w:val="22"/>
          <w:rtl/>
        </w:rPr>
        <w:t xml:space="preserve"> ודאקי"ק ואדנ"י הן נוקבין לגביה כמש"ו</w:t>
      </w:r>
      <w:r>
        <w:rPr>
          <w:rFonts w:hint="cs"/>
          <w:sz w:val="22"/>
          <w:szCs w:val="22"/>
          <w:rtl/>
        </w:rPr>
        <w:t>.</w:t>
      </w:r>
      <w:r w:rsidRPr="00BD5E91">
        <w:rPr>
          <w:sz w:val="22"/>
          <w:szCs w:val="22"/>
          <w:rtl/>
        </w:rPr>
        <w:t xml:space="preserve"> ומ"מ דאקי"ק בג' ראשונות מצד אימא כמש"ו:</w:t>
      </w:r>
    </w:p>
  </w:footnote>
  <w:footnote w:id="681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כגון נקודין.</w:t>
      </w:r>
      <w:r w:rsidRPr="00BD5E91">
        <w:rPr>
          <w:sz w:val="22"/>
          <w:szCs w:val="22"/>
          <w:rtl/>
        </w:rPr>
        <w:t xml:space="preserve"> ר"ל שהנקודות הן דכורין לאתוון</w:t>
      </w:r>
      <w:r>
        <w:rPr>
          <w:rFonts w:hint="cs"/>
          <w:sz w:val="22"/>
          <w:szCs w:val="22"/>
          <w:rtl/>
        </w:rPr>
        <w:t>,</w:t>
      </w:r>
      <w:r w:rsidRPr="00BD5E91">
        <w:rPr>
          <w:sz w:val="22"/>
          <w:szCs w:val="22"/>
          <w:rtl/>
        </w:rPr>
        <w:t xml:space="preserve"> וכשהנוקבא על דכורא הוא כולא מסט' דנוקבא</w:t>
      </w:r>
      <w:r>
        <w:rPr>
          <w:rFonts w:hint="cs"/>
          <w:sz w:val="22"/>
          <w:szCs w:val="22"/>
          <w:rtl/>
        </w:rPr>
        <w:t>,</w:t>
      </w:r>
      <w:r w:rsidRPr="00BD5E91">
        <w:rPr>
          <w:sz w:val="22"/>
          <w:szCs w:val="22"/>
          <w:rtl/>
        </w:rPr>
        <w:t xml:space="preserve"> דבין בדכורא בין בנוקבא שמות של דכורא ונוקבא שהן כלולים זה בזה כמש"ו במשל דטפה שבין בזכר ובין בנקבה שני הטפות של אב ואם כלולין בהן</w:t>
      </w:r>
      <w:r>
        <w:rPr>
          <w:rFonts w:hint="cs"/>
          <w:sz w:val="22"/>
          <w:szCs w:val="22"/>
          <w:rtl/>
        </w:rPr>
        <w:t>,</w:t>
      </w:r>
      <w:r w:rsidRPr="00BD5E91">
        <w:rPr>
          <w:sz w:val="22"/>
          <w:szCs w:val="22"/>
          <w:rtl/>
        </w:rPr>
        <w:t xml:space="preserve"> אלא שבזכר גובר של זכר ובנקבה של נקבה כמש"ו למטה:</w:t>
      </w:r>
    </w:p>
  </w:footnote>
  <w:footnote w:id="681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כתר יתנו כו'.</w:t>
      </w:r>
      <w:r w:rsidRPr="00BD5E91">
        <w:rPr>
          <w:sz w:val="22"/>
          <w:szCs w:val="22"/>
          <w:rtl/>
        </w:rPr>
        <w:t xml:space="preserve"> אהיה כתר לשם הויה:</w:t>
      </w:r>
    </w:p>
  </w:footnote>
  <w:footnote w:id="681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ובכל אתר כו'.</w:t>
      </w:r>
      <w:r w:rsidRPr="00BD5E91">
        <w:rPr>
          <w:sz w:val="22"/>
          <w:szCs w:val="22"/>
          <w:rtl/>
        </w:rPr>
        <w:t xml:space="preserve"> ר"ל אע"ג דכתר עליון הוא דכורא</w:t>
      </w:r>
      <w:r>
        <w:rPr>
          <w:rFonts w:hint="cs"/>
          <w:sz w:val="22"/>
          <w:szCs w:val="22"/>
          <w:rtl/>
        </w:rPr>
        <w:t>,</w:t>
      </w:r>
      <w:r w:rsidRPr="00BD5E91">
        <w:rPr>
          <w:sz w:val="22"/>
          <w:szCs w:val="22"/>
          <w:rtl/>
        </w:rPr>
        <w:t xml:space="preserve"> אמר סתם כתר הוא באימא</w:t>
      </w:r>
      <w:r>
        <w:rPr>
          <w:rFonts w:hint="cs"/>
          <w:sz w:val="22"/>
          <w:szCs w:val="22"/>
          <w:rtl/>
        </w:rPr>
        <w:t>,</w:t>
      </w:r>
      <w:r w:rsidRPr="00BD5E91">
        <w:rPr>
          <w:sz w:val="22"/>
          <w:szCs w:val="22"/>
          <w:rtl/>
        </w:rPr>
        <w:t xml:space="preserve"> כמ"ש (שמות ד יב) ואנכי אהיה כו'</w:t>
      </w:r>
      <w:r>
        <w:rPr>
          <w:rFonts w:hint="cs"/>
          <w:sz w:val="22"/>
          <w:szCs w:val="22"/>
          <w:rtl/>
        </w:rPr>
        <w:t>,</w:t>
      </w:r>
      <w:r w:rsidRPr="00BD5E91">
        <w:rPr>
          <w:sz w:val="22"/>
          <w:szCs w:val="22"/>
          <w:rtl/>
        </w:rPr>
        <w:t xml:space="preserve"> ואנכי הוא בינה</w:t>
      </w:r>
      <w:r>
        <w:rPr>
          <w:rFonts w:hint="cs"/>
          <w:sz w:val="22"/>
          <w:szCs w:val="22"/>
          <w:rtl/>
        </w:rPr>
        <w:t>,</w:t>
      </w:r>
      <w:r w:rsidRPr="00BD5E91">
        <w:rPr>
          <w:sz w:val="22"/>
          <w:szCs w:val="22"/>
          <w:rtl/>
        </w:rPr>
        <w:t xml:space="preserve"> והיא נוקבא לחכמה שבו הויה</w:t>
      </w:r>
      <w:r>
        <w:rPr>
          <w:rFonts w:hint="cs"/>
          <w:sz w:val="22"/>
          <w:szCs w:val="22"/>
          <w:rtl/>
        </w:rPr>
        <w:t>,</w:t>
      </w:r>
      <w:r w:rsidRPr="00BD5E91">
        <w:rPr>
          <w:sz w:val="22"/>
          <w:szCs w:val="22"/>
          <w:rtl/>
        </w:rPr>
        <w:t xml:space="preserve"> שבחכמה ובת"ת שם הויה כידוע</w:t>
      </w:r>
      <w:r>
        <w:rPr>
          <w:rFonts w:hint="cs"/>
          <w:sz w:val="22"/>
          <w:szCs w:val="22"/>
          <w:rtl/>
        </w:rPr>
        <w:t>,</w:t>
      </w:r>
      <w:r w:rsidRPr="00BD5E91">
        <w:rPr>
          <w:sz w:val="22"/>
          <w:szCs w:val="22"/>
          <w:rtl/>
        </w:rPr>
        <w:t xml:space="preserve"> מה שמו ומה שם בנו:</w:t>
      </w:r>
    </w:p>
  </w:footnote>
  <w:footnote w:id="681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בשם אדנ"י.</w:t>
      </w:r>
      <w:r w:rsidRPr="00BD5E91">
        <w:rPr>
          <w:sz w:val="22"/>
          <w:szCs w:val="22"/>
          <w:rtl/>
        </w:rPr>
        <w:t xml:space="preserve"> ר"ל א' בראש י' בסוף:</w:t>
      </w:r>
    </w:p>
  </w:footnote>
  <w:footnote w:id="681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והכי כד כו'.</w:t>
      </w:r>
      <w:r w:rsidRPr="00BD5E91">
        <w:rPr>
          <w:sz w:val="22"/>
          <w:szCs w:val="22"/>
          <w:rtl/>
        </w:rPr>
        <w:t xml:space="preserve"> שמא דמלכות על ת"ת:</w:t>
      </w:r>
    </w:p>
  </w:footnote>
  <w:footnote w:id="681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כגוונא כו'.</w:t>
      </w:r>
      <w:r w:rsidRPr="00BD5E91">
        <w:rPr>
          <w:sz w:val="22"/>
          <w:szCs w:val="22"/>
          <w:rtl/>
        </w:rPr>
        <w:t xml:space="preserve"> ר"ל הטפה שבא באחרונה עולה ע"ג הראשונה וגוברת עלה:</w:t>
      </w:r>
    </w:p>
  </w:footnote>
  <w:footnote w:id="682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ביום עשות כו'.</w:t>
      </w:r>
      <w:r w:rsidRPr="00BD5E91">
        <w:rPr>
          <w:sz w:val="22"/>
          <w:szCs w:val="22"/>
          <w:rtl/>
        </w:rPr>
        <w:t xml:space="preserve"> שארץ הקדים לשמים והוא דכורא, ה' אלקים - ה' קודם:</w:t>
      </w:r>
    </w:p>
  </w:footnote>
  <w:footnote w:id="682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ואיהי כו'.</w:t>
      </w:r>
      <w:r w:rsidRPr="00BD5E91">
        <w:rPr>
          <w:sz w:val="22"/>
          <w:szCs w:val="22"/>
          <w:rtl/>
        </w:rPr>
        <w:t xml:space="preserve"> ר"ל הנשאר מאקי"ק:</w:t>
      </w:r>
    </w:p>
  </w:footnote>
  <w:footnote w:id="682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כחשבן היה ומתפשטין כו'.</w:t>
      </w:r>
      <w:r w:rsidRPr="00BD5E91">
        <w:rPr>
          <w:sz w:val="22"/>
          <w:szCs w:val="22"/>
          <w:rtl/>
        </w:rPr>
        <w:t xml:space="preserve"> ר"ל שמאלו ג' אותיות שהם אותיות של הויה מתפשטין עשר הויות ומן א' מתפשטין עשר אהיה כמ"ש לעיל:</w:t>
      </w:r>
    </w:p>
  </w:footnote>
  <w:footnote w:id="682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ואינון הוה היה אהיה.</w:t>
      </w:r>
      <w:r w:rsidRPr="00BD5E91">
        <w:rPr>
          <w:sz w:val="22"/>
          <w:szCs w:val="22"/>
          <w:rtl/>
        </w:rPr>
        <w:t xml:space="preserve"> ר"ל שאלו אותיות מראין על ראשון ואחרון ומבלעדיו כו' (ישעיהו מד ו) כמש"ו</w:t>
      </w:r>
      <w:r>
        <w:rPr>
          <w:rFonts w:hint="cs"/>
          <w:sz w:val="22"/>
          <w:szCs w:val="22"/>
          <w:rtl/>
        </w:rPr>
        <w:t>.</w:t>
      </w:r>
      <w:r w:rsidRPr="00BD5E91">
        <w:rPr>
          <w:sz w:val="22"/>
          <w:szCs w:val="22"/>
          <w:rtl/>
        </w:rPr>
        <w:t xml:space="preserve"> והוה ע"כ כלול בה מסט' דעכשיו, והן אקיק אשר אקיק, אקיק בעבר, אשר עכשיו, ואקיק לעתיד</w:t>
      </w:r>
      <w:r>
        <w:rPr>
          <w:rFonts w:hint="cs"/>
          <w:sz w:val="22"/>
          <w:szCs w:val="22"/>
          <w:rtl/>
        </w:rPr>
        <w:t>.</w:t>
      </w:r>
      <w:r w:rsidRPr="00BD5E91">
        <w:rPr>
          <w:sz w:val="22"/>
          <w:szCs w:val="22"/>
          <w:rtl/>
        </w:rPr>
        <w:t xml:space="preserve"> כמ"ש (ברכות ט ע"ב) אני הייתי כו' אני אקיק כו', ומאלו עשר אותיות מתפשטין עשר הויות:</w:t>
      </w:r>
    </w:p>
  </w:footnote>
  <w:footnote w:id="682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כגוונא דאתוון דאינון כו'.</w:t>
      </w:r>
      <w:r w:rsidRPr="00BD5E91">
        <w:rPr>
          <w:sz w:val="22"/>
          <w:szCs w:val="22"/>
          <w:rtl/>
        </w:rPr>
        <w:t xml:space="preserve"> ר"ל אותיות מלך מלך ימלך ג"כ לעבר ועתיד והוה</w:t>
      </w:r>
      <w:r>
        <w:rPr>
          <w:rFonts w:hint="cs"/>
          <w:sz w:val="22"/>
          <w:szCs w:val="22"/>
          <w:rtl/>
        </w:rPr>
        <w:t>.</w:t>
      </w:r>
      <w:r w:rsidRPr="00BD5E91">
        <w:rPr>
          <w:sz w:val="22"/>
          <w:szCs w:val="22"/>
          <w:rtl/>
        </w:rPr>
        <w:t xml:space="preserve"> והן ג"כ עשר אותיות:</w:t>
      </w:r>
    </w:p>
  </w:footnote>
  <w:footnote w:id="682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הֹוֶה כו'.</w:t>
      </w:r>
      <w:r w:rsidRPr="00BD5E91">
        <w:rPr>
          <w:sz w:val="22"/>
          <w:szCs w:val="22"/>
          <w:rtl/>
        </w:rPr>
        <w:t xml:space="preserve"> הן נקודות דמלך מלך ימלך</w:t>
      </w:r>
      <w:r>
        <w:rPr>
          <w:rFonts w:hint="cs"/>
          <w:sz w:val="22"/>
          <w:szCs w:val="22"/>
          <w:rtl/>
        </w:rPr>
        <w:t>.</w:t>
      </w:r>
      <w:r w:rsidRPr="00BD5E91">
        <w:rPr>
          <w:sz w:val="22"/>
          <w:szCs w:val="22"/>
          <w:rtl/>
        </w:rPr>
        <w:t xml:space="preserve"> רק דכאן מתחלף נקודה אחרונה חולם בראשונה סגול</w:t>
      </w:r>
      <w:r>
        <w:rPr>
          <w:rFonts w:hint="cs"/>
          <w:sz w:val="22"/>
          <w:szCs w:val="22"/>
          <w:rtl/>
        </w:rPr>
        <w:t>,</w:t>
      </w:r>
      <w:r w:rsidRPr="00BD5E91">
        <w:rPr>
          <w:sz w:val="22"/>
          <w:szCs w:val="22"/>
          <w:rtl/>
        </w:rPr>
        <w:t xml:space="preserve"> ובא כאן ראשונה חולם ואחרונה סגול</w:t>
      </w:r>
      <w:r>
        <w:rPr>
          <w:rFonts w:hint="cs"/>
          <w:sz w:val="22"/>
          <w:szCs w:val="22"/>
          <w:rtl/>
        </w:rPr>
        <w:t>,</w:t>
      </w:r>
      <w:r w:rsidRPr="00BD5E91">
        <w:rPr>
          <w:sz w:val="22"/>
          <w:szCs w:val="22"/>
          <w:rtl/>
        </w:rPr>
        <w:t xml:space="preserve"> בסוד מגיד מראשית אחרית כידוע</w:t>
      </w:r>
      <w:r>
        <w:rPr>
          <w:rFonts w:hint="cs"/>
          <w:sz w:val="22"/>
          <w:szCs w:val="22"/>
          <w:rtl/>
        </w:rPr>
        <w:t>.</w:t>
      </w:r>
      <w:r w:rsidRPr="00BD5E91">
        <w:rPr>
          <w:sz w:val="22"/>
          <w:szCs w:val="22"/>
          <w:rtl/>
        </w:rPr>
        <w:t xml:space="preserve"> והן ג' הויות אם תוסיף ו' על היה ועל יהיה כמ"ש לעיל</w:t>
      </w:r>
      <w:r>
        <w:rPr>
          <w:rFonts w:hint="cs"/>
          <w:sz w:val="22"/>
          <w:szCs w:val="22"/>
          <w:rtl/>
        </w:rPr>
        <w:t>.</w:t>
      </w:r>
      <w:r w:rsidRPr="00BD5E91">
        <w:rPr>
          <w:sz w:val="22"/>
          <w:szCs w:val="22"/>
          <w:rtl/>
        </w:rPr>
        <w:t xml:space="preserve"> והן הויות שקודם מלך כו':</w:t>
      </w:r>
    </w:p>
  </w:footnote>
  <w:footnote w:id="682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על עילת כל כו'.</w:t>
      </w:r>
      <w:r w:rsidRPr="00BD5E91">
        <w:rPr>
          <w:sz w:val="22"/>
          <w:szCs w:val="22"/>
          <w:rtl/>
        </w:rPr>
        <w:t xml:space="preserve"> ר"ל על א"ס וכן בכל מקום שמזכיר כאן עילת העילות או מארי על כלא בכל הענין עד המתני' דלקמן הכל על א"ס:</w:t>
      </w:r>
    </w:p>
  </w:footnote>
  <w:footnote w:id="682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ומסטרא דאדנ"י כו'.</w:t>
      </w:r>
      <w:r w:rsidRPr="00BD5E91">
        <w:rPr>
          <w:sz w:val="22"/>
          <w:szCs w:val="22"/>
          <w:rtl/>
        </w:rPr>
        <w:t xml:space="preserve"> ר"ל דאדנ"י ואקיק מורים על אחרון וראשון ג"כ</w:t>
      </w:r>
      <w:r>
        <w:rPr>
          <w:rFonts w:hint="cs"/>
          <w:sz w:val="22"/>
          <w:szCs w:val="22"/>
          <w:rtl/>
        </w:rPr>
        <w:t>,</w:t>
      </w:r>
      <w:r w:rsidRPr="00BD5E91">
        <w:rPr>
          <w:sz w:val="22"/>
          <w:szCs w:val="22"/>
          <w:rtl/>
        </w:rPr>
        <w:t xml:space="preserve"> שהן נוקבין דהויה ופרטו, וכלל ג' השמות מורין על היה כו' שעיקרו של הויה מורה על הוה ל' יקו"ק, אהיה בכתר ראשית, והויה בעד"א הוה, ואדנ"י מלכות אחרית:</w:t>
      </w:r>
    </w:p>
  </w:footnote>
  <w:footnote w:id="682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וסימניך כו'.</w:t>
      </w:r>
      <w:r w:rsidRPr="00BD5E91">
        <w:rPr>
          <w:sz w:val="22"/>
          <w:szCs w:val="22"/>
          <w:rtl/>
        </w:rPr>
        <w:t xml:space="preserve"> ר"ל נוקבין:</w:t>
      </w:r>
    </w:p>
  </w:footnote>
  <w:footnote w:id="682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אינון.</w:t>
      </w:r>
      <w:r w:rsidRPr="00BD5E91">
        <w:rPr>
          <w:sz w:val="22"/>
          <w:szCs w:val="22"/>
          <w:rtl/>
        </w:rPr>
        <w:t xml:space="preserve"> ר"ל האחוריים:</w:t>
      </w:r>
    </w:p>
  </w:footnote>
  <w:footnote w:id="683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עשרה עשרה ארבעה ארבעה.</w:t>
      </w:r>
      <w:r w:rsidRPr="00BD5E91">
        <w:rPr>
          <w:sz w:val="22"/>
          <w:szCs w:val="22"/>
          <w:rtl/>
        </w:rPr>
        <w:t xml:space="preserve"> ר"ל כל שם עשרה באחוריים וארבעה אותיות פשוטים:</w:t>
      </w:r>
    </w:p>
  </w:footnote>
  <w:footnote w:id="683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ארבע רשויות כו'.</w:t>
      </w:r>
      <w:r w:rsidRPr="00BD5E91">
        <w:rPr>
          <w:sz w:val="22"/>
          <w:szCs w:val="22"/>
          <w:rtl/>
        </w:rPr>
        <w:t xml:space="preserve"> ר"ל ארבע שמות הללו שכל שם הוא רשות כמש"ו וכל שמא רחבו ארבעה וגבהו עשרה:</w:t>
      </w:r>
    </w:p>
  </w:footnote>
  <w:footnote w:id="683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דלית זר בינייהו.</w:t>
      </w:r>
      <w:r w:rsidRPr="00BD5E91">
        <w:rPr>
          <w:sz w:val="22"/>
          <w:szCs w:val="22"/>
          <w:rtl/>
        </w:rPr>
        <w:t xml:space="preserve"> ר"ל אע"ג דארבע רשויות הן</w:t>
      </w:r>
      <w:r>
        <w:rPr>
          <w:rFonts w:hint="cs"/>
          <w:sz w:val="22"/>
          <w:szCs w:val="22"/>
          <w:rtl/>
        </w:rPr>
        <w:t>:</w:t>
      </w:r>
      <w:r w:rsidRPr="00BD5E91">
        <w:rPr>
          <w:sz w:val="22"/>
          <w:szCs w:val="22"/>
          <w:rtl/>
        </w:rPr>
        <w:t xml:space="preserve"> רה"י ורה"ר כו'</w:t>
      </w:r>
      <w:r>
        <w:rPr>
          <w:rFonts w:hint="cs"/>
          <w:sz w:val="22"/>
          <w:szCs w:val="22"/>
          <w:rtl/>
        </w:rPr>
        <w:t xml:space="preserve"> (שבת ו ע"א),</w:t>
      </w:r>
      <w:r w:rsidRPr="00BD5E91">
        <w:rPr>
          <w:sz w:val="22"/>
          <w:szCs w:val="22"/>
          <w:rtl/>
        </w:rPr>
        <w:t xml:space="preserve"> מ"מ כולן רה"י הן</w:t>
      </w:r>
      <w:r>
        <w:rPr>
          <w:rFonts w:hint="cs"/>
          <w:sz w:val="22"/>
          <w:szCs w:val="22"/>
          <w:rtl/>
        </w:rPr>
        <w:t>,</w:t>
      </w:r>
      <w:r w:rsidRPr="00BD5E91">
        <w:rPr>
          <w:sz w:val="22"/>
          <w:szCs w:val="22"/>
          <w:rtl/>
        </w:rPr>
        <w:t xml:space="preserve"> אלא דחד לגבי חברו הוא רה"ר</w:t>
      </w:r>
      <w:r>
        <w:rPr>
          <w:rFonts w:hint="cs"/>
          <w:sz w:val="22"/>
          <w:szCs w:val="22"/>
          <w:rtl/>
        </w:rPr>
        <w:t>,</w:t>
      </w:r>
      <w:r w:rsidRPr="00BD5E91">
        <w:rPr>
          <w:sz w:val="22"/>
          <w:szCs w:val="22"/>
          <w:rtl/>
        </w:rPr>
        <w:t xml:space="preserve"> כמ"ש לקמן בענין פנימיים ואחוריים</w:t>
      </w:r>
      <w:r>
        <w:rPr>
          <w:rFonts w:hint="cs"/>
          <w:sz w:val="22"/>
          <w:szCs w:val="22"/>
          <w:rtl/>
        </w:rPr>
        <w:t>,</w:t>
      </w:r>
      <w:r w:rsidRPr="00BD5E91">
        <w:rPr>
          <w:sz w:val="22"/>
          <w:szCs w:val="22"/>
          <w:rtl/>
        </w:rPr>
        <w:t xml:space="preserve"> דכלא חד אלא דכל נהורא כו' קריבא לעילת כו':</w:t>
      </w:r>
    </w:p>
  </w:footnote>
  <w:footnote w:id="683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ואינון תרין דכר כו'.</w:t>
      </w:r>
      <w:r w:rsidRPr="00BD5E91">
        <w:rPr>
          <w:sz w:val="22"/>
          <w:szCs w:val="22"/>
          <w:rtl/>
        </w:rPr>
        <w:t xml:space="preserve"> ר"ל שכל זכר ונקבה כלול בחד</w:t>
      </w:r>
      <w:r>
        <w:rPr>
          <w:rFonts w:hint="cs"/>
          <w:sz w:val="22"/>
          <w:szCs w:val="22"/>
          <w:rtl/>
        </w:rPr>
        <w:t>.</w:t>
      </w:r>
      <w:r w:rsidRPr="00BD5E91">
        <w:rPr>
          <w:sz w:val="22"/>
          <w:szCs w:val="22"/>
          <w:rtl/>
        </w:rPr>
        <w:t xml:space="preserve"> או"א</w:t>
      </w:r>
      <w:r>
        <w:rPr>
          <w:rFonts w:hint="cs"/>
          <w:sz w:val="22"/>
          <w:szCs w:val="22"/>
          <w:rtl/>
        </w:rPr>
        <w:t>,</w:t>
      </w:r>
      <w:r w:rsidRPr="00BD5E91">
        <w:rPr>
          <w:sz w:val="22"/>
          <w:szCs w:val="22"/>
          <w:rtl/>
        </w:rPr>
        <w:t xml:space="preserve"> יקוק אקי"ק</w:t>
      </w:r>
      <w:r>
        <w:rPr>
          <w:rFonts w:hint="cs"/>
          <w:sz w:val="22"/>
          <w:szCs w:val="22"/>
          <w:rtl/>
        </w:rPr>
        <w:t>,</w:t>
      </w:r>
      <w:r w:rsidRPr="00BD5E91">
        <w:rPr>
          <w:sz w:val="22"/>
          <w:szCs w:val="22"/>
          <w:rtl/>
        </w:rPr>
        <w:t xml:space="preserve"> בחד</w:t>
      </w:r>
      <w:r>
        <w:rPr>
          <w:rFonts w:hint="cs"/>
          <w:sz w:val="22"/>
          <w:szCs w:val="22"/>
          <w:rtl/>
        </w:rPr>
        <w:t>.</w:t>
      </w:r>
      <w:r w:rsidRPr="00BD5E91">
        <w:rPr>
          <w:sz w:val="22"/>
          <w:szCs w:val="22"/>
          <w:rtl/>
        </w:rPr>
        <w:t xml:space="preserve"> והן י"ק לשמאלא</w:t>
      </w:r>
      <w:r>
        <w:rPr>
          <w:rFonts w:hint="cs"/>
          <w:sz w:val="22"/>
          <w:szCs w:val="22"/>
          <w:rtl/>
        </w:rPr>
        <w:t>.</w:t>
      </w:r>
      <w:r w:rsidRPr="00BD5E91">
        <w:rPr>
          <w:sz w:val="22"/>
          <w:szCs w:val="22"/>
          <w:rtl/>
        </w:rPr>
        <w:t xml:space="preserve"> וזו"נ</w:t>
      </w:r>
      <w:r>
        <w:rPr>
          <w:rFonts w:hint="cs"/>
          <w:sz w:val="22"/>
          <w:szCs w:val="22"/>
          <w:rtl/>
        </w:rPr>
        <w:t>,</w:t>
      </w:r>
      <w:r w:rsidRPr="00BD5E91">
        <w:rPr>
          <w:sz w:val="22"/>
          <w:szCs w:val="22"/>
          <w:rtl/>
        </w:rPr>
        <w:t xml:space="preserve"> יקוק אדנ"י</w:t>
      </w:r>
      <w:r>
        <w:rPr>
          <w:rFonts w:hint="cs"/>
          <w:sz w:val="22"/>
          <w:szCs w:val="22"/>
          <w:rtl/>
        </w:rPr>
        <w:t>,</w:t>
      </w:r>
      <w:r w:rsidRPr="00BD5E91">
        <w:rPr>
          <w:sz w:val="22"/>
          <w:szCs w:val="22"/>
          <w:rtl/>
        </w:rPr>
        <w:t xml:space="preserve"> לימינא</w:t>
      </w:r>
      <w:r>
        <w:rPr>
          <w:rFonts w:hint="cs"/>
          <w:sz w:val="22"/>
          <w:szCs w:val="22"/>
          <w:rtl/>
        </w:rPr>
        <w:t>,</w:t>
      </w:r>
      <w:r w:rsidRPr="00BD5E91">
        <w:rPr>
          <w:sz w:val="22"/>
          <w:szCs w:val="22"/>
          <w:rtl/>
        </w:rPr>
        <w:t xml:space="preserve"> ו"ה</w:t>
      </w:r>
      <w:r>
        <w:rPr>
          <w:rFonts w:hint="cs"/>
          <w:sz w:val="22"/>
          <w:szCs w:val="22"/>
          <w:rtl/>
        </w:rPr>
        <w:t>.</w:t>
      </w:r>
      <w:r w:rsidRPr="00BD5E91">
        <w:rPr>
          <w:sz w:val="22"/>
          <w:szCs w:val="22"/>
          <w:rtl/>
        </w:rPr>
        <w:t xml:space="preserve"> כמ"ש לקמן בסוד שמי וזכרי. ור"ל זהו שתים שהן ארבע דשבת (משניות שבת א א):</w:t>
      </w:r>
    </w:p>
  </w:footnote>
  <w:footnote w:id="683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ופני כו'.</w:t>
      </w:r>
      <w:r w:rsidRPr="00BD5E91">
        <w:rPr>
          <w:sz w:val="22"/>
          <w:szCs w:val="22"/>
          <w:rtl/>
        </w:rPr>
        <w:t xml:space="preserve"> ר"ל דגם בפנים ד' שמות רק דשם דכורין על נוקבין כמש"ו וזהו שתים שהן ארבע בפנים ושתים שהן ארבע בחוץ:</w:t>
      </w:r>
    </w:p>
  </w:footnote>
  <w:footnote w:id="683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לא יראו.</w:t>
      </w:r>
      <w:r w:rsidRPr="00BD5E91">
        <w:rPr>
          <w:sz w:val="22"/>
          <w:szCs w:val="22"/>
          <w:rtl/>
        </w:rPr>
        <w:t xml:space="preserve"> ר"ל</w:t>
      </w:r>
      <w:r>
        <w:rPr>
          <w:rFonts w:hint="cs"/>
          <w:sz w:val="22"/>
          <w:szCs w:val="22"/>
          <w:rtl/>
        </w:rPr>
        <w:t>,</w:t>
      </w:r>
      <w:r w:rsidRPr="00BD5E91">
        <w:rPr>
          <w:sz w:val="22"/>
          <w:szCs w:val="22"/>
          <w:rtl/>
        </w:rPr>
        <w:t xml:space="preserve"> ופנ"י ל"א י"רא"ו</w:t>
      </w:r>
      <w:r>
        <w:rPr>
          <w:rFonts w:hint="cs"/>
          <w:sz w:val="22"/>
          <w:szCs w:val="22"/>
          <w:rtl/>
        </w:rPr>
        <w:t>,</w:t>
      </w:r>
      <w:r w:rsidRPr="00BD5E91">
        <w:rPr>
          <w:sz w:val="22"/>
          <w:szCs w:val="22"/>
          <w:rtl/>
        </w:rPr>
        <w:t xml:space="preserve"> ס</w:t>
      </w:r>
      <w:r>
        <w:rPr>
          <w:rFonts w:hint="cs"/>
          <w:sz w:val="22"/>
          <w:szCs w:val="22"/>
          <w:rtl/>
        </w:rPr>
        <w:t>ופי תיבות</w:t>
      </w:r>
      <w:r w:rsidRPr="00BD5E91">
        <w:rPr>
          <w:sz w:val="22"/>
          <w:szCs w:val="22"/>
          <w:rtl/>
        </w:rPr>
        <w:t xml:space="preserve"> ד</w:t>
      </w:r>
      <w:r>
        <w:rPr>
          <w:rFonts w:hint="cs"/>
          <w:sz w:val="22"/>
          <w:szCs w:val="22"/>
          <w:rtl/>
        </w:rPr>
        <w:t>'</w:t>
      </w:r>
      <w:r w:rsidRPr="00BD5E91">
        <w:rPr>
          <w:sz w:val="22"/>
          <w:szCs w:val="22"/>
          <w:rtl/>
        </w:rPr>
        <w:t>פני לא</w:t>
      </w:r>
      <w:r>
        <w:rPr>
          <w:rFonts w:hint="cs"/>
          <w:sz w:val="22"/>
          <w:szCs w:val="22"/>
          <w:rtl/>
        </w:rPr>
        <w:t>'</w:t>
      </w:r>
      <w:r w:rsidRPr="00BD5E91">
        <w:rPr>
          <w:sz w:val="22"/>
          <w:szCs w:val="22"/>
          <w:rtl/>
        </w:rPr>
        <w:t xml:space="preserve"> הן י"א</w:t>
      </w:r>
      <w:r>
        <w:rPr>
          <w:rFonts w:hint="cs"/>
          <w:sz w:val="22"/>
          <w:szCs w:val="22"/>
          <w:rtl/>
        </w:rPr>
        <w:t>.</w:t>
      </w:r>
      <w:r w:rsidRPr="00BD5E91">
        <w:rPr>
          <w:sz w:val="22"/>
          <w:szCs w:val="22"/>
          <w:rtl/>
        </w:rPr>
        <w:t xml:space="preserve"> וכן </w:t>
      </w:r>
      <w:r>
        <w:rPr>
          <w:rFonts w:hint="cs"/>
          <w:sz w:val="22"/>
          <w:szCs w:val="22"/>
          <w:rtl/>
        </w:rPr>
        <w:t>'</w:t>
      </w:r>
      <w:r w:rsidRPr="00BD5E91">
        <w:rPr>
          <w:sz w:val="22"/>
          <w:szCs w:val="22"/>
          <w:rtl/>
        </w:rPr>
        <w:t>יראו</w:t>
      </w:r>
      <w:r>
        <w:rPr>
          <w:rFonts w:hint="cs"/>
          <w:sz w:val="22"/>
          <w:szCs w:val="22"/>
          <w:rtl/>
        </w:rPr>
        <w:t>'</w:t>
      </w:r>
      <w:r w:rsidRPr="00BD5E91">
        <w:rPr>
          <w:sz w:val="22"/>
          <w:szCs w:val="22"/>
          <w:rtl/>
        </w:rPr>
        <w:t xml:space="preserve"> הוא י"א</w:t>
      </w:r>
      <w:r>
        <w:rPr>
          <w:rFonts w:hint="cs"/>
          <w:sz w:val="22"/>
          <w:szCs w:val="22"/>
          <w:rtl/>
        </w:rPr>
        <w:t>.</w:t>
      </w:r>
      <w:r w:rsidRPr="00BD5E91">
        <w:rPr>
          <w:sz w:val="22"/>
          <w:szCs w:val="22"/>
          <w:rtl/>
        </w:rPr>
        <w:t xml:space="preserve"> דכורא על נוקבא</w:t>
      </w:r>
      <w:r>
        <w:rPr>
          <w:rFonts w:hint="cs"/>
          <w:sz w:val="22"/>
          <w:szCs w:val="22"/>
          <w:rtl/>
        </w:rPr>
        <w:t>.</w:t>
      </w:r>
      <w:r w:rsidRPr="00BD5E91">
        <w:rPr>
          <w:sz w:val="22"/>
          <w:szCs w:val="22"/>
          <w:rtl/>
        </w:rPr>
        <w:t xml:space="preserve"> ורא</w:t>
      </w:r>
      <w:r>
        <w:rPr>
          <w:rFonts w:hint="cs"/>
          <w:sz w:val="22"/>
          <w:szCs w:val="22"/>
          <w:rtl/>
        </w:rPr>
        <w:t>'</w:t>
      </w:r>
      <w:r w:rsidRPr="00BD5E91">
        <w:rPr>
          <w:sz w:val="22"/>
          <w:szCs w:val="22"/>
          <w:rtl/>
        </w:rPr>
        <w:t>י</w:t>
      </w:r>
      <w:r>
        <w:rPr>
          <w:rFonts w:hint="cs"/>
          <w:sz w:val="22"/>
          <w:szCs w:val="22"/>
          <w:rtl/>
        </w:rPr>
        <w:t>'</w:t>
      </w:r>
      <w:r w:rsidRPr="00BD5E91">
        <w:rPr>
          <w:sz w:val="22"/>
          <w:szCs w:val="22"/>
          <w:rtl/>
        </w:rPr>
        <w:t>ת את א</w:t>
      </w:r>
      <w:r>
        <w:rPr>
          <w:rFonts w:hint="cs"/>
          <w:sz w:val="22"/>
          <w:szCs w:val="22"/>
          <w:rtl/>
        </w:rPr>
        <w:t>'</w:t>
      </w:r>
      <w:r w:rsidRPr="00BD5E91">
        <w:rPr>
          <w:sz w:val="22"/>
          <w:szCs w:val="22"/>
          <w:rtl/>
        </w:rPr>
        <w:t>חר</w:t>
      </w:r>
      <w:r>
        <w:rPr>
          <w:rFonts w:hint="cs"/>
          <w:sz w:val="22"/>
          <w:szCs w:val="22"/>
          <w:rtl/>
        </w:rPr>
        <w:t>'</w:t>
      </w:r>
      <w:r w:rsidRPr="00BD5E91">
        <w:rPr>
          <w:sz w:val="22"/>
          <w:szCs w:val="22"/>
          <w:rtl/>
        </w:rPr>
        <w:t>י הן א"י א"י כנ"ל:</w:t>
      </w:r>
    </w:p>
  </w:footnote>
  <w:footnote w:id="683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וכל שמא כו'.</w:t>
      </w:r>
      <w:r w:rsidRPr="00BD5E91">
        <w:rPr>
          <w:sz w:val="22"/>
          <w:szCs w:val="22"/>
          <w:rtl/>
        </w:rPr>
        <w:t xml:space="preserve"> מפ' שהן רשות היחיד כנ"ל:</w:t>
      </w:r>
    </w:p>
  </w:footnote>
  <w:footnote w:id="683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וסלקין ארבע ארבע לע"ב.</w:t>
      </w:r>
      <w:r w:rsidRPr="00BD5E91">
        <w:rPr>
          <w:sz w:val="22"/>
          <w:szCs w:val="22"/>
          <w:rtl/>
        </w:rPr>
        <w:t xml:space="preserve"> ר"ל שכל שם הוא ח"י</w:t>
      </w:r>
      <w:r>
        <w:rPr>
          <w:rFonts w:hint="cs"/>
          <w:sz w:val="22"/>
          <w:szCs w:val="22"/>
          <w:rtl/>
        </w:rPr>
        <w:t>.</w:t>
      </w:r>
      <w:r w:rsidRPr="00BD5E91">
        <w:rPr>
          <w:sz w:val="22"/>
          <w:szCs w:val="22"/>
          <w:rtl/>
        </w:rPr>
        <w:t xml:space="preserve"> כיצד</w:t>
      </w:r>
      <w:r>
        <w:rPr>
          <w:rFonts w:hint="cs"/>
          <w:sz w:val="22"/>
          <w:szCs w:val="22"/>
          <w:rtl/>
        </w:rPr>
        <w:t>,</w:t>
      </w:r>
      <w:r w:rsidRPr="00BD5E91">
        <w:rPr>
          <w:sz w:val="22"/>
          <w:szCs w:val="22"/>
          <w:rtl/>
        </w:rPr>
        <w:t xml:space="preserve"> הויה דאבא עשר באחוריים דיקוק</w:t>
      </w:r>
      <w:r>
        <w:rPr>
          <w:rFonts w:hint="cs"/>
          <w:sz w:val="22"/>
          <w:szCs w:val="22"/>
          <w:rtl/>
        </w:rPr>
        <w:t>,</w:t>
      </w:r>
      <w:r w:rsidRPr="00BD5E91">
        <w:rPr>
          <w:sz w:val="22"/>
          <w:szCs w:val="22"/>
          <w:rtl/>
        </w:rPr>
        <w:t xml:space="preserve"> וארבע ארבע יקוק אקיק</w:t>
      </w:r>
      <w:r>
        <w:rPr>
          <w:rFonts w:hint="cs"/>
          <w:sz w:val="22"/>
          <w:szCs w:val="22"/>
          <w:rtl/>
        </w:rPr>
        <w:t>.</w:t>
      </w:r>
      <w:r w:rsidRPr="00BD5E91">
        <w:rPr>
          <w:sz w:val="22"/>
          <w:szCs w:val="22"/>
          <w:rtl/>
        </w:rPr>
        <w:t xml:space="preserve"> ובאימא עשר דאחוריים דאקיק</w:t>
      </w:r>
      <w:r>
        <w:rPr>
          <w:rFonts w:hint="cs"/>
          <w:sz w:val="22"/>
          <w:szCs w:val="22"/>
          <w:rtl/>
        </w:rPr>
        <w:t>,</w:t>
      </w:r>
      <w:r w:rsidRPr="00BD5E91">
        <w:rPr>
          <w:sz w:val="22"/>
          <w:szCs w:val="22"/>
          <w:rtl/>
        </w:rPr>
        <w:t xml:space="preserve"> וארבע ארבע אקיק יקוק</w:t>
      </w:r>
      <w:r>
        <w:rPr>
          <w:rFonts w:hint="cs"/>
          <w:sz w:val="22"/>
          <w:szCs w:val="22"/>
          <w:rtl/>
        </w:rPr>
        <w:t>.</w:t>
      </w:r>
      <w:r w:rsidRPr="00BD5E91">
        <w:rPr>
          <w:sz w:val="22"/>
          <w:szCs w:val="22"/>
          <w:rtl/>
        </w:rPr>
        <w:t xml:space="preserve"> וכן בזו"נ ביקוק אדנ"י</w:t>
      </w:r>
      <w:r>
        <w:rPr>
          <w:rFonts w:hint="cs"/>
          <w:sz w:val="22"/>
          <w:szCs w:val="22"/>
          <w:rtl/>
        </w:rPr>
        <w:t>,</w:t>
      </w:r>
      <w:r w:rsidRPr="00BD5E91">
        <w:rPr>
          <w:sz w:val="22"/>
          <w:szCs w:val="22"/>
          <w:rtl/>
        </w:rPr>
        <w:t xml:space="preserve"> ואדנ"י יקו"ק</w:t>
      </w:r>
      <w:r>
        <w:rPr>
          <w:rFonts w:hint="cs"/>
          <w:sz w:val="22"/>
          <w:szCs w:val="22"/>
          <w:rtl/>
        </w:rPr>
        <w:t>.</w:t>
      </w:r>
      <w:r w:rsidRPr="00BD5E91">
        <w:rPr>
          <w:sz w:val="22"/>
          <w:szCs w:val="22"/>
          <w:rtl/>
        </w:rPr>
        <w:t xml:space="preserve"> כולם ע"ב:</w:t>
      </w:r>
    </w:p>
  </w:footnote>
  <w:footnote w:id="6838">
    <w:p w:rsidR="00007309" w:rsidRPr="00BD5E91" w:rsidRDefault="00007309" w:rsidP="00007309">
      <w:pPr>
        <w:jc w:val="both"/>
        <w:rPr>
          <w:rFonts w:cs="Arial"/>
          <w:sz w:val="22"/>
          <w:szCs w:val="22"/>
          <w:rtl/>
        </w:rPr>
      </w:pPr>
      <w:r w:rsidRPr="00BD5E91">
        <w:rPr>
          <w:rStyle w:val="a7"/>
          <w:rFonts w:cs="Arial"/>
          <w:sz w:val="22"/>
          <w:szCs w:val="22"/>
          <w:rtl/>
        </w:rPr>
        <w:footnoteRef/>
      </w:r>
      <w:r w:rsidRPr="00BD5E91">
        <w:rPr>
          <w:rFonts w:cs="Arial"/>
          <w:sz w:val="22"/>
          <w:szCs w:val="22"/>
          <w:rtl/>
        </w:rPr>
        <w:t xml:space="preserve"> </w:t>
      </w:r>
      <w:r w:rsidRPr="00BD5E91">
        <w:rPr>
          <w:rFonts w:cs="Arial"/>
          <w:b/>
          <w:bCs/>
          <w:sz w:val="22"/>
          <w:szCs w:val="22"/>
          <w:rtl/>
        </w:rPr>
        <w:t>ותליין מעשר כו'.</w:t>
      </w:r>
      <w:r w:rsidRPr="00BD5E91">
        <w:rPr>
          <w:rFonts w:cs="Arial"/>
          <w:sz w:val="22"/>
          <w:szCs w:val="22"/>
          <w:rtl/>
        </w:rPr>
        <w:t xml:space="preserve"> בעשר אותיות דמילוי ע"ב</w:t>
      </w:r>
      <w:r>
        <w:rPr>
          <w:rFonts w:cs="Arial" w:hint="cs"/>
          <w:sz w:val="22"/>
          <w:szCs w:val="22"/>
          <w:rtl/>
        </w:rPr>
        <w:t>,</w:t>
      </w:r>
      <w:r w:rsidRPr="00BD5E91">
        <w:rPr>
          <w:rFonts w:cs="Arial"/>
          <w:sz w:val="22"/>
          <w:szCs w:val="22"/>
          <w:rtl/>
        </w:rPr>
        <w:t xml:space="preserve"> שהן ע"ס</w:t>
      </w:r>
      <w:r>
        <w:rPr>
          <w:rFonts w:cs="Arial" w:hint="cs"/>
          <w:sz w:val="22"/>
          <w:szCs w:val="22"/>
          <w:rtl/>
        </w:rPr>
        <w:t>.</w:t>
      </w:r>
      <w:r w:rsidRPr="00BD5E91">
        <w:rPr>
          <w:rFonts w:cs="Arial"/>
          <w:sz w:val="22"/>
          <w:szCs w:val="22"/>
          <w:rtl/>
        </w:rPr>
        <w:t xml:space="preserve"> ור"ל כולם נכללין בע"ס</w:t>
      </w:r>
      <w:r>
        <w:rPr>
          <w:rFonts w:cs="Arial" w:hint="cs"/>
          <w:sz w:val="22"/>
          <w:szCs w:val="22"/>
          <w:rtl/>
        </w:rPr>
        <w:t>.</w:t>
      </w:r>
      <w:r w:rsidRPr="00BD5E91">
        <w:rPr>
          <w:rFonts w:cs="Arial"/>
          <w:sz w:val="22"/>
          <w:szCs w:val="22"/>
          <w:rtl/>
        </w:rPr>
        <w:t xml:space="preserve"> וזהו ע"ס פנימיים</w:t>
      </w:r>
      <w:r>
        <w:rPr>
          <w:rFonts w:cs="Arial" w:hint="cs"/>
          <w:sz w:val="22"/>
          <w:szCs w:val="22"/>
          <w:rtl/>
        </w:rPr>
        <w:t>.</w:t>
      </w:r>
      <w:r w:rsidRPr="00BD5E91">
        <w:rPr>
          <w:rFonts w:cs="Arial"/>
          <w:sz w:val="22"/>
          <w:szCs w:val="22"/>
          <w:rtl/>
        </w:rPr>
        <w:t xml:space="preserve"> וכן כולן נכללין בעשר אותיות דאחוריים דהויה גי' ע"ב</w:t>
      </w:r>
      <w:r>
        <w:rPr>
          <w:rFonts w:cs="Arial" w:hint="cs"/>
          <w:sz w:val="22"/>
          <w:szCs w:val="22"/>
          <w:rtl/>
        </w:rPr>
        <w:t>,</w:t>
      </w:r>
      <w:r w:rsidRPr="00BD5E91">
        <w:rPr>
          <w:rFonts w:cs="Arial"/>
          <w:sz w:val="22"/>
          <w:szCs w:val="22"/>
          <w:rtl/>
        </w:rPr>
        <w:t xml:space="preserve"> והן ע"ס אחוריים</w:t>
      </w:r>
      <w:r>
        <w:rPr>
          <w:rFonts w:cs="Arial" w:hint="cs"/>
          <w:sz w:val="22"/>
          <w:szCs w:val="22"/>
          <w:rtl/>
        </w:rPr>
        <w:t>.</w:t>
      </w:r>
      <w:r w:rsidRPr="00BD5E91">
        <w:rPr>
          <w:rFonts w:cs="Arial"/>
          <w:sz w:val="22"/>
          <w:szCs w:val="22"/>
          <w:rtl/>
        </w:rPr>
        <w:t xml:space="preserve"> וכולם כללא דילהון בעד"א שהוא מילוי ע"ב בפנים</w:t>
      </w:r>
      <w:r>
        <w:rPr>
          <w:rFonts w:cs="Arial" w:hint="cs"/>
          <w:sz w:val="22"/>
          <w:szCs w:val="22"/>
          <w:rtl/>
        </w:rPr>
        <w:t>,</w:t>
      </w:r>
      <w:r w:rsidRPr="00BD5E91">
        <w:rPr>
          <w:rFonts w:cs="Arial"/>
          <w:sz w:val="22"/>
          <w:szCs w:val="22"/>
          <w:rtl/>
        </w:rPr>
        <w:t xml:space="preserve"> ובאחוריים אחוריים דיקו"ק כמ"ש לעיל:</w:t>
      </w:r>
    </w:p>
  </w:footnote>
  <w:footnote w:id="683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כגוונא דכל כו'.</w:t>
      </w:r>
      <w:r w:rsidRPr="00BD5E91">
        <w:rPr>
          <w:sz w:val="22"/>
          <w:szCs w:val="22"/>
          <w:rtl/>
        </w:rPr>
        <w:t xml:space="preserve"> ר"ל כל ספירה כלול מעשר</w:t>
      </w:r>
      <w:r>
        <w:rPr>
          <w:rFonts w:hint="cs"/>
          <w:sz w:val="22"/>
          <w:szCs w:val="22"/>
          <w:rtl/>
        </w:rPr>
        <w:t>,</w:t>
      </w:r>
      <w:r w:rsidRPr="00BD5E91">
        <w:rPr>
          <w:sz w:val="22"/>
          <w:szCs w:val="22"/>
          <w:rtl/>
        </w:rPr>
        <w:t xml:space="preserve"> מ"מ זו חסד</w:t>
      </w:r>
      <w:r>
        <w:rPr>
          <w:rFonts w:hint="cs"/>
          <w:sz w:val="22"/>
          <w:szCs w:val="22"/>
          <w:rtl/>
        </w:rPr>
        <w:t>,</w:t>
      </w:r>
      <w:r w:rsidRPr="00BD5E91">
        <w:rPr>
          <w:sz w:val="22"/>
          <w:szCs w:val="22"/>
          <w:rtl/>
        </w:rPr>
        <w:t xml:space="preserve"> וכן בכולם כן</w:t>
      </w:r>
      <w:r>
        <w:rPr>
          <w:rFonts w:hint="cs"/>
          <w:sz w:val="22"/>
          <w:szCs w:val="22"/>
          <w:rtl/>
        </w:rPr>
        <w:t>,</w:t>
      </w:r>
      <w:r w:rsidRPr="00BD5E91">
        <w:rPr>
          <w:sz w:val="22"/>
          <w:szCs w:val="22"/>
          <w:rtl/>
        </w:rPr>
        <w:t xml:space="preserve"> כל שם כלול מעשר מ"מ כל שם בספירה מיוחדת כמש"ו:</w:t>
      </w:r>
    </w:p>
  </w:footnote>
  <w:footnote w:id="6840">
    <w:p w:rsidR="00007309" w:rsidRPr="00421F9B"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ואלין אינון כו'.</w:t>
      </w:r>
      <w:r w:rsidRPr="00BD5E91">
        <w:rPr>
          <w:sz w:val="22"/>
          <w:szCs w:val="22"/>
          <w:rtl/>
        </w:rPr>
        <w:t xml:space="preserve"> עמ"ש בהת"ז:</w:t>
      </w:r>
      <w:r>
        <w:rPr>
          <w:rFonts w:hint="cs"/>
          <w:sz w:val="22"/>
          <w:szCs w:val="22"/>
          <w:rtl/>
        </w:rPr>
        <w:t xml:space="preserve"> (ג.פ: הוא בהקדמה דף ח' ע"א. ושם הם בסדר אחר. ושם כתב </w:t>
      </w:r>
      <w:r w:rsidRPr="00421F9B">
        <w:rPr>
          <w:rFonts w:hint="cs"/>
          <w:sz w:val="22"/>
          <w:szCs w:val="22"/>
          <w:rtl/>
        </w:rPr>
        <w:t xml:space="preserve">הגר"א: </w:t>
      </w:r>
      <w:r w:rsidRPr="00421F9B">
        <w:rPr>
          <w:rFonts w:ascii="Arial"/>
          <w:sz w:val="22"/>
          <w:szCs w:val="22"/>
          <w:rtl/>
        </w:rPr>
        <w:t>נראה לי סדרן כמו שרשמתי, ושרשן נ"ד הוויות מד' אותיות: י"ב שה' כפול בהן. י"ב שיו"ד כפול. י"ב שוא"ו כפול. ו' שי"ק כפולים. ו' שי"ו כפולים. ו' שה"ו כפולים. והן רמוזים באותיות ד"ן שבאדנ"י כידוע. ותחסר אות הרביעי מכל הוי' שכל ע"ב הווין הוא מג' אותיות. ועוד ח"י הוויות מג' אותיות: ג' של יה"ה, ג' של יו"ו, ג' של הי"י, ג' של הו"ו, ג' של וי"י, ג' של וה"ה. והן ע"ב הוויין. ויש עוד ששה הויות של צירוף יה"ו רק שאין חושב כאן בין שהשורש מד' אותיות בין מג' רק שכפול אות בהן כמו שאומר לעיל מסטרא דאימא כו'. וכשתראה בע"ב צירופים, תמצא כ"ד צירופים של הוויין מג' אותיות, והן ח"י הנ"ל שאות אחת כפול וששה של יה"ו, הן כ"ד. ותמצא שכל צירוף בהם שלוש פעמים והוא שלוש כ"ד הידועים נגד שלש אותיות יה"ו הנ"ל</w:t>
      </w:r>
      <w:r>
        <w:rPr>
          <w:rFonts w:ascii="Arial" w:hint="cs"/>
          <w:sz w:val="22"/>
          <w:szCs w:val="22"/>
          <w:rtl/>
        </w:rPr>
        <w:t>. עכ"ל)</w:t>
      </w:r>
    </w:p>
  </w:footnote>
  <w:footnote w:id="684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יהי כך כו'.</w:t>
      </w:r>
      <w:r w:rsidRPr="00BD5E91">
        <w:rPr>
          <w:sz w:val="22"/>
          <w:szCs w:val="22"/>
          <w:rtl/>
        </w:rPr>
        <w:t xml:space="preserve"> ר"ל כל מה שנבראו</w:t>
      </w:r>
      <w:r>
        <w:rPr>
          <w:rFonts w:hint="cs"/>
          <w:sz w:val="22"/>
          <w:szCs w:val="22"/>
          <w:rtl/>
        </w:rPr>
        <w:t>,</w:t>
      </w:r>
      <w:r w:rsidRPr="00BD5E91">
        <w:rPr>
          <w:sz w:val="22"/>
          <w:szCs w:val="22"/>
          <w:rtl/>
        </w:rPr>
        <w:t xml:space="preserve"> הכל היה במאמר יהי כו'. והוא ג' אותיות של הויות הנ"ל וכולם יוצאין מ</w:t>
      </w:r>
      <w:r>
        <w:rPr>
          <w:rFonts w:hint="cs"/>
          <w:sz w:val="22"/>
          <w:szCs w:val="22"/>
          <w:rtl/>
        </w:rPr>
        <w:t>ג</w:t>
      </w:r>
      <w:r w:rsidRPr="00BD5E91">
        <w:rPr>
          <w:sz w:val="22"/>
          <w:szCs w:val="22"/>
          <w:rtl/>
        </w:rPr>
        <w:t>' אותיות של יק"ו והן בניינא דנשמתיה כמש"ו:</w:t>
      </w:r>
    </w:p>
  </w:footnote>
  <w:footnote w:id="684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חסד יבנה.</w:t>
      </w:r>
      <w:r w:rsidRPr="00BD5E91">
        <w:rPr>
          <w:sz w:val="22"/>
          <w:szCs w:val="22"/>
          <w:rtl/>
        </w:rPr>
        <w:t xml:space="preserve"> ע"ב צירופין ומהן הנשמות דכורין ונוקבין, דכורין גוברין ונוקבין גוברין הכל כפי מה שקודם האותיות אחד לחבירו וכפי שהן יותר אם ב' ההי"ן או ב' ווי"ן או יודי"ן:</w:t>
      </w:r>
    </w:p>
  </w:footnote>
  <w:footnote w:id="684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כל י' כו'.</w:t>
      </w:r>
      <w:r w:rsidRPr="00BD5E91">
        <w:rPr>
          <w:sz w:val="22"/>
          <w:szCs w:val="22"/>
          <w:rtl/>
        </w:rPr>
        <w:t xml:space="preserve"> כמ"ש לקמן י' זעירא שבבנין ג' דברים אבנים יסוד הבנין. ובנין ועמוד. יה"ו והן ב' בתים בית עילאה בית תתאה כידוע ובבית תתאה: י' יסוד, ה"א בית מלכות, ו' עמוד ת"ת והן אותיות בי"ת ב' מלכות י' יסוד ת' ת"ת כמ"ש בהת"ז ובבית עילאה י' חכמה כמ"ש בחכמה יבנה בית, בית ה' בינה, ו' עמוד ת"ת כמש"ו דהוא בין או"א ובמלכות והן ג"כ ג' אותיות בי"ת:</w:t>
      </w:r>
    </w:p>
  </w:footnote>
  <w:footnote w:id="684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איהו כליל כו'.</w:t>
      </w:r>
      <w:r w:rsidRPr="00BD5E91">
        <w:rPr>
          <w:sz w:val="22"/>
          <w:szCs w:val="22"/>
          <w:rtl/>
        </w:rPr>
        <w:t xml:space="preserve"> ר"ל לשון ויכלו וכן גי' ויכלו ע"ב והוא יסוד (בנין גי' יב"ק שהוא ג' אותיות יה"ו כידוע. כ"ז היה כתוב עה"ג) הבנין ע"ב הווין הנ"ל וכ"ה בחכמה כליל ע"ב מימינא חסד:</w:t>
      </w:r>
    </w:p>
  </w:footnote>
  <w:footnote w:id="684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כגון בחכמה כו'.</w:t>
      </w:r>
      <w:r w:rsidRPr="00BD5E91">
        <w:rPr>
          <w:sz w:val="22"/>
          <w:szCs w:val="22"/>
          <w:rtl/>
        </w:rPr>
        <w:t xml:space="preserve"> ר"ל בחכמה יבנה בית עילאה כנ"ל וכן תתאה ע"י יסוד י' זעירא דקישורא דיליה בחכמה כמש"ו והוא ידוע בטפין דנפקין ממוחא:</w:t>
      </w:r>
    </w:p>
  </w:footnote>
  <w:footnote w:id="684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ואיהו עד"א כו'.</w:t>
      </w:r>
      <w:r w:rsidRPr="00BD5E91">
        <w:rPr>
          <w:sz w:val="22"/>
          <w:szCs w:val="22"/>
          <w:rtl/>
        </w:rPr>
        <w:t xml:space="preserve"> ר"ל שהוא עמוד בבית עילאה ובבית תתאה שהוא יחוד בין או"א וכן הוא ביסוד ו' זעירא יחוד בין תו"מ:</w:t>
      </w:r>
    </w:p>
  </w:footnote>
  <w:footnote w:id="684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ה' דאיהי בית ב'.</w:t>
      </w:r>
      <w:r w:rsidRPr="00BD5E91">
        <w:rPr>
          <w:sz w:val="22"/>
          <w:szCs w:val="22"/>
          <w:rtl/>
        </w:rPr>
        <w:t xml:space="preserve"> מקשה: בית הוא ב' והיאך נרמז באות ב', ומתרץ אלא כגוונא כו' וצורתם אחת ובצורתם העולם דומה לאכסדרה:</w:t>
      </w:r>
    </w:p>
  </w:footnote>
  <w:footnote w:id="684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וכל נקודה כו'.</w:t>
      </w:r>
      <w:r w:rsidRPr="00BD5E91">
        <w:rPr>
          <w:sz w:val="22"/>
          <w:szCs w:val="22"/>
          <w:rtl/>
        </w:rPr>
        <w:t xml:space="preserve"> עכשיו מפ' נקודות וטעמים ואמר נקודה באמצע הוא בת"ת שהוא אמצע דג' שמות כנ"ל:</w:t>
      </w:r>
    </w:p>
  </w:footnote>
  <w:footnote w:id="684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ולאכללא כו'.</w:t>
      </w:r>
      <w:r w:rsidRPr="00BD5E91">
        <w:rPr>
          <w:sz w:val="22"/>
          <w:szCs w:val="22"/>
          <w:rtl/>
        </w:rPr>
        <w:t xml:space="preserve"> שכל ספירות נכללין בת"ת:</w:t>
      </w:r>
    </w:p>
  </w:footnote>
  <w:footnote w:id="685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וכל נקודה כו'.</w:t>
      </w:r>
      <w:r w:rsidRPr="00BD5E91">
        <w:rPr>
          <w:sz w:val="22"/>
          <w:szCs w:val="22"/>
          <w:rtl/>
        </w:rPr>
        <w:t xml:space="preserve"> שלמעלה הוא כתר כנ"ל והוא מגיד מראשית אחרית, כתר מלכות כמ"ש בהת"ז וז"ש. ולנחתא כו' וכן אם למטה הוא במלכות כמ"ש לעיל נקודין תחות אתוון כו' וצריך לסלקא לה עד כתר וכאן מפרש מה ששייר לעיל שלא פי' אלא תחות אתוון:</w:t>
      </w:r>
    </w:p>
  </w:footnote>
  <w:footnote w:id="685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והכי בכל כו'.</w:t>
      </w:r>
      <w:r w:rsidRPr="00BD5E91">
        <w:rPr>
          <w:sz w:val="22"/>
          <w:szCs w:val="22"/>
          <w:rtl/>
        </w:rPr>
        <w:t xml:space="preserve"> ר"ל באותן תיבות שאין בהם טעמים אז צריך לארכא בכל ניקודי' אבל באותן תיבות שיש בהן טעמים אצ"ל אלא באות שהטעם עליה:</w:t>
      </w:r>
    </w:p>
  </w:footnote>
  <w:footnote w:id="685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פרדס כו' סוד דאורייתא.</w:t>
      </w:r>
      <w:r w:rsidRPr="00BD5E91">
        <w:rPr>
          <w:sz w:val="22"/>
          <w:szCs w:val="22"/>
          <w:rtl/>
        </w:rPr>
        <w:t xml:space="preserve"> שהן ד' אותיות דשם הויה כידוע:</w:t>
      </w:r>
    </w:p>
  </w:footnote>
  <w:footnote w:id="685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 הוא סימן פרדס.</w:t>
      </w:r>
      <w:r w:rsidRPr="00BD5E91">
        <w:rPr>
          <w:sz w:val="22"/>
          <w:szCs w:val="22"/>
          <w:rtl/>
        </w:rPr>
        <w:t xml:space="preserve"> וזהו ארבעה שנכנסו לפרדס (חגיגה יד ע"ב), שלשה אכלו משלשה הראשונים ור"ע אכל מסוד לפיכך יצא בשלום כמ"ש בזוהר:</w:t>
      </w:r>
    </w:p>
  </w:footnote>
  <w:footnote w:id="685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ואתקריאת עץ כו'.</w:t>
      </w:r>
      <w:r w:rsidRPr="00BD5E91">
        <w:rPr>
          <w:sz w:val="22"/>
          <w:szCs w:val="22"/>
          <w:rtl/>
        </w:rPr>
        <w:t xml:space="preserve"> אילנין דפרדס:</w:t>
      </w:r>
    </w:p>
  </w:footnote>
  <w:footnote w:id="685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ומסטרא דכמה אילנין אינון.</w:t>
      </w:r>
      <w:r w:rsidRPr="00BD5E91">
        <w:rPr>
          <w:sz w:val="22"/>
          <w:szCs w:val="22"/>
          <w:rtl/>
        </w:rPr>
        <w:t xml:space="preserve"> ר"ל פרדס הנ"ל של השכינה:</w:t>
      </w:r>
    </w:p>
  </w:footnote>
  <w:footnote w:id="685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כפום עובדיהון.</w:t>
      </w:r>
      <w:r w:rsidRPr="00BD5E91">
        <w:rPr>
          <w:sz w:val="22"/>
          <w:szCs w:val="22"/>
          <w:rtl/>
        </w:rPr>
        <w:t xml:space="preserve"> אם צדיקים או בינונים כמש"ו:</w:t>
      </w:r>
    </w:p>
  </w:footnote>
  <w:footnote w:id="685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ועם כל דא.</w:t>
      </w:r>
      <w:r w:rsidRPr="00BD5E91">
        <w:rPr>
          <w:sz w:val="22"/>
          <w:szCs w:val="22"/>
          <w:rtl/>
        </w:rPr>
        <w:t xml:space="preserve"> אע"ג שדבש הוא וטוב מ"מ (משלי כה טז) דבש מצאת כו':</w:t>
      </w:r>
    </w:p>
  </w:footnote>
  <w:footnote w:id="685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וכגוונא דמוחא דאגוז כו'.</w:t>
      </w:r>
      <w:r w:rsidRPr="00BD5E91">
        <w:rPr>
          <w:sz w:val="22"/>
          <w:szCs w:val="22"/>
          <w:rtl/>
        </w:rPr>
        <w:t xml:space="preserve"> ר"ל משום שני דברים נמשלה לאגוז מסט' דרשעים: א' שאין נהנין מהמוח שבפנים כנ"ל. ב' דטוב דרשעים סתום הוא והרע שבהם שולטת ואין מניח הטוב שבהן לצאת כלל כמו האגוז וז"ש. הכי איהי שכינתא כו':</w:t>
      </w:r>
    </w:p>
  </w:footnote>
  <w:footnote w:id="685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ובין צדיקים לית כו'.</w:t>
      </w:r>
      <w:r w:rsidRPr="00BD5E91">
        <w:rPr>
          <w:sz w:val="22"/>
          <w:szCs w:val="22"/>
          <w:rtl/>
        </w:rPr>
        <w:t xml:space="preserve"> ר"ל שבהן נמשלה לאותן פירות שאין בהם פסולת:</w:t>
      </w:r>
    </w:p>
  </w:footnote>
  <w:footnote w:id="686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ובבינונים כו'.</w:t>
      </w:r>
      <w:r w:rsidRPr="00BD5E91">
        <w:rPr>
          <w:sz w:val="22"/>
          <w:szCs w:val="22"/>
          <w:rtl/>
        </w:rPr>
        <w:t xml:space="preserve"> ר"ל כמו תמרים דפסולת שלהן בפנים סתום וחתום:</w:t>
      </w:r>
    </w:p>
  </w:footnote>
  <w:footnote w:id="686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שרשא דאילנא כו'.</w:t>
      </w:r>
      <w:r w:rsidRPr="00BD5E91">
        <w:rPr>
          <w:sz w:val="22"/>
          <w:szCs w:val="22"/>
          <w:rtl/>
        </w:rPr>
        <w:t xml:space="preserve"> שהשכינה היא שרשא דאילנא כמ"ש לקמן מסטרא דה' תתאה ושורש האילן ידוע שהוא טמיר בארץ והן ארץ דס"א כמש"ו:</w:t>
      </w:r>
    </w:p>
  </w:footnote>
  <w:footnote w:id="686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ולא עוד</w:t>
      </w:r>
      <w:r>
        <w:rPr>
          <w:rFonts w:hint="cs"/>
          <w:b/>
          <w:bCs/>
          <w:sz w:val="22"/>
          <w:szCs w:val="22"/>
          <w:rtl/>
        </w:rPr>
        <w:t xml:space="preserve"> </w:t>
      </w:r>
      <w:r w:rsidRPr="00BD5E91">
        <w:rPr>
          <w:b/>
          <w:bCs/>
          <w:sz w:val="22"/>
          <w:szCs w:val="22"/>
          <w:rtl/>
        </w:rPr>
        <w:t>כו'.</w:t>
      </w:r>
      <w:r w:rsidRPr="00BD5E91">
        <w:rPr>
          <w:sz w:val="22"/>
          <w:szCs w:val="22"/>
          <w:rtl/>
        </w:rPr>
        <w:t xml:space="preserve"> ר"ל דלא זו בלבד אלא דגם מתזנן מינה:</w:t>
      </w:r>
    </w:p>
  </w:footnote>
  <w:footnote w:id="686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חמור כו'.</w:t>
      </w:r>
      <w:r w:rsidRPr="00BD5E91">
        <w:rPr>
          <w:sz w:val="22"/>
          <w:szCs w:val="22"/>
          <w:rtl/>
        </w:rPr>
        <w:t xml:space="preserve"> מסט' דנחש:</w:t>
      </w:r>
    </w:p>
  </w:footnote>
  <w:footnote w:id="6864">
    <w:p w:rsidR="00007309" w:rsidRPr="00BD5E91" w:rsidRDefault="00007309" w:rsidP="00007309">
      <w:pPr>
        <w:jc w:val="both"/>
        <w:rPr>
          <w:rFonts w:cs="Arial"/>
          <w:sz w:val="22"/>
          <w:szCs w:val="22"/>
          <w:rtl/>
        </w:rPr>
      </w:pPr>
      <w:r w:rsidRPr="00BD5E91">
        <w:rPr>
          <w:rStyle w:val="a7"/>
          <w:rFonts w:cs="Arial"/>
          <w:sz w:val="22"/>
          <w:szCs w:val="22"/>
          <w:rtl/>
        </w:rPr>
        <w:footnoteRef/>
      </w:r>
      <w:r w:rsidRPr="00BD5E91">
        <w:rPr>
          <w:rFonts w:cs="Arial"/>
          <w:sz w:val="22"/>
          <w:szCs w:val="22"/>
          <w:rtl/>
        </w:rPr>
        <w:t xml:space="preserve"> </w:t>
      </w:r>
      <w:r w:rsidRPr="00BD5E91">
        <w:rPr>
          <w:rFonts w:cs="Arial"/>
          <w:b/>
          <w:bCs/>
          <w:sz w:val="22"/>
          <w:szCs w:val="22"/>
          <w:rtl/>
        </w:rPr>
        <w:t>כלבים.</w:t>
      </w:r>
      <w:r w:rsidRPr="00BD5E91">
        <w:rPr>
          <w:rFonts w:cs="Arial"/>
          <w:sz w:val="22"/>
          <w:szCs w:val="22"/>
          <w:rtl/>
        </w:rPr>
        <w:t xml:space="preserve"> מסט' דס"מ כמ"ש לעיל:</w:t>
      </w:r>
    </w:p>
  </w:footnote>
  <w:footnote w:id="686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איהי מבועא כו'.</w:t>
      </w:r>
      <w:r w:rsidRPr="00BD5E91">
        <w:rPr>
          <w:sz w:val="22"/>
          <w:szCs w:val="22"/>
          <w:rtl/>
        </w:rPr>
        <w:t xml:space="preserve"> שאמר לעיל שהיא אילנות שבפרדס עכשיו קאמר מבועא כו' והוא כמ"ש בר"מ פ' בא שכתר - מקור, וחכמה - מעין, ובינה - ים, וז"ס התחתונים - ז' נחלין:</w:t>
      </w:r>
    </w:p>
  </w:footnote>
  <w:footnote w:id="686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ואיהי גן כו'.</w:t>
      </w:r>
      <w:r w:rsidRPr="00BD5E91">
        <w:rPr>
          <w:sz w:val="22"/>
          <w:szCs w:val="22"/>
          <w:rtl/>
        </w:rPr>
        <w:t xml:space="preserve"> כמו שאדנ"י הוא היכל להויה שביה ב' בחינות: א', ה' תתאה דהויה. ב' אדנ"י היכל להויה:</w:t>
      </w:r>
    </w:p>
  </w:footnote>
  <w:footnote w:id="686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ואיהי אדם כו'.</w:t>
      </w:r>
      <w:r w:rsidRPr="00BD5E91">
        <w:rPr>
          <w:sz w:val="22"/>
          <w:szCs w:val="22"/>
          <w:rtl/>
        </w:rPr>
        <w:t xml:space="preserve"> ר"ל מס</w:t>
      </w:r>
      <w:r>
        <w:rPr>
          <w:sz w:val="22"/>
          <w:szCs w:val="22"/>
          <w:rtl/>
        </w:rPr>
        <w:t>ט' דספירות עצמים פנימים, שמא מפ</w:t>
      </w:r>
      <w:r>
        <w:rPr>
          <w:rFonts w:hint="cs"/>
          <w:sz w:val="22"/>
          <w:szCs w:val="22"/>
          <w:rtl/>
        </w:rPr>
        <w:t>רש,</w:t>
      </w:r>
      <w:r w:rsidRPr="00BD5E91">
        <w:rPr>
          <w:sz w:val="22"/>
          <w:szCs w:val="22"/>
          <w:rtl/>
        </w:rPr>
        <w:t xml:space="preserve"> כמ"ש בהת"ז:</w:t>
      </w:r>
    </w:p>
  </w:footnote>
  <w:footnote w:id="686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דאת תהא כו'.</w:t>
      </w:r>
      <w:r w:rsidRPr="00BD5E91">
        <w:rPr>
          <w:sz w:val="22"/>
          <w:szCs w:val="22"/>
          <w:rtl/>
        </w:rPr>
        <w:t xml:space="preserve"> שהוא מרכבה דשכינה כידוע שהיא השער:</w:t>
      </w:r>
    </w:p>
  </w:footnote>
  <w:footnote w:id="686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דאית למאן כו'.</w:t>
      </w:r>
      <w:r w:rsidRPr="00BD5E91">
        <w:rPr>
          <w:sz w:val="22"/>
          <w:szCs w:val="22"/>
          <w:rtl/>
        </w:rPr>
        <w:t xml:space="preserve"> דוגמת השכינה דכלילא לפני לפנים ופנימים ואחוריים כמ"ש לעיל:</w:t>
      </w:r>
    </w:p>
  </w:footnote>
  <w:footnote w:id="687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איהי גבול כו'.</w:t>
      </w:r>
      <w:r w:rsidRPr="00BD5E91">
        <w:rPr>
          <w:sz w:val="22"/>
          <w:szCs w:val="22"/>
          <w:rtl/>
        </w:rPr>
        <w:t xml:space="preserve"> ר"ל לע"ס שנקראין ימא</w:t>
      </w:r>
      <w:r>
        <w:rPr>
          <w:rFonts w:hint="cs"/>
          <w:sz w:val="22"/>
          <w:szCs w:val="22"/>
          <w:rtl/>
        </w:rPr>
        <w:t>,</w:t>
      </w:r>
      <w:r w:rsidRPr="00BD5E91">
        <w:rPr>
          <w:sz w:val="22"/>
          <w:szCs w:val="22"/>
          <w:rtl/>
        </w:rPr>
        <w:t xml:space="preserve"> כמ"ש לעיל מקור ומבוע כו'</w:t>
      </w:r>
      <w:r>
        <w:rPr>
          <w:rFonts w:hint="cs"/>
          <w:sz w:val="22"/>
          <w:szCs w:val="22"/>
          <w:rtl/>
        </w:rPr>
        <w:t>.</w:t>
      </w:r>
      <w:r w:rsidRPr="00BD5E91">
        <w:rPr>
          <w:sz w:val="22"/>
          <w:szCs w:val="22"/>
          <w:rtl/>
        </w:rPr>
        <w:t xml:space="preserve"> והיא חול</w:t>
      </w:r>
      <w:r>
        <w:rPr>
          <w:rFonts w:hint="cs"/>
          <w:sz w:val="22"/>
          <w:szCs w:val="22"/>
          <w:rtl/>
        </w:rPr>
        <w:t>,</w:t>
      </w:r>
      <w:r w:rsidRPr="00BD5E91">
        <w:rPr>
          <w:sz w:val="22"/>
          <w:szCs w:val="22"/>
          <w:rtl/>
        </w:rPr>
        <w:t xml:space="preserve"> גבול להם</w:t>
      </w:r>
      <w:r>
        <w:rPr>
          <w:rFonts w:hint="cs"/>
          <w:sz w:val="22"/>
          <w:szCs w:val="22"/>
          <w:rtl/>
        </w:rPr>
        <w:t>,</w:t>
      </w:r>
      <w:r w:rsidRPr="00BD5E91">
        <w:rPr>
          <w:sz w:val="22"/>
          <w:szCs w:val="22"/>
          <w:rtl/>
        </w:rPr>
        <w:t xml:space="preserve"> דכולם אין יוצאין ממנה</w:t>
      </w:r>
      <w:r>
        <w:rPr>
          <w:rFonts w:hint="cs"/>
          <w:sz w:val="22"/>
          <w:szCs w:val="22"/>
          <w:rtl/>
        </w:rPr>
        <w:t>.</w:t>
      </w:r>
      <w:r w:rsidRPr="00BD5E91">
        <w:rPr>
          <w:sz w:val="22"/>
          <w:szCs w:val="22"/>
          <w:rtl/>
        </w:rPr>
        <w:t xml:space="preserve"> וכל הע"ס הם שמא דהויה</w:t>
      </w:r>
      <w:r>
        <w:rPr>
          <w:rFonts w:hint="cs"/>
          <w:sz w:val="22"/>
          <w:szCs w:val="22"/>
          <w:rtl/>
        </w:rPr>
        <w:t>,</w:t>
      </w:r>
      <w:r w:rsidRPr="00BD5E91">
        <w:rPr>
          <w:sz w:val="22"/>
          <w:szCs w:val="22"/>
          <w:rtl/>
        </w:rPr>
        <w:t xml:space="preserve"> ימא כנ"ל</w:t>
      </w:r>
      <w:r>
        <w:rPr>
          <w:rFonts w:hint="cs"/>
          <w:sz w:val="22"/>
          <w:szCs w:val="22"/>
          <w:rtl/>
        </w:rPr>
        <w:t>.</w:t>
      </w:r>
      <w:r w:rsidRPr="00BD5E91">
        <w:rPr>
          <w:sz w:val="22"/>
          <w:szCs w:val="22"/>
          <w:rtl/>
        </w:rPr>
        <w:t xml:space="preserve"> והיא שמא דאדנ"י</w:t>
      </w:r>
      <w:r>
        <w:rPr>
          <w:rFonts w:hint="cs"/>
          <w:sz w:val="22"/>
          <w:szCs w:val="22"/>
          <w:rtl/>
        </w:rPr>
        <w:t>,</w:t>
      </w:r>
      <w:r w:rsidRPr="00BD5E91">
        <w:rPr>
          <w:sz w:val="22"/>
          <w:szCs w:val="22"/>
          <w:rtl/>
        </w:rPr>
        <w:t xml:space="preserve"> גבול ותחום להם כמש"ו:</w:t>
      </w:r>
    </w:p>
  </w:footnote>
  <w:footnote w:id="687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651CB">
        <w:rPr>
          <w:rFonts w:hint="cs"/>
          <w:b/>
          <w:bCs/>
          <w:sz w:val="22"/>
          <w:szCs w:val="22"/>
          <w:rtl/>
        </w:rPr>
        <w:t>ש</w:t>
      </w:r>
      <w:r w:rsidRPr="00BD5E91">
        <w:rPr>
          <w:b/>
          <w:bCs/>
          <w:sz w:val="22"/>
          <w:szCs w:val="22"/>
          <w:rtl/>
        </w:rPr>
        <w:t>מנת אלפים כו'.</w:t>
      </w:r>
      <w:r w:rsidRPr="00BD5E91">
        <w:rPr>
          <w:sz w:val="22"/>
          <w:szCs w:val="22"/>
          <w:rtl/>
        </w:rPr>
        <w:t xml:space="preserve"> ר"ל שמנה אותיות דב' שמות אלו:</w:t>
      </w:r>
    </w:p>
  </w:footnote>
  <w:footnote w:id="687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*דגלוי.</w:t>
      </w:r>
      <w:r w:rsidRPr="00BD5E91">
        <w:rPr>
          <w:sz w:val="22"/>
          <w:szCs w:val="22"/>
          <w:rtl/>
        </w:rPr>
        <w:t xml:space="preserve"> כמ"ש (ירמיהו ה כב) ולא יעברנהו גליו:</w:t>
      </w:r>
    </w:p>
  </w:footnote>
  <w:footnote w:id="687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דאיהי כ"ח כו'.</w:t>
      </w:r>
      <w:r w:rsidRPr="00BD5E91">
        <w:rPr>
          <w:sz w:val="22"/>
          <w:szCs w:val="22"/>
          <w:rtl/>
        </w:rPr>
        <w:t xml:space="preserve"> ר"ל כ"ח עם ה' עילאה גי' ג"ל:</w:t>
      </w:r>
    </w:p>
  </w:footnote>
  <w:footnote w:id="687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 י"ג אחד המנוי.</w:t>
      </w:r>
      <w:r w:rsidRPr="00BD5E91">
        <w:rPr>
          <w:sz w:val="22"/>
          <w:szCs w:val="22"/>
          <w:rtl/>
        </w:rPr>
        <w:t xml:space="preserve"> ר"ל איהי ד' דאחד, משלמת לתיבת אחד גי' י"ג, י"ג מכילן כמ"ש לעיל והן אחד המנוי:</w:t>
      </w:r>
    </w:p>
  </w:footnote>
  <w:footnote w:id="687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הכנוי והמנוי.</w:t>
      </w:r>
      <w:r w:rsidRPr="00BD5E91">
        <w:rPr>
          <w:sz w:val="22"/>
          <w:szCs w:val="22"/>
          <w:rtl/>
        </w:rPr>
        <w:t xml:space="preserve"> ר"ל מסט' דשתוף א"ח ד' הוא אחד הכנוי שהן חיבור דב' שמות הויה אלקים, אלקים גי' כנוי ומסט' דאחד גי' י"ג היא אחד המנוי כנ"ל:</w:t>
      </w:r>
    </w:p>
  </w:footnote>
  <w:footnote w:id="687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ואיהי מליאה כו'.</w:t>
      </w:r>
      <w:r w:rsidRPr="00BD5E91">
        <w:rPr>
          <w:sz w:val="22"/>
          <w:szCs w:val="22"/>
          <w:rtl/>
        </w:rPr>
        <w:t xml:space="preserve"> דאלקים בית קיבול דהויה ולכן נקרא ה' אלקים שם מלא:</w:t>
      </w:r>
    </w:p>
  </w:footnote>
  <w:footnote w:id="687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אני מליאה כו'.</w:t>
      </w:r>
      <w:r w:rsidRPr="00BD5E91">
        <w:rPr>
          <w:sz w:val="22"/>
          <w:szCs w:val="22"/>
          <w:rtl/>
        </w:rPr>
        <w:t xml:space="preserve"> אני שכינה כידוע:</w:t>
      </w:r>
    </w:p>
  </w:footnote>
  <w:footnote w:id="687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אבל בעילת כו'.</w:t>
      </w:r>
      <w:r w:rsidRPr="00BD5E91">
        <w:rPr>
          <w:sz w:val="22"/>
          <w:szCs w:val="22"/>
          <w:rtl/>
        </w:rPr>
        <w:t xml:space="preserve"> ר"ל שמסט' דספירות היא כגוונא דילהון</w:t>
      </w:r>
      <w:r>
        <w:rPr>
          <w:rFonts w:hint="cs"/>
          <w:sz w:val="22"/>
          <w:szCs w:val="22"/>
          <w:rtl/>
        </w:rPr>
        <w:t>,</w:t>
      </w:r>
      <w:r w:rsidRPr="00BD5E91">
        <w:rPr>
          <w:sz w:val="22"/>
          <w:szCs w:val="22"/>
          <w:rtl/>
        </w:rPr>
        <w:t xml:space="preserve"> לזמנין כו'</w:t>
      </w:r>
      <w:r>
        <w:rPr>
          <w:rFonts w:hint="cs"/>
          <w:sz w:val="22"/>
          <w:szCs w:val="22"/>
          <w:rtl/>
        </w:rPr>
        <w:t>,</w:t>
      </w:r>
      <w:r w:rsidRPr="00BD5E91">
        <w:rPr>
          <w:sz w:val="22"/>
          <w:szCs w:val="22"/>
          <w:rtl/>
        </w:rPr>
        <w:t xml:space="preserve"> אבל מסט' דעלת העלות היא כגוונא דידיה</w:t>
      </w:r>
      <w:r>
        <w:rPr>
          <w:rFonts w:hint="cs"/>
          <w:sz w:val="22"/>
          <w:szCs w:val="22"/>
          <w:rtl/>
        </w:rPr>
        <w:t>,</w:t>
      </w:r>
      <w:r w:rsidRPr="00BD5E91">
        <w:rPr>
          <w:sz w:val="22"/>
          <w:szCs w:val="22"/>
          <w:rtl/>
        </w:rPr>
        <w:t xml:space="preserve"> דלית בה חסירו:</w:t>
      </w:r>
    </w:p>
  </w:footnote>
  <w:footnote w:id="687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עילת כו'.</w:t>
      </w:r>
      <w:r w:rsidRPr="00BD5E91">
        <w:rPr>
          <w:sz w:val="22"/>
          <w:szCs w:val="22"/>
          <w:rtl/>
        </w:rPr>
        <w:t xml:space="preserve"> ר"ל לא זו בלבד שיחודה תליא בעילת העילות שמתייחד בה אלא אפי' כל ע"ס תליא ייחודם ביחודה בעילת העילות כמש"ו:</w:t>
      </w:r>
    </w:p>
  </w:footnote>
  <w:footnote w:id="688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וכד איהו לא אחיד כו'.</w:t>
      </w:r>
      <w:r w:rsidRPr="00BD5E91">
        <w:rPr>
          <w:sz w:val="22"/>
          <w:szCs w:val="22"/>
          <w:rtl/>
        </w:rPr>
        <w:t xml:space="preserve"> ר"ל דאז אחד בשיתופא כמש"ו:</w:t>
      </w:r>
    </w:p>
  </w:footnote>
  <w:footnote w:id="688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כגון אהרון כו'.</w:t>
      </w:r>
      <w:r w:rsidRPr="00BD5E91">
        <w:rPr>
          <w:sz w:val="22"/>
          <w:szCs w:val="22"/>
          <w:rtl/>
        </w:rPr>
        <w:t xml:space="preserve"> דמסט' דיליה יחודה בעד"א אבל משה דמסט' דיליה דסלקא לעלת העלות כמ"ש לעיל</w:t>
      </w:r>
      <w:r>
        <w:rPr>
          <w:rFonts w:hint="cs"/>
          <w:sz w:val="22"/>
          <w:szCs w:val="22"/>
          <w:rtl/>
        </w:rPr>
        <w:t>,</w:t>
      </w:r>
      <w:r w:rsidRPr="00BD5E91">
        <w:rPr>
          <w:sz w:val="22"/>
          <w:szCs w:val="22"/>
          <w:rtl/>
        </w:rPr>
        <w:t xml:space="preserve"> אמרו</w:t>
      </w:r>
      <w:r>
        <w:rPr>
          <w:rFonts w:hint="cs"/>
          <w:sz w:val="22"/>
          <w:szCs w:val="22"/>
          <w:rtl/>
        </w:rPr>
        <w:t>,</w:t>
      </w:r>
      <w:r w:rsidRPr="00BD5E91">
        <w:rPr>
          <w:sz w:val="22"/>
          <w:szCs w:val="22"/>
          <w:rtl/>
        </w:rPr>
        <w:t xml:space="preserve"> אהרן בבל יבא ומשה לאו בבל יבא:</w:t>
      </w:r>
    </w:p>
  </w:footnote>
  <w:footnote w:id="688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אמונה דישראל בהון כו'.</w:t>
      </w:r>
      <w:r w:rsidRPr="00BD5E91">
        <w:rPr>
          <w:sz w:val="22"/>
          <w:szCs w:val="22"/>
          <w:rtl/>
        </w:rPr>
        <w:t xml:space="preserve"> ר"ל כל אמונת ישראל בע"ס הכל בה</w:t>
      </w:r>
      <w:r>
        <w:rPr>
          <w:rFonts w:hint="cs"/>
          <w:sz w:val="22"/>
          <w:szCs w:val="22"/>
          <w:rtl/>
        </w:rPr>
        <w:t>,</w:t>
      </w:r>
      <w:r w:rsidRPr="00BD5E91">
        <w:rPr>
          <w:sz w:val="22"/>
          <w:szCs w:val="22"/>
          <w:rtl/>
        </w:rPr>
        <w:t xml:space="preserve"> שעל ידה מכירין ישראל להון</w:t>
      </w:r>
      <w:r>
        <w:rPr>
          <w:rFonts w:hint="cs"/>
          <w:sz w:val="22"/>
          <w:szCs w:val="22"/>
          <w:rtl/>
        </w:rPr>
        <w:t>,</w:t>
      </w:r>
      <w:r w:rsidRPr="00BD5E91">
        <w:rPr>
          <w:sz w:val="22"/>
          <w:szCs w:val="22"/>
          <w:rtl/>
        </w:rPr>
        <w:t xml:space="preserve"> ולעלת העלות</w:t>
      </w:r>
      <w:r>
        <w:rPr>
          <w:rFonts w:hint="cs"/>
          <w:sz w:val="22"/>
          <w:szCs w:val="22"/>
          <w:rtl/>
        </w:rPr>
        <w:t>,</w:t>
      </w:r>
      <w:r w:rsidRPr="00BD5E91">
        <w:rPr>
          <w:sz w:val="22"/>
          <w:szCs w:val="22"/>
          <w:rtl/>
        </w:rPr>
        <w:t xml:space="preserve"> זה השער לה':</w:t>
      </w:r>
    </w:p>
  </w:footnote>
  <w:footnote w:id="688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מכאן ואילך כו'.</w:t>
      </w:r>
      <w:r w:rsidRPr="00BD5E91">
        <w:rPr>
          <w:sz w:val="22"/>
          <w:szCs w:val="22"/>
          <w:rtl/>
        </w:rPr>
        <w:t xml:space="preserve"> ר"ל שבעי"ן תקונין:</w:t>
      </w:r>
    </w:p>
  </w:footnote>
  <w:footnote w:id="688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ממשחא כו'.</w:t>
      </w:r>
      <w:r w:rsidRPr="00BD5E91">
        <w:rPr>
          <w:sz w:val="22"/>
          <w:szCs w:val="22"/>
          <w:rtl/>
        </w:rPr>
        <w:t xml:space="preserve"> עד"א כמ"ש לעיל:</w:t>
      </w:r>
    </w:p>
  </w:footnote>
  <w:footnote w:id="688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דאיתמר ביה.</w:t>
      </w:r>
      <w:r w:rsidRPr="00BD5E91">
        <w:rPr>
          <w:sz w:val="22"/>
          <w:szCs w:val="22"/>
          <w:rtl/>
        </w:rPr>
        <w:t xml:space="preserve"> בעד"א:</w:t>
      </w:r>
    </w:p>
  </w:footnote>
  <w:footnote w:id="688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נר ה' כו'.</w:t>
      </w:r>
      <w:r w:rsidRPr="00BD5E91">
        <w:rPr>
          <w:sz w:val="22"/>
          <w:szCs w:val="22"/>
          <w:rtl/>
        </w:rPr>
        <w:t xml:space="preserve"> שהיא שריא על רישא דאדם בנשמתיה כידוע:</w:t>
      </w:r>
    </w:p>
  </w:footnote>
  <w:footnote w:id="688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בגינה אתמר אש כו'.</w:t>
      </w:r>
      <w:r w:rsidRPr="00BD5E91">
        <w:rPr>
          <w:sz w:val="22"/>
          <w:szCs w:val="22"/>
          <w:rtl/>
        </w:rPr>
        <w:t xml:space="preserve"> כמ"ש (קהלת ט ח) ושמן על ראשך כו' שתהא הנר דולקת תמיד:</w:t>
      </w:r>
    </w:p>
  </w:footnote>
  <w:footnote w:id="688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עד דיתער.</w:t>
      </w:r>
      <w:r w:rsidRPr="00BD5E91">
        <w:rPr>
          <w:sz w:val="22"/>
          <w:szCs w:val="22"/>
          <w:rtl/>
        </w:rPr>
        <w:t xml:space="preserve"> עד"א:</w:t>
      </w:r>
    </w:p>
  </w:footnote>
  <w:footnote w:id="688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לית שכיכו.</w:t>
      </w:r>
      <w:r w:rsidRPr="00BD5E91">
        <w:rPr>
          <w:sz w:val="22"/>
          <w:szCs w:val="22"/>
          <w:rtl/>
        </w:rPr>
        <w:t xml:space="preserve"> ר"ל השכינה לא שככא לגביה דעד"א:</w:t>
      </w:r>
    </w:p>
  </w:footnote>
  <w:footnote w:id="689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דאיהי כבוד כו'.</w:t>
      </w:r>
      <w:r w:rsidRPr="00BD5E91">
        <w:rPr>
          <w:sz w:val="22"/>
          <w:szCs w:val="22"/>
          <w:rtl/>
        </w:rPr>
        <w:t xml:space="preserve"> ר"ל וז"ש (תהלים ל יג) למען יזמרך כבוד ולא ידום</w:t>
      </w:r>
      <w:r>
        <w:rPr>
          <w:rFonts w:hint="cs"/>
          <w:sz w:val="22"/>
          <w:szCs w:val="22"/>
          <w:rtl/>
        </w:rPr>
        <w:t>,</w:t>
      </w:r>
      <w:r w:rsidRPr="00BD5E91">
        <w:rPr>
          <w:sz w:val="22"/>
          <w:szCs w:val="22"/>
          <w:rtl/>
        </w:rPr>
        <w:t xml:space="preserve"> שהכבוד יזמר ולא ידום:</w:t>
      </w:r>
    </w:p>
  </w:footnote>
  <w:footnote w:id="689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יקרא דיליה יקרה כו'.</w:t>
      </w:r>
      <w:r w:rsidRPr="00BD5E91">
        <w:rPr>
          <w:sz w:val="22"/>
          <w:szCs w:val="22"/>
          <w:rtl/>
        </w:rPr>
        <w:t xml:space="preserve"> מביא ראיה שהיא נקראת כבוד שנא' יקרה היא:</w:t>
      </w:r>
    </w:p>
  </w:footnote>
  <w:footnote w:id="689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ע' אנפין כו'.</w:t>
      </w:r>
      <w:r w:rsidRPr="00BD5E91">
        <w:rPr>
          <w:sz w:val="22"/>
          <w:szCs w:val="22"/>
          <w:rtl/>
        </w:rPr>
        <w:t xml:space="preserve"> ר"לגי' סוד והן סוד</w:t>
      </w:r>
      <w:r>
        <w:rPr>
          <w:rFonts w:hint="cs"/>
          <w:sz w:val="22"/>
          <w:szCs w:val="22"/>
          <w:rtl/>
        </w:rPr>
        <w:t>,</w:t>
      </w:r>
      <w:r w:rsidRPr="00BD5E91">
        <w:rPr>
          <w:sz w:val="22"/>
          <w:szCs w:val="22"/>
          <w:rtl/>
        </w:rPr>
        <w:t xml:space="preserve"> סתרי תורה כמש"ו:</w:t>
      </w:r>
    </w:p>
  </w:footnote>
  <w:footnote w:id="689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 אורייתא.</w:t>
      </w:r>
      <w:r w:rsidRPr="00BD5E91">
        <w:rPr>
          <w:sz w:val="22"/>
          <w:szCs w:val="22"/>
          <w:rtl/>
        </w:rPr>
        <w:t xml:space="preserve"> וכן בראשית דכאן כמ"ש (בראשית רבה פ' א) בתורה ברא הקב"ה את העולם ור"ל דא אורייתא שהיא ראשית דרכו שהיא קדומה לעולם:</w:t>
      </w:r>
    </w:p>
  </w:footnote>
  <w:footnote w:id="689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דאית בה כו'.</w:t>
      </w:r>
      <w:r w:rsidRPr="00BD5E91">
        <w:rPr>
          <w:sz w:val="22"/>
          <w:szCs w:val="22"/>
          <w:rtl/>
        </w:rPr>
        <w:t xml:space="preserve"> ר"ל דכתיב (משלי ח כב) ה' קנני</w:t>
      </w:r>
      <w:r>
        <w:rPr>
          <w:rFonts w:hint="cs"/>
          <w:sz w:val="22"/>
          <w:szCs w:val="22"/>
          <w:rtl/>
        </w:rPr>
        <w:t>,</w:t>
      </w:r>
      <w:r w:rsidRPr="00BD5E91">
        <w:rPr>
          <w:sz w:val="22"/>
          <w:szCs w:val="22"/>
          <w:rtl/>
        </w:rPr>
        <w:t xml:space="preserve"> שתלייא בשם יקו"ק</w:t>
      </w:r>
      <w:r>
        <w:rPr>
          <w:rFonts w:hint="cs"/>
          <w:sz w:val="22"/>
          <w:szCs w:val="22"/>
          <w:rtl/>
        </w:rPr>
        <w:t>.</w:t>
      </w:r>
      <w:r w:rsidRPr="00BD5E91">
        <w:rPr>
          <w:sz w:val="22"/>
          <w:szCs w:val="22"/>
          <w:rtl/>
        </w:rPr>
        <w:t xml:space="preserve"> וז"ש דאית כו' דכלהו כו':</w:t>
      </w:r>
    </w:p>
  </w:footnote>
  <w:footnote w:id="689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דכלהו תליין בשם ה'.</w:t>
      </w:r>
      <w:r w:rsidRPr="00BD5E91">
        <w:rPr>
          <w:sz w:val="22"/>
          <w:szCs w:val="22"/>
          <w:rtl/>
        </w:rPr>
        <w:t xml:space="preserve"> טעמי וניקודין ואתוון נתפרש לעיל ד</w:t>
      </w:r>
      <w:r>
        <w:rPr>
          <w:rFonts w:hint="cs"/>
          <w:sz w:val="22"/>
          <w:szCs w:val="22"/>
          <w:rtl/>
        </w:rPr>
        <w:t xml:space="preserve">ף </w:t>
      </w:r>
      <w:r w:rsidRPr="00BD5E91">
        <w:rPr>
          <w:sz w:val="22"/>
          <w:szCs w:val="22"/>
          <w:rtl/>
        </w:rPr>
        <w:t>ע"ו</w:t>
      </w:r>
      <w:r>
        <w:rPr>
          <w:rFonts w:hint="cs"/>
          <w:sz w:val="22"/>
          <w:szCs w:val="22"/>
          <w:rtl/>
        </w:rPr>
        <w:t>,</w:t>
      </w:r>
      <w:r w:rsidRPr="00BD5E91">
        <w:rPr>
          <w:sz w:val="22"/>
          <w:szCs w:val="22"/>
          <w:rtl/>
        </w:rPr>
        <w:t xml:space="preserve"> ואינון כ"ו כחושבן יקוק דכליל טעמי וניקודי ואתוון כו' ע"ש</w:t>
      </w:r>
      <w:r>
        <w:rPr>
          <w:rFonts w:hint="cs"/>
          <w:sz w:val="22"/>
          <w:szCs w:val="22"/>
          <w:rtl/>
        </w:rPr>
        <w:t>.</w:t>
      </w:r>
      <w:r w:rsidRPr="00BD5E91">
        <w:rPr>
          <w:sz w:val="22"/>
          <w:szCs w:val="22"/>
          <w:rtl/>
        </w:rPr>
        <w:t xml:space="preserve"> ופיקודין דעשה ול"ת מפרש כאן הה"ד כו':</w:t>
      </w:r>
    </w:p>
  </w:footnote>
  <w:footnote w:id="689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מדחילו דגבורה כו' מרחימו כו'.</w:t>
      </w:r>
      <w:r w:rsidRPr="00BD5E91">
        <w:rPr>
          <w:sz w:val="22"/>
          <w:szCs w:val="22"/>
          <w:rtl/>
        </w:rPr>
        <w:t xml:space="preserve"> כמ"ש (ירושלמי ברכות סז ע"א) עבוד מיראה עבוד מאהבה, מיראה ולא תעבור על ל"ת, מאהבה ולא תתבטל ממ"ע. שהירא ירא לעבור והאוהב עוסק תמיד במצות אהובו:</w:t>
      </w:r>
    </w:p>
  </w:footnote>
  <w:footnote w:id="689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פחד יצחק.</w:t>
      </w:r>
      <w:r w:rsidRPr="00BD5E91">
        <w:rPr>
          <w:sz w:val="22"/>
          <w:szCs w:val="22"/>
          <w:rtl/>
        </w:rPr>
        <w:t xml:space="preserve"> ראיה שהיראה ופחד הוא מגבורה:</w:t>
      </w:r>
    </w:p>
  </w:footnote>
  <w:footnote w:id="689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דאיתמר ביה אהבת כו'.</w:t>
      </w:r>
      <w:r w:rsidRPr="00BD5E91">
        <w:rPr>
          <w:sz w:val="22"/>
          <w:szCs w:val="22"/>
          <w:rtl/>
        </w:rPr>
        <w:t xml:space="preserve"> ראיה שאהבה הוא בימינא בחסד שנא' ואהבת כו' משכתיך חסד והוא דרגא דאברהם שנא' (ישעיהו מא ח) אברהם אוהבי:</w:t>
      </w:r>
    </w:p>
  </w:footnote>
  <w:footnote w:id="689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ובג"ד אתקרי כו'.</w:t>
      </w:r>
      <w:r w:rsidRPr="00BD5E91">
        <w:rPr>
          <w:sz w:val="22"/>
          <w:szCs w:val="22"/>
          <w:rtl/>
        </w:rPr>
        <w:t xml:space="preserve"> ולכן אמר בהת"ז שהויה שלו הוא והיה, ו"ה מימינא י"ה משמאלא:</w:t>
      </w:r>
    </w:p>
  </w:footnote>
  <w:footnote w:id="690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כליל לון כו'.</w:t>
      </w:r>
      <w:r w:rsidRPr="00BD5E91">
        <w:rPr>
          <w:sz w:val="22"/>
          <w:szCs w:val="22"/>
          <w:rtl/>
        </w:rPr>
        <w:t xml:space="preserve"> כולן נכללין בארץ</w:t>
      </w:r>
      <w:r>
        <w:rPr>
          <w:rFonts w:hint="cs"/>
          <w:sz w:val="22"/>
          <w:szCs w:val="22"/>
          <w:rtl/>
        </w:rPr>
        <w:t>,</w:t>
      </w:r>
      <w:r w:rsidRPr="00BD5E91">
        <w:rPr>
          <w:sz w:val="22"/>
          <w:szCs w:val="22"/>
          <w:rtl/>
        </w:rPr>
        <w:t xml:space="preserve"> ונכלל בהאי קרא ד' רגלי המרכבה</w:t>
      </w:r>
      <w:r>
        <w:rPr>
          <w:rFonts w:hint="cs"/>
          <w:sz w:val="22"/>
          <w:szCs w:val="22"/>
          <w:rtl/>
        </w:rPr>
        <w:t>,</w:t>
      </w:r>
      <w:r w:rsidRPr="00BD5E91">
        <w:rPr>
          <w:sz w:val="22"/>
          <w:szCs w:val="22"/>
          <w:rtl/>
        </w:rPr>
        <w:t xml:space="preserve"> חגת"ם:</w:t>
      </w:r>
    </w:p>
  </w:footnote>
  <w:footnote w:id="690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וכל פיקודא אית כו'.</w:t>
      </w:r>
      <w:r w:rsidRPr="00BD5E91">
        <w:rPr>
          <w:sz w:val="22"/>
          <w:szCs w:val="22"/>
          <w:rtl/>
        </w:rPr>
        <w:t xml:space="preserve"> מפרש האיך הן תליין בשמיה</w:t>
      </w:r>
      <w:r>
        <w:rPr>
          <w:rFonts w:hint="cs"/>
          <w:sz w:val="22"/>
          <w:szCs w:val="22"/>
          <w:rtl/>
        </w:rPr>
        <w:t>.</w:t>
      </w:r>
      <w:r w:rsidRPr="00BD5E91">
        <w:rPr>
          <w:sz w:val="22"/>
          <w:szCs w:val="22"/>
          <w:rtl/>
        </w:rPr>
        <w:t xml:space="preserve"> אמר וכל פיקודא כו'</w:t>
      </w:r>
      <w:r>
        <w:rPr>
          <w:rFonts w:hint="cs"/>
          <w:sz w:val="22"/>
          <w:szCs w:val="22"/>
          <w:rtl/>
        </w:rPr>
        <w:t>,</w:t>
      </w:r>
      <w:r w:rsidRPr="00BD5E91">
        <w:rPr>
          <w:sz w:val="22"/>
          <w:szCs w:val="22"/>
          <w:rtl/>
        </w:rPr>
        <w:t xml:space="preserve"> שיש להם סוד למעלה בשם הויה דכל רזין הן בשם הויה כידוע:</w:t>
      </w:r>
    </w:p>
  </w:footnote>
  <w:footnote w:id="690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ואגרא כו' רזין סתימין.</w:t>
      </w:r>
      <w:r w:rsidRPr="00BD5E91">
        <w:rPr>
          <w:sz w:val="22"/>
          <w:szCs w:val="22"/>
          <w:rtl/>
        </w:rPr>
        <w:t xml:space="preserve"> ר"ל אותן שיודעין סודות התורה</w:t>
      </w:r>
      <w:r>
        <w:rPr>
          <w:rFonts w:hint="cs"/>
          <w:sz w:val="22"/>
          <w:szCs w:val="22"/>
          <w:rtl/>
        </w:rPr>
        <w:t>,</w:t>
      </w:r>
      <w:r w:rsidRPr="00BD5E91">
        <w:rPr>
          <w:sz w:val="22"/>
          <w:szCs w:val="22"/>
          <w:rtl/>
        </w:rPr>
        <w:t xml:space="preserve"> יודעין ג"כ טעמי מצות ושכרן:</w:t>
      </w:r>
    </w:p>
  </w:footnote>
  <w:footnote w:id="690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דמאריהון לא אתכסיא כו'.</w:t>
      </w:r>
      <w:r w:rsidRPr="00BD5E91">
        <w:rPr>
          <w:sz w:val="22"/>
          <w:szCs w:val="22"/>
          <w:rtl/>
        </w:rPr>
        <w:t xml:space="preserve"> ר"ל</w:t>
      </w:r>
      <w:r>
        <w:rPr>
          <w:rFonts w:hint="cs"/>
          <w:sz w:val="22"/>
          <w:szCs w:val="22"/>
          <w:rtl/>
        </w:rPr>
        <w:t>,</w:t>
      </w:r>
      <w:r w:rsidRPr="00BD5E91">
        <w:rPr>
          <w:sz w:val="22"/>
          <w:szCs w:val="22"/>
          <w:rtl/>
        </w:rPr>
        <w:t xml:space="preserve"> דמאריהון לא כסה מהם כלום</w:t>
      </w:r>
      <w:r>
        <w:rPr>
          <w:rFonts w:hint="cs"/>
          <w:sz w:val="22"/>
          <w:szCs w:val="22"/>
          <w:rtl/>
        </w:rPr>
        <w:t>,</w:t>
      </w:r>
      <w:r w:rsidRPr="00BD5E91">
        <w:rPr>
          <w:sz w:val="22"/>
          <w:szCs w:val="22"/>
          <w:rtl/>
        </w:rPr>
        <w:t xml:space="preserve"> שהקב"ה כסה טעמי מצות ושכר המצות כידוע</w:t>
      </w:r>
      <w:r>
        <w:rPr>
          <w:rFonts w:hint="cs"/>
          <w:sz w:val="22"/>
          <w:szCs w:val="22"/>
          <w:rtl/>
        </w:rPr>
        <w:t>,</w:t>
      </w:r>
      <w:r w:rsidRPr="00BD5E91">
        <w:rPr>
          <w:sz w:val="22"/>
          <w:szCs w:val="22"/>
          <w:rtl/>
        </w:rPr>
        <w:t xml:space="preserve"> מ"מ מהם לא כסה:</w:t>
      </w:r>
    </w:p>
  </w:footnote>
  <w:footnote w:id="690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הה"ד וכל רז כו'.</w:t>
      </w:r>
      <w:r w:rsidRPr="00BD5E91">
        <w:rPr>
          <w:sz w:val="22"/>
          <w:szCs w:val="22"/>
          <w:rtl/>
        </w:rPr>
        <w:t xml:space="preserve"> ר"ל שרישא דקרא כתיב די רוח אלהי"ן קדישין בך וכל כו':</w:t>
      </w:r>
    </w:p>
  </w:footnote>
  <w:footnote w:id="690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וכל אות כו'.</w:t>
      </w:r>
      <w:r w:rsidRPr="00BD5E91">
        <w:rPr>
          <w:sz w:val="22"/>
          <w:szCs w:val="22"/>
          <w:rtl/>
        </w:rPr>
        <w:t xml:space="preserve"> ג"כ מפרש כנ"ל שתליין בשם יקו"ק:</w:t>
      </w:r>
      <w:r w:rsidRPr="00BD5E91">
        <w:rPr>
          <w:b/>
          <w:bCs/>
          <w:sz w:val="22"/>
          <w:szCs w:val="22"/>
          <w:rtl/>
        </w:rPr>
        <w:t xml:space="preserve"> </w:t>
      </w:r>
    </w:p>
  </w:footnote>
  <w:footnote w:id="690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והמשכילים כו' דאית בהון כו'. </w:t>
      </w:r>
      <w:r w:rsidRPr="00BD5E91">
        <w:rPr>
          <w:sz w:val="22"/>
          <w:szCs w:val="22"/>
          <w:rtl/>
        </w:rPr>
        <w:t>כמש"ו דהיכל המלך כלילא מכולם</w:t>
      </w:r>
      <w:r>
        <w:rPr>
          <w:rFonts w:hint="cs"/>
          <w:sz w:val="22"/>
          <w:szCs w:val="22"/>
          <w:rtl/>
        </w:rPr>
        <w:t>,</w:t>
      </w:r>
      <w:r w:rsidRPr="00BD5E91">
        <w:rPr>
          <w:sz w:val="22"/>
          <w:szCs w:val="22"/>
          <w:rtl/>
        </w:rPr>
        <w:t xml:space="preserve"> והיא היכל לשם הויה דכלהו תליין בשמיה כנ"ל:</w:t>
      </w:r>
    </w:p>
  </w:footnote>
  <w:footnote w:id="690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כגוונא דאיתמר כו'.</w:t>
      </w:r>
      <w:r w:rsidRPr="00BD5E91">
        <w:rPr>
          <w:sz w:val="22"/>
          <w:szCs w:val="22"/>
          <w:rtl/>
        </w:rPr>
        <w:t xml:space="preserve"> שנאמר שם משכילים בכל חכמה. ויודעי דעת ומביני מדע ואשר כח בהם כו'. חכמה ודעת ובינה. והיכל המלך כללא דשם הויה. ואותן שיודעין רזין דטעמים ונקודות ואותיות שהם מסט' דחכמה ובינה ודעת כמ"ש לעיל שהדעת במקום כתר אותן יש להם כח לעמוד בהיכל המלך דאיהי כו':</w:t>
      </w:r>
    </w:p>
  </w:footnote>
  <w:footnote w:id="690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דלית ידיעה כו'.</w:t>
      </w:r>
      <w:r w:rsidRPr="00BD5E91">
        <w:rPr>
          <w:sz w:val="22"/>
          <w:szCs w:val="22"/>
          <w:rtl/>
        </w:rPr>
        <w:t xml:space="preserve"> ר"ל שאמר אותן נקראו משכילים ואשר כח לעמוד בהיכל המלך היודעים טעמי וניקודין ואתוון ולמה דוקא באלו אמר דלית ידיעא כו':</w:t>
      </w:r>
    </w:p>
  </w:footnote>
  <w:footnote w:id="690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לאשתמודעא בהון סגולתא.</w:t>
      </w:r>
      <w:r w:rsidRPr="00BD5E91">
        <w:rPr>
          <w:sz w:val="22"/>
          <w:szCs w:val="22"/>
          <w:rtl/>
        </w:rPr>
        <w:t xml:space="preserve"> ר"ל השכינה שנק' סגולתא מסט' דכתר דשם סליקו דילה כמ"ש לעיל ונקראת סגולתא בתלת יודין דטעמים ונקודין ואתוון דכלילא בג' יודין הללו כמ"ש לעיל ובסגולתא נרמזו טעמים שהיא רישא דטעמים. ונקודות בג' נקודין דסגולתא דמשם סגול דנקודות. ואותיות ג' יודין כמש"ו:</w:t>
      </w:r>
    </w:p>
  </w:footnote>
  <w:footnote w:id="691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וכלהו איתרמיזו בהוויין כו'.</w:t>
      </w:r>
      <w:r w:rsidRPr="00BD5E91">
        <w:rPr>
          <w:sz w:val="22"/>
          <w:szCs w:val="22"/>
          <w:rtl/>
        </w:rPr>
        <w:t xml:space="preserve"> הרי כלהו כלילן בשם הויה כנ"ל:</w:t>
      </w:r>
    </w:p>
  </w:footnote>
  <w:footnote w:id="691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כגוונא גדא כו'.</w:t>
      </w:r>
      <w:r w:rsidRPr="00BD5E91">
        <w:rPr>
          <w:sz w:val="22"/>
          <w:szCs w:val="22"/>
          <w:rtl/>
        </w:rPr>
        <w:t xml:space="preserve"> הן שלשה הויות דמלך מלך ימלוך הנ"ל והן בע"ס כמש"ו וכלהו כלילן בשכינתא:</w:t>
      </w:r>
    </w:p>
  </w:footnote>
  <w:footnote w:id="691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חכמות בחוץ כו'.</w:t>
      </w:r>
      <w:r w:rsidRPr="00BD5E91">
        <w:rPr>
          <w:sz w:val="22"/>
          <w:szCs w:val="22"/>
          <w:rtl/>
        </w:rPr>
        <w:t xml:space="preserve"> מביא ראיה שכמה חכמות יש</w:t>
      </w:r>
      <w:r>
        <w:rPr>
          <w:rFonts w:hint="cs"/>
          <w:sz w:val="22"/>
          <w:szCs w:val="22"/>
          <w:rtl/>
        </w:rPr>
        <w:t>,</w:t>
      </w:r>
      <w:r w:rsidRPr="00BD5E91">
        <w:rPr>
          <w:sz w:val="22"/>
          <w:szCs w:val="22"/>
          <w:rtl/>
        </w:rPr>
        <w:t xml:space="preserve"> והן בימינא</w:t>
      </w:r>
      <w:r>
        <w:rPr>
          <w:rFonts w:hint="cs"/>
          <w:sz w:val="22"/>
          <w:szCs w:val="22"/>
          <w:rtl/>
        </w:rPr>
        <w:t>,</w:t>
      </w:r>
      <w:r w:rsidRPr="00BD5E91">
        <w:rPr>
          <w:sz w:val="22"/>
          <w:szCs w:val="22"/>
          <w:rtl/>
        </w:rPr>
        <w:t xml:space="preserve"> דחכמה נחית בימינא כמ"ש בהת"ז:</w:t>
      </w:r>
    </w:p>
  </w:footnote>
  <w:footnote w:id="691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הה"ה בינה כו'. </w:t>
      </w:r>
      <w:r w:rsidRPr="00BD5E91">
        <w:rPr>
          <w:sz w:val="22"/>
          <w:szCs w:val="22"/>
          <w:rtl/>
        </w:rPr>
        <w:t>דיו"ד הוא בימינא</w:t>
      </w:r>
      <w:r>
        <w:rPr>
          <w:rFonts w:hint="cs"/>
          <w:sz w:val="22"/>
          <w:szCs w:val="22"/>
          <w:rtl/>
        </w:rPr>
        <w:t>,</w:t>
      </w:r>
      <w:r w:rsidRPr="00BD5E91">
        <w:rPr>
          <w:sz w:val="22"/>
          <w:szCs w:val="22"/>
          <w:rtl/>
        </w:rPr>
        <w:t xml:space="preserve"> ה' בשמאלא</w:t>
      </w:r>
      <w:r>
        <w:rPr>
          <w:rFonts w:hint="cs"/>
          <w:sz w:val="22"/>
          <w:szCs w:val="22"/>
          <w:rtl/>
        </w:rPr>
        <w:t>,</w:t>
      </w:r>
      <w:r w:rsidRPr="00BD5E91">
        <w:rPr>
          <w:sz w:val="22"/>
          <w:szCs w:val="22"/>
          <w:rtl/>
        </w:rPr>
        <w:t xml:space="preserve"> ו' באמצעיתא</w:t>
      </w:r>
      <w:r>
        <w:rPr>
          <w:rFonts w:hint="cs"/>
          <w:sz w:val="22"/>
          <w:szCs w:val="22"/>
          <w:rtl/>
        </w:rPr>
        <w:t>,</w:t>
      </w:r>
      <w:r w:rsidRPr="00BD5E91">
        <w:rPr>
          <w:sz w:val="22"/>
          <w:szCs w:val="22"/>
          <w:rtl/>
        </w:rPr>
        <w:t xml:space="preserve"> ה' אחרונה בשכינה:</w:t>
      </w:r>
    </w:p>
  </w:footnote>
  <w:footnote w:id="691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הרוצה להעשיר יצפין.</w:t>
      </w:r>
      <w:r w:rsidRPr="00BD5E91">
        <w:rPr>
          <w:sz w:val="22"/>
          <w:szCs w:val="22"/>
          <w:rtl/>
        </w:rPr>
        <w:t xml:space="preserve"> כמ"ש (איוב לז כב) מצפון זהב יאתה:</w:t>
      </w:r>
      <w:r w:rsidRPr="00BD5E91">
        <w:rPr>
          <w:b/>
          <w:bCs/>
          <w:sz w:val="22"/>
          <w:szCs w:val="22"/>
          <w:rtl/>
        </w:rPr>
        <w:t xml:space="preserve"> </w:t>
      </w:r>
    </w:p>
  </w:footnote>
  <w:footnote w:id="691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קדושה לך ישלשו. </w:t>
      </w:r>
      <w:r w:rsidRPr="00BD5E91">
        <w:rPr>
          <w:sz w:val="22"/>
          <w:szCs w:val="22"/>
          <w:rtl/>
        </w:rPr>
        <w:t>ר"ל מסט' דתלת יודין ישלשו. דקדושה בימינא</w:t>
      </w:r>
      <w:r>
        <w:rPr>
          <w:rFonts w:hint="cs"/>
          <w:sz w:val="22"/>
          <w:szCs w:val="22"/>
          <w:rtl/>
        </w:rPr>
        <w:t>,</w:t>
      </w:r>
      <w:r w:rsidRPr="00BD5E91">
        <w:rPr>
          <w:sz w:val="22"/>
          <w:szCs w:val="22"/>
          <w:rtl/>
        </w:rPr>
        <w:t xml:space="preserve"> והיא נקראת קדושה כמ"ש לעיל</w:t>
      </w:r>
      <w:r>
        <w:rPr>
          <w:rFonts w:hint="cs"/>
          <w:sz w:val="22"/>
          <w:szCs w:val="22"/>
          <w:rtl/>
        </w:rPr>
        <w:t>.</w:t>
      </w:r>
      <w:r w:rsidRPr="00BD5E91">
        <w:rPr>
          <w:sz w:val="22"/>
          <w:szCs w:val="22"/>
          <w:rtl/>
        </w:rPr>
        <w:t xml:space="preserve"> ומביא ראיה שכל שילושים של הסגולות הכל לנחתא לה:</w:t>
      </w:r>
    </w:p>
  </w:footnote>
  <w:footnote w:id="691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דאוליף סגולות כו'.</w:t>
      </w:r>
      <w:r w:rsidRPr="00BD5E91">
        <w:rPr>
          <w:sz w:val="22"/>
          <w:szCs w:val="22"/>
          <w:rtl/>
        </w:rPr>
        <w:t xml:space="preserve"> ר"ל תלת תלת הנ"ל</w:t>
      </w:r>
      <w:r>
        <w:rPr>
          <w:rFonts w:hint="cs"/>
          <w:sz w:val="22"/>
          <w:szCs w:val="22"/>
          <w:rtl/>
        </w:rPr>
        <w:t>,</w:t>
      </w:r>
      <w:r w:rsidRPr="00BD5E91">
        <w:rPr>
          <w:sz w:val="22"/>
          <w:szCs w:val="22"/>
          <w:rtl/>
        </w:rPr>
        <w:t xml:space="preserve"> שכולם הן ג' דסגולתא</w:t>
      </w:r>
      <w:r>
        <w:rPr>
          <w:rFonts w:hint="cs"/>
          <w:sz w:val="22"/>
          <w:szCs w:val="22"/>
          <w:rtl/>
        </w:rPr>
        <w:t>,</w:t>
      </w:r>
      <w:r w:rsidRPr="00BD5E91">
        <w:rPr>
          <w:sz w:val="22"/>
          <w:szCs w:val="22"/>
          <w:rtl/>
        </w:rPr>
        <w:t xml:space="preserve"> והן סגולות לנחתא חכמתא ועותרא כנ"ל:</w:t>
      </w:r>
    </w:p>
  </w:footnote>
  <w:footnote w:id="691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דאינון סגולות אלין דבעלה כו'.</w:t>
      </w:r>
      <w:r w:rsidRPr="00BD5E91">
        <w:rPr>
          <w:sz w:val="22"/>
          <w:szCs w:val="22"/>
          <w:rtl/>
        </w:rPr>
        <w:t xml:space="preserve"> דהוא כליל מיה"ו כידוע:</w:t>
      </w:r>
    </w:p>
  </w:footnote>
  <w:footnote w:id="691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דכתר איהו יוד כו'.</w:t>
      </w:r>
      <w:r w:rsidRPr="00BD5E91">
        <w:rPr>
          <w:sz w:val="22"/>
          <w:szCs w:val="22"/>
          <w:rtl/>
        </w:rPr>
        <w:t xml:space="preserve"> מביא דכתר הוא ו'</w:t>
      </w:r>
      <w:r>
        <w:rPr>
          <w:rFonts w:hint="cs"/>
          <w:sz w:val="22"/>
          <w:szCs w:val="22"/>
          <w:rtl/>
        </w:rPr>
        <w:t>.</w:t>
      </w:r>
      <w:r w:rsidRPr="00BD5E91">
        <w:rPr>
          <w:sz w:val="22"/>
          <w:szCs w:val="22"/>
          <w:rtl/>
        </w:rPr>
        <w:t xml:space="preserve"> דכתר הוא כ'</w:t>
      </w:r>
      <w:r>
        <w:rPr>
          <w:rFonts w:hint="cs"/>
          <w:sz w:val="22"/>
          <w:szCs w:val="22"/>
          <w:rtl/>
        </w:rPr>
        <w:t>,</w:t>
      </w:r>
      <w:r w:rsidRPr="00BD5E91">
        <w:rPr>
          <w:sz w:val="22"/>
          <w:szCs w:val="22"/>
          <w:rtl/>
        </w:rPr>
        <w:t xml:space="preserve"> כת"ר</w:t>
      </w:r>
      <w:r>
        <w:rPr>
          <w:rFonts w:hint="cs"/>
          <w:sz w:val="22"/>
          <w:szCs w:val="22"/>
          <w:rtl/>
        </w:rPr>
        <w:t>,</w:t>
      </w:r>
      <w:r w:rsidRPr="00BD5E91">
        <w:rPr>
          <w:sz w:val="22"/>
          <w:szCs w:val="22"/>
          <w:rtl/>
        </w:rPr>
        <w:t xml:space="preserve"> והוא מסט' דאות יו"ד דהוא גי' כ'</w:t>
      </w:r>
      <w:r>
        <w:rPr>
          <w:rFonts w:hint="cs"/>
          <w:sz w:val="22"/>
          <w:szCs w:val="22"/>
          <w:rtl/>
        </w:rPr>
        <w:t>,</w:t>
      </w:r>
      <w:r w:rsidRPr="00BD5E91">
        <w:rPr>
          <w:sz w:val="22"/>
          <w:szCs w:val="22"/>
          <w:rtl/>
        </w:rPr>
        <w:t xml:space="preserve"> ובאות יו"ד באמצע אות ו'</w:t>
      </w:r>
      <w:r>
        <w:rPr>
          <w:rFonts w:hint="cs"/>
          <w:sz w:val="22"/>
          <w:szCs w:val="22"/>
          <w:rtl/>
        </w:rPr>
        <w:t>.</w:t>
      </w:r>
      <w:r w:rsidRPr="00BD5E91">
        <w:rPr>
          <w:sz w:val="22"/>
          <w:szCs w:val="22"/>
          <w:rtl/>
        </w:rPr>
        <w:t xml:space="preserve"> וז"ש דתמן ו'</w:t>
      </w:r>
      <w:r>
        <w:rPr>
          <w:rFonts w:hint="cs"/>
          <w:sz w:val="22"/>
          <w:szCs w:val="22"/>
          <w:rtl/>
        </w:rPr>
        <w:t>.</w:t>
      </w:r>
      <w:r w:rsidRPr="00BD5E91">
        <w:rPr>
          <w:sz w:val="22"/>
          <w:szCs w:val="22"/>
          <w:rtl/>
        </w:rPr>
        <w:t xml:space="preserve"> וי"ד הנשארין הוא מסט' דו' דכליל יה"ו והן סגולתא דכליל כח"ב יה"ו וג' אותיות הללו הן י"ד כמ"ש לקמן ואיהו יד כו':</w:t>
      </w:r>
    </w:p>
  </w:footnote>
  <w:footnote w:id="691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באת וא"ו.</w:t>
      </w:r>
      <w:r w:rsidRPr="00BD5E91">
        <w:rPr>
          <w:sz w:val="22"/>
          <w:szCs w:val="22"/>
          <w:rtl/>
        </w:rPr>
        <w:t xml:space="preserve"> שהוא ת"ת כלול יסוד</w:t>
      </w:r>
      <w:r>
        <w:rPr>
          <w:rFonts w:hint="cs"/>
          <w:sz w:val="22"/>
          <w:szCs w:val="22"/>
          <w:rtl/>
        </w:rPr>
        <w:t>,</w:t>
      </w:r>
      <w:r w:rsidRPr="00BD5E91">
        <w:rPr>
          <w:sz w:val="22"/>
          <w:szCs w:val="22"/>
          <w:rtl/>
        </w:rPr>
        <w:t xml:space="preserve"> גוף וברית כחדא כו'</w:t>
      </w:r>
      <w:r>
        <w:rPr>
          <w:rFonts w:hint="cs"/>
          <w:sz w:val="22"/>
          <w:szCs w:val="22"/>
          <w:rtl/>
        </w:rPr>
        <w:t>.</w:t>
      </w:r>
      <w:r w:rsidRPr="00BD5E91">
        <w:rPr>
          <w:sz w:val="22"/>
          <w:szCs w:val="22"/>
          <w:rtl/>
        </w:rPr>
        <w:t xml:space="preserve"> והם ו' ארוך ו' זעירא כמ"ש לעיל וא' שבאמצע הוא"ו מפרש לקמן באמצעיתא א' כו':</w:t>
      </w:r>
    </w:p>
  </w:footnote>
  <w:footnote w:id="692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וברכות לראש צדיק.</w:t>
      </w:r>
      <w:r w:rsidRPr="00BD5E91">
        <w:rPr>
          <w:sz w:val="22"/>
          <w:szCs w:val="22"/>
          <w:rtl/>
        </w:rPr>
        <w:t xml:space="preserve"> מביא ראיה שכולם נחתין בצדיק</w:t>
      </w:r>
      <w:r>
        <w:rPr>
          <w:rFonts w:hint="cs"/>
          <w:sz w:val="22"/>
          <w:szCs w:val="22"/>
          <w:rtl/>
        </w:rPr>
        <w:t>,</w:t>
      </w:r>
      <w:r w:rsidRPr="00BD5E91">
        <w:rPr>
          <w:sz w:val="22"/>
          <w:szCs w:val="22"/>
          <w:rtl/>
        </w:rPr>
        <w:t xml:space="preserve"> אבל וברכות הן מסט' דתלת ההין</w:t>
      </w:r>
      <w:r>
        <w:rPr>
          <w:rFonts w:hint="cs"/>
          <w:sz w:val="22"/>
          <w:szCs w:val="22"/>
          <w:rtl/>
        </w:rPr>
        <w:t>,</w:t>
      </w:r>
      <w:r w:rsidRPr="00BD5E91">
        <w:rPr>
          <w:sz w:val="22"/>
          <w:szCs w:val="22"/>
          <w:rtl/>
        </w:rPr>
        <w:t xml:space="preserve"> דברכה משמאלא כידוע</w:t>
      </w:r>
      <w:r>
        <w:rPr>
          <w:rFonts w:hint="cs"/>
          <w:sz w:val="22"/>
          <w:szCs w:val="22"/>
          <w:rtl/>
        </w:rPr>
        <w:t>.</w:t>
      </w:r>
      <w:r w:rsidRPr="00BD5E91">
        <w:rPr>
          <w:sz w:val="22"/>
          <w:szCs w:val="22"/>
          <w:rtl/>
        </w:rPr>
        <w:t xml:space="preserve"> וסגולה דווין הן יחודא כמש"ו ואלין תלת כו'</w:t>
      </w:r>
      <w:r>
        <w:rPr>
          <w:rFonts w:hint="cs"/>
          <w:sz w:val="22"/>
          <w:szCs w:val="22"/>
          <w:rtl/>
        </w:rPr>
        <w:t>.</w:t>
      </w:r>
      <w:r w:rsidRPr="00BD5E91">
        <w:rPr>
          <w:sz w:val="22"/>
          <w:szCs w:val="22"/>
          <w:rtl/>
        </w:rPr>
        <w:t xml:space="preserve"> והן יב"ק כידוע:</w:t>
      </w:r>
    </w:p>
  </w:footnote>
  <w:footnote w:id="692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והאי איהו לקרב רחוקים.</w:t>
      </w:r>
      <w:r w:rsidRPr="00BD5E91">
        <w:rPr>
          <w:sz w:val="22"/>
          <w:szCs w:val="22"/>
          <w:rtl/>
        </w:rPr>
        <w:t xml:space="preserve"> כמ"ש (ישעיהו נז יט) שלום לרחוק כו' ושלום הוא יסוד כידוע ובו ג' ווין כנ"ל:</w:t>
      </w:r>
    </w:p>
  </w:footnote>
  <w:footnote w:id="692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דאינון אורחים.</w:t>
      </w:r>
      <w:r w:rsidRPr="00BD5E91">
        <w:rPr>
          <w:sz w:val="22"/>
          <w:szCs w:val="22"/>
          <w:rtl/>
        </w:rPr>
        <w:t xml:space="preserve"> כמש"ו ולכך נקראו רחוקים:</w:t>
      </w:r>
    </w:p>
  </w:footnote>
  <w:footnote w:id="692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קפצה ארעא.</w:t>
      </w:r>
      <w:r w:rsidRPr="00BD5E91">
        <w:rPr>
          <w:sz w:val="22"/>
          <w:szCs w:val="22"/>
          <w:rtl/>
        </w:rPr>
        <w:t xml:space="preserve"> שכינה ליעקב בעלה כמש"ו:</w:t>
      </w:r>
    </w:p>
  </w:footnote>
  <w:footnote w:id="692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דרך כוכב מיעקב.</w:t>
      </w:r>
      <w:r w:rsidRPr="00BD5E91">
        <w:rPr>
          <w:sz w:val="22"/>
          <w:szCs w:val="22"/>
          <w:rtl/>
        </w:rPr>
        <w:t xml:space="preserve"> ר"ל יסוד שהוא כוכב הששי מכוכבי לכת שנקרא כוכב והוא ספרא דחמה וזהו כוכב מיעקב שהוא שמש כידוע והוא דרך ו' זעירא וכן דריכת קשת דרך:</w:t>
      </w:r>
    </w:p>
  </w:footnote>
  <w:footnote w:id="692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דרך הנשר.</w:t>
      </w:r>
      <w:r w:rsidRPr="00BD5E91">
        <w:rPr>
          <w:sz w:val="22"/>
          <w:szCs w:val="22"/>
          <w:rtl/>
        </w:rPr>
        <w:t xml:space="preserve"> ו' ת"ת:</w:t>
      </w:r>
    </w:p>
  </w:footnote>
  <w:footnote w:id="6926">
    <w:p w:rsidR="00007309" w:rsidRPr="00BD5E91" w:rsidRDefault="00007309" w:rsidP="00007309">
      <w:pPr>
        <w:jc w:val="both"/>
        <w:rPr>
          <w:rFonts w:cs="Arial"/>
          <w:sz w:val="22"/>
          <w:szCs w:val="22"/>
          <w:rtl/>
        </w:rPr>
      </w:pPr>
      <w:r w:rsidRPr="00BD5E91">
        <w:rPr>
          <w:rStyle w:val="a7"/>
          <w:rFonts w:cs="Arial"/>
          <w:sz w:val="22"/>
          <w:szCs w:val="22"/>
          <w:rtl/>
        </w:rPr>
        <w:footnoteRef/>
      </w:r>
      <w:r w:rsidRPr="00BD5E91">
        <w:rPr>
          <w:rFonts w:cs="Arial"/>
          <w:sz w:val="22"/>
          <w:szCs w:val="22"/>
          <w:rtl/>
        </w:rPr>
        <w:t xml:space="preserve"> </w:t>
      </w:r>
      <w:r w:rsidRPr="00BD5E91">
        <w:rPr>
          <w:rFonts w:cs="Arial"/>
          <w:b/>
          <w:bCs/>
          <w:sz w:val="22"/>
          <w:szCs w:val="22"/>
          <w:rtl/>
        </w:rPr>
        <w:t>דרכיה דרכי נועם.</w:t>
      </w:r>
      <w:r w:rsidRPr="00BD5E91">
        <w:rPr>
          <w:rFonts w:cs="Arial"/>
          <w:sz w:val="22"/>
          <w:szCs w:val="22"/>
          <w:rtl/>
        </w:rPr>
        <w:t xml:space="preserve"> ר"ל ב' ווין הנ"ל שהן דרכיה הן דרכי נועם מאימא עילאה שנקרא נועם דהוא נטיל מאימא עילאה ומשקי לאימא תתאה כמ"ש (בראשית ב י) ונהר יוצא מעדן להשקות את הגן:</w:t>
      </w:r>
    </w:p>
  </w:footnote>
  <w:footnote w:id="692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דאת וא"ו מן כו'.</w:t>
      </w:r>
      <w:r w:rsidRPr="00BD5E91">
        <w:rPr>
          <w:sz w:val="22"/>
          <w:szCs w:val="22"/>
          <w:rtl/>
        </w:rPr>
        <w:t xml:space="preserve"> ר"ל דג' שמות דר"ת שלהן וא"ו כמש"ו:</w:t>
      </w:r>
    </w:p>
  </w:footnote>
  <w:footnote w:id="692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י"ב שבטין.</w:t>
      </w:r>
      <w:r w:rsidRPr="00BD5E91">
        <w:rPr>
          <w:sz w:val="22"/>
          <w:szCs w:val="22"/>
          <w:rtl/>
        </w:rPr>
        <w:t xml:space="preserve"> שהם מסטרא דב' ווי"ן אלו:</w:t>
      </w:r>
    </w:p>
  </w:footnote>
  <w:footnote w:id="692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דתלת שמהן כו'.</w:t>
      </w:r>
      <w:r w:rsidRPr="00BD5E91">
        <w:rPr>
          <w:sz w:val="22"/>
          <w:szCs w:val="22"/>
          <w:rtl/>
        </w:rPr>
        <w:t xml:space="preserve"> שהן כלל הע"ב שמות דעד"א נטיל מינייהו ב' שלישים, ברא בוכרא, בני בכורי ישראל, והיא נוטלת שליש אחר כמ"ש (ישעיהו מ יב) וכל בשליש עפר הארץ</w:t>
      </w:r>
      <w:r>
        <w:rPr>
          <w:rFonts w:hint="cs"/>
          <w:sz w:val="22"/>
          <w:szCs w:val="22"/>
          <w:rtl/>
        </w:rPr>
        <w:t>.</w:t>
      </w:r>
      <w:r w:rsidRPr="00BD5E91">
        <w:rPr>
          <w:sz w:val="22"/>
          <w:szCs w:val="22"/>
          <w:rtl/>
        </w:rPr>
        <w:t xml:space="preserve"> והן ב' כ"ד לו כמ"ש ושמתי כ"ד כ"ד שמשותיך</w:t>
      </w:r>
      <w:r>
        <w:rPr>
          <w:rFonts w:hint="cs"/>
          <w:sz w:val="22"/>
          <w:szCs w:val="22"/>
          <w:rtl/>
        </w:rPr>
        <w:t>,</w:t>
      </w:r>
      <w:r w:rsidRPr="00BD5E91">
        <w:rPr>
          <w:sz w:val="22"/>
          <w:szCs w:val="22"/>
          <w:rtl/>
        </w:rPr>
        <w:t xml:space="preserve"> וכ"ד א' לה כמ"ש ותמלא כד"ה כו'</w:t>
      </w:r>
      <w:r>
        <w:rPr>
          <w:rFonts w:hint="cs"/>
          <w:sz w:val="22"/>
          <w:szCs w:val="22"/>
          <w:rtl/>
        </w:rPr>
        <w:t>.</w:t>
      </w:r>
      <w:r w:rsidRPr="00BD5E91">
        <w:rPr>
          <w:sz w:val="22"/>
          <w:szCs w:val="22"/>
          <w:rtl/>
        </w:rPr>
        <w:t xml:space="preserve"> ואז היא נקראת על שם בעלה כידוע שהיא טפילה לו</w:t>
      </w:r>
      <w:r>
        <w:rPr>
          <w:rFonts w:hint="cs"/>
          <w:sz w:val="22"/>
          <w:szCs w:val="22"/>
          <w:rtl/>
        </w:rPr>
        <w:t>.</w:t>
      </w:r>
      <w:r w:rsidRPr="00BD5E91">
        <w:rPr>
          <w:sz w:val="22"/>
          <w:szCs w:val="22"/>
          <w:rtl/>
        </w:rPr>
        <w:t xml:space="preserve"> וזהו וה"ו וה"ו</w:t>
      </w:r>
      <w:r>
        <w:rPr>
          <w:rFonts w:hint="cs"/>
          <w:sz w:val="22"/>
          <w:szCs w:val="22"/>
          <w:rtl/>
        </w:rPr>
        <w:t>,</w:t>
      </w:r>
      <w:r w:rsidRPr="00BD5E91">
        <w:rPr>
          <w:sz w:val="22"/>
          <w:szCs w:val="22"/>
          <w:rtl/>
        </w:rPr>
        <w:t xml:space="preserve"> בראשון מ"ח שמות ובשני כ"ד</w:t>
      </w:r>
      <w:r>
        <w:rPr>
          <w:rFonts w:hint="cs"/>
          <w:sz w:val="22"/>
          <w:szCs w:val="22"/>
          <w:rtl/>
        </w:rPr>
        <w:t>.</w:t>
      </w:r>
      <w:r w:rsidRPr="00BD5E91">
        <w:rPr>
          <w:sz w:val="22"/>
          <w:szCs w:val="22"/>
          <w:rtl/>
        </w:rPr>
        <w:t xml:space="preserve"> וכשהיא שוה לבעלה בסוד שני המאורות הגדולים נוטלת שוה לו החצי</w:t>
      </w:r>
      <w:r>
        <w:rPr>
          <w:rFonts w:hint="cs"/>
          <w:sz w:val="22"/>
          <w:szCs w:val="22"/>
          <w:rtl/>
        </w:rPr>
        <w:t>,</w:t>
      </w:r>
      <w:r w:rsidRPr="00BD5E91">
        <w:rPr>
          <w:sz w:val="22"/>
          <w:szCs w:val="22"/>
          <w:rtl/>
        </w:rPr>
        <w:t xml:space="preserve"> ואז נקראת בשם לעצמה</w:t>
      </w:r>
      <w:r>
        <w:rPr>
          <w:rFonts w:hint="cs"/>
          <w:sz w:val="22"/>
          <w:szCs w:val="22"/>
          <w:rtl/>
        </w:rPr>
        <w:t>,</w:t>
      </w:r>
      <w:r w:rsidRPr="00BD5E91">
        <w:rPr>
          <w:sz w:val="22"/>
          <w:szCs w:val="22"/>
          <w:rtl/>
        </w:rPr>
        <w:t xml:space="preserve"> אני</w:t>
      </w:r>
      <w:r>
        <w:rPr>
          <w:rFonts w:hint="cs"/>
          <w:sz w:val="22"/>
          <w:szCs w:val="22"/>
          <w:rtl/>
        </w:rPr>
        <w:t>.</w:t>
      </w:r>
      <w:r w:rsidRPr="00BD5E91">
        <w:rPr>
          <w:sz w:val="22"/>
          <w:szCs w:val="22"/>
          <w:rtl/>
        </w:rPr>
        <w:t xml:space="preserve"> וזהו אנ"י שבו ל"ו שמות</w:t>
      </w:r>
      <w:r>
        <w:rPr>
          <w:rFonts w:hint="cs"/>
          <w:sz w:val="22"/>
          <w:szCs w:val="22"/>
          <w:rtl/>
        </w:rPr>
        <w:t>.</w:t>
      </w:r>
      <w:r w:rsidRPr="00BD5E91">
        <w:rPr>
          <w:sz w:val="22"/>
          <w:szCs w:val="22"/>
          <w:rtl/>
        </w:rPr>
        <w:t xml:space="preserve"> וזהו דכ"ה שנקראת כשאין לה אלא כ"ד</w:t>
      </w:r>
      <w:r>
        <w:rPr>
          <w:rFonts w:hint="cs"/>
          <w:sz w:val="22"/>
          <w:szCs w:val="22"/>
          <w:rtl/>
        </w:rPr>
        <w:t>.</w:t>
      </w:r>
      <w:r w:rsidRPr="00BD5E91">
        <w:rPr>
          <w:sz w:val="22"/>
          <w:szCs w:val="22"/>
          <w:rtl/>
        </w:rPr>
        <w:t xml:space="preserve"> וכן יסוד נקרא ד"ך מסט' דכ"ד אלו</w:t>
      </w:r>
      <w:r>
        <w:rPr>
          <w:rFonts w:hint="cs"/>
          <w:sz w:val="22"/>
          <w:szCs w:val="22"/>
          <w:rtl/>
        </w:rPr>
        <w:t>.</w:t>
      </w:r>
      <w:r w:rsidRPr="00BD5E91">
        <w:rPr>
          <w:sz w:val="22"/>
          <w:szCs w:val="22"/>
          <w:rtl/>
        </w:rPr>
        <w:t xml:space="preserve"> וזהו וה"ו השני</w:t>
      </w:r>
      <w:r>
        <w:rPr>
          <w:rFonts w:hint="cs"/>
          <w:sz w:val="22"/>
          <w:szCs w:val="22"/>
          <w:rtl/>
        </w:rPr>
        <w:t>.</w:t>
      </w:r>
      <w:r w:rsidRPr="00BD5E91">
        <w:rPr>
          <w:sz w:val="22"/>
          <w:szCs w:val="22"/>
          <w:rtl/>
        </w:rPr>
        <w:t xml:space="preserve"> ואני שכינה כלילא מלו ע"ג יסוד כמ"ש לעיל ד</w:t>
      </w:r>
      <w:r>
        <w:rPr>
          <w:rFonts w:hint="cs"/>
          <w:sz w:val="22"/>
          <w:szCs w:val="22"/>
          <w:rtl/>
        </w:rPr>
        <w:t xml:space="preserve">ף </w:t>
      </w:r>
      <w:r w:rsidRPr="00BD5E91">
        <w:rPr>
          <w:sz w:val="22"/>
          <w:szCs w:val="22"/>
          <w:rtl/>
        </w:rPr>
        <w:t>ע"ה ישאו נהרות דכים</w:t>
      </w:r>
      <w:r>
        <w:rPr>
          <w:rFonts w:hint="cs"/>
          <w:sz w:val="22"/>
          <w:szCs w:val="22"/>
          <w:rtl/>
        </w:rPr>
        <w:t>,</w:t>
      </w:r>
      <w:r w:rsidRPr="00BD5E91">
        <w:rPr>
          <w:sz w:val="22"/>
          <w:szCs w:val="22"/>
          <w:rtl/>
        </w:rPr>
        <w:t xml:space="preserve"> דנהרות נו"ה ישאו דכים מלכות מסט' דצדיק ד"ך על גבם ע"ש</w:t>
      </w:r>
      <w:r>
        <w:rPr>
          <w:rFonts w:hint="cs"/>
          <w:sz w:val="22"/>
          <w:szCs w:val="22"/>
          <w:rtl/>
        </w:rPr>
        <w:t>.</w:t>
      </w:r>
      <w:r w:rsidRPr="00BD5E91">
        <w:rPr>
          <w:sz w:val="22"/>
          <w:szCs w:val="22"/>
          <w:rtl/>
        </w:rPr>
        <w:t xml:space="preserve"> וזהו והו אני והו כללא דע"ב:</w:t>
      </w:r>
    </w:p>
  </w:footnote>
  <w:footnote w:id="693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ימא באמצעיתא א' כו'.</w:t>
      </w:r>
      <w:r w:rsidRPr="00BD5E91">
        <w:rPr>
          <w:sz w:val="22"/>
          <w:szCs w:val="22"/>
          <w:rtl/>
        </w:rPr>
        <w:t xml:space="preserve"> ר"ל שהים שבין י"ב ארחין הוא א' של אמצע הוא"ו</w:t>
      </w:r>
      <w:r>
        <w:rPr>
          <w:rFonts w:hint="cs"/>
          <w:sz w:val="22"/>
          <w:szCs w:val="22"/>
          <w:rtl/>
        </w:rPr>
        <w:t>,</w:t>
      </w:r>
      <w:r w:rsidRPr="00BD5E91">
        <w:rPr>
          <w:sz w:val="22"/>
          <w:szCs w:val="22"/>
          <w:rtl/>
        </w:rPr>
        <w:t xml:space="preserve"> והוא ימא דאורייתא</w:t>
      </w:r>
      <w:r>
        <w:rPr>
          <w:rFonts w:hint="cs"/>
          <w:sz w:val="22"/>
          <w:szCs w:val="22"/>
          <w:rtl/>
        </w:rPr>
        <w:t>,</w:t>
      </w:r>
      <w:r w:rsidRPr="00BD5E91">
        <w:rPr>
          <w:sz w:val="22"/>
          <w:szCs w:val="22"/>
          <w:rtl/>
        </w:rPr>
        <w:t xml:space="preserve"> בינה</w:t>
      </w:r>
      <w:r>
        <w:rPr>
          <w:rFonts w:hint="cs"/>
          <w:sz w:val="22"/>
          <w:szCs w:val="22"/>
          <w:rtl/>
        </w:rPr>
        <w:t>,</w:t>
      </w:r>
      <w:r w:rsidRPr="00BD5E91">
        <w:rPr>
          <w:sz w:val="22"/>
          <w:szCs w:val="22"/>
          <w:rtl/>
        </w:rPr>
        <w:t xml:space="preserve"> שהיא נהרא בעד"א כמ"ש לקמן ואיהי זוהר דנהרא בלב כו' שהוא אמצע הוא"ו:</w:t>
      </w:r>
    </w:p>
  </w:footnote>
  <w:footnote w:id="693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אלף בינה.</w:t>
      </w:r>
      <w:r w:rsidRPr="00BD5E91">
        <w:rPr>
          <w:sz w:val="22"/>
          <w:szCs w:val="22"/>
          <w:rtl/>
        </w:rPr>
        <w:t xml:space="preserve"> ראיה שא' הוא ימא</w:t>
      </w:r>
      <w:r>
        <w:rPr>
          <w:rFonts w:hint="cs"/>
          <w:sz w:val="22"/>
          <w:szCs w:val="22"/>
          <w:rtl/>
        </w:rPr>
        <w:t>,</w:t>
      </w:r>
      <w:r w:rsidRPr="00BD5E91">
        <w:rPr>
          <w:sz w:val="22"/>
          <w:szCs w:val="22"/>
          <w:rtl/>
        </w:rPr>
        <w:t xml:space="preserve"> והוא מאמר הגמ' דשבת (קד ע"א)</w:t>
      </w:r>
      <w:r>
        <w:rPr>
          <w:rFonts w:hint="cs"/>
          <w:sz w:val="22"/>
          <w:szCs w:val="22"/>
          <w:rtl/>
        </w:rPr>
        <w:t>.</w:t>
      </w:r>
      <w:r w:rsidRPr="00BD5E91">
        <w:rPr>
          <w:sz w:val="22"/>
          <w:szCs w:val="22"/>
          <w:rtl/>
        </w:rPr>
        <w:t xml:space="preserve"> ור"ל שתלמוד התורה אז תשכח לה וז"ש ותשכח לה כמ"ש (משלי ב ג) אם לבינה תקרא כו' אז תבין כו':</w:t>
      </w:r>
    </w:p>
  </w:footnote>
  <w:footnote w:id="693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דאיתמר ביה כו'.</w:t>
      </w:r>
      <w:r w:rsidRPr="00BD5E91">
        <w:rPr>
          <w:sz w:val="22"/>
          <w:szCs w:val="22"/>
          <w:rtl/>
        </w:rPr>
        <w:t xml:space="preserve"> ר"ל עד"א שהוא כליל ב' ווין הנ"ל:</w:t>
      </w:r>
    </w:p>
  </w:footnote>
  <w:footnote w:id="693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וחמש סרי כו'.</w:t>
      </w:r>
      <w:r w:rsidRPr="00BD5E91">
        <w:rPr>
          <w:sz w:val="22"/>
          <w:szCs w:val="22"/>
          <w:rtl/>
        </w:rPr>
        <w:t xml:space="preserve"> ר"ל שעד"א הוא שם הויה כמ"ש עד"א נטיל שמא שלים כו'</w:t>
      </w:r>
      <w:r>
        <w:rPr>
          <w:rFonts w:hint="cs"/>
          <w:sz w:val="22"/>
          <w:szCs w:val="22"/>
          <w:rtl/>
        </w:rPr>
        <w:t>,</w:t>
      </w:r>
      <w:r w:rsidRPr="00BD5E91">
        <w:rPr>
          <w:sz w:val="22"/>
          <w:szCs w:val="22"/>
          <w:rtl/>
        </w:rPr>
        <w:t xml:space="preserve"> וה' פעמי' י"ה וה' פעמים ו"ה (א.ה. כנראה צ"ל י"ה פעמים י"ה וו"ה פעמים ו"ה) גי' שמים עם שמא מפרש דמ"ה גי' שמים כמש"ו והכל הויה שהוא עד"א:</w:t>
      </w:r>
    </w:p>
  </w:footnote>
  <w:footnote w:id="693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פעל בכ"ח כו'.</w:t>
      </w:r>
      <w:r w:rsidRPr="00BD5E91">
        <w:rPr>
          <w:sz w:val="22"/>
          <w:szCs w:val="22"/>
          <w:rtl/>
        </w:rPr>
        <w:t xml:space="preserve"> עד שצ"א. אין שייך לכאן וכן דליג מה עד רנ"ו. וכן שמא דאיהו י"ו עד וייצר. אין כאן מקומם או שחסר כאן קודם למאמרים אלו:</w:t>
      </w:r>
    </w:p>
  </w:footnote>
  <w:footnote w:id="693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והאי איהו כו'.</w:t>
      </w:r>
      <w:r w:rsidRPr="00BD5E91">
        <w:rPr>
          <w:sz w:val="22"/>
          <w:szCs w:val="22"/>
          <w:rtl/>
        </w:rPr>
        <w:t xml:space="preserve"> ר"ל שמו דהוא הויה:</w:t>
      </w:r>
    </w:p>
  </w:footnote>
  <w:footnote w:id="693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שמא דאיהו י"ו כו'.</w:t>
      </w:r>
      <w:r w:rsidRPr="00BD5E91">
        <w:rPr>
          <w:sz w:val="22"/>
          <w:szCs w:val="22"/>
          <w:rtl/>
        </w:rPr>
        <w:t xml:space="preserve"> שייך לעיל שאמר דליג מ"ה מ"ה משמו אשתאר רנ"ו. ור"ל שרנ"ו הוא סוד הקץ (ירמיהו לא ו) רנו ליעקב שמחה כידוע והוא בדילוג ב"פ מ"ה משמו כמ"ש מ"דלג על ה"הרים מ"קפץ על ה"גבעות ר"ת ב"פ מ"ה כמ"ש בת"ז ונשאר רנ"ו והוא י"ו פעמים י"ו והוא רמיז באות א' י"ו למעלה י"ו למטה והוא א' של בינה שמינה נעשה אדם בא' וזהו וייצר ויי דאלף בי' צייר בינה שהיא צייר בצרי כידוע את האדם דם עם אלף:</w:t>
      </w:r>
    </w:p>
  </w:footnote>
  <w:footnote w:id="693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חסר מ"ד משמים חשבונו שמו.</w:t>
      </w:r>
      <w:r w:rsidRPr="00BD5E91">
        <w:rPr>
          <w:sz w:val="22"/>
          <w:szCs w:val="22"/>
          <w:rtl/>
        </w:rPr>
        <w:t xml:space="preserve"> ר"ל תחסיר מ"ד מתיבת שמים ונשאר שמו וענינו שהוא אחוריים דאהיה דנהרא בלבא דעד"א שהוא דם הלב וע"י א' בינה נעשה מ"ה דשמא מפרש אד"ם וע"י דם דאהיה נהרא בתוך הויה גי' שמו נעשה שמים וזהו שאמר. </w:t>
      </w:r>
      <w:r w:rsidRPr="00BD5E91">
        <w:rPr>
          <w:b/>
          <w:bCs/>
          <w:sz w:val="22"/>
          <w:szCs w:val="22"/>
          <w:rtl/>
        </w:rPr>
        <w:t>ביה אומאה.</w:t>
      </w:r>
      <w:r w:rsidRPr="00BD5E91">
        <w:rPr>
          <w:sz w:val="22"/>
          <w:szCs w:val="22"/>
          <w:rtl/>
        </w:rPr>
        <w:t xml:space="preserve"> ר"ל שנשבע בשם אקיק כמ"ש כי יד על כס יה שהוא בינה. כי יום נקם בלבי. בלבי גי' דם כמש"ו והוא דם הלב שמשם הוא נקם באחוריים דינא כי בשני חללי דלבא בשמאלא דם כידוע אחוריים הנ"ל ובימינא רוחא מ"ה דשמא מפרש:</w:t>
      </w:r>
    </w:p>
  </w:footnote>
  <w:footnote w:id="693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בתוספת א' לאחזאה כו'.</w:t>
      </w:r>
      <w:r w:rsidRPr="00BD5E91">
        <w:rPr>
          <w:sz w:val="22"/>
          <w:szCs w:val="22"/>
          <w:rtl/>
        </w:rPr>
        <w:t xml:space="preserve"> ר"ל אקיק והויה והוא אלף שבתוך הוא"ו דמילוי מ"ה דשם נהרא אימא בלבא דעד"א וזהו כונן שמים בתבונה:</w:t>
      </w:r>
    </w:p>
  </w:footnote>
  <w:footnote w:id="693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ואיהו אימא עילאה.</w:t>
      </w:r>
      <w:r w:rsidRPr="00BD5E91">
        <w:rPr>
          <w:sz w:val="22"/>
          <w:szCs w:val="22"/>
          <w:rtl/>
        </w:rPr>
        <w:t xml:space="preserve"> כמש"ו ואיהו יד כו' וז"ש לכל חי דמינה נשמת כל חי כמש"ל והוא פותח את ידיך גי' דם שבו תלוי חיי האדם ולכך אמרו שהיא נקראת חיי המלך בסוד נדרים כידוע וזהו לכל חי רצון גי' שמו הנ"ל ידיך עם רצון שמים הנ"ל והיא כלילת ליה כמש"ו:</w:t>
      </w:r>
    </w:p>
  </w:footnote>
  <w:footnote w:id="694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בני בן י"ה.</w:t>
      </w:r>
      <w:r w:rsidRPr="00BD5E91">
        <w:rPr>
          <w:sz w:val="22"/>
          <w:szCs w:val="22"/>
          <w:rtl/>
        </w:rPr>
        <w:t xml:space="preserve"> ר"ל עד"א נקרא בן י"ה</w:t>
      </w:r>
      <w:r>
        <w:rPr>
          <w:rFonts w:hint="cs"/>
          <w:sz w:val="22"/>
          <w:szCs w:val="22"/>
          <w:rtl/>
        </w:rPr>
        <w:t>,</w:t>
      </w:r>
      <w:r w:rsidRPr="00BD5E91">
        <w:rPr>
          <w:sz w:val="22"/>
          <w:szCs w:val="22"/>
          <w:rtl/>
        </w:rPr>
        <w:t xml:space="preserve"> של או"א שנקראין י"ה כנ"ל</w:t>
      </w:r>
      <w:r>
        <w:rPr>
          <w:rFonts w:hint="cs"/>
          <w:sz w:val="22"/>
          <w:szCs w:val="22"/>
          <w:rtl/>
        </w:rPr>
        <w:t>.</w:t>
      </w:r>
      <w:r w:rsidRPr="00BD5E91">
        <w:rPr>
          <w:sz w:val="22"/>
          <w:szCs w:val="22"/>
          <w:rtl/>
        </w:rPr>
        <w:t xml:space="preserve"> ור"ל לכך נקרא אימא עילאה בינה</w:t>
      </w:r>
      <w:r>
        <w:rPr>
          <w:rFonts w:hint="cs"/>
          <w:sz w:val="22"/>
          <w:szCs w:val="22"/>
          <w:rtl/>
        </w:rPr>
        <w:t>,</w:t>
      </w:r>
      <w:r w:rsidRPr="00BD5E91">
        <w:rPr>
          <w:sz w:val="22"/>
          <w:szCs w:val="22"/>
          <w:rtl/>
        </w:rPr>
        <w:t xml:space="preserve"> דכלילת לבן י"ה בגווה כידוע</w:t>
      </w:r>
      <w:r>
        <w:rPr>
          <w:rFonts w:hint="cs"/>
          <w:sz w:val="22"/>
          <w:szCs w:val="22"/>
          <w:rtl/>
        </w:rPr>
        <w:t>.</w:t>
      </w:r>
      <w:r w:rsidRPr="00BD5E91">
        <w:rPr>
          <w:sz w:val="22"/>
          <w:szCs w:val="22"/>
          <w:rtl/>
        </w:rPr>
        <w:t xml:space="preserve"> והוא ראיה שהוא נקרא בן יה ומני</w:t>
      </w:r>
      <w:r>
        <w:rPr>
          <w:rFonts w:hint="cs"/>
          <w:sz w:val="22"/>
          <w:szCs w:val="22"/>
          <w:rtl/>
        </w:rPr>
        <w:t>ה</w:t>
      </w:r>
      <w:r w:rsidRPr="00BD5E91">
        <w:rPr>
          <w:sz w:val="22"/>
          <w:szCs w:val="22"/>
          <w:rtl/>
        </w:rPr>
        <w:t xml:space="preserve"> בני:</w:t>
      </w:r>
    </w:p>
  </w:footnote>
  <w:footnote w:id="694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ואיהו יד כו'.</w:t>
      </w:r>
      <w:r w:rsidRPr="00BD5E91">
        <w:rPr>
          <w:sz w:val="22"/>
          <w:szCs w:val="22"/>
          <w:rtl/>
        </w:rPr>
        <w:t xml:space="preserve"> חוזר למעלה על אימא עילאה שהיא יד רמה</w:t>
      </w:r>
      <w:r>
        <w:rPr>
          <w:rFonts w:hint="cs"/>
          <w:sz w:val="22"/>
          <w:szCs w:val="22"/>
          <w:rtl/>
        </w:rPr>
        <w:t>.</w:t>
      </w:r>
      <w:r w:rsidRPr="00BD5E91">
        <w:rPr>
          <w:sz w:val="22"/>
          <w:szCs w:val="22"/>
          <w:rtl/>
        </w:rPr>
        <w:t xml:space="preserve"> וז"ש פותח את ידיך</w:t>
      </w:r>
      <w:r>
        <w:rPr>
          <w:rFonts w:hint="cs"/>
          <w:sz w:val="22"/>
          <w:szCs w:val="22"/>
          <w:rtl/>
        </w:rPr>
        <w:t>,</w:t>
      </w:r>
      <w:r w:rsidRPr="00BD5E91">
        <w:rPr>
          <w:sz w:val="22"/>
          <w:szCs w:val="22"/>
          <w:rtl/>
        </w:rPr>
        <w:t xml:space="preserve"> ומשם מזוני</w:t>
      </w:r>
      <w:r>
        <w:rPr>
          <w:rFonts w:hint="cs"/>
          <w:sz w:val="22"/>
          <w:szCs w:val="22"/>
          <w:rtl/>
        </w:rPr>
        <w:t>,</w:t>
      </w:r>
      <w:r w:rsidRPr="00BD5E91">
        <w:rPr>
          <w:sz w:val="22"/>
          <w:szCs w:val="22"/>
          <w:rtl/>
        </w:rPr>
        <w:t xml:space="preserve"> ומשביע כו':</w:t>
      </w:r>
    </w:p>
  </w:footnote>
  <w:footnote w:id="694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דאתוון דילה יק"ו.</w:t>
      </w:r>
      <w:r w:rsidRPr="00BD5E91">
        <w:rPr>
          <w:sz w:val="22"/>
          <w:szCs w:val="22"/>
          <w:rtl/>
        </w:rPr>
        <w:t xml:space="preserve"> ר"ל דאתוון דילה בינה</w:t>
      </w:r>
      <w:r>
        <w:rPr>
          <w:rFonts w:hint="cs"/>
          <w:sz w:val="22"/>
          <w:szCs w:val="22"/>
          <w:rtl/>
        </w:rPr>
        <w:t>,</w:t>
      </w:r>
      <w:r w:rsidRPr="00BD5E91">
        <w:rPr>
          <w:sz w:val="22"/>
          <w:szCs w:val="22"/>
          <w:rtl/>
        </w:rPr>
        <w:t xml:space="preserve"> בן י"ה</w:t>
      </w:r>
      <w:r>
        <w:rPr>
          <w:rFonts w:hint="cs"/>
          <w:sz w:val="22"/>
          <w:szCs w:val="22"/>
          <w:rtl/>
        </w:rPr>
        <w:t>,</w:t>
      </w:r>
      <w:r w:rsidRPr="00BD5E91">
        <w:rPr>
          <w:sz w:val="22"/>
          <w:szCs w:val="22"/>
          <w:rtl/>
        </w:rPr>
        <w:t xml:space="preserve"> ובן הוא ו'</w:t>
      </w:r>
      <w:r>
        <w:rPr>
          <w:rFonts w:hint="cs"/>
          <w:sz w:val="22"/>
          <w:szCs w:val="22"/>
          <w:rtl/>
        </w:rPr>
        <w:t>,</w:t>
      </w:r>
      <w:r w:rsidRPr="00BD5E91">
        <w:rPr>
          <w:sz w:val="22"/>
          <w:szCs w:val="22"/>
          <w:rtl/>
        </w:rPr>
        <w:t xml:space="preserve"> וזהו יק"ו</w:t>
      </w:r>
      <w:r>
        <w:rPr>
          <w:rFonts w:hint="cs"/>
          <w:sz w:val="22"/>
          <w:szCs w:val="22"/>
          <w:rtl/>
        </w:rPr>
        <w:t>,</w:t>
      </w:r>
      <w:r w:rsidRPr="00BD5E91">
        <w:rPr>
          <w:sz w:val="22"/>
          <w:szCs w:val="22"/>
          <w:rtl/>
        </w:rPr>
        <w:t xml:space="preserve"> דכלילת</w:t>
      </w:r>
      <w:r>
        <w:rPr>
          <w:rFonts w:hint="cs"/>
          <w:sz w:val="22"/>
          <w:szCs w:val="22"/>
          <w:rtl/>
        </w:rPr>
        <w:t>.</w:t>
      </w:r>
      <w:r w:rsidRPr="00BD5E91">
        <w:rPr>
          <w:sz w:val="22"/>
          <w:szCs w:val="22"/>
          <w:rtl/>
        </w:rPr>
        <w:t xml:space="preserve"> ומן ג' אותיות אלו יוצאים ג' שמות</w:t>
      </w:r>
      <w:r>
        <w:rPr>
          <w:rFonts w:hint="cs"/>
          <w:sz w:val="22"/>
          <w:szCs w:val="22"/>
          <w:rtl/>
        </w:rPr>
        <w:t>,</w:t>
      </w:r>
      <w:r w:rsidRPr="00BD5E91">
        <w:rPr>
          <w:sz w:val="22"/>
          <w:szCs w:val="22"/>
          <w:rtl/>
        </w:rPr>
        <w:t xml:space="preserve"> ה' אלקינו ה' כמש"ו</w:t>
      </w:r>
      <w:r>
        <w:rPr>
          <w:rFonts w:hint="cs"/>
          <w:sz w:val="22"/>
          <w:szCs w:val="22"/>
          <w:rtl/>
        </w:rPr>
        <w:t>,</w:t>
      </w:r>
      <w:r>
        <w:rPr>
          <w:sz w:val="22"/>
          <w:szCs w:val="22"/>
          <w:rtl/>
        </w:rPr>
        <w:t xml:space="preserve"> י"ד אתוון</w:t>
      </w:r>
      <w:r>
        <w:rPr>
          <w:rFonts w:hint="cs"/>
          <w:sz w:val="22"/>
          <w:szCs w:val="22"/>
          <w:rtl/>
        </w:rPr>
        <w:t>.</w:t>
      </w:r>
      <w:r w:rsidRPr="00BD5E91">
        <w:rPr>
          <w:sz w:val="22"/>
          <w:szCs w:val="22"/>
          <w:rtl/>
        </w:rPr>
        <w:t xml:space="preserve"> ולפיכך נקראת יד</w:t>
      </w:r>
      <w:r>
        <w:rPr>
          <w:rFonts w:hint="cs"/>
          <w:sz w:val="22"/>
          <w:szCs w:val="22"/>
          <w:rtl/>
        </w:rPr>
        <w:t>.</w:t>
      </w:r>
      <w:r w:rsidRPr="00BD5E91">
        <w:rPr>
          <w:sz w:val="22"/>
          <w:szCs w:val="22"/>
          <w:rtl/>
        </w:rPr>
        <w:t xml:space="preserve"> והיא יד רמה שנאמר ובני ישראל יוצאים ביד רמה שהיא יובלא דאפיקת ישראל ממצרים</w:t>
      </w:r>
      <w:r>
        <w:rPr>
          <w:rFonts w:hint="cs"/>
          <w:sz w:val="22"/>
          <w:szCs w:val="22"/>
          <w:rtl/>
        </w:rPr>
        <w:t>.</w:t>
      </w:r>
      <w:r w:rsidRPr="00BD5E91">
        <w:rPr>
          <w:sz w:val="22"/>
          <w:szCs w:val="22"/>
          <w:rtl/>
        </w:rPr>
        <w:t xml:space="preserve"> והיא נקראת רמה</w:t>
      </w:r>
      <w:r>
        <w:rPr>
          <w:rFonts w:hint="cs"/>
          <w:sz w:val="22"/>
          <w:szCs w:val="22"/>
          <w:rtl/>
        </w:rPr>
        <w:t>,</w:t>
      </w:r>
      <w:r w:rsidRPr="00BD5E91">
        <w:rPr>
          <w:sz w:val="22"/>
          <w:szCs w:val="22"/>
          <w:rtl/>
        </w:rPr>
        <w:t xml:space="preserve"> מרום</w:t>
      </w:r>
      <w:r>
        <w:rPr>
          <w:rFonts w:hint="cs"/>
          <w:sz w:val="22"/>
          <w:szCs w:val="22"/>
          <w:rtl/>
        </w:rPr>
        <w:t>.</w:t>
      </w:r>
      <w:r w:rsidRPr="00BD5E91">
        <w:rPr>
          <w:sz w:val="22"/>
          <w:szCs w:val="22"/>
          <w:rtl/>
        </w:rPr>
        <w:t xml:space="preserve"> וכן ת"ת נקרא יד רמה מסט' דילה</w:t>
      </w:r>
      <w:r>
        <w:rPr>
          <w:rFonts w:hint="cs"/>
          <w:sz w:val="22"/>
          <w:szCs w:val="22"/>
          <w:rtl/>
        </w:rPr>
        <w:t>,</w:t>
      </w:r>
      <w:r w:rsidRPr="00BD5E91">
        <w:rPr>
          <w:sz w:val="22"/>
          <w:szCs w:val="22"/>
          <w:rtl/>
        </w:rPr>
        <w:t xml:space="preserve"> שהוא ג"כ כלול ג' אתוון</w:t>
      </w:r>
      <w:r>
        <w:rPr>
          <w:rFonts w:hint="cs"/>
          <w:sz w:val="22"/>
          <w:szCs w:val="22"/>
          <w:rtl/>
        </w:rPr>
        <w:t>,</w:t>
      </w:r>
      <w:r w:rsidRPr="00BD5E91">
        <w:rPr>
          <w:sz w:val="22"/>
          <w:szCs w:val="22"/>
          <w:rtl/>
        </w:rPr>
        <w:t xml:space="preserve"> וכולן הכל מסט' דכתר</w:t>
      </w:r>
      <w:r>
        <w:rPr>
          <w:rFonts w:hint="cs"/>
          <w:sz w:val="22"/>
          <w:szCs w:val="22"/>
          <w:rtl/>
        </w:rPr>
        <w:t>,</w:t>
      </w:r>
      <w:r w:rsidRPr="00BD5E91">
        <w:rPr>
          <w:sz w:val="22"/>
          <w:szCs w:val="22"/>
          <w:rtl/>
        </w:rPr>
        <w:t xml:space="preserve"> דשם רמה על כולם</w:t>
      </w:r>
      <w:r>
        <w:rPr>
          <w:rFonts w:hint="cs"/>
          <w:sz w:val="22"/>
          <w:szCs w:val="22"/>
          <w:rtl/>
        </w:rPr>
        <w:t>,</w:t>
      </w:r>
      <w:r w:rsidRPr="00BD5E91">
        <w:rPr>
          <w:sz w:val="22"/>
          <w:szCs w:val="22"/>
          <w:rtl/>
        </w:rPr>
        <w:t xml:space="preserve"> וזהו יוד דכתר כנ"ל:</w:t>
      </w:r>
    </w:p>
  </w:footnote>
  <w:footnote w:id="694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ומן יוד כו'.</w:t>
      </w:r>
      <w:r w:rsidRPr="00BD5E91">
        <w:rPr>
          <w:sz w:val="22"/>
          <w:szCs w:val="22"/>
          <w:rtl/>
        </w:rPr>
        <w:t xml:space="preserve"> שיוד הוא חכמה שהוא הויה:</w:t>
      </w:r>
    </w:p>
  </w:footnote>
  <w:footnote w:id="694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ומן ה' כו'.</w:t>
      </w:r>
      <w:r w:rsidRPr="00BD5E91">
        <w:rPr>
          <w:sz w:val="22"/>
          <w:szCs w:val="22"/>
          <w:rtl/>
        </w:rPr>
        <w:t xml:space="preserve"> יד</w:t>
      </w:r>
      <w:r>
        <w:rPr>
          <w:rFonts w:hint="cs"/>
          <w:sz w:val="22"/>
          <w:szCs w:val="22"/>
          <w:rtl/>
        </w:rPr>
        <w:t>,</w:t>
      </w:r>
      <w:r w:rsidRPr="00BD5E91">
        <w:rPr>
          <w:sz w:val="22"/>
          <w:szCs w:val="22"/>
          <w:rtl/>
        </w:rPr>
        <w:t xml:space="preserve"> ה'</w:t>
      </w:r>
      <w:r>
        <w:rPr>
          <w:rFonts w:hint="cs"/>
          <w:sz w:val="22"/>
          <w:szCs w:val="22"/>
          <w:rtl/>
        </w:rPr>
        <w:t>,</w:t>
      </w:r>
      <w:r w:rsidRPr="00BD5E91">
        <w:rPr>
          <w:sz w:val="22"/>
          <w:szCs w:val="22"/>
          <w:rtl/>
        </w:rPr>
        <w:t xml:space="preserve"> בינה</w:t>
      </w:r>
      <w:r>
        <w:rPr>
          <w:rFonts w:hint="cs"/>
          <w:sz w:val="22"/>
          <w:szCs w:val="22"/>
          <w:rtl/>
        </w:rPr>
        <w:t>,</w:t>
      </w:r>
      <w:r w:rsidRPr="00BD5E91">
        <w:rPr>
          <w:sz w:val="22"/>
          <w:szCs w:val="22"/>
          <w:rtl/>
        </w:rPr>
        <w:t xml:space="preserve"> דהיא אלקינו כמש"ל הוא אלקינו בגבהי מרומים:</w:t>
      </w:r>
    </w:p>
  </w:footnote>
  <w:footnote w:id="694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ומן וא"ו כו'.</w:t>
      </w:r>
      <w:r w:rsidRPr="00BD5E91">
        <w:rPr>
          <w:sz w:val="22"/>
          <w:szCs w:val="22"/>
          <w:rtl/>
        </w:rPr>
        <w:t xml:space="preserve"> עד"א הויה:</w:t>
      </w:r>
    </w:p>
  </w:footnote>
  <w:footnote w:id="694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וכלא אחד.</w:t>
      </w:r>
      <w:r w:rsidRPr="00BD5E91">
        <w:rPr>
          <w:sz w:val="22"/>
          <w:szCs w:val="22"/>
          <w:rtl/>
        </w:rPr>
        <w:t xml:space="preserve"> במלכות כמש"ל</w:t>
      </w:r>
      <w:r>
        <w:rPr>
          <w:rFonts w:hint="cs"/>
          <w:sz w:val="22"/>
          <w:szCs w:val="22"/>
          <w:rtl/>
        </w:rPr>
        <w:t>,</w:t>
      </w:r>
      <w:r w:rsidRPr="00BD5E91">
        <w:rPr>
          <w:sz w:val="22"/>
          <w:szCs w:val="22"/>
          <w:rtl/>
        </w:rPr>
        <w:t xml:space="preserve"> והן יחודא דד' אתוון יקו"ק</w:t>
      </w:r>
      <w:r>
        <w:rPr>
          <w:rFonts w:hint="cs"/>
          <w:sz w:val="22"/>
          <w:szCs w:val="22"/>
          <w:rtl/>
        </w:rPr>
        <w:t>,</w:t>
      </w:r>
      <w:r w:rsidRPr="00BD5E91">
        <w:rPr>
          <w:sz w:val="22"/>
          <w:szCs w:val="22"/>
          <w:rtl/>
        </w:rPr>
        <w:t xml:space="preserve"> או"א זו"נ:</w:t>
      </w:r>
    </w:p>
  </w:footnote>
  <w:footnote w:id="694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הה"ה כו'.</w:t>
      </w:r>
      <w:r w:rsidRPr="00BD5E91">
        <w:rPr>
          <w:sz w:val="22"/>
          <w:szCs w:val="22"/>
          <w:rtl/>
        </w:rPr>
        <w:t xml:space="preserve"> כמש"ל דע"ג אינון משולשין בעד"א כג"ד חכמה חסד כו' ומלכות כו' ורביעין לון שהיא רביעית לכל תלת, רביעית לתלת עילאין כידוע בסוד איומה כנדגלות ד' אותיות אדני כמש"ל, רביעאה לתלת אמצעין ברה כחמה ששם היא שוה לבעלה שני מאורות הגדולים ישאו נהרות דכים כמש"ל, רביעאה לתלת בתראין ששם היא את המאור הקטן יפה כלבנה:</w:t>
      </w:r>
    </w:p>
  </w:footnote>
  <w:footnote w:id="694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אלין ס' רבוא.</w:t>
      </w:r>
      <w:r w:rsidRPr="00BD5E91">
        <w:rPr>
          <w:sz w:val="22"/>
          <w:szCs w:val="22"/>
          <w:rtl/>
        </w:rPr>
        <w:t xml:space="preserve"> מסט' דעד"א ו"ק ספר הזוהר כמש"ו:</w:t>
      </w:r>
    </w:p>
  </w:footnote>
  <w:footnote w:id="694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ואלין כו'.</w:t>
      </w:r>
      <w:r w:rsidRPr="00BD5E91">
        <w:rPr>
          <w:sz w:val="22"/>
          <w:szCs w:val="22"/>
          <w:rtl/>
        </w:rPr>
        <w:t xml:space="preserve"> חשיב ד"פ ס"ר מד' עולמות אבי"ע, תרין מתיבתות באצילות ובריאה, ומלאכים וכוכבים ביצירה עשייה:</w:t>
      </w:r>
    </w:p>
  </w:footnote>
  <w:footnote w:id="695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כההוא כו'.</w:t>
      </w:r>
      <w:r w:rsidRPr="00BD5E91">
        <w:rPr>
          <w:sz w:val="22"/>
          <w:szCs w:val="22"/>
          <w:rtl/>
        </w:rPr>
        <w:t xml:space="preserve"> וז"ש כזוהר הרקיע:</w:t>
      </w:r>
    </w:p>
  </w:footnote>
  <w:footnote w:id="695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ביה יזהירו.</w:t>
      </w:r>
      <w:r w:rsidRPr="00BD5E91">
        <w:rPr>
          <w:sz w:val="22"/>
          <w:szCs w:val="22"/>
          <w:rtl/>
        </w:rPr>
        <w:t xml:space="preserve"> ר"ל ע"י כידוע שכולם נהרין מני' ככוכבים מחמה כמש"ל וזהו ומצדיקי הרבים כו':</w:t>
      </w:r>
    </w:p>
  </w:footnote>
  <w:footnote w:id="695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דאיהו ספר.</w:t>
      </w:r>
      <w:r w:rsidRPr="00BD5E91">
        <w:rPr>
          <w:sz w:val="22"/>
          <w:szCs w:val="22"/>
          <w:rtl/>
        </w:rPr>
        <w:t xml:space="preserve"> כמ"ש (ר"ה טז ע"ב) שלשה ספרים כו' וכמ"ש מחני נא מספרך דרגא דמשה:</w:t>
      </w:r>
    </w:p>
  </w:footnote>
  <w:footnote w:id="695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ובה אוקמוה כו'.</w:t>
      </w:r>
      <w:r w:rsidRPr="00BD5E91">
        <w:rPr>
          <w:sz w:val="22"/>
          <w:szCs w:val="22"/>
          <w:rtl/>
        </w:rPr>
        <w:t xml:space="preserve"> ר"ל דלכך נקראת זוהר דחכמתא שאיזהו חכם כו' מבין בבינה:</w:t>
      </w:r>
    </w:p>
  </w:footnote>
  <w:footnote w:id="695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בלב דר"מ.</w:t>
      </w:r>
      <w:r w:rsidRPr="00BD5E91">
        <w:rPr>
          <w:sz w:val="22"/>
          <w:szCs w:val="22"/>
          <w:rtl/>
        </w:rPr>
        <w:t xml:space="preserve"> ולכן אמרו בינה לבא:</w:t>
      </w:r>
    </w:p>
  </w:footnote>
  <w:footnote w:id="695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בל"ב אלקים.</w:t>
      </w:r>
      <w:r w:rsidRPr="00BD5E91">
        <w:rPr>
          <w:sz w:val="22"/>
          <w:szCs w:val="22"/>
          <w:rtl/>
        </w:rPr>
        <w:t xml:space="preserve"> ידוע שהן בבינה:</w:t>
      </w:r>
    </w:p>
  </w:footnote>
  <w:footnote w:id="695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ועד"א כו'.</w:t>
      </w:r>
      <w:r w:rsidRPr="00BD5E91">
        <w:rPr>
          <w:sz w:val="22"/>
          <w:szCs w:val="22"/>
          <w:rtl/>
        </w:rPr>
        <w:t xml:space="preserve"> מפ' הרקיע</w:t>
      </w:r>
      <w:r>
        <w:rPr>
          <w:rFonts w:hint="cs"/>
          <w:sz w:val="22"/>
          <w:szCs w:val="22"/>
          <w:rtl/>
        </w:rPr>
        <w:t>,</w:t>
      </w:r>
      <w:r w:rsidRPr="00BD5E91">
        <w:rPr>
          <w:sz w:val="22"/>
          <w:szCs w:val="22"/>
          <w:rtl/>
        </w:rPr>
        <w:t xml:space="preserve"> דז' רקיעין הן ז"ס ומה סיים קרא רקיע בעד"א לכן אמר שהוא עילאה כמש"ל נשאו נהרות ה' ת"ת ע"ג חו"ג:</w:t>
      </w:r>
    </w:p>
  </w:footnote>
  <w:footnote w:id="695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ואיהו באמצעיתא.</w:t>
      </w:r>
      <w:r w:rsidRPr="00BD5E91">
        <w:rPr>
          <w:sz w:val="22"/>
          <w:szCs w:val="22"/>
          <w:rtl/>
        </w:rPr>
        <w:t xml:space="preserve"> כמו חמה באמצע שבעה כוכבי לכת:</w:t>
      </w:r>
    </w:p>
  </w:footnote>
  <w:footnote w:id="695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כליל אש ומים.</w:t>
      </w:r>
      <w:r w:rsidRPr="00BD5E91">
        <w:rPr>
          <w:sz w:val="22"/>
          <w:szCs w:val="22"/>
          <w:rtl/>
        </w:rPr>
        <w:t xml:space="preserve"> כמש"ל כליל ימינא ושמאלא:</w:t>
      </w:r>
    </w:p>
  </w:footnote>
  <w:footnote w:id="695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מה דלא קרא הכי כו'.</w:t>
      </w:r>
      <w:r w:rsidRPr="00BD5E91">
        <w:rPr>
          <w:sz w:val="22"/>
          <w:szCs w:val="22"/>
          <w:rtl/>
        </w:rPr>
        <w:t xml:space="preserve"> ר"ל שבו נאמר ויקרא אלקים, בינה</w:t>
      </w:r>
      <w:r>
        <w:rPr>
          <w:rFonts w:hint="cs"/>
          <w:sz w:val="22"/>
          <w:szCs w:val="22"/>
          <w:rtl/>
        </w:rPr>
        <w:t>,</w:t>
      </w:r>
      <w:r w:rsidRPr="00BD5E91">
        <w:rPr>
          <w:sz w:val="22"/>
          <w:szCs w:val="22"/>
          <w:rtl/>
        </w:rPr>
        <w:t xml:space="preserve"> דבי' נהרא</w:t>
      </w:r>
      <w:r>
        <w:rPr>
          <w:rFonts w:hint="cs"/>
          <w:sz w:val="22"/>
          <w:szCs w:val="22"/>
          <w:rtl/>
        </w:rPr>
        <w:t>,</w:t>
      </w:r>
      <w:r w:rsidRPr="00BD5E91">
        <w:rPr>
          <w:sz w:val="22"/>
          <w:szCs w:val="22"/>
          <w:rtl/>
        </w:rPr>
        <w:t xml:space="preserve"> וע"י נעשה שמים כנ"ל וזהו ויקרא כו' שמים:</w:t>
      </w:r>
    </w:p>
  </w:footnote>
  <w:footnote w:id="696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דכלהו יזהירו מיניה.</w:t>
      </w:r>
      <w:r w:rsidRPr="00BD5E91">
        <w:rPr>
          <w:sz w:val="22"/>
          <w:szCs w:val="22"/>
          <w:rtl/>
        </w:rPr>
        <w:t xml:space="preserve"> ר"ל משם הויה:</w:t>
      </w:r>
    </w:p>
  </w:footnote>
  <w:footnote w:id="696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הכי יהון כו'.</w:t>
      </w:r>
      <w:r w:rsidRPr="00BD5E91">
        <w:rPr>
          <w:sz w:val="22"/>
          <w:szCs w:val="22"/>
          <w:rtl/>
        </w:rPr>
        <w:t xml:space="preserve"> והכל ע"י ר"מ</w:t>
      </w:r>
      <w:r>
        <w:rPr>
          <w:rFonts w:hint="cs"/>
          <w:sz w:val="22"/>
          <w:szCs w:val="22"/>
          <w:rtl/>
        </w:rPr>
        <w:t>,</w:t>
      </w:r>
      <w:r w:rsidRPr="00BD5E91">
        <w:rPr>
          <w:sz w:val="22"/>
          <w:szCs w:val="22"/>
          <w:rtl/>
        </w:rPr>
        <w:t xml:space="preserve"> מארי דחיבורא</w:t>
      </w:r>
      <w:r>
        <w:rPr>
          <w:rFonts w:hint="cs"/>
          <w:sz w:val="22"/>
          <w:szCs w:val="22"/>
          <w:rtl/>
        </w:rPr>
        <w:t>,</w:t>
      </w:r>
      <w:r w:rsidRPr="00BD5E91">
        <w:rPr>
          <w:sz w:val="22"/>
          <w:szCs w:val="22"/>
          <w:rtl/>
        </w:rPr>
        <w:t xml:space="preserve"> שבו נהרא שם הויה בדיוקנא דעד"א:</w:t>
      </w:r>
    </w:p>
  </w:footnote>
  <w:footnote w:id="696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רעיין קדישין.</w:t>
      </w:r>
      <w:r w:rsidRPr="00BD5E91">
        <w:rPr>
          <w:sz w:val="22"/>
          <w:szCs w:val="22"/>
          <w:rtl/>
        </w:rPr>
        <w:t xml:space="preserve"> שהן עם ר"מ שבעה רועין</w:t>
      </w:r>
      <w:r>
        <w:rPr>
          <w:rFonts w:hint="cs"/>
          <w:sz w:val="22"/>
          <w:szCs w:val="22"/>
          <w:rtl/>
        </w:rPr>
        <w:t>,</w:t>
      </w:r>
      <w:r w:rsidRPr="00BD5E91">
        <w:rPr>
          <w:sz w:val="22"/>
          <w:szCs w:val="22"/>
          <w:rtl/>
        </w:rPr>
        <w:t xml:space="preserve"> ז</w:t>
      </w:r>
      <w:r>
        <w:rPr>
          <w:rFonts w:hint="cs"/>
          <w:sz w:val="22"/>
          <w:szCs w:val="22"/>
          <w:rtl/>
        </w:rPr>
        <w:t>' ספירות,</w:t>
      </w:r>
      <w:r w:rsidRPr="00BD5E91">
        <w:rPr>
          <w:sz w:val="22"/>
          <w:szCs w:val="22"/>
          <w:rtl/>
        </w:rPr>
        <w:t xml:space="preserve"> ואדם</w:t>
      </w:r>
      <w:r>
        <w:rPr>
          <w:rFonts w:hint="cs"/>
          <w:sz w:val="22"/>
          <w:szCs w:val="22"/>
          <w:rtl/>
        </w:rPr>
        <w:t>,</w:t>
      </w:r>
      <w:r w:rsidRPr="00BD5E91">
        <w:rPr>
          <w:sz w:val="22"/>
          <w:szCs w:val="22"/>
          <w:rtl/>
        </w:rPr>
        <w:t xml:space="preserve"> חכמה</w:t>
      </w:r>
      <w:r>
        <w:rPr>
          <w:rFonts w:hint="cs"/>
          <w:sz w:val="22"/>
          <w:szCs w:val="22"/>
          <w:rtl/>
        </w:rPr>
        <w:t>,</w:t>
      </w:r>
      <w:r w:rsidRPr="00BD5E91">
        <w:rPr>
          <w:sz w:val="22"/>
          <w:szCs w:val="22"/>
          <w:rtl/>
        </w:rPr>
        <w:t xml:space="preserve"> ע</w:t>
      </w:r>
      <w:r>
        <w:rPr>
          <w:rFonts w:hint="cs"/>
          <w:sz w:val="22"/>
          <w:szCs w:val="22"/>
          <w:rtl/>
        </w:rPr>
        <w:t>ל גביהן</w:t>
      </w:r>
      <w:r w:rsidRPr="00BD5E91">
        <w:rPr>
          <w:sz w:val="22"/>
          <w:szCs w:val="22"/>
          <w:rtl/>
        </w:rPr>
        <w:t xml:space="preserve">: </w:t>
      </w:r>
    </w:p>
  </w:footnote>
  <w:footnote w:id="696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בארבע טסין.</w:t>
      </w:r>
      <w:r w:rsidRPr="00BD5E91">
        <w:rPr>
          <w:sz w:val="22"/>
          <w:szCs w:val="22"/>
          <w:rtl/>
        </w:rPr>
        <w:t xml:space="preserve"> בשמא דהויה ד' אותיות:</w:t>
      </w:r>
    </w:p>
  </w:footnote>
  <w:footnote w:id="696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דמקיימין כו' שהוא שמא דהויה.</w:t>
      </w:r>
      <w:r w:rsidRPr="00BD5E91">
        <w:rPr>
          <w:sz w:val="22"/>
          <w:szCs w:val="22"/>
          <w:rtl/>
        </w:rPr>
        <w:t xml:space="preserve"> כמ"ש מילה ר"ת מי יעלה לנו השמימה וס"ת יקו"ק:</w:t>
      </w:r>
    </w:p>
  </w:footnote>
  <w:footnote w:id="696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דביה כ"ו כו'.</w:t>
      </w:r>
      <w:r w:rsidRPr="00BD5E91">
        <w:rPr>
          <w:sz w:val="22"/>
          <w:szCs w:val="22"/>
          <w:rtl/>
        </w:rPr>
        <w:t xml:space="preserve"> ר"ל כל ד' מדרגות של שם הוי"ה. </w:t>
      </w:r>
      <w:r w:rsidRPr="00BD5E91">
        <w:rPr>
          <w:b/>
          <w:bCs/>
          <w:sz w:val="22"/>
          <w:szCs w:val="22"/>
          <w:rtl/>
        </w:rPr>
        <w:t>רז.</w:t>
      </w:r>
      <w:r w:rsidRPr="00BD5E91">
        <w:rPr>
          <w:sz w:val="22"/>
          <w:szCs w:val="22"/>
          <w:rtl/>
        </w:rPr>
        <w:t xml:space="preserve"> הוא אור כנ"ל מימינא כידוע אור וחשך. </w:t>
      </w:r>
      <w:r w:rsidRPr="00BD5E91">
        <w:rPr>
          <w:b/>
          <w:bCs/>
          <w:sz w:val="22"/>
          <w:szCs w:val="22"/>
          <w:rtl/>
        </w:rPr>
        <w:t>כ"ה.</w:t>
      </w:r>
      <w:r w:rsidRPr="00BD5E91">
        <w:rPr>
          <w:sz w:val="22"/>
          <w:szCs w:val="22"/>
          <w:rtl/>
        </w:rPr>
        <w:t xml:space="preserve"> משמאלא בינה. </w:t>
      </w:r>
      <w:r w:rsidRPr="00BD5E91">
        <w:rPr>
          <w:b/>
          <w:bCs/>
          <w:sz w:val="22"/>
          <w:szCs w:val="22"/>
          <w:rtl/>
        </w:rPr>
        <w:t>כ"ו.</w:t>
      </w:r>
      <w:r w:rsidRPr="00BD5E91">
        <w:rPr>
          <w:sz w:val="22"/>
          <w:szCs w:val="22"/>
          <w:rtl/>
        </w:rPr>
        <w:t xml:space="preserve"> הוא שם הויה עד"א. </w:t>
      </w:r>
      <w:r w:rsidRPr="00BD5E91">
        <w:rPr>
          <w:b/>
          <w:bCs/>
          <w:sz w:val="22"/>
          <w:szCs w:val="22"/>
          <w:rtl/>
        </w:rPr>
        <w:t>זו אחד.</w:t>
      </w:r>
      <w:r w:rsidRPr="00BD5E91">
        <w:rPr>
          <w:sz w:val="22"/>
          <w:szCs w:val="22"/>
          <w:rtl/>
        </w:rPr>
        <w:t xml:space="preserve"> שכינה כמ"ש לעיל:</w:t>
      </w:r>
    </w:p>
  </w:footnote>
  <w:footnote w:id="696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בקדמיתא.</w:t>
      </w:r>
      <w:r w:rsidRPr="00BD5E91">
        <w:rPr>
          <w:sz w:val="22"/>
          <w:szCs w:val="22"/>
          <w:rtl/>
        </w:rPr>
        <w:t xml:space="preserve"> כמ"ש בזוהר פנחס ובחיבורא קדמאה כו':</w:t>
      </w:r>
    </w:p>
  </w:footnote>
  <w:footnote w:id="696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דעלייהו כו'.</w:t>
      </w:r>
      <w:r w:rsidRPr="00BD5E91">
        <w:rPr>
          <w:sz w:val="22"/>
          <w:szCs w:val="22"/>
          <w:rtl/>
        </w:rPr>
        <w:t xml:space="preserve"> שעליהן נהרא מז' רקיעין של עד"א שעליה</w:t>
      </w:r>
      <w:r>
        <w:rPr>
          <w:rFonts w:hint="cs"/>
          <w:sz w:val="22"/>
          <w:szCs w:val="22"/>
          <w:rtl/>
        </w:rPr>
        <w:t>,</w:t>
      </w:r>
      <w:r w:rsidRPr="00BD5E91">
        <w:rPr>
          <w:sz w:val="22"/>
          <w:szCs w:val="22"/>
          <w:rtl/>
        </w:rPr>
        <w:t xml:space="preserve"> והוא ע"י ספר הזוהר</w:t>
      </w:r>
      <w:r>
        <w:rPr>
          <w:rFonts w:hint="cs"/>
          <w:sz w:val="22"/>
          <w:szCs w:val="22"/>
          <w:rtl/>
        </w:rPr>
        <w:t>,</w:t>
      </w:r>
      <w:r w:rsidRPr="00BD5E91">
        <w:rPr>
          <w:sz w:val="22"/>
          <w:szCs w:val="22"/>
          <w:rtl/>
        </w:rPr>
        <w:t xml:space="preserve"> זוהר הרקיע</w:t>
      </w:r>
      <w:r>
        <w:rPr>
          <w:rFonts w:hint="cs"/>
          <w:sz w:val="22"/>
          <w:szCs w:val="22"/>
          <w:rtl/>
        </w:rPr>
        <w:t>,</w:t>
      </w:r>
      <w:r w:rsidRPr="00BD5E91">
        <w:rPr>
          <w:sz w:val="22"/>
          <w:szCs w:val="22"/>
          <w:rtl/>
        </w:rPr>
        <w:t xml:space="preserve"> ובהון נהרא מסט' דילה:</w:t>
      </w:r>
    </w:p>
  </w:footnote>
  <w:footnote w:id="696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והמשכילים יזהירו לאפיקו כו'.</w:t>
      </w:r>
      <w:r w:rsidRPr="00BD5E91">
        <w:rPr>
          <w:sz w:val="22"/>
          <w:szCs w:val="22"/>
          <w:rtl/>
        </w:rPr>
        <w:t xml:space="preserve"> כמש"ל ד</w:t>
      </w:r>
      <w:r>
        <w:rPr>
          <w:rFonts w:hint="cs"/>
          <w:sz w:val="22"/>
          <w:szCs w:val="22"/>
          <w:rtl/>
        </w:rPr>
        <w:t>ף</w:t>
      </w:r>
      <w:r w:rsidRPr="00BD5E91">
        <w:rPr>
          <w:sz w:val="22"/>
          <w:szCs w:val="22"/>
          <w:rtl/>
        </w:rPr>
        <w:t xml:space="preserve"> פ"א א' משכילים אלין אתוון דאורייתא יזהירו אלין נקודין כו' ע"ש כל המאמר</w:t>
      </w:r>
      <w:r>
        <w:rPr>
          <w:rFonts w:hint="cs"/>
          <w:sz w:val="22"/>
          <w:szCs w:val="22"/>
          <w:rtl/>
        </w:rPr>
        <w:t>.</w:t>
      </w:r>
      <w:r w:rsidRPr="00BD5E91">
        <w:rPr>
          <w:sz w:val="22"/>
          <w:szCs w:val="22"/>
          <w:rtl/>
        </w:rPr>
        <w:t xml:space="preserve"> ובפ' בראשית ד' ט"ו ב' והמשכילים יזהירו כגוונא כו' ע"ש</w:t>
      </w:r>
      <w:r>
        <w:rPr>
          <w:rFonts w:hint="cs"/>
          <w:sz w:val="22"/>
          <w:szCs w:val="22"/>
          <w:rtl/>
        </w:rPr>
        <w:t xml:space="preserve"> [וז"ל: </w:t>
      </w:r>
      <w:r w:rsidRPr="00BA5488">
        <w:rPr>
          <w:sz w:val="22"/>
          <w:szCs w:val="22"/>
          <w:rtl/>
        </w:rPr>
        <w:t>וְהַמַּשְׂכִּילִים יַזְהִירוּ, אַתְוָון וְנִקּוּדֵי. כְּזֹהַר נִגּוּנָא דְּטַעֲמֵי. הָרָקִיעַ אִתְפַּשְׁטוּתָא דְּנִגּוּנָא כְּגוֹן אִנּוּן דְּמִתְפַּשְׁטֵי בִּפְשִׁיטוּ וְאָזְלוּ בְּנִגּוּנָא. וּמַצְדִיקֵי הָרַבִּים אִנּוּן פִּסּוּקֵי דְטַעֲמֵי דְּפַסְקֵי בְּמַטְלָנֵיהוֹן דִּבְגִין כָּךְ אִשְׁתְּמַע מִלָּה. יַזְהִירוּ אַתְוָון וְנִקּוּדֵי וְנַהֲרִין כְּחֲדָא בְּמַטְלָנִין (במטלניהון) בְּרָזָא דִסְתִימוּ בְּמַטְלָנוּתָא (נ''א באנון) כְּאִנּוּן שְׁבִילִין סְתִימִ</w:t>
      </w:r>
      <w:r>
        <w:rPr>
          <w:sz w:val="22"/>
          <w:szCs w:val="22"/>
          <w:rtl/>
        </w:rPr>
        <w:t>ין. מֵהַאי אִתְפַּשַּׁט כֹּלָּא</w:t>
      </w:r>
      <w:r>
        <w:rPr>
          <w:rFonts w:hint="cs"/>
          <w:sz w:val="22"/>
          <w:szCs w:val="22"/>
          <w:rtl/>
        </w:rPr>
        <w:t xml:space="preserve">] </w:t>
      </w:r>
      <w:r w:rsidRPr="00BD5E91">
        <w:rPr>
          <w:sz w:val="22"/>
          <w:szCs w:val="22"/>
          <w:rtl/>
        </w:rPr>
        <w:t>וז"ש והמשכילים לאפיקו דאתוון כו':</w:t>
      </w:r>
    </w:p>
  </w:footnote>
  <w:footnote w:id="696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דאתמשה במשחתא רישא וגופא כו'.</w:t>
      </w:r>
      <w:r w:rsidRPr="00BD5E91">
        <w:rPr>
          <w:sz w:val="22"/>
          <w:szCs w:val="22"/>
          <w:rtl/>
        </w:rPr>
        <w:t xml:space="preserve"> ר"ל שהן באורח שכל</w:t>
      </w:r>
      <w:r>
        <w:rPr>
          <w:rFonts w:hint="cs"/>
          <w:sz w:val="22"/>
          <w:szCs w:val="22"/>
          <w:rtl/>
        </w:rPr>
        <w:t>,</w:t>
      </w:r>
      <w:r w:rsidRPr="00BD5E91">
        <w:rPr>
          <w:sz w:val="22"/>
          <w:szCs w:val="22"/>
          <w:rtl/>
        </w:rPr>
        <w:t xml:space="preserve"> שהכל במדה</w:t>
      </w:r>
      <w:r>
        <w:rPr>
          <w:rFonts w:hint="cs"/>
          <w:sz w:val="22"/>
          <w:szCs w:val="22"/>
          <w:rtl/>
        </w:rPr>
        <w:t>,</w:t>
      </w:r>
      <w:r w:rsidRPr="00BD5E91">
        <w:rPr>
          <w:sz w:val="22"/>
          <w:szCs w:val="22"/>
          <w:rtl/>
        </w:rPr>
        <w:t xml:space="preserve"> גוף אותיות</w:t>
      </w:r>
      <w:r>
        <w:rPr>
          <w:rFonts w:hint="cs"/>
          <w:sz w:val="22"/>
          <w:szCs w:val="22"/>
          <w:rtl/>
        </w:rPr>
        <w:t>,</w:t>
      </w:r>
      <w:r w:rsidRPr="00BD5E91">
        <w:rPr>
          <w:sz w:val="22"/>
          <w:szCs w:val="22"/>
          <w:rtl/>
        </w:rPr>
        <w:t xml:space="preserve"> וראשיהון למעלה שהן הקוצין ותגין</w:t>
      </w:r>
      <w:r>
        <w:rPr>
          <w:rFonts w:hint="cs"/>
          <w:sz w:val="22"/>
          <w:szCs w:val="22"/>
          <w:rtl/>
        </w:rPr>
        <w:t>.</w:t>
      </w:r>
      <w:r w:rsidRPr="00BD5E91">
        <w:rPr>
          <w:sz w:val="22"/>
          <w:szCs w:val="22"/>
          <w:rtl/>
        </w:rPr>
        <w:t xml:space="preserve"> כמו י' של שם</w:t>
      </w:r>
      <w:r>
        <w:rPr>
          <w:rFonts w:hint="cs"/>
          <w:sz w:val="22"/>
          <w:szCs w:val="22"/>
          <w:rtl/>
        </w:rPr>
        <w:t>,</w:t>
      </w:r>
      <w:r w:rsidRPr="00BD5E91">
        <w:rPr>
          <w:sz w:val="22"/>
          <w:szCs w:val="22"/>
          <w:rtl/>
        </w:rPr>
        <w:t xml:space="preserve"> רישא וגזעא ושבילא</w:t>
      </w:r>
      <w:r>
        <w:rPr>
          <w:rFonts w:hint="cs"/>
          <w:sz w:val="22"/>
          <w:szCs w:val="22"/>
          <w:rtl/>
        </w:rPr>
        <w:t>,</w:t>
      </w:r>
      <w:r w:rsidRPr="00BD5E91">
        <w:rPr>
          <w:sz w:val="22"/>
          <w:szCs w:val="22"/>
          <w:rtl/>
        </w:rPr>
        <w:t xml:space="preserve"> שהוא הפלא</w:t>
      </w:r>
      <w:r>
        <w:rPr>
          <w:rFonts w:hint="cs"/>
          <w:sz w:val="22"/>
          <w:szCs w:val="22"/>
          <w:rtl/>
        </w:rPr>
        <w:t>,</w:t>
      </w:r>
      <w:r w:rsidRPr="00BD5E91">
        <w:rPr>
          <w:sz w:val="22"/>
          <w:szCs w:val="22"/>
          <w:rtl/>
        </w:rPr>
        <w:t xml:space="preserve"> ועל שמו נקראו נתיבות פליאות חכמה</w:t>
      </w:r>
      <w:r>
        <w:rPr>
          <w:rFonts w:hint="cs"/>
          <w:sz w:val="22"/>
          <w:szCs w:val="22"/>
          <w:rtl/>
        </w:rPr>
        <w:t>.</w:t>
      </w:r>
      <w:r w:rsidRPr="00BD5E91">
        <w:rPr>
          <w:sz w:val="22"/>
          <w:szCs w:val="22"/>
          <w:rtl/>
        </w:rPr>
        <w:t xml:space="preserve"> וזנביהון למטה שולי האותיות עוקציהון שלמטה:</w:t>
      </w:r>
    </w:p>
  </w:footnote>
  <w:footnote w:id="697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יתבי כגופא בלא רוחא.</w:t>
      </w:r>
      <w:r w:rsidRPr="00BD5E91">
        <w:rPr>
          <w:sz w:val="22"/>
          <w:szCs w:val="22"/>
          <w:rtl/>
        </w:rPr>
        <w:t xml:space="preserve"> כנ"ל האותיות הן גוף בלא רוח שאין יכולין לנענע בלא נקודות כמו גוף בלא רוח כמ"ש בז"ח ש"ה ד' נ"ז ע"ד דאתוון כולהו רשימין ברזא כו' ר"ל שנקרא סוד כמ"ש בד' נ"ח ע"א בשעתא דנפקי אתוון מגו עלמא דאתי כו'</w:t>
      </w:r>
      <w:r>
        <w:rPr>
          <w:rFonts w:hint="cs"/>
          <w:sz w:val="22"/>
          <w:szCs w:val="22"/>
          <w:rtl/>
        </w:rPr>
        <w:t>.</w:t>
      </w:r>
      <w:r w:rsidRPr="00BD5E91">
        <w:rPr>
          <w:sz w:val="22"/>
          <w:szCs w:val="22"/>
          <w:rtl/>
        </w:rPr>
        <w:t xml:space="preserve"> ואקרון גופי תורה</w:t>
      </w:r>
      <w:r>
        <w:rPr>
          <w:rFonts w:hint="cs"/>
          <w:sz w:val="22"/>
          <w:szCs w:val="22"/>
          <w:rtl/>
        </w:rPr>
        <w:t>,</w:t>
      </w:r>
      <w:r w:rsidRPr="00BD5E91">
        <w:rPr>
          <w:sz w:val="22"/>
          <w:szCs w:val="22"/>
          <w:rtl/>
        </w:rPr>
        <w:t xml:space="preserve"> שהן גוף כנ"ל:</w:t>
      </w:r>
      <w:r w:rsidRPr="00BD5E91">
        <w:rPr>
          <w:b/>
          <w:bCs/>
          <w:sz w:val="22"/>
          <w:szCs w:val="22"/>
          <w:rtl/>
        </w:rPr>
        <w:t xml:space="preserve"> נקודין אינון נפקין כו'. </w:t>
      </w:r>
      <w:r w:rsidRPr="00BD5E91">
        <w:rPr>
          <w:sz w:val="22"/>
          <w:szCs w:val="22"/>
          <w:rtl/>
        </w:rPr>
        <w:t>שהרוח בא מחכמה אל ז"א</w:t>
      </w:r>
      <w:r>
        <w:rPr>
          <w:rFonts w:hint="cs"/>
          <w:sz w:val="22"/>
          <w:szCs w:val="22"/>
          <w:rtl/>
        </w:rPr>
        <w:t>,</w:t>
      </w:r>
      <w:r w:rsidRPr="00BD5E91">
        <w:rPr>
          <w:sz w:val="22"/>
          <w:szCs w:val="22"/>
          <w:rtl/>
        </w:rPr>
        <w:t xml:space="preserve"> ונפש מבינה אל מל'</w:t>
      </w:r>
      <w:r>
        <w:rPr>
          <w:rFonts w:hint="cs"/>
          <w:sz w:val="22"/>
          <w:szCs w:val="22"/>
          <w:rtl/>
        </w:rPr>
        <w:t>.</w:t>
      </w:r>
      <w:r w:rsidRPr="00BD5E91">
        <w:rPr>
          <w:sz w:val="22"/>
          <w:szCs w:val="22"/>
          <w:rtl/>
        </w:rPr>
        <w:t xml:space="preserve"> עיין בתיקונים ת"ה ט"ז ב' טעמי אינון מכתרא כו' ע"ש</w:t>
      </w:r>
      <w:r>
        <w:rPr>
          <w:rFonts w:hint="cs"/>
          <w:sz w:val="22"/>
          <w:szCs w:val="22"/>
          <w:rtl/>
        </w:rPr>
        <w:t>.</w:t>
      </w:r>
      <w:r w:rsidRPr="00BD5E91">
        <w:rPr>
          <w:sz w:val="22"/>
          <w:szCs w:val="22"/>
          <w:rtl/>
        </w:rPr>
        <w:t xml:space="preserve"> בשעתא דאיתברי אדם אתוון כולהו אתבריאו כו'</w:t>
      </w:r>
      <w:r>
        <w:rPr>
          <w:rFonts w:hint="cs"/>
          <w:sz w:val="22"/>
          <w:szCs w:val="22"/>
          <w:rtl/>
        </w:rPr>
        <w:t>,</w:t>
      </w:r>
      <w:r w:rsidRPr="00BD5E91">
        <w:rPr>
          <w:sz w:val="22"/>
          <w:szCs w:val="22"/>
          <w:rtl/>
        </w:rPr>
        <w:t xml:space="preserve"> בשעתא דאתנשיב כו'</w:t>
      </w:r>
      <w:r>
        <w:rPr>
          <w:rFonts w:hint="cs"/>
          <w:sz w:val="22"/>
          <w:szCs w:val="22"/>
          <w:rtl/>
        </w:rPr>
        <w:t>,</w:t>
      </w:r>
      <w:r w:rsidRPr="00BD5E91">
        <w:rPr>
          <w:sz w:val="22"/>
          <w:szCs w:val="22"/>
          <w:rtl/>
        </w:rPr>
        <w:t xml:space="preserve"> בשעתא דאתתקן בסוכלתנו כו'. והוא נשמה כידוע. ושם נ"ח ע"ב וע"ג בשעת</w:t>
      </w:r>
      <w:r>
        <w:rPr>
          <w:rFonts w:hint="cs"/>
          <w:sz w:val="22"/>
          <w:szCs w:val="22"/>
          <w:rtl/>
        </w:rPr>
        <w:t>א</w:t>
      </w:r>
      <w:r w:rsidRPr="00BD5E91">
        <w:rPr>
          <w:sz w:val="22"/>
          <w:szCs w:val="22"/>
          <w:rtl/>
        </w:rPr>
        <w:t xml:space="preserve"> דנפקי אתוון מגו רזא עילאה כו' עד סוף המאמר:</w:t>
      </w:r>
    </w:p>
  </w:footnote>
  <w:footnote w:id="697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נפשא בסוכלתנו דגשא ורפיא זמינין לקבלא רוחא.</w:t>
      </w:r>
      <w:r w:rsidRPr="00BD5E91">
        <w:rPr>
          <w:sz w:val="22"/>
          <w:szCs w:val="22"/>
          <w:rtl/>
        </w:rPr>
        <w:t xml:space="preserve"> ר"ל דגש ורפה של האותיות הן נפש של האותיות</w:t>
      </w:r>
      <w:r>
        <w:rPr>
          <w:rFonts w:hint="cs"/>
          <w:sz w:val="22"/>
          <w:szCs w:val="22"/>
          <w:rtl/>
        </w:rPr>
        <w:t>,</w:t>
      </w:r>
      <w:r w:rsidRPr="00BD5E91">
        <w:rPr>
          <w:sz w:val="22"/>
          <w:szCs w:val="22"/>
          <w:rtl/>
        </w:rPr>
        <w:t xml:space="preserve"> שאז זמינין לקבלא רוחא כמו גוף</w:t>
      </w:r>
      <w:r>
        <w:rPr>
          <w:rFonts w:hint="cs"/>
          <w:sz w:val="22"/>
          <w:szCs w:val="22"/>
          <w:rtl/>
        </w:rPr>
        <w:t>,</w:t>
      </w:r>
      <w:r w:rsidRPr="00BD5E91">
        <w:rPr>
          <w:sz w:val="22"/>
          <w:szCs w:val="22"/>
          <w:rtl/>
        </w:rPr>
        <w:t xml:space="preserve"> שקודם צריך לנפש הטבעית שהיא נפש הצומחת ואז זמין לקבל רוח</w:t>
      </w:r>
      <w:r>
        <w:rPr>
          <w:rFonts w:hint="cs"/>
          <w:sz w:val="22"/>
          <w:szCs w:val="22"/>
          <w:rtl/>
        </w:rPr>
        <w:t>,</w:t>
      </w:r>
      <w:r w:rsidRPr="00BD5E91">
        <w:rPr>
          <w:sz w:val="22"/>
          <w:szCs w:val="22"/>
          <w:rtl/>
        </w:rPr>
        <w:t xml:space="preserve"> ועדיין אינו יכול לנענע עד בא הרוח</w:t>
      </w:r>
      <w:r>
        <w:rPr>
          <w:rFonts w:hint="cs"/>
          <w:sz w:val="22"/>
          <w:szCs w:val="22"/>
          <w:rtl/>
        </w:rPr>
        <w:t>,</w:t>
      </w:r>
      <w:r w:rsidRPr="00BD5E91">
        <w:rPr>
          <w:sz w:val="22"/>
          <w:szCs w:val="22"/>
          <w:rtl/>
        </w:rPr>
        <w:t xml:space="preserve"> כן הוא כאן ובלא דגש ורפה אין יכולים לקבל הנקודות כי אין האות שלם</w:t>
      </w:r>
      <w:r>
        <w:rPr>
          <w:rFonts w:hint="cs"/>
          <w:sz w:val="22"/>
          <w:szCs w:val="22"/>
          <w:rtl/>
        </w:rPr>
        <w:t>,</w:t>
      </w:r>
      <w:r w:rsidRPr="00BD5E91">
        <w:rPr>
          <w:sz w:val="22"/>
          <w:szCs w:val="22"/>
          <w:rtl/>
        </w:rPr>
        <w:t xml:space="preserve"> ואינו בשלימות בלא דגש ורפה</w:t>
      </w:r>
      <w:r>
        <w:rPr>
          <w:rFonts w:hint="cs"/>
          <w:sz w:val="22"/>
          <w:szCs w:val="22"/>
          <w:rtl/>
        </w:rPr>
        <w:t>,</w:t>
      </w:r>
      <w:r w:rsidRPr="00BD5E91">
        <w:rPr>
          <w:sz w:val="22"/>
          <w:szCs w:val="22"/>
          <w:rtl/>
        </w:rPr>
        <w:t xml:space="preserve"> וז"ש והחיות רצוא ושוב בדגש ורפה</w:t>
      </w:r>
      <w:r>
        <w:rPr>
          <w:rFonts w:hint="cs"/>
          <w:sz w:val="22"/>
          <w:szCs w:val="22"/>
          <w:rtl/>
        </w:rPr>
        <w:t>,</w:t>
      </w:r>
      <w:r w:rsidRPr="00BD5E91">
        <w:rPr>
          <w:sz w:val="22"/>
          <w:szCs w:val="22"/>
          <w:rtl/>
        </w:rPr>
        <w:t xml:space="preserve"> שהוא הדם הרץ בגידין ודופקין שבה הנפש כמו שכתוב (דברים יב כג) כי הדם הוא הנפש. ודע</w:t>
      </w:r>
      <w:r>
        <w:rPr>
          <w:rFonts w:hint="cs"/>
          <w:sz w:val="22"/>
          <w:szCs w:val="22"/>
          <w:rtl/>
        </w:rPr>
        <w:t>,</w:t>
      </w:r>
      <w:r w:rsidRPr="00BD5E91">
        <w:rPr>
          <w:sz w:val="22"/>
          <w:szCs w:val="22"/>
          <w:rtl/>
        </w:rPr>
        <w:t xml:space="preserve"> כי בכל האות אפילו שאינו מבג"ד כפר"ת הוא בדגש או ברפה</w:t>
      </w:r>
      <w:r>
        <w:rPr>
          <w:rFonts w:hint="cs"/>
          <w:sz w:val="22"/>
          <w:szCs w:val="22"/>
          <w:rtl/>
        </w:rPr>
        <w:t>,</w:t>
      </w:r>
      <w:r w:rsidRPr="00BD5E91">
        <w:rPr>
          <w:sz w:val="22"/>
          <w:szCs w:val="22"/>
          <w:rtl/>
        </w:rPr>
        <w:t xml:space="preserve"> כי בלתי זה אין אות</w:t>
      </w:r>
      <w:r>
        <w:rPr>
          <w:rFonts w:hint="cs"/>
          <w:sz w:val="22"/>
          <w:szCs w:val="22"/>
          <w:rtl/>
        </w:rPr>
        <w:t>.</w:t>
      </w:r>
      <w:r w:rsidRPr="00BD5E91">
        <w:rPr>
          <w:sz w:val="22"/>
          <w:szCs w:val="22"/>
          <w:rtl/>
        </w:rPr>
        <w:t xml:space="preserve"> וכ"ה בספרים הקדמונים בכל אות דגש</w:t>
      </w:r>
      <w:r>
        <w:rPr>
          <w:rFonts w:hint="cs"/>
          <w:sz w:val="22"/>
          <w:szCs w:val="22"/>
          <w:rtl/>
        </w:rPr>
        <w:t>,</w:t>
      </w:r>
      <w:r w:rsidRPr="00BD5E91">
        <w:rPr>
          <w:sz w:val="22"/>
          <w:szCs w:val="22"/>
          <w:rtl/>
        </w:rPr>
        <w:t xml:space="preserve"> בין דגש חזק בין דגש קל</w:t>
      </w:r>
      <w:r>
        <w:rPr>
          <w:rFonts w:hint="cs"/>
          <w:sz w:val="22"/>
          <w:szCs w:val="22"/>
          <w:rtl/>
        </w:rPr>
        <w:t>,</w:t>
      </w:r>
      <w:r w:rsidRPr="00BD5E91">
        <w:rPr>
          <w:sz w:val="22"/>
          <w:szCs w:val="22"/>
          <w:rtl/>
        </w:rPr>
        <w:t xml:space="preserve"> וכן היה בכל אות שאינה דגושה</w:t>
      </w:r>
      <w:r>
        <w:rPr>
          <w:rFonts w:hint="cs"/>
          <w:sz w:val="22"/>
          <w:szCs w:val="22"/>
          <w:rtl/>
        </w:rPr>
        <w:t>,</w:t>
      </w:r>
      <w:r w:rsidRPr="00BD5E91">
        <w:rPr>
          <w:sz w:val="22"/>
          <w:szCs w:val="22"/>
          <w:rtl/>
        </w:rPr>
        <w:t xml:space="preserve"> רפה</w:t>
      </w:r>
      <w:r>
        <w:rPr>
          <w:rFonts w:hint="cs"/>
          <w:sz w:val="22"/>
          <w:szCs w:val="22"/>
          <w:rtl/>
        </w:rPr>
        <w:t>,</w:t>
      </w:r>
      <w:r w:rsidRPr="00BD5E91">
        <w:rPr>
          <w:sz w:val="22"/>
          <w:szCs w:val="22"/>
          <w:rtl/>
        </w:rPr>
        <w:t xml:space="preserve"> והוא קו ע"ג האות מלמעלה</w:t>
      </w:r>
      <w:r>
        <w:rPr>
          <w:rFonts w:hint="cs"/>
          <w:sz w:val="22"/>
          <w:szCs w:val="22"/>
          <w:rtl/>
        </w:rPr>
        <w:t>.</w:t>
      </w:r>
      <w:r w:rsidRPr="00BD5E91">
        <w:rPr>
          <w:sz w:val="22"/>
          <w:szCs w:val="22"/>
          <w:rtl/>
        </w:rPr>
        <w:t xml:space="preserve"> והשמיטו האחרונים דגשים קלים מאותיות שאינן בג"ד כפר"ת</w:t>
      </w:r>
      <w:r>
        <w:rPr>
          <w:rFonts w:hint="cs"/>
          <w:sz w:val="22"/>
          <w:szCs w:val="22"/>
          <w:rtl/>
        </w:rPr>
        <w:t>,</w:t>
      </w:r>
      <w:r w:rsidRPr="00BD5E91">
        <w:rPr>
          <w:sz w:val="22"/>
          <w:szCs w:val="22"/>
          <w:rtl/>
        </w:rPr>
        <w:t xml:space="preserve"> ורפוים מכל האותיות. ואמר </w:t>
      </w:r>
      <w:r w:rsidRPr="00EB1F46">
        <w:rPr>
          <w:b/>
          <w:bCs/>
          <w:sz w:val="22"/>
          <w:szCs w:val="22"/>
          <w:rtl/>
        </w:rPr>
        <w:t>בסוכלתנו</w:t>
      </w:r>
      <w:r w:rsidRPr="00BD5E91">
        <w:rPr>
          <w:sz w:val="22"/>
          <w:szCs w:val="22"/>
          <w:rtl/>
        </w:rPr>
        <w:t>. ר"ל אעפ"י שבלא רוחא אין ניכר הנפש</w:t>
      </w:r>
      <w:r>
        <w:rPr>
          <w:rFonts w:hint="cs"/>
          <w:sz w:val="22"/>
          <w:szCs w:val="22"/>
          <w:rtl/>
        </w:rPr>
        <w:t>,</w:t>
      </w:r>
      <w:r w:rsidRPr="00BD5E91">
        <w:rPr>
          <w:sz w:val="22"/>
          <w:szCs w:val="22"/>
          <w:rtl/>
        </w:rPr>
        <w:t xml:space="preserve"> מ"מ באורח שכל הוא ניכר</w:t>
      </w:r>
      <w:r>
        <w:rPr>
          <w:rFonts w:hint="cs"/>
          <w:sz w:val="22"/>
          <w:szCs w:val="22"/>
          <w:rtl/>
        </w:rPr>
        <w:t>,</w:t>
      </w:r>
      <w:r w:rsidRPr="00BD5E91">
        <w:rPr>
          <w:sz w:val="22"/>
          <w:szCs w:val="22"/>
          <w:rtl/>
        </w:rPr>
        <w:t xml:space="preserve"> ועכשיו הוא זמין לקבל הנקודות שהן רוח:</w:t>
      </w:r>
    </w:p>
  </w:footnote>
  <w:footnote w:id="697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רוחא נקודי כו' עד ולאחורא.</w:t>
      </w:r>
      <w:r w:rsidRPr="00BD5E91">
        <w:rPr>
          <w:sz w:val="22"/>
          <w:szCs w:val="22"/>
          <w:rtl/>
        </w:rPr>
        <w:t xml:space="preserve"> ר"ל הנקודות הן רוח החיים של האותיות לנענע אותן אבל עדיין אינן יודעים לאיזה צד ילכו</w:t>
      </w:r>
      <w:r>
        <w:rPr>
          <w:rFonts w:hint="cs"/>
          <w:sz w:val="22"/>
          <w:szCs w:val="22"/>
          <w:rtl/>
        </w:rPr>
        <w:t>,</w:t>
      </w:r>
      <w:r w:rsidRPr="00BD5E91">
        <w:rPr>
          <w:sz w:val="22"/>
          <w:szCs w:val="22"/>
          <w:rtl/>
        </w:rPr>
        <w:t xml:space="preserve"> שהן עדיין בלא נשמה שהיא השכל</w:t>
      </w:r>
      <w:r>
        <w:rPr>
          <w:rFonts w:hint="cs"/>
          <w:sz w:val="22"/>
          <w:szCs w:val="22"/>
          <w:rtl/>
        </w:rPr>
        <w:t>,</w:t>
      </w:r>
      <w:r w:rsidRPr="00BD5E91">
        <w:rPr>
          <w:sz w:val="22"/>
          <w:szCs w:val="22"/>
          <w:rtl/>
        </w:rPr>
        <w:t xml:space="preserve"> כמו התינוק משנולד</w:t>
      </w:r>
      <w:r>
        <w:rPr>
          <w:rFonts w:hint="cs"/>
          <w:sz w:val="22"/>
          <w:szCs w:val="22"/>
          <w:rtl/>
        </w:rPr>
        <w:t>,</w:t>
      </w:r>
      <w:r w:rsidRPr="00BD5E91">
        <w:rPr>
          <w:sz w:val="22"/>
          <w:szCs w:val="22"/>
          <w:rtl/>
        </w:rPr>
        <w:t xml:space="preserve"> בו הנפש בפועל</w:t>
      </w:r>
      <w:r>
        <w:rPr>
          <w:rFonts w:hint="cs"/>
          <w:sz w:val="22"/>
          <w:szCs w:val="22"/>
          <w:rtl/>
        </w:rPr>
        <w:t>,</w:t>
      </w:r>
      <w:r w:rsidRPr="00BD5E91">
        <w:rPr>
          <w:sz w:val="22"/>
          <w:szCs w:val="22"/>
          <w:rtl/>
        </w:rPr>
        <w:t xml:space="preserve"> ואין לו רוח בפועל לנענע</w:t>
      </w:r>
      <w:r>
        <w:rPr>
          <w:rFonts w:hint="cs"/>
          <w:sz w:val="22"/>
          <w:szCs w:val="22"/>
          <w:rtl/>
        </w:rPr>
        <w:t>.</w:t>
      </w:r>
      <w:r w:rsidRPr="00BD5E91">
        <w:rPr>
          <w:sz w:val="22"/>
          <w:szCs w:val="22"/>
          <w:rtl/>
        </w:rPr>
        <w:t xml:space="preserve"> ואח"כ יש לו ג"כ רוח ואין לו שכל לנענע למה שצריך</w:t>
      </w:r>
      <w:r>
        <w:rPr>
          <w:rFonts w:hint="cs"/>
          <w:sz w:val="22"/>
          <w:szCs w:val="22"/>
          <w:rtl/>
        </w:rPr>
        <w:t>.</w:t>
      </w:r>
      <w:r w:rsidRPr="00BD5E91">
        <w:rPr>
          <w:sz w:val="22"/>
          <w:szCs w:val="22"/>
          <w:rtl/>
        </w:rPr>
        <w:t xml:space="preserve"> וכן כאן בלא טעמים</w:t>
      </w:r>
      <w:r>
        <w:rPr>
          <w:rFonts w:hint="cs"/>
          <w:sz w:val="22"/>
          <w:szCs w:val="22"/>
          <w:rtl/>
        </w:rPr>
        <w:t>.</w:t>
      </w:r>
      <w:r w:rsidRPr="00BD5E91">
        <w:rPr>
          <w:sz w:val="22"/>
          <w:szCs w:val="22"/>
          <w:rtl/>
        </w:rPr>
        <w:t xml:space="preserve"> וזהו יזהירו הנקודות רוח וז"ש יזהירו ר"ל יזהירו הנקודות:</w:t>
      </w:r>
    </w:p>
  </w:footnote>
  <w:footnote w:id="697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כזוהרא דנשמתא כו' עד דלא יסטון מיניה.</w:t>
      </w:r>
      <w:r w:rsidRPr="00BD5E91">
        <w:rPr>
          <w:sz w:val="22"/>
          <w:szCs w:val="22"/>
          <w:rtl/>
        </w:rPr>
        <w:t xml:space="preserve"> ר"ל כזוהר הרקיע האמור בפסוק</w:t>
      </w:r>
      <w:r>
        <w:rPr>
          <w:rFonts w:hint="cs"/>
          <w:sz w:val="22"/>
          <w:szCs w:val="22"/>
          <w:rtl/>
        </w:rPr>
        <w:t>,</w:t>
      </w:r>
      <w:r w:rsidRPr="00BD5E91">
        <w:rPr>
          <w:sz w:val="22"/>
          <w:szCs w:val="22"/>
          <w:rtl/>
        </w:rPr>
        <w:t xml:space="preserve"> הוא נשמה</w:t>
      </w:r>
      <w:r>
        <w:rPr>
          <w:rFonts w:hint="cs"/>
          <w:sz w:val="22"/>
          <w:szCs w:val="22"/>
          <w:rtl/>
        </w:rPr>
        <w:t>.</w:t>
      </w:r>
      <w:r w:rsidRPr="00BD5E91">
        <w:rPr>
          <w:sz w:val="22"/>
          <w:szCs w:val="22"/>
          <w:rtl/>
        </w:rPr>
        <w:t xml:space="preserve"> והוא הטעמים שע"י יודעים באיזה צד לילך</w:t>
      </w:r>
      <w:r>
        <w:rPr>
          <w:rFonts w:hint="cs"/>
          <w:sz w:val="22"/>
          <w:szCs w:val="22"/>
          <w:rtl/>
        </w:rPr>
        <w:t>.</w:t>
      </w:r>
      <w:r w:rsidRPr="00BD5E91">
        <w:rPr>
          <w:sz w:val="22"/>
          <w:szCs w:val="22"/>
          <w:rtl/>
        </w:rPr>
        <w:t xml:space="preserve"> ור"ל תנועי</w:t>
      </w:r>
      <w:r>
        <w:rPr>
          <w:rFonts w:hint="cs"/>
          <w:sz w:val="22"/>
          <w:szCs w:val="22"/>
          <w:rtl/>
        </w:rPr>
        <w:t>,</w:t>
      </w:r>
      <w:r w:rsidRPr="00BD5E91">
        <w:rPr>
          <w:sz w:val="22"/>
          <w:szCs w:val="22"/>
          <w:rtl/>
        </w:rPr>
        <w:t xml:space="preserve"> טעמים. ואמרו בז"ח כי ע"י הרקיע שעל גבי החיות הולכים החיות בכל צד שהרקיע הולך שם הם הולכין:</w:t>
      </w:r>
    </w:p>
  </w:footnote>
  <w:footnote w:id="697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כזוהר עד חיותא.</w:t>
      </w:r>
      <w:r w:rsidRPr="00BD5E91">
        <w:rPr>
          <w:sz w:val="22"/>
          <w:szCs w:val="22"/>
          <w:rtl/>
        </w:rPr>
        <w:t xml:space="preserve"> ר"ל שהאופנים הן נפש, וחיות - רוח, אל אשר יהיה שמה הרוח כו' כי רוח החיה באופנים. וזוהר הרקיע הוא רקיע שע"ג החיות שמשם נשמתא</w:t>
      </w:r>
      <w:r>
        <w:rPr>
          <w:rFonts w:hint="cs"/>
          <w:sz w:val="22"/>
          <w:szCs w:val="22"/>
          <w:rtl/>
        </w:rPr>
        <w:t>,</w:t>
      </w:r>
      <w:r w:rsidRPr="00BD5E91">
        <w:rPr>
          <w:sz w:val="22"/>
          <w:szCs w:val="22"/>
          <w:rtl/>
        </w:rPr>
        <w:t xml:space="preserve"> ששם הכסא כמ"ש וממעל לרקיע כו' דמות כסא, ומן הרקיע הזה הנשמות</w:t>
      </w:r>
      <w:r>
        <w:rPr>
          <w:rFonts w:hint="cs"/>
          <w:sz w:val="22"/>
          <w:szCs w:val="22"/>
          <w:rtl/>
        </w:rPr>
        <w:t>,</w:t>
      </w:r>
      <w:r w:rsidRPr="00BD5E91">
        <w:rPr>
          <w:sz w:val="22"/>
          <w:szCs w:val="22"/>
          <w:rtl/>
        </w:rPr>
        <w:t xml:space="preserve"> כמ"ש (שבת קנב ע"ב) הנשמות חצובות מתחת כסא הכבוד</w:t>
      </w:r>
      <w:r>
        <w:rPr>
          <w:rFonts w:hint="cs"/>
          <w:sz w:val="22"/>
          <w:szCs w:val="22"/>
          <w:rtl/>
        </w:rPr>
        <w:t>,</w:t>
      </w:r>
      <w:r w:rsidRPr="00BD5E91">
        <w:rPr>
          <w:sz w:val="22"/>
          <w:szCs w:val="22"/>
          <w:rtl/>
        </w:rPr>
        <w:t xml:space="preserve"> והוא מזה הרקיע</w:t>
      </w:r>
      <w:r>
        <w:rPr>
          <w:rFonts w:hint="cs"/>
          <w:sz w:val="22"/>
          <w:szCs w:val="22"/>
          <w:rtl/>
        </w:rPr>
        <w:t>,</w:t>
      </w:r>
      <w:r w:rsidRPr="00BD5E91">
        <w:rPr>
          <w:sz w:val="22"/>
          <w:szCs w:val="22"/>
          <w:rtl/>
        </w:rPr>
        <w:t xml:space="preserve"> וכמ"ש בריש הקדמת תיקונים</w:t>
      </w:r>
      <w:r>
        <w:rPr>
          <w:rFonts w:hint="cs"/>
          <w:sz w:val="22"/>
          <w:szCs w:val="22"/>
          <w:rtl/>
        </w:rPr>
        <w:t>,</w:t>
      </w:r>
      <w:r w:rsidRPr="00BD5E91">
        <w:rPr>
          <w:sz w:val="22"/>
          <w:szCs w:val="22"/>
          <w:rtl/>
        </w:rPr>
        <w:t xml:space="preserve"> וכמ"ש לעיל פ"א ע"א במאמר הנ"ל ע</w:t>
      </w:r>
      <w:r>
        <w:rPr>
          <w:rFonts w:hint="cs"/>
          <w:sz w:val="22"/>
          <w:szCs w:val="22"/>
          <w:rtl/>
        </w:rPr>
        <w:t xml:space="preserve">יין </w:t>
      </w:r>
      <w:r w:rsidRPr="00BD5E91">
        <w:rPr>
          <w:sz w:val="22"/>
          <w:szCs w:val="22"/>
          <w:rtl/>
        </w:rPr>
        <w:t>ש</w:t>
      </w:r>
      <w:r>
        <w:rPr>
          <w:rFonts w:hint="cs"/>
          <w:sz w:val="22"/>
          <w:szCs w:val="22"/>
          <w:rtl/>
        </w:rPr>
        <w:t>ם היטב,</w:t>
      </w:r>
      <w:r w:rsidRPr="00BD5E91">
        <w:rPr>
          <w:sz w:val="22"/>
          <w:szCs w:val="22"/>
          <w:rtl/>
        </w:rPr>
        <w:t xml:space="preserve"> שהן ג' עולמות בי"ע</w:t>
      </w:r>
      <w:r>
        <w:rPr>
          <w:rFonts w:hint="cs"/>
          <w:sz w:val="22"/>
          <w:szCs w:val="22"/>
          <w:rtl/>
        </w:rPr>
        <w:t>.</w:t>
      </w:r>
      <w:r w:rsidRPr="00BD5E91">
        <w:rPr>
          <w:sz w:val="22"/>
          <w:szCs w:val="22"/>
          <w:rtl/>
        </w:rPr>
        <w:t xml:space="preserve"> וכן בארח אצילות</w:t>
      </w:r>
      <w:r>
        <w:rPr>
          <w:rFonts w:hint="cs"/>
          <w:sz w:val="22"/>
          <w:szCs w:val="22"/>
          <w:rtl/>
        </w:rPr>
        <w:t>,</w:t>
      </w:r>
      <w:r w:rsidRPr="00BD5E91">
        <w:rPr>
          <w:sz w:val="22"/>
          <w:szCs w:val="22"/>
          <w:rtl/>
        </w:rPr>
        <w:t xml:space="preserve"> נפש אותיות במלכות</w:t>
      </w:r>
      <w:r>
        <w:rPr>
          <w:rFonts w:hint="cs"/>
          <w:sz w:val="22"/>
          <w:szCs w:val="22"/>
          <w:rtl/>
        </w:rPr>
        <w:t>,</w:t>
      </w:r>
      <w:r w:rsidRPr="00BD5E91">
        <w:rPr>
          <w:sz w:val="22"/>
          <w:szCs w:val="22"/>
          <w:rtl/>
        </w:rPr>
        <w:t xml:space="preserve"> ריבוע' דאתחם לד' סטרין כמש"ל ד' צ' ע"ב וכמ"ש בז"ח מ"ד ע"ג אנת מרובעת כו' ע"ש</w:t>
      </w:r>
      <w:r>
        <w:rPr>
          <w:rFonts w:hint="cs"/>
          <w:sz w:val="22"/>
          <w:szCs w:val="22"/>
          <w:rtl/>
        </w:rPr>
        <w:t>.</w:t>
      </w:r>
      <w:r w:rsidRPr="00BD5E91">
        <w:rPr>
          <w:sz w:val="22"/>
          <w:szCs w:val="22"/>
          <w:rtl/>
        </w:rPr>
        <w:t xml:space="preserve"> רוח בז"א</w:t>
      </w:r>
      <w:r>
        <w:rPr>
          <w:rFonts w:hint="cs"/>
          <w:sz w:val="22"/>
          <w:szCs w:val="22"/>
          <w:rtl/>
        </w:rPr>
        <w:t>.</w:t>
      </w:r>
      <w:r w:rsidRPr="00BD5E91">
        <w:rPr>
          <w:sz w:val="22"/>
          <w:szCs w:val="22"/>
          <w:rtl/>
        </w:rPr>
        <w:t xml:space="preserve"> ונשמה מבינה</w:t>
      </w:r>
      <w:r>
        <w:rPr>
          <w:rFonts w:hint="cs"/>
          <w:sz w:val="22"/>
          <w:szCs w:val="22"/>
          <w:rtl/>
        </w:rPr>
        <w:t>.</w:t>
      </w:r>
      <w:r w:rsidRPr="00BD5E91">
        <w:rPr>
          <w:sz w:val="22"/>
          <w:szCs w:val="22"/>
          <w:rtl/>
        </w:rPr>
        <w:t xml:space="preserve"> והם מקננין בבי"ע כידוע</w:t>
      </w:r>
      <w:r>
        <w:rPr>
          <w:rFonts w:hint="cs"/>
          <w:sz w:val="22"/>
          <w:szCs w:val="22"/>
          <w:rtl/>
        </w:rPr>
        <w:t>.</w:t>
      </w:r>
      <w:r w:rsidRPr="00BD5E91">
        <w:rPr>
          <w:sz w:val="22"/>
          <w:szCs w:val="22"/>
          <w:rtl/>
        </w:rPr>
        <w:t xml:space="preserve"> וכן הוא בעולם השפל</w:t>
      </w:r>
      <w:r>
        <w:rPr>
          <w:rFonts w:hint="cs"/>
          <w:sz w:val="22"/>
          <w:szCs w:val="22"/>
          <w:rtl/>
        </w:rPr>
        <w:t>,</w:t>
      </w:r>
      <w:r w:rsidRPr="00BD5E91">
        <w:rPr>
          <w:sz w:val="22"/>
          <w:szCs w:val="22"/>
          <w:rtl/>
        </w:rPr>
        <w:t xml:space="preserve"> נפש בארץ</w:t>
      </w:r>
      <w:r>
        <w:rPr>
          <w:rFonts w:hint="cs"/>
          <w:sz w:val="22"/>
          <w:szCs w:val="22"/>
          <w:rtl/>
        </w:rPr>
        <w:t>,</w:t>
      </w:r>
      <w:r w:rsidRPr="00BD5E91">
        <w:rPr>
          <w:sz w:val="22"/>
          <w:szCs w:val="22"/>
          <w:rtl/>
        </w:rPr>
        <w:t xml:space="preserve"> והוא באדם בטן ששם הנפש בכבד</w:t>
      </w:r>
      <w:r>
        <w:rPr>
          <w:rFonts w:hint="cs"/>
          <w:sz w:val="22"/>
          <w:szCs w:val="22"/>
          <w:rtl/>
        </w:rPr>
        <w:t>.</w:t>
      </w:r>
      <w:r w:rsidRPr="00BD5E91">
        <w:rPr>
          <w:sz w:val="22"/>
          <w:szCs w:val="22"/>
          <w:rtl/>
        </w:rPr>
        <w:t xml:space="preserve"> ורוח באויר</w:t>
      </w:r>
      <w:r>
        <w:rPr>
          <w:rFonts w:hint="cs"/>
          <w:sz w:val="22"/>
          <w:szCs w:val="22"/>
          <w:rtl/>
        </w:rPr>
        <w:t>,</w:t>
      </w:r>
      <w:r w:rsidRPr="00BD5E91">
        <w:rPr>
          <w:sz w:val="22"/>
          <w:szCs w:val="22"/>
          <w:rtl/>
        </w:rPr>
        <w:t xml:space="preserve"> שמשם רוח החיוני</w:t>
      </w:r>
      <w:r>
        <w:rPr>
          <w:rFonts w:hint="cs"/>
          <w:sz w:val="22"/>
          <w:szCs w:val="22"/>
          <w:rtl/>
        </w:rPr>
        <w:t>,</w:t>
      </w:r>
      <w:r w:rsidRPr="00BD5E91">
        <w:rPr>
          <w:sz w:val="22"/>
          <w:szCs w:val="22"/>
          <w:rtl/>
        </w:rPr>
        <w:t xml:space="preserve"> והוא באדם גויה</w:t>
      </w:r>
      <w:r>
        <w:rPr>
          <w:rFonts w:hint="cs"/>
          <w:sz w:val="22"/>
          <w:szCs w:val="22"/>
          <w:rtl/>
        </w:rPr>
        <w:t>,</w:t>
      </w:r>
      <w:r w:rsidRPr="00BD5E91">
        <w:rPr>
          <w:sz w:val="22"/>
          <w:szCs w:val="22"/>
          <w:rtl/>
        </w:rPr>
        <w:t xml:space="preserve"> ששם הלב</w:t>
      </w:r>
      <w:r>
        <w:rPr>
          <w:rFonts w:hint="cs"/>
          <w:sz w:val="22"/>
          <w:szCs w:val="22"/>
          <w:rtl/>
        </w:rPr>
        <w:t>,</w:t>
      </w:r>
      <w:r w:rsidRPr="00BD5E91">
        <w:rPr>
          <w:sz w:val="22"/>
          <w:szCs w:val="22"/>
          <w:rtl/>
        </w:rPr>
        <w:t xml:space="preserve"> משכן הרוח</w:t>
      </w:r>
      <w:r>
        <w:rPr>
          <w:rFonts w:hint="cs"/>
          <w:sz w:val="22"/>
          <w:szCs w:val="22"/>
          <w:rtl/>
        </w:rPr>
        <w:t>.</w:t>
      </w:r>
      <w:r w:rsidRPr="00BD5E91">
        <w:rPr>
          <w:sz w:val="22"/>
          <w:szCs w:val="22"/>
          <w:rtl/>
        </w:rPr>
        <w:t xml:space="preserve"> ונשמה ברקיע ששם גלגל השכל</w:t>
      </w:r>
      <w:r>
        <w:rPr>
          <w:rFonts w:hint="cs"/>
          <w:sz w:val="22"/>
          <w:szCs w:val="22"/>
          <w:rtl/>
        </w:rPr>
        <w:t>,</w:t>
      </w:r>
      <w:r w:rsidRPr="00BD5E91">
        <w:rPr>
          <w:sz w:val="22"/>
          <w:szCs w:val="22"/>
          <w:rtl/>
        </w:rPr>
        <w:t xml:space="preserve"> והוא באדם הראש ששם המוח משכן הנשמה</w:t>
      </w:r>
      <w:r>
        <w:rPr>
          <w:rFonts w:hint="cs"/>
          <w:sz w:val="22"/>
          <w:szCs w:val="22"/>
          <w:rtl/>
        </w:rPr>
        <w:t>.</w:t>
      </w:r>
      <w:r w:rsidRPr="00BD5E91">
        <w:rPr>
          <w:sz w:val="22"/>
          <w:szCs w:val="22"/>
          <w:rtl/>
        </w:rPr>
        <w:t xml:space="preserve"> וכידוע בס"י שראש בטן גויה הן נגד שמים וארץ ואויר וכמ"ש במ"ה לש"ה ד' מ"ח ע"ג רישא איהי בשמים כו' ע"ש. ואמר </w:t>
      </w:r>
      <w:r w:rsidRPr="00BD5E91">
        <w:rPr>
          <w:b/>
          <w:bCs/>
          <w:sz w:val="22"/>
          <w:szCs w:val="22"/>
          <w:rtl/>
        </w:rPr>
        <w:t>כגלידא תקיפא.</w:t>
      </w:r>
      <w:r w:rsidRPr="00BD5E91">
        <w:rPr>
          <w:sz w:val="22"/>
          <w:szCs w:val="22"/>
          <w:rtl/>
        </w:rPr>
        <w:t xml:space="preserve"> ר"ל הרקיע</w:t>
      </w:r>
      <w:r>
        <w:rPr>
          <w:rFonts w:hint="cs"/>
          <w:sz w:val="22"/>
          <w:szCs w:val="22"/>
          <w:rtl/>
        </w:rPr>
        <w:t>,</w:t>
      </w:r>
      <w:r w:rsidRPr="00BD5E91">
        <w:rPr>
          <w:sz w:val="22"/>
          <w:szCs w:val="22"/>
          <w:rtl/>
        </w:rPr>
        <w:t xml:space="preserve"> כמ"ש כעין הקרח הנורא</w:t>
      </w:r>
      <w:r>
        <w:rPr>
          <w:rFonts w:hint="cs"/>
          <w:sz w:val="22"/>
          <w:szCs w:val="22"/>
          <w:rtl/>
        </w:rPr>
        <w:t>.</w:t>
      </w:r>
      <w:r w:rsidRPr="00BD5E91">
        <w:rPr>
          <w:sz w:val="22"/>
          <w:szCs w:val="22"/>
          <w:rtl/>
        </w:rPr>
        <w:t xml:space="preserve"> והן כתרי אותיות</w:t>
      </w:r>
      <w:r>
        <w:rPr>
          <w:rFonts w:hint="cs"/>
          <w:sz w:val="22"/>
          <w:szCs w:val="22"/>
          <w:rtl/>
        </w:rPr>
        <w:t>,</w:t>
      </w:r>
      <w:r w:rsidRPr="00BD5E91">
        <w:rPr>
          <w:sz w:val="22"/>
          <w:szCs w:val="22"/>
          <w:rtl/>
        </w:rPr>
        <w:t xml:space="preserve"> כמו רקיע שהוא ככתר על הארץ כמש"ל ד' פ"א שם ע"ש</w:t>
      </w:r>
      <w:r>
        <w:rPr>
          <w:rFonts w:hint="cs"/>
          <w:sz w:val="22"/>
          <w:szCs w:val="22"/>
          <w:rtl/>
        </w:rPr>
        <w:t>.</w:t>
      </w:r>
      <w:r w:rsidRPr="00BD5E91">
        <w:rPr>
          <w:sz w:val="22"/>
          <w:szCs w:val="22"/>
          <w:rtl/>
        </w:rPr>
        <w:t xml:space="preserve"> וכן הראש על הגוף</w:t>
      </w:r>
      <w:r>
        <w:rPr>
          <w:rFonts w:hint="cs"/>
          <w:sz w:val="22"/>
          <w:szCs w:val="22"/>
          <w:rtl/>
        </w:rPr>
        <w:t>,</w:t>
      </w:r>
      <w:r w:rsidRPr="00BD5E91">
        <w:rPr>
          <w:sz w:val="22"/>
          <w:szCs w:val="22"/>
          <w:rtl/>
        </w:rPr>
        <w:t xml:space="preserve"> וכן הכסא</w:t>
      </w:r>
      <w:r>
        <w:rPr>
          <w:rFonts w:hint="cs"/>
          <w:sz w:val="22"/>
          <w:szCs w:val="22"/>
          <w:rtl/>
        </w:rPr>
        <w:t>,</w:t>
      </w:r>
      <w:r w:rsidRPr="00BD5E91">
        <w:rPr>
          <w:sz w:val="22"/>
          <w:szCs w:val="22"/>
          <w:rtl/>
        </w:rPr>
        <w:t xml:space="preserve"> וכן בינה</w:t>
      </w:r>
      <w:r>
        <w:rPr>
          <w:rFonts w:hint="cs"/>
          <w:sz w:val="22"/>
          <w:szCs w:val="22"/>
          <w:rtl/>
        </w:rPr>
        <w:t>,</w:t>
      </w:r>
      <w:r w:rsidRPr="00BD5E91">
        <w:rPr>
          <w:sz w:val="22"/>
          <w:szCs w:val="22"/>
          <w:rtl/>
        </w:rPr>
        <w:t xml:space="preserve"> והכל בדרך אחד כנ"ל. והן כוללין כל הע"ס כמ"ש בתיקונים בינה בג"ס מקנן בכורסיא, ו"ק מקנן במט"ט, מלכות מקננא באופן. שבינה כוללת ג"ר וכן שמים וארץ ואויר</w:t>
      </w:r>
      <w:r>
        <w:rPr>
          <w:rFonts w:hint="cs"/>
          <w:sz w:val="22"/>
          <w:szCs w:val="22"/>
          <w:rtl/>
        </w:rPr>
        <w:t>,</w:t>
      </w:r>
      <w:r w:rsidRPr="00BD5E91">
        <w:rPr>
          <w:sz w:val="22"/>
          <w:szCs w:val="22"/>
          <w:rtl/>
        </w:rPr>
        <w:t xml:space="preserve"> כוללין כלל העולם</w:t>
      </w:r>
      <w:r>
        <w:rPr>
          <w:rFonts w:hint="cs"/>
          <w:sz w:val="22"/>
          <w:szCs w:val="22"/>
          <w:rtl/>
        </w:rPr>
        <w:t>.</w:t>
      </w:r>
      <w:r w:rsidRPr="00BD5E91">
        <w:rPr>
          <w:sz w:val="22"/>
          <w:szCs w:val="22"/>
          <w:rtl/>
        </w:rPr>
        <w:t xml:space="preserve"> וכן באדם כנ"ל. [הראש הוא כולל ג"ר שהם כלולים כא', וגויה ת"ת כולל חג"ת ג' אמצעיות</w:t>
      </w:r>
      <w:r>
        <w:rPr>
          <w:rFonts w:hint="cs"/>
          <w:sz w:val="22"/>
          <w:szCs w:val="22"/>
          <w:rtl/>
        </w:rPr>
        <w:t>.</w:t>
      </w:r>
      <w:r w:rsidRPr="00BD5E91">
        <w:rPr>
          <w:sz w:val="22"/>
          <w:szCs w:val="22"/>
          <w:rtl/>
        </w:rPr>
        <w:t xml:space="preserve"> ושם שורש עד"א כי נה"י לבר מגופא</w:t>
      </w:r>
      <w:r>
        <w:rPr>
          <w:rFonts w:hint="cs"/>
          <w:sz w:val="22"/>
          <w:szCs w:val="22"/>
          <w:rtl/>
        </w:rPr>
        <w:t>,</w:t>
      </w:r>
      <w:r w:rsidRPr="00BD5E91">
        <w:rPr>
          <w:sz w:val="22"/>
          <w:szCs w:val="22"/>
          <w:rtl/>
        </w:rPr>
        <w:t xml:space="preserve"> ועיקר כלילותו מחג"ת כמ"ש בזוהר</w:t>
      </w:r>
      <w:r>
        <w:rPr>
          <w:rFonts w:hint="cs"/>
          <w:sz w:val="22"/>
          <w:szCs w:val="22"/>
          <w:rtl/>
        </w:rPr>
        <w:t>,</w:t>
      </w:r>
      <w:r w:rsidRPr="00BD5E91">
        <w:rPr>
          <w:sz w:val="22"/>
          <w:szCs w:val="22"/>
          <w:rtl/>
        </w:rPr>
        <w:t xml:space="preserve"> עד"א קול דכליל מיא אשא ורוחא</w:t>
      </w:r>
      <w:r>
        <w:rPr>
          <w:rFonts w:hint="cs"/>
          <w:sz w:val="22"/>
          <w:szCs w:val="22"/>
          <w:rtl/>
        </w:rPr>
        <w:t>,</w:t>
      </w:r>
      <w:r w:rsidRPr="00BD5E91">
        <w:rPr>
          <w:sz w:val="22"/>
          <w:szCs w:val="22"/>
          <w:rtl/>
        </w:rPr>
        <w:t xml:space="preserve"> ג' נקודין חש"ק</w:t>
      </w:r>
      <w:r>
        <w:rPr>
          <w:rFonts w:hint="cs"/>
          <w:sz w:val="22"/>
          <w:szCs w:val="22"/>
          <w:rtl/>
        </w:rPr>
        <w:t>,</w:t>
      </w:r>
      <w:r w:rsidRPr="00BD5E91">
        <w:rPr>
          <w:sz w:val="22"/>
          <w:szCs w:val="22"/>
          <w:rtl/>
        </w:rPr>
        <w:t xml:space="preserve"> ג' טיפין ממוחא</w:t>
      </w:r>
      <w:r>
        <w:rPr>
          <w:rFonts w:hint="cs"/>
          <w:sz w:val="22"/>
          <w:szCs w:val="22"/>
          <w:rtl/>
        </w:rPr>
        <w:t>.</w:t>
      </w:r>
      <w:r w:rsidRPr="00BD5E91">
        <w:rPr>
          <w:sz w:val="22"/>
          <w:szCs w:val="22"/>
          <w:rtl/>
        </w:rPr>
        <w:t xml:space="preserve"> ובטן כולל ג' אחרונות</w:t>
      </w:r>
      <w:r>
        <w:rPr>
          <w:rFonts w:hint="cs"/>
          <w:sz w:val="22"/>
          <w:szCs w:val="22"/>
          <w:rtl/>
        </w:rPr>
        <w:t>,</w:t>
      </w:r>
      <w:r w:rsidRPr="00BD5E91">
        <w:rPr>
          <w:sz w:val="22"/>
          <w:szCs w:val="22"/>
          <w:rtl/>
        </w:rPr>
        <w:t xml:space="preserve"> נה"י</w:t>
      </w:r>
      <w:r>
        <w:rPr>
          <w:rFonts w:hint="cs"/>
          <w:sz w:val="22"/>
          <w:szCs w:val="22"/>
          <w:rtl/>
        </w:rPr>
        <w:t>,</w:t>
      </w:r>
      <w:r w:rsidRPr="00BD5E91">
        <w:rPr>
          <w:sz w:val="22"/>
          <w:szCs w:val="22"/>
          <w:rtl/>
        </w:rPr>
        <w:t xml:space="preserve"> ושם קומת הנוק'</w:t>
      </w:r>
      <w:r>
        <w:rPr>
          <w:rFonts w:hint="cs"/>
          <w:sz w:val="22"/>
          <w:szCs w:val="22"/>
          <w:rtl/>
        </w:rPr>
        <w:t>,</w:t>
      </w:r>
      <w:r w:rsidRPr="00BD5E91">
        <w:rPr>
          <w:sz w:val="22"/>
          <w:szCs w:val="22"/>
          <w:rtl/>
        </w:rPr>
        <w:t xml:space="preserve"> לכן נכללין נה"י בנוקבא כידוע בהרבה מקומות</w:t>
      </w:r>
      <w:r>
        <w:rPr>
          <w:rFonts w:hint="cs"/>
          <w:sz w:val="22"/>
          <w:szCs w:val="22"/>
          <w:rtl/>
        </w:rPr>
        <w:t>.</w:t>
      </w:r>
      <w:r w:rsidRPr="00BD5E91">
        <w:rPr>
          <w:sz w:val="22"/>
          <w:szCs w:val="22"/>
          <w:rtl/>
        </w:rPr>
        <w:t xml:space="preserve"> ולכן אלו ג' שמות כוללים כל האצילות בכל העשר ספירות אהי"ה יהו"ה אדנ"י</w:t>
      </w:r>
      <w:r>
        <w:rPr>
          <w:rFonts w:hint="cs"/>
          <w:sz w:val="22"/>
          <w:szCs w:val="22"/>
          <w:rtl/>
        </w:rPr>
        <w:t>.</w:t>
      </w:r>
      <w:r w:rsidRPr="00BD5E91">
        <w:rPr>
          <w:sz w:val="22"/>
          <w:szCs w:val="22"/>
          <w:rtl/>
        </w:rPr>
        <w:t xml:space="preserve"> וכן נר"ן כלל הכל</w:t>
      </w:r>
      <w:r>
        <w:rPr>
          <w:rFonts w:hint="cs"/>
          <w:sz w:val="22"/>
          <w:szCs w:val="22"/>
          <w:rtl/>
        </w:rPr>
        <w:t>.</w:t>
      </w:r>
      <w:r w:rsidRPr="00BD5E91">
        <w:rPr>
          <w:sz w:val="22"/>
          <w:szCs w:val="22"/>
          <w:rtl/>
        </w:rPr>
        <w:t xml:space="preserve"> וכן בכל העולמות</w:t>
      </w:r>
      <w:r>
        <w:rPr>
          <w:rFonts w:hint="cs"/>
          <w:sz w:val="22"/>
          <w:szCs w:val="22"/>
          <w:rtl/>
        </w:rPr>
        <w:t>.</w:t>
      </w:r>
      <w:r w:rsidRPr="00BD5E91">
        <w:rPr>
          <w:sz w:val="22"/>
          <w:szCs w:val="22"/>
          <w:rtl/>
        </w:rPr>
        <w:t xml:space="preserve"> וכן ג' נקודות חש"ק כלל הכל כמ"ש לקמן]:</w:t>
      </w:r>
    </w:p>
  </w:footnote>
  <w:footnote w:id="697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דאיהו קאי' עד דב</w:t>
      </w:r>
      <w:r>
        <w:rPr>
          <w:rFonts w:hint="cs"/>
          <w:b/>
          <w:bCs/>
          <w:sz w:val="22"/>
          <w:szCs w:val="22"/>
          <w:rtl/>
        </w:rPr>
        <w:t>ו</w:t>
      </w:r>
      <w:r w:rsidRPr="00BD5E91">
        <w:rPr>
          <w:b/>
          <w:bCs/>
          <w:sz w:val="22"/>
          <w:szCs w:val="22"/>
          <w:rtl/>
        </w:rPr>
        <w:t>צ</w:t>
      </w:r>
      <w:r>
        <w:rPr>
          <w:rFonts w:hint="cs"/>
          <w:b/>
          <w:bCs/>
          <w:sz w:val="22"/>
          <w:szCs w:val="22"/>
          <w:rtl/>
        </w:rPr>
        <w:t>י</w:t>
      </w:r>
      <w:r w:rsidRPr="00BD5E91">
        <w:rPr>
          <w:b/>
          <w:bCs/>
          <w:sz w:val="22"/>
          <w:szCs w:val="22"/>
          <w:rtl/>
        </w:rPr>
        <w:t>נא.</w:t>
      </w:r>
      <w:r w:rsidRPr="00BD5E91">
        <w:rPr>
          <w:sz w:val="22"/>
          <w:szCs w:val="22"/>
          <w:rtl/>
        </w:rPr>
        <w:t xml:space="preserve"> ר"ל מ"ש כזוהר הרקיע דמשמע הזוהר שלו ולא הרקיע עצמו מפני שהרקיע עצמו הוא סתים ואינו נגלה למטה כידוע בהרבה מקומות רק זוהר דנפיק מיניה מתפשט בזעיר ונוקבי' שהם נקודות ואותיות וכן ברקיע שעל גבי החיות וז"ש </w:t>
      </w:r>
      <w:r w:rsidRPr="00BD5E91">
        <w:rPr>
          <w:b/>
          <w:bCs/>
          <w:sz w:val="22"/>
          <w:szCs w:val="22"/>
          <w:rtl/>
        </w:rPr>
        <w:t xml:space="preserve">ולתתא ברזא דמשחתא דבוצינא. </w:t>
      </w:r>
      <w:r w:rsidRPr="00BD5E91">
        <w:rPr>
          <w:sz w:val="22"/>
          <w:szCs w:val="22"/>
          <w:rtl/>
        </w:rPr>
        <w:t>ר"ל שמתפשט למטה בסוד בוצינא דקרדינותא שהוא קו המדה</w:t>
      </w:r>
      <w:r>
        <w:rPr>
          <w:rFonts w:hint="cs"/>
          <w:sz w:val="22"/>
          <w:szCs w:val="22"/>
          <w:rtl/>
        </w:rPr>
        <w:t>,</w:t>
      </w:r>
      <w:r w:rsidRPr="00BD5E91">
        <w:rPr>
          <w:sz w:val="22"/>
          <w:szCs w:val="22"/>
          <w:rtl/>
        </w:rPr>
        <w:t xml:space="preserve"> והוא עטרה דגבורה דגניז באימא. וענין הבוצינא דקרדינותא יתבאר למטה היטב [והרקיע סוד הדעת המתפשט</w:t>
      </w:r>
      <w:r>
        <w:rPr>
          <w:rFonts w:hint="cs"/>
          <w:sz w:val="22"/>
          <w:szCs w:val="22"/>
          <w:rtl/>
        </w:rPr>
        <w:t>,</w:t>
      </w:r>
      <w:r w:rsidRPr="00BD5E91">
        <w:rPr>
          <w:sz w:val="22"/>
          <w:szCs w:val="22"/>
          <w:rtl/>
        </w:rPr>
        <w:t xml:space="preserve"> והוא הקרום התחתון שעל גבי המוח</w:t>
      </w:r>
      <w:r>
        <w:rPr>
          <w:rFonts w:hint="cs"/>
          <w:sz w:val="22"/>
          <w:szCs w:val="22"/>
          <w:rtl/>
        </w:rPr>
        <w:t>,</w:t>
      </w:r>
      <w:r w:rsidRPr="00BD5E91">
        <w:rPr>
          <w:sz w:val="22"/>
          <w:szCs w:val="22"/>
          <w:rtl/>
        </w:rPr>
        <w:t xml:space="preserve"> שעליו סוד אבן ספיר</w:t>
      </w:r>
      <w:r>
        <w:rPr>
          <w:rFonts w:hint="cs"/>
          <w:sz w:val="22"/>
          <w:szCs w:val="22"/>
          <w:rtl/>
        </w:rPr>
        <w:t>,</w:t>
      </w:r>
      <w:r w:rsidRPr="00BD5E91">
        <w:rPr>
          <w:sz w:val="22"/>
          <w:szCs w:val="22"/>
          <w:rtl/>
        </w:rPr>
        <w:t xml:space="preserve"> ועליה כמראה אדם</w:t>
      </w:r>
      <w:r>
        <w:rPr>
          <w:rFonts w:hint="cs"/>
          <w:sz w:val="22"/>
          <w:szCs w:val="22"/>
          <w:rtl/>
        </w:rPr>
        <w:t>,</w:t>
      </w:r>
      <w:r w:rsidRPr="00BD5E91">
        <w:rPr>
          <w:sz w:val="22"/>
          <w:szCs w:val="22"/>
          <w:rtl/>
        </w:rPr>
        <w:t xml:space="preserve"> החיה</w:t>
      </w:r>
      <w:r>
        <w:rPr>
          <w:rFonts w:hint="cs"/>
          <w:sz w:val="22"/>
          <w:szCs w:val="22"/>
          <w:rtl/>
        </w:rPr>
        <w:t>,</w:t>
      </w:r>
      <w:r w:rsidRPr="00BD5E91">
        <w:rPr>
          <w:sz w:val="22"/>
          <w:szCs w:val="22"/>
          <w:rtl/>
        </w:rPr>
        <w:t xml:space="preserve"> כ"ח מ"ה</w:t>
      </w:r>
      <w:r>
        <w:rPr>
          <w:rFonts w:hint="cs"/>
          <w:sz w:val="22"/>
          <w:szCs w:val="22"/>
          <w:rtl/>
        </w:rPr>
        <w:t>.</w:t>
      </w:r>
      <w:r w:rsidRPr="00BD5E91">
        <w:rPr>
          <w:sz w:val="22"/>
          <w:szCs w:val="22"/>
          <w:rtl/>
        </w:rPr>
        <w:t xml:space="preserve"> וברקיע הנשמה</w:t>
      </w:r>
      <w:r>
        <w:rPr>
          <w:rFonts w:hint="cs"/>
          <w:sz w:val="22"/>
          <w:szCs w:val="22"/>
          <w:rtl/>
        </w:rPr>
        <w:t>,</w:t>
      </w:r>
      <w:r w:rsidRPr="00BD5E91">
        <w:rPr>
          <w:sz w:val="22"/>
          <w:szCs w:val="22"/>
          <w:rtl/>
        </w:rPr>
        <w:t xml:space="preserve"> כמ"ש בפ"ג דחולין </w:t>
      </w:r>
      <w:r>
        <w:rPr>
          <w:rFonts w:hint="cs"/>
          <w:sz w:val="22"/>
          <w:szCs w:val="22"/>
          <w:rtl/>
        </w:rPr>
        <w:t xml:space="preserve">(א.ה. לא ידעתי כונתו, אם היא לנפחתה הגלגלת ולא ניקב קרום של מח, או שהוא ט"ס וכונתו לדף פט ורקיע דומה לאבן ספיר ואבן ספיר דומה לכסא הכבוד). </w:t>
      </w:r>
      <w:r w:rsidRPr="00BD5E91">
        <w:rPr>
          <w:sz w:val="22"/>
          <w:szCs w:val="22"/>
          <w:rtl/>
        </w:rPr>
        <w:t>והכסא שהוא הספירי</w:t>
      </w:r>
      <w:r>
        <w:rPr>
          <w:rFonts w:hint="cs"/>
          <w:sz w:val="22"/>
          <w:szCs w:val="22"/>
          <w:rtl/>
        </w:rPr>
        <w:t>,</w:t>
      </w:r>
      <w:r w:rsidRPr="00BD5E91">
        <w:rPr>
          <w:sz w:val="22"/>
          <w:szCs w:val="22"/>
          <w:rtl/>
        </w:rPr>
        <w:t xml:space="preserve"> הוא אש</w:t>
      </w:r>
      <w:r>
        <w:rPr>
          <w:rFonts w:hint="cs"/>
          <w:sz w:val="22"/>
          <w:szCs w:val="22"/>
          <w:rtl/>
        </w:rPr>
        <w:t>,</w:t>
      </w:r>
      <w:r w:rsidRPr="00BD5E91">
        <w:rPr>
          <w:sz w:val="22"/>
          <w:szCs w:val="22"/>
          <w:rtl/>
        </w:rPr>
        <w:t xml:space="preserve"> כמ"ש (דניאל ז ט) כורסי' שביבין כו'</w:t>
      </w:r>
      <w:r>
        <w:rPr>
          <w:rFonts w:hint="cs"/>
          <w:sz w:val="22"/>
          <w:szCs w:val="22"/>
          <w:rtl/>
        </w:rPr>
        <w:t>.</w:t>
      </w:r>
      <w:r w:rsidRPr="00BD5E91">
        <w:rPr>
          <w:sz w:val="22"/>
          <w:szCs w:val="22"/>
          <w:rtl/>
        </w:rPr>
        <w:t xml:space="preserve"> והמוח</w:t>
      </w:r>
      <w:r>
        <w:rPr>
          <w:rFonts w:hint="cs"/>
          <w:sz w:val="22"/>
          <w:szCs w:val="22"/>
          <w:rtl/>
        </w:rPr>
        <w:t>,</w:t>
      </w:r>
      <w:r w:rsidRPr="00BD5E91">
        <w:rPr>
          <w:sz w:val="22"/>
          <w:szCs w:val="22"/>
          <w:rtl/>
        </w:rPr>
        <w:t xml:space="preserve"> מים</w:t>
      </w:r>
      <w:r>
        <w:rPr>
          <w:rFonts w:hint="cs"/>
          <w:sz w:val="22"/>
          <w:szCs w:val="22"/>
          <w:rtl/>
        </w:rPr>
        <w:t>.</w:t>
      </w:r>
      <w:r w:rsidRPr="00BD5E91">
        <w:rPr>
          <w:sz w:val="22"/>
          <w:szCs w:val="22"/>
          <w:rtl/>
        </w:rPr>
        <w:t xml:space="preserve"> והרקיע מורכב משניהם</w:t>
      </w:r>
      <w:r>
        <w:rPr>
          <w:rFonts w:hint="cs"/>
          <w:sz w:val="22"/>
          <w:szCs w:val="22"/>
          <w:rtl/>
        </w:rPr>
        <w:t>,</w:t>
      </w:r>
      <w:r w:rsidRPr="00BD5E91">
        <w:rPr>
          <w:sz w:val="22"/>
          <w:szCs w:val="22"/>
          <w:rtl/>
        </w:rPr>
        <w:t xml:space="preserve"> כמ"ש שמים כו'</w:t>
      </w:r>
      <w:r>
        <w:rPr>
          <w:rFonts w:hint="cs"/>
          <w:sz w:val="22"/>
          <w:szCs w:val="22"/>
          <w:rtl/>
        </w:rPr>
        <w:t>.</w:t>
      </w:r>
      <w:r w:rsidRPr="00BD5E91">
        <w:rPr>
          <w:sz w:val="22"/>
          <w:szCs w:val="22"/>
          <w:rtl/>
        </w:rPr>
        <w:t xml:space="preserve"> ואש ההיא צריכה שמן וז"ש (קהלת ט ח) ושמן על כו'</w:t>
      </w:r>
      <w:r>
        <w:rPr>
          <w:rFonts w:hint="cs"/>
          <w:sz w:val="22"/>
          <w:szCs w:val="22"/>
          <w:rtl/>
        </w:rPr>
        <w:t>.</w:t>
      </w:r>
      <w:r w:rsidRPr="00BD5E91">
        <w:rPr>
          <w:sz w:val="22"/>
          <w:szCs w:val="22"/>
          <w:rtl/>
        </w:rPr>
        <w:t xml:space="preserve"> והמוחין הן החיות</w:t>
      </w:r>
      <w:r>
        <w:rPr>
          <w:rFonts w:hint="cs"/>
          <w:sz w:val="22"/>
          <w:szCs w:val="22"/>
          <w:rtl/>
        </w:rPr>
        <w:t>,</w:t>
      </w:r>
      <w:r w:rsidRPr="00BD5E91">
        <w:rPr>
          <w:sz w:val="22"/>
          <w:szCs w:val="22"/>
          <w:rtl/>
        </w:rPr>
        <w:t xml:space="preserve"> שהן ג' מוחין שנחלקין לד'</w:t>
      </w:r>
      <w:r>
        <w:rPr>
          <w:rFonts w:hint="cs"/>
          <w:sz w:val="22"/>
          <w:szCs w:val="22"/>
          <w:rtl/>
        </w:rPr>
        <w:t>.</w:t>
      </w:r>
      <w:r w:rsidRPr="00BD5E91">
        <w:rPr>
          <w:sz w:val="22"/>
          <w:szCs w:val="22"/>
          <w:rtl/>
        </w:rPr>
        <w:t xml:space="preserve"> וז"ש כאן כגלידא תקיפא</w:t>
      </w:r>
      <w:r>
        <w:rPr>
          <w:rFonts w:hint="cs"/>
          <w:sz w:val="22"/>
          <w:szCs w:val="22"/>
          <w:rtl/>
        </w:rPr>
        <w:t>,</w:t>
      </w:r>
      <w:r w:rsidRPr="00BD5E91">
        <w:rPr>
          <w:sz w:val="22"/>
          <w:szCs w:val="22"/>
          <w:rtl/>
        </w:rPr>
        <w:t xml:space="preserve"> שהוא מורכב</w:t>
      </w:r>
      <w:r>
        <w:rPr>
          <w:rFonts w:hint="cs"/>
          <w:sz w:val="22"/>
          <w:szCs w:val="22"/>
          <w:rtl/>
        </w:rPr>
        <w:t>.</w:t>
      </w:r>
      <w:r w:rsidRPr="00BD5E91">
        <w:rPr>
          <w:sz w:val="22"/>
          <w:szCs w:val="22"/>
          <w:rtl/>
        </w:rPr>
        <w:t xml:space="preserve"> וכמ"ש במרכבה ע"ש]:</w:t>
      </w:r>
    </w:p>
  </w:footnote>
  <w:footnote w:id="6976">
    <w:p w:rsidR="00007309" w:rsidRPr="00BD5E91" w:rsidRDefault="00007309" w:rsidP="00007309">
      <w:pPr>
        <w:jc w:val="both"/>
        <w:rPr>
          <w:rFonts w:cs="Arial"/>
          <w:sz w:val="22"/>
          <w:szCs w:val="22"/>
          <w:rtl/>
        </w:rPr>
      </w:pPr>
      <w:r w:rsidRPr="00BD5E91">
        <w:rPr>
          <w:rStyle w:val="a7"/>
          <w:rFonts w:cs="Arial"/>
          <w:sz w:val="22"/>
          <w:szCs w:val="22"/>
          <w:rtl/>
        </w:rPr>
        <w:footnoteRef/>
      </w:r>
      <w:r w:rsidRPr="00BD5E91">
        <w:rPr>
          <w:rFonts w:cs="Arial"/>
          <w:sz w:val="22"/>
          <w:szCs w:val="22"/>
          <w:rtl/>
        </w:rPr>
        <w:t xml:space="preserve"> </w:t>
      </w:r>
      <w:r w:rsidRPr="00BD5E91">
        <w:rPr>
          <w:rFonts w:cs="Arial"/>
          <w:b/>
          <w:bCs/>
          <w:sz w:val="22"/>
          <w:szCs w:val="22"/>
          <w:rtl/>
        </w:rPr>
        <w:t>ומצדיקי הרבים כו'.</w:t>
      </w:r>
      <w:r w:rsidRPr="00BD5E91">
        <w:rPr>
          <w:rFonts w:cs="Arial"/>
          <w:sz w:val="22"/>
          <w:szCs w:val="22"/>
          <w:rtl/>
        </w:rPr>
        <w:t xml:space="preserve"> ר"ל כזוהר הוא ניגון הטעמים, שנהיר לאותיות ונקודות הדרך לילך, הרקיע הוא התפשטות הניגון שמתפשט כעין רקיע</w:t>
      </w:r>
      <w:r>
        <w:rPr>
          <w:rFonts w:cs="Arial" w:hint="cs"/>
          <w:sz w:val="22"/>
          <w:szCs w:val="22"/>
          <w:rtl/>
        </w:rPr>
        <w:t>,</w:t>
      </w:r>
      <w:r w:rsidRPr="00BD5E91">
        <w:rPr>
          <w:rFonts w:cs="Arial"/>
          <w:sz w:val="22"/>
          <w:szCs w:val="22"/>
          <w:rtl/>
        </w:rPr>
        <w:t xml:space="preserve"> ומצדיקי הוא הפסקות המלה בטעם</w:t>
      </w:r>
      <w:r>
        <w:rPr>
          <w:rFonts w:cs="Arial" w:hint="cs"/>
          <w:sz w:val="22"/>
          <w:szCs w:val="22"/>
          <w:rtl/>
        </w:rPr>
        <w:t>,</w:t>
      </w:r>
      <w:r w:rsidRPr="00BD5E91">
        <w:rPr>
          <w:rFonts w:cs="Arial"/>
          <w:sz w:val="22"/>
          <w:szCs w:val="22"/>
          <w:rtl/>
        </w:rPr>
        <w:t xml:space="preserve"> לעמוד ולא לילך</w:t>
      </w:r>
      <w:r>
        <w:rPr>
          <w:rFonts w:cs="Arial" w:hint="cs"/>
          <w:sz w:val="22"/>
          <w:szCs w:val="22"/>
          <w:rtl/>
        </w:rPr>
        <w:t>,</w:t>
      </w:r>
      <w:r w:rsidRPr="00BD5E91">
        <w:rPr>
          <w:rFonts w:cs="Arial"/>
          <w:sz w:val="22"/>
          <w:szCs w:val="22"/>
          <w:rtl/>
        </w:rPr>
        <w:t xml:space="preserve"> כמו אתנחתא וסוף פסוק ופסיק ושאר מפסיקים הגדולים</w:t>
      </w:r>
      <w:r>
        <w:rPr>
          <w:rFonts w:cs="Arial" w:hint="cs"/>
          <w:sz w:val="22"/>
          <w:szCs w:val="22"/>
          <w:rtl/>
        </w:rPr>
        <w:t>,</w:t>
      </w:r>
      <w:r w:rsidRPr="00BD5E91">
        <w:rPr>
          <w:rFonts w:cs="Arial"/>
          <w:sz w:val="22"/>
          <w:szCs w:val="22"/>
          <w:rtl/>
        </w:rPr>
        <w:t xml:space="preserve"> כמ"ש בפרשת בראשית ט"ו ע"ב והמשכילים יזהירו כו' עד נהירו דאורייתא דנהיר תדיר ולא פסיק</w:t>
      </w:r>
      <w:r>
        <w:rPr>
          <w:rFonts w:cs="Arial" w:hint="cs"/>
          <w:sz w:val="22"/>
          <w:szCs w:val="22"/>
          <w:rtl/>
        </w:rPr>
        <w:t>.</w:t>
      </w:r>
      <w:r w:rsidRPr="00BD5E91">
        <w:rPr>
          <w:rFonts w:cs="Arial"/>
          <w:sz w:val="22"/>
          <w:szCs w:val="22"/>
          <w:rtl/>
        </w:rPr>
        <w:t xml:space="preserve"> ור"ל בינה</w:t>
      </w:r>
      <w:r>
        <w:rPr>
          <w:rFonts w:cs="Arial" w:hint="cs"/>
          <w:sz w:val="22"/>
          <w:szCs w:val="22"/>
          <w:rtl/>
        </w:rPr>
        <w:t>,</w:t>
      </w:r>
      <w:r w:rsidRPr="00BD5E91">
        <w:rPr>
          <w:rFonts w:cs="Arial"/>
          <w:sz w:val="22"/>
          <w:szCs w:val="22"/>
          <w:rtl/>
        </w:rPr>
        <w:t xml:space="preserve"> ימא דאורייתא</w:t>
      </w:r>
      <w:r>
        <w:rPr>
          <w:rFonts w:cs="Arial" w:hint="cs"/>
          <w:sz w:val="22"/>
          <w:szCs w:val="22"/>
          <w:rtl/>
        </w:rPr>
        <w:t>,</w:t>
      </w:r>
      <w:r w:rsidRPr="00BD5E91">
        <w:rPr>
          <w:rFonts w:cs="Arial"/>
          <w:sz w:val="22"/>
          <w:szCs w:val="22"/>
          <w:rtl/>
        </w:rPr>
        <w:t xml:space="preserve"> שהיא ונהר יוצא מעדן</w:t>
      </w:r>
      <w:r>
        <w:rPr>
          <w:rFonts w:cs="Arial" w:hint="cs"/>
          <w:sz w:val="22"/>
          <w:szCs w:val="22"/>
          <w:rtl/>
        </w:rPr>
        <w:t>,</w:t>
      </w:r>
      <w:r w:rsidRPr="00BD5E91">
        <w:rPr>
          <w:rFonts w:cs="Arial"/>
          <w:sz w:val="22"/>
          <w:szCs w:val="22"/>
          <w:rtl/>
        </w:rPr>
        <w:t xml:space="preserve"> יוצא תמיד כמ"ש בזוהר יוצא ולא יצא</w:t>
      </w:r>
      <w:r>
        <w:rPr>
          <w:rFonts w:cs="Arial" w:hint="cs"/>
          <w:sz w:val="22"/>
          <w:szCs w:val="22"/>
          <w:rtl/>
        </w:rPr>
        <w:t>.</w:t>
      </w:r>
      <w:r w:rsidRPr="00BD5E91">
        <w:rPr>
          <w:rFonts w:cs="Arial"/>
          <w:sz w:val="22"/>
          <w:szCs w:val="22"/>
          <w:rtl/>
        </w:rPr>
        <w:t xml:space="preserve"> והמפסיקין הם ז' וז"ש ככוכבים ז' כו':</w:t>
      </w:r>
    </w:p>
  </w:footnote>
  <w:footnote w:id="697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ואמר דאינון מצדיקי הרבים ולא לכולא.</w:t>
      </w:r>
      <w:r w:rsidRPr="00BD5E91">
        <w:rPr>
          <w:sz w:val="22"/>
          <w:szCs w:val="22"/>
          <w:rtl/>
        </w:rPr>
        <w:t xml:space="preserve"> שאין כל התיבות ראויים למפסיקים</w:t>
      </w:r>
      <w:r>
        <w:rPr>
          <w:rFonts w:hint="cs"/>
          <w:sz w:val="22"/>
          <w:szCs w:val="22"/>
          <w:rtl/>
        </w:rPr>
        <w:t>.</w:t>
      </w:r>
      <w:r w:rsidRPr="00BD5E91">
        <w:rPr>
          <w:sz w:val="22"/>
          <w:szCs w:val="22"/>
          <w:rtl/>
        </w:rPr>
        <w:t xml:space="preserve"> וז' הכוכבים ידועים שהם מנהיגי עלמא בז' גלגלים</w:t>
      </w:r>
      <w:r>
        <w:rPr>
          <w:rFonts w:hint="cs"/>
          <w:sz w:val="22"/>
          <w:szCs w:val="22"/>
          <w:rtl/>
        </w:rPr>
        <w:t>,</w:t>
      </w:r>
      <w:r w:rsidRPr="00BD5E91">
        <w:rPr>
          <w:sz w:val="22"/>
          <w:szCs w:val="22"/>
          <w:rtl/>
        </w:rPr>
        <w:t xml:space="preserve"> שצ"ם חנכ"ל</w:t>
      </w:r>
      <w:r>
        <w:rPr>
          <w:rFonts w:hint="cs"/>
          <w:sz w:val="22"/>
          <w:szCs w:val="22"/>
          <w:rtl/>
        </w:rPr>
        <w:t>.</w:t>
      </w:r>
      <w:r w:rsidRPr="00BD5E91">
        <w:rPr>
          <w:sz w:val="22"/>
          <w:szCs w:val="22"/>
          <w:rtl/>
        </w:rPr>
        <w:t xml:space="preserve"> וז"ש דנהרין ונטלין לאענאה עלמא</w:t>
      </w:r>
      <w:r>
        <w:rPr>
          <w:rFonts w:hint="cs"/>
          <w:sz w:val="22"/>
          <w:szCs w:val="22"/>
          <w:rtl/>
        </w:rPr>
        <w:t>.</w:t>
      </w:r>
      <w:r w:rsidRPr="00BD5E91">
        <w:rPr>
          <w:sz w:val="22"/>
          <w:szCs w:val="22"/>
          <w:rtl/>
        </w:rPr>
        <w:t xml:space="preserve"> והם נגד ז"ס (מבינה ולמטה)</w:t>
      </w:r>
      <w:r>
        <w:rPr>
          <w:rFonts w:hint="cs"/>
          <w:sz w:val="22"/>
          <w:szCs w:val="22"/>
          <w:rtl/>
        </w:rPr>
        <w:t>,</w:t>
      </w:r>
      <w:r w:rsidRPr="00BD5E91">
        <w:rPr>
          <w:sz w:val="22"/>
          <w:szCs w:val="22"/>
          <w:rtl/>
        </w:rPr>
        <w:t xml:space="preserve"> ז' ימים</w:t>
      </w:r>
      <w:r>
        <w:rPr>
          <w:rFonts w:hint="cs"/>
          <w:sz w:val="22"/>
          <w:szCs w:val="22"/>
          <w:rtl/>
        </w:rPr>
        <w:t>,</w:t>
      </w:r>
      <w:r w:rsidRPr="00BD5E91">
        <w:rPr>
          <w:sz w:val="22"/>
          <w:szCs w:val="22"/>
          <w:rtl/>
        </w:rPr>
        <w:t xml:space="preserve"> כמ"ש בס"י (והוא הכל בז"א בהתפשטות הבינה שנקראת שבע בסוד (מלכים א ו לח) ויבנהו שבע שנים)</w:t>
      </w:r>
      <w:r>
        <w:rPr>
          <w:rFonts w:hint="cs"/>
          <w:sz w:val="22"/>
          <w:szCs w:val="22"/>
          <w:rtl/>
        </w:rPr>
        <w:t>.</w:t>
      </w:r>
      <w:r w:rsidRPr="00BD5E91">
        <w:rPr>
          <w:sz w:val="22"/>
          <w:szCs w:val="22"/>
          <w:rtl/>
        </w:rPr>
        <w:t xml:space="preserve"> והן ימינא ושמאלא</w:t>
      </w:r>
      <w:r>
        <w:rPr>
          <w:rFonts w:hint="cs"/>
          <w:sz w:val="22"/>
          <w:szCs w:val="22"/>
          <w:rtl/>
        </w:rPr>
        <w:t>,</w:t>
      </w:r>
      <w:r w:rsidRPr="00BD5E91">
        <w:rPr>
          <w:sz w:val="22"/>
          <w:szCs w:val="22"/>
          <w:rtl/>
        </w:rPr>
        <w:t xml:space="preserve"> חו"ג</w:t>
      </w:r>
      <w:r>
        <w:rPr>
          <w:rFonts w:hint="cs"/>
          <w:sz w:val="22"/>
          <w:szCs w:val="22"/>
          <w:rtl/>
        </w:rPr>
        <w:t>,</w:t>
      </w:r>
      <w:r w:rsidRPr="00BD5E91">
        <w:rPr>
          <w:sz w:val="22"/>
          <w:szCs w:val="22"/>
          <w:rtl/>
        </w:rPr>
        <w:t xml:space="preserve"> וכן שאר הספירות</w:t>
      </w:r>
      <w:r>
        <w:rPr>
          <w:rFonts w:hint="cs"/>
          <w:sz w:val="22"/>
          <w:szCs w:val="22"/>
          <w:rtl/>
        </w:rPr>
        <w:t>.</w:t>
      </w:r>
      <w:r w:rsidRPr="00BD5E91">
        <w:rPr>
          <w:sz w:val="22"/>
          <w:szCs w:val="22"/>
          <w:rtl/>
        </w:rPr>
        <w:t xml:space="preserve"> וז"ש מנהון לימינא כו' ואמר </w:t>
      </w:r>
      <w:r w:rsidRPr="00BD5E91">
        <w:rPr>
          <w:b/>
          <w:bCs/>
          <w:sz w:val="22"/>
          <w:szCs w:val="22"/>
          <w:rtl/>
        </w:rPr>
        <w:t>זנבי שוליהון כו'.</w:t>
      </w:r>
      <w:r w:rsidRPr="00BD5E91">
        <w:rPr>
          <w:sz w:val="22"/>
          <w:szCs w:val="22"/>
          <w:rtl/>
        </w:rPr>
        <w:t xml:space="preserve"> הם כוכבים הזנביים</w:t>
      </w:r>
      <w:r>
        <w:rPr>
          <w:rFonts w:hint="cs"/>
          <w:sz w:val="22"/>
          <w:szCs w:val="22"/>
          <w:rtl/>
        </w:rPr>
        <w:t>,</w:t>
      </w:r>
      <w:r w:rsidRPr="00BD5E91">
        <w:rPr>
          <w:sz w:val="22"/>
          <w:szCs w:val="22"/>
          <w:rtl/>
        </w:rPr>
        <w:t xml:space="preserve"> כוכבי דשביט</w:t>
      </w:r>
      <w:r>
        <w:rPr>
          <w:rFonts w:hint="cs"/>
          <w:sz w:val="22"/>
          <w:szCs w:val="22"/>
          <w:rtl/>
        </w:rPr>
        <w:t>,</w:t>
      </w:r>
      <w:r w:rsidRPr="00BD5E91">
        <w:rPr>
          <w:sz w:val="22"/>
          <w:szCs w:val="22"/>
          <w:rtl/>
        </w:rPr>
        <w:t xml:space="preserve"> והן ז' כוכבים כמ"ש בזוהר</w:t>
      </w:r>
      <w:r>
        <w:rPr>
          <w:rFonts w:hint="cs"/>
          <w:sz w:val="22"/>
          <w:szCs w:val="22"/>
          <w:rtl/>
        </w:rPr>
        <w:t>,</w:t>
      </w:r>
      <w:r w:rsidRPr="00BD5E91">
        <w:rPr>
          <w:sz w:val="22"/>
          <w:szCs w:val="22"/>
          <w:rtl/>
        </w:rPr>
        <w:t xml:space="preserve"> ומראיתן כמו שולי קדרה שעומד על האש שאינו שורף כמו אש הסנה</w:t>
      </w:r>
      <w:r>
        <w:rPr>
          <w:rFonts w:hint="cs"/>
          <w:sz w:val="22"/>
          <w:szCs w:val="22"/>
          <w:rtl/>
        </w:rPr>
        <w:t>,</w:t>
      </w:r>
      <w:r w:rsidRPr="00BD5E91">
        <w:rPr>
          <w:sz w:val="22"/>
          <w:szCs w:val="22"/>
          <w:rtl/>
        </w:rPr>
        <w:t xml:space="preserve"> וז"ש כשולי קדירה דקיימא כו'</w:t>
      </w:r>
      <w:r>
        <w:rPr>
          <w:rFonts w:hint="cs"/>
          <w:sz w:val="22"/>
          <w:szCs w:val="22"/>
          <w:rtl/>
        </w:rPr>
        <w:t>.</w:t>
      </w:r>
      <w:r w:rsidRPr="00BD5E91">
        <w:rPr>
          <w:sz w:val="22"/>
          <w:szCs w:val="22"/>
          <w:rtl/>
        </w:rPr>
        <w:t xml:space="preserve"> ואמר </w:t>
      </w:r>
      <w:r w:rsidRPr="00BD5E91">
        <w:rPr>
          <w:b/>
          <w:bCs/>
          <w:sz w:val="22"/>
          <w:szCs w:val="22"/>
          <w:rtl/>
        </w:rPr>
        <w:t>שבעה נטלי כו'.</w:t>
      </w:r>
      <w:r w:rsidRPr="00BD5E91">
        <w:rPr>
          <w:sz w:val="22"/>
          <w:szCs w:val="22"/>
          <w:rtl/>
        </w:rPr>
        <w:t xml:space="preserve"> ששני פעמים ז' הם</w:t>
      </w:r>
      <w:r>
        <w:rPr>
          <w:rFonts w:hint="cs"/>
          <w:sz w:val="22"/>
          <w:szCs w:val="22"/>
          <w:rtl/>
        </w:rPr>
        <w:t>,</w:t>
      </w:r>
      <w:r w:rsidRPr="00BD5E91">
        <w:rPr>
          <w:sz w:val="22"/>
          <w:szCs w:val="22"/>
          <w:rtl/>
        </w:rPr>
        <w:t xml:space="preserve"> כמ"ש (מלכים א ח סה) שבע' ימים ושבע' ימים</w:t>
      </w:r>
      <w:r>
        <w:rPr>
          <w:rFonts w:hint="cs"/>
          <w:sz w:val="22"/>
          <w:szCs w:val="22"/>
          <w:rtl/>
        </w:rPr>
        <w:t>,</w:t>
      </w:r>
      <w:r w:rsidRPr="00BD5E91">
        <w:rPr>
          <w:sz w:val="22"/>
          <w:szCs w:val="22"/>
          <w:rtl/>
        </w:rPr>
        <w:t xml:space="preserve"> שהן ז' היכלות דזו"נ</w:t>
      </w:r>
      <w:r>
        <w:rPr>
          <w:rFonts w:hint="cs"/>
          <w:sz w:val="22"/>
          <w:szCs w:val="22"/>
          <w:rtl/>
        </w:rPr>
        <w:t>,</w:t>
      </w:r>
      <w:r w:rsidRPr="00BD5E91">
        <w:rPr>
          <w:sz w:val="22"/>
          <w:szCs w:val="22"/>
          <w:rtl/>
        </w:rPr>
        <w:t xml:space="preserve"> שהן כפולות</w:t>
      </w:r>
      <w:r>
        <w:rPr>
          <w:rFonts w:hint="cs"/>
          <w:sz w:val="22"/>
          <w:szCs w:val="22"/>
          <w:rtl/>
        </w:rPr>
        <w:t>,</w:t>
      </w:r>
      <w:r w:rsidRPr="00BD5E91">
        <w:rPr>
          <w:sz w:val="22"/>
          <w:szCs w:val="22"/>
          <w:rtl/>
        </w:rPr>
        <w:t xml:space="preserve"> והן כנגד ז' כפולות שכ' בס"י</w:t>
      </w:r>
      <w:r>
        <w:rPr>
          <w:rFonts w:hint="cs"/>
          <w:sz w:val="22"/>
          <w:szCs w:val="22"/>
          <w:rtl/>
        </w:rPr>
        <w:t>,</w:t>
      </w:r>
      <w:r w:rsidRPr="00BD5E91">
        <w:rPr>
          <w:sz w:val="22"/>
          <w:szCs w:val="22"/>
          <w:rtl/>
        </w:rPr>
        <w:t xml:space="preserve"> ז' דדכורא וז' דנוקבא</w:t>
      </w:r>
      <w:r>
        <w:rPr>
          <w:rFonts w:hint="cs"/>
          <w:sz w:val="22"/>
          <w:szCs w:val="22"/>
          <w:rtl/>
        </w:rPr>
        <w:t>.</w:t>
      </w:r>
      <w:r w:rsidRPr="00BD5E91">
        <w:rPr>
          <w:sz w:val="22"/>
          <w:szCs w:val="22"/>
          <w:rtl/>
        </w:rPr>
        <w:t xml:space="preserve"> והם כוללים ע"ס שלהם</w:t>
      </w:r>
      <w:r>
        <w:rPr>
          <w:rFonts w:hint="cs"/>
          <w:sz w:val="22"/>
          <w:szCs w:val="22"/>
          <w:rtl/>
        </w:rPr>
        <w:t>.</w:t>
      </w:r>
      <w:r w:rsidRPr="00BD5E91">
        <w:rPr>
          <w:sz w:val="22"/>
          <w:szCs w:val="22"/>
          <w:rtl/>
        </w:rPr>
        <w:t xml:space="preserve"> שו' כוכבים הן כוללים ז"ת</w:t>
      </w:r>
      <w:r>
        <w:rPr>
          <w:rFonts w:hint="cs"/>
          <w:sz w:val="22"/>
          <w:szCs w:val="22"/>
          <w:rtl/>
        </w:rPr>
        <w:t>,</w:t>
      </w:r>
      <w:r w:rsidRPr="00BD5E91">
        <w:rPr>
          <w:sz w:val="22"/>
          <w:szCs w:val="22"/>
          <w:rtl/>
        </w:rPr>
        <w:t xml:space="preserve"> וכוכב שבתאי כולל ג"ס עליונות כידוע בסוד ז' היכלות</w:t>
      </w:r>
      <w:r>
        <w:rPr>
          <w:rFonts w:hint="cs"/>
          <w:sz w:val="22"/>
          <w:szCs w:val="22"/>
          <w:rtl/>
        </w:rPr>
        <w:t>.</w:t>
      </w:r>
      <w:r w:rsidRPr="00BD5E91">
        <w:rPr>
          <w:sz w:val="22"/>
          <w:szCs w:val="22"/>
          <w:rtl/>
        </w:rPr>
        <w:t xml:space="preserve"> וז"ש שבעה נטלי</w:t>
      </w:r>
      <w:r>
        <w:rPr>
          <w:rFonts w:hint="cs"/>
          <w:sz w:val="22"/>
          <w:szCs w:val="22"/>
          <w:rtl/>
        </w:rPr>
        <w:t>,</w:t>
      </w:r>
      <w:r w:rsidRPr="00BD5E91">
        <w:rPr>
          <w:sz w:val="22"/>
          <w:szCs w:val="22"/>
          <w:rtl/>
        </w:rPr>
        <w:t xml:space="preserve"> שהם דז"א</w:t>
      </w:r>
      <w:r>
        <w:rPr>
          <w:rFonts w:hint="cs"/>
          <w:sz w:val="22"/>
          <w:szCs w:val="22"/>
          <w:rtl/>
        </w:rPr>
        <w:t>,</w:t>
      </w:r>
      <w:r w:rsidRPr="00BD5E91">
        <w:rPr>
          <w:sz w:val="22"/>
          <w:szCs w:val="22"/>
          <w:rtl/>
        </w:rPr>
        <w:t xml:space="preserve"> בסוד דור הולך ודור בא כו'</w:t>
      </w:r>
      <w:r>
        <w:rPr>
          <w:rFonts w:hint="cs"/>
          <w:sz w:val="22"/>
          <w:szCs w:val="22"/>
          <w:rtl/>
        </w:rPr>
        <w:t>,</w:t>
      </w:r>
      <w:r w:rsidRPr="00BD5E91">
        <w:rPr>
          <w:sz w:val="22"/>
          <w:szCs w:val="22"/>
          <w:rtl/>
        </w:rPr>
        <w:t xml:space="preserve"> וזרח השמש ובא השמש, סובב סובב הולך הרוח, כל הנחלים הולכים אל הים</w:t>
      </w:r>
      <w:r>
        <w:rPr>
          <w:rFonts w:hint="cs"/>
          <w:sz w:val="22"/>
          <w:szCs w:val="22"/>
          <w:rtl/>
        </w:rPr>
        <w:t>,</w:t>
      </w:r>
      <w:r w:rsidRPr="00BD5E91">
        <w:rPr>
          <w:sz w:val="22"/>
          <w:szCs w:val="22"/>
          <w:rtl/>
        </w:rPr>
        <w:t xml:space="preserve"> שהם ז' נחלים דז"א</w:t>
      </w:r>
      <w:r>
        <w:rPr>
          <w:rFonts w:hint="cs"/>
          <w:sz w:val="22"/>
          <w:szCs w:val="22"/>
          <w:rtl/>
        </w:rPr>
        <w:t>,</w:t>
      </w:r>
      <w:r w:rsidRPr="00BD5E91">
        <w:rPr>
          <w:sz w:val="22"/>
          <w:szCs w:val="22"/>
          <w:rtl/>
        </w:rPr>
        <w:t xml:space="preserve"> והוא הולך תמיד וסובב לאנהיר לארץ כמו השמש והנחלים והרוח</w:t>
      </w:r>
      <w:r>
        <w:rPr>
          <w:rFonts w:hint="cs"/>
          <w:sz w:val="22"/>
          <w:szCs w:val="22"/>
          <w:rtl/>
        </w:rPr>
        <w:t>,</w:t>
      </w:r>
      <w:r w:rsidRPr="00BD5E91">
        <w:rPr>
          <w:sz w:val="22"/>
          <w:szCs w:val="22"/>
          <w:rtl/>
        </w:rPr>
        <w:t xml:space="preserve"> שהכל דרגא דז"א</w:t>
      </w:r>
      <w:r>
        <w:rPr>
          <w:rFonts w:hint="cs"/>
          <w:sz w:val="22"/>
          <w:szCs w:val="22"/>
          <w:rtl/>
        </w:rPr>
        <w:t>.</w:t>
      </w:r>
      <w:r w:rsidRPr="00BD5E91">
        <w:rPr>
          <w:sz w:val="22"/>
          <w:szCs w:val="22"/>
          <w:rtl/>
        </w:rPr>
        <w:t xml:space="preserve"> והארץ לעולם עומדת</w:t>
      </w:r>
      <w:r>
        <w:rPr>
          <w:rFonts w:hint="cs"/>
          <w:sz w:val="22"/>
          <w:szCs w:val="22"/>
          <w:rtl/>
        </w:rPr>
        <w:t>,</w:t>
      </w:r>
      <w:r w:rsidRPr="00BD5E91">
        <w:rPr>
          <w:sz w:val="22"/>
          <w:szCs w:val="22"/>
          <w:rtl/>
        </w:rPr>
        <w:t xml:space="preserve"> וכן הים כידוע</w:t>
      </w:r>
      <w:r>
        <w:rPr>
          <w:rFonts w:hint="cs"/>
          <w:sz w:val="22"/>
          <w:szCs w:val="22"/>
          <w:rtl/>
        </w:rPr>
        <w:t>,</w:t>
      </w:r>
      <w:r w:rsidRPr="00BD5E91">
        <w:rPr>
          <w:sz w:val="22"/>
          <w:szCs w:val="22"/>
          <w:rtl/>
        </w:rPr>
        <w:t xml:space="preserve"> וכ"ה באדם</w:t>
      </w:r>
      <w:r>
        <w:rPr>
          <w:rFonts w:hint="cs"/>
          <w:sz w:val="22"/>
          <w:szCs w:val="22"/>
          <w:rtl/>
        </w:rPr>
        <w:t>,</w:t>
      </w:r>
      <w:r w:rsidRPr="00BD5E91">
        <w:rPr>
          <w:sz w:val="22"/>
          <w:szCs w:val="22"/>
          <w:rtl/>
        </w:rPr>
        <w:t xml:space="preserve"> כי הרוח הולך וסובב בגלגולים</w:t>
      </w:r>
      <w:r>
        <w:rPr>
          <w:rFonts w:hint="cs"/>
          <w:sz w:val="22"/>
          <w:szCs w:val="22"/>
          <w:rtl/>
        </w:rPr>
        <w:t>,</w:t>
      </w:r>
      <w:r w:rsidRPr="00BD5E91">
        <w:rPr>
          <w:sz w:val="22"/>
          <w:szCs w:val="22"/>
          <w:rtl/>
        </w:rPr>
        <w:t xml:space="preserve"> שז"ס דור הולך כו'</w:t>
      </w:r>
      <w:r>
        <w:rPr>
          <w:rFonts w:hint="cs"/>
          <w:sz w:val="22"/>
          <w:szCs w:val="22"/>
          <w:rtl/>
        </w:rPr>
        <w:t>,</w:t>
      </w:r>
      <w:r w:rsidRPr="00BD5E91">
        <w:rPr>
          <w:sz w:val="22"/>
          <w:szCs w:val="22"/>
          <w:rtl/>
        </w:rPr>
        <w:t xml:space="preserve"> מסטרא דו"ק</w:t>
      </w:r>
      <w:r>
        <w:rPr>
          <w:rFonts w:hint="cs"/>
          <w:sz w:val="22"/>
          <w:szCs w:val="22"/>
          <w:rtl/>
        </w:rPr>
        <w:t>,</w:t>
      </w:r>
      <w:r w:rsidRPr="00BD5E91">
        <w:rPr>
          <w:sz w:val="22"/>
          <w:szCs w:val="22"/>
          <w:rtl/>
        </w:rPr>
        <w:t xml:space="preserve"> ס"ר בכל דור בגלגול</w:t>
      </w:r>
      <w:r>
        <w:rPr>
          <w:rFonts w:hint="cs"/>
          <w:sz w:val="22"/>
          <w:szCs w:val="22"/>
          <w:rtl/>
        </w:rPr>
        <w:t>,</w:t>
      </w:r>
      <w:r w:rsidRPr="00BD5E91">
        <w:rPr>
          <w:sz w:val="22"/>
          <w:szCs w:val="22"/>
          <w:rtl/>
        </w:rPr>
        <w:t xml:space="preserve"> והנפש אינה הולכת בגלגול בסוד והארץ כו'</w:t>
      </w:r>
      <w:r>
        <w:rPr>
          <w:rFonts w:hint="cs"/>
          <w:sz w:val="22"/>
          <w:szCs w:val="22"/>
          <w:rtl/>
        </w:rPr>
        <w:t>,</w:t>
      </w:r>
      <w:r w:rsidRPr="00BD5E91">
        <w:rPr>
          <w:sz w:val="22"/>
          <w:szCs w:val="22"/>
          <w:rtl/>
        </w:rPr>
        <w:t xml:space="preserve"> כמ"ש בתיקונים </w:t>
      </w:r>
      <w:r>
        <w:rPr>
          <w:rFonts w:hint="cs"/>
          <w:sz w:val="22"/>
          <w:szCs w:val="22"/>
          <w:rtl/>
        </w:rPr>
        <w:t xml:space="preserve">(תיקון סט) </w:t>
      </w:r>
      <w:r w:rsidRPr="00BD5E91">
        <w:rPr>
          <w:sz w:val="22"/>
          <w:szCs w:val="22"/>
          <w:rtl/>
        </w:rPr>
        <w:t xml:space="preserve">(דו"נ הם עיגולא ורבועא ואמר בבהיר עגולא בגו רבוע' רהיט רבוע' כו' לא רהיט). ואמר </w:t>
      </w:r>
      <w:r w:rsidRPr="00BD5E91">
        <w:rPr>
          <w:b/>
          <w:bCs/>
          <w:sz w:val="22"/>
          <w:szCs w:val="22"/>
          <w:rtl/>
        </w:rPr>
        <w:t>תמינאה אתחזי בהו.</w:t>
      </w:r>
      <w:r w:rsidRPr="00BD5E91">
        <w:rPr>
          <w:sz w:val="22"/>
          <w:szCs w:val="22"/>
          <w:rtl/>
        </w:rPr>
        <w:t xml:space="preserve"> ר"ל בינה</w:t>
      </w:r>
      <w:r>
        <w:rPr>
          <w:rFonts w:hint="cs"/>
          <w:sz w:val="22"/>
          <w:szCs w:val="22"/>
          <w:rtl/>
        </w:rPr>
        <w:t>,</w:t>
      </w:r>
      <w:r w:rsidRPr="00BD5E91">
        <w:rPr>
          <w:sz w:val="22"/>
          <w:szCs w:val="22"/>
          <w:rtl/>
        </w:rPr>
        <w:t xml:space="preserve"> שהיא עצמה סתים</w:t>
      </w:r>
      <w:r>
        <w:rPr>
          <w:rFonts w:hint="cs"/>
          <w:sz w:val="22"/>
          <w:szCs w:val="22"/>
          <w:rtl/>
        </w:rPr>
        <w:t>,</w:t>
      </w:r>
      <w:r w:rsidRPr="00BD5E91">
        <w:rPr>
          <w:sz w:val="22"/>
          <w:szCs w:val="22"/>
          <w:rtl/>
        </w:rPr>
        <w:t xml:space="preserve"> רק בהתפשטותה בהם כידוע</w:t>
      </w:r>
      <w:r>
        <w:rPr>
          <w:rFonts w:hint="cs"/>
          <w:sz w:val="22"/>
          <w:szCs w:val="22"/>
          <w:rtl/>
        </w:rPr>
        <w:t>.</w:t>
      </w:r>
      <w:r w:rsidRPr="00BD5E91">
        <w:rPr>
          <w:sz w:val="22"/>
          <w:szCs w:val="22"/>
          <w:rtl/>
        </w:rPr>
        <w:t xml:space="preserve"> והיא נורא דלא אכלה דאתחזי למשה שאמר לעיל בלבת אש שהוא לב השמים</w:t>
      </w:r>
      <w:r>
        <w:rPr>
          <w:rFonts w:hint="cs"/>
          <w:sz w:val="22"/>
          <w:szCs w:val="22"/>
          <w:rtl/>
        </w:rPr>
        <w:t>,</w:t>
      </w:r>
      <w:r w:rsidRPr="00BD5E91">
        <w:rPr>
          <w:sz w:val="22"/>
          <w:szCs w:val="22"/>
          <w:rtl/>
        </w:rPr>
        <w:t xml:space="preserve"> לב האדם</w:t>
      </w:r>
      <w:r>
        <w:rPr>
          <w:rFonts w:hint="cs"/>
          <w:sz w:val="22"/>
          <w:szCs w:val="22"/>
          <w:rtl/>
        </w:rPr>
        <w:t>,</w:t>
      </w:r>
      <w:r w:rsidRPr="00BD5E91">
        <w:rPr>
          <w:sz w:val="22"/>
          <w:szCs w:val="22"/>
          <w:rtl/>
        </w:rPr>
        <w:t xml:space="preserve"> לבא נורא דדליק</w:t>
      </w:r>
      <w:r>
        <w:rPr>
          <w:rFonts w:hint="cs"/>
          <w:sz w:val="22"/>
          <w:szCs w:val="22"/>
          <w:rtl/>
        </w:rPr>
        <w:t>.</w:t>
      </w:r>
      <w:r w:rsidRPr="00BD5E91">
        <w:rPr>
          <w:sz w:val="22"/>
          <w:szCs w:val="22"/>
          <w:rtl/>
        </w:rPr>
        <w:t xml:space="preserve"> ואינ</w:t>
      </w:r>
      <w:r>
        <w:rPr>
          <w:rFonts w:hint="cs"/>
          <w:sz w:val="22"/>
          <w:szCs w:val="22"/>
          <w:rtl/>
        </w:rPr>
        <w:t>ה</w:t>
      </w:r>
      <w:r w:rsidRPr="00BD5E91">
        <w:rPr>
          <w:sz w:val="22"/>
          <w:szCs w:val="22"/>
          <w:rtl/>
        </w:rPr>
        <w:t xml:space="preserve"> שורפת את האדם</w:t>
      </w:r>
      <w:r>
        <w:rPr>
          <w:rFonts w:hint="cs"/>
          <w:sz w:val="22"/>
          <w:szCs w:val="22"/>
          <w:rtl/>
        </w:rPr>
        <w:t>.</w:t>
      </w:r>
      <w:r w:rsidRPr="00BD5E91">
        <w:rPr>
          <w:sz w:val="22"/>
          <w:szCs w:val="22"/>
          <w:rtl/>
        </w:rPr>
        <w:t xml:space="preserve"> וקיומו של האדם באותו אש</w:t>
      </w:r>
      <w:r>
        <w:rPr>
          <w:rFonts w:hint="cs"/>
          <w:sz w:val="22"/>
          <w:szCs w:val="22"/>
          <w:rtl/>
        </w:rPr>
        <w:t>.</w:t>
      </w:r>
      <w:r w:rsidRPr="00BD5E91">
        <w:rPr>
          <w:sz w:val="22"/>
          <w:szCs w:val="22"/>
          <w:rtl/>
        </w:rPr>
        <w:t xml:space="preserve"> ואמר דאתחזי ולא אכלה</w:t>
      </w:r>
      <w:r>
        <w:rPr>
          <w:rFonts w:hint="cs"/>
          <w:sz w:val="22"/>
          <w:szCs w:val="22"/>
          <w:rtl/>
        </w:rPr>
        <w:t>.</w:t>
      </w:r>
      <w:r w:rsidRPr="00BD5E91">
        <w:rPr>
          <w:sz w:val="22"/>
          <w:szCs w:val="22"/>
          <w:rtl/>
        </w:rPr>
        <w:t xml:space="preserve"> והיא הרקיע שע"ג החיות:</w:t>
      </w:r>
    </w:p>
  </w:footnote>
  <w:footnote w:id="697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תשיעאה נטיל לון.</w:t>
      </w:r>
      <w:r w:rsidRPr="00BD5E91">
        <w:rPr>
          <w:sz w:val="22"/>
          <w:szCs w:val="22"/>
          <w:rtl/>
        </w:rPr>
        <w:t xml:space="preserve"> היא חכמה</w:t>
      </w:r>
      <w:r>
        <w:rPr>
          <w:rFonts w:hint="cs"/>
          <w:sz w:val="22"/>
          <w:szCs w:val="22"/>
          <w:rtl/>
        </w:rPr>
        <w:t>,</w:t>
      </w:r>
      <w:r w:rsidRPr="00BD5E91">
        <w:rPr>
          <w:sz w:val="22"/>
          <w:szCs w:val="22"/>
          <w:rtl/>
        </w:rPr>
        <w:t xml:space="preserve"> (תהלים קד כד) כולם בחכמה כו'</w:t>
      </w:r>
      <w:r>
        <w:rPr>
          <w:rFonts w:hint="cs"/>
          <w:sz w:val="22"/>
          <w:szCs w:val="22"/>
          <w:rtl/>
        </w:rPr>
        <w:t>.</w:t>
      </w:r>
      <w:r w:rsidRPr="00BD5E91">
        <w:rPr>
          <w:sz w:val="22"/>
          <w:szCs w:val="22"/>
          <w:rtl/>
        </w:rPr>
        <w:t xml:space="preserve"> והוא האדם שעל הכסא</w:t>
      </w:r>
      <w:r>
        <w:rPr>
          <w:rFonts w:hint="cs"/>
          <w:sz w:val="22"/>
          <w:szCs w:val="22"/>
          <w:rtl/>
        </w:rPr>
        <w:t>,</w:t>
      </w:r>
      <w:r w:rsidRPr="00BD5E91">
        <w:rPr>
          <w:sz w:val="22"/>
          <w:szCs w:val="22"/>
          <w:rtl/>
        </w:rPr>
        <w:t xml:space="preserve"> שע"י נוטלין כולא</w:t>
      </w:r>
      <w:r>
        <w:rPr>
          <w:rFonts w:hint="cs"/>
          <w:sz w:val="22"/>
          <w:szCs w:val="22"/>
          <w:rtl/>
        </w:rPr>
        <w:t>.</w:t>
      </w:r>
      <w:r w:rsidRPr="00BD5E91">
        <w:rPr>
          <w:sz w:val="22"/>
          <w:szCs w:val="22"/>
          <w:rtl/>
        </w:rPr>
        <w:t xml:space="preserve"> וז"ש אל אשר יהיה שמה הרוח ללכת ילכו</w:t>
      </w:r>
      <w:r>
        <w:rPr>
          <w:rFonts w:hint="cs"/>
          <w:sz w:val="22"/>
          <w:szCs w:val="22"/>
          <w:rtl/>
        </w:rPr>
        <w:t>,</w:t>
      </w:r>
      <w:r w:rsidRPr="00BD5E91">
        <w:rPr>
          <w:sz w:val="22"/>
          <w:szCs w:val="22"/>
          <w:rtl/>
        </w:rPr>
        <w:t xml:space="preserve"> הרוח מלמעל</w:t>
      </w:r>
      <w:r>
        <w:rPr>
          <w:rFonts w:hint="cs"/>
          <w:sz w:val="22"/>
          <w:szCs w:val="22"/>
          <w:rtl/>
        </w:rPr>
        <w:t>ה,</w:t>
      </w:r>
      <w:r w:rsidRPr="00BD5E91">
        <w:rPr>
          <w:sz w:val="22"/>
          <w:szCs w:val="22"/>
          <w:rtl/>
        </w:rPr>
        <w:t xml:space="preserve"> מאדם</w:t>
      </w:r>
      <w:r>
        <w:rPr>
          <w:rFonts w:hint="cs"/>
          <w:sz w:val="22"/>
          <w:szCs w:val="22"/>
          <w:rtl/>
        </w:rPr>
        <w:t>,</w:t>
      </w:r>
      <w:r w:rsidRPr="00BD5E91">
        <w:rPr>
          <w:sz w:val="22"/>
          <w:szCs w:val="22"/>
          <w:rtl/>
        </w:rPr>
        <w:t xml:space="preserve"> וברצונו הולכי</w:t>
      </w:r>
      <w:r>
        <w:rPr>
          <w:rFonts w:hint="cs"/>
          <w:sz w:val="22"/>
          <w:szCs w:val="22"/>
          <w:rtl/>
        </w:rPr>
        <w:t>ם</w:t>
      </w:r>
      <w:r w:rsidRPr="00BD5E91">
        <w:rPr>
          <w:sz w:val="22"/>
          <w:szCs w:val="22"/>
          <w:rtl/>
        </w:rPr>
        <w:t xml:space="preserve"> החיות</w:t>
      </w:r>
      <w:r>
        <w:rPr>
          <w:rFonts w:hint="cs"/>
          <w:sz w:val="22"/>
          <w:szCs w:val="22"/>
          <w:rtl/>
        </w:rPr>
        <w:t>.</w:t>
      </w:r>
      <w:r w:rsidRPr="00BD5E91">
        <w:rPr>
          <w:sz w:val="22"/>
          <w:szCs w:val="22"/>
          <w:rtl/>
        </w:rPr>
        <w:t xml:space="preserve"> והן בכוכבים</w:t>
      </w:r>
      <w:r>
        <w:rPr>
          <w:rFonts w:hint="cs"/>
          <w:sz w:val="22"/>
          <w:szCs w:val="22"/>
          <w:rtl/>
        </w:rPr>
        <w:t>:</w:t>
      </w:r>
      <w:r w:rsidRPr="00BD5E91">
        <w:rPr>
          <w:sz w:val="22"/>
          <w:szCs w:val="22"/>
          <w:rtl/>
        </w:rPr>
        <w:t xml:space="preserve"> תמינאה</w:t>
      </w:r>
      <w:r>
        <w:rPr>
          <w:rFonts w:hint="cs"/>
          <w:sz w:val="22"/>
          <w:szCs w:val="22"/>
          <w:rtl/>
        </w:rPr>
        <w:t>,</w:t>
      </w:r>
      <w:r w:rsidRPr="00BD5E91">
        <w:rPr>
          <w:sz w:val="22"/>
          <w:szCs w:val="22"/>
          <w:rtl/>
        </w:rPr>
        <w:t xml:space="preserve"> גלגל המזלות</w:t>
      </w:r>
      <w:r>
        <w:rPr>
          <w:rFonts w:hint="cs"/>
          <w:sz w:val="22"/>
          <w:szCs w:val="22"/>
          <w:rtl/>
        </w:rPr>
        <w:t>.</w:t>
      </w:r>
      <w:r w:rsidRPr="00BD5E91">
        <w:rPr>
          <w:sz w:val="22"/>
          <w:szCs w:val="22"/>
          <w:rtl/>
        </w:rPr>
        <w:t xml:space="preserve"> תשיעאה דנטיל לון</w:t>
      </w:r>
      <w:r>
        <w:rPr>
          <w:rFonts w:hint="cs"/>
          <w:sz w:val="22"/>
          <w:szCs w:val="22"/>
          <w:rtl/>
        </w:rPr>
        <w:t>,</w:t>
      </w:r>
      <w:r w:rsidRPr="00BD5E91">
        <w:rPr>
          <w:sz w:val="22"/>
          <w:szCs w:val="22"/>
          <w:rtl/>
        </w:rPr>
        <w:t xml:space="preserve"> גלגל היומי</w:t>
      </w:r>
      <w:r>
        <w:rPr>
          <w:rFonts w:hint="cs"/>
          <w:sz w:val="22"/>
          <w:szCs w:val="22"/>
          <w:rtl/>
        </w:rPr>
        <w:t>,</w:t>
      </w:r>
      <w:r w:rsidRPr="00BD5E91">
        <w:rPr>
          <w:sz w:val="22"/>
          <w:szCs w:val="22"/>
          <w:rtl/>
        </w:rPr>
        <w:t xml:space="preserve"> שבכחו  הולכים כולם</w:t>
      </w:r>
      <w:r>
        <w:rPr>
          <w:rFonts w:hint="cs"/>
          <w:sz w:val="22"/>
          <w:szCs w:val="22"/>
          <w:rtl/>
        </w:rPr>
        <w:t>,</w:t>
      </w:r>
      <w:r w:rsidRPr="00BD5E91">
        <w:rPr>
          <w:sz w:val="22"/>
          <w:szCs w:val="22"/>
          <w:rtl/>
        </w:rPr>
        <w:t xml:space="preserve"> ומכריח את כולם כידוע</w:t>
      </w:r>
      <w:r>
        <w:rPr>
          <w:rFonts w:hint="cs"/>
          <w:sz w:val="22"/>
          <w:szCs w:val="22"/>
          <w:rtl/>
        </w:rPr>
        <w:t>.</w:t>
      </w:r>
      <w:r w:rsidRPr="00BD5E91">
        <w:rPr>
          <w:sz w:val="22"/>
          <w:szCs w:val="22"/>
          <w:rtl/>
        </w:rPr>
        <w:t xml:space="preserve"> והעשירי טמיר וסתים בי</w:t>
      </w:r>
      <w:r>
        <w:rPr>
          <w:rFonts w:hint="cs"/>
          <w:sz w:val="22"/>
          <w:szCs w:val="22"/>
          <w:rtl/>
        </w:rPr>
        <w:t>ה</w:t>
      </w:r>
      <w:r w:rsidRPr="00BD5E91">
        <w:rPr>
          <w:sz w:val="22"/>
          <w:szCs w:val="22"/>
          <w:rtl/>
        </w:rPr>
        <w:t xml:space="preserve"> לאו שירותא וסופא</w:t>
      </w:r>
      <w:r>
        <w:rPr>
          <w:rFonts w:hint="cs"/>
          <w:sz w:val="22"/>
          <w:szCs w:val="22"/>
          <w:rtl/>
        </w:rPr>
        <w:t>.</w:t>
      </w:r>
      <w:r w:rsidRPr="00BD5E91">
        <w:rPr>
          <w:sz w:val="22"/>
          <w:szCs w:val="22"/>
          <w:rtl/>
        </w:rPr>
        <w:t xml:space="preserve"> ושירותא משמיני (והן ז' נקודות</w:t>
      </w:r>
      <w:r>
        <w:rPr>
          <w:rFonts w:hint="cs"/>
          <w:sz w:val="22"/>
          <w:szCs w:val="22"/>
          <w:rtl/>
        </w:rPr>
        <w:t>.</w:t>
      </w:r>
      <w:r w:rsidRPr="00BD5E91">
        <w:rPr>
          <w:sz w:val="22"/>
          <w:szCs w:val="22"/>
          <w:rtl/>
        </w:rPr>
        <w:t xml:space="preserve"> תמינאה אתחזי בהון</w:t>
      </w:r>
      <w:r>
        <w:rPr>
          <w:rFonts w:hint="cs"/>
          <w:sz w:val="22"/>
          <w:szCs w:val="22"/>
          <w:rtl/>
        </w:rPr>
        <w:t>,</w:t>
      </w:r>
      <w:r w:rsidRPr="00BD5E91">
        <w:rPr>
          <w:sz w:val="22"/>
          <w:szCs w:val="22"/>
          <w:rtl/>
        </w:rPr>
        <w:t xml:space="preserve"> הוא קרקע ערבות כמש"ו</w:t>
      </w:r>
      <w:r>
        <w:rPr>
          <w:rFonts w:hint="cs"/>
          <w:sz w:val="22"/>
          <w:szCs w:val="22"/>
          <w:rtl/>
        </w:rPr>
        <w:t>.</w:t>
      </w:r>
      <w:r w:rsidRPr="00BD5E91">
        <w:rPr>
          <w:sz w:val="22"/>
          <w:szCs w:val="22"/>
          <w:rtl/>
        </w:rPr>
        <w:t xml:space="preserve"> תשיעאה הוא נקודה ט' הגנוזה</w:t>
      </w:r>
      <w:r>
        <w:rPr>
          <w:rFonts w:hint="cs"/>
          <w:sz w:val="22"/>
          <w:szCs w:val="22"/>
          <w:rtl/>
        </w:rPr>
        <w:t>,</w:t>
      </w:r>
      <w:r w:rsidRPr="00BD5E91">
        <w:rPr>
          <w:sz w:val="22"/>
          <w:szCs w:val="22"/>
          <w:rtl/>
        </w:rPr>
        <w:t xml:space="preserve"> נגד חכמה</w:t>
      </w:r>
      <w:r>
        <w:rPr>
          <w:rFonts w:hint="cs"/>
          <w:sz w:val="22"/>
          <w:szCs w:val="22"/>
          <w:rtl/>
        </w:rPr>
        <w:t>,</w:t>
      </w:r>
      <w:r w:rsidRPr="00BD5E91">
        <w:rPr>
          <w:sz w:val="22"/>
          <w:szCs w:val="22"/>
          <w:rtl/>
        </w:rPr>
        <w:t xml:space="preserve"> והוא נוטל הכל</w:t>
      </w:r>
      <w:r>
        <w:rPr>
          <w:rFonts w:hint="cs"/>
          <w:sz w:val="22"/>
          <w:szCs w:val="22"/>
          <w:rtl/>
        </w:rPr>
        <w:t>,</w:t>
      </w:r>
      <w:r w:rsidRPr="00BD5E91">
        <w:rPr>
          <w:sz w:val="22"/>
          <w:szCs w:val="22"/>
          <w:rtl/>
        </w:rPr>
        <w:t xml:space="preserve"> כמ"ש בכ"מ שחכמה מעלה הכל</w:t>
      </w:r>
      <w:r>
        <w:rPr>
          <w:rFonts w:hint="cs"/>
          <w:sz w:val="22"/>
          <w:szCs w:val="22"/>
          <w:rtl/>
        </w:rPr>
        <w:t>,</w:t>
      </w:r>
      <w:r w:rsidRPr="00BD5E91">
        <w:rPr>
          <w:sz w:val="22"/>
          <w:szCs w:val="22"/>
          <w:rtl/>
        </w:rPr>
        <w:t xml:space="preserve"> והוא נטיל בסתימו</w:t>
      </w:r>
      <w:r>
        <w:rPr>
          <w:rFonts w:hint="cs"/>
          <w:sz w:val="22"/>
          <w:szCs w:val="22"/>
          <w:rtl/>
        </w:rPr>
        <w:t>.</w:t>
      </w:r>
      <w:r w:rsidRPr="00BD5E91">
        <w:rPr>
          <w:sz w:val="22"/>
          <w:szCs w:val="22"/>
          <w:rtl/>
        </w:rPr>
        <w:t xml:space="preserve"> ומפ"ו שקמץ פתח צירי בחג"ת</w:t>
      </w:r>
      <w:r>
        <w:rPr>
          <w:rFonts w:hint="cs"/>
          <w:sz w:val="22"/>
          <w:szCs w:val="22"/>
          <w:rtl/>
        </w:rPr>
        <w:t>,</w:t>
      </w:r>
      <w:r w:rsidRPr="00BD5E91">
        <w:rPr>
          <w:sz w:val="22"/>
          <w:szCs w:val="22"/>
          <w:rtl/>
        </w:rPr>
        <w:t xml:space="preserve"> וסגול בבינה</w:t>
      </w:r>
      <w:r>
        <w:rPr>
          <w:rFonts w:hint="cs"/>
          <w:sz w:val="22"/>
          <w:szCs w:val="22"/>
          <w:rtl/>
        </w:rPr>
        <w:t>,</w:t>
      </w:r>
      <w:r w:rsidRPr="00BD5E91">
        <w:rPr>
          <w:sz w:val="22"/>
          <w:szCs w:val="22"/>
          <w:rtl/>
        </w:rPr>
        <w:t xml:space="preserve"> והשאר לא פי</w:t>
      </w:r>
      <w:r>
        <w:rPr>
          <w:rFonts w:hint="cs"/>
          <w:sz w:val="22"/>
          <w:szCs w:val="22"/>
          <w:rtl/>
        </w:rPr>
        <w:t>רש</w:t>
      </w:r>
      <w:r w:rsidRPr="00BD5E91">
        <w:rPr>
          <w:sz w:val="22"/>
          <w:szCs w:val="22"/>
          <w:rtl/>
        </w:rPr>
        <w:t xml:space="preserve"> שידועים הם</w:t>
      </w:r>
      <w:r>
        <w:rPr>
          <w:rFonts w:hint="cs"/>
          <w:sz w:val="22"/>
          <w:szCs w:val="22"/>
          <w:rtl/>
        </w:rPr>
        <w:t>:</w:t>
      </w:r>
      <w:r w:rsidRPr="00BD5E91">
        <w:rPr>
          <w:sz w:val="22"/>
          <w:szCs w:val="22"/>
          <w:rtl/>
        </w:rPr>
        <w:t xml:space="preserve"> חולם חירק שורק מלאפום בנהי"ם</w:t>
      </w:r>
      <w:r>
        <w:rPr>
          <w:rFonts w:hint="cs"/>
          <w:sz w:val="22"/>
          <w:szCs w:val="22"/>
          <w:rtl/>
        </w:rPr>
        <w:t>,</w:t>
      </w:r>
      <w:r w:rsidRPr="00BD5E91">
        <w:rPr>
          <w:sz w:val="22"/>
          <w:szCs w:val="22"/>
          <w:rtl/>
        </w:rPr>
        <w:t xml:space="preserve"> ושבא אינו בכלל</w:t>
      </w:r>
      <w:r>
        <w:rPr>
          <w:rFonts w:hint="cs"/>
          <w:sz w:val="22"/>
          <w:szCs w:val="22"/>
          <w:rtl/>
        </w:rPr>
        <w:t>.</w:t>
      </w:r>
      <w:r w:rsidRPr="00BD5E91">
        <w:rPr>
          <w:sz w:val="22"/>
          <w:szCs w:val="22"/>
          <w:rtl/>
        </w:rPr>
        <w:t xml:space="preserve"> ועוד ב' נקודין טמירין הן נגד כ"ח):</w:t>
      </w:r>
    </w:p>
  </w:footnote>
  <w:footnote w:id="697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והמשכילים עשר נקודין כו'.</w:t>
      </w:r>
      <w:r w:rsidRPr="00BD5E91">
        <w:rPr>
          <w:sz w:val="22"/>
          <w:szCs w:val="22"/>
          <w:rtl/>
        </w:rPr>
        <w:t xml:space="preserve"> הן ה' ת</w:t>
      </w:r>
      <w:r>
        <w:rPr>
          <w:rFonts w:hint="cs"/>
          <w:sz w:val="22"/>
          <w:szCs w:val="22"/>
          <w:rtl/>
        </w:rPr>
        <w:t>נועות גדולות,</w:t>
      </w:r>
      <w:r w:rsidRPr="00BD5E91">
        <w:rPr>
          <w:sz w:val="22"/>
          <w:szCs w:val="22"/>
          <w:rtl/>
        </w:rPr>
        <w:t xml:space="preserve"> וה' ת</w:t>
      </w:r>
      <w:r>
        <w:rPr>
          <w:rFonts w:hint="cs"/>
          <w:sz w:val="22"/>
          <w:szCs w:val="22"/>
          <w:rtl/>
        </w:rPr>
        <w:t>נועות קטנות.</w:t>
      </w:r>
      <w:r w:rsidRPr="00BD5E91">
        <w:rPr>
          <w:sz w:val="22"/>
          <w:szCs w:val="22"/>
          <w:rtl/>
        </w:rPr>
        <w:t xml:space="preserve"> וכל ת"ק נגד ת"ג והן ימינא ושמאלא</w:t>
      </w:r>
      <w:r>
        <w:rPr>
          <w:rFonts w:hint="cs"/>
          <w:sz w:val="22"/>
          <w:szCs w:val="22"/>
          <w:rtl/>
        </w:rPr>
        <w:t>,</w:t>
      </w:r>
      <w:r w:rsidRPr="00BD5E91">
        <w:rPr>
          <w:sz w:val="22"/>
          <w:szCs w:val="22"/>
          <w:rtl/>
        </w:rPr>
        <w:t xml:space="preserve"> ה"ח וה"ג</w:t>
      </w:r>
      <w:r>
        <w:rPr>
          <w:rFonts w:hint="cs"/>
          <w:sz w:val="22"/>
          <w:szCs w:val="22"/>
          <w:rtl/>
        </w:rPr>
        <w:t>,</w:t>
      </w:r>
      <w:r w:rsidRPr="00BD5E91">
        <w:rPr>
          <w:sz w:val="22"/>
          <w:szCs w:val="22"/>
          <w:rtl/>
        </w:rPr>
        <w:t xml:space="preserve"> ע"ס</w:t>
      </w:r>
      <w:r>
        <w:rPr>
          <w:rFonts w:hint="cs"/>
          <w:sz w:val="22"/>
          <w:szCs w:val="22"/>
          <w:rtl/>
        </w:rPr>
        <w:t>,</w:t>
      </w:r>
      <w:r w:rsidRPr="00BD5E91">
        <w:rPr>
          <w:sz w:val="22"/>
          <w:szCs w:val="22"/>
          <w:rtl/>
        </w:rPr>
        <w:t xml:space="preserve"> ה' ימינים וה' שמאלים</w:t>
      </w:r>
      <w:r>
        <w:rPr>
          <w:rFonts w:hint="cs"/>
          <w:sz w:val="22"/>
          <w:szCs w:val="22"/>
          <w:rtl/>
        </w:rPr>
        <w:t>.</w:t>
      </w:r>
      <w:r w:rsidRPr="00BD5E91">
        <w:rPr>
          <w:sz w:val="22"/>
          <w:szCs w:val="22"/>
          <w:rtl/>
        </w:rPr>
        <w:t xml:space="preserve"> וימינא נקרא גדול, ה</w:t>
      </w:r>
      <w:r>
        <w:rPr>
          <w:rFonts w:hint="cs"/>
          <w:sz w:val="22"/>
          <w:szCs w:val="22"/>
          <w:rtl/>
        </w:rPr>
        <w:t>א-</w:t>
      </w:r>
      <w:r w:rsidRPr="00BD5E91">
        <w:rPr>
          <w:sz w:val="22"/>
          <w:szCs w:val="22"/>
          <w:rtl/>
        </w:rPr>
        <w:t>ל הגדול. ושמאלא נקרא קטן</w:t>
      </w:r>
      <w:r>
        <w:rPr>
          <w:rFonts w:hint="cs"/>
          <w:sz w:val="22"/>
          <w:szCs w:val="22"/>
          <w:rtl/>
        </w:rPr>
        <w:t>,</w:t>
      </w:r>
      <w:r w:rsidRPr="00BD5E91">
        <w:rPr>
          <w:sz w:val="22"/>
          <w:szCs w:val="22"/>
          <w:rtl/>
        </w:rPr>
        <w:t xml:space="preserve"> בסוד מאור הגדול ומאור הקטן</w:t>
      </w:r>
      <w:r>
        <w:rPr>
          <w:rFonts w:hint="cs"/>
          <w:sz w:val="22"/>
          <w:szCs w:val="22"/>
          <w:rtl/>
        </w:rPr>
        <w:t>,</w:t>
      </w:r>
      <w:r w:rsidRPr="00BD5E91">
        <w:rPr>
          <w:sz w:val="22"/>
          <w:szCs w:val="22"/>
          <w:rtl/>
        </w:rPr>
        <w:t xml:space="preserve"> ה"ח וה"ג שיורשין זו"נ:</w:t>
      </w:r>
    </w:p>
  </w:footnote>
  <w:footnote w:id="698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אתכלילו אלין באלין כו'.</w:t>
      </w:r>
      <w:r w:rsidRPr="00BD5E91">
        <w:rPr>
          <w:sz w:val="22"/>
          <w:szCs w:val="22"/>
          <w:rtl/>
        </w:rPr>
        <w:t xml:space="preserve"> בסוד (ירמיהו לא כא) נקבה תסובב גבר, וכן רוח בנפש כמש"ו</w:t>
      </w:r>
      <w:r>
        <w:rPr>
          <w:rFonts w:hint="cs"/>
          <w:sz w:val="22"/>
          <w:szCs w:val="22"/>
          <w:rtl/>
        </w:rPr>
        <w:t>,</w:t>
      </w:r>
      <w:r w:rsidRPr="00BD5E91">
        <w:rPr>
          <w:sz w:val="22"/>
          <w:szCs w:val="22"/>
          <w:rtl/>
        </w:rPr>
        <w:t xml:space="preserve"> ורוח הוא זכר</w:t>
      </w:r>
      <w:r>
        <w:rPr>
          <w:rFonts w:hint="cs"/>
          <w:sz w:val="22"/>
          <w:szCs w:val="22"/>
          <w:rtl/>
        </w:rPr>
        <w:t>,</w:t>
      </w:r>
      <w:r w:rsidRPr="00BD5E91">
        <w:rPr>
          <w:sz w:val="22"/>
          <w:szCs w:val="22"/>
          <w:rtl/>
        </w:rPr>
        <w:t xml:space="preserve"> ה"ח</w:t>
      </w:r>
      <w:r>
        <w:rPr>
          <w:rFonts w:hint="cs"/>
          <w:sz w:val="22"/>
          <w:szCs w:val="22"/>
          <w:rtl/>
        </w:rPr>
        <w:t>.</w:t>
      </w:r>
      <w:r w:rsidRPr="00BD5E91">
        <w:rPr>
          <w:sz w:val="22"/>
          <w:szCs w:val="22"/>
          <w:rtl/>
        </w:rPr>
        <w:t xml:space="preserve"> ונקבה נפש</w:t>
      </w:r>
      <w:r>
        <w:rPr>
          <w:rFonts w:hint="cs"/>
          <w:sz w:val="22"/>
          <w:szCs w:val="22"/>
          <w:rtl/>
        </w:rPr>
        <w:t>,</w:t>
      </w:r>
      <w:r w:rsidRPr="00BD5E91">
        <w:rPr>
          <w:sz w:val="22"/>
          <w:szCs w:val="22"/>
          <w:rtl/>
        </w:rPr>
        <w:t xml:space="preserve"> ה"ג</w:t>
      </w:r>
      <w:r>
        <w:rPr>
          <w:rFonts w:hint="cs"/>
          <w:sz w:val="22"/>
          <w:szCs w:val="22"/>
          <w:rtl/>
        </w:rPr>
        <w:t>,</w:t>
      </w:r>
      <w:r w:rsidRPr="00BD5E91">
        <w:rPr>
          <w:sz w:val="22"/>
          <w:szCs w:val="22"/>
          <w:rtl/>
        </w:rPr>
        <w:t xml:space="preserve"> וז"ש חמש משמאלא נפש כו':</w:t>
      </w:r>
    </w:p>
  </w:footnote>
  <w:footnote w:id="698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תרין טמירין.</w:t>
      </w:r>
      <w:r w:rsidRPr="00BD5E91">
        <w:rPr>
          <w:sz w:val="22"/>
          <w:szCs w:val="22"/>
          <w:rtl/>
        </w:rPr>
        <w:t xml:space="preserve"> ר"ל באלו העשר נקודות</w:t>
      </w:r>
      <w:r>
        <w:rPr>
          <w:rFonts w:hint="cs"/>
          <w:sz w:val="22"/>
          <w:szCs w:val="22"/>
          <w:rtl/>
        </w:rPr>
        <w:t>,</w:t>
      </w:r>
      <w:r w:rsidRPr="00BD5E91">
        <w:rPr>
          <w:sz w:val="22"/>
          <w:szCs w:val="22"/>
          <w:rtl/>
        </w:rPr>
        <w:t xml:space="preserve"> תרין טמירין</w:t>
      </w:r>
      <w:r>
        <w:rPr>
          <w:rFonts w:hint="cs"/>
          <w:sz w:val="22"/>
          <w:szCs w:val="22"/>
          <w:rtl/>
        </w:rPr>
        <w:t>,</w:t>
      </w:r>
      <w:r w:rsidRPr="00BD5E91">
        <w:rPr>
          <w:sz w:val="22"/>
          <w:szCs w:val="22"/>
          <w:rtl/>
        </w:rPr>
        <w:t xml:space="preserve"> שאין קמץ קטן וחירק גדול נחשב בכלל התנועות כידוע בחשבון ט' נקודות</w:t>
      </w:r>
      <w:r>
        <w:rPr>
          <w:rFonts w:hint="cs"/>
          <w:sz w:val="22"/>
          <w:szCs w:val="22"/>
          <w:rtl/>
        </w:rPr>
        <w:t>.</w:t>
      </w:r>
      <w:r w:rsidRPr="00BD5E91">
        <w:rPr>
          <w:sz w:val="22"/>
          <w:szCs w:val="22"/>
          <w:rtl/>
        </w:rPr>
        <w:t xml:space="preserve"> ותרין טמירין הן נגד כ"ח</w:t>
      </w:r>
      <w:r>
        <w:rPr>
          <w:rFonts w:hint="cs"/>
          <w:sz w:val="22"/>
          <w:szCs w:val="22"/>
          <w:rtl/>
        </w:rPr>
        <w:t>,</w:t>
      </w:r>
      <w:r w:rsidRPr="00BD5E91">
        <w:rPr>
          <w:sz w:val="22"/>
          <w:szCs w:val="22"/>
          <w:rtl/>
        </w:rPr>
        <w:t xml:space="preserve"> שהן טמירין</w:t>
      </w:r>
      <w:r>
        <w:rPr>
          <w:rFonts w:hint="cs"/>
          <w:sz w:val="22"/>
          <w:szCs w:val="22"/>
          <w:rtl/>
        </w:rPr>
        <w:t>,</w:t>
      </w:r>
      <w:r w:rsidRPr="00BD5E91">
        <w:rPr>
          <w:sz w:val="22"/>
          <w:szCs w:val="22"/>
          <w:rtl/>
        </w:rPr>
        <w:t xml:space="preserve"> ואע"ג שגם בינה טמיר מ"מ היא מתגלה למטה וז"ש ולא אתגליין:</w:t>
      </w:r>
    </w:p>
  </w:footnote>
  <w:footnote w:id="698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נקודה דאברהם.</w:t>
      </w:r>
      <w:r w:rsidRPr="00BD5E91">
        <w:rPr>
          <w:sz w:val="22"/>
          <w:szCs w:val="22"/>
          <w:rtl/>
        </w:rPr>
        <w:t xml:space="preserve"> ר"ל קמץ הוא בחסד</w:t>
      </w:r>
      <w:r>
        <w:rPr>
          <w:rFonts w:hint="cs"/>
          <w:sz w:val="22"/>
          <w:szCs w:val="22"/>
          <w:rtl/>
        </w:rPr>
        <w:t>,</w:t>
      </w:r>
      <w:r w:rsidRPr="00BD5E91">
        <w:rPr>
          <w:sz w:val="22"/>
          <w:szCs w:val="22"/>
          <w:rtl/>
        </w:rPr>
        <w:t xml:space="preserve"> וחסד הוא כללא דכולהו יומי כידוע וז"ש כללא דכלא:</w:t>
      </w:r>
    </w:p>
  </w:footnote>
  <w:footnote w:id="698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משיך אינון טמירין כו'.</w:t>
      </w:r>
      <w:r w:rsidRPr="00BD5E91">
        <w:rPr>
          <w:sz w:val="22"/>
          <w:szCs w:val="22"/>
          <w:rtl/>
        </w:rPr>
        <w:t xml:space="preserve"> ר"ל שני נקודות הנ"ל:</w:t>
      </w:r>
    </w:p>
  </w:footnote>
  <w:footnote w:id="698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דנהיר מסייפי כו'.</w:t>
      </w:r>
      <w:r w:rsidRPr="00BD5E91">
        <w:rPr>
          <w:sz w:val="22"/>
          <w:szCs w:val="22"/>
          <w:rtl/>
        </w:rPr>
        <w:t xml:space="preserve"> כמ"ש (חגיגה יב ע"א) אור שנברא ביום הראשון כו' וכמש"ל (ור"ל וז"ש ביום הראשון כי טוב וביום הב' לא נאמר</w:t>
      </w:r>
      <w:r>
        <w:rPr>
          <w:rFonts w:hint="cs"/>
          <w:sz w:val="22"/>
          <w:szCs w:val="22"/>
          <w:rtl/>
        </w:rPr>
        <w:t>,</w:t>
      </w:r>
      <w:r w:rsidRPr="00BD5E91">
        <w:rPr>
          <w:sz w:val="22"/>
          <w:szCs w:val="22"/>
          <w:rtl/>
        </w:rPr>
        <w:t xml:space="preserve"> שטוב הוא על האור</w:t>
      </w:r>
      <w:r>
        <w:rPr>
          <w:rFonts w:hint="cs"/>
          <w:sz w:val="22"/>
          <w:szCs w:val="22"/>
          <w:rtl/>
        </w:rPr>
        <w:t>.</w:t>
      </w:r>
      <w:r w:rsidRPr="00BD5E91">
        <w:rPr>
          <w:sz w:val="22"/>
          <w:szCs w:val="22"/>
          <w:rtl/>
        </w:rPr>
        <w:t xml:space="preserve"> וביום ג' ב"פ ושאר כל הימים בכ"א פ"א שהן רק נקודה א'</w:t>
      </w:r>
      <w:r>
        <w:rPr>
          <w:rFonts w:hint="cs"/>
          <w:sz w:val="22"/>
          <w:szCs w:val="22"/>
          <w:rtl/>
        </w:rPr>
        <w:t>,</w:t>
      </w:r>
      <w:r w:rsidRPr="00BD5E91">
        <w:rPr>
          <w:sz w:val="22"/>
          <w:szCs w:val="22"/>
          <w:rtl/>
        </w:rPr>
        <w:t xml:space="preserve"> חולם חירק שורק</w:t>
      </w:r>
      <w:r>
        <w:rPr>
          <w:rFonts w:hint="cs"/>
          <w:sz w:val="22"/>
          <w:szCs w:val="22"/>
          <w:rtl/>
        </w:rPr>
        <w:t>.</w:t>
      </w:r>
      <w:r w:rsidRPr="00BD5E91">
        <w:rPr>
          <w:sz w:val="22"/>
          <w:szCs w:val="22"/>
          <w:rtl/>
        </w:rPr>
        <w:t xml:space="preserve"> ושורק אעפ"י שהוא ג' נקודות</w:t>
      </w:r>
      <w:r>
        <w:rPr>
          <w:rFonts w:hint="cs"/>
          <w:sz w:val="22"/>
          <w:szCs w:val="22"/>
          <w:rtl/>
        </w:rPr>
        <w:t>,</w:t>
      </w:r>
      <w:r w:rsidRPr="00BD5E91">
        <w:rPr>
          <w:sz w:val="22"/>
          <w:szCs w:val="22"/>
          <w:rtl/>
        </w:rPr>
        <w:t xml:space="preserve"> אינו רק א'</w:t>
      </w:r>
      <w:r>
        <w:rPr>
          <w:rFonts w:hint="cs"/>
          <w:sz w:val="22"/>
          <w:szCs w:val="22"/>
          <w:rtl/>
        </w:rPr>
        <w:t>,</w:t>
      </w:r>
      <w:r w:rsidRPr="00BD5E91">
        <w:rPr>
          <w:sz w:val="22"/>
          <w:szCs w:val="22"/>
          <w:rtl/>
        </w:rPr>
        <w:t xml:space="preserve"> חילוף המלאפום כידוע</w:t>
      </w:r>
      <w:r>
        <w:rPr>
          <w:rFonts w:hint="cs"/>
          <w:sz w:val="22"/>
          <w:szCs w:val="22"/>
          <w:rtl/>
        </w:rPr>
        <w:t>,</w:t>
      </w:r>
      <w:r w:rsidRPr="00BD5E91">
        <w:rPr>
          <w:sz w:val="22"/>
          <w:szCs w:val="22"/>
          <w:rtl/>
        </w:rPr>
        <w:t xml:space="preserve"> אבל ביום ג' ב"פ</w:t>
      </w:r>
      <w:r>
        <w:rPr>
          <w:rFonts w:hint="cs"/>
          <w:sz w:val="22"/>
          <w:szCs w:val="22"/>
          <w:rtl/>
        </w:rPr>
        <w:t>,</w:t>
      </w:r>
      <w:r w:rsidRPr="00BD5E91">
        <w:rPr>
          <w:sz w:val="22"/>
          <w:szCs w:val="22"/>
          <w:rtl/>
        </w:rPr>
        <w:t xml:space="preserve"> שהוא צירי</w:t>
      </w:r>
      <w:r>
        <w:rPr>
          <w:rFonts w:hint="cs"/>
          <w:sz w:val="22"/>
          <w:szCs w:val="22"/>
          <w:rtl/>
        </w:rPr>
        <w:t>,</w:t>
      </w:r>
      <w:r w:rsidRPr="00BD5E91">
        <w:rPr>
          <w:sz w:val="22"/>
          <w:szCs w:val="22"/>
          <w:rtl/>
        </w:rPr>
        <w:t xml:space="preserve"> ואח"כ וירא אלקים את כל אשר עשה כו' נגד מלאפום מלכות שכוללת הכל ובשבילה נברא הכל ולכן נאמר בה מאד וכן כל מה שדרשו על מאד - הכל נכלל בסוד ע"ה טו"ר</w:t>
      </w:r>
      <w:r>
        <w:rPr>
          <w:rFonts w:hint="cs"/>
          <w:sz w:val="22"/>
          <w:szCs w:val="22"/>
          <w:rtl/>
        </w:rPr>
        <w:t>,</w:t>
      </w:r>
      <w:r w:rsidRPr="00BD5E91">
        <w:rPr>
          <w:sz w:val="22"/>
          <w:szCs w:val="22"/>
          <w:rtl/>
        </w:rPr>
        <w:t xml:space="preserve"> וזהו טוב מאד. וז"ס הוא"ו בתוך מלאפום שכוללת כל ששת ימי בראשית</w:t>
      </w:r>
      <w:r>
        <w:rPr>
          <w:rFonts w:hint="cs"/>
          <w:sz w:val="22"/>
          <w:szCs w:val="22"/>
          <w:rtl/>
        </w:rPr>
        <w:t>.</w:t>
      </w:r>
      <w:r w:rsidRPr="00BD5E91">
        <w:rPr>
          <w:sz w:val="22"/>
          <w:szCs w:val="22"/>
          <w:rtl/>
        </w:rPr>
        <w:t xml:space="preserve"> ועיקר ב"פ כי טוב ביום ג' על ב' נקודות צירי וסגול</w:t>
      </w:r>
      <w:r>
        <w:rPr>
          <w:rFonts w:hint="cs"/>
          <w:sz w:val="22"/>
          <w:szCs w:val="22"/>
          <w:rtl/>
        </w:rPr>
        <w:t>.</w:t>
      </w:r>
      <w:r w:rsidRPr="00BD5E91">
        <w:rPr>
          <w:sz w:val="22"/>
          <w:szCs w:val="22"/>
          <w:rtl/>
        </w:rPr>
        <w:t xml:space="preserve"> וכן ב' המאמרים ביום ג' תדשא הארץ הוא קרקע ערבות דאתחזי וכמ"ש בפ"ב דס"ד ויהי אור הוא בחסד כנ"ל נקודה שמאיר מסוף כו'</w:t>
      </w:r>
      <w:r>
        <w:rPr>
          <w:rFonts w:hint="cs"/>
          <w:sz w:val="22"/>
          <w:szCs w:val="22"/>
          <w:rtl/>
        </w:rPr>
        <w:t>.</w:t>
      </w:r>
      <w:r w:rsidRPr="00BD5E91">
        <w:rPr>
          <w:sz w:val="22"/>
          <w:szCs w:val="22"/>
          <w:rtl/>
        </w:rPr>
        <w:t xml:space="preserve"> יהי רקיע בגבורה</w:t>
      </w:r>
      <w:r>
        <w:rPr>
          <w:rFonts w:hint="cs"/>
          <w:sz w:val="22"/>
          <w:szCs w:val="22"/>
          <w:rtl/>
        </w:rPr>
        <w:t>,</w:t>
      </w:r>
      <w:r w:rsidRPr="00BD5E91">
        <w:rPr>
          <w:sz w:val="22"/>
          <w:szCs w:val="22"/>
          <w:rtl/>
        </w:rPr>
        <w:t xml:space="preserve"> פתח בלא אור והוא רקיע (בלא כוכב)</w:t>
      </w:r>
      <w:r>
        <w:rPr>
          <w:rFonts w:hint="cs"/>
          <w:sz w:val="22"/>
          <w:szCs w:val="22"/>
          <w:rtl/>
        </w:rPr>
        <w:t>.</w:t>
      </w:r>
      <w:r w:rsidRPr="00BD5E91">
        <w:rPr>
          <w:sz w:val="22"/>
          <w:szCs w:val="22"/>
          <w:rtl/>
        </w:rPr>
        <w:t xml:space="preserve"> יקוו המים אל מקום אחד בת"ת כידוע</w:t>
      </w:r>
      <w:r>
        <w:rPr>
          <w:rFonts w:hint="cs"/>
          <w:sz w:val="22"/>
          <w:szCs w:val="22"/>
          <w:rtl/>
        </w:rPr>
        <w:t>.</w:t>
      </w:r>
      <w:r w:rsidRPr="00BD5E91">
        <w:rPr>
          <w:sz w:val="22"/>
          <w:szCs w:val="22"/>
          <w:rtl/>
        </w:rPr>
        <w:t xml:space="preserve"> וכן שאר כל המאמרים כסדר</w:t>
      </w:r>
      <w:r>
        <w:rPr>
          <w:rFonts w:hint="cs"/>
          <w:sz w:val="22"/>
          <w:szCs w:val="22"/>
          <w:rtl/>
        </w:rPr>
        <w:t>.</w:t>
      </w:r>
      <w:r w:rsidRPr="00BD5E91">
        <w:rPr>
          <w:sz w:val="22"/>
          <w:szCs w:val="22"/>
          <w:rtl/>
        </w:rPr>
        <w:t xml:space="preserve"> ובראשית נמי מאמר אלא דטמיר כנ"ל ולכן לא נאמר בפי' וכן נקודה שלו גנוזה ולא נאמר טוב וחסד כליל כנ"ל):</w:t>
      </w:r>
    </w:p>
  </w:footnote>
  <w:footnote w:id="698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רזא דשמא כו'.</w:t>
      </w:r>
      <w:r w:rsidRPr="00BD5E91">
        <w:rPr>
          <w:sz w:val="22"/>
          <w:szCs w:val="22"/>
          <w:rtl/>
        </w:rPr>
        <w:t xml:space="preserve"> ר"ל בשם נקודות חש"ק:</w:t>
      </w:r>
    </w:p>
  </w:footnote>
  <w:footnote w:id="698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משיך כו'.</w:t>
      </w:r>
      <w:r w:rsidRPr="00BD5E91">
        <w:rPr>
          <w:sz w:val="22"/>
          <w:szCs w:val="22"/>
          <w:rtl/>
        </w:rPr>
        <w:t xml:space="preserve"> ר"ל באורך</w:t>
      </w:r>
      <w:r>
        <w:rPr>
          <w:rFonts w:hint="cs"/>
          <w:sz w:val="22"/>
          <w:szCs w:val="22"/>
          <w:rtl/>
        </w:rPr>
        <w:t>,</w:t>
      </w:r>
      <w:r w:rsidRPr="00BD5E91">
        <w:rPr>
          <w:sz w:val="22"/>
          <w:szCs w:val="22"/>
          <w:rtl/>
        </w:rPr>
        <w:t xml:space="preserve"> וז"ש נקודה חשוכא כו'</w:t>
      </w:r>
      <w:r>
        <w:rPr>
          <w:rFonts w:hint="cs"/>
          <w:sz w:val="22"/>
          <w:szCs w:val="22"/>
          <w:rtl/>
        </w:rPr>
        <w:t>,</w:t>
      </w:r>
      <w:r w:rsidRPr="00BD5E91">
        <w:rPr>
          <w:sz w:val="22"/>
          <w:szCs w:val="22"/>
          <w:rtl/>
        </w:rPr>
        <w:t xml:space="preserve"> שאין בו נקודה שהוא אור של הקו</w:t>
      </w:r>
      <w:r>
        <w:rPr>
          <w:rFonts w:hint="cs"/>
          <w:sz w:val="22"/>
          <w:szCs w:val="22"/>
          <w:rtl/>
        </w:rPr>
        <w:t>.</w:t>
      </w:r>
      <w:r w:rsidRPr="00BD5E91">
        <w:rPr>
          <w:sz w:val="22"/>
          <w:szCs w:val="22"/>
          <w:rtl/>
        </w:rPr>
        <w:t xml:space="preserve"> שהנקודות הן אורות דנהירין לאותיות וקוין</w:t>
      </w:r>
      <w:r>
        <w:rPr>
          <w:rFonts w:hint="cs"/>
          <w:sz w:val="22"/>
          <w:szCs w:val="22"/>
          <w:rtl/>
        </w:rPr>
        <w:t>.</w:t>
      </w:r>
      <w:r w:rsidRPr="00BD5E91">
        <w:rPr>
          <w:sz w:val="22"/>
          <w:szCs w:val="22"/>
          <w:rtl/>
        </w:rPr>
        <w:t xml:space="preserve"> ובקמץ</w:t>
      </w:r>
      <w:r>
        <w:rPr>
          <w:rFonts w:hint="cs"/>
          <w:sz w:val="22"/>
          <w:szCs w:val="22"/>
          <w:rtl/>
        </w:rPr>
        <w:t>,</w:t>
      </w:r>
      <w:r w:rsidRPr="00BD5E91">
        <w:rPr>
          <w:sz w:val="22"/>
          <w:szCs w:val="22"/>
          <w:rtl/>
        </w:rPr>
        <w:t xml:space="preserve"> נקודה וקו</w:t>
      </w:r>
      <w:r>
        <w:rPr>
          <w:rFonts w:hint="cs"/>
          <w:sz w:val="22"/>
          <w:szCs w:val="22"/>
          <w:rtl/>
        </w:rPr>
        <w:t>.</w:t>
      </w:r>
      <w:r w:rsidRPr="00BD5E91">
        <w:rPr>
          <w:sz w:val="22"/>
          <w:szCs w:val="22"/>
          <w:rtl/>
        </w:rPr>
        <w:t xml:space="preserve"> והנקודה נהיר בקו</w:t>
      </w:r>
      <w:r>
        <w:rPr>
          <w:rFonts w:hint="cs"/>
          <w:sz w:val="22"/>
          <w:szCs w:val="22"/>
          <w:rtl/>
        </w:rPr>
        <w:t>,</w:t>
      </w:r>
      <w:r w:rsidRPr="00BD5E91">
        <w:rPr>
          <w:sz w:val="22"/>
          <w:szCs w:val="22"/>
          <w:rtl/>
        </w:rPr>
        <w:t xml:space="preserve"> וזהו מסוף העולם עד סופו</w:t>
      </w:r>
      <w:r>
        <w:rPr>
          <w:rFonts w:hint="cs"/>
          <w:sz w:val="22"/>
          <w:szCs w:val="22"/>
          <w:rtl/>
        </w:rPr>
        <w:t>,</w:t>
      </w:r>
      <w:r w:rsidRPr="00BD5E91">
        <w:rPr>
          <w:sz w:val="22"/>
          <w:szCs w:val="22"/>
          <w:rtl/>
        </w:rPr>
        <w:t xml:space="preserve"> שהוא הקו</w:t>
      </w:r>
      <w:r>
        <w:rPr>
          <w:rFonts w:hint="cs"/>
          <w:sz w:val="22"/>
          <w:szCs w:val="22"/>
          <w:rtl/>
        </w:rPr>
        <w:t>,</w:t>
      </w:r>
      <w:r w:rsidRPr="00BD5E91">
        <w:rPr>
          <w:sz w:val="22"/>
          <w:szCs w:val="22"/>
          <w:rtl/>
        </w:rPr>
        <w:t xml:space="preserve"> שהקו הוא דוגמת רקיע והנקודה דוגמת שמש ברקיע כידוע בסוד (במדבר כד יז) דרך כוכב מיעקב וקם שבט</w:t>
      </w:r>
      <w:r>
        <w:rPr>
          <w:rFonts w:hint="cs"/>
          <w:sz w:val="22"/>
          <w:szCs w:val="22"/>
          <w:rtl/>
        </w:rPr>
        <w:t>.</w:t>
      </w:r>
      <w:r w:rsidRPr="00BD5E91">
        <w:rPr>
          <w:sz w:val="22"/>
          <w:szCs w:val="22"/>
          <w:rtl/>
        </w:rPr>
        <w:t xml:space="preserve"> שהוא קו ונקודה</w:t>
      </w:r>
      <w:r>
        <w:rPr>
          <w:rFonts w:hint="cs"/>
          <w:sz w:val="22"/>
          <w:szCs w:val="22"/>
          <w:rtl/>
        </w:rPr>
        <w:t>.</w:t>
      </w:r>
      <w:r w:rsidRPr="00BD5E91">
        <w:rPr>
          <w:sz w:val="22"/>
          <w:szCs w:val="22"/>
          <w:rtl/>
        </w:rPr>
        <w:t xml:space="preserve"> ובפתח קו בלא נקודה וז"ש דא אקרי שבט כו' שהוא אתרא דדינא קשיא שהוא שבט כמ"ש בפ' בראשית דף ו' ע"ב וירד עליו בשבט בדינא קשיא כו' ואמר </w:t>
      </w:r>
      <w:r w:rsidRPr="00BD5E91">
        <w:rPr>
          <w:b/>
          <w:bCs/>
          <w:sz w:val="22"/>
          <w:szCs w:val="22"/>
          <w:rtl/>
        </w:rPr>
        <w:t>לגו חסר לב.</w:t>
      </w:r>
      <w:r w:rsidRPr="00BD5E91">
        <w:rPr>
          <w:sz w:val="22"/>
          <w:szCs w:val="22"/>
          <w:rtl/>
        </w:rPr>
        <w:t xml:space="preserve"> שהלב הוא אור של האדם</w:t>
      </w:r>
      <w:r>
        <w:rPr>
          <w:rFonts w:hint="cs"/>
          <w:sz w:val="22"/>
          <w:szCs w:val="22"/>
          <w:rtl/>
        </w:rPr>
        <w:t>,</w:t>
      </w:r>
      <w:r w:rsidRPr="00BD5E91">
        <w:rPr>
          <w:sz w:val="22"/>
          <w:szCs w:val="22"/>
          <w:rtl/>
        </w:rPr>
        <w:t xml:space="preserve"> דוגמת הנקודה</w:t>
      </w:r>
      <w:r>
        <w:rPr>
          <w:rFonts w:hint="cs"/>
          <w:sz w:val="22"/>
          <w:szCs w:val="22"/>
          <w:rtl/>
        </w:rPr>
        <w:t>,</w:t>
      </w:r>
      <w:r w:rsidRPr="00BD5E91">
        <w:rPr>
          <w:sz w:val="22"/>
          <w:szCs w:val="22"/>
          <w:rtl/>
        </w:rPr>
        <w:t xml:space="preserve"> והוא חסר לב:</w:t>
      </w:r>
    </w:p>
  </w:footnote>
  <w:footnote w:id="698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מגלה כו'.</w:t>
      </w:r>
      <w:r w:rsidRPr="00BD5E91">
        <w:rPr>
          <w:sz w:val="22"/>
          <w:szCs w:val="22"/>
          <w:rtl/>
        </w:rPr>
        <w:t xml:space="preserve"> שבו דרגא דחושך כמ"ש בפ' בראשית דף ט"ז ע"ב ובכמה מקומות</w:t>
      </w:r>
      <w:r>
        <w:rPr>
          <w:rFonts w:hint="cs"/>
          <w:sz w:val="22"/>
          <w:szCs w:val="22"/>
          <w:rtl/>
        </w:rPr>
        <w:t>,</w:t>
      </w:r>
      <w:r w:rsidRPr="00BD5E91">
        <w:rPr>
          <w:sz w:val="22"/>
          <w:szCs w:val="22"/>
          <w:rtl/>
        </w:rPr>
        <w:t xml:space="preserve"> והוא מגלה כו'</w:t>
      </w:r>
      <w:r>
        <w:rPr>
          <w:rFonts w:hint="cs"/>
          <w:sz w:val="22"/>
          <w:szCs w:val="22"/>
          <w:rtl/>
        </w:rPr>
        <w:t>,</w:t>
      </w:r>
      <w:r w:rsidRPr="00BD5E91">
        <w:rPr>
          <w:sz w:val="22"/>
          <w:szCs w:val="22"/>
          <w:rtl/>
        </w:rPr>
        <w:t xml:space="preserve"> שזהו פתח שפותח וז"ש ובג"כ סליק בשמא ר"ל שלכך נקרא פתח:</w:t>
      </w:r>
    </w:p>
  </w:footnote>
  <w:footnote w:id="698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לא משכא ביה בוצינא.</w:t>
      </w:r>
      <w:r w:rsidRPr="00BD5E91">
        <w:rPr>
          <w:sz w:val="22"/>
          <w:szCs w:val="22"/>
          <w:rtl/>
        </w:rPr>
        <w:t xml:space="preserve"> ר"ל שבו אין כלל קו:</w:t>
      </w:r>
    </w:p>
  </w:footnote>
  <w:footnote w:id="698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אחיד לתרין סטרין.</w:t>
      </w:r>
      <w:r w:rsidRPr="00BD5E91">
        <w:rPr>
          <w:sz w:val="22"/>
          <w:szCs w:val="22"/>
          <w:rtl/>
        </w:rPr>
        <w:t xml:space="preserve"> כידוע דאחיד בין חו"ג ור"ל לכך בו צירי ב' נקודות:</w:t>
      </w:r>
    </w:p>
  </w:footnote>
  <w:footnote w:id="699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ואיהו לא אתחזי.</w:t>
      </w:r>
      <w:r w:rsidRPr="00BD5E91">
        <w:rPr>
          <w:sz w:val="22"/>
          <w:szCs w:val="22"/>
          <w:rtl/>
        </w:rPr>
        <w:t xml:space="preserve"> ר"ל שהוא באמצע ואינו נראה לכך אין בו נקודה מורה על עצמו וג"כ אין בו קו</w:t>
      </w:r>
      <w:r>
        <w:rPr>
          <w:rFonts w:hint="cs"/>
          <w:sz w:val="22"/>
          <w:szCs w:val="22"/>
          <w:rtl/>
        </w:rPr>
        <w:t>,</w:t>
      </w:r>
      <w:r w:rsidRPr="00BD5E91">
        <w:rPr>
          <w:sz w:val="22"/>
          <w:szCs w:val="22"/>
          <w:rtl/>
        </w:rPr>
        <w:t xml:space="preserve"> רק ב' נקודות</w:t>
      </w:r>
      <w:r>
        <w:rPr>
          <w:rFonts w:hint="cs"/>
          <w:sz w:val="22"/>
          <w:szCs w:val="22"/>
          <w:rtl/>
        </w:rPr>
        <w:t>,</w:t>
      </w:r>
      <w:r w:rsidRPr="00BD5E91">
        <w:rPr>
          <w:sz w:val="22"/>
          <w:szCs w:val="22"/>
          <w:rtl/>
        </w:rPr>
        <w:t xml:space="preserve"> מורה על אחיזתו מב' צדדים וז"ש </w:t>
      </w:r>
      <w:r w:rsidRPr="00BD5E91">
        <w:rPr>
          <w:b/>
          <w:bCs/>
          <w:sz w:val="22"/>
          <w:szCs w:val="22"/>
          <w:rtl/>
        </w:rPr>
        <w:t>בוצינא לא כו'.</w:t>
      </w:r>
      <w:r w:rsidRPr="00BD5E91">
        <w:rPr>
          <w:sz w:val="22"/>
          <w:szCs w:val="22"/>
          <w:rtl/>
        </w:rPr>
        <w:t xml:space="preserve"> ור"ל בוצינא דקרדינותא הנותן מדה לכל:</w:t>
      </w:r>
    </w:p>
  </w:footnote>
  <w:footnote w:id="699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ערבות אגניז כו'.</w:t>
      </w:r>
      <w:r w:rsidRPr="00BD5E91">
        <w:rPr>
          <w:sz w:val="22"/>
          <w:szCs w:val="22"/>
          <w:rtl/>
        </w:rPr>
        <w:t xml:space="preserve"> ר"ל ערבות הוא בינה והיא מתפשטת בתוך ז"א עד ת"ת כידוע:</w:t>
      </w:r>
    </w:p>
  </w:footnote>
  <w:footnote w:id="699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לאתקנא ביה סתים כו'.</w:t>
      </w:r>
      <w:r w:rsidRPr="00BD5E91">
        <w:rPr>
          <w:sz w:val="22"/>
          <w:szCs w:val="22"/>
          <w:rtl/>
        </w:rPr>
        <w:t xml:space="preserve"> ר"ל כדי לאתקנא חכמה בהם שעל ידי בינה מתלבש ורוכב עליהם כמ"ש בא"ז ד' רפ"ט ע"ב אתגליף האי חכמתא ואפיק חד כו' אתגליף כו' הרי כי מקודם צריך להמשיך בינה בהם ואח"כ אתמשך נהירו דחכמתא בהם כמ"ש </w:t>
      </w:r>
      <w:r>
        <w:rPr>
          <w:rFonts w:hint="cs"/>
          <w:sz w:val="22"/>
          <w:szCs w:val="22"/>
          <w:rtl/>
        </w:rPr>
        <w:t xml:space="preserve">(חגיגה יב ע"ב) </w:t>
      </w:r>
      <w:r w:rsidRPr="00BD5E91">
        <w:rPr>
          <w:sz w:val="22"/>
          <w:szCs w:val="22"/>
          <w:rtl/>
        </w:rPr>
        <w:t>אל מלך חי וקים רם ונשא שוכן עליהם בערבות כו':</w:t>
      </w:r>
    </w:p>
  </w:footnote>
  <w:footnote w:id="699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ובגין דטמיר כו'.</w:t>
      </w:r>
      <w:r w:rsidRPr="00BD5E91">
        <w:rPr>
          <w:sz w:val="22"/>
          <w:szCs w:val="22"/>
          <w:rtl/>
        </w:rPr>
        <w:t xml:space="preserve"> ר"ל לכך אין נקודה מורה על ערבות:</w:t>
      </w:r>
    </w:p>
  </w:footnote>
  <w:footnote w:id="699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קרקע ערבות כו'.</w:t>
      </w:r>
      <w:r w:rsidRPr="00BD5E91">
        <w:rPr>
          <w:sz w:val="22"/>
          <w:szCs w:val="22"/>
          <w:rtl/>
        </w:rPr>
        <w:t xml:space="preserve"> ר"ל מלכות של בינה</w:t>
      </w:r>
      <w:r>
        <w:rPr>
          <w:rFonts w:hint="cs"/>
          <w:sz w:val="22"/>
          <w:szCs w:val="22"/>
          <w:rtl/>
        </w:rPr>
        <w:t>,</w:t>
      </w:r>
      <w:r w:rsidRPr="00BD5E91">
        <w:rPr>
          <w:sz w:val="22"/>
          <w:szCs w:val="22"/>
          <w:rtl/>
        </w:rPr>
        <w:t xml:space="preserve"> מקום שכלה בשליש ת"ת אחר חו"ג</w:t>
      </w:r>
      <w:r>
        <w:rPr>
          <w:rFonts w:hint="cs"/>
          <w:sz w:val="22"/>
          <w:szCs w:val="22"/>
          <w:rtl/>
        </w:rPr>
        <w:t>,</w:t>
      </w:r>
      <w:r w:rsidRPr="00BD5E91">
        <w:rPr>
          <w:sz w:val="22"/>
          <w:szCs w:val="22"/>
          <w:rtl/>
        </w:rPr>
        <w:t xml:space="preserve"> שם נראה מלכות הנ"ל</w:t>
      </w:r>
      <w:r>
        <w:rPr>
          <w:rFonts w:hint="cs"/>
          <w:sz w:val="22"/>
          <w:szCs w:val="22"/>
          <w:rtl/>
        </w:rPr>
        <w:t>.</w:t>
      </w:r>
      <w:r w:rsidRPr="00BD5E91">
        <w:rPr>
          <w:sz w:val="22"/>
          <w:szCs w:val="22"/>
          <w:rtl/>
        </w:rPr>
        <w:t xml:space="preserve"> וזהו סגול</w:t>
      </w:r>
      <w:r>
        <w:rPr>
          <w:rFonts w:hint="cs"/>
          <w:sz w:val="22"/>
          <w:szCs w:val="22"/>
          <w:rtl/>
        </w:rPr>
        <w:t>,</w:t>
      </w:r>
      <w:r w:rsidRPr="00BD5E91">
        <w:rPr>
          <w:sz w:val="22"/>
          <w:szCs w:val="22"/>
          <w:rtl/>
        </w:rPr>
        <w:t xml:space="preserve"> נקודה תחת חו"ג</w:t>
      </w:r>
      <w:r>
        <w:rPr>
          <w:rFonts w:hint="cs"/>
          <w:sz w:val="22"/>
          <w:szCs w:val="22"/>
          <w:rtl/>
        </w:rPr>
        <w:t>,</w:t>
      </w:r>
      <w:r w:rsidRPr="00BD5E91">
        <w:rPr>
          <w:sz w:val="22"/>
          <w:szCs w:val="22"/>
          <w:rtl/>
        </w:rPr>
        <w:t xml:space="preserve"> שהן כלין למעלה משליש ת"ת:</w:t>
      </w:r>
    </w:p>
  </w:footnote>
  <w:footnote w:id="699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ערבות הוא כו' בין תרין.</w:t>
      </w:r>
      <w:r w:rsidRPr="00BD5E91">
        <w:rPr>
          <w:sz w:val="22"/>
          <w:szCs w:val="22"/>
          <w:rtl/>
        </w:rPr>
        <w:t xml:space="preserve"> ר"ל ערבות עצמו בין חו"ג גניז ולכן אין נקודה בין תרין נקודות רק אחריהן כנ"ל:</w:t>
      </w:r>
    </w:p>
  </w:footnote>
  <w:footnote w:id="699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לבתר דרכיב כו'.</w:t>
      </w:r>
      <w:r w:rsidRPr="00BD5E91">
        <w:rPr>
          <w:sz w:val="22"/>
          <w:szCs w:val="22"/>
          <w:rtl/>
        </w:rPr>
        <w:t xml:space="preserve"> כנ"ל חכמה שרוכב כמ"ש </w:t>
      </w:r>
      <w:r>
        <w:rPr>
          <w:rFonts w:hint="cs"/>
          <w:sz w:val="22"/>
          <w:szCs w:val="22"/>
          <w:rtl/>
        </w:rPr>
        <w:t xml:space="preserve">(חגיגה יב ע"ב) </w:t>
      </w:r>
      <w:r w:rsidRPr="00BD5E91">
        <w:rPr>
          <w:sz w:val="22"/>
          <w:szCs w:val="22"/>
          <w:rtl/>
        </w:rPr>
        <w:t>אל מלך חי כו' שהיא חכמה כידוע</w:t>
      </w:r>
      <w:r>
        <w:rPr>
          <w:rFonts w:hint="cs"/>
          <w:sz w:val="22"/>
          <w:szCs w:val="22"/>
          <w:rtl/>
        </w:rPr>
        <w:t>,</w:t>
      </w:r>
      <w:r w:rsidRPr="00BD5E91">
        <w:rPr>
          <w:sz w:val="22"/>
          <w:szCs w:val="22"/>
          <w:rtl/>
        </w:rPr>
        <w:t xml:space="preserve"> שוכן עליהם בערבות שנאמר (תהלים סח ה) סולו לרוכב בערבות בי"ה שמו</w:t>
      </w:r>
      <w:r>
        <w:rPr>
          <w:rFonts w:hint="cs"/>
          <w:sz w:val="22"/>
          <w:szCs w:val="22"/>
          <w:rtl/>
        </w:rPr>
        <w:t>,</w:t>
      </w:r>
      <w:r w:rsidRPr="00BD5E91">
        <w:rPr>
          <w:sz w:val="22"/>
          <w:szCs w:val="22"/>
          <w:rtl/>
        </w:rPr>
        <w:t xml:space="preserve"> כתיב רוכב כו' וז"ש דרכיב ביה</w:t>
      </w:r>
      <w:r>
        <w:rPr>
          <w:rFonts w:hint="cs"/>
          <w:sz w:val="22"/>
          <w:szCs w:val="22"/>
          <w:rtl/>
        </w:rPr>
        <w:t>,</w:t>
      </w:r>
      <w:r w:rsidRPr="00BD5E91">
        <w:rPr>
          <w:sz w:val="22"/>
          <w:szCs w:val="22"/>
          <w:rtl/>
        </w:rPr>
        <w:t xml:space="preserve"> ר"ל בערבות</w:t>
      </w:r>
      <w:r>
        <w:rPr>
          <w:rFonts w:hint="cs"/>
          <w:sz w:val="22"/>
          <w:szCs w:val="22"/>
          <w:rtl/>
        </w:rPr>
        <w:t>.</w:t>
      </w:r>
      <w:r w:rsidRPr="00BD5E91">
        <w:rPr>
          <w:sz w:val="22"/>
          <w:szCs w:val="22"/>
          <w:rtl/>
        </w:rPr>
        <w:t xml:space="preserve"> והוא אדם על הכסא</w:t>
      </w:r>
      <w:r>
        <w:rPr>
          <w:rFonts w:hint="cs"/>
          <w:sz w:val="22"/>
          <w:szCs w:val="22"/>
          <w:rtl/>
        </w:rPr>
        <w:t>.</w:t>
      </w:r>
      <w:r w:rsidRPr="00BD5E91">
        <w:rPr>
          <w:sz w:val="22"/>
          <w:szCs w:val="22"/>
          <w:rtl/>
        </w:rPr>
        <w:t xml:space="preserve"> והוא אין מתלבש בהם רק נהירו דמתפשט מיני</w:t>
      </w:r>
      <w:r>
        <w:rPr>
          <w:rFonts w:hint="cs"/>
          <w:sz w:val="22"/>
          <w:szCs w:val="22"/>
          <w:rtl/>
        </w:rPr>
        <w:t>ה</w:t>
      </w:r>
      <w:r w:rsidRPr="00BD5E91">
        <w:rPr>
          <w:sz w:val="22"/>
          <w:szCs w:val="22"/>
          <w:rtl/>
        </w:rPr>
        <w:t xml:space="preserve"> כמ"ש בא"ז שם ההוא נהירו דאתמשך מיני</w:t>
      </w:r>
      <w:r>
        <w:rPr>
          <w:rFonts w:hint="cs"/>
          <w:sz w:val="22"/>
          <w:szCs w:val="22"/>
          <w:rtl/>
        </w:rPr>
        <w:t>ה.</w:t>
      </w:r>
      <w:r w:rsidRPr="00BD5E91">
        <w:rPr>
          <w:sz w:val="22"/>
          <w:szCs w:val="22"/>
          <w:rtl/>
        </w:rPr>
        <w:t xml:space="preserve"> ואמר </w:t>
      </w:r>
      <w:r w:rsidRPr="00BD5E91">
        <w:rPr>
          <w:b/>
          <w:bCs/>
          <w:sz w:val="22"/>
          <w:szCs w:val="22"/>
          <w:rtl/>
        </w:rPr>
        <w:t>טמירא דכלא</w:t>
      </w:r>
      <w:r w:rsidRPr="00BD5E91">
        <w:rPr>
          <w:sz w:val="22"/>
          <w:szCs w:val="22"/>
          <w:rtl/>
        </w:rPr>
        <w:t xml:space="preserve"> כמ"ש (איוב כח יב-יג) והחכמה מאין תמצא לא ידע כו' וכמ"ש בא"ז ד' ר"צ ובג"כ לא אשתמודע כו':</w:t>
      </w:r>
    </w:p>
  </w:footnote>
  <w:footnote w:id="699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והמשכילים כו' כד"א משכיל כו' היינו יזהירו.</w:t>
      </w:r>
      <w:r w:rsidRPr="00BD5E91">
        <w:rPr>
          <w:sz w:val="22"/>
          <w:szCs w:val="22"/>
          <w:rtl/>
        </w:rPr>
        <w:t xml:space="preserve"> ר"ל טוב הוא יסוד וזהו יזהירו כו' כמש"ו שהוא ביסוד וזהו על דבר שדבר הוא מלכות והוא משכיל למצוא הפנימיות של תורה:</w:t>
      </w:r>
    </w:p>
  </w:footnote>
  <w:footnote w:id="699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זוהר זהרא כו'.</w:t>
      </w:r>
      <w:r w:rsidRPr="00BD5E91">
        <w:rPr>
          <w:sz w:val="22"/>
          <w:szCs w:val="22"/>
          <w:rtl/>
        </w:rPr>
        <w:t xml:space="preserve"> כתר:</w:t>
      </w:r>
    </w:p>
  </w:footnote>
  <w:footnote w:id="699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זוהר' זהיר כו'.</w:t>
      </w:r>
      <w:r w:rsidRPr="00BD5E91">
        <w:rPr>
          <w:sz w:val="22"/>
          <w:szCs w:val="22"/>
          <w:rtl/>
        </w:rPr>
        <w:t xml:space="preserve"> חכמה:</w:t>
      </w:r>
    </w:p>
  </w:footnote>
  <w:footnote w:id="700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זוהר סליק ונחית.</w:t>
      </w:r>
      <w:r w:rsidRPr="00BD5E91">
        <w:rPr>
          <w:sz w:val="22"/>
          <w:szCs w:val="22"/>
          <w:rtl/>
        </w:rPr>
        <w:t xml:space="preserve"> בינה כידוע שסליק ונחית בז"ת וכמש"ל ד' צ' ע"א סלקא ונחתא כו' ע"ש:</w:t>
      </w:r>
    </w:p>
  </w:footnote>
  <w:footnote w:id="700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זוהר נציץ כו'.</w:t>
      </w:r>
      <w:r w:rsidRPr="00BD5E91">
        <w:rPr>
          <w:sz w:val="22"/>
          <w:szCs w:val="22"/>
          <w:rtl/>
        </w:rPr>
        <w:t xml:space="preserve"> חסד כנ"ל:</w:t>
      </w:r>
    </w:p>
  </w:footnote>
  <w:footnote w:id="700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זוהר נגיד ונפיק.</w:t>
      </w:r>
      <w:r w:rsidRPr="00BD5E91">
        <w:rPr>
          <w:sz w:val="22"/>
          <w:szCs w:val="22"/>
          <w:rtl/>
        </w:rPr>
        <w:t xml:space="preserve"> גבורה כמ"ש (דניאל ז י) נהר די נור נגיד ונפיק:</w:t>
      </w:r>
    </w:p>
  </w:footnote>
  <w:footnote w:id="700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זוהר דלא פסיק לעלמין.</w:t>
      </w:r>
      <w:r w:rsidRPr="00BD5E91">
        <w:rPr>
          <w:sz w:val="22"/>
          <w:szCs w:val="22"/>
          <w:rtl/>
        </w:rPr>
        <w:t xml:space="preserve"> ת"ת שעליו נאמר (ישעיהו נח יא) וכמוצא מים אשר לא יכזבו מימיו:</w:t>
      </w:r>
    </w:p>
  </w:footnote>
  <w:footnote w:id="7004">
    <w:p w:rsidR="00007309" w:rsidRPr="00BD5E91" w:rsidRDefault="00007309" w:rsidP="00007309">
      <w:pPr>
        <w:jc w:val="both"/>
        <w:rPr>
          <w:rFonts w:cs="Arial"/>
          <w:sz w:val="22"/>
          <w:szCs w:val="22"/>
          <w:rtl/>
        </w:rPr>
      </w:pPr>
      <w:r w:rsidRPr="00BD5E91">
        <w:rPr>
          <w:rStyle w:val="a7"/>
          <w:rFonts w:cs="Arial"/>
          <w:sz w:val="22"/>
          <w:szCs w:val="22"/>
          <w:rtl/>
        </w:rPr>
        <w:footnoteRef/>
      </w:r>
      <w:r w:rsidRPr="00BD5E91">
        <w:rPr>
          <w:rFonts w:cs="Arial"/>
          <w:sz w:val="22"/>
          <w:szCs w:val="22"/>
          <w:rtl/>
        </w:rPr>
        <w:t xml:space="preserve"> </w:t>
      </w:r>
      <w:r w:rsidRPr="00BD5E91">
        <w:rPr>
          <w:rFonts w:cs="Arial"/>
          <w:b/>
          <w:bCs/>
          <w:sz w:val="22"/>
          <w:szCs w:val="22"/>
          <w:rtl/>
        </w:rPr>
        <w:t>זהיר דעביד תולדין.</w:t>
      </w:r>
      <w:r w:rsidRPr="00BD5E91">
        <w:rPr>
          <w:rFonts w:cs="Arial"/>
          <w:sz w:val="22"/>
          <w:szCs w:val="22"/>
          <w:rtl/>
        </w:rPr>
        <w:t xml:space="preserve"> נו"ה שהן עבדין תולדין ולכן נקרא צבאו"ת וכמ"ש בא"ז רצ"ו א' דכל חיילין דנפיק מינהון נפקין:</w:t>
      </w:r>
    </w:p>
  </w:footnote>
  <w:footnote w:id="700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זוהר זהרא כו'.</w:t>
      </w:r>
      <w:r w:rsidRPr="00BD5E91">
        <w:rPr>
          <w:sz w:val="22"/>
          <w:szCs w:val="22"/>
          <w:rtl/>
        </w:rPr>
        <w:t xml:space="preserve"> יסוד והוא טמיר כידוע והוא נקרא כל, כללא דכולא וז"ש דרגין כולא ביה והוא מבועא דבירא כידוע בהרבה מקומות:</w:t>
      </w:r>
    </w:p>
  </w:footnote>
  <w:footnote w:id="700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נפיק וטמיר.</w:t>
      </w:r>
      <w:r w:rsidRPr="00BD5E91">
        <w:rPr>
          <w:sz w:val="22"/>
          <w:szCs w:val="22"/>
          <w:rtl/>
        </w:rPr>
        <w:t xml:space="preserve"> שנכנס ויוצא בנוק' ווהו סתים וגליא:</w:t>
      </w:r>
    </w:p>
  </w:footnote>
  <w:footnote w:id="700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אשתעשע בפלגא דליליא.</w:t>
      </w:r>
      <w:r w:rsidRPr="00BD5E91">
        <w:rPr>
          <w:sz w:val="22"/>
          <w:szCs w:val="22"/>
          <w:rtl/>
        </w:rPr>
        <w:t xml:space="preserve"> בג"ע שהיא מלכות וזהו השעשוע בנשמות הצדיקים בג"ע שהן מ"ן שלה כמ"ש בזוהר ויקהל כדין אלביש חד צדיק קנאה כו' ע"ש והוא ספיק תולדין:</w:t>
      </w:r>
    </w:p>
  </w:footnote>
  <w:footnote w:id="700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זוהר דזהיר כו'.</w:t>
      </w:r>
      <w:r w:rsidRPr="00BD5E91">
        <w:rPr>
          <w:sz w:val="22"/>
          <w:szCs w:val="22"/>
          <w:rtl/>
        </w:rPr>
        <w:t xml:space="preserve"> מלכות:</w:t>
      </w:r>
    </w:p>
  </w:footnote>
  <w:footnote w:id="700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ודא איהו זוהר הרקיע הרקיע דביה כו'.</w:t>
      </w:r>
      <w:r w:rsidRPr="00BD5E91">
        <w:rPr>
          <w:sz w:val="22"/>
          <w:szCs w:val="22"/>
          <w:rtl/>
        </w:rPr>
        <w:t xml:space="preserve"> ר"ל יסוד וחוזר למעלה:</w:t>
      </w:r>
    </w:p>
  </w:footnote>
  <w:footnote w:id="701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 איקרי כו'.</w:t>
      </w:r>
      <w:r w:rsidRPr="00BD5E91">
        <w:rPr>
          <w:sz w:val="22"/>
          <w:szCs w:val="22"/>
          <w:rtl/>
        </w:rPr>
        <w:t xml:space="preserve"> ר"ל יסוד:</w:t>
      </w:r>
    </w:p>
  </w:footnote>
  <w:footnote w:id="701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מהימנא דכל ביתא.</w:t>
      </w:r>
      <w:r w:rsidRPr="00BD5E91">
        <w:rPr>
          <w:sz w:val="22"/>
          <w:szCs w:val="22"/>
          <w:rtl/>
        </w:rPr>
        <w:t xml:space="preserve"> כמ"ש (במדבר יב ז) בכל ביתי נאמן הוא:</w:t>
      </w:r>
    </w:p>
  </w:footnote>
  <w:footnote w:id="701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דלא אנהיר סיהרא אספקלריא כו'.</w:t>
      </w:r>
      <w:r w:rsidRPr="00BD5E91">
        <w:rPr>
          <w:sz w:val="22"/>
          <w:szCs w:val="22"/>
          <w:rtl/>
        </w:rPr>
        <w:t xml:space="preserve"> כי אין השגה לשום בריה רק בשכינה כידוע רק שמרע"ה אנהיר לה בדרגיה ועביד לה אספקלריא דנהרא:</w:t>
      </w:r>
    </w:p>
  </w:footnote>
  <w:footnote w:id="701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זוהר הרקיע סתים כו'.</w:t>
      </w:r>
      <w:r w:rsidRPr="00BD5E91">
        <w:rPr>
          <w:sz w:val="22"/>
          <w:szCs w:val="22"/>
          <w:rtl/>
        </w:rPr>
        <w:t xml:space="preserve"> ר"ל הרקיע יסוד וזוהר שלו בינה:</w:t>
      </w:r>
    </w:p>
  </w:footnote>
  <w:footnote w:id="701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סתימו דילה כו' דיוסף צדיקא.</w:t>
      </w:r>
      <w:r w:rsidRPr="00BD5E91">
        <w:rPr>
          <w:sz w:val="22"/>
          <w:szCs w:val="22"/>
          <w:rtl/>
        </w:rPr>
        <w:t xml:space="preserve"> כמ"ש בזוהר מלכא דשלמא דילי':</w:t>
      </w:r>
    </w:p>
  </w:footnote>
  <w:footnote w:id="701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סתים בארבע גוונין.</w:t>
      </w:r>
      <w:r w:rsidRPr="00BD5E91">
        <w:rPr>
          <w:sz w:val="22"/>
          <w:szCs w:val="22"/>
          <w:rtl/>
        </w:rPr>
        <w:t xml:space="preserve"> ששם התחלת הגוונין וכולל כל הגוונין כמ"ש בהתחלת פ' בראשית ובז"ח ש"ה ד' נ"ב ע"א כדין בארבע סטרין אתחזיין כו' וכמ"ש פ' ויחי שבינה קיימא על תריסר חיוון עלאין בפ' זבולן לחוף ימים ישכון כו' ע"ש ואמר בס</w:t>
      </w:r>
      <w:r>
        <w:rPr>
          <w:rFonts w:hint="cs"/>
          <w:sz w:val="22"/>
          <w:szCs w:val="22"/>
          <w:rtl/>
        </w:rPr>
        <w:t>פרא דצניעותא</w:t>
      </w:r>
      <w:r w:rsidRPr="00BD5E91">
        <w:rPr>
          <w:sz w:val="22"/>
          <w:szCs w:val="22"/>
          <w:rtl/>
        </w:rPr>
        <w:t xml:space="preserve"> פ"ב תריסר ירחי </w:t>
      </w:r>
      <w:r>
        <w:rPr>
          <w:rFonts w:hint="cs"/>
          <w:sz w:val="22"/>
          <w:szCs w:val="22"/>
          <w:rtl/>
        </w:rPr>
        <w:t>ד</w:t>
      </w:r>
      <w:r w:rsidRPr="00BD5E91">
        <w:rPr>
          <w:sz w:val="22"/>
          <w:szCs w:val="22"/>
          <w:rtl/>
        </w:rPr>
        <w:t>אשתכחי בעלמא עילאה כו':</w:t>
      </w:r>
    </w:p>
  </w:footnote>
  <w:footnote w:id="7016">
    <w:p w:rsidR="00007309" w:rsidRDefault="00007309" w:rsidP="00007309">
      <w:pPr>
        <w:pStyle w:val="a5"/>
        <w:rPr>
          <w:sz w:val="22"/>
          <w:szCs w:val="22"/>
          <w:rtl/>
        </w:rPr>
      </w:pPr>
      <w:r w:rsidRPr="00BD5E91">
        <w:rPr>
          <w:rStyle w:val="a7"/>
          <w:sz w:val="22"/>
          <w:szCs w:val="22"/>
          <w:rtl/>
        </w:rPr>
        <w:footnoteRef/>
      </w:r>
      <w:r w:rsidRPr="00BD5E91">
        <w:rPr>
          <w:rStyle w:val="a7"/>
          <w:sz w:val="22"/>
          <w:szCs w:val="22"/>
          <w:rtl/>
        </w:rPr>
        <w:t xml:space="preserve"> </w:t>
      </w:r>
      <w:r w:rsidRPr="00BD5E91">
        <w:rPr>
          <w:b/>
          <w:bCs/>
          <w:sz w:val="22"/>
          <w:szCs w:val="22"/>
          <w:rtl/>
        </w:rPr>
        <w:t>בתריסר חיוון.</w:t>
      </w:r>
      <w:r w:rsidRPr="00BD5E91">
        <w:rPr>
          <w:sz w:val="22"/>
          <w:szCs w:val="22"/>
          <w:rtl/>
        </w:rPr>
        <w:t xml:space="preserve"> כידוע שד' חיות כ"א מתפרש לג' ג' וכן הד' גוונין שהן גוונין של החיות שכל חיה בגוון א' כמ"ש בזוהר הרבה פעמים מתפרש ג"כ לג' ג' כמ"ש בז"ח ד' ל"ד ע"א ארבעה רישי נהורין לארבעה זיוויין ואינון תריסר ירחין מאינון תריסר מכילן וחד דשלטא עלייהו למהוי תלסר וז"ש כאן תליסר אינון ברזא דשמא כו' רזא דא"ס ר"ל כתר שנק' א"ס כמש"ו א"ס דל"ל שיעורא דמשחתא דבוצינא. וכן בוצינא דקרדינותא. נתבאר בז"ח במאמר קו המדה דף מ"ה ע"ג:</w:t>
      </w:r>
      <w:r>
        <w:rPr>
          <w:rFonts w:hint="cs"/>
          <w:sz w:val="22"/>
          <w:szCs w:val="22"/>
          <w:rtl/>
        </w:rPr>
        <w:t xml:space="preserve"> </w:t>
      </w:r>
    </w:p>
    <w:p w:rsidR="00007309" w:rsidRPr="00BD5E91" w:rsidRDefault="00007309" w:rsidP="00007309">
      <w:pPr>
        <w:pStyle w:val="a5"/>
        <w:rPr>
          <w:sz w:val="22"/>
          <w:szCs w:val="22"/>
          <w:rtl/>
        </w:rPr>
      </w:pPr>
      <w:r>
        <w:rPr>
          <w:rFonts w:hint="cs"/>
          <w:sz w:val="22"/>
          <w:szCs w:val="22"/>
          <w:rtl/>
        </w:rPr>
        <w:t>(ג.פ: הוצאנו את ביאורו מכאן, ושמנו ב'מאמר קו המידה').</w:t>
      </w:r>
    </w:p>
  </w:footnote>
  <w:footnote w:id="7017">
    <w:p w:rsidR="00007309" w:rsidRDefault="00007309" w:rsidP="00007309">
      <w:pPr>
        <w:pStyle w:val="a5"/>
      </w:pPr>
      <w:r>
        <w:rPr>
          <w:rStyle w:val="a7"/>
        </w:rPr>
        <w:footnoteRef/>
      </w:r>
      <w:r>
        <w:rPr>
          <w:rtl/>
        </w:rPr>
        <w:t xml:space="preserve"> </w:t>
      </w:r>
      <w:r w:rsidRPr="00BD5E91">
        <w:rPr>
          <w:b/>
          <w:bCs/>
          <w:sz w:val="22"/>
          <w:szCs w:val="22"/>
          <w:rtl/>
        </w:rPr>
        <w:t>תשע נקודין באורייתא נפקין כו'.</w:t>
      </w:r>
      <w:r w:rsidRPr="00BD5E91">
        <w:rPr>
          <w:sz w:val="22"/>
          <w:szCs w:val="22"/>
          <w:rtl/>
        </w:rPr>
        <w:t xml:space="preserve"> ענין ט' הנקודין</w:t>
      </w:r>
      <w:r>
        <w:rPr>
          <w:rFonts w:hint="cs"/>
          <w:sz w:val="22"/>
          <w:szCs w:val="22"/>
          <w:rtl/>
        </w:rPr>
        <w:t>,</w:t>
      </w:r>
      <w:r w:rsidRPr="00BD5E91">
        <w:rPr>
          <w:sz w:val="22"/>
          <w:szCs w:val="22"/>
          <w:rtl/>
        </w:rPr>
        <w:t xml:space="preserve"> הן ט' היכלין שנזכרו בפ' נח ובפ' פקודי במאמר הנ"ל</w:t>
      </w:r>
      <w:r>
        <w:rPr>
          <w:rFonts w:hint="cs"/>
          <w:sz w:val="22"/>
          <w:szCs w:val="22"/>
          <w:rtl/>
        </w:rPr>
        <w:t>,</w:t>
      </w:r>
      <w:r w:rsidRPr="00BD5E91">
        <w:rPr>
          <w:sz w:val="22"/>
          <w:szCs w:val="22"/>
          <w:rtl/>
        </w:rPr>
        <w:t xml:space="preserve"> דלאו אינון נהורין כו'</w:t>
      </w:r>
      <w:r>
        <w:rPr>
          <w:rFonts w:hint="cs"/>
          <w:sz w:val="22"/>
          <w:szCs w:val="22"/>
          <w:rtl/>
        </w:rPr>
        <w:t>.</w:t>
      </w:r>
      <w:r w:rsidRPr="00BD5E91">
        <w:rPr>
          <w:sz w:val="22"/>
          <w:szCs w:val="22"/>
          <w:rtl/>
        </w:rPr>
        <w:t xml:space="preserve"> ומהן מקבל החכמה של אצילות</w:t>
      </w:r>
      <w:r>
        <w:rPr>
          <w:rFonts w:hint="cs"/>
          <w:sz w:val="22"/>
          <w:szCs w:val="22"/>
          <w:rtl/>
        </w:rPr>
        <w:t>,</w:t>
      </w:r>
      <w:r w:rsidRPr="00BD5E91">
        <w:rPr>
          <w:sz w:val="22"/>
          <w:szCs w:val="22"/>
          <w:rtl/>
        </w:rPr>
        <w:t xml:space="preserve"> נקודה סתימא</w:t>
      </w:r>
      <w:r>
        <w:rPr>
          <w:rFonts w:hint="cs"/>
          <w:sz w:val="22"/>
          <w:szCs w:val="22"/>
          <w:rtl/>
        </w:rPr>
        <w:t>.</w:t>
      </w:r>
      <w:r w:rsidRPr="00BD5E91">
        <w:rPr>
          <w:sz w:val="22"/>
          <w:szCs w:val="22"/>
          <w:rtl/>
        </w:rPr>
        <w:t xml:space="preserve"> וממנו יצאו הנקודות אל האותיות</w:t>
      </w:r>
      <w:r>
        <w:rPr>
          <w:rFonts w:hint="cs"/>
          <w:sz w:val="22"/>
          <w:szCs w:val="22"/>
          <w:rtl/>
        </w:rPr>
        <w:t>.</w:t>
      </w:r>
      <w:r w:rsidRPr="00BD5E91">
        <w:rPr>
          <w:sz w:val="22"/>
          <w:szCs w:val="22"/>
          <w:rtl/>
        </w:rPr>
        <w:t xml:space="preserve"> כמ"ש בז"ח ש"ה ד</w:t>
      </w:r>
      <w:r>
        <w:rPr>
          <w:rFonts w:hint="cs"/>
          <w:sz w:val="22"/>
          <w:szCs w:val="22"/>
          <w:rtl/>
        </w:rPr>
        <w:t>ף</w:t>
      </w:r>
      <w:r w:rsidRPr="00BD5E91">
        <w:rPr>
          <w:sz w:val="22"/>
          <w:szCs w:val="22"/>
          <w:rtl/>
        </w:rPr>
        <w:t xml:space="preserve"> נ"ז ע"ד </w:t>
      </w:r>
      <w:r>
        <w:rPr>
          <w:rFonts w:hint="cs"/>
          <w:sz w:val="22"/>
          <w:szCs w:val="22"/>
          <w:rtl/>
        </w:rPr>
        <w:t xml:space="preserve">(אצלנו הוא דף פט ע"ב) </w:t>
      </w:r>
      <w:r w:rsidRPr="00BD5E91">
        <w:rPr>
          <w:sz w:val="22"/>
          <w:szCs w:val="22"/>
          <w:rtl/>
        </w:rPr>
        <w:t>בוצ</w:t>
      </w:r>
      <w:r>
        <w:rPr>
          <w:rFonts w:hint="cs"/>
          <w:sz w:val="22"/>
          <w:szCs w:val="22"/>
          <w:rtl/>
        </w:rPr>
        <w:t>ינא דקרדינותא,</w:t>
      </w:r>
      <w:r w:rsidRPr="00BD5E91">
        <w:rPr>
          <w:sz w:val="22"/>
          <w:szCs w:val="22"/>
          <w:rtl/>
        </w:rPr>
        <w:t xml:space="preserve"> כד בטש ההוא אוירא דכיא במוחא</w:t>
      </w:r>
      <w:r>
        <w:rPr>
          <w:rFonts w:hint="cs"/>
          <w:sz w:val="22"/>
          <w:szCs w:val="22"/>
          <w:rtl/>
        </w:rPr>
        <w:t>,</w:t>
      </w:r>
      <w:r w:rsidRPr="00BD5E91">
        <w:rPr>
          <w:sz w:val="22"/>
          <w:szCs w:val="22"/>
          <w:rtl/>
        </w:rPr>
        <w:t xml:space="preserve"> בטש ולא בטש</w:t>
      </w:r>
      <w:r>
        <w:rPr>
          <w:rFonts w:hint="cs"/>
          <w:sz w:val="22"/>
          <w:szCs w:val="22"/>
          <w:rtl/>
        </w:rPr>
        <w:t>,</w:t>
      </w:r>
      <w:r w:rsidRPr="00BD5E91">
        <w:rPr>
          <w:sz w:val="22"/>
          <w:szCs w:val="22"/>
          <w:rtl/>
        </w:rPr>
        <w:t xml:space="preserve"> מטי לגביה דההוא מוחא ואסתלק מיניה</w:t>
      </w:r>
      <w:r>
        <w:rPr>
          <w:rFonts w:hint="cs"/>
          <w:sz w:val="22"/>
          <w:szCs w:val="22"/>
          <w:rtl/>
        </w:rPr>
        <w:t>.</w:t>
      </w:r>
      <w:r w:rsidRPr="00BD5E91">
        <w:rPr>
          <w:sz w:val="22"/>
          <w:szCs w:val="22"/>
          <w:rtl/>
        </w:rPr>
        <w:t xml:space="preserve"> כדין ההוא בטישו נפיק לגבי אתוון מגו מוחא</w:t>
      </w:r>
      <w:r>
        <w:rPr>
          <w:rFonts w:hint="cs"/>
          <w:sz w:val="22"/>
          <w:szCs w:val="22"/>
          <w:rtl/>
        </w:rPr>
        <w:t>,</w:t>
      </w:r>
      <w:r w:rsidRPr="00BD5E91">
        <w:rPr>
          <w:sz w:val="22"/>
          <w:szCs w:val="22"/>
          <w:rtl/>
        </w:rPr>
        <w:t xml:space="preserve"> ואתוון אתנקידו</w:t>
      </w:r>
      <w:r>
        <w:rPr>
          <w:rFonts w:hint="cs"/>
          <w:sz w:val="22"/>
          <w:szCs w:val="22"/>
          <w:rtl/>
        </w:rPr>
        <w:t>.</w:t>
      </w:r>
      <w:r w:rsidRPr="00BD5E91">
        <w:rPr>
          <w:sz w:val="22"/>
          <w:szCs w:val="22"/>
          <w:rtl/>
        </w:rPr>
        <w:t xml:space="preserve"> ור"ל כמ"ש במאמר הנ"ל</w:t>
      </w:r>
      <w:r>
        <w:rPr>
          <w:rFonts w:hint="cs"/>
          <w:sz w:val="22"/>
          <w:szCs w:val="22"/>
          <w:rtl/>
        </w:rPr>
        <w:t>,</w:t>
      </w:r>
      <w:r w:rsidRPr="00BD5E91">
        <w:rPr>
          <w:sz w:val="22"/>
          <w:szCs w:val="22"/>
          <w:rtl/>
        </w:rPr>
        <w:t xml:space="preserve"> ומגו ההוא פריסו</w:t>
      </w:r>
      <w:r>
        <w:rPr>
          <w:rFonts w:hint="cs"/>
          <w:sz w:val="22"/>
          <w:szCs w:val="22"/>
          <w:rtl/>
        </w:rPr>
        <w:t>,</w:t>
      </w:r>
      <w:r w:rsidRPr="00BD5E91">
        <w:rPr>
          <w:sz w:val="22"/>
          <w:szCs w:val="22"/>
          <w:rtl/>
        </w:rPr>
        <w:t xml:space="preserve"> ברדיפו כו'</w:t>
      </w:r>
      <w:r>
        <w:rPr>
          <w:rFonts w:hint="cs"/>
          <w:sz w:val="22"/>
          <w:szCs w:val="22"/>
          <w:rtl/>
        </w:rPr>
        <w:t>,</w:t>
      </w:r>
      <w:r w:rsidRPr="00BD5E91">
        <w:rPr>
          <w:sz w:val="22"/>
          <w:szCs w:val="22"/>
          <w:rtl/>
        </w:rPr>
        <w:t xml:space="preserve"> וכדין ההוא מחשבה</w:t>
      </w:r>
      <w:r>
        <w:rPr>
          <w:rFonts w:hint="cs"/>
          <w:sz w:val="22"/>
          <w:szCs w:val="22"/>
          <w:rtl/>
        </w:rPr>
        <w:t>,</w:t>
      </w:r>
      <w:r w:rsidRPr="00BD5E91">
        <w:rPr>
          <w:sz w:val="22"/>
          <w:szCs w:val="22"/>
          <w:rtl/>
        </w:rPr>
        <w:t xml:space="preserve"> נהיר בנהירו כו'</w:t>
      </w:r>
      <w:r>
        <w:rPr>
          <w:rFonts w:hint="cs"/>
          <w:sz w:val="22"/>
          <w:szCs w:val="22"/>
          <w:rtl/>
        </w:rPr>
        <w:t>.</w:t>
      </w:r>
      <w:r w:rsidRPr="00BD5E91">
        <w:rPr>
          <w:sz w:val="22"/>
          <w:szCs w:val="22"/>
          <w:rtl/>
        </w:rPr>
        <w:t xml:space="preserve"> וההוא נהירו היינו נקודות</w:t>
      </w:r>
      <w:r>
        <w:rPr>
          <w:rFonts w:hint="cs"/>
          <w:sz w:val="22"/>
          <w:szCs w:val="22"/>
          <w:rtl/>
        </w:rPr>
        <w:t>.</w:t>
      </w:r>
      <w:r w:rsidRPr="00BD5E91">
        <w:rPr>
          <w:sz w:val="22"/>
          <w:szCs w:val="22"/>
          <w:rtl/>
        </w:rPr>
        <w:t xml:space="preserve"> ואמר בש"ה שם</w:t>
      </w:r>
      <w:r>
        <w:rPr>
          <w:rFonts w:hint="cs"/>
          <w:sz w:val="22"/>
          <w:szCs w:val="22"/>
          <w:rtl/>
        </w:rPr>
        <w:t>,</w:t>
      </w:r>
      <w:r w:rsidRPr="00BD5E91">
        <w:rPr>
          <w:sz w:val="22"/>
          <w:szCs w:val="22"/>
          <w:rtl/>
        </w:rPr>
        <w:t xml:space="preserve"> כיון דההוא בטישו אתיישב במוחא כו'</w:t>
      </w:r>
      <w:r>
        <w:rPr>
          <w:rFonts w:hint="cs"/>
          <w:sz w:val="22"/>
          <w:szCs w:val="22"/>
          <w:rtl/>
        </w:rPr>
        <w:t>,</w:t>
      </w:r>
      <w:r w:rsidRPr="00BD5E91">
        <w:rPr>
          <w:sz w:val="22"/>
          <w:szCs w:val="22"/>
          <w:rtl/>
        </w:rPr>
        <w:t xml:space="preserve"> ר"ל מ"ש במאמר הנ"ל</w:t>
      </w:r>
      <w:r>
        <w:rPr>
          <w:rFonts w:hint="cs"/>
          <w:sz w:val="22"/>
          <w:szCs w:val="22"/>
          <w:rtl/>
        </w:rPr>
        <w:t>,</w:t>
      </w:r>
      <w:r w:rsidRPr="00BD5E91">
        <w:rPr>
          <w:sz w:val="22"/>
          <w:szCs w:val="22"/>
          <w:rtl/>
        </w:rPr>
        <w:t xml:space="preserve"> כדין בטש האי נהירו דמחשבה כו' ונהרין כחדא</w:t>
      </w:r>
      <w:r>
        <w:rPr>
          <w:rFonts w:hint="cs"/>
          <w:sz w:val="22"/>
          <w:szCs w:val="22"/>
          <w:rtl/>
        </w:rPr>
        <w:t>.</w:t>
      </w:r>
      <w:r w:rsidRPr="00BD5E91">
        <w:rPr>
          <w:sz w:val="22"/>
          <w:szCs w:val="22"/>
          <w:rtl/>
        </w:rPr>
        <w:t xml:space="preserve"> והן הטעמים שהן מאוירא</w:t>
      </w:r>
      <w:r>
        <w:rPr>
          <w:rFonts w:hint="cs"/>
          <w:sz w:val="22"/>
          <w:szCs w:val="22"/>
          <w:rtl/>
        </w:rPr>
        <w:t>,</w:t>
      </w:r>
      <w:r w:rsidRPr="00BD5E91">
        <w:rPr>
          <w:sz w:val="22"/>
          <w:szCs w:val="22"/>
          <w:rtl/>
        </w:rPr>
        <w:t xml:space="preserve"> מ"ד</w:t>
      </w:r>
      <w:r>
        <w:rPr>
          <w:rFonts w:hint="cs"/>
          <w:sz w:val="22"/>
          <w:szCs w:val="22"/>
          <w:rtl/>
        </w:rPr>
        <w:t>,</w:t>
      </w:r>
      <w:r w:rsidRPr="00BD5E91">
        <w:rPr>
          <w:sz w:val="22"/>
          <w:szCs w:val="22"/>
          <w:rtl/>
        </w:rPr>
        <w:t xml:space="preserve"> ונקודות ממוחא</w:t>
      </w:r>
      <w:r>
        <w:rPr>
          <w:rFonts w:hint="cs"/>
          <w:sz w:val="22"/>
          <w:szCs w:val="22"/>
          <w:rtl/>
        </w:rPr>
        <w:t>,</w:t>
      </w:r>
      <w:r w:rsidRPr="00BD5E91">
        <w:rPr>
          <w:sz w:val="22"/>
          <w:szCs w:val="22"/>
          <w:rtl/>
        </w:rPr>
        <w:t xml:space="preserve"> מ"נ</w:t>
      </w:r>
      <w:r>
        <w:rPr>
          <w:rFonts w:hint="cs"/>
          <w:sz w:val="22"/>
          <w:szCs w:val="22"/>
          <w:rtl/>
        </w:rPr>
        <w:t>.</w:t>
      </w:r>
      <w:r w:rsidRPr="00BD5E91">
        <w:rPr>
          <w:sz w:val="22"/>
          <w:szCs w:val="22"/>
          <w:rtl/>
        </w:rPr>
        <w:t xml:space="preserve"> ואמר</w:t>
      </w:r>
      <w:r>
        <w:rPr>
          <w:rFonts w:hint="cs"/>
          <w:sz w:val="22"/>
          <w:szCs w:val="22"/>
          <w:rtl/>
        </w:rPr>
        <w:t>,</w:t>
      </w:r>
      <w:r w:rsidRPr="00BD5E91">
        <w:rPr>
          <w:sz w:val="22"/>
          <w:szCs w:val="22"/>
          <w:rtl/>
        </w:rPr>
        <w:t xml:space="preserve"> מגו אוירא דאתפס</w:t>
      </w:r>
      <w:r>
        <w:rPr>
          <w:rFonts w:hint="cs"/>
          <w:sz w:val="22"/>
          <w:szCs w:val="22"/>
          <w:rtl/>
        </w:rPr>
        <w:t>,</w:t>
      </w:r>
      <w:r w:rsidRPr="00BD5E91">
        <w:rPr>
          <w:sz w:val="22"/>
          <w:szCs w:val="22"/>
          <w:rtl/>
        </w:rPr>
        <w:t xml:space="preserve"> ר"ל אוירא שבגלגלתא:</w:t>
      </w:r>
      <w:r>
        <w:rPr>
          <w:rFonts w:hint="cs"/>
          <w:sz w:val="22"/>
          <w:szCs w:val="22"/>
          <w:rtl/>
        </w:rPr>
        <w:t xml:space="preserve"> </w:t>
      </w:r>
      <w:r w:rsidRPr="00655562">
        <w:rPr>
          <w:sz w:val="22"/>
          <w:szCs w:val="22"/>
          <w:rtl/>
        </w:rPr>
        <w:t>בגין דאית אוירא דכיא דלא אתפס כלל.</w:t>
      </w:r>
      <w:r w:rsidRPr="00BD5E91">
        <w:rPr>
          <w:sz w:val="22"/>
          <w:szCs w:val="22"/>
          <w:rtl/>
        </w:rPr>
        <w:t xml:space="preserve"> הוא רדל"א</w:t>
      </w:r>
      <w:r>
        <w:rPr>
          <w:rFonts w:hint="cs"/>
          <w:sz w:val="22"/>
          <w:szCs w:val="22"/>
          <w:rtl/>
        </w:rPr>
        <w:t>.</w:t>
      </w:r>
      <w:r w:rsidRPr="00BD5E91">
        <w:rPr>
          <w:sz w:val="22"/>
          <w:szCs w:val="22"/>
          <w:rtl/>
        </w:rPr>
        <w:t xml:space="preserve"> וענין אוירא</w:t>
      </w:r>
      <w:r>
        <w:rPr>
          <w:rFonts w:hint="cs"/>
          <w:sz w:val="22"/>
          <w:szCs w:val="22"/>
          <w:rtl/>
        </w:rPr>
        <w:t>,</w:t>
      </w:r>
      <w:r w:rsidRPr="00BD5E91">
        <w:rPr>
          <w:sz w:val="22"/>
          <w:szCs w:val="22"/>
          <w:rtl/>
        </w:rPr>
        <w:t xml:space="preserve"> הוא אור הגנוז שאינו מושג כלל</w:t>
      </w:r>
      <w:r>
        <w:rPr>
          <w:rFonts w:hint="cs"/>
          <w:sz w:val="22"/>
          <w:szCs w:val="22"/>
          <w:rtl/>
        </w:rPr>
        <w:t>,</w:t>
      </w:r>
      <w:r w:rsidRPr="00BD5E91">
        <w:rPr>
          <w:sz w:val="22"/>
          <w:szCs w:val="22"/>
          <w:rtl/>
        </w:rPr>
        <w:t xml:space="preserve"> כמו האויר</w:t>
      </w:r>
      <w:r>
        <w:rPr>
          <w:rFonts w:hint="cs"/>
          <w:sz w:val="22"/>
          <w:szCs w:val="22"/>
          <w:rtl/>
        </w:rPr>
        <w:t>.</w:t>
      </w:r>
      <w:r w:rsidRPr="00BD5E91">
        <w:rPr>
          <w:sz w:val="22"/>
          <w:szCs w:val="22"/>
          <w:rtl/>
        </w:rPr>
        <w:t xml:space="preserve"> משא"כ אור המאיר</w:t>
      </w:r>
      <w:r>
        <w:rPr>
          <w:rFonts w:hint="cs"/>
          <w:sz w:val="22"/>
          <w:szCs w:val="22"/>
          <w:rtl/>
        </w:rPr>
        <w:t>,</w:t>
      </w:r>
      <w:r w:rsidRPr="00BD5E91">
        <w:rPr>
          <w:sz w:val="22"/>
          <w:szCs w:val="22"/>
          <w:rtl/>
        </w:rPr>
        <w:t xml:space="preserve"> שמושג לכל</w:t>
      </w:r>
      <w:r>
        <w:rPr>
          <w:rFonts w:hint="cs"/>
          <w:sz w:val="22"/>
          <w:szCs w:val="22"/>
          <w:rtl/>
        </w:rPr>
        <w:t>.</w:t>
      </w:r>
      <w:r w:rsidRPr="00BD5E91">
        <w:rPr>
          <w:sz w:val="22"/>
          <w:szCs w:val="22"/>
          <w:rtl/>
        </w:rPr>
        <w:t xml:space="preserve"> והוא אור הגנוז באות י' כמ"ש בפ' בראשית (ע"ז ב') אפיק י' מאויר ואשתאר אור</w:t>
      </w:r>
      <w:r>
        <w:rPr>
          <w:rFonts w:hint="cs"/>
          <w:sz w:val="22"/>
          <w:szCs w:val="22"/>
          <w:rtl/>
        </w:rPr>
        <w:t>.</w:t>
      </w:r>
      <w:r w:rsidRPr="00BD5E91">
        <w:rPr>
          <w:sz w:val="22"/>
          <w:szCs w:val="22"/>
          <w:rtl/>
        </w:rPr>
        <w:t xml:space="preserve"> ובתיקונים תיקון ה' ע"ש</w:t>
      </w:r>
      <w:r>
        <w:rPr>
          <w:rFonts w:hint="cs"/>
          <w:sz w:val="22"/>
          <w:szCs w:val="22"/>
          <w:rtl/>
        </w:rPr>
        <w:t>.</w:t>
      </w:r>
      <w:r w:rsidRPr="00BD5E91">
        <w:rPr>
          <w:sz w:val="22"/>
          <w:szCs w:val="22"/>
          <w:rtl/>
        </w:rPr>
        <w:t xml:space="preserve"> ואמר שם במאמר הנ"ל פ' נח ופקודי</w:t>
      </w:r>
      <w:r>
        <w:rPr>
          <w:rFonts w:hint="cs"/>
          <w:sz w:val="22"/>
          <w:szCs w:val="22"/>
          <w:rtl/>
        </w:rPr>
        <w:t>,</w:t>
      </w:r>
      <w:r w:rsidRPr="00BD5E91">
        <w:rPr>
          <w:sz w:val="22"/>
          <w:szCs w:val="22"/>
          <w:rtl/>
        </w:rPr>
        <w:t xml:space="preserve"> אתעבידו ט' היכלין להיכלין</w:t>
      </w:r>
      <w:r>
        <w:rPr>
          <w:rFonts w:hint="cs"/>
          <w:sz w:val="22"/>
          <w:szCs w:val="22"/>
          <w:rtl/>
        </w:rPr>
        <w:t>,</w:t>
      </w:r>
      <w:r w:rsidRPr="00BD5E91">
        <w:rPr>
          <w:sz w:val="22"/>
          <w:szCs w:val="22"/>
          <w:rtl/>
        </w:rPr>
        <w:t xml:space="preserve"> ר"ל ט' היכלין</w:t>
      </w:r>
      <w:r>
        <w:rPr>
          <w:rFonts w:hint="cs"/>
          <w:sz w:val="22"/>
          <w:szCs w:val="22"/>
          <w:rtl/>
        </w:rPr>
        <w:t>,</w:t>
      </w:r>
      <w:r w:rsidRPr="00BD5E91">
        <w:rPr>
          <w:sz w:val="22"/>
          <w:szCs w:val="22"/>
          <w:rtl/>
        </w:rPr>
        <w:t xml:space="preserve"> ובתוכם י"ג היכלין</w:t>
      </w:r>
      <w:r>
        <w:rPr>
          <w:rFonts w:hint="cs"/>
          <w:sz w:val="22"/>
          <w:szCs w:val="22"/>
          <w:rtl/>
        </w:rPr>
        <w:t>.</w:t>
      </w:r>
      <w:r w:rsidRPr="00BD5E91">
        <w:rPr>
          <w:sz w:val="22"/>
          <w:szCs w:val="22"/>
          <w:rtl/>
        </w:rPr>
        <w:t xml:space="preserve"> שתשע הן דמ"ס</w:t>
      </w:r>
      <w:r>
        <w:rPr>
          <w:rFonts w:hint="cs"/>
          <w:sz w:val="22"/>
          <w:szCs w:val="22"/>
          <w:rtl/>
        </w:rPr>
        <w:t>,</w:t>
      </w:r>
      <w:r w:rsidRPr="00BD5E91">
        <w:rPr>
          <w:sz w:val="22"/>
          <w:szCs w:val="22"/>
          <w:rtl/>
        </w:rPr>
        <w:t xml:space="preserve"> וי"ג הן דאוירא</w:t>
      </w:r>
      <w:r>
        <w:rPr>
          <w:rFonts w:hint="cs"/>
          <w:sz w:val="22"/>
          <w:szCs w:val="22"/>
          <w:rtl/>
        </w:rPr>
        <w:t>,</w:t>
      </w:r>
      <w:r w:rsidRPr="00BD5E91">
        <w:rPr>
          <w:sz w:val="22"/>
          <w:szCs w:val="22"/>
          <w:rtl/>
        </w:rPr>
        <w:t xml:space="preserve"> ששם י"ג כמ"ש לעיל י"ג</w:t>
      </w:r>
      <w:r>
        <w:rPr>
          <w:rFonts w:hint="cs"/>
          <w:sz w:val="22"/>
          <w:szCs w:val="22"/>
          <w:rtl/>
        </w:rPr>
        <w:t>,</w:t>
      </w:r>
      <w:r w:rsidRPr="00BD5E91">
        <w:rPr>
          <w:sz w:val="22"/>
          <w:szCs w:val="22"/>
          <w:rtl/>
        </w:rPr>
        <w:t xml:space="preserve"> ברזא דא"ס</w:t>
      </w:r>
      <w:r>
        <w:rPr>
          <w:rFonts w:hint="cs"/>
          <w:sz w:val="22"/>
          <w:szCs w:val="22"/>
          <w:rtl/>
        </w:rPr>
        <w:t>.</w:t>
      </w:r>
      <w:r w:rsidRPr="00BD5E91">
        <w:rPr>
          <w:sz w:val="22"/>
          <w:szCs w:val="22"/>
          <w:rtl/>
        </w:rPr>
        <w:t xml:space="preserve"> והן י"ג טעמים וט' נקודות</w:t>
      </w:r>
      <w:r>
        <w:rPr>
          <w:rFonts w:hint="cs"/>
          <w:sz w:val="22"/>
          <w:szCs w:val="22"/>
          <w:rtl/>
        </w:rPr>
        <w:t>.</w:t>
      </w:r>
      <w:r w:rsidRPr="00BD5E91">
        <w:rPr>
          <w:sz w:val="22"/>
          <w:szCs w:val="22"/>
          <w:rtl/>
        </w:rPr>
        <w:t xml:space="preserve"> ואמר שם שכל הט' היכלין נקראין א"ס</w:t>
      </w:r>
      <w:r>
        <w:rPr>
          <w:rFonts w:hint="cs"/>
          <w:sz w:val="22"/>
          <w:szCs w:val="22"/>
          <w:rtl/>
        </w:rPr>
        <w:t>,</w:t>
      </w:r>
      <w:r w:rsidRPr="00BD5E91">
        <w:rPr>
          <w:sz w:val="22"/>
          <w:szCs w:val="22"/>
          <w:rtl/>
        </w:rPr>
        <w:t xml:space="preserve"> והן הנקודות</w:t>
      </w:r>
      <w:r>
        <w:rPr>
          <w:rFonts w:hint="cs"/>
          <w:sz w:val="22"/>
          <w:szCs w:val="22"/>
          <w:rtl/>
        </w:rPr>
        <w:t>,</w:t>
      </w:r>
      <w:r w:rsidRPr="00BD5E91">
        <w:rPr>
          <w:sz w:val="22"/>
          <w:szCs w:val="22"/>
          <w:rtl/>
        </w:rPr>
        <w:t xml:space="preserve"> כמש"ל אלין אקרון א"ס כו'</w:t>
      </w:r>
      <w:r>
        <w:rPr>
          <w:rFonts w:hint="cs"/>
          <w:sz w:val="22"/>
          <w:szCs w:val="22"/>
          <w:rtl/>
        </w:rPr>
        <w:t>,</w:t>
      </w:r>
      <w:r w:rsidRPr="00BD5E91">
        <w:rPr>
          <w:sz w:val="22"/>
          <w:szCs w:val="22"/>
          <w:rtl/>
        </w:rPr>
        <w:t xml:space="preserve"> כי בכתר הן י"ג מכילן</w:t>
      </w:r>
      <w:r>
        <w:rPr>
          <w:rFonts w:hint="cs"/>
          <w:sz w:val="22"/>
          <w:szCs w:val="22"/>
          <w:rtl/>
        </w:rPr>
        <w:t>,</w:t>
      </w:r>
      <w:r w:rsidRPr="00BD5E91">
        <w:rPr>
          <w:sz w:val="22"/>
          <w:szCs w:val="22"/>
          <w:rtl/>
        </w:rPr>
        <w:t xml:space="preserve"> ובחכמה עשר נקודות נגד מ"ס</w:t>
      </w:r>
      <w:r>
        <w:rPr>
          <w:rFonts w:hint="cs"/>
          <w:sz w:val="22"/>
          <w:szCs w:val="22"/>
          <w:rtl/>
        </w:rPr>
        <w:t>,</w:t>
      </w:r>
      <w:r w:rsidRPr="00BD5E91">
        <w:rPr>
          <w:sz w:val="22"/>
          <w:szCs w:val="22"/>
          <w:rtl/>
        </w:rPr>
        <w:t xml:space="preserve"> רק שא</w:t>
      </w:r>
      <w:r>
        <w:rPr>
          <w:rFonts w:hint="cs"/>
          <w:sz w:val="22"/>
          <w:szCs w:val="22"/>
          <w:rtl/>
        </w:rPr>
        <w:t>חד</w:t>
      </w:r>
      <w:r w:rsidRPr="00BD5E91">
        <w:rPr>
          <w:sz w:val="22"/>
          <w:szCs w:val="22"/>
          <w:rtl/>
        </w:rPr>
        <w:t xml:space="preserve"> גנוז</w:t>
      </w:r>
      <w:r>
        <w:rPr>
          <w:rFonts w:hint="cs"/>
          <w:sz w:val="22"/>
          <w:szCs w:val="22"/>
          <w:rtl/>
        </w:rPr>
        <w:t>,</w:t>
      </w:r>
      <w:r w:rsidRPr="00BD5E91">
        <w:rPr>
          <w:sz w:val="22"/>
          <w:szCs w:val="22"/>
          <w:rtl/>
        </w:rPr>
        <w:t xml:space="preserve"> נשארין ט' נקודות</w:t>
      </w:r>
      <w:r>
        <w:rPr>
          <w:rFonts w:hint="cs"/>
          <w:sz w:val="22"/>
          <w:szCs w:val="22"/>
          <w:rtl/>
        </w:rPr>
        <w:t>,</w:t>
      </w:r>
      <w:r w:rsidRPr="00BD5E91">
        <w:rPr>
          <w:sz w:val="22"/>
          <w:szCs w:val="22"/>
          <w:rtl/>
        </w:rPr>
        <w:t xml:space="preserve"> וכ"ה במ"ס:</w:t>
      </w:r>
    </w:p>
  </w:footnote>
  <w:footnote w:id="7018">
    <w:p w:rsidR="00007309" w:rsidRDefault="00007309" w:rsidP="00007309">
      <w:pPr>
        <w:pStyle w:val="a5"/>
        <w:rPr>
          <w:rtl/>
        </w:rPr>
      </w:pPr>
      <w:r>
        <w:rPr>
          <w:rStyle w:val="a7"/>
        </w:rPr>
        <w:footnoteRef/>
      </w:r>
      <w:r>
        <w:rPr>
          <w:rtl/>
        </w:rPr>
        <w:t xml:space="preserve"> </w:t>
      </w:r>
      <w:r w:rsidRPr="00BD5E91">
        <w:rPr>
          <w:b/>
          <w:bCs/>
          <w:sz w:val="22"/>
          <w:szCs w:val="22"/>
          <w:rtl/>
        </w:rPr>
        <w:t>אתוון מנייהו אתפשטו.</w:t>
      </w:r>
      <w:r w:rsidRPr="00BD5E91">
        <w:rPr>
          <w:sz w:val="22"/>
          <w:szCs w:val="22"/>
          <w:rtl/>
        </w:rPr>
        <w:t xml:space="preserve"> כמ"ש למטה מנקודה חדא דנפקי מינייהו</w:t>
      </w:r>
      <w:r>
        <w:rPr>
          <w:rFonts w:hint="cs"/>
          <w:sz w:val="22"/>
          <w:szCs w:val="22"/>
          <w:rtl/>
        </w:rPr>
        <w:t>.</w:t>
      </w:r>
      <w:r w:rsidRPr="00BD5E91">
        <w:rPr>
          <w:sz w:val="22"/>
          <w:szCs w:val="22"/>
          <w:rtl/>
        </w:rPr>
        <w:t xml:space="preserve"> ובז"ח ש"ה ד' נ"ח ע"א </w:t>
      </w:r>
      <w:r>
        <w:rPr>
          <w:rFonts w:hint="cs"/>
          <w:sz w:val="22"/>
          <w:szCs w:val="22"/>
          <w:rtl/>
        </w:rPr>
        <w:t xml:space="preserve">(אצלנו צ ע"א) </w:t>
      </w:r>
      <w:r w:rsidRPr="00BD5E91">
        <w:rPr>
          <w:sz w:val="22"/>
          <w:szCs w:val="22"/>
          <w:rtl/>
        </w:rPr>
        <w:t>ת"ח בראשית בהאי ראשית רזא דנקודה עילאה ברא אלקים, בחיל דהאי נקודה נפקו אתוון כו' וע"ש</w:t>
      </w:r>
      <w:r>
        <w:rPr>
          <w:rFonts w:hint="cs"/>
          <w:sz w:val="22"/>
          <w:szCs w:val="22"/>
          <w:rtl/>
        </w:rPr>
        <w:t>,</w:t>
      </w:r>
      <w:r w:rsidRPr="00BD5E91">
        <w:rPr>
          <w:sz w:val="22"/>
          <w:szCs w:val="22"/>
          <w:rtl/>
        </w:rPr>
        <w:t xml:space="preserve"> כי הנקודות נפקו מחכמה</w:t>
      </w:r>
      <w:r>
        <w:rPr>
          <w:rFonts w:hint="cs"/>
          <w:sz w:val="22"/>
          <w:szCs w:val="22"/>
          <w:rtl/>
        </w:rPr>
        <w:t>,</w:t>
      </w:r>
      <w:r w:rsidRPr="00BD5E91">
        <w:rPr>
          <w:sz w:val="22"/>
          <w:szCs w:val="22"/>
          <w:rtl/>
        </w:rPr>
        <w:t xml:space="preserve"> ואתוון מבינה</w:t>
      </w:r>
      <w:r>
        <w:rPr>
          <w:rFonts w:hint="cs"/>
          <w:sz w:val="22"/>
          <w:szCs w:val="22"/>
          <w:rtl/>
        </w:rPr>
        <w:t>,</w:t>
      </w:r>
      <w:r w:rsidRPr="00BD5E91">
        <w:rPr>
          <w:sz w:val="22"/>
          <w:szCs w:val="22"/>
          <w:rtl/>
        </w:rPr>
        <w:t xml:space="preserve"> ושם אצטיירו בבינה בסוד וייצר שמצטייר הוולד בבטן אמו</w:t>
      </w:r>
      <w:r>
        <w:rPr>
          <w:rFonts w:hint="cs"/>
          <w:sz w:val="22"/>
          <w:szCs w:val="22"/>
          <w:rtl/>
        </w:rPr>
        <w:t>,</w:t>
      </w:r>
      <w:r w:rsidRPr="00BD5E91">
        <w:rPr>
          <w:sz w:val="22"/>
          <w:szCs w:val="22"/>
          <w:rtl/>
        </w:rPr>
        <w:t xml:space="preserve"> משא"כ הנקודות שהוא זרע האב</w:t>
      </w:r>
      <w:r>
        <w:rPr>
          <w:rFonts w:hint="cs"/>
          <w:sz w:val="22"/>
          <w:szCs w:val="22"/>
          <w:rtl/>
        </w:rPr>
        <w:t>,</w:t>
      </w:r>
      <w:r w:rsidRPr="00BD5E91">
        <w:rPr>
          <w:sz w:val="22"/>
          <w:szCs w:val="22"/>
          <w:rtl/>
        </w:rPr>
        <w:t xml:space="preserve"> ברזא דתלת טפין</w:t>
      </w:r>
      <w:r>
        <w:rPr>
          <w:rFonts w:hint="cs"/>
          <w:sz w:val="22"/>
          <w:szCs w:val="22"/>
          <w:rtl/>
        </w:rPr>
        <w:t>,</w:t>
      </w:r>
      <w:r w:rsidRPr="00BD5E91">
        <w:rPr>
          <w:sz w:val="22"/>
          <w:szCs w:val="22"/>
          <w:rtl/>
        </w:rPr>
        <w:t xml:space="preserve"> ג' נקודין חש"ח</w:t>
      </w:r>
      <w:r>
        <w:rPr>
          <w:rFonts w:hint="cs"/>
          <w:sz w:val="22"/>
          <w:szCs w:val="22"/>
          <w:rtl/>
        </w:rPr>
        <w:t>,</w:t>
      </w:r>
      <w:r w:rsidRPr="00BD5E91">
        <w:rPr>
          <w:sz w:val="22"/>
          <w:szCs w:val="22"/>
          <w:rtl/>
        </w:rPr>
        <w:t xml:space="preserve"> כלל הנקודות</w:t>
      </w:r>
      <w:r>
        <w:rPr>
          <w:rFonts w:hint="cs"/>
          <w:sz w:val="22"/>
          <w:szCs w:val="22"/>
          <w:rtl/>
        </w:rPr>
        <w:t>,</w:t>
      </w:r>
      <w:r w:rsidRPr="00BD5E91">
        <w:rPr>
          <w:sz w:val="22"/>
          <w:szCs w:val="22"/>
          <w:rtl/>
        </w:rPr>
        <w:t xml:space="preserve"> שאין להם ציור</w:t>
      </w:r>
      <w:r>
        <w:rPr>
          <w:rFonts w:hint="cs"/>
          <w:sz w:val="22"/>
          <w:szCs w:val="22"/>
          <w:rtl/>
        </w:rPr>
        <w:t>,</w:t>
      </w:r>
      <w:r w:rsidRPr="00BD5E91">
        <w:rPr>
          <w:sz w:val="22"/>
          <w:szCs w:val="22"/>
          <w:rtl/>
        </w:rPr>
        <w:t xml:space="preserve"> כי הציור אינו רק בבטן האם</w:t>
      </w:r>
      <w:r>
        <w:rPr>
          <w:rFonts w:hint="cs"/>
          <w:sz w:val="22"/>
          <w:szCs w:val="22"/>
          <w:rtl/>
        </w:rPr>
        <w:t>,</w:t>
      </w:r>
      <w:r w:rsidRPr="00BD5E91">
        <w:rPr>
          <w:sz w:val="22"/>
          <w:szCs w:val="22"/>
          <w:rtl/>
        </w:rPr>
        <w:t xml:space="preserve"> ומ"מ גם האותיות הן ע"י החכמה</w:t>
      </w:r>
      <w:r>
        <w:rPr>
          <w:rFonts w:hint="cs"/>
          <w:sz w:val="22"/>
          <w:szCs w:val="22"/>
          <w:rtl/>
        </w:rPr>
        <w:t>,</w:t>
      </w:r>
      <w:r w:rsidRPr="00BD5E91">
        <w:rPr>
          <w:sz w:val="22"/>
          <w:szCs w:val="22"/>
          <w:rtl/>
        </w:rPr>
        <w:t xml:space="preserve"> נקודה עילאה</w:t>
      </w:r>
      <w:r>
        <w:rPr>
          <w:rFonts w:hint="cs"/>
          <w:sz w:val="22"/>
          <w:szCs w:val="22"/>
          <w:rtl/>
        </w:rPr>
        <w:t>,</w:t>
      </w:r>
      <w:r w:rsidRPr="00BD5E91">
        <w:rPr>
          <w:sz w:val="22"/>
          <w:szCs w:val="22"/>
          <w:rtl/>
        </w:rPr>
        <w:t xml:space="preserve"> כי אין זרע האם יכולה להצטייר רק ע"י זרע האב:</w:t>
      </w:r>
    </w:p>
  </w:footnote>
  <w:footnote w:id="7019">
    <w:p w:rsidR="00007309" w:rsidRDefault="00007309" w:rsidP="00007309">
      <w:pPr>
        <w:pStyle w:val="a5"/>
      </w:pPr>
      <w:r>
        <w:rPr>
          <w:rStyle w:val="a7"/>
        </w:rPr>
        <w:footnoteRef/>
      </w:r>
      <w:r>
        <w:rPr>
          <w:rtl/>
        </w:rPr>
        <w:t xml:space="preserve"> </w:t>
      </w:r>
      <w:r w:rsidRPr="00BD5E91">
        <w:rPr>
          <w:b/>
          <w:bCs/>
          <w:sz w:val="22"/>
          <w:szCs w:val="22"/>
          <w:rtl/>
        </w:rPr>
        <w:t>כולהו אתוון מטלנין בא"ס כמה כו'.</w:t>
      </w:r>
      <w:r w:rsidRPr="00BD5E91">
        <w:rPr>
          <w:sz w:val="22"/>
          <w:szCs w:val="22"/>
          <w:rtl/>
        </w:rPr>
        <w:t xml:space="preserve"> ר"ל שהנהגתם ע"י הנקודות כמ"ש (יחזקאל א יב) אל אשר יהי' שם הרוח ללכת ילכו האופנים:</w:t>
      </w:r>
    </w:p>
  </w:footnote>
  <w:footnote w:id="7020">
    <w:p w:rsidR="00007309" w:rsidRDefault="00007309" w:rsidP="00007309">
      <w:pPr>
        <w:pStyle w:val="a5"/>
      </w:pPr>
      <w:r>
        <w:rPr>
          <w:rStyle w:val="a7"/>
        </w:rPr>
        <w:footnoteRef/>
      </w:r>
      <w:r>
        <w:rPr>
          <w:rtl/>
        </w:rPr>
        <w:t xml:space="preserve"> </w:t>
      </w:r>
      <w:r w:rsidRPr="00BD5E91">
        <w:rPr>
          <w:b/>
          <w:bCs/>
          <w:sz w:val="22"/>
          <w:szCs w:val="22"/>
          <w:rtl/>
        </w:rPr>
        <w:t>אלין סתימין אתוון גליין.</w:t>
      </w:r>
      <w:r w:rsidRPr="00BD5E91">
        <w:rPr>
          <w:sz w:val="22"/>
          <w:szCs w:val="22"/>
          <w:rtl/>
        </w:rPr>
        <w:t xml:space="preserve"> ר"ל הנקודות סתימין שהחכמה סתים</w:t>
      </w:r>
      <w:r>
        <w:rPr>
          <w:rFonts w:hint="cs"/>
          <w:sz w:val="22"/>
          <w:szCs w:val="22"/>
          <w:rtl/>
        </w:rPr>
        <w:t>,</w:t>
      </w:r>
      <w:r w:rsidRPr="00BD5E91">
        <w:rPr>
          <w:sz w:val="22"/>
          <w:szCs w:val="22"/>
          <w:rtl/>
        </w:rPr>
        <w:t xml:space="preserve"> אבל האותיות גליין בבינה דאתגליא למטה כידוע</w:t>
      </w:r>
      <w:r>
        <w:rPr>
          <w:rFonts w:hint="cs"/>
          <w:sz w:val="22"/>
          <w:szCs w:val="22"/>
          <w:rtl/>
        </w:rPr>
        <w:t>.</w:t>
      </w:r>
      <w:r w:rsidRPr="00BD5E91">
        <w:rPr>
          <w:sz w:val="22"/>
          <w:szCs w:val="22"/>
          <w:rtl/>
        </w:rPr>
        <w:t xml:space="preserve"> ולכן בתורה אין כתובים נקודות כי תורה שבכתב הוא בינה</w:t>
      </w:r>
      <w:r>
        <w:rPr>
          <w:rFonts w:hint="cs"/>
          <w:sz w:val="22"/>
          <w:szCs w:val="22"/>
          <w:rtl/>
        </w:rPr>
        <w:t>,</w:t>
      </w:r>
      <w:r w:rsidRPr="00BD5E91">
        <w:rPr>
          <w:sz w:val="22"/>
          <w:szCs w:val="22"/>
          <w:rtl/>
        </w:rPr>
        <w:t xml:space="preserve"> הכתב</w:t>
      </w:r>
      <w:r>
        <w:rPr>
          <w:rFonts w:hint="cs"/>
          <w:sz w:val="22"/>
          <w:szCs w:val="22"/>
          <w:rtl/>
        </w:rPr>
        <w:t>,</w:t>
      </w:r>
      <w:r w:rsidRPr="00BD5E91">
        <w:rPr>
          <w:sz w:val="22"/>
          <w:szCs w:val="22"/>
          <w:rtl/>
        </w:rPr>
        <w:t xml:space="preserve"> כמ"ש בפ' ויקהל ר' א'</w:t>
      </w:r>
      <w:r>
        <w:rPr>
          <w:rFonts w:hint="cs"/>
          <w:sz w:val="22"/>
          <w:szCs w:val="22"/>
          <w:rtl/>
        </w:rPr>
        <w:t>,</w:t>
      </w:r>
      <w:r w:rsidRPr="00BD5E91">
        <w:rPr>
          <w:sz w:val="22"/>
          <w:szCs w:val="22"/>
          <w:rtl/>
        </w:rPr>
        <w:t xml:space="preserve"> והן למעלה ממנה:</w:t>
      </w:r>
    </w:p>
  </w:footnote>
  <w:footnote w:id="7021">
    <w:p w:rsidR="00007309" w:rsidRDefault="00007309" w:rsidP="00007309">
      <w:pPr>
        <w:pStyle w:val="a5"/>
        <w:rPr>
          <w:rtl/>
        </w:rPr>
      </w:pPr>
      <w:r>
        <w:rPr>
          <w:rStyle w:val="a7"/>
        </w:rPr>
        <w:footnoteRef/>
      </w:r>
      <w:r>
        <w:rPr>
          <w:rtl/>
        </w:rPr>
        <w:t xml:space="preserve"> </w:t>
      </w:r>
      <w:r w:rsidRPr="00BD5E91">
        <w:rPr>
          <w:b/>
          <w:bCs/>
          <w:sz w:val="22"/>
          <w:szCs w:val="22"/>
          <w:rtl/>
        </w:rPr>
        <w:t>קלין דקלייא אשתנין מגו נקודה חדא כו'.</w:t>
      </w:r>
      <w:r w:rsidRPr="00BD5E91">
        <w:rPr>
          <w:sz w:val="22"/>
          <w:szCs w:val="22"/>
          <w:rtl/>
        </w:rPr>
        <w:t xml:space="preserve"> ר"ל שהקול יצא מגו חכמה</w:t>
      </w:r>
      <w:r>
        <w:rPr>
          <w:rFonts w:hint="cs"/>
          <w:sz w:val="22"/>
          <w:szCs w:val="22"/>
          <w:rtl/>
        </w:rPr>
        <w:t>,</w:t>
      </w:r>
      <w:r w:rsidRPr="00BD5E91">
        <w:rPr>
          <w:sz w:val="22"/>
          <w:szCs w:val="22"/>
          <w:rtl/>
        </w:rPr>
        <w:t xml:space="preserve"> שהיא חד נקודה דנפיק' מאינון ט' היכלין</w:t>
      </w:r>
      <w:r>
        <w:rPr>
          <w:rFonts w:hint="cs"/>
          <w:sz w:val="22"/>
          <w:szCs w:val="22"/>
          <w:rtl/>
        </w:rPr>
        <w:t>,</w:t>
      </w:r>
      <w:r w:rsidRPr="00BD5E91">
        <w:rPr>
          <w:sz w:val="22"/>
          <w:szCs w:val="22"/>
          <w:rtl/>
        </w:rPr>
        <w:t xml:space="preserve"> ט' נקודות דאקרון א"ס</w:t>
      </w:r>
      <w:r>
        <w:rPr>
          <w:rFonts w:hint="cs"/>
          <w:sz w:val="22"/>
          <w:szCs w:val="22"/>
          <w:rtl/>
        </w:rPr>
        <w:t>.</w:t>
      </w:r>
      <w:r w:rsidRPr="00BD5E91">
        <w:rPr>
          <w:sz w:val="22"/>
          <w:szCs w:val="22"/>
          <w:rtl/>
        </w:rPr>
        <w:t xml:space="preserve"> ואמר אשתנון</w:t>
      </w:r>
      <w:r>
        <w:rPr>
          <w:rFonts w:hint="cs"/>
          <w:sz w:val="22"/>
          <w:szCs w:val="22"/>
          <w:rtl/>
        </w:rPr>
        <w:t>,</w:t>
      </w:r>
      <w:r w:rsidRPr="00BD5E91">
        <w:rPr>
          <w:sz w:val="22"/>
          <w:szCs w:val="22"/>
          <w:rtl/>
        </w:rPr>
        <w:t xml:space="preserve"> לפי שהכל היה בסתימו</w:t>
      </w:r>
      <w:r>
        <w:rPr>
          <w:rFonts w:hint="cs"/>
          <w:sz w:val="22"/>
          <w:szCs w:val="22"/>
          <w:rtl/>
        </w:rPr>
        <w:t>,</w:t>
      </w:r>
      <w:r w:rsidRPr="00BD5E91">
        <w:rPr>
          <w:sz w:val="22"/>
          <w:szCs w:val="22"/>
          <w:rtl/>
        </w:rPr>
        <w:t xml:space="preserve"> וכד מטי לחיך וגרון אשתנית</w:t>
      </w:r>
      <w:r>
        <w:rPr>
          <w:rFonts w:hint="cs"/>
          <w:sz w:val="22"/>
          <w:szCs w:val="22"/>
          <w:rtl/>
        </w:rPr>
        <w:t>,</w:t>
      </w:r>
      <w:r w:rsidRPr="00BD5E91">
        <w:rPr>
          <w:sz w:val="22"/>
          <w:szCs w:val="22"/>
          <w:rtl/>
        </w:rPr>
        <w:t xml:space="preserve"> ונעשה קול פנימי דלא שכיך</w:t>
      </w:r>
      <w:r>
        <w:rPr>
          <w:rFonts w:hint="cs"/>
          <w:sz w:val="22"/>
          <w:szCs w:val="22"/>
          <w:rtl/>
        </w:rPr>
        <w:t>,</w:t>
      </w:r>
      <w:r w:rsidRPr="00BD5E91">
        <w:rPr>
          <w:sz w:val="22"/>
          <w:szCs w:val="22"/>
          <w:rtl/>
        </w:rPr>
        <w:t xml:space="preserve"> ואח"כ לקול הנשמע בלישן</w:t>
      </w:r>
      <w:r>
        <w:rPr>
          <w:rFonts w:hint="cs"/>
          <w:sz w:val="22"/>
          <w:szCs w:val="22"/>
          <w:rtl/>
        </w:rPr>
        <w:t>,</w:t>
      </w:r>
      <w:r w:rsidRPr="00BD5E91">
        <w:rPr>
          <w:sz w:val="22"/>
          <w:szCs w:val="22"/>
          <w:rtl/>
        </w:rPr>
        <w:t xml:space="preserve"> כמ"ש למטה אלין משניין כו' וכד אתפשטת מטאת לחד מאלין ואשתני כו'. ואמר קלין דקלייא לפי ששני מיני קולות הן</w:t>
      </w:r>
      <w:r>
        <w:rPr>
          <w:rFonts w:hint="cs"/>
          <w:sz w:val="22"/>
          <w:szCs w:val="22"/>
          <w:rtl/>
        </w:rPr>
        <w:t>,</w:t>
      </w:r>
      <w:r w:rsidRPr="00BD5E91">
        <w:rPr>
          <w:sz w:val="22"/>
          <w:szCs w:val="22"/>
          <w:rtl/>
        </w:rPr>
        <w:t xml:space="preserve"> קול פנימי וקול חיצון הנשמע</w:t>
      </w:r>
      <w:r>
        <w:rPr>
          <w:rFonts w:hint="cs"/>
          <w:sz w:val="22"/>
          <w:szCs w:val="22"/>
          <w:rtl/>
        </w:rPr>
        <w:t>,</w:t>
      </w:r>
      <w:r w:rsidRPr="00BD5E91">
        <w:rPr>
          <w:sz w:val="22"/>
          <w:szCs w:val="22"/>
          <w:rtl/>
        </w:rPr>
        <w:t xml:space="preserve"> והוא נפיק מגו פנימי</w:t>
      </w:r>
      <w:r>
        <w:rPr>
          <w:rFonts w:hint="cs"/>
          <w:sz w:val="22"/>
          <w:szCs w:val="22"/>
          <w:rtl/>
        </w:rPr>
        <w:t>.</w:t>
      </w:r>
      <w:r w:rsidRPr="00BD5E91">
        <w:rPr>
          <w:sz w:val="22"/>
          <w:szCs w:val="22"/>
          <w:rtl/>
        </w:rPr>
        <w:t xml:space="preserve"> וזה שקורא לקול פנימי קול הקולות</w:t>
      </w:r>
      <w:r>
        <w:rPr>
          <w:rFonts w:hint="cs"/>
          <w:sz w:val="22"/>
          <w:szCs w:val="22"/>
          <w:rtl/>
        </w:rPr>
        <w:t>.</w:t>
      </w:r>
      <w:r w:rsidRPr="00BD5E91">
        <w:rPr>
          <w:sz w:val="22"/>
          <w:szCs w:val="22"/>
          <w:rtl/>
        </w:rPr>
        <w:t xml:space="preserve"> והוא נפיק מגו חכמה כמ"ש למטה והיא נקודה חדא כו':</w:t>
      </w:r>
    </w:p>
  </w:footnote>
  <w:footnote w:id="7022">
    <w:p w:rsidR="00007309" w:rsidRDefault="00007309" w:rsidP="00007309">
      <w:pPr>
        <w:pStyle w:val="a5"/>
      </w:pPr>
      <w:r>
        <w:rPr>
          <w:rStyle w:val="a7"/>
        </w:rPr>
        <w:footnoteRef/>
      </w:r>
      <w:r>
        <w:rPr>
          <w:rtl/>
        </w:rPr>
        <w:t xml:space="preserve"> </w:t>
      </w:r>
      <w:r w:rsidRPr="00BD5E91">
        <w:rPr>
          <w:b/>
          <w:bCs/>
          <w:sz w:val="22"/>
          <w:szCs w:val="22"/>
          <w:rtl/>
        </w:rPr>
        <w:t>ומההיא נקודה אתוון כו'.</w:t>
      </w:r>
      <w:r w:rsidRPr="00BD5E91">
        <w:rPr>
          <w:sz w:val="22"/>
          <w:szCs w:val="22"/>
          <w:rtl/>
        </w:rPr>
        <w:t xml:space="preserve"> כנ"ל וכמ"ש בז"ח ש"ה ד' נ"ח ע"א כנ"ל ע"ש:</w:t>
      </w:r>
    </w:p>
  </w:footnote>
  <w:footnote w:id="7023">
    <w:p w:rsidR="00007309" w:rsidRDefault="00007309" w:rsidP="00007309">
      <w:pPr>
        <w:pStyle w:val="a5"/>
      </w:pPr>
      <w:r>
        <w:rPr>
          <w:rStyle w:val="a7"/>
        </w:rPr>
        <w:footnoteRef/>
      </w:r>
      <w:r>
        <w:rPr>
          <w:rtl/>
        </w:rPr>
        <w:t xml:space="preserve"> </w:t>
      </w:r>
      <w:r w:rsidRPr="00BD5E91">
        <w:rPr>
          <w:b/>
          <w:bCs/>
          <w:sz w:val="22"/>
          <w:szCs w:val="22"/>
          <w:rtl/>
        </w:rPr>
        <w:t>לבתר אלין נקודין כו'.</w:t>
      </w:r>
      <w:r w:rsidRPr="00BD5E91">
        <w:rPr>
          <w:sz w:val="22"/>
          <w:szCs w:val="22"/>
          <w:rtl/>
        </w:rPr>
        <w:t xml:space="preserve"> ר"ל שאח"כ כל הנקודות סלקין לא"ס וע"י נטלין האותיות:</w:t>
      </w:r>
    </w:p>
  </w:footnote>
  <w:footnote w:id="7024">
    <w:p w:rsidR="00007309" w:rsidRDefault="00007309" w:rsidP="00007309">
      <w:pPr>
        <w:pStyle w:val="a5"/>
      </w:pPr>
      <w:r>
        <w:rPr>
          <w:rStyle w:val="a7"/>
        </w:rPr>
        <w:footnoteRef/>
      </w:r>
      <w:r>
        <w:rPr>
          <w:rtl/>
        </w:rPr>
        <w:t xml:space="preserve"> </w:t>
      </w:r>
      <w:r w:rsidRPr="00BD5E91">
        <w:rPr>
          <w:b/>
          <w:bCs/>
          <w:sz w:val="22"/>
          <w:szCs w:val="22"/>
          <w:rtl/>
        </w:rPr>
        <w:t>מא"ס נפקא.</w:t>
      </w:r>
      <w:r w:rsidRPr="00BD5E91">
        <w:rPr>
          <w:sz w:val="22"/>
          <w:szCs w:val="22"/>
          <w:rtl/>
        </w:rPr>
        <w:t xml:space="preserve"> מסוד מחשבה עלאה שנקראת אין סוף כמ"ש בפ' נח ופקודי שם:</w:t>
      </w:r>
    </w:p>
  </w:footnote>
  <w:footnote w:id="7025">
    <w:p w:rsidR="00007309" w:rsidRDefault="00007309" w:rsidP="00007309">
      <w:pPr>
        <w:pStyle w:val="a5"/>
        <w:rPr>
          <w:rtl/>
        </w:rPr>
      </w:pPr>
      <w:r>
        <w:rPr>
          <w:rStyle w:val="a7"/>
        </w:rPr>
        <w:footnoteRef/>
      </w:r>
      <w:r>
        <w:rPr>
          <w:rtl/>
        </w:rPr>
        <w:t xml:space="preserve"> </w:t>
      </w:r>
      <w:r w:rsidRPr="00BD5E91">
        <w:rPr>
          <w:b/>
          <w:bCs/>
          <w:sz w:val="22"/>
          <w:szCs w:val="22"/>
          <w:rtl/>
        </w:rPr>
        <w:t>בוצינא דקרדינותא.</w:t>
      </w:r>
      <w:r w:rsidRPr="00BD5E91">
        <w:rPr>
          <w:sz w:val="22"/>
          <w:szCs w:val="22"/>
          <w:rtl/>
        </w:rPr>
        <w:t xml:space="preserve"> הוא קו המדה</w:t>
      </w:r>
      <w:r>
        <w:rPr>
          <w:rFonts w:hint="cs"/>
          <w:sz w:val="22"/>
          <w:szCs w:val="22"/>
          <w:rtl/>
        </w:rPr>
        <w:t>,</w:t>
      </w:r>
      <w:r w:rsidRPr="00BD5E91">
        <w:rPr>
          <w:sz w:val="22"/>
          <w:szCs w:val="22"/>
          <w:rtl/>
        </w:rPr>
        <w:t xml:space="preserve"> עטרא דגבורה של דעת</w:t>
      </w:r>
      <w:r>
        <w:rPr>
          <w:rFonts w:hint="cs"/>
          <w:sz w:val="22"/>
          <w:szCs w:val="22"/>
          <w:rtl/>
        </w:rPr>
        <w:t>,</w:t>
      </w:r>
      <w:r w:rsidRPr="00BD5E91">
        <w:rPr>
          <w:sz w:val="22"/>
          <w:szCs w:val="22"/>
          <w:rtl/>
        </w:rPr>
        <w:t xml:space="preserve"> שגנוז במעוי דאימא</w:t>
      </w:r>
      <w:r>
        <w:rPr>
          <w:rFonts w:hint="cs"/>
          <w:sz w:val="22"/>
          <w:szCs w:val="22"/>
          <w:rtl/>
        </w:rPr>
        <w:t>.</w:t>
      </w:r>
      <w:r w:rsidRPr="00BD5E91">
        <w:rPr>
          <w:sz w:val="22"/>
          <w:szCs w:val="22"/>
          <w:rtl/>
        </w:rPr>
        <w:t xml:space="preserve"> ועל ידו נמדד</w:t>
      </w:r>
      <w:r>
        <w:rPr>
          <w:rFonts w:hint="cs"/>
          <w:sz w:val="22"/>
          <w:szCs w:val="22"/>
          <w:rtl/>
        </w:rPr>
        <w:t>,</w:t>
      </w:r>
      <w:r w:rsidRPr="00BD5E91">
        <w:rPr>
          <w:sz w:val="22"/>
          <w:szCs w:val="22"/>
          <w:rtl/>
        </w:rPr>
        <w:t xml:space="preserve"> כי הגבורות מצמצמין ונותנין שיעור לכל</w:t>
      </w:r>
      <w:r>
        <w:rPr>
          <w:rFonts w:hint="cs"/>
          <w:sz w:val="22"/>
          <w:szCs w:val="22"/>
          <w:rtl/>
        </w:rPr>
        <w:t>.</w:t>
      </w:r>
      <w:r w:rsidRPr="00BD5E91">
        <w:rPr>
          <w:sz w:val="22"/>
          <w:szCs w:val="22"/>
          <w:rtl/>
        </w:rPr>
        <w:t xml:space="preserve"> וז"ש מי מדד בשעלו מים ר"ל מי בינה מדד כו' והיא נותנת השיעור לקול ודיבור זו"נ כמ"ש למטה:</w:t>
      </w:r>
    </w:p>
  </w:footnote>
  <w:footnote w:id="7026">
    <w:p w:rsidR="00007309" w:rsidRDefault="00007309" w:rsidP="00007309">
      <w:pPr>
        <w:pStyle w:val="a5"/>
        <w:rPr>
          <w:rtl/>
        </w:rPr>
      </w:pPr>
      <w:r>
        <w:rPr>
          <w:rStyle w:val="a7"/>
        </w:rPr>
        <w:footnoteRef/>
      </w:r>
      <w:r>
        <w:rPr>
          <w:rtl/>
        </w:rPr>
        <w:t xml:space="preserve"> </w:t>
      </w:r>
      <w:r w:rsidRPr="00BD5E91">
        <w:rPr>
          <w:b/>
          <w:bCs/>
          <w:sz w:val="22"/>
          <w:szCs w:val="22"/>
          <w:rtl/>
        </w:rPr>
        <w:t>לאעטר' לכולא.</w:t>
      </w:r>
      <w:r w:rsidRPr="00BD5E91">
        <w:rPr>
          <w:sz w:val="22"/>
          <w:szCs w:val="22"/>
          <w:rtl/>
        </w:rPr>
        <w:t xml:space="preserve"> ר"ל בסוד הטעמים כי המדידה בסוד הטעמים כמ"ש לקמן בפרטיות כל הטעמים</w:t>
      </w:r>
      <w:r>
        <w:rPr>
          <w:rFonts w:hint="cs"/>
          <w:sz w:val="22"/>
          <w:szCs w:val="22"/>
          <w:rtl/>
        </w:rPr>
        <w:t>.</w:t>
      </w:r>
      <w:r w:rsidRPr="00BD5E91">
        <w:rPr>
          <w:sz w:val="22"/>
          <w:szCs w:val="22"/>
          <w:rtl/>
        </w:rPr>
        <w:t xml:space="preserve"> והטעמים הן עטרות בראש האותיות כמש"ל ד' פ"א ע"א כזוהר אלין טעמי תורה דאינון כתרין על רישייהו דאתוון כו' ע"ש:</w:t>
      </w:r>
      <w:r w:rsidRPr="00BD5E91">
        <w:rPr>
          <w:b/>
          <w:bCs/>
          <w:sz w:val="22"/>
          <w:szCs w:val="22"/>
          <w:rtl/>
        </w:rPr>
        <w:t xml:space="preserve"> </w:t>
      </w:r>
    </w:p>
  </w:footnote>
  <w:footnote w:id="7027">
    <w:p w:rsidR="00007309" w:rsidRDefault="00007309" w:rsidP="00007309">
      <w:pPr>
        <w:pStyle w:val="a5"/>
        <w:rPr>
          <w:rtl/>
        </w:rPr>
      </w:pPr>
      <w:r>
        <w:rPr>
          <w:rStyle w:val="a7"/>
        </w:rPr>
        <w:footnoteRef/>
      </w:r>
      <w:r>
        <w:rPr>
          <w:rtl/>
        </w:rPr>
        <w:t xml:space="preserve"> </w:t>
      </w:r>
      <w:r w:rsidRPr="00BD5E91">
        <w:rPr>
          <w:b/>
          <w:bCs/>
          <w:sz w:val="22"/>
          <w:szCs w:val="22"/>
          <w:rtl/>
        </w:rPr>
        <w:t>לאנהגא לימא רבא דלא יפוק כו'.</w:t>
      </w:r>
      <w:r w:rsidRPr="00BD5E91">
        <w:rPr>
          <w:sz w:val="22"/>
          <w:szCs w:val="22"/>
          <w:rtl/>
        </w:rPr>
        <w:t xml:space="preserve"> ר"ל מ"ס שנקרא ימא רבא כי חכמה נקראת ים ובינה תהום כידוע ומ"ס נקרא ימא רבא ומשם מתפשט הכל ואלו היה יוצא בלא מדה לא יוכלו לקבל התחתונים כי זה הי' עיקר התיקון שיתמעט האור ויצא במדה כמ"ש בס"ד:</w:t>
      </w:r>
    </w:p>
  </w:footnote>
  <w:footnote w:id="7028">
    <w:p w:rsidR="00007309" w:rsidRDefault="00007309" w:rsidP="00007309">
      <w:pPr>
        <w:pStyle w:val="a5"/>
        <w:rPr>
          <w:rtl/>
        </w:rPr>
      </w:pPr>
      <w:r>
        <w:rPr>
          <w:rStyle w:val="a7"/>
        </w:rPr>
        <w:footnoteRef/>
      </w:r>
      <w:r>
        <w:rPr>
          <w:rtl/>
        </w:rPr>
        <w:t xml:space="preserve"> </w:t>
      </w:r>
      <w:r w:rsidRPr="00BD5E91">
        <w:rPr>
          <w:b/>
          <w:bCs/>
          <w:sz w:val="22"/>
          <w:szCs w:val="22"/>
          <w:rtl/>
        </w:rPr>
        <w:t>הה"ד עד פה תבוא כו'.</w:t>
      </w:r>
      <w:r w:rsidRPr="00BD5E91">
        <w:rPr>
          <w:sz w:val="22"/>
          <w:szCs w:val="22"/>
          <w:rtl/>
        </w:rPr>
        <w:t xml:space="preserve"> הוא סופא דקרא אשר שמתי חול גבול לים כו' (א.ה. חָק-עוֹלָם וְלֹא יַעַבְרֶנְהוּ וַיִּתְגָּעֲשׁוּ וְלֹא יוּכָלוּ וְהָמוּ גַלָּיו וְלֹא יַעַבְרֻנְהוּ) וים הוא ימא רבא וחול הוא גבול דבוצינא כמ"ש למטה:</w:t>
      </w:r>
    </w:p>
  </w:footnote>
  <w:footnote w:id="7029">
    <w:p w:rsidR="00007309" w:rsidRDefault="00007309" w:rsidP="00007309">
      <w:pPr>
        <w:pStyle w:val="a5"/>
      </w:pPr>
      <w:r>
        <w:rPr>
          <w:rStyle w:val="a7"/>
        </w:rPr>
        <w:footnoteRef/>
      </w:r>
      <w:r>
        <w:rPr>
          <w:rtl/>
        </w:rPr>
        <w:t xml:space="preserve"> </w:t>
      </w:r>
      <w:r w:rsidRPr="00BD5E91">
        <w:rPr>
          <w:b/>
          <w:bCs/>
          <w:sz w:val="22"/>
          <w:szCs w:val="22"/>
          <w:rtl/>
        </w:rPr>
        <w:t>פ"ה שעורא דבוצינא.</w:t>
      </w:r>
      <w:r w:rsidRPr="00BD5E91">
        <w:rPr>
          <w:sz w:val="22"/>
          <w:szCs w:val="22"/>
          <w:rtl/>
        </w:rPr>
        <w:t xml:space="preserve"> ר"ל המטלנין של הבוצינא מהתחלת המדידה עד דמפקי לקלא ומלה והמדידות נתבאר במאמר קו המדה:</w:t>
      </w:r>
    </w:p>
  </w:footnote>
  <w:footnote w:id="7030">
    <w:p w:rsidR="00007309" w:rsidRDefault="00007309" w:rsidP="00007309">
      <w:pPr>
        <w:pStyle w:val="a5"/>
      </w:pPr>
      <w:r>
        <w:rPr>
          <w:rStyle w:val="a7"/>
        </w:rPr>
        <w:footnoteRef/>
      </w:r>
      <w:r>
        <w:rPr>
          <w:rtl/>
        </w:rPr>
        <w:t xml:space="preserve"> </w:t>
      </w:r>
      <w:r w:rsidRPr="00BD5E91">
        <w:rPr>
          <w:b/>
          <w:bCs/>
          <w:sz w:val="22"/>
          <w:szCs w:val="22"/>
          <w:rtl/>
        </w:rPr>
        <w:t>כ' עיגולא כו' .</w:t>
      </w:r>
      <w:r w:rsidRPr="00BD5E91">
        <w:rPr>
          <w:sz w:val="22"/>
          <w:szCs w:val="22"/>
          <w:rtl/>
        </w:rPr>
        <w:t>למעלה פי' פ"ה על מנין המדידות ועכשיו פי' על צורת המדידות עומקא ועיגולא בצורת האותיות פ"ה פ' עיגולא ועומקא ה' ריבועא ועומקא:</w:t>
      </w:r>
    </w:p>
  </w:footnote>
  <w:footnote w:id="7031">
    <w:p w:rsidR="00007309" w:rsidRDefault="00007309" w:rsidP="00007309">
      <w:pPr>
        <w:pStyle w:val="a5"/>
      </w:pPr>
      <w:r>
        <w:rPr>
          <w:rStyle w:val="a7"/>
        </w:rPr>
        <w:footnoteRef/>
      </w:r>
      <w:r>
        <w:rPr>
          <w:rtl/>
        </w:rPr>
        <w:t xml:space="preserve"> </w:t>
      </w:r>
      <w:r w:rsidRPr="00BD5E91">
        <w:rPr>
          <w:b/>
          <w:bCs/>
          <w:sz w:val="22"/>
          <w:szCs w:val="22"/>
          <w:rtl/>
        </w:rPr>
        <w:t>וסימניהון חו"ל כו'.</w:t>
      </w:r>
      <w:r w:rsidRPr="00BD5E91">
        <w:rPr>
          <w:sz w:val="22"/>
          <w:szCs w:val="22"/>
          <w:rtl/>
        </w:rPr>
        <w:t xml:space="preserve"> כמש"ו ג' קשרין חיך ולישן ושינים חיך ח' לעילא ו' לישן באמצע ל' שינים בכולהו:</w:t>
      </w:r>
    </w:p>
  </w:footnote>
  <w:footnote w:id="7032">
    <w:p w:rsidR="00007309" w:rsidRDefault="00007309" w:rsidP="00007309">
      <w:pPr>
        <w:pStyle w:val="a5"/>
      </w:pPr>
      <w:r>
        <w:rPr>
          <w:rStyle w:val="a7"/>
        </w:rPr>
        <w:footnoteRef/>
      </w:r>
      <w:r>
        <w:rPr>
          <w:rtl/>
        </w:rPr>
        <w:t xml:space="preserve"> </w:t>
      </w:r>
      <w:r w:rsidRPr="00BD5E91">
        <w:rPr>
          <w:b/>
          <w:bCs/>
          <w:sz w:val="22"/>
          <w:szCs w:val="22"/>
          <w:rtl/>
        </w:rPr>
        <w:t>כל חד וחד עביד תחומא לתברא כו'.</w:t>
      </w:r>
      <w:r w:rsidRPr="00BD5E91">
        <w:rPr>
          <w:sz w:val="22"/>
          <w:szCs w:val="22"/>
          <w:rtl/>
        </w:rPr>
        <w:t xml:space="preserve"> ר"ל שלא יצאו גלין דמ"ס לחוץ אלא במדה והיא יציאת הרוח קלא פנימאה וקול ודיבור במדה:</w:t>
      </w:r>
    </w:p>
  </w:footnote>
  <w:footnote w:id="7033">
    <w:p w:rsidR="00007309" w:rsidRDefault="00007309" w:rsidP="00007309">
      <w:pPr>
        <w:pStyle w:val="a5"/>
      </w:pPr>
      <w:r>
        <w:rPr>
          <w:rStyle w:val="a7"/>
        </w:rPr>
        <w:footnoteRef/>
      </w:r>
      <w:r>
        <w:rPr>
          <w:rtl/>
        </w:rPr>
        <w:t xml:space="preserve"> </w:t>
      </w:r>
      <w:r w:rsidRPr="00BD5E91">
        <w:rPr>
          <w:b/>
          <w:bCs/>
          <w:sz w:val="22"/>
          <w:szCs w:val="22"/>
          <w:rtl/>
        </w:rPr>
        <w:t>נפקא ח' קשרא ברזוי וכו'.</w:t>
      </w:r>
      <w:r w:rsidRPr="00BD5E91">
        <w:rPr>
          <w:sz w:val="22"/>
          <w:szCs w:val="22"/>
          <w:rtl/>
        </w:rPr>
        <w:t xml:space="preserve"> ר"ל חיך ושם דרגא דבינה שנקראת סוד כנ"ל ושם קלא פנימאה נביעו בחשאי כמ"ש למטה וז"ש ברזוי:</w:t>
      </w:r>
    </w:p>
  </w:footnote>
  <w:footnote w:id="7034">
    <w:p w:rsidR="00007309" w:rsidRDefault="00007309" w:rsidP="00007309">
      <w:pPr>
        <w:pStyle w:val="a5"/>
      </w:pPr>
      <w:r>
        <w:rPr>
          <w:rStyle w:val="a7"/>
        </w:rPr>
        <w:footnoteRef/>
      </w:r>
      <w:r>
        <w:rPr>
          <w:rtl/>
        </w:rPr>
        <w:t xml:space="preserve"> </w:t>
      </w:r>
      <w:r w:rsidRPr="00BD5E91">
        <w:rPr>
          <w:b/>
          <w:bCs/>
          <w:sz w:val="22"/>
          <w:szCs w:val="22"/>
          <w:rtl/>
        </w:rPr>
        <w:t>ונפקא רזא דקשרא ו' כו'.</w:t>
      </w:r>
      <w:r w:rsidRPr="00BD5E91">
        <w:rPr>
          <w:sz w:val="22"/>
          <w:szCs w:val="22"/>
          <w:rtl/>
        </w:rPr>
        <w:t xml:space="preserve"> הוא לישן ושם קול הנשמע בלא דיבור כמו רושם ששם יכתוב וכן הוא רושם לדיבור וז"ש רשים רשימו כו' והוא סוד הנקודות שאין נשמעים בחיתוך האותיות רק ע"י האותיות ניכרין הנקודות:</w:t>
      </w:r>
    </w:p>
  </w:footnote>
  <w:footnote w:id="7035">
    <w:p w:rsidR="00007309" w:rsidRDefault="00007309" w:rsidP="00007309">
      <w:pPr>
        <w:pStyle w:val="a5"/>
      </w:pPr>
      <w:r>
        <w:rPr>
          <w:rStyle w:val="a7"/>
        </w:rPr>
        <w:footnoteRef/>
      </w:r>
      <w:r>
        <w:rPr>
          <w:rtl/>
        </w:rPr>
        <w:t xml:space="preserve"> </w:t>
      </w:r>
      <w:r w:rsidRPr="00BD5E91">
        <w:rPr>
          <w:b/>
          <w:bCs/>
          <w:sz w:val="22"/>
          <w:szCs w:val="22"/>
          <w:rtl/>
        </w:rPr>
        <w:t>נפקא ל' קשרא דאתעביד בכולהו קשרין מגדלא כו'.</w:t>
      </w:r>
      <w:r w:rsidRPr="00BD5E91">
        <w:rPr>
          <w:sz w:val="22"/>
          <w:szCs w:val="22"/>
          <w:rtl/>
        </w:rPr>
        <w:t xml:space="preserve"> הוא השינים כמ"ש למטה ומגדלא דשינין וכמ"ש כמגדל השן והוא מגדל הפורח באויר שהשינים סלקין ונחתין ע"י אוירא דכיא דנפיק מגרונא כמ"ש למטה וע"י השינים הוא הדבור כמש"ל ול' הוא מגדל הפורח באויר כמ"ש בז"ח ש"ה נ"ב ע"ג </w:t>
      </w:r>
      <w:r>
        <w:rPr>
          <w:rFonts w:hint="cs"/>
          <w:sz w:val="22"/>
          <w:szCs w:val="22"/>
          <w:rtl/>
        </w:rPr>
        <w:t xml:space="preserve">(אצלנו פו ע"א) </w:t>
      </w:r>
      <w:r w:rsidRPr="00BD5E91">
        <w:rPr>
          <w:sz w:val="22"/>
          <w:szCs w:val="22"/>
          <w:rtl/>
        </w:rPr>
        <w:t>ל' דא מגדל דפרח באוירא כו':</w:t>
      </w:r>
    </w:p>
  </w:footnote>
  <w:footnote w:id="7036">
    <w:p w:rsidR="00007309" w:rsidRDefault="00007309" w:rsidP="00007309">
      <w:pPr>
        <w:pStyle w:val="a5"/>
      </w:pPr>
      <w:r>
        <w:rPr>
          <w:rStyle w:val="a7"/>
        </w:rPr>
        <w:footnoteRef/>
      </w:r>
      <w:r>
        <w:rPr>
          <w:rtl/>
        </w:rPr>
        <w:t xml:space="preserve"> </w:t>
      </w:r>
      <w:r w:rsidRPr="00BD5E91">
        <w:rPr>
          <w:b/>
          <w:bCs/>
          <w:sz w:val="22"/>
          <w:szCs w:val="22"/>
          <w:rtl/>
        </w:rPr>
        <w:t>מקפן בעברין ודשין.</w:t>
      </w:r>
      <w:r w:rsidRPr="00BD5E91">
        <w:rPr>
          <w:sz w:val="22"/>
          <w:szCs w:val="22"/>
          <w:rtl/>
        </w:rPr>
        <w:t xml:space="preserve"> השי</w:t>
      </w:r>
      <w:r>
        <w:rPr>
          <w:sz w:val="22"/>
          <w:szCs w:val="22"/>
          <w:rtl/>
        </w:rPr>
        <w:t>נים ושפתים. ואמר דאתעביד בכולהו</w:t>
      </w:r>
      <w:r>
        <w:rPr>
          <w:rFonts w:hint="cs"/>
          <w:sz w:val="22"/>
          <w:szCs w:val="22"/>
          <w:rtl/>
        </w:rPr>
        <w:t>,</w:t>
      </w:r>
      <w:r w:rsidRPr="00BD5E91">
        <w:rPr>
          <w:sz w:val="22"/>
          <w:szCs w:val="22"/>
          <w:rtl/>
        </w:rPr>
        <w:t xml:space="preserve"> שהדיבור כולל הכל</w:t>
      </w:r>
      <w:r>
        <w:rPr>
          <w:rFonts w:hint="cs"/>
          <w:sz w:val="22"/>
          <w:szCs w:val="22"/>
          <w:rtl/>
        </w:rPr>
        <w:t>,</w:t>
      </w:r>
      <w:r w:rsidRPr="00BD5E91">
        <w:rPr>
          <w:sz w:val="22"/>
          <w:szCs w:val="22"/>
          <w:rtl/>
        </w:rPr>
        <w:t xml:space="preserve"> הבל וקול:</w:t>
      </w:r>
      <w:r w:rsidRPr="00BD5E91">
        <w:rPr>
          <w:b/>
          <w:bCs/>
          <w:sz w:val="22"/>
          <w:szCs w:val="22"/>
          <w:rtl/>
        </w:rPr>
        <w:t xml:space="preserve"> </w:t>
      </w:r>
    </w:p>
  </w:footnote>
  <w:footnote w:id="7037">
    <w:p w:rsidR="00007309" w:rsidRDefault="00007309" w:rsidP="00007309">
      <w:pPr>
        <w:pStyle w:val="a5"/>
      </w:pPr>
      <w:r>
        <w:rPr>
          <w:rStyle w:val="a7"/>
        </w:rPr>
        <w:footnoteRef/>
      </w:r>
      <w:r>
        <w:rPr>
          <w:rtl/>
        </w:rPr>
        <w:t xml:space="preserve"> </w:t>
      </w:r>
      <w:r w:rsidRPr="00BD5E91">
        <w:rPr>
          <w:b/>
          <w:bCs/>
          <w:sz w:val="22"/>
          <w:szCs w:val="22"/>
          <w:rtl/>
        </w:rPr>
        <w:t>אהדרו לסטר צפון כו'.</w:t>
      </w:r>
      <w:r w:rsidRPr="00BD5E91">
        <w:rPr>
          <w:sz w:val="22"/>
          <w:szCs w:val="22"/>
          <w:rtl/>
        </w:rPr>
        <w:t xml:space="preserve"> והענין</w:t>
      </w:r>
      <w:r>
        <w:rPr>
          <w:rFonts w:hint="cs"/>
          <w:sz w:val="22"/>
          <w:szCs w:val="22"/>
          <w:rtl/>
        </w:rPr>
        <w:t>,</w:t>
      </w:r>
      <w:r w:rsidRPr="00BD5E91">
        <w:rPr>
          <w:sz w:val="22"/>
          <w:szCs w:val="22"/>
          <w:rtl/>
        </w:rPr>
        <w:t xml:space="preserve"> כי ג' אלו חו"ל הן ג' דרגין שכוללין כל הע"ס</w:t>
      </w:r>
      <w:r>
        <w:rPr>
          <w:rFonts w:hint="cs"/>
          <w:sz w:val="22"/>
          <w:szCs w:val="22"/>
          <w:rtl/>
        </w:rPr>
        <w:t>.</w:t>
      </w:r>
      <w:r w:rsidRPr="00BD5E91">
        <w:rPr>
          <w:sz w:val="22"/>
          <w:szCs w:val="22"/>
          <w:rtl/>
        </w:rPr>
        <w:t xml:space="preserve"> בינה שכוללת ג"ר וזו"נ</w:t>
      </w:r>
      <w:r>
        <w:rPr>
          <w:rFonts w:hint="cs"/>
          <w:sz w:val="22"/>
          <w:szCs w:val="22"/>
          <w:rtl/>
        </w:rPr>
        <w:t>.</w:t>
      </w:r>
      <w:r w:rsidRPr="00BD5E91">
        <w:rPr>
          <w:sz w:val="22"/>
          <w:szCs w:val="22"/>
          <w:rtl/>
        </w:rPr>
        <w:t xml:space="preserve"> והנה זו"נ הם דרום וצפון חו"ג כידוע</w:t>
      </w:r>
      <w:r>
        <w:rPr>
          <w:rFonts w:hint="cs"/>
          <w:sz w:val="22"/>
          <w:szCs w:val="22"/>
          <w:rtl/>
        </w:rPr>
        <w:t>,</w:t>
      </w:r>
      <w:r w:rsidRPr="00BD5E91">
        <w:rPr>
          <w:sz w:val="22"/>
          <w:szCs w:val="22"/>
          <w:rtl/>
        </w:rPr>
        <w:t xml:space="preserve"> וג"ר הן מזרח שמשם יוצא השמש כידוע</w:t>
      </w:r>
      <w:r>
        <w:rPr>
          <w:rFonts w:hint="cs"/>
          <w:sz w:val="22"/>
          <w:szCs w:val="22"/>
          <w:rtl/>
        </w:rPr>
        <w:t>,</w:t>
      </w:r>
      <w:r w:rsidRPr="00BD5E91">
        <w:rPr>
          <w:sz w:val="22"/>
          <w:szCs w:val="22"/>
          <w:rtl/>
        </w:rPr>
        <w:t xml:space="preserve"> וסטר מערב הוא למעלה קודם ג' הקשרים שעדיין לא אשתני</w:t>
      </w:r>
      <w:r>
        <w:rPr>
          <w:rFonts w:hint="cs"/>
          <w:sz w:val="22"/>
          <w:szCs w:val="22"/>
          <w:rtl/>
        </w:rPr>
        <w:t>,</w:t>
      </w:r>
      <w:r w:rsidRPr="00BD5E91">
        <w:rPr>
          <w:sz w:val="22"/>
          <w:szCs w:val="22"/>
          <w:rtl/>
        </w:rPr>
        <w:t xml:space="preserve"> ששם הולך עדיין הים הגדול והוא בחכמה</w:t>
      </w:r>
      <w:r>
        <w:rPr>
          <w:rFonts w:hint="cs"/>
          <w:sz w:val="22"/>
          <w:szCs w:val="22"/>
          <w:rtl/>
        </w:rPr>
        <w:t>,</w:t>
      </w:r>
      <w:r w:rsidRPr="00BD5E91">
        <w:rPr>
          <w:sz w:val="22"/>
          <w:szCs w:val="22"/>
          <w:rtl/>
        </w:rPr>
        <w:t xml:space="preserve"> ושם השכינה במערב</w:t>
      </w:r>
      <w:r>
        <w:rPr>
          <w:rFonts w:hint="cs"/>
          <w:sz w:val="22"/>
          <w:szCs w:val="22"/>
          <w:rtl/>
        </w:rPr>
        <w:t>,</w:t>
      </w:r>
      <w:r w:rsidRPr="00BD5E91">
        <w:rPr>
          <w:sz w:val="22"/>
          <w:szCs w:val="22"/>
          <w:rtl/>
        </w:rPr>
        <w:t xml:space="preserve"> אבא יסד ברתא</w:t>
      </w:r>
      <w:r>
        <w:rPr>
          <w:rFonts w:hint="cs"/>
          <w:sz w:val="22"/>
          <w:szCs w:val="22"/>
          <w:rtl/>
        </w:rPr>
        <w:t>.</w:t>
      </w:r>
      <w:r w:rsidRPr="00BD5E91">
        <w:rPr>
          <w:sz w:val="22"/>
          <w:szCs w:val="22"/>
          <w:rtl/>
        </w:rPr>
        <w:t xml:space="preserve"> ואימא מזרח אפיק ברא שמשא</w:t>
      </w:r>
      <w:r>
        <w:rPr>
          <w:rFonts w:hint="cs"/>
          <w:sz w:val="22"/>
          <w:szCs w:val="22"/>
          <w:rtl/>
        </w:rPr>
        <w:t>.</w:t>
      </w:r>
      <w:r w:rsidRPr="00BD5E91">
        <w:rPr>
          <w:sz w:val="22"/>
          <w:szCs w:val="22"/>
          <w:rtl/>
        </w:rPr>
        <w:t xml:space="preserve"> ולכן הים הגדול הולך במערב ושם הגלין הולכין כל צרכם בים משא"כ בשאר ג' רוחות שמעכב החול שלא יצא הים לחוץ</w:t>
      </w:r>
      <w:r>
        <w:rPr>
          <w:rFonts w:hint="cs"/>
          <w:sz w:val="22"/>
          <w:szCs w:val="22"/>
          <w:rtl/>
        </w:rPr>
        <w:t>,</w:t>
      </w:r>
      <w:r w:rsidRPr="00BD5E91">
        <w:rPr>
          <w:sz w:val="22"/>
          <w:szCs w:val="22"/>
          <w:rtl/>
        </w:rPr>
        <w:t xml:space="preserve"> וכן למעלה:</w:t>
      </w:r>
    </w:p>
  </w:footnote>
  <w:footnote w:id="7038">
    <w:p w:rsidR="00007309" w:rsidRDefault="00007309" w:rsidP="00007309">
      <w:pPr>
        <w:pStyle w:val="a5"/>
      </w:pPr>
      <w:r>
        <w:rPr>
          <w:rStyle w:val="a7"/>
        </w:rPr>
        <w:footnoteRef/>
      </w:r>
      <w:r>
        <w:rPr>
          <w:rtl/>
        </w:rPr>
        <w:t xml:space="preserve"> </w:t>
      </w:r>
      <w:r w:rsidRPr="00BD5E91">
        <w:rPr>
          <w:b/>
          <w:bCs/>
          <w:sz w:val="22"/>
          <w:szCs w:val="22"/>
          <w:rtl/>
        </w:rPr>
        <w:t>ואלין אינון תחומא לשכלולא כו'.</w:t>
      </w:r>
      <w:r w:rsidRPr="00BD5E91">
        <w:rPr>
          <w:sz w:val="22"/>
          <w:szCs w:val="22"/>
          <w:rtl/>
        </w:rPr>
        <w:t xml:space="preserve"> שהן ג' דרגין ג"ר וזו"נ כנ"ל:</w:t>
      </w:r>
    </w:p>
  </w:footnote>
  <w:footnote w:id="7039">
    <w:p w:rsidR="00007309" w:rsidRDefault="00007309" w:rsidP="00007309">
      <w:pPr>
        <w:pStyle w:val="a5"/>
      </w:pPr>
      <w:r>
        <w:rPr>
          <w:rStyle w:val="a7"/>
        </w:rPr>
        <w:footnoteRef/>
      </w:r>
      <w:r>
        <w:rPr>
          <w:rtl/>
        </w:rPr>
        <w:t xml:space="preserve"> </w:t>
      </w:r>
      <w:r w:rsidRPr="00BD5E91">
        <w:rPr>
          <w:b/>
          <w:bCs/>
          <w:sz w:val="22"/>
          <w:szCs w:val="22"/>
          <w:rtl/>
        </w:rPr>
        <w:t>ואלין אינון דאתכסיין בקלא כו'.</w:t>
      </w:r>
      <w:r w:rsidRPr="00BD5E91">
        <w:rPr>
          <w:sz w:val="22"/>
          <w:szCs w:val="22"/>
          <w:rtl/>
        </w:rPr>
        <w:t xml:space="preserve"> כנ"ל שבחיך וגרון הוא קול פנימי דלא אשתמע ובלישן קלא דאשתמע ובשינים מילולא:</w:t>
      </w:r>
    </w:p>
  </w:footnote>
  <w:footnote w:id="7040">
    <w:p w:rsidR="00007309" w:rsidRDefault="00007309" w:rsidP="00007309">
      <w:pPr>
        <w:pStyle w:val="a5"/>
        <w:rPr>
          <w:rtl/>
        </w:rPr>
      </w:pPr>
      <w:r>
        <w:rPr>
          <w:rStyle w:val="a7"/>
        </w:rPr>
        <w:footnoteRef/>
      </w:r>
      <w:r>
        <w:rPr>
          <w:rtl/>
        </w:rPr>
        <w:t xml:space="preserve"> </w:t>
      </w:r>
      <w:r w:rsidRPr="00BD5E91">
        <w:rPr>
          <w:b/>
          <w:bCs/>
          <w:sz w:val="22"/>
          <w:szCs w:val="22"/>
          <w:rtl/>
        </w:rPr>
        <w:t>אלין משניין לכתרא קדמאה כו'.</w:t>
      </w:r>
      <w:r w:rsidRPr="00BD5E91">
        <w:rPr>
          <w:sz w:val="22"/>
          <w:szCs w:val="22"/>
          <w:rtl/>
        </w:rPr>
        <w:t xml:space="preserve"> ר"ל לחכמה ששם הוא בסתימו</w:t>
      </w:r>
      <w:r>
        <w:rPr>
          <w:rFonts w:hint="cs"/>
          <w:sz w:val="22"/>
          <w:szCs w:val="22"/>
          <w:rtl/>
        </w:rPr>
        <w:t>,</w:t>
      </w:r>
      <w:r w:rsidRPr="00BD5E91">
        <w:rPr>
          <w:sz w:val="22"/>
          <w:szCs w:val="22"/>
          <w:rtl/>
        </w:rPr>
        <w:t xml:space="preserve"> מחשבה</w:t>
      </w:r>
      <w:r>
        <w:rPr>
          <w:rFonts w:hint="cs"/>
          <w:sz w:val="22"/>
          <w:szCs w:val="22"/>
          <w:rtl/>
        </w:rPr>
        <w:t>,</w:t>
      </w:r>
      <w:r w:rsidRPr="00BD5E91">
        <w:rPr>
          <w:sz w:val="22"/>
          <w:szCs w:val="22"/>
          <w:rtl/>
        </w:rPr>
        <w:t xml:space="preserve"> סתימו בלא שום התפשטות:</w:t>
      </w:r>
    </w:p>
  </w:footnote>
  <w:footnote w:id="7041">
    <w:p w:rsidR="00007309" w:rsidRDefault="00007309" w:rsidP="00007309">
      <w:pPr>
        <w:pStyle w:val="a5"/>
      </w:pPr>
      <w:r>
        <w:rPr>
          <w:rStyle w:val="a7"/>
        </w:rPr>
        <w:footnoteRef/>
      </w:r>
      <w:r>
        <w:rPr>
          <w:rtl/>
        </w:rPr>
        <w:t xml:space="preserve"> </w:t>
      </w:r>
      <w:r w:rsidRPr="00BD5E91">
        <w:rPr>
          <w:b/>
          <w:bCs/>
          <w:sz w:val="22"/>
          <w:szCs w:val="22"/>
          <w:rtl/>
        </w:rPr>
        <w:t>וכד אתפשטת מטאת לחד מאלין כו'.</w:t>
      </w:r>
      <w:r w:rsidRPr="00BD5E91">
        <w:rPr>
          <w:sz w:val="22"/>
          <w:szCs w:val="22"/>
          <w:rtl/>
        </w:rPr>
        <w:t xml:space="preserve"> ר"ל לחיך וגרון שהוא קשרא קדמאה ושם אתעביד רוח דלא כו' והוא הבל שע"ד קאים כל עלמא סוד הבינה שעלה קיימא עלמא זו"נ וזהו ז' הבלים של דוד ומ"ט של שלמה דירית לדוד:</w:t>
      </w:r>
    </w:p>
  </w:footnote>
  <w:footnote w:id="7042">
    <w:p w:rsidR="00007309" w:rsidRDefault="00007309" w:rsidP="00007309">
      <w:pPr>
        <w:pStyle w:val="a5"/>
      </w:pPr>
      <w:r>
        <w:rPr>
          <w:rStyle w:val="a7"/>
        </w:rPr>
        <w:footnoteRef/>
      </w:r>
      <w:r>
        <w:rPr>
          <w:rtl/>
        </w:rPr>
        <w:t xml:space="preserve"> </w:t>
      </w:r>
      <w:r w:rsidRPr="00BD5E91">
        <w:rPr>
          <w:b/>
          <w:bCs/>
          <w:sz w:val="22"/>
          <w:szCs w:val="22"/>
          <w:rtl/>
        </w:rPr>
        <w:t>ואתעביד רוח דלא כו'.</w:t>
      </w:r>
      <w:r w:rsidRPr="00BD5E91">
        <w:rPr>
          <w:sz w:val="22"/>
          <w:szCs w:val="22"/>
          <w:rtl/>
        </w:rPr>
        <w:t xml:space="preserve"> הוא הבל הפה דנפיק מגרון תמיד אף שלא בעת הקול והדיבור והוא דרגא של בינה נהר דנגיד ונפיק תדיר ולא פסיק משא"כ בזו"נ כידוע ולכן אין העולם מתקיים אלא על הבל תינוקות של בית רבן שהן נו"ה כמ"ש (ישעיהו נד יג) וכל בניך למודי ה' כמ"ש בז"ח ונביאים מבינה ירכתי צפון כרובים זהב שבינה עליהון אתפשטת לכן אין העולם כו':</w:t>
      </w:r>
    </w:p>
  </w:footnote>
  <w:footnote w:id="7043">
    <w:p w:rsidR="00007309" w:rsidRDefault="00007309" w:rsidP="00007309">
      <w:pPr>
        <w:pStyle w:val="a5"/>
        <w:rPr>
          <w:rtl/>
        </w:rPr>
      </w:pPr>
      <w:r>
        <w:rPr>
          <w:rStyle w:val="a7"/>
        </w:rPr>
        <w:footnoteRef/>
      </w:r>
      <w:r>
        <w:rPr>
          <w:rtl/>
        </w:rPr>
        <w:t xml:space="preserve"> </w:t>
      </w:r>
      <w:r w:rsidRPr="00BD5E91">
        <w:rPr>
          <w:b/>
          <w:bCs/>
          <w:sz w:val="22"/>
          <w:szCs w:val="22"/>
          <w:rtl/>
        </w:rPr>
        <w:t>בגין דההוא קשרא כו'.</w:t>
      </w:r>
      <w:r w:rsidRPr="00BD5E91">
        <w:rPr>
          <w:sz w:val="22"/>
          <w:szCs w:val="22"/>
          <w:rtl/>
        </w:rPr>
        <w:t xml:space="preserve"> ר"ל קשרא חיך בטש בההיא אתפשטותא וז"ש. ודא רזא ח' חיך כו'. ור"ל וזה הקשר הוא סוד דרגא דבינה שנקרא ח' ונקרא סוד וז"ש רזא והיא ספי' שמינית וזה הרוח הוא רוח אלקים חיים כמ"ש למטה וזהו ח' ואמר חיך הכי כו'. ר"ל דחיך ג"כ ר"ת ח':</w:t>
      </w:r>
    </w:p>
  </w:footnote>
  <w:footnote w:id="7044">
    <w:p w:rsidR="00007309" w:rsidRDefault="00007309" w:rsidP="00007309">
      <w:pPr>
        <w:pStyle w:val="a5"/>
      </w:pPr>
      <w:r>
        <w:rPr>
          <w:rStyle w:val="a7"/>
        </w:rPr>
        <w:footnoteRef/>
      </w:r>
      <w:r>
        <w:rPr>
          <w:rtl/>
        </w:rPr>
        <w:t xml:space="preserve"> </w:t>
      </w:r>
      <w:r w:rsidRPr="00BD5E91">
        <w:rPr>
          <w:b/>
          <w:bCs/>
          <w:sz w:val="22"/>
          <w:szCs w:val="22"/>
          <w:rtl/>
        </w:rPr>
        <w:t>ודא עביד בניינא בגרון כו'.</w:t>
      </w:r>
      <w:r w:rsidRPr="00BD5E91">
        <w:rPr>
          <w:sz w:val="22"/>
          <w:szCs w:val="22"/>
          <w:rtl/>
        </w:rPr>
        <w:t xml:space="preserve"> כי החיך הוא חכמה והגרון בינה וכתיב בחכמה יבנה בית וענין הבנין כי הגילוי הוא הבנין כמ"ש עולם חסד יבנה מו"ק ששת ימי בראשית ובינה אעפ"י שאינה נגלית מ"מ יש בה קצת גילוי כידוע בסוד מי דקיימא לשאלה וכן הוא כאן כי חכמה היא מחשבה סתימא ואין בה גילוי כלל ובבינה יש בה גילוי קצת בגרון בסוד רוח חיים דנביעו תדיר והולך ומתגלה גילוי אחר גילוי בקול ודבור כמש"ו וכמ"ש בפ' נח ד' ע"ד ע"א והבית בהבנותו כד סלקא ברעותא כו' עד ושריא לתתא והוא רוח אלקים מרחפת כו' ולכן נקרא בינה אלקים חיים:</w:t>
      </w:r>
    </w:p>
  </w:footnote>
  <w:footnote w:id="7045">
    <w:p w:rsidR="00007309" w:rsidRDefault="00007309" w:rsidP="00007309">
      <w:pPr>
        <w:pStyle w:val="a5"/>
        <w:rPr>
          <w:rtl/>
        </w:rPr>
      </w:pPr>
      <w:r>
        <w:rPr>
          <w:rStyle w:val="a7"/>
        </w:rPr>
        <w:footnoteRef/>
      </w:r>
      <w:r>
        <w:rPr>
          <w:rtl/>
        </w:rPr>
        <w:t xml:space="preserve"> </w:t>
      </w:r>
      <w:r w:rsidRPr="00BD5E91">
        <w:rPr>
          <w:b/>
          <w:bCs/>
          <w:sz w:val="22"/>
          <w:szCs w:val="22"/>
          <w:rtl/>
        </w:rPr>
        <w:t>כד בעא לאתפשטא האי נקודה כו'.</w:t>
      </w:r>
      <w:r w:rsidRPr="00BD5E91">
        <w:rPr>
          <w:sz w:val="22"/>
          <w:szCs w:val="22"/>
          <w:rtl/>
        </w:rPr>
        <w:t xml:space="preserve"> מבאר יציאת האותיות דנפקו מגו אבא ושם היו בסוד נקודה ואח"כ שהזריע באימא ושם נצטייר בג' יסודין אמ"ש אע"ג שהן ד' יסודין ד' גוונין עיקרן ג' כי עפר מורכב' מהג' כמ"ש בזוהר ובס"י ומ"מ הן ג"כ ד' כמ"ש במאמר קו המדה ואצטבעו כולהו כחדא חיוור וסומק וירוק ואכם והן ד' יסודות כסדר מאר"ע והענין כי יסוד עפר הוא נוקבא כידוע ומקומה בנה"י של ז"א שלכן נה"י רק ד' יסודות כי נה"י הם דילה והם גם כן מורכבים כ"א מחד"ר ואינם פשוטים כמו חג"ת כידוע ובז"א ב' מציאות תלת כלילן בתלת והן כאן באשא ורוחא ומיא חג"ת ואינן נגלין רק חג"ת לבד לכן אין יסוד עפר נגלה כלל אע"ג שבת זוגו כלולה עמו ואח"כ בהתפשטות ו"ק כמ"ש למטה אז נצטבעו ד' גוונים ויתבאר למטה בפרטות:</w:t>
      </w:r>
    </w:p>
  </w:footnote>
  <w:footnote w:id="704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בגין דהאי קשרא כד אתקשרא מא"ס כו'.</w:t>
      </w:r>
      <w:r w:rsidRPr="00BD5E91">
        <w:rPr>
          <w:sz w:val="22"/>
          <w:szCs w:val="22"/>
          <w:rtl/>
        </w:rPr>
        <w:t xml:space="preserve"> וכן זרע החכמה בג' נקודין חש"ק וכאן הוא ג' נקודות חש"ח וכאן הוא הבל היוצא קלא פנימאה שקודם הוא רוח אלקים חיים נביעו תדיר ואינו מתפרש לג' וממנו יוצא ההבל כלולה בג' כידוע בתי' בכמה מקומות:</w:t>
      </w:r>
    </w:p>
  </w:footnote>
  <w:footnote w:id="704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וכד אפיק קלא דאשתמע מגו דחיקא כו'.</w:t>
      </w:r>
      <w:r w:rsidRPr="00BD5E91">
        <w:rPr>
          <w:sz w:val="22"/>
          <w:szCs w:val="22"/>
          <w:rtl/>
        </w:rPr>
        <w:t xml:space="preserve"> ר"ל מגו דחיקו הוא נשמע הקול כידוע:</w:t>
      </w:r>
    </w:p>
  </w:footnote>
  <w:footnote w:id="704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ושדר ליה לקשרא כו' האי קלא ו' לישן.</w:t>
      </w:r>
      <w:r w:rsidRPr="00BD5E91">
        <w:rPr>
          <w:sz w:val="22"/>
          <w:szCs w:val="22"/>
          <w:rtl/>
        </w:rPr>
        <w:t xml:space="preserve"> ר"ל שבגרון הוא כליל מג' ואח"כ מתדחק קלא פנימאה ושדר ללישן ושם הוא בסוד ו' ושם מתפשטין ו"ק וכאן הוא בסוד ו' נקודות הנשארים ו'</w:t>
      </w:r>
      <w:r>
        <w:rPr>
          <w:rFonts w:hint="cs"/>
          <w:sz w:val="22"/>
          <w:szCs w:val="22"/>
          <w:rtl/>
        </w:rPr>
        <w:t>.</w:t>
      </w:r>
      <w:r w:rsidRPr="00BD5E91">
        <w:rPr>
          <w:sz w:val="22"/>
          <w:szCs w:val="22"/>
          <w:rtl/>
        </w:rPr>
        <w:t xml:space="preserve"> א' הוא סתימא ברוח אלקים חיים דנפיק מגו נקודה סתימאה</w:t>
      </w:r>
      <w:r>
        <w:rPr>
          <w:rFonts w:hint="cs"/>
          <w:sz w:val="22"/>
          <w:szCs w:val="22"/>
          <w:rtl/>
        </w:rPr>
        <w:t>.</w:t>
      </w:r>
      <w:r w:rsidRPr="00BD5E91">
        <w:rPr>
          <w:sz w:val="22"/>
          <w:szCs w:val="22"/>
          <w:rtl/>
        </w:rPr>
        <w:t xml:space="preserve"> והן הכל בסוד ע"ס</w:t>
      </w:r>
      <w:r>
        <w:rPr>
          <w:rFonts w:hint="cs"/>
          <w:sz w:val="22"/>
          <w:szCs w:val="22"/>
          <w:rtl/>
        </w:rPr>
        <w:t>,</w:t>
      </w:r>
      <w:r w:rsidRPr="00BD5E91">
        <w:rPr>
          <w:sz w:val="22"/>
          <w:szCs w:val="22"/>
          <w:rtl/>
        </w:rPr>
        <w:t xml:space="preserve"> ג' נקודות חב"ד והן המוחין כלל הכל</w:t>
      </w:r>
      <w:r>
        <w:rPr>
          <w:rFonts w:hint="cs"/>
          <w:sz w:val="22"/>
          <w:szCs w:val="22"/>
          <w:rtl/>
        </w:rPr>
        <w:t>,</w:t>
      </w:r>
      <w:r w:rsidRPr="00BD5E91">
        <w:rPr>
          <w:sz w:val="22"/>
          <w:szCs w:val="22"/>
          <w:rtl/>
        </w:rPr>
        <w:t xml:space="preserve"> ו' נקודות ו"ק</w:t>
      </w:r>
      <w:r>
        <w:rPr>
          <w:rFonts w:hint="cs"/>
          <w:sz w:val="22"/>
          <w:szCs w:val="22"/>
          <w:rtl/>
        </w:rPr>
        <w:t>,</w:t>
      </w:r>
      <w:r w:rsidRPr="00BD5E91">
        <w:rPr>
          <w:sz w:val="22"/>
          <w:szCs w:val="22"/>
          <w:rtl/>
        </w:rPr>
        <w:t xml:space="preserve"> נקוד</w:t>
      </w:r>
      <w:r>
        <w:rPr>
          <w:rFonts w:hint="cs"/>
          <w:sz w:val="22"/>
          <w:szCs w:val="22"/>
          <w:rtl/>
        </w:rPr>
        <w:t>'</w:t>
      </w:r>
      <w:r w:rsidRPr="00BD5E91">
        <w:rPr>
          <w:sz w:val="22"/>
          <w:szCs w:val="22"/>
          <w:rtl/>
        </w:rPr>
        <w:t xml:space="preserve"> הראשונה כתר או מלכות</w:t>
      </w:r>
      <w:r>
        <w:rPr>
          <w:rFonts w:hint="cs"/>
          <w:sz w:val="22"/>
          <w:szCs w:val="22"/>
          <w:rtl/>
        </w:rPr>
        <w:t>.</w:t>
      </w:r>
      <w:r w:rsidRPr="00BD5E91">
        <w:rPr>
          <w:sz w:val="22"/>
          <w:szCs w:val="22"/>
          <w:rtl/>
        </w:rPr>
        <w:t xml:space="preserve"> והכל א' כידוע וזהו עשר אמירן עשר נקודות ע"ס פנימיות</w:t>
      </w:r>
      <w:r>
        <w:rPr>
          <w:rFonts w:hint="cs"/>
          <w:sz w:val="22"/>
          <w:szCs w:val="22"/>
          <w:rtl/>
        </w:rPr>
        <w:t>,</w:t>
      </w:r>
      <w:r w:rsidRPr="00BD5E91">
        <w:rPr>
          <w:sz w:val="22"/>
          <w:szCs w:val="22"/>
          <w:rtl/>
        </w:rPr>
        <w:t xml:space="preserve"> בסוד רוח בסוד ז"א שנקרא רוח</w:t>
      </w:r>
      <w:r>
        <w:rPr>
          <w:rFonts w:hint="cs"/>
          <w:sz w:val="22"/>
          <w:szCs w:val="22"/>
          <w:rtl/>
        </w:rPr>
        <w:t>.</w:t>
      </w:r>
      <w:r w:rsidRPr="00BD5E91">
        <w:rPr>
          <w:sz w:val="22"/>
          <w:szCs w:val="22"/>
          <w:rtl/>
        </w:rPr>
        <w:t xml:space="preserve"> והן י' אמירן דמעשה בראשית</w:t>
      </w:r>
      <w:r>
        <w:rPr>
          <w:rFonts w:hint="cs"/>
          <w:sz w:val="22"/>
          <w:szCs w:val="22"/>
          <w:rtl/>
        </w:rPr>
        <w:t>,</w:t>
      </w:r>
      <w:r w:rsidRPr="00BD5E91">
        <w:rPr>
          <w:sz w:val="22"/>
          <w:szCs w:val="22"/>
          <w:rtl/>
        </w:rPr>
        <w:t xml:space="preserve"> הראשונה סתימא</w:t>
      </w:r>
      <w:r>
        <w:rPr>
          <w:rFonts w:hint="cs"/>
          <w:sz w:val="22"/>
          <w:szCs w:val="22"/>
          <w:rtl/>
        </w:rPr>
        <w:t>,</w:t>
      </w:r>
      <w:r w:rsidRPr="00BD5E91">
        <w:rPr>
          <w:sz w:val="22"/>
          <w:szCs w:val="22"/>
          <w:rtl/>
        </w:rPr>
        <w:t xml:space="preserve"> בראשית נמי מאמר הוא</w:t>
      </w:r>
      <w:r>
        <w:rPr>
          <w:rFonts w:hint="cs"/>
          <w:sz w:val="22"/>
          <w:szCs w:val="22"/>
          <w:rtl/>
        </w:rPr>
        <w:t>,</w:t>
      </w:r>
      <w:r w:rsidRPr="00BD5E91">
        <w:rPr>
          <w:sz w:val="22"/>
          <w:szCs w:val="22"/>
          <w:rtl/>
        </w:rPr>
        <w:t xml:space="preserve"> ואין נזכר בו מאמר</w:t>
      </w:r>
      <w:r>
        <w:rPr>
          <w:rFonts w:hint="cs"/>
          <w:sz w:val="22"/>
          <w:szCs w:val="22"/>
          <w:rtl/>
        </w:rPr>
        <w:t>,</w:t>
      </w:r>
      <w:r w:rsidRPr="00BD5E91">
        <w:rPr>
          <w:sz w:val="22"/>
          <w:szCs w:val="22"/>
          <w:rtl/>
        </w:rPr>
        <w:t xml:space="preserve"> וסודו בראשית</w:t>
      </w:r>
      <w:r>
        <w:rPr>
          <w:rFonts w:hint="cs"/>
          <w:sz w:val="22"/>
          <w:szCs w:val="22"/>
          <w:rtl/>
        </w:rPr>
        <w:t>,</w:t>
      </w:r>
      <w:r w:rsidRPr="00BD5E91">
        <w:rPr>
          <w:sz w:val="22"/>
          <w:szCs w:val="22"/>
          <w:rtl/>
        </w:rPr>
        <w:t xml:space="preserve"> ב' ראשית</w:t>
      </w:r>
      <w:r>
        <w:rPr>
          <w:rFonts w:hint="cs"/>
          <w:sz w:val="22"/>
          <w:szCs w:val="22"/>
          <w:rtl/>
        </w:rPr>
        <w:t>,</w:t>
      </w:r>
      <w:r w:rsidRPr="00BD5E91">
        <w:rPr>
          <w:sz w:val="22"/>
          <w:szCs w:val="22"/>
          <w:rtl/>
        </w:rPr>
        <w:t xml:space="preserve"> נקודה בהיכלי'</w:t>
      </w:r>
      <w:r>
        <w:rPr>
          <w:rFonts w:hint="cs"/>
          <w:sz w:val="22"/>
          <w:szCs w:val="22"/>
          <w:rtl/>
        </w:rPr>
        <w:t>,</w:t>
      </w:r>
      <w:r w:rsidRPr="00BD5E91">
        <w:rPr>
          <w:sz w:val="22"/>
          <w:szCs w:val="22"/>
          <w:rtl/>
        </w:rPr>
        <w:t xml:space="preserve"> נקודה הראשונה סתים</w:t>
      </w:r>
      <w:r>
        <w:rPr>
          <w:rFonts w:hint="cs"/>
          <w:sz w:val="22"/>
          <w:szCs w:val="22"/>
          <w:rtl/>
        </w:rPr>
        <w:t>.</w:t>
      </w:r>
      <w:r w:rsidRPr="00BD5E91">
        <w:rPr>
          <w:sz w:val="22"/>
          <w:szCs w:val="22"/>
          <w:rtl/>
        </w:rPr>
        <w:t xml:space="preserve"> והולך המאמר ומתפשט עד ורוח אלקים מרחפת על פני המים שהוא רוח דנביעו כנ"ל נקודה קדמאה</w:t>
      </w:r>
      <w:r>
        <w:rPr>
          <w:rFonts w:hint="cs"/>
          <w:sz w:val="22"/>
          <w:szCs w:val="22"/>
          <w:rtl/>
        </w:rPr>
        <w:t>.</w:t>
      </w:r>
      <w:r w:rsidRPr="00BD5E91">
        <w:rPr>
          <w:sz w:val="22"/>
          <w:szCs w:val="22"/>
          <w:rtl/>
        </w:rPr>
        <w:t xml:space="preserve"> ואח"כ ג' מאמרות</w:t>
      </w:r>
      <w:r>
        <w:rPr>
          <w:rFonts w:hint="cs"/>
          <w:sz w:val="22"/>
          <w:szCs w:val="22"/>
          <w:rtl/>
        </w:rPr>
        <w:t>,</w:t>
      </w:r>
      <w:r w:rsidRPr="00BD5E91">
        <w:rPr>
          <w:sz w:val="22"/>
          <w:szCs w:val="22"/>
          <w:rtl/>
        </w:rPr>
        <w:t xml:space="preserve"> יהי אור</w:t>
      </w:r>
      <w:r>
        <w:rPr>
          <w:rFonts w:hint="cs"/>
          <w:sz w:val="22"/>
          <w:szCs w:val="22"/>
          <w:rtl/>
        </w:rPr>
        <w:t>,</w:t>
      </w:r>
      <w:r w:rsidRPr="00BD5E91">
        <w:rPr>
          <w:sz w:val="22"/>
          <w:szCs w:val="22"/>
          <w:rtl/>
        </w:rPr>
        <w:t xml:space="preserve"> יהי רקיע</w:t>
      </w:r>
      <w:r>
        <w:rPr>
          <w:rFonts w:hint="cs"/>
          <w:sz w:val="22"/>
          <w:szCs w:val="22"/>
          <w:rtl/>
        </w:rPr>
        <w:t>,</w:t>
      </w:r>
      <w:r w:rsidRPr="00BD5E91">
        <w:rPr>
          <w:sz w:val="22"/>
          <w:szCs w:val="22"/>
          <w:rtl/>
        </w:rPr>
        <w:t xml:space="preserve"> יקוו המים ותראה היבשה</w:t>
      </w:r>
      <w:r>
        <w:rPr>
          <w:rFonts w:hint="cs"/>
          <w:sz w:val="22"/>
          <w:szCs w:val="22"/>
          <w:rtl/>
        </w:rPr>
        <w:t>.</w:t>
      </w:r>
      <w:r w:rsidRPr="00BD5E91">
        <w:rPr>
          <w:sz w:val="22"/>
          <w:szCs w:val="22"/>
          <w:rtl/>
        </w:rPr>
        <w:t xml:space="preserve"> והן בסוד אמ"ש כי אור הוא בסוד אויר, י' אור כידוע</w:t>
      </w:r>
      <w:r>
        <w:rPr>
          <w:rFonts w:hint="cs"/>
          <w:sz w:val="22"/>
          <w:szCs w:val="22"/>
          <w:rtl/>
        </w:rPr>
        <w:t>,</w:t>
      </w:r>
      <w:r w:rsidRPr="00BD5E91">
        <w:rPr>
          <w:sz w:val="22"/>
          <w:szCs w:val="22"/>
          <w:rtl/>
        </w:rPr>
        <w:t xml:space="preserve"> ורקיע מאש</w:t>
      </w:r>
      <w:r>
        <w:rPr>
          <w:rFonts w:hint="cs"/>
          <w:sz w:val="22"/>
          <w:szCs w:val="22"/>
          <w:rtl/>
        </w:rPr>
        <w:t>,</w:t>
      </w:r>
      <w:r w:rsidRPr="00BD5E91">
        <w:rPr>
          <w:sz w:val="22"/>
          <w:szCs w:val="22"/>
          <w:rtl/>
        </w:rPr>
        <w:t xml:space="preserve"> וארץ ממים</w:t>
      </w:r>
      <w:r>
        <w:rPr>
          <w:rFonts w:hint="cs"/>
          <w:sz w:val="22"/>
          <w:szCs w:val="22"/>
          <w:rtl/>
        </w:rPr>
        <w:t>.</w:t>
      </w:r>
      <w:r w:rsidRPr="00BD5E91">
        <w:rPr>
          <w:sz w:val="22"/>
          <w:szCs w:val="22"/>
          <w:rtl/>
        </w:rPr>
        <w:t xml:space="preserve"> והן תולדות אמ"ש כמ"ש בס"י שמים מאש וארץ ממים והן תולדות אמ"ש כמ"ש שם ואח"כ ששה מאמרות הנשארין הן ו' נקודות הנשארין</w:t>
      </w:r>
      <w:r>
        <w:rPr>
          <w:rFonts w:hint="cs"/>
          <w:sz w:val="22"/>
          <w:szCs w:val="22"/>
          <w:rtl/>
        </w:rPr>
        <w:t>,</w:t>
      </w:r>
      <w:r w:rsidRPr="00BD5E91">
        <w:rPr>
          <w:sz w:val="22"/>
          <w:szCs w:val="22"/>
          <w:rtl/>
        </w:rPr>
        <w:t xml:space="preserve"> שג' מאמרות הראשונות הן כלל כל היצירה כמ"ש בס"י ג' אמות אמ"ש ואח"כ הפרטיות והן יותר בגילוי:</w:t>
      </w:r>
    </w:p>
  </w:footnote>
  <w:footnote w:id="704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האי קשרא דאיהו לישן כו' לגו מלה.</w:t>
      </w:r>
      <w:r w:rsidRPr="00BD5E91">
        <w:rPr>
          <w:sz w:val="22"/>
          <w:szCs w:val="22"/>
          <w:rtl/>
        </w:rPr>
        <w:t xml:space="preserve"> ר"ל ואח"כ הולך הקול עד השינים ושם הוא הדיבור בחיתוך אותיות ושם כ"ב אתוון וז"ש דעשרין ותרין שורין. ואמר </w:t>
      </w:r>
      <w:r w:rsidRPr="00BD5E91">
        <w:rPr>
          <w:b/>
          <w:bCs/>
          <w:sz w:val="22"/>
          <w:szCs w:val="22"/>
          <w:rtl/>
        </w:rPr>
        <w:t>מגדלא תקיפא.</w:t>
      </w:r>
      <w:r w:rsidRPr="00BD5E91">
        <w:rPr>
          <w:sz w:val="22"/>
          <w:szCs w:val="22"/>
          <w:rtl/>
        </w:rPr>
        <w:t xml:space="preserve"> לפי שהוא מעצם והוא סוד נוקבא דז"א כ"ב אתוון בסוד אתה כידוע וכאן הוא האותיות והם בסוד עיבור ויניקה וגדלות דנשיקין שלא נתבארו בשום מקום</w:t>
      </w:r>
      <w:r>
        <w:rPr>
          <w:rFonts w:hint="cs"/>
          <w:sz w:val="22"/>
          <w:szCs w:val="22"/>
          <w:rtl/>
        </w:rPr>
        <w:t>,</w:t>
      </w:r>
      <w:r w:rsidRPr="00BD5E91">
        <w:rPr>
          <w:sz w:val="22"/>
          <w:szCs w:val="22"/>
          <w:rtl/>
        </w:rPr>
        <w:t xml:space="preserve"> כי הדיבור הוא זיווג דנשיקין בסוד וישק יעקב לרחל ויגד כו'</w:t>
      </w:r>
      <w:r>
        <w:rPr>
          <w:rFonts w:hint="cs"/>
          <w:sz w:val="22"/>
          <w:szCs w:val="22"/>
          <w:rtl/>
        </w:rPr>
        <w:t>,</w:t>
      </w:r>
      <w:r w:rsidRPr="00BD5E91">
        <w:rPr>
          <w:sz w:val="22"/>
          <w:szCs w:val="22"/>
          <w:rtl/>
        </w:rPr>
        <w:t xml:space="preserve"> וידוע שמסוד הנשיקין יצאו הרוחנים</w:t>
      </w:r>
      <w:r>
        <w:rPr>
          <w:rFonts w:hint="cs"/>
          <w:sz w:val="22"/>
          <w:szCs w:val="22"/>
          <w:rtl/>
        </w:rPr>
        <w:t>,</w:t>
      </w:r>
      <w:r w:rsidRPr="00BD5E91">
        <w:rPr>
          <w:sz w:val="22"/>
          <w:szCs w:val="22"/>
          <w:rtl/>
        </w:rPr>
        <w:t xml:space="preserve"> כל המלאכים</w:t>
      </w:r>
      <w:r>
        <w:rPr>
          <w:rFonts w:hint="cs"/>
          <w:sz w:val="22"/>
          <w:szCs w:val="22"/>
          <w:rtl/>
        </w:rPr>
        <w:t>,</w:t>
      </w:r>
      <w:r w:rsidRPr="00BD5E91">
        <w:rPr>
          <w:sz w:val="22"/>
          <w:szCs w:val="22"/>
          <w:rtl/>
        </w:rPr>
        <w:t xml:space="preserve"> וז"ס כל דבור ודבור שיצא כו' כידוע</w:t>
      </w:r>
      <w:r>
        <w:rPr>
          <w:rFonts w:hint="cs"/>
          <w:sz w:val="22"/>
          <w:szCs w:val="22"/>
          <w:rtl/>
        </w:rPr>
        <w:t>.</w:t>
      </w:r>
      <w:r w:rsidRPr="00BD5E91">
        <w:rPr>
          <w:sz w:val="22"/>
          <w:szCs w:val="22"/>
          <w:rtl/>
        </w:rPr>
        <w:t xml:space="preserve"> וכן הוא למעלה בפנימית העולמות כידוע וז"ש במאמר קו המדה בטש רעוא אתפשטותא דיליה בסתימו דלא אתיידע. ר"ל אתפשטות' הוא עטר' דחסד שהוא מתפשט כמים הנגרים</w:t>
      </w:r>
      <w:r>
        <w:rPr>
          <w:rFonts w:hint="cs"/>
          <w:sz w:val="22"/>
          <w:szCs w:val="22"/>
          <w:rtl/>
        </w:rPr>
        <w:t>,</w:t>
      </w:r>
      <w:r w:rsidRPr="00BD5E91">
        <w:rPr>
          <w:sz w:val="22"/>
          <w:szCs w:val="22"/>
          <w:rtl/>
        </w:rPr>
        <w:t xml:space="preserve"> והוא בחכמה בסתימו</w:t>
      </w:r>
      <w:r>
        <w:rPr>
          <w:rFonts w:hint="cs"/>
          <w:sz w:val="22"/>
          <w:szCs w:val="22"/>
          <w:rtl/>
        </w:rPr>
        <w:t>,</w:t>
      </w:r>
      <w:r w:rsidRPr="00BD5E91">
        <w:rPr>
          <w:sz w:val="22"/>
          <w:szCs w:val="22"/>
          <w:rtl/>
        </w:rPr>
        <w:t xml:space="preserve"> דלא אתיידע בבינה כמ"ש לעיל ערבות הוא גניז וסתים דלא אתיידע ושם הבוצינא ושם בטש כמש"ל:</w:t>
      </w:r>
      <w:r>
        <w:rPr>
          <w:rFonts w:hint="cs"/>
          <w:sz w:val="22"/>
          <w:szCs w:val="22"/>
          <w:rtl/>
        </w:rPr>
        <w:t xml:space="preserve"> </w:t>
      </w:r>
      <w:r w:rsidRPr="00BD5E91">
        <w:rPr>
          <w:b/>
          <w:bCs/>
          <w:sz w:val="22"/>
          <w:szCs w:val="22"/>
          <w:rtl/>
        </w:rPr>
        <w:t>ואפיק נהורין דקיקין כלילין כחדא.</w:t>
      </w:r>
      <w:r w:rsidRPr="00BD5E91">
        <w:rPr>
          <w:sz w:val="22"/>
          <w:szCs w:val="22"/>
          <w:rtl/>
        </w:rPr>
        <w:t xml:space="preserve"> והן ג' נקודות</w:t>
      </w:r>
      <w:r>
        <w:rPr>
          <w:rFonts w:hint="cs"/>
          <w:sz w:val="22"/>
          <w:szCs w:val="22"/>
          <w:rtl/>
        </w:rPr>
        <w:t>,</w:t>
      </w:r>
      <w:r w:rsidRPr="00BD5E91">
        <w:rPr>
          <w:sz w:val="22"/>
          <w:szCs w:val="22"/>
          <w:rtl/>
        </w:rPr>
        <w:t xml:space="preserve"> ג' יסודין הנ"ל</w:t>
      </w:r>
      <w:r>
        <w:rPr>
          <w:rFonts w:hint="cs"/>
          <w:sz w:val="22"/>
          <w:szCs w:val="22"/>
          <w:rtl/>
        </w:rPr>
        <w:t>.</w:t>
      </w:r>
      <w:r w:rsidRPr="00BD5E91">
        <w:rPr>
          <w:sz w:val="22"/>
          <w:szCs w:val="22"/>
          <w:rtl/>
        </w:rPr>
        <w:t xml:space="preserve"> והן שורש ג' טפין דמוחא דנפקין מאבא</w:t>
      </w:r>
      <w:r>
        <w:rPr>
          <w:rFonts w:hint="cs"/>
          <w:sz w:val="22"/>
          <w:szCs w:val="22"/>
          <w:rtl/>
        </w:rPr>
        <w:t>,</w:t>
      </w:r>
      <w:r w:rsidRPr="00BD5E91">
        <w:rPr>
          <w:sz w:val="22"/>
          <w:szCs w:val="22"/>
          <w:rtl/>
        </w:rPr>
        <w:t xml:space="preserve"> יה"ו שהן אמ"ש כמ"ש בסוף פ"א מס"י ובתי':</w:t>
      </w:r>
      <w:r w:rsidRPr="00BD5E91">
        <w:rPr>
          <w:b/>
          <w:bCs/>
          <w:sz w:val="22"/>
          <w:szCs w:val="22"/>
          <w:rtl/>
        </w:rPr>
        <w:t xml:space="preserve"> כד בעאן לנפקא כו' ואתדחק כו'.</w:t>
      </w:r>
      <w:r w:rsidRPr="00BD5E91">
        <w:rPr>
          <w:sz w:val="22"/>
          <w:szCs w:val="22"/>
          <w:rtl/>
        </w:rPr>
        <w:t xml:space="preserve"> כנ"ל שע"י הדחיקו מוציא קלא דאשתמע וז"ש ואשתמעו כחדא ואצטבעו כולהו כחדא חיוור כו'. כאן נגלה ד' הגוונין כנ"ל לפי שכאן הוא ו' נקודות</w:t>
      </w:r>
      <w:r>
        <w:rPr>
          <w:rFonts w:hint="cs"/>
          <w:sz w:val="22"/>
          <w:szCs w:val="22"/>
          <w:rtl/>
        </w:rPr>
        <w:t>,</w:t>
      </w:r>
      <w:r w:rsidRPr="00BD5E91">
        <w:rPr>
          <w:sz w:val="22"/>
          <w:szCs w:val="22"/>
          <w:rtl/>
        </w:rPr>
        <w:t xml:space="preserve"> ו' לישן</w:t>
      </w:r>
      <w:r>
        <w:rPr>
          <w:rFonts w:hint="cs"/>
          <w:sz w:val="22"/>
          <w:szCs w:val="22"/>
          <w:rtl/>
        </w:rPr>
        <w:t>.</w:t>
      </w:r>
      <w:r w:rsidRPr="00BD5E91">
        <w:rPr>
          <w:sz w:val="22"/>
          <w:szCs w:val="22"/>
          <w:rtl/>
        </w:rPr>
        <w:t xml:space="preserve"> ואעפ"כ עיקרן אינן אלא ג' נקודות</w:t>
      </w:r>
      <w:r>
        <w:rPr>
          <w:rFonts w:hint="cs"/>
          <w:sz w:val="22"/>
          <w:szCs w:val="22"/>
          <w:rtl/>
        </w:rPr>
        <w:t>,</w:t>
      </w:r>
      <w:r w:rsidRPr="00BD5E91">
        <w:rPr>
          <w:sz w:val="22"/>
          <w:szCs w:val="22"/>
          <w:rtl/>
        </w:rPr>
        <w:t xml:space="preserve"> תלת דכלילן בתלת</w:t>
      </w:r>
      <w:r>
        <w:rPr>
          <w:rFonts w:hint="cs"/>
          <w:sz w:val="22"/>
          <w:szCs w:val="22"/>
          <w:rtl/>
        </w:rPr>
        <w:t>,</w:t>
      </w:r>
      <w:r w:rsidRPr="00BD5E91">
        <w:rPr>
          <w:sz w:val="22"/>
          <w:szCs w:val="22"/>
          <w:rtl/>
        </w:rPr>
        <w:t xml:space="preserve"> נה"י בחג"ת</w:t>
      </w:r>
      <w:r>
        <w:rPr>
          <w:rFonts w:hint="cs"/>
          <w:sz w:val="22"/>
          <w:szCs w:val="22"/>
          <w:rtl/>
        </w:rPr>
        <w:t>,</w:t>
      </w:r>
      <w:r w:rsidRPr="00BD5E91">
        <w:rPr>
          <w:sz w:val="22"/>
          <w:szCs w:val="22"/>
          <w:rtl/>
        </w:rPr>
        <w:t xml:space="preserve"> ובת זוגו כלולה עמו ונכללת בחיוור</w:t>
      </w:r>
      <w:r>
        <w:rPr>
          <w:rFonts w:hint="cs"/>
          <w:sz w:val="22"/>
          <w:szCs w:val="22"/>
          <w:rtl/>
        </w:rPr>
        <w:t>,</w:t>
      </w:r>
      <w:r w:rsidRPr="00BD5E91">
        <w:rPr>
          <w:sz w:val="22"/>
          <w:szCs w:val="22"/>
          <w:rtl/>
        </w:rPr>
        <w:t xml:space="preserve"> דל"ל מגרמה כלום כידוע</w:t>
      </w:r>
      <w:r>
        <w:rPr>
          <w:rFonts w:hint="cs"/>
          <w:sz w:val="22"/>
          <w:szCs w:val="22"/>
          <w:rtl/>
        </w:rPr>
        <w:t>,</w:t>
      </w:r>
      <w:r w:rsidRPr="00BD5E91">
        <w:rPr>
          <w:sz w:val="22"/>
          <w:szCs w:val="22"/>
          <w:rtl/>
        </w:rPr>
        <w:t xml:space="preserve"> וכמש"ש ד' מ"ו ע"א וע"ב כדין רשים כל גוונין באינון אתרין דאתחזיין חיוור כו' דההוא גוון אוכם דקיימא לאתחברא בגוון חיוור כו' ואתעכב בי' שנים עשר ירחין</w:t>
      </w:r>
      <w:r>
        <w:rPr>
          <w:rFonts w:hint="cs"/>
          <w:sz w:val="22"/>
          <w:szCs w:val="22"/>
          <w:rtl/>
        </w:rPr>
        <w:t>,</w:t>
      </w:r>
      <w:r w:rsidRPr="00BD5E91">
        <w:rPr>
          <w:sz w:val="22"/>
          <w:szCs w:val="22"/>
          <w:rtl/>
        </w:rPr>
        <w:t xml:space="preserve"> כי הו"ק נכללין זה בזה והן י"ב</w:t>
      </w:r>
      <w:r>
        <w:rPr>
          <w:rFonts w:hint="cs"/>
          <w:sz w:val="22"/>
          <w:szCs w:val="22"/>
          <w:rtl/>
        </w:rPr>
        <w:t>,</w:t>
      </w:r>
      <w:r w:rsidRPr="00BD5E91">
        <w:rPr>
          <w:sz w:val="22"/>
          <w:szCs w:val="22"/>
          <w:rtl/>
        </w:rPr>
        <w:t xml:space="preserve"> כמ"ש בזוהר פ' ויחי ד' רמ"א ע"א שית סיטרין עילאין תריסר הוו כו' ע"ש</w:t>
      </w:r>
      <w:r>
        <w:rPr>
          <w:rFonts w:hint="cs"/>
          <w:sz w:val="22"/>
          <w:szCs w:val="22"/>
          <w:rtl/>
        </w:rPr>
        <w:t>.</w:t>
      </w:r>
      <w:r w:rsidRPr="00BD5E91">
        <w:rPr>
          <w:sz w:val="22"/>
          <w:szCs w:val="22"/>
          <w:rtl/>
        </w:rPr>
        <w:t xml:space="preserve"> תו תריסר</w:t>
      </w:r>
      <w:r>
        <w:rPr>
          <w:rFonts w:hint="cs"/>
          <w:sz w:val="22"/>
          <w:szCs w:val="22"/>
          <w:rtl/>
        </w:rPr>
        <w:t>,</w:t>
      </w:r>
      <w:r w:rsidRPr="00BD5E91">
        <w:rPr>
          <w:sz w:val="22"/>
          <w:szCs w:val="22"/>
          <w:rtl/>
        </w:rPr>
        <w:t xml:space="preserve"> תלת קשרין דדרועא ימינא חסד חסדים</w:t>
      </w:r>
      <w:r>
        <w:rPr>
          <w:rFonts w:hint="cs"/>
          <w:sz w:val="22"/>
          <w:szCs w:val="22"/>
          <w:rtl/>
        </w:rPr>
        <w:t>,</w:t>
      </w:r>
      <w:r w:rsidRPr="00BD5E91">
        <w:rPr>
          <w:sz w:val="22"/>
          <w:szCs w:val="22"/>
          <w:rtl/>
        </w:rPr>
        <w:t xml:space="preserve"> תלת קשרין דדרועא שמאלא גבורה גבורות</w:t>
      </w:r>
      <w:r>
        <w:rPr>
          <w:rFonts w:hint="cs"/>
          <w:sz w:val="22"/>
          <w:szCs w:val="22"/>
          <w:rtl/>
        </w:rPr>
        <w:t>,</w:t>
      </w:r>
      <w:r w:rsidRPr="00BD5E91">
        <w:rPr>
          <w:sz w:val="22"/>
          <w:szCs w:val="22"/>
          <w:rtl/>
        </w:rPr>
        <w:t xml:space="preserve"> תלת קשרין בירכא ימינא נצח נצחים</w:t>
      </w:r>
      <w:r>
        <w:rPr>
          <w:rFonts w:hint="cs"/>
          <w:sz w:val="22"/>
          <w:szCs w:val="22"/>
          <w:rtl/>
        </w:rPr>
        <w:t>,</w:t>
      </w:r>
      <w:r w:rsidRPr="00BD5E91">
        <w:rPr>
          <w:sz w:val="22"/>
          <w:szCs w:val="22"/>
          <w:rtl/>
        </w:rPr>
        <w:t xml:space="preserve"> תלת קשרין בירכא שמאלא הוד הודות</w:t>
      </w:r>
      <w:r>
        <w:rPr>
          <w:rFonts w:hint="cs"/>
          <w:sz w:val="22"/>
          <w:szCs w:val="22"/>
          <w:rtl/>
        </w:rPr>
        <w:t>.</w:t>
      </w:r>
      <w:r w:rsidRPr="00BD5E91">
        <w:rPr>
          <w:sz w:val="22"/>
          <w:szCs w:val="22"/>
          <w:rtl/>
        </w:rPr>
        <w:t xml:space="preserve"> וגופא קיימא עלייהו</w:t>
      </w:r>
      <w:r>
        <w:rPr>
          <w:rFonts w:hint="cs"/>
          <w:sz w:val="22"/>
          <w:szCs w:val="22"/>
          <w:rtl/>
        </w:rPr>
        <w:t>.</w:t>
      </w:r>
      <w:r w:rsidRPr="00BD5E91">
        <w:rPr>
          <w:sz w:val="22"/>
          <w:szCs w:val="22"/>
          <w:rtl/>
        </w:rPr>
        <w:t xml:space="preserve"> תו בתליסר מכילן אורייתא אתפרש כו'</w:t>
      </w:r>
      <w:r>
        <w:rPr>
          <w:rFonts w:hint="cs"/>
          <w:sz w:val="22"/>
          <w:szCs w:val="22"/>
          <w:rtl/>
        </w:rPr>
        <w:t>.</w:t>
      </w:r>
      <w:r w:rsidRPr="00BD5E91">
        <w:rPr>
          <w:sz w:val="22"/>
          <w:szCs w:val="22"/>
          <w:rtl/>
        </w:rPr>
        <w:t xml:space="preserve"> ולמעלה ג"כ אמר ת"ח תריסר שבטין בד' דגלים בד' סיטרין כו' תלת שבטין לדרועא ימינא ותלת שבטין כו' מ"ט תלת שבטין כו' אלא רזא דמלה תלת קשרין בדרועא ימינא כו' אשתכחו תליסר קשרין לד' סטרין כו'</w:t>
      </w:r>
      <w:r>
        <w:rPr>
          <w:rFonts w:hint="cs"/>
          <w:sz w:val="22"/>
          <w:szCs w:val="22"/>
          <w:rtl/>
        </w:rPr>
        <w:t>.</w:t>
      </w:r>
      <w:r w:rsidRPr="00BD5E91">
        <w:rPr>
          <w:sz w:val="22"/>
          <w:szCs w:val="22"/>
          <w:rtl/>
        </w:rPr>
        <w:t xml:space="preserve"> וזה הענין</w:t>
      </w:r>
      <w:r>
        <w:rPr>
          <w:rFonts w:hint="cs"/>
          <w:sz w:val="22"/>
          <w:szCs w:val="22"/>
          <w:rtl/>
        </w:rPr>
        <w:t>,</w:t>
      </w:r>
      <w:r w:rsidRPr="00BD5E91">
        <w:rPr>
          <w:sz w:val="22"/>
          <w:szCs w:val="22"/>
          <w:rtl/>
        </w:rPr>
        <w:t xml:space="preserve"> כי כאן דאתפשטו ו"ק שכללן הן שוקין ודרועין</w:t>
      </w:r>
      <w:r>
        <w:rPr>
          <w:rFonts w:hint="cs"/>
          <w:sz w:val="22"/>
          <w:szCs w:val="22"/>
          <w:rtl/>
        </w:rPr>
        <w:t>,</w:t>
      </w:r>
      <w:r w:rsidRPr="00BD5E91">
        <w:rPr>
          <w:sz w:val="22"/>
          <w:szCs w:val="22"/>
          <w:rtl/>
        </w:rPr>
        <w:t xml:space="preserve"> כי ת"ת הוא נכלל מב' דרועין</w:t>
      </w:r>
      <w:r>
        <w:rPr>
          <w:rFonts w:hint="cs"/>
          <w:sz w:val="22"/>
          <w:szCs w:val="22"/>
          <w:rtl/>
        </w:rPr>
        <w:t>,</w:t>
      </w:r>
      <w:r w:rsidRPr="00BD5E91">
        <w:rPr>
          <w:sz w:val="22"/>
          <w:szCs w:val="22"/>
          <w:rtl/>
        </w:rPr>
        <w:t xml:space="preserve"> ויסוד מב' שוקין</w:t>
      </w:r>
      <w:r>
        <w:rPr>
          <w:rFonts w:hint="cs"/>
          <w:sz w:val="22"/>
          <w:szCs w:val="22"/>
          <w:rtl/>
        </w:rPr>
        <w:t>,</w:t>
      </w:r>
      <w:r w:rsidRPr="00BD5E91">
        <w:rPr>
          <w:sz w:val="22"/>
          <w:szCs w:val="22"/>
          <w:rtl/>
        </w:rPr>
        <w:t xml:space="preserve"> שלכן הם ו"ו</w:t>
      </w:r>
      <w:r>
        <w:rPr>
          <w:rFonts w:hint="cs"/>
          <w:sz w:val="22"/>
          <w:szCs w:val="22"/>
          <w:rtl/>
        </w:rPr>
        <w:t>,</w:t>
      </w:r>
      <w:r w:rsidRPr="00BD5E91">
        <w:rPr>
          <w:sz w:val="22"/>
          <w:szCs w:val="22"/>
          <w:rtl/>
        </w:rPr>
        <w:t xml:space="preserve"> ו' בת"ת ו' ביסוד</w:t>
      </w:r>
      <w:r>
        <w:rPr>
          <w:rFonts w:hint="cs"/>
          <w:sz w:val="22"/>
          <w:szCs w:val="22"/>
          <w:rtl/>
        </w:rPr>
        <w:t>,</w:t>
      </w:r>
      <w:r w:rsidRPr="00BD5E91">
        <w:rPr>
          <w:sz w:val="22"/>
          <w:szCs w:val="22"/>
          <w:rtl/>
        </w:rPr>
        <w:t xml:space="preserve"> כמ"ש לקמן ד' פ"ג ע"ג</w:t>
      </w:r>
      <w:r>
        <w:rPr>
          <w:rFonts w:hint="cs"/>
          <w:sz w:val="22"/>
          <w:szCs w:val="22"/>
          <w:rtl/>
        </w:rPr>
        <w:t>,</w:t>
      </w:r>
      <w:r w:rsidRPr="00BD5E91">
        <w:rPr>
          <w:sz w:val="22"/>
          <w:szCs w:val="22"/>
          <w:rtl/>
        </w:rPr>
        <w:t xml:space="preserve"> ואינון ו"ו דנפקין כו' דאיהו ו' בשית פרקין דדרועין ושית פרקין דשוקין כו' ע"ש כל המאמר</w:t>
      </w:r>
      <w:r>
        <w:rPr>
          <w:rFonts w:hint="cs"/>
          <w:sz w:val="22"/>
          <w:szCs w:val="22"/>
          <w:rtl/>
        </w:rPr>
        <w:t>.</w:t>
      </w:r>
      <w:r w:rsidRPr="00BD5E91">
        <w:rPr>
          <w:sz w:val="22"/>
          <w:szCs w:val="22"/>
          <w:rtl/>
        </w:rPr>
        <w:t xml:space="preserve"> והענין כי כאן אתכליל כל אחד בג' גוונין והן ג' פרקין וידוע שא' מגוונין כולל שניהם וז"ש חסד חסדים וכן בכולם כי חסד נכלל מחסדים ובאלו ב' בחי' הן י"ב והכל א' כי ג' פרקין הם שנים לבד שהג' כלול כנ"ל</w:t>
      </w:r>
      <w:r>
        <w:rPr>
          <w:rFonts w:hint="cs"/>
          <w:sz w:val="22"/>
          <w:szCs w:val="22"/>
          <w:rtl/>
        </w:rPr>
        <w:t>.</w:t>
      </w:r>
      <w:r w:rsidRPr="00BD5E91">
        <w:rPr>
          <w:sz w:val="22"/>
          <w:szCs w:val="22"/>
          <w:rtl/>
        </w:rPr>
        <w:t xml:space="preserve"> וחשיב ת"ת ויסוד במקומם כ"א ב' פרקין</w:t>
      </w:r>
      <w:r>
        <w:rPr>
          <w:rFonts w:hint="cs"/>
          <w:sz w:val="22"/>
          <w:szCs w:val="22"/>
          <w:rtl/>
        </w:rPr>
        <w:t>.</w:t>
      </w:r>
      <w:r w:rsidRPr="00BD5E91">
        <w:rPr>
          <w:sz w:val="22"/>
          <w:szCs w:val="22"/>
          <w:rtl/>
        </w:rPr>
        <w:t xml:space="preserve"> וכאן שש נקודות האחרונים כנ"ל</w:t>
      </w:r>
      <w:r>
        <w:rPr>
          <w:rFonts w:hint="cs"/>
          <w:sz w:val="22"/>
          <w:szCs w:val="22"/>
          <w:rtl/>
        </w:rPr>
        <w:t>.</w:t>
      </w:r>
      <w:r w:rsidRPr="00BD5E91">
        <w:rPr>
          <w:sz w:val="22"/>
          <w:szCs w:val="22"/>
          <w:rtl/>
        </w:rPr>
        <w:t xml:space="preserve"> ולבתר אתעקרו מתמן ואשתילו באתר אחרא ר"ל אל השינים שם נגמר הדבור וכמ"ש בפ' בראשית נטיעות כקרני חגבים היו ועקרן ואשתילו באתר אחרא והוא כי בלשון היו בסוד נקודות ואח"כ אשתילו בשינים ושם אשלימו כנ"ל</w:t>
      </w:r>
      <w:r>
        <w:rPr>
          <w:rFonts w:hint="cs"/>
          <w:sz w:val="22"/>
          <w:szCs w:val="22"/>
          <w:rtl/>
        </w:rPr>
        <w:t>.</w:t>
      </w:r>
      <w:r w:rsidRPr="00BD5E91">
        <w:rPr>
          <w:sz w:val="22"/>
          <w:szCs w:val="22"/>
          <w:rtl/>
        </w:rPr>
        <w:t xml:space="preserve"> ועיין בפ' בראשית ד' ט"ו ע"ב לבתר דאתתקן בשמא דאלקים אפיק אינון תולדין עד רזא עילאה ע"ש</w:t>
      </w:r>
      <w:r>
        <w:rPr>
          <w:rFonts w:hint="cs"/>
          <w:sz w:val="22"/>
          <w:szCs w:val="22"/>
          <w:rtl/>
        </w:rPr>
        <w:t>.</w:t>
      </w:r>
      <w:r w:rsidRPr="00BD5E91">
        <w:rPr>
          <w:sz w:val="22"/>
          <w:szCs w:val="22"/>
          <w:rtl/>
        </w:rPr>
        <w:t xml:space="preserve"> והן ל"ב נתיבות דנפקין מחכמה נקודה ואצטיירו בבינה ל"ב אלקים דמעשה בראשית</w:t>
      </w:r>
      <w:r>
        <w:rPr>
          <w:rFonts w:hint="cs"/>
          <w:sz w:val="22"/>
          <w:szCs w:val="22"/>
          <w:rtl/>
        </w:rPr>
        <w:t>.</w:t>
      </w:r>
      <w:r w:rsidRPr="00BD5E91">
        <w:rPr>
          <w:sz w:val="22"/>
          <w:szCs w:val="22"/>
          <w:rtl/>
        </w:rPr>
        <w:t xml:space="preserve"> עשר אמירן ע"ס פנימיות עשר נקודות הרוח</w:t>
      </w:r>
      <w:r>
        <w:rPr>
          <w:rFonts w:hint="cs"/>
          <w:sz w:val="22"/>
          <w:szCs w:val="22"/>
          <w:rtl/>
        </w:rPr>
        <w:t>.</w:t>
      </w:r>
      <w:r w:rsidRPr="00BD5E91">
        <w:rPr>
          <w:sz w:val="22"/>
          <w:szCs w:val="22"/>
          <w:rtl/>
        </w:rPr>
        <w:t xml:space="preserve"> וכ"ב אתוון</w:t>
      </w:r>
      <w:r>
        <w:rPr>
          <w:rFonts w:hint="cs"/>
          <w:sz w:val="22"/>
          <w:szCs w:val="22"/>
          <w:rtl/>
        </w:rPr>
        <w:t>.</w:t>
      </w:r>
      <w:r w:rsidRPr="00BD5E91">
        <w:rPr>
          <w:sz w:val="22"/>
          <w:szCs w:val="22"/>
          <w:rtl/>
        </w:rPr>
        <w:t xml:space="preserve"> גוף ונפש</w:t>
      </w:r>
      <w:r>
        <w:rPr>
          <w:rFonts w:hint="cs"/>
          <w:sz w:val="22"/>
          <w:szCs w:val="22"/>
          <w:rtl/>
        </w:rPr>
        <w:t>.</w:t>
      </w:r>
      <w:r w:rsidRPr="00BD5E91">
        <w:rPr>
          <w:sz w:val="22"/>
          <w:szCs w:val="22"/>
          <w:rtl/>
        </w:rPr>
        <w:t xml:space="preserve"> וכמ"ש בא"ז ד' ר"צ ע"א האי חכמה שירותא דכולא כו' עד ועשר אמירן</w:t>
      </w:r>
      <w:r>
        <w:rPr>
          <w:rFonts w:hint="cs"/>
          <w:sz w:val="22"/>
          <w:szCs w:val="22"/>
          <w:rtl/>
        </w:rPr>
        <w:t>.</w:t>
      </w:r>
      <w:r w:rsidRPr="00BD5E91">
        <w:rPr>
          <w:sz w:val="22"/>
          <w:szCs w:val="22"/>
          <w:rtl/>
        </w:rPr>
        <w:t xml:space="preserve"> ובס"י בתחילתו בשלשים ושתים כו' ע"ס בלימה וכ"ב כו' ואמר בלימה</w:t>
      </w:r>
      <w:r>
        <w:rPr>
          <w:rFonts w:hint="cs"/>
          <w:sz w:val="22"/>
          <w:szCs w:val="22"/>
          <w:rtl/>
        </w:rPr>
        <w:t>,</w:t>
      </w:r>
      <w:r w:rsidRPr="00BD5E91">
        <w:rPr>
          <w:sz w:val="22"/>
          <w:szCs w:val="22"/>
          <w:rtl/>
        </w:rPr>
        <w:t xml:space="preserve"> שאין בהם הציור והדיבור</w:t>
      </w:r>
      <w:r>
        <w:rPr>
          <w:rFonts w:hint="cs"/>
          <w:sz w:val="22"/>
          <w:szCs w:val="22"/>
          <w:rtl/>
        </w:rPr>
        <w:t>,</w:t>
      </w:r>
      <w:r w:rsidRPr="00BD5E91">
        <w:rPr>
          <w:sz w:val="22"/>
          <w:szCs w:val="22"/>
          <w:rtl/>
        </w:rPr>
        <w:t xml:space="preserve"> ועליהם נתקיימו אתוון כנ"ל וז"ש (איוב כו ז) תולה ארץ על בלימה ואמר שם ע"ס בלימה אחת רוח אלקים חיים והוא דנביעו כנ"ל נקודה הראשונה שתים רוח מרוח ג' מים מרוח ד' אש ממים הן ג' אמ"ש הנ"ל דשני לי' בתלת גוונין כנ"ל שיצאו מרוח אלקים חיים ג' נקודים ואח"כ שדר ללישן ו'</w:t>
      </w:r>
      <w:r>
        <w:rPr>
          <w:rFonts w:hint="cs"/>
          <w:sz w:val="22"/>
          <w:szCs w:val="22"/>
          <w:rtl/>
        </w:rPr>
        <w:t>,</w:t>
      </w:r>
      <w:r w:rsidRPr="00BD5E91">
        <w:rPr>
          <w:sz w:val="22"/>
          <w:szCs w:val="22"/>
          <w:rtl/>
        </w:rPr>
        <w:t xml:space="preserve"> ו' סטרין וכמ"ש שם כל הו"ק ע"ש</w:t>
      </w:r>
      <w:r>
        <w:rPr>
          <w:rFonts w:hint="cs"/>
          <w:sz w:val="22"/>
          <w:szCs w:val="22"/>
          <w:rtl/>
        </w:rPr>
        <w:t>.</w:t>
      </w:r>
      <w:r w:rsidRPr="00BD5E91">
        <w:rPr>
          <w:sz w:val="22"/>
          <w:szCs w:val="22"/>
          <w:rtl/>
        </w:rPr>
        <w:t xml:space="preserve"> ואח"כ האותיות אמר שם בפ"ב ג' אמות אמ"ש וז' כפולות וי"ב פשוטות ע"ש והן נגד ג' מקומות שהיתה כלולה עמו</w:t>
      </w:r>
      <w:r>
        <w:rPr>
          <w:rFonts w:hint="cs"/>
          <w:sz w:val="22"/>
          <w:szCs w:val="22"/>
          <w:rtl/>
        </w:rPr>
        <w:t>.</w:t>
      </w:r>
      <w:r w:rsidRPr="00BD5E91">
        <w:rPr>
          <w:sz w:val="22"/>
          <w:szCs w:val="22"/>
          <w:rtl/>
        </w:rPr>
        <w:t xml:space="preserve"> ג' אמ"ש בקשרא קדמאה דשני בתלת גוונין כנ"ל</w:t>
      </w:r>
      <w:r>
        <w:rPr>
          <w:rFonts w:hint="cs"/>
          <w:sz w:val="22"/>
          <w:szCs w:val="22"/>
          <w:rtl/>
        </w:rPr>
        <w:t>.</w:t>
      </w:r>
      <w:r w:rsidRPr="00BD5E91">
        <w:rPr>
          <w:sz w:val="22"/>
          <w:szCs w:val="22"/>
          <w:rtl/>
        </w:rPr>
        <w:t xml:space="preserve"> בקשרא תניינא דאשתהי תריסר ירחין</w:t>
      </w:r>
      <w:r>
        <w:rPr>
          <w:rFonts w:hint="cs"/>
          <w:sz w:val="22"/>
          <w:szCs w:val="22"/>
          <w:rtl/>
        </w:rPr>
        <w:t>,</w:t>
      </w:r>
      <w:r w:rsidRPr="00BD5E91">
        <w:rPr>
          <w:sz w:val="22"/>
          <w:szCs w:val="22"/>
          <w:rtl/>
        </w:rPr>
        <w:t xml:space="preserve"> שהיו ו"ק דידה כלולים בו"ק דידיה</w:t>
      </w:r>
      <w:r>
        <w:rPr>
          <w:rFonts w:hint="cs"/>
          <w:sz w:val="22"/>
          <w:szCs w:val="22"/>
          <w:rtl/>
        </w:rPr>
        <w:t>,</w:t>
      </w:r>
      <w:r w:rsidRPr="00BD5E91">
        <w:rPr>
          <w:sz w:val="22"/>
          <w:szCs w:val="22"/>
          <w:rtl/>
        </w:rPr>
        <w:t xml:space="preserve"> י"ב</w:t>
      </w:r>
      <w:r>
        <w:rPr>
          <w:rFonts w:hint="cs"/>
          <w:sz w:val="22"/>
          <w:szCs w:val="22"/>
          <w:rtl/>
        </w:rPr>
        <w:t>,</w:t>
      </w:r>
      <w:r w:rsidRPr="00BD5E91">
        <w:rPr>
          <w:sz w:val="22"/>
          <w:szCs w:val="22"/>
          <w:rtl/>
        </w:rPr>
        <w:t xml:space="preserve"> נגד זה י"ב פשוטות</w:t>
      </w:r>
      <w:r>
        <w:rPr>
          <w:rFonts w:hint="cs"/>
          <w:sz w:val="22"/>
          <w:szCs w:val="22"/>
          <w:rtl/>
        </w:rPr>
        <w:t>.</w:t>
      </w:r>
      <w:r w:rsidRPr="00BD5E91">
        <w:rPr>
          <w:sz w:val="22"/>
          <w:szCs w:val="22"/>
          <w:rtl/>
        </w:rPr>
        <w:t xml:space="preserve"> ואח"כ בקשרא תליתאה ז' כפולות והן נגד כל הע"ס כמו שעשר נקודים הן י"ס</w:t>
      </w:r>
      <w:r>
        <w:rPr>
          <w:rFonts w:hint="cs"/>
          <w:sz w:val="22"/>
          <w:szCs w:val="22"/>
          <w:rtl/>
        </w:rPr>
        <w:t>.</w:t>
      </w:r>
      <w:r w:rsidRPr="00BD5E91">
        <w:rPr>
          <w:sz w:val="22"/>
          <w:szCs w:val="22"/>
          <w:rtl/>
        </w:rPr>
        <w:t xml:space="preserve"> כן האותיות אמ"ש קשרא קדמאה כולל ג"ר בבינה כנ"ל</w:t>
      </w:r>
      <w:r>
        <w:rPr>
          <w:rFonts w:hint="cs"/>
          <w:sz w:val="22"/>
          <w:szCs w:val="22"/>
          <w:rtl/>
        </w:rPr>
        <w:t>.</w:t>
      </w:r>
      <w:r w:rsidRPr="00BD5E91">
        <w:rPr>
          <w:sz w:val="22"/>
          <w:szCs w:val="22"/>
          <w:rtl/>
        </w:rPr>
        <w:t xml:space="preserve"> י"ב פשוטות בקשרא תניינא</w:t>
      </w:r>
      <w:r>
        <w:rPr>
          <w:rFonts w:hint="cs"/>
          <w:sz w:val="22"/>
          <w:szCs w:val="22"/>
          <w:rtl/>
        </w:rPr>
        <w:t>,</w:t>
      </w:r>
      <w:r w:rsidRPr="00BD5E91">
        <w:rPr>
          <w:sz w:val="22"/>
          <w:szCs w:val="22"/>
          <w:rtl/>
        </w:rPr>
        <w:t xml:space="preserve"> לישן ו'</w:t>
      </w:r>
      <w:r>
        <w:rPr>
          <w:rFonts w:hint="cs"/>
          <w:sz w:val="22"/>
          <w:szCs w:val="22"/>
          <w:rtl/>
        </w:rPr>
        <w:t>,</w:t>
      </w:r>
      <w:r w:rsidRPr="00BD5E91">
        <w:rPr>
          <w:sz w:val="22"/>
          <w:szCs w:val="22"/>
          <w:rtl/>
        </w:rPr>
        <w:t xml:space="preserve"> קול יעקב כנ"ל</w:t>
      </w:r>
      <w:r>
        <w:rPr>
          <w:rFonts w:hint="cs"/>
          <w:sz w:val="22"/>
          <w:szCs w:val="22"/>
          <w:rtl/>
        </w:rPr>
        <w:t>.</w:t>
      </w:r>
      <w:r w:rsidRPr="00BD5E91">
        <w:rPr>
          <w:sz w:val="22"/>
          <w:szCs w:val="22"/>
          <w:rtl/>
        </w:rPr>
        <w:t xml:space="preserve"> ז' כפולות בקשרא תליתאה ששם נוקבא בת שבע שהיכלין דילה כפולין הן כידוע בסוד ההיכלות</w:t>
      </w:r>
      <w:r>
        <w:rPr>
          <w:rFonts w:hint="cs"/>
          <w:sz w:val="22"/>
          <w:szCs w:val="22"/>
          <w:rtl/>
        </w:rPr>
        <w:t>,</w:t>
      </w:r>
      <w:r w:rsidRPr="00BD5E91">
        <w:rPr>
          <w:sz w:val="22"/>
          <w:szCs w:val="22"/>
          <w:rtl/>
        </w:rPr>
        <w:t xml:space="preserve"> שבעה ושבעה מוצקות</w:t>
      </w:r>
      <w:r>
        <w:rPr>
          <w:rFonts w:hint="cs"/>
          <w:sz w:val="22"/>
          <w:szCs w:val="22"/>
          <w:rtl/>
        </w:rPr>
        <w:t>,</w:t>
      </w:r>
      <w:r w:rsidRPr="00BD5E91">
        <w:rPr>
          <w:sz w:val="22"/>
          <w:szCs w:val="22"/>
          <w:rtl/>
        </w:rPr>
        <w:t xml:space="preserve"> שבע' ימים ושבע' ימים</w:t>
      </w:r>
      <w:r>
        <w:rPr>
          <w:rFonts w:hint="cs"/>
          <w:sz w:val="22"/>
          <w:szCs w:val="22"/>
          <w:rtl/>
        </w:rPr>
        <w:t>,</w:t>
      </w:r>
      <w:r w:rsidRPr="00BD5E91">
        <w:rPr>
          <w:sz w:val="22"/>
          <w:szCs w:val="22"/>
          <w:rtl/>
        </w:rPr>
        <w:t xml:space="preserve"> וכן אם נקבה תלד וטמאה שבועים כו'</w:t>
      </w:r>
      <w:r>
        <w:rPr>
          <w:rFonts w:hint="cs"/>
          <w:sz w:val="22"/>
          <w:szCs w:val="22"/>
          <w:rtl/>
        </w:rPr>
        <w:t>,</w:t>
      </w:r>
      <w:r w:rsidRPr="00BD5E91">
        <w:rPr>
          <w:sz w:val="22"/>
          <w:szCs w:val="22"/>
          <w:rtl/>
        </w:rPr>
        <w:t xml:space="preserve"> וכמ"ש למטה ולכן קורא לג' אמ"ש אמות</w:t>
      </w:r>
      <w:r>
        <w:rPr>
          <w:rFonts w:hint="cs"/>
          <w:sz w:val="22"/>
          <w:szCs w:val="22"/>
          <w:rtl/>
        </w:rPr>
        <w:t>,</w:t>
      </w:r>
      <w:r w:rsidRPr="00BD5E91">
        <w:rPr>
          <w:sz w:val="22"/>
          <w:szCs w:val="22"/>
          <w:rtl/>
        </w:rPr>
        <w:t xml:space="preserve"> שמהם יוצא הכל והן באימא עילאה בקשרא קדמאה כנ"ל והיא כוללת ג"ר והג' אמ"ש הן כלל הכל כמ"ש שם שמים וארץ ואויר, שמים מאש וארץ ממים ואויר מרוח ובאדם ראש בטן גויה, ראש מאש בטן ממים גויה מרוח והן ג' נקודים חש"ח ראש בטן גויה כמ"ש בז"ח ש"ה ד' נ"ח ע"א בזמנא דנפקו נקודין לאנהרא לגופא עד האור כי טוב ואח"כ ששה נקודים בסוד הו"ק וחילופם אש במים כמ"ש שם והשתא אתחליפו ואתכלילו ימינא בשמאלא ושמאלא בימינא כו' ע"ש וז"ס ויחרקו שן שחירק הוא דרגא תליתאה דרגא דשן ועל סוד זה בנוי כל ספר יצירה</w:t>
      </w:r>
      <w:r>
        <w:rPr>
          <w:rFonts w:hint="cs"/>
          <w:sz w:val="22"/>
          <w:szCs w:val="22"/>
          <w:rtl/>
        </w:rPr>
        <w:t>,</w:t>
      </w:r>
      <w:r w:rsidRPr="00BD5E91">
        <w:rPr>
          <w:sz w:val="22"/>
          <w:szCs w:val="22"/>
          <w:rtl/>
        </w:rPr>
        <w:t xml:space="preserve"> שכל היצירות במאמר פיו כמ"ש (תהלים לג ו) בדבר ה' שמים נעשו וברוח פיו כל צבאם</w:t>
      </w:r>
      <w:r>
        <w:rPr>
          <w:rFonts w:hint="cs"/>
          <w:sz w:val="22"/>
          <w:szCs w:val="22"/>
          <w:rtl/>
        </w:rPr>
        <w:t>,</w:t>
      </w:r>
      <w:r w:rsidRPr="00BD5E91">
        <w:rPr>
          <w:sz w:val="22"/>
          <w:szCs w:val="22"/>
          <w:rtl/>
        </w:rPr>
        <w:t xml:space="preserve"> ומבאר האיך נתגלמו במאמר וברוח מנקודה עילאה עד ציור הדבור בחיתוך אתוון כמ"ש בפ' נח כנ"ל</w:t>
      </w:r>
      <w:r>
        <w:rPr>
          <w:rFonts w:hint="cs"/>
          <w:sz w:val="22"/>
          <w:szCs w:val="22"/>
          <w:rtl/>
        </w:rPr>
        <w:t>.</w:t>
      </w:r>
      <w:r w:rsidRPr="00BD5E91">
        <w:rPr>
          <w:sz w:val="22"/>
          <w:szCs w:val="22"/>
          <w:rtl/>
        </w:rPr>
        <w:t xml:space="preserve"> וכן מאמר של קו המדה והמאמר שבכאן ותחיל בראשית ע"ש</w:t>
      </w:r>
      <w:r>
        <w:rPr>
          <w:rFonts w:hint="cs"/>
          <w:sz w:val="22"/>
          <w:szCs w:val="22"/>
          <w:rtl/>
        </w:rPr>
        <w:t>.</w:t>
      </w:r>
      <w:r w:rsidRPr="00BD5E91">
        <w:rPr>
          <w:sz w:val="22"/>
          <w:szCs w:val="22"/>
          <w:rtl/>
        </w:rPr>
        <w:t xml:space="preserve"> וז"ס נשיקין</w:t>
      </w:r>
      <w:r>
        <w:rPr>
          <w:rFonts w:hint="cs"/>
          <w:sz w:val="22"/>
          <w:szCs w:val="22"/>
          <w:rtl/>
        </w:rPr>
        <w:t>,</w:t>
      </w:r>
      <w:r w:rsidRPr="00BD5E91">
        <w:rPr>
          <w:sz w:val="22"/>
          <w:szCs w:val="22"/>
          <w:rtl/>
        </w:rPr>
        <w:t xml:space="preserve"> זיווג עליון שכולל ע"ס וכל היצור ונגד זה זיווג גשמי ע"י יסוד קדישא וממנה כל הכלים של כל היצור והן כוללים ג"כ כל ע"ס וז"ש בס"י פ"א עשר ספירות בלימה כו'. וברית יחיד מכוון באמצע במלת הלשון ובמלת המעור שהם ב' הכוללים  לב' הזיווגים והן זיווג או"א זיווג נשיקין כמ"ש בס"ד פ"א שהלשון הוא המזווג לאו"א</w:t>
      </w:r>
      <w:r>
        <w:rPr>
          <w:rFonts w:hint="cs"/>
          <w:sz w:val="22"/>
          <w:szCs w:val="22"/>
          <w:rtl/>
        </w:rPr>
        <w:t>,</w:t>
      </w:r>
      <w:r w:rsidRPr="00BD5E91">
        <w:rPr>
          <w:sz w:val="22"/>
          <w:szCs w:val="22"/>
          <w:rtl/>
        </w:rPr>
        <w:t xml:space="preserve"> לישן ו' סתים כו' ע"ש</w:t>
      </w:r>
      <w:r>
        <w:rPr>
          <w:rFonts w:hint="cs"/>
          <w:sz w:val="22"/>
          <w:szCs w:val="22"/>
          <w:rtl/>
        </w:rPr>
        <w:t>.</w:t>
      </w:r>
      <w:r w:rsidRPr="00BD5E91">
        <w:rPr>
          <w:sz w:val="22"/>
          <w:szCs w:val="22"/>
          <w:rtl/>
        </w:rPr>
        <w:t xml:space="preserve"> והוא הדעת כמ"ש שם</w:t>
      </w:r>
      <w:r>
        <w:rPr>
          <w:rFonts w:hint="cs"/>
          <w:sz w:val="22"/>
          <w:szCs w:val="22"/>
          <w:rtl/>
        </w:rPr>
        <w:t>,</w:t>
      </w:r>
      <w:r w:rsidRPr="00BD5E91">
        <w:rPr>
          <w:sz w:val="22"/>
          <w:szCs w:val="22"/>
          <w:rtl/>
        </w:rPr>
        <w:t xml:space="preserve"> ועש"ה</w:t>
      </w:r>
      <w:r>
        <w:rPr>
          <w:rFonts w:hint="cs"/>
          <w:sz w:val="22"/>
          <w:szCs w:val="22"/>
          <w:rtl/>
        </w:rPr>
        <w:t>.</w:t>
      </w:r>
      <w:r w:rsidRPr="00BD5E91">
        <w:rPr>
          <w:sz w:val="22"/>
          <w:szCs w:val="22"/>
          <w:rtl/>
        </w:rPr>
        <w:t xml:space="preserve"> וזו"ן הם זיווג גופני</w:t>
      </w:r>
      <w:r>
        <w:rPr>
          <w:rFonts w:hint="cs"/>
          <w:sz w:val="22"/>
          <w:szCs w:val="22"/>
          <w:rtl/>
        </w:rPr>
        <w:t>.</w:t>
      </w:r>
      <w:r w:rsidRPr="00BD5E91">
        <w:rPr>
          <w:sz w:val="22"/>
          <w:szCs w:val="22"/>
          <w:rtl/>
        </w:rPr>
        <w:t xml:space="preserve"> וידוע שבדכורא הוא ה' חסדים ובנוק' ה' גבורות כמ"ש בא"ר ד' קמ"ב ע"א ע"ש</w:t>
      </w:r>
      <w:r>
        <w:rPr>
          <w:rFonts w:hint="cs"/>
          <w:sz w:val="22"/>
          <w:szCs w:val="22"/>
          <w:rtl/>
        </w:rPr>
        <w:t>.</w:t>
      </w:r>
      <w:r w:rsidRPr="00BD5E91">
        <w:rPr>
          <w:sz w:val="22"/>
          <w:szCs w:val="22"/>
          <w:rtl/>
        </w:rPr>
        <w:t xml:space="preserve"> דחו"ג בידים חג"ת כמ"ש בה"ת חכמה נחית בימינא דכהנא אימא נחית בשמאלא וזו"נ הם בנו"ה כמ"ש איהו בנצח ואיהי בהוד</w:t>
      </w:r>
      <w:r>
        <w:rPr>
          <w:rFonts w:hint="cs"/>
          <w:sz w:val="22"/>
          <w:szCs w:val="22"/>
          <w:rtl/>
        </w:rPr>
        <w:t>,</w:t>
      </w:r>
      <w:r w:rsidRPr="00BD5E91">
        <w:rPr>
          <w:sz w:val="22"/>
          <w:szCs w:val="22"/>
          <w:rtl/>
        </w:rPr>
        <w:t xml:space="preserve"> וז"ש בס"י במספר עשר אצבעות</w:t>
      </w:r>
      <w:r>
        <w:rPr>
          <w:rFonts w:hint="cs"/>
          <w:sz w:val="22"/>
          <w:szCs w:val="22"/>
          <w:rtl/>
        </w:rPr>
        <w:t>,</w:t>
      </w:r>
      <w:r w:rsidRPr="00BD5E91">
        <w:rPr>
          <w:sz w:val="22"/>
          <w:szCs w:val="22"/>
          <w:rtl/>
        </w:rPr>
        <w:t xml:space="preserve"> חמש כנגד חמש</w:t>
      </w:r>
      <w:r>
        <w:rPr>
          <w:rFonts w:hint="cs"/>
          <w:sz w:val="22"/>
          <w:szCs w:val="22"/>
          <w:rtl/>
        </w:rPr>
        <w:t>,</w:t>
      </w:r>
      <w:r w:rsidRPr="00BD5E91">
        <w:rPr>
          <w:sz w:val="22"/>
          <w:szCs w:val="22"/>
          <w:rtl/>
        </w:rPr>
        <w:t xml:space="preserve"> וברית יחיד כו' המזווגם</w:t>
      </w:r>
      <w:r>
        <w:rPr>
          <w:rFonts w:hint="cs"/>
          <w:sz w:val="22"/>
          <w:szCs w:val="22"/>
          <w:rtl/>
        </w:rPr>
        <w:t>,</w:t>
      </w:r>
      <w:r w:rsidRPr="00BD5E91">
        <w:rPr>
          <w:sz w:val="22"/>
          <w:szCs w:val="22"/>
          <w:rtl/>
        </w:rPr>
        <w:t xml:space="preserve"> לשון ומעור</w:t>
      </w:r>
      <w:r>
        <w:rPr>
          <w:rFonts w:hint="cs"/>
          <w:sz w:val="22"/>
          <w:szCs w:val="22"/>
          <w:rtl/>
        </w:rPr>
        <w:t>.</w:t>
      </w:r>
      <w:r w:rsidRPr="00BD5E91">
        <w:rPr>
          <w:sz w:val="22"/>
          <w:szCs w:val="22"/>
          <w:rtl/>
        </w:rPr>
        <w:t xml:space="preserve"> וכן הוא באדם הגשמי שכל דיבור נעשה ממנו רוחני וכמ"ש (ישעיהו נא טז) לנטוע שמים וליסוד ארץ וכמ"ש בהקד' הזוהר ובונה שמים וארץ רוחנים והן ע"י קול ודיבור שהן שמים וארץ כנ"ל וכן ח"ו להיפוך כמש"ש</w:t>
      </w:r>
      <w:r>
        <w:rPr>
          <w:rFonts w:hint="cs"/>
          <w:sz w:val="22"/>
          <w:szCs w:val="22"/>
          <w:rtl/>
        </w:rPr>
        <w:t>.</w:t>
      </w:r>
      <w:r w:rsidRPr="00BD5E91">
        <w:rPr>
          <w:sz w:val="22"/>
          <w:szCs w:val="22"/>
          <w:rtl/>
        </w:rPr>
        <w:t xml:space="preserve"> וע"י זיווג גשמי מוליד גשמי</w:t>
      </w:r>
      <w:r>
        <w:rPr>
          <w:rFonts w:hint="cs"/>
          <w:sz w:val="22"/>
          <w:szCs w:val="22"/>
          <w:rtl/>
        </w:rPr>
        <w:t>.</w:t>
      </w:r>
      <w:r w:rsidRPr="00BD5E91">
        <w:rPr>
          <w:sz w:val="22"/>
          <w:szCs w:val="22"/>
          <w:rtl/>
        </w:rPr>
        <w:t xml:space="preserve"> וסודן של כ"ב הוא ע"י ז' דגולגלתא וי"ג תיקוני דיקנא קדישא שהן י"ב תיקונים וי"ג כולל הכל וכמ"ש בא"ז עש"ב ואמר שם רפ"ט ע"ב</w:t>
      </w:r>
      <w:r>
        <w:rPr>
          <w:rFonts w:hint="cs"/>
          <w:sz w:val="22"/>
          <w:szCs w:val="22"/>
          <w:rtl/>
        </w:rPr>
        <w:t>,</w:t>
      </w:r>
      <w:r w:rsidRPr="00BD5E91">
        <w:rPr>
          <w:sz w:val="22"/>
          <w:szCs w:val="22"/>
          <w:rtl/>
        </w:rPr>
        <w:t xml:space="preserve"> ג' רישין דאמינא כו' בהאי מזלא כו' אלין אתוון דתליין בהאי עתיקא כו' בהאי מזלא</w:t>
      </w:r>
      <w:r>
        <w:rPr>
          <w:rFonts w:hint="cs"/>
          <w:sz w:val="22"/>
          <w:szCs w:val="22"/>
          <w:rtl/>
        </w:rPr>
        <w:t>,</w:t>
      </w:r>
      <w:r w:rsidRPr="00BD5E91">
        <w:rPr>
          <w:sz w:val="22"/>
          <w:szCs w:val="22"/>
          <w:rtl/>
        </w:rPr>
        <w:t xml:space="preserve"> והן ג' אותיות יה"ו כמ"ש ע"א ע"ש</w:t>
      </w:r>
      <w:r>
        <w:rPr>
          <w:rFonts w:hint="cs"/>
          <w:sz w:val="22"/>
          <w:szCs w:val="22"/>
          <w:rtl/>
        </w:rPr>
        <w:t>,</w:t>
      </w:r>
      <w:r w:rsidRPr="00BD5E91">
        <w:rPr>
          <w:sz w:val="22"/>
          <w:szCs w:val="22"/>
          <w:rtl/>
        </w:rPr>
        <w:t xml:space="preserve"> והן ג' אמ"ש</w:t>
      </w:r>
      <w:r>
        <w:rPr>
          <w:rFonts w:hint="cs"/>
          <w:sz w:val="22"/>
          <w:szCs w:val="22"/>
          <w:rtl/>
        </w:rPr>
        <w:t>.</w:t>
      </w:r>
      <w:r w:rsidRPr="00BD5E91">
        <w:rPr>
          <w:sz w:val="22"/>
          <w:szCs w:val="22"/>
          <w:rtl/>
        </w:rPr>
        <w:t xml:space="preserve"> ואמר שם ממזלא יקירא אתנהירו ג' רישין עילאין כו' והן חב"ד כמ"ש והן אמ"ש כידוע וכמש"ל והן מתחלקין ג' אמ"ש במזלא שהוא כולל הכל כנ"ל</w:t>
      </w:r>
      <w:r>
        <w:rPr>
          <w:rFonts w:hint="cs"/>
          <w:sz w:val="22"/>
          <w:szCs w:val="22"/>
          <w:rtl/>
        </w:rPr>
        <w:t>.</w:t>
      </w:r>
      <w:r w:rsidRPr="00BD5E91">
        <w:rPr>
          <w:sz w:val="22"/>
          <w:szCs w:val="22"/>
          <w:rtl/>
        </w:rPr>
        <w:t xml:space="preserve"> וי"ב פשוטות בי"ב תיקונים וז' בז' דגולגלתא</w:t>
      </w:r>
      <w:r>
        <w:rPr>
          <w:rFonts w:hint="cs"/>
          <w:sz w:val="22"/>
          <w:szCs w:val="22"/>
          <w:rtl/>
        </w:rPr>
        <w:t>.</w:t>
      </w:r>
      <w:r w:rsidRPr="00BD5E91">
        <w:rPr>
          <w:sz w:val="22"/>
          <w:szCs w:val="22"/>
          <w:rtl/>
        </w:rPr>
        <w:t xml:space="preserve"> ועיין בס"ד פ"ב בזמנא דמטי ירחא שביעאה משתכחו ירחי אלין תריסר כו' שהן י"ב דאתעכב תמן כנ"ל וירחא שביעאה היא אימא עילאה כידוע וכנגדן הן בולד ג' ימי קליטה</w:t>
      </w:r>
      <w:r>
        <w:rPr>
          <w:rFonts w:hint="cs"/>
          <w:sz w:val="22"/>
          <w:szCs w:val="22"/>
          <w:rtl/>
        </w:rPr>
        <w:t>,</w:t>
      </w:r>
      <w:r w:rsidRPr="00BD5E91">
        <w:rPr>
          <w:sz w:val="22"/>
          <w:szCs w:val="22"/>
          <w:rtl/>
        </w:rPr>
        <w:t xml:space="preserve"> כלל הכל</w:t>
      </w:r>
      <w:r>
        <w:rPr>
          <w:rFonts w:hint="cs"/>
          <w:sz w:val="22"/>
          <w:szCs w:val="22"/>
          <w:rtl/>
        </w:rPr>
        <w:t>,</w:t>
      </w:r>
      <w:r w:rsidRPr="00BD5E91">
        <w:rPr>
          <w:sz w:val="22"/>
          <w:szCs w:val="22"/>
          <w:rtl/>
        </w:rPr>
        <w:t xml:space="preserve"> וי"ב חדשים דאשתהי הוולד</w:t>
      </w:r>
      <w:r>
        <w:rPr>
          <w:rFonts w:hint="cs"/>
          <w:sz w:val="22"/>
          <w:szCs w:val="22"/>
          <w:rtl/>
        </w:rPr>
        <w:t>,</w:t>
      </w:r>
      <w:r w:rsidRPr="00BD5E91">
        <w:rPr>
          <w:sz w:val="22"/>
          <w:szCs w:val="22"/>
          <w:rtl/>
        </w:rPr>
        <w:t xml:space="preserve"> וז' ימים תחת אמו</w:t>
      </w:r>
      <w:r>
        <w:rPr>
          <w:rFonts w:hint="cs"/>
          <w:sz w:val="22"/>
          <w:szCs w:val="22"/>
          <w:rtl/>
        </w:rPr>
        <w:t>.</w:t>
      </w:r>
      <w:r w:rsidRPr="00BD5E91">
        <w:rPr>
          <w:sz w:val="22"/>
          <w:szCs w:val="22"/>
          <w:rtl/>
        </w:rPr>
        <w:t xml:space="preserve"> וכלל הזיווג הרוחני הוא נגדן בזיווג התחתון וכן אצטיירן באדם כמ"ש בז"ח ש"ה ד' נ"ח בנקודות וכן באותיות באינון שיתין שייפין ותריסר פרקין וע"ש</w:t>
      </w:r>
      <w:r>
        <w:rPr>
          <w:rFonts w:hint="cs"/>
          <w:sz w:val="22"/>
          <w:szCs w:val="22"/>
          <w:rtl/>
        </w:rPr>
        <w:t>.</w:t>
      </w:r>
      <w:r w:rsidRPr="00BD5E91">
        <w:rPr>
          <w:sz w:val="22"/>
          <w:szCs w:val="22"/>
          <w:rtl/>
        </w:rPr>
        <w:t xml:space="preserve"> וכ"ה בעולם ושנה</w:t>
      </w:r>
      <w:r>
        <w:rPr>
          <w:rFonts w:hint="cs"/>
          <w:sz w:val="22"/>
          <w:szCs w:val="22"/>
          <w:rtl/>
        </w:rPr>
        <w:t>,</w:t>
      </w:r>
      <w:r w:rsidRPr="00BD5E91">
        <w:rPr>
          <w:sz w:val="22"/>
          <w:szCs w:val="22"/>
          <w:rtl/>
        </w:rPr>
        <w:t xml:space="preserve"> ובכ"ד כידוע</w:t>
      </w:r>
      <w:r>
        <w:rPr>
          <w:rFonts w:hint="cs"/>
          <w:sz w:val="22"/>
          <w:szCs w:val="22"/>
          <w:rtl/>
        </w:rPr>
        <w:t>.</w:t>
      </w:r>
      <w:r w:rsidRPr="00BD5E91">
        <w:rPr>
          <w:sz w:val="22"/>
          <w:szCs w:val="22"/>
          <w:rtl/>
        </w:rPr>
        <w:t xml:space="preserve"> וענין הי"ב ירחין על הששה שהן י"ג נקודות שאמר בת"ז דט' נקודין הן שיתסר ובהסתלקו משם חש"ח נשארו י"ג נקודין ועיין בז"ח ש"ה האיך נצטיירו הנקודות בז"א בב' דרועין סגול וצירי ובהתחלפם קמץ ופתח שבא שורק בלא ו' בנוק' בהתדבקותה בדכורא ונצטיירו בדעתה שהן חו"ג ונ"ל שהן נגד ירכין ששם נדבקת הנוק' ושם דעתה וכל קו האמצעי הן ג' נקודות חש"ח כנ"ל וכן נגד חו"ב הן קמץ ופתח שנתחלפו בדרועין ובנוקבא ג' של קו האמצעי שלה שהם כלל הגוף הן ג' חטפין כמ"ש שם וחסר שם חטף פתח במאמר תוצא הארץ ולפי מה שחשיב כאן עשר נקודות וא' טמירא ולא חשיב שבא שעיקר השבא בה והן גבורות דידה לכן הם מהירין יותר מת"ק שהן גבורות שלו שהן יותר ממותקין והן ט' בז"א וד' בנוקבא כידוע בסוד ט' תיקונים בז"א וד' בנוקבא והן סימני ההולדה לכן חשיב בגמ' סימני סריס ט' וסימני איילונית ד' שהן מחוסרין סימני ההולדה וכן תיקוני דיקנא כמ"ש בס"ד פ"ב עשב מזריע זרע על תיקוני דיקנא עש"ה:</w:t>
      </w:r>
    </w:p>
  </w:footnote>
  <w:footnote w:id="705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דעשרין ותרין שורין.</w:t>
      </w:r>
      <w:r w:rsidRPr="00BD5E91">
        <w:rPr>
          <w:sz w:val="22"/>
          <w:szCs w:val="22"/>
          <w:rtl/>
        </w:rPr>
        <w:t xml:space="preserve"> ונגדן הן ל"ב שינים</w:t>
      </w:r>
      <w:r>
        <w:rPr>
          <w:rFonts w:hint="cs"/>
          <w:sz w:val="22"/>
          <w:szCs w:val="22"/>
          <w:rtl/>
        </w:rPr>
        <w:t>,</w:t>
      </w:r>
      <w:r w:rsidRPr="00BD5E91">
        <w:rPr>
          <w:sz w:val="22"/>
          <w:szCs w:val="22"/>
          <w:rtl/>
        </w:rPr>
        <w:t xml:space="preserve"> כ"ב וי' כנ"ל</w:t>
      </w:r>
      <w:r>
        <w:rPr>
          <w:rFonts w:hint="cs"/>
          <w:sz w:val="22"/>
          <w:szCs w:val="22"/>
          <w:rtl/>
        </w:rPr>
        <w:t>.</w:t>
      </w:r>
      <w:r w:rsidRPr="00BD5E91">
        <w:rPr>
          <w:sz w:val="22"/>
          <w:szCs w:val="22"/>
          <w:rtl/>
        </w:rPr>
        <w:t xml:space="preserve"> וי' הן עיקרן ה' למעלה וה' למטה:</w:t>
      </w:r>
    </w:p>
  </w:footnote>
  <w:footnote w:id="705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ההוא קלא אשתכך כו'.</w:t>
      </w:r>
      <w:r w:rsidRPr="00BD5E91">
        <w:rPr>
          <w:sz w:val="22"/>
          <w:szCs w:val="22"/>
          <w:rtl/>
        </w:rPr>
        <w:t xml:space="preserve"> שהקול אין נשמע רק מלה והקול נסתתר לגו מלה סוד וה' בהיכל קדשו מלכא בהיכלי':</w:t>
      </w:r>
    </w:p>
  </w:footnote>
  <w:footnote w:id="705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בשיעורא.</w:t>
      </w:r>
      <w:r w:rsidRPr="00BD5E91">
        <w:rPr>
          <w:sz w:val="22"/>
          <w:szCs w:val="22"/>
          <w:rtl/>
        </w:rPr>
        <w:t xml:space="preserve"> שיעור חיתוך האותיות והוא שיעור דבוצינא כנ"ל:</w:t>
      </w:r>
    </w:p>
  </w:footnote>
  <w:footnote w:id="705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גו תהומא.</w:t>
      </w:r>
      <w:r w:rsidRPr="00BD5E91">
        <w:rPr>
          <w:sz w:val="22"/>
          <w:szCs w:val="22"/>
          <w:rtl/>
        </w:rPr>
        <w:t xml:space="preserve"> ר"ל חלל הפה שהוא סוד הבינה עם הגרון שכללם הוא סוד הבינה</w:t>
      </w:r>
      <w:r>
        <w:rPr>
          <w:rFonts w:hint="cs"/>
          <w:sz w:val="22"/>
          <w:szCs w:val="22"/>
          <w:rtl/>
        </w:rPr>
        <w:t>.</w:t>
      </w:r>
      <w:r w:rsidRPr="00BD5E91">
        <w:rPr>
          <w:sz w:val="22"/>
          <w:szCs w:val="22"/>
          <w:rtl/>
        </w:rPr>
        <w:t xml:space="preserve"> והלשון הוא סוד הדעת סתים לגרון כמ"ש בס"ד שתא נפקין כו' לישן ממלל רברבין לישן דא סתים בין יו"ד וה"א דכתיב זה יאמר כו' בלישן סתים לאימא דהא אתפתחת ליה דנפיק מינה כו'</w:t>
      </w:r>
      <w:r>
        <w:rPr>
          <w:rFonts w:hint="cs"/>
          <w:sz w:val="22"/>
          <w:szCs w:val="22"/>
          <w:rtl/>
        </w:rPr>
        <w:t>.</w:t>
      </w:r>
      <w:r w:rsidRPr="00BD5E91">
        <w:rPr>
          <w:sz w:val="22"/>
          <w:szCs w:val="22"/>
          <w:rtl/>
        </w:rPr>
        <w:t xml:space="preserve"> ומוחא הוא חכמה</w:t>
      </w:r>
      <w:r>
        <w:rPr>
          <w:rFonts w:hint="cs"/>
          <w:sz w:val="22"/>
          <w:szCs w:val="22"/>
          <w:rtl/>
        </w:rPr>
        <w:t>,</w:t>
      </w:r>
      <w:r w:rsidRPr="00BD5E91">
        <w:rPr>
          <w:sz w:val="22"/>
          <w:szCs w:val="22"/>
          <w:rtl/>
        </w:rPr>
        <w:t xml:space="preserve"> וחיך סיומא דמוחא</w:t>
      </w:r>
      <w:r>
        <w:rPr>
          <w:rFonts w:hint="cs"/>
          <w:sz w:val="22"/>
          <w:szCs w:val="22"/>
          <w:rtl/>
        </w:rPr>
        <w:t>.</w:t>
      </w:r>
      <w:r w:rsidRPr="00BD5E91">
        <w:rPr>
          <w:sz w:val="22"/>
          <w:szCs w:val="22"/>
          <w:rtl/>
        </w:rPr>
        <w:t xml:space="preserve"> וחו"ב נקרא ים ותהום</w:t>
      </w:r>
      <w:r>
        <w:rPr>
          <w:rFonts w:hint="cs"/>
          <w:sz w:val="22"/>
          <w:szCs w:val="22"/>
          <w:rtl/>
        </w:rPr>
        <w:t>,</w:t>
      </w:r>
      <w:r w:rsidRPr="00BD5E91">
        <w:rPr>
          <w:sz w:val="22"/>
          <w:szCs w:val="22"/>
          <w:rtl/>
        </w:rPr>
        <w:t xml:space="preserve"> והדעת גניז גו תהום כמ"ש בא"ז בדעתו תהומות נבקעו שהוא פטר רחם דילה וז"ש בפ' משפטים קכ"ז א' דעת גניז בפומא דמלכא</w:t>
      </w:r>
      <w:r>
        <w:rPr>
          <w:rFonts w:hint="cs"/>
          <w:sz w:val="22"/>
          <w:szCs w:val="22"/>
          <w:rtl/>
        </w:rPr>
        <w:t>.</w:t>
      </w:r>
      <w:r w:rsidRPr="00BD5E91">
        <w:rPr>
          <w:sz w:val="22"/>
          <w:szCs w:val="22"/>
          <w:rtl/>
        </w:rPr>
        <w:t xml:space="preserve"> ונקרא בינה ג"כ שופר כי בגרון הוא צר שם בסוד מן המצר ובסוד מצרים כידוע</w:t>
      </w:r>
      <w:r>
        <w:rPr>
          <w:rFonts w:hint="cs"/>
          <w:sz w:val="22"/>
          <w:szCs w:val="22"/>
          <w:rtl/>
        </w:rPr>
        <w:t>,</w:t>
      </w:r>
      <w:r w:rsidRPr="00BD5E91">
        <w:rPr>
          <w:sz w:val="22"/>
          <w:szCs w:val="22"/>
          <w:rtl/>
        </w:rPr>
        <w:t xml:space="preserve"> ובפה הוא ענני במרחב י"ה לכן נקרא שופר</w:t>
      </w:r>
      <w:r>
        <w:rPr>
          <w:rFonts w:hint="cs"/>
          <w:sz w:val="22"/>
          <w:szCs w:val="22"/>
          <w:rtl/>
        </w:rPr>
        <w:t>.</w:t>
      </w:r>
      <w:r w:rsidRPr="00BD5E91">
        <w:rPr>
          <w:sz w:val="22"/>
          <w:szCs w:val="22"/>
          <w:rtl/>
        </w:rPr>
        <w:t xml:space="preserve"> והקול קלא דנפיק ואמרו בזוהר דקלא דנפיק משופר כלול בג' גוונין אמ"ש והוא הג' גוונין כנ"ל וכמ"ש בפ' נח ד' ט"ו ע"ב במאמר הנ"ל ומתמן נפקו אשא ורוחא ומיא כלילן כחדא ונפיק יעקב גבר שלים ואיהו קול חד נפיק ואשתמע ע"ש</w:t>
      </w:r>
      <w:r>
        <w:rPr>
          <w:rFonts w:hint="cs"/>
          <w:sz w:val="22"/>
          <w:szCs w:val="22"/>
          <w:rtl/>
        </w:rPr>
        <w:t>.</w:t>
      </w:r>
      <w:r w:rsidRPr="00BD5E91">
        <w:rPr>
          <w:sz w:val="22"/>
          <w:szCs w:val="22"/>
          <w:rtl/>
        </w:rPr>
        <w:t xml:space="preserve"> וז"ס והארץ היתה תהו ובהו שהם ג' גוונין הנ"ל דאחזו גוון ולא גוון עד דאצטבעו גוונין</w:t>
      </w:r>
      <w:r>
        <w:rPr>
          <w:rFonts w:hint="cs"/>
          <w:sz w:val="22"/>
          <w:szCs w:val="22"/>
          <w:rtl/>
        </w:rPr>
        <w:t>.</w:t>
      </w:r>
      <w:r w:rsidRPr="00BD5E91">
        <w:rPr>
          <w:sz w:val="22"/>
          <w:szCs w:val="22"/>
          <w:rtl/>
        </w:rPr>
        <w:t xml:space="preserve"> ואמרו בתי' תהו גוון ירוק כו' ג' גוונין</w:t>
      </w:r>
      <w:r>
        <w:rPr>
          <w:rFonts w:hint="cs"/>
          <w:sz w:val="22"/>
          <w:szCs w:val="22"/>
          <w:rtl/>
        </w:rPr>
        <w:t>,</w:t>
      </w:r>
      <w:r w:rsidRPr="00BD5E91">
        <w:rPr>
          <w:sz w:val="22"/>
          <w:szCs w:val="22"/>
          <w:rtl/>
        </w:rPr>
        <w:t xml:space="preserve"> והן גוונין דלא נהירין והן על פני תהום כמ"ש כאן גו תהומא</w:t>
      </w:r>
      <w:r>
        <w:rPr>
          <w:rFonts w:hint="cs"/>
          <w:sz w:val="22"/>
          <w:szCs w:val="22"/>
          <w:rtl/>
        </w:rPr>
        <w:t>.</w:t>
      </w:r>
      <w:r w:rsidRPr="00BD5E91">
        <w:rPr>
          <w:sz w:val="22"/>
          <w:szCs w:val="22"/>
          <w:rtl/>
        </w:rPr>
        <w:t xml:space="preserve"> ובתחלה הן ע"פ תהום בגרון דב"נ כנ"ל שם שני בתלת גוונין כנ"ל ורוח אלקים הוא רוח חיים דנביעו עד דנציצו אחזי בהו גווני ואצ</w:t>
      </w:r>
      <w:r>
        <w:rPr>
          <w:rFonts w:hint="cs"/>
          <w:sz w:val="22"/>
          <w:szCs w:val="22"/>
          <w:rtl/>
        </w:rPr>
        <w:t>ט</w:t>
      </w:r>
      <w:r w:rsidRPr="00BD5E91">
        <w:rPr>
          <w:sz w:val="22"/>
          <w:szCs w:val="22"/>
          <w:rtl/>
        </w:rPr>
        <w:t>בעו כלהו כחדא חיוור כו' כמ"ש לעיל במאמר קו המדה וזהו ויאמר אלקים יהי אור כמ"ש בתי' ה'</w:t>
      </w:r>
      <w:r>
        <w:rPr>
          <w:rFonts w:hint="cs"/>
          <w:sz w:val="22"/>
          <w:szCs w:val="22"/>
          <w:rtl/>
        </w:rPr>
        <w:t>,</w:t>
      </w:r>
      <w:r w:rsidRPr="00BD5E91">
        <w:rPr>
          <w:sz w:val="22"/>
          <w:szCs w:val="22"/>
          <w:rtl/>
        </w:rPr>
        <w:t xml:space="preserve"> קוטרא בגולמא כו' ואיהו לא חיוור כו' וכד אתפשטת לאנהרא איהי עבידת גוונין לאנהרא כו</w:t>
      </w:r>
      <w:r>
        <w:rPr>
          <w:rFonts w:hint="cs"/>
          <w:sz w:val="22"/>
          <w:szCs w:val="22"/>
          <w:rtl/>
        </w:rPr>
        <w:t>'</w:t>
      </w:r>
      <w:r w:rsidRPr="00BD5E91">
        <w:rPr>
          <w:sz w:val="22"/>
          <w:szCs w:val="22"/>
          <w:rtl/>
        </w:rPr>
        <w:t xml:space="preserve"> ודא איהי ויאמר אלקים יהי אור כו' והן ד' גוונין כנ"ל ונקודה אמצעית דאיהי סתימא הוא ה'</w:t>
      </w:r>
      <w:r>
        <w:rPr>
          <w:rFonts w:hint="cs"/>
          <w:sz w:val="22"/>
          <w:szCs w:val="22"/>
          <w:rtl/>
        </w:rPr>
        <w:t>,</w:t>
      </w:r>
      <w:r w:rsidRPr="00BD5E91">
        <w:rPr>
          <w:sz w:val="22"/>
          <w:szCs w:val="22"/>
          <w:rtl/>
        </w:rPr>
        <w:t xml:space="preserve"> וז"ס ד' על י' וכמ"ש בסוף תי"ח האי נקודה כו' אתלבשת בגוונין ד' בהיכלא עילאה</w:t>
      </w:r>
      <w:r>
        <w:rPr>
          <w:rFonts w:hint="cs"/>
          <w:sz w:val="22"/>
          <w:szCs w:val="22"/>
          <w:rtl/>
        </w:rPr>
        <w:t>,</w:t>
      </w:r>
      <w:r w:rsidRPr="00BD5E91">
        <w:rPr>
          <w:sz w:val="22"/>
          <w:szCs w:val="22"/>
          <w:rtl/>
        </w:rPr>
        <w:t xml:space="preserve"> איהי מדיד ה' גוונין כו' מי מדד בשעלו כו' דא סליק כו' כולהו נקודי כגלי ימא כו' איהי בארבע כו'</w:t>
      </w:r>
      <w:r>
        <w:rPr>
          <w:rFonts w:hint="cs"/>
          <w:sz w:val="22"/>
          <w:szCs w:val="22"/>
          <w:rtl/>
        </w:rPr>
        <w:t>.</w:t>
      </w:r>
      <w:r w:rsidRPr="00BD5E91">
        <w:rPr>
          <w:sz w:val="22"/>
          <w:szCs w:val="22"/>
          <w:rtl/>
        </w:rPr>
        <w:t xml:space="preserve"> ובז"ח בס"ת דף ה' ע"ג רזא דה"א אינון ד' ואלין ד' כו' עד נקודה דשריא באמצעיתא אתעביד ה"א ואמר שם בתיקונים במאמר הנ"ל ואינון כחוטא חיוורא כו' שהן ה' גוונין</w:t>
      </w:r>
      <w:r>
        <w:rPr>
          <w:rFonts w:hint="cs"/>
          <w:sz w:val="22"/>
          <w:szCs w:val="22"/>
          <w:rtl/>
        </w:rPr>
        <w:t>,</w:t>
      </w:r>
      <w:r w:rsidRPr="00BD5E91">
        <w:rPr>
          <w:sz w:val="22"/>
          <w:szCs w:val="22"/>
          <w:rtl/>
        </w:rPr>
        <w:t xml:space="preserve"> ד' גוונין הנ"ל ועוד גוון תכלת שהוא כולל הכל והוא נגד הכסא שמתייחד עם האצילות וז"ש ופרשו עליו בגד תכלת והוא תכלת שבציצית כמ"ש (מנחות מג ע"ב) ציצית דומה כו' כידוע ושם תכלית הכל כמ"ש בזוהר וז"ש שם ובזוהר פ' בראשית (ט"ו א') בוצינא דקרדינותא לא חיוור כו' ולא גוון כלל הוא רומז על גוון החמישי</w:t>
      </w:r>
      <w:r>
        <w:rPr>
          <w:rFonts w:hint="cs"/>
          <w:sz w:val="22"/>
          <w:szCs w:val="22"/>
          <w:rtl/>
        </w:rPr>
        <w:t>.</w:t>
      </w:r>
      <w:r w:rsidRPr="00BD5E91">
        <w:rPr>
          <w:sz w:val="22"/>
          <w:szCs w:val="22"/>
          <w:rtl/>
        </w:rPr>
        <w:t xml:space="preserve"> וד' גוונין הן ד' אותיות השם כמ"ש בזוהר במאמר קו המדה ד' מ"ו ע"א וע"ב כדין רשים כו' חיוור כו' ואלין אינון גוונין ארבע כו' ואתוון יקו"ק כו' ע"ש</w:t>
      </w:r>
      <w:r>
        <w:rPr>
          <w:rFonts w:hint="cs"/>
          <w:sz w:val="22"/>
          <w:szCs w:val="22"/>
          <w:rtl/>
        </w:rPr>
        <w:t>.</w:t>
      </w:r>
      <w:r w:rsidRPr="00BD5E91">
        <w:rPr>
          <w:sz w:val="22"/>
          <w:szCs w:val="22"/>
          <w:rtl/>
        </w:rPr>
        <w:t xml:space="preserve"> וגוון ה' הוא אלקים כליל מכל ה' גוונין נגד ה' אותיות כמ"ש בהת"ז דף ד' ע"א בחמשה לחודש דא את ה' דאיהי אלקים כנוי לשם הוי"ה ואיהי כרסיא כו'</w:t>
      </w:r>
      <w:r>
        <w:rPr>
          <w:rFonts w:hint="cs"/>
          <w:sz w:val="22"/>
          <w:szCs w:val="22"/>
          <w:rtl/>
        </w:rPr>
        <w:t>.</w:t>
      </w:r>
      <w:r w:rsidRPr="00BD5E91">
        <w:rPr>
          <w:sz w:val="22"/>
          <w:szCs w:val="22"/>
          <w:rtl/>
        </w:rPr>
        <w:t xml:space="preserve"> ובאצילות הוא נגד הכתר שהוא כסא לא"ס כמ"ש שם ואיהי כתר עליון חמשאה לארבע כו' ע"ש</w:t>
      </w:r>
      <w:r>
        <w:rPr>
          <w:rFonts w:hint="cs"/>
          <w:sz w:val="22"/>
          <w:szCs w:val="22"/>
          <w:rtl/>
        </w:rPr>
        <w:t>.</w:t>
      </w:r>
      <w:r w:rsidRPr="00BD5E91">
        <w:rPr>
          <w:sz w:val="22"/>
          <w:szCs w:val="22"/>
          <w:rtl/>
        </w:rPr>
        <w:t xml:space="preserve"> ומשמע בתי' י"ח שם דאינון ד' גוונין שהן ד' נקודין נתפשטו לעשר נקודין</w:t>
      </w:r>
      <w:r>
        <w:rPr>
          <w:rFonts w:hint="cs"/>
          <w:sz w:val="22"/>
          <w:szCs w:val="22"/>
          <w:rtl/>
        </w:rPr>
        <w:t>,</w:t>
      </w:r>
      <w:r w:rsidRPr="00BD5E91">
        <w:rPr>
          <w:sz w:val="22"/>
          <w:szCs w:val="22"/>
          <w:rtl/>
        </w:rPr>
        <w:t xml:space="preserve"> שד' נקודות הן הוי"ה ובמלואו הוא עשר כמש"ש איהו בארבע וסליקו בעשר כו' אלין אינון ד' גוונין כו' ע"ש</w:t>
      </w:r>
      <w:r>
        <w:rPr>
          <w:rFonts w:hint="cs"/>
          <w:sz w:val="22"/>
          <w:szCs w:val="22"/>
          <w:rtl/>
        </w:rPr>
        <w:t>.</w:t>
      </w:r>
      <w:r w:rsidRPr="00BD5E91">
        <w:rPr>
          <w:sz w:val="22"/>
          <w:szCs w:val="22"/>
          <w:rtl/>
        </w:rPr>
        <w:t xml:space="preserve"> ואמר שם דא סליק באוירא ודא אזיל לצפונא כלהו נקודי כגלי ימא דא סליק כו' אלין גלגלין כלהו סחרין כו' ור"ל נקודה אמצעית של ה"א שהוא חכמה סליק באוירא לא"ס כמש"ל וד' נקודות דהיכלא עילאה הן גלי ימא דא אזיל כו' וז"ש כאן לתברא גלוי דימא הן ד' נקודות שיוצאים מחכמה שנק' ים כנ"ל ואע"פ שאמר שם ד' רוחות וד' נקודות וכאן לא כתב אלא ג' רוחות</w:t>
      </w:r>
      <w:r>
        <w:rPr>
          <w:rFonts w:hint="cs"/>
          <w:sz w:val="22"/>
          <w:szCs w:val="22"/>
          <w:rtl/>
        </w:rPr>
        <w:t>,</w:t>
      </w:r>
      <w:r w:rsidRPr="00BD5E91">
        <w:rPr>
          <w:sz w:val="22"/>
          <w:szCs w:val="22"/>
          <w:rtl/>
        </w:rPr>
        <w:t xml:space="preserve"> כתבתי לעיל כי עיקרן הן ג' גוונין שהן אמ"ש והן חב"ד אמות כמש"ל ושני בתלת גוונין</w:t>
      </w:r>
      <w:r>
        <w:rPr>
          <w:rFonts w:hint="cs"/>
          <w:sz w:val="22"/>
          <w:szCs w:val="22"/>
          <w:rtl/>
        </w:rPr>
        <w:t>,</w:t>
      </w:r>
      <w:r w:rsidRPr="00BD5E91">
        <w:rPr>
          <w:sz w:val="22"/>
          <w:szCs w:val="22"/>
          <w:rtl/>
        </w:rPr>
        <w:t xml:space="preserve"> ובת זוגו כלולה עמו כי דעת כולל חו"ג זו"נ ונכלל בא' בדעת</w:t>
      </w:r>
      <w:r>
        <w:rPr>
          <w:rFonts w:hint="cs"/>
          <w:sz w:val="22"/>
          <w:szCs w:val="22"/>
          <w:rtl/>
        </w:rPr>
        <w:t>.</w:t>
      </w:r>
      <w:r w:rsidRPr="00BD5E91">
        <w:rPr>
          <w:sz w:val="22"/>
          <w:szCs w:val="22"/>
          <w:rtl/>
        </w:rPr>
        <w:t xml:space="preserve"> וז"ש הולך אל דרום וסובב אל צפון והן חו"ב</w:t>
      </w:r>
      <w:r>
        <w:rPr>
          <w:rFonts w:hint="cs"/>
          <w:sz w:val="22"/>
          <w:szCs w:val="22"/>
          <w:rtl/>
        </w:rPr>
        <w:t>,</w:t>
      </w:r>
      <w:r w:rsidRPr="00BD5E91">
        <w:rPr>
          <w:sz w:val="22"/>
          <w:szCs w:val="22"/>
          <w:rtl/>
        </w:rPr>
        <w:t xml:space="preserve"> סובב סובב הולך הרוח כו' מזרח ומערב כמ"ש שם ובגמ' (ערובין נו ע"א, ב"ב כה ע"ב) וכוללן יחד</w:t>
      </w:r>
      <w:r>
        <w:rPr>
          <w:rFonts w:hint="cs"/>
          <w:sz w:val="22"/>
          <w:szCs w:val="22"/>
          <w:rtl/>
        </w:rPr>
        <w:t>,</w:t>
      </w:r>
      <w:r w:rsidRPr="00BD5E91">
        <w:rPr>
          <w:sz w:val="22"/>
          <w:szCs w:val="22"/>
          <w:rtl/>
        </w:rPr>
        <w:t xml:space="preserve"> והן דעת זו"נ כנ"ל וכולן רוח שהן הנקודות כנ"ל ועיקרן בדעת ז"א לכן פורט כאן הרוח ואמר כאן כסדר אמ"ש שהן דח"ב ולכן התחיל ממזרח והוא בשורש הדעת שהוא כתר קודם</w:t>
      </w:r>
      <w:r>
        <w:rPr>
          <w:rFonts w:hint="cs"/>
          <w:sz w:val="22"/>
          <w:szCs w:val="22"/>
          <w:rtl/>
        </w:rPr>
        <w:t>.</w:t>
      </w:r>
      <w:r w:rsidRPr="00BD5E91">
        <w:rPr>
          <w:sz w:val="22"/>
          <w:szCs w:val="22"/>
          <w:rtl/>
        </w:rPr>
        <w:t xml:space="preserve"> וכן הם הקשרין של חו"ל כמש"ו ועי' בהת"ז שעשר נקודין הן עשר גלגלים שהן גלי ימא שם בדף ד' ע"ב ד"א והמשכילים אינון נקודי יזהירו דנהרין באתוון</w:t>
      </w:r>
      <w:r>
        <w:rPr>
          <w:rFonts w:hint="cs"/>
          <w:sz w:val="22"/>
          <w:szCs w:val="22"/>
          <w:rtl/>
        </w:rPr>
        <w:t>,</w:t>
      </w:r>
      <w:r w:rsidRPr="00BD5E91">
        <w:rPr>
          <w:sz w:val="22"/>
          <w:szCs w:val="22"/>
          <w:rtl/>
        </w:rPr>
        <w:t xml:space="preserve"> נקודין עגולין אתוון מרובעין כו' כגחלי אש אלין אינון נקודי דאורייתא דאינון ט' כו' גלגלין כו' וז"ש בתי"ח שם ל"ו ב' ואינון כולהו להביות אשיות כו' ובתי"ג ד' כ"ג אמר וגלי ימא דלעילא אינון עשרה גלגלין כו' ואמר בתיקון כ"ז ד' ע"א ע"א פתח ר"ש ואמר והמשכילים אלין אתוון כו' גוונא דנורא חיוור כו' ע"ש דמ' כי הן באותיות וכ"ה האמת</w:t>
      </w:r>
      <w:r>
        <w:rPr>
          <w:rFonts w:hint="cs"/>
          <w:sz w:val="22"/>
          <w:szCs w:val="22"/>
          <w:rtl/>
        </w:rPr>
        <w:t>,</w:t>
      </w:r>
      <w:r w:rsidRPr="00BD5E91">
        <w:rPr>
          <w:sz w:val="22"/>
          <w:szCs w:val="22"/>
          <w:rtl/>
        </w:rPr>
        <w:t xml:space="preserve"> כי הגוונין הן במלכות</w:t>
      </w:r>
      <w:r>
        <w:rPr>
          <w:rFonts w:hint="cs"/>
          <w:sz w:val="22"/>
          <w:szCs w:val="22"/>
          <w:rtl/>
        </w:rPr>
        <w:t>,</w:t>
      </w:r>
      <w:r w:rsidRPr="00BD5E91">
        <w:rPr>
          <w:sz w:val="22"/>
          <w:szCs w:val="22"/>
          <w:rtl/>
        </w:rPr>
        <w:t xml:space="preserve"> ואימא מאירה בה"פ אור בה' גוונין שלה לפיכך מתחלקין הנקודות שהן האורות לפי הגוונין ועיין בתי' ה' ובתי"ח ושם יתבאר היטב:</w:t>
      </w:r>
    </w:p>
  </w:footnote>
  <w:footnote w:id="705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דאקרון ימי קדם.</w:t>
      </w:r>
      <w:r w:rsidRPr="00BD5E91">
        <w:rPr>
          <w:sz w:val="22"/>
          <w:szCs w:val="22"/>
          <w:rtl/>
        </w:rPr>
        <w:t xml:space="preserve"> שהקול הוא ו' ימים של ששת ימי בראשית</w:t>
      </w:r>
      <w:r>
        <w:rPr>
          <w:rFonts w:hint="cs"/>
          <w:sz w:val="22"/>
          <w:szCs w:val="22"/>
          <w:rtl/>
        </w:rPr>
        <w:t>,</w:t>
      </w:r>
      <w:r w:rsidRPr="00BD5E91">
        <w:rPr>
          <w:sz w:val="22"/>
          <w:szCs w:val="22"/>
          <w:rtl/>
        </w:rPr>
        <w:t xml:space="preserve"> ומלה הוא הלילה כלולה עמו</w:t>
      </w:r>
      <w:r>
        <w:rPr>
          <w:rFonts w:hint="cs"/>
          <w:sz w:val="22"/>
          <w:szCs w:val="22"/>
          <w:rtl/>
        </w:rPr>
        <w:t>,</w:t>
      </w:r>
      <w:r w:rsidRPr="00BD5E91">
        <w:rPr>
          <w:sz w:val="22"/>
          <w:szCs w:val="22"/>
          <w:rtl/>
        </w:rPr>
        <w:t xml:space="preserve"> ויהי ערב כו' והן ימי קדם והן ל"ב אלקים דמע"ב נקודות ואותיות כנ"ל ויום השביעי הוא בינה כולל ג"ר לכן נאמר בו ג"פ אלקים וג"פ יום השביעי ג"פ היום ג' סעודות והן נגד ג' אמ"ש שאמר לעיל ושני לי' בתלת גוונין כו' כד אתקשר מא"ס הכי אתקשר</w:t>
      </w:r>
      <w:r>
        <w:rPr>
          <w:rFonts w:hint="cs"/>
          <w:sz w:val="22"/>
          <w:szCs w:val="22"/>
          <w:rtl/>
        </w:rPr>
        <w:t>.</w:t>
      </w:r>
      <w:r w:rsidRPr="00BD5E91">
        <w:rPr>
          <w:sz w:val="22"/>
          <w:szCs w:val="22"/>
          <w:rtl/>
        </w:rPr>
        <w:t xml:space="preserve"> וז</w:t>
      </w:r>
      <w:r>
        <w:rPr>
          <w:rFonts w:hint="cs"/>
          <w:sz w:val="22"/>
          <w:szCs w:val="22"/>
          <w:rtl/>
        </w:rPr>
        <w:t xml:space="preserve">ה </w:t>
      </w:r>
      <w:r w:rsidRPr="00BD5E91">
        <w:rPr>
          <w:sz w:val="22"/>
          <w:szCs w:val="22"/>
          <w:rtl/>
        </w:rPr>
        <w:t>ש</w:t>
      </w:r>
      <w:r>
        <w:rPr>
          <w:rFonts w:hint="cs"/>
          <w:sz w:val="22"/>
          <w:szCs w:val="22"/>
          <w:rtl/>
        </w:rPr>
        <w:t>כתוב</w:t>
      </w:r>
      <w:r w:rsidRPr="00BD5E91">
        <w:rPr>
          <w:sz w:val="22"/>
          <w:szCs w:val="22"/>
          <w:rtl/>
        </w:rPr>
        <w:t xml:space="preserve"> ויברך אלקים</w:t>
      </w:r>
      <w:r>
        <w:rPr>
          <w:rFonts w:hint="cs"/>
          <w:sz w:val="22"/>
          <w:szCs w:val="22"/>
          <w:rtl/>
        </w:rPr>
        <w:t>,</w:t>
      </w:r>
      <w:r w:rsidRPr="00BD5E91">
        <w:rPr>
          <w:sz w:val="22"/>
          <w:szCs w:val="22"/>
          <w:rtl/>
        </w:rPr>
        <w:t xml:space="preserve"> ויקדש אותו</w:t>
      </w:r>
      <w:r>
        <w:rPr>
          <w:rFonts w:hint="cs"/>
          <w:sz w:val="22"/>
          <w:szCs w:val="22"/>
          <w:rtl/>
        </w:rPr>
        <w:t>,</w:t>
      </w:r>
      <w:r w:rsidRPr="00BD5E91">
        <w:rPr>
          <w:sz w:val="22"/>
          <w:szCs w:val="22"/>
          <w:rtl/>
        </w:rPr>
        <w:t xml:space="preserve"> כי בו שבת</w:t>
      </w:r>
      <w:r>
        <w:rPr>
          <w:rFonts w:hint="cs"/>
          <w:sz w:val="22"/>
          <w:szCs w:val="22"/>
          <w:rtl/>
        </w:rPr>
        <w:t>,</w:t>
      </w:r>
      <w:r w:rsidRPr="00BD5E91">
        <w:rPr>
          <w:sz w:val="22"/>
          <w:szCs w:val="22"/>
          <w:rtl/>
        </w:rPr>
        <w:t xml:space="preserve"> ג' דברים</w:t>
      </w:r>
      <w:r>
        <w:rPr>
          <w:rFonts w:hint="cs"/>
          <w:sz w:val="22"/>
          <w:szCs w:val="22"/>
          <w:rtl/>
        </w:rPr>
        <w:t>,</w:t>
      </w:r>
      <w:r w:rsidRPr="00BD5E91">
        <w:rPr>
          <w:sz w:val="22"/>
          <w:szCs w:val="22"/>
          <w:rtl/>
        </w:rPr>
        <w:t xml:space="preserve"> ברכה בחכמה</w:t>
      </w:r>
      <w:r>
        <w:rPr>
          <w:rFonts w:hint="cs"/>
          <w:sz w:val="22"/>
          <w:szCs w:val="22"/>
          <w:rtl/>
        </w:rPr>
        <w:t>,</w:t>
      </w:r>
      <w:r w:rsidRPr="00BD5E91">
        <w:rPr>
          <w:sz w:val="22"/>
          <w:szCs w:val="22"/>
          <w:rtl/>
        </w:rPr>
        <w:t xml:space="preserve"> וקדושה בבינה כמ"ש כ"פ בתי'</w:t>
      </w:r>
      <w:r>
        <w:rPr>
          <w:rFonts w:hint="cs"/>
          <w:sz w:val="22"/>
          <w:szCs w:val="22"/>
          <w:rtl/>
        </w:rPr>
        <w:t>,</w:t>
      </w:r>
      <w:r w:rsidRPr="00BD5E91">
        <w:rPr>
          <w:sz w:val="22"/>
          <w:szCs w:val="22"/>
          <w:rtl/>
        </w:rPr>
        <w:t xml:space="preserve"> כי בו שבת בכתר כמ"ש בפ' פקודי דא"ס ר"ל הכתר לא קיימא למעבד ראש ולא דבר כו'. ואמר ולכל אינון סטרין. ר"ל הן י"ג טעמים שיוצאין מהן כמ"ש למטה תשע נהורין לא מתפשטין כו' והן י"ג ת"ד (ור"ל שהן יוצאין סביב בהפה והבן) שהם נקראין ימי קדם שנכללין במזלא שהוא תיקון י"ג</w:t>
      </w:r>
      <w:r>
        <w:rPr>
          <w:rFonts w:hint="cs"/>
          <w:sz w:val="22"/>
          <w:szCs w:val="22"/>
          <w:rtl/>
        </w:rPr>
        <w:t>,</w:t>
      </w:r>
      <w:r w:rsidRPr="00BD5E91">
        <w:rPr>
          <w:sz w:val="22"/>
          <w:szCs w:val="22"/>
          <w:rtl/>
        </w:rPr>
        <w:t xml:space="preserve"> מימי קדם כמ"ש בא"ר ד' קל"ד ע"ב תאנא אלין תיקונין אקרון ימי קדם והן ג' דרגין</w:t>
      </w:r>
      <w:r>
        <w:rPr>
          <w:rFonts w:hint="cs"/>
          <w:sz w:val="22"/>
          <w:szCs w:val="22"/>
          <w:rtl/>
        </w:rPr>
        <w:t>:</w:t>
      </w:r>
      <w:r w:rsidRPr="00BD5E91">
        <w:rPr>
          <w:sz w:val="22"/>
          <w:szCs w:val="22"/>
          <w:rtl/>
        </w:rPr>
        <w:t xml:space="preserve"> טעמין נשמתא בעתיקא</w:t>
      </w:r>
      <w:r>
        <w:rPr>
          <w:rFonts w:hint="cs"/>
          <w:sz w:val="22"/>
          <w:szCs w:val="22"/>
          <w:rtl/>
        </w:rPr>
        <w:t>,</w:t>
      </w:r>
      <w:r w:rsidRPr="00BD5E91">
        <w:rPr>
          <w:sz w:val="22"/>
          <w:szCs w:val="22"/>
          <w:rtl/>
        </w:rPr>
        <w:t xml:space="preserve"> בינה כוללת ג"ר ואתכלילת במזלא שלכן נקרא בינה כוללת ג"ר</w:t>
      </w:r>
      <w:r>
        <w:rPr>
          <w:rFonts w:hint="cs"/>
          <w:sz w:val="22"/>
          <w:szCs w:val="22"/>
          <w:rtl/>
        </w:rPr>
        <w:t>.</w:t>
      </w:r>
      <w:r w:rsidRPr="00BD5E91">
        <w:rPr>
          <w:sz w:val="22"/>
          <w:szCs w:val="22"/>
          <w:rtl/>
        </w:rPr>
        <w:t xml:space="preserve"> ואתכלילת במזלא שלכן נקרא בינה עתיקא כידוע</w:t>
      </w:r>
      <w:r>
        <w:rPr>
          <w:rFonts w:hint="cs"/>
          <w:sz w:val="22"/>
          <w:szCs w:val="22"/>
          <w:rtl/>
        </w:rPr>
        <w:t>,</w:t>
      </w:r>
      <w:r w:rsidRPr="00BD5E91">
        <w:rPr>
          <w:sz w:val="22"/>
          <w:szCs w:val="22"/>
          <w:rtl/>
        </w:rPr>
        <w:t xml:space="preserve"> ושם י"ג תיקונים והן י"ג טעמים</w:t>
      </w:r>
      <w:r>
        <w:rPr>
          <w:rFonts w:hint="cs"/>
          <w:sz w:val="22"/>
          <w:szCs w:val="22"/>
          <w:rtl/>
        </w:rPr>
        <w:t>.</w:t>
      </w:r>
      <w:r w:rsidRPr="00BD5E91">
        <w:rPr>
          <w:sz w:val="22"/>
          <w:szCs w:val="22"/>
          <w:rtl/>
        </w:rPr>
        <w:t xml:space="preserve"> נקודי רוח בז"א ושם ט' תיקונים</w:t>
      </w:r>
      <w:r>
        <w:rPr>
          <w:rFonts w:hint="cs"/>
          <w:sz w:val="22"/>
          <w:szCs w:val="22"/>
          <w:rtl/>
        </w:rPr>
        <w:t>.</w:t>
      </w:r>
      <w:r w:rsidRPr="00BD5E91">
        <w:rPr>
          <w:sz w:val="22"/>
          <w:szCs w:val="22"/>
          <w:rtl/>
        </w:rPr>
        <w:t xml:space="preserve"> אותיות בנוק' ד' תיקונים לכן ד' גוונין והיא כלולה מכולם לכן כ"ב אתוון כמ"ש למטה</w:t>
      </w:r>
      <w:r>
        <w:rPr>
          <w:rFonts w:hint="cs"/>
          <w:sz w:val="22"/>
          <w:szCs w:val="22"/>
          <w:rtl/>
        </w:rPr>
        <w:t>.</w:t>
      </w:r>
      <w:r w:rsidRPr="00BD5E91">
        <w:rPr>
          <w:sz w:val="22"/>
          <w:szCs w:val="22"/>
          <w:rtl/>
        </w:rPr>
        <w:t xml:space="preserve"> וכנגד הטעמים הוא יום השביעי כנ"ל ולכן לא נאמר ויהי ערב ויהי בקר ביום השביעי ששם אין יום ולילה שהם זו"נ אלא נכללים כאחד שלכן ג' גוונין כנ"ל וכמ"ש בא"ר שם ובההוא זימנא דאתער כו' באתר דאית יום אית לילה כו' לא אתקרי לא יום ולא לילה כו' שם זו"נ כלולים בה וז"ס שנקרא שבת עולם הנשמות</w:t>
      </w:r>
      <w:r>
        <w:rPr>
          <w:rFonts w:hint="cs"/>
          <w:sz w:val="22"/>
          <w:szCs w:val="22"/>
          <w:rtl/>
        </w:rPr>
        <w:t>,</w:t>
      </w:r>
      <w:r w:rsidRPr="00BD5E91">
        <w:rPr>
          <w:sz w:val="22"/>
          <w:szCs w:val="22"/>
          <w:rtl/>
        </w:rPr>
        <w:t xml:space="preserve"> ובינה יתירה שניתנה באדם ביום השבת והן הטעמים כמ"ש בז"ח ש"ה ד' נ"ח ע"ב וע"ג ד"א בצלמנו אלין תנועי דטעמי דאינון תיקוני ושלימו בדעתא וסכלתנו למנדע ידיעה לאסתכלא לעילא כו' עש"ה וכולם הן מז' ימי קדם ז"ת דרדל"א כידוע ולכן נקראו עתיק יומין:</w:t>
      </w:r>
    </w:p>
  </w:footnote>
  <w:footnote w:id="705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אסגיאו יומין גו כו'.</w:t>
      </w:r>
      <w:r w:rsidRPr="00BD5E91">
        <w:rPr>
          <w:sz w:val="22"/>
          <w:szCs w:val="22"/>
          <w:rtl/>
        </w:rPr>
        <w:t xml:space="preserve"> ר"ל זולת הבוצינא ומדידו היה הכל התפשטות א'</w:t>
      </w:r>
      <w:r>
        <w:rPr>
          <w:rFonts w:hint="cs"/>
          <w:sz w:val="22"/>
          <w:szCs w:val="22"/>
          <w:rtl/>
        </w:rPr>
        <w:t>,</w:t>
      </w:r>
      <w:r w:rsidRPr="00BD5E91">
        <w:rPr>
          <w:sz w:val="22"/>
          <w:szCs w:val="22"/>
          <w:rtl/>
        </w:rPr>
        <w:t xml:space="preserve"> ועיקר התיקון לירד מדרגא לדרגא שיוכלו לקבל אורו כמ"ש בס"ד ע"ש</w:t>
      </w:r>
      <w:r>
        <w:rPr>
          <w:rFonts w:hint="cs"/>
          <w:sz w:val="22"/>
          <w:szCs w:val="22"/>
          <w:rtl/>
        </w:rPr>
        <w:t>.</w:t>
      </w:r>
      <w:r w:rsidRPr="00BD5E91">
        <w:rPr>
          <w:sz w:val="22"/>
          <w:szCs w:val="22"/>
          <w:rtl/>
        </w:rPr>
        <w:t xml:space="preserve"> ואמר </w:t>
      </w:r>
      <w:r w:rsidRPr="00BD5E91">
        <w:rPr>
          <w:b/>
          <w:bCs/>
          <w:sz w:val="22"/>
          <w:szCs w:val="22"/>
          <w:rtl/>
        </w:rPr>
        <w:t>כדקא חזי.</w:t>
      </w:r>
      <w:r w:rsidRPr="00BD5E91">
        <w:rPr>
          <w:sz w:val="22"/>
          <w:szCs w:val="22"/>
          <w:rtl/>
        </w:rPr>
        <w:t xml:space="preserve"> לפי חכמתו ית' כמ"ש וירא אלקים את כל כו':</w:t>
      </w:r>
    </w:p>
  </w:footnote>
  <w:footnote w:id="7056">
    <w:p w:rsidR="00007309" w:rsidRPr="00BD5E91" w:rsidRDefault="00007309" w:rsidP="00007309">
      <w:pPr>
        <w:jc w:val="both"/>
        <w:rPr>
          <w:rFonts w:cs="Arial"/>
          <w:sz w:val="22"/>
          <w:szCs w:val="22"/>
          <w:rtl/>
        </w:rPr>
      </w:pPr>
      <w:r w:rsidRPr="00BD5E91">
        <w:rPr>
          <w:rStyle w:val="a7"/>
          <w:rFonts w:cs="Arial"/>
          <w:sz w:val="22"/>
          <w:szCs w:val="22"/>
          <w:rtl/>
        </w:rPr>
        <w:footnoteRef/>
      </w:r>
      <w:r w:rsidRPr="00BD5E91">
        <w:rPr>
          <w:rFonts w:cs="Arial"/>
          <w:sz w:val="22"/>
          <w:szCs w:val="22"/>
          <w:rtl/>
        </w:rPr>
        <w:t xml:space="preserve"> </w:t>
      </w:r>
      <w:r w:rsidRPr="00BD5E91">
        <w:rPr>
          <w:rFonts w:cs="Arial"/>
          <w:b/>
          <w:bCs/>
          <w:sz w:val="22"/>
          <w:szCs w:val="22"/>
          <w:rtl/>
        </w:rPr>
        <w:t>א"ס כלהו נקודין כו'.</w:t>
      </w:r>
      <w:r w:rsidRPr="00BD5E91">
        <w:rPr>
          <w:rFonts w:cs="Arial"/>
          <w:sz w:val="22"/>
          <w:szCs w:val="22"/>
          <w:rtl/>
        </w:rPr>
        <w:t xml:space="preserve"> ר"ל שהנקודין א"ס כנ"ל:</w:t>
      </w:r>
    </w:p>
  </w:footnote>
  <w:footnote w:id="705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תלת נקודין כו'.</w:t>
      </w:r>
      <w:r w:rsidRPr="00BD5E91">
        <w:rPr>
          <w:sz w:val="22"/>
          <w:szCs w:val="22"/>
          <w:rtl/>
        </w:rPr>
        <w:t xml:space="preserve"> חש"ח כנ"ל:</w:t>
      </w:r>
    </w:p>
  </w:footnote>
  <w:footnote w:id="705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מקשרא קדמאה נפיק האי זוהר כו'.</w:t>
      </w:r>
      <w:r w:rsidRPr="00BD5E91">
        <w:rPr>
          <w:sz w:val="22"/>
          <w:szCs w:val="22"/>
          <w:rtl/>
        </w:rPr>
        <w:t xml:space="preserve"> זוהר הוא בינה כנ"ל וכמש"ל דף ע"ח ע"ג מאימא עילאה דאיהי זוהר כו' ואיהי זוהר דנהרא בלב דר"מ כו' ומ' שם דהרקיע הוא עד"א (ולענ"ד נראה דקאי על בינה דבי' שמשא כו' כמ"ש בזוהר ויצא) וביה שמשא וסיהרא כו' הרקיע וע"ש אתקרי ספר הזוהר בדיוקנא דעד"א דאיהו ספר דזוהר דיליה מאימא עילאה דאיהו זוהר כו' ועליה אתמר ויקרא אלקים לרקיע שמים כו' ע"ש וכן הנכון וז"ש לעיל כזוהר זוהר זהרא כו' זוהר כו' ע"ס כנ"ל והכל בבינה שכוללת ג"ר וז"ת ואמר ודא איהו זוהר הרקיע הרקיע דבי' כו' ר"ל עד"א כמש"ו דלא זכי בי' ב"נ בר ר"מ כו' וכנ"ל ואמר שם זוהר סתים עילאה כו' סתים בארבע כו' זוהר דנציץ בתריסר כו' הכל בבינה. והיא קשרא עילאה דחו"ל ושם ג'</w:t>
      </w:r>
      <w:r>
        <w:rPr>
          <w:rFonts w:hint="cs"/>
          <w:sz w:val="22"/>
          <w:szCs w:val="22"/>
          <w:rtl/>
        </w:rPr>
        <w:t>,</w:t>
      </w:r>
      <w:r w:rsidRPr="00BD5E91">
        <w:rPr>
          <w:sz w:val="22"/>
          <w:szCs w:val="22"/>
          <w:rtl/>
        </w:rPr>
        <w:t xml:space="preserve"> אמ"ש</w:t>
      </w:r>
      <w:r>
        <w:rPr>
          <w:rFonts w:hint="cs"/>
          <w:sz w:val="22"/>
          <w:szCs w:val="22"/>
          <w:rtl/>
        </w:rPr>
        <w:t>,</w:t>
      </w:r>
      <w:r w:rsidRPr="00BD5E91">
        <w:rPr>
          <w:sz w:val="22"/>
          <w:szCs w:val="22"/>
          <w:rtl/>
        </w:rPr>
        <w:t xml:space="preserve"> דשני בתלת גוונין כנ"ל וזהו זוהר</w:t>
      </w:r>
      <w:r>
        <w:rPr>
          <w:rFonts w:hint="cs"/>
          <w:sz w:val="22"/>
          <w:szCs w:val="22"/>
          <w:rtl/>
        </w:rPr>
        <w:t>,</w:t>
      </w:r>
      <w:r w:rsidRPr="00BD5E91">
        <w:rPr>
          <w:sz w:val="22"/>
          <w:szCs w:val="22"/>
          <w:rtl/>
        </w:rPr>
        <w:t xml:space="preserve"> דזוהר הוא מג' גוונין דנורא כידוע:</w:t>
      </w:r>
    </w:p>
  </w:footnote>
  <w:footnote w:id="705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דבי' כו' לאנהרא.</w:t>
      </w:r>
      <w:r w:rsidRPr="00BD5E91">
        <w:rPr>
          <w:sz w:val="22"/>
          <w:szCs w:val="22"/>
          <w:rtl/>
        </w:rPr>
        <w:t xml:space="preserve"> ר"ל בעד"א לאנהרא מבינה:</w:t>
      </w:r>
    </w:p>
  </w:footnote>
  <w:footnote w:id="706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כד האי כו' ובטש כו'.</w:t>
      </w:r>
      <w:r w:rsidRPr="00BD5E91">
        <w:rPr>
          <w:sz w:val="22"/>
          <w:szCs w:val="22"/>
          <w:rtl/>
        </w:rPr>
        <w:t xml:space="preserve"> שבה בוצינא דקרדוניתא והיא בטש ואסגי לון כמ"ש במאמר קו המדה והאי ניציצו סלקא ונחתא כו' ובטש בכל נטיעין נהורין וא"ל גדל כו' וז"ש לעיל זוהר סליק ונחית. ואמר </w:t>
      </w:r>
      <w:r w:rsidRPr="00BD5E91">
        <w:rPr>
          <w:b/>
          <w:bCs/>
          <w:sz w:val="22"/>
          <w:szCs w:val="22"/>
          <w:rtl/>
        </w:rPr>
        <w:t>בכל אינון טורין.</w:t>
      </w:r>
      <w:r w:rsidRPr="00BD5E91">
        <w:rPr>
          <w:sz w:val="22"/>
          <w:szCs w:val="22"/>
          <w:rtl/>
        </w:rPr>
        <w:t xml:space="preserve"> ר"ל אתוון כמש"ל לאפיקו דאתוון כו' טוריהון כו':</w:t>
      </w:r>
      <w:r w:rsidRPr="00BD5E91">
        <w:rPr>
          <w:b/>
          <w:bCs/>
          <w:sz w:val="22"/>
          <w:szCs w:val="22"/>
          <w:rtl/>
        </w:rPr>
        <w:t xml:space="preserve"> </w:t>
      </w:r>
    </w:p>
  </w:footnote>
  <w:footnote w:id="706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האי זוהר אפיק אתוון דקיקין כו'.</w:t>
      </w:r>
      <w:r w:rsidRPr="00BD5E91">
        <w:rPr>
          <w:sz w:val="22"/>
          <w:szCs w:val="22"/>
          <w:rtl/>
        </w:rPr>
        <w:t xml:space="preserve"> שאתוון רברבין בבינה יצאו מחכמה כנ"ל ואתוון זעירין במלכות מבינה:</w:t>
      </w:r>
    </w:p>
  </w:footnote>
  <w:footnote w:id="706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ברזא עילאה.</w:t>
      </w:r>
      <w:r w:rsidRPr="00BD5E91">
        <w:rPr>
          <w:sz w:val="22"/>
          <w:szCs w:val="22"/>
          <w:rtl/>
        </w:rPr>
        <w:t xml:space="preserve"> ר"ל בינה סוד כנ"ל אלין עיילין ואלין נפקין:</w:t>
      </w:r>
    </w:p>
  </w:footnote>
  <w:footnote w:id="706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מקשרא תניינא וכו'.</w:t>
      </w:r>
      <w:r w:rsidRPr="00BD5E91">
        <w:rPr>
          <w:sz w:val="22"/>
          <w:szCs w:val="22"/>
          <w:rtl/>
        </w:rPr>
        <w:t xml:space="preserve"> והן י"ב מזלות בעד"א כמ"ש בתי"ח ד' ל"ב ע"א ואיהו כליל תרי עשר מזלות כו' ומסט' דו"ו כו' ו"ו תרין עשר מזלות כו' ע"ש ר"ל ו"ו כפולה והן ו"ק כפולים שאשתהו שם בקשרא תרין עשר ירחין:</w:t>
      </w:r>
    </w:p>
  </w:footnote>
  <w:footnote w:id="706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דזהרין לאסתכלא כו'.</w:t>
      </w:r>
      <w:r w:rsidRPr="00BD5E91">
        <w:rPr>
          <w:sz w:val="22"/>
          <w:szCs w:val="22"/>
          <w:rtl/>
        </w:rPr>
        <w:t xml:space="preserve"> כנ"ל דעל עד"א</w:t>
      </w:r>
      <w:r>
        <w:rPr>
          <w:rFonts w:hint="cs"/>
          <w:sz w:val="22"/>
          <w:szCs w:val="22"/>
          <w:rtl/>
        </w:rPr>
        <w:t>,</w:t>
      </w:r>
      <w:r w:rsidRPr="00BD5E91">
        <w:rPr>
          <w:sz w:val="22"/>
          <w:szCs w:val="22"/>
          <w:rtl/>
        </w:rPr>
        <w:t xml:space="preserve"> רוחא</w:t>
      </w:r>
      <w:r>
        <w:rPr>
          <w:rFonts w:hint="cs"/>
          <w:sz w:val="22"/>
          <w:szCs w:val="22"/>
          <w:rtl/>
        </w:rPr>
        <w:t>,</w:t>
      </w:r>
      <w:r w:rsidRPr="00BD5E91">
        <w:rPr>
          <w:sz w:val="22"/>
          <w:szCs w:val="22"/>
          <w:rtl/>
        </w:rPr>
        <w:t xml:space="preserve"> קאי יזהירו</w:t>
      </w:r>
      <w:r>
        <w:rPr>
          <w:rFonts w:hint="cs"/>
          <w:sz w:val="22"/>
          <w:szCs w:val="22"/>
          <w:rtl/>
        </w:rPr>
        <w:t>.</w:t>
      </w:r>
      <w:r w:rsidRPr="00BD5E91">
        <w:rPr>
          <w:sz w:val="22"/>
          <w:szCs w:val="22"/>
          <w:rtl/>
        </w:rPr>
        <w:t xml:space="preserve"> ובמאמר הנ"ל דזוהר דיליה מן אמא עילאה כנ"ל:</w:t>
      </w:r>
    </w:p>
  </w:footnote>
  <w:footnote w:id="706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מקשרא תליתאה נפקי כוכביא כו'.</w:t>
      </w:r>
      <w:r w:rsidRPr="00BD5E91">
        <w:rPr>
          <w:sz w:val="22"/>
          <w:szCs w:val="22"/>
          <w:rtl/>
        </w:rPr>
        <w:t xml:space="preserve"> ר"ל ז' כוכבי לכת שהן במלכות</w:t>
      </w:r>
      <w:r>
        <w:rPr>
          <w:rFonts w:hint="cs"/>
          <w:sz w:val="22"/>
          <w:szCs w:val="22"/>
          <w:rtl/>
        </w:rPr>
        <w:t>,</w:t>
      </w:r>
      <w:r w:rsidRPr="00BD5E91">
        <w:rPr>
          <w:sz w:val="22"/>
          <w:szCs w:val="22"/>
          <w:rtl/>
        </w:rPr>
        <w:t xml:space="preserve"> קשרא תליתאה שלכן נקרא</w:t>
      </w:r>
      <w:r>
        <w:rPr>
          <w:rFonts w:hint="cs"/>
          <w:sz w:val="22"/>
          <w:szCs w:val="22"/>
          <w:rtl/>
        </w:rPr>
        <w:t>ת</w:t>
      </w:r>
      <w:r w:rsidRPr="00BD5E91">
        <w:rPr>
          <w:sz w:val="22"/>
          <w:szCs w:val="22"/>
          <w:rtl/>
        </w:rPr>
        <w:t xml:space="preserve"> בת שבע כמש"ש בתי</w:t>
      </w:r>
      <w:r>
        <w:rPr>
          <w:rFonts w:hint="cs"/>
          <w:sz w:val="22"/>
          <w:szCs w:val="22"/>
          <w:rtl/>
        </w:rPr>
        <w:t>קונים</w:t>
      </w:r>
      <w:r w:rsidRPr="00BD5E91">
        <w:rPr>
          <w:sz w:val="22"/>
          <w:szCs w:val="22"/>
          <w:rtl/>
        </w:rPr>
        <w:t xml:space="preserve"> מסטרא דמלכות אתקריאו ז' כוכבי לכת כו'</w:t>
      </w:r>
      <w:r>
        <w:rPr>
          <w:rFonts w:hint="cs"/>
          <w:sz w:val="22"/>
          <w:szCs w:val="22"/>
          <w:rtl/>
        </w:rPr>
        <w:t>.</w:t>
      </w:r>
      <w:r w:rsidRPr="00BD5E91">
        <w:rPr>
          <w:sz w:val="22"/>
          <w:szCs w:val="22"/>
          <w:rtl/>
        </w:rPr>
        <w:t xml:space="preserve"> ואמר לאשתמשא</w:t>
      </w:r>
      <w:r>
        <w:rPr>
          <w:rFonts w:hint="cs"/>
          <w:sz w:val="22"/>
          <w:szCs w:val="22"/>
          <w:rtl/>
        </w:rPr>
        <w:t>,</w:t>
      </w:r>
      <w:r w:rsidRPr="00BD5E91">
        <w:rPr>
          <w:sz w:val="22"/>
          <w:szCs w:val="22"/>
          <w:rtl/>
        </w:rPr>
        <w:t xml:space="preserve"> שז' כוכבי לכת משמשין</w:t>
      </w:r>
      <w:r>
        <w:rPr>
          <w:rFonts w:hint="cs"/>
          <w:sz w:val="22"/>
          <w:szCs w:val="22"/>
          <w:rtl/>
        </w:rPr>
        <w:t>,</w:t>
      </w:r>
      <w:r w:rsidRPr="00BD5E91">
        <w:rPr>
          <w:sz w:val="22"/>
          <w:szCs w:val="22"/>
          <w:rtl/>
        </w:rPr>
        <w:t xml:space="preserve"> וכן מלכות (תהלים קטו טז) והארץ נתן לבני אדם</w:t>
      </w:r>
      <w:r>
        <w:rPr>
          <w:rFonts w:hint="cs"/>
          <w:sz w:val="22"/>
          <w:szCs w:val="22"/>
          <w:rtl/>
        </w:rPr>
        <w:t>,</w:t>
      </w:r>
      <w:r w:rsidRPr="00BD5E91">
        <w:rPr>
          <w:sz w:val="22"/>
          <w:szCs w:val="22"/>
          <w:rtl/>
        </w:rPr>
        <w:t xml:space="preserve"> שהיא מנהגת את העולם</w:t>
      </w:r>
      <w:r>
        <w:rPr>
          <w:rFonts w:hint="cs"/>
          <w:sz w:val="22"/>
          <w:szCs w:val="22"/>
          <w:rtl/>
        </w:rPr>
        <w:t>,</w:t>
      </w:r>
      <w:r w:rsidRPr="00BD5E91">
        <w:rPr>
          <w:sz w:val="22"/>
          <w:szCs w:val="22"/>
          <w:rtl/>
        </w:rPr>
        <w:t xml:space="preserve"> וכן מעשה בני אדם ופעולתם</w:t>
      </w:r>
      <w:r>
        <w:rPr>
          <w:rFonts w:hint="cs"/>
          <w:sz w:val="22"/>
          <w:szCs w:val="22"/>
          <w:rtl/>
        </w:rPr>
        <w:t>,</w:t>
      </w:r>
      <w:r w:rsidRPr="00BD5E91">
        <w:rPr>
          <w:sz w:val="22"/>
          <w:szCs w:val="22"/>
          <w:rtl/>
        </w:rPr>
        <w:t xml:space="preserve"> בה</w:t>
      </w:r>
      <w:r>
        <w:rPr>
          <w:rFonts w:hint="cs"/>
          <w:sz w:val="22"/>
          <w:szCs w:val="22"/>
          <w:rtl/>
        </w:rPr>
        <w:t>,</w:t>
      </w:r>
      <w:r w:rsidRPr="00BD5E91">
        <w:rPr>
          <w:sz w:val="22"/>
          <w:szCs w:val="22"/>
          <w:rtl/>
        </w:rPr>
        <w:t xml:space="preserve"> כמ"ש לעבדה ולשמרה</w:t>
      </w:r>
      <w:r>
        <w:rPr>
          <w:rFonts w:hint="cs"/>
          <w:sz w:val="22"/>
          <w:szCs w:val="22"/>
          <w:rtl/>
        </w:rPr>
        <w:t>.</w:t>
      </w:r>
      <w:r w:rsidRPr="00BD5E91">
        <w:rPr>
          <w:sz w:val="22"/>
          <w:szCs w:val="22"/>
          <w:rtl/>
        </w:rPr>
        <w:t xml:space="preserve"> אבל בעד"א (שם) השמים שמים לה'</w:t>
      </w:r>
      <w:r>
        <w:rPr>
          <w:rFonts w:hint="cs"/>
          <w:sz w:val="22"/>
          <w:szCs w:val="22"/>
          <w:rtl/>
        </w:rPr>
        <w:t>,</w:t>
      </w:r>
      <w:r w:rsidRPr="00BD5E91">
        <w:rPr>
          <w:sz w:val="22"/>
          <w:szCs w:val="22"/>
          <w:rtl/>
        </w:rPr>
        <w:t xml:space="preserve"> (איוב לה ה-ז) הבט שמים וראה ושור שחקים גבהו ממך</w:t>
      </w:r>
      <w:r>
        <w:rPr>
          <w:rFonts w:hint="cs"/>
          <w:sz w:val="22"/>
          <w:szCs w:val="22"/>
          <w:rtl/>
        </w:rPr>
        <w:t>,</w:t>
      </w:r>
      <w:r w:rsidRPr="00BD5E91">
        <w:rPr>
          <w:sz w:val="22"/>
          <w:szCs w:val="22"/>
          <w:rtl/>
        </w:rPr>
        <w:t xml:space="preserve"> אם חטאת מה תפעל לו כו' אם צדקת מה תתן לו</w:t>
      </w:r>
      <w:r>
        <w:rPr>
          <w:rFonts w:hint="cs"/>
          <w:sz w:val="22"/>
          <w:szCs w:val="22"/>
          <w:rtl/>
        </w:rPr>
        <w:t>.</w:t>
      </w:r>
      <w:r w:rsidRPr="00BD5E91">
        <w:rPr>
          <w:sz w:val="22"/>
          <w:szCs w:val="22"/>
          <w:rtl/>
        </w:rPr>
        <w:t xml:space="preserve"> ולכן בה ז' כפולים בדגש ורפה להנהיג העולם לפי מעשיהם כמ"ש בס"י שבע כפולות בג"ד כפר"ת</w:t>
      </w:r>
      <w:r>
        <w:rPr>
          <w:rFonts w:hint="cs"/>
          <w:sz w:val="22"/>
          <w:szCs w:val="22"/>
          <w:rtl/>
        </w:rPr>
        <w:t>,</w:t>
      </w:r>
      <w:r w:rsidRPr="00BD5E91">
        <w:rPr>
          <w:sz w:val="22"/>
          <w:szCs w:val="22"/>
          <w:rtl/>
        </w:rPr>
        <w:t xml:space="preserve"> יסודן חכמה כו'</w:t>
      </w:r>
      <w:r>
        <w:rPr>
          <w:rFonts w:hint="cs"/>
          <w:sz w:val="22"/>
          <w:szCs w:val="22"/>
          <w:rtl/>
        </w:rPr>
        <w:t>,</w:t>
      </w:r>
      <w:r w:rsidRPr="00BD5E91">
        <w:rPr>
          <w:sz w:val="22"/>
          <w:szCs w:val="22"/>
          <w:rtl/>
        </w:rPr>
        <w:t xml:space="preserve"> והן הנהגת עולם ברחמים</w:t>
      </w:r>
      <w:r>
        <w:rPr>
          <w:rFonts w:hint="cs"/>
          <w:sz w:val="22"/>
          <w:szCs w:val="22"/>
          <w:rtl/>
        </w:rPr>
        <w:t>.</w:t>
      </w:r>
      <w:r w:rsidRPr="00BD5E91">
        <w:rPr>
          <w:sz w:val="22"/>
          <w:szCs w:val="22"/>
          <w:rtl/>
        </w:rPr>
        <w:t xml:space="preserve"> ואמר שם בדיבור ובתמורה תמורת חכמה כו' ע"ש</w:t>
      </w:r>
      <w:r>
        <w:rPr>
          <w:rFonts w:hint="cs"/>
          <w:sz w:val="22"/>
          <w:szCs w:val="22"/>
          <w:rtl/>
        </w:rPr>
        <w:t>.</w:t>
      </w:r>
      <w:r w:rsidRPr="00BD5E91">
        <w:rPr>
          <w:sz w:val="22"/>
          <w:szCs w:val="22"/>
          <w:rtl/>
        </w:rPr>
        <w:t xml:space="preserve"> משא"כ בי"ב פשוטות שאין בהם תמורה</w:t>
      </w:r>
      <w:r>
        <w:rPr>
          <w:rFonts w:hint="cs"/>
          <w:sz w:val="22"/>
          <w:szCs w:val="22"/>
          <w:rtl/>
        </w:rPr>
        <w:t>,</w:t>
      </w:r>
      <w:r w:rsidRPr="00BD5E91">
        <w:rPr>
          <w:sz w:val="22"/>
          <w:szCs w:val="22"/>
          <w:rtl/>
        </w:rPr>
        <w:t xml:space="preserve"> שיסודן שיחה הרהור כו' שהן נוהגין בכל חי</w:t>
      </w:r>
      <w:r>
        <w:rPr>
          <w:rFonts w:hint="cs"/>
          <w:sz w:val="22"/>
          <w:szCs w:val="22"/>
          <w:rtl/>
        </w:rPr>
        <w:t>.</w:t>
      </w:r>
      <w:r w:rsidRPr="00BD5E91">
        <w:rPr>
          <w:sz w:val="22"/>
          <w:szCs w:val="22"/>
          <w:rtl/>
        </w:rPr>
        <w:t xml:space="preserve"> והמיתה הוא בז' כפולות אבל שם</w:t>
      </w:r>
      <w:r>
        <w:rPr>
          <w:rFonts w:hint="cs"/>
          <w:sz w:val="22"/>
          <w:szCs w:val="22"/>
          <w:rtl/>
        </w:rPr>
        <w:t>,</w:t>
      </w:r>
      <w:r w:rsidRPr="00BD5E91">
        <w:rPr>
          <w:sz w:val="22"/>
          <w:szCs w:val="22"/>
          <w:rtl/>
        </w:rPr>
        <w:t xml:space="preserve"> אין פגם מגיע לכן משוה קטן וגדול</w:t>
      </w:r>
      <w:r>
        <w:rPr>
          <w:rFonts w:hint="cs"/>
          <w:sz w:val="22"/>
          <w:szCs w:val="22"/>
          <w:rtl/>
        </w:rPr>
        <w:t>.</w:t>
      </w:r>
      <w:r w:rsidRPr="00BD5E91">
        <w:rPr>
          <w:sz w:val="22"/>
          <w:szCs w:val="22"/>
          <w:rtl/>
        </w:rPr>
        <w:t xml:space="preserve"> והוא ע</w:t>
      </w:r>
      <w:r>
        <w:rPr>
          <w:rFonts w:hint="cs"/>
          <w:sz w:val="22"/>
          <w:szCs w:val="22"/>
          <w:rtl/>
        </w:rPr>
        <w:t xml:space="preserve">ץ </w:t>
      </w:r>
      <w:r w:rsidRPr="00BD5E91">
        <w:rPr>
          <w:sz w:val="22"/>
          <w:szCs w:val="22"/>
          <w:rtl/>
        </w:rPr>
        <w:t>הח</w:t>
      </w:r>
      <w:r>
        <w:rPr>
          <w:rFonts w:hint="cs"/>
          <w:sz w:val="22"/>
          <w:szCs w:val="22"/>
          <w:rtl/>
        </w:rPr>
        <w:t>יים,</w:t>
      </w:r>
      <w:r w:rsidRPr="00BD5E91">
        <w:rPr>
          <w:sz w:val="22"/>
          <w:szCs w:val="22"/>
          <w:rtl/>
        </w:rPr>
        <w:t xml:space="preserve"> רוח החיים של אדם</w:t>
      </w:r>
      <w:r>
        <w:rPr>
          <w:rFonts w:hint="cs"/>
          <w:sz w:val="22"/>
          <w:szCs w:val="22"/>
          <w:rtl/>
        </w:rPr>
        <w:t>.</w:t>
      </w:r>
      <w:r w:rsidRPr="00BD5E91">
        <w:rPr>
          <w:sz w:val="22"/>
          <w:szCs w:val="22"/>
          <w:rtl/>
        </w:rPr>
        <w:t xml:space="preserve"> שנפשא שתופא דגופא והיא נשארת לאחר מיתה בקבר ונפשו עליו כו' והיא ע"ה טו"ר ואלו לא אכל אדם ממנו לא היה משתנה לעולם</w:t>
      </w:r>
      <w:r>
        <w:rPr>
          <w:rFonts w:hint="cs"/>
          <w:sz w:val="22"/>
          <w:szCs w:val="22"/>
          <w:rtl/>
        </w:rPr>
        <w:t>,</w:t>
      </w:r>
      <w:r w:rsidRPr="00BD5E91">
        <w:rPr>
          <w:sz w:val="22"/>
          <w:szCs w:val="22"/>
          <w:rtl/>
        </w:rPr>
        <w:t xml:space="preserve"> ששם פשוטו' אין שינוי כנ"ל וכמ"ש בזוהר (שמות קנ ע"א, ויקרא יט ע"א, ויקרא קז) ע"פ אשר עשה אלקים את האדם ישר והמה בקשו חשבונות רבים עש"ב. ואמר ומצדיקי דייקא ר"ל צדק היא מלכות כידוע ומלכי צדק, צדק ילין בה (ישעיהו א כא)</w:t>
      </w:r>
      <w:r>
        <w:rPr>
          <w:rFonts w:hint="cs"/>
          <w:sz w:val="22"/>
          <w:szCs w:val="22"/>
          <w:rtl/>
        </w:rPr>
        <w:t>,</w:t>
      </w:r>
      <w:r w:rsidRPr="00BD5E91">
        <w:rPr>
          <w:sz w:val="22"/>
          <w:szCs w:val="22"/>
          <w:rtl/>
        </w:rPr>
        <w:t xml:space="preserve"> וכן מלכים הקדמונים שבירושלים נקראים מלכי צדק כמ"ש ומלכי צדק מלך שלם וגו'</w:t>
      </w:r>
      <w:r>
        <w:rPr>
          <w:rFonts w:hint="cs"/>
          <w:sz w:val="22"/>
          <w:szCs w:val="22"/>
          <w:rtl/>
        </w:rPr>
        <w:t>.</w:t>
      </w:r>
      <w:r w:rsidRPr="00BD5E91">
        <w:rPr>
          <w:sz w:val="22"/>
          <w:szCs w:val="22"/>
          <w:rtl/>
        </w:rPr>
        <w:t xml:space="preserve"> והן כ"ב אתוון</w:t>
      </w:r>
      <w:r>
        <w:rPr>
          <w:rFonts w:hint="cs"/>
          <w:sz w:val="22"/>
          <w:szCs w:val="22"/>
          <w:rtl/>
        </w:rPr>
        <w:t>:</w:t>
      </w:r>
      <w:r w:rsidRPr="00BD5E91">
        <w:rPr>
          <w:sz w:val="22"/>
          <w:szCs w:val="22"/>
          <w:rtl/>
        </w:rPr>
        <w:t xml:space="preserve"> זוהר ג' אמ"ש ונקראים אמות מאימא עילאה אם כל חי</w:t>
      </w:r>
      <w:r>
        <w:rPr>
          <w:rFonts w:hint="cs"/>
          <w:sz w:val="22"/>
          <w:szCs w:val="22"/>
          <w:rtl/>
        </w:rPr>
        <w:t>,</w:t>
      </w:r>
      <w:r w:rsidRPr="00BD5E91">
        <w:rPr>
          <w:sz w:val="22"/>
          <w:szCs w:val="22"/>
          <w:rtl/>
        </w:rPr>
        <w:t xml:space="preserve"> וי"ב פשוטות י"ב מזלות</w:t>
      </w:r>
      <w:r>
        <w:rPr>
          <w:rFonts w:hint="cs"/>
          <w:sz w:val="22"/>
          <w:szCs w:val="22"/>
          <w:rtl/>
        </w:rPr>
        <w:t>,</w:t>
      </w:r>
      <w:r w:rsidRPr="00BD5E91">
        <w:rPr>
          <w:sz w:val="22"/>
          <w:szCs w:val="22"/>
          <w:rtl/>
        </w:rPr>
        <w:t xml:space="preserve"> וז' כפולות ז' כוכבי לכת כמ"ש בס"י</w:t>
      </w:r>
      <w:r>
        <w:rPr>
          <w:rFonts w:hint="cs"/>
          <w:sz w:val="22"/>
          <w:szCs w:val="22"/>
          <w:rtl/>
        </w:rPr>
        <w:t>.</w:t>
      </w:r>
      <w:r w:rsidRPr="00BD5E91">
        <w:rPr>
          <w:sz w:val="22"/>
          <w:szCs w:val="22"/>
          <w:rtl/>
        </w:rPr>
        <w:t xml:space="preserve"> והכל יצאו מאמ"ש ואמ"ש הן ג' מוחין דז"א שהן מתפשטין בכל גופא דז"א כמ"ש בא"ז ובא"ר בכ"מ תלת גוונין דשני לי' כנ"ל ומשם שדר כו' ולכן נקראו אמות וכן הם בכולם כי אין דבר בעולם שנה נפש אף במזלות וכוכבים שאין מורכבים מג' אלו שהן ד' יסודות ואפילו בספי' מחסד ולמטה וז"ש וכולהו תליין בהאי זוהר שהיא מתפשט בכולם והיא כלל הכל והכל ממנה:</w:t>
      </w:r>
    </w:p>
  </w:footnote>
  <w:footnote w:id="706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תשע נהורין לא מתפשטן כו'.</w:t>
      </w:r>
      <w:r w:rsidRPr="00BD5E91">
        <w:rPr>
          <w:sz w:val="22"/>
          <w:szCs w:val="22"/>
          <w:rtl/>
        </w:rPr>
        <w:t xml:space="preserve"> ר"ל ט' נקודות לא מתפשטין מינייהו האותיות כמו מנקודה העשירית רק מתפשטין מינייהו הטעמים כמש"ו:</w:t>
      </w:r>
    </w:p>
  </w:footnote>
  <w:footnote w:id="706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קשרא קדמאה כו'.</w:t>
      </w:r>
      <w:r w:rsidRPr="00BD5E91">
        <w:rPr>
          <w:sz w:val="22"/>
          <w:szCs w:val="22"/>
          <w:rtl/>
        </w:rPr>
        <w:t xml:space="preserve"> ר"ל חולם אשתאר כאן על אתוון רביע וכבר אמרתי שקשרא קדמאה הוא סוד השבת וז"ש לקמן ע"ד ודא איהו זוהר דהאי רקיע דאיהו יום השבת ע"ש:</w:t>
      </w:r>
    </w:p>
  </w:footnote>
  <w:footnote w:id="706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תרי אחרינן קיימין לטעמא חדא כו'.</w:t>
      </w:r>
      <w:r w:rsidRPr="00BD5E91">
        <w:rPr>
          <w:sz w:val="22"/>
          <w:szCs w:val="22"/>
          <w:rtl/>
        </w:rPr>
        <w:t xml:space="preserve"> ר"ל זקף גדול והן ב' נקודות זה על גבי זה ואצלן מקל כמו ו' וז"ש </w:t>
      </w:r>
      <w:r w:rsidRPr="00BD5E91">
        <w:rPr>
          <w:b/>
          <w:bCs/>
          <w:sz w:val="22"/>
          <w:szCs w:val="22"/>
          <w:rtl/>
        </w:rPr>
        <w:t>גו דיוקנא דוא"ו.</w:t>
      </w:r>
      <w:r w:rsidRPr="00BD5E91">
        <w:rPr>
          <w:sz w:val="22"/>
          <w:szCs w:val="22"/>
          <w:rtl/>
        </w:rPr>
        <w:t xml:space="preserve"> וכמש"ל בד' פ' ע"א אינון שני קשרין אחרנין דקא אמרן כו' ע"ש:</w:t>
      </w:r>
    </w:p>
  </w:footnote>
  <w:footnote w:id="706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ג'</w:t>
      </w:r>
      <w:r>
        <w:rPr>
          <w:rFonts w:hint="cs"/>
          <w:b/>
          <w:bCs/>
          <w:sz w:val="22"/>
          <w:szCs w:val="22"/>
          <w:rtl/>
        </w:rPr>
        <w:t xml:space="preserve"> </w:t>
      </w:r>
      <w:r w:rsidRPr="00BD5E91">
        <w:rPr>
          <w:b/>
          <w:bCs/>
          <w:sz w:val="22"/>
          <w:szCs w:val="22"/>
          <w:rtl/>
        </w:rPr>
        <w:t xml:space="preserve">אלין כו'. </w:t>
      </w:r>
      <w:r w:rsidRPr="00BD5E91">
        <w:rPr>
          <w:sz w:val="22"/>
          <w:szCs w:val="22"/>
          <w:rtl/>
        </w:rPr>
        <w:t>ור"ל שכל הנקודות מתפשטין ונעשין מהן טעמים בפשיטו כמו זרקא דאתפשט כמש"ל אבל אלו נשארים נקודות ואפשר שו' נקודות הנשארים הולידו י"ג טעמים כמש"ל דהו' נקודות ו"ק כפולין הן שלכך נשתהו י"ב ירחין שהן י"ג עם הכולל אותן כמ"ש בא"ז ד' רפ"ח ע"ב בתלת עשר מכילין דרחמי אשתכח כו' והוא עתיקא כליל לון כו' והוא כאן נקודה סתימאה נקודה העשירית:</w:t>
      </w:r>
    </w:p>
  </w:footnote>
  <w:footnote w:id="707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וכלהו איהו רזא דאורייתא כו'.</w:t>
      </w:r>
      <w:r w:rsidRPr="00BD5E91">
        <w:rPr>
          <w:sz w:val="22"/>
          <w:szCs w:val="22"/>
          <w:rtl/>
        </w:rPr>
        <w:t xml:space="preserve"> ר"ל אורייתא הן האותיות ויש להן סמיכו הנקודות והטעמים וז"ש סתים פנימאה וסמיכו דגלי יתיר:</w:t>
      </w:r>
    </w:p>
  </w:footnote>
  <w:footnote w:id="707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אורייתא בלא סמיכו דא פנימאה לאו סמיכו כו'.</w:t>
      </w:r>
      <w:r w:rsidRPr="00BD5E91">
        <w:rPr>
          <w:sz w:val="22"/>
          <w:szCs w:val="22"/>
          <w:rtl/>
        </w:rPr>
        <w:t xml:space="preserve"> ר"ל אע"ג שיש להן סמיכה דגלי שהן הנקודות מ"מ בלא סמיכו דא פנימאה שהן בבינה לאו סמיכו:</w:t>
      </w:r>
    </w:p>
  </w:footnote>
  <w:footnote w:id="707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מהאי נקודה כו'.</w:t>
      </w:r>
      <w:r w:rsidRPr="00BD5E91">
        <w:rPr>
          <w:sz w:val="22"/>
          <w:szCs w:val="22"/>
          <w:rtl/>
        </w:rPr>
        <w:t xml:space="preserve"> ר"ל מחכמה שהיא נקודה דנפקא מט' היכלין דאקרון אין סוף כמ"ש בפ' נח במאמר הנ"ל:</w:t>
      </w:r>
    </w:p>
  </w:footnote>
  <w:footnote w:id="707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תשע נקודין דשלטין כו'.</w:t>
      </w:r>
      <w:r w:rsidRPr="00BD5E91">
        <w:rPr>
          <w:sz w:val="22"/>
          <w:szCs w:val="22"/>
          <w:rtl/>
        </w:rPr>
        <w:t xml:space="preserve"> הן ט' היכלין שכולם אקרון א"ס כמ"ש שם:</w:t>
      </w:r>
    </w:p>
  </w:footnote>
  <w:footnote w:id="707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תליסר טעמי כו'.</w:t>
      </w:r>
      <w:r w:rsidRPr="00BD5E91">
        <w:rPr>
          <w:sz w:val="22"/>
          <w:szCs w:val="22"/>
          <w:rtl/>
        </w:rPr>
        <w:t xml:space="preserve"> ר"ל מתפשטין מן הט' נקודות:</w:t>
      </w:r>
    </w:p>
  </w:footnote>
  <w:footnote w:id="707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וכל רזין וכל עמיקין.</w:t>
      </w:r>
      <w:r w:rsidRPr="00BD5E91">
        <w:rPr>
          <w:sz w:val="22"/>
          <w:szCs w:val="22"/>
          <w:rtl/>
        </w:rPr>
        <w:t xml:space="preserve"> רזין נגד טעמים ועמיקין נגד נקודות, נשמה ורוח:</w:t>
      </w:r>
    </w:p>
  </w:footnote>
  <w:footnote w:id="707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אלין מפתחין כו'.</w:t>
      </w:r>
      <w:r w:rsidRPr="00BD5E91">
        <w:rPr>
          <w:sz w:val="22"/>
          <w:szCs w:val="22"/>
          <w:rtl/>
        </w:rPr>
        <w:t xml:space="preserve"> ר"ל טעמים ונקודות:</w:t>
      </w:r>
    </w:p>
  </w:footnote>
  <w:footnote w:id="707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דשלטין על אורייתא.</w:t>
      </w:r>
      <w:r w:rsidRPr="00BD5E91">
        <w:rPr>
          <w:sz w:val="22"/>
          <w:szCs w:val="22"/>
          <w:rtl/>
        </w:rPr>
        <w:t xml:space="preserve"> ר"ל על האותיות:</w:t>
      </w:r>
    </w:p>
  </w:footnote>
  <w:footnote w:id="707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מתני' בארבע תקיפין דרוחי דעלמא.</w:t>
      </w:r>
      <w:r w:rsidRPr="00BD5E91">
        <w:rPr>
          <w:sz w:val="22"/>
          <w:szCs w:val="22"/>
          <w:rtl/>
        </w:rPr>
        <w:t xml:space="preserve"> כמ"ש מארבע רוחות בואי הרוח והן ארבע גוונין דרוח שהן הנקודות וכלהו נפקין ממ"ס כמ"ש בא"ר דף ק"ל ע"ב ונחה עליו רוח ה' כו' ארבע רוחין והא רוחא חדא כו' ע"ש כל המאמר:</w:t>
      </w:r>
    </w:p>
  </w:footnote>
  <w:footnote w:id="707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אלין ודאי אינון דמסתכלין ברזין פנימאין כו'.</w:t>
      </w:r>
      <w:r w:rsidRPr="00BD5E91">
        <w:rPr>
          <w:sz w:val="22"/>
          <w:szCs w:val="22"/>
          <w:rtl/>
        </w:rPr>
        <w:t xml:space="preserve"> ר"ל והיודעים הן בדעת שהוא ז"א אבל והמשכילים הן מעצמן כמ"ש (חגיגה יד ע"א) איזהו נבון זהו המבין דבר מתוך דבר</w:t>
      </w:r>
      <w:r>
        <w:rPr>
          <w:rFonts w:hint="cs"/>
          <w:sz w:val="22"/>
          <w:szCs w:val="22"/>
          <w:rtl/>
        </w:rPr>
        <w:t>,</w:t>
      </w:r>
      <w:r w:rsidRPr="00BD5E91">
        <w:rPr>
          <w:sz w:val="22"/>
          <w:szCs w:val="22"/>
          <w:rtl/>
        </w:rPr>
        <w:t xml:space="preserve"> והוא דרגא דבינ</w:t>
      </w:r>
      <w:r>
        <w:rPr>
          <w:rFonts w:hint="cs"/>
          <w:sz w:val="22"/>
          <w:szCs w:val="22"/>
          <w:rtl/>
        </w:rPr>
        <w:t>ה,</w:t>
      </w:r>
      <w:r w:rsidRPr="00BD5E91">
        <w:rPr>
          <w:sz w:val="22"/>
          <w:szCs w:val="22"/>
          <w:rtl/>
        </w:rPr>
        <w:t xml:space="preserve"> והוא רזין פנימאין סתימין כנ"ל שהן בבינה והן אינן תלוין בידיעה מאחר</w:t>
      </w:r>
      <w:r>
        <w:rPr>
          <w:rFonts w:hint="cs"/>
          <w:sz w:val="22"/>
          <w:szCs w:val="22"/>
          <w:rtl/>
        </w:rPr>
        <w:t>,</w:t>
      </w:r>
      <w:r w:rsidRPr="00BD5E91">
        <w:rPr>
          <w:sz w:val="22"/>
          <w:szCs w:val="22"/>
          <w:rtl/>
        </w:rPr>
        <w:t xml:space="preserve"> רק להבין מעצמו כמש"ו ולכן הן ירתין ההוא עלמא דאתי שהן בדרגין דילה וז"ש בעיטורא דזיהרא עילאה על כולא כנ"ל ואמר </w:t>
      </w:r>
      <w:r w:rsidRPr="00BD5E91">
        <w:rPr>
          <w:b/>
          <w:bCs/>
          <w:sz w:val="22"/>
          <w:szCs w:val="22"/>
          <w:rtl/>
        </w:rPr>
        <w:t>דא זוהר דאורייתא כו'.</w:t>
      </w:r>
      <w:r w:rsidRPr="00BD5E91">
        <w:rPr>
          <w:sz w:val="22"/>
          <w:szCs w:val="22"/>
        </w:rPr>
        <w:t xml:space="preserve"> </w:t>
      </w:r>
      <w:r w:rsidRPr="00BD5E91">
        <w:rPr>
          <w:sz w:val="22"/>
          <w:szCs w:val="22"/>
          <w:rtl/>
        </w:rPr>
        <w:t>שהוא בינה כנ"ל:</w:t>
      </w:r>
    </w:p>
  </w:footnote>
  <w:footnote w:id="708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מההוא עפר דכתיב ביה כו'.</w:t>
      </w:r>
      <w:r w:rsidRPr="00BD5E91">
        <w:rPr>
          <w:sz w:val="22"/>
          <w:szCs w:val="22"/>
          <w:rtl/>
        </w:rPr>
        <w:t xml:space="preserve"> ר"ל בינה שהכל ממנה כנ"ל והכל ישובון אליה</w:t>
      </w:r>
      <w:r>
        <w:rPr>
          <w:rFonts w:hint="cs"/>
          <w:sz w:val="22"/>
          <w:szCs w:val="22"/>
          <w:rtl/>
        </w:rPr>
        <w:t>,</w:t>
      </w:r>
      <w:r w:rsidRPr="00BD5E91">
        <w:rPr>
          <w:sz w:val="22"/>
          <w:szCs w:val="22"/>
          <w:rtl/>
        </w:rPr>
        <w:t xml:space="preserve"> צרורא דחיי כידוע</w:t>
      </w:r>
      <w:r>
        <w:rPr>
          <w:rFonts w:hint="cs"/>
          <w:sz w:val="22"/>
          <w:szCs w:val="22"/>
          <w:rtl/>
        </w:rPr>
        <w:t>,</w:t>
      </w:r>
      <w:r w:rsidRPr="00BD5E91">
        <w:rPr>
          <w:sz w:val="22"/>
          <w:szCs w:val="22"/>
          <w:rtl/>
        </w:rPr>
        <w:t xml:space="preserve"> עלמא דאתי וז"ש </w:t>
      </w:r>
      <w:r w:rsidRPr="00BD5E91">
        <w:rPr>
          <w:b/>
          <w:bCs/>
          <w:sz w:val="22"/>
          <w:szCs w:val="22"/>
          <w:rtl/>
        </w:rPr>
        <w:t xml:space="preserve">ואפילו גלגל חמה </w:t>
      </w:r>
      <w:r w:rsidRPr="00BD5E91">
        <w:rPr>
          <w:sz w:val="22"/>
          <w:szCs w:val="22"/>
          <w:rtl/>
        </w:rPr>
        <w:t>ר"ל ז"א</w:t>
      </w:r>
      <w:r>
        <w:rPr>
          <w:rFonts w:hint="cs"/>
          <w:sz w:val="22"/>
          <w:szCs w:val="22"/>
          <w:rtl/>
        </w:rPr>
        <w:t>,</w:t>
      </w:r>
      <w:r w:rsidRPr="00BD5E91">
        <w:rPr>
          <w:sz w:val="22"/>
          <w:szCs w:val="22"/>
          <w:rtl/>
        </w:rPr>
        <w:t xml:space="preserve"> אע"ג דנפיק מ</w:t>
      </w:r>
      <w:r>
        <w:rPr>
          <w:rFonts w:hint="cs"/>
          <w:sz w:val="22"/>
          <w:szCs w:val="22"/>
          <w:rtl/>
        </w:rPr>
        <w:t>ג</w:t>
      </w:r>
      <w:r w:rsidRPr="00BD5E91">
        <w:rPr>
          <w:sz w:val="22"/>
          <w:szCs w:val="22"/>
          <w:rtl/>
        </w:rPr>
        <w:t>ו נקודה עילאה מ"מ ממנה יצא ובה אצטייר כנ"ל:</w:t>
      </w:r>
    </w:p>
  </w:footnote>
  <w:footnote w:id="708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אית כוכבים דאתחזיין כו' תלת לכל סטר דקיקיא נצצין ותרין כקיטפא.</w:t>
      </w:r>
      <w:r w:rsidRPr="00BD5E91">
        <w:rPr>
          <w:sz w:val="22"/>
          <w:szCs w:val="22"/>
          <w:rtl/>
        </w:rPr>
        <w:t xml:space="preserve"> עכשיו מפרש י"ג טעמים שהן שנים עשר וחד שליט על כולא כמש"ל בא"ז</w:t>
      </w:r>
      <w:r>
        <w:rPr>
          <w:rFonts w:hint="cs"/>
          <w:sz w:val="22"/>
          <w:szCs w:val="22"/>
          <w:rtl/>
        </w:rPr>
        <w:t>.</w:t>
      </w:r>
      <w:r w:rsidRPr="00BD5E91">
        <w:rPr>
          <w:sz w:val="22"/>
          <w:szCs w:val="22"/>
          <w:rtl/>
        </w:rPr>
        <w:t xml:space="preserve"> כי י"ב מזלות הן בי"ב שבטים וי"ב שבטים הן י"ב כוכבים וכן י"ב מזלות והתלי שליט על כולא כמ"ש בס"י תלי כמלך כו' ע"ש והן לד' סטרין ד' דגלים ג' לכל סטר</w:t>
      </w:r>
      <w:r>
        <w:rPr>
          <w:rFonts w:hint="cs"/>
          <w:sz w:val="22"/>
          <w:szCs w:val="22"/>
          <w:rtl/>
        </w:rPr>
        <w:t>.</w:t>
      </w:r>
      <w:r w:rsidRPr="00BD5E91">
        <w:rPr>
          <w:sz w:val="22"/>
          <w:szCs w:val="22"/>
          <w:rtl/>
        </w:rPr>
        <w:t xml:space="preserve"> והן בד' פרקי גופא</w:t>
      </w:r>
      <w:r>
        <w:rPr>
          <w:rFonts w:hint="cs"/>
          <w:sz w:val="22"/>
          <w:szCs w:val="22"/>
          <w:rtl/>
        </w:rPr>
        <w:t>,</w:t>
      </w:r>
      <w:r w:rsidRPr="00BD5E91">
        <w:rPr>
          <w:sz w:val="22"/>
          <w:szCs w:val="22"/>
          <w:rtl/>
        </w:rPr>
        <w:t xml:space="preserve"> ב' דרועין וב' ירכין</w:t>
      </w:r>
      <w:r>
        <w:rPr>
          <w:rFonts w:hint="cs"/>
          <w:sz w:val="22"/>
          <w:szCs w:val="22"/>
          <w:rtl/>
        </w:rPr>
        <w:t>,</w:t>
      </w:r>
      <w:r w:rsidRPr="00BD5E91">
        <w:rPr>
          <w:sz w:val="22"/>
          <w:szCs w:val="22"/>
          <w:rtl/>
        </w:rPr>
        <w:t xml:space="preserve"> ג' בכל פרק</w:t>
      </w:r>
      <w:r>
        <w:rPr>
          <w:rFonts w:hint="cs"/>
          <w:sz w:val="22"/>
          <w:szCs w:val="22"/>
          <w:rtl/>
        </w:rPr>
        <w:t>.</w:t>
      </w:r>
      <w:r w:rsidRPr="00BD5E91">
        <w:rPr>
          <w:sz w:val="22"/>
          <w:szCs w:val="22"/>
          <w:rtl/>
        </w:rPr>
        <w:t xml:space="preserve"> דרועא ימינא מזרח</w:t>
      </w:r>
      <w:r>
        <w:rPr>
          <w:rFonts w:hint="cs"/>
          <w:sz w:val="22"/>
          <w:szCs w:val="22"/>
          <w:rtl/>
        </w:rPr>
        <w:t>,</w:t>
      </w:r>
      <w:r w:rsidRPr="00BD5E91">
        <w:rPr>
          <w:sz w:val="22"/>
          <w:szCs w:val="22"/>
          <w:rtl/>
        </w:rPr>
        <w:t xml:space="preserve"> וירכא ימינא מערב</w:t>
      </w:r>
      <w:r>
        <w:rPr>
          <w:rFonts w:hint="cs"/>
          <w:sz w:val="22"/>
          <w:szCs w:val="22"/>
          <w:rtl/>
        </w:rPr>
        <w:t>,</w:t>
      </w:r>
      <w:r w:rsidRPr="00BD5E91">
        <w:rPr>
          <w:sz w:val="22"/>
          <w:szCs w:val="22"/>
          <w:rtl/>
        </w:rPr>
        <w:t xml:space="preserve"> ודרועא שמאלא דרום</w:t>
      </w:r>
      <w:r>
        <w:rPr>
          <w:rFonts w:hint="cs"/>
          <w:sz w:val="22"/>
          <w:szCs w:val="22"/>
          <w:rtl/>
        </w:rPr>
        <w:t>,</w:t>
      </w:r>
      <w:r w:rsidRPr="00BD5E91">
        <w:rPr>
          <w:sz w:val="22"/>
          <w:szCs w:val="22"/>
          <w:rtl/>
        </w:rPr>
        <w:t xml:space="preserve"> וירכא שמאלא צפון</w:t>
      </w:r>
      <w:r>
        <w:rPr>
          <w:rFonts w:hint="cs"/>
          <w:sz w:val="22"/>
          <w:szCs w:val="22"/>
          <w:rtl/>
        </w:rPr>
        <w:t>,</w:t>
      </w:r>
      <w:r w:rsidRPr="00BD5E91">
        <w:rPr>
          <w:sz w:val="22"/>
          <w:szCs w:val="22"/>
          <w:rtl/>
        </w:rPr>
        <w:t xml:space="preserve"> כמ"ש בפ' ויחי ד</w:t>
      </w:r>
      <w:r>
        <w:rPr>
          <w:rFonts w:hint="cs"/>
          <w:sz w:val="22"/>
          <w:szCs w:val="22"/>
          <w:rtl/>
        </w:rPr>
        <w:t>ף</w:t>
      </w:r>
      <w:r w:rsidRPr="00BD5E91">
        <w:rPr>
          <w:sz w:val="22"/>
          <w:szCs w:val="22"/>
          <w:rtl/>
        </w:rPr>
        <w:t xml:space="preserve"> רמ"א ע"א פתח ר' אבא כו' עומד על שני עשר בקר שלשה כו' ת"ח תריסר שבטין כו' תו תריסר תלת קשרין כו' תו בתליסר מכילין אורייתא אתפרש</w:t>
      </w:r>
      <w:r>
        <w:rPr>
          <w:rFonts w:hint="cs"/>
          <w:sz w:val="22"/>
          <w:szCs w:val="22"/>
          <w:rtl/>
        </w:rPr>
        <w:t>.</w:t>
      </w:r>
      <w:r w:rsidRPr="00BD5E91">
        <w:rPr>
          <w:sz w:val="22"/>
          <w:szCs w:val="22"/>
          <w:rtl/>
        </w:rPr>
        <w:t xml:space="preserve"> ובד</w:t>
      </w:r>
      <w:r>
        <w:rPr>
          <w:rFonts w:hint="cs"/>
          <w:sz w:val="22"/>
          <w:szCs w:val="22"/>
          <w:rtl/>
        </w:rPr>
        <w:t>ף</w:t>
      </w:r>
      <w:r w:rsidRPr="00BD5E91">
        <w:rPr>
          <w:sz w:val="22"/>
          <w:szCs w:val="22"/>
          <w:rtl/>
        </w:rPr>
        <w:t xml:space="preserve"> רמ"ב ע"א יהודה וראובן תרין דרועין הוו סדרא תליתאה כו' ע"ש</w:t>
      </w:r>
      <w:r>
        <w:rPr>
          <w:rFonts w:hint="cs"/>
          <w:sz w:val="22"/>
          <w:szCs w:val="22"/>
          <w:rtl/>
        </w:rPr>
        <w:t>.</w:t>
      </w:r>
      <w:r w:rsidRPr="00BD5E91">
        <w:rPr>
          <w:sz w:val="22"/>
          <w:szCs w:val="22"/>
          <w:rtl/>
        </w:rPr>
        <w:t xml:space="preserve"> יצאו מהן לוי ויוסף שאינן ממנין הדגלים. והענין שלוי הוא גופא כמ"ש בסבא פ' משפטים ואמר שם בויחי ד' רמ"א ע"א וגופא קיימא עלייהו והוא באמצען עם הארון שהוא גופא</w:t>
      </w:r>
      <w:r>
        <w:rPr>
          <w:rFonts w:hint="cs"/>
          <w:sz w:val="22"/>
          <w:szCs w:val="22"/>
          <w:rtl/>
        </w:rPr>
        <w:t>,</w:t>
      </w:r>
      <w:r w:rsidRPr="00BD5E91">
        <w:rPr>
          <w:sz w:val="22"/>
          <w:szCs w:val="22"/>
          <w:rtl/>
        </w:rPr>
        <w:t xml:space="preserve"> ויוסף הוא ברית</w:t>
      </w:r>
      <w:r>
        <w:rPr>
          <w:rFonts w:hint="cs"/>
          <w:sz w:val="22"/>
          <w:szCs w:val="22"/>
          <w:rtl/>
        </w:rPr>
        <w:t>,</w:t>
      </w:r>
      <w:r w:rsidRPr="00BD5E91">
        <w:rPr>
          <w:sz w:val="22"/>
          <w:szCs w:val="22"/>
          <w:rtl/>
        </w:rPr>
        <w:t xml:space="preserve"> ועמהם נשלמו ו"ק</w:t>
      </w:r>
      <w:r>
        <w:rPr>
          <w:rFonts w:hint="cs"/>
          <w:sz w:val="22"/>
          <w:szCs w:val="22"/>
          <w:rtl/>
        </w:rPr>
        <w:t>,</w:t>
      </w:r>
      <w:r w:rsidRPr="00BD5E91">
        <w:rPr>
          <w:sz w:val="22"/>
          <w:szCs w:val="22"/>
          <w:rtl/>
        </w:rPr>
        <w:t xml:space="preserve"> והיה ארונו של יוסף מהלך עם הארון וכמ"ש (שמות יג יט) ויקח משה את עצמות יוסף עמו</w:t>
      </w:r>
      <w:r>
        <w:rPr>
          <w:rFonts w:hint="cs"/>
          <w:sz w:val="22"/>
          <w:szCs w:val="22"/>
          <w:rtl/>
        </w:rPr>
        <w:t>,</w:t>
      </w:r>
      <w:r w:rsidRPr="00BD5E91">
        <w:rPr>
          <w:sz w:val="22"/>
          <w:szCs w:val="22"/>
          <w:rtl/>
        </w:rPr>
        <w:t xml:space="preserve"> גוף וברית</w:t>
      </w:r>
      <w:r>
        <w:rPr>
          <w:rFonts w:hint="cs"/>
          <w:sz w:val="22"/>
          <w:szCs w:val="22"/>
          <w:rtl/>
        </w:rPr>
        <w:t>,</w:t>
      </w:r>
      <w:r w:rsidRPr="00BD5E91">
        <w:rPr>
          <w:sz w:val="22"/>
          <w:szCs w:val="22"/>
          <w:rtl/>
        </w:rPr>
        <w:t xml:space="preserve"> ועמהם היו י"ד</w:t>
      </w:r>
      <w:r>
        <w:rPr>
          <w:rFonts w:hint="cs"/>
          <w:sz w:val="22"/>
          <w:szCs w:val="22"/>
          <w:rtl/>
        </w:rPr>
        <w:t>,</w:t>
      </w:r>
      <w:r w:rsidRPr="00BD5E91">
        <w:rPr>
          <w:sz w:val="22"/>
          <w:szCs w:val="22"/>
          <w:rtl/>
        </w:rPr>
        <w:t xml:space="preserve"> אלא שגוף וברית כחדא חשבינן להו הרי י"ג</w:t>
      </w:r>
      <w:r>
        <w:rPr>
          <w:rFonts w:hint="cs"/>
          <w:sz w:val="22"/>
          <w:szCs w:val="22"/>
          <w:rtl/>
        </w:rPr>
        <w:t>.</w:t>
      </w:r>
      <w:r w:rsidRPr="00BD5E91">
        <w:rPr>
          <w:sz w:val="22"/>
          <w:szCs w:val="22"/>
          <w:rtl/>
        </w:rPr>
        <w:t xml:space="preserve"> וזהו ה' עילאה כמו שאמר בס"ת במאמר הנ"ל</w:t>
      </w:r>
      <w:r>
        <w:rPr>
          <w:rFonts w:hint="cs"/>
          <w:sz w:val="22"/>
          <w:szCs w:val="22"/>
          <w:rtl/>
        </w:rPr>
        <w:t>,</w:t>
      </w:r>
      <w:r w:rsidRPr="00BD5E91">
        <w:rPr>
          <w:sz w:val="22"/>
          <w:szCs w:val="22"/>
          <w:rtl/>
        </w:rPr>
        <w:t xml:space="preserve"> ה'</w:t>
      </w:r>
      <w:r>
        <w:rPr>
          <w:rFonts w:hint="cs"/>
          <w:sz w:val="22"/>
          <w:szCs w:val="22"/>
          <w:rtl/>
        </w:rPr>
        <w:t>,</w:t>
      </w:r>
      <w:r w:rsidRPr="00BD5E91">
        <w:rPr>
          <w:sz w:val="22"/>
          <w:szCs w:val="22"/>
          <w:rtl/>
        </w:rPr>
        <w:t xml:space="preserve"> ד' על נקודה</w:t>
      </w:r>
      <w:r>
        <w:rPr>
          <w:rFonts w:hint="cs"/>
          <w:sz w:val="22"/>
          <w:szCs w:val="22"/>
          <w:rtl/>
        </w:rPr>
        <w:t>.</w:t>
      </w:r>
      <w:r w:rsidRPr="00BD5E91">
        <w:rPr>
          <w:sz w:val="22"/>
          <w:szCs w:val="22"/>
          <w:rtl/>
        </w:rPr>
        <w:t xml:space="preserve"> וד' הן ד' סטרין</w:t>
      </w:r>
      <w:r>
        <w:rPr>
          <w:rFonts w:hint="cs"/>
          <w:sz w:val="22"/>
          <w:szCs w:val="22"/>
          <w:rtl/>
        </w:rPr>
        <w:t>,</w:t>
      </w:r>
      <w:r w:rsidRPr="00BD5E91">
        <w:rPr>
          <w:sz w:val="22"/>
          <w:szCs w:val="22"/>
          <w:rtl/>
        </w:rPr>
        <w:t xml:space="preserve"> ונקודה האמצעית הוא גוף דקיימא באמצע כנ"ל</w:t>
      </w:r>
      <w:r>
        <w:rPr>
          <w:rFonts w:hint="cs"/>
          <w:sz w:val="22"/>
          <w:szCs w:val="22"/>
          <w:rtl/>
        </w:rPr>
        <w:t>.</w:t>
      </w:r>
      <w:r w:rsidRPr="00BD5E91">
        <w:rPr>
          <w:sz w:val="22"/>
          <w:szCs w:val="22"/>
          <w:rtl/>
        </w:rPr>
        <w:t xml:space="preserve"> וז"ש </w:t>
      </w:r>
      <w:r w:rsidRPr="00BD5E91">
        <w:rPr>
          <w:b/>
          <w:bCs/>
          <w:sz w:val="22"/>
          <w:szCs w:val="22"/>
          <w:rtl/>
        </w:rPr>
        <w:t xml:space="preserve">ותרין כקיטפא. </w:t>
      </w:r>
      <w:r w:rsidRPr="00BD5E91">
        <w:rPr>
          <w:sz w:val="22"/>
          <w:szCs w:val="22"/>
          <w:rtl/>
        </w:rPr>
        <w:t>ר"ל כדיבוק שגוף וברית מדובקין יחד שאין מפסיק ביניהם כמו בין דרועין וירכין שלכן היו שני ארונות מהלכין זה בצד זה ואמרו קיים זה מה שכתוב בזה כי גוף וברית שניהם נקראים זה, וקרא זה אל זה (ישעיהו ו ג), כי זה משה האיש (שמות לב א), אשר נתן לי אלקים בזה (בראשית מח ט), וזה לך האות (שמות ג יב), ואמרו (ב"ק יז ע"א) קיים זה כו' שכל שבגופא כלהו אתקיימו בברית</w:t>
      </w:r>
      <w:r>
        <w:rPr>
          <w:rFonts w:hint="cs"/>
          <w:sz w:val="22"/>
          <w:szCs w:val="22"/>
          <w:rtl/>
        </w:rPr>
        <w:t>.</w:t>
      </w:r>
      <w:r w:rsidRPr="00BD5E91">
        <w:rPr>
          <w:sz w:val="22"/>
          <w:szCs w:val="22"/>
          <w:rtl/>
        </w:rPr>
        <w:t xml:space="preserve"> ולכן שקול ברית נגד כל התורה כולה</w:t>
      </w:r>
      <w:r>
        <w:rPr>
          <w:rFonts w:hint="cs"/>
          <w:sz w:val="22"/>
          <w:szCs w:val="22"/>
          <w:rtl/>
        </w:rPr>
        <w:t>,</w:t>
      </w:r>
      <w:r w:rsidRPr="00BD5E91">
        <w:rPr>
          <w:sz w:val="22"/>
          <w:szCs w:val="22"/>
          <w:rtl/>
        </w:rPr>
        <w:t xml:space="preserve"> ונכרתו בה י"ג בריתות נגד י"ג הנ"ל. ואמר דקיקיא כמ"ש לעיל במאמר קו המדה</w:t>
      </w:r>
      <w:r>
        <w:rPr>
          <w:rFonts w:hint="cs"/>
          <w:sz w:val="22"/>
          <w:szCs w:val="22"/>
          <w:rtl/>
        </w:rPr>
        <w:t>,</w:t>
      </w:r>
      <w:r w:rsidRPr="00BD5E91">
        <w:rPr>
          <w:sz w:val="22"/>
          <w:szCs w:val="22"/>
          <w:rtl/>
        </w:rPr>
        <w:t xml:space="preserve"> נפקין אינון נהורין דקיקין כו' ואתעכב בי' שנים עשר ירחין כו' והן תרין עשר דקיקין דכאן:</w:t>
      </w:r>
    </w:p>
  </w:footnote>
  <w:footnote w:id="708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כוכבא דזיהרא זהיר כו'.</w:t>
      </w:r>
      <w:r w:rsidRPr="00BD5E91">
        <w:rPr>
          <w:sz w:val="22"/>
          <w:szCs w:val="22"/>
          <w:rtl/>
        </w:rPr>
        <w:t xml:space="preserve"> ר"ל כוכבא דזיהרא הוא בינה שנקרא זוהר כנ"ל זהיר גו גבורה שנקרא עגלא מזל שור שמזל שמעון הוא שור ושמעון הוא בדרועא שמאלא והוא בגבורה:</w:t>
      </w:r>
    </w:p>
  </w:footnote>
  <w:footnote w:id="708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כוכבא נהיר כו' כוכבא אחרא כו'.</w:t>
      </w:r>
      <w:r w:rsidRPr="00BD5E91">
        <w:rPr>
          <w:sz w:val="22"/>
          <w:szCs w:val="22"/>
          <w:rtl/>
        </w:rPr>
        <w:t xml:space="preserve"> ר"ל חסד וגבורה והן לבנה ומאדים כמ"ש בס"י:</w:t>
      </w:r>
    </w:p>
  </w:footnote>
  <w:footnote w:id="708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סמיך להאי דהבא דקיק כו'.</w:t>
      </w:r>
      <w:r w:rsidRPr="00BD5E91">
        <w:rPr>
          <w:sz w:val="22"/>
          <w:szCs w:val="22"/>
          <w:rtl/>
        </w:rPr>
        <w:t xml:space="preserve"> ר"ל אצל כוכבא סומקא גדל הזהב</w:t>
      </w:r>
      <w:r>
        <w:rPr>
          <w:rFonts w:hint="cs"/>
          <w:sz w:val="22"/>
          <w:szCs w:val="22"/>
          <w:rtl/>
        </w:rPr>
        <w:t>,</w:t>
      </w:r>
      <w:r w:rsidRPr="00BD5E91">
        <w:rPr>
          <w:sz w:val="22"/>
          <w:szCs w:val="22"/>
          <w:rtl/>
        </w:rPr>
        <w:t xml:space="preserve"> והוא מלכות</w:t>
      </w:r>
      <w:r>
        <w:rPr>
          <w:rFonts w:hint="cs"/>
          <w:sz w:val="22"/>
          <w:szCs w:val="22"/>
          <w:rtl/>
        </w:rPr>
        <w:t>,</w:t>
      </w:r>
      <w:r w:rsidRPr="00BD5E91">
        <w:rPr>
          <w:sz w:val="22"/>
          <w:szCs w:val="22"/>
          <w:rtl/>
        </w:rPr>
        <w:t xml:space="preserve"> בת שבע</w:t>
      </w:r>
      <w:r>
        <w:rPr>
          <w:rFonts w:hint="cs"/>
          <w:sz w:val="22"/>
          <w:szCs w:val="22"/>
          <w:rtl/>
        </w:rPr>
        <w:t>,</w:t>
      </w:r>
      <w:r w:rsidRPr="00BD5E91">
        <w:rPr>
          <w:sz w:val="22"/>
          <w:szCs w:val="22"/>
          <w:rtl/>
        </w:rPr>
        <w:t xml:space="preserve"> שלכן שבע זהבים הן</w:t>
      </w:r>
      <w:r>
        <w:rPr>
          <w:rFonts w:hint="cs"/>
          <w:sz w:val="22"/>
          <w:szCs w:val="22"/>
          <w:rtl/>
        </w:rPr>
        <w:t>.</w:t>
      </w:r>
      <w:r w:rsidRPr="00BD5E91">
        <w:rPr>
          <w:sz w:val="22"/>
          <w:szCs w:val="22"/>
          <w:rtl/>
        </w:rPr>
        <w:t xml:space="preserve"> ודוד שבע מיני זהב הוה בשערוי כמ"ש בז"ח וז"ש </w:t>
      </w:r>
      <w:r w:rsidRPr="00BD5E91">
        <w:rPr>
          <w:b/>
          <w:bCs/>
          <w:sz w:val="22"/>
          <w:szCs w:val="22"/>
          <w:rtl/>
        </w:rPr>
        <w:t>גו היכלא דאתוון דקיקין.</w:t>
      </w:r>
      <w:r w:rsidRPr="00BD5E91">
        <w:rPr>
          <w:sz w:val="22"/>
          <w:szCs w:val="22"/>
          <w:rtl/>
        </w:rPr>
        <w:t xml:space="preserve"> כמש"ל דאתוון דקיקין במלכות וז"ש </w:t>
      </w:r>
      <w:r w:rsidRPr="00BD5E91">
        <w:rPr>
          <w:b/>
          <w:bCs/>
          <w:sz w:val="22"/>
          <w:szCs w:val="22"/>
          <w:rtl/>
        </w:rPr>
        <w:t xml:space="preserve">דלא נהיר. </w:t>
      </w:r>
      <w:r w:rsidRPr="00BD5E91">
        <w:rPr>
          <w:sz w:val="22"/>
          <w:szCs w:val="22"/>
          <w:rtl/>
        </w:rPr>
        <w:t>דל"ל מגרמ' כלום:</w:t>
      </w:r>
    </w:p>
  </w:footnote>
  <w:footnote w:id="708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ואמר שבע טעמי דאורייתא כו'.</w:t>
      </w:r>
      <w:r w:rsidRPr="00BD5E91">
        <w:rPr>
          <w:sz w:val="22"/>
          <w:szCs w:val="22"/>
          <w:rtl/>
        </w:rPr>
        <w:t xml:space="preserve"> ששם שבע כנ"ל:</w:t>
      </w:r>
    </w:p>
  </w:footnote>
  <w:footnote w:id="708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ואלין טעמין דאתפרשו כו'.</w:t>
      </w:r>
      <w:r w:rsidRPr="00BD5E91">
        <w:rPr>
          <w:sz w:val="22"/>
          <w:szCs w:val="22"/>
          <w:rtl/>
        </w:rPr>
        <w:t xml:space="preserve"> ר"ל שהשבע טעמין הם שבע מאותן שבתורה ואלו שבע מתפרשין לי"ג אחרנין לנגנא לכתובים:</w:t>
      </w:r>
    </w:p>
  </w:footnote>
  <w:footnote w:id="708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ואלין יחידאי כו'.</w:t>
      </w:r>
      <w:r w:rsidRPr="00BD5E91">
        <w:rPr>
          <w:sz w:val="22"/>
          <w:szCs w:val="22"/>
          <w:rtl/>
        </w:rPr>
        <w:t xml:space="preserve"> ר"ל שאינן אותן שבתורה:</w:t>
      </w:r>
    </w:p>
  </w:footnote>
  <w:footnote w:id="708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בשבעה היכלין דכתובים.</w:t>
      </w:r>
      <w:r w:rsidRPr="00BD5E91">
        <w:rPr>
          <w:sz w:val="22"/>
          <w:szCs w:val="22"/>
          <w:rtl/>
        </w:rPr>
        <w:t xml:space="preserve"> שכתובים הוא מלכו</w:t>
      </w:r>
      <w:r>
        <w:rPr>
          <w:rFonts w:hint="cs"/>
          <w:sz w:val="22"/>
          <w:szCs w:val="22"/>
          <w:rtl/>
        </w:rPr>
        <w:t>ת</w:t>
      </w:r>
      <w:r w:rsidRPr="00BD5E91">
        <w:rPr>
          <w:sz w:val="22"/>
          <w:szCs w:val="22"/>
          <w:rtl/>
        </w:rPr>
        <w:t xml:space="preserve"> כידוע ויש לה שבע נערות הראויות לתת לה מבית המלך והן ז' היכלות דבריאה שהיא מתלבשת בהם ז"ת דידה:</w:t>
      </w:r>
    </w:p>
  </w:footnote>
  <w:footnote w:id="708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ואלין שבע מתפרשין כו'.</w:t>
      </w:r>
      <w:r w:rsidRPr="00BD5E91">
        <w:rPr>
          <w:sz w:val="22"/>
          <w:szCs w:val="22"/>
          <w:rtl/>
        </w:rPr>
        <w:t xml:space="preserve"> כנ"ל מי"ג של אורייתא כנ"ל:</w:t>
      </w:r>
    </w:p>
  </w:footnote>
  <w:footnote w:id="709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וכד שראן כו'.</w:t>
      </w:r>
      <w:r w:rsidRPr="00BD5E91">
        <w:rPr>
          <w:sz w:val="22"/>
          <w:szCs w:val="22"/>
          <w:rtl/>
        </w:rPr>
        <w:t xml:space="preserve"> כידוע שז' מתלבשין בעשר בכל פרצוף:</w:t>
      </w:r>
    </w:p>
  </w:footnote>
  <w:footnote w:id="709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ועלייהו אקרי כו'.</w:t>
      </w:r>
      <w:r w:rsidRPr="00BD5E91">
        <w:rPr>
          <w:sz w:val="22"/>
          <w:szCs w:val="22"/>
          <w:rtl/>
        </w:rPr>
        <w:t xml:space="preserve"> שהיא אמונת ישראל רבה אמונתך כידוע:</w:t>
      </w:r>
    </w:p>
  </w:footnote>
  <w:footnote w:id="709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ועשר אמונים עלייהו אינון.</w:t>
      </w:r>
      <w:r w:rsidRPr="00BD5E91">
        <w:rPr>
          <w:sz w:val="22"/>
          <w:szCs w:val="22"/>
          <w:rtl/>
        </w:rPr>
        <w:t xml:space="preserve"> ר"ל ע"ס דמלכות עלייהו:</w:t>
      </w:r>
    </w:p>
  </w:footnote>
  <w:footnote w:id="709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לבתר מתפרשין לי"ג.</w:t>
      </w:r>
      <w:r w:rsidRPr="00BD5E91">
        <w:rPr>
          <w:sz w:val="22"/>
          <w:szCs w:val="22"/>
          <w:rtl/>
        </w:rPr>
        <w:t xml:space="preserve"> כנ"ל ואלין שבע מתפרשין לי"ג אחרנין כו' שכן הוא בכל פרצוף שז' ממנה נפקין ע"ס דפרצוף תחתון ואח"כ מאיר בתחתון ג"ר של עליון ונעשה בתחתון י"ג כידוע:</w:t>
      </w:r>
    </w:p>
  </w:footnote>
  <w:footnote w:id="709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וכולא כגוונא דלעילא באורייתא.</w:t>
      </w:r>
      <w:r w:rsidRPr="00BD5E91">
        <w:rPr>
          <w:sz w:val="22"/>
          <w:szCs w:val="22"/>
          <w:rtl/>
        </w:rPr>
        <w:t xml:space="preserve"> כמו שמלכות דאצילות נעשית עתיק בבריאה בז"ת דילה ומשם נעשה באריך דבריא' י"ג תיקונין שהן י"ג טעמים כן היו בעתיק דאצילות שז"ת דרדל"א נתלבש בא"א ונאצלו י"ג תיקונין ממנה כידוע:</w:t>
      </w:r>
    </w:p>
  </w:footnote>
  <w:footnote w:id="709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נביאים שראן בדוכתייהו.</w:t>
      </w:r>
      <w:r w:rsidRPr="00BD5E91">
        <w:rPr>
          <w:sz w:val="22"/>
          <w:szCs w:val="22"/>
          <w:rtl/>
        </w:rPr>
        <w:t xml:space="preserve"> ר"ל שהן בנ"ה והן נשארים באצילות שלכן לא נשתנו טעמיהם מטעמים דאורייתא והן נכללין ביסוד ושם י"ג בריתות ג"כ י"ג תיקוני דיקנא בסוד צמר כידוע וכן מלכות באצילות שבע טעמין דילה לא אשתנו רק באתפרשן לי"ג בבריאה שם נשתנו:</w:t>
      </w:r>
    </w:p>
  </w:footnote>
  <w:footnote w:id="709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וכלא ברזא דאורייתא אזלא.</w:t>
      </w:r>
      <w:r w:rsidRPr="00BD5E91">
        <w:rPr>
          <w:sz w:val="22"/>
          <w:szCs w:val="22"/>
          <w:rtl/>
        </w:rPr>
        <w:t xml:space="preserve"> ר"ל בין נביאים בין כתובים:</w:t>
      </w:r>
    </w:p>
  </w:footnote>
  <w:footnote w:id="709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בניגונא דטעמא שארי כו'.</w:t>
      </w:r>
      <w:r w:rsidRPr="00BD5E91">
        <w:rPr>
          <w:sz w:val="22"/>
          <w:szCs w:val="22"/>
          <w:rtl/>
        </w:rPr>
        <w:t xml:space="preserve"> אוירא דנפקי מא"ס הן טעמים</w:t>
      </w:r>
      <w:r>
        <w:rPr>
          <w:rFonts w:hint="cs"/>
          <w:sz w:val="22"/>
          <w:szCs w:val="22"/>
          <w:rtl/>
        </w:rPr>
        <w:t>,</w:t>
      </w:r>
      <w:r w:rsidRPr="00BD5E91">
        <w:rPr>
          <w:sz w:val="22"/>
          <w:szCs w:val="22"/>
          <w:rtl/>
        </w:rPr>
        <w:t xml:space="preserve"> וממוחא נקודות</w:t>
      </w:r>
      <w:r>
        <w:rPr>
          <w:rFonts w:hint="cs"/>
          <w:sz w:val="22"/>
          <w:szCs w:val="22"/>
          <w:rtl/>
        </w:rPr>
        <w:t>,</w:t>
      </w:r>
      <w:r w:rsidRPr="00BD5E91">
        <w:rPr>
          <w:sz w:val="22"/>
          <w:szCs w:val="22"/>
          <w:rtl/>
        </w:rPr>
        <w:t xml:space="preserve"> ומגרונא אותיות</w:t>
      </w:r>
      <w:r>
        <w:rPr>
          <w:rFonts w:hint="cs"/>
          <w:sz w:val="22"/>
          <w:szCs w:val="22"/>
          <w:rtl/>
        </w:rPr>
        <w:t>.</w:t>
      </w:r>
      <w:r w:rsidRPr="00BD5E91">
        <w:rPr>
          <w:sz w:val="22"/>
          <w:szCs w:val="22"/>
          <w:rtl/>
        </w:rPr>
        <w:t xml:space="preserve"> שא"ס ומוחא וגרונא הן כח"ב</w:t>
      </w:r>
      <w:r>
        <w:rPr>
          <w:rFonts w:hint="cs"/>
          <w:sz w:val="22"/>
          <w:szCs w:val="22"/>
          <w:rtl/>
        </w:rPr>
        <w:t>,</w:t>
      </w:r>
      <w:r w:rsidRPr="00BD5E91">
        <w:rPr>
          <w:sz w:val="22"/>
          <w:szCs w:val="22"/>
          <w:rtl/>
        </w:rPr>
        <w:t xml:space="preserve"> שמשם טעמים נקודות ואותיות כמ"ש בסוף ת"ה דף ט"ז ע"ב טעמי אינון מן כתרא כו' נקודין מן כו' ע"ש. ואמר </w:t>
      </w:r>
      <w:r w:rsidRPr="00BD5E91">
        <w:rPr>
          <w:b/>
          <w:bCs/>
          <w:sz w:val="22"/>
          <w:szCs w:val="22"/>
          <w:rtl/>
        </w:rPr>
        <w:t>אוירא אחרא לבר.</w:t>
      </w:r>
      <w:r w:rsidRPr="00BD5E91">
        <w:rPr>
          <w:sz w:val="22"/>
          <w:szCs w:val="22"/>
          <w:rtl/>
        </w:rPr>
        <w:t xml:space="preserve"> ר"ל אל ז"א שנקרא לבר כמ"ש בס"ד ובא"ר ובא"ז:</w:t>
      </w:r>
    </w:p>
  </w:footnote>
  <w:footnote w:id="709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אשתכחו תלת אוירין ואתכלילו בחד.</w:t>
      </w:r>
      <w:r w:rsidRPr="00BD5E91">
        <w:rPr>
          <w:sz w:val="22"/>
          <w:szCs w:val="22"/>
          <w:rtl/>
        </w:rPr>
        <w:t xml:space="preserve"> ור"ל שתלת אוירין הן נגד ה' אלקינו ה' (וע' במתני' למטה נפקא אוירא דכיא דלהיט כו') ואתכלילו בחד זהו אחד שהג' שמות הן א':</w:t>
      </w:r>
    </w:p>
  </w:footnote>
  <w:footnote w:id="709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אלין שראן בתלת קשרין כו'.</w:t>
      </w:r>
      <w:r w:rsidRPr="00BD5E91">
        <w:rPr>
          <w:sz w:val="22"/>
          <w:szCs w:val="22"/>
          <w:rtl/>
        </w:rPr>
        <w:t xml:space="preserve"> טעמי' בבינה נקודי בז"א אתוון במלכות:</w:t>
      </w:r>
    </w:p>
  </w:footnote>
  <w:footnote w:id="710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ושארי בוצינא פשיטו לאתפשטא.</w:t>
      </w:r>
      <w:r w:rsidRPr="00BD5E91">
        <w:rPr>
          <w:sz w:val="22"/>
          <w:szCs w:val="22"/>
          <w:rtl/>
        </w:rPr>
        <w:t xml:space="preserve"> ר"ל הטעמים שהן פשיטו מנקודין כנ"ל:</w:t>
      </w:r>
    </w:p>
  </w:footnote>
  <w:footnote w:id="710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עשרין ותרין מפתחין כו'.</w:t>
      </w:r>
      <w:r w:rsidRPr="00BD5E91">
        <w:rPr>
          <w:sz w:val="22"/>
          <w:szCs w:val="22"/>
          <w:rtl/>
        </w:rPr>
        <w:t xml:space="preserve"> טעמים ונקודות:</w:t>
      </w:r>
    </w:p>
  </w:footnote>
  <w:footnote w:id="710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ומדיד עשרים כו'.</w:t>
      </w:r>
      <w:r w:rsidRPr="00BD5E91">
        <w:rPr>
          <w:sz w:val="22"/>
          <w:szCs w:val="22"/>
          <w:rtl/>
        </w:rPr>
        <w:t xml:space="preserve"> שהם את האותיות כנ"ל:</w:t>
      </w:r>
    </w:p>
  </w:footnote>
  <w:footnote w:id="710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וכל רזא ועומקא וסתימו כו'.</w:t>
      </w:r>
      <w:r w:rsidRPr="00BD5E91">
        <w:rPr>
          <w:sz w:val="22"/>
          <w:szCs w:val="22"/>
          <w:rtl/>
        </w:rPr>
        <w:t xml:space="preserve"> הן ג' דרגין ב' ת' מ' כנ"ל. וכן ברזא למשה מסיני:</w:t>
      </w:r>
    </w:p>
  </w:footnote>
  <w:footnote w:id="710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ומשחתא דלהון אחד.</w:t>
      </w:r>
      <w:r w:rsidRPr="00BD5E91">
        <w:rPr>
          <w:sz w:val="22"/>
          <w:szCs w:val="22"/>
          <w:rtl/>
        </w:rPr>
        <w:t xml:space="preserve"> שהוא גי' י"ג י"ג משחתא דטעמים:</w:t>
      </w:r>
    </w:p>
  </w:footnote>
  <w:footnote w:id="7105">
    <w:p w:rsidR="00007309" w:rsidRPr="00BD5E91" w:rsidRDefault="00007309" w:rsidP="00007309">
      <w:pPr>
        <w:jc w:val="both"/>
        <w:rPr>
          <w:rFonts w:cs="Arial"/>
          <w:sz w:val="22"/>
          <w:szCs w:val="22"/>
          <w:rtl/>
        </w:rPr>
      </w:pPr>
      <w:r w:rsidRPr="00BD5E91">
        <w:rPr>
          <w:rStyle w:val="a7"/>
          <w:rFonts w:cs="Arial"/>
          <w:sz w:val="22"/>
          <w:szCs w:val="22"/>
          <w:rtl/>
        </w:rPr>
        <w:footnoteRef/>
      </w:r>
      <w:r w:rsidRPr="00BD5E91">
        <w:rPr>
          <w:rFonts w:cs="Arial"/>
          <w:sz w:val="22"/>
          <w:szCs w:val="22"/>
          <w:rtl/>
        </w:rPr>
        <w:t xml:space="preserve"> </w:t>
      </w:r>
      <w:r w:rsidRPr="00BD5E91">
        <w:rPr>
          <w:rFonts w:cs="Arial"/>
          <w:b/>
          <w:bCs/>
          <w:sz w:val="22"/>
          <w:szCs w:val="22"/>
          <w:rtl/>
        </w:rPr>
        <w:t>במדידו דאורכא כו'.</w:t>
      </w:r>
      <w:r w:rsidRPr="00BD5E91">
        <w:rPr>
          <w:rFonts w:cs="Arial"/>
          <w:sz w:val="22"/>
          <w:szCs w:val="22"/>
          <w:rtl/>
        </w:rPr>
        <w:t xml:space="preserve"> הן שש קצוות כנ"ל שלכן אמרו </w:t>
      </w:r>
      <w:r>
        <w:rPr>
          <w:rFonts w:cs="Arial" w:hint="cs"/>
          <w:sz w:val="22"/>
          <w:szCs w:val="22"/>
          <w:rtl/>
        </w:rPr>
        <w:t xml:space="preserve">(ברכות יג ע"ב) </w:t>
      </w:r>
      <w:r w:rsidRPr="00BD5E91">
        <w:rPr>
          <w:rFonts w:cs="Arial"/>
          <w:sz w:val="22"/>
          <w:szCs w:val="22"/>
          <w:rtl/>
        </w:rPr>
        <w:t>כיון דאמלכתי' בשמים וארץ ובד' רוחות כו'</w:t>
      </w:r>
      <w:r>
        <w:rPr>
          <w:rFonts w:cs="Arial" w:hint="cs"/>
          <w:sz w:val="22"/>
          <w:szCs w:val="22"/>
          <w:rtl/>
        </w:rPr>
        <w:t>.</w:t>
      </w:r>
      <w:r w:rsidRPr="00BD5E91">
        <w:rPr>
          <w:rFonts w:cs="Arial"/>
          <w:sz w:val="22"/>
          <w:szCs w:val="22"/>
          <w:rtl/>
        </w:rPr>
        <w:t xml:space="preserve"> וכל הני שית משחתין יש לו שני קצוות</w:t>
      </w:r>
      <w:r>
        <w:rPr>
          <w:rFonts w:cs="Arial" w:hint="cs"/>
          <w:sz w:val="22"/>
          <w:szCs w:val="22"/>
          <w:rtl/>
        </w:rPr>
        <w:t>,</w:t>
      </w:r>
      <w:r w:rsidRPr="00BD5E91">
        <w:rPr>
          <w:rFonts w:cs="Arial"/>
          <w:sz w:val="22"/>
          <w:szCs w:val="22"/>
          <w:rtl/>
        </w:rPr>
        <w:t xml:space="preserve"> שהן י"ב גבולי אלכסון</w:t>
      </w:r>
      <w:r>
        <w:rPr>
          <w:rFonts w:cs="Arial" w:hint="cs"/>
          <w:sz w:val="22"/>
          <w:szCs w:val="22"/>
          <w:rtl/>
        </w:rPr>
        <w:t>,</w:t>
      </w:r>
      <w:r w:rsidRPr="00BD5E91">
        <w:rPr>
          <w:rFonts w:cs="Arial"/>
          <w:sz w:val="22"/>
          <w:szCs w:val="22"/>
          <w:rtl/>
        </w:rPr>
        <w:t xml:space="preserve"> י"ב מזלות</w:t>
      </w:r>
      <w:r>
        <w:rPr>
          <w:rFonts w:cs="Arial" w:hint="cs"/>
          <w:sz w:val="22"/>
          <w:szCs w:val="22"/>
          <w:rtl/>
        </w:rPr>
        <w:t>.</w:t>
      </w:r>
      <w:r w:rsidRPr="00BD5E91">
        <w:rPr>
          <w:rFonts w:cs="Arial"/>
          <w:sz w:val="22"/>
          <w:szCs w:val="22"/>
          <w:rtl/>
        </w:rPr>
        <w:t xml:space="preserve"> ועם נקודה האמצעית י"ג</w:t>
      </w:r>
      <w:r>
        <w:rPr>
          <w:rFonts w:cs="Arial" w:hint="cs"/>
          <w:sz w:val="22"/>
          <w:szCs w:val="22"/>
          <w:rtl/>
        </w:rPr>
        <w:t>,</w:t>
      </w:r>
      <w:r w:rsidRPr="00BD5E91">
        <w:rPr>
          <w:rFonts w:cs="Arial"/>
          <w:sz w:val="22"/>
          <w:szCs w:val="22"/>
          <w:rtl/>
        </w:rPr>
        <w:t xml:space="preserve"> והן אחד:</w:t>
      </w:r>
    </w:p>
  </w:footnote>
  <w:footnote w:id="710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 בחטיפא רזא כו'.</w:t>
      </w:r>
      <w:r w:rsidRPr="00BD5E91">
        <w:rPr>
          <w:sz w:val="22"/>
          <w:szCs w:val="22"/>
          <w:rtl/>
        </w:rPr>
        <w:t xml:space="preserve"> ר"ל שח"ד הן י"ב גבולין כנ"ל וא' רומז לבוצינא דאתקשרת בהן וג' אותיות דאחד הן נגד ג' קשרין, א' קשרא עלאה אלף בינה, ח' עד"א ח"ס ו"ק ומוחין דאו"א שדעת כללותם, ד' מלכות כידוע. ולכן א' בחטיפא וד' באריכות למען יאריך ימים על ממלכתו ולכן צריך להאריך כנגד ו' הימים לשית סטרין:</w:t>
      </w:r>
    </w:p>
  </w:footnote>
  <w:footnote w:id="710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נקודה חדא דנפקא מאין.</w:t>
      </w:r>
      <w:r w:rsidRPr="00BD5E91">
        <w:rPr>
          <w:sz w:val="22"/>
          <w:szCs w:val="22"/>
          <w:rtl/>
        </w:rPr>
        <w:t xml:space="preserve"> דאתוון אתפשטו מנקודה חדא דנפיק מנקודין דא"ס</w:t>
      </w:r>
      <w:r>
        <w:rPr>
          <w:rFonts w:hint="cs"/>
          <w:sz w:val="22"/>
          <w:szCs w:val="22"/>
          <w:rtl/>
        </w:rPr>
        <w:t>.</w:t>
      </w:r>
      <w:r w:rsidRPr="00BD5E91">
        <w:rPr>
          <w:sz w:val="22"/>
          <w:szCs w:val="22"/>
          <w:rtl/>
        </w:rPr>
        <w:t xml:space="preserve"> ואין עביד לההוא נקודה עילאה חכמה</w:t>
      </w:r>
      <w:r>
        <w:rPr>
          <w:rFonts w:hint="cs"/>
          <w:sz w:val="22"/>
          <w:szCs w:val="22"/>
          <w:rtl/>
        </w:rPr>
        <w:t>.</w:t>
      </w:r>
      <w:r w:rsidRPr="00BD5E91">
        <w:rPr>
          <w:sz w:val="22"/>
          <w:szCs w:val="22"/>
          <w:rtl/>
        </w:rPr>
        <w:t xml:space="preserve"> כמ"ש בפ' פקודי ד' רל"ט ע"א כמה דאין קדמאה עביד ראש מאן ראש דא נקודה עילאה כו':</w:t>
      </w:r>
    </w:p>
  </w:footnote>
  <w:footnote w:id="710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נביאים מההוא נקודה כו'.</w:t>
      </w:r>
      <w:r w:rsidRPr="00BD5E91">
        <w:rPr>
          <w:sz w:val="22"/>
          <w:szCs w:val="22"/>
          <w:rtl/>
        </w:rPr>
        <w:t xml:space="preserve"> שההוא נקודה שני לי' בתלת גוונין</w:t>
      </w:r>
      <w:r>
        <w:rPr>
          <w:rFonts w:hint="cs"/>
          <w:sz w:val="22"/>
          <w:szCs w:val="22"/>
          <w:rtl/>
        </w:rPr>
        <w:t>,</w:t>
      </w:r>
      <w:r w:rsidRPr="00BD5E91">
        <w:rPr>
          <w:sz w:val="22"/>
          <w:szCs w:val="22"/>
          <w:rtl/>
        </w:rPr>
        <w:t xml:space="preserve"> והן חג"ת כנ"ל</w:t>
      </w:r>
      <w:r>
        <w:rPr>
          <w:rFonts w:hint="cs"/>
          <w:sz w:val="22"/>
          <w:szCs w:val="22"/>
          <w:rtl/>
        </w:rPr>
        <w:t>.</w:t>
      </w:r>
      <w:r w:rsidRPr="00BD5E91">
        <w:rPr>
          <w:sz w:val="22"/>
          <w:szCs w:val="22"/>
          <w:rtl/>
        </w:rPr>
        <w:t xml:space="preserve"> ונה"י אתפשטו מחג"ת שלכן נקראו בניהם ובהן אתכלילו</w:t>
      </w:r>
      <w:r>
        <w:rPr>
          <w:rFonts w:hint="cs"/>
          <w:sz w:val="22"/>
          <w:szCs w:val="22"/>
          <w:rtl/>
        </w:rPr>
        <w:t>,</w:t>
      </w:r>
      <w:r w:rsidRPr="00BD5E91">
        <w:rPr>
          <w:sz w:val="22"/>
          <w:szCs w:val="22"/>
          <w:rtl/>
        </w:rPr>
        <w:t xml:space="preserve"> תלת כלילין בתלת</w:t>
      </w:r>
      <w:r>
        <w:rPr>
          <w:rFonts w:hint="cs"/>
          <w:sz w:val="22"/>
          <w:szCs w:val="22"/>
          <w:rtl/>
        </w:rPr>
        <w:t>.</w:t>
      </w:r>
      <w:r w:rsidRPr="00BD5E91">
        <w:rPr>
          <w:sz w:val="22"/>
          <w:szCs w:val="22"/>
          <w:rtl/>
        </w:rPr>
        <w:t xml:space="preserve"> ואח"כ נחתו לתתא וז"ש אתפשטו ואתכלילו כו':</w:t>
      </w:r>
    </w:p>
  </w:footnote>
  <w:footnote w:id="710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מתניתין מארי דחריכין.</w:t>
      </w:r>
      <w:r w:rsidRPr="00BD5E91">
        <w:rPr>
          <w:sz w:val="22"/>
          <w:szCs w:val="22"/>
          <w:rtl/>
        </w:rPr>
        <w:t xml:space="preserve"> אותן שהן מציצין מן החרכים:</w:t>
      </w:r>
    </w:p>
  </w:footnote>
  <w:footnote w:id="711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קל גלגלא דנהים.</w:t>
      </w:r>
      <w:r w:rsidRPr="00BD5E91">
        <w:rPr>
          <w:sz w:val="22"/>
          <w:szCs w:val="22"/>
          <w:rtl/>
        </w:rPr>
        <w:t xml:space="preserve"> ר"ל גלגלא הוא בינה וז"ש סלקא ונחתא כמש"ל זוהר סליק ונחית וכן בוצינא דגניז בגווה סליק ונחית כמ"ש במאמר קו המדה וקל דילה הוא קל פנימאה כנ"ל:</w:t>
      </w:r>
    </w:p>
  </w:footnote>
  <w:footnote w:id="711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בקל נעימו.</w:t>
      </w:r>
      <w:r w:rsidRPr="00BD5E91">
        <w:rPr>
          <w:sz w:val="22"/>
          <w:szCs w:val="22"/>
          <w:rtl/>
        </w:rPr>
        <w:t xml:space="preserve"> הם הטעמים: </w:t>
      </w:r>
    </w:p>
  </w:footnote>
  <w:footnote w:id="711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ותלת נציצין.</w:t>
      </w:r>
      <w:r w:rsidRPr="00BD5E91">
        <w:rPr>
          <w:sz w:val="22"/>
          <w:szCs w:val="22"/>
          <w:rtl/>
        </w:rPr>
        <w:t xml:space="preserve"> הן תלת גוונין הנ"ל:</w:t>
      </w:r>
    </w:p>
  </w:footnote>
  <w:footnote w:id="711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ונפקא נציצא כו'.</w:t>
      </w:r>
      <w:r w:rsidRPr="00BD5E91">
        <w:rPr>
          <w:sz w:val="22"/>
          <w:szCs w:val="22"/>
          <w:rtl/>
        </w:rPr>
        <w:t xml:space="preserve"> הוא בוצינא דקרדינותא:</w:t>
      </w:r>
    </w:p>
  </w:footnote>
  <w:footnote w:id="711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כד אתפשט כו' נפקא אוירא כו'.</w:t>
      </w:r>
      <w:r w:rsidRPr="00BD5E91">
        <w:rPr>
          <w:sz w:val="22"/>
          <w:szCs w:val="22"/>
          <w:rtl/>
        </w:rPr>
        <w:t xml:space="preserve"> ר"ל אוירא עטרא דחסד והוא אתפשטותא עלאה כמ"ש במאמר קו המדה שם והאי נציצו סלקא ונחתא כו' האי אתקין ובטש כו' כדין אפיק מבועין ההוא אתפשטותא עלאה כו':</w:t>
      </w:r>
    </w:p>
  </w:footnote>
  <w:footnote w:id="711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ולהטין כחדא.</w:t>
      </w:r>
      <w:r w:rsidRPr="00BD5E91">
        <w:rPr>
          <w:sz w:val="22"/>
          <w:szCs w:val="22"/>
          <w:rtl/>
        </w:rPr>
        <w:t xml:space="preserve"> וזש"ל אשתכחו תלת אוירין ואתכלילו בחד וזהו אחד כנ"ל:</w:t>
      </w:r>
    </w:p>
  </w:footnote>
  <w:footnote w:id="711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ואפיק אתוון נציצין דקיקין כו'.</w:t>
      </w:r>
      <w:r w:rsidRPr="00BD5E91">
        <w:rPr>
          <w:sz w:val="22"/>
          <w:szCs w:val="22"/>
          <w:rtl/>
        </w:rPr>
        <w:t xml:space="preserve"> כנ"ל שזוהר בינה אפיק אתוון דקיקין וז"ש נציצין שיצאו מבינה ששם נציצו (והוא בע"פ שמסורת בע"פ ניתנה) והוא במלכות:</w:t>
      </w:r>
    </w:p>
  </w:footnote>
  <w:footnote w:id="711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להיט אחרא תתאה.</w:t>
      </w:r>
      <w:r w:rsidRPr="00BD5E91">
        <w:rPr>
          <w:sz w:val="22"/>
          <w:szCs w:val="22"/>
          <w:rtl/>
        </w:rPr>
        <w:t xml:space="preserve"> מלכות:</w:t>
      </w:r>
    </w:p>
  </w:footnote>
  <w:footnote w:id="711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וחקיק לון סחרני דאתוון.</w:t>
      </w:r>
      <w:r w:rsidRPr="00BD5E91">
        <w:rPr>
          <w:sz w:val="22"/>
          <w:szCs w:val="22"/>
          <w:rtl/>
        </w:rPr>
        <w:t xml:space="preserve"> וזהו </w:t>
      </w:r>
      <w:r>
        <w:rPr>
          <w:rFonts w:hint="cs"/>
          <w:sz w:val="22"/>
          <w:szCs w:val="22"/>
          <w:rtl/>
        </w:rPr>
        <w:t xml:space="preserve">(אבות ג יג) </w:t>
      </w:r>
      <w:r w:rsidRPr="00BD5E91">
        <w:rPr>
          <w:sz w:val="22"/>
          <w:szCs w:val="22"/>
          <w:rtl/>
        </w:rPr>
        <w:t>מסורת סייג לתורה</w:t>
      </w:r>
      <w:r>
        <w:rPr>
          <w:rFonts w:hint="cs"/>
          <w:sz w:val="22"/>
          <w:szCs w:val="22"/>
          <w:rtl/>
        </w:rPr>
        <w:t>,</w:t>
      </w:r>
      <w:r w:rsidRPr="00BD5E91">
        <w:rPr>
          <w:sz w:val="22"/>
          <w:szCs w:val="22"/>
          <w:rtl/>
        </w:rPr>
        <w:t xml:space="preserve"> כמו גדר מקיף לתורה</w:t>
      </w:r>
      <w:r>
        <w:rPr>
          <w:rFonts w:hint="cs"/>
          <w:sz w:val="22"/>
          <w:szCs w:val="22"/>
          <w:rtl/>
        </w:rPr>
        <w:t>,</w:t>
      </w:r>
      <w:r w:rsidRPr="00BD5E91">
        <w:rPr>
          <w:sz w:val="22"/>
          <w:szCs w:val="22"/>
          <w:rtl/>
        </w:rPr>
        <w:t xml:space="preserve"> נקבה תסובב גבר (ירמיהו לא כא):</w:t>
      </w:r>
    </w:p>
  </w:footnote>
  <w:footnote w:id="711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כמה דאתמר עלה אלי כו'.</w:t>
      </w:r>
      <w:r w:rsidRPr="00BD5E91">
        <w:rPr>
          <w:sz w:val="22"/>
          <w:szCs w:val="22"/>
          <w:rtl/>
        </w:rPr>
        <w:t xml:space="preserve"> ר"ל סיפא דקרא ואתנה לך כו' מלמד שכלם ניתנו למשה מסיני ועבז"ח ש"ה ד' נ"ז ע"ג</w:t>
      </w:r>
      <w:r>
        <w:rPr>
          <w:rFonts w:hint="cs"/>
          <w:sz w:val="22"/>
          <w:szCs w:val="22"/>
          <w:rtl/>
        </w:rPr>
        <w:t xml:space="preserve"> (אצלנו פט ע"א)</w:t>
      </w:r>
      <w:r w:rsidRPr="00BD5E91">
        <w:rPr>
          <w:sz w:val="22"/>
          <w:szCs w:val="22"/>
          <w:rtl/>
        </w:rPr>
        <w:t>:</w:t>
      </w:r>
    </w:p>
  </w:footnote>
  <w:footnote w:id="712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וסימנך משכיל על דבר ימצא טוב.</w:t>
      </w:r>
      <w:r w:rsidRPr="00BD5E91">
        <w:rPr>
          <w:sz w:val="22"/>
          <w:szCs w:val="22"/>
          <w:rtl/>
        </w:rPr>
        <w:t xml:space="preserve"> דבר הוא מלכות</w:t>
      </w:r>
      <w:r>
        <w:rPr>
          <w:rFonts w:hint="cs"/>
          <w:sz w:val="22"/>
          <w:szCs w:val="22"/>
          <w:rtl/>
        </w:rPr>
        <w:t>,</w:t>
      </w:r>
      <w:r w:rsidRPr="00BD5E91">
        <w:rPr>
          <w:sz w:val="22"/>
          <w:szCs w:val="22"/>
          <w:rtl/>
        </w:rPr>
        <w:t xml:space="preserve"> ההוא מלה</w:t>
      </w:r>
      <w:r>
        <w:rPr>
          <w:rFonts w:hint="cs"/>
          <w:sz w:val="22"/>
          <w:szCs w:val="22"/>
          <w:rtl/>
        </w:rPr>
        <w:t>,</w:t>
      </w:r>
      <w:r w:rsidRPr="00BD5E91">
        <w:rPr>
          <w:sz w:val="22"/>
          <w:szCs w:val="22"/>
          <w:rtl/>
        </w:rPr>
        <w:t xml:space="preserve"> אספקלריא דלא נהרא</w:t>
      </w:r>
      <w:r>
        <w:rPr>
          <w:rFonts w:hint="cs"/>
          <w:sz w:val="22"/>
          <w:szCs w:val="22"/>
          <w:rtl/>
        </w:rPr>
        <w:t>.</w:t>
      </w:r>
      <w:r w:rsidRPr="00BD5E91">
        <w:rPr>
          <w:sz w:val="22"/>
          <w:szCs w:val="22"/>
          <w:rtl/>
        </w:rPr>
        <w:t xml:space="preserve"> טוב ההוא דתליא מיני'</w:t>
      </w:r>
      <w:r>
        <w:rPr>
          <w:rFonts w:hint="cs"/>
          <w:sz w:val="22"/>
          <w:szCs w:val="22"/>
          <w:rtl/>
        </w:rPr>
        <w:t>,</w:t>
      </w:r>
      <w:r w:rsidRPr="00BD5E91">
        <w:rPr>
          <w:sz w:val="22"/>
          <w:szCs w:val="22"/>
          <w:rtl/>
        </w:rPr>
        <w:t xml:space="preserve"> אספקלריא דנהרא</w:t>
      </w:r>
      <w:r>
        <w:rPr>
          <w:rFonts w:hint="cs"/>
          <w:sz w:val="22"/>
          <w:szCs w:val="22"/>
          <w:rtl/>
        </w:rPr>
        <w:t>,</w:t>
      </w:r>
      <w:r w:rsidRPr="00BD5E91">
        <w:rPr>
          <w:sz w:val="22"/>
          <w:szCs w:val="22"/>
          <w:rtl/>
        </w:rPr>
        <w:t xml:space="preserve"> ותרא אותו כי טוב הוא:</w:t>
      </w:r>
    </w:p>
  </w:footnote>
  <w:footnote w:id="712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 הוא רקיעא כו'.</w:t>
      </w:r>
      <w:r w:rsidRPr="00BD5E91">
        <w:rPr>
          <w:sz w:val="22"/>
          <w:szCs w:val="22"/>
          <w:rtl/>
        </w:rPr>
        <w:t xml:space="preserve"> ר"ל ת"ת. חיוון לתתא הן נה"י</w:t>
      </w:r>
      <w:r>
        <w:rPr>
          <w:rFonts w:hint="cs"/>
          <w:sz w:val="22"/>
          <w:szCs w:val="22"/>
          <w:rtl/>
        </w:rPr>
        <w:t>,</w:t>
      </w:r>
      <w:r w:rsidRPr="00BD5E91">
        <w:rPr>
          <w:sz w:val="22"/>
          <w:szCs w:val="22"/>
          <w:rtl/>
        </w:rPr>
        <w:t xml:space="preserve"> שחג"ת הן ג' חיוון עלאין. ונה"י ג' חיוון תתאין כמ"ש בה"ת דף ד' ע"א ובזוהר בכ"מ</w:t>
      </w:r>
      <w:r>
        <w:rPr>
          <w:rFonts w:hint="cs"/>
          <w:sz w:val="22"/>
          <w:szCs w:val="22"/>
          <w:rtl/>
        </w:rPr>
        <w:t>.</w:t>
      </w:r>
      <w:r w:rsidRPr="00BD5E91">
        <w:rPr>
          <w:sz w:val="22"/>
          <w:szCs w:val="22"/>
          <w:rtl/>
        </w:rPr>
        <w:t xml:space="preserve"> ורקיעא ת"ת קיימא עלייהו וז"ש רקיע דאשתמודע ר"ל רקיע הידוע שסתם רקיע הוא ת"ת כמש"ל בד</w:t>
      </w:r>
      <w:r>
        <w:rPr>
          <w:rFonts w:hint="cs"/>
          <w:sz w:val="22"/>
          <w:szCs w:val="22"/>
          <w:rtl/>
        </w:rPr>
        <w:t>ף</w:t>
      </w:r>
      <w:r w:rsidRPr="00BD5E91">
        <w:rPr>
          <w:sz w:val="22"/>
          <w:szCs w:val="22"/>
          <w:rtl/>
        </w:rPr>
        <w:t xml:space="preserve"> הקודם ועליה אתמר ויקרא אלקים לרקיע כו' כנ"ל:</w:t>
      </w:r>
    </w:p>
  </w:footnote>
  <w:footnote w:id="712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בההוא זוהר דנציץ</w:t>
      </w:r>
      <w:r w:rsidRPr="00BD5E91">
        <w:rPr>
          <w:sz w:val="22"/>
          <w:szCs w:val="22"/>
          <w:rtl/>
        </w:rPr>
        <w:t>. בינה שבה הנציצו כנ"ל:</w:t>
      </w:r>
    </w:p>
  </w:footnote>
  <w:footnote w:id="712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יזהיר ויתנציץ כו' לכל סטר.</w:t>
      </w:r>
      <w:r w:rsidRPr="00BD5E91">
        <w:rPr>
          <w:sz w:val="22"/>
          <w:szCs w:val="22"/>
          <w:rtl/>
        </w:rPr>
        <w:t xml:space="preserve"> ר"ל יזהירו הוא בדרגא דעד"א כנ"ל וזהו לכל סטר ו"ק:</w:t>
      </w:r>
    </w:p>
  </w:footnote>
  <w:footnote w:id="712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בקיומא דאינון נימוסי שמיא.</w:t>
      </w:r>
      <w:r w:rsidRPr="00BD5E91">
        <w:rPr>
          <w:sz w:val="22"/>
          <w:szCs w:val="22"/>
          <w:rtl/>
        </w:rPr>
        <w:t xml:space="preserve"> ר"ל הנהגת שמים להאיר תמיד על הארץ כן מצדיקי הרבים מאירים לאחרים:</w:t>
      </w:r>
    </w:p>
  </w:footnote>
  <w:footnote w:id="712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כמה דאת אמר כו'.</w:t>
      </w:r>
      <w:r w:rsidRPr="00BD5E91">
        <w:rPr>
          <w:sz w:val="22"/>
          <w:szCs w:val="22"/>
          <w:rtl/>
        </w:rPr>
        <w:t xml:space="preserve"> ר"ל שנאמר </w:t>
      </w:r>
      <w:r>
        <w:rPr>
          <w:rFonts w:hint="cs"/>
          <w:sz w:val="22"/>
          <w:szCs w:val="22"/>
          <w:rtl/>
        </w:rPr>
        <w:t xml:space="preserve">(בראשית א טז-יז) </w:t>
      </w:r>
      <w:r w:rsidRPr="00BD5E91">
        <w:rPr>
          <w:sz w:val="22"/>
          <w:szCs w:val="22"/>
          <w:rtl/>
        </w:rPr>
        <w:t>ויעש כו' את שני המאורות כו'</w:t>
      </w:r>
      <w:r>
        <w:rPr>
          <w:rFonts w:hint="cs"/>
          <w:sz w:val="22"/>
          <w:szCs w:val="22"/>
          <w:rtl/>
        </w:rPr>
        <w:t>,</w:t>
      </w:r>
      <w:r w:rsidRPr="00BD5E91">
        <w:rPr>
          <w:sz w:val="22"/>
          <w:szCs w:val="22"/>
          <w:rtl/>
        </w:rPr>
        <w:t xml:space="preserve"> ואת הכוכבים</w:t>
      </w:r>
      <w:r>
        <w:rPr>
          <w:rFonts w:hint="cs"/>
          <w:sz w:val="22"/>
          <w:szCs w:val="22"/>
          <w:rtl/>
        </w:rPr>
        <w:t>,</w:t>
      </w:r>
      <w:r w:rsidRPr="00BD5E91">
        <w:rPr>
          <w:sz w:val="22"/>
          <w:szCs w:val="22"/>
          <w:rtl/>
        </w:rPr>
        <w:t xml:space="preserve"> ויתן אותם כו' להאיר על הארץ</w:t>
      </w:r>
      <w:r>
        <w:rPr>
          <w:rFonts w:hint="cs"/>
          <w:sz w:val="22"/>
          <w:szCs w:val="22"/>
          <w:rtl/>
        </w:rPr>
        <w:t>.</w:t>
      </w:r>
      <w:r w:rsidRPr="00BD5E91">
        <w:rPr>
          <w:sz w:val="22"/>
          <w:szCs w:val="22"/>
          <w:rtl/>
        </w:rPr>
        <w:t xml:space="preserve"> וקאי ע</w:t>
      </w:r>
      <w:r>
        <w:rPr>
          <w:rFonts w:hint="cs"/>
          <w:sz w:val="22"/>
          <w:szCs w:val="22"/>
          <w:rtl/>
        </w:rPr>
        <w:t>ל כרחך</w:t>
      </w:r>
      <w:r w:rsidRPr="00BD5E91">
        <w:rPr>
          <w:sz w:val="22"/>
          <w:szCs w:val="22"/>
          <w:rtl/>
        </w:rPr>
        <w:t xml:space="preserve"> ג</w:t>
      </w:r>
      <w:r>
        <w:rPr>
          <w:rFonts w:hint="cs"/>
          <w:sz w:val="22"/>
          <w:szCs w:val="22"/>
          <w:rtl/>
        </w:rPr>
        <w:t>ם כן</w:t>
      </w:r>
      <w:r w:rsidRPr="00BD5E91">
        <w:rPr>
          <w:sz w:val="22"/>
          <w:szCs w:val="22"/>
          <w:rtl/>
        </w:rPr>
        <w:t xml:space="preserve"> על הכוכבים</w:t>
      </w:r>
      <w:r>
        <w:rPr>
          <w:rFonts w:hint="cs"/>
          <w:sz w:val="22"/>
          <w:szCs w:val="22"/>
          <w:rtl/>
        </w:rPr>
        <w:t>.</w:t>
      </w:r>
      <w:r w:rsidRPr="00BD5E91">
        <w:rPr>
          <w:sz w:val="22"/>
          <w:szCs w:val="22"/>
          <w:rtl/>
        </w:rPr>
        <w:t xml:space="preserve"> וז"ש אלין כוכבים דנהרין. ואמר דקיימין תדיר ר"ל וז"ש ככוכבים לעולם ועד:</w:t>
      </w:r>
    </w:p>
  </w:footnote>
  <w:footnote w:id="712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דדחקי לון כו'.</w:t>
      </w:r>
      <w:r w:rsidRPr="00BD5E91">
        <w:rPr>
          <w:sz w:val="22"/>
          <w:szCs w:val="22"/>
          <w:rtl/>
        </w:rPr>
        <w:t xml:space="preserve"> ר"ל שכופין אותן בנגישות כמו דגשים דאתוון שהן נהורא דאתוון וכן כוכבי דשרביטא:</w:t>
      </w:r>
      <w:r>
        <w:rPr>
          <w:rFonts w:hint="cs"/>
          <w:sz w:val="22"/>
          <w:szCs w:val="22"/>
          <w:rtl/>
        </w:rPr>
        <w:t xml:space="preserve"> </w:t>
      </w:r>
      <w:r w:rsidRPr="00D60A1A">
        <w:rPr>
          <w:sz w:val="22"/>
          <w:szCs w:val="22"/>
          <w:rtl/>
        </w:rPr>
        <w:t>והמשכילים אלין</w:t>
      </w:r>
      <w:r w:rsidRPr="00BD5E91">
        <w:rPr>
          <w:sz w:val="22"/>
          <w:szCs w:val="22"/>
          <w:rtl/>
        </w:rPr>
        <w:t xml:space="preserve"> אתוון</w:t>
      </w:r>
      <w:r>
        <w:rPr>
          <w:rFonts w:hint="cs"/>
          <w:sz w:val="22"/>
          <w:szCs w:val="22"/>
          <w:rtl/>
        </w:rPr>
        <w:t>,</w:t>
      </w:r>
      <w:r w:rsidRPr="00BD5E91">
        <w:rPr>
          <w:sz w:val="22"/>
          <w:szCs w:val="22"/>
          <w:rtl/>
        </w:rPr>
        <w:t xml:space="preserve"> גופא</w:t>
      </w:r>
      <w:r>
        <w:rPr>
          <w:rFonts w:hint="cs"/>
          <w:sz w:val="22"/>
          <w:szCs w:val="22"/>
          <w:rtl/>
        </w:rPr>
        <w:t>.</w:t>
      </w:r>
      <w:r w:rsidRPr="00BD5E91">
        <w:rPr>
          <w:sz w:val="22"/>
          <w:szCs w:val="22"/>
          <w:rtl/>
        </w:rPr>
        <w:t xml:space="preserve"> ומצדיקי הרבים הן נפשא</w:t>
      </w:r>
      <w:r>
        <w:rPr>
          <w:rFonts w:hint="cs"/>
          <w:sz w:val="22"/>
          <w:szCs w:val="22"/>
          <w:rtl/>
        </w:rPr>
        <w:t>,</w:t>
      </w:r>
      <w:r w:rsidRPr="00BD5E91">
        <w:rPr>
          <w:sz w:val="22"/>
          <w:szCs w:val="22"/>
          <w:rtl/>
        </w:rPr>
        <w:t xml:space="preserve"> דגשין</w:t>
      </w:r>
      <w:r>
        <w:rPr>
          <w:rFonts w:hint="cs"/>
          <w:sz w:val="22"/>
          <w:szCs w:val="22"/>
          <w:rtl/>
        </w:rPr>
        <w:t>.</w:t>
      </w:r>
      <w:r w:rsidRPr="00BD5E91">
        <w:rPr>
          <w:sz w:val="22"/>
          <w:szCs w:val="22"/>
          <w:rtl/>
        </w:rPr>
        <w:t xml:space="preserve"> וזהו הרבים ולא כולא</w:t>
      </w:r>
      <w:r>
        <w:rPr>
          <w:rFonts w:hint="cs"/>
          <w:sz w:val="22"/>
          <w:szCs w:val="22"/>
          <w:rtl/>
        </w:rPr>
        <w:t>,</w:t>
      </w:r>
      <w:r w:rsidRPr="00BD5E91">
        <w:rPr>
          <w:sz w:val="22"/>
          <w:szCs w:val="22"/>
          <w:rtl/>
        </w:rPr>
        <w:t xml:space="preserve"> שאין כולם ראוין להדגש:</w:t>
      </w:r>
    </w:p>
  </w:footnote>
  <w:footnote w:id="712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כזוהר הרקיע דא נקודה דשריא כו'.</w:t>
      </w:r>
      <w:r w:rsidRPr="00BD5E91">
        <w:rPr>
          <w:sz w:val="22"/>
          <w:szCs w:val="22"/>
          <w:rtl/>
        </w:rPr>
        <w:t xml:space="preserve"> עכשיו מתחיל לבאר הטעמים ומשחתא דלהון ומתחיל מרביעי שהוא קשרא קדמאה דאשתאר נקודה על אתוון כנ"ל והוא אמא עילאה וז"ש כאמא על בנין:</w:t>
      </w:r>
    </w:p>
  </w:footnote>
  <w:footnote w:id="712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אתפשט לנגונא כו'.</w:t>
      </w:r>
      <w:r w:rsidRPr="00BD5E91">
        <w:rPr>
          <w:sz w:val="22"/>
          <w:szCs w:val="22"/>
          <w:rtl/>
        </w:rPr>
        <w:t xml:space="preserve"> שהניגון מאריכין קצת משא"כ בכתיבה נקודה חדא והענין כי בעצמה אין התפשטות רק ברזא דמשחתא בנהורין דלתתא כנ"ל:</w:t>
      </w:r>
    </w:p>
  </w:footnote>
  <w:footnote w:id="712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ודא הוא רזא כו'.</w:t>
      </w:r>
      <w:r w:rsidRPr="00BD5E91">
        <w:rPr>
          <w:sz w:val="22"/>
          <w:szCs w:val="22"/>
          <w:rtl/>
        </w:rPr>
        <w:t xml:space="preserve"> ר"ל כי רביע הוא ניגון של שבת כמש"ו וכנ"ל שהוא אמא שבת וכן יסוד נקרא יום השבת סלקא בבינה מלכא דשלמא הפורס סוכת שלום ולכן שיר עליו רביע שזהו שיר של יום השבת:</w:t>
      </w:r>
    </w:p>
  </w:footnote>
  <w:footnote w:id="713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דהאי רקיע דאקרי כו'.</w:t>
      </w:r>
      <w:r w:rsidRPr="00BD5E91">
        <w:rPr>
          <w:sz w:val="22"/>
          <w:szCs w:val="22"/>
          <w:rtl/>
        </w:rPr>
        <w:t xml:space="preserve"> ר"ל יסוד והוא יום השבת ואמר ועל דא כו' בנייחא ר"ל שהניגון הוא לנוח כידוע והוא כאמא רביע על בנין וכמו יום השבת וינח ביום השביעי:</w:t>
      </w:r>
    </w:p>
  </w:footnote>
  <w:footnote w:id="713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רקיע זעירא מכל רקיעין.</w:t>
      </w:r>
      <w:r w:rsidRPr="00BD5E91">
        <w:rPr>
          <w:sz w:val="22"/>
          <w:szCs w:val="22"/>
          <w:rtl/>
        </w:rPr>
        <w:t xml:space="preserve"> ר"ל יסוד י' זעירא וז' רקיעים והוא הקטן:</w:t>
      </w:r>
    </w:p>
  </w:footnote>
  <w:footnote w:id="713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זעיר בנייחא.</w:t>
      </w:r>
      <w:r w:rsidRPr="00BD5E91">
        <w:rPr>
          <w:sz w:val="22"/>
          <w:szCs w:val="22"/>
          <w:rtl/>
        </w:rPr>
        <w:t xml:space="preserve"> ר"ל התפשטו הוא מעט וג"כ בנייחא כנ"ל:</w:t>
      </w:r>
    </w:p>
  </w:footnote>
  <w:footnote w:id="713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ושעורא בניגונא כו'.</w:t>
      </w:r>
      <w:r w:rsidRPr="00BD5E91">
        <w:rPr>
          <w:sz w:val="22"/>
          <w:szCs w:val="22"/>
          <w:rtl/>
        </w:rPr>
        <w:t xml:space="preserve"> ר"ל שיעור הניגון של רביע:</w:t>
      </w:r>
    </w:p>
  </w:footnote>
  <w:footnote w:id="713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כדי דחייא.</w:t>
      </w:r>
      <w:r w:rsidRPr="00BD5E91">
        <w:rPr>
          <w:sz w:val="22"/>
          <w:szCs w:val="22"/>
          <w:rtl/>
        </w:rPr>
        <w:t xml:space="preserve"> ר"ל שעור הושטה לא בפעם אחת רק כמו דחייה מעט מעט:</w:t>
      </w:r>
    </w:p>
  </w:footnote>
  <w:footnote w:id="713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וע"ד בי' תרווייהו.</w:t>
      </w:r>
      <w:r w:rsidRPr="00BD5E91">
        <w:rPr>
          <w:sz w:val="22"/>
          <w:szCs w:val="22"/>
          <w:rtl/>
        </w:rPr>
        <w:t xml:space="preserve"> ר"ל בזרקא שהוא התפשטות הרביע כמש"ו וביה שני פשיטות א' למעלה וא' למטה:</w:t>
      </w:r>
    </w:p>
  </w:footnote>
  <w:footnote w:id="713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ואתי רוחא זעיר כו'.</w:t>
      </w:r>
      <w:r w:rsidRPr="00BD5E91">
        <w:rPr>
          <w:sz w:val="22"/>
          <w:szCs w:val="22"/>
          <w:rtl/>
        </w:rPr>
        <w:t xml:space="preserve"> שהניגון הוא הורדת הניגון מעט מעט כידוע:</w:t>
      </w:r>
    </w:p>
  </w:footnote>
  <w:footnote w:id="713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לבתר האי נקודה כו'.</w:t>
      </w:r>
      <w:r w:rsidRPr="00BD5E91">
        <w:rPr>
          <w:sz w:val="22"/>
          <w:szCs w:val="22"/>
          <w:rtl/>
        </w:rPr>
        <w:t xml:space="preserve"> ר"ל התפשטות הזרקא:</w:t>
      </w:r>
    </w:p>
  </w:footnote>
  <w:footnote w:id="713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w:t>
      </w:r>
      <w:r>
        <w:rPr>
          <w:rFonts w:hint="cs"/>
          <w:b/>
          <w:bCs/>
          <w:sz w:val="22"/>
          <w:szCs w:val="22"/>
          <w:rtl/>
        </w:rPr>
        <w:t>ה</w:t>
      </w:r>
      <w:r w:rsidRPr="00BD5E91">
        <w:rPr>
          <w:b/>
          <w:bCs/>
          <w:sz w:val="22"/>
          <w:szCs w:val="22"/>
          <w:rtl/>
        </w:rPr>
        <w:t>אי תולעתא דאתחפי'.</w:t>
      </w:r>
      <w:r w:rsidRPr="00BD5E91">
        <w:rPr>
          <w:sz w:val="22"/>
          <w:szCs w:val="22"/>
          <w:rtl/>
        </w:rPr>
        <w:t xml:space="preserve"> ר"ל ממנה עצמה ועב"פ בראשית ד' ט"ו כהאי זרע דמשי כו':</w:t>
      </w:r>
    </w:p>
  </w:footnote>
  <w:footnote w:id="713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ובתר כו' אזדריק כו'.</w:t>
      </w:r>
      <w:r w:rsidRPr="00BD5E91">
        <w:rPr>
          <w:sz w:val="22"/>
          <w:szCs w:val="22"/>
          <w:rtl/>
        </w:rPr>
        <w:t xml:space="preserve"> הוא התפשטות הזרקא למטה והתכפלות:</w:t>
      </w:r>
    </w:p>
  </w:footnote>
  <w:footnote w:id="714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זריקא דהאי נקודה.</w:t>
      </w:r>
      <w:r w:rsidRPr="00BD5E91">
        <w:rPr>
          <w:sz w:val="22"/>
          <w:szCs w:val="22"/>
          <w:rtl/>
        </w:rPr>
        <w:t xml:space="preserve"> ר"ל שהאי נקודה אזדריק לתתא שמקדם היתה רביע על בנין ועכשיו אתפשטת בתוכם וזהו התפשטות הטעמים:</w:t>
      </w:r>
    </w:p>
  </w:footnote>
  <w:footnote w:id="714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בגין דאתיישבת כו'.</w:t>
      </w:r>
      <w:r w:rsidRPr="00BD5E91">
        <w:rPr>
          <w:sz w:val="22"/>
          <w:szCs w:val="22"/>
          <w:rtl/>
        </w:rPr>
        <w:t xml:space="preserve"> ר"ל למה אתייחס הזרקא להאי נקודה יותר מכל הטעמים ואמר בגין כו' שבינה יישובה בחסד כידוע בסוד כהנא רבה דעייל לק"ק:</w:t>
      </w:r>
    </w:p>
  </w:footnote>
  <w:footnote w:id="714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כההוא זוהר ממש דאתפשט כו'.</w:t>
      </w:r>
      <w:r w:rsidRPr="00BD5E91">
        <w:rPr>
          <w:sz w:val="22"/>
          <w:szCs w:val="22"/>
          <w:rtl/>
        </w:rPr>
        <w:t xml:space="preserve"> שמקדם יזהירו מזוהר אבל לא כזוהר שזוהר הוא למעלה על יזהירו אבל עכשיו אתפשט בתוכם:</w:t>
      </w:r>
    </w:p>
  </w:footnote>
  <w:footnote w:id="714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ודא משכיל על דבר כו'.</w:t>
      </w:r>
      <w:r w:rsidRPr="00BD5E91">
        <w:rPr>
          <w:sz w:val="22"/>
          <w:szCs w:val="22"/>
          <w:rtl/>
        </w:rPr>
        <w:t xml:space="preserve"> ר"ל דבר מלכות ועל דבר הוא בינה ימצא טוב זהו חסד דאתיישב' ביה בינה וז"ש דאיהי קיימא על דבר על מלכות כמ"ש מן העולם ועד העולם שסיומא דבינה בהתחלת המלכות ואין ביניהם אלא כמלא נימא כמ"ש בתי' י"ט דף ל"ז ע"ש:</w:t>
      </w:r>
    </w:p>
  </w:footnote>
  <w:footnote w:id="714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ימצא טוב אתפשטותא כו'.</w:t>
      </w:r>
      <w:r w:rsidRPr="00BD5E91">
        <w:rPr>
          <w:sz w:val="22"/>
          <w:szCs w:val="22"/>
          <w:rtl/>
        </w:rPr>
        <w:t xml:space="preserve"> שהוא בחסד כנ"ל:</w:t>
      </w:r>
    </w:p>
  </w:footnote>
  <w:footnote w:id="714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עומקא ורומא.</w:t>
      </w:r>
      <w:r w:rsidRPr="00BD5E91">
        <w:rPr>
          <w:sz w:val="22"/>
          <w:szCs w:val="22"/>
          <w:rtl/>
        </w:rPr>
        <w:t xml:space="preserve"> חו"ג כי גבורה נקרא עומק כנ"ל מגלה עמוקות מני חושך ורום הוא חסד אברם אב רם כידוע:</w:t>
      </w:r>
    </w:p>
  </w:footnote>
  <w:footnote w:id="714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בההוא דבר.</w:t>
      </w:r>
      <w:r w:rsidRPr="00BD5E91">
        <w:rPr>
          <w:sz w:val="22"/>
          <w:szCs w:val="22"/>
          <w:rtl/>
        </w:rPr>
        <w:t xml:space="preserve"> שדבר מלכות אתיישבא בתרין דרועין כמ"ש בזוהר פ' פנחס דרנ"ח ע"א וכ"מ ובז"ח ש"ה כד נוקבא אתיישב' בימינא ושמאלא כו' ואמר ברזא דבוצינא. הנקודה הנ"ל:</w:t>
      </w:r>
    </w:p>
  </w:footnote>
  <w:footnote w:id="714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והמשכילים כו' דא רקיע דביה כו'.</w:t>
      </w:r>
      <w:r w:rsidRPr="00BD5E91">
        <w:rPr>
          <w:sz w:val="22"/>
          <w:szCs w:val="22"/>
          <w:rtl/>
        </w:rPr>
        <w:t xml:space="preserve"> ר"ל יסוד כנ"ל וכמ"ש בתי"ח דאות איהו ח"י עלמין ואיהו כליל ת"ע מזלות וז' כוכבי לכת כו':</w:t>
      </w:r>
    </w:p>
  </w:footnote>
  <w:footnote w:id="714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ע"ד בתמיהו בסליקו כו'.</w:t>
      </w:r>
      <w:r w:rsidRPr="00BD5E91">
        <w:rPr>
          <w:sz w:val="22"/>
          <w:szCs w:val="22"/>
          <w:rtl/>
        </w:rPr>
        <w:t xml:space="preserve"> דהוא סליק בתוקפא וסליק לאו"א למיגבי מינייהו כמש"ל סוף תז"ח צ' ב' ובכ"מ ובתחלת מדה"נ פ' לך לך ע"ש:</w:t>
      </w:r>
    </w:p>
  </w:footnote>
  <w:footnote w:id="714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וסימניך פזר כו'.</w:t>
      </w:r>
      <w:r w:rsidRPr="00BD5E91">
        <w:rPr>
          <w:sz w:val="22"/>
          <w:szCs w:val="22"/>
          <w:rtl/>
        </w:rPr>
        <w:t xml:space="preserve"> כמ"ש לקמן שם ואיהו גבי ואעיל באוצרא דמסכני כו':</w:t>
      </w:r>
    </w:p>
  </w:footnote>
  <w:footnote w:id="715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פזר רברבא כו'.</w:t>
      </w:r>
      <w:r w:rsidRPr="00BD5E91">
        <w:rPr>
          <w:sz w:val="22"/>
          <w:szCs w:val="22"/>
          <w:rtl/>
        </w:rPr>
        <w:t xml:space="preserve"> עבתי"ג דף כ"ה ע"ב ומאן דהוה קטן אתעביד גדול כו' ע"ש כל המאמר ועיין לקמן דף פ"ג ע"ג וצדיק זריק ושכינתא כנישת ועלייהו אתמר יש מפזר כו':</w:t>
      </w:r>
    </w:p>
  </w:footnote>
  <w:footnote w:id="715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בשיעורא דשית נקודין.</w:t>
      </w:r>
      <w:r w:rsidRPr="00BD5E91">
        <w:rPr>
          <w:sz w:val="22"/>
          <w:szCs w:val="22"/>
          <w:rtl/>
        </w:rPr>
        <w:t xml:space="preserve"> דכליל לו' פרקין דנ"ה כמ"ש לקמן שם ו' זעירא ע"ש:</w:t>
      </w:r>
    </w:p>
  </w:footnote>
  <w:footnote w:id="715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המלך כו' שרביט הזהב.</w:t>
      </w:r>
      <w:r w:rsidRPr="00BD5E91">
        <w:rPr>
          <w:sz w:val="22"/>
          <w:szCs w:val="22"/>
          <w:rtl/>
        </w:rPr>
        <w:t xml:space="preserve"> יסוד ונק' זהב דנטיל לשמאלא כידוע וכמש"ל דף פ"א ע"ב ת"ח כל אתין כו' ע"ש וג' התחתונות נה"י כלם נקראו זהב נ"ה כרובים זהב לפי שהן דרגא דנוק' גבורות זהב וכן נקראו ירכתי צפון מצפון זהב כו' ועוד נראה כי פזר הוא ת"ת והוא בסליקו על כלא היכל הרצון והוא פזר גדול ושרביט הוא יסוד דכד משחתא סלקא ואתרבי והוא מתגדל מן תוספת נהורא אושיט שית אמין. הוא יסוד שרביט מתוספת נהורא כנ"ל וזהו שנק' פזר גדול והן חמש ת"ג ופזר ק' חמש ת"ק שהן מה' ה' נקודות:</w:t>
      </w:r>
    </w:p>
  </w:footnote>
  <w:footnote w:id="715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והאי איהו שרביטא כו'.</w:t>
      </w:r>
      <w:r w:rsidRPr="00BD5E91">
        <w:rPr>
          <w:sz w:val="22"/>
          <w:szCs w:val="22"/>
          <w:rtl/>
        </w:rPr>
        <w:t xml:space="preserve"> דיסוד לא אתתקן אלא מגו משחתא בתוספת נהורא שלכן נקרא מוסף דל"ל מגרמה רק הוא בתוספת כמ"ש בפ' בראשית דף י"ז ע"א יסודא אחיד בעד"א מההוא תוספת כו' ע"ש:</w:t>
      </w:r>
    </w:p>
  </w:footnote>
  <w:footnote w:id="715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ואינון חמש תלת כו'.</w:t>
      </w:r>
      <w:r w:rsidRPr="00BD5E91">
        <w:rPr>
          <w:sz w:val="22"/>
          <w:szCs w:val="22"/>
          <w:rtl/>
        </w:rPr>
        <w:t xml:space="preserve"> שכולל ה"ס והן שית שעד"א הוא אחיד בימינא ושמאלא וזהו ג' לסטר דא כד הוא לימינא הוא ג' חת"נ ולשמאלא ג' גת"ה וז"ש כד כו' והוא בצורת פזר כעין </w:t>
      </w:r>
      <w:r w:rsidRPr="00BD5E91">
        <w:rPr>
          <w:b/>
          <w:bCs/>
          <w:sz w:val="22"/>
          <w:szCs w:val="22"/>
          <w:rtl/>
        </w:rPr>
        <w:t>ד</w:t>
      </w:r>
      <w:r>
        <w:rPr>
          <w:rFonts w:hint="cs"/>
          <w:b/>
          <w:bCs/>
          <w:sz w:val="22"/>
          <w:szCs w:val="22"/>
          <w:rtl/>
        </w:rPr>
        <w:t>,</w:t>
      </w:r>
      <w:r w:rsidRPr="00BD5E91">
        <w:rPr>
          <w:sz w:val="22"/>
          <w:szCs w:val="22"/>
          <w:rtl/>
        </w:rPr>
        <w:t xml:space="preserve"> שנים בסטר דא וב' בסטר דא וא' בקרן זוית לכאן ולכאן המחבר שניהם או ג' דנצח וג' דהוד כנ"ל ובראשיהן מחוברין וזהו חמש כי קשר עליון שלהן מחובר כא' וזהו הנגון ועיקר:</w:t>
      </w:r>
    </w:p>
  </w:footnote>
  <w:footnote w:id="715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רקיע דחיוון דקיימין.</w:t>
      </w:r>
      <w:r w:rsidRPr="00BD5E91">
        <w:rPr>
          <w:sz w:val="22"/>
          <w:szCs w:val="22"/>
          <w:rtl/>
        </w:rPr>
        <w:t xml:space="preserve"> ר"ל של נ"ה שהן תרין קיימין והן חיוון תתאי והן ג' פרקי' בכ"א כמש"ו:</w:t>
      </w:r>
    </w:p>
  </w:footnote>
  <w:footnote w:id="715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תרין טעמין.</w:t>
      </w:r>
      <w:r w:rsidRPr="00BD5E91">
        <w:rPr>
          <w:sz w:val="22"/>
          <w:szCs w:val="22"/>
          <w:rtl/>
        </w:rPr>
        <w:t xml:space="preserve"> מרכא כפולה ולפי שהן תרי פלגי דגופא לכן באו כא' והן כפולה:</w:t>
      </w:r>
    </w:p>
  </w:footnote>
  <w:footnote w:id="715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יעקב דאיהו כו'.</w:t>
      </w:r>
      <w:r w:rsidRPr="00BD5E91">
        <w:rPr>
          <w:sz w:val="22"/>
          <w:szCs w:val="22"/>
          <w:rtl/>
        </w:rPr>
        <w:t xml:space="preserve"> כמ"ש לקמן דף צ' ע"ב יעקב שלימא קאים ותמיך עלייהו כו':</w:t>
      </w:r>
    </w:p>
  </w:footnote>
  <w:footnote w:id="715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כד עאל לאבוה כו'.</w:t>
      </w:r>
      <w:r w:rsidRPr="00BD5E91">
        <w:rPr>
          <w:sz w:val="22"/>
          <w:szCs w:val="22"/>
          <w:rtl/>
        </w:rPr>
        <w:t xml:space="preserve"> ר"ל שהביא לו יין מבינה והיא אתפשטת בנ"ה כידוע וזהו על תרין קיימין ולכן לו נקיד בתרין טעמין וז"ש רזא דויבא כו':</w:t>
      </w:r>
    </w:p>
  </w:footnote>
  <w:footnote w:id="715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דהא לתתא אתתקנת כו'. </w:t>
      </w:r>
      <w:r w:rsidRPr="00BD5E91">
        <w:rPr>
          <w:sz w:val="22"/>
          <w:szCs w:val="22"/>
          <w:rtl/>
        </w:rPr>
        <w:t>ר"ל שהנוקבא מתתקנת בנה"י דשם מקומה:</w:t>
      </w:r>
    </w:p>
  </w:footnote>
  <w:footnote w:id="716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והכא לאו ניגונא כו'.</w:t>
      </w:r>
      <w:r w:rsidRPr="00BD5E91">
        <w:rPr>
          <w:sz w:val="22"/>
          <w:szCs w:val="22"/>
          <w:rtl/>
        </w:rPr>
        <w:t xml:space="preserve"> שהאתנחתא אין בה ניגון אלא הפסק:</w:t>
      </w:r>
    </w:p>
  </w:footnote>
  <w:footnote w:id="716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לקבל תרי טעמי רזא כו'.</w:t>
      </w:r>
      <w:r w:rsidRPr="00BD5E91">
        <w:rPr>
          <w:sz w:val="22"/>
          <w:szCs w:val="22"/>
          <w:rtl/>
        </w:rPr>
        <w:t xml:space="preserve"> נגד שני קיימין כנ"ל:</w:t>
      </w:r>
    </w:p>
  </w:footnote>
  <w:footnote w:id="716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דכלא בנייחא.</w:t>
      </w:r>
      <w:r w:rsidRPr="00BD5E91">
        <w:rPr>
          <w:sz w:val="22"/>
          <w:szCs w:val="22"/>
          <w:rtl/>
        </w:rPr>
        <w:t xml:space="preserve"> שזיווג אשה לבעלה היא המנוחה כמ"ש (רות ג א) אבקש לך מנוח כו':</w:t>
      </w:r>
    </w:p>
  </w:footnote>
  <w:footnote w:id="716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כדין והמשכילים כו' רקיע דימינא כו'.</w:t>
      </w:r>
      <w:r w:rsidRPr="00BD5E91">
        <w:rPr>
          <w:sz w:val="22"/>
          <w:szCs w:val="22"/>
          <w:rtl/>
        </w:rPr>
        <w:t xml:space="preserve"> תלישא קטנה דניגונא דחביבו וקריבו הוא כמש"ו:</w:t>
      </w:r>
    </w:p>
  </w:footnote>
  <w:footnote w:id="716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ותלשתא כו'.</w:t>
      </w:r>
      <w:r w:rsidRPr="00BD5E91">
        <w:rPr>
          <w:sz w:val="22"/>
          <w:szCs w:val="22"/>
          <w:rtl/>
        </w:rPr>
        <w:t xml:space="preserve"> הוא תלישא גדולה:</w:t>
      </w:r>
    </w:p>
  </w:footnote>
  <w:footnote w:id="716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לקשרא קשרא.</w:t>
      </w:r>
      <w:r w:rsidRPr="00BD5E91">
        <w:rPr>
          <w:sz w:val="22"/>
          <w:szCs w:val="22"/>
          <w:rtl/>
        </w:rPr>
        <w:t xml:space="preserve"> ר"ל לקשר אותה בבעלה כמ"ש שמאלו תחת לראשי וקושר אותה בו וימינו תחבקני וז"ש לעיל ניגונא דחביבו ר"ל של חיבוק ותרצתא הוא פשיטו דימינו ותלשתא דשמאלא:</w:t>
      </w:r>
    </w:p>
  </w:footnote>
  <w:footnote w:id="716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האי אוחיר.</w:t>
      </w:r>
      <w:r w:rsidRPr="00BD5E91">
        <w:rPr>
          <w:sz w:val="22"/>
          <w:szCs w:val="22"/>
          <w:rtl/>
        </w:rPr>
        <w:t xml:space="preserve"> נ"ל דצ"ל אחיד כו'. ור"ל דשמאלא אחיד בה וימינא כפוף ואתעייף כדרך המחבק שכופף ידו ומכפל:</w:t>
      </w:r>
    </w:p>
  </w:footnote>
  <w:footnote w:id="716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לקבלא דסנטורא.</w:t>
      </w:r>
      <w:r w:rsidRPr="00BD5E91">
        <w:rPr>
          <w:sz w:val="22"/>
          <w:szCs w:val="22"/>
          <w:rtl/>
        </w:rPr>
        <w:t xml:space="preserve"> נגד צדו:</w:t>
      </w:r>
    </w:p>
  </w:footnote>
  <w:footnote w:id="7168">
    <w:p w:rsidR="00007309" w:rsidRPr="00BD5E91" w:rsidRDefault="00007309" w:rsidP="00007309">
      <w:pPr>
        <w:jc w:val="both"/>
        <w:rPr>
          <w:rFonts w:cs="Arial"/>
          <w:sz w:val="22"/>
          <w:szCs w:val="22"/>
          <w:rtl/>
        </w:rPr>
      </w:pPr>
      <w:r w:rsidRPr="00BD5E91">
        <w:rPr>
          <w:rStyle w:val="a7"/>
          <w:rFonts w:cs="Arial"/>
          <w:sz w:val="22"/>
          <w:szCs w:val="22"/>
          <w:rtl/>
        </w:rPr>
        <w:footnoteRef/>
      </w:r>
      <w:r w:rsidRPr="00BD5E91">
        <w:rPr>
          <w:rFonts w:cs="Arial"/>
          <w:sz w:val="22"/>
          <w:szCs w:val="22"/>
          <w:rtl/>
        </w:rPr>
        <w:t xml:space="preserve"> </w:t>
      </w:r>
      <w:r w:rsidRPr="00BD5E91">
        <w:rPr>
          <w:rFonts w:cs="Arial"/>
          <w:b/>
          <w:bCs/>
          <w:sz w:val="22"/>
          <w:szCs w:val="22"/>
          <w:rtl/>
        </w:rPr>
        <w:t>ואתפשטו תרין כו'.</w:t>
      </w:r>
      <w:r w:rsidRPr="00BD5E91">
        <w:rPr>
          <w:rFonts w:cs="Arial"/>
          <w:sz w:val="22"/>
          <w:szCs w:val="22"/>
          <w:rtl/>
        </w:rPr>
        <w:t xml:space="preserve"> ר"ל פשיטת תרין דרועין כחדא סביבה הוא אזלא גרש שאנו קוראין קדמא ואזלא</w:t>
      </w:r>
      <w:r>
        <w:rPr>
          <w:rFonts w:cs="Arial" w:hint="cs"/>
          <w:sz w:val="22"/>
          <w:szCs w:val="22"/>
          <w:rtl/>
        </w:rPr>
        <w:t>.</w:t>
      </w:r>
      <w:r w:rsidRPr="00BD5E91">
        <w:rPr>
          <w:rFonts w:cs="Arial"/>
          <w:sz w:val="22"/>
          <w:szCs w:val="22"/>
          <w:rtl/>
        </w:rPr>
        <w:t xml:space="preserve"> שבטעמים הקודמי' התחלת התפשטות דרועא ימינא וכן שמאלא</w:t>
      </w:r>
      <w:r>
        <w:rPr>
          <w:rFonts w:cs="Arial" w:hint="cs"/>
          <w:sz w:val="22"/>
          <w:szCs w:val="22"/>
          <w:rtl/>
        </w:rPr>
        <w:t>,</w:t>
      </w:r>
      <w:r w:rsidRPr="00BD5E91">
        <w:rPr>
          <w:rFonts w:cs="Arial"/>
          <w:sz w:val="22"/>
          <w:szCs w:val="22"/>
          <w:rtl/>
        </w:rPr>
        <w:t xml:space="preserve"> ועכשיו התפשטותם יחד</w:t>
      </w:r>
      <w:r>
        <w:rPr>
          <w:rFonts w:cs="Arial" w:hint="cs"/>
          <w:sz w:val="22"/>
          <w:szCs w:val="22"/>
          <w:rtl/>
        </w:rPr>
        <w:t>.</w:t>
      </w:r>
      <w:r w:rsidRPr="00BD5E91">
        <w:rPr>
          <w:rFonts w:cs="Arial"/>
          <w:sz w:val="22"/>
          <w:szCs w:val="22"/>
          <w:rtl/>
        </w:rPr>
        <w:t xml:space="preserve"> וקראם אזלא גרש מפני שרגלי' יורדות מות</w:t>
      </w:r>
      <w:r>
        <w:rPr>
          <w:rFonts w:cs="Arial" w:hint="cs"/>
          <w:sz w:val="22"/>
          <w:szCs w:val="22"/>
          <w:rtl/>
        </w:rPr>
        <w:t>,</w:t>
      </w:r>
      <w:r w:rsidRPr="00BD5E91">
        <w:rPr>
          <w:rFonts w:cs="Arial"/>
          <w:sz w:val="22"/>
          <w:szCs w:val="22"/>
          <w:rtl/>
        </w:rPr>
        <w:t xml:space="preserve"> ובשעת הזיווג רחצתי את רגלי</w:t>
      </w:r>
      <w:r>
        <w:rPr>
          <w:rFonts w:cs="Arial" w:hint="cs"/>
          <w:sz w:val="22"/>
          <w:szCs w:val="22"/>
          <w:rtl/>
        </w:rPr>
        <w:t>.</w:t>
      </w:r>
      <w:r w:rsidRPr="00BD5E91">
        <w:rPr>
          <w:rFonts w:cs="Arial"/>
          <w:sz w:val="22"/>
          <w:szCs w:val="22"/>
          <w:rtl/>
        </w:rPr>
        <w:t xml:space="preserve"> ובדרועא שמאלא מקצץ ממנה הס"א כמ"ש (תהלים צב ח) בפרוח רשעי' כמו עשב</w:t>
      </w:r>
      <w:r>
        <w:rPr>
          <w:rFonts w:cs="Arial" w:hint="cs"/>
          <w:sz w:val="22"/>
          <w:szCs w:val="22"/>
          <w:rtl/>
        </w:rPr>
        <w:t>,</w:t>
      </w:r>
      <w:r w:rsidRPr="00BD5E91">
        <w:rPr>
          <w:rFonts w:cs="Arial"/>
          <w:sz w:val="22"/>
          <w:szCs w:val="22"/>
          <w:rtl/>
        </w:rPr>
        <w:t xml:space="preserve"> שרואין דאתער שמאלא</w:t>
      </w:r>
      <w:r>
        <w:rPr>
          <w:rFonts w:cs="Arial" w:hint="cs"/>
          <w:sz w:val="22"/>
          <w:szCs w:val="22"/>
          <w:rtl/>
        </w:rPr>
        <w:t>,</w:t>
      </w:r>
      <w:r w:rsidRPr="00BD5E91">
        <w:rPr>
          <w:rFonts w:cs="Arial"/>
          <w:sz w:val="22"/>
          <w:szCs w:val="22"/>
          <w:rtl/>
        </w:rPr>
        <w:t xml:space="preserve"> ויציצו כו' להשמדם עדי עד ואתה מרום כו'</w:t>
      </w:r>
      <w:r>
        <w:rPr>
          <w:rFonts w:cs="Arial" w:hint="cs"/>
          <w:sz w:val="22"/>
          <w:szCs w:val="22"/>
          <w:rtl/>
        </w:rPr>
        <w:t>,</w:t>
      </w:r>
      <w:r w:rsidRPr="00BD5E91">
        <w:rPr>
          <w:rFonts w:cs="Arial"/>
          <w:sz w:val="22"/>
          <w:szCs w:val="22"/>
          <w:rtl/>
        </w:rPr>
        <w:t xml:space="preserve"> ואתה</w:t>
      </w:r>
      <w:r>
        <w:rPr>
          <w:rFonts w:cs="Arial" w:hint="cs"/>
          <w:sz w:val="22"/>
          <w:szCs w:val="22"/>
          <w:rtl/>
        </w:rPr>
        <w:t>,</w:t>
      </w:r>
      <w:r w:rsidRPr="00BD5E91">
        <w:rPr>
          <w:rFonts w:cs="Arial"/>
          <w:sz w:val="22"/>
          <w:szCs w:val="22"/>
          <w:rtl/>
        </w:rPr>
        <w:t xml:space="preserve"> מל'</w:t>
      </w:r>
      <w:r>
        <w:rPr>
          <w:rFonts w:cs="Arial" w:hint="cs"/>
          <w:sz w:val="22"/>
          <w:szCs w:val="22"/>
          <w:rtl/>
        </w:rPr>
        <w:t>,</w:t>
      </w:r>
      <w:r w:rsidRPr="00BD5E91">
        <w:rPr>
          <w:rFonts w:cs="Arial"/>
          <w:sz w:val="22"/>
          <w:szCs w:val="22"/>
          <w:rtl/>
        </w:rPr>
        <w:t xml:space="preserve"> מרום כו'</w:t>
      </w:r>
      <w:r>
        <w:rPr>
          <w:rFonts w:cs="Arial" w:hint="cs"/>
          <w:sz w:val="22"/>
          <w:szCs w:val="22"/>
          <w:rtl/>
        </w:rPr>
        <w:t>.</w:t>
      </w:r>
      <w:r w:rsidRPr="00BD5E91">
        <w:rPr>
          <w:rFonts w:cs="Arial"/>
          <w:sz w:val="22"/>
          <w:szCs w:val="22"/>
          <w:rtl/>
        </w:rPr>
        <w:t xml:space="preserve"> וזהו תלשתא</w:t>
      </w:r>
      <w:r>
        <w:rPr>
          <w:rFonts w:cs="Arial" w:hint="cs"/>
          <w:sz w:val="22"/>
          <w:szCs w:val="22"/>
          <w:rtl/>
        </w:rPr>
        <w:t>.</w:t>
      </w:r>
      <w:r w:rsidRPr="00BD5E91">
        <w:rPr>
          <w:rFonts w:cs="Arial"/>
          <w:sz w:val="22"/>
          <w:szCs w:val="22"/>
          <w:rtl/>
        </w:rPr>
        <w:t xml:space="preserve"> וכמ"ש בתיקון עשירי דף כ' ע"ב באן סליק ליה בתלשתא כו' בההוא זמנא דמחת לצלמא כו'</w:t>
      </w:r>
      <w:r>
        <w:rPr>
          <w:rFonts w:cs="Arial" w:hint="cs"/>
          <w:sz w:val="22"/>
          <w:szCs w:val="22"/>
          <w:rtl/>
        </w:rPr>
        <w:t>.</w:t>
      </w:r>
      <w:r w:rsidRPr="00BD5E91">
        <w:rPr>
          <w:rFonts w:cs="Arial"/>
          <w:sz w:val="22"/>
          <w:szCs w:val="22"/>
          <w:rtl/>
        </w:rPr>
        <w:t xml:space="preserve"> ואח"כ בהתפשטות תרין דרועין</w:t>
      </w:r>
      <w:r>
        <w:rPr>
          <w:rFonts w:cs="Arial" w:hint="cs"/>
          <w:sz w:val="22"/>
          <w:szCs w:val="22"/>
          <w:rtl/>
        </w:rPr>
        <w:t>,</w:t>
      </w:r>
      <w:r w:rsidRPr="00BD5E91">
        <w:rPr>
          <w:rFonts w:cs="Arial"/>
          <w:sz w:val="22"/>
          <w:szCs w:val="22"/>
          <w:rtl/>
        </w:rPr>
        <w:t xml:space="preserve"> כי הנה אויביך ה' כי הנה אויביך יאבדו</w:t>
      </w:r>
      <w:r>
        <w:rPr>
          <w:rFonts w:cs="Arial" w:hint="cs"/>
          <w:sz w:val="22"/>
          <w:szCs w:val="22"/>
          <w:rtl/>
        </w:rPr>
        <w:t>,</w:t>
      </w:r>
      <w:r w:rsidRPr="00BD5E91">
        <w:rPr>
          <w:rFonts w:cs="Arial"/>
          <w:sz w:val="22"/>
          <w:szCs w:val="22"/>
          <w:rtl/>
        </w:rPr>
        <w:t xml:space="preserve"> מצד ימין ומצד שמאל</w:t>
      </w:r>
      <w:r>
        <w:rPr>
          <w:rFonts w:cs="Arial" w:hint="cs"/>
          <w:sz w:val="22"/>
          <w:szCs w:val="22"/>
          <w:rtl/>
        </w:rPr>
        <w:t>,</w:t>
      </w:r>
      <w:r w:rsidRPr="00BD5E91">
        <w:rPr>
          <w:rFonts w:cs="Arial"/>
          <w:sz w:val="22"/>
          <w:szCs w:val="22"/>
          <w:rtl/>
        </w:rPr>
        <w:t xml:space="preserve"> וזהו כפל הנה אויביך</w:t>
      </w:r>
      <w:r>
        <w:rPr>
          <w:rFonts w:cs="Arial" w:hint="cs"/>
          <w:sz w:val="22"/>
          <w:szCs w:val="22"/>
          <w:rtl/>
        </w:rPr>
        <w:t>,</w:t>
      </w:r>
      <w:r w:rsidRPr="00BD5E91">
        <w:rPr>
          <w:rFonts w:cs="Arial"/>
          <w:sz w:val="22"/>
          <w:szCs w:val="22"/>
          <w:rtl/>
        </w:rPr>
        <w:t xml:space="preserve"> וזהו אזלא גרש</w:t>
      </w:r>
      <w:r>
        <w:rPr>
          <w:rFonts w:cs="Arial" w:hint="cs"/>
          <w:sz w:val="22"/>
          <w:szCs w:val="22"/>
          <w:rtl/>
        </w:rPr>
        <w:t>,</w:t>
      </w:r>
      <w:r w:rsidRPr="00BD5E91">
        <w:rPr>
          <w:rFonts w:cs="Arial"/>
          <w:sz w:val="22"/>
          <w:szCs w:val="22"/>
          <w:rtl/>
        </w:rPr>
        <w:t xml:space="preserve"> אזלא מימין גרש משמאל</w:t>
      </w:r>
      <w:r>
        <w:rPr>
          <w:rFonts w:cs="Arial" w:hint="cs"/>
          <w:sz w:val="22"/>
          <w:szCs w:val="22"/>
          <w:rtl/>
        </w:rPr>
        <w:t>,</w:t>
      </w:r>
      <w:r w:rsidRPr="00BD5E91">
        <w:rPr>
          <w:rFonts w:cs="Arial"/>
          <w:sz w:val="22"/>
          <w:szCs w:val="22"/>
          <w:rtl/>
        </w:rPr>
        <w:t xml:space="preserve"> וז"ש דקטיר שמאלא לגרש קשר שמאלא יתפרדו כל פועלי און</w:t>
      </w:r>
      <w:r>
        <w:rPr>
          <w:rFonts w:cs="Arial" w:hint="cs"/>
          <w:sz w:val="22"/>
          <w:szCs w:val="22"/>
          <w:rtl/>
        </w:rPr>
        <w:t>,</w:t>
      </w:r>
      <w:r w:rsidRPr="00BD5E91">
        <w:rPr>
          <w:rFonts w:cs="Arial"/>
          <w:sz w:val="22"/>
          <w:szCs w:val="22"/>
          <w:rtl/>
        </w:rPr>
        <w:t xml:space="preserve"> ואזלא גרש הן כפופין זה לצד זה דוגמת ב' דרועין:</w:t>
      </w:r>
    </w:p>
  </w:footnote>
  <w:footnote w:id="716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ופסקה בין משחתא דלתתא כו'.</w:t>
      </w:r>
      <w:r w:rsidRPr="00BD5E91">
        <w:rPr>
          <w:sz w:val="22"/>
          <w:szCs w:val="22"/>
          <w:rtl/>
        </w:rPr>
        <w:t xml:space="preserve"> דמשחתא הוא רזא דג' שמות של שמע כנ"ל ואמר בקו המדה וכד מתחברן אתוון דמהימנותא אתגליין בחיבורא כו' עד וכולא חד אחד ע"ש וכמ"ש בתי"ט שאין בין מים למים כו' כנ"ל והוא עלמא עלאה ותתאה והן שני שמות הוי"ה כמ"ש בקו המדה שם וזהו הפסק שבין המשחתא למשחתא שהוא כמלא נימא כנ"ל והוא טעם הפסיק שהוא ו' כמלא נימא וז"ש למטה ורזא דא יקו"ק פסיק בין ב' שמות של י"ג מדות והן ב' שמות של עלמא עלאה ועלמא תתאה וז"א בינייהו והוא הפסק ו' בינייהו והוא מייחדן וזהו אחד וז"ש וכלא חד כו' וכן אמר שם במאמר קו המדה ז' וז' וכלא חד אחד:</w:t>
      </w:r>
    </w:p>
  </w:footnote>
  <w:footnote w:id="717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שופרא אתהפך.</w:t>
      </w:r>
      <w:r w:rsidRPr="00BD5E91">
        <w:rPr>
          <w:sz w:val="22"/>
          <w:szCs w:val="22"/>
          <w:rtl/>
        </w:rPr>
        <w:t xml:space="preserve"> ר"ל ההוא אתפשטותא דמשקי לון כד בוצינא מדיד כמ"ש במאמר הנ"ל והאי נציצו סלקא כו' כדין אפיק מבועין ההוא אתפשטותא כו' קו המדה בוצינא דקרדינותא כו' דאתקן שפירו לכלא ההוא שפירו דנפיק מפשיטו קדמאה כו' וזהו טעם שופר מהופך שנק' מהפך:</w:t>
      </w:r>
    </w:p>
  </w:footnote>
  <w:footnote w:id="717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עד דמטי לשרביטא כו'.</w:t>
      </w:r>
      <w:r w:rsidRPr="00BD5E91">
        <w:rPr>
          <w:sz w:val="22"/>
          <w:szCs w:val="22"/>
          <w:rtl/>
        </w:rPr>
        <w:t xml:space="preserve"> ר"ל שנתעכב ביסוד וזהו טעם דרגא כמש"ו וניגונא קיימא ובטש בדרגא דאיהו קדמאה כו' ר"ל שיסוד הוא דרגא להוליך השפע למלכות ועתה קיימא בדרגא לכן ניגון של דרגא אינו מפסיק אלא אתפסק באמצע ניגון וקיימא עוד לניגונא וכן במהפך ושניהם אינן מפסיקין:</w:t>
      </w:r>
    </w:p>
  </w:footnote>
  <w:footnote w:id="717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וכד בוצינא אתפשטת.</w:t>
      </w:r>
      <w:r w:rsidRPr="00BD5E91">
        <w:rPr>
          <w:sz w:val="22"/>
          <w:szCs w:val="22"/>
          <w:rtl/>
        </w:rPr>
        <w:t xml:space="preserve"> ר"ל זהו פשטא המפסיק של מהפך:</w:t>
      </w:r>
    </w:p>
  </w:footnote>
  <w:footnote w:id="717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כדין שופרא אזיל.</w:t>
      </w:r>
      <w:r w:rsidRPr="00BD5E91">
        <w:rPr>
          <w:sz w:val="22"/>
          <w:szCs w:val="22"/>
          <w:rtl/>
        </w:rPr>
        <w:t xml:space="preserve"> זהו שופר הולך שאנו קוראין מונח שבא לפעמים אחר דרגא:</w:t>
      </w:r>
    </w:p>
  </w:footnote>
  <w:footnote w:id="717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ותלת קשרין כו'.</w:t>
      </w:r>
      <w:r w:rsidRPr="00BD5E91">
        <w:rPr>
          <w:sz w:val="22"/>
          <w:szCs w:val="22"/>
          <w:rtl/>
        </w:rPr>
        <w:t xml:space="preserve"> עכשיו מפרש טעם סגולתא שהוא תלת קשרין הנ"ל דקיימין על אתוון:</w:t>
      </w:r>
    </w:p>
  </w:footnote>
  <w:footnote w:id="717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(ואע"ג דברזא אחרא קיימא.</w:t>
      </w:r>
      <w:r w:rsidRPr="00BD5E91">
        <w:rPr>
          <w:sz w:val="22"/>
          <w:szCs w:val="22"/>
          <w:rtl/>
        </w:rPr>
        <w:t xml:space="preserve"> ר"ל אע"ג שאלו ב' קשרין רומז על רזא אחרא כמ"ש למטה ובדף הקודם על רביע מ"מ כלא ברזא חדא כו'):</w:t>
      </w:r>
    </w:p>
  </w:footnote>
  <w:footnote w:id="717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תחות גדפוי דההוא כו'.</w:t>
      </w:r>
      <w:r w:rsidRPr="00BD5E91">
        <w:rPr>
          <w:sz w:val="22"/>
          <w:szCs w:val="22"/>
          <w:rtl/>
        </w:rPr>
        <w:t xml:space="preserve"> כמש"ו דסגולתא הוא תלת אבהן וכמ"ש לעיל בז"ח כ"פ והן תחת אימא עלאה:</w:t>
      </w:r>
    </w:p>
  </w:footnote>
  <w:footnote w:id="717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ולא קיימא הכא משחתא לאתגלייא.</w:t>
      </w:r>
      <w:r w:rsidRPr="00BD5E91">
        <w:rPr>
          <w:sz w:val="22"/>
          <w:szCs w:val="22"/>
          <w:rtl/>
        </w:rPr>
        <w:t xml:space="preserve"> דעד כאן אתפשט אימא עילאה כמ"ש לעיל שהיא מסתיימת בחזה דז"א וז"ש לעיל תחות גדפוי כו' וכן משחתא סתימא כנ"ל:</w:t>
      </w:r>
    </w:p>
  </w:footnote>
  <w:footnote w:id="717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וכדין כזוהר הרקיע רקיעא סתימאה כו'.</w:t>
      </w:r>
      <w:r w:rsidRPr="00BD5E91">
        <w:rPr>
          <w:sz w:val="22"/>
          <w:szCs w:val="22"/>
          <w:rtl/>
        </w:rPr>
        <w:t xml:space="preserve"> ר"ל בינה דקיימא עלייהו כמש"ו ואמר דלא אתגלייא כלל לפי שאמר על חג"ת ג"כ דלא אתגלייא אמר עלה דלא אתגלייא כלל:</w:t>
      </w:r>
    </w:p>
  </w:footnote>
  <w:footnote w:id="717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על רישי דחיוון קדושים כו'.</w:t>
      </w:r>
      <w:r w:rsidRPr="00BD5E91">
        <w:rPr>
          <w:sz w:val="22"/>
          <w:szCs w:val="22"/>
          <w:rtl/>
        </w:rPr>
        <w:t xml:space="preserve"> ר"ל חג"ת חיות כמ"ש בה"ת כמש"ל ור"ל זהו הרקיע שע"ג החיות שנ' ודמות על ראשי החיות רקיע כו' וז"ש ברזא דאבהן כו' וחשיב במאמר הזה כזוהר הרקיע כל הז' רקיעין שהן מבינה עד יסוד כידוע רקיע דאקרי יום השבת יסוד רקיע דביה קיימין שמשא כו' ת"ת. רקיע דחיוון דקיימין נ"ה. רקיע דימינא חסד ונכללת גו גבורה כמש"ו ואתפשטו תרין דרועין כחדא. רקיעא סתימאה בינה והכל ברזא דטעמים שהן כזוהר הרקיע כמ"ש לעיל:</w:t>
      </w:r>
    </w:p>
  </w:footnote>
  <w:footnote w:id="718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ואפיק מניה.</w:t>
      </w:r>
      <w:r w:rsidRPr="00BD5E91">
        <w:rPr>
          <w:sz w:val="22"/>
          <w:szCs w:val="22"/>
          <w:rtl/>
        </w:rPr>
        <w:t xml:space="preserve"> ר"ל מבינה התפשטות למטה בז"ת שזהו זוהר הרקיע כנ"ל:</w:t>
      </w:r>
    </w:p>
  </w:footnote>
  <w:footnote w:id="718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לכלהו חיוון.</w:t>
      </w:r>
      <w:r w:rsidRPr="00BD5E91">
        <w:rPr>
          <w:sz w:val="22"/>
          <w:szCs w:val="22"/>
          <w:rtl/>
        </w:rPr>
        <w:t xml:space="preserve"> ר"ל לכל הו"ק דבתחלה אמר על רישי דחיוון כו' ברזא דאבהן שהן חיוון עלאין ועכשיו אמר לכלהו חיוון בין עלאין בין תתאין כל הו"ק:</w:t>
      </w:r>
    </w:p>
  </w:footnote>
  <w:footnote w:id="718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כלא ברזא דמשחתא קיימא לנגנא כו'.</w:t>
      </w:r>
      <w:r w:rsidRPr="00BD5E91">
        <w:rPr>
          <w:sz w:val="22"/>
          <w:szCs w:val="22"/>
          <w:rtl/>
        </w:rPr>
        <w:t xml:space="preserve"> ר"ל שיעור הניגון כשיעור המשחתא:</w:t>
      </w:r>
    </w:p>
  </w:footnote>
  <w:footnote w:id="718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ולא גרעי ולא מתפשטי לבר כו'.</w:t>
      </w:r>
      <w:r w:rsidRPr="00BD5E91">
        <w:rPr>
          <w:sz w:val="22"/>
          <w:szCs w:val="22"/>
          <w:rtl/>
        </w:rPr>
        <w:t xml:space="preserve"> ר"ל שאין גורעין הניגון שיעור המשחתא:</w:t>
      </w:r>
    </w:p>
  </w:footnote>
  <w:footnote w:id="718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וכלא בדיוקנא רזא דוא"ו נחית כו'.</w:t>
      </w:r>
      <w:r w:rsidRPr="00BD5E91">
        <w:rPr>
          <w:sz w:val="22"/>
          <w:szCs w:val="22"/>
          <w:rtl/>
        </w:rPr>
        <w:t xml:space="preserve"> ר"ל השלשה קשרים הנ"ל שנשארו שלשה נקודות קשרא קדמאה הוא רביע וקיימא על אתוון לפעמים נחית לתתא במשחתא בדיוקנא דוא"ו שהוא התפשטות הבוצינא ונקודה זו בתוכה והוא צורת תביר ותביר הוא לשון נחיתו:</w:t>
      </w:r>
    </w:p>
  </w:footnote>
  <w:footnote w:id="718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וכד נחית וקיימא על אתוון הא אתמר.</w:t>
      </w:r>
      <w:r w:rsidRPr="00BD5E91">
        <w:rPr>
          <w:sz w:val="22"/>
          <w:szCs w:val="22"/>
          <w:rtl/>
        </w:rPr>
        <w:t xml:space="preserve"> ר"ל שהוא טעם רביע כנ"ל:</w:t>
      </w:r>
    </w:p>
  </w:footnote>
  <w:footnote w:id="718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אינון שני קשרין כו'.</w:t>
      </w:r>
      <w:r w:rsidRPr="00BD5E91">
        <w:rPr>
          <w:sz w:val="22"/>
          <w:szCs w:val="22"/>
          <w:rtl/>
        </w:rPr>
        <w:t xml:space="preserve"> עכשיו מפרש שני קשרין האחרונים שאמר בדף הקודם ע"ג תרי אחרנין קיימא לטעמא חדא כו':</w:t>
      </w:r>
    </w:p>
  </w:footnote>
  <w:footnote w:id="718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ואתפשט בוצינא ברזא דוא"ו כו'.</w:t>
      </w:r>
      <w:r w:rsidRPr="00BD5E91">
        <w:rPr>
          <w:sz w:val="22"/>
          <w:szCs w:val="22"/>
          <w:rtl/>
        </w:rPr>
        <w:t xml:space="preserve"> ר"ל אינון שני קשרין קיימין דוגמת השבא על אתוון וכד בוצינא אתפשטת ברזא דוא"ו אז הוא זקף גדול כידוע בצורת זקף גדול:</w:t>
      </w:r>
    </w:p>
  </w:footnote>
  <w:footnote w:id="718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וכד לא קיימא פשיטו דא בהני כו'.</w:t>
      </w:r>
      <w:r w:rsidRPr="00BD5E91">
        <w:rPr>
          <w:sz w:val="22"/>
          <w:szCs w:val="22"/>
          <w:rtl/>
        </w:rPr>
        <w:t xml:space="preserve"> ר"ל שהתפשטות הבוצינא אינו באלו ב' קשרין הוא זקף קטן ב' נקודות לבד כי זקף גדול הוא דווקא שהתפשטות הוא באלו ב' קשרין כמ"ש ואתפשט בוצינא ברזא דוא"ו ואחיד לון דייק ואחיד לון אז ההתפשטות אצל ב' נקודות זקף גדול:</w:t>
      </w:r>
    </w:p>
  </w:footnote>
  <w:footnote w:id="718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ואע"ג דהא כלא כו'.</w:t>
      </w:r>
      <w:r w:rsidRPr="00BD5E91">
        <w:rPr>
          <w:sz w:val="22"/>
          <w:szCs w:val="22"/>
          <w:rtl/>
        </w:rPr>
        <w:t xml:space="preserve"> ר"ל שהזקף גדול וזקף קטן הוא ברזא חדא באלו ב' קשרין מ"מ החילוק הוא כנ"ל אם אחיד לון הבוצינא:</w:t>
      </w:r>
    </w:p>
  </w:footnote>
  <w:footnote w:id="719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יעבדון ניגונא.</w:t>
      </w:r>
      <w:r w:rsidRPr="00BD5E91">
        <w:rPr>
          <w:sz w:val="22"/>
          <w:szCs w:val="22"/>
          <w:rtl/>
        </w:rPr>
        <w:t xml:space="preserve"> שהניגונא הוא התפשטות הבוצינא לו"ק ששם הוא יזהירו כנ"ל:</w:t>
      </w:r>
    </w:p>
  </w:footnote>
  <w:footnote w:id="719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יזהירו לעילא יזהירו כו'.</w:t>
      </w:r>
      <w:r w:rsidRPr="00BD5E91">
        <w:rPr>
          <w:sz w:val="22"/>
          <w:szCs w:val="22"/>
          <w:rtl/>
        </w:rPr>
        <w:t xml:space="preserve"> הן תרין משחתין הנ"ל והן ברזא דחיוון עלאין חיוון תתאין שמשחתא עלאה אתפשט על חיוון עלאין ומשחתא תתאה על חיוון תתאין כמש"ל שהן תרין עלמין:</w:t>
      </w:r>
    </w:p>
  </w:footnote>
  <w:footnote w:id="719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כד מתחברן כו' כחושבן רל"ח.</w:t>
      </w:r>
      <w:r w:rsidRPr="00BD5E91">
        <w:rPr>
          <w:sz w:val="22"/>
          <w:szCs w:val="22"/>
          <w:rtl/>
        </w:rPr>
        <w:t xml:space="preserve"> ששיעור המשחתא הוא שיעור קומה כמ"ש במאמר קו המדה</w:t>
      </w:r>
      <w:r>
        <w:rPr>
          <w:rFonts w:hint="cs"/>
          <w:sz w:val="22"/>
          <w:szCs w:val="22"/>
          <w:rtl/>
        </w:rPr>
        <w:t>.</w:t>
      </w:r>
      <w:r w:rsidRPr="00BD5E91">
        <w:rPr>
          <w:sz w:val="22"/>
          <w:szCs w:val="22"/>
          <w:rtl/>
        </w:rPr>
        <w:t xml:space="preserve"> ושיעור קומה הוא רל"ו כידוע</w:t>
      </w:r>
      <w:r>
        <w:rPr>
          <w:rFonts w:hint="cs"/>
          <w:sz w:val="22"/>
          <w:szCs w:val="22"/>
          <w:rtl/>
        </w:rPr>
        <w:t>,</w:t>
      </w:r>
      <w:r w:rsidRPr="00BD5E91">
        <w:rPr>
          <w:sz w:val="22"/>
          <w:szCs w:val="22"/>
          <w:rtl/>
        </w:rPr>
        <w:t xml:space="preserve"> והאי רביע דקיימא על אתוון ולא אתפשט</w:t>
      </w:r>
      <w:r>
        <w:rPr>
          <w:rFonts w:hint="cs"/>
          <w:sz w:val="22"/>
          <w:szCs w:val="22"/>
          <w:rtl/>
        </w:rPr>
        <w:t>,</w:t>
      </w:r>
      <w:r w:rsidRPr="00BD5E91">
        <w:rPr>
          <w:sz w:val="22"/>
          <w:szCs w:val="22"/>
          <w:rtl/>
        </w:rPr>
        <w:t xml:space="preserve"> בה תרין רוחין בהתפשטות הניגונא כמ"ש לעיל אתפשט בניגונא ולא אתפשט בחזותא כו'</w:t>
      </w:r>
      <w:r>
        <w:rPr>
          <w:rFonts w:hint="cs"/>
          <w:sz w:val="22"/>
          <w:szCs w:val="22"/>
          <w:rtl/>
        </w:rPr>
        <w:t>,</w:t>
      </w:r>
      <w:r w:rsidRPr="00BD5E91">
        <w:rPr>
          <w:sz w:val="22"/>
          <w:szCs w:val="22"/>
          <w:rtl/>
        </w:rPr>
        <w:t xml:space="preserve"> ושיעורא דילה בניגונא כו' תרין רוחין  אתפשטת בניגונא כו' הרי רל"ח:</w:t>
      </w:r>
    </w:p>
  </w:footnote>
  <w:footnote w:id="719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ובג"ד יזהירו.</w:t>
      </w:r>
      <w:r w:rsidRPr="00BD5E91">
        <w:rPr>
          <w:sz w:val="22"/>
          <w:szCs w:val="22"/>
          <w:rtl/>
        </w:rPr>
        <w:t xml:space="preserve"> ר"ל יזהירו את אורייתא בניגונא ואתפשטותא כנ"ל:</w:t>
      </w:r>
    </w:p>
  </w:footnote>
  <w:footnote w:id="719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כזוהר הכי הוא לחושבנא יזהירו.</w:t>
      </w:r>
      <w:r w:rsidRPr="00BD5E91">
        <w:rPr>
          <w:sz w:val="22"/>
          <w:szCs w:val="22"/>
          <w:rtl/>
        </w:rPr>
        <w:t xml:space="preserve"> ר"ל ג"כ רל"ח:</w:t>
      </w:r>
    </w:p>
  </w:footnote>
  <w:footnote w:id="719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יזהירו כזוהר חד הוא מה כו'.</w:t>
      </w:r>
      <w:r w:rsidRPr="00BD5E91">
        <w:rPr>
          <w:sz w:val="22"/>
          <w:szCs w:val="22"/>
          <w:rtl/>
        </w:rPr>
        <w:t xml:space="preserve"> ששניהם בחשבון א' וכן באותיות רק שכ' נתחלק ביזהירו לב' יודין:</w:t>
      </w:r>
    </w:p>
  </w:footnote>
  <w:footnote w:id="719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אלא כו'.</w:t>
      </w:r>
      <w:r w:rsidRPr="00BD5E91">
        <w:rPr>
          <w:sz w:val="22"/>
          <w:szCs w:val="22"/>
          <w:rtl/>
        </w:rPr>
        <w:t xml:space="preserve"> ר"ל כזוהר הוא על רקיע עצמו זוהר דמשחתא דאתפשט ויזהירו על הו"ק עצמן שהם יזהירו והכל כמנין הנ"ל:</w:t>
      </w:r>
    </w:p>
  </w:footnote>
  <w:footnote w:id="719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וסימנא כו'.</w:t>
      </w:r>
      <w:r w:rsidRPr="00BD5E91">
        <w:rPr>
          <w:sz w:val="22"/>
          <w:szCs w:val="22"/>
          <w:rtl/>
        </w:rPr>
        <w:t xml:space="preserve"> ר"ל וסימן מנין רזין דבוצינא חושבן יזהירו כזוהר:</w:t>
      </w:r>
    </w:p>
  </w:footnote>
  <w:footnote w:id="7198">
    <w:p w:rsidR="00007309" w:rsidRDefault="00007309" w:rsidP="00007309">
      <w:pPr>
        <w:jc w:val="both"/>
        <w:rPr>
          <w:rFonts w:cs="Arial"/>
          <w:sz w:val="22"/>
          <w:szCs w:val="22"/>
          <w:rtl/>
        </w:rPr>
      </w:pPr>
      <w:r w:rsidRPr="00BD5E91">
        <w:rPr>
          <w:rStyle w:val="a7"/>
          <w:rFonts w:cs="Arial"/>
          <w:sz w:val="22"/>
          <w:szCs w:val="22"/>
          <w:rtl/>
        </w:rPr>
        <w:footnoteRef/>
      </w:r>
      <w:r w:rsidRPr="00BD5E91">
        <w:rPr>
          <w:rFonts w:cs="Arial"/>
          <w:sz w:val="22"/>
          <w:szCs w:val="22"/>
          <w:rtl/>
        </w:rPr>
        <w:t xml:space="preserve"> </w:t>
      </w:r>
      <w:r w:rsidRPr="00BD5E91">
        <w:rPr>
          <w:rFonts w:cs="Arial"/>
          <w:b/>
          <w:bCs/>
          <w:sz w:val="22"/>
          <w:szCs w:val="22"/>
          <w:rtl/>
        </w:rPr>
        <w:t>סימנא דא ורזא דא כו'.</w:t>
      </w:r>
      <w:r w:rsidRPr="00BD5E91">
        <w:rPr>
          <w:rFonts w:cs="Arial"/>
          <w:sz w:val="22"/>
          <w:szCs w:val="22"/>
          <w:rtl/>
        </w:rPr>
        <w:t xml:space="preserve"> ר"ל מנין המשחתא</w:t>
      </w:r>
      <w:r>
        <w:rPr>
          <w:rFonts w:cs="Arial" w:hint="cs"/>
          <w:sz w:val="22"/>
          <w:szCs w:val="22"/>
          <w:rtl/>
        </w:rPr>
        <w:t>.</w:t>
      </w:r>
      <w:r w:rsidRPr="00BD5E91">
        <w:rPr>
          <w:rFonts w:cs="Arial"/>
          <w:sz w:val="22"/>
          <w:szCs w:val="22"/>
          <w:rtl/>
        </w:rPr>
        <w:t xml:space="preserve"> והכל מפורש במאמר קו המדה</w:t>
      </w:r>
      <w:r>
        <w:rPr>
          <w:rFonts w:cs="Arial" w:hint="cs"/>
          <w:sz w:val="22"/>
          <w:szCs w:val="22"/>
          <w:rtl/>
        </w:rPr>
        <w:t>.</w:t>
      </w:r>
      <w:r w:rsidRPr="00BD5E91">
        <w:rPr>
          <w:rFonts w:cs="Arial"/>
          <w:sz w:val="22"/>
          <w:szCs w:val="22"/>
          <w:rtl/>
        </w:rPr>
        <w:t xml:space="preserve"> </w:t>
      </w:r>
      <w:r>
        <w:rPr>
          <w:rFonts w:cs="Arial" w:hint="cs"/>
          <w:sz w:val="22"/>
          <w:szCs w:val="22"/>
          <w:rtl/>
        </w:rPr>
        <w:t xml:space="preserve">(ג.פ. וכאן מבאר הגר"א קטע במאמר 'קו המדה' (תמצאנו בסוף), החל מדף </w:t>
      </w:r>
      <w:r w:rsidRPr="00BD5E91">
        <w:rPr>
          <w:rFonts w:cs="Arial"/>
          <w:sz w:val="22"/>
          <w:szCs w:val="22"/>
          <w:rtl/>
        </w:rPr>
        <w:t>מה ע"ב</w:t>
      </w:r>
      <w:r>
        <w:rPr>
          <w:rFonts w:cs="Arial" w:hint="cs"/>
          <w:sz w:val="22"/>
          <w:szCs w:val="22"/>
          <w:rtl/>
        </w:rPr>
        <w:t>, שאצלנו הוא ע ע"א, ד"ה</w:t>
      </w:r>
      <w:r w:rsidRPr="00BD5E91">
        <w:rPr>
          <w:rFonts w:cs="Arial"/>
          <w:sz w:val="22"/>
          <w:szCs w:val="22"/>
          <w:rtl/>
        </w:rPr>
        <w:t xml:space="preserve"> ההוא קשרא קדמאה שלשה אלפי עלמין קשירין ביה כו'.</w:t>
      </w:r>
      <w:r>
        <w:rPr>
          <w:rFonts w:cs="Arial" w:hint="cs"/>
          <w:sz w:val="22"/>
          <w:szCs w:val="22"/>
          <w:rtl/>
        </w:rPr>
        <w:t xml:space="preserve"> ועד ד"ה סטרא תניינא מדיד כו'. ואז הוא מבאר קטע מזהר חדש בראשית 'סתרי אותיות'. ובתוכו מבאר קטע מזהר בראשית דף טז, וחוזר לבאר ה'סתרי אותיות'. אנחנו שילבנו את הקטעים במקומות המתאימים ע"פ בהגר"א כדי שהביאור יהיה רציף. ואעפ"כ, השארנו את הביאור גם כאן).</w:t>
      </w:r>
    </w:p>
    <w:p w:rsidR="00007309" w:rsidRPr="00BD5E91" w:rsidRDefault="00007309" w:rsidP="00007309">
      <w:pPr>
        <w:jc w:val="both"/>
        <w:rPr>
          <w:rFonts w:cs="Arial"/>
          <w:sz w:val="22"/>
          <w:szCs w:val="22"/>
          <w:rtl/>
        </w:rPr>
      </w:pPr>
      <w:r w:rsidRPr="00BD5E91">
        <w:rPr>
          <w:rFonts w:cs="Arial"/>
          <w:sz w:val="22"/>
          <w:szCs w:val="22"/>
          <w:rtl/>
        </w:rPr>
        <w:t>ואמר שם (מ"ה ע"ב</w:t>
      </w:r>
      <w:r>
        <w:rPr>
          <w:rFonts w:cs="Arial" w:hint="cs"/>
          <w:sz w:val="22"/>
          <w:szCs w:val="22"/>
          <w:rtl/>
        </w:rPr>
        <w:t>, אצלנו ע' ע"א</w:t>
      </w:r>
      <w:r w:rsidRPr="00BD5E91">
        <w:rPr>
          <w:rFonts w:cs="Arial"/>
          <w:sz w:val="22"/>
          <w:szCs w:val="22"/>
          <w:rtl/>
        </w:rPr>
        <w:t>) ההוא קשרא קדמאה שלשה אלפי עלמין קשירין ביה כו'. ששלשה קשרין חשיב כאן והן ג' מוחין חב"ד ג' חללין דגלגלתא קשרא קדמאה הוא חכמה וביה שלשת אלפים כמ"ש וידבר שלשת אלפים משל ואמר בתי"ג דף כ"ה ע"ב שלשת אלפים משל תלת יודין דאינון תלת טפין דמוחא דנחתין מן י' כו' והוא חכמה י' של השם ואמר בפ' ויקרא דף י' ע"ב י' דשמא קדישא אתקשר בג' קשרין בגין דהאי י' קוצא חד לעילא כו' עד חד נהר עמיקא. ועניינו שהן כח"ב לעילא כתר ובאמצעיתא חכמה שהוא גוף היו"ד ולתתא בינה כלולה בו וז"ש כאן. חד עלמא סלקא כו':</w:t>
      </w:r>
      <w:r>
        <w:rPr>
          <w:rFonts w:cs="Arial" w:hint="cs"/>
          <w:sz w:val="22"/>
          <w:szCs w:val="22"/>
          <w:rtl/>
        </w:rPr>
        <w:t xml:space="preserve"> </w:t>
      </w:r>
      <w:r w:rsidRPr="00BD5E91">
        <w:rPr>
          <w:rFonts w:cs="Arial"/>
          <w:b/>
          <w:bCs/>
          <w:sz w:val="22"/>
          <w:szCs w:val="22"/>
          <w:rtl/>
        </w:rPr>
        <w:t>עלמא תתאה מכלהו ארכיה אלף כו'.</w:t>
      </w:r>
      <w:r w:rsidRPr="00BD5E91">
        <w:rPr>
          <w:rFonts w:cs="Arial"/>
          <w:sz w:val="22"/>
          <w:szCs w:val="22"/>
          <w:rtl/>
        </w:rPr>
        <w:t xml:space="preserve"> ועם ב' אלפי' שבין קשרא לקשרא הרי שלשת אלפים:</w:t>
      </w:r>
      <w:r w:rsidRPr="00BD5E91">
        <w:rPr>
          <w:rFonts w:cs="Arial"/>
          <w:b/>
          <w:bCs/>
          <w:sz w:val="22"/>
          <w:szCs w:val="22"/>
          <w:rtl/>
        </w:rPr>
        <w:t xml:space="preserve"> והאי קשרא כליל כלא.</w:t>
      </w:r>
      <w:r w:rsidRPr="00BD5E91">
        <w:rPr>
          <w:rFonts w:cs="Arial"/>
          <w:sz w:val="22"/>
          <w:szCs w:val="22"/>
          <w:rtl/>
        </w:rPr>
        <w:t xml:space="preserve"> כנ"ל שחכמה כלל כולם וכמ"ש כולם בחכמה עשית וכן י' כלל האותיות כידוע:</w:t>
      </w:r>
      <w:r w:rsidRPr="00BD5E91">
        <w:rPr>
          <w:rFonts w:cs="Arial"/>
          <w:b/>
          <w:bCs/>
          <w:sz w:val="22"/>
          <w:szCs w:val="22"/>
          <w:rtl/>
        </w:rPr>
        <w:t xml:space="preserve"> מהאי קשרא קדמאה שארי קו המדה לאתפשטא.</w:t>
      </w:r>
      <w:r w:rsidRPr="00BD5E91">
        <w:rPr>
          <w:rFonts w:cs="Arial"/>
          <w:sz w:val="22"/>
          <w:szCs w:val="22"/>
          <w:rtl/>
        </w:rPr>
        <w:t xml:space="preserve"> שבקשרא קדמאה אין התפשטות רק יוד נקודה לבד אבל בקשרא תניינא אתפשט הבוצינא לאורכא ולפותיא ונעשה ד' באורך ורוחב ואתעברת ונעשית ה' והכל בהתפשטות הבוצינא כמ"ש בפ' משפטים דף קכ"ג ע"ב ת"ח הא חזינא ליה בחלמא כו' ויוד פשיט נהרא דא מכל סטרוי כו' ע"ש וכ"כ בס"ד ה' ד' הות ומדאתעברת ביה בגווה כו' ע"ש ובפ' א"מ דף ס"ה ע"ב ת"ח י' בקדמיתא כללא דכולא כו' ואי תימא נהר כתיב כו'. ור"ל התפשטות זה הוא נהר יוצא שהוא בינה כידוע רק שמקשה כאן בה' ג' התפשטות ותי' עם זו"נ הוא ג' התפשטות והוא מסכים למאמר זה דמשחתא דבוצינא הוא בג' שמהן בינה זו"נ כמ"ש לעיל י' ואלין עזקין כו'. וז"ש בתחלת פ' בראשית דף ט"ו ע"א קוטרא בגולמא נעיץ בעיזקא לא חיוור כו'. קוטרא הוא קוטרא עלאה אוירא דכיא. בגולמא הוא קשרא קדמאה י' שהוא גולמא כידוע. נעיץ הוא קיומא דחכמה שנעיץ משם כמ"ש לעיל האי קשרא קדמאה קיומא נעיץ מהכא. בעיזקא הוא קשרא תניינא עזקאן דכאן והוא חיבור חו"ב וכאן לא חיוור כו' כמ"ש לעיל דכאן סתימא. מדיד משיחין עביד גוונין לאנהרא. הוא בקשרא תניינא דמשם מדיד כנ"ל ושם עביד גוונין כמש"ל דשני ליה בתלת גוונין:</w:t>
      </w:r>
      <w:r w:rsidRPr="00BD5E91">
        <w:rPr>
          <w:rFonts w:cs="Arial"/>
          <w:b/>
          <w:bCs/>
          <w:sz w:val="22"/>
          <w:szCs w:val="22"/>
          <w:rtl/>
        </w:rPr>
        <w:t xml:space="preserve"> אינון מאתן כו'.</w:t>
      </w:r>
      <w:r w:rsidRPr="00BD5E91">
        <w:rPr>
          <w:rFonts w:cs="Arial"/>
          <w:sz w:val="22"/>
          <w:szCs w:val="22"/>
          <w:rtl/>
        </w:rPr>
        <w:t xml:space="preserve"> כמ"ש ומאתים לנוטרים את פריו שכאן הוא שכר עה"ב כידוע ומכאן נטיל גבורה מאתן אלף עלמין כמ"ש לקמן דף צ' ע"א ואפיק ד' בחושבנא דמאתן אלף עלמין כו':</w:t>
      </w:r>
      <w:r w:rsidRPr="00BD5E91">
        <w:rPr>
          <w:rFonts w:cs="Arial"/>
          <w:b/>
          <w:bCs/>
          <w:sz w:val="22"/>
          <w:szCs w:val="22"/>
          <w:rtl/>
        </w:rPr>
        <w:t xml:space="preserve"> דכסיף בהו קב"ה.</w:t>
      </w:r>
      <w:r w:rsidRPr="00BD5E91">
        <w:rPr>
          <w:rFonts w:cs="Arial"/>
          <w:sz w:val="22"/>
          <w:szCs w:val="22"/>
          <w:rtl/>
        </w:rPr>
        <w:t xml:space="preserve"> כאן הוא השעשוע הקב"ה בצדיקים בפלגו דליליא:</w:t>
      </w:r>
      <w:r w:rsidRPr="00BD5E91">
        <w:rPr>
          <w:rFonts w:cs="Arial"/>
          <w:b/>
          <w:bCs/>
          <w:sz w:val="22"/>
          <w:szCs w:val="22"/>
          <w:rtl/>
        </w:rPr>
        <w:t xml:space="preserve"> ת"ק אלף עלמין.</w:t>
      </w:r>
      <w:r w:rsidRPr="00BD5E91">
        <w:rPr>
          <w:rFonts w:cs="Arial"/>
          <w:sz w:val="22"/>
          <w:szCs w:val="22"/>
          <w:rtl/>
        </w:rPr>
        <w:t xml:space="preserve"> הן ת"ק פרסי דאילנא דחיי שהן נ' שערי בינה כ"א כלול מיוד כידוע. וז"ש ואלין דפתחי תרעין לכל סטר כמ"ש בפ' בראשית דף ג' ע"ב ואינון חמשין אגליפו לארבע סטרין כו':</w:t>
      </w:r>
      <w:r w:rsidRPr="00BD5E91">
        <w:rPr>
          <w:rFonts w:cs="Arial"/>
          <w:b/>
          <w:bCs/>
          <w:sz w:val="22"/>
          <w:szCs w:val="22"/>
          <w:rtl/>
        </w:rPr>
        <w:t xml:space="preserve"> ברזא דשתין רבוא עלמין. </w:t>
      </w:r>
      <w:r w:rsidRPr="00BD5E91">
        <w:rPr>
          <w:rFonts w:cs="Arial"/>
          <w:sz w:val="22"/>
          <w:szCs w:val="22"/>
          <w:rtl/>
        </w:rPr>
        <w:t xml:space="preserve">ו"ק שכלולין בת"ת וכמש"ל דף צ' ובגיניה קיימין שיתין אלף רבוא על טורין סגיאין שהן אלף טורין הידועין: </w:t>
      </w:r>
      <w:r w:rsidRPr="00BD5E91">
        <w:rPr>
          <w:rFonts w:cs="Arial"/>
          <w:b/>
          <w:bCs/>
          <w:sz w:val="22"/>
          <w:szCs w:val="22"/>
          <w:rtl/>
        </w:rPr>
        <w:t xml:space="preserve">חמשין זרתין. </w:t>
      </w:r>
      <w:r w:rsidRPr="00BD5E91">
        <w:rPr>
          <w:rFonts w:cs="Arial"/>
          <w:sz w:val="22"/>
          <w:szCs w:val="22"/>
          <w:rtl/>
        </w:rPr>
        <w:t>שהן נ' שערים:</w:t>
      </w:r>
      <w:r w:rsidRPr="00BD5E91">
        <w:rPr>
          <w:rFonts w:cs="Arial"/>
          <w:b/>
          <w:bCs/>
          <w:sz w:val="22"/>
          <w:szCs w:val="22"/>
          <w:rtl/>
        </w:rPr>
        <w:t xml:space="preserve"> לאתפתחא לחמש סטרין.</w:t>
      </w:r>
      <w:r w:rsidRPr="00BD5E91">
        <w:rPr>
          <w:rFonts w:cs="Arial"/>
          <w:sz w:val="22"/>
          <w:szCs w:val="22"/>
          <w:rtl/>
        </w:rPr>
        <w:t xml:space="preserve"> הן ה"ס שהן ה' סטרין וו' סטרין ו"ק ובינה אתפשטת עד הוד בנ' תרעין דילה כמ"ש כ"פ:</w:t>
      </w:r>
      <w:r w:rsidRPr="00BD5E91">
        <w:rPr>
          <w:rFonts w:cs="Arial"/>
          <w:b/>
          <w:bCs/>
          <w:sz w:val="22"/>
          <w:szCs w:val="22"/>
          <w:rtl/>
        </w:rPr>
        <w:t xml:space="preserve"> רומא חמש.</w:t>
      </w:r>
      <w:r w:rsidRPr="00BD5E91">
        <w:rPr>
          <w:rFonts w:cs="Arial"/>
          <w:sz w:val="22"/>
          <w:szCs w:val="22"/>
          <w:rtl/>
        </w:rPr>
        <w:t xml:space="preserve"> ה' עלאה:</w:t>
      </w:r>
      <w:r w:rsidRPr="00BD5E91">
        <w:rPr>
          <w:rFonts w:cs="Arial"/>
          <w:b/>
          <w:bCs/>
          <w:sz w:val="22"/>
          <w:szCs w:val="22"/>
          <w:rtl/>
        </w:rPr>
        <w:t xml:space="preserve"> עומקא ורומא חמשין כו'.</w:t>
      </w:r>
      <w:r w:rsidRPr="00BD5E91">
        <w:rPr>
          <w:rFonts w:cs="Arial"/>
          <w:sz w:val="22"/>
          <w:szCs w:val="22"/>
          <w:rtl/>
        </w:rPr>
        <w:t xml:space="preserve"> כנ"ל וז"ש הן לה' אלקיך השמים ושמי השמים שנ"ה שמים הן:</w:t>
      </w:r>
      <w:r w:rsidRPr="00BD5E91">
        <w:rPr>
          <w:rFonts w:cs="Arial"/>
          <w:b/>
          <w:bCs/>
          <w:sz w:val="22"/>
          <w:szCs w:val="22"/>
          <w:rtl/>
        </w:rPr>
        <w:t xml:space="preserve"> קשרא תליתאה כו'.</w:t>
      </w:r>
      <w:r w:rsidRPr="00BD5E91">
        <w:rPr>
          <w:rFonts w:cs="Arial"/>
          <w:sz w:val="22"/>
          <w:szCs w:val="22"/>
          <w:rtl/>
        </w:rPr>
        <w:t xml:space="preserve"> דעת שזה קו המדה והוא אתפשט ובו אתגלייא גוונין וז"ש ודא איהו קשרא בגוון יתיר ואיהו קאים כו':</w:t>
      </w:r>
      <w:r w:rsidRPr="00BD5E91">
        <w:rPr>
          <w:rFonts w:cs="Arial"/>
          <w:b/>
          <w:bCs/>
          <w:sz w:val="22"/>
          <w:szCs w:val="22"/>
          <w:rtl/>
        </w:rPr>
        <w:t xml:space="preserve"> תלת מינייהו עלאין כו'.</w:t>
      </w:r>
      <w:r w:rsidRPr="00BD5E91">
        <w:rPr>
          <w:rFonts w:cs="Arial"/>
          <w:sz w:val="22"/>
          <w:szCs w:val="22"/>
          <w:rtl/>
        </w:rPr>
        <w:t xml:space="preserve"> הוא רזא דחו"ל שנתבאר לעיל:</w:t>
      </w:r>
      <w:r w:rsidRPr="00BD5E91">
        <w:rPr>
          <w:rFonts w:cs="Arial"/>
          <w:b/>
          <w:bCs/>
          <w:sz w:val="22"/>
          <w:szCs w:val="22"/>
          <w:rtl/>
        </w:rPr>
        <w:t xml:space="preserve"> מדיד אלף.</w:t>
      </w:r>
      <w:r w:rsidRPr="00BD5E91">
        <w:rPr>
          <w:rFonts w:cs="Arial"/>
          <w:sz w:val="22"/>
          <w:szCs w:val="22"/>
          <w:rtl/>
        </w:rPr>
        <w:t xml:space="preserve"> שהדעת הוא אלף אדרין וז"ש ויהי שירו חמשה ואלף חמשה ה' ה' עילאה רומא חמש ואלף דעת שהוא גנוז בבינה ובינה הוא שירה דלוים:</w:t>
      </w:r>
      <w:r w:rsidRPr="00BD5E91">
        <w:rPr>
          <w:rFonts w:cs="Arial"/>
          <w:b/>
          <w:bCs/>
          <w:sz w:val="22"/>
          <w:szCs w:val="22"/>
          <w:rtl/>
        </w:rPr>
        <w:t xml:space="preserve"> שארי מלעילא כו'.</w:t>
      </w:r>
      <w:r w:rsidRPr="00BD5E91">
        <w:rPr>
          <w:rFonts w:cs="Arial"/>
          <w:sz w:val="22"/>
          <w:szCs w:val="22"/>
          <w:rtl/>
        </w:rPr>
        <w:t xml:space="preserve"> כאן מבאר מדת גלגלת הראש העיגול שלמעלה ואמר לתרין סטרין כו'. מתחיל מאמצע הראש ומדיד בעיגול לתרין סטרין וכל סטר הוא ש' זרתין וחצי ושליש נמצא כל עיגול הראש תר"א זרתין וב' שלישים:</w:t>
      </w:r>
      <w:r w:rsidRPr="00BD5E91">
        <w:rPr>
          <w:rFonts w:cs="Arial"/>
          <w:b/>
          <w:bCs/>
          <w:sz w:val="22"/>
          <w:szCs w:val="22"/>
          <w:rtl/>
        </w:rPr>
        <w:t xml:space="preserve"> סטרא דא כו'.</w:t>
      </w:r>
      <w:r w:rsidRPr="00BD5E91">
        <w:rPr>
          <w:rFonts w:cs="Arial"/>
          <w:sz w:val="22"/>
          <w:szCs w:val="22"/>
          <w:rtl/>
        </w:rPr>
        <w:t xml:space="preserve"> עכשיו מבאר רוחב השטח של ראש ואמר כמין חמש מזלגות יוצאין מב' צדדין וחמש אלו נאחזין בחמש אלו ואורך של המזלגות ש' טפחים וא' וחצי זרת נמצא אורך כל המזלגים שהוא שטח הראש ת"ר טפחים ושלש זרתין כמש"ו:</w:t>
      </w:r>
      <w:r w:rsidRPr="00BD5E91">
        <w:rPr>
          <w:rFonts w:cs="Arial"/>
          <w:b/>
          <w:bCs/>
          <w:sz w:val="22"/>
          <w:szCs w:val="22"/>
          <w:rtl/>
        </w:rPr>
        <w:t xml:space="preserve"> סטרא תניינא מדיד כו'.</w:t>
      </w:r>
      <w:r w:rsidRPr="00BD5E91">
        <w:rPr>
          <w:rFonts w:cs="Arial"/>
          <w:sz w:val="22"/>
          <w:szCs w:val="22"/>
          <w:rtl/>
        </w:rPr>
        <w:t xml:space="preserve"> חוזר למעלה למדידת עיגול הראש שביאר לעיל סטרא חדא ועכשיו אמר שכן הוא ג"כ סטרא תניינא:</w:t>
      </w:r>
      <w:r w:rsidRPr="00BD5E91">
        <w:rPr>
          <w:rFonts w:cs="Arial"/>
          <w:b/>
          <w:bCs/>
          <w:sz w:val="22"/>
          <w:szCs w:val="22"/>
          <w:rtl/>
        </w:rPr>
        <w:t xml:space="preserve"> משחתא תלת זרתין.</w:t>
      </w:r>
      <w:r w:rsidRPr="00BD5E91">
        <w:rPr>
          <w:rFonts w:cs="Arial"/>
          <w:sz w:val="22"/>
          <w:szCs w:val="22"/>
          <w:rtl/>
        </w:rPr>
        <w:t xml:space="preserve"> צ"ל תלת מאה זרתין:</w:t>
      </w:r>
      <w:r w:rsidRPr="00BD5E91">
        <w:rPr>
          <w:rFonts w:cs="Arial"/>
          <w:b/>
          <w:bCs/>
          <w:sz w:val="22"/>
          <w:szCs w:val="22"/>
          <w:rtl/>
        </w:rPr>
        <w:t xml:space="preserve"> ובסתרי אותיות.</w:t>
      </w:r>
      <w:r w:rsidRPr="00BD5E91">
        <w:rPr>
          <w:rFonts w:cs="Arial"/>
          <w:sz w:val="22"/>
          <w:szCs w:val="22"/>
          <w:rtl/>
        </w:rPr>
        <w:t xml:space="preserve"> בזוהר חדש דף ה' ע"ב אמר שם ר"ש פתח כו' באתוון רשימין כו'. ר"ל ג' דרגין הם א' האותיות של השם שהן עצם של ע"ס. ב' קיומא דלהון כמ"ש למטה וכדין נהרין מגווה תמניא אחרנין וכלהו קיימין כו'. ג' רתיכין שהן הסמכין כמ"ש שם אשתכחו לאת יו"ד ט' סמכין על מה דאסתמיך וכלהו רתיכא לאת דא כו'. וז"ש אתרשים את בקיומיה סליק בגווה ההוא רתיכא כו': </w:t>
      </w:r>
      <w:r w:rsidRPr="00BD5E91">
        <w:rPr>
          <w:rFonts w:cs="Arial"/>
          <w:b/>
          <w:bCs/>
          <w:sz w:val="22"/>
          <w:szCs w:val="22"/>
          <w:rtl/>
        </w:rPr>
        <w:t xml:space="preserve">ברזא דרתיכין קדישין בארבע סטרי עלמא. </w:t>
      </w:r>
      <w:r w:rsidRPr="00BD5E91">
        <w:rPr>
          <w:rFonts w:cs="Arial"/>
          <w:sz w:val="22"/>
          <w:szCs w:val="22"/>
          <w:rtl/>
        </w:rPr>
        <w:t>ר"ל שכל רתיכא הוא לד' סטרין כי מרכבה הוא ד' חיות לד' סטרין כידוע כמ"ש לקמן דף ו' ע"ב ואע"ג דלית רתיכא אלא בארבע כו' ואע"ג  דאיהי בארבע כו' ויתבאר שם:</w:t>
      </w:r>
      <w:r w:rsidRPr="00BD5E91">
        <w:rPr>
          <w:rFonts w:cs="Arial"/>
          <w:b/>
          <w:bCs/>
          <w:sz w:val="22"/>
          <w:szCs w:val="22"/>
          <w:rtl/>
        </w:rPr>
        <w:t xml:space="preserve"> רזא דאת קדמאה.</w:t>
      </w:r>
      <w:r w:rsidRPr="00BD5E91">
        <w:rPr>
          <w:rFonts w:cs="Arial"/>
          <w:sz w:val="22"/>
          <w:szCs w:val="22"/>
          <w:rtl/>
        </w:rPr>
        <w:t xml:space="preserve"> ר"ל אות יו"ד של השם:</w:t>
      </w:r>
      <w:r w:rsidRPr="00BD5E91">
        <w:rPr>
          <w:rFonts w:cs="Arial"/>
          <w:b/>
          <w:bCs/>
          <w:sz w:val="22"/>
          <w:szCs w:val="22"/>
          <w:rtl/>
        </w:rPr>
        <w:t xml:space="preserve"> לגבי עלמין.</w:t>
      </w:r>
      <w:r w:rsidRPr="00BD5E91">
        <w:rPr>
          <w:rFonts w:cs="Arial"/>
          <w:sz w:val="22"/>
          <w:szCs w:val="22"/>
          <w:rtl/>
        </w:rPr>
        <w:t xml:space="preserve"> נ"ל דצ"ל עלאין:</w:t>
      </w:r>
      <w:r w:rsidRPr="00BD5E91">
        <w:rPr>
          <w:rFonts w:cs="Arial"/>
          <w:b/>
          <w:bCs/>
          <w:sz w:val="22"/>
          <w:szCs w:val="22"/>
          <w:rtl/>
        </w:rPr>
        <w:t xml:space="preserve"> ברעו דמחשבה.</w:t>
      </w:r>
      <w:r w:rsidRPr="00BD5E91">
        <w:rPr>
          <w:rFonts w:cs="Arial"/>
          <w:sz w:val="22"/>
          <w:szCs w:val="22"/>
          <w:rtl/>
        </w:rPr>
        <w:t xml:space="preserve"> הוא מוחא סתימאה חכמה קדומה שבכתר שחכמה הוא מחשבה וכתר רעותא כידוע ולכן חכמה שבכתר קוראה רעו דמחשבה וחכמה תתאה סלקא למחשבה עלאה כמ"ש בפ' פקודי בסופו ובפ' נח ובכמה מקומות וכמ"ש למטה בארוכה:</w:t>
      </w:r>
      <w:r w:rsidRPr="00BD5E91">
        <w:rPr>
          <w:rFonts w:cs="Arial"/>
          <w:b/>
          <w:bCs/>
          <w:sz w:val="22"/>
          <w:szCs w:val="22"/>
          <w:rtl/>
        </w:rPr>
        <w:t xml:space="preserve"> אתחפייא תחותיה חד אגוזא.</w:t>
      </w:r>
      <w:r w:rsidRPr="00BD5E91">
        <w:rPr>
          <w:rFonts w:cs="Arial"/>
          <w:sz w:val="22"/>
          <w:szCs w:val="22"/>
          <w:rtl/>
        </w:rPr>
        <w:t xml:space="preserve"> הוא חלל הפה שחכמה הוא מוחא ותחתיו חלל הפה ונק' אגוזא כמ"ש תהו קו ירוק הוא קליפה ירוקא דאגוזא, בהו - אבנים מפולמות הוא קליפה הקשה כאבן של אגוזא וחשך הוא קליפה דקיקא שבפנים לקליפה הקשה, על פני תהום הוא חללא דאגוזא והוא הפה שנק' תהום כמ"ש בתז"ח דף ע"ט ע"ב ההוא קלא אשתכך כו' גו תהומא כו' ע"ש כי מוחא נק' ימא ופה תהום וז"ס ים ותהום בכל הפסוקים והמאמרים של ים ותהום ואלו ד' קליפין של אגוז הן ד' גוונין של האותיות שבתוך התהום כמ"ש תהו גוון ירוק בהו גוון חיוור חושך גוון סומק כו' והן גוונין חשוכין עד שנתגלה מאמר יהי אור דנהיר לגוונין כמו שמפורסם בתיקונים ובתז"ח וכבר נתפרש במאמר הנ"ל היאך כל כ"ב האותיות יצאו בתוך תהומא שהן אורייתא כמש"ל ואמר בס"י פ"א חקק וחצב בהן עשרים ושתים אותיות מתהו ובהו רפש וטיט שהן ד' גוונין כי רפש וטיט הם חשך על פני כו' וקודם האור היו גוונין חשוכין כי הם במלכות ושם רגליה כו' והיתה מלובש בקליפין כמ"ש בס"ד פ"א והארץ תניינא כו' ומההוא דאתלטייא נפקא ואמר שם וכלא אתחרב בתריסר שעתי תליסר יקים לון כקדמיתא כו' ור"ל שהן י"ג תיבות מהיתה עד סוף הפסוק וכמ"ש כבר כי י"ב מזלות הן י"ב שבטין דילה י"ב בקר והן י"ב פרקי גופא שהן ב' דרועין וב' רגלין שעליהן עומד הים למעלה כמ"ש בזוהר ויחי כנ"ל והן מע"ב פרקי גופא עיקרן ומנהיגין דלהון והן י"ב אותיות של מילוי מנצפ"ך שהן ה"ג המקיימן ויסודן כמ"ש בז"ח ש"ה ע"ב אתוון של כ"ב אתוון ע"ש וכנגד זה אשתהי הכ"ב אתון י"ב חדשים בעיבור בתהום הנ"ל כמ"ש במאמר קו המדה ע"ש והן ד' אתוון של השם שהוא י"ב אותיות של מלך מלך ימלוך ג' חיוון הידועים שכלל כולם הוא אדם הגוף מלמעלן והוא התליסר יקים לון כמ"ש בא"ר דלא אתקיימו עד דאתתקנו בכללא דאדם ששם הוא חיבור דו"נ ואלין י"ב הן רתיכין דילה והוא מ"ש בפ' בראשית דף ט"ז ע"א והארץ היתה כו' היתה מקדמת דנא. ר"ל בעולם התהו ששם ארעא אתבטלת כמ"ש בס"ד פ"א לפי שבעולם התהו יצאו בבוצינא דקרדינותא ולא אתערבו באוירא דכיא כמ"ש בתחלה עלה במחשבה כו' ושם יצאו כל הגוונין ולא יצאו הנביעו דמניה אצטבעו גוונין כמ"ש בתחלת בראשית והיו גוונין חשוכין וידוע שכל הגוונין הוא במלכות כמ"ש בדף א' ע"ב וכדין נראו בארץ ואתגלו תמן וידוע שכל הגוונין הן מסט' דגבורה ונהורא מסט' דחסד ולכן הן בה וכמ"ש לקמן דף י"ח ע"ב ואינון גוונין דאתחזין בההוא דמות חיור וסומק וירוק כן כו' ע"ש:</w:t>
      </w:r>
      <w:r w:rsidRPr="00BD5E91">
        <w:rPr>
          <w:rFonts w:cs="Arial"/>
          <w:b/>
          <w:bCs/>
          <w:sz w:val="22"/>
          <w:szCs w:val="22"/>
          <w:rtl/>
        </w:rPr>
        <w:t xml:space="preserve"> תלגא גו מיא נפקו מינה זוהמא בההוא חילא דתלגא כו'.</w:t>
      </w:r>
      <w:r w:rsidRPr="00BD5E91">
        <w:rPr>
          <w:rFonts w:cs="Arial"/>
          <w:sz w:val="22"/>
          <w:szCs w:val="22"/>
          <w:rtl/>
        </w:rPr>
        <w:t xml:space="preserve"> כי ארץ נבראת ממים כמ"ש בס"י וארץ נבראת ממים ואמר שם שלש מים מרוח חקק וחצב בהן עשרים ושתים אותיות מתהו ובהו רפש וטיט כו' ויצק עליהם שלג ונעשה עפר שנא' כי לשל"ג יאמר הוא ארץ והענין כי קודם חלק השי"ת המים לשני חלקים והן מ"ד ומ"נ כידוע ומ"נ הן צלולין ואדומים ומ"ד הן קפויין ולבנים כשלג וזהו השל"ג כמ"ש בז"ח ש"ה והן ביסוד ויסוד נטיל מבי מלכא דשלמא דיליה כידוע וכמ"ש במאמר של הטעמים סתימו דיליה גניז שבטא דיוסף צדיקא וזהו שלג שתחת כסא הכבוד שהיא אמא כידוע כסא לכבוד חכמה ל"ב נתיבות והיא מקנן בכורסייא והוא ידוע ומפורסם והוא יסוד תחת כסא הכבוד כמ"ש בתחלת מדרש הנעלם פ' לך ובסוף תז"ח דאעיל חמש מאה פרסה עד או"א וע"ש באורך והן ה"ח שבתחלה היתה בסוד ה"ג והשתא אתבסמא בה"ח של אמה קדישא כמ"ש בא"ר דף קמ"ב ותאנא בצניעותא דספרא אתפשט דכורא ואתתקן כו' ע"ש עד סוף העמוד והן ה"פ אור ה"ח אוירא דכיא י' אור כידוע וה"ג הן ד' גוונין של תהו כו' שהן ד' של ה"א ונקודה אמצעית של ה' גוון חמישי כמ"ש למטה והן ה' והן י"ג כנ"ל והן ה' עלין תקיפין דחפיין לה וה"פ אור הן י"ג מכילין דרחמין דסחרין לה מכל סטרהא שהן שנכרתו י"ג בריתות על המילה אמה דכיא שהן י"ג תיקונין תתאי כידוע בסוד צמר ואז נקראת שושנה כליל חיוור וסומק ועיין בה"ז דף א' ע"א ובפ' פנחס וע"י התבסמות הזה נפיק מינה הזוהמא ואתבריר הטוב מה שיוכל להתברר והפסולת יצא למטה כמו בעובר שדם הטוב שבו נוצר הולד והשאר יוצא עם הולד הפסולת והכל נברר ע"י זרע של הזכר כי הוא חלב הקיבה שהוא נקפה וכשמטילין לתוך חלב כולו נקפה ע"י והחלב נברר לעצמו והקום נשפך לחוץ וז"ש. בההוא חילא דתלגא במיא. ואמר ואקיש בה אשא תקיפא והוא כו'. הוא בוצינא הנ"ל סוד הגבורות:</w:t>
      </w:r>
      <w:r w:rsidRPr="00BD5E91">
        <w:rPr>
          <w:rFonts w:cs="Arial"/>
          <w:b/>
          <w:bCs/>
          <w:sz w:val="22"/>
          <w:szCs w:val="22"/>
          <w:rtl/>
        </w:rPr>
        <w:t xml:space="preserve"> ואתעדי.</w:t>
      </w:r>
      <w:r w:rsidRPr="00BD5E91">
        <w:rPr>
          <w:rFonts w:cs="Arial"/>
          <w:sz w:val="22"/>
          <w:szCs w:val="22"/>
          <w:rtl/>
        </w:rPr>
        <w:t xml:space="preserve"> ר"ל והוסר הפסולת:</w:t>
      </w:r>
      <w:r w:rsidRPr="00BD5E91">
        <w:rPr>
          <w:rFonts w:cs="Arial"/>
          <w:b/>
          <w:bCs/>
          <w:sz w:val="22"/>
          <w:szCs w:val="22"/>
          <w:rtl/>
        </w:rPr>
        <w:t xml:space="preserve"> תהו כו'.</w:t>
      </w:r>
      <w:r w:rsidRPr="00BD5E91">
        <w:rPr>
          <w:rFonts w:cs="Arial"/>
          <w:sz w:val="22"/>
          <w:szCs w:val="22"/>
          <w:rtl/>
        </w:rPr>
        <w:t xml:space="preserve"> עכשיו מפרש ד' הגוונים והיאך הפסולת יצאו מכ"א והן ד' אותיות השם כידוע ותהו נגד ה' אחרונה דל"ל מגרמה כלום ולכן הפסולת הוא מדורא כו' והיא רגליה כו', ובהו נגד ו' ו"ק ששת ימי הבנין לכן הוא יישובא כי כל עולם התהו הוא בנוק' ועולם התיקון הוא בדכורא כמ"ש בא"ר שם ובשאר מקומות. וחושך הוא אשא תקיפא ה' ראשונה של השם ששם גניז בוצינא דקרדינותא גו מעוי דאימא ושם בכינויה אור לבושא חושך כמ"ש לקמן דף כ"ב ע"ב ע"ש והיא בעצמה אין שם רע רק דינים נפקין מסטרהא וזהו חשך דאתקיף לרע כמ"ש למטה והוא אתקיף לתהו ה' תתאה וית' למטה ורוח אלקים הוא יו"ד של השם שהוא רוח הקודש מחכמה קדש כמ"ש למטה והן בארץ תלגא גו מיא הוא ורוח אלקים מרחפת שהוא אוירא דכיא כנ"ל וחושך הוא אשא תקיפא דאקיש בה ובהו ברירו דאתבריר מינה ע"י ההוא תלגא ותהו הוא פסולתא דאתעדי ע"י אשא תקיפא וכ"א הוא בשרשו ו' מיו"ד ה' מה"א וכמש"ו וז"ש תהו מדורא דזוהמא ואמר קינא דפסולת ר"ל שורש קין שהוא קינא דמסאבותא מדורא דזוהמא דאטמרי בגו תהומא כמ"ש בס"ד ובא"ר ע"ש שכנגד ד' הנ"ל הן שעלו למטה שנים ויצאו ארבעה כי אדם וחוה הן חו"ב או"א י"ה של השם כידוע והן מ"ד ומ"נ תלגא ואשא תקיפא שהיא מ"נ אדומים היא מזרעת אודם שממנה כל אודם וקין הוא סט' דגבורות והבל סט' דחסדים כידוע מסט' דדו"נ וקין הוא תהו שבו כל סטרא דרע כמ"ש בתיקונים ובזוהר והבל סט' דיישובא והן ד' גוונין חו"ב חו"ג ד' אותיות השם ואמר בתז"ח דף פ"א ע"ב ושכינתא תתאה מסטרא דשמאלא אתמר בה והארץ היתה תהו ומסט' דימינא ובהו בו הוא כו' קב"ה קודם דברא עלמא הוה סתים יקו"ק לבתר אתפשט ה' לתתא ואתמר בה והארץ כו' עד היות האדם לבדו ור"ל קב"ה הוא בינה כידוע והוא בונה העולם מחסד ולמטה ששת ימי הבנין והוא סתים הויה כמ"ש בז"ח ש"ה ולעיל בזה העמוד נשמתא אתי מכורסייא ובגין דתמן יקו"ק כו' ואח"כ אתפשט ממנה ה' תתאה וזהו עולם התהו מסט' דנוק' ולא היה בעלה לגבה חסדי' דכורא וזהו הנביעו של הבוצינא כנ"ל והיתה מתלבשת בתהו עד דנחית ו' של השם אדם מאין ושם בוהו עולם חסד יבנה בסוד החסדים ואמר עד דאתפשט ו' מן יק"ו דאיהו בינה ם כו'. ר"ל דבינה הוא יק"ו בינה בן י"ה בן הוא ו' והוא סתים בגווה והיא מ"ם סתומה עד דאתפשט ממנה ההוא אז היא ב' פתיחא כמ"ש ריש תיקון ה' וקודם דנחתת כו' הן חורבן עולם התהו והבנין ע"י חסדים וזהו ובהו והוא יישובא דאתיישב בה והכל בארץ השכינה:</w:t>
      </w:r>
      <w:r w:rsidRPr="00BD5E91">
        <w:rPr>
          <w:rFonts w:cs="Arial"/>
          <w:b/>
          <w:bCs/>
          <w:sz w:val="22"/>
          <w:szCs w:val="22"/>
          <w:rtl/>
        </w:rPr>
        <w:t xml:space="preserve"> חשך רזא כו'.</w:t>
      </w:r>
      <w:r w:rsidRPr="00BD5E91">
        <w:rPr>
          <w:rFonts w:cs="Arial"/>
          <w:sz w:val="22"/>
          <w:szCs w:val="22"/>
          <w:rtl/>
        </w:rPr>
        <w:t xml:space="preserve"> כנ"ל והוא אתקיף לתהו והיא הנוק' חושך כמ"ש בדף כ"ב ע"ב כנ"ל ומינה אתתקנת ההוא פסולת כמ"ש בא"ר מארץ אדום דכל דינין כו' ע"ש ומשם יצאו:</w:t>
      </w:r>
      <w:r w:rsidRPr="00BD5E91">
        <w:rPr>
          <w:rFonts w:cs="Arial"/>
          <w:b/>
          <w:bCs/>
          <w:sz w:val="22"/>
          <w:szCs w:val="22"/>
          <w:rtl/>
        </w:rPr>
        <w:t xml:space="preserve"> ורוח אלקים רוח קודשא כו'.</w:t>
      </w:r>
      <w:r w:rsidRPr="00BD5E91">
        <w:rPr>
          <w:rFonts w:cs="Arial"/>
          <w:sz w:val="22"/>
          <w:szCs w:val="22"/>
          <w:rtl/>
        </w:rPr>
        <w:t xml:space="preserve"> הוא יו"ד של השם שנק' קודש וז"ש בס"י אחת רוח אלקים חיים כו' והוא רוח הקודש נקודה הפנימית והיא היכל הקודש באמצע שהיא נתיב לא ידעו עיט נקודה דעיגולא:</w:t>
      </w:r>
      <w:r w:rsidRPr="00BD5E91">
        <w:rPr>
          <w:rFonts w:cs="Arial"/>
          <w:b/>
          <w:bCs/>
          <w:sz w:val="22"/>
          <w:szCs w:val="22"/>
          <w:rtl/>
        </w:rPr>
        <w:t xml:space="preserve"> ודא איהו מרחפת כו'.</w:t>
      </w:r>
      <w:r w:rsidRPr="00BD5E91">
        <w:rPr>
          <w:rFonts w:cs="Arial"/>
          <w:sz w:val="22"/>
          <w:szCs w:val="22"/>
          <w:rtl/>
        </w:rPr>
        <w:t xml:space="preserve"> דמניה אתתקנו החסדים כמ"ש לעיל:</w:t>
      </w:r>
      <w:r w:rsidRPr="00BD5E91">
        <w:rPr>
          <w:rFonts w:cs="Arial"/>
          <w:b/>
          <w:bCs/>
          <w:sz w:val="22"/>
          <w:szCs w:val="22"/>
          <w:rtl/>
        </w:rPr>
        <w:t xml:space="preserve"> בתר דהאי רוח נשיב אבריר (כו'.</w:t>
      </w:r>
      <w:r w:rsidRPr="00BD5E91">
        <w:rPr>
          <w:rFonts w:cs="Arial"/>
          <w:sz w:val="22"/>
          <w:szCs w:val="22"/>
          <w:rtl/>
        </w:rPr>
        <w:t xml:space="preserve"> כנ"ל דתלגא) דקיקו חד כו'. הוא נקודה י' תתאה של אדנ"י מגו תהו והוא נהורא זעירא וכן כל הד' גוונין כמש"ו:</w:t>
      </w:r>
      <w:r w:rsidRPr="00BD5E91">
        <w:rPr>
          <w:rFonts w:cs="Arial"/>
          <w:b/>
          <w:bCs/>
          <w:sz w:val="22"/>
          <w:szCs w:val="22"/>
          <w:rtl/>
        </w:rPr>
        <w:t xml:space="preserve"> ונפקא מניה רוח כו'.</w:t>
      </w:r>
      <w:r w:rsidRPr="00BD5E91">
        <w:rPr>
          <w:rFonts w:cs="Arial"/>
          <w:sz w:val="22"/>
          <w:szCs w:val="22"/>
          <w:rtl/>
        </w:rPr>
        <w:t xml:space="preserve"> אלו הד' ראה אליהו וכן ד' של יחזקאל והן ד' גוונים:</w:t>
      </w:r>
      <w:r w:rsidRPr="00BD5E91">
        <w:rPr>
          <w:rFonts w:cs="Arial"/>
          <w:b/>
          <w:bCs/>
          <w:sz w:val="22"/>
          <w:szCs w:val="22"/>
          <w:rtl/>
        </w:rPr>
        <w:t xml:space="preserve"> תהו אתר כו'.</w:t>
      </w:r>
      <w:r w:rsidRPr="00BD5E91">
        <w:rPr>
          <w:rFonts w:cs="Arial"/>
          <w:sz w:val="22"/>
          <w:szCs w:val="22"/>
          <w:rtl/>
        </w:rPr>
        <w:t xml:space="preserve"> דל"ל מגרמה כלום וכן כאן היא קליפה אחרונה וז"ש. לכלא אית כו':</w:t>
      </w:r>
      <w:r w:rsidRPr="00BD5E91">
        <w:rPr>
          <w:rFonts w:cs="Arial"/>
          <w:b/>
          <w:bCs/>
          <w:sz w:val="22"/>
          <w:szCs w:val="22"/>
          <w:rtl/>
        </w:rPr>
        <w:t xml:space="preserve"> אבנין דמשתקעין כו'.</w:t>
      </w:r>
      <w:r w:rsidRPr="00BD5E91">
        <w:rPr>
          <w:rFonts w:cs="Arial"/>
          <w:sz w:val="22"/>
          <w:szCs w:val="22"/>
          <w:rtl/>
        </w:rPr>
        <w:t xml:space="preserve"> אבנין של ג' חיות עלאין וכן תתאין שכולן נק' אבנין כמ"ש בתז"ח שית אבנין והן משתקעין כו' כמ"ש בה"ז דף א' ע"ב הנצנים נראו בארץ כו':</w:t>
      </w:r>
      <w:r w:rsidRPr="00BD5E91">
        <w:rPr>
          <w:rFonts w:cs="Arial"/>
          <w:b/>
          <w:bCs/>
          <w:sz w:val="22"/>
          <w:szCs w:val="22"/>
          <w:rtl/>
        </w:rPr>
        <w:t xml:space="preserve"> חדוה ושטותא.</w:t>
      </w:r>
      <w:r w:rsidRPr="00BD5E91">
        <w:rPr>
          <w:rFonts w:cs="Arial"/>
          <w:sz w:val="22"/>
          <w:szCs w:val="22"/>
          <w:rtl/>
        </w:rPr>
        <w:t xml:space="preserve"> כי הד' הן ד' יסודות הגוף כמ"ש בז"ח במדרש הנעלם דף י"ד ע"ב והארץ היתה תהו ובהו וחשך ורוח הרי כאן ד' יסודות אש מים כו' ור"ל תהו יסוד עפר ולכן נק' תהו דל"ל מגרמה כלום ואין לה שום גוון והיא מורכבת מג' יסודות ומג' גוונין, ובהו - מים, וחשך - אש כמ"ש הכל למטה והן ד' מרות כמ"ש בתיקונים ותהו מרה אוכמא טחול שמשם השחוק של שטות רשעים שהשעה משחקת לון ולשחוק אמרתי מהולל כידוע:</w:t>
      </w:r>
      <w:r w:rsidRPr="00BD5E91">
        <w:rPr>
          <w:rFonts w:cs="Arial"/>
          <w:b/>
          <w:bCs/>
          <w:sz w:val="22"/>
          <w:szCs w:val="22"/>
          <w:rtl/>
        </w:rPr>
        <w:t xml:space="preserve"> רוח הוא קול כו'.</w:t>
      </w:r>
      <w:r w:rsidRPr="00BD5E91">
        <w:rPr>
          <w:rFonts w:cs="Arial"/>
          <w:sz w:val="22"/>
          <w:szCs w:val="22"/>
          <w:rtl/>
        </w:rPr>
        <w:t xml:space="preserve"> הוא יו"ד של השם דאתקיף לוא"ו:</w:t>
      </w:r>
      <w:r w:rsidRPr="00BD5E91">
        <w:rPr>
          <w:rFonts w:cs="Arial"/>
          <w:b/>
          <w:bCs/>
          <w:sz w:val="22"/>
          <w:szCs w:val="22"/>
          <w:rtl/>
        </w:rPr>
        <w:t xml:space="preserve"> ודא תהו עליה כו'.</w:t>
      </w:r>
      <w:r w:rsidRPr="00BD5E91">
        <w:rPr>
          <w:rFonts w:cs="Arial"/>
          <w:sz w:val="22"/>
          <w:szCs w:val="22"/>
          <w:rtl/>
        </w:rPr>
        <w:t xml:space="preserve"> כי אלו הד' הן ד' דגלים לד' סטרין והן דרועין ורגלין כמ"ש בפ' ויחי ע"ש והים מלמעלה גופא תהו שוק שם ותקע כו' כל היום כו' בהו נצח וזהו צבאו"ת ושד"י יסוד ומלכות איהו בנצח ואיהי בהוד חושך גבורה אלקים ושם בינה אלקים חיים רוח חסד ושם חכמה הוי"ה:</w:t>
      </w:r>
      <w:r w:rsidRPr="00BD5E91">
        <w:rPr>
          <w:rFonts w:cs="Arial"/>
          <w:b/>
          <w:bCs/>
          <w:sz w:val="22"/>
          <w:szCs w:val="22"/>
          <w:rtl/>
        </w:rPr>
        <w:t xml:space="preserve"> דלאו איהו בלא כו'.</w:t>
      </w:r>
      <w:r w:rsidRPr="00BD5E91">
        <w:rPr>
          <w:rFonts w:cs="Arial"/>
          <w:sz w:val="22"/>
          <w:szCs w:val="22"/>
          <w:rtl/>
        </w:rPr>
        <w:t xml:space="preserve"> ר"ל המטר:</w:t>
      </w:r>
      <w:r w:rsidRPr="00BD5E91">
        <w:rPr>
          <w:rFonts w:cs="Arial"/>
          <w:b/>
          <w:bCs/>
          <w:sz w:val="22"/>
          <w:szCs w:val="22"/>
          <w:rtl/>
        </w:rPr>
        <w:t xml:space="preserve"> ואינון תריסר.</w:t>
      </w:r>
      <w:r w:rsidRPr="00BD5E91">
        <w:rPr>
          <w:rFonts w:cs="Arial"/>
          <w:sz w:val="22"/>
          <w:szCs w:val="22"/>
          <w:rtl/>
        </w:rPr>
        <w:t xml:space="preserve"> ג' פרקין בכ"א וכן שם של י"ב כידוע וכל אלו הן רפ"ח ניצוצות של עולם התהו ד"פ ע"ב בד' גוונין הנ"ל והן ע"ב רי"ו, רי"ו מסט' דגבורה וע"ב מסט' דחסד כידוע והן ג' תהו ובהו וחושך רי"ו כי כל אלו מסט' דנוק' הן בסוד חבקוק כידוע ורוח הוא קול זכר ע"ב של חסד והוא הוי"ה דכורא משא"כ אלו ג' שמות שהן כולם נוקבין והן דיבור ורוח הוא קול כמש"ל ורוח הוא קול כו' כי הדיבור הוא נחלק לג' חלקים כי הדבור הוא סוד כ"ב אתוון וקול הוא סוד עשר נקודות כמ"ש בתז"ח במאמר הנ"ל וכ"ב אתון נחלקין לג' חלקים כמ"ש בס"י ג' אמות אמ"ש וז' כפולות וי"ב פשוטות והן ג' הנז' כאן תהו ובהו וחושך ואמר שם שלשה ע"ג שבעה ושבעה ע"ג שנים עשר והענין כי ג' קשרין חול דאתקשר בהן הדיבור בג' חלקים הן סוד בינה ועד"א ומלכות, בינה אמא בה ג' אמות שהיא כוללת ג"ר וז' כפולות בעד"א ו"ק והיכל הקודש באמצע פי' ששוה לת"ת סוד יהודה כידוע וי"ב פשוטות בסוד המלכות על שנים עשר בקר ובה אתחרב בעולם התהו בתריסר שעתין כנ"ל ובה י"ב מזלות ובה הכל תלוי במזלא אפילו ס"ת שבהיכל כמ"ש והכל היה מן העפר אפילו גלגל חמה וזהו תהו וז' כפולות הוא בהו בעד"א כנ"ל ושם אבנין וז"ש בס"י אצל ז' כפולות סוף פ"ד שני אבנים כו' שבעה אבנים כו' וז"ש לעיל נקיבן ומפולמין כי בהם הדגש ורפה שבהם סוד הנפש כמ"ש במאמר הנ"ל דגשא ורפיא נפש בסוכלתנו כו' ע"ש וידוע שנר"נ הם בסוד בינה עד"א ומלכות שהן שמים וארץ ואויר, שמים מאש וארץ ממים ואויר מרוח מכריע בנתיים הרי נפש ממים וז"ש ומפיקי מיין כמ"ש שמהם יוצא מים ואמר נקיבן כי הדגש נוקב תוך האות ואמר לזמנין סלקין באוירא לזמנין מטמרן ביומא דעיבא ומפיקי מיין כו' כי יציאת הנפש הוא ע"י הדגש כמ"ש במאמר הנ"ל דגש מפקי רוחא כו' ואמר בת"ז והחיות רצוא בדגש ושוב ברפה ורפה הוא ע"ג האות וזהו תליא באוירא ודגש בתוך האות וזהו לזמנין מטמרן ואז מוציאין מים וזהו ביומא דעיבא וידוע שהדגש הוא דין ורפה רחמים כמ"ש בס"י בשתי לשונות רך וקשה ולכן מטר הוא בדין כמ"ש גבורות גשמים ונקבע בברכת אתה גבור כידוע וכמ"ש בז"ח ש"ה יפתח ה' לך את אוצרו הטוב בפתח ע"ש ולכן קשה יומא דמטרא כיומא דדינא וזהו ביומא דעיבא וחשך הוא ג' אמ"ש בבינה כנ"ל דדינין מתערין מינה ולכן אתקיף לתהו כנ"ל וכל אלו הם בסוד הדיבור בנוקבא והוא נפש סוד עולם התהו סוד האותיות עד בוא ורוח אלקים קלא דנהיג לדיבור סוד הנקודות דנפקין מחכמה כמ"ש נקודין מחכמה ושם יו"ד של השם עשר אמירן שהן עשר נקודות סוד הרוח כמ"ש במאמר הנ"ל ואתוון מבינה ולמטה והן שלש דרגין הנ"ל והוא סוד הויה כנ"ל עשר אתוון דשמא מפ' כמ"ש בה"ת וכל הדרגין של האותיות יש כנגדן בנקודות חוץ ממדרגה האחרונה נגד רוח אלקים חיים שהוא ורוח אלקים מרחפת הוא נקודה הראשונה ספי' הראשונה מע"ס כמ"ש בס"י פ"א אחת רוח אלקים חיים והיא כוללת כל הגוונין וז"ס הויה שכולל כל הד' גוונין כידוע בהרבה מקומות והיא נקודה הראשונה שעשר נקודות הן ע"ס עשר אמירן שהן עם כ"ב אתוון ל"ב נתיבות כמ"ש בס"י ונגד אמ"ש חשך ג' הראשונות כמ"ש בס"י שתים רוח מרוח כו' שלש כו' ארבע כו' ונגד ז' כפולות ששרשן ו"ק הן ו"ס האחרונות שאמר שם וחתם בהם ו"ק חמש כו' ע"ש אבל לתהו לית נגדן וז"ש לכלהו אית לבושא לאתלבשא בר האי וכן ביסודן שאמר שם אמ"ש יסודן אויר מים אש ולכ"א יש ציור כמ"ש שם כף זכות וכף חובה ולשון חק מכריע בנתיים שהם ג' גוונים חוור וסומק וירוק כידוע וכן בז' כפולות אמר שם יסודן חכמה ועושר כו' והן בדיבור ובתמורה כו' והן בציור דין ורחמים משא"כ בי"ב פשוטות שאין בהם ציור כלל כי יסודן שיחה הרהור שהן פשוטות מכל צורה ולא שייך בהם ציור כלל לכן קראם פשוטות ולכן אמר שם כ"ב אותיות חקקן חצבן צרפן שקלן והמירן חקקן חצבן צרפן נגד ג"ר חקקן בכתר כמ"ש בריש הורמנותא גליף גליפו בטהירו עלאה כו' חצבן בחכמה כי שם נחצבו בל"ב נתיבות וכמ"ש הביטו אל צור חוצבתם ואמרו זה אברהם חסד ששם חכמה כנ"ל צרפן בבינה שם אגלימו כידוע ואח"כ יצאו לחוץ ואמר שקלן נגד ג' אמ"ש יסודן כף זכות כו' והמירן נגד ז' כפולות בדיבור ובתמורה ונגד י"ב פשוטות לא אמר שום ציור אלא וצר בהם כו' בסוד הכל היה מן כו' ושלש תהו כו' מסט' דנוק' מ"נ ורוח הוא השלג מ"ד וע"י נבררו כנ"ל וכמ"ש דרוח בא מאביו ונפש מאמו וכמ"ש בזוהר ע"ש:</w:t>
      </w:r>
      <w:r w:rsidRPr="00BD5E91">
        <w:rPr>
          <w:rFonts w:cs="Arial"/>
          <w:b/>
          <w:bCs/>
          <w:sz w:val="22"/>
          <w:szCs w:val="22"/>
          <w:rtl/>
        </w:rPr>
        <w:t xml:space="preserve"> (חוזר לביאור דס"א הנ"ל):</w:t>
      </w:r>
      <w:r w:rsidRPr="00BD5E91">
        <w:rPr>
          <w:rFonts w:cs="Arial"/>
          <w:sz w:val="22"/>
          <w:szCs w:val="22"/>
          <w:rtl/>
        </w:rPr>
        <w:t xml:space="preserve"> </w:t>
      </w:r>
      <w:r w:rsidRPr="00BD5E91">
        <w:rPr>
          <w:rFonts w:cs="Arial"/>
          <w:b/>
          <w:bCs/>
          <w:sz w:val="22"/>
          <w:szCs w:val="22"/>
          <w:rtl/>
        </w:rPr>
        <w:t>אגוזא דחפייא כו'.</w:t>
      </w:r>
      <w:r w:rsidRPr="00BD5E91">
        <w:rPr>
          <w:rFonts w:cs="Arial"/>
          <w:sz w:val="22"/>
          <w:szCs w:val="22"/>
          <w:rtl/>
        </w:rPr>
        <w:t xml:space="preserve"> דחפייא לההוא את למוחא:</w:t>
      </w:r>
      <w:r w:rsidRPr="00BD5E91">
        <w:rPr>
          <w:rFonts w:cs="Arial"/>
          <w:b/>
          <w:bCs/>
          <w:sz w:val="22"/>
          <w:szCs w:val="22"/>
          <w:rtl/>
        </w:rPr>
        <w:t xml:space="preserve"> ואיהי רתיכא דקיימא כו'.</w:t>
      </w:r>
      <w:r w:rsidRPr="00BD5E91">
        <w:rPr>
          <w:rFonts w:cs="Arial"/>
          <w:sz w:val="22"/>
          <w:szCs w:val="22"/>
          <w:rtl/>
        </w:rPr>
        <w:t xml:space="preserve"> ר"ל תחת המוחא:</w:t>
      </w:r>
      <w:r w:rsidRPr="00BD5E91">
        <w:rPr>
          <w:rFonts w:cs="Arial"/>
          <w:b/>
          <w:bCs/>
          <w:sz w:val="22"/>
          <w:szCs w:val="22"/>
          <w:rtl/>
        </w:rPr>
        <w:t xml:space="preserve"> וההוא את כו'.</w:t>
      </w:r>
      <w:r w:rsidRPr="00BD5E91">
        <w:rPr>
          <w:rFonts w:cs="Arial"/>
          <w:sz w:val="22"/>
          <w:szCs w:val="22"/>
          <w:rtl/>
        </w:rPr>
        <w:t xml:space="preserve"> ר"ל מוחא טמיר וגניז:</w:t>
      </w:r>
      <w:r w:rsidRPr="00BD5E91">
        <w:rPr>
          <w:rFonts w:cs="Arial"/>
          <w:b/>
          <w:bCs/>
          <w:sz w:val="22"/>
          <w:szCs w:val="22"/>
          <w:rtl/>
        </w:rPr>
        <w:t xml:space="preserve"> נקודה חדא תחותיה.</w:t>
      </w:r>
      <w:r w:rsidRPr="00BD5E91">
        <w:rPr>
          <w:rFonts w:cs="Arial"/>
          <w:sz w:val="22"/>
          <w:szCs w:val="22"/>
          <w:rtl/>
        </w:rPr>
        <w:t xml:space="preserve"> ר"ל תחת האות והוא סיום האות דקיימא בגניזו וההיא נקודה הוא חיך דעבדא בניינא בגרון כמ"ש בתז"ח שם ובפ' נח ע"ש:</w:t>
      </w:r>
      <w:r w:rsidRPr="00BD5E91">
        <w:rPr>
          <w:rFonts w:cs="Arial"/>
          <w:b/>
          <w:bCs/>
          <w:sz w:val="22"/>
          <w:szCs w:val="22"/>
          <w:rtl/>
        </w:rPr>
        <w:t xml:space="preserve"> וההוא אגוזא קיימא בשית סמכין וסמכין לה בשית סט'.</w:t>
      </w:r>
      <w:r w:rsidRPr="00BD5E91">
        <w:rPr>
          <w:rFonts w:cs="Arial"/>
          <w:sz w:val="22"/>
          <w:szCs w:val="22"/>
          <w:rtl/>
        </w:rPr>
        <w:t xml:space="preserve"> שית סמכין הוא הלשון קשרא תניינא כי חיך הוא קשרא קדמאה ולשון קשרא תניינא והוא ו' ו"ק כמ"ש בס"ד לישן ו' כו' וכן בתז"ח שם ברזא דוא"ו דאיהו לישן כו' האי קלא דאיהו וא"ו לישן כו' ובו ו"ק קול יעקב עד"א כנ"ל וז"ש אינון שית סטרין גניזין כו':</w:t>
      </w:r>
      <w:r w:rsidRPr="00BD5E91">
        <w:rPr>
          <w:rFonts w:cs="Arial"/>
          <w:b/>
          <w:bCs/>
          <w:sz w:val="22"/>
          <w:szCs w:val="22"/>
          <w:rtl/>
        </w:rPr>
        <w:t xml:space="preserve"> נפקא רתיכא חד קדישא.</w:t>
      </w:r>
      <w:r w:rsidRPr="00BD5E91">
        <w:rPr>
          <w:rFonts w:cs="Arial"/>
          <w:sz w:val="22"/>
          <w:szCs w:val="22"/>
          <w:rtl/>
        </w:rPr>
        <w:t xml:space="preserve"> הוא קשרא תליתאה השינים מגדל עוז שם ה' ולכן נק' מגדלא תקיפא כמ"ש בתז"ח שם ובה ד' סטרין ואיהי רתיכא באמת ושם הדיבור כמ"ש שם והם יוצאין הכל מתוך המחשבה כמ"ש בזוהר פ' שמות אתי מלבנון כלה תבואי קול אמר לדיבור אתי מלבנון מעדן תבואי מרזא דמחשבה כו' והוא סוד יו"ד במלואו כמ"ש בא"ז יו"ד כליל אתוון אחרנין י' רישא וסיפא דכלא. ר"ל חכמה שהיא כלל כולם הוא רישא שירותא וסיפא מלכות שנק' ג"כ חכמה וההוא נהר דנגיד ונפיק אקרי עלמא דאתי כו' והכל נכלל בי' עצמו כי היא כלולה בקוצא תתאה דיו"ד כמ"ש בפ' ויקרא ואמר ו"ד כלילן ביו"ד אלא נטיעה דגנתא אקרי ור"ל עד"א כמ"ש בפ' בראשית ואינון נטיען דנטען כו' אית גנתא אחרא דאיהי ד' ומהאי ו' אתשקייא ד' דאיהי ארבעה והיינו רזא דכתיב ונהר יוצא מעדן מאן הוא עדן דא חכמה עלאה ודאי י' להשקות את הגן כו' לארבעה ראשים דא הוא ד' וזהו אלין קשרין חיך וגרון חו"ב כלילן בי' לישן בו' גנתא רתיכא שהוא בארבעה מגדלא דשינין ד' והכל יו"ד עלאה ו"ד הן סמכין ורתיכא של י' והן מילואו וכאן נכלל כל השם ביו"ד כי בי' נכלל ג"כ ה"א עלאה כנ"ל בשביל שבו קוץ התחתון וכמ"ש בפ' ויקרא שם ו"ד זו"נ ד"ו פרצופים והן סוד מחשבה וקול ודיבור:</w:t>
      </w:r>
      <w:r w:rsidRPr="00BD5E91">
        <w:rPr>
          <w:rFonts w:cs="Arial"/>
          <w:b/>
          <w:bCs/>
          <w:sz w:val="22"/>
          <w:szCs w:val="22"/>
          <w:rtl/>
        </w:rPr>
        <w:t xml:space="preserve"> וההוא רתיכא טמיר וגליא.</w:t>
      </w:r>
      <w:r w:rsidRPr="00BD5E91">
        <w:rPr>
          <w:rFonts w:cs="Arial"/>
          <w:sz w:val="22"/>
          <w:szCs w:val="22"/>
          <w:rtl/>
        </w:rPr>
        <w:t xml:space="preserve"> כמ"ש רש"י (ב"ק ג ע"א) על פ' יבער הגלל שהן השיני' שפעמים נכסים ופעמים נגלים, כשהדיבור יוצא אז נגלה וז"ש לעיל ולא אתגליא בר כד נהיר נהירו דההוא אגוזא טמירא כשהפה נפתחת לדבר וז"ס אל גנת אגוז אגוז כנ"ל וגנת הוא הגנתא הנ"ל ונהר יוצא מעדן להשקות את הגן ו' לישן שם ירדתי לראות באבי הנחל ששם אבי הנחל של הנהר הנ"ל לראות הפרחה הגפן כו' כי שם גדולן של הנטיעות כמ"ש במאמר קו המדה ובא"ז שם לראות הפרחה הגפן הנצו הרמונים כי שם שבע כפולות ז' מינים דקרא ונקט כאן גפן ורמון כי אימא עלאה עד הוד אתפשטת והן סיומן של קול עלאה חג"ת ותתאה נה"י ויסוד כלל כולן כי עד הוד אתפשטת לבד לא ידעתי נפשי שמתני מרכבות עמי נדיב נפשי הוא מגדלא דשינין שם הנפש ושם מרכבות רתיכא קדישא כנ"ל עמי נדיב כמ"ש (סוכה מט ע"ב) בת נדיב בתו של א"א והיא נק' ברתי' דא"א כידוע:</w:t>
      </w:r>
      <w:r w:rsidRPr="00BD5E91">
        <w:rPr>
          <w:rFonts w:cs="Arial"/>
          <w:b/>
          <w:bCs/>
          <w:sz w:val="22"/>
          <w:szCs w:val="22"/>
          <w:rtl/>
        </w:rPr>
        <w:t xml:space="preserve"> לבתר אתפשט ההוא נציצו כו'.</w:t>
      </w:r>
      <w:r w:rsidRPr="00BD5E91">
        <w:rPr>
          <w:rFonts w:cs="Arial"/>
          <w:sz w:val="22"/>
          <w:szCs w:val="22"/>
          <w:rtl/>
        </w:rPr>
        <w:t xml:space="preserve"> והן סוד ט' נקודות שבתחלה אזדרע בג' נקודות חולם שורק חירק שהן כלל הנקודות כמ"ש בז"ח ש"ה והן כלל העולמות ג' עולמות בי"ע וכן בינה עד"א מלכות ג' שמות אקיק הויה אדנ"י ג' אמ"ש בשנה עולם נפש ועבס"י נר"נ שהן כלל כולם וכמ"ש בז"ח ש"ה שם שהן ראש בטן גויה ששם נר"נ במוח לב וכבד וכל אלו מתחלקין לג' אחרנין שהן ט' ונקודה עלאה טמירא משלמת ליוד נקודות וכן הספירות מתחלק בתחלה לתלת ואלו מתחלקים כ"א לתלת כידוע בימין ושמאל ואמצע וכן אצל כ"ז אותיות וחיון קדישין כמ"ש בפ' ויקהל ע"ש:</w:t>
      </w:r>
      <w:r w:rsidRPr="00BD5E91">
        <w:rPr>
          <w:rFonts w:cs="Arial"/>
          <w:b/>
          <w:bCs/>
          <w:sz w:val="22"/>
          <w:szCs w:val="22"/>
          <w:rtl/>
        </w:rPr>
        <w:t xml:space="preserve"> וכדין נהרין מגווה תמניא אחרנין כו'.</w:t>
      </w:r>
      <w:r w:rsidRPr="00BD5E91">
        <w:rPr>
          <w:rFonts w:cs="Arial"/>
          <w:sz w:val="22"/>
          <w:szCs w:val="22"/>
          <w:rtl/>
        </w:rPr>
        <w:t xml:space="preserve"> אלו הן קיומין דילה כמש"ו וכלהו קיימין וט' שאמר לעיל הן רתיכין דילה ולכן אמר כאן מגווה ולעיל אמר תחותה וז"ס חול ח' כי שם ח' נהורין הנ"ל ו' כי שם ו"ק ו' נקודות כי ג"ר הן מוחין והן יוצאין מגרון קודם שבאין ללישן כמ"ש בתז"ח שם ושני ליה בתלת גוונין באשא ברוחא במיא ונקט כסדר חולם שורק חירק ראש בטן גויה ראש מאש גויה מרוח בטן ממים וכן בכולם ושדי ליה לקשרא דלישן כו' ולמ"ד כי שם כ"ב אתוון שהן ג' גוונים ויצק עליהם שלג בחכמה יסד ארץ כנ"ל ושם תמניא הנ"ל ועם כ"ב אתוון הנ"ל הן למ"ד וע"י זה אתבני:</w:t>
      </w:r>
      <w:r w:rsidRPr="00BD5E91">
        <w:rPr>
          <w:rFonts w:cs="Arial"/>
          <w:b/>
          <w:bCs/>
          <w:sz w:val="22"/>
          <w:szCs w:val="22"/>
          <w:rtl/>
        </w:rPr>
        <w:t xml:space="preserve"> אלין תשע סמכין כו'.</w:t>
      </w:r>
      <w:r w:rsidRPr="00BD5E91">
        <w:rPr>
          <w:rFonts w:cs="Arial"/>
          <w:sz w:val="22"/>
          <w:szCs w:val="22"/>
          <w:rtl/>
        </w:rPr>
        <w:t xml:space="preserve"> ר"ל אותן תשע שאמר לעיל אשתכחו לאת יו"ד כו':</w:t>
      </w:r>
      <w:r w:rsidRPr="00BD5E91">
        <w:rPr>
          <w:rFonts w:cs="Arial"/>
          <w:b/>
          <w:bCs/>
          <w:sz w:val="22"/>
          <w:szCs w:val="22"/>
          <w:rtl/>
        </w:rPr>
        <w:t xml:space="preserve"> בגין דאינון.</w:t>
      </w:r>
      <w:r w:rsidRPr="00BD5E91">
        <w:rPr>
          <w:rFonts w:cs="Arial"/>
          <w:sz w:val="22"/>
          <w:szCs w:val="22"/>
          <w:rtl/>
        </w:rPr>
        <w:t xml:space="preserve"> צ"ל אינון כו' ור"ל אותן שאמר לעיל וכדין נהרין מגווה כו' והן נקראין א"ס כמ"ש בפ' (בראשית) נח דף ס"ה וסוף פ' פקודי וכלהו נהורין מרזא דמחשבה עלאה ולתתא אקרון א"ס ולקמן ט' ב' י' נקודה חד עלאה דקיימא על ט' סמכין כמא דאוקימנא אלין כו' ואינון ט' נקודין כו' ואינון רתיכא לט' אחרנין דאינון רזא דא"ס וכלהו קיימין ליו"ד כו' ובתז"ח דף ע"ט ע"א תשע נקודין באורייתא כו' אלין אקרון א"ס ושם ע"ב תשע נקודין דשלטין על אתוון אינון א"ס כו' ואמר סלקין בשמא ולא סלקין כמ"ש שם דף ט' כנ"ל לא אקרון בשמהן רק ברתיכין דלהון ואלו הן י"ח אלף עולמות:</w:t>
      </w:r>
      <w:r w:rsidRPr="00BD5E91">
        <w:rPr>
          <w:rFonts w:cs="Arial"/>
          <w:b/>
          <w:bCs/>
          <w:sz w:val="22"/>
          <w:szCs w:val="22"/>
          <w:rtl/>
        </w:rPr>
        <w:t xml:space="preserve"> וחנותי את אשר כו'.</w:t>
      </w:r>
      <w:r w:rsidRPr="00BD5E91">
        <w:rPr>
          <w:rFonts w:cs="Arial"/>
          <w:sz w:val="22"/>
          <w:szCs w:val="22"/>
          <w:rtl/>
        </w:rPr>
        <w:t xml:space="preserve"> ר"ל שאין מכיר אלא אני:</w:t>
      </w:r>
      <w:r w:rsidRPr="00BD5E91">
        <w:rPr>
          <w:rFonts w:cs="Arial"/>
          <w:b/>
          <w:bCs/>
          <w:sz w:val="22"/>
          <w:szCs w:val="22"/>
          <w:rtl/>
        </w:rPr>
        <w:t xml:space="preserve"> בגין דהוו מקדמת דרגא דיליה.</w:t>
      </w:r>
      <w:r w:rsidRPr="00BD5E91">
        <w:rPr>
          <w:rFonts w:cs="Arial"/>
          <w:sz w:val="22"/>
          <w:szCs w:val="22"/>
          <w:rtl/>
        </w:rPr>
        <w:t xml:space="preserve"> שדרגא דיליה בינה:</w:t>
      </w:r>
      <w:r w:rsidRPr="00BD5E91">
        <w:rPr>
          <w:rFonts w:cs="Arial"/>
          <w:b/>
          <w:bCs/>
          <w:sz w:val="22"/>
          <w:szCs w:val="22"/>
          <w:rtl/>
        </w:rPr>
        <w:t xml:space="preserve"> דההוא נציצו קדמאה כתיב לפניך.</w:t>
      </w:r>
      <w:r w:rsidRPr="00BD5E91">
        <w:rPr>
          <w:rFonts w:cs="Arial"/>
          <w:sz w:val="22"/>
          <w:szCs w:val="22"/>
          <w:rtl/>
        </w:rPr>
        <w:t xml:space="preserve"> ר"ל על ההוא נצוצא קדמאה שהוא נקודה הראשונה כמש"ל וההוא נציצו כד משחתא כו' ואיהי נקודה חדא ור"ל לפניך שכתיב הנני עומד לפניך כו' וחנותי את כו' שרצה לידע דרכיו של הקב"ה ואמר הנני עומד לפניך שמעלה זו לפניך כנ"ל:</w:t>
      </w:r>
      <w:r w:rsidRPr="00BD5E91">
        <w:rPr>
          <w:rFonts w:cs="Arial"/>
          <w:b/>
          <w:bCs/>
          <w:sz w:val="22"/>
          <w:szCs w:val="22"/>
          <w:rtl/>
        </w:rPr>
        <w:t xml:space="preserve"> וכן כלהו קיימין כו'.</w:t>
      </w:r>
      <w:r w:rsidRPr="00BD5E91">
        <w:rPr>
          <w:rFonts w:cs="Arial"/>
          <w:sz w:val="22"/>
          <w:szCs w:val="22"/>
          <w:rtl/>
        </w:rPr>
        <w:t xml:space="preserve">  שאמר לעיל וכדין נהרין מגווה כו' וכלהו קיימין כו' וכן כל הט' סמכין ונכלל במ"ש לעיל דההוא נציצו קדמאה כו':</w:t>
      </w:r>
      <w:r w:rsidRPr="00BD5E91">
        <w:rPr>
          <w:rFonts w:cs="Arial"/>
          <w:b/>
          <w:bCs/>
          <w:sz w:val="22"/>
          <w:szCs w:val="22"/>
          <w:rtl/>
        </w:rPr>
        <w:t xml:space="preserve"> סלקא את דא באלין סמכין לעילא בטש מאן דבטש דלא ידיע וא"ס נהיר ולא נהיר.</w:t>
      </w:r>
      <w:r w:rsidRPr="00BD5E91">
        <w:rPr>
          <w:rFonts w:cs="Arial"/>
          <w:sz w:val="22"/>
          <w:szCs w:val="22"/>
          <w:rtl/>
        </w:rPr>
        <w:t xml:space="preserve"> כמ"ש בפ' בראשית ופקודי שם וכדין בטש האי נהירו דמחשבה דלא אתיידע בנהירו דפריסא כו' רעותא דכל תשע נהורין דקיימי כלהו במחשבה כו' כד סליק כלא כו' קיימי כלהו בסליקו ומחשבה אתעטר בא"ס כו' ובא"ז דף רפ"ט ע"ב בטש מאן דבטש בהאי מוחא כו' ושם ע"א וההוא רישא סתימא כו' פשיט חד טורנא כו' בטש בהאי מוחא כו' ע"ש וז"ש סלקא כו' שסליק מחשבה חכמה בא"ס אל מ"ס ובטש נהירו דפריסו במ"ס וז"ש וא"ס נהיר ולא נהיר וכצ"ל במאמר הנ"ל וכדין בטש האי נהירו כו' ולא אתגלייא וכדין נהירו דפריסו בטש בנהירו דא דמחשבה כו' והן דוגמת מ"נ ומ"ד שקודם צריך להתעוררות מ"נ ואמר ונחתא ולא ידיעא ר"ל חכמה את יו"ד נחתא ולא ידיעא ממאן דנהיר וכמ"ש כד נהיר מחשבה ולא ידע ממאן נהיר כו' כדין אתלביש ואסתים גו בינה וז"ש כאן ואתפשט וכד אתפשט נפק חד נהורא כו' ר"ל בינה ובריש דף ט"ו אמר בריש הורמנותא דמלכא. הורמנותא עבתז"ח דף פ"ט ע"ד א' הימנו דחד הורמנותא. וריש הורמנותא הוא דבר שראשית לו והוא שאמר שם וחד טמיר ולא ידיע. דמלכא הוא רדל"א ז"ת דמ' א"ק שבה מתלבש א"ס ע"י חד טמיר דא"ק ומתלבש בהורמנותא דאצילות כמ"ש מה רבו מעשיך כו' שלכן כתיב ואת צנועים חכמה שהצניעות הוא כמ"ש בפ' פקודי ד' רל"ט ע"א לאצנעא בההוא צניעו כו' וז"ש ספרא דצניעותא שספר הראשון מג' ספרים בו הצניעות כנ"ל ונק' ספר כמ"ש בפ' תרומה דף קל"ז ע"ב מרזא דספר עלאה כו' וזהו הורמנותא דמלכא וכל ע"ס נכלל בו כמ"ש בפ' ויקרא ד"י ע"ב א"ל על י' קיימי כו' אשתכח די' עיקרא ושרשא כו' וכלהו סתימין בי'. ואמר בריש כמו ב' של בראשית עם ראשית ברא כו' כמש"ל כן בריש כמ"ש בא"ז ד' רפ"ט ע"ב כד אתתקן חוורא דא בנהירו דא כו' ושם ע"א וההוא רישא סתימא דברישא כו' בטש בהאי מוחא ואתגליף כו' ורדל"א הוא ריש הומנותא והוא גליף גליפו כו' כמ"ש שם בטש כו' ואתגליף כו' ואמר במאמר קו המדה נהורא דלא קיימא בנהורא ר"ל שאינו מלובש והוא רדל"א גליף כו' והוא ע"י חד טורנא ר"ל עטרה ב' עטרין דגניזין באו"א ואמר שם ואתגליף ואתנהיר שהן ב' עטרין כמ"ש למטה:</w:t>
      </w:r>
      <w:r w:rsidRPr="00BD5E91">
        <w:rPr>
          <w:rFonts w:cs="Arial"/>
          <w:b/>
          <w:bCs/>
          <w:sz w:val="22"/>
          <w:szCs w:val="22"/>
          <w:rtl/>
        </w:rPr>
        <w:t xml:space="preserve"> גליף גליפו בטהירו עלאה.</w:t>
      </w:r>
      <w:r w:rsidRPr="00BD5E91">
        <w:rPr>
          <w:rFonts w:cs="Arial"/>
          <w:sz w:val="22"/>
          <w:szCs w:val="22"/>
          <w:rtl/>
        </w:rPr>
        <w:t xml:space="preserve"> כל חקיקה הוא סט' דגבורה וז"ש אתגליף ואתנהיר שכל נהורא סט' דחסד ושם ב' עטרין כנ"ל. טהירו הוא מ"ס ששם שורש השמרים כמ"ש בא"ר דף קכ"ח ע"ב כחמר טב כו' וכן יין כידוע ושם הגליפו ונק' טהירו כי צהרים עת הגבורות שמש בגבורתו מנחת ערב ונק' כל דאתי מסט' טהירין ואמר בתז"ח דף צ' ע"א גליף גליפו טהירו דטהירו דכיא כו' ואמר טהירו עלאה שהיא מחשבה עלאה וגם מחשבה תתאה נק' כן כמ"ש (ישעיהו מג טז) ובמים עזים נתיבה והן ל"ב הידועין והאי גליפו הוא ע"י טורנא דבטש כנ"ל והן זו"נ חו"ג אוירא ומ"ס ואתנהיר באוירא ואתגליף במ"ס. ואמר גליף גליפו ב' מינים ט' וט' שהן ט' היכלין להיכלין לאו אינון נהורין כו' כמ"ש בפ' בראשית דף ס"ה ע"א ונהרין כחדא ואתעבידו תשע היכלין כו' וכן בסוף פקודי ע"ש והן ט' שנקרא א"ס וט' סמכין לי' סלקין בשמא ולא סלקין כמ"ש בז"ח ד"ה ע"ב אלין תשע סמכין כו' בגין אינון תשע כו' ובדף ט' ע"ב י' נקודה עלאה דקיימא על ט' כו' עד רזא דא"ס ע"ש ובתז"ח דע"ט ע"א וע"ב תשע נקודין כו' אלין אקרון א"ס כו' ט' נקודין דשלטין על אתוון אינון כו' ואמר בפ' בראשית ופקודי שם רעותא דכל תשע נהורין דקיימי כלהו במחשבה כו'. ר"ל מחשבה תתאה והני תשע הן ט' סמכין דנפקין תחות יו"ד והן רדפין אחר ט' עלאין הנ"ל ולא מתדבקין ט' עלאין:</w:t>
      </w:r>
      <w:r w:rsidRPr="00BD5E91">
        <w:rPr>
          <w:rFonts w:cs="Arial"/>
          <w:b/>
          <w:bCs/>
          <w:sz w:val="22"/>
          <w:szCs w:val="22"/>
          <w:rtl/>
        </w:rPr>
        <w:t xml:space="preserve"> בוצינא דקרדינותא נפיק גו סתים דסתימו מרזא דא"ס.</w:t>
      </w:r>
      <w:r w:rsidRPr="00BD5E91">
        <w:rPr>
          <w:rFonts w:cs="Arial"/>
          <w:sz w:val="22"/>
          <w:szCs w:val="22"/>
          <w:rtl/>
        </w:rPr>
        <w:t xml:space="preserve"> ר"ל שהבוצינא הוא אור דמחשבה עלאה דמחשבה לא ידע כמ"ש בפ' נח ופקודי שם והמחשבה הוא נוק' גבורה ואור שלו הוא בוצינא דקרדינותא לשון חוזק וחושך כידוע אצל נוק' וגבורה ואותו הבוצינא נפק אל אוירא עלאה רוחא דגניז בע"י במצח הרצון בין קרומי' והוא נק' סתים דסתימו שגנוז מאד מאד עד שנק' אין לרוב העלמו כמ"ש שם וכן אבא שנאצל ממנו הוא טמיר יתיר מאמא שנאצלה מהמחשבה עלאה אע"ג שגם אבא יצא מהמחשבה מ"מ עיקר מן האוירא רק שנצטייר במעי נוק'  במחשבה עלאה כמ"ש בא"ז והאי אבא מרוחא דגניז בע"י כו' ע"ש ואותו רוח הוא מרדל"א כמ"ש בא"ז והאי רישא סתימו כו' פשיט חד כו' כנ"ל ואמר בפ' נח ופקודי שם ונהיר מה דנהיר ולא ידיע ורדל"א נק' כאן רזא דא"ס ור"ל אותו סתים דסתימו הוא מרזא דא"ס כמ"ש למטה סתים דסתימין מרזא דא"ס בקע כו' ובוצינא נפיק גו סתים מן המחשבה אל שם ולכן אמר גו ולא מגו:</w:t>
      </w:r>
      <w:r w:rsidRPr="00BD5E91">
        <w:rPr>
          <w:rFonts w:cs="Arial"/>
          <w:b/>
          <w:bCs/>
          <w:sz w:val="22"/>
          <w:szCs w:val="22"/>
          <w:rtl/>
        </w:rPr>
        <w:t xml:space="preserve"> קוטרא בגולמא נעיץ בעיזקא.</w:t>
      </w:r>
      <w:r w:rsidRPr="00BD5E91">
        <w:rPr>
          <w:rFonts w:cs="Arial"/>
          <w:sz w:val="22"/>
          <w:szCs w:val="22"/>
          <w:rtl/>
        </w:rPr>
        <w:t xml:space="preserve"> ר"ל גולמא הוא י' כידוע וקוטרא הוא שביל דקיק שבו קשור בבינה כי ביו"ד בו עיקר האות וקוץ העליון וקוץ התחתון ונקראין קוצא וגזעא ושבילא ובאותו התחתון בו השבילים והוא פטר רחם כידוע ובאותו יו"ד נקשרין כח"ב כתר בקוץ העליון חכמה בגוף היו"ד ובשביל התחתון בינה כמ"ש בפ' ויקרא דף י' ע"ב יו"ד דשמא קדישא אתקשר בג' קשרין בגין כו' ובספרא דשלמה מלכא כו' ובינה נק' עזקא כמ"ש בתז"ח דף מ"ה ע"ג מהאי קשרא שארי קו המדה לאתפשטא מדיד אלף דאיהי עזקא חדא כו' ואינון מאתן אלף עלמין דכסיף בהו קב"ה וידוע שהוא בינה ואמר שם בין עזקא לעזקא ת"ק אלף עלמין ואלין דפתחי תרעי לכל סטר כו' והן נש"ב כמש"ל ואמר בזוהר בה"א מאחוריו קוצא חד ושם כליל חכמה בה ושם נעיץ שבילא וזהו נעיץ בעיזקא כי ה"א הוא עזקא עד דלא אתפתח כמ"ש בתיקונים ת"ה דף ט"ו ע"א בריש הורמנותא כו' ע"ש כל המאמר דקודם דאתפתח היא מ"ם סתימא עזקא ואח"כ אתפתחא שיצא הדעת וא"ו ונעשית ה"א וכמ"ש בס"ד סוף פ"א וז"ס מ"ש בס"ד י"ה כלילן דא בדא כי ה"א כלולה בשבילא ויו"ד כליל בקוצא דילה והן ד' בחינות והן ד' תיבות הנ"ל קוטרא כו' ואע"פ שבמ"ס אין שם אלא מוחא חדא מ"מ כלולין שם ג' מוחין כמ"ש בא"ז דרפ"ח ע"ב דהאי חכמתא סתימאה דביה מתפרש תלת זמנין לארבע ארבע והן ג' הויות ג' מוחין כידוע (ויותר נראה שהג' הויות הן קוטרא בגולמא הוא חו"ב של חכמה וביו"ד הזה כליל זו"נ במילויו ו"ד זו"נ כמ"ש בפ' ויקרא י' ב' י' רישא דכלא אב לכולא ו' דאוליד ונפיק מניה אשתכח ד' בת כו' הא יו"ד כו' ובא"ז דף ר"צ ע"ב יו"ד כליל תרין אתוון באגדתא דבי רב ייבא סבא כו' ע"ש. נעיץ בעזקא י"ה של בינה בה"א שלה כנ"ל ובה"א כלול ג"כ דו"נ ד"ו כמ"ש בס"ד פ"ד י' נפקין מיניה דכר ונוקבא ו"ד בהאי אתר ו' דכר ד' נוק' כו' ה' ד' הות בקדמיתא כו' הרי כי בה' אית ד"ו כו' ע"ש נמצא כאן ב' מוחין חו"ב ובכ"א ד' הוי"ה כנ"ל. ואמר לא חיוור כו' שהן ד' גווני' ר"ל אע"פ שד' אותיות ד' גוונין כידוע וכאן אין גוונין כד מדיד משיחא כו' סוד הדעת אתעבידא גוונין ד' גוונין והוא של ד' אותיות הויה שהן ארבעה גוונין שאמר לעיל והן מ"ש כאן קוטרא בגולמא הוא י"ה שבחכמה וביניהם דעת כמ"ש בס"ד פ"א לישן סתים בין יו"ד ה"א ע"ש ודעת כלול מזו"נ כידוע ו"ה וכן נעיץ בעזקא הוא י"ה שבבינה ודעת שבו ו"ה ובין חו"ב עצמן דעת שכלול מד' שגם בו דעת המכריע והוא דעת המתפשט והוא הבוצינא נמצא ג"פ ד' וז"ש בתז"ח שם קיומיה נעיץ מהכא בקשרא קדמאה ע"ש ועד כאן לא נתגלה הדעת ומשמע שם בתז"ח שעזקא הוא גלגלתא והוא הבינה של כתר שאמר שם דף מ"ו ע"א מדיד אלף ושארי מרישא דעזקא דלעילא דיוקנא רזא דאדם מדיד ברישא וכן בא"ר דף קל"ב ע"א עלמא קדמאה כו' בעזקא רבא. וקוטרא הוא אוירא עלאה כמ"ש בא"ז דף רפ"ט ע"ב בהאי מזלא פשיט פשיטותא דקוטרא עלאה כו' ע"ש והוא יו"ד דעתיקא כמ"ש בס"ד פ"ב י' עלאה דאתעטר בקוטרא דעתיקא היא קרומא עלאה דאזדכך וסתים ואמר שם ה"א עלאה דאתעטר ברוחא דנוק' דפרדשקא והוא סיום הגולגלתא בתיקונין ושם הוא ה"א בינה וגולמא הוא קרומא עצמה שהיא סתים ונעיץ בעזקא כמ"ש שם פ"א קולטרא בקשרוי סנפירא בעדבוי וסנפירא הוא קוץ התחתון בחי' יסוד כמ"ש שם וקולטרא הוא גולגלתא כמ"ש בא"ז דף רפ"ח ע"א ואמר בתיקונים בתי"ט דף ל"ז ע"ב וימודו בעומר דא שכינתא עלאה דאיהי עמר לגלגולת דאיהי גלגלתא דרישא כו' ולכן וימודו בעומר שבה האי קו המדה שבה סתים וממנה יצאה הבוצינא וכאן הוא עדיין בזיווגא דעדיין לא זמינא לאולדא ואין בה הגוונין כי עדיין לא נגלה הדעת כמ"ש שם בס"ד בלישן סתים לאימא כו' ובפ' א"מ דף ס"ה ע"ב בספרא דשלמה מלכא אשר בקיטורא דעידונה קסטירא עלאה חברותא אשתכח כו' ובזה מדבר כאן:</w:t>
      </w:r>
    </w:p>
  </w:footnote>
  <w:footnote w:id="719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ויהי לי שור וחמור מסט' דתפילין דרישא.</w:t>
      </w:r>
      <w:r w:rsidRPr="00BD5E91">
        <w:rPr>
          <w:sz w:val="22"/>
          <w:szCs w:val="22"/>
          <w:rtl/>
        </w:rPr>
        <w:t xml:space="preserve"> שהן ב' קטרוגין בישין שעליהן נאמר לא תחרוש כו' ימינא ושמאלא דעשרה כתרין דס"א כמ"ש לעיל דף ע"ד ע"ד. מימינא דתמן חמור כו' משמאלא כו' שבהן כלולים כל עשרה כתרין כידוע ותפלין הוא קשורא דלהון כמ"ש בהת"ז:</w:t>
      </w:r>
    </w:p>
  </w:footnote>
  <w:footnote w:id="720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צאן ועבד כו'.</w:t>
      </w:r>
      <w:r w:rsidRPr="00BD5E91">
        <w:rPr>
          <w:sz w:val="22"/>
          <w:szCs w:val="22"/>
          <w:rtl/>
        </w:rPr>
        <w:t xml:space="preserve"> הן ג' קשרין דעשר כתרין תתאין דנוק' דס"א דכלולין כל הע"ס דילה כמ"ש בזוהר פ' בא וז"ש מסט' דתפלין דיד:</w:t>
      </w:r>
    </w:p>
  </w:footnote>
  <w:footnote w:id="720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והיה כעץ כו'.</w:t>
      </w:r>
      <w:r w:rsidRPr="00BD5E91">
        <w:rPr>
          <w:sz w:val="22"/>
          <w:szCs w:val="22"/>
          <w:rtl/>
        </w:rPr>
        <w:t xml:space="preserve"> מפ' לקמן מסט' דאילנא דחיי עץ שתול על כו' ומסט' תפלין לאעלא שפחה תחת גברתה כו' כמש"ל ע"ש:</w:t>
      </w:r>
    </w:p>
  </w:footnote>
  <w:footnote w:id="720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כי האדם כו'.</w:t>
      </w:r>
      <w:r w:rsidRPr="00BD5E91">
        <w:rPr>
          <w:sz w:val="22"/>
          <w:szCs w:val="22"/>
          <w:rtl/>
        </w:rPr>
        <w:t xml:space="preserve"> ר"ל זהו והיה כעץ:</w:t>
      </w:r>
    </w:p>
  </w:footnote>
  <w:footnote w:id="720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דצריכין לשלש גלגולין לגביה.</w:t>
      </w:r>
      <w:r w:rsidRPr="00BD5E91">
        <w:rPr>
          <w:sz w:val="22"/>
          <w:szCs w:val="22"/>
          <w:rtl/>
        </w:rPr>
        <w:t xml:space="preserve"> כמ"ש (איוב לג כט) הן כל אלה יפעל כו' כנגד נר"ן ור"ל זהו כעץ שתול שנוטעין אותו ג"פ וזהו שתול ולא נטוע כמש"ל:</w:t>
      </w:r>
    </w:p>
  </w:footnote>
  <w:footnote w:id="720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כמה דאוקמוה ישלש כו'.</w:t>
      </w:r>
      <w:r w:rsidRPr="00BD5E91">
        <w:rPr>
          <w:sz w:val="22"/>
          <w:szCs w:val="22"/>
          <w:rtl/>
        </w:rPr>
        <w:t xml:space="preserve"> בבי"ע שהן מקרא משנה גמרא</w:t>
      </w:r>
      <w:r>
        <w:rPr>
          <w:rFonts w:hint="cs"/>
          <w:sz w:val="22"/>
          <w:szCs w:val="22"/>
          <w:rtl/>
        </w:rPr>
        <w:t>,</w:t>
      </w:r>
      <w:r w:rsidRPr="00BD5E91">
        <w:rPr>
          <w:sz w:val="22"/>
          <w:szCs w:val="22"/>
          <w:rtl/>
        </w:rPr>
        <w:t xml:space="preserve"> נר"ן</w:t>
      </w:r>
      <w:r>
        <w:rPr>
          <w:rFonts w:hint="cs"/>
          <w:sz w:val="22"/>
          <w:szCs w:val="22"/>
          <w:rtl/>
        </w:rPr>
        <w:t>,</w:t>
      </w:r>
      <w:r w:rsidRPr="00BD5E91">
        <w:rPr>
          <w:sz w:val="22"/>
          <w:szCs w:val="22"/>
          <w:rtl/>
        </w:rPr>
        <w:t xml:space="preserve"> וזהו שנותיו:</w:t>
      </w:r>
    </w:p>
  </w:footnote>
  <w:footnote w:id="720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ואוקמוהו כו' אין עולין סומכין כו'.</w:t>
      </w:r>
      <w:r w:rsidRPr="00BD5E91">
        <w:rPr>
          <w:sz w:val="22"/>
          <w:szCs w:val="22"/>
          <w:rtl/>
        </w:rPr>
        <w:t xml:space="preserve"> ג' נגד נר"ן דאילנא דחיי דא"צ לגלגול ואין משתמשין כמש"ו:</w:t>
      </w:r>
    </w:p>
  </w:footnote>
  <w:footnote w:id="720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דנטיע בשבת מלכתא.</w:t>
      </w:r>
      <w:r w:rsidRPr="00BD5E91">
        <w:rPr>
          <w:sz w:val="22"/>
          <w:szCs w:val="22"/>
          <w:rtl/>
        </w:rPr>
        <w:t xml:space="preserve"> בשכינה דאצילות שמשם נשמתא דאילנא דחיי וכן נשמה מסט' נקרא שבת:</w:t>
      </w:r>
    </w:p>
  </w:footnote>
  <w:footnote w:id="720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ודא שמא מפרש כו'.</w:t>
      </w:r>
      <w:r w:rsidRPr="00BD5E91">
        <w:rPr>
          <w:sz w:val="22"/>
          <w:szCs w:val="22"/>
          <w:rtl/>
        </w:rPr>
        <w:t xml:space="preserve"> וזהו אדם דאילנא דחיי דשמא מפרש וזהו בתגא כמש"ו ואוקמוהו כו':</w:t>
      </w:r>
    </w:p>
  </w:footnote>
  <w:footnote w:id="720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דביומי דחול כו'.</w:t>
      </w:r>
      <w:r w:rsidRPr="00BD5E91">
        <w:rPr>
          <w:sz w:val="22"/>
          <w:szCs w:val="22"/>
          <w:rtl/>
        </w:rPr>
        <w:t xml:space="preserve"> וכן נשמתא מסט' נק' חולין כמ"ש בר"מ:</w:t>
      </w:r>
    </w:p>
  </w:footnote>
  <w:footnote w:id="720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דאיהו אדם דוייצר.</w:t>
      </w:r>
      <w:r w:rsidRPr="00BD5E91">
        <w:rPr>
          <w:sz w:val="22"/>
          <w:szCs w:val="22"/>
          <w:rtl/>
        </w:rPr>
        <w:t xml:space="preserve"> דב' אדם הן א' קודם לו ויברא אלקים את האדם והוא מאילנא דחיי ועליו נאמר וירדו כו' כמ"ש בזוהר דהוא שליט על כלא:</w:t>
      </w:r>
    </w:p>
  </w:footnote>
  <w:footnote w:id="721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ביצה"ט כו'.</w:t>
      </w:r>
      <w:r w:rsidRPr="00BD5E91">
        <w:rPr>
          <w:sz w:val="22"/>
          <w:szCs w:val="22"/>
          <w:rtl/>
        </w:rPr>
        <w:t xml:space="preserve"> כמ"ש וייצר בשני י</w:t>
      </w:r>
      <w:r>
        <w:rPr>
          <w:rFonts w:hint="cs"/>
          <w:sz w:val="22"/>
          <w:szCs w:val="22"/>
          <w:rtl/>
        </w:rPr>
        <w:t>ו</w:t>
      </w:r>
      <w:r w:rsidRPr="00BD5E91">
        <w:rPr>
          <w:sz w:val="22"/>
          <w:szCs w:val="22"/>
          <w:rtl/>
        </w:rPr>
        <w:t>דין כו' וז"ש הה"ד כו':</w:t>
      </w:r>
    </w:p>
  </w:footnote>
  <w:footnote w:id="721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ואיהו עץ כו'.</w:t>
      </w:r>
      <w:r w:rsidRPr="00BD5E91">
        <w:rPr>
          <w:sz w:val="22"/>
          <w:szCs w:val="22"/>
          <w:rtl/>
        </w:rPr>
        <w:t xml:space="preserve"> ר"ל ב' יצרין הן טו"ר משא"כ בנשמתא דאילנא דחיי ששניהן הן טוב כמ"ש (יבמות סג ע"א) זכה נעשה לו עזר וכ"ש באילנא דחיי שאינן רק זו"נ דטוב:</w:t>
      </w:r>
    </w:p>
  </w:footnote>
  <w:footnote w:id="721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דחב ביה אדם.</w:t>
      </w:r>
      <w:r w:rsidRPr="00BD5E91">
        <w:rPr>
          <w:sz w:val="22"/>
          <w:szCs w:val="22"/>
          <w:rtl/>
        </w:rPr>
        <w:t xml:space="preserve"> דבאילנא דחיי וכל הזר הקרב (במדבר א נא) ששם אין פגם כלל וכן נשמתא מסט' ולכן נאמר כל הפרשה של ע"ה טו"ר אצל אדם דוייצר ולא אצל אדם דויברא וז"ש דחב כו':</w:t>
      </w:r>
    </w:p>
  </w:footnote>
  <w:footnote w:id="721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ודא הוא מט"ט.</w:t>
      </w:r>
      <w:r w:rsidRPr="00BD5E91">
        <w:rPr>
          <w:sz w:val="22"/>
          <w:szCs w:val="22"/>
          <w:rtl/>
        </w:rPr>
        <w:t xml:space="preserve"> שבו ע"ה טו"ר דאתהפך ממטה כו' כידוע ומשם ב' יצרין:</w:t>
      </w:r>
    </w:p>
  </w:footnote>
  <w:footnote w:id="721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דאיהו עבד.</w:t>
      </w:r>
      <w:r w:rsidRPr="00BD5E91">
        <w:rPr>
          <w:sz w:val="22"/>
          <w:szCs w:val="22"/>
          <w:rtl/>
        </w:rPr>
        <w:t xml:space="preserve"> ור"ל מסט' נק' ב"נ עבד וכן ביומי דחול כמש"ו:</w:t>
      </w:r>
    </w:p>
  </w:footnote>
  <w:footnote w:id="721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דשליט בשית כו'.</w:t>
      </w:r>
      <w:r w:rsidRPr="00BD5E91">
        <w:rPr>
          <w:sz w:val="22"/>
          <w:szCs w:val="22"/>
          <w:rtl/>
        </w:rPr>
        <w:t xml:space="preserve"> שמשנה נק' שפחה והוא במט"ט בו"ק שלו ו' סדרים ו' אותיות דמט"ט כידוע:</w:t>
      </w:r>
    </w:p>
  </w:footnote>
  <w:footnote w:id="721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ואיהו גופני.</w:t>
      </w:r>
      <w:r w:rsidRPr="00BD5E91">
        <w:rPr>
          <w:sz w:val="22"/>
          <w:szCs w:val="22"/>
          <w:rtl/>
        </w:rPr>
        <w:t xml:space="preserve"> ר"ל כן המשנה מדברת בדברים גופניים כמ"ש לעיל דמארי מתני' גופניים משא"כ ברזין כמ"ש לעיל דמארי מתני' שכליים:</w:t>
      </w:r>
    </w:p>
  </w:footnote>
  <w:footnote w:id="721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ושליט בשית כו'.</w:t>
      </w:r>
      <w:r w:rsidRPr="00BD5E91">
        <w:rPr>
          <w:sz w:val="22"/>
          <w:szCs w:val="22"/>
          <w:rtl/>
        </w:rPr>
        <w:t xml:space="preserve"> בו"ק שלו כידוע:</w:t>
      </w:r>
    </w:p>
  </w:footnote>
  <w:footnote w:id="721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דאינון חולין כו'.</w:t>
      </w:r>
      <w:r w:rsidRPr="00BD5E91">
        <w:rPr>
          <w:sz w:val="22"/>
          <w:szCs w:val="22"/>
          <w:rtl/>
        </w:rPr>
        <w:t xml:space="preserve"> טו"ר משא"כ בקדש ולכן קדש שנטמא בשריפה משא"כ בחולין:</w:t>
      </w:r>
    </w:p>
  </w:footnote>
  <w:footnote w:id="721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באיסור והיתר כו'.</w:t>
      </w:r>
      <w:r w:rsidRPr="00BD5E91">
        <w:rPr>
          <w:sz w:val="22"/>
          <w:szCs w:val="22"/>
          <w:rtl/>
        </w:rPr>
        <w:t xml:space="preserve"> ג' קדש וג' להיפך. שה"ג וה"ח במט"ט ה' דמים טמאים וה' דמים טהורים והן בע"ס שלו אבל בו"ק הן ג"ח ג' גבורות כידוע חת"ן גה"י משא"כ למעלה שכולו קדש:</w:t>
      </w:r>
    </w:p>
  </w:footnote>
  <w:footnote w:id="722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וביה ששת כו'.</w:t>
      </w:r>
      <w:r w:rsidRPr="00BD5E91">
        <w:rPr>
          <w:sz w:val="22"/>
          <w:szCs w:val="22"/>
          <w:rtl/>
        </w:rPr>
        <w:t xml:space="preserve"> שהוא עבד כנ"ל ולכן עובד כוכבים ששבת כו' שא"ה מונין לחמה שהוא מט"ט כמש"ל בדף ע"ד והוא גלגל החמה שאמרו הכל היה מן העפר כמ"ש וייצר כו' עפר מן האדמה כו' כנ"ל:</w:t>
      </w:r>
    </w:p>
  </w:footnote>
  <w:footnote w:id="722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ולית עבודה כו'.</w:t>
      </w:r>
      <w:r w:rsidRPr="00BD5E91">
        <w:rPr>
          <w:sz w:val="22"/>
          <w:szCs w:val="22"/>
          <w:rtl/>
        </w:rPr>
        <w:t xml:space="preserve"> שהוא המקבל צלותין בחול שהוא יסוד שע"י מתייחדין בחול כידוע:</w:t>
      </w:r>
    </w:p>
  </w:footnote>
  <w:footnote w:id="722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דביה צריך כו'.</w:t>
      </w:r>
      <w:r w:rsidRPr="00BD5E91">
        <w:rPr>
          <w:sz w:val="22"/>
          <w:szCs w:val="22"/>
          <w:rtl/>
        </w:rPr>
        <w:t xml:space="preserve"> הן בנר"ן מסט' דיליה שלש גלגולים הנ"ל שהוא במט"ט כידוע שהוא גלגל חמה ובוא"ו ו"ק שלו גלגול כידוע:</w:t>
      </w:r>
    </w:p>
  </w:footnote>
  <w:footnote w:id="722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דלא מקצצין כו'.</w:t>
      </w:r>
      <w:r w:rsidRPr="00BD5E91">
        <w:rPr>
          <w:sz w:val="22"/>
          <w:szCs w:val="22"/>
          <w:rtl/>
        </w:rPr>
        <w:t xml:space="preserve"> ר"ל שאמרו (ביצה לו ע"ב) אין עולין כו' שמא יעלה ויתלוש:</w:t>
      </w:r>
    </w:p>
  </w:footnote>
  <w:footnote w:id="7224">
    <w:p w:rsidR="00007309" w:rsidRPr="00BD5E91" w:rsidRDefault="00007309" w:rsidP="00007309">
      <w:pPr>
        <w:jc w:val="both"/>
        <w:rPr>
          <w:rFonts w:cs="Arial"/>
          <w:sz w:val="22"/>
          <w:szCs w:val="22"/>
          <w:rtl/>
        </w:rPr>
      </w:pPr>
      <w:r w:rsidRPr="00BD5E91">
        <w:rPr>
          <w:rStyle w:val="a7"/>
          <w:rFonts w:cs="Arial"/>
          <w:sz w:val="22"/>
          <w:szCs w:val="22"/>
          <w:rtl/>
        </w:rPr>
        <w:footnoteRef/>
      </w:r>
      <w:r w:rsidRPr="00BD5E91">
        <w:rPr>
          <w:rFonts w:cs="Arial"/>
          <w:sz w:val="22"/>
          <w:szCs w:val="22"/>
          <w:rtl/>
        </w:rPr>
        <w:t xml:space="preserve"> </w:t>
      </w:r>
      <w:r w:rsidRPr="00BD5E91">
        <w:rPr>
          <w:rFonts w:cs="Arial"/>
          <w:b/>
          <w:bCs/>
          <w:sz w:val="22"/>
          <w:szCs w:val="22"/>
          <w:rtl/>
        </w:rPr>
        <w:t xml:space="preserve">הה"ד ויבדל כו'. </w:t>
      </w:r>
      <w:r w:rsidRPr="00BD5E91">
        <w:rPr>
          <w:rFonts w:cs="Arial"/>
          <w:sz w:val="22"/>
          <w:szCs w:val="22"/>
          <w:rtl/>
        </w:rPr>
        <w:t>דשם אור וחושך ממש אבל למעלה ויבדל כו' בין דכורין ונוקבין כמ"ש לקמן ע"ד ושם ויבדל לחבר כמ"ש שם:</w:t>
      </w:r>
    </w:p>
  </w:footnote>
  <w:footnote w:id="722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כגוונא דדוד דקציץ כו' בגרסתיה.</w:t>
      </w:r>
      <w:r w:rsidRPr="00BD5E91">
        <w:rPr>
          <w:sz w:val="22"/>
          <w:szCs w:val="22"/>
          <w:rtl/>
        </w:rPr>
        <w:t xml:space="preserve"> במשנה שהוא מבדיל בין איסור והיתר טו"ר כנ"ל:</w:t>
      </w:r>
    </w:p>
  </w:footnote>
  <w:footnote w:id="722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הה"ד לבי חלל בקרבי.</w:t>
      </w:r>
      <w:r w:rsidRPr="00BD5E91">
        <w:rPr>
          <w:sz w:val="22"/>
          <w:szCs w:val="22"/>
          <w:rtl/>
        </w:rPr>
        <w:t xml:space="preserve"> כמ"ש (ברכות סא ע"ב) צדיקים יצ"ט שופטן שנא' לבי כו'. ור"ל שני לבבות באדם יצ"ט ויצה"ר ולב א' חלל בו:</w:t>
      </w:r>
    </w:p>
  </w:footnote>
  <w:footnote w:id="722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ולקבל מ"ט כו'.</w:t>
      </w:r>
      <w:r w:rsidRPr="00BD5E91">
        <w:rPr>
          <w:sz w:val="22"/>
          <w:szCs w:val="22"/>
          <w:rtl/>
        </w:rPr>
        <w:t xml:space="preserve"> שהן בתורה שבע"פ:</w:t>
      </w:r>
    </w:p>
  </w:footnote>
  <w:footnote w:id="722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לחברא ה' כו'.</w:t>
      </w:r>
      <w:r w:rsidRPr="00BD5E91">
        <w:rPr>
          <w:sz w:val="22"/>
          <w:szCs w:val="22"/>
          <w:rtl/>
        </w:rPr>
        <w:t xml:space="preserve"> שהוא שער החמשים ה' דבינה וז"ש דאיהו ה' חומשי תורה. שהן מבינה ימא דאורייתא כמ"ש בהת"ז ומתלבשין בו"ק בנ' תרעין דילה עד הוד ונכללין ביסוד שהה' כלול מעשר ביוד דחכמה כמ"ש שם וזהו תורה שבכתב בעד"א:</w:t>
      </w:r>
    </w:p>
  </w:footnote>
  <w:footnote w:id="722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למחאה ביה ליצריה.</w:t>
      </w:r>
      <w:r w:rsidRPr="00BD5E91">
        <w:rPr>
          <w:sz w:val="22"/>
          <w:szCs w:val="22"/>
          <w:rtl/>
        </w:rPr>
        <w:t xml:space="preserve"> כנ"ל והרגיה בגרסתיה והוא מצד חיבור זו"נ תורה שבכתב ושבע"פ כי בחיבורא דילהון והזר הקרב יומת כידוע. וז"ש ומאן דזכי לחברא ה' שהוא שבכתב למ"ט כו' שהוא שבע"פ:</w:t>
      </w:r>
    </w:p>
  </w:footnote>
  <w:footnote w:id="723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דאיהי כו'.</w:t>
      </w:r>
      <w:r w:rsidRPr="00BD5E91">
        <w:rPr>
          <w:sz w:val="22"/>
          <w:szCs w:val="22"/>
          <w:rtl/>
        </w:rPr>
        <w:t xml:space="preserve"> יוד דחכמה כנ"ל שבו נעשית נ' שערי בינה י' פעמים ה' שלכן כל מכה ומכה היתה של חמש מכות כו' עד חמשים מכות נגד נ' תרעין דחירות שבהן יצאו ממצרים נ"פ יציאת מצרים כידוע:</w:t>
      </w:r>
    </w:p>
  </w:footnote>
  <w:footnote w:id="723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והיינו ה"י כו'.</w:t>
      </w:r>
      <w:r w:rsidRPr="00BD5E91">
        <w:rPr>
          <w:sz w:val="22"/>
          <w:szCs w:val="22"/>
          <w:rtl/>
        </w:rPr>
        <w:t xml:space="preserve"> דה' על יוד נק' דינא ה"י מן אלקים דינא כידוע ובו למחאה כו':</w:t>
      </w:r>
    </w:p>
  </w:footnote>
  <w:footnote w:id="723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ובעל האי מטה כו'.</w:t>
      </w:r>
      <w:r w:rsidRPr="00BD5E91">
        <w:rPr>
          <w:sz w:val="22"/>
          <w:szCs w:val="22"/>
          <w:rtl/>
        </w:rPr>
        <w:t xml:space="preserve"> הוא משה ע"ה שהוא דרגא דוא"ו עד"א כידוע:</w:t>
      </w:r>
    </w:p>
  </w:footnote>
  <w:footnote w:id="723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דאתמר ביה.</w:t>
      </w:r>
      <w:r w:rsidRPr="00BD5E91">
        <w:rPr>
          <w:sz w:val="22"/>
          <w:szCs w:val="22"/>
          <w:rtl/>
        </w:rPr>
        <w:t xml:space="preserve"> ר"ל במרע"ה הנה אנכי כו' שהוא בעד"א כמ"ש לעיל דף ע"ה וביה עד"א עביד פליאן כו' ובה אמר משה כו':</w:t>
      </w:r>
    </w:p>
  </w:footnote>
  <w:footnote w:id="723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דכרת עמיה י"ג כו'.</w:t>
      </w:r>
      <w:r w:rsidRPr="00BD5E91">
        <w:rPr>
          <w:sz w:val="22"/>
          <w:szCs w:val="22"/>
          <w:rtl/>
        </w:rPr>
        <w:t xml:space="preserve"> ר"ל זהו כורת ברית כמ"ש בגמ' ברית כרותה כו' שאינו חוזר ריקם וי"ג מכילן הוא וא"ו דשמא מפ' גי' י"ג עד"א וז"ש דאתמר ביה הנה כו':</w:t>
      </w:r>
    </w:p>
  </w:footnote>
  <w:footnote w:id="723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דאלם בלא כו'.</w:t>
      </w:r>
      <w:r w:rsidRPr="00BD5E91">
        <w:rPr>
          <w:sz w:val="22"/>
          <w:szCs w:val="22"/>
          <w:rtl/>
        </w:rPr>
        <w:t xml:space="preserve"> ר"ל כמש"ו דאפיק ה"י מאלקים נשאר אלם כי באלקים הוא ד' אותיות הוי' כמ"ש בת"ז י"ה שבאלקים הן שבהויה אלא שבכאן הוא ה' על יו"ד כנ"ל נשאר מלא הוא ת"ת ו' שהוא איש תם מלא י"ה שהוא כלול מאו"א בסוד בן י"ה כידוע וזהו יושב אהלים שני אהלים והוא אותיות אלקים וה' אותיות שבאלקים הוא ה' אחרונה שבשם ובזמן שהוא כלול י"ה הוא אלקים מלא י"ה וא"ל נשאר אלם מאורייתא כמש"ו שהן מוחין דאו"א שכלולין בו כידוע וכן התפלה שהיא חוזרת ריקם שעלה אמרו שפתי תפתח פתחו תרעין דהיכלא ואם לא אתפתחו סגירת השפתים נעשית אלם וכ"ז לפי שלא היתה בדחילו ורחימו כמ"ש בת"ז תי"ח והן י"ק כידוע שאינן בו לכן נעשה אלם וז"ש אני מלאה הלכתי אני התפלה שהוא במלכות אדני שפתי מלאה הלכתי מלא י"ה אותיות אלקים מליאה כידוע וריקם השיבני וז"ש דאלם בלא י"ה איהי ריקם ריקם מן י"ה והוא בסוד עיבור בלא מוחין פיו סתום אלם:</w:t>
      </w:r>
    </w:p>
  </w:footnote>
  <w:footnote w:id="723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לולי אלקי כו'.</w:t>
      </w:r>
      <w:r w:rsidRPr="00BD5E91">
        <w:rPr>
          <w:sz w:val="22"/>
          <w:szCs w:val="22"/>
          <w:rtl/>
        </w:rPr>
        <w:t xml:space="preserve"> ה' דאברה"ם ויוד די"צחק כידוע בסוד השם בהיפוך:</w:t>
      </w:r>
    </w:p>
  </w:footnote>
  <w:footnote w:id="723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ריקם שלחתני.</w:t>
      </w:r>
      <w:r w:rsidRPr="00BD5E91">
        <w:rPr>
          <w:sz w:val="22"/>
          <w:szCs w:val="22"/>
          <w:rtl/>
        </w:rPr>
        <w:t xml:space="preserve"> שהוא ו' מלא כנ"ל בלא י"ק אלם והענין כי יעקב בלבן דוגמת ישראל במצרים כמ"ש האבות הן סימן לבנים גלות יעקב ואח"כ לקח את כל רכושו כמ"ש (בראשית לא יב) הנה ראיתי את כל אשר לבן כו' וכן (שמות יב לו) וינצלו את מצרים ובמקל לקה לבן ברכושו דוגמת מטה דמצרים והמקל הוא ה' כנ"ל וז"ש (בראשית ל לז) מקל. לבנה. לח. לוז. וערמון. ה' דברים ובעל המטה יעקב דוגמת מרע"ה ו' כידוע זה מלגאו וזה מלבר ועשר מכות כמש"ו ובאת י' כו' וכמו שברח יעקב כן במצרים שאמרו דרך כו' כמ"ש בהת"ז בפורקנא קדמייתא דנפקו במנוסה כו' וכן דרך שלשת ימים (בראשית ל לו, שמות ג יח) וכן (בראשית לא כב) ויגד ללבן ביום השלישי וכן השיגו ביום השביעי כמ"ש (בראשית לא כג) וירדוף אחריו דרך כו' הכל כמו במצרים וכן כל המעשה למי שמדקדק ולכן אמרו בספור יציאת מצרים (פסחים קטז ע"א) ודורש מארמי אובד אבי עד כו' וז"ש ואמאי בגין כו' ור"ל היאך ע"י היו"ד לא הושב ריקם ואמר בגין דאתמר בלבן ותחלף כו' להשיבו ריקם ולבן לקה בכולם כמ"ש אם כה יאמר עקודים כו'. וז"ש ובאת י' אתעביד ליה נס. כמו ביציאת מצרים דעשר מכות היו עשרה נסים לישראל כמ"ש (אבות ה ד) עשרה נסים נעשו לאבותינו וכן ביעקב (א.ה. עשרת מונים) ולבן לקה בממונו ונתקיים ביעקב כמו במצרים (בראשית טו יד) ואחרי כן יצאו ברכוש כו' וכן ביעקב כתיב (בראשית לא א) ומאשר לאבינו כו':</w:t>
      </w:r>
    </w:p>
  </w:footnote>
  <w:footnote w:id="723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דאלקים אפיק כו'.</w:t>
      </w:r>
      <w:r w:rsidRPr="00BD5E91">
        <w:rPr>
          <w:sz w:val="22"/>
          <w:szCs w:val="22"/>
          <w:rtl/>
        </w:rPr>
        <w:t xml:space="preserve"> הוא פי' על מ"ש למעלה דאלם בלא כו':</w:t>
      </w:r>
    </w:p>
  </w:footnote>
  <w:footnote w:id="723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בלא אורייתא דבע"פ.</w:t>
      </w:r>
      <w:r w:rsidRPr="00BD5E91">
        <w:rPr>
          <w:sz w:val="22"/>
          <w:szCs w:val="22"/>
          <w:rtl/>
        </w:rPr>
        <w:t xml:space="preserve"> שהוא מסט' דמטה והיא נק' פה ובלא אורייתא נק' אלם משא"כ בתורה שבכתב. וז"ש </w:t>
      </w:r>
      <w:r w:rsidRPr="00BD5E91">
        <w:rPr>
          <w:b/>
          <w:bCs/>
          <w:sz w:val="22"/>
          <w:szCs w:val="22"/>
          <w:rtl/>
        </w:rPr>
        <w:t xml:space="preserve">אבל מאן כו'. </w:t>
      </w:r>
      <w:r w:rsidRPr="00BD5E91">
        <w:rPr>
          <w:sz w:val="22"/>
          <w:szCs w:val="22"/>
          <w:rtl/>
        </w:rPr>
        <w:t>דשם אין חובין מעכבין את התפלה דשם לא יגורך רע משא"כ בתפלה דע"ה טו"ר אע"ג שמצד עצמה התפלה שלימה כמ"ש לעיל דף ע"ד ע"ב דתפלה הוא כמו ביציאת מצרים כמ"ש כד נפקו ממצרים כו' הכי אית צלותא כו' בגין דאורייתא איהו שטר חירו כו' ודא אימא כו' דמתמן אורייתא דאיהו עד"א כו' והכי כד צלותא ואלין אינון צלותין כו' משא"כ בצלותא דע"ה דחובין רדפין בתריה כמ"ש שם ע"ש וז"ש אני התפלה כנ"ל מליאה הלכתי מצד עצמה מלא י"ה וריקם השיבני כו' אל תקראנה לי נעמי קראן לי מר' כמ"ש בר"מ דמרה הוא בע"ה בתורה שבע"פ וימררו  את חייהם בעבודה קשה כמ"ש לעיל בדף ע"ד ע"ב וימררו את חייהם כו'. ויורהו ה' עץ זה עץ החיים וימתקו המים וז"ש אל תקראנה לי נעמי וימתקו המים קראן לי מר' כנ"ל:</w:t>
      </w:r>
    </w:p>
  </w:footnote>
  <w:footnote w:id="724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ובג"ד אית אלקים כו'.</w:t>
      </w:r>
      <w:r w:rsidRPr="00BD5E91">
        <w:rPr>
          <w:sz w:val="22"/>
          <w:szCs w:val="22"/>
          <w:rtl/>
        </w:rPr>
        <w:t xml:space="preserve"> מטה האלקים הנ"ל טו"ר ולכן נק' ס"א בשם אלהים אלהים אחרים:</w:t>
      </w:r>
    </w:p>
  </w:footnote>
  <w:footnote w:id="724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ואית אלקים חיים.</w:t>
      </w:r>
      <w:r w:rsidRPr="00BD5E91">
        <w:rPr>
          <w:sz w:val="22"/>
          <w:szCs w:val="22"/>
          <w:rtl/>
        </w:rPr>
        <w:t xml:space="preserve"> שזה אינו רק בקב"ה ואינו מוחלף בשום דבר והוא תמיד מלא י"ה שהן מוחין דאו"א שנק' חיים כידוע חיי מלך וזהו אלקים חיים:</w:t>
      </w:r>
    </w:p>
  </w:footnote>
  <w:footnote w:id="724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במאי אשתמודע.</w:t>
      </w:r>
      <w:r w:rsidRPr="00BD5E91">
        <w:rPr>
          <w:sz w:val="22"/>
          <w:szCs w:val="22"/>
          <w:rtl/>
        </w:rPr>
        <w:t xml:space="preserve"> ר"ל היאך ניכר במעשיו:</w:t>
      </w:r>
    </w:p>
  </w:footnote>
  <w:footnote w:id="724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ע"ס בלימה.</w:t>
      </w:r>
      <w:r w:rsidRPr="00BD5E91">
        <w:rPr>
          <w:sz w:val="22"/>
          <w:szCs w:val="22"/>
          <w:rtl/>
        </w:rPr>
        <w:t xml:space="preserve"> ר"ל ע"ס י' אתוון דשמא מפרש כמש"ו שהוא ע"ס כידוע. בלימה. ר"ל ל"ב נתיבות ועשר אמירן זהו בל"י. שמא מפרש. מ"ה:</w:t>
      </w:r>
    </w:p>
  </w:footnote>
  <w:footnote w:id="724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דאית ביה אדם טוב.</w:t>
      </w:r>
      <w:r w:rsidRPr="00BD5E91">
        <w:rPr>
          <w:sz w:val="22"/>
          <w:szCs w:val="22"/>
          <w:rtl/>
        </w:rPr>
        <w:t xml:space="preserve"> כנ"ל. ואדם רע. אחוריים דאקיק גי' דם וא' דאקיק והן ה' דמים טמאים וה' דמים טהורים כנ"ל ה"ג וה"ח:</w:t>
      </w:r>
    </w:p>
  </w:footnote>
  <w:footnote w:id="724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דדא בבריאה.</w:t>
      </w:r>
      <w:r w:rsidRPr="00BD5E91">
        <w:rPr>
          <w:sz w:val="22"/>
          <w:szCs w:val="22"/>
          <w:rtl/>
        </w:rPr>
        <w:t xml:space="preserve"> ולעיל אמר במט"ט וענינו מט"ט ביצירה ורוחו בבריאה כידוע ובריאה גוף ונשמה אצילות נק' אילנא דחיי וזהו שלפעמים אומר שבריאה נקרא אילנא דחיי:</w:t>
      </w:r>
    </w:p>
  </w:footnote>
  <w:footnote w:id="724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אשתמודע כו'.</w:t>
      </w:r>
      <w:r w:rsidRPr="00BD5E91">
        <w:rPr>
          <w:sz w:val="22"/>
          <w:szCs w:val="22"/>
          <w:rtl/>
        </w:rPr>
        <w:t xml:space="preserve"> ר"ל בכוונתיה יוכל להכיר:</w:t>
      </w:r>
    </w:p>
  </w:footnote>
  <w:footnote w:id="724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כל אלהים אחרים.</w:t>
      </w:r>
      <w:r w:rsidRPr="00BD5E91">
        <w:rPr>
          <w:sz w:val="22"/>
          <w:szCs w:val="22"/>
          <w:rtl/>
        </w:rPr>
        <w:t xml:space="preserve"> שרים של שבעים אומות:</w:t>
      </w:r>
    </w:p>
  </w:footnote>
  <w:footnote w:id="724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תחות יד ה'.</w:t>
      </w:r>
      <w:r w:rsidRPr="00BD5E91">
        <w:rPr>
          <w:sz w:val="22"/>
          <w:szCs w:val="22"/>
          <w:rtl/>
        </w:rPr>
        <w:t xml:space="preserve"> בתפלין של יד:</w:t>
      </w:r>
    </w:p>
  </w:footnote>
  <w:footnote w:id="724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דאיהי שכינתא כו'.</w:t>
      </w:r>
      <w:r w:rsidRPr="00BD5E91">
        <w:rPr>
          <w:sz w:val="22"/>
          <w:szCs w:val="22"/>
          <w:rtl/>
        </w:rPr>
        <w:t xml:space="preserve"> כמ"ש בתיקון י"ח דכלילא מי"ד אתוון ע"ש:</w:t>
      </w:r>
    </w:p>
  </w:footnote>
  <w:footnote w:id="725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ונבל כי ישבע לחם.</w:t>
      </w:r>
      <w:r w:rsidRPr="00BD5E91">
        <w:rPr>
          <w:sz w:val="22"/>
          <w:szCs w:val="22"/>
          <w:rtl/>
        </w:rPr>
        <w:t xml:space="preserve"> רמז לנבל הכרמלי (שמואל א כה ב) בגזוז את צאנו כו' והן ג' דרגין הנ"ל צאן ועבד ושפחה דישבע לחם מסט' דצאן כמ"ש (משלי כז כז) ודי חלב עזים ללחמך ואמרו (חולין פד ע"ב) למה נקרא עשתרות שמעשרות את בעליהן:</w:t>
      </w:r>
    </w:p>
  </w:footnote>
  <w:footnote w:id="725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לאעלא שפחה תחות כו'.</w:t>
      </w:r>
      <w:r w:rsidRPr="00BD5E91">
        <w:rPr>
          <w:sz w:val="22"/>
          <w:szCs w:val="22"/>
          <w:rtl/>
        </w:rPr>
        <w:t xml:space="preserve"> ר"ל שכינה עילאה ותתאה וכן שפחה ב' נוקבין בישין מד' אבות נזיקין ותתאה הוא אימא דערב רב כידוע וז"ש לעיל ולאעלא כל אומין כו':</w:t>
      </w:r>
    </w:p>
  </w:footnote>
  <w:footnote w:id="725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דכלילן בהון</w:t>
      </w:r>
      <w:r w:rsidRPr="00BD5E91">
        <w:rPr>
          <w:sz w:val="22"/>
          <w:szCs w:val="22"/>
          <w:rtl/>
        </w:rPr>
        <w:t>. ר"ל שכלילן בבתים שהפרשיות והאזכרות הן בבתים והן חכמה ו"ק זכרים שבשם י' ו' שכלילן בנקבות ה"ה כמ"ש (ירמיהו לא כא) נקבה תסובב גבר וכן האזכרות בבתים:</w:t>
      </w:r>
    </w:p>
  </w:footnote>
  <w:footnote w:id="725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שקול לאורייתא.</w:t>
      </w:r>
      <w:r w:rsidRPr="00BD5E91">
        <w:rPr>
          <w:sz w:val="22"/>
          <w:szCs w:val="22"/>
          <w:rtl/>
        </w:rPr>
        <w:t xml:space="preserve"> כמ"ש (קדושין לה ע"א) למען תהיה תורת ה' בפיך ואמרו הוקשה כל התורה לתפלין:</w:t>
      </w:r>
    </w:p>
  </w:footnote>
  <w:footnote w:id="725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לאעלא עבד כו'.</w:t>
      </w:r>
      <w:r w:rsidRPr="00BD5E91">
        <w:rPr>
          <w:sz w:val="22"/>
          <w:szCs w:val="22"/>
          <w:rtl/>
        </w:rPr>
        <w:t xml:space="preserve"> ב' דברים של הס"א מד' אבות כמ"ש בר"מ פ' משפטים שהן נגד ד' אותיות שבשם זה לעומת זה תחת י' ו':</w:t>
      </w:r>
    </w:p>
  </w:footnote>
  <w:footnote w:id="725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הה"ד כה אמר כו'.</w:t>
      </w:r>
      <w:r w:rsidRPr="00BD5E91">
        <w:rPr>
          <w:sz w:val="22"/>
          <w:szCs w:val="22"/>
          <w:rtl/>
        </w:rPr>
        <w:t xml:space="preserve"> ר"ל ישראל אשר בך אתפאר שהוא המניח פאר על ראשו תפלין ובשניהן ש"י וש"ר נק' ישראל כמ"ש בר"מ פ' בא ע"ש:</w:t>
      </w:r>
    </w:p>
  </w:footnote>
  <w:footnote w:id="725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בנים אתם כו'.</w:t>
      </w:r>
      <w:r w:rsidRPr="00BD5E91">
        <w:rPr>
          <w:sz w:val="22"/>
          <w:szCs w:val="22"/>
          <w:rtl/>
        </w:rPr>
        <w:t xml:space="preserve"> ר"ל לה' קב"ה אלקיכם שכינה כידוע:</w:t>
      </w:r>
    </w:p>
  </w:footnote>
  <w:footnote w:id="725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ובג"ד אם כבנים כו'.</w:t>
      </w:r>
      <w:r w:rsidRPr="00BD5E91">
        <w:rPr>
          <w:sz w:val="22"/>
          <w:szCs w:val="22"/>
          <w:rtl/>
        </w:rPr>
        <w:t xml:space="preserve"> וז"ש אבינו מלכנו:</w:t>
      </w:r>
    </w:p>
  </w:footnote>
  <w:footnote w:id="725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ובג"ד כי אם בתורת כו'.</w:t>
      </w:r>
      <w:r w:rsidRPr="00BD5E91">
        <w:rPr>
          <w:sz w:val="22"/>
          <w:szCs w:val="22"/>
          <w:rtl/>
        </w:rPr>
        <w:t xml:space="preserve"> כמש"ו באיזה תורה דעבד או כו':</w:t>
      </w:r>
    </w:p>
  </w:footnote>
  <w:footnote w:id="725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ובג"ד לדא כו'.</w:t>
      </w:r>
      <w:r w:rsidRPr="00BD5E91">
        <w:rPr>
          <w:sz w:val="22"/>
          <w:szCs w:val="22"/>
          <w:rtl/>
        </w:rPr>
        <w:t xml:space="preserve"> סיפא דקרא כי אם בתורת ה' חפצו והיה כעץ שתול כו' והוא שהביא למעלה אחר תפלין:</w:t>
      </w:r>
    </w:p>
  </w:footnote>
  <w:footnote w:id="726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לדא כו'.</w:t>
      </w:r>
      <w:r w:rsidRPr="00BD5E91">
        <w:rPr>
          <w:sz w:val="22"/>
          <w:szCs w:val="22"/>
          <w:rtl/>
        </w:rPr>
        <w:t xml:space="preserve"> ר"ל מסט' דעבד נקרא שתול ומסט' דמלכא נק' נטוע כמש"ו:</w:t>
      </w:r>
    </w:p>
  </w:footnote>
  <w:footnote w:id="726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דל"ל קשורא.</w:t>
      </w:r>
      <w:r w:rsidRPr="00BD5E91">
        <w:rPr>
          <w:sz w:val="22"/>
          <w:szCs w:val="22"/>
          <w:rtl/>
        </w:rPr>
        <w:t xml:space="preserve"> ר"ל שעיקרו אינו קשור בקרקע שהיא מלכות קרקע גי' עת כמ"ש לקמן:</w:t>
      </w:r>
    </w:p>
  </w:footnote>
  <w:footnote w:id="726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דשבת ברה"י כו'.</w:t>
      </w:r>
      <w:r w:rsidRPr="00BD5E91">
        <w:rPr>
          <w:sz w:val="22"/>
          <w:szCs w:val="22"/>
          <w:rtl/>
        </w:rPr>
        <w:t xml:space="preserve"> ר"ל דאסור לעשות עקירה בחפץ מרה"י בשבת ושבת הוא אילנא דחיי כנ"ל וחפץ אורייתא דאילנא דחיי כמש"ו ורה"י הוא יחידו של עולם שגבהו עשר משמא מפרש ורחבו ד' הויה פשוטה שנקראת שכינה יד ה' י"ד אתוון כמ"ש בתי"ח וזהו פשט את ידו ונתן לתוך ידו כו'</w:t>
      </w:r>
      <w:r>
        <w:rPr>
          <w:rFonts w:hint="cs"/>
          <w:sz w:val="22"/>
          <w:szCs w:val="22"/>
          <w:rtl/>
        </w:rPr>
        <w:t xml:space="preserve"> (שבת ב ע"א)</w:t>
      </w:r>
      <w:r w:rsidRPr="00BD5E91">
        <w:rPr>
          <w:sz w:val="22"/>
          <w:szCs w:val="22"/>
          <w:rtl/>
        </w:rPr>
        <w:t>:</w:t>
      </w:r>
    </w:p>
  </w:footnote>
  <w:footnote w:id="726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דאתמר ביה כי כו'.</w:t>
      </w:r>
      <w:r w:rsidRPr="00BD5E91">
        <w:rPr>
          <w:sz w:val="22"/>
          <w:szCs w:val="22"/>
          <w:rtl/>
        </w:rPr>
        <w:t xml:space="preserve"> כמ"ש (ישעיהו נג י) וחפץ ה' בידו יצלח וזהו וכל אשר יעשה יצליח כמש"ל:</w:t>
      </w:r>
    </w:p>
  </w:footnote>
  <w:footnote w:id="726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למיהוי ביה קבוע.</w:t>
      </w:r>
      <w:r w:rsidRPr="00BD5E91">
        <w:rPr>
          <w:sz w:val="22"/>
          <w:szCs w:val="22"/>
          <w:rtl/>
        </w:rPr>
        <w:t xml:space="preserve"> שעליהן נאמר לא תקח האם על הבנים כמ"ש בה"ת</w:t>
      </w:r>
      <w:r>
        <w:rPr>
          <w:rFonts w:hint="cs"/>
          <w:sz w:val="22"/>
          <w:szCs w:val="22"/>
          <w:rtl/>
        </w:rPr>
        <w:t xml:space="preserve"> (ג.פ הקדמת תיקונים)</w:t>
      </w:r>
      <w:r w:rsidRPr="00BD5E91">
        <w:rPr>
          <w:sz w:val="22"/>
          <w:szCs w:val="22"/>
          <w:rtl/>
        </w:rPr>
        <w:t>:</w:t>
      </w:r>
    </w:p>
  </w:footnote>
  <w:footnote w:id="726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כמה דאוקמוה רבנן כו'.</w:t>
      </w:r>
      <w:r w:rsidRPr="00BD5E91">
        <w:rPr>
          <w:sz w:val="22"/>
          <w:szCs w:val="22"/>
          <w:rtl/>
        </w:rPr>
        <w:t xml:space="preserve"> בב"ב פ</w:t>
      </w:r>
      <w:r>
        <w:rPr>
          <w:rFonts w:hint="cs"/>
          <w:sz w:val="22"/>
          <w:szCs w:val="22"/>
          <w:rtl/>
        </w:rPr>
        <w:t xml:space="preserve">רק </w:t>
      </w:r>
      <w:r w:rsidRPr="00BD5E91">
        <w:rPr>
          <w:sz w:val="22"/>
          <w:szCs w:val="22"/>
          <w:rtl/>
        </w:rPr>
        <w:t>א</w:t>
      </w:r>
      <w:r>
        <w:rPr>
          <w:rFonts w:hint="cs"/>
          <w:sz w:val="22"/>
          <w:szCs w:val="22"/>
          <w:rtl/>
        </w:rPr>
        <w:t>' (דף ח ע"א)</w:t>
      </w:r>
      <w:r w:rsidRPr="00BD5E91">
        <w:rPr>
          <w:sz w:val="22"/>
          <w:szCs w:val="22"/>
          <w:rtl/>
        </w:rPr>
        <w:t>:</w:t>
      </w:r>
    </w:p>
  </w:footnote>
  <w:footnote w:id="726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דשבע מיני עניות.</w:t>
      </w:r>
      <w:r w:rsidRPr="00BD5E91">
        <w:rPr>
          <w:sz w:val="22"/>
          <w:szCs w:val="22"/>
          <w:rtl/>
        </w:rPr>
        <w:t xml:space="preserve"> אותן שחשיב בס"י פ"ד מתני' ג'. תמורת כו' והן בשבע תמורות בס"א נגד ז' מדורין דגיהנם כמ"ש שם והראשון הוא בחסד דז"ת כמ"ש שם וחסד כליל כלהו כמ"ש בזוהר דהוא יומא דאזיל בכולא יומין ולכן אמרו אין עני אלא בדעת ואמרו (קהלת רבה פ' ז) דעת חסרת כו'. וז"ש כאן דאזלין מטלטלין כו' דבגלות הלך הדעת ממנו כמ"ש (מגילה יב ע"ב) מיום שגלינו כו' זיל לעמון ומואב כו' שנאמר ובגולה לא הלך ע"כ כו' וז"ש (סנהדרין לז ע"ב) גלות מכפרת הכל:</w:t>
      </w:r>
    </w:p>
  </w:footnote>
  <w:footnote w:id="726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דלכלהו נחית אדם כו'.</w:t>
      </w:r>
      <w:r w:rsidRPr="00BD5E91">
        <w:rPr>
          <w:sz w:val="22"/>
          <w:szCs w:val="22"/>
          <w:rtl/>
        </w:rPr>
        <w:t xml:space="preserve"> אדה"ר וכן כל אדם לאחר מיתה:</w:t>
      </w:r>
    </w:p>
  </w:footnote>
  <w:footnote w:id="726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בתיובתא סליק.</w:t>
      </w:r>
      <w:r w:rsidRPr="00BD5E91">
        <w:rPr>
          <w:sz w:val="22"/>
          <w:szCs w:val="22"/>
          <w:rtl/>
        </w:rPr>
        <w:t xml:space="preserve"> בק"ל שנים כמ"ש בזוהר:</w:t>
      </w:r>
    </w:p>
  </w:footnote>
  <w:footnote w:id="726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בשבע מינין.</w:t>
      </w:r>
      <w:r w:rsidRPr="00BD5E91">
        <w:rPr>
          <w:sz w:val="22"/>
          <w:szCs w:val="22"/>
          <w:rtl/>
        </w:rPr>
        <w:t xml:space="preserve"> שהיא נק' בת שבע דכלילא משבע וז"ש אף אני שכינה שנק' אני ומאני זיינא בידה מסירין שבע מסט' כחטאתיכם דחטא בה בשבע כנ"ל:</w:t>
      </w:r>
    </w:p>
  </w:footnote>
  <w:footnote w:id="727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דאינון חטה כו'.</w:t>
      </w:r>
      <w:r w:rsidRPr="00BD5E91">
        <w:rPr>
          <w:sz w:val="22"/>
          <w:szCs w:val="22"/>
          <w:rtl/>
        </w:rPr>
        <w:t xml:space="preserve"> שבע מינין דכתיב בקרא והן בז"ת דכלילן בארץ מלכות כנ"ל. והן כסדר מחסד עד מלכות. חטה - חסד וכל המנחות באין מהן. שעורה - גבורה לכן בא מהן מנחת קנאות וכן מנחת עומר לבדוק כידוע. גפן - ת"ת יין שדעת זקנים כו' (מגילה טז ע"ב) ישראל סבא יין ע' אנפין ע' נפש. תאנה - נצח שני דודאי תאנים כו' (ירמיהו כד א). רמון - הוד שבו ותקע כף (בראשית לב כו), גלות, חרוב מאורייתא, כפלח הרמון רקתך ריקנין שביך כו' (ברכות נז ע"א), ובו שליט הס"א וז"ש (חגיגה טו ע"א) רמון מצא</w:t>
      </w:r>
      <w:r>
        <w:rPr>
          <w:rFonts w:hint="cs"/>
          <w:sz w:val="22"/>
          <w:szCs w:val="22"/>
          <w:rtl/>
        </w:rPr>
        <w:t>,</w:t>
      </w:r>
      <w:r w:rsidRPr="00BD5E91">
        <w:rPr>
          <w:sz w:val="22"/>
          <w:szCs w:val="22"/>
          <w:rtl/>
        </w:rPr>
        <w:t xml:space="preserve"> שד' נכנסו לפרדס ג' אכלו מקליפה כמ"ש בדף פ"א</w:t>
      </w:r>
      <w:r>
        <w:rPr>
          <w:rFonts w:hint="cs"/>
          <w:sz w:val="22"/>
          <w:szCs w:val="22"/>
          <w:rtl/>
        </w:rPr>
        <w:t>,</w:t>
      </w:r>
      <w:r w:rsidRPr="00BD5E91">
        <w:rPr>
          <w:sz w:val="22"/>
          <w:szCs w:val="22"/>
          <w:rtl/>
        </w:rPr>
        <w:t xml:space="preserve"> והכל לפי ששולט הקליפה</w:t>
      </w:r>
      <w:r>
        <w:rPr>
          <w:rFonts w:hint="cs"/>
          <w:sz w:val="22"/>
          <w:szCs w:val="22"/>
          <w:rtl/>
        </w:rPr>
        <w:t>,</w:t>
      </w:r>
      <w:r w:rsidRPr="00BD5E91">
        <w:rPr>
          <w:sz w:val="22"/>
          <w:szCs w:val="22"/>
          <w:rtl/>
        </w:rPr>
        <w:t xml:space="preserve"> ושכינה מתלבש בהן בגלות</w:t>
      </w:r>
      <w:r>
        <w:rPr>
          <w:rFonts w:hint="cs"/>
          <w:sz w:val="22"/>
          <w:szCs w:val="22"/>
          <w:rtl/>
        </w:rPr>
        <w:t>.</w:t>
      </w:r>
      <w:r w:rsidRPr="00BD5E91">
        <w:rPr>
          <w:sz w:val="22"/>
          <w:szCs w:val="22"/>
          <w:rtl/>
        </w:rPr>
        <w:t xml:space="preserve"> אבל ר"מ רמון מצא תוכו אכל קליפתו זרק</w:t>
      </w:r>
      <w:r>
        <w:rPr>
          <w:rFonts w:hint="cs"/>
          <w:sz w:val="22"/>
          <w:szCs w:val="22"/>
          <w:rtl/>
        </w:rPr>
        <w:t>.</w:t>
      </w:r>
      <w:r w:rsidRPr="00BD5E91">
        <w:rPr>
          <w:sz w:val="22"/>
          <w:szCs w:val="22"/>
          <w:rtl/>
        </w:rPr>
        <w:t xml:space="preserve"> ופרדס שבו נכנסו הוא במט"ט ששם מתלבש בגלות עבד כמ"ש בהת"ז ושם הוא ע"ה טו"ר כנ"ל והן אכלו מע"ה ומט"ט הוא נוריאל ובשם שמתלבש בקרבו כמ"ש כי שמי בקרבו נקרא מטטרון שע"י מתייחדין בחול כנ"ל ויסוד מתלבש בו שע"כ נקרא יסוד והוא אותיות ט"ט שבו ח"י עלמין ט' מלמעלה למטה וט' מלמטה למעלה כמ"ש בתיקונים תי"ח מרו"ן הוא גי' נוריאל וזהו רמון מצא אותיות החיצוניות שבו כנ"ל קליפתו זרק תוכו אכל ט"ט אותיות פנימיות שבו השם שמתלבש בתוכו וז"ש (חגיגה טז ע"א) מאי דרש אות הוא בצבא שלו ר"ל שלא טעו במט"ט אות הוא ר"ל ח"י עלמין שנק' אות. זית. יסוד כמ"ש בזוהר ובר"מ. דבש. מלכות, קומתך דמתה לתמר (שה"ש ז ח):</w:t>
      </w:r>
    </w:p>
  </w:footnote>
  <w:footnote w:id="727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והיינו דתנן כו'.</w:t>
      </w:r>
      <w:r w:rsidRPr="00BD5E91">
        <w:rPr>
          <w:sz w:val="22"/>
          <w:szCs w:val="22"/>
          <w:rtl/>
        </w:rPr>
        <w:t xml:space="preserve"> ר"ל כמש"ו כלהו קרא לון אילן חד שאמר פירות האילן בלשון יחיד ובעצרת דנין על מה שפוגמין באילן כנ"ל:</w:t>
      </w:r>
    </w:p>
  </w:footnote>
  <w:footnote w:id="727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ומס"א מתפרשן כו'.</w:t>
      </w:r>
      <w:r w:rsidRPr="00BD5E91">
        <w:rPr>
          <w:sz w:val="22"/>
          <w:szCs w:val="22"/>
          <w:rtl/>
        </w:rPr>
        <w:t xml:space="preserve"> ר"ל למעלה מתפרשין ובמלכות כולן כלולין כמ"ש בתי"ח חבורא דכולא שמהן:</w:t>
      </w:r>
    </w:p>
  </w:footnote>
  <w:footnote w:id="727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ופניהם.</w:t>
      </w:r>
      <w:r w:rsidRPr="00BD5E91">
        <w:rPr>
          <w:sz w:val="22"/>
          <w:szCs w:val="22"/>
          <w:rtl/>
        </w:rPr>
        <w:t xml:space="preserve"> ח"ב:</w:t>
      </w:r>
    </w:p>
  </w:footnote>
  <w:footnote w:id="727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וכנפיהם.</w:t>
      </w:r>
      <w:r w:rsidRPr="00BD5E91">
        <w:rPr>
          <w:sz w:val="22"/>
          <w:szCs w:val="22"/>
          <w:rtl/>
        </w:rPr>
        <w:t xml:space="preserve"> ח"ג פרודות מלמעלה דשם אנפין מתפרדין כמ"ש בתיקון הנ"ל הוי' בחכמה אקי"ק בבינה כו'. חוברות איש. בת"ת. ושתים כו' נ"ה מכסות כו' יסוד דבת"ת ויסוד מתחברין וכולם כלילן במלכות ושם מתחברין כולם יחד:</w:t>
      </w:r>
    </w:p>
  </w:footnote>
  <w:footnote w:id="727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זכאה איהו כו'.</w:t>
      </w:r>
      <w:r w:rsidRPr="00BD5E91">
        <w:rPr>
          <w:sz w:val="22"/>
          <w:szCs w:val="22"/>
          <w:rtl/>
        </w:rPr>
        <w:t xml:space="preserve"> חוזר למעלה לפרש פסוק והיה כעץ שתול כו' ואמר דלא תקשי שאמר לעיל שתול הוא בע"ה בפשטין דאורייתא מה משבח הקרא לכך אמר מ"מ זכאה איהו וג"כ ל"ת מאי אשר פריו כו' לכך אמר שהן ב' דברים מתחלה כעץ שתול ואח"כ אשר פריו כמ"ש לקמן:</w:t>
      </w:r>
    </w:p>
  </w:footnote>
  <w:footnote w:id="727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ולא אפיק כו'.</w:t>
      </w:r>
      <w:r w:rsidRPr="00BD5E91">
        <w:rPr>
          <w:sz w:val="22"/>
          <w:szCs w:val="22"/>
          <w:rtl/>
        </w:rPr>
        <w:t xml:space="preserve"> שכל מעשיו הכל בה:</w:t>
      </w:r>
    </w:p>
  </w:footnote>
  <w:footnote w:id="727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אני כו'.</w:t>
      </w:r>
      <w:r w:rsidRPr="00BD5E91">
        <w:rPr>
          <w:sz w:val="22"/>
          <w:szCs w:val="22"/>
          <w:rtl/>
        </w:rPr>
        <w:t xml:space="preserve"> ראיה שעת קאי על מלכות אני ה' אני הוא מלכות:</w:t>
      </w:r>
    </w:p>
  </w:footnote>
  <w:footnote w:id="727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ע"ב פנים.</w:t>
      </w:r>
      <w:r w:rsidRPr="00BD5E91">
        <w:rPr>
          <w:sz w:val="22"/>
          <w:szCs w:val="22"/>
          <w:rtl/>
        </w:rPr>
        <w:t xml:space="preserve"> דע' פנים בת"ת וב' דרועין ע"ב וכן ע' נפש עם יעקב ועם אברהם ויצחק ח"ג ע"ב וזהו שם ע"ב שבחג"ת וכן ע"ב אומין עם ישמעאל ועשו ב' דרועין דס"א ולפי שנכלל בקו האמצעי לכך הכלל הוא ע':</w:t>
      </w:r>
    </w:p>
  </w:footnote>
  <w:footnote w:id="727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לתורה דאיהי ת' כו'.</w:t>
      </w:r>
      <w:r w:rsidRPr="00BD5E91">
        <w:rPr>
          <w:sz w:val="22"/>
          <w:szCs w:val="22"/>
          <w:rtl/>
        </w:rPr>
        <w:t xml:space="preserve"> ר"ל וזהו בעתה ע"ב ת' וה' הוא השכינה עצמה וכן בעתו בעת שלו:</w:t>
      </w:r>
    </w:p>
  </w:footnote>
  <w:footnote w:id="728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כגון שמלתך.</w:t>
      </w:r>
      <w:r w:rsidRPr="00BD5E91">
        <w:rPr>
          <w:sz w:val="22"/>
          <w:szCs w:val="22"/>
          <w:rtl/>
        </w:rPr>
        <w:t xml:space="preserve"> ר"ל לבושין דמטרוניתא כמ"ש לקמן בסוף העמוד וראיה דקאי על לבושין שנאמר לא יבולו אצל שמלתך כתיב לא בלתה:</w:t>
      </w:r>
    </w:p>
  </w:footnote>
  <w:footnote w:id="728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ואוקמוה מ"מ כו'.</w:t>
      </w:r>
      <w:r w:rsidRPr="00BD5E91">
        <w:rPr>
          <w:sz w:val="22"/>
          <w:szCs w:val="22"/>
          <w:rtl/>
        </w:rPr>
        <w:t xml:space="preserve"> חוזר למעלה והיה כעץ שתול שאמר על פלגי מים דאורייתא עכשיו מפרש והולך:</w:t>
      </w:r>
    </w:p>
  </w:footnote>
  <w:footnote w:id="728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דאיהי אורייתא דאיתמר כו'.</w:t>
      </w:r>
      <w:r w:rsidRPr="00BD5E91">
        <w:rPr>
          <w:sz w:val="22"/>
          <w:szCs w:val="22"/>
          <w:rtl/>
        </w:rPr>
        <w:t xml:space="preserve"> שאמרו בתחלה שתה מים מבורך ואח"כ נוזלים מתוך בארך ומפרש והולך ואוקמוה בור כו'. ר"ל דבור הוא ע"ה טו"ר ובאר הוא מים חיים אילנא דחייא וזה מים חיים:</w:t>
      </w:r>
    </w:p>
  </w:footnote>
  <w:footnote w:id="728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באר מים כו'.</w:t>
      </w:r>
      <w:r w:rsidRPr="00BD5E91">
        <w:rPr>
          <w:sz w:val="22"/>
          <w:szCs w:val="22"/>
          <w:rtl/>
        </w:rPr>
        <w:t xml:space="preserve"> ר"ל מתוך בארך דכתיב </w:t>
      </w:r>
      <w:r>
        <w:rPr>
          <w:rFonts w:hint="cs"/>
          <w:sz w:val="22"/>
          <w:szCs w:val="22"/>
          <w:rtl/>
        </w:rPr>
        <w:t>ה</w:t>
      </w:r>
      <w:r w:rsidRPr="00BD5E91">
        <w:rPr>
          <w:sz w:val="22"/>
          <w:szCs w:val="22"/>
          <w:rtl/>
        </w:rPr>
        <w:t>וא מים חיים כמ"ש באר כו' וז"ש הה"ד כו':</w:t>
      </w:r>
    </w:p>
  </w:footnote>
  <w:footnote w:id="728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מים מכונסים סרוחים.</w:t>
      </w:r>
      <w:r w:rsidRPr="00BD5E91">
        <w:rPr>
          <w:sz w:val="22"/>
          <w:szCs w:val="22"/>
          <w:rtl/>
        </w:rPr>
        <w:t xml:space="preserve"> המים הזידונים (תהלים קכד ה), בארות נשברים אשר כו' (ירמיהו ב יג):</w:t>
      </w:r>
    </w:p>
  </w:footnote>
  <w:footnote w:id="728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לההוא דאתקרי עני כו'.</w:t>
      </w:r>
      <w:r w:rsidRPr="00BD5E91">
        <w:rPr>
          <w:sz w:val="22"/>
          <w:szCs w:val="22"/>
          <w:rtl/>
        </w:rPr>
        <w:t xml:space="preserve"> מסט' דע"ה מלכות מצד עצמה דל"ל מגרמה כלום וכ"ש במט"ט:</w:t>
      </w:r>
    </w:p>
  </w:footnote>
  <w:footnote w:id="728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דאתשקיא מלבר ע"י כו'.</w:t>
      </w:r>
      <w:r w:rsidRPr="00BD5E91">
        <w:rPr>
          <w:sz w:val="22"/>
          <w:szCs w:val="22"/>
          <w:rtl/>
        </w:rPr>
        <w:t xml:space="preserve"> כמ"ש (ע"ז יט ע"א) מתחילה מתוך בורך כנ"ל בתורה שבע"פ דשם אין לו אלא מה ששומע מאחר דשם אלה המצות שאין נביא כו' (מגילה ב ע"ב):</w:t>
      </w:r>
    </w:p>
  </w:footnote>
  <w:footnote w:id="728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ודמיין לעץ כו'.</w:t>
      </w:r>
      <w:r w:rsidRPr="00BD5E91">
        <w:rPr>
          <w:sz w:val="22"/>
          <w:szCs w:val="22"/>
          <w:rtl/>
        </w:rPr>
        <w:t xml:space="preserve"> קאי על שניהם דע"ח נטוע וע"ה שתול כנ"ל:</w:t>
      </w:r>
    </w:p>
  </w:footnote>
  <w:footnote w:id="7288">
    <w:p w:rsidR="00007309" w:rsidRPr="00BD5E91" w:rsidRDefault="00007309" w:rsidP="00007309">
      <w:pPr>
        <w:jc w:val="both"/>
        <w:rPr>
          <w:rFonts w:cs="Arial"/>
          <w:sz w:val="22"/>
          <w:szCs w:val="22"/>
          <w:rtl/>
        </w:rPr>
      </w:pPr>
      <w:r w:rsidRPr="00BD5E91">
        <w:rPr>
          <w:rStyle w:val="a7"/>
          <w:rFonts w:cs="Arial"/>
          <w:sz w:val="22"/>
          <w:szCs w:val="22"/>
          <w:rtl/>
        </w:rPr>
        <w:footnoteRef/>
      </w:r>
      <w:r w:rsidRPr="00BD5E91">
        <w:rPr>
          <w:rFonts w:cs="Arial"/>
          <w:sz w:val="22"/>
          <w:szCs w:val="22"/>
          <w:rtl/>
        </w:rPr>
        <w:t xml:space="preserve"> </w:t>
      </w:r>
      <w:r w:rsidRPr="00BD5E91">
        <w:rPr>
          <w:rFonts w:cs="Arial"/>
          <w:b/>
          <w:bCs/>
          <w:sz w:val="22"/>
          <w:szCs w:val="22"/>
          <w:rtl/>
        </w:rPr>
        <w:t>דאעקרו כו'.</w:t>
      </w:r>
      <w:r w:rsidRPr="00BD5E91">
        <w:rPr>
          <w:rFonts w:cs="Arial"/>
          <w:sz w:val="22"/>
          <w:szCs w:val="22"/>
          <w:rtl/>
        </w:rPr>
        <w:t xml:space="preserve"> הוא פירוש על שתול דהוה בכמה גלגולין ושם הי' ביבשה ונהר יחרב ויבש לכך עכשיו לא זכה אלא לבור מים והוא שתול ועכשיו מפ"ו על פלגי מים וז"ש. </w:t>
      </w:r>
      <w:r w:rsidRPr="00BD5E91">
        <w:rPr>
          <w:rFonts w:cs="Arial"/>
          <w:b/>
          <w:bCs/>
          <w:sz w:val="22"/>
          <w:szCs w:val="22"/>
          <w:rtl/>
        </w:rPr>
        <w:t>על פלגי מים דאינון כו'.</w:t>
      </w:r>
      <w:r w:rsidRPr="00BD5E91">
        <w:rPr>
          <w:rFonts w:cs="Arial"/>
          <w:sz w:val="22"/>
          <w:szCs w:val="22"/>
          <w:rtl/>
        </w:rPr>
        <w:t xml:space="preserve"> ר"ל פלגי ל' מחולקים לשלש שנותיו שליש כו':</w:t>
      </w:r>
    </w:p>
  </w:footnote>
  <w:footnote w:id="728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ואתקריאו פלגי כו'.</w:t>
      </w:r>
      <w:r w:rsidRPr="00BD5E91">
        <w:rPr>
          <w:sz w:val="22"/>
          <w:szCs w:val="22"/>
          <w:rtl/>
        </w:rPr>
        <w:t xml:space="preserve"> ר"ל למה נקרא דוקא בלשון הזה פלגי ואמר על שם כו':</w:t>
      </w:r>
    </w:p>
  </w:footnote>
  <w:footnote w:id="729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פלוגתא דאילנא דחיי.</w:t>
      </w:r>
      <w:r w:rsidRPr="00BD5E91">
        <w:rPr>
          <w:sz w:val="22"/>
          <w:szCs w:val="22"/>
          <w:rtl/>
        </w:rPr>
        <w:t xml:space="preserve"> ר"ל דמ"מ חולקין בהלכה כמש"ל:</w:t>
      </w:r>
    </w:p>
  </w:footnote>
  <w:footnote w:id="729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מים עליונים כו'.</w:t>
      </w:r>
      <w:r w:rsidRPr="00BD5E91">
        <w:rPr>
          <w:sz w:val="22"/>
          <w:szCs w:val="22"/>
          <w:rtl/>
        </w:rPr>
        <w:t xml:space="preserve"> הן נ' תרעין דה' עילאה דמתפשטין בדכורא מחסד עד הוד כידוע:</w:t>
      </w:r>
    </w:p>
  </w:footnote>
  <w:footnote w:id="729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מים תחתונים.</w:t>
      </w:r>
      <w:r w:rsidRPr="00BD5E91">
        <w:rPr>
          <w:sz w:val="22"/>
          <w:szCs w:val="22"/>
          <w:rtl/>
        </w:rPr>
        <w:t xml:space="preserve"> במלכות והרקיע באמצע יסוד כמ"ש בתי"ט:</w:t>
      </w:r>
    </w:p>
  </w:footnote>
  <w:footnote w:id="729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שוי קב"ה הבדלה.</w:t>
      </w:r>
      <w:r w:rsidRPr="00BD5E91">
        <w:rPr>
          <w:sz w:val="22"/>
          <w:szCs w:val="22"/>
          <w:rtl/>
        </w:rPr>
        <w:t xml:space="preserve"> כמ"ש (בראשית א ז) ויבדל בין המים כו' וכ"ה למטה ברקיע הזה:</w:t>
      </w:r>
    </w:p>
  </w:footnote>
  <w:footnote w:id="729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לשם שמים.</w:t>
      </w:r>
      <w:r w:rsidRPr="00BD5E91">
        <w:rPr>
          <w:sz w:val="22"/>
          <w:szCs w:val="22"/>
          <w:rtl/>
        </w:rPr>
        <w:t xml:space="preserve"> שם מים נוקבין שמים דכורין:</w:t>
      </w:r>
    </w:p>
  </w:footnote>
  <w:footnote w:id="729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כי אחד קראתיו.</w:t>
      </w:r>
      <w:r w:rsidRPr="00BD5E91">
        <w:rPr>
          <w:sz w:val="22"/>
          <w:szCs w:val="22"/>
          <w:rtl/>
        </w:rPr>
        <w:t xml:space="preserve"> סיפא דקרא ואברכהו וארבהו שהוא בדכורא ונוקבא כמ"ש זכר ונקבה בראם ויברך אותם כו' והענין כי ההבדל ביניהם הוא יסוד ובחיבורא יסוד נכלל בנוקבא נעשין שניהן אחד וז"ש (שבת קח ע"א) איזה שניכר בין זכר לנקבה כו':</w:t>
      </w:r>
    </w:p>
  </w:footnote>
  <w:footnote w:id="729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י' לעילא מים כו'.</w:t>
      </w:r>
      <w:r w:rsidRPr="00BD5E91">
        <w:rPr>
          <w:sz w:val="22"/>
          <w:szCs w:val="22"/>
          <w:rtl/>
        </w:rPr>
        <w:t xml:space="preserve"> דיוד הוא חכמה מים וז"ש כגון י"י מן כו' דבנוק' הוי"ה בהיפוך י' חכמה למטה והוא מים תתאין:</w:t>
      </w:r>
    </w:p>
  </w:footnote>
  <w:footnote w:id="729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כמראה אדם כו'.</w:t>
      </w:r>
      <w:r w:rsidRPr="00BD5E91">
        <w:rPr>
          <w:sz w:val="22"/>
          <w:szCs w:val="22"/>
          <w:rtl/>
        </w:rPr>
        <w:t xml:space="preserve"> שעם יו"ד שעל הרקיע נעשה א' מן אדם:</w:t>
      </w:r>
    </w:p>
  </w:footnote>
  <w:footnote w:id="729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ודא א' מן אדם.</w:t>
      </w:r>
      <w:r w:rsidRPr="00BD5E91">
        <w:rPr>
          <w:sz w:val="22"/>
          <w:szCs w:val="22"/>
          <w:rtl/>
        </w:rPr>
        <w:t xml:space="preserve"> שאדם כולל זו"נ כמ"ש זכר ונקבה בראם ויקרא את שמם אדם והאי מחלוקת דאילנא דחיי הוא יחוד כמש"ו:</w:t>
      </w:r>
    </w:p>
  </w:footnote>
  <w:footnote w:id="729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דאית פלוגתא כו'.</w:t>
      </w:r>
      <w:r w:rsidRPr="00BD5E91">
        <w:rPr>
          <w:sz w:val="22"/>
          <w:szCs w:val="22"/>
          <w:rtl/>
        </w:rPr>
        <w:t xml:space="preserve"> כמ"ש לעיל ואילנא דע"ה טו"ר צריך למיעבד פירוד כו' והוא החילוק בין טוב לרע בתורה שבע"פ:</w:t>
      </w:r>
    </w:p>
  </w:footnote>
  <w:footnote w:id="730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ואית פלוגתא למיפלג כו'.</w:t>
      </w:r>
      <w:r w:rsidRPr="00BD5E91">
        <w:rPr>
          <w:sz w:val="22"/>
          <w:szCs w:val="22"/>
          <w:rtl/>
        </w:rPr>
        <w:t xml:space="preserve"> הוא פלוגתא דאילנא דחיי שהוא מחלוקת ע"פ הסוד לקבוע הלכה כא' מהן כמש"ו:</w:t>
      </w:r>
    </w:p>
  </w:footnote>
  <w:footnote w:id="730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אלא לאחזאה כו' כגון טפה כו'.</w:t>
      </w:r>
      <w:r w:rsidRPr="00BD5E91">
        <w:rPr>
          <w:sz w:val="22"/>
          <w:szCs w:val="22"/>
          <w:rtl/>
        </w:rPr>
        <w:t xml:space="preserve"> כמ"ש (ברכות ס ע"א) איש מזריע תחלה יולדת נקבה שאח"כ בא טפת נקבה ומתגברת על טפה דדכורא, אשה מזרעת תחלה יולדת זכר שטפה דכורא מתגברת אח"כ כידוע ושמאי היה מסט' דנוקבא לכך היה קפדן מסט' דדינא והלל מסט' דדכורא לכך היה ענוותן לכך זכה לקבוע הלכה כמותו ולכך בכ"מ ב"ה לקולא מסט' דדכורא שדכורא נוטה לימין ונוק' לשמאל חוץ מאותן שנשנו בעדיות שעדיות מסט' דנוקבא שהוא כלל של כל הש"ס וכל המחלוקות וז"ש עדיות כמ"ש (יהושע כד כז) והאבן הזאת תהיה לעדה כו' כי היא מעיד על מעשה האדם כידוע מה אעידך כמ"ש לעיל דף ע"ב ע"ג וז"ש (ערובין יג ע"ב) אלו ואלו דברי אלקים חיים שפלוגתא שלהן מסט' דאילנא דחיי כמ"ש למטה והוא דברי אלקים חיים כמ"ש לעיל ואית אלקים חיים כו' והלכה כב"ה (ערובין יג ע"ב) מפני מה זכו ב"ה לקבוע כמותן מפני שנוחין ועלובין היו כנ"ל מסט' דדכורא ולא עוד אלא שמקדימין דברי ב"ש לדבריהן כנ"ל אשה מזרעת תחלה יולדת זכר ובדכורא הלכה כמותן כנ"ל:</w:t>
      </w:r>
    </w:p>
  </w:footnote>
  <w:footnote w:id="730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והכי איהו רזא והיה כו'.</w:t>
      </w:r>
      <w:r w:rsidRPr="00BD5E91">
        <w:rPr>
          <w:sz w:val="22"/>
          <w:szCs w:val="22"/>
          <w:rtl/>
        </w:rPr>
        <w:t xml:space="preserve"> ר"ל אע"ג דעץ שתול הוא בתורה שבע"פ בע"ה כנ"ל מ"מ עיקרן נתייסד על רזין וזהו על פלגי מים, מים חיים באילנא דחיי ופלגי כנ"ל ע"ש פלוגתא דאילנא דחיי:</w:t>
      </w:r>
    </w:p>
  </w:footnote>
  <w:footnote w:id="730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פלגי מים לב מלך.</w:t>
      </w:r>
      <w:r w:rsidRPr="00BD5E91">
        <w:rPr>
          <w:sz w:val="22"/>
          <w:szCs w:val="22"/>
          <w:rtl/>
        </w:rPr>
        <w:t xml:space="preserve"> ר"ל פלגי מים פלוגתא דמ"מ לב מלך הוא ההלכה מלכות אל כל אשר יחפוץ יטנו כנ"ל הלכה כב"ה והוא כפי הנטיה של השכינה וזהו ביד ה' שהיא השכינה, על כו':</w:t>
      </w:r>
    </w:p>
  </w:footnote>
  <w:footnote w:id="730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ואית פלוגתא כו'.</w:t>
      </w:r>
      <w:r w:rsidRPr="00BD5E91">
        <w:rPr>
          <w:sz w:val="22"/>
          <w:szCs w:val="22"/>
          <w:rtl/>
        </w:rPr>
        <w:t xml:space="preserve"> עכשיו מפ' ועלהו לא יבול כגון כו' דלעיל:</w:t>
      </w:r>
    </w:p>
  </w:footnote>
  <w:footnote w:id="730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אלין דחולקין כו'.</w:t>
      </w:r>
      <w:r w:rsidRPr="00BD5E91">
        <w:rPr>
          <w:sz w:val="22"/>
          <w:szCs w:val="22"/>
          <w:rtl/>
        </w:rPr>
        <w:t xml:space="preserve"> שאין מחולקין על ההלכה רק על טעם ההלכה והן הויות דאביי ורבא שהן לבושין להלכה:</w:t>
      </w:r>
    </w:p>
  </w:footnote>
  <w:footnote w:id="730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דחולקין כו' ועבדין לון כו'.</w:t>
      </w:r>
      <w:r w:rsidRPr="00BD5E91">
        <w:rPr>
          <w:sz w:val="22"/>
          <w:szCs w:val="22"/>
          <w:rtl/>
        </w:rPr>
        <w:t xml:space="preserve"> כמו החייט שלוקח חתיכ' בגד ומחתך לכמה חתיכות וכאן מחסר וכאן מוסיף וכן חסורי מחסרא וכל הסוגיות:</w:t>
      </w:r>
    </w:p>
  </w:footnote>
  <w:footnote w:id="730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ולא אי</w:t>
      </w:r>
      <w:r>
        <w:rPr>
          <w:rFonts w:hint="cs"/>
          <w:b/>
          <w:bCs/>
          <w:sz w:val="22"/>
          <w:szCs w:val="22"/>
          <w:rtl/>
        </w:rPr>
        <w:t>נ</w:t>
      </w:r>
      <w:r w:rsidRPr="00BD5E91">
        <w:rPr>
          <w:b/>
          <w:bCs/>
          <w:sz w:val="22"/>
          <w:szCs w:val="22"/>
          <w:rtl/>
        </w:rPr>
        <w:t>ון כו'.</w:t>
      </w:r>
      <w:r w:rsidRPr="00BD5E91">
        <w:rPr>
          <w:sz w:val="22"/>
          <w:szCs w:val="22"/>
          <w:rtl/>
        </w:rPr>
        <w:t xml:space="preserve"> מע"ה טו"ר וז"ש אשר פריו כו' מעה"ח אז ועלהו כו':</w:t>
      </w:r>
    </w:p>
  </w:footnote>
  <w:footnote w:id="730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דהני כו' דבלו דמתחככי כו'.</w:t>
      </w:r>
      <w:r w:rsidRPr="00BD5E91">
        <w:rPr>
          <w:sz w:val="22"/>
          <w:szCs w:val="22"/>
          <w:rtl/>
        </w:rPr>
        <w:t xml:space="preserve"> סט' דרע משא"כ בע"ח שלא יבול הלבוש כנ"ל:</w:t>
      </w:r>
    </w:p>
  </w:footnote>
  <w:footnote w:id="730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ועוד אורייתא כו'.</w:t>
      </w:r>
      <w:r w:rsidRPr="00BD5E91">
        <w:rPr>
          <w:sz w:val="22"/>
          <w:szCs w:val="22"/>
          <w:rtl/>
        </w:rPr>
        <w:t xml:space="preserve"> חוזר למעלה שאמר שאורייתא נקרא מים:</w:t>
      </w:r>
    </w:p>
  </w:footnote>
  <w:footnote w:id="731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ואיהי חמה כו'.</w:t>
      </w:r>
      <w:r w:rsidRPr="00BD5E91">
        <w:rPr>
          <w:sz w:val="22"/>
          <w:szCs w:val="22"/>
          <w:rtl/>
        </w:rPr>
        <w:t xml:space="preserve"> בלא וא"ו שלא קבלו אורייתא שהוא ו' כידוע והוא חמה שמונין או"ה לו:</w:t>
      </w:r>
    </w:p>
  </w:footnote>
  <w:footnote w:id="731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דאתעביד לון כו'.</w:t>
      </w:r>
      <w:r w:rsidRPr="00BD5E91">
        <w:rPr>
          <w:sz w:val="22"/>
          <w:szCs w:val="22"/>
          <w:rtl/>
        </w:rPr>
        <w:t xml:space="preserve"> המים כמ"ש וברוח אפיך נערמו מים כו':</w:t>
      </w:r>
    </w:p>
  </w:footnote>
  <w:footnote w:id="731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דתמן חכמה.</w:t>
      </w:r>
      <w:r w:rsidRPr="00BD5E91">
        <w:rPr>
          <w:sz w:val="22"/>
          <w:szCs w:val="22"/>
          <w:rtl/>
        </w:rPr>
        <w:t xml:space="preserve"> שהוא מים:</w:t>
      </w:r>
    </w:p>
  </w:footnote>
  <w:footnote w:id="731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ומסט' דגבורה כו'.</w:t>
      </w:r>
      <w:r w:rsidRPr="00BD5E91">
        <w:rPr>
          <w:sz w:val="22"/>
          <w:szCs w:val="22"/>
          <w:rtl/>
        </w:rPr>
        <w:t xml:space="preserve"> ר"ל וז"ש חומה מימינם ומשמאלם ולא קאי משמאלם אלא אחומה:</w:t>
      </w:r>
    </w:p>
  </w:footnote>
  <w:footnote w:id="731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ומסט' דעד"א כו'.</w:t>
      </w:r>
      <w:r w:rsidRPr="00BD5E91">
        <w:rPr>
          <w:sz w:val="22"/>
          <w:szCs w:val="22"/>
          <w:rtl/>
        </w:rPr>
        <w:t xml:space="preserve"> שהן מים אש רוח כידוע:</w:t>
      </w:r>
    </w:p>
  </w:footnote>
  <w:footnote w:id="731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גדול מסט' כו'.</w:t>
      </w:r>
      <w:r w:rsidRPr="00BD5E91">
        <w:rPr>
          <w:sz w:val="22"/>
          <w:szCs w:val="22"/>
          <w:rtl/>
        </w:rPr>
        <w:t xml:space="preserve"> שעד"א כולל שניהן:</w:t>
      </w:r>
    </w:p>
  </w:footnote>
  <w:footnote w:id="731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מסט' דגבורה ביד כו'.</w:t>
      </w:r>
      <w:r w:rsidRPr="00BD5E91">
        <w:rPr>
          <w:sz w:val="22"/>
          <w:szCs w:val="22"/>
          <w:rtl/>
        </w:rPr>
        <w:t xml:space="preserve"> ר"ל עד"א מסט' דגבורה נק' כו' שהוא יד רמה שבו יצאו ממצרים כידוע:</w:t>
      </w:r>
    </w:p>
  </w:footnote>
  <w:footnote w:id="731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גדולה וירא כו'.</w:t>
      </w:r>
      <w:r w:rsidRPr="00BD5E91">
        <w:rPr>
          <w:sz w:val="22"/>
          <w:szCs w:val="22"/>
          <w:rtl/>
        </w:rPr>
        <w:t xml:space="preserve"> דשם נידונו בחמת מים כנ"ל:</w:t>
      </w:r>
    </w:p>
  </w:footnote>
  <w:footnote w:id="731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מתרווייהו מפרק כו'.</w:t>
      </w:r>
      <w:r w:rsidRPr="00BD5E91">
        <w:rPr>
          <w:sz w:val="22"/>
          <w:szCs w:val="22"/>
          <w:rtl/>
        </w:rPr>
        <w:t xml:space="preserve"> דדכורא הוא ימינא ונוקבא שמאלא כידוע ולכן מתרווייהו מפרק כו' שהן דכורא ונוק' דס"א כמ"ש לעיל דף ע"ה ע"ב נחש אשת זנונים דמקננא בשבע סלעים ובעלה בשבע טורין קום כו' לתברא טורין וסלעין כו' וכן כאן עד"א מפרק הרים כו':</w:t>
      </w:r>
    </w:p>
  </w:footnote>
  <w:footnote w:id="731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ואתקריאת רעש.</w:t>
      </w:r>
      <w:r w:rsidRPr="00BD5E91">
        <w:rPr>
          <w:sz w:val="22"/>
          <w:szCs w:val="22"/>
          <w:rtl/>
        </w:rPr>
        <w:t xml:space="preserve"> מסט' דמים ימינא כמ"ש (יחזקאל מג ב) וקולו כמים רבים (תהלים כט ג) הרעים ה' על המים כו':</w:t>
      </w:r>
    </w:p>
  </w:footnote>
  <w:footnote w:id="732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הה"ד ואשמע כו'.</w:t>
      </w:r>
      <w:r w:rsidRPr="00BD5E91">
        <w:rPr>
          <w:sz w:val="22"/>
          <w:szCs w:val="22"/>
          <w:rtl/>
        </w:rPr>
        <w:t xml:space="preserve"> ר"ל דכתיב רעש גדול וגדול מסט' דימינא והוא בסט' דקדושה בכי"ם והוא בשכינה ואשמע אחרי וראית את אחורי כידוע:</w:t>
      </w:r>
    </w:p>
  </w:footnote>
  <w:footnote w:id="732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רעש דס"א.</w:t>
      </w:r>
      <w:r w:rsidRPr="00BD5E91">
        <w:rPr>
          <w:sz w:val="22"/>
          <w:szCs w:val="22"/>
          <w:rtl/>
        </w:rPr>
        <w:t xml:space="preserve"> ג"כ ימין דס"א:</w:t>
      </w:r>
    </w:p>
  </w:footnote>
  <w:footnote w:id="732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ואתקריאת אש כו'.</w:t>
      </w:r>
      <w:r w:rsidRPr="00BD5E91">
        <w:rPr>
          <w:sz w:val="22"/>
          <w:szCs w:val="22"/>
          <w:rtl/>
        </w:rPr>
        <w:t xml:space="preserve"> משמאל כנ"ל:</w:t>
      </w:r>
    </w:p>
  </w:footnote>
  <w:footnote w:id="732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כה דברי.</w:t>
      </w:r>
      <w:r w:rsidRPr="00BD5E91">
        <w:rPr>
          <w:sz w:val="22"/>
          <w:szCs w:val="22"/>
          <w:rtl/>
        </w:rPr>
        <w:t xml:space="preserve"> שכינה כידוע:</w:t>
      </w:r>
    </w:p>
  </w:footnote>
  <w:footnote w:id="732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ועתיד ללחוך כו'.</w:t>
      </w:r>
      <w:r w:rsidRPr="00BD5E91">
        <w:rPr>
          <w:sz w:val="22"/>
          <w:szCs w:val="22"/>
          <w:rtl/>
        </w:rPr>
        <w:t xml:space="preserve"> שהיא אש אוכלת אש והן כקש לפניה כמ"ש (ישעיהו ה כד) כאכול קש לשון אש (עובדיה א יח) והיה בית יעקב כו':</w:t>
      </w:r>
    </w:p>
  </w:footnote>
  <w:footnote w:id="732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דאתמר ביה כו'.</w:t>
      </w:r>
      <w:r w:rsidRPr="00BD5E91">
        <w:rPr>
          <w:sz w:val="22"/>
          <w:szCs w:val="22"/>
          <w:rtl/>
        </w:rPr>
        <w:t xml:space="preserve"> ונקראת רוח כנ"ל דג"כ עתיד לאעברא רוח שנא' (מלכים א יט יא) לא ברוח ה' ולפי שאמר למעלה ומסט' דעד"א אתקריאת כו' מפרק כו' שנא' שם אצל אליהו לא חזר כאן והן חג"ת ג' אותיות השם וכנגדן ג' קליפין כידוע והקדים אליהו רוח לפי שהיכל הרצון הוא קודם להיכל אהבה וזכות וכן בספירות:</w:t>
      </w:r>
    </w:p>
  </w:footnote>
  <w:footnote w:id="732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אשתאר מלכא כו'.</w:t>
      </w:r>
      <w:r w:rsidRPr="00BD5E91">
        <w:rPr>
          <w:sz w:val="22"/>
          <w:szCs w:val="22"/>
          <w:rtl/>
        </w:rPr>
        <w:t xml:space="preserve"> כמ"ש שם קול דממה דקה והנה ה' כו':</w:t>
      </w:r>
    </w:p>
  </w:footnote>
  <w:footnote w:id="732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דאיהי שכינתא.</w:t>
      </w:r>
      <w:r w:rsidRPr="00BD5E91">
        <w:rPr>
          <w:sz w:val="22"/>
          <w:szCs w:val="22"/>
          <w:rtl/>
        </w:rPr>
        <w:t xml:space="preserve"> דמתלבשא בג' קליפין. וכן ביחזקאל שכנגד ג' אותיות הנ"ל:</w:t>
      </w:r>
    </w:p>
  </w:footnote>
  <w:footnote w:id="732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צלותא בחשאי.</w:t>
      </w:r>
      <w:r w:rsidRPr="00BD5E91">
        <w:rPr>
          <w:sz w:val="22"/>
          <w:szCs w:val="22"/>
          <w:rtl/>
        </w:rPr>
        <w:t xml:space="preserve"> דצלותא מלכות אדני שפתי כו' והיא קול דממה בחשאי וז"ש דבה אדני כו'. ראיה שצלותא היא מלכות:</w:t>
      </w:r>
    </w:p>
  </w:footnote>
  <w:footnote w:id="7329">
    <w:p w:rsidR="00007309" w:rsidRPr="00BD5E91" w:rsidRDefault="00007309" w:rsidP="00007309">
      <w:pPr>
        <w:jc w:val="both"/>
        <w:rPr>
          <w:rFonts w:cs="Arial"/>
          <w:sz w:val="22"/>
          <w:szCs w:val="22"/>
          <w:rtl/>
        </w:rPr>
      </w:pPr>
      <w:r w:rsidRPr="00BD5E91">
        <w:rPr>
          <w:rStyle w:val="a7"/>
          <w:rFonts w:cs="Arial"/>
          <w:sz w:val="22"/>
          <w:szCs w:val="22"/>
          <w:rtl/>
        </w:rPr>
        <w:footnoteRef/>
      </w:r>
      <w:r w:rsidRPr="00BD5E91">
        <w:rPr>
          <w:rFonts w:cs="Arial"/>
          <w:sz w:val="22"/>
          <w:szCs w:val="22"/>
          <w:rtl/>
        </w:rPr>
        <w:t xml:space="preserve"> </w:t>
      </w:r>
      <w:r w:rsidRPr="00BD5E91">
        <w:rPr>
          <w:rFonts w:cs="Arial"/>
          <w:b/>
          <w:bCs/>
          <w:sz w:val="22"/>
          <w:szCs w:val="22"/>
          <w:rtl/>
        </w:rPr>
        <w:t>דבארבעה איהי רביעאה.</w:t>
      </w:r>
      <w:r w:rsidRPr="00BD5E91">
        <w:rPr>
          <w:rFonts w:cs="Arial"/>
          <w:sz w:val="22"/>
          <w:szCs w:val="22"/>
          <w:rtl/>
        </w:rPr>
        <w:t xml:space="preserve"> ר"ל בד' אותיות השם היא רביעית ד' מן דממה דקה:</w:t>
      </w:r>
    </w:p>
  </w:footnote>
  <w:footnote w:id="733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דקה דאיהי שכינתא.</w:t>
      </w:r>
      <w:r w:rsidRPr="00BD5E91">
        <w:rPr>
          <w:sz w:val="22"/>
          <w:szCs w:val="22"/>
          <w:rtl/>
        </w:rPr>
        <w:t xml:space="preserve"> אחות לנו קטנה והן ד' אותיות השם הו"ה מתלבש בג' קליפין י' היא דקה אות קטן נקודה פנימית שבה כידוע:</w:t>
      </w:r>
    </w:p>
  </w:footnote>
  <w:footnote w:id="733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תלת קליפין כו'.</w:t>
      </w:r>
      <w:r w:rsidRPr="00BD5E91">
        <w:rPr>
          <w:sz w:val="22"/>
          <w:szCs w:val="22"/>
          <w:rtl/>
        </w:rPr>
        <w:t xml:space="preserve"> וכן במילה ג' ערלים ערלה ופריעה ואטיפו דדמא ורביעי ברית קדש י' עטרת הברית שכינה כמ"ש בהת"ז קליפה דערלה דכסי על י' אית לה תלת קליפי כו' ואינון קליפי דאגוזא דאתמר עלייהו והארץ היתה כו' שלש שנים יהיה כו' ובהון מסט' דערלה ארבעה נכנסו לפרדס כו' ע"ש:</w:t>
      </w:r>
    </w:p>
  </w:footnote>
  <w:footnote w:id="733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בתוך הגן.</w:t>
      </w:r>
      <w:r w:rsidRPr="00BD5E91">
        <w:rPr>
          <w:sz w:val="22"/>
          <w:szCs w:val="22"/>
          <w:rtl/>
        </w:rPr>
        <w:t xml:space="preserve"> ג"ן סדרים דאורייתא כמש"ל ובג"ד אורייתא כו':</w:t>
      </w:r>
    </w:p>
  </w:footnote>
  <w:footnote w:id="733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דאיהי פ' כו'.</w:t>
      </w:r>
      <w:r w:rsidRPr="00BD5E91">
        <w:rPr>
          <w:sz w:val="22"/>
          <w:szCs w:val="22"/>
          <w:rtl/>
        </w:rPr>
        <w:t xml:space="preserve"> שהן מסט' דע"ה טו"ר כמ"ש לעיל בעמוד הקודם ולכן נכשלו ברע והן במט"ט והוא הפרדס בחיצוניות שבו ששם הרע:</w:t>
      </w:r>
    </w:p>
  </w:footnote>
  <w:footnote w:id="733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סוד ר"ע עאל בשלם כו'.</w:t>
      </w:r>
      <w:r w:rsidRPr="00BD5E91">
        <w:rPr>
          <w:sz w:val="22"/>
          <w:szCs w:val="22"/>
          <w:rtl/>
        </w:rPr>
        <w:t xml:space="preserve"> שסוד הוא אילנא דחיי והוא המוחא שבפנים כמ"ש בה"ת שם כמש"ל ט"ט שבו ח"י עלמין וזהו עאל בשלם שהוא ח"י עלמין שלום:</w:t>
      </w:r>
    </w:p>
  </w:footnote>
  <w:footnote w:id="733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כגון יין חתם וסתום.</w:t>
      </w:r>
      <w:r w:rsidRPr="00BD5E91">
        <w:rPr>
          <w:sz w:val="22"/>
          <w:szCs w:val="22"/>
          <w:rtl/>
        </w:rPr>
        <w:t xml:space="preserve"> ר"ל חותם בתוך חותם בתחלה סתום ואח"כ בחותם חתום כידוע בגמ' (ע"ז כט ע"ב) וכן כאן גן נעול ואח"כ מעין חתום:</w:t>
      </w:r>
    </w:p>
  </w:footnote>
  <w:footnote w:id="733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הה"ד לא כו'.</w:t>
      </w:r>
      <w:r w:rsidRPr="00BD5E91">
        <w:rPr>
          <w:sz w:val="22"/>
          <w:szCs w:val="22"/>
          <w:rtl/>
        </w:rPr>
        <w:t xml:space="preserve"> רישא דקרא מגיד דבריו כו':</w:t>
      </w:r>
    </w:p>
  </w:footnote>
  <w:footnote w:id="733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דלא ינסך כו'.</w:t>
      </w:r>
      <w:r w:rsidRPr="00BD5E91">
        <w:rPr>
          <w:sz w:val="22"/>
          <w:szCs w:val="22"/>
          <w:rtl/>
        </w:rPr>
        <w:t xml:space="preserve"> שלא יהפך דברי אלקים חיים למינות:</w:t>
      </w:r>
    </w:p>
  </w:footnote>
  <w:footnote w:id="733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ואי תימא כו'.</w:t>
      </w:r>
      <w:r w:rsidRPr="00BD5E91">
        <w:rPr>
          <w:sz w:val="22"/>
          <w:szCs w:val="22"/>
          <w:rtl/>
        </w:rPr>
        <w:t xml:space="preserve"> לחזק הענין שלמעלה:</w:t>
      </w:r>
    </w:p>
  </w:footnote>
  <w:footnote w:id="733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דמיונו כאריה.</w:t>
      </w:r>
      <w:r w:rsidRPr="00BD5E91">
        <w:rPr>
          <w:sz w:val="22"/>
          <w:szCs w:val="22"/>
          <w:rtl/>
        </w:rPr>
        <w:t xml:space="preserve"> דיצר הרע דע"ז מימינא כמ"ש למטה ופני אריה אל הימין הם:</w:t>
      </w:r>
    </w:p>
  </w:footnote>
  <w:footnote w:id="734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ולית עני כו'.</w:t>
      </w:r>
      <w:r w:rsidRPr="00BD5E91">
        <w:rPr>
          <w:sz w:val="22"/>
          <w:szCs w:val="22"/>
          <w:rtl/>
        </w:rPr>
        <w:t xml:space="preserve"> וז"ש וסרתם מד"ת ועבדתם כו':</w:t>
      </w:r>
    </w:p>
  </w:footnote>
  <w:footnote w:id="734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ובגין דלא יתפשטו בעריות כו'.</w:t>
      </w:r>
      <w:r w:rsidRPr="00BD5E91">
        <w:rPr>
          <w:sz w:val="22"/>
          <w:szCs w:val="22"/>
          <w:rtl/>
        </w:rPr>
        <w:t xml:space="preserve"> והענין כי חטא אדה"ר היה בג' עברות ע"ג וג"ע וש"ד ונגדן נתגלגל בג' אבות באברהם נצרף באש בשביל ע"ג ושם נצרף הרע של ע"ג ופסילי אלהיהם תשרפון באש כמ"ש למטה וביצחק בג"ע וכנגד הרע ותכהין עיניו מראות ובשניהן נפק הפסולת כמ"ש בר"מ אתלבן כספא אברהם בנורא ונפק ישמעאל עופרת לבר וכן ביצחק ויעקב נחת בגלותא ללבן ושם ארמי אובד אבי כו' ואבות סימן לבנים זרע יעקב בגלות ושלא לטעות בע"ג קטילו ליה ואוקידו ליה בנורא כנ"ל וכנגד ג"ע סמו עיניו כי העינים הם סרסורי דזנות כמ"ש (ברכות יב ע"ב) אחרי עיניכם זה הרהור עבירה שנא' כי היא ישרה בעיני (נזיר כג ע"א) וישא עיניו וירא כו' ואמרו שכל הפסוק על שם עבירה נאמר והוא כנגד ותכהין כו' כנ"ל:</w:t>
      </w:r>
    </w:p>
  </w:footnote>
  <w:footnote w:id="734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עד ארבע כו'.</w:t>
      </w:r>
      <w:r w:rsidRPr="00BD5E91">
        <w:rPr>
          <w:sz w:val="22"/>
          <w:szCs w:val="22"/>
          <w:rtl/>
        </w:rPr>
        <w:t xml:space="preserve"> ד' מאות איש דעשו כידוע והן גי' קש בית עשו לקש ולכן אוקידו ליה בנורא כאכול קש לשון אש:</w:t>
      </w:r>
    </w:p>
  </w:footnote>
  <w:footnote w:id="734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במאנא דעופרת.</w:t>
      </w:r>
      <w:r w:rsidRPr="00BD5E91">
        <w:rPr>
          <w:sz w:val="22"/>
          <w:szCs w:val="22"/>
          <w:rtl/>
        </w:rPr>
        <w:t xml:space="preserve"> כנ"ל דמאברהם נפק עופרת לבר והוא ע"ג כנ"ל ולכן נאמר בישמעאל מצחק כידוע ומסט' דימינא קול רעש גדול כנ"ל וכן בס"א ואמר ועתיד לאעברא רעש כו' והוא כאן דלא אשתמע קליה כו' והאבות הן נגד ג' גלגולין הן כל אלה כו' שכנגדן ישלש אדם כו' וז"ש. וכגוונא כו':</w:t>
      </w:r>
    </w:p>
  </w:footnote>
  <w:footnote w:id="734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קבעת עתים כו'.</w:t>
      </w:r>
      <w:r w:rsidRPr="00BD5E91">
        <w:rPr>
          <w:sz w:val="22"/>
          <w:szCs w:val="22"/>
          <w:rtl/>
        </w:rPr>
        <w:t xml:space="preserve"> ר"ל לשלש שנותיו:</w:t>
      </w:r>
    </w:p>
  </w:footnote>
  <w:footnote w:id="734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ובג"ד איתמר כו'.</w:t>
      </w:r>
      <w:r w:rsidRPr="00BD5E91">
        <w:rPr>
          <w:sz w:val="22"/>
          <w:szCs w:val="22"/>
          <w:rtl/>
        </w:rPr>
        <w:t xml:space="preserve"> ר"ל בשביל שצריך לשלש בג' סטרין הנ"ל:</w:t>
      </w:r>
    </w:p>
  </w:footnote>
  <w:footnote w:id="734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בפר לכפרא כו'.</w:t>
      </w:r>
      <w:r w:rsidRPr="00BD5E91">
        <w:rPr>
          <w:sz w:val="22"/>
          <w:szCs w:val="22"/>
          <w:rtl/>
        </w:rPr>
        <w:t xml:space="preserve"> והוא מסט' דאברהם כנ"ל וז"ש ואל הבקר רץ אברהם:</w:t>
      </w:r>
    </w:p>
  </w:footnote>
  <w:footnote w:id="734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ואיל כו' כתנת בד כו' ביעקב.</w:t>
      </w:r>
      <w:r w:rsidRPr="00BD5E91">
        <w:rPr>
          <w:sz w:val="22"/>
          <w:szCs w:val="22"/>
          <w:rtl/>
        </w:rPr>
        <w:t xml:space="preserve"> כידוע ד' בגדי לבן בד' אותיות הוי"ה שהוא בת"ת יעקב והוא כתנת שעשה הקב"ה לאדם הראשון שלבש יעקב את בגדי החמודות כידוע:</w:t>
      </w:r>
    </w:p>
  </w:footnote>
  <w:footnote w:id="734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ועוד תקינו כו'.</w:t>
      </w:r>
      <w:r w:rsidRPr="00BD5E91">
        <w:rPr>
          <w:sz w:val="22"/>
          <w:szCs w:val="22"/>
          <w:rtl/>
        </w:rPr>
        <w:t xml:space="preserve"> חוזר למעלה דאורייתא מימינא ושמאלא:</w:t>
      </w:r>
    </w:p>
  </w:footnote>
  <w:footnote w:id="734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כ"ה כו'.</w:t>
      </w:r>
      <w:r w:rsidRPr="00BD5E91">
        <w:rPr>
          <w:sz w:val="22"/>
          <w:szCs w:val="22"/>
          <w:rtl/>
        </w:rPr>
        <w:t xml:space="preserve"> נ' תרעין דבינה שהוא ה' דבינה כפול ביוד דחכמה ע"ס כידוע ובו ה"ח וה"ג הרי כ"ה מימינא וכ"ה משמאלא:</w:t>
      </w:r>
    </w:p>
  </w:footnote>
  <w:footnote w:id="735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וירא כי אין איש.</w:t>
      </w:r>
      <w:r w:rsidRPr="00BD5E91">
        <w:rPr>
          <w:sz w:val="22"/>
          <w:szCs w:val="22"/>
          <w:rtl/>
        </w:rPr>
        <w:t xml:space="preserve"> בכ"ה וכ"ה דימינא ושמאלא תורה שבכתב ותורה שבע"פ:</w:t>
      </w:r>
    </w:p>
  </w:footnote>
  <w:footnote w:id="735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ערבית ושחרית.</w:t>
      </w:r>
      <w:r w:rsidRPr="00BD5E91">
        <w:rPr>
          <w:sz w:val="22"/>
          <w:szCs w:val="22"/>
          <w:rtl/>
        </w:rPr>
        <w:t xml:space="preserve"> מימינא ושמאלא דכורא ונוקבא וז"ש וכל מאן כו' יומם ולילה דכורא ונוקבא:</w:t>
      </w:r>
    </w:p>
  </w:footnote>
  <w:footnote w:id="735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יזהירו כו'.</w:t>
      </w:r>
      <w:r w:rsidRPr="00BD5E91">
        <w:rPr>
          <w:sz w:val="22"/>
          <w:szCs w:val="22"/>
          <w:rtl/>
        </w:rPr>
        <w:t xml:space="preserve"> ר"ל שהאותיות יזהירו בנקודות שבו:</w:t>
      </w:r>
    </w:p>
  </w:footnote>
  <w:footnote w:id="735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כנשמתא בגופא.</w:t>
      </w:r>
      <w:r w:rsidRPr="00BD5E91">
        <w:rPr>
          <w:sz w:val="22"/>
          <w:szCs w:val="22"/>
          <w:rtl/>
        </w:rPr>
        <w:t xml:space="preserve"> כלל הנשמה נקט אבל בפרטות הוא ברוחא כמש"ו:</w:t>
      </w:r>
    </w:p>
  </w:footnote>
  <w:footnote w:id="735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דאיהי בריבועא.</w:t>
      </w:r>
      <w:r w:rsidRPr="00BD5E91">
        <w:rPr>
          <w:sz w:val="22"/>
          <w:szCs w:val="22"/>
          <w:rtl/>
        </w:rPr>
        <w:t xml:space="preserve"> ר"ל האותיות הן בריבוע וכן נפשא מסט' דאופנים על ארבעת רבעיהם בעשייה:</w:t>
      </w:r>
    </w:p>
  </w:footnote>
  <w:footnote w:id="735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כאדם דיצירה.</w:t>
      </w:r>
      <w:r w:rsidRPr="00BD5E91">
        <w:rPr>
          <w:sz w:val="22"/>
          <w:szCs w:val="22"/>
          <w:rtl/>
        </w:rPr>
        <w:t xml:space="preserve"> החיות כידוע בהן וכף רגליהם ככף רגל עגל ות"י סגלגלין וכן הנקודות בעיגולא וז"ש באינון גלגלין כו':</w:t>
      </w:r>
    </w:p>
  </w:footnote>
  <w:footnote w:id="735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אל אשר כו' ילכו האופנים כו' בגין דרוחא דב"נ.</w:t>
      </w:r>
      <w:r w:rsidRPr="00BD5E91">
        <w:rPr>
          <w:sz w:val="22"/>
          <w:szCs w:val="22"/>
          <w:rtl/>
        </w:rPr>
        <w:t xml:space="preserve"> ר"ל רוח החיה הרי בחיה נק' רוח:</w:t>
      </w:r>
    </w:p>
  </w:footnote>
  <w:footnote w:id="735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דאינון.</w:t>
      </w:r>
      <w:r w:rsidRPr="00BD5E91">
        <w:rPr>
          <w:sz w:val="22"/>
          <w:szCs w:val="22"/>
          <w:rtl/>
        </w:rPr>
        <w:t xml:space="preserve"> ר"ל האופנים:</w:t>
      </w:r>
    </w:p>
  </w:footnote>
  <w:footnote w:id="735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נשמתא אתי כו'.</w:t>
      </w:r>
      <w:r w:rsidRPr="00BD5E91">
        <w:rPr>
          <w:sz w:val="22"/>
          <w:szCs w:val="22"/>
          <w:rtl/>
        </w:rPr>
        <w:t xml:space="preserve"> וכ"ה בנפש בע"ס כ"ב אותיות</w:t>
      </w:r>
      <w:r>
        <w:rPr>
          <w:rFonts w:hint="cs"/>
          <w:sz w:val="22"/>
          <w:szCs w:val="22"/>
          <w:rtl/>
        </w:rPr>
        <w:t>,</w:t>
      </w:r>
      <w:r w:rsidRPr="00BD5E91">
        <w:rPr>
          <w:sz w:val="22"/>
          <w:szCs w:val="22"/>
          <w:rtl/>
        </w:rPr>
        <w:t xml:space="preserve"> וברוח עשר נקודות כמ"ש בס"י ובנשמה עשר אותיות דשם הויה שמא מפרש:</w:t>
      </w:r>
    </w:p>
  </w:footnote>
  <w:footnote w:id="735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ת"ח כל אתין.</w:t>
      </w:r>
      <w:r w:rsidRPr="00BD5E91">
        <w:rPr>
          <w:sz w:val="22"/>
          <w:szCs w:val="22"/>
          <w:rtl/>
        </w:rPr>
        <w:t xml:space="preserve"> ר"ל כל אותות ונסים שבעולם:</w:t>
      </w:r>
    </w:p>
  </w:footnote>
  <w:footnote w:id="736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מסט' דאתוון כו'.</w:t>
      </w:r>
      <w:r w:rsidRPr="00BD5E91">
        <w:rPr>
          <w:sz w:val="22"/>
          <w:szCs w:val="22"/>
          <w:rtl/>
        </w:rPr>
        <w:t xml:space="preserve"> ר"ל שאותיות הוא לשון אותות כמ"ש (ישעיהו מא כג) הגידו האותיות לאחור:</w:t>
      </w:r>
    </w:p>
  </w:footnote>
  <w:footnote w:id="736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דכלילן בשכינתא.</w:t>
      </w:r>
      <w:r w:rsidRPr="00BD5E91">
        <w:rPr>
          <w:sz w:val="22"/>
          <w:szCs w:val="22"/>
          <w:rtl/>
        </w:rPr>
        <w:t xml:space="preserve"> כנ"ל אתוון מסט' דנפשא והוא בשכינה כידוע:</w:t>
      </w:r>
    </w:p>
  </w:footnote>
  <w:footnote w:id="736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צדיק איהו נטיל לשמאלא כו'.</w:t>
      </w:r>
      <w:r w:rsidRPr="00BD5E91">
        <w:rPr>
          <w:sz w:val="22"/>
          <w:szCs w:val="22"/>
          <w:rtl/>
        </w:rPr>
        <w:t xml:space="preserve"> קאי אמ"ש בתי"ז וצדיק נטיל לשמאלא כו' ואמר שבו פורקנא ומתחתיו יצמח מלכות וז"ש. כל אתין אינון כו':</w:t>
      </w:r>
    </w:p>
  </w:footnote>
  <w:footnote w:id="736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קץ חי.</w:t>
      </w:r>
      <w:r w:rsidRPr="00BD5E91">
        <w:rPr>
          <w:sz w:val="22"/>
          <w:szCs w:val="22"/>
          <w:rtl/>
        </w:rPr>
        <w:t xml:space="preserve"> ר"ל אותיות יצחק ור"ל קץ סיומא דגופא חי ח"י עלמין וכ"ה יום השביעי שבת כידוע ובו שבעים שנה ימי האדם מבינה כידוע והוא קץ שבעים שנה וזהו קץ חי לפי שהוא בשמאלא ששם קץ ומדה לכ"ד והוא קץ הימין כידוע ונגדו בס"א קץ הימים קץ כל בשר בשמאלא:</w:t>
      </w:r>
    </w:p>
  </w:footnote>
  <w:footnote w:id="736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בו הוא. </w:t>
      </w:r>
      <w:r w:rsidRPr="00BD5E91">
        <w:rPr>
          <w:sz w:val="22"/>
          <w:szCs w:val="22"/>
          <w:rtl/>
        </w:rPr>
        <w:t>ר"ל הוא הויה שעולם חסד יבנה כמ"ש למטה שבו מתפשט בעלה לגביה וזהו בו הוא ר"ל בעלה:</w:t>
      </w:r>
      <w:r w:rsidRPr="00BD5E91">
        <w:rPr>
          <w:b/>
          <w:bCs/>
          <w:sz w:val="22"/>
          <w:szCs w:val="22"/>
          <w:rtl/>
        </w:rPr>
        <w:t xml:space="preserve"> </w:t>
      </w:r>
    </w:p>
  </w:footnote>
  <w:footnote w:id="736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ומסט' דעד"א כו'.</w:t>
      </w:r>
      <w:r w:rsidRPr="00BD5E91">
        <w:rPr>
          <w:sz w:val="22"/>
          <w:szCs w:val="22"/>
          <w:rtl/>
        </w:rPr>
        <w:t xml:space="preserve"> שאלין ג' לבושין לג"ס חג"ת ג' אותיות של השם כמ"ש למעלה והן ג' קליפין שלש שנים ערלים כמ"ש בהת"ז והארץ היתה תוהו דא קו ירוק כו' שלש שנים כו' כנ"ל:</w:t>
      </w:r>
    </w:p>
  </w:footnote>
  <w:footnote w:id="736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ע"פ תהום.</w:t>
      </w:r>
      <w:r w:rsidRPr="00BD5E91">
        <w:rPr>
          <w:sz w:val="22"/>
          <w:szCs w:val="22"/>
          <w:rtl/>
        </w:rPr>
        <w:t xml:space="preserve"> מלכות אות רביעי:</w:t>
      </w:r>
    </w:p>
  </w:footnote>
  <w:footnote w:id="736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ואלין אינון כו' בגלותא.</w:t>
      </w:r>
      <w:r w:rsidRPr="00BD5E91">
        <w:rPr>
          <w:sz w:val="22"/>
          <w:szCs w:val="22"/>
          <w:rtl/>
        </w:rPr>
        <w:t xml:space="preserve"> דבעלה אסתלק לעילא וכל הקליפין הן סביבה בד' אותיות שבה לכן הג' קליפין הן בהו"ה שבה השם בהיפוך כידוע אות ראשון בה מס' דחסד כנ"ל וכן כולם:</w:t>
      </w:r>
    </w:p>
  </w:footnote>
  <w:footnote w:id="736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קודם דברא עלמא.</w:t>
      </w:r>
      <w:r w:rsidRPr="00BD5E91">
        <w:rPr>
          <w:sz w:val="22"/>
          <w:szCs w:val="22"/>
          <w:rtl/>
        </w:rPr>
        <w:t xml:space="preserve"> בעולם התהו וכן בגלות הזה כמ"ש למטה:</w:t>
      </w:r>
    </w:p>
  </w:footnote>
  <w:footnote w:id="736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הוה סתים יקוק.</w:t>
      </w:r>
      <w:r w:rsidRPr="00BD5E91">
        <w:rPr>
          <w:sz w:val="22"/>
          <w:szCs w:val="22"/>
          <w:rtl/>
        </w:rPr>
        <w:t xml:space="preserve"> ר"ל בבינה דשם י"ה דחו"ב ובה הוה כלול זו"נ ו"ה לכן נקרא בשם יקו"ק ובה הוה סתים כמ"ש למטה לבא איהו סתים כי שאל נא לימים ראשונים:</w:t>
      </w:r>
    </w:p>
  </w:footnote>
  <w:footnote w:id="737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ואתמר בה והארץ כו'.</w:t>
      </w:r>
      <w:r w:rsidRPr="00BD5E91">
        <w:rPr>
          <w:sz w:val="22"/>
          <w:szCs w:val="22"/>
          <w:rtl/>
        </w:rPr>
        <w:t xml:space="preserve"> עד דאתא בעלה כמש"ו וז"ש ויאמר אלקים יהי אור עד"א כמ"ש לעיל דף ע"ד ע"א בבעלה דאיהי רז אור כו':</w:t>
      </w:r>
    </w:p>
  </w:footnote>
  <w:footnote w:id="737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בה' בראם.</w:t>
      </w:r>
      <w:r w:rsidRPr="00BD5E91">
        <w:rPr>
          <w:sz w:val="22"/>
          <w:szCs w:val="22"/>
          <w:rtl/>
        </w:rPr>
        <w:t xml:space="preserve"> ר"ל בה' לבדו ולכן נאמר בכל מעשה בראשית אלקים ור"ת ת"ולדות ה"שמים ו"הארץ תהו וז"ש הרי לך כו'. והענין לפי שהוא בשמאלא ולפיכך ליבושה תהו כנ"ל עד דאתא בעלה שהוא ימינא בו הוא כנ"ל וזה שכתוב אח"כ הכל ה' אלקים כמ"ש בתחלה עלה במחשבה ליברא במדה"ד ראה שאין העולם מתקיים שהוא תהו שיתף מדה"ר בעלה לגבה והענין של עלה במחשבה ואין העולם מתקיים הוא בונה עולמות ומחריבן כמש"ו. וכ"ז קודם דנחית נביעו אבל אח"כ אתפשטא מכל הלבושין שהן לבושי גלותא:</w:t>
      </w:r>
    </w:p>
  </w:footnote>
  <w:footnote w:id="737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לא הוה נחית כו'.</w:t>
      </w:r>
      <w:r w:rsidRPr="00BD5E91">
        <w:rPr>
          <w:sz w:val="22"/>
          <w:szCs w:val="22"/>
          <w:rtl/>
        </w:rPr>
        <w:t xml:space="preserve"> מן בינה שהיא ה' אלקים כידוע:</w:t>
      </w:r>
    </w:p>
  </w:footnote>
  <w:footnote w:id="737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דהוה בעלה כו' באין.</w:t>
      </w:r>
      <w:r w:rsidRPr="00BD5E91">
        <w:rPr>
          <w:sz w:val="22"/>
          <w:szCs w:val="22"/>
          <w:rtl/>
        </w:rPr>
        <w:t xml:space="preserve"> ר"ל וז"ש ואדם שהוא בעלה כידוע אין שם סתים בג"ר וכן בגלות דאסתלק לעילא כידוע אתלבש בקליפין כנ"ל ולכן צריך לאור רז שבו ייתי פורקנא דבעלה הוא רז כנ"ל כמש"ל:</w:t>
      </w:r>
    </w:p>
  </w:footnote>
  <w:footnote w:id="737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דאיהו בינה.</w:t>
      </w:r>
      <w:r w:rsidRPr="00BD5E91">
        <w:rPr>
          <w:sz w:val="22"/>
          <w:szCs w:val="22"/>
          <w:rtl/>
        </w:rPr>
        <w:t xml:space="preserve"> בינה אותיות בן י"ה בן הוא ו' דכליל בגווה כנ"ל:</w:t>
      </w:r>
    </w:p>
  </w:footnote>
  <w:footnote w:id="737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ם' דאיהו כו'.</w:t>
      </w:r>
      <w:r w:rsidRPr="00BD5E91">
        <w:rPr>
          <w:sz w:val="22"/>
          <w:szCs w:val="22"/>
          <w:rtl/>
        </w:rPr>
        <w:t xml:space="preserve"> ר"ל כמ"ש בתיקונים ת"ה בקדמיתא איהי מ"ם סתימא דהיא בית בחכמה יבנה בית בינה כמ"ש בתי"ח וכד ו' סתים לב' ונעשית מ"ם סתימא וזהו מ"ם שנק' בינה ואח"כ כד אתפשט ו' ממנה אתפתחת ונעשית ב' פתיחא כמ"ש שם וכד אתפשט קו כו' והענין כי בינה עצמה לא קיימא לשאלא רק בבחינת המתפשט ממנה ולכן קודם דאתפשט היא סתימא ואח"כ אתפתחת ואמר שם ודא בראשית כו' נקודה בהיכליה. ור"ל חכמה שבה סתום מחשבה סתימא כמ"ש שם והוא מקורא דנביעו כמו בסיהרא כידוע:</w:t>
      </w:r>
    </w:p>
  </w:footnote>
  <w:footnote w:id="737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בונה עולמות ומחריבן.</w:t>
      </w:r>
      <w:r w:rsidRPr="00BD5E91">
        <w:rPr>
          <w:sz w:val="22"/>
          <w:szCs w:val="22"/>
          <w:rtl/>
        </w:rPr>
        <w:t xml:space="preserve"> ז"ש עולם התהו דבההוא זימנא הוי תהו כנ"ל:</w:t>
      </w:r>
    </w:p>
  </w:footnote>
  <w:footnote w:id="737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הוה שירותא מחסד.</w:t>
      </w:r>
      <w:r w:rsidRPr="00BD5E91">
        <w:rPr>
          <w:sz w:val="22"/>
          <w:szCs w:val="22"/>
          <w:rtl/>
        </w:rPr>
        <w:t xml:space="preserve"> ור"ל וזהו בהו מסט' דימינא כנ"ל:</w:t>
      </w:r>
    </w:p>
  </w:footnote>
  <w:footnote w:id="737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חסד יבנה.</w:t>
      </w:r>
      <w:r w:rsidRPr="00BD5E91">
        <w:rPr>
          <w:sz w:val="22"/>
          <w:szCs w:val="22"/>
          <w:rtl/>
        </w:rPr>
        <w:t xml:space="preserve"> שעכשיו בנה עולמות על תיקון משא"כ בראשונות כנ"ל:</w:t>
      </w:r>
    </w:p>
  </w:footnote>
  <w:footnote w:id="737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לא תהו כו' לשבת יצרה.</w:t>
      </w:r>
      <w:r w:rsidRPr="00BD5E91">
        <w:rPr>
          <w:sz w:val="22"/>
          <w:szCs w:val="22"/>
          <w:rtl/>
        </w:rPr>
        <w:t xml:space="preserve"> כמ"ש (ישעיהו מד יג) כתפארת אדם ת"ת לשבת בית שכינה אז לא תהו:</w:t>
      </w:r>
    </w:p>
  </w:footnote>
  <w:footnote w:id="738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יצרה.</w:t>
      </w:r>
      <w:r w:rsidRPr="00BD5E91">
        <w:rPr>
          <w:sz w:val="22"/>
          <w:szCs w:val="22"/>
          <w:rtl/>
        </w:rPr>
        <w:t xml:space="preserve"> כמ"ש (בראשית ב ז) וייצר ה' אלקים את האדם כו':</w:t>
      </w:r>
    </w:p>
  </w:footnote>
  <w:footnote w:id="738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לא טוב כו'.</w:t>
      </w:r>
      <w:r w:rsidRPr="00BD5E91">
        <w:rPr>
          <w:sz w:val="22"/>
          <w:szCs w:val="22"/>
          <w:rtl/>
        </w:rPr>
        <w:t xml:space="preserve"> שלבדו להיות האדם למעלה בבינה הוא לא טוב שטוב הוא חסד עולם חסד יבנה כנ"ל וכ"ז הוא בגלות וימות המשיח שלכן אמרו והארץ היתה תהו כו' ד' מלכיות ורוח אלקים זו רוחו של משיח מרחפת ע"פ המים בזכות תורה אז ויאמר אלקים כו' הגאולה שיבא בעלה לגבה וז"ש. ובזמנא דהוה כו'. במבול כמ"ש ה' במבול ישב לבדו ישב היתה תהו וכן בגלות כמש"ו:</w:t>
      </w:r>
    </w:p>
  </w:footnote>
  <w:footnote w:id="738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קץ דיצחק.</w:t>
      </w:r>
      <w:r w:rsidRPr="00BD5E91">
        <w:rPr>
          <w:sz w:val="22"/>
          <w:szCs w:val="22"/>
          <w:rtl/>
        </w:rPr>
        <w:t xml:space="preserve"> דבתהו הוא שמאלא לבד כנ"ל:</w:t>
      </w:r>
    </w:p>
  </w:footnote>
  <w:footnote w:id="738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ראיתי צדיק.</w:t>
      </w:r>
      <w:r w:rsidRPr="00BD5E91">
        <w:rPr>
          <w:sz w:val="22"/>
          <w:szCs w:val="22"/>
          <w:rtl/>
        </w:rPr>
        <w:t xml:space="preserve"> שהוא קץ חי לשמאלא:</w:t>
      </w:r>
    </w:p>
  </w:footnote>
  <w:footnote w:id="738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 אנת בעי.</w:t>
      </w:r>
      <w:r w:rsidRPr="00BD5E91">
        <w:rPr>
          <w:sz w:val="22"/>
          <w:szCs w:val="22"/>
          <w:rtl/>
        </w:rPr>
        <w:t xml:space="preserve"> אז היה מסתלק בימינא כמ"ש למטה וזהו בונה ומחריבן ג"כ כמש"ל:</w:t>
      </w:r>
    </w:p>
  </w:footnote>
  <w:footnote w:id="738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והכי אחזי כו'.</w:t>
      </w:r>
      <w:r w:rsidRPr="00BD5E91">
        <w:rPr>
          <w:sz w:val="22"/>
          <w:szCs w:val="22"/>
          <w:rtl/>
        </w:rPr>
        <w:t xml:space="preserve"> על משיח הראשון שהוא משיח בן יוסף בכור שורו מסט' דשמאל כידוע:</w:t>
      </w:r>
    </w:p>
  </w:footnote>
  <w:footnote w:id="738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והא בונה כו'.</w:t>
      </w:r>
      <w:r w:rsidRPr="00BD5E91">
        <w:rPr>
          <w:sz w:val="22"/>
          <w:szCs w:val="22"/>
          <w:rtl/>
        </w:rPr>
        <w:t xml:space="preserve"> כמ"ש בחגיגה</w:t>
      </w:r>
      <w:r>
        <w:rPr>
          <w:rFonts w:hint="cs"/>
          <w:sz w:val="22"/>
          <w:szCs w:val="22"/>
          <w:rtl/>
        </w:rPr>
        <w:t xml:space="preserve"> (יג ע"ב בסופו)</w:t>
      </w:r>
      <w:r w:rsidRPr="00BD5E91">
        <w:rPr>
          <w:sz w:val="22"/>
          <w:szCs w:val="22"/>
          <w:rtl/>
        </w:rPr>
        <w:t>:</w:t>
      </w:r>
    </w:p>
  </w:footnote>
  <w:footnote w:id="738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דקב"ה חזא כו' ומנע ברכאן כו'.</w:t>
      </w:r>
      <w:r w:rsidRPr="00BD5E91">
        <w:rPr>
          <w:sz w:val="22"/>
          <w:szCs w:val="22"/>
          <w:rtl/>
        </w:rPr>
        <w:t xml:space="preserve"> כמ"ש (איוב לח טו) וימנע מרשעים אורם והוא כמ"ש (זבחים קטז ע"א) תתקע"ד דורות ששתלן בכל דור ובהן בונה עולמות ומחריבן שכל אדם הוא עולם ועליהם (איוב כב טז) נהר יוצק כו' וכן כ"ו דורות עד מתן תורה שבכולן היה תהו וז"ש (סנהדרין צז ע"א) שני אלפים תהו שני אלפים תורה כו':</w:t>
      </w:r>
    </w:p>
  </w:footnote>
  <w:footnote w:id="738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ודא ממלל כו'.</w:t>
      </w:r>
      <w:r w:rsidRPr="00BD5E91">
        <w:rPr>
          <w:sz w:val="22"/>
          <w:szCs w:val="22"/>
          <w:rtl/>
        </w:rPr>
        <w:t xml:space="preserve"> שרוב מאותן תתקע"ד דורות הוא עכשיו בסוף הימים בעקבות משיחא חוצפא יסגא ואמרו שהן הן עזי פנים שבדור והן הע"ר שאמר בר"מ ועכשיו הוא התהו וז"ש לעיל והכי אחזי ליה כו' עד ורוח אלקים כו':</w:t>
      </w:r>
    </w:p>
  </w:footnote>
  <w:footnote w:id="738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דאלין תולדין כו'.</w:t>
      </w:r>
      <w:r w:rsidRPr="00BD5E91">
        <w:rPr>
          <w:sz w:val="22"/>
          <w:szCs w:val="22"/>
          <w:rtl/>
        </w:rPr>
        <w:t xml:space="preserve"> ר"ל התתקע"ד דורות:</w:t>
      </w:r>
    </w:p>
  </w:footnote>
  <w:footnote w:id="739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דנהר יחרב.</w:t>
      </w:r>
      <w:r w:rsidRPr="00BD5E91">
        <w:rPr>
          <w:sz w:val="22"/>
          <w:szCs w:val="22"/>
          <w:rtl/>
        </w:rPr>
        <w:t xml:space="preserve"> ר"ל זהו ומחריבן והוא חורבן הבית:</w:t>
      </w:r>
    </w:p>
  </w:footnote>
  <w:footnote w:id="739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ולנח אתגליא  כו' עד דאתא משה כו'.</w:t>
      </w:r>
      <w:r w:rsidRPr="00BD5E91">
        <w:rPr>
          <w:sz w:val="22"/>
          <w:szCs w:val="22"/>
          <w:rtl/>
        </w:rPr>
        <w:t xml:space="preserve"> על הע"ר שעליהן נאמר מי אשר חטא לי אמחנו כו' כמ"ש בר"מ:</w:t>
      </w:r>
    </w:p>
  </w:footnote>
  <w:footnote w:id="739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ועתידין הוו כו'.</w:t>
      </w:r>
      <w:r w:rsidRPr="00BD5E91">
        <w:rPr>
          <w:sz w:val="22"/>
          <w:szCs w:val="22"/>
          <w:rtl/>
        </w:rPr>
        <w:t xml:space="preserve"> אלמלא נפקו בסט' דשמאלא כמש"ו בדרגא דנח וז"ש א' מעיר והוא כגוונא דנח ושנים ממשפחה כגוונא דשם ויפת שבהן נאמר ויכסו את ערות כו' אבל בחם שהוא מסט' דע"ר וירא את כו' והוא קלקול  הברית בסוף יומיא באלף הששי דרגא דיסוד כמ"ש לקמן בסוף הספר והוא ערות אביו חטא אדה"ר בע"ה ג' קליפין כנ"ל:</w:t>
      </w:r>
    </w:p>
  </w:footnote>
  <w:footnote w:id="739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ואתחזר עלמא כו'.</w:t>
      </w:r>
      <w:r w:rsidRPr="00BD5E91">
        <w:rPr>
          <w:sz w:val="22"/>
          <w:szCs w:val="22"/>
          <w:rtl/>
        </w:rPr>
        <w:t xml:space="preserve"> ז"ש לעיל ובזמנא דהוה תהו כו':</w:t>
      </w:r>
    </w:p>
  </w:footnote>
  <w:footnote w:id="739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וימין מקרבת.</w:t>
      </w:r>
      <w:r w:rsidRPr="00BD5E91">
        <w:rPr>
          <w:sz w:val="22"/>
          <w:szCs w:val="22"/>
          <w:rtl/>
        </w:rPr>
        <w:t xml:space="preserve"> כמ"ש (ישעיהו נד ז) וברחמים גדולים אקבצ' שיפקון בסט' דימינא אבל בתחלה יתער בשמאלא (שה"ש ב ו) שמאלו תחת לראשי והוא יהיה פקידה כמו שהיה בבית שני בימי כורש ולא יצאו בו ואח"כ יתער ימינא וז"ש לעיל בתחלה עלה במחשבה כו' במדה"ד ראה שאין העולם מתקיים שיתף כו' רמז לגאולה שאז הוא בנין העולם אבל קודם הגאולה בונה ומחריבן כנ"ל:</w:t>
      </w:r>
    </w:p>
  </w:footnote>
  <w:footnote w:id="739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דאיהו עד"א כו'.</w:t>
      </w:r>
      <w:r w:rsidRPr="00BD5E91">
        <w:rPr>
          <w:sz w:val="22"/>
          <w:szCs w:val="22"/>
          <w:rtl/>
        </w:rPr>
        <w:t xml:space="preserve"> כמ"ש בתי"ז קודם התחלת זה המאמר ועד"א נטיל לימינא:</w:t>
      </w:r>
    </w:p>
  </w:footnote>
  <w:footnote w:id="739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עד כי כו' ולו יקהת עמים כו' דאיהו כו'.</w:t>
      </w:r>
      <w:r w:rsidRPr="00BD5E91">
        <w:rPr>
          <w:sz w:val="22"/>
          <w:szCs w:val="22"/>
          <w:rtl/>
        </w:rPr>
        <w:t xml:space="preserve"> ר"ל שילה:</w:t>
      </w:r>
    </w:p>
  </w:footnote>
  <w:footnote w:id="739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ביה ס"ו.</w:t>
      </w:r>
      <w:r w:rsidRPr="00BD5E91">
        <w:rPr>
          <w:sz w:val="22"/>
          <w:szCs w:val="22"/>
          <w:rtl/>
        </w:rPr>
        <w:t xml:space="preserve"> שהוא יסוד ו' זעירא וסלקא לשתין כמ"ש בתיקון י"ח וי"ד הנשארים היא שכינה יד ה' כמ"ש שם שהיא בשמאלא יד ה' כידוע ור"ל ביה ס"ו שהוא לשמאלא אורייתא דבע"פ כמש"ו:</w:t>
      </w:r>
    </w:p>
  </w:footnote>
  <w:footnote w:id="739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תהא דוחה.</w:t>
      </w:r>
      <w:r w:rsidRPr="00BD5E91">
        <w:rPr>
          <w:sz w:val="22"/>
          <w:szCs w:val="22"/>
          <w:rtl/>
        </w:rPr>
        <w:t xml:space="preserve"> שלא יפקון ביה כנ"ל:</w:t>
      </w:r>
    </w:p>
  </w:footnote>
  <w:footnote w:id="739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ואע"ג דאוקימנא ביה כו'.</w:t>
      </w:r>
      <w:r w:rsidRPr="00BD5E91">
        <w:rPr>
          <w:sz w:val="22"/>
          <w:szCs w:val="22"/>
          <w:rtl/>
        </w:rPr>
        <w:t xml:space="preserve"> שלאחר ששים ושש לאחר אלף ומאתים יבא משיח כמ"ש בזוהר שמות דף ט' ע"ב ע"ש מ"מ לא יפקון ביה כמ"ש שם מתמן ולהלאה יתער קב"ה לאינון נסין ואתין דקאמרן שהן בשכינתא כנ"ל ויתערון על ישראל אינון עקתין כו' לפי שהוא בסט' דשמאלא  וכדין ואף את בריתי יצחק בשמאלא קץ חי כנ"ל ולבתר כד יפקון כו' בימינא כו' ותחלת הגאולה הוא הצרות כמ"ש (ברכות ו ע"ב) אגרא דכלה דוחקא כמו במצרים (שמות ה ט) תכבד העבודה כו' אבל הגאולה בימינא וכן התחלת הגאולה בלילה ועיקר הגאולה היציאה ביממא כמ"ש (ישעיהו נב י) חשף ה' את זרוע קדשו בתחלה אתער דרועא שמאל כגוונא דר"ה כו' ע"ש:</w:t>
      </w:r>
    </w:p>
  </w:footnote>
  <w:footnote w:id="740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בגין דאתקשר.</w:t>
      </w:r>
      <w:r w:rsidRPr="00BD5E91">
        <w:rPr>
          <w:sz w:val="22"/>
          <w:szCs w:val="22"/>
          <w:rtl/>
        </w:rPr>
        <w:t xml:space="preserve"> ר"ל לכך דוחה:</w:t>
      </w:r>
    </w:p>
  </w:footnote>
  <w:footnote w:id="740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בגין דתליא כו'.</w:t>
      </w:r>
      <w:r w:rsidRPr="00BD5E91">
        <w:rPr>
          <w:sz w:val="22"/>
          <w:szCs w:val="22"/>
          <w:rtl/>
        </w:rPr>
        <w:t xml:space="preserve"> דרגא דמשה:</w:t>
      </w:r>
    </w:p>
  </w:footnote>
  <w:footnote w:id="740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דס"ו אינון כו'.</w:t>
      </w:r>
      <w:r w:rsidRPr="00BD5E91">
        <w:rPr>
          <w:sz w:val="22"/>
          <w:szCs w:val="22"/>
          <w:rtl/>
        </w:rPr>
        <w:t xml:space="preserve"> עכשיו מפרש ס"ו שהוא בשמאלא:</w:t>
      </w:r>
    </w:p>
  </w:footnote>
  <w:footnote w:id="740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דאורייתא דבכתב כו'.</w:t>
      </w:r>
      <w:r w:rsidRPr="00BD5E91">
        <w:rPr>
          <w:sz w:val="22"/>
          <w:szCs w:val="22"/>
          <w:rtl/>
        </w:rPr>
        <w:t xml:space="preserve"> מפ' לבא לפומא כו' כמש"ו:</w:t>
      </w:r>
    </w:p>
  </w:footnote>
  <w:footnote w:id="7404">
    <w:p w:rsidR="00007309" w:rsidRPr="00BD5E91" w:rsidRDefault="00007309" w:rsidP="00007309">
      <w:pPr>
        <w:jc w:val="both"/>
        <w:rPr>
          <w:rFonts w:cs="Arial"/>
          <w:sz w:val="22"/>
          <w:szCs w:val="22"/>
          <w:rtl/>
        </w:rPr>
      </w:pPr>
      <w:r w:rsidRPr="00BD5E91">
        <w:rPr>
          <w:rStyle w:val="a7"/>
          <w:rFonts w:cs="Arial"/>
          <w:sz w:val="22"/>
          <w:szCs w:val="22"/>
          <w:rtl/>
        </w:rPr>
        <w:footnoteRef/>
      </w:r>
      <w:r w:rsidRPr="00BD5E91">
        <w:rPr>
          <w:rFonts w:cs="Arial"/>
          <w:sz w:val="22"/>
          <w:szCs w:val="22"/>
          <w:rtl/>
        </w:rPr>
        <w:t xml:space="preserve"> </w:t>
      </w:r>
      <w:r w:rsidRPr="00BD5E91">
        <w:rPr>
          <w:rFonts w:cs="Arial"/>
          <w:b/>
          <w:bCs/>
          <w:sz w:val="22"/>
          <w:szCs w:val="22"/>
          <w:rtl/>
        </w:rPr>
        <w:t>בגין דעתירא כו'.</w:t>
      </w:r>
      <w:r w:rsidRPr="00BD5E91">
        <w:rPr>
          <w:rFonts w:cs="Arial"/>
          <w:sz w:val="22"/>
          <w:szCs w:val="22"/>
          <w:rtl/>
        </w:rPr>
        <w:t xml:space="preserve"> אורייתא שבע"פ יסוד שבו לא יגלה הגאולה אבל בלבא אורייתא דבכתב גליא שבו יגלה דרגא דמשה כנ"ל:</w:t>
      </w:r>
    </w:p>
  </w:footnote>
  <w:footnote w:id="740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לבא איהו סתים.</w:t>
      </w:r>
      <w:r w:rsidRPr="00BD5E91">
        <w:rPr>
          <w:sz w:val="22"/>
          <w:szCs w:val="22"/>
          <w:rtl/>
        </w:rPr>
        <w:t xml:space="preserve"> שלבו הוא בינה ובה תליא פורקנא ימא דאורייתא והיא סתימא לכן הקץ סתום:</w:t>
      </w:r>
    </w:p>
  </w:footnote>
  <w:footnote w:id="740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ופומא כו'.</w:t>
      </w:r>
      <w:r w:rsidRPr="00BD5E91">
        <w:rPr>
          <w:sz w:val="22"/>
          <w:szCs w:val="22"/>
          <w:rtl/>
        </w:rPr>
        <w:t xml:space="preserve"> ר"ל דלא יפקון בפומא לכן לא גליא:</w:t>
      </w:r>
    </w:p>
  </w:footnote>
  <w:footnote w:id="740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ובגין דכולא כו'.</w:t>
      </w:r>
      <w:r w:rsidRPr="00BD5E91">
        <w:rPr>
          <w:sz w:val="22"/>
          <w:szCs w:val="22"/>
          <w:rtl/>
        </w:rPr>
        <w:t xml:space="preserve"> כמ"ש לעיל וימין מקרבת כו':</w:t>
      </w:r>
    </w:p>
  </w:footnote>
  <w:footnote w:id="740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חי ה' כו'.</w:t>
      </w:r>
      <w:r w:rsidRPr="00BD5E91">
        <w:rPr>
          <w:sz w:val="22"/>
          <w:szCs w:val="22"/>
          <w:rtl/>
        </w:rPr>
        <w:t xml:space="preserve"> ר"ל שפורקנא דתליא בח"י כו' שכבי עדיין שלא יצא כנ"ל עד הבקר דאברהם כנ"ל:</w:t>
      </w:r>
    </w:p>
  </w:footnote>
  <w:footnote w:id="740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וזרוע ה'.</w:t>
      </w:r>
      <w:r w:rsidRPr="00BD5E91">
        <w:rPr>
          <w:sz w:val="22"/>
          <w:szCs w:val="22"/>
          <w:rtl/>
        </w:rPr>
        <w:t xml:space="preserve"> ימינא כמ"ש (ישעיהו סג יב) מוליך לימין משה זרוע תפארתו כו':</w:t>
      </w:r>
    </w:p>
  </w:footnote>
  <w:footnote w:id="741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על מי ודאי.</w:t>
      </w:r>
      <w:r w:rsidRPr="00BD5E91">
        <w:rPr>
          <w:sz w:val="22"/>
          <w:szCs w:val="22"/>
          <w:rtl/>
        </w:rPr>
        <w:t xml:space="preserve"> דבמי בינה יגלה הקץ שאז יצאו כנ"ל בלבא והוא שנא' (ישעיהו כז יג) ביום ההוא יתקע בשופר גדול וכל חירות הוא בבינה הנ' תרעין דחירות שמתלבשין בעד"א והוא לבא בינה בעד"א לכן הוא בגופא והכל מסט' דימינא:</w:t>
      </w:r>
    </w:p>
  </w:footnote>
  <w:footnote w:id="741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ההוא דאתמר כו'.</w:t>
      </w:r>
      <w:r w:rsidRPr="00BD5E91">
        <w:rPr>
          <w:sz w:val="22"/>
          <w:szCs w:val="22"/>
          <w:rtl/>
        </w:rPr>
        <w:t xml:space="preserve"> ר"ל ר"מ כמש"ו וז"ש מה אעידך שמשה העיד בהם כמ"ש (דברים ד כו) העידותי בכם כו' מה אדמה לך שמשה נחת ג"כ בגלות עמהם כמ"ש בר"מ פ' משפטים לך רד בגלות רביעי כו' וכן בהרבה מקומות:</w:t>
      </w:r>
    </w:p>
  </w:footnote>
  <w:footnote w:id="741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איהו מה שמו.</w:t>
      </w:r>
      <w:r w:rsidRPr="00BD5E91">
        <w:rPr>
          <w:sz w:val="22"/>
          <w:szCs w:val="22"/>
          <w:rtl/>
        </w:rPr>
        <w:t xml:space="preserve"> דשי"ן מן משה הוא ג' אבהן דאשתתפו ביה כידוע ועיקר שמו מה שהוא שמא מפרש דרגא דידיה כידוע בהרבה מקומות:</w:t>
      </w:r>
    </w:p>
  </w:footnote>
  <w:footnote w:id="741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עילאין כו' תתאין.</w:t>
      </w:r>
      <w:r w:rsidRPr="00BD5E91">
        <w:rPr>
          <w:sz w:val="22"/>
          <w:szCs w:val="22"/>
          <w:rtl/>
        </w:rPr>
        <w:t xml:space="preserve"> כמש"ו אלין מ"מ דלעילא ותתא:</w:t>
      </w:r>
    </w:p>
  </w:footnote>
  <w:footnote w:id="741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אליהו כו' חנוך כו'.</w:t>
      </w:r>
      <w:r w:rsidRPr="00BD5E91">
        <w:rPr>
          <w:sz w:val="22"/>
          <w:szCs w:val="22"/>
          <w:rtl/>
        </w:rPr>
        <w:t xml:space="preserve"> שהן נגד ב' מ"מ הנ"ל כידוע. ועכשיו מפרש זרקא מקף שופר הולך סגולתא הכל על השכינה ותפלה וכן הקירטא והן זרקא מונח סגול שהספרדים קורין למנח שופר הולך וקודם סגולתא קורין  מקף שופר הולך שהוא מחבר זרקא לסגול מקף הוא חיבור כידוע:</w:t>
      </w:r>
    </w:p>
  </w:footnote>
  <w:footnote w:id="741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פתח כמלקדמין כו' ודאי בה כו'.</w:t>
      </w:r>
      <w:r w:rsidRPr="00BD5E91">
        <w:rPr>
          <w:sz w:val="22"/>
          <w:szCs w:val="22"/>
          <w:rtl/>
        </w:rPr>
        <w:t xml:space="preserve"> ר"ל אבן השכינה אבן רועה ישראל כמ"ש למטה והקירטא הוא שפה כמ"ש בתיקונים והוא הפה שבו סלקא התפלה מלכות והיא סגולתא לעילא כמ"ש לקמן בדף ס"ב ע"ב ואמר שצריך לסלקא לצלותא במקום שמלכות מגעת כן צריך לסלק במחשבה וזהו זרקא דאזדריקת כו' ואמר אזדריקת לפי שהיא סלקת לעילא כמה דרגין בכח מעשה בני אדם שלמטה כמו אדם שעומד למטה וזורק דבר למעלה ממנו והוא בתפלה וז"ש בצלותא וכמו דבר שזורק בכח סליק למעלה כן היא ע"י ב"א כמה דרגין והכל לפי כח של אדם שהוא מעשי ה' כח מעשיו וכפי הכוונה ומחשבה כח מה כידוע:</w:t>
      </w:r>
    </w:p>
  </w:footnote>
  <w:footnote w:id="741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הכי כו' בהאי תגא.</w:t>
      </w:r>
      <w:r w:rsidRPr="00BD5E91">
        <w:rPr>
          <w:sz w:val="22"/>
          <w:szCs w:val="22"/>
          <w:rtl/>
        </w:rPr>
        <w:t xml:space="preserve"> ר"ל שצריך לכוין שתסלק בהאי תגא דזרקא שהוא"ו דזרקא הוא עד"א ונקודה דלעילא תגא היא עטרת בעלה שבג' מקומות היא עמו ברישא דו' ותחותיה ובאמצעיתי' דו' שהן ג' נקודות חולם חירק שורק גדול כידוע והן רמיזין באותיות זג"ו שהן בכלל י"ו גי' ג' אותיות הנ"ל רומז על יחודן י' נק' מלכות ו' עד"א כמש"ל וכן ג' אותיות הנ"ל ג' על ג"ר ו' על ו"ק ז' על מלכות בת שבע וכלם רמיזין באות א' כמ"ש נקודה העליונה שעל ו' ונקודה תחתונה ונקודה עם ו' באמצע וב' יודין עם ו' דא' הן כ"ו גי' הוי"ה בעד"א וכן הזרקא ו' באמצע ותגא ולתתא וכל הנ"ל הכל בבעלה כמש"ו:</w:t>
      </w:r>
    </w:p>
  </w:footnote>
  <w:footnote w:id="7417">
    <w:p w:rsidR="00007309" w:rsidRPr="00BD5E91" w:rsidRDefault="00007309" w:rsidP="00007309">
      <w:pPr>
        <w:jc w:val="both"/>
        <w:rPr>
          <w:rFonts w:cs="Arial"/>
          <w:sz w:val="22"/>
          <w:szCs w:val="22"/>
          <w:rtl/>
        </w:rPr>
      </w:pPr>
      <w:r w:rsidRPr="00BD5E91">
        <w:rPr>
          <w:rStyle w:val="a7"/>
          <w:rFonts w:cs="Arial"/>
          <w:sz w:val="22"/>
          <w:szCs w:val="22"/>
          <w:rtl/>
        </w:rPr>
        <w:footnoteRef/>
      </w:r>
      <w:r w:rsidRPr="00BD5E91">
        <w:rPr>
          <w:rFonts w:cs="Arial"/>
          <w:sz w:val="22"/>
          <w:szCs w:val="22"/>
          <w:rtl/>
        </w:rPr>
        <w:t xml:space="preserve"> </w:t>
      </w:r>
      <w:r w:rsidRPr="00BD5E91">
        <w:rPr>
          <w:rFonts w:cs="Arial"/>
          <w:b/>
          <w:bCs/>
          <w:sz w:val="22"/>
          <w:szCs w:val="22"/>
          <w:rtl/>
        </w:rPr>
        <w:t>דאיהי אבן כו'.</w:t>
      </w:r>
      <w:r w:rsidRPr="00BD5E91">
        <w:rPr>
          <w:rFonts w:cs="Arial"/>
          <w:sz w:val="22"/>
          <w:szCs w:val="22"/>
          <w:rtl/>
        </w:rPr>
        <w:t xml:space="preserve"> שכלולה מהכל ועטרת על הכל כמש"ו:</w:t>
      </w:r>
    </w:p>
  </w:footnote>
  <w:footnote w:id="741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לאתר דאתנטלת.</w:t>
      </w:r>
      <w:r w:rsidRPr="00BD5E91">
        <w:rPr>
          <w:sz w:val="22"/>
          <w:szCs w:val="22"/>
          <w:rtl/>
        </w:rPr>
        <w:t xml:space="preserve"> מעד"א כמש"ו ובכ"מ שבעלה שם צריך לסלקא לה כמש"ו ולכן אמר לעיל לאתר ידוע ולא אמר לאיזה אתר:</w:t>
      </w:r>
    </w:p>
  </w:footnote>
  <w:footnote w:id="741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ובההיא שעתא כו'.</w:t>
      </w:r>
      <w:r w:rsidRPr="00BD5E91">
        <w:rPr>
          <w:sz w:val="22"/>
          <w:szCs w:val="22"/>
          <w:rtl/>
        </w:rPr>
        <w:t xml:space="preserve"> ר"ל בתפלה כמ"ש בגמ' (משנה ברכות ה,א):</w:t>
      </w:r>
    </w:p>
  </w:footnote>
  <w:footnote w:id="742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אע"ג דאתמר כו'.</w:t>
      </w:r>
      <w:r w:rsidRPr="00BD5E91">
        <w:rPr>
          <w:sz w:val="22"/>
          <w:szCs w:val="22"/>
          <w:rtl/>
        </w:rPr>
        <w:t xml:space="preserve"> הוא פי' על מ"ש אפי' נחש כו':</w:t>
      </w:r>
    </w:p>
  </w:footnote>
  <w:footnote w:id="742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ההיא אבן כו'.</w:t>
      </w:r>
      <w:r w:rsidRPr="00BD5E91">
        <w:rPr>
          <w:sz w:val="22"/>
          <w:szCs w:val="22"/>
          <w:rtl/>
        </w:rPr>
        <w:t xml:space="preserve"> ר"ל הוא ישופך ראש בדכורא עד"א שהוא עץ החיים ושם אין נגיעה בנחש והוא עלמא דאתי כידוע דשם ישופנו והוא ראש מישרא"ל שהוא דכורא ויעקב הוא נוקבא דשם ע"ה ורגליה יורדות כו' וזהו תשופנו עקב בעה"ז בעקבות משיחא הוא שליטתה כידוע והוא בעקב דיעקב מ"מ י' דיעקב אע"ג דנחש כרוך על עקב שלו מ"מ יסלק האי אבנא לאתר דאתנטילת מן י' דישראל בעלה ורומז אפי' בזה"ז מ"מ יש לה סליק' וז"ש אבן ישראל:</w:t>
      </w:r>
    </w:p>
  </w:footnote>
  <w:footnote w:id="742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וכד נחית לה כו'.</w:t>
      </w:r>
      <w:r w:rsidRPr="00BD5E91">
        <w:rPr>
          <w:sz w:val="22"/>
          <w:szCs w:val="22"/>
          <w:rtl/>
        </w:rPr>
        <w:t xml:space="preserve"> לאשפעא לתחתונים נחיתת ג"כ בבעלה והוא בצדיק דשם היא הדום רגליו וז"ש כורע בברוך שהוא צדיק כידוע לכן הוא בכריעו בנחית':</w:t>
      </w:r>
    </w:p>
  </w:footnote>
  <w:footnote w:id="742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ביה צריך כו'.</w:t>
      </w:r>
      <w:r w:rsidRPr="00BD5E91">
        <w:rPr>
          <w:sz w:val="22"/>
          <w:szCs w:val="22"/>
          <w:rtl/>
        </w:rPr>
        <w:t xml:space="preserve"> ר"ל בעד"א:</w:t>
      </w:r>
    </w:p>
  </w:footnote>
  <w:footnote w:id="742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עד א"ס.</w:t>
      </w:r>
      <w:r w:rsidRPr="00BD5E91">
        <w:rPr>
          <w:sz w:val="22"/>
          <w:szCs w:val="22"/>
          <w:rtl/>
        </w:rPr>
        <w:t xml:space="preserve"> לסלקא:</w:t>
      </w:r>
    </w:p>
  </w:footnote>
  <w:footnote w:id="742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ועד אין תכלית.</w:t>
      </w:r>
      <w:r w:rsidRPr="00BD5E91">
        <w:rPr>
          <w:sz w:val="22"/>
          <w:szCs w:val="22"/>
          <w:rtl/>
        </w:rPr>
        <w:t xml:space="preserve"> לנחתא הכל ביה כמש"ו:</w:t>
      </w:r>
    </w:p>
  </w:footnote>
  <w:footnote w:id="742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לזמנין כו'.</w:t>
      </w:r>
      <w:r w:rsidRPr="00BD5E91">
        <w:rPr>
          <w:sz w:val="22"/>
          <w:szCs w:val="22"/>
          <w:rtl/>
        </w:rPr>
        <w:t xml:space="preserve"> דג' דרגין היא בוא"ו כנ"ל וז"ש לזמנין בצדיק אז נחיתת הדום רגליו. לזמנין בתרין דרועין ר"ל ביניהם והוא בת"ת שאז היא שוה לגביה. לזמנין בין או"א אז עטרת בעלה ובכל זה הוא ו' כמש"ו והיא יו"ד כנ"ל וז"ש בצדיק בשית כו' ר"ל שבדרגא דצדיק הוא וא"ו כולל שית פרקין דתרין שוקין שוקיו עמודי שש שכל אמצעי כולל ימינא ושמאלא כמ"ש לעיל וכן בת"ת כולל שית דב' דרועין:</w:t>
      </w:r>
    </w:p>
  </w:footnote>
  <w:footnote w:id="742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לזמנין איהו כו' בין או"א.</w:t>
      </w:r>
      <w:r w:rsidRPr="00BD5E91">
        <w:rPr>
          <w:sz w:val="22"/>
          <w:szCs w:val="22"/>
          <w:rtl/>
        </w:rPr>
        <w:t xml:space="preserve"> שאז הוא בסוד הדעת הוא ג"כ בסוד ו' שאז הוא כלול בבינה כידוע והוא בן י"ה יק"ו שבבינה וז"ש בן י"ה כו' וכ"ז הוא בוא"ו ועכשיו מפ' כ"ז באלף שהוא בכתר וז"ש. לזמנין איהו בעלה בכתר ו' כו' ששם תרין ריש</w:t>
      </w:r>
      <w:r>
        <w:rPr>
          <w:rFonts w:hint="cs"/>
          <w:sz w:val="22"/>
          <w:szCs w:val="22"/>
          <w:rtl/>
        </w:rPr>
        <w:t>י</w:t>
      </w:r>
      <w:r w:rsidRPr="00BD5E91">
        <w:rPr>
          <w:sz w:val="22"/>
          <w:szCs w:val="22"/>
          <w:rtl/>
        </w:rPr>
        <w:t>ן</w:t>
      </w:r>
      <w:r>
        <w:rPr>
          <w:rFonts w:hint="cs"/>
          <w:sz w:val="22"/>
          <w:szCs w:val="22"/>
          <w:rtl/>
        </w:rPr>
        <w:t>,</w:t>
      </w:r>
      <w:r w:rsidRPr="00BD5E91">
        <w:rPr>
          <w:sz w:val="22"/>
          <w:szCs w:val="22"/>
          <w:rtl/>
        </w:rPr>
        <w:t xml:space="preserve"> ע"י וא"א מופלא ומכוסה כידוע והוא ביניהם צורת א' וז"ש כגוונא דא א' כו' ושם הוא ג"כ ג' בחינות כנ"ל והוא ג' יודין דסגולתא וזהו זרקא דאזדריקת שופר הולך שהיא שכינה דהולכת כנ"ל עד סגולתא כמש"ל דף ע"ו ע"ב קירטא דילך זר</w:t>
      </w:r>
      <w:r>
        <w:rPr>
          <w:rFonts w:hint="cs"/>
          <w:sz w:val="22"/>
          <w:szCs w:val="22"/>
          <w:rtl/>
        </w:rPr>
        <w:t>ק</w:t>
      </w:r>
      <w:r w:rsidRPr="00BD5E91">
        <w:rPr>
          <w:sz w:val="22"/>
          <w:szCs w:val="22"/>
          <w:rtl/>
        </w:rPr>
        <w:t>א כו' סלקא לאתר דאתמר ביה במופלא כו' ובמכוסה כו' דתמן תלתא יודין כו' ושם ורמיזין באת א' יו"ד לעילא כו' ושם מתלת .ּ.  דסגולתא דאתרמיזו כו':</w:t>
      </w:r>
    </w:p>
  </w:footnote>
  <w:footnote w:id="742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ברישא דכל רישין.</w:t>
      </w:r>
      <w:r w:rsidRPr="00BD5E91">
        <w:rPr>
          <w:sz w:val="22"/>
          <w:szCs w:val="22"/>
          <w:rtl/>
        </w:rPr>
        <w:t xml:space="preserve"> ע"י יו"ד שעל האלף:</w:t>
      </w:r>
    </w:p>
  </w:footnote>
  <w:footnote w:id="742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איה מקום.</w:t>
      </w:r>
      <w:r w:rsidRPr="00BD5E91">
        <w:rPr>
          <w:sz w:val="22"/>
          <w:szCs w:val="22"/>
          <w:rtl/>
        </w:rPr>
        <w:t xml:space="preserve"> אי"ה ג"ר כח"ב דסליקת בכל ג"ר:</w:t>
      </w:r>
    </w:p>
  </w:footnote>
  <w:footnote w:id="743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ובכל דרגא דסליקת.</w:t>
      </w:r>
      <w:r w:rsidRPr="00BD5E91">
        <w:rPr>
          <w:sz w:val="22"/>
          <w:szCs w:val="22"/>
          <w:rtl/>
        </w:rPr>
        <w:t xml:space="preserve"> ר"ל בכל ספירה דבעלה שם שם סליקת ונחיתת לא יפסיק כו' כנ"ל:</w:t>
      </w:r>
    </w:p>
  </w:footnote>
  <w:footnote w:id="743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ברזא דטעמי.</w:t>
      </w:r>
      <w:r w:rsidRPr="00BD5E91">
        <w:rPr>
          <w:sz w:val="22"/>
          <w:szCs w:val="22"/>
          <w:rtl/>
        </w:rPr>
        <w:t xml:space="preserve"> שעיקרן הן על האותיות ונקודות עיקרן תחת האותיות וז"ש וכד נחיתת כו':</w:t>
      </w:r>
    </w:p>
  </w:footnote>
  <w:footnote w:id="743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וכד איהי כו'.</w:t>
      </w:r>
      <w:r w:rsidRPr="00BD5E91">
        <w:rPr>
          <w:sz w:val="22"/>
          <w:szCs w:val="22"/>
          <w:rtl/>
        </w:rPr>
        <w:t xml:space="preserve"> צורת שורק גדול שורק בוא"ו:</w:t>
      </w:r>
    </w:p>
  </w:footnote>
  <w:footnote w:id="743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אות זין.</w:t>
      </w:r>
      <w:r w:rsidRPr="00BD5E91">
        <w:rPr>
          <w:sz w:val="22"/>
          <w:szCs w:val="22"/>
          <w:rtl/>
        </w:rPr>
        <w:t xml:space="preserve"> כנ"ל י' על ו' הוא ז':</w:t>
      </w:r>
    </w:p>
  </w:footnote>
  <w:footnote w:id="743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כלילא מניה.</w:t>
      </w:r>
      <w:r w:rsidRPr="00BD5E91">
        <w:rPr>
          <w:sz w:val="22"/>
          <w:szCs w:val="22"/>
          <w:rtl/>
        </w:rPr>
        <w:t xml:space="preserve"> ר"ל לכך הוא ז' שכלילא מז"ס שלה ושל בעלה דכלילא מני' דבכל דרגא דסליקת מקבלת מכולם כמ"ש לקמן ע"ב וכד סליקת ליה מתתקנא בכל ע"ס כו':</w:t>
      </w:r>
    </w:p>
  </w:footnote>
  <w:footnote w:id="743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אות ברית.</w:t>
      </w:r>
      <w:r w:rsidRPr="00BD5E91">
        <w:rPr>
          <w:sz w:val="22"/>
          <w:szCs w:val="22"/>
          <w:rtl/>
        </w:rPr>
        <w:t xml:space="preserve"> ר"ל עטרת היסוד ע"ג היסוד שנקרא אות ברית י' ע"ג </w:t>
      </w:r>
      <w:r>
        <w:rPr>
          <w:rFonts w:hint="cs"/>
          <w:sz w:val="22"/>
          <w:szCs w:val="22"/>
          <w:rtl/>
        </w:rPr>
        <w:t>ו</w:t>
      </w:r>
      <w:r w:rsidRPr="00BD5E91">
        <w:rPr>
          <w:sz w:val="22"/>
          <w:szCs w:val="22"/>
          <w:rtl/>
        </w:rPr>
        <w:t>' ושם שביעי כידוע יום השביעי וז"ש. דאיהו שביעאה כו':</w:t>
      </w:r>
    </w:p>
  </w:footnote>
  <w:footnote w:id="743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ודא האי אבנא כו'.</w:t>
      </w:r>
      <w:r w:rsidRPr="00BD5E91">
        <w:rPr>
          <w:sz w:val="22"/>
          <w:szCs w:val="22"/>
          <w:rtl/>
        </w:rPr>
        <w:t xml:space="preserve"> יוד הנ"ל שכל אותיות נבנין מיוד שהוא קודם לכל כתב וכן היא מדה לכל העולמות כמש"ו וכן לאותיות כמה יודין אורך של כל אות כידוע:</w:t>
      </w:r>
    </w:p>
  </w:footnote>
  <w:footnote w:id="743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אבן שלמה וצדק כו'.</w:t>
      </w:r>
      <w:r w:rsidRPr="00BD5E91">
        <w:rPr>
          <w:sz w:val="22"/>
          <w:szCs w:val="22"/>
          <w:rtl/>
        </w:rPr>
        <w:t xml:space="preserve"> שהיא נקראת צדק והיא שלימו דכל ספירן כמ"ש למטה ושלימו דשם הויה כידוע. ואית אבן אחרא דס"א. אבן נגף והיא חסירה בחסרון או בתוספת דהוא גריעו וע"ד כתיב לא יהיה לך אבן ואבן ושניהן אינן שלימין כנ"ל אלא אבן כו':</w:t>
      </w:r>
    </w:p>
  </w:footnote>
  <w:footnote w:id="743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איהי כו' סליק לעשר.</w:t>
      </w:r>
      <w:r w:rsidRPr="00BD5E91">
        <w:rPr>
          <w:sz w:val="22"/>
          <w:szCs w:val="22"/>
          <w:rtl/>
        </w:rPr>
        <w:t xml:space="preserve"> דהיא חלק עשירי מכל ספירה והן בה עשר נקודות לכן חלק עשירי שבה מלכות שלה ל"ל מגרמה כלום וט' חלקים של כל ספירה נשלמים עמה לעשר:</w:t>
      </w:r>
    </w:p>
  </w:footnote>
  <w:footnote w:id="743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שיעור דילה כו'.</w:t>
      </w:r>
      <w:r w:rsidRPr="00BD5E91">
        <w:rPr>
          <w:sz w:val="22"/>
          <w:szCs w:val="22"/>
          <w:rtl/>
        </w:rPr>
        <w:t xml:space="preserve"> דמדה הוא כמה אמות או טפחים או שאר דבר ושיעור הוא על מה הוא המדה אם על אמות או טפחים או ש"ד ר"ל מדה הוא י' אמות והשיעור הוא ככל א' מהי' חלקים שהוא אמה. ואמר. בה אתעביד אמה. כמש"ו י' אמות אורך כו' דכ"ז שאין מדה לא נחלק לאמות ואחר שנחלק ליוד נעשה כ"א אמה י' אמות ואמר ו' בה כו'. שאמה הוא ו' טפחים וכן צורת אמה הוא ו' והוא מ"ה אדם עם א' דילה נעשה אמה</w:t>
      </w:r>
      <w:r>
        <w:rPr>
          <w:rFonts w:hint="cs"/>
          <w:sz w:val="22"/>
          <w:szCs w:val="22"/>
          <w:rtl/>
        </w:rPr>
        <w:t>,</w:t>
      </w:r>
      <w:r w:rsidRPr="00BD5E91">
        <w:rPr>
          <w:sz w:val="22"/>
          <w:szCs w:val="22"/>
          <w:rtl/>
        </w:rPr>
        <w:t xml:space="preserve"> וכן ו' עם עשר נעשה שיעור</w:t>
      </w:r>
      <w:r>
        <w:rPr>
          <w:rFonts w:hint="cs"/>
          <w:sz w:val="22"/>
          <w:szCs w:val="22"/>
          <w:rtl/>
        </w:rPr>
        <w:t>.</w:t>
      </w:r>
      <w:r w:rsidRPr="00BD5E91">
        <w:rPr>
          <w:sz w:val="22"/>
          <w:szCs w:val="22"/>
          <w:rtl/>
        </w:rPr>
        <w:t xml:space="preserve"> ומד"ה הוא מ"ט שערים ז' פ"ז שנכללין בה כמ"ש בתיקונים וכלהו נכללין בבת שבע וכן בתי"ט ושכינה ספי' העומר כו':</w:t>
      </w:r>
    </w:p>
  </w:footnote>
  <w:footnote w:id="744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י' אמות אורך כו'.</w:t>
      </w:r>
      <w:r w:rsidRPr="00BD5E91">
        <w:rPr>
          <w:sz w:val="22"/>
          <w:szCs w:val="22"/>
          <w:rtl/>
        </w:rPr>
        <w:t xml:space="preserve"> כנ"ל דכל ספירה סליק בה לעשר והיא סופא דכל ספירה ובה נשלם לעשר וזהו בין כל כו':</w:t>
      </w:r>
    </w:p>
  </w:footnote>
  <w:footnote w:id="744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ובין כל כו' איהי יו"ד.</w:t>
      </w:r>
      <w:r w:rsidRPr="00BD5E91">
        <w:rPr>
          <w:sz w:val="22"/>
          <w:szCs w:val="22"/>
          <w:rtl/>
        </w:rPr>
        <w:t xml:space="preserve"> שכ"א נכלל מעשר והכל בה שבכל ספירה נוטלת עשר חולקין מעשר חלקים שבו ותשעה שבכל חלק נשאר בו שהיא נבנית מכל חלק וחלק:</w:t>
      </w:r>
    </w:p>
  </w:footnote>
  <w:footnote w:id="744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בין פרקא כו'.</w:t>
      </w:r>
      <w:r w:rsidRPr="00BD5E91">
        <w:rPr>
          <w:sz w:val="22"/>
          <w:szCs w:val="22"/>
          <w:rtl/>
        </w:rPr>
        <w:t xml:space="preserve"> כמו עצם קטן בצורת יוד בין כל פרק ופרק וכן בכל ספירה כמה פרקין כמו חסד זרוע ימין כמה פרקי אצבעות וכן בכל ספירה:</w:t>
      </w:r>
    </w:p>
  </w:footnote>
  <w:footnote w:id="744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והיפוכא כו'.</w:t>
      </w:r>
      <w:r w:rsidRPr="00BD5E91">
        <w:rPr>
          <w:sz w:val="22"/>
          <w:szCs w:val="22"/>
          <w:rtl/>
        </w:rPr>
        <w:t xml:space="preserve"> וזהו עשר אמות שעשר סלקין למאות וכן כל אמה נכלל ממאה והכל בה וז"ש לעיל בה אתעביד אמה וזהו מאה ברכות שחייב לברך בכל יום בה כידוע מאה אדנים אדני דסליק למאה כידוע וז"ש </w:t>
      </w:r>
      <w:r>
        <w:rPr>
          <w:rFonts w:hint="cs"/>
          <w:sz w:val="22"/>
          <w:szCs w:val="22"/>
          <w:rtl/>
        </w:rPr>
        <w:t xml:space="preserve">(שבת לא ע"ב) </w:t>
      </w:r>
      <w:r w:rsidRPr="00BD5E91">
        <w:rPr>
          <w:sz w:val="22"/>
          <w:szCs w:val="22"/>
          <w:rtl/>
        </w:rPr>
        <w:t xml:space="preserve">מה ה' כו' כי אם ליראה בשביל היראה מלכות כידוע ואמרו </w:t>
      </w:r>
      <w:r>
        <w:rPr>
          <w:rFonts w:hint="cs"/>
          <w:sz w:val="22"/>
          <w:szCs w:val="22"/>
          <w:rtl/>
        </w:rPr>
        <w:t xml:space="preserve">(זהר במדבר קעט ע"א) </w:t>
      </w:r>
      <w:r w:rsidRPr="00BD5E91">
        <w:rPr>
          <w:sz w:val="22"/>
          <w:szCs w:val="22"/>
          <w:rtl/>
        </w:rPr>
        <w:t>א"ת מה אלא מאה והיא נקראת מאה וכן שרי מאות מסטרהא כמ"ש בר"מ שרי אלפים מסט' דא' מאות מסט' דד' חמשים מסט' דנ' עשרות מסט' די' ע"ש והוא משום דהיא כלילא מג"ר איומה כנדגלות ד' ספירות ולכן היא ד' כחב"ם וז"ש בה סליק לעשר ד"ו שבעלה ו' ולא נחית ליה מוחין עד דאפיק ליה אתתא כידוע וזהו ד' אותיות אדנ"י שבה אי"נ בכח"ב כידוע וד' בה כנ"ל והד' נחלף בה לק' בא"ת ב"ש שבה על התמורה כידוע וזהו שרי מאות הנ"ל:</w:t>
      </w:r>
    </w:p>
  </w:footnote>
  <w:footnote w:id="744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כל מדה כו'.</w:t>
      </w:r>
      <w:r w:rsidRPr="00BD5E91">
        <w:rPr>
          <w:sz w:val="22"/>
          <w:szCs w:val="22"/>
          <w:rtl/>
        </w:rPr>
        <w:t xml:space="preserve"> וז"ש לעיל בניינא דכל עלמין ואמר לקמן מן י' עולם כו':</w:t>
      </w:r>
    </w:p>
  </w:footnote>
  <w:footnote w:id="744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 שקיל כו'.</w:t>
      </w:r>
      <w:r w:rsidRPr="00BD5E91">
        <w:rPr>
          <w:sz w:val="22"/>
          <w:szCs w:val="22"/>
          <w:rtl/>
        </w:rPr>
        <w:t xml:space="preserve"> כמ"ש בר"מ וזהו במדה ובמשקל:</w:t>
      </w:r>
    </w:p>
  </w:footnote>
  <w:footnote w:id="744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י' מדה.</w:t>
      </w:r>
      <w:r w:rsidRPr="00BD5E91">
        <w:rPr>
          <w:sz w:val="22"/>
          <w:szCs w:val="22"/>
          <w:rtl/>
        </w:rPr>
        <w:t xml:space="preserve"> והוא בה י' דאדני:</w:t>
      </w:r>
    </w:p>
  </w:footnote>
  <w:footnote w:id="744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ושיעורא דמדה כו'.</w:t>
      </w:r>
      <w:r w:rsidRPr="00BD5E91">
        <w:rPr>
          <w:sz w:val="22"/>
          <w:szCs w:val="22"/>
          <w:rtl/>
        </w:rPr>
        <w:t xml:space="preserve"> דמדה עצמה היא י' שכלול מעשר אבל שיעור דילה כמה אמות. חמש אמות כו'. המזבח שהוא במלכות והאורך עם הרוחב הוא עשר:</w:t>
      </w:r>
    </w:p>
  </w:footnote>
  <w:footnote w:id="744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הרי לך כו'.</w:t>
      </w:r>
      <w:r w:rsidRPr="00BD5E91">
        <w:rPr>
          <w:sz w:val="22"/>
          <w:szCs w:val="22"/>
          <w:rtl/>
        </w:rPr>
        <w:t xml:space="preserve"> המדה הוא י' והשיעור באיזה מדה דהיינו באמה ו' וכמה אמות ה"ה וזהו שיעור קומה דקומה הוא כמה אמות והמדה הוא שבה מפר' כל אמה:</w:t>
      </w:r>
    </w:p>
  </w:footnote>
  <w:footnote w:id="744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דאת ו' כו'.</w:t>
      </w:r>
      <w:r w:rsidRPr="00BD5E91">
        <w:rPr>
          <w:sz w:val="22"/>
          <w:szCs w:val="22"/>
          <w:rtl/>
        </w:rPr>
        <w:t xml:space="preserve"> עכשיו מפרש היאך נכלל כל הוי"ה בו' ת"ת כידוע:</w:t>
      </w:r>
    </w:p>
  </w:footnote>
  <w:footnote w:id="745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חמש רקיעים כו'.</w:t>
      </w:r>
      <w:r w:rsidRPr="00BD5E91">
        <w:rPr>
          <w:sz w:val="22"/>
          <w:szCs w:val="22"/>
          <w:rtl/>
        </w:rPr>
        <w:t xml:space="preserve"> ה"ס מחסד עד הוד והן ה' רקיעים העליונים והן ד' ממכון עד שחקים אלא ששחקים הן שנים נו"ה תרי פלגי דגופא כידוע כמ"ש בר"מ פ' פנחס שחקים אינון נו"ה כו':</w:t>
      </w:r>
    </w:p>
  </w:footnote>
  <w:footnote w:id="745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אלין אתקריאו השמים.</w:t>
      </w:r>
      <w:r w:rsidRPr="00BD5E91">
        <w:rPr>
          <w:sz w:val="22"/>
          <w:szCs w:val="22"/>
          <w:rtl/>
        </w:rPr>
        <w:t xml:space="preserve"> ר"ל ה' שמים והן ה"ס שלו שמתפשט אימא בהן בנ' תרעין דילה ה"פ י' בה' שלה עד הוד כידוע:</w:t>
      </w:r>
    </w:p>
  </w:footnote>
  <w:footnote w:id="745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חמש עילאין כו'.</w:t>
      </w:r>
      <w:r>
        <w:rPr>
          <w:rFonts w:hint="cs"/>
          <w:b/>
          <w:bCs/>
          <w:sz w:val="22"/>
          <w:szCs w:val="22"/>
          <w:rtl/>
        </w:rPr>
        <w:t xml:space="preserve"> </w:t>
      </w:r>
      <w:r w:rsidRPr="00BD5E91">
        <w:rPr>
          <w:sz w:val="22"/>
          <w:szCs w:val="22"/>
          <w:rtl/>
        </w:rPr>
        <w:t>והוא בינה ה' עילאה שמתפשטת בו בה"ס שלו כנ"ל ולכן נק' ג"כ שמים והוא ערבות ובה ה' פי' נ' תרעין לכן חשיב בערבות עשרה דברים שם:</w:t>
      </w:r>
    </w:p>
  </w:footnote>
  <w:footnote w:id="745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ואינון כולהו כו'.</w:t>
      </w:r>
      <w:r w:rsidRPr="00BD5E91">
        <w:rPr>
          <w:sz w:val="22"/>
          <w:szCs w:val="22"/>
          <w:rtl/>
        </w:rPr>
        <w:t xml:space="preserve"> והן בכלל חמש שנכללת בו והן ה' רקיעים והן ב' ההין דשם הוי"ה:</w:t>
      </w:r>
    </w:p>
  </w:footnote>
  <w:footnote w:id="745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 רקיע כו'.</w:t>
      </w:r>
      <w:r w:rsidRPr="00BD5E91">
        <w:rPr>
          <w:sz w:val="22"/>
          <w:szCs w:val="22"/>
          <w:rtl/>
        </w:rPr>
        <w:t xml:space="preserve"> והוא רקיע שבו חמה כו' יסוד והוא נכלל מכולם ובו נכלל כל הה' רקיעין בא' וכן ה' עילאה נ' תרעין שלכן נק' כל כידוע לכן בו ג"כ כפול:</w:t>
      </w:r>
    </w:p>
  </w:footnote>
  <w:footnote w:id="745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י' שביעי.</w:t>
      </w:r>
      <w:r w:rsidRPr="00BD5E91">
        <w:rPr>
          <w:sz w:val="22"/>
          <w:szCs w:val="22"/>
          <w:rtl/>
        </w:rPr>
        <w:t xml:space="preserve"> מלכות כנ"ל והוא וילון עטרת היסוד אות ברית י' כידוע והוא ג"כ כפול כנ"ל וז"ש. ואינון שבעה כו':</w:t>
      </w:r>
    </w:p>
  </w:footnote>
  <w:footnote w:id="7456">
    <w:p w:rsidR="00007309" w:rsidRPr="00BD5E91" w:rsidRDefault="00007309" w:rsidP="00007309">
      <w:pPr>
        <w:jc w:val="both"/>
        <w:rPr>
          <w:rFonts w:cs="Arial"/>
          <w:sz w:val="22"/>
          <w:szCs w:val="22"/>
          <w:rtl/>
        </w:rPr>
      </w:pPr>
      <w:r w:rsidRPr="00BD5E91">
        <w:rPr>
          <w:rStyle w:val="a7"/>
          <w:rFonts w:cs="Arial"/>
          <w:sz w:val="22"/>
          <w:szCs w:val="22"/>
          <w:rtl/>
        </w:rPr>
        <w:footnoteRef/>
      </w:r>
      <w:r w:rsidRPr="00BD5E91">
        <w:rPr>
          <w:rFonts w:cs="Arial"/>
          <w:sz w:val="22"/>
          <w:szCs w:val="22"/>
          <w:rtl/>
        </w:rPr>
        <w:t xml:space="preserve"> </w:t>
      </w:r>
      <w:r w:rsidRPr="00BD5E91">
        <w:rPr>
          <w:rFonts w:cs="Arial"/>
          <w:b/>
          <w:bCs/>
          <w:sz w:val="22"/>
          <w:szCs w:val="22"/>
          <w:rtl/>
        </w:rPr>
        <w:t>וסלקין בי"ד.</w:t>
      </w:r>
      <w:r w:rsidRPr="00BD5E91">
        <w:rPr>
          <w:rFonts w:cs="Arial"/>
          <w:sz w:val="22"/>
          <w:szCs w:val="22"/>
          <w:rtl/>
        </w:rPr>
        <w:t xml:space="preserve"> י"ד אתוון דשם עם שמא מפרש דנכללין בשכינה שנקראת י"ד ה' כידוע:</w:t>
      </w:r>
    </w:p>
  </w:footnote>
  <w:footnote w:id="745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והכי אינון ארעין כו'.</w:t>
      </w:r>
      <w:r w:rsidRPr="00BD5E91">
        <w:rPr>
          <w:sz w:val="22"/>
          <w:szCs w:val="22"/>
          <w:rtl/>
        </w:rPr>
        <w:t xml:space="preserve"> מלכות נוק' דז"א ג"כ בת שבע שנכללת מכל השבע והן כפולים כנ"ל:</w:t>
      </w:r>
    </w:p>
  </w:footnote>
  <w:footnote w:id="745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וכלהו כו'.</w:t>
      </w:r>
      <w:r w:rsidRPr="00BD5E91">
        <w:rPr>
          <w:sz w:val="22"/>
          <w:szCs w:val="22"/>
          <w:rtl/>
        </w:rPr>
        <w:t xml:space="preserve"> כמ"ש לעיל דף ע"ג ע"ד ואמר שם וז' גלדי עינא כו' ושבעה בשבעה מוצקות. ז' גלדי עינא וג' גווני וב' כרובי וב' עפעפי ועין ימין ועין שמאל הן כנגד זו"נ שמש וירח שני המאורות הגדולים כמ"ש בהת"ז ועינינו מאירות כו' והן שמים וארץ:</w:t>
      </w:r>
    </w:p>
  </w:footnote>
  <w:footnote w:id="745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י' אתקרי כו' ו' כו'.</w:t>
      </w:r>
      <w:r w:rsidRPr="00BD5E91">
        <w:rPr>
          <w:sz w:val="22"/>
          <w:szCs w:val="22"/>
          <w:rtl/>
        </w:rPr>
        <w:t xml:space="preserve"> די' הוא זעירא ו' ארוך וכן מלכות הוא עה"ז שהוא זמן קצר ו' עלמא דאתי כידוע והוא עולם שכולו ארוך וכן הוא שכולו טוב כי עה"ז הוא ע"ה טוב ורע משא"כ עולם הבא עץ חיים שכולו טוב כי מלכות רגליה כו' משא"כ בעד"א כידוע שהוא אילנא דחיי ושם וחי לעולם. וז"ש (שבת י ע"א) רבא חזי כו' ואמר מניחין חיי עולם כו' והוא כמש"ל בדף הקודם דצלותא איהי מצוה ודא שכינתא ואורייתא קב"ה ובשכינה חיי שעה ובו חיי עולם:</w:t>
      </w:r>
    </w:p>
  </w:footnote>
  <w:footnote w:id="746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וכל מאן דבעי כו'.</w:t>
      </w:r>
      <w:r w:rsidRPr="00BD5E91">
        <w:rPr>
          <w:sz w:val="22"/>
          <w:szCs w:val="22"/>
          <w:rtl/>
        </w:rPr>
        <w:t xml:space="preserve"> ר"ל מי שמתפלל אל מלכות צריך לקצר ולגבי עד"א צריך להאריך והוא מי שמבקש על העה"ז יקצר ועל העה"ב יאריך וז"ש (ברכות נ ע"א) בשאלה שאני ובשאלה לא והא כתיב הרחב פיך ואמלאהו ההיא בד"ת כתיב וז"ש לקצר בצלותיה אל נא כו'. שהוא בעסקי העה"ז. להאריך כו' דואתנפל כו':</w:t>
      </w:r>
    </w:p>
  </w:footnote>
  <w:footnote w:id="746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לקצר בצלותיה אל נא כו'.</w:t>
      </w:r>
      <w:r w:rsidRPr="00BD5E91">
        <w:rPr>
          <w:sz w:val="22"/>
          <w:szCs w:val="22"/>
          <w:rtl/>
        </w:rPr>
        <w:t xml:space="preserve"> שאמרו בגמ' (ברכות לד ע"א) מעשה בא' כו' כלום קצרן הוא יותר ממשה רבינו דכתיב אל נא כו' מעשה בא' כו' כלום ארכן הוא יותר ממשה רבינו דכתיב ואתנפל כו' וז"ש. להאריך כו' דאתנפל כו' והענין דתפלה בשביל מרים שהיא בדרגא דנוקבא לקצר ובשביל ישראל בדכורא בדרגא דעד"א להאריך:</w:t>
      </w:r>
    </w:p>
  </w:footnote>
  <w:footnote w:id="746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בנקודת י'.</w:t>
      </w:r>
      <w:r w:rsidRPr="00BD5E91">
        <w:rPr>
          <w:sz w:val="22"/>
          <w:szCs w:val="22"/>
          <w:rtl/>
        </w:rPr>
        <w:t xml:space="preserve"> כמ"ש בדרגא דרפאל שיוצא ממקרא זה א"ל רפ"א והוא חיה הד' הנשאר מג' חיות שחשיב בדף הקודם ע"ג והוא במלכות מאחורי רפאל:</w:t>
      </w:r>
    </w:p>
  </w:footnote>
  <w:footnote w:id="746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ונפיל' באת פ'.</w:t>
      </w:r>
      <w:r w:rsidRPr="00BD5E91">
        <w:rPr>
          <w:sz w:val="22"/>
          <w:szCs w:val="22"/>
          <w:rtl/>
        </w:rPr>
        <w:t xml:space="preserve"> שהוא עיקר השורש מתיבת נפל שהוא מחסרי פ"א הנו"ן:</w:t>
      </w:r>
    </w:p>
  </w:footnote>
  <w:footnote w:id="746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וכלא פ"ו.</w:t>
      </w:r>
      <w:r w:rsidRPr="00BD5E91">
        <w:rPr>
          <w:sz w:val="22"/>
          <w:szCs w:val="22"/>
          <w:rtl/>
        </w:rPr>
        <w:t xml:space="preserve"> ר"ל גי' אלקים ור"ל ז"ש ואתנפל לפני כו' ואמר אדני יקוק ונקוד הויה בניקוד אלקים:</w:t>
      </w:r>
    </w:p>
  </w:footnote>
  <w:footnote w:id="746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דואתנפל כו'.</w:t>
      </w:r>
      <w:r w:rsidRPr="00BD5E91">
        <w:rPr>
          <w:sz w:val="22"/>
          <w:szCs w:val="22"/>
          <w:rtl/>
        </w:rPr>
        <w:t xml:space="preserve"> עכשיו מפרש הנפילה באת פ' דכתיב ואתנפל כו' מ' ומ' הוא פ':</w:t>
      </w:r>
    </w:p>
  </w:footnote>
  <w:footnote w:id="746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וכלא מם.</w:t>
      </w:r>
      <w:r w:rsidRPr="00BD5E91">
        <w:rPr>
          <w:sz w:val="22"/>
          <w:szCs w:val="22"/>
          <w:rtl/>
        </w:rPr>
        <w:t xml:space="preserve"> שני מ' א' בפשוט וא' במילוי נגד יום ולילה כידוע שהנוק' הוא במילוי חוה מילוי שמא מפ' שהוא אדם וכן מילוי הוא דין גי' אלקים. וכמו שבכללו הוא רק מ' יום שהיום ולילה הוא אחד כן מ"</w:t>
      </w:r>
      <w:r>
        <w:rPr>
          <w:rFonts w:hint="cs"/>
          <w:sz w:val="22"/>
          <w:szCs w:val="22"/>
          <w:rtl/>
        </w:rPr>
        <w:t>ם</w:t>
      </w:r>
      <w:r w:rsidRPr="00BD5E91">
        <w:rPr>
          <w:sz w:val="22"/>
          <w:szCs w:val="22"/>
          <w:rtl/>
        </w:rPr>
        <w:t xml:space="preserve"> בכללו הוא מ' אחד לאכללא זו"נ באחד:</w:t>
      </w:r>
    </w:p>
  </w:footnote>
  <w:footnote w:id="746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י' נקודה כו'.</w:t>
      </w:r>
      <w:r w:rsidRPr="00BD5E91">
        <w:rPr>
          <w:sz w:val="22"/>
          <w:szCs w:val="22"/>
          <w:rtl/>
        </w:rPr>
        <w:t xml:space="preserve"> בנקודת י' הנ"ל והוא גי' ב' שמות שאמר בתפלה אדנ"י יקו"ק:</w:t>
      </w:r>
    </w:p>
  </w:footnote>
  <w:footnote w:id="746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ומסט' דחסד כו'.</w:t>
      </w:r>
      <w:r w:rsidRPr="00BD5E91">
        <w:rPr>
          <w:sz w:val="22"/>
          <w:szCs w:val="22"/>
          <w:rtl/>
        </w:rPr>
        <w:t xml:space="preserve"> לכן בוא"ו עד"א נטיל לימינא להאריך י' מלכות נטיל לשמאלא לקצר:</w:t>
      </w:r>
    </w:p>
  </w:footnote>
  <w:footnote w:id="746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ובשמא כו'.</w:t>
      </w:r>
      <w:r w:rsidRPr="00BD5E91">
        <w:rPr>
          <w:sz w:val="22"/>
          <w:szCs w:val="22"/>
          <w:rtl/>
        </w:rPr>
        <w:t xml:space="preserve"> ר"ל כשמתפלל ומזכיר השם יסלק ברביע ור"ל ז"ש ואתנפל כו' להאריך כנ"ל ושם השם ברביע אדני יקוק הויה ברביע:</w:t>
      </w:r>
    </w:p>
  </w:footnote>
  <w:footnote w:id="747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וצריך לארכא כו'.</w:t>
      </w:r>
      <w:r w:rsidRPr="00BD5E91">
        <w:rPr>
          <w:sz w:val="22"/>
          <w:szCs w:val="22"/>
          <w:rtl/>
        </w:rPr>
        <w:t xml:space="preserve"> כמ"ש לעיל דף ע"ט ע"ד דא נקודה כו' לנגנא ולאתפשטא כו' כאימא על בנין כו' אתפשט לניגונא כו' סלקא בנייחא וכ"ז הוא בחסד שכל התפשטות הוא בחסד כמים וכן כל צמצום הוא מצד הגבורה והדין כידוע וז"ש לקצר מסטרא כו':</w:t>
      </w:r>
    </w:p>
  </w:footnote>
  <w:footnote w:id="747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רזא דתקיעה.</w:t>
      </w:r>
      <w:r w:rsidRPr="00BD5E91">
        <w:rPr>
          <w:sz w:val="22"/>
          <w:szCs w:val="22"/>
          <w:rtl/>
        </w:rPr>
        <w:t xml:space="preserve"> שתקיעה שברים תרועה הוא באבהן חג"ת כידוע:</w:t>
      </w:r>
    </w:p>
  </w:footnote>
  <w:footnote w:id="747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בתנועה.</w:t>
      </w:r>
      <w:r w:rsidRPr="00BD5E91">
        <w:rPr>
          <w:sz w:val="22"/>
          <w:szCs w:val="22"/>
          <w:rtl/>
        </w:rPr>
        <w:t xml:space="preserve"> ר"ל טעמו:</w:t>
      </w:r>
    </w:p>
  </w:footnote>
  <w:footnote w:id="747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דתמן תביר.</w:t>
      </w:r>
      <w:r w:rsidRPr="00BD5E91">
        <w:rPr>
          <w:sz w:val="22"/>
          <w:szCs w:val="22"/>
          <w:rtl/>
        </w:rPr>
        <w:t xml:space="preserve"> הוא לשון שברים:</w:t>
      </w:r>
    </w:p>
  </w:footnote>
  <w:footnote w:id="747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שלשלת דתרווייהו.</w:t>
      </w:r>
      <w:r w:rsidRPr="00BD5E91">
        <w:rPr>
          <w:sz w:val="22"/>
          <w:szCs w:val="22"/>
          <w:rtl/>
        </w:rPr>
        <w:t xml:space="preserve"> כמו חבל שאחוז בשני דברים בימין ושמאל והוא (דברים לב ט) יעקב חבל נחלתו וכן עד"א אחוז בחו"ג:</w:t>
      </w:r>
    </w:p>
  </w:footnote>
  <w:footnote w:id="747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לקבל רביע כו'.</w:t>
      </w:r>
      <w:r w:rsidRPr="00BD5E91">
        <w:rPr>
          <w:sz w:val="22"/>
          <w:szCs w:val="22"/>
          <w:rtl/>
        </w:rPr>
        <w:t xml:space="preserve"> ושניהן ע"ג האות:</w:t>
      </w:r>
    </w:p>
  </w:footnote>
  <w:footnote w:id="747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לקבל שבא.</w:t>
      </w:r>
      <w:r w:rsidRPr="00BD5E91">
        <w:rPr>
          <w:sz w:val="22"/>
          <w:szCs w:val="22"/>
          <w:rtl/>
        </w:rPr>
        <w:t xml:space="preserve"> לשון ש"ב משברים ושבא הוא ג"כ בגבורה כמ"ש בה"ת שבא אותיות בא"ש ה' נשפט:</w:t>
      </w:r>
    </w:p>
  </w:footnote>
  <w:footnote w:id="747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 בעא כו'.</w:t>
      </w:r>
      <w:r w:rsidRPr="00BD5E91">
        <w:rPr>
          <w:sz w:val="22"/>
          <w:szCs w:val="22"/>
          <w:rtl/>
        </w:rPr>
        <w:t xml:space="preserve"> ר"ל שניגון רביע הוא למעלה ותביר למטה וז"ש ובג"ד אינון שברים. ר"ל תביר ושבא ששברים לשון שבר לתברא קלא בנחיתו:</w:t>
      </w:r>
    </w:p>
  </w:footnote>
  <w:footnote w:id="747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תרועה שלשלת דא סגולתא.</w:t>
      </w:r>
      <w:r w:rsidRPr="00BD5E91">
        <w:rPr>
          <w:sz w:val="22"/>
          <w:szCs w:val="22"/>
          <w:rtl/>
        </w:rPr>
        <w:t xml:space="preserve"> שהשלשלת הוא צורת ג' ווין וסגולתא הוא ג' יודין והן ג' ו"י דויסע ויבא ויט כמ"ש בה"ת שכלול בעד"א כלול מחג"ת כידוע. חולם ורביע שניהן ע"ג האות בחסד שבא ותביר שניהן תחת האות בגבורה ת"ת שכלול מחו"ג סגולתא על האות סגול תחת האות סגולתא נקודה האמצעית ע"ג שני הנקודות סגול תחת שני הנקודות:</w:t>
      </w:r>
    </w:p>
  </w:footnote>
  <w:footnote w:id="747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בחשאי.</w:t>
      </w:r>
      <w:r w:rsidRPr="00BD5E91">
        <w:rPr>
          <w:sz w:val="22"/>
          <w:szCs w:val="22"/>
          <w:rtl/>
        </w:rPr>
        <w:t xml:space="preserve"> ר"ל הולך הוא בחשאי והענין הוא כמ"ש (פסחים נו ע"א) הביאו לה בחשאי וזהו הולך סגולתא שהיא שכינה כמ"ש לעיל דף ע"ו ע"ב סגולתא דמתמן שכינתא סגולת מלכים וזהו ציקי קדרה כו':</w:t>
      </w:r>
    </w:p>
  </w:footnote>
  <w:footnote w:id="748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וקולה לא ישמע.</w:t>
      </w:r>
      <w:r w:rsidRPr="00BD5E91">
        <w:rPr>
          <w:sz w:val="22"/>
          <w:szCs w:val="22"/>
          <w:rtl/>
        </w:rPr>
        <w:t xml:space="preserve"> בתפלה </w:t>
      </w:r>
      <w:r>
        <w:rPr>
          <w:rFonts w:hint="cs"/>
          <w:sz w:val="22"/>
          <w:szCs w:val="22"/>
          <w:rtl/>
        </w:rPr>
        <w:t xml:space="preserve">(ברכות לא ע"א) </w:t>
      </w:r>
      <w:r w:rsidRPr="00BD5E91">
        <w:rPr>
          <w:sz w:val="22"/>
          <w:szCs w:val="22"/>
          <w:rtl/>
        </w:rPr>
        <w:t>שהוא מלכות כנ"ל והעיקר נק' סגולתא מסט' דת"ת דמסט' כל הספירות משולשין כמ"ש לעיל דף ע"ג ע"ג ע"ש:</w:t>
      </w:r>
    </w:p>
  </w:footnote>
  <w:footnote w:id="748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נקודת ימין ה' מלך.</w:t>
      </w:r>
      <w:r w:rsidRPr="00BD5E91">
        <w:rPr>
          <w:sz w:val="22"/>
          <w:szCs w:val="22"/>
          <w:rtl/>
        </w:rPr>
        <w:t xml:space="preserve"> ר"ל בסגול:</w:t>
      </w:r>
    </w:p>
  </w:footnote>
  <w:footnote w:id="748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נקודת כו'.</w:t>
      </w:r>
      <w:r w:rsidRPr="00BD5E91">
        <w:rPr>
          <w:sz w:val="22"/>
          <w:szCs w:val="22"/>
          <w:rtl/>
        </w:rPr>
        <w:t xml:space="preserve"> מָלָך:</w:t>
      </w:r>
    </w:p>
  </w:footnote>
  <w:footnote w:id="748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תביר לתברא.</w:t>
      </w:r>
      <w:r w:rsidRPr="00BD5E91">
        <w:rPr>
          <w:sz w:val="22"/>
          <w:szCs w:val="22"/>
          <w:rtl/>
        </w:rPr>
        <w:t xml:space="preserve"> ר"ל לנחתא והוא כמו שברים שהוא מופסק לכמה פרקים:</w:t>
      </w:r>
    </w:p>
  </w:footnote>
  <w:footnote w:id="748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ואיהו כגוונא דרביע.</w:t>
      </w:r>
      <w:r w:rsidRPr="00BD5E91">
        <w:rPr>
          <w:sz w:val="22"/>
          <w:szCs w:val="22"/>
          <w:rtl/>
        </w:rPr>
        <w:t xml:space="preserve"> ר"ל כמש"ו. דמאריך כו':</w:t>
      </w:r>
    </w:p>
  </w:footnote>
  <w:footnote w:id="748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שבא לקבל זקף כו'.</w:t>
      </w:r>
      <w:r w:rsidRPr="00BD5E91">
        <w:rPr>
          <w:sz w:val="22"/>
          <w:szCs w:val="22"/>
          <w:rtl/>
        </w:rPr>
        <w:t xml:space="preserve"> ואע"ג דלעיל אמר לקבל תביר זהו בלשון אבל בצורתו הוא זקף וזהו זקף על שם של תפלת מרים אל בזקף וז"ש לעיל לקצר בצלותיה אל כו' שהוא בגבורה וכן נא לה הוא אלקים שנון מנא הוא ים דאלקים כידוע. וצ"ע כאן שאמר לעיל להאריך מסט' דאת ו' כו' וכולא פ"ו שהוא אלקים ואמר מם י' כו' מים ואח"כ אמר להיפך ומסט' דחסד צריך לארכא לקצר מסט' כו'. ועוד צ"ע שאמר לקצר כו' בתנועה דשברים בינוני כו' בתרועה ובכ"מ משמע להיפך ששברים יותר ארוך מתרועה וכן משמע להדיא בתיקונים. ועוד צ"ע שאמר רביע חולם חסד סגולתא עד"א ואח"כ אמר נקודת ימין סגול נקודת אמצעי חולם:</w:t>
      </w:r>
    </w:p>
  </w:footnote>
  <w:footnote w:id="748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למאן דידע כו'.</w:t>
      </w:r>
      <w:r w:rsidRPr="00BD5E91">
        <w:rPr>
          <w:sz w:val="22"/>
          <w:szCs w:val="22"/>
          <w:rtl/>
        </w:rPr>
        <w:t xml:space="preserve"> והוא מפו' לעיל במתני' דטעמים ונקודות והמשכילים כו' ע"ש:</w:t>
      </w:r>
    </w:p>
  </w:footnote>
  <w:footnote w:id="748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לאגחא קרבא.</w:t>
      </w:r>
      <w:r w:rsidRPr="00BD5E91">
        <w:rPr>
          <w:sz w:val="22"/>
          <w:szCs w:val="22"/>
          <w:rtl/>
        </w:rPr>
        <w:t xml:space="preserve"> כמ"ש בעלי תריסין המנגחין זא"ז:</w:t>
      </w:r>
    </w:p>
  </w:footnote>
  <w:footnote w:id="748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בכל מאני קרבא.</w:t>
      </w:r>
      <w:r w:rsidRPr="00BD5E91">
        <w:rPr>
          <w:sz w:val="22"/>
          <w:szCs w:val="22"/>
          <w:rtl/>
        </w:rPr>
        <w:t xml:space="preserve"> הוא לפרש סוד הטעמים כמ"ש למטה והוא במה שהתחיל לפרש התחלת הטעמים זרקא כו':</w:t>
      </w:r>
    </w:p>
  </w:footnote>
  <w:footnote w:id="748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סוסיהון כו' מרכבותיהן כו'.</w:t>
      </w:r>
      <w:r w:rsidRPr="00BD5E91">
        <w:rPr>
          <w:sz w:val="22"/>
          <w:szCs w:val="22"/>
          <w:rtl/>
        </w:rPr>
        <w:t xml:space="preserve"> מפ' למטה:</w:t>
      </w:r>
    </w:p>
  </w:footnote>
  <w:footnote w:id="749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רומחיהון כו'.</w:t>
      </w:r>
      <w:r w:rsidRPr="00BD5E91">
        <w:rPr>
          <w:sz w:val="22"/>
          <w:szCs w:val="22"/>
          <w:rtl/>
        </w:rPr>
        <w:t xml:space="preserve"> כמ"ש בתיקונים רומח רמ"ח תיבין דק"ש עם ו' תיבין דיחודא הוא רומ"ח. חרב הוא הויה י' רישא דחרבא ו' גופא דחרבא ה"ה תרין פיפיות והוא בד' פרשיות דק"ש קש"ת ק"ש דק"ש והוא קשת דג' גוונין דחג"ת שהן ת"קיעה "שברים "תרועה שיסודן ר"ת קש"ת:</w:t>
      </w:r>
    </w:p>
  </w:footnote>
  <w:footnote w:id="749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וחילהון.</w:t>
      </w:r>
      <w:r w:rsidRPr="00BD5E91">
        <w:rPr>
          <w:sz w:val="22"/>
          <w:szCs w:val="22"/>
          <w:rtl/>
        </w:rPr>
        <w:t xml:space="preserve"> הן ששים גבורים מלומדי מלחמה (שה"ש ג ז) ששים אתוון הידועין דק"ש כמ"ש בז"ח</w:t>
      </w:r>
      <w:r>
        <w:rPr>
          <w:rFonts w:hint="cs"/>
          <w:sz w:val="22"/>
          <w:szCs w:val="22"/>
          <w:rtl/>
        </w:rPr>
        <w:t xml:space="preserve"> (אצלנו דף לב ע"א)</w:t>
      </w:r>
      <w:r w:rsidRPr="00BD5E91">
        <w:rPr>
          <w:sz w:val="22"/>
          <w:szCs w:val="22"/>
          <w:rtl/>
        </w:rPr>
        <w:t xml:space="preserve"> והכל להלחם עם חויא תקיפא כידוע למעבד ליה קירטא והכל בסט' דגבורה שהוא אש כי באש ה' נשפט כו' (ישעיהו סו טז): </w:t>
      </w:r>
    </w:p>
  </w:footnote>
  <w:footnote w:id="749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ולא עוד אלא דסבא דסבין כו'.</w:t>
      </w:r>
      <w:r w:rsidRPr="00BD5E91">
        <w:rPr>
          <w:sz w:val="22"/>
          <w:szCs w:val="22"/>
          <w:rtl/>
        </w:rPr>
        <w:t xml:space="preserve"> שבידיהון רזין דעתיק יומין דשכינה סליקת להתם ומשם אבן די מחת לצלמא כמ"ש לעיל ובתיקונים וסבא דסבין דקם מבתר טולא כו' לעיל הוא מסט' דע"י והוא אדם הראשון שהוא זקן לכל הזקנים ודרגוי בחכמה שרשוי בכתר:</w:t>
      </w:r>
    </w:p>
  </w:footnote>
  <w:footnote w:id="749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ואורייתא איהי נחית כו' בכמה כו'.</w:t>
      </w:r>
      <w:r w:rsidRPr="00BD5E91">
        <w:rPr>
          <w:sz w:val="22"/>
          <w:szCs w:val="22"/>
          <w:rtl/>
        </w:rPr>
        <w:t xml:space="preserve"> כמ"ש (שמות יט טז) ויהי ביום השלישי שהוא עד"א ובו ניתנה התורה ויהי קולות וברקים ויהי קול השופר כו' ובו (תהלים סח יח) רכב אלקים רבותים כו' אדני בם סיני בקודש:</w:t>
      </w:r>
    </w:p>
  </w:footnote>
  <w:footnote w:id="749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מלומדי מלחמה.</w:t>
      </w:r>
      <w:r w:rsidRPr="00BD5E91">
        <w:rPr>
          <w:sz w:val="22"/>
          <w:szCs w:val="22"/>
          <w:rtl/>
        </w:rPr>
        <w:t xml:space="preserve"> הן ששים גבורים הנ"ל:</w:t>
      </w:r>
    </w:p>
  </w:footnote>
  <w:footnote w:id="749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וטעמי דאינון כו'.</w:t>
      </w:r>
      <w:r w:rsidRPr="00BD5E91">
        <w:rPr>
          <w:sz w:val="22"/>
          <w:szCs w:val="22"/>
          <w:rtl/>
        </w:rPr>
        <w:t xml:space="preserve"> כידוע זרקא כו' קירטא לגביה:</w:t>
      </w:r>
    </w:p>
  </w:footnote>
  <w:footnote w:id="7496">
    <w:p w:rsidR="00007309" w:rsidRPr="00BD5E91" w:rsidRDefault="00007309" w:rsidP="00007309">
      <w:pPr>
        <w:jc w:val="both"/>
        <w:rPr>
          <w:rFonts w:cs="Arial"/>
          <w:sz w:val="22"/>
          <w:szCs w:val="22"/>
          <w:rtl/>
        </w:rPr>
      </w:pPr>
      <w:r w:rsidRPr="00BD5E91">
        <w:rPr>
          <w:rStyle w:val="a7"/>
          <w:rFonts w:cs="Arial"/>
          <w:sz w:val="22"/>
          <w:szCs w:val="22"/>
          <w:rtl/>
        </w:rPr>
        <w:footnoteRef/>
      </w:r>
      <w:r w:rsidRPr="00BD5E91">
        <w:rPr>
          <w:rFonts w:cs="Arial"/>
          <w:sz w:val="22"/>
          <w:szCs w:val="22"/>
          <w:rtl/>
        </w:rPr>
        <w:t xml:space="preserve"> </w:t>
      </w:r>
      <w:r w:rsidRPr="00BD5E91">
        <w:rPr>
          <w:rFonts w:cs="Arial"/>
          <w:b/>
          <w:bCs/>
          <w:sz w:val="22"/>
          <w:szCs w:val="22"/>
          <w:rtl/>
        </w:rPr>
        <w:t>כד גלו ישראל כו'.</w:t>
      </w:r>
      <w:r w:rsidRPr="00BD5E91">
        <w:rPr>
          <w:rFonts w:cs="Arial"/>
          <w:sz w:val="22"/>
          <w:szCs w:val="22"/>
          <w:rtl/>
        </w:rPr>
        <w:t xml:space="preserve"> וזהו זרקא דאזדריקו סגולתא ישראל והייתם לי סגולה מקף לכל רוח מקיף את כל העולם שופר הולך בגל</w:t>
      </w:r>
      <w:r>
        <w:rPr>
          <w:rFonts w:cs="Arial" w:hint="cs"/>
          <w:sz w:val="22"/>
          <w:szCs w:val="22"/>
          <w:rtl/>
        </w:rPr>
        <w:t>ו</w:t>
      </w:r>
      <w:r w:rsidRPr="00BD5E91">
        <w:rPr>
          <w:rFonts w:cs="Arial"/>
          <w:sz w:val="22"/>
          <w:szCs w:val="22"/>
          <w:rtl/>
        </w:rPr>
        <w:t>תא:</w:t>
      </w:r>
    </w:p>
  </w:footnote>
  <w:footnote w:id="749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 אתוון כו'.</w:t>
      </w:r>
      <w:r w:rsidRPr="00BD5E91">
        <w:rPr>
          <w:sz w:val="22"/>
          <w:szCs w:val="22"/>
          <w:rtl/>
        </w:rPr>
        <w:t xml:space="preserve"> דהויה דעד"א כמש"ו:</w:t>
      </w:r>
    </w:p>
  </w:footnote>
  <w:footnote w:id="749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ודא עד"א כו'.</w:t>
      </w:r>
      <w:r w:rsidRPr="00BD5E91">
        <w:rPr>
          <w:sz w:val="22"/>
          <w:szCs w:val="22"/>
          <w:rtl/>
        </w:rPr>
        <w:t xml:space="preserve"> שישראל הן בדרגא דעד"א בני בכורי ישראל כידוע:</w:t>
      </w:r>
    </w:p>
  </w:footnote>
  <w:footnote w:id="749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ונשרא כו'.</w:t>
      </w:r>
      <w:r w:rsidRPr="00BD5E91">
        <w:rPr>
          <w:sz w:val="22"/>
          <w:szCs w:val="22"/>
          <w:rtl/>
        </w:rPr>
        <w:t xml:space="preserve"> כאם על בנהא וז"ש לעיל לאגנא עלנא בהאי קרבא כו':</w:t>
      </w:r>
    </w:p>
  </w:footnote>
  <w:footnote w:id="750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מכל סטרין בישין.</w:t>
      </w:r>
      <w:r w:rsidRPr="00BD5E91">
        <w:rPr>
          <w:sz w:val="22"/>
          <w:szCs w:val="22"/>
          <w:rtl/>
        </w:rPr>
        <w:t xml:space="preserve"> דלא שלטא בשבת וי"ט דנשרא בינה עלמא דחירות:</w:t>
      </w:r>
    </w:p>
  </w:footnote>
  <w:footnote w:id="750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אינון בנהא.</w:t>
      </w:r>
      <w:r w:rsidRPr="00BD5E91">
        <w:rPr>
          <w:sz w:val="22"/>
          <w:szCs w:val="22"/>
          <w:rtl/>
        </w:rPr>
        <w:t xml:space="preserve"> ר"ל שבע ימים של סוכות וסוכה עצמה הוא בינה:</w:t>
      </w:r>
    </w:p>
  </w:footnote>
  <w:footnote w:id="750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לקבלייהו אינון שבע כו'.</w:t>
      </w:r>
      <w:r w:rsidRPr="00BD5E91">
        <w:rPr>
          <w:sz w:val="22"/>
          <w:szCs w:val="22"/>
          <w:rtl/>
        </w:rPr>
        <w:t xml:space="preserve"> ר"ל לקבל סוכות ז' ימים ג"כ:</w:t>
      </w:r>
    </w:p>
  </w:footnote>
  <w:footnote w:id="750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שבעת ימים כו'.</w:t>
      </w:r>
      <w:r w:rsidRPr="00BD5E91">
        <w:rPr>
          <w:sz w:val="22"/>
          <w:szCs w:val="22"/>
          <w:rtl/>
        </w:rPr>
        <w:t xml:space="preserve"> שהן בצלא דמהימנותא תחת הסוכה אימא עילאה:</w:t>
      </w:r>
    </w:p>
  </w:footnote>
  <w:footnote w:id="750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ומיום השמיני כו'.</w:t>
      </w:r>
      <w:r w:rsidRPr="00BD5E91">
        <w:rPr>
          <w:sz w:val="22"/>
          <w:szCs w:val="22"/>
          <w:rtl/>
        </w:rPr>
        <w:t xml:space="preserve"> בש"ע אז ירצה כו' שאז מקריבין בשביל ישראל שכל ימי הסוכות בשביל שבעים אומות כידוע:</w:t>
      </w:r>
    </w:p>
  </w:footnote>
  <w:footnote w:id="750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על גוזליו.</w:t>
      </w:r>
      <w:r w:rsidRPr="00BD5E91">
        <w:rPr>
          <w:sz w:val="22"/>
          <w:szCs w:val="22"/>
          <w:rtl/>
        </w:rPr>
        <w:t xml:space="preserve"> שבע בנין שכ"א כלול מעשר והן ע' אנפין דאורייתא דכליל בעד"א שהוא אורייתא כנ"ל ע' נפש דיעקב גוזליו וז"ש דאינון שבעין כו':</w:t>
      </w:r>
    </w:p>
  </w:footnote>
  <w:footnote w:id="750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הה"ד ורוח כו'.</w:t>
      </w:r>
      <w:r w:rsidRPr="00BD5E91">
        <w:rPr>
          <w:sz w:val="22"/>
          <w:szCs w:val="22"/>
          <w:rtl/>
        </w:rPr>
        <w:t xml:space="preserve"> ר"ל ירחף כמו מרחפת כו'. ורוח אלקים בינה אלקים חיים כידוע. על פני המים. מים הוא אורייתא כל צמא לכו למים (ישעיהו נה א):</w:t>
      </w:r>
    </w:p>
  </w:footnote>
  <w:footnote w:id="750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מיד ויאמר אלקים כו'.</w:t>
      </w:r>
      <w:r w:rsidRPr="00BD5E91">
        <w:rPr>
          <w:sz w:val="22"/>
          <w:szCs w:val="22"/>
          <w:rtl/>
        </w:rPr>
        <w:t xml:space="preserve"> שתחלה מדבר בגלות תהו ובהו כו' ד' גליות כמש"ל:</w:t>
      </w:r>
    </w:p>
  </w:footnote>
  <w:footnote w:id="750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יהי אור יהא פורקנא כו'.</w:t>
      </w:r>
      <w:r w:rsidRPr="00BD5E91">
        <w:rPr>
          <w:sz w:val="22"/>
          <w:szCs w:val="22"/>
          <w:rtl/>
        </w:rPr>
        <w:t xml:space="preserve"> ע"י ר"ז או"ר רזין דאורייתא שע"י הרזין יהיה פורקנא כמש"ל וזהו רוח אלקים של בינה שהיא עץ החיים רזין דאורייתא מרחף על ע' אנפין:</w:t>
      </w:r>
    </w:p>
  </w:footnote>
  <w:footnote w:id="750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בההוא זימנא כו'.</w:t>
      </w:r>
      <w:r w:rsidRPr="00BD5E91">
        <w:rPr>
          <w:sz w:val="22"/>
          <w:szCs w:val="22"/>
          <w:rtl/>
        </w:rPr>
        <w:t xml:space="preserve"> ר"ל קיבוץ גליות:</w:t>
      </w:r>
    </w:p>
  </w:footnote>
  <w:footnote w:id="751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ובג"ד נשרא כו'.</w:t>
      </w:r>
      <w:r w:rsidRPr="00BD5E91">
        <w:rPr>
          <w:sz w:val="22"/>
          <w:szCs w:val="22"/>
          <w:rtl/>
        </w:rPr>
        <w:t xml:space="preserve"> ר"ל שאמר יהי אור כו' בההוא דזמנא יפרוש כו' ההוא נשרא ואמר דאור דעין הוא ג"כ תליא בנשרא יפרוש כנפיו כמש"ו:</w:t>
      </w:r>
    </w:p>
  </w:footnote>
  <w:footnote w:id="751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דאתמר בהון וראיתיה.</w:t>
      </w:r>
      <w:r w:rsidRPr="00BD5E91">
        <w:rPr>
          <w:sz w:val="22"/>
          <w:szCs w:val="22"/>
          <w:rtl/>
        </w:rPr>
        <w:t xml:space="preserve"> בתלת גוונין דקשת שבהן תלוי הראיה ג' גווני עינא דבזימנא דגוונוי נהירין אז לזכור ברית עולם פורקנא כידוע אז יפרוש כנפיו וז"ש אינון גוונין כו':</w:t>
      </w:r>
    </w:p>
  </w:footnote>
  <w:footnote w:id="751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דאיהי כו'.</w:t>
      </w:r>
      <w:r w:rsidRPr="00BD5E91">
        <w:rPr>
          <w:sz w:val="22"/>
          <w:szCs w:val="22"/>
          <w:rtl/>
        </w:rPr>
        <w:t xml:space="preserve"> ר"ל העינא שהיא בינה:</w:t>
      </w:r>
    </w:p>
  </w:footnote>
  <w:footnote w:id="751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ומתפתחין לגבה לקבלא לה.</w:t>
      </w:r>
      <w:r w:rsidRPr="00BD5E91">
        <w:rPr>
          <w:sz w:val="22"/>
          <w:szCs w:val="22"/>
          <w:rtl/>
        </w:rPr>
        <w:t xml:space="preserve"> ר"ל את אימא עלייהו בינה אם על הבנים כנ"ל ע"ג חג"ת ג' גוונין ור"ל דמסתכלאן ומתפתחין כו'. ר"ל להסתכל בעץ החיים בינה ברזין דאורייתא שהוא בפתיחו דעיינין ולבי ער ל"ב של בת עינא כמ"ש לעיל דף ע"ג ע"ד:</w:t>
      </w:r>
    </w:p>
  </w:footnote>
  <w:footnote w:id="751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מרכבה עלייהו.</w:t>
      </w:r>
      <w:r w:rsidRPr="00BD5E91">
        <w:rPr>
          <w:sz w:val="22"/>
          <w:szCs w:val="22"/>
          <w:rtl/>
        </w:rPr>
        <w:t xml:space="preserve"> ע"ג חג"ת כנ"ל שהאבות הן המרכבה וחג"ת סלקין לבינה כידוע בסוד הברכה ברוך אתה כו' וז"ש. ומיד כו' ואביא אתכם אלי:</w:t>
      </w:r>
    </w:p>
  </w:footnote>
  <w:footnote w:id="751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ומיד ואשא כו'.</w:t>
      </w:r>
      <w:r w:rsidRPr="00BD5E91">
        <w:rPr>
          <w:sz w:val="22"/>
          <w:szCs w:val="22"/>
          <w:rtl/>
        </w:rPr>
        <w:t xml:space="preserve"> כנ"ל שברזין יהא הפורקנא:</w:t>
      </w:r>
    </w:p>
  </w:footnote>
  <w:footnote w:id="751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כנפי נשרים.</w:t>
      </w:r>
      <w:r w:rsidRPr="00BD5E91">
        <w:rPr>
          <w:sz w:val="22"/>
          <w:szCs w:val="22"/>
          <w:rtl/>
        </w:rPr>
        <w:t xml:space="preserve"> כרובי עינא דמתפתחאן כנ"ל:</w:t>
      </w:r>
    </w:p>
  </w:footnote>
  <w:footnote w:id="751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אלי.</w:t>
      </w:r>
      <w:r w:rsidRPr="00BD5E91">
        <w:rPr>
          <w:sz w:val="22"/>
          <w:szCs w:val="22"/>
          <w:rtl/>
        </w:rPr>
        <w:t xml:space="preserve"> גי' אם אלי דאלקים נשאר מ"ה הוא מ"ה דעד"א כלול חג"ת וזהו אלקים שבבינה:</w:t>
      </w:r>
    </w:p>
  </w:footnote>
  <w:footnote w:id="751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איהי תגא כו'.</w:t>
      </w:r>
      <w:r w:rsidRPr="00BD5E91">
        <w:rPr>
          <w:sz w:val="22"/>
          <w:szCs w:val="22"/>
          <w:rtl/>
        </w:rPr>
        <w:t xml:space="preserve"> עטרת בעלה ע"ג ו' דזרקא כמ"ש לעיל:</w:t>
      </w:r>
    </w:p>
  </w:footnote>
  <w:footnote w:id="751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בכל עשר ספירן.</w:t>
      </w:r>
      <w:r w:rsidRPr="00BD5E91">
        <w:rPr>
          <w:sz w:val="22"/>
          <w:szCs w:val="22"/>
          <w:rtl/>
        </w:rPr>
        <w:t xml:space="preserve"> כמו דסלקא בכל עשר ספירן ומוכללת מכל אחד כמש"ל והן ע"ס שהן בעין כמש"ל דף ע"ג ע"ד וכלהו כלילן בבת עין כמ"ש נגע בבת וכליל ע"ס כו':</w:t>
      </w:r>
    </w:p>
  </w:footnote>
  <w:footnote w:id="752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מרקמין מכל גוונין כו'.</w:t>
      </w:r>
      <w:r w:rsidRPr="00BD5E91">
        <w:rPr>
          <w:sz w:val="22"/>
          <w:szCs w:val="22"/>
          <w:rtl/>
        </w:rPr>
        <w:t xml:space="preserve"> והן ה' גוונין דעינא חיור וסומק וירוק ואוכם ותכלת כמ"ש בתיקונים כלול בג' גוונין וחמש אור נהרין בה' גוונין ז"ש וחמש אור כו' וה' גוונין הן ה' תתאה שכינה תתאה ה' עילאה ה' אור דמעשה בראשית כידוע:</w:t>
      </w:r>
    </w:p>
  </w:footnote>
  <w:footnote w:id="752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בההוא זימנא כו' וראיתיה כו'.</w:t>
      </w:r>
      <w:r w:rsidRPr="00BD5E91">
        <w:rPr>
          <w:sz w:val="22"/>
          <w:szCs w:val="22"/>
          <w:rtl/>
        </w:rPr>
        <w:t xml:space="preserve"> שרואה אותה נהיר באור שהוא ראיה זהו וראיתיה אז לזכור כו' שיהא פורקנא וז"ש בזמנא דתחזי קשת בגוונין נהירין תצפי לרגלא דמשיחא שה' אור נהירין בה' גוונין זהו גוונין נהירין. ברית עולם הגאולה שכרת וזכרתי את בריתי יעקב כו' ג' גוונין דקשת וראיתיה. ו' ראיתי ה' שו' עד"א רואה אותה בגווני נהירין ה' אור והאור הוא בינה ה' עילאה נ' תרעין דחירו שבהן יצאו לחירות בפורקנא עלמא דחירו וכשתאיר לשכינה תתאה יצאו לחירות ותצא שכינה ככלה תעדה כליה (ישעיהו סא י) ה' גוונין נהירין בנ' תרעין בכל דכלה ואז יתיחד בעלה עמה וזהו לזכור ברית כמו שרואה אשתו מקושטת וד"ל. וז"ש </w:t>
      </w:r>
      <w:r w:rsidRPr="00BD5E91">
        <w:rPr>
          <w:b/>
          <w:bCs/>
          <w:sz w:val="22"/>
          <w:szCs w:val="22"/>
          <w:rtl/>
        </w:rPr>
        <w:t>והארץ היתה תהו כו'.</w:t>
      </w:r>
      <w:r w:rsidRPr="00BD5E91">
        <w:rPr>
          <w:sz w:val="22"/>
          <w:szCs w:val="22"/>
          <w:rtl/>
        </w:rPr>
        <w:t xml:space="preserve"> שהן ה' גוונין דעינא כמש"ל ע"ד והארץ חד תהו תרין כו' ורוח אלקים כו' רוחא דמשיחא כו'. הא פורקנא הה"ד ויאמר כו' והן ה"פ אור שכתוב שם אז ויהי ערב ויהי בוקר יום אחד שיתייחדו זו"נ וז"ש. בההוא זמנא יתקיים כו': </w:t>
      </w:r>
    </w:p>
  </w:footnote>
  <w:footnote w:id="752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מלכא. </w:t>
      </w:r>
      <w:r w:rsidRPr="00BD5E91">
        <w:rPr>
          <w:sz w:val="22"/>
          <w:szCs w:val="22"/>
          <w:rtl/>
        </w:rPr>
        <w:t>שהוא חכמה מלך רב כמ"ש למטה:</w:t>
      </w:r>
    </w:p>
  </w:footnote>
  <w:footnote w:id="752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מלכי ישפר עלך.</w:t>
      </w:r>
      <w:r w:rsidRPr="00BD5E91">
        <w:rPr>
          <w:sz w:val="22"/>
          <w:szCs w:val="22"/>
          <w:rtl/>
        </w:rPr>
        <w:t xml:space="preserve"> ר"ל מלכי מלכות ישפר עלך שהיא נהרא בגוונין נהירין ומתקשטת בכל תיקונין ולבושין כנ"ל ע"כ תעזוב בנך שהוא בחכמה לאזדווגא בה ולתת לו מוחין מחכמה כידוע בכל זיווג:</w:t>
      </w:r>
    </w:p>
  </w:footnote>
  <w:footnote w:id="752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ודא איהו מקף שופר כו'.</w:t>
      </w:r>
      <w:r w:rsidRPr="00BD5E91">
        <w:rPr>
          <w:sz w:val="22"/>
          <w:szCs w:val="22"/>
          <w:rtl/>
        </w:rPr>
        <w:t xml:space="preserve"> ר"ל מקף גי' מלכי עלך שופר ישפר כמש"ו לישנא דשופרא מתקשטא כנ"ל:</w:t>
      </w:r>
    </w:p>
  </w:footnote>
  <w:footnote w:id="752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דמתחברת.</w:t>
      </w:r>
      <w:r w:rsidRPr="00BD5E91">
        <w:rPr>
          <w:sz w:val="22"/>
          <w:szCs w:val="22"/>
          <w:rtl/>
        </w:rPr>
        <w:t xml:space="preserve"> שכינה תתאה:</w:t>
      </w:r>
    </w:p>
  </w:footnote>
  <w:footnote w:id="752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יימא לה.</w:t>
      </w:r>
      <w:r w:rsidRPr="00BD5E91">
        <w:rPr>
          <w:sz w:val="22"/>
          <w:szCs w:val="22"/>
          <w:rtl/>
        </w:rPr>
        <w:t xml:space="preserve"> ר"ל לבינה:</w:t>
      </w:r>
    </w:p>
  </w:footnote>
  <w:footnote w:id="752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הולך סגולתא.</w:t>
      </w:r>
      <w:r w:rsidRPr="00BD5E91">
        <w:rPr>
          <w:sz w:val="22"/>
          <w:szCs w:val="22"/>
          <w:rtl/>
        </w:rPr>
        <w:t xml:space="preserve"> ר"ל תוליך את הסגולה השכינה כמ"ש לעיל עם בעלה לאתייחד לון כחדא וז"ש רחימא עם בעלה. וזהו זרקא השכינה דאזדריקת לעילא עד א"ס כמש"ל ופרחת בה כו' עד א"ס ואח"כ מקף שופר ואח"כ הולך סגולתא כנ"ל:</w:t>
      </w:r>
    </w:p>
  </w:footnote>
  <w:footnote w:id="752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ע"כ יעזב איש כו'.</w:t>
      </w:r>
      <w:r w:rsidRPr="00BD5E91">
        <w:rPr>
          <w:sz w:val="22"/>
          <w:szCs w:val="22"/>
          <w:rtl/>
        </w:rPr>
        <w:t xml:space="preserve"> כנ"ל שהולך מחכמה ומזדווג בה:</w:t>
      </w:r>
    </w:p>
  </w:footnote>
  <w:footnote w:id="752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ה' אחד לעילא.</w:t>
      </w:r>
      <w:r w:rsidRPr="00BD5E91">
        <w:rPr>
          <w:sz w:val="22"/>
          <w:szCs w:val="22"/>
          <w:rtl/>
        </w:rPr>
        <w:t xml:space="preserve"> באו"א ששם הויה סתימא:</w:t>
      </w:r>
    </w:p>
  </w:footnote>
  <w:footnote w:id="753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ושמו אחד לתתא.</w:t>
      </w:r>
      <w:r w:rsidRPr="00BD5E91">
        <w:rPr>
          <w:sz w:val="22"/>
          <w:szCs w:val="22"/>
          <w:rtl/>
        </w:rPr>
        <w:t xml:space="preserve"> הוא בזו"נ ששם גילוי שמו שזהו שמו מה שמו וכולם אחד כנ"ל לבשר אחד וז"ש. ויהון או"א:</w:t>
      </w:r>
    </w:p>
  </w:footnote>
  <w:footnote w:id="753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לחושבן אחד אחד.</w:t>
      </w:r>
      <w:r w:rsidRPr="00BD5E91">
        <w:rPr>
          <w:sz w:val="22"/>
          <w:szCs w:val="22"/>
          <w:rtl/>
        </w:rPr>
        <w:t xml:space="preserve"> ב"פ י"ג שאו"א מתייחדין ע"י דעת מזלא עילאה י"ג תיקוני דיקנא וזו"נ מתייחדין ע"י מזלא תתאה י"ג תיקוני דיקנא תתאה כידוע. ואח"כ מתחברין י"ה בו"ה שא"א להתחבר י"ה בו"ה עד שיתחברו י' עם ה' ו' עם ה' דכר ונוק' וז"ש. בההוא זימנא כו':</w:t>
      </w:r>
    </w:p>
  </w:footnote>
  <w:footnote w:id="753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שריין על צדיק.</w:t>
      </w:r>
      <w:r w:rsidRPr="00BD5E91">
        <w:rPr>
          <w:sz w:val="22"/>
          <w:szCs w:val="22"/>
          <w:rtl/>
        </w:rPr>
        <w:t xml:space="preserve"> כידוע בסוד הזיווג שע"י חיבור היסוד מתחברין המוחין והוא כמ"ש (תענית ה ע"א) לא אבוא בירושלים של מעלה שהוא אימא עילאה כידוע וזהו לא אבא אותיות אבא חכמה עד כו':</w:t>
      </w:r>
    </w:p>
  </w:footnote>
  <w:footnote w:id="753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יפה נוף.</w:t>
      </w:r>
      <w:r w:rsidRPr="00BD5E91">
        <w:rPr>
          <w:sz w:val="22"/>
          <w:szCs w:val="22"/>
          <w:rtl/>
        </w:rPr>
        <w:t xml:space="preserve"> יסוד כידוע שהוא י' זעירא עטרת כידוע והוא כל פה גי' מילה וזהו יפ"ה:</w:t>
      </w:r>
    </w:p>
  </w:footnote>
  <w:footnote w:id="753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משוש כל הארץ.</w:t>
      </w:r>
      <w:r w:rsidRPr="00BD5E91">
        <w:rPr>
          <w:sz w:val="22"/>
          <w:szCs w:val="22"/>
          <w:rtl/>
        </w:rPr>
        <w:t xml:space="preserve"> שהוא משוש של הארץ מלכות:</w:t>
      </w:r>
    </w:p>
  </w:footnote>
  <w:footnote w:id="753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ויתער לתתא משיח כו'.</w:t>
      </w:r>
      <w:r w:rsidRPr="00BD5E91">
        <w:rPr>
          <w:sz w:val="22"/>
          <w:szCs w:val="22"/>
          <w:rtl/>
        </w:rPr>
        <w:t xml:space="preserve"> ור"ל זהו משוש כל הארץ כמ"ש </w:t>
      </w:r>
      <w:r>
        <w:rPr>
          <w:rFonts w:hint="cs"/>
          <w:sz w:val="22"/>
          <w:szCs w:val="22"/>
          <w:rtl/>
        </w:rPr>
        <w:t xml:space="preserve">(זכריה ט ט) </w:t>
      </w:r>
      <w:r w:rsidRPr="00BD5E91">
        <w:rPr>
          <w:sz w:val="22"/>
          <w:szCs w:val="22"/>
          <w:rtl/>
        </w:rPr>
        <w:t>גילי ורני מאד כו' ז"ש. ויסתלק כו' וכל המזמור מדבר על ביאת המשיח:</w:t>
      </w:r>
    </w:p>
  </w:footnote>
  <w:footnote w:id="753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 ההוא הר כו'.</w:t>
      </w:r>
      <w:r w:rsidRPr="00BD5E91">
        <w:rPr>
          <w:sz w:val="22"/>
          <w:szCs w:val="22"/>
          <w:rtl/>
        </w:rPr>
        <w:t xml:space="preserve"> ר"ל מרע"ה ונק' הר גובה שעל צדיק:</w:t>
      </w:r>
    </w:p>
  </w:footnote>
  <w:footnote w:id="753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ירכין דיליה.</w:t>
      </w:r>
      <w:r w:rsidRPr="00BD5E91">
        <w:rPr>
          <w:sz w:val="22"/>
          <w:szCs w:val="22"/>
          <w:rtl/>
        </w:rPr>
        <w:t xml:space="preserve"> נו"ה ונקרא ירכתי צפון שרגלין לצפון כמ"ש בתיקונים:</w:t>
      </w:r>
    </w:p>
  </w:footnote>
  <w:footnote w:id="753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ואיהו אות בינייהו.</w:t>
      </w:r>
      <w:r w:rsidRPr="00BD5E91">
        <w:rPr>
          <w:sz w:val="22"/>
          <w:szCs w:val="22"/>
          <w:rtl/>
        </w:rPr>
        <w:t xml:space="preserve"> וזהו הר ציון שציון הוא צדיק בסוד יוסף הצדיק יוסף גי' ציון כידוע:</w:t>
      </w:r>
    </w:p>
  </w:footnote>
  <w:footnote w:id="753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בינייהו.</w:t>
      </w:r>
      <w:r w:rsidRPr="00BD5E91">
        <w:rPr>
          <w:sz w:val="22"/>
          <w:szCs w:val="22"/>
          <w:rtl/>
        </w:rPr>
        <w:t xml:space="preserve"> כמ"ש בר"מ שמשיח ב"ד יהיה מימיניה ומשיח בן יוסף משמאליה יהודה גור אריה אל הימין יוסף בכור שורו אל השמאל לארבעתם:</w:t>
      </w:r>
    </w:p>
  </w:footnote>
  <w:footnote w:id="754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וזה לך האות.</w:t>
      </w:r>
      <w:r w:rsidRPr="00BD5E91">
        <w:rPr>
          <w:sz w:val="22"/>
          <w:szCs w:val="22"/>
          <w:rtl/>
        </w:rPr>
        <w:t xml:space="preserve"> ר"ל שלו האות כמ"ש על פ' הנני נותן לו את בריתי שגוף וברית חד והוא באמצע:</w:t>
      </w:r>
    </w:p>
  </w:footnote>
  <w:footnote w:id="754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קרית מלך.</w:t>
      </w:r>
      <w:r w:rsidRPr="00BD5E91">
        <w:rPr>
          <w:sz w:val="22"/>
          <w:szCs w:val="22"/>
          <w:rtl/>
        </w:rPr>
        <w:t xml:space="preserve"> ר"ל של מלך נקודה בהיכליה:</w:t>
      </w:r>
    </w:p>
  </w:footnote>
  <w:footnote w:id="754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מלך רב.</w:t>
      </w:r>
      <w:r w:rsidRPr="00BD5E91">
        <w:rPr>
          <w:sz w:val="22"/>
          <w:szCs w:val="22"/>
          <w:rtl/>
        </w:rPr>
        <w:t xml:space="preserve"> שיש מלך זעירא:</w:t>
      </w:r>
    </w:p>
  </w:footnote>
  <w:footnote w:id="754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נחיתת כו'.</w:t>
      </w:r>
      <w:r w:rsidRPr="00BD5E91">
        <w:rPr>
          <w:sz w:val="22"/>
          <w:szCs w:val="22"/>
          <w:rtl/>
        </w:rPr>
        <w:t xml:space="preserve"> כמ"ש במלך שלמה. צדיק כידוע בעטרה שעטרה לו אמו כו':</w:t>
      </w:r>
    </w:p>
  </w:footnote>
  <w:footnote w:id="7544">
    <w:p w:rsidR="00007309" w:rsidRPr="00BD5E91" w:rsidRDefault="00007309" w:rsidP="00007309">
      <w:pPr>
        <w:jc w:val="both"/>
        <w:rPr>
          <w:rFonts w:cs="Arial"/>
          <w:sz w:val="22"/>
          <w:szCs w:val="22"/>
          <w:rtl/>
        </w:rPr>
      </w:pPr>
      <w:r w:rsidRPr="00BD5E91">
        <w:rPr>
          <w:rStyle w:val="a7"/>
          <w:rFonts w:cs="Arial"/>
          <w:sz w:val="22"/>
          <w:szCs w:val="22"/>
          <w:rtl/>
        </w:rPr>
        <w:footnoteRef/>
      </w:r>
      <w:r w:rsidRPr="00BD5E91">
        <w:rPr>
          <w:rFonts w:cs="Arial"/>
          <w:sz w:val="22"/>
          <w:szCs w:val="22"/>
          <w:rtl/>
        </w:rPr>
        <w:t xml:space="preserve"> </w:t>
      </w:r>
      <w:r w:rsidRPr="00BD5E91">
        <w:rPr>
          <w:rFonts w:cs="Arial"/>
          <w:b/>
          <w:bCs/>
          <w:sz w:val="22"/>
          <w:szCs w:val="22"/>
          <w:rtl/>
        </w:rPr>
        <w:t>קם סבא כו' תרי הוו כו'.</w:t>
      </w:r>
      <w:r w:rsidRPr="00BD5E91">
        <w:rPr>
          <w:rFonts w:cs="Arial"/>
          <w:sz w:val="22"/>
          <w:szCs w:val="22"/>
          <w:rtl/>
        </w:rPr>
        <w:t xml:space="preserve"> כמש"ו עד"א ויסוד</w:t>
      </w:r>
      <w:r>
        <w:rPr>
          <w:rFonts w:cs="Arial" w:hint="cs"/>
          <w:sz w:val="22"/>
          <w:szCs w:val="22"/>
          <w:rtl/>
        </w:rPr>
        <w:t>,</w:t>
      </w:r>
      <w:r w:rsidRPr="00BD5E91">
        <w:rPr>
          <w:rFonts w:cs="Arial"/>
          <w:sz w:val="22"/>
          <w:szCs w:val="22"/>
          <w:rtl/>
        </w:rPr>
        <w:t xml:space="preserve"> ובשכינה אינון חד</w:t>
      </w:r>
      <w:r>
        <w:rPr>
          <w:rFonts w:cs="Arial" w:hint="cs"/>
          <w:sz w:val="22"/>
          <w:szCs w:val="22"/>
          <w:rtl/>
        </w:rPr>
        <w:t>.</w:t>
      </w:r>
      <w:r w:rsidRPr="00BD5E91">
        <w:rPr>
          <w:rFonts w:cs="Arial"/>
          <w:sz w:val="22"/>
          <w:szCs w:val="22"/>
          <w:rtl/>
        </w:rPr>
        <w:t xml:space="preserve"> מפני שאמר למעלה שמשה רבינו הוא אות בינייהו</w:t>
      </w:r>
      <w:r>
        <w:rPr>
          <w:rFonts w:cs="Arial" w:hint="cs"/>
          <w:sz w:val="22"/>
          <w:szCs w:val="22"/>
          <w:rtl/>
        </w:rPr>
        <w:t>,</w:t>
      </w:r>
      <w:r w:rsidRPr="00BD5E91">
        <w:rPr>
          <w:rFonts w:cs="Arial"/>
          <w:sz w:val="22"/>
          <w:szCs w:val="22"/>
          <w:rtl/>
        </w:rPr>
        <w:t xml:space="preserve"> יסוד</w:t>
      </w:r>
      <w:r>
        <w:rPr>
          <w:rFonts w:cs="Arial" w:hint="cs"/>
          <w:sz w:val="22"/>
          <w:szCs w:val="22"/>
          <w:rtl/>
        </w:rPr>
        <w:t>,</w:t>
      </w:r>
      <w:r w:rsidRPr="00BD5E91">
        <w:rPr>
          <w:rFonts w:cs="Arial"/>
          <w:sz w:val="22"/>
          <w:szCs w:val="22"/>
          <w:rtl/>
        </w:rPr>
        <w:t xml:space="preserve"> והוא עד"א כידוע:</w:t>
      </w:r>
    </w:p>
  </w:footnote>
  <w:footnote w:id="754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משוש דצדיק כו'.</w:t>
      </w:r>
      <w:r w:rsidRPr="00BD5E91">
        <w:rPr>
          <w:sz w:val="22"/>
          <w:szCs w:val="22"/>
          <w:rtl/>
        </w:rPr>
        <w:t xml:space="preserve"> ר"ל זהו</w:t>
      </w:r>
      <w:r>
        <w:rPr>
          <w:rFonts w:hint="cs"/>
          <w:sz w:val="22"/>
          <w:szCs w:val="22"/>
          <w:rtl/>
        </w:rPr>
        <w:t>,</w:t>
      </w:r>
      <w:r w:rsidRPr="00BD5E91">
        <w:rPr>
          <w:sz w:val="22"/>
          <w:szCs w:val="22"/>
          <w:rtl/>
        </w:rPr>
        <w:t xml:space="preserve"> משוש כל הארץ</w:t>
      </w:r>
      <w:r>
        <w:rPr>
          <w:rFonts w:hint="cs"/>
          <w:sz w:val="22"/>
          <w:szCs w:val="22"/>
          <w:rtl/>
        </w:rPr>
        <w:t>,</w:t>
      </w:r>
      <w:r w:rsidRPr="00BD5E91">
        <w:rPr>
          <w:sz w:val="22"/>
          <w:szCs w:val="22"/>
          <w:rtl/>
        </w:rPr>
        <w:t xml:space="preserve"> כל וארץ כמש"ו:</w:t>
      </w:r>
    </w:p>
  </w:footnote>
  <w:footnote w:id="754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ולגבה כו'.</w:t>
      </w:r>
      <w:r w:rsidRPr="00BD5E91">
        <w:rPr>
          <w:sz w:val="22"/>
          <w:szCs w:val="22"/>
          <w:rtl/>
        </w:rPr>
        <w:t xml:space="preserve"> דאתכליל עד"א ביסוד</w:t>
      </w:r>
      <w:r>
        <w:rPr>
          <w:rFonts w:hint="cs"/>
          <w:sz w:val="22"/>
          <w:szCs w:val="22"/>
          <w:rtl/>
        </w:rPr>
        <w:t>,</w:t>
      </w:r>
      <w:r w:rsidRPr="00BD5E91">
        <w:rPr>
          <w:sz w:val="22"/>
          <w:szCs w:val="22"/>
          <w:rtl/>
        </w:rPr>
        <w:t xml:space="preserve"> שלגבה חג"ת נכללין בנה"י</w:t>
      </w:r>
      <w:r>
        <w:rPr>
          <w:rFonts w:hint="cs"/>
          <w:sz w:val="22"/>
          <w:szCs w:val="22"/>
          <w:rtl/>
        </w:rPr>
        <w:t>,</w:t>
      </w:r>
      <w:r w:rsidRPr="00BD5E91">
        <w:rPr>
          <w:sz w:val="22"/>
          <w:szCs w:val="22"/>
          <w:rtl/>
        </w:rPr>
        <w:t xml:space="preserve"> תלת כלילן בתלת</w:t>
      </w:r>
      <w:r>
        <w:rPr>
          <w:rFonts w:hint="cs"/>
          <w:sz w:val="22"/>
          <w:szCs w:val="22"/>
          <w:rtl/>
        </w:rPr>
        <w:t>,</w:t>
      </w:r>
      <w:r w:rsidRPr="00BD5E91">
        <w:rPr>
          <w:sz w:val="22"/>
          <w:szCs w:val="22"/>
          <w:rtl/>
        </w:rPr>
        <w:t xml:space="preserve"> ולכן היא רביעית לכל תלת:</w:t>
      </w:r>
    </w:p>
  </w:footnote>
  <w:footnote w:id="754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ממקורא עילאה כו'.</w:t>
      </w:r>
      <w:r w:rsidRPr="00BD5E91">
        <w:rPr>
          <w:sz w:val="22"/>
          <w:szCs w:val="22"/>
          <w:rtl/>
        </w:rPr>
        <w:t xml:space="preserve"> כתר:</w:t>
      </w:r>
    </w:p>
  </w:footnote>
  <w:footnote w:id="754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האי נקודה כו'.</w:t>
      </w:r>
      <w:r w:rsidRPr="00BD5E91">
        <w:rPr>
          <w:sz w:val="22"/>
          <w:szCs w:val="22"/>
          <w:rtl/>
        </w:rPr>
        <w:t xml:space="preserve"> יסוד דילה שהיא אבן מאסו כו' דהיא סלקא לעילא כידוע ומקבלת מכולם:</w:t>
      </w:r>
    </w:p>
  </w:footnote>
  <w:footnote w:id="754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ובהון אתעביד סגול.</w:t>
      </w:r>
      <w:r w:rsidRPr="00BD5E91">
        <w:rPr>
          <w:sz w:val="22"/>
          <w:szCs w:val="22"/>
          <w:rtl/>
        </w:rPr>
        <w:t xml:space="preserve"> ר"ל בתרין ירכין:</w:t>
      </w:r>
    </w:p>
  </w:footnote>
  <w:footnote w:id="755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על תרין דרועין.</w:t>
      </w:r>
      <w:r w:rsidRPr="00BD5E91">
        <w:rPr>
          <w:sz w:val="22"/>
          <w:szCs w:val="22"/>
          <w:rtl/>
        </w:rPr>
        <w:t xml:space="preserve"> ות"ת למטה משני דרועין וז"ש. דאינון כו':</w:t>
      </w:r>
    </w:p>
  </w:footnote>
  <w:footnote w:id="755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אבן מאסו כו'.</w:t>
      </w:r>
      <w:r w:rsidRPr="00BD5E91">
        <w:rPr>
          <w:sz w:val="22"/>
          <w:szCs w:val="22"/>
          <w:rtl/>
        </w:rPr>
        <w:t xml:space="preserve"> שלמטה בנה"י שהן ג"כ בחי' חג"ת אבות היא למטה ושם מאסו כאן היתה כו':</w:t>
      </w:r>
    </w:p>
  </w:footnote>
  <w:footnote w:id="755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הבונים.</w:t>
      </w:r>
      <w:r w:rsidRPr="00BD5E91">
        <w:rPr>
          <w:sz w:val="22"/>
          <w:szCs w:val="22"/>
          <w:rtl/>
        </w:rPr>
        <w:t xml:space="preserve"> אבות. דנבנית מהן כידוע כרוה נדיבי העם כו':</w:t>
      </w:r>
    </w:p>
  </w:footnote>
  <w:footnote w:id="755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ואינון ג' כו'.</w:t>
      </w:r>
      <w:r w:rsidRPr="00BD5E91">
        <w:rPr>
          <w:sz w:val="22"/>
          <w:szCs w:val="22"/>
          <w:rtl/>
        </w:rPr>
        <w:t xml:space="preserve"> סגולתא:</w:t>
      </w:r>
    </w:p>
  </w:footnote>
  <w:footnote w:id="755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 חכמה עילאה כו'.</w:t>
      </w:r>
      <w:r w:rsidRPr="00BD5E91">
        <w:rPr>
          <w:sz w:val="22"/>
          <w:szCs w:val="22"/>
          <w:rtl/>
        </w:rPr>
        <w:t xml:space="preserve"> ר"ל מ"</w:t>
      </w:r>
      <w:r>
        <w:rPr>
          <w:rFonts w:hint="cs"/>
          <w:sz w:val="22"/>
          <w:szCs w:val="22"/>
          <w:rtl/>
        </w:rPr>
        <w:t>ס</w:t>
      </w:r>
      <w:r w:rsidRPr="00BD5E91">
        <w:rPr>
          <w:sz w:val="22"/>
          <w:szCs w:val="22"/>
          <w:rtl/>
        </w:rPr>
        <w:t xml:space="preserve"> שבאריך שהוא כתר</w:t>
      </w:r>
      <w:r>
        <w:rPr>
          <w:rFonts w:hint="cs"/>
          <w:sz w:val="22"/>
          <w:szCs w:val="22"/>
          <w:rtl/>
        </w:rPr>
        <w:t>,</w:t>
      </w:r>
      <w:r w:rsidRPr="00BD5E91">
        <w:rPr>
          <w:sz w:val="22"/>
          <w:szCs w:val="22"/>
          <w:rtl/>
        </w:rPr>
        <w:t xml:space="preserve"> דשם הוא השם הנ"ל דס"ג כמ"ש לעיל דף ע"ו ע"ב ואיהו שמא דכתר עילאה דאיהו חכמה קדומה כו' דתמן תלתא יודין כו'. דשם ג' מוחין כלילן כא' שסימנם קמץ שהוא בכתר כידוע והוא שורש לג' מוחין חב"ד ואח"כ לחג"ת שעליהן נאמר הן כל אלה יפעל כו' ואח"כ בנה"י כנ"ל ואח"כ בשכינה כמ"ש שם דאיהו שמא דאכתר לשמא דחכמה זעירא כו':</w:t>
      </w:r>
    </w:p>
  </w:footnote>
  <w:footnote w:id="755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ואלין אינון כו'.</w:t>
      </w:r>
      <w:r w:rsidRPr="00BD5E91">
        <w:rPr>
          <w:sz w:val="22"/>
          <w:szCs w:val="22"/>
          <w:rtl/>
        </w:rPr>
        <w:t xml:space="preserve"> שהן בג' קוין כידוע:</w:t>
      </w:r>
    </w:p>
  </w:footnote>
  <w:footnote w:id="755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דבהון יעננו כו'.</w:t>
      </w:r>
      <w:r w:rsidRPr="00BD5E91">
        <w:rPr>
          <w:sz w:val="22"/>
          <w:szCs w:val="22"/>
          <w:rtl/>
        </w:rPr>
        <w:t xml:space="preserve"> כמ"ש שם וביה אשתמודע כו' עילת כל עילאין כו' דמאן דקרא כו' לעילת כל העילות לא יחזור ריקם בצלותיה:</w:t>
      </w:r>
    </w:p>
  </w:footnote>
  <w:footnote w:id="755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דאינון ראשי כו'.</w:t>
      </w:r>
      <w:r w:rsidRPr="00BD5E91">
        <w:rPr>
          <w:sz w:val="22"/>
          <w:szCs w:val="22"/>
          <w:rtl/>
        </w:rPr>
        <w:t xml:space="preserve"> ר"ל יחוד כו':</w:t>
      </w:r>
    </w:p>
  </w:footnote>
  <w:footnote w:id="755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ויעבור כו'.</w:t>
      </w:r>
      <w:r w:rsidRPr="00BD5E91">
        <w:rPr>
          <w:sz w:val="22"/>
          <w:szCs w:val="22"/>
          <w:rtl/>
        </w:rPr>
        <w:t xml:space="preserve"> דיעקב כליל מג' אבהן כמש"ל שבהן יב"ק והוא בריח התיכון שמבריח כו' עד א"ס ג' טפין הנ"ל. </w:t>
      </w:r>
    </w:p>
  </w:footnote>
  <w:footnote w:id="755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וסלקין בחושבן כו'.</w:t>
      </w:r>
      <w:r w:rsidRPr="00BD5E91">
        <w:rPr>
          <w:sz w:val="22"/>
          <w:szCs w:val="22"/>
          <w:rtl/>
        </w:rPr>
        <w:t xml:space="preserve"> שהן כוללין כל האצילות</w:t>
      </w:r>
      <w:r>
        <w:rPr>
          <w:rFonts w:hint="cs"/>
          <w:sz w:val="22"/>
          <w:szCs w:val="22"/>
          <w:rtl/>
        </w:rPr>
        <w:t>,</w:t>
      </w:r>
      <w:r w:rsidRPr="00BD5E91">
        <w:rPr>
          <w:sz w:val="22"/>
          <w:szCs w:val="22"/>
          <w:rtl/>
        </w:rPr>
        <w:t xml:space="preserve"> אקיק כולל ג"ר</w:t>
      </w:r>
      <w:r>
        <w:rPr>
          <w:rFonts w:hint="cs"/>
          <w:sz w:val="22"/>
          <w:szCs w:val="22"/>
          <w:rtl/>
        </w:rPr>
        <w:t>,</w:t>
      </w:r>
      <w:r w:rsidRPr="00BD5E91">
        <w:rPr>
          <w:sz w:val="22"/>
          <w:szCs w:val="22"/>
          <w:rtl/>
        </w:rPr>
        <w:t xml:space="preserve"> הוי"ה ו"ק</w:t>
      </w:r>
      <w:r>
        <w:rPr>
          <w:rFonts w:hint="cs"/>
          <w:sz w:val="22"/>
          <w:szCs w:val="22"/>
          <w:rtl/>
        </w:rPr>
        <w:t>,</w:t>
      </w:r>
      <w:r w:rsidRPr="00BD5E91">
        <w:rPr>
          <w:sz w:val="22"/>
          <w:szCs w:val="22"/>
          <w:rtl/>
        </w:rPr>
        <w:t xml:space="preserve"> אדנ"י מלכות</w:t>
      </w:r>
      <w:r>
        <w:rPr>
          <w:rFonts w:hint="cs"/>
          <w:sz w:val="22"/>
          <w:szCs w:val="22"/>
          <w:rtl/>
        </w:rPr>
        <w:t>.</w:t>
      </w:r>
      <w:r w:rsidRPr="00BD5E91">
        <w:rPr>
          <w:sz w:val="22"/>
          <w:szCs w:val="22"/>
          <w:rtl/>
        </w:rPr>
        <w:t xml:space="preserve"> ומהן נר"נ</w:t>
      </w:r>
      <w:r>
        <w:rPr>
          <w:rFonts w:hint="cs"/>
          <w:sz w:val="22"/>
          <w:szCs w:val="22"/>
          <w:rtl/>
        </w:rPr>
        <w:t>,</w:t>
      </w:r>
      <w:r w:rsidRPr="00BD5E91">
        <w:rPr>
          <w:sz w:val="22"/>
          <w:szCs w:val="22"/>
          <w:rtl/>
        </w:rPr>
        <w:t xml:space="preserve"> נשמה מבינה כולל ג"ר וכן אקיק בבינה כולל ג"ר</w:t>
      </w:r>
      <w:r>
        <w:rPr>
          <w:rFonts w:hint="cs"/>
          <w:sz w:val="22"/>
          <w:szCs w:val="22"/>
          <w:rtl/>
        </w:rPr>
        <w:t>,</w:t>
      </w:r>
      <w:r w:rsidRPr="00BD5E91">
        <w:rPr>
          <w:sz w:val="22"/>
          <w:szCs w:val="22"/>
          <w:rtl/>
        </w:rPr>
        <w:t xml:space="preserve"> רוח מעד"א</w:t>
      </w:r>
      <w:r>
        <w:rPr>
          <w:rFonts w:hint="cs"/>
          <w:sz w:val="22"/>
          <w:szCs w:val="22"/>
          <w:rtl/>
        </w:rPr>
        <w:t>,</w:t>
      </w:r>
      <w:r w:rsidRPr="00BD5E91">
        <w:rPr>
          <w:sz w:val="22"/>
          <w:szCs w:val="22"/>
          <w:rtl/>
        </w:rPr>
        <w:t xml:space="preserve"> נפש ממלכות וז"ש. דאינון נשמתא כו'. ושרשן בג' טפין דמוחא בכ"ע כמ"ש שם בתלת נקודין דמנהון כו' דאינון נר"ן כו' דאינון מתלת דסגולתא דאתרמיזו בשם כו'</w:t>
      </w:r>
      <w:r>
        <w:rPr>
          <w:rFonts w:hint="cs"/>
          <w:sz w:val="22"/>
          <w:szCs w:val="22"/>
          <w:rtl/>
        </w:rPr>
        <w:t>.</w:t>
      </w:r>
      <w:r w:rsidRPr="00BD5E91">
        <w:rPr>
          <w:sz w:val="22"/>
          <w:szCs w:val="22"/>
          <w:rtl/>
        </w:rPr>
        <w:t xml:space="preserve"> ואלו ג' שמות נגד שם י"ב</w:t>
      </w:r>
      <w:r>
        <w:rPr>
          <w:rFonts w:hint="cs"/>
          <w:sz w:val="22"/>
          <w:szCs w:val="22"/>
          <w:rtl/>
        </w:rPr>
        <w:t>,</w:t>
      </w:r>
      <w:r w:rsidRPr="00BD5E91">
        <w:rPr>
          <w:sz w:val="22"/>
          <w:szCs w:val="22"/>
          <w:rtl/>
        </w:rPr>
        <w:t xml:space="preserve"> ג' הויות דמלך מלך ימלוך</w:t>
      </w:r>
      <w:r>
        <w:rPr>
          <w:rFonts w:hint="cs"/>
          <w:sz w:val="22"/>
          <w:szCs w:val="22"/>
          <w:rtl/>
        </w:rPr>
        <w:t>,</w:t>
      </w:r>
      <w:r w:rsidRPr="00BD5E91">
        <w:rPr>
          <w:sz w:val="22"/>
          <w:szCs w:val="22"/>
          <w:rtl/>
        </w:rPr>
        <w:t xml:space="preserve"> שהן היה הוה יהיה כידוע דאתרמיזו בג' יודין הנ"ל כמ"ש שם דאתמר ביה בג' יודין דסגולתא אני ראשון כו'</w:t>
      </w:r>
      <w:r>
        <w:rPr>
          <w:rFonts w:hint="cs"/>
          <w:sz w:val="22"/>
          <w:szCs w:val="22"/>
          <w:rtl/>
        </w:rPr>
        <w:t>.</w:t>
      </w:r>
      <w:r w:rsidRPr="00BD5E91">
        <w:rPr>
          <w:sz w:val="22"/>
          <w:szCs w:val="22"/>
          <w:rtl/>
        </w:rPr>
        <w:t xml:space="preserve"> דג"ר הוא אני</w:t>
      </w:r>
      <w:r>
        <w:rPr>
          <w:rFonts w:hint="cs"/>
          <w:sz w:val="22"/>
          <w:szCs w:val="22"/>
          <w:rtl/>
        </w:rPr>
        <w:t>,</w:t>
      </w:r>
      <w:r w:rsidRPr="00BD5E91">
        <w:rPr>
          <w:sz w:val="22"/>
          <w:szCs w:val="22"/>
          <w:rtl/>
        </w:rPr>
        <w:t xml:space="preserve"> אותיות אין כידוע ושם הוא ראשון</w:t>
      </w:r>
      <w:r>
        <w:rPr>
          <w:rFonts w:hint="cs"/>
          <w:sz w:val="22"/>
          <w:szCs w:val="22"/>
          <w:rtl/>
        </w:rPr>
        <w:t>,</w:t>
      </w:r>
      <w:r w:rsidRPr="00BD5E91">
        <w:rPr>
          <w:sz w:val="22"/>
          <w:szCs w:val="22"/>
          <w:rtl/>
        </w:rPr>
        <w:t xml:space="preserve"> ושם הוא קודם לעולם</w:t>
      </w:r>
      <w:r>
        <w:rPr>
          <w:rFonts w:hint="cs"/>
          <w:sz w:val="22"/>
          <w:szCs w:val="22"/>
          <w:rtl/>
        </w:rPr>
        <w:t>,</w:t>
      </w:r>
      <w:r w:rsidRPr="00BD5E91">
        <w:rPr>
          <w:sz w:val="22"/>
          <w:szCs w:val="22"/>
          <w:rtl/>
        </w:rPr>
        <w:t xml:space="preserve"> דעולם מתחיל מחסד</w:t>
      </w:r>
      <w:r>
        <w:rPr>
          <w:rFonts w:hint="cs"/>
          <w:sz w:val="22"/>
          <w:szCs w:val="22"/>
          <w:rtl/>
        </w:rPr>
        <w:t>,</w:t>
      </w:r>
      <w:r w:rsidRPr="00BD5E91">
        <w:rPr>
          <w:sz w:val="22"/>
          <w:szCs w:val="22"/>
          <w:rtl/>
        </w:rPr>
        <w:t xml:space="preserve"> עולם חסד יבנה כידוע וז"ש קודם שנברא העולם היה הוא ושמו אחד</w:t>
      </w:r>
      <w:r>
        <w:rPr>
          <w:rFonts w:hint="cs"/>
          <w:sz w:val="22"/>
          <w:szCs w:val="22"/>
          <w:rtl/>
        </w:rPr>
        <w:t>,</w:t>
      </w:r>
      <w:r w:rsidRPr="00BD5E91">
        <w:rPr>
          <w:sz w:val="22"/>
          <w:szCs w:val="22"/>
          <w:rtl/>
        </w:rPr>
        <w:t xml:space="preserve"> הוא עד"א</w:t>
      </w:r>
      <w:r>
        <w:rPr>
          <w:rFonts w:hint="cs"/>
          <w:sz w:val="22"/>
          <w:szCs w:val="22"/>
          <w:rtl/>
        </w:rPr>
        <w:t>,</w:t>
      </w:r>
      <w:r w:rsidRPr="00BD5E91">
        <w:rPr>
          <w:sz w:val="22"/>
          <w:szCs w:val="22"/>
          <w:rtl/>
        </w:rPr>
        <w:t xml:space="preserve"> אני והוא</w:t>
      </w:r>
      <w:r>
        <w:rPr>
          <w:rFonts w:hint="cs"/>
          <w:sz w:val="22"/>
          <w:szCs w:val="22"/>
          <w:rtl/>
        </w:rPr>
        <w:t>,</w:t>
      </w:r>
      <w:r w:rsidRPr="00BD5E91">
        <w:rPr>
          <w:sz w:val="22"/>
          <w:szCs w:val="22"/>
          <w:rtl/>
        </w:rPr>
        <w:t xml:space="preserve"> ושמו מלכות</w:t>
      </w:r>
      <w:r>
        <w:rPr>
          <w:rFonts w:hint="cs"/>
          <w:sz w:val="22"/>
          <w:szCs w:val="22"/>
          <w:rtl/>
        </w:rPr>
        <w:t>,</w:t>
      </w:r>
      <w:r w:rsidRPr="00BD5E91">
        <w:rPr>
          <w:sz w:val="22"/>
          <w:szCs w:val="22"/>
          <w:rtl/>
        </w:rPr>
        <w:t xml:space="preserve"> דשם כלילן בחד באבא וכן באימא כמ"ש בזוהר ואח"כ נתחלקו זה ו' שבשם וזה ה' תתאה במלכות</w:t>
      </w:r>
      <w:r>
        <w:rPr>
          <w:rFonts w:hint="cs"/>
          <w:sz w:val="22"/>
          <w:szCs w:val="22"/>
          <w:rtl/>
        </w:rPr>
        <w:t>.</w:t>
      </w:r>
      <w:r w:rsidRPr="00BD5E91">
        <w:rPr>
          <w:sz w:val="22"/>
          <w:szCs w:val="22"/>
          <w:rtl/>
        </w:rPr>
        <w:t xml:space="preserve"> ומלכות אחרון</w:t>
      </w:r>
      <w:r>
        <w:rPr>
          <w:rFonts w:hint="cs"/>
          <w:sz w:val="22"/>
          <w:szCs w:val="22"/>
          <w:rtl/>
        </w:rPr>
        <w:t>,</w:t>
      </w:r>
      <w:r w:rsidRPr="00BD5E91">
        <w:rPr>
          <w:sz w:val="22"/>
          <w:szCs w:val="22"/>
          <w:rtl/>
        </w:rPr>
        <w:t xml:space="preserve"> ה' אחרונה לשבעת ימי הבנין</w:t>
      </w:r>
      <w:r>
        <w:rPr>
          <w:rFonts w:hint="cs"/>
          <w:sz w:val="22"/>
          <w:szCs w:val="22"/>
          <w:rtl/>
        </w:rPr>
        <w:t>,</w:t>
      </w:r>
      <w:r w:rsidRPr="00BD5E91">
        <w:rPr>
          <w:sz w:val="22"/>
          <w:szCs w:val="22"/>
          <w:rtl/>
        </w:rPr>
        <w:t xml:space="preserve"> אחרון למעשה יום השביעי וכן אלף השביעי</w:t>
      </w:r>
      <w:r>
        <w:rPr>
          <w:rFonts w:hint="cs"/>
          <w:sz w:val="22"/>
          <w:szCs w:val="22"/>
          <w:rtl/>
        </w:rPr>
        <w:t>,</w:t>
      </w:r>
      <w:r w:rsidRPr="00BD5E91">
        <w:rPr>
          <w:sz w:val="22"/>
          <w:szCs w:val="22"/>
          <w:rtl/>
        </w:rPr>
        <w:t xml:space="preserve"> דשם ואני אחרון אחר העולם שהוא ששת אלפים והיא תכלית לכל דבר כידוע ו"ק</w:t>
      </w:r>
      <w:r>
        <w:rPr>
          <w:rFonts w:hint="cs"/>
          <w:sz w:val="22"/>
          <w:szCs w:val="22"/>
          <w:rtl/>
        </w:rPr>
        <w:t>,</w:t>
      </w:r>
      <w:r w:rsidRPr="00BD5E91">
        <w:rPr>
          <w:sz w:val="22"/>
          <w:szCs w:val="22"/>
          <w:rtl/>
        </w:rPr>
        <w:t xml:space="preserve"> בהם מתנהג העולם</w:t>
      </w:r>
      <w:r>
        <w:rPr>
          <w:rFonts w:hint="cs"/>
          <w:sz w:val="22"/>
          <w:szCs w:val="22"/>
          <w:rtl/>
        </w:rPr>
        <w:t>,</w:t>
      </w:r>
      <w:r w:rsidRPr="00BD5E91">
        <w:rPr>
          <w:sz w:val="22"/>
          <w:szCs w:val="22"/>
          <w:rtl/>
        </w:rPr>
        <w:t xml:space="preserve"> בהם ששת ימים תעבוד</w:t>
      </w:r>
      <w:r>
        <w:rPr>
          <w:rFonts w:hint="cs"/>
          <w:sz w:val="22"/>
          <w:szCs w:val="22"/>
          <w:rtl/>
        </w:rPr>
        <w:t>,</w:t>
      </w:r>
      <w:r w:rsidRPr="00BD5E91">
        <w:rPr>
          <w:sz w:val="22"/>
          <w:szCs w:val="22"/>
          <w:rtl/>
        </w:rPr>
        <w:t xml:space="preserve"> ששת אלפים שנה</w:t>
      </w:r>
      <w:r>
        <w:rPr>
          <w:rFonts w:hint="cs"/>
          <w:sz w:val="22"/>
          <w:szCs w:val="22"/>
          <w:rtl/>
        </w:rPr>
        <w:t>,</w:t>
      </w:r>
      <w:r w:rsidRPr="00BD5E91">
        <w:rPr>
          <w:sz w:val="22"/>
          <w:szCs w:val="22"/>
          <w:rtl/>
        </w:rPr>
        <w:t xml:space="preserve"> וזהו הוה</w:t>
      </w:r>
      <w:r>
        <w:rPr>
          <w:rFonts w:hint="cs"/>
          <w:sz w:val="22"/>
          <w:szCs w:val="22"/>
          <w:rtl/>
        </w:rPr>
        <w:t>.</w:t>
      </w:r>
      <w:r w:rsidRPr="00BD5E91">
        <w:rPr>
          <w:sz w:val="22"/>
          <w:szCs w:val="22"/>
          <w:rtl/>
        </w:rPr>
        <w:t xml:space="preserve"> ומבלעדי כו'</w:t>
      </w:r>
      <w:r>
        <w:rPr>
          <w:rFonts w:hint="cs"/>
          <w:sz w:val="22"/>
          <w:szCs w:val="22"/>
          <w:rtl/>
        </w:rPr>
        <w:t>.</w:t>
      </w:r>
      <w:r w:rsidRPr="00BD5E91">
        <w:rPr>
          <w:sz w:val="22"/>
          <w:szCs w:val="22"/>
          <w:rtl/>
        </w:rPr>
        <w:t xml:space="preserve"> ור"ת של אלו השמות הן י"ב</w:t>
      </w:r>
      <w:r>
        <w:rPr>
          <w:rFonts w:hint="cs"/>
          <w:sz w:val="22"/>
          <w:szCs w:val="22"/>
          <w:rtl/>
        </w:rPr>
        <w:t>,</w:t>
      </w:r>
      <w:r w:rsidRPr="00BD5E91">
        <w:rPr>
          <w:sz w:val="22"/>
          <w:szCs w:val="22"/>
          <w:rtl/>
        </w:rPr>
        <w:t xml:space="preserve"> נגד שם י"ב</w:t>
      </w:r>
      <w:r>
        <w:rPr>
          <w:rFonts w:hint="cs"/>
          <w:sz w:val="22"/>
          <w:szCs w:val="22"/>
          <w:rtl/>
        </w:rPr>
        <w:t>.</w:t>
      </w:r>
      <w:r w:rsidRPr="00BD5E91">
        <w:rPr>
          <w:sz w:val="22"/>
          <w:szCs w:val="22"/>
          <w:rtl/>
        </w:rPr>
        <w:t xml:space="preserve"> והן ג' אותיות בג"ר</w:t>
      </w:r>
      <w:r>
        <w:rPr>
          <w:rFonts w:hint="cs"/>
          <w:sz w:val="22"/>
          <w:szCs w:val="22"/>
          <w:rtl/>
        </w:rPr>
        <w:t>,</w:t>
      </w:r>
      <w:r w:rsidRPr="00BD5E91">
        <w:rPr>
          <w:sz w:val="22"/>
          <w:szCs w:val="22"/>
          <w:rtl/>
        </w:rPr>
        <w:t xml:space="preserve"> ג' אותיות משם השני בחג"ת</w:t>
      </w:r>
      <w:r>
        <w:rPr>
          <w:rFonts w:hint="cs"/>
          <w:sz w:val="22"/>
          <w:szCs w:val="22"/>
          <w:rtl/>
        </w:rPr>
        <w:t>,</w:t>
      </w:r>
      <w:r w:rsidRPr="00BD5E91">
        <w:rPr>
          <w:sz w:val="22"/>
          <w:szCs w:val="22"/>
          <w:rtl/>
        </w:rPr>
        <w:t xml:space="preserve"> ג' משם השלישי בנה"י</w:t>
      </w:r>
      <w:r>
        <w:rPr>
          <w:rFonts w:hint="cs"/>
          <w:sz w:val="22"/>
          <w:szCs w:val="22"/>
          <w:rtl/>
        </w:rPr>
        <w:t>,</w:t>
      </w:r>
      <w:r w:rsidRPr="00BD5E91">
        <w:rPr>
          <w:sz w:val="22"/>
          <w:szCs w:val="22"/>
          <w:rtl/>
        </w:rPr>
        <w:t xml:space="preserve"> אות רביעי מכל הג' שמות במלכות שהיא רביעי לכל תלת כמ"ש לעיל בדף ע"ח ע"ג בגוונא דא יי"י הה"ה כו' תלת יודין כו' והן היה הוה ויהיה כנ"ל</w:t>
      </w:r>
      <w:r>
        <w:rPr>
          <w:rFonts w:hint="cs"/>
          <w:sz w:val="22"/>
          <w:szCs w:val="22"/>
          <w:rtl/>
        </w:rPr>
        <w:t>.</w:t>
      </w:r>
      <w:r w:rsidRPr="00BD5E91">
        <w:rPr>
          <w:sz w:val="22"/>
          <w:szCs w:val="22"/>
          <w:rtl/>
        </w:rPr>
        <w:t xml:space="preserve"> וכן בג' שמות אלו א' דאקיק ויוד דהוי"ה כלילא באדני בא"י שבו בר"ת וס"ת כמ"ש בר"מ פ' נשא כמו בג' שמות הנ"ל של ג' הויות</w:t>
      </w:r>
      <w:r>
        <w:rPr>
          <w:rFonts w:hint="cs"/>
          <w:sz w:val="22"/>
          <w:szCs w:val="22"/>
          <w:rtl/>
        </w:rPr>
        <w:t>.</w:t>
      </w:r>
      <w:r w:rsidRPr="00BD5E91">
        <w:rPr>
          <w:sz w:val="22"/>
          <w:szCs w:val="22"/>
          <w:rtl/>
        </w:rPr>
        <w:t xml:space="preserve"> שב' ההין של שמות הראשונות כליל בה' של שם האחרונה נשאר משם אקיק היה כנ"ל ומשם הויה הוה כנ"ל והן בג"ר ובחג"ת</w:t>
      </w:r>
      <w:r>
        <w:rPr>
          <w:rFonts w:hint="cs"/>
          <w:sz w:val="22"/>
          <w:szCs w:val="22"/>
          <w:rtl/>
        </w:rPr>
        <w:t>.</w:t>
      </w:r>
      <w:r w:rsidRPr="00BD5E91">
        <w:rPr>
          <w:sz w:val="22"/>
          <w:szCs w:val="22"/>
          <w:rtl/>
        </w:rPr>
        <w:t xml:space="preserve"> אדני המלכות שתופסת ד"ס האחרונות נהי"ם כידוע שלכן נקראת ד'</w:t>
      </w:r>
      <w:r>
        <w:rPr>
          <w:rFonts w:hint="cs"/>
          <w:sz w:val="22"/>
          <w:szCs w:val="22"/>
          <w:rtl/>
        </w:rPr>
        <w:t>,</w:t>
      </w:r>
      <w:r w:rsidRPr="00BD5E91">
        <w:rPr>
          <w:sz w:val="22"/>
          <w:szCs w:val="22"/>
          <w:rtl/>
        </w:rPr>
        <w:t xml:space="preserve"> ושם ד' אותיות יהיה אלא שנתחלפו בסוד על התמורה כידוע ובה מלמטה למעלה כידוע י' דאדני הוא י'</w:t>
      </w:r>
      <w:r>
        <w:rPr>
          <w:rFonts w:hint="cs"/>
          <w:sz w:val="22"/>
          <w:szCs w:val="22"/>
          <w:rtl/>
        </w:rPr>
        <w:t>,</w:t>
      </w:r>
      <w:r w:rsidRPr="00BD5E91">
        <w:rPr>
          <w:sz w:val="22"/>
          <w:szCs w:val="22"/>
          <w:rtl/>
        </w:rPr>
        <w:t xml:space="preserve"> נשאר אד"נ גי' כלה שהוא כל נ' תרעין דבינה וה' דילה</w:t>
      </w:r>
      <w:r>
        <w:rPr>
          <w:rFonts w:hint="cs"/>
          <w:sz w:val="22"/>
          <w:szCs w:val="22"/>
          <w:rtl/>
        </w:rPr>
        <w:t>.</w:t>
      </w:r>
      <w:r w:rsidRPr="00BD5E91">
        <w:rPr>
          <w:sz w:val="22"/>
          <w:szCs w:val="22"/>
          <w:rtl/>
        </w:rPr>
        <w:t xml:space="preserve"> נ' תרעין הוא בי"ה כמ"ש בתיקונים יפ"ה נ' חו"ב כלילן זה בזה הרי היה ועם י' הנ"ל הוא יהיה</w:t>
      </w:r>
      <w:r>
        <w:rPr>
          <w:rFonts w:hint="cs"/>
          <w:sz w:val="22"/>
          <w:szCs w:val="22"/>
          <w:rtl/>
        </w:rPr>
        <w:t>.</w:t>
      </w:r>
      <w:r w:rsidRPr="00BD5E91">
        <w:rPr>
          <w:sz w:val="22"/>
          <w:szCs w:val="22"/>
          <w:rtl/>
        </w:rPr>
        <w:t xml:space="preserve"> וכן אני דאדני הוא אין דג"ר וד' דאדני הוא ספירת מלכות דילה כמש"ל והוא י' זעירא</w:t>
      </w:r>
      <w:r>
        <w:rPr>
          <w:rFonts w:hint="cs"/>
          <w:sz w:val="22"/>
          <w:szCs w:val="22"/>
          <w:rtl/>
        </w:rPr>
        <w:t>,</w:t>
      </w:r>
      <w:r w:rsidRPr="00BD5E91">
        <w:rPr>
          <w:sz w:val="22"/>
          <w:szCs w:val="22"/>
          <w:rtl/>
        </w:rPr>
        <w:t xml:space="preserve"> ואין הוא היה הרי בה יהיה והוא כמו הויה שבעד"א אלא שו' דעד"א בה י' כמש"ל ע"א ו' שקל י' מדה כו' והן מלמטה למעלה כנ"ל י' נ' ה"ו א"ד ה' וז"ש ואד יעלה מן הארץ</w:t>
      </w:r>
      <w:r>
        <w:rPr>
          <w:rFonts w:hint="cs"/>
          <w:sz w:val="22"/>
          <w:szCs w:val="22"/>
          <w:rtl/>
        </w:rPr>
        <w:t>,</w:t>
      </w:r>
      <w:r w:rsidRPr="00BD5E91">
        <w:rPr>
          <w:sz w:val="22"/>
          <w:szCs w:val="22"/>
          <w:rtl/>
        </w:rPr>
        <w:t xml:space="preserve"> שהוא ה' ספירה אחרונה דסלקא לעילא</w:t>
      </w:r>
      <w:r>
        <w:rPr>
          <w:rFonts w:hint="cs"/>
          <w:sz w:val="22"/>
          <w:szCs w:val="22"/>
          <w:rtl/>
        </w:rPr>
        <w:t>.</w:t>
      </w:r>
      <w:r w:rsidRPr="00BD5E91">
        <w:rPr>
          <w:sz w:val="22"/>
          <w:szCs w:val="22"/>
          <w:rtl/>
        </w:rPr>
        <w:t xml:space="preserve"> ובא' דאדני כלול א' דאקיק י' דהויה</w:t>
      </w:r>
      <w:r>
        <w:rPr>
          <w:rFonts w:hint="cs"/>
          <w:sz w:val="22"/>
          <w:szCs w:val="22"/>
          <w:rtl/>
        </w:rPr>
        <w:t>.</w:t>
      </w:r>
      <w:r w:rsidRPr="00BD5E91">
        <w:rPr>
          <w:sz w:val="22"/>
          <w:szCs w:val="22"/>
          <w:rtl/>
        </w:rPr>
        <w:t xml:space="preserve"> ובשלש האחרונות דאדנ"י כלול ג' אחרונות דאקיק הויה שהן ק' ברכות דמלכות:</w:t>
      </w:r>
    </w:p>
  </w:footnote>
  <w:footnote w:id="756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באורח אצילות.</w:t>
      </w:r>
      <w:r w:rsidRPr="00BD5E91">
        <w:rPr>
          <w:sz w:val="22"/>
          <w:szCs w:val="22"/>
          <w:rtl/>
        </w:rPr>
        <w:t xml:space="preserve"> שיש נר"נ דבי"ע כידוע:</w:t>
      </w:r>
    </w:p>
  </w:footnote>
  <w:footnote w:id="756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וכד האי זרקא כו'.</w:t>
      </w:r>
      <w:r w:rsidRPr="00BD5E91">
        <w:rPr>
          <w:sz w:val="22"/>
          <w:szCs w:val="22"/>
          <w:rtl/>
        </w:rPr>
        <w:t xml:space="preserve"> לעילא בסגולתא כנ"ל:</w:t>
      </w:r>
    </w:p>
  </w:footnote>
  <w:footnote w:id="756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עלי לך בנקודה כו'.</w:t>
      </w:r>
      <w:r w:rsidRPr="00BD5E91">
        <w:rPr>
          <w:sz w:val="22"/>
          <w:szCs w:val="22"/>
          <w:rtl/>
        </w:rPr>
        <w:t xml:space="preserve"> שהוא הר גבוה:</w:t>
      </w:r>
    </w:p>
  </w:footnote>
  <w:footnote w:id="756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בתרין יודין כו'.</w:t>
      </w:r>
      <w:r w:rsidRPr="00BD5E91">
        <w:rPr>
          <w:sz w:val="22"/>
          <w:szCs w:val="22"/>
          <w:rtl/>
        </w:rPr>
        <w:t>ר"ל ב"פ הרימי:</w:t>
      </w:r>
    </w:p>
  </w:footnote>
  <w:footnote w:id="756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דאינון צרי.</w:t>
      </w:r>
      <w:r w:rsidRPr="00BD5E91">
        <w:rPr>
          <w:sz w:val="22"/>
          <w:szCs w:val="22"/>
          <w:rtl/>
        </w:rPr>
        <w:t xml:space="preserve"> ר"ל לכך אמר שני הנקודות האלו בל' א' ונקודה עילאה בלשון אחר וז"ש לעיל דאיהו חולם על צרי:</w:t>
      </w:r>
    </w:p>
  </w:footnote>
  <w:footnote w:id="756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אבינו מת כו'.</w:t>
      </w:r>
      <w:r w:rsidRPr="00BD5E91">
        <w:rPr>
          <w:sz w:val="22"/>
          <w:szCs w:val="22"/>
          <w:rtl/>
        </w:rPr>
        <w:t xml:space="preserve"> ר"ל שישראל יבואו לבקש נחלה ויאמרו אבינו</w:t>
      </w:r>
      <w:r>
        <w:rPr>
          <w:rFonts w:hint="cs"/>
          <w:sz w:val="22"/>
          <w:szCs w:val="22"/>
          <w:rtl/>
        </w:rPr>
        <w:t>,</w:t>
      </w:r>
      <w:r w:rsidRPr="00BD5E91">
        <w:rPr>
          <w:sz w:val="22"/>
          <w:szCs w:val="22"/>
          <w:rtl/>
        </w:rPr>
        <w:t xml:space="preserve"> אבותינו</w:t>
      </w:r>
      <w:r>
        <w:rPr>
          <w:rFonts w:hint="cs"/>
          <w:sz w:val="22"/>
          <w:szCs w:val="22"/>
          <w:rtl/>
        </w:rPr>
        <w:t>,</w:t>
      </w:r>
      <w:r w:rsidRPr="00BD5E91">
        <w:rPr>
          <w:sz w:val="22"/>
          <w:szCs w:val="22"/>
          <w:rtl/>
        </w:rPr>
        <w:t xml:space="preserve"> </w:t>
      </w:r>
      <w:r>
        <w:rPr>
          <w:rFonts w:hint="cs"/>
          <w:sz w:val="22"/>
          <w:szCs w:val="22"/>
          <w:rtl/>
        </w:rPr>
        <w:t>י</w:t>
      </w:r>
      <w:r w:rsidRPr="00BD5E91">
        <w:rPr>
          <w:sz w:val="22"/>
          <w:szCs w:val="22"/>
          <w:rtl/>
        </w:rPr>
        <w:t>רדו בגלות מחמת חטא הנחש כידוע וכן אבינו הראשון אדה"ר ג"כ בגלות דאתלבש בתלת אבהן בשין מן משה ובמשה במ"ה מן משה גי' אדם בד' גליות ועיקר בגלות הזה במ"ה אדם וכן אבינו שבשמים ירד לגלות כמש"ל בעמוד הקודם ד' אתוון עלייהו כו':</w:t>
      </w:r>
    </w:p>
  </w:footnote>
  <w:footnote w:id="756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במדבר.</w:t>
      </w:r>
      <w:r w:rsidRPr="00BD5E91">
        <w:rPr>
          <w:sz w:val="22"/>
          <w:szCs w:val="22"/>
          <w:rtl/>
        </w:rPr>
        <w:t xml:space="preserve"> כמ"ש בזוהר עולה מן המדבר מן הדיבור וכן כאן בדיבור דפתי לחוה כו' כמש"ו:</w:t>
      </w:r>
    </w:p>
  </w:footnote>
  <w:footnote w:id="756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בחטאו נוק' כו'.</w:t>
      </w:r>
      <w:r w:rsidRPr="00BD5E91">
        <w:rPr>
          <w:sz w:val="22"/>
          <w:szCs w:val="22"/>
          <w:rtl/>
        </w:rPr>
        <w:t xml:space="preserve"> כמ"ש בר"מ דחטאת נקבה בנוק' דס"א ע"ש:</w:t>
      </w:r>
    </w:p>
  </w:footnote>
  <w:footnote w:id="756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באלין נועדים.</w:t>
      </w:r>
      <w:r w:rsidRPr="00BD5E91">
        <w:rPr>
          <w:sz w:val="22"/>
          <w:szCs w:val="22"/>
          <w:rtl/>
        </w:rPr>
        <w:t xml:space="preserve"> לשון הכתוב הנועדים ר"ל שלא היו כמו עדת קרח כמש"ו:</w:t>
      </w:r>
    </w:p>
  </w:footnote>
  <w:footnote w:id="756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והאי נחש כו'.</w:t>
      </w:r>
      <w:r w:rsidRPr="00BD5E91">
        <w:rPr>
          <w:sz w:val="22"/>
          <w:szCs w:val="22"/>
          <w:rtl/>
        </w:rPr>
        <w:t xml:space="preserve"> זרקא שהוא כמו נחש כריכא כמ"ש בזוהר שאבינו הוא בזרקא שמת ע"י נחש כנ"ל וז"ש. </w:t>
      </w:r>
      <w:r w:rsidRPr="00BD5E91">
        <w:rPr>
          <w:b/>
          <w:bCs/>
          <w:sz w:val="22"/>
          <w:szCs w:val="22"/>
          <w:rtl/>
        </w:rPr>
        <w:t>ובג"ד אריך כו'.</w:t>
      </w:r>
      <w:r w:rsidRPr="00BD5E91">
        <w:rPr>
          <w:sz w:val="22"/>
          <w:szCs w:val="22"/>
          <w:rtl/>
        </w:rPr>
        <w:t xml:space="preserve"> ור"ל שמאריך והניגון הוא כקובל שקובל על הנחש כמ"ש אבינו כאיבא כו':</w:t>
      </w:r>
    </w:p>
  </w:footnote>
  <w:footnote w:id="757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ודא קו ירוק.</w:t>
      </w:r>
      <w:r w:rsidRPr="00BD5E91">
        <w:rPr>
          <w:sz w:val="22"/>
          <w:szCs w:val="22"/>
          <w:rtl/>
        </w:rPr>
        <w:t xml:space="preserve"> שהזרקא הוא קו כריכא כנ"ל:</w:t>
      </w:r>
    </w:p>
  </w:footnote>
  <w:footnote w:id="757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והארץ היתה תהו.</w:t>
      </w:r>
      <w:r w:rsidRPr="00BD5E91">
        <w:rPr>
          <w:sz w:val="22"/>
          <w:szCs w:val="22"/>
          <w:rtl/>
        </w:rPr>
        <w:t xml:space="preserve"> שאמרו תהו קו ירוק שמקיף את כל העולם כלו כמש"ו:</w:t>
      </w:r>
    </w:p>
  </w:footnote>
  <w:footnote w:id="757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ואיהו קו ירוק דאסחר כו'.</w:t>
      </w:r>
      <w:r w:rsidRPr="00BD5E91">
        <w:rPr>
          <w:sz w:val="22"/>
          <w:szCs w:val="22"/>
          <w:rtl/>
        </w:rPr>
        <w:t xml:space="preserve"> ר"ל חטא של נחש שע"י מתין כל הבריות קץ כל בשר כמ"ש (שבת נה ע"ב) והלא משה ואהרן שקיימו כו' מקרה אחד סוף האדם כו' וזהו קו ירוק כמ"ש ממנו פניו מוריקות:</w:t>
      </w:r>
    </w:p>
  </w:footnote>
  <w:footnote w:id="757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 קו בחנק כו'.</w:t>
      </w:r>
      <w:r w:rsidRPr="00BD5E91">
        <w:rPr>
          <w:sz w:val="22"/>
          <w:szCs w:val="22"/>
          <w:rtl/>
        </w:rPr>
        <w:t xml:space="preserve"> עכשיו מפ' ד' תהו ובהו כו' בד' מיתות ב"ד בס"א ובקדושה שדן את הס"א בד' מיתות כמש"ו ואמר. קו בחנק. שחנק הוא בחבל כריכא על צוארו כמו קו דזרקא כריכא על צוארו כנ"ל:</w:t>
      </w:r>
    </w:p>
  </w:footnote>
  <w:footnote w:id="757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רוח סערה .</w:t>
      </w:r>
      <w:r w:rsidRPr="00BD5E91">
        <w:rPr>
          <w:sz w:val="22"/>
          <w:szCs w:val="22"/>
          <w:rtl/>
        </w:rPr>
        <w:t xml:space="preserve"> ד' קליפין שביחזקאל וכן הן ד' שבאליהו רוח גדולה וחזק כו'. והוא הרוח סערה דאטיל על יונה דאסער לגופא דב"נ כמ"ש בזוהר:</w:t>
      </w:r>
    </w:p>
  </w:footnote>
  <w:footnote w:id="757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רוח אפינו כו'.</w:t>
      </w:r>
      <w:r w:rsidRPr="00BD5E91">
        <w:rPr>
          <w:sz w:val="22"/>
          <w:szCs w:val="22"/>
          <w:rtl/>
        </w:rPr>
        <w:t xml:space="preserve"> ר"ל ברוח של אף</w:t>
      </w:r>
      <w:r>
        <w:rPr>
          <w:rFonts w:hint="cs"/>
          <w:sz w:val="22"/>
          <w:szCs w:val="22"/>
          <w:rtl/>
        </w:rPr>
        <w:t>,</w:t>
      </w:r>
      <w:r w:rsidRPr="00BD5E91">
        <w:rPr>
          <w:sz w:val="22"/>
          <w:szCs w:val="22"/>
          <w:rtl/>
        </w:rPr>
        <w:t xml:space="preserve"> שהוא מד' קליפות של והוא רחום יכפר כו'</w:t>
      </w:r>
      <w:r>
        <w:rPr>
          <w:rFonts w:hint="cs"/>
          <w:sz w:val="22"/>
          <w:szCs w:val="22"/>
          <w:rtl/>
        </w:rPr>
        <w:t>.</w:t>
      </w:r>
      <w:r w:rsidRPr="00BD5E91">
        <w:rPr>
          <w:sz w:val="22"/>
          <w:szCs w:val="22"/>
          <w:rtl/>
        </w:rPr>
        <w:t xml:space="preserve"> ורוח סערה הוא הקליפה</w:t>
      </w:r>
      <w:r>
        <w:rPr>
          <w:rFonts w:hint="cs"/>
          <w:sz w:val="22"/>
          <w:szCs w:val="22"/>
          <w:rtl/>
        </w:rPr>
        <w:t>,</w:t>
      </w:r>
      <w:r w:rsidRPr="00BD5E91">
        <w:rPr>
          <w:sz w:val="22"/>
          <w:szCs w:val="22"/>
          <w:rtl/>
        </w:rPr>
        <w:t xml:space="preserve"> אף</w:t>
      </w:r>
      <w:r>
        <w:rPr>
          <w:rFonts w:hint="cs"/>
          <w:sz w:val="22"/>
          <w:szCs w:val="22"/>
          <w:rtl/>
        </w:rPr>
        <w:t>,</w:t>
      </w:r>
      <w:r w:rsidRPr="00BD5E91">
        <w:rPr>
          <w:sz w:val="22"/>
          <w:szCs w:val="22"/>
          <w:rtl/>
        </w:rPr>
        <w:t xml:space="preserve"> שהרוח הוא באף ומשם סליק רוגזא</w:t>
      </w:r>
      <w:r>
        <w:rPr>
          <w:rFonts w:hint="cs"/>
          <w:sz w:val="22"/>
          <w:szCs w:val="22"/>
          <w:rtl/>
        </w:rPr>
        <w:t>,</w:t>
      </w:r>
      <w:r w:rsidRPr="00BD5E91">
        <w:rPr>
          <w:sz w:val="22"/>
          <w:szCs w:val="22"/>
          <w:rtl/>
        </w:rPr>
        <w:t xml:space="preserve"> נלכד משיח שהוא רוח בקדושה כמש"ו רוח אף ביה נלכד כו':</w:t>
      </w:r>
    </w:p>
  </w:footnote>
  <w:footnote w:id="757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ורוח אלקים כו'.</w:t>
      </w:r>
      <w:r w:rsidRPr="00BD5E91">
        <w:rPr>
          <w:sz w:val="22"/>
          <w:szCs w:val="22"/>
          <w:rtl/>
        </w:rPr>
        <w:t xml:space="preserve"> שאמרו זו רוחו של משיח כמש"ל והוא רוחא דנשיב בחוטמא כמ"ש בא"ר והוא נשיב על כנפי ריאה כידוע ששם המים וז"ש מרחפת ע"פ המים מים דאורייתא כנ"ל שאז כנפי ריאה יפרוש כנפיו בזמן דרוחא נשיב בהו ישאהו כו' כמש"ל והן זה לעמת זה ד' דס"א נגד ד' דקדושה לאום מלאום יאמץ כמש"ו:</w:t>
      </w:r>
    </w:p>
  </w:footnote>
  <w:footnote w:id="757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וברוח אפיך.</w:t>
      </w:r>
      <w:r w:rsidRPr="00BD5E91">
        <w:rPr>
          <w:sz w:val="22"/>
          <w:szCs w:val="22"/>
          <w:rtl/>
        </w:rPr>
        <w:t xml:space="preserve"> כמש"ו. ואלין מיא דאורייתא כו'. בשביל רוח האף כנ"ל נערמו ונצבו דלא אתמשך אורייתא לתתא:</w:t>
      </w:r>
    </w:p>
  </w:footnote>
  <w:footnote w:id="757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נוזלים טפין טפין.</w:t>
      </w:r>
      <w:r w:rsidRPr="00BD5E91">
        <w:rPr>
          <w:sz w:val="22"/>
          <w:szCs w:val="22"/>
          <w:rtl/>
        </w:rPr>
        <w:t xml:space="preserve"> ר"ל נוזלים ל' טפין מעט מעט:</w:t>
      </w:r>
    </w:p>
  </w:footnote>
  <w:footnote w:id="7579">
    <w:p w:rsidR="00007309" w:rsidRPr="00BD5E91" w:rsidRDefault="00007309" w:rsidP="00007309">
      <w:pPr>
        <w:jc w:val="both"/>
        <w:rPr>
          <w:rFonts w:cs="Arial"/>
          <w:sz w:val="22"/>
          <w:szCs w:val="22"/>
          <w:rtl/>
        </w:rPr>
      </w:pPr>
      <w:r w:rsidRPr="00BD5E91">
        <w:rPr>
          <w:rStyle w:val="a7"/>
          <w:rFonts w:cs="Arial"/>
          <w:sz w:val="22"/>
          <w:szCs w:val="22"/>
          <w:rtl/>
        </w:rPr>
        <w:footnoteRef/>
      </w:r>
      <w:r w:rsidRPr="00BD5E91">
        <w:rPr>
          <w:rFonts w:cs="Arial"/>
          <w:sz w:val="22"/>
          <w:szCs w:val="22"/>
          <w:rtl/>
        </w:rPr>
        <w:t xml:space="preserve"> </w:t>
      </w:r>
      <w:r w:rsidRPr="00BD5E91">
        <w:rPr>
          <w:rFonts w:cs="Arial"/>
          <w:b/>
          <w:bCs/>
          <w:sz w:val="22"/>
          <w:szCs w:val="22"/>
          <w:rtl/>
        </w:rPr>
        <w:t>זעיר שם כו'.</w:t>
      </w:r>
      <w:r w:rsidRPr="00BD5E91">
        <w:rPr>
          <w:rFonts w:cs="Arial"/>
          <w:sz w:val="22"/>
          <w:szCs w:val="22"/>
          <w:rtl/>
        </w:rPr>
        <w:t xml:space="preserve"> כמ"ש (ישעיהו כח י) קו לקו זעיר שם והוא קו הנ"ל שבשבילו זעיר שם כנ"ל ואין הבין את התורה כמ"ש סיפא כי בלעגי שפה ובלשון אחרת כו':</w:t>
      </w:r>
    </w:p>
  </w:footnote>
  <w:footnote w:id="758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בגין דלא אשתכח כו'.</w:t>
      </w:r>
      <w:r w:rsidRPr="00BD5E91">
        <w:rPr>
          <w:sz w:val="22"/>
          <w:szCs w:val="22"/>
          <w:rtl/>
        </w:rPr>
        <w:t xml:space="preserve"> כמ"ש שם והיה דבר ה' להם צו לצו כו' אין צו אלא ע"ז ס"א והוא גי' צאה צא תאמר לו וז"ש דלא אשתכח מהימנותא:</w:t>
      </w:r>
    </w:p>
  </w:footnote>
  <w:footnote w:id="758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קפאו תהומות.</w:t>
      </w:r>
      <w:r w:rsidRPr="00BD5E91">
        <w:rPr>
          <w:sz w:val="22"/>
          <w:szCs w:val="22"/>
          <w:rtl/>
        </w:rPr>
        <w:t xml:space="preserve"> תהומא דחכמתא כמ"ש למטה תהום אל תהום קורא כו' ע"ש:</w:t>
      </w:r>
    </w:p>
  </w:footnote>
  <w:footnote w:id="758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ל"ב אלקים כו'.</w:t>
      </w:r>
      <w:r w:rsidRPr="00BD5E91">
        <w:rPr>
          <w:sz w:val="22"/>
          <w:szCs w:val="22"/>
          <w:rtl/>
        </w:rPr>
        <w:t xml:space="preserve"> שהן ל"ב נתיבות חכמה שבבינה אלקים חיים שלכן אתקרי בינה לב כידוע וכלהו סתימן כמ"ש (ירמיהו יז ט) לב עקוב כו':</w:t>
      </w:r>
    </w:p>
  </w:footnote>
  <w:footnote w:id="758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בגין דלא יתגרי כו'.</w:t>
      </w:r>
      <w:r w:rsidRPr="00BD5E91">
        <w:rPr>
          <w:sz w:val="22"/>
          <w:szCs w:val="22"/>
          <w:rtl/>
        </w:rPr>
        <w:t xml:space="preserve"> ר"ל ז"ש וברוח אפיך בשבילו קפאו כו':</w:t>
      </w:r>
    </w:p>
  </w:footnote>
  <w:footnote w:id="758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 אימא.</w:t>
      </w:r>
      <w:r w:rsidRPr="00BD5E91">
        <w:rPr>
          <w:sz w:val="22"/>
          <w:szCs w:val="22"/>
          <w:rtl/>
        </w:rPr>
        <w:t xml:space="preserve"> ימא דאוריית' נ' תרעין שע"ז נאמר (דברים לב ו) עם נבל מנ' ומל"ב ולא חכם:</w:t>
      </w:r>
    </w:p>
  </w:footnote>
  <w:footnote w:id="758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דאיהי גלידא.</w:t>
      </w:r>
      <w:r w:rsidRPr="00BD5E91">
        <w:rPr>
          <w:sz w:val="22"/>
          <w:szCs w:val="22"/>
          <w:rtl/>
        </w:rPr>
        <w:t xml:space="preserve"> ר"ל קרח שלא יזלו המים כמ"ש (יחזקאל א כב) הקרח הנורא וז"ש ולא אתנגידת כו':</w:t>
      </w:r>
    </w:p>
  </w:footnote>
  <w:footnote w:id="758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חתימא.</w:t>
      </w:r>
      <w:r w:rsidRPr="00BD5E91">
        <w:rPr>
          <w:sz w:val="22"/>
          <w:szCs w:val="22"/>
          <w:rtl/>
        </w:rPr>
        <w:t xml:space="preserve"> שבה חתמנו לחיים כידוע:</w:t>
      </w:r>
    </w:p>
  </w:footnote>
  <w:footnote w:id="758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וכד בעי כו' ומן רתיכוי.</w:t>
      </w:r>
      <w:r w:rsidRPr="00BD5E91">
        <w:rPr>
          <w:sz w:val="22"/>
          <w:szCs w:val="22"/>
          <w:rtl/>
        </w:rPr>
        <w:t xml:space="preserve"> כמ"ש (שמות טו א) סוס ורוכבו רמה בים. בים הנ"ל כמש"ו:</w:t>
      </w:r>
    </w:p>
  </w:footnote>
  <w:footnote w:id="758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מה כתיב נשפת ברוחך.</w:t>
      </w:r>
      <w:r w:rsidRPr="00BD5E91">
        <w:rPr>
          <w:sz w:val="22"/>
          <w:szCs w:val="22"/>
          <w:rtl/>
        </w:rPr>
        <w:t xml:space="preserve"> רוח קדישא שאז יתבטל רוח סערה כנ"ל:</w:t>
      </w:r>
    </w:p>
  </w:footnote>
  <w:footnote w:id="758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כסמו ים.</w:t>
      </w:r>
      <w:r w:rsidRPr="00BD5E91">
        <w:rPr>
          <w:sz w:val="22"/>
          <w:szCs w:val="22"/>
          <w:rtl/>
        </w:rPr>
        <w:t xml:space="preserve"> ים הנ"ל:</w:t>
      </w:r>
    </w:p>
  </w:footnote>
  <w:footnote w:id="759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כעופרת.</w:t>
      </w:r>
      <w:r w:rsidRPr="00BD5E91">
        <w:rPr>
          <w:sz w:val="22"/>
          <w:szCs w:val="22"/>
          <w:rtl/>
        </w:rPr>
        <w:t xml:space="preserve"> וזהו העופרת דשדיוהו בדודא דעופרת (יומא סט ע"ב) כמש"ל דאתנסכו ממים דאברהם כמש"ל בדף הקודם ע"א ע"ש:</w:t>
      </w:r>
    </w:p>
  </w:footnote>
  <w:footnote w:id="759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אדירים מינייהו.</w:t>
      </w:r>
      <w:r w:rsidRPr="00BD5E91">
        <w:rPr>
          <w:sz w:val="22"/>
          <w:szCs w:val="22"/>
          <w:rtl/>
        </w:rPr>
        <w:t xml:space="preserve"> ר"ל זהו במים אדירים והן נידונו בד' מיתות ב"ד כמש"ו שהן בד' אותיות הויה כמש"ל והד' מתחלקין לעשר במילואו והן עשר מכות שהביא הקב"ה על המצרים בים שהן ד' קליפין הנ"ל שהן מתחלקין לעשר ג"כ כידוע וכנגדן נעשו עשרה נסים לישראל על הים בד' אותיות הוי"ה וכן יהיה לעתיד עשר מכות כידוע שלכן אמרו אז שר לא נאמר אלא אז ישיר:</w:t>
      </w:r>
    </w:p>
  </w:footnote>
  <w:footnote w:id="759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בהו כו'.</w:t>
      </w:r>
      <w:r w:rsidRPr="00BD5E91">
        <w:rPr>
          <w:sz w:val="22"/>
          <w:szCs w:val="22"/>
          <w:rtl/>
        </w:rPr>
        <w:t xml:space="preserve"> מפ' והולך כל ה' דוהארץ היתה כו':</w:t>
      </w:r>
    </w:p>
  </w:footnote>
  <w:footnote w:id="759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עץ ואבן.</w:t>
      </w:r>
      <w:r w:rsidRPr="00BD5E91">
        <w:rPr>
          <w:sz w:val="22"/>
          <w:szCs w:val="22"/>
          <w:rtl/>
        </w:rPr>
        <w:t xml:space="preserve"> שכ' (דברים כח לו) אלהים אחרים עץ ואבן:</w:t>
      </w:r>
    </w:p>
  </w:footnote>
  <w:footnote w:id="759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מי טופנא.</w:t>
      </w:r>
      <w:r w:rsidRPr="00BD5E91">
        <w:rPr>
          <w:sz w:val="22"/>
          <w:szCs w:val="22"/>
          <w:rtl/>
        </w:rPr>
        <w:t xml:space="preserve"> שהמבול הוא רומז על הגלות כמש"ל בדף הקודם ע"ג והכי אחזי ליה ברמז בסוף יומיא כו' וכן כל הפרשה של המבול כידוע למבין:</w:t>
      </w:r>
    </w:p>
  </w:footnote>
  <w:footnote w:id="759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ומאן גרים כו'.</w:t>
      </w:r>
      <w:r w:rsidRPr="00BD5E91">
        <w:rPr>
          <w:sz w:val="22"/>
          <w:szCs w:val="22"/>
          <w:rtl/>
        </w:rPr>
        <w:t xml:space="preserve"> כנ"ל ולאום כו':</w:t>
      </w:r>
    </w:p>
  </w:footnote>
  <w:footnote w:id="759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וכד אלין מתגברין.</w:t>
      </w:r>
      <w:r w:rsidRPr="00BD5E91">
        <w:rPr>
          <w:sz w:val="22"/>
          <w:szCs w:val="22"/>
          <w:rtl/>
        </w:rPr>
        <w:t xml:space="preserve"> ר"ל של הקדושה:</w:t>
      </w:r>
    </w:p>
  </w:footnote>
  <w:footnote w:id="759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תהרוס קמיך.</w:t>
      </w:r>
      <w:r w:rsidRPr="00BD5E91">
        <w:rPr>
          <w:sz w:val="22"/>
          <w:szCs w:val="22"/>
          <w:rtl/>
        </w:rPr>
        <w:t xml:space="preserve"> ר"ל תהרוס אבנין עת לבנות ועת להרוס כידוע וזהו וברוב גאונך שגאוה הוא במים כידוע וז"ש (יחזקאל מז ה) כי גאו המים כו' וכן השם במים כי גאה גאה וכן בכל הנסים נתגאה ה' בים וכתיב ה' מלך גאות לבש כו' מקולות מים רבים אדירים כו' כידוע במעשה בראשית ואע"ג שאמ' לעיל בתהו אתמשכן מיא כו' במים אדירים</w:t>
      </w:r>
      <w:r>
        <w:rPr>
          <w:rFonts w:hint="cs"/>
          <w:sz w:val="22"/>
          <w:szCs w:val="22"/>
          <w:rtl/>
        </w:rPr>
        <w:t>,</w:t>
      </w:r>
      <w:r w:rsidRPr="00BD5E91">
        <w:rPr>
          <w:sz w:val="22"/>
          <w:szCs w:val="22"/>
          <w:rtl/>
        </w:rPr>
        <w:t xml:space="preserve"> כאן מקום המים רק דרוח של תהו גורם למים דבהו בין בקדושה בין בס"א כמ"ש (משלי כה כג) רוח צפון תחולל גשם וזה שאומרים משיב הרוח ומוריד הגשם, (משלי כה יד) נשיאים ורוח כו' והוא קליפה שניה שביחזקאל (יחזקאל א ד) ענן גדול שמשם הגשם ובאליהו (מלכים א יט יא) ואחר הרוח רעש (תהלים כט ג) הרעים ה' על מים רבים (איוב כו יד) ורעם גבורותיו כו':</w:t>
      </w:r>
    </w:p>
  </w:footnote>
  <w:footnote w:id="759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ואתעבידו לון כו'.</w:t>
      </w:r>
      <w:r w:rsidRPr="00BD5E91">
        <w:rPr>
          <w:sz w:val="22"/>
          <w:szCs w:val="22"/>
          <w:rtl/>
        </w:rPr>
        <w:t xml:space="preserve"> וזהו ירה בים כמ"ש (שמות יט יג) או ירה יירה. טבעו בים סוף הוא חנק דתהו כמ"ש (כתובות ל ע"ב) מי שמיתתו חנק טובע בים והן באדם מרה ירוקה קו ירוק תהו וז"ש (ע"ז כ ע"ב) מרה תלויה בחרבא דמ"ה שהוא מרה כידוע שממנו מוריק טינרא שבריאה שהן אבנין מרא חורא ששם מים שבריאה אבנים מפולמין ונגדן בקדושה ד' יסודין של אדם מים ורוח מד' יסודות ד' אותיות הויה כידוע והן מ</w:t>
      </w:r>
      <w:r>
        <w:rPr>
          <w:rFonts w:hint="cs"/>
          <w:sz w:val="22"/>
          <w:szCs w:val="22"/>
          <w:rtl/>
        </w:rPr>
        <w:t>ת</w:t>
      </w:r>
      <w:r w:rsidRPr="00BD5E91">
        <w:rPr>
          <w:sz w:val="22"/>
          <w:szCs w:val="22"/>
          <w:rtl/>
        </w:rPr>
        <w:t xml:space="preserve">לבשין בד' מרות כידוע וז"ש לקמן ד' אותיות מתלבשין כו' והן הנשמה כלילא מד' רוחין כמ"ש </w:t>
      </w:r>
      <w:r>
        <w:rPr>
          <w:rFonts w:hint="cs"/>
          <w:sz w:val="22"/>
          <w:szCs w:val="22"/>
          <w:rtl/>
        </w:rPr>
        <w:t xml:space="preserve">(יחזקאל לז ט) </w:t>
      </w:r>
      <w:r w:rsidRPr="00BD5E91">
        <w:rPr>
          <w:sz w:val="22"/>
          <w:szCs w:val="22"/>
          <w:rtl/>
        </w:rPr>
        <w:t>מארבע הרוחות באי הרוח כידוע עם יצ"ה כלול מד' קליפין כשזה קם זה נופל:</w:t>
      </w:r>
    </w:p>
  </w:footnote>
  <w:footnote w:id="759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וחשך.</w:t>
      </w:r>
      <w:r w:rsidRPr="00BD5E91">
        <w:rPr>
          <w:sz w:val="22"/>
          <w:szCs w:val="22"/>
          <w:rtl/>
        </w:rPr>
        <w:t xml:space="preserve"> קליפה השלישית ויהי הענן והחשך. ר"ל ענן דבהו וחשך דכאן:</w:t>
      </w:r>
    </w:p>
  </w:footnote>
  <w:footnote w:id="760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ולא קרב זה כו'.</w:t>
      </w:r>
      <w:r w:rsidRPr="00BD5E91">
        <w:rPr>
          <w:sz w:val="22"/>
          <w:szCs w:val="22"/>
          <w:rtl/>
        </w:rPr>
        <w:t xml:space="preserve"> כמש"ל דלית יחודא בזמן דקב"ה באלין קליפין וזהו כל הלילה בגלות דבגלות הוא באלין קליפין כמ"ש לעיל:</w:t>
      </w:r>
    </w:p>
  </w:footnote>
  <w:footnote w:id="760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ואתמר ביה גם חשך כו'.</w:t>
      </w:r>
      <w:r w:rsidRPr="00BD5E91">
        <w:rPr>
          <w:sz w:val="22"/>
          <w:szCs w:val="22"/>
          <w:rtl/>
        </w:rPr>
        <w:t xml:space="preserve"> כמש"ל בע"ד מוחא מלגאו דא יקו"ק דאיהו לא מקביל כו' וז"ש </w:t>
      </w:r>
      <w:r>
        <w:rPr>
          <w:rFonts w:hint="cs"/>
          <w:sz w:val="22"/>
          <w:szCs w:val="22"/>
          <w:rtl/>
        </w:rPr>
        <w:t xml:space="preserve">(דניאל ב כב) </w:t>
      </w:r>
      <w:r w:rsidRPr="00BD5E91">
        <w:rPr>
          <w:sz w:val="22"/>
          <w:szCs w:val="22"/>
          <w:rtl/>
        </w:rPr>
        <w:t>ידע מה בחשוכא ונהורא עמי' שרי':</w:t>
      </w:r>
    </w:p>
  </w:footnote>
  <w:footnote w:id="760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ואתמר ביה ויהי חשך כו'.</w:t>
      </w:r>
      <w:r w:rsidRPr="00BD5E91">
        <w:rPr>
          <w:sz w:val="22"/>
          <w:szCs w:val="22"/>
          <w:rtl/>
        </w:rPr>
        <w:t xml:space="preserve"> בקליפין. ולכל בני ישראל כו' מוחא דלגאו כנ"ל:</w:t>
      </w:r>
    </w:p>
  </w:footnote>
  <w:footnote w:id="760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לא ראו אור.</w:t>
      </w:r>
      <w:r w:rsidRPr="00BD5E91">
        <w:rPr>
          <w:sz w:val="22"/>
          <w:szCs w:val="22"/>
          <w:rtl/>
        </w:rPr>
        <w:t xml:space="preserve"> בגלות וזהו ועתה לא כו'. מ"מ בהיר הוא כו' מלגאו:</w:t>
      </w:r>
    </w:p>
  </w:footnote>
  <w:footnote w:id="760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אתמר כו' ואתמר כו'.</w:t>
      </w:r>
      <w:r w:rsidRPr="00BD5E91">
        <w:rPr>
          <w:sz w:val="22"/>
          <w:szCs w:val="22"/>
          <w:rtl/>
        </w:rPr>
        <w:t xml:space="preserve"> ר"ל שלא ראו האור דלגאו:</w:t>
      </w:r>
    </w:p>
  </w:footnote>
  <w:footnote w:id="760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וחשך הוא שריפה.</w:t>
      </w:r>
      <w:r w:rsidRPr="00BD5E91">
        <w:rPr>
          <w:sz w:val="22"/>
          <w:szCs w:val="22"/>
          <w:rtl/>
        </w:rPr>
        <w:t xml:space="preserve"> אש היסודי שהוא חשך</w:t>
      </w:r>
      <w:r>
        <w:rPr>
          <w:rFonts w:hint="cs"/>
          <w:sz w:val="22"/>
          <w:szCs w:val="22"/>
          <w:rtl/>
        </w:rPr>
        <w:t>.</w:t>
      </w:r>
      <w:r w:rsidRPr="00BD5E91">
        <w:rPr>
          <w:sz w:val="22"/>
          <w:szCs w:val="22"/>
          <w:rtl/>
        </w:rPr>
        <w:t xml:space="preserve"> וכן בקדושה אור מאורי האש</w:t>
      </w:r>
      <w:r>
        <w:rPr>
          <w:rFonts w:hint="cs"/>
          <w:sz w:val="22"/>
          <w:szCs w:val="22"/>
          <w:rtl/>
        </w:rPr>
        <w:t>.</w:t>
      </w:r>
      <w:r w:rsidRPr="00BD5E91">
        <w:rPr>
          <w:sz w:val="22"/>
          <w:szCs w:val="22"/>
          <w:rtl/>
        </w:rPr>
        <w:t xml:space="preserve"> וחשך הוא הקליפה השלישית של יחזקאל ואש מתלקחת וכן באליהו ואחר הרעש אש והיא באדם מרה אדומה בכב</w:t>
      </w:r>
      <w:r>
        <w:rPr>
          <w:rFonts w:hint="cs"/>
          <w:sz w:val="22"/>
          <w:szCs w:val="22"/>
          <w:rtl/>
        </w:rPr>
        <w:t>ד</w:t>
      </w:r>
      <w:r w:rsidRPr="00BD5E91">
        <w:rPr>
          <w:sz w:val="22"/>
          <w:szCs w:val="22"/>
          <w:rtl/>
        </w:rPr>
        <w:t xml:space="preserve"> הכבד כועס והוא תננא דסליק בחוטם וז"ש ועליה אתמר תשלח חרונך כעס הנ"ל. יאכלמו כקש. כמ"ש והיה בית יעקב אש ובית עשו לקש כו'. והוא יסוד השלישי באדם אש:</w:t>
      </w:r>
    </w:p>
  </w:footnote>
  <w:footnote w:id="760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אשא דאורייתא.</w:t>
      </w:r>
      <w:r w:rsidRPr="00BD5E91">
        <w:rPr>
          <w:sz w:val="22"/>
          <w:szCs w:val="22"/>
          <w:rtl/>
        </w:rPr>
        <w:t xml:space="preserve"> הלא דברי כאש</w:t>
      </w:r>
      <w:r>
        <w:rPr>
          <w:rFonts w:hint="cs"/>
          <w:sz w:val="22"/>
          <w:szCs w:val="22"/>
          <w:rtl/>
        </w:rPr>
        <w:t xml:space="preserve"> (ירמיהו כג כט)</w:t>
      </w:r>
      <w:r w:rsidRPr="00BD5E91">
        <w:rPr>
          <w:sz w:val="22"/>
          <w:szCs w:val="22"/>
          <w:rtl/>
        </w:rPr>
        <w:t>:</w:t>
      </w:r>
    </w:p>
  </w:footnote>
  <w:footnote w:id="760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דאכלא כו'. כמ"ש </w:t>
      </w:r>
      <w:r>
        <w:rPr>
          <w:rFonts w:hint="cs"/>
          <w:sz w:val="22"/>
          <w:szCs w:val="22"/>
          <w:rtl/>
        </w:rPr>
        <w:t xml:space="preserve">(קדושין ל ע"ב) </w:t>
      </w:r>
      <w:r w:rsidRPr="00BD5E91">
        <w:rPr>
          <w:sz w:val="22"/>
          <w:szCs w:val="22"/>
          <w:rtl/>
        </w:rPr>
        <w:t>בראתי תבלין כו'</w:t>
      </w:r>
      <w:r>
        <w:rPr>
          <w:rFonts w:hint="cs"/>
          <w:sz w:val="22"/>
          <w:szCs w:val="22"/>
          <w:rtl/>
        </w:rPr>
        <w:t>, (סוכה נב ע"ב)</w:t>
      </w:r>
      <w:r w:rsidRPr="00BD5E91">
        <w:rPr>
          <w:sz w:val="22"/>
          <w:szCs w:val="22"/>
          <w:rtl/>
        </w:rPr>
        <w:t xml:space="preserve"> אם פגע בך מנוול זה משכהו לבה"מ אם אבן כו' שנאמר כפטיש כו' והוא סיפא דקרא הנ"ל הלא  דברי כאש וז"ש אש אוכלת אש</w:t>
      </w:r>
      <w:r>
        <w:rPr>
          <w:rFonts w:hint="cs"/>
          <w:sz w:val="22"/>
          <w:szCs w:val="22"/>
          <w:rtl/>
        </w:rPr>
        <w:t>,</w:t>
      </w:r>
      <w:r w:rsidRPr="00BD5E91">
        <w:rPr>
          <w:sz w:val="22"/>
          <w:szCs w:val="22"/>
          <w:rtl/>
        </w:rPr>
        <w:t xml:space="preserve"> אש דשכינה שהיא דבר דברי כאש יפוצץ סלע סלע דחויא כמש"ל דף ע"ה אם אבן הוא נימוח במים שנא' אבנים שחקו מים והוא אבנים דבהו שמים דקדושה שחקו אותן מים דאורייתא כנ"ל וכל היסודות באורייתא שהן ד' אותיות הויה כנ"ל:</w:t>
      </w:r>
    </w:p>
  </w:footnote>
  <w:footnote w:id="760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תהום הוא המות.</w:t>
      </w:r>
      <w:r w:rsidRPr="00BD5E91">
        <w:rPr>
          <w:sz w:val="22"/>
          <w:szCs w:val="22"/>
          <w:rtl/>
        </w:rPr>
        <w:t xml:space="preserve"> ר"ל בהיפוך אתוון כמש"ל והוא יסוד הרביעי יסוד עפר שבו (בראשית ג יט) אל עפר תשוב והוא באדם מרה אוכמא טחול המות דאחשיך כל בריין והוא קליפה רביעית שביחזקאל והן ד' קליפות של (תהלים עח לח) והוא רחום יכפר כו' ד' רגלי מרכבה טמאה עון במים שמשם התאוה כידוע (תהלים נא ז) הן בעון חוללתי (משלי ח כד) באין תהומות חוללתי משחית בתהום המות אף בתהו כנ"ל חמתו בחשך (שמות טו ז) תשלח חרונך כנ"ל וכנגדן ד' רגלי המרכבה בקדושה ד' חיות:</w:t>
      </w:r>
    </w:p>
  </w:footnote>
  <w:footnote w:id="760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ואית תהום אחרא.</w:t>
      </w:r>
      <w:r w:rsidRPr="00BD5E91">
        <w:rPr>
          <w:sz w:val="22"/>
          <w:szCs w:val="22"/>
          <w:rtl/>
        </w:rPr>
        <w:t xml:space="preserve"> ר"ל דקדושה כמש"ו:</w:t>
      </w:r>
    </w:p>
  </w:footnote>
  <w:footnote w:id="761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תהום אל תהום.</w:t>
      </w:r>
      <w:r w:rsidRPr="00BD5E91">
        <w:rPr>
          <w:sz w:val="22"/>
          <w:szCs w:val="22"/>
          <w:rtl/>
        </w:rPr>
        <w:t xml:space="preserve"> ב' ההין כמ"ש (תענית כה ע"ב) לדידי חזי לי האי רדיא והוא שור דגבורה שבו גבורות גשמים שהוא שמאלו תחת לראשי שע"י היחוד לתהום עילאה אמר אבע מימיך ה' עילאה מ"ד כו':</w:t>
      </w:r>
    </w:p>
  </w:footnote>
  <w:footnote w:id="761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אינון צנורין כו'.</w:t>
      </w:r>
      <w:r w:rsidRPr="00BD5E91">
        <w:rPr>
          <w:sz w:val="22"/>
          <w:szCs w:val="22"/>
          <w:rtl/>
        </w:rPr>
        <w:t xml:space="preserve"> כ"ב צנורין שהן כ"ב אותיות התורה וז"ש דאינון ווי העמודים שהוא תורה שבכתב שנק' ווי העמודים ושם אין רק אותיות:</w:t>
      </w:r>
    </w:p>
  </w:footnote>
  <w:footnote w:id="761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אלין טעמים כו'.</w:t>
      </w:r>
      <w:r w:rsidRPr="00BD5E91">
        <w:rPr>
          <w:sz w:val="22"/>
          <w:szCs w:val="22"/>
          <w:rtl/>
        </w:rPr>
        <w:t xml:space="preserve"> שהן שוברים את המקרא למעלה או למטה והן מאני קרבא כנ"ל דתברין סלעין דחויא כמש"ל:</w:t>
      </w:r>
    </w:p>
  </w:footnote>
  <w:footnote w:id="761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וגליך אלין כו'.</w:t>
      </w:r>
      <w:r w:rsidRPr="00BD5E91">
        <w:rPr>
          <w:sz w:val="22"/>
          <w:szCs w:val="22"/>
          <w:rtl/>
        </w:rPr>
        <w:t xml:space="preserve"> כמ"ש בתיקונים דסלקין בעיגולא כגלי ימא שהנקודות הן בעיגול כמש"ל בדף הקודם כגלגלין:</w:t>
      </w:r>
    </w:p>
  </w:footnote>
  <w:footnote w:id="761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רזא דעיבור כו'.</w:t>
      </w:r>
      <w:r w:rsidRPr="00BD5E91">
        <w:rPr>
          <w:sz w:val="22"/>
          <w:szCs w:val="22"/>
          <w:rtl/>
        </w:rPr>
        <w:t xml:space="preserve"> ר"ל אותיו' ע"ב רי"ו ע"ב שמות שבהן רי"ו אותיות דכלילן בחג"ת סוד אמ"ש שהן בעיבור כמ"ש בפ' תרומה שהן יב"ק הנ"ל וזהו ויעבור את מעבר יבק ויעבור כנ"ל והן נשמתא ורוחא ונפשא כנ"ל בריש העמוד ונר"נ הן בסוד טנ"א כמש"ל בדף הקודם ע"א ובהרבה מקומות וכולן כלילן בשכינת' כמ"ש בתיקוני' וזהו עלי עברו על דוד מלכא:</w:t>
      </w:r>
    </w:p>
  </w:footnote>
  <w:footnote w:id="761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ואית תהום דאיהו כו'.</w:t>
      </w:r>
      <w:r w:rsidRPr="00BD5E91">
        <w:rPr>
          <w:sz w:val="22"/>
          <w:szCs w:val="22"/>
          <w:rtl/>
        </w:rPr>
        <w:t xml:space="preserve"> מפ' מ"ש לעיל תהום הוא כו' וחוזר כאן לפי שרוצה לסיים ואיהו הרג ואומר וד' אתוון כו':</w:t>
      </w:r>
    </w:p>
  </w:footnote>
  <w:footnote w:id="761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י' עבידת סקילה בהו.</w:t>
      </w:r>
      <w:r w:rsidRPr="00BD5E91">
        <w:rPr>
          <w:sz w:val="22"/>
          <w:szCs w:val="22"/>
          <w:rtl/>
        </w:rPr>
        <w:t xml:space="preserve"> אבני' כנ"ל:</w:t>
      </w:r>
    </w:p>
  </w:footnote>
  <w:footnote w:id="761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ה' אתלבשת כו'.</w:t>
      </w:r>
      <w:r w:rsidRPr="00BD5E91">
        <w:rPr>
          <w:sz w:val="22"/>
          <w:szCs w:val="22"/>
          <w:rtl/>
        </w:rPr>
        <w:t xml:space="preserve"> באש של גיהנם נהר יוצק יסודם נהר דינור והיא נהר כידוע וכן בקדושה בה ה"פ אור כנ"ל:</w:t>
      </w:r>
    </w:p>
  </w:footnote>
  <w:footnote w:id="761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 אתלבש בתהו דאיהו קו ירוק למעבד כו'.</w:t>
      </w:r>
      <w:r w:rsidRPr="00BD5E91">
        <w:rPr>
          <w:sz w:val="22"/>
          <w:szCs w:val="22"/>
          <w:rtl/>
        </w:rPr>
        <w:t xml:space="preserve"> שהוא"ו הוא קו כידוע:</w:t>
      </w:r>
    </w:p>
  </w:footnote>
  <w:footnote w:id="761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ה' אתלבש כו'.</w:t>
      </w:r>
      <w:r w:rsidRPr="00BD5E91">
        <w:rPr>
          <w:sz w:val="22"/>
          <w:szCs w:val="22"/>
          <w:rtl/>
        </w:rPr>
        <w:t xml:space="preserve"> שרגליה יורדות כו' והן ד' יסודות כסדר י' בהו מים ה' חשך אש ו' תהו רוח ה' תהום עפר כנ"ל והן ד' גוונין והארץ הוא גוון חמישי שהן ה' גוונין וכלהון חשוכין וכד נהיר בהו ה' עילאה ה"פ אור כנ"ל וז"ש. והארץ כליל כו' כמ"ש בעמוד ד' והארץ חד כו' כתנות עור חשיכין דעיינין ע"ש:</w:t>
      </w:r>
    </w:p>
  </w:footnote>
  <w:footnote w:id="762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ושכינתא מתלבשא בה.</w:t>
      </w:r>
      <w:r w:rsidRPr="00BD5E91">
        <w:rPr>
          <w:sz w:val="22"/>
          <w:szCs w:val="22"/>
          <w:rtl/>
        </w:rPr>
        <w:t xml:space="preserve"> ר"ל בארץ וז"ש לבערא כו' מן הארץ וז"ש עת אשר שלט האדם באדם לרע לו כידוע:</w:t>
      </w:r>
    </w:p>
  </w:footnote>
  <w:footnote w:id="762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וכל זה כו'.</w:t>
      </w:r>
      <w:r w:rsidRPr="00BD5E91">
        <w:rPr>
          <w:sz w:val="22"/>
          <w:szCs w:val="22"/>
          <w:rtl/>
        </w:rPr>
        <w:t xml:space="preserve"> השם בהיפוך והמן ועשרה בניו הן עשר כתרין דמסאבותא שבהן ד' קליפין הנ"ל כמש"ל:</w:t>
      </w:r>
    </w:p>
  </w:footnote>
  <w:footnote w:id="7622">
    <w:p w:rsidR="00007309" w:rsidRPr="00BD5E91" w:rsidRDefault="00007309" w:rsidP="00007309">
      <w:pPr>
        <w:jc w:val="both"/>
        <w:rPr>
          <w:rFonts w:cs="Arial"/>
          <w:sz w:val="22"/>
          <w:szCs w:val="22"/>
          <w:rtl/>
        </w:rPr>
      </w:pPr>
      <w:r w:rsidRPr="00BD5E91">
        <w:rPr>
          <w:rStyle w:val="a7"/>
          <w:rFonts w:cs="Arial"/>
          <w:sz w:val="22"/>
          <w:szCs w:val="22"/>
          <w:rtl/>
        </w:rPr>
        <w:footnoteRef/>
      </w:r>
      <w:r w:rsidRPr="00BD5E91">
        <w:rPr>
          <w:rFonts w:cs="Arial"/>
          <w:sz w:val="22"/>
          <w:szCs w:val="22"/>
          <w:rtl/>
        </w:rPr>
        <w:t xml:space="preserve"> </w:t>
      </w:r>
      <w:r w:rsidRPr="00BD5E91">
        <w:rPr>
          <w:rFonts w:cs="Arial"/>
          <w:b/>
          <w:bCs/>
          <w:sz w:val="22"/>
          <w:szCs w:val="22"/>
          <w:rtl/>
        </w:rPr>
        <w:t>אנ"י וה"ו.</w:t>
      </w:r>
      <w:r w:rsidRPr="00BD5E91">
        <w:rPr>
          <w:rFonts w:cs="Arial"/>
          <w:sz w:val="22"/>
          <w:szCs w:val="22"/>
          <w:rtl/>
        </w:rPr>
        <w:t xml:space="preserve"> ר"ל שכינה וקב"ה והוא ראיה שוא"ו נקרא הוא וזהו בו הוא שבבהו הוא ו' קב"ה:</w:t>
      </w:r>
    </w:p>
  </w:footnote>
  <w:footnote w:id="762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לא תהו בראה.</w:t>
      </w:r>
      <w:r w:rsidRPr="00BD5E91">
        <w:rPr>
          <w:sz w:val="22"/>
          <w:szCs w:val="22"/>
          <w:rtl/>
        </w:rPr>
        <w:t xml:space="preserve"> ר"ל אז לשבת יצרה משא"כ קודם דהות בתהו:</w:t>
      </w:r>
    </w:p>
  </w:footnote>
  <w:footnote w:id="762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עריות.</w:t>
      </w:r>
      <w:r w:rsidRPr="00BD5E91">
        <w:rPr>
          <w:sz w:val="22"/>
          <w:szCs w:val="22"/>
          <w:rtl/>
        </w:rPr>
        <w:t xml:space="preserve"> ער הוא קליפה ער בכורו רע בהיפוך אתוון וזהו ערוה דמכסין לו"ה עריה תעור כו' דמכסין לי"ה תעור אותיות ערות והן קליפין לד' אותיות:</w:t>
      </w:r>
    </w:p>
  </w:footnote>
  <w:footnote w:id="762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 חשך כו'.</w:t>
      </w:r>
      <w:r w:rsidRPr="00BD5E91">
        <w:rPr>
          <w:sz w:val="22"/>
          <w:szCs w:val="22"/>
          <w:rtl/>
        </w:rPr>
        <w:t xml:space="preserve"> לאית מאן דאמר:</w:t>
      </w:r>
    </w:p>
  </w:footnote>
  <w:footnote w:id="762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ערות אשה כו'.</w:t>
      </w:r>
      <w:r w:rsidRPr="00BD5E91">
        <w:rPr>
          <w:sz w:val="22"/>
          <w:szCs w:val="22"/>
          <w:rtl/>
        </w:rPr>
        <w:t xml:space="preserve"> ב' ההין:</w:t>
      </w:r>
    </w:p>
  </w:footnote>
  <w:footnote w:id="762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 ה' זעירא.</w:t>
      </w:r>
      <w:r w:rsidRPr="00BD5E91">
        <w:rPr>
          <w:sz w:val="22"/>
          <w:szCs w:val="22"/>
          <w:rtl/>
        </w:rPr>
        <w:t xml:space="preserve"> בת אביו אבא או כו'. שהן ב' הויות יהה"ו יוקק כמ"ש בתי' תי"ח שבראשונה היא בת אביו ובשניה בת אמו ע"ש וכ"ז אזהרה לו' של השם שע"י הייחוד שבו כל הנחלים כו' שהוא יחודא דכולא ובזמן שקב"ה באלין קליפין לית יחודא לכן כל העריות לא תגלה וז"ש כלהו עריין כו':</w:t>
      </w:r>
    </w:p>
  </w:footnote>
  <w:footnote w:id="762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והכא איתמר כו'.</w:t>
      </w:r>
      <w:r w:rsidRPr="00BD5E91">
        <w:rPr>
          <w:sz w:val="22"/>
          <w:szCs w:val="22"/>
          <w:rtl/>
        </w:rPr>
        <w:t xml:space="preserve"> ר"ל כמ"ש (ילקוט שמעוני ישעיהו פ' כ"ג סי' תכ"ה) ולמכסה עתיק דברים שכסן עתיק יומין שבאלין הקליפות אסור ההתבוננות כמ"ש (משנה חגיגה ב,א) כל המסתכל מה לפנים כו' שהוא באלו הקליפין שבהן בונה עולמות ומחריבן כמ"ש בעמוד ד' תהו היתה מקדמת דנא וז"ש לפנים מה דהוה הוה כו' משל לאדם שבונה פלטרין על האשפה אין רצונו להזכיר שם האשפה וזהו סוד דעולם התהו שאמר בא"ר דמלכין קדמאין מיתו כו' וז"ש וכל שלא חס על כבוד קונו כו' כבוד אלקים הסתר דבר ואמרו זה העובר עבירה בסתר ועבירה הוא נקרא בכל הגמ' עריות הרהור עבירה וכן בהרבה מקומות והן אלו העריות ואמרו זה המסתכל בקשת והוא כמ"ש בזוהר דאסור לאסתכלא בקשת משום דמתכסיא באלין קליפין שהן גוונין דקשת דלא נהירין ובזמנא דגוונוי נהירין תצפי כו' כנ"ל ולכן אסור בהן ההסתכלות כמ"ש (סנהדרין צב ע"א) כל המסתכל בעריות קשתו ננערת כמ"ש וראה את ערותה והיא כו' וז"ש בן זומא הציץ ונפגע דאסתכל באלין קליפין כמש"ל בדף הקודם תלת דעאלו בתלת שנים כו' ואמרו בגמ' ועליו הוא אומר דבש מצאת אכול דיך כו' וז"ש כאן. לאכול לשבעה:</w:t>
      </w:r>
    </w:p>
  </w:footnote>
  <w:footnote w:id="762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והארץ היתה כו' והא אוקמוה כו'.</w:t>
      </w:r>
      <w:r w:rsidRPr="00BD5E91">
        <w:rPr>
          <w:sz w:val="22"/>
          <w:szCs w:val="22"/>
          <w:rtl/>
        </w:rPr>
        <w:t xml:space="preserve"> בדף הקודם ע"ב והוא רמז על הגלות וכן בעולם התהו כידוע:</w:t>
      </w:r>
    </w:p>
  </w:footnote>
  <w:footnote w:id="763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בתרין עלמין כו'.</w:t>
      </w:r>
      <w:r w:rsidRPr="00BD5E91">
        <w:rPr>
          <w:sz w:val="22"/>
          <w:szCs w:val="22"/>
          <w:rtl/>
        </w:rPr>
        <w:t xml:space="preserve"> כמ"ש שם שכינה עילאה שכינה תתאה וזה שכתוב אצל כל העריות ונכרתה</w:t>
      </w:r>
      <w:r>
        <w:rPr>
          <w:rFonts w:hint="cs"/>
          <w:sz w:val="22"/>
          <w:szCs w:val="22"/>
          <w:rtl/>
        </w:rPr>
        <w:t>,</w:t>
      </w:r>
      <w:r w:rsidRPr="00BD5E91">
        <w:rPr>
          <w:sz w:val="22"/>
          <w:szCs w:val="22"/>
          <w:rtl/>
        </w:rPr>
        <w:t xml:space="preserve"> שאמרו הכרת תכרת</w:t>
      </w:r>
      <w:r>
        <w:rPr>
          <w:rFonts w:hint="cs"/>
          <w:sz w:val="22"/>
          <w:szCs w:val="22"/>
          <w:rtl/>
        </w:rPr>
        <w:t>,</w:t>
      </w:r>
      <w:r w:rsidRPr="00BD5E91">
        <w:rPr>
          <w:sz w:val="22"/>
          <w:szCs w:val="22"/>
          <w:rtl/>
        </w:rPr>
        <w:t xml:space="preserve"> הכרת בעה"ז תכרת בעה"ב:</w:t>
      </w:r>
    </w:p>
  </w:footnote>
  <w:footnote w:id="763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ואית מאן דאמר כו' תתקע"ד דורות כו' אלין דאתמר כו'.</w:t>
      </w:r>
      <w:r w:rsidRPr="00BD5E91">
        <w:rPr>
          <w:sz w:val="22"/>
          <w:szCs w:val="22"/>
          <w:rtl/>
        </w:rPr>
        <w:t xml:space="preserve"> עולם התיקון מאדה"ר כנ"ל:</w:t>
      </w:r>
    </w:p>
  </w:footnote>
  <w:footnote w:id="763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אחרנין כו'.</w:t>
      </w:r>
      <w:r w:rsidRPr="00BD5E91">
        <w:rPr>
          <w:sz w:val="22"/>
          <w:szCs w:val="22"/>
          <w:rtl/>
        </w:rPr>
        <w:t xml:space="preserve"> תתקע"ד דורות כנ"ל. והן בגלות הזה כמש"ל ואח"כ ורוח אלקים כו' ויאמר אלקים יהי אור כנ"ל:</w:t>
      </w:r>
    </w:p>
  </w:footnote>
  <w:footnote w:id="763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סכותה בענן כו'.</w:t>
      </w:r>
      <w:r w:rsidRPr="00BD5E91">
        <w:rPr>
          <w:sz w:val="22"/>
          <w:szCs w:val="22"/>
          <w:rtl/>
        </w:rPr>
        <w:t xml:space="preserve"> וז"ש (ברכות לב ע"ב) מיום שחרב בה"מ נפסקה מחיצת ברזל בין ישראל כו' רבא ביומא דעיבא כו' שנא' סכותה בענן כו' ור"ל ביומא דריתחא כמ"ש בזוהר וימת מלך מצרים אז ויאנחו כו' ותעל שועתם: </w:t>
      </w:r>
    </w:p>
  </w:footnote>
  <w:footnote w:id="763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מעבור תפלה.</w:t>
      </w:r>
      <w:r w:rsidRPr="00BD5E91">
        <w:rPr>
          <w:sz w:val="22"/>
          <w:szCs w:val="22"/>
          <w:rtl/>
        </w:rPr>
        <w:t xml:space="preserve"> הוא מלכות כמש"ל דל"ל חבורא דייחודא ולכן שערי תפלה ננעלו:</w:t>
      </w:r>
    </w:p>
  </w:footnote>
  <w:footnote w:id="763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בהו וחשך.</w:t>
      </w:r>
      <w:r w:rsidRPr="00BD5E91">
        <w:rPr>
          <w:sz w:val="22"/>
          <w:szCs w:val="22"/>
          <w:rtl/>
        </w:rPr>
        <w:t xml:space="preserve"> בהו הוא ענן כמש"ל וז"ש בהו וחשך עלייהו איתמר כו' והוא ראיה שבהו הוא ענן והוא קליפה הקשה מכולם כאבן אבנים מפולמות ועלה מתקבצין תנאים כפטיש יפוצץ ולית דיוכל לתברא לה עד שיבא משה רבינו כמ"ש בר"מ פ' תצא והוא מחיצת ברזל הנ"ל שאמרו (סוכה נב ע"ב) משכהו לב"ה אם אבן הוא נימוח אם ברזל הוא כו' בקושיין דהלכה דכ"א משבר קצת עד שיבא משה רבינו וישבר הכל ולכן הוו מצלי היכא דהוו גרסי דשם נשבר הענן הנ"ל ויכול לעבור התפלה וז"ש (ברכות ח ע"א) מריש הוי מצלינא בבי כנישתא כיון דשמענא כו' אין לקב"ה אלא ד"א של הלכה שהן ד' אותיות הויה מוחא דלגאו דשם משבר הקליפה כנ"ל לא מצלינא כו':</w:t>
      </w:r>
    </w:p>
  </w:footnote>
  <w:footnote w:id="763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ואלין אינון כו'.</w:t>
      </w:r>
      <w:r w:rsidRPr="00BD5E91">
        <w:rPr>
          <w:sz w:val="22"/>
          <w:szCs w:val="22"/>
          <w:rtl/>
        </w:rPr>
        <w:t xml:space="preserve"> כמ"ש בתיקונים קליפה החיצונה קליפה ירוקא תהו קו ירוק שניה כמו אבן שצריך לתברא לה בהו תליתאה וחשך רביעאה תהום חללא דאגוזא והן ד' גליות ואח"כ מוחא דאגוזא ורוח אלקים כו' שהוא רוח כלילא מד' רוחות כמ"ש (ישעיהו יא ב) ונחה עליו רוח ה' רוח כו' ד"פ רוח שהוא ד' אותיות הויה כמש"ו ויאמר כו' כמ"ש קומי אורי כו':</w:t>
      </w:r>
    </w:p>
  </w:footnote>
  <w:footnote w:id="763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דאתפלג לד' סטרין.</w:t>
      </w:r>
      <w:r w:rsidRPr="00BD5E91">
        <w:rPr>
          <w:sz w:val="22"/>
          <w:szCs w:val="22"/>
          <w:rtl/>
        </w:rPr>
        <w:t xml:space="preserve"> שתי וערב כידוע באגוז ולבוש דק סביב והוא החשמל (יחזקאל א ה) ומתוכה דמות ארבע חיות הן ד' אותיות הויה חשמל גי' מלבוש:</w:t>
      </w:r>
    </w:p>
  </w:footnote>
  <w:footnote w:id="763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דאיהו כו'.</w:t>
      </w:r>
      <w:r w:rsidRPr="00BD5E91">
        <w:rPr>
          <w:sz w:val="22"/>
          <w:szCs w:val="22"/>
          <w:rtl/>
        </w:rPr>
        <w:t xml:space="preserve"> ר"ל אע"ג דהוא קליפין דאגוז:</w:t>
      </w:r>
    </w:p>
  </w:footnote>
  <w:footnote w:id="763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כמד"א הלא כו'.</w:t>
      </w:r>
      <w:r w:rsidRPr="00BD5E91">
        <w:rPr>
          <w:sz w:val="22"/>
          <w:szCs w:val="22"/>
          <w:rtl/>
        </w:rPr>
        <w:t xml:space="preserve"> כמ"ש בגמ' </w:t>
      </w:r>
      <w:r>
        <w:rPr>
          <w:rFonts w:hint="cs"/>
          <w:sz w:val="22"/>
          <w:szCs w:val="22"/>
          <w:rtl/>
        </w:rPr>
        <w:t xml:space="preserve">(ברכות כב ע"א) </w:t>
      </w:r>
      <w:r w:rsidRPr="00BD5E91">
        <w:rPr>
          <w:sz w:val="22"/>
          <w:szCs w:val="22"/>
          <w:rtl/>
        </w:rPr>
        <w:t>ד"ת אינן מקבלין טומאה שנא' כו'</w:t>
      </w:r>
      <w:r>
        <w:rPr>
          <w:rFonts w:hint="cs"/>
          <w:sz w:val="22"/>
          <w:szCs w:val="22"/>
          <w:rtl/>
        </w:rPr>
        <w:t>,</w:t>
      </w:r>
      <w:r w:rsidRPr="00BD5E91">
        <w:rPr>
          <w:sz w:val="22"/>
          <w:szCs w:val="22"/>
          <w:rtl/>
        </w:rPr>
        <w:t xml:space="preserve"> והוא אורייתא כמש"ל אורייתא עד"א ד' אותיות הויה</w:t>
      </w:r>
      <w:r>
        <w:rPr>
          <w:rFonts w:hint="cs"/>
          <w:sz w:val="22"/>
          <w:szCs w:val="22"/>
          <w:rtl/>
        </w:rPr>
        <w:t>.</w:t>
      </w:r>
      <w:r w:rsidRPr="00BD5E91">
        <w:rPr>
          <w:sz w:val="22"/>
          <w:szCs w:val="22"/>
          <w:rtl/>
        </w:rPr>
        <w:t xml:space="preserve"> משא"כ בתפלה כמ"ש למטה דבזמנא דאיהו הוה כו' והוא לקותא דנהירין דליקוי לבנה הוא ליקוי ממש אבל ליקוי החמה אינו אלא לעינינו והוא כמ"ש למטה עור חשיכו דעיינין כו' ע"ש וד' החיות הן ביצירה ששם מקנן עד"א והן ד' אותיות הויה כמ"ש בתיקונים ויחזקאל ראה אותן בגלות לכן ראה בקליפין כמ"ש (חגיגה יג ע"ב) להיכן הלך לכבוש כו' מי גרם שאהיה שמש לד"א כו' וזהו נהר כבר שהוא מט"ט כמ"ש לעיל שבו מתלבש בגלות בהאי עבד כנ"ל:</w:t>
      </w:r>
    </w:p>
  </w:footnote>
  <w:footnote w:id="764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ובזמנא כו' ויתברון מאגוזא צלותא כו'.</w:t>
      </w:r>
      <w:r w:rsidRPr="00BD5E91">
        <w:rPr>
          <w:sz w:val="22"/>
          <w:szCs w:val="22"/>
          <w:rtl/>
        </w:rPr>
        <w:t xml:space="preserve"> שעד עתה סכותה כו' מפסיקין בין הויה לאדני וזהו ערוה בין ו' לז' בשביל העגל שעבדו בין שש לשבע וכן בין שש לשבע יתבערו מהכל דוגמת החמץ כידוע וזהו (ישעיהו נט ב) כי אם עונותיכם מבדילים כו' כמו לקותא דסיהרא דחשוכא דארץ מפסיק בינה לשמשא ולא נהיר לה כידוע וזהו בכס' ליום חגנו:</w:t>
      </w:r>
    </w:p>
  </w:footnote>
  <w:footnote w:id="764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דהביאו לה בחשאי.</w:t>
      </w:r>
      <w:r w:rsidRPr="00BD5E91">
        <w:rPr>
          <w:sz w:val="22"/>
          <w:szCs w:val="22"/>
          <w:rtl/>
        </w:rPr>
        <w:t xml:space="preserve"> מפחד בלילות הס"א שאומרים בשכמל"ו בחשאי ולכן ביה"כ עלמא דאתי עלמא דחירו שאז ה' צלותין ה"פ אור נהרין בה' גוונין ה' עינויין אומרים בקול רם:</w:t>
      </w:r>
    </w:p>
  </w:footnote>
  <w:footnote w:id="764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ולא יכנף כו'.</w:t>
      </w:r>
      <w:r w:rsidRPr="00BD5E91">
        <w:rPr>
          <w:sz w:val="22"/>
          <w:szCs w:val="22"/>
          <w:rtl/>
        </w:rPr>
        <w:t xml:space="preserve"> יתכסה:</w:t>
      </w:r>
    </w:p>
  </w:footnote>
  <w:footnote w:id="764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רואות כו'.</w:t>
      </w:r>
      <w:r w:rsidRPr="00BD5E91">
        <w:rPr>
          <w:sz w:val="22"/>
          <w:szCs w:val="22"/>
          <w:rtl/>
        </w:rPr>
        <w:t xml:space="preserve"> שעד עתה עור</w:t>
      </w:r>
      <w:r>
        <w:rPr>
          <w:rFonts w:hint="cs"/>
          <w:sz w:val="22"/>
          <w:szCs w:val="22"/>
          <w:rtl/>
        </w:rPr>
        <w:t>,</w:t>
      </w:r>
      <w:r w:rsidRPr="00BD5E91">
        <w:rPr>
          <w:sz w:val="22"/>
          <w:szCs w:val="22"/>
          <w:rtl/>
        </w:rPr>
        <w:t xml:space="preserve"> בחשיכו דעיינין</w:t>
      </w:r>
      <w:r>
        <w:rPr>
          <w:rFonts w:hint="cs"/>
          <w:sz w:val="22"/>
          <w:szCs w:val="22"/>
          <w:rtl/>
        </w:rPr>
        <w:t>.</w:t>
      </w:r>
      <w:r w:rsidRPr="00BD5E91">
        <w:rPr>
          <w:sz w:val="22"/>
          <w:szCs w:val="22"/>
          <w:rtl/>
        </w:rPr>
        <w:t xml:space="preserve"> ואז אור</w:t>
      </w:r>
      <w:r>
        <w:rPr>
          <w:rFonts w:hint="cs"/>
          <w:sz w:val="22"/>
          <w:szCs w:val="22"/>
          <w:rtl/>
        </w:rPr>
        <w:t>,</w:t>
      </w:r>
      <w:r w:rsidRPr="00BD5E91">
        <w:rPr>
          <w:sz w:val="22"/>
          <w:szCs w:val="22"/>
          <w:rtl/>
        </w:rPr>
        <w:t xml:space="preserve"> ה"פ אור והן ה"פ הויה שהן גי' עין אז ואראה מראות אלקים כמ"ש למטה:</w:t>
      </w:r>
    </w:p>
  </w:footnote>
  <w:footnote w:id="764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דהוה יבשה.</w:t>
      </w:r>
      <w:r w:rsidRPr="00BD5E91">
        <w:rPr>
          <w:sz w:val="22"/>
          <w:szCs w:val="22"/>
          <w:rtl/>
        </w:rPr>
        <w:t xml:space="preserve"> כמ"ש (בראשית א ט) יקוו המים כו' אל מקום א' שהוא עד"א ולא נגיד לתתא וזהו ותראה היבשה ויקרא ליבשה ארץ מלא כל הארץ. ומלאה הארץ דעה את ה' והיו עיניך כו' כנ"ל ואז תדשא הארץ דשא כו':</w:t>
      </w:r>
    </w:p>
  </w:footnote>
  <w:footnote w:id="764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קשורא דיליה.</w:t>
      </w:r>
      <w:r w:rsidRPr="00BD5E91">
        <w:rPr>
          <w:sz w:val="22"/>
          <w:szCs w:val="22"/>
          <w:rtl/>
        </w:rPr>
        <w:t xml:space="preserve"> הוא פי' על קטרת והוא יחוד:</w:t>
      </w:r>
    </w:p>
  </w:footnote>
  <w:footnote w:id="764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עולה דיליה.</w:t>
      </w:r>
      <w:r w:rsidRPr="00BD5E91">
        <w:rPr>
          <w:sz w:val="22"/>
          <w:szCs w:val="22"/>
          <w:rtl/>
        </w:rPr>
        <w:t xml:space="preserve"> פי' על קרבנא והוא קדש קדשים קדושה יב"ק שכולן כלילן בה:</w:t>
      </w:r>
    </w:p>
  </w:footnote>
  <w:footnote w:id="764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ואוקידת כו'.</w:t>
      </w:r>
      <w:r w:rsidRPr="00BD5E91">
        <w:rPr>
          <w:sz w:val="22"/>
          <w:szCs w:val="22"/>
          <w:rtl/>
        </w:rPr>
        <w:t xml:space="preserve"> כמ"ש על מוקדה כמש"ו:</w:t>
      </w:r>
    </w:p>
  </w:footnote>
  <w:footnote w:id="764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הה"ד זאת.</w:t>
      </w:r>
      <w:r w:rsidRPr="00BD5E91">
        <w:rPr>
          <w:sz w:val="22"/>
          <w:szCs w:val="22"/>
          <w:rtl/>
        </w:rPr>
        <w:t xml:space="preserve"> מלכות כידוע:</w:t>
      </w:r>
    </w:p>
  </w:footnote>
  <w:footnote w:id="764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בצלותא דשחרית.</w:t>
      </w:r>
      <w:r w:rsidRPr="00BD5E91">
        <w:rPr>
          <w:sz w:val="22"/>
          <w:szCs w:val="22"/>
          <w:rtl/>
        </w:rPr>
        <w:t xml:space="preserve"> עולת תמיד בבקר:</w:t>
      </w:r>
    </w:p>
  </w:footnote>
  <w:footnote w:id="765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בצלותא דמנחה.</w:t>
      </w:r>
      <w:r w:rsidRPr="00BD5E91">
        <w:rPr>
          <w:sz w:val="22"/>
          <w:szCs w:val="22"/>
          <w:rtl/>
        </w:rPr>
        <w:t xml:space="preserve"> תמיד של בין הערבים שאז בערב היא באה כמ"ש בר"מ מנחה שלוחה לגביה:</w:t>
      </w:r>
    </w:p>
  </w:footnote>
  <w:footnote w:id="765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בצלותא דערבית.</w:t>
      </w:r>
      <w:r w:rsidRPr="00BD5E91">
        <w:rPr>
          <w:sz w:val="22"/>
          <w:szCs w:val="22"/>
          <w:rtl/>
        </w:rPr>
        <w:t xml:space="preserve"> שהוא כנגד אברים ופדרים כל הלילה וזהו על מוקדה כו' והן ג' צלותין יב"ק בעד"א דכליל מאבהן ג' חיון עילאין כמ"ש בדף הקודם והיא סלקא בכולם:</w:t>
      </w:r>
    </w:p>
  </w:footnote>
  <w:footnote w:id="765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וכד סליקת כו' בכמה ריחין כו'.</w:t>
      </w:r>
      <w:r w:rsidRPr="00BD5E91">
        <w:rPr>
          <w:sz w:val="22"/>
          <w:szCs w:val="22"/>
          <w:rtl/>
        </w:rPr>
        <w:t xml:space="preserve"> כמ"ש מי זאת עולה שזאת עולה ע"י מי דנהיר לה בה' נהורין כנ"ל מן המדבר בצלותא כמש"ל מקטרת מור ולבונה מכל אבקת רוכל ג' מיני בו</w:t>
      </w:r>
      <w:r>
        <w:rPr>
          <w:rFonts w:hint="cs"/>
          <w:sz w:val="22"/>
          <w:szCs w:val="22"/>
          <w:rtl/>
        </w:rPr>
        <w:t>ס</w:t>
      </w:r>
      <w:r w:rsidRPr="00BD5E91">
        <w:rPr>
          <w:sz w:val="22"/>
          <w:szCs w:val="22"/>
          <w:rtl/>
        </w:rPr>
        <w:t>מין שהן בכח"ב כלילן בחג"ת כמ"ש בזוהר בג' תפלות יב"ק:</w:t>
      </w:r>
    </w:p>
  </w:footnote>
  <w:footnote w:id="765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דאיהי גן דאורייתא. </w:t>
      </w:r>
      <w:r w:rsidRPr="00BD5E91">
        <w:rPr>
          <w:sz w:val="22"/>
          <w:szCs w:val="22"/>
          <w:rtl/>
        </w:rPr>
        <w:t>ר"ל גן הוא ג"ן סדרים דאורייתא:</w:t>
      </w:r>
    </w:p>
  </w:footnote>
  <w:footnote w:id="765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אתפתחת לגבי כו'.</w:t>
      </w:r>
      <w:r w:rsidRPr="00BD5E91">
        <w:rPr>
          <w:sz w:val="22"/>
          <w:szCs w:val="22"/>
          <w:rtl/>
        </w:rPr>
        <w:t xml:space="preserve"> שהן שפתי כידוע:</w:t>
      </w:r>
    </w:p>
  </w:footnote>
  <w:footnote w:id="765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וקביל לה כו'.</w:t>
      </w:r>
      <w:r w:rsidRPr="00BD5E91">
        <w:rPr>
          <w:sz w:val="22"/>
          <w:szCs w:val="22"/>
          <w:rtl/>
        </w:rPr>
        <w:t xml:space="preserve"> צלותא דשחרית ומנחה:</w:t>
      </w:r>
    </w:p>
  </w:footnote>
  <w:footnote w:id="765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יקוק נחית לגבה.</w:t>
      </w:r>
      <w:r w:rsidRPr="00BD5E91">
        <w:rPr>
          <w:sz w:val="22"/>
          <w:szCs w:val="22"/>
          <w:rtl/>
        </w:rPr>
        <w:t xml:space="preserve"> עד"א בצלותא דערבית:</w:t>
      </w:r>
    </w:p>
  </w:footnote>
  <w:footnote w:id="765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איהו חיבורא כו'.</w:t>
      </w:r>
      <w:r w:rsidRPr="00BD5E91">
        <w:rPr>
          <w:sz w:val="22"/>
          <w:szCs w:val="22"/>
          <w:rtl/>
        </w:rPr>
        <w:t xml:space="preserve"> ביסוד כידוע גי' אמן ושם ביחודא בסוד א' ונ"ה שוחקין מן לצדיקים מן דאמן והוא מים דשתי כליות שמבשלים מים גי' מ"ן שעם א' דיסוד אמן ג' קשרין דיב"ק:</w:t>
      </w:r>
    </w:p>
  </w:footnote>
  <w:footnote w:id="7658">
    <w:p w:rsidR="00007309" w:rsidRPr="00BD5E91" w:rsidRDefault="00007309" w:rsidP="00007309">
      <w:pPr>
        <w:jc w:val="both"/>
        <w:rPr>
          <w:rFonts w:cs="Arial"/>
          <w:sz w:val="22"/>
          <w:szCs w:val="22"/>
          <w:rtl/>
        </w:rPr>
      </w:pPr>
      <w:r w:rsidRPr="00BD5E91">
        <w:rPr>
          <w:rStyle w:val="a7"/>
          <w:rFonts w:cs="Arial"/>
          <w:sz w:val="22"/>
          <w:szCs w:val="22"/>
          <w:rtl/>
        </w:rPr>
        <w:footnoteRef/>
      </w:r>
      <w:r w:rsidRPr="00BD5E91">
        <w:rPr>
          <w:rFonts w:cs="Arial"/>
          <w:sz w:val="22"/>
          <w:szCs w:val="22"/>
          <w:rtl/>
        </w:rPr>
        <w:t xml:space="preserve"> </w:t>
      </w:r>
      <w:r w:rsidRPr="00BD5E91">
        <w:rPr>
          <w:rFonts w:cs="Arial"/>
          <w:b/>
          <w:bCs/>
          <w:sz w:val="22"/>
          <w:szCs w:val="22"/>
          <w:rtl/>
        </w:rPr>
        <w:t>ובג"ד גדול כו'.</w:t>
      </w:r>
      <w:r w:rsidRPr="00BD5E91">
        <w:rPr>
          <w:rFonts w:cs="Arial"/>
          <w:sz w:val="22"/>
          <w:szCs w:val="22"/>
          <w:rtl/>
        </w:rPr>
        <w:t xml:space="preserve"> דבברכה יקו"ק במחשבה בכתיבתו ואדני בקריאתו ענפין בפירודא למעלה ובאמן לתתא ביחודא:</w:t>
      </w:r>
    </w:p>
  </w:footnote>
  <w:footnote w:id="765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בההוא זימנא דיהון כו'.</w:t>
      </w:r>
      <w:r w:rsidRPr="00BD5E91">
        <w:rPr>
          <w:sz w:val="22"/>
          <w:szCs w:val="22"/>
          <w:rtl/>
        </w:rPr>
        <w:t xml:space="preserve"> כל הנ"ל מדף הקודם ע"ב ת"ח כל אתין עד כאן שייך לתיקונים תי"ג אחר מימינו אש דת למו ואח"כ שם בההוא זמנא דיהון כו' שם והוא המאמר עצמו שכתוב כאן:</w:t>
      </w:r>
    </w:p>
  </w:footnote>
  <w:footnote w:id="766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בשיר השירים כו'.</w:t>
      </w:r>
      <w:r w:rsidRPr="00BD5E91">
        <w:rPr>
          <w:sz w:val="22"/>
          <w:szCs w:val="22"/>
          <w:rtl/>
        </w:rPr>
        <w:t xml:space="preserve"> שהן עשר שירים שכ' בתיקון הנ"ל דכלילן בתלתא אקי"ק הוי"ה אדנ"י כמ"ש בעמוד </w:t>
      </w:r>
      <w:r>
        <w:rPr>
          <w:rFonts w:hint="cs"/>
          <w:sz w:val="22"/>
          <w:szCs w:val="22"/>
          <w:rtl/>
        </w:rPr>
        <w:t>ה</w:t>
      </w:r>
      <w:r w:rsidRPr="00BD5E91">
        <w:rPr>
          <w:sz w:val="22"/>
          <w:szCs w:val="22"/>
          <w:rtl/>
        </w:rPr>
        <w:t>קודם שהן יחוד ברכה וקדושה והן שיר השירים ומשלי וקהלת שהן חב"ד כמ"ש בזוהר פ' אחרי מות והן יב"ק והוא מ"ש סוף תי"ב הא הכא קדושה וברכה ויחוד בההוא זמנא כו' בכנור בעשרה מיני ניגונים כו' והולך ומפ' כל הניגונים בתי"ג והכל בכנור שהוא קשורא דתלת קשורין  דנר"נ יב"ק נר דכנו"ר הוא נר אלקים נפש ורוח</w:t>
      </w:r>
      <w:r>
        <w:rPr>
          <w:rFonts w:hint="cs"/>
          <w:sz w:val="22"/>
          <w:szCs w:val="22"/>
          <w:rtl/>
        </w:rPr>
        <w:t>.</w:t>
      </w:r>
      <w:r w:rsidRPr="00BD5E91">
        <w:rPr>
          <w:sz w:val="22"/>
          <w:szCs w:val="22"/>
          <w:rtl/>
        </w:rPr>
        <w:t xml:space="preserve"> כו' דכנור הוא נשמה כמ"ש בדף הקודם ריש ע"ב נשמתא אתי מכורסייא ובגין דתמן יקוק כו':</w:t>
      </w:r>
    </w:p>
  </w:footnote>
  <w:footnote w:id="766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דאינון תלתא שמהן.</w:t>
      </w:r>
      <w:r w:rsidRPr="00BD5E91">
        <w:rPr>
          <w:sz w:val="22"/>
          <w:szCs w:val="22"/>
          <w:rtl/>
        </w:rPr>
        <w:t xml:space="preserve"> שם ל"ג כ"ז</w:t>
      </w:r>
      <w:r>
        <w:rPr>
          <w:rFonts w:hint="cs"/>
          <w:sz w:val="22"/>
          <w:szCs w:val="22"/>
          <w:rtl/>
        </w:rPr>
        <w:t>.</w:t>
      </w:r>
      <w:r w:rsidRPr="00BD5E91">
        <w:rPr>
          <w:sz w:val="22"/>
          <w:szCs w:val="22"/>
          <w:rtl/>
        </w:rPr>
        <w:t xml:space="preserve"> והן אותן שחשיב שם אל"ף ק"א כו' עד נו"ן יו"ד ע"ש</w:t>
      </w:r>
      <w:r>
        <w:rPr>
          <w:rFonts w:hint="cs"/>
          <w:sz w:val="22"/>
          <w:szCs w:val="22"/>
          <w:rtl/>
        </w:rPr>
        <w:t>.</w:t>
      </w:r>
      <w:r w:rsidRPr="00BD5E91">
        <w:rPr>
          <w:sz w:val="22"/>
          <w:szCs w:val="22"/>
          <w:rtl/>
        </w:rPr>
        <w:t xml:space="preserve"> וט"ס שם שכ' שם אלף קא ואו קא יוד קק וו קק</w:t>
      </w:r>
      <w:r>
        <w:rPr>
          <w:rFonts w:hint="cs"/>
          <w:sz w:val="22"/>
          <w:szCs w:val="22"/>
          <w:rtl/>
        </w:rPr>
        <w:t>,</w:t>
      </w:r>
      <w:r w:rsidRPr="00BD5E91">
        <w:rPr>
          <w:sz w:val="22"/>
          <w:szCs w:val="22"/>
          <w:rtl/>
        </w:rPr>
        <w:t xml:space="preserve"> ול"ג</w:t>
      </w:r>
      <w:r>
        <w:rPr>
          <w:rFonts w:hint="cs"/>
          <w:sz w:val="22"/>
          <w:szCs w:val="22"/>
          <w:rtl/>
        </w:rPr>
        <w:t>.</w:t>
      </w:r>
      <w:r w:rsidRPr="00BD5E91">
        <w:rPr>
          <w:sz w:val="22"/>
          <w:szCs w:val="22"/>
          <w:rtl/>
        </w:rPr>
        <w:t xml:space="preserve"> וכן בכל הזוהר ל"ג רק מילוי ג' שמות ע"ב יודין</w:t>
      </w:r>
      <w:r>
        <w:rPr>
          <w:rFonts w:hint="cs"/>
          <w:sz w:val="22"/>
          <w:szCs w:val="22"/>
          <w:rtl/>
        </w:rPr>
        <w:t>,</w:t>
      </w:r>
      <w:r w:rsidRPr="00BD5E91">
        <w:rPr>
          <w:sz w:val="22"/>
          <w:szCs w:val="22"/>
          <w:rtl/>
        </w:rPr>
        <w:t xml:space="preserve"> ואלפין מ"ה</w:t>
      </w:r>
      <w:r>
        <w:rPr>
          <w:rFonts w:hint="cs"/>
          <w:sz w:val="22"/>
          <w:szCs w:val="22"/>
          <w:rtl/>
        </w:rPr>
        <w:t>,</w:t>
      </w:r>
      <w:r w:rsidRPr="00BD5E91">
        <w:rPr>
          <w:sz w:val="22"/>
          <w:szCs w:val="22"/>
          <w:rtl/>
        </w:rPr>
        <w:t xml:space="preserve"> וס"ג</w:t>
      </w:r>
      <w:r>
        <w:rPr>
          <w:rFonts w:hint="cs"/>
          <w:sz w:val="22"/>
          <w:szCs w:val="22"/>
          <w:rtl/>
        </w:rPr>
        <w:t>.</w:t>
      </w:r>
      <w:r w:rsidRPr="00BD5E91">
        <w:rPr>
          <w:sz w:val="22"/>
          <w:szCs w:val="22"/>
          <w:rtl/>
        </w:rPr>
        <w:t xml:space="preserve"> וכן באקיק יודין ואלפין</w:t>
      </w:r>
      <w:r>
        <w:rPr>
          <w:rFonts w:hint="cs"/>
          <w:sz w:val="22"/>
          <w:szCs w:val="22"/>
          <w:rtl/>
        </w:rPr>
        <w:t>.</w:t>
      </w:r>
      <w:r w:rsidRPr="00BD5E91">
        <w:rPr>
          <w:sz w:val="22"/>
          <w:szCs w:val="22"/>
          <w:rtl/>
        </w:rPr>
        <w:t xml:space="preserve"> וצ"ל כאן אלף קי יוד קי והוא מילוי השני דאקיק</w:t>
      </w:r>
      <w:r>
        <w:rPr>
          <w:rFonts w:hint="cs"/>
          <w:sz w:val="22"/>
          <w:szCs w:val="22"/>
          <w:rtl/>
        </w:rPr>
        <w:t>.</w:t>
      </w:r>
      <w:r w:rsidRPr="00BD5E91">
        <w:rPr>
          <w:sz w:val="22"/>
          <w:szCs w:val="22"/>
          <w:rtl/>
        </w:rPr>
        <w:t xml:space="preserve"> והן ג' מילואין דהוי"ה וג' מילואין דאקיק ואדנ"י שהן ג' אלפין וז"ש שלשת אלפים משל בשלשת הספרים תלת יודין הן ג' מילואין דהויה שמתחילין ביוד וכאן תלתא שמהן כחדא וג' יודין דג' הויות הן משורש ג' יודין דס"ג וג' אלפין משורש ג' אלפין דמ"ה והן ג' הויות דמלך מלך ימלוך יברכך יאר ישא כמ"ש בר"מ פ' נשא וג' אלפין ג' אקיק שנאמר למשה כמ"ש לעיל דף ע"ו ע"ב דאינון יוד כו' דתמן תלתא יודין כו' תלת אלפין דחכמה זעירא כו' דאינון יוד כו' ותלת אלפין דהאי שמא דסלקין אקיק תלת זמנין כו' והן רמוזין בס"ג ג"פ אקיק גי' ס"ג שאלפין הן יודין שצורת אלף הוא יו"ד כידוע וז"ש שלשת אלפים תלת יודין כו':</w:t>
      </w:r>
    </w:p>
  </w:footnote>
  <w:footnote w:id="766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תלת טפין כו'.</w:t>
      </w:r>
      <w:r w:rsidRPr="00BD5E91">
        <w:rPr>
          <w:sz w:val="22"/>
          <w:szCs w:val="22"/>
          <w:rtl/>
        </w:rPr>
        <w:t xml:space="preserve"> כמ"ש בעמוד הקודם ע"ש:</w:t>
      </w:r>
    </w:p>
  </w:footnote>
  <w:footnote w:id="766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לגבי צדיק.</w:t>
      </w:r>
      <w:r w:rsidRPr="00BD5E91">
        <w:rPr>
          <w:sz w:val="22"/>
          <w:szCs w:val="22"/>
          <w:rtl/>
        </w:rPr>
        <w:t xml:space="preserve"> שהוא דרגא דשלמה כידוע (מלכים א ב מה) [והמלך] שלמה ברוך לכן חיבר ג' אלו הספרים ואמר שלשת אלפים משל:</w:t>
      </w:r>
    </w:p>
  </w:footnote>
  <w:footnote w:id="766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דאיהו קשת.</w:t>
      </w:r>
      <w:r w:rsidRPr="00BD5E91">
        <w:rPr>
          <w:sz w:val="22"/>
          <w:szCs w:val="22"/>
          <w:rtl/>
        </w:rPr>
        <w:t xml:space="preserve"> ג' גוונין שבו קשת ג' טפין כמש"ל ור"ל שזריק חץ כמש"ו:</w:t>
      </w:r>
    </w:p>
  </w:footnote>
  <w:footnote w:id="766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ומה דהוה כו'.</w:t>
      </w:r>
      <w:r w:rsidRPr="00BD5E91">
        <w:rPr>
          <w:sz w:val="22"/>
          <w:szCs w:val="22"/>
          <w:rtl/>
        </w:rPr>
        <w:t xml:space="preserve"> כמ"ש (ישעיהו ס כב) הקטן יהיה לאלף שהן אלפים הנ"ל שבו כלילן בחד והוא י' זעירא י' עולם קטן שנתגדל ונעשה אלף שהוא יוד במילואו:</w:t>
      </w:r>
    </w:p>
  </w:footnote>
  <w:footnote w:id="766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פזר גדול.</w:t>
      </w:r>
      <w:r w:rsidRPr="00BD5E91">
        <w:rPr>
          <w:sz w:val="22"/>
          <w:szCs w:val="22"/>
          <w:rtl/>
        </w:rPr>
        <w:t xml:space="preserve"> שמפזר לנוקבא כמ"ש (משלי יא כד) יש מפזר כו' (תהלים קיב ט) פזר נתן כו':</w:t>
      </w:r>
    </w:p>
  </w:footnote>
  <w:footnote w:id="766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מתי יהיה כו'.</w:t>
      </w:r>
      <w:r w:rsidRPr="00BD5E91">
        <w:rPr>
          <w:sz w:val="22"/>
          <w:szCs w:val="22"/>
          <w:rtl/>
        </w:rPr>
        <w:t xml:space="preserve"> שהיא צורת פזר:</w:t>
      </w:r>
    </w:p>
  </w:footnote>
  <w:footnote w:id="766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עוד כתנות עור כו'.</w:t>
      </w:r>
      <w:r w:rsidRPr="00BD5E91">
        <w:rPr>
          <w:sz w:val="22"/>
          <w:szCs w:val="22"/>
          <w:rtl/>
        </w:rPr>
        <w:t xml:space="preserve"> שעור הוא לשון עִוֵר וז"ש חשיכו דעיינין והוא אתכסייא באלין קליפין משכא דחויא והוא קליפין דמכסין על עד"א הויה דכלילן בוא"ו כנ"ל וזהו עור ער ו' כנ"ל והן גוונין חשוכין כמש"ו שמקדם היה כתנות אור אור דמעשה בראשית שבהן אדם רואה מסוף העולם ועד סופו וגנזום לצדיקים לע"ל שאז יחזור אור כמש"ל שאז ורוח אלקים כו' ויאמר אלקים כו' שלכן קודם החטא שניהם ערומים ולא יתבוששו שלא נתלבשו בעריות אבל אח"כ וראה את ערותה והיא תראה את ערותו חסד הוא חרפה היא כמ"ש בתרגום ולכן ויתחבא האדם ואשתו וילבישם כתנות עור מתכסיא בקליפין כמש"ל והן תבלול דעינא רומי רבתא ורומי זעירתא כמ"ש בר"מ מכסין המאורות הגדולי' שהן שני העינים שהם אדם ואשתו וזהו ויעש לאדם ולאשתו:</w:t>
      </w:r>
    </w:p>
  </w:footnote>
  <w:footnote w:id="766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דאינון חמש כו'.</w:t>
      </w:r>
      <w:r w:rsidRPr="00BD5E91">
        <w:rPr>
          <w:sz w:val="22"/>
          <w:szCs w:val="22"/>
          <w:rtl/>
        </w:rPr>
        <w:t xml:space="preserve"> ה' דבינה ה' עילאה ה"פ אור בינה אלקים חיים והן ה' אותיות אלקי' כידוע והן מראות אלקים דמעשה בראשית דשם ויאמר אלקים וירא אלקי' כו' והכל בשביל שקפאו תהומות בלב ים דא ל"ב אלקים כו' גלידא חתימא כו' כמש"ל ע"ג:</w:t>
      </w:r>
    </w:p>
  </w:footnote>
  <w:footnote w:id="767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כתנות עור אינון כו'.</w:t>
      </w:r>
      <w:r w:rsidRPr="00BD5E91">
        <w:rPr>
          <w:sz w:val="22"/>
          <w:szCs w:val="22"/>
          <w:rtl/>
        </w:rPr>
        <w:t xml:space="preserve"> ה' גוונין וחמש נהורין עדיין לא נהירין בהון והן ד' קליפין וארץ כלילא מכולן כמש"ל בע"ג:</w:t>
      </w:r>
    </w:p>
  </w:footnote>
  <w:footnote w:id="767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ארבע אתוון דכלילן כו' ואינון כו'.</w:t>
      </w:r>
      <w:r w:rsidRPr="00BD5E91">
        <w:rPr>
          <w:sz w:val="22"/>
          <w:szCs w:val="22"/>
          <w:rtl/>
        </w:rPr>
        <w:t xml:space="preserve"> ר"ל שהן ד' יסודין כלילן בגופא שהוא חמישי כלול כולם כמו ד' אותיות הויה ד' גוונין והכסא גוון חמישי גוון תכלת כולל כל הגוונין כמו ארץ שכולל ד' קליפין כנ"ל וכן אלקים דכורסייא כולל ד' אותיות הויה</w:t>
      </w:r>
      <w:r>
        <w:rPr>
          <w:rFonts w:hint="cs"/>
          <w:sz w:val="22"/>
          <w:szCs w:val="22"/>
          <w:rtl/>
        </w:rPr>
        <w:t>,</w:t>
      </w:r>
      <w:r w:rsidRPr="00BD5E91">
        <w:rPr>
          <w:sz w:val="22"/>
          <w:szCs w:val="22"/>
          <w:rtl/>
        </w:rPr>
        <w:t xml:space="preserve"> לכן בה ה' אותיות</w:t>
      </w:r>
      <w:r>
        <w:rPr>
          <w:rFonts w:hint="cs"/>
          <w:sz w:val="22"/>
          <w:szCs w:val="22"/>
          <w:rtl/>
        </w:rPr>
        <w:t>,</w:t>
      </w:r>
      <w:r w:rsidRPr="00BD5E91">
        <w:rPr>
          <w:sz w:val="22"/>
          <w:szCs w:val="22"/>
          <w:rtl/>
        </w:rPr>
        <w:t xml:space="preserve"> והן כלילן מד' כמ"ש בתיקונים</w:t>
      </w:r>
      <w:r>
        <w:rPr>
          <w:rFonts w:hint="cs"/>
          <w:sz w:val="22"/>
          <w:szCs w:val="22"/>
          <w:rtl/>
        </w:rPr>
        <w:t>,</w:t>
      </w:r>
      <w:r w:rsidRPr="00BD5E91">
        <w:rPr>
          <w:sz w:val="22"/>
          <w:szCs w:val="22"/>
          <w:rtl/>
        </w:rPr>
        <w:t xml:space="preserve"> י"ה בה י"ה דהויה</w:t>
      </w:r>
      <w:r>
        <w:rPr>
          <w:rFonts w:hint="cs"/>
          <w:sz w:val="22"/>
          <w:szCs w:val="22"/>
          <w:rtl/>
        </w:rPr>
        <w:t>,</w:t>
      </w:r>
      <w:r w:rsidRPr="00BD5E91">
        <w:rPr>
          <w:sz w:val="22"/>
          <w:szCs w:val="22"/>
          <w:rtl/>
        </w:rPr>
        <w:t xml:space="preserve"> מלא ו' דהויה</w:t>
      </w:r>
      <w:r>
        <w:rPr>
          <w:rFonts w:hint="cs"/>
          <w:sz w:val="22"/>
          <w:szCs w:val="22"/>
          <w:rtl/>
        </w:rPr>
        <w:t>,</w:t>
      </w:r>
      <w:r w:rsidRPr="00BD5E91">
        <w:rPr>
          <w:sz w:val="22"/>
          <w:szCs w:val="22"/>
          <w:rtl/>
        </w:rPr>
        <w:t xml:space="preserve"> ה' אותיות שבה ה' אחרונה:</w:t>
      </w:r>
    </w:p>
  </w:footnote>
  <w:footnote w:id="767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ואינון.</w:t>
      </w:r>
      <w:r w:rsidRPr="00BD5E91">
        <w:rPr>
          <w:sz w:val="22"/>
          <w:szCs w:val="22"/>
          <w:rtl/>
        </w:rPr>
        <w:t xml:space="preserve"> ד' קליפין כלולין בקליפה אמצעית שמחולק לד' שתי וערב כידוע:</w:t>
      </w:r>
    </w:p>
  </w:footnote>
  <w:footnote w:id="767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מקדמת דנא.</w:t>
      </w:r>
      <w:r w:rsidRPr="00BD5E91">
        <w:rPr>
          <w:sz w:val="22"/>
          <w:szCs w:val="22"/>
          <w:rtl/>
        </w:rPr>
        <w:t xml:space="preserve"> בונה עולמות ומחריבן כנ"ל והכל רמז לגלות כמש"ל וז"ש ורוח אלקים כו':</w:t>
      </w:r>
    </w:p>
  </w:footnote>
  <w:footnote w:id="767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 רוחא כו'.</w:t>
      </w:r>
      <w:r w:rsidRPr="00BD5E91">
        <w:rPr>
          <w:sz w:val="22"/>
          <w:szCs w:val="22"/>
          <w:rtl/>
        </w:rPr>
        <w:t xml:space="preserve"> מוחא דאגוזא כנ"ל:</w:t>
      </w:r>
    </w:p>
  </w:footnote>
  <w:footnote w:id="767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מיד יהא פורקנא.</w:t>
      </w:r>
      <w:r w:rsidRPr="00BD5E91">
        <w:rPr>
          <w:sz w:val="22"/>
          <w:szCs w:val="22"/>
          <w:rtl/>
        </w:rPr>
        <w:t xml:space="preserve"> ויתגלה האור ואז עיניך רואות את מוריך כנ"ל:</w:t>
      </w:r>
    </w:p>
  </w:footnote>
  <w:footnote w:id="767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מעידן כו'.</w:t>
      </w:r>
      <w:r w:rsidRPr="00BD5E91">
        <w:rPr>
          <w:sz w:val="22"/>
          <w:szCs w:val="22"/>
          <w:rtl/>
        </w:rPr>
        <w:t xml:space="preserve"> שהוא סביב העדן כמ"ש בזוהר:</w:t>
      </w:r>
    </w:p>
  </w:footnote>
  <w:footnote w:id="767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דאינון משיח כו'.</w:t>
      </w:r>
      <w:r w:rsidRPr="00BD5E91">
        <w:rPr>
          <w:sz w:val="22"/>
          <w:szCs w:val="22"/>
          <w:rtl/>
        </w:rPr>
        <w:t xml:space="preserve"> שהן נו"ה כמש"ל ע"ב שנו"ה הן כרובים אנפי זוטרי וכל בניך למודי ה' כידוע:</w:t>
      </w:r>
    </w:p>
  </w:footnote>
  <w:footnote w:id="767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וישכן</w:t>
      </w:r>
      <w:r w:rsidRPr="00BD5E91">
        <w:rPr>
          <w:sz w:val="22"/>
          <w:szCs w:val="22"/>
          <w:rtl/>
        </w:rPr>
        <w:t xml:space="preserve"> ר"ל וישכן מקדם הוא משה רבינו את הכרובים ר"ל עם הכרובים הנ"ל והוא בינייהו כמש"ל שם:</w:t>
      </w:r>
    </w:p>
  </w:footnote>
  <w:footnote w:id="767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 שילה.</w:t>
      </w:r>
      <w:r w:rsidRPr="00BD5E91">
        <w:rPr>
          <w:sz w:val="22"/>
          <w:szCs w:val="22"/>
          <w:rtl/>
        </w:rPr>
        <w:t xml:space="preserve"> ר"ל שכתוב עד כי יבא שילה והוא עיקר המשיח וע"י יתגלה אותות כמקדם כמש"ל שם וזה לך האות שהוא אות כנ"ל:</w:t>
      </w:r>
    </w:p>
  </w:footnote>
  <w:footnote w:id="768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ההוא דאתמר כו'.</w:t>
      </w:r>
      <w:r w:rsidRPr="00BD5E91">
        <w:rPr>
          <w:sz w:val="22"/>
          <w:szCs w:val="22"/>
          <w:rtl/>
        </w:rPr>
        <w:t xml:space="preserve"> ראיה שנקרא רוח והוא רוח אלקים דבינה כנ"ל דדרגיה בבינה כידוע:</w:t>
      </w:r>
    </w:p>
  </w:footnote>
  <w:footnote w:id="768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בגין דיהא כו'.</w:t>
      </w:r>
      <w:r w:rsidRPr="00BD5E91">
        <w:rPr>
          <w:sz w:val="22"/>
          <w:szCs w:val="22"/>
          <w:rtl/>
        </w:rPr>
        <w:t xml:space="preserve"> שיתגלה האורייתא ע"י ויבא משיח כנ"ל ורוח אלקים כו' מיד כו':</w:t>
      </w:r>
    </w:p>
  </w:footnote>
  <w:footnote w:id="768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ואת להט כו'.</w:t>
      </w:r>
      <w:r w:rsidRPr="00BD5E91">
        <w:rPr>
          <w:sz w:val="22"/>
          <w:szCs w:val="22"/>
          <w:rtl/>
        </w:rPr>
        <w:t xml:space="preserve"> דביה עושין החרטומים בלהטיהם במ"ט דרע שהוא ע"ה טו"ר כנ"ל:</w:t>
      </w:r>
    </w:p>
  </w:footnote>
  <w:footnote w:id="768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יהא בידיה.</w:t>
      </w:r>
      <w:r w:rsidRPr="00BD5E91">
        <w:rPr>
          <w:sz w:val="22"/>
          <w:szCs w:val="22"/>
          <w:rtl/>
        </w:rPr>
        <w:t xml:space="preserve"> כמקדם ביציאת מצרים ומטה האלקים בידו כמש"ל בדף ס' ע"ג וז"ש. דאתהפך ממטה כו' בידיה דמשה והוא מט"ט שמתהפך לפי מעשה בני אדם שבהן שני יצרין אם מכריע לטוב או לרע כמש"ל שעתה בגלות ויגזול כו' שלקחו ממנו כמ"ש בר"מ ואז יחזירו לידו:</w:t>
      </w:r>
    </w:p>
  </w:footnote>
  <w:footnote w:id="768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ועוד מטה דא כו'.</w:t>
      </w:r>
      <w:r w:rsidRPr="00BD5E91">
        <w:rPr>
          <w:sz w:val="22"/>
          <w:szCs w:val="22"/>
          <w:rtl/>
        </w:rPr>
        <w:t xml:space="preserve"> שגם היא מטה לימינא ולשמאלא שנק' ג"כ ע"ה כידוע שמט"ט שמו כשם רבו שהוא אדני, הגדול מכלל דאיכא קטן והוא מט"ט כידוע ולכן נקרא מט"ט ג"כ השכינה כידוע ומטטרו"ן הוא אם כמ"ש (ילקוט שמעוני בראשית פרק יז סימן פב) עיקר מטרון לא היה לה (ע' רש"י מגילה ו' ע"א. א.ה. וז"ל שם: מטרופולין. לשון יון אימא של מלכות מטר"א אם פולין לשון שררה כדאמר מר עד שבאו דיופלי מהעיר שני שרים (תענית דף יח:)) והיא אמנו וכן מט"ט נק' בשמה לפי שהוא שר העולם וכל שהוא מקבל מאחר נקרא אם כמו סיהרא דמקבל משמשא וכן מט"ט נקרא נער שמתחדש כמו סיהרא:</w:t>
      </w:r>
    </w:p>
  </w:footnote>
  <w:footnote w:id="768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ויתקטל משיחא.</w:t>
      </w:r>
      <w:r w:rsidRPr="00BD5E91">
        <w:rPr>
          <w:sz w:val="22"/>
          <w:szCs w:val="22"/>
          <w:rtl/>
        </w:rPr>
        <w:t xml:space="preserve"> משיח בן יוסף שהוא מסט' דשמאלא כמש"ל בדף הקודם ע"ב:</w:t>
      </w:r>
    </w:p>
  </w:footnote>
  <w:footnote w:id="768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חי' ה' שכבי.</w:t>
      </w:r>
      <w:r w:rsidRPr="00BD5E91">
        <w:rPr>
          <w:sz w:val="22"/>
          <w:szCs w:val="22"/>
          <w:rtl/>
        </w:rPr>
        <w:t xml:space="preserve"> כמש"ל שהוא משיח בן יוסף ביסוד מסט' דשמאלא שכבי כו':</w:t>
      </w:r>
    </w:p>
  </w:footnote>
  <w:footnote w:id="768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בקר דאברהם.</w:t>
      </w:r>
      <w:r w:rsidRPr="00BD5E91">
        <w:rPr>
          <w:sz w:val="22"/>
          <w:szCs w:val="22"/>
          <w:rtl/>
        </w:rPr>
        <w:t xml:space="preserve"> וישכם אברהם בבקר לעקוד את יצחק לאתקשר ברחמי שלא יתקטל:</w:t>
      </w:r>
    </w:p>
  </w:footnote>
  <w:footnote w:id="768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וכלא לשמור כו'.</w:t>
      </w:r>
      <w:r w:rsidRPr="00BD5E91">
        <w:rPr>
          <w:sz w:val="22"/>
          <w:szCs w:val="22"/>
          <w:rtl/>
        </w:rPr>
        <w:t xml:space="preserve"> שמשם היראה דלא יעבור ב"נ על אורייתא:</w:t>
      </w:r>
    </w:p>
  </w:footnote>
  <w:footnote w:id="768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ואיהי אורייתא שבע"פ.</w:t>
      </w:r>
      <w:r w:rsidRPr="00BD5E91">
        <w:rPr>
          <w:sz w:val="22"/>
          <w:szCs w:val="22"/>
          <w:rtl/>
        </w:rPr>
        <w:t xml:space="preserve"> שכינה ע"ה טו"ר כמש"ל והיא שמירה לעץ החיים תורה שבכתב שבה שמור שהיא שומר ישראל ישראל דלעילא תורה שבכתב וז"ש אי זכה כו'. ע"ה טו"ר כנ"ל:</w:t>
      </w:r>
    </w:p>
  </w:footnote>
  <w:footnote w:id="7690">
    <w:p w:rsidR="00007309" w:rsidRPr="00BD5E91" w:rsidRDefault="00007309" w:rsidP="00007309">
      <w:pPr>
        <w:jc w:val="both"/>
        <w:rPr>
          <w:rFonts w:cs="Arial"/>
          <w:sz w:val="22"/>
          <w:szCs w:val="22"/>
          <w:rtl/>
        </w:rPr>
      </w:pPr>
      <w:r w:rsidRPr="00BD5E91">
        <w:rPr>
          <w:rStyle w:val="a7"/>
          <w:rFonts w:cs="Arial"/>
          <w:sz w:val="22"/>
          <w:szCs w:val="22"/>
          <w:rtl/>
        </w:rPr>
        <w:footnoteRef/>
      </w:r>
      <w:r w:rsidRPr="00BD5E91">
        <w:rPr>
          <w:rFonts w:cs="Arial"/>
          <w:sz w:val="22"/>
          <w:szCs w:val="22"/>
          <w:rtl/>
        </w:rPr>
        <w:t xml:space="preserve"> </w:t>
      </w:r>
      <w:r w:rsidRPr="00BD5E91">
        <w:rPr>
          <w:rFonts w:cs="Arial"/>
          <w:b/>
          <w:bCs/>
          <w:sz w:val="22"/>
          <w:szCs w:val="22"/>
          <w:rtl/>
        </w:rPr>
        <w:t>ובזמנא ההוא כו'.</w:t>
      </w:r>
      <w:r w:rsidRPr="00BD5E91">
        <w:rPr>
          <w:rFonts w:cs="Arial"/>
          <w:sz w:val="22"/>
          <w:szCs w:val="22"/>
          <w:rtl/>
        </w:rPr>
        <w:t xml:space="preserve"> ר"ל בפורקנא שיהיה בבקר שאז מטה כלפי חסד ויתהפך המטה מנחש למטה ויהא הכל טוב ויתמחא מעלמא כל הרע וז"ש אתמחון מעלמא כו' בלטיהם כן. ר"ל מסט' דלהט החרב כו' והוא חרב נוקמת נקם ברית שהוא יסוד שדי גי' מט"ט כידוע שבו ט"ט ח"י עלמין ואז וכתתו חרבותם כו' שיהיה כולו טוב וז"ש ויבלע מטה אהרן את מטותם ואמרו (שבת צז ע"א) נס בתוך נס שאחר שנהפך למטה שאז הוא בסט' דטוב אז ויבלע אתמחון כו' כנ"ל ולא יהיו מזיקין בעולם כמ"ש (ישעיהו פרק יא) לא ירעו ולא ישחיתו ושעשע יונק כו' כמו ביציאת מצרים לא יחרץ כלב לשונו וכל הנסים של י"מ יהיה כן לימות המשיח:</w:t>
      </w:r>
    </w:p>
  </w:footnote>
  <w:footnote w:id="769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בזאת יבא כו'.</w:t>
      </w:r>
      <w:r w:rsidRPr="00BD5E91">
        <w:rPr>
          <w:sz w:val="22"/>
          <w:szCs w:val="22"/>
          <w:rtl/>
        </w:rPr>
        <w:t xml:space="preserve"> כ"ז מלוקט מתיקונים וקצת מספר הבהיר:</w:t>
      </w:r>
    </w:p>
  </w:footnote>
  <w:footnote w:id="769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בזאת.</w:t>
      </w:r>
      <w:r w:rsidRPr="00BD5E91">
        <w:rPr>
          <w:sz w:val="22"/>
          <w:szCs w:val="22"/>
          <w:rtl/>
        </w:rPr>
        <w:t xml:space="preserve"> מלכות:</w:t>
      </w:r>
    </w:p>
  </w:footnote>
  <w:footnote w:id="769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שעליה נאמר מצא כו'.</w:t>
      </w:r>
      <w:r w:rsidRPr="00BD5E91">
        <w:rPr>
          <w:sz w:val="22"/>
          <w:szCs w:val="22"/>
          <w:rtl/>
        </w:rPr>
        <w:t xml:space="preserve"> ר"ל כמש"ל על זאת כו' לעת מצוא ואמרו (ברכות ח ע"א) זו אשה שנא' מצא אשה והיא אשת חיל כו' גמלתהו טוב כו' וזהו מצא טוב:</w:t>
      </w:r>
    </w:p>
  </w:footnote>
  <w:footnote w:id="769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וזאת היא עת כו'.</w:t>
      </w:r>
      <w:r w:rsidRPr="00BD5E91">
        <w:rPr>
          <w:sz w:val="22"/>
          <w:szCs w:val="22"/>
          <w:rtl/>
        </w:rPr>
        <w:t xml:space="preserve"> כמ"ש על זאת כו' לעת מצא שהיא לעתים ידועים ביחודא משא"כ בה"א עילאה כמ"ש בתיקונים תי"ח ע"ש:</w:t>
      </w:r>
    </w:p>
  </w:footnote>
  <w:footnote w:id="769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וכמה עתים כו'.</w:t>
      </w:r>
      <w:r w:rsidRPr="00BD5E91">
        <w:rPr>
          <w:sz w:val="22"/>
          <w:szCs w:val="22"/>
          <w:rtl/>
        </w:rPr>
        <w:t xml:space="preserve"> כמש"ו ושלמה כו':</w:t>
      </w:r>
    </w:p>
  </w:footnote>
  <w:footnote w:id="769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הם כ"ח.</w:t>
      </w:r>
      <w:r w:rsidRPr="00BD5E91">
        <w:rPr>
          <w:sz w:val="22"/>
          <w:szCs w:val="22"/>
          <w:rtl/>
        </w:rPr>
        <w:t xml:space="preserve"> י"ד טבין י"ד בישין כ"ח מחנות הלבנה י"ד במילואה וי"ד בחסרונה שהן יד ימינא ויד שמאלא וז"ש וע"ז הזהיר כצ"ל כו':</w:t>
      </w:r>
    </w:p>
  </w:footnote>
  <w:footnote w:id="769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שהוא קדש ישראל.</w:t>
      </w:r>
      <w:r w:rsidRPr="00BD5E91">
        <w:rPr>
          <w:sz w:val="22"/>
          <w:szCs w:val="22"/>
          <w:rtl/>
        </w:rPr>
        <w:t xml:space="preserve"> דלעילא ואהרן שושבינא דמטרוניתא אמר שאל יבא בכל עת השכינה אל הקב"ה כי אם בעתים ידועים שהוא זיווגא דמטרוניתא ובה יבא אל הקדש אבל בלעדה לא וזהו כי אם בזאת:</w:t>
      </w:r>
    </w:p>
  </w:footnote>
  <w:footnote w:id="769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בכמה תחנונים כו'.</w:t>
      </w:r>
      <w:r w:rsidRPr="00BD5E91">
        <w:rPr>
          <w:sz w:val="22"/>
          <w:szCs w:val="22"/>
          <w:rtl/>
        </w:rPr>
        <w:t xml:space="preserve"> כמ"ש ונבקשנו עמך:</w:t>
      </w:r>
    </w:p>
  </w:footnote>
  <w:footnote w:id="769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שעליה כו'.</w:t>
      </w:r>
      <w:r w:rsidRPr="00BD5E91">
        <w:rPr>
          <w:sz w:val="22"/>
          <w:szCs w:val="22"/>
          <w:rtl/>
        </w:rPr>
        <w:t xml:space="preserve"> ר"ל על מלכות:</w:t>
      </w:r>
    </w:p>
  </w:footnote>
  <w:footnote w:id="770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ואולם בעבור זאת.</w:t>
      </w:r>
      <w:r w:rsidRPr="00BD5E91">
        <w:rPr>
          <w:sz w:val="22"/>
          <w:szCs w:val="22"/>
          <w:rtl/>
        </w:rPr>
        <w:t xml:space="preserve"> לספר כחה שמאני זיינא בידה מסירין:</w:t>
      </w:r>
    </w:p>
  </w:footnote>
  <w:footnote w:id="770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וכן ליהודה.</w:t>
      </w:r>
      <w:r w:rsidRPr="00BD5E91">
        <w:rPr>
          <w:sz w:val="22"/>
          <w:szCs w:val="22"/>
          <w:rtl/>
        </w:rPr>
        <w:t xml:space="preserve"> שהיא דרגיה:</w:t>
      </w:r>
    </w:p>
  </w:footnote>
  <w:footnote w:id="770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למה כו'.</w:t>
      </w:r>
      <w:r w:rsidRPr="00BD5E91">
        <w:rPr>
          <w:sz w:val="22"/>
          <w:szCs w:val="22"/>
          <w:rtl/>
        </w:rPr>
        <w:t xml:space="preserve"> כיון שהכל בה:</w:t>
      </w:r>
    </w:p>
  </w:footnote>
  <w:footnote w:id="770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מ"ש על זאת כו'.</w:t>
      </w:r>
      <w:r w:rsidRPr="00BD5E91">
        <w:rPr>
          <w:sz w:val="22"/>
          <w:szCs w:val="22"/>
          <w:rtl/>
        </w:rPr>
        <w:t xml:space="preserve"> ר"ל על זאת הספירות שעליה:</w:t>
      </w:r>
    </w:p>
  </w:footnote>
  <w:footnote w:id="770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שיהוה בכל ספירה.</w:t>
      </w:r>
      <w:r w:rsidRPr="00BD5E91">
        <w:rPr>
          <w:sz w:val="22"/>
          <w:szCs w:val="22"/>
          <w:rtl/>
        </w:rPr>
        <w:t xml:space="preserve"> ר"ל שהוי' הוא כלול מכל ע"ס כידוע והויה בכל ספירה מורה שכל ספירה כלול מכולם לכן כשרוצה לעשות חסד כל הספירות נכללין בחסד ומלכות נכללת בחסד ומשפעת לתחתונים בחסד וכן בכולם כמש"ו:</w:t>
      </w:r>
    </w:p>
  </w:footnote>
  <w:footnote w:id="770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כמ"ש דוד לך ה' כו'.</w:t>
      </w:r>
      <w:r w:rsidRPr="00BD5E91">
        <w:rPr>
          <w:sz w:val="22"/>
          <w:szCs w:val="22"/>
          <w:rtl/>
        </w:rPr>
        <w:t xml:space="preserve"> ראיה שהויה בכולם שנא' לך ה' כו' בכולם ה':</w:t>
      </w:r>
    </w:p>
  </w:footnote>
  <w:footnote w:id="770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ואין צדקה כו'.</w:t>
      </w:r>
      <w:r w:rsidRPr="00BD5E91">
        <w:rPr>
          <w:sz w:val="22"/>
          <w:szCs w:val="22"/>
          <w:rtl/>
        </w:rPr>
        <w:t xml:space="preserve"> ר"ל מלכות צדק בה' נעשית צדקה:</w:t>
      </w:r>
      <w:r>
        <w:rPr>
          <w:rFonts w:hint="cs"/>
          <w:sz w:val="22"/>
          <w:szCs w:val="22"/>
          <w:rtl/>
        </w:rPr>
        <w:t xml:space="preserve"> </w:t>
      </w:r>
      <w:r w:rsidRPr="00BD5E91">
        <w:rPr>
          <w:b/>
          <w:bCs/>
          <w:sz w:val="22"/>
          <w:szCs w:val="22"/>
          <w:rtl/>
        </w:rPr>
        <w:t>ויסוד י'.</w:t>
      </w:r>
      <w:r w:rsidRPr="00BD5E91">
        <w:rPr>
          <w:sz w:val="22"/>
          <w:szCs w:val="22"/>
          <w:rtl/>
        </w:rPr>
        <w:t xml:space="preserve"> נקרא צדיק:</w:t>
      </w:r>
    </w:p>
  </w:footnote>
  <w:footnote w:id="770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צדקה תרומם גוי.</w:t>
      </w:r>
      <w:r w:rsidRPr="00BD5E91">
        <w:rPr>
          <w:sz w:val="22"/>
          <w:szCs w:val="22"/>
          <w:rtl/>
        </w:rPr>
        <w:t xml:space="preserve"> שמלכות מרוממת את ישראל שהיא קרן ישראל:</w:t>
      </w:r>
    </w:p>
  </w:footnote>
  <w:footnote w:id="770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ויחשבה כו'.</w:t>
      </w:r>
      <w:r w:rsidRPr="00BD5E91">
        <w:rPr>
          <w:sz w:val="22"/>
          <w:szCs w:val="22"/>
          <w:rtl/>
        </w:rPr>
        <w:t xml:space="preserve"> שבה נתברך בכל (בבא בתרא טז ע"ב) בת היתה לו לאברהם כו' ברתיה דאברהם כו':</w:t>
      </w:r>
    </w:p>
  </w:footnote>
  <w:footnote w:id="770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ארוכה.</w:t>
      </w:r>
      <w:r w:rsidRPr="00BD5E91">
        <w:rPr>
          <w:sz w:val="22"/>
          <w:szCs w:val="22"/>
          <w:rtl/>
        </w:rPr>
        <w:t xml:space="preserve"> שוא"ו הוא עולם ארוך כמש"ל בדף הקודם:</w:t>
      </w:r>
    </w:p>
  </w:footnote>
  <w:footnote w:id="771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ורחבה.</w:t>
      </w:r>
      <w:r w:rsidRPr="00BD5E91">
        <w:rPr>
          <w:sz w:val="22"/>
          <w:szCs w:val="22"/>
          <w:rtl/>
        </w:rPr>
        <w:t xml:space="preserve"> שהיא נקראת רחובות הנהר מרחב יה כידוע וזהו מני ים ר"ל מן ים נעשית רחבה מלכות ג"כ וכ"ז הוא במלכות, ים הוא בינה ימא דאורייתא נ' תרעין כידוע:</w:t>
      </w:r>
    </w:p>
  </w:footnote>
  <w:footnote w:id="771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והבן כו' אמן בכל כחו.</w:t>
      </w:r>
      <w:r w:rsidRPr="00BD5E91">
        <w:rPr>
          <w:sz w:val="22"/>
          <w:szCs w:val="22"/>
          <w:rtl/>
        </w:rPr>
        <w:t xml:space="preserve"> ר"ל כפי שורש נשמתו במלכות יכלול הכל בה:</w:t>
      </w:r>
    </w:p>
  </w:footnote>
  <w:footnote w:id="771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קודם שנברא העולם.</w:t>
      </w:r>
      <w:r w:rsidRPr="00BD5E91">
        <w:rPr>
          <w:sz w:val="22"/>
          <w:szCs w:val="22"/>
          <w:rtl/>
        </w:rPr>
        <w:t xml:space="preserve"> ר"ל העולם מתחיל מחכמה שהוא ראשית ומשם מתחיל שם הויה כידוע ושורש כל הויה בכתר דשם גנוז א"ס וזהו הוא ושמו לבד ושם כלול בא' שהוא אחד א' שבכתר וא' צורתו הויה כידוע ואח"כ מתחלק מחכמה ולמטה:</w:t>
      </w:r>
    </w:p>
  </w:footnote>
  <w:footnote w:id="771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והיא יחוד כו'.</w:t>
      </w:r>
      <w:r w:rsidRPr="00BD5E91">
        <w:rPr>
          <w:sz w:val="22"/>
          <w:szCs w:val="22"/>
          <w:rtl/>
        </w:rPr>
        <w:t xml:space="preserve"> שבה מתייחדין כל הספירות דלא נחית עילת העילות ביה עד דאפיק ליה בת זוגיה:</w:t>
      </w:r>
    </w:p>
  </w:footnote>
  <w:footnote w:id="771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השכל וידוע אותי.</w:t>
      </w:r>
      <w:r w:rsidRPr="00BD5E91">
        <w:rPr>
          <w:sz w:val="22"/>
          <w:szCs w:val="22"/>
          <w:rtl/>
        </w:rPr>
        <w:t xml:space="preserve"> שא"א להשיג אותו כי אם בזאת:</w:t>
      </w:r>
    </w:p>
  </w:footnote>
  <w:footnote w:id="771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שכל הספירות כו'.</w:t>
      </w:r>
      <w:r w:rsidRPr="00BD5E91">
        <w:rPr>
          <w:sz w:val="22"/>
          <w:szCs w:val="22"/>
          <w:rtl/>
        </w:rPr>
        <w:t xml:space="preserve"> עוד שייך לכאן מ"ש בתי"ט (ל"ט ב') אחר זה וכ"ח אתוון כו' שמסיים שם וכולא בחכמה ורזא דמלה כלם בחכמה עשית. שאצילות הוא יוד של השם בחכמה דאקי"ק:</w:t>
      </w:r>
    </w:p>
  </w:footnote>
  <w:footnote w:id="771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ועוד כחוט כו' דא חוט דשפוון דצלותא.</w:t>
      </w:r>
      <w:r w:rsidRPr="00BD5E91">
        <w:rPr>
          <w:sz w:val="22"/>
          <w:szCs w:val="22"/>
          <w:rtl/>
        </w:rPr>
        <w:t xml:space="preserve"> ר"ל חוט המקיף השפה שהוא אדום כחוט השני וז"ש לזרקא כו' כמ"ש (בראשית רבה פ' סג) הוא אדום כו' והפורע ממנו אדום שנאמר דודי צח ואדום לבושו אדום כדי לעשות דין בו בגבורה שגוונו אדום והוא דצלותא דאקרי טפה כמש"ו שפתי תפתח והוא השכינה שנקרא טפה כמ"ש למטה והיא נקראת תפלה כידוע כמ"ש ואני תפלתי וזהו אדני שפתי כו' וז"ש ומדברך נאוה דיבור דצלותא שהתפלה נקראת [דבור] כידוע דק"ש ותפלה הן קול ודיבור ולכן בתפלה לא ישמיע קולו וזהו ומדברך נאוה ופי יגיד כו' כמש"ל מי זאת עולה מן המדבר ריחין דצלותא כו':</w:t>
      </w:r>
    </w:p>
  </w:footnote>
  <w:footnote w:id="771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לזרקא כו'.</w:t>
      </w:r>
      <w:r w:rsidRPr="00BD5E91">
        <w:rPr>
          <w:sz w:val="22"/>
          <w:szCs w:val="22"/>
          <w:rtl/>
        </w:rPr>
        <w:t xml:space="preserve"> ר"ל זהו תפתח שיפתח את הקלע לזרקא שחוט הנ"ל הוא חוט הקלע שבו זורקין כמש"ו:</w:t>
      </w:r>
    </w:p>
  </w:footnote>
  <w:footnote w:id="771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מנייהו.</w:t>
      </w:r>
      <w:r w:rsidRPr="00BD5E91">
        <w:rPr>
          <w:sz w:val="22"/>
          <w:szCs w:val="22"/>
          <w:rtl/>
        </w:rPr>
        <w:t xml:space="preserve"> ר"ל מן השפתי שהן חוט הקלע:</w:t>
      </w:r>
    </w:p>
  </w:footnote>
  <w:footnote w:id="7719">
    <w:p w:rsidR="00007309" w:rsidRPr="00BD5E91" w:rsidRDefault="00007309" w:rsidP="00007309">
      <w:pPr>
        <w:jc w:val="both"/>
        <w:rPr>
          <w:rFonts w:cs="Arial"/>
          <w:sz w:val="22"/>
          <w:szCs w:val="22"/>
          <w:rtl/>
        </w:rPr>
      </w:pPr>
      <w:r w:rsidRPr="00BD5E91">
        <w:rPr>
          <w:rStyle w:val="a7"/>
          <w:rFonts w:cs="Arial"/>
          <w:sz w:val="22"/>
          <w:szCs w:val="22"/>
          <w:rtl/>
        </w:rPr>
        <w:footnoteRef/>
      </w:r>
      <w:r w:rsidRPr="00BD5E91">
        <w:rPr>
          <w:rFonts w:cs="Arial"/>
          <w:sz w:val="22"/>
          <w:szCs w:val="22"/>
          <w:rtl/>
        </w:rPr>
        <w:t xml:space="preserve"> </w:t>
      </w:r>
      <w:r w:rsidRPr="00BD5E91">
        <w:rPr>
          <w:rFonts w:cs="Arial"/>
          <w:b/>
          <w:bCs/>
          <w:sz w:val="22"/>
          <w:szCs w:val="22"/>
          <w:rtl/>
        </w:rPr>
        <w:t>ג' אבנין.</w:t>
      </w:r>
      <w:r w:rsidRPr="00BD5E91">
        <w:rPr>
          <w:rFonts w:cs="Arial"/>
          <w:sz w:val="22"/>
          <w:szCs w:val="22"/>
          <w:rtl/>
        </w:rPr>
        <w:t xml:space="preserve"> ר"ל ג' יודין שהן אבנין כמ"ש לעיל והאי אבנא י' כו' והן ג' יודין דסגולתא ור"ל זהו זרקא סגולתא:</w:t>
      </w:r>
    </w:p>
  </w:footnote>
  <w:footnote w:id="772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לגבי חויא.</w:t>
      </w:r>
      <w:r w:rsidRPr="00BD5E91">
        <w:rPr>
          <w:sz w:val="22"/>
          <w:szCs w:val="22"/>
          <w:rtl/>
        </w:rPr>
        <w:t xml:space="preserve"> כמש"ל דף ס"א ע"ד אם חויא בעי לקטרגא לצלותא צריך למיעבד ליה קירטא ורזא דמלה זרקא כו' סגולתא:</w:t>
      </w:r>
    </w:p>
  </w:footnote>
  <w:footnote w:id="772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ואינון ד'.</w:t>
      </w:r>
      <w:r w:rsidRPr="00BD5E91">
        <w:rPr>
          <w:sz w:val="22"/>
          <w:szCs w:val="22"/>
          <w:rtl/>
        </w:rPr>
        <w:t xml:space="preserve"> כידוע שכל ג' מתחלקין לד' חב"ד דעת כלול משניהן ג' מוחין ד' מוחין שי"ן של ג' ראשים של ד' ראשים וכן חג"ת שת"ת כלול לצדיק מסט' דשכינה כמ"ש גוף וברית חשבינן חד כמש"ל בדף הקודם וז"ש דצלותין שהן ג' צלותין שמ"ע נגד אבהן חג"ת כמש"ל בדף ס"א ומוסף תפלה ד' בצדיק:</w:t>
      </w:r>
    </w:p>
  </w:footnote>
  <w:footnote w:id="772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דבהון.</w:t>
      </w:r>
      <w:r w:rsidRPr="00BD5E91">
        <w:rPr>
          <w:sz w:val="22"/>
          <w:szCs w:val="22"/>
          <w:rtl/>
        </w:rPr>
        <w:t xml:space="preserve"> ר"ל בג' אבנין הנ"ל:</w:t>
      </w:r>
    </w:p>
  </w:footnote>
  <w:footnote w:id="772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קירטא דאיהי שפה.</w:t>
      </w:r>
      <w:r w:rsidRPr="00BD5E91">
        <w:rPr>
          <w:sz w:val="22"/>
          <w:szCs w:val="22"/>
          <w:rtl/>
        </w:rPr>
        <w:t xml:space="preserve"> ר"ל התפלה מלכות שפה בג' צלותין שהיא נכללת בכולם שהיא חיה הרביעית אדם שכוללת כולם כמ"ש ודמות פניהם כו' כמ"ש בתיקונים והיא קירטא הקלע ובתוכה ג' אבנים חג"ת שהן ג' מילואין ע"ב ס"ג מ"ה כמש"ל עם הקלע גי' שפה:</w:t>
      </w:r>
    </w:p>
  </w:footnote>
  <w:footnote w:id="772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זריק לון לגבי חויא.</w:t>
      </w:r>
      <w:r w:rsidRPr="00BD5E91">
        <w:rPr>
          <w:sz w:val="22"/>
          <w:szCs w:val="22"/>
          <w:rtl/>
        </w:rPr>
        <w:t xml:space="preserve"> שבתפלה הורגין לה כמ"ש רוממות אל בגרונם וחרב פיפיות בידם כו' שהוא בתפלה ופי יגיד תהלתך וזהו פיפיות והן ב' השפתים בסוד מי זאת עולה שזאת עולה למי מן המדבר בתפלה כמש"ל דף ע"ז ע"ב אם תשכבון בין שפתים דבהון אדני שפתי כו' אימא עילאה וז"ש פיפיות ב' ההי"ן. וזהו זרקא הקלע:</w:t>
      </w:r>
    </w:p>
  </w:footnote>
  <w:footnote w:id="772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ואיהו מקף לון.</w:t>
      </w:r>
      <w:r w:rsidRPr="00BD5E91">
        <w:rPr>
          <w:sz w:val="22"/>
          <w:szCs w:val="22"/>
          <w:rtl/>
        </w:rPr>
        <w:t xml:space="preserve"> ר"ל הקלע מקיף האבנים כמו שכינה לחג"ת כידוע בסוד נקבה תסובב גבר וזהו ג"ן בתפלה כמש"ל בדף הקודם. וזהו מקף והוא שכינה חיה רביעית:</w:t>
      </w:r>
    </w:p>
  </w:footnote>
  <w:footnote w:id="772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בתוקפא.</w:t>
      </w:r>
      <w:r w:rsidRPr="00BD5E91">
        <w:rPr>
          <w:sz w:val="22"/>
          <w:szCs w:val="22"/>
          <w:rtl/>
        </w:rPr>
        <w:t xml:space="preserve"> ר"ל זהו שופר והוא גבורה שנקרא שופר שופר של איל של יצחק ש' פ"ו ר' דאלקים כידוע והוא אבן הראשון מג' חיות גבורה שקודם שמאלו תחת לראשי:</w:t>
      </w:r>
    </w:p>
  </w:footnote>
  <w:footnote w:id="772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הולך ואזילת לון כו'.</w:t>
      </w:r>
      <w:r w:rsidRPr="00BD5E91">
        <w:rPr>
          <w:sz w:val="22"/>
          <w:szCs w:val="22"/>
          <w:rtl/>
        </w:rPr>
        <w:t xml:space="preserve"> ר"ל שמולכת האבנים לימין לאכללא בימינא כידוע ור"ל זהו הולך והוא אבן השנית וזהו הולך כמ"ש הלוך ונסוע הנגבה אברהם לדרגיה:</w:t>
      </w:r>
    </w:p>
  </w:footnote>
  <w:footnote w:id="772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ואתעבידו סגולתא בעד"א.</w:t>
      </w:r>
      <w:r w:rsidRPr="00BD5E91">
        <w:rPr>
          <w:sz w:val="22"/>
          <w:szCs w:val="22"/>
          <w:rtl/>
        </w:rPr>
        <w:t xml:space="preserve"> שח"ג נכללין בת"ת כמ"ש בסוד ויסע ויבא ויט וזהו סגולתא ג' אבנין נכללין באבן השלישי וזהו שופר הולך סגולתא וזרקא שכינה מקף לון וז"ש. ומאן שפה כו'. שכן בתפלה שפה מקפת ג' תפלות הנ"ל:</w:t>
      </w:r>
    </w:p>
  </w:footnote>
  <w:footnote w:id="772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ובגינה אתמר כו'.</w:t>
      </w:r>
      <w:r w:rsidRPr="00BD5E91">
        <w:rPr>
          <w:sz w:val="22"/>
          <w:szCs w:val="22"/>
          <w:rtl/>
        </w:rPr>
        <w:t xml:space="preserve"> שהוא תושבחתא דנוקבא:</w:t>
      </w:r>
    </w:p>
  </w:footnote>
  <w:footnote w:id="773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ואת נפש אויביך.</w:t>
      </w:r>
      <w:r w:rsidRPr="00BD5E91">
        <w:rPr>
          <w:sz w:val="22"/>
          <w:szCs w:val="22"/>
          <w:rtl/>
        </w:rPr>
        <w:t xml:space="preserve"> כמש"ל דף ע"ה ע"ב מאן נפש אויביך כו' ע"ש:</w:t>
      </w:r>
    </w:p>
  </w:footnote>
  <w:footnote w:id="773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בתוך כף הקלע.</w:t>
      </w:r>
      <w:r w:rsidRPr="00BD5E91">
        <w:rPr>
          <w:sz w:val="22"/>
          <w:szCs w:val="22"/>
          <w:rtl/>
        </w:rPr>
        <w:t xml:space="preserve"> שבקלע ה' אבנין ובקלע נעשין אחד כמ"ש למטה והם ה' אצבעות ה"ס כידוע ובכף נעשית אחד שהוא הקלע זהו כף הקלע וז"ש נטיל קירטא בידיה בתיקונים כמה פעמים:</w:t>
      </w:r>
    </w:p>
  </w:footnote>
  <w:footnote w:id="773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דאיהי קירטא.</w:t>
      </w:r>
      <w:r w:rsidRPr="00BD5E91">
        <w:rPr>
          <w:sz w:val="22"/>
          <w:szCs w:val="22"/>
          <w:rtl/>
        </w:rPr>
        <w:t xml:space="preserve"> ר"ל הקלע הוא קירטא בלשון תרגום:</w:t>
      </w:r>
    </w:p>
  </w:footnote>
  <w:footnote w:id="773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והאי קלע איהו סיני.</w:t>
      </w:r>
      <w:r w:rsidRPr="00BD5E91">
        <w:rPr>
          <w:sz w:val="22"/>
          <w:szCs w:val="22"/>
          <w:rtl/>
        </w:rPr>
        <w:t xml:space="preserve"> ר"ל שא"א להרוג את חויא שהוא יצ"ה כמש"ו אלא בתורה (קדושין ל ע"ב) אם פגע בך מנוול זה משכהו כו' בראתי תבלין כו' וכמש"ל דף ס' ע"ג דקציץ ליה מניה והרגיה בגרסתיה כו' ומאן דזכי לחברא ה' כו' למחאה ליצריה וכן אמר לעיל דף ע"ד ע"ב דצלותא בלא אורייתא רדפין בתריה כו' ע"ש:</w:t>
      </w:r>
    </w:p>
  </w:footnote>
  <w:footnote w:id="773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דביה אשתמעו כו'.</w:t>
      </w:r>
      <w:r w:rsidRPr="00BD5E91">
        <w:rPr>
          <w:sz w:val="22"/>
          <w:szCs w:val="22"/>
          <w:rtl/>
        </w:rPr>
        <w:t xml:space="preserve"> הן שבע קולות שאמר דוד על המים </w:t>
      </w:r>
      <w:r>
        <w:rPr>
          <w:rFonts w:hint="cs"/>
          <w:sz w:val="22"/>
          <w:szCs w:val="22"/>
          <w:rtl/>
        </w:rPr>
        <w:t xml:space="preserve">(תהלים כט) </w:t>
      </w:r>
      <w:r w:rsidRPr="00BD5E91">
        <w:rPr>
          <w:sz w:val="22"/>
          <w:szCs w:val="22"/>
          <w:rtl/>
        </w:rPr>
        <w:t>קול ה' על המים שמדבר במתן תורה ונחלק לשבעים כמש"ל ונאמר קול ה' יחולל אילות הן שבעים אומות שבאו לגבי בלעם כידוע:</w:t>
      </w:r>
    </w:p>
  </w:footnote>
  <w:footnote w:id="773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שבעין קלין.</w:t>
      </w:r>
      <w:r w:rsidRPr="00BD5E91">
        <w:rPr>
          <w:sz w:val="22"/>
          <w:szCs w:val="22"/>
          <w:rtl/>
        </w:rPr>
        <w:t xml:space="preserve"> ר"ל ע' עם סיני גי' קלע</w:t>
      </w:r>
      <w:r>
        <w:rPr>
          <w:rFonts w:hint="cs"/>
          <w:sz w:val="22"/>
          <w:szCs w:val="22"/>
          <w:rtl/>
        </w:rPr>
        <w:t>.</w:t>
      </w:r>
      <w:r w:rsidRPr="00BD5E91">
        <w:rPr>
          <w:sz w:val="22"/>
          <w:szCs w:val="22"/>
          <w:rtl/>
        </w:rPr>
        <w:t xml:space="preserve"> והן ע' דקלע</w:t>
      </w:r>
      <w:r>
        <w:rPr>
          <w:rFonts w:hint="cs"/>
          <w:sz w:val="22"/>
          <w:szCs w:val="22"/>
          <w:rtl/>
        </w:rPr>
        <w:t>,</w:t>
      </w:r>
      <w:r w:rsidRPr="00BD5E91">
        <w:rPr>
          <w:sz w:val="22"/>
          <w:szCs w:val="22"/>
          <w:rtl/>
        </w:rPr>
        <w:t xml:space="preserve"> סיני ק"ל</w:t>
      </w:r>
      <w:r>
        <w:rPr>
          <w:rFonts w:hint="cs"/>
          <w:sz w:val="22"/>
          <w:szCs w:val="22"/>
          <w:rtl/>
        </w:rPr>
        <w:t>.</w:t>
      </w:r>
      <w:r w:rsidRPr="00BD5E91">
        <w:rPr>
          <w:sz w:val="22"/>
          <w:szCs w:val="22"/>
          <w:rtl/>
        </w:rPr>
        <w:t xml:space="preserve"> כמ"ש (ישעיהו יט א) הנה ה' רוכב על עב (תהלים סח יח) רכב אלקים כו' שירדו לסיני ק"ל:</w:t>
      </w:r>
    </w:p>
  </w:footnote>
  <w:footnote w:id="773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מז' ראשין כו'.</w:t>
      </w:r>
      <w:r w:rsidRPr="00BD5E91">
        <w:rPr>
          <w:sz w:val="22"/>
          <w:szCs w:val="22"/>
          <w:rtl/>
        </w:rPr>
        <w:t xml:space="preserve"> ר"ל שאמרו בגמ' </w:t>
      </w:r>
      <w:r>
        <w:rPr>
          <w:rFonts w:hint="cs"/>
          <w:sz w:val="22"/>
          <w:szCs w:val="22"/>
          <w:rtl/>
        </w:rPr>
        <w:t xml:space="preserve">(קדושין כט ע"ב) </w:t>
      </w:r>
      <w:r w:rsidRPr="00BD5E91">
        <w:rPr>
          <w:sz w:val="22"/>
          <w:szCs w:val="22"/>
          <w:rtl/>
        </w:rPr>
        <w:t>תנינא דז' ראשין ותנין הוא נחש כידוע:</w:t>
      </w:r>
    </w:p>
  </w:footnote>
  <w:footnote w:id="773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דמקננא בז' טורין.</w:t>
      </w:r>
      <w:r w:rsidRPr="00BD5E91">
        <w:rPr>
          <w:sz w:val="22"/>
          <w:szCs w:val="22"/>
          <w:rtl/>
        </w:rPr>
        <w:t xml:space="preserve"> כמש"ל דף ע"ה ע"ב ז' כתרין שלו וז"ש (נחום א ה) הרים רעשו ממנו (ישעיהו לד ד) ונמקו ההרים כו':</w:t>
      </w:r>
    </w:p>
  </w:footnote>
  <w:footnote w:id="773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ומתו כולהו.</w:t>
      </w:r>
      <w:r w:rsidRPr="00BD5E91">
        <w:rPr>
          <w:sz w:val="22"/>
          <w:szCs w:val="22"/>
          <w:rtl/>
        </w:rPr>
        <w:t xml:space="preserve"> מיתת עולם כמ"ש וזרח משעיר כו' כמ"ש בזוהר פ' בלק ע"ש:</w:t>
      </w:r>
    </w:p>
  </w:footnote>
  <w:footnote w:id="773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ח"ח.</w:t>
      </w:r>
      <w:r w:rsidRPr="00BD5E91">
        <w:rPr>
          <w:sz w:val="22"/>
          <w:szCs w:val="22"/>
          <w:rtl/>
        </w:rPr>
        <w:t xml:space="preserve"> ר"ת חמשה חומשי כו':</w:t>
      </w:r>
    </w:p>
  </w:footnote>
  <w:footnote w:id="774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דאינון ה' כו'.</w:t>
      </w:r>
      <w:r w:rsidRPr="00BD5E91">
        <w:rPr>
          <w:sz w:val="22"/>
          <w:szCs w:val="22"/>
          <w:rtl/>
        </w:rPr>
        <w:t xml:space="preserve"> והוא ה' עילאה ימא דאורייתא דאתפשטת בנ' תרעין דה' בה"ס דעד"א מחסד עד הוד ונכללין ביסוד באבן אחד ששם נעשין אחד אח"ד, אח יסוד ט', ד' מלכות ושניהם אחד בסוד שילוב שני השמות והוא יקוו המים של ימא דאורייתא כל הנ' תרעין אל מקום אח"ד ושם י"ג תיקונין כמש"ל גי' אחד וז"ש ודוד בה' נטיל ה' אבנין לקביל כו'. כמ"ש ויבחר לו כמו ובחרת בחיים עילאין של בינה שנקרא חיים ימא דאורייתא כנ"ל עץ חיים כו' חמשה חלוקי אבנים ה"ס הנ"ל מן הנחל נחל קדומים ימא דאורייתא ונהר יוצא מעדן כידוע:</w:t>
      </w:r>
    </w:p>
  </w:footnote>
  <w:footnote w:id="774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כגוונא דה' תיבין כו'.</w:t>
      </w:r>
      <w:r w:rsidRPr="00BD5E91">
        <w:rPr>
          <w:sz w:val="22"/>
          <w:szCs w:val="22"/>
          <w:rtl/>
        </w:rPr>
        <w:t xml:space="preserve"> שהן בעד"א בו"ק ה' תיבין בה"ס ה' אבנים, ואחד יסוד כנ"ל. וז"ש. וכד שוי לון בקירטא. כמ"ש וישם אותם כו' וקלעו בידו כמש"ל שהוא כף היד ה' אצבעות נעשין א' בכף:</w:t>
      </w:r>
    </w:p>
  </w:footnote>
  <w:footnote w:id="774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אתעבידו כולהו אחד.</w:t>
      </w:r>
      <w:r w:rsidRPr="00BD5E91">
        <w:rPr>
          <w:sz w:val="22"/>
          <w:szCs w:val="22"/>
          <w:rtl/>
        </w:rPr>
        <w:t xml:space="preserve"> כמ"ש ויקח משם אבן שנעשים כלן אבן אחד והוא אחד של יחודא הנ"ל:</w:t>
      </w:r>
    </w:p>
  </w:footnote>
  <w:footnote w:id="774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בי"ג מדות כו'.</w:t>
      </w:r>
      <w:r w:rsidRPr="00BD5E91">
        <w:rPr>
          <w:sz w:val="22"/>
          <w:szCs w:val="22"/>
          <w:rtl/>
        </w:rPr>
        <w:t xml:space="preserve"> עכשיו מפרש היאך ה' אבנים דה' חומשי תורה נעשין אחד ואמר בי"ג מדות שכל התורה נכלל בהם והוא גי' אחד והוא יסוד כידוע שתורה שבע"פ נקשרת בתורה שבכתב ע"י י"ג מדות שלכן הוא התחלת תורת כהנים שהוא קושר כידוע:</w:t>
      </w:r>
    </w:p>
  </w:footnote>
  <w:footnote w:id="774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וקטיל לפלשתאה.</w:t>
      </w:r>
      <w:r w:rsidRPr="00BD5E91">
        <w:rPr>
          <w:sz w:val="22"/>
          <w:szCs w:val="22"/>
          <w:rtl/>
        </w:rPr>
        <w:t xml:space="preserve"> כמ"ש ויך את הפלשתי. מפ' מ"ש לעיל לגבי חויא:</w:t>
      </w:r>
    </w:p>
  </w:footnote>
  <w:footnote w:id="774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דאיהו יצה"ר.</w:t>
      </w:r>
      <w:r w:rsidRPr="00BD5E91">
        <w:rPr>
          <w:sz w:val="22"/>
          <w:szCs w:val="22"/>
          <w:rtl/>
        </w:rPr>
        <w:t xml:space="preserve"> כמש"ל והרגיה בגרסתיה שלכן אמרו (ירושלמי ברכות סז ע"ב) שדוד הרגו ליצ"ה שנא' כו' והוא הפלשתי שהרג דוד. ואיהו נחש. דפתי לחוה. הוא ס"מ. שאמרו (ב"ב טז ע"א) הוא יצה"ר הוא השטן שנאמ' ויבא גם השטן כו'. הוא עמלקי שאין שמו וכסאו שלם עד שימחה עמלק כמש"ל בדף הקודם דל"ל חיבורא דייחודא כו'. הוא פלשתי כנ"ל. הוא מ"ה. כמ"ש הוא יצ"ה הוא מ"ה עולה כו' וחשיב ששה שמות נגד ו' תיבין דייחודא דקטיל לון וכן בה ח"ת עם אחד די"ג מדות כנ"ל:</w:t>
      </w:r>
    </w:p>
  </w:footnote>
  <w:footnote w:id="774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לכל בר נש כו'.</w:t>
      </w:r>
      <w:r w:rsidRPr="00BD5E91">
        <w:rPr>
          <w:sz w:val="22"/>
          <w:szCs w:val="22"/>
          <w:rtl/>
        </w:rPr>
        <w:t xml:space="preserve"> ר"ל לכן נקרא בכמה שמות</w:t>
      </w:r>
      <w:r>
        <w:rPr>
          <w:rFonts w:hint="cs"/>
          <w:sz w:val="22"/>
          <w:szCs w:val="22"/>
          <w:rtl/>
        </w:rPr>
        <w:t>,</w:t>
      </w:r>
      <w:r w:rsidRPr="00BD5E91">
        <w:rPr>
          <w:sz w:val="22"/>
          <w:szCs w:val="22"/>
          <w:rtl/>
        </w:rPr>
        <w:t xml:space="preserve"> לכל אחד בשם אחר</w:t>
      </w:r>
      <w:r>
        <w:rPr>
          <w:rFonts w:hint="cs"/>
          <w:sz w:val="22"/>
          <w:szCs w:val="22"/>
          <w:rtl/>
        </w:rPr>
        <w:t>.</w:t>
      </w:r>
      <w:r w:rsidRPr="00BD5E91">
        <w:rPr>
          <w:sz w:val="22"/>
          <w:szCs w:val="22"/>
          <w:rtl/>
        </w:rPr>
        <w:t xml:space="preserve"> לאדם נחש</w:t>
      </w:r>
      <w:r>
        <w:rPr>
          <w:rFonts w:hint="cs"/>
          <w:sz w:val="22"/>
          <w:szCs w:val="22"/>
          <w:rtl/>
        </w:rPr>
        <w:t>.</w:t>
      </w:r>
      <w:r w:rsidRPr="00BD5E91">
        <w:rPr>
          <w:sz w:val="22"/>
          <w:szCs w:val="22"/>
          <w:rtl/>
        </w:rPr>
        <w:t xml:space="preserve"> לדוד פלשתי</w:t>
      </w:r>
      <w:r>
        <w:rPr>
          <w:rFonts w:hint="cs"/>
          <w:sz w:val="22"/>
          <w:szCs w:val="22"/>
          <w:rtl/>
        </w:rPr>
        <w:t>.</w:t>
      </w:r>
      <w:r w:rsidRPr="00BD5E91">
        <w:rPr>
          <w:sz w:val="22"/>
          <w:szCs w:val="22"/>
          <w:rtl/>
        </w:rPr>
        <w:t xml:space="preserve"> לישראל עמלקי</w:t>
      </w:r>
      <w:r>
        <w:rPr>
          <w:rFonts w:hint="cs"/>
          <w:sz w:val="22"/>
          <w:szCs w:val="22"/>
          <w:rtl/>
        </w:rPr>
        <w:t>.</w:t>
      </w:r>
      <w:r w:rsidRPr="00BD5E91">
        <w:rPr>
          <w:sz w:val="22"/>
          <w:szCs w:val="22"/>
          <w:rtl/>
        </w:rPr>
        <w:t xml:space="preserve"> שבו כמה דרגין</w:t>
      </w:r>
      <w:r>
        <w:rPr>
          <w:rFonts w:hint="cs"/>
          <w:sz w:val="22"/>
          <w:szCs w:val="22"/>
          <w:rtl/>
        </w:rPr>
        <w:t>,</w:t>
      </w:r>
      <w:r w:rsidRPr="00BD5E91">
        <w:rPr>
          <w:sz w:val="22"/>
          <w:szCs w:val="22"/>
          <w:rtl/>
        </w:rPr>
        <w:t xml:space="preserve"> כ"א כפי שורש נשמתו</w:t>
      </w:r>
      <w:r>
        <w:rPr>
          <w:rFonts w:hint="cs"/>
          <w:sz w:val="22"/>
          <w:szCs w:val="22"/>
          <w:rtl/>
        </w:rPr>
        <w:t>,</w:t>
      </w:r>
      <w:r w:rsidRPr="00BD5E91">
        <w:rPr>
          <w:sz w:val="22"/>
          <w:szCs w:val="22"/>
          <w:rtl/>
        </w:rPr>
        <w:t xml:space="preserve"> כן לעמת זה בס"א</w:t>
      </w:r>
      <w:r>
        <w:rPr>
          <w:rFonts w:hint="cs"/>
          <w:sz w:val="22"/>
          <w:szCs w:val="22"/>
          <w:rtl/>
        </w:rPr>
        <w:t>,</w:t>
      </w:r>
      <w:r w:rsidRPr="00BD5E91">
        <w:rPr>
          <w:sz w:val="22"/>
          <w:szCs w:val="22"/>
          <w:rtl/>
        </w:rPr>
        <w:t xml:space="preserve"> ובו הוא מוכן יותר לחטא</w:t>
      </w:r>
      <w:r>
        <w:rPr>
          <w:rFonts w:hint="cs"/>
          <w:sz w:val="22"/>
          <w:szCs w:val="22"/>
          <w:rtl/>
        </w:rPr>
        <w:t>.</w:t>
      </w:r>
      <w:r w:rsidRPr="00BD5E91">
        <w:rPr>
          <w:sz w:val="22"/>
          <w:szCs w:val="22"/>
          <w:rtl/>
        </w:rPr>
        <w:t xml:space="preserve"> וז"ש (סוכה נב ע"א) שלמה קראו שונא ישעיה קראו מכשול כו' שבע שמות של יצה"ר נגד ז' ראשין הנ"ל ז' מדורי גיהנם ז' דרגין שלו ז' פתחים כו' והן כמה דרגין אלא שראשין דדרגין שבע:</w:t>
      </w:r>
    </w:p>
  </w:footnote>
  <w:footnote w:id="774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וכלהו חמש כו'.</w:t>
      </w:r>
      <w:r w:rsidRPr="00BD5E91">
        <w:rPr>
          <w:sz w:val="22"/>
          <w:szCs w:val="22"/>
          <w:rtl/>
        </w:rPr>
        <w:t xml:space="preserve"> הוא אחד הנ"ל וחוט השפה הוא הקירטא שכינה שכוללת כל האבנים וג' אבנים הנ"ל של ג' צלותין שכולל כל האבנים עם הפה הוא שפה ש' ג' אבהן עם פה והן ד' צלותין הנ"ל ש' ג' צלותין פה צלותא הרביעי מוסף צדיק כמש"ל שנקרא תפלת כל פה כל כידוע פה גי' מילה כידוע וזהו פה אחד שהוא ביסוד כנ"ל והוא הפה שכולל כל המוצאות כא':</w:t>
      </w:r>
    </w:p>
  </w:footnote>
  <w:footnote w:id="774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איהו אסחר גופא כו'.</w:t>
      </w:r>
      <w:r w:rsidRPr="00BD5E91">
        <w:rPr>
          <w:sz w:val="22"/>
          <w:szCs w:val="22"/>
          <w:rtl/>
        </w:rPr>
        <w:t xml:space="preserve"> כמ"ש (תהלים קיח יא) סבוני גם סבבוני כו' דחה דחיתני כו' וזהו מקף וזרקא הוא מ"ש מאן דלעי כו' לקטלא כו':</w:t>
      </w:r>
    </w:p>
  </w:footnote>
  <w:footnote w:id="774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בכמה חובין כו'.</w:t>
      </w:r>
      <w:r w:rsidRPr="00BD5E91">
        <w:rPr>
          <w:sz w:val="22"/>
          <w:szCs w:val="22"/>
          <w:rtl/>
        </w:rPr>
        <w:t xml:space="preserve"> סבוני כדבורים כו' וכל המזמור הזה הכל על יצ"ה:</w:t>
      </w:r>
    </w:p>
  </w:footnote>
  <w:footnote w:id="775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דאיהו ר"ה.</w:t>
      </w:r>
      <w:r w:rsidRPr="00BD5E91">
        <w:rPr>
          <w:sz w:val="22"/>
          <w:szCs w:val="22"/>
          <w:rtl/>
        </w:rPr>
        <w:t xml:space="preserve"> וזהו שופר שבשופר מתערבב ואז הולך סגולתא ד' צלותין הנ"ל ששופר מעלה אותן וז"ש צריך כו':</w:t>
      </w:r>
    </w:p>
  </w:footnote>
  <w:footnote w:id="775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תיקונא א'.</w:t>
      </w:r>
      <w:r w:rsidRPr="00BD5E91">
        <w:rPr>
          <w:sz w:val="22"/>
          <w:szCs w:val="22"/>
          <w:rtl/>
        </w:rPr>
        <w:t xml:space="preserve"> שחשיבי עוד תיקונים למטה צדקה ציצית כמש"ו:</w:t>
      </w:r>
    </w:p>
  </w:footnote>
  <w:footnote w:id="775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לתתא.</w:t>
      </w:r>
      <w:r w:rsidRPr="00BD5E91">
        <w:rPr>
          <w:sz w:val="22"/>
          <w:szCs w:val="22"/>
          <w:rtl/>
        </w:rPr>
        <w:t xml:space="preserve"> ר"ל בעולמות למטה מאצילות כמש"ו:</w:t>
      </w:r>
    </w:p>
  </w:footnote>
  <w:footnote w:id="775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סוסוון ארבע כו'.</w:t>
      </w:r>
      <w:r w:rsidRPr="00BD5E91">
        <w:rPr>
          <w:sz w:val="22"/>
          <w:szCs w:val="22"/>
          <w:rtl/>
        </w:rPr>
        <w:t xml:space="preserve"> ר"ל ד' צלותין שהן בארבע החיות כמש"ל וכן מרכבה דקב"ה כידוע ולכן נקראו סוסים כמש"ו. כי תרכב על סוסיך מרכבותיך שהן מרכבה שלו ובמרכבה ארבעה סוסים כמ"ש (מלכים א י כט) ותצא מרכבה ממצרים בשש מאות כסף וסוס בחמשים ומאה וצריך לתקנא לון ביומא דר"ה כנ"ל למלחמה עם החויא דאסחר לאגחא עמיה קרבא וקריב כלהו כו' והמלחמה הוא בתפלה כמש"ל וז"ש (משלי כא לא) סוס מוכן ליום מלחמה בר"ה ד' החיות שלוחמין עם ס"מ וממנין דיליה כמ"ש (דניאל י כ) ועתה אשוב להלחם עם שר פרס כו' מיכאל שרכם שהן חיות של המרכבה כמש"ל בדף מ"א ע"ג ולה' התשועה שהוא יהו"ה דרכיב על ארבע חיוון וז"ש כאן. כי תרכב כו' מרכבותיך ישועה והכל בר"ה שעליו נאמר כל גוים סבבוני שהן שרי האומות סבוני כו' כל המזמור לא אמות כי אחיה בספר החיים ביום זה להכתב ובו אנא ה' הושיעה נא מרכבותיך ישועה:</w:t>
      </w:r>
    </w:p>
  </w:footnote>
  <w:footnote w:id="775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וצריך למלבש כו'.</w:t>
      </w:r>
      <w:r w:rsidRPr="00BD5E91">
        <w:rPr>
          <w:sz w:val="22"/>
          <w:szCs w:val="22"/>
          <w:rtl/>
        </w:rPr>
        <w:t xml:space="preserve"> במלחמה:</w:t>
      </w:r>
    </w:p>
  </w:footnote>
  <w:footnote w:id="775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וילבש צדקה כו'.</w:t>
      </w:r>
      <w:r w:rsidRPr="00BD5E91">
        <w:rPr>
          <w:sz w:val="22"/>
          <w:szCs w:val="22"/>
          <w:rtl/>
        </w:rPr>
        <w:t xml:space="preserve"> צדקה ממש כמ"ש (ב"ב י ע"א) ר"א כי הוי מצלי יהיב פרוטה כו' שנא' צדק לפניו כו' ועוד מפרש צדקה בצלותא עצמה וז"ש. צדקה הא אוקמוה כו':</w:t>
      </w:r>
    </w:p>
  </w:footnote>
  <w:footnote w:id="7756">
    <w:p w:rsidR="00007309" w:rsidRPr="00BD5E91" w:rsidRDefault="00007309" w:rsidP="00007309">
      <w:pPr>
        <w:jc w:val="both"/>
        <w:rPr>
          <w:rFonts w:cs="Arial"/>
          <w:sz w:val="22"/>
          <w:szCs w:val="22"/>
          <w:rtl/>
        </w:rPr>
      </w:pPr>
      <w:r w:rsidRPr="00BD5E91">
        <w:rPr>
          <w:rStyle w:val="a7"/>
          <w:rFonts w:cs="Arial"/>
          <w:sz w:val="22"/>
          <w:szCs w:val="22"/>
          <w:rtl/>
        </w:rPr>
        <w:footnoteRef/>
      </w:r>
      <w:r w:rsidRPr="00BD5E91">
        <w:rPr>
          <w:rFonts w:cs="Arial"/>
          <w:sz w:val="22"/>
          <w:szCs w:val="22"/>
          <w:rtl/>
        </w:rPr>
        <w:t xml:space="preserve"> </w:t>
      </w:r>
      <w:r w:rsidRPr="00BD5E91">
        <w:rPr>
          <w:rFonts w:cs="Arial"/>
          <w:b/>
          <w:bCs/>
          <w:sz w:val="22"/>
          <w:szCs w:val="22"/>
          <w:rtl/>
        </w:rPr>
        <w:t>מן א'.</w:t>
      </w:r>
      <w:r w:rsidRPr="00BD5E91">
        <w:rPr>
          <w:rFonts w:cs="Arial"/>
          <w:sz w:val="22"/>
          <w:szCs w:val="22"/>
          <w:rtl/>
        </w:rPr>
        <w:t xml:space="preserve"> שביסוד שהוא אחד כמש"ל:</w:t>
      </w:r>
    </w:p>
  </w:footnote>
  <w:footnote w:id="775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וכלא אמן.</w:t>
      </w:r>
      <w:r w:rsidRPr="00BD5E91">
        <w:rPr>
          <w:sz w:val="22"/>
          <w:szCs w:val="22"/>
          <w:rtl/>
        </w:rPr>
        <w:t xml:space="preserve"> ר"ל כל הצ' אמנים נכלל באמן כמש"ו:</w:t>
      </w:r>
    </w:p>
  </w:footnote>
  <w:footnote w:id="775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מן תשעים.</w:t>
      </w:r>
      <w:r w:rsidRPr="00BD5E91">
        <w:rPr>
          <w:sz w:val="22"/>
          <w:szCs w:val="22"/>
          <w:rtl/>
        </w:rPr>
        <w:t xml:space="preserve"> והן תליין מן א' של אמן ז"ש לעיל דתליין מן א' והוא מן ששוחקים לצדיקים בצדיק כמ"ש ובו לחם מן השמים (שמות טז טו) ויאמרו מן הוא ויוסף הוא המשביר כו' ויצבור יוסף בר כו':</w:t>
      </w:r>
    </w:p>
  </w:footnote>
  <w:footnote w:id="775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צריך לכוין בחמש כו'.</w:t>
      </w:r>
      <w:r w:rsidRPr="00BD5E91">
        <w:rPr>
          <w:sz w:val="22"/>
          <w:szCs w:val="22"/>
          <w:rtl/>
        </w:rPr>
        <w:t xml:space="preserve"> שהן תמורת אל מלך נאמן שהן אמן כמ"ש (שבת קיט ע"ב) מאי אמן אל כו':</w:t>
      </w:r>
    </w:p>
  </w:footnote>
  <w:footnote w:id="776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ואיהו רזא כו'.</w:t>
      </w:r>
      <w:r w:rsidRPr="00BD5E91">
        <w:rPr>
          <w:sz w:val="22"/>
          <w:szCs w:val="22"/>
          <w:rtl/>
        </w:rPr>
        <w:t xml:space="preserve"> בגי' כידוע:</w:t>
      </w:r>
    </w:p>
  </w:footnote>
  <w:footnote w:id="776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דאיהי אלקים.</w:t>
      </w:r>
      <w:r w:rsidRPr="00BD5E91">
        <w:rPr>
          <w:sz w:val="22"/>
          <w:szCs w:val="22"/>
          <w:rtl/>
        </w:rPr>
        <w:t xml:space="preserve"> שהוא לשון כח שהוא בגבורה:</w:t>
      </w:r>
    </w:p>
  </w:footnote>
  <w:footnote w:id="776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תוקפא לסוסוון.</w:t>
      </w:r>
      <w:r w:rsidRPr="00BD5E91">
        <w:rPr>
          <w:sz w:val="22"/>
          <w:szCs w:val="22"/>
          <w:rtl/>
        </w:rPr>
        <w:t xml:space="preserve"> שהן רכב אלקים להלחם כנ"ל עם הע' ממנן וקורעין הן את גז"ד של שבעים סנהדרין שד' חיות הן ע"ג שבעים כמ"ש בזוהר כמש"ו:</w:t>
      </w:r>
    </w:p>
  </w:footnote>
  <w:footnote w:id="776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וקורעין כו'.</w:t>
      </w:r>
      <w:r w:rsidRPr="00BD5E91">
        <w:rPr>
          <w:sz w:val="22"/>
          <w:szCs w:val="22"/>
          <w:rtl/>
        </w:rPr>
        <w:t xml:space="preserve"> של שבעים שנה כמש"ו ור"ל של שבעים שגוזרין על שנה והן בהיכל זכות שם אלקים כידוע:</w:t>
      </w:r>
    </w:p>
  </w:footnote>
  <w:footnote w:id="776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אלקים איהו הכסא.</w:t>
      </w:r>
      <w:r w:rsidRPr="00BD5E91">
        <w:rPr>
          <w:sz w:val="22"/>
          <w:szCs w:val="22"/>
          <w:rtl/>
        </w:rPr>
        <w:t xml:space="preserve"> ר"ל שם נידונין ושם סנהדרין הנ"ל ואיהו כסא רחמים שצדיקים מהפכין מדה"ד לרחמים ולכך כשנותנין תוקפא לשם אלקים קורעין לו גז"ד כנ"ל והוא באמן שהוא הויה בכתיבתו וקריאתו ועם אלקים נעשה שם מלא וז"ש </w:t>
      </w:r>
      <w:r>
        <w:rPr>
          <w:rFonts w:hint="cs"/>
          <w:sz w:val="22"/>
          <w:szCs w:val="22"/>
          <w:rtl/>
        </w:rPr>
        <w:t xml:space="preserve">(תהלים סט יד) </w:t>
      </w:r>
      <w:r w:rsidRPr="00BD5E91">
        <w:rPr>
          <w:sz w:val="22"/>
          <w:szCs w:val="22"/>
          <w:rtl/>
        </w:rPr>
        <w:t>אלקים ברב חסדך כו' וז"ש לעיל בדף הקודם להאריך כו' וכלא פ"ו שהוא אלקים ואמר שם ומסט' דחסד צריך לארכא כו':</w:t>
      </w:r>
    </w:p>
  </w:footnote>
  <w:footnote w:id="776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כסא חסד ודאי.</w:t>
      </w:r>
      <w:r w:rsidRPr="00BD5E91">
        <w:rPr>
          <w:sz w:val="22"/>
          <w:szCs w:val="22"/>
          <w:rtl/>
        </w:rPr>
        <w:t xml:space="preserve"> כמ"ש </w:t>
      </w:r>
      <w:r>
        <w:rPr>
          <w:rFonts w:hint="cs"/>
          <w:sz w:val="22"/>
          <w:szCs w:val="22"/>
          <w:rtl/>
        </w:rPr>
        <w:t xml:space="preserve">(ישעיה טז ה) </w:t>
      </w:r>
      <w:r w:rsidRPr="00BD5E91">
        <w:rPr>
          <w:sz w:val="22"/>
          <w:szCs w:val="22"/>
          <w:rtl/>
        </w:rPr>
        <w:t>והוכן בחסד כסא:</w:t>
      </w:r>
    </w:p>
  </w:footnote>
  <w:footnote w:id="776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דסליקו לע"ב.</w:t>
      </w:r>
      <w:r w:rsidRPr="00BD5E91">
        <w:rPr>
          <w:sz w:val="22"/>
          <w:szCs w:val="22"/>
          <w:rtl/>
        </w:rPr>
        <w:t xml:space="preserve"> שהוא בחסד גי' ע"ב כידוע:</w:t>
      </w:r>
    </w:p>
  </w:footnote>
  <w:footnote w:id="776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קשרין וחוליין.</w:t>
      </w:r>
      <w:r w:rsidRPr="00BD5E91">
        <w:rPr>
          <w:sz w:val="22"/>
          <w:szCs w:val="22"/>
          <w:rtl/>
        </w:rPr>
        <w:t xml:space="preserve"> ה' קשרים וי"ג חוליין ד"פ ח"י:</w:t>
      </w:r>
    </w:p>
  </w:footnote>
  <w:footnote w:id="776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זוגין דכסויין כו'.</w:t>
      </w:r>
      <w:r w:rsidRPr="00BD5E91">
        <w:rPr>
          <w:sz w:val="22"/>
          <w:szCs w:val="22"/>
          <w:rtl/>
        </w:rPr>
        <w:t xml:space="preserve"> ר"ל כמו שתולין לסוס כסוי בזוגין (משנה שבת ה א) סוס בשיר כו' (שבת נח ע"א) בהמה בזוג שבכסותה והוא סוס תפלה וכיסויו עם זוגין טלית עם ציצית. שהקשרים וחוליין הוא נגד זוגים ורמונים דמעיל שמעיל נגד טלית וחוליין בתוך הקשרים כמו פעמונים בתוך רמונים כידוע כי ד' ציצית נגד ד' חיות כמ"ש בר"מ וזהו כיסויין דסוסוון כו':</w:t>
      </w:r>
    </w:p>
  </w:footnote>
  <w:footnote w:id="776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דסליק ניגונא דכשכוש דילהון לע"ב גוונין.</w:t>
      </w:r>
      <w:r w:rsidRPr="00BD5E91">
        <w:rPr>
          <w:sz w:val="22"/>
          <w:szCs w:val="22"/>
          <w:rtl/>
        </w:rPr>
        <w:t xml:space="preserve"> כמ"ש דעשרה ניגונים הן בע"ס כמ"ש בתי"ג והן שיר פשוט כפול ומשולש ומרובע אחוריים דהויה דסליק לע"ב בגי' ע"ב כמ"ש בתיקונים ע"ש:</w:t>
      </w:r>
    </w:p>
  </w:footnote>
  <w:footnote w:id="777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בההוא זימנא כו' כלהו פתחו בזמירות כו'.</w:t>
      </w:r>
      <w:r w:rsidRPr="00BD5E91">
        <w:rPr>
          <w:sz w:val="22"/>
          <w:szCs w:val="22"/>
          <w:rtl/>
        </w:rPr>
        <w:t xml:space="preserve"> ד' דרגין נגד ד' סוסוון והן קודם תפלה זמירות פסוקי דזמרה שירות ויושע תשבחות ישתבח והודאות בברכת ק"ש כידוע וכן הוא לאחר תפלה ד' מדרגות כידוע וזהו קדושה שאומרים עם המלאכים קודם התפלה ולאחר התפלה בסדר ובא לציון:</w:t>
      </w:r>
    </w:p>
  </w:footnote>
  <w:footnote w:id="777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זריקת אבנין ברחימו.</w:t>
      </w:r>
      <w:r w:rsidRPr="00BD5E91">
        <w:rPr>
          <w:sz w:val="22"/>
          <w:szCs w:val="22"/>
          <w:rtl/>
        </w:rPr>
        <w:t xml:space="preserve"> לגבי בעלה כמש"ל זרקא כו' לסלקא לה לההוא אתר דאתנטילת מעד"א כו'. וכאן קאי על האדם דזריק בצלותיה אבנין דקב"ה לשכינה וז"ש ושפה ר"ל השפתים של אדם שבהן התפלה כמש"ל זריקת אבנין ברחימו לשכינה שהיא סגולתא:</w:t>
      </w:r>
    </w:p>
  </w:footnote>
  <w:footnote w:id="777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ואינון חמש כו'.</w:t>
      </w:r>
      <w:r w:rsidRPr="00BD5E91">
        <w:rPr>
          <w:sz w:val="22"/>
          <w:szCs w:val="22"/>
          <w:rtl/>
        </w:rPr>
        <w:t xml:space="preserve"> ה"ס הנ"ל כמש"ו ג' אבהן כו':</w:t>
      </w:r>
    </w:p>
  </w:footnote>
  <w:footnote w:id="777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דאינון תלת כו'.</w:t>
      </w:r>
      <w:r w:rsidRPr="00BD5E91">
        <w:rPr>
          <w:sz w:val="22"/>
          <w:szCs w:val="22"/>
          <w:rtl/>
        </w:rPr>
        <w:t xml:space="preserve"> וכלהו כלילן באחד שהוא יסוד והוא כרוב עינא דאחיד בתרין גדפין בנו"ה כמש"ל דף ע"ג ע"ד והוא זורק אותן לשכינה דוגמת הצדיק דלתתא האדם בצלותא:</w:t>
      </w:r>
    </w:p>
  </w:footnote>
  <w:footnote w:id="777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הה"ד לשלח לי כו'.</w:t>
      </w:r>
      <w:r w:rsidRPr="00BD5E91">
        <w:rPr>
          <w:sz w:val="22"/>
          <w:szCs w:val="22"/>
          <w:rtl/>
        </w:rPr>
        <w:t xml:space="preserve"> שאמר יהונתן שהוא יסוד ודוד מלכות שלכך ויאהבהו כנפשו ויונתן אמר ואני שלשת החצים שהן סגולתא אבנין הנ"ל דכלילן בתלת בתלת צלותין כנ"ל לשלח לי למטרה שהוא ירח בן יומו דוגמת פזר כמש"ל בדף הקודם מתי זריק חץ בדיוקנא דא ירח בן יומו הוא סיהרא לכן הוא למטה מן התיבה:</w:t>
      </w:r>
    </w:p>
  </w:footnote>
  <w:footnote w:id="777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דאינון פתחין וסגרין.</w:t>
      </w:r>
      <w:r w:rsidRPr="00BD5E91">
        <w:rPr>
          <w:sz w:val="22"/>
          <w:szCs w:val="22"/>
          <w:rtl/>
        </w:rPr>
        <w:t xml:space="preserve"> כמ"ש בתיקונים תי"ח שפתחון וסגרון הן א' אספקלריא דנהרא. ב' אספקלריא דלא נהרא והן נו"ה כמש"ל דף ס"א ע"ג א' למעלה וא' עפעפי' דלמטה שנו"ה נקרא מעלה ומטה כידוע:</w:t>
      </w:r>
    </w:p>
  </w:footnote>
  <w:footnote w:id="777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עינא דאיהו מראה כו'.</w:t>
      </w:r>
      <w:r w:rsidRPr="00BD5E91">
        <w:rPr>
          <w:sz w:val="22"/>
          <w:szCs w:val="22"/>
          <w:rtl/>
        </w:rPr>
        <w:t xml:space="preserve"> ר"ל העין הוא המראה והוא מלכות כמש"ו שבה רואין הנביאים כמ"ש בתיקונים שם וז"ש ומאי ניהי כו':</w:t>
      </w:r>
    </w:p>
  </w:footnote>
  <w:footnote w:id="777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במראה אליו כו'.</w:t>
      </w:r>
      <w:r w:rsidRPr="00BD5E91">
        <w:rPr>
          <w:sz w:val="22"/>
          <w:szCs w:val="22"/>
          <w:rtl/>
        </w:rPr>
        <w:t xml:space="preserve"> ר"ל לכל הנביאים שאינן רואין אלא במלכות מצד עצמה כמ"ש שם ע"ש:</w:t>
      </w:r>
    </w:p>
  </w:footnote>
  <w:footnote w:id="777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ותמונת ה' יביט.</w:t>
      </w:r>
      <w:r w:rsidRPr="00BD5E91">
        <w:rPr>
          <w:sz w:val="22"/>
          <w:szCs w:val="22"/>
          <w:rtl/>
        </w:rPr>
        <w:t xml:space="preserve"> כמש"ו וראית את אחורי כידוע:</w:t>
      </w:r>
    </w:p>
  </w:footnote>
  <w:footnote w:id="777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ה' גוונין כו'.</w:t>
      </w:r>
      <w:r w:rsidRPr="00BD5E91">
        <w:rPr>
          <w:sz w:val="22"/>
          <w:szCs w:val="22"/>
          <w:rtl/>
        </w:rPr>
        <w:t xml:space="preserve"> עכשיו מפרש הוי"ה בעינא:</w:t>
      </w:r>
    </w:p>
  </w:footnote>
  <w:footnote w:id="778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ה' גוונין כו'.</w:t>
      </w:r>
      <w:r w:rsidRPr="00BD5E91">
        <w:rPr>
          <w:sz w:val="22"/>
          <w:szCs w:val="22"/>
          <w:rtl/>
        </w:rPr>
        <w:t xml:space="preserve"> כמ"ש לעיל דאינון בה' עילאה דנהיר בה"ס:</w:t>
      </w:r>
    </w:p>
  </w:footnote>
  <w:footnote w:id="778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בת עינא דא י' מאן עינא כו'.</w:t>
      </w:r>
      <w:r w:rsidRPr="00BD5E91">
        <w:rPr>
          <w:sz w:val="22"/>
          <w:szCs w:val="22"/>
          <w:rtl/>
        </w:rPr>
        <w:t xml:space="preserve"> הוא כמ"ש לעיל בדף הקודם דאת ו' תפארת כליל הוי"ה חמש רקיעין וחמש עילאין ה"ה וכן כאן ה' גוונין הן ה"ה כמ"ש למטה רקיע הששי יסוד ו' וכן כאן עינא דכליל כל גוונין יסוד כנ"ל שה' אבנין כלילן באחד ביסוד וז"ש דא ו' איהו פתח וסגיר שהוא כרוב עינא כנ"ל ו' הוא סגיר כמ"ש סגור יהיה ששת ימי המעשה שהוא ו' כמ"ש בתיקונים והאי פיוסא לגבי ו' דאיהו מפתחא דסתים לה וכן ו' פתח לה כמ"ש שם כד אתפתחת אתפתחת בפתח דאיהו ו' ע"ש בתי"ט:</w:t>
      </w:r>
    </w:p>
  </w:footnote>
  <w:footnote w:id="778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חמש גוונין מלבר.</w:t>
      </w:r>
      <w:r w:rsidRPr="00BD5E91">
        <w:rPr>
          <w:sz w:val="22"/>
          <w:szCs w:val="22"/>
          <w:rtl/>
        </w:rPr>
        <w:t xml:space="preserve"> והוא ה' תתאה כנ"ל והן ה' בה'</w:t>
      </w:r>
      <w:r>
        <w:rPr>
          <w:rFonts w:hint="cs"/>
          <w:sz w:val="22"/>
          <w:szCs w:val="22"/>
          <w:rtl/>
        </w:rPr>
        <w:t>.</w:t>
      </w:r>
      <w:r w:rsidRPr="00BD5E91">
        <w:rPr>
          <w:sz w:val="22"/>
          <w:szCs w:val="22"/>
          <w:rtl/>
        </w:rPr>
        <w:t xml:space="preserve"> וא"ו יוד שהן עינא ובת עינא כליל להון</w:t>
      </w:r>
      <w:r>
        <w:rPr>
          <w:rFonts w:hint="cs"/>
          <w:sz w:val="22"/>
          <w:szCs w:val="22"/>
          <w:rtl/>
        </w:rPr>
        <w:t>.</w:t>
      </w:r>
      <w:r w:rsidRPr="00BD5E91">
        <w:rPr>
          <w:sz w:val="22"/>
          <w:szCs w:val="22"/>
          <w:rtl/>
        </w:rPr>
        <w:t xml:space="preserve"> והן כפולות וזש"ל בדף הקודם וכלהו רמיזין בתרין עיינין כל הד' אותיות הוי"ה רמיזין כמו שם כנ"ל:</w:t>
      </w:r>
    </w:p>
  </w:footnote>
  <w:footnote w:id="778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אורפניאל.</w:t>
      </w:r>
      <w:r w:rsidRPr="00BD5E91">
        <w:rPr>
          <w:sz w:val="22"/>
          <w:szCs w:val="22"/>
          <w:rtl/>
        </w:rPr>
        <w:t xml:space="preserve"> והוא כולל כל ד' גוונין שלמטה ממנו שד' חיות הן ד' אותיות הויה מחכמה ולמטה וא' בכתר כולל כל הויה כמש"ל וכן הוא א' דאורפניאל והוא גי' מלבוש חשמל והוא החשמל ומתוכה דמות ארבע חיות והוא מט"ט שהוא יושב ראשונה במלכות זהו אור פני אל:</w:t>
      </w:r>
    </w:p>
  </w:footnote>
  <w:footnote w:id="778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ודאי עינא ימינא כו'.</w:t>
      </w:r>
      <w:r w:rsidRPr="00BD5E91">
        <w:rPr>
          <w:sz w:val="22"/>
          <w:szCs w:val="22"/>
          <w:rtl/>
        </w:rPr>
        <w:t xml:space="preserve"> ר"ל עינים דאדם שהן זורקין אבנין בשכינה ברחימו כנ"ל שהעין הוא קירטא:</w:t>
      </w:r>
    </w:p>
  </w:footnote>
  <w:footnote w:id="778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מוקדין די בשלהובין כו'.</w:t>
      </w:r>
      <w:r w:rsidRPr="00BD5E91">
        <w:rPr>
          <w:sz w:val="22"/>
          <w:szCs w:val="22"/>
          <w:rtl/>
        </w:rPr>
        <w:t xml:space="preserve"> כמ"ש (שה"ש ח ו) רשפי אש שלהבת יה</w:t>
      </w:r>
      <w:r>
        <w:rPr>
          <w:rFonts w:hint="cs"/>
          <w:sz w:val="22"/>
          <w:szCs w:val="22"/>
          <w:rtl/>
        </w:rPr>
        <w:t>.</w:t>
      </w:r>
      <w:r w:rsidRPr="00BD5E91">
        <w:rPr>
          <w:sz w:val="22"/>
          <w:szCs w:val="22"/>
          <w:rtl/>
        </w:rPr>
        <w:t xml:space="preserve"> והן ה"פ אור</w:t>
      </w:r>
      <w:r>
        <w:rPr>
          <w:rFonts w:hint="cs"/>
          <w:sz w:val="22"/>
          <w:szCs w:val="22"/>
          <w:rtl/>
        </w:rPr>
        <w:t>,</w:t>
      </w:r>
      <w:r w:rsidRPr="00BD5E91">
        <w:rPr>
          <w:sz w:val="22"/>
          <w:szCs w:val="22"/>
          <w:rtl/>
        </w:rPr>
        <w:t xml:space="preserve"> ה' נהורין ה'</w:t>
      </w:r>
      <w:r>
        <w:rPr>
          <w:rFonts w:hint="cs"/>
          <w:sz w:val="22"/>
          <w:szCs w:val="22"/>
          <w:rtl/>
        </w:rPr>
        <w:t>,</w:t>
      </w:r>
      <w:r w:rsidRPr="00BD5E91">
        <w:rPr>
          <w:sz w:val="22"/>
          <w:szCs w:val="22"/>
          <w:rtl/>
        </w:rPr>
        <w:t xml:space="preserve"> ובת עינא י'</w:t>
      </w:r>
      <w:r>
        <w:rPr>
          <w:rFonts w:hint="cs"/>
          <w:sz w:val="22"/>
          <w:szCs w:val="22"/>
          <w:rtl/>
        </w:rPr>
        <w:t>,</w:t>
      </w:r>
      <w:r w:rsidRPr="00BD5E91">
        <w:rPr>
          <w:sz w:val="22"/>
          <w:szCs w:val="22"/>
          <w:rtl/>
        </w:rPr>
        <w:t xml:space="preserve"> וזהו שלהבת י"ה</w:t>
      </w:r>
      <w:r>
        <w:rPr>
          <w:rFonts w:hint="cs"/>
          <w:sz w:val="22"/>
          <w:szCs w:val="22"/>
          <w:rtl/>
        </w:rPr>
        <w:t>.</w:t>
      </w:r>
      <w:r w:rsidRPr="00BD5E91">
        <w:rPr>
          <w:sz w:val="22"/>
          <w:szCs w:val="22"/>
          <w:rtl/>
        </w:rPr>
        <w:t xml:space="preserve"> שאש הוא בבינה כידוע והן ה' אור כנ"ל ובה האהבה כידוע בסוד דחילו ורחימו:</w:t>
      </w:r>
    </w:p>
  </w:footnote>
  <w:footnote w:id="778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דזרקין כו'.</w:t>
      </w:r>
      <w:r w:rsidRPr="00BD5E91">
        <w:rPr>
          <w:sz w:val="22"/>
          <w:szCs w:val="22"/>
          <w:rtl/>
        </w:rPr>
        <w:t xml:space="preserve"> ר"ל זהו זרקא. סגולתא היא שלהובין דרחימו כנ"ל אבנין דרחימו. מקף הוא הקירטא כנ"ל הולך. ז"ש הסבי עיניך כו'. שאמר יפה את כו' הסבי כו' וזהו שופר הולך:</w:t>
      </w:r>
    </w:p>
  </w:footnote>
  <w:footnote w:id="778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קם נער חנוך מט"ט.</w:t>
      </w:r>
      <w:r w:rsidRPr="00BD5E91">
        <w:rPr>
          <w:sz w:val="22"/>
          <w:szCs w:val="22"/>
          <w:rtl/>
        </w:rPr>
        <w:t xml:space="preserve"> שהוא נער משמש לקב"ה כמו ויהושע בן נון נער משרת משה ושכינה אתקריאת נערה בתוספת ה' ה' תתאה והוא נקרא נער אד"נ הקטן והוא דרגא דיסוד כידוע ט"ט (בראשית לז ב) והוא נער כו' וז"ש נער חנוך כמ"ש (משלי כו ב) חנוך לנער כו' והוא מתחדש בחדתותי דסיהרא לכן נקרא נער וז"ש (יבמות טז ע"ב) נער הייתי כו' מי אמרו שר העולם אמרו ואמר גם זקנתי כמו (משלי כו ב) גם כי יזקין כו' וז"ש ולא ראיתי צדיק כו' ואמר מט"ט שהוא יסוד נער ט"ט שבו והוא גי' שדי יסוד כידוע וז"ש. צעיר אני כו'. כמש"ל שהוא נער ומפ"ו למטה:</w:t>
      </w:r>
    </w:p>
  </w:footnote>
  <w:footnote w:id="778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ולנהורא דעיינין כו'.</w:t>
      </w:r>
      <w:r w:rsidRPr="00BD5E91">
        <w:rPr>
          <w:sz w:val="22"/>
          <w:szCs w:val="22"/>
          <w:rtl/>
        </w:rPr>
        <w:t xml:space="preserve"> שם הויה הנהיר בעיינין דילהון כמ"ש לעיל דנהרין עילא ותתא. בקב"ה ושכינה מסט' דתרי עיינין כנ"ל שהן שמש וירח כמ"ש ועינינו מאירות כשמש וכירח כמ"ש בה"ת והן קב"ה ושכינה וכן בת"ת וצדיק שהן נקראין עילא ותתא כמש"ל נערים אית לעילא ונערים כו' עיין למטה והכל הולך אל מקום א' וז"ש צעיר כו' ואתם ישישים שהן צדיק ות"ת כמ"ש למטה:</w:t>
      </w:r>
    </w:p>
  </w:footnote>
  <w:footnote w:id="778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ועלייהו כו'.</w:t>
      </w:r>
      <w:r w:rsidRPr="00BD5E91">
        <w:rPr>
          <w:sz w:val="22"/>
          <w:szCs w:val="22"/>
          <w:rtl/>
        </w:rPr>
        <w:t xml:space="preserve"> ר"ל על עיינין דילכון:</w:t>
      </w:r>
    </w:p>
  </w:footnote>
  <w:footnote w:id="779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עיניך כו'.</w:t>
      </w:r>
      <w:r w:rsidRPr="00BD5E91">
        <w:rPr>
          <w:sz w:val="22"/>
          <w:szCs w:val="22"/>
          <w:rtl/>
        </w:rPr>
        <w:t xml:space="preserve"> ר"ל מארי דרזין שהן עינים דשכינה כמ"ש למטה דשכינה יתבא בעיניהון והוא כנ"ל דשם הויה נהיר בעיניהון והוא מסט' דרזין שהן מעץ החיים בינה ה"פ אור שבהן נשלם הוי"ה וז"ש לעיל כד שריא ביה הויה ונהיר כו':</w:t>
      </w:r>
    </w:p>
  </w:footnote>
  <w:footnote w:id="779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בשדה אשר כו'.</w:t>
      </w:r>
      <w:r w:rsidRPr="00BD5E91">
        <w:rPr>
          <w:sz w:val="22"/>
          <w:szCs w:val="22"/>
          <w:rtl/>
        </w:rPr>
        <w:t xml:space="preserve"> ר"ל הם בשדה שהן ישראל כמש"ו ולכך והלכת אחריהן כמש"ו הכל למטה:</w:t>
      </w:r>
    </w:p>
  </w:footnote>
  <w:footnote w:id="779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ומאי ניהו.</w:t>
      </w:r>
      <w:r w:rsidRPr="00BD5E91">
        <w:rPr>
          <w:sz w:val="22"/>
          <w:szCs w:val="22"/>
          <w:rtl/>
        </w:rPr>
        <w:t xml:space="preserve"> עכשיו מפ"ו:</w:t>
      </w:r>
    </w:p>
  </w:footnote>
  <w:footnote w:id="779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דאתפטרו בקצרות כו'.</w:t>
      </w:r>
      <w:r w:rsidRPr="00BD5E91">
        <w:rPr>
          <w:sz w:val="22"/>
          <w:szCs w:val="22"/>
          <w:rtl/>
        </w:rPr>
        <w:t xml:space="preserve"> ר"ל זהו עיניך אשר יקצורון שהן מקצרין שנותיהן:</w:t>
      </w:r>
    </w:p>
  </w:footnote>
  <w:footnote w:id="7794">
    <w:p w:rsidR="00007309" w:rsidRPr="00BD5E91" w:rsidRDefault="00007309" w:rsidP="00007309">
      <w:pPr>
        <w:jc w:val="both"/>
        <w:rPr>
          <w:rFonts w:cs="Arial"/>
          <w:sz w:val="22"/>
          <w:szCs w:val="22"/>
          <w:rtl/>
        </w:rPr>
      </w:pPr>
      <w:r w:rsidRPr="00BD5E91">
        <w:rPr>
          <w:rStyle w:val="a7"/>
          <w:rFonts w:cs="Arial"/>
          <w:sz w:val="22"/>
          <w:szCs w:val="22"/>
          <w:rtl/>
        </w:rPr>
        <w:footnoteRef/>
      </w:r>
      <w:r w:rsidRPr="00BD5E91">
        <w:rPr>
          <w:rFonts w:cs="Arial"/>
          <w:sz w:val="22"/>
          <w:szCs w:val="22"/>
          <w:rtl/>
        </w:rPr>
        <w:t xml:space="preserve"> </w:t>
      </w:r>
      <w:r w:rsidRPr="00BD5E91">
        <w:rPr>
          <w:rFonts w:cs="Arial"/>
          <w:b/>
          <w:bCs/>
          <w:sz w:val="22"/>
          <w:szCs w:val="22"/>
          <w:rtl/>
        </w:rPr>
        <w:t>וכלהו תחות כו'.</w:t>
      </w:r>
      <w:r w:rsidRPr="00BD5E91">
        <w:rPr>
          <w:rFonts w:cs="Arial"/>
          <w:sz w:val="22"/>
          <w:szCs w:val="22"/>
          <w:rtl/>
        </w:rPr>
        <w:t xml:space="preserve"> שהן עולימין בסט' דנער והוא בסט' דיסוד המאור הקטן לממשלת הלילה וז"ש תחת ממשלת דילי וז"ש לעיל צעיר אני לימים שמסט' דיליה הכל עולימין בקצרות שנים ואמר אני ששם הוא דרגא דשכינתא לכן נקרא המאור הקטן כמ"ש למטה. </w:t>
      </w:r>
      <w:r w:rsidRPr="00BD5E91">
        <w:rPr>
          <w:rFonts w:cs="Arial"/>
          <w:b/>
          <w:bCs/>
          <w:sz w:val="22"/>
          <w:szCs w:val="22"/>
          <w:rtl/>
        </w:rPr>
        <w:t>במתיבתא דרקיעא.</w:t>
      </w:r>
      <w:r w:rsidRPr="00BD5E91">
        <w:rPr>
          <w:rFonts w:cs="Arial"/>
          <w:sz w:val="22"/>
          <w:szCs w:val="22"/>
          <w:rtl/>
        </w:rPr>
        <w:t xml:space="preserve"> ששני מתיבתות הן מתיבתא דקב"ה ומתיבתא דרקיעא ובמתיבתא דקב"ה יושבין כל הת"ח ובמתיבתא דרקיעא יושבין כל העולימין כנ"ל והוא נגד ת"ת ויסוד ישראל סבא וישראל זוטא נער שיסוד נקרא רקיע כידוע וז"ש מתיבתא דלעילא ומתיבתא דלתתא שהן נקראין עילא ותתא ת"ת כולל חג"ת ויסוד נה"י כידוע וז"ש לעיל דף ע"ד ע"ד תלת אבנין עילאין לגבייכו כו' דמתיבתא עילאה והאיתנים כו' דמתיבתא דלתתא הא תלת כו':</w:t>
      </w:r>
    </w:p>
  </w:footnote>
  <w:footnote w:id="779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ודא למה.</w:t>
      </w:r>
      <w:r w:rsidRPr="00BD5E91">
        <w:rPr>
          <w:sz w:val="22"/>
          <w:szCs w:val="22"/>
          <w:rtl/>
        </w:rPr>
        <w:t xml:space="preserve"> ר"ל למה מענישין בעיניהון:</w:t>
      </w:r>
    </w:p>
  </w:footnote>
  <w:footnote w:id="779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ושם הנהיר כו'.</w:t>
      </w:r>
      <w:r w:rsidRPr="00BD5E91">
        <w:rPr>
          <w:sz w:val="22"/>
          <w:szCs w:val="22"/>
          <w:rtl/>
        </w:rPr>
        <w:t xml:space="preserve"> ר"ל שם הוי"ה נהיר בעיינין דילהון כנ"ל ור"ל דכתיב והלכת אחריהן כמ"ש למטה דהיא אזלא אחר בעלה שם הוי"ה לכן יתבא בעינייהו:</w:t>
      </w:r>
    </w:p>
  </w:footnote>
  <w:footnote w:id="779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אני אמית ואחיה.</w:t>
      </w:r>
      <w:r w:rsidRPr="00BD5E91">
        <w:rPr>
          <w:sz w:val="22"/>
          <w:szCs w:val="22"/>
          <w:rtl/>
        </w:rPr>
        <w:t xml:space="preserve"> ר"ל אני שכינה כידוע והיא תורה שבע"פ כידוע שאמר לעיל ע"א ואיהי אורייתא שבע"פ אי זכה כו' ע"ש וזהו אמית ואחיה והן שלא זכו יהבו עיניהון בהון וכן עוני הוא מיתה כמ"ש כמה פעמים לעיל ובתיקונים:</w:t>
      </w:r>
    </w:p>
  </w:footnote>
  <w:footnote w:id="779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ובג"ד כו'.</w:t>
      </w:r>
      <w:r w:rsidRPr="00BD5E91">
        <w:rPr>
          <w:sz w:val="22"/>
          <w:szCs w:val="22"/>
          <w:rtl/>
        </w:rPr>
        <w:t xml:space="preserve"> ר"ל אותן אשר יקצורו בעיניהן הן עיניך והלכת אחריהן:</w:t>
      </w:r>
    </w:p>
  </w:footnote>
  <w:footnote w:id="779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בההוא שדה כו'.</w:t>
      </w:r>
      <w:r w:rsidRPr="00BD5E91">
        <w:rPr>
          <w:sz w:val="22"/>
          <w:szCs w:val="22"/>
          <w:rtl/>
        </w:rPr>
        <w:t xml:space="preserve"> עכשיו מפ' בשדה ור"ל שדה נקראין ישראל כמש"ו:</w:t>
      </w:r>
    </w:p>
  </w:footnote>
  <w:footnote w:id="780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לפנות כל כו'.</w:t>
      </w:r>
      <w:r w:rsidRPr="00BD5E91">
        <w:rPr>
          <w:sz w:val="22"/>
          <w:szCs w:val="22"/>
          <w:rtl/>
        </w:rPr>
        <w:t xml:space="preserve"> ר"ל זהו לפנות ערב לפנות ערב רב מישראל שמתחילין לשלוט מחצות היום ומן המנחה זמן דיצחק שלכן התחילו הערב רב לעשות העגל בשש וזהו ערב רב ששני ערבים הן רב וזעירא שכנגדן מנחה גדולה וקטנה שלכן נאמר בין הערבים וערב רב מתחיל מחצות היום זמן מנחה גדולה וערב נקרא הכל מסט' דילהון וז"ש אוי כו' כי ינטו צללי ערב וכן הן לשון ערבוביא כמ"ש (שמות יב לח) וגם ערב רב כו' וז"ש דאינון כו' והוא שדה דיצחק כמ"ש (פסחים פח ע"א) יצחק קראה שדה וכן הת"ח המענישין כנ"ל הן מסט' דיצחק ק"צ ח"י כידוע ולכן הן נער צדיק שהוא קץ חי מסט' דיצחק כמש"ל דף ס"א ע"ב וכן הת"ח הנ"ל קוצרין ג"כ מן השדה הנ"ל כל המקטרגין שלכן נקראין מחצדי חקלא מסט' דיצחק כנ"ל וז"ש ובהון איתמר בשדה כו'. ר"ל על הת"ח הנ"ל:</w:t>
      </w:r>
    </w:p>
  </w:footnote>
  <w:footnote w:id="780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ועוד עיניך אלו ת"ח.</w:t>
      </w:r>
      <w:r w:rsidRPr="00BD5E91">
        <w:rPr>
          <w:sz w:val="22"/>
          <w:szCs w:val="22"/>
          <w:rtl/>
        </w:rPr>
        <w:t xml:space="preserve"> כל הת"ח בכלל:</w:t>
      </w:r>
    </w:p>
  </w:footnote>
  <w:footnote w:id="780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דאינון עיינין דאורייתא.</w:t>
      </w:r>
      <w:r w:rsidRPr="00BD5E91">
        <w:rPr>
          <w:sz w:val="22"/>
          <w:szCs w:val="22"/>
          <w:rtl/>
        </w:rPr>
        <w:t xml:space="preserve"> דנהרין לישראל באורייתא כמ"ש אם מעיני העדה ואמרו משל לכלה שעיניה יפות כו' וז"ש עיניך ברכות כו' כמ"ש יפוצו מעינותיך חוצה כו' מי ישקני מבאר בית לחם אשר בשער שהוא סנהדרין כמ"ש אל שעריך וזהו על שער בת רבים בת ג' אבהן דשם הלכה שכינה כרבים כידוע והוא בת עין בג' גוונין דעינא כמש"ל דף ע"ו ע"ג:</w:t>
      </w:r>
    </w:p>
  </w:footnote>
  <w:footnote w:id="780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דענשין כו'.</w:t>
      </w:r>
      <w:r w:rsidRPr="00BD5E91">
        <w:rPr>
          <w:sz w:val="22"/>
          <w:szCs w:val="22"/>
          <w:rtl/>
        </w:rPr>
        <w:t xml:space="preserve"> בבת עין דילהון:</w:t>
      </w:r>
    </w:p>
  </w:footnote>
  <w:footnote w:id="780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ועוד אשר כו' ואינון פסקין כו'.</w:t>
      </w:r>
      <w:r w:rsidRPr="00BD5E91">
        <w:rPr>
          <w:sz w:val="22"/>
          <w:szCs w:val="22"/>
          <w:rtl/>
        </w:rPr>
        <w:t xml:space="preserve"> ר"ל דפסקים אינון קיצור והוא בתורה שבע"פ וז"ש מקום שאמרו כו' כמש"ל בדף הקודם ע"א להאריך כו' והוא בתורה שבכתב לקצר ביו"ד והוא בתורה שבע"פ וז"ש ואינון פסקין אורייתא כו' בשכינתא דאיהי כו' וזהו בשדה שהוא תורה שבע"פ כמש"ל ושם אשר יקצורון כנ"ל:</w:t>
      </w:r>
    </w:p>
  </w:footnote>
  <w:footnote w:id="780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באיסור והיתר כו'.</w:t>
      </w:r>
      <w:r w:rsidRPr="00BD5E91">
        <w:rPr>
          <w:sz w:val="22"/>
          <w:szCs w:val="22"/>
          <w:rtl/>
        </w:rPr>
        <w:t xml:space="preserve"> ו"ק כמש"ל:</w:t>
      </w:r>
    </w:p>
  </w:footnote>
  <w:footnote w:id="780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ועבדו כמה גדרות כו'.</w:t>
      </w:r>
      <w:r w:rsidRPr="00BD5E91">
        <w:rPr>
          <w:sz w:val="22"/>
          <w:szCs w:val="22"/>
          <w:rtl/>
        </w:rPr>
        <w:t xml:space="preserve"> לשדה הנ"ל והכל שלא יכנסו חיות בישין לשדה כמש"ל לפנות מקטרגין כו' שהן מסט' דיצחק גבורים עומדין בפרץ כמ"ש בה"ת וז"ש. דלא עבדין פרצה כו'. לפיכך בכל דור ודור עבדין גדרות חדשים לפי שהדורות מתמעטין והולכין והערב רב מתגברין צריך לגדר חדש לגדור הפרצה שפרצו הע"ר וזהו (ויקרא כב ט) ושמרו את משמרתי משמרת למשמרת (מו"ק ה ע"א) חותם בתוך חותם כידוע וז"ש גן נעול אחותי כלה אורייתא דבע"פ גל נעול כו' וז"ש (משלי כד ל-לא) על שדה עצל עברתי כו' וגדר אבנים נהרסה ומסט' הן הקושיות הנשארין שעליהן נאמר (עמוס ט יא) וגדרתי את פרציהן כו' שאליהו יתרץ אותם:</w:t>
      </w:r>
    </w:p>
  </w:footnote>
  <w:footnote w:id="780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בשכינתא דאיהי כו'.</w:t>
      </w:r>
      <w:r w:rsidRPr="00BD5E91">
        <w:rPr>
          <w:sz w:val="22"/>
          <w:szCs w:val="22"/>
          <w:rtl/>
        </w:rPr>
        <w:t xml:space="preserve"> ר"ל זהו בשדה כנ"ל:</w:t>
      </w:r>
    </w:p>
  </w:footnote>
  <w:footnote w:id="780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לקוצרים.</w:t>
      </w:r>
      <w:r w:rsidRPr="00BD5E91">
        <w:rPr>
          <w:sz w:val="22"/>
          <w:szCs w:val="22"/>
          <w:rtl/>
        </w:rPr>
        <w:t xml:space="preserve"> כנ"ל:</w:t>
      </w:r>
    </w:p>
  </w:footnote>
  <w:footnote w:id="780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דהכי צריכא כו'.</w:t>
      </w:r>
      <w:r w:rsidRPr="00BD5E91">
        <w:rPr>
          <w:sz w:val="22"/>
          <w:szCs w:val="22"/>
          <w:rtl/>
        </w:rPr>
        <w:t xml:space="preserve"> ר"ל זהו אחריהם כמ"ש (עירובין יח ע"ב) ולא אחורי אשה כמ"ש ושב מאחריך כי קב"ה לפניהם כידוע כמ"ש ויעבור מלכם כו' וז"ש (ברכות סא ע"א) אדם ד"ו פרצופין כו' הי סגי ברישא מסתברא כו':</w:t>
      </w:r>
    </w:p>
  </w:footnote>
  <w:footnote w:id="781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אלו לקוטות כו'.</w:t>
      </w:r>
      <w:r w:rsidRPr="00BD5E91">
        <w:rPr>
          <w:sz w:val="22"/>
          <w:szCs w:val="22"/>
          <w:rtl/>
        </w:rPr>
        <w:t xml:space="preserve"> הלכות קטנות שמפוזרין בש"ס שאין להם מס' ידועה:</w:t>
      </w:r>
    </w:p>
  </w:footnote>
  <w:footnote w:id="781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לאתפרנסא בהון בגלות.</w:t>
      </w:r>
      <w:r w:rsidRPr="00BD5E91">
        <w:rPr>
          <w:sz w:val="22"/>
          <w:szCs w:val="22"/>
          <w:rtl/>
        </w:rPr>
        <w:t xml:space="preserve"> שהיא ענייה כמש"ל ונותנין לקט לה כמ"ש (ויקרא כג כב) לעני כו' והוא ענין רות שהיא שכינה מילוי אדני שבגלות אין לה אלא המלוי כידוע שלכן היתה רות ענייה וכל הענין של רות הכל על גלות השכינה וגאולתה כידוע:</w:t>
      </w:r>
    </w:p>
  </w:footnote>
  <w:footnote w:id="781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בין העמרים כו'.</w:t>
      </w:r>
      <w:r w:rsidRPr="00BD5E91">
        <w:rPr>
          <w:sz w:val="22"/>
          <w:szCs w:val="22"/>
          <w:rtl/>
        </w:rPr>
        <w:t xml:space="preserve"> ר"ל בין המסכתות:</w:t>
      </w:r>
    </w:p>
  </w:footnote>
  <w:footnote w:id="781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ולא תכלימוה.</w:t>
      </w:r>
      <w:r w:rsidRPr="00BD5E91">
        <w:rPr>
          <w:sz w:val="22"/>
          <w:szCs w:val="22"/>
          <w:rtl/>
        </w:rPr>
        <w:t xml:space="preserve"> שלא יבוש ללמוד אף שהם דברים קטנים אזהרה לקוצרים הנ"ל ליתן לה ושלא ישליכו מן תורה שבע"פ אף דבר קטן כמ"ש (סוכה כח ע"א) לא הניח דבר קטן ודבר גדול כו' וכן סדרו בש"ס הכל כידוע ואמרו אם נבלת בהתנשא ואמרו איזהו חכם כו':</w:t>
      </w:r>
    </w:p>
  </w:footnote>
  <w:footnote w:id="781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כלהו במדה.</w:t>
      </w:r>
      <w:r w:rsidRPr="00BD5E91">
        <w:rPr>
          <w:sz w:val="22"/>
          <w:szCs w:val="22"/>
          <w:rtl/>
        </w:rPr>
        <w:t xml:space="preserve"> שבה כל השיעורין וכן המדות ותוארים כמ"ש אתרוג כביצה ואתרוג ככדור  וכן בכולם והיא נקראת מדה כמש"ל בדף הקודם ע"א:</w:t>
      </w:r>
    </w:p>
  </w:footnote>
  <w:footnote w:id="781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עומר לגלגולת מספר נפשותיכם.</w:t>
      </w:r>
      <w:r w:rsidRPr="00BD5E91">
        <w:rPr>
          <w:sz w:val="22"/>
          <w:szCs w:val="22"/>
          <w:rtl/>
        </w:rPr>
        <w:t xml:space="preserve"> שלכל אחד מודדין לו כמה חכמה נותנין לכ"א כמ"ש (קידושין עט ע"ב) כ"ע כיילי להו במדה זוטרי והאי מרבנן כו' וכ"א יש לו שורש בה כמ"ש ששים רבוא אותיות לתורה ולישראל וכ"א יש לו שורש או באות או בקוץ או בנקודה ותג כפי גודל נשמתו כידוע:</w:t>
      </w:r>
    </w:p>
  </w:footnote>
  <w:footnote w:id="781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ולא העדיף כו' דלא להוסיף.</w:t>
      </w:r>
      <w:r w:rsidRPr="00BD5E91">
        <w:rPr>
          <w:sz w:val="22"/>
          <w:szCs w:val="22"/>
          <w:rtl/>
        </w:rPr>
        <w:t xml:space="preserve"> ר"ל אע"ג שזה גדול וזה קטן מ"מ אין לזה רשות להוסיף ולזה למגרע כמ"ש לא תוסיף ולא תגרע ממנו ואמרו ז"ל (תמורה טז ע"א) אמרו לאלעזר שאל כו' אלה המצות שאין נביא כו'. ואמר כאן כ"ז לפרש מ"ש לעיל בין העמרים שהוא המס' שלא הותירו בהן יותר ממה שנאמר בסיני וימודו כו':</w:t>
      </w:r>
    </w:p>
  </w:footnote>
  <w:footnote w:id="781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וצדיק זריק ושכינתא כנישת.</w:t>
      </w:r>
      <w:r w:rsidRPr="00BD5E91">
        <w:rPr>
          <w:sz w:val="22"/>
          <w:szCs w:val="22"/>
          <w:rtl/>
        </w:rPr>
        <w:t xml:space="preserve"> עכשיו חוזר למעלה אלקטה בשבלים רות שכינה כנ"ל ובועז צדיק כידוע:</w:t>
      </w:r>
    </w:p>
  </w:footnote>
  <w:footnote w:id="781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ועלייהו.</w:t>
      </w:r>
      <w:r w:rsidRPr="00BD5E91">
        <w:rPr>
          <w:sz w:val="22"/>
          <w:szCs w:val="22"/>
          <w:rtl/>
        </w:rPr>
        <w:t xml:space="preserve"> ר"ל על צדיק ושכינה:</w:t>
      </w:r>
    </w:p>
  </w:footnote>
  <w:footnote w:id="781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יש מפזר.</w:t>
      </w:r>
      <w:r w:rsidRPr="00BD5E91">
        <w:rPr>
          <w:sz w:val="22"/>
          <w:szCs w:val="22"/>
          <w:rtl/>
        </w:rPr>
        <w:t xml:space="preserve"> שהוא זריק וזהו מפזר כמש"ל בדף הקודם ע"ד מתי זריק בדיוקנא דא ר"ל פזר ע"ש וכן בישראל צדיקים מפזרים הלכות ושכינה כנישת וזש"ל ועלייהו כו' וז"ש יש כו'. כמ"ש (סוכה כח ע"א) אמרו על ריב"ז שלא הניח כו' לקיים מ"ש להנחיל אוהבי יש כו':</w:t>
      </w:r>
    </w:p>
  </w:footnote>
  <w:footnote w:id="782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דא עד"א. </w:t>
      </w:r>
      <w:r w:rsidRPr="00BD5E91">
        <w:rPr>
          <w:sz w:val="22"/>
          <w:szCs w:val="22"/>
          <w:rtl/>
        </w:rPr>
        <w:t>שהוא עשיר כמ"ש בר"מ לכן ונוסף, והוא נקרא עד כידוע, בתוס' ו' - עוד:</w:t>
      </w:r>
    </w:p>
  </w:footnote>
  <w:footnote w:id="782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ועוד מאי כו'.</w:t>
      </w:r>
      <w:r w:rsidRPr="00BD5E91">
        <w:rPr>
          <w:sz w:val="22"/>
          <w:szCs w:val="22"/>
          <w:rtl/>
        </w:rPr>
        <w:t xml:space="preserve"> ר"ל צדיקים שבישראל כנ"ל:</w:t>
      </w:r>
    </w:p>
  </w:footnote>
  <w:footnote w:id="782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בההוא זימנא ויאמר.</w:t>
      </w:r>
      <w:r w:rsidRPr="00BD5E91">
        <w:rPr>
          <w:sz w:val="22"/>
          <w:szCs w:val="22"/>
          <w:rtl/>
        </w:rPr>
        <w:t xml:space="preserve"> ר"ל בועז יסוד כנ"ל:</w:t>
      </w:r>
    </w:p>
  </w:footnote>
  <w:footnote w:id="782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לקוצרים.</w:t>
      </w:r>
      <w:r w:rsidRPr="00BD5E91">
        <w:rPr>
          <w:sz w:val="22"/>
          <w:szCs w:val="22"/>
          <w:rtl/>
        </w:rPr>
        <w:t xml:space="preserve"> הת"ח:</w:t>
      </w:r>
    </w:p>
  </w:footnote>
  <w:footnote w:id="782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ה' עמכם.</w:t>
      </w:r>
      <w:r w:rsidRPr="00BD5E91">
        <w:rPr>
          <w:sz w:val="22"/>
          <w:szCs w:val="22"/>
          <w:rtl/>
        </w:rPr>
        <w:t xml:space="preserve"> כנ"ל:</w:t>
      </w:r>
    </w:p>
  </w:footnote>
  <w:footnote w:id="782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ויאמרו לו יברכך ה'.</w:t>
      </w:r>
      <w:r w:rsidRPr="00BD5E91">
        <w:rPr>
          <w:sz w:val="22"/>
          <w:szCs w:val="22"/>
          <w:rtl/>
        </w:rPr>
        <w:t xml:space="preserve"> כנ"ל ונוסף עוד:</w:t>
      </w:r>
    </w:p>
  </w:footnote>
  <w:footnote w:id="782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דאינון י"ב עינות כו'.</w:t>
      </w:r>
      <w:r w:rsidRPr="00BD5E91">
        <w:rPr>
          <w:sz w:val="22"/>
          <w:szCs w:val="22"/>
          <w:rtl/>
        </w:rPr>
        <w:t xml:space="preserve"> שם של י"ב ג' שמות הויה הנ"ל שהן מלך מלך ימלוך כידוע ור"ל זהו יברכך ה' שהוא י"ב והוא ו' דיסוד ו' דת"ת וזהו ונוסף עוד עד"א על יסוד שמתמלא יסוד מכל י"ב ואמר עינות מים כמ"ש (שמות טו כז) ושם שתים עשרה עינות מים ור"ל וזהו ושתית מאשר ישאבון כו' כמש"ו:</w:t>
      </w:r>
    </w:p>
  </w:footnote>
  <w:footnote w:id="782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ואינון ו"ו.</w:t>
      </w:r>
      <w:r w:rsidRPr="00BD5E91">
        <w:rPr>
          <w:sz w:val="22"/>
          <w:szCs w:val="22"/>
          <w:rtl/>
        </w:rPr>
        <w:t xml:space="preserve"> ר"ל ת"ת ויסוד ששניהן הן ו"ו כמש"ו:</w:t>
      </w:r>
    </w:p>
  </w:footnote>
  <w:footnote w:id="782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מן צנורא דאיהו א'.</w:t>
      </w:r>
      <w:r w:rsidRPr="00BD5E91">
        <w:rPr>
          <w:sz w:val="22"/>
          <w:szCs w:val="22"/>
          <w:rtl/>
        </w:rPr>
        <w:t xml:space="preserve"> ר"ל בינה כמ"ש למטה א' בינה והוא א' דאהיה עטרת בינה שמסתיימת באמצע הגוף בין ת"ת ויסוד וזהו א' שבין שני הווין כמש"ו. וכלא וא"ו:</w:t>
      </w:r>
    </w:p>
  </w:footnote>
  <w:footnote w:id="782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בשית פרקין כו'.</w:t>
      </w:r>
      <w:r w:rsidRPr="00BD5E91">
        <w:rPr>
          <w:sz w:val="22"/>
          <w:szCs w:val="22"/>
          <w:rtl/>
        </w:rPr>
        <w:t xml:space="preserve"> שת"ת הוא ו' כולל ח"ג שית פרקין יסוד ו' כולל נ"ה:</w:t>
      </w:r>
    </w:p>
  </w:footnote>
  <w:footnote w:id="783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 באמצעיתא עטרה על גופא.</w:t>
      </w:r>
      <w:r w:rsidRPr="00BD5E91">
        <w:rPr>
          <w:sz w:val="22"/>
          <w:szCs w:val="22"/>
          <w:rtl/>
        </w:rPr>
        <w:t xml:space="preserve"> עטרת בינה כמש"ל בת"ת מסיימת שהוא גופא וז"ש עטרת תפארת כידוע ושם מתחלת א' דאדני מלכות כידוע לכן היא ג"כ שותה מאותו הצינור א' דבינה וז"ש ובג"ד ושתית מאשר ישאבון הנערים. ר"ל ח"ג נ"ה שהן נקראין נערים כמש"ו והן שותין מא' שהן שני ווין כנ"ל ושתית ג"כ והם ישאבו ואתה תשקה כמ"ש (במדבר כא יח) באר חפרוה שרים כרוה נדיבי העם שרים הן אברהם ויצחק שחפרו בארות המים ח"ג כרוה נדיבי העם משה ואהרן נו"ה מטה משה מטה [אהרן] ואע"ג דלאו אורחיה דאתתא להשקות מנערים כי אם מבעלה ז"ש לעיל ובגין דבעלה תמן כו' שאז ש"ד והם השואבין והוא משקה אותה ע"י דצדיק שלכן צוה בועז וכן באברהם ויצחק לא כתיב אלא החפירה וביעקב וירא והנה באר בשדה כו' וישק את כו' דהוא כליל בגויה אשר ישאבון ו"ו כנ"ל:</w:t>
      </w:r>
    </w:p>
  </w:footnote>
  <w:footnote w:id="783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דאינון ברהטים בשקתות המים.</w:t>
      </w:r>
      <w:r w:rsidRPr="00BD5E91">
        <w:rPr>
          <w:sz w:val="22"/>
          <w:szCs w:val="22"/>
          <w:rtl/>
        </w:rPr>
        <w:t xml:space="preserve"> ר"ל ח"ג נ"ה ומהן השקאה כמ"ש אצל יעקב (בראשית ל לח) ברהטים בשקתות המים אשר תבאן הצאן לשתות הן עדרין קדישין דמשתקיין בשקיותא דשכינה כידוע:</w:t>
      </w:r>
    </w:p>
  </w:footnote>
  <w:footnote w:id="783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ברהטים.</w:t>
      </w:r>
      <w:r w:rsidRPr="00BD5E91">
        <w:rPr>
          <w:sz w:val="22"/>
          <w:szCs w:val="22"/>
          <w:rtl/>
        </w:rPr>
        <w:t xml:space="preserve"> הן נו"ה רגלין כמ"ש (אסתר ח יד) הרצים יצאו כו' בדבר המלך כו' ומרדכי יצא כו' יסוד, והעיר שושן כו' מלכות, ליהודים כו' עדרין קדישין וכן כל הדינין שהם בסט' דנו"ה נקראין רצים כמ"ש בזוהר:</w:t>
      </w:r>
    </w:p>
  </w:footnote>
  <w:footnote w:id="783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בשקתות המים.</w:t>
      </w:r>
      <w:r w:rsidRPr="00BD5E91">
        <w:rPr>
          <w:sz w:val="22"/>
          <w:szCs w:val="22"/>
          <w:rtl/>
        </w:rPr>
        <w:t xml:space="preserve"> הן חו"ג כמ"ש למטה ימינא ושמאלא אתקרי' שקתות המים והן שואבין ומשקין והמים רצים בנו"ה ליסוד כידוע שלכן נאמר ישרצו המים כו' תנינים הגדולים נו"ה ועוף יעופף חו"ג מיכאל וגבריאל והכל ממים:</w:t>
      </w:r>
    </w:p>
  </w:footnote>
  <w:footnote w:id="7834">
    <w:p w:rsidR="00007309" w:rsidRPr="00BD5E91" w:rsidRDefault="00007309" w:rsidP="00007309">
      <w:pPr>
        <w:jc w:val="both"/>
        <w:rPr>
          <w:rFonts w:cs="Arial"/>
          <w:sz w:val="22"/>
          <w:szCs w:val="22"/>
          <w:rtl/>
        </w:rPr>
      </w:pPr>
      <w:r w:rsidRPr="00BD5E91">
        <w:rPr>
          <w:rStyle w:val="a7"/>
          <w:rFonts w:cs="Arial"/>
          <w:sz w:val="22"/>
          <w:szCs w:val="22"/>
          <w:rtl/>
        </w:rPr>
        <w:footnoteRef/>
      </w:r>
      <w:r w:rsidRPr="00BD5E91">
        <w:rPr>
          <w:rFonts w:cs="Arial"/>
          <w:sz w:val="22"/>
          <w:szCs w:val="22"/>
          <w:rtl/>
        </w:rPr>
        <w:t xml:space="preserve"> </w:t>
      </w:r>
      <w:r w:rsidRPr="00BD5E91">
        <w:rPr>
          <w:rFonts w:cs="Arial"/>
          <w:b/>
          <w:bCs/>
          <w:sz w:val="22"/>
          <w:szCs w:val="22"/>
          <w:rtl/>
        </w:rPr>
        <w:t>נערים אית לעילא כו'.</w:t>
      </w:r>
      <w:r w:rsidRPr="00BD5E91">
        <w:rPr>
          <w:rFonts w:cs="Arial"/>
          <w:sz w:val="22"/>
          <w:szCs w:val="22"/>
          <w:rtl/>
        </w:rPr>
        <w:t xml:space="preserve"> ר"ל הנערים דלעיל קאי על חו"ג וכאן נו"ה שכולם אקריאו נערים כמ"ש. אנפי רברבי ואנפי זוטרי ור"ל שחג"ת נקראו אבהן אנפי רברבי ונה"י נקראו בנין וכל בניך למודי ה' כידוע והן אנפי זוטרי כמ"ש (סוכה ה ע"ב) היינו כרוב היינו אדם ואמרו אנפי רברבי כו' כי ת"ת נקרא זקן ישראל סבא וכן ח"ג כמש"ל ו' בשית פרקין דדרועין כו' ולכן נאמר בכולם זקן וכמ"ש (יומא כח סע"א) אברהם זקן כו' יצחק זקן כו' יעקב זקן כו' ויסוד אנפי זוטרי כרוב רביא כמ"ש והוא נער וכן נו"ה נערים כמ"ש חכמות בנתה ביתה כו' שלחה נערותיה ואמרו שלחה נערותיה אלו משה ואהרן ולכן בהן לא נאמר זקנה וזהו שת"ת נקרא אדם כידוע ויסוד נקרא כרוב כמ"ש רוכב על כרוב ושט בח"י עולמות ח"י עלמין וכן נו"ה נקראו כרובים והיו הכרובים פורשי כנפים כו' נו"ה על הכפורת יסוד כידוע והן ב' כרובי עינא כמ"ש למטה ואינון לקביל תרין כרובי עינא וכמ"ש במדרש הנעלם רות דף ס"ז ע"א עם הנערים אלין כרובין כו' ע"ש כל הענין והן נקראין נערים ואמר כאן ג"כ על חו"ג נערים שהן נערים לסבא דסבין שהן כח"ב ולפי שכולם כאן שואבין מאלף בינה כמש"ל לכך כולם נקראו נערים:</w:t>
      </w:r>
    </w:p>
  </w:footnote>
  <w:footnote w:id="783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קם נער.</w:t>
      </w:r>
      <w:r w:rsidRPr="00BD5E91">
        <w:rPr>
          <w:sz w:val="22"/>
          <w:szCs w:val="22"/>
          <w:rtl/>
        </w:rPr>
        <w:t xml:space="preserve"> נער הנ"ל:</w:t>
      </w:r>
    </w:p>
  </w:footnote>
  <w:footnote w:id="783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מסט' דז"א.</w:t>
      </w:r>
      <w:r w:rsidRPr="00BD5E91">
        <w:rPr>
          <w:sz w:val="22"/>
          <w:szCs w:val="22"/>
          <w:rtl/>
        </w:rPr>
        <w:t xml:space="preserve"> הוא יסוד אנפי זוטרי ישראל זוטא ונער מט"ט הוא מסט' דיסוד כנ"ל:</w:t>
      </w:r>
    </w:p>
  </w:footnote>
  <w:footnote w:id="783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ואתם ישישים.</w:t>
      </w:r>
      <w:r w:rsidRPr="00BD5E91">
        <w:rPr>
          <w:sz w:val="22"/>
          <w:szCs w:val="22"/>
          <w:rtl/>
        </w:rPr>
        <w:t xml:space="preserve"> מסט' דא"א. ת"ת אנפי רברבי והוא נקרא נגד יסוד אריך אנפין כמש"ל דף ע"ו ע"ב בההוא חוט דזרקא דאיהו א"א בעלה ודאי וא"ו אריכא וכן אמר לעיל בדף הקודם ו' עולם ארוך י' עולם קצר והוא ביסוד שהוא ו' כידוע והוא נק' א"א בסט' דכתר שת"ת סליק לכתר כמש"ל לזמנין איהו בעלה בכתר וידוע בהרבה מקומות ומסט' נקרא א"א וז"ש ואתם ישישים כי כתר נקרא ישיש ועתיק יומין כו' ב"פ יש כמנין כתר כידוע ומה שנקרא בכ"מ ז"א היינו לגבי כתר א"א כמש"ל שנקראין חג"ת נערים נגד שלש ראשונות כי ב' ההי"ן של השם ה' עילאה בינה כולל ג"ר ושם אותיות גדולות וה' תתאה נקראת ה' זעירא שם אותיות קטנות וה' עילאה כוללת חג"ת שעד שם מגעת כידוע וה' זעירא כוללת נה"י ששם קומתה כידוע ות"ת כלל חג"ת ויסוד כלל נה"י שלכן נקרא ע"ש ה' עילאה ויסוד ע"ש ה' תתאה שהן שני המאורות ב' ההין ונקראין ג"כ ת"ת ויסוד שני המאורות כידוע לכן יסוד נקרא נער ומלכות נערה וז"ש צעיר אני וכן מט"ט נקרא ע"ש יסוד וע"ש מטרוניתא שלכן נקרא מט"ט מטרוניתא הוא לשון אם כמש"ל וכ"ז הוא ג"כ </w:t>
      </w:r>
      <w:r>
        <w:rPr>
          <w:rFonts w:hint="cs"/>
          <w:sz w:val="22"/>
          <w:szCs w:val="22"/>
          <w:rtl/>
        </w:rPr>
        <w:t>ב</w:t>
      </w:r>
      <w:r w:rsidRPr="00BD5E91">
        <w:rPr>
          <w:sz w:val="22"/>
          <w:szCs w:val="22"/>
          <w:rtl/>
        </w:rPr>
        <w:t>חו"ג ונ"ה כנ"ל שהן עצמן שני הווין של ת"ת ויסוד שהן כוללין אותן:</w:t>
      </w:r>
    </w:p>
  </w:footnote>
  <w:footnote w:id="783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דאינון ברהטים כו'.</w:t>
      </w:r>
      <w:r w:rsidRPr="00BD5E91">
        <w:rPr>
          <w:sz w:val="22"/>
          <w:szCs w:val="22"/>
          <w:rtl/>
        </w:rPr>
        <w:t xml:space="preserve"> ר"ל סט' דז"א ודא"א כנ"ל ברהטים חו"ג בשקתות נו"ה:</w:t>
      </w:r>
    </w:p>
  </w:footnote>
  <w:footnote w:id="783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ע"כ זחלתי.</w:t>
      </w:r>
      <w:r w:rsidRPr="00BD5E91">
        <w:rPr>
          <w:sz w:val="22"/>
          <w:szCs w:val="22"/>
          <w:rtl/>
        </w:rPr>
        <w:t xml:space="preserve"> לשון זוחלי עפר שהוא הקטנות כידוע והוא ז"א נק' קטנות וא"א גדלות כידוע שקטנות הוא בסוד נה"י וגדלות בסוד חג"ת וז"ש (עירובין סג ע"א) כל המורה הלכה בפני רבו ראוי להכישו נחש כתיב הכא זחלתי כו' וז"ש (איוב לב ו) ואירא מחוות כו'. ששם היראה בסוד קטנות וינס משה מפניו כי לאחר שנה"י משתקיין מחג"ת הן בסוד גדלות משא"כ קודם לכן הוא ירא לדבר קודם שישמע מהם שהוא השקיא וז"ש כל המורה כו' כנ"ל ולכן נקראו נו"ה התנינים הגדולים ויסוד לויתן נחש בריח כו' עד שישמע וז"ש מחוות דעי</w:t>
      </w:r>
      <w:r>
        <w:rPr>
          <w:rFonts w:hint="cs"/>
          <w:sz w:val="22"/>
          <w:szCs w:val="22"/>
          <w:rtl/>
        </w:rPr>
        <w:t>,</w:t>
      </w:r>
      <w:r w:rsidRPr="00BD5E91">
        <w:rPr>
          <w:sz w:val="22"/>
          <w:szCs w:val="22"/>
          <w:rtl/>
        </w:rPr>
        <w:t xml:space="preserve"> שהוא יסוד</w:t>
      </w:r>
      <w:r>
        <w:rPr>
          <w:rFonts w:hint="cs"/>
          <w:sz w:val="22"/>
          <w:szCs w:val="22"/>
          <w:rtl/>
        </w:rPr>
        <w:t>,</w:t>
      </w:r>
      <w:r w:rsidRPr="00BD5E91">
        <w:rPr>
          <w:sz w:val="22"/>
          <w:szCs w:val="22"/>
          <w:rtl/>
        </w:rPr>
        <w:t xml:space="preserve"> בסוד והאדם ידע</w:t>
      </w:r>
      <w:r>
        <w:rPr>
          <w:rFonts w:hint="cs"/>
          <w:sz w:val="22"/>
          <w:szCs w:val="22"/>
          <w:rtl/>
        </w:rPr>
        <w:t>.</w:t>
      </w:r>
      <w:r w:rsidRPr="00BD5E91">
        <w:rPr>
          <w:sz w:val="22"/>
          <w:szCs w:val="22"/>
          <w:rtl/>
        </w:rPr>
        <w:t xml:space="preserve"> מחוות</w:t>
      </w:r>
      <w:r>
        <w:rPr>
          <w:rFonts w:hint="cs"/>
          <w:sz w:val="22"/>
          <w:szCs w:val="22"/>
          <w:rtl/>
        </w:rPr>
        <w:t>,</w:t>
      </w:r>
      <w:r w:rsidRPr="00BD5E91">
        <w:rPr>
          <w:sz w:val="22"/>
          <w:szCs w:val="22"/>
          <w:rtl/>
        </w:rPr>
        <w:t xml:space="preserve"> לשון לגלות</w:t>
      </w:r>
      <w:r>
        <w:rPr>
          <w:rFonts w:hint="cs"/>
          <w:sz w:val="22"/>
          <w:szCs w:val="22"/>
          <w:rtl/>
        </w:rPr>
        <w:t>,</w:t>
      </w:r>
      <w:r w:rsidRPr="00BD5E91">
        <w:rPr>
          <w:sz w:val="22"/>
          <w:szCs w:val="22"/>
          <w:rtl/>
        </w:rPr>
        <w:t xml:space="preserve"> ששם הוא למכסה עתיק:</w:t>
      </w:r>
    </w:p>
  </w:footnote>
  <w:footnote w:id="784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דשכינתא בעייא כו'.</w:t>
      </w:r>
      <w:r w:rsidRPr="00BD5E91">
        <w:rPr>
          <w:sz w:val="22"/>
          <w:szCs w:val="22"/>
          <w:rtl/>
        </w:rPr>
        <w:t xml:space="preserve"> ר"ל זהו בשקתות המים ומאשר ישאבון הנערים כמש"ו:</w:t>
      </w:r>
    </w:p>
  </w:footnote>
  <w:footnote w:id="784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מעולימין.</w:t>
      </w:r>
      <w:r w:rsidRPr="00BD5E91">
        <w:rPr>
          <w:sz w:val="22"/>
          <w:szCs w:val="22"/>
          <w:rtl/>
        </w:rPr>
        <w:t xml:space="preserve"> הנערים הנ"ל:</w:t>
      </w:r>
    </w:p>
  </w:footnote>
  <w:footnote w:id="784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משואבא דאורייתא.</w:t>
      </w:r>
      <w:r w:rsidRPr="00BD5E91">
        <w:rPr>
          <w:sz w:val="22"/>
          <w:szCs w:val="22"/>
          <w:rtl/>
        </w:rPr>
        <w:t xml:space="preserve"> כמ"ש ותמלא כדה. שאמרו כ"ד ספרים דאורייתא מה' עילאה בינה ימא דאורייתא שכלילת עד"א אורייתא כנ"ל וז"ש. דאיהו עד"א:</w:t>
      </w:r>
    </w:p>
  </w:footnote>
  <w:footnote w:id="784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ע"י צדיק.</w:t>
      </w:r>
      <w:r w:rsidRPr="00BD5E91">
        <w:rPr>
          <w:sz w:val="22"/>
          <w:szCs w:val="22"/>
          <w:rtl/>
        </w:rPr>
        <w:t xml:space="preserve"> בועז כנ"ל:</w:t>
      </w:r>
    </w:p>
  </w:footnote>
  <w:footnote w:id="784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דאיהו צעיר.</w:t>
      </w:r>
      <w:r w:rsidRPr="00BD5E91">
        <w:rPr>
          <w:sz w:val="22"/>
          <w:szCs w:val="22"/>
          <w:rtl/>
        </w:rPr>
        <w:t xml:space="preserve"> כנ"ל נער ז"א:</w:t>
      </w:r>
    </w:p>
  </w:footnote>
  <w:footnote w:id="784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ליומין תרין כו'.</w:t>
      </w:r>
      <w:r w:rsidRPr="00BD5E91">
        <w:rPr>
          <w:sz w:val="22"/>
          <w:szCs w:val="22"/>
          <w:rtl/>
        </w:rPr>
        <w:t xml:space="preserve"> ר"ל שהן נקרא ימים שמסט' יומין זעירין ימי שנותינו כו' שצדיק שביעי ומסט' שבעים שנה ושם שתים עשרה עינות מים כנ"ל ושבעים תמרים ולכן תמרים צדיק כתמר כו' וכמ"ש בפ' לך לך בהתחלת מדרש הנעלם שהוא שבעים ע"ש וזהו ימי"ם ים ים דימא עילאה נ' תרעין דילה מתפשטין עד שם:</w:t>
      </w:r>
    </w:p>
  </w:footnote>
  <w:footnote w:id="784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דאינון לקביל כו' ישקני.</w:t>
      </w:r>
      <w:r w:rsidRPr="00BD5E91">
        <w:rPr>
          <w:sz w:val="22"/>
          <w:szCs w:val="22"/>
          <w:rtl/>
        </w:rPr>
        <w:t xml:space="preserve"> ר"ל לשון שקיא כנ"ל לאשתקאה מעולימין ובהם ג"כ הנשיקה וז"ש לקביל תרין שפוון כו':</w:t>
      </w:r>
    </w:p>
  </w:footnote>
  <w:footnote w:id="784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מאי פיהו כו'.</w:t>
      </w:r>
      <w:r w:rsidRPr="00BD5E91">
        <w:rPr>
          <w:sz w:val="22"/>
          <w:szCs w:val="22"/>
          <w:rtl/>
        </w:rPr>
        <w:t xml:space="preserve"> ר"ל למה בתוספת ה' וז"ש פה אל פה שיסוד ג"כ נקרא פה כמש"ל:</w:t>
      </w:r>
    </w:p>
  </w:footnote>
  <w:footnote w:id="784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דפתחין וסגרין.</w:t>
      </w:r>
      <w:r w:rsidRPr="00BD5E91">
        <w:rPr>
          <w:sz w:val="22"/>
          <w:szCs w:val="22"/>
          <w:rtl/>
        </w:rPr>
        <w:t xml:space="preserve"> כמש"ו ואתקריאת מסטריה כו' וכד סתים כו'. והוא כמ"ש בתיקון י"ח ותרין ממנין תמן חד סגרון וחד פתחון מסט' דעד"א פתחון כו' ומסט' דצדיק סגרון כו' שצדיק הוא בסט' דשכינה תתאה כנ"ל אספקלריא דל"נ ונו"ה שני כרובים חד אספקלריא דנהרא וחד אספקלריא דל"נ כמש"ל דף ס"א ע"ג שאיהו בנצח ואיהי בהוד וכד נהיר לה עד"א היא ינקא משני כרובים אז איהי אספקלריא דנהרא אבל משחרב בה"מ לא אשתאר לה אלא חד כרוב כידוע ושני כרובים הנ"ל ב' כרובי עינא נשאר הסגרון לכן ואבד כל חזון:</w:t>
      </w:r>
    </w:p>
  </w:footnote>
  <w:footnote w:id="784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ובת עינא כו'.</w:t>
      </w:r>
      <w:r w:rsidRPr="00BD5E91">
        <w:rPr>
          <w:sz w:val="22"/>
          <w:szCs w:val="22"/>
          <w:rtl/>
        </w:rPr>
        <w:t xml:space="preserve"> כמש"ל אשר פריו יתן בעתו כו' ור"ל ז"ש לעת צאת כו' כמש"ו ועלה אתמר לעת ערב שהיא נקראת ערב ויהי ערב כו' והוא ערב דיצחק וכן צדיק בסט' כנ"ל וזהו לעת ערב מסט' דצדיק מערב:</w:t>
      </w:r>
    </w:p>
  </w:footnote>
  <w:footnote w:id="785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לעת צאת השואבות.</w:t>
      </w:r>
      <w:r w:rsidRPr="00BD5E91">
        <w:rPr>
          <w:sz w:val="22"/>
          <w:szCs w:val="22"/>
          <w:rtl/>
        </w:rPr>
        <w:t xml:space="preserve"> נו"ה כמש"ו ימינא כו'. שהן משקין. תרי נביאי כו'. שהן מוציאין המים משקתות המים שלכן נקראו שואבות ור"ל זהו מעולימין משואבא כו' מאשר ישאבון כו':</w:t>
      </w:r>
    </w:p>
  </w:footnote>
  <w:footnote w:id="785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 שיעורא.</w:t>
      </w:r>
      <w:r w:rsidRPr="00BD5E91">
        <w:rPr>
          <w:sz w:val="22"/>
          <w:szCs w:val="22"/>
          <w:rtl/>
        </w:rPr>
        <w:t xml:space="preserve"> ר"ל זהו שעורים:</w:t>
      </w:r>
    </w:p>
  </w:footnote>
  <w:footnote w:id="785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דתרין שוקין כו'.</w:t>
      </w:r>
      <w:r w:rsidRPr="00BD5E91">
        <w:rPr>
          <w:sz w:val="22"/>
          <w:szCs w:val="22"/>
          <w:rtl/>
        </w:rPr>
        <w:t xml:space="preserve"> ע"י דצדיק כנ"ל לכן וימד בועז:</w:t>
      </w:r>
    </w:p>
  </w:footnote>
  <w:footnote w:id="785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דאינון בשכמל"ו.</w:t>
      </w:r>
      <w:r w:rsidRPr="00BD5E91">
        <w:rPr>
          <w:sz w:val="22"/>
          <w:szCs w:val="22"/>
          <w:rtl/>
        </w:rPr>
        <w:t xml:space="preserve"> שהן כ"ד המים כ"ד אותיות כידוע שהן שואבין ותמלא כדה כנ"ל ובו שית תיבין וזהו שש שעורים וז"ש. ו' תתאה והוא צדיק שנקרא ברוך כידוע וזהו ברוך שם כו' שהוא בצדיק כידוע:</w:t>
      </w:r>
    </w:p>
  </w:footnote>
  <w:footnote w:id="785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ואית שית עילאין כו'.</w:t>
      </w:r>
      <w:r w:rsidRPr="00BD5E91">
        <w:rPr>
          <w:sz w:val="22"/>
          <w:szCs w:val="22"/>
          <w:rtl/>
        </w:rPr>
        <w:t xml:space="preserve"> שהן ג"כ שואבות כנ"ל ושם ג"כ כ"ד אלא שם בתוספת א' בינה שכוללת אותן כנ"ל לכן שם כ"ה אותיות וז"ש. וכלא אשתקיין כו':</w:t>
      </w:r>
    </w:p>
  </w:footnote>
  <w:footnote w:id="785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דאינון שמע כו'.</w:t>
      </w:r>
      <w:r w:rsidRPr="00BD5E91">
        <w:rPr>
          <w:sz w:val="22"/>
          <w:szCs w:val="22"/>
          <w:rtl/>
        </w:rPr>
        <w:t xml:space="preserve"> ו' תיבין ג"כ:</w:t>
      </w:r>
    </w:p>
  </w:footnote>
  <w:footnote w:id="785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ובה אתעבידו אחד.</w:t>
      </w:r>
      <w:r w:rsidRPr="00BD5E91">
        <w:rPr>
          <w:sz w:val="22"/>
          <w:szCs w:val="22"/>
          <w:rtl/>
        </w:rPr>
        <w:t xml:space="preserve"> שאחד גי' י"ג וב' ווין הן י"ב ובה שהוא וא"ו עם א' באמצע גי' י"ג והוא א' שבאחד ואחד באמצע בין שמע שהוא ו' עילאה וזהו ישראל כו' ובין בשכמל"ו ו' תתאה כנ"ל שלכן אומרים שמע ישראל בקול רם ובשכמל"ו בלחש ששם זחלתי ואירא כו' כמש"ל:</w:t>
      </w:r>
    </w:p>
  </w:footnote>
  <w:footnote w:id="785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וישת עליה כו'.</w:t>
      </w:r>
      <w:r w:rsidRPr="00BD5E91">
        <w:rPr>
          <w:sz w:val="22"/>
          <w:szCs w:val="22"/>
          <w:rtl/>
        </w:rPr>
        <w:t xml:space="preserve"> על רות מלכות כנ"ל:</w:t>
      </w:r>
    </w:p>
  </w:footnote>
  <w:footnote w:id="785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ועוד וימד שש שעורים לתתא.</w:t>
      </w:r>
      <w:r w:rsidRPr="00BD5E91">
        <w:rPr>
          <w:sz w:val="22"/>
          <w:szCs w:val="22"/>
          <w:rtl/>
        </w:rPr>
        <w:t xml:space="preserve"> ר"ל במט"ט שהוא בדרגא דו' תתאה כנ"ל וז"ש אינון שית סדרי משנה שהן במט"ט כמש"ל דף ס' ע"ג ודא הוא מט"ט כו' דשליט בשית סדרי משנה וז"ש. ואינון מאכל כו'. שבהן מצמיח חציר לבהמה כידוע ור"ל לכן שעורים שהוא מאכל בהמה כידוע:</w:t>
      </w:r>
    </w:p>
  </w:footnote>
  <w:footnote w:id="785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לבתר דאיהי כנישת כו'.</w:t>
      </w:r>
      <w:r w:rsidRPr="00BD5E91">
        <w:rPr>
          <w:sz w:val="22"/>
          <w:szCs w:val="22"/>
          <w:rtl/>
        </w:rPr>
        <w:t xml:space="preserve"> ר"ל דלא תקשי דכתיב וימד כו' וישת עליה על מלכות לכן אמר לבתר דאיהי כו':</w:t>
      </w:r>
    </w:p>
  </w:footnote>
  <w:footnote w:id="786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זריקת לון.</w:t>
      </w:r>
      <w:r w:rsidRPr="00BD5E91">
        <w:rPr>
          <w:sz w:val="22"/>
          <w:szCs w:val="22"/>
          <w:rtl/>
        </w:rPr>
        <w:t xml:space="preserve"> שאז היא דכורא דוגמת הצדיק דזריק כמש"ל שנקראת אל אדון על כל המעשים כשמקבלים ממנה:</w:t>
      </w:r>
    </w:p>
  </w:footnote>
  <w:footnote w:id="786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הה"ד ותתן כו'.</w:t>
      </w:r>
      <w:r w:rsidRPr="00BD5E91">
        <w:rPr>
          <w:sz w:val="22"/>
          <w:szCs w:val="22"/>
          <w:rtl/>
        </w:rPr>
        <w:t xml:space="preserve"> כמ"ש בזוהר בחקותי שחק הוא תורה שבע"פ ע"ש:</w:t>
      </w:r>
    </w:p>
  </w:footnote>
  <w:footnote w:id="786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ותתן טרף לביתה.</w:t>
      </w:r>
      <w:r w:rsidRPr="00BD5E91">
        <w:rPr>
          <w:sz w:val="22"/>
          <w:szCs w:val="22"/>
          <w:rtl/>
        </w:rPr>
        <w:t xml:space="preserve"> הכסא ששם ביתה כידוע:</w:t>
      </w:r>
    </w:p>
  </w:footnote>
  <w:footnote w:id="786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וחוק לנערותיה.</w:t>
      </w:r>
      <w:r w:rsidRPr="00BD5E91">
        <w:rPr>
          <w:sz w:val="22"/>
          <w:szCs w:val="22"/>
          <w:rtl/>
        </w:rPr>
        <w:t xml:space="preserve"> עולימין דילה ביצירה מסט' דמט"ט נער עלמות אהבוך כמ"ש בע"ב כלהו נערים דאתקריאו ע"ש נער:</w:t>
      </w:r>
    </w:p>
  </w:footnote>
  <w:footnote w:id="786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וכד זריקת כו'.</w:t>
      </w:r>
      <w:r w:rsidRPr="00BD5E91">
        <w:rPr>
          <w:sz w:val="22"/>
          <w:szCs w:val="22"/>
          <w:rtl/>
        </w:rPr>
        <w:t xml:space="preserve"> ר"ל שלכן נקרא השכינה בכ"מ זרקא סגולתא:</w:t>
      </w:r>
    </w:p>
  </w:footnote>
  <w:footnote w:id="786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איהי שכינתא.</w:t>
      </w:r>
      <w:r w:rsidRPr="00BD5E91">
        <w:rPr>
          <w:sz w:val="22"/>
          <w:szCs w:val="22"/>
          <w:rtl/>
        </w:rPr>
        <w:t xml:space="preserve"> שעלה נאמר (שמות יד יט) ויסע מלאך האלקים כו':</w:t>
      </w:r>
    </w:p>
  </w:footnote>
  <w:footnote w:id="786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דאיהו ברכה.</w:t>
      </w:r>
      <w:r w:rsidRPr="00BD5E91">
        <w:rPr>
          <w:sz w:val="22"/>
          <w:szCs w:val="22"/>
          <w:rtl/>
        </w:rPr>
        <w:t xml:space="preserve"> ר"ל זהו יברך את כו' והיא הגואל אותי מכל רע כמ"ש (משלי לא יב) גמלתהו טוב ולא רע כו' והיא המגנת על האדם כידוע:</w:t>
      </w:r>
    </w:p>
  </w:footnote>
  <w:footnote w:id="786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ברכת ה' כו'.</w:t>
      </w:r>
      <w:r w:rsidRPr="00BD5E91">
        <w:rPr>
          <w:sz w:val="22"/>
          <w:szCs w:val="22"/>
          <w:rtl/>
        </w:rPr>
        <w:t xml:space="preserve"> שהיא ותתן טרף כו' כנ"ל ובה (משלי י כב) ולא יוסיף עצב עמה שנאמר (בראשית ג יז) בעצבון תאכלנה והוא רע דע"ה טו"ר אבל בה ולא רע כנ"ל:</w:t>
      </w:r>
    </w:p>
  </w:footnote>
  <w:footnote w:id="786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כלהו נערים.</w:t>
      </w:r>
      <w:r w:rsidRPr="00BD5E91">
        <w:rPr>
          <w:sz w:val="22"/>
          <w:szCs w:val="22"/>
          <w:rtl/>
        </w:rPr>
        <w:t xml:space="preserve"> עולימין וחק לנערותיה כנ"ל:</w:t>
      </w:r>
    </w:p>
  </w:footnote>
  <w:footnote w:id="786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שמי דא כו'.</w:t>
      </w:r>
      <w:r w:rsidRPr="00BD5E91">
        <w:rPr>
          <w:sz w:val="22"/>
          <w:szCs w:val="22"/>
          <w:rtl/>
        </w:rPr>
        <w:t xml:space="preserve"> יעקב ת"ת דאתכליל בבינה בן י"ה כידוע ש' דעד"א עם מי שמי:</w:t>
      </w:r>
    </w:p>
  </w:footnote>
  <w:footnote w:id="7870">
    <w:p w:rsidR="00007309" w:rsidRPr="00BD5E91" w:rsidRDefault="00007309" w:rsidP="00007309">
      <w:pPr>
        <w:jc w:val="both"/>
        <w:rPr>
          <w:rFonts w:cs="Arial"/>
          <w:sz w:val="22"/>
          <w:szCs w:val="22"/>
          <w:rtl/>
        </w:rPr>
      </w:pPr>
      <w:r w:rsidRPr="00BD5E91">
        <w:rPr>
          <w:rStyle w:val="a7"/>
          <w:rFonts w:cs="Arial"/>
          <w:sz w:val="22"/>
          <w:szCs w:val="22"/>
          <w:rtl/>
        </w:rPr>
        <w:footnoteRef/>
      </w:r>
      <w:r w:rsidRPr="00BD5E91">
        <w:rPr>
          <w:rFonts w:cs="Arial"/>
          <w:sz w:val="22"/>
          <w:szCs w:val="22"/>
          <w:rtl/>
        </w:rPr>
        <w:t xml:space="preserve"> </w:t>
      </w:r>
      <w:r w:rsidRPr="00BD5E91">
        <w:rPr>
          <w:rFonts w:cs="Arial"/>
          <w:b/>
          <w:bCs/>
          <w:sz w:val="22"/>
          <w:szCs w:val="22"/>
          <w:rtl/>
        </w:rPr>
        <w:t>הנערים צדיק כו'.</w:t>
      </w:r>
      <w:r w:rsidRPr="00BD5E91">
        <w:rPr>
          <w:rFonts w:cs="Arial"/>
          <w:sz w:val="22"/>
          <w:szCs w:val="22"/>
          <w:rtl/>
        </w:rPr>
        <w:t xml:space="preserve"> כנ"ל וזהו ויקרא בהם בנערים נה"י שמי ושם אבותי בינה וחג"ת כנ"ל דאשתקיין מבינה וחג"ת. וידגו לרוב חכמה. ר"ל וידגו הוא רבוי שפע החכמה ומביא ראיה שנאמר ותרב חכמת כו' וכאן נאמר לרוב שנו"ה נקראין דגים דאתרביאו במים כמ"ש במעשה בראשית:</w:t>
      </w:r>
    </w:p>
  </w:footnote>
  <w:footnote w:id="787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חכמת שלמה.</w:t>
      </w:r>
      <w:r w:rsidRPr="00BD5E91">
        <w:rPr>
          <w:sz w:val="22"/>
          <w:szCs w:val="22"/>
          <w:rtl/>
        </w:rPr>
        <w:t xml:space="preserve"> חכמה זעירא מלכות והוא בנה"י שם מגעת חכמתה כנ"ל ומסט' נתחכם כידוע שלכן וידבר על העצים כו' לפי שמלכות כוללת הכל:</w:t>
      </w:r>
    </w:p>
  </w:footnote>
  <w:footnote w:id="787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דתתרבי ותסגי כו'.</w:t>
      </w:r>
      <w:r w:rsidRPr="00BD5E91">
        <w:rPr>
          <w:sz w:val="22"/>
          <w:szCs w:val="22"/>
          <w:rtl/>
        </w:rPr>
        <w:t xml:space="preserve"> חכמת שלמה מלכות תתרבי בתוך הצדיקים שכל רבויה הוא מצדיקים כידוע וזהו בקרב הארץ כמש"ו:</w:t>
      </w:r>
    </w:p>
  </w:footnote>
  <w:footnote w:id="787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באלין דאיתמר כו'.</w:t>
      </w:r>
      <w:r w:rsidRPr="00BD5E91">
        <w:rPr>
          <w:sz w:val="22"/>
          <w:szCs w:val="22"/>
          <w:rtl/>
        </w:rPr>
        <w:t xml:space="preserve"> שהן עפר הארץ עפר מארץ כמש"ל דף ע"ד ע"ד ורבים מישני אדמת עפר כו':</w:t>
      </w:r>
    </w:p>
  </w:footnote>
  <w:footnote w:id="787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ולא תתפסק כו'.</w:t>
      </w:r>
      <w:r w:rsidRPr="00BD5E91">
        <w:rPr>
          <w:sz w:val="22"/>
          <w:szCs w:val="22"/>
          <w:rtl/>
        </w:rPr>
        <w:t xml:space="preserve"> ר"ל זהו וידגו כמו מים שתמלא הארץ דעה ויהיה כלו מים כל הארץ במים כמ"ש ומלאה הארץ דעה את ה' כמים לים מכסים והוא שקיו דחכמתא כנ"ל ואז וידגו לרוב בקרב הארץ שישוטו בארץ והן התנינים הגדולים תנינא דמתני' דמתרבי בימא דאורייתא כמ"ש בר"מ:</w:t>
      </w:r>
    </w:p>
  </w:footnote>
  <w:footnote w:id="787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ועוד וידי אדם אית כו'.</w:t>
      </w:r>
      <w:r w:rsidRPr="00BD5E91">
        <w:rPr>
          <w:sz w:val="22"/>
          <w:szCs w:val="22"/>
          <w:rtl/>
        </w:rPr>
        <w:t xml:space="preserve"> הן ידין דמטרוניתא ולמעלה ידין מסט' דקב"ה וכן בכל התיקון חשיב אברים מסט' דקב"ה ומסט' דשכינה:</w:t>
      </w:r>
    </w:p>
  </w:footnote>
  <w:footnote w:id="787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מלאכי אלקים כו'.</w:t>
      </w:r>
      <w:r w:rsidRPr="00BD5E91">
        <w:rPr>
          <w:sz w:val="22"/>
          <w:szCs w:val="22"/>
          <w:rtl/>
        </w:rPr>
        <w:t xml:space="preserve"> שאלקים הוא שכינה:</w:t>
      </w:r>
    </w:p>
  </w:footnote>
  <w:footnote w:id="787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בההוא ב"נ.</w:t>
      </w:r>
      <w:r w:rsidRPr="00BD5E91">
        <w:rPr>
          <w:sz w:val="22"/>
          <w:szCs w:val="22"/>
          <w:rtl/>
        </w:rPr>
        <w:t xml:space="preserve"> ר"ל זהו בו:</w:t>
      </w:r>
    </w:p>
  </w:footnote>
  <w:footnote w:id="787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דסלקא כו'.</w:t>
      </w:r>
      <w:r w:rsidRPr="00BD5E91">
        <w:rPr>
          <w:sz w:val="22"/>
          <w:szCs w:val="22"/>
          <w:rtl/>
        </w:rPr>
        <w:t xml:space="preserve"> ר"ל זהו עולים ויורדים שכל עלייה הוא בקב"ה וירידה בשכינה דשכינה סליקת את הדורון לקב"ה והקב"ה מוריד לה השפע:</w:t>
      </w:r>
    </w:p>
  </w:footnote>
  <w:footnote w:id="787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שליחן דמטרוניתא.</w:t>
      </w:r>
      <w:r w:rsidRPr="00BD5E91">
        <w:rPr>
          <w:sz w:val="22"/>
          <w:szCs w:val="22"/>
          <w:rtl/>
        </w:rPr>
        <w:t xml:space="preserve"> מלאכי אלקים הנ"ל:</w:t>
      </w:r>
    </w:p>
  </w:footnote>
  <w:footnote w:id="788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וכל מה דמטרוניתא כו'.</w:t>
      </w:r>
      <w:r w:rsidRPr="00BD5E91">
        <w:rPr>
          <w:sz w:val="22"/>
          <w:szCs w:val="22"/>
          <w:rtl/>
        </w:rPr>
        <w:t xml:space="preserve"> ר"ל זהו וידי אדם עד"א כידוע ור"ל וידי רשותו כמ"ש (ספרי מטות קנ"ז) בידו ברשותו ולכן נקראין ידי המלאכין הנ"ל ידי אדם:</w:t>
      </w:r>
    </w:p>
  </w:footnote>
  <w:footnote w:id="788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וא"ל עאלין כו'.</w:t>
      </w:r>
      <w:r w:rsidRPr="00BD5E91">
        <w:rPr>
          <w:sz w:val="22"/>
          <w:szCs w:val="22"/>
          <w:rtl/>
        </w:rPr>
        <w:t xml:space="preserve"> דאין השם נשלם דדחילו ורחימו הן י"ה:</w:t>
      </w:r>
    </w:p>
  </w:footnote>
  <w:footnote w:id="788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זכאה איהו כו' אבל לאחרנין כו'.</w:t>
      </w:r>
      <w:r w:rsidRPr="00BD5E91">
        <w:rPr>
          <w:sz w:val="22"/>
          <w:szCs w:val="22"/>
          <w:rtl/>
        </w:rPr>
        <w:t xml:space="preserve"> שהן ג' דרגין צדיקים ובינונים ורשעים שאמר לעיל ואם לא עאלין כו' כמ"ש בתיקון י"ח ע"ש:</w:t>
      </w:r>
    </w:p>
  </w:footnote>
  <w:footnote w:id="788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היכלא אתפתח.</w:t>
      </w:r>
      <w:r w:rsidRPr="00BD5E91">
        <w:rPr>
          <w:sz w:val="22"/>
          <w:szCs w:val="22"/>
          <w:rtl/>
        </w:rPr>
        <w:t xml:space="preserve"> כמ"ש אדני שהוא גי' היכל כידוע שפתי תפתח כמ"ש למטה:</w:t>
      </w:r>
    </w:p>
  </w:footnote>
  <w:footnote w:id="788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וקב"ה יהיב כו'.</w:t>
      </w:r>
      <w:r w:rsidRPr="00BD5E91">
        <w:rPr>
          <w:sz w:val="22"/>
          <w:szCs w:val="22"/>
          <w:rtl/>
        </w:rPr>
        <w:t xml:space="preserve"> כמ"ש (ישעיהו נ ד) אדני יקו"ק נתן לי לשון למודים</w:t>
      </w:r>
      <w:r>
        <w:rPr>
          <w:rFonts w:hint="cs"/>
          <w:sz w:val="22"/>
          <w:szCs w:val="22"/>
          <w:rtl/>
        </w:rPr>
        <w:t>.</w:t>
      </w:r>
      <w:r w:rsidRPr="00BD5E91">
        <w:rPr>
          <w:sz w:val="22"/>
          <w:szCs w:val="22"/>
          <w:rtl/>
        </w:rPr>
        <w:t xml:space="preserve"> אדני הוא היכל</w:t>
      </w:r>
      <w:r>
        <w:rPr>
          <w:rFonts w:hint="cs"/>
          <w:sz w:val="22"/>
          <w:szCs w:val="22"/>
          <w:rtl/>
        </w:rPr>
        <w:t>,</w:t>
      </w:r>
      <w:r w:rsidRPr="00BD5E91">
        <w:rPr>
          <w:sz w:val="22"/>
          <w:szCs w:val="22"/>
          <w:rtl/>
        </w:rPr>
        <w:t xml:space="preserve"> שם יקו"ק קב"ה נתן לי כו':</w:t>
      </w:r>
    </w:p>
  </w:footnote>
  <w:footnote w:id="788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ושוי לון דבורא כו'.</w:t>
      </w:r>
      <w:r w:rsidRPr="00BD5E91">
        <w:rPr>
          <w:sz w:val="22"/>
          <w:szCs w:val="22"/>
          <w:rtl/>
        </w:rPr>
        <w:t xml:space="preserve"> וזהו תפתח היכלא ופי יגיד כו':</w:t>
      </w:r>
    </w:p>
  </w:footnote>
  <w:footnote w:id="788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את ידו.</w:t>
      </w:r>
      <w:r w:rsidRPr="00BD5E91">
        <w:rPr>
          <w:sz w:val="22"/>
          <w:szCs w:val="22"/>
          <w:rtl/>
        </w:rPr>
        <w:t xml:space="preserve"> הוא השכינה שנק' יד כמ"ש בריש תי"ח:</w:t>
      </w:r>
    </w:p>
  </w:footnote>
  <w:footnote w:id="788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דברי בפיך.</w:t>
      </w:r>
      <w:r w:rsidRPr="00BD5E91">
        <w:rPr>
          <w:sz w:val="22"/>
          <w:szCs w:val="22"/>
          <w:rtl/>
        </w:rPr>
        <w:t xml:space="preserve"> דבור מסט' דמלכות וז"ש ועלייהו איתמר וביד כו' ודברתי כו':</w:t>
      </w:r>
    </w:p>
  </w:footnote>
  <w:footnote w:id="788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בדיבור ממש.</w:t>
      </w:r>
      <w:r w:rsidRPr="00BD5E91">
        <w:rPr>
          <w:sz w:val="22"/>
          <w:szCs w:val="22"/>
          <w:rtl/>
        </w:rPr>
        <w:t xml:space="preserve"> שהן מארי דפומא:</w:t>
      </w:r>
    </w:p>
  </w:footnote>
  <w:footnote w:id="788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בחיוון דיליה.</w:t>
      </w:r>
      <w:r w:rsidRPr="00BD5E91">
        <w:rPr>
          <w:sz w:val="22"/>
          <w:szCs w:val="22"/>
          <w:rtl/>
        </w:rPr>
        <w:t xml:space="preserve"> שהן בסט' דהויה כידוע בד' אותיות:</w:t>
      </w:r>
    </w:p>
  </w:footnote>
  <w:footnote w:id="789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מנהון עאלין כו'.</w:t>
      </w:r>
      <w:r w:rsidRPr="00BD5E91">
        <w:rPr>
          <w:sz w:val="22"/>
          <w:szCs w:val="22"/>
          <w:rtl/>
        </w:rPr>
        <w:t xml:space="preserve"> מ"מ כולם נכללין בו שלכן בכ"א ד' אנפין ד' אותיות הויה כמש"ל שלכן נחית קב"ה בכל חיה:</w:t>
      </w:r>
    </w:p>
  </w:footnote>
  <w:footnote w:id="789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ואית מאן כו'.</w:t>
      </w:r>
      <w:r w:rsidRPr="00BD5E91">
        <w:rPr>
          <w:sz w:val="22"/>
          <w:szCs w:val="22"/>
          <w:rtl/>
        </w:rPr>
        <w:t xml:space="preserve"> הוא משה רבינו כמש"ו:</w:t>
      </w:r>
    </w:p>
  </w:footnote>
  <w:footnote w:id="789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ואם כו' אדני שפתי כו'.</w:t>
      </w:r>
      <w:r w:rsidRPr="00BD5E91">
        <w:rPr>
          <w:sz w:val="22"/>
          <w:szCs w:val="22"/>
          <w:rtl/>
        </w:rPr>
        <w:t xml:space="preserve"> שאיהי לא מלילת כו' כנ"ל:</w:t>
      </w:r>
    </w:p>
  </w:footnote>
  <w:footnote w:id="789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ואם שם כו'.</w:t>
      </w:r>
      <w:r w:rsidRPr="00BD5E91">
        <w:rPr>
          <w:sz w:val="22"/>
          <w:szCs w:val="22"/>
          <w:rtl/>
        </w:rPr>
        <w:t xml:space="preserve"> שיש דיוקנין למטה ביצירה ועשייה כידוע וז"ש כפום דיוקניהון כו':</w:t>
      </w:r>
    </w:p>
  </w:footnote>
  <w:footnote w:id="789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ש' מן משה כו'.</w:t>
      </w:r>
      <w:r w:rsidRPr="00BD5E91">
        <w:rPr>
          <w:sz w:val="22"/>
          <w:szCs w:val="22"/>
          <w:rtl/>
        </w:rPr>
        <w:t xml:space="preserve"> תלת אבהן ג' ווין של ויסע ויבא ויט:</w:t>
      </w:r>
    </w:p>
  </w:footnote>
  <w:footnote w:id="789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ואמרו לי כו'.</w:t>
      </w:r>
      <w:r w:rsidRPr="00BD5E91">
        <w:rPr>
          <w:sz w:val="22"/>
          <w:szCs w:val="22"/>
          <w:rtl/>
        </w:rPr>
        <w:t xml:space="preserve"> ס"ת הוי"ה מה שמו הוא משה ששמו מ"ה כידוע שהוא אדם:</w:t>
      </w:r>
    </w:p>
  </w:footnote>
  <w:footnote w:id="789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פה אל פה.</w:t>
      </w:r>
      <w:r w:rsidRPr="00BD5E91">
        <w:rPr>
          <w:sz w:val="22"/>
          <w:szCs w:val="22"/>
          <w:rtl/>
        </w:rPr>
        <w:t xml:space="preserve"> שבפה כל הד' חיוון כמ"ש לעיל לשון למודים, לשון הוא יסוד, למודים הן נו"ה למודי ה' והן השפתים שעליהן נאמר שפתי תפתח ששם פתחון וסגרון כמש"ל ופה הוא מלכות והן ד' חיוון כידוע ופה עצמו אדם דרגא דמשה וזהו פה כו':</w:t>
      </w:r>
    </w:p>
  </w:footnote>
  <w:footnote w:id="789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באנפהא דמטרוניתא.</w:t>
      </w:r>
      <w:r w:rsidRPr="00BD5E91">
        <w:rPr>
          <w:sz w:val="22"/>
          <w:szCs w:val="22"/>
          <w:rtl/>
        </w:rPr>
        <w:t xml:space="preserve"> שהיא</w:t>
      </w:r>
      <w:r>
        <w:rPr>
          <w:rFonts w:hint="cs"/>
          <w:sz w:val="22"/>
          <w:szCs w:val="22"/>
          <w:rtl/>
        </w:rPr>
        <w:t xml:space="preserve"> </w:t>
      </w:r>
      <w:r w:rsidRPr="00BD5E91">
        <w:rPr>
          <w:sz w:val="22"/>
          <w:szCs w:val="22"/>
          <w:rtl/>
        </w:rPr>
        <w:t>אתחזיא לון באנפהא שהן מארי דאנפין:</w:t>
      </w:r>
    </w:p>
  </w:footnote>
  <w:footnote w:id="789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ונפלין על כו'.</w:t>
      </w:r>
      <w:r w:rsidRPr="00BD5E91">
        <w:rPr>
          <w:sz w:val="22"/>
          <w:szCs w:val="22"/>
          <w:rtl/>
        </w:rPr>
        <w:t xml:space="preserve"> שהוא מסט' דמארי דאנפין וכן נאמר במשה ויסתר משה שהוא כליל מכל אברים כמ"ש בריש תי"ח:</w:t>
      </w:r>
    </w:p>
  </w:footnote>
  <w:footnote w:id="789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דאינון אתוון.</w:t>
      </w:r>
      <w:r w:rsidRPr="00BD5E91">
        <w:rPr>
          <w:sz w:val="22"/>
          <w:szCs w:val="22"/>
          <w:rtl/>
        </w:rPr>
        <w:t xml:space="preserve"> ר"ל האופנים כמש"ל דף ס"א ע"א וז"ש ואתוון מניה. ר"ל מן האופנים:</w:t>
      </w:r>
    </w:p>
  </w:footnote>
  <w:footnote w:id="790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אינון מלאות כו'.</w:t>
      </w:r>
      <w:r w:rsidRPr="00BD5E91">
        <w:rPr>
          <w:sz w:val="22"/>
          <w:szCs w:val="22"/>
          <w:rtl/>
        </w:rPr>
        <w:t xml:space="preserve"> ר"ל האותיות:</w:t>
      </w:r>
    </w:p>
  </w:footnote>
  <w:footnote w:id="790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דאינון כל פיקודא כו'.</w:t>
      </w:r>
      <w:r w:rsidRPr="00BD5E91">
        <w:rPr>
          <w:sz w:val="22"/>
          <w:szCs w:val="22"/>
          <w:rtl/>
        </w:rPr>
        <w:t xml:space="preserve"> דמצות הן בשכינה ששם האותיות וכן באופנים:</w:t>
      </w:r>
    </w:p>
  </w:footnote>
  <w:footnote w:id="790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מאירת עיניים.</w:t>
      </w:r>
      <w:r w:rsidRPr="00BD5E91">
        <w:rPr>
          <w:sz w:val="22"/>
          <w:szCs w:val="22"/>
          <w:rtl/>
        </w:rPr>
        <w:t xml:space="preserve"> ר"ל וזהו עינים הנ"ל:</w:t>
      </w:r>
    </w:p>
  </w:footnote>
  <w:footnote w:id="790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משגיח כו'.</w:t>
      </w:r>
      <w:r w:rsidRPr="00BD5E91">
        <w:rPr>
          <w:sz w:val="22"/>
          <w:szCs w:val="22"/>
          <w:rtl/>
        </w:rPr>
        <w:t xml:space="preserve"> שהן העינים חלונות דגופא כידוע:</w:t>
      </w:r>
    </w:p>
  </w:footnote>
  <w:footnote w:id="790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אבל לא כו' ואתמר בהון כו'.</w:t>
      </w:r>
      <w:r w:rsidRPr="00BD5E91">
        <w:rPr>
          <w:sz w:val="22"/>
          <w:szCs w:val="22"/>
          <w:rtl/>
        </w:rPr>
        <w:t xml:space="preserve"> ר"ל שלכן נאמר ואראה כמי שרואה את המלך מרחוק ולא נכנס להיכלו כמ"ש (ירמיהו לא ב) מרחוק ה' נראה לי שאותו שנכנס להיכל אין אומר שראה אותו אלא שהיה אצלו:</w:t>
      </w:r>
    </w:p>
  </w:footnote>
  <w:footnote w:id="790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דודאי לא כו'.</w:t>
      </w:r>
      <w:r w:rsidRPr="00BD5E91">
        <w:rPr>
          <w:sz w:val="22"/>
          <w:szCs w:val="22"/>
          <w:rtl/>
        </w:rPr>
        <w:t xml:space="preserve"> ר"ל של"ת שראה את קב"ה שלכן נאמר ואראה:</w:t>
      </w:r>
    </w:p>
  </w:footnote>
  <w:footnote w:id="790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דאיהו מראה כו'.</w:t>
      </w:r>
      <w:r w:rsidRPr="00BD5E91">
        <w:rPr>
          <w:sz w:val="22"/>
          <w:szCs w:val="22"/>
          <w:rtl/>
        </w:rPr>
        <w:t xml:space="preserve"> ר"ל זהו את ה' שע"י משיגין ה' וכ"ה נקראת [נראה חסר מלת את. המעתיק] שבה כ"ב אתוון מא' עד ת' כידוע:</w:t>
      </w:r>
    </w:p>
  </w:footnote>
  <w:footnote w:id="790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מארי דאודנין.</w:t>
      </w:r>
      <w:r w:rsidRPr="00BD5E91">
        <w:rPr>
          <w:sz w:val="22"/>
          <w:szCs w:val="22"/>
          <w:rtl/>
        </w:rPr>
        <w:t xml:space="preserve"> כמו חבקוק (ג ב) ה' שמעתי כמש"ו:</w:t>
      </w:r>
    </w:p>
  </w:footnote>
  <w:footnote w:id="790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ואינון זריזין.</w:t>
      </w:r>
      <w:r w:rsidRPr="00BD5E91">
        <w:rPr>
          <w:sz w:val="22"/>
          <w:szCs w:val="22"/>
          <w:rtl/>
        </w:rPr>
        <w:t xml:space="preserve"> שזריזות מביאה לידי יראה כמ"ש בסוטה (משנה סוטה ט טו, עיי"ש. ועי' ע"ז כ ע"ב) וזהו שמעך יראתי:</w:t>
      </w:r>
    </w:p>
  </w:footnote>
  <w:footnote w:id="7909">
    <w:p w:rsidR="00007309" w:rsidRPr="00BD5E91" w:rsidRDefault="00007309" w:rsidP="00007309">
      <w:pPr>
        <w:jc w:val="both"/>
        <w:rPr>
          <w:rFonts w:cs="Arial"/>
          <w:sz w:val="22"/>
          <w:szCs w:val="22"/>
          <w:rtl/>
        </w:rPr>
      </w:pPr>
      <w:r w:rsidRPr="00BD5E91">
        <w:rPr>
          <w:rStyle w:val="a7"/>
          <w:rFonts w:cs="Arial"/>
          <w:sz w:val="22"/>
          <w:szCs w:val="22"/>
          <w:rtl/>
        </w:rPr>
        <w:footnoteRef/>
      </w:r>
      <w:r w:rsidRPr="00BD5E91">
        <w:rPr>
          <w:rFonts w:cs="Arial"/>
          <w:sz w:val="22"/>
          <w:szCs w:val="22"/>
          <w:rtl/>
        </w:rPr>
        <w:t xml:space="preserve"> </w:t>
      </w:r>
      <w:r w:rsidRPr="00BD5E91">
        <w:rPr>
          <w:rFonts w:cs="Arial"/>
          <w:b/>
          <w:bCs/>
          <w:sz w:val="22"/>
          <w:szCs w:val="22"/>
          <w:rtl/>
        </w:rPr>
        <w:t>למצות.</w:t>
      </w:r>
      <w:r w:rsidRPr="00BD5E91">
        <w:rPr>
          <w:rFonts w:cs="Arial"/>
          <w:sz w:val="22"/>
          <w:szCs w:val="22"/>
          <w:rtl/>
        </w:rPr>
        <w:t xml:space="preserve"> שהוא בשכינה ששם היראה:</w:t>
      </w:r>
    </w:p>
  </w:footnote>
  <w:footnote w:id="791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והוו קראן ק"ש כו'.</w:t>
      </w:r>
      <w:r w:rsidRPr="00BD5E91">
        <w:rPr>
          <w:sz w:val="22"/>
          <w:szCs w:val="22"/>
          <w:rtl/>
        </w:rPr>
        <w:t xml:space="preserve"> שק"ש הוא שמיעה שמע ישראל ואמרו (ברכות טו ע"א) שמע השמע לאזניך כו'. וז"ש מארי דאודנין כו':</w:t>
      </w:r>
    </w:p>
  </w:footnote>
  <w:footnote w:id="791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עם דמדומי חמה.</w:t>
      </w:r>
      <w:r w:rsidRPr="00BD5E91">
        <w:rPr>
          <w:sz w:val="22"/>
          <w:szCs w:val="22"/>
          <w:rtl/>
        </w:rPr>
        <w:t xml:space="preserve"> וז"ש ואינון זריזין כו' והוא בדרגא דיראה כמ"ש (ברכות ט ע"ב) ותיקין היו משלימין כו' מאי קרא ייראוך עם שמש וזהו ה' שמעתי שמעך יראתי:</w:t>
      </w:r>
    </w:p>
  </w:footnote>
  <w:footnote w:id="791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הות נפקא כו'.</w:t>
      </w:r>
      <w:r w:rsidRPr="00BD5E91">
        <w:rPr>
          <w:sz w:val="22"/>
          <w:szCs w:val="22"/>
          <w:rtl/>
        </w:rPr>
        <w:t xml:space="preserve"> ששמיעה הוא שייך [נראה חסר מלת בהליכה. המעתיק] ששמעו שהוא הולך כמ"ש (בראשית ג ח) וישמעו את קול ה' אלקים מתהלך כו':</w:t>
      </w:r>
    </w:p>
  </w:footnote>
  <w:footnote w:id="791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דאיהו ישראל.</w:t>
      </w:r>
      <w:r w:rsidRPr="00BD5E91">
        <w:rPr>
          <w:sz w:val="22"/>
          <w:szCs w:val="22"/>
          <w:rtl/>
        </w:rPr>
        <w:t xml:space="preserve"> ר"ל דשמיעה הוא בשכינה כמ"ש בזוהר פ' בחקותי שכל שמיעה הוא בשכינה כנ"ל והן אומרים שמע לחבר עם ישראל ולכן היו מכוונים עם דמדומי חמה שאז הוא חיבור יום ולילה זיווגא דקב"ה ושכינתא ולכן באותו רגע היו סומכין גאולה לתפלה:</w:t>
      </w:r>
    </w:p>
  </w:footnote>
  <w:footnote w:id="791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ועלייהו כו'.</w:t>
      </w:r>
      <w:r w:rsidRPr="00BD5E91">
        <w:rPr>
          <w:sz w:val="22"/>
          <w:szCs w:val="22"/>
          <w:rtl/>
        </w:rPr>
        <w:t xml:space="preserve"> ר"ל מארי דאודנין:</w:t>
      </w:r>
    </w:p>
  </w:footnote>
  <w:footnote w:id="791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דכל נביאים כו'.</w:t>
      </w:r>
      <w:r w:rsidRPr="00BD5E91">
        <w:rPr>
          <w:sz w:val="22"/>
          <w:szCs w:val="22"/>
          <w:rtl/>
        </w:rPr>
        <w:t xml:space="preserve"> חוזר לתחילת התיקון י"ח שאמר ולא עוד אלא דנביאיא אחרנין כו' בשעתין ידיעאן כו' ואנת בכל כו' ולא עוד כו' באברין דמלכא כל חד כו' אבל משה בכל כו':</w:t>
      </w:r>
    </w:p>
  </w:footnote>
  <w:footnote w:id="791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ואלין אינון עשר אמירן כו'.</w:t>
      </w:r>
      <w:r w:rsidRPr="00BD5E91">
        <w:rPr>
          <w:sz w:val="22"/>
          <w:szCs w:val="22"/>
          <w:rtl/>
        </w:rPr>
        <w:t xml:space="preserve"> וכלהו נקוד בר"ת של הפסוקים והן עשר הויות ולא חשיב ויאמר אלקים נעשה אדם לפי שבו לא היתה בריאה אלא המלכה במלאכים שאח"כ בפ' אחר כתיב ויברא אלקים את האדם כו'. והוא נברא בכל העשרה מאמרות ול"ב שבילן שעליו נאמר וירא אלקים את כל כו' שהוא כלול מן הכל שזהו בצלמנו כו' מהכל כידוע:</w:t>
      </w:r>
    </w:p>
  </w:footnote>
  <w:footnote w:id="791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אלין אינון ל"ב כו'.</w:t>
      </w:r>
      <w:r w:rsidRPr="00BD5E91">
        <w:rPr>
          <w:sz w:val="22"/>
          <w:szCs w:val="22"/>
          <w:rtl/>
        </w:rPr>
        <w:t xml:space="preserve"> והכל נפיק מחכמה</w:t>
      </w:r>
      <w:r>
        <w:rPr>
          <w:rFonts w:hint="cs"/>
          <w:sz w:val="22"/>
          <w:szCs w:val="22"/>
          <w:rtl/>
        </w:rPr>
        <w:t>.</w:t>
      </w:r>
      <w:r w:rsidRPr="00BD5E91">
        <w:rPr>
          <w:sz w:val="22"/>
          <w:szCs w:val="22"/>
          <w:rtl/>
        </w:rPr>
        <w:t xml:space="preserve"> ל"ב נתיבות חכמה</w:t>
      </w:r>
      <w:r>
        <w:rPr>
          <w:rFonts w:hint="cs"/>
          <w:sz w:val="22"/>
          <w:szCs w:val="22"/>
          <w:rtl/>
        </w:rPr>
        <w:t>.</w:t>
      </w:r>
      <w:r w:rsidRPr="00BD5E91">
        <w:rPr>
          <w:sz w:val="22"/>
          <w:szCs w:val="22"/>
          <w:rtl/>
        </w:rPr>
        <w:t xml:space="preserve"> וי' אמרין ע</w:t>
      </w:r>
      <w:r>
        <w:rPr>
          <w:rFonts w:hint="cs"/>
          <w:sz w:val="22"/>
          <w:szCs w:val="22"/>
          <w:rtl/>
        </w:rPr>
        <w:t>שר ספירות,</w:t>
      </w:r>
      <w:r w:rsidRPr="00BD5E91">
        <w:rPr>
          <w:sz w:val="22"/>
          <w:szCs w:val="22"/>
          <w:rtl/>
        </w:rPr>
        <w:t xml:space="preserve"> שהן בחכמה כידוע ששם יוד דשם כמש"ל </w:t>
      </w:r>
      <w:r>
        <w:rPr>
          <w:rFonts w:hint="cs"/>
          <w:sz w:val="22"/>
          <w:szCs w:val="22"/>
          <w:rtl/>
        </w:rPr>
        <w:t>ד</w:t>
      </w:r>
      <w:r w:rsidRPr="00BD5E91">
        <w:rPr>
          <w:sz w:val="22"/>
          <w:szCs w:val="22"/>
          <w:rtl/>
        </w:rPr>
        <w:t>ף ע"ג ע"א ועשר חכמות אתקריאו ע"ס מסטריה</w:t>
      </w:r>
      <w:r>
        <w:rPr>
          <w:rFonts w:hint="cs"/>
          <w:sz w:val="22"/>
          <w:szCs w:val="22"/>
          <w:rtl/>
        </w:rPr>
        <w:t>.</w:t>
      </w:r>
      <w:r w:rsidRPr="00BD5E91">
        <w:rPr>
          <w:sz w:val="22"/>
          <w:szCs w:val="22"/>
          <w:rtl/>
        </w:rPr>
        <w:t xml:space="preserve"> וכלהו כלילן בבינה ששם שם מ"ב</w:t>
      </w:r>
      <w:r>
        <w:rPr>
          <w:rFonts w:hint="cs"/>
          <w:sz w:val="22"/>
          <w:szCs w:val="22"/>
          <w:rtl/>
        </w:rPr>
        <w:t>,</w:t>
      </w:r>
      <w:r w:rsidRPr="00BD5E91">
        <w:rPr>
          <w:sz w:val="22"/>
          <w:szCs w:val="22"/>
          <w:rtl/>
        </w:rPr>
        <w:t xml:space="preserve"> ב"פ אקי"ק</w:t>
      </w:r>
      <w:r>
        <w:rPr>
          <w:rFonts w:hint="cs"/>
          <w:sz w:val="22"/>
          <w:szCs w:val="22"/>
          <w:rtl/>
        </w:rPr>
        <w:t>,</w:t>
      </w:r>
      <w:r w:rsidRPr="00BD5E91">
        <w:rPr>
          <w:sz w:val="22"/>
          <w:szCs w:val="22"/>
          <w:rtl/>
        </w:rPr>
        <w:t xml:space="preserve"> אקי"ק אשר אקי"ק כידוע ומסט' שם מ"ב דלקמן</w:t>
      </w:r>
      <w:r>
        <w:rPr>
          <w:rFonts w:hint="cs"/>
          <w:sz w:val="22"/>
          <w:szCs w:val="22"/>
          <w:rtl/>
        </w:rPr>
        <w:t>.</w:t>
      </w:r>
      <w:r w:rsidRPr="00BD5E91">
        <w:rPr>
          <w:sz w:val="22"/>
          <w:szCs w:val="22"/>
          <w:rtl/>
        </w:rPr>
        <w:t xml:space="preserve"> וכן שבע מרגלאן דר"מ פ' יתרו</w:t>
      </w:r>
      <w:r>
        <w:rPr>
          <w:rFonts w:hint="cs"/>
          <w:sz w:val="22"/>
          <w:szCs w:val="22"/>
          <w:rtl/>
        </w:rPr>
        <w:t>.</w:t>
      </w:r>
      <w:r w:rsidRPr="00BD5E91">
        <w:rPr>
          <w:sz w:val="22"/>
          <w:szCs w:val="22"/>
          <w:rtl/>
        </w:rPr>
        <w:t xml:space="preserve"> ובה מתפרשין מ"ב</w:t>
      </w:r>
      <w:r>
        <w:rPr>
          <w:rFonts w:hint="cs"/>
          <w:sz w:val="22"/>
          <w:szCs w:val="22"/>
          <w:rtl/>
        </w:rPr>
        <w:t>,</w:t>
      </w:r>
      <w:r w:rsidRPr="00BD5E91">
        <w:rPr>
          <w:sz w:val="22"/>
          <w:szCs w:val="22"/>
          <w:rtl/>
        </w:rPr>
        <w:t xml:space="preserve"> שלכך הן ל"ב אלקים שבבינה</w:t>
      </w:r>
      <w:r>
        <w:rPr>
          <w:rFonts w:hint="cs"/>
          <w:sz w:val="22"/>
          <w:szCs w:val="22"/>
          <w:rtl/>
        </w:rPr>
        <w:t>,</w:t>
      </w:r>
      <w:r w:rsidRPr="00BD5E91">
        <w:rPr>
          <w:sz w:val="22"/>
          <w:szCs w:val="22"/>
          <w:rtl/>
        </w:rPr>
        <w:t xml:space="preserve"> שהיא נקראת אלקים חיים כידוע:</w:t>
      </w:r>
    </w:p>
  </w:footnote>
  <w:footnote w:id="791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 ויכל כו' אלין תלתא כו'.</w:t>
      </w:r>
      <w:r w:rsidRPr="00BD5E91">
        <w:rPr>
          <w:sz w:val="22"/>
          <w:szCs w:val="22"/>
          <w:rtl/>
        </w:rPr>
        <w:t xml:space="preserve"> הן ג' טפין דמ"</w:t>
      </w:r>
      <w:r>
        <w:rPr>
          <w:rFonts w:hint="cs"/>
          <w:sz w:val="22"/>
          <w:szCs w:val="22"/>
          <w:rtl/>
        </w:rPr>
        <w:t>ס</w:t>
      </w:r>
      <w:r w:rsidRPr="00BD5E91">
        <w:rPr>
          <w:sz w:val="22"/>
          <w:szCs w:val="22"/>
          <w:rtl/>
        </w:rPr>
        <w:t xml:space="preserve"> כנ"ל:</w:t>
      </w:r>
    </w:p>
  </w:footnote>
  <w:footnote w:id="791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בלבת אש.</w:t>
      </w:r>
      <w:r w:rsidRPr="00BD5E91">
        <w:rPr>
          <w:sz w:val="22"/>
          <w:szCs w:val="22"/>
          <w:rtl/>
        </w:rPr>
        <w:t xml:space="preserve"> ר"ל לב בת</w:t>
      </w:r>
      <w:r>
        <w:rPr>
          <w:rFonts w:hint="cs"/>
          <w:sz w:val="22"/>
          <w:szCs w:val="22"/>
          <w:rtl/>
        </w:rPr>
        <w:t>,</w:t>
      </w:r>
      <w:r w:rsidRPr="00BD5E91">
        <w:rPr>
          <w:sz w:val="22"/>
          <w:szCs w:val="22"/>
          <w:rtl/>
        </w:rPr>
        <w:t xml:space="preserve"> לב ל"ב שבילן</w:t>
      </w:r>
      <w:r>
        <w:rPr>
          <w:rFonts w:hint="cs"/>
          <w:sz w:val="22"/>
          <w:szCs w:val="22"/>
          <w:rtl/>
        </w:rPr>
        <w:t>,</w:t>
      </w:r>
      <w:r w:rsidRPr="00BD5E91">
        <w:rPr>
          <w:sz w:val="22"/>
          <w:szCs w:val="22"/>
          <w:rtl/>
        </w:rPr>
        <w:t xml:space="preserve"> בת עשר אמ</w:t>
      </w:r>
      <w:r>
        <w:rPr>
          <w:rFonts w:hint="cs"/>
          <w:sz w:val="22"/>
          <w:szCs w:val="22"/>
          <w:rtl/>
        </w:rPr>
        <w:t>י</w:t>
      </w:r>
      <w:r w:rsidRPr="00BD5E91">
        <w:rPr>
          <w:sz w:val="22"/>
          <w:szCs w:val="22"/>
          <w:rtl/>
        </w:rPr>
        <w:t>רן כמ"ש בתיקון כ"א קודם זה המאמר ע"ש:</w:t>
      </w:r>
    </w:p>
  </w:footnote>
  <w:footnote w:id="792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בלבי.</w:t>
      </w:r>
      <w:r w:rsidRPr="00BD5E91">
        <w:rPr>
          <w:sz w:val="22"/>
          <w:szCs w:val="22"/>
          <w:rtl/>
        </w:rPr>
        <w:t xml:space="preserve"> לבי הן ל"ב ויו"ד כנ"ל שבהן הגאולה והנקמה כמ"</w:t>
      </w:r>
      <w:r>
        <w:rPr>
          <w:rFonts w:hint="cs"/>
          <w:sz w:val="22"/>
          <w:szCs w:val="22"/>
          <w:rtl/>
        </w:rPr>
        <w:t>ש</w:t>
      </w:r>
      <w:r w:rsidRPr="00BD5E91">
        <w:rPr>
          <w:sz w:val="22"/>
          <w:szCs w:val="22"/>
          <w:rtl/>
        </w:rPr>
        <w:t xml:space="preserve"> שם ביה עתיד לנטלא נוקמא כמה כו' דאיהי לבי</w:t>
      </w:r>
      <w:r>
        <w:rPr>
          <w:rFonts w:hint="cs"/>
          <w:sz w:val="22"/>
          <w:szCs w:val="22"/>
          <w:rtl/>
        </w:rPr>
        <w:t>,</w:t>
      </w:r>
      <w:r w:rsidRPr="00BD5E91">
        <w:rPr>
          <w:sz w:val="22"/>
          <w:szCs w:val="22"/>
          <w:rtl/>
        </w:rPr>
        <w:t xml:space="preserve"> שם בן מ"ב כו' ע"ש:</w:t>
      </w:r>
    </w:p>
  </w:footnote>
  <w:footnote w:id="792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ובהון פועלים מ"ב אתוון כו'.</w:t>
      </w:r>
      <w:r w:rsidRPr="00BD5E91">
        <w:rPr>
          <w:sz w:val="22"/>
          <w:szCs w:val="22"/>
          <w:rtl/>
        </w:rPr>
        <w:t xml:space="preserve"> שהמ"ב אתוון הן לבושים לאלו המ"ב כמש"ו והן פועלים באלו המ"ב ואלו המ"ב הן</w:t>
      </w:r>
      <w:r>
        <w:rPr>
          <w:rFonts w:hint="cs"/>
          <w:sz w:val="22"/>
          <w:szCs w:val="22"/>
          <w:rtl/>
        </w:rPr>
        <w:t>:</w:t>
      </w:r>
      <w:r w:rsidRPr="00BD5E91">
        <w:rPr>
          <w:sz w:val="22"/>
          <w:szCs w:val="22"/>
          <w:rtl/>
        </w:rPr>
        <w:t xml:space="preserve"> כ"ב אתוון נפש</w:t>
      </w:r>
      <w:r>
        <w:rPr>
          <w:rFonts w:hint="cs"/>
          <w:sz w:val="22"/>
          <w:szCs w:val="22"/>
          <w:rtl/>
        </w:rPr>
        <w:t>,</w:t>
      </w:r>
      <w:r w:rsidRPr="00BD5E91">
        <w:rPr>
          <w:sz w:val="22"/>
          <w:szCs w:val="22"/>
          <w:rtl/>
        </w:rPr>
        <w:t xml:space="preserve"> י' נקודות רוח</w:t>
      </w:r>
      <w:r>
        <w:rPr>
          <w:rFonts w:hint="cs"/>
          <w:sz w:val="22"/>
          <w:szCs w:val="22"/>
          <w:rtl/>
        </w:rPr>
        <w:t>,</w:t>
      </w:r>
      <w:r w:rsidRPr="00BD5E91">
        <w:rPr>
          <w:sz w:val="22"/>
          <w:szCs w:val="22"/>
          <w:rtl/>
        </w:rPr>
        <w:t xml:space="preserve"> והכל ל"ב</w:t>
      </w:r>
      <w:r>
        <w:rPr>
          <w:rFonts w:hint="cs"/>
          <w:sz w:val="22"/>
          <w:szCs w:val="22"/>
          <w:rtl/>
        </w:rPr>
        <w:t>,</w:t>
      </w:r>
      <w:r w:rsidRPr="00BD5E91">
        <w:rPr>
          <w:sz w:val="22"/>
          <w:szCs w:val="22"/>
          <w:rtl/>
        </w:rPr>
        <w:t xml:space="preserve"> ועשר אמירן נשמה</w:t>
      </w:r>
      <w:r>
        <w:rPr>
          <w:rFonts w:hint="cs"/>
          <w:sz w:val="22"/>
          <w:szCs w:val="22"/>
          <w:rtl/>
        </w:rPr>
        <w:t>.</w:t>
      </w:r>
      <w:r w:rsidRPr="00BD5E91">
        <w:rPr>
          <w:sz w:val="22"/>
          <w:szCs w:val="22"/>
          <w:rtl/>
        </w:rPr>
        <w:t xml:space="preserve"> וע"ס הרוח הן עיקר הע"ס שהן נקראין ספירות כמ"ש בהת"ז:</w:t>
      </w:r>
    </w:p>
  </w:footnote>
  <w:footnote w:id="792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דה' בם.</w:t>
      </w:r>
      <w:r w:rsidRPr="00BD5E91">
        <w:rPr>
          <w:sz w:val="22"/>
          <w:szCs w:val="22"/>
          <w:rtl/>
        </w:rPr>
        <w:t xml:space="preserve"> ר"ל דכתיב </w:t>
      </w:r>
      <w:r>
        <w:rPr>
          <w:rFonts w:hint="cs"/>
          <w:sz w:val="22"/>
          <w:szCs w:val="22"/>
          <w:rtl/>
        </w:rPr>
        <w:t xml:space="preserve">(תהלים סח יח) </w:t>
      </w:r>
      <w:r w:rsidRPr="00BD5E91">
        <w:rPr>
          <w:sz w:val="22"/>
          <w:szCs w:val="22"/>
          <w:rtl/>
        </w:rPr>
        <w:t>ה' בם בקדש</w:t>
      </w:r>
      <w:r>
        <w:rPr>
          <w:rFonts w:hint="cs"/>
          <w:sz w:val="22"/>
          <w:szCs w:val="22"/>
          <w:rtl/>
        </w:rPr>
        <w:t>.</w:t>
      </w:r>
      <w:r w:rsidRPr="00BD5E91">
        <w:rPr>
          <w:sz w:val="22"/>
          <w:szCs w:val="22"/>
          <w:rtl/>
        </w:rPr>
        <w:t xml:space="preserve"> בם הוא מ"ב אתוון דלקמן</w:t>
      </w:r>
      <w:r>
        <w:rPr>
          <w:rFonts w:hint="cs"/>
          <w:sz w:val="22"/>
          <w:szCs w:val="22"/>
          <w:rtl/>
        </w:rPr>
        <w:t>,</w:t>
      </w:r>
      <w:r w:rsidRPr="00BD5E91">
        <w:rPr>
          <w:sz w:val="22"/>
          <w:szCs w:val="22"/>
          <w:rtl/>
        </w:rPr>
        <w:t xml:space="preserve"> וה' הן ע"ס דכלילן בהוי"ה נר"נ שהאותיות מתחלקין לע"ס ג"כ כמ"ש בס"י ע"ש:</w:t>
      </w:r>
    </w:p>
  </w:footnote>
  <w:footnote w:id="792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שבע ביום כו'.</w:t>
      </w:r>
      <w:r w:rsidRPr="00BD5E91">
        <w:rPr>
          <w:sz w:val="22"/>
          <w:szCs w:val="22"/>
          <w:rtl/>
        </w:rPr>
        <w:t xml:space="preserve"> שבע ברכות דק"ש הן בהיכלות דבריאה ששם מקנן בינה ששם מ"ב כנ"ל והכל במלכות בת שבע שהיא שם:</w:t>
      </w:r>
    </w:p>
  </w:footnote>
  <w:footnote w:id="792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ובהון וישתחו ארצה.</w:t>
      </w:r>
      <w:r w:rsidRPr="00BD5E91">
        <w:rPr>
          <w:sz w:val="22"/>
          <w:szCs w:val="22"/>
          <w:rtl/>
        </w:rPr>
        <w:t xml:space="preserve"> שבת שבע נקראת ארץ</w:t>
      </w:r>
      <w:r>
        <w:rPr>
          <w:rFonts w:hint="cs"/>
          <w:sz w:val="22"/>
          <w:szCs w:val="22"/>
          <w:rtl/>
        </w:rPr>
        <w:t>,</w:t>
      </w:r>
      <w:r w:rsidRPr="00BD5E91">
        <w:rPr>
          <w:sz w:val="22"/>
          <w:szCs w:val="22"/>
          <w:rtl/>
        </w:rPr>
        <w:t xml:space="preserve"> בתוספת ה'</w:t>
      </w:r>
      <w:r>
        <w:rPr>
          <w:rFonts w:hint="cs"/>
          <w:sz w:val="22"/>
          <w:szCs w:val="22"/>
          <w:rtl/>
        </w:rPr>
        <w:t>,</w:t>
      </w:r>
      <w:r w:rsidRPr="00BD5E91">
        <w:rPr>
          <w:sz w:val="22"/>
          <w:szCs w:val="22"/>
          <w:rtl/>
        </w:rPr>
        <w:t xml:space="preserve"> ה' תתאה</w:t>
      </w:r>
      <w:r>
        <w:rPr>
          <w:rFonts w:hint="cs"/>
          <w:sz w:val="22"/>
          <w:szCs w:val="22"/>
          <w:rtl/>
        </w:rPr>
        <w:t>,</w:t>
      </w:r>
      <w:r w:rsidRPr="00BD5E91">
        <w:rPr>
          <w:sz w:val="22"/>
          <w:szCs w:val="22"/>
          <w:rtl/>
        </w:rPr>
        <w:t xml:space="preserve"> ארצה:</w:t>
      </w:r>
    </w:p>
  </w:footnote>
  <w:footnote w:id="792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יעקב כו'.</w:t>
      </w:r>
      <w:r w:rsidRPr="00BD5E91">
        <w:rPr>
          <w:sz w:val="22"/>
          <w:szCs w:val="22"/>
          <w:rtl/>
        </w:rPr>
        <w:t xml:space="preserve"> דכל השתחויות אלו היו לקב"ה ובהן היה משפיל שר של עשו תנינא דז' ראשין עד דנתיר כל ז' ראשין כמש"ל וכל השתחויות היו בשביל בת שבע דכלילת שבע שמהן הנ"ל</w:t>
      </w:r>
      <w:r>
        <w:rPr>
          <w:rFonts w:hint="cs"/>
          <w:sz w:val="22"/>
          <w:szCs w:val="22"/>
          <w:rtl/>
        </w:rPr>
        <w:t xml:space="preserve"> </w:t>
      </w:r>
      <w:r w:rsidRPr="00BD5E91">
        <w:rPr>
          <w:sz w:val="22"/>
          <w:szCs w:val="22"/>
          <w:rtl/>
        </w:rPr>
        <w:t xml:space="preserve">דשזיב לישראל מן גלותא בשבילה שהיא משכונא דישראל משכן העדות אלה פקודי המשכן משכן העדות דאתמשכן ב"פ ובשבילה ניצולין כמ"ש </w:t>
      </w:r>
      <w:r>
        <w:rPr>
          <w:rFonts w:hint="cs"/>
          <w:sz w:val="22"/>
          <w:szCs w:val="22"/>
          <w:rtl/>
        </w:rPr>
        <w:t xml:space="preserve">(ויקרא כו מד) </w:t>
      </w:r>
      <w:r w:rsidRPr="00BD5E91">
        <w:rPr>
          <w:sz w:val="22"/>
          <w:szCs w:val="22"/>
          <w:rtl/>
        </w:rPr>
        <w:t>ואף גם זאת בהיותם בארץ אויביהם לא מאסתים כו' בשביל זאת ולכן השתחוה שבע פעמים וז"ש דתמן בת שבע:</w:t>
      </w:r>
    </w:p>
  </w:footnote>
  <w:footnote w:id="792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אדכיר אדני לגבי קב"ה דאיהו כו'.</w:t>
      </w:r>
      <w:r w:rsidRPr="00BD5E91">
        <w:rPr>
          <w:sz w:val="22"/>
          <w:szCs w:val="22"/>
          <w:rtl/>
        </w:rPr>
        <w:t xml:space="preserve"> שבכולם אמר יעקב לאדוני לעשו או סתם לאדונ</w:t>
      </w:r>
      <w:r>
        <w:rPr>
          <w:rFonts w:hint="cs"/>
          <w:sz w:val="22"/>
          <w:szCs w:val="22"/>
          <w:rtl/>
        </w:rPr>
        <w:t>י,</w:t>
      </w:r>
      <w:r w:rsidRPr="00BD5E91">
        <w:rPr>
          <w:sz w:val="22"/>
          <w:szCs w:val="22"/>
          <w:rtl/>
        </w:rPr>
        <w:t xml:space="preserve"> והוא אמר לקב"ה שהוא אדון של השכינה ובשבילה בקש והכני אם על בנים שהיא אם הבנים והוא כמ"ש ומה תעשה לשמך הגדול וכל הפרשה הכל נאמר על הגלות:</w:t>
      </w:r>
    </w:p>
  </w:footnote>
  <w:footnote w:id="792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אלין אינון שבעה כו'.</w:t>
      </w:r>
      <w:r w:rsidRPr="00BD5E91">
        <w:rPr>
          <w:sz w:val="22"/>
          <w:szCs w:val="22"/>
          <w:rtl/>
        </w:rPr>
        <w:t xml:space="preserve"> והן ז"ת שהן שבע שמות הנ"ל כמ"ש בתיקונים ת"ד בארבעים ותרין אתוון כו' ואינון שבע ספירן כלילן בשבע שמהן וכלהו כלילת לון בת שבע. שהיא כלולה מז"ת:</w:t>
      </w:r>
    </w:p>
  </w:footnote>
  <w:footnote w:id="792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דתמן קבור כו'.</w:t>
      </w:r>
      <w:r w:rsidRPr="00BD5E91">
        <w:rPr>
          <w:sz w:val="22"/>
          <w:szCs w:val="22"/>
          <w:rtl/>
        </w:rPr>
        <w:t xml:space="preserve"> שהגלות הוא מיתה שע"ז נאמר לאביו ולאמו לא יטמא כידוע:</w:t>
      </w:r>
    </w:p>
  </w:footnote>
  <w:footnote w:id="792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ההוא דאתמר ביה כו'.</w:t>
      </w:r>
      <w:r w:rsidRPr="00BD5E91">
        <w:rPr>
          <w:sz w:val="22"/>
          <w:szCs w:val="22"/>
          <w:rtl/>
        </w:rPr>
        <w:t xml:space="preserve"> ר"ל קב"ה</w:t>
      </w:r>
      <w:r>
        <w:rPr>
          <w:rFonts w:hint="cs"/>
          <w:sz w:val="22"/>
          <w:szCs w:val="22"/>
          <w:rtl/>
        </w:rPr>
        <w:t>,</w:t>
      </w:r>
      <w:r w:rsidRPr="00BD5E91">
        <w:rPr>
          <w:sz w:val="22"/>
          <w:szCs w:val="22"/>
          <w:rtl/>
        </w:rPr>
        <w:t xml:space="preserve"> שמא מפרש דהוא בגלותא לנטרא כמ"ש </w:t>
      </w:r>
      <w:r>
        <w:rPr>
          <w:rFonts w:hint="cs"/>
          <w:sz w:val="22"/>
          <w:szCs w:val="22"/>
          <w:rtl/>
        </w:rPr>
        <w:t xml:space="preserve">(מגילה כט ע"א) </w:t>
      </w:r>
      <w:r w:rsidRPr="00BD5E91">
        <w:rPr>
          <w:sz w:val="22"/>
          <w:szCs w:val="22"/>
          <w:rtl/>
        </w:rPr>
        <w:t>ושב ה' אלקיך את שבותך והשיב לא נאמר אלא ושב כו' ולכן משה שהוא דרגא דעד"א נקבר בח"ל בשביל הגלות והוא נחית ג"כ בגלות כמ"ש בר"מ פ' משפטים לך רד בגלות רביעי כו' בשביל כלה דילך וז"ש ואמרו לי כו'. שהוא ס"ת הויה קב"ה והוא מה שמו מה הוא שמא מפרש וז"ש. דא יו"ד ק"א וא"ו קא כצ</w:t>
      </w:r>
      <w:r>
        <w:rPr>
          <w:rFonts w:hint="cs"/>
          <w:sz w:val="22"/>
          <w:szCs w:val="22"/>
          <w:rtl/>
        </w:rPr>
        <w:t>"</w:t>
      </w:r>
      <w:r w:rsidRPr="00BD5E91">
        <w:rPr>
          <w:sz w:val="22"/>
          <w:szCs w:val="22"/>
          <w:rtl/>
        </w:rPr>
        <w:t>ל וכן משה שהוא שלים בכל הויה והוא מ"ה כנ"ל:</w:t>
      </w:r>
    </w:p>
  </w:footnote>
  <w:footnote w:id="793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ושלימו דלילא כו'.</w:t>
      </w:r>
      <w:r w:rsidRPr="00BD5E91">
        <w:rPr>
          <w:sz w:val="22"/>
          <w:szCs w:val="22"/>
          <w:rtl/>
        </w:rPr>
        <w:t xml:space="preserve"> שהוא ליל דפורקנא כמ"ש </w:t>
      </w:r>
      <w:r>
        <w:rPr>
          <w:rFonts w:hint="cs"/>
          <w:sz w:val="22"/>
          <w:szCs w:val="22"/>
          <w:rtl/>
        </w:rPr>
        <w:t xml:space="preserve">(שמות יב מב) </w:t>
      </w:r>
      <w:r w:rsidRPr="00BD5E91">
        <w:rPr>
          <w:sz w:val="22"/>
          <w:szCs w:val="22"/>
          <w:rtl/>
        </w:rPr>
        <w:t>ליל שמורים הוא לדורותם לע"ל שהוא יהיה כגוונא דפורקנא דמצרים:</w:t>
      </w:r>
    </w:p>
  </w:footnote>
  <w:footnote w:id="793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דהיינו ע"ב כו'.</w:t>
      </w:r>
      <w:r w:rsidRPr="00BD5E91">
        <w:rPr>
          <w:sz w:val="22"/>
          <w:szCs w:val="22"/>
          <w:rtl/>
        </w:rPr>
        <w:t xml:space="preserve"> שהוא רתיכא דנוקבא ע"ב שמהן דלקמן והן אחוריים דהוי"ה:</w:t>
      </w:r>
    </w:p>
  </w:footnote>
  <w:footnote w:id="7932">
    <w:p w:rsidR="00007309" w:rsidRPr="00BD5E91" w:rsidRDefault="00007309" w:rsidP="00007309">
      <w:pPr>
        <w:jc w:val="both"/>
        <w:rPr>
          <w:rFonts w:cs="Arial"/>
          <w:sz w:val="22"/>
          <w:szCs w:val="22"/>
          <w:rtl/>
        </w:rPr>
      </w:pPr>
      <w:r w:rsidRPr="00BD5E91">
        <w:rPr>
          <w:rStyle w:val="a7"/>
          <w:rFonts w:cs="Arial"/>
          <w:sz w:val="22"/>
          <w:szCs w:val="22"/>
          <w:rtl/>
        </w:rPr>
        <w:footnoteRef/>
      </w:r>
      <w:r w:rsidRPr="00BD5E91">
        <w:rPr>
          <w:rFonts w:cs="Arial"/>
          <w:sz w:val="22"/>
          <w:szCs w:val="22"/>
          <w:rtl/>
        </w:rPr>
        <w:t xml:space="preserve"> </w:t>
      </w:r>
      <w:r w:rsidRPr="00BD5E91">
        <w:rPr>
          <w:rFonts w:cs="Arial"/>
          <w:b/>
          <w:bCs/>
          <w:sz w:val="22"/>
          <w:szCs w:val="22"/>
          <w:rtl/>
        </w:rPr>
        <w:t>ביה נהיר מה כו'.</w:t>
      </w:r>
      <w:r w:rsidRPr="00BD5E91">
        <w:rPr>
          <w:rFonts w:cs="Arial"/>
          <w:sz w:val="22"/>
          <w:szCs w:val="22"/>
          <w:rtl/>
        </w:rPr>
        <w:t xml:space="preserve"> שהוא בקב"ה והוא שם מ"ב עם ג' כנ"ל והוא רתיכא עילאה דדכורא כמ"ש בר"מ פ' יתרו:</w:t>
      </w:r>
    </w:p>
  </w:footnote>
  <w:footnote w:id="793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דגלותא כו'.</w:t>
      </w:r>
      <w:r w:rsidRPr="00BD5E91">
        <w:rPr>
          <w:sz w:val="22"/>
          <w:szCs w:val="22"/>
          <w:rtl/>
        </w:rPr>
        <w:t xml:space="preserve"> ר"ל שהיה עד אז בגלותא עם השכינה ולא היה נהיר לה:</w:t>
      </w:r>
    </w:p>
  </w:footnote>
  <w:footnote w:id="793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מה נשתנה כו'.</w:t>
      </w:r>
      <w:r w:rsidRPr="00BD5E91">
        <w:rPr>
          <w:sz w:val="22"/>
          <w:szCs w:val="22"/>
          <w:rtl/>
        </w:rPr>
        <w:t xml:space="preserve"> ר"ל שמה נהיר לה:</w:t>
      </w:r>
    </w:p>
  </w:footnote>
  <w:footnote w:id="793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דביה מ'שמים ה'ביט.</w:t>
      </w:r>
      <w:r w:rsidRPr="00BD5E91">
        <w:rPr>
          <w:sz w:val="22"/>
          <w:szCs w:val="22"/>
          <w:rtl/>
        </w:rPr>
        <w:t xml:space="preserve"> ר"ת מה שאז משגיח מן החלונות כו' קומי לך רעיתי כו' וזהו בני האד</w:t>
      </w:r>
      <w:r>
        <w:rPr>
          <w:rFonts w:hint="cs"/>
          <w:sz w:val="22"/>
          <w:szCs w:val="22"/>
          <w:rtl/>
        </w:rPr>
        <w:t>"</w:t>
      </w:r>
      <w:r w:rsidRPr="00BD5E91">
        <w:rPr>
          <w:sz w:val="22"/>
          <w:szCs w:val="22"/>
          <w:rtl/>
        </w:rPr>
        <w:t>ם גי' מה:</w:t>
      </w:r>
    </w:p>
  </w:footnote>
  <w:footnote w:id="793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ואם יתמהמה כו'.</w:t>
      </w:r>
      <w:r w:rsidRPr="00BD5E91">
        <w:rPr>
          <w:sz w:val="22"/>
          <w:szCs w:val="22"/>
          <w:rtl/>
        </w:rPr>
        <w:t xml:space="preserve"> ר"ל אם יתמה ויאחר מ"ה</w:t>
      </w:r>
      <w:r>
        <w:rPr>
          <w:rFonts w:hint="cs"/>
          <w:sz w:val="22"/>
          <w:szCs w:val="22"/>
          <w:rtl/>
        </w:rPr>
        <w:t>,</w:t>
      </w:r>
      <w:r w:rsidRPr="00BD5E91">
        <w:rPr>
          <w:sz w:val="22"/>
          <w:szCs w:val="22"/>
          <w:rtl/>
        </w:rPr>
        <w:t xml:space="preserve"> מ"מ חכה לו:</w:t>
      </w:r>
    </w:p>
  </w:footnote>
  <w:footnote w:id="793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אבג</w:t>
      </w:r>
      <w:r w:rsidRPr="002373BB">
        <w:rPr>
          <w:b/>
          <w:bCs/>
          <w:sz w:val="22"/>
          <w:szCs w:val="22"/>
          <w:rtl/>
        </w:rPr>
        <w:t>ית"ץ כו'</w:t>
      </w:r>
      <w:r w:rsidRPr="002373BB">
        <w:rPr>
          <w:rFonts w:hint="cs"/>
          <w:b/>
          <w:bCs/>
          <w:sz w:val="22"/>
          <w:szCs w:val="22"/>
          <w:rtl/>
        </w:rPr>
        <w:t>.</w:t>
      </w:r>
      <w:r w:rsidRPr="002373BB">
        <w:rPr>
          <w:b/>
          <w:bCs/>
          <w:sz w:val="22"/>
          <w:szCs w:val="22"/>
          <w:rtl/>
        </w:rPr>
        <w:t xml:space="preserve"> </w:t>
      </w:r>
      <w:r w:rsidRPr="00BD5E91">
        <w:rPr>
          <w:sz w:val="22"/>
          <w:szCs w:val="22"/>
          <w:rtl/>
        </w:rPr>
        <w:t>מפ"ו היאך השבע שמות אלו מרומז בשבעה הימים:</w:t>
      </w:r>
    </w:p>
  </w:footnote>
  <w:footnote w:id="793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אותו כו'.</w:t>
      </w:r>
      <w:r w:rsidRPr="00BD5E91">
        <w:rPr>
          <w:sz w:val="22"/>
          <w:szCs w:val="22"/>
          <w:rtl/>
        </w:rPr>
        <w:t xml:space="preserve"> ר"ל ר"ת דא'ותו ת'ורה צ'וה עם תיבת בג"י הוא השם ור"ל ורוח אלקים מרחפת כו' שקאי על רוחו של משה כמש"ל בדף ס"ב ע"ד ורוח אלק</w:t>
      </w:r>
      <w:r>
        <w:rPr>
          <w:rFonts w:hint="cs"/>
          <w:sz w:val="22"/>
          <w:szCs w:val="22"/>
          <w:rtl/>
        </w:rPr>
        <w:t>י</w:t>
      </w:r>
      <w:r w:rsidRPr="00BD5E91">
        <w:rPr>
          <w:sz w:val="22"/>
          <w:szCs w:val="22"/>
          <w:rtl/>
        </w:rPr>
        <w:t>ם דא שילה כו' והשם קאי עליו. בג"י י"ג מדות של התורה וז"ש. צפון באורייתא ג"כ ר"ת צ"ת של השם צפון תורה</w:t>
      </w:r>
      <w:r>
        <w:rPr>
          <w:rFonts w:hint="cs"/>
          <w:sz w:val="22"/>
          <w:szCs w:val="22"/>
          <w:rtl/>
        </w:rPr>
        <w:t>,</w:t>
      </w:r>
      <w:r w:rsidRPr="00BD5E91">
        <w:rPr>
          <w:sz w:val="22"/>
          <w:szCs w:val="22"/>
          <w:rtl/>
        </w:rPr>
        <w:t xml:space="preserve"> והוא י"ג תיקונין דא"א ששם שורש נשמתו כידוע וכן אלקים מילואו י"ג אותיות וזהו ורוח אלקים והוא מרחפת ע"פ המים דאורייתא וזהו צפון באורייתא והוא בחסד שמשם התורה כמ"ש מימינו אש דת למו ו</w:t>
      </w:r>
      <w:r>
        <w:rPr>
          <w:rFonts w:hint="cs"/>
          <w:sz w:val="22"/>
          <w:szCs w:val="22"/>
          <w:rtl/>
        </w:rPr>
        <w:t>כ</w:t>
      </w:r>
      <w:r w:rsidRPr="00BD5E91">
        <w:rPr>
          <w:sz w:val="22"/>
          <w:szCs w:val="22"/>
          <w:rtl/>
        </w:rPr>
        <w:t>ן י"ג מכילן דרחמי משם שהוא שורש הע"ב שמות שהן בחסד כמש"ל ע"ג:</w:t>
      </w:r>
    </w:p>
  </w:footnote>
  <w:footnote w:id="793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קרע דאיהו בימא.</w:t>
      </w:r>
      <w:r w:rsidRPr="00BD5E91">
        <w:rPr>
          <w:sz w:val="22"/>
          <w:szCs w:val="22"/>
          <w:rtl/>
        </w:rPr>
        <w:t xml:space="preserve"> ר"ל שם קרע הוא בימא</w:t>
      </w:r>
      <w:r>
        <w:rPr>
          <w:rFonts w:hint="cs"/>
          <w:sz w:val="22"/>
          <w:szCs w:val="22"/>
          <w:rtl/>
        </w:rPr>
        <w:t>,</w:t>
      </w:r>
      <w:r w:rsidRPr="00BD5E91">
        <w:rPr>
          <w:sz w:val="22"/>
          <w:szCs w:val="22"/>
          <w:rtl/>
        </w:rPr>
        <w:t xml:space="preserve"> שהוא קרע את הים</w:t>
      </w:r>
      <w:r>
        <w:rPr>
          <w:rFonts w:hint="cs"/>
          <w:sz w:val="22"/>
          <w:szCs w:val="22"/>
          <w:rtl/>
        </w:rPr>
        <w:t>,</w:t>
      </w:r>
      <w:r w:rsidRPr="00BD5E91">
        <w:rPr>
          <w:sz w:val="22"/>
          <w:szCs w:val="22"/>
          <w:rtl/>
        </w:rPr>
        <w:t xml:space="preserve"> והמים הויתם ביום שני ובו נקרע המים. בין מים עליונים לתחתונים וז"ש. דאיתמר ביה יהי רקיע כו'. ר"ל רקיע אותיות קרע שהוא קרע בין מים למים ונשאר יו"ד יתירה וז"ש. י' מן רקיע כו' שהרקיע הוא יסוד והוא יחוד בין זו"נ ועיקר היחוד בי' מן יסוד והוא עטרת הברית שהוא אות ברית כידוע. וביה קרע ימא. ר"ל עם השם קרע וכ"ז ראיה שהשם קרע הוא ביום שני</w:t>
      </w:r>
      <w:r>
        <w:rPr>
          <w:rFonts w:hint="cs"/>
          <w:sz w:val="22"/>
          <w:szCs w:val="22"/>
          <w:rtl/>
        </w:rPr>
        <w:t>.</w:t>
      </w:r>
      <w:r w:rsidRPr="00BD5E91">
        <w:rPr>
          <w:sz w:val="22"/>
          <w:szCs w:val="22"/>
          <w:rtl/>
        </w:rPr>
        <w:t xml:space="preserve"> ועכשיו מפרש שטן היאך הוא רמוז ביום שני וז"ש. ויהי מבדיל כו'. ר"ל בריאת הס"א כמ"ש גיהנם נברא ביום שני ולכן לא נאמר בו כי טוב. דאיהו מבדיל כו'. בין דכור' לנוק' כמש"ל דף ס"ב ע"ג דל"ל חיבורא דייחודא כד כו' ע"ש</w:t>
      </w:r>
      <w:r>
        <w:rPr>
          <w:rFonts w:hint="cs"/>
          <w:sz w:val="22"/>
          <w:szCs w:val="22"/>
          <w:rtl/>
        </w:rPr>
        <w:t>.</w:t>
      </w:r>
      <w:r w:rsidRPr="00BD5E91">
        <w:rPr>
          <w:sz w:val="22"/>
          <w:szCs w:val="22"/>
          <w:rtl/>
        </w:rPr>
        <w:t xml:space="preserve"> והוא זה לעמת זה</w:t>
      </w:r>
      <w:r>
        <w:rPr>
          <w:rFonts w:hint="cs"/>
          <w:sz w:val="22"/>
          <w:szCs w:val="22"/>
          <w:rtl/>
        </w:rPr>
        <w:t>,</w:t>
      </w:r>
      <w:r w:rsidRPr="00BD5E91">
        <w:rPr>
          <w:sz w:val="22"/>
          <w:szCs w:val="22"/>
          <w:rtl/>
        </w:rPr>
        <w:t xml:space="preserve"> שרקיע הוא הייחוד</w:t>
      </w:r>
      <w:r>
        <w:rPr>
          <w:rFonts w:hint="cs"/>
          <w:sz w:val="22"/>
          <w:szCs w:val="22"/>
          <w:rtl/>
        </w:rPr>
        <w:t>,</w:t>
      </w:r>
      <w:r w:rsidRPr="00BD5E91">
        <w:rPr>
          <w:sz w:val="22"/>
          <w:szCs w:val="22"/>
          <w:rtl/>
        </w:rPr>
        <w:t xml:space="preserve"> וזה מבדיל כו'</w:t>
      </w:r>
      <w:r>
        <w:rPr>
          <w:rFonts w:hint="cs"/>
          <w:sz w:val="22"/>
          <w:szCs w:val="22"/>
          <w:rtl/>
        </w:rPr>
        <w:t>.</w:t>
      </w:r>
      <w:r w:rsidRPr="00BD5E91">
        <w:rPr>
          <w:sz w:val="22"/>
          <w:szCs w:val="22"/>
          <w:rtl/>
        </w:rPr>
        <w:t xml:space="preserve"> ולפי שיום שני הוא יצחק שממנו יצא יעקב ועשו לכן נבראו רקיע ומבדיל וכן ביום ראשון יצא תהו ובהו אבל ל</w:t>
      </w:r>
      <w:r>
        <w:rPr>
          <w:rFonts w:hint="cs"/>
          <w:sz w:val="22"/>
          <w:szCs w:val="22"/>
          <w:rtl/>
        </w:rPr>
        <w:t>א</w:t>
      </w:r>
      <w:r w:rsidRPr="00BD5E91">
        <w:rPr>
          <w:sz w:val="22"/>
          <w:szCs w:val="22"/>
          <w:rtl/>
        </w:rPr>
        <w:t xml:space="preserve"> כאחד עם האור אלא כ"א במאמר לבד כמו ישמעאל מאברהם וישמעאל קודם מאברהם ליצחק ושם הבדל בין אור לחשך גרש את האמה הזאת ואת בנה כי לא יירש כו' משא"כ בעשו והיה כאשר </w:t>
      </w:r>
      <w:r>
        <w:rPr>
          <w:rFonts w:hint="cs"/>
          <w:sz w:val="22"/>
          <w:szCs w:val="22"/>
          <w:rtl/>
        </w:rPr>
        <w:t>ת</w:t>
      </w:r>
      <w:r w:rsidRPr="00BD5E91">
        <w:rPr>
          <w:sz w:val="22"/>
          <w:szCs w:val="22"/>
          <w:rtl/>
        </w:rPr>
        <w:t>ריד כו'. ולאום מלאום יאמץ עליו נאמר כי אם עונותיכם מבדילים כו'. בגלות דעמלק וכ"ז ביום ב' בגבורה ששם יהי רקיע יסוד דנטיל לשמאלא כמש"ל דס"א ע"ב וכן שטן בשמאלא עשו</w:t>
      </w:r>
      <w:r>
        <w:rPr>
          <w:rFonts w:hint="cs"/>
          <w:sz w:val="22"/>
          <w:szCs w:val="22"/>
          <w:rtl/>
        </w:rPr>
        <w:t>.</w:t>
      </w:r>
      <w:r w:rsidRPr="00BD5E91">
        <w:rPr>
          <w:sz w:val="22"/>
          <w:szCs w:val="22"/>
          <w:rtl/>
        </w:rPr>
        <w:t xml:space="preserve"> ואלו שני הקליפות הן שור וחמור</w:t>
      </w:r>
      <w:r>
        <w:rPr>
          <w:rFonts w:hint="cs"/>
          <w:sz w:val="22"/>
          <w:szCs w:val="22"/>
          <w:rtl/>
        </w:rPr>
        <w:t>,</w:t>
      </w:r>
      <w:r w:rsidRPr="00BD5E91">
        <w:rPr>
          <w:sz w:val="22"/>
          <w:szCs w:val="22"/>
          <w:rtl/>
        </w:rPr>
        <w:t xml:space="preserve"> חמור מימינא נחש ישמעאל והוא תהו כו'</w:t>
      </w:r>
      <w:r>
        <w:rPr>
          <w:rFonts w:hint="cs"/>
          <w:sz w:val="22"/>
          <w:szCs w:val="22"/>
          <w:rtl/>
        </w:rPr>
        <w:t>,</w:t>
      </w:r>
      <w:r w:rsidRPr="00BD5E91">
        <w:rPr>
          <w:sz w:val="22"/>
          <w:szCs w:val="22"/>
          <w:rtl/>
        </w:rPr>
        <w:t xml:space="preserve"> ושור עשו שהוא גי</w:t>
      </w:r>
      <w:r>
        <w:rPr>
          <w:rFonts w:hint="cs"/>
          <w:sz w:val="22"/>
          <w:szCs w:val="22"/>
          <w:rtl/>
        </w:rPr>
        <w:t>ה</w:t>
      </w:r>
      <w:r w:rsidRPr="00BD5E91">
        <w:rPr>
          <w:sz w:val="22"/>
          <w:szCs w:val="22"/>
          <w:rtl/>
        </w:rPr>
        <w:t>נם</w:t>
      </w:r>
      <w:r>
        <w:rPr>
          <w:rFonts w:hint="cs"/>
          <w:sz w:val="22"/>
          <w:szCs w:val="22"/>
          <w:rtl/>
        </w:rPr>
        <w:t>,</w:t>
      </w:r>
      <w:r w:rsidRPr="00BD5E91">
        <w:rPr>
          <w:sz w:val="22"/>
          <w:szCs w:val="22"/>
          <w:rtl/>
        </w:rPr>
        <w:t xml:space="preserve"> כלחוך השור כמ"ש בזוהר בלק ע"ש משמאלא כמש"ל דף ע"ה ע"ד חומרא מימינא דתמן חמור כו' משמאלא דתמן שור כו' אלא שאברהם היפך ושוי עשו לימינא בכבד כנ"ל וטחול לשמאלא נחש כמ"ש בר"מ</w:t>
      </w:r>
      <w:r>
        <w:rPr>
          <w:rFonts w:hint="cs"/>
          <w:sz w:val="22"/>
          <w:szCs w:val="22"/>
          <w:rtl/>
        </w:rPr>
        <w:t>.</w:t>
      </w:r>
      <w:r w:rsidRPr="00BD5E91">
        <w:rPr>
          <w:sz w:val="22"/>
          <w:szCs w:val="22"/>
          <w:rtl/>
        </w:rPr>
        <w:t xml:space="preserve"> וזהו שפירשו בע"ח שם הראשון אב"ג לשון שבירה ית"ץ לשון נתיצה והשם השני קריעה את השטן. והענין ששם הראשון גי' שור כידוע והוא שור המועד לימינא כנ"ל</w:t>
      </w:r>
      <w:r>
        <w:rPr>
          <w:rFonts w:hint="cs"/>
          <w:sz w:val="22"/>
          <w:szCs w:val="22"/>
          <w:rtl/>
        </w:rPr>
        <w:t>,</w:t>
      </w:r>
      <w:r w:rsidRPr="00BD5E91">
        <w:rPr>
          <w:sz w:val="22"/>
          <w:szCs w:val="22"/>
          <w:rtl/>
        </w:rPr>
        <w:t xml:space="preserve"> ו</w:t>
      </w:r>
      <w:r>
        <w:rPr>
          <w:rFonts w:hint="cs"/>
          <w:sz w:val="22"/>
          <w:szCs w:val="22"/>
          <w:rtl/>
        </w:rPr>
        <w:t>ש</w:t>
      </w:r>
      <w:r w:rsidRPr="00BD5E91">
        <w:rPr>
          <w:sz w:val="22"/>
          <w:szCs w:val="22"/>
          <w:rtl/>
        </w:rPr>
        <w:t>ם השני שטן שהוא נחש גי' שטן כידוע והוא כמש</w:t>
      </w:r>
      <w:r>
        <w:rPr>
          <w:rFonts w:hint="cs"/>
          <w:sz w:val="22"/>
          <w:szCs w:val="22"/>
          <w:rtl/>
        </w:rPr>
        <w:t>"</w:t>
      </w:r>
      <w:r w:rsidRPr="00BD5E91">
        <w:rPr>
          <w:sz w:val="22"/>
          <w:szCs w:val="22"/>
          <w:rtl/>
        </w:rPr>
        <w:t xml:space="preserve">ל דף ע"ה ע"ב ובה עקר טורין ותבר טינרין דחויא והוא לשמאלא חמור כנ"ל ולכן בשם הראשון שבירה ובשני קריעה כמ"ש </w:t>
      </w:r>
      <w:r>
        <w:rPr>
          <w:rFonts w:hint="cs"/>
          <w:sz w:val="22"/>
          <w:szCs w:val="22"/>
          <w:rtl/>
        </w:rPr>
        <w:t xml:space="preserve">(משנה ב"ק ה ו) </w:t>
      </w:r>
      <w:r w:rsidRPr="00BD5E91">
        <w:rPr>
          <w:sz w:val="22"/>
          <w:szCs w:val="22"/>
          <w:rtl/>
        </w:rPr>
        <w:t>שור וכליו ונשתברו חמור וכליו ונתקרעו</w:t>
      </w:r>
      <w:r>
        <w:rPr>
          <w:rFonts w:hint="cs"/>
          <w:sz w:val="22"/>
          <w:szCs w:val="22"/>
          <w:rtl/>
        </w:rPr>
        <w:t>.</w:t>
      </w:r>
      <w:r w:rsidRPr="00BD5E91">
        <w:rPr>
          <w:sz w:val="22"/>
          <w:szCs w:val="22"/>
          <w:rtl/>
        </w:rPr>
        <w:t xml:space="preserve"> וכן כל שם של מ"ב לפרוע מן הס"א כמש"ל כי יום נקם בלבי</w:t>
      </w:r>
      <w:r>
        <w:rPr>
          <w:rFonts w:hint="cs"/>
          <w:sz w:val="22"/>
          <w:szCs w:val="22"/>
          <w:rtl/>
        </w:rPr>
        <w:t>,</w:t>
      </w:r>
      <w:r w:rsidRPr="00BD5E91">
        <w:rPr>
          <w:sz w:val="22"/>
          <w:szCs w:val="22"/>
          <w:rtl/>
        </w:rPr>
        <w:t xml:space="preserve"> ששורש כל השם בגבורה</w:t>
      </w:r>
      <w:r>
        <w:rPr>
          <w:rFonts w:hint="cs"/>
          <w:sz w:val="22"/>
          <w:szCs w:val="22"/>
          <w:rtl/>
        </w:rPr>
        <w:t>,</w:t>
      </w:r>
      <w:r w:rsidRPr="00BD5E91">
        <w:rPr>
          <w:sz w:val="22"/>
          <w:szCs w:val="22"/>
          <w:rtl/>
        </w:rPr>
        <w:t xml:space="preserve"> וז"ש בלבת אש כנ"ל לפרוע ממצרים ובו יגאלו כמש"ו ונגד אלו </w:t>
      </w:r>
      <w:r>
        <w:rPr>
          <w:rFonts w:hint="cs"/>
          <w:sz w:val="22"/>
          <w:szCs w:val="22"/>
          <w:rtl/>
        </w:rPr>
        <w:t>ה</w:t>
      </w:r>
      <w:r w:rsidRPr="00BD5E91">
        <w:rPr>
          <w:sz w:val="22"/>
          <w:szCs w:val="22"/>
          <w:rtl/>
        </w:rPr>
        <w:t>קליפות ששרשן שנים</w:t>
      </w:r>
      <w:r>
        <w:rPr>
          <w:rFonts w:hint="cs"/>
          <w:sz w:val="22"/>
          <w:szCs w:val="22"/>
          <w:rtl/>
        </w:rPr>
        <w:t>,</w:t>
      </w:r>
      <w:r w:rsidRPr="00BD5E91">
        <w:rPr>
          <w:sz w:val="22"/>
          <w:szCs w:val="22"/>
          <w:rtl/>
        </w:rPr>
        <w:t xml:space="preserve"> ימינא ושמאלא</w:t>
      </w:r>
      <w:r>
        <w:rPr>
          <w:rFonts w:hint="cs"/>
          <w:sz w:val="22"/>
          <w:szCs w:val="22"/>
          <w:rtl/>
        </w:rPr>
        <w:t>,</w:t>
      </w:r>
      <w:r w:rsidRPr="00BD5E91">
        <w:rPr>
          <w:sz w:val="22"/>
          <w:szCs w:val="22"/>
          <w:rtl/>
        </w:rPr>
        <w:t xml:space="preserve"> יעמדו ב' משיחין שהן בנו"ה ימינא ושמאלא</w:t>
      </w:r>
      <w:r>
        <w:rPr>
          <w:rFonts w:hint="cs"/>
          <w:sz w:val="22"/>
          <w:szCs w:val="22"/>
          <w:rtl/>
        </w:rPr>
        <w:t>:</w:t>
      </w:r>
      <w:r w:rsidRPr="00BD5E91">
        <w:rPr>
          <w:sz w:val="22"/>
          <w:szCs w:val="22"/>
          <w:rtl/>
        </w:rPr>
        <w:t xml:space="preserve"> </w:t>
      </w:r>
    </w:p>
  </w:footnote>
  <w:footnote w:id="7940">
    <w:p w:rsidR="00007309" w:rsidRDefault="00007309" w:rsidP="00007309">
      <w:pPr>
        <w:pStyle w:val="a5"/>
      </w:pPr>
      <w:r>
        <w:rPr>
          <w:rStyle w:val="a7"/>
        </w:rPr>
        <w:footnoteRef/>
      </w:r>
      <w:r>
        <w:rPr>
          <w:rtl/>
        </w:rPr>
        <w:t xml:space="preserve"> </w:t>
      </w:r>
      <w:r w:rsidRPr="00133991">
        <w:rPr>
          <w:b/>
          <w:bCs/>
          <w:sz w:val="22"/>
          <w:szCs w:val="22"/>
          <w:rtl/>
        </w:rPr>
        <w:t>אבגית"ץ בראשית כו'.</w:t>
      </w:r>
      <w:r w:rsidRPr="00BD5E91">
        <w:rPr>
          <w:sz w:val="22"/>
          <w:szCs w:val="22"/>
          <w:rtl/>
        </w:rPr>
        <w:t xml:space="preserve"> חוזר ומפרש כל השם. תשר של בראשית</w:t>
      </w:r>
      <w:r>
        <w:rPr>
          <w:rFonts w:hint="cs"/>
          <w:sz w:val="22"/>
          <w:szCs w:val="22"/>
          <w:rtl/>
        </w:rPr>
        <w:t>,</w:t>
      </w:r>
      <w:r w:rsidRPr="00BD5E91">
        <w:rPr>
          <w:sz w:val="22"/>
          <w:szCs w:val="22"/>
          <w:rtl/>
        </w:rPr>
        <w:t xml:space="preserve"> י' של יתץ</w:t>
      </w:r>
      <w:r>
        <w:rPr>
          <w:rFonts w:hint="cs"/>
          <w:sz w:val="22"/>
          <w:szCs w:val="22"/>
          <w:rtl/>
        </w:rPr>
        <w:t>,</w:t>
      </w:r>
      <w:r w:rsidRPr="00BD5E91">
        <w:rPr>
          <w:sz w:val="22"/>
          <w:szCs w:val="22"/>
          <w:rtl/>
        </w:rPr>
        <w:t xml:space="preserve"> י' של בראש</w:t>
      </w:r>
      <w:r>
        <w:rPr>
          <w:rFonts w:hint="cs"/>
          <w:sz w:val="22"/>
          <w:szCs w:val="22"/>
          <w:rtl/>
        </w:rPr>
        <w:t>י</w:t>
      </w:r>
      <w:r w:rsidRPr="00BD5E91">
        <w:rPr>
          <w:sz w:val="22"/>
          <w:szCs w:val="22"/>
          <w:rtl/>
        </w:rPr>
        <w:t>ת.</w:t>
      </w:r>
      <w:r>
        <w:rPr>
          <w:rFonts w:hint="cs"/>
          <w:sz w:val="22"/>
          <w:szCs w:val="22"/>
          <w:rtl/>
        </w:rPr>
        <w:t xml:space="preserve"> </w:t>
      </w:r>
      <w:r w:rsidRPr="00BD5E91">
        <w:rPr>
          <w:sz w:val="22"/>
          <w:szCs w:val="22"/>
          <w:rtl/>
        </w:rPr>
        <w:t>והוא תשרי שבו עתידין ליגאל מסט' דמשיח בן יוסף</w:t>
      </w:r>
      <w:r>
        <w:rPr>
          <w:rFonts w:hint="cs"/>
          <w:sz w:val="22"/>
          <w:szCs w:val="22"/>
          <w:rtl/>
        </w:rPr>
        <w:t>,</w:t>
      </w:r>
      <w:r w:rsidRPr="00BD5E91">
        <w:rPr>
          <w:sz w:val="22"/>
          <w:szCs w:val="22"/>
          <w:rtl/>
        </w:rPr>
        <w:t xml:space="preserve"> ובו כלחוך השור כמ"ש בר"מפ' משפטים דף ק"כ ע"א והוא השור הנ"ל דשם הראשון ובו ת"ץ שבירה דלהון כנ"ל:</w:t>
      </w:r>
    </w:p>
  </w:footnote>
  <w:footnote w:id="794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יהי רקיע כו'.</w:t>
      </w:r>
      <w:r w:rsidRPr="00BD5E91">
        <w:rPr>
          <w:sz w:val="22"/>
          <w:szCs w:val="22"/>
          <w:rtl/>
        </w:rPr>
        <w:t xml:space="preserve"> כנ"ל:</w:t>
      </w:r>
    </w:p>
  </w:footnote>
  <w:footnote w:id="794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יומא תליתאה כו'.</w:t>
      </w:r>
      <w:r w:rsidRPr="00BD5E91">
        <w:rPr>
          <w:sz w:val="22"/>
          <w:szCs w:val="22"/>
          <w:rtl/>
        </w:rPr>
        <w:t xml:space="preserve"> ר"ל נגד הוא נגד של השם והוא דרגיה דמשה שהוא עשה נפלאות גדולות כמ"ש לכל האותות והמופתים כו'. ובשני הימים ב' משיחין כנ"ל ויום השלישי עד"א דרגיה דמשה הוא משיח שילה כנ"ל והן ג' אלפים שנה הראשונים ששני אלפים תוהו והן שני ימים הראשונים ב' קליפין כנ"ל עד יום השלישי יום של משה ואז מתחילין שני אלפים תורה ובאלף הראשון שלטא נחש דפתי לחוה ויראו בני האלוקים את בנות האדם כו' ובשני השור כלחוך השור במבול. וביום השלישי נעשו נפלאות יציאת מצרים וארבעים שנה במדבר וביאת הארץ ובנין בה"מ וז"ש תדשא הארץ דשא כמש"ל ומיד דהות יבשה והוא במצרים שבו ותראה היבשה שהוא</w:t>
      </w:r>
      <w:r>
        <w:rPr>
          <w:rFonts w:hint="cs"/>
          <w:sz w:val="22"/>
          <w:szCs w:val="22"/>
          <w:rtl/>
        </w:rPr>
        <w:t xml:space="preserve"> </w:t>
      </w:r>
      <w:r w:rsidRPr="00BD5E91">
        <w:rPr>
          <w:sz w:val="22"/>
          <w:szCs w:val="22"/>
          <w:rtl/>
        </w:rPr>
        <w:t xml:space="preserve">ג"כ באלף השלישי אתמליאת ותדשא כו' אפיקת לבלבין כמ"ש התאנה חנטה פניה והגפנים סמדר קומי לך כו' ובו </w:t>
      </w:r>
      <w:r>
        <w:rPr>
          <w:rFonts w:hint="cs"/>
          <w:sz w:val="22"/>
          <w:szCs w:val="22"/>
          <w:rtl/>
        </w:rPr>
        <w:t xml:space="preserve">(מלכים א ה י) </w:t>
      </w:r>
      <w:r w:rsidRPr="00BD5E91">
        <w:rPr>
          <w:sz w:val="22"/>
          <w:szCs w:val="22"/>
          <w:rtl/>
        </w:rPr>
        <w:t>ו</w:t>
      </w:r>
      <w:r>
        <w:rPr>
          <w:rFonts w:hint="cs"/>
          <w:sz w:val="22"/>
          <w:szCs w:val="22"/>
          <w:rtl/>
        </w:rPr>
        <w:t>ת</w:t>
      </w:r>
      <w:r w:rsidRPr="00BD5E91">
        <w:rPr>
          <w:sz w:val="22"/>
          <w:szCs w:val="22"/>
          <w:rtl/>
        </w:rPr>
        <w:t>רב חכמת שלמה</w:t>
      </w:r>
      <w:r>
        <w:rPr>
          <w:rFonts w:hint="cs"/>
          <w:sz w:val="22"/>
          <w:szCs w:val="22"/>
          <w:rtl/>
        </w:rPr>
        <w:t>,</w:t>
      </w:r>
      <w:r w:rsidRPr="00BD5E91">
        <w:rPr>
          <w:sz w:val="22"/>
          <w:szCs w:val="22"/>
          <w:rtl/>
        </w:rPr>
        <w:t xml:space="preserve"> סי</w:t>
      </w:r>
      <w:r>
        <w:rPr>
          <w:rFonts w:hint="cs"/>
          <w:sz w:val="22"/>
          <w:szCs w:val="22"/>
          <w:rtl/>
        </w:rPr>
        <w:t>ה</w:t>
      </w:r>
      <w:r w:rsidRPr="00BD5E91">
        <w:rPr>
          <w:sz w:val="22"/>
          <w:szCs w:val="22"/>
          <w:rtl/>
        </w:rPr>
        <w:t>רא במילואה כידוע וזהו נגד של השם. יכ"ש כמש"ל דף ע"ה ע"ב יכ"ש ג"ר שכלהו כליל שמים עד"א ע"ש ובו ימשלו על כל האומין פלחי כוכביא ויכלו את הכל וכל הרשעה כלה כו' כמ"ש בר"מ שם מה דמשה כו' וירדו בדגת הים כו' וכלא בזכות כו':</w:t>
      </w:r>
    </w:p>
  </w:footnote>
  <w:footnote w:id="794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ביה </w:t>
      </w:r>
      <w:r>
        <w:rPr>
          <w:rFonts w:hint="cs"/>
          <w:b/>
          <w:bCs/>
          <w:sz w:val="22"/>
          <w:szCs w:val="22"/>
          <w:rtl/>
        </w:rPr>
        <w:t>ת</w:t>
      </w:r>
      <w:r w:rsidRPr="00BD5E91">
        <w:rPr>
          <w:b/>
          <w:bCs/>
          <w:sz w:val="22"/>
          <w:szCs w:val="22"/>
          <w:rtl/>
        </w:rPr>
        <w:t>בר כו'.</w:t>
      </w:r>
      <w:r w:rsidRPr="00BD5E91">
        <w:rPr>
          <w:sz w:val="22"/>
          <w:szCs w:val="22"/>
          <w:rtl/>
        </w:rPr>
        <w:t xml:space="preserve"> ר"ל בטר לשון </w:t>
      </w:r>
      <w:r>
        <w:rPr>
          <w:rFonts w:hint="cs"/>
          <w:sz w:val="22"/>
          <w:szCs w:val="22"/>
          <w:rtl/>
        </w:rPr>
        <w:t>ת</w:t>
      </w:r>
      <w:r w:rsidRPr="00BD5E91">
        <w:rPr>
          <w:sz w:val="22"/>
          <w:szCs w:val="22"/>
          <w:rtl/>
        </w:rPr>
        <w:t>בר</w:t>
      </w:r>
      <w:r>
        <w:rPr>
          <w:rFonts w:hint="cs"/>
          <w:sz w:val="22"/>
          <w:szCs w:val="22"/>
          <w:rtl/>
        </w:rPr>
        <w:t>,</w:t>
      </w:r>
      <w:r w:rsidRPr="00BD5E91">
        <w:rPr>
          <w:sz w:val="22"/>
          <w:szCs w:val="22"/>
          <w:rtl/>
        </w:rPr>
        <w:t xml:space="preserve"> שהט' ות' מתחלפין כידוע. תבר נהורין שהמאורות נבראו ביום הרביעי ובו החשיכו בחורבן בה"מ שהיה באלף הרביעי בו אתחשכו נהורין דזו"נ שהן שמשא וסיהרא כמ"ש </w:t>
      </w:r>
      <w:r>
        <w:rPr>
          <w:rFonts w:hint="cs"/>
          <w:sz w:val="22"/>
          <w:szCs w:val="22"/>
          <w:rtl/>
        </w:rPr>
        <w:t xml:space="preserve">(יואל ב י) </w:t>
      </w:r>
      <w:r w:rsidRPr="00BD5E91">
        <w:rPr>
          <w:sz w:val="22"/>
          <w:szCs w:val="22"/>
          <w:rtl/>
        </w:rPr>
        <w:t>שמש וירח קדרו</w:t>
      </w:r>
      <w:r>
        <w:rPr>
          <w:rFonts w:hint="cs"/>
          <w:sz w:val="22"/>
          <w:szCs w:val="22"/>
          <w:rtl/>
        </w:rPr>
        <w:t>,</w:t>
      </w:r>
      <w:r w:rsidRPr="00BD5E91">
        <w:rPr>
          <w:sz w:val="22"/>
          <w:szCs w:val="22"/>
          <w:rtl/>
        </w:rPr>
        <w:t xml:space="preserve"> ותקע כף ירך יעקב</w:t>
      </w:r>
      <w:r>
        <w:rPr>
          <w:rFonts w:hint="cs"/>
          <w:sz w:val="22"/>
          <w:szCs w:val="22"/>
          <w:rtl/>
        </w:rPr>
        <w:t>,</w:t>
      </w:r>
      <w:r w:rsidRPr="00BD5E91">
        <w:rPr>
          <w:sz w:val="22"/>
          <w:szCs w:val="22"/>
          <w:rtl/>
        </w:rPr>
        <w:t xml:space="preserve"> ועתיד להרפא בו </w:t>
      </w:r>
      <w:r>
        <w:rPr>
          <w:rFonts w:hint="cs"/>
          <w:sz w:val="22"/>
          <w:szCs w:val="22"/>
          <w:rtl/>
        </w:rPr>
        <w:t xml:space="preserve">(ישעיה לה ו) </w:t>
      </w:r>
      <w:r w:rsidRPr="00BD5E91">
        <w:rPr>
          <w:sz w:val="22"/>
          <w:szCs w:val="22"/>
          <w:rtl/>
        </w:rPr>
        <w:t>אז ידלג כאיל פסח</w:t>
      </w:r>
      <w:r>
        <w:rPr>
          <w:rFonts w:hint="cs"/>
          <w:sz w:val="22"/>
          <w:szCs w:val="22"/>
          <w:rtl/>
        </w:rPr>
        <w:t>,</w:t>
      </w:r>
      <w:r w:rsidRPr="00BD5E91">
        <w:rPr>
          <w:sz w:val="22"/>
          <w:szCs w:val="22"/>
          <w:rtl/>
        </w:rPr>
        <w:t xml:space="preserve"> ועתיד להחשיך שמשא וסיהרא דס"א שנבראו ג"כ ביום הרביעי שעליהן נאמר מארת חסר</w:t>
      </w:r>
      <w:r>
        <w:rPr>
          <w:rFonts w:hint="cs"/>
          <w:sz w:val="22"/>
          <w:szCs w:val="22"/>
          <w:rtl/>
        </w:rPr>
        <w:t>, (משלי ג לג)</w:t>
      </w:r>
      <w:r w:rsidRPr="00BD5E91">
        <w:rPr>
          <w:sz w:val="22"/>
          <w:szCs w:val="22"/>
          <w:rtl/>
        </w:rPr>
        <w:t xml:space="preserve"> מארת ה' בבית רשע כידוע ז"ש. הה"ד וחפרה כו'. שהוא דס"א כידוע וכמ"ש בתיקונים ת"ח ואי</w:t>
      </w:r>
      <w:r>
        <w:rPr>
          <w:rFonts w:hint="cs"/>
          <w:sz w:val="22"/>
          <w:szCs w:val="22"/>
          <w:rtl/>
        </w:rPr>
        <w:t>ה</w:t>
      </w:r>
      <w:r w:rsidRPr="00BD5E91">
        <w:rPr>
          <w:sz w:val="22"/>
          <w:szCs w:val="22"/>
          <w:rtl/>
        </w:rPr>
        <w:t>ו וממנן דיליה כו' וחריבו ביתיה בית ראשון ובית שנ</w:t>
      </w:r>
      <w:r>
        <w:rPr>
          <w:rFonts w:hint="cs"/>
          <w:sz w:val="22"/>
          <w:szCs w:val="22"/>
          <w:rtl/>
        </w:rPr>
        <w:t>י</w:t>
      </w:r>
      <w:r w:rsidRPr="00BD5E91">
        <w:rPr>
          <w:sz w:val="22"/>
          <w:szCs w:val="22"/>
          <w:rtl/>
        </w:rPr>
        <w:t xml:space="preserve"> ובג"ד וחפרה הלבנה דאיהי נחש כו' ובושה החמה דאיהי גיהנם כו' ובההוא זמנא דיתבני כו'. והן שני קליפין הנ"ל שהן מכסין את השמש וירח בגלות שאז עתיד לאעברא להון מן השמש וירח</w:t>
      </w:r>
      <w:r>
        <w:rPr>
          <w:rFonts w:hint="cs"/>
          <w:sz w:val="22"/>
          <w:szCs w:val="22"/>
          <w:rtl/>
        </w:rPr>
        <w:t>,</w:t>
      </w:r>
      <w:r w:rsidRPr="00BD5E91">
        <w:rPr>
          <w:sz w:val="22"/>
          <w:szCs w:val="22"/>
          <w:rtl/>
        </w:rPr>
        <w:t xml:space="preserve"> ויגלו פורקנא דלהון ואז ולא יכנף עוד כו' כמש"ל וכ"ז מרומז באלו השמות</w:t>
      </w:r>
      <w:r>
        <w:rPr>
          <w:rFonts w:hint="cs"/>
          <w:sz w:val="22"/>
          <w:szCs w:val="22"/>
          <w:rtl/>
        </w:rPr>
        <w:t>.</w:t>
      </w:r>
      <w:r w:rsidRPr="00BD5E91">
        <w:rPr>
          <w:sz w:val="22"/>
          <w:szCs w:val="22"/>
          <w:rtl/>
        </w:rPr>
        <w:t xml:space="preserve"> שני השמות הראשונות קליפות אלו כנ"ל. השם השלישי ורביעי וחמישי מרומז אלו שני המאורות שמכוסין בהן כמ"</w:t>
      </w:r>
      <w:r>
        <w:rPr>
          <w:rFonts w:hint="cs"/>
          <w:sz w:val="22"/>
          <w:szCs w:val="22"/>
          <w:rtl/>
        </w:rPr>
        <w:t>ש</w:t>
      </w:r>
      <w:r w:rsidRPr="00BD5E91">
        <w:rPr>
          <w:sz w:val="22"/>
          <w:szCs w:val="22"/>
          <w:rtl/>
        </w:rPr>
        <w:t xml:space="preserve"> בר"מ פ' פנחס ע"ש</w:t>
      </w:r>
      <w:r>
        <w:rPr>
          <w:rFonts w:hint="cs"/>
          <w:sz w:val="22"/>
          <w:szCs w:val="22"/>
          <w:rtl/>
        </w:rPr>
        <w:t>.</w:t>
      </w:r>
      <w:r w:rsidRPr="00BD5E91">
        <w:rPr>
          <w:sz w:val="22"/>
          <w:szCs w:val="22"/>
          <w:rtl/>
        </w:rPr>
        <w:t xml:space="preserve"> י' של יכ"ש עם ב' של בט"ר הן י"ב</w:t>
      </w:r>
      <w:r>
        <w:rPr>
          <w:rFonts w:hint="cs"/>
          <w:sz w:val="22"/>
          <w:szCs w:val="22"/>
          <w:rtl/>
        </w:rPr>
        <w:t>.</w:t>
      </w:r>
      <w:r w:rsidRPr="00BD5E91">
        <w:rPr>
          <w:sz w:val="22"/>
          <w:szCs w:val="22"/>
          <w:rtl/>
        </w:rPr>
        <w:t xml:space="preserve"> כ' עם ט' הן כ"ט</w:t>
      </w:r>
      <w:r>
        <w:rPr>
          <w:rFonts w:hint="cs"/>
          <w:sz w:val="22"/>
          <w:szCs w:val="22"/>
          <w:rtl/>
        </w:rPr>
        <w:t>.</w:t>
      </w:r>
      <w:r w:rsidRPr="00BD5E91">
        <w:rPr>
          <w:sz w:val="22"/>
          <w:szCs w:val="22"/>
          <w:rtl/>
        </w:rPr>
        <w:t xml:space="preserve"> ש' עם צת"ג הוא תשצ"ג והוא היל</w:t>
      </w:r>
      <w:r>
        <w:rPr>
          <w:rFonts w:hint="cs"/>
          <w:sz w:val="22"/>
          <w:szCs w:val="22"/>
          <w:rtl/>
        </w:rPr>
        <w:t>ו</w:t>
      </w:r>
      <w:r w:rsidRPr="00BD5E91">
        <w:rPr>
          <w:sz w:val="22"/>
          <w:szCs w:val="22"/>
          <w:rtl/>
        </w:rPr>
        <w:t>כה של הלבנה</w:t>
      </w:r>
      <w:r>
        <w:rPr>
          <w:rFonts w:hint="cs"/>
          <w:sz w:val="22"/>
          <w:szCs w:val="22"/>
          <w:rtl/>
        </w:rPr>
        <w:t>.</w:t>
      </w:r>
      <w:r w:rsidRPr="00BD5E91">
        <w:rPr>
          <w:sz w:val="22"/>
          <w:szCs w:val="22"/>
          <w:rtl/>
        </w:rPr>
        <w:t xml:space="preserve"> נשאר נג"ד ר'</w:t>
      </w:r>
      <w:r>
        <w:rPr>
          <w:rFonts w:hint="cs"/>
          <w:sz w:val="22"/>
          <w:szCs w:val="22"/>
          <w:rtl/>
        </w:rPr>
        <w:t>,</w:t>
      </w:r>
      <w:r w:rsidRPr="00BD5E91">
        <w:rPr>
          <w:sz w:val="22"/>
          <w:szCs w:val="22"/>
          <w:rtl/>
        </w:rPr>
        <w:t xml:space="preserve"> עם ח"</w:t>
      </w:r>
      <w:r>
        <w:rPr>
          <w:rFonts w:hint="cs"/>
          <w:sz w:val="22"/>
          <w:szCs w:val="22"/>
          <w:rtl/>
        </w:rPr>
        <w:t>ק</w:t>
      </w:r>
      <w:r w:rsidRPr="00BD5E91">
        <w:rPr>
          <w:sz w:val="22"/>
          <w:szCs w:val="22"/>
          <w:rtl/>
        </w:rPr>
        <w:t xml:space="preserve"> הוא שס"ה הילוכה של החמה. נשאר בט"נ ע'</w:t>
      </w:r>
      <w:r>
        <w:rPr>
          <w:rFonts w:hint="cs"/>
          <w:sz w:val="22"/>
          <w:szCs w:val="22"/>
          <w:rtl/>
        </w:rPr>
        <w:t>,</w:t>
      </w:r>
      <w:r w:rsidRPr="00BD5E91">
        <w:rPr>
          <w:sz w:val="22"/>
          <w:szCs w:val="22"/>
          <w:rtl/>
        </w:rPr>
        <w:t xml:space="preserve"> בטן הוא השכינה</w:t>
      </w:r>
      <w:r>
        <w:rPr>
          <w:rFonts w:hint="cs"/>
          <w:sz w:val="22"/>
          <w:szCs w:val="22"/>
          <w:rtl/>
        </w:rPr>
        <w:t>,</w:t>
      </w:r>
      <w:r w:rsidRPr="00BD5E91">
        <w:rPr>
          <w:sz w:val="22"/>
          <w:szCs w:val="22"/>
          <w:rtl/>
        </w:rPr>
        <w:t xml:space="preserve"> סיהרא</w:t>
      </w:r>
      <w:r>
        <w:rPr>
          <w:rFonts w:hint="cs"/>
          <w:sz w:val="22"/>
          <w:szCs w:val="22"/>
          <w:rtl/>
        </w:rPr>
        <w:t>,</w:t>
      </w:r>
      <w:r w:rsidRPr="00BD5E91">
        <w:rPr>
          <w:sz w:val="22"/>
          <w:szCs w:val="22"/>
          <w:rtl/>
        </w:rPr>
        <w:t xml:space="preserve"> נקודה הפנימית של סיהרא כמש"ל שם בטן שכינתא</w:t>
      </w:r>
      <w:r>
        <w:rPr>
          <w:rFonts w:hint="cs"/>
          <w:sz w:val="22"/>
          <w:szCs w:val="22"/>
          <w:rtl/>
        </w:rPr>
        <w:t>,</w:t>
      </w:r>
      <w:r w:rsidRPr="00BD5E91">
        <w:rPr>
          <w:sz w:val="22"/>
          <w:szCs w:val="22"/>
          <w:rtl/>
        </w:rPr>
        <w:t xml:space="preserve"> בטן גי' אני</w:t>
      </w:r>
      <w:r>
        <w:rPr>
          <w:rFonts w:hint="cs"/>
          <w:sz w:val="22"/>
          <w:szCs w:val="22"/>
          <w:rtl/>
        </w:rPr>
        <w:t>,</w:t>
      </w:r>
      <w:r w:rsidRPr="00BD5E91">
        <w:rPr>
          <w:sz w:val="22"/>
          <w:szCs w:val="22"/>
          <w:rtl/>
        </w:rPr>
        <w:t xml:space="preserve"> שבזו"נ כ"א כלול מז"ס כ"</w:t>
      </w:r>
      <w:r>
        <w:rPr>
          <w:rFonts w:hint="cs"/>
          <w:sz w:val="22"/>
          <w:szCs w:val="22"/>
          <w:rtl/>
        </w:rPr>
        <w:t>א</w:t>
      </w:r>
      <w:r w:rsidRPr="00BD5E91">
        <w:rPr>
          <w:sz w:val="22"/>
          <w:szCs w:val="22"/>
          <w:rtl/>
        </w:rPr>
        <w:t xml:space="preserve"> מעשר הוא ע'</w:t>
      </w:r>
      <w:r>
        <w:rPr>
          <w:rFonts w:hint="cs"/>
          <w:sz w:val="22"/>
          <w:szCs w:val="22"/>
          <w:rtl/>
        </w:rPr>
        <w:t>,</w:t>
      </w:r>
      <w:r w:rsidRPr="00BD5E91">
        <w:rPr>
          <w:sz w:val="22"/>
          <w:szCs w:val="22"/>
          <w:rtl/>
        </w:rPr>
        <w:t xml:space="preserve"> רק שבמלכות</w:t>
      </w:r>
      <w:r>
        <w:rPr>
          <w:rFonts w:hint="cs"/>
          <w:sz w:val="22"/>
          <w:szCs w:val="22"/>
          <w:rtl/>
        </w:rPr>
        <w:t>,</w:t>
      </w:r>
      <w:r w:rsidRPr="00BD5E91">
        <w:rPr>
          <w:sz w:val="22"/>
          <w:szCs w:val="22"/>
          <w:rtl/>
        </w:rPr>
        <w:t xml:space="preserve"> מלכות דילה ל"ל רק נקודה חדא כידוע והוא ס"</w:t>
      </w:r>
      <w:r>
        <w:rPr>
          <w:rFonts w:hint="cs"/>
          <w:sz w:val="22"/>
          <w:szCs w:val="22"/>
          <w:rtl/>
        </w:rPr>
        <w:t>א</w:t>
      </w:r>
      <w:r w:rsidRPr="00BD5E91">
        <w:rPr>
          <w:sz w:val="22"/>
          <w:szCs w:val="22"/>
          <w:rtl/>
        </w:rPr>
        <w:t xml:space="preserve"> גי' אני</w:t>
      </w:r>
      <w:r>
        <w:rPr>
          <w:rFonts w:hint="cs"/>
          <w:sz w:val="22"/>
          <w:szCs w:val="22"/>
          <w:rtl/>
        </w:rPr>
        <w:t>,</w:t>
      </w:r>
      <w:r w:rsidRPr="00BD5E91">
        <w:rPr>
          <w:sz w:val="22"/>
          <w:szCs w:val="22"/>
          <w:rtl/>
        </w:rPr>
        <w:t xml:space="preserve"> ובו ע' ביה אתקריאת בטנך כו' ע' שמשא כידוע ע' שמות של עד"א וכן במט"ט וכן בשמש והוא נקודה הפנימית</w:t>
      </w:r>
      <w:r>
        <w:rPr>
          <w:rFonts w:hint="cs"/>
          <w:sz w:val="22"/>
          <w:szCs w:val="22"/>
          <w:rtl/>
        </w:rPr>
        <w:t>.</w:t>
      </w:r>
      <w:r w:rsidRPr="00BD5E91">
        <w:rPr>
          <w:sz w:val="22"/>
          <w:szCs w:val="22"/>
          <w:rtl/>
        </w:rPr>
        <w:t xml:space="preserve"> וזהו פירושן</w:t>
      </w:r>
      <w:r>
        <w:rPr>
          <w:rFonts w:hint="cs"/>
          <w:sz w:val="22"/>
          <w:szCs w:val="22"/>
          <w:rtl/>
        </w:rPr>
        <w:t>,</w:t>
      </w:r>
      <w:r w:rsidRPr="00BD5E91">
        <w:rPr>
          <w:sz w:val="22"/>
          <w:szCs w:val="22"/>
          <w:rtl/>
        </w:rPr>
        <w:t xml:space="preserve"> שישבור ויקרע מן שמשא וסיהרא ב' אלו הקליפין והן המכסין אותן ואז יאירו ב' שמות האחרונים שהן בדכורא ונוקבא כמש"ו יג"ל פז"ק יגל פורקן כו' דאיהו משה וכלהו נחתין בצדיק עד"א נהרא בצדיק. שקוצי"ת ביומא שביעאה שבת מלכתא בה קץ הימין כו' במלכות כידוע ויתפרש הכל לקמן:</w:t>
      </w:r>
    </w:p>
  </w:footnote>
  <w:footnote w:id="794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ביומא חמישאה נפקו זרעי דאילנין.</w:t>
      </w:r>
      <w:r w:rsidRPr="00BD5E91">
        <w:rPr>
          <w:sz w:val="22"/>
          <w:szCs w:val="22"/>
          <w:rtl/>
        </w:rPr>
        <w:t xml:space="preserve"> צ"ל התנינים. וז"ש בגין דאיהו חק בטן ר"ל חק מזון כמ"ש </w:t>
      </w:r>
      <w:r>
        <w:rPr>
          <w:rFonts w:hint="cs"/>
          <w:sz w:val="22"/>
          <w:szCs w:val="22"/>
          <w:rtl/>
        </w:rPr>
        <w:t xml:space="preserve">(ביצה טז ע"א) </w:t>
      </w:r>
      <w:r w:rsidRPr="00BD5E91">
        <w:rPr>
          <w:sz w:val="22"/>
          <w:szCs w:val="22"/>
          <w:rtl/>
        </w:rPr>
        <w:t>מנ"ל דהאי חק לישנא דמזוני הוא שנאמר הטריפני לחם חקי</w:t>
      </w:r>
      <w:r>
        <w:rPr>
          <w:rFonts w:hint="cs"/>
          <w:sz w:val="22"/>
          <w:szCs w:val="22"/>
          <w:rtl/>
        </w:rPr>
        <w:t>,</w:t>
      </w:r>
      <w:r w:rsidRPr="00BD5E91">
        <w:rPr>
          <w:sz w:val="22"/>
          <w:szCs w:val="22"/>
          <w:rtl/>
        </w:rPr>
        <w:t xml:space="preserve"> טרף וחוק וז"ש. ואיהי ה' כו'. והוא יום החמישי אלף חמישאה</w:t>
      </w:r>
      <w:r>
        <w:rPr>
          <w:rFonts w:hint="cs"/>
          <w:sz w:val="22"/>
          <w:szCs w:val="22"/>
          <w:rtl/>
        </w:rPr>
        <w:t>,</w:t>
      </w:r>
      <w:r w:rsidRPr="00BD5E91">
        <w:rPr>
          <w:sz w:val="22"/>
          <w:szCs w:val="22"/>
          <w:rtl/>
        </w:rPr>
        <w:t xml:space="preserve"> כל היום דוה</w:t>
      </w:r>
      <w:r>
        <w:rPr>
          <w:rFonts w:hint="cs"/>
          <w:sz w:val="22"/>
          <w:szCs w:val="22"/>
          <w:rtl/>
        </w:rPr>
        <w:t>,</w:t>
      </w:r>
      <w:r w:rsidRPr="00BD5E91">
        <w:rPr>
          <w:sz w:val="22"/>
          <w:szCs w:val="22"/>
          <w:rtl/>
        </w:rPr>
        <w:t xml:space="preserve"> הוד כמש"ל דף ע"ה ע"ג ע"ש וז"ש דאיתמר בה ותשם בה את הילד. ר"ל בה בשכינה</w:t>
      </w:r>
      <w:r>
        <w:rPr>
          <w:rFonts w:hint="cs"/>
          <w:sz w:val="22"/>
          <w:szCs w:val="22"/>
          <w:rtl/>
        </w:rPr>
        <w:t>,</w:t>
      </w:r>
      <w:r w:rsidRPr="00BD5E91">
        <w:rPr>
          <w:sz w:val="22"/>
          <w:szCs w:val="22"/>
          <w:rtl/>
        </w:rPr>
        <w:t xml:space="preserve"> את הילד ישראל</w:t>
      </w:r>
      <w:r>
        <w:rPr>
          <w:rFonts w:hint="cs"/>
          <w:sz w:val="22"/>
          <w:szCs w:val="22"/>
          <w:rtl/>
        </w:rPr>
        <w:t>,</w:t>
      </w:r>
      <w:r w:rsidRPr="00BD5E91">
        <w:rPr>
          <w:sz w:val="22"/>
          <w:szCs w:val="22"/>
          <w:rtl/>
        </w:rPr>
        <w:t xml:space="preserve"> ילד שעשועים</w:t>
      </w:r>
      <w:r>
        <w:rPr>
          <w:rFonts w:hint="cs"/>
          <w:sz w:val="22"/>
          <w:szCs w:val="22"/>
          <w:rtl/>
        </w:rPr>
        <w:t>,</w:t>
      </w:r>
      <w:r w:rsidRPr="00BD5E91">
        <w:rPr>
          <w:sz w:val="22"/>
          <w:szCs w:val="22"/>
          <w:rtl/>
        </w:rPr>
        <w:t xml:space="preserve"> והיא התיבה דאגינת עלה דישראל בגלותא מנוני ימא דשלטין בגלותא כמ"ש בזוהר שמות ד' י"ב ע"ש שכל הקרא והפרשה על הגלות</w:t>
      </w:r>
      <w:r>
        <w:rPr>
          <w:rFonts w:hint="cs"/>
          <w:sz w:val="22"/>
          <w:szCs w:val="22"/>
          <w:rtl/>
        </w:rPr>
        <w:t>,</w:t>
      </w:r>
      <w:r w:rsidRPr="00BD5E91">
        <w:rPr>
          <w:sz w:val="22"/>
          <w:szCs w:val="22"/>
          <w:rtl/>
        </w:rPr>
        <w:t xml:space="preserve"> ותפתח ותראהו כו' והנה נער בוכה</w:t>
      </w:r>
      <w:r>
        <w:rPr>
          <w:rFonts w:hint="cs"/>
          <w:sz w:val="22"/>
          <w:szCs w:val="22"/>
          <w:rtl/>
        </w:rPr>
        <w:t>,</w:t>
      </w:r>
      <w:r w:rsidRPr="00BD5E91">
        <w:rPr>
          <w:sz w:val="22"/>
          <w:szCs w:val="22"/>
          <w:rtl/>
        </w:rPr>
        <w:t xml:space="preserve"> בבכי יבואו</w:t>
      </w:r>
      <w:r>
        <w:rPr>
          <w:rFonts w:hint="cs"/>
          <w:sz w:val="22"/>
          <w:szCs w:val="22"/>
          <w:rtl/>
        </w:rPr>
        <w:t>,</w:t>
      </w:r>
      <w:r w:rsidRPr="00BD5E91">
        <w:rPr>
          <w:sz w:val="22"/>
          <w:szCs w:val="22"/>
          <w:rtl/>
        </w:rPr>
        <w:t xml:space="preserve"> בתשובה כמ"ש </w:t>
      </w:r>
      <w:r>
        <w:rPr>
          <w:rFonts w:hint="cs"/>
          <w:sz w:val="22"/>
          <w:szCs w:val="22"/>
          <w:rtl/>
        </w:rPr>
        <w:t xml:space="preserve">(דברים ד ל) </w:t>
      </w:r>
      <w:r w:rsidRPr="00BD5E91">
        <w:rPr>
          <w:sz w:val="22"/>
          <w:szCs w:val="22"/>
          <w:rtl/>
        </w:rPr>
        <w:t>והיה באחרית הימים ושבת עד ה' כו':</w:t>
      </w:r>
    </w:p>
  </w:footnote>
  <w:footnote w:id="794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ותשם בסוף דאורייתא.</w:t>
      </w:r>
      <w:r w:rsidRPr="00BD5E91">
        <w:rPr>
          <w:sz w:val="22"/>
          <w:szCs w:val="22"/>
          <w:rtl/>
        </w:rPr>
        <w:t xml:space="preserve"> כמש"ל דף ע"ה ע"א בסוף על שפת היאור דאיהו נהורא דאורייתא עד"א שפה דיליה שכינתא והיא נקראת סוף סוף דכל דרגין:</w:t>
      </w:r>
    </w:p>
  </w:footnote>
  <w:footnote w:id="794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בגין לכסאה כו'.</w:t>
      </w:r>
      <w:r w:rsidRPr="00BD5E91">
        <w:rPr>
          <w:sz w:val="22"/>
          <w:szCs w:val="22"/>
          <w:rtl/>
        </w:rPr>
        <w:t xml:space="preserve"> שהיא חירות מאומין פלחי כוכביא והן נוני ימא מסט' דתנינים:</w:t>
      </w:r>
    </w:p>
  </w:footnote>
  <w:footnote w:id="794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דעליה אתמר כו'.</w:t>
      </w:r>
      <w:r w:rsidRPr="00BD5E91">
        <w:rPr>
          <w:sz w:val="22"/>
          <w:szCs w:val="22"/>
          <w:rtl/>
        </w:rPr>
        <w:t xml:space="preserve"> ר"ל על נהורא דאורייתא:</w:t>
      </w:r>
    </w:p>
  </w:footnote>
  <w:footnote w:id="794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כל הבן כו' דאיהו כו' וכל הבת כו' תחיון כל כו'.</w:t>
      </w:r>
      <w:r w:rsidRPr="00BD5E91">
        <w:rPr>
          <w:sz w:val="22"/>
          <w:szCs w:val="22"/>
          <w:rtl/>
        </w:rPr>
        <w:t xml:space="preserve"> ר"ל היאור הוא נהורא דאורייתא עד"א שהוא רזין דאורייתא והוא תורה שבכתב שנקרא אור</w:t>
      </w:r>
      <w:r>
        <w:rPr>
          <w:rFonts w:hint="cs"/>
          <w:sz w:val="22"/>
          <w:szCs w:val="22"/>
          <w:rtl/>
        </w:rPr>
        <w:t>,</w:t>
      </w:r>
      <w:r w:rsidRPr="00BD5E91">
        <w:rPr>
          <w:sz w:val="22"/>
          <w:szCs w:val="22"/>
          <w:rtl/>
        </w:rPr>
        <w:t xml:space="preserve"> ותורה אור</w:t>
      </w:r>
      <w:r>
        <w:rPr>
          <w:rFonts w:hint="cs"/>
          <w:sz w:val="22"/>
          <w:szCs w:val="22"/>
          <w:rtl/>
        </w:rPr>
        <w:t>.</w:t>
      </w:r>
      <w:r w:rsidRPr="00BD5E91">
        <w:rPr>
          <w:sz w:val="22"/>
          <w:szCs w:val="22"/>
          <w:rtl/>
        </w:rPr>
        <w:t xml:space="preserve"> והוא בן</w:t>
      </w:r>
      <w:r>
        <w:rPr>
          <w:rFonts w:hint="cs"/>
          <w:sz w:val="22"/>
          <w:szCs w:val="22"/>
          <w:rtl/>
        </w:rPr>
        <w:t>,</w:t>
      </w:r>
      <w:r w:rsidRPr="00BD5E91">
        <w:rPr>
          <w:sz w:val="22"/>
          <w:szCs w:val="22"/>
          <w:rtl/>
        </w:rPr>
        <w:t xml:space="preserve"> בן י"ה כידוע</w:t>
      </w:r>
      <w:r>
        <w:rPr>
          <w:rFonts w:hint="cs"/>
          <w:sz w:val="22"/>
          <w:szCs w:val="22"/>
          <w:rtl/>
        </w:rPr>
        <w:t>.</w:t>
      </w:r>
      <w:r w:rsidRPr="00BD5E91">
        <w:rPr>
          <w:sz w:val="22"/>
          <w:szCs w:val="22"/>
          <w:rtl/>
        </w:rPr>
        <w:t xml:space="preserve"> ובת הוא תורה שבע"פ</w:t>
      </w:r>
      <w:r>
        <w:rPr>
          <w:rFonts w:hint="cs"/>
          <w:sz w:val="22"/>
          <w:szCs w:val="22"/>
          <w:rtl/>
        </w:rPr>
        <w:t>.</w:t>
      </w:r>
      <w:r w:rsidRPr="00BD5E91">
        <w:rPr>
          <w:sz w:val="22"/>
          <w:szCs w:val="22"/>
          <w:rtl/>
        </w:rPr>
        <w:t xml:space="preserve"> ואמר שכל דעסקין ברזין שהוא היאורה אותן תשליכוהו כמש"ל שם וכד אתגלי לך אילנא דחיי בדרא בתראה כו' כמה נסיונות כו' ואורייתא אתחזרת לון נסיון לאינון דמשתדלין בה ויהויין בעאקו סגי כגוונא דמצרים דאתמר בה כל הבן הילוד היאורה תשליכוהו ודא אורייתא דבכתב כו' ולית מיתה דמארי דנהורא דאורייתא אלא כו' אבל אותן העוסקין בתורה שבע"פ תחיון שהן אינן יכולין לעמוד בנסיון רק הנ"ל כמש"ל דף ע"ו ע"ג ובה נתנסו אבהן ובזמנא דנתנסה כו' בההוא זמנא כו' עאכו"כ מאן דאתנסא בגין שכינתא בגלותא בגין כו' וכ"ז ברזין דאורייתא ה' צדיק יבחן שכל רזין בצדיק כמ"ש בתיקונים תי"ט דא יסוד דאיהו רזא אורייתא כו' כמ"ש סוד ה' ליראיו ובריתו כו' סוד מן יסוד ובריתו י' מן יסוד אות ברית כידוע:</w:t>
      </w:r>
    </w:p>
  </w:footnote>
  <w:footnote w:id="7949">
    <w:p w:rsidR="00007309" w:rsidRPr="00BD5E91" w:rsidRDefault="00007309" w:rsidP="00007309">
      <w:pPr>
        <w:jc w:val="both"/>
        <w:rPr>
          <w:rFonts w:cs="Arial"/>
          <w:sz w:val="22"/>
          <w:szCs w:val="22"/>
          <w:rtl/>
        </w:rPr>
      </w:pPr>
      <w:r w:rsidRPr="00BD5E91">
        <w:rPr>
          <w:rStyle w:val="a7"/>
          <w:rFonts w:cs="Arial"/>
          <w:sz w:val="22"/>
          <w:szCs w:val="22"/>
          <w:rtl/>
        </w:rPr>
        <w:footnoteRef/>
      </w:r>
      <w:r w:rsidRPr="00BD5E91">
        <w:rPr>
          <w:rFonts w:cs="Arial"/>
          <w:sz w:val="22"/>
          <w:szCs w:val="22"/>
          <w:rtl/>
        </w:rPr>
        <w:t xml:space="preserve"> </w:t>
      </w:r>
      <w:r w:rsidRPr="00BD5E91">
        <w:rPr>
          <w:rFonts w:cs="Arial"/>
          <w:b/>
          <w:bCs/>
          <w:sz w:val="22"/>
          <w:szCs w:val="22"/>
          <w:rtl/>
        </w:rPr>
        <w:t>בגין דהוה עתיד כו'.</w:t>
      </w:r>
      <w:r w:rsidRPr="00BD5E91">
        <w:rPr>
          <w:rFonts w:cs="Arial"/>
          <w:sz w:val="22"/>
          <w:szCs w:val="22"/>
          <w:rtl/>
        </w:rPr>
        <w:t xml:space="preserve"> קאי לעיל כל הבן כו' תשליכוהו כמ"ש </w:t>
      </w:r>
      <w:r>
        <w:rPr>
          <w:rFonts w:cs="Arial" w:hint="cs"/>
          <w:sz w:val="22"/>
          <w:szCs w:val="22"/>
          <w:rtl/>
        </w:rPr>
        <w:t xml:space="preserve">(סוטה יא ע"א) </w:t>
      </w:r>
      <w:r w:rsidRPr="00BD5E91">
        <w:rPr>
          <w:rFonts w:cs="Arial"/>
          <w:sz w:val="22"/>
          <w:szCs w:val="22"/>
          <w:rtl/>
        </w:rPr>
        <w:t>הבה נתחכמה לו</w:t>
      </w:r>
      <w:r>
        <w:rPr>
          <w:rFonts w:cs="Arial" w:hint="cs"/>
          <w:sz w:val="22"/>
          <w:szCs w:val="22"/>
          <w:rtl/>
        </w:rPr>
        <w:t>,</w:t>
      </w:r>
      <w:r w:rsidRPr="00BD5E91">
        <w:rPr>
          <w:rFonts w:cs="Arial"/>
          <w:sz w:val="22"/>
          <w:szCs w:val="22"/>
          <w:rtl/>
        </w:rPr>
        <w:t xml:space="preserve"> למושיען של ישראל כידוע ור"ל דברזין דאורייתא אילנא דחיי יצאו מן הגלות ויולד מושיע משה רבינו שהוא עתיד [לפה"נ חסר תיבת שיתגלה. במעתיק] ע"י לימוד רזין נהורא דאורייתא כמ"ש לעיל כמה פעמים וכ"ז באלף החמישי בגלות הזה:</w:t>
      </w:r>
    </w:p>
  </w:footnote>
  <w:footnote w:id="795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ולא עבדו הכי המילדות דאינון ב"מ.</w:t>
      </w:r>
      <w:r w:rsidRPr="00BD5E91">
        <w:rPr>
          <w:sz w:val="22"/>
          <w:szCs w:val="22"/>
          <w:rtl/>
        </w:rPr>
        <w:t xml:space="preserve"> כצ"ל והוא ר"ת ב' משיחין שהן המילדות ומוציאין מן הגלות כמ"ש בטרם תחיל ילדה ע' קלין דיולדה וכמש"ל דף ע"ד ע"ד מאן עוברא כו' ההוא ילד דאתייליד מינה באורייתא כו' דאתמר בהון אין בן דוד בא כו' בירחא כו':</w:t>
      </w:r>
    </w:p>
  </w:footnote>
  <w:footnote w:id="795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ותחיין את הילדים כו'.</w:t>
      </w:r>
      <w:r w:rsidRPr="00BD5E91">
        <w:rPr>
          <w:sz w:val="22"/>
          <w:szCs w:val="22"/>
          <w:rtl/>
        </w:rPr>
        <w:t xml:space="preserve"> כמ"ש למטה תרין משיחין כו' דאגינו על משפחה דאינון עתירין באורייתא כו' שהן היאורה תשליכוהו</w:t>
      </w:r>
      <w:r>
        <w:rPr>
          <w:rFonts w:hint="cs"/>
          <w:sz w:val="22"/>
          <w:szCs w:val="22"/>
          <w:rtl/>
        </w:rPr>
        <w:t>.</w:t>
      </w:r>
      <w:r w:rsidRPr="00BD5E91">
        <w:rPr>
          <w:sz w:val="22"/>
          <w:szCs w:val="22"/>
          <w:rtl/>
        </w:rPr>
        <w:t xml:space="preserve"> והמשיחין יקבלו על עצמן כל הנסיונות ויגינו עלייהו ולא יפקון בשמאלא</w:t>
      </w:r>
      <w:r>
        <w:rPr>
          <w:rFonts w:hint="cs"/>
          <w:sz w:val="22"/>
          <w:szCs w:val="22"/>
          <w:rtl/>
        </w:rPr>
        <w:t>,</w:t>
      </w:r>
      <w:r w:rsidRPr="00BD5E91">
        <w:rPr>
          <w:sz w:val="22"/>
          <w:szCs w:val="22"/>
          <w:rtl/>
        </w:rPr>
        <w:t xml:space="preserve"> דשם יהיה דוחה ואז ח"ו לא ישתארו אלא א' מעיר ושנים ממשפחה כדעת ר"ל אלא יצאו בימינא ושם יגינו עלייהו כמ"ש למטה וז"ש. בגין דהוו דחלין כו' את האלקים שיראו לאפקא מסט' דשמאל ששם היראה:</w:t>
      </w:r>
    </w:p>
  </w:footnote>
  <w:footnote w:id="795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ובהאי בן כו'.</w:t>
      </w:r>
      <w:r w:rsidRPr="00BD5E91">
        <w:rPr>
          <w:sz w:val="22"/>
          <w:szCs w:val="22"/>
          <w:rtl/>
        </w:rPr>
        <w:t xml:space="preserve"> מפ' תיבת תשליכוהו שהוא אותיות תשכ</w:t>
      </w:r>
      <w:r>
        <w:rPr>
          <w:rFonts w:hint="cs"/>
          <w:sz w:val="22"/>
          <w:szCs w:val="22"/>
          <w:rtl/>
        </w:rPr>
        <w:t>יל</w:t>
      </w:r>
      <w:r w:rsidRPr="00BD5E91">
        <w:rPr>
          <w:sz w:val="22"/>
          <w:szCs w:val="22"/>
          <w:rtl/>
        </w:rPr>
        <w:t>והו וז"ש. והמשכילים יזהירו כו':</w:t>
      </w:r>
    </w:p>
  </w:footnote>
  <w:footnote w:id="795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ביה יגל כו'.</w:t>
      </w:r>
      <w:r w:rsidRPr="00BD5E91">
        <w:rPr>
          <w:sz w:val="22"/>
          <w:szCs w:val="22"/>
          <w:rtl/>
        </w:rPr>
        <w:t xml:space="preserve"> ר"ל בו יגלה הקץ שעתידין ליגאל באלף הששי:</w:t>
      </w:r>
    </w:p>
  </w:footnote>
  <w:footnote w:id="795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פורקן כו'.</w:t>
      </w:r>
      <w:r w:rsidRPr="00BD5E91">
        <w:rPr>
          <w:sz w:val="22"/>
          <w:szCs w:val="22"/>
          <w:rtl/>
        </w:rPr>
        <w:t xml:space="preserve"> ר</w:t>
      </w:r>
      <w:r>
        <w:rPr>
          <w:rFonts w:hint="cs"/>
          <w:sz w:val="22"/>
          <w:szCs w:val="22"/>
          <w:rtl/>
        </w:rPr>
        <w:t>"</w:t>
      </w:r>
      <w:r w:rsidRPr="00BD5E91">
        <w:rPr>
          <w:sz w:val="22"/>
          <w:szCs w:val="22"/>
          <w:rtl/>
        </w:rPr>
        <w:t>ת פז"ק</w:t>
      </w:r>
      <w:r>
        <w:rPr>
          <w:rFonts w:hint="cs"/>
          <w:sz w:val="22"/>
          <w:szCs w:val="22"/>
          <w:rtl/>
        </w:rPr>
        <w:t>.</w:t>
      </w:r>
      <w:r w:rsidRPr="00BD5E91">
        <w:rPr>
          <w:sz w:val="22"/>
          <w:szCs w:val="22"/>
          <w:rtl/>
        </w:rPr>
        <w:t xml:space="preserve"> ופורקן הוא בלשון קודש פדיון כמש"ל דף ע"ה ע"ג דא איהו צדיק</w:t>
      </w:r>
      <w:r>
        <w:rPr>
          <w:rFonts w:hint="cs"/>
          <w:sz w:val="22"/>
          <w:szCs w:val="22"/>
          <w:rtl/>
        </w:rPr>
        <w:t>,</w:t>
      </w:r>
      <w:r w:rsidRPr="00BD5E91">
        <w:rPr>
          <w:sz w:val="22"/>
          <w:szCs w:val="22"/>
          <w:rtl/>
        </w:rPr>
        <w:t xml:space="preserve"> אלף שתיתאה</w:t>
      </w:r>
      <w:r>
        <w:rPr>
          <w:rFonts w:hint="cs"/>
          <w:sz w:val="22"/>
          <w:szCs w:val="22"/>
          <w:rtl/>
        </w:rPr>
        <w:t>,</w:t>
      </w:r>
      <w:r w:rsidRPr="00BD5E91">
        <w:rPr>
          <w:sz w:val="22"/>
          <w:szCs w:val="22"/>
          <w:rtl/>
        </w:rPr>
        <w:t xml:space="preserve"> דביה יגלה קב"ה פדיון כו' ע"ש:</w:t>
      </w:r>
    </w:p>
  </w:footnote>
  <w:footnote w:id="795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זרע קדושים.</w:t>
      </w:r>
      <w:r w:rsidRPr="00BD5E91">
        <w:rPr>
          <w:sz w:val="22"/>
          <w:szCs w:val="22"/>
          <w:rtl/>
        </w:rPr>
        <w:t xml:space="preserve"> שהוא בצדיק אלף שתיתאה אור זרוע לצדיק ואור הוא פורקנא כמש"ל דף ס"ב יהי אור יהא פורקנא:</w:t>
      </w:r>
    </w:p>
  </w:footnote>
  <w:footnote w:id="795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ועליה אתמר כו'.</w:t>
      </w:r>
      <w:r w:rsidRPr="00BD5E91">
        <w:rPr>
          <w:sz w:val="22"/>
          <w:szCs w:val="22"/>
          <w:rtl/>
        </w:rPr>
        <w:t xml:space="preserve"> ר"ל י' של יגר</w:t>
      </w:r>
      <w:r>
        <w:rPr>
          <w:rFonts w:hint="cs"/>
          <w:sz w:val="22"/>
          <w:szCs w:val="22"/>
          <w:rtl/>
        </w:rPr>
        <w:t>,</w:t>
      </w:r>
      <w:r w:rsidRPr="00BD5E91">
        <w:rPr>
          <w:sz w:val="22"/>
          <w:szCs w:val="22"/>
          <w:rtl/>
        </w:rPr>
        <w:t xml:space="preserve"> גל של גלעד</w:t>
      </w:r>
      <w:r>
        <w:rPr>
          <w:rFonts w:hint="cs"/>
          <w:sz w:val="22"/>
          <w:szCs w:val="22"/>
          <w:rtl/>
        </w:rPr>
        <w:t>,</w:t>
      </w:r>
      <w:r w:rsidRPr="00BD5E91">
        <w:rPr>
          <w:sz w:val="22"/>
          <w:szCs w:val="22"/>
          <w:rtl/>
        </w:rPr>
        <w:t xml:space="preserve"> הוא יג"ל</w:t>
      </w:r>
      <w:r>
        <w:rPr>
          <w:rFonts w:hint="cs"/>
          <w:sz w:val="22"/>
          <w:szCs w:val="22"/>
          <w:rtl/>
        </w:rPr>
        <w:t>,</w:t>
      </w:r>
      <w:r w:rsidRPr="00BD5E91">
        <w:rPr>
          <w:sz w:val="22"/>
          <w:szCs w:val="22"/>
          <w:rtl/>
        </w:rPr>
        <w:t xml:space="preserve"> והוא עד אם אני לא אעבור אליך כו' לרעה שאז וירא אלקים את האור כי טוב ויבדל כו' שקודם היו האור והחשך מעורבין בגלותא חשוכא מכסיא לנהורא ותבלענה הפרות כו' כידוע:</w:t>
      </w:r>
    </w:p>
  </w:footnote>
  <w:footnote w:id="795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וצדיק איהו עני.</w:t>
      </w:r>
      <w:r w:rsidRPr="00BD5E91">
        <w:rPr>
          <w:sz w:val="22"/>
          <w:szCs w:val="22"/>
          <w:rtl/>
        </w:rPr>
        <w:t xml:space="preserve"> ר"ל עני גי' יג"ל פ"ז ונשאר ק' וז"ש ותרין משיחין יקומון כגוונא דא. ר"ל כמו שני הגלין חד לקביל כו'. ולכן א' בלשון הקדש ה' עילאה קדש כידוע וא' תרגום בשכינה תתאה שבה תרגום כידוע ט' אחוריים דהויה ט"פ ע"ב גי' תרגום וראית את אחורי בט' ספי' דילה והן ב' ההין וז"ש. </w:t>
      </w:r>
      <w:r>
        <w:rPr>
          <w:rFonts w:hint="cs"/>
          <w:sz w:val="22"/>
          <w:szCs w:val="22"/>
          <w:rtl/>
        </w:rPr>
        <w:t>ד</w:t>
      </w:r>
      <w:r w:rsidRPr="00BD5E91">
        <w:rPr>
          <w:sz w:val="22"/>
          <w:szCs w:val="22"/>
          <w:rtl/>
        </w:rPr>
        <w:t>איהי כו' שכ"</w:t>
      </w:r>
      <w:r>
        <w:rPr>
          <w:rFonts w:hint="cs"/>
          <w:sz w:val="22"/>
          <w:szCs w:val="22"/>
          <w:rtl/>
        </w:rPr>
        <w:t>א</w:t>
      </w:r>
      <w:r w:rsidRPr="00BD5E91">
        <w:rPr>
          <w:sz w:val="22"/>
          <w:szCs w:val="22"/>
          <w:rtl/>
        </w:rPr>
        <w:t xml:space="preserve"> כלול מעשר כידוע שה' עילאה נק' מ"י נ' תרעין וה' תתאה י"</w:t>
      </w:r>
      <w:r>
        <w:rPr>
          <w:rFonts w:hint="cs"/>
          <w:sz w:val="22"/>
          <w:szCs w:val="22"/>
          <w:rtl/>
        </w:rPr>
        <w:t>ם</w:t>
      </w:r>
      <w:r w:rsidRPr="00BD5E91">
        <w:rPr>
          <w:sz w:val="22"/>
          <w:szCs w:val="22"/>
          <w:rtl/>
        </w:rPr>
        <w:t xml:space="preserve"> ג"כ נ' תרעין כידוע ק"ש דשחרית וערבית ושניהן הן ק'</w:t>
      </w:r>
      <w:r>
        <w:rPr>
          <w:rFonts w:hint="cs"/>
          <w:sz w:val="22"/>
          <w:szCs w:val="22"/>
          <w:rtl/>
        </w:rPr>
        <w:t>,</w:t>
      </w:r>
      <w:r w:rsidRPr="00BD5E91">
        <w:rPr>
          <w:sz w:val="22"/>
          <w:szCs w:val="22"/>
          <w:rtl/>
        </w:rPr>
        <w:t xml:space="preserve"> ק' של השם:</w:t>
      </w:r>
    </w:p>
  </w:footnote>
  <w:footnote w:id="795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6471B0">
        <w:rPr>
          <w:b/>
          <w:bCs/>
          <w:sz w:val="22"/>
          <w:szCs w:val="22"/>
          <w:rtl/>
        </w:rPr>
        <w:t>ע"ב תליין כו'.</w:t>
      </w:r>
      <w:r w:rsidRPr="00BD5E91">
        <w:rPr>
          <w:sz w:val="22"/>
          <w:szCs w:val="22"/>
          <w:rtl/>
        </w:rPr>
        <w:t xml:space="preserve"> </w:t>
      </w:r>
      <w:r>
        <w:rPr>
          <w:rFonts w:hint="cs"/>
          <w:sz w:val="22"/>
          <w:szCs w:val="22"/>
          <w:rtl/>
        </w:rPr>
        <w:t xml:space="preserve">ר"ל </w:t>
      </w:r>
      <w:r w:rsidRPr="00BD5E91">
        <w:rPr>
          <w:sz w:val="22"/>
          <w:szCs w:val="22"/>
          <w:rtl/>
        </w:rPr>
        <w:t>שג' הויות בג' חיון</w:t>
      </w:r>
      <w:r>
        <w:rPr>
          <w:rFonts w:hint="cs"/>
          <w:sz w:val="22"/>
          <w:szCs w:val="22"/>
          <w:rtl/>
        </w:rPr>
        <w:t>,</w:t>
      </w:r>
      <w:r w:rsidRPr="00BD5E91">
        <w:rPr>
          <w:sz w:val="22"/>
          <w:szCs w:val="22"/>
          <w:rtl/>
        </w:rPr>
        <w:t xml:space="preserve"> בכל חיה ד' אנפין ד' אותיות הויה פשוטה</w:t>
      </w:r>
      <w:r>
        <w:rPr>
          <w:rFonts w:hint="cs"/>
          <w:sz w:val="22"/>
          <w:szCs w:val="22"/>
          <w:rtl/>
        </w:rPr>
        <w:t xml:space="preserve">. </w:t>
      </w:r>
      <w:r w:rsidRPr="00BD5E91">
        <w:rPr>
          <w:sz w:val="22"/>
          <w:szCs w:val="22"/>
          <w:rtl/>
        </w:rPr>
        <w:t>וחיה הרביעית אדם כליל כלא כמ"ש ודמות פניהם כו' והוא שמא מפרש</w:t>
      </w:r>
      <w:r>
        <w:rPr>
          <w:rFonts w:hint="cs"/>
          <w:sz w:val="22"/>
          <w:szCs w:val="22"/>
          <w:rtl/>
        </w:rPr>
        <w:t>.</w:t>
      </w:r>
      <w:r w:rsidRPr="00BD5E91">
        <w:rPr>
          <w:sz w:val="22"/>
          <w:szCs w:val="22"/>
          <w:rtl/>
        </w:rPr>
        <w:t xml:space="preserve"> וג' חיון הן חג"ת שבכ"א ע"ב ג' פסוקים דויסע ויבא ויט והן אחוריים דהויה כמ"ש למטה ע"ב דא י' י"ה כו' ותליין מנהון ע"ב שמהן ואלין כו' והן ג"פ ע"ב והוא ע"ב שמות כ"א מג' ובכלל כולם הוא ע"ב וז"ש שמג' הויות תליין ע"ב והן ש' דמשה ג' אבהן כידוע</w:t>
      </w:r>
      <w:r>
        <w:rPr>
          <w:rFonts w:hint="cs"/>
          <w:sz w:val="22"/>
          <w:szCs w:val="22"/>
          <w:rtl/>
        </w:rPr>
        <w:t>.</w:t>
      </w:r>
      <w:r w:rsidRPr="00BD5E91">
        <w:rPr>
          <w:sz w:val="22"/>
          <w:szCs w:val="22"/>
          <w:rtl/>
        </w:rPr>
        <w:t xml:space="preserve"> מה דמשה חיה הרביעית שהוא עיקר השם של משה שעליו איתמר נעשה אדם כו</w:t>
      </w:r>
      <w:r>
        <w:rPr>
          <w:rFonts w:hint="cs"/>
          <w:sz w:val="22"/>
          <w:szCs w:val="22"/>
          <w:rtl/>
        </w:rPr>
        <w:t>'</w:t>
      </w:r>
      <w:r w:rsidRPr="00BD5E91">
        <w:rPr>
          <w:sz w:val="22"/>
          <w:szCs w:val="22"/>
          <w:rtl/>
        </w:rPr>
        <w:t xml:space="preserve"> וירדו בדגת הים כו' כמ"ש בר"מ פ' משפטים ע"ש והוא נאמר ביום הששי שבו שם הנ"ל הקץ דפורקנא שבו יתגלה וישלוט כמש"ו ור"ל ע"ב עם מ"ה גי' גלע"ד עם ב' ההין הנ"ל. יגר שהדותא גלעד עם ק' הנ"ל גי' אלו ב' שמות יגלפז"ק שקוצי"ת. עני צדיק עם שקוצית שכינה גי' </w:t>
      </w:r>
      <w:r>
        <w:rPr>
          <w:rFonts w:hint="cs"/>
          <w:sz w:val="22"/>
          <w:szCs w:val="22"/>
          <w:rtl/>
        </w:rPr>
        <w:t>ג</w:t>
      </w:r>
      <w:r w:rsidRPr="00BD5E91">
        <w:rPr>
          <w:sz w:val="22"/>
          <w:szCs w:val="22"/>
          <w:rtl/>
        </w:rPr>
        <w:t>לעד יגר שהדותא:</w:t>
      </w:r>
    </w:p>
  </w:footnote>
  <w:footnote w:id="795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ואינון סלקין כו'.</w:t>
      </w:r>
      <w:r w:rsidRPr="00BD5E91">
        <w:rPr>
          <w:sz w:val="22"/>
          <w:szCs w:val="22"/>
          <w:rtl/>
        </w:rPr>
        <w:t xml:space="preserve"> ר"ל אלו י"ב אנפין ג' הויות י"ב אותיות שם של י"ב כ"א סליק למאה הן אלף ומאתן שהוא הקץ שהן י"ב שבטין בכ"א מאה כמ"ש בזוהר שמות דף </w:t>
      </w:r>
      <w:r>
        <w:rPr>
          <w:rFonts w:hint="cs"/>
          <w:sz w:val="22"/>
          <w:szCs w:val="22"/>
          <w:rtl/>
        </w:rPr>
        <w:t>ט</w:t>
      </w:r>
      <w:r w:rsidRPr="00BD5E91">
        <w:rPr>
          <w:sz w:val="22"/>
          <w:szCs w:val="22"/>
          <w:rtl/>
        </w:rPr>
        <w:t>' ע"ב רזא דרזין כו' עשר שבטין אלף שנין</w:t>
      </w:r>
      <w:r>
        <w:rPr>
          <w:rFonts w:hint="cs"/>
          <w:sz w:val="22"/>
          <w:szCs w:val="22"/>
          <w:rtl/>
        </w:rPr>
        <w:t>,</w:t>
      </w:r>
      <w:r w:rsidRPr="00BD5E91">
        <w:rPr>
          <w:sz w:val="22"/>
          <w:szCs w:val="22"/>
          <w:rtl/>
        </w:rPr>
        <w:t xml:space="preserve"> תרין שבטין מאתן שנין וכמ"ש בה"ת ובר"מ כמה פעמים שעיקר הגלות אלף ומאתן שנין והוא ר"א עם י"ב י"ב אותיות הנ"ל י"ב אנפין הן יגר והוא יגר שהדותא:</w:t>
      </w:r>
    </w:p>
  </w:footnote>
  <w:footnote w:id="796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וכלא אתעכב כו'.</w:t>
      </w:r>
      <w:r w:rsidRPr="00BD5E91">
        <w:rPr>
          <w:sz w:val="22"/>
          <w:szCs w:val="22"/>
          <w:rtl/>
        </w:rPr>
        <w:t xml:space="preserve"> ר"ל עוד מ"ה שנים כמש"ו. שילה ר"ל גי' משה. ושבט ומחוקק הן ב' משיחין שהן נגד שני הגלין הנ"ל שאמרו שבט זה ראש גלות שבבבל</w:t>
      </w:r>
      <w:r>
        <w:rPr>
          <w:rFonts w:hint="cs"/>
          <w:sz w:val="22"/>
          <w:szCs w:val="22"/>
          <w:rtl/>
        </w:rPr>
        <w:t>,</w:t>
      </w:r>
      <w:r w:rsidRPr="00BD5E91">
        <w:rPr>
          <w:sz w:val="22"/>
          <w:szCs w:val="22"/>
          <w:rtl/>
        </w:rPr>
        <w:t xml:space="preserve"> שם לשון תרגום</w:t>
      </w:r>
      <w:r>
        <w:rPr>
          <w:rFonts w:hint="cs"/>
          <w:sz w:val="22"/>
          <w:szCs w:val="22"/>
          <w:rtl/>
        </w:rPr>
        <w:t>.</w:t>
      </w:r>
      <w:r w:rsidRPr="00BD5E91">
        <w:rPr>
          <w:sz w:val="22"/>
          <w:szCs w:val="22"/>
          <w:rtl/>
        </w:rPr>
        <w:t xml:space="preserve"> ומחוקק זה נשיא שבא"י שם לשון הקדש</w:t>
      </w:r>
      <w:r>
        <w:rPr>
          <w:rFonts w:hint="cs"/>
          <w:sz w:val="22"/>
          <w:szCs w:val="22"/>
          <w:rtl/>
        </w:rPr>
        <w:t>,</w:t>
      </w:r>
      <w:r w:rsidRPr="00BD5E91">
        <w:rPr>
          <w:sz w:val="22"/>
          <w:szCs w:val="22"/>
          <w:rtl/>
        </w:rPr>
        <w:t xml:space="preserve"> שהוא חלק לבם כמש"ל</w:t>
      </w:r>
      <w:r>
        <w:rPr>
          <w:rFonts w:hint="cs"/>
          <w:sz w:val="22"/>
          <w:szCs w:val="22"/>
          <w:rtl/>
        </w:rPr>
        <w:t>,</w:t>
      </w:r>
      <w:r w:rsidRPr="00BD5E91">
        <w:rPr>
          <w:sz w:val="22"/>
          <w:szCs w:val="22"/>
          <w:rtl/>
        </w:rPr>
        <w:t xml:space="preserve"> ל"ו בא"י ל"ו בח"ל</w:t>
      </w:r>
      <w:r>
        <w:rPr>
          <w:rFonts w:hint="cs"/>
          <w:sz w:val="22"/>
          <w:szCs w:val="22"/>
          <w:rtl/>
        </w:rPr>
        <w:t>,</w:t>
      </w:r>
      <w:r w:rsidRPr="00BD5E91">
        <w:rPr>
          <w:sz w:val="22"/>
          <w:szCs w:val="22"/>
          <w:rtl/>
        </w:rPr>
        <w:t xml:space="preserve"> זהו ויקרא ל"ו קרא ל"ו כו'</w:t>
      </w:r>
      <w:r>
        <w:rPr>
          <w:rFonts w:hint="cs"/>
          <w:sz w:val="22"/>
          <w:szCs w:val="22"/>
          <w:rtl/>
        </w:rPr>
        <w:t>,</w:t>
      </w:r>
      <w:r w:rsidRPr="00BD5E91">
        <w:rPr>
          <w:sz w:val="22"/>
          <w:szCs w:val="22"/>
          <w:rtl/>
        </w:rPr>
        <w:t xml:space="preserve"> וזהו לא יסור שבט כו' ב' משיחין</w:t>
      </w:r>
      <w:r>
        <w:rPr>
          <w:rFonts w:hint="cs"/>
          <w:sz w:val="22"/>
          <w:szCs w:val="22"/>
          <w:rtl/>
        </w:rPr>
        <w:t>,</w:t>
      </w:r>
      <w:r w:rsidRPr="00BD5E91">
        <w:rPr>
          <w:sz w:val="22"/>
          <w:szCs w:val="22"/>
          <w:rtl/>
        </w:rPr>
        <w:t xml:space="preserve"> עד כי יבא שילה וז"ש וכלא אתעכב כו' :</w:t>
      </w:r>
    </w:p>
  </w:footnote>
  <w:footnote w:id="796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ארבעין וחמש כו'.</w:t>
      </w:r>
      <w:r w:rsidRPr="00BD5E91">
        <w:rPr>
          <w:sz w:val="22"/>
          <w:szCs w:val="22"/>
          <w:rtl/>
        </w:rPr>
        <w:t xml:space="preserve"> אע"ג דבר"מ ובה"ת אמר ע"</w:t>
      </w:r>
      <w:r>
        <w:rPr>
          <w:rFonts w:hint="cs"/>
          <w:sz w:val="22"/>
          <w:szCs w:val="22"/>
          <w:rtl/>
        </w:rPr>
        <w:t>ב</w:t>
      </w:r>
      <w:r w:rsidRPr="00BD5E91">
        <w:rPr>
          <w:sz w:val="22"/>
          <w:szCs w:val="22"/>
          <w:rtl/>
        </w:rPr>
        <w:t xml:space="preserve"> שנין בתר אלף ומאתן</w:t>
      </w:r>
      <w:r>
        <w:rPr>
          <w:rFonts w:hint="cs"/>
          <w:sz w:val="22"/>
          <w:szCs w:val="22"/>
          <w:rtl/>
        </w:rPr>
        <w:t>,</w:t>
      </w:r>
      <w:r w:rsidRPr="00BD5E91">
        <w:rPr>
          <w:sz w:val="22"/>
          <w:szCs w:val="22"/>
          <w:rtl/>
        </w:rPr>
        <w:t xml:space="preserve"> כמה קצין הן כמש"ל דף ע"ג ע"ב כל ק</w:t>
      </w:r>
      <w:r>
        <w:rPr>
          <w:rFonts w:hint="cs"/>
          <w:sz w:val="22"/>
          <w:szCs w:val="22"/>
          <w:rtl/>
        </w:rPr>
        <w:t>ץ</w:t>
      </w:r>
      <w:r w:rsidRPr="00BD5E91">
        <w:rPr>
          <w:sz w:val="22"/>
          <w:szCs w:val="22"/>
          <w:rtl/>
        </w:rPr>
        <w:t xml:space="preserve"> דכל דרגא כו' ואית בתר אלף ומאתן כו' אית רמ"ה כו' וז"ש ה' רמה ידך כו' אף אש צריך תאכלם:</w:t>
      </w:r>
    </w:p>
  </w:footnote>
  <w:footnote w:id="796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וכלהו ד' אתוון נחתין בצדיק.</w:t>
      </w:r>
      <w:r w:rsidRPr="00BD5E91">
        <w:rPr>
          <w:sz w:val="22"/>
          <w:szCs w:val="22"/>
          <w:rtl/>
        </w:rPr>
        <w:t xml:space="preserve"> ר"ל ד' אתוון ד' חיות הנ"ל עם חיה דאדם דתליין מן ד' אותיות הויה</w:t>
      </w:r>
      <w:r>
        <w:rPr>
          <w:rFonts w:hint="cs"/>
          <w:sz w:val="22"/>
          <w:szCs w:val="22"/>
          <w:rtl/>
        </w:rPr>
        <w:t>,</w:t>
      </w:r>
      <w:r w:rsidRPr="00BD5E91">
        <w:rPr>
          <w:sz w:val="22"/>
          <w:szCs w:val="22"/>
          <w:rtl/>
        </w:rPr>
        <w:t xml:space="preserve"> יק"ו ג' חיון</w:t>
      </w:r>
      <w:r>
        <w:rPr>
          <w:rFonts w:hint="cs"/>
          <w:sz w:val="22"/>
          <w:szCs w:val="22"/>
          <w:rtl/>
        </w:rPr>
        <w:t>,</w:t>
      </w:r>
      <w:r w:rsidRPr="00BD5E91">
        <w:rPr>
          <w:sz w:val="22"/>
          <w:szCs w:val="22"/>
          <w:rtl/>
        </w:rPr>
        <w:t xml:space="preserve"> אדם ה' רביעי כידוע כלהו נ</w:t>
      </w:r>
      <w:r>
        <w:rPr>
          <w:rFonts w:hint="cs"/>
          <w:sz w:val="22"/>
          <w:szCs w:val="22"/>
          <w:rtl/>
        </w:rPr>
        <w:t>ח</w:t>
      </w:r>
      <w:r w:rsidRPr="00BD5E91">
        <w:rPr>
          <w:sz w:val="22"/>
          <w:szCs w:val="22"/>
          <w:rtl/>
        </w:rPr>
        <w:t xml:space="preserve">תין </w:t>
      </w:r>
      <w:r>
        <w:rPr>
          <w:rFonts w:hint="cs"/>
          <w:sz w:val="22"/>
          <w:szCs w:val="22"/>
          <w:rtl/>
        </w:rPr>
        <w:t>ב</w:t>
      </w:r>
      <w:r w:rsidRPr="00BD5E91">
        <w:rPr>
          <w:sz w:val="22"/>
          <w:szCs w:val="22"/>
          <w:rtl/>
        </w:rPr>
        <w:t>צדיק שבו הקץ כנ"ל:</w:t>
      </w:r>
    </w:p>
  </w:footnote>
  <w:footnote w:id="796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בגין דאיהו כו'.</w:t>
      </w:r>
      <w:r w:rsidRPr="00BD5E91">
        <w:rPr>
          <w:sz w:val="22"/>
          <w:szCs w:val="22"/>
          <w:rtl/>
        </w:rPr>
        <w:t xml:space="preserve"> ר"ל שבו מתייחדין הוי"ה אדנ"י וז"ש ומאי ניהו ר"ל היאך מתייחדין ואמר הויה עד"א כו' לשכינתא דאיהי אדנ"י כו':</w:t>
      </w:r>
    </w:p>
  </w:footnote>
  <w:footnote w:id="796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דין בגלותא.</w:t>
      </w:r>
      <w:r w:rsidRPr="00BD5E91">
        <w:rPr>
          <w:sz w:val="22"/>
          <w:szCs w:val="22"/>
          <w:rtl/>
        </w:rPr>
        <w:t xml:space="preserve"> ר"ל שבאדני אותיות דין</w:t>
      </w:r>
      <w:r>
        <w:rPr>
          <w:rFonts w:hint="cs"/>
          <w:sz w:val="22"/>
          <w:szCs w:val="22"/>
          <w:rtl/>
        </w:rPr>
        <w:t>,</w:t>
      </w:r>
      <w:r w:rsidRPr="00BD5E91">
        <w:rPr>
          <w:sz w:val="22"/>
          <w:szCs w:val="22"/>
          <w:rtl/>
        </w:rPr>
        <w:t xml:space="preserve"> דינא דמלכותא דינא אותיות אדני כמ"ש בר"מ פ' משפטים והיא בגלות לבד</w:t>
      </w:r>
      <w:r>
        <w:rPr>
          <w:rFonts w:hint="cs"/>
          <w:sz w:val="22"/>
          <w:szCs w:val="22"/>
          <w:rtl/>
        </w:rPr>
        <w:t>,</w:t>
      </w:r>
      <w:r w:rsidRPr="00BD5E91">
        <w:rPr>
          <w:sz w:val="22"/>
          <w:szCs w:val="22"/>
          <w:rtl/>
        </w:rPr>
        <w:t xml:space="preserve"> לכן מתנהג בדין</w:t>
      </w:r>
      <w:r>
        <w:rPr>
          <w:rFonts w:hint="cs"/>
          <w:sz w:val="22"/>
          <w:szCs w:val="22"/>
          <w:rtl/>
        </w:rPr>
        <w:t>,</w:t>
      </w:r>
      <w:r w:rsidRPr="00BD5E91">
        <w:rPr>
          <w:sz w:val="22"/>
          <w:szCs w:val="22"/>
          <w:rtl/>
        </w:rPr>
        <w:t xml:space="preserve"> ולעת הגאולה נהרא הוי"ה שהוא אור דנהיר בבת עין שכינה:</w:t>
      </w:r>
    </w:p>
  </w:footnote>
  <w:footnote w:id="796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ובגין דצדיק כו'.</w:t>
      </w:r>
      <w:r w:rsidRPr="00BD5E91">
        <w:rPr>
          <w:sz w:val="22"/>
          <w:szCs w:val="22"/>
          <w:rtl/>
        </w:rPr>
        <w:t xml:space="preserve"> כמש"ל דף ס"א ע"ב ע"ש</w:t>
      </w:r>
      <w:r>
        <w:rPr>
          <w:rFonts w:hint="cs"/>
          <w:sz w:val="22"/>
          <w:szCs w:val="22"/>
          <w:rtl/>
        </w:rPr>
        <w:t xml:space="preserve"> (אצלנו דף מו ע"א)</w:t>
      </w:r>
      <w:r w:rsidRPr="00BD5E91">
        <w:rPr>
          <w:sz w:val="22"/>
          <w:szCs w:val="22"/>
          <w:rtl/>
        </w:rPr>
        <w:t>:</w:t>
      </w:r>
    </w:p>
  </w:footnote>
  <w:footnote w:id="796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דתמן עותרא כו'.</w:t>
      </w:r>
      <w:r w:rsidRPr="00BD5E91">
        <w:rPr>
          <w:sz w:val="22"/>
          <w:szCs w:val="22"/>
          <w:rtl/>
        </w:rPr>
        <w:t xml:space="preserve"> ואז היה מת משיח בן יוסף כמ"ש שם בשביל עותריה כמש"ו:</w:t>
      </w:r>
    </w:p>
  </w:footnote>
  <w:footnote w:id="796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שמאל דוחה.</w:t>
      </w:r>
      <w:r w:rsidRPr="00BD5E91">
        <w:rPr>
          <w:sz w:val="22"/>
          <w:szCs w:val="22"/>
          <w:rtl/>
        </w:rPr>
        <w:t xml:space="preserve"> שהוא בסט' דשמאל:</w:t>
      </w:r>
    </w:p>
  </w:footnote>
  <w:footnote w:id="796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דאיהו עני וחכים.</w:t>
      </w:r>
      <w:r w:rsidRPr="00BD5E91">
        <w:rPr>
          <w:sz w:val="22"/>
          <w:szCs w:val="22"/>
          <w:rtl/>
        </w:rPr>
        <w:t xml:space="preserve"> כי ז' דברים שהן בז"ת שהן חכמה ועושר כו' כמ"ש ב</w:t>
      </w:r>
      <w:r>
        <w:rPr>
          <w:rFonts w:hint="cs"/>
          <w:sz w:val="22"/>
          <w:szCs w:val="22"/>
          <w:rtl/>
        </w:rPr>
        <w:t>ס</w:t>
      </w:r>
      <w:r w:rsidRPr="00BD5E91">
        <w:rPr>
          <w:sz w:val="22"/>
          <w:szCs w:val="22"/>
          <w:rtl/>
        </w:rPr>
        <w:t>"י פ"ד חכמה בימין ועושר בשמאל לכן כל חכם עני כמ"ש כי ארץ הנגב נתתני ומביא ראיה שנאמר מ</w:t>
      </w:r>
      <w:r>
        <w:rPr>
          <w:rFonts w:hint="cs"/>
          <w:sz w:val="22"/>
          <w:szCs w:val="22"/>
          <w:rtl/>
        </w:rPr>
        <w:t>ס</w:t>
      </w:r>
      <w:r w:rsidRPr="00BD5E91">
        <w:rPr>
          <w:sz w:val="22"/>
          <w:szCs w:val="22"/>
          <w:rtl/>
        </w:rPr>
        <w:t>כן וחכם וז"ש דתמן צדיק כו':</w:t>
      </w:r>
    </w:p>
  </w:footnote>
  <w:footnote w:id="796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בגין דאיהו עני כו'.</w:t>
      </w:r>
      <w:r w:rsidRPr="00BD5E91">
        <w:rPr>
          <w:sz w:val="22"/>
          <w:szCs w:val="22"/>
          <w:rtl/>
        </w:rPr>
        <w:t xml:space="preserve"> ואם היה אפיק משמאלא דתמן עותרא היה צריך למות דאתנזר על משיח בן יוסף מיתה כידוע לכן נפיק בימינא וז"ש ויצא חצי העיר בגולה מסט' דשמאלא וחצי העיר כו' מסט' דימינא שהן ב' משיחין כנ"ל:</w:t>
      </w:r>
    </w:p>
  </w:footnote>
  <w:footnote w:id="797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ועתירין באורייתא לא ישתארון כו'.</w:t>
      </w:r>
      <w:r w:rsidRPr="00BD5E91">
        <w:rPr>
          <w:sz w:val="22"/>
          <w:szCs w:val="22"/>
          <w:rtl/>
        </w:rPr>
        <w:t xml:space="preserve"> שעליהן נאמר כל הבן הילוד היאורה תשליכוהו כנ"ל והוא מיתה כנ"ל ואם היו יוצאין בשמאלא מסט' דעותרא אז היו צריכין למיתה ממש ואז לא היו נשארין אלא א' מעיר ושנים ממשפחה אבל בימינא א' מעיר יציל כל העיר ושנים ממשפחה יצילו כל המשפחה כדעת ר"י </w:t>
      </w:r>
      <w:r>
        <w:rPr>
          <w:rFonts w:hint="cs"/>
          <w:sz w:val="22"/>
          <w:szCs w:val="22"/>
          <w:rtl/>
        </w:rPr>
        <w:t xml:space="preserve">(יומא פו ע"א) </w:t>
      </w:r>
      <w:r w:rsidRPr="00BD5E91">
        <w:rPr>
          <w:sz w:val="22"/>
          <w:szCs w:val="22"/>
          <w:rtl/>
        </w:rPr>
        <w:t>וז"ש חד מעיר כו':</w:t>
      </w:r>
    </w:p>
  </w:footnote>
  <w:footnote w:id="797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על קרתא ודא כו'.</w:t>
      </w:r>
      <w:r w:rsidRPr="00BD5E91">
        <w:rPr>
          <w:sz w:val="22"/>
          <w:szCs w:val="22"/>
          <w:rtl/>
        </w:rPr>
        <w:t xml:space="preserve"> הוי"ה יגין על אדני העיר:</w:t>
      </w:r>
    </w:p>
  </w:footnote>
  <w:footnote w:id="797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ואחרנין כלהו כו'.</w:t>
      </w:r>
      <w:r w:rsidRPr="00BD5E91">
        <w:rPr>
          <w:sz w:val="22"/>
          <w:szCs w:val="22"/>
          <w:rtl/>
        </w:rPr>
        <w:t xml:space="preserve"> ר"ל שכל ישראל יהיו באותו זמן ריקם מכלהו ולא יהיו בהן א' באורייתא ובנבואה רק משה ואלו הב' משיחין. וז"ש. דאינון עתירין באורייתא ובנבואה. ר"ל משה וב' משיחין שמשה הוא דרגא דאורייתא וב' משיחין דרגא דנבואה נו"ה כמש"ל דף ע"ב ע"ג תרין נביאים תרין משיחין כו' ומשה יגין על העיר ירושלים וב' משיחין על ישראל שהן משפחה:</w:t>
      </w:r>
    </w:p>
  </w:footnote>
  <w:footnote w:id="797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ובעניותא דלהון.</w:t>
      </w:r>
      <w:r w:rsidRPr="00BD5E91">
        <w:rPr>
          <w:sz w:val="22"/>
          <w:szCs w:val="22"/>
          <w:rtl/>
        </w:rPr>
        <w:t xml:space="preserve"> שהן חכם ומסכן שיצאו בימינא ישת</w:t>
      </w:r>
      <w:r>
        <w:rPr>
          <w:rFonts w:hint="cs"/>
          <w:sz w:val="22"/>
          <w:szCs w:val="22"/>
          <w:rtl/>
        </w:rPr>
        <w:t>ז</w:t>
      </w:r>
      <w:r w:rsidRPr="00BD5E91">
        <w:rPr>
          <w:sz w:val="22"/>
          <w:szCs w:val="22"/>
          <w:rtl/>
        </w:rPr>
        <w:t>בון כו':</w:t>
      </w:r>
    </w:p>
  </w:footnote>
  <w:footnote w:id="797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*ויפקוד.</w:t>
      </w:r>
      <w:r w:rsidRPr="00BD5E91">
        <w:rPr>
          <w:sz w:val="22"/>
          <w:szCs w:val="22"/>
          <w:rtl/>
        </w:rPr>
        <w:t xml:space="preserve"> צ"ל ויפקון ברחמי מסט' דימינא:</w:t>
      </w:r>
    </w:p>
  </w:footnote>
  <w:footnote w:id="797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בה קץ הימין.</w:t>
      </w:r>
      <w:r w:rsidRPr="00BD5E91">
        <w:rPr>
          <w:sz w:val="22"/>
          <w:szCs w:val="22"/>
          <w:rtl/>
        </w:rPr>
        <w:t xml:space="preserve"> שקץ הוא בימינא והוא ברתיה דאברהם קץ דכל דרגין והוא שית וקץ שבה כלול יסוד וכל הו"ק שהן שית והיא שביעית קץ שלכן היא כלול מכל ז' שמות שבה נכלל כל השש וכן בשם זה נכלל כל השש שמות שית וקץ כנ"ל כמש"ל דף ע"ה ע"ג דתמן שית וקץ דאיהי כו':</w:t>
      </w:r>
    </w:p>
  </w:footnote>
  <w:footnote w:id="797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ורזא דמלה כוזו כו'.</w:t>
      </w:r>
      <w:r w:rsidRPr="00BD5E91">
        <w:rPr>
          <w:sz w:val="22"/>
          <w:szCs w:val="22"/>
          <w:rtl/>
        </w:rPr>
        <w:t xml:space="preserve"> אלו ג' שמות הן חילוף ה' אלקינו ה' כידוע והם ב"פ י"ד</w:t>
      </w:r>
      <w:r>
        <w:rPr>
          <w:rFonts w:hint="cs"/>
          <w:sz w:val="22"/>
          <w:szCs w:val="22"/>
          <w:rtl/>
        </w:rPr>
        <w:t>,</w:t>
      </w:r>
      <w:r w:rsidRPr="00BD5E91">
        <w:rPr>
          <w:sz w:val="22"/>
          <w:szCs w:val="22"/>
          <w:rtl/>
        </w:rPr>
        <w:t xml:space="preserve"> י"ד אותיות בזה וי"ד בזה והן יד ימין ויד שמאל ב' משיחין הנ"ל וז"ש אלקינו הוא כו' נגד משיח ראשון כמש"ל חד לקביל בית ראשון כו':</w:t>
      </w:r>
    </w:p>
  </w:footnote>
  <w:footnote w:id="797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וגאלתיך אנכי.</w:t>
      </w:r>
      <w:r w:rsidRPr="00BD5E91">
        <w:rPr>
          <w:sz w:val="22"/>
          <w:szCs w:val="22"/>
          <w:rtl/>
        </w:rPr>
        <w:t xml:space="preserve"> אנכי דיציאת מצרים בינה כידוע:</w:t>
      </w:r>
    </w:p>
  </w:footnote>
  <w:footnote w:id="797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שכבי עד הבקר.</w:t>
      </w:r>
      <w:r w:rsidRPr="00BD5E91">
        <w:rPr>
          <w:sz w:val="22"/>
          <w:szCs w:val="22"/>
          <w:rtl/>
        </w:rPr>
        <w:t xml:space="preserve"> בקר דאברהם ימינא שבו יצאו מסט' דבינה חי ה' שהוא הקץ בצדיק שכבי עד זמן דימינא שלא יצא בשמאל כנ"ל:</w:t>
      </w:r>
    </w:p>
  </w:footnote>
  <w:footnote w:id="797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 איהו כו' בלבי.</w:t>
      </w:r>
      <w:r w:rsidRPr="00BD5E91">
        <w:rPr>
          <w:sz w:val="22"/>
          <w:szCs w:val="22"/>
          <w:rtl/>
        </w:rPr>
        <w:t xml:space="preserve"> מ"ב אתוון הנ"ל:</w:t>
      </w:r>
    </w:p>
  </w:footnote>
  <w:footnote w:id="798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 שמא דע"ב.</w:t>
      </w:r>
      <w:r w:rsidRPr="00BD5E91">
        <w:rPr>
          <w:sz w:val="22"/>
          <w:szCs w:val="22"/>
          <w:rtl/>
        </w:rPr>
        <w:t xml:space="preserve"> גי' ללב"י שבו יתגלה הקץ כמש"ל ע"ב תליין כו' ואינון כו':</w:t>
      </w:r>
    </w:p>
  </w:footnote>
  <w:footnote w:id="798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דאיהי שכינתא כו'.</w:t>
      </w:r>
      <w:r w:rsidRPr="00BD5E91">
        <w:rPr>
          <w:sz w:val="22"/>
          <w:szCs w:val="22"/>
          <w:rtl/>
        </w:rPr>
        <w:t xml:space="preserve"> כמש"ל דף ס"א ע"ב בההוא זמנא דנחית נביעו כו' כמ"ש בת היתה לו לאברהם כו':</w:t>
      </w:r>
    </w:p>
  </w:footnote>
  <w:footnote w:id="798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וברחמים גדולים אקבצך.</w:t>
      </w:r>
      <w:r w:rsidRPr="00BD5E91">
        <w:rPr>
          <w:sz w:val="22"/>
          <w:szCs w:val="22"/>
          <w:rtl/>
        </w:rPr>
        <w:t xml:space="preserve"> מסט' דגדולה והוא כמ"ש בר"מ ו'ברחמים א'קבצך ו'בתחנונים ר"ת וא"ו י"ג מכילן כו':</w:t>
      </w:r>
    </w:p>
  </w:footnote>
  <w:footnote w:id="798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דכרת עם משה כו'.</w:t>
      </w:r>
      <w:r w:rsidRPr="00BD5E91">
        <w:rPr>
          <w:sz w:val="22"/>
          <w:szCs w:val="22"/>
          <w:rtl/>
        </w:rPr>
        <w:t xml:space="preserve"> כמ"ש לאחר י"ג מדות הנה אנכי כורת ברית נגד כל עמך אעשה נפלאות כו':</w:t>
      </w:r>
    </w:p>
  </w:footnote>
  <w:footnote w:id="798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דאינון חסד.</w:t>
      </w:r>
      <w:r w:rsidRPr="00BD5E91">
        <w:rPr>
          <w:sz w:val="22"/>
          <w:szCs w:val="22"/>
          <w:rtl/>
        </w:rPr>
        <w:t xml:space="preserve"> ר"ל גי' חסד:</w:t>
      </w:r>
    </w:p>
  </w:footnote>
  <w:footnote w:id="798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ודא אי</w:t>
      </w:r>
      <w:r>
        <w:rPr>
          <w:rFonts w:hint="cs"/>
          <w:b/>
          <w:bCs/>
          <w:sz w:val="22"/>
          <w:szCs w:val="22"/>
          <w:rtl/>
        </w:rPr>
        <w:t>ה</w:t>
      </w:r>
      <w:r w:rsidRPr="00BD5E91">
        <w:rPr>
          <w:b/>
          <w:bCs/>
          <w:sz w:val="22"/>
          <w:szCs w:val="22"/>
          <w:rtl/>
        </w:rPr>
        <w:t>ו י' כו'.</w:t>
      </w:r>
      <w:r w:rsidRPr="00BD5E91">
        <w:rPr>
          <w:sz w:val="22"/>
          <w:szCs w:val="22"/>
          <w:rtl/>
        </w:rPr>
        <w:t xml:space="preserve"> ר"ל אחוריים דהויה פשוטה ודמילוי ק"ל:</w:t>
      </w:r>
    </w:p>
  </w:footnote>
  <w:footnote w:id="798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ואינון כ"ו אתוון.</w:t>
      </w:r>
      <w:r w:rsidRPr="00BD5E91">
        <w:rPr>
          <w:sz w:val="22"/>
          <w:szCs w:val="22"/>
          <w:rtl/>
        </w:rPr>
        <w:t xml:space="preserve"> ר"ל אחוריים דמילוי. </w:t>
      </w:r>
      <w:r w:rsidRPr="00D54213">
        <w:rPr>
          <w:b/>
          <w:bCs/>
          <w:sz w:val="22"/>
          <w:szCs w:val="22"/>
          <w:rtl/>
        </w:rPr>
        <w:t>ונפקין מן יקוק.</w:t>
      </w:r>
      <w:r w:rsidRPr="00BD5E91">
        <w:rPr>
          <w:sz w:val="22"/>
          <w:szCs w:val="22"/>
          <w:rtl/>
        </w:rPr>
        <w:t xml:space="preserve"> ר"ל שהויה גי' כ"ו ור"ל כמש"ו ודא איהו הנה ה' כו'. ר"ל בגלות שולטין אחוריים לבד שהן דינים שבהן נאחזין הס"א אבל בגאולה אז יבא הויה פשוטה על האחוריים וזהו ה' שהוא הוי"ה פשוטה רוכב על כו' האחוריים וזהו רוכב ר"ב הן האחוריים כ"ו הויה פשוטה כמש"ל אז ונעו אלילי כו' שלא יהא בהם אחיזה כידוע:</w:t>
      </w:r>
    </w:p>
  </w:footnote>
  <w:footnote w:id="798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בההוא זמנא ה' כו'.</w:t>
      </w:r>
      <w:r w:rsidRPr="00BD5E91">
        <w:rPr>
          <w:sz w:val="22"/>
          <w:szCs w:val="22"/>
          <w:rtl/>
        </w:rPr>
        <w:t xml:space="preserve"> הויה פשוטה כנ"ל:</w:t>
      </w:r>
    </w:p>
  </w:footnote>
  <w:footnote w:id="798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ודא רביע.</w:t>
      </w:r>
      <w:r w:rsidRPr="00BD5E91">
        <w:rPr>
          <w:sz w:val="22"/>
          <w:szCs w:val="22"/>
          <w:rtl/>
        </w:rPr>
        <w:t xml:space="preserve"> כמש"ל דף ס"ב ע"א ע"ש </w:t>
      </w:r>
      <w:r>
        <w:rPr>
          <w:rFonts w:hint="cs"/>
          <w:sz w:val="22"/>
          <w:szCs w:val="22"/>
          <w:rtl/>
        </w:rPr>
        <w:t xml:space="preserve">(ג.פ: אצלנו הוא מג ע"א תקונא חד ועשרין) </w:t>
      </w:r>
      <w:r w:rsidRPr="00BD5E91">
        <w:rPr>
          <w:sz w:val="22"/>
          <w:szCs w:val="22"/>
          <w:rtl/>
        </w:rPr>
        <w:t>והוא אותיות ר' ב"י ר"ל שני יודין ע' והוא אותיות יריע:</w:t>
      </w:r>
    </w:p>
  </w:footnote>
  <w:footnote w:id="798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יצריח בשברים.</w:t>
      </w:r>
      <w:r w:rsidRPr="00BD5E91">
        <w:rPr>
          <w:sz w:val="22"/>
          <w:szCs w:val="22"/>
          <w:rtl/>
        </w:rPr>
        <w:t xml:space="preserve"> שיצריח הוא צעקה יותר מיריע:</w:t>
      </w:r>
    </w:p>
  </w:footnote>
  <w:footnote w:id="799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ואלין ב' גרישין.</w:t>
      </w:r>
      <w:r w:rsidRPr="00BD5E91">
        <w:rPr>
          <w:sz w:val="22"/>
          <w:szCs w:val="22"/>
          <w:rtl/>
        </w:rPr>
        <w:t xml:space="preserve"> והוא כמש"ל שם שרביע דוגמת חולם בתקיעה ושלשלת דו</w:t>
      </w:r>
      <w:r>
        <w:rPr>
          <w:rFonts w:hint="cs"/>
          <w:sz w:val="22"/>
          <w:szCs w:val="22"/>
          <w:rtl/>
        </w:rPr>
        <w:t>ג</w:t>
      </w:r>
      <w:r w:rsidRPr="00BD5E91">
        <w:rPr>
          <w:sz w:val="22"/>
          <w:szCs w:val="22"/>
          <w:rtl/>
        </w:rPr>
        <w:t xml:space="preserve">מת סגול ג' קוין בתרועה ושבא הוא שברים ודוגמתה הוא ב' גרישין והוא רומז </w:t>
      </w:r>
      <w:r>
        <w:rPr>
          <w:rFonts w:hint="cs"/>
          <w:sz w:val="22"/>
          <w:szCs w:val="22"/>
          <w:rtl/>
        </w:rPr>
        <w:t xml:space="preserve">(שמות יא א) </w:t>
      </w:r>
      <w:r w:rsidRPr="00BD5E91">
        <w:rPr>
          <w:sz w:val="22"/>
          <w:szCs w:val="22"/>
          <w:rtl/>
        </w:rPr>
        <w:t>כלה גרש יגרש אותן מעה"ז ומעה"ב ועולם חסד יבנה משם יתחיל לפיכך בחסד נקודה א' ובגבורה ב' ובת"ת ג' כנ"ל וז"ש. והא כו' שופר כו'. שופר הוא השכינה כמש"ל:</w:t>
      </w:r>
    </w:p>
  </w:footnote>
  <w:footnote w:id="799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ובההוא זמנא והפכתי כו'.</w:t>
      </w:r>
      <w:r w:rsidRPr="00BD5E91">
        <w:rPr>
          <w:sz w:val="22"/>
          <w:szCs w:val="22"/>
          <w:rtl/>
        </w:rPr>
        <w:t xml:space="preserve"> ר"ל שלכן ג"כ נקרא מהופך:</w:t>
      </w:r>
    </w:p>
  </w:footnote>
  <w:footnote w:id="799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יתקיים הקטן כו'.</w:t>
      </w:r>
      <w:r w:rsidRPr="00BD5E91">
        <w:rPr>
          <w:sz w:val="22"/>
          <w:szCs w:val="22"/>
          <w:rtl/>
        </w:rPr>
        <w:t xml:space="preserve"> זהו זקף קטן:</w:t>
      </w:r>
    </w:p>
  </w:footnote>
  <w:footnote w:id="799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והצעיר כו'.</w:t>
      </w:r>
      <w:r w:rsidRPr="00BD5E91">
        <w:rPr>
          <w:sz w:val="22"/>
          <w:szCs w:val="22"/>
          <w:rtl/>
        </w:rPr>
        <w:t xml:space="preserve"> זהו זקף גדול:</w:t>
      </w:r>
    </w:p>
  </w:footnote>
  <w:footnote w:id="799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בעת ה'.</w:t>
      </w:r>
      <w:r w:rsidRPr="00BD5E91">
        <w:rPr>
          <w:sz w:val="22"/>
          <w:szCs w:val="22"/>
          <w:rtl/>
        </w:rPr>
        <w:t xml:space="preserve"> כמ"ש אם זכו יצא מס' דדכורא ואז אחישנה וא</w:t>
      </w:r>
      <w:r>
        <w:rPr>
          <w:rFonts w:hint="cs"/>
          <w:sz w:val="22"/>
          <w:szCs w:val="22"/>
          <w:rtl/>
        </w:rPr>
        <w:t>ם לאו</w:t>
      </w:r>
      <w:r w:rsidRPr="00BD5E91">
        <w:rPr>
          <w:sz w:val="22"/>
          <w:szCs w:val="22"/>
          <w:rtl/>
        </w:rPr>
        <w:t xml:space="preserve"> מסט' דנוקבא בעתה:</w:t>
      </w:r>
    </w:p>
  </w:footnote>
  <w:footnote w:id="799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עת לעשות לה'.</w:t>
      </w:r>
      <w:r w:rsidRPr="00BD5E91">
        <w:rPr>
          <w:sz w:val="22"/>
          <w:szCs w:val="22"/>
          <w:rtl/>
        </w:rPr>
        <w:t xml:space="preserve"> כמ"ש לתקן אותה ולחבר לה':</w:t>
      </w:r>
    </w:p>
  </w:footnote>
  <w:footnote w:id="799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והאי אית כו'.</w:t>
      </w:r>
      <w:r w:rsidRPr="00BD5E91">
        <w:rPr>
          <w:sz w:val="22"/>
          <w:szCs w:val="22"/>
          <w:rtl/>
        </w:rPr>
        <w:t xml:space="preserve"> שהן י"</w:t>
      </w:r>
      <w:r>
        <w:rPr>
          <w:rFonts w:hint="cs"/>
          <w:sz w:val="22"/>
          <w:szCs w:val="22"/>
          <w:rtl/>
        </w:rPr>
        <w:t>ד</w:t>
      </w:r>
      <w:r w:rsidRPr="00BD5E91">
        <w:rPr>
          <w:sz w:val="22"/>
          <w:szCs w:val="22"/>
          <w:rtl/>
        </w:rPr>
        <w:t xml:space="preserve"> עתין דימינא טובין וי"ד דשמאלא:</w:t>
      </w:r>
    </w:p>
  </w:footnote>
  <w:footnote w:id="799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ורזא דמלה כו'.</w:t>
      </w:r>
      <w:r w:rsidRPr="00BD5E91">
        <w:rPr>
          <w:sz w:val="22"/>
          <w:szCs w:val="22"/>
          <w:rtl/>
        </w:rPr>
        <w:t xml:space="preserve"> ר"ל אחר לבכות תיכף לשחוק שלכן כליל אותן כ"א ועת א' הוא:</w:t>
      </w:r>
    </w:p>
  </w:footnote>
  <w:footnote w:id="799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דהא סגיא</w:t>
      </w:r>
      <w:r>
        <w:rPr>
          <w:rFonts w:hint="cs"/>
          <w:b/>
          <w:bCs/>
          <w:sz w:val="22"/>
          <w:szCs w:val="22"/>
          <w:rtl/>
        </w:rPr>
        <w:t>י</w:t>
      </w:r>
      <w:r w:rsidRPr="00BD5E91">
        <w:rPr>
          <w:b/>
          <w:bCs/>
          <w:sz w:val="22"/>
          <w:szCs w:val="22"/>
          <w:rtl/>
        </w:rPr>
        <w:t>ן כו'.</w:t>
      </w:r>
      <w:r w:rsidRPr="00BD5E91">
        <w:rPr>
          <w:sz w:val="22"/>
          <w:szCs w:val="22"/>
          <w:rtl/>
        </w:rPr>
        <w:t xml:space="preserve"> ר"ל י"ד עתין רעין הן ומי יודע איזה עת מיירי הקרא שאמר עת צרה כו' וז"ש לעתות בצרה י"ד עתות הנ"ל ובכולם משגב כנ"ל וממנה יושע שהן היפוך שהיא בפ' אחד כנ"ל:</w:t>
      </w:r>
    </w:p>
  </w:footnote>
  <w:footnote w:id="799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דבך.</w:t>
      </w:r>
      <w:r w:rsidRPr="00BD5E91">
        <w:rPr>
          <w:sz w:val="22"/>
          <w:szCs w:val="22"/>
          <w:rtl/>
        </w:rPr>
        <w:t xml:space="preserve"> צ"ל דכך וזש"ל מיד דייתי בכיה כו' שאז יקויים עני ורוכב על החמור שיצאו מסט' דימינא ואז י</w:t>
      </w:r>
      <w:r>
        <w:rPr>
          <w:rFonts w:hint="cs"/>
          <w:sz w:val="22"/>
          <w:szCs w:val="22"/>
          <w:rtl/>
        </w:rPr>
        <w:t>הא</w:t>
      </w:r>
      <w:r w:rsidRPr="00BD5E91">
        <w:rPr>
          <w:sz w:val="22"/>
          <w:szCs w:val="22"/>
          <w:rtl/>
        </w:rPr>
        <w:t xml:space="preserve"> עני כמש"ל ע"ב וזהו רוכב על החמור שהוא קליפה דסט' דימינא והכל בשביל שיתלבש בה' על ע"ב ק"ל שהוא רוכב כנ"ל וז"ש </w:t>
      </w:r>
      <w:r>
        <w:rPr>
          <w:rFonts w:hint="cs"/>
          <w:sz w:val="22"/>
          <w:szCs w:val="22"/>
          <w:rtl/>
        </w:rPr>
        <w:t xml:space="preserve">(תהלים קכו ו) </w:t>
      </w:r>
      <w:r w:rsidRPr="00BD5E91">
        <w:rPr>
          <w:sz w:val="22"/>
          <w:szCs w:val="22"/>
          <w:rtl/>
        </w:rPr>
        <w:t>הלוך ילך ובכה בא יבא כו':</w:t>
      </w:r>
    </w:p>
  </w:footnote>
  <w:footnote w:id="800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והנה נער כו'.</w:t>
      </w:r>
      <w:r w:rsidRPr="00BD5E91">
        <w:rPr>
          <w:sz w:val="22"/>
          <w:szCs w:val="22"/>
          <w:rtl/>
        </w:rPr>
        <w:t xml:space="preserve"> ישראל כמ"ש בזוהר שמות ע"ש וכן ותחמול עליו כמש"ו:</w:t>
      </w:r>
    </w:p>
  </w:footnote>
  <w:footnote w:id="800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ויתמהמה כו'.</w:t>
      </w:r>
      <w:r w:rsidRPr="00BD5E91">
        <w:rPr>
          <w:sz w:val="22"/>
          <w:szCs w:val="22"/>
          <w:rtl/>
        </w:rPr>
        <w:t xml:space="preserve"> שלא זכו לאחישנה והענין אם היו זכו לא היו יראין לצאת בסט' דשמאלא ואז היו יוצאין בעותרא אבל בימינא יצאו בדלות כמש"ל ע"ב:</w:t>
      </w:r>
    </w:p>
  </w:footnote>
  <w:footnote w:id="800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בידו.</w:t>
      </w:r>
      <w:r w:rsidRPr="00BD5E91">
        <w:rPr>
          <w:sz w:val="22"/>
          <w:szCs w:val="22"/>
          <w:rtl/>
        </w:rPr>
        <w:t xml:space="preserve"> הוא א' מעיר:</w:t>
      </w:r>
    </w:p>
  </w:footnote>
  <w:footnote w:id="800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וביד אשתו.</w:t>
      </w:r>
      <w:r w:rsidRPr="00BD5E91">
        <w:rPr>
          <w:sz w:val="22"/>
          <w:szCs w:val="22"/>
          <w:rtl/>
        </w:rPr>
        <w:t xml:space="preserve"> הוא שכינה כלת משה:</w:t>
      </w:r>
    </w:p>
  </w:footnote>
  <w:footnote w:id="800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וביד שתי בנותיו.</w:t>
      </w:r>
      <w:r w:rsidRPr="00BD5E91">
        <w:rPr>
          <w:sz w:val="22"/>
          <w:szCs w:val="22"/>
          <w:rtl/>
        </w:rPr>
        <w:t xml:space="preserve"> שנים ממשפחה. שהן בניו של א' מעיר כמ"ש וכל בניך  של ת"ת למודי ה' נו"ה ולפי שיצאו בסט' דנוקבא לכך קראן בנותיו:</w:t>
      </w:r>
    </w:p>
  </w:footnote>
  <w:footnote w:id="800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דהכי עתידין כו'.</w:t>
      </w:r>
      <w:r w:rsidRPr="00BD5E91">
        <w:rPr>
          <w:sz w:val="22"/>
          <w:szCs w:val="22"/>
          <w:rtl/>
        </w:rPr>
        <w:t xml:space="preserve"> ר"ל הערב רב כמ"ש בר"מ ע"ש וכמ"ש יסובבו מעיר לעיר ולא יחוננו והאריך בר"מ:</w:t>
      </w:r>
    </w:p>
  </w:footnote>
  <w:footnote w:id="800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ממיא דטופנא.</w:t>
      </w:r>
      <w:r w:rsidRPr="00BD5E91">
        <w:rPr>
          <w:sz w:val="22"/>
          <w:szCs w:val="22"/>
          <w:rtl/>
        </w:rPr>
        <w:t xml:space="preserve"> שהן הע"ר כמ"ש  ע"פ והמים היו כו' דאינון ע"ר:</w:t>
      </w:r>
    </w:p>
  </w:footnote>
  <w:footnote w:id="800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ועוד והנה נער  ר"ל משה רבינו:</w:t>
      </w:r>
    </w:p>
  </w:footnote>
  <w:footnote w:id="800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במאי דמחצתי כו'. במ"י חמשים מכות בינה כנ"ל:</w:t>
      </w:r>
    </w:p>
  </w:footnote>
  <w:footnote w:id="800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ובגין מה אעידך.</w:t>
      </w:r>
      <w:r w:rsidRPr="00BD5E91">
        <w:rPr>
          <w:sz w:val="22"/>
          <w:szCs w:val="22"/>
          <w:rtl/>
        </w:rPr>
        <w:t xml:space="preserve"> ר"ל כל זה בשביל השכינה משכונא דישראל שנק' מה שבה אעידך שבה העדות כמש"ל דף ע"ב ע"ג וכשסרחו בה לק</w:t>
      </w:r>
      <w:r>
        <w:rPr>
          <w:rFonts w:hint="cs"/>
          <w:sz w:val="22"/>
          <w:szCs w:val="22"/>
          <w:rtl/>
        </w:rPr>
        <w:t>ת</w:t>
      </w:r>
      <w:r w:rsidRPr="00BD5E91">
        <w:rPr>
          <w:sz w:val="22"/>
          <w:szCs w:val="22"/>
          <w:rtl/>
        </w:rPr>
        <w:t>ה עמהם וז"ש. שלימו דקרא כו' מה אשוה לך שהיא ג"כ לק</w:t>
      </w:r>
      <w:r>
        <w:rPr>
          <w:rFonts w:hint="cs"/>
          <w:sz w:val="22"/>
          <w:szCs w:val="22"/>
          <w:rtl/>
        </w:rPr>
        <w:t>ת</w:t>
      </w:r>
      <w:r w:rsidRPr="00BD5E91">
        <w:rPr>
          <w:sz w:val="22"/>
          <w:szCs w:val="22"/>
          <w:rtl/>
        </w:rPr>
        <w:t>ה כמוך לכן ואנחמך וזה גדול כים שהוא שכינה שנקראת ים לכן מי כו' וכן משה נקרא מ"ה כנ"ל ע"ב והוא ג</w:t>
      </w:r>
      <w:r>
        <w:rPr>
          <w:rFonts w:hint="cs"/>
          <w:sz w:val="22"/>
          <w:szCs w:val="22"/>
          <w:rtl/>
        </w:rPr>
        <w:t>"</w:t>
      </w:r>
      <w:r w:rsidRPr="00BD5E91">
        <w:rPr>
          <w:sz w:val="22"/>
          <w:szCs w:val="22"/>
          <w:rtl/>
        </w:rPr>
        <w:t>כ סובל עמהן כמש"ל והוא יתרפא במי כו':</w:t>
      </w:r>
    </w:p>
  </w:footnote>
  <w:footnote w:id="801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דאיהו כובד המלאכה.</w:t>
      </w:r>
      <w:r w:rsidRPr="00BD5E91">
        <w:rPr>
          <w:sz w:val="22"/>
          <w:szCs w:val="22"/>
          <w:rtl/>
        </w:rPr>
        <w:t xml:space="preserve"> בגלות:</w:t>
      </w:r>
    </w:p>
  </w:footnote>
  <w:footnote w:id="801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אשר עבדו כו'.</w:t>
      </w:r>
      <w:r w:rsidRPr="00BD5E91">
        <w:rPr>
          <w:sz w:val="22"/>
          <w:szCs w:val="22"/>
          <w:rtl/>
        </w:rPr>
        <w:t xml:space="preserve"> וימררו את חייהם באורייתא דבע"פ שעליה נאמר בעצבון תאכלנה. וקוץ ודרדר כו'. קושיין דאורייתא. ואכלת את עשב כו'. תבנ</w:t>
      </w:r>
      <w:r>
        <w:rPr>
          <w:rFonts w:hint="cs"/>
          <w:sz w:val="22"/>
          <w:szCs w:val="22"/>
          <w:rtl/>
        </w:rPr>
        <w:t>א</w:t>
      </w:r>
      <w:r w:rsidRPr="00BD5E91">
        <w:rPr>
          <w:sz w:val="22"/>
          <w:szCs w:val="22"/>
          <w:rtl/>
        </w:rPr>
        <w:t xml:space="preserve"> דאורייתא. בזעת אפיך כו'. שהן טפין טפין ברמיזה:</w:t>
      </w:r>
    </w:p>
  </w:footnote>
  <w:footnote w:id="801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ודא איהו אתנח.</w:t>
      </w:r>
      <w:r w:rsidRPr="00BD5E91">
        <w:rPr>
          <w:sz w:val="22"/>
          <w:szCs w:val="22"/>
          <w:rtl/>
        </w:rPr>
        <w:t xml:space="preserve"> ר"ל שיניח אותם כנ"ל:</w:t>
      </w:r>
    </w:p>
  </w:footnote>
  <w:footnote w:id="801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את האלקים כו'.</w:t>
      </w:r>
      <w:r w:rsidRPr="00BD5E91">
        <w:rPr>
          <w:sz w:val="22"/>
          <w:szCs w:val="22"/>
          <w:rtl/>
        </w:rPr>
        <w:t xml:space="preserve"> ר"ל את נח הוא אתנח האלקים הוא שופר כנ"ל התהלך הוא הולך שכל הפרשה דנח קאי על הגאולה כמש"ל דף ס"</w:t>
      </w:r>
      <w:r>
        <w:rPr>
          <w:rFonts w:hint="cs"/>
          <w:sz w:val="22"/>
          <w:szCs w:val="22"/>
          <w:rtl/>
        </w:rPr>
        <w:t>א</w:t>
      </w:r>
      <w:r w:rsidRPr="00BD5E91">
        <w:rPr>
          <w:sz w:val="22"/>
          <w:szCs w:val="22"/>
          <w:rtl/>
        </w:rPr>
        <w:t xml:space="preserve"> ע"ב</w:t>
      </w:r>
      <w:r>
        <w:rPr>
          <w:rFonts w:hint="cs"/>
          <w:sz w:val="22"/>
          <w:szCs w:val="22"/>
          <w:rtl/>
        </w:rPr>
        <w:t xml:space="preserve"> (ג.פ: אצלנו דף נו ע"א)</w:t>
      </w:r>
      <w:r w:rsidRPr="00BD5E91">
        <w:rPr>
          <w:sz w:val="22"/>
          <w:szCs w:val="22"/>
          <w:rtl/>
        </w:rPr>
        <w:t>:</w:t>
      </w:r>
    </w:p>
  </w:footnote>
  <w:footnote w:id="801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ויתמו חטאים.</w:t>
      </w:r>
      <w:r w:rsidRPr="00BD5E91">
        <w:rPr>
          <w:sz w:val="22"/>
          <w:szCs w:val="22"/>
          <w:rtl/>
        </w:rPr>
        <w:t xml:space="preserve"> עכשיו מפ' יתיב ור"ל יתמו הערב רב כמו אצל נח דור המבול כמ"ש </w:t>
      </w:r>
      <w:r>
        <w:rPr>
          <w:rFonts w:hint="cs"/>
          <w:sz w:val="22"/>
          <w:szCs w:val="22"/>
          <w:rtl/>
        </w:rPr>
        <w:t xml:space="preserve">(יחזקאל יג ט) </w:t>
      </w:r>
      <w:r w:rsidRPr="00BD5E91">
        <w:rPr>
          <w:sz w:val="22"/>
          <w:szCs w:val="22"/>
          <w:rtl/>
        </w:rPr>
        <w:t>ואל אדמ</w:t>
      </w:r>
      <w:r>
        <w:rPr>
          <w:rFonts w:hint="cs"/>
          <w:sz w:val="22"/>
          <w:szCs w:val="22"/>
          <w:rtl/>
        </w:rPr>
        <w:t>ת</w:t>
      </w:r>
      <w:r w:rsidRPr="00BD5E91">
        <w:rPr>
          <w:sz w:val="22"/>
          <w:szCs w:val="22"/>
          <w:rtl/>
        </w:rPr>
        <w:t xml:space="preserve"> ישראל לא יבואו:</w:t>
      </w:r>
    </w:p>
  </w:footnote>
  <w:footnote w:id="801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מוץ ותבן כו'.</w:t>
      </w:r>
      <w:r w:rsidRPr="00BD5E91">
        <w:rPr>
          <w:sz w:val="22"/>
          <w:szCs w:val="22"/>
          <w:rtl/>
        </w:rPr>
        <w:t xml:space="preserve"> כמ"ש </w:t>
      </w:r>
      <w:r>
        <w:rPr>
          <w:rFonts w:hint="cs"/>
          <w:sz w:val="22"/>
          <w:szCs w:val="22"/>
          <w:rtl/>
        </w:rPr>
        <w:t>בר"מ פ' משפטים דף ק"כ ע"ב כד יפקון מגלותא הכי יהון תבירין עד דיתבריר כו' ע"ש כל הענין:</w:t>
      </w:r>
    </w:p>
  </w:footnote>
  <w:footnote w:id="8016">
    <w:p w:rsidR="00007309" w:rsidRDefault="00007309" w:rsidP="00007309">
      <w:pPr>
        <w:pStyle w:val="a5"/>
      </w:pPr>
      <w:r>
        <w:rPr>
          <w:rStyle w:val="a7"/>
        </w:rPr>
        <w:footnoteRef/>
      </w:r>
      <w:r>
        <w:rPr>
          <w:rtl/>
        </w:rPr>
        <w:t xml:space="preserve"> </w:t>
      </w:r>
      <w:r w:rsidRPr="008040B8">
        <w:rPr>
          <w:rFonts w:hint="cs"/>
          <w:b/>
          <w:bCs/>
          <w:rtl/>
        </w:rPr>
        <w:t>תמחה את זכר עמלק.</w:t>
      </w:r>
      <w:r>
        <w:rPr>
          <w:rFonts w:hint="cs"/>
          <w:rtl/>
        </w:rPr>
        <w:t xml:space="preserve"> </w:t>
      </w:r>
      <w:r w:rsidRPr="00BD5E91">
        <w:rPr>
          <w:sz w:val="22"/>
          <w:szCs w:val="22"/>
          <w:rtl/>
        </w:rPr>
        <w:t>בזוהר דערב רב דישראל הן עמלקים ע"ש:</w:t>
      </w:r>
    </w:p>
  </w:footnote>
  <w:footnote w:id="801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דאינון דאשתארו כו'.</w:t>
      </w:r>
      <w:r w:rsidRPr="00BD5E91">
        <w:rPr>
          <w:sz w:val="22"/>
          <w:szCs w:val="22"/>
          <w:rtl/>
        </w:rPr>
        <w:t xml:space="preserve"> ר"ל הע"ר:</w:t>
      </w:r>
    </w:p>
  </w:footnote>
  <w:footnote w:id="801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דאינון הוו קיימין כו'.</w:t>
      </w:r>
      <w:r w:rsidRPr="00BD5E91">
        <w:rPr>
          <w:sz w:val="22"/>
          <w:szCs w:val="22"/>
          <w:rtl/>
        </w:rPr>
        <w:t xml:space="preserve"> ר"ל זהו כל היקום:</w:t>
      </w:r>
    </w:p>
  </w:footnote>
  <w:footnote w:id="801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בחמ</w:t>
      </w:r>
      <w:r>
        <w:rPr>
          <w:rFonts w:hint="cs"/>
          <w:b/>
          <w:bCs/>
          <w:sz w:val="22"/>
          <w:szCs w:val="22"/>
          <w:rtl/>
        </w:rPr>
        <w:t>ס</w:t>
      </w:r>
      <w:r w:rsidRPr="00BD5E91">
        <w:rPr>
          <w:b/>
          <w:bCs/>
          <w:sz w:val="22"/>
          <w:szCs w:val="22"/>
          <w:rtl/>
        </w:rPr>
        <w:t>.</w:t>
      </w:r>
      <w:r w:rsidRPr="00BD5E91">
        <w:rPr>
          <w:sz w:val="22"/>
          <w:szCs w:val="22"/>
          <w:rtl/>
        </w:rPr>
        <w:t xml:space="preserve"> כמ"ש </w:t>
      </w:r>
      <w:r>
        <w:rPr>
          <w:rFonts w:hint="cs"/>
          <w:sz w:val="22"/>
          <w:szCs w:val="22"/>
          <w:rtl/>
        </w:rPr>
        <w:t xml:space="preserve">(יחזקאל ז יא) </w:t>
      </w:r>
      <w:r w:rsidRPr="00BD5E91">
        <w:rPr>
          <w:sz w:val="22"/>
          <w:szCs w:val="22"/>
          <w:rtl/>
        </w:rPr>
        <w:t>החמ</w:t>
      </w:r>
      <w:r>
        <w:rPr>
          <w:rFonts w:hint="cs"/>
          <w:sz w:val="22"/>
          <w:szCs w:val="22"/>
          <w:rtl/>
        </w:rPr>
        <w:t>ס</w:t>
      </w:r>
      <w:r w:rsidRPr="00BD5E91">
        <w:rPr>
          <w:sz w:val="22"/>
          <w:szCs w:val="22"/>
          <w:rtl/>
        </w:rPr>
        <w:t xml:space="preserve"> קם למטה רשע:</w:t>
      </w:r>
    </w:p>
  </w:footnote>
  <w:footnote w:id="802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בגין דאינון רישין כו'.</w:t>
      </w:r>
      <w:r w:rsidRPr="00BD5E91">
        <w:rPr>
          <w:sz w:val="22"/>
          <w:szCs w:val="22"/>
          <w:rtl/>
        </w:rPr>
        <w:t xml:space="preserve"> כמ"ש </w:t>
      </w:r>
      <w:r>
        <w:rPr>
          <w:rFonts w:hint="cs"/>
          <w:sz w:val="22"/>
          <w:szCs w:val="22"/>
          <w:rtl/>
        </w:rPr>
        <w:t xml:space="preserve">(איכה א ה) </w:t>
      </w:r>
      <w:r w:rsidRPr="00BD5E91">
        <w:rPr>
          <w:sz w:val="22"/>
          <w:szCs w:val="22"/>
          <w:rtl/>
        </w:rPr>
        <w:t>היו צריה כו':</w:t>
      </w:r>
    </w:p>
  </w:footnote>
  <w:footnote w:id="802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על כס יה כו'.</w:t>
      </w:r>
      <w:r w:rsidRPr="00BD5E91">
        <w:rPr>
          <w:sz w:val="22"/>
          <w:szCs w:val="22"/>
          <w:rtl/>
        </w:rPr>
        <w:t xml:space="preserve"> כמ"ש בר"מ דמוץ ותבן אינו מחוייב במעשר שהוא י' ולא שריא על ה' ישראל ה' מיני תבואות עד דיתבריר שהוא המירוח וזהו על כס י"ה ע"ש:</w:t>
      </w:r>
    </w:p>
  </w:footnote>
  <w:footnote w:id="8022">
    <w:p w:rsidR="00007309" w:rsidRPr="00BD5E91" w:rsidRDefault="00007309" w:rsidP="00007309">
      <w:pPr>
        <w:jc w:val="both"/>
        <w:rPr>
          <w:rFonts w:cs="Arial"/>
          <w:sz w:val="22"/>
          <w:szCs w:val="22"/>
          <w:rtl/>
        </w:rPr>
      </w:pPr>
      <w:r w:rsidRPr="00BD5E91">
        <w:rPr>
          <w:rStyle w:val="a7"/>
          <w:rFonts w:cs="Arial"/>
          <w:sz w:val="22"/>
          <w:szCs w:val="22"/>
          <w:rtl/>
        </w:rPr>
        <w:footnoteRef/>
      </w:r>
      <w:r w:rsidRPr="00BD5E91">
        <w:rPr>
          <w:rFonts w:cs="Arial"/>
          <w:sz w:val="22"/>
          <w:szCs w:val="22"/>
          <w:rtl/>
        </w:rPr>
        <w:t xml:space="preserve"> </w:t>
      </w:r>
      <w:r w:rsidRPr="00BD5E91">
        <w:rPr>
          <w:rFonts w:cs="Arial"/>
          <w:b/>
          <w:bCs/>
          <w:sz w:val="22"/>
          <w:szCs w:val="22"/>
          <w:rtl/>
        </w:rPr>
        <w:t>לקיימא כו'.</w:t>
      </w:r>
      <w:r w:rsidRPr="00BD5E91">
        <w:rPr>
          <w:rFonts w:cs="Arial"/>
          <w:sz w:val="22"/>
          <w:szCs w:val="22"/>
          <w:rtl/>
        </w:rPr>
        <w:t xml:space="preserve"> ר"ל כתלג חיור. כשלג ילבינו:</w:t>
      </w:r>
    </w:p>
  </w:footnote>
  <w:footnote w:id="802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ועוד אם יהיו כו'.</w:t>
      </w:r>
      <w:r w:rsidRPr="00BD5E91">
        <w:rPr>
          <w:sz w:val="22"/>
          <w:szCs w:val="22"/>
          <w:rtl/>
        </w:rPr>
        <w:t xml:space="preserve"> ר"ל שלא זכו לצאת בסטרא דיצחק מחמת חטאתיהם שאז יאבדו בסט' דדינא ח"ו י</w:t>
      </w:r>
      <w:r>
        <w:rPr>
          <w:rFonts w:hint="cs"/>
          <w:sz w:val="22"/>
          <w:szCs w:val="22"/>
          <w:rtl/>
        </w:rPr>
        <w:t>צ</w:t>
      </w:r>
      <w:r w:rsidRPr="00BD5E91">
        <w:rPr>
          <w:sz w:val="22"/>
          <w:szCs w:val="22"/>
          <w:rtl/>
        </w:rPr>
        <w:t>או בסט' דאברהם שכבי עד הבקר ואז כשלג ילבינו:</w:t>
      </w:r>
    </w:p>
  </w:footnote>
  <w:footnote w:id="802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דביה מתלבנין</w:t>
      </w:r>
      <w:r w:rsidRPr="00BD5E91">
        <w:rPr>
          <w:sz w:val="22"/>
          <w:szCs w:val="22"/>
          <w:rtl/>
        </w:rPr>
        <w:t xml:space="preserve"> </w:t>
      </w:r>
      <w:r w:rsidRPr="008040B8">
        <w:rPr>
          <w:b/>
          <w:bCs/>
          <w:sz w:val="22"/>
          <w:szCs w:val="22"/>
          <w:rtl/>
        </w:rPr>
        <w:t>כורסייה שביבין דינור</w:t>
      </w:r>
      <w:r>
        <w:rPr>
          <w:rFonts w:hint="cs"/>
          <w:b/>
          <w:bCs/>
          <w:sz w:val="22"/>
          <w:szCs w:val="22"/>
          <w:rtl/>
        </w:rPr>
        <w:t>.</w:t>
      </w:r>
      <w:r w:rsidRPr="008040B8">
        <w:rPr>
          <w:b/>
          <w:bCs/>
          <w:sz w:val="22"/>
          <w:szCs w:val="22"/>
          <w:rtl/>
        </w:rPr>
        <w:t xml:space="preserve"> </w:t>
      </w:r>
      <w:r w:rsidRPr="00BD5E91">
        <w:rPr>
          <w:sz w:val="22"/>
          <w:szCs w:val="22"/>
          <w:rtl/>
        </w:rPr>
        <w:t>ר"ל שיתלבנו באש כמ"ש והבאתי את השלישית באש וצרפתים כצרוף את הכסף כו' כמו אברהם דאתלבן באש ולכן דרגיה חוורא כמ"</w:t>
      </w:r>
      <w:r>
        <w:rPr>
          <w:rFonts w:hint="cs"/>
          <w:sz w:val="22"/>
          <w:szCs w:val="22"/>
          <w:rtl/>
        </w:rPr>
        <w:t>ש</w:t>
      </w:r>
      <w:r w:rsidRPr="00BD5E91">
        <w:rPr>
          <w:sz w:val="22"/>
          <w:szCs w:val="22"/>
          <w:rtl/>
        </w:rPr>
        <w:t xml:space="preserve"> בזוהר פנחס דף רט"ו ע"א חוור דאברהם דאתלבן בחוורא דנורא וז"ש לבושיה כתלג כו' כעמר נקי שיהיו נקי מכל העבירות והכל בשביל כורסייה שביבין כו' וכמ"ש בעת ההיא אחפש את ירושלים בנרות שביבין דינור כנ"ל והכל שיצאו בחסד כי אם יצאו בסט' דדינא לא היה להם תקוה ח"ו שלא יצא אלא א' מעיר ושנים ממשפחה וז"ש. בההוא זמנא כו' למיעבד בהון דינא כו' נחתין כל חובין כו' מיד קביל לה קב"ה בימינא כו':</w:t>
      </w:r>
    </w:p>
  </w:footnote>
  <w:footnote w:id="802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בההוא זמנא דיתיב כו' שריא כו'.</w:t>
      </w:r>
      <w:r w:rsidRPr="00BD5E91">
        <w:rPr>
          <w:sz w:val="22"/>
          <w:szCs w:val="22"/>
          <w:rtl/>
        </w:rPr>
        <w:t xml:space="preserve"> ר"ל זהו כורסייה שביבין כו' ואז וארו עם ענני שמיא כו':</w:t>
      </w:r>
    </w:p>
  </w:footnote>
  <w:footnote w:id="802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מיד אתנח.</w:t>
      </w:r>
      <w:r w:rsidRPr="00BD5E91">
        <w:rPr>
          <w:sz w:val="22"/>
          <w:szCs w:val="22"/>
          <w:rtl/>
        </w:rPr>
        <w:t xml:space="preserve"> כנ"ל אתנח יתיב:</w:t>
      </w:r>
    </w:p>
  </w:footnote>
  <w:footnote w:id="802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ותנח.</w:t>
      </w:r>
      <w:r w:rsidRPr="00BD5E91">
        <w:rPr>
          <w:sz w:val="22"/>
          <w:szCs w:val="22"/>
          <w:rtl/>
        </w:rPr>
        <w:t xml:space="preserve"> ר"ל זהו אתנח:</w:t>
      </w:r>
    </w:p>
  </w:footnote>
  <w:footnote w:id="802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התבה.</w:t>
      </w:r>
      <w:r w:rsidRPr="00BD5E91">
        <w:rPr>
          <w:sz w:val="22"/>
          <w:szCs w:val="22"/>
          <w:rtl/>
        </w:rPr>
        <w:t xml:space="preserve"> שכינה כידוע:</w:t>
      </w:r>
    </w:p>
  </w:footnote>
  <w:footnote w:id="802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שרייא </w:t>
      </w:r>
      <w:r>
        <w:rPr>
          <w:rFonts w:hint="cs"/>
          <w:b/>
          <w:bCs/>
          <w:sz w:val="22"/>
          <w:szCs w:val="22"/>
          <w:rtl/>
        </w:rPr>
        <w:t>ב</w:t>
      </w:r>
      <w:r w:rsidRPr="00BD5E91">
        <w:rPr>
          <w:b/>
          <w:bCs/>
          <w:sz w:val="22"/>
          <w:szCs w:val="22"/>
          <w:rtl/>
        </w:rPr>
        <w:t>טורי</w:t>
      </w:r>
      <w:r>
        <w:rPr>
          <w:rFonts w:hint="cs"/>
          <w:b/>
          <w:bCs/>
          <w:sz w:val="22"/>
          <w:szCs w:val="22"/>
          <w:rtl/>
        </w:rPr>
        <w:t xml:space="preserve"> כו'</w:t>
      </w:r>
      <w:r w:rsidRPr="00BD5E91">
        <w:rPr>
          <w:b/>
          <w:bCs/>
          <w:sz w:val="22"/>
          <w:szCs w:val="22"/>
          <w:rtl/>
        </w:rPr>
        <w:t>.</w:t>
      </w:r>
      <w:r w:rsidRPr="00BD5E91">
        <w:rPr>
          <w:sz w:val="22"/>
          <w:szCs w:val="22"/>
          <w:rtl/>
        </w:rPr>
        <w:t xml:space="preserve"> כמ"ש על הרי אררט ור"ל אררט לשון ארירו כמש"ו ור"ל על ישראל כמש"ו למיעבד כו':</w:t>
      </w:r>
    </w:p>
  </w:footnote>
  <w:footnote w:id="803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טורי קדרו.</w:t>
      </w:r>
      <w:r w:rsidRPr="00BD5E91">
        <w:rPr>
          <w:sz w:val="22"/>
          <w:szCs w:val="22"/>
          <w:rtl/>
        </w:rPr>
        <w:t xml:space="preserve"> כמ"ש בת"</w:t>
      </w:r>
      <w:r>
        <w:rPr>
          <w:rFonts w:hint="cs"/>
          <w:sz w:val="22"/>
          <w:szCs w:val="22"/>
          <w:rtl/>
        </w:rPr>
        <w:t>א:</w:t>
      </w:r>
    </w:p>
  </w:footnote>
  <w:footnote w:id="803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טורין חשוכין.</w:t>
      </w:r>
      <w:r w:rsidRPr="00BD5E91">
        <w:rPr>
          <w:sz w:val="22"/>
          <w:szCs w:val="22"/>
          <w:rtl/>
        </w:rPr>
        <w:t xml:space="preserve"> שהרי אררט הן הרי חשך:</w:t>
      </w:r>
    </w:p>
  </w:footnote>
  <w:footnote w:id="803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חשוכין בגלותא.</w:t>
      </w:r>
      <w:r w:rsidRPr="00BD5E91">
        <w:rPr>
          <w:sz w:val="22"/>
          <w:szCs w:val="22"/>
          <w:rtl/>
        </w:rPr>
        <w:t xml:space="preserve"> ר"ל ישראל הן הרי אררט בגלותא כמש"ו. הה"ד ארור כו' שכל התוכחה הכל נתקיים בגלות תוכחה הראשונה בגלות הראשון בגלות בבל ותוכחה השניה בגלות אדום מחריבי הבית:</w:t>
      </w:r>
    </w:p>
  </w:footnote>
  <w:footnote w:id="803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דבההוא זמנא נחתין כו'.</w:t>
      </w:r>
      <w:r w:rsidRPr="00BD5E91">
        <w:rPr>
          <w:sz w:val="22"/>
          <w:szCs w:val="22"/>
          <w:rtl/>
        </w:rPr>
        <w:t xml:space="preserve"> כמ"ש בעת ההיא יבוקש עון בית יהודה ולא תמצאינה כי אסלח לאשר אשאיר שלא יוכלו לקבל כל חובין וז"ש לעיל בההוא זמנא כו' ימחול לישראל כו':</w:t>
      </w:r>
    </w:p>
  </w:footnote>
  <w:footnote w:id="803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נחתין על חייביא.</w:t>
      </w:r>
      <w:r w:rsidRPr="00BD5E91">
        <w:rPr>
          <w:sz w:val="22"/>
          <w:szCs w:val="22"/>
          <w:rtl/>
        </w:rPr>
        <w:t xml:space="preserve"> הע"ר לכן יצליחו מאד:</w:t>
      </w:r>
    </w:p>
  </w:footnote>
  <w:footnote w:id="803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מלאכי אלקים.</w:t>
      </w:r>
      <w:r w:rsidRPr="00BD5E91">
        <w:rPr>
          <w:sz w:val="22"/>
          <w:szCs w:val="22"/>
          <w:rtl/>
        </w:rPr>
        <w:t xml:space="preserve"> שלוחי דדינא ששם בהיכל זכות שוקלין הזכיות וחובות:</w:t>
      </w:r>
    </w:p>
  </w:footnote>
  <w:footnote w:id="803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וכולא בהאי סולם.</w:t>
      </w:r>
      <w:r w:rsidRPr="00BD5E91">
        <w:rPr>
          <w:sz w:val="22"/>
          <w:szCs w:val="22"/>
          <w:rtl/>
        </w:rPr>
        <w:t xml:space="preserve"> ר"ל ביעקב שהן ישראל כמ"ש והנה ה' נצב עליו על יעקב שהוא הסולם והוא רמז לגלות כמ"ש סולם של ד' שליבות ד' גליות ראה מלכות בבל עולה ויורדת מלכות מדי כו':</w:t>
      </w:r>
    </w:p>
  </w:footnote>
  <w:footnote w:id="803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ובטעמי סולם איהו שופר הולך כו'.</w:t>
      </w:r>
      <w:r w:rsidRPr="00BD5E91">
        <w:rPr>
          <w:sz w:val="22"/>
          <w:szCs w:val="22"/>
          <w:rtl/>
        </w:rPr>
        <w:t xml:space="preserve"> ר"ל דרגא הוא סולם</w:t>
      </w:r>
      <w:r>
        <w:rPr>
          <w:rFonts w:hint="cs"/>
          <w:sz w:val="22"/>
          <w:szCs w:val="22"/>
          <w:rtl/>
        </w:rPr>
        <w:t>,</w:t>
      </w:r>
      <w:r w:rsidRPr="00BD5E91">
        <w:rPr>
          <w:sz w:val="22"/>
          <w:szCs w:val="22"/>
          <w:rtl/>
        </w:rPr>
        <w:t xml:space="preserve"> שופר הולך הוא עולה</w:t>
      </w:r>
      <w:r>
        <w:rPr>
          <w:rFonts w:hint="cs"/>
          <w:sz w:val="22"/>
          <w:szCs w:val="22"/>
          <w:rtl/>
        </w:rPr>
        <w:t>,</w:t>
      </w:r>
      <w:r w:rsidRPr="00BD5E91">
        <w:rPr>
          <w:sz w:val="22"/>
          <w:szCs w:val="22"/>
          <w:rtl/>
        </w:rPr>
        <w:t xml:space="preserve"> רביע נחית כמש"ל דף ע"ט ע"ד כאימא דרביע כו' אשר יסרתו אמו ויסורין שלהן יסורין של אהבה מסט' דאברהם כנ"ל כמ"ש בחבלי אדם אמשכם בעבותות אהבה ואהי להם כו' ואט אליו אוכיל שיוכל לסבול מעט מעט כפיד של תרנגולת כמ"ש אם בפידו כו' וזהו תרי טעמי שופר הולך ורביע שהן ב' טעמים ור"ל דרגא ביה עולים ויורדים וזהו תרי טעמי:</w:t>
      </w:r>
    </w:p>
  </w:footnote>
  <w:footnote w:id="803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כך שכינתא כו'.</w:t>
      </w:r>
      <w:r w:rsidRPr="00BD5E91">
        <w:rPr>
          <w:sz w:val="22"/>
          <w:szCs w:val="22"/>
          <w:rtl/>
        </w:rPr>
        <w:t xml:space="preserve"> כמ"</w:t>
      </w:r>
      <w:r>
        <w:rPr>
          <w:rFonts w:hint="cs"/>
          <w:sz w:val="22"/>
          <w:szCs w:val="22"/>
          <w:rtl/>
        </w:rPr>
        <w:t>ש</w:t>
      </w:r>
      <w:r w:rsidRPr="00BD5E91">
        <w:rPr>
          <w:sz w:val="22"/>
          <w:szCs w:val="22"/>
          <w:rtl/>
        </w:rPr>
        <w:t xml:space="preserve"> התנערי מעפר קומי שהיא תתנער מחובין דאנחיתו לה עד עפר ויזרוק עליהן ואז קומי:</w:t>
      </w:r>
    </w:p>
  </w:footnote>
  <w:footnote w:id="803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וישלח ידו כו'.</w:t>
      </w:r>
      <w:r w:rsidRPr="00BD5E91">
        <w:rPr>
          <w:sz w:val="22"/>
          <w:szCs w:val="22"/>
          <w:rtl/>
        </w:rPr>
        <w:t xml:space="preserve"> שיונה היא שכינה כמ"ש</w:t>
      </w:r>
      <w:r>
        <w:rPr>
          <w:rFonts w:hint="cs"/>
          <w:sz w:val="22"/>
          <w:szCs w:val="22"/>
          <w:rtl/>
        </w:rPr>
        <w:t xml:space="preserve"> (שבת מט ע"א)</w:t>
      </w:r>
      <w:r w:rsidRPr="00BD5E91">
        <w:rPr>
          <w:sz w:val="22"/>
          <w:szCs w:val="22"/>
          <w:rtl/>
        </w:rPr>
        <w:t xml:space="preserve"> מה יונה כו' אף כנסת ישראל כו'</w:t>
      </w:r>
      <w:r>
        <w:rPr>
          <w:rFonts w:hint="cs"/>
          <w:sz w:val="22"/>
          <w:szCs w:val="22"/>
          <w:rtl/>
        </w:rPr>
        <w:t>.</w:t>
      </w:r>
      <w:r w:rsidRPr="00BD5E91">
        <w:rPr>
          <w:sz w:val="22"/>
          <w:szCs w:val="22"/>
          <w:rtl/>
        </w:rPr>
        <w:t xml:space="preserve"> ולא מצאה היונה מנוח לכף רגלה </w:t>
      </w:r>
      <w:r>
        <w:rPr>
          <w:rFonts w:hint="cs"/>
          <w:sz w:val="22"/>
          <w:szCs w:val="22"/>
          <w:rtl/>
        </w:rPr>
        <w:t xml:space="preserve">(בראשית ח ט) </w:t>
      </w:r>
      <w:r w:rsidRPr="00BD5E91">
        <w:rPr>
          <w:sz w:val="22"/>
          <w:szCs w:val="22"/>
          <w:rtl/>
        </w:rPr>
        <w:t>דאנחיתו לה כנ"ל וזהו כי מים ע"פ כל הארץ</w:t>
      </w:r>
      <w:r>
        <w:rPr>
          <w:rFonts w:hint="cs"/>
          <w:sz w:val="22"/>
          <w:szCs w:val="22"/>
          <w:rtl/>
        </w:rPr>
        <w:t>,</w:t>
      </w:r>
      <w:r w:rsidRPr="00BD5E91">
        <w:rPr>
          <w:sz w:val="22"/>
          <w:szCs w:val="22"/>
          <w:rtl/>
        </w:rPr>
        <w:t xml:space="preserve"> הע"ר כמש"ו וישלח ידו כו' ור"ל וישלח ידו כמו </w:t>
      </w:r>
      <w:r>
        <w:rPr>
          <w:rFonts w:hint="cs"/>
          <w:sz w:val="22"/>
          <w:szCs w:val="22"/>
          <w:rtl/>
        </w:rPr>
        <w:t xml:space="preserve">(שמות ט טו) </w:t>
      </w:r>
      <w:r w:rsidRPr="00BD5E91">
        <w:rPr>
          <w:sz w:val="22"/>
          <w:szCs w:val="22"/>
          <w:rtl/>
        </w:rPr>
        <w:t>כי עתה שלחתי את ידי ואך כו'</w:t>
      </w:r>
      <w:r>
        <w:rPr>
          <w:rFonts w:hint="cs"/>
          <w:sz w:val="22"/>
          <w:szCs w:val="22"/>
          <w:rtl/>
        </w:rPr>
        <w:t>,</w:t>
      </w:r>
      <w:r w:rsidRPr="00BD5E91">
        <w:rPr>
          <w:sz w:val="22"/>
          <w:szCs w:val="22"/>
          <w:rtl/>
        </w:rPr>
        <w:t xml:space="preserve"> שישלח ידו דנחתין חובות ואז ויקחה ויבא כו' כנ"ל והוא ימינא בחסד כנ"ל וכן שלחתי את ידי דפרעה שמכת דבר היתה בנייחא וברד בתוקפא כמ"ש בזוהר דבר הוא אתוון דברד דא בנייחא כו':</w:t>
      </w:r>
    </w:p>
  </w:footnote>
  <w:footnote w:id="804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בההוא זמנא כו'.</w:t>
      </w:r>
      <w:r w:rsidRPr="00BD5E91">
        <w:rPr>
          <w:sz w:val="22"/>
          <w:szCs w:val="22"/>
          <w:rtl/>
        </w:rPr>
        <w:t xml:space="preserve"> שיכלו הע"ר כנ"ל שבתחלה גברו מאד מאד על הארץ והתיבה היתה משוקעת במים י"א אמה י"א ארורים י"א קליפין כידוע והן נגד ו"ה שבשם ששם אחיזתן שהן בגלות כידוע חמש עשרה אמה מלמעלה גברו המים שהגיעו עד י"ה לא אבוא בירושלים כו':</w:t>
      </w:r>
    </w:p>
  </w:footnote>
  <w:footnote w:id="804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עד ה</w:t>
      </w:r>
      <w:r>
        <w:rPr>
          <w:rFonts w:hint="cs"/>
          <w:b/>
          <w:bCs/>
          <w:sz w:val="22"/>
          <w:szCs w:val="22"/>
          <w:rtl/>
        </w:rPr>
        <w:t>ח</w:t>
      </w:r>
      <w:r w:rsidRPr="00BD5E91">
        <w:rPr>
          <w:b/>
          <w:bCs/>
          <w:sz w:val="22"/>
          <w:szCs w:val="22"/>
          <w:rtl/>
        </w:rPr>
        <w:t>דש העשירי.</w:t>
      </w:r>
      <w:r w:rsidRPr="00BD5E91">
        <w:rPr>
          <w:sz w:val="22"/>
          <w:szCs w:val="22"/>
          <w:rtl/>
        </w:rPr>
        <w:t xml:space="preserve"> שכינה דרגא דעשיראה והיא החדש כידוע עד שנתגלתה ובה כלילן אבהן ג' גווני עינא דמשתתפין בבת עינא וז"ש. נראו ראשי כו' נראו באור דעין:</w:t>
      </w:r>
    </w:p>
  </w:footnote>
  <w:footnote w:id="804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דעד ההוא זמנא כו'.</w:t>
      </w:r>
      <w:r w:rsidRPr="00BD5E91">
        <w:rPr>
          <w:sz w:val="22"/>
          <w:szCs w:val="22"/>
          <w:rtl/>
        </w:rPr>
        <w:t xml:space="preserve"> ר"ל שאמרו </w:t>
      </w:r>
      <w:r>
        <w:rPr>
          <w:rFonts w:hint="cs"/>
          <w:sz w:val="22"/>
          <w:szCs w:val="22"/>
          <w:rtl/>
        </w:rPr>
        <w:t xml:space="preserve">(שבת נה ע"א) </w:t>
      </w:r>
      <w:r w:rsidRPr="00BD5E91">
        <w:rPr>
          <w:sz w:val="22"/>
          <w:szCs w:val="22"/>
          <w:rtl/>
        </w:rPr>
        <w:t>ת' תמה זכות אבות ת' תחול זכות אבות ועד כאן תמה כו' כמ"ש ויכסו ההרים ושרשן בג"ר י"ק של הש</w:t>
      </w:r>
      <w:r>
        <w:rPr>
          <w:rFonts w:hint="cs"/>
          <w:sz w:val="22"/>
          <w:szCs w:val="22"/>
          <w:rtl/>
        </w:rPr>
        <w:t>ם</w:t>
      </w:r>
      <w:r w:rsidRPr="00BD5E91">
        <w:rPr>
          <w:sz w:val="22"/>
          <w:szCs w:val="22"/>
          <w:rtl/>
        </w:rPr>
        <w:t xml:space="preserve"> כידוע וז"ש חמש עשרה כו' ויכסו ההרים שהיו מכוסין בתהו ובהו כתנות עור חשיכו דעיינין אבל בההוא זמנא כתנות אור אור דמעשה בראשית כמש"ל דף מ"ב ע"ד:</w:t>
      </w:r>
    </w:p>
  </w:footnote>
  <w:footnote w:id="804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בההוא זימנא ובכן כו'.</w:t>
      </w:r>
      <w:r w:rsidRPr="00BD5E91">
        <w:rPr>
          <w:sz w:val="22"/>
          <w:szCs w:val="22"/>
          <w:rtl/>
        </w:rPr>
        <w:t xml:space="preserve"> ר"ל בכן גי' חסד ימינא שבו יצאו כנ"ל וז"ש בכן ודאי כו' שלשה פעמים ובכן כנגד ג' אבהן שבכל א' ע"ב ויסע ויבא ויט כידוע שנכללין כולם בחסד כידוע ולכן נאמר ג' דרגין</w:t>
      </w:r>
      <w:r>
        <w:rPr>
          <w:rFonts w:hint="cs"/>
          <w:sz w:val="22"/>
          <w:szCs w:val="22"/>
          <w:rtl/>
        </w:rPr>
        <w:t>,</w:t>
      </w:r>
      <w:r w:rsidRPr="00BD5E91">
        <w:rPr>
          <w:sz w:val="22"/>
          <w:szCs w:val="22"/>
          <w:rtl/>
        </w:rPr>
        <w:t xml:space="preserve"> צדיקים יראו כו' וישרים כו' וחסידים כו' כמ"</w:t>
      </w:r>
      <w:r>
        <w:rPr>
          <w:rFonts w:hint="cs"/>
          <w:sz w:val="22"/>
          <w:szCs w:val="22"/>
          <w:rtl/>
        </w:rPr>
        <w:t>ש</w:t>
      </w:r>
      <w:r w:rsidRPr="00BD5E91">
        <w:rPr>
          <w:sz w:val="22"/>
          <w:szCs w:val="22"/>
          <w:rtl/>
        </w:rPr>
        <w:t xml:space="preserve"> בתפלת אתה אחד</w:t>
      </w:r>
      <w:r>
        <w:rPr>
          <w:rFonts w:hint="cs"/>
          <w:sz w:val="22"/>
          <w:szCs w:val="22"/>
          <w:rtl/>
        </w:rPr>
        <w:t>,</w:t>
      </w:r>
      <w:r w:rsidRPr="00BD5E91">
        <w:rPr>
          <w:sz w:val="22"/>
          <w:szCs w:val="22"/>
          <w:rtl/>
        </w:rPr>
        <w:t xml:space="preserve"> אברהם יגל יצחק ירנן יעקב כו':</w:t>
      </w:r>
    </w:p>
  </w:footnote>
  <w:footnote w:id="804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בכ</w:t>
      </w:r>
      <w:r>
        <w:rPr>
          <w:rFonts w:hint="cs"/>
          <w:b/>
          <w:bCs/>
          <w:sz w:val="22"/>
          <w:szCs w:val="22"/>
          <w:rtl/>
        </w:rPr>
        <w:t>ן</w:t>
      </w:r>
      <w:r w:rsidRPr="00BD5E91">
        <w:rPr>
          <w:b/>
          <w:bCs/>
          <w:sz w:val="22"/>
          <w:szCs w:val="22"/>
          <w:rtl/>
        </w:rPr>
        <w:t xml:space="preserve"> כו' כורסייא.</w:t>
      </w:r>
      <w:r w:rsidRPr="00BD5E91">
        <w:rPr>
          <w:sz w:val="22"/>
          <w:szCs w:val="22"/>
          <w:rtl/>
        </w:rPr>
        <w:t xml:space="preserve"> ר"ל כשכסא ישלם בימינא אז צדיקים כו' והרשעה כלה כו' כמש"ל דאומאה אומי דלא יתיב כו' כי תעביר ממשלת כו' שלא יהיו צריה לראש ולא ישאר כלום:</w:t>
      </w:r>
    </w:p>
  </w:footnote>
  <w:footnote w:id="804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ובה ותמלוך כו'.</w:t>
      </w:r>
      <w:r w:rsidRPr="00BD5E91">
        <w:rPr>
          <w:sz w:val="22"/>
          <w:szCs w:val="22"/>
          <w:rtl/>
        </w:rPr>
        <w:t xml:space="preserve"> ר"ל בכסא:</w:t>
      </w:r>
    </w:p>
  </w:footnote>
  <w:footnote w:id="804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בההוא זמנא ולא כו'.</w:t>
      </w:r>
      <w:r w:rsidRPr="00BD5E91">
        <w:rPr>
          <w:sz w:val="22"/>
          <w:szCs w:val="22"/>
          <w:rtl/>
        </w:rPr>
        <w:t xml:space="preserve"> ר"ל זהו ותמלוך כו' לבדך. שלא יתכסה בקליפין כמש"ל שם ובההוא זמנא דאתפשט קב"ה כו' אתמר ביה ולא יכנף כו' והיו עיניך רואות כו' כנ"ל נראו ראשי כו' שהן ג' גווני עינא וזהו עיניך והן ראשי כמ"ש בתיקונים בת ראשי בת בת עין ראשי ג' אבהן ג' גווני כו' והן ההרים כמ"ש מדלג על ההרים בזכות אבות:</w:t>
      </w:r>
    </w:p>
  </w:footnote>
  <w:footnote w:id="804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וכל דא מסט' דאילנא דחיי עד אחור.</w:t>
      </w:r>
      <w:r w:rsidRPr="00BD5E91">
        <w:rPr>
          <w:sz w:val="22"/>
          <w:szCs w:val="22"/>
          <w:rtl/>
        </w:rPr>
        <w:t xml:space="preserve"> כבר כתוב כ"ז בתיקונים במקומו (מ"ח ב') ע"ש:</w:t>
      </w:r>
    </w:p>
  </w:footnote>
  <w:footnote w:id="804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וכל דא מסט' כו'.</w:t>
      </w:r>
      <w:r w:rsidRPr="00BD5E91">
        <w:rPr>
          <w:sz w:val="22"/>
          <w:szCs w:val="22"/>
          <w:rtl/>
        </w:rPr>
        <w:t xml:space="preserve"> שאמר שם שאתרוג רומז לשכינה והדם לג' אבהן וערבה לתרין נביאי קשוט ולולב  לצדיק חי עלמין:</w:t>
      </w:r>
    </w:p>
  </w:footnote>
  <w:footnote w:id="804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אתרוג דמי לצדיקייא כו'.</w:t>
      </w:r>
      <w:r w:rsidRPr="00BD5E91">
        <w:rPr>
          <w:sz w:val="22"/>
          <w:szCs w:val="22"/>
          <w:rtl/>
        </w:rPr>
        <w:t xml:space="preserve"> כמ"ש אתרוג יש בו טעם וריח לת"ח בעלי מעשים והדם ריח בלא טעם לבעלי מעשים וערבה לא טעם ולא ריח לרשעים ואמרו ג"כ על לולב שהוא טעם בלא ריח רמוז לבעלי תורה בלא מעשים ולא חשיב כאן שלפי תי' א' בגמ' כל האומר אין לו אלא תורה אפילו תורה אין לו וכן משמע כמה פעמים בזוהר:</w:t>
      </w:r>
    </w:p>
  </w:footnote>
  <w:footnote w:id="805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בכל משלה.</w:t>
      </w:r>
      <w:r w:rsidRPr="00BD5E91">
        <w:rPr>
          <w:sz w:val="22"/>
          <w:szCs w:val="22"/>
          <w:rtl/>
        </w:rPr>
        <w:t xml:space="preserve"> אפילו בתהומין תתאין כידוע:</w:t>
      </w:r>
    </w:p>
  </w:footnote>
  <w:footnote w:id="805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עץ חיים היא כו'.</w:t>
      </w:r>
      <w:r w:rsidRPr="00BD5E91">
        <w:rPr>
          <w:sz w:val="22"/>
          <w:szCs w:val="22"/>
          <w:rtl/>
        </w:rPr>
        <w:t xml:space="preserve"> דמשמע דקאי על שכינה שאמור בלשון נקבה כי היא באצילות אילנא דחיי כידוע:</w:t>
      </w:r>
    </w:p>
  </w:footnote>
  <w:footnote w:id="805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איהי שלטא כו'.</w:t>
      </w:r>
      <w:r w:rsidRPr="00BD5E91">
        <w:rPr>
          <w:sz w:val="22"/>
          <w:szCs w:val="22"/>
          <w:rtl/>
        </w:rPr>
        <w:t xml:space="preserve"> שהיא מנהגת עולמות התחתונים כידוע:</w:t>
      </w:r>
    </w:p>
  </w:footnote>
  <w:footnote w:id="805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טוב ורע.</w:t>
      </w:r>
      <w:r w:rsidRPr="00BD5E91">
        <w:rPr>
          <w:sz w:val="22"/>
          <w:szCs w:val="22"/>
          <w:rtl/>
        </w:rPr>
        <w:t xml:space="preserve"> ומסטרין אלין לזמנין כו' עד אל הקדש ואח"כ איהי לא מקבלא טומאה אבל אתרהא כו':</w:t>
      </w:r>
    </w:p>
  </w:footnote>
  <w:footnote w:id="805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לזמנין איהי נוקבא כו' מסט' דימינא.</w:t>
      </w:r>
      <w:r w:rsidRPr="00BD5E91">
        <w:rPr>
          <w:sz w:val="22"/>
          <w:szCs w:val="22"/>
          <w:rtl/>
        </w:rPr>
        <w:t xml:space="preserve"> שבע"ה טו"ר ימינא טוב ושמאלא רע שע"ז נאמר לב חכם לימינו כו' בן חכם ישמח אב ובן כו' ואם ימין גובר אז קריבא למלכא ואם שמאל גובר רחיקא וז"ש לזמנין איהי כו'. ואל יבא בכל עת כו' שכ"ח עתים הם י"ד עתים לימינא וי"ד עתים לשמאלא כמ"</w:t>
      </w:r>
      <w:r w:rsidRPr="00BD5E91">
        <w:rPr>
          <w:sz w:val="22"/>
          <w:szCs w:val="22"/>
        </w:rPr>
        <w:t>A</w:t>
      </w:r>
      <w:r w:rsidRPr="00BD5E91">
        <w:rPr>
          <w:sz w:val="22"/>
          <w:szCs w:val="22"/>
          <w:rtl/>
        </w:rPr>
        <w:t xml:space="preserve"> לקמן ד' פ"ה ע"א ובתיקונים תס"ט ע"ש:</w:t>
      </w:r>
    </w:p>
  </w:footnote>
  <w:footnote w:id="805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איהי לא כו'.</w:t>
      </w:r>
      <w:r w:rsidRPr="00BD5E91">
        <w:rPr>
          <w:sz w:val="22"/>
          <w:szCs w:val="22"/>
          <w:rtl/>
        </w:rPr>
        <w:t xml:space="preserve"> דשם והזר הקרב יומת כידוע:</w:t>
      </w:r>
    </w:p>
  </w:footnote>
  <w:footnote w:id="805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אבל אתרהא כו'.</w:t>
      </w:r>
      <w:r w:rsidRPr="00BD5E91">
        <w:rPr>
          <w:sz w:val="22"/>
          <w:szCs w:val="22"/>
          <w:rtl/>
        </w:rPr>
        <w:t xml:space="preserve"> ז"ש וכפר על הקדש מטומאות בני ישראל השוכן אתם בתוך טומאותם:</w:t>
      </w:r>
    </w:p>
  </w:footnote>
  <w:footnote w:id="8057">
    <w:p w:rsidR="00007309" w:rsidRPr="00BD5E91" w:rsidRDefault="00007309" w:rsidP="00007309">
      <w:pPr>
        <w:jc w:val="both"/>
        <w:rPr>
          <w:rFonts w:cs="Arial"/>
          <w:sz w:val="22"/>
          <w:szCs w:val="22"/>
          <w:rtl/>
        </w:rPr>
      </w:pPr>
      <w:r w:rsidRPr="00BD5E91">
        <w:rPr>
          <w:rStyle w:val="a7"/>
          <w:rFonts w:cs="Arial"/>
          <w:sz w:val="22"/>
          <w:szCs w:val="22"/>
          <w:rtl/>
        </w:rPr>
        <w:footnoteRef/>
      </w:r>
      <w:r w:rsidRPr="00BD5E91">
        <w:rPr>
          <w:rFonts w:cs="Arial"/>
          <w:sz w:val="22"/>
          <w:szCs w:val="22"/>
          <w:rtl/>
        </w:rPr>
        <w:t xml:space="preserve"> </w:t>
      </w:r>
      <w:r w:rsidRPr="00BD5E91">
        <w:rPr>
          <w:rFonts w:cs="Arial"/>
          <w:b/>
          <w:bCs/>
          <w:sz w:val="22"/>
          <w:szCs w:val="22"/>
          <w:rtl/>
        </w:rPr>
        <w:t>ומההוא אתר כו'.</w:t>
      </w:r>
      <w:r w:rsidRPr="00BD5E91">
        <w:rPr>
          <w:rFonts w:cs="Arial"/>
          <w:sz w:val="22"/>
          <w:szCs w:val="22"/>
          <w:rtl/>
        </w:rPr>
        <w:t xml:space="preserve"> שמאלא כנ"ל דכשהוא גובר גם ימינא ח"ו נכללת בו והכל בע"ה טו"ר:</w:t>
      </w:r>
    </w:p>
  </w:footnote>
  <w:footnote w:id="805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ותמן צריך קורבנא לקרבא לרחקא כו'.</w:t>
      </w:r>
      <w:r w:rsidRPr="00BD5E91">
        <w:rPr>
          <w:sz w:val="22"/>
          <w:szCs w:val="22"/>
          <w:rtl/>
        </w:rPr>
        <w:t xml:space="preserve"> כ"ה בתיקונים:</w:t>
      </w:r>
    </w:p>
  </w:footnote>
  <w:footnote w:id="805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ולקרבא זכותא לשמאלא כו'.</w:t>
      </w:r>
      <w:r w:rsidRPr="00BD5E91">
        <w:rPr>
          <w:sz w:val="22"/>
          <w:szCs w:val="22"/>
          <w:rtl/>
        </w:rPr>
        <w:t xml:space="preserve"> שלכן כל הקרבנות בצפון:</w:t>
      </w:r>
    </w:p>
  </w:footnote>
  <w:footnote w:id="806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ולרחקא כו'.</w:t>
      </w:r>
      <w:r w:rsidRPr="00BD5E91">
        <w:rPr>
          <w:sz w:val="22"/>
          <w:szCs w:val="22"/>
          <w:rtl/>
        </w:rPr>
        <w:t xml:space="preserve"> כמ"ש תחת שלש כו':</w:t>
      </w:r>
    </w:p>
  </w:footnote>
  <w:footnote w:id="806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ובג"ד כל שמהן כו'.</w:t>
      </w:r>
      <w:r w:rsidRPr="00BD5E91">
        <w:rPr>
          <w:sz w:val="22"/>
          <w:szCs w:val="22"/>
          <w:rtl/>
        </w:rPr>
        <w:t xml:space="preserve"> חוזר שם לענין שלמעלה שכ' שם שנקראת בכל השמות ע"ש:</w:t>
      </w:r>
    </w:p>
  </w:footnote>
  <w:footnote w:id="806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שינוי מעשה דא כו'.</w:t>
      </w:r>
      <w:r w:rsidRPr="00BD5E91">
        <w:rPr>
          <w:sz w:val="22"/>
          <w:szCs w:val="22"/>
          <w:rtl/>
        </w:rPr>
        <w:t xml:space="preserve"> שאמר שם בתיקונים שינוי מקום ושינוי השם ושינוי מעשה ואמר שם שינוי מקום הוא בבינה שינוי השם בעד"א שינוי מעשה הוא בשכינה תתאה שהן תלת דרגין דנר"נ כידוע שהן מתגלגלין בג"פ שע"ז נאמר הן כל אלה יפעל אל כו' וז"ש כאן שינוי מעשה דא שבת כו' שהוא יסוד יום השביעי כלול בשכינה שנק' שבת כידוע:</w:t>
      </w:r>
    </w:p>
  </w:footnote>
  <w:footnote w:id="806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דאיהי כלאחר יד עובדהא.</w:t>
      </w:r>
      <w:r w:rsidRPr="00BD5E91">
        <w:rPr>
          <w:sz w:val="22"/>
          <w:szCs w:val="22"/>
          <w:rtl/>
        </w:rPr>
        <w:t xml:space="preserve"> וזהו שינוי מעשר ומפ' והולך ורזא כו'. ור"ל דצדיק ח"י עלמין נחית בשכינה. ר"ל דעולם האצילות שולט בשבת דבם עולם המחשבה כידוע לכן אסור בו המעשה ובששת ימי החול שולט ע"ה טו"ר עולמות שלמעשה ששת ימי המעשה כמש"ל דף פ' ע"ג ע"ש ושבת שכינה היא מעולם האצילות אין בה מעשה רק שהיא נעשה ראש לשועלים לעולמות בי"ע כידוע מסט' דאחוריים כידוע שע"ז נאמר וראית את אחורי ופני שהוא עולם המחשבה לא יראו כמ"ש כך עלה במחשבה שהיא למעלה מדרגיה כמ"ש שמשה לא השיג אלא בבריאה וכן תורת משה הוא שכינה כמ"ש בתיקונים ואחוריים דילה יורדין לעולם המעשה וצדיק כליל עמה דלעולם לא אתפרש מינה אף בגלותא כידוע וכן היא ג"כ נקראת אחר יד שהיא אחורי עד"א שלכן נק' מערב אחוריים וז"ש אחר יד כו' ור"ל כל שהוא צדיר אחר יד שכינה בהם מותר המעשה מצד עולמות שלמטן בירדו בהם באחוריים כנ"ל. וכ"ז הוא ג"כ באדם הצדיק שהוא במדרגת צדיק ח"י עלמין כידוע ובזמנא דאתגלגל בגלגול תליתאי שינוי מעשה בשכינה נחית כלאחר יד בעולמות שלמטה דוגמת השכינה כנ"ל ושם הוא שינוי מעשה כנ"ל:</w:t>
      </w:r>
    </w:p>
  </w:footnote>
  <w:footnote w:id="806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ובזמנא דאיהו כלאחר יד כו'.</w:t>
      </w:r>
      <w:r w:rsidRPr="00BD5E91">
        <w:rPr>
          <w:sz w:val="22"/>
          <w:szCs w:val="22"/>
          <w:rtl/>
        </w:rPr>
        <w:t xml:space="preserve"> ר"ל בזמנא דצדיק ח"י עלמין נחית בשכינה בעולמות התחתונים אין שם כריעה ליה שכל כריעה הוא ליסוד כמש"ו כל הכורע כו' שברוך הוא יסוד והמלך שלמה ברוך וברכות לראש צדיק וכן ביוסף והנה השמש והירח ואחד עשר כוכבים משתחוים לי והנה תסובינה אלומותיכם כו' וכ"ז בהיותו בעולם האצילות אף שהוא בשכינה שהיא ראש לשועלים מ"מ תעלא בעידניה סגיד ליה כמש"ו אבל בירידתו לעולמות התחתונים שם הוא בסוד ע"ה טו"ר שם אסור השתחויה כמ"ש שזה היה חטא אדה"ר והמשיך כל הבהמות וחיות אחריו להשתחוות לע"ה טו"ר והענין כי כל השתחויה הוא לפני רגליו כמ"ש ותפול לפני רגליו ולכן הוא ההשתחויה ביסוד ומלכות הדום רגליו ותחת רגליו כו' אבל בע"ה טו"</w:t>
      </w:r>
      <w:r w:rsidRPr="00BD5E91">
        <w:rPr>
          <w:sz w:val="22"/>
          <w:szCs w:val="22"/>
        </w:rPr>
        <w:t>R</w:t>
      </w:r>
      <w:r w:rsidRPr="00BD5E91">
        <w:rPr>
          <w:sz w:val="22"/>
          <w:szCs w:val="22"/>
          <w:rtl/>
        </w:rPr>
        <w:t xml:space="preserve"> רגליה יורדות מות לכן אסור שם ולכן גרם לאדה"ר המות ביום אכלך כו'. וכ"ז באדם הצדיק דנחית בגלגולא כמש"ו:</w:t>
      </w:r>
    </w:p>
  </w:footnote>
  <w:footnote w:id="806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לית תמן סגידו כו'.</w:t>
      </w:r>
      <w:r w:rsidRPr="00BD5E91">
        <w:rPr>
          <w:sz w:val="22"/>
          <w:szCs w:val="22"/>
          <w:rtl/>
        </w:rPr>
        <w:t xml:space="preserve"> אמר זה כאן בשביל שרוצה לפרש הוי זנב לאריות כו' תעלא בעידניה כו'. שרמוז אל צדיק ח"י עלמין וצדיק דלתתא כמש"ו:</w:t>
      </w:r>
    </w:p>
  </w:footnote>
  <w:footnote w:id="806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תעלא בעידניה כו'.</w:t>
      </w:r>
      <w:r w:rsidRPr="00BD5E91">
        <w:rPr>
          <w:sz w:val="22"/>
          <w:szCs w:val="22"/>
          <w:rtl/>
        </w:rPr>
        <w:t xml:space="preserve"> ר"ל שאמרו הוי זנב לאריות ואל תהי ראש לשועלים רישיה דתעלא תעלא הוא ורמזו אל השכינה דיותר טוב לה שתהיה בעולם באצילות אף שהיא שם זנב ור"ל כמ"ש ויקח אחת מצלעותיו ח"א פרצוף וח"א זנב ורמזו אל השכינה שפעמים היא פרצוף בעד"א כשהיא שוה לו ופעמים היא זנב ביסוד וד"ל ומ"מ אף כשהיא זנב לאריות לעולם האצילות מ"מ טוב יותר משתרד לעולמות בי"ע ששם היא ראש לשועלים שהן נק' שועלים ושם שועלים שועלים קטנים מחבלים כו' ולכן היא נקראת ג"כ תעלא מסט' דלהון וז"ש תעלא בעידניה כו' והוא כמ"ש הדבק לשחוור וישתחוו לך קרב לגבי דהינא כו' וכן השועל כשדבק במלך ומצליח ישתחוו לו וכן הוא כאן כשהיא בעולם האצילות אע"ג שמסט' דאחוריים היא תעלה מ"מ בעידניה באצילות ששם אשר פריו יתן בעתו בעתו דצדיק כמ"ש לעיל ששם הוא העת שיבוא אל הקדש ושם סגיד ליה כנ"ל:</w:t>
      </w:r>
    </w:p>
  </w:footnote>
  <w:footnote w:id="806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דבזמנא דאיהו כלאחר כו'.</w:t>
      </w:r>
      <w:r w:rsidRPr="00BD5E91">
        <w:rPr>
          <w:sz w:val="22"/>
          <w:szCs w:val="22"/>
          <w:rtl/>
        </w:rPr>
        <w:t xml:space="preserve"> ר"ל בזמנא כל צדיק בשכינה אחר יד ששכינה בצדיק נק' זנב לאריות ואחורי הזנב לאריות הוא ראש תעלא מ"מ השתחוי לו וז"ש ועם כל דא כו' באתריה. ר"ל באצילות:</w:t>
      </w:r>
    </w:p>
  </w:footnote>
  <w:footnote w:id="806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אבל חוץ כו'.</w:t>
      </w:r>
      <w:r w:rsidRPr="00BD5E91">
        <w:rPr>
          <w:sz w:val="22"/>
          <w:szCs w:val="22"/>
          <w:rtl/>
        </w:rPr>
        <w:t xml:space="preserve"> ר"ל ששם היא ראש לשועלים שע"ז אמרו הוי זנב כו' וז"ש הוי זנב כו':</w:t>
      </w:r>
    </w:p>
  </w:footnote>
  <w:footnote w:id="806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דהא צדיק גמור כו'.</w:t>
      </w:r>
      <w:r w:rsidRPr="00BD5E91">
        <w:rPr>
          <w:sz w:val="22"/>
          <w:szCs w:val="22"/>
          <w:rtl/>
        </w:rPr>
        <w:t xml:space="preserve"> עכשיו מפ' בצדיק דלתתא שהוא במדרגת צדיק ח"י עלמין ואמר אע"ג דנחית כו'. ר"ל אע"ג דנחית מדרגא דצדיק ח"י ונחית בשכינה דשם הוא זנב כמש"ו מאי זנב כו' מ"מ לא ראיתי כו'. ור"ל מ"מ אינו נעזב ממדרגתו דצדיק כליל בשכינה וזהו נעזב נעזב זנב מן ע' שהוא צדיק ע' תמרים כידוע והוא אותיות נעז"ב וז"ש וזרעו מבקש לחם שיוסף הוא המשביר בר כו' אבל אם נחית לעולמות בי"ע אז נעשה ראש לשועלים ששם הוא עולם המעשה אבל בשכינה הוא שינוי מעשה שום לא ראיתי כנ"ל וזהו וזרעו כי הגלגול הוא בן צדיק הראשון צדיק בן צדיק כידוע אבותינו חטאו ואינם ואנחנו כו':</w:t>
      </w:r>
    </w:p>
  </w:footnote>
  <w:footnote w:id="807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מאי זנב דיליה.</w:t>
      </w:r>
      <w:r w:rsidRPr="00BD5E91">
        <w:rPr>
          <w:sz w:val="22"/>
          <w:szCs w:val="22"/>
          <w:rtl/>
        </w:rPr>
        <w:t xml:space="preserve"> ר"ל השכינה זנב של צדיק ח"י עלמין ואמר בקוצא דאת ד' שהוא [לפה"נ חסר תיבת י'. המעתיק:</w:t>
      </w:r>
      <w:r w:rsidRPr="00BD5E91">
        <w:rPr>
          <w:b/>
          <w:bCs/>
          <w:sz w:val="22"/>
          <w:szCs w:val="22"/>
          <w:rtl/>
        </w:rPr>
        <w:t xml:space="preserve"> ואולי פי' כשנעמיד אות י' בין א"ח ובין ד' נעשה תיבת אחי"ד.</w:t>
      </w:r>
      <w:r w:rsidRPr="00BD5E91">
        <w:rPr>
          <w:sz w:val="22"/>
          <w:szCs w:val="22"/>
          <w:rtl/>
        </w:rPr>
        <w:t xml:space="preserve"> המעתיק:</w:t>
      </w:r>
      <w:r w:rsidRPr="00BD5E91">
        <w:rPr>
          <w:b/>
          <w:bCs/>
          <w:sz w:val="22"/>
          <w:szCs w:val="22"/>
          <w:rtl/>
        </w:rPr>
        <w:t xml:space="preserve"> או חסר תיבת שכינה כידוע סוד א"ח וד'.</w:t>
      </w:r>
      <w:r w:rsidRPr="00BD5E91">
        <w:rPr>
          <w:sz w:val="22"/>
          <w:szCs w:val="22"/>
          <w:rtl/>
        </w:rPr>
        <w:t xml:space="preserve"> והוא פי' הקוץ של ד' אחיד כו'. המעתיק:</w:t>
      </w:r>
      <w:r w:rsidRPr="00BD5E91">
        <w:rPr>
          <w:b/>
          <w:bCs/>
          <w:sz w:val="22"/>
          <w:szCs w:val="22"/>
          <w:rtl/>
        </w:rPr>
        <w:t xml:space="preserve"> {או תיבת שהוא יתיר} ועיין מ"ש לקמן פ"ח] והוא אחיד בין א"ח לד' והוא אות ברית עטרת היסוד זנב של היסוד י' של מלכות חכמה זעירא חכמת שלמה חכמה דילה כידוע וכן הוא בצדיק דלתתא ז"ש עליה אתמר כי שבע יפול צדיק ר,ל אע"ג דנפיל צדיק בשבע שהוא השכינה כידוע מ"מ וקם בדרגא דצדיק כמ"ש ביוסף והנה קמה אלומתי וגם נצבה ושם הכריעה כמ"ש והנה תסובינה כו' וכן בצדיק דלתתא כמ"ש לעיל:</w:t>
      </w:r>
      <w:r w:rsidRPr="00BD5E91">
        <w:rPr>
          <w:sz w:val="22"/>
          <w:szCs w:val="22"/>
          <w:rtl/>
        </w:rPr>
        <w:t xml:space="preserve"> </w:t>
      </w:r>
    </w:p>
  </w:footnote>
  <w:footnote w:id="807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ת"ח גלגול דאת ו' כו'. שכל הגלגולים הוא ברוח בדרגא דעד"א ו"ק כי הארץ לעולם עומדת הנפש דשכינה שהיא אינה מתגלגלת רק כי שי גלגולים מט"ט ששם ששת ימי המעשה ושם אין השעה עומדת לצדקי כמ"</w:t>
      </w:r>
      <w:r w:rsidRPr="00BD5E91">
        <w:rPr>
          <w:sz w:val="22"/>
          <w:szCs w:val="22"/>
        </w:rPr>
        <w:t>A</w:t>
      </w:r>
      <w:r w:rsidRPr="00BD5E91">
        <w:rPr>
          <w:sz w:val="22"/>
          <w:szCs w:val="22"/>
          <w:rtl/>
        </w:rPr>
        <w:t xml:space="preserve"> לעיל אבל אם הוא באות ו' בעד"א ששם צדיק גמור דאין חטא שם לא יגורך רע ושם השעה עומדת לו כמ"ש בתיקונים וז"ש איהו דנפיק בשעתיה ר,ל השעה הוא השכינה שנקרת שעה שבה נחלק היום לי"ב שעה י"ב מזלות בה כידוע וז"ש דעליה איתמר כו' והיא מזלו ועומדת לו ודוקא צדיק שביה נשמתא דעז"א כמש"ו וז"ש ת"ח גלגול כו':</w:t>
      </w:r>
    </w:p>
  </w:footnote>
  <w:footnote w:id="807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אין מזל יום כו'.</w:t>
      </w:r>
      <w:r w:rsidRPr="00BD5E91">
        <w:rPr>
          <w:sz w:val="22"/>
          <w:szCs w:val="22"/>
          <w:rtl/>
        </w:rPr>
        <w:t xml:space="preserve"> שהוא ששת ימי המעשה כו':</w:t>
      </w:r>
    </w:p>
  </w:footnote>
  <w:footnote w:id="807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אלא מזל שעה גורם.</w:t>
      </w:r>
      <w:r w:rsidRPr="00BD5E91">
        <w:rPr>
          <w:sz w:val="22"/>
          <w:szCs w:val="22"/>
          <w:rtl/>
        </w:rPr>
        <w:t xml:space="preserve"> והוא השכינה כנ"ל וע"ד רשע שהשעה משחקת לו ור"ל כמו יושב בשמים ישחק אדני ילעג למו כמ"ש טוב כו' משחוק שמשחק הקב"ה עם רשעים בעה"ז:</w:t>
      </w:r>
    </w:p>
  </w:footnote>
  <w:footnote w:id="807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כד אתיא בגלגולא כו'.</w:t>
      </w:r>
      <w:r w:rsidRPr="00BD5E91">
        <w:rPr>
          <w:sz w:val="22"/>
          <w:szCs w:val="22"/>
          <w:rtl/>
        </w:rPr>
        <w:t xml:space="preserve"> שהאבות עם משה הן גלגולא דאדה"ר בד' אנפין דיליה כידוע:</w:t>
      </w:r>
    </w:p>
  </w:footnote>
  <w:footnote w:id="807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אל המקום.</w:t>
      </w:r>
      <w:r w:rsidRPr="00BD5E91">
        <w:rPr>
          <w:sz w:val="22"/>
          <w:szCs w:val="22"/>
          <w:rtl/>
        </w:rPr>
        <w:t xml:space="preserve"> שכינה שהיא מקומו של עולם עד"</w:t>
      </w:r>
      <w:r w:rsidRPr="00BD5E91">
        <w:rPr>
          <w:sz w:val="22"/>
          <w:szCs w:val="22"/>
        </w:rPr>
        <w:t>T</w:t>
      </w:r>
      <w:r w:rsidRPr="00BD5E91">
        <w:rPr>
          <w:sz w:val="22"/>
          <w:szCs w:val="22"/>
          <w:rtl/>
        </w:rPr>
        <w:t xml:space="preserve"> עולם חסד יבנה והיא מקומו כנ"ל איהו דנפיק בשעתיה כו':</w:t>
      </w:r>
    </w:p>
  </w:footnote>
  <w:footnote w:id="807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ובגין.</w:t>
      </w:r>
      <w:r w:rsidRPr="00BD5E91">
        <w:rPr>
          <w:sz w:val="22"/>
          <w:szCs w:val="22"/>
          <w:rtl/>
        </w:rPr>
        <w:t xml:space="preserve"> צ"לך בגין לאקדמא כו'. ור"ל לאחוז בדרגא דחסד שהוא שליט בבקר כידוע ולאחוז בשכינה שהיא שעתיה דו' ו"ק כנ"ל:</w:t>
      </w:r>
    </w:p>
  </w:footnote>
  <w:footnote w:id="807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לחקלא בגין דאתמר כו'.</w:t>
      </w:r>
      <w:r w:rsidRPr="00BD5E91">
        <w:rPr>
          <w:sz w:val="22"/>
          <w:szCs w:val="22"/>
          <w:rtl/>
        </w:rPr>
        <w:t xml:space="preserve"> שת"ת הוא בעל הבית צדקיד אורח כמ"</w:t>
      </w:r>
      <w:r w:rsidRPr="00BD5E91">
        <w:rPr>
          <w:sz w:val="22"/>
          <w:szCs w:val="22"/>
        </w:rPr>
        <w:t>A</w:t>
      </w:r>
      <w:r w:rsidRPr="00BD5E91">
        <w:rPr>
          <w:sz w:val="22"/>
          <w:szCs w:val="22"/>
          <w:rtl/>
        </w:rPr>
        <w:t xml:space="preserve"> בר"מ ות"ת נטיל לימינא וצדיק לשמאלא לכן יצחק נפיק לחקלא מלון אורחים שמסט' דיצחק נקראת שדה כמש"ל מחצדי חקלא ולכן נפק לפנות ערב בדרגיה חשך כידוע וז"ש. חד אקדים כו' ותניינא כו' יעקב מה כו' פגע בה שאברהם ויצחק הן דרועין דבהן סלקת בשני התפלות שמאלו תחת לראשי וימינו תחבקני אבל בגופא א"צ לעלייה שמיד שהיא בין שני דרועין מיד פוגעת בגוף ושם אין חסר אלא חיבורא ולכן תפלת ערבית רשות וז"ש. פגע בה. ואמר במקום במקום דאברהם שנטיל לימינא וביעקב אתיישבת שלכן אמרו לא כאברהם שקראו כו' אלא כיעקב שקראו בית וז"ש דעליה אתמר וילן שם:</w:t>
      </w:r>
    </w:p>
  </w:footnote>
  <w:footnote w:id="807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איהו לויה.</w:t>
      </w:r>
      <w:r w:rsidRPr="00BD5E91">
        <w:rPr>
          <w:sz w:val="22"/>
          <w:szCs w:val="22"/>
          <w:rtl/>
        </w:rPr>
        <w:t xml:space="preserve"> ר"ל חיבור:</w:t>
      </w:r>
    </w:p>
  </w:footnote>
  <w:footnote w:id="807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מיד דאערע כו'.</w:t>
      </w:r>
      <w:r w:rsidRPr="00BD5E91">
        <w:rPr>
          <w:sz w:val="22"/>
          <w:szCs w:val="22"/>
          <w:rtl/>
        </w:rPr>
        <w:t xml:space="preserve"> ר"ל מיד שפגע בה פגעו בה פגעו בו שלוחין דילה שהיא נקראת אלקים:</w:t>
      </w:r>
    </w:p>
  </w:footnote>
  <w:footnote w:id="808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ולא אתאחד יעמוד.</w:t>
      </w:r>
      <w:r w:rsidRPr="00BD5E91">
        <w:rPr>
          <w:sz w:val="22"/>
          <w:szCs w:val="22"/>
          <w:rtl/>
        </w:rPr>
        <w:t xml:space="preserve"> צ"ל עמה:</w:t>
      </w:r>
    </w:p>
  </w:footnote>
  <w:footnote w:id="808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עד דאחד.</w:t>
      </w:r>
      <w:r w:rsidRPr="00BD5E91">
        <w:rPr>
          <w:sz w:val="22"/>
          <w:szCs w:val="22"/>
          <w:rtl/>
        </w:rPr>
        <w:t xml:space="preserve"> צ"ל דאתא בעלה. ר"ל משה שהיא כלת משה כידוע כמש"ו:</w:t>
      </w:r>
    </w:p>
  </w:footnote>
  <w:footnote w:id="808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ודא איהו וילן כו'.</w:t>
      </w:r>
      <w:r w:rsidRPr="00BD5E91">
        <w:rPr>
          <w:sz w:val="22"/>
          <w:szCs w:val="22"/>
          <w:rtl/>
        </w:rPr>
        <w:t xml:space="preserve"> ר"ל ויפגע במקום. ולא אתאחד רק פגיעה ואח"כ וילן שם לויה כי בא השמש דאתא משה בעלה ור"ל בא אתא:</w:t>
      </w:r>
    </w:p>
  </w:footnote>
  <w:footnote w:id="808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דבגינה כו'.</w:t>
      </w:r>
      <w:r w:rsidRPr="00BD5E91">
        <w:rPr>
          <w:sz w:val="22"/>
          <w:szCs w:val="22"/>
          <w:rtl/>
        </w:rPr>
        <w:t xml:space="preserve"> ר"ל בשביל להתייחד עמה בא בו רוח של משה ויזרח כו' שעל משה נאמר וזרח השמש כידוע:</w:t>
      </w:r>
    </w:p>
  </w:footnote>
  <w:footnote w:id="808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אבל דא כו'.</w:t>
      </w:r>
      <w:r w:rsidRPr="00BD5E91">
        <w:rPr>
          <w:sz w:val="22"/>
          <w:szCs w:val="22"/>
          <w:rtl/>
        </w:rPr>
        <w:t xml:space="preserve"> שמשה פנימית דעד"א בינה בנ' תרעין דמתפשטין בעד"א שלכן בינה דרגא דמשה כמ"ש חמשים שערי בינה כו' ור"ל בכ"מ שכולם היו מסט' דאות ו' לכן כולם שכינה קמת להון וכ"א בדרגיה שאברהם ויצחק ב' דרועין יצאו אחריה שהדרועין אוחזין בה וסלקת ע"י וגופא פגע בה ורוחא אתחבר עמה וז"</w:t>
      </w:r>
      <w:r w:rsidRPr="00BD5E91">
        <w:rPr>
          <w:sz w:val="22"/>
          <w:szCs w:val="22"/>
        </w:rPr>
        <w:t>A</w:t>
      </w:r>
      <w:r w:rsidRPr="00BD5E91">
        <w:rPr>
          <w:sz w:val="22"/>
          <w:szCs w:val="22"/>
          <w:rtl/>
        </w:rPr>
        <w:t xml:space="preserve"> ובג"ד לית כו' בלא בעלה אם אין נשמתו בעד"א:</w:t>
      </w:r>
    </w:p>
  </w:footnote>
  <w:footnote w:id="808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כד דחיקת כו'.</w:t>
      </w:r>
      <w:r w:rsidRPr="00BD5E91">
        <w:rPr>
          <w:sz w:val="22"/>
          <w:szCs w:val="22"/>
          <w:rtl/>
        </w:rPr>
        <w:t xml:space="preserve"> אע"ג שהיה צדיק גמור מ"מ חוביה בגלגול הראשון גרמו ליה שלא היה יכול בגלגול הזה לקיימא ליה שעתא כמ"</w:t>
      </w:r>
      <w:r w:rsidRPr="00BD5E91">
        <w:rPr>
          <w:sz w:val="22"/>
          <w:szCs w:val="22"/>
        </w:rPr>
        <w:t>A</w:t>
      </w:r>
      <w:r w:rsidRPr="00BD5E91">
        <w:rPr>
          <w:sz w:val="22"/>
          <w:szCs w:val="22"/>
          <w:rtl/>
        </w:rPr>
        <w:t xml:space="preserve"> בתיקונים:</w:t>
      </w:r>
    </w:p>
  </w:footnote>
  <w:footnote w:id="808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בשעתא דמזוני.</w:t>
      </w:r>
      <w:r w:rsidRPr="00BD5E91">
        <w:rPr>
          <w:sz w:val="22"/>
          <w:szCs w:val="22"/>
          <w:rtl/>
        </w:rPr>
        <w:t xml:space="preserve"> עיקר שעתא האמור כאן על מזונא דאורייתא להשיג כפי מדרגתו הראוי שא"</w:t>
      </w:r>
      <w:r w:rsidRPr="00BD5E91">
        <w:rPr>
          <w:sz w:val="22"/>
          <w:szCs w:val="22"/>
        </w:rPr>
        <w:t>T</w:t>
      </w:r>
      <w:r w:rsidRPr="00BD5E91">
        <w:rPr>
          <w:sz w:val="22"/>
          <w:szCs w:val="22"/>
          <w:rtl/>
        </w:rPr>
        <w:t xml:space="preserve"> לבוא שם אלא בזאת כמש"ל וז"ש לו ר' יוחנן אי משום תורה דלא אפשת כו':</w:t>
      </w:r>
    </w:p>
  </w:footnote>
  <w:footnote w:id="808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מאי ואולי.</w:t>
      </w:r>
      <w:r w:rsidRPr="00BD5E91">
        <w:rPr>
          <w:sz w:val="22"/>
          <w:szCs w:val="22"/>
          <w:rtl/>
        </w:rPr>
        <w:t xml:space="preserve"> ר"ל מה ספק הוא והלא בידה הוא כנ"ל:</w:t>
      </w:r>
    </w:p>
  </w:footnote>
  <w:footnote w:id="808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אלא ואולי אי כו'.</w:t>
      </w:r>
      <w:r w:rsidRPr="00BD5E91">
        <w:rPr>
          <w:sz w:val="22"/>
          <w:szCs w:val="22"/>
          <w:rtl/>
        </w:rPr>
        <w:t xml:space="preserve"> ר"ל כמש"ו. אתתיה עביד כו'. שהיא שעתיה ובשבילה יבא עוד בגלגול לבא בשעתה כמ"</w:t>
      </w:r>
      <w:r w:rsidRPr="00BD5E91">
        <w:rPr>
          <w:sz w:val="22"/>
          <w:szCs w:val="22"/>
        </w:rPr>
        <w:t>A</w:t>
      </w:r>
      <w:r w:rsidRPr="00BD5E91">
        <w:rPr>
          <w:sz w:val="22"/>
          <w:szCs w:val="22"/>
          <w:rtl/>
        </w:rPr>
        <w:t xml:space="preserve"> בתיקו' שזהו זאחרביה לעלמא עולם קטן וכ"ז אי בעי בעלה כו'. שיבא בו בגלגול רוחיה דבעלה וז"ש. דהוי קיימא כו' שהוא יקיים כו'. וז"ש וכגוונא דא ר"ל כגוונא דר"א בן פדת שאמר אי בעי בעלה כו' אם ייתי כו'. ר"ל שיתגלגל בו בעלה ר"ל מסט' דעד"</w:t>
      </w:r>
      <w:r w:rsidRPr="00BD5E91">
        <w:rPr>
          <w:sz w:val="22"/>
          <w:szCs w:val="22"/>
        </w:rPr>
        <w:t>T</w:t>
      </w:r>
      <w:r w:rsidRPr="00BD5E91">
        <w:rPr>
          <w:sz w:val="22"/>
          <w:szCs w:val="22"/>
          <w:rtl/>
        </w:rPr>
        <w:t xml:space="preserve"> כנ"ל ויזרח לו השמש כו':</w:t>
      </w:r>
    </w:p>
  </w:footnote>
  <w:footnote w:id="808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בזאת כו'.</w:t>
      </w:r>
      <w:r w:rsidRPr="00BD5E91">
        <w:rPr>
          <w:sz w:val="22"/>
          <w:szCs w:val="22"/>
          <w:rtl/>
        </w:rPr>
        <w:t xml:space="preserve"> שעם בעלה נקראת זאת:</w:t>
      </w:r>
    </w:p>
  </w:footnote>
  <w:footnote w:id="809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בכל עת.</w:t>
      </w:r>
      <w:r w:rsidRPr="00BD5E91">
        <w:rPr>
          <w:sz w:val="22"/>
          <w:szCs w:val="22"/>
          <w:rtl/>
        </w:rPr>
        <w:t xml:space="preserve"> כ"ח עתים כמש"ו:</w:t>
      </w:r>
    </w:p>
  </w:footnote>
  <w:footnote w:id="809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לא בזר כו'.</w:t>
      </w:r>
      <w:r w:rsidRPr="00BD5E91">
        <w:rPr>
          <w:sz w:val="22"/>
          <w:szCs w:val="22"/>
          <w:rtl/>
        </w:rPr>
        <w:t xml:space="preserve"> ר"ל מסט' אחרא:</w:t>
      </w:r>
    </w:p>
  </w:footnote>
  <w:footnote w:id="809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דמום זר.</w:t>
      </w:r>
      <w:r w:rsidRPr="00BD5E91">
        <w:rPr>
          <w:sz w:val="22"/>
          <w:szCs w:val="22"/>
          <w:rtl/>
        </w:rPr>
        <w:t xml:space="preserve"> ר"ל כמ"</w:t>
      </w:r>
      <w:r w:rsidRPr="00BD5E91">
        <w:rPr>
          <w:sz w:val="22"/>
          <w:szCs w:val="22"/>
        </w:rPr>
        <w:t>A</w:t>
      </w:r>
      <w:r w:rsidRPr="00BD5E91">
        <w:rPr>
          <w:sz w:val="22"/>
          <w:szCs w:val="22"/>
          <w:rtl/>
        </w:rPr>
        <w:t xml:space="preserve"> בר"מ דממזר הוא מום זר מס"א:</w:t>
      </w:r>
    </w:p>
  </w:footnote>
  <w:footnote w:id="809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בשעתא דאתברי.</w:t>
      </w:r>
      <w:r w:rsidRPr="00BD5E91">
        <w:rPr>
          <w:sz w:val="22"/>
          <w:szCs w:val="22"/>
          <w:rtl/>
        </w:rPr>
        <w:t xml:space="preserve"> ר"ל בשכינה שנק' שעתא ובבעלה ו"ק וז"ש מששת ימי בראשית שהן ו"ק כידוע שעליהן נאמר אין מזל יום גורם כו' כנ"ל. והענין שכל הנשמות נבראו בששת ימי בראשית שעליהן נאמר אין כל חדש תחת השמש והן בו"ק שהן ששת ימים ששת אלפים שנה שכל ספירה אלף שנה כידוע וכל זה הוא בשכינה שהיא פרט שבה כל ספירה אלף שנה כידוע וכל זה הוא בשכינה שהיא פרט שבה כל ספירה סליק לאלף שנה שכל שנה הוא משס"ה ימים שבה הוא שס"ה וכל יום לי"ב ביום ובלילה שבה י"ב מזלות כמש"ל וכל הפרטים שבכל ששת אלפים שנה הכל בה שהיא הזמן לכל דבר כמשו כול הנשמות ופרטים בו"ק שמשם הם כמש"ן ח' דאתי בגלגולא וכמ"ש בתיקונים דור הולך ודור בא הכל מסט' דו"ק שבו ששים רבוא נשמות בכל דור עד סוף כל הדורות שהן בפרטים שבו וכל אחד יש לו שעה ידועה נגדו בשכינה שכל הפרטים של ו"ק נגדן בשכינה שהיא כוללת הכל כידוע וכל הפרטים שבה הוא הכל זמנים של הששת אלפים שנה כל שעה ושעה והנפשות ממנה שהיא בת זוג לרוח של ו"ק ואם הוא זוכה שיוצא בשעה שמשמש מכוון נגד שורש נשמתו בו"ק זהו בת גילו ממש ואז שעתא קיימא ליה והנפש אין מתגלגלת וזהו סוד כל הזיווגים בתיקונם ובגמ' שאמרו ארבעים יום קודם יצירת הולד בת קול כו שמא יקדמנו אחר כו' ומין במינו ושאינו מינו והרבה כיוצא בו הכל על נפש ורוח והכלל כי הרוח הוא כפי שנברא בששת ימי בראשית והנפש לפי השעה שנוצר וז"ש כאן זכאה מאן כו'. שהנפש מכוון בשכינה נגד הרוח בעד"א כמ"ש מקבילות הלולאות אחת אל אחת אבל אם רוח אחר יבא באותה שעה אז היא זר מבעלה כנ"ל וז"ש לעיל חד נפיק לפשפשא כו'. שאברהם יצא בשעתו בבקר שרוחו בעד"א הוא בקר כידועויצא ג"כ אל המקום בשכינה בבקר וישכם אברהם כו' וזהו שעתו כו' וכן ביצחק ויעקב כנ"ל וז"ש בתיקונים שם אזיל בגלגולא עד דאערע שעתא דנפיק בששת ימי בראשית כו' ע"ש וז"ש כאן דכל נשמתא כו' ודא שכינתא כו':</w:t>
      </w:r>
    </w:p>
  </w:footnote>
  <w:footnote w:id="809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ואיהי עידן עידנין.</w:t>
      </w:r>
      <w:r w:rsidRPr="00BD5E91">
        <w:rPr>
          <w:sz w:val="22"/>
          <w:szCs w:val="22"/>
          <w:rtl/>
        </w:rPr>
        <w:t xml:space="preserve"> כמש"ו. עידן דכל עידנין. ר"ל לכל עידנין של הו"ק היא עידן כנ"ל:</w:t>
      </w:r>
    </w:p>
  </w:footnote>
  <w:footnote w:id="809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ופלג עירן.</w:t>
      </w:r>
      <w:r w:rsidRPr="00BD5E91">
        <w:rPr>
          <w:sz w:val="22"/>
          <w:szCs w:val="22"/>
          <w:rtl/>
        </w:rPr>
        <w:t xml:space="preserve"> כמש"ו. מאי ופלג עידן אלא כו'. ור"ל שכל הגלגולים שהיא זמן להם הכל בחג"ת הן כל אלה יפעל כו' שלכן כל הנשמות שרשן באברהם יצחק ויעקב והן עיקרי הגלגולים של אדה"ר והשאר ענפים שכ"א הוא כלל ישראל שלהם ניתנה הארץ שהן ג' חיוון של הגלגולים כידוע ונגדן השכינה עידן ופלג עידן בימינא ושמאלא היא פלג שאין נקרא שלם כי אם בדינא ורחמי שלהן לא נקרא אדם כי אם דכר ונוקבא שהן ימינא ושמאלא כידוע לכן ח"ג נקראין כ"א פלג לכן חסד עד חצי היום וגבורה מחצי היום עד הלילה כ"א פלג היום אבל ת"ת יעקב כולל שניהם לכן יעקב איש תם וזמנו כל הלילה בין בדינא בין ברחמי שגם הלילה נחלק לשנים כמ"ש חצות לילה כו' כמ"</w:t>
      </w:r>
      <w:r w:rsidRPr="00BD5E91">
        <w:rPr>
          <w:sz w:val="22"/>
          <w:szCs w:val="22"/>
        </w:rPr>
        <w:t>A</w:t>
      </w:r>
      <w:r w:rsidRPr="00BD5E91">
        <w:rPr>
          <w:sz w:val="22"/>
          <w:szCs w:val="22"/>
          <w:rtl/>
        </w:rPr>
        <w:t xml:space="preserve"> בזוהר אלא שכלול שניהם ור"ל פלג המנחה הוא דעת ר' יהודה שאמר שאין זמן מנחה אלא בדינא וגבורה כלול מחסד שהוא יומא דכלא יומין בסוד אלקים שכלול מאל וחציו לבד דינא לכן סובר עד פלג המנחה ומביא ראיה מדבריו שפלג הוא דבר דאתפליג לדינא ולרחמי וזהו עדן עדנין בת"ת ששם כלול כל העדנין ופלג עידן בחו"ג שכ"א פלג:</w:t>
      </w:r>
    </w:p>
  </w:footnote>
  <w:footnote w:id="809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וכד אתפלגת כו'.</w:t>
      </w:r>
      <w:r w:rsidRPr="00BD5E91">
        <w:rPr>
          <w:sz w:val="22"/>
          <w:szCs w:val="22"/>
          <w:rtl/>
        </w:rPr>
        <w:t xml:space="preserve"> ר"ל שמקבלת מחו"ג:</w:t>
      </w:r>
    </w:p>
  </w:footnote>
  <w:footnote w:id="809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עד חצי המלכות.</w:t>
      </w:r>
      <w:r w:rsidRPr="00BD5E91">
        <w:rPr>
          <w:sz w:val="22"/>
          <w:szCs w:val="22"/>
          <w:rtl/>
        </w:rPr>
        <w:t xml:space="preserve"> מסט' דרחמי חציה של המלכות שכינה ששם דבר חוצץ לה כידוע:</w:t>
      </w:r>
    </w:p>
  </w:footnote>
  <w:footnote w:id="809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ואיהי כח ה' כו'.</w:t>
      </w:r>
      <w:r w:rsidRPr="00BD5E91">
        <w:rPr>
          <w:sz w:val="22"/>
          <w:szCs w:val="22"/>
          <w:rtl/>
        </w:rPr>
        <w:t xml:space="preserve"> כ"ח אתוון דעובדא דבראשית דפ' ראשון וכ"ח אתוון דפ' ראשון של עשרת הדברות שהן עשר דברות נגד עשר אמירן דמעשה בראשית כ"ח אתוון דמילוי המילוי מ"ה כ"ח מ"ה כידוע וכלן נחלקים לשנים י"</w:t>
      </w:r>
      <w:r w:rsidRPr="00BD5E91">
        <w:rPr>
          <w:sz w:val="22"/>
          <w:szCs w:val="22"/>
        </w:rPr>
        <w:t>S</w:t>
      </w:r>
      <w:r w:rsidRPr="00BD5E91">
        <w:rPr>
          <w:sz w:val="22"/>
          <w:szCs w:val="22"/>
          <w:rtl/>
        </w:rPr>
        <w:t xml:space="preserve"> י"ד בראשית עד אלקים שהוא שבע היכלין שבע' ושבע' מוצקות וכן את השמים כו וידבר עד כל י"ק ו"ק וכן ה' אלקינו ה' וחילוף שלהם הידוע וז"ש. פלגו דילה י"ד כו'. י"ד אותיות:</w:t>
      </w:r>
    </w:p>
  </w:footnote>
  <w:footnote w:id="809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כ"ח זמנין עת כו'.</w:t>
      </w:r>
      <w:r w:rsidRPr="00BD5E91">
        <w:rPr>
          <w:sz w:val="22"/>
          <w:szCs w:val="22"/>
          <w:rtl/>
        </w:rPr>
        <w:t xml:space="preserve"> פלגו רחמים ופלגו דינא זה נגד זה כמ"</w:t>
      </w:r>
      <w:r w:rsidRPr="00BD5E91">
        <w:rPr>
          <w:sz w:val="22"/>
          <w:szCs w:val="22"/>
        </w:rPr>
        <w:t>A</w:t>
      </w:r>
      <w:r w:rsidRPr="00BD5E91">
        <w:rPr>
          <w:sz w:val="22"/>
          <w:szCs w:val="22"/>
          <w:rtl/>
        </w:rPr>
        <w:t xml:space="preserve"> בתיקונים והן כללים שלה שהן נגד כ"ח מחנות הלבנה שהולכת בכ"ח ימים פלגו במילואה ופלגו בחסורה ועיין בתיקונים שם:</w:t>
      </w:r>
    </w:p>
  </w:footnote>
  <w:footnote w:id="810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חזא דלא אצלח כו'.</w:t>
      </w:r>
      <w:r w:rsidRPr="00BD5E91">
        <w:rPr>
          <w:sz w:val="22"/>
          <w:szCs w:val="22"/>
          <w:rtl/>
        </w:rPr>
        <w:t xml:space="preserve"> שלמעלה אמר ולא אצלח באתריה ואעקר ליה מאתריה כו' ועפר אחר יקח כו'. והוא שינוי מקום בגלגול הראשון עכשיו מפרש שינוי השם בגלגול שני ושינוי מעשה בגלגול השלישי והוא בנר"נ בינה עד"א מלכות כנ"ל והענין כי בגלגול הראשון משנה לו נשמה אחרת וידוע שהנשמה אינה באדם עיקרה רק מאיר לו מבחוץ והוא מזלו של אדם כידוע שהרוח קשור בה וזהו שינוי מקום שקושר את הרוח שהוא עיקרו של אדם והוא שהולך בגלגול בנשמה אחרת  שהיא מקומו של עולם שהרוח נקרא עולם קטן וכן בינה מקום כמ"ש בתיקונים שם מקום של עד"א שנקרא עולם חסד יבנה ושם ועפר אחר יקח כו' אבל הבית שהרוח עיקרו של בית הוא עצמו לא נשתנה ואמר כאן חזא דלא אצלח בגלגול ראשון ונתץ את הבית כו'. דארכיב ליה ברוחא אחרא לסייע לו וזהו סתירת כל הבית שהוא הרוח כנ"ל וכל הענין של מצורע רומז אל הגלגולים ואבנים ועצים ועפר הוא בנין הגוף בשר וגידים ועצמות וכ"ה כנגדו בנר"ן כידוע וכל פעם הוא שבעה ימים ימי שנותינו כו' והן בבים שלשה שבועות שלשה גלגולים הנ"ל וכן כל הענין תשכח בגלגולים:</w:t>
      </w:r>
    </w:p>
  </w:footnote>
  <w:footnote w:id="810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וארכיב ליה כו'.</w:t>
      </w:r>
      <w:r w:rsidRPr="00BD5E91">
        <w:rPr>
          <w:sz w:val="22"/>
          <w:szCs w:val="22"/>
          <w:rtl/>
        </w:rPr>
        <w:t xml:space="preserve"> זהו את אבניו כנ"ל:</w:t>
      </w:r>
    </w:p>
  </w:footnote>
  <w:footnote w:id="810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כמאן דארכיב כו' ותמן אשתני כו'.</w:t>
      </w:r>
      <w:r w:rsidRPr="00BD5E91">
        <w:rPr>
          <w:sz w:val="22"/>
          <w:szCs w:val="22"/>
          <w:rtl/>
        </w:rPr>
        <w:t xml:space="preserve"> שארכיב ליה ברוחא אחרא וזהו מין בשאינו מינו שהגלגול הזה בעד"א ששם הרוחות והוא אילנא דחיי וז"ש ותמן אשתני אילנא כו' שעיקר הרוח נשתנה וז"ש. ודא איהו שינוי השם והשם הוא בעד"א שם הויה כידוע:</w:t>
      </w:r>
    </w:p>
  </w:footnote>
  <w:footnote w:id="8103">
    <w:p w:rsidR="00007309" w:rsidRPr="00BD5E91" w:rsidRDefault="00007309" w:rsidP="00007309">
      <w:pPr>
        <w:jc w:val="both"/>
        <w:rPr>
          <w:rFonts w:cs="Arial"/>
          <w:sz w:val="22"/>
          <w:szCs w:val="22"/>
          <w:rtl/>
        </w:rPr>
      </w:pPr>
      <w:r w:rsidRPr="00BD5E91">
        <w:rPr>
          <w:rStyle w:val="a7"/>
          <w:sz w:val="22"/>
          <w:szCs w:val="22"/>
          <w:rtl/>
        </w:rPr>
        <w:footnoteRef/>
      </w:r>
      <w:r w:rsidRPr="00BD5E91">
        <w:rPr>
          <w:sz w:val="22"/>
          <w:szCs w:val="22"/>
          <w:rtl/>
        </w:rPr>
        <w:t xml:space="preserve"> </w:t>
      </w:r>
      <w:r w:rsidRPr="00BD5E91">
        <w:rPr>
          <w:rFonts w:cs="Arial"/>
          <w:b/>
          <w:bCs/>
          <w:sz w:val="22"/>
          <w:szCs w:val="22"/>
          <w:rtl/>
        </w:rPr>
        <w:t>ושני ליה בכל עובדוי.</w:t>
      </w:r>
      <w:r w:rsidRPr="00BD5E91">
        <w:rPr>
          <w:rFonts w:cs="Arial"/>
          <w:sz w:val="22"/>
          <w:szCs w:val="22"/>
          <w:rtl/>
        </w:rPr>
        <w:t xml:space="preserve"> בשכינה ששם הציורין כמ"ש בתיקון ע' ושם הוא גלגול השלישי ששם הוא שינוי מעשה כמש"ל וז"ש בכל עובדוי כו'. ומכל צירוין דיליה ר"ל מד'</w:t>
      </w:r>
    </w:p>
    <w:p w:rsidR="00007309" w:rsidRPr="00BD5E91" w:rsidRDefault="00007309" w:rsidP="00007309">
      <w:pPr>
        <w:jc w:val="both"/>
        <w:rPr>
          <w:rFonts w:cs="Arial"/>
          <w:sz w:val="22"/>
          <w:szCs w:val="22"/>
          <w:rtl/>
        </w:rPr>
      </w:pPr>
      <w:r w:rsidRPr="00BD5E91">
        <w:rPr>
          <w:rFonts w:cs="Arial"/>
          <w:sz w:val="22"/>
          <w:szCs w:val="22"/>
          <w:rtl/>
        </w:rPr>
        <w:t>לט</w:t>
      </w:r>
    </w:p>
    <w:p w:rsidR="00007309" w:rsidRPr="00BD5E91" w:rsidRDefault="00007309" w:rsidP="00007309">
      <w:pPr>
        <w:pStyle w:val="a5"/>
        <w:rPr>
          <w:sz w:val="22"/>
          <w:szCs w:val="22"/>
          <w:rtl/>
        </w:rPr>
      </w:pPr>
      <w:r w:rsidRPr="00BD5E91">
        <w:rPr>
          <w:sz w:val="22"/>
          <w:szCs w:val="22"/>
          <w:rtl/>
        </w:rPr>
        <w:t>פרצופין של ד' חיות שכל הפרצופין רשומין בשכינה כנ"ל. ואע"ג דאמרנו לעיל דנפשא לא אזיל בגלגולא שני נפשות הם א' שנכלל ברוח נר"נ והוא שאמרו בזוהר דנר"נ נכללין כא' ועיקרן הרוח וכן בספירות עד"א הוא הכולל כל האצילות והוא שאמרו בזוהר שנר"נ מתגלגלין ועוד נפש שיתופא דגופא והוא שאינו מתגלגל אלא נוצר עם הגוף והוא של השכינה דאתגלילת במט"ט שמשם הגוף שהוא הגוף לשכינה ונפש של נר"נ הנ"ל הוא צדיק דאתכליל בשכינה כמש"ל שמשם הנפש הנ"ל ושם הוא שינוי מעשה כנ"ל כלאחר יד כל צדיק אחר יד שכינה ושם הוא ציורין כמ"ש בתיקון ע' דף קי"ט ע"ב צ' צתניה צתניה דא צדיק כו' ואת צ'  ביה מצויירין כו' וכן מצוייר בנפש שיתופא דגופא שלכן אמרו ציורין כבשכינה כן הציורין בולטין בגוף שלכן אמר בתיקון ס"ה שכל הציורין במט"ט והכל אחד:</w:t>
      </w:r>
    </w:p>
  </w:footnote>
  <w:footnote w:id="810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ורזא דמלה משנה פניו.</w:t>
      </w:r>
      <w:r w:rsidRPr="00BD5E91">
        <w:rPr>
          <w:sz w:val="22"/>
          <w:szCs w:val="22"/>
          <w:rtl/>
        </w:rPr>
        <w:t xml:space="preserve"> בד' אנפין. ותשלחהו בגלגולא ואע"ג שאמרו ששלשה הגלגולין בשלשה חיות מ"מ כ"א יש לו ד' אנפין ומתגלגל באנפין שוין ושלשה הגלגולין הן בבינה עד"א וצדיק שכ"א כלול מתלת בינה בג"ר עד"א בחג"ת צדיק בנה"י שבכ"א ג' חיון וצורת אדם כליל מכולהו ולזה רמוז ג' שילוחים דיונה מן התיבה ובכ"א שבעה ימים כנ"ל:</w:t>
      </w:r>
    </w:p>
  </w:footnote>
  <w:footnote w:id="810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ומן.</w:t>
      </w:r>
      <w:r w:rsidRPr="00BD5E91">
        <w:rPr>
          <w:sz w:val="22"/>
          <w:szCs w:val="22"/>
          <w:rtl/>
        </w:rPr>
        <w:t xml:space="preserve"> צ"ל והן כל כו' והן בג' חיון כמ"ש למטה:</w:t>
      </w:r>
    </w:p>
  </w:footnote>
  <w:footnote w:id="810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קרקע דנטע כו'.</w:t>
      </w:r>
      <w:r w:rsidRPr="00BD5E91">
        <w:rPr>
          <w:sz w:val="22"/>
          <w:szCs w:val="22"/>
          <w:rtl/>
        </w:rPr>
        <w:t xml:space="preserve"> הוא גוף כנ"ל ועפר אחר כו' והוא בשכינה נפשא שיתופא דגופא כנ"ל:</w:t>
      </w:r>
    </w:p>
  </w:footnote>
  <w:footnote w:id="810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ואתפשט כו'.</w:t>
      </w:r>
      <w:r w:rsidRPr="00BD5E91">
        <w:rPr>
          <w:sz w:val="22"/>
          <w:szCs w:val="22"/>
          <w:rtl/>
        </w:rPr>
        <w:t xml:space="preserve"> דבזמן דאצלח אין נתגלגל עצמו רק שענפיו מתגלגלים כמו אילן שמצליח מאד שנוטלין ממנו ענפים ומרכיבים אותו בהרבה מקומות כמ"ש במשה רבינו שמאיר ומתגלגל בכל דור ודור כידוע:</w:t>
      </w:r>
    </w:p>
  </w:footnote>
  <w:footnote w:id="810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הה"</w:t>
      </w:r>
      <w:r w:rsidRPr="00BD5E91">
        <w:rPr>
          <w:b/>
          <w:bCs/>
          <w:sz w:val="22"/>
          <w:szCs w:val="22"/>
        </w:rPr>
        <w:t>S</w:t>
      </w:r>
      <w:r w:rsidRPr="00BD5E91">
        <w:rPr>
          <w:b/>
          <w:bCs/>
          <w:sz w:val="22"/>
          <w:szCs w:val="22"/>
          <w:rtl/>
        </w:rPr>
        <w:t xml:space="preserve"> דבר כו'.</w:t>
      </w:r>
      <w:r w:rsidRPr="00BD5E91">
        <w:rPr>
          <w:sz w:val="22"/>
          <w:szCs w:val="22"/>
          <w:rtl/>
        </w:rPr>
        <w:t xml:space="preserve"> שדבר הוא שכינה כידוע:</w:t>
      </w:r>
    </w:p>
  </w:footnote>
  <w:footnote w:id="810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על כסלו.</w:t>
      </w:r>
      <w:r w:rsidRPr="00BD5E91">
        <w:rPr>
          <w:sz w:val="22"/>
          <w:szCs w:val="22"/>
          <w:rtl/>
        </w:rPr>
        <w:t xml:space="preserve"> צ"ל על כולו. ושלמה הוא שלם ה' כמש"ל לקמן שנמצא שלם בה' שכינה קרקע הנ"ל:</w:t>
      </w:r>
    </w:p>
  </w:footnote>
  <w:footnote w:id="811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ועושה חסד לאלפים.</w:t>
      </w:r>
      <w:r w:rsidRPr="00BD5E91">
        <w:rPr>
          <w:sz w:val="22"/>
          <w:szCs w:val="22"/>
          <w:rtl/>
        </w:rPr>
        <w:t xml:space="preserve"> ר"ל כמ"ש המפרשים שאלפים אינו אלא אלף ואמר אלפים לשון רבים אלפים דורות:</w:t>
      </w:r>
    </w:p>
  </w:footnote>
  <w:footnote w:id="811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ובכלהו אתדני.</w:t>
      </w:r>
      <w:r w:rsidRPr="00BD5E91">
        <w:rPr>
          <w:sz w:val="22"/>
          <w:szCs w:val="22"/>
          <w:rtl/>
        </w:rPr>
        <w:t xml:space="preserve"> צ"ל אתדכי:</w:t>
      </w:r>
    </w:p>
  </w:footnote>
  <w:footnote w:id="811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אתמר ביה ועושה חסד.</w:t>
      </w:r>
      <w:r w:rsidRPr="00BD5E91">
        <w:rPr>
          <w:sz w:val="22"/>
          <w:szCs w:val="22"/>
          <w:rtl/>
        </w:rPr>
        <w:t xml:space="preserve"> שחסד הוא להם שעליהן נאמר טוב יותר משנברא משלא נברא כמ"ש התוס' ע"ש:</w:t>
      </w:r>
    </w:p>
  </w:footnote>
  <w:footnote w:id="811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לא אית לון כו'.</w:t>
      </w:r>
      <w:r w:rsidRPr="00BD5E91">
        <w:rPr>
          <w:sz w:val="22"/>
          <w:szCs w:val="22"/>
          <w:rtl/>
        </w:rPr>
        <w:t xml:space="preserve"> שאין מתגלגלין רק ג' פעמים דג' חיון ואינן באין בגלגלולא דאדם שהוא אלף דור כמ"ש למטה שעליהן נאמר מעוות לא יוכל כו' שקלקלו בג' חיון לא יוכלו לתקן בחיה הרביעית אדם שהיא אינה רק פרט של ג' חיות שלא תיקן בדכורא כ"ש בנוקבא והן המזיקי עלמא ועלין נמאר יפול כו':</w:t>
      </w:r>
    </w:p>
  </w:footnote>
  <w:footnote w:id="811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קבורים ובאו.</w:t>
      </w:r>
      <w:r w:rsidRPr="00BD5E91">
        <w:rPr>
          <w:sz w:val="22"/>
          <w:szCs w:val="22"/>
          <w:rtl/>
        </w:rPr>
        <w:t xml:space="preserve"> ר"ל לאחר קבורתם באו בגלגול:</w:t>
      </w:r>
    </w:p>
  </w:footnote>
  <w:footnote w:id="811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וממקום קדוש יהלכו.</w:t>
      </w:r>
      <w:r w:rsidRPr="00BD5E91">
        <w:rPr>
          <w:sz w:val="22"/>
          <w:szCs w:val="22"/>
          <w:rtl/>
        </w:rPr>
        <w:t xml:space="preserve"> ר"ל שהולכין משם ואין להם חלק בה שהיא נקראת מקום כמש"ל בזאת יבא אהרן אל הקדש בסט' דטוב ולא בהם כמש"ל בעמוד הקודם:</w:t>
      </w:r>
    </w:p>
  </w:footnote>
  <w:footnote w:id="811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מאי וממקום כו'.</w:t>
      </w:r>
      <w:r w:rsidRPr="00BD5E91">
        <w:rPr>
          <w:sz w:val="22"/>
          <w:szCs w:val="22"/>
          <w:rtl/>
        </w:rPr>
        <w:t xml:space="preserve"> ר"ל הא לא היו כלל בקדושה ותירץ דאמת שרשם בקדושה רק מחמת רשעתם הולכין משם כמ"ש לא זכה נוטל חלקו כו' זכה נוטל חלקו וחלק חבירו בג"ע וז"ש. אלא ודאי כו':</w:t>
      </w:r>
    </w:p>
  </w:footnote>
  <w:footnote w:id="811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סבא דסבין.</w:t>
      </w:r>
      <w:r w:rsidRPr="00BD5E91">
        <w:rPr>
          <w:sz w:val="22"/>
          <w:szCs w:val="22"/>
          <w:rtl/>
        </w:rPr>
        <w:t xml:space="preserve"> אדה"ר שהוא זקן על כל הזקנים ראש עפרות תבל ודרגיה בחכמה עלאה שעד"א נקרא סבא וכן חג"ת נקראו זקנים וחכמה סבאדסבין כמש"ל:</w:t>
      </w:r>
    </w:p>
  </w:footnote>
  <w:footnote w:id="811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ולהאי אתמר כו'.</w:t>
      </w:r>
      <w:r w:rsidRPr="00BD5E91">
        <w:rPr>
          <w:sz w:val="22"/>
          <w:szCs w:val="22"/>
          <w:rtl/>
        </w:rPr>
        <w:t xml:space="preserve"> קבורים שהטוב קבור שהרע קבורה לטוב כמ"ש דגלותא קבורה כו' דכל רע לטוב הוא קבורה דרשע אע"ג שהוא רשע שאינו גמור מ"מ הרע שולטת על הטוב. לכן ובאו חוזר בגלגול בשביל הטוב ומפרש הפסוק וממקום קדוש יהלכו שניקח ממקום קדוש ע"כ ובאו כנ"ל:</w:t>
      </w:r>
    </w:p>
  </w:footnote>
  <w:footnote w:id="811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ולהאי ל"ל שעתא כו'.</w:t>
      </w:r>
      <w:r w:rsidRPr="00BD5E91">
        <w:rPr>
          <w:sz w:val="22"/>
          <w:szCs w:val="22"/>
          <w:rtl/>
        </w:rPr>
        <w:t xml:space="preserve"> ר"ל כמש"ל עד דאערע שעתיה אבל כאן לצרף אותו א"צ לעת רק שיתברר עד שיהא נקי ואז אם יזכה יארע לו בת זוגיה כמש"ל ומפ"ו:</w:t>
      </w:r>
    </w:p>
  </w:footnote>
  <w:footnote w:id="812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ורזא דמלה אשר קומטו ולא עת.</w:t>
      </w:r>
      <w:r w:rsidRPr="00BD5E91">
        <w:rPr>
          <w:sz w:val="22"/>
          <w:szCs w:val="22"/>
          <w:rtl/>
        </w:rPr>
        <w:t xml:space="preserve"> ר"ל שאין להם עת בגלגול כנ"ל ור"ל בשביל נהר יוצק כו' כמש"ו:</w:t>
      </w:r>
    </w:p>
  </w:footnote>
  <w:footnote w:id="812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דאתקמיטו בלא עת.</w:t>
      </w:r>
      <w:r w:rsidRPr="00BD5E91">
        <w:rPr>
          <w:sz w:val="22"/>
          <w:szCs w:val="22"/>
          <w:rtl/>
        </w:rPr>
        <w:t xml:space="preserve"> שהן מעולמות שבנה הקב"ה והחריבן בשביל דלא אשתתף בשכינתא כמ"ש לקמן ע"ב וזהו בלא עת וכן בגלגולם אסתלקו בלא עת שהיו רשעים ונתגלגלו הרבה פעמים כנ"ל:</w:t>
      </w:r>
    </w:p>
  </w:footnote>
  <w:footnote w:id="812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וחזר לון ליסוד.</w:t>
      </w:r>
      <w:r w:rsidRPr="00BD5E91">
        <w:rPr>
          <w:sz w:val="22"/>
          <w:szCs w:val="22"/>
          <w:rtl/>
        </w:rPr>
        <w:t xml:space="preserve"> ר"ל ליסוד של ד' פרצופין כמש"ו:</w:t>
      </w:r>
    </w:p>
  </w:footnote>
  <w:footnote w:id="812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דאינון ד' יסודין כו'.</w:t>
      </w:r>
      <w:r w:rsidRPr="00BD5E91">
        <w:rPr>
          <w:sz w:val="22"/>
          <w:szCs w:val="22"/>
          <w:rtl/>
        </w:rPr>
        <w:t xml:space="preserve"> שד' יסודו שבאדם הן ד' חיות כמש"ו דממנן על כו':</w:t>
      </w:r>
    </w:p>
  </w:footnote>
  <w:footnote w:id="812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אריה מרכבה כו'.</w:t>
      </w:r>
      <w:r w:rsidRPr="00BD5E91">
        <w:rPr>
          <w:sz w:val="22"/>
          <w:szCs w:val="22"/>
          <w:rtl/>
        </w:rPr>
        <w:t xml:space="preserve"> כמ"ש ופני אריה על הימין לארבעתם ופני שור כו' ונשר בעד"א כמ"ש דרך הנשר בשמים:</w:t>
      </w:r>
    </w:p>
  </w:footnote>
  <w:footnote w:id="812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אדם צוה כו'.</w:t>
      </w:r>
      <w:r w:rsidRPr="00BD5E91">
        <w:rPr>
          <w:sz w:val="22"/>
          <w:szCs w:val="22"/>
          <w:rtl/>
        </w:rPr>
        <w:t xml:space="preserve"> דאלף דור הנ"ל הוא מסט' דאדם וזהו אבהן שנתגלגלו בג' חיון כידוע ומשה שהוא גלגול אדם מ"ה שמו מתגלגל באלף דור של התורה דבר צוה לאלף דור כנ"ל דור הולך כו' שקאי על משה דאתגלגל בכל דור בששים רבוא כמ"ש בתיקונים והוא א' דאדם כידוע שהוא אלף:</w:t>
      </w:r>
    </w:p>
  </w:footnote>
  <w:footnote w:id="812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הלא אב אחד.</w:t>
      </w:r>
      <w:r w:rsidRPr="00BD5E91">
        <w:rPr>
          <w:sz w:val="22"/>
          <w:szCs w:val="22"/>
          <w:rtl/>
        </w:rPr>
        <w:t xml:space="preserve"> הוא אדה"ר שהוא אב לכל באי עולם:</w:t>
      </w:r>
    </w:p>
  </w:footnote>
  <w:footnote w:id="812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דזכינא כו'.</w:t>
      </w:r>
      <w:r w:rsidRPr="00BD5E91">
        <w:rPr>
          <w:sz w:val="22"/>
          <w:szCs w:val="22"/>
          <w:rtl/>
        </w:rPr>
        <w:t xml:space="preserve"> דכלם דהוו חלקם ממנו הן בסט' דקדושה והוא אדם דארכיב ליה באלף דור והוא עפר כמ"</w:t>
      </w:r>
      <w:r w:rsidRPr="00BD5E91">
        <w:rPr>
          <w:sz w:val="22"/>
          <w:szCs w:val="22"/>
        </w:rPr>
        <w:t>A</w:t>
      </w:r>
      <w:r w:rsidRPr="00BD5E91">
        <w:rPr>
          <w:sz w:val="22"/>
          <w:szCs w:val="22"/>
          <w:rtl/>
        </w:rPr>
        <w:t xml:space="preserve"> כי עפר אתה והוא כמ"</w:t>
      </w:r>
      <w:r w:rsidRPr="00BD5E91">
        <w:rPr>
          <w:sz w:val="22"/>
          <w:szCs w:val="22"/>
        </w:rPr>
        <w:t>A</w:t>
      </w:r>
      <w:r w:rsidRPr="00BD5E91">
        <w:rPr>
          <w:sz w:val="22"/>
          <w:szCs w:val="22"/>
          <w:rtl/>
        </w:rPr>
        <w:t xml:space="preserve"> מה שמו ומה כו':</w:t>
      </w:r>
    </w:p>
  </w:footnote>
  <w:footnote w:id="812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לאו כל עריות.</w:t>
      </w:r>
      <w:r w:rsidRPr="00BD5E91">
        <w:rPr>
          <w:sz w:val="22"/>
          <w:szCs w:val="22"/>
          <w:rtl/>
        </w:rPr>
        <w:t xml:space="preserve"> ר"ל דאית קליפה דחפיא על קליפה כמו קליפת נוגה קליפה קלישא דחפיא על קליפה תקיפא וזהו לכסות בשר ערוה לקרבא לקודשא אסור דאחוז  ביה קליפה הקשה שאיהו קליפה דמפתי לנהורא אחזי לנהורא דבה כידוע. וז"ש האי לא קריב כו' ואינו רק לכסות בשר ערוה קליפה תקיפא כנ"ל:</w:t>
      </w:r>
    </w:p>
  </w:footnote>
  <w:footnote w:id="812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דאתמר ביה כו'.</w:t>
      </w:r>
      <w:r w:rsidRPr="00BD5E91">
        <w:rPr>
          <w:sz w:val="22"/>
          <w:szCs w:val="22"/>
          <w:rtl/>
        </w:rPr>
        <w:t xml:space="preserve"> שאר בשרו כו'. הוא בשר הערוה כנ"ל אני ה' לא תקרבו אליו:</w:t>
      </w:r>
    </w:p>
  </w:footnote>
  <w:footnote w:id="813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איבא דאילנא.</w:t>
      </w:r>
      <w:r w:rsidRPr="00BD5E91">
        <w:rPr>
          <w:sz w:val="22"/>
          <w:szCs w:val="22"/>
          <w:rtl/>
        </w:rPr>
        <w:t xml:space="preserve"> שאילן הוא דכורא ופריו נוקבא וכן בעץ החיים כידוע בהרבה מקומות:</w:t>
      </w:r>
    </w:p>
  </w:footnote>
  <w:footnote w:id="813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מתמן קא אתיין כו'.</w:t>
      </w:r>
      <w:r w:rsidRPr="00BD5E91">
        <w:rPr>
          <w:sz w:val="22"/>
          <w:szCs w:val="22"/>
          <w:rtl/>
        </w:rPr>
        <w:t xml:space="preserve"> שהן בנוי דקין שורש גלגולין מסט' דרע שבאו מקין כמ"ש בתיקונים:</w:t>
      </w:r>
    </w:p>
  </w:footnote>
  <w:footnote w:id="8132">
    <w:p w:rsidR="00007309" w:rsidRPr="00BD5E91" w:rsidRDefault="00007309" w:rsidP="00007309">
      <w:pPr>
        <w:jc w:val="both"/>
        <w:rPr>
          <w:rFonts w:cs="Arial"/>
          <w:sz w:val="22"/>
          <w:szCs w:val="22"/>
          <w:rtl/>
        </w:rPr>
      </w:pPr>
      <w:r w:rsidRPr="00BD5E91">
        <w:rPr>
          <w:rStyle w:val="a7"/>
          <w:rFonts w:cs="Arial"/>
          <w:sz w:val="22"/>
          <w:szCs w:val="22"/>
          <w:rtl/>
        </w:rPr>
        <w:footnoteRef/>
      </w:r>
      <w:r w:rsidRPr="00BD5E91">
        <w:rPr>
          <w:rFonts w:cs="Arial"/>
          <w:sz w:val="22"/>
          <w:szCs w:val="22"/>
          <w:rtl/>
        </w:rPr>
        <w:t xml:space="preserve"> </w:t>
      </w:r>
      <w:r w:rsidRPr="00BD5E91">
        <w:rPr>
          <w:rFonts w:cs="Arial"/>
          <w:b/>
          <w:bCs/>
          <w:sz w:val="22"/>
          <w:szCs w:val="22"/>
          <w:rtl/>
        </w:rPr>
        <w:t>ואמרו אלה כו'.</w:t>
      </w:r>
      <w:r w:rsidRPr="00BD5E91">
        <w:rPr>
          <w:rFonts w:cs="Arial"/>
          <w:sz w:val="22"/>
          <w:szCs w:val="22"/>
          <w:rtl/>
        </w:rPr>
        <w:t xml:space="preserve"> כמ"ש שחת עמך כידוע ור"ל זהו בנים משחיתים עזבו את ה' ואמרו אלה כו':</w:t>
      </w:r>
    </w:p>
  </w:footnote>
  <w:footnote w:id="813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לההוא דאתמר כו' כעמר נקי.</w:t>
      </w:r>
      <w:r w:rsidRPr="00BD5E91">
        <w:rPr>
          <w:sz w:val="22"/>
          <w:szCs w:val="22"/>
          <w:rtl/>
        </w:rPr>
        <w:t xml:space="preserve"> ר"ל לכן הביא מצאן רחלים וזהו מבכורות לקדמאה דכל קידומין וזהו סוד כלאים צמר ופשתים שהן קין והבל וכן הן כלאים דשור וחמור שג' משמרות הן קין והבל ושת שת אדם תינוק יונק והבל שור ואית בו חלק בקדושה וכמ"ש בר"מ פ' בא וקין משמרה ראשונה חמור נוער:</w:t>
      </w:r>
    </w:p>
  </w:footnote>
  <w:footnote w:id="813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שאת לך כו'.</w:t>
      </w:r>
      <w:r w:rsidRPr="00BD5E91">
        <w:rPr>
          <w:sz w:val="22"/>
          <w:szCs w:val="22"/>
          <w:rtl/>
        </w:rPr>
        <w:t xml:space="preserve"> ר"ל שיתוקן בגלגול והוא רמז לקיני חותן משה כמש"ל  בדף פ"ו ע"ג וז"ש ותתקבל בתיובתא כמ"ש לקמן שם ובאן אפר כו' דחזר תמן בתיובתא:</w:t>
      </w:r>
    </w:p>
  </w:footnote>
  <w:footnote w:id="813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הא הכא אדם דעשייה ויצירה.</w:t>
      </w:r>
      <w:r w:rsidRPr="00BD5E91">
        <w:rPr>
          <w:sz w:val="22"/>
          <w:szCs w:val="22"/>
          <w:rtl/>
        </w:rPr>
        <w:t xml:space="preserve"> ר"ל מלכות וצדיק כמ"ש למעלה שם בתיקונים:</w:t>
      </w:r>
    </w:p>
  </w:footnote>
  <w:footnote w:id="813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אדם דבריאה כו'.</w:t>
      </w:r>
      <w:r w:rsidRPr="00BD5E91">
        <w:rPr>
          <w:sz w:val="22"/>
          <w:szCs w:val="22"/>
          <w:rtl/>
        </w:rPr>
        <w:t xml:space="preserve"> כמ"ש שם דכח"ב הן בדרגא דבריאה ויצירה ועשייה. ועד"א וצדיק ומלכות הן נגד כח"ב ג"כ בי"</w:t>
      </w:r>
      <w:r w:rsidRPr="00BD5E91">
        <w:rPr>
          <w:sz w:val="22"/>
          <w:szCs w:val="22"/>
        </w:rPr>
        <w:t>G</w:t>
      </w:r>
      <w:r w:rsidRPr="00BD5E91">
        <w:rPr>
          <w:sz w:val="22"/>
          <w:szCs w:val="22"/>
          <w:rtl/>
        </w:rPr>
        <w:t xml:space="preserve"> דכולם אזיל בתלת תלת כמ"ש בתיקונים:</w:t>
      </w:r>
    </w:p>
  </w:footnote>
  <w:footnote w:id="813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מאי בצלמו בצלם.</w:t>
      </w:r>
      <w:r w:rsidRPr="00BD5E91">
        <w:rPr>
          <w:sz w:val="22"/>
          <w:szCs w:val="22"/>
          <w:rtl/>
        </w:rPr>
        <w:t xml:space="preserve"> ר,ל דכתיב ויברא אלקים את האדם בצלמו בצלם אלקים דמשמע ב' צלמים א' דדכורא בצלמו בצלם ו' בצלם אלקים נוקבא והוא אדם דבריאה שבו נאמר ויברא אלקים כו' שג' אדם נאמר במקרא אדם דעשייה נעשה אדם כו' אדם דבריאה ויברא כו' אדם דיצירה וייצר ה' אלהים את האדם כו'. ואמר תרין דיוקנין דיליה כו'. ר"ל שעד"א הוא וא"ו במלואו וא' שבאמצע הוא"ו הוא אדם ו"ו שבתחלתו וסופו הוא שני דיוקנין ב' צלמים שלו כידוע שב' צלמים יש לכל אדם א' מדכורא וא' מנוקבא והן מאו"א שג' תיקונין בראש שהוא כח"ב א' בכתר שבדיוקנו עד"א וב' ווין באו"א שהן ב' צלמים שסובבין את האדם א' שבאמצע:</w:t>
      </w:r>
    </w:p>
  </w:footnote>
  <w:footnote w:id="813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דאיהו אדם כו'.</w:t>
      </w:r>
      <w:r w:rsidRPr="00BD5E91">
        <w:rPr>
          <w:sz w:val="22"/>
          <w:szCs w:val="22"/>
          <w:rtl/>
        </w:rPr>
        <w:t xml:space="preserve"> ר"ל הא' שבאמצע ב' ווין הוא א' והענין כמ"ש בזוהר במדבר דבין דכורא ובין נוקבא כ"א כליל מדכר ונוקבא והן ב' דיוקנין דכליל אדם הא' שהוא כלל האדם עד"א וב' ווין פירוש הב' דיוקנין:</w:t>
      </w:r>
    </w:p>
  </w:footnote>
  <w:footnote w:id="813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דשכינתא עילאה איהי כו'.</w:t>
      </w:r>
      <w:r w:rsidRPr="00BD5E91">
        <w:rPr>
          <w:sz w:val="22"/>
          <w:szCs w:val="22"/>
          <w:rtl/>
        </w:rPr>
        <w:t xml:space="preserve"> עכשיו מפרש היאך ב' דיוקנין באו"א שורש של עד"</w:t>
      </w:r>
      <w:r w:rsidRPr="00BD5E91">
        <w:rPr>
          <w:sz w:val="22"/>
          <w:szCs w:val="22"/>
        </w:rPr>
        <w:t>T</w:t>
      </w:r>
      <w:r w:rsidRPr="00BD5E91">
        <w:rPr>
          <w:sz w:val="22"/>
          <w:szCs w:val="22"/>
          <w:rtl/>
        </w:rPr>
        <w:t xml:space="preserve"> ור"ל ז"ש בצלמנו כדמותנו בצלמנו של אבא שהוא צלם אדם כדמותנו של אמא ולפי שהם כלולים זה בזה אמר לשן רבים ונעשה אדם דכר ונוקבא ת"ת ומלכות שיהיו ג"כ בצלם ודמות. צלם האדם עד"א. ודמות מלכות שהיא דמות ת"ת וז"ש דשכינתא כו' ושכינתא כו' והן ב' ווין א' כלל האדם דכר ונוקבא ת"ת ומלכות שהיא נכללת בו בוא"ו כידוע והוא אמר נעשה שמסט' דילה מלכות עשייה ויברא אלקים הוא אבא כמש"ל ע"ג וע"ד לכן ויברא אדם דבריאה ת"ת כנ"ל וז"ש. ועוד עד"א כו'. שלמעלה אמר ב' דיוקנין ו"ו או"א ועכשיו מפ' דיוקנא של הא' שהוא כלל עד"א כנ"ל והולך ומפרש כל הג' אדם הנ"ל:</w:t>
      </w:r>
    </w:p>
  </w:footnote>
  <w:footnote w:id="814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אדם דבריאה.</w:t>
      </w:r>
      <w:r w:rsidRPr="00BD5E91">
        <w:rPr>
          <w:sz w:val="22"/>
          <w:szCs w:val="22"/>
          <w:rtl/>
        </w:rPr>
        <w:t xml:space="preserve"> ר"ל שעליו נאמר ויברא וכן בכתר כמ"ש בתיקונים. וכן בכל ג' אדם דחשיב והולך:</w:t>
      </w:r>
    </w:p>
  </w:footnote>
  <w:footnote w:id="814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ברית שלום שלם ה'.</w:t>
      </w:r>
      <w:r w:rsidRPr="00BD5E91">
        <w:rPr>
          <w:sz w:val="22"/>
          <w:szCs w:val="22"/>
          <w:rtl/>
        </w:rPr>
        <w:t xml:space="preserve"> מביא ראיה ששלמה הוא בדרגא דצדיק שנאמר את בריתי שלום הרי שצדיק נקרא שלום וכמ"ש משים שלום בבית כו' ושלמה הוא שלם ה' ברית דנוקבא ולכן ניתן לו חכמת דנוקבא חכמה זעירא כידוע:</w:t>
      </w:r>
    </w:p>
  </w:footnote>
  <w:footnote w:id="814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מסט' דוא"ו איהו א"א כו'.</w:t>
      </w:r>
      <w:r w:rsidRPr="00BD5E91">
        <w:rPr>
          <w:sz w:val="22"/>
          <w:szCs w:val="22"/>
          <w:rtl/>
        </w:rPr>
        <w:t xml:space="preserve"> כמש"ל שא"א הוא עד"א ולכן הוא ו' ו' אריכא וז"א הוא צדיק שהוא יו"ד עולם קצר י' שהוא זעירא וז"ש. ז"א מסטרא דוייצר יו"י ור"ל וייצר התחלתו וי"י שהוא ב' יודין ובאמצע ו' שב' דיוקנין שלו הן' יודין שהוא ז"א ובעד"</w:t>
      </w:r>
      <w:r w:rsidRPr="00BD5E91">
        <w:rPr>
          <w:sz w:val="22"/>
          <w:szCs w:val="22"/>
        </w:rPr>
        <w:t>T</w:t>
      </w:r>
      <w:r w:rsidRPr="00BD5E91">
        <w:rPr>
          <w:sz w:val="22"/>
          <w:szCs w:val="22"/>
          <w:rtl/>
        </w:rPr>
        <w:t xml:space="preserve"> ווין א"א כנ"ל והן בהיפוך כי כאן כלל הוא א' ב' יודין ווא"ו שהוא א' ובאמע הוא ו' ובת"ת כלל הוא וא"ו במילואו שהוא ו' ובאמצע א' ואלף הוא יו"ד כידוע:</w:t>
      </w:r>
    </w:p>
  </w:footnote>
  <w:footnote w:id="814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ואינון אדם שכל שם הוי"ה ע"ס נכללין בו"ק ו' של השם כידוע:</w:t>
      </w:r>
    </w:p>
  </w:footnote>
  <w:footnote w:id="814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ואינון אדם כו'. ר"ל תתאין עד"</w:t>
      </w:r>
      <w:r w:rsidRPr="00BD5E91">
        <w:rPr>
          <w:sz w:val="22"/>
          <w:szCs w:val="22"/>
        </w:rPr>
        <w:t>T</w:t>
      </w:r>
      <w:r w:rsidRPr="00BD5E91">
        <w:rPr>
          <w:sz w:val="22"/>
          <w:szCs w:val="22"/>
          <w:rtl/>
        </w:rPr>
        <w:t xml:space="preserve"> וצדיק ומלכות ועילאין כח"ב שכולם נכללין בשית וזהו שכל שם הוי"ה ע"ס נכללין בו"ק ו' של השם כידוע:</w:t>
      </w:r>
    </w:p>
  </w:footnote>
  <w:footnote w:id="814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בחושבן זעיר.</w:t>
      </w:r>
      <w:r w:rsidRPr="00BD5E91">
        <w:rPr>
          <w:sz w:val="22"/>
          <w:szCs w:val="22"/>
          <w:rtl/>
        </w:rPr>
        <w:t xml:space="preserve"> ר"ל במספר קטן ור"ל כמש"ו. וכל ספירה כו' שכל ספירה נכללת מט"ס והיא עשירית לכל ספירה וכמ"ש בתיקונים ונכללת מכל הט"ס לכן כל ספירה אדם במ"ק ט' כנ"ל והיא דמות אדם שנכללת ממנו ומפרש והולך בקדמיתא כו' וכן הוא בכלל העולמות שכל האצילות נכלל בשית כנ"ל ואםד דבריאה ויצירה ועשייה עצמן שהן עולמות בי"ע שהן נגד נה"י לבר מגופא שכל מלכות המתלבשת בבי"ע עומדת נגד נה"י כידוע נמצא הם תשע ואדם הגשמי הוא מלכות של כל העולמות שמקבל מכולם ונכלל מכולם שהוא עולם קטן וכל העולמות נכללין בו כמ"ש בצלמנו כדמותנו של הכל כידוע לכן לא נשלם העולמות ע דשנברא האדם בגשמי ולכן נברא אחר כולם והוא כליל מבי"</w:t>
      </w:r>
      <w:r w:rsidRPr="00BD5E91">
        <w:rPr>
          <w:sz w:val="22"/>
          <w:szCs w:val="22"/>
        </w:rPr>
        <w:t>G</w:t>
      </w:r>
      <w:r w:rsidRPr="00BD5E91">
        <w:rPr>
          <w:sz w:val="22"/>
          <w:szCs w:val="22"/>
          <w:rtl/>
        </w:rPr>
        <w:t xml:space="preserve"> שעליו נאמר ג' אדם הנ"ל וכן כל מעשה בראשית כלול בו כידוע וכן הוא בכל מלכות שכליל מכל ט"ס כמש"ל:</w:t>
      </w:r>
    </w:p>
  </w:footnote>
  <w:footnote w:id="814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רישא הא כו'.</w:t>
      </w:r>
      <w:r w:rsidRPr="00BD5E91">
        <w:rPr>
          <w:sz w:val="22"/>
          <w:szCs w:val="22"/>
          <w:rtl/>
        </w:rPr>
        <w:t xml:space="preserve"> ראש הוא כתר שבכתר ומצח ת"ת שמבריח מקצה כו' עד הכתר כידוע וחוטמא יסוד שמגיע עד המצח ת"ת גוף וברית כידוע וב' עינים חו"ב וב' אזנים חו"ג וב' אנפין נו"ה:</w:t>
      </w:r>
    </w:p>
  </w:footnote>
  <w:footnote w:id="814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הא פומא כו'.</w:t>
      </w:r>
      <w:r w:rsidRPr="00BD5E91">
        <w:rPr>
          <w:sz w:val="22"/>
          <w:szCs w:val="22"/>
          <w:rtl/>
        </w:rPr>
        <w:t xml:space="preserve"> וע"ז אמרו בהתחלת תיקונים שפה הוא מלכות והוא נכלל מכל הט"ס כידוע חסדים מצד ימין וג' גבורות מצד שמאל וכן כסדר זה למעלה מזה וכתר ע"ג כולם ומלכות פה אחרונה מכולם:</w:t>
      </w:r>
    </w:p>
  </w:footnote>
  <w:footnote w:id="814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כל עמל כו'.</w:t>
      </w:r>
      <w:r w:rsidRPr="00BD5E91">
        <w:rPr>
          <w:sz w:val="22"/>
          <w:szCs w:val="22"/>
          <w:rtl/>
        </w:rPr>
        <w:t xml:space="preserve"> ר"ל כמש"ו כל גלגולין:</w:t>
      </w:r>
    </w:p>
  </w:footnote>
  <w:footnote w:id="814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ואפשר.</w:t>
      </w:r>
      <w:r w:rsidRPr="00BD5E91">
        <w:rPr>
          <w:sz w:val="22"/>
          <w:szCs w:val="22"/>
          <w:rtl/>
        </w:rPr>
        <w:t xml:space="preserve"> כמ"ש כולי האי ואולי</w:t>
      </w:r>
      <w:r>
        <w:rPr>
          <w:rFonts w:hint="cs"/>
          <w:sz w:val="22"/>
          <w:szCs w:val="22"/>
          <w:rtl/>
        </w:rPr>
        <w:t>,</w:t>
      </w:r>
      <w:r w:rsidRPr="00BD5E91">
        <w:rPr>
          <w:sz w:val="22"/>
          <w:szCs w:val="22"/>
          <w:rtl/>
        </w:rPr>
        <w:t xml:space="preserve"> ואין מה לפה לאכול:</w:t>
      </w:r>
    </w:p>
  </w:footnote>
  <w:footnote w:id="815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דההוא אדם קדמון.</w:t>
      </w:r>
      <w:r w:rsidRPr="00BD5E91">
        <w:rPr>
          <w:sz w:val="22"/>
          <w:szCs w:val="22"/>
          <w:rtl/>
        </w:rPr>
        <w:t xml:space="preserve"> כתר כמ"ש בתיקונים והוא מלכות דא"ק:</w:t>
      </w:r>
    </w:p>
  </w:footnote>
  <w:footnote w:id="815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בני עלמין ומחריבן.</w:t>
      </w:r>
      <w:r w:rsidRPr="00BD5E91">
        <w:rPr>
          <w:sz w:val="22"/>
          <w:szCs w:val="22"/>
          <w:rtl/>
        </w:rPr>
        <w:t xml:space="preserve"> עולמות התוהו כמ"ש לעיל תתקע"</w:t>
      </w:r>
      <w:r>
        <w:rPr>
          <w:rFonts w:hint="cs"/>
          <w:sz w:val="22"/>
          <w:szCs w:val="22"/>
          <w:rtl/>
        </w:rPr>
        <w:t>ד</w:t>
      </w:r>
      <w:r w:rsidRPr="00BD5E91">
        <w:rPr>
          <w:sz w:val="22"/>
          <w:szCs w:val="22"/>
          <w:rtl/>
        </w:rPr>
        <w:t xml:space="preserve"> דורות:</w:t>
      </w:r>
    </w:p>
  </w:footnote>
  <w:footnote w:id="815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דמוחא איהו חד כו'.</w:t>
      </w:r>
      <w:r w:rsidRPr="00BD5E91">
        <w:rPr>
          <w:sz w:val="22"/>
          <w:szCs w:val="22"/>
          <w:rtl/>
        </w:rPr>
        <w:t xml:space="preserve"> ר"ל כללא דמוחא והוא כתר שבחכמה:</w:t>
      </w:r>
    </w:p>
  </w:footnote>
  <w:footnote w:id="815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ואתפלגלד' מוחין.</w:t>
      </w:r>
      <w:r w:rsidRPr="00BD5E91">
        <w:rPr>
          <w:sz w:val="22"/>
          <w:szCs w:val="22"/>
          <w:rtl/>
        </w:rPr>
        <w:t xml:space="preserve"> כידוע חו"ב ודעת ודעת כליל משני מוחין חו"ג והן ת"ת ויסוד שת"ת נטיל לימינא ויסוד לשמאלא לכן הן שניהן הדעת מכריע שת"ת ויסוד הן מכריעין שהן ד' אותיות שבשם י"ק חו"ב ו"ק ת"ת ויסוד שכליל בה' אחרונה כידוע לכן בד' מוחין שם הויה כידוע ד' פרשיות שבתפילין שהן כוללין כל הע"</w:t>
      </w:r>
      <w:r w:rsidRPr="00BD5E91">
        <w:rPr>
          <w:sz w:val="22"/>
          <w:szCs w:val="22"/>
        </w:rPr>
        <w:t>X</w:t>
      </w:r>
      <w:r w:rsidRPr="00BD5E91">
        <w:rPr>
          <w:sz w:val="22"/>
          <w:szCs w:val="22"/>
          <w:rtl/>
        </w:rPr>
        <w:t xml:space="preserve"> כי ת"ת כולל חג"ת וצדיק נה"י ולכן נקראו ת"ת ויסוד שניהן דעת כי אל דעות ה' כידוע:</w:t>
      </w:r>
    </w:p>
  </w:footnote>
  <w:footnote w:id="815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ותקין כנפי ריאה.</w:t>
      </w:r>
      <w:r w:rsidRPr="00BD5E91">
        <w:rPr>
          <w:sz w:val="22"/>
          <w:szCs w:val="22"/>
          <w:rtl/>
        </w:rPr>
        <w:t xml:space="preserve"> חו"ג שהן נקראין כנפים כידוע. וחשיב כל כנפים שבצד ימין לא' וכן שבצד שמאל כי בכל יד ג' פרקים אלא ששמאל נכלל בימין לכן בצד ימין יותר:</w:t>
      </w:r>
    </w:p>
  </w:footnote>
  <w:footnote w:id="815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ותרין כגליין.</w:t>
      </w:r>
      <w:r w:rsidRPr="00BD5E91">
        <w:rPr>
          <w:sz w:val="22"/>
          <w:szCs w:val="22"/>
          <w:rtl/>
        </w:rPr>
        <w:t xml:space="preserve"> נו"ה כידוע וזהו שלפעמים אמרו שכוליין הן נו"ה ולפעמים אמרו ששוקין הן נו"ה לפי שזה במוחא וזה בגופא כמ"ש למטה וכן אמרו שאזנים הם נו"ה והן ברישא כנ"ל:</w:t>
      </w:r>
    </w:p>
  </w:footnote>
  <w:footnote w:id="8156">
    <w:p w:rsidR="00007309" w:rsidRPr="00BD5E91" w:rsidRDefault="00007309" w:rsidP="00007309">
      <w:pPr>
        <w:jc w:val="both"/>
        <w:rPr>
          <w:rFonts w:cs="Arial"/>
          <w:sz w:val="22"/>
          <w:szCs w:val="22"/>
          <w:rtl/>
        </w:rPr>
      </w:pPr>
      <w:r w:rsidRPr="00BD5E91">
        <w:rPr>
          <w:rStyle w:val="a7"/>
          <w:rFonts w:cs="Arial"/>
          <w:sz w:val="22"/>
          <w:szCs w:val="22"/>
          <w:rtl/>
        </w:rPr>
        <w:footnoteRef/>
      </w:r>
      <w:r w:rsidRPr="00BD5E91">
        <w:rPr>
          <w:rFonts w:cs="Arial"/>
          <w:sz w:val="22"/>
          <w:szCs w:val="22"/>
          <w:rtl/>
        </w:rPr>
        <w:t xml:space="preserve"> </w:t>
      </w:r>
      <w:r w:rsidRPr="00BD5E91">
        <w:rPr>
          <w:rFonts w:cs="Arial"/>
          <w:b/>
          <w:bCs/>
          <w:sz w:val="22"/>
          <w:szCs w:val="22"/>
          <w:rtl/>
        </w:rPr>
        <w:t>דאתחשיבן עמיה מלגאו.</w:t>
      </w:r>
      <w:r w:rsidRPr="00BD5E91">
        <w:rPr>
          <w:rFonts w:cs="Arial"/>
          <w:sz w:val="22"/>
          <w:szCs w:val="22"/>
          <w:rtl/>
        </w:rPr>
        <w:t xml:space="preserve"> ר"ל שאברים הפנימים נחשבין למוח ובפרט אלו ששרשן במוח כידוע שלכן בהם מים המשקין כידוע:</w:t>
      </w:r>
    </w:p>
  </w:footnote>
  <w:footnote w:id="815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 לבא.</w:t>
      </w:r>
      <w:r w:rsidRPr="00BD5E91">
        <w:rPr>
          <w:sz w:val="22"/>
          <w:szCs w:val="22"/>
          <w:rtl/>
        </w:rPr>
        <w:t xml:space="preserve"> והוא בינה נוקבא דחכמה וז"ש בינה לבא ומ"ש שב' מוחין הן חו"ב הוא חו"ב שבחכמה אבל חו"ב שבכלל הוא מוחא שכולל ט"ס הנ"ל ולבא ובלבא נכללין כל העשר ויש בה ג"כ עשר עם מנהיגים שלה כידוע ובכולם נעשה אדם אדם דעשייה שהוא מלכות ואמר ג"כ על דכורא נעשה אםד בשביל הנוקבא שהיא ראשית המחשבה כידוע שהכל נברא בשבילה כי כל העולמות לא נבראו אלא בשביל שיקבלו מלכותו כידוע וכל הספירות נבראו להנהגת מלכותו אם בחסד אי בדין וז"</w:t>
      </w:r>
      <w:r w:rsidRPr="00BD5E91">
        <w:rPr>
          <w:sz w:val="22"/>
          <w:szCs w:val="22"/>
        </w:rPr>
        <w:t>A</w:t>
      </w:r>
      <w:r w:rsidRPr="00BD5E91">
        <w:rPr>
          <w:sz w:val="22"/>
          <w:szCs w:val="22"/>
          <w:rtl/>
        </w:rPr>
        <w:t xml:space="preserve"> לעיל כל עמל האדם לפיהו וכל כו'. ר"ל כל עמל האדם כל מה שבראת הכל בשביל הפה ועכשיו יברא הפה בחסרון מזוני כמ"ש שבנה והחריבן ואמר שעכשיו שנברא הפה ישתתף בהו כנ"ל:</w:t>
      </w:r>
    </w:p>
  </w:footnote>
  <w:footnote w:id="815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דגופא עליה צואר כו'.</w:t>
      </w:r>
      <w:r w:rsidRPr="00BD5E91">
        <w:rPr>
          <w:sz w:val="22"/>
          <w:szCs w:val="22"/>
          <w:rtl/>
        </w:rPr>
        <w:t xml:space="preserve"> ר"ל על הגוף צואר כו' ור"ל אע"ג שהן על הגוף נחשבין בכלל הגוף שהם עליו:</w:t>
      </w:r>
    </w:p>
  </w:footnote>
  <w:footnote w:id="815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קנה וושט.</w:t>
      </w:r>
      <w:r w:rsidRPr="00BD5E91">
        <w:rPr>
          <w:sz w:val="22"/>
          <w:szCs w:val="22"/>
          <w:rtl/>
        </w:rPr>
        <w:t xml:space="preserve"> הן חו"ב כמ"</w:t>
      </w:r>
      <w:r w:rsidRPr="00BD5E91">
        <w:rPr>
          <w:sz w:val="22"/>
          <w:szCs w:val="22"/>
        </w:rPr>
        <w:t>A</w:t>
      </w:r>
      <w:r w:rsidRPr="00BD5E91">
        <w:rPr>
          <w:sz w:val="22"/>
          <w:szCs w:val="22"/>
          <w:rtl/>
        </w:rPr>
        <w:t xml:space="preserve"> קנה חכמה קנה בינה שאמרו שקאי על קנה וושט ולכן זה לבן טזה אדום כידוע צאור ע"ג שניהם כתר והשאר ידוע בו"ק:</w:t>
      </w:r>
    </w:p>
  </w:footnote>
  <w:footnote w:id="816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לכלא דא נוקבא שכינתא תתאה בכל אתר נוקבא איני שלימו כו'.</w:t>
      </w:r>
      <w:r w:rsidRPr="00BD5E91">
        <w:rPr>
          <w:sz w:val="22"/>
          <w:szCs w:val="22"/>
          <w:rtl/>
        </w:rPr>
        <w:t xml:space="preserve"> כצ"ל ואמר ברישא ומוחא וגופא כי חמשה פרופין הן א"א כתר כליל דכר ונוקבא אלא שבו הם בפרצוף אחד חו"ב ב' פרצו' או"א ובהן זו"נ כ"א בפרצוף לבד אבל הן ריעין דלא מתפרשין ו"ק ומלכות הן ג"כ ב' פרצופין ונחלקין רק בשעת הזיווג הן אחד וכן כאן ט"ס דראש עם פה נוקבא הוא כ"א בראש פרצוף אחד אבל מוחא ולבא כ"א לבד זה בראש וזה בגוף ו"ק ומלכות נחלקין זכר ונקבה והכלל כי מלכות של פרצוף האחרון הוא כלול מכל הפרצופים אף עליוני העליונים שלכן האדם כלול מכל אבי"</w:t>
      </w:r>
      <w:r w:rsidRPr="00BD5E91">
        <w:rPr>
          <w:sz w:val="22"/>
          <w:szCs w:val="22"/>
        </w:rPr>
        <w:t>G</w:t>
      </w:r>
      <w:r w:rsidRPr="00BD5E91">
        <w:rPr>
          <w:sz w:val="22"/>
          <w:szCs w:val="22"/>
          <w:rtl/>
        </w:rPr>
        <w:t xml:space="preserve"> ולכן מלכות נוקבא שכינתא בה כל האברים מראש עד רגל שכלולה מכולם כנ"ל וז"</w:t>
      </w:r>
      <w:r w:rsidRPr="00BD5E91">
        <w:rPr>
          <w:sz w:val="22"/>
          <w:szCs w:val="22"/>
        </w:rPr>
        <w:t>A</w:t>
      </w:r>
      <w:r w:rsidRPr="00BD5E91">
        <w:rPr>
          <w:sz w:val="22"/>
          <w:szCs w:val="22"/>
          <w:rtl/>
        </w:rPr>
        <w:t>. איהי שלימו דעלאין ותתאין אף של פרצופות של מעלה כנ"ל:</w:t>
      </w:r>
    </w:p>
  </w:footnote>
  <w:footnote w:id="816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עד דאתכללת כו'.</w:t>
      </w:r>
      <w:r w:rsidRPr="00BD5E91">
        <w:rPr>
          <w:sz w:val="22"/>
          <w:szCs w:val="22"/>
          <w:rtl/>
        </w:rPr>
        <w:t xml:space="preserve"> שלכן היא קומה שלימה כנ"ל:</w:t>
      </w:r>
    </w:p>
  </w:footnote>
  <w:footnote w:id="816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כגוונא דא כו'.</w:t>
      </w:r>
      <w:r w:rsidRPr="00BD5E91">
        <w:rPr>
          <w:sz w:val="22"/>
          <w:szCs w:val="22"/>
          <w:rtl/>
        </w:rPr>
        <w:t xml:space="preserve"> עשר אותיות אלף האחרונה א' דאדני משלמת לעשר וכן הוא בכל אבר ואבר כמה פרטים ובכולם עשירית כנ"ל וזש"ל והכי אזיל בכל כו':</w:t>
      </w:r>
    </w:p>
  </w:footnote>
  <w:footnote w:id="816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לארבע חיון כו'.</w:t>
      </w:r>
      <w:r w:rsidRPr="00BD5E91">
        <w:rPr>
          <w:sz w:val="22"/>
          <w:szCs w:val="22"/>
          <w:rtl/>
        </w:rPr>
        <w:t xml:space="preserve"> ר"ל שד' חיון הן שם הוי"ה כידוע והן אדם שמא מפ' כנ"ל ומינייהו ג"כ נברא אדם דיצירה כידוע ובהן שכינה נכללת מכולם וכן היא נכללת מכל העולמות כמ"ש בתיקונים וכן האדם הגשמי הוא מלכות של כולם:</w:t>
      </w:r>
    </w:p>
  </w:footnote>
  <w:footnote w:id="816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על ספירה.</w:t>
      </w:r>
      <w:r w:rsidRPr="00BD5E91">
        <w:rPr>
          <w:sz w:val="22"/>
          <w:szCs w:val="22"/>
          <w:rtl/>
        </w:rPr>
        <w:t xml:space="preserve"> כצ"ל:</w:t>
      </w:r>
    </w:p>
  </w:footnote>
  <w:footnote w:id="816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בגין דאדם אין.</w:t>
      </w:r>
      <w:r w:rsidRPr="00BD5E91">
        <w:rPr>
          <w:sz w:val="22"/>
          <w:szCs w:val="22"/>
          <w:rtl/>
        </w:rPr>
        <w:t xml:space="preserve"> ר"ל שעדיין אינן אדם עד דאתחברו כנ"ל ולא נחית נביעו עליו לכן ג"כ על הארץ לא נחית:</w:t>
      </w:r>
    </w:p>
  </w:footnote>
  <w:footnote w:id="816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דעליה אתמר כו'.</w:t>
      </w:r>
      <w:r w:rsidRPr="00BD5E91">
        <w:rPr>
          <w:sz w:val="22"/>
          <w:szCs w:val="22"/>
          <w:rtl/>
        </w:rPr>
        <w:t xml:space="preserve"> ר"ל על שכינה שהיא נקראת בית כמ"ש כל השרוי בלא אשה שרוי בלא ברכה שנא' להניח כו':</w:t>
      </w:r>
    </w:p>
  </w:footnote>
  <w:footnote w:id="816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ברכאן ביה.</w:t>
      </w:r>
      <w:r w:rsidRPr="00BD5E91">
        <w:rPr>
          <w:sz w:val="22"/>
          <w:szCs w:val="22"/>
          <w:rtl/>
        </w:rPr>
        <w:t xml:space="preserve"> צ"ל בה:</w:t>
      </w:r>
    </w:p>
  </w:footnote>
  <w:footnote w:id="816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בית הכנסת.</w:t>
      </w:r>
      <w:r w:rsidRPr="00BD5E91">
        <w:rPr>
          <w:sz w:val="22"/>
          <w:szCs w:val="22"/>
          <w:rtl/>
        </w:rPr>
        <w:t xml:space="preserve"> כנסת ישראל:</w:t>
      </w:r>
    </w:p>
  </w:footnote>
  <w:footnote w:id="816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וכל הזוקף כו'.</w:t>
      </w:r>
      <w:r w:rsidRPr="00BD5E91">
        <w:rPr>
          <w:sz w:val="22"/>
          <w:szCs w:val="22"/>
          <w:rtl/>
        </w:rPr>
        <w:t xml:space="preserve"> עכשיו מפרש המאמר הכורע והזוקף כמש"ו:</w:t>
      </w:r>
    </w:p>
  </w:footnote>
  <w:footnote w:id="817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ההוא דאתמר וברוך כו'.</w:t>
      </w:r>
      <w:r w:rsidRPr="00BD5E91">
        <w:rPr>
          <w:sz w:val="22"/>
          <w:szCs w:val="22"/>
          <w:rtl/>
        </w:rPr>
        <w:t xml:space="preserve"> כתר שנקרא אל עליון כידוע עליון על הכל יו"ד עילאה שכליל כל העשר כמש"ו ואליו כורע כמ"ש ואראה ואפול על פני בכתר כידוע:</w:t>
      </w:r>
    </w:p>
  </w:footnote>
  <w:footnote w:id="817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מעילא לתתא.</w:t>
      </w:r>
      <w:r w:rsidRPr="00BD5E91">
        <w:rPr>
          <w:sz w:val="22"/>
          <w:szCs w:val="22"/>
          <w:rtl/>
        </w:rPr>
        <w:t xml:space="preserve"> שמלכות כליל ע"ס מתתא לעילא:</w:t>
      </w:r>
    </w:p>
  </w:footnote>
  <w:footnote w:id="817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דאיהו מקור כל ברכאן.</w:t>
      </w:r>
      <w:r w:rsidRPr="00BD5E91">
        <w:rPr>
          <w:sz w:val="22"/>
          <w:szCs w:val="22"/>
          <w:rtl/>
        </w:rPr>
        <w:t xml:space="preserve"> כמ"ש בר"מ דכתר הוא מקור וברוך הוא ר"ת ראש שהוא כתר שנק' ר'אש ו'מקור כ'ל ב'רכות כמ"ש בתיקונים:</w:t>
      </w:r>
    </w:p>
  </w:footnote>
  <w:footnote w:id="817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עד ח"י עלמין.</w:t>
      </w:r>
      <w:r w:rsidRPr="00BD5E91">
        <w:rPr>
          <w:sz w:val="22"/>
          <w:szCs w:val="22"/>
          <w:rtl/>
        </w:rPr>
        <w:t xml:space="preserve"> וז"ש שכריעה בברוך הוא ביסוד שכורע מרשיא דכולא עד יסוד:</w:t>
      </w:r>
    </w:p>
  </w:footnote>
  <w:footnote w:id="817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דאיהי כליל כו'.</w:t>
      </w:r>
      <w:r w:rsidRPr="00BD5E91">
        <w:rPr>
          <w:sz w:val="22"/>
          <w:szCs w:val="22"/>
          <w:rtl/>
        </w:rPr>
        <w:t xml:space="preserve"> ר"ל כמש"ו ודא איהו כו':</w:t>
      </w:r>
    </w:p>
  </w:footnote>
  <w:footnote w:id="817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ועלה אתמר כו'.</w:t>
      </w:r>
      <w:r w:rsidRPr="00BD5E91">
        <w:rPr>
          <w:sz w:val="22"/>
          <w:szCs w:val="22"/>
          <w:rtl/>
        </w:rPr>
        <w:t xml:space="preserve"> ר"ל שצדיק נק' שביעי כידוע כליל ז"ס מבינה שכלול ג"ר והוא כאן כריעת הראש א' וגוף ו"ק הרי שבע בכריעה:</w:t>
      </w:r>
    </w:p>
  </w:footnote>
  <w:footnote w:id="817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דאיהו ברוך.</w:t>
      </w:r>
      <w:r w:rsidRPr="00BD5E91">
        <w:rPr>
          <w:sz w:val="22"/>
          <w:szCs w:val="22"/>
          <w:rtl/>
        </w:rPr>
        <w:t xml:space="preserve"> ר"ל שברוך כולל רשיא וגופא שרישא וגופא הן ע"ס שכלול בהן כמש"ל וע"ס כלול בברוך כנ"ל לכן צריך למיכרע ביה ברישא וגופא וז"ש לא יכרע כהדין חזרונא מאמצע מתניו אלא גם ראשו יכוף כו' והן שתי כריעות וכן הוא שני זקיפות וז"ש הכי כו':</w:t>
      </w:r>
    </w:p>
  </w:footnote>
  <w:footnote w:id="817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תמן.</w:t>
      </w:r>
      <w:r w:rsidRPr="00BD5E91">
        <w:rPr>
          <w:sz w:val="22"/>
          <w:szCs w:val="22"/>
          <w:rtl/>
        </w:rPr>
        <w:t xml:space="preserve"> ר"ל בשמנה עשרה והוא בשם שכלול ע"ס כידוע והן רישא וגופא כנ"ל וזהו בשם והוא שכינה שבה כלול ע"ס לאזקפא לה והיא שם כנ"ל את שמי:</w:t>
      </w:r>
    </w:p>
  </w:footnote>
  <w:footnote w:id="817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דנחיתו דנביעו.</w:t>
      </w:r>
      <w:r w:rsidRPr="00BD5E91">
        <w:rPr>
          <w:sz w:val="22"/>
          <w:szCs w:val="22"/>
          <w:rtl/>
        </w:rPr>
        <w:t xml:space="preserve"> עד יתיר. כ"ז ל"ג כאן:</w:t>
      </w:r>
    </w:p>
  </w:footnote>
  <w:footnote w:id="817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תרין כריעות כו'.</w:t>
      </w:r>
      <w:r w:rsidRPr="00BD5E91">
        <w:rPr>
          <w:sz w:val="22"/>
          <w:szCs w:val="22"/>
          <w:rtl/>
        </w:rPr>
        <w:t xml:space="preserve"> והן רישא וגופא י' רישא כידוע ו' גופא וכן תרין זקיפות לסלקא ה' עילאה ברישא לגבי י' חכמה וה' תתאה לגבי ו' גופא וז"ש. לסלקא כו':</w:t>
      </w:r>
    </w:p>
  </w:footnote>
  <w:footnote w:id="818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לגבי ה' ה'.</w:t>
      </w:r>
      <w:r w:rsidRPr="00BD5E91">
        <w:rPr>
          <w:sz w:val="22"/>
          <w:szCs w:val="22"/>
          <w:rtl/>
        </w:rPr>
        <w:t xml:space="preserve"> כאן צ"ל דנחיתו נביעו לגאו. ר"ל בכריעה נחיתון להון וסומכין לון ונותנין להן כח לקום אח"כ כידוע:</w:t>
      </w:r>
    </w:p>
  </w:footnote>
  <w:footnote w:id="818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כגוונא דבית כו'.</w:t>
      </w:r>
      <w:r w:rsidRPr="00BD5E91">
        <w:rPr>
          <w:sz w:val="22"/>
          <w:szCs w:val="22"/>
          <w:rtl/>
        </w:rPr>
        <w:t xml:space="preserve"> שהן ב' ההין כידוע וכל א' כלול משניהם כידוע בסוד אדנ"י אלקים מלמטה למעלה וממעלה למטה ולכן היו בהן ב' עמודים שבהן  הסליקו כידוע בסוד העמודים שבג"</w:t>
      </w:r>
      <w:r w:rsidRPr="00BD5E91">
        <w:rPr>
          <w:sz w:val="22"/>
          <w:szCs w:val="22"/>
        </w:rPr>
        <w:t>G</w:t>
      </w:r>
      <w:r w:rsidRPr="00BD5E91">
        <w:rPr>
          <w:sz w:val="22"/>
          <w:szCs w:val="22"/>
          <w:rtl/>
        </w:rPr>
        <w:t xml:space="preserve"> ובכל העולמות וז"ש. דאסתלקין כו'. והן י' ו':</w:t>
      </w:r>
    </w:p>
  </w:footnote>
  <w:footnote w:id="818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סומך ה' כו'.</w:t>
      </w:r>
      <w:r w:rsidRPr="00BD5E91">
        <w:rPr>
          <w:sz w:val="22"/>
          <w:szCs w:val="22"/>
          <w:rtl/>
        </w:rPr>
        <w:t xml:space="preserve"> שבשם זוקף וזהו זוקף לכל הכפופים והן בלשון רבים ב' ההין כנ"ל וסמיכו דילהון בברוך בכריעה דנחית לה נביעו וכמ"ש בתיקונים דסמיכו ביסוד שבו כורע בברוך וזקיפו דילה בעד"א שבו זוקף בשם:</w:t>
      </w:r>
    </w:p>
  </w:footnote>
  <w:footnote w:id="818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א"ל והא אתמר כו'.</w:t>
      </w:r>
      <w:r w:rsidRPr="00BD5E91">
        <w:rPr>
          <w:sz w:val="22"/>
          <w:szCs w:val="22"/>
          <w:rtl/>
        </w:rPr>
        <w:t xml:space="preserve"> הוא ענין בפ"ע וקאי למעלה שאמר ר' שמעון כורע בברוך בכתר ואמר ב' כריעות וכן ב' זקיפות והקשה לו עכשיו ר' אלעזר היאך יכול לומר שם ב 'כמש"ו:</w:t>
      </w:r>
    </w:p>
  </w:footnote>
  <w:footnote w:id="818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בברכות.</w:t>
      </w:r>
      <w:r w:rsidRPr="00BD5E91">
        <w:rPr>
          <w:sz w:val="22"/>
          <w:szCs w:val="22"/>
          <w:rtl/>
        </w:rPr>
        <w:t xml:space="preserve"> צ"ל בברוך:</w:t>
      </w:r>
    </w:p>
  </w:footnote>
  <w:footnote w:id="818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דהא כריעות אינון כו'.</w:t>
      </w:r>
      <w:r w:rsidRPr="00BD5E91">
        <w:rPr>
          <w:sz w:val="22"/>
          <w:szCs w:val="22"/>
          <w:rtl/>
        </w:rPr>
        <w:t xml:space="preserve"> ר"ל שלא תאמר שלכך אמר שלא כן הוא אלא כריעות אינון כו':</w:t>
      </w:r>
    </w:p>
  </w:footnote>
  <w:footnote w:id="818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ורזא דמלה כו'.</w:t>
      </w:r>
      <w:r w:rsidRPr="00BD5E91">
        <w:rPr>
          <w:sz w:val="22"/>
          <w:szCs w:val="22"/>
          <w:rtl/>
        </w:rPr>
        <w:t xml:space="preserve"> ר"ל אקי"ק והויה כ"א עשר במילואו ע"ס ואקי"ק הוא בכתר והוי"ה במילואו הוא בזקיפו במלכות והן רמוזין בשם אדנ"י בראשו א' שם אקי"ק ובסופו י' שם הוי"ה כמ"ש בר,מ פ' נשא ע"ש והכי רמוזין א' בראשו שעשר אותיות שבו ממעלה למטה וי' בסופו שהן ממטה למעלה וז"ש. הכריעות בעשר כו':</w:t>
      </w:r>
    </w:p>
  </w:footnote>
  <w:footnote w:id="8187">
    <w:p w:rsidR="00007309" w:rsidRPr="00BD5E91" w:rsidRDefault="00007309" w:rsidP="00007309">
      <w:pPr>
        <w:jc w:val="both"/>
        <w:rPr>
          <w:rFonts w:cs="Arial"/>
          <w:sz w:val="22"/>
          <w:szCs w:val="22"/>
          <w:rtl/>
        </w:rPr>
      </w:pPr>
      <w:r w:rsidRPr="00BD5E91">
        <w:rPr>
          <w:rStyle w:val="a7"/>
          <w:rFonts w:cs="Arial"/>
          <w:sz w:val="22"/>
          <w:szCs w:val="22"/>
          <w:rtl/>
        </w:rPr>
        <w:footnoteRef/>
      </w:r>
      <w:r w:rsidRPr="00BD5E91">
        <w:rPr>
          <w:rFonts w:cs="Arial"/>
          <w:sz w:val="22"/>
          <w:szCs w:val="22"/>
          <w:rtl/>
        </w:rPr>
        <w:t xml:space="preserve"> </w:t>
      </w:r>
      <w:r w:rsidRPr="00BD5E91">
        <w:rPr>
          <w:rFonts w:cs="Arial"/>
          <w:b/>
          <w:bCs/>
          <w:sz w:val="22"/>
          <w:szCs w:val="22"/>
          <w:rtl/>
        </w:rPr>
        <w:t>מן אלף דאדנ"י עד י' זקיפות כו'.</w:t>
      </w:r>
      <w:r w:rsidRPr="00BD5E91">
        <w:rPr>
          <w:rFonts w:cs="Arial"/>
          <w:sz w:val="22"/>
          <w:szCs w:val="22"/>
          <w:rtl/>
        </w:rPr>
        <w:t xml:space="preserve"> כצ"ל. ור"ל שהוא כסדר ויו"ד הוא להיפך ויותר נראה שמילוי דאקי"ק הוא ביודין כי בכתר המילוי הוא ביודין ובמלכות באלפין כידוע והשתא הכל שפיר כי עשר אותיות דאקי"ק הוא מתחיל בא' ומסיים בי' וזהו מן א' דאדנ"י עד י' ועשר אותיות של הוי"ה הא מתחיל בי' ומסיים בא':</w:t>
      </w:r>
    </w:p>
  </w:footnote>
  <w:footnote w:id="818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ובג"ד כו'.</w:t>
      </w:r>
      <w:r w:rsidRPr="00BD5E91">
        <w:rPr>
          <w:sz w:val="22"/>
          <w:szCs w:val="22"/>
          <w:rtl/>
        </w:rPr>
        <w:t xml:space="preserve"> שכריעה הוא מלמעלה למטה וזקיפה ממטה למעלה כנ"ל:</w:t>
      </w:r>
    </w:p>
  </w:footnote>
  <w:footnote w:id="818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דנחית ליה.</w:t>
      </w:r>
      <w:r w:rsidRPr="00BD5E91">
        <w:rPr>
          <w:sz w:val="22"/>
          <w:szCs w:val="22"/>
          <w:rtl/>
        </w:rPr>
        <w:t xml:space="preserve"> ר"ל נביעו בכריעה כנ"ל:</w:t>
      </w:r>
    </w:p>
  </w:footnote>
  <w:footnote w:id="819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ואם הוא לא נחית לית כו'.</w:t>
      </w:r>
      <w:r w:rsidRPr="00BD5E91">
        <w:rPr>
          <w:sz w:val="22"/>
          <w:szCs w:val="22"/>
          <w:rtl/>
        </w:rPr>
        <w:t xml:space="preserve"> ר"ל לא נחית בכאן נחית להתייחד בהן:</w:t>
      </w:r>
    </w:p>
  </w:footnote>
  <w:footnote w:id="819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על ר"ש ישמח כו'.</w:t>
      </w:r>
      <w:r w:rsidRPr="00BD5E91">
        <w:rPr>
          <w:sz w:val="22"/>
          <w:szCs w:val="22"/>
          <w:rtl/>
        </w:rPr>
        <w:t xml:space="preserve"> ששמחה היא על הבן שלומד יותר מאב כמ"ש אצל דוד וכלאב חכם בני כו'. לכן על ר"ש ישמח אביך ואמך אבל על ר"א לא נאמר רק יולדתך:</w:t>
      </w:r>
    </w:p>
  </w:footnote>
  <w:footnote w:id="819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לברכא ולקדשא ולייחדא.</w:t>
      </w:r>
      <w:r w:rsidRPr="00BD5E91">
        <w:rPr>
          <w:sz w:val="22"/>
          <w:szCs w:val="22"/>
          <w:rtl/>
        </w:rPr>
        <w:t xml:space="preserve"> שג' אלו יב"ק הם בכח"ב כידוע שהן אדם דבריאה ויצירה ועשייה עלאין וכ"?ה ג"כ בעולמות בי"ע:</w:t>
      </w:r>
    </w:p>
  </w:footnote>
  <w:footnote w:id="819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למלכא.</w:t>
      </w:r>
      <w:r w:rsidRPr="00BD5E91">
        <w:rPr>
          <w:sz w:val="22"/>
          <w:szCs w:val="22"/>
          <w:rtl/>
        </w:rPr>
        <w:t xml:space="preserve"> מפ"ו שהוא חכמה. אומנא. בינה:</w:t>
      </w:r>
    </w:p>
  </w:footnote>
  <w:footnote w:id="819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ואהיה.</w:t>
      </w:r>
      <w:r w:rsidRPr="00BD5E91">
        <w:rPr>
          <w:sz w:val="22"/>
          <w:szCs w:val="22"/>
          <w:rtl/>
        </w:rPr>
        <w:t xml:space="preserve"> ר"ל בינה שנק' אהיה כידוע הוא אצלו אמון אומן:</w:t>
      </w:r>
    </w:p>
  </w:footnote>
  <w:footnote w:id="819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מלכא ודאי כו'.</w:t>
      </w:r>
      <w:r w:rsidRPr="00BD5E91">
        <w:rPr>
          <w:sz w:val="22"/>
          <w:szCs w:val="22"/>
          <w:rtl/>
        </w:rPr>
        <w:t xml:space="preserve"> ר"ל באצילות ובריאה הוא מלכא ואומן או"א וביצירה ועשייה זו"נ כידוע שבינה מקנן בכורסיא ועד,א ביצירה ומלכות בעשייה ויתבאר לקמן:</w:t>
      </w:r>
    </w:p>
  </w:footnote>
  <w:footnote w:id="819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ואתתא ל"ל כו'.</w:t>
      </w:r>
      <w:r w:rsidRPr="00BD5E91">
        <w:rPr>
          <w:sz w:val="22"/>
          <w:szCs w:val="22"/>
          <w:rtl/>
        </w:rPr>
        <w:t xml:space="preserve"> לכך אמר לה בעלה מקודם כמש"ו:</w:t>
      </w:r>
    </w:p>
  </w:footnote>
  <w:footnote w:id="819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אמר באמירה כו'.</w:t>
      </w:r>
      <w:r w:rsidRPr="00BD5E91">
        <w:rPr>
          <w:sz w:val="22"/>
          <w:szCs w:val="22"/>
          <w:rtl/>
        </w:rPr>
        <w:t xml:space="preserve"> עשר אמרין שהן באבא יו"ד שבשם כידוע וכן כל הל"ב אלקים ל"ב שבילן כידוע:</w:t>
      </w:r>
    </w:p>
  </w:footnote>
  <w:footnote w:id="819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יהי כך כו'.</w:t>
      </w:r>
      <w:r w:rsidRPr="00BD5E91">
        <w:rPr>
          <w:sz w:val="22"/>
          <w:szCs w:val="22"/>
          <w:rtl/>
        </w:rPr>
        <w:t xml:space="preserve"> ר"ל לכן נאמר בכל א' ב"פ האמירה והעשייה כמש,ו איהו אומר ואומנא עביד כו' ז"ש יהי רקיע ויעש אלקים את הרקיע וכן בכולם וכן יהי אור ויהי אור אלא שבאור נופל בעשייה שלו לשון הויה זהו ויהי אור:</w:t>
      </w:r>
    </w:p>
  </w:footnote>
  <w:footnote w:id="819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אמר לאלקים כו'.</w:t>
      </w:r>
      <w:r w:rsidRPr="00BD5E91">
        <w:rPr>
          <w:sz w:val="22"/>
          <w:szCs w:val="22"/>
          <w:rtl/>
        </w:rPr>
        <w:t xml:space="preserve"> ר"ל כמ"ש שלא יאמר אדם דבר לחבירו עד שיקרא אותו אתה פלוני עשה כך וכן כאן אמר לה אתה אלקים יהי כך כו':</w:t>
      </w:r>
    </w:p>
  </w:footnote>
  <w:footnote w:id="820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איהו אומר כו'.</w:t>
      </w:r>
      <w:r w:rsidRPr="00BD5E91">
        <w:rPr>
          <w:sz w:val="22"/>
          <w:szCs w:val="22"/>
          <w:rtl/>
        </w:rPr>
        <w:t xml:space="preserve"> וז"ש ברוך אומר ועושה או"א:</w:t>
      </w:r>
    </w:p>
  </w:footnote>
  <w:footnote w:id="820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עביד מיד.</w:t>
      </w:r>
      <w:r w:rsidRPr="00BD5E91">
        <w:rPr>
          <w:sz w:val="22"/>
          <w:szCs w:val="22"/>
          <w:rtl/>
        </w:rPr>
        <w:t xml:space="preserve"> כמו שאמרו שאשה עושה רצון בעלה כו':</w:t>
      </w:r>
    </w:p>
  </w:footnote>
  <w:footnote w:id="820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בניינין באור.</w:t>
      </w:r>
      <w:r w:rsidRPr="00BD5E91">
        <w:rPr>
          <w:sz w:val="22"/>
          <w:szCs w:val="22"/>
          <w:rtl/>
        </w:rPr>
        <w:t xml:space="preserve"> צ"ל באורח אצילות כו'. ר"ל שכ"ז הוא קאי על אצילות:</w:t>
      </w:r>
    </w:p>
  </w:footnote>
  <w:footnote w:id="820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לעלמא דפירודא.</w:t>
      </w:r>
      <w:r w:rsidRPr="00BD5E91">
        <w:rPr>
          <w:sz w:val="22"/>
          <w:szCs w:val="22"/>
          <w:rtl/>
        </w:rPr>
        <w:t xml:space="preserve"> עולם הבריאה כמש"ו:</w:t>
      </w:r>
    </w:p>
  </w:footnote>
  <w:footnote w:id="820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אמר אומנא למארי כו'.</w:t>
      </w:r>
      <w:r w:rsidRPr="00BD5E91">
        <w:rPr>
          <w:sz w:val="22"/>
          <w:szCs w:val="22"/>
          <w:rtl/>
        </w:rPr>
        <w:t xml:space="preserve"> ר"ל זהו ויאמר אלקים נעשה בלשון רבים שהוא המלה ולא אמר יהי כן כנ"ל שויאמר דכאן הוא אימא וז"ש לעיל מאן הוא דאמר כו' ותחלת המחשבה הוא סוף המעשה והוא אדם דעשייה וז"ש כאן עולם הנפרדים על כל בי"ע:</w:t>
      </w:r>
    </w:p>
  </w:footnote>
  <w:footnote w:id="820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ודאי טב כו'.</w:t>
      </w:r>
      <w:r w:rsidRPr="00BD5E91">
        <w:rPr>
          <w:sz w:val="22"/>
          <w:szCs w:val="22"/>
          <w:rtl/>
        </w:rPr>
        <w:t xml:space="preserve"> כמ"ש וירא אלקים את כל כו' שהוא לבושא כמ"ש לקמן:</w:t>
      </w:r>
    </w:p>
  </w:footnote>
  <w:footnote w:id="820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למחטי קמך.</w:t>
      </w:r>
      <w:r w:rsidRPr="00BD5E91">
        <w:rPr>
          <w:sz w:val="22"/>
          <w:szCs w:val="22"/>
          <w:rtl/>
        </w:rPr>
        <w:t xml:space="preserve"> שמצדו חטא אדה"ר שבאצילות לא יגורך רע אין שם חטא כמ"ש בתיקונים:</w:t>
      </w:r>
    </w:p>
  </w:footnote>
  <w:footnote w:id="820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הה"ד בן כו'.</w:t>
      </w:r>
      <w:r w:rsidRPr="00BD5E91">
        <w:rPr>
          <w:sz w:val="22"/>
          <w:szCs w:val="22"/>
          <w:rtl/>
        </w:rPr>
        <w:t xml:space="preserve"> כמש"ו למטה ובג"ד כתיב בן כו':</w:t>
      </w:r>
    </w:p>
  </w:footnote>
  <w:footnote w:id="820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כתר דחחוביה באמא כו'.</w:t>
      </w:r>
      <w:r w:rsidRPr="00BD5E91">
        <w:rPr>
          <w:sz w:val="22"/>
          <w:szCs w:val="22"/>
          <w:rtl/>
        </w:rPr>
        <w:t xml:space="preserve"> כמ"ש תוגת אמו שחטא מסט' דשמאלא לב כסיל לשמאלו ושם אמא כידוע:</w:t>
      </w:r>
    </w:p>
  </w:footnote>
  <w:footnote w:id="820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הה"ד ויברא כו'.</w:t>
      </w:r>
      <w:r w:rsidRPr="00BD5E91">
        <w:rPr>
          <w:sz w:val="22"/>
          <w:szCs w:val="22"/>
          <w:rtl/>
        </w:rPr>
        <w:t xml:space="preserve"> שקודם כתיב נעשה ואח"כ ויברא וקודם כתיב בצלמנו כדמותנו ואח"כ בצלמו ואמר בצלם אלקי' כו':</w:t>
      </w:r>
    </w:p>
  </w:footnote>
  <w:footnote w:id="821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ר' יוסי.</w:t>
      </w:r>
      <w:r w:rsidRPr="00BD5E91">
        <w:rPr>
          <w:sz w:val="22"/>
          <w:szCs w:val="22"/>
          <w:rtl/>
        </w:rPr>
        <w:t xml:space="preserve"> צ"ל ר'וכי אית כו':</w:t>
      </w:r>
    </w:p>
  </w:footnote>
  <w:footnote w:id="821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אדם דאצילות דכר ונוקבא.</w:t>
      </w:r>
      <w:r w:rsidRPr="00BD5E91">
        <w:rPr>
          <w:sz w:val="22"/>
          <w:szCs w:val="22"/>
          <w:rtl/>
        </w:rPr>
        <w:t xml:space="preserve"> ר"ל עד"א ומלכות דאצילות:</w:t>
      </w:r>
    </w:p>
  </w:footnote>
  <w:footnote w:id="821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ויהי אור מסט' כו'.</w:t>
      </w:r>
      <w:r w:rsidRPr="00BD5E91">
        <w:rPr>
          <w:sz w:val="22"/>
          <w:szCs w:val="22"/>
          <w:rtl/>
        </w:rPr>
        <w:t xml:space="preserve"> כמו וה' הוא ובית דינו וה' הולך וה' המטיר כידוע וכמ"ש יהי אור ימינא ויהי אור שמאלא דכר ונוקבא:</w:t>
      </w:r>
    </w:p>
  </w:footnote>
  <w:footnote w:id="821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ולהאי לית ביה כו'.</w:t>
      </w:r>
      <w:r w:rsidRPr="00BD5E91">
        <w:rPr>
          <w:sz w:val="22"/>
          <w:szCs w:val="22"/>
          <w:rtl/>
        </w:rPr>
        <w:t xml:space="preserve"> דשם לא כתיב לא צלם ולא דמות שבאצילות אין שם צלם ודמות:</w:t>
      </w:r>
    </w:p>
  </w:footnote>
  <w:footnote w:id="821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אלא אימא הות ליה.</w:t>
      </w:r>
      <w:r w:rsidRPr="00BD5E91">
        <w:rPr>
          <w:sz w:val="22"/>
          <w:szCs w:val="22"/>
          <w:rtl/>
        </w:rPr>
        <w:t xml:space="preserve"> צ"ל הוה לה כנו"י כו'. ור"ל היאך אמרה אימא בצלמנו כדמותנו ויברא בצלמו ואמר. אלא כו'. ור,ל דבאצילות ג"כ ד' עולמות שהן במדרג' אבי"ע והן האצילות עשר שמות שאינן נמחקין ולבושין שהן הכינויים כמ"ש בתחלת זוהר חדש בסתרי אותיות שהן במדרגת בריאה ומהן נברא עולם הבריאה וכן הוא בכולם ז"א מקנן ביצירה בעולם השלישי שבו שהוא מדרגת היצירה וכן בכולם וז"ש אמא הוה לה כנוי ר"ל לבוש הנ"ל ובכנוי הזה בראה את אדם דבריאה:</w:t>
      </w:r>
    </w:p>
  </w:footnote>
  <w:footnote w:id="821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דמליק לחושבן אלקים.</w:t>
      </w:r>
      <w:r w:rsidRPr="00BD5E91">
        <w:rPr>
          <w:sz w:val="22"/>
          <w:szCs w:val="22"/>
          <w:rtl/>
        </w:rPr>
        <w:t xml:space="preserve"> ר"ל גי' כנוי:</w:t>
      </w:r>
    </w:p>
  </w:footnote>
  <w:footnote w:id="821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וההוא כנוי כו'.</w:t>
      </w:r>
      <w:r w:rsidRPr="00BD5E91">
        <w:rPr>
          <w:sz w:val="22"/>
          <w:szCs w:val="22"/>
          <w:rtl/>
        </w:rPr>
        <w:t xml:space="preserve"> שלכן אלקים הוא שם משותף אפי' בס"א אלקים אחרים וכן כל הכינויים משותפים בבריות טובים ורעים:</w:t>
      </w:r>
    </w:p>
  </w:footnote>
  <w:footnote w:id="821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דעתיד למחטי לאדם דבריאה.</w:t>
      </w:r>
      <w:r w:rsidRPr="00BD5E91">
        <w:rPr>
          <w:sz w:val="22"/>
          <w:szCs w:val="22"/>
          <w:rtl/>
        </w:rPr>
        <w:t xml:space="preserve"> שמצדו יחטא האדם כנ"ל. דאיהו אור לבוש עליון. כמ"ש מהיכן נברא השמים מאור לבושו שהוא בריאה כי ז"א דבריאה מקנן ביצירה כידוע כי הוא לבוש לאצילות ונברא מלבוש האצילות כנ"ל והחושך עתיד למחטי לאור של הלבוש וז"ש דאיהי אור כו ובגין ההוא כו'</w:t>
      </w:r>
      <w:r w:rsidRPr="00BD5E91">
        <w:rPr>
          <w:sz w:val="22"/>
          <w:szCs w:val="22"/>
        </w:rPr>
        <w:t>L</w:t>
      </w:r>
      <w:r w:rsidRPr="00BD5E91">
        <w:rPr>
          <w:sz w:val="22"/>
          <w:szCs w:val="22"/>
          <w:rtl/>
        </w:rPr>
        <w:t xml:space="preserve"> בצלמנו ההוא אור. ר"ל אור של שני הלבושין של או"א וכן כדמותנו כמש"ו:</w:t>
      </w:r>
    </w:p>
  </w:footnote>
  <w:footnote w:id="821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עתיד למסטי.</w:t>
      </w:r>
      <w:r w:rsidRPr="00BD5E91">
        <w:rPr>
          <w:sz w:val="22"/>
          <w:szCs w:val="22"/>
          <w:rtl/>
        </w:rPr>
        <w:t xml:space="preserve"> צ"ל למחטי:</w:t>
      </w:r>
    </w:p>
  </w:footnote>
  <w:footnote w:id="8219">
    <w:p w:rsidR="00007309" w:rsidRPr="00BD5E91" w:rsidRDefault="00007309" w:rsidP="00007309">
      <w:pPr>
        <w:jc w:val="both"/>
        <w:rPr>
          <w:rFonts w:cs="Arial"/>
          <w:sz w:val="22"/>
          <w:szCs w:val="22"/>
          <w:rtl/>
        </w:rPr>
      </w:pPr>
      <w:r w:rsidRPr="00BD5E91">
        <w:rPr>
          <w:rStyle w:val="a7"/>
          <w:rFonts w:cs="Arial"/>
          <w:sz w:val="22"/>
          <w:szCs w:val="22"/>
          <w:rtl/>
        </w:rPr>
        <w:footnoteRef/>
      </w:r>
      <w:r w:rsidRPr="00BD5E91">
        <w:rPr>
          <w:rFonts w:cs="Arial"/>
          <w:sz w:val="22"/>
          <w:szCs w:val="22"/>
          <w:rtl/>
        </w:rPr>
        <w:t xml:space="preserve"> </w:t>
      </w:r>
      <w:r w:rsidRPr="00BD5E91">
        <w:rPr>
          <w:rFonts w:cs="Arial"/>
          <w:b/>
          <w:bCs/>
          <w:sz w:val="22"/>
          <w:szCs w:val="22"/>
          <w:rtl/>
        </w:rPr>
        <w:t>הה"ד עור כו'.</w:t>
      </w:r>
      <w:r w:rsidRPr="00BD5E91">
        <w:rPr>
          <w:rFonts w:cs="Arial"/>
          <w:sz w:val="22"/>
          <w:szCs w:val="22"/>
          <w:rtl/>
        </w:rPr>
        <w:t xml:space="preserve"> והן חשך עור כתנות עור חשיכו דעיינין כמש"ל בשר קץ כל בשר קץ שם לחשך כידוע:</w:t>
      </w:r>
    </w:p>
  </w:footnote>
  <w:footnote w:id="822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מלין עתיקין.</w:t>
      </w:r>
      <w:r w:rsidRPr="00BD5E91">
        <w:rPr>
          <w:sz w:val="22"/>
          <w:szCs w:val="22"/>
          <w:rtl/>
        </w:rPr>
        <w:t xml:space="preserve"> לעילא לעילא כמש"ו:</w:t>
      </w:r>
    </w:p>
  </w:footnote>
  <w:footnote w:id="822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מאי ניהו כו' ואין אלקים כו'.</w:t>
      </w:r>
      <w:r w:rsidRPr="00BD5E91">
        <w:rPr>
          <w:sz w:val="22"/>
          <w:szCs w:val="22"/>
          <w:rtl/>
        </w:rPr>
        <w:t xml:space="preserve"> הא בכולם כתב ויאמר אלקים שכלם היו אמירה חד לכבריה כנ"ל; אלא דא הוא כו'. א"ס ואמר אני שהוא מלכות שהוא ריש הורמנותא שורש הלכות שבו שבה ברא הכל שכל העולמות הכל מסט' דמלכות שבו גנוז ור"ל כי כל המדות בו בכח ושם א,ס למדותיו ואין תואר להם ואין השגה להם אף במציאותם אבל מלכותו שבכח השגה במציאותם ולא מהותה ובה נבראו כל העולמות ומצדה אמר אני אני הוא כו':</w:t>
      </w:r>
    </w:p>
  </w:footnote>
  <w:footnote w:id="822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וההוא דאתקרי עילת כו'.</w:t>
      </w:r>
      <w:r w:rsidRPr="00BD5E91">
        <w:rPr>
          <w:sz w:val="22"/>
          <w:szCs w:val="22"/>
          <w:rtl/>
        </w:rPr>
        <w:t xml:space="preserve"> ר"ל משא"כ בעילת העילות שהוא למטה כמש"ו דכל חד מייעץ עם חבירו:</w:t>
      </w:r>
    </w:p>
  </w:footnote>
  <w:footnote w:id="822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דלית לעילא כו'.</w:t>
      </w:r>
      <w:r w:rsidRPr="00BD5E91">
        <w:rPr>
          <w:sz w:val="22"/>
          <w:szCs w:val="22"/>
          <w:rtl/>
        </w:rPr>
        <w:t xml:space="preserve"> ר"ל לכן אמר ב"פ אני כמ"ש עד א"ס למעלה ועד אין תכלית למטה:</w:t>
      </w:r>
    </w:p>
  </w:footnote>
  <w:footnote w:id="822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אמר אמרו.</w:t>
      </w:r>
      <w:r w:rsidRPr="00BD5E91">
        <w:rPr>
          <w:sz w:val="22"/>
          <w:szCs w:val="22"/>
          <w:rtl/>
        </w:rPr>
        <w:t xml:space="preserve"> ר"ל שנתן להם רשות וצ"ל כאן עוד אמרו והא כו':</w:t>
      </w:r>
    </w:p>
  </w:footnote>
  <w:footnote w:id="822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אמרת לעיל.</w:t>
      </w:r>
      <w:r w:rsidRPr="00BD5E91">
        <w:rPr>
          <w:sz w:val="22"/>
          <w:szCs w:val="22"/>
          <w:rtl/>
        </w:rPr>
        <w:t xml:space="preserve"> ע"ב בקדמייתא עילת העילות אמר כו':</w:t>
      </w:r>
    </w:p>
  </w:footnote>
  <w:footnote w:id="822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נעשה אדם.</w:t>
      </w:r>
      <w:r w:rsidRPr="00BD5E91">
        <w:rPr>
          <w:sz w:val="22"/>
          <w:szCs w:val="22"/>
          <w:rtl/>
        </w:rPr>
        <w:t xml:space="preserve"> נעשה הוא המלכה כנ"ל:</w:t>
      </w:r>
    </w:p>
  </w:footnote>
  <w:footnote w:id="822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בלא חושבן.</w:t>
      </w:r>
      <w:r w:rsidRPr="00BD5E91">
        <w:rPr>
          <w:sz w:val="22"/>
          <w:szCs w:val="22"/>
          <w:rtl/>
        </w:rPr>
        <w:t xml:space="preserve"> שיש אחד בחשבון שאחריו שני במספר כמו כתר שהוא אחד ואח"כ חכמה שני משא"כ כאן:</w:t>
      </w:r>
    </w:p>
  </w:footnote>
  <w:footnote w:id="822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פשוטה.</w:t>
      </w:r>
      <w:r w:rsidRPr="00BD5E91">
        <w:rPr>
          <w:sz w:val="22"/>
          <w:szCs w:val="22"/>
          <w:rtl/>
        </w:rPr>
        <w:t xml:space="preserve"> מסט' דחסד כמש"ו וזהו פשוטה פשוטה לפניה כידוע:</w:t>
      </w:r>
    </w:p>
  </w:footnote>
  <w:footnote w:id="822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לקבל שבים.</w:t>
      </w:r>
      <w:r w:rsidRPr="00BD5E91">
        <w:rPr>
          <w:sz w:val="22"/>
          <w:szCs w:val="22"/>
          <w:rtl/>
        </w:rPr>
        <w:t xml:space="preserve"> מסט' דשכינה עילאה שבה תשובה כידוע. וז"ש ' יעץ ומי אימא עילאה יפירנה:</w:t>
      </w:r>
    </w:p>
  </w:footnote>
  <w:footnote w:id="823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דאיהו יקוק כו'.</w:t>
      </w:r>
      <w:r w:rsidRPr="00BD5E91">
        <w:rPr>
          <w:sz w:val="22"/>
          <w:szCs w:val="22"/>
          <w:rtl/>
        </w:rPr>
        <w:t xml:space="preserve"> י"ד אתוון שהוא בשכינה:</w:t>
      </w:r>
    </w:p>
  </w:footnote>
  <w:footnote w:id="823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האי יד כו'.</w:t>
      </w:r>
      <w:r w:rsidRPr="00BD5E91">
        <w:rPr>
          <w:sz w:val="22"/>
          <w:szCs w:val="22"/>
          <w:rtl/>
        </w:rPr>
        <w:t xml:space="preserve"> מיד שלהן אבל כו' ואין מידי כו':</w:t>
      </w:r>
    </w:p>
  </w:footnote>
  <w:footnote w:id="823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דאית בהון א' א' כו'.</w:t>
      </w:r>
      <w:r w:rsidRPr="00BD5E91">
        <w:rPr>
          <w:sz w:val="22"/>
          <w:szCs w:val="22"/>
          <w:rtl/>
        </w:rPr>
        <w:t xml:space="preserve"> ר"ת של ג' אני וס"ת. ואית כו' ר"ל שהכל כלול בעילת כל העילות בכח יו"ד וא"ו אל"ף הוא כלל כל כל הספירות ג"ר ו"ק מלכות והכל תלת בתלת לכן ג"פ וכן אלו ב' שמות כוללין הכל:</w:t>
      </w:r>
    </w:p>
  </w:footnote>
  <w:footnote w:id="823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ועם כל דא האי כו'.</w:t>
      </w:r>
      <w:r w:rsidRPr="00BD5E91">
        <w:rPr>
          <w:sz w:val="22"/>
          <w:szCs w:val="22"/>
          <w:rtl/>
        </w:rPr>
        <w:t xml:space="preserve"> כצ"ל. ר"ל אע"ג דאוקימנא לע"ה"ע כמש"ו:</w:t>
      </w:r>
    </w:p>
  </w:footnote>
  <w:footnote w:id="823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לגבי אלקים כו'.</w:t>
      </w:r>
      <w:r w:rsidRPr="00BD5E91">
        <w:rPr>
          <w:sz w:val="22"/>
          <w:szCs w:val="22"/>
          <w:rtl/>
        </w:rPr>
        <w:t xml:space="preserve"> ר"ל מ"ש ואין אלקים כו'.ך דא ס"מ כו'. כצ"ל שהן דו"נ:</w:t>
      </w:r>
    </w:p>
  </w:footnote>
  <w:footnote w:id="823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בשכינתא.</w:t>
      </w:r>
      <w:r w:rsidRPr="00BD5E91">
        <w:rPr>
          <w:sz w:val="22"/>
          <w:szCs w:val="22"/>
          <w:rtl/>
        </w:rPr>
        <w:t xml:space="preserve"> שנק' אני כנ"ל:</w:t>
      </w:r>
    </w:p>
  </w:footnote>
  <w:footnote w:id="823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 יד כו'.</w:t>
      </w:r>
      <w:r w:rsidRPr="00BD5E91">
        <w:rPr>
          <w:sz w:val="22"/>
          <w:szCs w:val="22"/>
          <w:rtl/>
        </w:rPr>
        <w:t xml:space="preserve"> ר"ל שהיא נקראת יד ה' בין לחיים בין למיתה שהיא יד ימינא יד שמאלא כמש"ל וז"ש דאיהי יקו"ק כו' הוא י"ד אותוון דיד ימינא להחיות. ואיהי כו'. יד שמאלא שהוא בתמורה לכן כותבין אותן במזוזה שמתייראין ס"א:</w:t>
      </w:r>
    </w:p>
  </w:footnote>
  <w:footnote w:id="823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ונביאיא.</w:t>
      </w:r>
      <w:r w:rsidRPr="00BD5E91">
        <w:rPr>
          <w:sz w:val="22"/>
          <w:szCs w:val="22"/>
          <w:rtl/>
        </w:rPr>
        <w:t xml:space="preserve"> כצ"ל:</w:t>
      </w:r>
    </w:p>
  </w:footnote>
  <w:footnote w:id="823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דאינון אמרו האי קרא.</w:t>
      </w:r>
      <w:r w:rsidRPr="00BD5E91">
        <w:rPr>
          <w:sz w:val="22"/>
          <w:szCs w:val="22"/>
          <w:rtl/>
        </w:rPr>
        <w:t xml:space="preserve"> שאדם דלתתא נוצר מכולם כמש"ל אתחברו אופן כו':</w:t>
      </w:r>
    </w:p>
  </w:footnote>
  <w:footnote w:id="823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בתר דהוו ידעין כו'.</w:t>
      </w:r>
      <w:r w:rsidRPr="00BD5E91">
        <w:rPr>
          <w:sz w:val="22"/>
          <w:szCs w:val="22"/>
          <w:rtl/>
        </w:rPr>
        <w:t xml:space="preserve"> הוא קושיא ולקמן חברייא אי לא כו' שם הוא מתרץ:</w:t>
      </w:r>
    </w:p>
  </w:footnote>
  <w:footnote w:id="824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ואמאי בעי כו' ולא עוד כו'.</w:t>
      </w:r>
      <w:r w:rsidRPr="00BD5E91">
        <w:rPr>
          <w:sz w:val="22"/>
          <w:szCs w:val="22"/>
          <w:rtl/>
        </w:rPr>
        <w:t xml:space="preserve"> לחזק הקושיא ואזיל מענין לענין לפרש התשובה שהשיבה השכינה כמש"ו:</w:t>
      </w:r>
    </w:p>
  </w:footnote>
  <w:footnote w:id="824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דאיהי חשך.</w:t>
      </w:r>
      <w:r w:rsidRPr="00BD5E91">
        <w:rPr>
          <w:sz w:val="22"/>
          <w:szCs w:val="22"/>
          <w:rtl/>
        </w:rPr>
        <w:t xml:space="preserve"> שהיא כדמותנו כמש"ל:</w:t>
      </w:r>
    </w:p>
  </w:footnote>
  <w:footnote w:id="824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אלא הכי.</w:t>
      </w:r>
      <w:r w:rsidRPr="00BD5E91">
        <w:rPr>
          <w:sz w:val="22"/>
          <w:szCs w:val="22"/>
          <w:rtl/>
        </w:rPr>
        <w:t xml:space="preserve"> ר"ש מתרץ:</w:t>
      </w:r>
    </w:p>
  </w:footnote>
  <w:footnote w:id="824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הא אקדים כו'.</w:t>
      </w:r>
      <w:r w:rsidRPr="00BD5E91">
        <w:rPr>
          <w:sz w:val="22"/>
          <w:szCs w:val="22"/>
          <w:rtl/>
        </w:rPr>
        <w:t xml:space="preserve"> משא"כ במלאכים כידוע:</w:t>
      </w:r>
    </w:p>
  </w:footnote>
  <w:footnote w:id="824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אמ"ל.</w:t>
      </w:r>
      <w:r w:rsidRPr="00BD5E91">
        <w:rPr>
          <w:sz w:val="22"/>
          <w:szCs w:val="22"/>
          <w:rtl/>
        </w:rPr>
        <w:t xml:space="preserve"> ר"ל אמר להו ר"ש להם חבריא א"כ אמאי כו'. חוזר לקושיתו הראשונה אמאי בעי מלאכים ליה למעבד:</w:t>
      </w:r>
    </w:p>
  </w:footnote>
  <w:footnote w:id="824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אמר ר"א.</w:t>
      </w:r>
      <w:r w:rsidRPr="00BD5E91">
        <w:rPr>
          <w:sz w:val="22"/>
          <w:szCs w:val="22"/>
          <w:rtl/>
        </w:rPr>
        <w:t xml:space="preserve"> ל"ג:</w:t>
      </w:r>
    </w:p>
  </w:footnote>
  <w:footnote w:id="824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אמרו ליה ועוד כולי האי אמאי.</w:t>
      </w:r>
      <w:r w:rsidRPr="00BD5E91">
        <w:rPr>
          <w:sz w:val="22"/>
          <w:szCs w:val="22"/>
          <w:rtl/>
        </w:rPr>
        <w:t xml:space="preserve"> ר"ל ול"ל הכל ור"ל ועוד הקושיא נשאר:</w:t>
      </w:r>
    </w:p>
  </w:footnote>
  <w:footnote w:id="824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לא הוה אתברי כו'.</w:t>
      </w:r>
      <w:r w:rsidRPr="00BD5E91">
        <w:rPr>
          <w:sz w:val="22"/>
          <w:szCs w:val="22"/>
          <w:rtl/>
        </w:rPr>
        <w:t xml:space="preserve"> ר"ל לא הו"ל למברי האדם אלא בסט' דאצילות ולא היה לו הבחירה:</w:t>
      </w:r>
    </w:p>
  </w:footnote>
  <w:footnote w:id="8248">
    <w:p w:rsidR="00007309" w:rsidRPr="00BD5E91" w:rsidRDefault="00007309" w:rsidP="00007309">
      <w:pPr>
        <w:jc w:val="both"/>
        <w:rPr>
          <w:rFonts w:cs="Arial"/>
          <w:sz w:val="22"/>
          <w:szCs w:val="22"/>
          <w:rtl/>
        </w:rPr>
      </w:pPr>
      <w:r w:rsidRPr="00BD5E91">
        <w:rPr>
          <w:rStyle w:val="a7"/>
          <w:rFonts w:cs="Arial"/>
          <w:sz w:val="22"/>
          <w:szCs w:val="22"/>
          <w:rtl/>
        </w:rPr>
        <w:footnoteRef/>
      </w:r>
      <w:r w:rsidRPr="00BD5E91">
        <w:rPr>
          <w:rFonts w:cs="Arial"/>
          <w:sz w:val="22"/>
          <w:szCs w:val="22"/>
          <w:rtl/>
        </w:rPr>
        <w:t xml:space="preserve"> </w:t>
      </w:r>
      <w:r w:rsidRPr="00BD5E91">
        <w:rPr>
          <w:rFonts w:cs="Arial"/>
          <w:b/>
          <w:bCs/>
          <w:sz w:val="22"/>
          <w:szCs w:val="22"/>
          <w:rtl/>
        </w:rPr>
        <w:t>בגין דאורייתא כו'.</w:t>
      </w:r>
      <w:r w:rsidRPr="00BD5E91">
        <w:rPr>
          <w:rFonts w:cs="Arial"/>
          <w:sz w:val="22"/>
          <w:szCs w:val="22"/>
          <w:rtl/>
        </w:rPr>
        <w:t xml:space="preserve"> שאורייתא דילן הוא אורייתא דבריאה שלכן כתיב בה שכר ועונש טוב ורע כמש"ו ואע"ג דדרשו והשיגו בה כמה דברים מאצילות הכל בבריאה שכלול מהכל כמו שמשיגין ממלכות כל הספירות דלעילא כמ"ש בזוהר בראשית כיון שמגיע למ"ה שהוא מלכות דאצילות אומרים מה פשפשת מה ידעת ואף משה לא נתנבא ולא השיג אלא בבריאה וז"ש חמשים ש"ב כו' דבינה מקנן בכורסייא ואף שער החמשים שהוא כתר דבריאה לא השיג ששם מלכות דאצילות אבל באצילות שהוא בחכמה עליה נאמר כך עלה בחשבה לא תשיג שם וכל הנביאים לא נבאו אלא ביצירה כמ"ש על יחזקאל שראה מגו מט"ט או במלכות דבריאה אספקלריא דלא נהרא ואם לא היה נברא האדם מסט' דבריאה היה תורת הבריאה לתהו כמש"ו:</w:t>
      </w:r>
    </w:p>
  </w:footnote>
  <w:footnote w:id="824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לא תהו בראה.</w:t>
      </w:r>
      <w:r w:rsidRPr="00BD5E91">
        <w:rPr>
          <w:sz w:val="22"/>
          <w:szCs w:val="22"/>
          <w:rtl/>
        </w:rPr>
        <w:t xml:space="preserve"> אורייתא דבריאה. לשבת יצרה אורייתא דיצירה תורה שבע,פ משנה כמש"ל וז"ש לשבת יצרה כמו לשבת בית בנוקבא כידוע:</w:t>
      </w:r>
    </w:p>
  </w:footnote>
  <w:footnote w:id="825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איהו לבושא כו'.</w:t>
      </w:r>
      <w:r w:rsidRPr="00BD5E91">
        <w:rPr>
          <w:sz w:val="22"/>
          <w:szCs w:val="22"/>
          <w:rtl/>
        </w:rPr>
        <w:t xml:space="preserve"> כמש"ל אור לבושו:</w:t>
      </w:r>
      <w:r w:rsidRPr="00BD5E91">
        <w:rPr>
          <w:b/>
          <w:bCs/>
          <w:sz w:val="22"/>
          <w:szCs w:val="22"/>
          <w:rtl/>
        </w:rPr>
        <w:t xml:space="preserve"> </w:t>
      </w:r>
    </w:p>
  </w:footnote>
  <w:footnote w:id="825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כגוונא דעני.</w:t>
      </w:r>
      <w:r w:rsidRPr="00BD5E91">
        <w:rPr>
          <w:sz w:val="22"/>
          <w:szCs w:val="22"/>
          <w:rtl/>
        </w:rPr>
        <w:t xml:space="preserve"> וז"ש. דשכינה ענייה בגלותא הכל בבחינת לבושהא וכן כל המצות כמש"ו וכל מאן כו':</w:t>
      </w:r>
    </w:p>
  </w:footnote>
  <w:footnote w:id="825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כאלו הפשיט כו'.</w:t>
      </w:r>
      <w:r w:rsidRPr="00BD5E91">
        <w:rPr>
          <w:sz w:val="22"/>
          <w:szCs w:val="22"/>
          <w:rtl/>
        </w:rPr>
        <w:t xml:space="preserve"> שהחטא מגיע לשם דבאצילות אין מגיע החטא כנ"ל:</w:t>
      </w:r>
    </w:p>
  </w:footnote>
  <w:footnote w:id="825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והא אוקמוה.</w:t>
      </w:r>
      <w:r w:rsidRPr="00BD5E91">
        <w:rPr>
          <w:sz w:val="22"/>
          <w:szCs w:val="22"/>
          <w:rtl/>
        </w:rPr>
        <w:t xml:space="preserve"> על ציצית ותפילין וק"ש היא שמלתו לעורו. תפילין מעור. במה ישכב בק"ש בשכבך אם תשכבון כו':</w:t>
      </w:r>
    </w:p>
  </w:footnote>
  <w:footnote w:id="825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ת"ח חשך כו'.</w:t>
      </w:r>
      <w:r w:rsidRPr="00BD5E91">
        <w:rPr>
          <w:sz w:val="22"/>
          <w:szCs w:val="22"/>
          <w:rtl/>
        </w:rPr>
        <w:t xml:space="preserve"> תורה שבע"פ אור תורה שבכתב שחשך בנוק' אור בדכורא כנ"ל:</w:t>
      </w:r>
    </w:p>
  </w:footnote>
  <w:footnote w:id="825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שחרחורת.</w:t>
      </w:r>
      <w:r w:rsidRPr="00BD5E91">
        <w:rPr>
          <w:sz w:val="22"/>
          <w:szCs w:val="22"/>
          <w:rtl/>
        </w:rPr>
        <w:t xml:space="preserve"> לכן המלה כפולה שלית חוורו וז"ש אל תראונין שהראיה הוא באור:</w:t>
      </w:r>
    </w:p>
  </w:footnote>
  <w:footnote w:id="825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וישעי.</w:t>
      </w:r>
      <w:r w:rsidRPr="00BD5E91">
        <w:rPr>
          <w:sz w:val="22"/>
          <w:szCs w:val="22"/>
          <w:rtl/>
        </w:rPr>
        <w:t xml:space="preserve"> בת עין שכינה נקראת ישועה כידוע:</w:t>
      </w:r>
    </w:p>
  </w:footnote>
  <w:footnote w:id="825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דאיהו יום תניינא.</w:t>
      </w:r>
      <w:r w:rsidRPr="00BD5E91">
        <w:rPr>
          <w:sz w:val="22"/>
          <w:szCs w:val="22"/>
          <w:rtl/>
        </w:rPr>
        <w:t xml:space="preserve"> דאתברי בו גיהנם חשך כידוע:</w:t>
      </w:r>
    </w:p>
  </w:footnote>
  <w:footnote w:id="825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עמוד כו'.</w:t>
      </w:r>
      <w:r w:rsidRPr="00BD5E91">
        <w:rPr>
          <w:sz w:val="22"/>
          <w:szCs w:val="22"/>
          <w:rtl/>
        </w:rPr>
        <w:t xml:space="preserve"> יעקב הוא עמוד עמודא דאמצעיתא:</w:t>
      </w:r>
    </w:p>
  </w:footnote>
  <w:footnote w:id="825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כגון הלל ושמאי כו'.</w:t>
      </w:r>
      <w:r w:rsidRPr="00BD5E91">
        <w:rPr>
          <w:sz w:val="22"/>
          <w:szCs w:val="22"/>
          <w:rtl/>
        </w:rPr>
        <w:t xml:space="preserve"> שהן הלל מסט' דרחמי שהוא היה עניו ושמאי מסט' דדינא קפדן כידוע וחכ"א לא כדברי זה ולא כדברי זה אלא כו' שלום בינייהו וכן מיכאל וגבריאל כמש"ו:</w:t>
      </w:r>
    </w:p>
  </w:footnote>
  <w:footnote w:id="826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ושר שלום מכריע ביניהם.</w:t>
      </w:r>
      <w:r w:rsidRPr="00BD5E91">
        <w:rPr>
          <w:sz w:val="22"/>
          <w:szCs w:val="22"/>
          <w:rtl/>
        </w:rPr>
        <w:t xml:space="preserve"> וזהו עושה שלום במרומיו:</w:t>
      </w:r>
    </w:p>
  </w:footnote>
  <w:footnote w:id="826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ואיהו אדם דלתתא מט"ט.</w:t>
      </w:r>
      <w:r w:rsidRPr="00BD5E91">
        <w:rPr>
          <w:sz w:val="22"/>
          <w:szCs w:val="22"/>
          <w:rtl/>
        </w:rPr>
        <w:t xml:space="preserve"> ר"ל בדיוקנא דעד"א מכריע שנקרא אדם כידוע והוא נקרא נוריאל בסט' דחיות מלבר ומלגאו נקרא מט"ט אדם שמא מפרש כמו באצילות ששם מתלבש שמו ט,ט שבו:</w:t>
      </w:r>
    </w:p>
  </w:footnote>
  <w:footnote w:id="826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הה"ד וירדו כו'.</w:t>
      </w:r>
      <w:r w:rsidRPr="00BD5E91">
        <w:rPr>
          <w:sz w:val="22"/>
          <w:szCs w:val="22"/>
          <w:rtl/>
        </w:rPr>
        <w:t xml:space="preserve"> סיום המאמר בתיקונים בעוף השמים מארי זכוון ובבהמה ע"ה ע"ש:</w:t>
      </w:r>
    </w:p>
  </w:footnote>
  <w:footnote w:id="826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בראשית ברא שית.</w:t>
      </w:r>
      <w:r w:rsidRPr="00BD5E91">
        <w:rPr>
          <w:sz w:val="22"/>
          <w:szCs w:val="22"/>
          <w:rtl/>
        </w:rPr>
        <w:t xml:space="preserve"> אותיות בראשית כמש"ל דף ע"ג ע"ב ור"ל שית יסוד שהוא שית בו"ק והוא כלול מכל הו"ק ו' זעירא וכן מט"ט בדרגא דצדיק וכלול ו"ק של יצירה ו' אותיות של מטטרו"ן וז"ש דא מט"ט וז"ש. בראשית שהוא קדם לכל בריה והוא זקן ביתו קודם לכל:</w:t>
      </w:r>
    </w:p>
  </w:footnote>
  <w:footnote w:id="826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אות בצבא דיליה. </w:t>
      </w:r>
      <w:r w:rsidRPr="00BD5E91">
        <w:rPr>
          <w:sz w:val="22"/>
          <w:szCs w:val="22"/>
          <w:rtl/>
        </w:rPr>
        <w:t>כמו יסוד אות ברית קודש ו' זעירא בצבא שלו נו"ה שלכן נק' צבאות אות בצבא כ"ה במט"ט אצל המלאכיםשכל אות בצדיק אות ברית אות תפילין אות דשבת וי"ט כמ"ש בתיקונים ע"ש וז"ש (חגיגה טז ע"א) מאי דרש אות ברבבה שלו דוגמא כו' אדון הוא בצבא שלו וצ"ל אות הוא בצבא שלו כנ"ל וכ"ז על מט"ט שלא הציץ בו שד' שנכנסו לפרדס הוא במט"ט כמש"ל ובה"ת וכולם הציצו במט"ט לכן כולם לקו לפי שבו מתלבש השכינה שעליו בקש משה הראני נא את כבודך כמ"ש במדרש הנעלם כמה אצטער האי צדיקא כו' ולא הראה ואחר טעה שראה שהוא מושל בכל צבא השמים כמ"ש אל עבדו זקן ביתו המושל בכל אשר לו כמ"ש במדרש הנעלם וכ"ז הוא בשמו שבקרבו ולזה אמרו על ר"ע מאי דרש שלא הציץ במט"ט כמ"ש רש"י ע"ש:</w:t>
      </w:r>
    </w:p>
  </w:footnote>
  <w:footnote w:id="826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לקין אות. </w:t>
      </w:r>
      <w:r w:rsidRPr="00BD5E91">
        <w:rPr>
          <w:sz w:val="22"/>
          <w:szCs w:val="22"/>
          <w:rtl/>
        </w:rPr>
        <w:t>שהוא אות כנ"ל ור"ל בגלגול. כמש"ו שג' הגלגולים הוא במט"ט שמסט' דיליה הרוח וכל הגלגולים ברוח כמ"ש לעיל ור"ל ביתרו שהוא גלגול קין וקבל על עצמו אות ברית שנתגייר כמש"ו ולכן נתן למשה שהוא גלגול הבל צפורה בתו שהוא התיומת של הבל שקנא בה והרג אותו ובשבילה נהרג הבל והיא הצילה אותו עכשיו (שמות ד כד) ויבקש המיתו ותקח צפורה צר ותכרת כו' במילה אות ברית כנ"ל ועלה אמר הקב"ה אם תיטיב שאת שדרשו בתיקונים אשת שבשבילה נתנשא יתרו:</w:t>
      </w:r>
    </w:p>
  </w:footnote>
  <w:footnote w:id="826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נע ונד בגלגולא.</w:t>
      </w:r>
      <w:r w:rsidRPr="00BD5E91">
        <w:rPr>
          <w:sz w:val="22"/>
          <w:szCs w:val="22"/>
          <w:rtl/>
        </w:rPr>
        <w:t xml:space="preserve"> עד יתרו שע"ז אמר הקב"ה נע ונד כו'. שהוא בעה"ז ועה"ב בגלגולים עד יתרו:</w:t>
      </w:r>
    </w:p>
  </w:footnote>
  <w:footnote w:id="826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אתעביד נוד.</w:t>
      </w:r>
      <w:r w:rsidRPr="00BD5E91">
        <w:rPr>
          <w:sz w:val="22"/>
          <w:szCs w:val="22"/>
          <w:rtl/>
        </w:rPr>
        <w:t xml:space="preserve"> עם ו' של אות ברית לקין אות כנ"ל:</w:t>
      </w:r>
    </w:p>
  </w:footnote>
  <w:footnote w:id="826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קדמת עדן.</w:t>
      </w:r>
      <w:r w:rsidRPr="00BD5E91">
        <w:rPr>
          <w:sz w:val="22"/>
          <w:szCs w:val="22"/>
          <w:rtl/>
        </w:rPr>
        <w:t xml:space="preserve"> מפ' לקמן ונפקו בנוי כו':</w:t>
      </w:r>
    </w:p>
  </w:footnote>
  <w:footnote w:id="826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דקתני.</w:t>
      </w:r>
      <w:r w:rsidRPr="00BD5E91">
        <w:rPr>
          <w:sz w:val="22"/>
          <w:szCs w:val="22"/>
          <w:rtl/>
        </w:rPr>
        <w:t xml:space="preserve"> צ"ל דקני שקנא על אחיו וזכה ביתרו כמש"ו:</w:t>
      </w:r>
    </w:p>
  </w:footnote>
  <w:footnote w:id="827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בקיני.</w:t>
      </w:r>
      <w:r w:rsidRPr="00BD5E91">
        <w:rPr>
          <w:sz w:val="22"/>
          <w:szCs w:val="22"/>
          <w:rtl/>
        </w:rPr>
        <w:t xml:space="preserve"> יתרו כמ"ש ובני קיני חותן משה והוא אותיות קין:</w:t>
      </w:r>
    </w:p>
  </w:footnote>
  <w:footnote w:id="827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ונפקו בנוי.</w:t>
      </w:r>
      <w:r w:rsidRPr="00BD5E91">
        <w:rPr>
          <w:sz w:val="22"/>
          <w:szCs w:val="22"/>
          <w:rtl/>
        </w:rPr>
        <w:t xml:space="preserve"> שזכו לישב בלשכת הגזית:</w:t>
      </w:r>
    </w:p>
  </w:footnote>
  <w:footnote w:id="827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דעאלו לג"ע.</w:t>
      </w:r>
      <w:r w:rsidRPr="00BD5E91">
        <w:rPr>
          <w:sz w:val="22"/>
          <w:szCs w:val="22"/>
          <w:rtl/>
        </w:rPr>
        <w:t xml:space="preserve"> ר"ל כמש"ו ובג"ד כו' קדמת עדן שהגן הוא קדמת עדן כמ"ש ויטע ה' אלקים גן בעדן מקדם ולכן לא נאמר קדמת גן עדן:</w:t>
      </w:r>
    </w:p>
  </w:footnote>
  <w:footnote w:id="827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לבתר עביד כו'.</w:t>
      </w:r>
      <w:r w:rsidRPr="00BD5E91">
        <w:rPr>
          <w:sz w:val="22"/>
          <w:szCs w:val="22"/>
          <w:rtl/>
        </w:rPr>
        <w:t xml:space="preserve"> כמ"ש בתיקונים עד יתרו גלגולין שלו בסט' דטוב משם ואילך בסט' דרע והן ע"ר שבדור כמ"ש שם וז"ש. ועלייהו אתמר כו'. כמ"ש בתיקונים כל השמות מחואיל מתושאל כו' ע"ש וכאן דרש חנוך לבד:</w:t>
      </w:r>
    </w:p>
  </w:footnote>
  <w:footnote w:id="827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חנוך מסט' דקין כו'.</w:t>
      </w:r>
      <w:r w:rsidRPr="00BD5E91">
        <w:rPr>
          <w:sz w:val="22"/>
          <w:szCs w:val="22"/>
          <w:rtl/>
        </w:rPr>
        <w:t xml:space="preserve"> שחנוך הוא במט"ט ע"ה טו"ר יצ"ט ויצ"ה וז"ש ודא יצה"ר חינוכא כו'. כמ"ש חנוך לנער ע"פ דרכו והוא לאדם מסט' דיצירה שהוא נער:</w:t>
      </w:r>
    </w:p>
  </w:footnote>
  <w:footnote w:id="8275">
    <w:p w:rsidR="00007309" w:rsidRPr="00BD5E91" w:rsidRDefault="00007309" w:rsidP="00007309">
      <w:pPr>
        <w:jc w:val="both"/>
        <w:rPr>
          <w:rFonts w:cs="Arial"/>
          <w:sz w:val="22"/>
          <w:szCs w:val="22"/>
          <w:rtl/>
        </w:rPr>
      </w:pPr>
      <w:r w:rsidRPr="00BD5E91">
        <w:rPr>
          <w:rStyle w:val="a7"/>
          <w:rFonts w:cs="Arial"/>
          <w:sz w:val="22"/>
          <w:szCs w:val="22"/>
          <w:rtl/>
        </w:rPr>
        <w:footnoteRef/>
      </w:r>
      <w:r w:rsidRPr="00BD5E91">
        <w:rPr>
          <w:rFonts w:cs="Arial"/>
          <w:sz w:val="22"/>
          <w:szCs w:val="22"/>
          <w:rtl/>
        </w:rPr>
        <w:t xml:space="preserve"> </w:t>
      </w:r>
      <w:r w:rsidRPr="00BD5E91">
        <w:rPr>
          <w:rFonts w:cs="Arial"/>
          <w:b/>
          <w:bCs/>
          <w:sz w:val="22"/>
          <w:szCs w:val="22"/>
          <w:rtl/>
        </w:rPr>
        <w:t>ואית חנוך מסט' דאנוש.</w:t>
      </w:r>
      <w:r w:rsidRPr="00BD5E91">
        <w:rPr>
          <w:rFonts w:cs="Arial"/>
          <w:sz w:val="22"/>
          <w:szCs w:val="22"/>
          <w:rtl/>
        </w:rPr>
        <w:t xml:space="preserve"> הוא חנוך בן ירד מט"ט ובנוי דקין הוא ס"מ כידוע ואמר מסט'</w:t>
      </w:r>
      <w:r w:rsidRPr="00BD5E91">
        <w:rPr>
          <w:sz w:val="22"/>
          <w:szCs w:val="22"/>
          <w:rtl/>
        </w:rPr>
        <w:t xml:space="preserve"> </w:t>
      </w:r>
      <w:r w:rsidRPr="00BD5E91">
        <w:rPr>
          <w:rFonts w:cs="Arial"/>
          <w:sz w:val="22"/>
          <w:szCs w:val="22"/>
          <w:rtl/>
        </w:rPr>
        <w:t>דאנוש שממנו התחילו הגלגולים כמש"ו. וזהו אנוש כחציר ימיו שדרשו על גלגולא דאדם בזוהר פ' פנחס ע"ש שלכן נקראו כל האנשים בשם אנוש:</w:t>
      </w:r>
    </w:p>
  </w:footnote>
  <w:footnote w:id="827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דנהפך בשריה כו'.</w:t>
      </w:r>
      <w:r w:rsidRPr="00BD5E91">
        <w:rPr>
          <w:sz w:val="22"/>
          <w:szCs w:val="22"/>
          <w:rtl/>
        </w:rPr>
        <w:t xml:space="preserve"> שרוצה לקמן לומר ובגיניה כו' כל בשר בגין כו' כמ"ש שם:</w:t>
      </w:r>
    </w:p>
  </w:footnote>
  <w:footnote w:id="827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ותלתא אינון כו'.</w:t>
      </w:r>
      <w:r w:rsidRPr="00BD5E91">
        <w:rPr>
          <w:sz w:val="22"/>
          <w:szCs w:val="22"/>
          <w:rtl/>
        </w:rPr>
        <w:t xml:space="preserve"> שתלת גלגולין דג' חיון הוא עד אנוש ומשם ואילך גלגולין דאלף דור דאדם כמ"ש לעיל בדף הקודם וז"ש אנוש מתמן כו' שלכן בשת כתיב בדמותו כצלמו משא"כ באנוש כמ"ש לעיל בגלגול השלישי שנוי מעשה משנה פניו וכן דרשו בזוהר הנ"ל משנה פניו על פסוק אנוש כחציר ימיו כי רוח עברה בו ואיננו ואיננו בפנים הראשונים ע"ש וז"ש אצל חנוך ואיננו כי לקח כו' מכבר קודם זה הגלגול שהגלגולים ממנו כנ"ל:</w:t>
      </w:r>
    </w:p>
  </w:footnote>
  <w:footnote w:id="827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מתמן אתייחסו כו'.</w:t>
      </w:r>
      <w:r w:rsidRPr="00BD5E91">
        <w:rPr>
          <w:sz w:val="22"/>
          <w:szCs w:val="22"/>
          <w:rtl/>
        </w:rPr>
        <w:t xml:space="preserve"> שלכן אצל אנוש נאמר זה ספר תולדות אדם כו' וז"ש מתמן כו':</w:t>
      </w:r>
    </w:p>
  </w:footnote>
  <w:footnote w:id="827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הה"ד כו' בשם ה'.</w:t>
      </w:r>
      <w:r w:rsidRPr="00BD5E91">
        <w:rPr>
          <w:sz w:val="22"/>
          <w:szCs w:val="22"/>
          <w:rtl/>
        </w:rPr>
        <w:t xml:space="preserve"> שהוא גלגולין דאדם בשכינה שנק' שם ה' כמש"ל:</w:t>
      </w:r>
    </w:p>
  </w:footnote>
  <w:footnote w:id="828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איהו מט"ט כו' ללפידי אש.</w:t>
      </w:r>
      <w:r w:rsidRPr="00BD5E91">
        <w:rPr>
          <w:sz w:val="22"/>
          <w:szCs w:val="22"/>
          <w:rtl/>
        </w:rPr>
        <w:t xml:space="preserve"> ר"ל לכן נקרא נוריאל לשון נור דליק כמ"ש למטה וז"ש ואיהו נוריאל:</w:t>
      </w:r>
    </w:p>
  </w:footnote>
  <w:footnote w:id="828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ועל תרוייהו.</w:t>
      </w:r>
      <w:r w:rsidRPr="00BD5E91">
        <w:rPr>
          <w:sz w:val="22"/>
          <w:szCs w:val="22"/>
          <w:rtl/>
        </w:rPr>
        <w:t xml:space="preserve"> ר"ל תרין דרגין מט"ט ונוריאל. כי ד' חיות הן ד' אותיות שבשם ט"ס מחכמה ולמטה ומט"ט הוא חיה החמישי פרצוף החמישי כתר היצירה שבו שני בחינות של כתר ע"ק וא"א כידוע מופלא ומכוסה שעליו נאמר (יחזקאל א כח) ואראה ואפול על כו' ובחינה הראשונה הוא מט"ט שבו מתלבש שם ה' בבריאה כמו כל עתיק כידוע ונוריאל הוא בחינה האחרונה שלכן הוא נחשב בכלל החיות ארגמן כידוע בכל כתר וז"ש והחיות רצוא כו', שבסט' דנוריאל רצין להשיגו, ושוב בסט' דמט"ט שעתיק נקרא רישא דלא אתיידע:</w:t>
      </w:r>
    </w:p>
  </w:footnote>
  <w:footnote w:id="828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הכי סלקי בחושבן.</w:t>
      </w:r>
      <w:r w:rsidRPr="00BD5E91">
        <w:rPr>
          <w:sz w:val="22"/>
          <w:szCs w:val="22"/>
          <w:rtl/>
        </w:rPr>
        <w:t xml:space="preserve"> ר"ל רצוא ושוב כמנין מט"ט ונוריאל:</w:t>
      </w:r>
    </w:p>
  </w:footnote>
  <w:footnote w:id="828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כמראה הבזק.</w:t>
      </w:r>
      <w:r w:rsidRPr="00BD5E91">
        <w:rPr>
          <w:sz w:val="22"/>
          <w:szCs w:val="22"/>
          <w:rtl/>
        </w:rPr>
        <w:t xml:space="preserve"> אלא. ל"ג ור"ל עליו נאמר כמראה כמש"ו כמראה הקשת שהוא מט"ט קשת דאתחזי כידוע:</w:t>
      </w:r>
    </w:p>
  </w:footnote>
  <w:footnote w:id="828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ובגיניה אתמר כו'.</w:t>
      </w:r>
      <w:r w:rsidRPr="00BD5E91">
        <w:rPr>
          <w:sz w:val="22"/>
          <w:szCs w:val="22"/>
          <w:rtl/>
        </w:rPr>
        <w:t xml:space="preserve"> בגין דאתהפך כו' וכל מלאכין דממנן כו'. ר"ל כמש"ל דנהר יוצק יסודם נהר דינור שכל הרשעים נידונין בו ונתקנין בו וחזרין בגלגול ומט"ט הוא נהר דינור. נור של נוריאל כמ"ש למטה נוריאל נור דליק ונוריאל עם ד' חיות שכלילן בו כידוע וכן כל כתר כולל כל ד' אותיות של השם ד' פרצופין שלמטה וכן הוא בנוריאל נוריאל וד' גי' אש וז"ש שנהפך ללפידי אש והוא רון דמטטרו"ן כמ"ש למטה והוא ע"ה טו"ר הרע נקרא בשר, בשגם הוא בשר, לשחת כל בשר, קץ כל בשר, שלכן מרבה בשר וכן אמרו אוי לבשר מפני בשר ואש הוא טוב (ירמיהו כג כט) דברי כאש והוא מטה דאתהפך מנחש למטה מסט' דרע לסט' דטוב וכן נידונין ונצרפי' שם הרשעים ונעשין מבשר אש וז"ש דנהפך בשריה ללפידי אש ולכן ולא יהיה מבול לשחת כל בשר אלא נהר יוצק יסודם לאש וזהו הקשת נהר הנ"ל כנ"ל וז"ש. וכל מלאכין כו'. ור"ל זהו ללפידי אש רבים והן המלאכים דממנן כו' שכל הגלגולים בו כנ"ל:</w:t>
      </w:r>
    </w:p>
  </w:footnote>
  <w:footnote w:id="828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ועוד כמראה כו' כמראה אשר כו'.</w:t>
      </w:r>
      <w:r w:rsidRPr="00BD5E91">
        <w:rPr>
          <w:sz w:val="22"/>
          <w:szCs w:val="22"/>
          <w:rtl/>
        </w:rPr>
        <w:t xml:space="preserve"> והוא משכן דנער מט"ט שהראה למשה כמ"ש בזוהר ובתבניתם עשה הכל:</w:t>
      </w:r>
    </w:p>
  </w:footnote>
  <w:footnote w:id="828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ודא מט"ט כו'.</w:t>
      </w:r>
      <w:r w:rsidRPr="00BD5E91">
        <w:rPr>
          <w:sz w:val="22"/>
          <w:szCs w:val="22"/>
          <w:rtl/>
        </w:rPr>
        <w:t xml:space="preserve"> ר"ל המנורה ולכן נאמר אצל המנורה שני פסוקים הנ"ל וראה ועשה כו' כמראה כו':</w:t>
      </w:r>
    </w:p>
  </w:footnote>
  <w:footnote w:id="828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 דיליה.</w:t>
      </w:r>
      <w:r w:rsidRPr="00BD5E91">
        <w:rPr>
          <w:sz w:val="22"/>
          <w:szCs w:val="22"/>
          <w:rtl/>
        </w:rPr>
        <w:t xml:space="preserve"> של ר"ת מט"ט:</w:t>
      </w:r>
    </w:p>
  </w:footnote>
  <w:footnote w:id="828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נוריאל נור דליק.</w:t>
      </w:r>
      <w:r w:rsidRPr="00BD5E91">
        <w:rPr>
          <w:sz w:val="22"/>
          <w:szCs w:val="22"/>
          <w:rtl/>
        </w:rPr>
        <w:t xml:space="preserve"> בהעלותך את הנרות להדליק מנורה גי' אש והוא נור של מט"ט ונוריאל ומט"ט ונוריאל הן אחד באותיותיהן רק א' של נוריאל וט"ט של מט"ט כי י' ל' של נוריאל הוא מ"ם של מט"ט נור הוא רון והוא רנ"ו כנפים של החיות מ' הוא ד' אנפין של החיות וד' החיות עצמן שהן מ' כ"א עשר כידוע והן נחלקין בנוריאל לשתים ל' וי' כי ג' חיוון ורביעי אדם נכללת מכולם וכן בשם יק"ו וה' אחרונה שלכן נאמ' ודמות פניהם כו' כידוע ובו מתלבש מלכות אדני שהוא א' של נוריאל בבחינה התחתונה שבו וזהו מנורה נו"ר ומ' וה' שהוא מלכות והוא חיה הראשונה וכולל כל החמשה חיות לכן הוא ה' וכן ה' רביעית שבשם הוא כולל כל ה' פרצופין ובמט"ט מתלבש ח"י עלמין כידוע והוא ט"ט שבו כמ"ש ח"י עלמין ט' מלמעלה למטה וט' ממטה למעלה וז"ש והוא ט"ט כו' והוא כמ"ש ט"ט שתים פת שתים שד' פרשיות של תפלין הן בתפארת פת דת"פארת שכלול שתים חו"ג, וט"ט ביסוד כלול נו"ה כידוע:</w:t>
      </w:r>
    </w:p>
  </w:footnote>
  <w:footnote w:id="828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וכולא נתפשט מאנוש.</w:t>
      </w:r>
      <w:r w:rsidRPr="00BD5E91">
        <w:rPr>
          <w:sz w:val="22"/>
          <w:szCs w:val="22"/>
          <w:rtl/>
        </w:rPr>
        <w:t xml:space="preserve"> כל הגלגולין והוא אש דאנוש נ"ו שבו של נוריאל כנ"ל והוא גי' מט"ט עם שם מ"ב שהוא במט"ט כידוע והוא בגבורה אש כידוע:</w:t>
      </w:r>
    </w:p>
  </w:footnote>
  <w:footnote w:id="829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בראשית כו' לע' אנפין.</w:t>
      </w:r>
      <w:r w:rsidRPr="00BD5E91">
        <w:rPr>
          <w:sz w:val="22"/>
          <w:szCs w:val="22"/>
          <w:rtl/>
        </w:rPr>
        <w:t xml:space="preserve"> שבתיקונים:</w:t>
      </w:r>
    </w:p>
  </w:footnote>
  <w:footnote w:id="829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בת בתחלה.</w:t>
      </w:r>
      <w:r w:rsidRPr="00BD5E91">
        <w:rPr>
          <w:sz w:val="22"/>
          <w:szCs w:val="22"/>
          <w:rtl/>
        </w:rPr>
        <w:t xml:space="preserve"> ר"ל ב' של בראשית שבית הוא בת י' כמ"ש למטה והוא ר"ת וס"ת של בראשית. נשאר ראשי הן שית בנים דכלילן בראשי אבות כמ"ש בתיקונים:</w:t>
      </w:r>
    </w:p>
  </w:footnote>
  <w:footnote w:id="829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סימן טוב לבנים.</w:t>
      </w:r>
      <w:r w:rsidRPr="00BD5E91">
        <w:rPr>
          <w:sz w:val="22"/>
          <w:szCs w:val="22"/>
          <w:rtl/>
        </w:rPr>
        <w:t xml:space="preserve"> כמ"ש אשה מזרעת תחלה יולדת זכר שהוא בסט' דרחמי כמש"ל:</w:t>
      </w:r>
      <w:r w:rsidRPr="00BD5E91">
        <w:rPr>
          <w:b/>
          <w:bCs/>
          <w:sz w:val="22"/>
          <w:szCs w:val="22"/>
          <w:rtl/>
        </w:rPr>
        <w:t xml:space="preserve"> </w:t>
      </w:r>
    </w:p>
  </w:footnote>
  <w:footnote w:id="829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ומאי ניהו שית כו'. </w:t>
      </w:r>
      <w:r w:rsidRPr="00BD5E91">
        <w:rPr>
          <w:sz w:val="22"/>
          <w:szCs w:val="22"/>
          <w:rtl/>
        </w:rPr>
        <w:t>ר"ל מאי ניהו בנים ואמר שית כו' והן שית בנים ובת אחת שילדה לאה בינה:</w:t>
      </w:r>
    </w:p>
  </w:footnote>
  <w:footnote w:id="829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כי ששת כו'.</w:t>
      </w:r>
      <w:r w:rsidRPr="00BD5E91">
        <w:rPr>
          <w:sz w:val="22"/>
          <w:szCs w:val="22"/>
          <w:rtl/>
        </w:rPr>
        <w:t xml:space="preserve"> כמ"ש ששת ולא בששת:</w:t>
      </w:r>
    </w:p>
  </w:footnote>
  <w:footnote w:id="829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ואינן שית זמנין טוב.</w:t>
      </w:r>
      <w:r w:rsidRPr="00BD5E91">
        <w:rPr>
          <w:sz w:val="22"/>
          <w:szCs w:val="22"/>
          <w:rtl/>
        </w:rPr>
        <w:t xml:space="preserve"> שעד"א נקרא טוב שהוא ימינא טוב ומלכות נקרא ישר בצדק וז"ש טוב וישר ה' כידוע:</w:t>
      </w:r>
    </w:p>
  </w:footnote>
  <w:footnote w:id="829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וביומא תליתאה כו'.</w:t>
      </w:r>
      <w:r w:rsidRPr="00BD5E91">
        <w:rPr>
          <w:sz w:val="22"/>
          <w:szCs w:val="22"/>
          <w:rtl/>
        </w:rPr>
        <w:t xml:space="preserve"> שטוב של גבורה אינו נגמר אלא בעד"א ששם נמתק כי לבדו א"א לקבלו כידוע וז"ש (סנהדרין ק ע"ב) כשם שנותן כח כו':</w:t>
      </w:r>
    </w:p>
  </w:footnote>
  <w:footnote w:id="829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ושביעאה לשית.</w:t>
      </w:r>
      <w:r w:rsidRPr="00BD5E91">
        <w:rPr>
          <w:sz w:val="22"/>
          <w:szCs w:val="22"/>
          <w:rtl/>
        </w:rPr>
        <w:t xml:space="preserve"> מעולם חסד יבנה שבת:</w:t>
      </w:r>
    </w:p>
  </w:footnote>
  <w:footnote w:id="829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ורביעאה כו'.</w:t>
      </w:r>
      <w:r w:rsidRPr="00BD5E91">
        <w:rPr>
          <w:sz w:val="22"/>
          <w:szCs w:val="22"/>
          <w:rtl/>
        </w:rPr>
        <w:t xml:space="preserve"> ד' חיוון ד' אותיות של השם שמקומה בת"ת כידוע:</w:t>
      </w:r>
    </w:p>
  </w:footnote>
  <w:footnote w:id="829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ותמינאה כו'.</w:t>
      </w:r>
      <w:r w:rsidRPr="00BD5E91">
        <w:rPr>
          <w:sz w:val="22"/>
          <w:szCs w:val="22"/>
          <w:rtl/>
        </w:rPr>
        <w:t xml:space="preserve"> מבינה ששם מתחילין בהתפשטה למטה כידוע אחת ואחת כו' ובהרבה מקומות:</w:t>
      </w:r>
    </w:p>
  </w:footnote>
  <w:footnote w:id="830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בכל צורות כו'.</w:t>
      </w:r>
      <w:r w:rsidRPr="00BD5E91">
        <w:rPr>
          <w:sz w:val="22"/>
          <w:szCs w:val="22"/>
          <w:rtl/>
        </w:rPr>
        <w:t xml:space="preserve"> דכלהו נראין בה כמ"ש בתיקונים תי"ח ואמר ד' דרגין לצורות שמשתנה הדמיון בה לד' אנפין כמש"ל אית דמתחזי לי' כפרצופא כו':</w:t>
      </w:r>
    </w:p>
  </w:footnote>
  <w:footnote w:id="830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דאיהי לבת כו'.</w:t>
      </w:r>
      <w:r w:rsidRPr="00BD5E91">
        <w:rPr>
          <w:sz w:val="22"/>
          <w:szCs w:val="22"/>
          <w:rtl/>
        </w:rPr>
        <w:t xml:space="preserve"> ר"ל שהיא גבורה אש כנ"ל ונאמר בלבת ואמר בתיקונים ל"ב ב"ת לב הוא ל"ב נתיבות דכלילן בה כמ"ש ובת הוא י' מאמרים דכליל בבת עין י' כמ"ש נגע בבת כו' כמש"ל וז"ש. י' כלילא כו' ונהירא כו' כלילא כו':</w:t>
      </w:r>
    </w:p>
  </w:footnote>
  <w:footnote w:id="830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מעשר מראות.</w:t>
      </w:r>
      <w:r w:rsidRPr="00BD5E91">
        <w:rPr>
          <w:sz w:val="22"/>
          <w:szCs w:val="22"/>
          <w:rtl/>
        </w:rPr>
        <w:t xml:space="preserve"> של יחזקאל כמש"ל דף ע"ג והוא בת עין שבה המראה ובה רואה ובבת עין כלול ל"ב נתיבות וז"ש. הלב רואה כו':</w:t>
      </w:r>
    </w:p>
  </w:footnote>
  <w:footnote w:id="830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דבהון אתקריאת יד כו'.</w:t>
      </w:r>
      <w:r w:rsidRPr="00BD5E91">
        <w:rPr>
          <w:sz w:val="22"/>
          <w:szCs w:val="22"/>
          <w:rtl/>
        </w:rPr>
        <w:t xml:space="preserve"> ג"פ י"ד הוא מ"ב והוא בחג"ת כמש"ל ובהן נקודת חש"ק כידוע שע"ז נאמר רק באבותיך חשק וז"ש כי בי חשק כו':</w:t>
      </w:r>
    </w:p>
  </w:footnote>
  <w:footnote w:id="830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ואיהי בת כו'.</w:t>
      </w:r>
      <w:r w:rsidRPr="00BD5E91">
        <w:rPr>
          <w:sz w:val="22"/>
          <w:szCs w:val="22"/>
          <w:rtl/>
        </w:rPr>
        <w:t xml:space="preserve"> מפרש והולך הכל שנק' בת:</w:t>
      </w:r>
    </w:p>
  </w:footnote>
  <w:footnote w:id="830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דאתקרי קול כו'.</w:t>
      </w:r>
      <w:r w:rsidRPr="00BD5E91">
        <w:rPr>
          <w:sz w:val="22"/>
          <w:szCs w:val="22"/>
          <w:rtl/>
        </w:rPr>
        <w:t xml:space="preserve"> ר"ל עד"א נק' קול והיא בת דיליה כמ"ש לקמן דכל איתתא בת בעלה:</w:t>
      </w:r>
    </w:p>
  </w:footnote>
  <w:footnote w:id="8306">
    <w:p w:rsidR="00007309" w:rsidRPr="00BD5E91" w:rsidRDefault="00007309" w:rsidP="00007309">
      <w:pPr>
        <w:jc w:val="both"/>
        <w:rPr>
          <w:rFonts w:cs="Arial"/>
          <w:sz w:val="22"/>
          <w:szCs w:val="22"/>
          <w:rtl/>
        </w:rPr>
      </w:pPr>
      <w:r w:rsidRPr="00BD5E91">
        <w:rPr>
          <w:rStyle w:val="a7"/>
          <w:rFonts w:cs="Arial"/>
          <w:sz w:val="22"/>
          <w:szCs w:val="22"/>
          <w:rtl/>
        </w:rPr>
        <w:footnoteRef/>
      </w:r>
      <w:r w:rsidRPr="00BD5E91">
        <w:rPr>
          <w:rFonts w:cs="Arial"/>
          <w:sz w:val="22"/>
          <w:szCs w:val="22"/>
          <w:rtl/>
        </w:rPr>
        <w:t xml:space="preserve"> </w:t>
      </w:r>
      <w:r w:rsidRPr="00BD5E91">
        <w:rPr>
          <w:rFonts w:cs="Arial"/>
          <w:b/>
          <w:bCs/>
          <w:sz w:val="22"/>
          <w:szCs w:val="22"/>
          <w:rtl/>
        </w:rPr>
        <w:t>יעננו בקול.</w:t>
      </w:r>
      <w:r w:rsidRPr="00BD5E91">
        <w:rPr>
          <w:rFonts w:cs="Arial"/>
          <w:sz w:val="22"/>
          <w:szCs w:val="22"/>
          <w:rtl/>
        </w:rPr>
        <w:t xml:space="preserve"> בדרגא דיליה עד"א תורה שבכתב והאלקים בינה ימא דאורייתא יעננו בעד"א כידוע:</w:t>
      </w:r>
    </w:p>
  </w:footnote>
  <w:footnote w:id="830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הלכה כו'.</w:t>
      </w:r>
      <w:r w:rsidRPr="00BD5E91">
        <w:rPr>
          <w:sz w:val="22"/>
          <w:szCs w:val="22"/>
          <w:rtl/>
        </w:rPr>
        <w:t xml:space="preserve"> שמס' דילה הוא הלכה כידוע:</w:t>
      </w:r>
    </w:p>
  </w:footnote>
  <w:footnote w:id="830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פנימה למשנה.</w:t>
      </w:r>
      <w:r w:rsidRPr="00BD5E91">
        <w:rPr>
          <w:sz w:val="22"/>
          <w:szCs w:val="22"/>
          <w:rtl/>
        </w:rPr>
        <w:t xml:space="preserve"> ר"ל רזין דתורה שבע"פ שהן פנימה הסתר דבר:</w:t>
      </w:r>
    </w:p>
  </w:footnote>
  <w:footnote w:id="830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דאיהי דין.</w:t>
      </w:r>
      <w:r w:rsidRPr="00BD5E91">
        <w:rPr>
          <w:sz w:val="22"/>
          <w:szCs w:val="22"/>
          <w:rtl/>
        </w:rPr>
        <w:t xml:space="preserve"> ר"ל זהו זהב:</w:t>
      </w:r>
    </w:p>
  </w:footnote>
  <w:footnote w:id="831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ואת י'.</w:t>
      </w:r>
      <w:r w:rsidRPr="00BD5E91">
        <w:rPr>
          <w:sz w:val="22"/>
          <w:szCs w:val="22"/>
          <w:rtl/>
        </w:rPr>
        <w:t xml:space="preserve"> ר"ל דאדני שהוא נקודה פנימית שלה והוא של ב' כידוע והוא חכמה שלה כידוע:</w:t>
      </w:r>
    </w:p>
  </w:footnote>
  <w:footnote w:id="831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ובכל שמה.</w:t>
      </w:r>
      <w:r w:rsidRPr="00BD5E91">
        <w:rPr>
          <w:sz w:val="22"/>
          <w:szCs w:val="22"/>
          <w:rtl/>
        </w:rPr>
        <w:t xml:space="preserve"> שהיא כל כלולה מכולם עם ב' הנ"ל בכל ובה נתברך:</w:t>
      </w:r>
    </w:p>
  </w:footnote>
  <w:footnote w:id="831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בראשית אוקמוה רבנן כו'.</w:t>
      </w:r>
      <w:r w:rsidRPr="00BD5E91">
        <w:rPr>
          <w:sz w:val="22"/>
          <w:szCs w:val="22"/>
          <w:rtl/>
        </w:rPr>
        <w:t xml:space="preserve"> כמ"ש שא' הוא ארור ב' ברכה והוא כמש"ו</w:t>
      </w:r>
      <w:r w:rsidRPr="00BD5E91">
        <w:rPr>
          <w:sz w:val="22"/>
          <w:szCs w:val="22"/>
        </w:rPr>
        <w:t>:</w:t>
      </w:r>
    </w:p>
  </w:footnote>
  <w:footnote w:id="831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חסר חד כו'.</w:t>
      </w:r>
      <w:r w:rsidRPr="00BD5E91">
        <w:rPr>
          <w:sz w:val="22"/>
          <w:szCs w:val="22"/>
          <w:rtl/>
        </w:rPr>
        <w:t xml:space="preserve"> ר"ל ואם היה מתחיל בא' היה משלים ח"ו לכך התחיל בב' ברכה:</w:t>
      </w:r>
    </w:p>
  </w:footnote>
  <w:footnote w:id="831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ועליה אתמר כו'.</w:t>
      </w:r>
      <w:r w:rsidRPr="00BD5E91">
        <w:rPr>
          <w:sz w:val="22"/>
          <w:szCs w:val="22"/>
          <w:rtl/>
        </w:rPr>
        <w:t xml:space="preserve"> והיא בינה כמש"ו:</w:t>
      </w:r>
    </w:p>
  </w:footnote>
  <w:footnote w:id="831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ומאן אתר כו'.</w:t>
      </w:r>
      <w:r w:rsidRPr="00BD5E91">
        <w:rPr>
          <w:sz w:val="22"/>
          <w:szCs w:val="22"/>
          <w:rtl/>
        </w:rPr>
        <w:t xml:space="preserve"> דברכה משמע שנתברך מקודם מאחר:</w:t>
      </w:r>
    </w:p>
  </w:footnote>
  <w:footnote w:id="831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למבני פלטרין.</w:t>
      </w:r>
      <w:r w:rsidRPr="00BD5E91">
        <w:rPr>
          <w:sz w:val="22"/>
          <w:szCs w:val="22"/>
          <w:rtl/>
        </w:rPr>
        <w:t xml:space="preserve"> כמ"ש למטה אבנה בית בינה:</w:t>
      </w:r>
    </w:p>
  </w:footnote>
  <w:footnote w:id="831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מבועא דמיא.</w:t>
      </w:r>
      <w:r w:rsidRPr="00BD5E91">
        <w:rPr>
          <w:sz w:val="22"/>
          <w:szCs w:val="22"/>
          <w:rtl/>
        </w:rPr>
        <w:t xml:space="preserve"> חכמה כמש"ו:</w:t>
      </w:r>
    </w:p>
  </w:footnote>
  <w:footnote w:id="831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בית.</w:t>
      </w:r>
      <w:r w:rsidRPr="00BD5E91">
        <w:rPr>
          <w:sz w:val="22"/>
          <w:szCs w:val="22"/>
          <w:rtl/>
        </w:rPr>
        <w:t xml:space="preserve"> בינה כמש"ו:</w:t>
      </w:r>
    </w:p>
  </w:footnote>
  <w:footnote w:id="831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יבנה.</w:t>
      </w:r>
      <w:r w:rsidRPr="00BD5E91">
        <w:rPr>
          <w:sz w:val="22"/>
          <w:szCs w:val="22"/>
          <w:rtl/>
        </w:rPr>
        <w:t xml:space="preserve"> אותיות בינה והוא בנין הנ"ל:</w:t>
      </w:r>
    </w:p>
  </w:footnote>
  <w:footnote w:id="832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בת י'.</w:t>
      </w:r>
      <w:r w:rsidRPr="00BD5E91">
        <w:rPr>
          <w:sz w:val="22"/>
          <w:szCs w:val="22"/>
          <w:rtl/>
        </w:rPr>
        <w:t xml:space="preserve"> שהוא חכמה:</w:t>
      </w:r>
    </w:p>
  </w:footnote>
  <w:footnote w:id="832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כל אתתא כו'.</w:t>
      </w:r>
      <w:r w:rsidRPr="00BD5E91">
        <w:rPr>
          <w:sz w:val="22"/>
          <w:szCs w:val="22"/>
          <w:rtl/>
        </w:rPr>
        <w:t xml:space="preserve"> כמ"ש (מגילה יג ע"א) לו לבת לבית:</w:t>
      </w:r>
    </w:p>
  </w:footnote>
  <w:footnote w:id="832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ובית זעירא.</w:t>
      </w:r>
      <w:r w:rsidRPr="00BD5E91">
        <w:rPr>
          <w:sz w:val="22"/>
          <w:szCs w:val="22"/>
          <w:rtl/>
        </w:rPr>
        <w:t xml:space="preserve"> מלכות:</w:t>
      </w:r>
    </w:p>
  </w:footnote>
  <w:footnote w:id="832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דהיינו תורה.</w:t>
      </w:r>
      <w:r w:rsidRPr="00BD5E91">
        <w:rPr>
          <w:sz w:val="22"/>
          <w:szCs w:val="22"/>
          <w:rtl/>
        </w:rPr>
        <w:t xml:space="preserve"> ר"ל בית הנ"ל נתמלאה והיא מתורה שנובלות חכמה תורה וז"ש (עירובין יח ע"ב) כל שאין נשמעין בו ד"ת בלילה כו':</w:t>
      </w:r>
    </w:p>
  </w:footnote>
  <w:footnote w:id="832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אתקריאת בת.</w:t>
      </w:r>
      <w:r w:rsidRPr="00BD5E91">
        <w:rPr>
          <w:sz w:val="22"/>
          <w:szCs w:val="22"/>
          <w:rtl/>
        </w:rPr>
        <w:t xml:space="preserve"> ר"ל ב"ת ת"ורה ר"ת בת:</w:t>
      </w:r>
    </w:p>
  </w:footnote>
  <w:footnote w:id="832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 י'.</w:t>
      </w:r>
      <w:r w:rsidRPr="00BD5E91">
        <w:rPr>
          <w:sz w:val="22"/>
          <w:szCs w:val="22"/>
          <w:rtl/>
        </w:rPr>
        <w:t xml:space="preserve"> שהוא אבן והוא שלם מכל סט':</w:t>
      </w:r>
    </w:p>
  </w:footnote>
  <w:footnote w:id="832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ודא י' זעירא כו'.</w:t>
      </w:r>
      <w:r w:rsidRPr="00BD5E91">
        <w:rPr>
          <w:sz w:val="22"/>
          <w:szCs w:val="22"/>
          <w:rtl/>
        </w:rPr>
        <w:t xml:space="preserve"> ר"ל חכמה של מלכות ובית דילה בינה של מלכות והוא בית שני וז"ש ואינון כו':</w:t>
      </w:r>
    </w:p>
  </w:footnote>
  <w:footnote w:id="832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ואינון י' י' כו'.</w:t>
      </w:r>
      <w:r w:rsidRPr="00BD5E91">
        <w:rPr>
          <w:sz w:val="22"/>
          <w:szCs w:val="22"/>
          <w:rtl/>
        </w:rPr>
        <w:t xml:space="preserve"> ר"ל החכמות הנ"ל:</w:t>
      </w:r>
    </w:p>
  </w:footnote>
  <w:footnote w:id="832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מאן אתברכת.</w:t>
      </w:r>
      <w:r w:rsidRPr="00BD5E91">
        <w:rPr>
          <w:sz w:val="22"/>
          <w:szCs w:val="22"/>
          <w:rtl/>
        </w:rPr>
        <w:t xml:space="preserve"> ר"ל מחכמה דברכה הוא מימינא בחכמה כמ"ש בתיקונים ברכה חכמה נחית בימינ' והיא כד אתברכת מחכמה נק' ברכת ה' כנ"ל:</w:t>
      </w:r>
    </w:p>
  </w:footnote>
  <w:footnote w:id="832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מן המלא כו'.</w:t>
      </w:r>
      <w:r w:rsidRPr="00BD5E91">
        <w:rPr>
          <w:sz w:val="22"/>
          <w:szCs w:val="22"/>
          <w:rtl/>
        </w:rPr>
        <w:t xml:space="preserve"> שחכמה הוא מלא שהוא מבועא דמיא והיא ברכה כמו בריכה שנתמלא מן המבועא וז"ש ברכה ל' בריכה מלא גי' י"ד אתוון דשמא מפ' שהוא בחכמה:</w:t>
      </w:r>
    </w:p>
  </w:footnote>
  <w:footnote w:id="833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ותמן.</w:t>
      </w:r>
      <w:r w:rsidRPr="00BD5E91">
        <w:rPr>
          <w:sz w:val="22"/>
          <w:szCs w:val="22"/>
          <w:rtl/>
        </w:rPr>
        <w:t xml:space="preserve"> בתוך הברכה שהוא הבריכה שמשקין ממנה שדות כידוע וממנה אתשקיין זו"נ וז"ש ים ודרום ירשה ים מלכות כידוע ודרום עד"א כמ"ש בזוהר במדבר בד' רוחות שדרום הוא עד"א ומערב מלכות וזהו ים ודרום ירש"ה יורשין את ה' בינה כמ"ש בזוהר עטרין דאחסינו לברא כו' וז"ש (ברכות נא ע"א) כל המברך על כוס מלא יורש שני עולמים העה"ז והעה"ב שנא' ומלא ברכת כו' שמלכות היא העה"ז ועד"א העה"ב כמ"ש לקמן והוא ים כו' כנ"ל וכאן כל הד' אתוון של השם ומלא י' ברכת ה' ים ה' ודרום ו':</w:t>
      </w:r>
    </w:p>
  </w:footnote>
  <w:footnote w:id="833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אמר מלכא כו' אילנא כו'.</w:t>
      </w:r>
      <w:r w:rsidRPr="00BD5E91">
        <w:rPr>
          <w:sz w:val="22"/>
          <w:szCs w:val="22"/>
          <w:rtl/>
        </w:rPr>
        <w:t xml:space="preserve"> ר"ל עד"א וכן מלכות כמש"ו בנות בכלל בנים ור"ל זהו ים ודרום ירשה כנ"ל:</w:t>
      </w:r>
    </w:p>
  </w:footnote>
  <w:footnote w:id="833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ואבא דאיהו.</w:t>
      </w:r>
      <w:r w:rsidRPr="00BD5E91">
        <w:rPr>
          <w:sz w:val="22"/>
          <w:szCs w:val="22"/>
          <w:rtl/>
        </w:rPr>
        <w:t xml:space="preserve"> ל"ג ור"א קרא לאביו ר"ש אבא ושאל ממנו:</w:t>
      </w:r>
    </w:p>
  </w:footnote>
  <w:footnote w:id="833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ודא צדיק.</w:t>
      </w:r>
      <w:r w:rsidRPr="00BD5E91">
        <w:rPr>
          <w:sz w:val="22"/>
          <w:szCs w:val="22"/>
          <w:rtl/>
        </w:rPr>
        <w:t xml:space="preserve"> שנק' ברוך כמש"ו:</w:t>
      </w:r>
    </w:p>
  </w:footnote>
  <w:footnote w:id="833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ודא שלום.</w:t>
      </w:r>
      <w:r w:rsidRPr="00BD5E91">
        <w:rPr>
          <w:sz w:val="22"/>
          <w:szCs w:val="22"/>
          <w:rtl/>
        </w:rPr>
        <w:t xml:space="preserve"> כמ"ש (במדבר כה יב) ברית שלום ור"ל ששלמה בדרגא דצדיק והוא צדיק כתר דילה שאות ברית חכמה די להי' זעירא:</w:t>
      </w:r>
      <w:r w:rsidRPr="00BD5E91">
        <w:rPr>
          <w:b/>
          <w:bCs/>
          <w:sz w:val="22"/>
          <w:szCs w:val="22"/>
          <w:rtl/>
        </w:rPr>
        <w:t xml:space="preserve"> </w:t>
      </w:r>
    </w:p>
  </w:footnote>
  <w:footnote w:id="833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ח"י ברכאין. </w:t>
      </w:r>
      <w:r w:rsidRPr="00BD5E91">
        <w:rPr>
          <w:sz w:val="22"/>
          <w:szCs w:val="22"/>
          <w:rtl/>
        </w:rPr>
        <w:t>ר"ל שברכות בו כנ"ל:</w:t>
      </w:r>
    </w:p>
  </w:footnote>
  <w:footnote w:id="833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צריך למיכרע כו'.</w:t>
      </w:r>
      <w:r w:rsidRPr="00BD5E91">
        <w:rPr>
          <w:sz w:val="22"/>
          <w:szCs w:val="22"/>
          <w:rtl/>
        </w:rPr>
        <w:t xml:space="preserve"> ליפול לרגליו כמש"ל:</w:t>
      </w:r>
    </w:p>
  </w:footnote>
  <w:footnote w:id="833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וברכן דיליה.</w:t>
      </w:r>
      <w:r w:rsidRPr="00BD5E91">
        <w:rPr>
          <w:sz w:val="22"/>
          <w:szCs w:val="22"/>
          <w:rtl/>
        </w:rPr>
        <w:t xml:space="preserve"> ר"ל של צדיק:</w:t>
      </w:r>
    </w:p>
  </w:footnote>
  <w:footnote w:id="833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והיינו כו'.</w:t>
      </w:r>
      <w:r w:rsidRPr="00BD5E91">
        <w:rPr>
          <w:sz w:val="22"/>
          <w:szCs w:val="22"/>
          <w:rtl/>
        </w:rPr>
        <w:t xml:space="preserve"> ר"ל ביתך הוא נוקבא כנ"ל:</w:t>
      </w:r>
    </w:p>
  </w:footnote>
  <w:footnote w:id="833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ת"ח כו'.</w:t>
      </w:r>
      <w:r w:rsidRPr="00BD5E91">
        <w:rPr>
          <w:sz w:val="22"/>
          <w:szCs w:val="22"/>
          <w:rtl/>
        </w:rPr>
        <w:t xml:space="preserve"> ר"ל ששכינה נק' בת וכנ"ל:</w:t>
      </w:r>
    </w:p>
  </w:footnote>
  <w:footnote w:id="834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אית דאתקריאת כו'.</w:t>
      </w:r>
      <w:r w:rsidRPr="00BD5E91">
        <w:rPr>
          <w:sz w:val="22"/>
          <w:szCs w:val="22"/>
          <w:rtl/>
        </w:rPr>
        <w:t xml:space="preserve"> כמש"ל ע"ד בבי"ע:</w:t>
      </w:r>
    </w:p>
  </w:footnote>
  <w:footnote w:id="834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הכי כו'.</w:t>
      </w:r>
      <w:r w:rsidRPr="00BD5E91">
        <w:rPr>
          <w:sz w:val="22"/>
          <w:szCs w:val="22"/>
          <w:rtl/>
        </w:rPr>
        <w:t xml:space="preserve"> ר"ל בדכורא:</w:t>
      </w:r>
    </w:p>
  </w:footnote>
  <w:footnote w:id="834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ואית איש דאתמר ביה והאיש כו'.</w:t>
      </w:r>
      <w:r w:rsidRPr="00BD5E91">
        <w:rPr>
          <w:sz w:val="22"/>
          <w:szCs w:val="22"/>
          <w:rtl/>
        </w:rPr>
        <w:t xml:space="preserve"> ר"ל ביצירה:</w:t>
      </w:r>
    </w:p>
  </w:footnote>
  <w:footnote w:id="834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לאחר.</w:t>
      </w:r>
      <w:r w:rsidRPr="00BD5E91">
        <w:rPr>
          <w:sz w:val="22"/>
          <w:szCs w:val="22"/>
          <w:rtl/>
        </w:rPr>
        <w:t xml:space="preserve"> לאל אחר:</w:t>
      </w:r>
    </w:p>
  </w:footnote>
  <w:footnote w:id="834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והארץ.</w:t>
      </w:r>
      <w:r w:rsidRPr="00BD5E91">
        <w:rPr>
          <w:sz w:val="22"/>
          <w:szCs w:val="22"/>
          <w:rtl/>
        </w:rPr>
        <w:t xml:space="preserve"> גוף שהוא מארץ:</w:t>
      </w:r>
    </w:p>
  </w:footnote>
  <w:footnote w:id="834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לצמיתות.</w:t>
      </w:r>
      <w:r w:rsidRPr="00BD5E91">
        <w:rPr>
          <w:sz w:val="22"/>
          <w:szCs w:val="22"/>
          <w:rtl/>
        </w:rPr>
        <w:t xml:space="preserve"> ר"ל לחלוטין מצורע מוחלט שהן יכרתו כמ"ש והארץ כבגד תבלה בס"א כידוע וזהו לצמיתות:</w:t>
      </w:r>
    </w:p>
  </w:footnote>
  <w:footnote w:id="834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איהו אמה.</w:t>
      </w:r>
      <w:r w:rsidRPr="00BD5E91">
        <w:rPr>
          <w:sz w:val="22"/>
          <w:szCs w:val="22"/>
          <w:rtl/>
        </w:rPr>
        <w:t xml:space="preserve"> אע"ג דמט"ט הוא עבד לפי שדבר בגוף שהוא נוק' אמר אמה:</w:t>
      </w:r>
    </w:p>
  </w:footnote>
  <w:footnote w:id="834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תמן בגלגולא.</w:t>
      </w:r>
      <w:r w:rsidRPr="00BD5E91">
        <w:rPr>
          <w:sz w:val="22"/>
          <w:szCs w:val="22"/>
          <w:rtl/>
        </w:rPr>
        <w:t xml:space="preserve"> דגלגוליה הוא במט"ט כנ"ל:</w:t>
      </w:r>
    </w:p>
  </w:footnote>
  <w:footnote w:id="834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דאתיא בגלגולא בגין כו'.</w:t>
      </w:r>
      <w:r w:rsidRPr="00BD5E91">
        <w:rPr>
          <w:sz w:val="22"/>
          <w:szCs w:val="22"/>
          <w:rtl/>
        </w:rPr>
        <w:t xml:space="preserve"> ר"ל שבאה הנשמה בגלגול בשביל דבר ידוע וז"ש. בגין דאתת תמן כו':</w:t>
      </w:r>
    </w:p>
  </w:footnote>
  <w:footnote w:id="834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כגוונא דאלין דנפקו במנוסה כו'.</w:t>
      </w:r>
      <w:r w:rsidRPr="00BD5E91">
        <w:rPr>
          <w:sz w:val="22"/>
          <w:szCs w:val="22"/>
          <w:rtl/>
        </w:rPr>
        <w:t xml:space="preserve"> שעדיין נשארו במט"ט כמ"ש בה"ת בסופו:</w:t>
      </w:r>
    </w:p>
  </w:footnote>
  <w:footnote w:id="835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אלין אינון אמה כו'.</w:t>
      </w:r>
      <w:r w:rsidRPr="00BD5E91">
        <w:rPr>
          <w:sz w:val="22"/>
          <w:szCs w:val="22"/>
          <w:rtl/>
        </w:rPr>
        <w:t xml:space="preserve"> כסדר בי"ע:</w:t>
      </w:r>
    </w:p>
  </w:footnote>
  <w:footnote w:id="835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נשמתא מסט' דאו"א.</w:t>
      </w:r>
      <w:r w:rsidRPr="00BD5E91">
        <w:rPr>
          <w:sz w:val="22"/>
          <w:szCs w:val="22"/>
          <w:rtl/>
        </w:rPr>
        <w:t xml:space="preserve"> וכוללת ג"כ יחידה מסט' דאבא כי הן ריעים דלא מתפרשן:</w:t>
      </w:r>
    </w:p>
  </w:footnote>
  <w:footnote w:id="835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מאן חיים כו'.</w:t>
      </w:r>
      <w:r w:rsidRPr="00BD5E91">
        <w:rPr>
          <w:sz w:val="22"/>
          <w:szCs w:val="22"/>
          <w:rtl/>
        </w:rPr>
        <w:t xml:space="preserve"> שהן חיי מלך כידוע מ"ב של בינה יקו"ק של חכמה גי' חיים כידוע:</w:t>
      </w:r>
    </w:p>
  </w:footnote>
  <w:footnote w:id="835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יהבין ליה יוד כו'.</w:t>
      </w:r>
      <w:r w:rsidRPr="00BD5E91">
        <w:rPr>
          <w:sz w:val="22"/>
          <w:szCs w:val="22"/>
          <w:rtl/>
        </w:rPr>
        <w:t xml:space="preserve"> יחידה מכתר שהוא אורח אצילות מלגאו:</w:t>
      </w:r>
    </w:p>
  </w:footnote>
  <w:footnote w:id="835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דאיהו אדם כו'.</w:t>
      </w:r>
      <w:r w:rsidRPr="00BD5E91">
        <w:rPr>
          <w:sz w:val="22"/>
          <w:szCs w:val="22"/>
          <w:rtl/>
        </w:rPr>
        <w:t xml:space="preserve"> שד' פרצופין הנ"ל הן ד' חיות של אצילות ד' אותיות הוי"ה פשוטה ומילואו שמא מפ' הוא אדם שעל החיות כידוע אע"ג שגם מלכות הוא אדם ע"ג חיות שבבריאה אבל באצילות אינו אלא כתר וז"ש דאיהו אדם באורח כו':</w:t>
      </w:r>
    </w:p>
  </w:footnote>
  <w:footnote w:id="835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ואיקרי כו' ועליה אתמר כו'.</w:t>
      </w:r>
      <w:r w:rsidRPr="00BD5E91">
        <w:rPr>
          <w:sz w:val="22"/>
          <w:szCs w:val="22"/>
          <w:rtl/>
        </w:rPr>
        <w:t xml:space="preserve"> ר"ל שעליו נאמר נעשה אדם בצלמנו וירדו בדגת כו' שהן כל העולמות כמש"ו:</w:t>
      </w:r>
    </w:p>
  </w:footnote>
  <w:footnote w:id="835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ובג"ד כד כו'.</w:t>
      </w:r>
      <w:r w:rsidRPr="00BD5E91">
        <w:rPr>
          <w:sz w:val="22"/>
          <w:szCs w:val="22"/>
          <w:rtl/>
        </w:rPr>
        <w:t xml:space="preserve"> חוזר למעלה שכ"ז אמר לפרש נפש דבת מלך:</w:t>
      </w:r>
    </w:p>
  </w:footnote>
  <w:footnote w:id="835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לא תצא כו'.</w:t>
      </w:r>
      <w:r w:rsidRPr="00BD5E91">
        <w:rPr>
          <w:sz w:val="22"/>
          <w:szCs w:val="22"/>
          <w:rtl/>
        </w:rPr>
        <w:t xml:space="preserve"> מהאי עלמא:</w:t>
      </w:r>
    </w:p>
  </w:footnote>
  <w:footnote w:id="835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ובאבוד כו'.</w:t>
      </w:r>
      <w:r w:rsidRPr="00BD5E91">
        <w:rPr>
          <w:sz w:val="22"/>
          <w:szCs w:val="22"/>
          <w:rtl/>
        </w:rPr>
        <w:t xml:space="preserve"> ר"ל כשיצאו מגלות:</w:t>
      </w:r>
    </w:p>
  </w:footnote>
  <w:footnote w:id="835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איהו הנר.</w:t>
      </w:r>
      <w:r w:rsidRPr="00BD5E91">
        <w:rPr>
          <w:sz w:val="22"/>
          <w:szCs w:val="22"/>
          <w:rtl/>
        </w:rPr>
        <w:t xml:space="preserve"> כמש"ו למטה:</w:t>
      </w:r>
    </w:p>
  </w:footnote>
  <w:footnote w:id="836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איהו נהר כו'.</w:t>
      </w:r>
      <w:r w:rsidRPr="00BD5E91">
        <w:rPr>
          <w:sz w:val="22"/>
          <w:szCs w:val="22"/>
          <w:rtl/>
        </w:rPr>
        <w:t xml:space="preserve"> ר"ל צדיק:</w:t>
      </w:r>
    </w:p>
  </w:footnote>
  <w:footnote w:id="836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ומאי ניהו כו'.</w:t>
      </w:r>
      <w:r w:rsidRPr="00BD5E91">
        <w:rPr>
          <w:sz w:val="22"/>
          <w:szCs w:val="22"/>
          <w:rtl/>
        </w:rPr>
        <w:t xml:space="preserve"> ר"ל היאך רמוז בנהר ואמר מצות כו' כחושבן נהר ר"ל במילואו נו"ן ה"א ר"ש והוא כחושבן ברית צדיק וג"כ תרי"ג כנ"ל שהוא כולל עד"א ומלכות שבהן מ"ע ומל"ת כידוע שלכן הוא עם הכולל תרי"ג:</w:t>
      </w:r>
    </w:p>
  </w:footnote>
  <w:footnote w:id="836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ואיהו הנר כו'.</w:t>
      </w:r>
      <w:r w:rsidRPr="00BD5E91">
        <w:rPr>
          <w:sz w:val="22"/>
          <w:szCs w:val="22"/>
          <w:rtl/>
        </w:rPr>
        <w:t xml:space="preserve"> שכל הדרת פנים ממנו כידוע ובו נר מצוה ותורה אור כנ"ל תרי"ג מצות נר כנ"ל:</w:t>
      </w:r>
      <w:r w:rsidRPr="00BD5E91">
        <w:rPr>
          <w:b/>
          <w:bCs/>
          <w:sz w:val="22"/>
          <w:szCs w:val="22"/>
          <w:rtl/>
        </w:rPr>
        <w:t xml:space="preserve"> </w:t>
      </w:r>
    </w:p>
  </w:footnote>
  <w:footnote w:id="836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דהטחול כו'. </w:t>
      </w:r>
      <w:r w:rsidRPr="00BD5E91">
        <w:rPr>
          <w:sz w:val="22"/>
          <w:szCs w:val="22"/>
          <w:rtl/>
        </w:rPr>
        <w:t>שהוא שחוק של הרשעים בעה"ז כידוע שהוא באבוד רשעים אז רנה כמש"ו ולכן אסור למלאות פיו שחוק בעה"ז בעוד שהטחול שוחק:</w:t>
      </w:r>
    </w:p>
  </w:footnote>
  <w:footnote w:id="836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ואז כו' נרה.</w:t>
      </w:r>
      <w:r w:rsidRPr="00BD5E91">
        <w:rPr>
          <w:sz w:val="22"/>
          <w:szCs w:val="22"/>
          <w:rtl/>
        </w:rPr>
        <w:t xml:space="preserve"> כמש"ו למטה והוא אותיות רנה:</w:t>
      </w:r>
    </w:p>
  </w:footnote>
  <w:footnote w:id="836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בגין דטעמה כו'.</w:t>
      </w:r>
      <w:r w:rsidRPr="00BD5E91">
        <w:rPr>
          <w:sz w:val="22"/>
          <w:szCs w:val="22"/>
          <w:rtl/>
        </w:rPr>
        <w:t xml:space="preserve"> בשביל התורה שהוא אור לא יכבה הנר וז"ש דטעמה כו' כמ"ש כי טוב סחרה מסחר כסף כו':</w:t>
      </w:r>
    </w:p>
  </w:footnote>
  <w:footnote w:id="836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היא הלב להב.</w:t>
      </w:r>
      <w:r w:rsidRPr="00BD5E91">
        <w:rPr>
          <w:sz w:val="22"/>
          <w:szCs w:val="22"/>
          <w:rtl/>
        </w:rPr>
        <w:t xml:space="preserve"> ר"ל ירושלים הוא הלב ובה להב המזבח לא תכבה כמש"ו:</w:t>
      </w:r>
    </w:p>
  </w:footnote>
  <w:footnote w:id="836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יכבה כחושבן להב.</w:t>
      </w:r>
      <w:r w:rsidRPr="00BD5E91">
        <w:rPr>
          <w:sz w:val="22"/>
          <w:szCs w:val="22"/>
          <w:rtl/>
        </w:rPr>
        <w:t xml:space="preserve"> שהוא זה לעומת זה:</w:t>
      </w:r>
    </w:p>
  </w:footnote>
  <w:footnote w:id="836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דאיהי גלותא.</w:t>
      </w:r>
      <w:r w:rsidRPr="00BD5E91">
        <w:rPr>
          <w:sz w:val="22"/>
          <w:szCs w:val="22"/>
          <w:rtl/>
        </w:rPr>
        <w:t xml:space="preserve"> ר"ל בלילה:</w:t>
      </w:r>
    </w:p>
  </w:footnote>
  <w:footnote w:id="836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ודא ירושלים.</w:t>
      </w:r>
      <w:r w:rsidRPr="00BD5E91">
        <w:rPr>
          <w:sz w:val="22"/>
          <w:szCs w:val="22"/>
          <w:rtl/>
        </w:rPr>
        <w:t xml:space="preserve"> ר"ל הלב שעלה רמוז לא תכבה:</w:t>
      </w:r>
    </w:p>
  </w:footnote>
  <w:footnote w:id="837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ואתבניאת כו'.</w:t>
      </w:r>
      <w:r w:rsidRPr="00BD5E91">
        <w:rPr>
          <w:sz w:val="22"/>
          <w:szCs w:val="22"/>
          <w:rtl/>
        </w:rPr>
        <w:t xml:space="preserve"> ר"ל שלא תכבה ותחרב לעולם. כמ"ש בנין הראשון ע"י שהיתה מעשה ב"א חרבה כמ"ש אם ה' לא יבנה בית שוא כו' אבל בנין לעתיד שיבנה ה' לא תחרב לעולם:</w:t>
      </w:r>
    </w:p>
  </w:footnote>
  <w:footnote w:id="837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ברית אש.</w:t>
      </w:r>
      <w:r w:rsidRPr="00BD5E91">
        <w:rPr>
          <w:sz w:val="22"/>
          <w:szCs w:val="22"/>
          <w:rtl/>
        </w:rPr>
        <w:t xml:space="preserve"> ר"ל אותיות בראשית שצדיק נטיל לשמאלא וברית הוא י' עם אש הוא איש ונוק' עם ה' נעשית אשה כידוע:</w:t>
      </w:r>
    </w:p>
  </w:footnote>
  <w:footnote w:id="837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אר"א כו'.</w:t>
      </w:r>
      <w:r w:rsidRPr="00BD5E91">
        <w:rPr>
          <w:sz w:val="22"/>
          <w:szCs w:val="22"/>
          <w:rtl/>
        </w:rPr>
        <w:t xml:space="preserve"> ר"ל והארץ היתה תהו כו' רומז אל קליפין דערלה. וזהו במאנא דעפרא והארץ כו':</w:t>
      </w:r>
    </w:p>
  </w:footnote>
  <w:footnote w:id="837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לא תן אף.</w:t>
      </w:r>
      <w:r w:rsidRPr="00BD5E91">
        <w:rPr>
          <w:sz w:val="22"/>
          <w:szCs w:val="22"/>
          <w:rtl/>
        </w:rPr>
        <w:t xml:space="preserve"> אותיות תנאף ור"ל שנחש הוא נוק' דממונה על ניאופי' ע"כ לא תתן לה מקום והוא אף דד' קליפין:</w:t>
      </w:r>
    </w:p>
  </w:footnote>
  <w:footnote w:id="837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כלבא כו'.</w:t>
      </w:r>
      <w:r w:rsidRPr="00BD5E91">
        <w:rPr>
          <w:sz w:val="22"/>
          <w:szCs w:val="22"/>
          <w:rtl/>
        </w:rPr>
        <w:t xml:space="preserve"> הוא הממונה על הרציחה וכלב ונחש הן שור וחמור ב' משמרות של הלילה כידוע ימינא ושמאלא:</w:t>
      </w:r>
    </w:p>
  </w:footnote>
  <w:footnote w:id="837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וכולא לבר.</w:t>
      </w:r>
      <w:r w:rsidRPr="00BD5E91">
        <w:rPr>
          <w:sz w:val="22"/>
          <w:szCs w:val="22"/>
          <w:rtl/>
        </w:rPr>
        <w:t xml:space="preserve"> ר"ל לאחר שינטל מאדם שלא יהיו אחיזה באדם והן התנינים שחד בעפרא וחד במיהא כמ"ש בזוהר ע"ש:</w:t>
      </w:r>
    </w:p>
  </w:footnote>
  <w:footnote w:id="837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מחרבא כו' </w:t>
      </w:r>
      <w:r w:rsidRPr="00BD5E91">
        <w:rPr>
          <w:sz w:val="22"/>
          <w:szCs w:val="22"/>
          <w:rtl/>
        </w:rPr>
        <w:t xml:space="preserve">(נראה שצ"ל </w:t>
      </w:r>
      <w:r w:rsidRPr="00BD5E91">
        <w:rPr>
          <w:b/>
          <w:bCs/>
          <w:sz w:val="22"/>
          <w:szCs w:val="22"/>
          <w:rtl/>
        </w:rPr>
        <w:t>מחיבוט.</w:t>
      </w:r>
      <w:r w:rsidRPr="00BD5E91">
        <w:rPr>
          <w:sz w:val="22"/>
          <w:szCs w:val="22"/>
          <w:rtl/>
        </w:rPr>
        <w:t xml:space="preserve"> המעתיק) </w:t>
      </w:r>
      <w:r w:rsidRPr="00BD5E91">
        <w:rPr>
          <w:b/>
          <w:bCs/>
          <w:sz w:val="22"/>
          <w:szCs w:val="22"/>
          <w:rtl/>
        </w:rPr>
        <w:t>ומחרבא כו'.</w:t>
      </w:r>
      <w:r w:rsidRPr="00BD5E91">
        <w:rPr>
          <w:sz w:val="22"/>
          <w:szCs w:val="22"/>
          <w:rtl/>
        </w:rPr>
        <w:t xml:space="preserve"> שחיבוט הקבר בעפרא וחרבא:</w:t>
      </w:r>
    </w:p>
  </w:footnote>
  <w:footnote w:id="837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בגין דלא תעשה כו'.</w:t>
      </w:r>
      <w:r w:rsidRPr="00BD5E91">
        <w:rPr>
          <w:sz w:val="22"/>
          <w:szCs w:val="22"/>
          <w:rtl/>
        </w:rPr>
        <w:t xml:space="preserve"> ר"ל בנו משפחה וכותית שלא יתן בו אות ברית שהוא מאבן: קדשה קדל כמ"ש בתיקונים:</w:t>
      </w:r>
    </w:p>
  </w:footnote>
  <w:footnote w:id="837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כלומר מחלל שבת.</w:t>
      </w:r>
      <w:r w:rsidRPr="00BD5E91">
        <w:rPr>
          <w:sz w:val="22"/>
          <w:szCs w:val="22"/>
          <w:rtl/>
        </w:rPr>
        <w:t xml:space="preserve"> ר"ל שאם מל אותו בשבת מחלל שבת כמ"ש ברבה (פ' בראשית):</w:t>
      </w:r>
    </w:p>
  </w:footnote>
  <w:footnote w:id="837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בקדושה כו'.</w:t>
      </w:r>
      <w:r w:rsidRPr="00BD5E91">
        <w:rPr>
          <w:sz w:val="22"/>
          <w:szCs w:val="22"/>
          <w:rtl/>
        </w:rPr>
        <w:t xml:space="preserve"> שהן ג' דרגין מילה ופריעה ואטיפו דדמא כלולין בשתים:</w:t>
      </w:r>
    </w:p>
  </w:footnote>
  <w:footnote w:id="838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שריא בהו י"ק כו'.</w:t>
      </w:r>
      <w:r w:rsidRPr="00BD5E91">
        <w:rPr>
          <w:sz w:val="22"/>
          <w:szCs w:val="22"/>
          <w:rtl/>
        </w:rPr>
        <w:t xml:space="preserve"> שי"ה בדכורא ו"ה בנוק' כמ"ש "ישמחו "השמים דכורא "ותגל "הארץ נוק':</w:t>
      </w:r>
    </w:p>
  </w:footnote>
  <w:footnote w:id="838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מי יעלה כו'.</w:t>
      </w:r>
      <w:r w:rsidRPr="00BD5E91">
        <w:rPr>
          <w:sz w:val="22"/>
          <w:szCs w:val="22"/>
          <w:rtl/>
        </w:rPr>
        <w:t xml:space="preserve"> ר"ת מיל"ה:</w:t>
      </w:r>
    </w:p>
  </w:footnote>
  <w:footnote w:id="838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כמו מי יעלה כו'.</w:t>
      </w:r>
      <w:r w:rsidRPr="00BD5E91">
        <w:rPr>
          <w:sz w:val="22"/>
          <w:szCs w:val="22"/>
          <w:rtl/>
        </w:rPr>
        <w:t xml:space="preserve"> ר"ל מי יעלה לנו השמימה שע"י מילה יעלה להר קדשו לג"ע לצרור בצרור החיים ומביא ראיה מזה הפסוק מי יעלה בהר כו':</w:t>
      </w:r>
    </w:p>
  </w:footnote>
  <w:footnote w:id="838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נפשו ההוא כו'.</w:t>
      </w:r>
      <w:r w:rsidRPr="00BD5E91">
        <w:rPr>
          <w:sz w:val="22"/>
          <w:szCs w:val="22"/>
          <w:rtl/>
        </w:rPr>
        <w:t xml:space="preserve"> ר"ל שנאמר אשר לא נשא נפשו ומפ' נפשו הוא שכינה כמו (עמוס ו ח) נשבע כו' והוא אשר מל ופרע שנפש המילה שכינה אינה בשוא ערלה ונטר אותה:</w:t>
      </w:r>
      <w:r w:rsidRPr="00BD5E91">
        <w:rPr>
          <w:b/>
          <w:bCs/>
          <w:sz w:val="22"/>
          <w:szCs w:val="22"/>
          <w:rtl/>
        </w:rPr>
        <w:t xml:space="preserve"> </w:t>
      </w:r>
    </w:p>
  </w:footnote>
  <w:footnote w:id="838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ועליה אתמר כו'. </w:t>
      </w:r>
      <w:r w:rsidRPr="00BD5E91">
        <w:rPr>
          <w:sz w:val="22"/>
          <w:szCs w:val="22"/>
          <w:rtl/>
        </w:rPr>
        <w:t>ר"ל על המילה שבכל המצות אינו דבק בשם ובמילה דבק בשרו בשם כנ"ל באתר דפריעה כו':</w:t>
      </w:r>
    </w:p>
  </w:footnote>
  <w:footnote w:id="838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חיים כו'.</w:t>
      </w:r>
      <w:r w:rsidRPr="00BD5E91">
        <w:rPr>
          <w:sz w:val="22"/>
          <w:szCs w:val="22"/>
          <w:rtl/>
        </w:rPr>
        <w:t xml:space="preserve"> שהוא אל חי אילנא דחיי:</w:t>
      </w:r>
    </w:p>
  </w:footnote>
  <w:footnote w:id="838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כד ברא כלהו עלמין ברזא כו'.</w:t>
      </w:r>
      <w:r w:rsidRPr="00BD5E91">
        <w:rPr>
          <w:sz w:val="22"/>
          <w:szCs w:val="22"/>
          <w:rtl/>
        </w:rPr>
        <w:t xml:space="preserve"> ר"ל זהו (ישעיהו מג ז) הנקרא בשמי כו' בראתיו כו'. כל העולמות בי"ע. בשמי הוא אצילות והן שמא קדישא ד' אותיות ד' עולמות כידוע:</w:t>
      </w:r>
    </w:p>
  </w:footnote>
  <w:footnote w:id="838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וברא עלמא כו'.</w:t>
      </w:r>
      <w:r w:rsidRPr="00BD5E91">
        <w:rPr>
          <w:sz w:val="22"/>
          <w:szCs w:val="22"/>
          <w:rtl/>
        </w:rPr>
        <w:t xml:space="preserve"> שעלמא עילאה עד"א נברא באבא יוד ועלמא תתאה מלכות נברא בה' בינה כמש"ל וכן הוא בעה"ז ועה"ב בעולמות התחתונים:</w:t>
      </w:r>
    </w:p>
  </w:footnote>
  <w:footnote w:id="838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דהאי עלמא תתאה.</w:t>
      </w:r>
      <w:r w:rsidRPr="00BD5E91">
        <w:rPr>
          <w:sz w:val="22"/>
          <w:szCs w:val="22"/>
          <w:rtl/>
        </w:rPr>
        <w:t xml:space="preserve"> ר"ל של עולם הזה עולם השפל שאנחנו בו:</w:t>
      </w:r>
    </w:p>
  </w:footnote>
  <w:footnote w:id="8389">
    <w:p w:rsidR="00007309" w:rsidRPr="00BD5E91" w:rsidRDefault="00007309" w:rsidP="00007309">
      <w:pPr>
        <w:jc w:val="both"/>
        <w:rPr>
          <w:rFonts w:cs="Arial"/>
          <w:sz w:val="22"/>
          <w:szCs w:val="22"/>
          <w:rtl/>
        </w:rPr>
      </w:pPr>
      <w:r w:rsidRPr="00BD5E91">
        <w:rPr>
          <w:rStyle w:val="a7"/>
          <w:rFonts w:cs="Arial"/>
          <w:sz w:val="22"/>
          <w:szCs w:val="22"/>
          <w:rtl/>
        </w:rPr>
        <w:footnoteRef/>
      </w:r>
      <w:r w:rsidRPr="00BD5E91">
        <w:rPr>
          <w:rFonts w:cs="Arial"/>
          <w:sz w:val="22"/>
          <w:szCs w:val="22"/>
          <w:rtl/>
        </w:rPr>
        <w:t xml:space="preserve"> </w:t>
      </w:r>
      <w:r w:rsidRPr="00BD5E91">
        <w:rPr>
          <w:rFonts w:cs="Arial"/>
          <w:b/>
          <w:bCs/>
          <w:sz w:val="22"/>
          <w:szCs w:val="22"/>
          <w:rtl/>
        </w:rPr>
        <w:t>מזונא דלעילא.</w:t>
      </w:r>
      <w:r w:rsidRPr="00BD5E91">
        <w:rPr>
          <w:rFonts w:cs="Arial"/>
          <w:sz w:val="22"/>
          <w:szCs w:val="22"/>
          <w:rtl/>
        </w:rPr>
        <w:t xml:space="preserve"> בנ"י כתוב ממנא דלעילא והוא רזין דאורייתא כמש"ו שהוא טלא דבדולחא (במדבר יא ז-ט) כעין הבדולח וברדת הטל כו' מס' חכמה שלכן אמרו </w:t>
      </w:r>
      <w:r>
        <w:rPr>
          <w:rFonts w:cs="Arial" w:hint="cs"/>
          <w:sz w:val="22"/>
          <w:szCs w:val="22"/>
          <w:rtl/>
        </w:rPr>
        <w:t xml:space="preserve">(תנחומא בשלח פ' כ) </w:t>
      </w:r>
      <w:r w:rsidRPr="00BD5E91">
        <w:rPr>
          <w:rFonts w:cs="Arial"/>
          <w:sz w:val="22"/>
          <w:szCs w:val="22"/>
          <w:rtl/>
        </w:rPr>
        <w:t>לא ניתן תורה אלא לאוכלי המן:</w:t>
      </w:r>
    </w:p>
  </w:footnote>
  <w:footnote w:id="839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לישנא דדירה.</w:t>
      </w:r>
      <w:r w:rsidRPr="00BD5E91">
        <w:rPr>
          <w:sz w:val="22"/>
          <w:szCs w:val="22"/>
          <w:rtl/>
        </w:rPr>
        <w:t xml:space="preserve"> כמ"ש לדרתם חסר כו':</w:t>
      </w:r>
    </w:p>
  </w:footnote>
  <w:footnote w:id="839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עם בת זוגיה.</w:t>
      </w:r>
      <w:r w:rsidRPr="00BD5E91">
        <w:rPr>
          <w:sz w:val="22"/>
          <w:szCs w:val="22"/>
          <w:rtl/>
        </w:rPr>
        <w:t xml:space="preserve"> ר"ל נפש בת זוגיה של הרוח:</w:t>
      </w:r>
    </w:p>
  </w:footnote>
  <w:footnote w:id="839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למפרד כו'.</w:t>
      </w:r>
      <w:r w:rsidRPr="00BD5E91">
        <w:rPr>
          <w:sz w:val="22"/>
          <w:szCs w:val="22"/>
          <w:rtl/>
        </w:rPr>
        <w:t xml:space="preserve"> שידוע שהוא בין אחים יפריד בין דכר לנוק' ויסלק הנפש לגבי רוח:</w:t>
      </w:r>
    </w:p>
  </w:footnote>
  <w:footnote w:id="839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בן כו'.</w:t>
      </w:r>
      <w:r w:rsidRPr="00BD5E91">
        <w:rPr>
          <w:sz w:val="22"/>
          <w:szCs w:val="22"/>
          <w:rtl/>
        </w:rPr>
        <w:t xml:space="preserve"> שע"י נתבנה כמש"ל בדף הקודם:</w:t>
      </w:r>
    </w:p>
  </w:footnote>
  <w:footnote w:id="839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מאי בהמה לעילא אלא דא כו'.</w:t>
      </w:r>
      <w:r w:rsidRPr="00BD5E91">
        <w:rPr>
          <w:sz w:val="22"/>
          <w:szCs w:val="22"/>
          <w:rtl/>
        </w:rPr>
        <w:t xml:space="preserve"> ר"ל בהמה בינה שבינה נקרא שור עילאה שהיא גבורה עילאה בצפון כידוע. ועוף עד"א עוף השמים. במזבח מלכות כידוע:</w:t>
      </w:r>
    </w:p>
  </w:footnote>
  <w:footnote w:id="839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שור עילאה.</w:t>
      </w:r>
      <w:r w:rsidRPr="00BD5E91">
        <w:rPr>
          <w:sz w:val="22"/>
          <w:szCs w:val="22"/>
          <w:rtl/>
        </w:rPr>
        <w:t xml:space="preserve"> גבורה הוא שור ששם הקרבנות בצפון:</w:t>
      </w:r>
    </w:p>
  </w:footnote>
  <w:footnote w:id="839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אדם עילאה.</w:t>
      </w:r>
      <w:r w:rsidRPr="00BD5E91">
        <w:rPr>
          <w:sz w:val="22"/>
          <w:szCs w:val="22"/>
          <w:rtl/>
        </w:rPr>
        <w:t xml:space="preserve"> חכמה כמ"ש (שבת כח ע"ב) שור שהקריב אדה"ר כו' שנאמר ותיטב לה' משור פר מקרין מפריס ואדה"ר הוא חכמה כידוע:</w:t>
      </w:r>
    </w:p>
  </w:footnote>
  <w:footnote w:id="839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מפריס.</w:t>
      </w:r>
      <w:r w:rsidRPr="00BD5E91">
        <w:rPr>
          <w:sz w:val="22"/>
          <w:szCs w:val="22"/>
          <w:rtl/>
        </w:rPr>
        <w:t xml:space="preserve"> דשם הפרסות כמ"ש דגבריאל אתהדר רגלוי לשני טלפין:</w:t>
      </w:r>
    </w:p>
  </w:footnote>
  <w:footnote w:id="839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ואוקמוה כו'.</w:t>
      </w:r>
      <w:r w:rsidRPr="00BD5E91">
        <w:rPr>
          <w:sz w:val="22"/>
          <w:szCs w:val="22"/>
          <w:rtl/>
        </w:rPr>
        <w:t xml:space="preserve"> בגמ' הנ"ל</w:t>
      </w:r>
      <w:r>
        <w:rPr>
          <w:rFonts w:hint="cs"/>
          <w:sz w:val="22"/>
          <w:szCs w:val="22"/>
          <w:rtl/>
        </w:rPr>
        <w:t xml:space="preserve"> (שבת כח ע"ב)</w:t>
      </w:r>
      <w:r w:rsidRPr="00BD5E91">
        <w:rPr>
          <w:sz w:val="22"/>
          <w:szCs w:val="22"/>
          <w:rtl/>
        </w:rPr>
        <w:t>:</w:t>
      </w:r>
    </w:p>
  </w:footnote>
  <w:footnote w:id="839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דמיניה קרן.</w:t>
      </w:r>
      <w:r w:rsidRPr="00BD5E91">
        <w:rPr>
          <w:sz w:val="22"/>
          <w:szCs w:val="22"/>
          <w:rtl/>
        </w:rPr>
        <w:t xml:space="preserve"> ר"ל לשון קרן מנ' שערי בינה שלמד והוא וא"ו עד"א שבבינה בן י"ה וז"ש עם ו' אתעביד כו':</w:t>
      </w:r>
    </w:p>
  </w:footnote>
  <w:footnote w:id="840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שור דא כו'.</w:t>
      </w:r>
      <w:r w:rsidRPr="00BD5E91">
        <w:rPr>
          <w:sz w:val="22"/>
          <w:szCs w:val="22"/>
          <w:rtl/>
        </w:rPr>
        <w:t xml:space="preserve"> כמ"ש משור פר:</w:t>
      </w:r>
    </w:p>
  </w:footnote>
  <w:footnote w:id="840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פר איהו כו'.</w:t>
      </w:r>
      <w:r w:rsidRPr="00BD5E91">
        <w:rPr>
          <w:sz w:val="22"/>
          <w:szCs w:val="22"/>
          <w:rtl/>
        </w:rPr>
        <w:t xml:space="preserve"> </w:t>
      </w:r>
      <w:r>
        <w:rPr>
          <w:rFonts w:hint="cs"/>
          <w:sz w:val="22"/>
          <w:szCs w:val="22"/>
          <w:rtl/>
        </w:rPr>
        <w:t>פ</w:t>
      </w:r>
      <w:r w:rsidRPr="00BD5E91">
        <w:rPr>
          <w:sz w:val="22"/>
          <w:szCs w:val="22"/>
          <w:rtl/>
        </w:rPr>
        <w:t>"ר גבורות מנצפך בסוד יער:</w:t>
      </w:r>
    </w:p>
  </w:footnote>
  <w:footnote w:id="840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רחמי סליחה.</w:t>
      </w:r>
      <w:r w:rsidRPr="00BD5E91">
        <w:rPr>
          <w:sz w:val="22"/>
          <w:szCs w:val="22"/>
          <w:rtl/>
        </w:rPr>
        <w:t xml:space="preserve"> ר"ל ביום כפור כמש"ו:</w:t>
      </w:r>
    </w:p>
  </w:footnote>
  <w:footnote w:id="840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איקרי צום כפור.</w:t>
      </w:r>
      <w:r w:rsidRPr="00BD5E91">
        <w:rPr>
          <w:sz w:val="22"/>
          <w:szCs w:val="22"/>
          <w:rtl/>
        </w:rPr>
        <w:t xml:space="preserve"> ר"ל יום הכפורים נק' ע"ש כמש"ו:</w:t>
      </w:r>
    </w:p>
  </w:footnote>
  <w:footnote w:id="840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כתר מלכות.</w:t>
      </w:r>
      <w:r w:rsidRPr="00BD5E91">
        <w:rPr>
          <w:sz w:val="22"/>
          <w:szCs w:val="22"/>
          <w:rtl/>
        </w:rPr>
        <w:t xml:space="preserve"> ר"ל בינה נק' כתר מלכות שנעשית לה כתר כמש"ו וזהו כפור (פר מלכות דינא שהיא אתנטיל' מגבורה</w:t>
      </w:r>
      <w:r>
        <w:rPr>
          <w:rFonts w:hint="cs"/>
          <w:sz w:val="22"/>
          <w:szCs w:val="22"/>
          <w:rtl/>
        </w:rPr>
        <w:t>,</w:t>
      </w:r>
      <w:r w:rsidRPr="00BD5E91">
        <w:rPr>
          <w:sz w:val="22"/>
          <w:szCs w:val="22"/>
          <w:rtl/>
        </w:rPr>
        <w:t xml:space="preserve"> ו' עד"א רחמי</w:t>
      </w:r>
      <w:r>
        <w:rPr>
          <w:rFonts w:hint="cs"/>
          <w:sz w:val="22"/>
          <w:szCs w:val="22"/>
          <w:rtl/>
        </w:rPr>
        <w:t>,</w:t>
      </w:r>
      <w:r w:rsidRPr="00BD5E91">
        <w:rPr>
          <w:sz w:val="22"/>
          <w:szCs w:val="22"/>
          <w:rtl/>
        </w:rPr>
        <w:t xml:space="preserve"> כ' בינה). וזהו ג"כ שופר ש' בינה כידוע והוא ש' של תשובה כידוע לכן הוא מעורר על התשובה ומעורר רחמים:</w:t>
      </w:r>
    </w:p>
  </w:footnote>
  <w:footnote w:id="840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לית שכינתא כו'.</w:t>
      </w:r>
      <w:r w:rsidRPr="00BD5E91">
        <w:rPr>
          <w:sz w:val="22"/>
          <w:szCs w:val="22"/>
          <w:rtl/>
        </w:rPr>
        <w:t xml:space="preserve"> כמו שהוא בכל עולם כמ"ש לעיל:</w:t>
      </w:r>
    </w:p>
  </w:footnote>
  <w:footnote w:id="840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ומלכות אתקריאת צום כפור.</w:t>
      </w:r>
      <w:r w:rsidRPr="00BD5E91">
        <w:rPr>
          <w:sz w:val="22"/>
          <w:szCs w:val="22"/>
          <w:rtl/>
        </w:rPr>
        <w:t xml:space="preserve"> ר"ל בינה נקראת כפור פר נקראת דמינה דינין מתערין והיינו כשהיא לבדה ולא נגדא לתתא וכשהיא עם ו' עד"א פור רחמי וכשהיא עם מלכות ג"כ ונעשית כתר לה נקראת כפור ומלכות נקראת צום כפור:</w:t>
      </w:r>
    </w:p>
  </w:footnote>
  <w:footnote w:id="840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מסט' דאימא כו'.</w:t>
      </w:r>
      <w:r w:rsidRPr="00BD5E91">
        <w:rPr>
          <w:sz w:val="22"/>
          <w:szCs w:val="22"/>
          <w:rtl/>
        </w:rPr>
        <w:t xml:space="preserve"> חוזר לפרש צום ואוכל מתי נקראת:</w:t>
      </w:r>
    </w:p>
  </w:footnote>
  <w:footnote w:id="840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ההוא כו'.</w:t>
      </w:r>
      <w:r w:rsidRPr="00BD5E91">
        <w:rPr>
          <w:sz w:val="22"/>
          <w:szCs w:val="22"/>
          <w:rtl/>
        </w:rPr>
        <w:t xml:space="preserve"> עד"א כמש"ו:</w:t>
      </w:r>
    </w:p>
  </w:footnote>
  <w:footnote w:id="840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 פתוחה.</w:t>
      </w:r>
      <w:r w:rsidRPr="00BD5E91">
        <w:rPr>
          <w:sz w:val="22"/>
          <w:szCs w:val="22"/>
          <w:rtl/>
        </w:rPr>
        <w:t xml:space="preserve"> עד"א כמ"ש (שבת קד ע"א) מאמר פתוח מאמר סתום ששם אין שאלה:</w:t>
      </w:r>
    </w:p>
  </w:footnote>
  <w:footnote w:id="841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אלא את ריח כו'.</w:t>
      </w:r>
      <w:r w:rsidRPr="00BD5E91">
        <w:rPr>
          <w:sz w:val="22"/>
          <w:szCs w:val="22"/>
          <w:rtl/>
        </w:rPr>
        <w:t xml:space="preserve"> ר"ל את הדבר שממנה בא הריח כמש"ו שושנה שכינה:</w:t>
      </w:r>
    </w:p>
  </w:footnote>
  <w:footnote w:id="841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שושנה אתפתח' כו'.</w:t>
      </w:r>
      <w:r w:rsidRPr="00BD5E91">
        <w:rPr>
          <w:sz w:val="22"/>
          <w:szCs w:val="22"/>
          <w:rtl/>
        </w:rPr>
        <w:t xml:space="preserve"> כמ"ש (שה"ש ה ב) פתחי לי אחותי כו':</w:t>
      </w:r>
    </w:p>
  </w:footnote>
  <w:footnote w:id="841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ויתעצב אל לבו.</w:t>
      </w:r>
      <w:r w:rsidRPr="00BD5E91">
        <w:rPr>
          <w:sz w:val="22"/>
          <w:szCs w:val="22"/>
          <w:rtl/>
        </w:rPr>
        <w:t xml:space="preserve"> כמש"ל ובן כסיל תוגת אמו:</w:t>
      </w:r>
    </w:p>
  </w:footnote>
  <w:footnote w:id="841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לארקא משחא כו'.</w:t>
      </w:r>
      <w:r w:rsidRPr="00BD5E91">
        <w:rPr>
          <w:sz w:val="22"/>
          <w:szCs w:val="22"/>
          <w:rtl/>
        </w:rPr>
        <w:t xml:space="preserve"> מאו"א ע"י ריח כנ"ל וזהו שמן וקטורת כו' קטורת דסליק מלמטה ושמן דנחית מאבא אל אימא דפגעין זה בזה כמ"ש בזוהר ישמח לב אימא ונחתין בשכינה תתאה כמו דסליק הריח ממנה:</w:t>
      </w:r>
    </w:p>
  </w:footnote>
  <w:footnote w:id="841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לריח שמניך.</w:t>
      </w:r>
      <w:r w:rsidRPr="00BD5E91">
        <w:rPr>
          <w:sz w:val="22"/>
          <w:szCs w:val="22"/>
          <w:rtl/>
        </w:rPr>
        <w:t xml:space="preserve"> ריח עם שמן כנ"ל שמן וקטורת. שמן תורק שמך כנ"ל לארקא משחא כו' בשכינתא וזהו שמך כמש"ל:</w:t>
      </w:r>
    </w:p>
  </w:footnote>
  <w:footnote w:id="841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מאי עלמות ח"י ע</w:t>
      </w:r>
      <w:r>
        <w:rPr>
          <w:rFonts w:hint="cs"/>
          <w:b/>
          <w:bCs/>
          <w:sz w:val="22"/>
          <w:szCs w:val="22"/>
          <w:rtl/>
        </w:rPr>
        <w:t>ו</w:t>
      </w:r>
      <w:r w:rsidRPr="00BD5E91">
        <w:rPr>
          <w:b/>
          <w:bCs/>
          <w:sz w:val="22"/>
          <w:szCs w:val="22"/>
          <w:rtl/>
        </w:rPr>
        <w:t>למ</w:t>
      </w:r>
      <w:r>
        <w:rPr>
          <w:rFonts w:hint="cs"/>
          <w:b/>
          <w:bCs/>
          <w:sz w:val="22"/>
          <w:szCs w:val="22"/>
          <w:rtl/>
        </w:rPr>
        <w:t>ות כו'</w:t>
      </w:r>
      <w:r w:rsidRPr="00BD5E91">
        <w:rPr>
          <w:b/>
          <w:bCs/>
          <w:sz w:val="22"/>
          <w:szCs w:val="22"/>
          <w:rtl/>
        </w:rPr>
        <w:t>.</w:t>
      </w:r>
      <w:r w:rsidRPr="00BD5E91">
        <w:rPr>
          <w:sz w:val="22"/>
          <w:szCs w:val="22"/>
          <w:rtl/>
        </w:rPr>
        <w:t xml:space="preserve"> ר"ל שאז מתעורר ח"י עלמין במשחא דנחית ביה כידוע וזהו אהבוך חסד בפום אמה במשחא הנ"ל:</w:t>
      </w:r>
    </w:p>
  </w:footnote>
  <w:footnote w:id="841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רכב אלקים כו'.</w:t>
      </w:r>
      <w:r w:rsidRPr="00BD5E91">
        <w:rPr>
          <w:sz w:val="22"/>
          <w:szCs w:val="22"/>
          <w:rtl/>
        </w:rPr>
        <w:t xml:space="preserve"> שאמרו (ע"ז ג ע"ב) אלפי שאינן כו':</w:t>
      </w:r>
    </w:p>
  </w:footnote>
  <w:footnote w:id="841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לההוא טמיר כו'.</w:t>
      </w:r>
      <w:r w:rsidRPr="00BD5E91">
        <w:rPr>
          <w:sz w:val="22"/>
          <w:szCs w:val="22"/>
          <w:rtl/>
        </w:rPr>
        <w:t xml:space="preserve"> עילת העילות ואמר טמיר וגניז ששני בחינות בכתר מופלא ומכוסה שבהן טמיר וגניז כידוע:</w:t>
      </w:r>
    </w:p>
  </w:footnote>
  <w:footnote w:id="841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על ח"י עלמין דאינון כו'.</w:t>
      </w:r>
      <w:r w:rsidRPr="00BD5E91">
        <w:rPr>
          <w:sz w:val="22"/>
          <w:szCs w:val="22"/>
          <w:rtl/>
        </w:rPr>
        <w:t xml:space="preserve"> ר"ל ח"י עולמות שבכתר וחו"ב כמש"ו וז"ש דאינון תשע כו':</w:t>
      </w:r>
    </w:p>
  </w:footnote>
  <w:footnote w:id="8419">
    <w:p w:rsidR="00007309" w:rsidRPr="00BD5E91" w:rsidRDefault="00007309" w:rsidP="00007309">
      <w:pPr>
        <w:jc w:val="both"/>
        <w:rPr>
          <w:rFonts w:cs="Arial"/>
          <w:sz w:val="22"/>
          <w:szCs w:val="22"/>
          <w:rtl/>
        </w:rPr>
      </w:pPr>
      <w:r w:rsidRPr="00BD5E91">
        <w:rPr>
          <w:rStyle w:val="a7"/>
          <w:rFonts w:cs="Arial"/>
          <w:sz w:val="22"/>
          <w:szCs w:val="22"/>
          <w:rtl/>
        </w:rPr>
        <w:footnoteRef/>
      </w:r>
      <w:r w:rsidRPr="00BD5E91">
        <w:rPr>
          <w:rFonts w:cs="Arial"/>
          <w:sz w:val="22"/>
          <w:szCs w:val="22"/>
          <w:rtl/>
        </w:rPr>
        <w:t xml:space="preserve"> </w:t>
      </w:r>
      <w:r w:rsidRPr="00BD5E91">
        <w:rPr>
          <w:rFonts w:cs="Arial"/>
          <w:b/>
          <w:bCs/>
          <w:sz w:val="22"/>
          <w:szCs w:val="22"/>
          <w:rtl/>
        </w:rPr>
        <w:t>תשע נקודות כפולות.</w:t>
      </w:r>
      <w:r w:rsidRPr="00BD5E91">
        <w:rPr>
          <w:rFonts w:cs="Arial"/>
          <w:sz w:val="22"/>
          <w:szCs w:val="22"/>
          <w:rtl/>
        </w:rPr>
        <w:t xml:space="preserve"> כמש"ו טעמי' ונקו' ואינון כו' שהן ט' טעמים כמש"ל במתני' וט' נקודות ידוע שהן ח"י וכולן כלילן בח"י עלמין</w:t>
      </w:r>
      <w:r>
        <w:rPr>
          <w:rFonts w:cs="Arial" w:hint="cs"/>
          <w:sz w:val="22"/>
          <w:szCs w:val="22"/>
          <w:rtl/>
        </w:rPr>
        <w:t>.</w:t>
      </w:r>
      <w:r w:rsidRPr="00BD5E91">
        <w:rPr>
          <w:rFonts w:cs="Arial"/>
          <w:sz w:val="22"/>
          <w:szCs w:val="22"/>
          <w:rtl/>
        </w:rPr>
        <w:t xml:space="preserve"> ומפ"ו ואינון אדם עילאה כו' כתר</w:t>
      </w:r>
      <w:r>
        <w:rPr>
          <w:rFonts w:cs="Arial" w:hint="cs"/>
          <w:sz w:val="22"/>
          <w:szCs w:val="22"/>
          <w:rtl/>
        </w:rPr>
        <w:t>,</w:t>
      </w:r>
      <w:r w:rsidRPr="00BD5E91">
        <w:rPr>
          <w:rFonts w:cs="Arial"/>
          <w:sz w:val="22"/>
          <w:szCs w:val="22"/>
          <w:rtl/>
        </w:rPr>
        <w:t xml:space="preserve"> ואמר אדם כו' שאדם הוא תשע בחושבן זעיר כמש"ל בדף הקודם</w:t>
      </w:r>
      <w:r>
        <w:rPr>
          <w:rFonts w:cs="Arial" w:hint="cs"/>
          <w:sz w:val="22"/>
          <w:szCs w:val="22"/>
          <w:rtl/>
        </w:rPr>
        <w:t>.</w:t>
      </w:r>
      <w:r w:rsidRPr="00BD5E91">
        <w:rPr>
          <w:rFonts w:cs="Arial"/>
          <w:sz w:val="22"/>
          <w:szCs w:val="22"/>
          <w:rtl/>
        </w:rPr>
        <w:t xml:space="preserve"> ואדם דלתתא חכמה אינון ח"י עלמין שהן חיות האותיות שהן בבינה שלכן נק' ח"י עלמין</w:t>
      </w:r>
      <w:r>
        <w:rPr>
          <w:rFonts w:cs="Arial" w:hint="cs"/>
          <w:sz w:val="22"/>
          <w:szCs w:val="22"/>
          <w:rtl/>
        </w:rPr>
        <w:t>,</w:t>
      </w:r>
      <w:r w:rsidRPr="00BD5E91">
        <w:rPr>
          <w:rFonts w:cs="Arial"/>
          <w:sz w:val="22"/>
          <w:szCs w:val="22"/>
          <w:rtl/>
        </w:rPr>
        <w:t xml:space="preserve"> והן הנשמה ורוח שהן חיי האדם</w:t>
      </w:r>
      <w:r>
        <w:rPr>
          <w:rFonts w:cs="Arial" w:hint="cs"/>
          <w:sz w:val="22"/>
          <w:szCs w:val="22"/>
          <w:rtl/>
        </w:rPr>
        <w:t>.</w:t>
      </w:r>
      <w:r w:rsidRPr="00BD5E91">
        <w:rPr>
          <w:rFonts w:cs="Arial"/>
          <w:sz w:val="22"/>
          <w:szCs w:val="22"/>
          <w:rtl/>
        </w:rPr>
        <w:t xml:space="preserve"> אבל נפש שיתופא דגופא ונכללת ברוח בת זוגיה</w:t>
      </w:r>
      <w:r>
        <w:rPr>
          <w:rFonts w:cs="Arial" w:hint="cs"/>
          <w:sz w:val="22"/>
          <w:szCs w:val="22"/>
          <w:rtl/>
        </w:rPr>
        <w:t>,</w:t>
      </w:r>
      <w:r w:rsidRPr="00BD5E91">
        <w:rPr>
          <w:rFonts w:cs="Arial"/>
          <w:sz w:val="22"/>
          <w:szCs w:val="22"/>
          <w:rtl/>
        </w:rPr>
        <w:t xml:space="preserve"> וכן בינה בחכמה ששניהן כאחד נקראין אדם כמש"ל דאין נקרא אדם אלא בנוקבא:</w:t>
      </w:r>
    </w:p>
  </w:footnote>
  <w:footnote w:id="842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דאיהו אדם תליתאה כו'.</w:t>
      </w:r>
      <w:r w:rsidRPr="00BD5E91">
        <w:rPr>
          <w:sz w:val="22"/>
          <w:szCs w:val="22"/>
          <w:rtl/>
        </w:rPr>
        <w:t xml:space="preserve"> ר"ל אדם קדמון על הכתר כידוע:</w:t>
      </w:r>
    </w:p>
  </w:footnote>
  <w:footnote w:id="842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ואינון מרכבה ליה.</w:t>
      </w:r>
      <w:r w:rsidRPr="00BD5E91">
        <w:rPr>
          <w:sz w:val="22"/>
          <w:szCs w:val="22"/>
          <w:rtl/>
        </w:rPr>
        <w:t xml:space="preserve"> כנ"ל דאינון רכב לההוא כו' וז"ש (ע"ז ג ע"ב) שרוכב הקב"ה כו' ושט בח"י עלמין:</w:t>
      </w:r>
    </w:p>
  </w:footnote>
  <w:footnote w:id="842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באן סליק בוירח.</w:t>
      </w:r>
      <w:r w:rsidRPr="00BD5E91">
        <w:rPr>
          <w:sz w:val="22"/>
          <w:szCs w:val="22"/>
          <w:rtl/>
        </w:rPr>
        <w:t xml:space="preserve"> ר"ל שסליק ח"י עלמין הנ"ל נקודות וטעמים בכתר וחכמה כנ"ל וזהו וי"רח ח"י ב"ו"ר ו' כתר ר' חכמה כנ"ל ו' הוא בכתר וא"ו י"ג מכילן דרחמי כידוע רכב עם ב' אדם גי' וירח:</w:t>
      </w:r>
    </w:p>
  </w:footnote>
  <w:footnote w:id="842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בצלותין.</w:t>
      </w:r>
      <w:r w:rsidRPr="00BD5E91">
        <w:rPr>
          <w:sz w:val="22"/>
          <w:szCs w:val="22"/>
          <w:rtl/>
        </w:rPr>
        <w:t xml:space="preserve"> שהן קרבנין כנ"ל והן ח"י ברכות דסליק ח"י עולמות הנ"ל כמש"ל והאי ח"י באן סליק כו' שברכאן הוא בצדיק וב"ה לעילא:</w:t>
      </w:r>
    </w:p>
  </w:footnote>
  <w:footnote w:id="842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לגביה כדקא כו'.</w:t>
      </w:r>
      <w:r w:rsidRPr="00BD5E91">
        <w:rPr>
          <w:sz w:val="22"/>
          <w:szCs w:val="22"/>
          <w:rtl/>
        </w:rPr>
        <w:t xml:space="preserve"> ר"ל לאדם קדמון שהוא עילת העילות דמתייחד בספירות והתפלה היא עבודה שבלב שצריך להתפלל לפנימיות הספירות וז"ש בצלותין לגביה והוא כמ"ש לעיל בדף הקודם כריעה וזקיפה הוא לעילת העילות דנחית נביעו וכלא ברשותיה והוא אדם קדמון כמש"ל שעילת העילות אמר לכתר נעשה אדם כו' ואמר אח"כ שעלת העלות שאמר לכתר אינו עילת על כל העילות והוא אדם קדמון שדבר ממנו כאן אבל בעילת על כל העילות אין שייך לא כריעה ולא זקיפה ולא ריח אע"ג שהכל ממנו מ"מ אין סימן בו בשום מעשה ומחשבה כמ"ש בריש תיקונים ור"מ ומאדם קדמון הוא ראשית המחשבה ועד שם סליק וזה שאמר ובגיניה אתמר וירח כו'. ר"ל על אדם קדמון:</w:t>
      </w:r>
    </w:p>
  </w:footnote>
  <w:footnote w:id="842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ויאמר ה' אל לבו.</w:t>
      </w:r>
      <w:r w:rsidRPr="00BD5E91">
        <w:rPr>
          <w:sz w:val="22"/>
          <w:szCs w:val="22"/>
          <w:rtl/>
        </w:rPr>
        <w:t xml:space="preserve"> חכמה אל בינה כנ"ל שא"ק מתלבש בחכמה של אצילות ע"י מלכות שלו שהוא כתר דאצילות ובחכמה הוא גנוז וזהו ויאמר כו' אל בינה:</w:t>
      </w:r>
    </w:p>
  </w:footnote>
  <w:footnote w:id="842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פתח ר"ש כו'.</w:t>
      </w:r>
      <w:r w:rsidRPr="00BD5E91">
        <w:rPr>
          <w:sz w:val="22"/>
          <w:szCs w:val="22"/>
          <w:rtl/>
        </w:rPr>
        <w:t xml:space="preserve">  שהפסוק והמשכילים כו' קאי על נר"ן כמ"ש לעיל בדף פ' ע"ש:</w:t>
      </w:r>
    </w:p>
  </w:footnote>
  <w:footnote w:id="842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הה"ד אשר כו'.</w:t>
      </w:r>
      <w:r w:rsidRPr="00BD5E91">
        <w:rPr>
          <w:sz w:val="22"/>
          <w:szCs w:val="22"/>
          <w:rtl/>
        </w:rPr>
        <w:t xml:space="preserve"> ראיה למה שאומרין אשר קדש כו':</w:t>
      </w:r>
    </w:p>
  </w:footnote>
  <w:footnote w:id="842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 נפש דעשייה.</w:t>
      </w:r>
      <w:r w:rsidRPr="00BD5E91">
        <w:rPr>
          <w:sz w:val="22"/>
          <w:szCs w:val="22"/>
          <w:rtl/>
        </w:rPr>
        <w:t xml:space="preserve"> מרחם נוקבא דמקנן בעשייה:</w:t>
      </w:r>
    </w:p>
  </w:footnote>
  <w:footnote w:id="842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נביא כו'.</w:t>
      </w:r>
      <w:r w:rsidRPr="00BD5E91">
        <w:rPr>
          <w:sz w:val="22"/>
          <w:szCs w:val="22"/>
          <w:rtl/>
        </w:rPr>
        <w:t xml:space="preserve"> שהוא מדרגא דבינה דמשם הנבואה בנו"ה כידוע והיא מקנן בכורסייא:</w:t>
      </w:r>
    </w:p>
  </w:footnote>
  <w:footnote w:id="843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אשתמודע כו'.</w:t>
      </w:r>
      <w:r w:rsidRPr="00BD5E91">
        <w:rPr>
          <w:sz w:val="22"/>
          <w:szCs w:val="22"/>
          <w:rtl/>
        </w:rPr>
        <w:t xml:space="preserve"> ר"ל שנודע למעלה כל נר"ן שלו כמ"ש בזוהר שמות אצל משה רבינו ע"ש:</w:t>
      </w:r>
    </w:p>
  </w:footnote>
  <w:footnote w:id="843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ורם לגופא.</w:t>
      </w:r>
      <w:r w:rsidRPr="00BD5E91">
        <w:rPr>
          <w:sz w:val="22"/>
          <w:szCs w:val="22"/>
          <w:rtl/>
        </w:rPr>
        <w:t xml:space="preserve"> שאינו ממינה:</w:t>
      </w:r>
    </w:p>
  </w:footnote>
  <w:footnote w:id="843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יפעל אל פעמים שלש עם גבר דא נשמתא.</w:t>
      </w:r>
      <w:r w:rsidRPr="00BD5E91">
        <w:rPr>
          <w:sz w:val="22"/>
          <w:szCs w:val="22"/>
          <w:rtl/>
        </w:rPr>
        <w:t xml:space="preserve"> ר"ל שאמר על נשמתא לבד ולא כלל אותה בנפש ורוח שהיא אב להם וממנה יצאו:</w:t>
      </w:r>
    </w:p>
  </w:footnote>
  <w:footnote w:id="843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לך לך כו'.</w:t>
      </w:r>
      <w:r w:rsidRPr="00BD5E91">
        <w:rPr>
          <w:sz w:val="22"/>
          <w:szCs w:val="22"/>
          <w:rtl/>
        </w:rPr>
        <w:t xml:space="preserve"> כאן אמר ממטה למעלה</w:t>
      </w:r>
      <w:r>
        <w:rPr>
          <w:rFonts w:hint="cs"/>
          <w:sz w:val="22"/>
          <w:szCs w:val="22"/>
          <w:rtl/>
        </w:rPr>
        <w:t>.</w:t>
      </w:r>
      <w:r w:rsidRPr="00BD5E91">
        <w:rPr>
          <w:sz w:val="22"/>
          <w:szCs w:val="22"/>
          <w:rtl/>
        </w:rPr>
        <w:t xml:space="preserve"> שנוי מקום במלכות</w:t>
      </w:r>
      <w:r>
        <w:rPr>
          <w:rFonts w:hint="cs"/>
          <w:sz w:val="22"/>
          <w:szCs w:val="22"/>
          <w:rtl/>
        </w:rPr>
        <w:t>,</w:t>
      </w:r>
      <w:r w:rsidRPr="00BD5E91">
        <w:rPr>
          <w:sz w:val="22"/>
          <w:szCs w:val="22"/>
          <w:rtl/>
        </w:rPr>
        <w:t xml:space="preserve"> שינוי השם בעד"א</w:t>
      </w:r>
      <w:r>
        <w:rPr>
          <w:rFonts w:hint="cs"/>
          <w:sz w:val="22"/>
          <w:szCs w:val="22"/>
          <w:rtl/>
        </w:rPr>
        <w:t>,</w:t>
      </w:r>
      <w:r w:rsidRPr="00BD5E91">
        <w:rPr>
          <w:sz w:val="22"/>
          <w:szCs w:val="22"/>
          <w:rtl/>
        </w:rPr>
        <w:t xml:space="preserve"> שינוי מעשה בבינה</w:t>
      </w:r>
      <w:r>
        <w:rPr>
          <w:rFonts w:hint="cs"/>
          <w:sz w:val="22"/>
          <w:szCs w:val="22"/>
          <w:rtl/>
        </w:rPr>
        <w:t>.</w:t>
      </w:r>
      <w:r w:rsidRPr="00BD5E91">
        <w:rPr>
          <w:sz w:val="22"/>
          <w:szCs w:val="22"/>
          <w:rtl/>
        </w:rPr>
        <w:t xml:space="preserve"> כמש"ו מלכות הוא מארצך ארץ החיים דלעילא</w:t>
      </w:r>
      <w:r>
        <w:rPr>
          <w:rFonts w:hint="cs"/>
          <w:sz w:val="22"/>
          <w:szCs w:val="22"/>
          <w:rtl/>
        </w:rPr>
        <w:t>.</w:t>
      </w:r>
      <w:r w:rsidRPr="00BD5E91">
        <w:rPr>
          <w:sz w:val="22"/>
          <w:szCs w:val="22"/>
          <w:rtl/>
        </w:rPr>
        <w:t xml:space="preserve"> עד"א ממולדתך שהוא הולידו</w:t>
      </w:r>
      <w:r>
        <w:rPr>
          <w:rFonts w:hint="cs"/>
          <w:sz w:val="22"/>
          <w:szCs w:val="22"/>
          <w:rtl/>
        </w:rPr>
        <w:t>.</w:t>
      </w:r>
      <w:r w:rsidRPr="00BD5E91">
        <w:rPr>
          <w:sz w:val="22"/>
          <w:szCs w:val="22"/>
          <w:rtl/>
        </w:rPr>
        <w:t xml:space="preserve"> בינה בית אב חכמה בית שלו כמש"ל בדף הקודם:</w:t>
      </w:r>
    </w:p>
  </w:footnote>
  <w:footnote w:id="843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אל הארץ אשר אראך דא גוף פלוני</w:t>
      </w:r>
      <w:r w:rsidRPr="00BD5E91">
        <w:rPr>
          <w:sz w:val="22"/>
          <w:szCs w:val="22"/>
          <w:rtl/>
        </w:rPr>
        <w:t xml:space="preserve"> </w:t>
      </w:r>
      <w:r w:rsidRPr="00BD5E91">
        <w:rPr>
          <w:b/>
          <w:bCs/>
          <w:sz w:val="22"/>
          <w:szCs w:val="22"/>
          <w:rtl/>
        </w:rPr>
        <w:t>כו'.</w:t>
      </w:r>
      <w:r w:rsidRPr="00BD5E91">
        <w:rPr>
          <w:sz w:val="22"/>
          <w:szCs w:val="22"/>
          <w:rtl/>
        </w:rPr>
        <w:t xml:space="preserve"> אמר בכולם עם ך' מארצך כו' שהוא דיליה אבל בעולם השפל אמר אל הארץ וכו' אשר אראך פלוני:</w:t>
      </w:r>
    </w:p>
  </w:footnote>
  <w:footnote w:id="843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בגין דאעקר כו'.</w:t>
      </w:r>
      <w:r w:rsidRPr="00BD5E91">
        <w:rPr>
          <w:sz w:val="22"/>
          <w:szCs w:val="22"/>
          <w:rtl/>
        </w:rPr>
        <w:t xml:space="preserve"> ולכן מארצך ג"כ אל הארץ וזהו שינוי מקום והיא מקומו של עולם:</w:t>
      </w:r>
    </w:p>
  </w:footnote>
  <w:footnote w:id="843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הכא רזא כו'.</w:t>
      </w:r>
      <w:r w:rsidRPr="00BD5E91">
        <w:rPr>
          <w:sz w:val="22"/>
          <w:szCs w:val="22"/>
          <w:rtl/>
        </w:rPr>
        <w:t xml:space="preserve"> ר"ל סוד הייבום שנק' ע"ש אחיו הבן כדי שלא יכרת שמו כמ"ש אצל בועז וצריך לכל זה שמת בלא בנים שהוא בדרגא דבן י"ה עד"א שהוא השם שם הוי"ה שבו הוא כידוע והיה נכרת שמו ח"ו וזהו שינוי השם כמש"ו ומביא ראיה שמולדתך הוא שינוי השם ומולדתך אשר כו' שדרשו על הייבום כמ"ש (יבמות כד ע"א) נאמר כאן על שם אחיו ונאמר להלן ומולדתך כו':</w:t>
      </w:r>
    </w:p>
  </w:footnote>
  <w:footnote w:id="843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דעקר אילנא.</w:t>
      </w:r>
      <w:r w:rsidRPr="00BD5E91">
        <w:rPr>
          <w:sz w:val="22"/>
          <w:szCs w:val="22"/>
          <w:rtl/>
        </w:rPr>
        <w:t xml:space="preserve"> ר"ל עד"א שהוא בן כמש"ו ואתקרי כו' ו' כליל כו' שהוא בן כנ"ל:</w:t>
      </w:r>
    </w:p>
  </w:footnote>
  <w:footnote w:id="843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מעשה.</w:t>
      </w:r>
      <w:r w:rsidRPr="00BD5E91">
        <w:rPr>
          <w:sz w:val="22"/>
          <w:szCs w:val="22"/>
          <w:rtl/>
        </w:rPr>
        <w:t xml:space="preserve"> ל"ב אלקים דבינה כמ"ש לעיל:</w:t>
      </w:r>
      <w:r w:rsidRPr="00BD5E91">
        <w:rPr>
          <w:b/>
          <w:bCs/>
          <w:sz w:val="22"/>
          <w:szCs w:val="22"/>
          <w:rtl/>
        </w:rPr>
        <w:t xml:space="preserve"> </w:t>
      </w:r>
    </w:p>
  </w:footnote>
  <w:footnote w:id="843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דתמן מחשבה. </w:t>
      </w:r>
      <w:r w:rsidRPr="00BD5E91">
        <w:rPr>
          <w:sz w:val="22"/>
          <w:szCs w:val="22"/>
          <w:rtl/>
        </w:rPr>
        <w:t>ר"ל חכמה</w:t>
      </w:r>
      <w:r>
        <w:rPr>
          <w:rFonts w:hint="cs"/>
          <w:sz w:val="22"/>
          <w:szCs w:val="22"/>
          <w:rtl/>
        </w:rPr>
        <w:t>,</w:t>
      </w:r>
      <w:r w:rsidRPr="00BD5E91">
        <w:rPr>
          <w:sz w:val="22"/>
          <w:szCs w:val="22"/>
          <w:rtl/>
        </w:rPr>
        <w:t xml:space="preserve"> ריעין דלא מתפרשין כמש"ו דלית עשייה כו' שא"א לעשות דבר בלא מחשבה מקודם ולכן בה ל"ב אלקים</w:t>
      </w:r>
      <w:r>
        <w:rPr>
          <w:rFonts w:hint="cs"/>
          <w:sz w:val="22"/>
          <w:szCs w:val="22"/>
          <w:rtl/>
        </w:rPr>
        <w:t>,</w:t>
      </w:r>
      <w:r w:rsidRPr="00BD5E91">
        <w:rPr>
          <w:sz w:val="22"/>
          <w:szCs w:val="22"/>
          <w:rtl/>
        </w:rPr>
        <w:t xml:space="preserve"> ל"ב נתיבות דחכמה</w:t>
      </w:r>
      <w:r>
        <w:rPr>
          <w:rFonts w:hint="cs"/>
          <w:sz w:val="22"/>
          <w:szCs w:val="22"/>
          <w:rtl/>
        </w:rPr>
        <w:t>,</w:t>
      </w:r>
      <w:r w:rsidRPr="00BD5E91">
        <w:rPr>
          <w:sz w:val="22"/>
          <w:szCs w:val="22"/>
          <w:rtl/>
        </w:rPr>
        <w:t xml:space="preserve"> שכל מעשה שלה היה בנתיבות דחכמה וז"ש הה"ד כולם כו':</w:t>
      </w:r>
    </w:p>
  </w:footnote>
  <w:footnote w:id="844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 איהו כו'.</w:t>
      </w:r>
      <w:r w:rsidRPr="00BD5E91">
        <w:rPr>
          <w:sz w:val="22"/>
          <w:szCs w:val="22"/>
          <w:rtl/>
        </w:rPr>
        <w:t xml:space="preserve"> עד"א אב של ישראל בנים אתם כו':</w:t>
      </w:r>
    </w:p>
  </w:footnote>
  <w:footnote w:id="844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ומאן אמר כו'.</w:t>
      </w:r>
      <w:r w:rsidRPr="00BD5E91">
        <w:rPr>
          <w:sz w:val="22"/>
          <w:szCs w:val="22"/>
          <w:rtl/>
        </w:rPr>
        <w:t xml:space="preserve"> ר"ל ויאמר ה' אל אב ומאן ויאמר רם וזהו אברם:</w:t>
      </w:r>
    </w:p>
  </w:footnote>
  <w:footnote w:id="844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ההוא רם כו'.</w:t>
      </w:r>
      <w:r w:rsidRPr="00BD5E91">
        <w:rPr>
          <w:sz w:val="22"/>
          <w:szCs w:val="22"/>
          <w:rtl/>
        </w:rPr>
        <w:t xml:space="preserve"> עילת על כל העילות כמש"ו:</w:t>
      </w:r>
    </w:p>
  </w:footnote>
  <w:footnote w:id="844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תרין כו'.</w:t>
      </w:r>
      <w:r w:rsidRPr="00BD5E91">
        <w:rPr>
          <w:sz w:val="22"/>
          <w:szCs w:val="22"/>
          <w:rtl/>
        </w:rPr>
        <w:t xml:space="preserve"> ר"ל ב"פ לך:</w:t>
      </w:r>
    </w:p>
  </w:footnote>
  <w:footnote w:id="844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אינון י' י' כו'.</w:t>
      </w:r>
      <w:r w:rsidRPr="00BD5E91">
        <w:rPr>
          <w:sz w:val="22"/>
          <w:szCs w:val="22"/>
          <w:rtl/>
        </w:rPr>
        <w:t xml:space="preserve"> ב' דרגין של הכתר כידוע דשם סליק עד"א כמ</w:t>
      </w:r>
      <w:r>
        <w:rPr>
          <w:rFonts w:hint="cs"/>
          <w:sz w:val="22"/>
          <w:szCs w:val="22"/>
          <w:rtl/>
        </w:rPr>
        <w:t xml:space="preserve">ו </w:t>
      </w:r>
      <w:r w:rsidRPr="00BD5E91">
        <w:rPr>
          <w:sz w:val="22"/>
          <w:szCs w:val="22"/>
          <w:rtl/>
        </w:rPr>
        <w:t>ש</w:t>
      </w:r>
      <w:r>
        <w:rPr>
          <w:rFonts w:hint="cs"/>
          <w:sz w:val="22"/>
          <w:szCs w:val="22"/>
          <w:rtl/>
        </w:rPr>
        <w:t>אומר לקמן</w:t>
      </w:r>
      <w:r w:rsidRPr="00BD5E91">
        <w:rPr>
          <w:sz w:val="22"/>
          <w:szCs w:val="22"/>
          <w:rtl/>
        </w:rPr>
        <w:t xml:space="preserve"> בדף שאח"ז דא ו' דסליקת לכ' של כתר כו' י' לעילא י' לתתא ו' באמצעיתא וסליק כו' ע"ש:</w:t>
      </w:r>
    </w:p>
  </w:footnote>
  <w:footnote w:id="844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את ו' מתמן כו'.</w:t>
      </w:r>
      <w:r w:rsidRPr="00BD5E91">
        <w:rPr>
          <w:sz w:val="22"/>
          <w:szCs w:val="22"/>
          <w:rtl/>
        </w:rPr>
        <w:t xml:space="preserve"> לאזדווגא בשכינתא כמש"ו וזהו סוד הגלות שמכפר על הכל שהוא תשובה תשוב ו' לה' כמ"ש בר"מ:</w:t>
      </w:r>
    </w:p>
  </w:footnote>
  <w:footnote w:id="844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תלת אלפין כו'.</w:t>
      </w:r>
      <w:r w:rsidRPr="00BD5E91">
        <w:rPr>
          <w:sz w:val="22"/>
          <w:szCs w:val="22"/>
          <w:rtl/>
        </w:rPr>
        <w:t xml:space="preserve"> ר"ל מכל הג' אלפין תריך הוא"ו שבתוכם מן ב' יודין כנ"ל:</w:t>
      </w:r>
    </w:p>
  </w:footnote>
  <w:footnote w:id="844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דאיהו דיוקנא כו'.</w:t>
      </w:r>
      <w:r w:rsidRPr="00BD5E91">
        <w:rPr>
          <w:sz w:val="22"/>
          <w:szCs w:val="22"/>
          <w:rtl/>
        </w:rPr>
        <w:t xml:space="preserve"> ר"ל משה דיוקנא דעד"א ואמר שג' אקי"ק ג' אלפין שלחני משם אליכם שהן בדרגא דשכינה כנסת ישראל:</w:t>
      </w:r>
    </w:p>
  </w:footnote>
  <w:footnote w:id="844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ג' עלמין.</w:t>
      </w:r>
      <w:r w:rsidRPr="00BD5E91">
        <w:rPr>
          <w:sz w:val="22"/>
          <w:szCs w:val="22"/>
          <w:rtl/>
        </w:rPr>
        <w:t xml:space="preserve"> כח"ב כמש"ו:</w:t>
      </w:r>
    </w:p>
  </w:footnote>
  <w:footnote w:id="844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ודא איהי אימא כו'.</w:t>
      </w:r>
      <w:r w:rsidRPr="00BD5E91">
        <w:rPr>
          <w:sz w:val="22"/>
          <w:szCs w:val="22"/>
          <w:rtl/>
        </w:rPr>
        <w:t xml:space="preserve"> ר"ל כל הג' אקי"ק הוא בבינה שהיא כתר לכן נקראת אקי"ק כידוע והיא אם כל חי ר"ל חוה נקראת אם כו' שהיא דרגא דבינה כידוע אשת אדה"ר חכמה והיא כוללת כל הג' כח"ב כמש"ו ומתמן תריך לוא"ו שהוא במעהא כידוע בסוד העבור וז"ש דאת ו' כו':</w:t>
      </w:r>
    </w:p>
  </w:footnote>
  <w:footnote w:id="845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איהי א' כו'.</w:t>
      </w:r>
      <w:r w:rsidRPr="00BD5E91">
        <w:rPr>
          <w:sz w:val="22"/>
          <w:szCs w:val="22"/>
          <w:rtl/>
        </w:rPr>
        <w:t xml:space="preserve"> ר"ל בינה:</w:t>
      </w:r>
    </w:p>
  </w:footnote>
  <w:footnote w:id="8451">
    <w:p w:rsidR="00007309" w:rsidRPr="00BD5E91" w:rsidRDefault="00007309" w:rsidP="00007309">
      <w:pPr>
        <w:jc w:val="both"/>
        <w:rPr>
          <w:rFonts w:cs="Arial"/>
          <w:sz w:val="22"/>
          <w:szCs w:val="22"/>
          <w:rtl/>
        </w:rPr>
      </w:pPr>
      <w:r w:rsidRPr="00BD5E91">
        <w:rPr>
          <w:rStyle w:val="a7"/>
          <w:rFonts w:cs="Arial"/>
          <w:sz w:val="22"/>
          <w:szCs w:val="22"/>
          <w:rtl/>
        </w:rPr>
        <w:footnoteRef/>
      </w:r>
      <w:r w:rsidRPr="00BD5E91">
        <w:rPr>
          <w:rFonts w:cs="Arial"/>
          <w:sz w:val="22"/>
          <w:szCs w:val="22"/>
          <w:rtl/>
        </w:rPr>
        <w:t xml:space="preserve"> </w:t>
      </w:r>
      <w:r w:rsidRPr="00BD5E91">
        <w:rPr>
          <w:rFonts w:cs="Arial"/>
          <w:b/>
          <w:bCs/>
          <w:sz w:val="22"/>
          <w:szCs w:val="22"/>
          <w:rtl/>
        </w:rPr>
        <w:t>באמצעיתא דאת ו'.</w:t>
      </w:r>
      <w:r w:rsidRPr="00BD5E91">
        <w:rPr>
          <w:rFonts w:cs="Arial"/>
          <w:sz w:val="22"/>
          <w:szCs w:val="22"/>
          <w:rtl/>
        </w:rPr>
        <w:t xml:space="preserve"> ר"ל וא"ו במילואו והוא בחכמה</w:t>
      </w:r>
      <w:r>
        <w:rPr>
          <w:rFonts w:cs="Arial" w:hint="cs"/>
          <w:sz w:val="22"/>
          <w:szCs w:val="22"/>
          <w:rtl/>
        </w:rPr>
        <w:t>,</w:t>
      </w:r>
      <w:r w:rsidRPr="00BD5E91">
        <w:rPr>
          <w:rFonts w:cs="Arial"/>
          <w:sz w:val="22"/>
          <w:szCs w:val="22"/>
          <w:rtl/>
        </w:rPr>
        <w:t xml:space="preserve"> אב של וא"ו והוא מולדתך</w:t>
      </w:r>
      <w:r>
        <w:rPr>
          <w:rFonts w:cs="Arial" w:hint="cs"/>
          <w:sz w:val="22"/>
          <w:szCs w:val="22"/>
          <w:rtl/>
        </w:rPr>
        <w:t>.</w:t>
      </w:r>
      <w:r w:rsidRPr="00BD5E91">
        <w:rPr>
          <w:rFonts w:cs="Arial"/>
          <w:sz w:val="22"/>
          <w:szCs w:val="22"/>
          <w:rtl/>
        </w:rPr>
        <w:t xml:space="preserve"> ומבית אביך הוא בכתר שמשם נקראת כתר אם כל חי כנ"ל ואם הוא בית אב כמש"ל והוא א' של ה"א ראשונה מארצך הוא בינה שהוא כתר מלכות וז"ש. דאיהי כתר אם כו' ואיהי א' כו' דאת ו' ואיהי כתר מלכות והוא בה"א אחרונה מלכות. והענין כי ג"ר</w:t>
      </w:r>
      <w:r>
        <w:rPr>
          <w:rFonts w:cs="Arial" w:hint="cs"/>
          <w:sz w:val="22"/>
          <w:szCs w:val="22"/>
          <w:rtl/>
        </w:rPr>
        <w:t>,</w:t>
      </w:r>
      <w:r w:rsidRPr="00BD5E91">
        <w:rPr>
          <w:rFonts w:cs="Arial"/>
          <w:sz w:val="22"/>
          <w:szCs w:val="22"/>
          <w:rtl/>
        </w:rPr>
        <w:t xml:space="preserve"> נגדן בינה ו"ק מלכות</w:t>
      </w:r>
      <w:r>
        <w:rPr>
          <w:rFonts w:cs="Arial" w:hint="cs"/>
          <w:sz w:val="22"/>
          <w:szCs w:val="22"/>
          <w:rtl/>
        </w:rPr>
        <w:t>.</w:t>
      </w:r>
      <w:r w:rsidRPr="00BD5E91">
        <w:rPr>
          <w:rFonts w:cs="Arial"/>
          <w:sz w:val="22"/>
          <w:szCs w:val="22"/>
          <w:rtl/>
        </w:rPr>
        <w:t xml:space="preserve"> נגד כתר בינה שכולל ג"ר</w:t>
      </w:r>
      <w:r>
        <w:rPr>
          <w:rFonts w:cs="Arial" w:hint="cs"/>
          <w:sz w:val="22"/>
          <w:szCs w:val="22"/>
          <w:rtl/>
        </w:rPr>
        <w:t>.</w:t>
      </w:r>
      <w:r w:rsidRPr="00BD5E91">
        <w:rPr>
          <w:rFonts w:cs="Arial"/>
          <w:sz w:val="22"/>
          <w:szCs w:val="22"/>
          <w:rtl/>
        </w:rPr>
        <w:t xml:space="preserve"> ונגד חכמה עד"א מוח הבן ממוח האב מה שמו ומה שם בנו כידוע</w:t>
      </w:r>
      <w:r>
        <w:rPr>
          <w:rFonts w:cs="Arial" w:hint="cs"/>
          <w:sz w:val="22"/>
          <w:szCs w:val="22"/>
          <w:rtl/>
        </w:rPr>
        <w:t>.</w:t>
      </w:r>
      <w:r w:rsidRPr="00BD5E91">
        <w:rPr>
          <w:rFonts w:cs="Arial"/>
          <w:sz w:val="22"/>
          <w:szCs w:val="22"/>
          <w:rtl/>
        </w:rPr>
        <w:t xml:space="preserve"> ונגד בינה ה' ראשונה מלכות ה' אחרונה</w:t>
      </w:r>
      <w:r>
        <w:rPr>
          <w:rFonts w:cs="Arial" w:hint="cs"/>
          <w:sz w:val="22"/>
          <w:szCs w:val="22"/>
          <w:rtl/>
        </w:rPr>
        <w:t>,</w:t>
      </w:r>
      <w:r w:rsidRPr="00BD5E91">
        <w:rPr>
          <w:rFonts w:cs="Arial"/>
          <w:sz w:val="22"/>
          <w:szCs w:val="22"/>
          <w:rtl/>
        </w:rPr>
        <w:t xml:space="preserve"> שכינה עילאה שכינה תתאה אימא עילאה אימא תתאה</w:t>
      </w:r>
      <w:r>
        <w:rPr>
          <w:rFonts w:cs="Arial" w:hint="cs"/>
          <w:sz w:val="22"/>
          <w:szCs w:val="22"/>
          <w:rtl/>
        </w:rPr>
        <w:t>.</w:t>
      </w:r>
      <w:r w:rsidRPr="00BD5E91">
        <w:rPr>
          <w:rFonts w:cs="Arial"/>
          <w:sz w:val="22"/>
          <w:szCs w:val="22"/>
          <w:rtl/>
        </w:rPr>
        <w:t xml:space="preserve"> והן ג' עולמות הנ"ל שינוי מקום כו' וז"ש ורזא דמלה כו'. א' של ה"א בינה</w:t>
      </w:r>
      <w:r>
        <w:rPr>
          <w:rFonts w:cs="Arial" w:hint="cs"/>
          <w:sz w:val="22"/>
          <w:szCs w:val="22"/>
          <w:rtl/>
        </w:rPr>
        <w:t>,</w:t>
      </w:r>
      <w:r w:rsidRPr="00BD5E91">
        <w:rPr>
          <w:rFonts w:cs="Arial"/>
          <w:sz w:val="22"/>
          <w:szCs w:val="22"/>
          <w:rtl/>
        </w:rPr>
        <w:t xml:space="preserve"> א' של וא"ו עד"א</w:t>
      </w:r>
      <w:r>
        <w:rPr>
          <w:rFonts w:cs="Arial" w:hint="cs"/>
          <w:sz w:val="22"/>
          <w:szCs w:val="22"/>
          <w:rtl/>
        </w:rPr>
        <w:t>,</w:t>
      </w:r>
      <w:r w:rsidRPr="00BD5E91">
        <w:rPr>
          <w:rFonts w:cs="Arial"/>
          <w:sz w:val="22"/>
          <w:szCs w:val="22"/>
          <w:rtl/>
        </w:rPr>
        <w:t xml:space="preserve"> א' של ה"א אחרונה (לפה"נ אולי חסר תיבת מלכות. המעתיק)</w:t>
      </w:r>
      <w:r>
        <w:rPr>
          <w:rFonts w:cs="Arial" w:hint="cs"/>
          <w:sz w:val="22"/>
          <w:szCs w:val="22"/>
          <w:rtl/>
        </w:rPr>
        <w:t>.</w:t>
      </w:r>
      <w:r w:rsidRPr="00BD5E91">
        <w:rPr>
          <w:rFonts w:cs="Arial"/>
          <w:sz w:val="22"/>
          <w:szCs w:val="22"/>
          <w:rtl/>
        </w:rPr>
        <w:t xml:space="preserve"> שהן שרשן בג' אלפין של ג' אקי"ק כמ"ש</w:t>
      </w:r>
      <w:r>
        <w:rPr>
          <w:rFonts w:cs="Arial" w:hint="cs"/>
          <w:sz w:val="22"/>
          <w:szCs w:val="22"/>
          <w:rtl/>
        </w:rPr>
        <w:t xml:space="preserve"> </w:t>
      </w:r>
      <w:r w:rsidRPr="00BD5E91">
        <w:rPr>
          <w:rFonts w:cs="Arial"/>
          <w:sz w:val="22"/>
          <w:szCs w:val="22"/>
          <w:rtl/>
        </w:rPr>
        <w:t>לעיל בדף ע"ו ע"ב וז"ש דאיהי כתר אם כו' בינה ואיהי כו' דאת ו' עד"א ואיהי כתר מלכות במלכות ושרשן בכח"ב כנ"ל:</w:t>
      </w:r>
    </w:p>
  </w:footnote>
  <w:footnote w:id="845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דכלילן בה כלהו.</w:t>
      </w:r>
      <w:r w:rsidRPr="00BD5E91">
        <w:rPr>
          <w:sz w:val="22"/>
          <w:szCs w:val="22"/>
          <w:rtl/>
        </w:rPr>
        <w:t xml:space="preserve"> כח"ב שלכן נק' אדנ"י ד' מלכות כידוע אי"נ בכח"ב שנק' אי"ן א' כתר י' חכמה נ' בינה כידוע:</w:t>
      </w:r>
    </w:p>
  </w:footnote>
  <w:footnote w:id="845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ואעשך לגוי כו'.</w:t>
      </w:r>
      <w:r w:rsidRPr="00BD5E91">
        <w:rPr>
          <w:sz w:val="22"/>
          <w:szCs w:val="22"/>
          <w:rtl/>
        </w:rPr>
        <w:t xml:space="preserve"> כמ"ש (פסחים קיז ע"ב) ואעשך כו' ז"ש אלקי אברהם ואגדלה שמך ז"ש כו' רק שבגמ' חלקו ואעשך לגוי גדול לבד ואברכך לבד וכן הוא בזוהר לך לך ובמדרש הנעלם שם. שהן חג"ת ג' אבהן ושרשן בכח"ב כמש"ל דף ע"ה ע"ב בשם מ"ב ג' שמות הראשונות בכח"ב כלילן בחג"ת ובהן אהדר כל השינויים למקומן כמ"ש בתיקונים שינוי מקום באברהם שינוי השם ביצחק שינוי מעשה ביעקב ע"ש וז"ש ואעשך כו' מסט' כו' שיתוקן בכולם:</w:t>
      </w:r>
    </w:p>
  </w:footnote>
  <w:footnote w:id="845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והיה ברכה.</w:t>
      </w:r>
      <w:r w:rsidRPr="00BD5E91">
        <w:rPr>
          <w:sz w:val="22"/>
          <w:szCs w:val="22"/>
          <w:rtl/>
        </w:rPr>
        <w:t xml:space="preserve"> במלכות נגד אל הארץ כו' כנ"ל וז"ש והיה ברכה בך חותמין כו' שהיא ברתיה דאברהם אע"ג שנכללת מכולם כנ"ל וז"ש (פסחים קיז ע"ב) יכול חותמין כו':</w:t>
      </w:r>
    </w:p>
  </w:footnote>
  <w:footnote w:id="845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שנאמר ארץ כו'.</w:t>
      </w:r>
      <w:r w:rsidRPr="00BD5E91">
        <w:rPr>
          <w:sz w:val="22"/>
          <w:szCs w:val="22"/>
          <w:rtl/>
        </w:rPr>
        <w:t xml:space="preserve"> שא"י הוא לבא דכל עלמא כידוע והיא נוטלת המובחר דכולא כמו א"י וכל הגוף נוטל התמצית:</w:t>
      </w:r>
    </w:p>
  </w:footnote>
  <w:footnote w:id="845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וכד נחתא כו'.</w:t>
      </w:r>
      <w:r w:rsidRPr="00BD5E91">
        <w:rPr>
          <w:sz w:val="22"/>
          <w:szCs w:val="22"/>
          <w:rtl/>
        </w:rPr>
        <w:t xml:space="preserve"> שהוא גלות הנשמה וכן בשכינה וישראל כד נחתין לטחול שפחה בישא כמ"ש בתיקונים והוא מצרים ערות הארץ כידוע שם מן המצר מצר לנשמתא קראתי י"ה ויאנחו בני ישראל מן העבודה ויזעקו כו' ענני במרחב י"ה בא"י לבא כנ"ל:</w:t>
      </w:r>
    </w:p>
  </w:footnote>
  <w:footnote w:id="845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את שפירא בזכוון.</w:t>
      </w:r>
      <w:r w:rsidRPr="00BD5E91">
        <w:rPr>
          <w:sz w:val="22"/>
          <w:szCs w:val="22"/>
          <w:rtl/>
        </w:rPr>
        <w:t xml:space="preserve"> ונחית תמן בשביל גלגולא דקודם דאתחייב כמ"ש לקמן ע"ד ואי תימא מה חב אברם אלא כו' וכן כאן בנשמתא:</w:t>
      </w:r>
    </w:p>
  </w:footnote>
  <w:footnote w:id="845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בגינך.</w:t>
      </w:r>
      <w:r w:rsidRPr="00BD5E91">
        <w:rPr>
          <w:sz w:val="22"/>
          <w:szCs w:val="22"/>
          <w:rtl/>
        </w:rPr>
        <w:t xml:space="preserve"> שהיא אשת חיל עטרת בעלה שעיקר היא האשה הגוף שלכן האריך במשלי בענין האשה הגוף והוא היה בגלגול הראשון בגוף שפל ועכשיו שיראו אותו המקטריגים שהוא חזר להיטיב מתקנאים בו כמ"ש בזוהר פנחס משנה פניו שלא יכירו אותו ע"ש:</w:t>
      </w:r>
    </w:p>
  </w:footnote>
  <w:footnote w:id="845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דאשתכח בין חייביא.</w:t>
      </w:r>
      <w:r w:rsidRPr="00BD5E91">
        <w:rPr>
          <w:sz w:val="22"/>
          <w:szCs w:val="22"/>
          <w:rtl/>
        </w:rPr>
        <w:t xml:space="preserve"> ר"ל בין משריין דישראל:</w:t>
      </w:r>
    </w:p>
  </w:footnote>
  <w:footnote w:id="846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וכל הבן כו'.</w:t>
      </w:r>
      <w:r w:rsidRPr="00BD5E91">
        <w:rPr>
          <w:sz w:val="22"/>
          <w:szCs w:val="22"/>
          <w:rtl/>
        </w:rPr>
        <w:t xml:space="preserve"> וכן כאן אותו שהוא זכר יהרגו ואותה יחיו כמ"ש למטה שכל הפרשה הזה הוא ליציאת מצרים וגלותו ור"ל שיקטרגו על הרוחא כנ"ל:</w:t>
      </w:r>
    </w:p>
  </w:footnote>
  <w:footnote w:id="846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הה"ד אמור כו'.</w:t>
      </w:r>
      <w:r w:rsidRPr="00BD5E91">
        <w:rPr>
          <w:sz w:val="22"/>
          <w:szCs w:val="22"/>
          <w:rtl/>
        </w:rPr>
        <w:t xml:space="preserve"> ר"ל בתורה שהוא חירות מכולם וז"ש למען כו' שאדם אוכל מפירותיו כו' ואמר בעבורך שבלא גוף לא יפעל הנשמתא:</w:t>
      </w:r>
    </w:p>
  </w:footnote>
  <w:footnote w:id="846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בגין מארי חובין.</w:t>
      </w:r>
      <w:r w:rsidRPr="00BD5E91">
        <w:rPr>
          <w:sz w:val="22"/>
          <w:szCs w:val="22"/>
          <w:rtl/>
        </w:rPr>
        <w:t xml:space="preserve"> ר"ל רשעים:</w:t>
      </w:r>
    </w:p>
  </w:footnote>
  <w:footnote w:id="846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בית והון כו'.</w:t>
      </w:r>
      <w:r w:rsidRPr="00BD5E91">
        <w:rPr>
          <w:sz w:val="22"/>
          <w:szCs w:val="22"/>
          <w:rtl/>
        </w:rPr>
        <w:t xml:space="preserve"> ר"ל בת עין שהוא י' עם בת הוא בית והיא הון</w:t>
      </w:r>
      <w:r>
        <w:rPr>
          <w:rFonts w:hint="cs"/>
          <w:sz w:val="22"/>
          <w:szCs w:val="22"/>
          <w:rtl/>
        </w:rPr>
        <w:t>,</w:t>
      </w:r>
      <w:r w:rsidRPr="00BD5E91">
        <w:rPr>
          <w:sz w:val="22"/>
          <w:szCs w:val="22"/>
          <w:rtl/>
        </w:rPr>
        <w:t xml:space="preserve"> ברכת ה' היא תעשיר</w:t>
      </w:r>
      <w:r>
        <w:rPr>
          <w:rFonts w:hint="cs"/>
          <w:sz w:val="22"/>
          <w:szCs w:val="22"/>
          <w:rtl/>
        </w:rPr>
        <w:t xml:space="preserve"> (משלי י כב)</w:t>
      </w:r>
      <w:r w:rsidRPr="00BD5E91">
        <w:rPr>
          <w:sz w:val="22"/>
          <w:szCs w:val="22"/>
          <w:rtl/>
        </w:rPr>
        <w:t>:</w:t>
      </w:r>
    </w:p>
  </w:footnote>
  <w:footnote w:id="846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נחלת אבות.</w:t>
      </w:r>
      <w:r w:rsidRPr="00BD5E91">
        <w:rPr>
          <w:sz w:val="22"/>
          <w:szCs w:val="22"/>
          <w:rtl/>
        </w:rPr>
        <w:t xml:space="preserve"> של ג' אבהן כידוע:</w:t>
      </w:r>
    </w:p>
  </w:footnote>
  <w:footnote w:id="846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צריך לכסאה כו'.</w:t>
      </w:r>
      <w:r w:rsidRPr="00BD5E91">
        <w:rPr>
          <w:sz w:val="22"/>
          <w:szCs w:val="22"/>
          <w:rtl/>
        </w:rPr>
        <w:t xml:space="preserve"> ר"ל שלא לגלות בין חייביא שלא להתקנאות הס"א כמש"ו:</w:t>
      </w:r>
    </w:p>
  </w:footnote>
  <w:footnote w:id="846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ותקח האשה כו'.</w:t>
      </w:r>
      <w:r w:rsidRPr="00BD5E91">
        <w:rPr>
          <w:sz w:val="22"/>
          <w:szCs w:val="22"/>
          <w:rtl/>
        </w:rPr>
        <w:t xml:space="preserve"> שנלכד הגוף ח"ו בקנאתם כמו באדה"ר וקין על הבל והוא בית פרעה ס"א:</w:t>
      </w:r>
    </w:p>
  </w:footnote>
  <w:footnote w:id="846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ת"ח אית כו'.</w:t>
      </w:r>
      <w:r w:rsidRPr="00BD5E91">
        <w:rPr>
          <w:sz w:val="22"/>
          <w:szCs w:val="22"/>
          <w:rtl/>
        </w:rPr>
        <w:t xml:space="preserve"> ר"ל שכ"ז הוא ג"כ בנשמתא כמו בת עין ואור בעלה כ"ה בנשמתא דכו' ונוק' כמש"ו:</w:t>
      </w:r>
    </w:p>
  </w:footnote>
  <w:footnote w:id="846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אברם בלא ה'.</w:t>
      </w:r>
      <w:r w:rsidRPr="00BD5E91">
        <w:rPr>
          <w:sz w:val="22"/>
          <w:szCs w:val="22"/>
          <w:rtl/>
        </w:rPr>
        <w:t xml:space="preserve"> שלא זכה עדיין לה' דאצילות כמ"ש לקמן ע"ד:</w:t>
      </w:r>
    </w:p>
  </w:footnote>
  <w:footnote w:id="846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דתמן י'.</w:t>
      </w:r>
      <w:r w:rsidRPr="00BD5E91">
        <w:rPr>
          <w:sz w:val="22"/>
          <w:szCs w:val="22"/>
          <w:rtl/>
        </w:rPr>
        <w:t xml:space="preserve"> דאדנ"י בת יחידה מלכות:</w:t>
      </w:r>
    </w:p>
  </w:footnote>
  <w:footnote w:id="847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דתמן ה'.</w:t>
      </w:r>
      <w:r w:rsidRPr="00BD5E91">
        <w:rPr>
          <w:sz w:val="22"/>
          <w:szCs w:val="22"/>
          <w:rtl/>
        </w:rPr>
        <w:t xml:space="preserve"> בינה:</w:t>
      </w:r>
    </w:p>
  </w:footnote>
  <w:footnote w:id="847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כד הות כו' יחידה.</w:t>
      </w:r>
      <w:r w:rsidRPr="00BD5E91">
        <w:rPr>
          <w:sz w:val="22"/>
          <w:szCs w:val="22"/>
          <w:rtl/>
        </w:rPr>
        <w:t xml:space="preserve"> בת יחידה ולכן לא זכתה לבן וז"ש יחידה אבל כד זכתה לה' אימא זכתה לבן שהוא ו' בן י"ה וז"ש וכד זכתה בה' אתקריאת אימא:</w:t>
      </w:r>
    </w:p>
  </w:footnote>
  <w:footnote w:id="847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שמרני כו'.</w:t>
      </w:r>
      <w:r w:rsidRPr="00BD5E91">
        <w:rPr>
          <w:sz w:val="22"/>
          <w:szCs w:val="22"/>
          <w:rtl/>
        </w:rPr>
        <w:t xml:space="preserve"> שלכן היה צריך לשמור אותה במצרים שעדיין היתה נקראת שרי:</w:t>
      </w:r>
    </w:p>
  </w:footnote>
  <w:footnote w:id="847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בת עין.</w:t>
      </w:r>
      <w:r w:rsidRPr="00BD5E91">
        <w:rPr>
          <w:sz w:val="22"/>
          <w:szCs w:val="22"/>
          <w:rtl/>
        </w:rPr>
        <w:t xml:space="preserve"> בת יחידה והיא צריך לשמירה משא"כ באימא עילאה כידוע:</w:t>
      </w:r>
    </w:p>
  </w:footnote>
  <w:footnote w:id="847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דאיהו דיוקנא כו'.</w:t>
      </w:r>
      <w:r w:rsidRPr="00BD5E91">
        <w:rPr>
          <w:sz w:val="22"/>
          <w:szCs w:val="22"/>
          <w:rtl/>
        </w:rPr>
        <w:t xml:space="preserve"> דקני על נהורא כנ"ל:</w:t>
      </w:r>
    </w:p>
  </w:footnote>
  <w:footnote w:id="847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אגרא דכלה דוחקא.</w:t>
      </w:r>
      <w:r w:rsidRPr="00BD5E91">
        <w:rPr>
          <w:sz w:val="22"/>
          <w:szCs w:val="22"/>
          <w:rtl/>
        </w:rPr>
        <w:t xml:space="preserve"> שאז יצאו כמו שהיתה במצרים קודם יציאתם תכבד העבודה כו':</w:t>
      </w:r>
    </w:p>
  </w:footnote>
  <w:footnote w:id="847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ועל שכינתא כו'.</w:t>
      </w:r>
      <w:r w:rsidRPr="00BD5E91">
        <w:rPr>
          <w:sz w:val="22"/>
          <w:szCs w:val="22"/>
          <w:rtl/>
        </w:rPr>
        <w:t xml:space="preserve"> כמו שלא קרב פרעה ואבימלך אל שרה הנך מת על כו'</w:t>
      </w:r>
      <w:r>
        <w:rPr>
          <w:rFonts w:hint="cs"/>
          <w:sz w:val="22"/>
          <w:szCs w:val="22"/>
          <w:rtl/>
        </w:rPr>
        <w:t xml:space="preserve"> (בראשית כ ג)</w:t>
      </w:r>
      <w:r w:rsidRPr="00BD5E91">
        <w:rPr>
          <w:sz w:val="22"/>
          <w:szCs w:val="22"/>
          <w:rtl/>
        </w:rPr>
        <w:t>:</w:t>
      </w:r>
    </w:p>
  </w:footnote>
  <w:footnote w:id="847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דנטיל ממונם.</w:t>
      </w:r>
      <w:r w:rsidRPr="00BD5E91">
        <w:rPr>
          <w:sz w:val="22"/>
          <w:szCs w:val="22"/>
          <w:rtl/>
        </w:rPr>
        <w:t xml:space="preserve"> כמו ביציאת מצרים וכן בשרה ויעל אברם ממצרים ואברם כבד מאד במקנה כו'. וכמה דאתמר ויצו כו'. וכן ביציאת מצרים בשלח פרעה כו':</w:t>
      </w:r>
    </w:p>
  </w:footnote>
  <w:footnote w:id="847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אבל נשמתא כו'.</w:t>
      </w:r>
      <w:r w:rsidRPr="00BD5E91">
        <w:rPr>
          <w:sz w:val="22"/>
          <w:szCs w:val="22"/>
          <w:rtl/>
        </w:rPr>
        <w:t xml:space="preserve"> שלכן נתיירא אברהם בשביל גלגולא קדמאה כנ"ל לכן רצה לסתרה:</w:t>
      </w:r>
    </w:p>
  </w:footnote>
  <w:footnote w:id="847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דאינון צוררים.</w:t>
      </w:r>
      <w:r w:rsidRPr="00BD5E91">
        <w:rPr>
          <w:sz w:val="22"/>
          <w:szCs w:val="22"/>
          <w:rtl/>
        </w:rPr>
        <w:t xml:space="preserve"> ר"ל לשון מצרים והן משריין דטחול כנ"ל:</w:t>
      </w:r>
    </w:p>
  </w:footnote>
  <w:footnote w:id="848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נשמתין דרשיעייא כו'.</w:t>
      </w:r>
      <w:r w:rsidRPr="00BD5E91">
        <w:rPr>
          <w:sz w:val="22"/>
          <w:szCs w:val="22"/>
          <w:rtl/>
        </w:rPr>
        <w:t xml:space="preserve"> ר"ל שכן נמשלו למצרים שהן רשעי שבכל הדור שלכן נחתו ישראל אצלם בגלות והיא ערות הארץ כנ"ל:</w:t>
      </w:r>
    </w:p>
  </w:footnote>
  <w:footnote w:id="848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דאיהו שד כו'.</w:t>
      </w:r>
      <w:r w:rsidRPr="00BD5E91">
        <w:rPr>
          <w:sz w:val="22"/>
          <w:szCs w:val="22"/>
          <w:rtl/>
        </w:rPr>
        <w:t xml:space="preserve"> ר"ל יצ"ה והוא מטבין שבהן ימינא שבהן שזוכה להתהפך מנחש למטה לעזור שע"ז אמרו בכל לבבך בשני יצריך כו' וז"ש. דלאו כל כו':</w:t>
      </w:r>
    </w:p>
  </w:footnote>
  <w:footnote w:id="848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ועל האי שד אמר כו'.</w:t>
      </w:r>
      <w:r w:rsidRPr="00BD5E91">
        <w:rPr>
          <w:sz w:val="22"/>
          <w:szCs w:val="22"/>
          <w:rtl/>
        </w:rPr>
        <w:t xml:space="preserve"> שהוא אשת יצ"ט שיצ"ט הוא ימינא דכורא אור ויצ"ה חשך שמאלא נוק' ואם זוכה לאשת חיל מסייעת לו ומעמדת על רגליו שעיקר העבודה בו שעליו נאמר טוב מאד שבלעדו לא טוב היות לאדם לבדו כמש"ל דלא הוה אגר לצדיקייא ותורת הבריאה א"א להיות בלעדו כמ"ש שם:</w:t>
      </w:r>
    </w:p>
  </w:footnote>
  <w:footnote w:id="848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זכה לאות י' כו'.</w:t>
      </w:r>
      <w:r w:rsidRPr="00BD5E91">
        <w:rPr>
          <w:sz w:val="22"/>
          <w:szCs w:val="22"/>
          <w:rtl/>
        </w:rPr>
        <w:t xml:space="preserve"> דנטיל לברית נעשה שד"י כמש"ו והוא במט"ט גי' שד"י כידוע שנהפך לטוב:</w:t>
      </w:r>
    </w:p>
  </w:footnote>
  <w:footnote w:id="848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אימתי בליל שבת.</w:t>
      </w:r>
      <w:r w:rsidRPr="00BD5E91">
        <w:rPr>
          <w:sz w:val="22"/>
          <w:szCs w:val="22"/>
          <w:rtl/>
        </w:rPr>
        <w:t xml:space="preserve"> זמן הזיווג איש ואשה לכן אוזפין תרין מלאכין זו"נ כמש"ו ולכן הוא מברך לבע"ה ולאנתתיה נגד שני דרגין דילהון וז"ש. מברך לבע"ה כו' והוא שנאמר ויעל כו' הוא ואשתו וכל אשר לו:</w:t>
      </w:r>
    </w:p>
  </w:footnote>
  <w:footnote w:id="848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ולייט כו'.</w:t>
      </w:r>
      <w:r w:rsidRPr="00BD5E91">
        <w:rPr>
          <w:sz w:val="22"/>
          <w:szCs w:val="22"/>
          <w:rtl/>
        </w:rPr>
        <w:t xml:space="preserve"> כמ"ש בגמ' (שבת קיט ע"ב):</w:t>
      </w:r>
    </w:p>
  </w:footnote>
  <w:footnote w:id="848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ואיהו אעיל כו'.</w:t>
      </w:r>
      <w:r w:rsidRPr="00BD5E91">
        <w:rPr>
          <w:sz w:val="22"/>
          <w:szCs w:val="22"/>
          <w:rtl/>
        </w:rPr>
        <w:t xml:space="preserve"> כאותו מעשה במדרש בכל ליל שבת:</w:t>
      </w:r>
    </w:p>
  </w:footnote>
  <w:footnote w:id="848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רועי מקנה כו'.</w:t>
      </w:r>
      <w:r w:rsidRPr="00BD5E91">
        <w:rPr>
          <w:sz w:val="22"/>
          <w:szCs w:val="22"/>
          <w:rtl/>
        </w:rPr>
        <w:t xml:space="preserve"> משריין דילהון כנ"ל:</w:t>
      </w:r>
    </w:p>
  </w:footnote>
  <w:footnote w:id="848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מסט' דהאי גופא.</w:t>
      </w:r>
      <w:r w:rsidRPr="00BD5E91">
        <w:rPr>
          <w:sz w:val="22"/>
          <w:szCs w:val="22"/>
          <w:rtl/>
        </w:rPr>
        <w:t xml:space="preserve"> שהגוף הוא מסט' דמט"ט כמש"ל בדף הקודם ובו ע"ה טו"ר שהטוב עם הרע אחים שם יעקב ועשו והוא בשני חללא דלבא:</w:t>
      </w:r>
    </w:p>
  </w:footnote>
  <w:footnote w:id="848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הלא כל הארץ לפניך.</w:t>
      </w:r>
      <w:r w:rsidRPr="00BD5E91">
        <w:rPr>
          <w:sz w:val="22"/>
          <w:szCs w:val="22"/>
          <w:rtl/>
        </w:rPr>
        <w:t xml:space="preserve"> כמ"ש במדרש הנעלם סגיאין רשעייא זיל אצלן וחסר כאן סיום המאמר ויסע לוט מקדם. ר"ל באורייתא שהיא קדם מפעליו מאז. שבה הוצרך להתפרד ממנו ויפרדו איש מעל אחיו וז"ש. ובג"ד אמרו מ"מ אם כו':</w:t>
      </w:r>
    </w:p>
  </w:footnote>
  <w:footnote w:id="849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כד אסתלק כו'.</w:t>
      </w:r>
      <w:r w:rsidRPr="00BD5E91">
        <w:rPr>
          <w:sz w:val="22"/>
          <w:szCs w:val="22"/>
          <w:rtl/>
        </w:rPr>
        <w:t xml:space="preserve"> בגלותא וז"ש. בגין זרעא כו' כמ"ש (מגילה כט ע"א) גלו לבבל כו' ושב והשיב לא נאמר כו':</w:t>
      </w:r>
    </w:p>
  </w:footnote>
  <w:footnote w:id="849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בין סטרין בישין.</w:t>
      </w:r>
      <w:r w:rsidRPr="00BD5E91">
        <w:rPr>
          <w:sz w:val="22"/>
          <w:szCs w:val="22"/>
          <w:rtl/>
        </w:rPr>
        <w:t xml:space="preserve"> ר"ל מצרים צוררים כנ"ל:</w:t>
      </w:r>
    </w:p>
  </w:footnote>
  <w:footnote w:id="849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אות ברית.</w:t>
      </w:r>
      <w:r w:rsidRPr="00BD5E91">
        <w:rPr>
          <w:sz w:val="22"/>
          <w:szCs w:val="22"/>
          <w:rtl/>
        </w:rPr>
        <w:t xml:space="preserve"> שהוא ויוסף הוא המשביר אבל ח"ו אם לא נטרין אז משפיע לא"ה שהן מצרים וישראל אוכלין התמצית אז כ"י חסירה כמש"ו וכמ"ש הנה שמעתי כי יש שבר במצרים שנזדבן האי צדיקא בגלותא כמ"ש בז"ח ע"ש וז"ש למה תתראו כמש"ו. ותראה היבשה:</w:t>
      </w:r>
    </w:p>
  </w:footnote>
  <w:footnote w:id="849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באות ה' כו'.</w:t>
      </w:r>
      <w:r w:rsidRPr="00BD5E91">
        <w:rPr>
          <w:sz w:val="22"/>
          <w:szCs w:val="22"/>
          <w:rtl/>
        </w:rPr>
        <w:t xml:space="preserve"> שהוא גלגולא דאדם כידוע והוא חטא בע"ה בנוקבא כמש"ל ולכן נפגם בה' ובאות ברית היה החטא כידוע ואסתלק נביעו כנ"ל לכן ירא עכשיו:</w:t>
      </w:r>
    </w:p>
  </w:footnote>
  <w:footnote w:id="849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עד דזכה לה.</w:t>
      </w:r>
      <w:r w:rsidRPr="00BD5E91">
        <w:rPr>
          <w:sz w:val="22"/>
          <w:szCs w:val="22"/>
          <w:rtl/>
        </w:rPr>
        <w:t xml:space="preserve"> במאה שנים מאה ברכאן דנחית נביעו בשכינה כמ"ש מאה ברכות שחייב לארקא לשכינה כמ"ש למטה שהן מאה שנה:</w:t>
      </w:r>
    </w:p>
  </w:footnote>
  <w:footnote w:id="849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וביה אשתלים.</w:t>
      </w:r>
      <w:r w:rsidRPr="00BD5E91">
        <w:rPr>
          <w:sz w:val="22"/>
          <w:szCs w:val="22"/>
          <w:rtl/>
        </w:rPr>
        <w:t xml:space="preserve"> ר"ל שאברהם גי' רמ"ח איברים והוא עם ה"א שזכה לה:</w:t>
      </w:r>
    </w:p>
  </w:footnote>
  <w:footnote w:id="849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ובגין יוד כו'.</w:t>
      </w:r>
      <w:r w:rsidRPr="00BD5E91">
        <w:rPr>
          <w:sz w:val="22"/>
          <w:szCs w:val="22"/>
          <w:rtl/>
        </w:rPr>
        <w:t xml:space="preserve"> ר"ל קודם שזכה לה"א:</w:t>
      </w:r>
    </w:p>
  </w:footnote>
  <w:footnote w:id="849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ואתמר בה אבן כו'.</w:t>
      </w:r>
      <w:r w:rsidRPr="00BD5E91">
        <w:rPr>
          <w:sz w:val="22"/>
          <w:szCs w:val="22"/>
          <w:rtl/>
        </w:rPr>
        <w:t xml:space="preserve"> יו"ד הנ"ל דאסתלקא לעילא לעילא ומשם היא מגנת לאדם כמש"ל דף ע"ו ע"ג וכד אסתלקת איתמר בה אבן כו' בההוא זימנא אסתלק בה ב"נ על כל אינון כו':</w:t>
      </w:r>
    </w:p>
  </w:footnote>
  <w:footnote w:id="849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מסט' דטוב.</w:t>
      </w:r>
      <w:r w:rsidRPr="00BD5E91">
        <w:rPr>
          <w:sz w:val="22"/>
          <w:szCs w:val="22"/>
          <w:rtl/>
        </w:rPr>
        <w:t xml:space="preserve"> עד"א שנק' טוב כמ"ש לעיל בדף הקודם:</w:t>
      </w:r>
    </w:p>
  </w:footnote>
  <w:footnote w:id="849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מסט' דח"י עלמין.</w:t>
      </w:r>
      <w:r w:rsidRPr="00BD5E91">
        <w:rPr>
          <w:sz w:val="22"/>
          <w:szCs w:val="22"/>
          <w:rtl/>
        </w:rPr>
        <w:t xml:space="preserve"> שיוד דשרי מלכות כוללת צדיק ח"י עלמין וה' דשרה ה' עילאה כוללת עד"א כידוע ושבשניהן חטא בגלות הראשון כמש"ו דתרין דרגין כו' ובה רצה להגן:</w:t>
      </w:r>
    </w:p>
  </w:footnote>
  <w:footnote w:id="850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בגין דבתרין דרגין אלין תבנא בהון כו'. </w:t>
      </w:r>
      <w:r w:rsidRPr="00BD5E91">
        <w:rPr>
          <w:sz w:val="22"/>
          <w:szCs w:val="22"/>
          <w:rtl/>
        </w:rPr>
        <w:t>והיא זכתה לתרין דרגין אלין כנ"ל רצה להגן בה:</w:t>
      </w:r>
    </w:p>
  </w:footnote>
  <w:footnote w:id="850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בגין.</w:t>
      </w:r>
      <w:r w:rsidRPr="00BD5E91">
        <w:rPr>
          <w:sz w:val="22"/>
          <w:szCs w:val="22"/>
          <w:rtl/>
        </w:rPr>
        <w:t xml:space="preserve"> ר"ל בגין דלתתא בצדיק באדם הגשמי הצדיק הזכר נברא בצלם דכורא כן צדקת נבראת בצלם נוקבא שכינה:</w:t>
      </w:r>
    </w:p>
  </w:footnote>
  <w:footnote w:id="850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חיים דילה י"ה.</w:t>
      </w:r>
      <w:r w:rsidRPr="00BD5E91">
        <w:rPr>
          <w:sz w:val="22"/>
          <w:szCs w:val="22"/>
          <w:rtl/>
        </w:rPr>
        <w:t xml:space="preserve"> כמש"ל נשמת חיים חיי מלך:</w:t>
      </w:r>
    </w:p>
  </w:footnote>
  <w:footnote w:id="850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והאי איהו כו'.</w:t>
      </w:r>
      <w:r w:rsidRPr="00BD5E91">
        <w:rPr>
          <w:sz w:val="22"/>
          <w:szCs w:val="22"/>
          <w:rtl/>
        </w:rPr>
        <w:t xml:space="preserve"> ר"ל וכן הוא ב' אותיות הנ"ל חיים דנשמתא כמש"ו:</w:t>
      </w:r>
    </w:p>
  </w:footnote>
  <w:footnote w:id="850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והאי ה' כו'.</w:t>
      </w:r>
      <w:r w:rsidRPr="00BD5E91">
        <w:rPr>
          <w:sz w:val="22"/>
          <w:szCs w:val="22"/>
          <w:rtl/>
        </w:rPr>
        <w:t xml:space="preserve"> לכן לא נפקדו אברהם עד ק' ושרה עד תשעים שנה שלא זכו להפקד להיות להם בן עד שזכו זה באבא וזו באימא אז זכו לבן י"ה כידוע דאב ואם באדם הן בדרגא דאו"א ואימא הוא צ' והוא היה צריך עוד לי' של אבא ק':</w:t>
      </w:r>
    </w:p>
  </w:footnote>
  <w:footnote w:id="850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ואינון מאה כו'.</w:t>
      </w:r>
      <w:r w:rsidRPr="00BD5E91">
        <w:rPr>
          <w:sz w:val="22"/>
          <w:szCs w:val="22"/>
          <w:rtl/>
        </w:rPr>
        <w:t xml:space="preserve"> וז"ש ויהיו חיי כו' מאה ברכות הן חיין שלה והברכות הוא מאמא שנתמלא מאבא כמש"ל ברכת ה' מן המלא כו' ע"ש:</w:t>
      </w:r>
    </w:p>
  </w:footnote>
  <w:footnote w:id="850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ועלייהו מני כו' א"ת מה כו'.</w:t>
      </w:r>
      <w:r w:rsidRPr="00BD5E91">
        <w:rPr>
          <w:sz w:val="22"/>
          <w:szCs w:val="22"/>
          <w:rtl/>
        </w:rPr>
        <w:t xml:space="preserve"> ור"ל שהברכות הן י"ה כנ"ל ונתחלפה ה"א ונעשה י"ץ וכאן נחלף יו"ד ונעשה מ"ה וז"ש א"ת מה כו' שבא"ת ב"ש מ"ה י"ץ כנ"ל:</w:t>
      </w:r>
    </w:p>
  </w:footnote>
  <w:footnote w:id="8507">
    <w:p w:rsidR="00007309" w:rsidRPr="00BD5E91" w:rsidRDefault="00007309" w:rsidP="00007309">
      <w:pPr>
        <w:jc w:val="both"/>
        <w:rPr>
          <w:rFonts w:cs="Arial"/>
          <w:sz w:val="22"/>
          <w:szCs w:val="22"/>
          <w:rtl/>
        </w:rPr>
      </w:pPr>
      <w:r w:rsidRPr="00BD5E91">
        <w:rPr>
          <w:rStyle w:val="a7"/>
          <w:rFonts w:cs="Arial"/>
          <w:sz w:val="22"/>
          <w:szCs w:val="22"/>
          <w:rtl/>
        </w:rPr>
        <w:footnoteRef/>
      </w:r>
      <w:r w:rsidRPr="00BD5E91">
        <w:rPr>
          <w:rFonts w:cs="Arial"/>
          <w:sz w:val="22"/>
          <w:szCs w:val="22"/>
          <w:rtl/>
        </w:rPr>
        <w:t xml:space="preserve"> </w:t>
      </w:r>
      <w:r w:rsidRPr="00BD5E91">
        <w:rPr>
          <w:rFonts w:cs="Arial"/>
          <w:b/>
          <w:bCs/>
          <w:sz w:val="22"/>
          <w:szCs w:val="22"/>
          <w:rtl/>
        </w:rPr>
        <w:t>דאיהו ויכלו כו'.</w:t>
      </w:r>
      <w:r w:rsidRPr="00BD5E91">
        <w:rPr>
          <w:rFonts w:cs="Arial"/>
          <w:sz w:val="22"/>
          <w:szCs w:val="22"/>
          <w:rtl/>
        </w:rPr>
        <w:t xml:space="preserve"> ר"ל לשון ויכלו הוא כלל כלל כולן ולכן לא נאמר בו לא יום ולא מאמר שכולל כולן ור"ל שהכ"ז הן כ"ו של ו' של השם ת"ת שכולל כל השם והן עשר אמירן ועשר דברות ו' ימי המעשה. ושבת היא ה' של השם כלל דכולהו וכן הוא נכלל מכל המאה שנה וזהו שנותיה ככל השם מאה י"ה עשרים ושש ו' שנה האחרונה בה' דל"ל מגרמה כלום אלא נכללת מכולן ועיקר כלולה מכ"ו של ו' בעלה וז"ש ולקבלייהו אתייהיבת כו' וכ"ו שלו הוא כמ"ש בדף שאח"ז דו' סליק לכ' של כתר ונעשה כ"ו הרי כל הע"ס כאן והויה שכלולה בת"ת</w:t>
      </w:r>
      <w:r>
        <w:rPr>
          <w:rFonts w:cs="Arial" w:hint="cs"/>
          <w:sz w:val="22"/>
          <w:szCs w:val="22"/>
          <w:rtl/>
        </w:rPr>
        <w:t>.</w:t>
      </w:r>
      <w:r w:rsidRPr="00BD5E91">
        <w:rPr>
          <w:rFonts w:cs="Arial"/>
          <w:sz w:val="22"/>
          <w:szCs w:val="22"/>
          <w:rtl/>
        </w:rPr>
        <w:t xml:space="preserve"> י' הוא כמש"ל</w:t>
      </w:r>
      <w:r>
        <w:rPr>
          <w:rFonts w:cs="Arial" w:hint="cs"/>
          <w:sz w:val="22"/>
          <w:szCs w:val="22"/>
          <w:rtl/>
        </w:rPr>
        <w:t>,</w:t>
      </w:r>
      <w:r w:rsidRPr="00BD5E91">
        <w:rPr>
          <w:rFonts w:cs="Arial"/>
          <w:sz w:val="22"/>
          <w:szCs w:val="22"/>
          <w:rtl/>
        </w:rPr>
        <w:t xml:space="preserve"> ה' ה' בה"ס שלו ה' רקיעין</w:t>
      </w:r>
      <w:r>
        <w:rPr>
          <w:rFonts w:cs="Arial" w:hint="cs"/>
          <w:sz w:val="22"/>
          <w:szCs w:val="22"/>
          <w:rtl/>
        </w:rPr>
        <w:t>,</w:t>
      </w:r>
      <w:r w:rsidRPr="00BD5E91">
        <w:rPr>
          <w:rFonts w:cs="Arial"/>
          <w:sz w:val="22"/>
          <w:szCs w:val="22"/>
          <w:rtl/>
        </w:rPr>
        <w:t xml:space="preserve"> ו' ביסוד רקיע הששי</w:t>
      </w:r>
      <w:r>
        <w:rPr>
          <w:rFonts w:cs="Arial" w:hint="cs"/>
          <w:sz w:val="22"/>
          <w:szCs w:val="22"/>
          <w:rtl/>
        </w:rPr>
        <w:t>,</w:t>
      </w:r>
      <w:r w:rsidRPr="00BD5E91">
        <w:rPr>
          <w:rFonts w:cs="Arial"/>
          <w:sz w:val="22"/>
          <w:szCs w:val="22"/>
          <w:rtl/>
        </w:rPr>
        <w:t xml:space="preserve"> ו' בעטרת היסוד רקיע שביעי וילון ונכלל בששי</w:t>
      </w:r>
      <w:r>
        <w:rPr>
          <w:rFonts w:cs="Arial" w:hint="cs"/>
          <w:sz w:val="22"/>
          <w:szCs w:val="22"/>
          <w:rtl/>
        </w:rPr>
        <w:t>.</w:t>
      </w:r>
      <w:r w:rsidRPr="00BD5E91">
        <w:rPr>
          <w:rFonts w:cs="Arial"/>
          <w:sz w:val="22"/>
          <w:szCs w:val="22"/>
          <w:rtl/>
        </w:rPr>
        <w:t xml:space="preserve"> וכולם כלילן בו' של השם</w:t>
      </w:r>
      <w:r>
        <w:rPr>
          <w:rFonts w:cs="Arial" w:hint="cs"/>
          <w:sz w:val="22"/>
          <w:szCs w:val="22"/>
          <w:rtl/>
        </w:rPr>
        <w:t>.</w:t>
      </w:r>
      <w:r w:rsidRPr="00BD5E91">
        <w:rPr>
          <w:rFonts w:cs="Arial"/>
          <w:sz w:val="22"/>
          <w:szCs w:val="22"/>
          <w:rtl/>
        </w:rPr>
        <w:t xml:space="preserve"> ה' אחרונה היא הארץ</w:t>
      </w:r>
      <w:r>
        <w:rPr>
          <w:rFonts w:cs="Arial" w:hint="cs"/>
          <w:sz w:val="22"/>
          <w:szCs w:val="22"/>
          <w:rtl/>
        </w:rPr>
        <w:t>,</w:t>
      </w:r>
      <w:r w:rsidRPr="00BD5E91">
        <w:rPr>
          <w:rFonts w:cs="Arial"/>
          <w:sz w:val="22"/>
          <w:szCs w:val="22"/>
          <w:rtl/>
        </w:rPr>
        <w:t xml:space="preserve"> וז"ש לפעמים על וילון שהוא מלכות</w:t>
      </w:r>
      <w:r>
        <w:rPr>
          <w:rFonts w:cs="Arial" w:hint="cs"/>
          <w:sz w:val="22"/>
          <w:szCs w:val="22"/>
          <w:rtl/>
        </w:rPr>
        <w:t>,</w:t>
      </w:r>
      <w:r w:rsidRPr="00BD5E91">
        <w:rPr>
          <w:rFonts w:cs="Arial"/>
          <w:sz w:val="22"/>
          <w:szCs w:val="22"/>
          <w:rtl/>
        </w:rPr>
        <w:t xml:space="preserve"> ואמרו ג"כ על הארץ</w:t>
      </w:r>
      <w:r>
        <w:rPr>
          <w:rFonts w:cs="Arial" w:hint="cs"/>
          <w:sz w:val="22"/>
          <w:szCs w:val="22"/>
          <w:rtl/>
        </w:rPr>
        <w:t>,</w:t>
      </w:r>
      <w:r w:rsidRPr="00BD5E91">
        <w:rPr>
          <w:rFonts w:cs="Arial"/>
          <w:sz w:val="22"/>
          <w:szCs w:val="22"/>
          <w:rtl/>
        </w:rPr>
        <w:t xml:space="preserve"> אלא שהארץ הוא מלכות הפרטי נק' וילון</w:t>
      </w:r>
      <w:r>
        <w:rPr>
          <w:rFonts w:cs="Arial" w:hint="cs"/>
          <w:sz w:val="22"/>
          <w:szCs w:val="22"/>
          <w:rtl/>
        </w:rPr>
        <w:t>,</w:t>
      </w:r>
      <w:r w:rsidRPr="00BD5E91">
        <w:rPr>
          <w:rFonts w:cs="Arial"/>
          <w:sz w:val="22"/>
          <w:szCs w:val="22"/>
          <w:rtl/>
        </w:rPr>
        <w:t xml:space="preserve"> הוא מלכות דז"א עטרת היסוד</w:t>
      </w:r>
      <w:r>
        <w:rPr>
          <w:rFonts w:cs="Arial" w:hint="cs"/>
          <w:sz w:val="22"/>
          <w:szCs w:val="22"/>
          <w:rtl/>
        </w:rPr>
        <w:t>.</w:t>
      </w:r>
      <w:r w:rsidRPr="00BD5E91">
        <w:rPr>
          <w:rFonts w:cs="Arial"/>
          <w:sz w:val="22"/>
          <w:szCs w:val="22"/>
          <w:rtl/>
        </w:rPr>
        <w:t xml:space="preserve"> וכן הוא בסיהרא של ז' כוכבים שלכן נאמר בזוהר ג"כ על הסיהרא שהוא יסוד ולפי שבשם הויה ה' כפולה לכן חמש אותיות כפולים וז"ש מנצפ"ך דצופים:</w:t>
      </w:r>
    </w:p>
  </w:footnote>
  <w:footnote w:id="850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ואשתארת כס חסר.</w:t>
      </w:r>
      <w:r w:rsidRPr="00BD5E91">
        <w:rPr>
          <w:sz w:val="22"/>
          <w:szCs w:val="22"/>
          <w:rtl/>
        </w:rPr>
        <w:t xml:space="preserve"> ה'א' דהכס"א גי' אלקים נמצא חסר ו' הרי חסר ממנה שהיא אחרונה יה"ו:</w:t>
      </w:r>
    </w:p>
  </w:footnote>
  <w:footnote w:id="850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אלין ארבע סטרין כו'.</w:t>
      </w:r>
      <w:r w:rsidRPr="00BD5E91">
        <w:rPr>
          <w:sz w:val="22"/>
          <w:szCs w:val="22"/>
          <w:rtl/>
        </w:rPr>
        <w:t xml:space="preserve"> ארבע חיות הכסא ד' אותיות הוי"ה דאתבדרו עם ישראל וז"ש (זכריה ב י) כי כארבע רוחות השמים פרשתי אתכם כמו שהארבע רוחות נתפזרו כן נתפזרו הן ג"כ בד' רוחות העולם אחר השם והן ארבע דידה וז"ש ובג"ד תקינו כו' והוא כמו מיתה כשחיים נפרדו מגוף אתפזרו ארבע יסודין דיליה לד' רוחות שהן שורש ד' יסודין כידוע והוא ד' כנפות הארץ וז"ש דגלותא כו':</w:t>
      </w:r>
    </w:p>
  </w:footnote>
  <w:footnote w:id="851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דאיהי אתלבשת כו'.</w:t>
      </w:r>
      <w:r w:rsidRPr="00BD5E91">
        <w:rPr>
          <w:sz w:val="22"/>
          <w:szCs w:val="22"/>
          <w:rtl/>
        </w:rPr>
        <w:t xml:space="preserve"> ר"ל שכינה:</w:t>
      </w:r>
    </w:p>
  </w:footnote>
  <w:footnote w:id="851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דאתמר בה.</w:t>
      </w:r>
      <w:r w:rsidRPr="00BD5E91">
        <w:rPr>
          <w:sz w:val="22"/>
          <w:szCs w:val="22"/>
          <w:rtl/>
        </w:rPr>
        <w:t xml:space="preserve"> ר"ל בארץ:</w:t>
      </w:r>
    </w:p>
  </w:footnote>
  <w:footnote w:id="851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משכינה וצדיק. </w:t>
      </w:r>
      <w:r w:rsidRPr="00BD5E91">
        <w:rPr>
          <w:sz w:val="22"/>
          <w:szCs w:val="22"/>
          <w:rtl/>
        </w:rPr>
        <w:t>ר"ל תהו רק משכינה וצדיק דלבושין דילה אתלבשו בארעא כמ"ש למטה דבה עצמה אין רע כמש"ל:</w:t>
      </w:r>
    </w:p>
  </w:footnote>
  <w:footnote w:id="851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וארבע חיון דילה כו'.</w:t>
      </w:r>
      <w:r w:rsidRPr="00BD5E91">
        <w:rPr>
          <w:sz w:val="22"/>
          <w:szCs w:val="22"/>
          <w:rtl/>
        </w:rPr>
        <w:t xml:space="preserve"> קאי אלמטה דאינון ארבע כו' גלו כו' והן הלבושין דאתלבשו בארעא והן שגלו שהן ד' כנפות הארץ שהן בפירודא כמ"ש למטה:</w:t>
      </w:r>
    </w:p>
  </w:footnote>
  <w:footnote w:id="851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דאיהו אש כו'.</w:t>
      </w:r>
      <w:r w:rsidRPr="00BD5E91">
        <w:rPr>
          <w:sz w:val="22"/>
          <w:szCs w:val="22"/>
          <w:rtl/>
        </w:rPr>
        <w:t xml:space="preserve"> ר"ל ג' קליפות של אליהו</w:t>
      </w:r>
      <w:r>
        <w:rPr>
          <w:rFonts w:hint="cs"/>
          <w:sz w:val="22"/>
          <w:szCs w:val="22"/>
          <w:rtl/>
        </w:rPr>
        <w:t xml:space="preserve"> (מלכים א יט יא-יב)</w:t>
      </w:r>
      <w:r w:rsidRPr="00BD5E91">
        <w:rPr>
          <w:sz w:val="22"/>
          <w:szCs w:val="22"/>
          <w:rtl/>
        </w:rPr>
        <w:t>:</w:t>
      </w:r>
    </w:p>
  </w:footnote>
  <w:footnote w:id="851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דהכי אתפלג כו'.</w:t>
      </w:r>
      <w:r w:rsidRPr="00BD5E91">
        <w:rPr>
          <w:sz w:val="22"/>
          <w:szCs w:val="22"/>
          <w:rtl/>
        </w:rPr>
        <w:t xml:space="preserve"> לש"ו:</w:t>
      </w:r>
    </w:p>
  </w:footnote>
  <w:footnote w:id="851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ואלין אינון כו'.</w:t>
      </w:r>
      <w:r w:rsidRPr="00BD5E91">
        <w:rPr>
          <w:sz w:val="22"/>
          <w:szCs w:val="22"/>
          <w:rtl/>
        </w:rPr>
        <w:t xml:space="preserve"> כמש"ל כלל המוחא וד' מוחין:</w:t>
      </w:r>
    </w:p>
  </w:footnote>
  <w:footnote w:id="851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עור ובשר כו' אינון ארבע כו'.</w:t>
      </w:r>
      <w:r w:rsidRPr="00BD5E91">
        <w:rPr>
          <w:sz w:val="22"/>
          <w:szCs w:val="22"/>
          <w:rtl/>
        </w:rPr>
        <w:t xml:space="preserve"> נגד י"ק ונגד ו"ה שלכן אמר בזה לבוש שו"ה לבוש לי"ה כידוע וזה סכך בסוד סוכה כידוע:</w:t>
      </w:r>
    </w:p>
  </w:footnote>
  <w:footnote w:id="851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מאי עור כו'.</w:t>
      </w:r>
      <w:r w:rsidRPr="00BD5E91">
        <w:rPr>
          <w:sz w:val="22"/>
          <w:szCs w:val="22"/>
          <w:rtl/>
        </w:rPr>
        <w:t xml:space="preserve"> והוא הגלות בד' מלכיות שהגלות הזה האחרון הוא עור</w:t>
      </w:r>
      <w:r>
        <w:rPr>
          <w:rFonts w:hint="cs"/>
          <w:sz w:val="22"/>
          <w:szCs w:val="22"/>
          <w:rtl/>
        </w:rPr>
        <w:t>,</w:t>
      </w:r>
      <w:r w:rsidRPr="00BD5E91">
        <w:rPr>
          <w:sz w:val="22"/>
          <w:szCs w:val="22"/>
          <w:rtl/>
        </w:rPr>
        <w:t xml:space="preserve"> חשיכו דעיינין</w:t>
      </w:r>
      <w:r>
        <w:rPr>
          <w:rFonts w:hint="cs"/>
          <w:sz w:val="22"/>
          <w:szCs w:val="22"/>
          <w:rtl/>
        </w:rPr>
        <w:t>,</w:t>
      </w:r>
      <w:r w:rsidRPr="00BD5E91">
        <w:rPr>
          <w:sz w:val="22"/>
          <w:szCs w:val="22"/>
          <w:rtl/>
        </w:rPr>
        <w:t xml:space="preserve"> משכא דחויא:</w:t>
      </w:r>
    </w:p>
  </w:footnote>
  <w:footnote w:id="851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אינון בפרודא כביכול.</w:t>
      </w:r>
      <w:r w:rsidRPr="00BD5E91">
        <w:rPr>
          <w:sz w:val="22"/>
          <w:szCs w:val="22"/>
          <w:rtl/>
        </w:rPr>
        <w:t xml:space="preserve"> ומפורש כאלו כו':</w:t>
      </w:r>
    </w:p>
  </w:footnote>
  <w:footnote w:id="852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ושמיה כו'.</w:t>
      </w:r>
      <w:r w:rsidRPr="00BD5E91">
        <w:rPr>
          <w:sz w:val="22"/>
          <w:szCs w:val="22"/>
          <w:rtl/>
        </w:rPr>
        <w:t xml:space="preserve"> שהוא לא שריא אלא באחד שלים:</w:t>
      </w:r>
    </w:p>
  </w:footnote>
  <w:footnote w:id="852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והא שמענא כו'.</w:t>
      </w:r>
      <w:r w:rsidRPr="00BD5E91">
        <w:rPr>
          <w:sz w:val="22"/>
          <w:szCs w:val="22"/>
          <w:rtl/>
        </w:rPr>
        <w:t xml:space="preserve"> והוא אמר דשמיה לא שריא כו' לפי שהן בפירודא:</w:t>
      </w:r>
    </w:p>
  </w:footnote>
  <w:footnote w:id="852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אית אתוון כו'.</w:t>
      </w:r>
      <w:r w:rsidRPr="00BD5E91">
        <w:rPr>
          <w:sz w:val="22"/>
          <w:szCs w:val="22"/>
          <w:rtl/>
        </w:rPr>
        <w:t xml:space="preserve"> בבריאה שהוא אור לבושו כמש"ל:</w:t>
      </w:r>
    </w:p>
  </w:footnote>
  <w:footnote w:id="852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תלת עשר לעילא כו'.</w:t>
      </w:r>
      <w:r w:rsidRPr="00BD5E91">
        <w:rPr>
          <w:sz w:val="22"/>
          <w:szCs w:val="22"/>
          <w:rtl/>
        </w:rPr>
        <w:t xml:space="preserve"> ר"ל אחד אחד כמש"ו והן י"ק לעילא ו"ק לתתא כמש"ל דף פ"ב ע"ב ויהון או"א ביחודא חדא י"ק לעילא כו' אחד אחד ע"ש. והענין כי בינה ה' עילאה בנ' תרעין דילה ה"פ י' כידוע מתפשט בז"ת כידוע ונשארת למעלה למ"ד בסוד מגדל הפורח באויר וכ' מתפשט למטה ונעשה כתר של עד"א כידוע וכן בסוד מאה שלה ע"ס דידה שכליל מעשר מתפשט מ' למטה וס' למעלה נשאר כידוע בסוד מ' וס' שבלוחות, בינה ותבונה, בינה ס', ו"ס הראשונות ותבונה מ' דאתפשטת למטה ד"ס התחתונות כידוע הכל</w:t>
      </w:r>
      <w:r>
        <w:rPr>
          <w:rFonts w:hint="cs"/>
          <w:sz w:val="22"/>
          <w:szCs w:val="22"/>
          <w:rtl/>
        </w:rPr>
        <w:t>.</w:t>
      </w:r>
      <w:r w:rsidRPr="00BD5E91">
        <w:rPr>
          <w:sz w:val="22"/>
          <w:szCs w:val="22"/>
          <w:rtl/>
        </w:rPr>
        <w:t xml:space="preserve"> נמצא ג' מה' למעלה וב' למטה וזהו י"ג למעלה י"ג למטה:</w:t>
      </w:r>
    </w:p>
  </w:footnote>
  <w:footnote w:id="852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לאו תמן חושבנא.</w:t>
      </w:r>
      <w:r w:rsidRPr="00BD5E91">
        <w:rPr>
          <w:sz w:val="22"/>
          <w:szCs w:val="22"/>
          <w:rtl/>
        </w:rPr>
        <w:t xml:space="preserve"> דשם באחדות הפשוט:</w:t>
      </w:r>
    </w:p>
  </w:footnote>
  <w:footnote w:id="852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היא חברון.</w:t>
      </w:r>
      <w:r w:rsidRPr="00BD5E91">
        <w:rPr>
          <w:sz w:val="22"/>
          <w:szCs w:val="22"/>
          <w:rtl/>
        </w:rPr>
        <w:t xml:space="preserve"> ד' כנפות בחיבורא:</w:t>
      </w:r>
    </w:p>
  </w:footnote>
  <w:footnote w:id="852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בה אשתלים י' כו'.</w:t>
      </w:r>
      <w:r w:rsidRPr="00BD5E91">
        <w:rPr>
          <w:sz w:val="22"/>
          <w:szCs w:val="22"/>
          <w:rtl/>
        </w:rPr>
        <w:t xml:space="preserve"> כמש"ו דא' פעמים הוא יו"י פעמים הוא יוד</w:t>
      </w:r>
      <w:r>
        <w:rPr>
          <w:rFonts w:hint="cs"/>
          <w:sz w:val="22"/>
          <w:szCs w:val="22"/>
          <w:rtl/>
        </w:rPr>
        <w:t>.</w:t>
      </w:r>
      <w:r w:rsidRPr="00BD5E91">
        <w:rPr>
          <w:sz w:val="22"/>
          <w:szCs w:val="22"/>
          <w:rtl/>
        </w:rPr>
        <w:t xml:space="preserve"> והוא יו"ד של כתר ובשניהם הוא נשלם ע"י הו' דסליק לכתר ור"ל כאן שע"י נעשה יו"ד במילואו שהוא בכתר שהוא גי' עשרים והוא עשרים שנה</w:t>
      </w:r>
      <w:r>
        <w:rPr>
          <w:rFonts w:hint="cs"/>
          <w:sz w:val="22"/>
          <w:szCs w:val="22"/>
          <w:rtl/>
        </w:rPr>
        <w:t>.</w:t>
      </w:r>
      <w:r w:rsidRPr="00BD5E91">
        <w:rPr>
          <w:sz w:val="22"/>
          <w:szCs w:val="22"/>
          <w:rtl/>
        </w:rPr>
        <w:t xml:space="preserve"> ואמר ונעשית כו' אופן השני אופן השני רק לראיה דו' סליק לכתר שזמנין הא' שבכתר הוא יו"י שני יודין הוא ידוע שני בחינות שבכתר והוא יו"ד מלא שבכ</w:t>
      </w:r>
      <w:r>
        <w:rPr>
          <w:rFonts w:hint="cs"/>
          <w:sz w:val="22"/>
          <w:szCs w:val="22"/>
          <w:rtl/>
        </w:rPr>
        <w:t>ת</w:t>
      </w:r>
      <w:r w:rsidRPr="00BD5E91">
        <w:rPr>
          <w:sz w:val="22"/>
          <w:szCs w:val="22"/>
          <w:rtl/>
        </w:rPr>
        <w:t>ר ו' שבין היודין הוא ע"כ ו' דסליק שם כמש"ל דעד"א סליק לכתר ובוא"ו שבין ב' היודין ע"ש וכן הוא באלף שהוא יו"ד:</w:t>
      </w:r>
    </w:p>
  </w:footnote>
  <w:footnote w:id="852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ודא כ"ו מן כוז"ו.</w:t>
      </w:r>
      <w:r w:rsidRPr="00BD5E91">
        <w:rPr>
          <w:sz w:val="22"/>
          <w:szCs w:val="22"/>
          <w:rtl/>
        </w:rPr>
        <w:t xml:space="preserve"> שלקמן יפרש ז' שלו והוא שבע שנים:</w:t>
      </w:r>
    </w:p>
  </w:footnote>
  <w:footnote w:id="852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בעלמא דין.</w:t>
      </w:r>
      <w:r w:rsidRPr="00BD5E91">
        <w:rPr>
          <w:sz w:val="22"/>
          <w:szCs w:val="22"/>
          <w:rtl/>
        </w:rPr>
        <w:t xml:space="preserve"> ר"ל הזה של כתר:</w:t>
      </w:r>
    </w:p>
  </w:footnote>
  <w:footnote w:id="852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 ו' כד כו'.</w:t>
      </w:r>
      <w:r w:rsidRPr="00BD5E91">
        <w:rPr>
          <w:sz w:val="22"/>
          <w:szCs w:val="22"/>
          <w:rtl/>
        </w:rPr>
        <w:t xml:space="preserve"> ור"ל שכל שנותי' ד' אותיות הוי"ה מאה יה"ה עשרים ושבע שניהן ו' ביו"ד ו' בתוך היו"ד אשתלים לעשרים והענין כי הי' סליק לי"ד שהיו"ד הוא עשר אתוון דשמא מפרש שהוא י"ד אתוון עם אותיות השרשיות כידוע וע"י הו' שהוא כולל כל השם נעשה יו"ד הרי עשרים בו' וכן שבע כמ"ש כאן י' ע"ג ו' והכל עיקר ו':</w:t>
      </w:r>
    </w:p>
  </w:footnote>
  <w:footnote w:id="853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ועיקרא דכולא כו'.</w:t>
      </w:r>
      <w:r w:rsidRPr="00BD5E91">
        <w:rPr>
          <w:sz w:val="22"/>
          <w:szCs w:val="22"/>
          <w:rtl/>
        </w:rPr>
        <w:t xml:space="preserve"> שהוא ו':</w:t>
      </w:r>
    </w:p>
  </w:footnote>
  <w:footnote w:id="853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דביה זכי לעלמא דאתי.</w:t>
      </w:r>
      <w:r w:rsidRPr="00BD5E91">
        <w:rPr>
          <w:sz w:val="22"/>
          <w:szCs w:val="22"/>
          <w:rtl/>
        </w:rPr>
        <w:t xml:space="preserve"> כמ"ש כל ישראל יש להם חלק לעה"ב שנאמר ועמך כלם צדיקים בדרגא דצדיק וז"ש (ברכות יז ע"א) אלא צדיקים יושבים כו':</w:t>
      </w:r>
    </w:p>
  </w:footnote>
  <w:footnote w:id="853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דאיהו עה"ב.</w:t>
      </w:r>
      <w:r w:rsidRPr="00BD5E91">
        <w:rPr>
          <w:sz w:val="22"/>
          <w:szCs w:val="22"/>
          <w:rtl/>
        </w:rPr>
        <w:t xml:space="preserve"> שהוא יום השביעי ממטה למעלה:</w:t>
      </w:r>
    </w:p>
  </w:footnote>
  <w:footnote w:id="853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ועטרותיהם בראשיהם.</w:t>
      </w:r>
      <w:r w:rsidRPr="00BD5E91">
        <w:rPr>
          <w:sz w:val="22"/>
          <w:szCs w:val="22"/>
          <w:rtl/>
        </w:rPr>
        <w:t xml:space="preserve"> צדיק ו' ועטרת הצדיק י' אות ברית עטרת כידוע בראשיהם י' ע"ג ו' ז' כנ"ל:</w:t>
      </w:r>
    </w:p>
  </w:footnote>
  <w:footnote w:id="8534">
    <w:p w:rsidR="00007309" w:rsidRPr="00BD5E91" w:rsidRDefault="00007309" w:rsidP="00007309">
      <w:pPr>
        <w:jc w:val="both"/>
        <w:rPr>
          <w:rFonts w:cs="Arial"/>
          <w:sz w:val="22"/>
          <w:szCs w:val="22"/>
          <w:rtl/>
        </w:rPr>
      </w:pPr>
      <w:r w:rsidRPr="00BD5E91">
        <w:rPr>
          <w:rStyle w:val="a7"/>
          <w:rFonts w:cs="Arial"/>
          <w:sz w:val="22"/>
          <w:szCs w:val="22"/>
          <w:rtl/>
        </w:rPr>
        <w:footnoteRef/>
      </w:r>
      <w:r w:rsidRPr="00BD5E91">
        <w:rPr>
          <w:rFonts w:cs="Arial"/>
          <w:sz w:val="22"/>
          <w:szCs w:val="22"/>
          <w:rtl/>
        </w:rPr>
        <w:t xml:space="preserve"> </w:t>
      </w:r>
      <w:r w:rsidRPr="00BD5E91">
        <w:rPr>
          <w:rFonts w:cs="Arial"/>
          <w:b/>
          <w:bCs/>
          <w:sz w:val="22"/>
          <w:szCs w:val="22"/>
          <w:rtl/>
        </w:rPr>
        <w:t>אתחשיבת בספירן כ'.</w:t>
      </w:r>
      <w:r w:rsidRPr="00BD5E91">
        <w:rPr>
          <w:rFonts w:cs="Arial"/>
          <w:sz w:val="22"/>
          <w:szCs w:val="22"/>
          <w:rtl/>
        </w:rPr>
        <w:t xml:space="preserve"> ר"ל דהקשה לו באותיות יסוד האיך אשתכח ו' של כוז"ו והשיב לו בספירות וע"ז הקשה לו אם את חשיב בספירות האיך תשכח כ' של כוז"ו הא י' כו':</w:t>
      </w:r>
    </w:p>
  </w:footnote>
  <w:footnote w:id="853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דאת יוד דסליק כו'.</w:t>
      </w:r>
      <w:r w:rsidRPr="00BD5E91">
        <w:rPr>
          <w:sz w:val="22"/>
          <w:szCs w:val="22"/>
          <w:rtl/>
        </w:rPr>
        <w:t xml:space="preserve"> ר"ל לכן אות י' בכתר דסליק בחושבן כ' כתר והוא י' מעליא כו' כנ"ל:</w:t>
      </w:r>
    </w:p>
  </w:footnote>
  <w:footnote w:id="853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וכולא חד.</w:t>
      </w:r>
      <w:r w:rsidRPr="00BD5E91">
        <w:rPr>
          <w:sz w:val="22"/>
          <w:szCs w:val="22"/>
          <w:rtl/>
        </w:rPr>
        <w:t xml:space="preserve"> לכך רמיז עליו א' שהוא אחד והוא ז"ו דכוז"ו</w:t>
      </w:r>
      <w:r>
        <w:rPr>
          <w:rFonts w:hint="cs"/>
          <w:sz w:val="22"/>
          <w:szCs w:val="22"/>
          <w:rtl/>
        </w:rPr>
        <w:t>.</w:t>
      </w:r>
      <w:r w:rsidRPr="00BD5E91">
        <w:rPr>
          <w:sz w:val="22"/>
          <w:szCs w:val="22"/>
          <w:rtl/>
        </w:rPr>
        <w:t xml:space="preserve"> כ"ו השם</w:t>
      </w:r>
      <w:r>
        <w:rPr>
          <w:rFonts w:hint="cs"/>
          <w:sz w:val="22"/>
          <w:szCs w:val="22"/>
          <w:rtl/>
        </w:rPr>
        <w:t>.</w:t>
      </w:r>
      <w:r w:rsidRPr="00BD5E91">
        <w:rPr>
          <w:sz w:val="22"/>
          <w:szCs w:val="22"/>
          <w:rtl/>
        </w:rPr>
        <w:t xml:space="preserve"> ה' אחד והוא בכתר אחד י"ג מכילן דרחמי הוי' מחכמ' ולמטה כידוע:</w:t>
      </w:r>
    </w:p>
  </w:footnote>
  <w:footnote w:id="853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כ"י הוא י'.</w:t>
      </w:r>
      <w:r w:rsidRPr="00BD5E91">
        <w:rPr>
          <w:sz w:val="22"/>
          <w:szCs w:val="22"/>
          <w:rtl/>
        </w:rPr>
        <w:t xml:space="preserve"> י' דכי הוא י' פשוטה כ' דכי הוא יוד מלא:</w:t>
      </w:r>
    </w:p>
  </w:footnote>
  <w:footnote w:id="853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ואיהו יקוק כו' ודא רזא יקוק.</w:t>
      </w:r>
      <w:r w:rsidRPr="00BD5E91">
        <w:rPr>
          <w:sz w:val="22"/>
          <w:szCs w:val="22"/>
          <w:rtl/>
        </w:rPr>
        <w:t xml:space="preserve"> ר"ל השם נכלל בכי שהוא י' כל השם נכלל בי' שהוא כתר וזהו כי שהוא כתר ה' הוי"ה הוא וכ"ז בנשמתא דכלילת מהוי"ה כידוע וזהו אש אוכלה הוא והוא אלקיך חלק אלוק ממעל והוא ניצוץ אלקי שבו כידוע בסוד ויעל מעליו אלקים והיא אש אוכלת הידוע כמ"ש בס"י אש מאש כמ"ש שם. וז"ש ותמת שרה דא כו':</w:t>
      </w:r>
    </w:p>
  </w:footnote>
  <w:footnote w:id="853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דאתמר כו' נשמת חיים.</w:t>
      </w:r>
      <w:r w:rsidRPr="00BD5E91">
        <w:rPr>
          <w:sz w:val="22"/>
          <w:szCs w:val="22"/>
          <w:rtl/>
        </w:rPr>
        <w:t xml:space="preserve"> ר"ל שהיא בעצמה חיים וכד נחתת לגוף ותמת כו':</w:t>
      </w:r>
    </w:p>
  </w:footnote>
  <w:footnote w:id="854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אתייהיבת לה אורייתא כו'.</w:t>
      </w:r>
      <w:r w:rsidRPr="00BD5E91">
        <w:rPr>
          <w:sz w:val="22"/>
          <w:szCs w:val="22"/>
          <w:rtl/>
        </w:rPr>
        <w:t xml:space="preserve"> ר"ל להנשמה וזהו והארץ היתה תהו כו'. בארבע קליפות ארבע יסודין בישין</w:t>
      </w:r>
      <w:r>
        <w:rPr>
          <w:rFonts w:hint="cs"/>
          <w:sz w:val="22"/>
          <w:szCs w:val="22"/>
          <w:rtl/>
        </w:rPr>
        <w:t>.</w:t>
      </w:r>
      <w:r w:rsidRPr="00BD5E91">
        <w:rPr>
          <w:sz w:val="22"/>
          <w:szCs w:val="22"/>
          <w:rtl/>
        </w:rPr>
        <w:t xml:space="preserve"> תהו רק מאורייתא כמש"ל דלית בה נביעו דאורייתא דכל הפרשה רמז לשכינה ולנשמה שהכל שורש אחד כנ"ל:</w:t>
      </w:r>
    </w:p>
  </w:footnote>
  <w:footnote w:id="854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אני.</w:t>
      </w:r>
      <w:r w:rsidRPr="00BD5E91">
        <w:rPr>
          <w:sz w:val="22"/>
          <w:szCs w:val="22"/>
          <w:rtl/>
        </w:rPr>
        <w:t xml:space="preserve"> השכינה וכן הנשמה:</w:t>
      </w:r>
    </w:p>
  </w:footnote>
  <w:footnote w:id="854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אי זכה כו'.</w:t>
      </w:r>
      <w:r w:rsidRPr="00BD5E91">
        <w:rPr>
          <w:sz w:val="22"/>
          <w:szCs w:val="22"/>
          <w:rtl/>
        </w:rPr>
        <w:t xml:space="preserve"> וזהו ורוח אלקים מרחפת שהוא אורייתא כמש"ל בדפים הקודמים ונעשה כתנות עור אור ויאמר אלקים יהי אור:</w:t>
      </w:r>
    </w:p>
  </w:footnote>
  <w:footnote w:id="854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דנשמתא כו' אורייתא כו'.</w:t>
      </w:r>
      <w:r w:rsidRPr="00BD5E91">
        <w:rPr>
          <w:sz w:val="22"/>
          <w:szCs w:val="22"/>
          <w:rtl/>
        </w:rPr>
        <w:t xml:space="preserve"> ומתלבש אורייתא בכורסייא אצילות בבריאה ונעש' חיים וכן בנשמתא שע"י אורייתא נעשית נשמת חיים וז"ש עץ חיים למחזיקים כו' שמקודם היתה מתה כנ"ל בלא שמא קדישא וכן בכסא שד' חיון דכסא בגלותא שהוא מיתה כנ"ל ושמא דה' לא שריא עלייהו כנ"ל וע"י אורייתא פורקנא כמ"ש לעיל ורוח אלקים כו' מיד פורקנא ויאמר אלקים כו' והיא צרור החיים והיתה נפש כו':</w:t>
      </w:r>
    </w:p>
  </w:footnote>
  <w:footnote w:id="854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ואע"ג דאיהו כו'.</w:t>
      </w:r>
      <w:r w:rsidRPr="00BD5E91">
        <w:rPr>
          <w:sz w:val="22"/>
          <w:szCs w:val="22"/>
          <w:rtl/>
        </w:rPr>
        <w:t xml:space="preserve"> ר"ל ז"ש היא חברון בארץ כנען:</w:t>
      </w:r>
    </w:p>
  </w:footnote>
  <w:footnote w:id="854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אי מתקף בה היא כו'.</w:t>
      </w:r>
      <w:r w:rsidRPr="00BD5E91">
        <w:rPr>
          <w:sz w:val="22"/>
          <w:szCs w:val="22"/>
          <w:rtl/>
        </w:rPr>
        <w:t xml:space="preserve"> ר"ל אע"פ שהוא בארץ כנען שהוא והארץ היתה תהו כו' מ"מ היא אי מתקף בה ר"ל באורייתא ורוח אלקים כו':</w:t>
      </w:r>
    </w:p>
  </w:footnote>
  <w:footnote w:id="854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חברון אתחברת לה.</w:t>
      </w:r>
      <w:r w:rsidRPr="00BD5E91">
        <w:rPr>
          <w:sz w:val="22"/>
          <w:szCs w:val="22"/>
          <w:rtl/>
        </w:rPr>
        <w:t xml:space="preserve"> כנ"ל ויאמר אלקים יהי אור אור דבת עין שהיא נשמתא:</w:t>
      </w:r>
    </w:p>
  </w:footnote>
  <w:footnote w:id="854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 שכינתא.</w:t>
      </w:r>
      <w:r w:rsidRPr="00BD5E91">
        <w:rPr>
          <w:sz w:val="22"/>
          <w:szCs w:val="22"/>
          <w:rtl/>
        </w:rPr>
        <w:t xml:space="preserve"> שאמר לעיל ותמת בגלות' וזהו היא חברון וזהו בארץ כנען בגלותא של כנעני בישא כנ"ל:</w:t>
      </w:r>
    </w:p>
  </w:footnote>
  <w:footnote w:id="854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לצבי.</w:t>
      </w:r>
      <w:r w:rsidRPr="00BD5E91">
        <w:rPr>
          <w:sz w:val="22"/>
          <w:szCs w:val="22"/>
          <w:rtl/>
        </w:rPr>
        <w:t xml:space="preserve"> כמ"ש (במדבר רבה יא) מה הצבי כו' חוזר לאחוריו משגיח מן החלונות דבי כנישתא בשעה שמייחדין אותו:</w:t>
      </w:r>
    </w:p>
  </w:footnote>
  <w:footnote w:id="854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דאשתכחו מחכמה.</w:t>
      </w:r>
      <w:r w:rsidRPr="00BD5E91">
        <w:rPr>
          <w:sz w:val="22"/>
          <w:szCs w:val="22"/>
          <w:rtl/>
        </w:rPr>
        <w:t xml:space="preserve"> כמ"ש ברכה בימינא דכהנא דשם חכמה:</w:t>
      </w:r>
    </w:p>
  </w:footnote>
  <w:footnote w:id="855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ועשרים כו'.</w:t>
      </w:r>
      <w:r w:rsidRPr="00BD5E91">
        <w:rPr>
          <w:sz w:val="22"/>
          <w:szCs w:val="22"/>
          <w:rtl/>
        </w:rPr>
        <w:t xml:space="preserve"> כ' דכתר כנ"ל:</w:t>
      </w:r>
    </w:p>
  </w:footnote>
  <w:footnote w:id="855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ושבע כו'.</w:t>
      </w:r>
      <w:r w:rsidRPr="00BD5E91">
        <w:rPr>
          <w:sz w:val="22"/>
          <w:szCs w:val="22"/>
          <w:rtl/>
        </w:rPr>
        <w:t xml:space="preserve"> כמ"ש ויבנהו שבע שנים כידוע:</w:t>
      </w:r>
    </w:p>
  </w:footnote>
  <w:footnote w:id="855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בק"ש.</w:t>
      </w:r>
      <w:r w:rsidRPr="00BD5E91">
        <w:rPr>
          <w:sz w:val="22"/>
          <w:szCs w:val="22"/>
          <w:rtl/>
        </w:rPr>
        <w:t xml:space="preserve"> כמ"ש (ברכות סא ע"ב) היה מאריך באחד וכמ"ש בר"מ יחוד בשעת המיתה:</w:t>
      </w:r>
    </w:p>
  </w:footnote>
  <w:footnote w:id="855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היא שכינתא כו'.</w:t>
      </w:r>
      <w:r w:rsidRPr="00BD5E91">
        <w:rPr>
          <w:sz w:val="22"/>
          <w:szCs w:val="22"/>
          <w:rtl/>
        </w:rPr>
        <w:t xml:space="preserve"> דמתייחדין בה ד' אתוון וז"ש ארבע אתוון כו' בשכמל"ו בשכינה וכ</w:t>
      </w:r>
      <w:r>
        <w:rPr>
          <w:rFonts w:hint="cs"/>
          <w:sz w:val="22"/>
          <w:szCs w:val="22"/>
          <w:rtl/>
        </w:rPr>
        <w:t>ל זה</w:t>
      </w:r>
      <w:r w:rsidRPr="00BD5E91">
        <w:rPr>
          <w:sz w:val="22"/>
          <w:szCs w:val="22"/>
          <w:rtl/>
        </w:rPr>
        <w:t xml:space="preserve"> רמוז לגלות השכינה</w:t>
      </w:r>
      <w:r>
        <w:rPr>
          <w:rFonts w:hint="cs"/>
          <w:sz w:val="22"/>
          <w:szCs w:val="22"/>
          <w:rtl/>
        </w:rPr>
        <w:t>,</w:t>
      </w:r>
      <w:r w:rsidRPr="00BD5E91">
        <w:rPr>
          <w:sz w:val="22"/>
          <w:szCs w:val="22"/>
          <w:rtl/>
        </w:rPr>
        <w:t xml:space="preserve"> אע"ג ותמת שרה כנ"ל מ</w:t>
      </w:r>
      <w:r>
        <w:rPr>
          <w:rFonts w:hint="cs"/>
          <w:sz w:val="22"/>
          <w:szCs w:val="22"/>
          <w:rtl/>
        </w:rPr>
        <w:t>כל מקום</w:t>
      </w:r>
      <w:r w:rsidRPr="00BD5E91">
        <w:rPr>
          <w:sz w:val="22"/>
          <w:szCs w:val="22"/>
          <w:rtl/>
        </w:rPr>
        <w:t xml:space="preserve"> היא חברון בק"ש כמש"ל ודמה לך כו' אנן מייחדין כו' וכ</w:t>
      </w:r>
      <w:r>
        <w:rPr>
          <w:rFonts w:hint="cs"/>
          <w:sz w:val="22"/>
          <w:szCs w:val="22"/>
          <w:rtl/>
        </w:rPr>
        <w:t>ן הוא</w:t>
      </w:r>
      <w:r w:rsidRPr="00BD5E91">
        <w:rPr>
          <w:sz w:val="22"/>
          <w:szCs w:val="22"/>
          <w:rtl/>
        </w:rPr>
        <w:t xml:space="preserve"> כ</w:t>
      </w:r>
      <w:r>
        <w:rPr>
          <w:rFonts w:hint="cs"/>
          <w:sz w:val="22"/>
          <w:szCs w:val="22"/>
          <w:rtl/>
        </w:rPr>
        <w:t>ל זה</w:t>
      </w:r>
      <w:r w:rsidRPr="00BD5E91">
        <w:rPr>
          <w:sz w:val="22"/>
          <w:szCs w:val="22"/>
          <w:rtl/>
        </w:rPr>
        <w:t xml:space="preserve"> בישראל כנ"ל:</w:t>
      </w:r>
    </w:p>
  </w:footnote>
  <w:footnote w:id="855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מסט' דאספקלריא כו' הכי איהו כו' כנשמתא כו'.</w:t>
      </w:r>
      <w:r w:rsidRPr="00BD5E91">
        <w:rPr>
          <w:sz w:val="22"/>
          <w:szCs w:val="22"/>
          <w:rtl/>
        </w:rPr>
        <w:t xml:space="preserve"> רמז על גלות השכינה והנשמה כנ"ל והתגלות ה' להם שמא דקב"ה כנ"ל ונשמתא שנתגלה בגוף וז"ש כנשמתא כו':</w:t>
      </w:r>
    </w:p>
  </w:footnote>
  <w:footnote w:id="855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ומסט' דעד"א.</w:t>
      </w:r>
      <w:r w:rsidRPr="00BD5E91">
        <w:rPr>
          <w:sz w:val="22"/>
          <w:szCs w:val="22"/>
          <w:rtl/>
        </w:rPr>
        <w:t xml:space="preserve"> שהוא אספקלריא דנהרא כמש"ל:</w:t>
      </w:r>
    </w:p>
  </w:footnote>
  <w:footnote w:id="855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אני ולא כו'.</w:t>
      </w:r>
      <w:r w:rsidRPr="00BD5E91">
        <w:rPr>
          <w:sz w:val="22"/>
          <w:szCs w:val="22"/>
          <w:rtl/>
        </w:rPr>
        <w:t xml:space="preserve"> כן יתגלה בעצמו בגאולה:</w:t>
      </w:r>
    </w:p>
  </w:footnote>
  <w:footnote w:id="855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מסט' דנבואה כו'.</w:t>
      </w:r>
      <w:r w:rsidRPr="00BD5E91">
        <w:rPr>
          <w:sz w:val="22"/>
          <w:szCs w:val="22"/>
          <w:rtl/>
        </w:rPr>
        <w:t xml:space="preserve"> ר"ל כל הספירות נכללין בדרגא דנבואה שכל ספירה כלול (לפה"נ חסר תיבת מכולם. המעתיק) וכמש"ל בזמנא דעביד חסד כל הספירות נקראו חסדים וכן בכולם:</w:t>
      </w:r>
    </w:p>
  </w:footnote>
  <w:footnote w:id="855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אבל שם ה' כו'.</w:t>
      </w:r>
      <w:r w:rsidRPr="00BD5E91">
        <w:rPr>
          <w:sz w:val="22"/>
          <w:szCs w:val="22"/>
          <w:rtl/>
        </w:rPr>
        <w:t xml:space="preserve"> שבו א"צ לאתכללא דכל דרגין הכל בשם הוי"ה והוא בא לסתור דבריו שאמר לעיל מסט' דאספקלריא דנהרא הכי איהו ה' כו':</w:t>
      </w:r>
    </w:p>
  </w:footnote>
  <w:footnote w:id="855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אבל נבואה כו' .</w:t>
      </w:r>
      <w:r w:rsidRPr="00BD5E91">
        <w:rPr>
          <w:sz w:val="22"/>
          <w:szCs w:val="22"/>
          <w:rtl/>
        </w:rPr>
        <w:t xml:space="preserve"> והכל נכללין בה מסט' דנבואה כנ"ל וז"ש והכי צלותא כו' אבל דרגא כו'. והכי בכל כו' אבל כל כו':</w:t>
      </w:r>
    </w:p>
  </w:footnote>
  <w:footnote w:id="856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ושכינתא איהי מצוה כו'.</w:t>
      </w:r>
      <w:r w:rsidRPr="00BD5E91">
        <w:rPr>
          <w:sz w:val="22"/>
          <w:szCs w:val="22"/>
          <w:rtl/>
        </w:rPr>
        <w:t xml:space="preserve"> עד כלהו שהמצות הן רמ"ח מ"ע רמ"ח איברים בקב"ה כ"א בדרגא ידיעא ובכולהו שם הוי"ה וכל הספירות נכללין בכל אבר ואבר ושכינה נקראת מצוה דכולם אתכלילן בה:</w:t>
      </w:r>
    </w:p>
  </w:footnote>
  <w:footnote w:id="856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נביאים ודאי כו'.</w:t>
      </w:r>
      <w:r w:rsidRPr="00BD5E91">
        <w:rPr>
          <w:sz w:val="22"/>
          <w:szCs w:val="22"/>
          <w:rtl/>
        </w:rPr>
        <w:t xml:space="preserve"> עכשיו מפ' דרגא דילהון:</w:t>
      </w:r>
    </w:p>
  </w:footnote>
  <w:footnote w:id="856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ובהון אתכלילן עד"א ושכינתא.</w:t>
      </w:r>
      <w:r w:rsidRPr="00BD5E91">
        <w:rPr>
          <w:sz w:val="22"/>
          <w:szCs w:val="22"/>
          <w:rtl/>
        </w:rPr>
        <w:t xml:space="preserve"> כמ"ש הוא בנצח והיא בהוד וז"ש עד"א מתמן כו'. ר"ל מסט' דנצח כמש"ו. אור צח לשון נצח ואור צח הוא אספקלריא דנהרא שמצוחצחת האספקלריא שיכול לראות מתוכה היטב והוא ר"ת נ'בואה צ"ח שהוא נ' שערי בינה שניתן למשה שהנבואה משם כידוע נ' צ"ח לכך זכה לאספקלריא דנהרא: </w:t>
      </w:r>
    </w:p>
  </w:footnote>
  <w:footnote w:id="856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ובגיניה כו'.</w:t>
      </w:r>
      <w:r w:rsidRPr="00BD5E91">
        <w:rPr>
          <w:sz w:val="22"/>
          <w:szCs w:val="22"/>
          <w:rtl/>
        </w:rPr>
        <w:t xml:space="preserve"> ר"ל בנצח:</w:t>
      </w:r>
    </w:p>
  </w:footnote>
  <w:footnote w:id="856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ואינון כתובים.</w:t>
      </w:r>
      <w:r w:rsidRPr="00BD5E91">
        <w:rPr>
          <w:sz w:val="22"/>
          <w:szCs w:val="22"/>
          <w:rtl/>
        </w:rPr>
        <w:t xml:space="preserve"> ר"ל עד"א ושכינה נקראו ג"כ כתובים מסט' דחו"ג ג"כ איהו בימינא ואי</w:t>
      </w:r>
      <w:r>
        <w:rPr>
          <w:rFonts w:hint="cs"/>
          <w:sz w:val="22"/>
          <w:szCs w:val="22"/>
          <w:rtl/>
        </w:rPr>
        <w:t>ה</w:t>
      </w:r>
      <w:r w:rsidRPr="00BD5E91">
        <w:rPr>
          <w:sz w:val="22"/>
          <w:szCs w:val="22"/>
          <w:rtl/>
        </w:rPr>
        <w:t>י בשמאל ועכשיו מפ' דרגא דכתובים:</w:t>
      </w:r>
    </w:p>
  </w:footnote>
  <w:footnote w:id="856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מזה ומזה.</w:t>
      </w:r>
      <w:r w:rsidRPr="00BD5E91">
        <w:rPr>
          <w:sz w:val="22"/>
          <w:szCs w:val="22"/>
          <w:rtl/>
        </w:rPr>
        <w:t xml:space="preserve"> ר"ל עד"א ושכינה נקראו מזה וזה (לפה"נ צ"ל ומזה. המעתיק) עד"א נקרא זה</w:t>
      </w:r>
      <w:r>
        <w:rPr>
          <w:rFonts w:hint="cs"/>
          <w:sz w:val="22"/>
          <w:szCs w:val="22"/>
          <w:rtl/>
        </w:rPr>
        <w:t>,</w:t>
      </w:r>
      <w:r w:rsidRPr="00BD5E91">
        <w:rPr>
          <w:sz w:val="22"/>
          <w:szCs w:val="22"/>
          <w:rtl/>
        </w:rPr>
        <w:t xml:space="preserve"> זה אל"י כו' וכן משה בדרגא דעד"א נקרא זה משה האיש כו' וכן שכינה נקראת זה</w:t>
      </w:r>
      <w:r>
        <w:rPr>
          <w:rFonts w:hint="cs"/>
          <w:sz w:val="22"/>
          <w:szCs w:val="22"/>
          <w:rtl/>
        </w:rPr>
        <w:t>,</w:t>
      </w:r>
      <w:r w:rsidRPr="00BD5E91">
        <w:rPr>
          <w:sz w:val="22"/>
          <w:szCs w:val="22"/>
          <w:rtl/>
        </w:rPr>
        <w:t xml:space="preserve"> זה השער כו' וכמ"ש (מגילה טו ע"א) לדעת מה זה ועל מה זה שמא עברו כו' וכן וקרא זה אל זה שאמרו י"ב דידיה י"ב דידה כו':</w:t>
      </w:r>
    </w:p>
  </w:footnote>
  <w:footnote w:id="856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וכתיב בו משני עבריהם כו'.</w:t>
      </w:r>
      <w:r w:rsidRPr="00BD5E91">
        <w:rPr>
          <w:sz w:val="22"/>
          <w:szCs w:val="22"/>
          <w:rtl/>
        </w:rPr>
        <w:t xml:space="preserve"> שהן שני הצדדין של האדם:</w:t>
      </w:r>
    </w:p>
  </w:footnote>
  <w:footnote w:id="856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די בהון תרין ידין למיכתב.</w:t>
      </w:r>
      <w:r w:rsidRPr="00BD5E91">
        <w:rPr>
          <w:sz w:val="22"/>
          <w:szCs w:val="22"/>
          <w:rtl/>
        </w:rPr>
        <w:t xml:space="preserve"> ר"ל לכך הן כתובים מזה ומזה מב' הידין משני עבריהם ור"ל דדרגא דכתובים בחו"ג:</w:t>
      </w:r>
    </w:p>
  </w:footnote>
  <w:footnote w:id="856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ואינון ה' ה' כו'.</w:t>
      </w:r>
      <w:r w:rsidRPr="00BD5E91">
        <w:rPr>
          <w:sz w:val="22"/>
          <w:szCs w:val="22"/>
          <w:rtl/>
        </w:rPr>
        <w:t xml:space="preserve"> עכשיו מפרש השם איך אתכליל בהן:</w:t>
      </w:r>
    </w:p>
  </w:footnote>
  <w:footnote w:id="856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רוחא דקודשא כו' עליהו.</w:t>
      </w:r>
      <w:r w:rsidRPr="00BD5E91">
        <w:rPr>
          <w:sz w:val="22"/>
          <w:szCs w:val="22"/>
          <w:rtl/>
        </w:rPr>
        <w:t xml:space="preserve"> ר"ל התורה עד"א ו':</w:t>
      </w:r>
    </w:p>
  </w:footnote>
  <w:footnote w:id="8570">
    <w:p w:rsidR="00007309" w:rsidRPr="00BD5E91" w:rsidRDefault="00007309" w:rsidP="00007309">
      <w:pPr>
        <w:jc w:val="both"/>
        <w:rPr>
          <w:rFonts w:cs="Arial"/>
          <w:sz w:val="22"/>
          <w:szCs w:val="22"/>
          <w:rtl/>
        </w:rPr>
      </w:pPr>
      <w:r w:rsidRPr="00BD5E91">
        <w:rPr>
          <w:rStyle w:val="a7"/>
          <w:rFonts w:cs="Arial"/>
          <w:sz w:val="22"/>
          <w:szCs w:val="22"/>
          <w:rtl/>
        </w:rPr>
        <w:footnoteRef/>
      </w:r>
      <w:r w:rsidRPr="00BD5E91">
        <w:rPr>
          <w:rFonts w:cs="Arial"/>
          <w:sz w:val="22"/>
          <w:szCs w:val="22"/>
          <w:rtl/>
        </w:rPr>
        <w:t xml:space="preserve"> </w:t>
      </w:r>
      <w:r w:rsidRPr="00BD5E91">
        <w:rPr>
          <w:rFonts w:cs="Arial"/>
          <w:b/>
          <w:bCs/>
          <w:sz w:val="22"/>
          <w:szCs w:val="22"/>
          <w:rtl/>
        </w:rPr>
        <w:t xml:space="preserve">ואינון נצח כו'. </w:t>
      </w:r>
      <w:r w:rsidRPr="00BD5E91">
        <w:rPr>
          <w:rFonts w:cs="Arial"/>
          <w:sz w:val="22"/>
          <w:szCs w:val="22"/>
          <w:rtl/>
        </w:rPr>
        <w:t>עכשיו חוזר שדרגא דכתובים בחו"ג ונביאים בנו"ה</w:t>
      </w:r>
      <w:r>
        <w:rPr>
          <w:rFonts w:cs="Arial" w:hint="cs"/>
          <w:sz w:val="22"/>
          <w:szCs w:val="22"/>
          <w:rtl/>
        </w:rPr>
        <w:t>,</w:t>
      </w:r>
      <w:r w:rsidRPr="00BD5E91">
        <w:rPr>
          <w:rFonts w:cs="Arial"/>
          <w:sz w:val="22"/>
          <w:szCs w:val="22"/>
          <w:rtl/>
        </w:rPr>
        <w:t xml:space="preserve"> ובכולם אתכלילן בהון עד"א ושכינתא</w:t>
      </w:r>
      <w:r>
        <w:rPr>
          <w:rFonts w:cs="Arial" w:hint="cs"/>
          <w:sz w:val="22"/>
          <w:szCs w:val="22"/>
          <w:rtl/>
        </w:rPr>
        <w:t>,</w:t>
      </w:r>
      <w:r w:rsidRPr="00BD5E91">
        <w:rPr>
          <w:rFonts w:cs="Arial"/>
          <w:sz w:val="22"/>
          <w:szCs w:val="22"/>
          <w:rtl/>
        </w:rPr>
        <w:t xml:space="preserve"> עד"א בימינא ושכינתא בשמאלא</w:t>
      </w:r>
      <w:r>
        <w:rPr>
          <w:rFonts w:cs="Arial" w:hint="cs"/>
          <w:sz w:val="22"/>
          <w:szCs w:val="22"/>
          <w:rtl/>
        </w:rPr>
        <w:t>.</w:t>
      </w:r>
      <w:r w:rsidRPr="00BD5E91">
        <w:rPr>
          <w:rFonts w:cs="Arial"/>
          <w:sz w:val="22"/>
          <w:szCs w:val="22"/>
          <w:rtl/>
        </w:rPr>
        <w:t xml:space="preserve"> ועד"א ושכינתא עצמן הן רוח הקדש שהן ג' דרגין כתובים ונביאים ורוח הקדש וז"ש עד"א איהו אורייתא כו' והוא אתכללן בחו"ג שמשם תרין לוחין דאורייתא והוא כתובים. ואיהו אספקלריא כו'. והוא אתכללן בנו"ה שהן נביאים. ואינון רוחא דקודשא דו"נ. עד"א ושכינה עצמן</w:t>
      </w:r>
      <w:r>
        <w:rPr>
          <w:rFonts w:cs="Arial" w:hint="cs"/>
          <w:sz w:val="22"/>
          <w:szCs w:val="22"/>
          <w:rtl/>
        </w:rPr>
        <w:t>,</w:t>
      </w:r>
      <w:r w:rsidRPr="00BD5E91">
        <w:rPr>
          <w:rFonts w:cs="Arial"/>
          <w:sz w:val="22"/>
          <w:szCs w:val="22"/>
          <w:rtl/>
        </w:rPr>
        <w:t xml:space="preserve"> דרגא שלהן רוח הקדש</w:t>
      </w:r>
      <w:r>
        <w:rPr>
          <w:rFonts w:cs="Arial" w:hint="cs"/>
          <w:sz w:val="22"/>
          <w:szCs w:val="22"/>
          <w:rtl/>
        </w:rPr>
        <w:t>.</w:t>
      </w:r>
      <w:r w:rsidRPr="00BD5E91">
        <w:rPr>
          <w:rFonts w:cs="Arial"/>
          <w:sz w:val="22"/>
          <w:szCs w:val="22"/>
          <w:rtl/>
        </w:rPr>
        <w:t xml:space="preserve"> שהוא נקרא רוח והיא מלכות הקדש כמש"</w:t>
      </w:r>
      <w:r>
        <w:rPr>
          <w:rFonts w:cs="Arial" w:hint="cs"/>
          <w:sz w:val="22"/>
          <w:szCs w:val="22"/>
          <w:rtl/>
        </w:rPr>
        <w:t>ל.</w:t>
      </w:r>
      <w:r w:rsidRPr="00BD5E91">
        <w:rPr>
          <w:rFonts w:cs="Arial"/>
          <w:sz w:val="22"/>
          <w:szCs w:val="22"/>
          <w:rtl/>
        </w:rPr>
        <w:t xml:space="preserve"> והן ג' דרגין הנ"ל</w:t>
      </w:r>
      <w:r>
        <w:rPr>
          <w:rFonts w:cs="Arial" w:hint="cs"/>
          <w:sz w:val="22"/>
          <w:szCs w:val="22"/>
          <w:rtl/>
        </w:rPr>
        <w:t>.</w:t>
      </w:r>
      <w:r w:rsidRPr="00BD5E91">
        <w:rPr>
          <w:rFonts w:cs="Arial"/>
          <w:sz w:val="22"/>
          <w:szCs w:val="22"/>
          <w:rtl/>
        </w:rPr>
        <w:t xml:space="preserve"> והוא ג' דרגין שאמר לעיל דף פ"ו תורה נבואה רוח הקדש</w:t>
      </w:r>
      <w:r>
        <w:rPr>
          <w:rFonts w:cs="Arial" w:hint="cs"/>
          <w:sz w:val="22"/>
          <w:szCs w:val="22"/>
          <w:rtl/>
        </w:rPr>
        <w:t>.</w:t>
      </w:r>
      <w:r w:rsidRPr="00BD5E91">
        <w:rPr>
          <w:rFonts w:cs="Arial"/>
          <w:sz w:val="22"/>
          <w:szCs w:val="22"/>
          <w:rtl/>
        </w:rPr>
        <w:t xml:space="preserve"> ומצד זה אמרו שכתובים קודם לנביאים בר"ה במוסף וז"ש כתובים ונביאים בל' רבים כמש"ל תרין כו':</w:t>
      </w:r>
    </w:p>
  </w:footnote>
  <w:footnote w:id="857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מסט' דצדיק כו'.</w:t>
      </w:r>
      <w:r w:rsidRPr="00BD5E91">
        <w:rPr>
          <w:sz w:val="22"/>
          <w:szCs w:val="22"/>
          <w:rtl/>
        </w:rPr>
        <w:t xml:space="preserve"> בין באורייתא בעד"א ושכינה שהן רוח הקדש בין בנביאים נו"ה בין בכתובים חו"ג כמ"ש בתיקונים שבחסד יקו"ק ובגבורה אדני וכן בנו"ה ובצדיק מתחברים:</w:t>
      </w:r>
    </w:p>
  </w:footnote>
  <w:footnote w:id="857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ובג"ד כי כל כו'.</w:t>
      </w:r>
      <w:r w:rsidRPr="00BD5E91">
        <w:rPr>
          <w:sz w:val="22"/>
          <w:szCs w:val="22"/>
          <w:rtl/>
        </w:rPr>
        <w:t xml:space="preserve"> שכתוב בפ' הזה כל הז"ס כידוע שהן נכללין בג' דרגין הנ"ל וכולן נכללין ומתחברין בצדיק וז"ש דאחיד בשמיא ובארעא בעד"א ושכינתא שהן בכל הו"ס בג' דרגין הנ"ל כדוגמת יסוד בדכר ונוקבא וד"ל:</w:t>
      </w:r>
    </w:p>
  </w:footnote>
  <w:footnote w:id="857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דבכל דרגין ואינון כו' בצדיק.</w:t>
      </w:r>
      <w:r w:rsidRPr="00BD5E91">
        <w:rPr>
          <w:sz w:val="22"/>
          <w:szCs w:val="22"/>
          <w:rtl/>
        </w:rPr>
        <w:t xml:space="preserve"> ואל תקשה לך שכאן קורא לרוח הקדש תורה ולעיל אמר תורה ורוח הקדש שני דרגין שהן שמות נרדפין ועיקר התורה הוא בעד"א ושכינתא כנ"ל:</w:t>
      </w:r>
    </w:p>
  </w:footnote>
  <w:footnote w:id="857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והכי כגוונא דא תפלה כו'.</w:t>
      </w:r>
      <w:r w:rsidRPr="00BD5E91">
        <w:rPr>
          <w:sz w:val="22"/>
          <w:szCs w:val="22"/>
          <w:rtl/>
        </w:rPr>
        <w:t xml:space="preserve"> שהן עד"א ושכינתא כידוע:</w:t>
      </w:r>
    </w:p>
  </w:footnote>
  <w:footnote w:id="857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כלילא ח"י ברכאן צלותא.</w:t>
      </w:r>
      <w:r w:rsidRPr="00BD5E91">
        <w:rPr>
          <w:sz w:val="22"/>
          <w:szCs w:val="22"/>
          <w:rtl/>
        </w:rPr>
        <w:t xml:space="preserve"> ר"ל כלל התפלה הוא בח"י עלמין שכנגדו ח"י ברכות וברכות לראש צדיק:</w:t>
      </w:r>
    </w:p>
  </w:footnote>
  <w:footnote w:id="857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וצלותא דשחרית כו'.</w:t>
      </w:r>
      <w:r w:rsidRPr="00BD5E91">
        <w:rPr>
          <w:sz w:val="22"/>
          <w:szCs w:val="22"/>
          <w:rtl/>
        </w:rPr>
        <w:t xml:space="preserve"> מפ"ו כמו צדיק יחודא בין זו"נ כן עד"א בין או"א כנ"ל:</w:t>
      </w:r>
    </w:p>
  </w:footnote>
  <w:footnote w:id="857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ואיהו עיקרא דתפילין כו'.</w:t>
      </w:r>
      <w:r w:rsidRPr="00BD5E91">
        <w:rPr>
          <w:sz w:val="22"/>
          <w:szCs w:val="22"/>
          <w:rtl/>
        </w:rPr>
        <w:t xml:space="preserve"> ר"ל כמ"ש ע"ג מחלוקת דאיהו בין חברייא בתפילין כו' בימינא ושמאלא איהו אבל בעד"א לית תמן מחלוקת בגין דאיהו עיקרא דגמרא כו' ור"ל מחלוקת שהוא בין רש"י ור"ת בתפילין הוא בימינא ושמאלא שימינא הוא דעת רש"י כסדר ושמאלא הוא דעת ר"ת הוויות באמצע כמ"ש בתיקונים שהוויות באמצע הוא בשמאלא ע"ש אבל בעד"א אין שם מחלוקת כי הוא מכריע והוא מכריע לימין כידוע והוא כדעת רש"י וז"ש כאן ואיהי עיקרא דתפילין וביה צריך לסדרא לון כגוונא דא כו' וכן הוא בכל מחלוקת כמו ב"ש וב"ה שאלו ואלו דברי אלקים חיים והלכה כב"ה שב"ה מימין וב"ש משמאל כמ"ש לעיל ובימינא ושמאלא מחלוקתן ואלו ואלו דברי אלקים חיים בינה שמשם אצילתן אבל הלכה בעד"א ששם מקומה של הלכה כב"ה שהוא נוטה לימין כנ"ל דף פ"ה בספירות מסט' דימינא כו' ומסט' כו' ואי לא אסתכמו תרווייהו בעד"א כו' דאינון במותב תלתא כו' וכמ"ש הלכה כרבים אין רבים אלא שלשה בשער בת רבים בת ג' אבהן בת עין וכ"ה בכל מחלוקת של תנאים כל שהוא מסט' דנוקבא נוטה לשמאל ומסט' דדכורא לימין כמש"ל או טפה דדכורא גוברת כו' ע"ש:</w:t>
      </w:r>
    </w:p>
  </w:footnote>
  <w:footnote w:id="857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ובעד"א אתכלילן.</w:t>
      </w:r>
      <w:r w:rsidRPr="00BD5E91">
        <w:rPr>
          <w:sz w:val="22"/>
          <w:szCs w:val="22"/>
          <w:rtl/>
        </w:rPr>
        <w:t xml:space="preserve"> ר"ל כל הד' פרשיות וביה הוא כסדר כנ"ל:</w:t>
      </w:r>
    </w:p>
  </w:footnote>
  <w:footnote w:id="857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וכד תפילין דראש ודיד כו'.</w:t>
      </w:r>
      <w:r w:rsidRPr="00BD5E91">
        <w:rPr>
          <w:sz w:val="22"/>
          <w:szCs w:val="22"/>
          <w:rtl/>
        </w:rPr>
        <w:t xml:space="preserve"> שכ"א נקרא תפלה וביחד נקרא תפילין ור"ל בענין פלוגתא של הברכות לברך על שתיהן ב' ברכות או ברכה א' שמסט' דימינא ושמאלא ב' ברכות ובעד"א ברכה א' כמש"ו שנחלקו הגמ' והירושלמי שלגמ' בבלי הוא מצוה אחת ולירושלמי שתי מצות:</w:t>
      </w:r>
    </w:p>
  </w:footnote>
  <w:footnote w:id="858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עיקרא דגמ'.</w:t>
      </w:r>
      <w:r w:rsidRPr="00BD5E91">
        <w:rPr>
          <w:sz w:val="22"/>
          <w:szCs w:val="22"/>
          <w:rtl/>
        </w:rPr>
        <w:t xml:space="preserve"> עד"א שהוא עיקרא דגמ' כמ"ש לקמן ע"ג בו ימינא ושמאלא אחד: </w:t>
      </w:r>
    </w:p>
  </w:footnote>
  <w:footnote w:id="858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שתים זו שמעתי.</w:t>
      </w:r>
      <w:r w:rsidRPr="00BD5E91">
        <w:rPr>
          <w:sz w:val="22"/>
          <w:szCs w:val="22"/>
          <w:rtl/>
        </w:rPr>
        <w:t xml:space="preserve"> והוא כמ"ש (תהלים סב יב) אחת דבר אלקים בעד"א שתים זו שמעתי בימינא ושמאלא:</w:t>
      </w:r>
    </w:p>
  </w:footnote>
  <w:footnote w:id="858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בין אח"ד.</w:t>
      </w:r>
      <w:r w:rsidRPr="00BD5E91">
        <w:rPr>
          <w:sz w:val="22"/>
          <w:szCs w:val="22"/>
          <w:rtl/>
        </w:rPr>
        <w:t xml:space="preserve"> ששני התפילין הן אחד והן דכורא ונוקבא בימינא ושמאלא כנ"ל שדכורא הוא א"ח ונוק' ד' כידוע וקוץ של ד' הוא דאחיד בין א"ח לד' אבל המות בין אחים יפריד ומסתלק הקוץ ח"ו ונעשה אחר אל אחר:</w:t>
      </w:r>
    </w:p>
  </w:footnote>
  <w:footnote w:id="858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 ימות.</w:t>
      </w:r>
      <w:r w:rsidRPr="00BD5E91">
        <w:rPr>
          <w:sz w:val="22"/>
          <w:szCs w:val="22"/>
          <w:rtl/>
        </w:rPr>
        <w:t xml:space="preserve"> וז"ש לעיל ולית עבירה כו':</w:t>
      </w:r>
    </w:p>
  </w:footnote>
  <w:footnote w:id="858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דאיהו יום שבת.</w:t>
      </w:r>
      <w:r w:rsidRPr="00BD5E91">
        <w:rPr>
          <w:sz w:val="22"/>
          <w:szCs w:val="22"/>
          <w:rtl/>
        </w:rPr>
        <w:t xml:space="preserve"> ר"ל צדיק הוא יום השביעי שבת כידוע ור"ל כאן שהוא יום השבת בכללו זכור ושמור כמש"ו דכורא ונוקבא:</w:t>
      </w:r>
    </w:p>
  </w:footnote>
  <w:footnote w:id="858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זכור לזכר.</w:t>
      </w:r>
      <w:r w:rsidRPr="00BD5E91">
        <w:rPr>
          <w:sz w:val="22"/>
          <w:szCs w:val="22"/>
          <w:rtl/>
        </w:rPr>
        <w:t xml:space="preserve"> לשון זכר כמו כל זכורך:</w:t>
      </w:r>
    </w:p>
  </w:footnote>
  <w:footnote w:id="858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ושמור לנוקבא.</w:t>
      </w:r>
      <w:r w:rsidRPr="00BD5E91">
        <w:rPr>
          <w:sz w:val="22"/>
          <w:szCs w:val="22"/>
          <w:rtl/>
        </w:rPr>
        <w:t xml:space="preserve"> שבה השמירה כמש"ל שמרני כאישון בת עין:</w:t>
      </w:r>
    </w:p>
  </w:footnote>
  <w:footnote w:id="858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ובג"ד מחלוקת כו'.</w:t>
      </w:r>
      <w:r w:rsidRPr="00BD5E91">
        <w:rPr>
          <w:sz w:val="22"/>
          <w:szCs w:val="22"/>
          <w:rtl/>
        </w:rPr>
        <w:t xml:space="preserve"> כמש"ל:</w:t>
      </w:r>
    </w:p>
  </w:footnote>
  <w:footnote w:id="858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איש תם.</w:t>
      </w:r>
      <w:r w:rsidRPr="00BD5E91">
        <w:rPr>
          <w:sz w:val="22"/>
          <w:szCs w:val="22"/>
          <w:rtl/>
        </w:rPr>
        <w:t xml:space="preserve"> בלא מחלוקת שבו אתכלילו והוא מכריע וזהו יושב אוהלים שני אוהלים כידוע דאו"א:</w:t>
      </w:r>
    </w:p>
  </w:footnote>
  <w:footnote w:id="858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איהו ו' כו'.</w:t>
      </w:r>
      <w:r w:rsidRPr="00BD5E91">
        <w:rPr>
          <w:sz w:val="22"/>
          <w:szCs w:val="22"/>
          <w:rtl/>
        </w:rPr>
        <w:t xml:space="preserve"> ר"ל עד"א:</w:t>
      </w:r>
    </w:p>
  </w:footnote>
  <w:footnote w:id="859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ה' גמרא דיליה.</w:t>
      </w:r>
      <w:r w:rsidRPr="00BD5E91">
        <w:rPr>
          <w:sz w:val="22"/>
          <w:szCs w:val="22"/>
          <w:rtl/>
        </w:rPr>
        <w:t xml:space="preserve"> ר"ל הלכה:</w:t>
      </w:r>
    </w:p>
  </w:footnote>
  <w:footnote w:id="859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איהו תם כו'.</w:t>
      </w:r>
      <w:r w:rsidRPr="00BD5E91">
        <w:rPr>
          <w:sz w:val="22"/>
          <w:szCs w:val="22"/>
          <w:rtl/>
        </w:rPr>
        <w:t xml:space="preserve"> שבו נכללין כל האבות כנ"ל:</w:t>
      </w:r>
    </w:p>
  </w:footnote>
  <w:footnote w:id="859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יק"ו.</w:t>
      </w:r>
      <w:r w:rsidRPr="00BD5E91">
        <w:rPr>
          <w:sz w:val="22"/>
          <w:szCs w:val="22"/>
          <w:rtl/>
        </w:rPr>
        <w:t xml:space="preserve"> שהוא ב</w:t>
      </w:r>
      <w:r>
        <w:rPr>
          <w:rFonts w:hint="cs"/>
          <w:sz w:val="22"/>
          <w:szCs w:val="22"/>
          <w:rtl/>
        </w:rPr>
        <w:t>ג</w:t>
      </w:r>
      <w:r w:rsidRPr="00BD5E91">
        <w:rPr>
          <w:sz w:val="22"/>
          <w:szCs w:val="22"/>
          <w:rtl/>
        </w:rPr>
        <w:t>' אבהן כידוע כמש"ל דאו"א בימינא ושמאלא והוא ו':</w:t>
      </w:r>
    </w:p>
  </w:footnote>
  <w:footnote w:id="859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וביה אשתלים יקוק.</w:t>
      </w:r>
      <w:r w:rsidRPr="00BD5E91">
        <w:rPr>
          <w:sz w:val="22"/>
          <w:szCs w:val="22"/>
          <w:rtl/>
        </w:rPr>
        <w:t xml:space="preserve"> שהלכה נוקבא כלילא ביה:</w:t>
      </w:r>
    </w:p>
  </w:footnote>
  <w:footnote w:id="859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לתתא.</w:t>
      </w:r>
      <w:r w:rsidRPr="00BD5E91">
        <w:rPr>
          <w:sz w:val="22"/>
          <w:szCs w:val="22"/>
          <w:rtl/>
        </w:rPr>
        <w:t xml:space="preserve"> בעד"א כמש"ו שהוא יחודא דאו"א שהן ימינא ושמאלא:</w:t>
      </w:r>
    </w:p>
  </w:footnote>
  <w:footnote w:id="859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ובג"ד וירא כו'.</w:t>
      </w:r>
      <w:r w:rsidRPr="00BD5E91">
        <w:rPr>
          <w:sz w:val="22"/>
          <w:szCs w:val="22"/>
          <w:rtl/>
        </w:rPr>
        <w:t xml:space="preserve"> חוזר למעלה כו' ומפ"ו כל הפרשה והכל על פורקנא ור"ל שאמר לעיל וירא אליו ה' כו' בפורקנא כו':</w:t>
      </w:r>
    </w:p>
  </w:footnote>
  <w:footnote w:id="859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 דרגא בישא כו'.</w:t>
      </w:r>
      <w:r w:rsidRPr="00BD5E91">
        <w:rPr>
          <w:sz w:val="22"/>
          <w:szCs w:val="22"/>
          <w:rtl/>
        </w:rPr>
        <w:t xml:space="preserve"> כמש"ל דאינון צוררים כו':</w:t>
      </w:r>
    </w:p>
  </w:footnote>
  <w:footnote w:id="859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דגרמת כפנא כו'.</w:t>
      </w:r>
      <w:r w:rsidRPr="00BD5E91">
        <w:rPr>
          <w:sz w:val="22"/>
          <w:szCs w:val="22"/>
          <w:rtl/>
        </w:rPr>
        <w:t xml:space="preserve"> ר"ל ז"ש ויהי רעב בארץ דאסתלק נביעו מארעא כו' כנ"ל וז"ש דאורייתא:</w:t>
      </w:r>
    </w:p>
  </w:footnote>
  <w:footnote w:id="859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והא</w:t>
      </w:r>
      <w:r w:rsidRPr="00BD5E91">
        <w:rPr>
          <w:sz w:val="22"/>
          <w:szCs w:val="22"/>
          <w:rtl/>
        </w:rPr>
        <w:t xml:space="preserve"> </w:t>
      </w:r>
      <w:r w:rsidRPr="00BD5E91">
        <w:rPr>
          <w:b/>
          <w:bCs/>
          <w:sz w:val="22"/>
          <w:szCs w:val="22"/>
          <w:rtl/>
        </w:rPr>
        <w:t>אוקמוה.</w:t>
      </w:r>
      <w:r w:rsidRPr="00BD5E91">
        <w:rPr>
          <w:sz w:val="22"/>
          <w:szCs w:val="22"/>
          <w:rtl/>
        </w:rPr>
        <w:t xml:space="preserve"> ר"ל כנ"ל כל הפרשה ויהי רעב בארץ:</w:t>
      </w:r>
    </w:p>
  </w:footnote>
  <w:footnote w:id="859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 שכינתא.</w:t>
      </w:r>
      <w:r w:rsidRPr="00BD5E91">
        <w:rPr>
          <w:sz w:val="22"/>
          <w:szCs w:val="22"/>
          <w:rtl/>
        </w:rPr>
        <w:t xml:space="preserve"> ר"ל שכן:</w:t>
      </w:r>
    </w:p>
  </w:footnote>
  <w:footnote w:id="860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והא אוקמוה כו' דומה כמי כו'.</w:t>
      </w:r>
      <w:r w:rsidRPr="00BD5E91">
        <w:rPr>
          <w:sz w:val="22"/>
          <w:szCs w:val="22"/>
          <w:rtl/>
        </w:rPr>
        <w:t xml:space="preserve"> ר"ל זהו שכן בארץ בארץ תשכון שכינה עמך:</w:t>
      </w:r>
    </w:p>
  </w:footnote>
  <w:footnote w:id="8601">
    <w:p w:rsidR="00007309" w:rsidRPr="00BD5E91" w:rsidRDefault="00007309" w:rsidP="00007309">
      <w:pPr>
        <w:jc w:val="both"/>
        <w:rPr>
          <w:rFonts w:cs="Arial"/>
          <w:sz w:val="22"/>
          <w:szCs w:val="22"/>
          <w:rtl/>
        </w:rPr>
      </w:pPr>
      <w:r w:rsidRPr="00BD5E91">
        <w:rPr>
          <w:rStyle w:val="a7"/>
          <w:rFonts w:cs="Arial"/>
          <w:sz w:val="22"/>
          <w:szCs w:val="22"/>
          <w:rtl/>
        </w:rPr>
        <w:footnoteRef/>
      </w:r>
      <w:r w:rsidRPr="00BD5E91">
        <w:rPr>
          <w:rFonts w:cs="Arial"/>
          <w:sz w:val="22"/>
          <w:szCs w:val="22"/>
          <w:rtl/>
        </w:rPr>
        <w:t xml:space="preserve"> </w:t>
      </w:r>
      <w:r w:rsidRPr="00BD5E91">
        <w:rPr>
          <w:rFonts w:cs="Arial"/>
          <w:b/>
          <w:bCs/>
          <w:sz w:val="22"/>
          <w:szCs w:val="22"/>
          <w:rtl/>
        </w:rPr>
        <w:t>ואברהם דרגיה אריה.</w:t>
      </w:r>
      <w:r w:rsidRPr="00BD5E91">
        <w:rPr>
          <w:rFonts w:cs="Arial"/>
          <w:sz w:val="22"/>
          <w:szCs w:val="22"/>
          <w:rtl/>
        </w:rPr>
        <w:t xml:space="preserve"> כמ"ש ופני אריה אל הימין וכל הבטחות הזה בשביל אברהם כמ"ש אשר נשבעתי לאברהם כו' עקב אשר שמע אברהם ובו דרגא דפורקנא שכל הפרשה הזה מרמז כמש"ו:</w:t>
      </w:r>
    </w:p>
  </w:footnote>
  <w:footnote w:id="860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גור אריה.</w:t>
      </w:r>
      <w:r w:rsidRPr="00BD5E91">
        <w:rPr>
          <w:sz w:val="22"/>
          <w:szCs w:val="22"/>
          <w:rtl/>
        </w:rPr>
        <w:t xml:space="preserve"> ר"ל זהו גור בארץ כו' כמש"ו:</w:t>
      </w:r>
    </w:p>
  </w:footnote>
  <w:footnote w:id="860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ימינא תמן יק"ו.</w:t>
      </w:r>
      <w:r w:rsidRPr="00BD5E91">
        <w:rPr>
          <w:sz w:val="22"/>
          <w:szCs w:val="22"/>
          <w:rtl/>
        </w:rPr>
        <w:t xml:space="preserve"> שחסד כליל חג"ת כידוע בסוד ע"ב שמות וכמש"ל בדף ע"ג ע"ג:</w:t>
      </w:r>
    </w:p>
  </w:footnote>
  <w:footnote w:id="860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בגין ה' דאברהם.</w:t>
      </w:r>
      <w:r w:rsidRPr="00BD5E91">
        <w:rPr>
          <w:sz w:val="22"/>
          <w:szCs w:val="22"/>
          <w:rtl/>
        </w:rPr>
        <w:t xml:space="preserve"> לאתייחדא עמה ולשמרה כידוע דלא אתפרש מינה ור"ל זהו ו' של ו'אהיה דאיהי הארץ ר"ל ה' של הארץ שנעשית בימינא בארץ כמש"ו לכן אמר בארץ הזאת ואהיה כו' כמש"ו:</w:t>
      </w:r>
    </w:p>
  </w:footnote>
  <w:footnote w:id="860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דתמן אב.</w:t>
      </w:r>
      <w:r w:rsidRPr="00BD5E91">
        <w:rPr>
          <w:sz w:val="22"/>
          <w:szCs w:val="22"/>
          <w:rtl/>
        </w:rPr>
        <w:t xml:space="preserve"> כמש"ו כי אב המון כו' דשם אבא כנ"ל ולכך תמן ה' דהארץ ה' דאברהם בחכמה יסד ארץ כידוע:</w:t>
      </w:r>
    </w:p>
  </w:footnote>
  <w:footnote w:id="860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ואהיה עמך כו'.</w:t>
      </w:r>
      <w:r w:rsidRPr="00BD5E91">
        <w:rPr>
          <w:sz w:val="22"/>
          <w:szCs w:val="22"/>
          <w:rtl/>
        </w:rPr>
        <w:t xml:space="preserve"> עכשיו מפ' ואהיה יק"ו כנ"ל:</w:t>
      </w:r>
    </w:p>
  </w:footnote>
  <w:footnote w:id="860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בגין ה' ואהיה כו'.</w:t>
      </w:r>
      <w:r w:rsidRPr="00BD5E91">
        <w:rPr>
          <w:sz w:val="22"/>
          <w:szCs w:val="22"/>
          <w:rtl/>
        </w:rPr>
        <w:t xml:space="preserve"> ר"ל ו' של ואהיה כמש"ו:</w:t>
      </w:r>
    </w:p>
  </w:footnote>
  <w:footnote w:id="860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דאינון בן יה מן אהיה.</w:t>
      </w:r>
      <w:r w:rsidRPr="00BD5E91">
        <w:rPr>
          <w:sz w:val="22"/>
          <w:szCs w:val="22"/>
          <w:rtl/>
        </w:rPr>
        <w:t xml:space="preserve"> כי אהי"ה בבינה כידוע ובה יק"ו בן י"ה בן ו' עם י"ה אותיות בינה כמנין אהי"ה כנ"ל ו' בן י"ה דנחית מן אקי"ק לשמרה ונח על האדם דשכינה עמו כמ"ש (שמות כ כא) בכל המקום אשר אזכיר כו' וכמ"ש לעיל בכל מקום דאשרי שכינתי תמן כו' וז"ש. עמך. ר"ל י' של אקי"ק עמך יהיה:</w:t>
      </w:r>
    </w:p>
  </w:footnote>
  <w:footnote w:id="860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ואברכך דברכאן כו' אינון.</w:t>
      </w:r>
      <w:r w:rsidRPr="00BD5E91">
        <w:rPr>
          <w:sz w:val="22"/>
          <w:szCs w:val="22"/>
          <w:rtl/>
        </w:rPr>
        <w:t xml:space="preserve"> שהוא ימינא והוא בסט' דאברהם שכל הפרשה מסט' כנ"ל:</w:t>
      </w:r>
      <w:r w:rsidRPr="00D64BEF">
        <w:t xml:space="preserve"> </w:t>
      </w:r>
      <w:r w:rsidRPr="00D64BEF">
        <w:rPr>
          <w:sz w:val="22"/>
          <w:szCs w:val="22"/>
          <w:rtl/>
        </w:rPr>
        <w:t>(ג.פ ש</w:t>
      </w:r>
      <w:r>
        <w:rPr>
          <w:rFonts w:hint="cs"/>
          <w:sz w:val="22"/>
          <w:szCs w:val="22"/>
          <w:rtl/>
        </w:rPr>
        <w:t xml:space="preserve">הרי </w:t>
      </w:r>
      <w:r w:rsidRPr="00D64BEF">
        <w:rPr>
          <w:sz w:val="22"/>
          <w:szCs w:val="22"/>
          <w:rtl/>
        </w:rPr>
        <w:t>ב</w:t>
      </w:r>
      <w:r>
        <w:rPr>
          <w:rFonts w:hint="cs"/>
          <w:sz w:val="22"/>
          <w:szCs w:val="22"/>
          <w:rtl/>
        </w:rPr>
        <w:t>פשט ה</w:t>
      </w:r>
      <w:r w:rsidRPr="00D64BEF">
        <w:rPr>
          <w:sz w:val="22"/>
          <w:szCs w:val="22"/>
          <w:rtl/>
        </w:rPr>
        <w:t>כתוב ה' מדבר אל יצחק</w:t>
      </w:r>
      <w:r>
        <w:rPr>
          <w:rFonts w:hint="cs"/>
          <w:sz w:val="22"/>
          <w:szCs w:val="22"/>
          <w:rtl/>
        </w:rPr>
        <w:t xml:space="preserve">. שמתחיל: </w:t>
      </w:r>
      <w:r w:rsidRPr="00D64BEF">
        <w:rPr>
          <w:sz w:val="22"/>
          <w:szCs w:val="22"/>
          <w:rtl/>
        </w:rPr>
        <w:t>ויהי רעב בארץ מלבד הרעב הראשון אשר היה בימי אברהם וילך</w:t>
      </w:r>
      <w:r>
        <w:rPr>
          <w:sz w:val="22"/>
          <w:szCs w:val="22"/>
          <w:rtl/>
        </w:rPr>
        <w:t xml:space="preserve"> יצחק אל אבימלך מלך פלשתים גררה</w:t>
      </w:r>
      <w:r>
        <w:rPr>
          <w:rFonts w:hint="cs"/>
          <w:sz w:val="22"/>
          <w:szCs w:val="22"/>
          <w:rtl/>
        </w:rPr>
        <w:t>. וירא אליו ה' ויאמר אל תרד וכו'</w:t>
      </w:r>
      <w:r w:rsidRPr="00D64BEF">
        <w:rPr>
          <w:sz w:val="22"/>
          <w:szCs w:val="22"/>
          <w:rtl/>
        </w:rPr>
        <w:t>)</w:t>
      </w:r>
      <w:r>
        <w:rPr>
          <w:rFonts w:hint="cs"/>
          <w:sz w:val="22"/>
          <w:szCs w:val="22"/>
          <w:rtl/>
        </w:rPr>
        <w:t>.</w:t>
      </w:r>
    </w:p>
  </w:footnote>
  <w:footnote w:id="861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שכינתא עילאה כו'.</w:t>
      </w:r>
      <w:r w:rsidRPr="00BD5E91">
        <w:rPr>
          <w:sz w:val="22"/>
          <w:szCs w:val="22"/>
          <w:rtl/>
        </w:rPr>
        <w:t xml:space="preserve"> ר"ל זהו אהי"ה שכינה עילאה כנ"ל עמך ואברכך מסט' דימינא כנ"ל וכן עד"א יברך מסט' דימינא שהוא ו' של ואהי"ה כנ"ל וז"ש ועד"א אתקרי כו':</w:t>
      </w:r>
    </w:p>
  </w:footnote>
  <w:footnote w:id="861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וקדושה מסט' דשמאלא ומקדשי תיראו.</w:t>
      </w:r>
      <w:r w:rsidRPr="00BD5E91">
        <w:rPr>
          <w:sz w:val="22"/>
          <w:szCs w:val="22"/>
          <w:rtl/>
        </w:rPr>
        <w:t xml:space="preserve"> מביא ראיה שקדושה מסט' דשמאל שנאמר ומקדשי תיראו שהיראה  בשמאל כמש"ל וכ"ז מביא ראיה שברכה הוא מסט' דימינא וכ"ז על פורקנא מסט' דימינא וז"ש ובגין דאיהי. ר"ל שכינה עילאה:</w:t>
      </w:r>
    </w:p>
  </w:footnote>
  <w:footnote w:id="861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כי לך ולזרעך זרע כו' ומסט' כו'.</w:t>
      </w:r>
      <w:r w:rsidRPr="00BD5E91">
        <w:rPr>
          <w:sz w:val="22"/>
          <w:szCs w:val="22"/>
          <w:rtl/>
        </w:rPr>
        <w:t xml:space="preserve"> ר"ל לכן נאמר ב"פ (בראשית כו ג-ד) ולזרעך אתן את כל הארצות כו' ונתתי לזרעך את כל הארצות מסט' דב' דרגין האלו כמ"ש והאי איהו (ויקרא יא לז) על כל זרע כו'. על הוא עד"א, על השמים כידוע, (שמואל ב כג א) הוקם על כמש"ל קיומא דילה כו' כל</w:t>
      </w:r>
      <w:r>
        <w:rPr>
          <w:rFonts w:hint="cs"/>
          <w:sz w:val="22"/>
          <w:szCs w:val="22"/>
          <w:rtl/>
        </w:rPr>
        <w:t>,</w:t>
      </w:r>
      <w:r w:rsidRPr="00BD5E91">
        <w:rPr>
          <w:sz w:val="22"/>
          <w:szCs w:val="22"/>
          <w:rtl/>
        </w:rPr>
        <w:t xml:space="preserve"> צדיק:</w:t>
      </w:r>
    </w:p>
  </w:footnote>
  <w:footnote w:id="861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דמאן דנטיר ברית כו'.</w:t>
      </w:r>
      <w:r w:rsidRPr="00BD5E91">
        <w:rPr>
          <w:sz w:val="22"/>
          <w:szCs w:val="22"/>
          <w:rtl/>
        </w:rPr>
        <w:t xml:space="preserve"> שברית כולל עד"א ויסוד, גוף וברית חד וכמ"ש בס"י וברית יחיד מכוון באמצע בין ידים חו"ג שהוא עד"א ובין רגלים נו"ה שהוא יסוד כמש"ו במלת הלשון ובמלת המעור שלשון הוא ברית התורה שהוא עד"א בין חו"ג כמ"ש בפ"ג כף זכות וכף חובה שני הידים שלכן אמר כף. ולשון חק מכריע בינתים והן שני בריתות שכרת הקב"ה עם ישראל ברית התורה וברית המילה והן אחד כנ"ל סוד ה' ליראיו כו':</w:t>
      </w:r>
    </w:p>
  </w:footnote>
  <w:footnote w:id="861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דאינון ערלה ופריעה.</w:t>
      </w:r>
      <w:r w:rsidRPr="00BD5E91">
        <w:rPr>
          <w:sz w:val="22"/>
          <w:szCs w:val="22"/>
          <w:rtl/>
        </w:rPr>
        <w:t xml:space="preserve"> שהן דכורא ונוקבא כמש"ו דתמן כו' שהן ימינא ושמאלא שכל ע' אומין נכללין באלו השנים עשו וישמעאל שלכן הן ע"ב אומין וז"ש. ממנן כו'. ועד"א וצדיק הן ימינא ושמאלא דקדושה כמש"ל דף ס"א ע"ב ובתיקונים:</w:t>
      </w:r>
    </w:p>
  </w:footnote>
  <w:footnote w:id="861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ובג"ד כי כו' האל.</w:t>
      </w:r>
      <w:r w:rsidRPr="00BD5E91">
        <w:rPr>
          <w:sz w:val="22"/>
          <w:szCs w:val="22"/>
          <w:rtl/>
        </w:rPr>
        <w:t xml:space="preserve"> ר"ל של אל אחר כמש"ו דאינון כו' ולכן הוא ל' רבים הארצות בפירודא נפשות ביתו:</w:t>
      </w:r>
    </w:p>
  </w:footnote>
  <w:footnote w:id="861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קיומא דילה עד"א.</w:t>
      </w:r>
      <w:r w:rsidRPr="00BD5E91">
        <w:rPr>
          <w:sz w:val="22"/>
          <w:szCs w:val="22"/>
          <w:rtl/>
        </w:rPr>
        <w:t xml:space="preserve"> וזהו והקימותי שיקים את מלכות מגלותא בעד"א: </w:t>
      </w:r>
    </w:p>
  </w:footnote>
  <w:footnote w:id="861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הה"ד חי ה' כו'.</w:t>
      </w:r>
      <w:r w:rsidRPr="00BD5E91">
        <w:rPr>
          <w:sz w:val="22"/>
          <w:szCs w:val="22"/>
          <w:rtl/>
        </w:rPr>
        <w:t xml:space="preserve"> חי ה' הוא השבועה אשר נשבעתי עד הבקר בקר דאברהם וישכם אברהם בבקר כידוע:</w:t>
      </w:r>
    </w:p>
  </w:footnote>
  <w:footnote w:id="861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ראשי תיבות כו'.</w:t>
      </w:r>
      <w:r w:rsidRPr="00BD5E91">
        <w:rPr>
          <w:sz w:val="22"/>
          <w:szCs w:val="22"/>
          <w:rtl/>
        </w:rPr>
        <w:t xml:space="preserve"> שהן ג' דרגין הנ"ל יב"ק יק"ו שנכללין באברהם כמש"ל. ענוה עד"א ו' כמש"ו:</w:t>
      </w:r>
    </w:p>
  </w:footnote>
  <w:footnote w:id="861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סנדל כו'.</w:t>
      </w:r>
      <w:r w:rsidRPr="00BD5E91">
        <w:rPr>
          <w:sz w:val="22"/>
          <w:szCs w:val="22"/>
          <w:rtl/>
        </w:rPr>
        <w:t xml:space="preserve"> שכינתא ה' אחרונה כמש"ו ואתתא סנדל לבעלה כידוע:</w:t>
      </w:r>
    </w:p>
  </w:footnote>
  <w:footnote w:id="862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עניו מא"ד.</w:t>
      </w:r>
      <w:r w:rsidRPr="00BD5E91">
        <w:rPr>
          <w:sz w:val="22"/>
          <w:szCs w:val="22"/>
          <w:rtl/>
        </w:rPr>
        <w:t xml:space="preserve"> אותיות אדם עד"א כידוע:</w:t>
      </w:r>
    </w:p>
  </w:footnote>
  <w:footnote w:id="862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וענוה מימינא כו'.</w:t>
      </w:r>
      <w:r w:rsidRPr="00BD5E91">
        <w:rPr>
          <w:sz w:val="22"/>
          <w:szCs w:val="22"/>
          <w:rtl/>
        </w:rPr>
        <w:t xml:space="preserve"> ר"ל למה נקרא השכינה יראה שעד"א הוא בימינא כנ"ל ושכינה בשמאלא:</w:t>
      </w:r>
    </w:p>
  </w:footnote>
  <w:footnote w:id="862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דאיהו בשכינתא כו' יראת ה' ראש.</w:t>
      </w:r>
      <w:r w:rsidRPr="00BD5E91">
        <w:rPr>
          <w:sz w:val="22"/>
          <w:szCs w:val="22"/>
          <w:rtl/>
        </w:rPr>
        <w:t xml:space="preserve"> ר"ל שהוא ראש דברך שדבר הוא שכינה והוא נקרא אמת כידוע וזהו ראש דברך של דבר הוא אמת:</w:t>
      </w:r>
    </w:p>
  </w:footnote>
  <w:footnote w:id="862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כהאי איהו הוא כו'.</w:t>
      </w:r>
      <w:r w:rsidRPr="00BD5E91">
        <w:rPr>
          <w:sz w:val="22"/>
          <w:szCs w:val="22"/>
          <w:rtl/>
        </w:rPr>
        <w:t xml:space="preserve"> ר"ל שאחיזתו הוא בנוקבא כידוע וזהו הגלות ובפרט בסוף הגלות בעקבות משיחא והגאולה הוא בדכורא כמש"ו ופקדתי כו' וזהו הוא ישופך בראש בדכורא ואתה כו' וכמ"ש בר"מ שיעקב הוא נוקבא עקב דיעקב וראש דישראל לדכורא:</w:t>
      </w:r>
    </w:p>
  </w:footnote>
  <w:footnote w:id="862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וישמור משמרתי כו'.</w:t>
      </w:r>
      <w:r w:rsidRPr="00BD5E91">
        <w:rPr>
          <w:sz w:val="22"/>
          <w:szCs w:val="22"/>
          <w:rtl/>
        </w:rPr>
        <w:t xml:space="preserve"> ד' דברים משמרתי מצותי חקותי ותורתי ד' אותיות של השם ימינא ושמאלא ועד"א ושכינתא כמש"ו:</w:t>
      </w:r>
    </w:p>
  </w:footnote>
  <w:footnote w:id="862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דאיהי משמרת תרומתי.</w:t>
      </w:r>
      <w:r w:rsidRPr="00BD5E91">
        <w:rPr>
          <w:sz w:val="22"/>
          <w:szCs w:val="22"/>
          <w:rtl/>
        </w:rPr>
        <w:t xml:space="preserve"> שהוא בשכינה כידוע וכן מ"ש (מו"ק ה ע"א) עשו משמרת למשמרתי שניות לעריות וכל הגדרים של תורה שבע"פ וכל שמירה הוא מצדה כידוע:</w:t>
      </w:r>
    </w:p>
  </w:footnote>
  <w:footnote w:id="862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מסט' דימינא כו'.</w:t>
      </w:r>
      <w:r w:rsidRPr="00BD5E91">
        <w:rPr>
          <w:sz w:val="22"/>
          <w:szCs w:val="22"/>
          <w:rtl/>
        </w:rPr>
        <w:t xml:space="preserve"> ר"ל רמ"ח מ"ע ברמ"ח דאברהם כמש"ל דף ס"א ע"ד ע"ש:</w:t>
      </w:r>
    </w:p>
  </w:footnote>
  <w:footnote w:id="862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דמתמן כי חק כו'.</w:t>
      </w:r>
      <w:r w:rsidRPr="00BD5E91">
        <w:rPr>
          <w:sz w:val="22"/>
          <w:szCs w:val="22"/>
          <w:rtl/>
        </w:rPr>
        <w:t xml:space="preserve"> שקאי על משפט דר"ה שבגבורה כידוע וז"ש (ביצה טז ע"א) מאי משמע דהאי חק לישנא דמזוני הוא כו' שמזונות הוא שם כמ"ש בס</w:t>
      </w:r>
      <w:r>
        <w:rPr>
          <w:rFonts w:hint="cs"/>
          <w:sz w:val="22"/>
          <w:szCs w:val="22"/>
          <w:rtl/>
        </w:rPr>
        <w:t>פר יצירה,</w:t>
      </w:r>
      <w:r w:rsidRPr="00BD5E91">
        <w:rPr>
          <w:sz w:val="22"/>
          <w:szCs w:val="22"/>
          <w:rtl/>
        </w:rPr>
        <w:t xml:space="preserve"> מצפון זהב יאתה</w:t>
      </w:r>
      <w:r>
        <w:rPr>
          <w:rFonts w:hint="cs"/>
          <w:sz w:val="22"/>
          <w:szCs w:val="22"/>
          <w:rtl/>
        </w:rPr>
        <w:t xml:space="preserve"> (איוב לז כב)</w:t>
      </w:r>
      <w:r w:rsidRPr="00BD5E91">
        <w:rPr>
          <w:sz w:val="22"/>
          <w:szCs w:val="22"/>
          <w:rtl/>
        </w:rPr>
        <w:t>:</w:t>
      </w:r>
    </w:p>
  </w:footnote>
  <w:footnote w:id="862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חוקים כו' מתמן.</w:t>
      </w:r>
      <w:r w:rsidRPr="00BD5E91">
        <w:rPr>
          <w:sz w:val="22"/>
          <w:szCs w:val="22"/>
          <w:rtl/>
        </w:rPr>
        <w:t xml:space="preserve"> שכל הדינין בשמאל הוא:</w:t>
      </w:r>
    </w:p>
  </w:footnote>
  <w:footnote w:id="862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גזירת מלכא.</w:t>
      </w:r>
      <w:r w:rsidRPr="00BD5E91">
        <w:rPr>
          <w:sz w:val="22"/>
          <w:szCs w:val="22"/>
          <w:rtl/>
        </w:rPr>
        <w:t xml:space="preserve"> ר"ל שתרגום חוקה גזירת:</w:t>
      </w:r>
    </w:p>
  </w:footnote>
  <w:footnote w:id="863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ואיהו ספר תורה.</w:t>
      </w:r>
      <w:r w:rsidRPr="00BD5E91">
        <w:rPr>
          <w:sz w:val="22"/>
          <w:szCs w:val="22"/>
          <w:rtl/>
        </w:rPr>
        <w:t xml:space="preserve"> ר"ל תורה של ס"ת כמש"ו. </w:t>
      </w:r>
    </w:p>
  </w:footnote>
  <w:footnote w:id="863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צדיק איהו ספר. תורה עד"א.</w:t>
      </w:r>
      <w:r w:rsidRPr="00BD5E91">
        <w:rPr>
          <w:sz w:val="22"/>
          <w:szCs w:val="22"/>
          <w:rtl/>
        </w:rPr>
        <w:t xml:space="preserve"> ר"ל שהס"ת הוא בדרגא דצדיק כידוע והוא ספר של תורה של עד"א שספר הוא בצדיק כמ"ש בספר זכרון כידוע והוא ספר של עד"א</w:t>
      </w:r>
      <w:r>
        <w:rPr>
          <w:rFonts w:hint="cs"/>
          <w:sz w:val="22"/>
          <w:szCs w:val="22"/>
          <w:rtl/>
        </w:rPr>
        <w:t>,</w:t>
      </w:r>
      <w:r w:rsidRPr="00BD5E91">
        <w:rPr>
          <w:sz w:val="22"/>
          <w:szCs w:val="22"/>
          <w:rtl/>
        </w:rPr>
        <w:t xml:space="preserve"> ספרא דחמה כוכב </w:t>
      </w:r>
      <w:r>
        <w:rPr>
          <w:rFonts w:hint="cs"/>
          <w:sz w:val="22"/>
          <w:szCs w:val="22"/>
          <w:rtl/>
        </w:rPr>
        <w:t xml:space="preserve">(שבת קנו ע"א) </w:t>
      </w:r>
      <w:r w:rsidRPr="00BD5E91">
        <w:rPr>
          <w:sz w:val="22"/>
          <w:szCs w:val="22"/>
          <w:rtl/>
        </w:rPr>
        <w:t>יסוד כידוע:</w:t>
      </w:r>
    </w:p>
  </w:footnote>
  <w:footnote w:id="863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ואיתימא.</w:t>
      </w:r>
      <w:r w:rsidRPr="00BD5E91">
        <w:rPr>
          <w:sz w:val="22"/>
          <w:szCs w:val="22"/>
          <w:rtl/>
        </w:rPr>
        <w:t xml:space="preserve"> כמו וי"א:</w:t>
      </w:r>
    </w:p>
  </w:footnote>
  <w:footnote w:id="863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אלין תגין כו'.</w:t>
      </w:r>
      <w:r w:rsidRPr="00BD5E91">
        <w:rPr>
          <w:sz w:val="22"/>
          <w:szCs w:val="22"/>
          <w:rtl/>
        </w:rPr>
        <w:t xml:space="preserve"> ר"ל שהתג הוא ז' כמש"ו והוא ו' י' ע"ג עטרה ע"ג יסוד ו' וז"ש (ברכות יז ע"א) צדיקים ועטרותיהם בראשיהם:</w:t>
      </w:r>
    </w:p>
  </w:footnote>
  <w:footnote w:id="863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אלין תרין אינון זיינין.</w:t>
      </w:r>
      <w:r w:rsidRPr="00BD5E91">
        <w:rPr>
          <w:sz w:val="22"/>
          <w:szCs w:val="22"/>
          <w:rtl/>
        </w:rPr>
        <w:t xml:space="preserve"> ר"ל צדיק הוא ז' כנ"ל:</w:t>
      </w:r>
    </w:p>
  </w:footnote>
  <w:footnote w:id="863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כאדם שאוחז כלי זיין בידו.</w:t>
      </w:r>
      <w:r>
        <w:rPr>
          <w:sz w:val="22"/>
          <w:szCs w:val="22"/>
          <w:rtl/>
        </w:rPr>
        <w:t xml:space="preserve"> ר"ל זהו ז'</w:t>
      </w:r>
      <w:r>
        <w:rPr>
          <w:rFonts w:hint="cs"/>
          <w:sz w:val="22"/>
          <w:szCs w:val="22"/>
          <w:rtl/>
        </w:rPr>
        <w:t>:</w:t>
      </w:r>
    </w:p>
  </w:footnote>
  <w:footnote w:id="8636">
    <w:p w:rsidR="00007309" w:rsidRDefault="00007309" w:rsidP="00007309">
      <w:pPr>
        <w:pStyle w:val="a5"/>
      </w:pPr>
      <w:r w:rsidRPr="00B572E4">
        <w:rPr>
          <w:rStyle w:val="a7"/>
          <w:sz w:val="22"/>
          <w:szCs w:val="22"/>
        </w:rPr>
        <w:footnoteRef/>
      </w:r>
      <w:r>
        <w:rPr>
          <w:rtl/>
        </w:rPr>
        <w:t xml:space="preserve"> </w:t>
      </w:r>
      <w:r w:rsidRPr="00B572E4">
        <w:rPr>
          <w:b/>
          <w:bCs/>
          <w:sz w:val="22"/>
          <w:szCs w:val="22"/>
          <w:rtl/>
        </w:rPr>
        <w:t>ומניע כו' ולקמיה.</w:t>
      </w:r>
      <w:r w:rsidRPr="00BD5E91">
        <w:rPr>
          <w:sz w:val="22"/>
          <w:szCs w:val="22"/>
          <w:rtl/>
        </w:rPr>
        <w:t xml:space="preserve"> ר"ל שאמרו שעטנ"ז ג"ץ צריכה שלשה זיינין ופי' א' לימין וא' לשמאל וא' לפניו באמצע:</w:t>
      </w:r>
    </w:p>
  </w:footnote>
  <w:footnote w:id="8637">
    <w:p w:rsidR="00007309" w:rsidRDefault="00007309" w:rsidP="00007309">
      <w:pPr>
        <w:pStyle w:val="a5"/>
        <w:rPr>
          <w:rtl/>
        </w:rPr>
      </w:pPr>
      <w:r>
        <w:rPr>
          <w:rStyle w:val="a7"/>
        </w:rPr>
        <w:footnoteRef/>
      </w:r>
      <w:r>
        <w:rPr>
          <w:rtl/>
        </w:rPr>
        <w:t xml:space="preserve"> </w:t>
      </w:r>
      <w:r w:rsidRPr="00BD5E91">
        <w:rPr>
          <w:b/>
          <w:bCs/>
          <w:sz w:val="22"/>
          <w:szCs w:val="22"/>
          <w:rtl/>
        </w:rPr>
        <w:t>ב"דח"ק איהו כו'.</w:t>
      </w:r>
      <w:r w:rsidRPr="00BD5E91">
        <w:rPr>
          <w:sz w:val="22"/>
          <w:szCs w:val="22"/>
          <w:rtl/>
        </w:rPr>
        <w:t xml:space="preserve"> ר"ל שעל אותיות האלו התגין שעליהן כעין חטוטרת כמ"ש </w:t>
      </w:r>
      <w:r>
        <w:rPr>
          <w:rFonts w:hint="cs"/>
          <w:sz w:val="22"/>
          <w:szCs w:val="22"/>
          <w:rtl/>
        </w:rPr>
        <w:t xml:space="preserve">(מנחות כט ע"ב) </w:t>
      </w:r>
      <w:r w:rsidRPr="00BD5E91">
        <w:rPr>
          <w:sz w:val="22"/>
          <w:szCs w:val="22"/>
          <w:rtl/>
        </w:rPr>
        <w:t>חטרו ליה לגגיה דח' וכמ"ש ר"ת שם בתוס' וכן הוא בכל הד' אותיות שהן מרובעות חוץ מה' שפרט שם בגמ' חטרו לגגיה דח' ותלו כו'. באת ז' אתעביד י"ה</w:t>
      </w:r>
      <w:r>
        <w:rPr>
          <w:rFonts w:hint="cs"/>
          <w:sz w:val="22"/>
          <w:szCs w:val="22"/>
          <w:rtl/>
        </w:rPr>
        <w:t>,</w:t>
      </w:r>
      <w:r w:rsidRPr="00BD5E91">
        <w:rPr>
          <w:sz w:val="22"/>
          <w:szCs w:val="22"/>
          <w:rtl/>
        </w:rPr>
        <w:t xml:space="preserve"> ר"ל שחטוטרת הוא ח'</w:t>
      </w:r>
      <w:r>
        <w:rPr>
          <w:rFonts w:hint="cs"/>
          <w:sz w:val="22"/>
          <w:szCs w:val="22"/>
          <w:rtl/>
        </w:rPr>
        <w:t>,</w:t>
      </w:r>
      <w:r w:rsidRPr="00BD5E91">
        <w:rPr>
          <w:sz w:val="22"/>
          <w:szCs w:val="22"/>
          <w:rtl/>
        </w:rPr>
        <w:t xml:space="preserve"> עם ז' שעל שעטנ"ז ג"ץ הוא י"ה</w:t>
      </w:r>
      <w:r>
        <w:rPr>
          <w:rFonts w:hint="cs"/>
          <w:sz w:val="22"/>
          <w:szCs w:val="22"/>
          <w:rtl/>
        </w:rPr>
        <w:t>.</w:t>
      </w:r>
      <w:r w:rsidRPr="00BD5E91">
        <w:rPr>
          <w:sz w:val="22"/>
          <w:szCs w:val="22"/>
          <w:rtl/>
        </w:rPr>
        <w:t xml:space="preserve"> והוא מרומז בי"ה שנשאר מבדח"ק</w:t>
      </w:r>
      <w:r>
        <w:rPr>
          <w:rFonts w:hint="cs"/>
          <w:sz w:val="22"/>
          <w:szCs w:val="22"/>
          <w:rtl/>
        </w:rPr>
        <w:t>.</w:t>
      </w:r>
      <w:r w:rsidRPr="00BD5E91">
        <w:rPr>
          <w:sz w:val="22"/>
          <w:szCs w:val="22"/>
          <w:rtl/>
        </w:rPr>
        <w:t xml:space="preserve"> ואמר שבאותיות בד"ק חי"ה מרומז</w:t>
      </w:r>
      <w:r>
        <w:rPr>
          <w:rFonts w:hint="cs"/>
          <w:sz w:val="22"/>
          <w:szCs w:val="22"/>
          <w:rtl/>
        </w:rPr>
        <w:t>:</w:t>
      </w:r>
      <w:r w:rsidRPr="00BD5E91">
        <w:rPr>
          <w:sz w:val="22"/>
          <w:szCs w:val="22"/>
          <w:rtl/>
        </w:rPr>
        <w:t xml:space="preserve"> ז'</w:t>
      </w:r>
      <w:r>
        <w:rPr>
          <w:rFonts w:hint="cs"/>
          <w:sz w:val="22"/>
          <w:szCs w:val="22"/>
          <w:rtl/>
        </w:rPr>
        <w:t>,</w:t>
      </w:r>
      <w:r w:rsidRPr="00BD5E91">
        <w:rPr>
          <w:sz w:val="22"/>
          <w:szCs w:val="22"/>
          <w:rtl/>
        </w:rPr>
        <w:t xml:space="preserve"> שעל ז' האותיות הנ"ל</w:t>
      </w:r>
      <w:r>
        <w:rPr>
          <w:rFonts w:hint="cs"/>
          <w:sz w:val="22"/>
          <w:szCs w:val="22"/>
          <w:rtl/>
        </w:rPr>
        <w:t>;</w:t>
      </w:r>
      <w:r w:rsidRPr="00BD5E91">
        <w:rPr>
          <w:sz w:val="22"/>
          <w:szCs w:val="22"/>
          <w:rtl/>
        </w:rPr>
        <w:t xml:space="preserve"> ו'</w:t>
      </w:r>
      <w:r>
        <w:rPr>
          <w:rFonts w:hint="cs"/>
          <w:sz w:val="22"/>
          <w:szCs w:val="22"/>
          <w:rtl/>
        </w:rPr>
        <w:t>,</w:t>
      </w:r>
      <w:r w:rsidRPr="00BD5E91">
        <w:rPr>
          <w:sz w:val="22"/>
          <w:szCs w:val="22"/>
          <w:rtl/>
        </w:rPr>
        <w:t xml:space="preserve"> שעל אלו האותיות</w:t>
      </w:r>
      <w:r>
        <w:rPr>
          <w:rFonts w:hint="cs"/>
          <w:sz w:val="22"/>
          <w:szCs w:val="22"/>
          <w:rtl/>
        </w:rPr>
        <w:t>;</w:t>
      </w:r>
      <w:r w:rsidRPr="00BD5E91">
        <w:rPr>
          <w:sz w:val="22"/>
          <w:szCs w:val="22"/>
          <w:rtl/>
        </w:rPr>
        <w:t xml:space="preserve"> ח'</w:t>
      </w:r>
      <w:r>
        <w:rPr>
          <w:rFonts w:hint="cs"/>
          <w:sz w:val="22"/>
          <w:szCs w:val="22"/>
          <w:rtl/>
        </w:rPr>
        <w:t>,</w:t>
      </w:r>
      <w:r w:rsidRPr="00BD5E91">
        <w:rPr>
          <w:sz w:val="22"/>
          <w:szCs w:val="22"/>
          <w:rtl/>
        </w:rPr>
        <w:t xml:space="preserve"> של חטוטרת</w:t>
      </w:r>
      <w:r>
        <w:rPr>
          <w:rFonts w:hint="cs"/>
          <w:sz w:val="22"/>
          <w:szCs w:val="22"/>
          <w:rtl/>
        </w:rPr>
        <w:t>;</w:t>
      </w:r>
      <w:r w:rsidRPr="00BD5E91">
        <w:rPr>
          <w:sz w:val="22"/>
          <w:szCs w:val="22"/>
          <w:rtl/>
        </w:rPr>
        <w:t xml:space="preserve"> וצדיק שבו כלול כל התגין</w:t>
      </w:r>
      <w:r>
        <w:rPr>
          <w:rFonts w:hint="cs"/>
          <w:sz w:val="22"/>
          <w:szCs w:val="22"/>
          <w:rtl/>
        </w:rPr>
        <w:t>.</w:t>
      </w:r>
      <w:r w:rsidRPr="00BD5E91">
        <w:rPr>
          <w:sz w:val="22"/>
          <w:szCs w:val="22"/>
          <w:rtl/>
        </w:rPr>
        <w:t xml:space="preserve"> וז"ש י"ה ז"ח. ר"ל ז"ח גי' י"ה. ו' גי' ב"ד. ח"ק גי' ח"י צ' שהוא יסוד צדיק חי עלמין</w:t>
      </w:r>
      <w:r>
        <w:rPr>
          <w:rFonts w:hint="cs"/>
          <w:sz w:val="22"/>
          <w:szCs w:val="22"/>
          <w:rtl/>
        </w:rPr>
        <w:t>.</w:t>
      </w:r>
      <w:r w:rsidRPr="00BD5E91">
        <w:rPr>
          <w:sz w:val="22"/>
          <w:szCs w:val="22"/>
          <w:rtl/>
        </w:rPr>
        <w:t xml:space="preserve"> והוא בד"ק חי"ה</w:t>
      </w:r>
      <w:r>
        <w:rPr>
          <w:rFonts w:hint="cs"/>
          <w:sz w:val="22"/>
          <w:szCs w:val="22"/>
          <w:rtl/>
        </w:rPr>
        <w:t>.</w:t>
      </w:r>
      <w:r w:rsidRPr="00BD5E91">
        <w:rPr>
          <w:sz w:val="22"/>
          <w:szCs w:val="22"/>
          <w:rtl/>
        </w:rPr>
        <w:t xml:space="preserve"> ואמר ז' בכל אות כו'. ר"ל צדיק י' עטרה בראשו</w:t>
      </w:r>
      <w:r>
        <w:rPr>
          <w:rFonts w:hint="cs"/>
          <w:sz w:val="22"/>
          <w:szCs w:val="22"/>
          <w:rtl/>
        </w:rPr>
        <w:t>,</w:t>
      </w:r>
      <w:r w:rsidRPr="00BD5E91">
        <w:rPr>
          <w:sz w:val="22"/>
          <w:szCs w:val="22"/>
          <w:rtl/>
        </w:rPr>
        <w:t xml:space="preserve"> עטרותיהם בראשיהם כנ"ל והוא בז' אותיות</w:t>
      </w:r>
      <w:r>
        <w:rPr>
          <w:rFonts w:hint="cs"/>
          <w:sz w:val="22"/>
          <w:szCs w:val="22"/>
          <w:rtl/>
        </w:rPr>
        <w:t>,</w:t>
      </w:r>
      <w:r w:rsidRPr="00BD5E91">
        <w:rPr>
          <w:sz w:val="22"/>
          <w:szCs w:val="22"/>
          <w:rtl/>
        </w:rPr>
        <w:t xml:space="preserve"> יום השביעי ו' עם י' בראשו נעשה ז' כנ"ל. והוא על ז' אותיות ג' זיינין</w:t>
      </w:r>
      <w:r>
        <w:rPr>
          <w:rFonts w:hint="cs"/>
          <w:sz w:val="22"/>
          <w:szCs w:val="22"/>
          <w:rtl/>
        </w:rPr>
        <w:t>,</w:t>
      </w:r>
      <w:r w:rsidRPr="00BD5E91">
        <w:rPr>
          <w:sz w:val="22"/>
          <w:szCs w:val="22"/>
          <w:rtl/>
        </w:rPr>
        <w:t xml:space="preserve"> כ"א תגין. ועל ו' אותיות ו' תגין הרי כ"ז תגין</w:t>
      </w:r>
      <w:r>
        <w:rPr>
          <w:rFonts w:hint="cs"/>
          <w:sz w:val="22"/>
          <w:szCs w:val="22"/>
          <w:rtl/>
        </w:rPr>
        <w:t>.</w:t>
      </w:r>
      <w:r w:rsidRPr="00BD5E91">
        <w:rPr>
          <w:sz w:val="22"/>
          <w:szCs w:val="22"/>
          <w:rtl/>
        </w:rPr>
        <w:t xml:space="preserve"> נגד כ"ז אותיות</w:t>
      </w:r>
      <w:r>
        <w:rPr>
          <w:rFonts w:hint="cs"/>
          <w:sz w:val="22"/>
          <w:szCs w:val="22"/>
          <w:rtl/>
        </w:rPr>
        <w:t>.</w:t>
      </w:r>
      <w:r w:rsidRPr="00BD5E91">
        <w:rPr>
          <w:sz w:val="22"/>
          <w:szCs w:val="22"/>
          <w:rtl/>
        </w:rPr>
        <w:t xml:space="preserve"> ז"ו ח' הנ"ל שהן ב"ד י"ה הוא יה"ו שבשם</w:t>
      </w:r>
      <w:r>
        <w:rPr>
          <w:rFonts w:hint="cs"/>
          <w:sz w:val="22"/>
          <w:szCs w:val="22"/>
          <w:rtl/>
        </w:rPr>
        <w:t>,</w:t>
      </w:r>
      <w:r w:rsidRPr="00BD5E91">
        <w:rPr>
          <w:sz w:val="22"/>
          <w:szCs w:val="22"/>
          <w:rtl/>
        </w:rPr>
        <w:t xml:space="preserve"> שכלול בצדיק שהוא ח"ק</w:t>
      </w:r>
      <w:r>
        <w:rPr>
          <w:rFonts w:hint="cs"/>
          <w:sz w:val="22"/>
          <w:szCs w:val="22"/>
          <w:rtl/>
        </w:rPr>
        <w:t>.</w:t>
      </w:r>
      <w:r w:rsidRPr="00BD5E91">
        <w:rPr>
          <w:sz w:val="22"/>
          <w:szCs w:val="22"/>
          <w:rtl/>
        </w:rPr>
        <w:t xml:space="preserve"> שעט"נ דשעטנ"ז ג"ץ הוא דקר"ע שט"ן שהוא ביצחק ששם נטיל צדיק כמש"ל דף ס"א ע"ב ק"ץ ח"י. זג"ץ הוא ק' של השם. כ"א זיינין של ז' אותיות</w:t>
      </w:r>
      <w:r>
        <w:rPr>
          <w:rFonts w:hint="cs"/>
          <w:sz w:val="22"/>
          <w:szCs w:val="22"/>
          <w:rtl/>
        </w:rPr>
        <w:t>,</w:t>
      </w:r>
      <w:r w:rsidRPr="00BD5E91">
        <w:rPr>
          <w:sz w:val="22"/>
          <w:szCs w:val="22"/>
          <w:rtl/>
        </w:rPr>
        <w:t xml:space="preserve"> ד' ח' הנ"ל ב' ווין של י"ה הוא ר' של השם והוא בגבורה כלי זיין להלחם ולקרוע שטן שהוא בשם הנ"ל כידוע וז"ש כלי זיין כו':</w:t>
      </w:r>
    </w:p>
  </w:footnote>
  <w:footnote w:id="863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ז' בכל כו'.</w:t>
      </w:r>
      <w:r w:rsidRPr="00BD5E91">
        <w:rPr>
          <w:sz w:val="22"/>
          <w:szCs w:val="22"/>
          <w:rtl/>
        </w:rPr>
        <w:t xml:space="preserve"> ר"ל בתלת עשר אתוון ז"ו</w:t>
      </w:r>
      <w:r>
        <w:rPr>
          <w:rFonts w:hint="cs"/>
          <w:sz w:val="22"/>
          <w:szCs w:val="22"/>
          <w:rtl/>
        </w:rPr>
        <w:t>.</w:t>
      </w:r>
      <w:r w:rsidRPr="00BD5E91">
        <w:rPr>
          <w:sz w:val="22"/>
          <w:szCs w:val="22"/>
          <w:rtl/>
        </w:rPr>
        <w:t xml:space="preserve"> ז' של שעטנ"ז ג"ץ בז' אותיות</w:t>
      </w:r>
      <w:r>
        <w:rPr>
          <w:rFonts w:hint="cs"/>
          <w:sz w:val="22"/>
          <w:szCs w:val="22"/>
          <w:rtl/>
        </w:rPr>
        <w:t>,</w:t>
      </w:r>
      <w:r w:rsidRPr="00BD5E91">
        <w:rPr>
          <w:sz w:val="22"/>
          <w:szCs w:val="22"/>
          <w:rtl/>
        </w:rPr>
        <w:t xml:space="preserve"> ו' בו' אותיות של בד"ק חי"ה הוא כעין ו' כידוע</w:t>
      </w:r>
      <w:r>
        <w:rPr>
          <w:rFonts w:hint="cs"/>
          <w:sz w:val="22"/>
          <w:szCs w:val="22"/>
          <w:rtl/>
        </w:rPr>
        <w:t>.</w:t>
      </w:r>
      <w:r w:rsidRPr="00BD5E91">
        <w:rPr>
          <w:sz w:val="22"/>
          <w:szCs w:val="22"/>
          <w:rtl/>
        </w:rPr>
        <w:t xml:space="preserve"> והן י"ג והן ז"ו שביסוד כמש"ל כד את חשיב מימינא כו' וכד כו' ז"ו שבכוז"ו כמש"ל י"ג תיקוני' [י"ג בריתות] שבו: </w:t>
      </w:r>
    </w:p>
  </w:footnote>
  <w:footnote w:id="863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וישב יצחק בגרר.</w:t>
      </w:r>
      <w:r w:rsidRPr="00BD5E91">
        <w:rPr>
          <w:sz w:val="22"/>
          <w:szCs w:val="22"/>
          <w:rtl/>
        </w:rPr>
        <w:t xml:space="preserve"> ר"ל כנ"ל שהס"ת הוא צדיק בדרגא דיצחק וכן צדיק עם ד"ס גי' יצחק ור"ל בגרר כמש"ו דלא יהא דבק כו' לגרור הדבקות כמש"ו ואם הדבוק נגרר:</w:t>
      </w:r>
    </w:p>
  </w:footnote>
  <w:footnote w:id="864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 פתוחה כו'.</w:t>
      </w:r>
      <w:r w:rsidRPr="00BD5E91">
        <w:rPr>
          <w:sz w:val="22"/>
          <w:szCs w:val="22"/>
          <w:rtl/>
        </w:rPr>
        <w:t xml:space="preserve"> כמ"ש </w:t>
      </w:r>
      <w:r>
        <w:rPr>
          <w:rFonts w:hint="cs"/>
          <w:sz w:val="22"/>
          <w:szCs w:val="22"/>
          <w:rtl/>
        </w:rPr>
        <w:t xml:space="preserve">(שבת קד ע"א) </w:t>
      </w:r>
      <w:r w:rsidRPr="00BD5E91">
        <w:rPr>
          <w:sz w:val="22"/>
          <w:szCs w:val="22"/>
          <w:rtl/>
        </w:rPr>
        <w:t>מאמר פתוח כו' שהוא במלכות</w:t>
      </w:r>
      <w:r>
        <w:rPr>
          <w:rFonts w:hint="cs"/>
          <w:sz w:val="22"/>
          <w:szCs w:val="22"/>
          <w:rtl/>
        </w:rPr>
        <w:t>,</w:t>
      </w:r>
      <w:r w:rsidRPr="00BD5E91">
        <w:rPr>
          <w:sz w:val="22"/>
          <w:szCs w:val="22"/>
          <w:rtl/>
        </w:rPr>
        <w:t xml:space="preserve"> ובינה מאמר סתום</w:t>
      </w:r>
      <w:r>
        <w:rPr>
          <w:rFonts w:hint="cs"/>
          <w:sz w:val="22"/>
          <w:szCs w:val="22"/>
          <w:rtl/>
        </w:rPr>
        <w:t>,</w:t>
      </w:r>
      <w:r w:rsidRPr="00BD5E91">
        <w:rPr>
          <w:sz w:val="22"/>
          <w:szCs w:val="22"/>
          <w:rtl/>
        </w:rPr>
        <w:t xml:space="preserve"> דלא לשאלה:</w:t>
      </w:r>
    </w:p>
  </w:footnote>
  <w:footnote w:id="864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שקל הקודש.</w:t>
      </w:r>
      <w:r w:rsidRPr="00BD5E91">
        <w:rPr>
          <w:sz w:val="22"/>
          <w:szCs w:val="22"/>
          <w:rtl/>
        </w:rPr>
        <w:t xml:space="preserve"> כידוע והוא משקל שלא יוסיף ולא יגרע כמ"ש (דברים ד ב) לא תוסיף כו' והן כל הספירות מבינה ולמטה ימא דאורייתא שהוא בדרגא דיצחק מ' </w:t>
      </w:r>
      <w:r>
        <w:rPr>
          <w:rFonts w:hint="cs"/>
          <w:sz w:val="22"/>
          <w:szCs w:val="22"/>
          <w:rtl/>
        </w:rPr>
        <w:t>ם</w:t>
      </w:r>
      <w:r w:rsidRPr="00BD5E91">
        <w:rPr>
          <w:sz w:val="22"/>
          <w:szCs w:val="22"/>
          <w:rtl/>
        </w:rPr>
        <w:t>' וחג"ת כולל נה"י ימינא ושמאלא ועד"א כנ"ל:</w:t>
      </w:r>
    </w:p>
  </w:footnote>
  <w:footnote w:id="864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ובג"ד וישב כו'.</w:t>
      </w:r>
      <w:r w:rsidRPr="00BD5E91">
        <w:rPr>
          <w:sz w:val="22"/>
          <w:szCs w:val="22"/>
          <w:rtl/>
        </w:rPr>
        <w:t xml:space="preserve"> שמסט' דיצחק המחלוקת ענפין מתפרדין:</w:t>
      </w:r>
    </w:p>
  </w:footnote>
  <w:footnote w:id="864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תנועה דאתוון.</w:t>
      </w:r>
      <w:r w:rsidRPr="00BD5E91">
        <w:rPr>
          <w:sz w:val="22"/>
          <w:szCs w:val="22"/>
          <w:rtl/>
        </w:rPr>
        <w:t xml:space="preserve"> שא"א להניע האותיות בלתי הנקודות שלכן נקראו תנועות:</w:t>
      </w:r>
    </w:p>
  </w:footnote>
  <w:footnote w:id="864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כגון פרקין.</w:t>
      </w:r>
      <w:r w:rsidRPr="00BD5E91">
        <w:rPr>
          <w:sz w:val="22"/>
          <w:szCs w:val="22"/>
          <w:rtl/>
        </w:rPr>
        <w:t xml:space="preserve"> שבין אבר לאבר והן עגולין כמו נקודות כמ"ש בתי"ט:</w:t>
      </w:r>
    </w:p>
  </w:footnote>
  <w:footnote w:id="864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וכל תנועה.</w:t>
      </w:r>
      <w:r w:rsidRPr="00BD5E91">
        <w:rPr>
          <w:sz w:val="22"/>
          <w:szCs w:val="22"/>
          <w:rtl/>
        </w:rPr>
        <w:t xml:space="preserve"> ר"ל שמתנועע ממקום למקום ולכן הקדים כל נקודה כו':</w:t>
      </w:r>
    </w:p>
  </w:footnote>
  <w:footnote w:id="864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וכל נקודין אינון כו'.</w:t>
      </w:r>
      <w:r w:rsidRPr="00BD5E91">
        <w:rPr>
          <w:sz w:val="22"/>
          <w:szCs w:val="22"/>
          <w:rtl/>
        </w:rPr>
        <w:t xml:space="preserve"> שכל נקב הוא עגול ובהן נכנס החיות כידוע והוא מכח החכמה כמ"ש (קהלת ז ב) והחכמה תחיה בעליה שלכן נקרא הנשמה מצדה חיה וזש"ל וכל תנועה אינון כו'. שהחיות הוא התנועה:</w:t>
      </w:r>
    </w:p>
  </w:footnote>
  <w:footnote w:id="864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דכולהו על פה.</w:t>
      </w:r>
      <w:r w:rsidRPr="00BD5E91">
        <w:rPr>
          <w:sz w:val="22"/>
          <w:szCs w:val="22"/>
          <w:rtl/>
        </w:rPr>
        <w:t xml:space="preserve"> למעלה מן הפה וכולן משמשין לה ומסט' דילהון אורייתא דבע"פ דפה הוא מלכות כמ"ש בריש תיקונים מלכות פה תורה שבע"פ קרינן לה:</w:t>
      </w:r>
    </w:p>
  </w:footnote>
  <w:footnote w:id="864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ובגין דאורייתא כו' ואתמר דל"ל ניקודין.</w:t>
      </w:r>
      <w:r w:rsidRPr="00BD5E91">
        <w:rPr>
          <w:sz w:val="22"/>
          <w:szCs w:val="22"/>
          <w:rtl/>
        </w:rPr>
        <w:t xml:space="preserve"> לפי שהוא בגופא שאין שם נקבים:</w:t>
      </w:r>
    </w:p>
  </w:footnote>
  <w:footnote w:id="864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לאורייתא דבע"פ כו'.</w:t>
      </w:r>
      <w:r w:rsidRPr="00BD5E91">
        <w:rPr>
          <w:sz w:val="22"/>
          <w:szCs w:val="22"/>
          <w:rtl/>
        </w:rPr>
        <w:t xml:space="preserve"> שהטעמים הן תנועות והן מנקבים הנ"ל ור"ל טעמים כמ"ש (עירובין כא ע"ב) שאמר על כל דבר של סופרים אלף וה' טעמים והוא אלף מסט' דכתר שהוא אלף והוא כתר מלכות שבו כל הנקבים בגולגלתא וה' במלכות:</w:t>
      </w:r>
    </w:p>
  </w:footnote>
  <w:footnote w:id="865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 וירא כו'.</w:t>
      </w:r>
      <w:r w:rsidRPr="00BD5E91">
        <w:rPr>
          <w:sz w:val="22"/>
          <w:szCs w:val="22"/>
          <w:rtl/>
        </w:rPr>
        <w:t xml:space="preserve"> ד"א הוא דרוש אחר וכ"ה בכ"מ במדרש:</w:t>
      </w:r>
    </w:p>
  </w:footnote>
  <w:footnote w:id="865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ואינון ארבע מרכבות כו'.</w:t>
      </w:r>
      <w:r w:rsidRPr="00BD5E91">
        <w:rPr>
          <w:sz w:val="22"/>
          <w:szCs w:val="22"/>
          <w:rtl/>
        </w:rPr>
        <w:t xml:space="preserve"> ד' חיות:</w:t>
      </w:r>
    </w:p>
  </w:footnote>
  <w:footnote w:id="865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בראיה באריה דאיהי ראיה.</w:t>
      </w:r>
      <w:r w:rsidRPr="00BD5E91">
        <w:rPr>
          <w:sz w:val="22"/>
          <w:szCs w:val="22"/>
          <w:rtl/>
        </w:rPr>
        <w:t xml:space="preserve"> ר"ל אריה אותיות ראיה והוא י' של השם כמ"ש לעיל דף ע"ה ע"ג ע"ש כל הד' תיקונין שמפרש שם וכאן לא בא אלא לפרש וירא כו' שאליו נתגלה בראיה שהוא דרגא דאברהם אריה כמש"ל בעמוד הקודם:</w:t>
      </w:r>
    </w:p>
  </w:footnote>
  <w:footnote w:id="865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ולקבל מרכבה כו' נעשה אדם.</w:t>
      </w:r>
      <w:r w:rsidRPr="00BD5E91">
        <w:rPr>
          <w:sz w:val="22"/>
          <w:szCs w:val="22"/>
          <w:rtl/>
        </w:rPr>
        <w:t xml:space="preserve"> ר"ל בדיוקנא דילהון שהן דמות אדם כמש"ל:</w:t>
      </w:r>
    </w:p>
  </w:footnote>
  <w:footnote w:id="865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הכא כתיב ובאבוד כו'.</w:t>
      </w:r>
      <w:r w:rsidRPr="00BD5E91">
        <w:rPr>
          <w:sz w:val="22"/>
          <w:szCs w:val="22"/>
          <w:rtl/>
        </w:rPr>
        <w:t xml:space="preserve"> כמו הלעיטהו לרשע וימות כמ"ש (בראשית רבה ח) שאמר הקב"ה למשה [לפה"נ חסר תיבת כתוב. המעתיק] וכל מי שרוצה לטעות יטעה:</w:t>
      </w:r>
    </w:p>
  </w:footnote>
  <w:footnote w:id="865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כי ישרים כו' ופושעים כו' לקיימא כו'.</w:t>
      </w:r>
      <w:r w:rsidRPr="00BD5E91">
        <w:rPr>
          <w:sz w:val="22"/>
          <w:szCs w:val="22"/>
          <w:rtl/>
        </w:rPr>
        <w:t xml:space="preserve"> ר"ל כמ"ש למטה שלכך אמר נעשה להמרכבה שיעשו אדם ולא אמר עשו לצרף אותו ג"כ עמהם בעובדא והוא ללמד לכל אדם זו"נ שיצרפו את הקב"ה בזיווגא דילהון שיעשה אדם כמש"ל (משלי ג ו) בכל דרכיך דעהו כו' כי ישרים דרכי ה' הדרך שהוא עם ה' ופושעים יכשלו שאין מצרפין הקב"ה בעובדא דילהון שיאבדו ויקויים אז ובאבוד רשעים רנה וז"ש. לקיימא בהו כו':</w:t>
      </w:r>
    </w:p>
  </w:footnote>
  <w:footnote w:id="865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דהא אורייתא כו' לאדם עילאה.</w:t>
      </w:r>
      <w:r w:rsidRPr="00BD5E91">
        <w:rPr>
          <w:sz w:val="22"/>
          <w:szCs w:val="22"/>
          <w:rtl/>
        </w:rPr>
        <w:t xml:space="preserve"> ל"ג ור"ל כמ"ש (ילקוט שמעוני בראשית פרק א סימן יג) כ"מ שפקרו המינים תשובתם בצדם נעשה אדם ויברא אלקים כו' וז"ש דהא אורייתא קא סתים כו'. ר"ל פריש להדיא כמו סתים תנא כו' שהוא לבדו ברא לאדה"ר וז"ש הה"ד ויברא כו':</w:t>
      </w:r>
    </w:p>
  </w:footnote>
  <w:footnote w:id="865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את לרבות כו'.</w:t>
      </w:r>
      <w:r w:rsidRPr="00BD5E91">
        <w:rPr>
          <w:sz w:val="22"/>
          <w:szCs w:val="22"/>
          <w:rtl/>
        </w:rPr>
        <w:t xml:space="preserve"> ר"ל עם אדם עילאה ברא את אדה"ר:</w:t>
      </w:r>
    </w:p>
  </w:footnote>
  <w:footnote w:id="865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דאדם עילאה.</w:t>
      </w:r>
      <w:r w:rsidRPr="00BD5E91">
        <w:rPr>
          <w:sz w:val="22"/>
          <w:szCs w:val="22"/>
          <w:rtl/>
        </w:rPr>
        <w:t xml:space="preserve"> ר"ל שבכסא כמש"ו:</w:t>
      </w:r>
    </w:p>
  </w:footnote>
  <w:footnote w:id="865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בתרין דיוקנין.</w:t>
      </w:r>
      <w:r w:rsidRPr="00BD5E91">
        <w:rPr>
          <w:sz w:val="22"/>
          <w:szCs w:val="22"/>
          <w:rtl/>
        </w:rPr>
        <w:t xml:space="preserve"> כמש"ו בצלמו בצלם:</w:t>
      </w:r>
    </w:p>
  </w:footnote>
  <w:footnote w:id="866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ומה דאמר נעשה.</w:t>
      </w:r>
      <w:r w:rsidRPr="00BD5E91">
        <w:rPr>
          <w:sz w:val="22"/>
          <w:szCs w:val="22"/>
          <w:rtl/>
        </w:rPr>
        <w:t xml:space="preserve"> ר"ל דלא הל"ל אלא ויברא אלקים כו':</w:t>
      </w:r>
    </w:p>
  </w:footnote>
  <w:footnote w:id="866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דאינון דכר ונוקבא.</w:t>
      </w:r>
      <w:r w:rsidRPr="00BD5E91">
        <w:rPr>
          <w:sz w:val="22"/>
          <w:szCs w:val="22"/>
          <w:rtl/>
        </w:rPr>
        <w:t xml:space="preserve"> דוגמת תרין דיוקנין הנ"ל שנברא מהן האדם:</w:t>
      </w:r>
    </w:p>
  </w:footnote>
  <w:footnote w:id="866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כי ישרים דרכי ה'.</w:t>
      </w:r>
      <w:r w:rsidRPr="00BD5E91">
        <w:rPr>
          <w:sz w:val="22"/>
          <w:szCs w:val="22"/>
          <w:rtl/>
        </w:rPr>
        <w:t xml:space="preserve"> ר"ל דרך שהוא בשיתופא דה' כמ"ש בכל דרכיך והוא יישר כו' זהו ישרים כו':</w:t>
      </w:r>
    </w:p>
  </w:footnote>
  <w:footnote w:id="866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תרין עלמין כו'.</w:t>
      </w:r>
      <w:r w:rsidRPr="00BD5E91">
        <w:rPr>
          <w:sz w:val="22"/>
          <w:szCs w:val="22"/>
          <w:rtl/>
        </w:rPr>
        <w:t xml:space="preserve"> כמ"ש (מנחות כט ע"ב) מאי דכתיב כי בי"ה ה' צור עולמים כו':</w:t>
      </w:r>
    </w:p>
  </w:footnote>
  <w:footnote w:id="866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דצייר בהון.</w:t>
      </w:r>
      <w:r w:rsidRPr="00BD5E91">
        <w:rPr>
          <w:sz w:val="22"/>
          <w:szCs w:val="22"/>
          <w:rtl/>
        </w:rPr>
        <w:t xml:space="preserve"> ר"ל עמהם:</w:t>
      </w:r>
    </w:p>
  </w:footnote>
  <w:footnote w:id="866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מאשה.</w:t>
      </w:r>
      <w:r w:rsidRPr="00BD5E91">
        <w:rPr>
          <w:sz w:val="22"/>
          <w:szCs w:val="22"/>
          <w:rtl/>
        </w:rPr>
        <w:t xml:space="preserve"> כאן צ"ל ודא י"ה והן או"א:</w:t>
      </w:r>
    </w:p>
  </w:footnote>
  <w:footnote w:id="866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דצייר בהון.</w:t>
      </w:r>
      <w:r w:rsidRPr="00BD5E91">
        <w:rPr>
          <w:sz w:val="22"/>
          <w:szCs w:val="22"/>
          <w:rtl/>
        </w:rPr>
        <w:t xml:space="preserve"> ל"ג:</w:t>
      </w:r>
    </w:p>
  </w:footnote>
  <w:footnote w:id="866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אדם דא איהו יו"ד כו'.</w:t>
      </w:r>
      <w:r w:rsidRPr="00BD5E91">
        <w:rPr>
          <w:sz w:val="22"/>
          <w:szCs w:val="22"/>
          <w:rtl/>
        </w:rPr>
        <w:t xml:space="preserve"> שמא מפרש גי' אדם והוא היושב על הכסא של ד' חיון ד' אותיות הויה:</w:t>
      </w:r>
    </w:p>
  </w:footnote>
  <w:footnote w:id="866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לאדם לשבת בית.</w:t>
      </w:r>
      <w:r w:rsidRPr="00BD5E91">
        <w:rPr>
          <w:sz w:val="22"/>
          <w:szCs w:val="22"/>
          <w:rtl/>
        </w:rPr>
        <w:t xml:space="preserve"> כמ"ש (ישעיהו מד יג) כתפארת אדם לשבת בית ומפרש שהוא לשבת על הכסא כמ"ש (יחזקאל א כו) ודמות כמראה אדם עליו מלמעלה והוא כתר על ד' חיות הויה מחכמה ולמטה והן ב' כסאות</w:t>
      </w:r>
      <w:r>
        <w:rPr>
          <w:rFonts w:hint="cs"/>
          <w:sz w:val="22"/>
          <w:szCs w:val="22"/>
          <w:rtl/>
        </w:rPr>
        <w:t>,</w:t>
      </w:r>
      <w:r w:rsidRPr="00BD5E91">
        <w:rPr>
          <w:sz w:val="22"/>
          <w:szCs w:val="22"/>
          <w:rtl/>
        </w:rPr>
        <w:t xml:space="preserve"> כסא א' י"ה</w:t>
      </w:r>
      <w:r>
        <w:rPr>
          <w:rFonts w:hint="cs"/>
          <w:sz w:val="22"/>
          <w:szCs w:val="22"/>
          <w:rtl/>
        </w:rPr>
        <w:t>,</w:t>
      </w:r>
      <w:r w:rsidRPr="00BD5E91">
        <w:rPr>
          <w:sz w:val="22"/>
          <w:szCs w:val="22"/>
          <w:rtl/>
        </w:rPr>
        <w:t xml:space="preserve"> כסא ב' ו"ה</w:t>
      </w:r>
      <w:r>
        <w:rPr>
          <w:rFonts w:hint="cs"/>
          <w:sz w:val="22"/>
          <w:szCs w:val="22"/>
          <w:rtl/>
        </w:rPr>
        <w:t>,</w:t>
      </w:r>
      <w:r w:rsidRPr="00BD5E91">
        <w:rPr>
          <w:sz w:val="22"/>
          <w:szCs w:val="22"/>
          <w:rtl/>
        </w:rPr>
        <w:t xml:space="preserve"> ועל שניהם יושב</w:t>
      </w:r>
      <w:r>
        <w:rPr>
          <w:rFonts w:hint="cs"/>
          <w:sz w:val="22"/>
          <w:szCs w:val="22"/>
          <w:rtl/>
        </w:rPr>
        <w:t>.</w:t>
      </w:r>
      <w:r w:rsidRPr="00BD5E91">
        <w:rPr>
          <w:sz w:val="22"/>
          <w:szCs w:val="22"/>
          <w:rtl/>
        </w:rPr>
        <w:t xml:space="preserve"> וז"ש דבהון אי"ה או"ה ר"ל א' דאדם שהוא כתר על י"ה ועל ו"ה שהן כ"ח אותיות דמעשה בראשית כידוע:</w:t>
      </w:r>
    </w:p>
  </w:footnote>
  <w:footnote w:id="8669">
    <w:p w:rsidR="00007309" w:rsidRPr="00BD5E91" w:rsidRDefault="00007309" w:rsidP="00007309">
      <w:pPr>
        <w:jc w:val="both"/>
        <w:rPr>
          <w:rFonts w:cs="Arial"/>
          <w:sz w:val="22"/>
          <w:szCs w:val="22"/>
          <w:rtl/>
        </w:rPr>
      </w:pPr>
      <w:r w:rsidRPr="00BD5E91">
        <w:rPr>
          <w:rStyle w:val="a7"/>
          <w:sz w:val="22"/>
          <w:szCs w:val="22"/>
          <w:rtl/>
        </w:rPr>
        <w:footnoteRef/>
      </w:r>
      <w:r w:rsidRPr="00BD5E91">
        <w:rPr>
          <w:sz w:val="22"/>
          <w:szCs w:val="22"/>
          <w:rtl/>
        </w:rPr>
        <w:t xml:space="preserve"> </w:t>
      </w:r>
      <w:r w:rsidRPr="00BD5E91">
        <w:rPr>
          <w:rFonts w:cs="Arial"/>
          <w:b/>
          <w:bCs/>
          <w:sz w:val="22"/>
          <w:szCs w:val="22"/>
          <w:rtl/>
        </w:rPr>
        <w:t>ובהון אתקריאו כו'.</w:t>
      </w:r>
      <w:r w:rsidRPr="00BD5E91">
        <w:rPr>
          <w:rFonts w:cs="Arial"/>
          <w:sz w:val="22"/>
          <w:szCs w:val="22"/>
          <w:rtl/>
        </w:rPr>
        <w:t xml:space="preserve"> בכל הע"ס כמש"ו בנים אתם לה' כו' ד' אותיות הויה. ואתמר בהון אדם אתם מסט' דאדם ע"ג כנ"ל ור"ל דבן הנוצר מהם נוצר מן האתוון הנ"ל מ"מ צריך לשתף עלת על כל העלות א"ס כמש"ו שתפוני כו' ואע"ג דאית בישראל כו':</w:t>
      </w:r>
    </w:p>
  </w:footnote>
  <w:footnote w:id="867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פחות מיני.</w:t>
      </w:r>
      <w:r w:rsidRPr="00BD5E91">
        <w:rPr>
          <w:sz w:val="22"/>
          <w:szCs w:val="22"/>
          <w:rtl/>
        </w:rPr>
        <w:t xml:space="preserve"> ר"ל בלעדי ולכן אמר בזוהר אורייתא בלא דחילו ורחימו לא סלקא לעילא:</w:t>
      </w:r>
    </w:p>
  </w:footnote>
  <w:footnote w:id="867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וכל אומין כו'.</w:t>
      </w:r>
      <w:r w:rsidRPr="00BD5E91">
        <w:rPr>
          <w:sz w:val="22"/>
          <w:szCs w:val="22"/>
          <w:rtl/>
        </w:rPr>
        <w:t xml:space="preserve"> ר"ל הפעולה של התורה לידע אותו כמ"ש (ברכות יז ע"א) גמור כו' לדעת את דרכי כו' וכמ"ש (ירמיהו ט כב) אל יתהלל חכם כו' השכל וידוע אותי:</w:t>
      </w:r>
    </w:p>
  </w:footnote>
  <w:footnote w:id="867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אחד בה.</w:t>
      </w:r>
      <w:r w:rsidRPr="00BD5E91">
        <w:rPr>
          <w:sz w:val="22"/>
          <w:szCs w:val="22"/>
          <w:rtl/>
        </w:rPr>
        <w:t xml:space="preserve"> ר"ל באורייתא:</w:t>
      </w:r>
    </w:p>
  </w:footnote>
  <w:footnote w:id="867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דסליק לחושבן כו'.</w:t>
      </w:r>
      <w:r w:rsidRPr="00BD5E91">
        <w:rPr>
          <w:sz w:val="22"/>
          <w:szCs w:val="22"/>
          <w:rtl/>
        </w:rPr>
        <w:t xml:space="preserve"> ר"ל אלקים</w:t>
      </w:r>
      <w:r>
        <w:rPr>
          <w:rFonts w:hint="cs"/>
          <w:sz w:val="22"/>
          <w:szCs w:val="22"/>
          <w:rtl/>
        </w:rPr>
        <w:t>,</w:t>
      </w:r>
      <w:r w:rsidRPr="00BD5E91">
        <w:rPr>
          <w:sz w:val="22"/>
          <w:szCs w:val="22"/>
          <w:rtl/>
        </w:rPr>
        <w:t xml:space="preserve"> ולכן ה' אלקים נק' שם מלא שהוא כולל ג' שמהן שכולל כל האצילות כמ"ש לעיל כמה פעמים:</w:t>
      </w:r>
    </w:p>
  </w:footnote>
  <w:footnote w:id="867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לא אתקרי אחד פחות כו'.</w:t>
      </w:r>
      <w:r w:rsidRPr="00BD5E91">
        <w:rPr>
          <w:sz w:val="22"/>
          <w:szCs w:val="22"/>
          <w:rtl/>
        </w:rPr>
        <w:t xml:space="preserve"> ר"ל בלתי הספירות לא נקרא אחד שעליו לא שייך כמש"ו:</w:t>
      </w:r>
    </w:p>
  </w:footnote>
  <w:footnote w:id="867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ואיהו משותף כו'.</w:t>
      </w:r>
      <w:r w:rsidRPr="00BD5E91">
        <w:rPr>
          <w:sz w:val="22"/>
          <w:szCs w:val="22"/>
          <w:rtl/>
        </w:rPr>
        <w:t xml:space="preserve"> ר"ל בדכר ובנוק' ובבן ובת שהן יקו"ק:</w:t>
      </w:r>
    </w:p>
  </w:footnote>
  <w:footnote w:id="867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כי שמים כו'.</w:t>
      </w:r>
      <w:r w:rsidRPr="00BD5E91">
        <w:rPr>
          <w:sz w:val="22"/>
          <w:szCs w:val="22"/>
          <w:rtl/>
        </w:rPr>
        <w:t xml:space="preserve"> שהן עובדין דס"א כי מכל הבל נעשה שמים וארץ בין בסט' דקדושה כמ"ש (ישעיהו נא טז) עמי אתה [בקרא כתיב לנטוע שמים וליסוד ארץ. המעתיק] וליסוד שמים ולנטוע ארץ וכמ"ש בזוהר בראשית וכן בס"א וז"ש. ומיד כו' כמ"ש ה' מלך אבדו גוים מארצו דאין השם שלם כו' שהוא בר"ת ישמחו כו' וז"ש. דאינון כו' שהוא בתוך השם:</w:t>
      </w:r>
    </w:p>
  </w:footnote>
  <w:footnote w:id="867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ובג"ד אמר כו'.</w:t>
      </w:r>
      <w:r w:rsidRPr="00BD5E91">
        <w:rPr>
          <w:sz w:val="22"/>
          <w:szCs w:val="22"/>
          <w:rtl/>
        </w:rPr>
        <w:t xml:space="preserve"> ר"ל בשובו וחיה:</w:t>
      </w:r>
    </w:p>
  </w:footnote>
  <w:footnote w:id="867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דאינון חכמה בראש כו'.</w:t>
      </w:r>
      <w:r w:rsidRPr="00BD5E91">
        <w:rPr>
          <w:sz w:val="22"/>
          <w:szCs w:val="22"/>
          <w:rtl/>
        </w:rPr>
        <w:t xml:space="preserve"> י' של הוי"ה בראש</w:t>
      </w:r>
      <w:r>
        <w:rPr>
          <w:rFonts w:hint="cs"/>
          <w:sz w:val="22"/>
          <w:szCs w:val="22"/>
          <w:rtl/>
        </w:rPr>
        <w:t>,</w:t>
      </w:r>
      <w:r w:rsidRPr="00BD5E91">
        <w:rPr>
          <w:sz w:val="22"/>
          <w:szCs w:val="22"/>
          <w:rtl/>
        </w:rPr>
        <w:t xml:space="preserve"> י' של אדנ"י בסוף</w:t>
      </w:r>
      <w:r>
        <w:rPr>
          <w:rFonts w:hint="cs"/>
          <w:sz w:val="22"/>
          <w:szCs w:val="22"/>
          <w:rtl/>
        </w:rPr>
        <w:t>.</w:t>
      </w:r>
      <w:r w:rsidRPr="00BD5E91">
        <w:rPr>
          <w:sz w:val="22"/>
          <w:szCs w:val="22"/>
          <w:rtl/>
        </w:rPr>
        <w:t xml:space="preserve"> הוי"ה מחשבה</w:t>
      </w:r>
      <w:r>
        <w:rPr>
          <w:rFonts w:hint="cs"/>
          <w:sz w:val="22"/>
          <w:szCs w:val="22"/>
          <w:rtl/>
        </w:rPr>
        <w:t>,</w:t>
      </w:r>
      <w:r w:rsidRPr="00BD5E91">
        <w:rPr>
          <w:sz w:val="22"/>
          <w:szCs w:val="22"/>
          <w:rtl/>
        </w:rPr>
        <w:t xml:space="preserve"> אדנ"י מעשה</w:t>
      </w:r>
      <w:r>
        <w:rPr>
          <w:rFonts w:hint="cs"/>
          <w:sz w:val="22"/>
          <w:szCs w:val="22"/>
          <w:rtl/>
        </w:rPr>
        <w:t>.</w:t>
      </w:r>
      <w:r w:rsidRPr="00BD5E91">
        <w:rPr>
          <w:sz w:val="22"/>
          <w:szCs w:val="22"/>
          <w:rtl/>
        </w:rPr>
        <w:t xml:space="preserve"> לא כשאני נכתב כו' (פסחים נ ע"א)</w:t>
      </w:r>
      <w:r>
        <w:rPr>
          <w:rFonts w:hint="cs"/>
          <w:sz w:val="22"/>
          <w:szCs w:val="22"/>
          <w:rtl/>
        </w:rPr>
        <w:t>.</w:t>
      </w:r>
      <w:r w:rsidRPr="00BD5E91">
        <w:rPr>
          <w:sz w:val="22"/>
          <w:szCs w:val="22"/>
          <w:rtl/>
        </w:rPr>
        <w:t xml:space="preserve"> ועד"א הוא י' כולל ע"ס</w:t>
      </w:r>
      <w:r>
        <w:rPr>
          <w:rFonts w:hint="cs"/>
          <w:sz w:val="22"/>
          <w:szCs w:val="22"/>
          <w:rtl/>
        </w:rPr>
        <w:t>.</w:t>
      </w:r>
      <w:r w:rsidRPr="00BD5E91">
        <w:rPr>
          <w:sz w:val="22"/>
          <w:szCs w:val="22"/>
          <w:rtl/>
        </w:rPr>
        <w:t xml:space="preserve"> וכ"ה בכל אדם שבכל העולמות דחשיב הכל ראשון כו' וכן אמר לקמן בישראל קודם דאתברי כו':</w:t>
      </w:r>
    </w:p>
  </w:footnote>
  <w:footnote w:id="867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איהו בדיוקניה מאסף כו'.</w:t>
      </w:r>
      <w:r w:rsidRPr="00BD5E91">
        <w:rPr>
          <w:sz w:val="22"/>
          <w:szCs w:val="22"/>
          <w:rtl/>
        </w:rPr>
        <w:t xml:space="preserve"> שהוא כולל כל הספירות שלכן נקרא בשם הויה והוא בדיוק' דעילת העילות:</w:t>
      </w:r>
    </w:p>
  </w:footnote>
  <w:footnote w:id="868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אמר כו'.</w:t>
      </w:r>
      <w:r w:rsidRPr="00BD5E91">
        <w:rPr>
          <w:sz w:val="22"/>
          <w:szCs w:val="22"/>
          <w:rtl/>
        </w:rPr>
        <w:t xml:space="preserve"> וכלהו נקראין מאסף לכל כו' כ"א בעולם שלו וכן משה רבינו בישראל שהוא השמש המאיר לכולם:</w:t>
      </w:r>
    </w:p>
  </w:footnote>
  <w:footnote w:id="868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לאומן דזרע כו'.</w:t>
      </w:r>
      <w:r w:rsidRPr="00BD5E91">
        <w:rPr>
          <w:sz w:val="22"/>
          <w:szCs w:val="22"/>
          <w:rtl/>
        </w:rPr>
        <w:t xml:space="preserve"> כמ"ש (בראשית ב ד) בהבראם ביום עשות כו' כידוע (ברש"י שם):</w:t>
      </w:r>
    </w:p>
  </w:footnote>
  <w:footnote w:id="868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א"ל למלכא כו'.</w:t>
      </w:r>
      <w:r w:rsidRPr="00BD5E91">
        <w:rPr>
          <w:sz w:val="22"/>
          <w:szCs w:val="22"/>
          <w:rtl/>
        </w:rPr>
        <w:t xml:space="preserve"> מפ' למה נטיל מינייהו חולקא ולקמן מפרש למה שאיל מינייהו דאם לא יהיבו כו':</w:t>
      </w:r>
    </w:p>
  </w:footnote>
  <w:footnote w:id="868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ואמאי אלא כו'.</w:t>
      </w:r>
      <w:r w:rsidRPr="00BD5E91">
        <w:rPr>
          <w:sz w:val="22"/>
          <w:szCs w:val="22"/>
          <w:rtl/>
        </w:rPr>
        <w:t xml:space="preserve"> ר"ל אמאי אמר נעשה מכולם:</w:t>
      </w:r>
    </w:p>
  </w:footnote>
  <w:footnote w:id="868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חסרין בהון כו'.</w:t>
      </w:r>
      <w:r w:rsidRPr="00BD5E91">
        <w:rPr>
          <w:sz w:val="22"/>
          <w:szCs w:val="22"/>
          <w:rtl/>
        </w:rPr>
        <w:t xml:space="preserve"> שנפגם ההוא אתר: </w:t>
      </w:r>
    </w:p>
  </w:footnote>
  <w:footnote w:id="868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לקחת מתנות כו'.</w:t>
      </w:r>
      <w:r w:rsidRPr="00BD5E91">
        <w:rPr>
          <w:sz w:val="22"/>
          <w:szCs w:val="22"/>
          <w:rtl/>
        </w:rPr>
        <w:t xml:space="preserve"> כמ"ש (שבת פט ע"א) כ</w:t>
      </w:r>
      <w:r>
        <w:rPr>
          <w:rFonts w:hint="cs"/>
          <w:sz w:val="22"/>
          <w:szCs w:val="22"/>
          <w:rtl/>
        </w:rPr>
        <w:t>ל אחד ואחד</w:t>
      </w:r>
      <w:r w:rsidRPr="00BD5E91">
        <w:rPr>
          <w:sz w:val="22"/>
          <w:szCs w:val="22"/>
          <w:rtl/>
        </w:rPr>
        <w:t xml:space="preserve"> נתן לו מתנה וזהו באדם. בשביל שהוא אדם שעליו נאמר נעשה אדם כידוע והוא דיוקנא דעד"א כמש"ל וזכה לחלק יתר שאף מ"ה נעשה לו אוהב ומסר כו' וזהו שבית שבי כמ"ש כי תצא למלחמה על אויבך ושבית שביו כידוע:</w:t>
      </w:r>
    </w:p>
  </w:footnote>
  <w:footnote w:id="868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דאיהו יחיד כו'.</w:t>
      </w:r>
      <w:r w:rsidRPr="00BD5E91">
        <w:rPr>
          <w:sz w:val="22"/>
          <w:szCs w:val="22"/>
          <w:rtl/>
        </w:rPr>
        <w:t xml:space="preserve"> קאי על סיפא דקרא ואנחנו כו':</w:t>
      </w:r>
    </w:p>
  </w:footnote>
  <w:footnote w:id="868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ואוקמוה מ"מ אין כו'.</w:t>
      </w:r>
      <w:r w:rsidRPr="00BD5E91">
        <w:rPr>
          <w:sz w:val="22"/>
          <w:szCs w:val="22"/>
          <w:rtl/>
        </w:rPr>
        <w:t xml:space="preserve"> חוזר למעלה שאמר לעיל ממנן דעל ע"ב כו' ולפי שרוצה לסיים ולקבל ע"ב כו' שכ"י נכללת מכולם וכן ישראל:</w:t>
      </w:r>
    </w:p>
  </w:footnote>
  <w:footnote w:id="868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מלחמה כו'.</w:t>
      </w:r>
      <w:r w:rsidRPr="00BD5E91">
        <w:rPr>
          <w:sz w:val="22"/>
          <w:szCs w:val="22"/>
          <w:rtl/>
        </w:rPr>
        <w:t xml:space="preserve"> ר"ת ע"ב:</w:t>
      </w:r>
    </w:p>
  </w:footnote>
  <w:footnote w:id="868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מעמלק דכליל כו'.</w:t>
      </w:r>
      <w:r w:rsidRPr="00BD5E91">
        <w:rPr>
          <w:sz w:val="22"/>
          <w:szCs w:val="22"/>
          <w:rtl/>
        </w:rPr>
        <w:t xml:space="preserve"> כנ"ל. בע"ב ק"ל ילחם עמו כמש"ל וזהו בעמלק. שני אותיות הראשונות ע"ב והאחרונות ק"ל ובאמצע מ' הוא מלחמה והוא ד' יודין שבע"ב שהן עיקר ע"ב כידוע ואמר ה' רוכב כו' כמש"ל דף פ"ד ע"ג הוי"ה פשוטה וזהו מלחמה לה' כו' ואמר מדור דור א' בסנחריב כנ"ל וא' בימי גומ"ג כל ע"ב פלחי כוכביא ואז ישלם השם והכסא כידוע:</w:t>
      </w:r>
    </w:p>
  </w:footnote>
  <w:footnote w:id="869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והיא כלה.</w:t>
      </w:r>
      <w:r w:rsidRPr="00BD5E91">
        <w:rPr>
          <w:sz w:val="22"/>
          <w:szCs w:val="22"/>
          <w:rtl/>
        </w:rPr>
        <w:t xml:space="preserve"> ר"ל ויכלו לשון כלה והוא לשון כולל כידוע וזש"ל דזרע כל זרעונין כו':</w:t>
      </w:r>
    </w:p>
  </w:footnote>
  <w:footnote w:id="869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מן קב"ה דאיהו כו'.</w:t>
      </w:r>
      <w:r w:rsidRPr="00BD5E91">
        <w:rPr>
          <w:sz w:val="22"/>
          <w:szCs w:val="22"/>
          <w:rtl/>
        </w:rPr>
        <w:t xml:space="preserve"> קאי אלמעלה שאמר דזרע כל זרעונין כו' ואמר מן קב"ה כו' שמיניה זרע כל הזרעונין בה שהוא כליל כל הזרעונין כמש"ל ואמר שבת מלכתא שויכלו הוא שבת יום השביעי וזהו ויכלו דכליל השמים והארץ וכל צבאם ועלה אמרו בואו ונצא לקראת שבת כלה מלכתא (ב"ק לב ע"ב) וז"ש והיא כלה כו' ואמר דזרע כל כו'. ר"ל דצדיק הוא כל בו זרע כל זרעונין שכל זרעונין הן כלולין בנ' שערי בינה והוא כל והוא בצדיק אור זרוע לצדיק והכל לנטוע ארץ וזהו בבת כו':</w:t>
      </w:r>
    </w:p>
  </w:footnote>
  <w:footnote w:id="869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ואיהי בת זוגיה כו'.</w:t>
      </w:r>
      <w:r w:rsidRPr="00BD5E91">
        <w:rPr>
          <w:sz w:val="22"/>
          <w:szCs w:val="22"/>
          <w:rtl/>
        </w:rPr>
        <w:t xml:space="preserve"> ר"ל זהו בית של בראשית בת ויוד מפ' למטה יו"ד בת יחידה כו':</w:t>
      </w:r>
    </w:p>
  </w:footnote>
  <w:footnote w:id="869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דתפארת אדם כל חד כו'.</w:t>
      </w:r>
      <w:r w:rsidRPr="00BD5E91">
        <w:rPr>
          <w:sz w:val="22"/>
          <w:szCs w:val="22"/>
          <w:rtl/>
        </w:rPr>
        <w:t xml:space="preserve"> ר"ל דת"ת עליו נאמר נעשה אדם כמש"ל והיא בת זוגיה לכן בה זרע הכל שזרע דיליה כלול הכל ממנו כידוע ור"ל. בת זוגיה דתפארת אדם שהוא נקרא אדם עמה שעל שניהן נאמר נעשה אדם כמ"ש זכר ונקבה בראם ויקרא את שמם אדם שמא מפ' שהוא הוי"ה פשוטה והיא המילוי גי' חו"ה ולכן. כל חד יהיב בה:</w:t>
      </w:r>
    </w:p>
  </w:footnote>
  <w:footnote w:id="869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אדנ"י.</w:t>
      </w:r>
      <w:r w:rsidRPr="00BD5E91">
        <w:rPr>
          <w:sz w:val="22"/>
          <w:szCs w:val="22"/>
          <w:rtl/>
        </w:rPr>
        <w:t xml:space="preserve"> אדון כל הארץ:</w:t>
      </w:r>
    </w:p>
  </w:footnote>
  <w:footnote w:id="869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בגין דכולהו כו'.</w:t>
      </w:r>
      <w:r w:rsidRPr="00BD5E91">
        <w:rPr>
          <w:sz w:val="22"/>
          <w:szCs w:val="22"/>
          <w:rtl/>
        </w:rPr>
        <w:t xml:space="preserve"> לכן נכללת מכולם:</w:t>
      </w:r>
    </w:p>
  </w:footnote>
  <w:footnote w:id="869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באת יוד כו'.</w:t>
      </w:r>
      <w:r w:rsidRPr="00BD5E91">
        <w:rPr>
          <w:sz w:val="22"/>
          <w:szCs w:val="22"/>
          <w:rtl/>
        </w:rPr>
        <w:t xml:space="preserve"> מפ' כל שם הויה בה שהוא כולל כל הבריות ור"ל שלכן נכללת מכולם כנ"ל: </w:t>
      </w:r>
    </w:p>
  </w:footnote>
  <w:footnote w:id="869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ועשר כו'.</w:t>
      </w:r>
      <w:r w:rsidRPr="00BD5E91">
        <w:rPr>
          <w:sz w:val="22"/>
          <w:szCs w:val="22"/>
          <w:rtl/>
        </w:rPr>
        <w:t xml:space="preserve"> שבכל מאמר נאמר אלקים ועשר אמירן מפו' לעיל ולא חשיב נעשה אדם שבה נכללין כמ"ש שם וכל האמירן הוא ביוד שהוא חכמה אבל נעשה אדם לא היה בחכמה כמש"ל דף פ"ה ע"ד ע"ש:</w:t>
      </w:r>
    </w:p>
  </w:footnote>
  <w:footnote w:id="869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הששי ה'.</w:t>
      </w:r>
      <w:r w:rsidRPr="00BD5E91">
        <w:rPr>
          <w:sz w:val="22"/>
          <w:szCs w:val="22"/>
          <w:rtl/>
        </w:rPr>
        <w:t xml:space="preserve"> ר"ל ה' דהששי כמש"ו:</w:t>
      </w:r>
    </w:p>
  </w:footnote>
  <w:footnote w:id="869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מאי וירא אליו.</w:t>
      </w:r>
      <w:r w:rsidRPr="00BD5E91">
        <w:rPr>
          <w:sz w:val="22"/>
          <w:szCs w:val="22"/>
          <w:rtl/>
        </w:rPr>
        <w:t xml:space="preserve"> שלא נאמר בו דבור ולא שום דבר:</w:t>
      </w:r>
    </w:p>
  </w:footnote>
  <w:footnote w:id="870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אלא קב"ה כו'.</w:t>
      </w:r>
      <w:r w:rsidRPr="00BD5E91">
        <w:rPr>
          <w:sz w:val="22"/>
          <w:szCs w:val="22"/>
          <w:rtl/>
        </w:rPr>
        <w:t xml:space="preserve"> באורייתא אחזי ליה כמ"ש לקמן והוא שמא דה' וזה וירא אליו ה' וכן כלל כל הדורות בששת אלפים שנה בו"ק עד"א כמ"ש לקמן שהוא כולל השם:</w:t>
      </w:r>
    </w:p>
  </w:footnote>
  <w:footnote w:id="870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מפי עליון לא כו'.</w:t>
      </w:r>
      <w:r w:rsidRPr="00BD5E91">
        <w:rPr>
          <w:sz w:val="22"/>
          <w:szCs w:val="22"/>
          <w:rtl/>
        </w:rPr>
        <w:t xml:space="preserve"> ר"ל הרעות והטוב. כמ"ש (נדה טז ע"ב) צדיק ורשע לא קאמר:</w:t>
      </w:r>
    </w:p>
  </w:footnote>
  <w:footnote w:id="870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הא מלין אלין כו'.</w:t>
      </w:r>
      <w:r w:rsidRPr="00BD5E91">
        <w:rPr>
          <w:sz w:val="22"/>
          <w:szCs w:val="22"/>
          <w:rtl/>
        </w:rPr>
        <w:t xml:space="preserve"> ר"ל של התנא שאמר הכל צפוי והרשות כו' (אבות ג טו):</w:t>
      </w:r>
    </w:p>
  </w:footnote>
  <w:footnote w:id="870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מחשבה טובה כו'.</w:t>
      </w:r>
      <w:r w:rsidRPr="00BD5E91">
        <w:rPr>
          <w:sz w:val="22"/>
          <w:szCs w:val="22"/>
          <w:rtl/>
        </w:rPr>
        <w:t xml:space="preserve"> כמ"ש למטה:</w:t>
      </w:r>
    </w:p>
  </w:footnote>
  <w:footnote w:id="870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ובג"ד בטרם כו'.</w:t>
      </w:r>
      <w:r w:rsidRPr="00BD5E91">
        <w:rPr>
          <w:sz w:val="22"/>
          <w:szCs w:val="22"/>
          <w:rtl/>
        </w:rPr>
        <w:t xml:space="preserve"> ר"ל שני דברים בטרם כו' ובטרם כו'. שהן שני דברים הנ"ל דצלי כו' דשוי מחשבתיה כו'</w:t>
      </w:r>
      <w:r>
        <w:rPr>
          <w:rFonts w:hint="cs"/>
          <w:sz w:val="22"/>
          <w:szCs w:val="22"/>
          <w:rtl/>
        </w:rPr>
        <w:t>.</w:t>
      </w:r>
      <w:r w:rsidRPr="00BD5E91">
        <w:rPr>
          <w:sz w:val="22"/>
          <w:szCs w:val="22"/>
          <w:rtl/>
        </w:rPr>
        <w:t xml:space="preserve"> דשוי מחשבתיה הוא בטרם אצרך בבטן כנ"ל בשעת זיווגיה בבטן קודם יצירתיה. ודצלי בגיניה קודם דאתי לעלמא הוא ובטרם תצא מרחם כו':</w:t>
      </w:r>
    </w:p>
  </w:footnote>
  <w:footnote w:id="870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איהו מנבא כו' לעלמא.</w:t>
      </w:r>
      <w:r w:rsidRPr="00BD5E91">
        <w:rPr>
          <w:sz w:val="22"/>
          <w:szCs w:val="22"/>
          <w:rtl/>
        </w:rPr>
        <w:t xml:space="preserve"> ר"ל כמו דצלי כו' ושוי מחשבתיה קודם דנפיק לעלמא לכן זכה הבן ג"כ לומר עתידות קודם דייתון לעלמא:</w:t>
      </w:r>
    </w:p>
  </w:footnote>
  <w:footnote w:id="870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כ"ש קב"ה כו'.</w:t>
      </w:r>
      <w:r w:rsidRPr="00BD5E91">
        <w:rPr>
          <w:sz w:val="22"/>
          <w:szCs w:val="22"/>
          <w:rtl/>
        </w:rPr>
        <w:t xml:space="preserve"> ר"ל בשביל מחשבה וצלותיה נאמר עליו בטרם כו' שיהיה נביא</w:t>
      </w:r>
      <w:r>
        <w:rPr>
          <w:rFonts w:hint="cs"/>
          <w:sz w:val="22"/>
          <w:szCs w:val="22"/>
          <w:rtl/>
        </w:rPr>
        <w:t>,</w:t>
      </w:r>
      <w:r w:rsidRPr="00BD5E91">
        <w:rPr>
          <w:sz w:val="22"/>
          <w:szCs w:val="22"/>
          <w:rtl/>
        </w:rPr>
        <w:t xml:space="preserve"> כ"ש הקב"ה שיודע כל המחשבות שיודע שיהיה טוב</w:t>
      </w:r>
      <w:r>
        <w:rPr>
          <w:rFonts w:hint="cs"/>
          <w:sz w:val="22"/>
          <w:szCs w:val="22"/>
          <w:rtl/>
        </w:rPr>
        <w:t>.</w:t>
      </w:r>
      <w:r w:rsidRPr="00BD5E91">
        <w:rPr>
          <w:sz w:val="22"/>
          <w:szCs w:val="22"/>
          <w:rtl/>
        </w:rPr>
        <w:t xml:space="preserve"> ומביא ראיה כמ"ש (נדה טז ע"ב) שמלאך הממונה על ההריון מביא הטיפה כו' וז"ש. דקודם דייתי כל כו':</w:t>
      </w:r>
    </w:p>
  </w:footnote>
  <w:footnote w:id="870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בת קול במלולא כו'.</w:t>
      </w:r>
      <w:r w:rsidRPr="00BD5E91">
        <w:rPr>
          <w:sz w:val="22"/>
          <w:szCs w:val="22"/>
          <w:rtl/>
        </w:rPr>
        <w:t xml:space="preserve"> ר"ל הלכה נק' בת קול בת של קול כמש"ל דף פ"ו ע"ג ע"ש ואותו שפוסק הלכות הלכה כפלוני הוא מארי דבת קול כמש"ו:</w:t>
      </w:r>
    </w:p>
  </w:footnote>
  <w:footnote w:id="870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אבל רשע וצדיק כו'.</w:t>
      </w:r>
      <w:r w:rsidRPr="00BD5E91">
        <w:rPr>
          <w:sz w:val="22"/>
          <w:szCs w:val="22"/>
          <w:rtl/>
        </w:rPr>
        <w:t xml:space="preserve"> ר"ל אע"ג דיודע מחשבתיה מ"מ לא גזר כמש"ו:</w:t>
      </w:r>
    </w:p>
  </w:footnote>
  <w:footnote w:id="870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בן רשע.</w:t>
      </w:r>
      <w:r w:rsidRPr="00BD5E91">
        <w:rPr>
          <w:sz w:val="22"/>
          <w:szCs w:val="22"/>
          <w:rtl/>
        </w:rPr>
        <w:t xml:space="preserve"> מנשג"ז או ממזר מעריות:</w:t>
      </w:r>
    </w:p>
  </w:footnote>
  <w:footnote w:id="871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לא מני כו' דהא כו'.</w:t>
      </w:r>
      <w:r w:rsidRPr="00BD5E91">
        <w:rPr>
          <w:sz w:val="22"/>
          <w:szCs w:val="22"/>
          <w:rtl/>
        </w:rPr>
        <w:t xml:space="preserve"> ר"ל זהו רשע לא קאמר שלא גזר עליו להיות רשע שיעביד ליה בנדה כו'. שהרי צוה להיפך אע"ג שע"כ יהיה רשע כיון שהמעשה של אביו רע:</w:t>
      </w:r>
    </w:p>
  </w:footnote>
  <w:footnote w:id="871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הה"ד ואל אשה כו'.</w:t>
      </w:r>
      <w:r w:rsidRPr="00BD5E91">
        <w:rPr>
          <w:sz w:val="22"/>
          <w:szCs w:val="22"/>
          <w:rtl/>
        </w:rPr>
        <w:t xml:space="preserve"> ר"ל סיפא דקרא לגלות ערותה והוא כמ"ש (שמואל א כ ל) בן נעות המרדות כו' </w:t>
      </w:r>
      <w:r w:rsidRPr="000F5075">
        <w:rPr>
          <w:sz w:val="22"/>
          <w:szCs w:val="22"/>
          <w:rtl/>
        </w:rPr>
        <w:t>וּלְבֹשֶׁת עֶרְוַת אִמֶּךָ</w:t>
      </w:r>
      <w:r w:rsidRPr="00BD5E91">
        <w:rPr>
          <w:sz w:val="22"/>
          <w:szCs w:val="22"/>
          <w:rtl/>
        </w:rPr>
        <w:t>:</w:t>
      </w:r>
    </w:p>
  </w:footnote>
  <w:footnote w:id="8712">
    <w:p w:rsidR="00007309" w:rsidRPr="00BD5E91" w:rsidRDefault="00007309" w:rsidP="00007309">
      <w:pPr>
        <w:jc w:val="both"/>
        <w:rPr>
          <w:rFonts w:cs="Arial"/>
          <w:sz w:val="22"/>
          <w:szCs w:val="22"/>
          <w:rtl/>
        </w:rPr>
      </w:pPr>
      <w:r w:rsidRPr="00BD5E91">
        <w:rPr>
          <w:rStyle w:val="a7"/>
          <w:rFonts w:cs="Arial"/>
          <w:sz w:val="22"/>
          <w:szCs w:val="22"/>
          <w:rtl/>
        </w:rPr>
        <w:footnoteRef/>
      </w:r>
      <w:r w:rsidRPr="00BD5E91">
        <w:rPr>
          <w:rFonts w:cs="Arial"/>
          <w:sz w:val="22"/>
          <w:szCs w:val="22"/>
          <w:rtl/>
        </w:rPr>
        <w:t xml:space="preserve"> </w:t>
      </w:r>
      <w:r w:rsidRPr="00BD5E91">
        <w:rPr>
          <w:rFonts w:cs="Arial"/>
          <w:b/>
          <w:bCs/>
          <w:sz w:val="22"/>
          <w:szCs w:val="22"/>
          <w:rtl/>
        </w:rPr>
        <w:t>והאי איהו דאמר נביא כו'.</w:t>
      </w:r>
      <w:r w:rsidRPr="00BD5E91">
        <w:rPr>
          <w:rFonts w:cs="Arial"/>
          <w:sz w:val="22"/>
          <w:szCs w:val="22"/>
          <w:rtl/>
        </w:rPr>
        <w:t xml:space="preserve"> שלא גזר על האב להוליד ברשע:</w:t>
      </w:r>
      <w:r w:rsidRPr="00BD5E91">
        <w:rPr>
          <w:rFonts w:cs="Arial"/>
          <w:b/>
          <w:bCs/>
          <w:sz w:val="22"/>
          <w:szCs w:val="22"/>
          <w:rtl/>
        </w:rPr>
        <w:t xml:space="preserve"> </w:t>
      </w:r>
    </w:p>
  </w:footnote>
  <w:footnote w:id="871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וקב"ה מחשבה כו'.</w:t>
      </w:r>
      <w:r w:rsidRPr="00BD5E91">
        <w:rPr>
          <w:sz w:val="22"/>
          <w:szCs w:val="22"/>
          <w:rtl/>
        </w:rPr>
        <w:t xml:space="preserve"> ר"ל דקב"ה לא צוה אלא על הרע להזהר ומעשה טוב שיהא צדיק ע"י מעשה אין בתורה אע"ג שמחשבה דאב טובה מ"מ הרשות נתונה לבן במעשים ולכן לא גזר הקב"ה על האדם שיהא טוב רק דמחשבה טובה של אב הקב"ה מצרף למעשה וזהו בטרם תצא כו' כנ"ל אבל מ"מ אין מכריח כמו המעשה וכן ברע אם מחשבה דאב היתה בנשג"ז וכיוצא ולא עביד ונוצר מהמחשבה אין מוכרח להיות רע והרשות נתונה לבן וז"ש. ובג"ד הכל צפוי במחשבה. ר"ל שהקב"ה צופה מחשבה של אב והרשות כו'. ואע"ג דע"י מעשה של אב בנשג"ז ועריות יהיה מוכרח רשע וממזר כנ"ל זה הקב"ה לא צוה וכן מעשה טוב לא צוה הקב"ה בתורה וזהו מפי עליון כו' ומ"ש בטרם יצרתיך כו' הוא שהקב"ה מחשבה טובה מצרפה למעשה אע"ג שהבחירה אח"כ ביד אדם כנ"ל:</w:t>
      </w:r>
    </w:p>
  </w:footnote>
  <w:footnote w:id="871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ואדם חב כו'.</w:t>
      </w:r>
      <w:r w:rsidRPr="00BD5E91">
        <w:rPr>
          <w:sz w:val="22"/>
          <w:szCs w:val="22"/>
          <w:rtl/>
        </w:rPr>
        <w:t xml:space="preserve"> ר"ל יש רשות לאב לחוב במחשבה ומעשה וז"ש וגרם כו':</w:t>
      </w:r>
    </w:p>
  </w:footnote>
  <w:footnote w:id="871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ואתדבק באילנא דחיי.</w:t>
      </w:r>
      <w:r w:rsidRPr="00BD5E91">
        <w:rPr>
          <w:sz w:val="22"/>
          <w:szCs w:val="22"/>
          <w:rtl/>
        </w:rPr>
        <w:t xml:space="preserve"> ר"ל בתורה שלכן ניתן לו התורה שהזהיר על הרע:</w:t>
      </w:r>
    </w:p>
  </w:footnote>
  <w:footnote w:id="871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ובגין דכל כו' ואורייתא דיהב כו'.</w:t>
      </w:r>
      <w:r w:rsidRPr="00BD5E91">
        <w:rPr>
          <w:sz w:val="22"/>
          <w:szCs w:val="22"/>
          <w:rtl/>
        </w:rPr>
        <w:t xml:space="preserve"> ר"ל דכל הדורות כלולין בתורה עד עולם כידוע שלכן ניתנה לישראל שכל נשמה של כל א' וא' מרומז בו שלכן התורה שניתנה לאדה"ר בה ראה כל הדורות וכן אברהם שהבין כל התורה ראה בה וז"ש ואורייתא כו' וכל ישראל וכל דרין ר"ל והן כלולין בו כנ"ל:</w:t>
      </w:r>
    </w:p>
  </w:footnote>
  <w:footnote w:id="871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אז ראה כו'.</w:t>
      </w:r>
      <w:r w:rsidRPr="00BD5E91">
        <w:rPr>
          <w:sz w:val="22"/>
          <w:szCs w:val="22"/>
          <w:rtl/>
        </w:rPr>
        <w:t xml:space="preserve"> ר"ל התורה. ויאמר לאדם אדה"ר ואמר ראה ויספרה כו' ד' דברים ד"פ שצריך לשנות לתלמידו כמ"ש בגמ' (עירובין נד ע"ב) וכמ"ש בתנחומא על הפ' הזה והן ד' פרצופי' הוי"ה מחכמה תורה קדומה:</w:t>
      </w:r>
    </w:p>
  </w:footnote>
  <w:footnote w:id="871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אלין דמעשה כו'.</w:t>
      </w:r>
      <w:r w:rsidRPr="00BD5E91">
        <w:rPr>
          <w:sz w:val="22"/>
          <w:szCs w:val="22"/>
          <w:rtl/>
        </w:rPr>
        <w:t xml:space="preserve"> ר"ל שאביהם הולידו אותו אלו פוקד עון שע"כ יהיו רשעים אבל אלין דאביהם לא חטאו במעשה לא יומתו על אבות אע"ג שבמחשבה רעה נוצרו אין מוכרחים אלא איש בחטאו יומתו וז"ש. ובנים לא כו' דעובדא כו'. שאין בהם מעשה רע של אביהם:</w:t>
      </w:r>
    </w:p>
  </w:footnote>
  <w:footnote w:id="871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ולא עוד כו'.</w:t>
      </w:r>
      <w:r w:rsidRPr="00BD5E91">
        <w:rPr>
          <w:sz w:val="22"/>
          <w:szCs w:val="22"/>
          <w:rtl/>
        </w:rPr>
        <w:t xml:space="preserve"> ר"ל כבר מתורץ הקושיא הנ"ל דלא אחזי לאדה"ר רק היאך נוצרין באיזה מחשבה ואמר ולא עוד שאף ג"ז לא אחזי ליה רק הדורות עצמן ולא עובדיהון כמש"ו וחזר ממ"ש למעלה ואמר בהאי קרא כו':</w:t>
      </w:r>
    </w:p>
  </w:footnote>
  <w:footnote w:id="872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בתר דאחזי כו'.</w:t>
      </w:r>
      <w:r w:rsidRPr="00BD5E91">
        <w:rPr>
          <w:sz w:val="22"/>
          <w:szCs w:val="22"/>
          <w:rtl/>
        </w:rPr>
        <w:t xml:space="preserve"> ר"ל הואיל והראה היאך מנהיגים את הדור ע"כ ראה מעשיהם ונסתרו שני התירוצים:</w:t>
      </w:r>
    </w:p>
  </w:footnote>
  <w:footnote w:id="872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הנסתרות כו'.</w:t>
      </w:r>
      <w:r w:rsidRPr="00BD5E91">
        <w:rPr>
          <w:sz w:val="22"/>
          <w:szCs w:val="22"/>
          <w:rtl/>
        </w:rPr>
        <w:t xml:space="preserve"> ר"ל שיש דברים שלא נתגלו לאדם כלל ואין רשות בהם להתבונן כמ"ש כך עלה במחשבה שהוא למעלה מדרגא דאדם להבין ואמרו (חגיגה יג ע"א) במופלא כו' אין לך עסק בנסתרות וז"ש הנסתרות כו' שהן במחשבה עילאה היאך הכל צפוי כו':</w:t>
      </w:r>
    </w:p>
  </w:footnote>
  <w:footnote w:id="872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סבא עילאה.</w:t>
      </w:r>
      <w:r w:rsidRPr="00BD5E91">
        <w:rPr>
          <w:sz w:val="22"/>
          <w:szCs w:val="22"/>
          <w:rtl/>
        </w:rPr>
        <w:t xml:space="preserve"> אדה"ר כמ"ש לקמן והוא עילאה על כל כמ"ש לקמן:</w:t>
      </w:r>
    </w:p>
  </w:footnote>
  <w:footnote w:id="872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תרין אלפי שנין כו'.</w:t>
      </w:r>
      <w:r w:rsidRPr="00BD5E91">
        <w:rPr>
          <w:sz w:val="22"/>
          <w:szCs w:val="22"/>
          <w:rtl/>
        </w:rPr>
        <w:t xml:space="preserve"> שהן חו"ב ועולם חסד יבנה ב' אלפים אלף חכמה אלף בינה כידוע ור"ל שכל ספירה נוהג אלף שנה שעליו ישוב כל המאמר ובחו"ב כלילן כל הו"ק שהן כל הו' אלפים שנה כמש"ל לכן ובה אחזי לאדם כו':</w:t>
      </w:r>
    </w:p>
  </w:footnote>
  <w:footnote w:id="872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מאי דכתיב בה.</w:t>
      </w:r>
      <w:r w:rsidRPr="00BD5E91">
        <w:rPr>
          <w:sz w:val="22"/>
          <w:szCs w:val="22"/>
          <w:rtl/>
        </w:rPr>
        <w:t xml:space="preserve"> ר"ל כל הדורות:</w:t>
      </w:r>
    </w:p>
  </w:footnote>
  <w:footnote w:id="872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ובג"ד וישמור כו'.</w:t>
      </w:r>
      <w:r w:rsidRPr="00BD5E91">
        <w:rPr>
          <w:sz w:val="22"/>
          <w:szCs w:val="22"/>
          <w:rtl/>
        </w:rPr>
        <w:t xml:space="preserve"> ר"ל בשביל שנתן לו את התורה:</w:t>
      </w:r>
    </w:p>
  </w:footnote>
  <w:footnote w:id="872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ובה נמלך כו' ונשמתהון כו'.</w:t>
      </w:r>
      <w:r w:rsidRPr="00BD5E91">
        <w:rPr>
          <w:sz w:val="22"/>
          <w:szCs w:val="22"/>
          <w:rtl/>
        </w:rPr>
        <w:t xml:space="preserve"> שהן כוללין כל העולם כל הדרין:</w:t>
      </w:r>
    </w:p>
  </w:footnote>
  <w:footnote w:id="872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ואין ראשית כו'.</w:t>
      </w:r>
      <w:r w:rsidRPr="00BD5E91">
        <w:rPr>
          <w:sz w:val="22"/>
          <w:szCs w:val="22"/>
          <w:rtl/>
        </w:rPr>
        <w:t xml:space="preserve"> כמ"ש </w:t>
      </w:r>
      <w:r>
        <w:rPr>
          <w:rFonts w:hint="cs"/>
          <w:sz w:val="22"/>
          <w:szCs w:val="22"/>
          <w:rtl/>
        </w:rPr>
        <w:t xml:space="preserve">(משלי ח כב) </w:t>
      </w:r>
      <w:r w:rsidRPr="00BD5E91">
        <w:rPr>
          <w:sz w:val="22"/>
          <w:szCs w:val="22"/>
          <w:rtl/>
        </w:rPr>
        <w:t xml:space="preserve">ה' קנני כו' ואמר לעיל שישראל עלה במחשבה כו' וז"ש </w:t>
      </w:r>
      <w:r>
        <w:rPr>
          <w:rFonts w:hint="cs"/>
          <w:sz w:val="22"/>
          <w:szCs w:val="22"/>
          <w:rtl/>
        </w:rPr>
        <w:t xml:space="preserve">(ירמיה ב ג) </w:t>
      </w:r>
      <w:r w:rsidRPr="00BD5E91">
        <w:rPr>
          <w:sz w:val="22"/>
          <w:szCs w:val="22"/>
          <w:rtl/>
        </w:rPr>
        <w:t>קדש לה' ראשית כו':</w:t>
      </w:r>
    </w:p>
  </w:footnote>
  <w:footnote w:id="872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ואורייתא טפילה כו'.</w:t>
      </w:r>
      <w:r w:rsidRPr="00BD5E91">
        <w:rPr>
          <w:sz w:val="22"/>
          <w:szCs w:val="22"/>
          <w:rtl/>
        </w:rPr>
        <w:t xml:space="preserve"> שאורייתא הוא בבריאה שלכן בה שכר ועונש</w:t>
      </w:r>
      <w:r>
        <w:rPr>
          <w:rFonts w:hint="cs"/>
          <w:sz w:val="22"/>
          <w:szCs w:val="22"/>
          <w:rtl/>
        </w:rPr>
        <w:t>,</w:t>
      </w:r>
      <w:r w:rsidRPr="00BD5E91">
        <w:rPr>
          <w:sz w:val="22"/>
          <w:szCs w:val="22"/>
          <w:rtl/>
        </w:rPr>
        <w:t xml:space="preserve"> ע"ה טו"ר כמש"ל</w:t>
      </w:r>
      <w:r>
        <w:rPr>
          <w:rFonts w:hint="cs"/>
          <w:sz w:val="22"/>
          <w:szCs w:val="22"/>
          <w:rtl/>
        </w:rPr>
        <w:t>.</w:t>
      </w:r>
      <w:r w:rsidRPr="00BD5E91">
        <w:rPr>
          <w:sz w:val="22"/>
          <w:szCs w:val="22"/>
          <w:rtl/>
        </w:rPr>
        <w:t xml:space="preserve"> ונשמה מאצילות</w:t>
      </w:r>
      <w:r>
        <w:rPr>
          <w:rFonts w:hint="cs"/>
          <w:sz w:val="22"/>
          <w:szCs w:val="22"/>
          <w:rtl/>
        </w:rPr>
        <w:t>.</w:t>
      </w:r>
      <w:r w:rsidRPr="00BD5E91">
        <w:rPr>
          <w:sz w:val="22"/>
          <w:szCs w:val="22"/>
          <w:rtl/>
        </w:rPr>
        <w:t xml:space="preserve"> ובהן נברא העולם יצירה</w:t>
      </w:r>
      <w:r>
        <w:rPr>
          <w:rFonts w:hint="cs"/>
          <w:sz w:val="22"/>
          <w:szCs w:val="22"/>
          <w:rtl/>
        </w:rPr>
        <w:t>,</w:t>
      </w:r>
      <w:r w:rsidRPr="00BD5E91">
        <w:rPr>
          <w:sz w:val="22"/>
          <w:szCs w:val="22"/>
          <w:rtl/>
        </w:rPr>
        <w:t xml:space="preserve"> שמקנן בה ו"ק</w:t>
      </w:r>
      <w:r>
        <w:rPr>
          <w:rFonts w:hint="cs"/>
          <w:sz w:val="22"/>
          <w:szCs w:val="22"/>
          <w:rtl/>
        </w:rPr>
        <w:t>,</w:t>
      </w:r>
      <w:r w:rsidRPr="00BD5E91">
        <w:rPr>
          <w:sz w:val="22"/>
          <w:szCs w:val="22"/>
          <w:rtl/>
        </w:rPr>
        <w:t xml:space="preserve"> שנק' עולם חסד יבנה כנ"ל. ור"ל בזה כמש"ו שהתורה הראה באיזה דרגא יהיו</w:t>
      </w:r>
      <w:r>
        <w:rPr>
          <w:rFonts w:hint="cs"/>
          <w:sz w:val="22"/>
          <w:szCs w:val="22"/>
          <w:rtl/>
        </w:rPr>
        <w:t>,</w:t>
      </w:r>
      <w:r w:rsidRPr="00BD5E91">
        <w:rPr>
          <w:sz w:val="22"/>
          <w:szCs w:val="22"/>
          <w:rtl/>
        </w:rPr>
        <w:t xml:space="preserve"> וע"ז הכריח התורה</w:t>
      </w:r>
      <w:r>
        <w:rPr>
          <w:rFonts w:hint="cs"/>
          <w:sz w:val="22"/>
          <w:szCs w:val="22"/>
          <w:rtl/>
        </w:rPr>
        <w:t>,</w:t>
      </w:r>
      <w:r w:rsidRPr="00BD5E91">
        <w:rPr>
          <w:sz w:val="22"/>
          <w:szCs w:val="22"/>
          <w:rtl/>
        </w:rPr>
        <w:t xml:space="preserve"> בין לטוב בין לרע</w:t>
      </w:r>
      <w:r>
        <w:rPr>
          <w:rFonts w:hint="cs"/>
          <w:sz w:val="22"/>
          <w:szCs w:val="22"/>
          <w:rtl/>
        </w:rPr>
        <w:t>.</w:t>
      </w:r>
      <w:r w:rsidRPr="00BD5E91">
        <w:rPr>
          <w:sz w:val="22"/>
          <w:szCs w:val="22"/>
          <w:rtl/>
        </w:rPr>
        <w:t xml:space="preserve"> אבל לא הכריח שיזכו לנשמה אם לאו כמש"ו דהיא למעלה ממנה:</w:t>
      </w:r>
      <w:r w:rsidRPr="00BD5E91">
        <w:rPr>
          <w:b/>
          <w:bCs/>
          <w:sz w:val="22"/>
          <w:szCs w:val="22"/>
          <w:rtl/>
        </w:rPr>
        <w:t xml:space="preserve"> </w:t>
      </w:r>
    </w:p>
  </w:footnote>
  <w:footnote w:id="872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ומחללין ליה כו'. </w:t>
      </w:r>
      <w:r w:rsidRPr="00BD5E91">
        <w:rPr>
          <w:sz w:val="22"/>
          <w:szCs w:val="22"/>
          <w:rtl/>
        </w:rPr>
        <w:t>שמא יזכה לנשמה וז"ש ראוי הוא לחלל עליו את השבת:</w:t>
      </w:r>
    </w:p>
  </w:footnote>
  <w:footnote w:id="873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ואיהי נשמתא דא נבואית.</w:t>
      </w:r>
      <w:r w:rsidRPr="00BD5E91">
        <w:rPr>
          <w:sz w:val="22"/>
          <w:szCs w:val="22"/>
          <w:rtl/>
        </w:rPr>
        <w:t xml:space="preserve"> צ"ל דאצילות כנ"ל:</w:t>
      </w:r>
    </w:p>
  </w:footnote>
  <w:footnote w:id="873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בגין דאיהי כו'.</w:t>
      </w:r>
      <w:r w:rsidRPr="00BD5E91">
        <w:rPr>
          <w:sz w:val="22"/>
          <w:szCs w:val="22"/>
          <w:rtl/>
        </w:rPr>
        <w:t xml:space="preserve"> לכך היא למעלה מתורה ובה אין חטא שקודם שרוצה לחטוא פורח ממנו כמ"ש בזוהר:</w:t>
      </w:r>
    </w:p>
  </w:footnote>
  <w:footnote w:id="873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וכל דור כו'.</w:t>
      </w:r>
      <w:r w:rsidRPr="00BD5E91">
        <w:rPr>
          <w:sz w:val="22"/>
          <w:szCs w:val="22"/>
          <w:rtl/>
        </w:rPr>
        <w:t xml:space="preserve"> כמ"ש על נשמה של משה דאתפשטת בס' רבוא דור הולך כו' כידוע:</w:t>
      </w:r>
    </w:p>
  </w:footnote>
  <w:footnote w:id="873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בר נש יקום כו'.</w:t>
      </w:r>
      <w:r w:rsidRPr="00BD5E91">
        <w:rPr>
          <w:sz w:val="22"/>
          <w:szCs w:val="22"/>
          <w:rtl/>
        </w:rPr>
        <w:t xml:space="preserve"> ר"ל פרנס הדור כנ"ל דור ודורשיו וביה האי נשמה ומתפשט ממנו הענפים עד ששים רבוא כנ"ל ומזכה לכל העולם וז"ש ויהון כו' כמו במשה רבינו:</w:t>
      </w:r>
      <w:r w:rsidRPr="00BD5E91">
        <w:rPr>
          <w:b/>
          <w:bCs/>
          <w:sz w:val="22"/>
          <w:szCs w:val="22"/>
          <w:rtl/>
        </w:rPr>
        <w:t xml:space="preserve"> </w:t>
      </w:r>
    </w:p>
  </w:footnote>
  <w:footnote w:id="873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מסט' דחסד. </w:t>
      </w:r>
      <w:r w:rsidRPr="00BD5E91">
        <w:rPr>
          <w:sz w:val="22"/>
          <w:szCs w:val="22"/>
          <w:rtl/>
        </w:rPr>
        <w:t>ר"ל באלף הראשון כמש"ו:</w:t>
      </w:r>
    </w:p>
  </w:footnote>
  <w:footnote w:id="873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בדרגא דילהון כו'.</w:t>
      </w:r>
      <w:r w:rsidRPr="00BD5E91">
        <w:rPr>
          <w:sz w:val="22"/>
          <w:szCs w:val="22"/>
          <w:rtl/>
        </w:rPr>
        <w:t xml:space="preserve"> והוא הנשמה הנ"ל:</w:t>
      </w:r>
    </w:p>
  </w:footnote>
  <w:footnote w:id="873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903974">
        <w:rPr>
          <w:b/>
          <w:bCs/>
          <w:sz w:val="22"/>
          <w:szCs w:val="22"/>
          <w:rtl/>
        </w:rPr>
        <w:t>וכפום דרגא כו'.</w:t>
      </w:r>
      <w:r w:rsidRPr="00BD5E91">
        <w:rPr>
          <w:sz w:val="22"/>
          <w:szCs w:val="22"/>
          <w:rtl/>
        </w:rPr>
        <w:t xml:space="preserve"> ר"ל שבכל דור ודור שלטה מדה אחרת וכפי מדה הזאת מעשיהם והנהגותיהם ופרנסיהם בין לטוב בין לרע:</w:t>
      </w:r>
    </w:p>
  </w:footnote>
  <w:footnote w:id="873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ורזא דמלה כו'.</w:t>
      </w:r>
      <w:r w:rsidRPr="00BD5E91">
        <w:rPr>
          <w:sz w:val="22"/>
          <w:szCs w:val="22"/>
          <w:rtl/>
        </w:rPr>
        <w:t xml:space="preserve"> ר"ל אע"ג דלפי דרגא דילהון ראוים לטוב</w:t>
      </w:r>
      <w:r>
        <w:rPr>
          <w:rFonts w:hint="cs"/>
          <w:sz w:val="22"/>
          <w:szCs w:val="22"/>
          <w:rtl/>
        </w:rPr>
        <w:t>,</w:t>
      </w:r>
      <w:r w:rsidRPr="00BD5E91">
        <w:rPr>
          <w:sz w:val="22"/>
          <w:szCs w:val="22"/>
          <w:rtl/>
        </w:rPr>
        <w:t xml:space="preserve"> מסתלק ע"י מעשיהם</w:t>
      </w:r>
      <w:r>
        <w:rPr>
          <w:rFonts w:hint="cs"/>
          <w:sz w:val="22"/>
          <w:szCs w:val="22"/>
          <w:rtl/>
        </w:rPr>
        <w:t>,</w:t>
      </w:r>
      <w:r w:rsidRPr="00BD5E91">
        <w:rPr>
          <w:sz w:val="22"/>
          <w:szCs w:val="22"/>
          <w:rtl/>
        </w:rPr>
        <w:t xml:space="preserve"> שאין הכרח רק המדה</w:t>
      </w:r>
      <w:r>
        <w:rPr>
          <w:rFonts w:hint="cs"/>
          <w:sz w:val="22"/>
          <w:szCs w:val="22"/>
          <w:rtl/>
        </w:rPr>
        <w:t>,</w:t>
      </w:r>
      <w:r w:rsidRPr="00BD5E91">
        <w:rPr>
          <w:sz w:val="22"/>
          <w:szCs w:val="22"/>
          <w:rtl/>
        </w:rPr>
        <w:t xml:space="preserve"> אם לטוב או לרע:</w:t>
      </w:r>
    </w:p>
  </w:footnote>
  <w:footnote w:id="873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בהני דרי.</w:t>
      </w:r>
      <w:r w:rsidRPr="00BD5E91">
        <w:rPr>
          <w:sz w:val="22"/>
          <w:szCs w:val="22"/>
          <w:rtl/>
        </w:rPr>
        <w:t xml:space="preserve"> ר"ל בכל הדורות דחשיב וכמ"ש שור זה משיח בן יוסף בכור שורו חמור זה משיח בן דוד אוסרי לגפן עירה כו' עני ורוכב על חמור כמש"ל ומשלחין מינייהו ע"י חובין כמש"ו:</w:t>
      </w:r>
    </w:p>
  </w:footnote>
  <w:footnote w:id="873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 משה.</w:t>
      </w:r>
      <w:r w:rsidRPr="00BD5E91">
        <w:rPr>
          <w:sz w:val="22"/>
          <w:szCs w:val="22"/>
          <w:rtl/>
        </w:rPr>
        <w:t xml:space="preserve"> שהוא גי' בשגם כידוע:</w:t>
      </w:r>
    </w:p>
  </w:footnote>
  <w:footnote w:id="8740">
    <w:p w:rsidR="00007309" w:rsidRPr="00BD5E91" w:rsidRDefault="00007309" w:rsidP="00007309">
      <w:pPr>
        <w:jc w:val="both"/>
        <w:rPr>
          <w:rFonts w:cs="Arial"/>
          <w:sz w:val="22"/>
          <w:szCs w:val="22"/>
          <w:rtl/>
        </w:rPr>
      </w:pPr>
      <w:r w:rsidRPr="00BD5E91">
        <w:rPr>
          <w:rStyle w:val="a7"/>
          <w:rFonts w:cs="Arial"/>
          <w:sz w:val="22"/>
          <w:szCs w:val="22"/>
          <w:rtl/>
        </w:rPr>
        <w:footnoteRef/>
      </w:r>
      <w:r w:rsidRPr="00BD5E91">
        <w:rPr>
          <w:rFonts w:cs="Arial"/>
          <w:sz w:val="22"/>
          <w:szCs w:val="22"/>
          <w:rtl/>
        </w:rPr>
        <w:t xml:space="preserve"> </w:t>
      </w:r>
      <w:r w:rsidRPr="00BD5E91">
        <w:rPr>
          <w:rFonts w:cs="Arial"/>
          <w:b/>
          <w:bCs/>
          <w:sz w:val="22"/>
          <w:szCs w:val="22"/>
          <w:rtl/>
        </w:rPr>
        <w:t>ואיהו דזכה במציאה כו'.</w:t>
      </w:r>
      <w:r w:rsidRPr="00BD5E91">
        <w:rPr>
          <w:rFonts w:cs="Arial"/>
          <w:sz w:val="22"/>
          <w:szCs w:val="22"/>
          <w:rtl/>
        </w:rPr>
        <w:t xml:space="preserve"> שכמו שאמר בדורות כן בפרט לכל אדם מזומן לו הטוב בשעה שנוצר כפי שעתו  ומדתו ואע"ג דאביד מיניה ע"י [לפה"נ חסר כאן תיבת מעשיו. המעתיק] מ"מ הוא קודם לחבירו אם חוזר בתשובה חזר לנשמתא דיליה אבל אם נתייאש כל הקודם זכה וזהו סוד כל ההלכות של אבידה ומציאה:</w:t>
      </w:r>
    </w:p>
  </w:footnote>
  <w:footnote w:id="874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שתא כו'.</w:t>
      </w:r>
      <w:r w:rsidRPr="00BD5E91">
        <w:rPr>
          <w:sz w:val="22"/>
          <w:szCs w:val="22"/>
          <w:rtl/>
        </w:rPr>
        <w:t xml:space="preserve"> ו"ק:</w:t>
      </w:r>
      <w:r w:rsidRPr="00BD5E91">
        <w:rPr>
          <w:b/>
          <w:bCs/>
          <w:sz w:val="22"/>
          <w:szCs w:val="22"/>
          <w:rtl/>
        </w:rPr>
        <w:t xml:space="preserve"> </w:t>
      </w:r>
    </w:p>
  </w:footnote>
  <w:footnote w:id="874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וחד חרוב. </w:t>
      </w:r>
      <w:r w:rsidRPr="00BD5E91">
        <w:rPr>
          <w:sz w:val="22"/>
          <w:szCs w:val="22"/>
          <w:rtl/>
        </w:rPr>
        <w:t>שבת שאין בו מעשה והוא עה"ב כידוע:</w:t>
      </w:r>
    </w:p>
  </w:footnote>
  <w:footnote w:id="874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דבכל אלף כו'.</w:t>
      </w:r>
      <w:r w:rsidRPr="00BD5E91">
        <w:rPr>
          <w:sz w:val="22"/>
          <w:szCs w:val="22"/>
          <w:rtl/>
        </w:rPr>
        <w:t xml:space="preserve"> ויש בו עוד כמה פרטים בכל דור ודור של כל אלף וזהו דור דור כו' ולא חשיב כאן אלא הכללים:</w:t>
      </w:r>
    </w:p>
  </w:footnote>
  <w:footnote w:id="874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דרים בתרין דרגין.</w:t>
      </w:r>
      <w:r w:rsidRPr="00BD5E91">
        <w:rPr>
          <w:sz w:val="22"/>
          <w:szCs w:val="22"/>
          <w:rtl/>
        </w:rPr>
        <w:t xml:space="preserve"> ר"ל דורות של ב' אלפים הנ"ל שהן חו"ג:</w:t>
      </w:r>
    </w:p>
  </w:footnote>
  <w:footnote w:id="874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אנשי אמת.</w:t>
      </w:r>
      <w:r w:rsidRPr="00BD5E91">
        <w:rPr>
          <w:sz w:val="22"/>
          <w:szCs w:val="22"/>
          <w:rtl/>
        </w:rPr>
        <w:t xml:space="preserve"> כמ"ש (מיכה ז כ) תתן אמת ליעקב ולכך כשזכו למשה ותורה בהאי דור משה בדרגא דעד"א וכן התורה וז"ש (תנחומא קרח יא) משה אמת ותורתו אמת וז"ש תתן אמת כו' כמו עוז לעמו יתן:</w:t>
      </w:r>
    </w:p>
  </w:footnote>
  <w:footnote w:id="874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והוו עתידים כו'. </w:t>
      </w:r>
      <w:r w:rsidRPr="00BD5E91">
        <w:rPr>
          <w:sz w:val="22"/>
          <w:szCs w:val="22"/>
          <w:rtl/>
        </w:rPr>
        <w:t>בנצח והוד:</w:t>
      </w:r>
    </w:p>
  </w:footnote>
  <w:footnote w:id="874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וחזרין עלמא כו'.</w:t>
      </w:r>
      <w:r w:rsidRPr="00BD5E91">
        <w:rPr>
          <w:sz w:val="22"/>
          <w:szCs w:val="22"/>
          <w:rtl/>
        </w:rPr>
        <w:t xml:space="preserve"> שע"ז נאמר והארץ היתה כו' שהוא בעקבות משיחא כמ"ש לעיל כמה פעמים והוא באלף [אולי כוונתו כשנחשוב גם הנהגת כח"ב וע"ל בד"ה תרי אלפי שנין וד"ל. המעתיק] התשיעי וכן בכולם לקו ותקע כף כו'. וכן במרגלים דבת הארץ וכן בכולם:</w:t>
      </w:r>
    </w:p>
  </w:footnote>
  <w:footnote w:id="874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גזלן.</w:t>
      </w:r>
      <w:r w:rsidRPr="00BD5E91">
        <w:rPr>
          <w:sz w:val="22"/>
          <w:szCs w:val="22"/>
          <w:rtl/>
        </w:rPr>
        <w:t xml:space="preserve"> שהוא היפוך חסיד וכמ"ש בר"מ וכמ"ש (אבות ה י) שלי שלך ושלך שלך חסיד שלך שלי כו':</w:t>
      </w:r>
    </w:p>
  </w:footnote>
  <w:footnote w:id="874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ואחזי ליה פרנסים כו'.</w:t>
      </w:r>
      <w:r w:rsidRPr="00BD5E91">
        <w:rPr>
          <w:sz w:val="22"/>
          <w:szCs w:val="22"/>
          <w:rtl/>
        </w:rPr>
        <w:t xml:space="preserve"> ר"ל באיזה מדה יתנהגו כנ"ל:</w:t>
      </w:r>
      <w:r w:rsidRPr="00BD5E91">
        <w:rPr>
          <w:b/>
          <w:bCs/>
          <w:sz w:val="22"/>
          <w:szCs w:val="22"/>
          <w:rtl/>
        </w:rPr>
        <w:t xml:space="preserve"> </w:t>
      </w:r>
    </w:p>
  </w:footnote>
  <w:footnote w:id="875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ולית דרגא כו'.</w:t>
      </w:r>
      <w:r w:rsidRPr="00BD5E91">
        <w:rPr>
          <w:sz w:val="22"/>
          <w:szCs w:val="22"/>
          <w:rtl/>
        </w:rPr>
        <w:t xml:space="preserve"> שהוא דרגא דחכמה עילאה כידוע שלא זכה שום אדם לה ועליו נאמר אשר יצר את האדם בחכמה:</w:t>
      </w:r>
      <w:r w:rsidRPr="00BD5E91">
        <w:rPr>
          <w:b/>
          <w:bCs/>
          <w:sz w:val="22"/>
          <w:szCs w:val="22"/>
          <w:rtl/>
        </w:rPr>
        <w:t xml:space="preserve"> </w:t>
      </w:r>
    </w:p>
  </w:footnote>
  <w:footnote w:id="875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דיוקניה.</w:t>
      </w:r>
      <w:r w:rsidRPr="00BD5E91">
        <w:rPr>
          <w:sz w:val="22"/>
          <w:szCs w:val="22"/>
          <w:rtl/>
        </w:rPr>
        <w:t xml:space="preserve"> חכמה ראשית:</w:t>
      </w:r>
      <w:r w:rsidRPr="00BD5E91">
        <w:rPr>
          <w:b/>
          <w:bCs/>
          <w:sz w:val="22"/>
          <w:szCs w:val="22"/>
          <w:rtl/>
        </w:rPr>
        <w:t xml:space="preserve"> </w:t>
      </w:r>
    </w:p>
  </w:footnote>
  <w:footnote w:id="875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אור לתתא.</w:t>
      </w:r>
      <w:r w:rsidRPr="00BD5E91">
        <w:rPr>
          <w:sz w:val="22"/>
          <w:szCs w:val="22"/>
          <w:rtl/>
        </w:rPr>
        <w:t xml:space="preserve"> כשלג:</w:t>
      </w:r>
      <w:r w:rsidRPr="00BD5E91">
        <w:rPr>
          <w:b/>
          <w:bCs/>
          <w:sz w:val="22"/>
          <w:szCs w:val="22"/>
          <w:rtl/>
        </w:rPr>
        <w:t xml:space="preserve"> </w:t>
      </w:r>
    </w:p>
  </w:footnote>
  <w:footnote w:id="875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מטוב דלעילא.</w:t>
      </w:r>
      <w:r w:rsidRPr="00BD5E91">
        <w:rPr>
          <w:sz w:val="22"/>
          <w:szCs w:val="22"/>
          <w:rtl/>
        </w:rPr>
        <w:t xml:space="preserve"> צדיק כמש"ו ור"ל ז"ש כי טוב:</w:t>
      </w:r>
      <w:r w:rsidRPr="00BD5E91">
        <w:rPr>
          <w:b/>
          <w:bCs/>
          <w:sz w:val="22"/>
          <w:szCs w:val="22"/>
          <w:rtl/>
        </w:rPr>
        <w:t xml:space="preserve"> </w:t>
      </w:r>
    </w:p>
  </w:footnote>
  <w:footnote w:id="875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תשעה כו' מנהון.</w:t>
      </w:r>
      <w:r w:rsidRPr="00BD5E91">
        <w:rPr>
          <w:sz w:val="22"/>
          <w:szCs w:val="22"/>
          <w:rtl/>
        </w:rPr>
        <w:t xml:space="preserve"> ר"ל מן השס"ה:</w:t>
      </w:r>
      <w:r w:rsidRPr="00BD5E91">
        <w:rPr>
          <w:b/>
          <w:bCs/>
          <w:sz w:val="22"/>
          <w:szCs w:val="22"/>
          <w:rtl/>
        </w:rPr>
        <w:t xml:space="preserve"> </w:t>
      </w:r>
    </w:p>
  </w:footnote>
  <w:footnote w:id="875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לקבל האי כו'. </w:t>
      </w:r>
      <w:r w:rsidRPr="00BD5E91">
        <w:rPr>
          <w:sz w:val="22"/>
          <w:szCs w:val="22"/>
          <w:rtl/>
        </w:rPr>
        <w:t>והוא שמש כמ"ש בזוהר על פ' והוקע אותם כו':</w:t>
      </w:r>
      <w:r w:rsidRPr="00BD5E91">
        <w:rPr>
          <w:b/>
          <w:bCs/>
          <w:sz w:val="22"/>
          <w:szCs w:val="22"/>
          <w:rtl/>
        </w:rPr>
        <w:t xml:space="preserve"> </w:t>
      </w:r>
    </w:p>
  </w:footnote>
  <w:footnote w:id="875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דאקרי טוב.</w:t>
      </w:r>
      <w:r w:rsidRPr="00BD5E91">
        <w:rPr>
          <w:sz w:val="22"/>
          <w:szCs w:val="22"/>
          <w:rtl/>
        </w:rPr>
        <w:t xml:space="preserve"> והוא כי טוב כנ"ל:</w:t>
      </w:r>
      <w:r w:rsidRPr="00BD5E91">
        <w:rPr>
          <w:b/>
          <w:bCs/>
          <w:sz w:val="22"/>
          <w:szCs w:val="22"/>
          <w:rtl/>
        </w:rPr>
        <w:t xml:space="preserve"> </w:t>
      </w:r>
    </w:p>
  </w:footnote>
  <w:footnote w:id="875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ויניק כו'.</w:t>
      </w:r>
      <w:r w:rsidRPr="00BD5E91">
        <w:rPr>
          <w:sz w:val="22"/>
          <w:szCs w:val="22"/>
          <w:rtl/>
        </w:rPr>
        <w:t xml:space="preserve"> ר"ל השמש דלתתא יניק מיניה כו':</w:t>
      </w:r>
      <w:r w:rsidRPr="00BD5E91">
        <w:rPr>
          <w:b/>
          <w:bCs/>
          <w:sz w:val="22"/>
          <w:szCs w:val="22"/>
          <w:rtl/>
        </w:rPr>
        <w:t xml:space="preserve"> </w:t>
      </w:r>
    </w:p>
  </w:footnote>
  <w:footnote w:id="875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לקבל שבעה כו'.</w:t>
      </w:r>
      <w:r w:rsidRPr="00BD5E91">
        <w:rPr>
          <w:sz w:val="22"/>
          <w:szCs w:val="22"/>
          <w:rtl/>
        </w:rPr>
        <w:t xml:space="preserve"> שאימא בה מ"ט יובל כמש"ו כמ"ש וספרת לך כו' והוא יניק מינה ז"פ מ"ט בז' ספירות שנק' שביעי לה:</w:t>
      </w:r>
      <w:r w:rsidRPr="00BD5E91">
        <w:rPr>
          <w:b/>
          <w:bCs/>
          <w:sz w:val="22"/>
          <w:szCs w:val="22"/>
          <w:rtl/>
        </w:rPr>
        <w:t xml:space="preserve"> </w:t>
      </w:r>
    </w:p>
  </w:footnote>
  <w:footnote w:id="875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ולקבלא שני כו'.</w:t>
      </w:r>
      <w:r w:rsidRPr="00BD5E91">
        <w:rPr>
          <w:sz w:val="22"/>
          <w:szCs w:val="22"/>
          <w:rtl/>
        </w:rPr>
        <w:t xml:space="preserve"> ר"ל שמ"ט ממנה מתפשט בז"ס לכן לא זכה משה אלא למ"ט שזכה לבינה בעד"א שהוא בדרגא דעד"א כידוע:</w:t>
      </w:r>
      <w:r w:rsidRPr="00BD5E91">
        <w:rPr>
          <w:b/>
          <w:bCs/>
          <w:sz w:val="22"/>
          <w:szCs w:val="22"/>
          <w:rtl/>
        </w:rPr>
        <w:t xml:space="preserve"> </w:t>
      </w:r>
    </w:p>
  </w:footnote>
  <w:footnote w:id="876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דעלמא תתאה כו'.</w:t>
      </w:r>
      <w:r w:rsidRPr="00BD5E91">
        <w:rPr>
          <w:sz w:val="22"/>
          <w:szCs w:val="22"/>
          <w:rtl/>
        </w:rPr>
        <w:t xml:space="preserve"> מלכות שהן אותיות של צדיק עצמו והוא קיומה וז"ש. דהא כו':</w:t>
      </w:r>
      <w:r w:rsidRPr="00BD5E91">
        <w:rPr>
          <w:b/>
          <w:bCs/>
          <w:sz w:val="22"/>
          <w:szCs w:val="22"/>
          <w:rtl/>
        </w:rPr>
        <w:t xml:space="preserve"> </w:t>
      </w:r>
    </w:p>
  </w:footnote>
  <w:footnote w:id="876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אשתלימו אינון יומי שתא תייבין כו'.</w:t>
      </w:r>
      <w:r w:rsidRPr="00BD5E91">
        <w:rPr>
          <w:sz w:val="22"/>
          <w:szCs w:val="22"/>
          <w:rtl/>
        </w:rPr>
        <w:t xml:space="preserve"> כ"ז הוא בדרגא א' של ספירה א' ובו אלף דרגין כנ"ל והן ששת אלפים שנה כנ"ל לכן כל יום ויום הוא דרגא לבד וצריך לתקן כל יום ביומו:</w:t>
      </w:r>
      <w:r w:rsidRPr="00BD5E91">
        <w:rPr>
          <w:b/>
          <w:bCs/>
          <w:sz w:val="22"/>
          <w:szCs w:val="22"/>
          <w:rtl/>
        </w:rPr>
        <w:t xml:space="preserve"> </w:t>
      </w:r>
    </w:p>
  </w:footnote>
  <w:footnote w:id="876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והאי דרגא דסיהרא.</w:t>
      </w:r>
      <w:r w:rsidRPr="00BD5E91">
        <w:rPr>
          <w:sz w:val="22"/>
          <w:szCs w:val="22"/>
          <w:rtl/>
        </w:rPr>
        <w:t xml:space="preserve"> מלכות כמ"ש למטה:</w:t>
      </w:r>
      <w:r w:rsidRPr="00BD5E91">
        <w:rPr>
          <w:b/>
          <w:bCs/>
          <w:sz w:val="22"/>
          <w:szCs w:val="22"/>
          <w:rtl/>
        </w:rPr>
        <w:t xml:space="preserve"> </w:t>
      </w:r>
    </w:p>
  </w:footnote>
  <w:footnote w:id="876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ובגין דההוא כו' אקרי סיהרא.</w:t>
      </w:r>
      <w:r w:rsidRPr="00BD5E91">
        <w:rPr>
          <w:sz w:val="22"/>
          <w:szCs w:val="22"/>
          <w:rtl/>
        </w:rPr>
        <w:t xml:space="preserve"> ר"ל כמש"ו ע"ש סיהרא דלתתא דכמה דהאי כו':</w:t>
      </w:r>
      <w:r w:rsidRPr="00BD5E91">
        <w:rPr>
          <w:b/>
          <w:bCs/>
          <w:sz w:val="22"/>
          <w:szCs w:val="22"/>
          <w:rtl/>
        </w:rPr>
        <w:t xml:space="preserve"> </w:t>
      </w:r>
    </w:p>
  </w:footnote>
  <w:footnote w:id="876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אלא בגין דההוא כו'. </w:t>
      </w:r>
      <w:r w:rsidRPr="00BD5E91">
        <w:rPr>
          <w:sz w:val="22"/>
          <w:szCs w:val="22"/>
          <w:rtl/>
        </w:rPr>
        <w:t>ר"ל שהוא נקרא יום בוא"ו שבו לכן היא נק' ים, והוא מ"ט שבועין דמקבלת עם דרגא דידה שהיא בת שבע שבוע אחת חמשים שבועות כמנין ים אבל אינו נחשב בשנה רק מה שהיא מקבלת משמש כמש"ו:</w:t>
      </w:r>
    </w:p>
  </w:footnote>
  <w:footnote w:id="876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וכתיב אור כו'.</w:t>
      </w:r>
      <w:r w:rsidRPr="00BD5E91">
        <w:rPr>
          <w:sz w:val="22"/>
          <w:szCs w:val="22"/>
          <w:rtl/>
        </w:rPr>
        <w:t xml:space="preserve"> ראיה שהוא נק' אור וכתיב לאור יום כנ"ל הרי שנקרא יום:</w:t>
      </w:r>
      <w:r w:rsidRPr="00BD5E91">
        <w:rPr>
          <w:b/>
          <w:bCs/>
          <w:sz w:val="22"/>
          <w:szCs w:val="22"/>
          <w:rtl/>
        </w:rPr>
        <w:t xml:space="preserve"> </w:t>
      </w:r>
    </w:p>
  </w:footnote>
  <w:footnote w:id="876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ברזא דוא"ו כו'. </w:t>
      </w:r>
      <w:r w:rsidRPr="00BD5E91">
        <w:rPr>
          <w:sz w:val="22"/>
          <w:szCs w:val="22"/>
          <w:rtl/>
        </w:rPr>
        <w:t>ר"ל הוא ו' דיום:</w:t>
      </w:r>
    </w:p>
  </w:footnote>
  <w:footnote w:id="876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דאקרי ה' כו'.</w:t>
      </w:r>
      <w:r w:rsidRPr="00BD5E91">
        <w:rPr>
          <w:sz w:val="22"/>
          <w:szCs w:val="22"/>
          <w:rtl/>
        </w:rPr>
        <w:t xml:space="preserve"> ר"ל זהו ה' ים כמש"ו הולכים אל ה' ים והיא נק' הים בה' והוא בוא"ו יום והכל ע"ש המ"ט שבועות שכלל הוא חמשים וכמ"ש וספרתם לכם כו' שבע שבתות כו' תספרו חמשים יום:</w:t>
      </w:r>
    </w:p>
  </w:footnote>
  <w:footnote w:id="876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מאי הנחלים.</w:t>
      </w:r>
      <w:r w:rsidRPr="00BD5E91">
        <w:rPr>
          <w:sz w:val="22"/>
          <w:szCs w:val="22"/>
          <w:rtl/>
        </w:rPr>
        <w:t xml:space="preserve"> ר"ל הנחלים אותיות ה' נחלים וז"ש אלין חמש כו' וכולם הן ו' זהו יום כנ"ל:</w:t>
      </w:r>
    </w:p>
  </w:footnote>
  <w:footnote w:id="876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איקרי בת שבע.</w:t>
      </w:r>
      <w:r w:rsidRPr="00BD5E91">
        <w:rPr>
          <w:sz w:val="22"/>
          <w:szCs w:val="22"/>
          <w:rtl/>
        </w:rPr>
        <w:t xml:space="preserve"> שהיא בת אימא שבה ז"פ שבעה שבועות ומקבלת מינה ע"י צדיק השביעי וז"ש. וכד נהיר כו':</w:t>
      </w:r>
    </w:p>
  </w:footnote>
  <w:footnote w:id="877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הוי שנה יומין ארבעין כו'.</w:t>
      </w:r>
      <w:r w:rsidRPr="00BD5E91">
        <w:rPr>
          <w:sz w:val="22"/>
          <w:szCs w:val="22"/>
          <w:rtl/>
        </w:rPr>
        <w:t xml:space="preserve"> ששנה שלימה הוא שנ"ה ימים שלכן נקרא שנה שלימה כמנין שנה והוא כלפי שיש י' שעות יתירים על שנ"ד ונשלמין. ואף שגם בשס"ה יש ו' שעות יותר הוא נשלם בו' של יום כנ"ל והוא מרומז בפ' ה' ש'מעה ה' ס'לחה ה' ה'קשיבה ו'עשה, ולא נאמר אצל ועשה ה', שהוא אינו יום רק ו' שמקבל משס"ה ו' דיום, ושס"ה הן בסוד ה':</w:t>
      </w:r>
    </w:p>
  </w:footnote>
  <w:footnote w:id="877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דים דלעילא.</w:t>
      </w:r>
      <w:r w:rsidRPr="00BD5E91">
        <w:rPr>
          <w:sz w:val="22"/>
          <w:szCs w:val="22"/>
          <w:rtl/>
        </w:rPr>
        <w:t xml:space="preserve"> בינה:</w:t>
      </w:r>
    </w:p>
  </w:footnote>
  <w:footnote w:id="8772">
    <w:p w:rsidR="00007309" w:rsidRPr="00BD5E91" w:rsidRDefault="00007309" w:rsidP="00007309">
      <w:pPr>
        <w:jc w:val="both"/>
        <w:rPr>
          <w:rFonts w:cs="Arial"/>
          <w:sz w:val="22"/>
          <w:szCs w:val="22"/>
          <w:rtl/>
        </w:rPr>
      </w:pPr>
      <w:r w:rsidRPr="00BD5E91">
        <w:rPr>
          <w:rStyle w:val="a7"/>
          <w:rFonts w:cs="Arial"/>
          <w:sz w:val="22"/>
          <w:szCs w:val="22"/>
          <w:rtl/>
        </w:rPr>
        <w:footnoteRef/>
      </w:r>
      <w:r w:rsidRPr="00BD5E91">
        <w:rPr>
          <w:rFonts w:cs="Arial"/>
          <w:sz w:val="22"/>
          <w:szCs w:val="22"/>
          <w:rtl/>
        </w:rPr>
        <w:t xml:space="preserve"> </w:t>
      </w:r>
      <w:r w:rsidRPr="00BD5E91">
        <w:rPr>
          <w:rFonts w:cs="Arial"/>
          <w:b/>
          <w:bCs/>
          <w:sz w:val="22"/>
          <w:szCs w:val="22"/>
          <w:rtl/>
        </w:rPr>
        <w:t>דאיהי מקבלא כו'.</w:t>
      </w:r>
      <w:r w:rsidRPr="00BD5E91">
        <w:rPr>
          <w:rFonts w:cs="Arial"/>
          <w:sz w:val="22"/>
          <w:szCs w:val="22"/>
          <w:rtl/>
        </w:rPr>
        <w:t xml:space="preserve"> מלכות שגם בינה נקראת ים בהיפוך אתוון מי שבה נ' שערי בינה: </w:t>
      </w:r>
    </w:p>
  </w:footnote>
  <w:footnote w:id="877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דסחרני האי ימא.</w:t>
      </w:r>
      <w:r w:rsidRPr="00BD5E91">
        <w:rPr>
          <w:sz w:val="22"/>
          <w:szCs w:val="22"/>
          <w:rtl/>
        </w:rPr>
        <w:t xml:space="preserve"> והיא חסירה י' יומין משנת החמה נגד י' דצדיק שיתרה על צדק:</w:t>
      </w:r>
    </w:p>
  </w:footnote>
  <w:footnote w:id="877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דשמיה קדישא.</w:t>
      </w:r>
      <w:r w:rsidRPr="00BD5E91">
        <w:rPr>
          <w:sz w:val="22"/>
          <w:szCs w:val="22"/>
          <w:rtl/>
        </w:rPr>
        <w:t xml:space="preserve"> דכליל בוא"ו של השם כידוע:</w:t>
      </w:r>
    </w:p>
  </w:footnote>
  <w:footnote w:id="877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 ימא דחכמתא.</w:t>
      </w:r>
      <w:r w:rsidRPr="00BD5E91">
        <w:rPr>
          <w:sz w:val="22"/>
          <w:szCs w:val="22"/>
          <w:rtl/>
        </w:rPr>
        <w:t xml:space="preserve"> חכמה זעירא חכמת שלמה ור"ל דבחכמה ל"ב שבילין גי' כבוד וזהו ולכבודי ואמר ימא דחכמתא כמ"ש (ישעיהו יא ט) ומלאה הארץ דעה כמים לים מכסים:</w:t>
      </w:r>
    </w:p>
  </w:footnote>
  <w:footnote w:id="877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 רזא דיום כו'.</w:t>
      </w:r>
      <w:r w:rsidRPr="00BD5E91">
        <w:rPr>
          <w:sz w:val="22"/>
          <w:szCs w:val="22"/>
          <w:rtl/>
        </w:rPr>
        <w:t xml:space="preserve"> ביצירה יצרתיו מסט' שהוא יסוד שמש כידוע:</w:t>
      </w:r>
    </w:p>
  </w:footnote>
  <w:footnote w:id="877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לקבל כל כו'.</w:t>
      </w:r>
      <w:r w:rsidRPr="00BD5E91">
        <w:rPr>
          <w:sz w:val="22"/>
          <w:szCs w:val="22"/>
          <w:rtl/>
        </w:rPr>
        <w:t xml:space="preserve"> ר"ל כל הנקרא כנ"ל:</w:t>
      </w:r>
    </w:p>
  </w:footnote>
  <w:footnote w:id="877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 סיהרא כו'.</w:t>
      </w:r>
      <w:r w:rsidRPr="00BD5E91">
        <w:rPr>
          <w:sz w:val="22"/>
          <w:szCs w:val="22"/>
          <w:rtl/>
        </w:rPr>
        <w:t xml:space="preserve"> בעשייה ששם סיהרא כידוע עשיתיו:</w:t>
      </w:r>
    </w:p>
  </w:footnote>
  <w:footnote w:id="877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יחודא לעילא. </w:t>
      </w:r>
      <w:r w:rsidRPr="00BD5E91">
        <w:rPr>
          <w:sz w:val="22"/>
          <w:szCs w:val="22"/>
          <w:rtl/>
        </w:rPr>
        <w:t>כל הנקרא ולכבודי כו'. ויחודא לתתא יצרתיו עשיתיו:</w:t>
      </w:r>
    </w:p>
  </w:footnote>
  <w:footnote w:id="878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שלמא כו'.</w:t>
      </w:r>
      <w:r w:rsidRPr="00BD5E91">
        <w:rPr>
          <w:sz w:val="22"/>
          <w:szCs w:val="22"/>
          <w:rtl/>
        </w:rPr>
        <w:t xml:space="preserve"> הוא יחודא כנ"ל:</w:t>
      </w:r>
    </w:p>
  </w:footnote>
  <w:footnote w:id="878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לרחוק.</w:t>
      </w:r>
      <w:r w:rsidRPr="00BD5E91">
        <w:rPr>
          <w:sz w:val="22"/>
          <w:szCs w:val="22"/>
          <w:rtl/>
        </w:rPr>
        <w:t xml:space="preserve"> הוא לתתא:</w:t>
      </w:r>
    </w:p>
  </w:footnote>
  <w:footnote w:id="878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ולקרוב.</w:t>
      </w:r>
      <w:r w:rsidRPr="00BD5E91">
        <w:rPr>
          <w:sz w:val="22"/>
          <w:szCs w:val="22"/>
          <w:rtl/>
        </w:rPr>
        <w:t xml:space="preserve"> הוא לעילא כנ"ל:</w:t>
      </w:r>
    </w:p>
  </w:footnote>
  <w:footnote w:id="878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בטהירו.</w:t>
      </w:r>
      <w:r w:rsidRPr="00BD5E91">
        <w:rPr>
          <w:sz w:val="22"/>
          <w:szCs w:val="22"/>
          <w:rtl/>
        </w:rPr>
        <w:t xml:space="preserve"> באור העליון שהוא בסוד הצמצום ששם מאיר אור א"ס ותוקף האור אשר אין למעלה ממנו נמשל לצהרים שהוא תרגום טהירו ושם הוא עיקר שורש האור כי אור הוא דבר שמאיר מאחר אור השמש וכיוצא בו אבל דבר המאיר אין נקרא אור לכן שם האור והוא אויר הקדמון כד נפיק יו"ד ממנו נשאר אור כמ"ש בזוהר ובתיקונים:</w:t>
      </w:r>
    </w:p>
  </w:footnote>
  <w:footnote w:id="878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בריש הורמנותא דמלכא.</w:t>
      </w:r>
      <w:r w:rsidRPr="00BD5E91">
        <w:rPr>
          <w:sz w:val="22"/>
          <w:szCs w:val="22"/>
          <w:rtl/>
        </w:rPr>
        <w:t xml:space="preserve"> כמו באדם המחשבה שרוצה לעשות הדבר והרצון הוא קודם למחשבה וקודם להם התחלת הרצון כשמתעורר לחשב והן ג' ראשונות כתר הוא התחלת הרצון והוא סתום מאד שנעלם אפי' מאדם עצמו וזהו בריש הורמנותא הוא תרגום של רצון והוא בעולמות אדם קדמון שהוא כתר של ד' ד' עולמות אבי"ע בסוד ד' פרצופין לכן נחלק לשתי בחינות שבכתר ע"י וא"א וכן כאן אויר קדמון ואדם קדמון שכתר נקרא חכמה קדומה כמש"ל דף ע"ו ע"ב ע"ש ואמר דמלכא שכתר הוא מלכות של עולם שלמעלה בכל עולם וכאן הוא שורש המלכות של א"ס שבה נוצרו הכל כידוע וכן במלכות דאדם קדמון נוצרו ע"ס דאצילות והוא ג"כ ריש הורמנותא שהוא עתיקא סתימא דמלכא מלכות א"ק וזהו שתי בחינות שבכתר ריש הורמנותא הוא א"א דמלכא הוא ע"י והוא דבר שממנו מתעורר התחלת הרצון כמו שכל הפועל לאדם כי התקשרות העולמות זה בזה הוא בחינה אחרונה שלמעלה הוא קשור בבחינה הראשונה שלמטה וכן בחינה אחרונה של שכל הפועל קשור בשכל האדם והוא דבר שממנו מתעורר כנ"ל וזהו בריש עם ב' כמו בדבר של הריש הורמנותא והוא תרגום של בראשית שראשית הוא כתר וב' הוא ע"י ב' הנ"ל שע"כ אמרו שב' של בראשית הוא מלכות. ברא הוא חכמה כמ"ש בזוהר ברא סתימא ולא קאמר מאן דברא אלקים הוא בינה אלקים חיים כידוע את השמים ו"ק ואת הארץ מלכות וכלהו כלילן בכתר כמש"ו והן כלולין בברא' בהעלם בתיבה אחת ששם קשורין בפרצוף אחד וכמ"ש בתיקונים בראשי"ת ב' שכינה עילאה ותתאה ר' ראשית חכמה א' כתר שי"ת שית קצוות ונכללין ו"ק בג' אותיות כידוע שנכללין כל הו"ק בחג"ת בסוד אלה הן כל אלה יפעל אל פעמים שלש שלפיכך כל הע"ס נכללין בו' כל השם בו' של השם והן שש אותיו' אלו והן בסוד ברוך כ' כתר ובסוד בורא כמ"ש בתיקו' ולפיכך ברא עבר בג"ר שהן קודם שנברא העולם חסד יבנה ובורא הוה:</w:t>
      </w:r>
    </w:p>
  </w:footnote>
  <w:footnote w:id="878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גליף תשע גליפין.</w:t>
      </w:r>
      <w:r w:rsidRPr="00BD5E91">
        <w:rPr>
          <w:sz w:val="22"/>
          <w:szCs w:val="22"/>
          <w:rtl/>
        </w:rPr>
        <w:t xml:space="preserve"> ט"ס מחכמה ולמטה שמשם התחלת הגלוי של מהותם שלכן משם מתחיל שם הוי"ה והוא בכתר ע"ס שבו שאמר בזוהר ט' נהורין לאו אינון נהורין כו' והוא באדם קדמון שהוא כתר של העולמות ואמר גליף כמ"ש בס"י חקקן חצבן צרפן שקלן והמירן והן בה' פרצופים שהן בה' עולמות כנ"ל. חקקן הוא בכתר של העולמות ששם בסוד חקיקה לבד וכולן קשורין כאחד בדיבוק גמור. חצבן שחוצב כל אות ממחצב הוא בחכמה ששם מתחלקין ל"ב נתיבות כ"א נתיב לבדו והוא באצילות. צרפן בבינה ימא דאורייתא ששם האותיות אינן כסדר כמו בחכמה אלא מצורפין כמו שהוא בתורה וכ"ה בבריאה שהתורה היא תורת הבריאה. שקלן בעד"א שהוא שקל הקדש כידוע ושם שקלן כי ידוע שכפי הצירוף כן הוא המדות בחסד או בדין או ברחמים שא"ב ביושר הוא חסד ולמפרע בגבורה וממוזג ביושר ולמפרע כידוע בסוד צירוף רל"א א"ב ברחמים וכן כל הצירופים לפי המדות. והמירן במלכות ששם הוא סוד התמורה כידוע ושם המירן בסוד רל"א שערים אחור שהן עצמן רל"א שערים פנים אלא בהיפוך זהו והמירן שהוא בסוד וראית את אחורי מלכות שהיא ימינא דידה נגד שמאל דידיה וכן בכולם וז"ש א' עם כולן פנים וכולן עם א' המירן והן בעולמות יצירה ועשייה שחמשה פרצופים מקננים בחמשה עולמות כידוע ושקלן הוא בעד"א שלפי שלמעלה אין שם משקל שכולם רחמים גמורים וז"ש כאן. גליף כו' בסוד הכתר א"ק:</w:t>
      </w:r>
    </w:p>
  </w:footnote>
  <w:footnote w:id="878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בגלגלוי טהירין.</w:t>
      </w:r>
      <w:r w:rsidRPr="00BD5E91">
        <w:rPr>
          <w:sz w:val="22"/>
          <w:szCs w:val="22"/>
          <w:rtl/>
        </w:rPr>
        <w:t xml:space="preserve"> כי ע"ס הן בעיגולים ויושר שהעיגולים הן בסוד גלגלים כמו עשר גלגלים דרקיעי' שלנו ובאמצע שהוא כנגד א"י אדם דעשייה שלכן אמרו בזוהר שאין כוכב שולט על א"י וכן אין מזל לישראל וזהו בגלגלוי והן טהירין שמאירין באור א"ס שאין מפסיק והטהירו מאיר עליהם והוא כמ"ש כזוהר הרקיע:</w:t>
      </w:r>
    </w:p>
  </w:footnote>
  <w:footnote w:id="878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וחד טמיר ולא ידיע.</w:t>
      </w:r>
      <w:r w:rsidRPr="00BD5E91">
        <w:rPr>
          <w:sz w:val="22"/>
          <w:szCs w:val="22"/>
          <w:rtl/>
        </w:rPr>
        <w:t xml:space="preserve"> הוא כתר העשירי והן עשרה כחות שמנהיגים את העולם כמו באדם המחשבה והמעשה כמש"ל דלית עשייה אלא במחשבה בחכמה עשית כו' ע"ש שכל מעשה נכלל [לפה"נ חסר תיבת במחשבה. המעתיק] וכן כל מעשה השם באלו המעשה הוא ו"ק שמתנהג העולם והוא גילוי המחשבה וכמ"ש לקמן כל מדה בפרט שהן כוללין כל המדות שכולם הן פרטים נכלל בשש והמחשבה הוא התחלת הרצון והרצון והמחשבה ג"ר שלכן הן סתומים כמו באדם שהמחשבה היא סתומה כמ"ש (פסחים נד ע"ב) אין אדם יודע מה בלב חבירו כ"ש למעלה וכ"ש הרצון והתחלת הרצון וראשית המחשבה הוא סוף המעשה הוא למלוך על כל המעשים כמ"ש דאין מלך בלא עם והוא מלכות שבה אין מעשה כלל רק המנוחה והיא שבת שבו מלך וז"ש ביום השביעי נתעלה וישב על כסא כבודו לכן היא קשורה בתחתונים שאין מלך בלא עם כנ"ל שהוא שם ההצטרפות וכן בא"ס כל ע"ס שבכחו לא נברא העולם בהם ולא נגלה אלא מלכות שבכחו ולזה אמרו הורמנא דמלכא כנ"ל ואין לכנות אותו אלא במלכא כידוע ולכן מכנין אותו בשם א"ס שמלכות הוא סוף הכל אבל בו אין סוף ואע"ג שהוא סוף הוא ראש לכל בסוד אין כתר והמלכות הוא בסוד התכלית שהוא ראשון למחשבה וסוף למעשה וכל הג' דברים שקודם התכלית הן במעשה אבל התכלית אינה במעשה אלא מנוחת התכלית שבשבילו נעשה וכן יום השבת כידוע:</w:t>
      </w:r>
    </w:p>
  </w:footnote>
  <w:footnote w:id="878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טמיר ולא ידיע.</w:t>
      </w:r>
      <w:r w:rsidRPr="00BD5E91">
        <w:rPr>
          <w:sz w:val="22"/>
          <w:szCs w:val="22"/>
          <w:rtl/>
        </w:rPr>
        <w:t xml:space="preserve"> כמ"ש (חגיגה יג ע"א) במופלא ממך כו' ובמכוסה כו' על שתי בחינות של הכתר</w:t>
      </w:r>
      <w:r>
        <w:rPr>
          <w:rFonts w:hint="cs"/>
          <w:sz w:val="22"/>
          <w:szCs w:val="22"/>
          <w:rtl/>
        </w:rPr>
        <w:t>.</w:t>
      </w:r>
      <w:r w:rsidRPr="00BD5E91">
        <w:rPr>
          <w:sz w:val="22"/>
          <w:szCs w:val="22"/>
          <w:rtl/>
        </w:rPr>
        <w:t xml:space="preserve"> במופלא כמו (דברים יז ח) כי יפלא</w:t>
      </w:r>
      <w:r>
        <w:rPr>
          <w:rFonts w:hint="cs"/>
          <w:sz w:val="22"/>
          <w:szCs w:val="22"/>
          <w:rtl/>
        </w:rPr>
        <w:t>,</w:t>
      </w:r>
      <w:r w:rsidRPr="00BD5E91">
        <w:rPr>
          <w:sz w:val="22"/>
          <w:szCs w:val="22"/>
          <w:rtl/>
        </w:rPr>
        <w:t xml:space="preserve"> לא ידיע</w:t>
      </w:r>
      <w:r>
        <w:rPr>
          <w:rFonts w:hint="cs"/>
          <w:sz w:val="22"/>
          <w:szCs w:val="22"/>
          <w:rtl/>
        </w:rPr>
        <w:t>.</w:t>
      </w:r>
      <w:r w:rsidRPr="00BD5E91">
        <w:rPr>
          <w:sz w:val="22"/>
          <w:szCs w:val="22"/>
          <w:rtl/>
        </w:rPr>
        <w:t xml:space="preserve"> ובמכוסה</w:t>
      </w:r>
      <w:r>
        <w:rPr>
          <w:rFonts w:hint="cs"/>
          <w:sz w:val="22"/>
          <w:szCs w:val="22"/>
          <w:rtl/>
        </w:rPr>
        <w:t>,</w:t>
      </w:r>
      <w:r w:rsidRPr="00BD5E91">
        <w:rPr>
          <w:sz w:val="22"/>
          <w:szCs w:val="22"/>
          <w:rtl/>
        </w:rPr>
        <w:t xml:space="preserve"> טמיר</w:t>
      </w:r>
      <w:r>
        <w:rPr>
          <w:rFonts w:hint="cs"/>
          <w:sz w:val="22"/>
          <w:szCs w:val="22"/>
          <w:rtl/>
        </w:rPr>
        <w:t>.</w:t>
      </w:r>
      <w:r w:rsidRPr="00BD5E91">
        <w:rPr>
          <w:sz w:val="22"/>
          <w:szCs w:val="22"/>
          <w:rtl/>
        </w:rPr>
        <w:t xml:space="preserve"> וכמ"ש לעיל דף ע"ד ע"א חיזו עשיראה דאיהו כתר מופלא ומכוסה לא גלי ביה שום מראה בעלמא כו' בגין דאיתמר עליה במופלא כו' ובמכוסה כו' אין לך עסק בנסתרים מאן נסתרים דיליה כו' ע"ש</w:t>
      </w:r>
      <w:r>
        <w:rPr>
          <w:rFonts w:hint="cs"/>
          <w:sz w:val="22"/>
          <w:szCs w:val="22"/>
          <w:rtl/>
        </w:rPr>
        <w:t>.</w:t>
      </w:r>
      <w:r w:rsidRPr="00BD5E91">
        <w:rPr>
          <w:sz w:val="22"/>
          <w:szCs w:val="22"/>
          <w:rtl/>
        </w:rPr>
        <w:t xml:space="preserve"> והוא כמו התחלת הרצון שאינו נגלה כלל אפי' לאדם עצמו</w:t>
      </w:r>
      <w:r>
        <w:rPr>
          <w:rFonts w:hint="cs"/>
          <w:sz w:val="22"/>
          <w:szCs w:val="22"/>
          <w:rtl/>
        </w:rPr>
        <w:t>.</w:t>
      </w:r>
      <w:r w:rsidRPr="00BD5E91">
        <w:rPr>
          <w:sz w:val="22"/>
          <w:szCs w:val="22"/>
          <w:rtl/>
        </w:rPr>
        <w:t xml:space="preserve"> והוא באדם נשמה החופף על הראש מלמעלה באויר כידוע שאינה נכללת כלל בגוף כמו כתר על אדם שאינו מכלל הגוף והוא לא ידיע כלל לכך נקרא אויר קדמון</w:t>
      </w:r>
      <w:r>
        <w:rPr>
          <w:rFonts w:hint="cs"/>
          <w:sz w:val="22"/>
          <w:szCs w:val="22"/>
          <w:rtl/>
        </w:rPr>
        <w:t>.</w:t>
      </w:r>
      <w:r w:rsidRPr="00BD5E91">
        <w:rPr>
          <w:sz w:val="22"/>
          <w:szCs w:val="22"/>
          <w:rtl/>
        </w:rPr>
        <w:t xml:space="preserve"> וכ"ה בעשרה גלגלים</w:t>
      </w:r>
      <w:r>
        <w:rPr>
          <w:rFonts w:hint="cs"/>
          <w:sz w:val="22"/>
          <w:szCs w:val="22"/>
          <w:rtl/>
        </w:rPr>
        <w:t>,</w:t>
      </w:r>
      <w:r w:rsidRPr="00BD5E91">
        <w:rPr>
          <w:sz w:val="22"/>
          <w:szCs w:val="22"/>
          <w:rtl/>
        </w:rPr>
        <w:t xml:space="preserve"> שגלגל השכל אינו מושג בשכל כלל. וכ"ה באדם קדמון של העולמות שהסתיר אותו בזוהר ולא דבר ממנו כלל רק באיזה מקומות בהעלם גמור</w:t>
      </w:r>
      <w:r>
        <w:rPr>
          <w:rFonts w:hint="cs"/>
          <w:sz w:val="22"/>
          <w:szCs w:val="22"/>
          <w:rtl/>
        </w:rPr>
        <w:t>.</w:t>
      </w:r>
      <w:r w:rsidRPr="00BD5E91">
        <w:rPr>
          <w:sz w:val="22"/>
          <w:szCs w:val="22"/>
          <w:rtl/>
        </w:rPr>
        <w:t xml:space="preserve"> ובו אין שייך אדם רק לשבר את האוזן כידוע</w:t>
      </w:r>
      <w:r>
        <w:rPr>
          <w:rFonts w:hint="cs"/>
          <w:sz w:val="22"/>
          <w:szCs w:val="22"/>
          <w:rtl/>
        </w:rPr>
        <w:t>.</w:t>
      </w:r>
      <w:r w:rsidRPr="00BD5E91">
        <w:rPr>
          <w:sz w:val="22"/>
          <w:szCs w:val="22"/>
          <w:rtl/>
        </w:rPr>
        <w:t xml:space="preserve"> וכ"ה בכל העולמות אבל הרצון הוא בסוד החכמה</w:t>
      </w:r>
      <w:r>
        <w:rPr>
          <w:rFonts w:hint="cs"/>
          <w:sz w:val="22"/>
          <w:szCs w:val="22"/>
          <w:rtl/>
        </w:rPr>
        <w:t>,</w:t>
      </w:r>
      <w:r w:rsidRPr="00BD5E91">
        <w:rPr>
          <w:sz w:val="22"/>
          <w:szCs w:val="22"/>
          <w:rtl/>
        </w:rPr>
        <w:t xml:space="preserve"> ידיע ולא ידיע</w:t>
      </w:r>
      <w:r>
        <w:rPr>
          <w:rFonts w:hint="cs"/>
          <w:sz w:val="22"/>
          <w:szCs w:val="22"/>
          <w:rtl/>
        </w:rPr>
        <w:t>.</w:t>
      </w:r>
      <w:r w:rsidRPr="00BD5E91">
        <w:rPr>
          <w:sz w:val="22"/>
          <w:szCs w:val="22"/>
          <w:rtl/>
        </w:rPr>
        <w:t xml:space="preserve"> ידיע</w:t>
      </w:r>
      <w:r>
        <w:rPr>
          <w:rFonts w:hint="cs"/>
          <w:sz w:val="22"/>
          <w:szCs w:val="22"/>
          <w:rtl/>
        </w:rPr>
        <w:t>,</w:t>
      </w:r>
      <w:r w:rsidRPr="00BD5E91">
        <w:rPr>
          <w:sz w:val="22"/>
          <w:szCs w:val="22"/>
          <w:rtl/>
        </w:rPr>
        <w:t xml:space="preserve"> מציאותה</w:t>
      </w:r>
      <w:r>
        <w:rPr>
          <w:rFonts w:hint="cs"/>
          <w:sz w:val="22"/>
          <w:szCs w:val="22"/>
          <w:rtl/>
        </w:rPr>
        <w:t>.</w:t>
      </w:r>
      <w:r w:rsidRPr="00BD5E91">
        <w:rPr>
          <w:sz w:val="22"/>
          <w:szCs w:val="22"/>
          <w:rtl/>
        </w:rPr>
        <w:t xml:space="preserve"> ולא ידיע</w:t>
      </w:r>
      <w:r>
        <w:rPr>
          <w:rFonts w:hint="cs"/>
          <w:sz w:val="22"/>
          <w:szCs w:val="22"/>
          <w:rtl/>
        </w:rPr>
        <w:t>,</w:t>
      </w:r>
      <w:r w:rsidRPr="00BD5E91">
        <w:rPr>
          <w:sz w:val="22"/>
          <w:szCs w:val="22"/>
          <w:rtl/>
        </w:rPr>
        <w:t xml:space="preserve"> מהותה</w:t>
      </w:r>
      <w:r>
        <w:rPr>
          <w:rFonts w:hint="cs"/>
          <w:sz w:val="22"/>
          <w:szCs w:val="22"/>
          <w:rtl/>
        </w:rPr>
        <w:t>.</w:t>
      </w:r>
      <w:r w:rsidRPr="00BD5E91">
        <w:rPr>
          <w:sz w:val="22"/>
          <w:szCs w:val="22"/>
          <w:rtl/>
        </w:rPr>
        <w:t xml:space="preserve"> שלכן כתר נקרא אין שאפי' מהותה [לפה"נ צ"ל מציאותה וע"ל ד"ה ונפיק א'. המעתיק] לא ידיע</w:t>
      </w:r>
      <w:r>
        <w:rPr>
          <w:rFonts w:hint="cs"/>
          <w:sz w:val="22"/>
          <w:szCs w:val="22"/>
          <w:rtl/>
        </w:rPr>
        <w:t>.</w:t>
      </w:r>
      <w:r w:rsidRPr="00BD5E91">
        <w:rPr>
          <w:sz w:val="22"/>
          <w:szCs w:val="22"/>
          <w:rtl/>
        </w:rPr>
        <w:t xml:space="preserve"> אבל החכמה נקרא יש שידוע מציאותה ולא נגלה ממנה רק שיש מציאות ולא נודע מה</w:t>
      </w:r>
      <w:r>
        <w:rPr>
          <w:rFonts w:hint="cs"/>
          <w:sz w:val="22"/>
          <w:szCs w:val="22"/>
          <w:rtl/>
        </w:rPr>
        <w:t>.</w:t>
      </w:r>
      <w:r w:rsidRPr="00BD5E91">
        <w:rPr>
          <w:sz w:val="22"/>
          <w:szCs w:val="22"/>
          <w:rtl/>
        </w:rPr>
        <w:t xml:space="preserve"> וכן הרצון באדם ידוע שקודם המחשבה צריך לרצון קודם אבל לא ידיע מהו הרצון</w:t>
      </w:r>
      <w:r>
        <w:rPr>
          <w:rFonts w:hint="cs"/>
          <w:sz w:val="22"/>
          <w:szCs w:val="22"/>
          <w:rtl/>
        </w:rPr>
        <w:t>.</w:t>
      </w:r>
      <w:r w:rsidRPr="00BD5E91">
        <w:rPr>
          <w:sz w:val="22"/>
          <w:szCs w:val="22"/>
          <w:rtl/>
        </w:rPr>
        <w:t xml:space="preserve"> וכן מוחא סתימא ולא נפיק ממנה אלא שביל דקיק ללב והוא הרצון שעל השביל הזה כתיב (איוב כח ז) נתיב לא ידעו עיט כידוע וכמו בגלגלים גלגל התשיעי גלגל היומי מציאותה ידוע שהוא מקיף ומכריח כל הגלגלים בהיקף היומי ואינו ידוע מהותה שאין בה כוכב כלל וכן עולם האצילות לא אתגליא באורייתא שהוא עולם המחשבה שהיא תורת הבריאה כנ"ל ומה שאנו מדברים הכל מעולמות התחתונים שממנה מדמין את העליונים שאפי' יחזקאל לא השיג אלא ביצירה ומשפסקו הנביאים כולם לא השיגו אלא מעשייה ומשה רבינו לא השיג אלא בבריאה כידוע בסוד מ"ט שערי בינה שמקננת בבריאה ואף שער הנו"ן שהוא כתר שבבריאה לא השיג לפי שהוא מלכות דאצילות ועל עולם האצילות נאמר כך עלה במחשבה שא"א לגלות כמש"ל</w:t>
      </w:r>
      <w:r>
        <w:rPr>
          <w:rFonts w:hint="cs"/>
          <w:sz w:val="22"/>
          <w:szCs w:val="22"/>
          <w:rtl/>
        </w:rPr>
        <w:t>.</w:t>
      </w:r>
      <w:r w:rsidRPr="00BD5E91">
        <w:rPr>
          <w:sz w:val="22"/>
          <w:szCs w:val="22"/>
          <w:rtl/>
        </w:rPr>
        <w:t xml:space="preserve"> וכ"ז בכללות אבל בפרטות אפי' חכמה וכתר שבבינה שהיא שער החמשים לא השיג לפי שהוא בחינה אחרונה של חכמה שכל מלכות של ספירה העליונה הוא כתר של תחתונה כנ"ל כמש"ל דף ס"ז ע"א לית שכינתא דלא אתעבידת כתרא לההוא דלתתא מינה</w:t>
      </w:r>
      <w:r>
        <w:rPr>
          <w:rFonts w:hint="cs"/>
          <w:sz w:val="22"/>
          <w:szCs w:val="22"/>
          <w:rtl/>
        </w:rPr>
        <w:t>.</w:t>
      </w:r>
      <w:r w:rsidRPr="00BD5E91">
        <w:rPr>
          <w:sz w:val="22"/>
          <w:szCs w:val="22"/>
          <w:rtl/>
        </w:rPr>
        <w:t xml:space="preserve"> ובינה היא מחשבה בלב והיא אתגליא אח"כ במעשה שהוא עושה ידוע ע"י זה המחשבה שחשב</w:t>
      </w:r>
      <w:r>
        <w:rPr>
          <w:rFonts w:hint="cs"/>
          <w:sz w:val="22"/>
          <w:szCs w:val="22"/>
          <w:rtl/>
        </w:rPr>
        <w:t>.</w:t>
      </w:r>
      <w:r w:rsidRPr="00BD5E91">
        <w:rPr>
          <w:sz w:val="22"/>
          <w:szCs w:val="22"/>
          <w:rtl/>
        </w:rPr>
        <w:t xml:space="preserve"> וזהו סוד בינה</w:t>
      </w:r>
      <w:r>
        <w:rPr>
          <w:rFonts w:hint="cs"/>
          <w:sz w:val="22"/>
          <w:szCs w:val="22"/>
          <w:rtl/>
        </w:rPr>
        <w:t>,</w:t>
      </w:r>
      <w:r w:rsidRPr="00BD5E91">
        <w:rPr>
          <w:sz w:val="22"/>
          <w:szCs w:val="22"/>
          <w:rtl/>
        </w:rPr>
        <w:t xml:space="preserve"> שבעצמה היא סתומה ומתגלה במעשה ו"ק</w:t>
      </w:r>
      <w:r>
        <w:rPr>
          <w:rFonts w:hint="cs"/>
          <w:sz w:val="22"/>
          <w:szCs w:val="22"/>
          <w:rtl/>
        </w:rPr>
        <w:t>.</w:t>
      </w:r>
      <w:r w:rsidRPr="00BD5E91">
        <w:rPr>
          <w:sz w:val="22"/>
          <w:szCs w:val="22"/>
          <w:rtl/>
        </w:rPr>
        <w:t xml:space="preserve"> וכן בריאה וכן התורה שמתלבש בפשט ובמעשה המצות והסוד סתום בתוכם ולא נגלה לנו אלא ע"י פשט המצות שניתן לנו ו"ק הן ששת ימי המעשה והן הנגלות לנו כמו הגוף וכל מעשה הגוף הוא נגלה</w:t>
      </w:r>
      <w:r>
        <w:rPr>
          <w:rFonts w:hint="cs"/>
          <w:sz w:val="22"/>
          <w:szCs w:val="22"/>
          <w:rtl/>
        </w:rPr>
        <w:t>.</w:t>
      </w:r>
      <w:r w:rsidRPr="00BD5E91">
        <w:rPr>
          <w:sz w:val="22"/>
          <w:szCs w:val="22"/>
          <w:rtl/>
        </w:rPr>
        <w:t xml:space="preserve"> וכ"ה בעולמות שהכל מתנהג ע"י שר העולם מט"ט</w:t>
      </w:r>
      <w:r>
        <w:rPr>
          <w:rFonts w:hint="cs"/>
          <w:sz w:val="22"/>
          <w:szCs w:val="22"/>
          <w:rtl/>
        </w:rPr>
        <w:t>,</w:t>
      </w:r>
      <w:r w:rsidRPr="00BD5E91">
        <w:rPr>
          <w:sz w:val="22"/>
          <w:szCs w:val="22"/>
          <w:rtl/>
        </w:rPr>
        <w:t xml:space="preserve"> ביצירה</w:t>
      </w:r>
      <w:r>
        <w:rPr>
          <w:rFonts w:hint="cs"/>
          <w:sz w:val="22"/>
          <w:szCs w:val="22"/>
          <w:rtl/>
        </w:rPr>
        <w:t>.</w:t>
      </w:r>
      <w:r w:rsidRPr="00BD5E91">
        <w:rPr>
          <w:sz w:val="22"/>
          <w:szCs w:val="22"/>
          <w:rtl/>
        </w:rPr>
        <w:t xml:space="preserve"> ובו שית סדרי משנה</w:t>
      </w:r>
      <w:r>
        <w:rPr>
          <w:rFonts w:hint="cs"/>
          <w:sz w:val="22"/>
          <w:szCs w:val="22"/>
          <w:rtl/>
        </w:rPr>
        <w:t>.</w:t>
      </w:r>
      <w:r w:rsidRPr="00BD5E91">
        <w:rPr>
          <w:sz w:val="22"/>
          <w:szCs w:val="22"/>
          <w:rtl/>
        </w:rPr>
        <w:t xml:space="preserve"> ושם הוא כל הטורח ומעשה הפלפול עד שמגיעין אל הלכה שהיא המנוחה</w:t>
      </w:r>
      <w:r>
        <w:rPr>
          <w:rFonts w:hint="cs"/>
          <w:sz w:val="22"/>
          <w:szCs w:val="22"/>
          <w:rtl/>
        </w:rPr>
        <w:t>,</w:t>
      </w:r>
      <w:r w:rsidRPr="00BD5E91">
        <w:rPr>
          <w:sz w:val="22"/>
          <w:szCs w:val="22"/>
          <w:rtl/>
        </w:rPr>
        <w:t xml:space="preserve"> שבת</w:t>
      </w:r>
      <w:r>
        <w:rPr>
          <w:rFonts w:hint="cs"/>
          <w:sz w:val="22"/>
          <w:szCs w:val="22"/>
          <w:rtl/>
        </w:rPr>
        <w:t>,</w:t>
      </w:r>
      <w:r w:rsidRPr="00BD5E91">
        <w:rPr>
          <w:sz w:val="22"/>
          <w:szCs w:val="22"/>
          <w:rtl/>
        </w:rPr>
        <w:t xml:space="preserve"> שבו ינוחו כל יגיעי כח</w:t>
      </w:r>
      <w:r>
        <w:rPr>
          <w:rFonts w:hint="cs"/>
          <w:sz w:val="22"/>
          <w:szCs w:val="22"/>
          <w:rtl/>
        </w:rPr>
        <w:t>.</w:t>
      </w:r>
      <w:r w:rsidRPr="00BD5E91">
        <w:rPr>
          <w:sz w:val="22"/>
          <w:szCs w:val="22"/>
          <w:rtl/>
        </w:rPr>
        <w:t xml:space="preserve"> והיא התכלית ראשית המחשבה:</w:t>
      </w:r>
    </w:p>
  </w:footnote>
  <w:footnote w:id="878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Cs/>
          <w:sz w:val="22"/>
          <w:szCs w:val="22"/>
          <w:rtl/>
        </w:rPr>
        <w:t>גליף גליפין.</w:t>
      </w:r>
      <w:r w:rsidRPr="00BD5E91">
        <w:rPr>
          <w:sz w:val="22"/>
          <w:szCs w:val="22"/>
          <w:rtl/>
        </w:rPr>
        <w:t xml:space="preserve"> ט' גליפין הנ"ל שהן ט"ס דא"א גלפו ט"ס של האצילות מחכמה ולמטה וא"א מתלבש בהם:</w:t>
      </w:r>
      <w:r w:rsidRPr="00BD5E91">
        <w:rPr>
          <w:b/>
          <w:bCs/>
          <w:sz w:val="22"/>
          <w:szCs w:val="22"/>
          <w:rtl/>
        </w:rPr>
        <w:t xml:space="preserve"> </w:t>
      </w:r>
    </w:p>
  </w:footnote>
  <w:footnote w:id="879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ובטש גו בוצינא חדא.</w:t>
      </w:r>
      <w:r w:rsidRPr="00BD5E91">
        <w:rPr>
          <w:sz w:val="22"/>
          <w:szCs w:val="22"/>
          <w:rtl/>
        </w:rPr>
        <w:t xml:space="preserve"> הוא בוצינא דקרדינותא דמדיד משחתא שמקודם גליף הט"ס ואח"כ מדיד בוצינא דקרדינותא ונותן מדה לכל אחד ואחד באורכא ופותיא ועומקא ורומא ועיגולא וריבועא נגד ו"ק בכל אבר ואבר החיצינות והפנימיות ובין אבר לאבר כמ"ש בז"ח פ' ואתחנן בקו המדה ע"ש ואמר שם דף מ"ה ע"ג כד מתגלפי בגילופייהו כו' אתגליף כו' והוא גליף גליפין דכאן ונפק נציצו דכל נציצין ובטש כו' והאי איקרי בוצינא דקרדינותא האי אתקין ובטש בכל נטיען נהורין כו' ואשקי ונהיר לכלהו ואתרביאו כו' ע"ש:</w:t>
      </w:r>
    </w:p>
  </w:footnote>
  <w:footnote w:id="879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ונפיק א'.</w:t>
      </w:r>
      <w:r w:rsidRPr="00BD5E91">
        <w:rPr>
          <w:sz w:val="22"/>
          <w:szCs w:val="22"/>
          <w:rtl/>
        </w:rPr>
        <w:t xml:space="preserve"> חכמה שהוא ראשית וממנו מתחיל המנין בספי' שכתר גנוז ולא נודע אף מציאותו בשכל ועליו נאמר במופלא כנ"ל וכן בעולמות מתחיל מאצילות וכן השם הוי"ה מתחיל מיו"ד:</w:t>
      </w:r>
    </w:p>
  </w:footnote>
  <w:footnote w:id="879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הימנו.</w:t>
      </w:r>
      <w:r w:rsidRPr="00BD5E91">
        <w:rPr>
          <w:sz w:val="22"/>
          <w:szCs w:val="22"/>
          <w:rtl/>
        </w:rPr>
        <w:t xml:space="preserve"> כמ"ש על החכמה (משלי ח ל) ואהיה אצלו אמון אמונת אומן לכן נקרא כל האצילות ע"ש מהימנותא שהאצילות נקרא ע"ש חכמה כנ"ל:</w:t>
      </w:r>
    </w:p>
  </w:footnote>
  <w:footnote w:id="879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דחד הורמנותא.</w:t>
      </w:r>
      <w:r w:rsidRPr="00BD5E91">
        <w:rPr>
          <w:sz w:val="22"/>
          <w:szCs w:val="22"/>
          <w:rtl/>
        </w:rPr>
        <w:t xml:space="preserve"> ר"ל רצון כמ"ש לעיל שהוא בחכמה:</w:t>
      </w:r>
    </w:p>
  </w:footnote>
  <w:footnote w:id="879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 טמיר בטמירו.</w:t>
      </w:r>
      <w:r w:rsidRPr="00BD5E91">
        <w:rPr>
          <w:sz w:val="22"/>
          <w:szCs w:val="22"/>
          <w:rtl/>
        </w:rPr>
        <w:t xml:space="preserve"> כמ"ש (איוב כח כא) ונעלמה מעיני כל חי ומעוף השמים נסתרה (איוב כח יד) תהום אמר כו' ונקרא תעלומה כמ"ש (איוב יא ו) תעלומות חכמה ואמר טמיר בטמירו. שגם הבינה טמירו כמ"ש (איוב כח יב) והחכמה מאין תמצא ואי זה מקום בינה וכידוע שעל ג"ר נאמר הנסתרות לה' כו' וכמ"ש לעיל והחכמה טמיר בבינה כידוע וכמ"ש בזוהר אבא טמיר יתיר וזהו טמיר בטמירו בבינה:</w:t>
      </w:r>
    </w:p>
  </w:footnote>
  <w:footnote w:id="879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ידיע ולא ידיע.</w:t>
      </w:r>
      <w:r w:rsidRPr="00BD5E91">
        <w:rPr>
          <w:sz w:val="22"/>
          <w:szCs w:val="22"/>
          <w:rtl/>
        </w:rPr>
        <w:t xml:space="preserve"> ידיע מציאותיה ולא ידיע מהותיה כמש"ל שלכך נקרא יש שלזה נאמר והחכמה מאין תמצא מציאותיה לבד:</w:t>
      </w:r>
    </w:p>
  </w:footnote>
  <w:footnote w:id="879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כל סוכלתני ביה הדרא לאחורא.</w:t>
      </w:r>
      <w:r w:rsidRPr="00BD5E91">
        <w:rPr>
          <w:sz w:val="22"/>
          <w:szCs w:val="22"/>
          <w:rtl/>
        </w:rPr>
        <w:t xml:space="preserve"> כמ"ש (ישעיהו מד כה) משיב חכמים אחור שרוצים להשיג בחכמה ודעתם יסכל:</w:t>
      </w:r>
    </w:p>
  </w:footnote>
  <w:footnote w:id="879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זעיר הוא.</w:t>
      </w:r>
      <w:r w:rsidRPr="00BD5E91">
        <w:rPr>
          <w:sz w:val="22"/>
          <w:szCs w:val="22"/>
          <w:rtl/>
        </w:rPr>
        <w:t xml:space="preserve"> יוד של השם אות זעירא בכל האותיות:</w:t>
      </w:r>
    </w:p>
  </w:footnote>
  <w:footnote w:id="879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ומגו זעירותא דיליה טמיר בסתימו דמעוי ולא ידיע.</w:t>
      </w:r>
      <w:r w:rsidRPr="00BD5E91">
        <w:rPr>
          <w:sz w:val="22"/>
          <w:szCs w:val="22"/>
          <w:rtl/>
        </w:rPr>
        <w:t xml:space="preserve"> ר"ל לכך הוא טמיר בה"א של השם בינה והבינה הוא הלב כידוע (ברכות סא ע"א) לב מבין</w:t>
      </w:r>
      <w:r>
        <w:rPr>
          <w:rFonts w:hint="cs"/>
          <w:sz w:val="22"/>
          <w:szCs w:val="22"/>
          <w:rtl/>
        </w:rPr>
        <w:t>.</w:t>
      </w:r>
      <w:r w:rsidRPr="00BD5E91">
        <w:rPr>
          <w:sz w:val="22"/>
          <w:szCs w:val="22"/>
          <w:rtl/>
        </w:rPr>
        <w:t xml:space="preserve"> והחכמה טמיר בה כמ"ש (שמות לא ו) ובלב כל חכם לב נתתי חכמה</w:t>
      </w:r>
      <w:r>
        <w:rPr>
          <w:rFonts w:hint="cs"/>
          <w:sz w:val="22"/>
          <w:szCs w:val="22"/>
          <w:rtl/>
        </w:rPr>
        <w:t>,</w:t>
      </w:r>
      <w:r w:rsidRPr="00BD5E91">
        <w:rPr>
          <w:sz w:val="22"/>
          <w:szCs w:val="22"/>
          <w:rtl/>
        </w:rPr>
        <w:t xml:space="preserve"> והרבה מקראות כיוצא</w:t>
      </w:r>
      <w:r>
        <w:rPr>
          <w:rFonts w:hint="cs"/>
          <w:sz w:val="22"/>
          <w:szCs w:val="22"/>
          <w:rtl/>
        </w:rPr>
        <w:t>.</w:t>
      </w:r>
      <w:r w:rsidRPr="00BD5E91">
        <w:rPr>
          <w:sz w:val="22"/>
          <w:szCs w:val="22"/>
          <w:rtl/>
        </w:rPr>
        <w:t xml:space="preserve"> וז"ש טמיר בסתימו במעוי</w:t>
      </w:r>
      <w:r>
        <w:rPr>
          <w:rFonts w:hint="cs"/>
          <w:sz w:val="22"/>
          <w:szCs w:val="22"/>
          <w:rtl/>
        </w:rPr>
        <w:t>,</w:t>
      </w:r>
      <w:r w:rsidRPr="00BD5E91">
        <w:rPr>
          <w:sz w:val="22"/>
          <w:szCs w:val="22"/>
          <w:rtl/>
        </w:rPr>
        <w:t xml:space="preserve"> כמו </w:t>
      </w:r>
      <w:r>
        <w:rPr>
          <w:rFonts w:hint="cs"/>
          <w:sz w:val="22"/>
          <w:szCs w:val="22"/>
          <w:rtl/>
        </w:rPr>
        <w:t xml:space="preserve">(תהלים לו ב) </w:t>
      </w:r>
      <w:r w:rsidRPr="00BD5E91">
        <w:rPr>
          <w:sz w:val="22"/>
          <w:szCs w:val="22"/>
          <w:rtl/>
        </w:rPr>
        <w:t>בקרב לבי</w:t>
      </w:r>
      <w:r>
        <w:rPr>
          <w:rFonts w:hint="cs"/>
          <w:sz w:val="22"/>
          <w:szCs w:val="22"/>
          <w:rtl/>
        </w:rPr>
        <w:t>,</w:t>
      </w:r>
      <w:r w:rsidRPr="00BD5E91">
        <w:rPr>
          <w:sz w:val="22"/>
          <w:szCs w:val="22"/>
          <w:rtl/>
        </w:rPr>
        <w:t xml:space="preserve"> מעי כו' קירות לבי</w:t>
      </w:r>
      <w:r>
        <w:rPr>
          <w:rFonts w:hint="cs"/>
          <w:sz w:val="22"/>
          <w:szCs w:val="22"/>
          <w:rtl/>
        </w:rPr>
        <w:t xml:space="preserve"> (ירמיהו ד יט).</w:t>
      </w:r>
      <w:r w:rsidRPr="00BD5E91">
        <w:rPr>
          <w:sz w:val="22"/>
          <w:szCs w:val="22"/>
          <w:rtl/>
        </w:rPr>
        <w:t xml:space="preserve"> והוא נתיב לא ידעו עיט אשר טמון בבינה כידוע וז"ש ולא ידיע:</w:t>
      </w:r>
    </w:p>
  </w:footnote>
  <w:footnote w:id="879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כל הרהורין ביה משבשן.</w:t>
      </w:r>
      <w:r w:rsidRPr="00BD5E91">
        <w:rPr>
          <w:sz w:val="22"/>
          <w:szCs w:val="22"/>
          <w:rtl/>
        </w:rPr>
        <w:t xml:space="preserve"> כמ"ש בס"י ע"ס בלימה שהן מסט' דחכמה כנ"ל וכמש"ל דף ע"ג ע"א ועשר חכמות אתקריאו ע"ס מסטריה</w:t>
      </w:r>
      <w:r>
        <w:rPr>
          <w:rFonts w:hint="cs"/>
          <w:sz w:val="22"/>
          <w:szCs w:val="22"/>
          <w:rtl/>
        </w:rPr>
        <w:t>.</w:t>
      </w:r>
      <w:r w:rsidRPr="00BD5E91">
        <w:rPr>
          <w:sz w:val="22"/>
          <w:szCs w:val="22"/>
          <w:rtl/>
        </w:rPr>
        <w:t xml:space="preserve"> ואמר בלום כו' ולבך מלהרהר</w:t>
      </w:r>
      <w:r>
        <w:rPr>
          <w:rFonts w:hint="cs"/>
          <w:sz w:val="22"/>
          <w:szCs w:val="22"/>
          <w:rtl/>
        </w:rPr>
        <w:t>.</w:t>
      </w:r>
      <w:r w:rsidRPr="00BD5E91">
        <w:rPr>
          <w:sz w:val="22"/>
          <w:szCs w:val="22"/>
          <w:rtl/>
        </w:rPr>
        <w:t xml:space="preserve"> וכמ"ש (ישעיהו נה ח) כי לא מחשבותי מחשבותיכם</w:t>
      </w:r>
      <w:r>
        <w:rPr>
          <w:rFonts w:hint="cs"/>
          <w:sz w:val="22"/>
          <w:szCs w:val="22"/>
          <w:rtl/>
        </w:rPr>
        <w:t>,</w:t>
      </w:r>
      <w:r w:rsidRPr="00BD5E91">
        <w:rPr>
          <w:sz w:val="22"/>
          <w:szCs w:val="22"/>
          <w:rtl/>
        </w:rPr>
        <w:t xml:space="preserve"> כל מה שאתם מחשבין להשיג את המחשבה</w:t>
      </w:r>
      <w:r>
        <w:rPr>
          <w:rFonts w:hint="cs"/>
          <w:sz w:val="22"/>
          <w:szCs w:val="22"/>
          <w:rtl/>
        </w:rPr>
        <w:t>,</w:t>
      </w:r>
      <w:r w:rsidRPr="00BD5E91">
        <w:rPr>
          <w:sz w:val="22"/>
          <w:szCs w:val="22"/>
          <w:rtl/>
        </w:rPr>
        <w:t xml:space="preserve"> אינה כך</w:t>
      </w:r>
      <w:r>
        <w:rPr>
          <w:rFonts w:hint="cs"/>
          <w:sz w:val="22"/>
          <w:szCs w:val="22"/>
          <w:rtl/>
        </w:rPr>
        <w:t>.</w:t>
      </w:r>
      <w:r w:rsidRPr="00BD5E91">
        <w:rPr>
          <w:sz w:val="22"/>
          <w:szCs w:val="22"/>
          <w:rtl/>
        </w:rPr>
        <w:t xml:space="preserve"> וכמ"ש שלמה (קהלת ז כג) אחכמה והיא רחוקה ממני</w:t>
      </w:r>
      <w:r>
        <w:rPr>
          <w:rFonts w:hint="cs"/>
          <w:sz w:val="22"/>
          <w:szCs w:val="22"/>
          <w:rtl/>
        </w:rPr>
        <w:t>,</w:t>
      </w:r>
      <w:r w:rsidRPr="00BD5E91">
        <w:rPr>
          <w:sz w:val="22"/>
          <w:szCs w:val="22"/>
          <w:rtl/>
        </w:rPr>
        <w:t xml:space="preserve"> (משלי ל ב) כי בער אנכי כו'</w:t>
      </w:r>
      <w:r>
        <w:rPr>
          <w:rFonts w:hint="cs"/>
          <w:sz w:val="22"/>
          <w:szCs w:val="22"/>
          <w:rtl/>
        </w:rPr>
        <w:t>.</w:t>
      </w:r>
      <w:r w:rsidRPr="00BD5E91">
        <w:rPr>
          <w:sz w:val="22"/>
          <w:szCs w:val="22"/>
          <w:rtl/>
        </w:rPr>
        <w:t xml:space="preserve"> ומשה אמר (שמות לג יח) הראני נא את כבודך</w:t>
      </w:r>
      <w:r>
        <w:rPr>
          <w:rFonts w:hint="cs"/>
          <w:sz w:val="22"/>
          <w:szCs w:val="22"/>
          <w:rtl/>
        </w:rPr>
        <w:t>,</w:t>
      </w:r>
      <w:r w:rsidRPr="00BD5E91">
        <w:rPr>
          <w:sz w:val="22"/>
          <w:szCs w:val="22"/>
          <w:rtl/>
        </w:rPr>
        <w:t xml:space="preserve"> חכמה</w:t>
      </w:r>
      <w:r>
        <w:rPr>
          <w:rFonts w:hint="cs"/>
          <w:sz w:val="22"/>
          <w:szCs w:val="22"/>
          <w:rtl/>
        </w:rPr>
        <w:t>,</w:t>
      </w:r>
      <w:r w:rsidRPr="00BD5E91">
        <w:rPr>
          <w:sz w:val="22"/>
          <w:szCs w:val="22"/>
          <w:rtl/>
        </w:rPr>
        <w:t xml:space="preserve"> שנקרא כבוד כידוע גי' ל"ב נתיבות</w:t>
      </w:r>
      <w:r>
        <w:rPr>
          <w:rFonts w:hint="cs"/>
          <w:sz w:val="22"/>
          <w:szCs w:val="22"/>
          <w:rtl/>
        </w:rPr>
        <w:t>,</w:t>
      </w:r>
      <w:r w:rsidRPr="00BD5E91">
        <w:rPr>
          <w:sz w:val="22"/>
          <w:szCs w:val="22"/>
          <w:rtl/>
        </w:rPr>
        <w:t xml:space="preserve"> ואמר לו הקב"ה לא תוכל כו' וראית את אחורי</w:t>
      </w:r>
      <w:r>
        <w:rPr>
          <w:rFonts w:hint="cs"/>
          <w:sz w:val="22"/>
          <w:szCs w:val="22"/>
          <w:rtl/>
        </w:rPr>
        <w:t>,</w:t>
      </w:r>
      <w:r w:rsidRPr="00BD5E91">
        <w:rPr>
          <w:sz w:val="22"/>
          <w:szCs w:val="22"/>
          <w:rtl/>
        </w:rPr>
        <w:t xml:space="preserve"> בינה</w:t>
      </w:r>
      <w:r>
        <w:rPr>
          <w:rFonts w:hint="cs"/>
          <w:sz w:val="22"/>
          <w:szCs w:val="22"/>
          <w:rtl/>
        </w:rPr>
        <w:t>,</w:t>
      </w:r>
      <w:r w:rsidRPr="00BD5E91">
        <w:rPr>
          <w:sz w:val="22"/>
          <w:szCs w:val="22"/>
          <w:rtl/>
        </w:rPr>
        <w:t xml:space="preserve"> שניתן לו מ"ט שערי בינה</w:t>
      </w:r>
      <w:r>
        <w:rPr>
          <w:rFonts w:hint="cs"/>
          <w:sz w:val="22"/>
          <w:szCs w:val="22"/>
          <w:rtl/>
        </w:rPr>
        <w:t>.</w:t>
      </w:r>
      <w:r w:rsidRPr="00BD5E91">
        <w:rPr>
          <w:sz w:val="22"/>
          <w:szCs w:val="22"/>
          <w:rtl/>
        </w:rPr>
        <w:t xml:space="preserve"> ואף שער החמשים לא השיג ששם גנוז נתיב לא ידעו עיט כנ"ל</w:t>
      </w:r>
      <w:r>
        <w:rPr>
          <w:rFonts w:hint="cs"/>
          <w:sz w:val="22"/>
          <w:szCs w:val="22"/>
          <w:rtl/>
        </w:rPr>
        <w:t>.</w:t>
      </w:r>
      <w:r w:rsidRPr="00BD5E91">
        <w:rPr>
          <w:sz w:val="22"/>
          <w:szCs w:val="22"/>
          <w:rtl/>
        </w:rPr>
        <w:t xml:space="preserve"> ואמר (ברכות ז ע"א) בקש להודיע לו דרכיו של הקב"ה ולא נתנו לא שנא' וחנותי את אשר אחון כו'</w:t>
      </w:r>
      <w:r>
        <w:rPr>
          <w:rFonts w:hint="cs"/>
          <w:sz w:val="22"/>
          <w:szCs w:val="22"/>
          <w:rtl/>
        </w:rPr>
        <w:t>,</w:t>
      </w:r>
      <w:r w:rsidRPr="00BD5E91">
        <w:rPr>
          <w:sz w:val="22"/>
          <w:szCs w:val="22"/>
          <w:rtl/>
        </w:rPr>
        <w:t xml:space="preserve"> ר"ל דבר זה אינו ידוע לזולתי כמ"ש כך עלה במחשבה כמ"ש לקמן ור"ל דרכיו של הקב"ה הוא בשתים ושלשים נתיבות שנקראו דרכים כמ"ש (ישעיהו מג טז) הנותן בים דרך ובמים עזים נתיבה וז"ש (ישעיהו נה ח) ולא דרכיכם דרכי כנ"ל:</w:t>
      </w:r>
    </w:p>
  </w:footnote>
  <w:footnote w:id="880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תבין והדרן ולא אתדבקו.</w:t>
      </w:r>
      <w:r w:rsidRPr="00BD5E91">
        <w:rPr>
          <w:sz w:val="22"/>
          <w:szCs w:val="22"/>
          <w:rtl/>
        </w:rPr>
        <w:t xml:space="preserve"> ר"ל כמ"ש בס"י ואם רץ כו' ולבך להרהר</w:t>
      </w:r>
      <w:r>
        <w:rPr>
          <w:rFonts w:hint="cs"/>
          <w:sz w:val="22"/>
          <w:szCs w:val="22"/>
          <w:rtl/>
        </w:rPr>
        <w:t>,</w:t>
      </w:r>
      <w:r w:rsidRPr="00BD5E91">
        <w:rPr>
          <w:sz w:val="22"/>
          <w:szCs w:val="22"/>
          <w:rtl/>
        </w:rPr>
        <w:t xml:space="preserve"> שוב למקום כו'</w:t>
      </w:r>
      <w:r>
        <w:rPr>
          <w:rFonts w:hint="cs"/>
          <w:sz w:val="22"/>
          <w:szCs w:val="22"/>
          <w:rtl/>
        </w:rPr>
        <w:t>.</w:t>
      </w:r>
      <w:r w:rsidRPr="00BD5E91">
        <w:rPr>
          <w:sz w:val="22"/>
          <w:szCs w:val="22"/>
          <w:rtl/>
        </w:rPr>
        <w:t xml:space="preserve"> והחיות רצוא ושוב</w:t>
      </w:r>
      <w:r>
        <w:rPr>
          <w:rFonts w:hint="cs"/>
          <w:sz w:val="22"/>
          <w:szCs w:val="22"/>
          <w:rtl/>
        </w:rPr>
        <w:t>.</w:t>
      </w:r>
      <w:r w:rsidRPr="00BD5E91">
        <w:rPr>
          <w:sz w:val="22"/>
          <w:szCs w:val="22"/>
          <w:rtl/>
        </w:rPr>
        <w:t xml:space="preserve"> ר"ל שהן רצין להשיג את האדם שעל הכסא שהוא כבוד ה' כמ"ש ביחזקאל</w:t>
      </w:r>
      <w:r>
        <w:rPr>
          <w:rFonts w:hint="cs"/>
          <w:sz w:val="22"/>
          <w:szCs w:val="22"/>
          <w:rtl/>
        </w:rPr>
        <w:t>,</w:t>
      </w:r>
      <w:r w:rsidRPr="00BD5E91">
        <w:rPr>
          <w:sz w:val="22"/>
          <w:szCs w:val="22"/>
          <w:rtl/>
        </w:rPr>
        <w:t xml:space="preserve"> שהוא חכמה כידוע שהכסא הוא בינה</w:t>
      </w:r>
      <w:r>
        <w:rPr>
          <w:rFonts w:hint="cs"/>
          <w:sz w:val="22"/>
          <w:szCs w:val="22"/>
          <w:rtl/>
        </w:rPr>
        <w:t>.</w:t>
      </w:r>
      <w:r w:rsidRPr="00BD5E91">
        <w:rPr>
          <w:sz w:val="22"/>
          <w:szCs w:val="22"/>
          <w:rtl/>
        </w:rPr>
        <w:t xml:space="preserve"> והחיות הן ג' חיון חג"ת וחיה הרביעי מלכות כוללת נה"י כמש"ל כמה פעמים וכמ"ש במדרש הנעלם שיר השירים ע"ש שאף מהם נעלם כמ"ש ונעלמה מעיני כל חי כו' וזהו זיעת החיות כמ"ש שאינן יכולין להשיג ולידבק בו וז"ש ולא אתדבקו:</w:t>
      </w:r>
    </w:p>
  </w:footnote>
  <w:footnote w:id="880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ביה סתימן תלתין ותרין עיינין.</w:t>
      </w:r>
      <w:r w:rsidRPr="00BD5E91">
        <w:rPr>
          <w:sz w:val="22"/>
          <w:szCs w:val="22"/>
          <w:rtl/>
        </w:rPr>
        <w:t xml:space="preserve"> ר"ל שלשים ושתים נתיבות שאמר בס"י</w:t>
      </w:r>
      <w:r>
        <w:rPr>
          <w:rFonts w:hint="cs"/>
          <w:sz w:val="22"/>
          <w:szCs w:val="22"/>
          <w:rtl/>
        </w:rPr>
        <w:t>.</w:t>
      </w:r>
      <w:r w:rsidRPr="00BD5E91">
        <w:rPr>
          <w:sz w:val="22"/>
          <w:szCs w:val="22"/>
          <w:rtl/>
        </w:rPr>
        <w:t xml:space="preserve"> וכמ"ש שם כ"ב אותיות וע"ס שהן נקודות</w:t>
      </w:r>
      <w:r>
        <w:rPr>
          <w:rFonts w:hint="cs"/>
          <w:sz w:val="22"/>
          <w:szCs w:val="22"/>
          <w:rtl/>
        </w:rPr>
        <w:t>.</w:t>
      </w:r>
      <w:r w:rsidRPr="00BD5E91">
        <w:rPr>
          <w:sz w:val="22"/>
          <w:szCs w:val="22"/>
          <w:rtl/>
        </w:rPr>
        <w:t xml:space="preserve"> והאותיות נפקין מנקודות כמש"ל דף ע"ט תשע נקודין כו' אלין ט' שליטין על אתוון</w:t>
      </w:r>
      <w:r>
        <w:rPr>
          <w:rFonts w:hint="cs"/>
          <w:sz w:val="22"/>
          <w:szCs w:val="22"/>
          <w:rtl/>
        </w:rPr>
        <w:t>,</w:t>
      </w:r>
      <w:r w:rsidRPr="00BD5E91">
        <w:rPr>
          <w:sz w:val="22"/>
          <w:szCs w:val="22"/>
          <w:rtl/>
        </w:rPr>
        <w:t xml:space="preserve"> אתוון מינייהו אתפשטו כו'</w:t>
      </w:r>
      <w:r>
        <w:rPr>
          <w:rFonts w:hint="cs"/>
          <w:sz w:val="22"/>
          <w:szCs w:val="22"/>
          <w:rtl/>
        </w:rPr>
        <w:t>.</w:t>
      </w:r>
      <w:r w:rsidRPr="00BD5E91">
        <w:rPr>
          <w:sz w:val="22"/>
          <w:szCs w:val="22"/>
          <w:rtl/>
        </w:rPr>
        <w:t xml:space="preserve"> לכן כלל הל"ב נתיבות הן נקודות</w:t>
      </w:r>
      <w:r>
        <w:rPr>
          <w:rFonts w:hint="cs"/>
          <w:sz w:val="22"/>
          <w:szCs w:val="22"/>
          <w:rtl/>
        </w:rPr>
        <w:t>.</w:t>
      </w:r>
      <w:r w:rsidRPr="00BD5E91">
        <w:rPr>
          <w:sz w:val="22"/>
          <w:szCs w:val="22"/>
          <w:rtl/>
        </w:rPr>
        <w:t xml:space="preserve"> ולכן קראן עיינין</w:t>
      </w:r>
      <w:r>
        <w:rPr>
          <w:rFonts w:hint="cs"/>
          <w:sz w:val="22"/>
          <w:szCs w:val="22"/>
          <w:rtl/>
        </w:rPr>
        <w:t>,</w:t>
      </w:r>
      <w:r w:rsidRPr="00BD5E91">
        <w:rPr>
          <w:sz w:val="22"/>
          <w:szCs w:val="22"/>
          <w:rtl/>
        </w:rPr>
        <w:t xml:space="preserve"> שכל נקבין הוא מסוד הנקודה בעיגול כמ"ש בתיקונים וכמש"ל דף פ"ח ע"ד וכל נקודין אינון בגוף עיינין כו'. וארבע נקבים שבראש הן בסוד ד' אותיות השם</w:t>
      </w:r>
      <w:r>
        <w:rPr>
          <w:rFonts w:hint="cs"/>
          <w:sz w:val="22"/>
          <w:szCs w:val="22"/>
          <w:rtl/>
        </w:rPr>
        <w:t>,</w:t>
      </w:r>
      <w:r w:rsidRPr="00BD5E91">
        <w:rPr>
          <w:sz w:val="22"/>
          <w:szCs w:val="22"/>
          <w:rtl/>
        </w:rPr>
        <w:t xml:space="preserve"> ד' פרצופין</w:t>
      </w:r>
      <w:r>
        <w:rPr>
          <w:rFonts w:hint="cs"/>
          <w:sz w:val="22"/>
          <w:szCs w:val="22"/>
          <w:rtl/>
        </w:rPr>
        <w:t>,</w:t>
      </w:r>
      <w:r w:rsidRPr="00BD5E91">
        <w:rPr>
          <w:sz w:val="22"/>
          <w:szCs w:val="22"/>
          <w:rtl/>
        </w:rPr>
        <w:t xml:space="preserve"> ראיה שמיעה ריחא דבור כמש"ל ובת"ע</w:t>
      </w:r>
      <w:r>
        <w:rPr>
          <w:rFonts w:hint="cs"/>
          <w:sz w:val="22"/>
          <w:szCs w:val="22"/>
          <w:rtl/>
        </w:rPr>
        <w:t>.</w:t>
      </w:r>
      <w:r w:rsidRPr="00BD5E91">
        <w:rPr>
          <w:sz w:val="22"/>
          <w:szCs w:val="22"/>
          <w:rtl/>
        </w:rPr>
        <w:t xml:space="preserve"> וחכמה שבהן הוא הראיה בעין</w:t>
      </w:r>
      <w:r>
        <w:rPr>
          <w:rFonts w:hint="cs"/>
          <w:sz w:val="22"/>
          <w:szCs w:val="22"/>
          <w:rtl/>
        </w:rPr>
        <w:t>.</w:t>
      </w:r>
      <w:r w:rsidRPr="00BD5E91">
        <w:rPr>
          <w:sz w:val="22"/>
          <w:szCs w:val="22"/>
          <w:rtl/>
        </w:rPr>
        <w:t xml:space="preserve"> וזה שכינה קהלת את החכמה בראיה </w:t>
      </w:r>
      <w:r>
        <w:rPr>
          <w:rFonts w:hint="cs"/>
          <w:sz w:val="22"/>
          <w:szCs w:val="22"/>
          <w:rtl/>
        </w:rPr>
        <w:t xml:space="preserve">(קהלת א טז) </w:t>
      </w:r>
      <w:r w:rsidRPr="00BD5E91">
        <w:rPr>
          <w:sz w:val="22"/>
          <w:szCs w:val="22"/>
          <w:rtl/>
        </w:rPr>
        <w:t>ולבי ראה הרבה חכמה ודעת</w:t>
      </w:r>
      <w:r>
        <w:rPr>
          <w:rFonts w:hint="cs"/>
          <w:sz w:val="22"/>
          <w:szCs w:val="22"/>
          <w:rtl/>
        </w:rPr>
        <w:t>,</w:t>
      </w:r>
      <w:r w:rsidRPr="00BD5E91">
        <w:rPr>
          <w:sz w:val="22"/>
          <w:szCs w:val="22"/>
          <w:rtl/>
        </w:rPr>
        <w:t xml:space="preserve"> והרבה פסוקים שם כידוע:</w:t>
      </w:r>
    </w:p>
  </w:footnote>
  <w:footnote w:id="880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אינון עיינין לא פתיחין.</w:t>
      </w:r>
      <w:r w:rsidRPr="00BD5E91">
        <w:rPr>
          <w:sz w:val="22"/>
          <w:szCs w:val="22"/>
          <w:rtl/>
        </w:rPr>
        <w:t xml:space="preserve"> שהל"ב נתיבות מתפתחין בגוף אבל בחכמה הן סתומין כידוע:</w:t>
      </w:r>
    </w:p>
  </w:footnote>
  <w:footnote w:id="880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רשימן אינון  ברשימו זעיר.</w:t>
      </w:r>
      <w:r w:rsidRPr="00BD5E91">
        <w:rPr>
          <w:sz w:val="22"/>
          <w:szCs w:val="22"/>
          <w:rtl/>
        </w:rPr>
        <w:t xml:space="preserve"> בנקודה שהיא זעיר כנ"ל והן תשע נקודין הידועין והן שש עשרה כמ"ש בהת"ז</w:t>
      </w:r>
      <w:r>
        <w:rPr>
          <w:rFonts w:hint="cs"/>
          <w:sz w:val="22"/>
          <w:szCs w:val="22"/>
          <w:rtl/>
        </w:rPr>
        <w:t>.</w:t>
      </w:r>
      <w:r w:rsidRPr="00BD5E91">
        <w:rPr>
          <w:sz w:val="22"/>
          <w:szCs w:val="22"/>
          <w:rtl/>
        </w:rPr>
        <w:t xml:space="preserve"> ותשע הנקודות הן כפולין כמש"ל דף ס"ז ע"ב ח"י עלמין דאינו</w:t>
      </w:r>
      <w:r>
        <w:rPr>
          <w:rFonts w:hint="cs"/>
          <w:sz w:val="22"/>
          <w:szCs w:val="22"/>
          <w:rtl/>
        </w:rPr>
        <w:t>ן</w:t>
      </w:r>
      <w:r w:rsidRPr="00BD5E91">
        <w:rPr>
          <w:sz w:val="22"/>
          <w:szCs w:val="22"/>
          <w:rtl/>
        </w:rPr>
        <w:t xml:space="preserve"> תשע נקודות כפולות</w:t>
      </w:r>
      <w:r>
        <w:rPr>
          <w:rFonts w:hint="cs"/>
          <w:sz w:val="22"/>
          <w:szCs w:val="22"/>
          <w:rtl/>
        </w:rPr>
        <w:t>,</w:t>
      </w:r>
      <w:r w:rsidRPr="00BD5E91">
        <w:rPr>
          <w:sz w:val="22"/>
          <w:szCs w:val="22"/>
          <w:rtl/>
        </w:rPr>
        <w:t xml:space="preserve"> והוא ט' מלמעלה למטה וט' מלמטה [לפה"נ חסר תיבת למעלה. המעתיק] כידוע והן ל"ב</w:t>
      </w:r>
      <w:r>
        <w:rPr>
          <w:rFonts w:hint="cs"/>
          <w:sz w:val="22"/>
          <w:szCs w:val="22"/>
          <w:rtl/>
        </w:rPr>
        <w:t>,</w:t>
      </w:r>
      <w:r w:rsidRPr="00BD5E91">
        <w:rPr>
          <w:sz w:val="22"/>
          <w:szCs w:val="22"/>
          <w:rtl/>
        </w:rPr>
        <w:t xml:space="preserve"> ב"פ י"ו כנ"ל</w:t>
      </w:r>
      <w:r>
        <w:rPr>
          <w:rFonts w:hint="cs"/>
          <w:sz w:val="22"/>
          <w:szCs w:val="22"/>
          <w:rtl/>
        </w:rPr>
        <w:t>.</w:t>
      </w:r>
      <w:r w:rsidRPr="00BD5E91">
        <w:rPr>
          <w:sz w:val="22"/>
          <w:szCs w:val="22"/>
          <w:rtl/>
        </w:rPr>
        <w:t xml:space="preserve"> ולכן נחלקו אח"כ בשיניים י"ו למעלה י"ו למטה</w:t>
      </w:r>
      <w:r>
        <w:rPr>
          <w:rFonts w:hint="cs"/>
          <w:sz w:val="22"/>
          <w:szCs w:val="22"/>
          <w:rtl/>
        </w:rPr>
        <w:t>.</w:t>
      </w:r>
      <w:r w:rsidRPr="00BD5E91">
        <w:rPr>
          <w:sz w:val="22"/>
          <w:szCs w:val="22"/>
          <w:rtl/>
        </w:rPr>
        <w:t xml:space="preserve"> ושש עשרה נקודות כחושבן נקב שהוא בחכמה כנ"ל שהוא משגיח מן החלונות מציץ מן החרכים שבגוף כמ"ש בתיקונים</w:t>
      </w:r>
      <w:r>
        <w:rPr>
          <w:rFonts w:hint="cs"/>
          <w:sz w:val="22"/>
          <w:szCs w:val="22"/>
          <w:rtl/>
        </w:rPr>
        <w:t>.</w:t>
      </w:r>
      <w:r w:rsidRPr="00BD5E91">
        <w:rPr>
          <w:sz w:val="22"/>
          <w:szCs w:val="22"/>
          <w:rtl/>
        </w:rPr>
        <w:t xml:space="preserve"> והן ב"פ נקב שלכן תיקנו אשר יצר את האדם בחכמה כו' נקבים נקבים ב"פ</w:t>
      </w:r>
      <w:r>
        <w:rPr>
          <w:rFonts w:hint="cs"/>
          <w:sz w:val="22"/>
          <w:szCs w:val="22"/>
          <w:rtl/>
        </w:rPr>
        <w:t>.</w:t>
      </w:r>
      <w:r w:rsidRPr="00BD5E91">
        <w:rPr>
          <w:sz w:val="22"/>
          <w:szCs w:val="22"/>
          <w:rtl/>
        </w:rPr>
        <w:t xml:space="preserve"> וכל נקב א"א להשיג מהותה כמו החכמה:</w:t>
      </w:r>
    </w:p>
  </w:footnote>
  <w:footnote w:id="880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ביה סלקין הרהורין ועובדין.</w:t>
      </w:r>
      <w:r w:rsidRPr="00BD5E91">
        <w:rPr>
          <w:sz w:val="22"/>
          <w:szCs w:val="22"/>
          <w:rtl/>
        </w:rPr>
        <w:t xml:space="preserve"> כל הכוונות והמעשים שבים אליו</w:t>
      </w:r>
      <w:r>
        <w:rPr>
          <w:rFonts w:hint="cs"/>
          <w:sz w:val="22"/>
          <w:szCs w:val="22"/>
          <w:rtl/>
        </w:rPr>
        <w:t>,</w:t>
      </w:r>
      <w:r w:rsidRPr="00BD5E91">
        <w:rPr>
          <w:sz w:val="22"/>
          <w:szCs w:val="22"/>
          <w:rtl/>
        </w:rPr>
        <w:t xml:space="preserve"> שהכל ממנו</w:t>
      </w:r>
      <w:r>
        <w:rPr>
          <w:rFonts w:hint="cs"/>
          <w:sz w:val="22"/>
          <w:szCs w:val="22"/>
          <w:rtl/>
        </w:rPr>
        <w:t>,</w:t>
      </w:r>
      <w:r w:rsidRPr="00BD5E91">
        <w:rPr>
          <w:sz w:val="22"/>
          <w:szCs w:val="22"/>
          <w:rtl/>
        </w:rPr>
        <w:t xml:space="preserve"> כמ"ש </w:t>
      </w:r>
      <w:r>
        <w:rPr>
          <w:rFonts w:hint="cs"/>
          <w:sz w:val="22"/>
          <w:szCs w:val="22"/>
          <w:rtl/>
        </w:rPr>
        <w:t xml:space="preserve">(תהלים קד כד) </w:t>
      </w:r>
      <w:r w:rsidRPr="00BD5E91">
        <w:rPr>
          <w:sz w:val="22"/>
          <w:szCs w:val="22"/>
          <w:rtl/>
        </w:rPr>
        <w:t>מה רבו מעשיך ה' כלם בחכמה עשית</w:t>
      </w:r>
      <w:r>
        <w:rPr>
          <w:rFonts w:hint="cs"/>
          <w:sz w:val="22"/>
          <w:szCs w:val="22"/>
          <w:rtl/>
        </w:rPr>
        <w:t>,</w:t>
      </w:r>
      <w:r w:rsidRPr="00BD5E91">
        <w:rPr>
          <w:sz w:val="22"/>
          <w:szCs w:val="22"/>
          <w:rtl/>
        </w:rPr>
        <w:t xml:space="preserve"> וכמש"ל דלית עשייה בלא מחשבה. ומחשבה ידוע שהוא בו</w:t>
      </w:r>
      <w:r>
        <w:rPr>
          <w:rFonts w:hint="cs"/>
          <w:sz w:val="22"/>
          <w:szCs w:val="22"/>
          <w:rtl/>
        </w:rPr>
        <w:t>.</w:t>
      </w:r>
      <w:r w:rsidRPr="00BD5E91">
        <w:rPr>
          <w:sz w:val="22"/>
          <w:szCs w:val="22"/>
          <w:rtl/>
        </w:rPr>
        <w:t xml:space="preserve"> ואמרו כך עלה במחשבה:</w:t>
      </w:r>
    </w:p>
  </w:footnote>
  <w:footnote w:id="880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ולא גלי טעמייהו.</w:t>
      </w:r>
      <w:r w:rsidRPr="00BD5E91">
        <w:rPr>
          <w:sz w:val="22"/>
          <w:szCs w:val="22"/>
          <w:rtl/>
        </w:rPr>
        <w:t xml:space="preserve"> כנ"ל כך עלה במחשבה שר"ל שא"א לפרש לך הטעם לפי שהוא במחשבה ושם לא תוכל לראות כנ"ל משא"כ בחכמת שלמה ששם גלי טעמייהו לכן שלמה על כל דבר של סופרים אמר חמשה ואלף טעמים שתורה שבע"פ היא חכמת שלמה משא"כ דבר של תורה לא אמר אלא משל:</w:t>
      </w:r>
    </w:p>
  </w:footnote>
  <w:footnote w:id="880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כניש לון בשעתא דאזדריקו ובשעתא דאתכנשו זריק לון.</w:t>
      </w:r>
      <w:r w:rsidRPr="00BD5E91">
        <w:rPr>
          <w:sz w:val="22"/>
          <w:szCs w:val="22"/>
          <w:rtl/>
        </w:rPr>
        <w:t xml:space="preserve"> ר"ל כמ"ש (ברכות סג ע"א) בשעת המפזרים כנס ובשעת המכנסים פזר והפי' על זה המאמר כמ"ש במדרש (קהלת רבה פ"א ה) יהיב חכמתא לחכימין אדרבה לשוטים היה לו ליתן ותירצו לפי שהשוטה אינו יכול לשמור אותו ואינו נותן אלא למי שיכול לשמור משל למלוה מעות שאינו מלוה רק למי שאינו מפזר</w:t>
      </w:r>
      <w:r>
        <w:rPr>
          <w:rFonts w:hint="cs"/>
          <w:sz w:val="22"/>
          <w:szCs w:val="22"/>
          <w:rtl/>
        </w:rPr>
        <w:t>.</w:t>
      </w:r>
      <w:r w:rsidRPr="00BD5E91">
        <w:rPr>
          <w:sz w:val="22"/>
          <w:szCs w:val="22"/>
          <w:rtl/>
        </w:rPr>
        <w:t xml:space="preserve"> וזה שאמרו בשעת מפזרים ר"ל שאינם יכולים לשמור</w:t>
      </w:r>
      <w:r>
        <w:rPr>
          <w:rFonts w:hint="cs"/>
          <w:sz w:val="22"/>
          <w:szCs w:val="22"/>
          <w:rtl/>
        </w:rPr>
        <w:t>,</w:t>
      </w:r>
      <w:r w:rsidRPr="00BD5E91">
        <w:rPr>
          <w:sz w:val="22"/>
          <w:szCs w:val="22"/>
          <w:rtl/>
        </w:rPr>
        <w:t xml:space="preserve"> כנס</w:t>
      </w:r>
      <w:r>
        <w:rPr>
          <w:rFonts w:hint="cs"/>
          <w:sz w:val="22"/>
          <w:szCs w:val="22"/>
          <w:rtl/>
        </w:rPr>
        <w:t>,</w:t>
      </w:r>
      <w:r w:rsidRPr="00BD5E91">
        <w:rPr>
          <w:sz w:val="22"/>
          <w:szCs w:val="22"/>
          <w:rtl/>
        </w:rPr>
        <w:t xml:space="preserve"> ולא תגלה להם את החכמה</w:t>
      </w:r>
      <w:r>
        <w:rPr>
          <w:rFonts w:hint="cs"/>
          <w:sz w:val="22"/>
          <w:szCs w:val="22"/>
          <w:rtl/>
        </w:rPr>
        <w:t>.</w:t>
      </w:r>
      <w:r w:rsidRPr="00BD5E91">
        <w:rPr>
          <w:sz w:val="22"/>
          <w:szCs w:val="22"/>
          <w:rtl/>
        </w:rPr>
        <w:t xml:space="preserve"> ובשעת כו'</w:t>
      </w:r>
      <w:r>
        <w:rPr>
          <w:rFonts w:hint="cs"/>
          <w:sz w:val="22"/>
          <w:szCs w:val="22"/>
          <w:rtl/>
        </w:rPr>
        <w:t>.</w:t>
      </w:r>
      <w:r w:rsidRPr="00BD5E91">
        <w:rPr>
          <w:sz w:val="22"/>
          <w:szCs w:val="22"/>
          <w:rtl/>
        </w:rPr>
        <w:t xml:space="preserve"> ופירשו הגמ' בעצמה (ברכות סג ע"א) אם ראית דור שאין התורה חביבה עליו כנס ואם ראית כו':</w:t>
      </w:r>
    </w:p>
  </w:footnote>
  <w:footnote w:id="880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ביה מצטיירן ציורן.</w:t>
      </w:r>
      <w:r w:rsidRPr="00BD5E91">
        <w:rPr>
          <w:sz w:val="22"/>
          <w:szCs w:val="22"/>
          <w:rtl/>
        </w:rPr>
        <w:t xml:space="preserve"> כמ"ש (ישעיהו כו ד) כי ביה</w:t>
      </w:r>
      <w:r>
        <w:rPr>
          <w:rFonts w:hint="cs"/>
          <w:sz w:val="22"/>
          <w:szCs w:val="22"/>
          <w:rtl/>
        </w:rPr>
        <w:t>,</w:t>
      </w:r>
      <w:r w:rsidRPr="00BD5E91">
        <w:rPr>
          <w:sz w:val="22"/>
          <w:szCs w:val="22"/>
          <w:rtl/>
        </w:rPr>
        <w:t xml:space="preserve"> שהוא חכמה</w:t>
      </w:r>
      <w:r>
        <w:rPr>
          <w:rFonts w:hint="cs"/>
          <w:sz w:val="22"/>
          <w:szCs w:val="22"/>
          <w:rtl/>
        </w:rPr>
        <w:t>,</w:t>
      </w:r>
      <w:r w:rsidRPr="00BD5E91">
        <w:rPr>
          <w:sz w:val="22"/>
          <w:szCs w:val="22"/>
          <w:rtl/>
        </w:rPr>
        <w:t xml:space="preserve"> צור עולמים</w:t>
      </w:r>
      <w:r>
        <w:rPr>
          <w:rFonts w:hint="cs"/>
          <w:sz w:val="22"/>
          <w:szCs w:val="22"/>
          <w:rtl/>
        </w:rPr>
        <w:t>.</w:t>
      </w:r>
      <w:r w:rsidRPr="00BD5E91">
        <w:rPr>
          <w:sz w:val="22"/>
          <w:szCs w:val="22"/>
          <w:rtl/>
        </w:rPr>
        <w:t xml:space="preserve"> ואמר לעיל צייר תרין עלמין כו'</w:t>
      </w:r>
      <w:r>
        <w:rPr>
          <w:rFonts w:hint="cs"/>
          <w:sz w:val="22"/>
          <w:szCs w:val="22"/>
          <w:rtl/>
        </w:rPr>
        <w:t>.</w:t>
      </w:r>
      <w:r w:rsidRPr="00BD5E91">
        <w:rPr>
          <w:sz w:val="22"/>
          <w:szCs w:val="22"/>
          <w:rtl/>
        </w:rPr>
        <w:t xml:space="preserve"> וז"ש אשר יצר את האדם בחכמה שהוא אדם דיצירה שעליו נאמר וייצר ה' אלקים את האדם כמש"ל דף ס"ה ע"ב:</w:t>
      </w:r>
    </w:p>
  </w:footnote>
  <w:footnote w:id="880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סתימין ולא גליין.</w:t>
      </w:r>
      <w:r w:rsidRPr="00BD5E91">
        <w:rPr>
          <w:sz w:val="22"/>
          <w:szCs w:val="22"/>
          <w:rtl/>
        </w:rPr>
        <w:t xml:space="preserve"> ר"ל לפי שבבינה אעפ"י שהיא סתום מ"מ מתגלה היא למטה אבל חכמה אינה מתגלה אף למטה כידוע וז"ש ולא גליין:</w:t>
      </w:r>
    </w:p>
  </w:footnote>
  <w:footnote w:id="880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גלף גליפין ובטש.</w:t>
      </w:r>
      <w:r w:rsidRPr="00BD5E91">
        <w:rPr>
          <w:sz w:val="22"/>
          <w:szCs w:val="22"/>
          <w:rtl/>
        </w:rPr>
        <w:t xml:space="preserve"> כנ"ל אצל החכמה:</w:t>
      </w:r>
    </w:p>
  </w:footnote>
  <w:footnote w:id="881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ונפק ב'.</w:t>
      </w:r>
      <w:r w:rsidRPr="00BD5E91">
        <w:rPr>
          <w:sz w:val="22"/>
          <w:szCs w:val="22"/>
          <w:rtl/>
        </w:rPr>
        <w:t xml:space="preserve"> בינה וחשיב האותיות כסדר הא"ב כסדר הספירות שהן ע"ס ג' וז' כמ"ש בס"י וי"ב הן י"ב גבולי האלכסון ע"ש:</w:t>
      </w:r>
    </w:p>
  </w:footnote>
  <w:footnote w:id="881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חד דלתתא דסחרא סחור ופרחא באוירא.</w:t>
      </w:r>
      <w:r w:rsidRPr="00BD5E91">
        <w:rPr>
          <w:sz w:val="22"/>
          <w:szCs w:val="22"/>
          <w:rtl/>
        </w:rPr>
        <w:t xml:space="preserve"> הוא צדיק דחכמה דכליל בה כנ"ל כמ"ש </w:t>
      </w:r>
      <w:r>
        <w:rPr>
          <w:rFonts w:hint="cs"/>
          <w:sz w:val="22"/>
          <w:szCs w:val="22"/>
          <w:rtl/>
        </w:rPr>
        <w:t xml:space="preserve">(משלי יח י) </w:t>
      </w:r>
      <w:r w:rsidRPr="00BD5E91">
        <w:rPr>
          <w:sz w:val="22"/>
          <w:szCs w:val="22"/>
          <w:rtl/>
        </w:rPr>
        <w:t>מגדול עוז שם ה'</w:t>
      </w:r>
      <w:r>
        <w:rPr>
          <w:rFonts w:hint="cs"/>
          <w:sz w:val="22"/>
          <w:szCs w:val="22"/>
          <w:rtl/>
        </w:rPr>
        <w:t>,</w:t>
      </w:r>
      <w:r w:rsidRPr="00BD5E91">
        <w:rPr>
          <w:sz w:val="22"/>
          <w:szCs w:val="22"/>
          <w:rtl/>
        </w:rPr>
        <w:t xml:space="preserve"> בינה</w:t>
      </w:r>
      <w:r>
        <w:rPr>
          <w:rFonts w:hint="cs"/>
          <w:sz w:val="22"/>
          <w:szCs w:val="22"/>
          <w:rtl/>
        </w:rPr>
        <w:t>,</w:t>
      </w:r>
      <w:r w:rsidRPr="00BD5E91">
        <w:rPr>
          <w:sz w:val="22"/>
          <w:szCs w:val="22"/>
          <w:rtl/>
        </w:rPr>
        <w:t xml:space="preserve"> בו ירוץ צדיק כנ"ל</w:t>
      </w:r>
      <w:r>
        <w:rPr>
          <w:rFonts w:hint="cs"/>
          <w:sz w:val="22"/>
          <w:szCs w:val="22"/>
          <w:rtl/>
        </w:rPr>
        <w:t>.</w:t>
      </w:r>
      <w:r w:rsidRPr="00BD5E91">
        <w:rPr>
          <w:sz w:val="22"/>
          <w:szCs w:val="22"/>
          <w:rtl/>
        </w:rPr>
        <w:t xml:space="preserve"> וז"ש בטש במגדלא. והוא מגדל הפורח באויר וז"ש ואסתחר היכלא מגו אוירא דפרחא. והוא בינה</w:t>
      </w:r>
      <w:r>
        <w:rPr>
          <w:rFonts w:hint="cs"/>
          <w:sz w:val="22"/>
          <w:szCs w:val="22"/>
          <w:rtl/>
        </w:rPr>
        <w:t>,</w:t>
      </w:r>
      <w:r w:rsidRPr="00BD5E91">
        <w:rPr>
          <w:sz w:val="22"/>
          <w:szCs w:val="22"/>
          <w:rtl/>
        </w:rPr>
        <w:t xml:space="preserve"> </w:t>
      </w:r>
      <w:r>
        <w:rPr>
          <w:rFonts w:hint="cs"/>
          <w:sz w:val="22"/>
          <w:szCs w:val="22"/>
          <w:rtl/>
        </w:rPr>
        <w:t xml:space="preserve">(משנה חגיגה א ח) </w:t>
      </w:r>
      <w:r w:rsidRPr="00BD5E91">
        <w:rPr>
          <w:sz w:val="22"/>
          <w:szCs w:val="22"/>
          <w:rtl/>
        </w:rPr>
        <w:t>היתר נדרים פורחים באויר</w:t>
      </w:r>
      <w:r>
        <w:rPr>
          <w:rFonts w:hint="cs"/>
          <w:sz w:val="22"/>
          <w:szCs w:val="22"/>
          <w:rtl/>
        </w:rPr>
        <w:t>.</w:t>
      </w:r>
      <w:r w:rsidRPr="00BD5E91">
        <w:rPr>
          <w:sz w:val="22"/>
          <w:szCs w:val="22"/>
          <w:rtl/>
        </w:rPr>
        <w:t xml:space="preserve"> והוא ל' שראשו פורח באויר כידוע שעליו אמרו שלש מאות הלכות</w:t>
      </w:r>
      <w:r>
        <w:rPr>
          <w:rFonts w:hint="cs"/>
          <w:sz w:val="22"/>
          <w:szCs w:val="22"/>
          <w:rtl/>
        </w:rPr>
        <w:t>,</w:t>
      </w:r>
      <w:r w:rsidRPr="00BD5E91">
        <w:rPr>
          <w:sz w:val="22"/>
          <w:szCs w:val="22"/>
          <w:rtl/>
        </w:rPr>
        <w:t xml:space="preserve"> ל' פעמים עשר</w:t>
      </w:r>
      <w:r>
        <w:rPr>
          <w:rFonts w:hint="cs"/>
          <w:sz w:val="22"/>
          <w:szCs w:val="22"/>
          <w:rtl/>
        </w:rPr>
        <w:t>,</w:t>
      </w:r>
      <w:r w:rsidRPr="00BD5E91">
        <w:rPr>
          <w:sz w:val="22"/>
          <w:szCs w:val="22"/>
          <w:rtl/>
        </w:rPr>
        <w:t xml:space="preserve"> ש'</w:t>
      </w:r>
      <w:r>
        <w:rPr>
          <w:rFonts w:hint="cs"/>
          <w:sz w:val="22"/>
          <w:szCs w:val="22"/>
          <w:rtl/>
        </w:rPr>
        <w:t>,</w:t>
      </w:r>
      <w:r w:rsidRPr="00BD5E91">
        <w:rPr>
          <w:sz w:val="22"/>
          <w:szCs w:val="22"/>
          <w:rtl/>
        </w:rPr>
        <w:t xml:space="preserve"> שהוא בינה כידוע וכמש"ל דף ע"ג ע"ב ש' תשובה דאיהי אימא עילאה</w:t>
      </w:r>
      <w:r>
        <w:rPr>
          <w:rFonts w:hint="cs"/>
          <w:sz w:val="22"/>
          <w:szCs w:val="22"/>
          <w:rtl/>
        </w:rPr>
        <w:t>.</w:t>
      </w:r>
      <w:r w:rsidRPr="00BD5E91">
        <w:rPr>
          <w:sz w:val="22"/>
          <w:szCs w:val="22"/>
          <w:rtl/>
        </w:rPr>
        <w:t xml:space="preserve"> והוא יסוד של בינה שנעשה כתר של עד"א ושם ע"ג אוירא כידוע וכמ"ש לעיל וכידוע שהוא בצורת ל' והוא מגדל השן</w:t>
      </w:r>
      <w:r>
        <w:rPr>
          <w:rFonts w:hint="cs"/>
          <w:sz w:val="22"/>
          <w:szCs w:val="22"/>
          <w:rtl/>
        </w:rPr>
        <w:t>,</w:t>
      </w:r>
      <w:r w:rsidRPr="00BD5E91">
        <w:rPr>
          <w:sz w:val="22"/>
          <w:szCs w:val="22"/>
          <w:rtl/>
        </w:rPr>
        <w:t xml:space="preserve"> שם י"ק יסוד דחכמה והגרון יסוד דבינה ועיקרו והתחלתו בשיניים שע"ז נאמר צוארך כמגדל השן והלשון הוא דעת המזווג</w:t>
      </w:r>
      <w:r>
        <w:rPr>
          <w:rFonts w:hint="cs"/>
          <w:sz w:val="22"/>
          <w:szCs w:val="22"/>
          <w:rtl/>
        </w:rPr>
        <w:t>,</w:t>
      </w:r>
      <w:r w:rsidRPr="00BD5E91">
        <w:rPr>
          <w:sz w:val="22"/>
          <w:szCs w:val="22"/>
          <w:rtl/>
        </w:rPr>
        <w:t xml:space="preserve"> אות ברית</w:t>
      </w:r>
      <w:r>
        <w:rPr>
          <w:rFonts w:hint="cs"/>
          <w:sz w:val="22"/>
          <w:szCs w:val="22"/>
          <w:rtl/>
        </w:rPr>
        <w:t>,</w:t>
      </w:r>
      <w:r w:rsidRPr="00BD5E91">
        <w:rPr>
          <w:sz w:val="22"/>
          <w:szCs w:val="22"/>
          <w:rtl/>
        </w:rPr>
        <w:t xml:space="preserve"> והוא ברית עילאה בין או"א</w:t>
      </w:r>
      <w:r>
        <w:rPr>
          <w:rFonts w:hint="cs"/>
          <w:sz w:val="22"/>
          <w:szCs w:val="22"/>
          <w:rtl/>
        </w:rPr>
        <w:t>.</w:t>
      </w:r>
      <w:r w:rsidRPr="00BD5E91">
        <w:rPr>
          <w:sz w:val="22"/>
          <w:szCs w:val="22"/>
          <w:rtl/>
        </w:rPr>
        <w:t xml:space="preserve"> וצדיק דלתתא ברית הידוע בין זו"נ שע"ז נאמר בס"י במילת הלשון ובמילת מעור</w:t>
      </w:r>
      <w:r>
        <w:rPr>
          <w:rFonts w:hint="cs"/>
          <w:sz w:val="22"/>
          <w:szCs w:val="22"/>
          <w:rtl/>
        </w:rPr>
        <w:t>,</w:t>
      </w:r>
      <w:r w:rsidRPr="00BD5E91">
        <w:rPr>
          <w:sz w:val="22"/>
          <w:szCs w:val="22"/>
          <w:rtl/>
        </w:rPr>
        <w:t xml:space="preserve"> שתי בריתות</w:t>
      </w:r>
      <w:r>
        <w:rPr>
          <w:rFonts w:hint="cs"/>
          <w:sz w:val="22"/>
          <w:szCs w:val="22"/>
          <w:rtl/>
        </w:rPr>
        <w:t>.</w:t>
      </w:r>
      <w:r w:rsidRPr="00BD5E91">
        <w:rPr>
          <w:sz w:val="22"/>
          <w:szCs w:val="22"/>
          <w:rtl/>
        </w:rPr>
        <w:t xml:space="preserve"> ואמר שם וכרת לו ברית בין כו' והוא ברית הלשון כו' וכמש"ל דף ע"ט ע"א בסוד חול ואלין חיך ולשון ומגדלא דשינין</w:t>
      </w:r>
      <w:r>
        <w:rPr>
          <w:rFonts w:hint="cs"/>
          <w:sz w:val="22"/>
          <w:szCs w:val="22"/>
          <w:rtl/>
        </w:rPr>
        <w:t>.</w:t>
      </w:r>
      <w:r w:rsidRPr="00BD5E91">
        <w:rPr>
          <w:sz w:val="22"/>
          <w:szCs w:val="22"/>
          <w:rtl/>
        </w:rPr>
        <w:t xml:space="preserve"> ואמר שם ח"ל סלקין באוירא כו'</w:t>
      </w:r>
      <w:r>
        <w:rPr>
          <w:rFonts w:hint="cs"/>
          <w:sz w:val="22"/>
          <w:szCs w:val="22"/>
          <w:rtl/>
        </w:rPr>
        <w:t>.</w:t>
      </w:r>
      <w:r w:rsidRPr="00BD5E91">
        <w:rPr>
          <w:sz w:val="22"/>
          <w:szCs w:val="22"/>
          <w:rtl/>
        </w:rPr>
        <w:t xml:space="preserve"> ואמר שם ע"ג שארי ובטש אוירא דלהון כו' ומוחא אפיק אוירא ובטש בגרונא כו'</w:t>
      </w:r>
      <w:r>
        <w:rPr>
          <w:rFonts w:hint="cs"/>
          <w:sz w:val="22"/>
          <w:szCs w:val="22"/>
          <w:rtl/>
        </w:rPr>
        <w:t>.</w:t>
      </w:r>
      <w:r w:rsidRPr="00BD5E91">
        <w:rPr>
          <w:sz w:val="22"/>
          <w:szCs w:val="22"/>
          <w:rtl/>
        </w:rPr>
        <w:t xml:space="preserve"> ואמר שם קל גלגלא דנהים ואסחר בגלגולא כו' וההוא גלגלא אסחר עילא ותתא כו' והוא כזוהר הרקיע שעל ראשי החיות כמ"ש שם שסובב תמיד:</w:t>
      </w:r>
    </w:p>
  </w:footnote>
  <w:footnote w:id="881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ביה שויין ציורין כו'.</w:t>
      </w:r>
      <w:r w:rsidRPr="00BD5E91">
        <w:rPr>
          <w:sz w:val="22"/>
          <w:szCs w:val="22"/>
          <w:rtl/>
        </w:rPr>
        <w:t xml:space="preserve"> שעיקר הציור כאן</w:t>
      </w:r>
      <w:r>
        <w:rPr>
          <w:rFonts w:hint="cs"/>
          <w:sz w:val="22"/>
          <w:szCs w:val="22"/>
          <w:rtl/>
        </w:rPr>
        <w:t>,</w:t>
      </w:r>
      <w:r w:rsidRPr="00BD5E91">
        <w:rPr>
          <w:sz w:val="22"/>
          <w:szCs w:val="22"/>
          <w:rtl/>
        </w:rPr>
        <w:t xml:space="preserve"> וכאן הוא המחשבה</w:t>
      </w:r>
      <w:r>
        <w:rPr>
          <w:rFonts w:hint="cs"/>
          <w:sz w:val="22"/>
          <w:szCs w:val="22"/>
          <w:rtl/>
        </w:rPr>
        <w:t>.</w:t>
      </w:r>
      <w:r w:rsidRPr="00BD5E91">
        <w:rPr>
          <w:sz w:val="22"/>
          <w:szCs w:val="22"/>
          <w:rtl/>
        </w:rPr>
        <w:t xml:space="preserve"> שבחכמה הוא מחשבה בבהילו</w:t>
      </w:r>
      <w:r>
        <w:rPr>
          <w:rFonts w:hint="cs"/>
          <w:sz w:val="22"/>
          <w:szCs w:val="22"/>
          <w:rtl/>
        </w:rPr>
        <w:t>,</w:t>
      </w:r>
      <w:r w:rsidRPr="00BD5E91">
        <w:rPr>
          <w:sz w:val="22"/>
          <w:szCs w:val="22"/>
          <w:rtl/>
        </w:rPr>
        <w:t xml:space="preserve"> בלא עיכוב כלל</w:t>
      </w:r>
      <w:r>
        <w:rPr>
          <w:rFonts w:hint="cs"/>
          <w:sz w:val="22"/>
          <w:szCs w:val="22"/>
          <w:rtl/>
        </w:rPr>
        <w:t>,</w:t>
      </w:r>
      <w:r w:rsidRPr="00BD5E91">
        <w:rPr>
          <w:sz w:val="22"/>
          <w:szCs w:val="22"/>
          <w:rtl/>
        </w:rPr>
        <w:t xml:space="preserve"> רק הרצון</w:t>
      </w:r>
      <w:r>
        <w:rPr>
          <w:rFonts w:hint="cs"/>
          <w:sz w:val="22"/>
          <w:szCs w:val="22"/>
          <w:rtl/>
        </w:rPr>
        <w:t>.</w:t>
      </w:r>
      <w:r w:rsidRPr="00BD5E91">
        <w:rPr>
          <w:sz w:val="22"/>
          <w:szCs w:val="22"/>
          <w:rtl/>
        </w:rPr>
        <w:t xml:space="preserve"> וכאן המחשבה</w:t>
      </w:r>
      <w:r>
        <w:rPr>
          <w:rFonts w:hint="cs"/>
          <w:sz w:val="22"/>
          <w:szCs w:val="22"/>
          <w:rtl/>
        </w:rPr>
        <w:t>,</w:t>
      </w:r>
      <w:r w:rsidRPr="00BD5E91">
        <w:rPr>
          <w:sz w:val="22"/>
          <w:szCs w:val="22"/>
          <w:rtl/>
        </w:rPr>
        <w:t xml:space="preserve"> ולצייר בשכלו</w:t>
      </w:r>
      <w:r>
        <w:rPr>
          <w:rFonts w:hint="cs"/>
          <w:sz w:val="22"/>
          <w:szCs w:val="22"/>
          <w:rtl/>
        </w:rPr>
        <w:t>.</w:t>
      </w:r>
      <w:r w:rsidRPr="00BD5E91">
        <w:rPr>
          <w:sz w:val="22"/>
          <w:szCs w:val="22"/>
          <w:rtl/>
        </w:rPr>
        <w:t xml:space="preserve"> וביה הציור כמ"ש בה"ת צרי ביה צייר עלמין וייצר תמן צרי כו' שהתחלת הציור הוא בחכמה וכאן הוא עיקר כנ"ל במחשבה וכן ציור האדם אע"ג שבזרע האב מצטייר בכח כל צורת האדם כידוע מ"מ הציור בפועל הוא בבטן אימא וז"ש כי ביה כו' ב' בינה</w:t>
      </w:r>
      <w:r>
        <w:rPr>
          <w:rFonts w:hint="cs"/>
          <w:sz w:val="22"/>
          <w:szCs w:val="22"/>
          <w:rtl/>
        </w:rPr>
        <w:t>.</w:t>
      </w:r>
      <w:r w:rsidRPr="00BD5E91">
        <w:rPr>
          <w:sz w:val="22"/>
          <w:szCs w:val="22"/>
          <w:rtl/>
        </w:rPr>
        <w:t xml:space="preserve"> ואמרו (ברכות י ע"א) אין צור כאלקינו אין צייר כאלקינו כו' הוא אלקים חיים כנ"ל</w:t>
      </w:r>
      <w:r>
        <w:rPr>
          <w:rFonts w:hint="cs"/>
          <w:sz w:val="22"/>
          <w:szCs w:val="22"/>
          <w:rtl/>
        </w:rPr>
        <w:t>.</w:t>
      </w:r>
      <w:r w:rsidRPr="00BD5E91">
        <w:rPr>
          <w:sz w:val="22"/>
          <w:szCs w:val="22"/>
          <w:rtl/>
        </w:rPr>
        <w:t xml:space="preserve"> ואמר ציורין אומנין בכל מאני כסף כו'. כמ"ש </w:t>
      </w:r>
      <w:r>
        <w:rPr>
          <w:rFonts w:hint="cs"/>
          <w:sz w:val="22"/>
          <w:szCs w:val="22"/>
          <w:rtl/>
        </w:rPr>
        <w:t xml:space="preserve">(שמות לה לב) </w:t>
      </w:r>
      <w:r w:rsidRPr="00BD5E91">
        <w:rPr>
          <w:sz w:val="22"/>
          <w:szCs w:val="22"/>
          <w:rtl/>
        </w:rPr>
        <w:t>ולחשוב מחשבות לעשות בזהב ובכסף ובנחשת</w:t>
      </w:r>
      <w:r>
        <w:rPr>
          <w:rFonts w:hint="cs"/>
          <w:sz w:val="22"/>
          <w:szCs w:val="22"/>
          <w:rtl/>
        </w:rPr>
        <w:t>,</w:t>
      </w:r>
      <w:r w:rsidRPr="00BD5E91">
        <w:rPr>
          <w:sz w:val="22"/>
          <w:szCs w:val="22"/>
          <w:rtl/>
        </w:rPr>
        <w:t xml:space="preserve"> ותרגום לאלפא אומנוון כו' ומחשבה לעשות בה כנ"ל ואמר בכל מאני כסף וזהב ונחשא הן חג"ת כידוע שבה נצטיירו ותלת נה"י כלילן בתלת כידוע וכמ"ש בגמ' וחשיב כסדר מחסד:</w:t>
      </w:r>
    </w:p>
  </w:footnote>
  <w:footnote w:id="881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אזלא ואתטמרא.</w:t>
      </w:r>
      <w:r w:rsidRPr="00BD5E91">
        <w:rPr>
          <w:sz w:val="22"/>
          <w:szCs w:val="22"/>
          <w:rtl/>
        </w:rPr>
        <w:t xml:space="preserve"> שהיא מתלבשת אח"כ בז"א כידוע:</w:t>
      </w:r>
    </w:p>
  </w:footnote>
  <w:footnote w:id="8814">
    <w:p w:rsidR="00007309" w:rsidRPr="00BD5E91" w:rsidRDefault="00007309" w:rsidP="00007309">
      <w:pPr>
        <w:jc w:val="both"/>
        <w:rPr>
          <w:rFonts w:cs="Arial"/>
          <w:sz w:val="22"/>
          <w:szCs w:val="22"/>
          <w:rtl/>
        </w:rPr>
      </w:pPr>
      <w:r w:rsidRPr="00BD5E91">
        <w:rPr>
          <w:rStyle w:val="a7"/>
          <w:rFonts w:cs="Arial"/>
          <w:sz w:val="22"/>
          <w:szCs w:val="22"/>
          <w:rtl/>
        </w:rPr>
        <w:footnoteRef/>
      </w:r>
      <w:r w:rsidRPr="00BD5E91">
        <w:rPr>
          <w:rFonts w:cs="Arial"/>
          <w:sz w:val="22"/>
          <w:szCs w:val="22"/>
          <w:rtl/>
        </w:rPr>
        <w:t xml:space="preserve"> </w:t>
      </w:r>
      <w:r w:rsidRPr="00BD5E91">
        <w:rPr>
          <w:rFonts w:cs="Arial"/>
          <w:b/>
          <w:bCs/>
          <w:sz w:val="22"/>
          <w:szCs w:val="22"/>
          <w:rtl/>
        </w:rPr>
        <w:t>ולא אשתמע קליה לבר.</w:t>
      </w:r>
      <w:r w:rsidRPr="00BD5E91">
        <w:rPr>
          <w:rFonts w:cs="Arial"/>
          <w:sz w:val="22"/>
          <w:szCs w:val="22"/>
          <w:rtl/>
        </w:rPr>
        <w:t xml:space="preserve"> שהיא נקרא קול גדול והיא קול הפנימי וז"ש לגו במעוי שמיע קל דלא אתיידע וכמש"ל דף ע"ט ע"א ואלין אינון דאתכסיין בקלא פנימאה ובקלא דאשתמע ובמילולא שהן תלתא אוירין שאמר שם ע"ג ששורשן בסוד חול כנ"ל והן ה' אלקינו ה' של ק"ש שהן עלמא עילאה ותתאה ועד"א כמ"ש וקלא דלא אשתמע הוא עלמא עילאה בינה והוא הולך בפנימיות האדם בכל הגוף כמ"ש שם וז"ש. וההוא קלא נפיק מסייפי דעלמא עד סייפי דעלמא שהוא כל הגוף שכלול בו"ק עד"א שהוא מסוף העולם עד סופו. שעולם חסד יבנה</w:t>
      </w:r>
      <w:r>
        <w:rPr>
          <w:rFonts w:cs="Arial" w:hint="cs"/>
          <w:sz w:val="22"/>
          <w:szCs w:val="22"/>
          <w:rtl/>
        </w:rPr>
        <w:t>,</w:t>
      </w:r>
      <w:r w:rsidRPr="00BD5E91">
        <w:rPr>
          <w:rFonts w:cs="Arial"/>
          <w:sz w:val="22"/>
          <w:szCs w:val="22"/>
          <w:rtl/>
        </w:rPr>
        <w:t xml:space="preserve"> מקצה השמים ועד קצה השמים כידוע</w:t>
      </w:r>
      <w:r>
        <w:rPr>
          <w:rFonts w:cs="Arial" w:hint="cs"/>
          <w:sz w:val="22"/>
          <w:szCs w:val="22"/>
          <w:rtl/>
        </w:rPr>
        <w:t>.</w:t>
      </w:r>
      <w:r w:rsidRPr="00BD5E91">
        <w:rPr>
          <w:rFonts w:cs="Arial"/>
          <w:sz w:val="22"/>
          <w:szCs w:val="22"/>
          <w:rtl/>
        </w:rPr>
        <w:t xml:space="preserve"> ולזה אמרו </w:t>
      </w:r>
      <w:r>
        <w:rPr>
          <w:rFonts w:cs="Arial" w:hint="cs"/>
          <w:sz w:val="22"/>
          <w:szCs w:val="22"/>
          <w:rtl/>
        </w:rPr>
        <w:t xml:space="preserve">(יומא כ ע"ב) </w:t>
      </w:r>
      <w:r w:rsidRPr="00BD5E91">
        <w:rPr>
          <w:rFonts w:cs="Arial"/>
          <w:sz w:val="22"/>
          <w:szCs w:val="22"/>
          <w:rtl/>
        </w:rPr>
        <w:t>שלשה קולות הולכין מסוף העולם ועד סופו</w:t>
      </w:r>
      <w:r>
        <w:rPr>
          <w:rFonts w:cs="Arial" w:hint="cs"/>
          <w:sz w:val="22"/>
          <w:szCs w:val="22"/>
          <w:rtl/>
        </w:rPr>
        <w:t>,</w:t>
      </w:r>
      <w:r w:rsidRPr="00BD5E91">
        <w:rPr>
          <w:rFonts w:cs="Arial"/>
          <w:sz w:val="22"/>
          <w:szCs w:val="22"/>
          <w:rtl/>
        </w:rPr>
        <w:t xml:space="preserve"> והוא בבינה שכולל ג"ס כמש"ל דף ס"ז ע"ב כמ"ש לעיל כנ"ל רוח דלא שכיך לעלמין כו' ובגיניה נביע בחשאי כו' וז"ש כאן. סלקא ונחתא אזלא וקיימא. וכמ"ש שם דאסחר וסלקא ונחתא וכמ"ש (קהלת א ו) סובב הולך הרוח ועל סביבותיו שב הרוח</w:t>
      </w:r>
      <w:r>
        <w:rPr>
          <w:rFonts w:cs="Arial" w:hint="cs"/>
          <w:sz w:val="22"/>
          <w:szCs w:val="22"/>
          <w:rtl/>
        </w:rPr>
        <w:t>,</w:t>
      </w:r>
      <w:r w:rsidRPr="00BD5E91">
        <w:rPr>
          <w:rFonts w:cs="Arial"/>
          <w:sz w:val="22"/>
          <w:szCs w:val="22"/>
          <w:rtl/>
        </w:rPr>
        <w:t xml:space="preserve"> והיא אם דסלקא לעילא להתחבר בבעלה ונחתא רביעא על בנין כידוע:</w:t>
      </w:r>
    </w:p>
  </w:footnote>
  <w:footnote w:id="881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עינא לא שלטא למחמי בשעתא דאתכסיא אתגלי ובשעתא דאתגלי אתכסיא.</w:t>
      </w:r>
      <w:r w:rsidRPr="00BD5E91">
        <w:rPr>
          <w:sz w:val="22"/>
          <w:szCs w:val="22"/>
          <w:rtl/>
        </w:rPr>
        <w:t xml:space="preserve"> שהיא גלגל הסובב כנ"ל וגלגל א"א לראות בו כל נקודה ונקודה שבו נגלית ונכסית נכסית ונגלית כמו אופן עגלה הסובב וכמ"ש (סנהדרין לט ע"א) אייתי חבושי שדינהו בארבילא וקא מהדר להו כו' א"ל רקיעא ה"נ הדרא:</w:t>
      </w:r>
    </w:p>
  </w:footnote>
  <w:footnote w:id="881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בסתימו דעיינין חמאן ליה.</w:t>
      </w:r>
      <w:r w:rsidRPr="00BD5E91">
        <w:rPr>
          <w:sz w:val="22"/>
          <w:szCs w:val="22"/>
          <w:rtl/>
        </w:rPr>
        <w:t xml:space="preserve"> שהוא גוון דלא מתחזי אלא בסתימו דעיינין כמו זוהר שסביב לאש וכמ"ש בזוהר וארא דף כ"ג ע"ב סתים עינך ואסחר גלגלך ויתגליין אינון גוונין דנהרן דמזדהרי ולא אתייהיב רשו למיחמי אלא בעיינין סתימין בגין דאינון סתימין עילאין כו':</w:t>
      </w:r>
    </w:p>
  </w:footnote>
  <w:footnote w:id="881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באטימי דאודנין שמעין ליה.</w:t>
      </w:r>
      <w:r w:rsidRPr="00BD5E91">
        <w:rPr>
          <w:sz w:val="22"/>
          <w:szCs w:val="22"/>
          <w:rtl/>
        </w:rPr>
        <w:t xml:space="preserve"> שקול הפנימי הנ"ל אינו נשמע רק אם תסתום את האוזן ישמע קול הולך בלא הפסק והוא קול הפנימי:</w:t>
      </w:r>
    </w:p>
  </w:footnote>
  <w:footnote w:id="881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Cs/>
          <w:sz w:val="22"/>
          <w:szCs w:val="22"/>
          <w:rtl/>
        </w:rPr>
        <w:t>בפתיחו דעיינין אתכסי ליה.</w:t>
      </w:r>
      <w:r w:rsidRPr="00BD5E91">
        <w:rPr>
          <w:sz w:val="22"/>
          <w:szCs w:val="22"/>
          <w:rtl/>
        </w:rPr>
        <w:t xml:space="preserve"> כנ"ל ולא אתייהיב רשו כו' רק בסתימו דעיינין והוא מראה שרואה האדם כשסותם עיניו כמו מראה חשוך לפי שהוא סתימא עילאה שעליהן נאמר ישת חשך סתרו כידוע וכשפותח עיניו אינו רואה את המראה:</w:t>
      </w:r>
    </w:p>
  </w:footnote>
  <w:footnote w:id="881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ולא ידיע עד דאזדמן לפתוריה זכאי קשוט למיכל.</w:t>
      </w:r>
      <w:r w:rsidRPr="00BD5E91">
        <w:rPr>
          <w:sz w:val="22"/>
          <w:szCs w:val="22"/>
          <w:rtl/>
        </w:rPr>
        <w:t xml:space="preserve"> ר"ל בעה"ב שהוא דרגא דבינה אז יתגלה ומלאה הארץ דעה את ה' כמים לים מכסים ים עילאה בינה ימא דאורייתא כידוע כמ"ש לעיל ובר"מ שאז יתגלה מ"ט שערי בינה עץ החיים והוא יין המשומר בענביו מששת ימי בראשית כמ"ש בזוהר שיר השירים על פ' כי טובים דודיך מיין ע"ש שעליו נאמר עין לא ראתה אלקים זולתך אלקים בינה יעשה למחכה לו שאמרו (ברכות לד ע"ב) מאי עין לא ראתה זה יין כו' וכנ"ל עינא לא שלטא למיחמי כו' ואמרו זה עדן שלא שלטה בו עין כל בריה כו' והוא בינה ג"כ כמ"ש בזוהר ויקהל ובה הוא סעודת לויתן ועלה נאמר חכמות נשים בנתה ביתה טבחה טבחה מסכה יינה אף ערכה שולחנה וז"ש כאן. עד דאזדמין כו' ולפתוריה הוא גבורה שמסט' דבינה הוא כידוע ושם צפון כל טוב העה"ב כמ"ש מה רב טובך אשר צפנת ליראיך כו' וכמ"ש בזוהר שלח לך:</w:t>
      </w:r>
    </w:p>
  </w:footnote>
  <w:footnote w:id="882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גליף ביה גליפא דציור</w:t>
      </w:r>
      <w:r>
        <w:rPr>
          <w:rFonts w:hint="cs"/>
          <w:b/>
          <w:bCs/>
          <w:sz w:val="22"/>
          <w:szCs w:val="22"/>
          <w:rtl/>
        </w:rPr>
        <w:t>א</w:t>
      </w:r>
      <w:r w:rsidRPr="00BD5E91">
        <w:rPr>
          <w:b/>
          <w:bCs/>
          <w:sz w:val="22"/>
          <w:szCs w:val="22"/>
          <w:rtl/>
        </w:rPr>
        <w:t>.</w:t>
      </w:r>
      <w:r w:rsidRPr="00BD5E91">
        <w:rPr>
          <w:sz w:val="22"/>
          <w:szCs w:val="22"/>
          <w:rtl/>
        </w:rPr>
        <w:t xml:space="preserve"> נ"ל כי צ"ל דנהורא:</w:t>
      </w:r>
    </w:p>
  </w:footnote>
  <w:footnote w:id="882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ונפק ג'.</w:t>
      </w:r>
      <w:r w:rsidRPr="00BD5E91">
        <w:rPr>
          <w:sz w:val="22"/>
          <w:szCs w:val="22"/>
          <w:rtl/>
        </w:rPr>
        <w:t xml:space="preserve"> חסד:</w:t>
      </w:r>
    </w:p>
  </w:footnote>
  <w:footnote w:id="882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דאתכסי חושנא ואפודא מזרז בהמיינא.</w:t>
      </w:r>
      <w:r w:rsidRPr="00BD5E91">
        <w:rPr>
          <w:sz w:val="22"/>
          <w:szCs w:val="22"/>
          <w:rtl/>
        </w:rPr>
        <w:t xml:space="preserve"> בחשב האפוד והוא כה</w:t>
      </w:r>
      <w:r>
        <w:rPr>
          <w:rFonts w:hint="cs"/>
          <w:sz w:val="22"/>
          <w:szCs w:val="22"/>
          <w:rtl/>
        </w:rPr>
        <w:t>ן גדול,</w:t>
      </w:r>
      <w:r w:rsidRPr="00BD5E91">
        <w:rPr>
          <w:sz w:val="22"/>
          <w:szCs w:val="22"/>
          <w:rtl/>
        </w:rPr>
        <w:t xml:space="preserve"> דחסד הוא כהנא רבא כמ"ש בזוהר הרבה פעמים וכמ"ש (דברים לג ח) תומיך ואוריך לאיש חסידך, וחסידיך יברכוכה (תהלים קמה י), כה תברכו את בני ישראל (במדבר ו כג). ואמר מזרז בהמיינא כמ"ש (דניאל י ה) איש א' לבוש כו' ומתנים חגורים כו' והוא לבושא דמיכאל </w:t>
      </w:r>
      <w:r>
        <w:rPr>
          <w:rFonts w:hint="cs"/>
          <w:sz w:val="22"/>
          <w:szCs w:val="22"/>
          <w:rtl/>
        </w:rPr>
        <w:t>כ</w:t>
      </w:r>
      <w:r w:rsidRPr="00BD5E91">
        <w:rPr>
          <w:sz w:val="22"/>
          <w:szCs w:val="22"/>
          <w:rtl/>
        </w:rPr>
        <w:t>ידוע:</w:t>
      </w:r>
    </w:p>
  </w:footnote>
  <w:footnote w:id="882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אתגלי ביממא ואתתכסי בליליא.</w:t>
      </w:r>
      <w:r w:rsidRPr="00BD5E91">
        <w:rPr>
          <w:sz w:val="22"/>
          <w:szCs w:val="22"/>
          <w:rtl/>
        </w:rPr>
        <w:t xml:space="preserve"> שעליו נאמר ויקרא לאור יום שהוא אור כידוע שאור הוא חסד והאור נברא ביום ראשון ועליו נאמר וה' הולך לפניהם יומם בעמוד ענן שהוא חסד ע"ב הענן כידוע לא ימיש כו' וכמ"ש יומם יצוה ה' חסדו כו' וכמ"ש (חגיגה יב ע"ב) מעון כו' וחשות ביום מפני כו' שנא' כו' לפי שהוא מתגלה ביום וז"ש שנא' יומם כו':</w:t>
      </w:r>
    </w:p>
  </w:footnote>
  <w:footnote w:id="882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נפק זימנא חדא ואתחריט ואגניז.</w:t>
      </w:r>
      <w:r w:rsidRPr="00BD5E91">
        <w:rPr>
          <w:sz w:val="22"/>
          <w:szCs w:val="22"/>
          <w:rtl/>
        </w:rPr>
        <w:t xml:space="preserve"> כמ"ש (</w:t>
      </w:r>
      <w:r>
        <w:rPr>
          <w:rFonts w:hint="cs"/>
          <w:sz w:val="22"/>
          <w:szCs w:val="22"/>
          <w:rtl/>
        </w:rPr>
        <w:t>חגיגה יב ע"א</w:t>
      </w:r>
      <w:r w:rsidRPr="00BD5E91">
        <w:rPr>
          <w:sz w:val="22"/>
          <w:szCs w:val="22"/>
          <w:rtl/>
        </w:rPr>
        <w:t>) ואור ביום ראשון איברי והכתיב ויתן כו' כדר"א אור שנברא ביום ראשון אדם רואה בו מסוף העולם ועד סופו כיון שנסתכל הקב"ה בדור המבול ובדור ההפלגה וראה שמעשיהם מקולקלים עמד וגנזו מהן כו' וחכ"א הן הן מאורות שנבראו ביום ראשון ולא נתלו עד יום רביעי ולא פליג על מ"ש שגנזו אלא על מ"ש שם ולמי גנזו לצדיקים לעתיד לבא רק ברביעי חזר והוא דרגא דנצח וז"ש כאן. עד דאתי ו' אחיד ביה ואתפייס ותב לדוכתיה. והוא באלף הרביעי שנבנה בה"מ שנתגלה החסד מאד שלכן נאמר (מלכים א י כז,כא) ויתן שלמה את הכסף בירושלים כאבנים, אין כסף כו' והוא אור בה"מ ובו נתיישב העולם כמ"ש בזוהר שיר השירים ובהרבה מקומות שהעולם לא נתיישב עד בה"מ בימי שלמה שהעולם חסד יבנה בהבראם באברהם כידוע שעל בה"מ נאמר ויאמר אלקים יהי אור כו' קומי אורי כו':</w:t>
      </w:r>
    </w:p>
  </w:footnote>
  <w:footnote w:id="882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ולא בעי לאתגלאה אלא לאינון דקראן ליה בליליא ובצפרא גלי רשימו דחוטא זעיר דקיק.</w:t>
      </w:r>
      <w:r w:rsidRPr="00BD5E91">
        <w:rPr>
          <w:sz w:val="22"/>
          <w:szCs w:val="22"/>
          <w:rtl/>
        </w:rPr>
        <w:t xml:space="preserve"> כמ"ש כל העוסק בתורה בלילה הקב"ה מושך עליו חוט של חסד ביום והאריך בזה בזוהר בהרבה מקומות ואמר בר"מ פ' נשא יומם יצוה ה' חסדו דא חסד כהנא רבא ובלילה שירה עמי כו' וצריך לשורר ולנגן בחדוה בחמרא דאורייתא כו' קומי רני בלילה כו' ואמר בזוהר זכאה מאן דאתחבר יממא מגו שירתא דאורייתא כו' וז"ש כאן דאתחבר בהדייהו ביממא מגו שירתא וחדוה דמזמרין ליה בליליא:</w:t>
      </w:r>
    </w:p>
  </w:footnote>
  <w:footnote w:id="882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ועביד ט</w:t>
      </w:r>
      <w:r>
        <w:rPr>
          <w:rFonts w:hint="cs"/>
          <w:b/>
          <w:bCs/>
          <w:sz w:val="22"/>
          <w:szCs w:val="22"/>
          <w:rtl/>
        </w:rPr>
        <w:t>י</w:t>
      </w:r>
      <w:r w:rsidRPr="00BD5E91">
        <w:rPr>
          <w:b/>
          <w:bCs/>
          <w:sz w:val="22"/>
          <w:szCs w:val="22"/>
          <w:rtl/>
        </w:rPr>
        <w:t>בו לכל</w:t>
      </w:r>
      <w:r>
        <w:rPr>
          <w:rFonts w:hint="cs"/>
          <w:b/>
          <w:bCs/>
          <w:sz w:val="22"/>
          <w:szCs w:val="22"/>
          <w:rtl/>
        </w:rPr>
        <w:t>א</w:t>
      </w:r>
      <w:r w:rsidRPr="00BD5E91">
        <w:rPr>
          <w:b/>
          <w:bCs/>
          <w:sz w:val="22"/>
          <w:szCs w:val="22"/>
          <w:rtl/>
        </w:rPr>
        <w:t>.</w:t>
      </w:r>
      <w:r w:rsidRPr="00BD5E91">
        <w:rPr>
          <w:sz w:val="22"/>
          <w:szCs w:val="22"/>
          <w:rtl/>
        </w:rPr>
        <w:t xml:space="preserve"> ידוע שבחסד עושה חסד לכל אף לרשעים והוא דרגא דאברהם שעשה חסד עם הכל כידוע:</w:t>
      </w:r>
    </w:p>
  </w:footnote>
  <w:footnote w:id="882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סליק דגלא לימינא.</w:t>
      </w:r>
      <w:r w:rsidRPr="00BD5E91">
        <w:rPr>
          <w:sz w:val="22"/>
          <w:szCs w:val="22"/>
          <w:rtl/>
        </w:rPr>
        <w:t xml:space="preserve"> ידוע שחסד ימין וכן באברהם הלוך ונסוע הנגבה ובו ימין ה' רוממה כו' הושיעה ימינך וענני:</w:t>
      </w:r>
    </w:p>
  </w:footnote>
  <w:footnote w:id="882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ואתרשים וקיים עלמא.</w:t>
      </w:r>
      <w:r w:rsidRPr="00BD5E91">
        <w:rPr>
          <w:sz w:val="22"/>
          <w:szCs w:val="22"/>
          <w:rtl/>
        </w:rPr>
        <w:t xml:space="preserve"> שעליו עומד העולם כמ"ש בהבראם ביום עשות ה' אלקים ארץ ושמים ואמרו בהבראם באברהם כידוע ר"ל שבו נתקיים הכל ואמרו שהעולם היה מתמוטט עד שבא אברהם:</w:t>
      </w:r>
    </w:p>
  </w:footnote>
  <w:footnote w:id="882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עאל בגו היכלין פנימאן ונפק בגו עלמא.</w:t>
      </w:r>
      <w:r w:rsidRPr="00BD5E91">
        <w:rPr>
          <w:sz w:val="22"/>
          <w:szCs w:val="22"/>
          <w:rtl/>
        </w:rPr>
        <w:t xml:space="preserve"> שהוא הכה"ג שנכנס לפני ולפנים לק"ק שהוא בינה כידוע היכל ק"ק שלכן אין [לפה"נ חסר תיבת נכנס. המעתיק] בו אלא ביה"כ ששערי בינה פתוחים שהיא דרגא דיה"כ:</w:t>
      </w:r>
    </w:p>
  </w:footnote>
  <w:footnote w:id="883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שירותא וסופא איהו.</w:t>
      </w:r>
      <w:r w:rsidRPr="00BD5E91">
        <w:rPr>
          <w:sz w:val="22"/>
          <w:szCs w:val="22"/>
          <w:rtl/>
        </w:rPr>
        <w:t xml:space="preserve"> שהוא חסד דגניז בגו אמה שהוא סיומא דגופא וכמ"ש ולמי גנזו לצדיקים שנאמר וירא אלקים את האור כי טוב ואין טוב אלא צדיק שנאמר אמרו לצדיק [בקרא כתיב אמרו צדיק. המעתיק] כי טוב שלכן צדיק נקרא יום כמש"ל בדף הקודם ובו אור הגנוז וכן אמרו שחסד הוא יומא דכלא יומין ואזיל בכולהו:</w:t>
      </w:r>
    </w:p>
  </w:footnote>
  <w:footnote w:id="883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טמיר בשתין רבוון עלמין.</w:t>
      </w:r>
      <w:r w:rsidRPr="00BD5E91">
        <w:rPr>
          <w:sz w:val="22"/>
          <w:szCs w:val="22"/>
          <w:rtl/>
        </w:rPr>
        <w:t xml:space="preserve"> שהוא כליל כל ו"ק כנ"ל שכ"א רבוא שלכן הן ישראל ששים רבוא בסוד דור הולך בו"ק כמ"ש בתיקונים ובו מימינו אש דת למו שבו ששים רבוא אותיות כידוע שכ"א הוא עולם בפ"ע כידוע:</w:t>
      </w:r>
    </w:p>
  </w:footnote>
  <w:footnote w:id="883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בסטר דרומא שארי ונפיק.</w:t>
      </w:r>
      <w:r w:rsidRPr="00BD5E91">
        <w:rPr>
          <w:sz w:val="22"/>
          <w:szCs w:val="22"/>
          <w:rtl/>
        </w:rPr>
        <w:t xml:space="preserve"> כנ"ל ויסע הנגבה שהוא דרגא דדרום כידוע והוא כולל הכל כנ"ל דהכל אתכליל בימינא רק שהתחלתו בדרום וז"ש שארי ונפיק ונאמר (תמורה טז ע"א) כי ארץ הנגב נתתני אדם שאין בו אלא תורה כנ"ל מימינו כו':</w:t>
      </w:r>
    </w:p>
  </w:footnote>
  <w:footnote w:id="883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ואחיד מגרופיא.</w:t>
      </w:r>
      <w:r w:rsidRPr="00BD5E91">
        <w:rPr>
          <w:sz w:val="22"/>
          <w:szCs w:val="22"/>
          <w:rtl/>
        </w:rPr>
        <w:t xml:space="preserve"> ר"ל כף שבו מחלקין ומנערין המזונות לכל א':</w:t>
      </w:r>
    </w:p>
  </w:footnote>
  <w:footnote w:id="883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ואפיק מזונא לכלא.</w:t>
      </w:r>
      <w:r w:rsidRPr="00BD5E91">
        <w:rPr>
          <w:sz w:val="22"/>
          <w:szCs w:val="22"/>
          <w:rtl/>
        </w:rPr>
        <w:t xml:space="preserve"> כמ"ש נותן לחם לכל בשר כי לעולם חסדו ואמרו (פסחים קי"ח ע"א) הני ששה ועשרים כי לעולם חסדו כנגד כ"ו דורות כו' וזן אותן בחסדו ולכן זן בין לטובים בין לרעים כנ"ל:</w:t>
      </w:r>
    </w:p>
  </w:footnote>
  <w:footnote w:id="883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ונהיר לון.</w:t>
      </w:r>
      <w:r w:rsidRPr="00BD5E91">
        <w:rPr>
          <w:sz w:val="22"/>
          <w:szCs w:val="22"/>
        </w:rPr>
        <w:t xml:space="preserve"> </w:t>
      </w:r>
      <w:r w:rsidRPr="00BD5E91">
        <w:rPr>
          <w:sz w:val="22"/>
          <w:szCs w:val="22"/>
          <w:rtl/>
        </w:rPr>
        <w:t>שהוא אור כנ"ל:</w:t>
      </w:r>
    </w:p>
  </w:footnote>
  <w:footnote w:id="883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גליף גליפו דטהירו דטהירא דכיא. </w:t>
      </w:r>
      <w:r w:rsidRPr="00BD5E91">
        <w:rPr>
          <w:sz w:val="22"/>
          <w:szCs w:val="22"/>
          <w:rtl/>
        </w:rPr>
        <w:t>גבורה שהיא נקרא טהור כמ"ש וטהרת את הלוים כמ"ש בזוהר וז"ש ואפיק ד' בחושבנא. ר"ל חשבון של הספירות:</w:t>
      </w:r>
    </w:p>
  </w:footnote>
  <w:footnote w:id="883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דמאתן אלף עלמין.</w:t>
      </w:r>
      <w:r w:rsidRPr="00BD5E91">
        <w:rPr>
          <w:sz w:val="22"/>
          <w:szCs w:val="22"/>
          <w:rtl/>
        </w:rPr>
        <w:t xml:space="preserve"> שהן מאתן עלמין דכיסופין כמ"ש </w:t>
      </w:r>
      <w:r>
        <w:rPr>
          <w:rFonts w:hint="cs"/>
          <w:sz w:val="22"/>
          <w:szCs w:val="22"/>
          <w:rtl/>
        </w:rPr>
        <w:t xml:space="preserve">(שה"ש ח יב) </w:t>
      </w:r>
      <w:r w:rsidRPr="00BD5E91">
        <w:rPr>
          <w:sz w:val="22"/>
          <w:szCs w:val="22"/>
          <w:rtl/>
        </w:rPr>
        <w:t>ומאתים לנוטרים את פריו</w:t>
      </w:r>
      <w:r>
        <w:rPr>
          <w:rFonts w:hint="cs"/>
          <w:sz w:val="22"/>
          <w:szCs w:val="22"/>
          <w:rtl/>
        </w:rPr>
        <w:t>.</w:t>
      </w:r>
      <w:r w:rsidRPr="00BD5E91">
        <w:rPr>
          <w:sz w:val="22"/>
          <w:szCs w:val="22"/>
          <w:rtl/>
        </w:rPr>
        <w:t xml:space="preserve"> ואמר לעיל דארכיב לאדם על אלף דור</w:t>
      </w:r>
      <w:r>
        <w:rPr>
          <w:rFonts w:hint="cs"/>
          <w:sz w:val="22"/>
          <w:szCs w:val="22"/>
          <w:rtl/>
        </w:rPr>
        <w:t>,</w:t>
      </w:r>
      <w:r w:rsidRPr="00BD5E91">
        <w:rPr>
          <w:sz w:val="22"/>
          <w:szCs w:val="22"/>
          <w:rtl/>
        </w:rPr>
        <w:t xml:space="preserve"> אלף עלמין דכיסופין</w:t>
      </w:r>
      <w:r>
        <w:rPr>
          <w:rFonts w:hint="cs"/>
          <w:sz w:val="22"/>
          <w:szCs w:val="22"/>
          <w:rtl/>
        </w:rPr>
        <w:t>.</w:t>
      </w:r>
      <w:r w:rsidRPr="00BD5E91">
        <w:rPr>
          <w:sz w:val="22"/>
          <w:szCs w:val="22"/>
          <w:rtl/>
        </w:rPr>
        <w:t xml:space="preserve"> והן מאתן אלף</w:t>
      </w:r>
      <w:r>
        <w:rPr>
          <w:rFonts w:hint="cs"/>
          <w:sz w:val="22"/>
          <w:szCs w:val="22"/>
          <w:rtl/>
        </w:rPr>
        <w:t>.</w:t>
      </w:r>
      <w:r w:rsidRPr="00BD5E91">
        <w:rPr>
          <w:sz w:val="22"/>
          <w:szCs w:val="22"/>
          <w:rtl/>
        </w:rPr>
        <w:t xml:space="preserve"> והוא בגבורה כנ"ל שכל טוב העה"ב הוא בגבורה ולכן קודם יסורין כמ"ש (ברכות ה' ע"א) ג' מתנות כו' וכולן לא ניתנו כו' והן ג' אלקים</w:t>
      </w:r>
      <w:r>
        <w:rPr>
          <w:rFonts w:hint="cs"/>
          <w:sz w:val="22"/>
          <w:szCs w:val="22"/>
          <w:rtl/>
        </w:rPr>
        <w:t>,</w:t>
      </w:r>
      <w:r w:rsidRPr="00BD5E91">
        <w:rPr>
          <w:sz w:val="22"/>
          <w:szCs w:val="22"/>
          <w:rtl/>
        </w:rPr>
        <w:t xml:space="preserve"> בינה גבורה מלכות</w:t>
      </w:r>
      <w:r>
        <w:rPr>
          <w:rFonts w:hint="cs"/>
          <w:sz w:val="22"/>
          <w:szCs w:val="22"/>
          <w:rtl/>
        </w:rPr>
        <w:t>.</w:t>
      </w:r>
      <w:r w:rsidRPr="00BD5E91">
        <w:rPr>
          <w:sz w:val="22"/>
          <w:szCs w:val="22"/>
          <w:rtl/>
        </w:rPr>
        <w:t xml:space="preserve"> מלכות</w:t>
      </w:r>
      <w:r>
        <w:rPr>
          <w:rFonts w:hint="cs"/>
          <w:sz w:val="22"/>
          <w:szCs w:val="22"/>
          <w:rtl/>
        </w:rPr>
        <w:t>,</w:t>
      </w:r>
      <w:r w:rsidRPr="00BD5E91">
        <w:rPr>
          <w:sz w:val="22"/>
          <w:szCs w:val="22"/>
          <w:rtl/>
        </w:rPr>
        <w:t xml:space="preserve"> א"י</w:t>
      </w:r>
      <w:r>
        <w:rPr>
          <w:rFonts w:hint="cs"/>
          <w:sz w:val="22"/>
          <w:szCs w:val="22"/>
          <w:rtl/>
        </w:rPr>
        <w:t>;</w:t>
      </w:r>
      <w:r w:rsidRPr="00BD5E91">
        <w:rPr>
          <w:sz w:val="22"/>
          <w:szCs w:val="22"/>
          <w:rtl/>
        </w:rPr>
        <w:t xml:space="preserve"> גבורה</w:t>
      </w:r>
      <w:r>
        <w:rPr>
          <w:rFonts w:hint="cs"/>
          <w:sz w:val="22"/>
          <w:szCs w:val="22"/>
          <w:rtl/>
        </w:rPr>
        <w:t>,</w:t>
      </w:r>
      <w:r w:rsidRPr="00BD5E91">
        <w:rPr>
          <w:sz w:val="22"/>
          <w:szCs w:val="22"/>
          <w:rtl/>
        </w:rPr>
        <w:t xml:space="preserve"> עוה"ב</w:t>
      </w:r>
      <w:r>
        <w:rPr>
          <w:rFonts w:hint="cs"/>
          <w:sz w:val="22"/>
          <w:szCs w:val="22"/>
          <w:rtl/>
        </w:rPr>
        <w:t>;</w:t>
      </w:r>
      <w:r w:rsidRPr="00BD5E91">
        <w:rPr>
          <w:sz w:val="22"/>
          <w:szCs w:val="22"/>
          <w:rtl/>
        </w:rPr>
        <w:t xml:space="preserve"> בינה</w:t>
      </w:r>
      <w:r>
        <w:rPr>
          <w:rFonts w:hint="cs"/>
          <w:sz w:val="22"/>
          <w:szCs w:val="22"/>
          <w:rtl/>
        </w:rPr>
        <w:t>,</w:t>
      </w:r>
      <w:r w:rsidRPr="00BD5E91">
        <w:rPr>
          <w:sz w:val="22"/>
          <w:szCs w:val="22"/>
          <w:rtl/>
        </w:rPr>
        <w:t xml:space="preserve"> ימא דאורייתא שהיא חירות כידוע:</w:t>
      </w:r>
    </w:p>
  </w:footnote>
  <w:footnote w:id="883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ערטירא דנהורא דנהיר.</w:t>
      </w:r>
      <w:r w:rsidRPr="00BD5E91">
        <w:rPr>
          <w:sz w:val="22"/>
          <w:szCs w:val="22"/>
          <w:rtl/>
        </w:rPr>
        <w:t xml:space="preserve"> ר"ל שם האור בחדוה שהוא תרגום ערטירא כנ"ל חדוה</w:t>
      </w:r>
      <w:r>
        <w:rPr>
          <w:rFonts w:hint="cs"/>
          <w:sz w:val="22"/>
          <w:szCs w:val="22"/>
          <w:rtl/>
        </w:rPr>
        <w:t>,</w:t>
      </w:r>
      <w:r w:rsidRPr="00BD5E91">
        <w:rPr>
          <w:sz w:val="22"/>
          <w:szCs w:val="22"/>
          <w:rtl/>
        </w:rPr>
        <w:t xml:space="preserve"> וחמרא דאורייתא חדוה דליואי כידוע:</w:t>
      </w:r>
    </w:p>
  </w:footnote>
  <w:footnote w:id="883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מיניה נפקן עמיקן לגלאה נהרא דנהיר ואתטמר ואתחשך.</w:t>
      </w:r>
      <w:r w:rsidRPr="00BD5E91">
        <w:rPr>
          <w:sz w:val="22"/>
          <w:szCs w:val="22"/>
          <w:rtl/>
        </w:rPr>
        <w:t xml:space="preserve"> שבו נגנז החסד שהוא נקרא חשך כידוע וממנו התורה שבע"פ גילוי תורה שבכתב וז"ש מיניה נפקן כו' כמ"ש (איוב יב כב) מגלה עמוקות מני חשך, (דניאל ב כב) הוא גלי עמיקתא ומסתרתא ידע כו', ובו נקודת פתח שבחסד גנוז שלכן נקרא קמץ והוא פותח את ידך כו' כמש"ל דף ע"ט ע"א וכמ"ש אומר לצפון תני כו':</w:t>
      </w:r>
    </w:p>
  </w:footnote>
  <w:footnote w:id="884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ואיהו דחי ואחרא מקרב.</w:t>
      </w:r>
      <w:r w:rsidRPr="00BD5E91">
        <w:rPr>
          <w:sz w:val="22"/>
          <w:szCs w:val="22"/>
          <w:rtl/>
        </w:rPr>
        <w:t xml:space="preserve"> כמ"ש (סוטה מז ע"א) לעולם תהא שמאל דוחה וימין מקרב ולכן אמרו שגבורה בשמאל שהוא יד כהה שדין הקב"ה אינו בכח משא"כ חסדו וז"ש ואחרא מקרב:</w:t>
      </w:r>
    </w:p>
  </w:footnote>
  <w:footnote w:id="884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איהו מחי ואחרא מסי.</w:t>
      </w:r>
      <w:r w:rsidRPr="00BD5E91">
        <w:rPr>
          <w:sz w:val="22"/>
          <w:szCs w:val="22"/>
          <w:rtl/>
        </w:rPr>
        <w:t xml:space="preserve"> חסד כנ"ל כמ"ש כשהקב"ה מכה</w:t>
      </w:r>
      <w:r>
        <w:rPr>
          <w:rFonts w:hint="cs"/>
          <w:sz w:val="22"/>
          <w:szCs w:val="22"/>
          <w:rtl/>
        </w:rPr>
        <w:t>,</w:t>
      </w:r>
      <w:r w:rsidRPr="00BD5E91">
        <w:rPr>
          <w:sz w:val="22"/>
          <w:szCs w:val="22"/>
          <w:rtl/>
        </w:rPr>
        <w:t xml:space="preserve"> מכה בידו אחת ובאחרת רופא כמ"ש </w:t>
      </w:r>
      <w:r>
        <w:rPr>
          <w:rFonts w:hint="cs"/>
          <w:sz w:val="22"/>
          <w:szCs w:val="22"/>
          <w:rtl/>
        </w:rPr>
        <w:t xml:space="preserve">(דברים לב טל) </w:t>
      </w:r>
      <w:r w:rsidRPr="00BD5E91">
        <w:rPr>
          <w:sz w:val="22"/>
          <w:szCs w:val="22"/>
          <w:rtl/>
        </w:rPr>
        <w:t>מחצתי ואני ארפא:</w:t>
      </w:r>
    </w:p>
  </w:footnote>
  <w:footnote w:id="884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בידיה שרביט דחיי ומותא.</w:t>
      </w:r>
      <w:r w:rsidRPr="00BD5E91">
        <w:rPr>
          <w:sz w:val="22"/>
          <w:szCs w:val="22"/>
          <w:rtl/>
        </w:rPr>
        <w:t xml:space="preserve"> כמ"ש </w:t>
      </w:r>
      <w:r>
        <w:rPr>
          <w:rFonts w:hint="cs"/>
          <w:sz w:val="22"/>
          <w:szCs w:val="22"/>
          <w:rtl/>
        </w:rPr>
        <w:t xml:space="preserve">(אסתר ד יא) </w:t>
      </w:r>
      <w:r w:rsidRPr="00BD5E91">
        <w:rPr>
          <w:sz w:val="22"/>
          <w:szCs w:val="22"/>
          <w:rtl/>
        </w:rPr>
        <w:t>לבד מאשר יושיט לו שרביט הזהב וחיה</w:t>
      </w:r>
      <w:r>
        <w:rPr>
          <w:rFonts w:hint="cs"/>
          <w:sz w:val="22"/>
          <w:szCs w:val="22"/>
          <w:rtl/>
        </w:rPr>
        <w:t>.</w:t>
      </w:r>
      <w:r w:rsidRPr="00BD5E91">
        <w:rPr>
          <w:sz w:val="22"/>
          <w:szCs w:val="22"/>
          <w:rtl/>
        </w:rPr>
        <w:t xml:space="preserve"> וזהב בגבורה וכן שרביט כמש"ל ע"ש:</w:t>
      </w:r>
    </w:p>
  </w:footnote>
  <w:footnote w:id="884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טמיר בארבע מאה אוונין מגיחי קרבא.</w:t>
      </w:r>
      <w:r w:rsidRPr="00BD5E91">
        <w:rPr>
          <w:sz w:val="22"/>
          <w:szCs w:val="22"/>
          <w:rtl/>
        </w:rPr>
        <w:t xml:space="preserve"> כמ"ש (קדושין עו ע"ב) ארבע מאה ילדים היו לו לדוד כו' והן בעלי אגרופין כו' בסוד ארבע מאות שקל כסף כידוע וכן בס"א וארבע מאות</w:t>
      </w:r>
      <w:r>
        <w:rPr>
          <w:rFonts w:hint="cs"/>
          <w:sz w:val="22"/>
          <w:szCs w:val="22"/>
          <w:rtl/>
        </w:rPr>
        <w:t>,</w:t>
      </w:r>
      <w:r w:rsidRPr="00BD5E91">
        <w:rPr>
          <w:sz w:val="22"/>
          <w:szCs w:val="22"/>
          <w:rtl/>
        </w:rPr>
        <w:t xml:space="preserve"> כי אם ארבע מאות איש כו'</w:t>
      </w:r>
      <w:r>
        <w:rPr>
          <w:rFonts w:hint="cs"/>
          <w:sz w:val="22"/>
          <w:szCs w:val="22"/>
          <w:rtl/>
        </w:rPr>
        <w:t xml:space="preserve"> (שמואל א ל יז)</w:t>
      </w:r>
      <w:r w:rsidRPr="00BD5E91">
        <w:rPr>
          <w:sz w:val="22"/>
          <w:szCs w:val="22"/>
          <w:rtl/>
        </w:rPr>
        <w:t>:</w:t>
      </w:r>
    </w:p>
  </w:footnote>
  <w:footnote w:id="8844">
    <w:p w:rsidR="00007309" w:rsidRPr="00BD5E91" w:rsidRDefault="00007309" w:rsidP="00007309">
      <w:pPr>
        <w:jc w:val="both"/>
        <w:rPr>
          <w:rFonts w:cs="Arial"/>
          <w:sz w:val="22"/>
          <w:szCs w:val="22"/>
          <w:rtl/>
        </w:rPr>
      </w:pPr>
      <w:r w:rsidRPr="00BD5E91">
        <w:rPr>
          <w:rStyle w:val="a7"/>
          <w:rFonts w:cs="Arial"/>
          <w:sz w:val="22"/>
          <w:szCs w:val="22"/>
          <w:rtl/>
        </w:rPr>
        <w:footnoteRef/>
      </w:r>
      <w:r w:rsidRPr="00BD5E91">
        <w:rPr>
          <w:rFonts w:cs="Arial"/>
          <w:sz w:val="22"/>
          <w:szCs w:val="22"/>
          <w:rtl/>
        </w:rPr>
        <w:t xml:space="preserve"> </w:t>
      </w:r>
      <w:r w:rsidRPr="00BD5E91">
        <w:rPr>
          <w:rFonts w:cs="Arial"/>
          <w:b/>
          <w:bCs/>
          <w:sz w:val="22"/>
          <w:szCs w:val="22"/>
          <w:rtl/>
        </w:rPr>
        <w:t>מארי דרומחא וחרבא דמלהטא דמתמן</w:t>
      </w:r>
      <w:r w:rsidRPr="00BD5E91">
        <w:rPr>
          <w:rFonts w:cs="Arial"/>
          <w:sz w:val="22"/>
          <w:szCs w:val="22"/>
          <w:rtl/>
        </w:rPr>
        <w:t xml:space="preserve"> [בתז"ח איתא נפקין ומתפשטין. המעתיק] </w:t>
      </w:r>
      <w:r w:rsidRPr="00BD5E91">
        <w:rPr>
          <w:rFonts w:cs="Arial"/>
          <w:b/>
          <w:bCs/>
          <w:sz w:val="22"/>
          <w:szCs w:val="22"/>
          <w:rtl/>
        </w:rPr>
        <w:t>ומתפשטין בלא חושבנא.</w:t>
      </w:r>
      <w:r w:rsidRPr="00BD5E91">
        <w:rPr>
          <w:rFonts w:cs="Arial"/>
          <w:sz w:val="22"/>
          <w:szCs w:val="22"/>
          <w:rtl/>
        </w:rPr>
        <w:t xml:space="preserve"> כמ"ש בזוהר ע"ש:</w:t>
      </w:r>
    </w:p>
  </w:footnote>
  <w:footnote w:id="884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כד אגליף גליפו בהיתוכא דנורא דדליק.</w:t>
      </w:r>
      <w:r w:rsidRPr="00BD5E91">
        <w:rPr>
          <w:sz w:val="22"/>
          <w:szCs w:val="22"/>
          <w:rtl/>
        </w:rPr>
        <w:t xml:space="preserve"> שהוא אש דולק כידוע:</w:t>
      </w:r>
    </w:p>
  </w:footnote>
  <w:footnote w:id="884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נפיק מיניה חד סומקא כוורדא שערוי תליין.</w:t>
      </w:r>
      <w:r w:rsidRPr="00BD5E91">
        <w:rPr>
          <w:sz w:val="22"/>
          <w:szCs w:val="22"/>
          <w:rtl/>
        </w:rPr>
        <w:t xml:space="preserve"> כמ"ש (בראשית כה כה) הראשון אדמוני כלו כאדרת שער:</w:t>
      </w:r>
    </w:p>
  </w:footnote>
  <w:footnote w:id="884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כדובי.</w:t>
      </w:r>
      <w:r w:rsidRPr="00BD5E91">
        <w:rPr>
          <w:sz w:val="22"/>
          <w:szCs w:val="22"/>
          <w:rtl/>
        </w:rPr>
        <w:t xml:space="preserve"> כמ"ש (מגילה יא ע"א) מגודלין שער כדוב:</w:t>
      </w:r>
    </w:p>
  </w:footnote>
  <w:footnote w:id="884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בטורי חשוך.</w:t>
      </w:r>
      <w:r w:rsidRPr="00BD5E91">
        <w:rPr>
          <w:sz w:val="22"/>
          <w:szCs w:val="22"/>
          <w:rtl/>
        </w:rPr>
        <w:t xml:space="preserve"> ששם מקומו:</w:t>
      </w:r>
    </w:p>
  </w:footnote>
  <w:footnote w:id="884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דחילן אימתנו תקיפא יתירא הוספת ביה.</w:t>
      </w:r>
      <w:r w:rsidRPr="00BD5E91">
        <w:rPr>
          <w:sz w:val="22"/>
          <w:szCs w:val="22"/>
          <w:rtl/>
        </w:rPr>
        <w:t xml:space="preserve"> שהיראה בגבורה כידוע:</w:t>
      </w:r>
    </w:p>
  </w:footnote>
  <w:footnote w:id="885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ידוי דבקין בשלהובא דחרבא מהפכא.</w:t>
      </w:r>
      <w:r w:rsidRPr="00BD5E91">
        <w:rPr>
          <w:sz w:val="22"/>
          <w:szCs w:val="22"/>
          <w:rtl/>
        </w:rPr>
        <w:t xml:space="preserve"> כמ"ש ובידם להט החרב המתהפכת:</w:t>
      </w:r>
    </w:p>
  </w:footnote>
  <w:footnote w:id="885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יומא דאתער כולא עברין קמיה כבני מרונא.</w:t>
      </w:r>
      <w:r w:rsidRPr="00BD5E91">
        <w:rPr>
          <w:sz w:val="22"/>
          <w:szCs w:val="22"/>
          <w:rtl/>
        </w:rPr>
        <w:t xml:space="preserve"> בראש השנה כידוע:</w:t>
      </w:r>
    </w:p>
  </w:footnote>
  <w:footnote w:id="885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זכאה מאן דקריב בהדיה ואשתזיב מיניה.</w:t>
      </w:r>
      <w:r w:rsidRPr="00BD5E91">
        <w:rPr>
          <w:sz w:val="22"/>
          <w:szCs w:val="22"/>
          <w:rtl/>
        </w:rPr>
        <w:t xml:space="preserve"> ביראת ה' כידוע:</w:t>
      </w:r>
    </w:p>
  </w:footnote>
  <w:footnote w:id="885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גליף גליפו דטורי נהירו ואפיק ה'.</w:t>
      </w:r>
      <w:r w:rsidRPr="00BD5E91">
        <w:rPr>
          <w:sz w:val="22"/>
          <w:szCs w:val="22"/>
          <w:rtl/>
        </w:rPr>
        <w:t xml:space="preserve"> ת"ת. והוא נקרא הר כמ"ש (שמות כד יב) עלה אלי ההרה והיה שם ר"ל לדרגיה כמ"ש (דברים ה כח) ואתה פה עמוד עמדי, הרי נחשת (זכריה ו א):</w:t>
      </w:r>
    </w:p>
  </w:footnote>
  <w:footnote w:id="885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דקיימא גו עמודין דעלמא.</w:t>
      </w:r>
      <w:r w:rsidRPr="00BD5E91">
        <w:rPr>
          <w:sz w:val="22"/>
          <w:szCs w:val="22"/>
          <w:rtl/>
        </w:rPr>
        <w:t xml:space="preserve"> נו"ה שהן עמודי הבית יכין ובועז והם עמודים באדם שהגוף עומד עליהם ובאמצע וז"ש גו עמודין דעלמא:</w:t>
      </w:r>
    </w:p>
  </w:footnote>
  <w:footnote w:id="885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כלא קיימין קמיה ויתיב בינייהו כמלכא גו חיליה.</w:t>
      </w:r>
      <w:r w:rsidRPr="00BD5E91">
        <w:rPr>
          <w:sz w:val="22"/>
          <w:szCs w:val="22"/>
          <w:rtl/>
        </w:rPr>
        <w:t xml:space="preserve"> שהוא מלך על הכל וכל ההנהגה בו והכל משמשין אליו והוא נקרא בשם הוי"ה שכולל כל ע"ס ויעקב בדרגיה שנאמר עליו</w:t>
      </w:r>
      <w:r>
        <w:rPr>
          <w:rFonts w:hint="cs"/>
          <w:sz w:val="22"/>
          <w:szCs w:val="22"/>
          <w:rtl/>
        </w:rPr>
        <w:t xml:space="preserve"> (בראשית כח יד)</w:t>
      </w:r>
      <w:r w:rsidRPr="00BD5E91">
        <w:rPr>
          <w:sz w:val="22"/>
          <w:szCs w:val="22"/>
          <w:rtl/>
        </w:rPr>
        <w:t xml:space="preserve"> ופרצת ימה וקדמה וצפונה ונגבה ואמרו </w:t>
      </w:r>
      <w:r>
        <w:rPr>
          <w:rFonts w:hint="cs"/>
          <w:sz w:val="22"/>
          <w:szCs w:val="22"/>
          <w:rtl/>
        </w:rPr>
        <w:t xml:space="preserve">(שבת קיח ע"א וע"ב) </w:t>
      </w:r>
      <w:r w:rsidRPr="00BD5E91">
        <w:rPr>
          <w:sz w:val="22"/>
          <w:szCs w:val="22"/>
          <w:rtl/>
        </w:rPr>
        <w:t xml:space="preserve">נחלה בלא מצרים שהוא מבריח מן הקצה שהוא כולל כל קו האמצעי מן הכתר והוא יחוד בין או"א ובין חו"ג כמש"ל דף ס"ח ע"ב עד"א קורבא ויחודא ועיקרא לאו"א וגוף וברית חד חשבינן והוא בין נו"ה וידוע שקו האמצעי כולל ב' הקצוות כמש"ל כמה פעמים וכמש"ל דף פ"ג ע"ג דאיהו ו' ו' בשית פרקין דדרועין ושית פרקין דשוקין נמצא שנכלל מכל הספירות: </w:t>
      </w:r>
    </w:p>
  </w:footnote>
  <w:footnote w:id="885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תרין רב</w:t>
      </w:r>
      <w:bookmarkStart w:id="366" w:name="אבא"/>
      <w:bookmarkEnd w:id="366"/>
      <w:r w:rsidRPr="00BD5E91">
        <w:rPr>
          <w:b/>
          <w:bCs/>
          <w:sz w:val="22"/>
          <w:szCs w:val="22"/>
          <w:rtl/>
        </w:rPr>
        <w:t>רבין ממנן קיימין לקבליה.</w:t>
      </w:r>
      <w:r w:rsidRPr="00BD5E91">
        <w:rPr>
          <w:sz w:val="22"/>
          <w:szCs w:val="22"/>
          <w:rtl/>
        </w:rPr>
        <w:t xml:space="preserve"> חו"ג ואמר רברבין נגד העמודין כמש"ל אנפי רברבי חו"ג אנפי זוטרי נו"ה ע"ש והן שרים כמ"ש (במדבר כא יח) באר חפרוה שרים שהן אברהם ויצחק שחפרו הבארות והן ידים שחופרין הבאר וידוע סודם וז"ש רברבן ממנן והן נגדו והוא באמצען וז"ש קיימין לקבליה:</w:t>
      </w:r>
    </w:p>
  </w:footnote>
  <w:footnote w:id="885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עביד שלמא בינייהו.</w:t>
      </w:r>
      <w:r w:rsidRPr="00BD5E91">
        <w:rPr>
          <w:sz w:val="22"/>
          <w:szCs w:val="22"/>
          <w:rtl/>
        </w:rPr>
        <w:t xml:space="preserve"> ידוע שהוא מכריע בין חסד לדין כמה פעמים בזוהר ובתי' אין מספר וכמ"ש (איוב כה ב) עושה שלום במרומיו בין אש גבורה למים חסד והוא אויר בינתים כמ"ש בזוהר וארא דף כ"ד ע"א ת"ח אש מסט' דא מים כו' ע"ש כל הענין:</w:t>
      </w:r>
    </w:p>
  </w:footnote>
  <w:footnote w:id="885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בשעתא דאתגלי כלא קיימין בקיומייהו.</w:t>
      </w:r>
      <w:r w:rsidRPr="00BD5E91">
        <w:rPr>
          <w:sz w:val="22"/>
          <w:szCs w:val="22"/>
          <w:rtl/>
        </w:rPr>
        <w:t xml:space="preserve"> ר"ל אתגלי כמש"ל דבשעה שרוצה להנהיג את העולם בספירה ידועה כל הספירות נכללין בספירה הזאת וספי' ת"ת הוא כלל כל הספירות לפיכך בהנהגתו כולן על קיומייהו:</w:t>
      </w:r>
    </w:p>
  </w:footnote>
  <w:footnote w:id="885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סגיר ופתח.</w:t>
      </w:r>
      <w:r w:rsidRPr="00BD5E91">
        <w:rPr>
          <w:sz w:val="22"/>
          <w:szCs w:val="22"/>
          <w:rtl/>
        </w:rPr>
        <w:t xml:space="preserve"> כמ"ש בת</w:t>
      </w:r>
      <w:r>
        <w:rPr>
          <w:rFonts w:hint="cs"/>
          <w:sz w:val="22"/>
          <w:szCs w:val="22"/>
          <w:rtl/>
        </w:rPr>
        <w:t xml:space="preserve">יקון </w:t>
      </w:r>
      <w:r w:rsidRPr="00BD5E91">
        <w:rPr>
          <w:sz w:val="22"/>
          <w:szCs w:val="22"/>
          <w:rtl/>
        </w:rPr>
        <w:t>נ"ט דאיהו מפתח</w:t>
      </w:r>
      <w:r>
        <w:rPr>
          <w:rFonts w:hint="cs"/>
          <w:sz w:val="22"/>
          <w:szCs w:val="22"/>
          <w:rtl/>
        </w:rPr>
        <w:t>א</w:t>
      </w:r>
      <w:r w:rsidRPr="00BD5E91">
        <w:rPr>
          <w:sz w:val="22"/>
          <w:szCs w:val="22"/>
          <w:rtl/>
        </w:rPr>
        <w:t xml:space="preserve"> כו' כד אתפתחת כו':</w:t>
      </w:r>
    </w:p>
  </w:footnote>
  <w:footnote w:id="886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ובגיניה כו'.</w:t>
      </w:r>
      <w:r w:rsidRPr="00BD5E91">
        <w:rPr>
          <w:sz w:val="22"/>
          <w:szCs w:val="22"/>
          <w:rtl/>
        </w:rPr>
        <w:t xml:space="preserve"> שהוא כולל ו"ק כידוע ו' של השם:</w:t>
      </w:r>
    </w:p>
  </w:footnote>
  <w:footnote w:id="886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וכל מפתחין כו'.</w:t>
      </w:r>
      <w:r w:rsidRPr="00BD5E91">
        <w:rPr>
          <w:sz w:val="22"/>
          <w:szCs w:val="22"/>
          <w:rtl/>
        </w:rPr>
        <w:t xml:space="preserve"> כמ"ש (דניאל ד לב) וכמצבייה עביד בחיל שמיא כו':</w:t>
      </w:r>
    </w:p>
  </w:footnote>
  <w:footnote w:id="886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סתימן כו'.</w:t>
      </w:r>
      <w:r w:rsidRPr="00BD5E91">
        <w:rPr>
          <w:sz w:val="22"/>
          <w:szCs w:val="22"/>
          <w:rtl/>
        </w:rPr>
        <w:t xml:space="preserve"> ר"ל או"א קיימין עליו: </w:t>
      </w:r>
    </w:p>
  </w:footnote>
  <w:footnote w:id="886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רמין טמירין.</w:t>
      </w:r>
      <w:r w:rsidRPr="00BD5E91">
        <w:rPr>
          <w:sz w:val="22"/>
          <w:szCs w:val="22"/>
          <w:rtl/>
        </w:rPr>
        <w:t xml:space="preserve"> כתר בשתי הבחינות שבו:</w:t>
      </w:r>
    </w:p>
  </w:footnote>
  <w:footnote w:id="886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וחדאן ביה.</w:t>
      </w:r>
      <w:r w:rsidRPr="00BD5E91">
        <w:rPr>
          <w:sz w:val="22"/>
          <w:szCs w:val="22"/>
          <w:rtl/>
        </w:rPr>
        <w:t xml:space="preserve"> כמ"ש (משלי כג כה) ישמח אביך ואמך ואומר (ישעיהו מט ג) ישראל אשר בך אתפאר:</w:t>
      </w:r>
    </w:p>
  </w:footnote>
  <w:footnote w:id="886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גו אצילי כו' עלמין.</w:t>
      </w:r>
      <w:r w:rsidRPr="00BD5E91">
        <w:rPr>
          <w:sz w:val="22"/>
          <w:szCs w:val="22"/>
          <w:rtl/>
        </w:rPr>
        <w:t xml:space="preserve"> שהוא כלול בעצמו חג"ת כידוע וז"</w:t>
      </w:r>
      <w:r>
        <w:rPr>
          <w:rFonts w:hint="cs"/>
          <w:sz w:val="22"/>
          <w:szCs w:val="22"/>
          <w:rtl/>
        </w:rPr>
        <w:t>ש</w:t>
      </w:r>
      <w:r w:rsidRPr="00BD5E91">
        <w:rPr>
          <w:sz w:val="22"/>
          <w:szCs w:val="22"/>
          <w:rtl/>
        </w:rPr>
        <w:t xml:space="preserve"> תלת כו' ואמר גו אצילי ידוי כו':</w:t>
      </w:r>
    </w:p>
  </w:footnote>
  <w:footnote w:id="886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אורכיה כו'.</w:t>
      </w:r>
      <w:r w:rsidRPr="00BD5E91">
        <w:rPr>
          <w:sz w:val="22"/>
          <w:szCs w:val="22"/>
          <w:rtl/>
        </w:rPr>
        <w:t xml:space="preserve"> כנ"ל מקצה השמים כו':</w:t>
      </w:r>
    </w:p>
  </w:footnote>
  <w:footnote w:id="886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יתיב על כו'.</w:t>
      </w:r>
      <w:r w:rsidRPr="00BD5E91">
        <w:rPr>
          <w:sz w:val="22"/>
          <w:szCs w:val="22"/>
          <w:rtl/>
        </w:rPr>
        <w:t xml:space="preserve"> כמ"ש </w:t>
      </w:r>
      <w:r>
        <w:rPr>
          <w:rFonts w:hint="cs"/>
          <w:sz w:val="22"/>
          <w:szCs w:val="22"/>
          <w:rtl/>
        </w:rPr>
        <w:t xml:space="preserve">(יחזקאל א כו) </w:t>
      </w:r>
      <w:r w:rsidRPr="00BD5E91">
        <w:rPr>
          <w:sz w:val="22"/>
          <w:szCs w:val="22"/>
          <w:rtl/>
        </w:rPr>
        <w:t>ועל דמות הכסא כמראה כו' כידוע:</w:t>
      </w:r>
    </w:p>
  </w:footnote>
  <w:footnote w:id="886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מניה נהרין כו'.</w:t>
      </w:r>
      <w:r w:rsidRPr="00BD5E91">
        <w:rPr>
          <w:sz w:val="22"/>
          <w:szCs w:val="22"/>
          <w:rtl/>
        </w:rPr>
        <w:t xml:space="preserve"> שהוא השמש המאיר לכל העולם והוא מנהיג וזן כמו השמש (דברים לג יד) וממגד תבואות שמש כידוע:</w:t>
      </w:r>
    </w:p>
  </w:footnote>
  <w:footnote w:id="886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חד כו'.</w:t>
      </w:r>
      <w:r w:rsidRPr="00BD5E91">
        <w:rPr>
          <w:sz w:val="22"/>
          <w:szCs w:val="22"/>
          <w:rtl/>
        </w:rPr>
        <w:t xml:space="preserve"> שהוא יחודא דכל הספירות:</w:t>
      </w:r>
    </w:p>
  </w:footnote>
  <w:footnote w:id="887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בריך הוא לעלם כו'.</w:t>
      </w:r>
      <w:r w:rsidRPr="00BD5E91">
        <w:rPr>
          <w:sz w:val="22"/>
          <w:szCs w:val="22"/>
          <w:rtl/>
        </w:rPr>
        <w:t xml:space="preserve"> כמ"ש יהא שמיה כו' לעלם כו' והוא ג' עולמות שהן ג' שמות אקי"ק הוי"ה אדנ"י והן ה' פרצופי' לכן ולעלמי עלמין כפול כ"א ב'</w:t>
      </w:r>
      <w:r>
        <w:rPr>
          <w:rFonts w:hint="cs"/>
          <w:sz w:val="22"/>
          <w:szCs w:val="22"/>
          <w:rtl/>
        </w:rPr>
        <w:t>.</w:t>
      </w:r>
      <w:r w:rsidRPr="00BD5E91">
        <w:rPr>
          <w:sz w:val="22"/>
          <w:szCs w:val="22"/>
          <w:rtl/>
        </w:rPr>
        <w:t xml:space="preserve"> וכ"ה בריך בג' עולמות בי"ע והן נגד ג"פ קדוש</w:t>
      </w:r>
      <w:r>
        <w:rPr>
          <w:rFonts w:hint="cs"/>
          <w:sz w:val="22"/>
          <w:szCs w:val="22"/>
          <w:rtl/>
        </w:rPr>
        <w:t>.</w:t>
      </w:r>
      <w:r w:rsidRPr="00BD5E91">
        <w:rPr>
          <w:sz w:val="22"/>
          <w:szCs w:val="22"/>
          <w:rtl/>
        </w:rPr>
        <w:t xml:space="preserve"> וכן אמר חד ג"פ יחוד שהן יב"ק ג"פ כנ"ל:</w:t>
      </w:r>
    </w:p>
  </w:footnote>
  <w:footnote w:id="887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דאזלא תדיר.</w:t>
      </w:r>
      <w:r w:rsidRPr="00BD5E91">
        <w:rPr>
          <w:sz w:val="22"/>
          <w:szCs w:val="22"/>
          <w:rtl/>
        </w:rPr>
        <w:t xml:space="preserve"> שהן השוקיים וכמ"ש סומים באדם שוקיים:</w:t>
      </w:r>
    </w:p>
  </w:footnote>
  <w:footnote w:id="887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ואחיד רחיין ושחיק כו'.</w:t>
      </w:r>
      <w:r w:rsidRPr="00BD5E91">
        <w:rPr>
          <w:sz w:val="22"/>
          <w:szCs w:val="22"/>
          <w:rtl/>
        </w:rPr>
        <w:t xml:space="preserve"> כמ"ש </w:t>
      </w:r>
      <w:r>
        <w:rPr>
          <w:rFonts w:hint="cs"/>
          <w:sz w:val="22"/>
          <w:szCs w:val="22"/>
          <w:rtl/>
        </w:rPr>
        <w:t xml:space="preserve">(חגיגה יב ע"ב) </w:t>
      </w:r>
      <w:r w:rsidRPr="00BD5E91">
        <w:rPr>
          <w:sz w:val="22"/>
          <w:szCs w:val="22"/>
          <w:rtl/>
        </w:rPr>
        <w:t xml:space="preserve">שחקים שהן נו"ה שבו רחיים וטוחנין מן לצדיקים ואמר בזוהר </w:t>
      </w:r>
      <w:r>
        <w:rPr>
          <w:rFonts w:hint="cs"/>
          <w:sz w:val="22"/>
          <w:szCs w:val="22"/>
          <w:rtl/>
        </w:rPr>
        <w:t xml:space="preserve">(במדבר רלו ע"א) </w:t>
      </w:r>
      <w:r w:rsidRPr="00BD5E91">
        <w:rPr>
          <w:sz w:val="22"/>
          <w:szCs w:val="22"/>
          <w:rtl/>
        </w:rPr>
        <w:t>לצדיק וצדק והן כליות שמבשלין הזרע:</w:t>
      </w:r>
    </w:p>
  </w:footnote>
  <w:footnote w:id="887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חמש סמנין כו'.</w:t>
      </w:r>
      <w:r w:rsidRPr="00BD5E91">
        <w:rPr>
          <w:sz w:val="22"/>
          <w:szCs w:val="22"/>
          <w:rtl/>
        </w:rPr>
        <w:t xml:space="preserve"> שהן הכתוב בפ' קח לך סמים כו' וחשיב סמים השני לחסד והן חמש נהורין דחמש ספירות כמש"ו:</w:t>
      </w:r>
    </w:p>
  </w:footnote>
  <w:footnote w:id="887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ולא אתבסם לבר.</w:t>
      </w:r>
      <w:r w:rsidRPr="00BD5E91">
        <w:rPr>
          <w:sz w:val="22"/>
          <w:szCs w:val="22"/>
          <w:rtl/>
        </w:rPr>
        <w:t xml:space="preserve"> כמ"ש (ברכות מג ע"ב) גנאי לת"ח שיצא כשהוא מבושם לשוק ונו"ה נקראין ת"ח כידוע וכל בניך למודי ה' והן אינן מתבסמין עד שימושא צדיק בצדק</w:t>
      </w:r>
      <w:r>
        <w:rPr>
          <w:rFonts w:hint="cs"/>
          <w:sz w:val="22"/>
          <w:szCs w:val="22"/>
          <w:rtl/>
        </w:rPr>
        <w:t>,</w:t>
      </w:r>
      <w:r w:rsidRPr="00BD5E91">
        <w:rPr>
          <w:sz w:val="22"/>
          <w:szCs w:val="22"/>
          <w:rtl/>
        </w:rPr>
        <w:t xml:space="preserve"> שיראין שלא יצא לבר</w:t>
      </w:r>
      <w:r>
        <w:rPr>
          <w:rFonts w:hint="cs"/>
          <w:sz w:val="22"/>
          <w:szCs w:val="22"/>
          <w:rtl/>
        </w:rPr>
        <w:t>,</w:t>
      </w:r>
      <w:r w:rsidRPr="00BD5E91">
        <w:rPr>
          <w:sz w:val="22"/>
          <w:szCs w:val="22"/>
          <w:rtl/>
        </w:rPr>
        <w:t xml:space="preserve"> כמו הכליות שאין טוחנין עד הזיווג:</w:t>
      </w:r>
    </w:p>
  </w:footnote>
  <w:footnote w:id="887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ברזא דת"ק רזין כו'.</w:t>
      </w:r>
      <w:r w:rsidRPr="00BD5E91">
        <w:rPr>
          <w:sz w:val="22"/>
          <w:szCs w:val="22"/>
          <w:rtl/>
        </w:rPr>
        <w:t xml:space="preserve"> כמ"ש עץ החיים מהלך ת"ק שנה והן נ' שערי בינה שנכללין בה' ספירות מחסד עד הוד ונכללין ביסוד וכ"א נכלל מעשר כידוע וכמ"ש במדרש הנעלם פ' לך לך ע"ש:</w:t>
      </w:r>
    </w:p>
  </w:footnote>
  <w:footnote w:id="887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ומלכא תמיך עליה.</w:t>
      </w:r>
      <w:r w:rsidRPr="00BD5E91">
        <w:rPr>
          <w:sz w:val="22"/>
          <w:szCs w:val="22"/>
          <w:rtl/>
        </w:rPr>
        <w:t xml:space="preserve"> שהן תומכיה של עץ חיים (משלי ג יח) כידוע:</w:t>
      </w:r>
    </w:p>
  </w:footnote>
  <w:footnote w:id="887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ביה שריין כו' קשוט.</w:t>
      </w:r>
      <w:r w:rsidRPr="00BD5E91">
        <w:rPr>
          <w:sz w:val="22"/>
          <w:szCs w:val="22"/>
          <w:rtl/>
        </w:rPr>
        <w:t xml:space="preserve"> ר"ל הנביאים שנקראים נאמנים שמגלה להן הקב"ה רזין דיליה כמ"ש (במדבר יב ז) בכל ביתי נאמן הוא ובנו"ה הן הנביאים כידוע:</w:t>
      </w:r>
    </w:p>
  </w:footnote>
  <w:footnote w:id="887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חד חבריה כו'.</w:t>
      </w:r>
      <w:r w:rsidRPr="00BD5E91">
        <w:rPr>
          <w:sz w:val="22"/>
          <w:szCs w:val="22"/>
          <w:rtl/>
        </w:rPr>
        <w:t xml:space="preserve"> הוד שהן תרי פלגי דגופא שכל מעשיהם ביחד כידוע וז"ש. יהיב רשו כו'. כמ"ש (ישעיהו ו ג) וקרא זה אל זה שנותנין רשות זה לזה כידוע והן בנו"ה שבהן שריין זו"נ כידוע ובהן י"ב צינורות בכ"א כידוע שבב' כליות בכ"א י"ב צינורות:</w:t>
      </w:r>
    </w:p>
  </w:footnote>
  <w:footnote w:id="887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מיומא דהוו אולפי.</w:t>
      </w:r>
      <w:r w:rsidRPr="00BD5E91">
        <w:rPr>
          <w:sz w:val="22"/>
          <w:szCs w:val="22"/>
          <w:rtl/>
        </w:rPr>
        <w:t xml:space="preserve"> שהן למודי ה' (ישעיהו נד יג) ותרגום וקרא זה כו' ומקבלין דין מן דין כו' והן הכליות יועצות והן בעץ החיים אילנא דחיי שניהם יועצין לטובה כידוע וז"ש כל אומנתיה דחבריה כו':</w:t>
      </w:r>
    </w:p>
  </w:footnote>
  <w:footnote w:id="888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קאים לגביה.</w:t>
      </w:r>
      <w:r w:rsidRPr="00BD5E91">
        <w:rPr>
          <w:sz w:val="22"/>
          <w:szCs w:val="22"/>
          <w:rtl/>
        </w:rPr>
        <w:t xml:space="preserve"> שני השוקין וכליות:</w:t>
      </w:r>
    </w:p>
  </w:footnote>
  <w:footnote w:id="888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ברעו סגי.</w:t>
      </w:r>
      <w:r w:rsidRPr="00BD5E91">
        <w:rPr>
          <w:sz w:val="22"/>
          <w:szCs w:val="22"/>
          <w:rtl/>
        </w:rPr>
        <w:t xml:space="preserve"> ששוחקין המן באהבה גדולה כידוע וד"ל:</w:t>
      </w:r>
    </w:p>
  </w:footnote>
  <w:footnote w:id="888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דא </w:t>
      </w:r>
      <w:r>
        <w:rPr>
          <w:rFonts w:hint="cs"/>
          <w:b/>
          <w:bCs/>
          <w:sz w:val="22"/>
          <w:szCs w:val="22"/>
          <w:rtl/>
        </w:rPr>
        <w:t>ע</w:t>
      </w:r>
      <w:r w:rsidRPr="00BD5E91">
        <w:rPr>
          <w:b/>
          <w:bCs/>
          <w:sz w:val="22"/>
          <w:szCs w:val="22"/>
          <w:rtl/>
        </w:rPr>
        <w:t>ל דא קאים.</w:t>
      </w:r>
      <w:r w:rsidRPr="00BD5E91">
        <w:rPr>
          <w:sz w:val="22"/>
          <w:szCs w:val="22"/>
          <w:rtl/>
        </w:rPr>
        <w:t xml:space="preserve"> שלכן נקראין מעלה ומטה כידוע:</w:t>
      </w:r>
    </w:p>
  </w:footnote>
  <w:footnote w:id="888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נטיל.</w:t>
      </w:r>
      <w:r w:rsidRPr="00BD5E91">
        <w:rPr>
          <w:sz w:val="22"/>
          <w:szCs w:val="22"/>
          <w:rtl/>
        </w:rPr>
        <w:t xml:space="preserve"> כנ"ל מקבלין כו' וכאשר יחנו כן יסעו כו' (במדבר ב יז):</w:t>
      </w:r>
    </w:p>
  </w:footnote>
  <w:footnote w:id="888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מהימנין אינון כו' דוד.</w:t>
      </w:r>
      <w:r w:rsidRPr="00BD5E91">
        <w:rPr>
          <w:sz w:val="22"/>
          <w:szCs w:val="22"/>
          <w:rtl/>
        </w:rPr>
        <w:t xml:space="preserve"> הוא תרגום חסדי דוד הנאמנים שקאי על נו"ה כמ"ש בזוהר לפי שהן חו"ג דנוקבא ושם מתמתקין זה בזה כי ימין דידיה שמאל דידה וכן להיפוך לפיכך שניהן נק' חסדים:</w:t>
      </w:r>
    </w:p>
  </w:footnote>
  <w:footnote w:id="888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אברהם כו'.</w:t>
      </w:r>
      <w:r w:rsidRPr="00BD5E91">
        <w:rPr>
          <w:sz w:val="22"/>
          <w:szCs w:val="22"/>
          <w:rtl/>
        </w:rPr>
        <w:t xml:space="preserve"> כידוע נעימות בימינך נצח וכן הוד השמאל:</w:t>
      </w:r>
    </w:p>
  </w:footnote>
  <w:footnote w:id="888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יצחק קרבנא.</w:t>
      </w:r>
      <w:r w:rsidRPr="00BD5E91">
        <w:rPr>
          <w:sz w:val="22"/>
          <w:szCs w:val="22"/>
          <w:rtl/>
        </w:rPr>
        <w:t xml:space="preserve"> ר"ל עקידא:</w:t>
      </w:r>
    </w:p>
  </w:footnote>
  <w:footnote w:id="888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ואתחפיין כו'.</w:t>
      </w:r>
      <w:r w:rsidRPr="00BD5E91">
        <w:rPr>
          <w:sz w:val="22"/>
          <w:szCs w:val="22"/>
          <w:rtl/>
        </w:rPr>
        <w:t xml:space="preserve"> שהן מקבלין ונכסין ת"ת שהוא שמשא:</w:t>
      </w:r>
    </w:p>
  </w:footnote>
  <w:footnote w:id="888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ודא תמינאה כו'.</w:t>
      </w:r>
      <w:r w:rsidRPr="00BD5E91">
        <w:rPr>
          <w:sz w:val="22"/>
          <w:szCs w:val="22"/>
          <w:rtl/>
        </w:rPr>
        <w:t xml:space="preserve"> ר"ל לכך מילה בשמיני וביום השמיני וכמ"ש (מגילה יז ע"ב) למה תקנו רפואה בשמיני מפני שניתנה מילה כו':</w:t>
      </w:r>
    </w:p>
  </w:footnote>
  <w:footnote w:id="888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חד רחימא כו'.</w:t>
      </w:r>
      <w:r w:rsidRPr="00BD5E91">
        <w:rPr>
          <w:sz w:val="22"/>
          <w:szCs w:val="22"/>
          <w:rtl/>
        </w:rPr>
        <w:t xml:space="preserve"> כידוע בשעה שמתעורר</w:t>
      </w:r>
      <w:r>
        <w:rPr>
          <w:rFonts w:hint="cs"/>
          <w:sz w:val="22"/>
          <w:szCs w:val="22"/>
          <w:rtl/>
        </w:rPr>
        <w:t>,</w:t>
      </w:r>
      <w:r w:rsidRPr="00BD5E91">
        <w:rPr>
          <w:sz w:val="22"/>
          <w:szCs w:val="22"/>
          <w:rtl/>
        </w:rPr>
        <w:t xml:space="preserve"> כל האברים פונים אליו וכל תשוקתם בו והוא שלמא דכולא</w:t>
      </w:r>
      <w:r>
        <w:rPr>
          <w:rFonts w:hint="cs"/>
          <w:sz w:val="22"/>
          <w:szCs w:val="22"/>
          <w:rtl/>
        </w:rPr>
        <w:t>.</w:t>
      </w:r>
      <w:r w:rsidRPr="00BD5E91">
        <w:rPr>
          <w:sz w:val="22"/>
          <w:szCs w:val="22"/>
          <w:rtl/>
        </w:rPr>
        <w:t xml:space="preserve"> וכן יוסף בדרגא דידיה וימצא יוסף חן כו' (בראשית לט ד):</w:t>
      </w:r>
    </w:p>
  </w:footnote>
  <w:footnote w:id="889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זכאה דכלא.</w:t>
      </w:r>
      <w:r w:rsidRPr="00BD5E91">
        <w:rPr>
          <w:sz w:val="22"/>
          <w:szCs w:val="22"/>
          <w:rtl/>
        </w:rPr>
        <w:t xml:space="preserve"> שנקרא צדיק כידוע:</w:t>
      </w:r>
    </w:p>
  </w:footnote>
  <w:footnote w:id="889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מהימנא כו'.</w:t>
      </w:r>
      <w:r w:rsidRPr="00BD5E91">
        <w:rPr>
          <w:sz w:val="22"/>
          <w:szCs w:val="22"/>
          <w:rtl/>
        </w:rPr>
        <w:t xml:space="preserve"> כמ"ש (שם) ויפקידהו כו' וכל יש לו כו' ויעזוב כל אשר לו כו':</w:t>
      </w:r>
    </w:p>
  </w:footnote>
  <w:footnote w:id="889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דיוקנא כו'.</w:t>
      </w:r>
      <w:r w:rsidRPr="00BD5E91">
        <w:rPr>
          <w:sz w:val="22"/>
          <w:szCs w:val="22"/>
          <w:rtl/>
        </w:rPr>
        <w:t xml:space="preserve"> ר"ל של יוסף שלימא:</w:t>
      </w:r>
    </w:p>
  </w:footnote>
  <w:footnote w:id="889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זיהרא כו'.</w:t>
      </w:r>
      <w:r w:rsidRPr="00BD5E91">
        <w:rPr>
          <w:sz w:val="22"/>
          <w:szCs w:val="22"/>
          <w:rtl/>
        </w:rPr>
        <w:t xml:space="preserve"> כמ"ש (בראשית ב י) ונהר יוצא כו' שהוא נהר במילואו גי' ברית כמש"ל דף ס"ו ע"ד ומשם יפרד כו' וכן מט"ט שהוא רקיע דרגא דיסוד שדי כידוע הוא נהר כבר</w:t>
      </w:r>
      <w:r>
        <w:rPr>
          <w:rFonts w:hint="cs"/>
          <w:sz w:val="22"/>
          <w:szCs w:val="22"/>
          <w:rtl/>
        </w:rPr>
        <w:t>,</w:t>
      </w:r>
      <w:r w:rsidRPr="00BD5E91">
        <w:rPr>
          <w:sz w:val="22"/>
          <w:szCs w:val="22"/>
          <w:rtl/>
        </w:rPr>
        <w:t xml:space="preserve"> נהר דינור כידוע ומשם יפרד כו' ד' חיות:</w:t>
      </w:r>
    </w:p>
  </w:footnote>
  <w:footnote w:id="889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הוא נעיץ כו'.</w:t>
      </w:r>
      <w:r w:rsidRPr="00BD5E91">
        <w:rPr>
          <w:sz w:val="22"/>
          <w:szCs w:val="22"/>
          <w:rtl/>
        </w:rPr>
        <w:t xml:space="preserve"> כמ"ש </w:t>
      </w:r>
      <w:r>
        <w:rPr>
          <w:rFonts w:hint="cs"/>
          <w:sz w:val="22"/>
          <w:szCs w:val="22"/>
          <w:rtl/>
        </w:rPr>
        <w:t xml:space="preserve">(דניאל ד ז-ט) </w:t>
      </w:r>
      <w:r w:rsidRPr="00CB5D6A">
        <w:rPr>
          <w:sz w:val="22"/>
          <w:szCs w:val="22"/>
          <w:rtl/>
        </w:rPr>
        <w:t xml:space="preserve">וַאֲלוּ אִילָן בְּגוֹא אַרְעָא </w:t>
      </w:r>
      <w:r>
        <w:rPr>
          <w:rFonts w:hint="cs"/>
          <w:sz w:val="22"/>
          <w:szCs w:val="22"/>
          <w:rtl/>
        </w:rPr>
        <w:t xml:space="preserve">כו' </w:t>
      </w:r>
      <w:r w:rsidRPr="00CB5D6A">
        <w:rPr>
          <w:sz w:val="22"/>
          <w:szCs w:val="22"/>
          <w:rtl/>
        </w:rPr>
        <w:t xml:space="preserve">וְרוּמֵהּ יִמְטֵא לִשְׁמַיָּא וַחֲזוֹתֵהּ </w:t>
      </w:r>
      <w:r>
        <w:rPr>
          <w:rFonts w:hint="cs"/>
          <w:sz w:val="22"/>
          <w:szCs w:val="22"/>
          <w:rtl/>
        </w:rPr>
        <w:t xml:space="preserve">כו' </w:t>
      </w:r>
      <w:r w:rsidRPr="00CB5D6A">
        <w:rPr>
          <w:sz w:val="22"/>
          <w:szCs w:val="22"/>
          <w:rtl/>
        </w:rPr>
        <w:t xml:space="preserve">עָפְיֵהּ שַׁפִּיר וְאִנְבֵּהּ שַׂגִּיא וּמָזוֹן לְכֹלָּא בֵהּ </w:t>
      </w:r>
      <w:r w:rsidRPr="00BD5E91">
        <w:rPr>
          <w:sz w:val="22"/>
          <w:szCs w:val="22"/>
          <w:rtl/>
        </w:rPr>
        <w:t xml:space="preserve">כו' והכל ביסוד כמ"ש </w:t>
      </w:r>
      <w:r>
        <w:rPr>
          <w:rFonts w:hint="cs"/>
          <w:sz w:val="22"/>
          <w:szCs w:val="22"/>
          <w:rtl/>
        </w:rPr>
        <w:t xml:space="preserve">(דברי הימים א כט יא) </w:t>
      </w:r>
      <w:r w:rsidRPr="00BD5E91">
        <w:rPr>
          <w:sz w:val="22"/>
          <w:szCs w:val="22"/>
          <w:rtl/>
        </w:rPr>
        <w:t>כי כל בשמים ובארץ ות"י דאחיד בשמיא וארעא כידוע ונקרא יפה נוף כו' כמש"ל דף ס"ב ע"ב ע"ש וכתיב</w:t>
      </w:r>
      <w:r>
        <w:rPr>
          <w:rFonts w:hint="cs"/>
          <w:sz w:val="22"/>
          <w:szCs w:val="22"/>
          <w:rtl/>
        </w:rPr>
        <w:t xml:space="preserve"> (בראשית מא מט)</w:t>
      </w:r>
      <w:r w:rsidRPr="00BD5E91">
        <w:rPr>
          <w:sz w:val="22"/>
          <w:szCs w:val="22"/>
          <w:rtl/>
        </w:rPr>
        <w:t xml:space="preserve"> ויצבור יוסף בר כחול הים הרבה מאד כו' וכתיב </w:t>
      </w:r>
      <w:r>
        <w:rPr>
          <w:rFonts w:hint="cs"/>
          <w:sz w:val="22"/>
          <w:szCs w:val="22"/>
          <w:rtl/>
        </w:rPr>
        <w:t xml:space="preserve">(שם מא נו) </w:t>
      </w:r>
      <w:r w:rsidRPr="00BD5E91">
        <w:rPr>
          <w:sz w:val="22"/>
          <w:szCs w:val="22"/>
          <w:rtl/>
        </w:rPr>
        <w:t>ויפתח יוסף כו' הוא המשביר לכל עם הארץ</w:t>
      </w:r>
      <w:r>
        <w:rPr>
          <w:rFonts w:hint="cs"/>
          <w:sz w:val="22"/>
          <w:szCs w:val="22"/>
          <w:rtl/>
        </w:rPr>
        <w:t xml:space="preserve"> (שם מב ו)</w:t>
      </w:r>
      <w:r w:rsidRPr="00BD5E91">
        <w:rPr>
          <w:sz w:val="22"/>
          <w:szCs w:val="22"/>
          <w:rtl/>
        </w:rPr>
        <w:t>:</w:t>
      </w:r>
    </w:p>
  </w:footnote>
  <w:footnote w:id="8895">
    <w:p w:rsidR="00007309" w:rsidRPr="00BD5E91" w:rsidRDefault="00007309" w:rsidP="00007309">
      <w:pPr>
        <w:jc w:val="both"/>
        <w:rPr>
          <w:rFonts w:cs="Arial"/>
          <w:sz w:val="22"/>
          <w:szCs w:val="22"/>
          <w:rtl/>
        </w:rPr>
      </w:pPr>
      <w:r w:rsidRPr="00BD5E91">
        <w:rPr>
          <w:rStyle w:val="a7"/>
          <w:rFonts w:cs="Arial"/>
          <w:sz w:val="22"/>
          <w:szCs w:val="22"/>
          <w:rtl/>
        </w:rPr>
        <w:footnoteRef/>
      </w:r>
      <w:r w:rsidRPr="00BD5E91">
        <w:rPr>
          <w:rFonts w:cs="Arial"/>
          <w:sz w:val="22"/>
          <w:szCs w:val="22"/>
          <w:rtl/>
        </w:rPr>
        <w:t xml:space="preserve"> </w:t>
      </w:r>
      <w:r w:rsidRPr="00BD5E91">
        <w:rPr>
          <w:rFonts w:cs="Arial"/>
          <w:b/>
          <w:bCs/>
          <w:sz w:val="22"/>
          <w:szCs w:val="22"/>
          <w:rtl/>
        </w:rPr>
        <w:t>תחותיה תטלל ההיא כו'.</w:t>
      </w:r>
      <w:r w:rsidRPr="00BD5E91">
        <w:rPr>
          <w:rFonts w:cs="Arial"/>
          <w:sz w:val="22"/>
          <w:szCs w:val="22"/>
          <w:rtl/>
        </w:rPr>
        <w:t xml:space="preserve"> ר"ל כמ"ש שם </w:t>
      </w:r>
      <w:r>
        <w:rPr>
          <w:rFonts w:cs="Arial" w:hint="cs"/>
          <w:sz w:val="22"/>
          <w:szCs w:val="22"/>
          <w:rtl/>
        </w:rPr>
        <w:t xml:space="preserve">(דניאל ד ט) </w:t>
      </w:r>
      <w:r w:rsidRPr="00BD5E91">
        <w:rPr>
          <w:rFonts w:cs="Arial"/>
          <w:sz w:val="22"/>
          <w:szCs w:val="22"/>
          <w:rtl/>
        </w:rPr>
        <w:t>תחותיה תטלל חיות ברא</w:t>
      </w:r>
      <w:r>
        <w:rPr>
          <w:rFonts w:cs="Arial" w:hint="cs"/>
          <w:sz w:val="22"/>
          <w:szCs w:val="22"/>
          <w:rtl/>
        </w:rPr>
        <w:t>,</w:t>
      </w:r>
      <w:r w:rsidRPr="00BD5E91">
        <w:rPr>
          <w:rFonts w:cs="Arial"/>
          <w:sz w:val="22"/>
          <w:szCs w:val="22"/>
          <w:rtl/>
        </w:rPr>
        <w:t xml:space="preserve"> ופי' ההוא כו'</w:t>
      </w:r>
      <w:r>
        <w:rPr>
          <w:rFonts w:cs="Arial" w:hint="cs"/>
          <w:sz w:val="22"/>
          <w:szCs w:val="22"/>
          <w:rtl/>
        </w:rPr>
        <w:t>.</w:t>
      </w:r>
      <w:r w:rsidRPr="00BD5E91">
        <w:rPr>
          <w:rFonts w:cs="Arial"/>
          <w:sz w:val="22"/>
          <w:szCs w:val="22"/>
          <w:rtl/>
        </w:rPr>
        <w:t xml:space="preserve"> ור"ל מלכות</w:t>
      </w:r>
      <w:r>
        <w:rPr>
          <w:rFonts w:cs="Arial" w:hint="cs"/>
          <w:sz w:val="22"/>
          <w:szCs w:val="22"/>
          <w:rtl/>
        </w:rPr>
        <w:t>.</w:t>
      </w:r>
      <w:r w:rsidRPr="00BD5E91">
        <w:rPr>
          <w:rFonts w:cs="Arial"/>
          <w:sz w:val="22"/>
          <w:szCs w:val="22"/>
          <w:rtl/>
        </w:rPr>
        <w:t xml:space="preserve"> וכתיב שם ובענפוהי ידורון כו' וז"ש. בענפוהי כו'</w:t>
      </w:r>
      <w:r>
        <w:rPr>
          <w:rFonts w:cs="Arial" w:hint="cs"/>
          <w:sz w:val="22"/>
          <w:szCs w:val="22"/>
          <w:rtl/>
        </w:rPr>
        <w:t>.</w:t>
      </w:r>
      <w:r w:rsidRPr="00BD5E91">
        <w:rPr>
          <w:rFonts w:cs="Arial"/>
          <w:sz w:val="22"/>
          <w:szCs w:val="22"/>
          <w:rtl/>
        </w:rPr>
        <w:t xml:space="preserve"> וכ' שם ומניה יתזן כו' וז"ש אזל ועף כו' ואעיל באוצרא דמשכני</w:t>
      </w:r>
      <w:r>
        <w:rPr>
          <w:rFonts w:cs="Arial" w:hint="cs"/>
          <w:sz w:val="22"/>
          <w:szCs w:val="22"/>
          <w:rtl/>
        </w:rPr>
        <w:t>,</w:t>
      </w:r>
      <w:r w:rsidRPr="00BD5E91">
        <w:rPr>
          <w:rFonts w:cs="Arial"/>
          <w:sz w:val="22"/>
          <w:szCs w:val="22"/>
          <w:rtl/>
        </w:rPr>
        <w:t xml:space="preserve"> במלכות</w:t>
      </w:r>
      <w:r>
        <w:rPr>
          <w:rFonts w:cs="Arial" w:hint="cs"/>
          <w:sz w:val="22"/>
          <w:szCs w:val="22"/>
          <w:rtl/>
        </w:rPr>
        <w:t>,</w:t>
      </w:r>
      <w:r w:rsidRPr="00BD5E91">
        <w:rPr>
          <w:rFonts w:cs="Arial"/>
          <w:sz w:val="22"/>
          <w:szCs w:val="22"/>
          <w:rtl/>
        </w:rPr>
        <w:t xml:space="preserve"> ששם ניזונים כל בשר כמ"ש לקמן</w:t>
      </w:r>
      <w:r>
        <w:rPr>
          <w:rFonts w:cs="Arial" w:hint="cs"/>
          <w:sz w:val="22"/>
          <w:szCs w:val="22"/>
          <w:rtl/>
        </w:rPr>
        <w:t>.</w:t>
      </w:r>
      <w:r w:rsidRPr="00BD5E91">
        <w:rPr>
          <w:rFonts w:cs="Arial"/>
          <w:sz w:val="22"/>
          <w:szCs w:val="22"/>
          <w:rtl/>
        </w:rPr>
        <w:t xml:space="preserve"> ואמר אזל ועף כו' בה"ס שע</w:t>
      </w:r>
      <w:r>
        <w:rPr>
          <w:rFonts w:cs="Arial" w:hint="cs"/>
          <w:sz w:val="22"/>
          <w:szCs w:val="22"/>
          <w:rtl/>
        </w:rPr>
        <w:t>ל גביו</w:t>
      </w:r>
      <w:r w:rsidRPr="00BD5E91">
        <w:rPr>
          <w:rFonts w:cs="Arial"/>
          <w:sz w:val="22"/>
          <w:szCs w:val="22"/>
          <w:rtl/>
        </w:rPr>
        <w:t xml:space="preserve"> שהן צפרי שמיא והן ת"ק עלמין כמ"ש לעיל נ' שערי בינה והוא נכלל מכולם וז"ש. ואפיק כו'. ואיהו נטיל כו'. שבדרגא דידיה גבאי צדקה כידוע שנוטל מאחרים ומחלק לעניים:</w:t>
      </w:r>
    </w:p>
  </w:footnote>
  <w:footnote w:id="889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 יהיב נהמא.</w:t>
      </w:r>
      <w:r w:rsidRPr="00BD5E91">
        <w:rPr>
          <w:sz w:val="22"/>
          <w:szCs w:val="22"/>
          <w:rtl/>
        </w:rPr>
        <w:t xml:space="preserve"> ת"ת לחם מן השמים. מיא חסד כידוע. משחא גבורה בסוד שמן וקטרת באימא בשמאלא. מנא בנו"ה כנ"ל. ואיהו גבי כו'. גבאי צדקה:</w:t>
      </w:r>
    </w:p>
  </w:footnote>
  <w:footnote w:id="889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ואיהו טמיר כו'.</w:t>
      </w:r>
      <w:r w:rsidRPr="00BD5E91">
        <w:rPr>
          <w:sz w:val="22"/>
          <w:szCs w:val="22"/>
          <w:rtl/>
        </w:rPr>
        <w:t xml:space="preserve"> כידוע:</w:t>
      </w:r>
    </w:p>
  </w:footnote>
  <w:footnote w:id="889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נהירו דיליה כו'.</w:t>
      </w:r>
      <w:r w:rsidRPr="00BD5E91">
        <w:rPr>
          <w:sz w:val="22"/>
          <w:szCs w:val="22"/>
          <w:rtl/>
        </w:rPr>
        <w:t xml:space="preserve"> כמ"ש</w:t>
      </w:r>
      <w:r>
        <w:rPr>
          <w:rFonts w:hint="cs"/>
          <w:sz w:val="22"/>
          <w:szCs w:val="22"/>
          <w:rtl/>
        </w:rPr>
        <w:t xml:space="preserve"> (חגיגה יב א)</w:t>
      </w:r>
      <w:r w:rsidRPr="00BD5E91">
        <w:rPr>
          <w:sz w:val="22"/>
          <w:szCs w:val="22"/>
          <w:rtl/>
        </w:rPr>
        <w:t xml:space="preserve"> אור שברא כו' ולמי גנזו לצדיקים שנאמר אמרו צדיק כו' כנ"ל והוא דרגא דלויתן כידוע כמ"ש לויתן זה יצרת כו' ואמרו שעתיד לפרוס עורו על כו'. וזיוו מבהיק מסוף העולם ועד סופו:</w:t>
      </w:r>
    </w:p>
  </w:footnote>
  <w:footnote w:id="889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כל חיין כו'.</w:t>
      </w:r>
      <w:r w:rsidRPr="00BD5E91">
        <w:rPr>
          <w:sz w:val="22"/>
          <w:szCs w:val="22"/>
          <w:rtl/>
        </w:rPr>
        <w:t xml:space="preserve"> שהוא נק' אל חי והוא עץ החיים מהלך ת"ק שנה כנ"ל אזל ועף כו' אזיל בימא כד איהו בתוקפיה</w:t>
      </w:r>
      <w:r>
        <w:rPr>
          <w:rFonts w:hint="cs"/>
          <w:sz w:val="22"/>
          <w:szCs w:val="22"/>
          <w:rtl/>
        </w:rPr>
        <w:t>.</w:t>
      </w:r>
      <w:r w:rsidRPr="00BD5E91">
        <w:rPr>
          <w:sz w:val="22"/>
          <w:szCs w:val="22"/>
          <w:rtl/>
        </w:rPr>
        <w:t xml:space="preserve"> ובדרגיה כסף חי</w:t>
      </w:r>
      <w:r>
        <w:rPr>
          <w:rFonts w:hint="cs"/>
          <w:sz w:val="22"/>
          <w:szCs w:val="22"/>
          <w:rtl/>
        </w:rPr>
        <w:t>,</w:t>
      </w:r>
      <w:r w:rsidRPr="00BD5E91">
        <w:rPr>
          <w:sz w:val="22"/>
          <w:szCs w:val="22"/>
          <w:rtl/>
        </w:rPr>
        <w:t xml:space="preserve"> אפי' הדומם בדרגיה חי:</w:t>
      </w:r>
    </w:p>
  </w:footnote>
  <w:footnote w:id="890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ואיהו יהיב למאן כו'.</w:t>
      </w:r>
      <w:r w:rsidRPr="00BD5E91">
        <w:rPr>
          <w:sz w:val="22"/>
          <w:szCs w:val="22"/>
          <w:rtl/>
        </w:rPr>
        <w:t xml:space="preserve"> לדוד מלכא כידוע שיוסף היה ראוי להיות חי כיצחק שהוא דרגיה כמש"ל דף ס"א ע"ב ונתן שבעים [לפה"נ חסר תיבת שנה. המעתיק] לדוד:</w:t>
      </w:r>
    </w:p>
  </w:footnote>
  <w:footnote w:id="890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לבתר עאל כו' וממה דיהבי ליה כו'.</w:t>
      </w:r>
      <w:r w:rsidRPr="00BD5E91">
        <w:rPr>
          <w:sz w:val="22"/>
          <w:szCs w:val="22"/>
          <w:rtl/>
        </w:rPr>
        <w:t xml:space="preserve"> ר"ל כי זהו חלקו שהן תרין עטרין דאחסינו ליה כמ"ש במלך שלמה צדיק כנ"ל בעטרה כו'</w:t>
      </w:r>
      <w:r>
        <w:rPr>
          <w:rFonts w:hint="cs"/>
          <w:sz w:val="22"/>
          <w:szCs w:val="22"/>
          <w:rtl/>
        </w:rPr>
        <w:t>.</w:t>
      </w:r>
      <w:r w:rsidRPr="00BD5E91">
        <w:rPr>
          <w:sz w:val="22"/>
          <w:szCs w:val="22"/>
          <w:rtl/>
        </w:rPr>
        <w:t xml:space="preserve"> והשבעים שנה נגד ז' ימים לכן בשבת נגד מלכות אין הכנה כלל אבל כל יום ולקטו עומר כו' ביום הששי לחם משנה שהן עשרים שנה ולכן עד עשרים שנה אין מענישין למעלה כי או"א אין שם דין כלל ולמטה עד י"ג שנה כי אימא מתפשט ז"ת דילה למטה כידוע:</w:t>
      </w:r>
    </w:p>
  </w:footnote>
  <w:footnote w:id="890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אתגלי ביממא.</w:t>
      </w:r>
      <w:r w:rsidRPr="00BD5E91">
        <w:rPr>
          <w:sz w:val="22"/>
          <w:szCs w:val="22"/>
          <w:rtl/>
        </w:rPr>
        <w:t xml:space="preserve"> שהוא נקרא יום כמ"ש בדף הקודם:</w:t>
      </w:r>
    </w:p>
  </w:footnote>
  <w:footnote w:id="890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אתחם לתריסר תחומין.</w:t>
      </w:r>
      <w:r w:rsidRPr="00BD5E91">
        <w:rPr>
          <w:sz w:val="22"/>
          <w:szCs w:val="22"/>
          <w:rtl/>
        </w:rPr>
        <w:t xml:space="preserve"> י"ב גבולי אלכסון י"ב צירופי הוי"ה כידוע שלכן נקרא ז"ה וזה לך האות </w:t>
      </w:r>
      <w:r>
        <w:rPr>
          <w:rFonts w:hint="cs"/>
          <w:sz w:val="22"/>
          <w:szCs w:val="22"/>
          <w:rtl/>
        </w:rPr>
        <w:t xml:space="preserve">(שמות ג יב) </w:t>
      </w:r>
      <w:r w:rsidRPr="00BD5E91">
        <w:rPr>
          <w:sz w:val="22"/>
          <w:szCs w:val="22"/>
          <w:rtl/>
        </w:rPr>
        <w:t>כידוע:</w:t>
      </w:r>
    </w:p>
  </w:footnote>
  <w:footnote w:id="890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שבעים תמרים.</w:t>
      </w:r>
      <w:r w:rsidRPr="00BD5E91">
        <w:rPr>
          <w:sz w:val="22"/>
          <w:szCs w:val="22"/>
          <w:rtl/>
        </w:rPr>
        <w:t xml:space="preserve"> שבעין שנין שבו כנ"ל ובו שבעים נפש:</w:t>
      </w:r>
    </w:p>
  </w:footnote>
  <w:footnote w:id="890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ותריסר מבועין.</w:t>
      </w:r>
      <w:r w:rsidRPr="00BD5E91">
        <w:rPr>
          <w:sz w:val="22"/>
          <w:szCs w:val="22"/>
          <w:rtl/>
        </w:rPr>
        <w:t xml:space="preserve"> כנ"ל והוא נהר שמשקה הגן לכן בו תריסר מבועין</w:t>
      </w:r>
      <w:r>
        <w:rPr>
          <w:rFonts w:hint="cs"/>
          <w:sz w:val="22"/>
          <w:szCs w:val="22"/>
          <w:rtl/>
        </w:rPr>
        <w:t>.</w:t>
      </w:r>
      <w:r w:rsidRPr="00BD5E91">
        <w:rPr>
          <w:sz w:val="22"/>
          <w:szCs w:val="22"/>
          <w:rtl/>
        </w:rPr>
        <w:t xml:space="preserve"> והן במחוקק במשענותם לכל שבט ושבט כידוע שהיו מוליכים כ"א לשבטו</w:t>
      </w:r>
      <w:r>
        <w:rPr>
          <w:rFonts w:hint="cs"/>
          <w:sz w:val="22"/>
          <w:szCs w:val="22"/>
          <w:rtl/>
        </w:rPr>
        <w:t xml:space="preserve"> (במד"ר חקת פרשה יט)</w:t>
      </w:r>
      <w:r w:rsidRPr="00BD5E91">
        <w:rPr>
          <w:sz w:val="22"/>
          <w:szCs w:val="22"/>
          <w:rtl/>
        </w:rPr>
        <w:t>. והוא אילימה ושם שתים עשרה כו' ושם ויחנו על המים שהוא נהר כנ"ל:</w:t>
      </w:r>
    </w:p>
  </w:footnote>
  <w:footnote w:id="890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זכאין אקרון כו'.</w:t>
      </w:r>
      <w:r w:rsidRPr="00BD5E91">
        <w:rPr>
          <w:sz w:val="22"/>
          <w:szCs w:val="22"/>
          <w:rtl/>
        </w:rPr>
        <w:t xml:space="preserve"> ר"ל צדיקים נק' מי שנטיר ברית כידוע:</w:t>
      </w:r>
    </w:p>
  </w:footnote>
  <w:footnote w:id="890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כל מיכל וכל כו'.</w:t>
      </w:r>
      <w:r w:rsidRPr="00BD5E91">
        <w:rPr>
          <w:sz w:val="22"/>
          <w:szCs w:val="22"/>
          <w:rtl/>
        </w:rPr>
        <w:t xml:space="preserve"> כנ"ל כמ"ש ויצבור יוסף בר כו' ויפתח כו' ויוסף הוא המשביר כו':</w:t>
      </w:r>
    </w:p>
  </w:footnote>
  <w:footnote w:id="890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בריך דוכרניה.</w:t>
      </w:r>
      <w:r w:rsidRPr="00BD5E91">
        <w:rPr>
          <w:sz w:val="22"/>
          <w:szCs w:val="22"/>
          <w:rtl/>
        </w:rPr>
        <w:t xml:space="preserve"> שהוא נקרא זכרון כל זכורך זכור ספר זכרון:</w:t>
      </w:r>
    </w:p>
  </w:footnote>
  <w:footnote w:id="890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לעלם כו'.</w:t>
      </w:r>
      <w:r w:rsidRPr="00BD5E91">
        <w:rPr>
          <w:sz w:val="22"/>
          <w:szCs w:val="22"/>
          <w:rtl/>
        </w:rPr>
        <w:t xml:space="preserve"> כנ"ל</w:t>
      </w:r>
      <w:r w:rsidRPr="00BD5E91">
        <w:rPr>
          <w:sz w:val="22"/>
          <w:szCs w:val="22"/>
        </w:rPr>
        <w:t>:</w:t>
      </w:r>
    </w:p>
  </w:footnote>
  <w:footnote w:id="891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בתוקפא גלידא.</w:t>
      </w:r>
      <w:r w:rsidRPr="00BD5E91">
        <w:rPr>
          <w:sz w:val="22"/>
          <w:szCs w:val="22"/>
          <w:rtl/>
        </w:rPr>
        <w:t xml:space="preserve"> קרח הנורא משם אצילותיה כידוע:</w:t>
      </w:r>
    </w:p>
  </w:footnote>
  <w:footnote w:id="891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ואפיק ט'.</w:t>
      </w:r>
      <w:r w:rsidRPr="00BD5E91">
        <w:rPr>
          <w:sz w:val="22"/>
          <w:szCs w:val="22"/>
          <w:rtl/>
        </w:rPr>
        <w:t xml:space="preserve"> מלכות:</w:t>
      </w:r>
    </w:p>
  </w:footnote>
  <w:footnote w:id="891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ואיהו גרמא כו'.</w:t>
      </w:r>
      <w:r w:rsidRPr="00BD5E91">
        <w:rPr>
          <w:sz w:val="22"/>
          <w:szCs w:val="22"/>
          <w:rtl/>
        </w:rPr>
        <w:t xml:space="preserve"> ר"ל כמ"ש (מגילה יז ע"ב) למה תקנו ברכת שנים בתשיעית כו' והוא בה כידוע שס"ה יומין כמש"ו:</w:t>
      </w:r>
    </w:p>
  </w:footnote>
  <w:footnote w:id="891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דסלקא כו'.</w:t>
      </w:r>
      <w:r w:rsidRPr="00BD5E91">
        <w:rPr>
          <w:sz w:val="22"/>
          <w:szCs w:val="22"/>
          <w:rtl/>
        </w:rPr>
        <w:t xml:space="preserve"> שהיא הלילה</w:t>
      </w:r>
      <w:r>
        <w:rPr>
          <w:rFonts w:hint="cs"/>
          <w:sz w:val="22"/>
          <w:szCs w:val="22"/>
          <w:rtl/>
        </w:rPr>
        <w:t>,</w:t>
      </w:r>
      <w:r w:rsidRPr="00BD5E91">
        <w:rPr>
          <w:sz w:val="22"/>
          <w:szCs w:val="22"/>
          <w:rtl/>
        </w:rPr>
        <w:t xml:space="preserve"> </w:t>
      </w:r>
      <w:r>
        <w:rPr>
          <w:rFonts w:hint="cs"/>
          <w:sz w:val="22"/>
          <w:szCs w:val="22"/>
          <w:rtl/>
        </w:rPr>
        <w:t xml:space="preserve">(תהלים מב ט) </w:t>
      </w:r>
      <w:r w:rsidRPr="00BD5E91">
        <w:rPr>
          <w:sz w:val="22"/>
          <w:szCs w:val="22"/>
          <w:rtl/>
        </w:rPr>
        <w:t>ובלילה שירה עמי</w:t>
      </w:r>
      <w:r>
        <w:rPr>
          <w:rFonts w:hint="cs"/>
          <w:sz w:val="22"/>
          <w:szCs w:val="22"/>
          <w:rtl/>
        </w:rPr>
        <w:t>,</w:t>
      </w:r>
      <w:r w:rsidRPr="00BD5E91">
        <w:rPr>
          <w:sz w:val="22"/>
          <w:szCs w:val="22"/>
          <w:rtl/>
        </w:rPr>
        <w:t xml:space="preserve"> </w:t>
      </w:r>
      <w:r>
        <w:rPr>
          <w:rFonts w:hint="cs"/>
          <w:sz w:val="22"/>
          <w:szCs w:val="22"/>
          <w:rtl/>
        </w:rPr>
        <w:t xml:space="preserve">(במדבר יד יד) </w:t>
      </w:r>
      <w:r w:rsidRPr="00BD5E91">
        <w:rPr>
          <w:sz w:val="22"/>
          <w:szCs w:val="22"/>
          <w:rtl/>
        </w:rPr>
        <w:t>ובעמוד אש לילה</w:t>
      </w:r>
      <w:r>
        <w:rPr>
          <w:rFonts w:hint="cs"/>
          <w:sz w:val="22"/>
          <w:szCs w:val="22"/>
          <w:rtl/>
        </w:rPr>
        <w:t>.</w:t>
      </w:r>
      <w:r w:rsidRPr="00BD5E91">
        <w:rPr>
          <w:sz w:val="22"/>
          <w:szCs w:val="22"/>
          <w:rtl/>
        </w:rPr>
        <w:t xml:space="preserve"> וביום נכללת בעמוד ענן וסלקא בג' תפלות כידוע</w:t>
      </w:r>
      <w:r>
        <w:rPr>
          <w:rFonts w:hint="cs"/>
          <w:sz w:val="22"/>
          <w:szCs w:val="22"/>
          <w:rtl/>
        </w:rPr>
        <w:t>.</w:t>
      </w:r>
      <w:r w:rsidRPr="00BD5E91">
        <w:rPr>
          <w:sz w:val="22"/>
          <w:szCs w:val="22"/>
          <w:rtl/>
        </w:rPr>
        <w:t xml:space="preserve"> והיא וילון שנכנס שחרית ויוצא ערבית כו' (חגיגה יב ע"ב):</w:t>
      </w:r>
    </w:p>
  </w:footnote>
  <w:footnote w:id="891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טמירא בתלת כו'.</w:t>
      </w:r>
      <w:r w:rsidRPr="00BD5E91">
        <w:rPr>
          <w:sz w:val="22"/>
          <w:szCs w:val="22"/>
          <w:rtl/>
        </w:rPr>
        <w:t xml:space="preserve"> שכנגדה שס"ה ל"ת כידוע:</w:t>
      </w:r>
    </w:p>
  </w:footnote>
  <w:footnote w:id="891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אזלא ונחתא כו'.</w:t>
      </w:r>
      <w:r w:rsidRPr="00BD5E91">
        <w:rPr>
          <w:sz w:val="22"/>
          <w:szCs w:val="22"/>
          <w:rtl/>
        </w:rPr>
        <w:t xml:space="preserve"> כידוע שכל עלייה וירידה בה:</w:t>
      </w:r>
    </w:p>
  </w:footnote>
  <w:footnote w:id="891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טמירא בין כו'.</w:t>
      </w:r>
      <w:r w:rsidRPr="00BD5E91">
        <w:rPr>
          <w:sz w:val="22"/>
          <w:szCs w:val="22"/>
          <w:rtl/>
        </w:rPr>
        <w:t xml:space="preserve"> כידוע בסוד שמאלו תחת כו':</w:t>
      </w:r>
    </w:p>
  </w:footnote>
  <w:footnote w:id="891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גליפא כו'.</w:t>
      </w:r>
      <w:r w:rsidRPr="00BD5E91">
        <w:rPr>
          <w:sz w:val="22"/>
          <w:szCs w:val="22"/>
          <w:rtl/>
        </w:rPr>
        <w:t xml:space="preserve"> כמ"ש </w:t>
      </w:r>
      <w:r>
        <w:rPr>
          <w:rFonts w:hint="cs"/>
          <w:sz w:val="22"/>
          <w:szCs w:val="22"/>
          <w:rtl/>
        </w:rPr>
        <w:t xml:space="preserve">(אסתר ח ח) </w:t>
      </w:r>
      <w:r w:rsidRPr="00BD5E91">
        <w:rPr>
          <w:sz w:val="22"/>
          <w:szCs w:val="22"/>
          <w:rtl/>
        </w:rPr>
        <w:t>כתב כו' ונחתום בטבעת המלך</w:t>
      </w:r>
      <w:r>
        <w:rPr>
          <w:rFonts w:hint="cs"/>
          <w:sz w:val="22"/>
          <w:szCs w:val="22"/>
          <w:rtl/>
        </w:rPr>
        <w:t>. (שם ח ד)</w:t>
      </w:r>
      <w:r w:rsidRPr="00BD5E91">
        <w:rPr>
          <w:sz w:val="22"/>
          <w:szCs w:val="22"/>
          <w:rtl/>
        </w:rPr>
        <w:t xml:space="preserve"> ויושט המלך לאסתר את שרביט כו':</w:t>
      </w:r>
    </w:p>
  </w:footnote>
  <w:footnote w:id="891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פרוונקא.</w:t>
      </w:r>
      <w:r w:rsidRPr="00BD5E91">
        <w:rPr>
          <w:sz w:val="22"/>
          <w:szCs w:val="22"/>
          <w:rtl/>
        </w:rPr>
        <w:t xml:space="preserve"> המלאך הגואל כידוע </w:t>
      </w:r>
      <w:r>
        <w:rPr>
          <w:rFonts w:hint="cs"/>
          <w:sz w:val="22"/>
          <w:szCs w:val="22"/>
          <w:rtl/>
        </w:rPr>
        <w:t xml:space="preserve">(שמות יד יט) </w:t>
      </w:r>
      <w:r w:rsidRPr="00BD5E91">
        <w:rPr>
          <w:sz w:val="22"/>
          <w:szCs w:val="22"/>
          <w:rtl/>
        </w:rPr>
        <w:t>ויסע מלאך כו':</w:t>
      </w:r>
    </w:p>
  </w:footnote>
  <w:footnote w:id="891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דנטיר באורחא.</w:t>
      </w:r>
      <w:r w:rsidRPr="00BD5E91">
        <w:rPr>
          <w:sz w:val="22"/>
          <w:szCs w:val="22"/>
          <w:rtl/>
        </w:rPr>
        <w:t xml:space="preserve"> כמ"ש </w:t>
      </w:r>
      <w:r>
        <w:rPr>
          <w:rFonts w:hint="cs"/>
          <w:sz w:val="22"/>
          <w:szCs w:val="22"/>
          <w:rtl/>
        </w:rPr>
        <w:t xml:space="preserve">(בראשית כח כ) </w:t>
      </w:r>
      <w:r w:rsidRPr="00BD5E91">
        <w:rPr>
          <w:sz w:val="22"/>
          <w:szCs w:val="22"/>
          <w:rtl/>
        </w:rPr>
        <w:t>אם יהיה אלקים עמדי ושמרני כו':</w:t>
      </w:r>
    </w:p>
  </w:footnote>
  <w:footnote w:id="892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דאין כו'.</w:t>
      </w:r>
      <w:r w:rsidRPr="00BD5E91">
        <w:rPr>
          <w:sz w:val="22"/>
          <w:szCs w:val="22"/>
          <w:rtl/>
        </w:rPr>
        <w:t xml:space="preserve"> דהוא ב"ד</w:t>
      </w:r>
      <w:r>
        <w:rPr>
          <w:rFonts w:hint="cs"/>
          <w:sz w:val="22"/>
          <w:szCs w:val="22"/>
          <w:rtl/>
        </w:rPr>
        <w:t>.</w:t>
      </w:r>
      <w:r w:rsidRPr="00BD5E91">
        <w:rPr>
          <w:sz w:val="22"/>
          <w:szCs w:val="22"/>
          <w:rtl/>
        </w:rPr>
        <w:t xml:space="preserve"> וכל מאני זיינא כו'</w:t>
      </w:r>
      <w:r>
        <w:rPr>
          <w:rFonts w:hint="cs"/>
          <w:sz w:val="22"/>
          <w:szCs w:val="22"/>
          <w:rtl/>
        </w:rPr>
        <w:t>. (ירמיהו יח יא)</w:t>
      </w:r>
      <w:r w:rsidRPr="00BD5E91">
        <w:rPr>
          <w:sz w:val="22"/>
          <w:szCs w:val="22"/>
          <w:rtl/>
        </w:rPr>
        <w:t xml:space="preserve"> כה אמר ה' הנה אנכי כו'</w:t>
      </w:r>
      <w:r>
        <w:rPr>
          <w:rFonts w:hint="cs"/>
          <w:sz w:val="22"/>
          <w:szCs w:val="22"/>
          <w:rtl/>
        </w:rPr>
        <w:t>.</w:t>
      </w:r>
      <w:r w:rsidRPr="00BD5E91">
        <w:rPr>
          <w:sz w:val="22"/>
          <w:szCs w:val="22"/>
          <w:rtl/>
        </w:rPr>
        <w:t xml:space="preserve"> כל המכות בכה</w:t>
      </w:r>
      <w:r>
        <w:rPr>
          <w:rFonts w:hint="cs"/>
          <w:sz w:val="22"/>
          <w:szCs w:val="22"/>
          <w:rtl/>
        </w:rPr>
        <w:t>. (שמואל א ד ח)</w:t>
      </w:r>
      <w:r w:rsidRPr="00BD5E91">
        <w:rPr>
          <w:sz w:val="22"/>
          <w:szCs w:val="22"/>
          <w:rtl/>
        </w:rPr>
        <w:t xml:space="preserve"> מי יצילנו מיד האלקים כו':</w:t>
      </w:r>
    </w:p>
  </w:footnote>
  <w:footnote w:id="892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וייתי בעל כו'.</w:t>
      </w:r>
      <w:r w:rsidRPr="00BD5E91">
        <w:rPr>
          <w:sz w:val="22"/>
          <w:szCs w:val="22"/>
          <w:rtl/>
        </w:rPr>
        <w:t xml:space="preserve"> גבורה שהוא מעיין כו':</w:t>
      </w:r>
    </w:p>
  </w:footnote>
  <w:footnote w:id="892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טב וביש כו'.</w:t>
      </w:r>
      <w:r w:rsidRPr="00BD5E91">
        <w:rPr>
          <w:sz w:val="22"/>
          <w:szCs w:val="22"/>
          <w:rtl/>
        </w:rPr>
        <w:t xml:space="preserve"> עץ הדעת טו"ר כנגדה כידוע:</w:t>
      </w:r>
    </w:p>
  </w:footnote>
  <w:footnote w:id="892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חד כו' קיימא כו'.</w:t>
      </w:r>
      <w:r w:rsidRPr="00BD5E91">
        <w:rPr>
          <w:sz w:val="22"/>
          <w:szCs w:val="22"/>
          <w:rtl/>
        </w:rPr>
        <w:t xml:space="preserve"> כמ"ש רגליה יורדות כו':</w:t>
      </w:r>
    </w:p>
  </w:footnote>
  <w:footnote w:id="892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כד אסתלק.</w:t>
      </w:r>
      <w:r w:rsidRPr="00BD5E91">
        <w:rPr>
          <w:sz w:val="22"/>
          <w:szCs w:val="22"/>
          <w:rtl/>
        </w:rPr>
        <w:t xml:space="preserve"> מלכות: </w:t>
      </w:r>
    </w:p>
  </w:footnote>
  <w:footnote w:id="892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בקע ימא.</w:t>
      </w:r>
      <w:r w:rsidRPr="00BD5E91">
        <w:rPr>
          <w:sz w:val="22"/>
          <w:szCs w:val="22"/>
          <w:rtl/>
        </w:rPr>
        <w:t xml:space="preserve"> דבינה:</w:t>
      </w:r>
    </w:p>
  </w:footnote>
  <w:footnote w:id="892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באוירא כו'.</w:t>
      </w:r>
      <w:r w:rsidRPr="00BD5E91">
        <w:rPr>
          <w:sz w:val="22"/>
          <w:szCs w:val="22"/>
          <w:rtl/>
        </w:rPr>
        <w:t xml:space="preserve"> אוירא הנ"ל עד כתר ששם אוירא דמטי כו':</w:t>
      </w:r>
    </w:p>
  </w:footnote>
  <w:footnote w:id="892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קיימא בליליא.</w:t>
      </w:r>
      <w:r w:rsidRPr="00BD5E91">
        <w:rPr>
          <w:sz w:val="22"/>
          <w:szCs w:val="22"/>
          <w:rtl/>
        </w:rPr>
        <w:t xml:space="preserve"> כמ"ש </w:t>
      </w:r>
      <w:r>
        <w:rPr>
          <w:rFonts w:hint="cs"/>
          <w:sz w:val="22"/>
          <w:szCs w:val="22"/>
          <w:rtl/>
        </w:rPr>
        <w:t xml:space="preserve">(משלי לא טו) </w:t>
      </w:r>
      <w:r w:rsidRPr="00BD5E91">
        <w:rPr>
          <w:sz w:val="22"/>
          <w:szCs w:val="22"/>
          <w:rtl/>
        </w:rPr>
        <w:t>ותקם בעוד לילה כו':</w:t>
      </w:r>
    </w:p>
  </w:footnote>
  <w:footnote w:id="892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לעותרין.</w:t>
      </w:r>
      <w:r w:rsidRPr="00BD5E91">
        <w:rPr>
          <w:sz w:val="22"/>
          <w:szCs w:val="22"/>
          <w:rtl/>
        </w:rPr>
        <w:t xml:space="preserve"> כמ"ש </w:t>
      </w:r>
      <w:r>
        <w:rPr>
          <w:rFonts w:hint="cs"/>
          <w:sz w:val="22"/>
          <w:szCs w:val="22"/>
          <w:rtl/>
        </w:rPr>
        <w:t xml:space="preserve">(שם לא כד) </w:t>
      </w:r>
      <w:r w:rsidRPr="00BD5E91">
        <w:rPr>
          <w:sz w:val="22"/>
          <w:szCs w:val="22"/>
          <w:rtl/>
        </w:rPr>
        <w:t>סדין עשתה כו' ור"ל כמו יהב חכמתא כו':</w:t>
      </w:r>
    </w:p>
  </w:footnote>
  <w:footnote w:id="892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אתחבר כו'.</w:t>
      </w:r>
      <w:r w:rsidRPr="00BD5E91">
        <w:rPr>
          <w:sz w:val="22"/>
          <w:szCs w:val="22"/>
          <w:rtl/>
        </w:rPr>
        <w:t xml:space="preserve"> בבעלה ששם רמ"ח מ"ע כידוע:</w:t>
      </w:r>
    </w:p>
  </w:footnote>
  <w:footnote w:id="893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אתקשט כו'.</w:t>
      </w:r>
      <w:r w:rsidRPr="00BD5E91">
        <w:rPr>
          <w:sz w:val="22"/>
          <w:szCs w:val="22"/>
          <w:rtl/>
        </w:rPr>
        <w:t xml:space="preserve"> כל כבודה כו' ממשבצות כו':</w:t>
      </w:r>
    </w:p>
  </w:footnote>
  <w:footnote w:id="893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רבו' כל כו'.</w:t>
      </w:r>
      <w:r w:rsidRPr="00BD5E91">
        <w:rPr>
          <w:sz w:val="22"/>
          <w:szCs w:val="22"/>
          <w:rtl/>
        </w:rPr>
        <w:t xml:space="preserve"> שלכן נקראת ארץ:</w:t>
      </w:r>
    </w:p>
  </w:footnote>
  <w:footnote w:id="893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אגניז כו' ורהיט.</w:t>
      </w:r>
      <w:r w:rsidRPr="00BD5E91">
        <w:rPr>
          <w:sz w:val="22"/>
          <w:szCs w:val="22"/>
          <w:rtl/>
        </w:rPr>
        <w:t xml:space="preserve"> ר"ל צדיק כמ"ש </w:t>
      </w:r>
      <w:r>
        <w:rPr>
          <w:rFonts w:hint="cs"/>
          <w:sz w:val="22"/>
          <w:szCs w:val="22"/>
          <w:rtl/>
        </w:rPr>
        <w:t xml:space="preserve">(משלי יח י) </w:t>
      </w:r>
      <w:r w:rsidRPr="00BD5E91">
        <w:rPr>
          <w:sz w:val="22"/>
          <w:szCs w:val="22"/>
          <w:rtl/>
        </w:rPr>
        <w:t>מגדל כו' שהוא מלכות</w:t>
      </w:r>
      <w:r>
        <w:rPr>
          <w:rFonts w:hint="cs"/>
          <w:sz w:val="22"/>
          <w:szCs w:val="22"/>
          <w:rtl/>
        </w:rPr>
        <w:t>,</w:t>
      </w:r>
      <w:r w:rsidRPr="00BD5E91">
        <w:rPr>
          <w:sz w:val="22"/>
          <w:szCs w:val="22"/>
          <w:rtl/>
        </w:rPr>
        <w:t xml:space="preserve"> ששני מגדלין</w:t>
      </w:r>
      <w:r>
        <w:rPr>
          <w:rFonts w:hint="cs"/>
          <w:sz w:val="22"/>
          <w:szCs w:val="22"/>
          <w:rtl/>
        </w:rPr>
        <w:t>,</w:t>
      </w:r>
      <w:r w:rsidRPr="00BD5E91">
        <w:rPr>
          <w:sz w:val="22"/>
          <w:szCs w:val="22"/>
          <w:rtl/>
        </w:rPr>
        <w:t xml:space="preserve"> א' מגדל השן</w:t>
      </w:r>
      <w:r>
        <w:rPr>
          <w:rFonts w:hint="cs"/>
          <w:sz w:val="22"/>
          <w:szCs w:val="22"/>
          <w:rtl/>
        </w:rPr>
        <w:t>,</w:t>
      </w:r>
      <w:r w:rsidRPr="00BD5E91">
        <w:rPr>
          <w:sz w:val="22"/>
          <w:szCs w:val="22"/>
          <w:rtl/>
        </w:rPr>
        <w:t xml:space="preserve"> ב' מגדל דוד</w:t>
      </w:r>
      <w:r>
        <w:rPr>
          <w:rFonts w:hint="cs"/>
          <w:sz w:val="22"/>
          <w:szCs w:val="22"/>
          <w:rtl/>
        </w:rPr>
        <w:t>,</w:t>
      </w:r>
      <w:r w:rsidRPr="00BD5E91">
        <w:rPr>
          <w:sz w:val="22"/>
          <w:szCs w:val="22"/>
          <w:rtl/>
        </w:rPr>
        <w:t xml:space="preserve"> בו ירוץ כו':</w:t>
      </w:r>
    </w:p>
  </w:footnote>
  <w:footnote w:id="893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 xml:space="preserve">ארונא כו'.  </w:t>
      </w:r>
      <w:r w:rsidRPr="00BD5E91">
        <w:rPr>
          <w:sz w:val="22"/>
          <w:szCs w:val="22"/>
          <w:rtl/>
        </w:rPr>
        <w:t>שהתורה הוא צדיק כידוע:</w:t>
      </w:r>
    </w:p>
  </w:footnote>
  <w:footnote w:id="8934">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אגח קרבא כו'.</w:t>
      </w:r>
      <w:r w:rsidRPr="00BD5E91">
        <w:rPr>
          <w:sz w:val="22"/>
          <w:szCs w:val="22"/>
          <w:rtl/>
        </w:rPr>
        <w:t xml:space="preserve"> כמ"ש </w:t>
      </w:r>
      <w:r>
        <w:rPr>
          <w:rFonts w:hint="cs"/>
          <w:sz w:val="22"/>
          <w:szCs w:val="22"/>
          <w:rtl/>
        </w:rPr>
        <w:t xml:space="preserve">(במדבר י לה) </w:t>
      </w:r>
      <w:r w:rsidRPr="00BD5E91">
        <w:rPr>
          <w:sz w:val="22"/>
          <w:szCs w:val="22"/>
          <w:rtl/>
        </w:rPr>
        <w:t>ויהי בנסוע כו':</w:t>
      </w:r>
    </w:p>
  </w:footnote>
  <w:footnote w:id="8935">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ונטיל נוקמין כו'.</w:t>
      </w:r>
      <w:r w:rsidRPr="00BD5E91">
        <w:rPr>
          <w:sz w:val="22"/>
          <w:szCs w:val="22"/>
          <w:rtl/>
        </w:rPr>
        <w:t xml:space="preserve"> כמ"ש </w:t>
      </w:r>
      <w:r>
        <w:rPr>
          <w:rFonts w:hint="cs"/>
          <w:sz w:val="22"/>
          <w:szCs w:val="22"/>
          <w:rtl/>
        </w:rPr>
        <w:t xml:space="preserve">(איוב כ כז) </w:t>
      </w:r>
      <w:r w:rsidRPr="00BD5E91">
        <w:rPr>
          <w:sz w:val="22"/>
          <w:szCs w:val="22"/>
          <w:rtl/>
        </w:rPr>
        <w:t>וארץ מתקוממה לו</w:t>
      </w:r>
      <w:r>
        <w:rPr>
          <w:rFonts w:hint="cs"/>
          <w:sz w:val="22"/>
          <w:szCs w:val="22"/>
          <w:rtl/>
        </w:rPr>
        <w:t>, (ויקרא כו כה)</w:t>
      </w:r>
      <w:r w:rsidRPr="00BD5E91">
        <w:rPr>
          <w:sz w:val="22"/>
          <w:szCs w:val="22"/>
          <w:rtl/>
        </w:rPr>
        <w:t xml:space="preserve"> נוקמת נקם ברית</w:t>
      </w:r>
      <w:r>
        <w:rPr>
          <w:rFonts w:hint="cs"/>
          <w:sz w:val="22"/>
          <w:szCs w:val="22"/>
          <w:rtl/>
        </w:rPr>
        <w:t>, (שם כו כח)</w:t>
      </w:r>
      <w:r w:rsidRPr="00BD5E91">
        <w:rPr>
          <w:sz w:val="22"/>
          <w:szCs w:val="22"/>
          <w:rtl/>
        </w:rPr>
        <w:t xml:space="preserve"> ויסרתי אף אני שבע כו' כידוע</w:t>
      </w:r>
      <w:r>
        <w:rPr>
          <w:rFonts w:hint="cs"/>
          <w:sz w:val="22"/>
          <w:szCs w:val="22"/>
          <w:rtl/>
        </w:rPr>
        <w:t>, (תהלים מה ד)</w:t>
      </w:r>
      <w:r w:rsidRPr="00BD5E91">
        <w:rPr>
          <w:sz w:val="22"/>
          <w:szCs w:val="22"/>
          <w:rtl/>
        </w:rPr>
        <w:t xml:space="preserve"> חגור חרבך כו'</w:t>
      </w:r>
      <w:r>
        <w:rPr>
          <w:rFonts w:hint="cs"/>
          <w:sz w:val="22"/>
          <w:szCs w:val="22"/>
          <w:rtl/>
        </w:rPr>
        <w:t>, (שם מה ו)</w:t>
      </w:r>
      <w:r w:rsidRPr="00BD5E91">
        <w:rPr>
          <w:sz w:val="22"/>
          <w:szCs w:val="22"/>
          <w:rtl/>
        </w:rPr>
        <w:t xml:space="preserve"> חציך שנונים כו'. </w:t>
      </w:r>
      <w:r>
        <w:rPr>
          <w:rFonts w:hint="cs"/>
          <w:sz w:val="22"/>
          <w:szCs w:val="22"/>
          <w:rtl/>
        </w:rPr>
        <w:t xml:space="preserve">(שם מה ז) </w:t>
      </w:r>
      <w:r w:rsidRPr="00BD5E91">
        <w:rPr>
          <w:sz w:val="22"/>
          <w:szCs w:val="22"/>
          <w:rtl/>
        </w:rPr>
        <w:t>שבט מישור שהוא רומח כמ"ש ויקח שלשה שבטים כו' וכל המזמור עליה כידוע:</w:t>
      </w:r>
    </w:p>
  </w:footnote>
  <w:footnote w:id="8936">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בוצינא כו'.</w:t>
      </w:r>
      <w:r w:rsidRPr="00BD5E91">
        <w:rPr>
          <w:sz w:val="22"/>
          <w:szCs w:val="22"/>
          <w:rtl/>
        </w:rPr>
        <w:t xml:space="preserve"> שכינה על הצדיקים:</w:t>
      </w:r>
    </w:p>
  </w:footnote>
  <w:footnote w:id="8937">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ל"ל חושבנא.</w:t>
      </w:r>
      <w:r w:rsidRPr="00BD5E91">
        <w:rPr>
          <w:sz w:val="22"/>
          <w:szCs w:val="22"/>
          <w:rtl/>
        </w:rPr>
        <w:t xml:space="preserve"> כמ"ש</w:t>
      </w:r>
      <w:r>
        <w:rPr>
          <w:rFonts w:hint="cs"/>
          <w:sz w:val="22"/>
          <w:szCs w:val="22"/>
          <w:rtl/>
        </w:rPr>
        <w:t xml:space="preserve"> (תקוני הזהר בהקדמה דף יד ע"ב)</w:t>
      </w:r>
      <w:r w:rsidRPr="00BD5E91">
        <w:rPr>
          <w:sz w:val="22"/>
          <w:szCs w:val="22"/>
          <w:rtl/>
        </w:rPr>
        <w:t xml:space="preserve"> ועלמות אין כו' ואמרו א"ת עלמות אלא כו':</w:t>
      </w:r>
    </w:p>
  </w:footnote>
  <w:footnote w:id="8938">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תחומין כו'.</w:t>
      </w:r>
      <w:r w:rsidRPr="00BD5E91">
        <w:rPr>
          <w:sz w:val="22"/>
          <w:szCs w:val="22"/>
          <w:rtl/>
        </w:rPr>
        <w:t xml:space="preserve"> ים כנרת הוא בריאה ששם התכלת כידוע:</w:t>
      </w:r>
    </w:p>
  </w:footnote>
  <w:footnote w:id="8939">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אתתחמא כו'.</w:t>
      </w:r>
      <w:r w:rsidRPr="00BD5E91">
        <w:rPr>
          <w:sz w:val="22"/>
          <w:szCs w:val="22"/>
          <w:rtl/>
        </w:rPr>
        <w:t xml:space="preserve"> ד' כנפות הארץ כמש"ל:</w:t>
      </w:r>
    </w:p>
  </w:footnote>
  <w:footnote w:id="8940">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ארבע כו'.</w:t>
      </w:r>
      <w:r w:rsidRPr="00BD5E91">
        <w:rPr>
          <w:sz w:val="22"/>
          <w:szCs w:val="22"/>
          <w:rtl/>
        </w:rPr>
        <w:t xml:space="preserve"> ד' אופנים:</w:t>
      </w:r>
    </w:p>
  </w:footnote>
  <w:footnote w:id="8941">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תרין רביין.</w:t>
      </w:r>
      <w:r w:rsidRPr="00BD5E91">
        <w:rPr>
          <w:sz w:val="22"/>
          <w:szCs w:val="22"/>
          <w:rtl/>
        </w:rPr>
        <w:t xml:space="preserve"> מט"ט וסנדל:</w:t>
      </w:r>
    </w:p>
  </w:footnote>
  <w:footnote w:id="8942">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טס בהו כו'.</w:t>
      </w:r>
      <w:r w:rsidRPr="00BD5E91">
        <w:rPr>
          <w:sz w:val="22"/>
          <w:szCs w:val="22"/>
          <w:rtl/>
        </w:rPr>
        <w:t xml:space="preserve"> ידוע:</w:t>
      </w:r>
    </w:p>
  </w:footnote>
  <w:footnote w:id="8943">
    <w:p w:rsidR="00007309" w:rsidRPr="00BD5E91" w:rsidRDefault="00007309" w:rsidP="00007309">
      <w:pPr>
        <w:pStyle w:val="a5"/>
        <w:rPr>
          <w:sz w:val="22"/>
          <w:szCs w:val="22"/>
          <w:rtl/>
        </w:rPr>
      </w:pPr>
      <w:r w:rsidRPr="00BD5E91">
        <w:rPr>
          <w:rStyle w:val="a7"/>
          <w:sz w:val="22"/>
          <w:szCs w:val="22"/>
          <w:rtl/>
        </w:rPr>
        <w:footnoteRef/>
      </w:r>
      <w:r w:rsidRPr="00BD5E91">
        <w:rPr>
          <w:sz w:val="22"/>
          <w:szCs w:val="22"/>
          <w:rtl/>
        </w:rPr>
        <w:t xml:space="preserve"> </w:t>
      </w:r>
      <w:r w:rsidRPr="00BD5E91">
        <w:rPr>
          <w:b/>
          <w:bCs/>
          <w:sz w:val="22"/>
          <w:szCs w:val="22"/>
          <w:rtl/>
        </w:rPr>
        <w:t>בריך כו'.</w:t>
      </w:r>
      <w:r w:rsidRPr="00BD5E91">
        <w:rPr>
          <w:sz w:val="22"/>
          <w:szCs w:val="22"/>
          <w:rtl/>
        </w:rPr>
        <w:t xml:space="preserve"> בכל קו האמצעי שבו אמר בריך:</w:t>
      </w:r>
    </w:p>
    <w:p w:rsidR="00007309" w:rsidRPr="00BD5E91" w:rsidRDefault="00007309" w:rsidP="00007309">
      <w:pPr>
        <w:pStyle w:val="a5"/>
        <w:rPr>
          <w:sz w:val="22"/>
          <w:szCs w:val="22"/>
          <w:rtl/>
        </w:rPr>
      </w:pPr>
      <w:r w:rsidRPr="00BD5E91">
        <w:rPr>
          <w:sz w:val="22"/>
          <w:szCs w:val="22"/>
          <w:rtl/>
        </w:rPr>
        <w:t>סליק בס"ד באורי הגר"א על תז"ח. בריך רחמנא דסייען:</w:t>
      </w:r>
    </w:p>
  </w:footnote>
  <w:footnote w:id="8944">
    <w:p w:rsidR="00007309" w:rsidRPr="00D65106" w:rsidRDefault="00007309" w:rsidP="00007309">
      <w:pPr>
        <w:pStyle w:val="a5"/>
        <w:rPr>
          <w:rFonts w:ascii="Arial" w:hAnsi="Arial"/>
        </w:rPr>
      </w:pPr>
      <w:r w:rsidRPr="00D65106">
        <w:rPr>
          <w:rStyle w:val="a7"/>
          <w:rFonts w:ascii="Arial" w:eastAsiaTheme="majorEastAsia" w:hAnsi="Arial"/>
        </w:rPr>
        <w:footnoteRef/>
      </w:r>
      <w:r w:rsidRPr="00D65106">
        <w:rPr>
          <w:rFonts w:ascii="Arial" w:hAnsi="Arial"/>
        </w:rPr>
        <w:t xml:space="preserve"> </w:t>
      </w:r>
      <w:r w:rsidRPr="00D65106">
        <w:rPr>
          <w:rFonts w:ascii="Arial" w:hAnsi="Arial"/>
          <w:rtl/>
        </w:rPr>
        <w:t xml:space="preserve"> </w:t>
      </w:r>
      <w:r w:rsidRPr="00D65106">
        <w:rPr>
          <w:rFonts w:ascii="Arial" w:hAnsi="Arial"/>
          <w:b/>
          <w:bCs/>
          <w:rtl/>
        </w:rPr>
        <w:t>ה' אלקינו ה' רזא דארביסר כו' עילא ואמצעיתא ותתא כו'.</w:t>
      </w:r>
      <w:r w:rsidRPr="00D65106">
        <w:rPr>
          <w:rFonts w:ascii="Arial" w:hAnsi="Arial"/>
          <w:rtl/>
        </w:rPr>
        <w:t xml:space="preserve"> ר"ל בינה שכולל ג"ר נק' עילא. ו"ק אמצעיתא. מלכות תתא</w:t>
      </w:r>
      <w:r>
        <w:rPr>
          <w:rFonts w:ascii="Arial" w:hAnsi="Arial" w:hint="cs"/>
          <w:rtl/>
        </w:rPr>
        <w:t>.</w:t>
      </w:r>
      <w:r w:rsidRPr="00D65106">
        <w:rPr>
          <w:rFonts w:ascii="Arial" w:hAnsi="Arial"/>
          <w:rtl/>
        </w:rPr>
        <w:t xml:space="preserve"> כמש"ו חד לעילא כו'</w:t>
      </w:r>
      <w:r>
        <w:rPr>
          <w:rFonts w:ascii="Arial" w:hAnsi="Arial" w:hint="cs"/>
          <w:rtl/>
        </w:rPr>
        <w:t>.</w:t>
      </w:r>
      <w:r w:rsidRPr="00D65106">
        <w:rPr>
          <w:rFonts w:ascii="Arial" w:hAnsi="Arial"/>
          <w:rtl/>
        </w:rPr>
        <w:t xml:space="preserve"> רזא דמשה אכליל כו'. ר"ל משה דרגא דת"ת בגו חו"ג אברהם ויצחק. ואמר אכליל גרמיה ר"ל לכך אמר אלקינו לכלול גם עצמו. והענין כי משה דרגא דהתפשטות בינה בעד"א וזהו בינה, לבא ב</w:t>
      </w:r>
      <w:r>
        <w:rPr>
          <w:rFonts w:ascii="Arial" w:hAnsi="Arial"/>
          <w:rtl/>
        </w:rPr>
        <w:t>גו גופא, עד"א וז"ש אכליל גרמיה:</w:t>
      </w:r>
    </w:p>
  </w:footnote>
  <w:footnote w:id="8945">
    <w:p w:rsidR="00007309" w:rsidRDefault="00007309" w:rsidP="00007309">
      <w:pPr>
        <w:pStyle w:val="a5"/>
        <w:rPr>
          <w:rtl/>
        </w:rPr>
      </w:pPr>
      <w:r>
        <w:rPr>
          <w:rStyle w:val="a7"/>
          <w:rFonts w:eastAsiaTheme="majorEastAsia"/>
        </w:rPr>
        <w:footnoteRef/>
      </w:r>
      <w:r>
        <w:t xml:space="preserve"> </w:t>
      </w:r>
      <w:r>
        <w:rPr>
          <w:rFonts w:hint="cs"/>
          <w:rtl/>
        </w:rPr>
        <w:t xml:space="preserve"> </w:t>
      </w:r>
      <w:r w:rsidRPr="00D65106">
        <w:rPr>
          <w:rFonts w:ascii="Arial" w:hAnsi="Arial"/>
          <w:b/>
          <w:bCs/>
          <w:rtl/>
        </w:rPr>
        <w:t>וכד אתחברן אתוון כו'.</w:t>
      </w:r>
      <w:r w:rsidRPr="00D65106">
        <w:rPr>
          <w:rFonts w:ascii="Arial" w:hAnsi="Arial"/>
          <w:rtl/>
        </w:rPr>
        <w:t xml:space="preserve"> ר"ל תרין עלמין בינה ומלכות כידוע שכל עלמא הוא בנוק' מן העולם ועד עולם והן מתחברים ביחד ע"י עד"א כי בינה מסתיימת בו עד החזה ושם מתחלת מלכות כידוע וז"ש בפ' שלח לך דף קס"ב ע"א תרי אינון וחד אשתתף בהו ואינון תלתא וכד הוו תלתא אינון חד א"ל אלין תרין שמהן דשמע ישראל דאינון ה' ה' אלקינו אשתתף בהו ואיהו חותמא דגושפנקא אמת וכד מתחברין כחדא אינון חד ביחודא חדא והוא עד"א שהוא נקרא אמת חותמא דגושפנקא כמ"ש חותמו של הקב"ה אמת. והענין כי מורה על ראשון ואחרון ואמצע שהן תלת דרגין בינה עד"א מלכות היה הוה יהיה וכולם מתייחדים בעד"א שלכן נקר' אמת א' ראש אותיות ות' סופן ומ' מכוון באמצע (א.ה. עם הסופיות) וכן האותיות מורים עליהם כידוע ועד"א בו ו"ק וחזה הוא באמצע כי חג"ת מתקשרין בבינה ונה"י במלכות כידוע בהרבה מקומות וזהו שאלקינו מתפלג תלת אתוון לה' הראשון וג' לה' השני והן שבעה ושבעה כמש"ו וכמ"ש שבע' ימים ושבע' ימים וכמ"ש בז"ח ש"ה:</w:t>
      </w:r>
    </w:p>
  </w:footnote>
  <w:footnote w:id="8946">
    <w:p w:rsidR="00007309" w:rsidRDefault="00007309" w:rsidP="00007309">
      <w:pPr>
        <w:pStyle w:val="a5"/>
        <w:rPr>
          <w:rtl/>
        </w:rPr>
      </w:pPr>
      <w:r>
        <w:rPr>
          <w:rStyle w:val="a7"/>
          <w:rFonts w:eastAsiaTheme="majorEastAsia"/>
        </w:rPr>
        <w:footnoteRef/>
      </w:r>
      <w:r>
        <w:t xml:space="preserve"> </w:t>
      </w:r>
      <w:r>
        <w:rPr>
          <w:rFonts w:hint="cs"/>
          <w:rtl/>
        </w:rPr>
        <w:t xml:space="preserve"> </w:t>
      </w:r>
      <w:r w:rsidRPr="00D65106">
        <w:rPr>
          <w:rFonts w:ascii="Arial" w:hAnsi="Arial"/>
          <w:b/>
          <w:bCs/>
          <w:rtl/>
        </w:rPr>
        <w:t>עד דלית שיעורא וא"ס.</w:t>
      </w:r>
      <w:r w:rsidRPr="00D65106">
        <w:rPr>
          <w:rFonts w:ascii="Arial" w:hAnsi="Arial"/>
          <w:rtl/>
        </w:rPr>
        <w:t xml:space="preserve"> ר"ל לכתר שנקרא א"ס כידוע:</w:t>
      </w:r>
      <w:r w:rsidRPr="00D65106">
        <w:rPr>
          <w:rFonts w:ascii="Arial" w:hAnsi="Arial"/>
          <w:b/>
          <w:bCs/>
          <w:rtl/>
        </w:rPr>
        <w:t xml:space="preserve"> </w:t>
      </w:r>
    </w:p>
  </w:footnote>
  <w:footnote w:id="8947">
    <w:p w:rsidR="00007309" w:rsidRDefault="00007309" w:rsidP="00007309">
      <w:pPr>
        <w:pStyle w:val="a5"/>
      </w:pPr>
      <w:r>
        <w:rPr>
          <w:rStyle w:val="a7"/>
          <w:rFonts w:eastAsiaTheme="majorEastAsia"/>
        </w:rPr>
        <w:footnoteRef/>
      </w:r>
      <w:r>
        <w:t xml:space="preserve"> </w:t>
      </w:r>
      <w:r>
        <w:rPr>
          <w:rFonts w:hint="cs"/>
          <w:rtl/>
        </w:rPr>
        <w:t xml:space="preserve"> </w:t>
      </w:r>
      <w:r w:rsidRPr="00D65106">
        <w:rPr>
          <w:rFonts w:ascii="Arial" w:hAnsi="Arial"/>
          <w:b/>
          <w:bCs/>
          <w:rtl/>
        </w:rPr>
        <w:t>ואחסין תרין עלמין כו'.</w:t>
      </w:r>
      <w:r w:rsidRPr="00D65106">
        <w:rPr>
          <w:rFonts w:ascii="Arial" w:hAnsi="Arial"/>
          <w:b/>
          <w:bCs/>
        </w:rPr>
        <w:t xml:space="preserve"> </w:t>
      </w:r>
      <w:r w:rsidRPr="00D65106">
        <w:rPr>
          <w:rFonts w:ascii="Arial" w:hAnsi="Arial"/>
          <w:rtl/>
        </w:rPr>
        <w:t>שזה הסוד בנוי על תרין עלמין כנ"ל:</w:t>
      </w:r>
    </w:p>
  </w:footnote>
  <w:footnote w:id="8948">
    <w:p w:rsidR="00007309" w:rsidRDefault="00007309" w:rsidP="00007309">
      <w:pPr>
        <w:pStyle w:val="a5"/>
      </w:pPr>
      <w:r>
        <w:rPr>
          <w:rStyle w:val="a7"/>
          <w:rFonts w:eastAsiaTheme="majorEastAsia"/>
        </w:rPr>
        <w:footnoteRef/>
      </w:r>
      <w:r>
        <w:t xml:space="preserve"> </w:t>
      </w:r>
      <w:r>
        <w:rPr>
          <w:rFonts w:hint="cs"/>
          <w:rtl/>
        </w:rPr>
        <w:t xml:space="preserve"> </w:t>
      </w:r>
      <w:r w:rsidRPr="00D65106">
        <w:rPr>
          <w:rFonts w:ascii="Arial" w:hAnsi="Arial"/>
          <w:b/>
          <w:bCs/>
          <w:rtl/>
        </w:rPr>
        <w:t>קו המדה אורך ורוחב כו'.</w:t>
      </w:r>
      <w:r w:rsidRPr="00D65106">
        <w:rPr>
          <w:rFonts w:ascii="Arial" w:hAnsi="Arial"/>
          <w:rtl/>
        </w:rPr>
        <w:t xml:space="preserve"> הן שית סטרין אורך ורוחב עומקא ורומא עיגולא ורבועא שיסוד קו המדה הוא (על עד"א והוא) וא"ו שהוא קו המדה כמ"ש בת"ה דט"ו א' ודא איהו רזא דקו המדה דאיהו ו' כו' ע"ש כל הענין וכן בתי"ט ד' ל"ז ע"ב מאי קו דא אות ו' כו':</w:t>
      </w:r>
    </w:p>
  </w:footnote>
  <w:footnote w:id="8949">
    <w:p w:rsidR="00007309" w:rsidRDefault="00007309" w:rsidP="00007309">
      <w:pPr>
        <w:pStyle w:val="a5"/>
        <w:rPr>
          <w:rtl/>
        </w:rPr>
      </w:pPr>
      <w:r>
        <w:rPr>
          <w:rStyle w:val="a7"/>
          <w:rFonts w:eastAsiaTheme="majorEastAsia"/>
        </w:rPr>
        <w:footnoteRef/>
      </w:r>
      <w:r>
        <w:t xml:space="preserve"> </w:t>
      </w:r>
      <w:r>
        <w:rPr>
          <w:rFonts w:hint="cs"/>
          <w:rtl/>
        </w:rPr>
        <w:t xml:space="preserve"> </w:t>
      </w:r>
      <w:r w:rsidRPr="00D65106">
        <w:rPr>
          <w:rFonts w:ascii="Arial" w:hAnsi="Arial"/>
          <w:b/>
          <w:bCs/>
          <w:rtl/>
        </w:rPr>
        <w:t>בתליסר תרעין כו'.</w:t>
      </w:r>
      <w:r w:rsidRPr="00D65106">
        <w:rPr>
          <w:rFonts w:ascii="Arial" w:hAnsi="Arial"/>
          <w:rtl/>
        </w:rPr>
        <w:t xml:space="preserve"> ר"ל זהו גימטרי' אחד כמש"ו כד מתגלפי בגילופייהו כולא חד במשחתא ור"ל וזהו אחד וכן בתז"ח ד' ע"ט ע"ג ג' קשרין ה' אלקינו ה' כו' ומשחתא דלהון אחד במדידו דאורכא ופותיא ועומקא ורומא עגולא ורבועא כו':</w:t>
      </w:r>
      <w:r w:rsidRPr="00D65106">
        <w:rPr>
          <w:rFonts w:ascii="Arial" w:hAnsi="Arial"/>
          <w:b/>
          <w:bCs/>
          <w:rtl/>
        </w:rPr>
        <w:t xml:space="preserve"> </w:t>
      </w:r>
    </w:p>
  </w:footnote>
  <w:footnote w:id="8950">
    <w:p w:rsidR="00007309" w:rsidRDefault="00007309" w:rsidP="00007309">
      <w:pPr>
        <w:pStyle w:val="a5"/>
      </w:pPr>
      <w:r>
        <w:rPr>
          <w:rStyle w:val="a7"/>
          <w:rFonts w:eastAsiaTheme="majorEastAsia"/>
        </w:rPr>
        <w:footnoteRef/>
      </w:r>
      <w:r>
        <w:t xml:space="preserve"> </w:t>
      </w:r>
      <w:r>
        <w:rPr>
          <w:rFonts w:hint="cs"/>
          <w:rtl/>
        </w:rPr>
        <w:t xml:space="preserve"> </w:t>
      </w:r>
      <w:r w:rsidRPr="00D65106">
        <w:rPr>
          <w:rFonts w:ascii="Arial" w:hAnsi="Arial"/>
          <w:b/>
          <w:bCs/>
          <w:rtl/>
        </w:rPr>
        <w:t>ואינון שתא ועשרין לתרין סטרין.</w:t>
      </w:r>
      <w:r w:rsidRPr="00D65106">
        <w:rPr>
          <w:rFonts w:ascii="Arial" w:hAnsi="Arial"/>
          <w:rtl/>
        </w:rPr>
        <w:t xml:space="preserve"> שכל מדה יש לו שני קצוות שלכן ו"ק מתפלגין לי"ב גבולי אלכסון ולכן בו שם הוי"ה גימטרי' כ"ו:</w:t>
      </w:r>
    </w:p>
  </w:footnote>
  <w:footnote w:id="8951">
    <w:p w:rsidR="00007309" w:rsidRDefault="00007309" w:rsidP="00007309">
      <w:pPr>
        <w:pStyle w:val="a5"/>
      </w:pPr>
      <w:r>
        <w:rPr>
          <w:rStyle w:val="a7"/>
          <w:rFonts w:eastAsiaTheme="majorEastAsia"/>
        </w:rPr>
        <w:footnoteRef/>
      </w:r>
      <w:r>
        <w:t xml:space="preserve"> </w:t>
      </w:r>
      <w:r>
        <w:rPr>
          <w:rFonts w:hint="cs"/>
          <w:rtl/>
        </w:rPr>
        <w:t xml:space="preserve"> </w:t>
      </w:r>
      <w:r w:rsidRPr="00D65106">
        <w:rPr>
          <w:rFonts w:ascii="Arial" w:hAnsi="Arial"/>
          <w:b/>
          <w:bCs/>
          <w:rtl/>
        </w:rPr>
        <w:t>נהורא דלא קיימא בנהורא.</w:t>
      </w:r>
      <w:r w:rsidRPr="00D65106">
        <w:rPr>
          <w:rFonts w:ascii="Arial" w:hAnsi="Arial"/>
          <w:rtl/>
        </w:rPr>
        <w:t xml:space="preserve"> הוא רדל"א ולא אתדבק כו' כמ"ש בא"ז:</w:t>
      </w:r>
    </w:p>
  </w:footnote>
  <w:footnote w:id="8952">
    <w:p w:rsidR="00007309" w:rsidRDefault="00007309" w:rsidP="00007309">
      <w:pPr>
        <w:pStyle w:val="a5"/>
        <w:rPr>
          <w:rtl/>
        </w:rPr>
      </w:pPr>
      <w:r>
        <w:rPr>
          <w:rStyle w:val="a7"/>
          <w:rFonts w:eastAsiaTheme="majorEastAsia"/>
        </w:rPr>
        <w:footnoteRef/>
      </w:r>
      <w:r>
        <w:t xml:space="preserve"> </w:t>
      </w:r>
      <w:r>
        <w:rPr>
          <w:rFonts w:hint="cs"/>
          <w:rtl/>
        </w:rPr>
        <w:t xml:space="preserve"> </w:t>
      </w:r>
      <w:r w:rsidRPr="00D65106">
        <w:rPr>
          <w:rFonts w:ascii="Arial" w:hAnsi="Arial"/>
          <w:b/>
          <w:bCs/>
          <w:rtl/>
        </w:rPr>
        <w:t>גליף.</w:t>
      </w:r>
      <w:r w:rsidRPr="00D65106">
        <w:rPr>
          <w:rFonts w:ascii="Arial" w:hAnsi="Arial"/>
          <w:rtl/>
        </w:rPr>
        <w:t xml:space="preserve"> שהאי רדל"א הוא גליף במ"ס ואתטמר גו רעוא דרעוין כמ"ש בא"ז רפ"ט ע"א וההוא רישא סתימא דברישא דעתיקא דלא אתיידע כד פשיט חד טורנא כו' ע"ש היטב וכן שם בד' הקודם ע"ב מצחא דאתגלי בע"ק רצון איקרי דהא רישא עילאה כו' עש"ה:</w:t>
      </w:r>
    </w:p>
  </w:footnote>
  <w:footnote w:id="8953">
    <w:p w:rsidR="00007309" w:rsidRDefault="00007309" w:rsidP="00007309">
      <w:pPr>
        <w:pStyle w:val="a5"/>
        <w:rPr>
          <w:rtl/>
        </w:rPr>
      </w:pPr>
      <w:r>
        <w:rPr>
          <w:rStyle w:val="a7"/>
          <w:rFonts w:eastAsiaTheme="majorEastAsia"/>
        </w:rPr>
        <w:footnoteRef/>
      </w:r>
      <w:r>
        <w:t xml:space="preserve"> </w:t>
      </w:r>
      <w:r>
        <w:rPr>
          <w:rFonts w:hint="cs"/>
          <w:rtl/>
        </w:rPr>
        <w:t xml:space="preserve"> </w:t>
      </w:r>
      <w:r w:rsidRPr="00D65106">
        <w:rPr>
          <w:rFonts w:ascii="Arial" w:hAnsi="Arial"/>
          <w:b/>
          <w:bCs/>
          <w:rtl/>
        </w:rPr>
        <w:t>ונפיק נציצו דכל נציצין.</w:t>
      </w:r>
      <w:r w:rsidRPr="00D65106">
        <w:rPr>
          <w:rFonts w:ascii="Arial" w:hAnsi="Arial"/>
          <w:rtl/>
        </w:rPr>
        <w:t xml:space="preserve"> הוא בוצינא דקרדינותא הנזכר בכמה מקומות כמו שאומר למטה והאי נציצו סלקא ונחתא והאי אקרי בוצינא דקרדינותא כו'. וענין בוצינא דקרדינותא הוא דעת שהוא קו המדה וא"ו דנפיק כו' כנ"ל שהוא וא"ו כידוע והוא מתפשט בכל כמ"ש ובדעת חדרים ימלאו כו' וכמ"ש בא"ז רפ"ט ע"ב ועייל לגו דגופא ומלייא כל אינון אדרין כו' ע"ש ואמר בפ' משפטים קכ"ג א' דעת גניז בפומא דמלכא והוא באלו ג' קשרים של חו"ל [חו"ל ר"ת חיך ולשון] כמ"ש לקמן ובתז"ח ד' ע"ט ע"ש כל המאמר שעל זה השורש הולך כל המאמר של שם ובדעת תרין עטרין חו"ג כמ"ש בא"ז ד' רצ"א ע"א דא תרין עטרין דהוו גניזין כו' ע"ש ובד' רצ"ב ע"ב ותרין גניזין דיליה כו' ע"ש ובוצינא דקרדינותא הוא עיטרא דגבורה של הדעת והוא נקרא נציצו והוא גניז באימא כמ"ש שם תרין עיטרין דהוו גניזין כו' ומסט' דאימא חד עיטרא דאקרי גבורה ואמר שם ד' רצ"ב ע"ב מבוצינא דקרדוניתא נפיק ניצוצא פטישא תקיפא דבטיש כו' ואכליל לניצוצא דנפיק מבוצינא דקרדינותא דגניז במעוי דאימא כו' וז"ס ואלה המלכים כו' בארץ אדום שהיא בינה שע"י כן אתחרבו כמ"ש בא"ר ושם בא"ז בד' רצ"ג ע"א מאי סטרא דאימא גבורה תקיפא כו' ועיטרא דחסד נקרא אוירא דכיא והוא גנוז באבא כמ"ש במאמר הנ"ל ולכן ע"י התבסמות באוירא דכיא נתתקנו עלמין קדמאין כמ"ש במאמר הנ"ל ובד' רצ"ה ע"א נפיק ההוא נצוצא בוצינא דקרדינותא כו' כד אימא אתמשכת ואתכלילת באוירא דכיא ההוא חוורא נקיט אימא וניצוצא עאלת ונפקת ואתאחד דא בדא כו' ובא"ר ד' קל"ה ע"ב תאנא כד סליק ברעותי' כו' ואפיק מבוצינא דקרדינותא חד ניצוצא כו' ע"ש עד אתקרי גולגלתא תקיפא ואמר שם אשא מסט' חד ואוירא מסט' חד והן תרין עיטרין חו"ג ניצוצא ואוירא כמש"ו אבל בוצינא דא כו' ודינא מסטרוי אשתכח ור"ל שעטרא דגבורה שהוא במעוי דאמא אף שבאימא אין שם דין מ"מ דינא מסטרהא בהתפשטות למטה התרין עיטרן וזהו בכ"מ דבינה דינין מסטרהא ור"ל נהיר למאתן ושבעין עלמין הן מסטרא דבוצינא דקרדינותא וכן בכ"מ שנזכר מאתן וע' עלמין הוא מסטרא דבוצינא דקרדינותא כמו ברעוא דרעוין דשם גניז האי ניצוצא כמש"ל אמר בא"ר ד' קכ"ט ע"ב האי מצחא אתפשט במאתן וע' אלפין נהירין דבוצינא והן כ"ז אותיות התורה דאתגליפו בבוצינא דקרדינותא כידוע דבוצינא גליף גליפין וכמ"ש בס"י חקקן חצבן צרפן שקלן והכל בסטרא דגבורה שלכן וידבר אלקים את כל הדברים האלה ובבינה ניתנה התורה אנכי כו' כידוע ובהרבה מקומות וכמ"ש תורה בגבורה ניתנה (א.ה. מפי הגבורה) וכל אות סליק לעשר כידוע והן מאתן ושבעין עלמין קדמאין ע"י בוצינא דקרדינותא יצא ולכן לא אתקיימו בסטרא דדינא עד דאשתתף בהדיה אוירא עיטרא דחסד כמ"ש בא"ר קמ"ב ע"א בגין לאתבסמא גבורה דא דכליל ה' גבוראן בהאי חסד דכליל ה' חסדים כו' והן שני עטרין הנ"ל כידוע ה"ח וה"ג דעת ואמר שם ובג"כ בכולהו כתרים כו' ע"ש עד אתבסמו ואתכלילו דא בדא. והענין כי תחלה יצאו בעטרא דגבורה והוא תקוני נוקבא ואח"כ יצא עטרא דחסד תקוני דכורא כידוע שעטרא דחסד בז"א ועטרא דגבורה בנוקבא וכן הם תחלה באו"א כנ"ל וע"י שניהם נעשה אדם זו"נ ואתבסמו וכן שם בד' קל"ה תאנא בצניעותא דספרא כו' בארץ אדום באתר דכל דינין כו' והוא עטרא דגבורה במעוי דאימא ושם תאנא הוא גזירת דינא כו' אלף אלפין כו' והוא דעת שבו אלף אלפין אכסדרין כמ"ש שם קל"ו ע"א מחללא תליתאה נפקי אלף אלפין כו' והוא דעת מוחא תליתאה כמ"ש בא"ר וא"ז ואמר שם תאנא בכל קוצא וקוצא מתאחדין אלף אלפין כו' מאינון תקיפין ולכן לא יתקיימו עד שיצא עטרא דחסד וז"ש מתחלה עלה במחשבה לברוא במה"ד ראה שאין מתקיים העולם במה"ד שיתף עמו מדה"ר וזהו עלמין קדמאין דאתברירו במחשבה וזהו עלה במחשבה ונתחרבו וזהו ראה שאין מתקיים כו' שיתף כו' וזהו התיקון. ואלו שני העיטרין גנוזים במעוי דאו"א כמ"ש במאמר הנ"ל בא"ז ואוריתו לבן והוא יהיב עטרא דגבורה לברתא ותרין העיטרין באו"א אינן מעצמן כמ"ש שם גניזין בגווייהו אלא מחו"ג דא"א, וחו"ג דא"א מחו"ב שלו כמו זו"נ מאו"א חו"ב, וחו"ב של או"א ירתין מחו"ג דרדל"א שהן גנוזין בתוך חו"ב דא"א כידוע ולמעלה מזה אין רשות לדבר שג"ר דרדל"א לא אתיידע ולא אתדבק וזהו התחלת הבוצינא דקרדינותא ואוירא דכיא, חו"ג דרדל"א דבטש במ"ס של א"א כמ"ש בא"ז רפ"ט במאמר הנ"ל וההוא רישא סתימאה כו' כנ"ל ואתגליף במוחא ששם בוצינא כנ"ל ואוירא גניז גו אוירא דקד"א ששם חסד דרדל"א והוא רוחא דגניז בעתיק יומין חסד:</w:t>
      </w:r>
    </w:p>
  </w:footnote>
  <w:footnote w:id="8954">
    <w:p w:rsidR="00007309" w:rsidRDefault="00007309" w:rsidP="00007309">
      <w:pPr>
        <w:pStyle w:val="a5"/>
      </w:pPr>
      <w:r>
        <w:rPr>
          <w:rStyle w:val="a7"/>
          <w:rFonts w:eastAsiaTheme="majorEastAsia"/>
        </w:rPr>
        <w:footnoteRef/>
      </w:r>
      <w:r>
        <w:t xml:space="preserve"> </w:t>
      </w:r>
      <w:r>
        <w:rPr>
          <w:rFonts w:hint="cs"/>
          <w:rtl/>
        </w:rPr>
        <w:t xml:space="preserve"> </w:t>
      </w:r>
      <w:r w:rsidRPr="00D65106">
        <w:rPr>
          <w:rFonts w:ascii="Arial" w:hAnsi="Arial"/>
          <w:b/>
          <w:bCs/>
          <w:rtl/>
        </w:rPr>
        <w:t>נציצו דכל נציצין.</w:t>
      </w:r>
      <w:r w:rsidRPr="00D65106">
        <w:rPr>
          <w:rFonts w:ascii="Arial" w:hAnsi="Arial"/>
          <w:rtl/>
        </w:rPr>
        <w:t xml:space="preserve"> שכל סטרא דגבורה הוא מתנוצץ בגוונים כידוע והאי בוצינא שורש כל הגבורות וז"ש נציצו דכל נציצין וכן כל מדידו בסט' דגבורה שכל התפשטות הוא רחמים וכל מדידו וגבול הוא דין ולכן הוא קו המדה:</w:t>
      </w:r>
    </w:p>
  </w:footnote>
  <w:footnote w:id="8955">
    <w:p w:rsidR="00007309" w:rsidRDefault="00007309" w:rsidP="00007309">
      <w:pPr>
        <w:pStyle w:val="a5"/>
        <w:rPr>
          <w:rtl/>
        </w:rPr>
      </w:pPr>
      <w:r>
        <w:rPr>
          <w:rStyle w:val="a7"/>
          <w:rFonts w:eastAsiaTheme="majorEastAsia"/>
        </w:rPr>
        <w:footnoteRef/>
      </w:r>
      <w:r>
        <w:t xml:space="preserve"> </w:t>
      </w:r>
      <w:r>
        <w:rPr>
          <w:rFonts w:hint="cs"/>
          <w:rtl/>
        </w:rPr>
        <w:t xml:space="preserve"> </w:t>
      </w:r>
      <w:r w:rsidRPr="00D65106">
        <w:rPr>
          <w:rFonts w:ascii="Arial" w:hAnsi="Arial"/>
          <w:b/>
          <w:bCs/>
          <w:rtl/>
        </w:rPr>
        <w:t>ובטש גו רעוא דרעוין כו'.</w:t>
      </w:r>
      <w:r w:rsidRPr="00D65106">
        <w:rPr>
          <w:rFonts w:ascii="Arial" w:hAnsi="Arial"/>
          <w:rtl/>
        </w:rPr>
        <w:t xml:space="preserve"> כמ"ש בא"ז רפ"ט א' וההוא רישא כו' בטש כו' ואתגליף כו' בהאי מצחא כו' והאי נצוצא נפיק מגו מוחא כמ"ש במאמר הנ"ל ובמ"ס הוא שורש הגבורות כידוע ובאוירא שבין גלגלתא למ"ס שורש החסדים:</w:t>
      </w:r>
    </w:p>
  </w:footnote>
  <w:footnote w:id="8956">
    <w:p w:rsidR="00007309" w:rsidRDefault="00007309" w:rsidP="00007309">
      <w:pPr>
        <w:pStyle w:val="a5"/>
        <w:rPr>
          <w:rtl/>
        </w:rPr>
      </w:pPr>
      <w:r>
        <w:rPr>
          <w:rStyle w:val="a7"/>
          <w:rFonts w:eastAsiaTheme="majorEastAsia"/>
        </w:rPr>
        <w:footnoteRef/>
      </w:r>
      <w:r>
        <w:t xml:space="preserve"> </w:t>
      </w:r>
      <w:r>
        <w:rPr>
          <w:rFonts w:hint="cs"/>
          <w:rtl/>
        </w:rPr>
        <w:t xml:space="preserve"> </w:t>
      </w:r>
      <w:r w:rsidRPr="00D65106">
        <w:rPr>
          <w:rFonts w:ascii="Arial" w:hAnsi="Arial"/>
          <w:b/>
          <w:bCs/>
          <w:rtl/>
        </w:rPr>
        <w:t>כד אתפשט רעותא כו' ואעל בה ההוא אתפשטותא כו'.</w:t>
      </w:r>
      <w:r w:rsidRPr="00D65106">
        <w:rPr>
          <w:rFonts w:ascii="Arial" w:hAnsi="Arial"/>
          <w:rtl/>
        </w:rPr>
        <w:t xml:space="preserve"> ידוע שהבטישה הוא זיווג נעלם ולשון בטש כי ענין הזיווג הוא לזווג ב' הפכים, זו"נ שהם חו"ג אש ומים </w:t>
      </w:r>
      <w:r w:rsidRPr="00D65106">
        <w:rPr>
          <w:rStyle w:val="40"/>
          <w:rFonts w:ascii="Arial" w:hAnsi="Arial"/>
          <w:szCs w:val="20"/>
          <w:rtl/>
        </w:rPr>
        <w:t>(וילנא יח ע"ב)</w:t>
      </w:r>
      <w:r w:rsidRPr="00D65106">
        <w:rPr>
          <w:rFonts w:ascii="Arial" w:hAnsi="Arial"/>
          <w:b/>
          <w:bCs/>
          <w:rtl/>
        </w:rPr>
        <w:t xml:space="preserve"> </w:t>
      </w:r>
      <w:r w:rsidRPr="00D65106">
        <w:rPr>
          <w:rFonts w:ascii="Arial" w:hAnsi="Arial"/>
          <w:rtl/>
        </w:rPr>
        <w:t>שיתמתקו כמ"ש בא"ר ובהרבה מקומות וזהו לשון הכאה ובטישה וידוע שנקבה תסובב גבר ונכללים שני הזרע שלו ושלה בה כמ"ש בא"ז רצ"ב ע"ב מבוצינא דקרדינותא נפיק ניצוצא כו' ואתכליל לבוצינא כו' וכד אתחברו תרווייהו כו' ובד' רצ"ה ע"א כד אימא אתמשכת ואתכלילת באוירא דכיא כו' עש"ה:</w:t>
      </w:r>
    </w:p>
  </w:footnote>
  <w:footnote w:id="8957">
    <w:p w:rsidR="00007309" w:rsidRDefault="00007309" w:rsidP="00007309">
      <w:pPr>
        <w:pStyle w:val="a5"/>
        <w:rPr>
          <w:rtl/>
        </w:rPr>
      </w:pPr>
      <w:r>
        <w:rPr>
          <w:rStyle w:val="a7"/>
          <w:rFonts w:eastAsiaTheme="majorEastAsia"/>
        </w:rPr>
        <w:footnoteRef/>
      </w:r>
      <w:r>
        <w:t xml:space="preserve"> </w:t>
      </w:r>
      <w:r>
        <w:rPr>
          <w:rFonts w:hint="cs"/>
          <w:rtl/>
        </w:rPr>
        <w:t xml:space="preserve"> </w:t>
      </w:r>
      <w:r w:rsidRPr="00D65106">
        <w:rPr>
          <w:rFonts w:ascii="Arial" w:hAnsi="Arial"/>
          <w:b/>
          <w:bCs/>
          <w:rtl/>
        </w:rPr>
        <w:t>ונפיק בגוונוי.</w:t>
      </w:r>
      <w:r w:rsidRPr="00D65106">
        <w:rPr>
          <w:rFonts w:ascii="Arial" w:hAnsi="Arial"/>
          <w:rtl/>
        </w:rPr>
        <w:t xml:space="preserve"> כי הגוונין הם מסטרא דגבורה כנ"ל רק שאינן מאירים הגוונים ואינן נראים כי הגבורה הוא סטרא דחשך אבל כשנכלל בה חסד שהוא אור אז מאירים הגוונין וכמ"ש בתיקונים ת"ה לענין בינה ומלכות ע"ש אע"ג דכאן הכל רחמים מ"מ שרשן כאן וז"ש לעיל דאתחזי ולא אתחזי שאע"פ שהוא כאן רחמים מ"מ שרש הדין הוא לכן אתחזי ולא אתחזי וכן אמר דאחזי גוון ולא גוון כו':</w:t>
      </w:r>
    </w:p>
  </w:footnote>
  <w:footnote w:id="8958">
    <w:p w:rsidR="00007309" w:rsidRDefault="00007309" w:rsidP="00007309">
      <w:pPr>
        <w:pStyle w:val="a5"/>
      </w:pPr>
      <w:r>
        <w:rPr>
          <w:rStyle w:val="a7"/>
          <w:rFonts w:eastAsiaTheme="majorEastAsia"/>
        </w:rPr>
        <w:footnoteRef/>
      </w:r>
      <w:r>
        <w:t xml:space="preserve"> </w:t>
      </w:r>
      <w:r>
        <w:rPr>
          <w:rFonts w:hint="cs"/>
          <w:rtl/>
        </w:rPr>
        <w:t xml:space="preserve"> </w:t>
      </w:r>
      <w:r w:rsidRPr="00D65106">
        <w:rPr>
          <w:rFonts w:ascii="Arial" w:hAnsi="Arial"/>
          <w:b/>
          <w:bCs/>
          <w:rtl/>
        </w:rPr>
        <w:t>וסלקא וקיימא כו'.</w:t>
      </w:r>
      <w:r w:rsidRPr="00D65106">
        <w:rPr>
          <w:rFonts w:ascii="Arial" w:hAnsi="Arial"/>
          <w:rtl/>
        </w:rPr>
        <w:t xml:space="preserve"> וז"ש בכ"מ כד סליק ברעותי' וכאן הוא התחלת הגילוי להברא ראשית שהיא חכמה שירותא דכולא כמ"ש בא"ז וכ"מ. ובפ' נח ד' ס"ה ע"א </w:t>
      </w:r>
      <w:r w:rsidRPr="00305FD9">
        <w:rPr>
          <w:rFonts w:ascii="Arial" w:hAnsi="Arial"/>
          <w:b/>
          <w:bCs/>
          <w:rtl/>
        </w:rPr>
        <w:t>אר"ש ארימית ידי בצלותא כו' דכד רעותא עילאה לעילא לעילא כו'.</w:t>
      </w:r>
      <w:r w:rsidRPr="00D65106">
        <w:rPr>
          <w:rFonts w:ascii="Arial" w:hAnsi="Arial"/>
          <w:rtl/>
        </w:rPr>
        <w:t xml:space="preserve"> הוא ע"ק</w:t>
      </w:r>
      <w:r>
        <w:rPr>
          <w:rFonts w:ascii="Arial" w:hAnsi="Arial" w:hint="cs"/>
          <w:rtl/>
        </w:rPr>
        <w:t>,</w:t>
      </w:r>
      <w:r w:rsidRPr="00D65106">
        <w:rPr>
          <w:rFonts w:ascii="Arial" w:hAnsi="Arial"/>
          <w:rtl/>
        </w:rPr>
        <w:t xml:space="preserve"> גלגלתא</w:t>
      </w:r>
      <w:r>
        <w:rPr>
          <w:rFonts w:ascii="Arial" w:hAnsi="Arial" w:hint="cs"/>
          <w:rtl/>
        </w:rPr>
        <w:t>,</w:t>
      </w:r>
      <w:r w:rsidRPr="00D65106">
        <w:rPr>
          <w:rFonts w:ascii="Arial" w:hAnsi="Arial"/>
          <w:rtl/>
        </w:rPr>
        <w:t xml:space="preserve"> שהוא רישא עילאה:</w:t>
      </w:r>
    </w:p>
  </w:footnote>
  <w:footnote w:id="8959">
    <w:p w:rsidR="00007309" w:rsidRDefault="00007309" w:rsidP="00007309">
      <w:pPr>
        <w:pStyle w:val="a5"/>
        <w:rPr>
          <w:rtl/>
        </w:rPr>
      </w:pPr>
      <w:r>
        <w:rPr>
          <w:rStyle w:val="a7"/>
          <w:rFonts w:eastAsiaTheme="majorEastAsia"/>
        </w:rPr>
        <w:footnoteRef/>
      </w:r>
      <w:r>
        <w:t xml:space="preserve"> </w:t>
      </w:r>
      <w:r>
        <w:rPr>
          <w:rFonts w:hint="cs"/>
          <w:rtl/>
        </w:rPr>
        <w:t xml:space="preserve"> </w:t>
      </w:r>
      <w:r w:rsidRPr="00D65106">
        <w:rPr>
          <w:rFonts w:ascii="Arial" w:hAnsi="Arial"/>
          <w:b/>
          <w:bCs/>
          <w:rtl/>
        </w:rPr>
        <w:t>קיימא על ההוא רעותא דלא אתיידע כו'.</w:t>
      </w:r>
      <w:r w:rsidRPr="00D65106">
        <w:rPr>
          <w:rFonts w:ascii="Arial" w:hAnsi="Arial"/>
          <w:rtl/>
        </w:rPr>
        <w:t xml:space="preserve"> הוא רדל"א</w:t>
      </w:r>
      <w:r>
        <w:rPr>
          <w:rFonts w:ascii="Arial" w:hAnsi="Arial" w:hint="cs"/>
          <w:rtl/>
        </w:rPr>
        <w:t>.</w:t>
      </w:r>
      <w:r w:rsidRPr="00D65106">
        <w:rPr>
          <w:rFonts w:ascii="Arial" w:hAnsi="Arial"/>
          <w:rtl/>
        </w:rPr>
        <w:t xml:space="preserve"> וגלגלתא קיימא על רדל"א</w:t>
      </w:r>
      <w:r>
        <w:rPr>
          <w:rFonts w:ascii="Arial" w:hAnsi="Arial" w:hint="cs"/>
          <w:rtl/>
        </w:rPr>
        <w:t>.</w:t>
      </w:r>
      <w:r w:rsidRPr="00D65106">
        <w:rPr>
          <w:rFonts w:ascii="Arial" w:hAnsi="Arial"/>
          <w:rtl/>
        </w:rPr>
        <w:t xml:space="preserve"> כי למעלה</w:t>
      </w:r>
      <w:r>
        <w:rPr>
          <w:rFonts w:ascii="Arial" w:hAnsi="Arial" w:hint="cs"/>
          <w:rtl/>
        </w:rPr>
        <w:t>,</w:t>
      </w:r>
      <w:r w:rsidRPr="00D65106">
        <w:rPr>
          <w:rFonts w:ascii="Arial" w:hAnsi="Arial"/>
          <w:rtl/>
        </w:rPr>
        <w:t xml:space="preserve"> יסוד הבנין הוא למעלה מהבנין</w:t>
      </w:r>
      <w:r>
        <w:rPr>
          <w:rFonts w:ascii="Arial" w:hAnsi="Arial" w:hint="cs"/>
          <w:rtl/>
        </w:rPr>
        <w:t>,</w:t>
      </w:r>
      <w:r w:rsidRPr="00D65106">
        <w:rPr>
          <w:rFonts w:ascii="Arial" w:hAnsi="Arial"/>
          <w:rtl/>
        </w:rPr>
        <w:t xml:space="preserve"> כידוע</w:t>
      </w:r>
      <w:r>
        <w:rPr>
          <w:rFonts w:ascii="Arial" w:hAnsi="Arial" w:hint="cs"/>
          <w:rtl/>
        </w:rPr>
        <w:t>.</w:t>
      </w:r>
      <w:r w:rsidRPr="00D65106">
        <w:rPr>
          <w:rFonts w:ascii="Arial" w:hAnsi="Arial"/>
          <w:rtl/>
        </w:rPr>
        <w:t xml:space="preserve"> אבל היותר נ"ל</w:t>
      </w:r>
      <w:r>
        <w:rPr>
          <w:rFonts w:ascii="Arial" w:hAnsi="Arial" w:hint="cs"/>
          <w:rtl/>
        </w:rPr>
        <w:t>,</w:t>
      </w:r>
      <w:r w:rsidRPr="00D65106">
        <w:rPr>
          <w:rFonts w:ascii="Arial" w:hAnsi="Arial"/>
          <w:rtl/>
        </w:rPr>
        <w:t xml:space="preserve"> כי רעותא עילאה כו' קאי על א</w:t>
      </w:r>
      <w:r>
        <w:rPr>
          <w:rFonts w:ascii="Arial" w:hAnsi="Arial" w:hint="cs"/>
          <w:rtl/>
        </w:rPr>
        <w:t>דם קדמון</w:t>
      </w:r>
      <w:r w:rsidRPr="00D65106">
        <w:rPr>
          <w:rFonts w:ascii="Arial" w:hAnsi="Arial"/>
          <w:rtl/>
        </w:rPr>
        <w:t xml:space="preserve"> לכל הקדומים</w:t>
      </w:r>
      <w:r>
        <w:rPr>
          <w:rFonts w:ascii="Arial" w:hAnsi="Arial" w:hint="cs"/>
          <w:rtl/>
        </w:rPr>
        <w:t>,</w:t>
      </w:r>
      <w:r w:rsidRPr="00D65106">
        <w:rPr>
          <w:rFonts w:ascii="Arial" w:hAnsi="Arial"/>
          <w:rtl/>
        </w:rPr>
        <w:t xml:space="preserve"> וקאי על רדל"א:</w:t>
      </w:r>
      <w:r w:rsidRPr="00D65106">
        <w:rPr>
          <w:rFonts w:ascii="Arial" w:hAnsi="Arial"/>
          <w:b/>
          <w:bCs/>
          <w:rtl/>
        </w:rPr>
        <w:t xml:space="preserve"> ואפיק מה דאפיק.</w:t>
      </w:r>
      <w:r w:rsidRPr="00D65106">
        <w:rPr>
          <w:rFonts w:ascii="Arial" w:hAnsi="Arial"/>
          <w:rtl/>
        </w:rPr>
        <w:t xml:space="preserve"> ר"ל שאפיקו כמ"ש רישא תניינא גולגלתא:</w:t>
      </w:r>
      <w:r w:rsidRPr="00D65106">
        <w:rPr>
          <w:rFonts w:ascii="Arial" w:hAnsi="Arial"/>
          <w:b/>
          <w:bCs/>
          <w:rtl/>
        </w:rPr>
        <w:t xml:space="preserve"> ונהיר מאי דנהיר.</w:t>
      </w:r>
      <w:r w:rsidRPr="00D65106">
        <w:rPr>
          <w:rFonts w:ascii="Arial" w:hAnsi="Arial"/>
          <w:rtl/>
        </w:rPr>
        <w:t xml:space="preserve"> הוא אוירא</w:t>
      </w:r>
      <w:r>
        <w:rPr>
          <w:rFonts w:ascii="Arial" w:hAnsi="Arial" w:hint="cs"/>
          <w:rtl/>
        </w:rPr>
        <w:t>.</w:t>
      </w:r>
      <w:r w:rsidRPr="00D65106">
        <w:rPr>
          <w:rFonts w:ascii="Arial" w:hAnsi="Arial"/>
          <w:rtl/>
        </w:rPr>
        <w:t xml:space="preserve"> ואמר ג' דברים</w:t>
      </w:r>
      <w:r>
        <w:rPr>
          <w:rFonts w:ascii="Arial" w:hAnsi="Arial" w:hint="cs"/>
          <w:rtl/>
        </w:rPr>
        <w:t>:</w:t>
      </w:r>
      <w:r w:rsidRPr="00D65106">
        <w:rPr>
          <w:rFonts w:ascii="Arial" w:hAnsi="Arial"/>
          <w:rtl/>
        </w:rPr>
        <w:t xml:space="preserve"> דלא אתיידע</w:t>
      </w:r>
      <w:r>
        <w:rPr>
          <w:rFonts w:ascii="Arial" w:hAnsi="Arial" w:hint="cs"/>
          <w:rtl/>
        </w:rPr>
        <w:t>,</w:t>
      </w:r>
      <w:r w:rsidRPr="00D65106">
        <w:rPr>
          <w:rFonts w:ascii="Arial" w:hAnsi="Arial"/>
          <w:rtl/>
        </w:rPr>
        <w:t xml:space="preserve"> ולא אתפס כו'</w:t>
      </w:r>
      <w:r>
        <w:rPr>
          <w:rFonts w:ascii="Arial" w:hAnsi="Arial" w:hint="cs"/>
          <w:rtl/>
        </w:rPr>
        <w:t>,</w:t>
      </w:r>
      <w:r w:rsidRPr="00D65106">
        <w:rPr>
          <w:rFonts w:ascii="Arial" w:hAnsi="Arial"/>
          <w:rtl/>
        </w:rPr>
        <w:t xml:space="preserve"> רישא דסתים כו'</w:t>
      </w:r>
      <w:r>
        <w:rPr>
          <w:rFonts w:ascii="Arial" w:hAnsi="Arial" w:hint="cs"/>
          <w:rtl/>
        </w:rPr>
        <w:t>.</w:t>
      </w:r>
      <w:r w:rsidRPr="00D65106">
        <w:rPr>
          <w:rFonts w:ascii="Arial" w:hAnsi="Arial"/>
          <w:rtl/>
        </w:rPr>
        <w:t xml:space="preserve"> נגד ג"ר שלהאי רישא</w:t>
      </w:r>
      <w:r>
        <w:rPr>
          <w:rFonts w:ascii="Arial" w:hAnsi="Arial" w:hint="cs"/>
          <w:rtl/>
        </w:rPr>
        <w:t>,</w:t>
      </w:r>
      <w:r w:rsidRPr="00D65106">
        <w:rPr>
          <w:rFonts w:ascii="Arial" w:hAnsi="Arial"/>
          <w:rtl/>
        </w:rPr>
        <w:t xml:space="preserve"> וכסדר מלמעלה למטה</w:t>
      </w:r>
      <w:r>
        <w:rPr>
          <w:rFonts w:ascii="Arial" w:hAnsi="Arial" w:hint="cs"/>
          <w:rtl/>
        </w:rPr>
        <w:t>,</w:t>
      </w:r>
      <w:r w:rsidRPr="00D65106">
        <w:rPr>
          <w:rFonts w:ascii="Arial" w:hAnsi="Arial"/>
          <w:rtl/>
        </w:rPr>
        <w:t xml:space="preserve"> שבכ"מ רישא הוא בינה</w:t>
      </w:r>
      <w:r>
        <w:rPr>
          <w:rFonts w:ascii="Arial" w:hAnsi="Arial" w:hint="cs"/>
          <w:rtl/>
        </w:rPr>
        <w:t>.</w:t>
      </w:r>
      <w:r w:rsidRPr="00D65106">
        <w:rPr>
          <w:rFonts w:ascii="Arial" w:hAnsi="Arial"/>
          <w:rtl/>
        </w:rPr>
        <w:t xml:space="preserve"> וכמ"ש וצדיק יסוד עולם</w:t>
      </w:r>
      <w:r>
        <w:rPr>
          <w:rFonts w:ascii="Arial" w:hAnsi="Arial" w:hint="cs"/>
          <w:rtl/>
        </w:rPr>
        <w:t>,</w:t>
      </w:r>
      <w:r w:rsidRPr="00D65106">
        <w:rPr>
          <w:rFonts w:ascii="Arial" w:hAnsi="Arial"/>
          <w:rtl/>
        </w:rPr>
        <w:t xml:space="preserve"> ר"ל שיסוד</w:t>
      </w:r>
      <w:r>
        <w:rPr>
          <w:rFonts w:ascii="Arial" w:hAnsi="Arial" w:hint="cs"/>
          <w:rtl/>
        </w:rPr>
        <w:t>,</w:t>
      </w:r>
      <w:r w:rsidRPr="00D65106">
        <w:rPr>
          <w:rFonts w:ascii="Arial" w:hAnsi="Arial"/>
          <w:rtl/>
        </w:rPr>
        <w:t xml:space="preserve"> הוא יסוד של מלכות</w:t>
      </w:r>
      <w:r>
        <w:rPr>
          <w:rFonts w:ascii="Arial" w:hAnsi="Arial" w:hint="cs"/>
          <w:rtl/>
        </w:rPr>
        <w:t>,</w:t>
      </w:r>
      <w:r w:rsidRPr="00D65106">
        <w:rPr>
          <w:rFonts w:ascii="Arial" w:hAnsi="Arial"/>
          <w:rtl/>
        </w:rPr>
        <w:t xml:space="preserve"> שנקרא עולם כידוע</w:t>
      </w:r>
      <w:r>
        <w:rPr>
          <w:rFonts w:ascii="Arial" w:hAnsi="Arial" w:hint="cs"/>
          <w:rtl/>
        </w:rPr>
        <w:t>,</w:t>
      </w:r>
      <w:r w:rsidRPr="00D65106">
        <w:rPr>
          <w:rFonts w:ascii="Arial" w:hAnsi="Arial"/>
          <w:rtl/>
        </w:rPr>
        <w:t xml:space="preserve"> שלכן נקרא יסוד</w:t>
      </w:r>
      <w:r>
        <w:rPr>
          <w:rFonts w:ascii="Arial" w:hAnsi="Arial" w:hint="cs"/>
          <w:rtl/>
        </w:rPr>
        <w:t>.</w:t>
      </w:r>
      <w:r w:rsidRPr="00D65106">
        <w:rPr>
          <w:rFonts w:ascii="Arial" w:hAnsi="Arial"/>
          <w:rtl/>
        </w:rPr>
        <w:t xml:space="preserve"> ועיין בא"ז ד</w:t>
      </w:r>
      <w:r>
        <w:rPr>
          <w:rFonts w:ascii="Arial" w:hAnsi="Arial" w:hint="cs"/>
          <w:rtl/>
        </w:rPr>
        <w:t>ף</w:t>
      </w:r>
      <w:r w:rsidRPr="00D65106">
        <w:rPr>
          <w:rFonts w:ascii="Arial" w:hAnsi="Arial"/>
          <w:rtl/>
        </w:rPr>
        <w:t xml:space="preserve"> רפ"ח תלת רישין כו'</w:t>
      </w:r>
      <w:r>
        <w:rPr>
          <w:rFonts w:ascii="Arial" w:hAnsi="Arial" w:hint="cs"/>
          <w:rtl/>
        </w:rPr>
        <w:t>,</w:t>
      </w:r>
      <w:r w:rsidRPr="00D65106">
        <w:rPr>
          <w:rFonts w:ascii="Arial" w:hAnsi="Arial"/>
          <w:rtl/>
        </w:rPr>
        <w:t xml:space="preserve"> הוא כתרא עילאה דכל עילאין</w:t>
      </w:r>
      <w:r>
        <w:rPr>
          <w:rFonts w:ascii="Arial" w:hAnsi="Arial" w:hint="cs"/>
          <w:rtl/>
        </w:rPr>
        <w:t>,</w:t>
      </w:r>
      <w:r w:rsidRPr="00D65106">
        <w:rPr>
          <w:rFonts w:ascii="Arial" w:hAnsi="Arial"/>
          <w:rtl/>
        </w:rPr>
        <w:t xml:space="preserve"> רישא דכל רישין</w:t>
      </w:r>
      <w:r>
        <w:rPr>
          <w:rFonts w:ascii="Arial" w:hAnsi="Arial" w:hint="cs"/>
          <w:rtl/>
        </w:rPr>
        <w:t>,</w:t>
      </w:r>
      <w:r w:rsidRPr="00D65106">
        <w:rPr>
          <w:rFonts w:ascii="Arial" w:hAnsi="Arial"/>
          <w:rtl/>
        </w:rPr>
        <w:t xml:space="preserve"> וההוא דהוי כו' עש"ה</w:t>
      </w:r>
      <w:r>
        <w:rPr>
          <w:rFonts w:ascii="Arial" w:hAnsi="Arial" w:hint="cs"/>
          <w:rtl/>
        </w:rPr>
        <w:t>.</w:t>
      </w:r>
      <w:r w:rsidRPr="00D65106">
        <w:rPr>
          <w:rFonts w:ascii="Arial" w:hAnsi="Arial"/>
          <w:rtl/>
        </w:rPr>
        <w:t xml:space="preserve"> וז"ש דלא אתיידע ולא אתפס כלל לעלמין. ר"ל שגם שאף ע"ק אינו נגלה</w:t>
      </w:r>
      <w:r>
        <w:rPr>
          <w:rFonts w:ascii="Arial" w:hAnsi="Arial" w:hint="cs"/>
          <w:rtl/>
        </w:rPr>
        <w:t>,</w:t>
      </w:r>
      <w:r w:rsidRPr="00D65106">
        <w:rPr>
          <w:rFonts w:ascii="Arial" w:hAnsi="Arial"/>
          <w:rtl/>
        </w:rPr>
        <w:t xml:space="preserve"> מ"מ התחתונים תלויין בו</w:t>
      </w:r>
      <w:r>
        <w:rPr>
          <w:rFonts w:ascii="Arial" w:hAnsi="Arial" w:hint="cs"/>
          <w:rtl/>
        </w:rPr>
        <w:t>,</w:t>
      </w:r>
      <w:r w:rsidRPr="00D65106">
        <w:rPr>
          <w:rFonts w:ascii="Arial" w:hAnsi="Arial"/>
          <w:rtl/>
        </w:rPr>
        <w:t xml:space="preserve"> וע</w:t>
      </w:r>
      <w:r>
        <w:rPr>
          <w:rFonts w:ascii="Arial" w:hAnsi="Arial" w:hint="cs"/>
          <w:rtl/>
        </w:rPr>
        <w:t>ל ידם</w:t>
      </w:r>
      <w:r w:rsidRPr="00D65106">
        <w:rPr>
          <w:rFonts w:ascii="Arial" w:hAnsi="Arial"/>
          <w:rtl/>
        </w:rPr>
        <w:t xml:space="preserve"> מתגלה קצת</w:t>
      </w:r>
      <w:r>
        <w:rPr>
          <w:rFonts w:ascii="Arial" w:hAnsi="Arial" w:hint="cs"/>
          <w:rtl/>
        </w:rPr>
        <w:t>,</w:t>
      </w:r>
      <w:r w:rsidRPr="00D65106">
        <w:rPr>
          <w:rFonts w:ascii="Arial" w:hAnsi="Arial"/>
          <w:rtl/>
        </w:rPr>
        <w:t xml:space="preserve"> ר"ל אחיזתם בו</w:t>
      </w:r>
      <w:r>
        <w:rPr>
          <w:rFonts w:ascii="Arial" w:hAnsi="Arial" w:hint="cs"/>
          <w:rtl/>
        </w:rPr>
        <w:t>,</w:t>
      </w:r>
      <w:r w:rsidRPr="00D65106">
        <w:rPr>
          <w:rFonts w:ascii="Arial" w:hAnsi="Arial"/>
          <w:rtl/>
        </w:rPr>
        <w:t xml:space="preserve"> משא"כ ברדל"א</w:t>
      </w:r>
      <w:r>
        <w:rPr>
          <w:rFonts w:ascii="Arial" w:hAnsi="Arial" w:hint="cs"/>
          <w:rtl/>
        </w:rPr>
        <w:t>.</w:t>
      </w:r>
      <w:r w:rsidRPr="00D65106">
        <w:rPr>
          <w:rFonts w:ascii="Arial" w:hAnsi="Arial"/>
          <w:rtl/>
        </w:rPr>
        <w:t xml:space="preserve"> וע</w:t>
      </w:r>
      <w:r>
        <w:rPr>
          <w:rFonts w:ascii="Arial" w:hAnsi="Arial" w:hint="cs"/>
          <w:rtl/>
        </w:rPr>
        <w:t xml:space="preserve">יין </w:t>
      </w:r>
      <w:r w:rsidRPr="00D65106">
        <w:rPr>
          <w:rFonts w:ascii="Arial" w:hAnsi="Arial"/>
          <w:rtl/>
        </w:rPr>
        <w:t>בא</w:t>
      </w:r>
      <w:r>
        <w:rPr>
          <w:rFonts w:ascii="Arial" w:hAnsi="Arial" w:hint="cs"/>
          <w:rtl/>
        </w:rPr>
        <w:t>ידרא רבה</w:t>
      </w:r>
      <w:r w:rsidRPr="00D65106">
        <w:rPr>
          <w:rFonts w:ascii="Arial" w:hAnsi="Arial"/>
          <w:rtl/>
        </w:rPr>
        <w:t xml:space="preserve"> שם</w:t>
      </w:r>
      <w:r>
        <w:rPr>
          <w:rFonts w:ascii="Arial" w:hAnsi="Arial" w:hint="cs"/>
          <w:rtl/>
        </w:rPr>
        <w:t>,</w:t>
      </w:r>
      <w:r w:rsidRPr="00D65106">
        <w:rPr>
          <w:rFonts w:ascii="Arial" w:hAnsi="Arial"/>
          <w:rtl/>
        </w:rPr>
        <w:t xml:space="preserve"> עתיקא דכל עתיקין</w:t>
      </w:r>
      <w:r>
        <w:rPr>
          <w:rFonts w:ascii="Arial" w:hAnsi="Arial" w:hint="cs"/>
          <w:rtl/>
        </w:rPr>
        <w:t>,</w:t>
      </w:r>
      <w:r w:rsidRPr="00D65106">
        <w:rPr>
          <w:rFonts w:ascii="Arial" w:hAnsi="Arial"/>
          <w:rtl/>
        </w:rPr>
        <w:t xml:space="preserve"> סתימא דכל סתימין</w:t>
      </w:r>
      <w:r>
        <w:rPr>
          <w:rFonts w:ascii="Arial" w:hAnsi="Arial" w:hint="cs"/>
          <w:rtl/>
        </w:rPr>
        <w:t>,</w:t>
      </w:r>
      <w:r w:rsidRPr="00D65106">
        <w:rPr>
          <w:rFonts w:ascii="Arial" w:hAnsi="Arial"/>
          <w:rtl/>
        </w:rPr>
        <w:t xml:space="preserve"> אתתקן ולא אתתקן</w:t>
      </w:r>
      <w:r>
        <w:rPr>
          <w:rFonts w:ascii="Arial" w:hAnsi="Arial" w:hint="cs"/>
          <w:rtl/>
        </w:rPr>
        <w:t>,</w:t>
      </w:r>
      <w:r w:rsidRPr="00D65106">
        <w:rPr>
          <w:rFonts w:ascii="Arial" w:hAnsi="Arial"/>
          <w:rtl/>
        </w:rPr>
        <w:t xml:space="preserve"> אתתקן כו' ע"ש:</w:t>
      </w:r>
      <w:r w:rsidRPr="00D65106">
        <w:rPr>
          <w:rFonts w:ascii="Arial" w:hAnsi="Arial"/>
          <w:b/>
          <w:bCs/>
          <w:rtl/>
        </w:rPr>
        <w:t xml:space="preserve"> רישא דסתים יתיר לעילא.</w:t>
      </w:r>
      <w:r w:rsidRPr="00D65106">
        <w:rPr>
          <w:rFonts w:ascii="Arial" w:hAnsi="Arial"/>
          <w:rtl/>
        </w:rPr>
        <w:t xml:space="preserve"> קאי ג"כ על רדל"א</w:t>
      </w:r>
      <w:r>
        <w:rPr>
          <w:rFonts w:ascii="Arial" w:hAnsi="Arial" w:hint="cs"/>
          <w:rtl/>
        </w:rPr>
        <w:t>,</w:t>
      </w:r>
      <w:r w:rsidRPr="00D65106">
        <w:rPr>
          <w:rFonts w:ascii="Arial" w:hAnsi="Arial"/>
          <w:rtl/>
        </w:rPr>
        <w:t xml:space="preserve"> ושני רישין אלו אינן נקראים מחשבה כלל</w:t>
      </w:r>
      <w:r>
        <w:rPr>
          <w:rFonts w:ascii="Arial" w:hAnsi="Arial" w:hint="cs"/>
          <w:rtl/>
        </w:rPr>
        <w:t>,</w:t>
      </w:r>
      <w:r w:rsidRPr="00D65106">
        <w:rPr>
          <w:rFonts w:ascii="Arial" w:hAnsi="Arial"/>
          <w:rtl/>
        </w:rPr>
        <w:t xml:space="preserve"> רק רעותא</w:t>
      </w:r>
      <w:r>
        <w:rPr>
          <w:rFonts w:ascii="Arial" w:hAnsi="Arial" w:hint="cs"/>
          <w:rtl/>
        </w:rPr>
        <w:t>,</w:t>
      </w:r>
      <w:r w:rsidRPr="00D65106">
        <w:rPr>
          <w:rFonts w:ascii="Arial" w:hAnsi="Arial"/>
          <w:rtl/>
        </w:rPr>
        <w:t xml:space="preserve"> רק שע"ק נקרא רעותא דלא אתפס:</w:t>
      </w:r>
      <w:r w:rsidRPr="00D65106">
        <w:rPr>
          <w:rFonts w:ascii="Arial" w:hAnsi="Arial"/>
          <w:b/>
          <w:bCs/>
          <w:rtl/>
        </w:rPr>
        <w:t xml:space="preserve"> וההוא רישא אפיק מה דאפיק כו' עד בסתימו.</w:t>
      </w:r>
      <w:r w:rsidRPr="00D65106">
        <w:rPr>
          <w:rFonts w:ascii="Arial" w:hAnsi="Arial"/>
          <w:rtl/>
        </w:rPr>
        <w:t xml:space="preserve"> ר"ל רדל"א אפיק אוירא שבין גולגלתא למ"ס</w:t>
      </w:r>
      <w:r>
        <w:rPr>
          <w:rFonts w:ascii="Arial" w:hAnsi="Arial" w:hint="cs"/>
          <w:rtl/>
        </w:rPr>
        <w:t>,</w:t>
      </w:r>
      <w:r w:rsidRPr="00D65106">
        <w:rPr>
          <w:rFonts w:ascii="Arial" w:hAnsi="Arial"/>
          <w:rtl/>
        </w:rPr>
        <w:t xml:space="preserve"> והוא טהירו עילאה</w:t>
      </w:r>
      <w:r>
        <w:rPr>
          <w:rFonts w:ascii="Arial" w:hAnsi="Arial" w:hint="cs"/>
          <w:rtl/>
        </w:rPr>
        <w:t>,</w:t>
      </w:r>
      <w:r w:rsidRPr="00D65106">
        <w:rPr>
          <w:rFonts w:ascii="Arial" w:hAnsi="Arial"/>
          <w:rtl/>
        </w:rPr>
        <w:t xml:space="preserve"> אור העליון הגנוז</w:t>
      </w:r>
      <w:r>
        <w:rPr>
          <w:rFonts w:ascii="Arial" w:hAnsi="Arial" w:hint="cs"/>
          <w:rtl/>
        </w:rPr>
        <w:t>,</w:t>
      </w:r>
      <w:r w:rsidRPr="00D65106">
        <w:rPr>
          <w:rFonts w:ascii="Arial" w:hAnsi="Arial"/>
          <w:rtl/>
        </w:rPr>
        <w:t xml:space="preserve"> ששם גנוז חסד דרדל"א כידוע</w:t>
      </w:r>
      <w:r>
        <w:rPr>
          <w:rFonts w:ascii="Arial" w:hAnsi="Arial" w:hint="cs"/>
          <w:rtl/>
        </w:rPr>
        <w:t>.</w:t>
      </w:r>
      <w:r w:rsidRPr="00D65106">
        <w:rPr>
          <w:rFonts w:ascii="Arial" w:hAnsi="Arial"/>
          <w:rtl/>
        </w:rPr>
        <w:t xml:space="preserve"> וזהו אור שנברא ביום הראשון</w:t>
      </w:r>
      <w:r>
        <w:rPr>
          <w:rFonts w:ascii="Arial" w:hAnsi="Arial" w:hint="cs"/>
          <w:rtl/>
        </w:rPr>
        <w:t>,</w:t>
      </w:r>
      <w:r w:rsidRPr="00D65106">
        <w:rPr>
          <w:rFonts w:ascii="Arial" w:hAnsi="Arial"/>
          <w:rtl/>
        </w:rPr>
        <w:t xml:space="preserve"> שגנזו</w:t>
      </w:r>
      <w:r>
        <w:rPr>
          <w:rFonts w:ascii="Arial" w:hAnsi="Arial" w:hint="cs"/>
          <w:rtl/>
        </w:rPr>
        <w:t>.</w:t>
      </w:r>
      <w:r w:rsidRPr="00D65106">
        <w:rPr>
          <w:rFonts w:ascii="Arial" w:hAnsi="Arial"/>
          <w:rtl/>
        </w:rPr>
        <w:t xml:space="preserve"> שיום הראשון הוא חסד דרדל"א כמ"ש בס"ד</w:t>
      </w:r>
      <w:r>
        <w:rPr>
          <w:rFonts w:ascii="Arial" w:hAnsi="Arial" w:hint="cs"/>
          <w:rtl/>
        </w:rPr>
        <w:t>.</w:t>
      </w:r>
      <w:r w:rsidRPr="00D65106">
        <w:rPr>
          <w:rFonts w:ascii="Arial" w:hAnsi="Arial"/>
          <w:rtl/>
        </w:rPr>
        <w:t xml:space="preserve"> וזהו אור העליון דלא ידיע ולא נגלה</w:t>
      </w:r>
      <w:r>
        <w:rPr>
          <w:rFonts w:ascii="Arial" w:hAnsi="Arial" w:hint="cs"/>
          <w:rtl/>
        </w:rPr>
        <w:t>,</w:t>
      </w:r>
      <w:r w:rsidRPr="00D65106">
        <w:rPr>
          <w:rFonts w:ascii="Arial" w:hAnsi="Arial"/>
          <w:rtl/>
        </w:rPr>
        <w:t xml:space="preserve"> שא</w:t>
      </w:r>
      <w:r>
        <w:rPr>
          <w:rFonts w:ascii="Arial" w:hAnsi="Arial" w:hint="cs"/>
          <w:rtl/>
        </w:rPr>
        <w:t>מרו</w:t>
      </w:r>
      <w:r w:rsidRPr="00D65106">
        <w:rPr>
          <w:rFonts w:ascii="Arial" w:hAnsi="Arial"/>
          <w:rtl/>
        </w:rPr>
        <w:t xml:space="preserve"> בתי</w:t>
      </w:r>
      <w:r>
        <w:rPr>
          <w:rFonts w:ascii="Arial" w:hAnsi="Arial" w:hint="cs"/>
          <w:rtl/>
        </w:rPr>
        <w:t>קונים</w:t>
      </w:r>
      <w:r w:rsidRPr="00D65106">
        <w:rPr>
          <w:rFonts w:ascii="Arial" w:hAnsi="Arial"/>
          <w:rtl/>
        </w:rPr>
        <w:t xml:space="preserve"> ובפ' בראשית</w:t>
      </w:r>
      <w:r>
        <w:rPr>
          <w:rFonts w:ascii="Arial" w:hAnsi="Arial" w:hint="cs"/>
          <w:rtl/>
        </w:rPr>
        <w:t>,</w:t>
      </w:r>
      <w:r w:rsidRPr="00D65106">
        <w:rPr>
          <w:rFonts w:ascii="Arial" w:hAnsi="Arial"/>
          <w:rtl/>
        </w:rPr>
        <w:t xml:space="preserve"> אוירא סתימא</w:t>
      </w:r>
      <w:r>
        <w:rPr>
          <w:rFonts w:ascii="Arial" w:hAnsi="Arial" w:hint="cs"/>
          <w:rtl/>
        </w:rPr>
        <w:t>ה.</w:t>
      </w:r>
      <w:r w:rsidRPr="00D65106">
        <w:rPr>
          <w:rFonts w:ascii="Arial" w:hAnsi="Arial"/>
          <w:rtl/>
        </w:rPr>
        <w:t xml:space="preserve"> וז"ש ולא ידיע כו'</w:t>
      </w:r>
      <w:r>
        <w:rPr>
          <w:rFonts w:ascii="Arial" w:hAnsi="Arial" w:hint="cs"/>
          <w:rtl/>
        </w:rPr>
        <w:t>,</w:t>
      </w:r>
      <w:r w:rsidRPr="00D65106">
        <w:rPr>
          <w:rFonts w:ascii="Arial" w:hAnsi="Arial"/>
          <w:rtl/>
        </w:rPr>
        <w:t xml:space="preserve"> כולא בסתימו</w:t>
      </w:r>
      <w:r>
        <w:rPr>
          <w:rFonts w:ascii="Arial" w:hAnsi="Arial" w:hint="cs"/>
          <w:rtl/>
        </w:rPr>
        <w:t>,</w:t>
      </w:r>
      <w:r w:rsidRPr="00D65106">
        <w:rPr>
          <w:rFonts w:ascii="Arial" w:hAnsi="Arial"/>
          <w:rtl/>
        </w:rPr>
        <w:t xml:space="preserve"> וההוא אוירא אתנהיר ואתפשט מרדל"א</w:t>
      </w:r>
      <w:r>
        <w:rPr>
          <w:rFonts w:ascii="Arial" w:hAnsi="Arial" w:hint="cs"/>
          <w:rtl/>
        </w:rPr>
        <w:t>,</w:t>
      </w:r>
      <w:r w:rsidRPr="00D65106">
        <w:rPr>
          <w:rFonts w:ascii="Arial" w:hAnsi="Arial"/>
          <w:rtl/>
        </w:rPr>
        <w:t xml:space="preserve"> כמ"ש בא"ז רפ"ט ע"ב</w:t>
      </w:r>
      <w:r>
        <w:rPr>
          <w:rFonts w:ascii="Arial" w:hAnsi="Arial" w:hint="cs"/>
          <w:rtl/>
        </w:rPr>
        <w:t>,</w:t>
      </w:r>
      <w:r w:rsidRPr="00D65106">
        <w:rPr>
          <w:rFonts w:ascii="Arial" w:hAnsi="Arial"/>
          <w:rtl/>
        </w:rPr>
        <w:t xml:space="preserve"> בהאי מזל אפשיט פשיטותא דקוטרא עילאה</w:t>
      </w:r>
      <w:r>
        <w:rPr>
          <w:rFonts w:ascii="Arial" w:hAnsi="Arial" w:hint="cs"/>
          <w:rtl/>
        </w:rPr>
        <w:t>,</w:t>
      </w:r>
      <w:r w:rsidRPr="00D65106">
        <w:rPr>
          <w:rFonts w:ascii="Arial" w:hAnsi="Arial"/>
          <w:rtl/>
        </w:rPr>
        <w:t xml:space="preserve"> ההוא רישא דכל רישין</w:t>
      </w:r>
      <w:r>
        <w:rPr>
          <w:rFonts w:ascii="Arial" w:hAnsi="Arial" w:hint="cs"/>
          <w:rtl/>
        </w:rPr>
        <w:t>,</w:t>
      </w:r>
      <w:r w:rsidRPr="00D65106">
        <w:rPr>
          <w:rFonts w:ascii="Arial" w:hAnsi="Arial"/>
          <w:rtl/>
        </w:rPr>
        <w:t xml:space="preserve"> דלא אתיידע כו'</w:t>
      </w:r>
      <w:r>
        <w:rPr>
          <w:rFonts w:ascii="Arial" w:hAnsi="Arial" w:hint="cs"/>
          <w:rtl/>
        </w:rPr>
        <w:t>.</w:t>
      </w:r>
      <w:r w:rsidRPr="00D65106">
        <w:rPr>
          <w:rFonts w:ascii="Arial" w:hAnsi="Arial"/>
          <w:rtl/>
        </w:rPr>
        <w:t xml:space="preserve"> וקוטרא הוא אוירא סתימאה כמ"ש בס"ד פ"א בקוטרא דעתיקא הוא קרומא עילאה כו' ועי' מש"ש:</w:t>
      </w:r>
    </w:p>
  </w:footnote>
  <w:footnote w:id="8960">
    <w:p w:rsidR="00007309" w:rsidRDefault="00007309" w:rsidP="00007309">
      <w:pPr>
        <w:pStyle w:val="a5"/>
        <w:rPr>
          <w:rtl/>
        </w:rPr>
      </w:pPr>
      <w:r>
        <w:rPr>
          <w:rStyle w:val="a7"/>
          <w:rFonts w:eastAsiaTheme="majorEastAsia"/>
        </w:rPr>
        <w:footnoteRef/>
      </w:r>
      <w:r>
        <w:t xml:space="preserve"> </w:t>
      </w:r>
      <w:r>
        <w:rPr>
          <w:rFonts w:hint="cs"/>
          <w:rtl/>
        </w:rPr>
        <w:t xml:space="preserve"> </w:t>
      </w:r>
      <w:r w:rsidRPr="00D65106">
        <w:rPr>
          <w:rFonts w:ascii="Arial" w:hAnsi="Arial"/>
          <w:b/>
          <w:bCs/>
          <w:rtl/>
        </w:rPr>
        <w:t>רעו דמחשבה עילאה כו'.</w:t>
      </w:r>
      <w:r w:rsidRPr="00D65106">
        <w:rPr>
          <w:rFonts w:ascii="Arial" w:hAnsi="Arial"/>
          <w:rtl/>
        </w:rPr>
        <w:t xml:space="preserve"> מחשבה עילאה הוא ראש ה</w:t>
      </w:r>
      <w:r>
        <w:rPr>
          <w:rFonts w:ascii="Arial" w:hAnsi="Arial" w:hint="cs"/>
          <w:rtl/>
        </w:rPr>
        <w:t>שלישי,</w:t>
      </w:r>
      <w:r w:rsidRPr="00D65106">
        <w:rPr>
          <w:rFonts w:ascii="Arial" w:hAnsi="Arial"/>
          <w:rtl/>
        </w:rPr>
        <w:t xml:space="preserve"> מ"ס</w:t>
      </w:r>
      <w:r>
        <w:rPr>
          <w:rFonts w:ascii="Arial" w:hAnsi="Arial" w:hint="cs"/>
          <w:rtl/>
        </w:rPr>
        <w:t>.</w:t>
      </w:r>
      <w:r w:rsidRPr="00D65106">
        <w:rPr>
          <w:rFonts w:ascii="Arial" w:hAnsi="Arial"/>
          <w:rtl/>
        </w:rPr>
        <w:t xml:space="preserve"> וכאן הוא מחשבה במוחא</w:t>
      </w:r>
      <w:r>
        <w:rPr>
          <w:rFonts w:ascii="Arial" w:hAnsi="Arial" w:hint="cs"/>
          <w:rtl/>
        </w:rPr>
        <w:t>.</w:t>
      </w:r>
      <w:r w:rsidRPr="00D65106">
        <w:rPr>
          <w:rFonts w:ascii="Arial" w:hAnsi="Arial"/>
          <w:rtl/>
        </w:rPr>
        <w:t xml:space="preserve"> אבל בב' רישין שלמעלה אינו רק רעותא כנ"ל</w:t>
      </w:r>
      <w:r>
        <w:rPr>
          <w:rFonts w:ascii="Arial" w:hAnsi="Arial" w:hint="cs"/>
          <w:rtl/>
        </w:rPr>
        <w:t>.</w:t>
      </w:r>
      <w:r w:rsidRPr="00D65106">
        <w:rPr>
          <w:rFonts w:ascii="Arial" w:hAnsi="Arial"/>
          <w:rtl/>
        </w:rPr>
        <w:t xml:space="preserve"> ואמר מחשבה עילאה לפי שיש מחשבה אחרת</w:t>
      </w:r>
      <w:r>
        <w:rPr>
          <w:rFonts w:ascii="Arial" w:hAnsi="Arial" w:hint="cs"/>
          <w:rtl/>
        </w:rPr>
        <w:t>,</w:t>
      </w:r>
      <w:r w:rsidRPr="00D65106">
        <w:rPr>
          <w:rFonts w:ascii="Arial" w:hAnsi="Arial"/>
          <w:rtl/>
        </w:rPr>
        <w:t xml:space="preserve"> והוא אבא</w:t>
      </w:r>
      <w:r>
        <w:rPr>
          <w:rFonts w:ascii="Arial" w:hAnsi="Arial" w:hint="cs"/>
          <w:rtl/>
        </w:rPr>
        <w:t>,</w:t>
      </w:r>
      <w:r w:rsidRPr="00D65106">
        <w:rPr>
          <w:rFonts w:ascii="Arial" w:hAnsi="Arial"/>
          <w:rtl/>
        </w:rPr>
        <w:t xml:space="preserve"> חכמה של ע"ס:</w:t>
      </w:r>
      <w:r w:rsidRPr="00D65106">
        <w:rPr>
          <w:rFonts w:ascii="Arial" w:hAnsi="Arial"/>
          <w:b/>
          <w:bCs/>
          <w:rtl/>
        </w:rPr>
        <w:t xml:space="preserve"> </w:t>
      </w:r>
    </w:p>
  </w:footnote>
  <w:footnote w:id="8961">
    <w:p w:rsidR="00007309" w:rsidRDefault="00007309" w:rsidP="00007309">
      <w:pPr>
        <w:pStyle w:val="a5"/>
        <w:rPr>
          <w:rtl/>
        </w:rPr>
      </w:pPr>
      <w:r>
        <w:rPr>
          <w:rStyle w:val="a7"/>
          <w:rFonts w:eastAsiaTheme="majorEastAsia"/>
        </w:rPr>
        <w:footnoteRef/>
      </w:r>
      <w:r>
        <w:t xml:space="preserve"> </w:t>
      </w:r>
      <w:r>
        <w:rPr>
          <w:rFonts w:hint="cs"/>
          <w:rtl/>
        </w:rPr>
        <w:t xml:space="preserve"> </w:t>
      </w:r>
      <w:r w:rsidRPr="00D65106">
        <w:rPr>
          <w:rFonts w:ascii="Arial" w:hAnsi="Arial"/>
          <w:b/>
          <w:bCs/>
          <w:rtl/>
        </w:rPr>
        <w:t>למרדף אבתרי' ולאתנהרא מיניה.</w:t>
      </w:r>
      <w:r w:rsidRPr="00D65106">
        <w:rPr>
          <w:rFonts w:ascii="Arial" w:hAnsi="Arial"/>
          <w:rtl/>
        </w:rPr>
        <w:t xml:space="preserve"> שבמ"ס גנוז גבורה דרדל"א, ובאוירא</w:t>
      </w:r>
      <w:r>
        <w:rPr>
          <w:rFonts w:ascii="Arial" w:hAnsi="Arial" w:hint="cs"/>
          <w:rtl/>
        </w:rPr>
        <w:t>,</w:t>
      </w:r>
      <w:r w:rsidRPr="00D65106">
        <w:rPr>
          <w:rFonts w:ascii="Arial" w:hAnsi="Arial"/>
          <w:rtl/>
        </w:rPr>
        <w:t xml:space="preserve"> חסד דרדל"א</w:t>
      </w:r>
      <w:r>
        <w:rPr>
          <w:rFonts w:ascii="Arial" w:hAnsi="Arial" w:hint="cs"/>
          <w:rtl/>
        </w:rPr>
        <w:t>.</w:t>
      </w:r>
      <w:r w:rsidRPr="00D65106">
        <w:rPr>
          <w:rFonts w:ascii="Arial" w:hAnsi="Arial"/>
          <w:rtl/>
        </w:rPr>
        <w:t xml:space="preserve"> וידוע שחו"ג הם אור וחושך, מים עליונים מים תחתונים, דו"נ</w:t>
      </w:r>
      <w:r>
        <w:rPr>
          <w:rFonts w:ascii="Arial" w:hAnsi="Arial" w:hint="cs"/>
          <w:rtl/>
        </w:rPr>
        <w:t>.</w:t>
      </w:r>
      <w:r w:rsidRPr="00D65106">
        <w:rPr>
          <w:rFonts w:ascii="Arial" w:hAnsi="Arial"/>
          <w:rtl/>
        </w:rPr>
        <w:t xml:space="preserve"> ותמיד רודף הנוקבא אחר הדכורא לאתנהרא מיניה</w:t>
      </w:r>
      <w:r>
        <w:rPr>
          <w:rFonts w:ascii="Arial" w:hAnsi="Arial" w:hint="cs"/>
          <w:rtl/>
        </w:rPr>
        <w:t>,</w:t>
      </w:r>
      <w:r w:rsidRPr="00D65106">
        <w:rPr>
          <w:rFonts w:ascii="Arial" w:hAnsi="Arial"/>
          <w:rtl/>
        </w:rPr>
        <w:t xml:space="preserve"> שהוא כמ</w:t>
      </w:r>
      <w:r>
        <w:rPr>
          <w:rFonts w:ascii="Arial" w:hAnsi="Arial" w:hint="cs"/>
          <w:rtl/>
        </w:rPr>
        <w:t>ו שכתוב</w:t>
      </w:r>
      <w:r w:rsidRPr="00D65106">
        <w:rPr>
          <w:rFonts w:ascii="Arial" w:hAnsi="Arial"/>
          <w:rtl/>
        </w:rPr>
        <w:t xml:space="preserve"> אלקים אל דמי לך כו' וכמ"ש בזוהר כמה פעמים</w:t>
      </w:r>
      <w:r>
        <w:rPr>
          <w:rFonts w:ascii="Arial" w:hAnsi="Arial" w:hint="cs"/>
          <w:rtl/>
        </w:rPr>
        <w:t>,</w:t>
      </w:r>
      <w:r w:rsidRPr="00D65106">
        <w:rPr>
          <w:rFonts w:ascii="Arial" w:hAnsi="Arial"/>
          <w:rtl/>
        </w:rPr>
        <w:t xml:space="preserve"> דחשוכא תאיב לנהורא לאתנהרא מיני</w:t>
      </w:r>
      <w:r>
        <w:rPr>
          <w:rFonts w:ascii="Arial" w:hAnsi="Arial" w:hint="cs"/>
          <w:rtl/>
        </w:rPr>
        <w:t>ה.</w:t>
      </w:r>
      <w:r w:rsidRPr="00D65106">
        <w:rPr>
          <w:rFonts w:ascii="Arial" w:hAnsi="Arial"/>
          <w:rtl/>
        </w:rPr>
        <w:t xml:space="preserve"> ובפ' בראשית י"ז ע"א האי חשך תיאובתי</w:t>
      </w:r>
      <w:r>
        <w:rPr>
          <w:rFonts w:ascii="Arial" w:hAnsi="Arial" w:hint="cs"/>
          <w:rtl/>
        </w:rPr>
        <w:t>ה</w:t>
      </w:r>
      <w:r w:rsidRPr="00D65106">
        <w:rPr>
          <w:rFonts w:ascii="Arial" w:hAnsi="Arial"/>
          <w:rtl/>
        </w:rPr>
        <w:t xml:space="preserve"> כו' ע"ש</w:t>
      </w:r>
      <w:r>
        <w:rPr>
          <w:rFonts w:ascii="Arial" w:hAnsi="Arial" w:hint="cs"/>
          <w:rtl/>
        </w:rPr>
        <w:t>.</w:t>
      </w:r>
      <w:r w:rsidRPr="00D65106">
        <w:rPr>
          <w:rFonts w:ascii="Arial" w:hAnsi="Arial"/>
          <w:rtl/>
        </w:rPr>
        <w:t xml:space="preserve"> ואע"ג שכאן הכל אור גדול</w:t>
      </w:r>
      <w:r>
        <w:rPr>
          <w:rFonts w:ascii="Arial" w:hAnsi="Arial" w:hint="cs"/>
          <w:rtl/>
        </w:rPr>
        <w:t>,</w:t>
      </w:r>
      <w:r w:rsidRPr="00D65106">
        <w:rPr>
          <w:rFonts w:ascii="Arial" w:hAnsi="Arial"/>
          <w:rtl/>
        </w:rPr>
        <w:t xml:space="preserve"> מ"מ שרשן כאן הוא</w:t>
      </w:r>
      <w:r>
        <w:rPr>
          <w:rFonts w:ascii="Arial" w:hAnsi="Arial" w:hint="cs"/>
          <w:rtl/>
        </w:rPr>
        <w:t>,</w:t>
      </w:r>
      <w:r w:rsidRPr="00D65106">
        <w:rPr>
          <w:rFonts w:ascii="Arial" w:hAnsi="Arial"/>
          <w:rtl/>
        </w:rPr>
        <w:t xml:space="preserve"> כמש"ל</w:t>
      </w:r>
      <w:r>
        <w:rPr>
          <w:rFonts w:ascii="Arial" w:hAnsi="Arial" w:hint="cs"/>
          <w:rtl/>
        </w:rPr>
        <w:t>,</w:t>
      </w:r>
      <w:r w:rsidRPr="00D65106">
        <w:rPr>
          <w:rFonts w:ascii="Arial" w:hAnsi="Arial"/>
          <w:rtl/>
        </w:rPr>
        <w:t xml:space="preserve"> ולכן נקרא בוצינא דקרדינותא לשון חשך</w:t>
      </w:r>
      <w:r>
        <w:rPr>
          <w:rFonts w:ascii="Arial" w:hAnsi="Arial" w:hint="cs"/>
          <w:rtl/>
        </w:rPr>
        <w:t>,</w:t>
      </w:r>
      <w:r w:rsidRPr="00D65106">
        <w:rPr>
          <w:rFonts w:ascii="Arial" w:hAnsi="Arial"/>
          <w:rtl/>
        </w:rPr>
        <w:t xml:space="preserve"> שגנוז במ"ס כנ"ל:</w:t>
      </w:r>
      <w:r w:rsidRPr="00D65106">
        <w:rPr>
          <w:rFonts w:ascii="Arial" w:hAnsi="Arial"/>
          <w:b/>
          <w:bCs/>
          <w:rtl/>
        </w:rPr>
        <w:t xml:space="preserve"> </w:t>
      </w:r>
    </w:p>
  </w:footnote>
  <w:footnote w:id="8962">
    <w:p w:rsidR="00007309" w:rsidRDefault="00007309" w:rsidP="00007309">
      <w:pPr>
        <w:pStyle w:val="a5"/>
        <w:rPr>
          <w:rtl/>
        </w:rPr>
      </w:pPr>
      <w:r>
        <w:rPr>
          <w:rStyle w:val="a7"/>
          <w:rFonts w:eastAsiaTheme="majorEastAsia"/>
        </w:rPr>
        <w:footnoteRef/>
      </w:r>
      <w:r>
        <w:t xml:space="preserve"> </w:t>
      </w:r>
      <w:r>
        <w:rPr>
          <w:rFonts w:hint="cs"/>
          <w:rtl/>
        </w:rPr>
        <w:t xml:space="preserve"> </w:t>
      </w:r>
      <w:r w:rsidRPr="00D65106">
        <w:rPr>
          <w:rFonts w:ascii="Arial" w:hAnsi="Arial"/>
          <w:b/>
          <w:bCs/>
          <w:rtl/>
        </w:rPr>
        <w:t>חד פריסו אתפריס כו'.</w:t>
      </w:r>
      <w:r w:rsidRPr="00D65106">
        <w:rPr>
          <w:rFonts w:ascii="Arial" w:hAnsi="Arial"/>
          <w:rtl/>
        </w:rPr>
        <w:t xml:space="preserve"> הוא קרומא דאוירא</w:t>
      </w:r>
      <w:r>
        <w:rPr>
          <w:rFonts w:ascii="Arial" w:hAnsi="Arial" w:hint="cs"/>
          <w:rtl/>
        </w:rPr>
        <w:t>,</w:t>
      </w:r>
      <w:r w:rsidRPr="00D65106">
        <w:rPr>
          <w:rFonts w:ascii="Arial" w:hAnsi="Arial"/>
          <w:rtl/>
        </w:rPr>
        <w:t xml:space="preserve"> שמפסיק בין אוירא למ"ס</w:t>
      </w:r>
      <w:r>
        <w:rPr>
          <w:rFonts w:ascii="Arial" w:hAnsi="Arial" w:hint="cs"/>
          <w:rtl/>
        </w:rPr>
        <w:t>.</w:t>
      </w:r>
      <w:r w:rsidRPr="00D65106">
        <w:rPr>
          <w:rFonts w:ascii="Arial" w:hAnsi="Arial"/>
          <w:rtl/>
        </w:rPr>
        <w:t xml:space="preserve"> כמ"ש בא"ר ד</w:t>
      </w:r>
      <w:r>
        <w:rPr>
          <w:rFonts w:ascii="Arial" w:hAnsi="Arial" w:hint="cs"/>
          <w:rtl/>
        </w:rPr>
        <w:t>ף</w:t>
      </w:r>
      <w:r w:rsidRPr="00D65106">
        <w:rPr>
          <w:rFonts w:ascii="Arial" w:hAnsi="Arial"/>
          <w:rtl/>
        </w:rPr>
        <w:t xml:space="preserve"> קכ"ח ע"ב בחללא דגולגלתא קד"א כו'</w:t>
      </w:r>
      <w:r>
        <w:rPr>
          <w:rFonts w:ascii="Arial" w:hAnsi="Arial" w:hint="cs"/>
          <w:rtl/>
        </w:rPr>
        <w:t>.</w:t>
      </w:r>
      <w:r w:rsidRPr="00D65106">
        <w:rPr>
          <w:rFonts w:ascii="Arial" w:hAnsi="Arial"/>
          <w:rtl/>
        </w:rPr>
        <w:t xml:space="preserve"> וזהו הרקיע שמפסיק בין מים למים</w:t>
      </w:r>
      <w:r>
        <w:rPr>
          <w:rFonts w:ascii="Arial" w:hAnsi="Arial" w:hint="cs"/>
          <w:rtl/>
        </w:rPr>
        <w:t>,</w:t>
      </w:r>
      <w:r w:rsidRPr="00D65106">
        <w:rPr>
          <w:rFonts w:ascii="Arial" w:hAnsi="Arial"/>
          <w:rtl/>
        </w:rPr>
        <w:t xml:space="preserve"> בין מ"ד למ"נ כמ</w:t>
      </w:r>
      <w:r>
        <w:rPr>
          <w:rFonts w:ascii="Arial" w:hAnsi="Arial" w:hint="cs"/>
          <w:rtl/>
        </w:rPr>
        <w:t>ו שאמרו</w:t>
      </w:r>
      <w:r w:rsidRPr="00D65106">
        <w:rPr>
          <w:rFonts w:ascii="Arial" w:hAnsi="Arial"/>
          <w:rtl/>
        </w:rPr>
        <w:t xml:space="preserve"> בתי</w:t>
      </w:r>
      <w:r>
        <w:rPr>
          <w:rFonts w:ascii="Arial" w:hAnsi="Arial" w:hint="cs"/>
          <w:rtl/>
        </w:rPr>
        <w:t>קונים</w:t>
      </w:r>
      <w:r w:rsidRPr="00D65106">
        <w:rPr>
          <w:rFonts w:ascii="Arial" w:hAnsi="Arial"/>
          <w:rtl/>
        </w:rPr>
        <w:t xml:space="preserve"> שרקיע מפסיק בין מ"ד למ"נ</w:t>
      </w:r>
      <w:r>
        <w:rPr>
          <w:rFonts w:ascii="Arial" w:hAnsi="Arial" w:hint="cs"/>
          <w:rtl/>
        </w:rPr>
        <w:t>,</w:t>
      </w:r>
      <w:r w:rsidRPr="00D65106">
        <w:rPr>
          <w:rFonts w:ascii="Arial" w:hAnsi="Arial"/>
          <w:rtl/>
        </w:rPr>
        <w:t xml:space="preserve"> ע</w:t>
      </w:r>
      <w:r>
        <w:rPr>
          <w:rFonts w:ascii="Arial" w:hAnsi="Arial" w:hint="cs"/>
          <w:rtl/>
        </w:rPr>
        <w:t xml:space="preserve">יין </w:t>
      </w:r>
      <w:r w:rsidRPr="00D65106">
        <w:rPr>
          <w:rFonts w:ascii="Arial" w:hAnsi="Arial"/>
          <w:rtl/>
        </w:rPr>
        <w:t>בתי</w:t>
      </w:r>
      <w:r>
        <w:rPr>
          <w:rFonts w:ascii="Arial" w:hAnsi="Arial" w:hint="cs"/>
          <w:rtl/>
        </w:rPr>
        <w:t>קון י"ט</w:t>
      </w:r>
      <w:r w:rsidRPr="00D65106">
        <w:rPr>
          <w:rFonts w:ascii="Arial" w:hAnsi="Arial"/>
          <w:rtl/>
        </w:rPr>
        <w:t xml:space="preserve"> ד</w:t>
      </w:r>
      <w:r>
        <w:rPr>
          <w:rFonts w:ascii="Arial" w:hAnsi="Arial" w:hint="cs"/>
          <w:rtl/>
        </w:rPr>
        <w:t>ף</w:t>
      </w:r>
      <w:r w:rsidRPr="00D65106">
        <w:rPr>
          <w:rFonts w:ascii="Arial" w:hAnsi="Arial"/>
          <w:rtl/>
        </w:rPr>
        <w:t xml:space="preserve"> ל"ו</w:t>
      </w:r>
      <w:r>
        <w:rPr>
          <w:rFonts w:ascii="Arial" w:hAnsi="Arial" w:hint="cs"/>
          <w:rtl/>
        </w:rPr>
        <w:t>.</w:t>
      </w:r>
      <w:r w:rsidRPr="00D65106">
        <w:rPr>
          <w:rFonts w:ascii="Arial" w:hAnsi="Arial"/>
          <w:rtl/>
        </w:rPr>
        <w:t xml:space="preserve"> ואמר בס"ד פ"ה בין מים למים</w:t>
      </w:r>
      <w:r>
        <w:rPr>
          <w:rFonts w:ascii="Arial" w:hAnsi="Arial" w:hint="cs"/>
          <w:rtl/>
        </w:rPr>
        <w:t>,</w:t>
      </w:r>
      <w:r w:rsidRPr="00D65106">
        <w:rPr>
          <w:rFonts w:ascii="Arial" w:hAnsi="Arial"/>
          <w:rtl/>
        </w:rPr>
        <w:t xml:space="preserve"> בין רחמין שלימין לבין רחמין דלא שלימין ע"ש</w:t>
      </w:r>
      <w:r>
        <w:rPr>
          <w:rFonts w:ascii="Arial" w:hAnsi="Arial" w:hint="cs"/>
          <w:rtl/>
        </w:rPr>
        <w:t>.</w:t>
      </w:r>
      <w:r w:rsidRPr="00D65106">
        <w:rPr>
          <w:rFonts w:ascii="Arial" w:hAnsi="Arial"/>
          <w:rtl/>
        </w:rPr>
        <w:t xml:space="preserve"> והוא חו"ג בשרשן:</w:t>
      </w:r>
      <w:r w:rsidRPr="00D65106">
        <w:rPr>
          <w:rFonts w:ascii="Arial" w:hAnsi="Arial"/>
          <w:b/>
          <w:bCs/>
          <w:rtl/>
        </w:rPr>
        <w:t xml:space="preserve"> </w:t>
      </w:r>
    </w:p>
  </w:footnote>
  <w:footnote w:id="8963">
    <w:p w:rsidR="00007309" w:rsidRDefault="00007309" w:rsidP="00007309">
      <w:pPr>
        <w:pStyle w:val="a5"/>
        <w:rPr>
          <w:rtl/>
        </w:rPr>
      </w:pPr>
      <w:r>
        <w:rPr>
          <w:rStyle w:val="a7"/>
          <w:rFonts w:eastAsiaTheme="majorEastAsia"/>
        </w:rPr>
        <w:footnoteRef/>
      </w:r>
      <w:r>
        <w:t xml:space="preserve"> </w:t>
      </w:r>
      <w:r>
        <w:rPr>
          <w:rFonts w:hint="cs"/>
          <w:rtl/>
        </w:rPr>
        <w:t xml:space="preserve"> </w:t>
      </w:r>
      <w:r w:rsidRPr="00D65106">
        <w:rPr>
          <w:rFonts w:ascii="Arial" w:hAnsi="Arial"/>
          <w:b/>
          <w:bCs/>
          <w:rtl/>
        </w:rPr>
        <w:t>ומגו ההוא פריסו כו' נהיר מאי דנהיר.</w:t>
      </w:r>
      <w:r w:rsidRPr="00D65106">
        <w:rPr>
          <w:rFonts w:ascii="Arial" w:hAnsi="Arial"/>
          <w:rtl/>
        </w:rPr>
        <w:t xml:space="preserve"> ר"ל מכח הרדיפת המחשבה</w:t>
      </w:r>
      <w:r>
        <w:rPr>
          <w:rFonts w:ascii="Arial" w:hAnsi="Arial" w:hint="cs"/>
          <w:rtl/>
        </w:rPr>
        <w:t>,</w:t>
      </w:r>
      <w:r w:rsidRPr="00D65106">
        <w:rPr>
          <w:rFonts w:ascii="Arial" w:hAnsi="Arial"/>
          <w:rtl/>
        </w:rPr>
        <w:t xml:space="preserve"> שהוא מ"נ</w:t>
      </w:r>
      <w:r>
        <w:rPr>
          <w:rFonts w:ascii="Arial" w:hAnsi="Arial" w:hint="cs"/>
          <w:rtl/>
        </w:rPr>
        <w:t>,</w:t>
      </w:r>
      <w:r w:rsidRPr="00D65106">
        <w:rPr>
          <w:rFonts w:ascii="Arial" w:hAnsi="Arial"/>
          <w:rtl/>
        </w:rPr>
        <w:t xml:space="preserve"> נהיר מאי דנהיר</w:t>
      </w:r>
      <w:r>
        <w:rPr>
          <w:rFonts w:ascii="Arial" w:hAnsi="Arial" w:hint="cs"/>
          <w:rtl/>
        </w:rPr>
        <w:t>,</w:t>
      </w:r>
      <w:r w:rsidRPr="00D65106">
        <w:rPr>
          <w:rFonts w:ascii="Arial" w:hAnsi="Arial"/>
          <w:rtl/>
        </w:rPr>
        <w:t xml:space="preserve"> ר"ל נהיר אוירא סתימא דרך הפריסה שהוא מ"ד</w:t>
      </w:r>
      <w:r>
        <w:rPr>
          <w:rFonts w:ascii="Arial" w:hAnsi="Arial" w:hint="cs"/>
          <w:rtl/>
        </w:rPr>
        <w:t>.</w:t>
      </w:r>
      <w:r w:rsidRPr="00D65106">
        <w:rPr>
          <w:rFonts w:ascii="Arial" w:hAnsi="Arial"/>
          <w:rtl/>
        </w:rPr>
        <w:t xml:space="preserve"> ולפי שאוירא נהיר בסתימו מגו רדל"א לכן אמר נהיר מאי דנהיר</w:t>
      </w:r>
      <w:r>
        <w:rPr>
          <w:rFonts w:ascii="Arial" w:hAnsi="Arial" w:hint="cs"/>
          <w:rtl/>
        </w:rPr>
        <w:t>,</w:t>
      </w:r>
      <w:r w:rsidRPr="00D65106">
        <w:rPr>
          <w:rFonts w:ascii="Arial" w:hAnsi="Arial"/>
          <w:rtl/>
        </w:rPr>
        <w:t xml:space="preserve"> כמש"ל ונהיר מאי דנהיר כולא בסתימו:</w:t>
      </w:r>
      <w:r w:rsidRPr="00D65106">
        <w:rPr>
          <w:rFonts w:ascii="Arial" w:hAnsi="Arial"/>
          <w:b/>
          <w:bCs/>
          <w:rtl/>
        </w:rPr>
        <w:t xml:space="preserve"> </w:t>
      </w:r>
    </w:p>
  </w:footnote>
  <w:footnote w:id="8964">
    <w:p w:rsidR="00007309" w:rsidRPr="00FD0F22" w:rsidRDefault="00007309" w:rsidP="00007309">
      <w:pPr>
        <w:pStyle w:val="a5"/>
        <w:rPr>
          <w:rtl/>
        </w:rPr>
      </w:pPr>
      <w:r>
        <w:rPr>
          <w:rStyle w:val="a7"/>
          <w:rFonts w:eastAsiaTheme="majorEastAsia"/>
        </w:rPr>
        <w:footnoteRef/>
      </w:r>
      <w:r>
        <w:t xml:space="preserve"> </w:t>
      </w:r>
      <w:r>
        <w:rPr>
          <w:rFonts w:hint="cs"/>
          <w:rtl/>
        </w:rPr>
        <w:t xml:space="preserve"> </w:t>
      </w:r>
      <w:r w:rsidRPr="00D65106">
        <w:rPr>
          <w:rFonts w:ascii="Arial" w:hAnsi="Arial"/>
          <w:b/>
          <w:bCs/>
          <w:rtl/>
        </w:rPr>
        <w:t>וכדין איהו כו'.</w:t>
      </w:r>
      <w:r w:rsidRPr="00D65106">
        <w:rPr>
          <w:rFonts w:ascii="Arial" w:hAnsi="Arial"/>
          <w:rtl/>
        </w:rPr>
        <w:t xml:space="preserve"> ר"ל ואז מאיר ג"כ מ"ס:</w:t>
      </w:r>
      <w:r w:rsidRPr="00D65106">
        <w:rPr>
          <w:rFonts w:ascii="Arial" w:hAnsi="Arial"/>
          <w:b/>
          <w:bCs/>
          <w:rtl/>
        </w:rPr>
        <w:t xml:space="preserve"> </w:t>
      </w:r>
    </w:p>
  </w:footnote>
  <w:footnote w:id="8965">
    <w:p w:rsidR="00007309" w:rsidRPr="00FD0F22" w:rsidRDefault="00007309" w:rsidP="00007309">
      <w:pPr>
        <w:pStyle w:val="a5"/>
        <w:rPr>
          <w:rtl/>
        </w:rPr>
      </w:pPr>
      <w:r>
        <w:rPr>
          <w:rStyle w:val="a7"/>
          <w:rFonts w:eastAsiaTheme="majorEastAsia"/>
        </w:rPr>
        <w:footnoteRef/>
      </w:r>
      <w:r>
        <w:t xml:space="preserve"> </w:t>
      </w:r>
      <w:r>
        <w:rPr>
          <w:rFonts w:hint="cs"/>
          <w:rtl/>
        </w:rPr>
        <w:t xml:space="preserve"> </w:t>
      </w:r>
      <w:r w:rsidRPr="00D65106">
        <w:rPr>
          <w:rFonts w:ascii="Arial" w:hAnsi="Arial"/>
          <w:rtl/>
        </w:rPr>
        <w:t>(</w:t>
      </w:r>
      <w:r w:rsidRPr="00D65106">
        <w:rPr>
          <w:rFonts w:ascii="Arial" w:hAnsi="Arial"/>
          <w:b/>
          <w:bCs/>
          <w:rtl/>
        </w:rPr>
        <w:t>וההוא מחשבה לא ידיע.</w:t>
      </w:r>
      <w:r w:rsidRPr="00D65106">
        <w:rPr>
          <w:rFonts w:ascii="Arial" w:hAnsi="Arial"/>
          <w:rtl/>
        </w:rPr>
        <w:t xml:space="preserve"> ר"ל זה המחשבה אינו המחשבה של אדם הידוע לאדם</w:t>
      </w:r>
      <w:r>
        <w:rPr>
          <w:rFonts w:ascii="Arial" w:hAnsi="Arial" w:hint="cs"/>
          <w:rtl/>
        </w:rPr>
        <w:t>,</w:t>
      </w:r>
      <w:r w:rsidRPr="00D65106">
        <w:rPr>
          <w:rFonts w:ascii="Arial" w:hAnsi="Arial"/>
          <w:rtl/>
        </w:rPr>
        <w:t xml:space="preserve"> אלא הוא מחשבה עילאה שאינו ידוע אף לאדם עצמו</w:t>
      </w:r>
      <w:r>
        <w:rPr>
          <w:rFonts w:ascii="Arial" w:hAnsi="Arial" w:hint="cs"/>
          <w:rtl/>
        </w:rPr>
        <w:t>.</w:t>
      </w:r>
      <w:r w:rsidRPr="00D65106">
        <w:rPr>
          <w:rFonts w:ascii="Arial" w:hAnsi="Arial"/>
          <w:rtl/>
        </w:rPr>
        <w:t xml:space="preserve"> וכן למעלה הוא מחשבה סתימאה כמ"ש בא"ר קכ"ט ע"ב ועדן דלעילא לית דידע ליה כו' וכן בא"ז ד' רפ"ח ולית דידע ליה כו'):</w:t>
      </w:r>
    </w:p>
  </w:footnote>
  <w:footnote w:id="8966">
    <w:p w:rsidR="00007309" w:rsidRDefault="00007309" w:rsidP="00007309">
      <w:pPr>
        <w:pStyle w:val="a5"/>
        <w:rPr>
          <w:rtl/>
        </w:rPr>
      </w:pPr>
      <w:r>
        <w:rPr>
          <w:rStyle w:val="a7"/>
          <w:rFonts w:eastAsiaTheme="majorEastAsia"/>
        </w:rPr>
        <w:footnoteRef/>
      </w:r>
      <w:r>
        <w:t xml:space="preserve"> </w:t>
      </w:r>
      <w:r>
        <w:rPr>
          <w:rFonts w:hint="cs"/>
          <w:rtl/>
        </w:rPr>
        <w:t xml:space="preserve"> </w:t>
      </w:r>
      <w:r w:rsidRPr="00D65106">
        <w:rPr>
          <w:rFonts w:ascii="Arial" w:hAnsi="Arial"/>
          <w:b/>
          <w:bCs/>
          <w:rtl/>
        </w:rPr>
        <w:t>כדין בטש האי כו'.</w:t>
      </w:r>
      <w:r w:rsidRPr="00D65106">
        <w:rPr>
          <w:rFonts w:ascii="Arial" w:hAnsi="Arial"/>
          <w:rtl/>
        </w:rPr>
        <w:t xml:space="preserve"> זהו הזיווג כנ"ל:</w:t>
      </w:r>
      <w:r w:rsidRPr="00D65106">
        <w:rPr>
          <w:rFonts w:ascii="Arial" w:hAnsi="Arial"/>
          <w:b/>
          <w:bCs/>
          <w:rtl/>
        </w:rPr>
        <w:t xml:space="preserve"> </w:t>
      </w:r>
    </w:p>
  </w:footnote>
  <w:footnote w:id="8967">
    <w:p w:rsidR="00007309" w:rsidRDefault="00007309" w:rsidP="00007309">
      <w:pPr>
        <w:pStyle w:val="a5"/>
        <w:rPr>
          <w:rtl/>
        </w:rPr>
      </w:pPr>
      <w:r>
        <w:rPr>
          <w:rStyle w:val="a7"/>
          <w:rFonts w:eastAsiaTheme="majorEastAsia"/>
        </w:rPr>
        <w:footnoteRef/>
      </w:r>
      <w:r>
        <w:t xml:space="preserve"> </w:t>
      </w:r>
      <w:r>
        <w:rPr>
          <w:rFonts w:hint="cs"/>
          <w:rtl/>
        </w:rPr>
        <w:t xml:space="preserve"> </w:t>
      </w:r>
      <w:r w:rsidRPr="00D65106">
        <w:rPr>
          <w:rFonts w:ascii="Arial" w:hAnsi="Arial"/>
          <w:b/>
          <w:bCs/>
          <w:rtl/>
        </w:rPr>
        <w:t>בנהירו דפריסא דקיימא דנהיר ממה כו'.</w:t>
      </w:r>
      <w:r w:rsidRPr="00D65106">
        <w:rPr>
          <w:rFonts w:ascii="Arial" w:hAnsi="Arial"/>
          <w:rtl/>
        </w:rPr>
        <w:t xml:space="preserve"> ר"ל בנהירו של הקרום שהוא מאיר מרדל"א כנ"ל</w:t>
      </w:r>
      <w:r>
        <w:rPr>
          <w:rFonts w:ascii="Arial" w:hAnsi="Arial" w:hint="cs"/>
          <w:rtl/>
        </w:rPr>
        <w:t>.</w:t>
      </w:r>
      <w:r w:rsidRPr="00D65106">
        <w:rPr>
          <w:rFonts w:ascii="Arial" w:hAnsi="Arial"/>
          <w:rtl/>
        </w:rPr>
        <w:t xml:space="preserve"> ואמר שלשה דברים</w:t>
      </w:r>
      <w:r>
        <w:rPr>
          <w:rFonts w:ascii="Arial" w:hAnsi="Arial" w:hint="cs"/>
          <w:rtl/>
        </w:rPr>
        <w:t>:</w:t>
      </w:r>
      <w:r w:rsidRPr="00D65106">
        <w:rPr>
          <w:rFonts w:ascii="Arial" w:hAnsi="Arial"/>
          <w:rtl/>
        </w:rPr>
        <w:t xml:space="preserve"> דלא ידיע כו'</w:t>
      </w:r>
      <w:r>
        <w:rPr>
          <w:rFonts w:ascii="Arial" w:hAnsi="Arial" w:hint="cs"/>
          <w:rtl/>
        </w:rPr>
        <w:t>.</w:t>
      </w:r>
      <w:r w:rsidRPr="00D65106">
        <w:rPr>
          <w:rFonts w:ascii="Arial" w:hAnsi="Arial"/>
          <w:rtl/>
        </w:rPr>
        <w:t xml:space="preserve"> שמאיר משלשה</w:t>
      </w:r>
      <w:r>
        <w:rPr>
          <w:rFonts w:ascii="Arial" w:hAnsi="Arial" w:hint="cs"/>
          <w:rtl/>
        </w:rPr>
        <w:t>:</w:t>
      </w:r>
      <w:r w:rsidRPr="00D65106">
        <w:rPr>
          <w:rFonts w:ascii="Arial" w:hAnsi="Arial"/>
          <w:rtl/>
        </w:rPr>
        <w:t xml:space="preserve"> לא ידיע</w:t>
      </w:r>
      <w:r>
        <w:rPr>
          <w:rFonts w:ascii="Arial" w:hAnsi="Arial" w:hint="cs"/>
          <w:rtl/>
        </w:rPr>
        <w:t>,</w:t>
      </w:r>
      <w:r w:rsidRPr="00D65106">
        <w:rPr>
          <w:rFonts w:ascii="Arial" w:hAnsi="Arial"/>
          <w:rtl/>
        </w:rPr>
        <w:t xml:space="preserve"> גלגלתא</w:t>
      </w:r>
      <w:r>
        <w:rPr>
          <w:rFonts w:ascii="Arial" w:hAnsi="Arial" w:hint="cs"/>
          <w:rtl/>
        </w:rPr>
        <w:t>,</w:t>
      </w:r>
      <w:r w:rsidRPr="00D65106">
        <w:rPr>
          <w:rFonts w:ascii="Arial" w:hAnsi="Arial"/>
          <w:rtl/>
        </w:rPr>
        <w:t xml:space="preserve"> ע"ק</w:t>
      </w:r>
      <w:r>
        <w:rPr>
          <w:rFonts w:ascii="Arial" w:hAnsi="Arial" w:hint="cs"/>
          <w:rtl/>
        </w:rPr>
        <w:t>.</w:t>
      </w:r>
      <w:r w:rsidRPr="00D65106">
        <w:rPr>
          <w:rFonts w:ascii="Arial" w:hAnsi="Arial"/>
          <w:rtl/>
        </w:rPr>
        <w:t xml:space="preserve"> כמ"ש לעיל ואפיק מאי דאפיק ולא ידיע</w:t>
      </w:r>
      <w:r>
        <w:rPr>
          <w:rFonts w:ascii="Arial" w:hAnsi="Arial" w:hint="cs"/>
          <w:rtl/>
        </w:rPr>
        <w:t>,</w:t>
      </w:r>
      <w:r w:rsidRPr="00D65106">
        <w:rPr>
          <w:rFonts w:ascii="Arial" w:hAnsi="Arial"/>
          <w:rtl/>
        </w:rPr>
        <w:t xml:space="preserve"> ולא אתיידע רדל"א</w:t>
      </w:r>
      <w:r>
        <w:rPr>
          <w:rFonts w:ascii="Arial" w:hAnsi="Arial" w:hint="cs"/>
          <w:rtl/>
        </w:rPr>
        <w:t>,</w:t>
      </w:r>
      <w:r w:rsidRPr="00D65106">
        <w:rPr>
          <w:rFonts w:ascii="Arial" w:hAnsi="Arial"/>
          <w:rtl/>
        </w:rPr>
        <w:t xml:space="preserve"> ולא אתגליא א"ק</w:t>
      </w:r>
      <w:r>
        <w:rPr>
          <w:rFonts w:ascii="Arial" w:hAnsi="Arial" w:hint="cs"/>
          <w:rtl/>
        </w:rPr>
        <w:t>,</w:t>
      </w:r>
      <w:r w:rsidRPr="00D65106">
        <w:rPr>
          <w:rFonts w:ascii="Arial" w:hAnsi="Arial"/>
          <w:rtl/>
        </w:rPr>
        <w:t xml:space="preserve"> שהוא אינו נגלה כלל</w:t>
      </w:r>
      <w:r>
        <w:rPr>
          <w:rFonts w:ascii="Arial" w:hAnsi="Arial" w:hint="cs"/>
          <w:rtl/>
        </w:rPr>
        <w:t>,</w:t>
      </w:r>
      <w:r w:rsidRPr="00D65106">
        <w:rPr>
          <w:rFonts w:ascii="Arial" w:hAnsi="Arial"/>
          <w:rtl/>
        </w:rPr>
        <w:t xml:space="preserve"> שלא דברו בו ברוב העלמו:</w:t>
      </w:r>
    </w:p>
  </w:footnote>
  <w:footnote w:id="8968">
    <w:p w:rsidR="00007309" w:rsidRPr="00B20870" w:rsidRDefault="00007309" w:rsidP="00007309">
      <w:pPr>
        <w:pStyle w:val="a5"/>
        <w:rPr>
          <w:rtl/>
        </w:rPr>
      </w:pPr>
      <w:r>
        <w:rPr>
          <w:rStyle w:val="a7"/>
          <w:rFonts w:eastAsiaTheme="majorEastAsia"/>
        </w:rPr>
        <w:footnoteRef/>
      </w:r>
      <w:r>
        <w:t xml:space="preserve"> </w:t>
      </w:r>
      <w:r>
        <w:rPr>
          <w:rFonts w:hint="cs"/>
          <w:rtl/>
        </w:rPr>
        <w:t xml:space="preserve"> </w:t>
      </w:r>
      <w:r w:rsidRPr="00D65106">
        <w:rPr>
          <w:rFonts w:ascii="Arial" w:hAnsi="Arial"/>
          <w:b/>
          <w:bCs/>
          <w:rtl/>
        </w:rPr>
        <w:t>וכדין דא נהירו כו'.</w:t>
      </w:r>
      <w:r w:rsidRPr="00D65106">
        <w:rPr>
          <w:rFonts w:ascii="Arial" w:hAnsi="Arial"/>
          <w:rtl/>
        </w:rPr>
        <w:t xml:space="preserve"> לפי שהפסיק לפרש ממאי נהיר פריסא</w:t>
      </w:r>
      <w:r>
        <w:rPr>
          <w:rFonts w:ascii="Arial" w:hAnsi="Arial" w:hint="cs"/>
          <w:rtl/>
        </w:rPr>
        <w:t>,</w:t>
      </w:r>
      <w:r w:rsidRPr="00D65106">
        <w:rPr>
          <w:rFonts w:ascii="Arial" w:hAnsi="Arial"/>
          <w:rtl/>
        </w:rPr>
        <w:t xml:space="preserve"> חוזר הבטישה:</w:t>
      </w:r>
      <w:r w:rsidRPr="00D65106">
        <w:rPr>
          <w:rFonts w:ascii="Arial" w:hAnsi="Arial"/>
          <w:b/>
          <w:bCs/>
          <w:rtl/>
        </w:rPr>
        <w:t xml:space="preserve"> </w:t>
      </w:r>
    </w:p>
  </w:footnote>
  <w:footnote w:id="8969">
    <w:p w:rsidR="00007309" w:rsidRPr="00B20870" w:rsidRDefault="00007309" w:rsidP="00007309">
      <w:pPr>
        <w:pStyle w:val="a5"/>
        <w:rPr>
          <w:rtl/>
        </w:rPr>
      </w:pPr>
      <w:r>
        <w:rPr>
          <w:rStyle w:val="a7"/>
          <w:rFonts w:eastAsiaTheme="majorEastAsia"/>
        </w:rPr>
        <w:footnoteRef/>
      </w:r>
      <w:r>
        <w:t xml:space="preserve"> </w:t>
      </w:r>
      <w:r>
        <w:rPr>
          <w:rFonts w:hint="cs"/>
          <w:rtl/>
        </w:rPr>
        <w:t xml:space="preserve"> </w:t>
      </w:r>
      <w:r w:rsidRPr="00D65106">
        <w:rPr>
          <w:rFonts w:ascii="Arial" w:hAnsi="Arial"/>
          <w:b/>
          <w:bCs/>
          <w:rtl/>
        </w:rPr>
        <w:t>ונהרין כחדא.</w:t>
      </w:r>
      <w:r w:rsidRPr="00D65106">
        <w:rPr>
          <w:rFonts w:ascii="Arial" w:hAnsi="Arial"/>
          <w:rtl/>
        </w:rPr>
        <w:t xml:space="preserve"> זהו זיווג אוירא וניצוצא הנז' בא"ז</w:t>
      </w:r>
      <w:r>
        <w:rPr>
          <w:rFonts w:ascii="Arial" w:hAnsi="Arial" w:hint="cs"/>
          <w:rtl/>
        </w:rPr>
        <w:t>,</w:t>
      </w:r>
      <w:r w:rsidRPr="00D65106">
        <w:rPr>
          <w:rFonts w:ascii="Arial" w:hAnsi="Arial"/>
          <w:rtl/>
        </w:rPr>
        <w:t xml:space="preserve"> דאתנהיר גלגלתא דז"א</w:t>
      </w:r>
      <w:r>
        <w:rPr>
          <w:rFonts w:ascii="Arial" w:hAnsi="Arial" w:hint="cs"/>
          <w:rtl/>
        </w:rPr>
        <w:t>.</w:t>
      </w:r>
      <w:r w:rsidRPr="00D65106">
        <w:rPr>
          <w:rFonts w:ascii="Arial" w:hAnsi="Arial"/>
          <w:rtl/>
        </w:rPr>
        <w:t xml:space="preserve"> וכן בכל הזיווגים</w:t>
      </w:r>
      <w:r>
        <w:rPr>
          <w:rFonts w:ascii="Arial" w:hAnsi="Arial" w:hint="cs"/>
          <w:rtl/>
        </w:rPr>
        <w:t>.</w:t>
      </w:r>
      <w:r w:rsidRPr="00D65106">
        <w:rPr>
          <w:rFonts w:ascii="Arial" w:hAnsi="Arial"/>
          <w:rtl/>
        </w:rPr>
        <w:t xml:space="preserve"> והן חו"ג</w:t>
      </w:r>
      <w:r>
        <w:rPr>
          <w:rFonts w:ascii="Arial" w:hAnsi="Arial" w:hint="cs"/>
          <w:rtl/>
        </w:rPr>
        <w:t>.</w:t>
      </w:r>
      <w:r w:rsidRPr="00D65106">
        <w:rPr>
          <w:rFonts w:ascii="Arial" w:hAnsi="Arial"/>
          <w:rtl/>
        </w:rPr>
        <w:t xml:space="preserve"> וכן כאן בשרשן</w:t>
      </w:r>
      <w:r>
        <w:rPr>
          <w:rFonts w:ascii="Arial" w:hAnsi="Arial" w:hint="cs"/>
          <w:rtl/>
        </w:rPr>
        <w:t>.</w:t>
      </w:r>
      <w:r w:rsidRPr="00D65106">
        <w:rPr>
          <w:rFonts w:ascii="Arial" w:hAnsi="Arial"/>
          <w:rtl/>
        </w:rPr>
        <w:t xml:space="preserve"> ועל ידן אתעבידו ט' היכלין כמש"ו:</w:t>
      </w:r>
    </w:p>
  </w:footnote>
  <w:footnote w:id="8970">
    <w:p w:rsidR="00007309" w:rsidRPr="00B20870" w:rsidRDefault="00007309" w:rsidP="00007309">
      <w:pPr>
        <w:pStyle w:val="a5"/>
        <w:rPr>
          <w:rtl/>
        </w:rPr>
      </w:pPr>
      <w:r>
        <w:rPr>
          <w:rStyle w:val="a7"/>
          <w:rFonts w:eastAsiaTheme="majorEastAsia"/>
        </w:rPr>
        <w:footnoteRef/>
      </w:r>
      <w:r>
        <w:t xml:space="preserve"> </w:t>
      </w:r>
      <w:r>
        <w:rPr>
          <w:rFonts w:hint="cs"/>
          <w:rtl/>
        </w:rPr>
        <w:t xml:space="preserve"> </w:t>
      </w:r>
      <w:r w:rsidRPr="00D65106">
        <w:rPr>
          <w:rFonts w:ascii="Arial" w:hAnsi="Arial"/>
          <w:b/>
          <w:bCs/>
          <w:rtl/>
        </w:rPr>
        <w:t>ואתעבידו ט' היכלין.</w:t>
      </w:r>
      <w:r w:rsidRPr="00D65106">
        <w:rPr>
          <w:rFonts w:ascii="Arial" w:hAnsi="Arial"/>
          <w:rtl/>
        </w:rPr>
        <w:t xml:space="preserve"> הן ט"ס דא"א שמן חכמה ולמטה</w:t>
      </w:r>
      <w:r>
        <w:rPr>
          <w:rFonts w:ascii="Arial" w:hAnsi="Arial" w:hint="cs"/>
          <w:rtl/>
        </w:rPr>
        <w:t>.</w:t>
      </w:r>
      <w:r w:rsidRPr="00D65106">
        <w:rPr>
          <w:rFonts w:ascii="Arial" w:hAnsi="Arial"/>
          <w:rtl/>
        </w:rPr>
        <w:t xml:space="preserve"> שגלגלתא ובו גנוז אוירא הוא כתר של א"א</w:t>
      </w:r>
      <w:r>
        <w:rPr>
          <w:rFonts w:ascii="Arial" w:hAnsi="Arial" w:hint="cs"/>
          <w:rtl/>
        </w:rPr>
        <w:t>.</w:t>
      </w:r>
      <w:r w:rsidRPr="00D65106">
        <w:rPr>
          <w:rFonts w:ascii="Arial" w:hAnsi="Arial"/>
          <w:rtl/>
        </w:rPr>
        <w:t xml:space="preserve"> ומ"ס חכמה</w:t>
      </w:r>
      <w:r>
        <w:rPr>
          <w:rFonts w:ascii="Arial" w:hAnsi="Arial" w:hint="cs"/>
          <w:rtl/>
        </w:rPr>
        <w:t>.</w:t>
      </w:r>
      <w:r w:rsidRPr="00D65106">
        <w:rPr>
          <w:rFonts w:ascii="Arial" w:hAnsi="Arial"/>
          <w:rtl/>
        </w:rPr>
        <w:t xml:space="preserve"> ומן מ"ס הוא שירותא דא"א</w:t>
      </w:r>
      <w:r>
        <w:rPr>
          <w:rFonts w:ascii="Arial" w:hAnsi="Arial" w:hint="cs"/>
          <w:rtl/>
        </w:rPr>
        <w:t>,</w:t>
      </w:r>
      <w:r w:rsidRPr="00D65106">
        <w:rPr>
          <w:rFonts w:ascii="Arial" w:hAnsi="Arial"/>
          <w:rtl/>
        </w:rPr>
        <w:t xml:space="preserve"> שכתר לעולם אינו מן החשבון אלא הוא בחי' [מלכות] של פרצוף שלמעלה ממנו</w:t>
      </w:r>
      <w:r>
        <w:rPr>
          <w:rFonts w:ascii="Arial" w:hAnsi="Arial" w:hint="cs"/>
          <w:rtl/>
        </w:rPr>
        <w:t>.</w:t>
      </w:r>
      <w:r w:rsidRPr="00D65106">
        <w:rPr>
          <w:rFonts w:ascii="Arial" w:hAnsi="Arial"/>
          <w:rtl/>
        </w:rPr>
        <w:t xml:space="preserve"> וכן בא"א שירותא ממ"ס</w:t>
      </w:r>
      <w:r>
        <w:rPr>
          <w:rFonts w:ascii="Arial" w:hAnsi="Arial" w:hint="cs"/>
          <w:rtl/>
        </w:rPr>
        <w:t>,</w:t>
      </w:r>
      <w:r w:rsidRPr="00D65106">
        <w:rPr>
          <w:rFonts w:ascii="Arial" w:hAnsi="Arial"/>
          <w:rtl/>
        </w:rPr>
        <w:t xml:space="preserve"> והן ט' היכלין [מ"ס הוא ג"כ בחשבון של הט' כמש"ו במחשבה דאיהי חד מינייהו בחושבנא ועיין בא"ז ד' רפ"ח ע"א אפיק ט' נהורין כו']:</w:t>
      </w:r>
    </w:p>
  </w:footnote>
  <w:footnote w:id="8971">
    <w:p w:rsidR="00007309" w:rsidRDefault="00007309" w:rsidP="00007309">
      <w:pPr>
        <w:pStyle w:val="a5"/>
        <w:rPr>
          <w:rFonts w:ascii="Arial" w:hAnsi="Arial"/>
          <w:rtl/>
        </w:rPr>
      </w:pPr>
      <w:r>
        <w:rPr>
          <w:rStyle w:val="a7"/>
          <w:rFonts w:eastAsiaTheme="majorEastAsia"/>
        </w:rPr>
        <w:footnoteRef/>
      </w:r>
      <w:r>
        <w:t xml:space="preserve"> </w:t>
      </w:r>
      <w:r>
        <w:rPr>
          <w:rFonts w:hint="cs"/>
          <w:rtl/>
        </w:rPr>
        <w:t xml:space="preserve"> </w:t>
      </w:r>
      <w:r w:rsidRPr="00D65106">
        <w:rPr>
          <w:rFonts w:ascii="Arial" w:hAnsi="Arial"/>
          <w:b/>
          <w:bCs/>
          <w:rtl/>
        </w:rPr>
        <w:t>לאו אינון נהורין כו'.</w:t>
      </w:r>
      <w:r w:rsidRPr="00D65106">
        <w:rPr>
          <w:rFonts w:ascii="Arial" w:hAnsi="Arial"/>
          <w:rtl/>
        </w:rPr>
        <w:t xml:space="preserve"> דשמא קדישא מתחיל מחכמה</w:t>
      </w:r>
      <w:r>
        <w:rPr>
          <w:rFonts w:ascii="Arial" w:hAnsi="Arial" w:hint="cs"/>
          <w:rtl/>
        </w:rPr>
        <w:t>,</w:t>
      </w:r>
      <w:r w:rsidRPr="00D65106">
        <w:rPr>
          <w:rFonts w:ascii="Arial" w:hAnsi="Arial"/>
          <w:rtl/>
        </w:rPr>
        <w:t xml:space="preserve"> לפי שמשם הוא שירותא לאתגליא</w:t>
      </w:r>
      <w:r>
        <w:rPr>
          <w:rFonts w:ascii="Arial" w:hAnsi="Arial" w:hint="cs"/>
          <w:rtl/>
        </w:rPr>
        <w:t>,</w:t>
      </w:r>
      <w:r w:rsidRPr="00D65106">
        <w:rPr>
          <w:rFonts w:ascii="Arial" w:hAnsi="Arial"/>
          <w:rtl/>
        </w:rPr>
        <w:t xml:space="preserve"> משא"כ בא"א</w:t>
      </w:r>
      <w:r>
        <w:rPr>
          <w:rFonts w:ascii="Arial" w:hAnsi="Arial" w:hint="cs"/>
          <w:rtl/>
        </w:rPr>
        <w:t>,</w:t>
      </w:r>
      <w:r w:rsidRPr="00D65106">
        <w:rPr>
          <w:rFonts w:ascii="Arial" w:hAnsi="Arial"/>
          <w:rtl/>
        </w:rPr>
        <w:t xml:space="preserve"> שלפיכך נקרא אקי"ק כמ"ש בס"ד ע"ש</w:t>
      </w:r>
      <w:r>
        <w:rPr>
          <w:rFonts w:ascii="Arial" w:hAnsi="Arial" w:hint="cs"/>
          <w:rtl/>
        </w:rPr>
        <w:t>.</w:t>
      </w:r>
      <w:r w:rsidRPr="00D65106">
        <w:rPr>
          <w:rFonts w:ascii="Arial" w:hAnsi="Arial"/>
          <w:rtl/>
        </w:rPr>
        <w:t xml:space="preserve"> והן ד' מדרגות</w:t>
      </w:r>
      <w:r>
        <w:rPr>
          <w:rFonts w:ascii="Arial" w:hAnsi="Arial" w:hint="cs"/>
          <w:rtl/>
        </w:rPr>
        <w:t>,</w:t>
      </w:r>
      <w:r w:rsidRPr="00D65106">
        <w:rPr>
          <w:rFonts w:ascii="Arial" w:hAnsi="Arial"/>
          <w:rtl/>
        </w:rPr>
        <w:t xml:space="preserve"> ד' אותיות השם</w:t>
      </w:r>
      <w:r>
        <w:rPr>
          <w:rFonts w:ascii="Arial" w:hAnsi="Arial" w:hint="cs"/>
          <w:rtl/>
        </w:rPr>
        <w:t>,</w:t>
      </w:r>
      <w:r w:rsidRPr="00D65106">
        <w:rPr>
          <w:rFonts w:ascii="Arial" w:hAnsi="Arial"/>
          <w:rtl/>
        </w:rPr>
        <w:t xml:space="preserve"> ד' פרצופים</w:t>
      </w:r>
      <w:r>
        <w:rPr>
          <w:rFonts w:ascii="Arial" w:hAnsi="Arial" w:hint="cs"/>
          <w:rtl/>
        </w:rPr>
        <w:t>,</w:t>
      </w:r>
      <w:r w:rsidRPr="00D65106">
        <w:rPr>
          <w:rFonts w:ascii="Arial" w:hAnsi="Arial"/>
          <w:rtl/>
        </w:rPr>
        <w:t xml:space="preserve"> או"א זו"נ</w:t>
      </w:r>
      <w:r>
        <w:rPr>
          <w:rFonts w:ascii="Arial" w:hAnsi="Arial" w:hint="cs"/>
          <w:rtl/>
        </w:rPr>
        <w:t>.</w:t>
      </w:r>
      <w:r w:rsidRPr="00D65106">
        <w:rPr>
          <w:rFonts w:ascii="Arial" w:hAnsi="Arial"/>
          <w:rtl/>
        </w:rPr>
        <w:t xml:space="preserve"> גילוי אחר גילוי</w:t>
      </w:r>
      <w:r>
        <w:rPr>
          <w:rFonts w:ascii="Arial" w:hAnsi="Arial" w:hint="cs"/>
          <w:rtl/>
        </w:rPr>
        <w:t>.</w:t>
      </w:r>
      <w:r w:rsidRPr="00D65106">
        <w:rPr>
          <w:rFonts w:ascii="Arial" w:hAnsi="Arial"/>
          <w:rtl/>
        </w:rPr>
        <w:t xml:space="preserve"> ונוק' נקראת נר וז"א רוח</w:t>
      </w:r>
      <w:r>
        <w:rPr>
          <w:rFonts w:ascii="Arial" w:hAnsi="Arial" w:hint="cs"/>
          <w:rtl/>
        </w:rPr>
        <w:t>.</w:t>
      </w:r>
      <w:r w:rsidRPr="00D65106">
        <w:rPr>
          <w:rFonts w:ascii="Arial" w:hAnsi="Arial"/>
          <w:rtl/>
        </w:rPr>
        <w:t xml:space="preserve"> וכן בהיכלות</w:t>
      </w:r>
      <w:r>
        <w:rPr>
          <w:rFonts w:ascii="Arial" w:hAnsi="Arial" w:hint="cs"/>
          <w:rtl/>
        </w:rPr>
        <w:t>,</w:t>
      </w:r>
      <w:r w:rsidRPr="00D65106">
        <w:rPr>
          <w:rFonts w:ascii="Arial" w:hAnsi="Arial"/>
          <w:rtl/>
        </w:rPr>
        <w:t xml:space="preserve"> נפש של היכלין קורא נהורין</w:t>
      </w:r>
      <w:r>
        <w:rPr>
          <w:rFonts w:ascii="Arial" w:hAnsi="Arial" w:hint="cs"/>
          <w:rtl/>
        </w:rPr>
        <w:t>,</w:t>
      </w:r>
      <w:r w:rsidRPr="00D65106">
        <w:rPr>
          <w:rFonts w:ascii="Arial" w:hAnsi="Arial"/>
          <w:rtl/>
        </w:rPr>
        <w:t xml:space="preserve"> ורוח שלהן רוחין</w:t>
      </w:r>
      <w:r>
        <w:rPr>
          <w:rFonts w:ascii="Arial" w:hAnsi="Arial" w:hint="cs"/>
          <w:rtl/>
        </w:rPr>
        <w:t>,</w:t>
      </w:r>
      <w:r w:rsidRPr="00D65106">
        <w:rPr>
          <w:rFonts w:ascii="Arial" w:hAnsi="Arial"/>
          <w:rtl/>
        </w:rPr>
        <w:t xml:space="preserve"> וז"ש כאן בט"ס של א"א מחכמה ולמטה אינן לא נהורין שהם נפשין</w:t>
      </w:r>
      <w:r>
        <w:rPr>
          <w:rFonts w:ascii="Arial" w:hAnsi="Arial" w:hint="cs"/>
          <w:rtl/>
        </w:rPr>
        <w:t>,</w:t>
      </w:r>
      <w:r w:rsidRPr="00D65106">
        <w:rPr>
          <w:rFonts w:ascii="Arial" w:hAnsi="Arial"/>
          <w:rtl/>
        </w:rPr>
        <w:t xml:space="preserve"> ולא רוחין ולא נשמתין</w:t>
      </w:r>
      <w:r>
        <w:rPr>
          <w:rFonts w:ascii="Arial" w:hAnsi="Arial" w:hint="cs"/>
          <w:rtl/>
        </w:rPr>
        <w:t>.</w:t>
      </w:r>
      <w:r w:rsidRPr="00D65106">
        <w:rPr>
          <w:rFonts w:ascii="Arial" w:hAnsi="Arial"/>
          <w:rtl/>
        </w:rPr>
        <w:t xml:space="preserve"> ואמר</w:t>
      </w:r>
      <w:r>
        <w:rPr>
          <w:rFonts w:ascii="Arial" w:hAnsi="Arial" w:hint="cs"/>
          <w:rtl/>
        </w:rPr>
        <w:t>,</w:t>
      </w:r>
      <w:r w:rsidRPr="00D65106">
        <w:rPr>
          <w:rFonts w:ascii="Arial" w:hAnsi="Arial"/>
          <w:rtl/>
        </w:rPr>
        <w:t xml:space="preserve"> ולא אית מאן דקיימא בהו</w:t>
      </w:r>
      <w:r>
        <w:rPr>
          <w:rFonts w:ascii="Arial" w:hAnsi="Arial" w:hint="cs"/>
          <w:rtl/>
        </w:rPr>
        <w:t>,</w:t>
      </w:r>
      <w:r w:rsidRPr="00D65106">
        <w:rPr>
          <w:rFonts w:ascii="Arial" w:hAnsi="Arial"/>
          <w:rtl/>
        </w:rPr>
        <w:t xml:space="preserve"> נגד חכמה</w:t>
      </w:r>
      <w:r>
        <w:rPr>
          <w:rFonts w:ascii="Arial" w:hAnsi="Arial" w:hint="cs"/>
          <w:rtl/>
        </w:rPr>
        <w:t>,</w:t>
      </w:r>
      <w:r w:rsidRPr="00D65106">
        <w:rPr>
          <w:rFonts w:ascii="Arial" w:hAnsi="Arial"/>
          <w:rtl/>
        </w:rPr>
        <w:t xml:space="preserve"> שלמעלה מחכמה נקרא א"ס</w:t>
      </w:r>
      <w:r>
        <w:rPr>
          <w:rFonts w:ascii="Arial" w:hAnsi="Arial" w:hint="cs"/>
          <w:rtl/>
        </w:rPr>
        <w:t>,</w:t>
      </w:r>
      <w:r w:rsidRPr="00D65106">
        <w:rPr>
          <w:rFonts w:ascii="Arial" w:hAnsi="Arial"/>
          <w:rtl/>
        </w:rPr>
        <w:t xml:space="preserve"> שאין יכול לקיימא בהון כמ"ש בז"ח נהורא דלא קיימא כו'</w:t>
      </w:r>
      <w:r>
        <w:rPr>
          <w:rFonts w:ascii="Arial" w:hAnsi="Arial" w:hint="cs"/>
          <w:rtl/>
        </w:rPr>
        <w:t>,</w:t>
      </w:r>
      <w:r w:rsidRPr="00D65106">
        <w:rPr>
          <w:rFonts w:ascii="Arial" w:hAnsi="Arial"/>
          <w:rtl/>
        </w:rPr>
        <w:t xml:space="preserve"> משא"כ בחכמה שנק' יש כידוע</w:t>
      </w:r>
      <w:r>
        <w:rPr>
          <w:rFonts w:ascii="Arial" w:hAnsi="Arial" w:hint="cs"/>
          <w:rtl/>
        </w:rPr>
        <w:t>.</w:t>
      </w:r>
    </w:p>
    <w:p w:rsidR="00007309" w:rsidRPr="0057063A" w:rsidRDefault="00007309" w:rsidP="00007309">
      <w:pPr>
        <w:pStyle w:val="a5"/>
        <w:rPr>
          <w:rtl/>
        </w:rPr>
      </w:pPr>
      <w:r w:rsidRPr="00D65106">
        <w:rPr>
          <w:rFonts w:ascii="Arial" w:hAnsi="Arial"/>
          <w:rtl/>
        </w:rPr>
        <w:t>והיותר נכון שהט' היכלין הן ט' ספירות של אצילות מחכמה ולמטה</w:t>
      </w:r>
      <w:r>
        <w:rPr>
          <w:rFonts w:ascii="Arial" w:hAnsi="Arial" w:hint="cs"/>
          <w:rtl/>
        </w:rPr>
        <w:t>.</w:t>
      </w:r>
      <w:r w:rsidRPr="00D65106">
        <w:rPr>
          <w:rFonts w:ascii="Arial" w:hAnsi="Arial"/>
          <w:rtl/>
        </w:rPr>
        <w:t xml:space="preserve"> ד' פרצופין או"א זו"נ</w:t>
      </w:r>
      <w:r>
        <w:rPr>
          <w:rFonts w:ascii="Arial" w:hAnsi="Arial" w:hint="cs"/>
          <w:rtl/>
        </w:rPr>
        <w:t>.</w:t>
      </w:r>
      <w:r w:rsidRPr="00D65106">
        <w:rPr>
          <w:rFonts w:ascii="Arial" w:hAnsi="Arial"/>
          <w:rtl/>
        </w:rPr>
        <w:t xml:space="preserve"> וכן משמע בא"ז ד' רפ"ח ע"א כד אתתקן אפיק ט' נהורין כו'</w:t>
      </w:r>
      <w:r>
        <w:rPr>
          <w:rFonts w:ascii="Arial" w:hAnsi="Arial" w:hint="cs"/>
          <w:rtl/>
        </w:rPr>
        <w:t>.</w:t>
      </w:r>
      <w:r w:rsidRPr="00D65106">
        <w:rPr>
          <w:rFonts w:ascii="Arial" w:hAnsi="Arial"/>
          <w:rtl/>
        </w:rPr>
        <w:t xml:space="preserve"> ואינון אקרון שמא קדישא</w:t>
      </w:r>
      <w:r>
        <w:rPr>
          <w:rFonts w:ascii="Arial" w:hAnsi="Arial" w:hint="cs"/>
          <w:rtl/>
        </w:rPr>
        <w:t>.</w:t>
      </w:r>
      <w:r w:rsidRPr="00D65106">
        <w:rPr>
          <w:rFonts w:ascii="Arial" w:hAnsi="Arial"/>
          <w:rtl/>
        </w:rPr>
        <w:t xml:space="preserve"> וידוע שהשם מתחיל מן אבא</w:t>
      </w:r>
      <w:r>
        <w:rPr>
          <w:rFonts w:ascii="Arial" w:hAnsi="Arial" w:hint="cs"/>
          <w:rtl/>
        </w:rPr>
        <w:t>.</w:t>
      </w:r>
      <w:r w:rsidRPr="00D65106">
        <w:rPr>
          <w:rFonts w:ascii="Arial" w:hAnsi="Arial"/>
          <w:rtl/>
        </w:rPr>
        <w:t xml:space="preserve"> וכן מ' באותו מאמר הכל בט"ס של אצילות וכן צ"ל </w:t>
      </w:r>
      <w:r w:rsidRPr="00416E44">
        <w:rPr>
          <w:rFonts w:ascii="Arial" w:hAnsi="Arial"/>
          <w:b/>
          <w:bCs/>
          <w:rtl/>
        </w:rPr>
        <w:t>תשע היכלין להיכלין</w:t>
      </w:r>
      <w:r w:rsidRPr="00D65106">
        <w:rPr>
          <w:rFonts w:ascii="Arial" w:hAnsi="Arial"/>
          <w:rtl/>
        </w:rPr>
        <w:t xml:space="preserve"> וכ"ה בסוף פ' פקודי ד' רס"ט ע"א ע"ש</w:t>
      </w:r>
      <w:r>
        <w:rPr>
          <w:rFonts w:ascii="Arial" w:hAnsi="Arial" w:hint="cs"/>
          <w:rtl/>
        </w:rPr>
        <w:t xml:space="preserve"> (ג.פ. הבאתי להלן)</w:t>
      </w:r>
      <w:r w:rsidRPr="00D65106">
        <w:rPr>
          <w:rFonts w:ascii="Arial" w:hAnsi="Arial"/>
          <w:rtl/>
        </w:rPr>
        <w:t xml:space="preserve"> ור"ל שט"ס הן היכלין לז"ת של א"א</w:t>
      </w:r>
      <w:r>
        <w:rPr>
          <w:rFonts w:ascii="Arial" w:hAnsi="Arial" w:hint="cs"/>
          <w:rtl/>
        </w:rPr>
        <w:t>,</w:t>
      </w:r>
      <w:r w:rsidRPr="00D65106">
        <w:rPr>
          <w:rFonts w:ascii="Arial" w:hAnsi="Arial"/>
          <w:rtl/>
        </w:rPr>
        <w:t xml:space="preserve"> שהן היכלין לג"ת דרדל"א. ואמר</w:t>
      </w:r>
      <w:r>
        <w:rPr>
          <w:rFonts w:ascii="Arial" w:hAnsi="Arial" w:hint="cs"/>
          <w:rtl/>
        </w:rPr>
        <w:t>,</w:t>
      </w:r>
      <w:r w:rsidRPr="00D65106">
        <w:rPr>
          <w:rFonts w:ascii="Arial" w:hAnsi="Arial"/>
          <w:rtl/>
        </w:rPr>
        <w:t xml:space="preserve"> לאו אינון נהורין כו'</w:t>
      </w:r>
      <w:r>
        <w:rPr>
          <w:rFonts w:ascii="Arial" w:hAnsi="Arial" w:hint="cs"/>
          <w:rtl/>
        </w:rPr>
        <w:t>,</w:t>
      </w:r>
      <w:r w:rsidRPr="00D65106">
        <w:rPr>
          <w:rFonts w:ascii="Arial" w:hAnsi="Arial"/>
          <w:rtl/>
        </w:rPr>
        <w:t xml:space="preserve"> על נהירו דפריסו</w:t>
      </w:r>
      <w:r>
        <w:rPr>
          <w:rFonts w:ascii="Arial" w:hAnsi="Arial" w:hint="cs"/>
          <w:rtl/>
        </w:rPr>
        <w:t>,</w:t>
      </w:r>
      <w:r w:rsidRPr="00D65106">
        <w:rPr>
          <w:rFonts w:ascii="Arial" w:hAnsi="Arial"/>
          <w:rtl/>
        </w:rPr>
        <w:t xml:space="preserve"> ונהירו של מחשבה עילאה</w:t>
      </w:r>
      <w:r>
        <w:rPr>
          <w:rFonts w:ascii="Arial" w:hAnsi="Arial" w:hint="cs"/>
          <w:rtl/>
        </w:rPr>
        <w:t>.</w:t>
      </w:r>
      <w:r w:rsidRPr="00D65106">
        <w:rPr>
          <w:rFonts w:ascii="Arial" w:hAnsi="Arial"/>
          <w:rtl/>
        </w:rPr>
        <w:t xml:space="preserve"> אע"ג דהט' היכלין אתעבידו היכלין להן מ"מ מחשבה ורעותא של הפריסו לאו אינון נהורין כו' כנ"ל נגד ד' פרצופים של הט"ס</w:t>
      </w:r>
      <w:r>
        <w:rPr>
          <w:rFonts w:ascii="Arial" w:hAnsi="Arial" w:hint="cs"/>
          <w:rtl/>
        </w:rPr>
        <w:t>,</w:t>
      </w:r>
      <w:r w:rsidRPr="00D65106">
        <w:rPr>
          <w:rFonts w:ascii="Arial" w:hAnsi="Arial"/>
          <w:rtl/>
        </w:rPr>
        <w:t xml:space="preserve"> ט' היכלין</w:t>
      </w:r>
      <w:r>
        <w:rPr>
          <w:rFonts w:ascii="Arial" w:hAnsi="Arial" w:hint="cs"/>
          <w:rtl/>
        </w:rPr>
        <w:t>,</w:t>
      </w:r>
      <w:r w:rsidRPr="00D65106">
        <w:rPr>
          <w:rFonts w:ascii="Arial" w:hAnsi="Arial"/>
          <w:rtl/>
        </w:rPr>
        <w:t xml:space="preserve"> וכן נכון ועיקר:</w:t>
      </w:r>
    </w:p>
  </w:footnote>
  <w:footnote w:id="8972">
    <w:p w:rsidR="00007309" w:rsidRDefault="00007309" w:rsidP="00007309">
      <w:pPr>
        <w:pStyle w:val="a5"/>
        <w:rPr>
          <w:rtl/>
        </w:rPr>
      </w:pPr>
      <w:r>
        <w:rPr>
          <w:rStyle w:val="a7"/>
          <w:rFonts w:eastAsiaTheme="majorEastAsia"/>
        </w:rPr>
        <w:footnoteRef/>
      </w:r>
      <w:r>
        <w:t xml:space="preserve"> </w:t>
      </w:r>
      <w:r>
        <w:rPr>
          <w:rFonts w:hint="cs"/>
          <w:rtl/>
        </w:rPr>
        <w:t xml:space="preserve"> </w:t>
      </w:r>
      <w:r w:rsidRPr="00D65106">
        <w:rPr>
          <w:rFonts w:ascii="Arial" w:hAnsi="Arial"/>
          <w:b/>
          <w:bCs/>
          <w:rtl/>
        </w:rPr>
        <w:t>רעותא דכל ט' נהורין דקיימא כולהו במחשבה.</w:t>
      </w:r>
      <w:r w:rsidRPr="00D65106">
        <w:rPr>
          <w:rFonts w:ascii="Arial" w:hAnsi="Arial"/>
          <w:rtl/>
        </w:rPr>
        <w:t xml:space="preserve"> ר"ל שכל הט' ספירין כולם עומדים על חכמה אבא כמ"ש כולם בחכמה עשית והיא קיומם:</w:t>
      </w:r>
      <w:r w:rsidRPr="00D65106">
        <w:rPr>
          <w:rFonts w:ascii="Arial" w:hAnsi="Arial"/>
          <w:b/>
          <w:bCs/>
          <w:rtl/>
        </w:rPr>
        <w:t xml:space="preserve"> </w:t>
      </w:r>
    </w:p>
  </w:footnote>
  <w:footnote w:id="8973">
    <w:p w:rsidR="00007309" w:rsidRPr="0057063A" w:rsidRDefault="00007309" w:rsidP="00007309">
      <w:pPr>
        <w:pStyle w:val="a5"/>
        <w:rPr>
          <w:rtl/>
        </w:rPr>
      </w:pPr>
      <w:r>
        <w:rPr>
          <w:rStyle w:val="a7"/>
          <w:rFonts w:eastAsiaTheme="majorEastAsia"/>
        </w:rPr>
        <w:footnoteRef/>
      </w:r>
      <w:r>
        <w:t xml:space="preserve"> </w:t>
      </w:r>
      <w:r>
        <w:rPr>
          <w:rFonts w:hint="cs"/>
          <w:rtl/>
        </w:rPr>
        <w:t xml:space="preserve"> </w:t>
      </w:r>
      <w:r w:rsidRPr="00D65106">
        <w:rPr>
          <w:rFonts w:ascii="Arial" w:hAnsi="Arial"/>
          <w:b/>
          <w:bCs/>
          <w:rtl/>
        </w:rPr>
        <w:t>דאיהו חד מינייהו בחושבנא.</w:t>
      </w:r>
      <w:r w:rsidRPr="00D65106">
        <w:rPr>
          <w:rFonts w:ascii="Arial" w:hAnsi="Arial"/>
          <w:rtl/>
        </w:rPr>
        <w:t xml:space="preserve"> ר"ל שלא תטעה דחכמה אינה מן מנין ט"ס:</w:t>
      </w:r>
    </w:p>
  </w:footnote>
  <w:footnote w:id="8974">
    <w:p w:rsidR="00007309" w:rsidRPr="0057063A" w:rsidRDefault="00007309" w:rsidP="00007309">
      <w:pPr>
        <w:pStyle w:val="a5"/>
        <w:rPr>
          <w:rtl/>
        </w:rPr>
      </w:pPr>
      <w:r>
        <w:rPr>
          <w:rStyle w:val="a7"/>
          <w:rFonts w:eastAsiaTheme="majorEastAsia"/>
        </w:rPr>
        <w:footnoteRef/>
      </w:r>
      <w:r>
        <w:t xml:space="preserve"> </w:t>
      </w:r>
      <w:r>
        <w:rPr>
          <w:rFonts w:hint="cs"/>
          <w:rtl/>
        </w:rPr>
        <w:t xml:space="preserve"> </w:t>
      </w:r>
      <w:r w:rsidRPr="00D65106">
        <w:rPr>
          <w:rFonts w:ascii="Arial" w:hAnsi="Arial"/>
          <w:b/>
          <w:bCs/>
          <w:rtl/>
        </w:rPr>
        <w:t>כולהו למרדף בתרייהו.</w:t>
      </w:r>
      <w:r w:rsidRPr="00D65106">
        <w:rPr>
          <w:rFonts w:ascii="Arial" w:hAnsi="Arial"/>
          <w:rtl/>
        </w:rPr>
        <w:t xml:space="preserve"> ר"ל לרדוף אחר שרשם, נהירו דמחשבה עילאה ודפריסו</w:t>
      </w:r>
      <w:r>
        <w:rPr>
          <w:rFonts w:ascii="Arial" w:hAnsi="Arial" w:hint="cs"/>
          <w:rtl/>
        </w:rPr>
        <w:t>.</w:t>
      </w:r>
      <w:r w:rsidRPr="00D65106">
        <w:rPr>
          <w:rFonts w:ascii="Arial" w:hAnsi="Arial"/>
          <w:rtl/>
        </w:rPr>
        <w:t xml:space="preserve"> וקאי למעלה על מ"ש לאו אינון נהורין כו':</w:t>
      </w:r>
    </w:p>
  </w:footnote>
  <w:footnote w:id="8975">
    <w:p w:rsidR="00007309" w:rsidRPr="0057063A" w:rsidRDefault="00007309" w:rsidP="00007309">
      <w:pPr>
        <w:pStyle w:val="a5"/>
        <w:rPr>
          <w:rtl/>
        </w:rPr>
      </w:pPr>
      <w:r>
        <w:rPr>
          <w:rStyle w:val="a7"/>
          <w:rFonts w:eastAsiaTheme="majorEastAsia"/>
        </w:rPr>
        <w:footnoteRef/>
      </w:r>
      <w:r>
        <w:t xml:space="preserve"> </w:t>
      </w:r>
      <w:r>
        <w:rPr>
          <w:rFonts w:hint="cs"/>
          <w:rtl/>
        </w:rPr>
        <w:t xml:space="preserve"> </w:t>
      </w:r>
      <w:r w:rsidRPr="00D65106">
        <w:rPr>
          <w:rFonts w:ascii="Arial" w:hAnsi="Arial"/>
          <w:b/>
          <w:bCs/>
          <w:rtl/>
        </w:rPr>
        <w:t>בשעתא דקיימי במחשבה.</w:t>
      </w:r>
      <w:r w:rsidRPr="00D65106">
        <w:rPr>
          <w:rFonts w:ascii="Arial" w:hAnsi="Arial"/>
          <w:rtl/>
        </w:rPr>
        <w:t xml:space="preserve"> ר"ל אימתי רעותם למרדף בתרייהו בשעה שעולים כולם אל החכמה אז תשוקתם למעלה משא"כ למטה:</w:t>
      </w:r>
      <w:r w:rsidRPr="00D65106">
        <w:rPr>
          <w:rFonts w:ascii="Arial" w:hAnsi="Arial"/>
          <w:b/>
          <w:bCs/>
          <w:rtl/>
        </w:rPr>
        <w:t xml:space="preserve"> </w:t>
      </w:r>
    </w:p>
  </w:footnote>
  <w:footnote w:id="8976">
    <w:p w:rsidR="00007309" w:rsidRPr="0057063A" w:rsidRDefault="00007309" w:rsidP="00007309">
      <w:pPr>
        <w:pStyle w:val="a5"/>
        <w:rPr>
          <w:rtl/>
        </w:rPr>
      </w:pPr>
      <w:r>
        <w:rPr>
          <w:rStyle w:val="a7"/>
          <w:rFonts w:eastAsiaTheme="majorEastAsia"/>
        </w:rPr>
        <w:footnoteRef/>
      </w:r>
      <w:r>
        <w:t xml:space="preserve"> </w:t>
      </w:r>
      <w:r>
        <w:rPr>
          <w:rFonts w:hint="cs"/>
          <w:rtl/>
        </w:rPr>
        <w:t xml:space="preserve"> </w:t>
      </w:r>
      <w:r w:rsidRPr="00D65106">
        <w:rPr>
          <w:rFonts w:ascii="Arial" w:hAnsi="Arial"/>
          <w:b/>
          <w:bCs/>
          <w:rtl/>
        </w:rPr>
        <w:t>ולא מתדבקין ולא אתיידעו.</w:t>
      </w:r>
      <w:r w:rsidRPr="00D65106">
        <w:rPr>
          <w:rFonts w:ascii="Arial" w:hAnsi="Arial"/>
          <w:rtl/>
        </w:rPr>
        <w:t xml:space="preserve"> קאי על נהירו דפריסו ודמחשבה:</w:t>
      </w:r>
    </w:p>
  </w:footnote>
  <w:footnote w:id="8977">
    <w:p w:rsidR="00007309" w:rsidRPr="0057063A" w:rsidRDefault="00007309" w:rsidP="00007309">
      <w:pPr>
        <w:pStyle w:val="a5"/>
        <w:rPr>
          <w:rtl/>
        </w:rPr>
      </w:pPr>
      <w:r>
        <w:rPr>
          <w:rStyle w:val="a7"/>
          <w:rFonts w:eastAsiaTheme="majorEastAsia"/>
        </w:rPr>
        <w:footnoteRef/>
      </w:r>
      <w:r>
        <w:t xml:space="preserve"> </w:t>
      </w:r>
      <w:r>
        <w:rPr>
          <w:rFonts w:hint="cs"/>
          <w:rtl/>
        </w:rPr>
        <w:t xml:space="preserve"> </w:t>
      </w:r>
      <w:r w:rsidRPr="00D65106">
        <w:rPr>
          <w:rFonts w:ascii="Arial" w:hAnsi="Arial"/>
          <w:b/>
          <w:bCs/>
          <w:rtl/>
        </w:rPr>
        <w:t xml:space="preserve">ואלין לא קיימי לא ברעותא ולא במחשבה עילאה. </w:t>
      </w:r>
      <w:r w:rsidRPr="00D65106">
        <w:rPr>
          <w:rFonts w:ascii="Arial" w:hAnsi="Arial"/>
          <w:rtl/>
        </w:rPr>
        <w:t>קאי על ט"ס שלכן אמר ואלין ור"ל ברעותא נהורא דפריסא מחשבה עילאה מ"ס כנ"ל ור"ל שכולם קיימי על מחשבה סתם שהוא אבא אבל לא ברעותא ולא במחשבה כמש"ו:</w:t>
      </w:r>
    </w:p>
  </w:footnote>
  <w:footnote w:id="8978">
    <w:p w:rsidR="00007309" w:rsidRPr="0057063A" w:rsidRDefault="00007309" w:rsidP="00007309">
      <w:pPr>
        <w:pStyle w:val="a5"/>
        <w:rPr>
          <w:rtl/>
        </w:rPr>
      </w:pPr>
      <w:r>
        <w:rPr>
          <w:rStyle w:val="a7"/>
          <w:rFonts w:eastAsiaTheme="majorEastAsia"/>
        </w:rPr>
        <w:footnoteRef/>
      </w:r>
      <w:r>
        <w:t xml:space="preserve"> </w:t>
      </w:r>
      <w:r>
        <w:rPr>
          <w:rFonts w:hint="cs"/>
          <w:rtl/>
        </w:rPr>
        <w:t xml:space="preserve"> </w:t>
      </w:r>
      <w:r w:rsidRPr="00D65106">
        <w:rPr>
          <w:rFonts w:ascii="Arial" w:hAnsi="Arial"/>
          <w:b/>
          <w:bCs/>
          <w:rtl/>
        </w:rPr>
        <w:t>תפסין לה ולא תפסין.</w:t>
      </w:r>
      <w:r w:rsidRPr="00D65106">
        <w:rPr>
          <w:rFonts w:ascii="Arial" w:hAnsi="Arial"/>
          <w:rtl/>
        </w:rPr>
        <w:t xml:space="preserve"> ר"ל למחשבה עילאה ור"ל מטי ולא מטי כמ"ש למטה:</w:t>
      </w:r>
      <w:r w:rsidRPr="00D65106">
        <w:rPr>
          <w:rFonts w:ascii="Arial" w:hAnsi="Arial"/>
          <w:b/>
          <w:bCs/>
          <w:rtl/>
        </w:rPr>
        <w:t xml:space="preserve"> </w:t>
      </w:r>
    </w:p>
  </w:footnote>
  <w:footnote w:id="8979">
    <w:p w:rsidR="00007309" w:rsidRPr="0057063A" w:rsidRDefault="00007309" w:rsidP="00007309">
      <w:pPr>
        <w:pStyle w:val="a5"/>
        <w:rPr>
          <w:rtl/>
        </w:rPr>
      </w:pPr>
      <w:r>
        <w:rPr>
          <w:rStyle w:val="a7"/>
          <w:rFonts w:eastAsiaTheme="majorEastAsia"/>
        </w:rPr>
        <w:footnoteRef/>
      </w:r>
      <w:r>
        <w:t xml:space="preserve"> </w:t>
      </w:r>
      <w:r>
        <w:rPr>
          <w:rFonts w:hint="cs"/>
          <w:rtl/>
        </w:rPr>
        <w:t xml:space="preserve"> </w:t>
      </w:r>
      <w:r w:rsidRPr="00D65106">
        <w:rPr>
          <w:rFonts w:ascii="Arial" w:hAnsi="Arial"/>
          <w:b/>
          <w:bCs/>
          <w:rtl/>
        </w:rPr>
        <w:t>באלין קיימי כל רזא דמהימנותא.</w:t>
      </w:r>
      <w:r w:rsidRPr="00D65106">
        <w:rPr>
          <w:rFonts w:ascii="Arial" w:hAnsi="Arial"/>
          <w:rtl/>
        </w:rPr>
        <w:t xml:space="preserve"> ר"ל בט"ס כידוע והן שמא קדישא כנ"ל:</w:t>
      </w:r>
    </w:p>
  </w:footnote>
  <w:footnote w:id="8980">
    <w:p w:rsidR="00007309" w:rsidRPr="0057063A" w:rsidRDefault="00007309" w:rsidP="00007309">
      <w:pPr>
        <w:pStyle w:val="a5"/>
        <w:rPr>
          <w:rtl/>
        </w:rPr>
      </w:pPr>
      <w:r>
        <w:rPr>
          <w:rStyle w:val="a7"/>
          <w:rFonts w:eastAsiaTheme="majorEastAsia"/>
        </w:rPr>
        <w:footnoteRef/>
      </w:r>
      <w:r>
        <w:t xml:space="preserve"> </w:t>
      </w:r>
      <w:r>
        <w:rPr>
          <w:rFonts w:hint="cs"/>
          <w:rtl/>
        </w:rPr>
        <w:t xml:space="preserve"> </w:t>
      </w:r>
      <w:r w:rsidRPr="00D65106">
        <w:rPr>
          <w:rFonts w:ascii="Arial" w:hAnsi="Arial"/>
          <w:b/>
          <w:bCs/>
          <w:rtl/>
        </w:rPr>
        <w:t>כולהון אקרון א"ס.</w:t>
      </w:r>
      <w:r w:rsidRPr="00D65106">
        <w:rPr>
          <w:rFonts w:ascii="Arial" w:hAnsi="Arial"/>
          <w:rtl/>
        </w:rPr>
        <w:t xml:space="preserve"> כמ"ש בפ' פקודי רל"ט ע"א</w:t>
      </w:r>
      <w:r>
        <w:rPr>
          <w:rFonts w:ascii="Arial" w:hAnsi="Arial" w:hint="cs"/>
          <w:rtl/>
        </w:rPr>
        <w:t>,</w:t>
      </w:r>
      <w:r w:rsidRPr="00D65106">
        <w:rPr>
          <w:rFonts w:ascii="Arial" w:hAnsi="Arial"/>
          <w:rtl/>
        </w:rPr>
        <w:t xml:space="preserve"> א"ס לא קיימא לאודעא כו'</w:t>
      </w:r>
      <w:r>
        <w:rPr>
          <w:rFonts w:ascii="Arial" w:hAnsi="Arial" w:hint="cs"/>
          <w:rtl/>
        </w:rPr>
        <w:t>,</w:t>
      </w:r>
      <w:r w:rsidRPr="00D65106">
        <w:rPr>
          <w:rFonts w:ascii="Arial" w:hAnsi="Arial"/>
          <w:rtl/>
        </w:rPr>
        <w:t xml:space="preserve"> לאו רעותין ומחשבין הן מחכמה ולמטה:</w:t>
      </w:r>
    </w:p>
  </w:footnote>
  <w:footnote w:id="8981">
    <w:p w:rsidR="00007309" w:rsidRPr="0057063A" w:rsidRDefault="00007309" w:rsidP="00007309">
      <w:pPr>
        <w:pStyle w:val="a5"/>
        <w:rPr>
          <w:rtl/>
        </w:rPr>
      </w:pPr>
      <w:r>
        <w:rPr>
          <w:rStyle w:val="a7"/>
          <w:rFonts w:eastAsiaTheme="majorEastAsia"/>
        </w:rPr>
        <w:footnoteRef/>
      </w:r>
      <w:r>
        <w:t xml:space="preserve"> </w:t>
      </w:r>
      <w:r>
        <w:rPr>
          <w:rFonts w:hint="cs"/>
          <w:rtl/>
        </w:rPr>
        <w:t xml:space="preserve"> </w:t>
      </w:r>
      <w:r w:rsidRPr="00D65106">
        <w:rPr>
          <w:rFonts w:ascii="Arial" w:hAnsi="Arial"/>
          <w:b/>
          <w:bCs/>
          <w:rtl/>
        </w:rPr>
        <w:t>עד הכא מטין נהורין ולא כו' עד ולא מחשבה.</w:t>
      </w:r>
      <w:r w:rsidRPr="00D65106">
        <w:rPr>
          <w:rFonts w:ascii="Arial" w:hAnsi="Arial"/>
          <w:rtl/>
        </w:rPr>
        <w:t xml:space="preserve"> קאי ג"כ מרזא דמחשבה ולמעלה ולאו רעותין ומחשבה סתם שם דרעותא ומחשבה דשם לא אתיידעו כלל ואינו נגלה למטה כלל כנ"ל:</w:t>
      </w:r>
    </w:p>
  </w:footnote>
  <w:footnote w:id="8982">
    <w:p w:rsidR="00007309" w:rsidRPr="0057063A" w:rsidRDefault="00007309" w:rsidP="00007309">
      <w:pPr>
        <w:pStyle w:val="a5"/>
        <w:rPr>
          <w:rtl/>
        </w:rPr>
      </w:pPr>
      <w:r>
        <w:rPr>
          <w:rStyle w:val="a7"/>
          <w:rFonts w:eastAsiaTheme="majorEastAsia"/>
        </w:rPr>
        <w:footnoteRef/>
      </w:r>
      <w:r>
        <w:t xml:space="preserve"> </w:t>
      </w:r>
      <w:r>
        <w:rPr>
          <w:rFonts w:hint="cs"/>
          <w:rtl/>
        </w:rPr>
        <w:t xml:space="preserve"> </w:t>
      </w:r>
      <w:r w:rsidRPr="00D65106">
        <w:rPr>
          <w:rFonts w:ascii="Arial" w:hAnsi="Arial"/>
          <w:b/>
          <w:bCs/>
          <w:rtl/>
        </w:rPr>
        <w:t>כד נהיר מחשבה כו'.</w:t>
      </w:r>
      <w:r w:rsidRPr="00D65106">
        <w:rPr>
          <w:rFonts w:ascii="Arial" w:hAnsi="Arial"/>
          <w:rtl/>
        </w:rPr>
        <w:t xml:space="preserve"> קאי על אבא</w:t>
      </w:r>
      <w:r>
        <w:rPr>
          <w:rFonts w:ascii="Arial" w:hAnsi="Arial" w:hint="cs"/>
          <w:rtl/>
        </w:rPr>
        <w:t>,</w:t>
      </w:r>
      <w:r w:rsidRPr="00D65106">
        <w:rPr>
          <w:rFonts w:ascii="Arial" w:hAnsi="Arial"/>
          <w:rtl/>
        </w:rPr>
        <w:t xml:space="preserve"> חכמה שבאצילות:</w:t>
      </w:r>
    </w:p>
  </w:footnote>
  <w:footnote w:id="8983">
    <w:p w:rsidR="00007309" w:rsidRPr="0057063A" w:rsidRDefault="00007309" w:rsidP="00007309">
      <w:pPr>
        <w:pStyle w:val="a5"/>
        <w:rPr>
          <w:rtl/>
        </w:rPr>
      </w:pPr>
      <w:r>
        <w:rPr>
          <w:rStyle w:val="a7"/>
          <w:rFonts w:eastAsiaTheme="majorEastAsia"/>
        </w:rPr>
        <w:footnoteRef/>
      </w:r>
      <w:r>
        <w:t xml:space="preserve"> </w:t>
      </w:r>
      <w:r>
        <w:rPr>
          <w:rFonts w:hint="cs"/>
          <w:rtl/>
        </w:rPr>
        <w:t xml:space="preserve"> </w:t>
      </w:r>
      <w:r w:rsidRPr="00D65106">
        <w:rPr>
          <w:rFonts w:ascii="Arial" w:hAnsi="Arial"/>
          <w:b/>
          <w:bCs/>
          <w:rtl/>
        </w:rPr>
        <w:t>ולא אתיידע כו'.</w:t>
      </w:r>
      <w:r w:rsidRPr="00D65106">
        <w:rPr>
          <w:rFonts w:ascii="Arial" w:hAnsi="Arial"/>
          <w:rtl/>
        </w:rPr>
        <w:t xml:space="preserve"> דמחשבה עילאה נהיר בה כמ"ש בא"ז ד' רפ"ט ע"ב כד אתתקן חיוורא דא בנהירו דא בטש מאן דבטש בהאי מוחא ואתנהיר כו' מוחא אחרא כו' אתר דשירותא אשתכח מע"ק דאתנהיר ממזלא הוא נהירו דחכמתא דמתפשט לל"ב עיבר ונפקי מההוא מ"ס מנהירו דביה וז"ש ולא אתיידע כו' לפי שמ"ס לא אתיידע כלל כנ"ל כמ"ש בא"ר ובא"ז:</w:t>
      </w:r>
    </w:p>
  </w:footnote>
  <w:footnote w:id="8984">
    <w:p w:rsidR="00007309" w:rsidRPr="00C26E95" w:rsidRDefault="00007309" w:rsidP="00007309">
      <w:pPr>
        <w:pStyle w:val="a5"/>
        <w:rPr>
          <w:rtl/>
        </w:rPr>
      </w:pPr>
      <w:r>
        <w:rPr>
          <w:rStyle w:val="a7"/>
          <w:rFonts w:eastAsiaTheme="majorEastAsia"/>
        </w:rPr>
        <w:footnoteRef/>
      </w:r>
      <w:r>
        <w:t xml:space="preserve"> </w:t>
      </w:r>
      <w:r>
        <w:rPr>
          <w:rFonts w:hint="cs"/>
          <w:rtl/>
        </w:rPr>
        <w:t xml:space="preserve"> </w:t>
      </w:r>
      <w:r w:rsidRPr="00D65106">
        <w:rPr>
          <w:rFonts w:ascii="Arial" w:hAnsi="Arial"/>
          <w:b/>
          <w:bCs/>
          <w:rtl/>
        </w:rPr>
        <w:t>כדין אתלבש כו'.</w:t>
      </w:r>
      <w:r w:rsidRPr="00D65106">
        <w:rPr>
          <w:rFonts w:ascii="Arial" w:hAnsi="Arial"/>
          <w:rtl/>
        </w:rPr>
        <w:t xml:space="preserve"> ר"ל חכמה:</w:t>
      </w:r>
      <w:r w:rsidRPr="00D65106">
        <w:rPr>
          <w:rFonts w:ascii="Arial" w:hAnsi="Arial"/>
          <w:b/>
          <w:bCs/>
          <w:rtl/>
        </w:rPr>
        <w:t xml:space="preserve"> </w:t>
      </w:r>
    </w:p>
  </w:footnote>
  <w:footnote w:id="8985">
    <w:p w:rsidR="00007309" w:rsidRPr="00C26E95" w:rsidRDefault="00007309" w:rsidP="00007309">
      <w:pPr>
        <w:pStyle w:val="a5"/>
        <w:rPr>
          <w:rtl/>
        </w:rPr>
      </w:pPr>
      <w:r>
        <w:rPr>
          <w:rStyle w:val="a7"/>
          <w:rFonts w:eastAsiaTheme="majorEastAsia"/>
        </w:rPr>
        <w:footnoteRef/>
      </w:r>
      <w:r>
        <w:t xml:space="preserve"> </w:t>
      </w:r>
      <w:r>
        <w:rPr>
          <w:rFonts w:hint="cs"/>
          <w:rtl/>
        </w:rPr>
        <w:t xml:space="preserve"> </w:t>
      </w:r>
      <w:r w:rsidRPr="00D65106">
        <w:rPr>
          <w:rFonts w:ascii="Arial" w:hAnsi="Arial"/>
          <w:b/>
          <w:bCs/>
          <w:rtl/>
        </w:rPr>
        <w:t>ונהיר מאן דנהיר כו'.</w:t>
      </w:r>
      <w:r w:rsidRPr="00D65106">
        <w:rPr>
          <w:rFonts w:ascii="Arial" w:hAnsi="Arial"/>
          <w:rtl/>
        </w:rPr>
        <w:t xml:space="preserve"> ר"ל אוירא דגניז וכן בכ"מ שאומר נהיר מאן דנהיר או בטיש מאן דבטיש לפי שלא אתיידע כלל ועל ידו מתייחדים כולם וכמ"ש בפ' פקודי ד' רל"ט שם א"ל הא אוקימנא עד אין סוף דכל קשורא ויחודא ושלימו לאצנעא בההוא צניעו דלא אתדבק ולא אתיידע כו' כדין כולא אתקשר כו' ע"ש:</w:t>
      </w:r>
    </w:p>
  </w:footnote>
  <w:footnote w:id="8986">
    <w:p w:rsidR="00007309" w:rsidRDefault="00007309" w:rsidP="00007309">
      <w:pPr>
        <w:pStyle w:val="a5"/>
        <w:rPr>
          <w:rtl/>
        </w:rPr>
      </w:pPr>
      <w:r>
        <w:rPr>
          <w:rStyle w:val="a7"/>
          <w:rFonts w:eastAsiaTheme="majorEastAsia"/>
        </w:rPr>
        <w:footnoteRef/>
      </w:r>
      <w:r>
        <w:t xml:space="preserve"> </w:t>
      </w:r>
      <w:r>
        <w:rPr>
          <w:rFonts w:hint="cs"/>
          <w:rtl/>
        </w:rPr>
        <w:t xml:space="preserve"> </w:t>
      </w:r>
      <w:r w:rsidRPr="00D65106">
        <w:rPr>
          <w:rFonts w:ascii="Arial" w:hAnsi="Arial"/>
          <w:b/>
          <w:bCs/>
          <w:rtl/>
        </w:rPr>
        <w:t>כדין קיימי כולהו בסליקו ומחשבה אתעטר בא"ס.</w:t>
      </w:r>
      <w:r w:rsidRPr="00D65106">
        <w:rPr>
          <w:rFonts w:ascii="Arial" w:hAnsi="Arial"/>
          <w:rtl/>
        </w:rPr>
        <w:t xml:space="preserve"> ר"ל שכולם סלקין למחשבה כנ"ל שכולם קיימין בה וז"ס כך עלה במחשבה</w:t>
      </w:r>
      <w:r>
        <w:rPr>
          <w:rFonts w:ascii="Arial" w:hAnsi="Arial" w:hint="cs"/>
          <w:rtl/>
        </w:rPr>
        <w:t>.</w:t>
      </w:r>
      <w:r w:rsidRPr="00D65106">
        <w:rPr>
          <w:rFonts w:ascii="Arial" w:hAnsi="Arial"/>
          <w:rtl/>
        </w:rPr>
        <w:t xml:space="preserve"> ומחשבה אתעטר במחשבה עילאה בנהורין שנקרא א"ס כנ"ל:</w:t>
      </w:r>
      <w:r w:rsidRPr="00D65106">
        <w:rPr>
          <w:rFonts w:ascii="Arial" w:hAnsi="Arial"/>
          <w:b/>
          <w:bCs/>
          <w:rtl/>
        </w:rPr>
        <w:t xml:space="preserve"> </w:t>
      </w:r>
    </w:p>
  </w:footnote>
  <w:footnote w:id="8987">
    <w:p w:rsidR="00007309" w:rsidRDefault="00007309" w:rsidP="00007309">
      <w:pPr>
        <w:pStyle w:val="a5"/>
        <w:rPr>
          <w:rFonts w:ascii="Arial" w:hAnsi="Arial"/>
          <w:rtl/>
        </w:rPr>
      </w:pPr>
      <w:r>
        <w:rPr>
          <w:rStyle w:val="a7"/>
          <w:rFonts w:eastAsiaTheme="majorEastAsia"/>
        </w:rPr>
        <w:footnoteRef/>
      </w:r>
      <w:r>
        <w:t xml:space="preserve"> </w:t>
      </w:r>
      <w:r>
        <w:rPr>
          <w:rFonts w:hint="cs"/>
          <w:rtl/>
        </w:rPr>
        <w:t xml:space="preserve"> </w:t>
      </w:r>
      <w:r w:rsidRPr="00D65106">
        <w:rPr>
          <w:rFonts w:ascii="Arial" w:hAnsi="Arial"/>
          <w:b/>
          <w:bCs/>
          <w:rtl/>
        </w:rPr>
        <w:t>(ההוא נהירו דאתנהיר מיניה מחשבה עילאה דלא אתיידע בה כלל כו'.</w:t>
      </w:r>
      <w:r w:rsidRPr="00D65106">
        <w:rPr>
          <w:rFonts w:ascii="Arial" w:hAnsi="Arial"/>
          <w:rtl/>
        </w:rPr>
        <w:t xml:space="preserve"> ר"ל רדל"א</w:t>
      </w:r>
      <w:r>
        <w:rPr>
          <w:rFonts w:ascii="Arial" w:hAnsi="Arial" w:hint="cs"/>
          <w:rtl/>
        </w:rPr>
        <w:t>,</w:t>
      </w:r>
      <w:r w:rsidRPr="00D65106">
        <w:rPr>
          <w:rFonts w:ascii="Arial" w:hAnsi="Arial"/>
          <w:rtl/>
        </w:rPr>
        <w:t xml:space="preserve"> דמחשבה עילאה נהיר מיניה כנ"ל</w:t>
      </w:r>
      <w:r>
        <w:rPr>
          <w:rFonts w:ascii="Arial" w:hAnsi="Arial" w:hint="cs"/>
          <w:rtl/>
        </w:rPr>
        <w:t>.</w:t>
      </w:r>
      <w:r w:rsidRPr="00D65106">
        <w:rPr>
          <w:rFonts w:ascii="Arial" w:hAnsi="Arial"/>
          <w:rtl/>
        </w:rPr>
        <w:t xml:space="preserve"> וההוא רדל"א נק' אין</w:t>
      </w:r>
      <w:r>
        <w:rPr>
          <w:rFonts w:ascii="Arial" w:hAnsi="Arial" w:hint="cs"/>
          <w:rtl/>
        </w:rPr>
        <w:t>,</w:t>
      </w:r>
      <w:r w:rsidRPr="00D65106">
        <w:rPr>
          <w:rFonts w:ascii="Arial" w:hAnsi="Arial"/>
          <w:rtl/>
        </w:rPr>
        <w:t xml:space="preserve"> לפי שהוא אין מושג כלל וכלל</w:t>
      </w:r>
      <w:r>
        <w:rPr>
          <w:rFonts w:ascii="Arial" w:hAnsi="Arial" w:hint="cs"/>
          <w:rtl/>
        </w:rPr>
        <w:t>,</w:t>
      </w:r>
      <w:r w:rsidRPr="00D65106">
        <w:rPr>
          <w:rFonts w:ascii="Arial" w:hAnsi="Arial"/>
          <w:rtl/>
        </w:rPr>
        <w:t xml:space="preserve"> וכמ"ש בא"ז ד' רפ"ח ע"ב ובג"כ ע"ק אקרי אין</w:t>
      </w:r>
      <w:r>
        <w:rPr>
          <w:rFonts w:ascii="Arial" w:hAnsi="Arial" w:hint="cs"/>
          <w:rtl/>
        </w:rPr>
        <w:t>,</w:t>
      </w:r>
      <w:r w:rsidRPr="00D65106">
        <w:rPr>
          <w:rFonts w:ascii="Arial" w:hAnsi="Arial"/>
          <w:rtl/>
        </w:rPr>
        <w:t xml:space="preserve"> דביה תליא אין</w:t>
      </w:r>
      <w:r>
        <w:rPr>
          <w:rFonts w:ascii="Arial" w:hAnsi="Arial" w:hint="cs"/>
          <w:rtl/>
        </w:rPr>
        <w:t>,</w:t>
      </w:r>
      <w:r w:rsidRPr="00D65106">
        <w:rPr>
          <w:rFonts w:ascii="Arial" w:hAnsi="Arial"/>
          <w:rtl/>
        </w:rPr>
        <w:t xml:space="preserve"> ר"ל שגם ע"ק נקרא אין</w:t>
      </w:r>
      <w:r>
        <w:rPr>
          <w:rFonts w:ascii="Arial" w:hAnsi="Arial" w:hint="cs"/>
          <w:rtl/>
        </w:rPr>
        <w:t>,</w:t>
      </w:r>
      <w:r w:rsidRPr="00D65106">
        <w:rPr>
          <w:rFonts w:ascii="Arial" w:hAnsi="Arial"/>
          <w:rtl/>
        </w:rPr>
        <w:t xml:space="preserve"> ע</w:t>
      </w:r>
      <w:r>
        <w:rPr>
          <w:rFonts w:ascii="Arial" w:hAnsi="Arial" w:hint="cs"/>
          <w:rtl/>
        </w:rPr>
        <w:t>ל שם</w:t>
      </w:r>
      <w:r w:rsidRPr="00D65106">
        <w:rPr>
          <w:rFonts w:ascii="Arial" w:hAnsi="Arial"/>
          <w:rtl/>
        </w:rPr>
        <w:t xml:space="preserve"> רדל"א שנקרא אין</w:t>
      </w:r>
      <w:r>
        <w:rPr>
          <w:rFonts w:ascii="Arial" w:hAnsi="Arial" w:hint="cs"/>
          <w:rtl/>
        </w:rPr>
        <w:t>,</w:t>
      </w:r>
      <w:r w:rsidRPr="00D65106">
        <w:rPr>
          <w:rFonts w:ascii="Arial" w:hAnsi="Arial"/>
          <w:rtl/>
        </w:rPr>
        <w:t xml:space="preserve"> לפי שבו תלוי רדל"א שע"י נהיר למאן דנהיר):</w:t>
      </w:r>
    </w:p>
    <w:p w:rsidR="00007309" w:rsidRDefault="00007309" w:rsidP="00007309">
      <w:pPr>
        <w:pStyle w:val="a5"/>
        <w:rPr>
          <w:rFonts w:ascii="Arial" w:hAnsi="Arial"/>
          <w:rtl/>
        </w:rPr>
      </w:pPr>
    </w:p>
    <w:p w:rsidR="00007309" w:rsidRDefault="00007309" w:rsidP="00007309">
      <w:pPr>
        <w:pStyle w:val="a5"/>
        <w:rPr>
          <w:rFonts w:ascii="Arial" w:hAnsi="Arial"/>
          <w:b/>
          <w:bCs/>
          <w:rtl/>
        </w:rPr>
      </w:pPr>
      <w:r w:rsidRPr="00FD0F22">
        <w:rPr>
          <w:rFonts w:ascii="Arial" w:hAnsi="Arial"/>
          <w:u w:val="single"/>
          <w:rtl/>
        </w:rPr>
        <w:t>ובפ' פקודי</w:t>
      </w:r>
      <w:r w:rsidRPr="00D65106">
        <w:rPr>
          <w:rFonts w:ascii="Arial" w:hAnsi="Arial"/>
          <w:rtl/>
        </w:rPr>
        <w:t xml:space="preserve"> ד</w:t>
      </w:r>
      <w:r>
        <w:rPr>
          <w:rFonts w:ascii="Arial" w:hAnsi="Arial" w:hint="cs"/>
          <w:rtl/>
        </w:rPr>
        <w:t>ף</w:t>
      </w:r>
      <w:r w:rsidRPr="00D65106">
        <w:rPr>
          <w:rFonts w:ascii="Arial" w:hAnsi="Arial"/>
          <w:rtl/>
        </w:rPr>
        <w:t xml:space="preserve"> רס"ט ע"א הגי' </w:t>
      </w:r>
      <w:r w:rsidRPr="00FD0F22">
        <w:rPr>
          <w:rFonts w:ascii="Arial" w:hAnsi="Arial"/>
          <w:b/>
          <w:bCs/>
          <w:rtl/>
        </w:rPr>
        <w:t>דלא ידע איהו בה כלל כו'</w:t>
      </w:r>
      <w:r w:rsidRPr="00D65106">
        <w:rPr>
          <w:rFonts w:ascii="Arial" w:hAnsi="Arial"/>
          <w:rtl/>
        </w:rPr>
        <w:t xml:space="preserve"> וזה הגי' יותר מכוונת </w:t>
      </w:r>
      <w:r>
        <w:rPr>
          <w:rFonts w:ascii="Arial" w:hAnsi="Arial" w:hint="cs"/>
          <w:rtl/>
        </w:rPr>
        <w:t xml:space="preserve">[ג.פ. ולהלן מובא הקטע מפ' פקודי]. </w:t>
      </w:r>
      <w:r w:rsidRPr="00D65106">
        <w:rPr>
          <w:rFonts w:ascii="Arial" w:hAnsi="Arial"/>
          <w:rtl/>
        </w:rPr>
        <w:t>ור"ל</w:t>
      </w:r>
      <w:r>
        <w:rPr>
          <w:rFonts w:ascii="Arial" w:hAnsi="Arial" w:hint="cs"/>
          <w:rtl/>
        </w:rPr>
        <w:t xml:space="preserve">, </w:t>
      </w:r>
      <w:r w:rsidRPr="00D65106">
        <w:rPr>
          <w:rFonts w:ascii="Arial" w:hAnsi="Arial"/>
          <w:rtl/>
        </w:rPr>
        <w:t>שאמר למעלה</w:t>
      </w:r>
      <w:r>
        <w:rPr>
          <w:rFonts w:ascii="Arial" w:hAnsi="Arial" w:hint="cs"/>
          <w:rtl/>
        </w:rPr>
        <w:t>,</w:t>
      </w:r>
      <w:r w:rsidRPr="00D65106">
        <w:rPr>
          <w:rFonts w:ascii="Arial" w:hAnsi="Arial"/>
          <w:rtl/>
        </w:rPr>
        <w:t xml:space="preserve"> וכדין איהו מחשבה עילאה נהיר בנהירו סתים דלא ידיע</w:t>
      </w:r>
      <w:r>
        <w:rPr>
          <w:rFonts w:ascii="Arial" w:hAnsi="Arial" w:hint="cs"/>
          <w:rtl/>
        </w:rPr>
        <w:t>,</w:t>
      </w:r>
      <w:r w:rsidRPr="00D65106">
        <w:rPr>
          <w:rFonts w:ascii="Arial" w:hAnsi="Arial"/>
          <w:rtl/>
        </w:rPr>
        <w:t xml:space="preserve"> וההיא מחשבה לא ידע</w:t>
      </w:r>
      <w:r>
        <w:rPr>
          <w:rFonts w:ascii="Arial" w:hAnsi="Arial" w:hint="cs"/>
          <w:rtl/>
        </w:rPr>
        <w:t>,</w:t>
      </w:r>
      <w:r w:rsidRPr="00D65106">
        <w:rPr>
          <w:rFonts w:ascii="Arial" w:hAnsi="Arial"/>
          <w:rtl/>
        </w:rPr>
        <w:t xml:space="preserve"> ור"ל</w:t>
      </w:r>
      <w:r>
        <w:rPr>
          <w:rFonts w:ascii="Arial" w:hAnsi="Arial" w:hint="cs"/>
          <w:rtl/>
        </w:rPr>
        <w:t>,</w:t>
      </w:r>
      <w:r w:rsidRPr="00D65106">
        <w:rPr>
          <w:rFonts w:ascii="Arial" w:hAnsi="Arial"/>
          <w:rtl/>
        </w:rPr>
        <w:t xml:space="preserve"> דאותו נהירו לא ידיע</w:t>
      </w:r>
      <w:r>
        <w:rPr>
          <w:rFonts w:ascii="Arial" w:hAnsi="Arial" w:hint="cs"/>
          <w:rtl/>
        </w:rPr>
        <w:t>,</w:t>
      </w:r>
      <w:r w:rsidRPr="00D65106">
        <w:rPr>
          <w:rFonts w:ascii="Arial" w:hAnsi="Arial"/>
          <w:rtl/>
        </w:rPr>
        <w:t xml:space="preserve"> ואף מחשבה עילאה עצמה אינה יודעת אותו נהירו</w:t>
      </w:r>
      <w:r>
        <w:rPr>
          <w:rFonts w:ascii="Arial" w:hAnsi="Arial" w:hint="cs"/>
          <w:rtl/>
        </w:rPr>
        <w:t>.</w:t>
      </w:r>
      <w:r w:rsidRPr="00D65106">
        <w:rPr>
          <w:rFonts w:ascii="Arial" w:hAnsi="Arial"/>
          <w:rtl/>
        </w:rPr>
        <w:t xml:space="preserve"> ואותו נהירו אמר כאן שנק</w:t>
      </w:r>
      <w:r>
        <w:rPr>
          <w:rFonts w:ascii="Arial" w:hAnsi="Arial" w:hint="cs"/>
          <w:rtl/>
        </w:rPr>
        <w:t>רא</w:t>
      </w:r>
      <w:r w:rsidRPr="00D65106">
        <w:rPr>
          <w:rFonts w:ascii="Arial" w:hAnsi="Arial"/>
          <w:rtl/>
        </w:rPr>
        <w:t xml:space="preserve"> אין</w:t>
      </w:r>
      <w:r>
        <w:rPr>
          <w:rFonts w:ascii="Arial" w:hAnsi="Arial" w:hint="cs"/>
          <w:rtl/>
        </w:rPr>
        <w:t>,</w:t>
      </w:r>
      <w:r w:rsidRPr="00D65106">
        <w:rPr>
          <w:rFonts w:ascii="Arial" w:hAnsi="Arial"/>
          <w:rtl/>
        </w:rPr>
        <w:t xml:space="preserve"> וז"ש בפ' פקודי ד' רל"ט כמה דאין קדמאה אפיק ראש וסוף</w:t>
      </w:r>
      <w:r>
        <w:rPr>
          <w:rFonts w:ascii="Arial" w:hAnsi="Arial" w:hint="cs"/>
          <w:rtl/>
        </w:rPr>
        <w:t>,</w:t>
      </w:r>
      <w:r w:rsidRPr="00D65106">
        <w:rPr>
          <w:rFonts w:ascii="Arial" w:hAnsi="Arial"/>
          <w:rtl/>
        </w:rPr>
        <w:t xml:space="preserve"> מאן ראש דא נקודה עילאה כו'</w:t>
      </w:r>
      <w:r>
        <w:rPr>
          <w:rFonts w:ascii="Arial" w:hAnsi="Arial" w:hint="cs"/>
          <w:rtl/>
        </w:rPr>
        <w:t>,</w:t>
      </w:r>
      <w:r w:rsidRPr="00D65106">
        <w:rPr>
          <w:rFonts w:ascii="Arial" w:hAnsi="Arial"/>
          <w:rtl/>
        </w:rPr>
        <w:t xml:space="preserve"> והוא נהירו הנ"ל</w:t>
      </w:r>
      <w:r>
        <w:rPr>
          <w:rFonts w:ascii="Arial" w:hAnsi="Arial" w:hint="cs"/>
          <w:rtl/>
        </w:rPr>
        <w:t>,</w:t>
      </w:r>
      <w:r w:rsidRPr="00D65106">
        <w:rPr>
          <w:rFonts w:ascii="Arial" w:hAnsi="Arial"/>
          <w:rtl/>
        </w:rPr>
        <w:t xml:space="preserve"> שע"י מתנהיר חכמה עילאה כמ"ש בא"ז במאמר הנ"ל</w:t>
      </w:r>
      <w:r>
        <w:rPr>
          <w:rFonts w:ascii="Arial" w:hAnsi="Arial" w:hint="cs"/>
          <w:rtl/>
        </w:rPr>
        <w:t>.</w:t>
      </w:r>
      <w:r w:rsidRPr="00D65106">
        <w:rPr>
          <w:rFonts w:ascii="Arial" w:hAnsi="Arial"/>
          <w:rtl/>
        </w:rPr>
        <w:t xml:space="preserve"> וז"ש בא"ז שם רישא דלאו רישא ולא ידע כו'</w:t>
      </w:r>
      <w:r>
        <w:rPr>
          <w:rFonts w:ascii="Arial" w:hAnsi="Arial" w:hint="cs"/>
          <w:rtl/>
        </w:rPr>
        <w:t>.</w:t>
      </w:r>
      <w:r w:rsidRPr="00D65106">
        <w:rPr>
          <w:rFonts w:ascii="Arial" w:hAnsi="Arial"/>
          <w:rtl/>
        </w:rPr>
        <w:t xml:space="preserve"> והחיות רצוא ושוב כו'. ר"ל מ"ס שנקרא חיות</w:t>
      </w:r>
      <w:r>
        <w:rPr>
          <w:rFonts w:ascii="Arial" w:hAnsi="Arial" w:hint="cs"/>
          <w:rtl/>
        </w:rPr>
        <w:t>,</w:t>
      </w:r>
      <w:r w:rsidRPr="00D65106">
        <w:rPr>
          <w:rFonts w:ascii="Arial" w:hAnsi="Arial"/>
          <w:rtl/>
        </w:rPr>
        <w:t xml:space="preserve"> בסוד והחכמה תחיה בעליה</w:t>
      </w:r>
      <w:r>
        <w:rPr>
          <w:rFonts w:ascii="Arial" w:hAnsi="Arial" w:hint="cs"/>
          <w:rtl/>
        </w:rPr>
        <w:t>,</w:t>
      </w:r>
      <w:r w:rsidRPr="00D65106">
        <w:rPr>
          <w:rFonts w:ascii="Arial" w:hAnsi="Arial"/>
          <w:rtl/>
        </w:rPr>
        <w:t xml:space="preserve"> ונקרא חיה כידוע</w:t>
      </w:r>
      <w:r>
        <w:rPr>
          <w:rFonts w:ascii="Arial" w:hAnsi="Arial" w:hint="cs"/>
          <w:rtl/>
        </w:rPr>
        <w:t>,</w:t>
      </w:r>
      <w:r w:rsidRPr="00D65106">
        <w:rPr>
          <w:rFonts w:ascii="Arial" w:hAnsi="Arial"/>
          <w:rtl/>
        </w:rPr>
        <w:t xml:space="preserve"> והן ג' חיות</w:t>
      </w:r>
      <w:r>
        <w:rPr>
          <w:rFonts w:ascii="Arial" w:hAnsi="Arial" w:hint="cs"/>
          <w:rtl/>
        </w:rPr>
        <w:t>,</w:t>
      </w:r>
      <w:r w:rsidRPr="00D65106">
        <w:rPr>
          <w:rFonts w:ascii="Arial" w:hAnsi="Arial"/>
          <w:rtl/>
        </w:rPr>
        <w:t xml:space="preserve"> וכ"א ד"פ</w:t>
      </w:r>
      <w:r>
        <w:rPr>
          <w:rFonts w:ascii="Arial" w:hAnsi="Arial" w:hint="cs"/>
          <w:rtl/>
        </w:rPr>
        <w:t>,</w:t>
      </w:r>
      <w:r w:rsidRPr="00D65106">
        <w:rPr>
          <w:rFonts w:ascii="Arial" w:hAnsi="Arial"/>
          <w:rtl/>
        </w:rPr>
        <w:t xml:space="preserve"> שהן י"ב</w:t>
      </w:r>
      <w:r>
        <w:rPr>
          <w:rFonts w:ascii="Arial" w:hAnsi="Arial" w:hint="cs"/>
          <w:rtl/>
        </w:rPr>
        <w:t>,</w:t>
      </w:r>
      <w:r w:rsidRPr="00D65106">
        <w:rPr>
          <w:rFonts w:ascii="Arial" w:hAnsi="Arial"/>
          <w:rtl/>
        </w:rPr>
        <w:t xml:space="preserve"> בסוד ג' הויות</w:t>
      </w:r>
      <w:r>
        <w:rPr>
          <w:rFonts w:ascii="Arial" w:hAnsi="Arial" w:hint="cs"/>
          <w:rtl/>
        </w:rPr>
        <w:t>,</w:t>
      </w:r>
      <w:r w:rsidRPr="00D65106">
        <w:rPr>
          <w:rFonts w:ascii="Arial" w:hAnsi="Arial"/>
          <w:rtl/>
        </w:rPr>
        <w:t xml:space="preserve"> שם של י"ב כידוע</w:t>
      </w:r>
      <w:r>
        <w:rPr>
          <w:rFonts w:ascii="Arial" w:hAnsi="Arial" w:hint="cs"/>
          <w:rtl/>
        </w:rPr>
        <w:t>.</w:t>
      </w:r>
      <w:r w:rsidRPr="00D65106">
        <w:rPr>
          <w:rFonts w:ascii="Arial" w:hAnsi="Arial"/>
          <w:rtl/>
        </w:rPr>
        <w:t xml:space="preserve"> והכולל הוא האדם כמ"ש בתז"ח ובתי</w:t>
      </w:r>
      <w:r>
        <w:rPr>
          <w:rFonts w:ascii="Arial" w:hAnsi="Arial" w:hint="cs"/>
          <w:rtl/>
        </w:rPr>
        <w:t>קונים.</w:t>
      </w:r>
      <w:r w:rsidRPr="00D65106">
        <w:rPr>
          <w:rFonts w:ascii="Arial" w:hAnsi="Arial"/>
          <w:rtl/>
        </w:rPr>
        <w:t xml:space="preserve"> וכן במ"ס אמר שם</w:t>
      </w:r>
      <w:r>
        <w:rPr>
          <w:rFonts w:ascii="Arial" w:hAnsi="Arial" w:hint="cs"/>
          <w:rtl/>
        </w:rPr>
        <w:t>,</w:t>
      </w:r>
      <w:r w:rsidRPr="00D65106">
        <w:rPr>
          <w:rFonts w:ascii="Arial" w:hAnsi="Arial"/>
          <w:rtl/>
        </w:rPr>
        <w:t xml:space="preserve"> בגין דהאי חכמתא סתימאה</w:t>
      </w:r>
      <w:r>
        <w:rPr>
          <w:rFonts w:ascii="Arial" w:hAnsi="Arial" w:hint="cs"/>
          <w:rtl/>
        </w:rPr>
        <w:t>,</w:t>
      </w:r>
      <w:r w:rsidRPr="00D65106">
        <w:rPr>
          <w:rFonts w:ascii="Arial" w:hAnsi="Arial"/>
          <w:rtl/>
        </w:rPr>
        <w:t xml:space="preserve"> דביה מתפרש תלת זימנין לארבע ארבע</w:t>
      </w:r>
      <w:r>
        <w:rPr>
          <w:rFonts w:ascii="Arial" w:hAnsi="Arial" w:hint="cs"/>
          <w:rtl/>
        </w:rPr>
        <w:t>,</w:t>
      </w:r>
      <w:r w:rsidRPr="00D65106">
        <w:rPr>
          <w:rFonts w:ascii="Arial" w:hAnsi="Arial"/>
          <w:rtl/>
        </w:rPr>
        <w:t xml:space="preserve"> והוא</w:t>
      </w:r>
      <w:r>
        <w:rPr>
          <w:rFonts w:ascii="Arial" w:hAnsi="Arial" w:hint="cs"/>
          <w:rtl/>
        </w:rPr>
        <w:t>,</w:t>
      </w:r>
      <w:r w:rsidRPr="00D65106">
        <w:rPr>
          <w:rFonts w:ascii="Arial" w:hAnsi="Arial"/>
          <w:rtl/>
        </w:rPr>
        <w:t xml:space="preserve"> עתיקא</w:t>
      </w:r>
      <w:r>
        <w:rPr>
          <w:rFonts w:ascii="Arial" w:hAnsi="Arial" w:hint="cs"/>
          <w:rtl/>
        </w:rPr>
        <w:t>,</w:t>
      </w:r>
      <w:r w:rsidRPr="00D65106">
        <w:rPr>
          <w:rFonts w:ascii="Arial" w:hAnsi="Arial"/>
          <w:rtl/>
        </w:rPr>
        <w:t xml:space="preserve"> כליל לון</w:t>
      </w:r>
      <w:r>
        <w:rPr>
          <w:rFonts w:ascii="Arial" w:hAnsi="Arial" w:hint="cs"/>
          <w:rtl/>
        </w:rPr>
        <w:t>,</w:t>
      </w:r>
      <w:r w:rsidRPr="00D65106">
        <w:rPr>
          <w:rFonts w:ascii="Arial" w:hAnsi="Arial"/>
          <w:rtl/>
        </w:rPr>
        <w:t xml:space="preserve"> ושליט על כולא</w:t>
      </w:r>
      <w:r>
        <w:rPr>
          <w:rFonts w:ascii="Arial" w:hAnsi="Arial" w:hint="cs"/>
          <w:rtl/>
        </w:rPr>
        <w:t>,</w:t>
      </w:r>
      <w:r w:rsidRPr="00D65106">
        <w:rPr>
          <w:rFonts w:ascii="Arial" w:hAnsi="Arial"/>
          <w:rtl/>
        </w:rPr>
        <w:t xml:space="preserve"> וז"ש והחיות רצוא ושוב</w:t>
      </w:r>
      <w:r>
        <w:rPr>
          <w:rFonts w:ascii="Arial" w:hAnsi="Arial" w:hint="cs"/>
          <w:rtl/>
        </w:rPr>
        <w:t>,</w:t>
      </w:r>
      <w:r w:rsidRPr="00D65106">
        <w:rPr>
          <w:rFonts w:ascii="Arial" w:hAnsi="Arial"/>
          <w:rtl/>
        </w:rPr>
        <w:t xml:space="preserve"> ר"ל למרדף אבתרי</w:t>
      </w:r>
      <w:r>
        <w:rPr>
          <w:rFonts w:ascii="Arial" w:hAnsi="Arial" w:hint="cs"/>
          <w:rtl/>
        </w:rPr>
        <w:t>ה</w:t>
      </w:r>
      <w:r w:rsidRPr="00D65106">
        <w:rPr>
          <w:rFonts w:ascii="Arial" w:hAnsi="Arial"/>
          <w:rtl/>
        </w:rPr>
        <w:t xml:space="preserve"> דהאי רדל"א</w:t>
      </w:r>
      <w:r>
        <w:rPr>
          <w:rFonts w:ascii="Arial" w:hAnsi="Arial" w:hint="cs"/>
          <w:rtl/>
        </w:rPr>
        <w:t>.</w:t>
      </w:r>
      <w:r w:rsidRPr="00D65106">
        <w:rPr>
          <w:rFonts w:ascii="Arial" w:hAnsi="Arial"/>
          <w:rtl/>
        </w:rPr>
        <w:t xml:space="preserve"> וז"ש לעיל רעו דמחשבה עילאה למרדף אבתרי</w:t>
      </w:r>
      <w:r>
        <w:rPr>
          <w:rFonts w:ascii="Arial" w:hAnsi="Arial" w:hint="cs"/>
          <w:rtl/>
        </w:rPr>
        <w:t>ה,</w:t>
      </w:r>
      <w:r w:rsidRPr="00D65106">
        <w:rPr>
          <w:rFonts w:ascii="Arial" w:hAnsi="Arial"/>
          <w:rtl/>
        </w:rPr>
        <w:t xml:space="preserve"> ר"ל בתר רדל"א</w:t>
      </w:r>
      <w:r>
        <w:rPr>
          <w:rFonts w:ascii="Arial" w:hAnsi="Arial" w:hint="cs"/>
          <w:rtl/>
        </w:rPr>
        <w:t>.</w:t>
      </w:r>
      <w:r w:rsidRPr="00D65106">
        <w:rPr>
          <w:rFonts w:ascii="Arial" w:hAnsi="Arial"/>
          <w:rtl/>
        </w:rPr>
        <w:t xml:space="preserve"> וזהו עיקר</w:t>
      </w:r>
      <w:r>
        <w:rPr>
          <w:rFonts w:ascii="Arial" w:hAnsi="Arial" w:hint="cs"/>
          <w:rtl/>
        </w:rPr>
        <w:t>.</w:t>
      </w:r>
      <w:r w:rsidRPr="00D65106">
        <w:rPr>
          <w:rFonts w:ascii="Arial" w:hAnsi="Arial"/>
          <w:rtl/>
        </w:rPr>
        <w:t xml:space="preserve"> ואמר שם</w:t>
      </w:r>
      <w:r>
        <w:rPr>
          <w:rFonts w:ascii="Arial" w:hAnsi="Arial" w:hint="cs"/>
          <w:rtl/>
        </w:rPr>
        <w:t>,</w:t>
      </w:r>
      <w:r w:rsidRPr="00D65106">
        <w:rPr>
          <w:rFonts w:ascii="Arial" w:hAnsi="Arial"/>
          <w:rtl/>
        </w:rPr>
        <w:t xml:space="preserve"> ברח לך אל מקומך ר"ל לפי שהפריסה מעכב</w:t>
      </w:r>
      <w:r>
        <w:rPr>
          <w:rFonts w:ascii="Arial" w:hAnsi="Arial" w:hint="cs"/>
          <w:rtl/>
        </w:rPr>
        <w:t>,</w:t>
      </w:r>
      <w:r w:rsidRPr="00D65106">
        <w:rPr>
          <w:rFonts w:ascii="Arial" w:hAnsi="Arial"/>
          <w:rtl/>
        </w:rPr>
        <w:t xml:space="preserve"> והכל</w:t>
      </w:r>
      <w:r>
        <w:rPr>
          <w:rFonts w:ascii="Arial" w:hAnsi="Arial" w:hint="cs"/>
          <w:rtl/>
        </w:rPr>
        <w:t>,</w:t>
      </w:r>
      <w:r w:rsidRPr="00D65106">
        <w:rPr>
          <w:rFonts w:ascii="Arial" w:hAnsi="Arial"/>
          <w:rtl/>
        </w:rPr>
        <w:t xml:space="preserve"> שהמחשבה אין יכול להשיג רדל"א</w:t>
      </w:r>
      <w:r>
        <w:rPr>
          <w:rFonts w:ascii="Arial" w:hAnsi="Arial" w:hint="cs"/>
          <w:rtl/>
        </w:rPr>
        <w:t>.</w:t>
      </w:r>
      <w:r w:rsidRPr="00D65106">
        <w:rPr>
          <w:rFonts w:ascii="Arial" w:hAnsi="Arial"/>
          <w:rtl/>
        </w:rPr>
        <w:t xml:space="preserve"> ומ"מ אתנהיר מחשבה עילאה מרדל"א כמ"ש לעיל</w:t>
      </w:r>
      <w:r>
        <w:rPr>
          <w:rFonts w:ascii="Arial" w:hAnsi="Arial" w:hint="cs"/>
          <w:rtl/>
        </w:rPr>
        <w:t>.</w:t>
      </w:r>
      <w:r w:rsidRPr="00D65106">
        <w:rPr>
          <w:rFonts w:ascii="Arial" w:hAnsi="Arial"/>
          <w:rtl/>
        </w:rPr>
        <w:t xml:space="preserve"> וז"ש ובג"כ ע"ק אקרי אין</w:t>
      </w:r>
      <w:r>
        <w:rPr>
          <w:rFonts w:ascii="Arial" w:hAnsi="Arial" w:hint="cs"/>
          <w:rtl/>
        </w:rPr>
        <w:t>,</w:t>
      </w:r>
      <w:r w:rsidRPr="00D65106">
        <w:rPr>
          <w:rFonts w:ascii="Arial" w:hAnsi="Arial"/>
          <w:rtl/>
        </w:rPr>
        <w:t xml:space="preserve"> דבי</w:t>
      </w:r>
      <w:r>
        <w:rPr>
          <w:rFonts w:ascii="Arial" w:hAnsi="Arial" w:hint="cs"/>
          <w:rtl/>
        </w:rPr>
        <w:t>ה</w:t>
      </w:r>
      <w:r w:rsidRPr="00D65106">
        <w:rPr>
          <w:rFonts w:ascii="Arial" w:hAnsi="Arial"/>
          <w:rtl/>
        </w:rPr>
        <w:t xml:space="preserve"> תליא אין</w:t>
      </w:r>
      <w:r>
        <w:rPr>
          <w:rFonts w:ascii="Arial" w:hAnsi="Arial" w:hint="cs"/>
          <w:rtl/>
        </w:rPr>
        <w:t>,</w:t>
      </w:r>
      <w:r w:rsidRPr="00D65106">
        <w:rPr>
          <w:rFonts w:ascii="Arial" w:hAnsi="Arial"/>
          <w:rtl/>
        </w:rPr>
        <w:t xml:space="preserve"> ר"ל שבו</w:t>
      </w:r>
      <w:r>
        <w:rPr>
          <w:rFonts w:ascii="Arial" w:hAnsi="Arial" w:hint="cs"/>
          <w:rtl/>
        </w:rPr>
        <w:t>,</w:t>
      </w:r>
      <w:r w:rsidRPr="00D65106">
        <w:rPr>
          <w:rFonts w:ascii="Arial" w:hAnsi="Arial"/>
          <w:rtl/>
        </w:rPr>
        <w:t xml:space="preserve"> במ"ס נהירו דרדל"א</w:t>
      </w:r>
      <w:r>
        <w:rPr>
          <w:rFonts w:ascii="Arial" w:hAnsi="Arial" w:hint="cs"/>
          <w:rtl/>
        </w:rPr>
        <w:t>,</w:t>
      </w:r>
      <w:r w:rsidRPr="00D65106">
        <w:rPr>
          <w:rFonts w:ascii="Arial" w:hAnsi="Arial"/>
          <w:rtl/>
        </w:rPr>
        <w:t xml:space="preserve"> ואותו נהירו אקרי אין כנ"ל</w:t>
      </w:r>
      <w:r>
        <w:rPr>
          <w:rFonts w:ascii="Arial" w:hAnsi="Arial" w:hint="cs"/>
          <w:rtl/>
        </w:rPr>
        <w:t>.</w:t>
      </w:r>
      <w:r w:rsidRPr="00D65106">
        <w:rPr>
          <w:rFonts w:ascii="Arial" w:hAnsi="Arial"/>
          <w:rtl/>
        </w:rPr>
        <w:t xml:space="preserve"> ולכן ע"ק נקרא ג"כ אין לפעמים</w:t>
      </w:r>
      <w:r>
        <w:rPr>
          <w:rFonts w:ascii="Arial" w:hAnsi="Arial" w:hint="cs"/>
          <w:rtl/>
        </w:rPr>
        <w:t>.</w:t>
      </w:r>
      <w:r w:rsidRPr="00D65106">
        <w:rPr>
          <w:rFonts w:ascii="Arial" w:hAnsi="Arial"/>
          <w:rtl/>
        </w:rPr>
        <w:t xml:space="preserve"> אבל עיקר שמו א"ס</w:t>
      </w:r>
      <w:r>
        <w:rPr>
          <w:rFonts w:ascii="Arial" w:hAnsi="Arial" w:hint="cs"/>
          <w:rtl/>
        </w:rPr>
        <w:t>.</w:t>
      </w:r>
      <w:r w:rsidRPr="00D65106">
        <w:rPr>
          <w:rFonts w:ascii="Arial" w:hAnsi="Arial"/>
          <w:rtl/>
        </w:rPr>
        <w:t xml:space="preserve"> וההוא נהירו אין</w:t>
      </w:r>
      <w:r>
        <w:rPr>
          <w:rFonts w:ascii="Arial" w:hAnsi="Arial" w:hint="cs"/>
          <w:rtl/>
        </w:rPr>
        <w:t>,</w:t>
      </w:r>
      <w:r w:rsidRPr="00D65106">
        <w:rPr>
          <w:rFonts w:ascii="Arial" w:hAnsi="Arial"/>
          <w:rtl/>
        </w:rPr>
        <w:t xml:space="preserve"> ומאותו נהירו נמצאו כל הנמצאות כמ"ש בא"ז במאמר הנ"ל ד' רפ"ט ושאר מקומות</w:t>
      </w:r>
      <w:r>
        <w:rPr>
          <w:rFonts w:ascii="Arial" w:hAnsi="Arial" w:hint="cs"/>
          <w:rtl/>
        </w:rPr>
        <w:t>,</w:t>
      </w:r>
      <w:r w:rsidRPr="00D65106">
        <w:rPr>
          <w:rFonts w:ascii="Arial" w:hAnsi="Arial"/>
          <w:rtl/>
        </w:rPr>
        <w:t xml:space="preserve"> שהכל ע"י נהירו דמ"ס</w:t>
      </w:r>
      <w:r>
        <w:rPr>
          <w:rFonts w:ascii="Arial" w:hAnsi="Arial" w:hint="cs"/>
          <w:rtl/>
        </w:rPr>
        <w:t>.</w:t>
      </w:r>
      <w:r w:rsidRPr="00D65106">
        <w:rPr>
          <w:rFonts w:ascii="Arial" w:hAnsi="Arial"/>
          <w:rtl/>
        </w:rPr>
        <w:t xml:space="preserve"> ומיניה נפיק שירותא חכמה</w:t>
      </w:r>
      <w:r>
        <w:rPr>
          <w:rFonts w:ascii="Arial" w:hAnsi="Arial" w:hint="cs"/>
          <w:rtl/>
        </w:rPr>
        <w:t>.</w:t>
      </w:r>
      <w:r w:rsidRPr="00D65106">
        <w:rPr>
          <w:rFonts w:ascii="Arial" w:hAnsi="Arial"/>
          <w:rtl/>
        </w:rPr>
        <w:t xml:space="preserve"> ומחכמה מתפשט כולם כמו שביאר באריכות בא"ז ע"ש</w:t>
      </w:r>
      <w:r>
        <w:rPr>
          <w:rFonts w:ascii="Arial" w:hAnsi="Arial" w:hint="cs"/>
          <w:rtl/>
        </w:rPr>
        <w:t>.</w:t>
      </w:r>
      <w:r w:rsidRPr="00D65106">
        <w:rPr>
          <w:rFonts w:ascii="Arial" w:hAnsi="Arial"/>
          <w:rtl/>
        </w:rPr>
        <w:t xml:space="preserve"> וז"ש כאן</w:t>
      </w:r>
      <w:r>
        <w:rPr>
          <w:rFonts w:ascii="Arial" w:hAnsi="Arial" w:hint="cs"/>
          <w:rtl/>
        </w:rPr>
        <w:t>,</w:t>
      </w:r>
      <w:r w:rsidRPr="00D65106">
        <w:rPr>
          <w:rFonts w:ascii="Arial" w:hAnsi="Arial"/>
          <w:rtl/>
        </w:rPr>
        <w:t xml:space="preserve"> ומיני</w:t>
      </w:r>
      <w:r>
        <w:rPr>
          <w:rFonts w:ascii="Arial" w:hAnsi="Arial" w:hint="cs"/>
          <w:rtl/>
        </w:rPr>
        <w:t>ה</w:t>
      </w:r>
      <w:r w:rsidRPr="00D65106">
        <w:rPr>
          <w:rFonts w:ascii="Arial" w:hAnsi="Arial"/>
          <w:rtl/>
        </w:rPr>
        <w:t xml:space="preserve"> אשתכח וקיימא כו' ועל דא כולא קאים. ואמר לעיל כדין בטש האי נהירו דמחשבה דלא אתיידע ר"ל ההוא נהירו לא אתיידע כנ"ל:</w:t>
      </w:r>
      <w:r w:rsidRPr="00D65106">
        <w:rPr>
          <w:rFonts w:ascii="Arial" w:hAnsi="Arial"/>
          <w:b/>
          <w:bCs/>
          <w:rtl/>
        </w:rPr>
        <w:t xml:space="preserve"> </w:t>
      </w:r>
    </w:p>
    <w:p w:rsidR="00007309" w:rsidRDefault="00007309" w:rsidP="00007309">
      <w:pPr>
        <w:pStyle w:val="a5"/>
        <w:rPr>
          <w:rtl/>
        </w:rPr>
      </w:pPr>
    </w:p>
    <w:p w:rsidR="00007309" w:rsidRPr="00FD0F22" w:rsidRDefault="00007309" w:rsidP="00007309">
      <w:pPr>
        <w:pStyle w:val="a5"/>
        <w:rPr>
          <w:rFonts w:asciiTheme="minorBidi" w:hAnsiTheme="minorBidi" w:cstheme="minorBidi"/>
          <w:u w:val="single"/>
          <w:rtl/>
        </w:rPr>
      </w:pPr>
      <w:r w:rsidRPr="00FD0F22">
        <w:rPr>
          <w:rFonts w:asciiTheme="minorBidi" w:hAnsiTheme="minorBidi" w:cstheme="minorBidi"/>
          <w:u w:val="single"/>
          <w:rtl/>
        </w:rPr>
        <w:t>זהר פרשת פקודי, דף רסח ע"ב:</w:t>
      </w:r>
    </w:p>
  </w:footnote>
  <w:footnote w:id="8988">
    <w:p w:rsidR="00007309" w:rsidRPr="00305FD9" w:rsidRDefault="00007309" w:rsidP="00007309">
      <w:pPr>
        <w:pStyle w:val="a5"/>
        <w:rPr>
          <w:rtl/>
        </w:rPr>
      </w:pPr>
      <w:r>
        <w:rPr>
          <w:rStyle w:val="a7"/>
          <w:rFonts w:eastAsiaTheme="majorEastAsia"/>
        </w:rPr>
        <w:footnoteRef/>
      </w:r>
      <w:r>
        <w:t xml:space="preserve"> </w:t>
      </w:r>
      <w:r>
        <w:rPr>
          <w:rFonts w:hint="cs"/>
          <w:rtl/>
        </w:rPr>
        <w:t xml:space="preserve"> </w:t>
      </w:r>
      <w:r w:rsidRPr="00D65106">
        <w:rPr>
          <w:rFonts w:ascii="Arial" w:hAnsi="Arial"/>
          <w:b/>
          <w:bCs/>
          <w:rtl/>
        </w:rPr>
        <w:t>בנהירו דפריסא דקיימא.</w:t>
      </w:r>
      <w:r w:rsidRPr="00D65106">
        <w:rPr>
          <w:rFonts w:ascii="Arial" w:hAnsi="Arial"/>
          <w:rtl/>
        </w:rPr>
        <w:t xml:space="preserve"> ר"ל שנהירו דפריסא קיימא תדיר</w:t>
      </w:r>
      <w:r>
        <w:rPr>
          <w:rFonts w:ascii="Arial" w:hAnsi="Arial" w:hint="cs"/>
          <w:rtl/>
        </w:rPr>
        <w:t>,</w:t>
      </w:r>
      <w:r w:rsidRPr="00D65106">
        <w:rPr>
          <w:rFonts w:ascii="Arial" w:hAnsi="Arial"/>
          <w:rtl/>
        </w:rPr>
        <w:t xml:space="preserve"> משא"כ בנהירו דמחשבה עילאה</w:t>
      </w:r>
      <w:r>
        <w:rPr>
          <w:rFonts w:ascii="Arial" w:hAnsi="Arial" w:hint="cs"/>
          <w:rtl/>
        </w:rPr>
        <w:t>,</w:t>
      </w:r>
      <w:r w:rsidRPr="00D65106">
        <w:rPr>
          <w:rFonts w:ascii="Arial" w:hAnsi="Arial"/>
          <w:rtl/>
        </w:rPr>
        <w:t xml:space="preserve"> שמגו רדיפו נהיר מאן דנהיר</w:t>
      </w:r>
      <w:r>
        <w:rPr>
          <w:rFonts w:ascii="Arial" w:hAnsi="Arial" w:hint="cs"/>
          <w:rtl/>
        </w:rPr>
        <w:t>,</w:t>
      </w:r>
      <w:r w:rsidRPr="00D65106">
        <w:rPr>
          <w:rFonts w:ascii="Arial" w:hAnsi="Arial"/>
          <w:rtl/>
        </w:rPr>
        <w:t xml:space="preserve"> וכדין איהו מחשבה עילאה נהיר כו':</w:t>
      </w:r>
      <w:r w:rsidRPr="00D65106">
        <w:rPr>
          <w:rFonts w:ascii="Arial" w:hAnsi="Arial"/>
          <w:b/>
          <w:bCs/>
          <w:rtl/>
        </w:rPr>
        <w:t xml:space="preserve"> </w:t>
      </w:r>
    </w:p>
  </w:footnote>
  <w:footnote w:id="8989">
    <w:p w:rsidR="00007309" w:rsidRDefault="00007309" w:rsidP="00007309">
      <w:pPr>
        <w:pStyle w:val="a5"/>
        <w:rPr>
          <w:rtl/>
        </w:rPr>
      </w:pPr>
      <w:r>
        <w:rPr>
          <w:rStyle w:val="a7"/>
          <w:rFonts w:eastAsiaTheme="majorEastAsia"/>
        </w:rPr>
        <w:footnoteRef/>
      </w:r>
      <w:r>
        <w:t xml:space="preserve"> </w:t>
      </w:r>
      <w:r>
        <w:rPr>
          <w:rFonts w:hint="cs"/>
          <w:rtl/>
        </w:rPr>
        <w:t xml:space="preserve"> </w:t>
      </w:r>
      <w:r w:rsidRPr="00D65106">
        <w:rPr>
          <w:rFonts w:ascii="Arial" w:hAnsi="Arial"/>
          <w:b/>
          <w:bCs/>
          <w:rtl/>
        </w:rPr>
        <w:t>דנהיר ממה דלא ידיע כו'.</w:t>
      </w:r>
      <w:r w:rsidRPr="00D65106">
        <w:rPr>
          <w:rFonts w:ascii="Arial" w:hAnsi="Arial"/>
          <w:rtl/>
        </w:rPr>
        <w:t xml:space="preserve"> ר"ל מרדל"א כנ"ל</w:t>
      </w:r>
      <w:r>
        <w:rPr>
          <w:rFonts w:ascii="Arial" w:hAnsi="Arial" w:hint="cs"/>
          <w:rtl/>
        </w:rPr>
        <w:t>.</w:t>
      </w:r>
      <w:r w:rsidRPr="00D65106">
        <w:rPr>
          <w:rFonts w:ascii="Arial" w:hAnsi="Arial"/>
          <w:rtl/>
        </w:rPr>
        <w:t xml:space="preserve"> ואמר לעיל</w:t>
      </w:r>
      <w:r>
        <w:rPr>
          <w:rFonts w:ascii="Arial" w:hAnsi="Arial" w:hint="cs"/>
          <w:rtl/>
        </w:rPr>
        <w:t>,</w:t>
      </w:r>
      <w:r w:rsidRPr="00D65106">
        <w:rPr>
          <w:rFonts w:ascii="Arial" w:hAnsi="Arial"/>
          <w:rtl/>
        </w:rPr>
        <w:t xml:space="preserve"> אפיק מאי דאפיק ולא ידיע ונהיר מאי דנהיר</w:t>
      </w:r>
      <w:r>
        <w:rPr>
          <w:rFonts w:ascii="Arial" w:hAnsi="Arial" w:hint="cs"/>
          <w:rtl/>
        </w:rPr>
        <w:t>,</w:t>
      </w:r>
      <w:r w:rsidRPr="00D65106">
        <w:rPr>
          <w:rFonts w:ascii="Arial" w:hAnsi="Arial"/>
          <w:rtl/>
        </w:rPr>
        <w:t xml:space="preserve"> ר"ל אוירא עילאה</w:t>
      </w:r>
      <w:r>
        <w:rPr>
          <w:rFonts w:ascii="Arial" w:hAnsi="Arial" w:hint="cs"/>
          <w:rtl/>
        </w:rPr>
        <w:t>,</w:t>
      </w:r>
      <w:r w:rsidRPr="00D65106">
        <w:rPr>
          <w:rFonts w:ascii="Arial" w:hAnsi="Arial"/>
          <w:rtl/>
        </w:rPr>
        <w:t xml:space="preserve"> ועליו קאמר בכ"מ</w:t>
      </w:r>
      <w:r>
        <w:rPr>
          <w:rFonts w:ascii="Arial" w:hAnsi="Arial" w:hint="cs"/>
          <w:rtl/>
        </w:rPr>
        <w:t>,</w:t>
      </w:r>
      <w:r w:rsidRPr="00D65106">
        <w:rPr>
          <w:rFonts w:ascii="Arial" w:hAnsi="Arial"/>
          <w:rtl/>
        </w:rPr>
        <w:t xml:space="preserve"> ונהיר מאי דנהיר</w:t>
      </w:r>
      <w:r>
        <w:rPr>
          <w:rFonts w:ascii="Arial" w:hAnsi="Arial" w:hint="cs"/>
          <w:rtl/>
        </w:rPr>
        <w:t>,</w:t>
      </w:r>
      <w:r w:rsidRPr="00D65106">
        <w:rPr>
          <w:rFonts w:ascii="Arial" w:hAnsi="Arial"/>
          <w:rtl/>
        </w:rPr>
        <w:t xml:space="preserve"> והוא הנכון ועיקר</w:t>
      </w:r>
      <w:r>
        <w:rPr>
          <w:rFonts w:ascii="Arial" w:hAnsi="Arial" w:hint="cs"/>
          <w:rtl/>
        </w:rPr>
        <w:t>.</w:t>
      </w:r>
      <w:r w:rsidRPr="00D65106">
        <w:rPr>
          <w:rFonts w:ascii="Arial" w:hAnsi="Arial"/>
          <w:rtl/>
        </w:rPr>
        <w:t xml:space="preserve"> וזש"ל נהיר מאי דנהיר וכדין איהו מחשבה כו' ר"ל שאוירא נהיר</w:t>
      </w:r>
      <w:r>
        <w:rPr>
          <w:rFonts w:ascii="Arial" w:hAnsi="Arial" w:hint="cs"/>
          <w:rtl/>
        </w:rPr>
        <w:t>,</w:t>
      </w:r>
      <w:r w:rsidRPr="00D65106">
        <w:rPr>
          <w:rFonts w:ascii="Arial" w:hAnsi="Arial"/>
          <w:rtl/>
        </w:rPr>
        <w:t xml:space="preserve"> וממנו נהיר מ"ס</w:t>
      </w:r>
      <w:r>
        <w:rPr>
          <w:rFonts w:ascii="Arial" w:hAnsi="Arial" w:hint="cs"/>
          <w:rtl/>
        </w:rPr>
        <w:t>,</w:t>
      </w:r>
      <w:r w:rsidRPr="00D65106">
        <w:rPr>
          <w:rFonts w:ascii="Arial" w:hAnsi="Arial"/>
          <w:rtl/>
        </w:rPr>
        <w:t xml:space="preserve"> ואותו אויר נקרא אין</w:t>
      </w:r>
      <w:r>
        <w:rPr>
          <w:rFonts w:ascii="Arial" w:hAnsi="Arial" w:hint="cs"/>
          <w:rtl/>
        </w:rPr>
        <w:t>.</w:t>
      </w:r>
      <w:r w:rsidRPr="00D65106">
        <w:rPr>
          <w:rFonts w:ascii="Arial" w:hAnsi="Arial"/>
          <w:rtl/>
        </w:rPr>
        <w:t xml:space="preserve"> וז"ש כאן ההוא נהירו דאתנהיר כו' אקרי אין</w:t>
      </w:r>
      <w:r>
        <w:rPr>
          <w:rFonts w:ascii="Arial" w:hAnsi="Arial" w:hint="cs"/>
          <w:rtl/>
        </w:rPr>
        <w:t>,</w:t>
      </w:r>
      <w:r w:rsidRPr="00D65106">
        <w:rPr>
          <w:rFonts w:ascii="Arial" w:hAnsi="Arial"/>
          <w:rtl/>
        </w:rPr>
        <w:t xml:space="preserve"> ומיניה אשתכח כו'</w:t>
      </w:r>
      <w:r>
        <w:rPr>
          <w:rFonts w:ascii="Arial" w:hAnsi="Arial" w:hint="cs"/>
          <w:rtl/>
        </w:rPr>
        <w:t>,</w:t>
      </w:r>
      <w:r w:rsidRPr="00D65106">
        <w:rPr>
          <w:rFonts w:ascii="Arial" w:hAnsi="Arial"/>
          <w:rtl/>
        </w:rPr>
        <w:t xml:space="preserve"> ר"ל מן אותו אוירא</w:t>
      </w:r>
      <w:r>
        <w:rPr>
          <w:rFonts w:ascii="Arial" w:hAnsi="Arial" w:hint="cs"/>
          <w:rtl/>
        </w:rPr>
        <w:t>.</w:t>
      </w:r>
      <w:r w:rsidRPr="00D65106">
        <w:rPr>
          <w:rFonts w:ascii="Arial" w:hAnsi="Arial"/>
          <w:rtl/>
        </w:rPr>
        <w:t xml:space="preserve"> ונקרא אין</w:t>
      </w:r>
      <w:r>
        <w:rPr>
          <w:rFonts w:ascii="Arial" w:hAnsi="Arial" w:hint="cs"/>
          <w:rtl/>
        </w:rPr>
        <w:t>,</w:t>
      </w:r>
      <w:r w:rsidRPr="00D65106">
        <w:rPr>
          <w:rFonts w:ascii="Arial" w:hAnsi="Arial"/>
          <w:rtl/>
        </w:rPr>
        <w:t xml:space="preserve"> שאינו נתפס</w:t>
      </w:r>
      <w:r>
        <w:rPr>
          <w:rFonts w:ascii="Arial" w:hAnsi="Arial" w:hint="cs"/>
          <w:rtl/>
        </w:rPr>
        <w:t>.</w:t>
      </w:r>
      <w:r w:rsidRPr="00D65106">
        <w:rPr>
          <w:rFonts w:ascii="Arial" w:hAnsi="Arial"/>
          <w:rtl/>
        </w:rPr>
        <w:t xml:space="preserve"> וז"ש בא"ז שם</w:t>
      </w:r>
      <w:r>
        <w:rPr>
          <w:rFonts w:ascii="Arial" w:hAnsi="Arial" w:hint="cs"/>
          <w:rtl/>
        </w:rPr>
        <w:t>,</w:t>
      </w:r>
      <w:r w:rsidRPr="00D65106">
        <w:rPr>
          <w:rFonts w:ascii="Arial" w:hAnsi="Arial"/>
          <w:rtl/>
        </w:rPr>
        <w:t xml:space="preserve"> ובג"כ ע"ק אקרי אין</w:t>
      </w:r>
      <w:r>
        <w:rPr>
          <w:rFonts w:ascii="Arial" w:hAnsi="Arial" w:hint="cs"/>
          <w:rtl/>
        </w:rPr>
        <w:t>,</w:t>
      </w:r>
      <w:r w:rsidRPr="00D65106">
        <w:rPr>
          <w:rFonts w:ascii="Arial" w:hAnsi="Arial"/>
          <w:rtl/>
        </w:rPr>
        <w:t xml:space="preserve"> דבי</w:t>
      </w:r>
      <w:r>
        <w:rPr>
          <w:rFonts w:ascii="Arial" w:hAnsi="Arial" w:hint="cs"/>
          <w:rtl/>
        </w:rPr>
        <w:t>ה</w:t>
      </w:r>
      <w:r w:rsidRPr="00D65106">
        <w:rPr>
          <w:rFonts w:ascii="Arial" w:hAnsi="Arial"/>
          <w:rtl/>
        </w:rPr>
        <w:t xml:space="preserve"> תליא אין</w:t>
      </w:r>
      <w:r>
        <w:rPr>
          <w:rFonts w:ascii="Arial" w:hAnsi="Arial" w:hint="cs"/>
          <w:rtl/>
        </w:rPr>
        <w:t>,</w:t>
      </w:r>
      <w:r w:rsidRPr="00D65106">
        <w:rPr>
          <w:rFonts w:ascii="Arial" w:hAnsi="Arial"/>
          <w:rtl/>
        </w:rPr>
        <w:t xml:space="preserve"> ר"ל שבו ההוא אוירא</w:t>
      </w:r>
      <w:r>
        <w:rPr>
          <w:rFonts w:ascii="Arial" w:hAnsi="Arial" w:hint="cs"/>
          <w:rtl/>
        </w:rPr>
        <w:t>,</w:t>
      </w:r>
      <w:r w:rsidRPr="00D65106">
        <w:rPr>
          <w:rFonts w:ascii="Arial" w:hAnsi="Arial"/>
          <w:rtl/>
        </w:rPr>
        <w:t xml:space="preserve"> בגלגלתא</w:t>
      </w:r>
      <w:r>
        <w:rPr>
          <w:rFonts w:ascii="Arial" w:hAnsi="Arial" w:hint="cs"/>
          <w:rtl/>
        </w:rPr>
        <w:t>,</w:t>
      </w:r>
      <w:r w:rsidRPr="00D65106">
        <w:rPr>
          <w:rFonts w:ascii="Arial" w:hAnsi="Arial"/>
          <w:rtl/>
        </w:rPr>
        <w:t xml:space="preserve"> כידוע</w:t>
      </w:r>
      <w:r>
        <w:rPr>
          <w:rFonts w:ascii="Arial" w:hAnsi="Arial" w:hint="cs"/>
          <w:rtl/>
        </w:rPr>
        <w:t>.</w:t>
      </w:r>
      <w:r w:rsidRPr="00D65106">
        <w:rPr>
          <w:rFonts w:ascii="Arial" w:hAnsi="Arial"/>
          <w:rtl/>
        </w:rPr>
        <w:t xml:space="preserve"> וזהו פי</w:t>
      </w:r>
      <w:r>
        <w:rPr>
          <w:rFonts w:ascii="Arial" w:hAnsi="Arial" w:hint="cs"/>
          <w:rtl/>
        </w:rPr>
        <w:t>רוש</w:t>
      </w:r>
      <w:r w:rsidRPr="00D65106">
        <w:rPr>
          <w:rFonts w:ascii="Arial" w:hAnsi="Arial"/>
          <w:rtl/>
        </w:rPr>
        <w:t xml:space="preserve"> הנכון</w:t>
      </w:r>
      <w:r>
        <w:rPr>
          <w:rFonts w:ascii="Arial" w:hAnsi="Arial" w:hint="cs"/>
          <w:rtl/>
        </w:rPr>
        <w:t>.</w:t>
      </w:r>
      <w:r w:rsidRPr="00D65106">
        <w:rPr>
          <w:rFonts w:ascii="Arial" w:hAnsi="Arial"/>
          <w:rtl/>
        </w:rPr>
        <w:t xml:space="preserve"> נמצא כי מ"ס אתנהיר מאוירא</w:t>
      </w:r>
      <w:r>
        <w:rPr>
          <w:rFonts w:ascii="Arial" w:hAnsi="Arial" w:hint="cs"/>
          <w:rtl/>
        </w:rPr>
        <w:t>.</w:t>
      </w:r>
      <w:r w:rsidRPr="00D65106">
        <w:rPr>
          <w:rFonts w:ascii="Arial" w:hAnsi="Arial"/>
          <w:rtl/>
        </w:rPr>
        <w:t xml:space="preserve"> ופריסא אתנהיר מרדל"א</w:t>
      </w:r>
      <w:r>
        <w:rPr>
          <w:rFonts w:ascii="Arial" w:hAnsi="Arial" w:hint="cs"/>
          <w:rtl/>
        </w:rPr>
        <w:t>.</w:t>
      </w:r>
      <w:r w:rsidRPr="00D65106">
        <w:rPr>
          <w:rFonts w:ascii="Arial" w:hAnsi="Arial"/>
          <w:rtl/>
        </w:rPr>
        <w:t xml:space="preserve"> וכן אוירא אתנהיר מרדל"א</w:t>
      </w:r>
      <w:r>
        <w:rPr>
          <w:rFonts w:ascii="Arial" w:hAnsi="Arial" w:hint="cs"/>
          <w:rtl/>
        </w:rPr>
        <w:t>.</w:t>
      </w:r>
      <w:r w:rsidRPr="00D65106">
        <w:rPr>
          <w:rFonts w:ascii="Arial" w:hAnsi="Arial"/>
          <w:rtl/>
        </w:rPr>
        <w:t xml:space="preserve"> והבטישה הוא לא באוירא אלא בפריסו כנ"ל:</w:t>
      </w:r>
    </w:p>
  </w:footnote>
  <w:footnote w:id="8990">
    <w:p w:rsidR="00007309" w:rsidRPr="00BE063A" w:rsidRDefault="00007309" w:rsidP="00007309">
      <w:pPr>
        <w:jc w:val="both"/>
        <w:rPr>
          <w:rFonts w:cs="Arial"/>
          <w:sz w:val="22"/>
          <w:szCs w:val="22"/>
          <w:rtl/>
        </w:rPr>
      </w:pPr>
      <w:r>
        <w:rPr>
          <w:rStyle w:val="a7"/>
        </w:rPr>
        <w:footnoteRef/>
      </w:r>
      <w:r>
        <w:rPr>
          <w:rtl/>
        </w:rPr>
        <w:t xml:space="preserve"> </w:t>
      </w:r>
      <w:r>
        <w:rPr>
          <w:rFonts w:cs="Arial" w:hint="cs"/>
          <w:sz w:val="22"/>
          <w:szCs w:val="22"/>
          <w:rtl/>
        </w:rPr>
        <w:t xml:space="preserve">(ג.פ. כל ביאור הגר"א המובא כאן הוא מתיקונים מזהר חדש דף פ ע"ב) </w:t>
      </w:r>
      <w:r w:rsidRPr="00BE063A">
        <w:rPr>
          <w:rFonts w:cs="Arial"/>
          <w:b/>
          <w:bCs/>
          <w:sz w:val="22"/>
          <w:szCs w:val="22"/>
          <w:rtl/>
        </w:rPr>
        <w:t>ההוא קשרא קדמאה שלשה אלפי עלמין קשירין ביה כו'.</w:t>
      </w:r>
      <w:r w:rsidRPr="00BD5E91">
        <w:rPr>
          <w:rFonts w:cs="Arial"/>
          <w:sz w:val="22"/>
          <w:szCs w:val="22"/>
          <w:rtl/>
        </w:rPr>
        <w:t xml:space="preserve"> ששלשה קשרין חשיב כאן והן ג' מוחין חב"ד</w:t>
      </w:r>
      <w:r>
        <w:rPr>
          <w:rFonts w:cs="Arial" w:hint="cs"/>
          <w:sz w:val="22"/>
          <w:szCs w:val="22"/>
          <w:rtl/>
        </w:rPr>
        <w:t>,</w:t>
      </w:r>
      <w:r w:rsidRPr="00BD5E91">
        <w:rPr>
          <w:rFonts w:cs="Arial"/>
          <w:sz w:val="22"/>
          <w:szCs w:val="22"/>
          <w:rtl/>
        </w:rPr>
        <w:t xml:space="preserve"> ג' חללין דגלגלתא</w:t>
      </w:r>
      <w:r>
        <w:rPr>
          <w:rFonts w:cs="Arial" w:hint="cs"/>
          <w:sz w:val="22"/>
          <w:szCs w:val="22"/>
          <w:rtl/>
        </w:rPr>
        <w:t>.</w:t>
      </w:r>
      <w:r w:rsidRPr="00BD5E91">
        <w:rPr>
          <w:rFonts w:cs="Arial"/>
          <w:sz w:val="22"/>
          <w:szCs w:val="22"/>
          <w:rtl/>
        </w:rPr>
        <w:t xml:space="preserve"> קשרא קדמאה הוא חכמה וביה שלשת אלפים כמ"ש וידבר שלשת אלפים משל ואמר בתי"ג דף כ"ה ע"ב שלשת אלפים משל תלת יודין דאינון תלת טפין דמוחא דנחתין מן י' כו' והוא חכמה</w:t>
      </w:r>
      <w:r>
        <w:rPr>
          <w:rFonts w:cs="Arial" w:hint="cs"/>
          <w:sz w:val="22"/>
          <w:szCs w:val="22"/>
          <w:rtl/>
        </w:rPr>
        <w:t>,</w:t>
      </w:r>
      <w:r w:rsidRPr="00BD5E91">
        <w:rPr>
          <w:rFonts w:cs="Arial"/>
          <w:sz w:val="22"/>
          <w:szCs w:val="22"/>
          <w:rtl/>
        </w:rPr>
        <w:t xml:space="preserve"> י' של השם</w:t>
      </w:r>
      <w:r>
        <w:rPr>
          <w:rFonts w:cs="Arial" w:hint="cs"/>
          <w:sz w:val="22"/>
          <w:szCs w:val="22"/>
          <w:rtl/>
        </w:rPr>
        <w:t>.</w:t>
      </w:r>
      <w:r w:rsidRPr="00BD5E91">
        <w:rPr>
          <w:rFonts w:cs="Arial"/>
          <w:sz w:val="22"/>
          <w:szCs w:val="22"/>
          <w:rtl/>
        </w:rPr>
        <w:t xml:space="preserve"> ואמר בפ' ויקרא דף י' ע"ב</w:t>
      </w:r>
      <w:r>
        <w:rPr>
          <w:rFonts w:cs="Arial" w:hint="cs"/>
          <w:sz w:val="22"/>
          <w:szCs w:val="22"/>
          <w:rtl/>
        </w:rPr>
        <w:t>,</w:t>
      </w:r>
      <w:r w:rsidRPr="00BD5E91">
        <w:rPr>
          <w:rFonts w:cs="Arial"/>
          <w:sz w:val="22"/>
          <w:szCs w:val="22"/>
          <w:rtl/>
        </w:rPr>
        <w:t xml:space="preserve"> י' דשמא קדישא אתקשר בג' קשרין בגין דהאי י' קוצא חד לעילא כו' עד חד נהר עמיקא. ועניינו שהן כח"ב</w:t>
      </w:r>
      <w:r>
        <w:rPr>
          <w:rFonts w:cs="Arial" w:hint="cs"/>
          <w:sz w:val="22"/>
          <w:szCs w:val="22"/>
          <w:rtl/>
        </w:rPr>
        <w:t>,</w:t>
      </w:r>
      <w:r w:rsidRPr="00BD5E91">
        <w:rPr>
          <w:rFonts w:cs="Arial"/>
          <w:sz w:val="22"/>
          <w:szCs w:val="22"/>
          <w:rtl/>
        </w:rPr>
        <w:t xml:space="preserve"> לעילא כתר ובאמצעיתא חכמה שהוא גוף היו"ד ולתתא בינה כלולה בו</w:t>
      </w:r>
      <w:r>
        <w:rPr>
          <w:rFonts w:cs="Arial" w:hint="cs"/>
          <w:sz w:val="22"/>
          <w:szCs w:val="22"/>
          <w:rtl/>
        </w:rPr>
        <w:t>.</w:t>
      </w:r>
      <w:r w:rsidRPr="00BD5E91">
        <w:rPr>
          <w:rFonts w:cs="Arial"/>
          <w:sz w:val="22"/>
          <w:szCs w:val="22"/>
          <w:rtl/>
        </w:rPr>
        <w:t xml:space="preserve"> וז"ש כאן. חד עלמא סלקא כו':</w:t>
      </w:r>
    </w:p>
  </w:footnote>
  <w:footnote w:id="8991">
    <w:p w:rsidR="00007309" w:rsidRDefault="00007309" w:rsidP="00007309">
      <w:pPr>
        <w:pStyle w:val="a5"/>
      </w:pPr>
      <w:r>
        <w:rPr>
          <w:rStyle w:val="a7"/>
        </w:rPr>
        <w:footnoteRef/>
      </w:r>
      <w:r>
        <w:rPr>
          <w:rtl/>
        </w:rPr>
        <w:t xml:space="preserve"> </w:t>
      </w:r>
      <w:r w:rsidRPr="00BD5E91">
        <w:rPr>
          <w:b/>
          <w:bCs/>
          <w:sz w:val="22"/>
          <w:szCs w:val="22"/>
          <w:rtl/>
        </w:rPr>
        <w:t>עלמא תתאה מכלהו ארכיה אלף כו'.</w:t>
      </w:r>
      <w:r w:rsidRPr="00BD5E91">
        <w:rPr>
          <w:sz w:val="22"/>
          <w:szCs w:val="22"/>
          <w:rtl/>
        </w:rPr>
        <w:t xml:space="preserve"> ועם ב' אלפי' שבין קשרא לקשרא הרי שלשת אלפים:</w:t>
      </w:r>
      <w:r w:rsidRPr="00BD5E91">
        <w:rPr>
          <w:b/>
          <w:bCs/>
          <w:sz w:val="22"/>
          <w:szCs w:val="22"/>
          <w:rtl/>
        </w:rPr>
        <w:t xml:space="preserve"> </w:t>
      </w:r>
    </w:p>
  </w:footnote>
  <w:footnote w:id="8992">
    <w:p w:rsidR="00007309" w:rsidRDefault="00007309" w:rsidP="00007309">
      <w:pPr>
        <w:pStyle w:val="a5"/>
        <w:rPr>
          <w:rtl/>
        </w:rPr>
      </w:pPr>
      <w:r>
        <w:rPr>
          <w:rStyle w:val="a7"/>
        </w:rPr>
        <w:footnoteRef/>
      </w:r>
      <w:r>
        <w:rPr>
          <w:rtl/>
        </w:rPr>
        <w:t xml:space="preserve"> </w:t>
      </w:r>
      <w:r w:rsidRPr="00BD5E91">
        <w:rPr>
          <w:b/>
          <w:bCs/>
          <w:sz w:val="22"/>
          <w:szCs w:val="22"/>
          <w:rtl/>
        </w:rPr>
        <w:t>והאי קשרא כליל כלא.</w:t>
      </w:r>
      <w:r w:rsidRPr="00BD5E91">
        <w:rPr>
          <w:sz w:val="22"/>
          <w:szCs w:val="22"/>
          <w:rtl/>
        </w:rPr>
        <w:t xml:space="preserve"> כנ"ל שחכמה כלל כולם וכמ"ש כולם בחכמה עשית וכן י' כלל האותיות כידוע:</w:t>
      </w:r>
    </w:p>
  </w:footnote>
  <w:footnote w:id="8993">
    <w:p w:rsidR="00007309" w:rsidRDefault="00007309" w:rsidP="00007309">
      <w:pPr>
        <w:pStyle w:val="a5"/>
        <w:rPr>
          <w:rtl/>
        </w:rPr>
      </w:pPr>
      <w:r>
        <w:rPr>
          <w:rStyle w:val="a7"/>
        </w:rPr>
        <w:footnoteRef/>
      </w:r>
      <w:r>
        <w:rPr>
          <w:rtl/>
        </w:rPr>
        <w:t xml:space="preserve"> </w:t>
      </w:r>
      <w:r w:rsidRPr="00BD5E91">
        <w:rPr>
          <w:b/>
          <w:bCs/>
          <w:sz w:val="22"/>
          <w:szCs w:val="22"/>
          <w:rtl/>
        </w:rPr>
        <w:t>מהאי קשרא קדמאה שארי קו המדה לאתפשטא.</w:t>
      </w:r>
      <w:r w:rsidRPr="00BD5E91">
        <w:rPr>
          <w:sz w:val="22"/>
          <w:szCs w:val="22"/>
          <w:rtl/>
        </w:rPr>
        <w:t xml:space="preserve"> שבקשרא קדמאה אין התפשטות רק יוד נקודה לבד אבל בקשרא תניינא אתפשט הבוצינא לאורכא ולפותיא ונעשה ד' באורך ורוחב ואתעברת ונעשית ה' והכל בהתפשטות הבוצינא כמ"ש בפ' משפטים דף קכ"ג ע"ב ת"ח הא חזינא ליה בחלמא כו' ויוד פשיט נהרא דא מכל סטרוי כו' ע"ש וכ"כ בס"ד ה' ד' הות ומדאתעברת ביה בגווה כו' ע"ש ובפ' א"מ דף ס"ה ע"ב ת"ח י' בקדמיתא כללא דכולא כו' ואי תימא נהר כתיב כו'. ור"ל התפשטות זה הוא נהר יוצא שהוא בינה כידוע רק שמקשה כאן בה' ג' התפשטות ותי' עם זו"נ הוא ג' התפשטות והוא מסכים למאמר זה דמשחתא דבוצינא הוא בג' שמהן בינה זו"נ כמ"ש לעיל י' ואלין עזקין כו'. וז"ש בתחלת פ' בראשית דף ט"ו ע"א קוטרא בגולמא נעיץ בעיזקא לא חיוור כו'. קוטרא הוא קוטרא עלאה אוירא דכיא. בגולמא הוא קשרא קדמאה י' שהוא גולמא כידוע. נעיץ הוא קיומא דחכמה שנעיץ משם כמ"ש לעיל האי קשרא קדמאה קיומא נעיץ מהכא. בעיזקא הוא קשרא תניינא עזקאן דכאן והוא חיבור חו"ב וכאן לא חיוור כו' כמ"ש לעיל דכאן סתימא. מדיד משיחין עביד גוונין לאנהרא. הוא בקשרא תניינא דמשם מדיד כנ"ל ושם עביד גוונין כמש"ל דשני ליה בתלת גוונין:</w:t>
      </w:r>
    </w:p>
  </w:footnote>
  <w:footnote w:id="8994">
    <w:p w:rsidR="00007309" w:rsidRDefault="00007309" w:rsidP="00007309">
      <w:pPr>
        <w:pStyle w:val="a5"/>
      </w:pPr>
      <w:r>
        <w:rPr>
          <w:rStyle w:val="a7"/>
        </w:rPr>
        <w:footnoteRef/>
      </w:r>
      <w:r>
        <w:rPr>
          <w:rtl/>
        </w:rPr>
        <w:t xml:space="preserve"> </w:t>
      </w:r>
      <w:r w:rsidRPr="00BD5E91">
        <w:rPr>
          <w:b/>
          <w:bCs/>
          <w:sz w:val="22"/>
          <w:szCs w:val="22"/>
          <w:rtl/>
        </w:rPr>
        <w:t>אינון מאתן כו'.</w:t>
      </w:r>
      <w:r w:rsidRPr="00BD5E91">
        <w:rPr>
          <w:sz w:val="22"/>
          <w:szCs w:val="22"/>
          <w:rtl/>
        </w:rPr>
        <w:t xml:space="preserve"> כמ"ש ומאתים לנוטרים את פריו שכאן הוא שכר עה"ב כידוע ומכאן נטיל גבורה מאתן אלף עלמין כמ"ש לקמן דף צ' ע"א ואפיק ד' בחושבנא דמאתן אלף עלמין כו':</w:t>
      </w:r>
      <w:r w:rsidRPr="00BD5E91">
        <w:rPr>
          <w:b/>
          <w:bCs/>
          <w:sz w:val="22"/>
          <w:szCs w:val="22"/>
          <w:rtl/>
        </w:rPr>
        <w:t xml:space="preserve"> </w:t>
      </w:r>
    </w:p>
  </w:footnote>
  <w:footnote w:id="8995">
    <w:p w:rsidR="00007309" w:rsidRDefault="00007309" w:rsidP="00007309">
      <w:pPr>
        <w:pStyle w:val="a5"/>
      </w:pPr>
      <w:r>
        <w:rPr>
          <w:rStyle w:val="a7"/>
        </w:rPr>
        <w:footnoteRef/>
      </w:r>
      <w:r>
        <w:rPr>
          <w:rtl/>
        </w:rPr>
        <w:t xml:space="preserve"> </w:t>
      </w:r>
      <w:r w:rsidRPr="00BD5E91">
        <w:rPr>
          <w:b/>
          <w:bCs/>
          <w:sz w:val="22"/>
          <w:szCs w:val="22"/>
          <w:rtl/>
        </w:rPr>
        <w:t>דכסיף בהו קב"ה.</w:t>
      </w:r>
      <w:r w:rsidRPr="00BD5E91">
        <w:rPr>
          <w:sz w:val="22"/>
          <w:szCs w:val="22"/>
          <w:rtl/>
        </w:rPr>
        <w:t xml:space="preserve"> כאן הוא השעשוע הקב"ה בצדיקים בפלגו דליליא:</w:t>
      </w:r>
    </w:p>
  </w:footnote>
  <w:footnote w:id="8996">
    <w:p w:rsidR="00007309" w:rsidRDefault="00007309" w:rsidP="00007309">
      <w:pPr>
        <w:pStyle w:val="a5"/>
        <w:rPr>
          <w:rtl/>
        </w:rPr>
      </w:pPr>
      <w:r>
        <w:rPr>
          <w:rStyle w:val="a7"/>
        </w:rPr>
        <w:footnoteRef/>
      </w:r>
      <w:r>
        <w:rPr>
          <w:rtl/>
        </w:rPr>
        <w:t xml:space="preserve"> </w:t>
      </w:r>
      <w:r w:rsidRPr="00BD5E91">
        <w:rPr>
          <w:b/>
          <w:bCs/>
          <w:sz w:val="22"/>
          <w:szCs w:val="22"/>
          <w:rtl/>
        </w:rPr>
        <w:t>ת"ק אלף עלמין.</w:t>
      </w:r>
      <w:r w:rsidRPr="00BD5E91">
        <w:rPr>
          <w:sz w:val="22"/>
          <w:szCs w:val="22"/>
          <w:rtl/>
        </w:rPr>
        <w:t xml:space="preserve"> הן ת"ק פרסי דאילנא דחיי שהן נ' שערי בינה כ"א כלול מיוד כידוע. וז"ש ואלין דפתחי תרעין לכל סטר כמ"ש בפ' בראשית דף ג' ע"ב ואינון חמשין אגליפו לארבע סטרין כו':</w:t>
      </w:r>
    </w:p>
  </w:footnote>
  <w:footnote w:id="8997">
    <w:p w:rsidR="00007309" w:rsidRDefault="00007309" w:rsidP="00007309">
      <w:pPr>
        <w:pStyle w:val="a5"/>
        <w:rPr>
          <w:rtl/>
        </w:rPr>
      </w:pPr>
      <w:r>
        <w:rPr>
          <w:rStyle w:val="a7"/>
        </w:rPr>
        <w:footnoteRef/>
      </w:r>
      <w:r>
        <w:rPr>
          <w:rtl/>
        </w:rPr>
        <w:t xml:space="preserve"> </w:t>
      </w:r>
      <w:r w:rsidRPr="00BD5E91">
        <w:rPr>
          <w:b/>
          <w:bCs/>
          <w:sz w:val="22"/>
          <w:szCs w:val="22"/>
          <w:rtl/>
        </w:rPr>
        <w:t xml:space="preserve">ברזא דשתין רבוא עלמין. </w:t>
      </w:r>
      <w:r w:rsidRPr="00BD5E91">
        <w:rPr>
          <w:sz w:val="22"/>
          <w:szCs w:val="22"/>
          <w:rtl/>
        </w:rPr>
        <w:t>ו"ק שכלולין בת"ת וכמש"ל דף צ' ובגיניה קיימין שיתין אלף רבוא על טורין סגיאין שהן אלף טורין הידועין:</w:t>
      </w:r>
    </w:p>
  </w:footnote>
  <w:footnote w:id="8998">
    <w:p w:rsidR="00007309" w:rsidRDefault="00007309" w:rsidP="00007309">
      <w:pPr>
        <w:pStyle w:val="a5"/>
      </w:pPr>
      <w:r>
        <w:rPr>
          <w:rStyle w:val="a7"/>
        </w:rPr>
        <w:footnoteRef/>
      </w:r>
      <w:r>
        <w:rPr>
          <w:rtl/>
        </w:rPr>
        <w:t xml:space="preserve"> </w:t>
      </w:r>
      <w:r w:rsidRPr="00BD5E91">
        <w:rPr>
          <w:b/>
          <w:bCs/>
          <w:sz w:val="22"/>
          <w:szCs w:val="22"/>
          <w:rtl/>
        </w:rPr>
        <w:t xml:space="preserve">חמשין זרתין. </w:t>
      </w:r>
      <w:r w:rsidRPr="00BD5E91">
        <w:rPr>
          <w:sz w:val="22"/>
          <w:szCs w:val="22"/>
          <w:rtl/>
        </w:rPr>
        <w:t>שהן נ' שערים:</w:t>
      </w:r>
    </w:p>
  </w:footnote>
  <w:footnote w:id="8999">
    <w:p w:rsidR="00007309" w:rsidRDefault="00007309" w:rsidP="00007309">
      <w:pPr>
        <w:pStyle w:val="a5"/>
      </w:pPr>
      <w:r>
        <w:rPr>
          <w:rStyle w:val="a7"/>
        </w:rPr>
        <w:footnoteRef/>
      </w:r>
      <w:r>
        <w:rPr>
          <w:rtl/>
        </w:rPr>
        <w:t xml:space="preserve"> </w:t>
      </w:r>
      <w:r w:rsidRPr="00BD5E91">
        <w:rPr>
          <w:b/>
          <w:bCs/>
          <w:sz w:val="22"/>
          <w:szCs w:val="22"/>
          <w:rtl/>
        </w:rPr>
        <w:t>לאתפתחא לחמש סטרין.</w:t>
      </w:r>
      <w:r w:rsidRPr="00BD5E91">
        <w:rPr>
          <w:sz w:val="22"/>
          <w:szCs w:val="22"/>
          <w:rtl/>
        </w:rPr>
        <w:t xml:space="preserve"> הן ה"ס שהן ה' סטרין וו' סטרין ו"ק ובינה אתפשטת עד הוד בנ' תרעין דילה כמ"ש כ"פ:</w:t>
      </w:r>
    </w:p>
  </w:footnote>
  <w:footnote w:id="9000">
    <w:p w:rsidR="00007309" w:rsidRDefault="00007309" w:rsidP="00007309">
      <w:pPr>
        <w:pStyle w:val="a5"/>
      </w:pPr>
      <w:r>
        <w:rPr>
          <w:rStyle w:val="a7"/>
        </w:rPr>
        <w:footnoteRef/>
      </w:r>
      <w:r>
        <w:rPr>
          <w:rtl/>
        </w:rPr>
        <w:t xml:space="preserve"> </w:t>
      </w:r>
      <w:r w:rsidRPr="00BD5E91">
        <w:rPr>
          <w:b/>
          <w:bCs/>
          <w:sz w:val="22"/>
          <w:szCs w:val="22"/>
          <w:rtl/>
        </w:rPr>
        <w:t>רומא חמש.</w:t>
      </w:r>
      <w:r w:rsidRPr="00BD5E91">
        <w:rPr>
          <w:sz w:val="22"/>
          <w:szCs w:val="22"/>
          <w:rtl/>
        </w:rPr>
        <w:t xml:space="preserve"> ה' עלאה:</w:t>
      </w:r>
    </w:p>
  </w:footnote>
  <w:footnote w:id="9001">
    <w:p w:rsidR="00007309" w:rsidRDefault="00007309" w:rsidP="00007309">
      <w:pPr>
        <w:pStyle w:val="a5"/>
      </w:pPr>
      <w:r>
        <w:rPr>
          <w:rStyle w:val="a7"/>
        </w:rPr>
        <w:footnoteRef/>
      </w:r>
      <w:r>
        <w:rPr>
          <w:rtl/>
        </w:rPr>
        <w:t xml:space="preserve"> </w:t>
      </w:r>
      <w:r w:rsidRPr="00BD5E91">
        <w:rPr>
          <w:b/>
          <w:bCs/>
          <w:sz w:val="22"/>
          <w:szCs w:val="22"/>
          <w:rtl/>
        </w:rPr>
        <w:t>עומקא ורומא חמשין כו'.</w:t>
      </w:r>
      <w:r w:rsidRPr="00BD5E91">
        <w:rPr>
          <w:sz w:val="22"/>
          <w:szCs w:val="22"/>
          <w:rtl/>
        </w:rPr>
        <w:t xml:space="preserve"> כנ"ל וז"ש הן לה' אלקיך השמים ושמי השמים שנ"ה שמים הן:</w:t>
      </w:r>
    </w:p>
  </w:footnote>
  <w:footnote w:id="9002">
    <w:p w:rsidR="00007309" w:rsidRDefault="00007309" w:rsidP="00007309">
      <w:pPr>
        <w:pStyle w:val="a5"/>
      </w:pPr>
      <w:r>
        <w:rPr>
          <w:rStyle w:val="a7"/>
        </w:rPr>
        <w:footnoteRef/>
      </w:r>
      <w:r>
        <w:rPr>
          <w:rtl/>
        </w:rPr>
        <w:t xml:space="preserve"> </w:t>
      </w:r>
      <w:r w:rsidRPr="00BD5E91">
        <w:rPr>
          <w:b/>
          <w:bCs/>
          <w:sz w:val="22"/>
          <w:szCs w:val="22"/>
          <w:rtl/>
        </w:rPr>
        <w:t>קשרא תליתאה כו'.</w:t>
      </w:r>
      <w:r w:rsidRPr="00BD5E91">
        <w:rPr>
          <w:sz w:val="22"/>
          <w:szCs w:val="22"/>
          <w:rtl/>
        </w:rPr>
        <w:t xml:space="preserve"> דעת שזה קו המדה והוא אתפשט ובו אתגלייא גוונין וז"ש ודא איהו קשרא בגוון יתיר ואיהו קאים כו':</w:t>
      </w:r>
    </w:p>
  </w:footnote>
  <w:footnote w:id="9003">
    <w:p w:rsidR="00007309" w:rsidRDefault="00007309" w:rsidP="00007309">
      <w:pPr>
        <w:pStyle w:val="a5"/>
      </w:pPr>
      <w:r>
        <w:rPr>
          <w:rStyle w:val="a7"/>
        </w:rPr>
        <w:footnoteRef/>
      </w:r>
      <w:r>
        <w:rPr>
          <w:rtl/>
        </w:rPr>
        <w:t xml:space="preserve"> </w:t>
      </w:r>
      <w:r w:rsidRPr="00BD5E91">
        <w:rPr>
          <w:b/>
          <w:bCs/>
          <w:sz w:val="22"/>
          <w:szCs w:val="22"/>
          <w:rtl/>
        </w:rPr>
        <w:t>תלת מינייהו עלאין כו'.</w:t>
      </w:r>
      <w:r w:rsidRPr="00BD5E91">
        <w:rPr>
          <w:sz w:val="22"/>
          <w:szCs w:val="22"/>
          <w:rtl/>
        </w:rPr>
        <w:t xml:space="preserve"> הוא רזא דחו"ל שנתבאר לעיל:</w:t>
      </w:r>
      <w:r w:rsidRPr="00BD5E91">
        <w:rPr>
          <w:b/>
          <w:bCs/>
          <w:sz w:val="22"/>
          <w:szCs w:val="22"/>
          <w:rtl/>
        </w:rPr>
        <w:t xml:space="preserve"> </w:t>
      </w:r>
    </w:p>
  </w:footnote>
  <w:footnote w:id="9004">
    <w:p w:rsidR="00007309" w:rsidRDefault="00007309" w:rsidP="00007309">
      <w:pPr>
        <w:pStyle w:val="a5"/>
      </w:pPr>
      <w:r>
        <w:rPr>
          <w:rStyle w:val="a7"/>
        </w:rPr>
        <w:footnoteRef/>
      </w:r>
      <w:r>
        <w:rPr>
          <w:rtl/>
        </w:rPr>
        <w:t xml:space="preserve"> </w:t>
      </w:r>
      <w:r w:rsidRPr="00BD5E91">
        <w:rPr>
          <w:b/>
          <w:bCs/>
          <w:sz w:val="22"/>
          <w:szCs w:val="22"/>
          <w:rtl/>
        </w:rPr>
        <w:t>מדיד אלף.</w:t>
      </w:r>
      <w:r w:rsidRPr="00BD5E91">
        <w:rPr>
          <w:sz w:val="22"/>
          <w:szCs w:val="22"/>
          <w:rtl/>
        </w:rPr>
        <w:t xml:space="preserve"> שהדעת הוא אלף אדרין וז"ש ויהי שירו חמשה ואלף חמשה ה' ה' עילאה רומא חמש ואלף דעת שהוא גנוז בבינה ובינה הוא שירה דלוים:</w:t>
      </w:r>
    </w:p>
  </w:footnote>
  <w:footnote w:id="9005">
    <w:p w:rsidR="00007309" w:rsidRDefault="00007309" w:rsidP="00007309">
      <w:pPr>
        <w:pStyle w:val="a5"/>
        <w:rPr>
          <w:b/>
          <w:bCs/>
          <w:sz w:val="22"/>
          <w:szCs w:val="22"/>
          <w:rtl/>
        </w:rPr>
      </w:pPr>
      <w:r>
        <w:rPr>
          <w:rStyle w:val="a7"/>
        </w:rPr>
        <w:footnoteRef/>
      </w:r>
      <w:r>
        <w:rPr>
          <w:rtl/>
        </w:rPr>
        <w:t xml:space="preserve"> </w:t>
      </w:r>
      <w:r w:rsidRPr="00BD5E91">
        <w:rPr>
          <w:b/>
          <w:bCs/>
          <w:sz w:val="22"/>
          <w:szCs w:val="22"/>
          <w:rtl/>
        </w:rPr>
        <w:t>שארי מלעילא כו'.</w:t>
      </w:r>
      <w:r w:rsidRPr="00BD5E91">
        <w:rPr>
          <w:sz w:val="22"/>
          <w:szCs w:val="22"/>
          <w:rtl/>
        </w:rPr>
        <w:t xml:space="preserve"> כאן מבאר מדת גלגלת הראש העיגול שלמעלה ואמר לתרין סטרין כו'. מתחיל מאמצע הראש ומדיד בעיגול לתרין סטרין וכל סטר הוא ש' זרתין וחצי ושליש נמצא כל עיגול הראש תר"א זרתין וב' שלישים:</w:t>
      </w:r>
      <w:r w:rsidRPr="00BD5E91">
        <w:rPr>
          <w:b/>
          <w:bCs/>
          <w:sz w:val="22"/>
          <w:szCs w:val="22"/>
          <w:rtl/>
        </w:rPr>
        <w:t xml:space="preserve"> </w:t>
      </w:r>
    </w:p>
    <w:p w:rsidR="00007309" w:rsidRDefault="00007309" w:rsidP="00007309">
      <w:pPr>
        <w:pStyle w:val="a5"/>
      </w:pPr>
      <w:bookmarkStart w:id="369" w:name="EntryPoint"/>
      <w:bookmarkStart w:id="370" w:name="ובסתרי"/>
      <w:bookmarkEnd w:id="369"/>
      <w:bookmarkEnd w:id="370"/>
    </w:p>
  </w:footnote>
  <w:footnote w:id="9006">
    <w:p w:rsidR="00007309" w:rsidRDefault="00007309" w:rsidP="00007309">
      <w:pPr>
        <w:pStyle w:val="a5"/>
        <w:rPr>
          <w:rtl/>
        </w:rPr>
      </w:pPr>
      <w:r>
        <w:rPr>
          <w:rStyle w:val="a7"/>
        </w:rPr>
        <w:footnoteRef/>
      </w:r>
      <w:r>
        <w:rPr>
          <w:rtl/>
        </w:rPr>
        <w:t xml:space="preserve"> </w:t>
      </w:r>
      <w:r w:rsidRPr="00BD5E91">
        <w:rPr>
          <w:b/>
          <w:bCs/>
          <w:sz w:val="22"/>
          <w:szCs w:val="22"/>
          <w:rtl/>
        </w:rPr>
        <w:t>סטרא דא כו'.</w:t>
      </w:r>
      <w:r w:rsidRPr="00BD5E91">
        <w:rPr>
          <w:sz w:val="22"/>
          <w:szCs w:val="22"/>
          <w:rtl/>
        </w:rPr>
        <w:t xml:space="preserve"> עכשיו מבאר רוחב השטח של ראש ואמר כמין חמש מזלגות יוצאין מב' צדדין וחמש אלו נאחזין בחמש אלו ואורך של המזלגות ש' טפחים וא' וחצי זרת נמצא אורך כל המזלגים שהוא שטח הראש ת"ר טפחים ושלש זרתין כמש"ו:</w:t>
      </w:r>
    </w:p>
  </w:footnote>
  <w:footnote w:id="9007">
    <w:p w:rsidR="00007309" w:rsidRDefault="00007309" w:rsidP="00007309">
      <w:pPr>
        <w:pStyle w:val="a5"/>
        <w:rPr>
          <w:rtl/>
        </w:rPr>
      </w:pPr>
      <w:r>
        <w:rPr>
          <w:rStyle w:val="a7"/>
        </w:rPr>
        <w:footnoteRef/>
      </w:r>
      <w:r>
        <w:rPr>
          <w:rtl/>
        </w:rPr>
        <w:t xml:space="preserve"> </w:t>
      </w:r>
      <w:r w:rsidRPr="00BD5E91">
        <w:rPr>
          <w:b/>
          <w:bCs/>
          <w:sz w:val="22"/>
          <w:szCs w:val="22"/>
          <w:rtl/>
        </w:rPr>
        <w:t>סטרא תניינא מדיד כו'.</w:t>
      </w:r>
      <w:r w:rsidRPr="00BD5E91">
        <w:rPr>
          <w:sz w:val="22"/>
          <w:szCs w:val="22"/>
          <w:rtl/>
        </w:rPr>
        <w:t xml:space="preserve"> חוזר למעלה למדידת עיגול הראש שביאר לעיל סטרא חדא ועכשיו אמר שכן הוא ג"כ </w:t>
      </w:r>
      <w:r w:rsidRPr="003B1288">
        <w:rPr>
          <w:sz w:val="22"/>
          <w:szCs w:val="22"/>
          <w:rtl/>
        </w:rPr>
        <w:t>סטרא תניינא:</w:t>
      </w:r>
    </w:p>
  </w:footnote>
  <w:footnote w:id="9008">
    <w:p w:rsidR="00007309" w:rsidRDefault="00007309" w:rsidP="00007309">
      <w:pPr>
        <w:pStyle w:val="a5"/>
        <w:rPr>
          <w:rtl/>
        </w:rPr>
      </w:pPr>
      <w:r>
        <w:rPr>
          <w:rStyle w:val="a7"/>
        </w:rPr>
        <w:footnoteRef/>
      </w:r>
      <w:r>
        <w:rPr>
          <w:rtl/>
        </w:rPr>
        <w:t xml:space="preserve"> </w:t>
      </w:r>
      <w:r w:rsidRPr="00BD5E91">
        <w:rPr>
          <w:b/>
          <w:bCs/>
          <w:sz w:val="22"/>
          <w:szCs w:val="22"/>
          <w:rtl/>
        </w:rPr>
        <w:t>ובסתרי אותיות.</w:t>
      </w:r>
      <w:r w:rsidRPr="00BD5E91">
        <w:rPr>
          <w:sz w:val="22"/>
          <w:szCs w:val="22"/>
          <w:rtl/>
        </w:rPr>
        <w:t xml:space="preserve"> בזוהר חדש דף ה' ע"ב</w:t>
      </w:r>
      <w:r>
        <w:rPr>
          <w:rFonts w:hint="cs"/>
          <w:sz w:val="22"/>
          <w:szCs w:val="22"/>
          <w:rtl/>
        </w:rPr>
        <w:t>,</w:t>
      </w:r>
      <w:r w:rsidRPr="00BD5E91">
        <w:rPr>
          <w:sz w:val="22"/>
          <w:szCs w:val="22"/>
          <w:rtl/>
        </w:rPr>
        <w:t xml:space="preserve"> אמר שם</w:t>
      </w:r>
      <w:r>
        <w:rPr>
          <w:rFonts w:hint="cs"/>
          <w:sz w:val="22"/>
          <w:szCs w:val="22"/>
          <w:rtl/>
        </w:rPr>
        <w:t>.</w:t>
      </w:r>
      <w:r w:rsidRPr="00BD5E91">
        <w:rPr>
          <w:sz w:val="22"/>
          <w:szCs w:val="22"/>
          <w:rtl/>
        </w:rPr>
        <w:t xml:space="preserve"> </w:t>
      </w:r>
      <w:r w:rsidRPr="00BE063A">
        <w:rPr>
          <w:b/>
          <w:bCs/>
          <w:sz w:val="22"/>
          <w:szCs w:val="22"/>
          <w:rtl/>
        </w:rPr>
        <w:t>ר"ש פתח כו'</w:t>
      </w:r>
      <w:r>
        <w:rPr>
          <w:rFonts w:hint="cs"/>
          <w:b/>
          <w:bCs/>
          <w:sz w:val="22"/>
          <w:szCs w:val="22"/>
          <w:rtl/>
        </w:rPr>
        <w:t>,</w:t>
      </w:r>
      <w:r w:rsidRPr="00BE063A">
        <w:rPr>
          <w:b/>
          <w:bCs/>
          <w:sz w:val="22"/>
          <w:szCs w:val="22"/>
          <w:rtl/>
        </w:rPr>
        <w:t xml:space="preserve"> </w:t>
      </w:r>
    </w:p>
  </w:footnote>
  <w:footnote w:id="9009">
    <w:p w:rsidR="00007309" w:rsidRDefault="00007309" w:rsidP="00007309">
      <w:pPr>
        <w:pStyle w:val="a5"/>
      </w:pPr>
      <w:r>
        <w:rPr>
          <w:rStyle w:val="a7"/>
        </w:rPr>
        <w:footnoteRef/>
      </w:r>
      <w:r>
        <w:rPr>
          <w:rtl/>
        </w:rPr>
        <w:t xml:space="preserve"> </w:t>
      </w:r>
      <w:r w:rsidRPr="00BE063A">
        <w:rPr>
          <w:b/>
          <w:bCs/>
          <w:sz w:val="22"/>
          <w:szCs w:val="22"/>
          <w:rtl/>
        </w:rPr>
        <w:t>באתוון רשימין כו'.</w:t>
      </w:r>
      <w:r w:rsidRPr="00BD5E91">
        <w:rPr>
          <w:sz w:val="22"/>
          <w:szCs w:val="22"/>
          <w:rtl/>
        </w:rPr>
        <w:t xml:space="preserve"> ר"ל ג' דרגין הם</w:t>
      </w:r>
      <w:r>
        <w:rPr>
          <w:rFonts w:hint="cs"/>
          <w:sz w:val="22"/>
          <w:szCs w:val="22"/>
          <w:rtl/>
        </w:rPr>
        <w:t>:</w:t>
      </w:r>
      <w:r w:rsidRPr="00BD5E91">
        <w:rPr>
          <w:sz w:val="22"/>
          <w:szCs w:val="22"/>
          <w:rtl/>
        </w:rPr>
        <w:t xml:space="preserve"> א'</w:t>
      </w:r>
      <w:r>
        <w:rPr>
          <w:rFonts w:hint="cs"/>
          <w:sz w:val="22"/>
          <w:szCs w:val="22"/>
          <w:rtl/>
        </w:rPr>
        <w:t>,</w:t>
      </w:r>
      <w:r w:rsidRPr="00BD5E91">
        <w:rPr>
          <w:sz w:val="22"/>
          <w:szCs w:val="22"/>
          <w:rtl/>
        </w:rPr>
        <w:t xml:space="preserve"> האותיות של השם</w:t>
      </w:r>
      <w:r>
        <w:rPr>
          <w:rFonts w:hint="cs"/>
          <w:sz w:val="22"/>
          <w:szCs w:val="22"/>
          <w:rtl/>
        </w:rPr>
        <w:t>,</w:t>
      </w:r>
      <w:r w:rsidRPr="00BD5E91">
        <w:rPr>
          <w:sz w:val="22"/>
          <w:szCs w:val="22"/>
          <w:rtl/>
        </w:rPr>
        <w:t xml:space="preserve"> שהן עצם של ע"ס. ב'</w:t>
      </w:r>
      <w:r>
        <w:rPr>
          <w:rFonts w:hint="cs"/>
          <w:sz w:val="22"/>
          <w:szCs w:val="22"/>
          <w:rtl/>
        </w:rPr>
        <w:t>,</w:t>
      </w:r>
      <w:r w:rsidRPr="00BD5E91">
        <w:rPr>
          <w:sz w:val="22"/>
          <w:szCs w:val="22"/>
          <w:rtl/>
        </w:rPr>
        <w:t xml:space="preserve"> קיומא דלהון כמ"ש למטה וכדין נהרין מגווה תמניא אחרנין וכלהו קיימין כו'. ג'</w:t>
      </w:r>
      <w:r>
        <w:rPr>
          <w:rFonts w:hint="cs"/>
          <w:sz w:val="22"/>
          <w:szCs w:val="22"/>
          <w:rtl/>
        </w:rPr>
        <w:t>,</w:t>
      </w:r>
      <w:r w:rsidRPr="00BD5E91">
        <w:rPr>
          <w:sz w:val="22"/>
          <w:szCs w:val="22"/>
          <w:rtl/>
        </w:rPr>
        <w:t xml:space="preserve"> רתיכין שהן הסמכין כמ"ש שם אשתכחו לאת יו"ד ט' סמכין על מה דאסתמיך וכלהו רתיכא לאת דא כו'. וז"ש אתרשים את בקיומיה סליק בגווה ההוא רתיכא כו': </w:t>
      </w:r>
    </w:p>
  </w:footnote>
  <w:footnote w:id="9010">
    <w:p w:rsidR="00007309" w:rsidRDefault="00007309" w:rsidP="00007309">
      <w:pPr>
        <w:pStyle w:val="a5"/>
      </w:pPr>
      <w:r>
        <w:rPr>
          <w:rStyle w:val="a7"/>
        </w:rPr>
        <w:footnoteRef/>
      </w:r>
      <w:r>
        <w:rPr>
          <w:rtl/>
        </w:rPr>
        <w:t xml:space="preserve"> </w:t>
      </w:r>
      <w:r w:rsidRPr="00BD5E91">
        <w:rPr>
          <w:b/>
          <w:bCs/>
          <w:sz w:val="22"/>
          <w:szCs w:val="22"/>
          <w:rtl/>
        </w:rPr>
        <w:t xml:space="preserve">ברזא דרתיכין קדישין בארבע סטרי עלמא. </w:t>
      </w:r>
      <w:r w:rsidRPr="00BD5E91">
        <w:rPr>
          <w:sz w:val="22"/>
          <w:szCs w:val="22"/>
          <w:rtl/>
        </w:rPr>
        <w:t>ר"ל שכל רתיכא הוא לד' סטרין כי מרכבה הוא ד' חיות לד' סטרין כידוע כמ"ש לקמן דף ו' ע"ב ואע"ג דלית רתיכא אלא בארבע כו' ואע"ג  דאיהי בארבע כו' ויתבאר שם:</w:t>
      </w:r>
    </w:p>
  </w:footnote>
  <w:footnote w:id="9011">
    <w:p w:rsidR="00007309" w:rsidRDefault="00007309" w:rsidP="00007309">
      <w:pPr>
        <w:pStyle w:val="a5"/>
        <w:rPr>
          <w:rtl/>
        </w:rPr>
      </w:pPr>
      <w:r>
        <w:rPr>
          <w:rStyle w:val="a7"/>
        </w:rPr>
        <w:footnoteRef/>
      </w:r>
      <w:r>
        <w:rPr>
          <w:rtl/>
        </w:rPr>
        <w:t xml:space="preserve"> </w:t>
      </w:r>
      <w:r w:rsidRPr="00BD5E91">
        <w:rPr>
          <w:b/>
          <w:bCs/>
          <w:sz w:val="22"/>
          <w:szCs w:val="22"/>
          <w:rtl/>
        </w:rPr>
        <w:t>רזא דאת קדמאה.</w:t>
      </w:r>
      <w:r w:rsidRPr="00BD5E91">
        <w:rPr>
          <w:sz w:val="22"/>
          <w:szCs w:val="22"/>
          <w:rtl/>
        </w:rPr>
        <w:t xml:space="preserve"> ר"ל אות יו"ד של השם:</w:t>
      </w:r>
    </w:p>
  </w:footnote>
  <w:footnote w:id="9012">
    <w:p w:rsidR="00007309" w:rsidRDefault="00007309" w:rsidP="00007309">
      <w:pPr>
        <w:pStyle w:val="a5"/>
        <w:rPr>
          <w:rtl/>
        </w:rPr>
      </w:pPr>
      <w:r>
        <w:rPr>
          <w:rStyle w:val="a7"/>
        </w:rPr>
        <w:footnoteRef/>
      </w:r>
      <w:r>
        <w:rPr>
          <w:rtl/>
        </w:rPr>
        <w:t xml:space="preserve"> </w:t>
      </w:r>
      <w:r w:rsidRPr="00BD5E91">
        <w:rPr>
          <w:b/>
          <w:bCs/>
          <w:sz w:val="22"/>
          <w:szCs w:val="22"/>
          <w:rtl/>
        </w:rPr>
        <w:t>לגבי עלמין.</w:t>
      </w:r>
      <w:r w:rsidRPr="00BD5E91">
        <w:rPr>
          <w:sz w:val="22"/>
          <w:szCs w:val="22"/>
          <w:rtl/>
        </w:rPr>
        <w:t xml:space="preserve"> נ"ל דצ"ל עלאין:</w:t>
      </w:r>
    </w:p>
  </w:footnote>
  <w:footnote w:id="9013">
    <w:p w:rsidR="00007309" w:rsidRDefault="00007309" w:rsidP="00007309">
      <w:pPr>
        <w:pStyle w:val="a5"/>
      </w:pPr>
      <w:r>
        <w:rPr>
          <w:rStyle w:val="a7"/>
        </w:rPr>
        <w:footnoteRef/>
      </w:r>
      <w:r>
        <w:rPr>
          <w:rtl/>
        </w:rPr>
        <w:t xml:space="preserve"> </w:t>
      </w:r>
      <w:r w:rsidRPr="00BD5E91">
        <w:rPr>
          <w:b/>
          <w:bCs/>
          <w:sz w:val="22"/>
          <w:szCs w:val="22"/>
          <w:rtl/>
        </w:rPr>
        <w:t>ברעו דמחשבה.</w:t>
      </w:r>
      <w:r w:rsidRPr="00BD5E91">
        <w:rPr>
          <w:sz w:val="22"/>
          <w:szCs w:val="22"/>
          <w:rtl/>
        </w:rPr>
        <w:t xml:space="preserve"> הוא מוחא סתימאה חכמה קדומה שבכתר שחכמה הוא מחשבה וכתר רעותא כידוע ולכן חכמה שבכתר קוראה רעו דמחשבה וחכמה תתאה סלקא למחשבה עלאה כמ"ש בפ' פקודי בסופו ובפ' נח ובכמה מקומות וכמ"ש למטה בארוכה:</w:t>
      </w:r>
    </w:p>
  </w:footnote>
  <w:footnote w:id="9014">
    <w:p w:rsidR="00007309" w:rsidRDefault="00007309" w:rsidP="00007309">
      <w:pPr>
        <w:pStyle w:val="a5"/>
        <w:rPr>
          <w:rtl/>
        </w:rPr>
      </w:pPr>
      <w:r>
        <w:rPr>
          <w:rStyle w:val="a7"/>
        </w:rPr>
        <w:footnoteRef/>
      </w:r>
      <w:r>
        <w:rPr>
          <w:rtl/>
        </w:rPr>
        <w:t xml:space="preserve"> </w:t>
      </w:r>
      <w:r w:rsidRPr="00BD5E91">
        <w:rPr>
          <w:b/>
          <w:bCs/>
          <w:sz w:val="22"/>
          <w:szCs w:val="22"/>
          <w:rtl/>
        </w:rPr>
        <w:t>אתחפייא תחותיה חד אגוזא.</w:t>
      </w:r>
      <w:r w:rsidRPr="00BD5E91">
        <w:rPr>
          <w:sz w:val="22"/>
          <w:szCs w:val="22"/>
          <w:rtl/>
        </w:rPr>
        <w:t xml:space="preserve"> הוא חלל הפה שחכמה הוא מוחא ותחתיו חלל הפה ונק' אגוזא כמ"ש תהו קו ירוק הוא קליפה ירוקא דאגוזא, בהו - אבנים מפולמות הוא קליפה הקשה כאבן של אגוזא וחשך הוא קליפה דקיקא שבפנים לקליפה הקשה, על פני תהום הוא חללא דאגוזא והוא הפה שנק' תהום כמ"ש בתז"ח דף ע"ט ע"ב ההוא קלא אשתכך כו' גו תהומא כו' ע"ש כי מוחא נק' ימא ופה תהום וז"ס ים ותהום בכל הפסוקים והמאמרים של ים ותהום ואלו ד' קליפין של אגוז הן ד' גוונין של האותיות שבתוך התהום כמ"ש תהו גוון ירוק בהו גוון חיוור חושך גוון סומק כו' והן גוונין חשוכין עד שנתגלה מאמר יהי אור דנהיר לגוונין כמו שמפורסם בתיקונים ובתז"ח וכבר נתפרש במאמר הנ"ל היאך כל כ"ב האותיות יצאו בתוך תהומא שהן אורייתא כמש"ל ואמר בס"י פ"א חקק וחצב בהן עשרים ושתים אותיות מתהו ובהו רפש וטיט שהן ד' גוונין כי רפש וטיט הם חשך על פני כו' וקודם האור היו גוונין חשוכין כי הם במלכות ושם רגליה כו' והיתה מלובש בקליפין כמ"ש בס"ד פ"א והארץ תניינא כו' ומההוא דאתלטייא נפקא ואמר שם וכלא אתחרב בתריסר שעתי תליסר יקים לון כקדמיתא כו' ור"ל שהן י"ג תיבות מהיתה עד סוף הפסוק וכמ"ש כבר כי י"ב מזלות הן י"ב שבטין דילה י"ב בקר והן י"ב פרקי גופא שהן ב' דרועין וב' רגלין שעליהן עומד הים למעלה כמ"ש בזוהר ויחי כנ"ל והן מע"ב פרקי גופא עיקרן ומנהיגין דלהון והן י"ב אותיות של מילוי מנצפ"ך שהן ה"ג המקיימן ויסודן כמ"ש בז"ח ש"ה ע"ב אתוון של כ"ב אתוון ע"ש וכנגד זה אשתהי הכ"ב אתון י"ב חדשים בעיבור בתהום הנ"ל כמ"ש במאמר קו המדה ע"ש והן ד' אתוון של השם שהוא י"ב אותיות של מלך מלך ימלוך ג' חיוון הידועים שכלל כולם הוא אדם הגוף מלמעלן והוא התליסר יקים לון כמ"ש בא"ר דלא אתקיימו עד דאתתקנו בכללא דאדם ששם הוא חיבור דו"נ ואלין י"ב הן רתיכין דילה והוא מ"ש בפ' בראשית דף ט"ז ע"א והארץ היתה כו' היתה מקדמת דנא. ר"ל בעולם התהו ששם ארעא אתבטלת כמ"ש בס"ד פ"א לפי שבעולם התהו יצאו בבוצינא דקרדינותא ולא אתערבו באוירא דכיא כמ"ש בתחלה עלה במחשבה כו' ושם יצאו כל הגוונין ולא יצאו הנביעו דמניה אצטבעו גוונין כמ"ש בתחלת בראשית והיו גוונין חשוכין וידוע שכל הגוונין הוא במלכות כמ"ש בדף א' ע"ב וכדין נראו בארץ ואתגלו תמן וידוע שכל הגוונין הן מסט' דגבורה ונהורא מסט' דחסד ולכן הן בה וכמ"ש לקמן דף י"ח ע"ב ואינון גוונין דאתחזין בההוא דמות חיור וסומק וירוק כן כו' ע"ש:</w:t>
      </w:r>
    </w:p>
  </w:footnote>
  <w:footnote w:id="9015">
    <w:p w:rsidR="00007309" w:rsidRDefault="00007309" w:rsidP="00007309">
      <w:pPr>
        <w:pStyle w:val="a5"/>
      </w:pPr>
      <w:r>
        <w:rPr>
          <w:rStyle w:val="a7"/>
        </w:rPr>
        <w:footnoteRef/>
      </w:r>
      <w:r>
        <w:rPr>
          <w:rtl/>
        </w:rPr>
        <w:t xml:space="preserve"> </w:t>
      </w:r>
      <w:r w:rsidRPr="00BD5E91">
        <w:rPr>
          <w:b/>
          <w:bCs/>
          <w:sz w:val="22"/>
          <w:szCs w:val="22"/>
          <w:rtl/>
        </w:rPr>
        <w:t>(חוזר לביאור דס"א הנ"ל):</w:t>
      </w:r>
      <w:r w:rsidRPr="00BD5E91">
        <w:rPr>
          <w:sz w:val="22"/>
          <w:szCs w:val="22"/>
          <w:rtl/>
        </w:rPr>
        <w:t xml:space="preserve"> </w:t>
      </w:r>
      <w:r w:rsidRPr="00BD5E91">
        <w:rPr>
          <w:b/>
          <w:bCs/>
          <w:sz w:val="22"/>
          <w:szCs w:val="22"/>
          <w:rtl/>
        </w:rPr>
        <w:t>אגוזא דחפייא כו'.</w:t>
      </w:r>
      <w:r w:rsidRPr="00BD5E91">
        <w:rPr>
          <w:sz w:val="22"/>
          <w:szCs w:val="22"/>
          <w:rtl/>
        </w:rPr>
        <w:t xml:space="preserve"> דחפייא לההוא את למוחא:</w:t>
      </w:r>
      <w:r w:rsidRPr="00BD5E91">
        <w:rPr>
          <w:b/>
          <w:bCs/>
          <w:sz w:val="22"/>
          <w:szCs w:val="22"/>
          <w:rtl/>
        </w:rPr>
        <w:t xml:space="preserve"> ואיהי רתיכא דקיימא כו'.</w:t>
      </w:r>
      <w:r w:rsidRPr="00BD5E91">
        <w:rPr>
          <w:sz w:val="22"/>
          <w:szCs w:val="22"/>
          <w:rtl/>
        </w:rPr>
        <w:t xml:space="preserve"> ר"ל תחת המוחא:</w:t>
      </w:r>
      <w:r w:rsidRPr="00BD5E91">
        <w:rPr>
          <w:b/>
          <w:bCs/>
          <w:sz w:val="22"/>
          <w:szCs w:val="22"/>
          <w:rtl/>
        </w:rPr>
        <w:t xml:space="preserve"> וההוא את כו'.</w:t>
      </w:r>
      <w:r w:rsidRPr="00BD5E91">
        <w:rPr>
          <w:sz w:val="22"/>
          <w:szCs w:val="22"/>
          <w:rtl/>
        </w:rPr>
        <w:t xml:space="preserve"> ר"ל מוחא טמיר וגניז:</w:t>
      </w:r>
      <w:r w:rsidRPr="00BD5E91">
        <w:rPr>
          <w:b/>
          <w:bCs/>
          <w:sz w:val="22"/>
          <w:szCs w:val="22"/>
          <w:rtl/>
        </w:rPr>
        <w:t xml:space="preserve"> נקודה חדא תחותיה.</w:t>
      </w:r>
      <w:r w:rsidRPr="00BD5E91">
        <w:rPr>
          <w:sz w:val="22"/>
          <w:szCs w:val="22"/>
          <w:rtl/>
        </w:rPr>
        <w:t xml:space="preserve"> ר"ל תחת האות והוא סיום האות דקיימא בגניזו וההיא נקודה הוא חיך דעבדא בניינא בגרון כמ"ש בתז"ח שם ובפ' נח ע"ש:</w:t>
      </w:r>
      <w:r w:rsidRPr="00BD5E91">
        <w:rPr>
          <w:b/>
          <w:bCs/>
          <w:sz w:val="22"/>
          <w:szCs w:val="22"/>
          <w:rtl/>
        </w:rPr>
        <w:t xml:space="preserve"> וההוא אגוזא קיימא בשית סמכין וסמכין לה בשית סט'.</w:t>
      </w:r>
      <w:r w:rsidRPr="00BD5E91">
        <w:rPr>
          <w:sz w:val="22"/>
          <w:szCs w:val="22"/>
          <w:rtl/>
        </w:rPr>
        <w:t xml:space="preserve"> שית סמכין הוא הלשון קשרא תניינא כי חיך הוא קשרא קדמאה ולשון קשרא תניינא והוא ו' ו"ק כמ"ש בס"ד לישן ו' כו' וכן בתז"ח שם ברזא דוא"ו דאיהו לישן כו' האי קלא דאיהו וא"ו לישן כו' ובו ו"ק קול יעקב עד"א כנ"ל וז"ש אינון שית סטרין גניזין כו':</w:t>
      </w:r>
      <w:r w:rsidRPr="00BD5E91">
        <w:rPr>
          <w:b/>
          <w:bCs/>
          <w:sz w:val="22"/>
          <w:szCs w:val="22"/>
          <w:rtl/>
        </w:rPr>
        <w:t xml:space="preserve"> נפקא רתיכא חד קדישא.</w:t>
      </w:r>
      <w:r w:rsidRPr="00BD5E91">
        <w:rPr>
          <w:sz w:val="22"/>
          <w:szCs w:val="22"/>
          <w:rtl/>
        </w:rPr>
        <w:t xml:space="preserve"> הוא קשרא תליתאה השינים מגדל עוז שם ה' ולכן נק' מגדלא תקיפא כמ"ש בתז"ח שם ובה ד' סטרין ואיהי רתיכא באמת ושם הדיבור כמ"ש שם והם יוצאין הכל מתוך המחשבה כמ"ש בזוהר פ' שמות אתי מלבנון כלה תבואי קול אמר לדיבור אתי מלבנון מעדן תבואי מרזא דמחשבה כו' והוא סוד יו"ד במלואו כמ"ש בא"ז יו"ד כליל אתוון אחרנין י' רישא וסיפא דכלא. ר"ל חכמה שהיא כלל כולם הוא רישא שירותא וסיפא מלכות שנק' ג"כ חכמה וההוא נהר דנגיד ונפיק אקרי עלמא דאתי כו' והכל נכלל בי' עצמו כי היא כלולה בקוצא תתאה דיו"ד כמ"ש בפ' ויקרא ואמר ו"ד כלילן ביו"ד אלא נטיעה דגנתא אקרי ור"ל עד"א כמ"ש בפ' בראשית ואינון נטיען דנטען כו' אית גנתא אחרא דאיהי ד' ומהאי ו' אתשקייא ד' דאיהי ארבעה והיינו רזא דכתיב ונהר יוצא מעדן מאן הוא עדן דא חכמה עלאה ודאי י' להשקות את הגן כו' לארבעה ראשים דא הוא ד' וזהו אלין קשרין חיך וגרון חו"ב כלילן בי' לישן בו' גנתא רתיכא שהוא בארבעה מגדלא דשינין ד' והכל יו"ד עלאה ו"ד הן סמכין ורתיכא של י' והן מילואו וכאן נכלל כל השם ביו"ד כי בי' נכלל ג"כ ה"א עלאה כנ"ל בשביל שבו קוץ התחתון וכמ"ש בפ' ויקרא שם ו"ד זו"נ ד"ו פרצופים והן סוד מחשבה וקול ודיבור:</w:t>
      </w:r>
      <w:r w:rsidRPr="00BD5E91">
        <w:rPr>
          <w:b/>
          <w:bCs/>
          <w:sz w:val="22"/>
          <w:szCs w:val="22"/>
          <w:rtl/>
        </w:rPr>
        <w:t xml:space="preserve"> וההוא רתיכא טמיר וגליא.</w:t>
      </w:r>
      <w:r w:rsidRPr="00BD5E91">
        <w:rPr>
          <w:sz w:val="22"/>
          <w:szCs w:val="22"/>
          <w:rtl/>
        </w:rPr>
        <w:t xml:space="preserve"> כמ"ש רש"י (ב"ק ג ע"א) על פ' יבער הגלל שהן השיני' שפעמים נכסים ופעמים נגלים, כשהדיבור יוצא אז נגלה וז"ש לעיל ולא אתגליא בר כד נהיר נהירו דההוא אגוזא טמירא כשהפה נפתחת לדבר וז"ס אל גנת אגוז אגוז כנ"ל וגנת הוא הגנתא הנ"ל ונהר יוצא מעדן להשקות את הגן ו' לישן שם ירדתי לראות באבי הנחל ששם אבי הנחל של הנהר הנ"ל לראות הפרחה הגפן כו' כי שם גדולן של הנטיעות כמ"ש במאמר קו המדה ובא"ז שם לראות הפרחה הגפן הנצו הרמונים כי שם שבע כפולות ז' מינים דקרא ונקט כאן גפן ורמון כי אימא עלאה עד הוד אתפשטת והן סיומן של קול עלאה חג"ת ותתאה נה"י ויסוד כלל כולן כי עד הוד אתפשטת לבד לא ידעתי נפשי שמתני מרכבות עמי נדיב נפשי הוא מגדלא דשינין שם הנפש ושם מרכבות רתיכא קדישא כנ"ל עמי נדיב כמ"ש (סוכה מט ע"ב) בת נדיב בתו של א"א והיא נק' ברתי' דא"א כידוע:</w:t>
      </w:r>
      <w:r w:rsidRPr="00BD5E91">
        <w:rPr>
          <w:b/>
          <w:bCs/>
          <w:sz w:val="22"/>
          <w:szCs w:val="22"/>
          <w:rtl/>
        </w:rPr>
        <w:t xml:space="preserve"> לבתר אתפשט ההוא נציצו כו'.</w:t>
      </w:r>
      <w:r w:rsidRPr="00BD5E91">
        <w:rPr>
          <w:sz w:val="22"/>
          <w:szCs w:val="22"/>
          <w:rtl/>
        </w:rPr>
        <w:t xml:space="preserve"> והן סוד ט' נקודות שבתחלה אזדרע בג' נקודות חולם שורק חירק שהן כלל הנקודות כמ"ש בז"ח ש"ה והן כלל העולמות ג' עולמות בי"ע וכן בינה עד"א מלכות ג' שמות אקיק הויה אדנ"י ג' אמ"ש בשנה עולם נפש ועבס"י נר"נ שהן כלל כולם וכמ"ש בז"ח ש"ה שם שהן ראש בטן גויה ששם נר"נ במוח לב וכבד וכל אלו מתחלקין לג' אחרנין שהן ט' ונקודה עלאה טמירא משלמת ליוד נקודות וכן הספירות מתחלק בתחלה לתלת ואלו מתחלקים כ"א לתלת כידוע בימין ושמאל ואמצע וכן אצל כ"ז אותיות וחיון קדישין כמ"ש בפ' ויקהל ע"ש:</w:t>
      </w:r>
      <w:r w:rsidRPr="00BD5E91">
        <w:rPr>
          <w:b/>
          <w:bCs/>
          <w:sz w:val="22"/>
          <w:szCs w:val="22"/>
          <w:rtl/>
        </w:rPr>
        <w:t xml:space="preserve"> וכדין נהרין מגווה תמניא אחרנין כו'.</w:t>
      </w:r>
      <w:r w:rsidRPr="00BD5E91">
        <w:rPr>
          <w:sz w:val="22"/>
          <w:szCs w:val="22"/>
          <w:rtl/>
        </w:rPr>
        <w:t xml:space="preserve"> אלו הן קיומין דילה כמש"ו וכלהו קיימין וט' שאמר לעיל הן רתיכין דילה ולכן אמר כאן מגווה ולעיל אמר תחותה וז"ס חול ח' כי שם ח' נהורין הנ"ל ו' כי שם ו"ק ו' נקודות כי ג"ר הן מוחין והן יוצאין מגרון קודם שבאין ללישן כמ"ש בתז"ח שם ושני ליה בתלת גוונין באשא ברוחא במיא ונקט כסדר חולם שורק חירק ראש בטן גויה ראש מאש גויה מרוח בטן ממים וכן בכולם ושדי ליה לקשרא דלישן כו' ולמ"ד כי שם כ"ב אתוון שהן ג' גוונים ויצק עליהם שלג בחכמה יסד ארץ כנ"ל ושם תמניא הנ"ל ועם כ"ב אתוון הנ"ל הן למ"ד וע"י זה אתבני:</w:t>
      </w:r>
      <w:r w:rsidRPr="00BD5E91">
        <w:rPr>
          <w:b/>
          <w:bCs/>
          <w:sz w:val="22"/>
          <w:szCs w:val="22"/>
          <w:rtl/>
        </w:rPr>
        <w:t xml:space="preserve"> אלין תשע סמכין כו'.</w:t>
      </w:r>
      <w:r w:rsidRPr="00BD5E91">
        <w:rPr>
          <w:sz w:val="22"/>
          <w:szCs w:val="22"/>
          <w:rtl/>
        </w:rPr>
        <w:t xml:space="preserve"> ר"ל אותן תשע שאמר לעיל אשתכחו לאת יו"ד כו':</w:t>
      </w:r>
      <w:r w:rsidRPr="00BD5E91">
        <w:rPr>
          <w:b/>
          <w:bCs/>
          <w:sz w:val="22"/>
          <w:szCs w:val="22"/>
          <w:rtl/>
        </w:rPr>
        <w:t xml:space="preserve"> בגין דאינון.</w:t>
      </w:r>
      <w:r w:rsidRPr="00BD5E91">
        <w:rPr>
          <w:sz w:val="22"/>
          <w:szCs w:val="22"/>
          <w:rtl/>
        </w:rPr>
        <w:t xml:space="preserve"> צ"ל אינון כו' ור"ל אותן שאמר לעיל וכדין נהרין מגווה כו' והן נקראין א"ס כמ"ש בפ' (בראשית) נח דף ס"ה וסוף פ' פקודי וכלהו נהורין מרזא דמחשבה עלאה ולתתא אקרון א"ס ולקמן ט' ב' י' נקודה חד עלאה דקיימא על ט' סמכין כמא דאוקימנא אלין כו' ואינון ט' נקודין כו' ואינון רתיכא לט' אחרנין דאינון רזא דא"ס וכלהו קיימין ליו"ד כו' ובתז"ח דף ע"ט ע"א תשע נקודין באורייתא כו' אלין אקרון א"ס ושם ע"ב תשע נקודין דשלטין על אתוון אינון א"ס כו' ואמר סלקין בשמא ולא סלקין כמ"ש שם דף ט' כנ"ל לא אקרון בשמהן רק ברתיכין דלהון ואלו הן י"ח אלף עולמות:</w:t>
      </w:r>
      <w:r w:rsidRPr="00BD5E91">
        <w:rPr>
          <w:b/>
          <w:bCs/>
          <w:sz w:val="22"/>
          <w:szCs w:val="22"/>
          <w:rtl/>
        </w:rPr>
        <w:t xml:space="preserve"> וחנותי את אשר כו'.</w:t>
      </w:r>
      <w:r w:rsidRPr="00BD5E91">
        <w:rPr>
          <w:sz w:val="22"/>
          <w:szCs w:val="22"/>
          <w:rtl/>
        </w:rPr>
        <w:t xml:space="preserve"> ר"ל שאין מכיר אלא אני:</w:t>
      </w:r>
      <w:r w:rsidRPr="00BD5E91">
        <w:rPr>
          <w:b/>
          <w:bCs/>
          <w:sz w:val="22"/>
          <w:szCs w:val="22"/>
          <w:rtl/>
        </w:rPr>
        <w:t xml:space="preserve"> בגין דהוו מקדמת דרגא דיליה.</w:t>
      </w:r>
      <w:r w:rsidRPr="00BD5E91">
        <w:rPr>
          <w:sz w:val="22"/>
          <w:szCs w:val="22"/>
          <w:rtl/>
        </w:rPr>
        <w:t xml:space="preserve"> שדרגא דיליה בינה:</w:t>
      </w:r>
      <w:r w:rsidRPr="00BD5E91">
        <w:rPr>
          <w:b/>
          <w:bCs/>
          <w:sz w:val="22"/>
          <w:szCs w:val="22"/>
          <w:rtl/>
        </w:rPr>
        <w:t xml:space="preserve"> דההוא נציצו קדמאה כתיב לפניך.</w:t>
      </w:r>
      <w:r w:rsidRPr="00BD5E91">
        <w:rPr>
          <w:sz w:val="22"/>
          <w:szCs w:val="22"/>
          <w:rtl/>
        </w:rPr>
        <w:t xml:space="preserve"> ר"ל על ההוא נצוצא קדמאה שהוא נקודה הראשונה כמש"ל וההוא נציצו כד משחתא כו' ואיהי נקודה חדא ור"ל לפניך שכתיב הנני עומד לפניך כו' וחנותי את כו' שרצה לידע דרכיו של הקב"ה ואמר הנני עומד לפניך שמעלה זו לפניך כנ"ל:</w:t>
      </w:r>
      <w:r w:rsidRPr="00BD5E91">
        <w:rPr>
          <w:b/>
          <w:bCs/>
          <w:sz w:val="22"/>
          <w:szCs w:val="22"/>
          <w:rtl/>
        </w:rPr>
        <w:t xml:space="preserve"> וכן כלהו קיימין כו'.</w:t>
      </w:r>
      <w:r w:rsidRPr="00BD5E91">
        <w:rPr>
          <w:sz w:val="22"/>
          <w:szCs w:val="22"/>
          <w:rtl/>
        </w:rPr>
        <w:t xml:space="preserve">  שאמר לעיל וכדין נהרין מגווה כו' וכלהו קיימין כו' וכן כל הט' סמכין ונכלל במ"ש לעיל דההוא נציצו קדמאה כו':</w:t>
      </w:r>
      <w:r w:rsidRPr="00BD5E91">
        <w:rPr>
          <w:b/>
          <w:bCs/>
          <w:sz w:val="22"/>
          <w:szCs w:val="22"/>
          <w:rtl/>
        </w:rPr>
        <w:t xml:space="preserve"> סלקא את דא באלין סמכין לעילא בטש מאן דבטש דלא ידיע וא"ס נהיר ולא נהיר.</w:t>
      </w:r>
      <w:r w:rsidRPr="00BD5E91">
        <w:rPr>
          <w:sz w:val="22"/>
          <w:szCs w:val="22"/>
          <w:rtl/>
        </w:rPr>
        <w:t xml:space="preserve"> כמ"ש בפ' בראשית ופקודי שם וכדין בטש האי נהירו דמחשבה דלא אתיידע בנהירו דפריסא כו' רעותא דכל תשע נהורין דקיימי כלהו במחשבה כו' כד סליק כלא כו' קיימי כלהו בסליקו ומחשבה אתעטר בא"ס כו' ובא"ז דף רפ"ט ע"ב בטש מאן דבטש בהאי מוחא כו' ושם ע"א וההוא רישא סתימא כו' פשיט חד טורנא כו' בטש בהאי מוחא כו' ע"ש וז"ש סלקא כו' שסליק מחשבה חכמה בא"ס אל מ"ס ובטש נהירו דפריסו במ"ס וז"ש וא"ס נהיר ולא נהיר וכצ"ל במאמר הנ"ל וכדין בטש האי נהירו כו' ולא אתגלייא וכדין נהירו דפריסו בטש בנהירו דא דמחשבה כו' והן דוגמת מ"נ ומ"ד שקודם צריך להתעוררות מ"נ ואמר ונחתא ולא ידיעא ר"ל חכמה את יו"ד נחתא ולא ידיעא ממאן דנהיר וכמ"ש כד נהיר מחשבה ולא ידע ממאן נהיר כו' כדין אתלביש ואסתים גו בינה וז"ש כאן ואתפשט וכד אתפשט נפק חד נהורא כו' ר"ל בינה ובריש דף ט"ו אמר בריש הורמנותא דמלכא. הורמנותא עבתז"ח דף פ"ט ע"ד א' הימנו דחד הורמנותא. וריש הורמנותא הוא דבר שראשית לו והוא שאמר שם וחד טמיר ולא ידיע. דמלכא הוא רדל"א ז"ת דמ' א"ק שבה מתלבש א"ס ע"י חד טמיר דא"ק ומתלבש בהורמנותא דאצילות כמ"ש מה רבו מעשיך כו' שלכן כתיב ואת צנועים חכמה שהצניעות הוא כמ"ש בפ' פקודי ד' רל"ט ע"א לאצנעא בההוא צניעו כו' וז"ש ספרא דצניעותא שספר הראשון מג' ספרים בו הצניעות כנ"ל ונק' ספר כמ"ש בפ' תרומה דף קל"ז ע"ב מרזא דספר עלאה כו' וזהו הורמנותא דמלכא וכל ע"ס נכלל בו כמ"ש בפ' ויקרא ד"י ע"ב א"ל על י' קיימי כו' אשתכח די' עיקרא ושרשא כו' וכלהו סתימין בי'. ואמר בריש כמו ב' של בראשית עם ראשית ברא כו' כמש"ל כן בריש כמ"ש בא"ז ד' רפ"ט ע"ב כד אתתקן חוורא דא בנהירו דא כו' ושם ע"א וההוא רישא סתימא דברישא כו' בטש בהאי מוחא ואתגליף כו' ורדל"א הוא ריש הומנותא והוא גליף גליפו כו' כמ"ש שם בטש כו' ואתגליף כו' ואמר במאמר קו המדה נהורא דלא קיימא בנהורא ר"ל שאינו מלובש והוא רדל"א גליף כו' והוא ע"י חד טורנא ר"ל עטרה ב' עטרין דגניזין באו"א ואמר שם ואתגליף ואתנהיר שהן ב' עטרין כמ"ש למטה:</w:t>
      </w:r>
      <w:r w:rsidRPr="00BD5E91">
        <w:rPr>
          <w:b/>
          <w:bCs/>
          <w:sz w:val="22"/>
          <w:szCs w:val="22"/>
          <w:rtl/>
        </w:rPr>
        <w:t xml:space="preserve"> גליף גליפו בטהירו עלאה.</w:t>
      </w:r>
      <w:r w:rsidRPr="00BD5E91">
        <w:rPr>
          <w:sz w:val="22"/>
          <w:szCs w:val="22"/>
          <w:rtl/>
        </w:rPr>
        <w:t xml:space="preserve"> כל חקיקה הוא סט' דגבורה וז"ש אתגליף ואתנהיר שכל נהורא סט' דחסד ושם ב' עטרין כנ"ל. טהירו הוא מ"ס ששם שורש השמרים כמ"ש בא"ר דף קכ"ח ע"ב כחמר טב כו' וכן יין כידוע ושם הגליפו ונק' טהירו כי צהרים עת הגבורות שמש בגבורתו מנחת ערב ונק' כל דאתי מסט' טהירין ואמר בתז"ח דף צ' ע"א גליף גליפו טהירו דטהירו דכיא כו' ואמר טהירו עלאה שהיא מחשבה עלאה וגם מחשבה תתאה נק' כן כמ"ש (ישעיהו מג טז) ובמים עזים נתיבה והן ל"ב הידועין והאי גליפו הוא ע"י טורנא דבטש כנ"ל והן זו"נ חו"ג אוירא ומ"ס ואתנהיר באוירא ואתגליף במ"ס. ואמר גליף גליפו ב' מינים ט' וט' שהן ט' היכלין להיכלין לאו אינון נהורין כו' כמ"ש בפ' בראשית דף ס"ה ע"א ונהרין כחדא ואתעבידו תשע היכלין כו' וכן בסוף פקודי ע"ש והן ט' שנקרא א"ס וט' סמכין לי' סלקין בשמא ולא סלקין כמ"ש בז"ח ד"ה ע"ב אלין תשע סמכין כו' בגין אינון תשע כו' ובדף ט' ע"ב י' נקודה עלאה דקיימא על ט' כו' עד רזא דא"ס ע"ש ובתז"ח דע"ט ע"א וע"ב תשע נקודין כו' אלין אקרון א"ס כו' ט' נקודין דשלטין על אתוון אינון כו' ואמר בפ' בראשית ופקודי שם רעותא דכל תשע נהורין דקיימי כלהו במחשבה כו'. ר"ל מחשבה תתאה והני תשע הן ט' סמכין דנפקין תחות יו"ד והן רדפין אחר ט' עלאין הנ"ל ולא מתדבקין ט' עלאין:</w:t>
      </w:r>
      <w:r w:rsidRPr="00BD5E91">
        <w:rPr>
          <w:b/>
          <w:bCs/>
          <w:sz w:val="22"/>
          <w:szCs w:val="22"/>
          <w:rtl/>
        </w:rPr>
        <w:t xml:space="preserve"> בוצינא דקרדינותא נפיק גו סתים דסתימו מרזא דא"ס.</w:t>
      </w:r>
      <w:r w:rsidRPr="00BD5E91">
        <w:rPr>
          <w:sz w:val="22"/>
          <w:szCs w:val="22"/>
          <w:rtl/>
        </w:rPr>
        <w:t xml:space="preserve"> ר"ל שהבוצינא הוא אור דמחשבה עלאה דמחשבה לא ידע כמ"ש בפ' נח ופקודי שם והמחשבה הוא נוק' גבורה ואור שלו הוא בוצינא דקרדינותא לשון חוזק וחושך כידוע אצל נוק' וגבורה ואותו הבוצינא נפק אל אוירא עלאה רוחא דגניז בע"י במצח הרצון בין קרומי' והוא נק' סתים דסתימו שגנוז מאד מאד עד שנק' אין לרוב העלמו כמ"ש שם וכן אבא שנאצל ממנו הוא טמיר יתיר מאמא שנאצלה מהמחשבה עלאה אע"ג שגם אבא יצא מהמחשבה מ"מ עיקר מן האוירא רק שנצטייר במעי נוק'  במחשבה עלאה כמ"ש בא"ז והאי אבא מרוחא דגניז בע"י כו' ע"ש ואותו רוח הוא מרדל"א כמ"ש בא"ז והאי רישא סתימו כו' פשיט חד כו' כנ"ל ואמר בפ' נח ופקודי שם ונהיר מה דנהיר ולא ידיע ורדל"א נק' כאן רזא דא"ס ור"ל אותו סתים דסתימו הוא מרזא דא"ס כמ"ש למטה סתים דסתימין מרזא דא"ס בקע כו' ובוצינא נפיק גו סתים מן המחשבה אל שם ולכן אמר גו ולא מגו:</w:t>
      </w:r>
      <w:r w:rsidRPr="00BD5E91">
        <w:rPr>
          <w:b/>
          <w:bCs/>
          <w:sz w:val="22"/>
          <w:szCs w:val="22"/>
          <w:rtl/>
        </w:rPr>
        <w:t xml:space="preserve"> קוטרא בגולמא נעיץ בעיזקא.</w:t>
      </w:r>
      <w:r w:rsidRPr="00BD5E91">
        <w:rPr>
          <w:sz w:val="22"/>
          <w:szCs w:val="22"/>
          <w:rtl/>
        </w:rPr>
        <w:t xml:space="preserve"> ר"ל גולמא הוא י' כידוע וקוטרא הוא שביל דקיק שבו קשור בבינה כי ביו"ד בו עיקר האות וקוץ העליון וקוץ התחתון ונקראין קוצא וגזעא ושבילא ובאותו התחתון בו השבילים והוא פטר רחם כידוע ובאותו יו"ד נקשרין כח"ב כתר בקוץ העליון חכמה בגוף היו"ד ובשביל התחתון בינה כמ"ש בפ' ויקרא דף י' ע"ב יו"ד דשמא קדישא אתקשר בג' קשרין בגין כו' ובספרא דשלמה מלכא כו' ובינה נק' עזקא כמ"ש בתז"ח דף מ"ה ע"ג מהאי קשרא שארי קו המדה לאתפשטא מדיד אלף דאיהי עזקא חדא כו' ואינון מאתן אלף עלמין דכסיף בהו קב"ה וידוע שהוא בינה ואמר שם בין עזקא לעזקא ת"ק אלף עלמין ואלין דפתחי תרעי לכל סטר כו' והן נש"ב כמש"ל ואמר בזוהר בה"א מאחוריו קוצא חד ושם כליל חכמה בה ושם נעיץ שבילא וזהו נעיץ בעיזקא כי ה"א הוא עזקא עד דלא אתפתח כמ"ש בתיקונים ת"ה דף ט"ו ע"א בריש הורמנותא כו' ע"ש כל המאמר דקודם דאתפתח היא מ"ם סתימא עזקא ואח"כ אתפתחא שיצא הדעת וא"ו ונעשית ה"א וכמ"ש בס"ד סוף פ"א וז"ס מ"ש בס"ד י"ה כלילן דא בדא כי ה"א כלולה בשבילא ויו"ד כליל בקוצא דילה והן ד' בחינות והן ד' תיבות הנ"ל קוטרא כו' ואע"פ שבמ"ס אין שם אלא מוחא חדא מ"מ כלולין שם ג' מוחין כמ"ש בא"ז דרפ"ח ע"ב דהאי חכמתא סתימאה דביה מתפרש תלת זמנין לארבע ארבע והן ג' הויות ג' מוחין כידוע (ויותר נראה שהג' הויות הן קוטרא בגולמא הוא חו"ב של חכמה וביו"ד הזה כליל זו"נ במילויו ו"ד זו"נ כמ"ש בפ' ויקרא י' ב' י' רישא דכלא אב לכולא ו' דאוליד ונפיק מניה אשתכח ד' בת כו' הא יו"ד כו' ובא"ז דף ר"צ ע"ב יו"ד כליל תרין אתוון באגדתא דבי רב ייבא סבא כו' ע"ש. נעיץ בעזקא י"ה של בינה בה"א שלה כנ"ל ובה"א כלול ג"כ דו"נ ד"ו כמ"ש בס"ד פ"ד י' נפקין מיניה דכר ונוקבא ו"ד בהאי אתר ו' דכר ד' נוק' כו' ה' ד' הות בקדמיתא כו' הרי כי בה' אית ד"ו כו' ע"ש נמצא כאן ב' מוחין חו"ב ובכ"א ד' הוי"ה כנ"ל. ואמר לא חיוור כו' שהן ד' גווני' ר"ל אע"פ שד' אותיות ד' גוונין כידוע וכאן אין גוונין כד מדיד משיחא כו' סוד הדעת אתעבידא גוונין ד' גוונין והוא של ד' אותיות הויה שהן ארבעה גוונין שאמר לעיל והן מ"ש כאן קוטרא בגולמא הוא י"ה שבחכמה וביניהם דעת כמ"ש בס"ד פ"א לישן סתים בין יו"ד ה"א ע"ש ודעת כלול מזו"נ כידוע ו"ה וכן נעיץ בעזקא הוא י"ה שבבינה ודעת שבו ו"ה ובין חו"ב עצמן דעת שכלול מד' שגם בו דעת המכריע והוא דעת המתפשט והוא הבוצינא נמצא ג"פ ד' וז"ש בתז"ח שם קיומיה נעיץ מהכא בקשרא קדמאה ע"ש ועד כאן לא נתגלה הדעת ומשמע שם בתז"ח שעזקא הוא גלגלתא והוא הבינה של כתר שאמר שם דף מ"ו ע"א מדיד אלף ושארי מרישא דעזקא דלעילא דיוקנא רזא דאדם מדיד ברישא וכן בא"ר דף קל"ב ע"א עלמא קדמאה כו' בעזקא רבא. וקוטרא הוא אוירא עלאה כמ"ש בא"ז דף רפ"ט ע"ב בהאי מזלא פשיט פשיטותא דקוטרא עלאה כו' ע"ש והוא יו"ד דעתיקא כמ"ש בס"ד פ"ב י' עלאה דאתעטר בקוטרא דעתיקא היא קרומא עלאה דאזדכך וסתים ואמר שם ה"א עלאה דאתעטר ברוחא דנוק' דפרדשקא והוא סיום הגולגלתא בתיקונין ושם הוא ה"א בינה וגולמא הוא קרומא עצמה שהיא סתים ונעיץ בעזקא כמ"ש שם פ"א קולטרא בקשרוי סנפירא בעדבוי וסנפירא הוא קוץ התחתון בחי' יסוד כמ"ש שם וקולטרא הוא גולגלתא כמ"ש בא"ז דף רפ"ח ע"א ואמר בתיקונים בתי"ט דף ל"ז ע"ב וימודו בעומר דא שכינתא עלאה דאיהי עמר לגלגולת דאיהי גלגלתא דרישא כו' ולכן וימודו בעומר שבה האי קו המדה שבה סתים וממנה יצאה הבוצינא וכאן הוא עדיין בזיווגא דעדיין לא זמינא לאולדא ואין בה הגוונין כי עדיין לא נגלה הדעת כמ"ש שם בס"ד בלישן סתים לאימא כו' ובפ' א"מ דף ס"ה ע"ב בספרא דשלמה מלכא אשר בקיטורא דעידונה קסטירא עלאה חברותא אשתכח כו' ובזה מדבר כאן:</w:t>
      </w:r>
    </w:p>
  </w:footnote>
  <w:footnote w:id="9016">
    <w:p w:rsidR="00007309" w:rsidRPr="00681ACD" w:rsidRDefault="00007309" w:rsidP="00007309">
      <w:pPr>
        <w:pStyle w:val="a5"/>
      </w:pPr>
      <w:r>
        <w:rPr>
          <w:rStyle w:val="a7"/>
        </w:rPr>
        <w:footnoteRef/>
      </w:r>
      <w:r>
        <w:rPr>
          <w:rtl/>
        </w:rPr>
        <w:t xml:space="preserve"> </w:t>
      </w:r>
      <w:r w:rsidRPr="00BD5E91">
        <w:rPr>
          <w:b/>
          <w:bCs/>
          <w:sz w:val="22"/>
          <w:szCs w:val="22"/>
          <w:rtl/>
        </w:rPr>
        <w:t>תלגא גו מיא נפקו מינה זוהמא בההוא חילא דתלגא כו'.</w:t>
      </w:r>
      <w:r w:rsidRPr="00BD5E91">
        <w:rPr>
          <w:sz w:val="22"/>
          <w:szCs w:val="22"/>
          <w:rtl/>
        </w:rPr>
        <w:t xml:space="preserve"> כי ארץ נבראת ממים כמ"ש בס"י וארץ נבראת ממים ואמר שם שלש מים מרוח חקק וחצב בהן עשרים ושתים אותיות מתהו ובהו רפש וטיט כו' ויצק עליהם שלג ונעשה עפר שנא' כי לשל"ג יאמר הוא ארץ והענין כי קודם חלק השי"ת המים לשני חלקים והן מ"ד ומ"נ כידוע ומ"נ הן צלולין ואדומים ומ"ד הן קפויין ולבנים כשלג וזהו השל"ג כמ"ש בז"ח ש"ה והן ביסוד ויסוד נטיל מבי מלכא דשלמא דיליה כידוע וכמ"ש במאמר של הטעמים סתימו דיליה גניז שבטא דיוסף צדיקא וזהו שלג שתחת כסא הכבוד שהיא אמא כידוע כסא לכבוד חכמה ל"ב נתיבות והיא מקנן בכורסייא והוא ידוע ומפורסם והוא יסוד תחת כסא הכבוד כמ"ש בתחלת מדרש הנעלם פ' לך ובסוף תז"ח דאעיל חמש מאה פרסה עד או"א וע"ש באורך והן ה"ח שבתחלה היתה בסוד ה"ג והשתא אתבסמא בה"ח של אמה קדישא כמ"ש בא"ר דף קמ"ב ותאנא בצניעותא דספרא אתפשט דכורא ואתתקן כו' ע"ש עד סוף העמוד והן ה"פ אור ה"ח אוירא דכיא י' אור כידוע וה"ג הן ד' גוונין של תהו כו' שהן ד' של ה"א ונקודה אמצעית של ה' גוון חמישי כמ"ש למטה והן ה' והן י"ג כנ"ל והן ה' עלין תקיפין דחפיין לה וה"פ אור הן י"ג מכילין דרחמין דסחרין לה מכל סטרהא שהן שנכרתו י"ג בריתות על המילה אמה דכיא שהן י"ג תיקונין תתאי כידוע בסוד צמר ואז נקראת שושנה כליל חיוור וסומק ועיין בה"ז דף א' ע"א ובפ' פנחס וע"י התבסמות הזה נפיק מינה הזוהמא ואתבריר הטוב מה שיוכל להתברר והפסולת יצא למטה כמו בעובר שדם הטוב שבו נוצר הולד והשאר יוצא עם הולד הפסולת והכל נברר ע"י זרע של הזכר כי הוא חלב הקיבה שהוא נקפה וכשמטילין לתוך חלב כולו נקפה ע"י והחלב נברר לעצמו והקום נשפך לחוץ וז"ש. בההוא חילא דתלגא במיא. ואמר ואקיש בה אשא תקיפא והוא כו'. הוא בוצינא הנ"ל סוד הגבורות:</w:t>
      </w:r>
      <w:r w:rsidRPr="00BD5E91">
        <w:rPr>
          <w:b/>
          <w:bCs/>
          <w:sz w:val="22"/>
          <w:szCs w:val="22"/>
          <w:rtl/>
        </w:rPr>
        <w:t xml:space="preserve"> חשך רזא כו'.</w:t>
      </w:r>
      <w:r w:rsidRPr="00BD5E91">
        <w:rPr>
          <w:sz w:val="22"/>
          <w:szCs w:val="22"/>
          <w:rtl/>
        </w:rPr>
        <w:t xml:space="preserve"> כנ"ל והוא אתקיף לתהו והיא הנוק' חושך כמ"ש בדף כ"ב ע"ב כנ"ל ומינה אתתקנת ההוא פסולת כמ"ש בא"ר מארץ אדום דכל דינין כו' ע"ש ומשם יצאו:</w:t>
      </w:r>
      <w:r w:rsidRPr="00BD5E91">
        <w:rPr>
          <w:b/>
          <w:bCs/>
          <w:sz w:val="22"/>
          <w:szCs w:val="22"/>
          <w:rtl/>
        </w:rPr>
        <w:t xml:space="preserve"> </w:t>
      </w:r>
    </w:p>
  </w:footnote>
  <w:footnote w:id="9017">
    <w:p w:rsidR="00007309" w:rsidRDefault="00007309" w:rsidP="00007309">
      <w:pPr>
        <w:pStyle w:val="a5"/>
      </w:pPr>
      <w:r>
        <w:rPr>
          <w:rStyle w:val="a7"/>
        </w:rPr>
        <w:footnoteRef/>
      </w:r>
      <w:r>
        <w:rPr>
          <w:rtl/>
        </w:rPr>
        <w:t xml:space="preserve"> </w:t>
      </w:r>
      <w:r w:rsidRPr="00BD5E91">
        <w:rPr>
          <w:b/>
          <w:bCs/>
          <w:sz w:val="22"/>
          <w:szCs w:val="22"/>
          <w:rtl/>
        </w:rPr>
        <w:t>ואתעדי.</w:t>
      </w:r>
      <w:r w:rsidRPr="00BD5E91">
        <w:rPr>
          <w:sz w:val="22"/>
          <w:szCs w:val="22"/>
          <w:rtl/>
        </w:rPr>
        <w:t xml:space="preserve"> ר"ל והוסר הפסולת:</w:t>
      </w:r>
    </w:p>
  </w:footnote>
  <w:footnote w:id="9018">
    <w:p w:rsidR="00007309" w:rsidRDefault="00007309" w:rsidP="00007309">
      <w:pPr>
        <w:pStyle w:val="a5"/>
        <w:rPr>
          <w:rtl/>
        </w:rPr>
      </w:pPr>
      <w:r>
        <w:rPr>
          <w:rStyle w:val="a7"/>
        </w:rPr>
        <w:footnoteRef/>
      </w:r>
      <w:r>
        <w:rPr>
          <w:rtl/>
        </w:rPr>
        <w:t xml:space="preserve"> </w:t>
      </w:r>
      <w:r w:rsidRPr="00BD5E91">
        <w:rPr>
          <w:b/>
          <w:bCs/>
          <w:sz w:val="22"/>
          <w:szCs w:val="22"/>
          <w:rtl/>
        </w:rPr>
        <w:t>תהו כו'.</w:t>
      </w:r>
      <w:r w:rsidRPr="00BD5E91">
        <w:rPr>
          <w:sz w:val="22"/>
          <w:szCs w:val="22"/>
          <w:rtl/>
        </w:rPr>
        <w:t xml:space="preserve"> עכשיו מפרש ד' הגוונים והיאך הפסולת יצאו מכ"א והן ד' אותיות השם כידוע ותהו נגד ה' אחרונה דל"ל מגרמה כלום ולכן הפסולת הוא מדורא כו' והיא רגליה כו', ובהו נגד ו' ו"ק ששת ימי הבנין לכן הוא יישובא כי כל עולם התהו הוא בנוק' ועולם התיקון הוא בדכורא כמ"ש בא"ר שם ובשאר מקומות. וחושך הוא אשא תקיפא ה' ראשונה של השם ששם גניז בוצינא דקרדינותא גו מעוי דאימא ושם בכינויה אור לבושא חושך כמ"ש לקמן דף כ"ב ע"ב ע"ש והיא בעצמה אין שם רע רק דינים נפקין מסטרהא וזהו חשך דאתקיף לרע כמ"ש למטה והוא אתקיף לתהו ה' תתאה וית' למטה ורוח אלקים הוא יו"ד של השם שהוא רוח הקודש מחכמה קדש כמ"ש למטה והן בארץ תלגא גו מיא הוא ורוח אלקים מרחפת שהוא אוירא דכיא כנ"ל וחושך הוא אשא תקיפא דאקיש בה ובהו ברירו דאתבריר מינה ע"י ההוא תלגא ותהו הוא פסולתא דאתעדי ע"י אשא תקיפא וכ"א הוא בשרשו ו' מיו"ד ה' מה"א וכמש"ו וז"ש תהו מדורא דזוהמא ואמר קינא דפסולת ר"ל שורש קין שהוא קינא דמסאבותא מדורא דזוהמא דאטמרי בגו תהומא כמ"ש בס"ד ובא"ר ע"ש שכנגד ד' הנ"ל הן שעלו למטה שנים ויצאו ארבעה כי אדם וחוה הן חו"ב או"א י"ה של השם כידוע והן מ"ד ומ"נ תלגא ואשא תקיפא שהיא מ"נ אדומים היא מזרעת אודם שממנה כל אודם וקין הוא סט' דגבורות והבל סט' דחסדים כידוע מסט' דדו"נ וקין הוא תהו שבו כל סטרא דרע כמ"ש בתיקונים ובזוהר והבל סט' דיישובא והן ד' גוונין חו"ב חו"ג ד' אותיות השם ואמר בתז"ח דף פ"א ע"ב ושכינתא תתאה מסטרא דשמאלא אתמר בה והארץ היתה תהו ומסט' דימינא ובהו בו הוא כו' קב"ה קודם דברא עלמא הוה סתים יקו"ק לבתר אתפשט ה' לתתא ואתמר בה והארץ כו' עד היות האדם לבדו ור"ל קב"ה הוא בינה כידוע והוא בונה העולם מחסד ולמטה ששת ימי הבנין והוא סתים הויה כמ"ש בז"ח ש"ה ולעיל בזה העמוד נשמתא אתי מכורסייא ובגין דתמן יקו"ק כו' ואח"כ אתפשט ממנה ה' תתאה וזהו עולם התהו מסט' דנוק' ולא היה בעלה לגבה חסדי' דכורא וזהו הנביעו של הבוצינא כנ"ל והיתה מתלבשת בתהו עד דנחית ו' של השם אדם מאין ושם בוהו עולם חסד יבנה בסוד החסדים ואמר עד דאתפשט ו' מן יק"ו דאיהו בינה ם כו'. ר"ל דבינה הוא יק"ו בינה בן י"ה בן הוא ו' והוא סתים בגווה והיא מ"ם סתומה עד דאתפשט ממנה ההוא אז היא ב' פתיחא כמ"ש ריש תיקון ה' וקודם דנחתת כו' הן חורבן עולם התהו והבנין ע"י חסדים וזהו ובהו והוא יישובא דאתיישב בה והכל בארץ השכינה:</w:t>
      </w:r>
    </w:p>
  </w:footnote>
  <w:footnote w:id="9019">
    <w:p w:rsidR="00007309" w:rsidRDefault="00007309" w:rsidP="00007309">
      <w:pPr>
        <w:pStyle w:val="a5"/>
        <w:rPr>
          <w:rtl/>
        </w:rPr>
      </w:pPr>
      <w:r>
        <w:rPr>
          <w:rStyle w:val="a7"/>
        </w:rPr>
        <w:footnoteRef/>
      </w:r>
      <w:r>
        <w:rPr>
          <w:rtl/>
        </w:rPr>
        <w:t xml:space="preserve"> </w:t>
      </w:r>
      <w:r w:rsidRPr="00BD5E91">
        <w:rPr>
          <w:b/>
          <w:bCs/>
          <w:sz w:val="22"/>
          <w:szCs w:val="22"/>
          <w:rtl/>
        </w:rPr>
        <w:t>ורוח אלקים רוח קודשא כו'.</w:t>
      </w:r>
      <w:r w:rsidRPr="00BD5E91">
        <w:rPr>
          <w:sz w:val="22"/>
          <w:szCs w:val="22"/>
          <w:rtl/>
        </w:rPr>
        <w:t xml:space="preserve"> הוא יו"ד של השם שנק' קודש וז"ש בס"י אחת רוח אלקים חיים כו' והוא רוח הקודש נקודה הפנימית והיא היכל הקודש באמצע שהיא נתיב לא ידעו עיט נקודה דעיגולא:</w:t>
      </w:r>
      <w:r w:rsidRPr="00BD5E91">
        <w:rPr>
          <w:b/>
          <w:bCs/>
          <w:sz w:val="22"/>
          <w:szCs w:val="22"/>
          <w:rtl/>
        </w:rPr>
        <w:t xml:space="preserve"> </w:t>
      </w:r>
    </w:p>
  </w:footnote>
  <w:footnote w:id="9020">
    <w:p w:rsidR="00007309" w:rsidRDefault="00007309" w:rsidP="00007309">
      <w:pPr>
        <w:pStyle w:val="a5"/>
      </w:pPr>
      <w:r>
        <w:rPr>
          <w:rStyle w:val="a7"/>
        </w:rPr>
        <w:footnoteRef/>
      </w:r>
      <w:r>
        <w:rPr>
          <w:rtl/>
        </w:rPr>
        <w:t xml:space="preserve"> </w:t>
      </w:r>
      <w:r w:rsidRPr="00BD5E91">
        <w:rPr>
          <w:b/>
          <w:bCs/>
          <w:sz w:val="22"/>
          <w:szCs w:val="22"/>
          <w:rtl/>
        </w:rPr>
        <w:t>ודא איהו מרחפת כו'.</w:t>
      </w:r>
      <w:r w:rsidRPr="00BD5E91">
        <w:rPr>
          <w:sz w:val="22"/>
          <w:szCs w:val="22"/>
          <w:rtl/>
        </w:rPr>
        <w:t xml:space="preserve"> דמניה אתתקנו החסדים כמ"ש לעיל:</w:t>
      </w:r>
    </w:p>
  </w:footnote>
  <w:footnote w:id="9021">
    <w:p w:rsidR="00007309" w:rsidRDefault="00007309" w:rsidP="00007309">
      <w:pPr>
        <w:pStyle w:val="a5"/>
      </w:pPr>
      <w:r>
        <w:rPr>
          <w:rStyle w:val="a7"/>
        </w:rPr>
        <w:footnoteRef/>
      </w:r>
      <w:r>
        <w:rPr>
          <w:rtl/>
        </w:rPr>
        <w:t xml:space="preserve"> </w:t>
      </w:r>
      <w:r w:rsidRPr="00BD5E91">
        <w:rPr>
          <w:b/>
          <w:bCs/>
          <w:sz w:val="22"/>
          <w:szCs w:val="22"/>
          <w:rtl/>
        </w:rPr>
        <w:t>בתר דהאי רוח נשיב אבריר (כו'.</w:t>
      </w:r>
      <w:r w:rsidRPr="00BD5E91">
        <w:rPr>
          <w:sz w:val="22"/>
          <w:szCs w:val="22"/>
          <w:rtl/>
        </w:rPr>
        <w:t xml:space="preserve"> כנ"ל דתלגא) דקיקו חד כו'. הוא נקודה י' תתאה של אדנ"י מגו תהו והוא נהורא זעירא וכן כל הד' גוונין כמש"ו:</w:t>
      </w:r>
      <w:r w:rsidRPr="00BD5E91">
        <w:rPr>
          <w:b/>
          <w:bCs/>
          <w:sz w:val="22"/>
          <w:szCs w:val="22"/>
          <w:rtl/>
        </w:rPr>
        <w:t xml:space="preserve"> </w:t>
      </w:r>
    </w:p>
  </w:footnote>
  <w:footnote w:id="9022">
    <w:p w:rsidR="00007309" w:rsidRDefault="00007309" w:rsidP="00007309">
      <w:pPr>
        <w:pStyle w:val="a5"/>
        <w:rPr>
          <w:rtl/>
        </w:rPr>
      </w:pPr>
      <w:r>
        <w:rPr>
          <w:rStyle w:val="a7"/>
        </w:rPr>
        <w:footnoteRef/>
      </w:r>
      <w:r>
        <w:rPr>
          <w:rtl/>
        </w:rPr>
        <w:t xml:space="preserve"> </w:t>
      </w:r>
      <w:r w:rsidRPr="00BD5E91">
        <w:rPr>
          <w:b/>
          <w:bCs/>
          <w:sz w:val="22"/>
          <w:szCs w:val="22"/>
          <w:rtl/>
        </w:rPr>
        <w:t>ונפקא מניה רוח כו'.</w:t>
      </w:r>
      <w:r w:rsidRPr="00BD5E91">
        <w:rPr>
          <w:sz w:val="22"/>
          <w:szCs w:val="22"/>
          <w:rtl/>
        </w:rPr>
        <w:t xml:space="preserve"> אלו הד' ראה אליהו וכן ד' של יחזקאל והן ד' גוונים:</w:t>
      </w:r>
    </w:p>
  </w:footnote>
  <w:footnote w:id="9023">
    <w:p w:rsidR="00007309" w:rsidRDefault="00007309" w:rsidP="00007309">
      <w:pPr>
        <w:pStyle w:val="a5"/>
        <w:rPr>
          <w:rtl/>
        </w:rPr>
      </w:pPr>
      <w:r>
        <w:rPr>
          <w:rStyle w:val="a7"/>
        </w:rPr>
        <w:footnoteRef/>
      </w:r>
      <w:r>
        <w:rPr>
          <w:rtl/>
        </w:rPr>
        <w:t xml:space="preserve"> </w:t>
      </w:r>
      <w:r w:rsidRPr="00BD5E91">
        <w:rPr>
          <w:b/>
          <w:bCs/>
          <w:sz w:val="22"/>
          <w:szCs w:val="22"/>
          <w:rtl/>
        </w:rPr>
        <w:t>תהו אתר כו'.</w:t>
      </w:r>
      <w:r w:rsidRPr="00BD5E91">
        <w:rPr>
          <w:sz w:val="22"/>
          <w:szCs w:val="22"/>
          <w:rtl/>
        </w:rPr>
        <w:t xml:space="preserve"> דל"ל מגרמה כלום וכן כאן היא קליפה אחרונה וז"ש. לכלא אית כו':</w:t>
      </w:r>
      <w:r w:rsidRPr="00BD5E91">
        <w:rPr>
          <w:b/>
          <w:bCs/>
          <w:sz w:val="22"/>
          <w:szCs w:val="22"/>
          <w:rtl/>
        </w:rPr>
        <w:t xml:space="preserve"> </w:t>
      </w:r>
    </w:p>
  </w:footnote>
  <w:footnote w:id="9024">
    <w:p w:rsidR="00007309" w:rsidRDefault="00007309" w:rsidP="00007309">
      <w:pPr>
        <w:pStyle w:val="a5"/>
        <w:rPr>
          <w:rtl/>
        </w:rPr>
      </w:pPr>
      <w:r>
        <w:rPr>
          <w:rStyle w:val="a7"/>
        </w:rPr>
        <w:footnoteRef/>
      </w:r>
      <w:r>
        <w:rPr>
          <w:rtl/>
        </w:rPr>
        <w:t xml:space="preserve"> </w:t>
      </w:r>
      <w:r w:rsidRPr="00BD5E91">
        <w:rPr>
          <w:b/>
          <w:bCs/>
          <w:sz w:val="22"/>
          <w:szCs w:val="22"/>
          <w:rtl/>
        </w:rPr>
        <w:t>אבנין דמשתקעין כו'.</w:t>
      </w:r>
      <w:r w:rsidRPr="00BD5E91">
        <w:rPr>
          <w:sz w:val="22"/>
          <w:szCs w:val="22"/>
          <w:rtl/>
        </w:rPr>
        <w:t xml:space="preserve"> אבנין של ג' חיות עלאין וכן תתאין שכולן נק' אבנין כמ"ש בתז"ח שית אבנין והן משתקעין כו' כמ"ש בה"ז דף א' ע"ב הנצנים נראו בארץ כו':</w:t>
      </w:r>
    </w:p>
  </w:footnote>
  <w:footnote w:id="9025">
    <w:p w:rsidR="00007309" w:rsidRDefault="00007309" w:rsidP="00007309">
      <w:pPr>
        <w:pStyle w:val="a5"/>
        <w:rPr>
          <w:rtl/>
        </w:rPr>
      </w:pPr>
      <w:r>
        <w:rPr>
          <w:rStyle w:val="a7"/>
        </w:rPr>
        <w:footnoteRef/>
      </w:r>
      <w:r>
        <w:rPr>
          <w:rtl/>
        </w:rPr>
        <w:t xml:space="preserve"> </w:t>
      </w:r>
      <w:r w:rsidRPr="00BD5E91">
        <w:rPr>
          <w:b/>
          <w:bCs/>
          <w:sz w:val="22"/>
          <w:szCs w:val="22"/>
          <w:rtl/>
        </w:rPr>
        <w:t>חדוה ושטותא.</w:t>
      </w:r>
      <w:r w:rsidRPr="00BD5E91">
        <w:rPr>
          <w:sz w:val="22"/>
          <w:szCs w:val="22"/>
          <w:rtl/>
        </w:rPr>
        <w:t xml:space="preserve"> כי הד' הן ד' יסודות הגוף כמ"ש בז"ח במדרש הנעלם דף י"ד ע"ב והארץ היתה תהו ובהו וחשך ורוח הרי כאן ד' יסודות אש מים כו' ור"ל תהו יסוד עפר ולכן נק' תהו דל"ל מגרמה כלום ואין לה שום גוון והיא מורכבת מג' יסודות ומג' גוונין, ובהו - מים, וחשך - אש כמ"ש הכל למטה והן ד' מרות כמ"ש בתיקונים</w:t>
      </w:r>
      <w:r>
        <w:rPr>
          <w:rFonts w:hint="cs"/>
          <w:sz w:val="22"/>
          <w:szCs w:val="22"/>
          <w:rtl/>
        </w:rPr>
        <w:t>.</w:t>
      </w:r>
      <w:r w:rsidRPr="00BD5E91">
        <w:rPr>
          <w:sz w:val="22"/>
          <w:szCs w:val="22"/>
          <w:rtl/>
        </w:rPr>
        <w:t xml:space="preserve"> ותהו</w:t>
      </w:r>
      <w:r>
        <w:rPr>
          <w:rFonts w:hint="cs"/>
          <w:sz w:val="22"/>
          <w:szCs w:val="22"/>
          <w:rtl/>
        </w:rPr>
        <w:t>,</w:t>
      </w:r>
      <w:r w:rsidRPr="00BD5E91">
        <w:rPr>
          <w:sz w:val="22"/>
          <w:szCs w:val="22"/>
          <w:rtl/>
        </w:rPr>
        <w:t xml:space="preserve"> מרה אוכמא</w:t>
      </w:r>
      <w:r>
        <w:rPr>
          <w:rFonts w:hint="cs"/>
          <w:sz w:val="22"/>
          <w:szCs w:val="22"/>
          <w:rtl/>
        </w:rPr>
        <w:t>,</w:t>
      </w:r>
      <w:r w:rsidRPr="00BD5E91">
        <w:rPr>
          <w:sz w:val="22"/>
          <w:szCs w:val="22"/>
          <w:rtl/>
        </w:rPr>
        <w:t xml:space="preserve"> טחול שמשם השחוק של שטות</w:t>
      </w:r>
      <w:r>
        <w:rPr>
          <w:rFonts w:hint="cs"/>
          <w:sz w:val="22"/>
          <w:szCs w:val="22"/>
          <w:rtl/>
        </w:rPr>
        <w:t>,</w:t>
      </w:r>
      <w:r w:rsidRPr="00BD5E91">
        <w:rPr>
          <w:sz w:val="22"/>
          <w:szCs w:val="22"/>
          <w:rtl/>
        </w:rPr>
        <w:t xml:space="preserve"> רשעים שהשעה משחקת לון</w:t>
      </w:r>
      <w:r>
        <w:rPr>
          <w:rFonts w:hint="cs"/>
          <w:sz w:val="22"/>
          <w:szCs w:val="22"/>
          <w:rtl/>
        </w:rPr>
        <w:t>,</w:t>
      </w:r>
      <w:r w:rsidRPr="00BD5E91">
        <w:rPr>
          <w:sz w:val="22"/>
          <w:szCs w:val="22"/>
          <w:rtl/>
        </w:rPr>
        <w:t xml:space="preserve"> ולשחוק אמרתי מהולל כידוע:</w:t>
      </w:r>
      <w:r w:rsidRPr="00BD5E91">
        <w:rPr>
          <w:b/>
          <w:bCs/>
          <w:sz w:val="22"/>
          <w:szCs w:val="22"/>
          <w:rtl/>
        </w:rPr>
        <w:t xml:space="preserve"> </w:t>
      </w:r>
    </w:p>
  </w:footnote>
  <w:footnote w:id="9026">
    <w:p w:rsidR="00007309" w:rsidRDefault="00007309" w:rsidP="00007309">
      <w:pPr>
        <w:pStyle w:val="a5"/>
        <w:rPr>
          <w:rtl/>
        </w:rPr>
      </w:pPr>
      <w:r>
        <w:rPr>
          <w:rStyle w:val="a7"/>
        </w:rPr>
        <w:footnoteRef/>
      </w:r>
      <w:r>
        <w:rPr>
          <w:rtl/>
        </w:rPr>
        <w:t xml:space="preserve"> </w:t>
      </w:r>
      <w:r w:rsidRPr="00BD5E91">
        <w:rPr>
          <w:b/>
          <w:bCs/>
          <w:sz w:val="22"/>
          <w:szCs w:val="22"/>
          <w:rtl/>
        </w:rPr>
        <w:t>רוח הוא קול כו'.</w:t>
      </w:r>
      <w:r w:rsidRPr="00BD5E91">
        <w:rPr>
          <w:sz w:val="22"/>
          <w:szCs w:val="22"/>
          <w:rtl/>
        </w:rPr>
        <w:t xml:space="preserve"> הוא יו"ד של השם דאתקיף לוא"ו:</w:t>
      </w:r>
    </w:p>
  </w:footnote>
  <w:footnote w:id="9027">
    <w:p w:rsidR="00007309" w:rsidRDefault="00007309" w:rsidP="00007309">
      <w:pPr>
        <w:pStyle w:val="a5"/>
        <w:rPr>
          <w:rtl/>
        </w:rPr>
      </w:pPr>
      <w:r>
        <w:rPr>
          <w:rStyle w:val="a7"/>
        </w:rPr>
        <w:footnoteRef/>
      </w:r>
      <w:r>
        <w:rPr>
          <w:rtl/>
        </w:rPr>
        <w:t xml:space="preserve"> </w:t>
      </w:r>
      <w:r w:rsidRPr="00BD5E91">
        <w:rPr>
          <w:b/>
          <w:bCs/>
          <w:sz w:val="22"/>
          <w:szCs w:val="22"/>
          <w:rtl/>
        </w:rPr>
        <w:t>ודא תהו עליה כו'.</w:t>
      </w:r>
      <w:r w:rsidRPr="00BD5E91">
        <w:rPr>
          <w:sz w:val="22"/>
          <w:szCs w:val="22"/>
          <w:rtl/>
        </w:rPr>
        <w:t xml:space="preserve"> כי אלו הד' הן ד' דגלים לד' סטרין והן דרועין ורגלין כמ"ש בפ' ויחי ע"ש והים מלמעלה גופא תהו שוק שם ותקע כו' כל היום כו' בהו נצח וזהו צבאו"ת ושד"י יסוד ומלכות איהו בנצח ואיהי בהוד חושך גבורה אלקים ושם בינה אלקים חיים רוח חסד ושם חכמה הוי"ה:</w:t>
      </w:r>
    </w:p>
  </w:footnote>
  <w:footnote w:id="9028">
    <w:p w:rsidR="00007309" w:rsidRDefault="00007309" w:rsidP="00007309">
      <w:pPr>
        <w:pStyle w:val="a5"/>
      </w:pPr>
      <w:r>
        <w:rPr>
          <w:rStyle w:val="a7"/>
        </w:rPr>
        <w:footnoteRef/>
      </w:r>
      <w:r>
        <w:rPr>
          <w:rtl/>
        </w:rPr>
        <w:t xml:space="preserve"> </w:t>
      </w:r>
      <w:r w:rsidRPr="00BD5E91">
        <w:rPr>
          <w:b/>
          <w:bCs/>
          <w:sz w:val="22"/>
          <w:szCs w:val="22"/>
          <w:rtl/>
        </w:rPr>
        <w:t>דלאו איהו בלא כו'.</w:t>
      </w:r>
      <w:r w:rsidRPr="00BD5E91">
        <w:rPr>
          <w:sz w:val="22"/>
          <w:szCs w:val="22"/>
          <w:rtl/>
        </w:rPr>
        <w:t xml:space="preserve"> ר"ל המטר:</w:t>
      </w:r>
    </w:p>
  </w:footnote>
  <w:footnote w:id="9029">
    <w:p w:rsidR="00007309" w:rsidRDefault="00007309" w:rsidP="00007309">
      <w:pPr>
        <w:pStyle w:val="a5"/>
        <w:rPr>
          <w:rtl/>
        </w:rPr>
      </w:pPr>
      <w:r>
        <w:rPr>
          <w:rStyle w:val="a7"/>
        </w:rPr>
        <w:footnoteRef/>
      </w:r>
      <w:r>
        <w:rPr>
          <w:rtl/>
        </w:rPr>
        <w:t xml:space="preserve"> </w:t>
      </w:r>
      <w:r w:rsidRPr="00BD5E91">
        <w:rPr>
          <w:b/>
          <w:bCs/>
          <w:sz w:val="22"/>
          <w:szCs w:val="22"/>
          <w:rtl/>
        </w:rPr>
        <w:t>ואינון תריסר.</w:t>
      </w:r>
      <w:r w:rsidRPr="00BD5E91">
        <w:rPr>
          <w:sz w:val="22"/>
          <w:szCs w:val="22"/>
          <w:rtl/>
        </w:rPr>
        <w:t xml:space="preserve"> ג' פרקין בכ"א וכן שם של י"ב כידוע וכל אלו הן רפ"ח ניצוצות של עולם התהו ד"פ ע"ב בד' גוונין הנ"ל והן ע"ב רי"ו, רי"ו מסט' דגבורה וע"ב מסט' דחסד כידוע והן ג' תהו ובהו וחושך רי"ו כי כל אלו מסט' דנוק' הן בסוד חבקוק כידוע ורוח הוא קול זכר ע"ב של חסד והוא הוי"ה דכורא משא"כ אלו ג' שמות שהן כולם נוקבין והן דיבור ורוח הוא קול כמש"ל ורוח הוא קול כו' כי הדיבור הוא נחלק לג' חלקים כי הדבור הוא סוד כ"ב אתוון וקול הוא סוד עשר נקודות כמ"ש בתז"ח במאמר הנ"ל וכ"ב אתון נחלקין לג' חלקים כמ"ש בס"י ג' אמות אמ"ש וז' כפולות וי"ב פשוטות והן ג' הנז' כאן תהו ובהו וחושך ואמר שם שלשה ע"ג שבעה ושבעה ע"ג שנים עשר והענין כי ג' קשרין חול דאתקשר בהן הדיבור בג' חלקים הן סוד בינה ועד"א ומלכות, בינה אמא בה ג' אמות שהיא כוללת ג"ר וז' כפולות בעד"א ו"ק והיכל הקודש באמצע פי' ששוה לת"ת סוד יהודה כידוע וי"ב פשוטות בסוד המלכות על שנים עשר בקר ובה אתחרב בעולם התהו בתריסר שעתין כנ"ל ובה י"ב מזלות ובה הכל תלוי במזלא אפילו ס"ת שבהיכל כמ"ש והכל היה מן העפר אפילו גלגל חמה וזהו תהו וז' כפולות הוא בהו בעד"א כנ"ל ושם אבנין וז"ש בס"י אצל ז' כפולות סוף פ"ד שני אבנים כו' שבעה אבנים כו' וז"ש לעיל נקיבן ומפולמין כי בהם הדגש ורפה שבהם סוד הנפש כמ"ש במאמר הנ"ל דגשא ורפיא נפש בסוכלתנו כו' ע"ש וידוע שנר"נ הם בסוד בינה עד"א ומלכות שהן שמים וארץ ואויר, שמים מאש וארץ ממים ואויר מרוח מכריע בנתיים הרי נפש ממים וז"ש ומפיקי מיין כמ"ש שמהם יוצא מים ואמר נקיבן כי הדגש נוקב תוך האות ואמר לזמנין סלקין באוירא לזמנין מטמרן ביומא דעיבא ומפיקי מיין כו' כי יציאת הנפש הוא ע"י הדגש כמ"ש במאמר הנ"ל דגש מפקי רוחא כו' ואמר בת"ז והחיות רצוא בדגש ושוב ברפה ורפה הוא ע"ג האות וזהו תליא באוירא ודגש בתוך האות וזהו לזמנין מטמרן ואז מוציאין מים וזהו ביומא דעיבא וידוע שהדגש הוא דין ורפה רחמים כמ"ש בס"י בשתי לשונות רך וקשה ולכן מטר הוא בדין כמ"ש גבורות גשמים ונקבע בברכת אתה גבור כידוע וכמ"ש בז"ח ש"ה יפתח ה' לך את אוצרו הטוב בפתח ע"ש ולכן קשה יומא דמטרא כיומא דדינא וזהו ביומא דעיבא וחשך הוא ג' אמ"ש בבינה כנ"ל דדינין מתערין מינה ולכן אתקיף לתהו כנ"ל וכל אלו הם בסוד הדיבור בנוקבא והוא נפש סוד עולם התהו סוד האותיות עד בוא ורוח אלקים קלא דנהיג לדיבור סוד הנקודות דנפקין מחכמה כמ"ש נקודין מחכמה ושם יו"ד של השם עשר אמירן שהן עשר נקודות סוד הרוח כמ"ש במאמר הנ"ל ואתוון מבינה ולמטה והן שלש דרגין הנ"ל והוא סוד הויה כנ"ל עשר אתוון דשמא מפ' כמ"ש בה"ת וכל הדרגין של האותיות יש כנגדן בנקודות חוץ ממדרגה האחרונה נגד רוח אלקים חיים שהוא ורוח אלקים מרחפת הוא נקודה הראשונה ספי' הראשונה מע"ס כמ"ש בס"י פ"א אחת רוח אלקים חיים והיא כוללת כל הגוונין וז"ס הויה שכולל כל הד' גוונין כידוע בהרבה מקומות והיא נקודה הראשונה שעשר נקודות הן ע"ס עשר אמירן שהן עם כ"ב אתוון ל"ב נתיבות כמ"ש בס"י ונגד אמ"ש חשך ג' הראשונות כמ"ש בס"י שתים רוח מרוח כו' שלש כו' ארבע כו' ונגד ז' כפולות ששרשן ו"ק הן ו"ס האחרונות שאמר שם וחתם בהם ו"ק חמש כו' ע"ש אבל לתהו לית נגדן וז"ש לכלהו אית לבושא לאתלבשא בר האי וכן ביסודן שאמר שם אמ"ש יסודן אויר מים אש ולכ"א יש ציור כמ"ש שם כף זכות וכף חובה ולשון חק מכריע בנתיים שהם ג' גוונים חוור וסומק וירוק כידוע וכן בז' כפולות אמר שם יסודן חכמה ועושר כו' והן בדיבור ובתמורה כו' והן בציור דין ורחמים משא"כ בי"ב פשוטות שאין בהם ציור כלל כי יסודן שיחה הרהור שהן פשוטות מכל צורה ולא שייך בהם ציור כלל לכן קראם פשוטות ולכן אמר שם כ"ב אותיות חקקן חצבן צרפן שקלן והמירן חקקן חצבן צרפן נגד ג"ר חקקן בכתר כמ"ש בריש הורמנותא גליף גליפו בטהירו עלאה כו' חצבן בחכמה כי שם נחצבו בל"ב נתיבות וכמ"ש הביטו אל צור חוצבתם ואמרו זה אברהם חסד ששם חכמה כנ"ל צרפן בבינה שם אגלימו כידוע ואח"כ יצאו לחוץ ואמר שקלן נגד ג' אמ"ש יסודן כף זכות כו' והמירן נגד ז' כפולות בדיבור ובתמורה ונגד י"ב פשוטות לא אמר שום ציור אלא וצר בהם כו' בסוד הכל היה מן כו' ושלש תהו כו' מסט' דנוק' מ"נ ורוח הוא השלג מ"ד וע"י נבררו כנ"ל וכמ"ש דרוח בא מאביו ונפש מאמו וכמ"ש בזוהר ע"ש:</w:t>
      </w:r>
      <w:r w:rsidRPr="00BD5E91">
        <w:rPr>
          <w:b/>
          <w:bCs/>
          <w:sz w:val="22"/>
          <w:szCs w:val="22"/>
          <w:rtl/>
        </w:rPr>
        <w:t xml:space="preserve"> </w:t>
      </w:r>
      <w:r w:rsidRPr="00681ACD">
        <w:rPr>
          <w:rFonts w:hint="cs"/>
          <w:sz w:val="22"/>
          <w:szCs w:val="22"/>
          <w:rtl/>
        </w:rPr>
        <w:t>(עד כאן פירוש זהר בראשית דף טז, מתז"ח פ ע"ב, וילנא כג ע"א,ע"ב)</w:t>
      </w:r>
    </w:p>
  </w:footnote>
  <w:footnote w:id="9030">
    <w:p w:rsidR="00007309" w:rsidRDefault="00007309" w:rsidP="00007309">
      <w:pPr>
        <w:pStyle w:val="a5"/>
      </w:pPr>
      <w:r>
        <w:rPr>
          <w:rStyle w:val="a7"/>
        </w:rPr>
        <w:footnoteRef/>
      </w:r>
      <w:r>
        <w:rPr>
          <w:rtl/>
        </w:rPr>
        <w:t xml:space="preserve"> </w:t>
      </w:r>
      <w:r w:rsidRPr="00681ACD">
        <w:rPr>
          <w:sz w:val="22"/>
          <w:szCs w:val="22"/>
          <w:rtl/>
        </w:rPr>
        <w:t>(חוזר לביאור דס</w:t>
      </w:r>
      <w:r w:rsidRPr="00681ACD">
        <w:rPr>
          <w:rFonts w:hint="cs"/>
          <w:sz w:val="22"/>
          <w:szCs w:val="22"/>
          <w:rtl/>
        </w:rPr>
        <w:t>תרי אותיות</w:t>
      </w:r>
      <w:r w:rsidRPr="00681ACD">
        <w:rPr>
          <w:sz w:val="22"/>
          <w:szCs w:val="22"/>
          <w:rtl/>
        </w:rPr>
        <w:t xml:space="preserve"> הנ"ל</w:t>
      </w:r>
      <w:r w:rsidRPr="00681ACD">
        <w:rPr>
          <w:rFonts w:hint="cs"/>
          <w:sz w:val="22"/>
          <w:szCs w:val="22"/>
          <w:rtl/>
        </w:rPr>
        <w:t>, מתז"ח פ ע"ב, וילנא כג ע"ב</w:t>
      </w:r>
      <w:r w:rsidRPr="00681ACD">
        <w:rPr>
          <w:sz w:val="22"/>
          <w:szCs w:val="22"/>
          <w:rtl/>
        </w:rPr>
        <w:t>)</w:t>
      </w:r>
      <w:r w:rsidRPr="00BD5E91">
        <w:rPr>
          <w:sz w:val="22"/>
          <w:szCs w:val="22"/>
          <w:rtl/>
        </w:rPr>
        <w:t xml:space="preserve"> </w:t>
      </w:r>
      <w:r w:rsidRPr="00BD5E91">
        <w:rPr>
          <w:b/>
          <w:bCs/>
          <w:sz w:val="22"/>
          <w:szCs w:val="22"/>
          <w:rtl/>
        </w:rPr>
        <w:t>אגוזא דחפייא כו'.</w:t>
      </w:r>
      <w:r w:rsidRPr="00BD5E91">
        <w:rPr>
          <w:sz w:val="22"/>
          <w:szCs w:val="22"/>
          <w:rtl/>
        </w:rPr>
        <w:t xml:space="preserve"> דחפייא לההוא את למוחא:</w:t>
      </w:r>
      <w:r w:rsidRPr="00BD5E91">
        <w:rPr>
          <w:b/>
          <w:bCs/>
          <w:sz w:val="22"/>
          <w:szCs w:val="22"/>
          <w:rtl/>
        </w:rPr>
        <w:t xml:space="preserve"> </w:t>
      </w:r>
    </w:p>
  </w:footnote>
  <w:footnote w:id="9031">
    <w:p w:rsidR="00007309" w:rsidRDefault="00007309" w:rsidP="00007309">
      <w:pPr>
        <w:pStyle w:val="a5"/>
      </w:pPr>
      <w:r>
        <w:rPr>
          <w:rStyle w:val="a7"/>
        </w:rPr>
        <w:footnoteRef/>
      </w:r>
      <w:r>
        <w:rPr>
          <w:rtl/>
        </w:rPr>
        <w:t xml:space="preserve"> </w:t>
      </w:r>
      <w:r w:rsidRPr="00BD5E91">
        <w:rPr>
          <w:b/>
          <w:bCs/>
          <w:sz w:val="22"/>
          <w:szCs w:val="22"/>
          <w:rtl/>
        </w:rPr>
        <w:t>ואיהי רתיכא דקיימא כו'.</w:t>
      </w:r>
      <w:r w:rsidRPr="00BD5E91">
        <w:rPr>
          <w:sz w:val="22"/>
          <w:szCs w:val="22"/>
          <w:rtl/>
        </w:rPr>
        <w:t xml:space="preserve"> ר"ל תחת המוחא:</w:t>
      </w:r>
    </w:p>
  </w:footnote>
  <w:footnote w:id="9032">
    <w:p w:rsidR="00007309" w:rsidRDefault="00007309" w:rsidP="00007309">
      <w:pPr>
        <w:pStyle w:val="a5"/>
      </w:pPr>
      <w:r>
        <w:rPr>
          <w:rStyle w:val="a7"/>
        </w:rPr>
        <w:footnoteRef/>
      </w:r>
      <w:r>
        <w:rPr>
          <w:rtl/>
        </w:rPr>
        <w:t xml:space="preserve"> </w:t>
      </w:r>
      <w:r w:rsidRPr="00BD5E91">
        <w:rPr>
          <w:b/>
          <w:bCs/>
          <w:sz w:val="22"/>
          <w:szCs w:val="22"/>
          <w:rtl/>
        </w:rPr>
        <w:t>וההוא את כו'.</w:t>
      </w:r>
      <w:r w:rsidRPr="00BD5E91">
        <w:rPr>
          <w:sz w:val="22"/>
          <w:szCs w:val="22"/>
          <w:rtl/>
        </w:rPr>
        <w:t xml:space="preserve"> ר"ל מוחא טמיר וגניז:</w:t>
      </w:r>
    </w:p>
  </w:footnote>
  <w:footnote w:id="9033">
    <w:p w:rsidR="00007309" w:rsidRDefault="00007309" w:rsidP="00007309">
      <w:pPr>
        <w:pStyle w:val="a5"/>
        <w:rPr>
          <w:rtl/>
        </w:rPr>
      </w:pPr>
      <w:r>
        <w:rPr>
          <w:rStyle w:val="a7"/>
        </w:rPr>
        <w:footnoteRef/>
      </w:r>
      <w:r>
        <w:rPr>
          <w:rtl/>
        </w:rPr>
        <w:t xml:space="preserve"> </w:t>
      </w:r>
      <w:r w:rsidRPr="00BD5E91">
        <w:rPr>
          <w:b/>
          <w:bCs/>
          <w:sz w:val="22"/>
          <w:szCs w:val="22"/>
          <w:rtl/>
        </w:rPr>
        <w:t>נקודה חדא תחותיה.</w:t>
      </w:r>
      <w:r w:rsidRPr="00BD5E91">
        <w:rPr>
          <w:sz w:val="22"/>
          <w:szCs w:val="22"/>
          <w:rtl/>
        </w:rPr>
        <w:t xml:space="preserve"> ר"ל תחת האות והוא סיום האות דקיימא בגניזו וההיא נקודה הוא חיך דעבדא בניינא בגרון כמ"ש בתז"ח שם ובפ' נח ע"ש:</w:t>
      </w:r>
    </w:p>
  </w:footnote>
  <w:footnote w:id="9034">
    <w:p w:rsidR="00007309" w:rsidRDefault="00007309" w:rsidP="00007309">
      <w:pPr>
        <w:pStyle w:val="a5"/>
      </w:pPr>
      <w:r>
        <w:rPr>
          <w:rStyle w:val="a7"/>
        </w:rPr>
        <w:footnoteRef/>
      </w:r>
      <w:r>
        <w:rPr>
          <w:rtl/>
        </w:rPr>
        <w:t xml:space="preserve"> </w:t>
      </w:r>
      <w:r w:rsidRPr="00BD5E91">
        <w:rPr>
          <w:b/>
          <w:bCs/>
          <w:sz w:val="22"/>
          <w:szCs w:val="22"/>
          <w:rtl/>
        </w:rPr>
        <w:t>וההוא אגוזא קיימא בשית סמכין וסמכין לה בשית סט'.</w:t>
      </w:r>
      <w:r w:rsidRPr="00BD5E91">
        <w:rPr>
          <w:sz w:val="22"/>
          <w:szCs w:val="22"/>
          <w:rtl/>
        </w:rPr>
        <w:t xml:space="preserve"> שית סמכין הוא הלשון קשרא תניינא כי חיך הוא קשרא קדמאה ולשון קשרא תניינא והוא ו' ו"ק כמ"ש בס"ד לישן ו' כו' וכן בתז"ח שם ברזא דוא"ו דאיהו לישן כו' האי קלא דאיהו וא"ו לישן כו' ובו ו"ק קול יעקב עד"א כנ"ל וז"ש אינון שית סטרין גניזין כו':</w:t>
      </w:r>
    </w:p>
  </w:footnote>
  <w:footnote w:id="9035">
    <w:p w:rsidR="00007309" w:rsidRDefault="00007309" w:rsidP="00007309">
      <w:pPr>
        <w:pStyle w:val="a5"/>
      </w:pPr>
      <w:r>
        <w:rPr>
          <w:rStyle w:val="a7"/>
        </w:rPr>
        <w:footnoteRef/>
      </w:r>
      <w:r>
        <w:rPr>
          <w:rtl/>
        </w:rPr>
        <w:t xml:space="preserve"> </w:t>
      </w:r>
      <w:r w:rsidRPr="00BD5E91">
        <w:rPr>
          <w:b/>
          <w:bCs/>
          <w:sz w:val="22"/>
          <w:szCs w:val="22"/>
          <w:rtl/>
        </w:rPr>
        <w:t>נפקא רתיכא חד קדישא.</w:t>
      </w:r>
      <w:r w:rsidRPr="00BD5E91">
        <w:rPr>
          <w:sz w:val="22"/>
          <w:szCs w:val="22"/>
          <w:rtl/>
        </w:rPr>
        <w:t xml:space="preserve"> הוא קשרא תליתאה השינים מגדל עוז שם ה' ולכן נק' מגדלא תקיפא כמ"ש בתז"ח שם ובה ד' סטרין ואיהי רתיכא באמת ושם הדיבור כמ"ש שם והם יוצאין הכל מתוך המחשבה כמ"ש בזוהר פ' שמות אתי מלבנון כלה תבואי קול אמר לדיבור אתי מלבנון מעדן תבואי מרזא דמחשבה כו' והוא סוד יו"ד במלואו כמ"ש בא"ז יו"ד כליל אתוון אחרנין י' רישא וסיפא דכלא. ר"ל חכמה שהיא כלל כולם הוא רישא שירותא וסיפא מלכות שנק' ג"כ חכמה וההוא נהר דנגיד ונפיק אקרי עלמא דאתי כו' והכל נכלל בי' עצמו כי היא כלולה בקוצא תתאה דיו"ד כמ"ש בפ' ויקרא ואמר ו"ד כלילן ביו"ד אלא נטיעה דגנתא אקרי ור"ל עד"א כמ"ש בפ' בראשית ואינון נטיען דנטען כו' אית גנתא אחרא דאיהי ד' ומהאי ו' אתשקייא ד' דאיהי ארבעה והיינו רזא דכתיב ונהר יוצא מעדן מאן הוא עדן דא חכמה עלאה ודאי י' להשקות את הגן כו' לארבעה ראשים דא הוא ד' וזהו אלין קשרין חיך וגרון חו"ב כלילן בי' לישן בו' גנתא רתיכא שהוא בארבעה מגדלא דשינין ד' והכל יו"ד עלאה ו"ד הן סמכין ורתיכא של י' והן מילואו וכאן נכלל כל השם ביו"ד כי בי' נכלל ג"כ ה"א עלאה כנ"ל בשביל שבו קוץ התחתון וכמ"ש בפ' ויקרא שם ו"ד זו"נ ד"ו פרצופים והן סוד מחשבה וקול ודיבור:</w:t>
      </w:r>
    </w:p>
  </w:footnote>
  <w:footnote w:id="9036">
    <w:p w:rsidR="00007309" w:rsidRDefault="00007309" w:rsidP="00007309">
      <w:pPr>
        <w:pStyle w:val="a5"/>
      </w:pPr>
      <w:r>
        <w:rPr>
          <w:rStyle w:val="a7"/>
        </w:rPr>
        <w:footnoteRef/>
      </w:r>
      <w:r>
        <w:rPr>
          <w:rtl/>
        </w:rPr>
        <w:t xml:space="preserve"> </w:t>
      </w:r>
      <w:r w:rsidRPr="00BD5E91">
        <w:rPr>
          <w:b/>
          <w:bCs/>
          <w:sz w:val="22"/>
          <w:szCs w:val="22"/>
          <w:rtl/>
        </w:rPr>
        <w:t>וההוא רתיכא טמיר וגליא.</w:t>
      </w:r>
      <w:r w:rsidRPr="00BD5E91">
        <w:rPr>
          <w:sz w:val="22"/>
          <w:szCs w:val="22"/>
          <w:rtl/>
        </w:rPr>
        <w:t xml:space="preserve"> כמ"ש רש"י (ב"ק ג ע"א) על פ' יבער הגלל שהן השיני' שפעמים נכסים ופעמים נגלים, כשהדיבור יוצא אז נגלה וז"ש לעיל ולא אתגליא בר כד נהיר נהירו דההוא אגוזא טמירא כשהפה נפתחת לדבר וז"ס אל גנת אגוז אגוז כנ"ל וגנת הוא הגנתא הנ"ל ונהר יוצא מעדן להשקות את הגן ו' לישן שם ירדתי לראות באבי הנחל ששם אבי הנחל של הנהר הנ"ל לראות הפרחה הגפן כו' כי שם גדולן של הנטיעות כמ"ש במאמר קו המדה ובא"ז שם לראות הפרחה הגפן הנצו הרמונים כי שם שבע כפולות ז' מינים דקרא ונקט כאן גפן ורמון כי אימא עלאה עד הוד אתפשטת והן סיומן של קול עלאה חג"ת ותתאה נה"י ויסוד כלל כולן כי עד הוד אתפשטת לבד לא ידעתי נפשי שמתני מרכבות עמי נדיב נפשי הוא מגדלא דשינין שם הנפש ושם מרכבות רתיכא קדישא כנ"ל עמי נדיב כמ"ש (סוכה מט ע"ב) בת נדיב בתו של א"א והיא נק' ברתי' דא"א כידוע:</w:t>
      </w:r>
      <w:r w:rsidRPr="00BD5E91">
        <w:rPr>
          <w:b/>
          <w:bCs/>
          <w:sz w:val="22"/>
          <w:szCs w:val="22"/>
          <w:rtl/>
        </w:rPr>
        <w:t xml:space="preserve"> </w:t>
      </w:r>
    </w:p>
  </w:footnote>
  <w:footnote w:id="9037">
    <w:p w:rsidR="00007309" w:rsidRDefault="00007309" w:rsidP="00007309">
      <w:pPr>
        <w:pStyle w:val="a5"/>
        <w:rPr>
          <w:rtl/>
        </w:rPr>
      </w:pPr>
      <w:r>
        <w:rPr>
          <w:rStyle w:val="a7"/>
        </w:rPr>
        <w:footnoteRef/>
      </w:r>
      <w:r>
        <w:rPr>
          <w:rtl/>
        </w:rPr>
        <w:t xml:space="preserve"> </w:t>
      </w:r>
      <w:r w:rsidRPr="00BD5E91">
        <w:rPr>
          <w:b/>
          <w:bCs/>
          <w:sz w:val="22"/>
          <w:szCs w:val="22"/>
          <w:rtl/>
        </w:rPr>
        <w:t>לבתר אתפשט ההוא נציצו כו'.</w:t>
      </w:r>
      <w:r w:rsidRPr="00BD5E91">
        <w:rPr>
          <w:sz w:val="22"/>
          <w:szCs w:val="22"/>
          <w:rtl/>
        </w:rPr>
        <w:t xml:space="preserve"> והן סוד ט' נקודות שבתחלה אזדרע בג' נקודות חולם שורק חירק שהן כלל הנקודות כמ"ש בז"ח ש"ה והן כלל העולמות ג' עולמות בי"ע וכן בינה עד"א מלכות ג' שמות אקיק הויה אדנ"י ג' אמ"ש בשנה עולם נפש ועבס"י נר"נ שהן כלל כולם וכמ"ש בז"ח ש"ה שם שהן ראש בטן גויה ששם נר"נ במוח לב וכבד וכל אלו מתחלקין לג' אחרנין שהן ט' ונקודה עלאה טמירא משלמת ליוד נקודות וכן הספירות מתחלק בתחלה לתלת ואלו מתחלקים כ"א לתלת כידוע בימין ושמאל ואמצע וכן אצל כ"ז אותיות וחיון קדישין כמ"ש בפ' ויקהל ע"ש:</w:t>
      </w:r>
    </w:p>
  </w:footnote>
  <w:footnote w:id="9038">
    <w:p w:rsidR="00007309" w:rsidRDefault="00007309" w:rsidP="00007309">
      <w:pPr>
        <w:pStyle w:val="a5"/>
      </w:pPr>
      <w:r>
        <w:rPr>
          <w:rStyle w:val="a7"/>
        </w:rPr>
        <w:footnoteRef/>
      </w:r>
      <w:r>
        <w:rPr>
          <w:rtl/>
        </w:rPr>
        <w:t xml:space="preserve"> </w:t>
      </w:r>
      <w:r w:rsidRPr="00BD5E91">
        <w:rPr>
          <w:b/>
          <w:bCs/>
          <w:sz w:val="22"/>
          <w:szCs w:val="22"/>
          <w:rtl/>
        </w:rPr>
        <w:t>וכדין נהרין מגווה תמניא אחרנין כו'.</w:t>
      </w:r>
      <w:r w:rsidRPr="00BD5E91">
        <w:rPr>
          <w:sz w:val="22"/>
          <w:szCs w:val="22"/>
          <w:rtl/>
        </w:rPr>
        <w:t xml:space="preserve"> אלו הן קיומין דילה כמש"ו וכלהו קיימין וט' שאמר לעיל הן רתיכין דילה ולכן אמר כאן מגווה ולעיל אמר תחותה וז"ס חול ח' כי שם ח' נהורין הנ"ל ו' כי שם ו"ק ו' נקודות כי ג"ר הן מוחין והן יוצאין מגרון קודם שבאין ללישן כמ"ש בתז"ח שם ושני ליה בתלת גוונין באשא ברוחא במיא ונקט כסדר חולם שורק חירק ראש בטן גויה ראש מאש גויה מרוח בטן ממים וכן בכולם ושדי ליה לקשרא דלישן כו' ולמ"ד כי שם כ"ב אתוון שהן ג' גוונים ויצק עליהם שלג בחכמה יסד ארץ כנ"ל ושם תמניא הנ"ל ועם כ"ב אתוון הנ"ל הן למ"ד וע"י זה אתבני:</w:t>
      </w:r>
      <w:r w:rsidRPr="00BD5E91">
        <w:rPr>
          <w:b/>
          <w:bCs/>
          <w:sz w:val="22"/>
          <w:szCs w:val="22"/>
          <w:rtl/>
        </w:rPr>
        <w:t xml:space="preserve"> </w:t>
      </w:r>
    </w:p>
  </w:footnote>
  <w:footnote w:id="9039">
    <w:p w:rsidR="00007309" w:rsidRDefault="00007309" w:rsidP="00007309">
      <w:pPr>
        <w:pStyle w:val="a5"/>
        <w:rPr>
          <w:rtl/>
        </w:rPr>
      </w:pPr>
      <w:r>
        <w:rPr>
          <w:rStyle w:val="a7"/>
        </w:rPr>
        <w:footnoteRef/>
      </w:r>
      <w:r>
        <w:rPr>
          <w:rtl/>
        </w:rPr>
        <w:t xml:space="preserve"> </w:t>
      </w:r>
      <w:r w:rsidRPr="00BD5E91">
        <w:rPr>
          <w:b/>
          <w:bCs/>
          <w:sz w:val="22"/>
          <w:szCs w:val="22"/>
          <w:rtl/>
        </w:rPr>
        <w:t>אלין תשע סמכין כו'.</w:t>
      </w:r>
      <w:r w:rsidRPr="00BD5E91">
        <w:rPr>
          <w:sz w:val="22"/>
          <w:szCs w:val="22"/>
          <w:rtl/>
        </w:rPr>
        <w:t xml:space="preserve"> ר"ל אותן תשע שאמר לעיל אשתכחו לאת יו"ד כו':</w:t>
      </w:r>
      <w:r w:rsidRPr="00BD5E91">
        <w:rPr>
          <w:b/>
          <w:bCs/>
          <w:sz w:val="22"/>
          <w:szCs w:val="22"/>
          <w:rtl/>
        </w:rPr>
        <w:t xml:space="preserve"> </w:t>
      </w:r>
    </w:p>
  </w:footnote>
  <w:footnote w:id="9040">
    <w:p w:rsidR="00007309" w:rsidRDefault="00007309" w:rsidP="00007309">
      <w:pPr>
        <w:pStyle w:val="a5"/>
        <w:rPr>
          <w:rtl/>
        </w:rPr>
      </w:pPr>
      <w:r>
        <w:rPr>
          <w:rStyle w:val="a7"/>
        </w:rPr>
        <w:footnoteRef/>
      </w:r>
      <w:r>
        <w:rPr>
          <w:rtl/>
        </w:rPr>
        <w:t xml:space="preserve"> </w:t>
      </w:r>
      <w:r w:rsidRPr="001D1BED">
        <w:rPr>
          <w:b/>
          <w:bCs/>
          <w:sz w:val="22"/>
          <w:szCs w:val="22"/>
          <w:rtl/>
        </w:rPr>
        <w:t>אינון כו'</w:t>
      </w:r>
      <w:r w:rsidRPr="001D1BED">
        <w:rPr>
          <w:rFonts w:hint="cs"/>
          <w:b/>
          <w:bCs/>
          <w:sz w:val="22"/>
          <w:szCs w:val="22"/>
          <w:rtl/>
        </w:rPr>
        <w:t>.</w:t>
      </w:r>
      <w:r w:rsidRPr="00BD5E91">
        <w:rPr>
          <w:sz w:val="22"/>
          <w:szCs w:val="22"/>
          <w:rtl/>
        </w:rPr>
        <w:t xml:space="preserve"> ור"ל אותן שאמר לעיל וכדין נהרין מגווה כו' והן נקראין א"ס כמ"ש בפ' (בראשית) נח דף ס"ה וסוף פ' פקודי וכלהו נהורין מרזא דמחשבה עלאה ולתתא אקרון א"ס ולקמן ט' ב' י' נקודה חד עלאה דקיימא על ט' סמכין כמא דאוקימנא אלין כו' ואינון ט' נקודין כו' ואינון רתיכא לט' אחרנין דאינון רזא דא"ס וכלהו קיימין ליו"ד כו' ובתז"ח דף ע"ט ע"א תשע נקודין באורייתא כו' אלין אקרון א"ס ושם ע"ב תשע נקודין דשלטין על אתוון אינון א"ס כו' ואמר סלקין בשמא ולא סלקין כמ"ש שם דף ט' כנ"ל לא אקרון בשמהן רק ברתיכין דלהון ואלו הן י"ח אלף עולמות:</w:t>
      </w:r>
    </w:p>
  </w:footnote>
  <w:footnote w:id="9041">
    <w:p w:rsidR="00007309" w:rsidRDefault="00007309" w:rsidP="00007309">
      <w:pPr>
        <w:pStyle w:val="a5"/>
      </w:pPr>
      <w:r>
        <w:rPr>
          <w:rStyle w:val="a7"/>
        </w:rPr>
        <w:footnoteRef/>
      </w:r>
      <w:r>
        <w:rPr>
          <w:rtl/>
        </w:rPr>
        <w:t xml:space="preserve"> </w:t>
      </w:r>
      <w:r w:rsidRPr="00BD5E91">
        <w:rPr>
          <w:b/>
          <w:bCs/>
          <w:sz w:val="22"/>
          <w:szCs w:val="22"/>
          <w:rtl/>
        </w:rPr>
        <w:t>וחנותי את אשר כו'.</w:t>
      </w:r>
      <w:r w:rsidRPr="00BD5E91">
        <w:rPr>
          <w:sz w:val="22"/>
          <w:szCs w:val="22"/>
          <w:rtl/>
        </w:rPr>
        <w:t xml:space="preserve"> ר"ל שאין מכיר אלא אני:</w:t>
      </w:r>
    </w:p>
  </w:footnote>
  <w:footnote w:id="9042">
    <w:p w:rsidR="00007309" w:rsidRDefault="00007309" w:rsidP="00007309">
      <w:pPr>
        <w:pStyle w:val="a5"/>
      </w:pPr>
      <w:r>
        <w:rPr>
          <w:rStyle w:val="a7"/>
        </w:rPr>
        <w:footnoteRef/>
      </w:r>
      <w:r>
        <w:rPr>
          <w:rtl/>
        </w:rPr>
        <w:t xml:space="preserve"> </w:t>
      </w:r>
      <w:r w:rsidRPr="00BD5E91">
        <w:rPr>
          <w:b/>
          <w:bCs/>
          <w:sz w:val="22"/>
          <w:szCs w:val="22"/>
          <w:rtl/>
        </w:rPr>
        <w:t>בגין דהוו מקדמת דרגא דיליה.</w:t>
      </w:r>
      <w:r w:rsidRPr="00BD5E91">
        <w:rPr>
          <w:sz w:val="22"/>
          <w:szCs w:val="22"/>
          <w:rtl/>
        </w:rPr>
        <w:t xml:space="preserve"> שדרגא דיליה בינה:</w:t>
      </w:r>
      <w:r w:rsidRPr="00BD5E91">
        <w:rPr>
          <w:b/>
          <w:bCs/>
          <w:sz w:val="22"/>
          <w:szCs w:val="22"/>
          <w:rtl/>
        </w:rPr>
        <w:t xml:space="preserve"> </w:t>
      </w:r>
    </w:p>
  </w:footnote>
  <w:footnote w:id="9043">
    <w:p w:rsidR="00007309" w:rsidRDefault="00007309" w:rsidP="00007309">
      <w:pPr>
        <w:pStyle w:val="a5"/>
      </w:pPr>
      <w:r>
        <w:rPr>
          <w:rStyle w:val="a7"/>
        </w:rPr>
        <w:footnoteRef/>
      </w:r>
      <w:r>
        <w:rPr>
          <w:rtl/>
        </w:rPr>
        <w:t xml:space="preserve"> </w:t>
      </w:r>
      <w:r w:rsidRPr="00BD5E91">
        <w:rPr>
          <w:b/>
          <w:bCs/>
          <w:sz w:val="22"/>
          <w:szCs w:val="22"/>
          <w:rtl/>
        </w:rPr>
        <w:t>דההוא נציצו קדמאה כתיב לפניך.</w:t>
      </w:r>
      <w:r w:rsidRPr="00BD5E91">
        <w:rPr>
          <w:sz w:val="22"/>
          <w:szCs w:val="22"/>
          <w:rtl/>
        </w:rPr>
        <w:t xml:space="preserve"> ר"ל על ההוא נצוצא קדמאה שהוא נקודה הראשונה כמש"ל וההוא נציצו כד משחתא כו' ואיהי נקודה חדא ור"ל לפניך שכתיב הנני עומד לפניך כו' וחנותי את כו' שרצה לידע דרכיו של הקב"ה ואמר הנני עומד לפניך שמעלה זו לפניך כנ"ל:</w:t>
      </w:r>
    </w:p>
  </w:footnote>
  <w:footnote w:id="9044">
    <w:p w:rsidR="00007309" w:rsidRDefault="00007309" w:rsidP="00007309">
      <w:pPr>
        <w:pStyle w:val="a5"/>
      </w:pPr>
      <w:r>
        <w:rPr>
          <w:rStyle w:val="a7"/>
        </w:rPr>
        <w:footnoteRef/>
      </w:r>
      <w:r>
        <w:rPr>
          <w:rtl/>
        </w:rPr>
        <w:t xml:space="preserve"> </w:t>
      </w:r>
      <w:r w:rsidRPr="00BD5E91">
        <w:rPr>
          <w:b/>
          <w:bCs/>
          <w:sz w:val="22"/>
          <w:szCs w:val="22"/>
          <w:rtl/>
        </w:rPr>
        <w:t>וכן כלהו קיימין כו'.</w:t>
      </w:r>
      <w:r w:rsidRPr="00BD5E91">
        <w:rPr>
          <w:sz w:val="22"/>
          <w:szCs w:val="22"/>
          <w:rtl/>
        </w:rPr>
        <w:t xml:space="preserve">  שאמר לעיל וכדין נהרין מגווה כו' וכלהו קיימין כו' וכן כל הט' סמכין ונכלל במ"ש לעיל דההוא נציצו קדמאה כו':</w:t>
      </w:r>
    </w:p>
  </w:footnote>
  <w:footnote w:id="9045">
    <w:p w:rsidR="00007309" w:rsidRDefault="00007309" w:rsidP="00007309">
      <w:pPr>
        <w:pStyle w:val="a5"/>
        <w:rPr>
          <w:rtl/>
        </w:rPr>
      </w:pPr>
      <w:r>
        <w:rPr>
          <w:rStyle w:val="a7"/>
        </w:rPr>
        <w:footnoteRef/>
      </w:r>
      <w:r>
        <w:rPr>
          <w:rtl/>
        </w:rPr>
        <w:t xml:space="preserve"> </w:t>
      </w:r>
      <w:r w:rsidRPr="00BD5E91">
        <w:rPr>
          <w:b/>
          <w:bCs/>
          <w:sz w:val="22"/>
          <w:szCs w:val="22"/>
          <w:rtl/>
        </w:rPr>
        <w:t>סלקא את דא באלין סמכין לעילא בטש מאן דבטש דלא ידיע וא"ס נהיר ולא נהיר.</w:t>
      </w:r>
      <w:r w:rsidRPr="00BD5E91">
        <w:rPr>
          <w:sz w:val="22"/>
          <w:szCs w:val="22"/>
          <w:rtl/>
        </w:rPr>
        <w:t xml:space="preserve"> כמ"ש בפ' בראשית ופקודי שם וכדין בטש האי נהירו דמחשבה דלא אתיידע בנהירו דפריסא כו' רעותא דכל תשע נהורין דקיימי כלהו במחשבה כו' כד סליק כלא כו' קיימי כלהו בסליקו ומחשבה אתעטר בא"ס כו' ובא"ז דף רפ"ט ע"ב בטש מאן דבטש בהאי מוחא כו' ושם ע"א וההוא רישא סתימא כו' פשיט חד טורנא כו' בטש בהאי מוחא כו' ע"ש וז"ש סלקא כו' שסליק מחשבה חכמה בא"ס אל מ"ס ובטש נהירו דפריסו במ"ס וז"ש וא"ס נהיר ולא נהיר וכצ"ל במאמר הנ"ל וכדין בטש האי נהירו כו' ולא אתגלייא וכדין נהירו דפריסו בטש בנהירו דא דמחשבה כו' והן דוגמת מ"נ ומ"ד שקודם צריך להתעוררות מ"נ ואמר ונחתא ולא ידיעא ר"ל חכמה את יו"ד נחתא ולא ידיעא ממאן דנהיר וכמ"ש כד נהיר מחשבה ולא ידע ממאן נהיר כו' כדין אתלביש ואסתים גו בינה וז"ש כאן ואתפשט וכד אתפשט נפק חד נהורא כו' ר"ל בינה ובריש דף ט"ו אמר בריש הורמנותא דמלכא. הורמנותא עבתז"ח דף פ"ט ע"ד א' הימנו דחד הורמנותא. וריש הורמנותא הוא דבר שראשית לו והוא שאמר שם וחד טמיר ולא ידיע. דמלכא הוא רדל"א ז"ת דמ' א"ק שבה מתלבש א"ס ע"י חד טמיר דא"ק ומתלבש בהורמנותא דאצילות כמ"ש מה רבו מעשיך כו' שלכן כתיב ואת צנועים חכמה שהצניעות הוא כמ"ש בפ' פקודי ד' רל"ט ע"א לאצנעא בההוא צניעו כו' וז"ש ספרא דצניעותא שספר הראשון מג' ספרים בו הצניעות כנ"ל ונק' ספר כמ"ש בפ' תרומה דף קל"ז ע"ב מרזא דספר עלאה כו' וזהו הורמנותא דמלכא וכל ע"ס נכלל בו כמ"ש בפ' ויקרא ד"י ע"ב א"ל על י' קיימי כו' אשתכח די' עיקרא ושרשא כו' וכלהו סתימין בי'. ואמר בריש כמו ב' של בראשית עם ראשית ברא כו' כמש"ל כן בריש כמ"ש בא"ז ד' רפ"ט ע"ב כד אתתקן חוורא דא בנהירו דא כו' ושם ע"א וההוא רישא סתימא דברישא כו' בטש בהאי מוחא ואתגליף כו' ורדל"א הוא ריש הומנותא והוא גליף גליפו כו' כמ"ש שם בטש כו' ואתגליף כו' ואמר במאמר קו המדה נהורא דלא קיימא בנהורא ר"ל שאינו מלובש והוא רדל"א גליף כו' והוא ע"י חד טורנא ר"ל עטרה ב' עטרין דגניזין באו"א ואמר שם ואתגליף ואתנהיר שהן ב' עטרין כמ"ש למטה:</w:t>
      </w:r>
      <w:r w:rsidRPr="00BD5E91">
        <w:rPr>
          <w:b/>
          <w:bCs/>
          <w:sz w:val="22"/>
          <w:szCs w:val="22"/>
          <w:rtl/>
        </w:rPr>
        <w:t xml:space="preserve"> גליף גליפו בטהירו עלאה.</w:t>
      </w:r>
      <w:r w:rsidRPr="00BD5E91">
        <w:rPr>
          <w:sz w:val="22"/>
          <w:szCs w:val="22"/>
          <w:rtl/>
        </w:rPr>
        <w:t xml:space="preserve"> כל חקיקה הוא סט' דגבורה וז"ש אתגליף ואתנהיר שכל נהורא סט' דחסד ושם ב' עטרין כנ"ל. טהירו הוא מ"ס ששם שורש השמרים כמ"ש בא"ר דף קכ"ח ע"ב כחמר טב כו' וכן יין כידוע ושם הגליפו ונק' טהירו כי צהרים עת הגבורות שמש בגבורתו מנחת ערב ונק' כל דאתי מסט' טהירין ואמר בתז"ח דף צ' ע"א גליף גליפו טהירו דטהירו דכיא כו' ואמר טהירו עלאה שהיא מחשבה עלאה וגם מחשבה תתאה נק' כן כמ"ש (ישעיהו מג טז) ובמים עזים נתיבה והן ל"ב הידועין והאי גליפו הוא ע"י טורנא דבטש כנ"ל והן זו"נ חו"ג אוירא ומ"ס ואתנהיר באוירא ואתגליף במ"ס. ואמר גליף גליפו ב' מינים ט' וט' שהן ט' היכלין להיכלין לאו אינון נהורין כו' כמ"ש בפ' בראשית דף ס"ה ע"א ונהרין כחדא ואתעבידו תשע היכלין כו' וכן בסוף פקודי ע"ש והן ט' שנקרא א"ס וט' סמכין לי' סלקין בשמא ולא סלקין כמ"ש בז"ח ד"ה ע"ב אלין תשע סמכין כו' בגין אינון תשע כו' ובדף ט' ע"ב י' נקודה עלאה דקיימא על ט' כו' עד רזא דא"ס ע"ש ובתז"ח דע"ט ע"א וע"ב תשע נקודין כו' אלין אקרון א"ס כו' ט' נקודין דשלטין על אתוון אינון כו' ואמר בפ' בראשית ופקודי שם רעותא דכל תשע נהורין דקיימי כלהו במחשבה כו'. ר"ל מחשבה תתאה והני תשע הן ט' סמכין דנפקין תחות יו"ד והן רדפין אחר ט' עלאין הנ"ל ולא מתדבקין ט' עלאין:</w:t>
      </w:r>
      <w:r w:rsidRPr="00BD5E91">
        <w:rPr>
          <w:b/>
          <w:bCs/>
          <w:sz w:val="22"/>
          <w:szCs w:val="22"/>
          <w:rtl/>
        </w:rPr>
        <w:t xml:space="preserve"> בוצינא דקרדינותא נפיק גו סתים דסתימו מרזא דא"ס.</w:t>
      </w:r>
      <w:r w:rsidRPr="00BD5E91">
        <w:rPr>
          <w:sz w:val="22"/>
          <w:szCs w:val="22"/>
          <w:rtl/>
        </w:rPr>
        <w:t xml:space="preserve"> ר"ל שהבוצינא הוא אור דמחשבה עלאה דמחשבה לא ידע כמ"ש בפ' נח ופקודי שם והמחשבה הוא נוק' גבורה ואור שלו הוא בוצינא דקרדינותא לשון חוזק וחושך כידוע אצל נוק' וגבורה ואותו הבוצינא נפק אל אוירא עלאה רוחא דגניז בע"י במצח הרצון בין קרומי' והוא נק' סתים דסתימו שגנוז מאד מאד עד שנק' אין לרוב העלמו כמ"ש שם וכן אבא שנאצל ממנו הוא טמיר יתיר מאמא שנאצלה מהמחשבה עלאה אע"ג שגם אבא יצא מהמחשבה מ"מ עיקר מן האוירא רק שנצטייר במעי נוק'  במחשבה עלאה כמ"ש בא"ז והאי אבא מרוחא דגניז בע"י כו' ע"ש ואותו רוח הוא מרדל"א כמ"ש בא"ז והאי רישא סתימו כו' פשיט חד כו' כנ"ל ואמר בפ' נח ופקודי שם ונהיר מה דנהיר ולא ידיע ורדל"א נק' כאן רזא דא"ס ור"ל אותו סתים דסתימו הוא מרזא דא"ס כמ"ש למטה סתים דסתימין מרזא דא"ס בקע כו' ובוצינא נפיק גו סתים מן המחשבה אל שם ולכן אמר גו ולא מגו:</w:t>
      </w:r>
      <w:r w:rsidRPr="00BD5E91">
        <w:rPr>
          <w:b/>
          <w:bCs/>
          <w:sz w:val="22"/>
          <w:szCs w:val="22"/>
          <w:rtl/>
        </w:rPr>
        <w:t xml:space="preserve"> קוטרא בגולמא נעיץ בעיזקא.</w:t>
      </w:r>
      <w:r w:rsidRPr="00BD5E91">
        <w:rPr>
          <w:sz w:val="22"/>
          <w:szCs w:val="22"/>
          <w:rtl/>
        </w:rPr>
        <w:t xml:space="preserve"> ר"ל גולמא הוא י' כידוע וקוטרא הוא שביל דקיק שבו קשור בבינה כי ביו"ד בו עיקר האות וקוץ העליון וקוץ התחתון ונקראין קוצא וגזעא ושבילא ובאותו התחתון בו השבילים והוא פטר רחם כידוע ובאותו יו"ד נקשרין כח"ב כתר בקוץ העליון חכמה בגוף היו"ד ובשביל התחתון בינה כמ"ש בפ' ויקרא דף י' ע"ב יו"ד דשמא קדישא אתקשר בג' קשרין בגין כו' ובספרא דשלמה מלכא כו' ובינה נק' עזקא כמ"ש בתז"ח דף מ"ה ע"ג מהאי קשרא שארי קו המדה לאתפשטא מדיד אלף דאיהי עזקא חדא כו' ואינון מאתן אלף עלמין דכסיף בהו קב"ה וידוע שהוא בינה ואמר שם בין עזקא לעזקא ת"ק אלף עלמין ואלין דפתחי תרעי לכל סטר כו' והן נש"ב כמש"ל ואמר בזוהר בה"א מאחוריו קוצא חד ושם כליל חכמה בה ושם נעיץ שבילא וזהו נעיץ בעיזקא כי ה"א הוא עזקא עד דלא אתפתח כמ"ש בתיקונים ת"ה דף ט"ו ע"א בריש הורמנותא כו' ע"ש כל המאמר דקודם דאתפתח היא מ"ם סתימא עזקא ואח"כ אתפתחא שיצא הדעת וא"ו ונעשית ה"א וכמ"ש בס"ד סוף פ"א וז"ס מ"ש בס"ד י"ה כלילן דא בדא כי ה"א כלולה בשבילא ויו"ד כליל בקוצא דילה והן ד' בחינות והן ד' תיבות הנ"ל קוטרא כו' ואע"פ שבמ"ס אין שם אלא מוחא חדא מ"מ כלולין שם ג' מוחין כמ"ש בא"ז דרפ"ח ע"ב דהאי חכמתא סתימאה דביה מתפרש תלת זמנין לארבע ארבע והן ג' הויות ג' מוחין כידוע (ויותר נראה שהג' הויות הן קוטרא בגולמא הוא חו"ב של חכמה וביו"ד הזה כליל זו"נ במילויו ו"ד זו"נ כמ"ש בפ' ויקרא י' ב' י' רישא דכלא אב לכולא ו' דאוליד ונפיק מניה אשתכח ד' בת כו' הא יו"ד כו' ובא"ז דף ר"צ ע"ב יו"ד כליל תרין אתוון באגדתא דבי רב ייבא סבא כו' ע"ש. נעיץ בעזקא י"ה של בינה בה"א שלה כנ"ל ובה"א כלול ג"כ דו"נ ד"ו כמ"ש בס"ד פ"ד י' נפקין מיניה דכר ונוקבא ו"ד בהאי אתר ו' דכר ד' נוק' כו' ה' ד' הות בקדמיתא כו' הרי כי בה' אית ד"ו כו' ע"ש נמצא כאן ב' מוחין חו"ב ובכ"א ד' הוי"ה כנ"ל. ואמר לא חיוור כו' שהן ד' גווני' ר"ל אע"פ שד' אותיות ד' גוונין כידוע וכאן אין גוונין כד מדיד משיחא כו' סוד הדעת אתעבידא גוונין ד' גוונין והוא של ד' אותיות הויה שהן ארבעה גוונין שאמר לעיל והן מ"ש כאן קוטרא בגולמא הוא י"ה שבחכמה וביניהם דעת כמ"ש בס"ד פ"א לישן סתים בין יו"ד ה"א ע"ש ודעת כלול מזו"נ כידוע ו"ה וכן נעיץ בעזקא הוא י"ה שבבינה ודעת שבו ו"ה ובין חו"ב עצמן דעת שכלול מד' שגם בו דעת המכריע והוא דעת המתפשט והוא הבוצינא נמצא ג"פ ד' וז"ש בתז"ח שם קיומיה נעיץ מהכא בקשרא קדמאה ע"ש ועד כאן לא נתגלה הדעת ומשמע שם בתז"ח שעזקא הוא גלגלתא והוא הבינה של כתר שאמר שם דף מ"ו ע"א מדיד אלף ושארי מרישא דעזקא דלעילא דיוקנא רזא דאדם מדיד ברישא וכן בא"ר דף קל"ב ע"א עלמא קדמאה כו' בעזקא רבא. וקוטרא הוא אוירא עלאה כמ"ש בא"ז דף רפ"ט ע"ב בהאי מזלא פשיט פשיטותא דקוטרא עלאה כו' ע"ש והוא יו"ד דעתיקא כמ"ש בס"ד פ"ב י' עלאה דאתעטר בקוטרא דעתיקא היא קרומא עלאה דאזדכך וסתים ואמר שם ה"א עלאה דאתעטר ברוחא דנוק' דפרדשקא והוא סיום הגולגלתא בתיקונין ושם הוא ה"א בינה וגולמא הוא קרומא עצמה שהיא סתים ונעיץ בעזקא כמ"ש שם פ"א קולטרא בקשרוי סנפירא בעדבוי וסנפירא הוא קוץ התחתון בחי' יסוד כמ"ש שם וקולטרא הוא גולגלתא כמ"ש בא"ז דף רפ"ח ע"א ואמר בתיקונים בתי"ט דף ל"ז ע"ב וימודו בעומר דא שכינתא עלאה דאיהי עמר לגלגולת דאיהי גלגלתא דרישא כו' ולכן וימודו בעומר שבה האי קו המדה שבה סתים וממנה יצאה הבוצינא וכאן הוא עדיין בזיווגא דעדיין לא זמינא לאולדא ואין בה הגוונין כי עדיין לא נגלה הדעת כמ"ש שם בס"ד בלישן סתים לאימא כו' ובפ' א"מ דף ס"ה ע"ב בספרא דשלמה מלכא אשר בקיטורא דעידונה קסטירא עלאה חברותא אשתכח כו' ובזה מדבר כאן:</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CA0B5B"/>
    <w:multiLevelType w:val="multilevel"/>
    <w:tmpl w:val="11FC523C"/>
    <w:lvl w:ilvl="0">
      <w:start w:val="1"/>
      <w:numFmt w:val="upperRoman"/>
      <w:lvlText w:val="%1."/>
      <w:lvlJc w:val="right"/>
      <w:pPr>
        <w:tabs>
          <w:tab w:val="num" w:pos="432"/>
        </w:tabs>
        <w:ind w:right="432" w:hanging="72"/>
      </w:pPr>
      <w:rPr>
        <w:rFonts w:cs="Times New Roman" w:hint="default"/>
        <w:szCs w:val="24"/>
      </w:rPr>
    </w:lvl>
    <w:lvl w:ilvl="1">
      <w:start w:val="1"/>
      <w:numFmt w:val="lowerLetter"/>
      <w:lvlText w:val="%2."/>
      <w:lvlJc w:val="right"/>
      <w:pPr>
        <w:tabs>
          <w:tab w:val="num" w:pos="1440"/>
        </w:tabs>
        <w:ind w:right="1440" w:hanging="360"/>
      </w:pPr>
      <w:rPr>
        <w:rFonts w:cs="Times New Roman"/>
      </w:rPr>
    </w:lvl>
    <w:lvl w:ilvl="2">
      <w:start w:val="1"/>
      <w:numFmt w:val="lowerRoman"/>
      <w:lvlText w:val="%3."/>
      <w:lvlJc w:val="left"/>
      <w:pPr>
        <w:tabs>
          <w:tab w:val="num" w:pos="2160"/>
        </w:tabs>
        <w:ind w:right="2160" w:hanging="180"/>
      </w:pPr>
      <w:rPr>
        <w:rFonts w:cs="Times New Roman"/>
      </w:rPr>
    </w:lvl>
    <w:lvl w:ilvl="3">
      <w:start w:val="1"/>
      <w:numFmt w:val="decimal"/>
      <w:lvlText w:val="%4."/>
      <w:lvlJc w:val="right"/>
      <w:pPr>
        <w:tabs>
          <w:tab w:val="num" w:pos="2880"/>
        </w:tabs>
        <w:ind w:right="2880" w:hanging="360"/>
      </w:pPr>
      <w:rPr>
        <w:rFonts w:cs="Times New Roman"/>
      </w:rPr>
    </w:lvl>
    <w:lvl w:ilvl="4">
      <w:start w:val="1"/>
      <w:numFmt w:val="lowerLetter"/>
      <w:lvlText w:val="%5."/>
      <w:lvlJc w:val="right"/>
      <w:pPr>
        <w:tabs>
          <w:tab w:val="num" w:pos="3600"/>
        </w:tabs>
        <w:ind w:right="3600" w:hanging="360"/>
      </w:pPr>
      <w:rPr>
        <w:rFonts w:cs="Times New Roman"/>
      </w:rPr>
    </w:lvl>
    <w:lvl w:ilvl="5">
      <w:start w:val="1"/>
      <w:numFmt w:val="lowerRoman"/>
      <w:lvlText w:val="%6."/>
      <w:lvlJc w:val="left"/>
      <w:pPr>
        <w:tabs>
          <w:tab w:val="num" w:pos="4320"/>
        </w:tabs>
        <w:ind w:right="4320" w:hanging="180"/>
      </w:pPr>
      <w:rPr>
        <w:rFonts w:cs="Times New Roman"/>
      </w:rPr>
    </w:lvl>
    <w:lvl w:ilvl="6">
      <w:start w:val="1"/>
      <w:numFmt w:val="decimal"/>
      <w:lvlText w:val="%7."/>
      <w:lvlJc w:val="right"/>
      <w:pPr>
        <w:tabs>
          <w:tab w:val="num" w:pos="5040"/>
        </w:tabs>
        <w:ind w:right="5040" w:hanging="360"/>
      </w:pPr>
      <w:rPr>
        <w:rFonts w:cs="Times New Roman"/>
      </w:rPr>
    </w:lvl>
    <w:lvl w:ilvl="7">
      <w:start w:val="1"/>
      <w:numFmt w:val="lowerLetter"/>
      <w:lvlText w:val="%8."/>
      <w:lvlJc w:val="right"/>
      <w:pPr>
        <w:tabs>
          <w:tab w:val="num" w:pos="5760"/>
        </w:tabs>
        <w:ind w:right="5760" w:hanging="360"/>
      </w:pPr>
      <w:rPr>
        <w:rFonts w:cs="Times New Roman"/>
      </w:rPr>
    </w:lvl>
    <w:lvl w:ilvl="8">
      <w:start w:val="1"/>
      <w:numFmt w:val="lowerRoman"/>
      <w:lvlText w:val="%9."/>
      <w:lvlJc w:val="left"/>
      <w:pPr>
        <w:tabs>
          <w:tab w:val="num" w:pos="6480"/>
        </w:tabs>
        <w:ind w:right="6480" w:hanging="180"/>
      </w:pPr>
      <w:rPr>
        <w:rFonts w:cs="Times New Roman"/>
      </w:rPr>
    </w:lvl>
  </w:abstractNum>
  <w:abstractNum w:abstractNumId="1">
    <w:nsid w:val="73B12C8C"/>
    <w:multiLevelType w:val="multilevel"/>
    <w:tmpl w:val="8576A47A"/>
    <w:lvl w:ilvl="0">
      <w:start w:val="1"/>
      <w:numFmt w:val="bullet"/>
      <w:lvlText w:val=""/>
      <w:lvlJc w:val="right"/>
      <w:pPr>
        <w:tabs>
          <w:tab w:val="num" w:pos="1195"/>
        </w:tabs>
        <w:ind w:right="1195" w:hanging="360"/>
      </w:pPr>
      <w:rPr>
        <w:rFonts w:ascii="Symbol" w:hint="default"/>
        <w:spacing w:val="0"/>
        <w:w w:val="100"/>
        <w:position w:val="0"/>
      </w:rPr>
    </w:lvl>
    <w:lvl w:ilvl="1">
      <w:start w:val="1"/>
      <w:numFmt w:val="bullet"/>
      <w:lvlText w:val="o"/>
      <w:lvlJc w:val="right"/>
      <w:pPr>
        <w:tabs>
          <w:tab w:val="num" w:pos="1915"/>
        </w:tabs>
        <w:ind w:right="1915" w:hanging="360"/>
      </w:pPr>
      <w:rPr>
        <w:rFonts w:ascii="Courier New" w:hint="default"/>
      </w:rPr>
    </w:lvl>
    <w:lvl w:ilvl="2">
      <w:start w:val="1"/>
      <w:numFmt w:val="bullet"/>
      <w:lvlText w:val=""/>
      <w:lvlJc w:val="right"/>
      <w:pPr>
        <w:tabs>
          <w:tab w:val="num" w:pos="2635"/>
        </w:tabs>
        <w:ind w:right="2635" w:hanging="360"/>
      </w:pPr>
      <w:rPr>
        <w:rFonts w:ascii="Wingdings" w:hint="default"/>
      </w:rPr>
    </w:lvl>
    <w:lvl w:ilvl="3">
      <w:start w:val="1"/>
      <w:numFmt w:val="bullet"/>
      <w:lvlText w:val=""/>
      <w:lvlJc w:val="right"/>
      <w:pPr>
        <w:tabs>
          <w:tab w:val="num" w:pos="3355"/>
        </w:tabs>
        <w:ind w:right="3355" w:hanging="360"/>
      </w:pPr>
      <w:rPr>
        <w:rFonts w:ascii="Symbol" w:hint="default"/>
      </w:rPr>
    </w:lvl>
    <w:lvl w:ilvl="4">
      <w:start w:val="1"/>
      <w:numFmt w:val="bullet"/>
      <w:lvlText w:val="o"/>
      <w:lvlJc w:val="right"/>
      <w:pPr>
        <w:tabs>
          <w:tab w:val="num" w:pos="4075"/>
        </w:tabs>
        <w:ind w:right="4075" w:hanging="360"/>
      </w:pPr>
      <w:rPr>
        <w:rFonts w:ascii="Courier New" w:hint="default"/>
      </w:rPr>
    </w:lvl>
    <w:lvl w:ilvl="5">
      <w:start w:val="1"/>
      <w:numFmt w:val="bullet"/>
      <w:lvlText w:val=""/>
      <w:lvlJc w:val="right"/>
      <w:pPr>
        <w:tabs>
          <w:tab w:val="num" w:pos="4795"/>
        </w:tabs>
        <w:ind w:right="4795" w:hanging="360"/>
      </w:pPr>
      <w:rPr>
        <w:rFonts w:ascii="Wingdings" w:hint="default"/>
      </w:rPr>
    </w:lvl>
    <w:lvl w:ilvl="6">
      <w:start w:val="1"/>
      <w:numFmt w:val="bullet"/>
      <w:lvlText w:val=""/>
      <w:lvlJc w:val="right"/>
      <w:pPr>
        <w:tabs>
          <w:tab w:val="num" w:pos="5515"/>
        </w:tabs>
        <w:ind w:right="5515" w:hanging="360"/>
      </w:pPr>
      <w:rPr>
        <w:rFonts w:ascii="Symbol" w:hint="default"/>
      </w:rPr>
    </w:lvl>
    <w:lvl w:ilvl="7">
      <w:start w:val="1"/>
      <w:numFmt w:val="bullet"/>
      <w:lvlText w:val="o"/>
      <w:lvlJc w:val="right"/>
      <w:pPr>
        <w:tabs>
          <w:tab w:val="num" w:pos="6235"/>
        </w:tabs>
        <w:ind w:right="6235" w:hanging="360"/>
      </w:pPr>
      <w:rPr>
        <w:rFonts w:ascii="Courier New" w:hint="default"/>
      </w:rPr>
    </w:lvl>
    <w:lvl w:ilvl="8">
      <w:start w:val="1"/>
      <w:numFmt w:val="bullet"/>
      <w:lvlText w:val=""/>
      <w:lvlJc w:val="right"/>
      <w:pPr>
        <w:tabs>
          <w:tab w:val="num" w:pos="6955"/>
        </w:tabs>
        <w:ind w:right="6955" w:hanging="360"/>
      </w:pPr>
      <w:rPr>
        <w:rFonts w:ascii="Wingdings" w:hint="default"/>
      </w:rPr>
    </w:lvl>
  </w:abstractNum>
  <w:num w:numId="1">
    <w:abstractNumId w:val="0"/>
  </w:num>
  <w:num w:numId="2">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1A40"/>
    <w:rsid w:val="00007309"/>
    <w:rsid w:val="00063D95"/>
    <w:rsid w:val="0007465E"/>
    <w:rsid w:val="0009450C"/>
    <w:rsid w:val="000D6746"/>
    <w:rsid w:val="000E309D"/>
    <w:rsid w:val="000E5437"/>
    <w:rsid w:val="0011296A"/>
    <w:rsid w:val="001336CC"/>
    <w:rsid w:val="00134482"/>
    <w:rsid w:val="00134F53"/>
    <w:rsid w:val="00156DAD"/>
    <w:rsid w:val="00166C5F"/>
    <w:rsid w:val="001A2169"/>
    <w:rsid w:val="001D08AE"/>
    <w:rsid w:val="001E74A6"/>
    <w:rsid w:val="0020255E"/>
    <w:rsid w:val="00231EDF"/>
    <w:rsid w:val="00247E9C"/>
    <w:rsid w:val="00272931"/>
    <w:rsid w:val="00282BBA"/>
    <w:rsid w:val="002B39C1"/>
    <w:rsid w:val="002D629A"/>
    <w:rsid w:val="002E20BC"/>
    <w:rsid w:val="002F1396"/>
    <w:rsid w:val="00347240"/>
    <w:rsid w:val="00352B91"/>
    <w:rsid w:val="00371552"/>
    <w:rsid w:val="003841DB"/>
    <w:rsid w:val="003A0E83"/>
    <w:rsid w:val="003A3CFF"/>
    <w:rsid w:val="003A727B"/>
    <w:rsid w:val="003C0900"/>
    <w:rsid w:val="00401DCC"/>
    <w:rsid w:val="0043727D"/>
    <w:rsid w:val="004608F2"/>
    <w:rsid w:val="00466534"/>
    <w:rsid w:val="00485FDB"/>
    <w:rsid w:val="004A620C"/>
    <w:rsid w:val="004D58FB"/>
    <w:rsid w:val="00510565"/>
    <w:rsid w:val="00521D91"/>
    <w:rsid w:val="00547F3C"/>
    <w:rsid w:val="0056262E"/>
    <w:rsid w:val="00575308"/>
    <w:rsid w:val="005B40D5"/>
    <w:rsid w:val="005C2E20"/>
    <w:rsid w:val="005C6C9E"/>
    <w:rsid w:val="005C70D5"/>
    <w:rsid w:val="005F01B5"/>
    <w:rsid w:val="00602EF1"/>
    <w:rsid w:val="00606298"/>
    <w:rsid w:val="00611A1C"/>
    <w:rsid w:val="00633B0D"/>
    <w:rsid w:val="0064446A"/>
    <w:rsid w:val="0065189A"/>
    <w:rsid w:val="00666389"/>
    <w:rsid w:val="00690A17"/>
    <w:rsid w:val="006A0C80"/>
    <w:rsid w:val="006D2826"/>
    <w:rsid w:val="006F705A"/>
    <w:rsid w:val="00703268"/>
    <w:rsid w:val="007114AF"/>
    <w:rsid w:val="00714AEC"/>
    <w:rsid w:val="0071548B"/>
    <w:rsid w:val="0075291A"/>
    <w:rsid w:val="00755D6A"/>
    <w:rsid w:val="007758CC"/>
    <w:rsid w:val="00792816"/>
    <w:rsid w:val="007C2ACC"/>
    <w:rsid w:val="007D384D"/>
    <w:rsid w:val="007E03EF"/>
    <w:rsid w:val="00806CC4"/>
    <w:rsid w:val="00811915"/>
    <w:rsid w:val="008258E6"/>
    <w:rsid w:val="008372C0"/>
    <w:rsid w:val="00840F1C"/>
    <w:rsid w:val="00845FA8"/>
    <w:rsid w:val="00852F64"/>
    <w:rsid w:val="0086257B"/>
    <w:rsid w:val="00877E9A"/>
    <w:rsid w:val="0088435A"/>
    <w:rsid w:val="008E6390"/>
    <w:rsid w:val="009116B0"/>
    <w:rsid w:val="0092031D"/>
    <w:rsid w:val="00925B75"/>
    <w:rsid w:val="00940563"/>
    <w:rsid w:val="00941E7B"/>
    <w:rsid w:val="00954813"/>
    <w:rsid w:val="009569EC"/>
    <w:rsid w:val="00957FF7"/>
    <w:rsid w:val="00962EFE"/>
    <w:rsid w:val="009756DD"/>
    <w:rsid w:val="009778F8"/>
    <w:rsid w:val="00983F34"/>
    <w:rsid w:val="009A5FB3"/>
    <w:rsid w:val="009E66B6"/>
    <w:rsid w:val="00A06AF6"/>
    <w:rsid w:val="00A13282"/>
    <w:rsid w:val="00A30853"/>
    <w:rsid w:val="00A32568"/>
    <w:rsid w:val="00A506EA"/>
    <w:rsid w:val="00A5136C"/>
    <w:rsid w:val="00A5312C"/>
    <w:rsid w:val="00AF6C4B"/>
    <w:rsid w:val="00B17E9A"/>
    <w:rsid w:val="00B17EA9"/>
    <w:rsid w:val="00B35AF6"/>
    <w:rsid w:val="00B36739"/>
    <w:rsid w:val="00B558C5"/>
    <w:rsid w:val="00B56BE2"/>
    <w:rsid w:val="00B6704B"/>
    <w:rsid w:val="00BB2A35"/>
    <w:rsid w:val="00BC41D5"/>
    <w:rsid w:val="00C16EB5"/>
    <w:rsid w:val="00C535E9"/>
    <w:rsid w:val="00C54C28"/>
    <w:rsid w:val="00C62482"/>
    <w:rsid w:val="00C7365F"/>
    <w:rsid w:val="00CC22AA"/>
    <w:rsid w:val="00CD228A"/>
    <w:rsid w:val="00D12F04"/>
    <w:rsid w:val="00D13E86"/>
    <w:rsid w:val="00D25A25"/>
    <w:rsid w:val="00D41118"/>
    <w:rsid w:val="00D45634"/>
    <w:rsid w:val="00D56660"/>
    <w:rsid w:val="00D71C62"/>
    <w:rsid w:val="00DA2364"/>
    <w:rsid w:val="00DA6712"/>
    <w:rsid w:val="00DB4337"/>
    <w:rsid w:val="00DC0A49"/>
    <w:rsid w:val="00DD1090"/>
    <w:rsid w:val="00DD49F1"/>
    <w:rsid w:val="00E05187"/>
    <w:rsid w:val="00E26B77"/>
    <w:rsid w:val="00E33CD0"/>
    <w:rsid w:val="00E36B21"/>
    <w:rsid w:val="00E41A40"/>
    <w:rsid w:val="00E46817"/>
    <w:rsid w:val="00E47C9B"/>
    <w:rsid w:val="00EA7581"/>
    <w:rsid w:val="00EE5D88"/>
    <w:rsid w:val="00EE6BF9"/>
    <w:rsid w:val="00EF3849"/>
    <w:rsid w:val="00EF6D17"/>
    <w:rsid w:val="00F261A4"/>
    <w:rsid w:val="00FB1D80"/>
    <w:rsid w:val="00FC5E77"/>
    <w:rsid w:val="00FE37E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Miriam"/>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next w:val="a"/>
    <w:link w:val="10"/>
    <w:uiPriority w:val="9"/>
    <w:qFormat/>
    <w:rsid w:val="0007465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34F5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qFormat/>
    <w:rsid w:val="00D45634"/>
    <w:pPr>
      <w:keepNext/>
      <w:bidi w:val="0"/>
      <w:spacing w:before="240" w:after="60"/>
      <w:outlineLvl w:val="2"/>
    </w:pPr>
    <w:rPr>
      <w:rFonts w:ascii="Arial" w:cs="Arial"/>
      <w:b/>
      <w:bCs/>
      <w:sz w:val="26"/>
      <w:szCs w:val="26"/>
      <w:lang w:eastAsia="he-IL"/>
    </w:rPr>
  </w:style>
  <w:style w:type="paragraph" w:styleId="4">
    <w:name w:val="heading 4"/>
    <w:basedOn w:val="a"/>
    <w:next w:val="a"/>
    <w:link w:val="40"/>
    <w:uiPriority w:val="9"/>
    <w:unhideWhenUsed/>
    <w:qFormat/>
    <w:rsid w:val="00C16EB5"/>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0">
    <w:name w:val="כותרת 100"/>
    <w:basedOn w:val="a3"/>
    <w:pPr>
      <w:tabs>
        <w:tab w:val="num" w:pos="432"/>
      </w:tabs>
      <w:spacing w:before="0" w:after="80"/>
      <w:ind w:left="72" w:right="432" w:hanging="72"/>
    </w:pPr>
    <w:rPr>
      <w:rFonts w:ascii="FontbitLivorna" w:cs="FontbitLivorna"/>
      <w:sz w:val="26"/>
      <w:szCs w:val="36"/>
    </w:rPr>
  </w:style>
  <w:style w:type="paragraph" w:customStyle="1" w:styleId="a3">
    <w:name w:val="כותרת"/>
    <w:basedOn w:val="a"/>
    <w:next w:val="a4"/>
    <w:pPr>
      <w:keepNext/>
      <w:spacing w:before="280"/>
      <w:jc w:val="center"/>
    </w:pPr>
    <w:rPr>
      <w:rFonts w:cs="David"/>
      <w:b/>
      <w:bCs/>
      <w:szCs w:val="30"/>
      <w:lang w:eastAsia="he-IL"/>
    </w:rPr>
  </w:style>
  <w:style w:type="paragraph" w:customStyle="1" w:styleId="a4">
    <w:name w:val="טעקסט"/>
    <w:basedOn w:val="a"/>
    <w:pPr>
      <w:spacing w:before="120" w:line="340" w:lineRule="exact"/>
      <w:ind w:firstLine="480"/>
      <w:jc w:val="both"/>
    </w:pPr>
    <w:rPr>
      <w:rFonts w:cs="David"/>
      <w:b/>
      <w:szCs w:val="28"/>
      <w:lang w:eastAsia="he-IL"/>
    </w:rPr>
  </w:style>
  <w:style w:type="paragraph" w:styleId="a5">
    <w:name w:val="footnote text"/>
    <w:basedOn w:val="a"/>
    <w:link w:val="a6"/>
    <w:autoRedefine/>
    <w:pPr>
      <w:jc w:val="both"/>
    </w:pPr>
    <w:rPr>
      <w:rFonts w:cs="Arial"/>
      <w:szCs w:val="24"/>
    </w:rPr>
  </w:style>
  <w:style w:type="character" w:styleId="a7">
    <w:name w:val="footnote reference"/>
    <w:uiPriority w:val="99"/>
    <w:semiHidden/>
    <w:rPr>
      <w:vertAlign w:val="superscript"/>
    </w:rPr>
  </w:style>
  <w:style w:type="paragraph" w:styleId="NormalWeb">
    <w:name w:val="Normal (Web)"/>
    <w:basedOn w:val="a"/>
    <w:rsid w:val="00485FDB"/>
    <w:pPr>
      <w:spacing w:after="40" w:line="360" w:lineRule="atLeast"/>
      <w:ind w:left="144" w:right="144" w:firstLine="288"/>
      <w:jc w:val="both"/>
    </w:pPr>
    <w:rPr>
      <w:rFonts w:ascii="Arial" w:hAnsi="Arial Unicode MS" w:cs="Guttman Frank"/>
      <w:b/>
      <w:bCs/>
      <w:sz w:val="29"/>
      <w:szCs w:val="24"/>
      <w:lang w:eastAsia="he-IL"/>
    </w:rPr>
  </w:style>
  <w:style w:type="paragraph" w:customStyle="1" w:styleId="a8">
    <w:name w:val="זהר פרשה"/>
    <w:basedOn w:val="a9"/>
    <w:pPr>
      <w:keepNext/>
      <w:spacing w:before="180"/>
      <w:ind w:left="144"/>
    </w:pPr>
    <w:rPr>
      <w:szCs w:val="36"/>
    </w:rPr>
  </w:style>
  <w:style w:type="paragraph" w:customStyle="1" w:styleId="a9">
    <w:name w:val="זוהר פרשה"/>
    <w:basedOn w:val="a"/>
    <w:pPr>
      <w:spacing w:after="120" w:line="360" w:lineRule="atLeast"/>
      <w:ind w:right="144"/>
      <w:jc w:val="center"/>
    </w:pPr>
    <w:rPr>
      <w:rFonts w:ascii="Arial" w:cs="Guttman Drogolin"/>
      <w:b/>
      <w:bCs/>
      <w:sz w:val="24"/>
      <w:szCs w:val="50"/>
      <w:lang w:eastAsia="he-IL"/>
    </w:rPr>
  </w:style>
  <w:style w:type="paragraph" w:customStyle="1" w:styleId="aa">
    <w:name w:val="זוהר דף"/>
    <w:basedOn w:val="NormalWeb"/>
    <w:pPr>
      <w:keepNext/>
      <w:spacing w:after="60"/>
    </w:pPr>
    <w:rPr>
      <w:rFonts w:hAnsi="Arial" w:cs="Guttman Drogolin"/>
      <w:sz w:val="25"/>
      <w:szCs w:val="25"/>
    </w:rPr>
  </w:style>
  <w:style w:type="character" w:customStyle="1" w:styleId="Char">
    <w:name w:val="זוהר טקסט Char"/>
    <w:rPr>
      <w:rFonts w:ascii="Arial" w:cs="Guttman Frank"/>
      <w:b/>
      <w:bCs/>
      <w:noProof w:val="0"/>
      <w:sz w:val="29"/>
      <w:szCs w:val="29"/>
      <w:lang w:val="en-US" w:bidi="he-IL"/>
    </w:rPr>
  </w:style>
  <w:style w:type="character" w:customStyle="1" w:styleId="Char0">
    <w:name w:val="מראה מקום Char"/>
    <w:rPr>
      <w:rFonts w:ascii="Arial" w:eastAsia="Times New Roman" w:hAnsi="Arial" w:cs="Guttman Frank"/>
      <w:b/>
      <w:noProof w:val="0"/>
      <w:sz w:val="23"/>
      <w:szCs w:val="23"/>
      <w:lang w:val="en-US" w:bidi="he-IL"/>
    </w:rPr>
  </w:style>
  <w:style w:type="character" w:customStyle="1" w:styleId="ab">
    <w:name w:val="תו"/>
    <w:rPr>
      <w:rFonts w:ascii="Arial Unicode MS" w:eastAsia="Times New Roman" w:hAnsi="Arial Unicode MS" w:cs="Arial Unicode MS"/>
      <w:noProof w:val="0"/>
      <w:sz w:val="24"/>
      <w:szCs w:val="24"/>
      <w:lang w:val="en-US" w:bidi="he-IL"/>
    </w:rPr>
  </w:style>
  <w:style w:type="paragraph" w:styleId="ac">
    <w:name w:val="Body Text"/>
    <w:basedOn w:val="a"/>
    <w:link w:val="ad"/>
    <w:semiHidden/>
    <w:pPr>
      <w:jc w:val="both"/>
    </w:pPr>
    <w:rPr>
      <w:rFonts w:ascii="Arial" w:cs="Arial"/>
      <w:sz w:val="38"/>
      <w:szCs w:val="38"/>
      <w:lang w:eastAsia="he-IL"/>
    </w:rPr>
  </w:style>
  <w:style w:type="paragraph" w:customStyle="1" w:styleId="21">
    <w:name w:val="הלכות גוטע 2"/>
    <w:basedOn w:val="a"/>
    <w:pPr>
      <w:keepNext/>
      <w:pBdr>
        <w:top w:val="thinThickLargeGap" w:sz="12" w:space="1" w:color="auto"/>
        <w:bottom w:val="thinThickLargeGap" w:sz="12" w:space="1" w:color="auto"/>
      </w:pBdr>
      <w:shd w:val="solid" w:color="auto" w:fill="auto"/>
      <w:spacing w:before="100" w:after="100"/>
      <w:jc w:val="center"/>
      <w:outlineLvl w:val="2"/>
    </w:pPr>
    <w:rPr>
      <w:rFonts w:cs="S-Rogel"/>
      <w:b/>
      <w:bCs/>
      <w:sz w:val="42"/>
      <w:szCs w:val="42"/>
      <w:lang w:eastAsia="he-IL"/>
    </w:rPr>
  </w:style>
  <w:style w:type="paragraph" w:customStyle="1" w:styleId="ae">
    <w:name w:val="מראה מקום"/>
    <w:basedOn w:val="NormalWeb"/>
    <w:link w:val="af"/>
    <w:qFormat/>
    <w:pPr>
      <w:spacing w:after="144"/>
    </w:pPr>
    <w:rPr>
      <w:rFonts w:hAnsi="Arial"/>
      <w:b w:val="0"/>
      <w:szCs w:val="23"/>
    </w:rPr>
  </w:style>
  <w:style w:type="paragraph" w:customStyle="1" w:styleId="af0">
    <w:name w:val="זוהר טקסט"/>
    <w:basedOn w:val="a"/>
    <w:pPr>
      <w:spacing w:after="144" w:line="360" w:lineRule="atLeast"/>
      <w:ind w:left="144" w:right="144" w:firstLine="288"/>
      <w:jc w:val="both"/>
    </w:pPr>
    <w:rPr>
      <w:rFonts w:ascii="Arial" w:cs="Guttman Frank"/>
      <w:b/>
      <w:bCs/>
      <w:sz w:val="29"/>
      <w:szCs w:val="29"/>
      <w:lang w:eastAsia="he-IL"/>
    </w:rPr>
  </w:style>
  <w:style w:type="paragraph" w:customStyle="1" w:styleId="af1">
    <w:name w:val="סדר הלימוד ליום"/>
    <w:basedOn w:val="a"/>
    <w:pPr>
      <w:keepNext/>
      <w:pBdr>
        <w:top w:val="single" w:sz="8" w:space="0" w:color="auto"/>
        <w:left w:val="single" w:sz="8" w:space="4" w:color="auto"/>
        <w:bottom w:val="single" w:sz="8" w:space="2" w:color="auto"/>
        <w:right w:val="single" w:sz="8" w:space="4" w:color="auto"/>
      </w:pBdr>
      <w:spacing w:before="240" w:after="240"/>
      <w:ind w:left="144" w:right="2592"/>
      <w:jc w:val="center"/>
      <w:outlineLvl w:val="2"/>
    </w:pPr>
    <w:rPr>
      <w:rFonts w:cs="Guttman Drogolin"/>
      <w:b/>
      <w:bCs/>
      <w:sz w:val="34"/>
      <w:szCs w:val="34"/>
      <w:lang w:eastAsia="he-IL"/>
    </w:rPr>
  </w:style>
  <w:style w:type="paragraph" w:customStyle="1" w:styleId="af2">
    <w:name w:val="דף ישן"/>
    <w:basedOn w:val="NormalWeb"/>
    <w:pPr>
      <w:spacing w:after="144"/>
    </w:pPr>
    <w:rPr>
      <w:rFonts w:hAnsi="Arial" w:cs="Guttman Drogolin"/>
      <w:sz w:val="25"/>
      <w:szCs w:val="25"/>
    </w:rPr>
  </w:style>
  <w:style w:type="paragraph" w:customStyle="1" w:styleId="af3">
    <w:name w:val="זוהר סדר"/>
    <w:basedOn w:val="NormalWeb"/>
    <w:pPr>
      <w:spacing w:after="144"/>
      <w:jc w:val="center"/>
    </w:pPr>
    <w:rPr>
      <w:rFonts w:hAnsi="Arial" w:cs="Guttman Drogolin"/>
      <w:b w:val="0"/>
      <w:bCs w:val="0"/>
      <w:sz w:val="62"/>
      <w:szCs w:val="62"/>
    </w:rPr>
  </w:style>
  <w:style w:type="character" w:customStyle="1" w:styleId="Char1">
    <w:name w:val="זוהר פרשה Char"/>
    <w:rPr>
      <w:rFonts w:ascii="Arial" w:cs="Guttman Drogolin"/>
      <w:b/>
      <w:bCs/>
      <w:noProof w:val="0"/>
      <w:sz w:val="50"/>
      <w:szCs w:val="50"/>
      <w:lang w:val="en-US" w:bidi="he-IL"/>
    </w:rPr>
  </w:style>
  <w:style w:type="character" w:customStyle="1" w:styleId="Char2">
    <w:name w:val="זהר פרשה Char"/>
    <w:rPr>
      <w:rFonts w:ascii="Arial" w:cs="Guttman Drogolin"/>
      <w:b/>
      <w:bCs/>
      <w:noProof w:val="0"/>
      <w:sz w:val="36"/>
      <w:szCs w:val="36"/>
      <w:lang w:val="en-US" w:bidi="he-IL"/>
    </w:rPr>
  </w:style>
  <w:style w:type="character" w:customStyle="1" w:styleId="Char3">
    <w:name w:val="טעקסט Char"/>
    <w:rPr>
      <w:rFonts w:cs="David"/>
      <w:b/>
      <w:noProof w:val="0"/>
      <w:sz w:val="28"/>
      <w:szCs w:val="28"/>
      <w:lang w:val="en-US" w:bidi="he-IL"/>
    </w:rPr>
  </w:style>
  <w:style w:type="character" w:customStyle="1" w:styleId="Char4">
    <w:name w:val="כותרת Char"/>
    <w:rPr>
      <w:rFonts w:cs="David"/>
      <w:b/>
      <w:bCs/>
      <w:noProof w:val="0"/>
      <w:sz w:val="30"/>
      <w:szCs w:val="30"/>
      <w:lang w:val="en-US" w:bidi="he-IL"/>
    </w:rPr>
  </w:style>
  <w:style w:type="paragraph" w:customStyle="1" w:styleId="af4">
    <w:name w:val="טקסט כללים"/>
    <w:basedOn w:val="a4"/>
    <w:pPr>
      <w:spacing w:before="0" w:after="80" w:line="240" w:lineRule="auto"/>
      <w:ind w:firstLine="0"/>
    </w:pPr>
    <w:rPr>
      <w:rFonts w:ascii="FontbitLivorna" w:cs="FontbitLivorna"/>
      <w:bCs/>
      <w:sz w:val="22"/>
      <w:szCs w:val="30"/>
    </w:rPr>
  </w:style>
  <w:style w:type="paragraph" w:customStyle="1" w:styleId="af5">
    <w:name w:val="מראה מקום כללים"/>
    <w:basedOn w:val="a4"/>
    <w:pPr>
      <w:spacing w:before="0" w:after="80" w:line="240" w:lineRule="auto"/>
      <w:ind w:firstLine="0"/>
    </w:pPr>
    <w:rPr>
      <w:rFonts w:ascii="FontbitLivorna" w:cs="FontbitLivorna"/>
      <w:sz w:val="22"/>
      <w:szCs w:val="24"/>
    </w:rPr>
  </w:style>
  <w:style w:type="character" w:customStyle="1" w:styleId="Char5">
    <w:name w:val="מראה מקום כללים Char"/>
    <w:rPr>
      <w:rFonts w:ascii="FontbitLivorna" w:cs="FontbitLivorna"/>
      <w:b/>
      <w:noProof w:val="0"/>
      <w:sz w:val="24"/>
      <w:szCs w:val="24"/>
      <w:lang w:val="en-US" w:bidi="he-IL"/>
    </w:rPr>
  </w:style>
  <w:style w:type="character" w:customStyle="1" w:styleId="Char6">
    <w:name w:val="טקסט כללים Char"/>
    <w:rPr>
      <w:rFonts w:ascii="FontbitLivorna" w:cs="FontbitLivorna"/>
      <w:b/>
      <w:bCs/>
      <w:noProof w:val="0"/>
      <w:sz w:val="30"/>
      <w:szCs w:val="30"/>
      <w:lang w:val="en-US" w:bidi="he-IL"/>
    </w:rPr>
  </w:style>
  <w:style w:type="paragraph" w:customStyle="1" w:styleId="BodyText15">
    <w:name w:val="Body_Text15"/>
    <w:basedOn w:val="a"/>
    <w:pPr>
      <w:bidi w:val="0"/>
      <w:jc w:val="right"/>
    </w:pPr>
    <w:rPr>
      <w:rFonts w:cs="Times New Roman"/>
      <w:sz w:val="40"/>
      <w:szCs w:val="24"/>
      <w:lang w:eastAsia="he-IL"/>
    </w:rPr>
  </w:style>
  <w:style w:type="paragraph" w:customStyle="1" w:styleId="af6">
    <w:name w:val="הקדמה"/>
    <w:basedOn w:val="a4"/>
    <w:pPr>
      <w:pBdr>
        <w:top w:val="single" w:sz="12" w:space="1" w:color="auto"/>
        <w:left w:val="single" w:sz="12" w:space="4" w:color="auto"/>
        <w:bottom w:val="single" w:sz="12" w:space="1" w:color="auto"/>
        <w:right w:val="single" w:sz="12" w:space="4" w:color="auto"/>
      </w:pBdr>
      <w:spacing w:before="0" w:after="120" w:line="240" w:lineRule="auto"/>
      <w:ind w:left="864" w:right="864" w:firstLine="0"/>
      <w:jc w:val="center"/>
    </w:pPr>
    <w:rPr>
      <w:rFonts w:ascii="FontbitLivorna" w:cs="AhavaFullDot"/>
      <w:b w:val="0"/>
      <w:bCs/>
      <w:sz w:val="72"/>
      <w:szCs w:val="80"/>
    </w:rPr>
  </w:style>
  <w:style w:type="paragraph" w:customStyle="1" w:styleId="22">
    <w:name w:val="הגהה2"/>
    <w:basedOn w:val="NormalWeb"/>
    <w:rsid w:val="00485FDB"/>
    <w:rPr>
      <w:rFonts w:hAnsi="Arial" w:cs="Guttman Adii-Light"/>
      <w:b w:val="0"/>
      <w:sz w:val="20"/>
      <w:szCs w:val="20"/>
    </w:rPr>
  </w:style>
  <w:style w:type="paragraph" w:customStyle="1" w:styleId="af7">
    <w:name w:val="הגהה"/>
    <w:basedOn w:val="NormalWeb"/>
    <w:rPr>
      <w:b w:val="0"/>
      <w:bCs w:val="0"/>
    </w:rPr>
  </w:style>
  <w:style w:type="character" w:styleId="Hyperlink">
    <w:name w:val="Hyperlink"/>
    <w:rPr>
      <w:color w:val="0000FF"/>
      <w:u w:val="single"/>
    </w:rPr>
  </w:style>
  <w:style w:type="character" w:styleId="FollowedHyperlink">
    <w:name w:val="FollowedHyperlink"/>
    <w:semiHidden/>
    <w:rPr>
      <w:color w:val="800080"/>
      <w:u w:val="single"/>
    </w:rPr>
  </w:style>
  <w:style w:type="paragraph" w:styleId="af8">
    <w:name w:val="Title"/>
    <w:basedOn w:val="a"/>
    <w:next w:val="a"/>
    <w:link w:val="af9"/>
    <w:uiPriority w:val="10"/>
    <w:qFormat/>
    <w:rsid w:val="005C2E2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9">
    <w:name w:val="כותרת טקסט תו"/>
    <w:basedOn w:val="a0"/>
    <w:link w:val="af8"/>
    <w:uiPriority w:val="10"/>
    <w:rsid w:val="005C2E20"/>
    <w:rPr>
      <w:rFonts w:asciiTheme="majorHAnsi" w:eastAsiaTheme="majorEastAsia" w:hAnsiTheme="majorHAnsi" w:cstheme="majorBidi"/>
      <w:color w:val="17365D" w:themeColor="text2" w:themeShade="BF"/>
      <w:spacing w:val="5"/>
      <w:kern w:val="28"/>
      <w:sz w:val="52"/>
      <w:szCs w:val="52"/>
    </w:rPr>
  </w:style>
  <w:style w:type="character" w:customStyle="1" w:styleId="10">
    <w:name w:val="כותרת 1 תו"/>
    <w:basedOn w:val="a0"/>
    <w:link w:val="1"/>
    <w:uiPriority w:val="9"/>
    <w:rsid w:val="0007465E"/>
    <w:rPr>
      <w:rFonts w:asciiTheme="majorHAnsi" w:eastAsiaTheme="majorEastAsia" w:hAnsiTheme="majorHAnsi" w:cstheme="majorBidi"/>
      <w:b/>
      <w:bCs/>
      <w:color w:val="365F91" w:themeColor="accent1" w:themeShade="BF"/>
      <w:sz w:val="28"/>
      <w:szCs w:val="28"/>
    </w:rPr>
  </w:style>
  <w:style w:type="paragraph" w:customStyle="1" w:styleId="afa">
    <w:name w:val="סגנון_תיקון"/>
    <w:basedOn w:val="af8"/>
    <w:link w:val="afb"/>
    <w:qFormat/>
    <w:rsid w:val="005C2E20"/>
  </w:style>
  <w:style w:type="character" w:customStyle="1" w:styleId="afb">
    <w:name w:val="סגנון_תיקון תו"/>
    <w:basedOn w:val="af9"/>
    <w:link w:val="afa"/>
    <w:rsid w:val="005C2E20"/>
    <w:rPr>
      <w:rFonts w:asciiTheme="majorHAnsi" w:eastAsiaTheme="majorEastAsia" w:hAnsiTheme="majorHAnsi" w:cstheme="majorBidi"/>
      <w:color w:val="17365D" w:themeColor="text2" w:themeShade="BF"/>
      <w:spacing w:val="5"/>
      <w:kern w:val="28"/>
      <w:sz w:val="52"/>
      <w:szCs w:val="52"/>
    </w:rPr>
  </w:style>
  <w:style w:type="paragraph" w:styleId="afc">
    <w:name w:val="Subtitle"/>
    <w:basedOn w:val="a"/>
    <w:next w:val="a"/>
    <w:link w:val="afd"/>
    <w:uiPriority w:val="11"/>
    <w:qFormat/>
    <w:rsid w:val="00755D6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d">
    <w:name w:val="כותרת משנה תו"/>
    <w:basedOn w:val="a0"/>
    <w:link w:val="afc"/>
    <w:uiPriority w:val="11"/>
    <w:rsid w:val="00755D6A"/>
    <w:rPr>
      <w:rFonts w:asciiTheme="majorHAnsi" w:eastAsiaTheme="majorEastAsia" w:hAnsiTheme="majorHAnsi" w:cstheme="majorBidi"/>
      <w:i/>
      <w:iCs/>
      <w:color w:val="4F81BD" w:themeColor="accent1"/>
      <w:spacing w:val="15"/>
      <w:sz w:val="24"/>
      <w:szCs w:val="24"/>
    </w:rPr>
  </w:style>
  <w:style w:type="paragraph" w:styleId="afe">
    <w:name w:val="header"/>
    <w:basedOn w:val="a"/>
    <w:link w:val="aff"/>
    <w:unhideWhenUsed/>
    <w:rsid w:val="00EF6D17"/>
    <w:pPr>
      <w:tabs>
        <w:tab w:val="center" w:pos="4153"/>
        <w:tab w:val="right" w:pos="8306"/>
      </w:tabs>
    </w:pPr>
  </w:style>
  <w:style w:type="character" w:customStyle="1" w:styleId="aff">
    <w:name w:val="כותרת עליונה תו"/>
    <w:basedOn w:val="a0"/>
    <w:link w:val="afe"/>
    <w:rsid w:val="00EF6D17"/>
  </w:style>
  <w:style w:type="paragraph" w:styleId="aff0">
    <w:name w:val="footer"/>
    <w:basedOn w:val="a"/>
    <w:link w:val="aff1"/>
    <w:unhideWhenUsed/>
    <w:rsid w:val="00EF6D17"/>
    <w:pPr>
      <w:tabs>
        <w:tab w:val="center" w:pos="4153"/>
        <w:tab w:val="right" w:pos="8306"/>
      </w:tabs>
    </w:pPr>
  </w:style>
  <w:style w:type="character" w:customStyle="1" w:styleId="aff1">
    <w:name w:val="כותרת תחתונה תו"/>
    <w:basedOn w:val="a0"/>
    <w:link w:val="aff0"/>
    <w:rsid w:val="00EF6D17"/>
  </w:style>
  <w:style w:type="paragraph" w:styleId="aff2">
    <w:name w:val="Balloon Text"/>
    <w:basedOn w:val="a"/>
    <w:link w:val="aff3"/>
    <w:uiPriority w:val="99"/>
    <w:semiHidden/>
    <w:unhideWhenUsed/>
    <w:rsid w:val="00EF6D17"/>
    <w:rPr>
      <w:rFonts w:ascii="Tahoma" w:hAnsi="Tahoma" w:cs="Tahoma"/>
      <w:sz w:val="16"/>
      <w:szCs w:val="16"/>
    </w:rPr>
  </w:style>
  <w:style w:type="character" w:customStyle="1" w:styleId="aff3">
    <w:name w:val="טקסט בלונים תו"/>
    <w:basedOn w:val="a0"/>
    <w:link w:val="aff2"/>
    <w:uiPriority w:val="99"/>
    <w:semiHidden/>
    <w:rsid w:val="00EF6D17"/>
    <w:rPr>
      <w:rFonts w:ascii="Tahoma" w:hAnsi="Tahoma" w:cs="Tahoma"/>
      <w:sz w:val="16"/>
      <w:szCs w:val="16"/>
    </w:rPr>
  </w:style>
  <w:style w:type="character" w:styleId="aff4">
    <w:name w:val="Placeholder Text"/>
    <w:basedOn w:val="a0"/>
    <w:uiPriority w:val="99"/>
    <w:semiHidden/>
    <w:rsid w:val="00EF6D17"/>
    <w:rPr>
      <w:color w:val="808080"/>
    </w:rPr>
  </w:style>
  <w:style w:type="character" w:customStyle="1" w:styleId="20">
    <w:name w:val="כותרת 2 תו"/>
    <w:basedOn w:val="a0"/>
    <w:link w:val="2"/>
    <w:uiPriority w:val="9"/>
    <w:rsid w:val="00134F53"/>
    <w:rPr>
      <w:rFonts w:asciiTheme="majorHAnsi" w:eastAsiaTheme="majorEastAsia" w:hAnsiTheme="majorHAnsi" w:cstheme="majorBidi"/>
      <w:b/>
      <w:bCs/>
      <w:color w:val="4F81BD" w:themeColor="accent1"/>
      <w:sz w:val="26"/>
      <w:szCs w:val="26"/>
    </w:rPr>
  </w:style>
  <w:style w:type="paragraph" w:styleId="TOC1">
    <w:name w:val="toc 1"/>
    <w:basedOn w:val="a"/>
    <w:next w:val="a"/>
    <w:autoRedefine/>
    <w:unhideWhenUsed/>
    <w:rsid w:val="00134F53"/>
    <w:pPr>
      <w:spacing w:after="100"/>
    </w:pPr>
  </w:style>
  <w:style w:type="paragraph" w:styleId="TOC2">
    <w:name w:val="toc 2"/>
    <w:basedOn w:val="a"/>
    <w:next w:val="a"/>
    <w:autoRedefine/>
    <w:unhideWhenUsed/>
    <w:rsid w:val="00134F53"/>
    <w:pPr>
      <w:spacing w:after="100"/>
      <w:ind w:left="200"/>
    </w:pPr>
  </w:style>
  <w:style w:type="character" w:customStyle="1" w:styleId="30">
    <w:name w:val="כותרת 3 תו"/>
    <w:basedOn w:val="a0"/>
    <w:link w:val="3"/>
    <w:uiPriority w:val="9"/>
    <w:rsid w:val="00D45634"/>
    <w:rPr>
      <w:rFonts w:ascii="Arial" w:cs="Arial"/>
      <w:b/>
      <w:bCs/>
      <w:sz w:val="26"/>
      <w:szCs w:val="26"/>
      <w:lang w:eastAsia="he-IL"/>
    </w:rPr>
  </w:style>
  <w:style w:type="character" w:styleId="aff5">
    <w:name w:val="page number"/>
    <w:semiHidden/>
    <w:rsid w:val="00D45634"/>
    <w:rPr>
      <w:rFonts w:cs="Times New Roman"/>
    </w:rPr>
  </w:style>
  <w:style w:type="character" w:customStyle="1" w:styleId="ad">
    <w:name w:val="גוף טקסט תו"/>
    <w:basedOn w:val="a0"/>
    <w:link w:val="ac"/>
    <w:semiHidden/>
    <w:rsid w:val="00D45634"/>
    <w:rPr>
      <w:rFonts w:ascii="Arial" w:cs="Arial"/>
      <w:sz w:val="38"/>
      <w:szCs w:val="38"/>
      <w:lang w:eastAsia="he-IL"/>
    </w:rPr>
  </w:style>
  <w:style w:type="paragraph" w:styleId="TOC3">
    <w:name w:val="toc 3"/>
    <w:basedOn w:val="a"/>
    <w:next w:val="a"/>
    <w:autoRedefine/>
    <w:semiHidden/>
    <w:rsid w:val="00D45634"/>
    <w:pPr>
      <w:ind w:left="480"/>
    </w:pPr>
    <w:rPr>
      <w:rFonts w:cs="Times New Roman"/>
      <w:i/>
      <w:iCs/>
      <w:lang w:eastAsia="he-IL"/>
    </w:rPr>
  </w:style>
  <w:style w:type="paragraph" w:styleId="TOC4">
    <w:name w:val="toc 4"/>
    <w:basedOn w:val="a"/>
    <w:next w:val="a"/>
    <w:autoRedefine/>
    <w:semiHidden/>
    <w:rsid w:val="00D45634"/>
    <w:pPr>
      <w:ind w:left="720"/>
    </w:pPr>
    <w:rPr>
      <w:rFonts w:cs="Times New Roman"/>
      <w:sz w:val="18"/>
      <w:szCs w:val="18"/>
      <w:lang w:eastAsia="he-IL"/>
    </w:rPr>
  </w:style>
  <w:style w:type="paragraph" w:styleId="TOC5">
    <w:name w:val="toc 5"/>
    <w:basedOn w:val="a"/>
    <w:next w:val="a"/>
    <w:autoRedefine/>
    <w:semiHidden/>
    <w:rsid w:val="00D45634"/>
    <w:pPr>
      <w:ind w:left="960"/>
    </w:pPr>
    <w:rPr>
      <w:rFonts w:cs="Times New Roman"/>
      <w:sz w:val="18"/>
      <w:szCs w:val="18"/>
      <w:lang w:eastAsia="he-IL"/>
    </w:rPr>
  </w:style>
  <w:style w:type="paragraph" w:styleId="TOC6">
    <w:name w:val="toc 6"/>
    <w:basedOn w:val="a"/>
    <w:next w:val="a"/>
    <w:autoRedefine/>
    <w:semiHidden/>
    <w:rsid w:val="00D45634"/>
    <w:pPr>
      <w:ind w:left="1200"/>
    </w:pPr>
    <w:rPr>
      <w:rFonts w:cs="Times New Roman"/>
      <w:sz w:val="18"/>
      <w:szCs w:val="18"/>
      <w:lang w:eastAsia="he-IL"/>
    </w:rPr>
  </w:style>
  <w:style w:type="paragraph" w:styleId="TOC7">
    <w:name w:val="toc 7"/>
    <w:basedOn w:val="a"/>
    <w:next w:val="a"/>
    <w:autoRedefine/>
    <w:semiHidden/>
    <w:rsid w:val="00D45634"/>
    <w:pPr>
      <w:ind w:left="1440"/>
    </w:pPr>
    <w:rPr>
      <w:rFonts w:cs="Times New Roman"/>
      <w:sz w:val="18"/>
      <w:szCs w:val="18"/>
      <w:lang w:eastAsia="he-IL"/>
    </w:rPr>
  </w:style>
  <w:style w:type="paragraph" w:styleId="TOC8">
    <w:name w:val="toc 8"/>
    <w:basedOn w:val="a"/>
    <w:next w:val="a"/>
    <w:autoRedefine/>
    <w:semiHidden/>
    <w:rsid w:val="00D45634"/>
    <w:pPr>
      <w:ind w:left="1680"/>
    </w:pPr>
    <w:rPr>
      <w:rFonts w:cs="Times New Roman"/>
      <w:sz w:val="18"/>
      <w:szCs w:val="18"/>
      <w:lang w:eastAsia="he-IL"/>
    </w:rPr>
  </w:style>
  <w:style w:type="paragraph" w:styleId="TOC9">
    <w:name w:val="toc 9"/>
    <w:basedOn w:val="a"/>
    <w:next w:val="a"/>
    <w:autoRedefine/>
    <w:semiHidden/>
    <w:rsid w:val="00D45634"/>
    <w:pPr>
      <w:ind w:left="1920"/>
    </w:pPr>
    <w:rPr>
      <w:rFonts w:cs="Times New Roman"/>
      <w:sz w:val="18"/>
      <w:szCs w:val="18"/>
      <w:lang w:eastAsia="he-IL"/>
    </w:rPr>
  </w:style>
  <w:style w:type="paragraph" w:styleId="Index1">
    <w:name w:val="index 1"/>
    <w:basedOn w:val="a"/>
    <w:next w:val="a"/>
    <w:autoRedefine/>
    <w:semiHidden/>
    <w:rsid w:val="00D45634"/>
    <w:pPr>
      <w:bidi w:val="0"/>
      <w:ind w:left="240" w:hanging="240"/>
    </w:pPr>
    <w:rPr>
      <w:rFonts w:cs="Guttman Frank"/>
      <w:sz w:val="24"/>
      <w:szCs w:val="24"/>
      <w:lang w:eastAsia="he-IL"/>
    </w:rPr>
  </w:style>
  <w:style w:type="character" w:customStyle="1" w:styleId="a6">
    <w:name w:val="טקסט הערת שוליים תו"/>
    <w:basedOn w:val="a0"/>
    <w:link w:val="a5"/>
    <w:rsid w:val="00D45634"/>
    <w:rPr>
      <w:rFonts w:cs="Arial"/>
      <w:szCs w:val="24"/>
    </w:rPr>
  </w:style>
  <w:style w:type="character" w:customStyle="1" w:styleId="23">
    <w:name w:val="סגנון2"/>
    <w:rsid w:val="00D45634"/>
    <w:rPr>
      <w:rFonts w:cs="Arial"/>
      <w:b/>
      <w:szCs w:val="24"/>
    </w:rPr>
  </w:style>
  <w:style w:type="character" w:customStyle="1" w:styleId="11">
    <w:name w:val="סגנון1"/>
    <w:rsid w:val="00D45634"/>
    <w:rPr>
      <w:rFonts w:cs="Arial"/>
      <w:b w:val="0"/>
      <w:bCs w:val="0"/>
      <w:szCs w:val="28"/>
      <w:lang w:bidi="he-IL"/>
    </w:rPr>
  </w:style>
  <w:style w:type="character" w:styleId="aff6">
    <w:name w:val="Strong"/>
    <w:qFormat/>
    <w:rsid w:val="00D45634"/>
    <w:rPr>
      <w:b/>
      <w:bCs/>
    </w:rPr>
  </w:style>
  <w:style w:type="paragraph" w:styleId="aff7">
    <w:name w:val="Plain Text"/>
    <w:basedOn w:val="a"/>
    <w:link w:val="aff8"/>
    <w:semiHidden/>
    <w:rsid w:val="00D45634"/>
    <w:rPr>
      <w:rFonts w:ascii="Courier New"/>
      <w:lang w:eastAsia="he-IL"/>
    </w:rPr>
  </w:style>
  <w:style w:type="character" w:customStyle="1" w:styleId="aff8">
    <w:name w:val="טקסט רגיל תו"/>
    <w:basedOn w:val="a0"/>
    <w:link w:val="aff7"/>
    <w:semiHidden/>
    <w:rsid w:val="00D45634"/>
    <w:rPr>
      <w:rFonts w:ascii="Courier New"/>
      <w:lang w:eastAsia="he-IL"/>
    </w:rPr>
  </w:style>
  <w:style w:type="character" w:customStyle="1" w:styleId="40">
    <w:name w:val="כותרת 4 תו"/>
    <w:basedOn w:val="a0"/>
    <w:link w:val="4"/>
    <w:uiPriority w:val="9"/>
    <w:rsid w:val="00C16EB5"/>
    <w:rPr>
      <w:rFonts w:asciiTheme="majorHAnsi" w:eastAsiaTheme="majorEastAsia" w:hAnsiTheme="majorHAnsi" w:cstheme="majorBidi"/>
      <w:b/>
      <w:bCs/>
      <w:i/>
      <w:iCs/>
      <w:color w:val="4F81BD" w:themeColor="accent1"/>
    </w:rPr>
  </w:style>
  <w:style w:type="numbering" w:customStyle="1" w:styleId="12">
    <w:name w:val="ללא רשימה1"/>
    <w:next w:val="a2"/>
    <w:uiPriority w:val="99"/>
    <w:semiHidden/>
    <w:unhideWhenUsed/>
    <w:rsid w:val="00007309"/>
  </w:style>
  <w:style w:type="paragraph" w:customStyle="1" w:styleId="aff9">
    <w:name w:val="הערת מול"/>
    <w:basedOn w:val="a"/>
    <w:link w:val="affa"/>
    <w:qFormat/>
    <w:rsid w:val="00007309"/>
    <w:pPr>
      <w:jc w:val="both"/>
    </w:pPr>
    <w:rPr>
      <w:rFonts w:cs="David"/>
      <w:sz w:val="24"/>
      <w:szCs w:val="24"/>
    </w:rPr>
  </w:style>
  <w:style w:type="character" w:customStyle="1" w:styleId="af">
    <w:name w:val="מראה מקום תו"/>
    <w:basedOn w:val="a0"/>
    <w:link w:val="ae"/>
    <w:rsid w:val="00007309"/>
    <w:rPr>
      <w:rFonts w:ascii="Arial" w:hAnsi="Arial" w:cs="Guttman Frank"/>
      <w:bCs/>
      <w:sz w:val="29"/>
      <w:szCs w:val="23"/>
      <w:lang w:eastAsia="he-IL"/>
    </w:rPr>
  </w:style>
  <w:style w:type="paragraph" w:customStyle="1" w:styleId="affb">
    <w:name w:val="נוסחא אחרת"/>
    <w:basedOn w:val="a"/>
    <w:link w:val="affc"/>
    <w:qFormat/>
    <w:rsid w:val="00007309"/>
    <w:pPr>
      <w:jc w:val="both"/>
    </w:pPr>
    <w:rPr>
      <w:rFonts w:cs="Arial"/>
      <w:color w:val="000000"/>
      <w:sz w:val="24"/>
      <w:szCs w:val="24"/>
    </w:rPr>
  </w:style>
  <w:style w:type="character" w:customStyle="1" w:styleId="affa">
    <w:name w:val="הערת מול תו"/>
    <w:basedOn w:val="a0"/>
    <w:link w:val="aff9"/>
    <w:rsid w:val="00007309"/>
    <w:rPr>
      <w:rFonts w:cs="David"/>
      <w:sz w:val="24"/>
      <w:szCs w:val="24"/>
    </w:rPr>
  </w:style>
  <w:style w:type="paragraph" w:styleId="affd">
    <w:name w:val="endnote text"/>
    <w:basedOn w:val="a"/>
    <w:link w:val="affe"/>
    <w:uiPriority w:val="99"/>
    <w:semiHidden/>
    <w:unhideWhenUsed/>
    <w:rsid w:val="00007309"/>
    <w:pPr>
      <w:bidi w:val="0"/>
    </w:pPr>
  </w:style>
  <w:style w:type="character" w:customStyle="1" w:styleId="affe">
    <w:name w:val="טקסט הערת סיום תו"/>
    <w:basedOn w:val="a0"/>
    <w:link w:val="affd"/>
    <w:uiPriority w:val="99"/>
    <w:semiHidden/>
    <w:rsid w:val="00007309"/>
  </w:style>
  <w:style w:type="character" w:customStyle="1" w:styleId="affc">
    <w:name w:val="נוסחא אחרת תו"/>
    <w:basedOn w:val="a0"/>
    <w:link w:val="affb"/>
    <w:rsid w:val="00007309"/>
    <w:rPr>
      <w:rFonts w:cs="Arial"/>
      <w:color w:val="000000"/>
      <w:sz w:val="24"/>
      <w:szCs w:val="24"/>
    </w:rPr>
  </w:style>
  <w:style w:type="character" w:styleId="afff">
    <w:name w:val="endnote reference"/>
    <w:basedOn w:val="a0"/>
    <w:uiPriority w:val="99"/>
    <w:semiHidden/>
    <w:unhideWhenUsed/>
    <w:rsid w:val="00007309"/>
    <w:rPr>
      <w:vertAlign w:val="superscript"/>
    </w:rPr>
  </w:style>
  <w:style w:type="table" w:styleId="afff0">
    <w:name w:val="Table Grid"/>
    <w:basedOn w:val="a1"/>
    <w:uiPriority w:val="59"/>
    <w:rsid w:val="00007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Miriam"/>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next w:val="a"/>
    <w:link w:val="10"/>
    <w:uiPriority w:val="9"/>
    <w:qFormat/>
    <w:rsid w:val="0007465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34F5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qFormat/>
    <w:rsid w:val="00D45634"/>
    <w:pPr>
      <w:keepNext/>
      <w:bidi w:val="0"/>
      <w:spacing w:before="240" w:after="60"/>
      <w:outlineLvl w:val="2"/>
    </w:pPr>
    <w:rPr>
      <w:rFonts w:ascii="Arial" w:cs="Arial"/>
      <w:b/>
      <w:bCs/>
      <w:sz w:val="26"/>
      <w:szCs w:val="26"/>
      <w:lang w:eastAsia="he-IL"/>
    </w:rPr>
  </w:style>
  <w:style w:type="paragraph" w:styleId="4">
    <w:name w:val="heading 4"/>
    <w:basedOn w:val="a"/>
    <w:next w:val="a"/>
    <w:link w:val="40"/>
    <w:uiPriority w:val="9"/>
    <w:unhideWhenUsed/>
    <w:qFormat/>
    <w:rsid w:val="00C16EB5"/>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0">
    <w:name w:val="כותרת 100"/>
    <w:basedOn w:val="a3"/>
    <w:pPr>
      <w:tabs>
        <w:tab w:val="num" w:pos="432"/>
      </w:tabs>
      <w:spacing w:before="0" w:after="80"/>
      <w:ind w:left="72" w:right="432" w:hanging="72"/>
    </w:pPr>
    <w:rPr>
      <w:rFonts w:ascii="FontbitLivorna" w:cs="FontbitLivorna"/>
      <w:sz w:val="26"/>
      <w:szCs w:val="36"/>
    </w:rPr>
  </w:style>
  <w:style w:type="paragraph" w:customStyle="1" w:styleId="a3">
    <w:name w:val="כותרת"/>
    <w:basedOn w:val="a"/>
    <w:next w:val="a4"/>
    <w:pPr>
      <w:keepNext/>
      <w:spacing w:before="280"/>
      <w:jc w:val="center"/>
    </w:pPr>
    <w:rPr>
      <w:rFonts w:cs="David"/>
      <w:b/>
      <w:bCs/>
      <w:szCs w:val="30"/>
      <w:lang w:eastAsia="he-IL"/>
    </w:rPr>
  </w:style>
  <w:style w:type="paragraph" w:customStyle="1" w:styleId="a4">
    <w:name w:val="טעקסט"/>
    <w:basedOn w:val="a"/>
    <w:pPr>
      <w:spacing w:before="120" w:line="340" w:lineRule="exact"/>
      <w:ind w:firstLine="480"/>
      <w:jc w:val="both"/>
    </w:pPr>
    <w:rPr>
      <w:rFonts w:cs="David"/>
      <w:b/>
      <w:szCs w:val="28"/>
      <w:lang w:eastAsia="he-IL"/>
    </w:rPr>
  </w:style>
  <w:style w:type="paragraph" w:styleId="a5">
    <w:name w:val="footnote text"/>
    <w:basedOn w:val="a"/>
    <w:link w:val="a6"/>
    <w:autoRedefine/>
    <w:pPr>
      <w:jc w:val="both"/>
    </w:pPr>
    <w:rPr>
      <w:rFonts w:cs="Arial"/>
      <w:szCs w:val="24"/>
    </w:rPr>
  </w:style>
  <w:style w:type="character" w:styleId="a7">
    <w:name w:val="footnote reference"/>
    <w:uiPriority w:val="99"/>
    <w:semiHidden/>
    <w:rPr>
      <w:vertAlign w:val="superscript"/>
    </w:rPr>
  </w:style>
  <w:style w:type="paragraph" w:styleId="NormalWeb">
    <w:name w:val="Normal (Web)"/>
    <w:basedOn w:val="a"/>
    <w:rsid w:val="00485FDB"/>
    <w:pPr>
      <w:spacing w:after="40" w:line="360" w:lineRule="atLeast"/>
      <w:ind w:left="144" w:right="144" w:firstLine="288"/>
      <w:jc w:val="both"/>
    </w:pPr>
    <w:rPr>
      <w:rFonts w:ascii="Arial" w:hAnsi="Arial Unicode MS" w:cs="Guttman Frank"/>
      <w:b/>
      <w:bCs/>
      <w:sz w:val="29"/>
      <w:szCs w:val="24"/>
      <w:lang w:eastAsia="he-IL"/>
    </w:rPr>
  </w:style>
  <w:style w:type="paragraph" w:customStyle="1" w:styleId="a8">
    <w:name w:val="זהר פרשה"/>
    <w:basedOn w:val="a9"/>
    <w:pPr>
      <w:keepNext/>
      <w:spacing w:before="180"/>
      <w:ind w:left="144"/>
    </w:pPr>
    <w:rPr>
      <w:szCs w:val="36"/>
    </w:rPr>
  </w:style>
  <w:style w:type="paragraph" w:customStyle="1" w:styleId="a9">
    <w:name w:val="זוהר פרשה"/>
    <w:basedOn w:val="a"/>
    <w:pPr>
      <w:spacing w:after="120" w:line="360" w:lineRule="atLeast"/>
      <w:ind w:right="144"/>
      <w:jc w:val="center"/>
    </w:pPr>
    <w:rPr>
      <w:rFonts w:ascii="Arial" w:cs="Guttman Drogolin"/>
      <w:b/>
      <w:bCs/>
      <w:sz w:val="24"/>
      <w:szCs w:val="50"/>
      <w:lang w:eastAsia="he-IL"/>
    </w:rPr>
  </w:style>
  <w:style w:type="paragraph" w:customStyle="1" w:styleId="aa">
    <w:name w:val="זוהר דף"/>
    <w:basedOn w:val="NormalWeb"/>
    <w:pPr>
      <w:keepNext/>
      <w:spacing w:after="60"/>
    </w:pPr>
    <w:rPr>
      <w:rFonts w:hAnsi="Arial" w:cs="Guttman Drogolin"/>
      <w:sz w:val="25"/>
      <w:szCs w:val="25"/>
    </w:rPr>
  </w:style>
  <w:style w:type="character" w:customStyle="1" w:styleId="Char">
    <w:name w:val="זוהר טקסט Char"/>
    <w:rPr>
      <w:rFonts w:ascii="Arial" w:cs="Guttman Frank"/>
      <w:b/>
      <w:bCs/>
      <w:noProof w:val="0"/>
      <w:sz w:val="29"/>
      <w:szCs w:val="29"/>
      <w:lang w:val="en-US" w:bidi="he-IL"/>
    </w:rPr>
  </w:style>
  <w:style w:type="character" w:customStyle="1" w:styleId="Char0">
    <w:name w:val="מראה מקום Char"/>
    <w:rPr>
      <w:rFonts w:ascii="Arial" w:eastAsia="Times New Roman" w:hAnsi="Arial" w:cs="Guttman Frank"/>
      <w:b/>
      <w:noProof w:val="0"/>
      <w:sz w:val="23"/>
      <w:szCs w:val="23"/>
      <w:lang w:val="en-US" w:bidi="he-IL"/>
    </w:rPr>
  </w:style>
  <w:style w:type="character" w:customStyle="1" w:styleId="ab">
    <w:name w:val="תו"/>
    <w:rPr>
      <w:rFonts w:ascii="Arial Unicode MS" w:eastAsia="Times New Roman" w:hAnsi="Arial Unicode MS" w:cs="Arial Unicode MS"/>
      <w:noProof w:val="0"/>
      <w:sz w:val="24"/>
      <w:szCs w:val="24"/>
      <w:lang w:val="en-US" w:bidi="he-IL"/>
    </w:rPr>
  </w:style>
  <w:style w:type="paragraph" w:styleId="ac">
    <w:name w:val="Body Text"/>
    <w:basedOn w:val="a"/>
    <w:link w:val="ad"/>
    <w:semiHidden/>
    <w:pPr>
      <w:jc w:val="both"/>
    </w:pPr>
    <w:rPr>
      <w:rFonts w:ascii="Arial" w:cs="Arial"/>
      <w:sz w:val="38"/>
      <w:szCs w:val="38"/>
      <w:lang w:eastAsia="he-IL"/>
    </w:rPr>
  </w:style>
  <w:style w:type="paragraph" w:customStyle="1" w:styleId="21">
    <w:name w:val="הלכות גוטע 2"/>
    <w:basedOn w:val="a"/>
    <w:pPr>
      <w:keepNext/>
      <w:pBdr>
        <w:top w:val="thinThickLargeGap" w:sz="12" w:space="1" w:color="auto"/>
        <w:bottom w:val="thinThickLargeGap" w:sz="12" w:space="1" w:color="auto"/>
      </w:pBdr>
      <w:shd w:val="solid" w:color="auto" w:fill="auto"/>
      <w:spacing w:before="100" w:after="100"/>
      <w:jc w:val="center"/>
      <w:outlineLvl w:val="2"/>
    </w:pPr>
    <w:rPr>
      <w:rFonts w:cs="S-Rogel"/>
      <w:b/>
      <w:bCs/>
      <w:sz w:val="42"/>
      <w:szCs w:val="42"/>
      <w:lang w:eastAsia="he-IL"/>
    </w:rPr>
  </w:style>
  <w:style w:type="paragraph" w:customStyle="1" w:styleId="ae">
    <w:name w:val="מראה מקום"/>
    <w:basedOn w:val="NormalWeb"/>
    <w:link w:val="af"/>
    <w:qFormat/>
    <w:pPr>
      <w:spacing w:after="144"/>
    </w:pPr>
    <w:rPr>
      <w:rFonts w:hAnsi="Arial"/>
      <w:b w:val="0"/>
      <w:szCs w:val="23"/>
    </w:rPr>
  </w:style>
  <w:style w:type="paragraph" w:customStyle="1" w:styleId="af0">
    <w:name w:val="זוהר טקסט"/>
    <w:basedOn w:val="a"/>
    <w:pPr>
      <w:spacing w:after="144" w:line="360" w:lineRule="atLeast"/>
      <w:ind w:left="144" w:right="144" w:firstLine="288"/>
      <w:jc w:val="both"/>
    </w:pPr>
    <w:rPr>
      <w:rFonts w:ascii="Arial" w:cs="Guttman Frank"/>
      <w:b/>
      <w:bCs/>
      <w:sz w:val="29"/>
      <w:szCs w:val="29"/>
      <w:lang w:eastAsia="he-IL"/>
    </w:rPr>
  </w:style>
  <w:style w:type="paragraph" w:customStyle="1" w:styleId="af1">
    <w:name w:val="סדר הלימוד ליום"/>
    <w:basedOn w:val="a"/>
    <w:pPr>
      <w:keepNext/>
      <w:pBdr>
        <w:top w:val="single" w:sz="8" w:space="0" w:color="auto"/>
        <w:left w:val="single" w:sz="8" w:space="4" w:color="auto"/>
        <w:bottom w:val="single" w:sz="8" w:space="2" w:color="auto"/>
        <w:right w:val="single" w:sz="8" w:space="4" w:color="auto"/>
      </w:pBdr>
      <w:spacing w:before="240" w:after="240"/>
      <w:ind w:left="144" w:right="2592"/>
      <w:jc w:val="center"/>
      <w:outlineLvl w:val="2"/>
    </w:pPr>
    <w:rPr>
      <w:rFonts w:cs="Guttman Drogolin"/>
      <w:b/>
      <w:bCs/>
      <w:sz w:val="34"/>
      <w:szCs w:val="34"/>
      <w:lang w:eastAsia="he-IL"/>
    </w:rPr>
  </w:style>
  <w:style w:type="paragraph" w:customStyle="1" w:styleId="af2">
    <w:name w:val="דף ישן"/>
    <w:basedOn w:val="NormalWeb"/>
    <w:pPr>
      <w:spacing w:after="144"/>
    </w:pPr>
    <w:rPr>
      <w:rFonts w:hAnsi="Arial" w:cs="Guttman Drogolin"/>
      <w:sz w:val="25"/>
      <w:szCs w:val="25"/>
    </w:rPr>
  </w:style>
  <w:style w:type="paragraph" w:customStyle="1" w:styleId="af3">
    <w:name w:val="זוהר סדר"/>
    <w:basedOn w:val="NormalWeb"/>
    <w:pPr>
      <w:spacing w:after="144"/>
      <w:jc w:val="center"/>
    </w:pPr>
    <w:rPr>
      <w:rFonts w:hAnsi="Arial" w:cs="Guttman Drogolin"/>
      <w:b w:val="0"/>
      <w:bCs w:val="0"/>
      <w:sz w:val="62"/>
      <w:szCs w:val="62"/>
    </w:rPr>
  </w:style>
  <w:style w:type="character" w:customStyle="1" w:styleId="Char1">
    <w:name w:val="זוהר פרשה Char"/>
    <w:rPr>
      <w:rFonts w:ascii="Arial" w:cs="Guttman Drogolin"/>
      <w:b/>
      <w:bCs/>
      <w:noProof w:val="0"/>
      <w:sz w:val="50"/>
      <w:szCs w:val="50"/>
      <w:lang w:val="en-US" w:bidi="he-IL"/>
    </w:rPr>
  </w:style>
  <w:style w:type="character" w:customStyle="1" w:styleId="Char2">
    <w:name w:val="זהר פרשה Char"/>
    <w:rPr>
      <w:rFonts w:ascii="Arial" w:cs="Guttman Drogolin"/>
      <w:b/>
      <w:bCs/>
      <w:noProof w:val="0"/>
      <w:sz w:val="36"/>
      <w:szCs w:val="36"/>
      <w:lang w:val="en-US" w:bidi="he-IL"/>
    </w:rPr>
  </w:style>
  <w:style w:type="character" w:customStyle="1" w:styleId="Char3">
    <w:name w:val="טעקסט Char"/>
    <w:rPr>
      <w:rFonts w:cs="David"/>
      <w:b/>
      <w:noProof w:val="0"/>
      <w:sz w:val="28"/>
      <w:szCs w:val="28"/>
      <w:lang w:val="en-US" w:bidi="he-IL"/>
    </w:rPr>
  </w:style>
  <w:style w:type="character" w:customStyle="1" w:styleId="Char4">
    <w:name w:val="כותרת Char"/>
    <w:rPr>
      <w:rFonts w:cs="David"/>
      <w:b/>
      <w:bCs/>
      <w:noProof w:val="0"/>
      <w:sz w:val="30"/>
      <w:szCs w:val="30"/>
      <w:lang w:val="en-US" w:bidi="he-IL"/>
    </w:rPr>
  </w:style>
  <w:style w:type="paragraph" w:customStyle="1" w:styleId="af4">
    <w:name w:val="טקסט כללים"/>
    <w:basedOn w:val="a4"/>
    <w:pPr>
      <w:spacing w:before="0" w:after="80" w:line="240" w:lineRule="auto"/>
      <w:ind w:firstLine="0"/>
    </w:pPr>
    <w:rPr>
      <w:rFonts w:ascii="FontbitLivorna" w:cs="FontbitLivorna"/>
      <w:bCs/>
      <w:sz w:val="22"/>
      <w:szCs w:val="30"/>
    </w:rPr>
  </w:style>
  <w:style w:type="paragraph" w:customStyle="1" w:styleId="af5">
    <w:name w:val="מראה מקום כללים"/>
    <w:basedOn w:val="a4"/>
    <w:pPr>
      <w:spacing w:before="0" w:after="80" w:line="240" w:lineRule="auto"/>
      <w:ind w:firstLine="0"/>
    </w:pPr>
    <w:rPr>
      <w:rFonts w:ascii="FontbitLivorna" w:cs="FontbitLivorna"/>
      <w:sz w:val="22"/>
      <w:szCs w:val="24"/>
    </w:rPr>
  </w:style>
  <w:style w:type="character" w:customStyle="1" w:styleId="Char5">
    <w:name w:val="מראה מקום כללים Char"/>
    <w:rPr>
      <w:rFonts w:ascii="FontbitLivorna" w:cs="FontbitLivorna"/>
      <w:b/>
      <w:noProof w:val="0"/>
      <w:sz w:val="24"/>
      <w:szCs w:val="24"/>
      <w:lang w:val="en-US" w:bidi="he-IL"/>
    </w:rPr>
  </w:style>
  <w:style w:type="character" w:customStyle="1" w:styleId="Char6">
    <w:name w:val="טקסט כללים Char"/>
    <w:rPr>
      <w:rFonts w:ascii="FontbitLivorna" w:cs="FontbitLivorna"/>
      <w:b/>
      <w:bCs/>
      <w:noProof w:val="0"/>
      <w:sz w:val="30"/>
      <w:szCs w:val="30"/>
      <w:lang w:val="en-US" w:bidi="he-IL"/>
    </w:rPr>
  </w:style>
  <w:style w:type="paragraph" w:customStyle="1" w:styleId="BodyText15">
    <w:name w:val="Body_Text15"/>
    <w:basedOn w:val="a"/>
    <w:pPr>
      <w:bidi w:val="0"/>
      <w:jc w:val="right"/>
    </w:pPr>
    <w:rPr>
      <w:rFonts w:cs="Times New Roman"/>
      <w:sz w:val="40"/>
      <w:szCs w:val="24"/>
      <w:lang w:eastAsia="he-IL"/>
    </w:rPr>
  </w:style>
  <w:style w:type="paragraph" w:customStyle="1" w:styleId="af6">
    <w:name w:val="הקדמה"/>
    <w:basedOn w:val="a4"/>
    <w:pPr>
      <w:pBdr>
        <w:top w:val="single" w:sz="12" w:space="1" w:color="auto"/>
        <w:left w:val="single" w:sz="12" w:space="4" w:color="auto"/>
        <w:bottom w:val="single" w:sz="12" w:space="1" w:color="auto"/>
        <w:right w:val="single" w:sz="12" w:space="4" w:color="auto"/>
      </w:pBdr>
      <w:spacing w:before="0" w:after="120" w:line="240" w:lineRule="auto"/>
      <w:ind w:left="864" w:right="864" w:firstLine="0"/>
      <w:jc w:val="center"/>
    </w:pPr>
    <w:rPr>
      <w:rFonts w:ascii="FontbitLivorna" w:cs="AhavaFullDot"/>
      <w:b w:val="0"/>
      <w:bCs/>
      <w:sz w:val="72"/>
      <w:szCs w:val="80"/>
    </w:rPr>
  </w:style>
  <w:style w:type="paragraph" w:customStyle="1" w:styleId="22">
    <w:name w:val="הגהה2"/>
    <w:basedOn w:val="NormalWeb"/>
    <w:rsid w:val="00485FDB"/>
    <w:rPr>
      <w:rFonts w:hAnsi="Arial" w:cs="Guttman Adii-Light"/>
      <w:b w:val="0"/>
      <w:sz w:val="20"/>
      <w:szCs w:val="20"/>
    </w:rPr>
  </w:style>
  <w:style w:type="paragraph" w:customStyle="1" w:styleId="af7">
    <w:name w:val="הגהה"/>
    <w:basedOn w:val="NormalWeb"/>
    <w:rPr>
      <w:b w:val="0"/>
      <w:bCs w:val="0"/>
    </w:rPr>
  </w:style>
  <w:style w:type="character" w:styleId="Hyperlink">
    <w:name w:val="Hyperlink"/>
    <w:rPr>
      <w:color w:val="0000FF"/>
      <w:u w:val="single"/>
    </w:rPr>
  </w:style>
  <w:style w:type="character" w:styleId="FollowedHyperlink">
    <w:name w:val="FollowedHyperlink"/>
    <w:semiHidden/>
    <w:rPr>
      <w:color w:val="800080"/>
      <w:u w:val="single"/>
    </w:rPr>
  </w:style>
  <w:style w:type="paragraph" w:styleId="af8">
    <w:name w:val="Title"/>
    <w:basedOn w:val="a"/>
    <w:next w:val="a"/>
    <w:link w:val="af9"/>
    <w:uiPriority w:val="10"/>
    <w:qFormat/>
    <w:rsid w:val="005C2E2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9">
    <w:name w:val="כותרת טקסט תו"/>
    <w:basedOn w:val="a0"/>
    <w:link w:val="af8"/>
    <w:uiPriority w:val="10"/>
    <w:rsid w:val="005C2E20"/>
    <w:rPr>
      <w:rFonts w:asciiTheme="majorHAnsi" w:eastAsiaTheme="majorEastAsia" w:hAnsiTheme="majorHAnsi" w:cstheme="majorBidi"/>
      <w:color w:val="17365D" w:themeColor="text2" w:themeShade="BF"/>
      <w:spacing w:val="5"/>
      <w:kern w:val="28"/>
      <w:sz w:val="52"/>
      <w:szCs w:val="52"/>
    </w:rPr>
  </w:style>
  <w:style w:type="character" w:customStyle="1" w:styleId="10">
    <w:name w:val="כותרת 1 תו"/>
    <w:basedOn w:val="a0"/>
    <w:link w:val="1"/>
    <w:uiPriority w:val="9"/>
    <w:rsid w:val="0007465E"/>
    <w:rPr>
      <w:rFonts w:asciiTheme="majorHAnsi" w:eastAsiaTheme="majorEastAsia" w:hAnsiTheme="majorHAnsi" w:cstheme="majorBidi"/>
      <w:b/>
      <w:bCs/>
      <w:color w:val="365F91" w:themeColor="accent1" w:themeShade="BF"/>
      <w:sz w:val="28"/>
      <w:szCs w:val="28"/>
    </w:rPr>
  </w:style>
  <w:style w:type="paragraph" w:customStyle="1" w:styleId="afa">
    <w:name w:val="סגנון_תיקון"/>
    <w:basedOn w:val="af8"/>
    <w:link w:val="afb"/>
    <w:qFormat/>
    <w:rsid w:val="005C2E20"/>
  </w:style>
  <w:style w:type="character" w:customStyle="1" w:styleId="afb">
    <w:name w:val="סגנון_תיקון תו"/>
    <w:basedOn w:val="af9"/>
    <w:link w:val="afa"/>
    <w:rsid w:val="005C2E20"/>
    <w:rPr>
      <w:rFonts w:asciiTheme="majorHAnsi" w:eastAsiaTheme="majorEastAsia" w:hAnsiTheme="majorHAnsi" w:cstheme="majorBidi"/>
      <w:color w:val="17365D" w:themeColor="text2" w:themeShade="BF"/>
      <w:spacing w:val="5"/>
      <w:kern w:val="28"/>
      <w:sz w:val="52"/>
      <w:szCs w:val="52"/>
    </w:rPr>
  </w:style>
  <w:style w:type="paragraph" w:styleId="afc">
    <w:name w:val="Subtitle"/>
    <w:basedOn w:val="a"/>
    <w:next w:val="a"/>
    <w:link w:val="afd"/>
    <w:uiPriority w:val="11"/>
    <w:qFormat/>
    <w:rsid w:val="00755D6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d">
    <w:name w:val="כותרת משנה תו"/>
    <w:basedOn w:val="a0"/>
    <w:link w:val="afc"/>
    <w:uiPriority w:val="11"/>
    <w:rsid w:val="00755D6A"/>
    <w:rPr>
      <w:rFonts w:asciiTheme="majorHAnsi" w:eastAsiaTheme="majorEastAsia" w:hAnsiTheme="majorHAnsi" w:cstheme="majorBidi"/>
      <w:i/>
      <w:iCs/>
      <w:color w:val="4F81BD" w:themeColor="accent1"/>
      <w:spacing w:val="15"/>
      <w:sz w:val="24"/>
      <w:szCs w:val="24"/>
    </w:rPr>
  </w:style>
  <w:style w:type="paragraph" w:styleId="afe">
    <w:name w:val="header"/>
    <w:basedOn w:val="a"/>
    <w:link w:val="aff"/>
    <w:unhideWhenUsed/>
    <w:rsid w:val="00EF6D17"/>
    <w:pPr>
      <w:tabs>
        <w:tab w:val="center" w:pos="4153"/>
        <w:tab w:val="right" w:pos="8306"/>
      </w:tabs>
    </w:pPr>
  </w:style>
  <w:style w:type="character" w:customStyle="1" w:styleId="aff">
    <w:name w:val="כותרת עליונה תו"/>
    <w:basedOn w:val="a0"/>
    <w:link w:val="afe"/>
    <w:rsid w:val="00EF6D17"/>
  </w:style>
  <w:style w:type="paragraph" w:styleId="aff0">
    <w:name w:val="footer"/>
    <w:basedOn w:val="a"/>
    <w:link w:val="aff1"/>
    <w:unhideWhenUsed/>
    <w:rsid w:val="00EF6D17"/>
    <w:pPr>
      <w:tabs>
        <w:tab w:val="center" w:pos="4153"/>
        <w:tab w:val="right" w:pos="8306"/>
      </w:tabs>
    </w:pPr>
  </w:style>
  <w:style w:type="character" w:customStyle="1" w:styleId="aff1">
    <w:name w:val="כותרת תחתונה תו"/>
    <w:basedOn w:val="a0"/>
    <w:link w:val="aff0"/>
    <w:rsid w:val="00EF6D17"/>
  </w:style>
  <w:style w:type="paragraph" w:styleId="aff2">
    <w:name w:val="Balloon Text"/>
    <w:basedOn w:val="a"/>
    <w:link w:val="aff3"/>
    <w:uiPriority w:val="99"/>
    <w:semiHidden/>
    <w:unhideWhenUsed/>
    <w:rsid w:val="00EF6D17"/>
    <w:rPr>
      <w:rFonts w:ascii="Tahoma" w:hAnsi="Tahoma" w:cs="Tahoma"/>
      <w:sz w:val="16"/>
      <w:szCs w:val="16"/>
    </w:rPr>
  </w:style>
  <w:style w:type="character" w:customStyle="1" w:styleId="aff3">
    <w:name w:val="טקסט בלונים תו"/>
    <w:basedOn w:val="a0"/>
    <w:link w:val="aff2"/>
    <w:uiPriority w:val="99"/>
    <w:semiHidden/>
    <w:rsid w:val="00EF6D17"/>
    <w:rPr>
      <w:rFonts w:ascii="Tahoma" w:hAnsi="Tahoma" w:cs="Tahoma"/>
      <w:sz w:val="16"/>
      <w:szCs w:val="16"/>
    </w:rPr>
  </w:style>
  <w:style w:type="character" w:styleId="aff4">
    <w:name w:val="Placeholder Text"/>
    <w:basedOn w:val="a0"/>
    <w:uiPriority w:val="99"/>
    <w:semiHidden/>
    <w:rsid w:val="00EF6D17"/>
    <w:rPr>
      <w:color w:val="808080"/>
    </w:rPr>
  </w:style>
  <w:style w:type="character" w:customStyle="1" w:styleId="20">
    <w:name w:val="כותרת 2 תו"/>
    <w:basedOn w:val="a0"/>
    <w:link w:val="2"/>
    <w:uiPriority w:val="9"/>
    <w:rsid w:val="00134F53"/>
    <w:rPr>
      <w:rFonts w:asciiTheme="majorHAnsi" w:eastAsiaTheme="majorEastAsia" w:hAnsiTheme="majorHAnsi" w:cstheme="majorBidi"/>
      <w:b/>
      <w:bCs/>
      <w:color w:val="4F81BD" w:themeColor="accent1"/>
      <w:sz w:val="26"/>
      <w:szCs w:val="26"/>
    </w:rPr>
  </w:style>
  <w:style w:type="paragraph" w:styleId="TOC1">
    <w:name w:val="toc 1"/>
    <w:basedOn w:val="a"/>
    <w:next w:val="a"/>
    <w:autoRedefine/>
    <w:unhideWhenUsed/>
    <w:rsid w:val="00134F53"/>
    <w:pPr>
      <w:spacing w:after="100"/>
    </w:pPr>
  </w:style>
  <w:style w:type="paragraph" w:styleId="TOC2">
    <w:name w:val="toc 2"/>
    <w:basedOn w:val="a"/>
    <w:next w:val="a"/>
    <w:autoRedefine/>
    <w:unhideWhenUsed/>
    <w:rsid w:val="00134F53"/>
    <w:pPr>
      <w:spacing w:after="100"/>
      <w:ind w:left="200"/>
    </w:pPr>
  </w:style>
  <w:style w:type="character" w:customStyle="1" w:styleId="30">
    <w:name w:val="כותרת 3 תו"/>
    <w:basedOn w:val="a0"/>
    <w:link w:val="3"/>
    <w:uiPriority w:val="9"/>
    <w:rsid w:val="00D45634"/>
    <w:rPr>
      <w:rFonts w:ascii="Arial" w:cs="Arial"/>
      <w:b/>
      <w:bCs/>
      <w:sz w:val="26"/>
      <w:szCs w:val="26"/>
      <w:lang w:eastAsia="he-IL"/>
    </w:rPr>
  </w:style>
  <w:style w:type="character" w:styleId="aff5">
    <w:name w:val="page number"/>
    <w:semiHidden/>
    <w:rsid w:val="00D45634"/>
    <w:rPr>
      <w:rFonts w:cs="Times New Roman"/>
    </w:rPr>
  </w:style>
  <w:style w:type="character" w:customStyle="1" w:styleId="ad">
    <w:name w:val="גוף טקסט תו"/>
    <w:basedOn w:val="a0"/>
    <w:link w:val="ac"/>
    <w:semiHidden/>
    <w:rsid w:val="00D45634"/>
    <w:rPr>
      <w:rFonts w:ascii="Arial" w:cs="Arial"/>
      <w:sz w:val="38"/>
      <w:szCs w:val="38"/>
      <w:lang w:eastAsia="he-IL"/>
    </w:rPr>
  </w:style>
  <w:style w:type="paragraph" w:styleId="TOC3">
    <w:name w:val="toc 3"/>
    <w:basedOn w:val="a"/>
    <w:next w:val="a"/>
    <w:autoRedefine/>
    <w:semiHidden/>
    <w:rsid w:val="00D45634"/>
    <w:pPr>
      <w:ind w:left="480"/>
    </w:pPr>
    <w:rPr>
      <w:rFonts w:cs="Times New Roman"/>
      <w:i/>
      <w:iCs/>
      <w:lang w:eastAsia="he-IL"/>
    </w:rPr>
  </w:style>
  <w:style w:type="paragraph" w:styleId="TOC4">
    <w:name w:val="toc 4"/>
    <w:basedOn w:val="a"/>
    <w:next w:val="a"/>
    <w:autoRedefine/>
    <w:semiHidden/>
    <w:rsid w:val="00D45634"/>
    <w:pPr>
      <w:ind w:left="720"/>
    </w:pPr>
    <w:rPr>
      <w:rFonts w:cs="Times New Roman"/>
      <w:sz w:val="18"/>
      <w:szCs w:val="18"/>
      <w:lang w:eastAsia="he-IL"/>
    </w:rPr>
  </w:style>
  <w:style w:type="paragraph" w:styleId="TOC5">
    <w:name w:val="toc 5"/>
    <w:basedOn w:val="a"/>
    <w:next w:val="a"/>
    <w:autoRedefine/>
    <w:semiHidden/>
    <w:rsid w:val="00D45634"/>
    <w:pPr>
      <w:ind w:left="960"/>
    </w:pPr>
    <w:rPr>
      <w:rFonts w:cs="Times New Roman"/>
      <w:sz w:val="18"/>
      <w:szCs w:val="18"/>
      <w:lang w:eastAsia="he-IL"/>
    </w:rPr>
  </w:style>
  <w:style w:type="paragraph" w:styleId="TOC6">
    <w:name w:val="toc 6"/>
    <w:basedOn w:val="a"/>
    <w:next w:val="a"/>
    <w:autoRedefine/>
    <w:semiHidden/>
    <w:rsid w:val="00D45634"/>
    <w:pPr>
      <w:ind w:left="1200"/>
    </w:pPr>
    <w:rPr>
      <w:rFonts w:cs="Times New Roman"/>
      <w:sz w:val="18"/>
      <w:szCs w:val="18"/>
      <w:lang w:eastAsia="he-IL"/>
    </w:rPr>
  </w:style>
  <w:style w:type="paragraph" w:styleId="TOC7">
    <w:name w:val="toc 7"/>
    <w:basedOn w:val="a"/>
    <w:next w:val="a"/>
    <w:autoRedefine/>
    <w:semiHidden/>
    <w:rsid w:val="00D45634"/>
    <w:pPr>
      <w:ind w:left="1440"/>
    </w:pPr>
    <w:rPr>
      <w:rFonts w:cs="Times New Roman"/>
      <w:sz w:val="18"/>
      <w:szCs w:val="18"/>
      <w:lang w:eastAsia="he-IL"/>
    </w:rPr>
  </w:style>
  <w:style w:type="paragraph" w:styleId="TOC8">
    <w:name w:val="toc 8"/>
    <w:basedOn w:val="a"/>
    <w:next w:val="a"/>
    <w:autoRedefine/>
    <w:semiHidden/>
    <w:rsid w:val="00D45634"/>
    <w:pPr>
      <w:ind w:left="1680"/>
    </w:pPr>
    <w:rPr>
      <w:rFonts w:cs="Times New Roman"/>
      <w:sz w:val="18"/>
      <w:szCs w:val="18"/>
      <w:lang w:eastAsia="he-IL"/>
    </w:rPr>
  </w:style>
  <w:style w:type="paragraph" w:styleId="TOC9">
    <w:name w:val="toc 9"/>
    <w:basedOn w:val="a"/>
    <w:next w:val="a"/>
    <w:autoRedefine/>
    <w:semiHidden/>
    <w:rsid w:val="00D45634"/>
    <w:pPr>
      <w:ind w:left="1920"/>
    </w:pPr>
    <w:rPr>
      <w:rFonts w:cs="Times New Roman"/>
      <w:sz w:val="18"/>
      <w:szCs w:val="18"/>
      <w:lang w:eastAsia="he-IL"/>
    </w:rPr>
  </w:style>
  <w:style w:type="paragraph" w:styleId="Index1">
    <w:name w:val="index 1"/>
    <w:basedOn w:val="a"/>
    <w:next w:val="a"/>
    <w:autoRedefine/>
    <w:semiHidden/>
    <w:rsid w:val="00D45634"/>
    <w:pPr>
      <w:bidi w:val="0"/>
      <w:ind w:left="240" w:hanging="240"/>
    </w:pPr>
    <w:rPr>
      <w:rFonts w:cs="Guttman Frank"/>
      <w:sz w:val="24"/>
      <w:szCs w:val="24"/>
      <w:lang w:eastAsia="he-IL"/>
    </w:rPr>
  </w:style>
  <w:style w:type="character" w:customStyle="1" w:styleId="a6">
    <w:name w:val="טקסט הערת שוליים תו"/>
    <w:basedOn w:val="a0"/>
    <w:link w:val="a5"/>
    <w:rsid w:val="00D45634"/>
    <w:rPr>
      <w:rFonts w:cs="Arial"/>
      <w:szCs w:val="24"/>
    </w:rPr>
  </w:style>
  <w:style w:type="character" w:customStyle="1" w:styleId="23">
    <w:name w:val="סגנון2"/>
    <w:rsid w:val="00D45634"/>
    <w:rPr>
      <w:rFonts w:cs="Arial"/>
      <w:b/>
      <w:szCs w:val="24"/>
    </w:rPr>
  </w:style>
  <w:style w:type="character" w:customStyle="1" w:styleId="11">
    <w:name w:val="סגנון1"/>
    <w:rsid w:val="00D45634"/>
    <w:rPr>
      <w:rFonts w:cs="Arial"/>
      <w:b w:val="0"/>
      <w:bCs w:val="0"/>
      <w:szCs w:val="28"/>
      <w:lang w:bidi="he-IL"/>
    </w:rPr>
  </w:style>
  <w:style w:type="character" w:styleId="aff6">
    <w:name w:val="Strong"/>
    <w:qFormat/>
    <w:rsid w:val="00D45634"/>
    <w:rPr>
      <w:b/>
      <w:bCs/>
    </w:rPr>
  </w:style>
  <w:style w:type="paragraph" w:styleId="aff7">
    <w:name w:val="Plain Text"/>
    <w:basedOn w:val="a"/>
    <w:link w:val="aff8"/>
    <w:semiHidden/>
    <w:rsid w:val="00D45634"/>
    <w:rPr>
      <w:rFonts w:ascii="Courier New"/>
      <w:lang w:eastAsia="he-IL"/>
    </w:rPr>
  </w:style>
  <w:style w:type="character" w:customStyle="1" w:styleId="aff8">
    <w:name w:val="טקסט רגיל תו"/>
    <w:basedOn w:val="a0"/>
    <w:link w:val="aff7"/>
    <w:semiHidden/>
    <w:rsid w:val="00D45634"/>
    <w:rPr>
      <w:rFonts w:ascii="Courier New"/>
      <w:lang w:eastAsia="he-IL"/>
    </w:rPr>
  </w:style>
  <w:style w:type="character" w:customStyle="1" w:styleId="40">
    <w:name w:val="כותרת 4 תו"/>
    <w:basedOn w:val="a0"/>
    <w:link w:val="4"/>
    <w:uiPriority w:val="9"/>
    <w:rsid w:val="00C16EB5"/>
    <w:rPr>
      <w:rFonts w:asciiTheme="majorHAnsi" w:eastAsiaTheme="majorEastAsia" w:hAnsiTheme="majorHAnsi" w:cstheme="majorBidi"/>
      <w:b/>
      <w:bCs/>
      <w:i/>
      <w:iCs/>
      <w:color w:val="4F81BD" w:themeColor="accent1"/>
    </w:rPr>
  </w:style>
  <w:style w:type="numbering" w:customStyle="1" w:styleId="12">
    <w:name w:val="ללא רשימה1"/>
    <w:next w:val="a2"/>
    <w:uiPriority w:val="99"/>
    <w:semiHidden/>
    <w:unhideWhenUsed/>
    <w:rsid w:val="00007309"/>
  </w:style>
  <w:style w:type="paragraph" w:customStyle="1" w:styleId="aff9">
    <w:name w:val="הערת מול"/>
    <w:basedOn w:val="a"/>
    <w:link w:val="affa"/>
    <w:qFormat/>
    <w:rsid w:val="00007309"/>
    <w:pPr>
      <w:jc w:val="both"/>
    </w:pPr>
    <w:rPr>
      <w:rFonts w:cs="David"/>
      <w:sz w:val="24"/>
      <w:szCs w:val="24"/>
    </w:rPr>
  </w:style>
  <w:style w:type="character" w:customStyle="1" w:styleId="af">
    <w:name w:val="מראה מקום תו"/>
    <w:basedOn w:val="a0"/>
    <w:link w:val="ae"/>
    <w:rsid w:val="00007309"/>
    <w:rPr>
      <w:rFonts w:ascii="Arial" w:hAnsi="Arial" w:cs="Guttman Frank"/>
      <w:bCs/>
      <w:sz w:val="29"/>
      <w:szCs w:val="23"/>
      <w:lang w:eastAsia="he-IL"/>
    </w:rPr>
  </w:style>
  <w:style w:type="paragraph" w:customStyle="1" w:styleId="affb">
    <w:name w:val="נוסחא אחרת"/>
    <w:basedOn w:val="a"/>
    <w:link w:val="affc"/>
    <w:qFormat/>
    <w:rsid w:val="00007309"/>
    <w:pPr>
      <w:jc w:val="both"/>
    </w:pPr>
    <w:rPr>
      <w:rFonts w:cs="Arial"/>
      <w:color w:val="000000"/>
      <w:sz w:val="24"/>
      <w:szCs w:val="24"/>
    </w:rPr>
  </w:style>
  <w:style w:type="character" w:customStyle="1" w:styleId="affa">
    <w:name w:val="הערת מול תו"/>
    <w:basedOn w:val="a0"/>
    <w:link w:val="aff9"/>
    <w:rsid w:val="00007309"/>
    <w:rPr>
      <w:rFonts w:cs="David"/>
      <w:sz w:val="24"/>
      <w:szCs w:val="24"/>
    </w:rPr>
  </w:style>
  <w:style w:type="paragraph" w:styleId="affd">
    <w:name w:val="endnote text"/>
    <w:basedOn w:val="a"/>
    <w:link w:val="affe"/>
    <w:uiPriority w:val="99"/>
    <w:semiHidden/>
    <w:unhideWhenUsed/>
    <w:rsid w:val="00007309"/>
    <w:pPr>
      <w:bidi w:val="0"/>
    </w:pPr>
  </w:style>
  <w:style w:type="character" w:customStyle="1" w:styleId="affe">
    <w:name w:val="טקסט הערת סיום תו"/>
    <w:basedOn w:val="a0"/>
    <w:link w:val="affd"/>
    <w:uiPriority w:val="99"/>
    <w:semiHidden/>
    <w:rsid w:val="00007309"/>
  </w:style>
  <w:style w:type="character" w:customStyle="1" w:styleId="affc">
    <w:name w:val="נוסחא אחרת תו"/>
    <w:basedOn w:val="a0"/>
    <w:link w:val="affb"/>
    <w:rsid w:val="00007309"/>
    <w:rPr>
      <w:rFonts w:cs="Arial"/>
      <w:color w:val="000000"/>
      <w:sz w:val="24"/>
      <w:szCs w:val="24"/>
    </w:rPr>
  </w:style>
  <w:style w:type="character" w:styleId="afff">
    <w:name w:val="endnote reference"/>
    <w:basedOn w:val="a0"/>
    <w:uiPriority w:val="99"/>
    <w:semiHidden/>
    <w:unhideWhenUsed/>
    <w:rsid w:val="00007309"/>
    <w:rPr>
      <w:vertAlign w:val="superscript"/>
    </w:rPr>
  </w:style>
  <w:style w:type="table" w:styleId="afff0">
    <w:name w:val="Table Grid"/>
    <w:basedOn w:val="a1"/>
    <w:uiPriority w:val="59"/>
    <w:rsid w:val="00007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hyperlink" Target="file:///C:\Program%20Files\&#1514;&#1493;&#1512;&#1514;%20&#1488;&#1502;&#1514;%20-%20358\Temp\his_temp_1_4.ht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hyperlink" Target="file:///C:\Program%20Files\&#1514;&#1493;&#1512;&#1514;%20&#1488;&#1502;&#1514;%20-%20358\Temp\his_temp_1_14.htm" TargetMode="External"/><Relationship Id="rId4" Type="http://schemas.microsoft.com/office/2007/relationships/stylesWithEffects" Target="stylesWithEffects.xml"/><Relationship Id="rId9" Type="http://schemas.openxmlformats.org/officeDocument/2006/relationships/hyperlink" Target="mailto:tiferetm@etrog.net.il" TargetMode="External"/><Relationship Id="rId14" Type="http://schemas.openxmlformats.org/officeDocument/2006/relationships/image" Target="media/image4.jp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כריכה קשה">
      <a:majorFont>
        <a:latin typeface="Book Antiqua"/>
        <a:ea typeface=""/>
        <a:cs typeface=""/>
        <a:font script="Grek" typeface="Times New Roman"/>
        <a:font script="Cyrl" typeface="Times New Roman"/>
        <a:font script="Jpan" typeface="HGS明朝E"/>
        <a:font script="Hang" typeface="궁서"/>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Book Antiqua"/>
        <a:ea typeface=""/>
        <a:cs typeface=""/>
        <a:font script="Grek" typeface="Times New Roman"/>
        <a:font script="Cyrl" typeface="Times New Roman"/>
        <a:font script="Jpan" typeface="HGS明朝E"/>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342535-3D4E-4100-AD6A-0CA79B52F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96</Pages>
  <Words>296526</Words>
  <Characters>1482634</Characters>
  <Application>Microsoft Office Word</Application>
  <DocSecurity>0</DocSecurity>
  <Lines>12355</Lines>
  <Paragraphs>3551</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1</vt:lpstr>
      <vt:lpstr/>
    </vt:vector>
  </TitlesOfParts>
  <Company>Microsoft</Company>
  <LinksUpToDate>false</LinksUpToDate>
  <CharactersWithSpaces>1775609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dc:creator>
  <cp:lastModifiedBy>user</cp:lastModifiedBy>
  <cp:revision>2</cp:revision>
  <dcterms:created xsi:type="dcterms:W3CDTF">2016-02-04T09:09:00Z</dcterms:created>
  <dcterms:modified xsi:type="dcterms:W3CDTF">2016-02-04T09:09:00Z</dcterms:modified>
</cp:coreProperties>
</file>